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header6.xml" ContentType="application/vnd.openxmlformats-officedocument.wordprocessingml.header+xml"/>
  <Override PartName="/word/footer9.xml" ContentType="application/vnd.openxmlformats-officedocument.wordprocessingml.footer+xml"/>
  <Override PartName="/word/header7.xml" ContentType="application/vnd.openxmlformats-officedocument.wordprocessingml.header+xml"/>
  <Override PartName="/word/footer10.xml" ContentType="application/vnd.openxmlformats-officedocument.wordprocessingml.footer+xml"/>
  <Override PartName="/word/header8.xml" ContentType="application/vnd.openxmlformats-officedocument.wordprocessingml.header+xml"/>
  <Override PartName="/word/footer11.xml" ContentType="application/vnd.openxmlformats-officedocument.wordprocessingml.footer+xml"/>
  <Override PartName="/word/header9.xml" ContentType="application/vnd.openxmlformats-officedocument.wordprocessingml.header+xml"/>
  <Override PartName="/word/footer12.xml" ContentType="application/vnd.openxmlformats-officedocument.wordprocessingml.footer+xml"/>
  <Override PartName="/word/header10.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header11.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header12.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header1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14.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header15.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header16.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17.xml" ContentType="application/vnd.openxmlformats-officedocument.wordprocessingml.header+xml"/>
  <Override PartName="/word/footer32.xml" ContentType="application/vnd.openxmlformats-officedocument.wordprocessingml.footer+xml"/>
  <Override PartName="/word/header18.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header19.xml" ContentType="application/vnd.openxmlformats-officedocument.wordprocessingml.header+xml"/>
  <Override PartName="/word/footer36.xml" ContentType="application/vnd.openxmlformats-officedocument.wordprocessingml.footer+xml"/>
  <Override PartName="/word/header20.xml" ContentType="application/vnd.openxmlformats-officedocument.wordprocessingml.header+xml"/>
  <Override PartName="/word/footer37.xml" ContentType="application/vnd.openxmlformats-officedocument.wordprocessingml.footer+xml"/>
  <Override PartName="/word/header21.xml" ContentType="application/vnd.openxmlformats-officedocument.wordprocessingml.header+xml"/>
  <Override PartName="/word/footer38.xml" ContentType="application/vnd.openxmlformats-officedocument.wordprocessingml.footer+xml"/>
  <Override PartName="/word/footer39.xml" ContentType="application/vnd.openxmlformats-officedocument.wordprocessingml.footer+xml"/>
  <Override PartName="/word/header22.xml" ContentType="application/vnd.openxmlformats-officedocument.wordprocessingml.header+xml"/>
  <Override PartName="/word/footer40.xml" ContentType="application/vnd.openxmlformats-officedocument.wordprocessingml.footer+xml"/>
  <Override PartName="/word/header23.xml" ContentType="application/vnd.openxmlformats-officedocument.wordprocessingml.header+xml"/>
  <Override PartName="/word/footer41.xml" ContentType="application/vnd.openxmlformats-officedocument.wordprocessingml.footer+xml"/>
  <Override PartName="/word/footer42.xml" ContentType="application/vnd.openxmlformats-officedocument.wordprocessingml.footer+xml"/>
  <Override PartName="/word/header24.xml" ContentType="application/vnd.openxmlformats-officedocument.wordprocessingml.header+xml"/>
  <Override PartName="/word/footer43.xml" ContentType="application/vnd.openxmlformats-officedocument.wordprocessingml.footer+xml"/>
  <Override PartName="/word/header25.xml" ContentType="application/vnd.openxmlformats-officedocument.wordprocessingml.header+xml"/>
  <Override PartName="/word/footer44.xml" ContentType="application/vnd.openxmlformats-officedocument.wordprocessingml.footer+xml"/>
  <Override PartName="/word/header26.xml" ContentType="application/vnd.openxmlformats-officedocument.wordprocessingml.header+xml"/>
  <Override PartName="/word/footer45.xml" ContentType="application/vnd.openxmlformats-officedocument.wordprocessingml.footer+xml"/>
  <Override PartName="/word/header27.xml" ContentType="application/vnd.openxmlformats-officedocument.wordprocessingml.header+xml"/>
  <Override PartName="/word/footer46.xml" ContentType="application/vnd.openxmlformats-officedocument.wordprocessingml.footer+xml"/>
  <Override PartName="/word/header28.xml" ContentType="application/vnd.openxmlformats-officedocument.wordprocessingml.header+xml"/>
  <Override PartName="/word/footer47.xml" ContentType="application/vnd.openxmlformats-officedocument.wordprocessingml.footer+xml"/>
  <Override PartName="/word/header29.xml" ContentType="application/vnd.openxmlformats-officedocument.wordprocessingml.header+xml"/>
  <Override PartName="/word/footer48.xml" ContentType="application/vnd.openxmlformats-officedocument.wordprocessingml.footer+xml"/>
  <Override PartName="/word/footer49.xml" ContentType="application/vnd.openxmlformats-officedocument.wordprocessingml.footer+xml"/>
  <Override PartName="/word/header30.xml" ContentType="application/vnd.openxmlformats-officedocument.wordprocessingml.header+xml"/>
  <Override PartName="/word/footer50.xml" ContentType="application/vnd.openxmlformats-officedocument.wordprocessingml.footer+xml"/>
  <Override PartName="/word/header31.xml" ContentType="application/vnd.openxmlformats-officedocument.wordprocessingml.header+xml"/>
  <Override PartName="/word/footer51.xml" ContentType="application/vnd.openxmlformats-officedocument.wordprocessingml.footer+xml"/>
  <Override PartName="/word/header32.xml" ContentType="application/vnd.openxmlformats-officedocument.wordprocessingml.header+xml"/>
  <Override PartName="/word/footer52.xml" ContentType="application/vnd.openxmlformats-officedocument.wordprocessingml.footer+xml"/>
  <Override PartName="/word/header33.xml" ContentType="application/vnd.openxmlformats-officedocument.wordprocessingml.header+xml"/>
  <Override PartName="/word/footer53.xml" ContentType="application/vnd.openxmlformats-officedocument.wordprocessingml.footer+xml"/>
  <Override PartName="/word/header3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C24561" w14:textId="28CE8853" w:rsidR="004964D5" w:rsidRDefault="006E46D9" w:rsidP="00987DA0">
      <w:pPr>
        <w:rPr>
          <w:rFonts w:ascii="CAIXA Std Book" w:hAnsi="CAIXA Std Book"/>
          <w:b/>
          <w:color w:val="005CA9"/>
          <w:sz w:val="48"/>
          <w:szCs w:val="48"/>
        </w:rPr>
      </w:pPr>
      <w:r>
        <w:rPr>
          <w:rFonts w:ascii="Arial" w:hAnsi="Arial" w:cs="Arial"/>
          <w:noProof/>
        </w:rPr>
        <w:drawing>
          <wp:anchor distT="0" distB="0" distL="114300" distR="114300" simplePos="0" relativeHeight="251658241" behindDoc="1" locked="0" layoutInCell="1" allowOverlap="1" wp14:anchorId="4C0D0714" wp14:editId="369DDAB6">
            <wp:simplePos x="0" y="0"/>
            <wp:positionH relativeFrom="column">
              <wp:posOffset>-915035</wp:posOffset>
            </wp:positionH>
            <wp:positionV relativeFrom="paragraph">
              <wp:posOffset>-1247775</wp:posOffset>
            </wp:positionV>
            <wp:extent cx="7687945" cy="10871835"/>
            <wp:effectExtent l="0" t="0" r="0" b="0"/>
            <wp:wrapNone/>
            <wp:docPr id="1" name="Imagem 1" descr="Padrão do plano de fund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Padrão do plano de fundo&#10;&#10;Descrição gerada automaticamente"/>
                    <pic:cNvPicPr/>
                  </pic:nvPicPr>
                  <pic:blipFill>
                    <a:blip r:embed="rId11">
                      <a:extLst>
                        <a:ext uri="{28A0092B-C50C-407E-A947-70E740481C1C}">
                          <a14:useLocalDpi xmlns:a14="http://schemas.microsoft.com/office/drawing/2010/main" val="0"/>
                        </a:ext>
                      </a:extLst>
                    </a:blip>
                    <a:stretch>
                      <a:fillRect/>
                    </a:stretch>
                  </pic:blipFill>
                  <pic:spPr>
                    <a:xfrm>
                      <a:off x="0" y="0"/>
                      <a:ext cx="7687945" cy="10871835"/>
                    </a:xfrm>
                    <a:prstGeom prst="rect">
                      <a:avLst/>
                    </a:prstGeom>
                  </pic:spPr>
                </pic:pic>
              </a:graphicData>
            </a:graphic>
            <wp14:sizeRelH relativeFrom="page">
              <wp14:pctWidth>0</wp14:pctWidth>
            </wp14:sizeRelH>
            <wp14:sizeRelV relativeFrom="page">
              <wp14:pctHeight>0</wp14:pctHeight>
            </wp14:sizeRelV>
          </wp:anchor>
        </w:drawing>
      </w:r>
    </w:p>
    <w:p w14:paraId="5F0BA52C" w14:textId="224E16D4" w:rsidR="00726200" w:rsidRPr="00B04D8D" w:rsidRDefault="00726200" w:rsidP="00B63972">
      <w:pPr>
        <w:rPr>
          <w:rFonts w:ascii="CAIXA Std Book" w:hAnsi="CAIXA Std Book"/>
          <w:b/>
          <w:color w:val="005CA9"/>
          <w:sz w:val="48"/>
          <w:szCs w:val="48"/>
        </w:rPr>
      </w:pPr>
    </w:p>
    <w:p w14:paraId="289549CD" w14:textId="616E5FDF" w:rsidR="004964D5" w:rsidRPr="00B04D8D" w:rsidRDefault="004964D5" w:rsidP="002D4E0E">
      <w:pPr>
        <w:ind w:left="720"/>
        <w:rPr>
          <w:rFonts w:ascii="CAIXA Std Book" w:hAnsi="CAIXA Std Book"/>
          <w:b/>
          <w:color w:val="005CA9"/>
          <w:sz w:val="48"/>
          <w:szCs w:val="48"/>
        </w:rPr>
      </w:pPr>
    </w:p>
    <w:p w14:paraId="2A3D684D" w14:textId="66D75CBC" w:rsidR="00B15696" w:rsidRPr="00B04D8D" w:rsidRDefault="00B15696" w:rsidP="009F6667">
      <w:pPr>
        <w:tabs>
          <w:tab w:val="left" w:pos="6675"/>
        </w:tabs>
        <w:ind w:left="720"/>
        <w:rPr>
          <w:rFonts w:ascii="CAIXA Std Book" w:hAnsi="CAIXA Std Book"/>
          <w:b/>
          <w:color w:val="005CA9"/>
          <w:sz w:val="48"/>
          <w:szCs w:val="48"/>
        </w:rPr>
      </w:pPr>
    </w:p>
    <w:p w14:paraId="10D720CD" w14:textId="11119C59" w:rsidR="00B15696" w:rsidRPr="00B04D8D" w:rsidRDefault="00B15696" w:rsidP="002D4E0E">
      <w:pPr>
        <w:ind w:left="720"/>
        <w:rPr>
          <w:rFonts w:ascii="CAIXA Std Book" w:hAnsi="CAIXA Std Book"/>
          <w:b/>
          <w:color w:val="005CA9"/>
          <w:sz w:val="48"/>
          <w:szCs w:val="48"/>
        </w:rPr>
      </w:pPr>
    </w:p>
    <w:p w14:paraId="28120F3F" w14:textId="6BA7CC95" w:rsidR="00B15696" w:rsidRPr="00B04D8D" w:rsidRDefault="002B71E4" w:rsidP="002D4E0E">
      <w:pPr>
        <w:ind w:left="720"/>
        <w:rPr>
          <w:rFonts w:ascii="CAIXA Std Book" w:hAnsi="CAIXA Std Book"/>
          <w:b/>
          <w:color w:val="005CA9"/>
          <w:sz w:val="48"/>
          <w:szCs w:val="48"/>
        </w:rPr>
      </w:pPr>
      <w:r w:rsidRPr="00BA4389">
        <w:rPr>
          <w:rFonts w:ascii="Futura Lt BT" w:hAnsi="Futura Lt BT"/>
          <w:b/>
          <w:noProof/>
          <w:color w:val="005CA9"/>
          <w:sz w:val="48"/>
          <w:szCs w:val="48"/>
        </w:rPr>
        <mc:AlternateContent>
          <mc:Choice Requires="wps">
            <w:drawing>
              <wp:anchor distT="0" distB="0" distL="114300" distR="114300" simplePos="0" relativeHeight="251658240" behindDoc="0" locked="0" layoutInCell="1" allowOverlap="1" wp14:anchorId="2606686B" wp14:editId="30EF1CBC">
                <wp:simplePos x="0" y="0"/>
                <wp:positionH relativeFrom="margin">
                  <wp:posOffset>-5080</wp:posOffset>
                </wp:positionH>
                <wp:positionV relativeFrom="margin">
                  <wp:posOffset>2178050</wp:posOffset>
                </wp:positionV>
                <wp:extent cx="4552950" cy="4906010"/>
                <wp:effectExtent l="0" t="0" r="0" b="0"/>
                <wp:wrapSquare wrapText="bothSides"/>
                <wp:docPr id="3" name="Caixa de Texto 3"/>
                <wp:cNvGraphicFramePr/>
                <a:graphic xmlns:a="http://schemas.openxmlformats.org/drawingml/2006/main">
                  <a:graphicData uri="http://schemas.microsoft.com/office/word/2010/wordprocessingShape">
                    <wps:wsp>
                      <wps:cNvSpPr txBox="1"/>
                      <wps:spPr>
                        <a:xfrm>
                          <a:off x="0" y="0"/>
                          <a:ext cx="4552950" cy="4906010"/>
                        </a:xfrm>
                        <a:prstGeom prst="rect">
                          <a:avLst/>
                        </a:prstGeom>
                        <a:noFill/>
                        <a:ln w="6350">
                          <a:noFill/>
                        </a:ln>
                      </wps:spPr>
                      <wps:txbx>
                        <w:txbxContent>
                          <w:p w14:paraId="10872AFA" w14:textId="179023DE" w:rsidR="006F6997" w:rsidRPr="00502DEB" w:rsidRDefault="006F6997" w:rsidP="007C5F4F">
                            <w:pPr>
                              <w:rPr>
                                <w:rFonts w:ascii="Arial" w:eastAsiaTheme="minorHAnsi" w:hAnsi="Arial" w:cs="Arial"/>
                                <w:b/>
                                <w:color w:val="FFFFFF" w:themeColor="background1"/>
                                <w:kern w:val="2"/>
                                <w:sz w:val="70"/>
                                <w:szCs w:val="70"/>
                                <w:lang w:eastAsia="en-US"/>
                                <w14:ligatures w14:val="standardContextual"/>
                              </w:rPr>
                            </w:pPr>
                            <w:r w:rsidRPr="00502DEB">
                              <w:rPr>
                                <w:rFonts w:ascii="Arial" w:eastAsiaTheme="minorHAnsi" w:hAnsi="Arial" w:cs="Arial"/>
                                <w:b/>
                                <w:color w:val="FFFFFF" w:themeColor="background1"/>
                                <w:kern w:val="2"/>
                                <w:sz w:val="70"/>
                                <w:szCs w:val="70"/>
                                <w:lang w:eastAsia="en-US"/>
                                <w14:ligatures w14:val="standardContextual"/>
                              </w:rPr>
                              <w:t xml:space="preserve">Demonstrações Contábeis </w:t>
                            </w:r>
                            <w:r w:rsidR="002B71E4" w:rsidRPr="00502DEB">
                              <w:rPr>
                                <w:rFonts w:ascii="Arial" w:eastAsiaTheme="minorHAnsi" w:hAnsi="Arial" w:cs="Arial"/>
                                <w:b/>
                                <w:color w:val="FFFFFF" w:themeColor="background1"/>
                                <w:kern w:val="2"/>
                                <w:sz w:val="70"/>
                                <w:szCs w:val="70"/>
                                <w:lang w:eastAsia="en-US"/>
                                <w14:ligatures w14:val="standardContextual"/>
                              </w:rPr>
                              <w:t xml:space="preserve">Intermediárias </w:t>
                            </w:r>
                            <w:r w:rsidRPr="00502DEB">
                              <w:rPr>
                                <w:rFonts w:ascii="Arial" w:eastAsiaTheme="minorHAnsi" w:hAnsi="Arial" w:cs="Arial"/>
                                <w:b/>
                                <w:color w:val="FFFFFF" w:themeColor="background1"/>
                                <w:kern w:val="2"/>
                                <w:sz w:val="70"/>
                                <w:szCs w:val="70"/>
                                <w:lang w:eastAsia="en-US"/>
                                <w14:ligatures w14:val="standardContextual"/>
                              </w:rPr>
                              <w:t>Individuais e Consolidadas</w:t>
                            </w:r>
                            <w:r w:rsidR="00FB39C9" w:rsidRPr="00502DEB">
                              <w:rPr>
                                <w:rFonts w:ascii="Arial" w:eastAsiaTheme="minorHAnsi" w:hAnsi="Arial" w:cs="Arial"/>
                                <w:b/>
                                <w:color w:val="FFFFFF" w:themeColor="background1"/>
                                <w:kern w:val="2"/>
                                <w:sz w:val="70"/>
                                <w:szCs w:val="70"/>
                                <w:lang w:eastAsia="en-US"/>
                                <w14:ligatures w14:val="standardContextual"/>
                              </w:rPr>
                              <w:t xml:space="preserve"> Condensadas</w:t>
                            </w:r>
                          </w:p>
                          <w:p w14:paraId="2C0CD05D" w14:textId="77777777" w:rsidR="0021185B" w:rsidRPr="007C5F4F" w:rsidRDefault="0021185B" w:rsidP="007C5F4F">
                            <w:pPr>
                              <w:rPr>
                                <w:rFonts w:ascii="Arial" w:eastAsiaTheme="minorHAnsi" w:hAnsi="Arial" w:cs="Arial"/>
                                <w:b/>
                                <w:color w:val="FFFFFF" w:themeColor="background1"/>
                                <w:kern w:val="2"/>
                                <w:sz w:val="60"/>
                                <w:szCs w:val="60"/>
                                <w:lang w:eastAsia="en-US"/>
                                <w14:ligatures w14:val="standardContextual"/>
                              </w:rPr>
                            </w:pPr>
                          </w:p>
                          <w:p w14:paraId="02A24420" w14:textId="77777777" w:rsidR="0021185B" w:rsidRPr="002B71E4" w:rsidRDefault="0021185B" w:rsidP="007C5F4F">
                            <w:pPr>
                              <w:rPr>
                                <w:rFonts w:ascii="Arial" w:eastAsiaTheme="minorHAnsi" w:hAnsi="Arial" w:cs="Arial"/>
                                <w:color w:val="FFFFFF" w:themeColor="background1"/>
                                <w:kern w:val="2"/>
                                <w:sz w:val="52"/>
                                <w:szCs w:val="52"/>
                                <w:lang w:eastAsia="en-US"/>
                                <w14:ligatures w14:val="standardContextual"/>
                              </w:rPr>
                            </w:pPr>
                            <w:r w:rsidRPr="002B71E4">
                              <w:rPr>
                                <w:rFonts w:ascii="Arial" w:eastAsiaTheme="minorHAnsi" w:hAnsi="Arial" w:cs="Arial"/>
                                <w:color w:val="FFFFFF" w:themeColor="background1"/>
                                <w:kern w:val="2"/>
                                <w:sz w:val="52"/>
                                <w:szCs w:val="52"/>
                                <w:lang w:eastAsia="en-US"/>
                                <w14:ligatures w14:val="standardContextual"/>
                              </w:rPr>
                              <w:t>BrGaap</w:t>
                            </w:r>
                          </w:p>
                          <w:p w14:paraId="261C25EA" w14:textId="77777777" w:rsidR="0021185B" w:rsidRPr="002B71E4" w:rsidRDefault="0021185B" w:rsidP="007C5F4F">
                            <w:pPr>
                              <w:rPr>
                                <w:rFonts w:ascii="Arial" w:eastAsiaTheme="minorHAnsi" w:hAnsi="Arial" w:cs="Arial"/>
                                <w:color w:val="FFFFFF" w:themeColor="background1"/>
                                <w:kern w:val="2"/>
                                <w:sz w:val="52"/>
                                <w:szCs w:val="52"/>
                                <w:lang w:eastAsia="en-US"/>
                                <w14:ligatures w14:val="standardContextual"/>
                              </w:rPr>
                            </w:pPr>
                          </w:p>
                          <w:p w14:paraId="20E754E2" w14:textId="3162E5AA" w:rsidR="0021185B" w:rsidRPr="002B71E4" w:rsidRDefault="001E6C83" w:rsidP="007C5F4F">
                            <w:pPr>
                              <w:rPr>
                                <w:rFonts w:ascii="Arial" w:eastAsiaTheme="minorHAnsi" w:hAnsi="Arial" w:cs="Arial"/>
                                <w:color w:val="FFFFFF" w:themeColor="background1"/>
                                <w:kern w:val="2"/>
                                <w:sz w:val="52"/>
                                <w:szCs w:val="52"/>
                                <w:lang w:eastAsia="en-US"/>
                                <w14:ligatures w14:val="standardContextual"/>
                              </w:rPr>
                            </w:pPr>
                            <w:r w:rsidRPr="002B71E4">
                              <w:rPr>
                                <w:rFonts w:ascii="Arial" w:eastAsiaTheme="minorHAnsi" w:hAnsi="Arial" w:cs="Arial"/>
                                <w:color w:val="FFFFFF" w:themeColor="background1"/>
                                <w:kern w:val="2"/>
                                <w:sz w:val="52"/>
                                <w:szCs w:val="52"/>
                                <w:lang w:eastAsia="en-US"/>
                                <w14:ligatures w14:val="standardContextual"/>
                              </w:rPr>
                              <w:t xml:space="preserve">31 de </w:t>
                            </w:r>
                            <w:r w:rsidR="0069564E" w:rsidRPr="002B71E4">
                              <w:rPr>
                                <w:rFonts w:ascii="Arial" w:eastAsiaTheme="minorHAnsi" w:hAnsi="Arial" w:cs="Arial"/>
                                <w:color w:val="FFFFFF" w:themeColor="background1"/>
                                <w:kern w:val="2"/>
                                <w:sz w:val="52"/>
                                <w:szCs w:val="52"/>
                                <w:lang w:eastAsia="en-US"/>
                                <w14:ligatures w14:val="standardContextual"/>
                              </w:rPr>
                              <w:t>m</w:t>
                            </w:r>
                            <w:r w:rsidRPr="002B71E4">
                              <w:rPr>
                                <w:rFonts w:ascii="Arial" w:eastAsiaTheme="minorHAnsi" w:hAnsi="Arial" w:cs="Arial"/>
                                <w:color w:val="FFFFFF" w:themeColor="background1"/>
                                <w:kern w:val="2"/>
                                <w:sz w:val="52"/>
                                <w:szCs w:val="52"/>
                                <w:lang w:eastAsia="en-US"/>
                                <w14:ligatures w14:val="standardContextual"/>
                              </w:rPr>
                              <w:t>arço</w:t>
                            </w:r>
                            <w:r w:rsidR="0069564E" w:rsidRPr="002B71E4">
                              <w:rPr>
                                <w:rFonts w:ascii="Arial" w:eastAsiaTheme="minorHAnsi" w:hAnsi="Arial" w:cs="Arial"/>
                                <w:color w:val="FFFFFF" w:themeColor="background1"/>
                                <w:kern w:val="2"/>
                                <w:sz w:val="52"/>
                                <w:szCs w:val="52"/>
                                <w:lang w:eastAsia="en-US"/>
                                <w14:ligatures w14:val="standardContextual"/>
                              </w:rPr>
                              <w:t xml:space="preserve"> de</w:t>
                            </w:r>
                            <w:r w:rsidR="00FB03C7" w:rsidRPr="002B71E4">
                              <w:rPr>
                                <w:rFonts w:ascii="Arial" w:eastAsiaTheme="minorHAnsi" w:hAnsi="Arial" w:cs="Arial"/>
                                <w:color w:val="FFFFFF" w:themeColor="background1"/>
                                <w:kern w:val="2"/>
                                <w:sz w:val="52"/>
                                <w:szCs w:val="52"/>
                                <w:lang w:eastAsia="en-US"/>
                                <w14:ligatures w14:val="standardContextual"/>
                              </w:rPr>
                              <w:t xml:space="preserve"> 202</w:t>
                            </w:r>
                            <w:r w:rsidR="0069564E" w:rsidRPr="002B71E4">
                              <w:rPr>
                                <w:rFonts w:ascii="Arial" w:eastAsiaTheme="minorHAnsi" w:hAnsi="Arial" w:cs="Arial"/>
                                <w:color w:val="FFFFFF" w:themeColor="background1"/>
                                <w:kern w:val="2"/>
                                <w:sz w:val="52"/>
                                <w:szCs w:val="52"/>
                                <w:lang w:eastAsia="en-US"/>
                                <w14:ligatures w14:val="standardContextual"/>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06686B" id="_x0000_t202" coordsize="21600,21600" o:spt="202" path="m,l,21600r21600,l21600,xe">
                <v:stroke joinstyle="miter"/>
                <v:path gradientshapeok="t" o:connecttype="rect"/>
              </v:shapetype>
              <v:shape id="Caixa de Texto 3" o:spid="_x0000_s1026" type="#_x0000_t202" style="position:absolute;left:0;text-align:left;margin-left:-.4pt;margin-top:171.5pt;width:358.5pt;height:386.3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" filled="f" stroked="f" strokeweight=".5pt">
                <v:textbox>
                  <w:txbxContent>
                    <w:p w14:paraId="10872AFA" w14:textId="179023DE" w:rsidR="006F6997" w:rsidRPr="00502DEB" w:rsidRDefault="006F6997" w:rsidP="007C5F4F">
                      <w:pPr>
                        <w:rPr>
                          <w:rFonts w:ascii="Arial" w:eastAsiaTheme="minorHAnsi" w:hAnsi="Arial" w:cs="Arial"/>
                          <w:b/>
                          <w:color w:val="FFFFFF" w:themeColor="background1"/>
                          <w:kern w:val="2"/>
                          <w:sz w:val="70"/>
                          <w:szCs w:val="70"/>
                          <w:lang w:eastAsia="en-US"/>
                          <w14:ligatures w14:val="standardContextual"/>
                        </w:rPr>
                      </w:pPr>
                      <w:r w:rsidRPr="00502DEB">
                        <w:rPr>
                          <w:rFonts w:ascii="Arial" w:eastAsiaTheme="minorHAnsi" w:hAnsi="Arial" w:cs="Arial"/>
                          <w:b/>
                          <w:color w:val="FFFFFF" w:themeColor="background1"/>
                          <w:kern w:val="2"/>
                          <w:sz w:val="70"/>
                          <w:szCs w:val="70"/>
                          <w:lang w:eastAsia="en-US"/>
                          <w14:ligatures w14:val="standardContextual"/>
                        </w:rPr>
                        <w:t xml:space="preserve">Demonstrações Contábeis </w:t>
                      </w:r>
                      <w:r w:rsidR="002B71E4" w:rsidRPr="00502DEB">
                        <w:rPr>
                          <w:rFonts w:ascii="Arial" w:eastAsiaTheme="minorHAnsi" w:hAnsi="Arial" w:cs="Arial"/>
                          <w:b/>
                          <w:color w:val="FFFFFF" w:themeColor="background1"/>
                          <w:kern w:val="2"/>
                          <w:sz w:val="70"/>
                          <w:szCs w:val="70"/>
                          <w:lang w:eastAsia="en-US"/>
                          <w14:ligatures w14:val="standardContextual"/>
                        </w:rPr>
                        <w:t xml:space="preserve">Intermediárias </w:t>
                      </w:r>
                      <w:r w:rsidRPr="00502DEB">
                        <w:rPr>
                          <w:rFonts w:ascii="Arial" w:eastAsiaTheme="minorHAnsi" w:hAnsi="Arial" w:cs="Arial"/>
                          <w:b/>
                          <w:color w:val="FFFFFF" w:themeColor="background1"/>
                          <w:kern w:val="2"/>
                          <w:sz w:val="70"/>
                          <w:szCs w:val="70"/>
                          <w:lang w:eastAsia="en-US"/>
                          <w14:ligatures w14:val="standardContextual"/>
                        </w:rPr>
                        <w:t>Individuais e Consolidadas</w:t>
                      </w:r>
                      <w:r w:rsidR="00FB39C9" w:rsidRPr="00502DEB">
                        <w:rPr>
                          <w:rFonts w:ascii="Arial" w:eastAsiaTheme="minorHAnsi" w:hAnsi="Arial" w:cs="Arial"/>
                          <w:b/>
                          <w:color w:val="FFFFFF" w:themeColor="background1"/>
                          <w:kern w:val="2"/>
                          <w:sz w:val="70"/>
                          <w:szCs w:val="70"/>
                          <w:lang w:eastAsia="en-US"/>
                          <w14:ligatures w14:val="standardContextual"/>
                        </w:rPr>
                        <w:t xml:space="preserve"> Condensadas</w:t>
                      </w:r>
                    </w:p>
                    <w:p w14:paraId="2C0CD05D" w14:textId="77777777" w:rsidR="0021185B" w:rsidRPr="007C5F4F" w:rsidRDefault="0021185B" w:rsidP="007C5F4F">
                      <w:pPr>
                        <w:rPr>
                          <w:rFonts w:ascii="Arial" w:eastAsiaTheme="minorHAnsi" w:hAnsi="Arial" w:cs="Arial"/>
                          <w:b/>
                          <w:color w:val="FFFFFF" w:themeColor="background1"/>
                          <w:kern w:val="2"/>
                          <w:sz w:val="60"/>
                          <w:szCs w:val="60"/>
                          <w:lang w:eastAsia="en-US"/>
                          <w14:ligatures w14:val="standardContextual"/>
                        </w:rPr>
                      </w:pPr>
                    </w:p>
                    <w:p w14:paraId="02A24420" w14:textId="77777777" w:rsidR="0021185B" w:rsidRPr="002B71E4" w:rsidRDefault="0021185B" w:rsidP="007C5F4F">
                      <w:pPr>
                        <w:rPr>
                          <w:rFonts w:ascii="Arial" w:eastAsiaTheme="minorHAnsi" w:hAnsi="Arial" w:cs="Arial"/>
                          <w:color w:val="FFFFFF" w:themeColor="background1"/>
                          <w:kern w:val="2"/>
                          <w:sz w:val="52"/>
                          <w:szCs w:val="52"/>
                          <w:lang w:eastAsia="en-US"/>
                          <w14:ligatures w14:val="standardContextual"/>
                        </w:rPr>
                      </w:pPr>
                      <w:r w:rsidRPr="002B71E4">
                        <w:rPr>
                          <w:rFonts w:ascii="Arial" w:eastAsiaTheme="minorHAnsi" w:hAnsi="Arial" w:cs="Arial"/>
                          <w:color w:val="FFFFFF" w:themeColor="background1"/>
                          <w:kern w:val="2"/>
                          <w:sz w:val="52"/>
                          <w:szCs w:val="52"/>
                          <w:lang w:eastAsia="en-US"/>
                          <w14:ligatures w14:val="standardContextual"/>
                        </w:rPr>
                        <w:t>BrGaap</w:t>
                      </w:r>
                    </w:p>
                    <w:p w14:paraId="261C25EA" w14:textId="77777777" w:rsidR="0021185B" w:rsidRPr="002B71E4" w:rsidRDefault="0021185B" w:rsidP="007C5F4F">
                      <w:pPr>
                        <w:rPr>
                          <w:rFonts w:ascii="Arial" w:eastAsiaTheme="minorHAnsi" w:hAnsi="Arial" w:cs="Arial"/>
                          <w:color w:val="FFFFFF" w:themeColor="background1"/>
                          <w:kern w:val="2"/>
                          <w:sz w:val="52"/>
                          <w:szCs w:val="52"/>
                          <w:lang w:eastAsia="en-US"/>
                          <w14:ligatures w14:val="standardContextual"/>
                        </w:rPr>
                      </w:pPr>
                    </w:p>
                    <w:p w14:paraId="20E754E2" w14:textId="3162E5AA" w:rsidR="0021185B" w:rsidRPr="002B71E4" w:rsidRDefault="001E6C83" w:rsidP="007C5F4F">
                      <w:pPr>
                        <w:rPr>
                          <w:rFonts w:ascii="Arial" w:eastAsiaTheme="minorHAnsi" w:hAnsi="Arial" w:cs="Arial"/>
                          <w:color w:val="FFFFFF" w:themeColor="background1"/>
                          <w:kern w:val="2"/>
                          <w:sz w:val="52"/>
                          <w:szCs w:val="52"/>
                          <w:lang w:eastAsia="en-US"/>
                          <w14:ligatures w14:val="standardContextual"/>
                        </w:rPr>
                      </w:pPr>
                      <w:r w:rsidRPr="002B71E4">
                        <w:rPr>
                          <w:rFonts w:ascii="Arial" w:eastAsiaTheme="minorHAnsi" w:hAnsi="Arial" w:cs="Arial"/>
                          <w:color w:val="FFFFFF" w:themeColor="background1"/>
                          <w:kern w:val="2"/>
                          <w:sz w:val="52"/>
                          <w:szCs w:val="52"/>
                          <w:lang w:eastAsia="en-US"/>
                          <w14:ligatures w14:val="standardContextual"/>
                        </w:rPr>
                        <w:t xml:space="preserve">31 de </w:t>
                      </w:r>
                      <w:r w:rsidR="0069564E" w:rsidRPr="002B71E4">
                        <w:rPr>
                          <w:rFonts w:ascii="Arial" w:eastAsiaTheme="minorHAnsi" w:hAnsi="Arial" w:cs="Arial"/>
                          <w:color w:val="FFFFFF" w:themeColor="background1"/>
                          <w:kern w:val="2"/>
                          <w:sz w:val="52"/>
                          <w:szCs w:val="52"/>
                          <w:lang w:eastAsia="en-US"/>
                          <w14:ligatures w14:val="standardContextual"/>
                        </w:rPr>
                        <w:t>m</w:t>
                      </w:r>
                      <w:r w:rsidRPr="002B71E4">
                        <w:rPr>
                          <w:rFonts w:ascii="Arial" w:eastAsiaTheme="minorHAnsi" w:hAnsi="Arial" w:cs="Arial"/>
                          <w:color w:val="FFFFFF" w:themeColor="background1"/>
                          <w:kern w:val="2"/>
                          <w:sz w:val="52"/>
                          <w:szCs w:val="52"/>
                          <w:lang w:eastAsia="en-US"/>
                          <w14:ligatures w14:val="standardContextual"/>
                        </w:rPr>
                        <w:t>arço</w:t>
                      </w:r>
                      <w:r w:rsidR="0069564E" w:rsidRPr="002B71E4">
                        <w:rPr>
                          <w:rFonts w:ascii="Arial" w:eastAsiaTheme="minorHAnsi" w:hAnsi="Arial" w:cs="Arial"/>
                          <w:color w:val="FFFFFF" w:themeColor="background1"/>
                          <w:kern w:val="2"/>
                          <w:sz w:val="52"/>
                          <w:szCs w:val="52"/>
                          <w:lang w:eastAsia="en-US"/>
                          <w14:ligatures w14:val="standardContextual"/>
                        </w:rPr>
                        <w:t xml:space="preserve"> de</w:t>
                      </w:r>
                      <w:r w:rsidR="00FB03C7" w:rsidRPr="002B71E4">
                        <w:rPr>
                          <w:rFonts w:ascii="Arial" w:eastAsiaTheme="minorHAnsi" w:hAnsi="Arial" w:cs="Arial"/>
                          <w:color w:val="FFFFFF" w:themeColor="background1"/>
                          <w:kern w:val="2"/>
                          <w:sz w:val="52"/>
                          <w:szCs w:val="52"/>
                          <w:lang w:eastAsia="en-US"/>
                          <w14:ligatures w14:val="standardContextual"/>
                        </w:rPr>
                        <w:t xml:space="preserve"> 202</w:t>
                      </w:r>
                      <w:r w:rsidR="0069564E" w:rsidRPr="002B71E4">
                        <w:rPr>
                          <w:rFonts w:ascii="Arial" w:eastAsiaTheme="minorHAnsi" w:hAnsi="Arial" w:cs="Arial"/>
                          <w:color w:val="FFFFFF" w:themeColor="background1"/>
                          <w:kern w:val="2"/>
                          <w:sz w:val="52"/>
                          <w:szCs w:val="52"/>
                          <w:lang w:eastAsia="en-US"/>
                          <w14:ligatures w14:val="standardContextual"/>
                        </w:rPr>
                        <w:t>6</w:t>
                      </w:r>
                    </w:p>
                  </w:txbxContent>
                </v:textbox>
                <w10:wrap type="square" anchorx="margin" anchory="margin"/>
              </v:shape>
            </w:pict>
          </mc:Fallback>
        </mc:AlternateContent>
      </w:r>
    </w:p>
    <w:p w14:paraId="47133F86" w14:textId="77777777" w:rsidR="00A7773D" w:rsidRPr="00B04D8D" w:rsidRDefault="00A7773D" w:rsidP="002D4E0E">
      <w:pPr>
        <w:ind w:left="720"/>
        <w:rPr>
          <w:rFonts w:ascii="CAIXA Std Book" w:hAnsi="CAIXA Std Book"/>
          <w:b/>
          <w:color w:val="005CA9"/>
          <w:sz w:val="48"/>
          <w:szCs w:val="48"/>
        </w:rPr>
      </w:pPr>
    </w:p>
    <w:p w14:paraId="57DFB542" w14:textId="77777777" w:rsidR="00B15696" w:rsidRPr="00B04D8D" w:rsidRDefault="00B15696" w:rsidP="002D4E0E">
      <w:pPr>
        <w:ind w:left="720"/>
        <w:rPr>
          <w:rFonts w:ascii="CAIXA Std Book" w:hAnsi="CAIXA Std Book"/>
          <w:b/>
          <w:color w:val="005CA9"/>
          <w:sz w:val="48"/>
          <w:szCs w:val="48"/>
        </w:rPr>
      </w:pPr>
    </w:p>
    <w:p w14:paraId="3C3988DB" w14:textId="7571AA24" w:rsidR="00B15696" w:rsidRPr="00B04D8D" w:rsidRDefault="00B15696" w:rsidP="002D4E0E">
      <w:pPr>
        <w:ind w:left="720"/>
        <w:rPr>
          <w:rFonts w:ascii="CAIXA Std Book" w:hAnsi="CAIXA Std Book"/>
          <w:b/>
          <w:color w:val="005CA9"/>
          <w:sz w:val="48"/>
          <w:szCs w:val="48"/>
        </w:rPr>
      </w:pPr>
    </w:p>
    <w:p w14:paraId="295DA18C" w14:textId="77777777" w:rsidR="00B15696" w:rsidRPr="00B04D8D" w:rsidRDefault="00B15696" w:rsidP="00B23367">
      <w:pPr>
        <w:ind w:left="720"/>
        <w:rPr>
          <w:rFonts w:ascii="CAIXA Std Book" w:hAnsi="CAIXA Std Book"/>
          <w:color w:val="005CA9"/>
          <w:sz w:val="28"/>
          <w:szCs w:val="28"/>
        </w:rPr>
      </w:pPr>
      <w:bookmarkStart w:id="0" w:name="ÍndiceGeral"/>
      <w:bookmarkEnd w:id="0"/>
    </w:p>
    <w:p w14:paraId="5CFBE36D" w14:textId="511009C0" w:rsidR="003B76F9" w:rsidRPr="00B04D8D" w:rsidRDefault="007B0322" w:rsidP="003B76F9">
      <w:pPr>
        <w:rPr>
          <w:rFonts w:ascii="CAIXA Std Book" w:hAnsi="CAIXA Std Book"/>
          <w:color w:val="005CA9"/>
          <w:sz w:val="28"/>
          <w:szCs w:val="28"/>
        </w:rPr>
      </w:pPr>
      <w:r>
        <w:rPr>
          <w:rFonts w:ascii="CAIXA Std Book" w:hAnsi="CAIXA Std Book"/>
          <w:color w:val="005CA9"/>
          <w:sz w:val="28"/>
          <w:szCs w:val="28"/>
        </w:rPr>
        <w:tab/>
      </w:r>
    </w:p>
    <w:p w14:paraId="7D4F3C34" w14:textId="77777777" w:rsidR="00B15696" w:rsidRDefault="00B15696" w:rsidP="00B23367">
      <w:pPr>
        <w:ind w:left="720"/>
        <w:rPr>
          <w:rFonts w:ascii="CAIXA Std Book" w:hAnsi="CAIXA Std Book"/>
          <w:color w:val="005CA9"/>
          <w:sz w:val="28"/>
          <w:szCs w:val="28"/>
        </w:rPr>
      </w:pPr>
    </w:p>
    <w:p w14:paraId="5B95D87E" w14:textId="77777777" w:rsidR="008912FE" w:rsidRDefault="008912FE" w:rsidP="00B23367">
      <w:pPr>
        <w:ind w:left="720"/>
        <w:rPr>
          <w:rFonts w:ascii="CAIXA Std Book" w:hAnsi="CAIXA Std Book"/>
          <w:color w:val="005CA9"/>
          <w:sz w:val="28"/>
          <w:szCs w:val="28"/>
        </w:rPr>
      </w:pPr>
    </w:p>
    <w:p w14:paraId="5E1E4D9A" w14:textId="77777777" w:rsidR="008912FE" w:rsidRDefault="008912FE" w:rsidP="00B23367">
      <w:pPr>
        <w:ind w:left="720"/>
        <w:rPr>
          <w:rFonts w:ascii="CAIXA Std Book" w:hAnsi="CAIXA Std Book"/>
          <w:color w:val="005CA9"/>
          <w:sz w:val="28"/>
          <w:szCs w:val="28"/>
        </w:rPr>
      </w:pPr>
    </w:p>
    <w:p w14:paraId="03BEC20F" w14:textId="77777777" w:rsidR="008912FE" w:rsidRDefault="008912FE" w:rsidP="00B23367">
      <w:pPr>
        <w:ind w:left="720"/>
        <w:rPr>
          <w:rFonts w:ascii="CAIXA Std Book" w:hAnsi="CAIXA Std Book"/>
          <w:color w:val="005CA9"/>
          <w:sz w:val="28"/>
          <w:szCs w:val="28"/>
        </w:rPr>
      </w:pPr>
    </w:p>
    <w:p w14:paraId="2A48A041" w14:textId="77777777" w:rsidR="008912FE" w:rsidRDefault="008912FE" w:rsidP="00B23367">
      <w:pPr>
        <w:ind w:left="720"/>
        <w:rPr>
          <w:rFonts w:ascii="CAIXA Std Book" w:hAnsi="CAIXA Std Book"/>
          <w:color w:val="005CA9"/>
          <w:sz w:val="28"/>
          <w:szCs w:val="28"/>
        </w:rPr>
      </w:pPr>
    </w:p>
    <w:p w14:paraId="7DFF6D84" w14:textId="77777777" w:rsidR="008912FE" w:rsidRDefault="008912FE" w:rsidP="00B23367">
      <w:pPr>
        <w:ind w:left="720"/>
        <w:rPr>
          <w:rFonts w:ascii="CAIXA Std Book" w:hAnsi="CAIXA Std Book"/>
          <w:color w:val="005CA9"/>
          <w:sz w:val="28"/>
          <w:szCs w:val="28"/>
        </w:rPr>
      </w:pPr>
    </w:p>
    <w:p w14:paraId="273292F8" w14:textId="77777777" w:rsidR="008912FE" w:rsidRDefault="008912FE" w:rsidP="00B23367">
      <w:pPr>
        <w:ind w:left="720"/>
        <w:rPr>
          <w:rFonts w:ascii="CAIXA Std Book" w:hAnsi="CAIXA Std Book"/>
          <w:color w:val="005CA9"/>
          <w:sz w:val="28"/>
          <w:szCs w:val="28"/>
        </w:rPr>
      </w:pPr>
    </w:p>
    <w:p w14:paraId="72B40259" w14:textId="77777777" w:rsidR="008912FE" w:rsidRDefault="008912FE" w:rsidP="00B23367">
      <w:pPr>
        <w:ind w:left="720"/>
        <w:rPr>
          <w:rFonts w:ascii="CAIXA Std Book" w:hAnsi="CAIXA Std Book"/>
          <w:color w:val="005CA9"/>
          <w:sz w:val="28"/>
          <w:szCs w:val="28"/>
        </w:rPr>
      </w:pPr>
    </w:p>
    <w:p w14:paraId="4D719E85" w14:textId="77777777" w:rsidR="008912FE" w:rsidRDefault="008912FE" w:rsidP="00B23367">
      <w:pPr>
        <w:ind w:left="720"/>
        <w:rPr>
          <w:rFonts w:ascii="CAIXA Std Book" w:hAnsi="CAIXA Std Book"/>
          <w:color w:val="005CA9"/>
          <w:sz w:val="28"/>
          <w:szCs w:val="28"/>
        </w:rPr>
      </w:pPr>
    </w:p>
    <w:p w14:paraId="68666518" w14:textId="77777777" w:rsidR="008912FE" w:rsidRDefault="008912FE" w:rsidP="00B23367">
      <w:pPr>
        <w:ind w:left="720"/>
        <w:rPr>
          <w:rFonts w:ascii="CAIXA Std Book" w:hAnsi="CAIXA Std Book"/>
          <w:color w:val="005CA9"/>
          <w:sz w:val="28"/>
          <w:szCs w:val="28"/>
        </w:rPr>
      </w:pPr>
    </w:p>
    <w:p w14:paraId="4FCC964A" w14:textId="77777777" w:rsidR="008912FE" w:rsidRDefault="008912FE" w:rsidP="00B23367">
      <w:pPr>
        <w:ind w:left="720"/>
        <w:rPr>
          <w:rFonts w:ascii="CAIXA Std Book" w:hAnsi="CAIXA Std Book"/>
          <w:color w:val="005CA9"/>
          <w:sz w:val="28"/>
          <w:szCs w:val="28"/>
        </w:rPr>
      </w:pPr>
    </w:p>
    <w:p w14:paraId="1D9DF816" w14:textId="77777777" w:rsidR="008912FE" w:rsidRDefault="008912FE" w:rsidP="00B23367">
      <w:pPr>
        <w:ind w:left="720"/>
        <w:rPr>
          <w:rFonts w:ascii="CAIXA Std Book" w:hAnsi="CAIXA Std Book"/>
          <w:color w:val="005CA9"/>
          <w:sz w:val="28"/>
          <w:szCs w:val="28"/>
        </w:rPr>
      </w:pPr>
    </w:p>
    <w:p w14:paraId="3CDBFABE" w14:textId="6EC92E7C" w:rsidR="008912FE" w:rsidRDefault="008912FE" w:rsidP="00B23367">
      <w:pPr>
        <w:ind w:left="720"/>
        <w:rPr>
          <w:rFonts w:ascii="CAIXA Std Book" w:hAnsi="CAIXA Std Book"/>
          <w:color w:val="005CA9"/>
          <w:sz w:val="28"/>
          <w:szCs w:val="28"/>
        </w:rPr>
      </w:pPr>
    </w:p>
    <w:p w14:paraId="52A8B851" w14:textId="37093F1D" w:rsidR="008912FE" w:rsidRDefault="008912FE" w:rsidP="00B23367">
      <w:pPr>
        <w:ind w:left="720"/>
        <w:rPr>
          <w:rFonts w:ascii="CAIXA Std Book" w:hAnsi="CAIXA Std Book"/>
          <w:color w:val="005CA9"/>
          <w:sz w:val="28"/>
          <w:szCs w:val="28"/>
        </w:rPr>
      </w:pPr>
    </w:p>
    <w:p w14:paraId="68E0CE2A" w14:textId="78C6FCF2" w:rsidR="008912FE" w:rsidRPr="00B04D8D" w:rsidRDefault="008912FE" w:rsidP="00B23367">
      <w:pPr>
        <w:ind w:left="720"/>
        <w:rPr>
          <w:rFonts w:ascii="CAIXA Std Book" w:hAnsi="CAIXA Std Book"/>
          <w:color w:val="005CA9"/>
          <w:sz w:val="28"/>
          <w:szCs w:val="28"/>
        </w:rPr>
      </w:pPr>
    </w:p>
    <w:p w14:paraId="35B1ABB6" w14:textId="470EE65C" w:rsidR="000126AE" w:rsidRPr="00B04D8D" w:rsidRDefault="00B23367">
      <w:pPr>
        <w:rPr>
          <w:rFonts w:ascii="CAIXA Std Book" w:hAnsi="CAIXA Std Book"/>
          <w:color w:val="005CA9"/>
        </w:rPr>
        <w:sectPr w:rsidR="000126AE" w:rsidRPr="00B04D8D" w:rsidSect="00E63E5A">
          <w:headerReference w:type="even" r:id="rId12"/>
          <w:headerReference w:type="default" r:id="rId13"/>
          <w:footerReference w:type="even" r:id="rId14"/>
          <w:footerReference w:type="default" r:id="rId15"/>
          <w:headerReference w:type="first" r:id="rId16"/>
          <w:footerReference w:type="first" r:id="rId17"/>
          <w:type w:val="nextColumn"/>
          <w:pgSz w:w="11907" w:h="16840" w:code="9"/>
          <w:pgMar w:top="1985" w:right="851" w:bottom="1418" w:left="1418" w:header="0" w:footer="0" w:gutter="0"/>
          <w:cols w:space="708"/>
          <w:titlePg/>
          <w:docGrid w:linePitch="360"/>
        </w:sectPr>
      </w:pPr>
      <w:r w:rsidRPr="00B04D8D">
        <w:rPr>
          <w:rFonts w:ascii="CAIXA Std Book" w:hAnsi="CAIXA Std Book"/>
          <w:color w:val="005CA9"/>
        </w:rPr>
        <w:br w:type="page"/>
      </w:r>
    </w:p>
    <w:p w14:paraId="24CC3AB4" w14:textId="77777777" w:rsidR="00BB1825" w:rsidRPr="005F2127" w:rsidRDefault="005F303D" w:rsidP="009D4C1E">
      <w:pPr>
        <w:tabs>
          <w:tab w:val="left" w:pos="3060"/>
          <w:tab w:val="right" w:pos="9639"/>
        </w:tabs>
        <w:rPr>
          <w:rFonts w:ascii="CAIXA Std Book" w:hAnsi="CAIXA Std Book"/>
          <w:b/>
          <w:bCs/>
          <w:color w:val="005CA9"/>
          <w:sz w:val="20"/>
          <w:szCs w:val="20"/>
        </w:rPr>
      </w:pPr>
      <w:bookmarkStart w:id="1" w:name="DemonstraçõesContábeis"/>
      <w:bookmarkStart w:id="2" w:name="_MON_1485066952"/>
      <w:bookmarkStart w:id="3" w:name="ÍndiceNotasExplicativas"/>
      <w:bookmarkEnd w:id="1"/>
      <w:bookmarkEnd w:id="2"/>
      <w:bookmarkEnd w:id="3"/>
      <w:r w:rsidRPr="006769A1">
        <w:rPr>
          <w:rFonts w:ascii="CAIXA Std Book" w:hAnsi="CAIXA Std Book"/>
          <w:b/>
          <w:bCs/>
          <w:color w:val="005CA9"/>
          <w:sz w:val="20"/>
          <w:szCs w:val="20"/>
        </w:rPr>
        <w:lastRenderedPageBreak/>
        <w:t>Í</w:t>
      </w:r>
      <w:r w:rsidRPr="005F2127">
        <w:rPr>
          <w:rFonts w:ascii="CAIXA Std Book" w:hAnsi="CAIXA Std Book"/>
          <w:b/>
          <w:bCs/>
          <w:color w:val="005CA9"/>
          <w:sz w:val="20"/>
          <w:szCs w:val="20"/>
        </w:rPr>
        <w:t>ndice</w:t>
      </w:r>
      <w:r w:rsidR="00BB1825" w:rsidRPr="005F2127">
        <w:rPr>
          <w:rFonts w:ascii="CAIXA Std Book" w:hAnsi="CAIXA Std Book"/>
          <w:b/>
          <w:bCs/>
          <w:color w:val="005CA9"/>
          <w:sz w:val="20"/>
          <w:szCs w:val="20"/>
        </w:rPr>
        <w:tab/>
      </w:r>
      <w:r w:rsidR="00BB1825" w:rsidRPr="005F2127">
        <w:rPr>
          <w:rFonts w:ascii="CAIXA Std Book" w:hAnsi="CAIXA Std Book"/>
          <w:b/>
          <w:bCs/>
          <w:color w:val="005CA9"/>
          <w:sz w:val="20"/>
          <w:szCs w:val="20"/>
        </w:rPr>
        <w:tab/>
        <w:t>Página</w:t>
      </w:r>
    </w:p>
    <w:p w14:paraId="49F4DB90" w14:textId="77777777" w:rsidR="00BB1825" w:rsidRPr="005F2127" w:rsidRDefault="00BB1825" w:rsidP="00BB1825">
      <w:pPr>
        <w:tabs>
          <w:tab w:val="left" w:pos="2835"/>
          <w:tab w:val="right" w:leader="dot" w:pos="9356"/>
        </w:tabs>
        <w:ind w:right="70"/>
        <w:rPr>
          <w:rFonts w:ascii="CAIXA Std Book" w:hAnsi="CAIXA Std Book"/>
          <w:color w:val="005CA9"/>
          <w:sz w:val="20"/>
          <w:szCs w:val="20"/>
        </w:rPr>
      </w:pPr>
    </w:p>
    <w:p w14:paraId="04A8F54E" w14:textId="77777777" w:rsidR="00522E1A" w:rsidRPr="005F2127" w:rsidRDefault="00522E1A" w:rsidP="00CE7FDD">
      <w:pPr>
        <w:pStyle w:val="Sumrio1"/>
        <w:rPr>
          <w:b/>
          <w:bCs/>
          <w:color w:val="005CA9"/>
        </w:rPr>
      </w:pPr>
      <w:r w:rsidRPr="005F2127">
        <w:rPr>
          <w:b/>
          <w:bCs/>
          <w:color w:val="005CA9"/>
        </w:rPr>
        <w:t>Demonstrações contábeis</w:t>
      </w:r>
    </w:p>
    <w:p w14:paraId="3FFE929A" w14:textId="77777777" w:rsidR="00AA6594" w:rsidRPr="005F2127" w:rsidRDefault="00AA6594" w:rsidP="00AA6594">
      <w:pPr>
        <w:rPr>
          <w:color w:val="005CA9"/>
        </w:rPr>
      </w:pPr>
    </w:p>
    <w:p w14:paraId="01C8C464" w14:textId="1112AAA2" w:rsidR="008D6754" w:rsidRPr="005F2127" w:rsidRDefault="008F3ACF">
      <w:pPr>
        <w:pStyle w:val="Sumrio1"/>
        <w:rPr>
          <w:rFonts w:asciiTheme="minorHAnsi" w:eastAsiaTheme="minorEastAsia" w:hAnsiTheme="minorHAnsi" w:cstheme="minorBidi"/>
          <w:color w:val="005CA9"/>
          <w:kern w:val="2"/>
          <w:sz w:val="24"/>
          <w:szCs w:val="24"/>
          <w14:ligatures w14:val="standardContextual"/>
        </w:rPr>
      </w:pPr>
      <w:r w:rsidRPr="005F2127">
        <w:rPr>
          <w:rFonts w:cs="Arial"/>
          <w:color w:val="005CA9"/>
          <w:sz w:val="18"/>
          <w:szCs w:val="18"/>
        </w:rPr>
        <w:fldChar w:fldCharType="begin"/>
      </w:r>
      <w:r w:rsidRPr="005F2127">
        <w:rPr>
          <w:rFonts w:cs="Arial"/>
          <w:color w:val="005CA9"/>
          <w:sz w:val="18"/>
          <w:szCs w:val="18"/>
        </w:rPr>
        <w:instrText xml:space="preserve"> TOC \o "1-1" \h \z \u </w:instrText>
      </w:r>
      <w:r w:rsidRPr="005F2127">
        <w:rPr>
          <w:rFonts w:cs="Arial"/>
          <w:color w:val="005CA9"/>
          <w:sz w:val="18"/>
          <w:szCs w:val="18"/>
        </w:rPr>
        <w:fldChar w:fldCharType="separate"/>
      </w:r>
      <w:hyperlink w:anchor="_Toc229588457" w:history="1">
        <w:r w:rsidR="008D6754" w:rsidRPr="005F2127">
          <w:rPr>
            <w:rStyle w:val="Hyperlink"/>
            <w:color w:val="005CA9"/>
          </w:rPr>
          <w:t>Balanços patrimoniais intermediários condensados</w:t>
        </w:r>
        <w:r w:rsidR="008D6754" w:rsidRPr="005F2127">
          <w:rPr>
            <w:webHidden/>
            <w:color w:val="005CA9"/>
          </w:rPr>
          <w:tab/>
        </w:r>
        <w:r w:rsidR="008D6754" w:rsidRPr="005F2127">
          <w:rPr>
            <w:webHidden/>
            <w:color w:val="005CA9"/>
          </w:rPr>
          <w:fldChar w:fldCharType="begin"/>
        </w:r>
        <w:r w:rsidR="008D6754" w:rsidRPr="005F2127">
          <w:rPr>
            <w:webHidden/>
            <w:color w:val="005CA9"/>
          </w:rPr>
          <w:instrText xml:space="preserve"> PAGEREF _Toc229588457 \h </w:instrText>
        </w:r>
        <w:r w:rsidR="008D6754" w:rsidRPr="005F2127">
          <w:rPr>
            <w:webHidden/>
            <w:color w:val="005CA9"/>
          </w:rPr>
        </w:r>
        <w:r w:rsidR="008D6754" w:rsidRPr="005F2127">
          <w:rPr>
            <w:webHidden/>
            <w:color w:val="005CA9"/>
          </w:rPr>
          <w:fldChar w:fldCharType="separate"/>
        </w:r>
        <w:r w:rsidR="002032F1" w:rsidRPr="005F2127">
          <w:rPr>
            <w:webHidden/>
            <w:color w:val="005CA9"/>
          </w:rPr>
          <w:t>4</w:t>
        </w:r>
        <w:r w:rsidR="008D6754" w:rsidRPr="005F2127">
          <w:rPr>
            <w:webHidden/>
            <w:color w:val="005CA9"/>
          </w:rPr>
          <w:fldChar w:fldCharType="end"/>
        </w:r>
      </w:hyperlink>
    </w:p>
    <w:p w14:paraId="0E22E11C" w14:textId="7985EE6C"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58" w:history="1">
        <w:r w:rsidRPr="005F2127">
          <w:rPr>
            <w:rStyle w:val="Hyperlink"/>
            <w:color w:val="005CA9"/>
          </w:rPr>
          <w:t>Demonstrações intermediárias condensadas do resultado</w:t>
        </w:r>
        <w:r w:rsidRPr="005F2127">
          <w:rPr>
            <w:webHidden/>
            <w:color w:val="005CA9"/>
          </w:rPr>
          <w:tab/>
        </w:r>
        <w:r w:rsidRPr="005F2127">
          <w:rPr>
            <w:webHidden/>
            <w:color w:val="005CA9"/>
          </w:rPr>
          <w:fldChar w:fldCharType="begin"/>
        </w:r>
        <w:r w:rsidRPr="005F2127">
          <w:rPr>
            <w:webHidden/>
            <w:color w:val="005CA9"/>
          </w:rPr>
          <w:instrText xml:space="preserve"> PAGEREF _Toc229588458 \h </w:instrText>
        </w:r>
        <w:r w:rsidRPr="005F2127">
          <w:rPr>
            <w:webHidden/>
            <w:color w:val="005CA9"/>
          </w:rPr>
        </w:r>
        <w:r w:rsidRPr="005F2127">
          <w:rPr>
            <w:webHidden/>
            <w:color w:val="005CA9"/>
          </w:rPr>
          <w:fldChar w:fldCharType="separate"/>
        </w:r>
        <w:r w:rsidR="002032F1" w:rsidRPr="005F2127">
          <w:rPr>
            <w:webHidden/>
            <w:color w:val="005CA9"/>
          </w:rPr>
          <w:t>5</w:t>
        </w:r>
        <w:r w:rsidRPr="005F2127">
          <w:rPr>
            <w:webHidden/>
            <w:color w:val="005CA9"/>
          </w:rPr>
          <w:fldChar w:fldCharType="end"/>
        </w:r>
      </w:hyperlink>
    </w:p>
    <w:p w14:paraId="6B22AC2A" w14:textId="2353B0AF"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59" w:history="1">
        <w:r w:rsidRPr="005F2127">
          <w:rPr>
            <w:rStyle w:val="Hyperlink"/>
            <w:color w:val="005CA9"/>
          </w:rPr>
          <w:t>Demonstrações intermediárias condensadas do resultado abrangente</w:t>
        </w:r>
        <w:r w:rsidRPr="005F2127">
          <w:rPr>
            <w:webHidden/>
            <w:color w:val="005CA9"/>
          </w:rPr>
          <w:tab/>
        </w:r>
        <w:r w:rsidRPr="005F2127">
          <w:rPr>
            <w:webHidden/>
            <w:color w:val="005CA9"/>
          </w:rPr>
          <w:fldChar w:fldCharType="begin"/>
        </w:r>
        <w:r w:rsidRPr="005F2127">
          <w:rPr>
            <w:webHidden/>
            <w:color w:val="005CA9"/>
          </w:rPr>
          <w:instrText xml:space="preserve"> PAGEREF _Toc229588459 \h </w:instrText>
        </w:r>
        <w:r w:rsidRPr="005F2127">
          <w:rPr>
            <w:webHidden/>
            <w:color w:val="005CA9"/>
          </w:rPr>
        </w:r>
        <w:r w:rsidRPr="005F2127">
          <w:rPr>
            <w:webHidden/>
            <w:color w:val="005CA9"/>
          </w:rPr>
          <w:fldChar w:fldCharType="separate"/>
        </w:r>
        <w:r w:rsidR="002032F1" w:rsidRPr="005F2127">
          <w:rPr>
            <w:webHidden/>
            <w:color w:val="005CA9"/>
          </w:rPr>
          <w:t>6</w:t>
        </w:r>
        <w:r w:rsidRPr="005F2127">
          <w:rPr>
            <w:webHidden/>
            <w:color w:val="005CA9"/>
          </w:rPr>
          <w:fldChar w:fldCharType="end"/>
        </w:r>
      </w:hyperlink>
    </w:p>
    <w:p w14:paraId="2C33B28F" w14:textId="15A42649"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60" w:history="1">
        <w:r w:rsidRPr="005F2127">
          <w:rPr>
            <w:rStyle w:val="Hyperlink"/>
            <w:color w:val="005CA9"/>
          </w:rPr>
          <w:t>Demonstrações intermediárias condensadas das mutações do patrimônio líquido</w:t>
        </w:r>
        <w:r w:rsidRPr="005F2127">
          <w:rPr>
            <w:webHidden/>
            <w:color w:val="005CA9"/>
          </w:rPr>
          <w:tab/>
        </w:r>
        <w:r w:rsidRPr="005F2127">
          <w:rPr>
            <w:webHidden/>
            <w:color w:val="005CA9"/>
          </w:rPr>
          <w:fldChar w:fldCharType="begin"/>
        </w:r>
        <w:r w:rsidRPr="005F2127">
          <w:rPr>
            <w:webHidden/>
            <w:color w:val="005CA9"/>
          </w:rPr>
          <w:instrText xml:space="preserve"> PAGEREF _Toc229588460 \h </w:instrText>
        </w:r>
        <w:r w:rsidRPr="005F2127">
          <w:rPr>
            <w:webHidden/>
            <w:color w:val="005CA9"/>
          </w:rPr>
        </w:r>
        <w:r w:rsidRPr="005F2127">
          <w:rPr>
            <w:webHidden/>
            <w:color w:val="005CA9"/>
          </w:rPr>
          <w:fldChar w:fldCharType="separate"/>
        </w:r>
        <w:r w:rsidR="002032F1" w:rsidRPr="005F2127">
          <w:rPr>
            <w:webHidden/>
            <w:color w:val="005CA9"/>
          </w:rPr>
          <w:t>7</w:t>
        </w:r>
        <w:r w:rsidRPr="005F2127">
          <w:rPr>
            <w:webHidden/>
            <w:color w:val="005CA9"/>
          </w:rPr>
          <w:fldChar w:fldCharType="end"/>
        </w:r>
      </w:hyperlink>
    </w:p>
    <w:p w14:paraId="5655CF9F" w14:textId="7D60F001"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61" w:history="1">
        <w:r w:rsidRPr="005F2127">
          <w:rPr>
            <w:rStyle w:val="Hyperlink"/>
            <w:color w:val="005CA9"/>
          </w:rPr>
          <w:t>Demonstrações intermediárias condensadas dos fluxos de caixa</w:t>
        </w:r>
        <w:r w:rsidRPr="005F2127">
          <w:rPr>
            <w:webHidden/>
            <w:color w:val="005CA9"/>
          </w:rPr>
          <w:tab/>
        </w:r>
        <w:r w:rsidRPr="005F2127">
          <w:rPr>
            <w:webHidden/>
            <w:color w:val="005CA9"/>
          </w:rPr>
          <w:fldChar w:fldCharType="begin"/>
        </w:r>
        <w:r w:rsidRPr="005F2127">
          <w:rPr>
            <w:webHidden/>
            <w:color w:val="005CA9"/>
          </w:rPr>
          <w:instrText xml:space="preserve"> PAGEREF _Toc229588461 \h </w:instrText>
        </w:r>
        <w:r w:rsidRPr="005F2127">
          <w:rPr>
            <w:webHidden/>
            <w:color w:val="005CA9"/>
          </w:rPr>
        </w:r>
        <w:r w:rsidRPr="005F2127">
          <w:rPr>
            <w:webHidden/>
            <w:color w:val="005CA9"/>
          </w:rPr>
          <w:fldChar w:fldCharType="separate"/>
        </w:r>
        <w:r w:rsidR="002032F1" w:rsidRPr="005F2127">
          <w:rPr>
            <w:webHidden/>
            <w:color w:val="005CA9"/>
          </w:rPr>
          <w:t>9</w:t>
        </w:r>
        <w:r w:rsidRPr="005F2127">
          <w:rPr>
            <w:webHidden/>
            <w:color w:val="005CA9"/>
          </w:rPr>
          <w:fldChar w:fldCharType="end"/>
        </w:r>
      </w:hyperlink>
    </w:p>
    <w:p w14:paraId="350ADF07" w14:textId="7275860B" w:rsidR="008D6754" w:rsidRPr="005F2127" w:rsidRDefault="008D6754">
      <w:pPr>
        <w:pStyle w:val="Sumrio1"/>
        <w:rPr>
          <w:rStyle w:val="Hyperlink"/>
          <w:color w:val="005CA9"/>
        </w:rPr>
      </w:pPr>
      <w:hyperlink w:anchor="_Toc229588462" w:history="1">
        <w:r w:rsidRPr="005F2127">
          <w:rPr>
            <w:rStyle w:val="Hyperlink"/>
            <w:color w:val="005CA9"/>
          </w:rPr>
          <w:t>Demonstrações intermediárias condensadas do valor adicionado</w:t>
        </w:r>
        <w:r w:rsidRPr="005F2127">
          <w:rPr>
            <w:webHidden/>
            <w:color w:val="005CA9"/>
          </w:rPr>
          <w:tab/>
        </w:r>
        <w:r w:rsidRPr="005F2127">
          <w:rPr>
            <w:webHidden/>
            <w:color w:val="005CA9"/>
          </w:rPr>
          <w:fldChar w:fldCharType="begin"/>
        </w:r>
        <w:r w:rsidRPr="005F2127">
          <w:rPr>
            <w:webHidden/>
            <w:color w:val="005CA9"/>
          </w:rPr>
          <w:instrText xml:space="preserve"> PAGEREF _Toc229588462 \h </w:instrText>
        </w:r>
        <w:r w:rsidRPr="005F2127">
          <w:rPr>
            <w:webHidden/>
            <w:color w:val="005CA9"/>
          </w:rPr>
        </w:r>
        <w:r w:rsidRPr="005F2127">
          <w:rPr>
            <w:webHidden/>
            <w:color w:val="005CA9"/>
          </w:rPr>
          <w:fldChar w:fldCharType="separate"/>
        </w:r>
        <w:r w:rsidR="002032F1" w:rsidRPr="005F2127">
          <w:rPr>
            <w:webHidden/>
            <w:color w:val="005CA9"/>
          </w:rPr>
          <w:t>10</w:t>
        </w:r>
        <w:r w:rsidRPr="005F2127">
          <w:rPr>
            <w:webHidden/>
            <w:color w:val="005CA9"/>
          </w:rPr>
          <w:fldChar w:fldCharType="end"/>
        </w:r>
      </w:hyperlink>
    </w:p>
    <w:p w14:paraId="637E20FA" w14:textId="77777777" w:rsidR="002032F1" w:rsidRPr="005F2127" w:rsidRDefault="002032F1" w:rsidP="002032F1">
      <w:pPr>
        <w:rPr>
          <w:color w:val="005CA9"/>
        </w:rPr>
      </w:pPr>
    </w:p>
    <w:p w14:paraId="7D1AE854" w14:textId="33D54D2D"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63" w:history="1">
        <w:r w:rsidRPr="005F2127">
          <w:rPr>
            <w:rStyle w:val="Hyperlink"/>
            <w:color w:val="005CA9"/>
          </w:rPr>
          <w:t>Nota   1 – Contexto operacional</w:t>
        </w:r>
        <w:r w:rsidRPr="005F2127">
          <w:rPr>
            <w:webHidden/>
            <w:color w:val="005CA9"/>
          </w:rPr>
          <w:tab/>
        </w:r>
        <w:r w:rsidRPr="005F2127">
          <w:rPr>
            <w:webHidden/>
            <w:color w:val="005CA9"/>
          </w:rPr>
          <w:fldChar w:fldCharType="begin"/>
        </w:r>
        <w:r w:rsidRPr="005F2127">
          <w:rPr>
            <w:webHidden/>
            <w:color w:val="005CA9"/>
          </w:rPr>
          <w:instrText xml:space="preserve"> PAGEREF _Toc229588463 \h </w:instrText>
        </w:r>
        <w:r w:rsidRPr="005F2127">
          <w:rPr>
            <w:webHidden/>
            <w:color w:val="005CA9"/>
          </w:rPr>
        </w:r>
        <w:r w:rsidRPr="005F2127">
          <w:rPr>
            <w:webHidden/>
            <w:color w:val="005CA9"/>
          </w:rPr>
          <w:fldChar w:fldCharType="separate"/>
        </w:r>
        <w:r w:rsidR="002032F1" w:rsidRPr="005F2127">
          <w:rPr>
            <w:webHidden/>
            <w:color w:val="005CA9"/>
          </w:rPr>
          <w:t>11</w:t>
        </w:r>
        <w:r w:rsidRPr="005F2127">
          <w:rPr>
            <w:webHidden/>
            <w:color w:val="005CA9"/>
          </w:rPr>
          <w:fldChar w:fldCharType="end"/>
        </w:r>
      </w:hyperlink>
    </w:p>
    <w:p w14:paraId="0C4FE816" w14:textId="76996CB0"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64" w:history="1">
        <w:r w:rsidRPr="005F2127">
          <w:rPr>
            <w:rStyle w:val="Hyperlink"/>
            <w:color w:val="005CA9"/>
          </w:rPr>
          <w:t>Nota   2 – Apresentação das demonstrações contábeis</w:t>
        </w:r>
        <w:r w:rsidRPr="005F2127">
          <w:rPr>
            <w:webHidden/>
            <w:color w:val="005CA9"/>
          </w:rPr>
          <w:tab/>
        </w:r>
        <w:r w:rsidRPr="005F2127">
          <w:rPr>
            <w:webHidden/>
            <w:color w:val="005CA9"/>
          </w:rPr>
          <w:fldChar w:fldCharType="begin"/>
        </w:r>
        <w:r w:rsidRPr="005F2127">
          <w:rPr>
            <w:webHidden/>
            <w:color w:val="005CA9"/>
          </w:rPr>
          <w:instrText xml:space="preserve"> PAGEREF _Toc229588464 \h </w:instrText>
        </w:r>
        <w:r w:rsidRPr="005F2127">
          <w:rPr>
            <w:webHidden/>
            <w:color w:val="005CA9"/>
          </w:rPr>
        </w:r>
        <w:r w:rsidRPr="005F2127">
          <w:rPr>
            <w:webHidden/>
            <w:color w:val="005CA9"/>
          </w:rPr>
          <w:fldChar w:fldCharType="separate"/>
        </w:r>
        <w:r w:rsidR="002032F1" w:rsidRPr="005F2127">
          <w:rPr>
            <w:webHidden/>
            <w:color w:val="005CA9"/>
          </w:rPr>
          <w:t>11</w:t>
        </w:r>
        <w:r w:rsidRPr="005F2127">
          <w:rPr>
            <w:webHidden/>
            <w:color w:val="005CA9"/>
          </w:rPr>
          <w:fldChar w:fldCharType="end"/>
        </w:r>
      </w:hyperlink>
    </w:p>
    <w:p w14:paraId="70875A59" w14:textId="464254BA"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65" w:history="1">
        <w:r w:rsidRPr="005F2127">
          <w:rPr>
            <w:rStyle w:val="Hyperlink"/>
            <w:color w:val="005CA9"/>
          </w:rPr>
          <w:t>Nota   3 – Principais políticas contábeis</w:t>
        </w:r>
        <w:r w:rsidRPr="005F2127">
          <w:rPr>
            <w:webHidden/>
            <w:color w:val="005CA9"/>
          </w:rPr>
          <w:tab/>
        </w:r>
        <w:r w:rsidRPr="005F2127">
          <w:rPr>
            <w:webHidden/>
            <w:color w:val="005CA9"/>
          </w:rPr>
          <w:fldChar w:fldCharType="begin"/>
        </w:r>
        <w:r w:rsidRPr="005F2127">
          <w:rPr>
            <w:webHidden/>
            <w:color w:val="005CA9"/>
          </w:rPr>
          <w:instrText xml:space="preserve"> PAGEREF _Toc229588465 \h </w:instrText>
        </w:r>
        <w:r w:rsidRPr="005F2127">
          <w:rPr>
            <w:webHidden/>
            <w:color w:val="005CA9"/>
          </w:rPr>
        </w:r>
        <w:r w:rsidRPr="005F2127">
          <w:rPr>
            <w:webHidden/>
            <w:color w:val="005CA9"/>
          </w:rPr>
          <w:fldChar w:fldCharType="separate"/>
        </w:r>
        <w:r w:rsidR="002032F1" w:rsidRPr="005F2127">
          <w:rPr>
            <w:webHidden/>
            <w:color w:val="005CA9"/>
          </w:rPr>
          <w:t>14</w:t>
        </w:r>
        <w:r w:rsidRPr="005F2127">
          <w:rPr>
            <w:webHidden/>
            <w:color w:val="005CA9"/>
          </w:rPr>
          <w:fldChar w:fldCharType="end"/>
        </w:r>
      </w:hyperlink>
    </w:p>
    <w:p w14:paraId="13A1F7AE" w14:textId="5202BBFD"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66" w:history="1">
        <w:r w:rsidRPr="005F2127">
          <w:rPr>
            <w:rStyle w:val="Hyperlink"/>
            <w:color w:val="005CA9"/>
          </w:rPr>
          <w:t>Nota   4 - Julgamentos e estimativas relevantes</w:t>
        </w:r>
        <w:r w:rsidRPr="005F2127">
          <w:rPr>
            <w:webHidden/>
            <w:color w:val="005CA9"/>
          </w:rPr>
          <w:tab/>
        </w:r>
        <w:r w:rsidRPr="005F2127">
          <w:rPr>
            <w:webHidden/>
            <w:color w:val="005CA9"/>
          </w:rPr>
          <w:fldChar w:fldCharType="begin"/>
        </w:r>
        <w:r w:rsidRPr="005F2127">
          <w:rPr>
            <w:webHidden/>
            <w:color w:val="005CA9"/>
          </w:rPr>
          <w:instrText xml:space="preserve"> PAGEREF _Toc229588466 \h </w:instrText>
        </w:r>
        <w:r w:rsidRPr="005F2127">
          <w:rPr>
            <w:webHidden/>
            <w:color w:val="005CA9"/>
          </w:rPr>
        </w:r>
        <w:r w:rsidRPr="005F2127">
          <w:rPr>
            <w:webHidden/>
            <w:color w:val="005CA9"/>
          </w:rPr>
          <w:fldChar w:fldCharType="separate"/>
        </w:r>
        <w:r w:rsidR="002032F1" w:rsidRPr="005F2127">
          <w:rPr>
            <w:webHidden/>
            <w:color w:val="005CA9"/>
          </w:rPr>
          <w:t>17</w:t>
        </w:r>
        <w:r w:rsidRPr="005F2127">
          <w:rPr>
            <w:webHidden/>
            <w:color w:val="005CA9"/>
          </w:rPr>
          <w:fldChar w:fldCharType="end"/>
        </w:r>
      </w:hyperlink>
    </w:p>
    <w:p w14:paraId="47A77EB0" w14:textId="7469AE47"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67" w:history="1">
        <w:r w:rsidRPr="005F2127">
          <w:rPr>
            <w:rStyle w:val="Hyperlink"/>
            <w:color w:val="005CA9"/>
          </w:rPr>
          <w:t>Nota   5 – Caixa e equivalente de caixa</w:t>
        </w:r>
        <w:r w:rsidRPr="005F2127">
          <w:rPr>
            <w:webHidden/>
            <w:color w:val="005CA9"/>
          </w:rPr>
          <w:tab/>
        </w:r>
        <w:r w:rsidRPr="005F2127">
          <w:rPr>
            <w:webHidden/>
            <w:color w:val="005CA9"/>
          </w:rPr>
          <w:fldChar w:fldCharType="begin"/>
        </w:r>
        <w:r w:rsidRPr="005F2127">
          <w:rPr>
            <w:webHidden/>
            <w:color w:val="005CA9"/>
          </w:rPr>
          <w:instrText xml:space="preserve"> PAGEREF _Toc229588467 \h </w:instrText>
        </w:r>
        <w:r w:rsidRPr="005F2127">
          <w:rPr>
            <w:webHidden/>
            <w:color w:val="005CA9"/>
          </w:rPr>
        </w:r>
        <w:r w:rsidRPr="005F2127">
          <w:rPr>
            <w:webHidden/>
            <w:color w:val="005CA9"/>
          </w:rPr>
          <w:fldChar w:fldCharType="separate"/>
        </w:r>
        <w:r w:rsidR="002032F1" w:rsidRPr="005F2127">
          <w:rPr>
            <w:webHidden/>
            <w:color w:val="005CA9"/>
          </w:rPr>
          <w:t>17</w:t>
        </w:r>
        <w:r w:rsidRPr="005F2127">
          <w:rPr>
            <w:webHidden/>
            <w:color w:val="005CA9"/>
          </w:rPr>
          <w:fldChar w:fldCharType="end"/>
        </w:r>
      </w:hyperlink>
    </w:p>
    <w:p w14:paraId="7FB413C7" w14:textId="33EF1770"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68" w:history="1">
        <w:r w:rsidRPr="005F2127">
          <w:rPr>
            <w:rStyle w:val="Hyperlink"/>
            <w:color w:val="005CA9"/>
          </w:rPr>
          <w:t>Nota   6 – Ativos financeiros ao valor justo por meio do resultado</w:t>
        </w:r>
        <w:r w:rsidRPr="005F2127">
          <w:rPr>
            <w:webHidden/>
            <w:color w:val="005CA9"/>
          </w:rPr>
          <w:tab/>
        </w:r>
        <w:r w:rsidRPr="005F2127">
          <w:rPr>
            <w:webHidden/>
            <w:color w:val="005CA9"/>
          </w:rPr>
          <w:fldChar w:fldCharType="begin"/>
        </w:r>
        <w:r w:rsidRPr="005F2127">
          <w:rPr>
            <w:webHidden/>
            <w:color w:val="005CA9"/>
          </w:rPr>
          <w:instrText xml:space="preserve"> PAGEREF _Toc229588468 \h </w:instrText>
        </w:r>
        <w:r w:rsidRPr="005F2127">
          <w:rPr>
            <w:webHidden/>
            <w:color w:val="005CA9"/>
          </w:rPr>
        </w:r>
        <w:r w:rsidRPr="005F2127">
          <w:rPr>
            <w:webHidden/>
            <w:color w:val="005CA9"/>
          </w:rPr>
          <w:fldChar w:fldCharType="separate"/>
        </w:r>
        <w:r w:rsidR="002032F1" w:rsidRPr="005F2127">
          <w:rPr>
            <w:webHidden/>
            <w:color w:val="005CA9"/>
          </w:rPr>
          <w:t>18</w:t>
        </w:r>
        <w:r w:rsidRPr="005F2127">
          <w:rPr>
            <w:webHidden/>
            <w:color w:val="005CA9"/>
          </w:rPr>
          <w:fldChar w:fldCharType="end"/>
        </w:r>
      </w:hyperlink>
    </w:p>
    <w:p w14:paraId="3A67C46F" w14:textId="4A3588CC"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69" w:history="1">
        <w:r w:rsidRPr="005F2127">
          <w:rPr>
            <w:rStyle w:val="Hyperlink"/>
            <w:color w:val="005CA9"/>
          </w:rPr>
          <w:t>Nota   6.1 – Títulos e valores mobiliários ao valor justo por meio de resultado</w:t>
        </w:r>
        <w:r w:rsidRPr="005F2127">
          <w:rPr>
            <w:webHidden/>
            <w:color w:val="005CA9"/>
          </w:rPr>
          <w:tab/>
        </w:r>
        <w:r w:rsidRPr="005F2127">
          <w:rPr>
            <w:webHidden/>
            <w:color w:val="005CA9"/>
          </w:rPr>
          <w:fldChar w:fldCharType="begin"/>
        </w:r>
        <w:r w:rsidRPr="005F2127">
          <w:rPr>
            <w:webHidden/>
            <w:color w:val="005CA9"/>
          </w:rPr>
          <w:instrText xml:space="preserve"> PAGEREF _Toc229588469 \h </w:instrText>
        </w:r>
        <w:r w:rsidRPr="005F2127">
          <w:rPr>
            <w:webHidden/>
            <w:color w:val="005CA9"/>
          </w:rPr>
        </w:r>
        <w:r w:rsidRPr="005F2127">
          <w:rPr>
            <w:webHidden/>
            <w:color w:val="005CA9"/>
          </w:rPr>
          <w:fldChar w:fldCharType="separate"/>
        </w:r>
        <w:r w:rsidR="002032F1" w:rsidRPr="005F2127">
          <w:rPr>
            <w:webHidden/>
            <w:color w:val="005CA9"/>
          </w:rPr>
          <w:t>18</w:t>
        </w:r>
        <w:r w:rsidRPr="005F2127">
          <w:rPr>
            <w:webHidden/>
            <w:color w:val="005CA9"/>
          </w:rPr>
          <w:fldChar w:fldCharType="end"/>
        </w:r>
      </w:hyperlink>
    </w:p>
    <w:p w14:paraId="39E7BC01" w14:textId="2FB5C704"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70" w:history="1">
        <w:r w:rsidRPr="005F2127">
          <w:rPr>
            <w:rStyle w:val="Hyperlink"/>
            <w:color w:val="005CA9"/>
          </w:rPr>
          <w:t>Nota   6.2 – Derivativos</w:t>
        </w:r>
        <w:r w:rsidRPr="005F2127">
          <w:rPr>
            <w:webHidden/>
            <w:color w:val="005CA9"/>
          </w:rPr>
          <w:tab/>
        </w:r>
        <w:r w:rsidRPr="005F2127">
          <w:rPr>
            <w:webHidden/>
            <w:color w:val="005CA9"/>
          </w:rPr>
          <w:fldChar w:fldCharType="begin"/>
        </w:r>
        <w:r w:rsidRPr="005F2127">
          <w:rPr>
            <w:webHidden/>
            <w:color w:val="005CA9"/>
          </w:rPr>
          <w:instrText xml:space="preserve"> PAGEREF _Toc229588470 \h </w:instrText>
        </w:r>
        <w:r w:rsidRPr="005F2127">
          <w:rPr>
            <w:webHidden/>
            <w:color w:val="005CA9"/>
          </w:rPr>
        </w:r>
        <w:r w:rsidRPr="005F2127">
          <w:rPr>
            <w:webHidden/>
            <w:color w:val="005CA9"/>
          </w:rPr>
          <w:fldChar w:fldCharType="separate"/>
        </w:r>
        <w:r w:rsidR="002032F1" w:rsidRPr="005F2127">
          <w:rPr>
            <w:webHidden/>
            <w:color w:val="005CA9"/>
          </w:rPr>
          <w:t>22</w:t>
        </w:r>
        <w:r w:rsidRPr="005F2127">
          <w:rPr>
            <w:webHidden/>
            <w:color w:val="005CA9"/>
          </w:rPr>
          <w:fldChar w:fldCharType="end"/>
        </w:r>
      </w:hyperlink>
    </w:p>
    <w:p w14:paraId="0A243880" w14:textId="0F74FA26"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71" w:history="1">
        <w:r w:rsidRPr="005F2127">
          <w:rPr>
            <w:rStyle w:val="Hyperlink"/>
            <w:color w:val="005CA9"/>
          </w:rPr>
          <w:t>Nota   6.3 – Outros ativos financeiros ao valor justo por meio resultado</w:t>
        </w:r>
        <w:r w:rsidRPr="005F2127">
          <w:rPr>
            <w:webHidden/>
            <w:color w:val="005CA9"/>
          </w:rPr>
          <w:tab/>
        </w:r>
        <w:r w:rsidRPr="005F2127">
          <w:rPr>
            <w:webHidden/>
            <w:color w:val="005CA9"/>
          </w:rPr>
          <w:fldChar w:fldCharType="begin"/>
        </w:r>
        <w:r w:rsidRPr="005F2127">
          <w:rPr>
            <w:webHidden/>
            <w:color w:val="005CA9"/>
          </w:rPr>
          <w:instrText xml:space="preserve"> PAGEREF _Toc229588471 \h </w:instrText>
        </w:r>
        <w:r w:rsidRPr="005F2127">
          <w:rPr>
            <w:webHidden/>
            <w:color w:val="005CA9"/>
          </w:rPr>
        </w:r>
        <w:r w:rsidRPr="005F2127">
          <w:rPr>
            <w:webHidden/>
            <w:color w:val="005CA9"/>
          </w:rPr>
          <w:fldChar w:fldCharType="separate"/>
        </w:r>
        <w:r w:rsidR="002032F1" w:rsidRPr="005F2127">
          <w:rPr>
            <w:webHidden/>
            <w:color w:val="005CA9"/>
          </w:rPr>
          <w:t>28</w:t>
        </w:r>
        <w:r w:rsidRPr="005F2127">
          <w:rPr>
            <w:webHidden/>
            <w:color w:val="005CA9"/>
          </w:rPr>
          <w:fldChar w:fldCharType="end"/>
        </w:r>
      </w:hyperlink>
    </w:p>
    <w:p w14:paraId="2A983A94" w14:textId="3475F111"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72" w:history="1">
        <w:r w:rsidRPr="005F2127">
          <w:rPr>
            <w:rStyle w:val="Hyperlink"/>
            <w:color w:val="005CA9"/>
          </w:rPr>
          <w:t>Nota   7 – Ativos financeiros ao valor justo por meio de outros resultados abrangentes</w:t>
        </w:r>
        <w:r w:rsidRPr="005F2127">
          <w:rPr>
            <w:webHidden/>
            <w:color w:val="005CA9"/>
          </w:rPr>
          <w:tab/>
        </w:r>
        <w:r w:rsidRPr="005F2127">
          <w:rPr>
            <w:webHidden/>
            <w:color w:val="005CA9"/>
          </w:rPr>
          <w:fldChar w:fldCharType="begin"/>
        </w:r>
        <w:r w:rsidRPr="005F2127">
          <w:rPr>
            <w:webHidden/>
            <w:color w:val="005CA9"/>
          </w:rPr>
          <w:instrText xml:space="preserve"> PAGEREF _Toc229588472 \h </w:instrText>
        </w:r>
        <w:r w:rsidRPr="005F2127">
          <w:rPr>
            <w:webHidden/>
            <w:color w:val="005CA9"/>
          </w:rPr>
        </w:r>
        <w:r w:rsidRPr="005F2127">
          <w:rPr>
            <w:webHidden/>
            <w:color w:val="005CA9"/>
          </w:rPr>
          <w:fldChar w:fldCharType="separate"/>
        </w:r>
        <w:r w:rsidR="002032F1" w:rsidRPr="005F2127">
          <w:rPr>
            <w:webHidden/>
            <w:color w:val="005CA9"/>
          </w:rPr>
          <w:t>28</w:t>
        </w:r>
        <w:r w:rsidRPr="005F2127">
          <w:rPr>
            <w:webHidden/>
            <w:color w:val="005CA9"/>
          </w:rPr>
          <w:fldChar w:fldCharType="end"/>
        </w:r>
      </w:hyperlink>
    </w:p>
    <w:p w14:paraId="2D0BFC76" w14:textId="49230B37"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73" w:history="1">
        <w:r w:rsidRPr="005F2127">
          <w:rPr>
            <w:rStyle w:val="Hyperlink"/>
            <w:color w:val="005CA9"/>
          </w:rPr>
          <w:t>Nota   7.1 – Aplicações interfinanceiras de liquidez - operações compromissadas</w:t>
        </w:r>
        <w:r w:rsidRPr="005F2127">
          <w:rPr>
            <w:webHidden/>
            <w:color w:val="005CA9"/>
          </w:rPr>
          <w:tab/>
        </w:r>
        <w:r w:rsidRPr="005F2127">
          <w:rPr>
            <w:webHidden/>
            <w:color w:val="005CA9"/>
          </w:rPr>
          <w:fldChar w:fldCharType="begin"/>
        </w:r>
        <w:r w:rsidRPr="005F2127">
          <w:rPr>
            <w:webHidden/>
            <w:color w:val="005CA9"/>
          </w:rPr>
          <w:instrText xml:space="preserve"> PAGEREF _Toc229588473 \h </w:instrText>
        </w:r>
        <w:r w:rsidRPr="005F2127">
          <w:rPr>
            <w:webHidden/>
            <w:color w:val="005CA9"/>
          </w:rPr>
        </w:r>
        <w:r w:rsidRPr="005F2127">
          <w:rPr>
            <w:webHidden/>
            <w:color w:val="005CA9"/>
          </w:rPr>
          <w:fldChar w:fldCharType="separate"/>
        </w:r>
        <w:r w:rsidR="002032F1" w:rsidRPr="005F2127">
          <w:rPr>
            <w:webHidden/>
            <w:color w:val="005CA9"/>
          </w:rPr>
          <w:t>28</w:t>
        </w:r>
        <w:r w:rsidRPr="005F2127">
          <w:rPr>
            <w:webHidden/>
            <w:color w:val="005CA9"/>
          </w:rPr>
          <w:fldChar w:fldCharType="end"/>
        </w:r>
      </w:hyperlink>
    </w:p>
    <w:p w14:paraId="3FE0F34A" w14:textId="12E55358"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74" w:history="1">
        <w:r w:rsidRPr="005F2127">
          <w:rPr>
            <w:rStyle w:val="Hyperlink"/>
            <w:color w:val="005CA9"/>
          </w:rPr>
          <w:t>Nota   7.2 – Títulos e valores mobiliários ao valor justo por meio de outros resultados abrangentes</w:t>
        </w:r>
        <w:r w:rsidRPr="005F2127">
          <w:rPr>
            <w:webHidden/>
            <w:color w:val="005CA9"/>
          </w:rPr>
          <w:tab/>
        </w:r>
        <w:r w:rsidRPr="005F2127">
          <w:rPr>
            <w:webHidden/>
            <w:color w:val="005CA9"/>
          </w:rPr>
          <w:fldChar w:fldCharType="begin"/>
        </w:r>
        <w:r w:rsidRPr="005F2127">
          <w:rPr>
            <w:webHidden/>
            <w:color w:val="005CA9"/>
          </w:rPr>
          <w:instrText xml:space="preserve"> PAGEREF _Toc229588474 \h </w:instrText>
        </w:r>
        <w:r w:rsidRPr="005F2127">
          <w:rPr>
            <w:webHidden/>
            <w:color w:val="005CA9"/>
          </w:rPr>
        </w:r>
        <w:r w:rsidRPr="005F2127">
          <w:rPr>
            <w:webHidden/>
            <w:color w:val="005CA9"/>
          </w:rPr>
          <w:fldChar w:fldCharType="separate"/>
        </w:r>
        <w:r w:rsidR="002032F1" w:rsidRPr="005F2127">
          <w:rPr>
            <w:webHidden/>
            <w:color w:val="005CA9"/>
          </w:rPr>
          <w:t>29</w:t>
        </w:r>
        <w:r w:rsidRPr="005F2127">
          <w:rPr>
            <w:webHidden/>
            <w:color w:val="005CA9"/>
          </w:rPr>
          <w:fldChar w:fldCharType="end"/>
        </w:r>
      </w:hyperlink>
    </w:p>
    <w:p w14:paraId="33E22F1B" w14:textId="5F162BDB"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75" w:history="1">
        <w:r w:rsidRPr="005F2127">
          <w:rPr>
            <w:rStyle w:val="Hyperlink"/>
            <w:color w:val="005CA9"/>
          </w:rPr>
          <w:t>Nota   8 – Ativos financeiros ao custo amortizado</w:t>
        </w:r>
        <w:r w:rsidRPr="005F2127">
          <w:rPr>
            <w:webHidden/>
            <w:color w:val="005CA9"/>
          </w:rPr>
          <w:tab/>
        </w:r>
        <w:r w:rsidRPr="005F2127">
          <w:rPr>
            <w:webHidden/>
            <w:color w:val="005CA9"/>
          </w:rPr>
          <w:fldChar w:fldCharType="begin"/>
        </w:r>
        <w:r w:rsidRPr="005F2127">
          <w:rPr>
            <w:webHidden/>
            <w:color w:val="005CA9"/>
          </w:rPr>
          <w:instrText xml:space="preserve"> PAGEREF _Toc229588475 \h </w:instrText>
        </w:r>
        <w:r w:rsidRPr="005F2127">
          <w:rPr>
            <w:webHidden/>
            <w:color w:val="005CA9"/>
          </w:rPr>
        </w:r>
        <w:r w:rsidRPr="005F2127">
          <w:rPr>
            <w:webHidden/>
            <w:color w:val="005CA9"/>
          </w:rPr>
          <w:fldChar w:fldCharType="separate"/>
        </w:r>
        <w:r w:rsidR="002032F1" w:rsidRPr="005F2127">
          <w:rPr>
            <w:webHidden/>
            <w:color w:val="005CA9"/>
          </w:rPr>
          <w:t>34</w:t>
        </w:r>
        <w:r w:rsidRPr="005F2127">
          <w:rPr>
            <w:webHidden/>
            <w:color w:val="005CA9"/>
          </w:rPr>
          <w:fldChar w:fldCharType="end"/>
        </w:r>
      </w:hyperlink>
    </w:p>
    <w:p w14:paraId="0735F4C1" w14:textId="615264A7"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76" w:history="1">
        <w:r w:rsidRPr="005F2127">
          <w:rPr>
            <w:rStyle w:val="Hyperlink"/>
            <w:color w:val="005CA9"/>
          </w:rPr>
          <w:t>Nota   8.1 – Depósitos no banco central</w:t>
        </w:r>
        <w:r w:rsidRPr="005F2127">
          <w:rPr>
            <w:webHidden/>
            <w:color w:val="005CA9"/>
          </w:rPr>
          <w:tab/>
        </w:r>
        <w:r w:rsidRPr="005F2127">
          <w:rPr>
            <w:webHidden/>
            <w:color w:val="005CA9"/>
          </w:rPr>
          <w:fldChar w:fldCharType="begin"/>
        </w:r>
        <w:r w:rsidRPr="005F2127">
          <w:rPr>
            <w:webHidden/>
            <w:color w:val="005CA9"/>
          </w:rPr>
          <w:instrText xml:space="preserve"> PAGEREF _Toc229588476 \h </w:instrText>
        </w:r>
        <w:r w:rsidRPr="005F2127">
          <w:rPr>
            <w:webHidden/>
            <w:color w:val="005CA9"/>
          </w:rPr>
        </w:r>
        <w:r w:rsidRPr="005F2127">
          <w:rPr>
            <w:webHidden/>
            <w:color w:val="005CA9"/>
          </w:rPr>
          <w:fldChar w:fldCharType="separate"/>
        </w:r>
        <w:r w:rsidR="002032F1" w:rsidRPr="005F2127">
          <w:rPr>
            <w:webHidden/>
            <w:color w:val="005CA9"/>
          </w:rPr>
          <w:t>34</w:t>
        </w:r>
        <w:r w:rsidRPr="005F2127">
          <w:rPr>
            <w:webHidden/>
            <w:color w:val="005CA9"/>
          </w:rPr>
          <w:fldChar w:fldCharType="end"/>
        </w:r>
      </w:hyperlink>
    </w:p>
    <w:p w14:paraId="3BFB50B4" w14:textId="746745B3"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77" w:history="1">
        <w:r w:rsidRPr="005F2127">
          <w:rPr>
            <w:rStyle w:val="Hyperlink"/>
            <w:color w:val="005CA9"/>
          </w:rPr>
          <w:t>Nota   8.2 – Aplicações interfinanceiras de liquidez – depósitos interfinanceiros</w:t>
        </w:r>
        <w:r w:rsidRPr="005F2127">
          <w:rPr>
            <w:webHidden/>
            <w:color w:val="005CA9"/>
          </w:rPr>
          <w:tab/>
        </w:r>
        <w:r w:rsidRPr="005F2127">
          <w:rPr>
            <w:webHidden/>
            <w:color w:val="005CA9"/>
          </w:rPr>
          <w:fldChar w:fldCharType="begin"/>
        </w:r>
        <w:r w:rsidRPr="005F2127">
          <w:rPr>
            <w:webHidden/>
            <w:color w:val="005CA9"/>
          </w:rPr>
          <w:instrText xml:space="preserve"> PAGEREF _Toc229588477 \h </w:instrText>
        </w:r>
        <w:r w:rsidRPr="005F2127">
          <w:rPr>
            <w:webHidden/>
            <w:color w:val="005CA9"/>
          </w:rPr>
        </w:r>
        <w:r w:rsidRPr="005F2127">
          <w:rPr>
            <w:webHidden/>
            <w:color w:val="005CA9"/>
          </w:rPr>
          <w:fldChar w:fldCharType="separate"/>
        </w:r>
        <w:r w:rsidR="002032F1" w:rsidRPr="005F2127">
          <w:rPr>
            <w:webHidden/>
            <w:color w:val="005CA9"/>
          </w:rPr>
          <w:t>34</w:t>
        </w:r>
        <w:r w:rsidRPr="005F2127">
          <w:rPr>
            <w:webHidden/>
            <w:color w:val="005CA9"/>
          </w:rPr>
          <w:fldChar w:fldCharType="end"/>
        </w:r>
      </w:hyperlink>
    </w:p>
    <w:p w14:paraId="3353D2E5" w14:textId="008675F1"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78" w:history="1">
        <w:r w:rsidRPr="005F2127">
          <w:rPr>
            <w:rStyle w:val="Hyperlink"/>
            <w:color w:val="005CA9"/>
          </w:rPr>
          <w:t>Nota   8.3 – Títulos e valores mobiliários mensurados ao custo amortizado</w:t>
        </w:r>
        <w:r w:rsidRPr="005F2127">
          <w:rPr>
            <w:webHidden/>
            <w:color w:val="005CA9"/>
          </w:rPr>
          <w:tab/>
        </w:r>
        <w:r w:rsidRPr="005F2127">
          <w:rPr>
            <w:webHidden/>
            <w:color w:val="005CA9"/>
          </w:rPr>
          <w:fldChar w:fldCharType="begin"/>
        </w:r>
        <w:r w:rsidRPr="005F2127">
          <w:rPr>
            <w:webHidden/>
            <w:color w:val="005CA9"/>
          </w:rPr>
          <w:instrText xml:space="preserve"> PAGEREF _Toc229588478 \h </w:instrText>
        </w:r>
        <w:r w:rsidRPr="005F2127">
          <w:rPr>
            <w:webHidden/>
            <w:color w:val="005CA9"/>
          </w:rPr>
        </w:r>
        <w:r w:rsidRPr="005F2127">
          <w:rPr>
            <w:webHidden/>
            <w:color w:val="005CA9"/>
          </w:rPr>
          <w:fldChar w:fldCharType="separate"/>
        </w:r>
        <w:r w:rsidR="002032F1" w:rsidRPr="005F2127">
          <w:rPr>
            <w:webHidden/>
            <w:color w:val="005CA9"/>
          </w:rPr>
          <w:t>35</w:t>
        </w:r>
        <w:r w:rsidRPr="005F2127">
          <w:rPr>
            <w:webHidden/>
            <w:color w:val="005CA9"/>
          </w:rPr>
          <w:fldChar w:fldCharType="end"/>
        </w:r>
      </w:hyperlink>
    </w:p>
    <w:p w14:paraId="31CE7C4D" w14:textId="34A5BE00"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79" w:history="1">
        <w:r w:rsidRPr="005F2127">
          <w:rPr>
            <w:rStyle w:val="Hyperlink"/>
            <w:color w:val="005CA9"/>
          </w:rPr>
          <w:t>Nota   8.4 – Carteira de crédito mensurada ao custo amortizado</w:t>
        </w:r>
        <w:r w:rsidRPr="005F2127">
          <w:rPr>
            <w:webHidden/>
            <w:color w:val="005CA9"/>
          </w:rPr>
          <w:tab/>
        </w:r>
        <w:r w:rsidRPr="005F2127">
          <w:rPr>
            <w:webHidden/>
            <w:color w:val="005CA9"/>
          </w:rPr>
          <w:fldChar w:fldCharType="begin"/>
        </w:r>
        <w:r w:rsidRPr="005F2127">
          <w:rPr>
            <w:webHidden/>
            <w:color w:val="005CA9"/>
          </w:rPr>
          <w:instrText xml:space="preserve"> PAGEREF _Toc229588479 \h </w:instrText>
        </w:r>
        <w:r w:rsidRPr="005F2127">
          <w:rPr>
            <w:webHidden/>
            <w:color w:val="005CA9"/>
          </w:rPr>
        </w:r>
        <w:r w:rsidRPr="005F2127">
          <w:rPr>
            <w:webHidden/>
            <w:color w:val="005CA9"/>
          </w:rPr>
          <w:fldChar w:fldCharType="separate"/>
        </w:r>
        <w:r w:rsidR="002032F1" w:rsidRPr="005F2127">
          <w:rPr>
            <w:webHidden/>
            <w:color w:val="005CA9"/>
          </w:rPr>
          <w:t>36</w:t>
        </w:r>
        <w:r w:rsidRPr="005F2127">
          <w:rPr>
            <w:webHidden/>
            <w:color w:val="005CA9"/>
          </w:rPr>
          <w:fldChar w:fldCharType="end"/>
        </w:r>
      </w:hyperlink>
    </w:p>
    <w:p w14:paraId="59835908" w14:textId="4B50D9F8"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80" w:history="1">
        <w:r w:rsidRPr="005F2127">
          <w:rPr>
            <w:rStyle w:val="Hyperlink"/>
            <w:color w:val="005CA9"/>
          </w:rPr>
          <w:t>Nota   8.5 – Outros ativos financeiros ao custo amortizado</w:t>
        </w:r>
        <w:r w:rsidRPr="005F2127">
          <w:rPr>
            <w:webHidden/>
            <w:color w:val="005CA9"/>
          </w:rPr>
          <w:tab/>
        </w:r>
        <w:r w:rsidRPr="005F2127">
          <w:rPr>
            <w:webHidden/>
            <w:color w:val="005CA9"/>
          </w:rPr>
          <w:fldChar w:fldCharType="begin"/>
        </w:r>
        <w:r w:rsidRPr="005F2127">
          <w:rPr>
            <w:webHidden/>
            <w:color w:val="005CA9"/>
          </w:rPr>
          <w:instrText xml:space="preserve"> PAGEREF _Toc229588480 \h </w:instrText>
        </w:r>
        <w:r w:rsidRPr="005F2127">
          <w:rPr>
            <w:webHidden/>
            <w:color w:val="005CA9"/>
          </w:rPr>
        </w:r>
        <w:r w:rsidRPr="005F2127">
          <w:rPr>
            <w:webHidden/>
            <w:color w:val="005CA9"/>
          </w:rPr>
          <w:fldChar w:fldCharType="separate"/>
        </w:r>
        <w:r w:rsidR="002032F1" w:rsidRPr="005F2127">
          <w:rPr>
            <w:webHidden/>
            <w:color w:val="005CA9"/>
          </w:rPr>
          <w:t>46</w:t>
        </w:r>
        <w:r w:rsidRPr="005F2127">
          <w:rPr>
            <w:webHidden/>
            <w:color w:val="005CA9"/>
          </w:rPr>
          <w:fldChar w:fldCharType="end"/>
        </w:r>
      </w:hyperlink>
    </w:p>
    <w:p w14:paraId="1EFB778D" w14:textId="222C9E1F"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81" w:history="1">
        <w:r w:rsidRPr="005F2127">
          <w:rPr>
            <w:rStyle w:val="Hyperlink"/>
            <w:color w:val="005CA9"/>
          </w:rPr>
          <w:t>Nota   9 – Provisão para perdas esperadas associadas aos instrumentos financeiros</w:t>
        </w:r>
        <w:r w:rsidRPr="005F2127">
          <w:rPr>
            <w:webHidden/>
            <w:color w:val="005CA9"/>
          </w:rPr>
          <w:tab/>
        </w:r>
        <w:r w:rsidRPr="005F2127">
          <w:rPr>
            <w:webHidden/>
            <w:color w:val="005CA9"/>
          </w:rPr>
          <w:fldChar w:fldCharType="begin"/>
        </w:r>
        <w:r w:rsidRPr="005F2127">
          <w:rPr>
            <w:webHidden/>
            <w:color w:val="005CA9"/>
          </w:rPr>
          <w:instrText xml:space="preserve"> PAGEREF _Toc229588481 \h </w:instrText>
        </w:r>
        <w:r w:rsidRPr="005F2127">
          <w:rPr>
            <w:webHidden/>
            <w:color w:val="005CA9"/>
          </w:rPr>
        </w:r>
        <w:r w:rsidRPr="005F2127">
          <w:rPr>
            <w:webHidden/>
            <w:color w:val="005CA9"/>
          </w:rPr>
          <w:fldChar w:fldCharType="separate"/>
        </w:r>
        <w:r w:rsidR="002032F1" w:rsidRPr="005F2127">
          <w:rPr>
            <w:webHidden/>
            <w:color w:val="005CA9"/>
          </w:rPr>
          <w:t>49</w:t>
        </w:r>
        <w:r w:rsidRPr="005F2127">
          <w:rPr>
            <w:webHidden/>
            <w:color w:val="005CA9"/>
          </w:rPr>
          <w:fldChar w:fldCharType="end"/>
        </w:r>
      </w:hyperlink>
    </w:p>
    <w:p w14:paraId="3026286D" w14:textId="2B342A55"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82" w:history="1">
        <w:r w:rsidRPr="005F2127">
          <w:rPr>
            <w:rStyle w:val="Hyperlink"/>
            <w:color w:val="005CA9"/>
          </w:rPr>
          <w:t>Nota   10 – Ativos e passivos fiscais</w:t>
        </w:r>
        <w:r w:rsidRPr="005F2127">
          <w:rPr>
            <w:webHidden/>
            <w:color w:val="005CA9"/>
          </w:rPr>
          <w:tab/>
        </w:r>
        <w:r w:rsidRPr="005F2127">
          <w:rPr>
            <w:webHidden/>
            <w:color w:val="005CA9"/>
          </w:rPr>
          <w:fldChar w:fldCharType="begin"/>
        </w:r>
        <w:r w:rsidRPr="005F2127">
          <w:rPr>
            <w:webHidden/>
            <w:color w:val="005CA9"/>
          </w:rPr>
          <w:instrText xml:space="preserve"> PAGEREF _Toc229588482 \h </w:instrText>
        </w:r>
        <w:r w:rsidRPr="005F2127">
          <w:rPr>
            <w:webHidden/>
            <w:color w:val="005CA9"/>
          </w:rPr>
        </w:r>
        <w:r w:rsidRPr="005F2127">
          <w:rPr>
            <w:webHidden/>
            <w:color w:val="005CA9"/>
          </w:rPr>
          <w:fldChar w:fldCharType="separate"/>
        </w:r>
        <w:r w:rsidR="002032F1" w:rsidRPr="005F2127">
          <w:rPr>
            <w:webHidden/>
            <w:color w:val="005CA9"/>
          </w:rPr>
          <w:t>58</w:t>
        </w:r>
        <w:r w:rsidRPr="005F2127">
          <w:rPr>
            <w:webHidden/>
            <w:color w:val="005CA9"/>
          </w:rPr>
          <w:fldChar w:fldCharType="end"/>
        </w:r>
      </w:hyperlink>
    </w:p>
    <w:p w14:paraId="42E9AD06" w14:textId="049D9D4C"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83" w:history="1">
        <w:r w:rsidRPr="005F2127">
          <w:rPr>
            <w:rStyle w:val="Hyperlink"/>
            <w:color w:val="005CA9"/>
          </w:rPr>
          <w:t>Nota   11 – Investimentos</w:t>
        </w:r>
        <w:r w:rsidRPr="005F2127">
          <w:rPr>
            <w:webHidden/>
            <w:color w:val="005CA9"/>
          </w:rPr>
          <w:tab/>
        </w:r>
        <w:r w:rsidRPr="005F2127">
          <w:rPr>
            <w:webHidden/>
            <w:color w:val="005CA9"/>
          </w:rPr>
          <w:fldChar w:fldCharType="begin"/>
        </w:r>
        <w:r w:rsidRPr="005F2127">
          <w:rPr>
            <w:webHidden/>
            <w:color w:val="005CA9"/>
          </w:rPr>
          <w:instrText xml:space="preserve"> PAGEREF _Toc229588483 \h </w:instrText>
        </w:r>
        <w:r w:rsidRPr="005F2127">
          <w:rPr>
            <w:webHidden/>
            <w:color w:val="005CA9"/>
          </w:rPr>
        </w:r>
        <w:r w:rsidRPr="005F2127">
          <w:rPr>
            <w:webHidden/>
            <w:color w:val="005CA9"/>
          </w:rPr>
          <w:fldChar w:fldCharType="separate"/>
        </w:r>
        <w:r w:rsidR="002032F1" w:rsidRPr="005F2127">
          <w:rPr>
            <w:webHidden/>
            <w:color w:val="005CA9"/>
          </w:rPr>
          <w:t>61</w:t>
        </w:r>
        <w:r w:rsidRPr="005F2127">
          <w:rPr>
            <w:webHidden/>
            <w:color w:val="005CA9"/>
          </w:rPr>
          <w:fldChar w:fldCharType="end"/>
        </w:r>
      </w:hyperlink>
    </w:p>
    <w:p w14:paraId="199F8757" w14:textId="23C755FB"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84" w:history="1">
        <w:r w:rsidRPr="005F2127">
          <w:rPr>
            <w:rStyle w:val="Hyperlink"/>
            <w:color w:val="005CA9"/>
          </w:rPr>
          <w:t>Nota   12 – Imobilizado de uso</w:t>
        </w:r>
        <w:r w:rsidRPr="005F2127">
          <w:rPr>
            <w:webHidden/>
            <w:color w:val="005CA9"/>
          </w:rPr>
          <w:tab/>
        </w:r>
        <w:r w:rsidRPr="005F2127">
          <w:rPr>
            <w:webHidden/>
            <w:color w:val="005CA9"/>
          </w:rPr>
          <w:fldChar w:fldCharType="begin"/>
        </w:r>
        <w:r w:rsidRPr="005F2127">
          <w:rPr>
            <w:webHidden/>
            <w:color w:val="005CA9"/>
          </w:rPr>
          <w:instrText xml:space="preserve"> PAGEREF _Toc229588484 \h </w:instrText>
        </w:r>
        <w:r w:rsidRPr="005F2127">
          <w:rPr>
            <w:webHidden/>
            <w:color w:val="005CA9"/>
          </w:rPr>
        </w:r>
        <w:r w:rsidRPr="005F2127">
          <w:rPr>
            <w:webHidden/>
            <w:color w:val="005CA9"/>
          </w:rPr>
          <w:fldChar w:fldCharType="separate"/>
        </w:r>
        <w:r w:rsidR="002032F1" w:rsidRPr="005F2127">
          <w:rPr>
            <w:webHidden/>
            <w:color w:val="005CA9"/>
          </w:rPr>
          <w:t>64</w:t>
        </w:r>
        <w:r w:rsidRPr="005F2127">
          <w:rPr>
            <w:webHidden/>
            <w:color w:val="005CA9"/>
          </w:rPr>
          <w:fldChar w:fldCharType="end"/>
        </w:r>
      </w:hyperlink>
    </w:p>
    <w:p w14:paraId="1817C503" w14:textId="219E25E9"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85" w:history="1">
        <w:r w:rsidRPr="005F2127">
          <w:rPr>
            <w:rStyle w:val="Hyperlink"/>
            <w:color w:val="005CA9"/>
          </w:rPr>
          <w:t>Nota   13 – Intangível</w:t>
        </w:r>
        <w:r w:rsidRPr="005F2127">
          <w:rPr>
            <w:webHidden/>
            <w:color w:val="005CA9"/>
          </w:rPr>
          <w:tab/>
        </w:r>
        <w:r w:rsidRPr="005F2127">
          <w:rPr>
            <w:webHidden/>
            <w:color w:val="005CA9"/>
          </w:rPr>
          <w:fldChar w:fldCharType="begin"/>
        </w:r>
        <w:r w:rsidRPr="005F2127">
          <w:rPr>
            <w:webHidden/>
            <w:color w:val="005CA9"/>
          </w:rPr>
          <w:instrText xml:space="preserve"> PAGEREF _Toc229588485 \h </w:instrText>
        </w:r>
        <w:r w:rsidRPr="005F2127">
          <w:rPr>
            <w:webHidden/>
            <w:color w:val="005CA9"/>
          </w:rPr>
        </w:r>
        <w:r w:rsidRPr="005F2127">
          <w:rPr>
            <w:webHidden/>
            <w:color w:val="005CA9"/>
          </w:rPr>
          <w:fldChar w:fldCharType="separate"/>
        </w:r>
        <w:r w:rsidR="002032F1" w:rsidRPr="005F2127">
          <w:rPr>
            <w:webHidden/>
            <w:color w:val="005CA9"/>
          </w:rPr>
          <w:t>65</w:t>
        </w:r>
        <w:r w:rsidRPr="005F2127">
          <w:rPr>
            <w:webHidden/>
            <w:color w:val="005CA9"/>
          </w:rPr>
          <w:fldChar w:fldCharType="end"/>
        </w:r>
      </w:hyperlink>
    </w:p>
    <w:p w14:paraId="62EDC49A" w14:textId="536CAEF6"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86" w:history="1">
        <w:r w:rsidRPr="005F2127">
          <w:rPr>
            <w:rStyle w:val="Hyperlink"/>
            <w:color w:val="005CA9"/>
          </w:rPr>
          <w:t>Nota   14 – Outros ativos</w:t>
        </w:r>
        <w:r w:rsidRPr="005F2127">
          <w:rPr>
            <w:webHidden/>
            <w:color w:val="005CA9"/>
          </w:rPr>
          <w:tab/>
        </w:r>
        <w:r w:rsidRPr="005F2127">
          <w:rPr>
            <w:webHidden/>
            <w:color w:val="005CA9"/>
          </w:rPr>
          <w:fldChar w:fldCharType="begin"/>
        </w:r>
        <w:r w:rsidRPr="005F2127">
          <w:rPr>
            <w:webHidden/>
            <w:color w:val="005CA9"/>
          </w:rPr>
          <w:instrText xml:space="preserve"> PAGEREF _Toc229588486 \h </w:instrText>
        </w:r>
        <w:r w:rsidRPr="005F2127">
          <w:rPr>
            <w:webHidden/>
            <w:color w:val="005CA9"/>
          </w:rPr>
        </w:r>
        <w:r w:rsidRPr="005F2127">
          <w:rPr>
            <w:webHidden/>
            <w:color w:val="005CA9"/>
          </w:rPr>
          <w:fldChar w:fldCharType="separate"/>
        </w:r>
        <w:r w:rsidR="002032F1" w:rsidRPr="005F2127">
          <w:rPr>
            <w:webHidden/>
            <w:color w:val="005CA9"/>
          </w:rPr>
          <w:t>66</w:t>
        </w:r>
        <w:r w:rsidRPr="005F2127">
          <w:rPr>
            <w:webHidden/>
            <w:color w:val="005CA9"/>
          </w:rPr>
          <w:fldChar w:fldCharType="end"/>
        </w:r>
      </w:hyperlink>
    </w:p>
    <w:p w14:paraId="569C30D8" w14:textId="6C1E9BAA"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87" w:history="1">
        <w:r w:rsidRPr="005F2127">
          <w:rPr>
            <w:rStyle w:val="Hyperlink"/>
            <w:color w:val="005CA9"/>
          </w:rPr>
          <w:t>Nota   15 – Passivos financeiros ao custo amortizado</w:t>
        </w:r>
        <w:r w:rsidRPr="005F2127">
          <w:rPr>
            <w:webHidden/>
            <w:color w:val="005CA9"/>
          </w:rPr>
          <w:tab/>
        </w:r>
        <w:r w:rsidRPr="005F2127">
          <w:rPr>
            <w:webHidden/>
            <w:color w:val="005CA9"/>
          </w:rPr>
          <w:fldChar w:fldCharType="begin"/>
        </w:r>
        <w:r w:rsidRPr="005F2127">
          <w:rPr>
            <w:webHidden/>
            <w:color w:val="005CA9"/>
          </w:rPr>
          <w:instrText xml:space="preserve"> PAGEREF _Toc229588487 \h </w:instrText>
        </w:r>
        <w:r w:rsidRPr="005F2127">
          <w:rPr>
            <w:webHidden/>
            <w:color w:val="005CA9"/>
          </w:rPr>
        </w:r>
        <w:r w:rsidRPr="005F2127">
          <w:rPr>
            <w:webHidden/>
            <w:color w:val="005CA9"/>
          </w:rPr>
          <w:fldChar w:fldCharType="separate"/>
        </w:r>
        <w:r w:rsidR="002032F1" w:rsidRPr="005F2127">
          <w:rPr>
            <w:webHidden/>
            <w:color w:val="005CA9"/>
          </w:rPr>
          <w:t>67</w:t>
        </w:r>
        <w:r w:rsidRPr="005F2127">
          <w:rPr>
            <w:webHidden/>
            <w:color w:val="005CA9"/>
          </w:rPr>
          <w:fldChar w:fldCharType="end"/>
        </w:r>
      </w:hyperlink>
    </w:p>
    <w:p w14:paraId="410AB3B2" w14:textId="4E4AE61D"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88" w:history="1">
        <w:r w:rsidRPr="005F2127">
          <w:rPr>
            <w:rStyle w:val="Hyperlink"/>
            <w:color w:val="005CA9"/>
          </w:rPr>
          <w:t>Nota   15.1 – Recursos de clientes</w:t>
        </w:r>
        <w:r w:rsidRPr="005F2127">
          <w:rPr>
            <w:webHidden/>
            <w:color w:val="005CA9"/>
          </w:rPr>
          <w:tab/>
        </w:r>
        <w:r w:rsidRPr="005F2127">
          <w:rPr>
            <w:webHidden/>
            <w:color w:val="005CA9"/>
          </w:rPr>
          <w:fldChar w:fldCharType="begin"/>
        </w:r>
        <w:r w:rsidRPr="005F2127">
          <w:rPr>
            <w:webHidden/>
            <w:color w:val="005CA9"/>
          </w:rPr>
          <w:instrText xml:space="preserve"> PAGEREF _Toc229588488 \h </w:instrText>
        </w:r>
        <w:r w:rsidRPr="005F2127">
          <w:rPr>
            <w:webHidden/>
            <w:color w:val="005CA9"/>
          </w:rPr>
        </w:r>
        <w:r w:rsidRPr="005F2127">
          <w:rPr>
            <w:webHidden/>
            <w:color w:val="005CA9"/>
          </w:rPr>
          <w:fldChar w:fldCharType="separate"/>
        </w:r>
        <w:r w:rsidR="002032F1" w:rsidRPr="005F2127">
          <w:rPr>
            <w:webHidden/>
            <w:color w:val="005CA9"/>
          </w:rPr>
          <w:t>67</w:t>
        </w:r>
        <w:r w:rsidRPr="005F2127">
          <w:rPr>
            <w:webHidden/>
            <w:color w:val="005CA9"/>
          </w:rPr>
          <w:fldChar w:fldCharType="end"/>
        </w:r>
      </w:hyperlink>
    </w:p>
    <w:p w14:paraId="529C9CB6" w14:textId="60064AA5"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89" w:history="1">
        <w:r w:rsidRPr="005F2127">
          <w:rPr>
            <w:rStyle w:val="Hyperlink"/>
            <w:color w:val="005CA9"/>
          </w:rPr>
          <w:t>Nota   15.2 – Recursos de instituições financeiras e outras</w:t>
        </w:r>
        <w:r w:rsidRPr="005F2127">
          <w:rPr>
            <w:webHidden/>
            <w:color w:val="005CA9"/>
          </w:rPr>
          <w:tab/>
        </w:r>
        <w:r w:rsidRPr="005F2127">
          <w:rPr>
            <w:webHidden/>
            <w:color w:val="005CA9"/>
          </w:rPr>
          <w:fldChar w:fldCharType="begin"/>
        </w:r>
        <w:r w:rsidRPr="005F2127">
          <w:rPr>
            <w:webHidden/>
            <w:color w:val="005CA9"/>
          </w:rPr>
          <w:instrText xml:space="preserve"> PAGEREF _Toc229588489 \h </w:instrText>
        </w:r>
        <w:r w:rsidRPr="005F2127">
          <w:rPr>
            <w:webHidden/>
            <w:color w:val="005CA9"/>
          </w:rPr>
        </w:r>
        <w:r w:rsidRPr="005F2127">
          <w:rPr>
            <w:webHidden/>
            <w:color w:val="005CA9"/>
          </w:rPr>
          <w:fldChar w:fldCharType="separate"/>
        </w:r>
        <w:r w:rsidR="002032F1" w:rsidRPr="005F2127">
          <w:rPr>
            <w:webHidden/>
            <w:color w:val="005CA9"/>
          </w:rPr>
          <w:t>68</w:t>
        </w:r>
        <w:r w:rsidRPr="005F2127">
          <w:rPr>
            <w:webHidden/>
            <w:color w:val="005CA9"/>
          </w:rPr>
          <w:fldChar w:fldCharType="end"/>
        </w:r>
      </w:hyperlink>
    </w:p>
    <w:p w14:paraId="5D34E548" w14:textId="4C437F2C"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90" w:history="1">
        <w:r w:rsidRPr="005F2127">
          <w:rPr>
            <w:rStyle w:val="Hyperlink"/>
            <w:color w:val="005CA9"/>
          </w:rPr>
          <w:t>Nota   15.3 – Recursos de emissões de títulos e valores mobiliários</w:t>
        </w:r>
        <w:r w:rsidRPr="005F2127">
          <w:rPr>
            <w:webHidden/>
            <w:color w:val="005CA9"/>
          </w:rPr>
          <w:tab/>
        </w:r>
        <w:r w:rsidRPr="005F2127">
          <w:rPr>
            <w:webHidden/>
            <w:color w:val="005CA9"/>
          </w:rPr>
          <w:fldChar w:fldCharType="begin"/>
        </w:r>
        <w:r w:rsidRPr="005F2127">
          <w:rPr>
            <w:webHidden/>
            <w:color w:val="005CA9"/>
          </w:rPr>
          <w:instrText xml:space="preserve"> PAGEREF _Toc229588490 \h </w:instrText>
        </w:r>
        <w:r w:rsidRPr="005F2127">
          <w:rPr>
            <w:webHidden/>
            <w:color w:val="005CA9"/>
          </w:rPr>
        </w:r>
        <w:r w:rsidRPr="005F2127">
          <w:rPr>
            <w:webHidden/>
            <w:color w:val="005CA9"/>
          </w:rPr>
          <w:fldChar w:fldCharType="separate"/>
        </w:r>
        <w:r w:rsidR="002032F1" w:rsidRPr="005F2127">
          <w:rPr>
            <w:webHidden/>
            <w:color w:val="005CA9"/>
          </w:rPr>
          <w:t>68</w:t>
        </w:r>
        <w:r w:rsidRPr="005F2127">
          <w:rPr>
            <w:webHidden/>
            <w:color w:val="005CA9"/>
          </w:rPr>
          <w:fldChar w:fldCharType="end"/>
        </w:r>
      </w:hyperlink>
    </w:p>
    <w:p w14:paraId="514CDBF6" w14:textId="4A233B91"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91" w:history="1">
        <w:r w:rsidRPr="005F2127">
          <w:rPr>
            <w:rStyle w:val="Hyperlink"/>
            <w:color w:val="005CA9"/>
          </w:rPr>
          <w:t>Nota   15.4 – Outros passivos financeiros</w:t>
        </w:r>
        <w:r w:rsidRPr="005F2127">
          <w:rPr>
            <w:webHidden/>
            <w:color w:val="005CA9"/>
          </w:rPr>
          <w:tab/>
        </w:r>
        <w:r w:rsidRPr="005F2127">
          <w:rPr>
            <w:webHidden/>
            <w:color w:val="005CA9"/>
          </w:rPr>
          <w:fldChar w:fldCharType="begin"/>
        </w:r>
        <w:r w:rsidRPr="005F2127">
          <w:rPr>
            <w:webHidden/>
            <w:color w:val="005CA9"/>
          </w:rPr>
          <w:instrText xml:space="preserve"> PAGEREF _Toc229588491 \h </w:instrText>
        </w:r>
        <w:r w:rsidRPr="005F2127">
          <w:rPr>
            <w:webHidden/>
            <w:color w:val="005CA9"/>
          </w:rPr>
        </w:r>
        <w:r w:rsidRPr="005F2127">
          <w:rPr>
            <w:webHidden/>
            <w:color w:val="005CA9"/>
          </w:rPr>
          <w:fldChar w:fldCharType="separate"/>
        </w:r>
        <w:r w:rsidR="002032F1" w:rsidRPr="005F2127">
          <w:rPr>
            <w:webHidden/>
            <w:color w:val="005CA9"/>
          </w:rPr>
          <w:t>71</w:t>
        </w:r>
        <w:r w:rsidRPr="005F2127">
          <w:rPr>
            <w:webHidden/>
            <w:color w:val="005CA9"/>
          </w:rPr>
          <w:fldChar w:fldCharType="end"/>
        </w:r>
      </w:hyperlink>
    </w:p>
    <w:p w14:paraId="0C9F6049" w14:textId="55E6705E"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92" w:history="1">
        <w:r w:rsidRPr="005F2127">
          <w:rPr>
            <w:rStyle w:val="Hyperlink"/>
            <w:color w:val="005CA9"/>
          </w:rPr>
          <w:t>Nota   16 – Provisões</w:t>
        </w:r>
        <w:r w:rsidRPr="005F2127">
          <w:rPr>
            <w:webHidden/>
            <w:color w:val="005CA9"/>
          </w:rPr>
          <w:tab/>
        </w:r>
        <w:r w:rsidRPr="005F2127">
          <w:rPr>
            <w:webHidden/>
            <w:color w:val="005CA9"/>
          </w:rPr>
          <w:fldChar w:fldCharType="begin"/>
        </w:r>
        <w:r w:rsidRPr="005F2127">
          <w:rPr>
            <w:webHidden/>
            <w:color w:val="005CA9"/>
          </w:rPr>
          <w:instrText xml:space="preserve"> PAGEREF _Toc229588492 \h </w:instrText>
        </w:r>
        <w:r w:rsidRPr="005F2127">
          <w:rPr>
            <w:webHidden/>
            <w:color w:val="005CA9"/>
          </w:rPr>
        </w:r>
        <w:r w:rsidRPr="005F2127">
          <w:rPr>
            <w:webHidden/>
            <w:color w:val="005CA9"/>
          </w:rPr>
          <w:fldChar w:fldCharType="separate"/>
        </w:r>
        <w:r w:rsidR="002032F1" w:rsidRPr="005F2127">
          <w:rPr>
            <w:webHidden/>
            <w:color w:val="005CA9"/>
          </w:rPr>
          <w:t>72</w:t>
        </w:r>
        <w:r w:rsidRPr="005F2127">
          <w:rPr>
            <w:webHidden/>
            <w:color w:val="005CA9"/>
          </w:rPr>
          <w:fldChar w:fldCharType="end"/>
        </w:r>
      </w:hyperlink>
    </w:p>
    <w:p w14:paraId="593D83EB" w14:textId="14C60D96"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93" w:history="1">
        <w:r w:rsidRPr="005F2127">
          <w:rPr>
            <w:rStyle w:val="Hyperlink"/>
            <w:color w:val="005CA9"/>
          </w:rPr>
          <w:t>Nota   17 – Compromissos de empréstimos, créditos a liberar e garantias financeiras prestadas</w:t>
        </w:r>
        <w:r w:rsidRPr="005F2127">
          <w:rPr>
            <w:webHidden/>
            <w:color w:val="005CA9"/>
          </w:rPr>
          <w:tab/>
        </w:r>
        <w:r w:rsidRPr="005F2127">
          <w:rPr>
            <w:webHidden/>
            <w:color w:val="005CA9"/>
          </w:rPr>
          <w:fldChar w:fldCharType="begin"/>
        </w:r>
        <w:r w:rsidRPr="005F2127">
          <w:rPr>
            <w:webHidden/>
            <w:color w:val="005CA9"/>
          </w:rPr>
          <w:instrText xml:space="preserve"> PAGEREF _Toc229588493 \h </w:instrText>
        </w:r>
        <w:r w:rsidRPr="005F2127">
          <w:rPr>
            <w:webHidden/>
            <w:color w:val="005CA9"/>
          </w:rPr>
        </w:r>
        <w:r w:rsidRPr="005F2127">
          <w:rPr>
            <w:webHidden/>
            <w:color w:val="005CA9"/>
          </w:rPr>
          <w:fldChar w:fldCharType="separate"/>
        </w:r>
        <w:r w:rsidR="002032F1" w:rsidRPr="005F2127">
          <w:rPr>
            <w:webHidden/>
            <w:color w:val="005CA9"/>
          </w:rPr>
          <w:t>77</w:t>
        </w:r>
        <w:r w:rsidRPr="005F2127">
          <w:rPr>
            <w:webHidden/>
            <w:color w:val="005CA9"/>
          </w:rPr>
          <w:fldChar w:fldCharType="end"/>
        </w:r>
      </w:hyperlink>
    </w:p>
    <w:p w14:paraId="27FABF71" w14:textId="6C55AC05"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94" w:history="1">
        <w:r w:rsidRPr="005F2127">
          <w:rPr>
            <w:rStyle w:val="Hyperlink"/>
            <w:color w:val="005CA9"/>
          </w:rPr>
          <w:t>Nota   18 – Passivos atuariais</w:t>
        </w:r>
        <w:r w:rsidRPr="005F2127">
          <w:rPr>
            <w:webHidden/>
            <w:color w:val="005CA9"/>
          </w:rPr>
          <w:tab/>
        </w:r>
        <w:r w:rsidRPr="005F2127">
          <w:rPr>
            <w:webHidden/>
            <w:color w:val="005CA9"/>
          </w:rPr>
          <w:fldChar w:fldCharType="begin"/>
        </w:r>
        <w:r w:rsidRPr="005F2127">
          <w:rPr>
            <w:webHidden/>
            <w:color w:val="005CA9"/>
          </w:rPr>
          <w:instrText xml:space="preserve"> PAGEREF _Toc229588494 \h </w:instrText>
        </w:r>
        <w:r w:rsidRPr="005F2127">
          <w:rPr>
            <w:webHidden/>
            <w:color w:val="005CA9"/>
          </w:rPr>
        </w:r>
        <w:r w:rsidRPr="005F2127">
          <w:rPr>
            <w:webHidden/>
            <w:color w:val="005CA9"/>
          </w:rPr>
          <w:fldChar w:fldCharType="separate"/>
        </w:r>
        <w:r w:rsidR="002032F1" w:rsidRPr="005F2127">
          <w:rPr>
            <w:webHidden/>
            <w:color w:val="005CA9"/>
          </w:rPr>
          <w:t>79</w:t>
        </w:r>
        <w:r w:rsidRPr="005F2127">
          <w:rPr>
            <w:webHidden/>
            <w:color w:val="005CA9"/>
          </w:rPr>
          <w:fldChar w:fldCharType="end"/>
        </w:r>
      </w:hyperlink>
    </w:p>
    <w:p w14:paraId="598F0932" w14:textId="18AA8D28"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95" w:history="1">
        <w:r w:rsidRPr="005F2127">
          <w:rPr>
            <w:rStyle w:val="Hyperlink"/>
            <w:color w:val="005CA9"/>
          </w:rPr>
          <w:t>Nota   19 – Outros passivos</w:t>
        </w:r>
        <w:r w:rsidRPr="005F2127">
          <w:rPr>
            <w:webHidden/>
            <w:color w:val="005CA9"/>
          </w:rPr>
          <w:tab/>
        </w:r>
        <w:r w:rsidRPr="005F2127">
          <w:rPr>
            <w:webHidden/>
            <w:color w:val="005CA9"/>
          </w:rPr>
          <w:fldChar w:fldCharType="begin"/>
        </w:r>
        <w:r w:rsidRPr="005F2127">
          <w:rPr>
            <w:webHidden/>
            <w:color w:val="005CA9"/>
          </w:rPr>
          <w:instrText xml:space="preserve"> PAGEREF _Toc229588495 \h </w:instrText>
        </w:r>
        <w:r w:rsidRPr="005F2127">
          <w:rPr>
            <w:webHidden/>
            <w:color w:val="005CA9"/>
          </w:rPr>
        </w:r>
        <w:r w:rsidRPr="005F2127">
          <w:rPr>
            <w:webHidden/>
            <w:color w:val="005CA9"/>
          </w:rPr>
          <w:fldChar w:fldCharType="separate"/>
        </w:r>
        <w:r w:rsidR="002032F1" w:rsidRPr="005F2127">
          <w:rPr>
            <w:webHidden/>
            <w:color w:val="005CA9"/>
          </w:rPr>
          <w:t>79</w:t>
        </w:r>
        <w:r w:rsidRPr="005F2127">
          <w:rPr>
            <w:webHidden/>
            <w:color w:val="005CA9"/>
          </w:rPr>
          <w:fldChar w:fldCharType="end"/>
        </w:r>
      </w:hyperlink>
    </w:p>
    <w:p w14:paraId="5F60B760" w14:textId="364D6EF9"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96" w:history="1">
        <w:r w:rsidRPr="005F2127">
          <w:rPr>
            <w:rStyle w:val="Hyperlink"/>
            <w:color w:val="005CA9"/>
          </w:rPr>
          <w:t>Nota   20 – Patrimônio líquido</w:t>
        </w:r>
        <w:r w:rsidRPr="005F2127">
          <w:rPr>
            <w:webHidden/>
            <w:color w:val="005CA9"/>
          </w:rPr>
          <w:tab/>
        </w:r>
        <w:r w:rsidRPr="005F2127">
          <w:rPr>
            <w:webHidden/>
            <w:color w:val="005CA9"/>
          </w:rPr>
          <w:fldChar w:fldCharType="begin"/>
        </w:r>
        <w:r w:rsidRPr="005F2127">
          <w:rPr>
            <w:webHidden/>
            <w:color w:val="005CA9"/>
          </w:rPr>
          <w:instrText xml:space="preserve"> PAGEREF _Toc229588496 \h </w:instrText>
        </w:r>
        <w:r w:rsidRPr="005F2127">
          <w:rPr>
            <w:webHidden/>
            <w:color w:val="005CA9"/>
          </w:rPr>
        </w:r>
        <w:r w:rsidRPr="005F2127">
          <w:rPr>
            <w:webHidden/>
            <w:color w:val="005CA9"/>
          </w:rPr>
          <w:fldChar w:fldCharType="separate"/>
        </w:r>
        <w:r w:rsidR="002032F1" w:rsidRPr="005F2127">
          <w:rPr>
            <w:webHidden/>
            <w:color w:val="005CA9"/>
          </w:rPr>
          <w:t>79</w:t>
        </w:r>
        <w:r w:rsidRPr="005F2127">
          <w:rPr>
            <w:webHidden/>
            <w:color w:val="005CA9"/>
          </w:rPr>
          <w:fldChar w:fldCharType="end"/>
        </w:r>
      </w:hyperlink>
    </w:p>
    <w:p w14:paraId="1C67D384" w14:textId="4A3EDB6F"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97" w:history="1">
        <w:r w:rsidRPr="005F2127">
          <w:rPr>
            <w:rStyle w:val="Hyperlink"/>
            <w:color w:val="005CA9"/>
          </w:rPr>
          <w:t>Nota   21 – Receitas e despesas de juros e similares</w:t>
        </w:r>
        <w:r w:rsidRPr="005F2127">
          <w:rPr>
            <w:webHidden/>
            <w:color w:val="005CA9"/>
          </w:rPr>
          <w:tab/>
        </w:r>
        <w:r w:rsidRPr="005F2127">
          <w:rPr>
            <w:webHidden/>
            <w:color w:val="005CA9"/>
          </w:rPr>
          <w:fldChar w:fldCharType="begin"/>
        </w:r>
        <w:r w:rsidRPr="005F2127">
          <w:rPr>
            <w:webHidden/>
            <w:color w:val="005CA9"/>
          </w:rPr>
          <w:instrText xml:space="preserve"> PAGEREF _Toc229588497 \h </w:instrText>
        </w:r>
        <w:r w:rsidRPr="005F2127">
          <w:rPr>
            <w:webHidden/>
            <w:color w:val="005CA9"/>
          </w:rPr>
        </w:r>
        <w:r w:rsidRPr="005F2127">
          <w:rPr>
            <w:webHidden/>
            <w:color w:val="005CA9"/>
          </w:rPr>
          <w:fldChar w:fldCharType="separate"/>
        </w:r>
        <w:r w:rsidR="002032F1" w:rsidRPr="005F2127">
          <w:rPr>
            <w:webHidden/>
            <w:color w:val="005CA9"/>
          </w:rPr>
          <w:t>81</w:t>
        </w:r>
        <w:r w:rsidRPr="005F2127">
          <w:rPr>
            <w:webHidden/>
            <w:color w:val="005CA9"/>
          </w:rPr>
          <w:fldChar w:fldCharType="end"/>
        </w:r>
      </w:hyperlink>
    </w:p>
    <w:p w14:paraId="562A292C" w14:textId="6B5FD144"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98" w:history="1">
        <w:r w:rsidRPr="005F2127">
          <w:rPr>
            <w:rStyle w:val="Hyperlink"/>
            <w:color w:val="005CA9"/>
          </w:rPr>
          <w:t>Nota   22 – Ganhos e perdas com o valor justo de instrumentos financeiros</w:t>
        </w:r>
        <w:r w:rsidRPr="005F2127">
          <w:rPr>
            <w:webHidden/>
            <w:color w:val="005CA9"/>
          </w:rPr>
          <w:tab/>
        </w:r>
        <w:r w:rsidRPr="005F2127">
          <w:rPr>
            <w:webHidden/>
            <w:color w:val="005CA9"/>
          </w:rPr>
          <w:fldChar w:fldCharType="begin"/>
        </w:r>
        <w:r w:rsidRPr="005F2127">
          <w:rPr>
            <w:webHidden/>
            <w:color w:val="005CA9"/>
          </w:rPr>
          <w:instrText xml:space="preserve"> PAGEREF _Toc229588498 \h </w:instrText>
        </w:r>
        <w:r w:rsidRPr="005F2127">
          <w:rPr>
            <w:webHidden/>
            <w:color w:val="005CA9"/>
          </w:rPr>
        </w:r>
        <w:r w:rsidRPr="005F2127">
          <w:rPr>
            <w:webHidden/>
            <w:color w:val="005CA9"/>
          </w:rPr>
          <w:fldChar w:fldCharType="separate"/>
        </w:r>
        <w:r w:rsidR="002032F1" w:rsidRPr="005F2127">
          <w:rPr>
            <w:webHidden/>
            <w:color w:val="005CA9"/>
          </w:rPr>
          <w:t>82</w:t>
        </w:r>
        <w:r w:rsidRPr="005F2127">
          <w:rPr>
            <w:webHidden/>
            <w:color w:val="005CA9"/>
          </w:rPr>
          <w:fldChar w:fldCharType="end"/>
        </w:r>
      </w:hyperlink>
    </w:p>
    <w:p w14:paraId="2A7A5BFF" w14:textId="5C9D91F6"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499" w:history="1">
        <w:r w:rsidRPr="005F2127">
          <w:rPr>
            <w:rStyle w:val="Hyperlink"/>
            <w:color w:val="005CA9"/>
          </w:rPr>
          <w:t>Nota   23 – Ganhos e perdas com a negociação de instrumentos financeiros</w:t>
        </w:r>
        <w:r w:rsidRPr="005F2127">
          <w:rPr>
            <w:webHidden/>
            <w:color w:val="005CA9"/>
          </w:rPr>
          <w:tab/>
        </w:r>
        <w:r w:rsidRPr="005F2127">
          <w:rPr>
            <w:webHidden/>
            <w:color w:val="005CA9"/>
          </w:rPr>
          <w:fldChar w:fldCharType="begin"/>
        </w:r>
        <w:r w:rsidRPr="005F2127">
          <w:rPr>
            <w:webHidden/>
            <w:color w:val="005CA9"/>
          </w:rPr>
          <w:instrText xml:space="preserve"> PAGEREF _Toc229588499 \h </w:instrText>
        </w:r>
        <w:r w:rsidRPr="005F2127">
          <w:rPr>
            <w:webHidden/>
            <w:color w:val="005CA9"/>
          </w:rPr>
        </w:r>
        <w:r w:rsidRPr="005F2127">
          <w:rPr>
            <w:webHidden/>
            <w:color w:val="005CA9"/>
          </w:rPr>
          <w:fldChar w:fldCharType="separate"/>
        </w:r>
        <w:r w:rsidR="002032F1" w:rsidRPr="005F2127">
          <w:rPr>
            <w:webHidden/>
            <w:color w:val="005CA9"/>
          </w:rPr>
          <w:t>83</w:t>
        </w:r>
        <w:r w:rsidRPr="005F2127">
          <w:rPr>
            <w:webHidden/>
            <w:color w:val="005CA9"/>
          </w:rPr>
          <w:fldChar w:fldCharType="end"/>
        </w:r>
      </w:hyperlink>
    </w:p>
    <w:p w14:paraId="33280567" w14:textId="1C8D0354"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500" w:history="1">
        <w:r w:rsidRPr="005F2127">
          <w:rPr>
            <w:rStyle w:val="Hyperlink"/>
            <w:color w:val="005CA9"/>
          </w:rPr>
          <w:t>Nota   24 – Receitas de prestação de serviços e rendas de tarifas bancárias</w:t>
        </w:r>
        <w:r w:rsidRPr="005F2127">
          <w:rPr>
            <w:webHidden/>
            <w:color w:val="005CA9"/>
          </w:rPr>
          <w:tab/>
        </w:r>
        <w:r w:rsidRPr="005F2127">
          <w:rPr>
            <w:webHidden/>
            <w:color w:val="005CA9"/>
          </w:rPr>
          <w:fldChar w:fldCharType="begin"/>
        </w:r>
        <w:r w:rsidRPr="005F2127">
          <w:rPr>
            <w:webHidden/>
            <w:color w:val="005CA9"/>
          </w:rPr>
          <w:instrText xml:space="preserve"> PAGEREF _Toc229588500 \h </w:instrText>
        </w:r>
        <w:r w:rsidRPr="005F2127">
          <w:rPr>
            <w:webHidden/>
            <w:color w:val="005CA9"/>
          </w:rPr>
        </w:r>
        <w:r w:rsidRPr="005F2127">
          <w:rPr>
            <w:webHidden/>
            <w:color w:val="005CA9"/>
          </w:rPr>
          <w:fldChar w:fldCharType="separate"/>
        </w:r>
        <w:r w:rsidR="002032F1" w:rsidRPr="005F2127">
          <w:rPr>
            <w:webHidden/>
            <w:color w:val="005CA9"/>
          </w:rPr>
          <w:t>83</w:t>
        </w:r>
        <w:r w:rsidRPr="005F2127">
          <w:rPr>
            <w:webHidden/>
            <w:color w:val="005CA9"/>
          </w:rPr>
          <w:fldChar w:fldCharType="end"/>
        </w:r>
      </w:hyperlink>
    </w:p>
    <w:p w14:paraId="21640A00" w14:textId="77E19989"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501" w:history="1">
        <w:r w:rsidRPr="005F2127">
          <w:rPr>
            <w:rStyle w:val="Hyperlink"/>
            <w:color w:val="005CA9"/>
          </w:rPr>
          <w:t>Nota   25 – Despesas com pessoal</w:t>
        </w:r>
        <w:r w:rsidRPr="005F2127">
          <w:rPr>
            <w:webHidden/>
            <w:color w:val="005CA9"/>
          </w:rPr>
          <w:tab/>
        </w:r>
        <w:r w:rsidRPr="005F2127">
          <w:rPr>
            <w:webHidden/>
            <w:color w:val="005CA9"/>
          </w:rPr>
          <w:fldChar w:fldCharType="begin"/>
        </w:r>
        <w:r w:rsidRPr="005F2127">
          <w:rPr>
            <w:webHidden/>
            <w:color w:val="005CA9"/>
          </w:rPr>
          <w:instrText xml:space="preserve"> PAGEREF _Toc229588501 \h </w:instrText>
        </w:r>
        <w:r w:rsidRPr="005F2127">
          <w:rPr>
            <w:webHidden/>
            <w:color w:val="005CA9"/>
          </w:rPr>
        </w:r>
        <w:r w:rsidRPr="005F2127">
          <w:rPr>
            <w:webHidden/>
            <w:color w:val="005CA9"/>
          </w:rPr>
          <w:fldChar w:fldCharType="separate"/>
        </w:r>
        <w:r w:rsidR="002032F1" w:rsidRPr="005F2127">
          <w:rPr>
            <w:webHidden/>
            <w:color w:val="005CA9"/>
          </w:rPr>
          <w:t>84</w:t>
        </w:r>
        <w:r w:rsidRPr="005F2127">
          <w:rPr>
            <w:webHidden/>
            <w:color w:val="005CA9"/>
          </w:rPr>
          <w:fldChar w:fldCharType="end"/>
        </w:r>
      </w:hyperlink>
    </w:p>
    <w:p w14:paraId="15E063B7" w14:textId="4588EDE4"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502" w:history="1">
        <w:r w:rsidRPr="005F2127">
          <w:rPr>
            <w:rStyle w:val="Hyperlink"/>
            <w:color w:val="005CA9"/>
          </w:rPr>
          <w:t>Nota   26 – Outras despesas administrativas</w:t>
        </w:r>
        <w:r w:rsidRPr="005F2127">
          <w:rPr>
            <w:webHidden/>
            <w:color w:val="005CA9"/>
          </w:rPr>
          <w:tab/>
        </w:r>
        <w:r w:rsidRPr="005F2127">
          <w:rPr>
            <w:webHidden/>
            <w:color w:val="005CA9"/>
          </w:rPr>
          <w:fldChar w:fldCharType="begin"/>
        </w:r>
        <w:r w:rsidRPr="005F2127">
          <w:rPr>
            <w:webHidden/>
            <w:color w:val="005CA9"/>
          </w:rPr>
          <w:instrText xml:space="preserve"> PAGEREF _Toc229588502 \h </w:instrText>
        </w:r>
        <w:r w:rsidRPr="005F2127">
          <w:rPr>
            <w:webHidden/>
            <w:color w:val="005CA9"/>
          </w:rPr>
        </w:r>
        <w:r w:rsidRPr="005F2127">
          <w:rPr>
            <w:webHidden/>
            <w:color w:val="005CA9"/>
          </w:rPr>
          <w:fldChar w:fldCharType="separate"/>
        </w:r>
        <w:r w:rsidR="002032F1" w:rsidRPr="005F2127">
          <w:rPr>
            <w:webHidden/>
            <w:color w:val="005CA9"/>
          </w:rPr>
          <w:t>85</w:t>
        </w:r>
        <w:r w:rsidRPr="005F2127">
          <w:rPr>
            <w:webHidden/>
            <w:color w:val="005CA9"/>
          </w:rPr>
          <w:fldChar w:fldCharType="end"/>
        </w:r>
      </w:hyperlink>
    </w:p>
    <w:p w14:paraId="5C5E226B" w14:textId="787918DA"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503" w:history="1">
        <w:r w:rsidRPr="005F2127">
          <w:rPr>
            <w:rStyle w:val="Hyperlink"/>
            <w:color w:val="005CA9"/>
          </w:rPr>
          <w:t>Nota   27 – Despesas tributárias</w:t>
        </w:r>
        <w:r w:rsidRPr="005F2127">
          <w:rPr>
            <w:webHidden/>
            <w:color w:val="005CA9"/>
          </w:rPr>
          <w:tab/>
        </w:r>
        <w:r w:rsidRPr="005F2127">
          <w:rPr>
            <w:webHidden/>
            <w:color w:val="005CA9"/>
          </w:rPr>
          <w:fldChar w:fldCharType="begin"/>
        </w:r>
        <w:r w:rsidRPr="005F2127">
          <w:rPr>
            <w:webHidden/>
            <w:color w:val="005CA9"/>
          </w:rPr>
          <w:instrText xml:space="preserve"> PAGEREF _Toc229588503 \h </w:instrText>
        </w:r>
        <w:r w:rsidRPr="005F2127">
          <w:rPr>
            <w:webHidden/>
            <w:color w:val="005CA9"/>
          </w:rPr>
        </w:r>
        <w:r w:rsidRPr="005F2127">
          <w:rPr>
            <w:webHidden/>
            <w:color w:val="005CA9"/>
          </w:rPr>
          <w:fldChar w:fldCharType="separate"/>
        </w:r>
        <w:r w:rsidR="002032F1" w:rsidRPr="005F2127">
          <w:rPr>
            <w:webHidden/>
            <w:color w:val="005CA9"/>
          </w:rPr>
          <w:t>85</w:t>
        </w:r>
        <w:r w:rsidRPr="005F2127">
          <w:rPr>
            <w:webHidden/>
            <w:color w:val="005CA9"/>
          </w:rPr>
          <w:fldChar w:fldCharType="end"/>
        </w:r>
      </w:hyperlink>
    </w:p>
    <w:p w14:paraId="225B52E4" w14:textId="244C1AFC"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504" w:history="1">
        <w:r w:rsidRPr="005F2127">
          <w:rPr>
            <w:rStyle w:val="Hyperlink"/>
            <w:color w:val="005CA9"/>
          </w:rPr>
          <w:t>Nota   28 – Outras receitas</w:t>
        </w:r>
        <w:r w:rsidRPr="005F2127">
          <w:rPr>
            <w:webHidden/>
            <w:color w:val="005CA9"/>
          </w:rPr>
          <w:tab/>
        </w:r>
        <w:r w:rsidRPr="005F2127">
          <w:rPr>
            <w:webHidden/>
            <w:color w:val="005CA9"/>
          </w:rPr>
          <w:fldChar w:fldCharType="begin"/>
        </w:r>
        <w:r w:rsidRPr="005F2127">
          <w:rPr>
            <w:webHidden/>
            <w:color w:val="005CA9"/>
          </w:rPr>
          <w:instrText xml:space="preserve"> PAGEREF _Toc229588504 \h </w:instrText>
        </w:r>
        <w:r w:rsidRPr="005F2127">
          <w:rPr>
            <w:webHidden/>
            <w:color w:val="005CA9"/>
          </w:rPr>
        </w:r>
        <w:r w:rsidRPr="005F2127">
          <w:rPr>
            <w:webHidden/>
            <w:color w:val="005CA9"/>
          </w:rPr>
          <w:fldChar w:fldCharType="separate"/>
        </w:r>
        <w:r w:rsidR="002032F1" w:rsidRPr="005F2127">
          <w:rPr>
            <w:webHidden/>
            <w:color w:val="005CA9"/>
          </w:rPr>
          <w:t>86</w:t>
        </w:r>
        <w:r w:rsidRPr="005F2127">
          <w:rPr>
            <w:webHidden/>
            <w:color w:val="005CA9"/>
          </w:rPr>
          <w:fldChar w:fldCharType="end"/>
        </w:r>
      </w:hyperlink>
    </w:p>
    <w:p w14:paraId="2487BD83" w14:textId="1077EBEA"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505" w:history="1">
        <w:r w:rsidRPr="005F2127">
          <w:rPr>
            <w:rStyle w:val="Hyperlink"/>
            <w:color w:val="005CA9"/>
          </w:rPr>
          <w:t>Nota   29 – Outras despesas</w:t>
        </w:r>
        <w:r w:rsidRPr="005F2127">
          <w:rPr>
            <w:webHidden/>
            <w:color w:val="005CA9"/>
          </w:rPr>
          <w:tab/>
        </w:r>
        <w:r w:rsidRPr="005F2127">
          <w:rPr>
            <w:webHidden/>
            <w:color w:val="005CA9"/>
          </w:rPr>
          <w:fldChar w:fldCharType="begin"/>
        </w:r>
        <w:r w:rsidRPr="005F2127">
          <w:rPr>
            <w:webHidden/>
            <w:color w:val="005CA9"/>
          </w:rPr>
          <w:instrText xml:space="preserve"> PAGEREF _Toc229588505 \h </w:instrText>
        </w:r>
        <w:r w:rsidRPr="005F2127">
          <w:rPr>
            <w:webHidden/>
            <w:color w:val="005CA9"/>
          </w:rPr>
        </w:r>
        <w:r w:rsidRPr="005F2127">
          <w:rPr>
            <w:webHidden/>
            <w:color w:val="005CA9"/>
          </w:rPr>
          <w:fldChar w:fldCharType="separate"/>
        </w:r>
        <w:r w:rsidR="002032F1" w:rsidRPr="005F2127">
          <w:rPr>
            <w:webHidden/>
            <w:color w:val="005CA9"/>
          </w:rPr>
          <w:t>86</w:t>
        </w:r>
        <w:r w:rsidRPr="005F2127">
          <w:rPr>
            <w:webHidden/>
            <w:color w:val="005CA9"/>
          </w:rPr>
          <w:fldChar w:fldCharType="end"/>
        </w:r>
      </w:hyperlink>
    </w:p>
    <w:p w14:paraId="067E056A" w14:textId="5DBC8347"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506" w:history="1">
        <w:r w:rsidRPr="005F2127">
          <w:rPr>
            <w:rStyle w:val="Hyperlink"/>
            <w:color w:val="005CA9"/>
          </w:rPr>
          <w:t>Nota   30 – Constituição e reversão de provisões</w:t>
        </w:r>
        <w:r w:rsidRPr="005F2127">
          <w:rPr>
            <w:webHidden/>
            <w:color w:val="005CA9"/>
          </w:rPr>
          <w:tab/>
        </w:r>
        <w:r w:rsidRPr="005F2127">
          <w:rPr>
            <w:webHidden/>
            <w:color w:val="005CA9"/>
          </w:rPr>
          <w:fldChar w:fldCharType="begin"/>
        </w:r>
        <w:r w:rsidRPr="005F2127">
          <w:rPr>
            <w:webHidden/>
            <w:color w:val="005CA9"/>
          </w:rPr>
          <w:instrText xml:space="preserve"> PAGEREF _Toc229588506 \h </w:instrText>
        </w:r>
        <w:r w:rsidRPr="005F2127">
          <w:rPr>
            <w:webHidden/>
            <w:color w:val="005CA9"/>
          </w:rPr>
        </w:r>
        <w:r w:rsidRPr="005F2127">
          <w:rPr>
            <w:webHidden/>
            <w:color w:val="005CA9"/>
          </w:rPr>
          <w:fldChar w:fldCharType="separate"/>
        </w:r>
        <w:r w:rsidR="002032F1" w:rsidRPr="005F2127">
          <w:rPr>
            <w:webHidden/>
            <w:color w:val="005CA9"/>
          </w:rPr>
          <w:t>87</w:t>
        </w:r>
        <w:r w:rsidRPr="005F2127">
          <w:rPr>
            <w:webHidden/>
            <w:color w:val="005CA9"/>
          </w:rPr>
          <w:fldChar w:fldCharType="end"/>
        </w:r>
      </w:hyperlink>
    </w:p>
    <w:p w14:paraId="2BA2572D" w14:textId="7573544D"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507" w:history="1">
        <w:r w:rsidRPr="005F2127">
          <w:rPr>
            <w:rStyle w:val="Hyperlink"/>
            <w:color w:val="005CA9"/>
          </w:rPr>
          <w:t>Nota   31 – Resultado não operacional</w:t>
        </w:r>
        <w:r w:rsidRPr="005F2127">
          <w:rPr>
            <w:webHidden/>
            <w:color w:val="005CA9"/>
          </w:rPr>
          <w:tab/>
        </w:r>
        <w:r w:rsidRPr="005F2127">
          <w:rPr>
            <w:webHidden/>
            <w:color w:val="005CA9"/>
          </w:rPr>
          <w:fldChar w:fldCharType="begin"/>
        </w:r>
        <w:r w:rsidRPr="005F2127">
          <w:rPr>
            <w:webHidden/>
            <w:color w:val="005CA9"/>
          </w:rPr>
          <w:instrText xml:space="preserve"> PAGEREF _Toc229588507 \h </w:instrText>
        </w:r>
        <w:r w:rsidRPr="005F2127">
          <w:rPr>
            <w:webHidden/>
            <w:color w:val="005CA9"/>
          </w:rPr>
        </w:r>
        <w:r w:rsidRPr="005F2127">
          <w:rPr>
            <w:webHidden/>
            <w:color w:val="005CA9"/>
          </w:rPr>
          <w:fldChar w:fldCharType="separate"/>
        </w:r>
        <w:r w:rsidR="002032F1" w:rsidRPr="005F2127">
          <w:rPr>
            <w:webHidden/>
            <w:color w:val="005CA9"/>
          </w:rPr>
          <w:t>87</w:t>
        </w:r>
        <w:r w:rsidRPr="005F2127">
          <w:rPr>
            <w:webHidden/>
            <w:color w:val="005CA9"/>
          </w:rPr>
          <w:fldChar w:fldCharType="end"/>
        </w:r>
      </w:hyperlink>
    </w:p>
    <w:p w14:paraId="0DF71E83" w14:textId="1DA0A1D4"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508" w:history="1">
        <w:r w:rsidRPr="005F2127">
          <w:rPr>
            <w:rStyle w:val="Hyperlink"/>
            <w:color w:val="005CA9"/>
          </w:rPr>
          <w:t>Nota   32 – Partes relacionadas</w:t>
        </w:r>
        <w:r w:rsidRPr="005F2127">
          <w:rPr>
            <w:webHidden/>
            <w:color w:val="005CA9"/>
          </w:rPr>
          <w:tab/>
        </w:r>
        <w:r w:rsidRPr="005F2127">
          <w:rPr>
            <w:webHidden/>
            <w:color w:val="005CA9"/>
          </w:rPr>
          <w:fldChar w:fldCharType="begin"/>
        </w:r>
        <w:r w:rsidRPr="005F2127">
          <w:rPr>
            <w:webHidden/>
            <w:color w:val="005CA9"/>
          </w:rPr>
          <w:instrText xml:space="preserve"> PAGEREF _Toc229588508 \h </w:instrText>
        </w:r>
        <w:r w:rsidRPr="005F2127">
          <w:rPr>
            <w:webHidden/>
            <w:color w:val="005CA9"/>
          </w:rPr>
        </w:r>
        <w:r w:rsidRPr="005F2127">
          <w:rPr>
            <w:webHidden/>
            <w:color w:val="005CA9"/>
          </w:rPr>
          <w:fldChar w:fldCharType="separate"/>
        </w:r>
        <w:r w:rsidR="002032F1" w:rsidRPr="005F2127">
          <w:rPr>
            <w:webHidden/>
            <w:color w:val="005CA9"/>
          </w:rPr>
          <w:t>88</w:t>
        </w:r>
        <w:r w:rsidRPr="005F2127">
          <w:rPr>
            <w:webHidden/>
            <w:color w:val="005CA9"/>
          </w:rPr>
          <w:fldChar w:fldCharType="end"/>
        </w:r>
      </w:hyperlink>
    </w:p>
    <w:p w14:paraId="5C5A2DCD" w14:textId="0D8E4EE3"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509" w:history="1">
        <w:r w:rsidRPr="005F2127">
          <w:rPr>
            <w:rStyle w:val="Hyperlink"/>
            <w:color w:val="005CA9"/>
          </w:rPr>
          <w:t>Nota   33 – Gestão de riscos e de capital</w:t>
        </w:r>
        <w:r w:rsidRPr="005F2127">
          <w:rPr>
            <w:webHidden/>
            <w:color w:val="005CA9"/>
          </w:rPr>
          <w:tab/>
        </w:r>
        <w:r w:rsidRPr="005F2127">
          <w:rPr>
            <w:webHidden/>
            <w:color w:val="005CA9"/>
          </w:rPr>
          <w:fldChar w:fldCharType="begin"/>
        </w:r>
        <w:r w:rsidRPr="005F2127">
          <w:rPr>
            <w:webHidden/>
            <w:color w:val="005CA9"/>
          </w:rPr>
          <w:instrText xml:space="preserve"> PAGEREF _Toc229588509 \h </w:instrText>
        </w:r>
        <w:r w:rsidRPr="005F2127">
          <w:rPr>
            <w:webHidden/>
            <w:color w:val="005CA9"/>
          </w:rPr>
        </w:r>
        <w:r w:rsidRPr="005F2127">
          <w:rPr>
            <w:webHidden/>
            <w:color w:val="005CA9"/>
          </w:rPr>
          <w:fldChar w:fldCharType="separate"/>
        </w:r>
        <w:r w:rsidR="002032F1" w:rsidRPr="005F2127">
          <w:rPr>
            <w:webHidden/>
            <w:color w:val="005CA9"/>
          </w:rPr>
          <w:t>93</w:t>
        </w:r>
        <w:r w:rsidRPr="005F2127">
          <w:rPr>
            <w:webHidden/>
            <w:color w:val="005CA9"/>
          </w:rPr>
          <w:fldChar w:fldCharType="end"/>
        </w:r>
      </w:hyperlink>
    </w:p>
    <w:p w14:paraId="0A9C03BE" w14:textId="52C3EFC7"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510" w:history="1">
        <w:r w:rsidRPr="005F2127">
          <w:rPr>
            <w:rStyle w:val="Hyperlink"/>
            <w:color w:val="005CA9"/>
          </w:rPr>
          <w:t>Nota   34 – Valor justo de ativos e passivos financeiros</w:t>
        </w:r>
        <w:r w:rsidRPr="005F2127">
          <w:rPr>
            <w:webHidden/>
            <w:color w:val="005CA9"/>
          </w:rPr>
          <w:tab/>
        </w:r>
        <w:r w:rsidRPr="005F2127">
          <w:rPr>
            <w:webHidden/>
            <w:color w:val="005CA9"/>
          </w:rPr>
          <w:fldChar w:fldCharType="begin"/>
        </w:r>
        <w:r w:rsidRPr="005F2127">
          <w:rPr>
            <w:webHidden/>
            <w:color w:val="005CA9"/>
          </w:rPr>
          <w:instrText xml:space="preserve"> PAGEREF _Toc229588510 \h </w:instrText>
        </w:r>
        <w:r w:rsidRPr="005F2127">
          <w:rPr>
            <w:webHidden/>
            <w:color w:val="005CA9"/>
          </w:rPr>
        </w:r>
        <w:r w:rsidRPr="005F2127">
          <w:rPr>
            <w:webHidden/>
            <w:color w:val="005CA9"/>
          </w:rPr>
          <w:fldChar w:fldCharType="separate"/>
        </w:r>
        <w:r w:rsidR="002032F1" w:rsidRPr="005F2127">
          <w:rPr>
            <w:webHidden/>
            <w:color w:val="005CA9"/>
          </w:rPr>
          <w:t>99</w:t>
        </w:r>
        <w:r w:rsidRPr="005F2127">
          <w:rPr>
            <w:webHidden/>
            <w:color w:val="005CA9"/>
          </w:rPr>
          <w:fldChar w:fldCharType="end"/>
        </w:r>
      </w:hyperlink>
    </w:p>
    <w:p w14:paraId="1E484394" w14:textId="4754FFA1"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511" w:history="1">
        <w:r w:rsidRPr="005F2127">
          <w:rPr>
            <w:rStyle w:val="Hyperlink"/>
            <w:color w:val="005CA9"/>
          </w:rPr>
          <w:t>Nota   35 – Balanço patrimonial por prazo</w:t>
        </w:r>
        <w:r w:rsidRPr="005F2127">
          <w:rPr>
            <w:webHidden/>
            <w:color w:val="005CA9"/>
          </w:rPr>
          <w:tab/>
        </w:r>
        <w:r w:rsidRPr="005F2127">
          <w:rPr>
            <w:webHidden/>
            <w:color w:val="005CA9"/>
          </w:rPr>
          <w:fldChar w:fldCharType="begin"/>
        </w:r>
        <w:r w:rsidRPr="005F2127">
          <w:rPr>
            <w:webHidden/>
            <w:color w:val="005CA9"/>
          </w:rPr>
          <w:instrText xml:space="preserve"> PAGEREF _Toc229588511 \h </w:instrText>
        </w:r>
        <w:r w:rsidRPr="005F2127">
          <w:rPr>
            <w:webHidden/>
            <w:color w:val="005CA9"/>
          </w:rPr>
        </w:r>
        <w:r w:rsidRPr="005F2127">
          <w:rPr>
            <w:webHidden/>
            <w:color w:val="005CA9"/>
          </w:rPr>
          <w:fldChar w:fldCharType="separate"/>
        </w:r>
        <w:r w:rsidR="002032F1" w:rsidRPr="005F2127">
          <w:rPr>
            <w:webHidden/>
            <w:color w:val="005CA9"/>
          </w:rPr>
          <w:t>105</w:t>
        </w:r>
        <w:r w:rsidRPr="005F2127">
          <w:rPr>
            <w:webHidden/>
            <w:color w:val="005CA9"/>
          </w:rPr>
          <w:fldChar w:fldCharType="end"/>
        </w:r>
      </w:hyperlink>
    </w:p>
    <w:p w14:paraId="5555370B" w14:textId="79443E6F"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512" w:history="1">
        <w:r w:rsidRPr="005F2127">
          <w:rPr>
            <w:rStyle w:val="Hyperlink"/>
            <w:color w:val="005CA9"/>
          </w:rPr>
          <w:t>Nota   36 – Resultado recorrente e não recorrente</w:t>
        </w:r>
        <w:r w:rsidRPr="005F2127">
          <w:rPr>
            <w:webHidden/>
            <w:color w:val="005CA9"/>
          </w:rPr>
          <w:tab/>
        </w:r>
        <w:r w:rsidRPr="005F2127">
          <w:rPr>
            <w:webHidden/>
            <w:color w:val="005CA9"/>
          </w:rPr>
          <w:fldChar w:fldCharType="begin"/>
        </w:r>
        <w:r w:rsidRPr="005F2127">
          <w:rPr>
            <w:webHidden/>
            <w:color w:val="005CA9"/>
          </w:rPr>
          <w:instrText xml:space="preserve"> PAGEREF _Toc229588512 \h </w:instrText>
        </w:r>
        <w:r w:rsidRPr="005F2127">
          <w:rPr>
            <w:webHidden/>
            <w:color w:val="005CA9"/>
          </w:rPr>
        </w:r>
        <w:r w:rsidRPr="005F2127">
          <w:rPr>
            <w:webHidden/>
            <w:color w:val="005CA9"/>
          </w:rPr>
          <w:fldChar w:fldCharType="separate"/>
        </w:r>
        <w:r w:rsidR="002032F1" w:rsidRPr="005F2127">
          <w:rPr>
            <w:webHidden/>
            <w:color w:val="005CA9"/>
          </w:rPr>
          <w:t>109</w:t>
        </w:r>
        <w:r w:rsidRPr="005F2127">
          <w:rPr>
            <w:webHidden/>
            <w:color w:val="005CA9"/>
          </w:rPr>
          <w:fldChar w:fldCharType="end"/>
        </w:r>
      </w:hyperlink>
    </w:p>
    <w:p w14:paraId="412D7644" w14:textId="31EA5BCB" w:rsidR="008D6754" w:rsidRPr="005F2127" w:rsidRDefault="008D6754">
      <w:pPr>
        <w:pStyle w:val="Sumrio1"/>
        <w:rPr>
          <w:rFonts w:asciiTheme="minorHAnsi" w:eastAsiaTheme="minorEastAsia" w:hAnsiTheme="minorHAnsi" w:cstheme="minorBidi"/>
          <w:color w:val="005CA9"/>
          <w:kern w:val="2"/>
          <w:sz w:val="24"/>
          <w:szCs w:val="24"/>
          <w14:ligatures w14:val="standardContextual"/>
        </w:rPr>
      </w:pPr>
      <w:hyperlink w:anchor="_Toc229588513" w:history="1">
        <w:r w:rsidRPr="005F2127">
          <w:rPr>
            <w:rStyle w:val="Hyperlink"/>
            <w:color w:val="005CA9"/>
          </w:rPr>
          <w:t>Nota   37 – Outras informações</w:t>
        </w:r>
        <w:r w:rsidRPr="005F2127">
          <w:rPr>
            <w:webHidden/>
            <w:color w:val="005CA9"/>
          </w:rPr>
          <w:tab/>
        </w:r>
        <w:r w:rsidRPr="005F2127">
          <w:rPr>
            <w:webHidden/>
            <w:color w:val="005CA9"/>
          </w:rPr>
          <w:fldChar w:fldCharType="begin"/>
        </w:r>
        <w:r w:rsidRPr="005F2127">
          <w:rPr>
            <w:webHidden/>
            <w:color w:val="005CA9"/>
          </w:rPr>
          <w:instrText xml:space="preserve"> PAGEREF _Toc229588513 \h </w:instrText>
        </w:r>
        <w:r w:rsidRPr="005F2127">
          <w:rPr>
            <w:webHidden/>
            <w:color w:val="005CA9"/>
          </w:rPr>
        </w:r>
        <w:r w:rsidRPr="005F2127">
          <w:rPr>
            <w:webHidden/>
            <w:color w:val="005CA9"/>
          </w:rPr>
          <w:fldChar w:fldCharType="separate"/>
        </w:r>
        <w:r w:rsidR="002032F1" w:rsidRPr="005F2127">
          <w:rPr>
            <w:webHidden/>
            <w:color w:val="005CA9"/>
          </w:rPr>
          <w:t>109</w:t>
        </w:r>
        <w:r w:rsidRPr="005F2127">
          <w:rPr>
            <w:webHidden/>
            <w:color w:val="005CA9"/>
          </w:rPr>
          <w:fldChar w:fldCharType="end"/>
        </w:r>
      </w:hyperlink>
    </w:p>
    <w:p w14:paraId="081EDD4F" w14:textId="7F7B04FB" w:rsidR="008D6754" w:rsidRPr="005F2127" w:rsidRDefault="008D6754">
      <w:pPr>
        <w:pStyle w:val="Sumrio1"/>
        <w:rPr>
          <w:rStyle w:val="Hyperlink"/>
          <w:color w:val="005CA9"/>
        </w:rPr>
      </w:pPr>
      <w:hyperlink w:anchor="_Toc229588514" w:history="1">
        <w:r w:rsidRPr="005F2127">
          <w:rPr>
            <w:rStyle w:val="Hyperlink"/>
            <w:color w:val="005CA9"/>
          </w:rPr>
          <w:t>Nota   38 – Eventos subsequentes</w:t>
        </w:r>
        <w:r w:rsidRPr="005F2127">
          <w:rPr>
            <w:webHidden/>
            <w:color w:val="005CA9"/>
          </w:rPr>
          <w:tab/>
        </w:r>
        <w:r w:rsidRPr="005F2127">
          <w:rPr>
            <w:webHidden/>
            <w:color w:val="005CA9"/>
          </w:rPr>
          <w:fldChar w:fldCharType="begin"/>
        </w:r>
        <w:r w:rsidRPr="005F2127">
          <w:rPr>
            <w:webHidden/>
            <w:color w:val="005CA9"/>
          </w:rPr>
          <w:instrText xml:space="preserve"> PAGEREF _Toc229588514 \h </w:instrText>
        </w:r>
        <w:r w:rsidRPr="005F2127">
          <w:rPr>
            <w:webHidden/>
            <w:color w:val="005CA9"/>
          </w:rPr>
        </w:r>
        <w:r w:rsidRPr="005F2127">
          <w:rPr>
            <w:webHidden/>
            <w:color w:val="005CA9"/>
          </w:rPr>
          <w:fldChar w:fldCharType="separate"/>
        </w:r>
        <w:r w:rsidR="002032F1" w:rsidRPr="005F2127">
          <w:rPr>
            <w:webHidden/>
            <w:color w:val="005CA9"/>
          </w:rPr>
          <w:t>110</w:t>
        </w:r>
        <w:r w:rsidRPr="005F2127">
          <w:rPr>
            <w:webHidden/>
            <w:color w:val="005CA9"/>
          </w:rPr>
          <w:fldChar w:fldCharType="end"/>
        </w:r>
      </w:hyperlink>
    </w:p>
    <w:p w14:paraId="689AE1C1" w14:textId="77777777" w:rsidR="002032F1" w:rsidRPr="005F2127" w:rsidRDefault="002032F1" w:rsidP="002032F1">
      <w:pPr>
        <w:rPr>
          <w:color w:val="005CA9"/>
        </w:rPr>
      </w:pPr>
    </w:p>
    <w:p w14:paraId="231CC192" w14:textId="66F7A1E2" w:rsidR="008D6754" w:rsidRPr="005F2127" w:rsidRDefault="008D6754">
      <w:pPr>
        <w:pStyle w:val="Sumrio1"/>
        <w:rPr>
          <w:rFonts w:asciiTheme="minorHAnsi" w:eastAsiaTheme="minorEastAsia" w:hAnsiTheme="minorHAnsi" w:cstheme="minorBidi"/>
          <w:b/>
          <w:bCs/>
          <w:color w:val="005CA9"/>
          <w:kern w:val="2"/>
          <w:sz w:val="24"/>
          <w:szCs w:val="24"/>
          <w14:ligatures w14:val="standardContextual"/>
        </w:rPr>
      </w:pPr>
      <w:hyperlink w:anchor="_Toc229588515" w:history="1">
        <w:r w:rsidRPr="005F2127">
          <w:rPr>
            <w:rStyle w:val="Hyperlink"/>
            <w:b/>
            <w:bCs/>
            <w:color w:val="005CA9"/>
          </w:rPr>
          <w:t>Parecer do Conselho Fiscal</w:t>
        </w:r>
        <w:r w:rsidRPr="005F2127">
          <w:rPr>
            <w:b/>
            <w:bCs/>
            <w:webHidden/>
            <w:color w:val="005CA9"/>
          </w:rPr>
          <w:tab/>
        </w:r>
        <w:r w:rsidRPr="005F2127">
          <w:rPr>
            <w:b/>
            <w:bCs/>
            <w:webHidden/>
            <w:color w:val="005CA9"/>
          </w:rPr>
          <w:fldChar w:fldCharType="begin"/>
        </w:r>
        <w:r w:rsidRPr="005F2127">
          <w:rPr>
            <w:b/>
            <w:bCs/>
            <w:webHidden/>
            <w:color w:val="005CA9"/>
          </w:rPr>
          <w:instrText xml:space="preserve"> PAGEREF _Toc229588515 \h </w:instrText>
        </w:r>
        <w:r w:rsidRPr="005F2127">
          <w:rPr>
            <w:b/>
            <w:bCs/>
            <w:webHidden/>
            <w:color w:val="005CA9"/>
          </w:rPr>
        </w:r>
        <w:r w:rsidRPr="005F2127">
          <w:rPr>
            <w:b/>
            <w:bCs/>
            <w:webHidden/>
            <w:color w:val="005CA9"/>
          </w:rPr>
          <w:fldChar w:fldCharType="separate"/>
        </w:r>
        <w:r w:rsidR="002032F1" w:rsidRPr="005F2127">
          <w:rPr>
            <w:b/>
            <w:bCs/>
            <w:webHidden/>
            <w:color w:val="005CA9"/>
          </w:rPr>
          <w:t>112</w:t>
        </w:r>
        <w:r w:rsidRPr="005F2127">
          <w:rPr>
            <w:b/>
            <w:bCs/>
            <w:webHidden/>
            <w:color w:val="005CA9"/>
          </w:rPr>
          <w:fldChar w:fldCharType="end"/>
        </w:r>
      </w:hyperlink>
    </w:p>
    <w:p w14:paraId="213AB56A" w14:textId="35FC57F0" w:rsidR="008D6754" w:rsidRPr="005F2127" w:rsidRDefault="008D6754">
      <w:pPr>
        <w:pStyle w:val="Sumrio1"/>
        <w:rPr>
          <w:rFonts w:asciiTheme="minorHAnsi" w:eastAsiaTheme="minorEastAsia" w:hAnsiTheme="minorHAnsi" w:cstheme="minorBidi"/>
          <w:b/>
          <w:bCs/>
          <w:color w:val="005CA9"/>
          <w:kern w:val="2"/>
          <w:sz w:val="24"/>
          <w:szCs w:val="24"/>
          <w14:ligatures w14:val="standardContextual"/>
        </w:rPr>
      </w:pPr>
      <w:hyperlink w:anchor="_Toc229588516" w:history="1">
        <w:r w:rsidRPr="005F2127">
          <w:rPr>
            <w:rStyle w:val="Hyperlink"/>
            <w:b/>
            <w:bCs/>
            <w:color w:val="005CA9"/>
          </w:rPr>
          <w:t>Relatório do Auditor Independente</w:t>
        </w:r>
        <w:r w:rsidRPr="005F2127">
          <w:rPr>
            <w:b/>
            <w:bCs/>
            <w:webHidden/>
            <w:color w:val="005CA9"/>
          </w:rPr>
          <w:tab/>
        </w:r>
        <w:r w:rsidRPr="005F2127">
          <w:rPr>
            <w:b/>
            <w:bCs/>
            <w:webHidden/>
            <w:color w:val="005CA9"/>
          </w:rPr>
          <w:fldChar w:fldCharType="begin"/>
        </w:r>
        <w:r w:rsidRPr="005F2127">
          <w:rPr>
            <w:b/>
            <w:bCs/>
            <w:webHidden/>
            <w:color w:val="005CA9"/>
          </w:rPr>
          <w:instrText xml:space="preserve"> PAGEREF _Toc229588516 \h </w:instrText>
        </w:r>
        <w:r w:rsidRPr="005F2127">
          <w:rPr>
            <w:b/>
            <w:bCs/>
            <w:webHidden/>
            <w:color w:val="005CA9"/>
          </w:rPr>
        </w:r>
        <w:r w:rsidRPr="005F2127">
          <w:rPr>
            <w:b/>
            <w:bCs/>
            <w:webHidden/>
            <w:color w:val="005CA9"/>
          </w:rPr>
          <w:fldChar w:fldCharType="separate"/>
        </w:r>
        <w:r w:rsidR="002032F1" w:rsidRPr="005F2127">
          <w:rPr>
            <w:b/>
            <w:bCs/>
            <w:webHidden/>
            <w:color w:val="005CA9"/>
          </w:rPr>
          <w:t>113</w:t>
        </w:r>
        <w:r w:rsidRPr="005F2127">
          <w:rPr>
            <w:b/>
            <w:bCs/>
            <w:webHidden/>
            <w:color w:val="005CA9"/>
          </w:rPr>
          <w:fldChar w:fldCharType="end"/>
        </w:r>
      </w:hyperlink>
    </w:p>
    <w:p w14:paraId="6BC86C95" w14:textId="644E5FE6" w:rsidR="002146ED" w:rsidRPr="005F2127" w:rsidRDefault="008F3ACF" w:rsidP="00CF725F">
      <w:pPr>
        <w:tabs>
          <w:tab w:val="left" w:pos="2835"/>
          <w:tab w:val="right" w:leader="dot" w:pos="9356"/>
        </w:tabs>
        <w:spacing w:after="120"/>
        <w:ind w:right="68"/>
        <w:rPr>
          <w:rStyle w:val="Hyperlink"/>
          <w:rFonts w:ascii="CAIXA Std Book" w:hAnsi="CAIXA Std Book"/>
          <w:color w:val="005CA9"/>
          <w:u w:val="none"/>
        </w:rPr>
        <w:sectPr w:rsidR="002146ED" w:rsidRPr="005F2127" w:rsidSect="00C71F2B">
          <w:footerReference w:type="even" r:id="rId18"/>
          <w:footerReference w:type="default" r:id="rId19"/>
          <w:footerReference w:type="first" r:id="rId20"/>
          <w:type w:val="continuous"/>
          <w:pgSz w:w="11907" w:h="16840" w:code="9"/>
          <w:pgMar w:top="1418" w:right="851" w:bottom="851" w:left="1418" w:header="1134" w:footer="709" w:gutter="0"/>
          <w:cols w:space="708"/>
          <w:docGrid w:linePitch="360"/>
        </w:sectPr>
      </w:pPr>
      <w:r w:rsidRPr="005F2127">
        <w:rPr>
          <w:rFonts w:cs="Arial"/>
          <w:color w:val="005CA9"/>
          <w:sz w:val="18"/>
          <w:szCs w:val="18"/>
        </w:rPr>
        <w:fldChar w:fldCharType="end"/>
      </w:r>
    </w:p>
    <w:p w14:paraId="4B5A6A8D" w14:textId="6D9E6215" w:rsidR="008D39F0" w:rsidRDefault="008D39F0" w:rsidP="00B735D2">
      <w:pPr>
        <w:pStyle w:val="Ttulo1"/>
      </w:pPr>
      <w:bookmarkStart w:id="4" w:name="_Balanços_Patrimoniais"/>
      <w:bookmarkStart w:id="5" w:name="_Demonstrações_do_Resultado"/>
      <w:bookmarkStart w:id="6" w:name="_Demonstrações_do_Resultado_1"/>
      <w:bookmarkStart w:id="7" w:name="_Demonstrações_das_Mutações"/>
      <w:bookmarkStart w:id="8" w:name="_Demonstrações_Intermediárias_Conden"/>
      <w:bookmarkStart w:id="9" w:name="_Demonstrações_do_Valor"/>
      <w:bookmarkStart w:id="10" w:name="_Toc142991969"/>
      <w:bookmarkStart w:id="11" w:name="_Toc159926861"/>
      <w:bookmarkStart w:id="12" w:name="_Toc166594470"/>
      <w:bookmarkStart w:id="13" w:name="_Toc199664379"/>
      <w:bookmarkStart w:id="14" w:name="_Toc199676638"/>
      <w:bookmarkStart w:id="15" w:name="_Toc209025063"/>
      <w:bookmarkStart w:id="16" w:name="_Toc229588457"/>
      <w:bookmarkStart w:id="17" w:name="_Hlk54796541"/>
      <w:bookmarkEnd w:id="4"/>
      <w:bookmarkEnd w:id="5"/>
      <w:bookmarkEnd w:id="6"/>
      <w:bookmarkEnd w:id="7"/>
      <w:bookmarkEnd w:id="8"/>
      <w:bookmarkEnd w:id="9"/>
      <w:r w:rsidRPr="008E67C0">
        <w:lastRenderedPageBreak/>
        <w:t xml:space="preserve">Balanços </w:t>
      </w:r>
      <w:r w:rsidR="003F37F3">
        <w:t>p</w:t>
      </w:r>
      <w:r w:rsidRPr="008E67C0">
        <w:t>atrimoniais</w:t>
      </w:r>
      <w:bookmarkEnd w:id="10"/>
      <w:bookmarkEnd w:id="11"/>
      <w:bookmarkEnd w:id="12"/>
      <w:bookmarkEnd w:id="13"/>
      <w:bookmarkEnd w:id="14"/>
      <w:r>
        <w:t xml:space="preserve"> </w:t>
      </w:r>
      <w:bookmarkEnd w:id="15"/>
      <w:r w:rsidR="00EA3D3B">
        <w:t>intermediári</w:t>
      </w:r>
      <w:r w:rsidR="00B31F2A">
        <w:t>o</w:t>
      </w:r>
      <w:r w:rsidR="00EA3D3B">
        <w:t>s</w:t>
      </w:r>
      <w:r w:rsidR="00B31F2A">
        <w:t xml:space="preserve"> condensados</w:t>
      </w:r>
      <w:bookmarkStart w:id="18" w:name="_1840023283"/>
      <w:bookmarkEnd w:id="16"/>
      <w:bookmarkEnd w:id="18"/>
    </w:p>
    <w:p w14:paraId="73358CDE" w14:textId="7689CA3A" w:rsidR="008918D0" w:rsidRDefault="009A4338" w:rsidP="008918D0">
      <w:r w:rsidRPr="009A4338">
        <w:rPr>
          <w:noProof/>
        </w:rPr>
        <w:drawing>
          <wp:inline distT="0" distB="0" distL="0" distR="0" wp14:anchorId="60AC3F86" wp14:editId="1F200A49">
            <wp:extent cx="5607685" cy="5882640"/>
            <wp:effectExtent l="0" t="0" r="0" b="3810"/>
            <wp:docPr id="603053121"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07685" cy="5882640"/>
                    </a:xfrm>
                    <a:prstGeom prst="rect">
                      <a:avLst/>
                    </a:prstGeom>
                    <a:noFill/>
                    <a:ln>
                      <a:noFill/>
                    </a:ln>
                  </pic:spPr>
                </pic:pic>
              </a:graphicData>
            </a:graphic>
          </wp:inline>
        </w:drawing>
      </w:r>
    </w:p>
    <w:p w14:paraId="26E82822" w14:textId="6CAF0F19" w:rsidR="008D39F0" w:rsidRDefault="008D39F0">
      <w:r>
        <w:br w:type="page"/>
      </w:r>
    </w:p>
    <w:p w14:paraId="751D24A2" w14:textId="6537BF50" w:rsidR="008D39F0" w:rsidRDefault="008D39F0" w:rsidP="00B735D2">
      <w:pPr>
        <w:pStyle w:val="Ttulo1"/>
      </w:pPr>
      <w:bookmarkStart w:id="19" w:name="_Toc142991970"/>
      <w:bookmarkStart w:id="20" w:name="_Toc159926862"/>
      <w:bookmarkStart w:id="21" w:name="_Toc199664380"/>
      <w:bookmarkStart w:id="22" w:name="_Toc199676639"/>
      <w:bookmarkStart w:id="23" w:name="_Toc209025064"/>
      <w:bookmarkStart w:id="24" w:name="_Toc229588458"/>
      <w:r>
        <w:lastRenderedPageBreak/>
        <w:t xml:space="preserve">Demonstrações </w:t>
      </w:r>
      <w:r w:rsidR="0010641C">
        <w:t>intermediárias condensadas</w:t>
      </w:r>
      <w:r>
        <w:t xml:space="preserve"> do </w:t>
      </w:r>
      <w:r w:rsidR="0010641C">
        <w:t>r</w:t>
      </w:r>
      <w:r>
        <w:t>esultado</w:t>
      </w:r>
      <w:bookmarkEnd w:id="19"/>
      <w:bookmarkEnd w:id="20"/>
      <w:bookmarkEnd w:id="21"/>
      <w:bookmarkEnd w:id="22"/>
      <w:bookmarkEnd w:id="23"/>
      <w:bookmarkEnd w:id="24"/>
    </w:p>
    <w:p w14:paraId="48FDDEBE" w14:textId="2AF50CAB" w:rsidR="008D39F0" w:rsidRPr="008D39F0" w:rsidRDefault="00B86063" w:rsidP="008D39F0">
      <w:r>
        <w:rPr>
          <w:noProof/>
        </w:rPr>
        <w:drawing>
          <wp:inline distT="0" distB="0" distL="0" distR="0" wp14:anchorId="0AC2F5AB" wp14:editId="77C71171">
            <wp:extent cx="6119495" cy="5152390"/>
            <wp:effectExtent l="0" t="0" r="0" b="0"/>
            <wp:docPr id="940133872"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9495" cy="5152390"/>
                    </a:xfrm>
                    <a:prstGeom prst="rect">
                      <a:avLst/>
                    </a:prstGeom>
                    <a:noFill/>
                    <a:ln>
                      <a:noFill/>
                    </a:ln>
                  </pic:spPr>
                </pic:pic>
              </a:graphicData>
            </a:graphic>
          </wp:inline>
        </w:drawing>
      </w:r>
    </w:p>
    <w:p w14:paraId="609186CC" w14:textId="77777777" w:rsidR="008D39F0" w:rsidRDefault="008D39F0">
      <w:r>
        <w:br w:type="page"/>
      </w:r>
    </w:p>
    <w:p w14:paraId="3EA2C8F6" w14:textId="4E36EC97" w:rsidR="008D39F0" w:rsidRDefault="008D39F0" w:rsidP="00B735D2">
      <w:pPr>
        <w:pStyle w:val="Ttulo1"/>
      </w:pPr>
      <w:bookmarkStart w:id="25" w:name="_Toc142991971"/>
      <w:bookmarkStart w:id="26" w:name="_Toc159926863"/>
      <w:bookmarkStart w:id="27" w:name="_Toc199664381"/>
      <w:bookmarkStart w:id="28" w:name="_Toc199676640"/>
      <w:bookmarkStart w:id="29" w:name="_Toc209025065"/>
      <w:bookmarkStart w:id="30" w:name="_Toc229588459"/>
      <w:r w:rsidRPr="004C6A90">
        <w:lastRenderedPageBreak/>
        <w:t xml:space="preserve">Demonstrações </w:t>
      </w:r>
      <w:r w:rsidR="0010641C">
        <w:t>intermediárias condensadas</w:t>
      </w:r>
      <w:r>
        <w:t xml:space="preserve"> </w:t>
      </w:r>
      <w:r w:rsidRPr="004C6A90">
        <w:t xml:space="preserve">do </w:t>
      </w:r>
      <w:r w:rsidR="0010641C">
        <w:t>r</w:t>
      </w:r>
      <w:r w:rsidRPr="004C6A90">
        <w:t xml:space="preserve">esultado </w:t>
      </w:r>
      <w:r w:rsidR="0010641C">
        <w:t>a</w:t>
      </w:r>
      <w:r w:rsidRPr="004C6A90">
        <w:t>brangente</w:t>
      </w:r>
      <w:bookmarkEnd w:id="25"/>
      <w:bookmarkEnd w:id="26"/>
      <w:bookmarkEnd w:id="27"/>
      <w:bookmarkEnd w:id="28"/>
      <w:bookmarkEnd w:id="29"/>
      <w:bookmarkEnd w:id="30"/>
    </w:p>
    <w:p w14:paraId="508E9A45" w14:textId="3FCB451A" w:rsidR="008D39F0" w:rsidRPr="008D39F0" w:rsidRDefault="00821C73" w:rsidP="008D39F0">
      <w:r w:rsidRPr="00821C73">
        <w:rPr>
          <w:noProof/>
        </w:rPr>
        <w:drawing>
          <wp:inline distT="0" distB="0" distL="0" distR="0" wp14:anchorId="408E6C60" wp14:editId="0AEC6A73">
            <wp:extent cx="6120130" cy="2731770"/>
            <wp:effectExtent l="0" t="0" r="0" b="0"/>
            <wp:docPr id="1439188897"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2731770"/>
                    </a:xfrm>
                    <a:prstGeom prst="rect">
                      <a:avLst/>
                    </a:prstGeom>
                    <a:noFill/>
                    <a:ln>
                      <a:noFill/>
                    </a:ln>
                  </pic:spPr>
                </pic:pic>
              </a:graphicData>
            </a:graphic>
          </wp:inline>
        </w:drawing>
      </w:r>
    </w:p>
    <w:p w14:paraId="33B60C2C" w14:textId="77777777" w:rsidR="00413ECE" w:rsidRPr="008D39F0" w:rsidRDefault="00413ECE" w:rsidP="008D39F0"/>
    <w:p w14:paraId="35C5F18A" w14:textId="77777777" w:rsidR="008D39F0" w:rsidRDefault="008D39F0">
      <w:pPr>
        <w:sectPr w:rsidR="008D39F0" w:rsidSect="006A089D">
          <w:pgSz w:w="11907" w:h="16840" w:code="9"/>
          <w:pgMar w:top="1985" w:right="851" w:bottom="1418" w:left="1418" w:header="1134" w:footer="709" w:gutter="0"/>
          <w:cols w:space="708"/>
          <w:docGrid w:linePitch="360"/>
        </w:sectPr>
      </w:pPr>
    </w:p>
    <w:p w14:paraId="451D8A9D" w14:textId="54A00A8F" w:rsidR="008D39F0" w:rsidRDefault="008D39F0" w:rsidP="00B735D2">
      <w:pPr>
        <w:pStyle w:val="Ttulo1"/>
      </w:pPr>
      <w:bookmarkStart w:id="31" w:name="_Toc229588460"/>
      <w:r w:rsidRPr="00535169">
        <w:lastRenderedPageBreak/>
        <w:t xml:space="preserve">Demonstrações </w:t>
      </w:r>
      <w:r w:rsidR="003C76D1">
        <w:t xml:space="preserve">intermediárias condensadas </w:t>
      </w:r>
      <w:r w:rsidRPr="00535169">
        <w:t xml:space="preserve">das </w:t>
      </w:r>
      <w:r w:rsidR="003C76D1">
        <w:t>m</w:t>
      </w:r>
      <w:r w:rsidRPr="00535169">
        <w:t xml:space="preserve">utações do </w:t>
      </w:r>
      <w:r w:rsidR="003C76D1">
        <w:t>p</w:t>
      </w:r>
      <w:r w:rsidRPr="00535169">
        <w:t xml:space="preserve">atrimônio </w:t>
      </w:r>
      <w:r w:rsidR="003C76D1">
        <w:t>l</w:t>
      </w:r>
      <w:r w:rsidRPr="00535169">
        <w:t>íquido</w:t>
      </w:r>
      <w:bookmarkEnd w:id="31"/>
    </w:p>
    <w:p w14:paraId="09050050" w14:textId="25481149" w:rsidR="002711A8" w:rsidRDefault="00AB54CE">
      <w:pPr>
        <w:rPr>
          <w:rFonts w:ascii="CAIXA Std Book" w:hAnsi="CAIXA Std Book"/>
          <w:b/>
          <w:color w:val="005CA9"/>
        </w:rPr>
      </w:pPr>
      <w:r>
        <w:rPr>
          <w:rFonts w:ascii="CAIXA Std Book" w:hAnsi="CAIXA Std Book"/>
          <w:b/>
          <w:noProof/>
          <w:color w:val="005CA9"/>
        </w:rPr>
        <w:drawing>
          <wp:inline distT="0" distB="0" distL="0" distR="0" wp14:anchorId="6D480B8B" wp14:editId="183430FD">
            <wp:extent cx="9250680" cy="4511040"/>
            <wp:effectExtent l="0" t="0" r="7620" b="3810"/>
            <wp:docPr id="782008644"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250680" cy="4511040"/>
                    </a:xfrm>
                    <a:prstGeom prst="rect">
                      <a:avLst/>
                    </a:prstGeom>
                    <a:noFill/>
                    <a:ln>
                      <a:noFill/>
                    </a:ln>
                  </pic:spPr>
                </pic:pic>
              </a:graphicData>
            </a:graphic>
          </wp:inline>
        </w:drawing>
      </w:r>
      <w:r w:rsidR="002711A8">
        <w:rPr>
          <w:rFonts w:ascii="CAIXA Std Book" w:hAnsi="CAIXA Std Book"/>
          <w:b/>
          <w:color w:val="005CA9"/>
        </w:rPr>
        <w:br w:type="page"/>
      </w:r>
    </w:p>
    <w:p w14:paraId="52DA968F" w14:textId="6B62CD42" w:rsidR="00454460" w:rsidRDefault="00454460" w:rsidP="00454460">
      <w:pPr>
        <w:rPr>
          <w:rFonts w:ascii="CAIXA Std Book" w:hAnsi="CAIXA Std Book"/>
          <w:b/>
          <w:color w:val="005CA9"/>
        </w:rPr>
      </w:pPr>
      <w:r w:rsidRPr="00C64411">
        <w:rPr>
          <w:rFonts w:ascii="CAIXA Std Book" w:hAnsi="CAIXA Std Book"/>
          <w:b/>
          <w:color w:val="005CA9"/>
        </w:rPr>
        <w:lastRenderedPageBreak/>
        <w:t xml:space="preserve">Demonstrações </w:t>
      </w:r>
      <w:r w:rsidR="00D93188">
        <w:rPr>
          <w:rFonts w:ascii="CAIXA Std Book" w:hAnsi="CAIXA Std Book"/>
          <w:b/>
          <w:color w:val="005CA9"/>
        </w:rPr>
        <w:t xml:space="preserve">intermediárias condensadas </w:t>
      </w:r>
      <w:r w:rsidRPr="00C64411">
        <w:rPr>
          <w:rFonts w:ascii="CAIXA Std Book" w:hAnsi="CAIXA Std Book"/>
          <w:b/>
          <w:color w:val="005CA9"/>
        </w:rPr>
        <w:t xml:space="preserve">das </w:t>
      </w:r>
      <w:r w:rsidR="00B15073">
        <w:rPr>
          <w:rFonts w:ascii="CAIXA Std Book" w:hAnsi="CAIXA Std Book"/>
          <w:b/>
          <w:color w:val="005CA9"/>
        </w:rPr>
        <w:t>m</w:t>
      </w:r>
      <w:r w:rsidRPr="00C64411">
        <w:rPr>
          <w:rFonts w:ascii="CAIXA Std Book" w:hAnsi="CAIXA Std Book"/>
          <w:b/>
          <w:color w:val="005CA9"/>
        </w:rPr>
        <w:t xml:space="preserve">utações do </w:t>
      </w:r>
      <w:r w:rsidR="00B15073">
        <w:rPr>
          <w:rFonts w:ascii="CAIXA Std Book" w:hAnsi="CAIXA Std Book"/>
          <w:b/>
          <w:color w:val="005CA9"/>
        </w:rPr>
        <w:t>p</w:t>
      </w:r>
      <w:r w:rsidRPr="00C64411">
        <w:rPr>
          <w:rFonts w:ascii="CAIXA Std Book" w:hAnsi="CAIXA Std Book"/>
          <w:b/>
          <w:color w:val="005CA9"/>
        </w:rPr>
        <w:t xml:space="preserve">atrimônio </w:t>
      </w:r>
      <w:r w:rsidR="00B15073">
        <w:rPr>
          <w:rFonts w:ascii="CAIXA Std Book" w:hAnsi="CAIXA Std Book"/>
          <w:b/>
          <w:color w:val="005CA9"/>
        </w:rPr>
        <w:t>l</w:t>
      </w:r>
      <w:r w:rsidRPr="00C64411">
        <w:rPr>
          <w:rFonts w:ascii="CAIXA Std Book" w:hAnsi="CAIXA Std Book"/>
          <w:b/>
          <w:color w:val="005CA9"/>
        </w:rPr>
        <w:t>íquido</w:t>
      </w:r>
    </w:p>
    <w:p w14:paraId="06639006" w14:textId="148B46A1" w:rsidR="006B2175" w:rsidRDefault="00D0731F" w:rsidP="006B2175">
      <w:pPr>
        <w:rPr>
          <w:rFonts w:ascii="CAIXA Std Book" w:hAnsi="CAIXA Std Book"/>
          <w:b/>
          <w:color w:val="005CA9"/>
        </w:rPr>
      </w:pPr>
      <w:r>
        <w:rPr>
          <w:rFonts w:ascii="CAIXA Std Book" w:hAnsi="CAIXA Std Book"/>
          <w:b/>
          <w:noProof/>
          <w:color w:val="005CA9"/>
        </w:rPr>
        <w:drawing>
          <wp:inline distT="0" distB="0" distL="0" distR="0" wp14:anchorId="38608174" wp14:editId="0178DB8C">
            <wp:extent cx="9250680" cy="4663440"/>
            <wp:effectExtent l="0" t="0" r="7620" b="3810"/>
            <wp:docPr id="1238525604"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250680" cy="4663440"/>
                    </a:xfrm>
                    <a:prstGeom prst="rect">
                      <a:avLst/>
                    </a:prstGeom>
                    <a:noFill/>
                    <a:ln>
                      <a:noFill/>
                    </a:ln>
                  </pic:spPr>
                </pic:pic>
              </a:graphicData>
            </a:graphic>
          </wp:inline>
        </w:drawing>
      </w:r>
    </w:p>
    <w:p w14:paraId="536B41C6" w14:textId="45561DC7" w:rsidR="008D39F0" w:rsidRDefault="008D39F0">
      <w:pPr>
        <w:sectPr w:rsidR="008D39F0" w:rsidSect="006B2175">
          <w:headerReference w:type="default" r:id="rId26"/>
          <w:footerReference w:type="default" r:id="rId27"/>
          <w:pgSz w:w="16840" w:h="11907" w:orient="landscape" w:code="9"/>
          <w:pgMar w:top="1985" w:right="851" w:bottom="1418" w:left="1418" w:header="1134" w:footer="709" w:gutter="0"/>
          <w:cols w:space="708"/>
          <w:docGrid w:linePitch="360"/>
        </w:sectPr>
      </w:pPr>
    </w:p>
    <w:p w14:paraId="4F21C1FD" w14:textId="4AD95BE3" w:rsidR="008D39F0" w:rsidRDefault="008D39F0" w:rsidP="00B735D2">
      <w:pPr>
        <w:pStyle w:val="Ttulo1"/>
      </w:pPr>
      <w:bookmarkStart w:id="32" w:name="_Toc40707616"/>
      <w:bookmarkStart w:id="33" w:name="_Toc49280679"/>
      <w:bookmarkStart w:id="34" w:name="_Toc66738666"/>
      <w:bookmarkStart w:id="35" w:name="_Toc96526779"/>
      <w:bookmarkStart w:id="36" w:name="_Toc103084539"/>
      <w:bookmarkStart w:id="37" w:name="_Toc134699636"/>
      <w:bookmarkStart w:id="38" w:name="_Toc142991973"/>
      <w:bookmarkStart w:id="39" w:name="_Toc159926865"/>
      <w:bookmarkStart w:id="40" w:name="_Toc166594474"/>
      <w:bookmarkStart w:id="41" w:name="_Toc182318393"/>
      <w:bookmarkStart w:id="42" w:name="_Toc199664382"/>
      <w:bookmarkStart w:id="43" w:name="_Toc199676641"/>
      <w:bookmarkStart w:id="44" w:name="_Toc209025067"/>
      <w:bookmarkStart w:id="45" w:name="_Toc229588461"/>
      <w:r w:rsidRPr="008E67C0">
        <w:lastRenderedPageBreak/>
        <w:t xml:space="preserve">Demonstrações </w:t>
      </w:r>
      <w:r w:rsidR="00B302B1">
        <w:t xml:space="preserve">intermediárias condensadas </w:t>
      </w:r>
      <w:r w:rsidRPr="008E67C0">
        <w:t xml:space="preserve">dos </w:t>
      </w:r>
      <w:r w:rsidR="00B302B1">
        <w:t>f</w:t>
      </w:r>
      <w:r w:rsidRPr="008E67C0">
        <w:t xml:space="preserve">luxos de </w:t>
      </w:r>
      <w:r w:rsidR="00B302B1">
        <w:t>c</w:t>
      </w:r>
      <w:r w:rsidRPr="008E67C0">
        <w:t>aixa</w:t>
      </w:r>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215BA403" w14:textId="5668EA29" w:rsidR="002E3102" w:rsidRPr="002E3102" w:rsidRDefault="002E3102" w:rsidP="002E3102">
      <w:r w:rsidRPr="002E3102">
        <w:rPr>
          <w:noProof/>
        </w:rPr>
        <w:drawing>
          <wp:inline distT="0" distB="0" distL="0" distR="0" wp14:anchorId="14C205F3" wp14:editId="5EB68499">
            <wp:extent cx="6120130" cy="6301105"/>
            <wp:effectExtent l="0" t="0" r="0" b="4445"/>
            <wp:docPr id="610357381"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130" cy="6301105"/>
                    </a:xfrm>
                    <a:prstGeom prst="rect">
                      <a:avLst/>
                    </a:prstGeom>
                    <a:noFill/>
                    <a:ln>
                      <a:noFill/>
                    </a:ln>
                  </pic:spPr>
                </pic:pic>
              </a:graphicData>
            </a:graphic>
          </wp:inline>
        </w:drawing>
      </w:r>
    </w:p>
    <w:p w14:paraId="22048B6A" w14:textId="683AB105" w:rsidR="008D39F0" w:rsidRDefault="008D39F0">
      <w:pPr>
        <w:sectPr w:rsidR="008D39F0" w:rsidSect="006A089D">
          <w:headerReference w:type="default" r:id="rId29"/>
          <w:footerReference w:type="default" r:id="rId30"/>
          <w:pgSz w:w="11907" w:h="16840" w:code="9"/>
          <w:pgMar w:top="1985" w:right="851" w:bottom="1418" w:left="1418" w:header="1134" w:footer="709" w:gutter="0"/>
          <w:cols w:space="708"/>
          <w:docGrid w:linePitch="360"/>
        </w:sectPr>
      </w:pPr>
    </w:p>
    <w:p w14:paraId="0CB23CBB" w14:textId="052DC51A" w:rsidR="00000830" w:rsidRDefault="00000830" w:rsidP="00B735D2">
      <w:pPr>
        <w:pStyle w:val="Ttulo1"/>
      </w:pPr>
      <w:bookmarkStart w:id="46" w:name="_Toc103084540"/>
      <w:bookmarkStart w:id="47" w:name="_Toc134699637"/>
      <w:bookmarkStart w:id="48" w:name="_Toc142991974"/>
      <w:bookmarkStart w:id="49" w:name="_Toc159926866"/>
      <w:bookmarkStart w:id="50" w:name="_Toc166594475"/>
      <w:bookmarkStart w:id="51" w:name="_Toc182318394"/>
      <w:bookmarkStart w:id="52" w:name="_Toc199664383"/>
      <w:bookmarkStart w:id="53" w:name="_Toc199676642"/>
      <w:bookmarkStart w:id="54" w:name="_Toc199964102"/>
      <w:bookmarkStart w:id="55" w:name="_Toc215061899"/>
      <w:bookmarkStart w:id="56" w:name="_Toc229588462"/>
      <w:r w:rsidRPr="008E67C0">
        <w:lastRenderedPageBreak/>
        <w:t xml:space="preserve">Demonstrações </w:t>
      </w:r>
      <w:r w:rsidR="00CE5193">
        <w:t>intermediárias condensadas</w:t>
      </w:r>
      <w:r>
        <w:t xml:space="preserve"> </w:t>
      </w:r>
      <w:r w:rsidRPr="008E67C0">
        <w:t xml:space="preserve">do </w:t>
      </w:r>
      <w:r w:rsidR="00CE5193">
        <w:t>v</w:t>
      </w:r>
      <w:r w:rsidRPr="008E67C0">
        <w:t xml:space="preserve">alor </w:t>
      </w:r>
      <w:r w:rsidR="003B21DF">
        <w:t>a</w:t>
      </w:r>
      <w:r w:rsidRPr="008E67C0">
        <w:t>dicionado</w:t>
      </w:r>
      <w:bookmarkEnd w:id="46"/>
      <w:bookmarkEnd w:id="47"/>
      <w:bookmarkEnd w:id="48"/>
      <w:bookmarkEnd w:id="49"/>
      <w:bookmarkEnd w:id="50"/>
      <w:bookmarkEnd w:id="51"/>
      <w:bookmarkEnd w:id="52"/>
      <w:bookmarkEnd w:id="53"/>
      <w:bookmarkEnd w:id="54"/>
      <w:bookmarkEnd w:id="55"/>
      <w:bookmarkEnd w:id="56"/>
    </w:p>
    <w:p w14:paraId="48CAA6E8" w14:textId="4255C9F6" w:rsidR="00C617A6" w:rsidRPr="00C617A6" w:rsidRDefault="0023738A" w:rsidP="00C617A6">
      <w:r w:rsidRPr="0023738A">
        <w:rPr>
          <w:noProof/>
        </w:rPr>
        <w:drawing>
          <wp:inline distT="0" distB="0" distL="0" distR="0" wp14:anchorId="243940DE" wp14:editId="5B3845F9">
            <wp:extent cx="6120130" cy="4650105"/>
            <wp:effectExtent l="0" t="0" r="0" b="0"/>
            <wp:docPr id="1882389983"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130" cy="4650105"/>
                    </a:xfrm>
                    <a:prstGeom prst="rect">
                      <a:avLst/>
                    </a:prstGeom>
                    <a:noFill/>
                    <a:ln>
                      <a:noFill/>
                    </a:ln>
                  </pic:spPr>
                </pic:pic>
              </a:graphicData>
            </a:graphic>
          </wp:inline>
        </w:drawing>
      </w:r>
    </w:p>
    <w:p w14:paraId="7214E105" w14:textId="1021A051" w:rsidR="008D39F0" w:rsidRDefault="008D39F0">
      <w:pPr>
        <w:sectPr w:rsidR="008D39F0" w:rsidSect="00F06837">
          <w:pgSz w:w="11907" w:h="16840" w:code="9"/>
          <w:pgMar w:top="1985" w:right="851" w:bottom="1418" w:left="1418" w:header="1134" w:footer="709" w:gutter="0"/>
          <w:cols w:space="708"/>
          <w:docGrid w:linePitch="360"/>
        </w:sectPr>
      </w:pPr>
    </w:p>
    <w:p w14:paraId="35FB4576" w14:textId="00D864F4" w:rsidR="005F303D" w:rsidRPr="00E95E29" w:rsidRDefault="005F303D" w:rsidP="00B735D2">
      <w:pPr>
        <w:pStyle w:val="Ttulo1"/>
      </w:pPr>
      <w:hyperlink w:anchor="Nota1" w:history="1">
        <w:bookmarkStart w:id="57" w:name="_Toc217914313"/>
        <w:bookmarkStart w:id="58" w:name="_Toc229588463"/>
        <w:r w:rsidRPr="00E95E29">
          <w:t>Nota   1 – Contexto operacional</w:t>
        </w:r>
        <w:bookmarkEnd w:id="57"/>
        <w:bookmarkEnd w:id="58"/>
      </w:hyperlink>
    </w:p>
    <w:bookmarkEnd w:id="17"/>
    <w:p w14:paraId="33C1C5C3" w14:textId="28397AF7" w:rsidR="00617DD1" w:rsidRPr="00617DD1" w:rsidRDefault="00723A57" w:rsidP="003A191A">
      <w:pPr>
        <w:jc w:val="both"/>
        <w:rPr>
          <w:rFonts w:ascii="CAIXA Std Book" w:hAnsi="CAIXA Std Book"/>
          <w:color w:val="005CA9"/>
          <w:sz w:val="20"/>
          <w:szCs w:val="20"/>
        </w:rPr>
      </w:pPr>
      <w:r w:rsidRPr="00BE5763">
        <w:rPr>
          <w:rFonts w:ascii="CAIXA Std Book" w:hAnsi="CAIXA Std Book"/>
          <w:color w:val="005CA9"/>
          <w:sz w:val="20"/>
          <w:szCs w:val="20"/>
        </w:rPr>
        <w:t xml:space="preserve">A </w:t>
      </w:r>
      <w:r w:rsidR="00617DD1" w:rsidRPr="00617DD1">
        <w:rPr>
          <w:rFonts w:ascii="CAIXA Std Book" w:hAnsi="CAIXA Std Book"/>
          <w:color w:val="005CA9"/>
          <w:sz w:val="20"/>
          <w:szCs w:val="20"/>
        </w:rPr>
        <w:t xml:space="preserve">Caixa Econômica Federal (“CAIXA” ou “Instituição”) é uma instituição financeira com 165 anos de atuação, constituída em seu modelo por meio do Decreto-Lei nº 759, de 12/08/1969, sob a forma de empresa pública, com personalidade jurídica de direito privado, e vinculada ao Governo Federal por intermédio do Ministério da Fazenda. Possui sede e domicílio no Setor Bancário Sul, Quadra 4, Lotes 3 e 4, Brasília, Distrito Federal, Brasil. Em conformidade com o art. 173 da Constituição Federal e com o art. 2º, §1º da Lei nº 13.303, de 30/06/2016, sua constituição como empresa pública é justificada pelo relevante interesse coletivo marcado pela promoção da cidadania e do desenvolvimento do país, tanto como instituição financeira e agente de políticas públicas, quanto como principal parceira estratégica do Estado brasileiro. </w:t>
      </w:r>
    </w:p>
    <w:p w14:paraId="0A037371" w14:textId="16A7FF25" w:rsidR="00354FA8" w:rsidRPr="0059631B" w:rsidRDefault="006B4883" w:rsidP="006C7C19">
      <w:pPr>
        <w:spacing w:before="120" w:after="240"/>
        <w:jc w:val="both"/>
        <w:rPr>
          <w:rFonts w:ascii="CAIXA Std Book" w:hAnsi="CAIXA Std Book"/>
          <w:color w:val="005CA9"/>
          <w:sz w:val="20"/>
          <w:szCs w:val="20"/>
        </w:rPr>
      </w:pPr>
      <w:r w:rsidRPr="00B04D8D">
        <w:rPr>
          <w:rFonts w:ascii="CAIXA Std Book" w:hAnsi="CAIXA Std Book"/>
          <w:color w:val="005CA9"/>
          <w:sz w:val="20"/>
          <w:szCs w:val="20"/>
        </w:rPr>
        <w:t>Por delegação do Governo Federal, a CAIXA exerce o papel de agente operador de fundos</w:t>
      </w:r>
      <w:r w:rsidR="00F57DCF" w:rsidRPr="00B04D8D">
        <w:rPr>
          <w:rFonts w:ascii="CAIXA Std Book" w:hAnsi="CAIXA Std Book"/>
          <w:color w:val="005CA9"/>
          <w:sz w:val="20"/>
          <w:szCs w:val="20"/>
        </w:rPr>
        <w:t xml:space="preserve"> </w:t>
      </w:r>
      <w:r w:rsidRPr="00B04D8D">
        <w:rPr>
          <w:rFonts w:ascii="CAIXA Std Book" w:hAnsi="CAIXA Std Book"/>
          <w:color w:val="005CA9"/>
          <w:sz w:val="20"/>
          <w:szCs w:val="20"/>
        </w:rPr>
        <w:t xml:space="preserve">e de programas sociais, dentre os quais se destacam o Fundo de Garantia </w:t>
      </w:r>
      <w:r w:rsidR="00E05A94">
        <w:rPr>
          <w:rFonts w:ascii="CAIXA Std Book" w:hAnsi="CAIXA Std Book"/>
          <w:color w:val="005CA9"/>
          <w:sz w:val="20"/>
          <w:szCs w:val="20"/>
        </w:rPr>
        <w:t>do</w:t>
      </w:r>
      <w:r w:rsidRPr="00B04D8D">
        <w:rPr>
          <w:rFonts w:ascii="CAIXA Std Book" w:hAnsi="CAIXA Std Book"/>
          <w:color w:val="005CA9"/>
          <w:sz w:val="20"/>
          <w:szCs w:val="20"/>
        </w:rPr>
        <w:t xml:space="preserve"> Tempo de Serviço (FGTS), sendo o seu principal agente financeiro, do Fundo de Compensação de Variações Salariais (FCVS), do Fundo de Arrendamento Residencial (FAR)</w:t>
      </w:r>
      <w:r w:rsidR="009E693E">
        <w:rPr>
          <w:rFonts w:ascii="CAIXA Std Book" w:hAnsi="CAIXA Std Book"/>
          <w:color w:val="005CA9"/>
          <w:sz w:val="20"/>
          <w:szCs w:val="20"/>
        </w:rPr>
        <w:t>,</w:t>
      </w:r>
      <w:r w:rsidRPr="00B04D8D">
        <w:rPr>
          <w:rFonts w:ascii="CAIXA Std Book" w:hAnsi="CAIXA Std Book"/>
          <w:color w:val="005CA9"/>
          <w:sz w:val="20"/>
          <w:szCs w:val="20"/>
        </w:rPr>
        <w:t xml:space="preserve"> </w:t>
      </w:r>
      <w:r w:rsidR="00961F27" w:rsidRPr="00EA0936">
        <w:rPr>
          <w:rFonts w:ascii="CAIXA Std Book" w:hAnsi="CAIXA Std Book"/>
          <w:color w:val="005CA9"/>
          <w:sz w:val="20"/>
          <w:szCs w:val="20"/>
        </w:rPr>
        <w:t>entre outros.</w:t>
      </w:r>
      <w:r w:rsidRPr="00B04D8D">
        <w:rPr>
          <w:rFonts w:ascii="CAIXA Std Book" w:hAnsi="CAIXA Std Book"/>
          <w:color w:val="005CA9"/>
          <w:sz w:val="20"/>
          <w:szCs w:val="20"/>
        </w:rPr>
        <w:t xml:space="preserve"> Os fundos são entidades jurídicas independentes geridas por regulamentação e estrutura de governança específica e contabilidade própria, cujo patrimônio é segregado da CAIXA. Por conseguinte, a informação apresentada referente a esses fundos não é </w:t>
      </w:r>
      <w:r w:rsidR="00082A3A" w:rsidRPr="00082A3A">
        <w:rPr>
          <w:rFonts w:ascii="CAIXA Std Book" w:hAnsi="CAIXA Std Book"/>
          <w:color w:val="005CA9"/>
          <w:sz w:val="20"/>
          <w:szCs w:val="20"/>
        </w:rPr>
        <w:t xml:space="preserve">escopo dos trabalhos de </w:t>
      </w:r>
      <w:r w:rsidR="00927FFE">
        <w:rPr>
          <w:rFonts w:ascii="CAIXA Std Book" w:hAnsi="CAIXA Std Book"/>
          <w:color w:val="005CA9"/>
          <w:sz w:val="20"/>
          <w:szCs w:val="20"/>
        </w:rPr>
        <w:t>auditoria</w:t>
      </w:r>
      <w:r w:rsidRPr="00B04D8D">
        <w:rPr>
          <w:rFonts w:ascii="CAIXA Std Book" w:hAnsi="CAIXA Std Book"/>
          <w:color w:val="005CA9"/>
          <w:sz w:val="20"/>
          <w:szCs w:val="20"/>
        </w:rPr>
        <w:t xml:space="preserve"> das demonstrações contábeis </w:t>
      </w:r>
      <w:r w:rsidR="00961F27" w:rsidRPr="00EA0936">
        <w:rPr>
          <w:rFonts w:ascii="CAIXA Std Book" w:hAnsi="CAIXA Std Book"/>
          <w:color w:val="005CA9"/>
          <w:sz w:val="20"/>
          <w:szCs w:val="20"/>
        </w:rPr>
        <w:t xml:space="preserve">intermediárias </w:t>
      </w:r>
      <w:r w:rsidR="00082A3A" w:rsidRPr="00082A3A">
        <w:rPr>
          <w:rFonts w:ascii="CAIXA Std Book" w:hAnsi="CAIXA Std Book"/>
          <w:color w:val="005CA9"/>
          <w:sz w:val="20"/>
          <w:szCs w:val="20"/>
        </w:rPr>
        <w:t>da CAIXA, executada pelos auditores independentes.</w:t>
      </w:r>
    </w:p>
    <w:tbl>
      <w:tblPr>
        <w:tblW w:w="5000" w:type="pct"/>
        <w:tblCellMar>
          <w:left w:w="0" w:type="dxa"/>
          <w:right w:w="0" w:type="dxa"/>
        </w:tblCellMar>
        <w:tblLook w:val="04A0" w:firstRow="1" w:lastRow="0" w:firstColumn="1" w:lastColumn="0" w:noHBand="0" w:noVBand="1"/>
      </w:tblPr>
      <w:tblGrid>
        <w:gridCol w:w="6603"/>
        <w:gridCol w:w="1514"/>
        <w:gridCol w:w="1516"/>
      </w:tblGrid>
      <w:tr w:rsidR="00C15527" w14:paraId="3EB4620E" w14:textId="77777777" w:rsidTr="007B711E">
        <w:trPr>
          <w:trHeight w:val="283"/>
        </w:trPr>
        <w:tc>
          <w:tcPr>
            <w:tcW w:w="5000" w:type="pct"/>
            <w:gridSpan w:val="3"/>
            <w:tcBorders>
              <w:top w:val="nil"/>
              <w:left w:val="nil"/>
              <w:bottom w:val="single" w:sz="4" w:space="0" w:color="FFFFFF"/>
              <w:right w:val="single" w:sz="4" w:space="0" w:color="FFFFFF"/>
            </w:tcBorders>
            <w:shd w:val="clear" w:color="auto" w:fill="005CA9"/>
            <w:noWrap/>
            <w:tcMar>
              <w:top w:w="15" w:type="dxa"/>
              <w:left w:w="15" w:type="dxa"/>
              <w:bottom w:w="0" w:type="dxa"/>
              <w:right w:w="15" w:type="dxa"/>
            </w:tcMar>
            <w:vAlign w:val="center"/>
            <w:hideMark/>
          </w:tcPr>
          <w:p w14:paraId="7B747B8A" w14:textId="77777777" w:rsidR="00C15527" w:rsidRPr="00A11407" w:rsidRDefault="00C15527">
            <w:pPr>
              <w:jc w:val="center"/>
              <w:rPr>
                <w:rFonts w:ascii="CAIXA Std Book" w:eastAsiaTheme="minorHAnsi" w:hAnsi="CAIXA Std Book" w:cs="Calibri"/>
                <w:b/>
                <w:color w:val="FFFFFF"/>
                <w:kern w:val="2"/>
                <w:sz w:val="18"/>
                <w:szCs w:val="18"/>
                <w:lang w:eastAsia="en-US"/>
                <w14:ligatures w14:val="standardContextual"/>
              </w:rPr>
            </w:pPr>
            <w:bookmarkStart w:id="59" w:name="RANGE!B2"/>
            <w:r w:rsidRPr="00A11407">
              <w:rPr>
                <w:rFonts w:ascii="CAIXA Std Book" w:eastAsiaTheme="minorHAnsi" w:hAnsi="CAIXA Std Book" w:cs="Calibri"/>
                <w:b/>
                <w:color w:val="FFFFFF"/>
                <w:kern w:val="2"/>
                <w:sz w:val="18"/>
                <w:szCs w:val="18"/>
                <w:lang w:eastAsia="en-US"/>
                <w14:ligatures w14:val="standardContextual"/>
              </w:rPr>
              <w:t>Principais Fundos e Programas Sociais</w:t>
            </w:r>
            <w:bookmarkEnd w:id="59"/>
          </w:p>
        </w:tc>
      </w:tr>
      <w:tr w:rsidR="008F6354" w14:paraId="710FBC8F" w14:textId="77777777" w:rsidTr="007B711E">
        <w:trPr>
          <w:trHeight w:val="283"/>
        </w:trPr>
        <w:tc>
          <w:tcPr>
            <w:tcW w:w="3427" w:type="pct"/>
            <w:tcBorders>
              <w:top w:val="nil"/>
              <w:left w:val="nil"/>
              <w:right w:val="nil"/>
            </w:tcBorders>
            <w:shd w:val="clear" w:color="auto" w:fill="005CA9"/>
            <w:tcMar>
              <w:top w:w="15" w:type="dxa"/>
              <w:left w:w="15" w:type="dxa"/>
              <w:bottom w:w="0" w:type="dxa"/>
              <w:right w:w="15" w:type="dxa"/>
            </w:tcMar>
            <w:vAlign w:val="center"/>
          </w:tcPr>
          <w:p w14:paraId="292295EB" w14:textId="77777777" w:rsidR="008F6354" w:rsidRPr="00A11407" w:rsidRDefault="008F6354" w:rsidP="008F6354">
            <w:pPr>
              <w:jc w:val="center"/>
              <w:rPr>
                <w:rFonts w:ascii="CAIXA Std Book" w:hAnsi="CAIXA Std Book" w:cs="Calibri"/>
                <w:b/>
                <w:color w:val="FFFFFF"/>
                <w:sz w:val="18"/>
                <w:szCs w:val="18"/>
              </w:rPr>
            </w:pPr>
            <w:r w:rsidRPr="00A11407">
              <w:rPr>
                <w:rFonts w:ascii="CAIXA Std Book" w:hAnsi="CAIXA Std Book" w:cs="Calibri"/>
                <w:b/>
                <w:color w:val="FFFFFF"/>
                <w:sz w:val="18"/>
                <w:szCs w:val="18"/>
              </w:rPr>
              <w:t>Descrição</w:t>
            </w:r>
          </w:p>
        </w:tc>
        <w:tc>
          <w:tcPr>
            <w:tcW w:w="786" w:type="pct"/>
            <w:tcBorders>
              <w:top w:val="nil"/>
              <w:left w:val="nil"/>
            </w:tcBorders>
            <w:shd w:val="clear" w:color="auto" w:fill="005CA9"/>
            <w:tcMar>
              <w:top w:w="15" w:type="dxa"/>
              <w:left w:w="15" w:type="dxa"/>
              <w:bottom w:w="0" w:type="dxa"/>
              <w:right w:w="15" w:type="dxa"/>
            </w:tcMar>
            <w:vAlign w:val="center"/>
          </w:tcPr>
          <w:p w14:paraId="2EDE2240" w14:textId="0A2EFD72" w:rsidR="008F6354" w:rsidRPr="00A11407" w:rsidRDefault="008F6354" w:rsidP="008F6354">
            <w:pPr>
              <w:jc w:val="center"/>
              <w:rPr>
                <w:rFonts w:ascii="CAIXA Std Book" w:hAnsi="CAIXA Std Book" w:cs="Calibri"/>
                <w:b/>
                <w:color w:val="FFFFFF"/>
                <w:sz w:val="18"/>
                <w:szCs w:val="18"/>
              </w:rPr>
            </w:pPr>
            <w:r w:rsidRPr="00A11407">
              <w:rPr>
                <w:rFonts w:ascii="CAIXA Std Book" w:hAnsi="CAIXA Std Book" w:cs="Calibri"/>
                <w:b/>
                <w:color w:val="FFFFFF"/>
                <w:sz w:val="18"/>
                <w:szCs w:val="18"/>
              </w:rPr>
              <w:t>31/</w:t>
            </w:r>
            <w:r>
              <w:rPr>
                <w:rFonts w:ascii="CAIXA Std Book" w:hAnsi="CAIXA Std Book" w:cs="Calibri"/>
                <w:b/>
                <w:color w:val="FFFFFF"/>
                <w:sz w:val="18"/>
                <w:szCs w:val="18"/>
              </w:rPr>
              <w:t>03</w:t>
            </w:r>
            <w:r w:rsidRPr="00A11407">
              <w:rPr>
                <w:rFonts w:ascii="CAIXA Std Book" w:hAnsi="CAIXA Std Book" w:cs="Calibri"/>
                <w:b/>
                <w:color w:val="FFFFFF"/>
                <w:sz w:val="18"/>
                <w:szCs w:val="18"/>
              </w:rPr>
              <w:t>/202</w:t>
            </w:r>
            <w:r>
              <w:rPr>
                <w:rFonts w:ascii="CAIXA Std Book" w:hAnsi="CAIXA Std Book" w:cs="Calibri"/>
                <w:b/>
                <w:color w:val="FFFFFF"/>
                <w:sz w:val="18"/>
                <w:szCs w:val="18"/>
              </w:rPr>
              <w:t>6</w:t>
            </w:r>
            <w:r w:rsidRPr="00A11407">
              <w:rPr>
                <w:rFonts w:ascii="CAIXA Std Book" w:hAnsi="CAIXA Std Book" w:cs="Calibri"/>
                <w:b/>
                <w:color w:val="FFFFFF"/>
                <w:sz w:val="18"/>
                <w:szCs w:val="18"/>
              </w:rPr>
              <w:t xml:space="preserve"> (1)</w:t>
            </w:r>
          </w:p>
        </w:tc>
        <w:tc>
          <w:tcPr>
            <w:tcW w:w="787" w:type="pct"/>
            <w:tcBorders>
              <w:top w:val="nil"/>
              <w:left w:val="nil"/>
            </w:tcBorders>
            <w:shd w:val="clear" w:color="auto" w:fill="005CA9"/>
            <w:vAlign w:val="center"/>
          </w:tcPr>
          <w:p w14:paraId="1AD4CED7" w14:textId="47BDA9A6" w:rsidR="008F6354" w:rsidRPr="00A11407" w:rsidRDefault="008F6354" w:rsidP="008F6354">
            <w:pPr>
              <w:jc w:val="center"/>
              <w:rPr>
                <w:rFonts w:ascii="CAIXA Std Book" w:hAnsi="CAIXA Std Book" w:cs="Calibri"/>
                <w:b/>
                <w:color w:val="FFFFFF"/>
                <w:sz w:val="18"/>
                <w:szCs w:val="18"/>
              </w:rPr>
            </w:pPr>
            <w:r w:rsidRPr="00A11407">
              <w:rPr>
                <w:rFonts w:ascii="CAIXA Std Book" w:hAnsi="CAIXA Std Book" w:cs="Calibri"/>
                <w:b/>
                <w:color w:val="FFFFFF"/>
                <w:sz w:val="18"/>
                <w:szCs w:val="18"/>
              </w:rPr>
              <w:t xml:space="preserve">31/12/2025 </w:t>
            </w:r>
          </w:p>
        </w:tc>
      </w:tr>
      <w:tr w:rsidR="008F6354" w14:paraId="6C625882" w14:textId="77777777">
        <w:trPr>
          <w:trHeight w:val="283"/>
        </w:trPr>
        <w:tc>
          <w:tcPr>
            <w:tcW w:w="3427" w:type="pct"/>
            <w:tcBorders>
              <w:left w:val="nil"/>
              <w:bottom w:val="single" w:sz="4" w:space="0" w:color="FFFFFF"/>
              <w:right w:val="nil"/>
            </w:tcBorders>
            <w:noWrap/>
            <w:tcMar>
              <w:top w:w="15" w:type="dxa"/>
              <w:left w:w="15" w:type="dxa"/>
              <w:bottom w:w="0" w:type="dxa"/>
              <w:right w:w="15" w:type="dxa"/>
            </w:tcMar>
            <w:vAlign w:val="center"/>
            <w:hideMark/>
          </w:tcPr>
          <w:p w14:paraId="03C1AB78" w14:textId="77777777" w:rsidR="008F6354" w:rsidRPr="00A11407" w:rsidRDefault="008F6354" w:rsidP="008F6354">
            <w:pPr>
              <w:jc w:val="both"/>
              <w:rPr>
                <w:rFonts w:ascii="CAIXA Std Book" w:eastAsiaTheme="minorHAnsi" w:hAnsi="CAIXA Std Book" w:cs="Arial"/>
                <w:color w:val="005CA9"/>
                <w:kern w:val="2"/>
                <w:sz w:val="18"/>
                <w:szCs w:val="18"/>
                <w:lang w:eastAsia="en-US"/>
                <w14:ligatures w14:val="standardContextual"/>
              </w:rPr>
            </w:pPr>
            <w:r w:rsidRPr="00A11407">
              <w:rPr>
                <w:rFonts w:ascii="CAIXA Std Book" w:eastAsiaTheme="minorHAnsi" w:hAnsi="CAIXA Std Book" w:cs="Arial"/>
                <w:color w:val="005CA9"/>
                <w:kern w:val="2"/>
                <w:sz w:val="18"/>
                <w:szCs w:val="18"/>
                <w:lang w:eastAsia="en-US"/>
                <w14:ligatures w14:val="standardContextual"/>
              </w:rPr>
              <w:t>Fundo de Garantia do Tempo de Serviço – FGTS</w:t>
            </w:r>
          </w:p>
        </w:tc>
        <w:tc>
          <w:tcPr>
            <w:tcW w:w="786" w:type="pct"/>
            <w:tcBorders>
              <w:left w:val="nil"/>
              <w:bottom w:val="nil"/>
              <w:right w:val="nil"/>
            </w:tcBorders>
            <w:noWrap/>
            <w:tcMar>
              <w:top w:w="15" w:type="dxa"/>
              <w:left w:w="15" w:type="dxa"/>
              <w:bottom w:w="0" w:type="dxa"/>
              <w:right w:w="15" w:type="dxa"/>
            </w:tcMar>
            <w:vAlign w:val="center"/>
          </w:tcPr>
          <w:p w14:paraId="37DBD543" w14:textId="1084F489" w:rsidR="008F6354" w:rsidRPr="00632850" w:rsidRDefault="00761A41" w:rsidP="008F6354">
            <w:pPr>
              <w:jc w:val="right"/>
              <w:rPr>
                <w:rFonts w:ascii="CAIXA Std Book" w:eastAsiaTheme="minorHAnsi" w:hAnsi="CAIXA Std Book" w:cs="Arial"/>
                <w:color w:val="005CA9"/>
                <w:kern w:val="2"/>
                <w:sz w:val="18"/>
                <w:szCs w:val="18"/>
                <w:lang w:eastAsia="en-US"/>
                <w14:ligatures w14:val="standardContextual"/>
              </w:rPr>
            </w:pPr>
            <w:r>
              <w:rPr>
                <w:rFonts w:ascii="CAIXA Std Book" w:hAnsi="CAIXA Std Book" w:cs="Arial"/>
                <w:color w:val="005CA9"/>
                <w:sz w:val="18"/>
                <w:szCs w:val="18"/>
              </w:rPr>
              <w:t>851.546.980</w:t>
            </w:r>
          </w:p>
        </w:tc>
        <w:tc>
          <w:tcPr>
            <w:tcW w:w="787" w:type="pct"/>
            <w:tcBorders>
              <w:left w:val="nil"/>
              <w:bottom w:val="nil"/>
              <w:right w:val="nil"/>
            </w:tcBorders>
            <w:vAlign w:val="center"/>
          </w:tcPr>
          <w:p w14:paraId="07914DCD" w14:textId="12F97531" w:rsidR="008F6354" w:rsidRPr="00A11407" w:rsidRDefault="008F6354" w:rsidP="008F6354">
            <w:pPr>
              <w:ind w:right="55"/>
              <w:jc w:val="right"/>
              <w:rPr>
                <w:rFonts w:ascii="CAIXA Std Book" w:hAnsi="CAIXA Std Book" w:cs="Calibri"/>
                <w:sz w:val="18"/>
                <w:szCs w:val="18"/>
              </w:rPr>
            </w:pPr>
            <w:r w:rsidRPr="00632850">
              <w:rPr>
                <w:rFonts w:ascii="CAIXA Std Book" w:eastAsiaTheme="minorHAnsi" w:hAnsi="CAIXA Std Book" w:cs="Arial"/>
                <w:color w:val="005CA9"/>
                <w:kern w:val="2"/>
                <w:sz w:val="18"/>
                <w:szCs w:val="18"/>
                <w:lang w:eastAsia="en-US"/>
                <w14:ligatures w14:val="standardContextual"/>
              </w:rPr>
              <w:t>829.780.877</w:t>
            </w:r>
          </w:p>
        </w:tc>
      </w:tr>
      <w:tr w:rsidR="008F6354" w14:paraId="46DAD6D5" w14:textId="77777777">
        <w:trPr>
          <w:trHeight w:val="283"/>
        </w:trPr>
        <w:tc>
          <w:tcPr>
            <w:tcW w:w="3427" w:type="pct"/>
            <w:tcBorders>
              <w:top w:val="nil"/>
              <w:left w:val="nil"/>
              <w:bottom w:val="single" w:sz="4" w:space="0" w:color="FFFFFF"/>
              <w:right w:val="nil"/>
            </w:tcBorders>
            <w:noWrap/>
            <w:tcMar>
              <w:top w:w="15" w:type="dxa"/>
              <w:left w:w="15" w:type="dxa"/>
              <w:bottom w:w="0" w:type="dxa"/>
              <w:right w:w="15" w:type="dxa"/>
            </w:tcMar>
            <w:vAlign w:val="center"/>
            <w:hideMark/>
          </w:tcPr>
          <w:p w14:paraId="13EA656C" w14:textId="77777777" w:rsidR="008F6354" w:rsidRPr="00A11407" w:rsidRDefault="008F6354" w:rsidP="008F6354">
            <w:pPr>
              <w:jc w:val="both"/>
              <w:rPr>
                <w:rFonts w:ascii="CAIXA Std Book" w:eastAsiaTheme="minorHAnsi" w:hAnsi="CAIXA Std Book" w:cs="Arial"/>
                <w:color w:val="005CA9"/>
                <w:kern w:val="2"/>
                <w:sz w:val="18"/>
                <w:szCs w:val="18"/>
                <w:lang w:eastAsia="en-US"/>
                <w14:ligatures w14:val="standardContextual"/>
              </w:rPr>
            </w:pPr>
            <w:r w:rsidRPr="00A11407">
              <w:rPr>
                <w:rFonts w:ascii="CAIXA Std Book" w:eastAsiaTheme="minorHAnsi" w:hAnsi="CAIXA Std Book" w:cs="Arial"/>
                <w:color w:val="005CA9"/>
                <w:kern w:val="2"/>
                <w:sz w:val="18"/>
                <w:szCs w:val="18"/>
                <w:lang w:eastAsia="en-US"/>
                <w14:ligatures w14:val="standardContextual"/>
              </w:rPr>
              <w:t>Fundo de Arrendamento Residencial – FAR</w:t>
            </w:r>
          </w:p>
        </w:tc>
        <w:tc>
          <w:tcPr>
            <w:tcW w:w="786" w:type="pct"/>
            <w:tcBorders>
              <w:top w:val="nil"/>
              <w:left w:val="nil"/>
              <w:bottom w:val="nil"/>
              <w:right w:val="nil"/>
            </w:tcBorders>
            <w:noWrap/>
            <w:tcMar>
              <w:top w:w="15" w:type="dxa"/>
              <w:left w:w="15" w:type="dxa"/>
              <w:bottom w:w="0" w:type="dxa"/>
              <w:right w:w="15" w:type="dxa"/>
            </w:tcMar>
            <w:vAlign w:val="center"/>
          </w:tcPr>
          <w:p w14:paraId="22418CD2" w14:textId="57A5D79A" w:rsidR="008F6354" w:rsidRPr="00632850" w:rsidRDefault="00761A41" w:rsidP="008F6354">
            <w:pPr>
              <w:jc w:val="right"/>
              <w:rPr>
                <w:rFonts w:ascii="CAIXA Std Book" w:eastAsiaTheme="minorHAnsi" w:hAnsi="CAIXA Std Book" w:cs="Arial"/>
                <w:color w:val="005CA9"/>
                <w:kern w:val="2"/>
                <w:sz w:val="18"/>
                <w:szCs w:val="18"/>
                <w:lang w:eastAsia="en-US"/>
                <w14:ligatures w14:val="standardContextual"/>
              </w:rPr>
            </w:pPr>
            <w:r>
              <w:rPr>
                <w:rFonts w:ascii="CAIXA Std Book" w:hAnsi="CAIXA Std Book" w:cs="Arial"/>
                <w:color w:val="005CA9"/>
                <w:sz w:val="18"/>
                <w:szCs w:val="18"/>
              </w:rPr>
              <w:t>25.193.068</w:t>
            </w:r>
          </w:p>
        </w:tc>
        <w:tc>
          <w:tcPr>
            <w:tcW w:w="787" w:type="pct"/>
            <w:tcBorders>
              <w:top w:val="nil"/>
              <w:left w:val="nil"/>
              <w:bottom w:val="nil"/>
              <w:right w:val="nil"/>
            </w:tcBorders>
            <w:vAlign w:val="center"/>
          </w:tcPr>
          <w:p w14:paraId="47C40AB0" w14:textId="45E940DB" w:rsidR="008F6354" w:rsidRPr="00632850" w:rsidRDefault="008F6354" w:rsidP="008F6354">
            <w:pPr>
              <w:ind w:right="55"/>
              <w:jc w:val="right"/>
              <w:rPr>
                <w:rFonts w:ascii="CAIXA Std Book" w:eastAsiaTheme="minorHAnsi" w:hAnsi="CAIXA Std Book" w:cs="Arial"/>
                <w:color w:val="005CA9"/>
                <w:kern w:val="2"/>
                <w:sz w:val="18"/>
                <w:szCs w:val="18"/>
                <w:lang w:eastAsia="en-US"/>
                <w14:ligatures w14:val="standardContextual"/>
              </w:rPr>
            </w:pPr>
            <w:r w:rsidRPr="00632850">
              <w:rPr>
                <w:rFonts w:ascii="CAIXA Std Book" w:eastAsiaTheme="minorHAnsi" w:hAnsi="CAIXA Std Book" w:cs="Arial"/>
                <w:color w:val="005CA9"/>
                <w:kern w:val="2"/>
                <w:sz w:val="18"/>
                <w:szCs w:val="18"/>
                <w:lang w:eastAsia="en-US"/>
                <w14:ligatures w14:val="standardContextual"/>
              </w:rPr>
              <w:t>24.934.456</w:t>
            </w:r>
          </w:p>
        </w:tc>
      </w:tr>
      <w:tr w:rsidR="008F6354" w14:paraId="565746F5" w14:textId="77777777">
        <w:trPr>
          <w:trHeight w:val="283"/>
        </w:trPr>
        <w:tc>
          <w:tcPr>
            <w:tcW w:w="3427" w:type="pct"/>
            <w:tcBorders>
              <w:top w:val="nil"/>
              <w:left w:val="nil"/>
              <w:bottom w:val="single" w:sz="4" w:space="0" w:color="FFFFFF"/>
              <w:right w:val="nil"/>
            </w:tcBorders>
            <w:noWrap/>
            <w:tcMar>
              <w:top w:w="15" w:type="dxa"/>
              <w:left w:w="15" w:type="dxa"/>
              <w:bottom w:w="0" w:type="dxa"/>
              <w:right w:w="15" w:type="dxa"/>
            </w:tcMar>
            <w:vAlign w:val="center"/>
            <w:hideMark/>
          </w:tcPr>
          <w:p w14:paraId="54707B80" w14:textId="77777777" w:rsidR="008F6354" w:rsidRPr="00A11407" w:rsidRDefault="008F6354" w:rsidP="008F6354">
            <w:pPr>
              <w:jc w:val="both"/>
              <w:rPr>
                <w:rFonts w:ascii="CAIXA Std Book" w:eastAsiaTheme="minorHAnsi" w:hAnsi="CAIXA Std Book" w:cs="Arial"/>
                <w:color w:val="005CA9"/>
                <w:kern w:val="2"/>
                <w:sz w:val="18"/>
                <w:szCs w:val="18"/>
                <w:lang w:eastAsia="en-US"/>
                <w14:ligatures w14:val="standardContextual"/>
              </w:rPr>
            </w:pPr>
            <w:r w:rsidRPr="00A11407">
              <w:rPr>
                <w:rFonts w:ascii="CAIXA Std Book" w:eastAsiaTheme="minorHAnsi" w:hAnsi="CAIXA Std Book" w:cs="Arial"/>
                <w:color w:val="005CA9"/>
                <w:kern w:val="2"/>
                <w:sz w:val="18"/>
                <w:szCs w:val="18"/>
                <w:lang w:eastAsia="en-US"/>
                <w14:ligatures w14:val="standardContextual"/>
              </w:rPr>
              <w:t>Fundo de Compensação de Variações Salariais – FCVS</w:t>
            </w:r>
          </w:p>
        </w:tc>
        <w:tc>
          <w:tcPr>
            <w:tcW w:w="786" w:type="pct"/>
            <w:tcBorders>
              <w:top w:val="nil"/>
              <w:left w:val="nil"/>
              <w:bottom w:val="nil"/>
              <w:right w:val="nil"/>
            </w:tcBorders>
            <w:noWrap/>
            <w:tcMar>
              <w:top w:w="15" w:type="dxa"/>
              <w:left w:w="15" w:type="dxa"/>
              <w:bottom w:w="0" w:type="dxa"/>
              <w:right w:w="15" w:type="dxa"/>
            </w:tcMar>
            <w:vAlign w:val="center"/>
          </w:tcPr>
          <w:p w14:paraId="7A3EBA55" w14:textId="104D12C1" w:rsidR="008F6354" w:rsidRPr="00632850" w:rsidRDefault="00761A41" w:rsidP="008F6354">
            <w:pPr>
              <w:jc w:val="right"/>
              <w:rPr>
                <w:rFonts w:ascii="CAIXA Std Book" w:eastAsiaTheme="minorHAnsi" w:hAnsi="CAIXA Std Book" w:cs="Arial"/>
                <w:color w:val="005CA9"/>
                <w:kern w:val="2"/>
                <w:sz w:val="18"/>
                <w:szCs w:val="18"/>
                <w:lang w:eastAsia="en-US"/>
                <w14:ligatures w14:val="standardContextual"/>
              </w:rPr>
            </w:pPr>
            <w:r>
              <w:rPr>
                <w:rFonts w:ascii="CAIXA Std Book" w:hAnsi="CAIXA Std Book" w:cs="Arial"/>
                <w:color w:val="005CA9"/>
                <w:sz w:val="18"/>
                <w:szCs w:val="18"/>
              </w:rPr>
              <w:t>19.711.780</w:t>
            </w:r>
          </w:p>
        </w:tc>
        <w:tc>
          <w:tcPr>
            <w:tcW w:w="787" w:type="pct"/>
            <w:tcBorders>
              <w:top w:val="nil"/>
              <w:left w:val="nil"/>
              <w:bottom w:val="nil"/>
              <w:right w:val="nil"/>
            </w:tcBorders>
            <w:vAlign w:val="center"/>
          </w:tcPr>
          <w:p w14:paraId="537F511A" w14:textId="192828DC" w:rsidR="008F6354" w:rsidRPr="00632850" w:rsidRDefault="008F6354" w:rsidP="008F6354">
            <w:pPr>
              <w:ind w:right="55"/>
              <w:jc w:val="right"/>
              <w:rPr>
                <w:rFonts w:ascii="CAIXA Std Book" w:eastAsiaTheme="minorHAnsi" w:hAnsi="CAIXA Std Book" w:cs="Arial"/>
                <w:color w:val="005CA9"/>
                <w:kern w:val="2"/>
                <w:sz w:val="18"/>
                <w:szCs w:val="18"/>
                <w:lang w:eastAsia="en-US"/>
                <w14:ligatures w14:val="standardContextual"/>
              </w:rPr>
            </w:pPr>
            <w:r w:rsidRPr="00632850">
              <w:rPr>
                <w:rFonts w:ascii="CAIXA Std Book" w:eastAsiaTheme="minorHAnsi" w:hAnsi="CAIXA Std Book" w:cs="Arial"/>
                <w:color w:val="005CA9"/>
                <w:kern w:val="2"/>
                <w:sz w:val="18"/>
                <w:szCs w:val="18"/>
                <w:lang w:eastAsia="en-US"/>
                <w14:ligatures w14:val="standardContextual"/>
              </w:rPr>
              <w:t>19.575.947</w:t>
            </w:r>
          </w:p>
        </w:tc>
      </w:tr>
      <w:tr w:rsidR="008F6354" w14:paraId="0FAF052C" w14:textId="77777777">
        <w:trPr>
          <w:trHeight w:val="283"/>
        </w:trPr>
        <w:tc>
          <w:tcPr>
            <w:tcW w:w="3427" w:type="pct"/>
            <w:tcBorders>
              <w:top w:val="nil"/>
              <w:left w:val="nil"/>
              <w:bottom w:val="single" w:sz="4" w:space="0" w:color="FFFFFF"/>
              <w:right w:val="nil"/>
            </w:tcBorders>
            <w:noWrap/>
            <w:tcMar>
              <w:top w:w="15" w:type="dxa"/>
              <w:left w:w="15" w:type="dxa"/>
              <w:bottom w:w="0" w:type="dxa"/>
              <w:right w:w="15" w:type="dxa"/>
            </w:tcMar>
            <w:vAlign w:val="center"/>
            <w:hideMark/>
          </w:tcPr>
          <w:p w14:paraId="6D4A1026" w14:textId="77777777" w:rsidR="008F6354" w:rsidRPr="00A11407" w:rsidRDefault="008F6354" w:rsidP="008F6354">
            <w:pPr>
              <w:jc w:val="both"/>
              <w:rPr>
                <w:rFonts w:ascii="CAIXA Std Book" w:eastAsiaTheme="minorHAnsi" w:hAnsi="CAIXA Std Book" w:cs="Arial"/>
                <w:color w:val="005CA9"/>
                <w:kern w:val="2"/>
                <w:sz w:val="18"/>
                <w:szCs w:val="18"/>
                <w:lang w:eastAsia="en-US"/>
                <w14:ligatures w14:val="standardContextual"/>
              </w:rPr>
            </w:pPr>
            <w:r w:rsidRPr="00A11407">
              <w:rPr>
                <w:rFonts w:ascii="CAIXA Std Book" w:eastAsiaTheme="minorHAnsi" w:hAnsi="CAIXA Std Book" w:cs="Arial"/>
                <w:color w:val="005CA9"/>
                <w:kern w:val="2"/>
                <w:sz w:val="18"/>
                <w:szCs w:val="18"/>
                <w:lang w:eastAsia="en-US"/>
                <w14:ligatures w14:val="standardContextual"/>
              </w:rPr>
              <w:t>Fundo de Apoio à Infraestrutura para Recuperação e Adaptação a Eventos</w:t>
            </w:r>
          </w:p>
          <w:p w14:paraId="4D5A7844" w14:textId="77777777" w:rsidR="008F6354" w:rsidRPr="00A11407" w:rsidRDefault="008F6354" w:rsidP="008F6354">
            <w:pPr>
              <w:jc w:val="both"/>
              <w:rPr>
                <w:rFonts w:ascii="CAIXA Std Book" w:eastAsiaTheme="minorHAnsi" w:hAnsi="CAIXA Std Book" w:cs="Arial"/>
                <w:color w:val="005CA9"/>
                <w:kern w:val="2"/>
                <w:sz w:val="18"/>
                <w:szCs w:val="18"/>
                <w:lang w:eastAsia="en-US"/>
                <w14:ligatures w14:val="standardContextual"/>
              </w:rPr>
            </w:pPr>
            <w:r w:rsidRPr="00A11407">
              <w:rPr>
                <w:rFonts w:ascii="CAIXA Std Book" w:eastAsiaTheme="minorHAnsi" w:hAnsi="CAIXA Std Book" w:cs="Arial"/>
                <w:color w:val="005CA9"/>
                <w:kern w:val="2"/>
                <w:sz w:val="18"/>
                <w:szCs w:val="18"/>
                <w:lang w:eastAsia="en-US"/>
                <w14:ligatures w14:val="standardContextual"/>
              </w:rPr>
              <w:t>Climáticos Extremos – FIRECE</w:t>
            </w:r>
          </w:p>
        </w:tc>
        <w:tc>
          <w:tcPr>
            <w:tcW w:w="786" w:type="pct"/>
            <w:tcBorders>
              <w:top w:val="nil"/>
              <w:left w:val="nil"/>
              <w:bottom w:val="nil"/>
              <w:right w:val="nil"/>
            </w:tcBorders>
            <w:noWrap/>
            <w:tcMar>
              <w:top w:w="15" w:type="dxa"/>
              <w:left w:w="15" w:type="dxa"/>
              <w:bottom w:w="0" w:type="dxa"/>
              <w:right w:w="15" w:type="dxa"/>
            </w:tcMar>
            <w:vAlign w:val="center"/>
          </w:tcPr>
          <w:p w14:paraId="22C4A94A" w14:textId="77D5277D" w:rsidR="008F6354" w:rsidRPr="00632850" w:rsidRDefault="00761A41" w:rsidP="008F6354">
            <w:pPr>
              <w:jc w:val="right"/>
              <w:rPr>
                <w:rFonts w:ascii="CAIXA Std Book" w:eastAsiaTheme="minorHAnsi" w:hAnsi="CAIXA Std Book" w:cs="Arial"/>
                <w:color w:val="005CA9"/>
                <w:kern w:val="2"/>
                <w:sz w:val="18"/>
                <w:szCs w:val="18"/>
                <w:lang w:eastAsia="en-US"/>
                <w14:ligatures w14:val="standardContextual"/>
              </w:rPr>
            </w:pPr>
            <w:r>
              <w:rPr>
                <w:rFonts w:ascii="CAIXA Std Book" w:hAnsi="CAIXA Std Book" w:cs="Arial"/>
                <w:color w:val="005CA9"/>
                <w:sz w:val="18"/>
                <w:szCs w:val="18"/>
              </w:rPr>
              <w:t>7.538.077</w:t>
            </w:r>
          </w:p>
        </w:tc>
        <w:tc>
          <w:tcPr>
            <w:tcW w:w="787" w:type="pct"/>
            <w:tcBorders>
              <w:top w:val="nil"/>
              <w:left w:val="nil"/>
              <w:bottom w:val="nil"/>
              <w:right w:val="nil"/>
            </w:tcBorders>
            <w:vAlign w:val="center"/>
          </w:tcPr>
          <w:p w14:paraId="6D9F3487" w14:textId="0357DCDF" w:rsidR="008F6354" w:rsidRPr="00632850" w:rsidRDefault="008F6354" w:rsidP="008F6354">
            <w:pPr>
              <w:ind w:right="55"/>
              <w:jc w:val="right"/>
              <w:rPr>
                <w:rFonts w:ascii="CAIXA Std Book" w:eastAsiaTheme="minorHAnsi" w:hAnsi="CAIXA Std Book" w:cs="Arial"/>
                <w:color w:val="005CA9"/>
                <w:kern w:val="2"/>
                <w:sz w:val="18"/>
                <w:szCs w:val="18"/>
                <w:lang w:eastAsia="en-US"/>
                <w14:ligatures w14:val="standardContextual"/>
              </w:rPr>
            </w:pPr>
            <w:r w:rsidRPr="00632850">
              <w:rPr>
                <w:rFonts w:ascii="CAIXA Std Book" w:eastAsiaTheme="minorHAnsi" w:hAnsi="CAIXA Std Book" w:cs="Arial"/>
                <w:color w:val="005CA9"/>
                <w:kern w:val="2"/>
                <w:sz w:val="18"/>
                <w:szCs w:val="18"/>
                <w:lang w:eastAsia="en-US"/>
                <w14:ligatures w14:val="standardContextual"/>
              </w:rPr>
              <w:t>7.307.942</w:t>
            </w:r>
          </w:p>
        </w:tc>
      </w:tr>
      <w:tr w:rsidR="008F6354" w14:paraId="53E6B5EC" w14:textId="77777777">
        <w:trPr>
          <w:trHeight w:val="283"/>
        </w:trPr>
        <w:tc>
          <w:tcPr>
            <w:tcW w:w="3427" w:type="pct"/>
            <w:tcBorders>
              <w:top w:val="nil"/>
              <w:left w:val="nil"/>
              <w:bottom w:val="nil"/>
              <w:right w:val="nil"/>
            </w:tcBorders>
            <w:tcMar>
              <w:top w:w="15" w:type="dxa"/>
              <w:left w:w="15" w:type="dxa"/>
              <w:bottom w:w="0" w:type="dxa"/>
              <w:right w:w="15" w:type="dxa"/>
            </w:tcMar>
            <w:vAlign w:val="center"/>
            <w:hideMark/>
          </w:tcPr>
          <w:p w14:paraId="486632A4" w14:textId="77777777" w:rsidR="008F6354" w:rsidRPr="00A11407" w:rsidRDefault="008F6354" w:rsidP="008F6354">
            <w:pPr>
              <w:jc w:val="both"/>
              <w:rPr>
                <w:rFonts w:ascii="CAIXA Std Book" w:eastAsiaTheme="minorHAnsi" w:hAnsi="CAIXA Std Book" w:cs="Arial"/>
                <w:color w:val="005CA9"/>
                <w:kern w:val="2"/>
                <w:sz w:val="18"/>
                <w:szCs w:val="18"/>
                <w:lang w:eastAsia="en-US"/>
                <w14:ligatures w14:val="standardContextual"/>
              </w:rPr>
            </w:pPr>
            <w:r w:rsidRPr="00A11407">
              <w:rPr>
                <w:rFonts w:ascii="CAIXA Std Book" w:eastAsiaTheme="minorHAnsi" w:hAnsi="CAIXA Std Book" w:cs="Arial"/>
                <w:color w:val="005CA9"/>
                <w:kern w:val="2"/>
                <w:sz w:val="18"/>
                <w:szCs w:val="18"/>
                <w:lang w:eastAsia="en-US"/>
                <w14:ligatures w14:val="standardContextual"/>
              </w:rPr>
              <w:t>Fundo de Desenvolvimento Social – FDS</w:t>
            </w:r>
          </w:p>
        </w:tc>
        <w:tc>
          <w:tcPr>
            <w:tcW w:w="786" w:type="pct"/>
            <w:tcBorders>
              <w:top w:val="nil"/>
              <w:left w:val="nil"/>
              <w:bottom w:val="nil"/>
              <w:right w:val="nil"/>
            </w:tcBorders>
            <w:noWrap/>
            <w:tcMar>
              <w:top w:w="0" w:type="dxa"/>
              <w:left w:w="15" w:type="dxa"/>
              <w:bottom w:w="0" w:type="dxa"/>
              <w:right w:w="15" w:type="dxa"/>
            </w:tcMar>
            <w:vAlign w:val="center"/>
          </w:tcPr>
          <w:p w14:paraId="13B18643" w14:textId="4758DB26" w:rsidR="008F6354" w:rsidRPr="00632850" w:rsidRDefault="00761A41" w:rsidP="008F6354">
            <w:pPr>
              <w:jc w:val="right"/>
              <w:rPr>
                <w:rFonts w:ascii="CAIXA Std Book" w:eastAsiaTheme="minorHAnsi" w:hAnsi="CAIXA Std Book" w:cs="Arial"/>
                <w:color w:val="005CA9"/>
                <w:kern w:val="2"/>
                <w:sz w:val="18"/>
                <w:szCs w:val="18"/>
                <w:lang w:eastAsia="en-US"/>
                <w14:ligatures w14:val="standardContextual"/>
              </w:rPr>
            </w:pPr>
            <w:r>
              <w:rPr>
                <w:rFonts w:ascii="CAIXA Std Book" w:hAnsi="CAIXA Std Book" w:cs="Arial"/>
                <w:color w:val="005CA9"/>
                <w:sz w:val="18"/>
                <w:szCs w:val="18"/>
              </w:rPr>
              <w:t>6.036.416</w:t>
            </w:r>
          </w:p>
        </w:tc>
        <w:tc>
          <w:tcPr>
            <w:tcW w:w="787" w:type="pct"/>
            <w:tcBorders>
              <w:top w:val="nil"/>
              <w:left w:val="nil"/>
              <w:bottom w:val="nil"/>
              <w:right w:val="nil"/>
            </w:tcBorders>
            <w:vAlign w:val="center"/>
          </w:tcPr>
          <w:p w14:paraId="1C787329" w14:textId="76E13661" w:rsidR="008F6354" w:rsidRPr="00632850" w:rsidRDefault="008F6354" w:rsidP="008F6354">
            <w:pPr>
              <w:ind w:right="55"/>
              <w:jc w:val="right"/>
              <w:rPr>
                <w:rFonts w:ascii="CAIXA Std Book" w:eastAsiaTheme="minorHAnsi" w:hAnsi="CAIXA Std Book" w:cs="Arial"/>
                <w:color w:val="005CA9"/>
                <w:kern w:val="2"/>
                <w:sz w:val="18"/>
                <w:szCs w:val="18"/>
                <w:lang w:eastAsia="en-US"/>
                <w14:ligatures w14:val="standardContextual"/>
              </w:rPr>
            </w:pPr>
            <w:r w:rsidRPr="00632850">
              <w:rPr>
                <w:rFonts w:ascii="CAIXA Std Book" w:eastAsiaTheme="minorHAnsi" w:hAnsi="CAIXA Std Book" w:cs="Arial"/>
                <w:color w:val="005CA9"/>
                <w:kern w:val="2"/>
                <w:sz w:val="18"/>
                <w:szCs w:val="18"/>
                <w:lang w:eastAsia="en-US"/>
                <w14:ligatures w14:val="standardContextual"/>
              </w:rPr>
              <w:t>5.950.005</w:t>
            </w:r>
          </w:p>
        </w:tc>
      </w:tr>
      <w:tr w:rsidR="008F6354" w14:paraId="3838DE53" w14:textId="77777777">
        <w:trPr>
          <w:trHeight w:val="283"/>
        </w:trPr>
        <w:tc>
          <w:tcPr>
            <w:tcW w:w="3427" w:type="pct"/>
            <w:tcBorders>
              <w:top w:val="single" w:sz="4" w:space="0" w:color="FFFFFF"/>
              <w:left w:val="nil"/>
              <w:bottom w:val="single" w:sz="4" w:space="0" w:color="FFFFFF"/>
              <w:right w:val="nil"/>
            </w:tcBorders>
            <w:noWrap/>
            <w:tcMar>
              <w:top w:w="15" w:type="dxa"/>
              <w:left w:w="15" w:type="dxa"/>
              <w:bottom w:w="0" w:type="dxa"/>
              <w:right w:w="15" w:type="dxa"/>
            </w:tcMar>
            <w:vAlign w:val="center"/>
            <w:hideMark/>
          </w:tcPr>
          <w:p w14:paraId="54DE0A41" w14:textId="77777777" w:rsidR="008F6354" w:rsidRPr="00A11407" w:rsidRDefault="008F6354" w:rsidP="008F6354">
            <w:pPr>
              <w:jc w:val="both"/>
              <w:rPr>
                <w:rFonts w:ascii="CAIXA Std Book" w:eastAsiaTheme="minorHAnsi" w:hAnsi="CAIXA Std Book" w:cs="Arial"/>
                <w:color w:val="005CA9"/>
                <w:kern w:val="2"/>
                <w:sz w:val="18"/>
                <w:szCs w:val="18"/>
                <w:lang w:eastAsia="en-US"/>
                <w14:ligatures w14:val="standardContextual"/>
              </w:rPr>
            </w:pPr>
            <w:r w:rsidRPr="00A11407">
              <w:rPr>
                <w:rFonts w:ascii="CAIXA Std Book" w:eastAsiaTheme="minorHAnsi" w:hAnsi="CAIXA Std Book" w:cs="Arial"/>
                <w:color w:val="005CA9"/>
                <w:kern w:val="2"/>
                <w:sz w:val="18"/>
                <w:szCs w:val="18"/>
                <w:lang w:eastAsia="en-US"/>
                <w14:ligatures w14:val="standardContextual"/>
              </w:rPr>
              <w:t>Fundo Garantidor da Habitação Popular – FGHab</w:t>
            </w:r>
          </w:p>
        </w:tc>
        <w:tc>
          <w:tcPr>
            <w:tcW w:w="786" w:type="pct"/>
            <w:tcBorders>
              <w:top w:val="nil"/>
              <w:left w:val="nil"/>
              <w:bottom w:val="nil"/>
              <w:right w:val="nil"/>
            </w:tcBorders>
            <w:noWrap/>
            <w:tcMar>
              <w:top w:w="15" w:type="dxa"/>
              <w:left w:w="15" w:type="dxa"/>
              <w:bottom w:w="0" w:type="dxa"/>
              <w:right w:w="15" w:type="dxa"/>
            </w:tcMar>
            <w:vAlign w:val="center"/>
          </w:tcPr>
          <w:p w14:paraId="653C528D" w14:textId="36DC1AA5" w:rsidR="008F6354" w:rsidRPr="00632850" w:rsidRDefault="00761A41" w:rsidP="008F6354">
            <w:pPr>
              <w:jc w:val="right"/>
              <w:rPr>
                <w:rFonts w:ascii="CAIXA Std Book" w:eastAsiaTheme="minorHAnsi" w:hAnsi="CAIXA Std Book" w:cs="Arial"/>
                <w:color w:val="005CA9"/>
                <w:kern w:val="2"/>
                <w:sz w:val="18"/>
                <w:szCs w:val="18"/>
                <w:lang w:eastAsia="en-US"/>
                <w14:ligatures w14:val="standardContextual"/>
              </w:rPr>
            </w:pPr>
            <w:r>
              <w:rPr>
                <w:rFonts w:ascii="CAIXA Std Book" w:hAnsi="CAIXA Std Book" w:cs="Arial"/>
                <w:color w:val="005CA9"/>
                <w:sz w:val="18"/>
                <w:szCs w:val="18"/>
              </w:rPr>
              <w:t>4.064.738</w:t>
            </w:r>
          </w:p>
        </w:tc>
        <w:tc>
          <w:tcPr>
            <w:tcW w:w="787" w:type="pct"/>
            <w:tcBorders>
              <w:top w:val="nil"/>
              <w:left w:val="nil"/>
              <w:bottom w:val="nil"/>
              <w:right w:val="nil"/>
            </w:tcBorders>
            <w:vAlign w:val="center"/>
          </w:tcPr>
          <w:p w14:paraId="5637DD7D" w14:textId="6D1AEEC4" w:rsidR="008F6354" w:rsidRPr="00632850" w:rsidRDefault="008F6354" w:rsidP="008F6354">
            <w:pPr>
              <w:ind w:right="55"/>
              <w:jc w:val="right"/>
              <w:rPr>
                <w:rFonts w:ascii="CAIXA Std Book" w:eastAsiaTheme="minorHAnsi" w:hAnsi="CAIXA Std Book" w:cs="Arial"/>
                <w:color w:val="005CA9"/>
                <w:kern w:val="2"/>
                <w:sz w:val="18"/>
                <w:szCs w:val="18"/>
                <w:lang w:eastAsia="en-US"/>
                <w14:ligatures w14:val="standardContextual"/>
              </w:rPr>
            </w:pPr>
            <w:r w:rsidRPr="00632850">
              <w:rPr>
                <w:rFonts w:ascii="CAIXA Std Book" w:eastAsiaTheme="minorHAnsi" w:hAnsi="CAIXA Std Book" w:cs="Arial"/>
                <w:color w:val="005CA9"/>
                <w:kern w:val="2"/>
                <w:sz w:val="18"/>
                <w:szCs w:val="18"/>
                <w:lang w:eastAsia="en-US"/>
                <w14:ligatures w14:val="standardContextual"/>
              </w:rPr>
              <w:t>4.050.773</w:t>
            </w:r>
          </w:p>
        </w:tc>
      </w:tr>
      <w:tr w:rsidR="008F6354" w14:paraId="56D41822" w14:textId="77777777">
        <w:trPr>
          <w:trHeight w:val="283"/>
        </w:trPr>
        <w:tc>
          <w:tcPr>
            <w:tcW w:w="3427" w:type="pct"/>
            <w:tcBorders>
              <w:top w:val="nil"/>
              <w:left w:val="nil"/>
              <w:bottom w:val="single" w:sz="4" w:space="0" w:color="FFFFFF"/>
              <w:right w:val="nil"/>
            </w:tcBorders>
            <w:noWrap/>
            <w:tcMar>
              <w:top w:w="15" w:type="dxa"/>
              <w:left w:w="15" w:type="dxa"/>
              <w:bottom w:w="0" w:type="dxa"/>
              <w:right w:w="15" w:type="dxa"/>
            </w:tcMar>
            <w:vAlign w:val="center"/>
            <w:hideMark/>
          </w:tcPr>
          <w:p w14:paraId="78B5EECA" w14:textId="77777777" w:rsidR="008F6354" w:rsidRPr="00A11407" w:rsidRDefault="008F6354" w:rsidP="008F6354">
            <w:pPr>
              <w:jc w:val="both"/>
              <w:rPr>
                <w:rFonts w:ascii="CAIXA Std Book" w:eastAsiaTheme="minorHAnsi" w:hAnsi="CAIXA Std Book" w:cs="Arial"/>
                <w:color w:val="005CA9"/>
                <w:kern w:val="2"/>
                <w:sz w:val="18"/>
                <w:szCs w:val="18"/>
                <w:lang w:eastAsia="en-US"/>
                <w14:ligatures w14:val="standardContextual"/>
              </w:rPr>
            </w:pPr>
            <w:r w:rsidRPr="00A11407">
              <w:rPr>
                <w:rFonts w:ascii="CAIXA Std Book" w:eastAsiaTheme="minorHAnsi" w:hAnsi="CAIXA Std Book" w:cs="Arial"/>
                <w:color w:val="005CA9"/>
                <w:kern w:val="2"/>
                <w:sz w:val="18"/>
                <w:szCs w:val="18"/>
                <w:lang w:eastAsia="en-US"/>
                <w14:ligatures w14:val="standardContextual"/>
              </w:rPr>
              <w:t>Fundo de Custeio do Ensino Médio – FIPEM</w:t>
            </w:r>
          </w:p>
        </w:tc>
        <w:tc>
          <w:tcPr>
            <w:tcW w:w="786" w:type="pct"/>
            <w:tcBorders>
              <w:top w:val="nil"/>
              <w:left w:val="nil"/>
              <w:bottom w:val="nil"/>
              <w:right w:val="nil"/>
            </w:tcBorders>
            <w:noWrap/>
            <w:tcMar>
              <w:top w:w="15" w:type="dxa"/>
              <w:left w:w="15" w:type="dxa"/>
              <w:bottom w:w="0" w:type="dxa"/>
              <w:right w:w="15" w:type="dxa"/>
            </w:tcMar>
            <w:vAlign w:val="center"/>
          </w:tcPr>
          <w:p w14:paraId="7696B703" w14:textId="34F6FD9D" w:rsidR="008F6354" w:rsidRPr="00632850" w:rsidRDefault="00761A41" w:rsidP="008F6354">
            <w:pPr>
              <w:jc w:val="right"/>
              <w:rPr>
                <w:rFonts w:ascii="CAIXA Std Book" w:eastAsiaTheme="minorHAnsi" w:hAnsi="CAIXA Std Book" w:cs="Arial"/>
                <w:color w:val="005CA9"/>
                <w:kern w:val="2"/>
                <w:sz w:val="18"/>
                <w:szCs w:val="18"/>
                <w:lang w:eastAsia="en-US"/>
                <w14:ligatures w14:val="standardContextual"/>
              </w:rPr>
            </w:pPr>
            <w:r>
              <w:rPr>
                <w:rFonts w:ascii="CAIXA Std Book" w:hAnsi="CAIXA Std Book" w:cs="Arial"/>
                <w:color w:val="005CA9"/>
                <w:sz w:val="18"/>
                <w:szCs w:val="18"/>
              </w:rPr>
              <w:t>1.698.943</w:t>
            </w:r>
          </w:p>
        </w:tc>
        <w:tc>
          <w:tcPr>
            <w:tcW w:w="787" w:type="pct"/>
            <w:tcBorders>
              <w:top w:val="nil"/>
              <w:left w:val="nil"/>
              <w:bottom w:val="nil"/>
              <w:right w:val="nil"/>
            </w:tcBorders>
            <w:vAlign w:val="center"/>
          </w:tcPr>
          <w:p w14:paraId="0EF7E335" w14:textId="62086201" w:rsidR="008F6354" w:rsidRPr="00632850" w:rsidRDefault="008F6354" w:rsidP="008F6354">
            <w:pPr>
              <w:ind w:right="55"/>
              <w:jc w:val="right"/>
              <w:rPr>
                <w:rFonts w:ascii="CAIXA Std Book" w:eastAsiaTheme="minorHAnsi" w:hAnsi="CAIXA Std Book" w:cs="Arial"/>
                <w:color w:val="005CA9"/>
                <w:kern w:val="2"/>
                <w:sz w:val="18"/>
                <w:szCs w:val="18"/>
                <w:lang w:eastAsia="en-US"/>
                <w14:ligatures w14:val="standardContextual"/>
              </w:rPr>
            </w:pPr>
            <w:r w:rsidRPr="00632850">
              <w:rPr>
                <w:rFonts w:ascii="CAIXA Std Book" w:eastAsiaTheme="minorHAnsi" w:hAnsi="CAIXA Std Book" w:cs="Arial"/>
                <w:color w:val="005CA9"/>
                <w:kern w:val="2"/>
                <w:sz w:val="18"/>
                <w:szCs w:val="18"/>
                <w:lang w:eastAsia="en-US"/>
                <w14:ligatures w14:val="standardContextual"/>
              </w:rPr>
              <w:t>1.632.038</w:t>
            </w:r>
          </w:p>
        </w:tc>
      </w:tr>
      <w:tr w:rsidR="008F6354" w14:paraId="795ECDA7" w14:textId="77777777">
        <w:trPr>
          <w:trHeight w:val="283"/>
        </w:trPr>
        <w:tc>
          <w:tcPr>
            <w:tcW w:w="3427" w:type="pct"/>
            <w:tcBorders>
              <w:top w:val="nil"/>
              <w:left w:val="nil"/>
              <w:bottom w:val="single" w:sz="4" w:space="0" w:color="FFFFFF"/>
              <w:right w:val="nil"/>
            </w:tcBorders>
            <w:noWrap/>
            <w:tcMar>
              <w:top w:w="15" w:type="dxa"/>
              <w:left w:w="15" w:type="dxa"/>
              <w:bottom w:w="0" w:type="dxa"/>
              <w:right w:w="15" w:type="dxa"/>
            </w:tcMar>
            <w:vAlign w:val="center"/>
            <w:hideMark/>
          </w:tcPr>
          <w:p w14:paraId="21AEACD1" w14:textId="77777777" w:rsidR="008F6354" w:rsidRPr="00A11407" w:rsidRDefault="008F6354" w:rsidP="008F6354">
            <w:pPr>
              <w:jc w:val="both"/>
              <w:rPr>
                <w:rFonts w:ascii="CAIXA Std Book" w:eastAsiaTheme="minorHAnsi" w:hAnsi="CAIXA Std Book" w:cs="Arial"/>
                <w:color w:val="005CA9"/>
                <w:kern w:val="2"/>
                <w:sz w:val="18"/>
                <w:szCs w:val="18"/>
                <w:lang w:eastAsia="en-US"/>
                <w14:ligatures w14:val="standardContextual"/>
              </w:rPr>
            </w:pPr>
            <w:r w:rsidRPr="00A11407">
              <w:rPr>
                <w:rFonts w:ascii="CAIXA Std Book" w:eastAsiaTheme="minorHAnsi" w:hAnsi="CAIXA Std Book" w:cs="Arial"/>
                <w:color w:val="005CA9"/>
                <w:kern w:val="2"/>
                <w:sz w:val="18"/>
                <w:szCs w:val="18"/>
                <w:lang w:eastAsia="en-US"/>
                <w14:ligatures w14:val="standardContextual"/>
              </w:rPr>
              <w:t>Fundo Garantidor de Microfinanças – FGM</w:t>
            </w:r>
          </w:p>
        </w:tc>
        <w:tc>
          <w:tcPr>
            <w:tcW w:w="786" w:type="pct"/>
            <w:tcBorders>
              <w:top w:val="nil"/>
              <w:left w:val="nil"/>
              <w:bottom w:val="nil"/>
              <w:right w:val="nil"/>
            </w:tcBorders>
            <w:noWrap/>
            <w:tcMar>
              <w:top w:w="15" w:type="dxa"/>
              <w:left w:w="15" w:type="dxa"/>
              <w:bottom w:w="0" w:type="dxa"/>
              <w:right w:w="15" w:type="dxa"/>
            </w:tcMar>
            <w:vAlign w:val="center"/>
          </w:tcPr>
          <w:p w14:paraId="452886F2" w14:textId="026C496E" w:rsidR="008F6354" w:rsidRPr="00632850" w:rsidRDefault="00761A41" w:rsidP="008F6354">
            <w:pPr>
              <w:jc w:val="right"/>
              <w:rPr>
                <w:rFonts w:ascii="CAIXA Std Book" w:eastAsiaTheme="minorHAnsi" w:hAnsi="CAIXA Std Book" w:cs="Arial"/>
                <w:color w:val="005CA9"/>
                <w:kern w:val="2"/>
                <w:sz w:val="18"/>
                <w:szCs w:val="18"/>
                <w:lang w:eastAsia="en-US"/>
                <w14:ligatures w14:val="standardContextual"/>
              </w:rPr>
            </w:pPr>
            <w:r>
              <w:rPr>
                <w:rFonts w:ascii="CAIXA Std Book" w:hAnsi="CAIXA Std Book" w:cs="Arial"/>
                <w:color w:val="005CA9"/>
                <w:sz w:val="18"/>
                <w:szCs w:val="18"/>
              </w:rPr>
              <w:t>447.600</w:t>
            </w:r>
          </w:p>
        </w:tc>
        <w:tc>
          <w:tcPr>
            <w:tcW w:w="787" w:type="pct"/>
            <w:tcBorders>
              <w:top w:val="nil"/>
              <w:left w:val="nil"/>
              <w:bottom w:val="nil"/>
              <w:right w:val="nil"/>
            </w:tcBorders>
            <w:vAlign w:val="center"/>
          </w:tcPr>
          <w:p w14:paraId="3ECDD485" w14:textId="28C174C1" w:rsidR="008F6354" w:rsidRPr="00632850" w:rsidRDefault="008F6354" w:rsidP="008F6354">
            <w:pPr>
              <w:ind w:right="55"/>
              <w:jc w:val="right"/>
              <w:rPr>
                <w:rFonts w:ascii="CAIXA Std Book" w:eastAsiaTheme="minorHAnsi" w:hAnsi="CAIXA Std Book" w:cs="Arial"/>
                <w:color w:val="005CA9"/>
                <w:kern w:val="2"/>
                <w:sz w:val="18"/>
                <w:szCs w:val="18"/>
                <w:lang w:eastAsia="en-US"/>
                <w14:ligatures w14:val="standardContextual"/>
              </w:rPr>
            </w:pPr>
            <w:r w:rsidRPr="00632850">
              <w:rPr>
                <w:rFonts w:ascii="CAIXA Std Book" w:eastAsiaTheme="minorHAnsi" w:hAnsi="CAIXA Std Book" w:cs="Arial"/>
                <w:color w:val="005CA9"/>
                <w:kern w:val="2"/>
                <w:sz w:val="18"/>
                <w:szCs w:val="18"/>
                <w:lang w:eastAsia="en-US"/>
                <w14:ligatures w14:val="standardContextual"/>
              </w:rPr>
              <w:t>434.594</w:t>
            </w:r>
          </w:p>
        </w:tc>
      </w:tr>
      <w:tr w:rsidR="008F6354" w14:paraId="14FABA85" w14:textId="77777777">
        <w:trPr>
          <w:trHeight w:val="283"/>
        </w:trPr>
        <w:tc>
          <w:tcPr>
            <w:tcW w:w="3427" w:type="pct"/>
            <w:tcBorders>
              <w:top w:val="nil"/>
              <w:left w:val="nil"/>
              <w:bottom w:val="single" w:sz="4" w:space="0" w:color="FFFFFF"/>
              <w:right w:val="nil"/>
            </w:tcBorders>
            <w:noWrap/>
            <w:tcMar>
              <w:top w:w="15" w:type="dxa"/>
              <w:left w:w="15" w:type="dxa"/>
              <w:bottom w:w="0" w:type="dxa"/>
              <w:right w:w="15" w:type="dxa"/>
            </w:tcMar>
            <w:vAlign w:val="center"/>
            <w:hideMark/>
          </w:tcPr>
          <w:p w14:paraId="4504699E" w14:textId="77777777" w:rsidR="008F6354" w:rsidRPr="00A11407" w:rsidRDefault="008F6354" w:rsidP="008F6354">
            <w:pPr>
              <w:jc w:val="both"/>
              <w:rPr>
                <w:rFonts w:ascii="CAIXA Std Book" w:eastAsiaTheme="minorHAnsi" w:hAnsi="CAIXA Std Book" w:cs="Arial"/>
                <w:color w:val="005CA9"/>
                <w:kern w:val="2"/>
                <w:sz w:val="18"/>
                <w:szCs w:val="18"/>
                <w:lang w:eastAsia="en-US"/>
                <w14:ligatures w14:val="standardContextual"/>
              </w:rPr>
            </w:pPr>
            <w:r w:rsidRPr="00A11407">
              <w:rPr>
                <w:rFonts w:ascii="CAIXA Std Book" w:eastAsiaTheme="minorHAnsi" w:hAnsi="CAIXA Std Book" w:cs="Arial"/>
                <w:color w:val="005CA9"/>
                <w:kern w:val="2"/>
                <w:sz w:val="18"/>
                <w:szCs w:val="18"/>
                <w:lang w:eastAsia="en-US"/>
                <w14:ligatures w14:val="standardContextual"/>
              </w:rPr>
              <w:t>Fundo de Garantia Para Construção Naval – FGCN</w:t>
            </w:r>
          </w:p>
        </w:tc>
        <w:tc>
          <w:tcPr>
            <w:tcW w:w="786" w:type="pct"/>
            <w:tcBorders>
              <w:top w:val="nil"/>
              <w:left w:val="nil"/>
              <w:bottom w:val="single" w:sz="4" w:space="0" w:color="FFFFFF"/>
              <w:right w:val="nil"/>
            </w:tcBorders>
            <w:noWrap/>
            <w:tcMar>
              <w:top w:w="15" w:type="dxa"/>
              <w:left w:w="15" w:type="dxa"/>
              <w:bottom w:w="0" w:type="dxa"/>
              <w:right w:w="15" w:type="dxa"/>
            </w:tcMar>
            <w:vAlign w:val="center"/>
          </w:tcPr>
          <w:p w14:paraId="5554A63E" w14:textId="0F49A8D3" w:rsidR="008F6354" w:rsidRPr="00632850" w:rsidRDefault="00761A41" w:rsidP="008F6354">
            <w:pPr>
              <w:jc w:val="right"/>
              <w:rPr>
                <w:rFonts w:ascii="CAIXA Std Book" w:eastAsiaTheme="minorHAnsi" w:hAnsi="CAIXA Std Book" w:cs="Arial"/>
                <w:color w:val="005CA9"/>
                <w:kern w:val="2"/>
                <w:sz w:val="18"/>
                <w:szCs w:val="18"/>
                <w:lang w:eastAsia="en-US"/>
                <w14:ligatures w14:val="standardContextual"/>
              </w:rPr>
            </w:pPr>
            <w:r>
              <w:rPr>
                <w:rFonts w:ascii="CAIXA Std Book" w:hAnsi="CAIXA Std Book" w:cs="Arial"/>
                <w:color w:val="005CA9"/>
                <w:sz w:val="18"/>
                <w:szCs w:val="18"/>
              </w:rPr>
              <w:t>59.336</w:t>
            </w:r>
          </w:p>
        </w:tc>
        <w:tc>
          <w:tcPr>
            <w:tcW w:w="787" w:type="pct"/>
            <w:tcBorders>
              <w:top w:val="nil"/>
              <w:left w:val="nil"/>
              <w:bottom w:val="single" w:sz="4" w:space="0" w:color="FFFFFF"/>
              <w:right w:val="nil"/>
            </w:tcBorders>
            <w:vAlign w:val="center"/>
          </w:tcPr>
          <w:p w14:paraId="2B7A7C2E" w14:textId="0AFBC920" w:rsidR="008F6354" w:rsidRPr="00632850" w:rsidRDefault="008F6354" w:rsidP="008F6354">
            <w:pPr>
              <w:ind w:right="55"/>
              <w:jc w:val="right"/>
              <w:rPr>
                <w:rFonts w:ascii="CAIXA Std Book" w:eastAsiaTheme="minorHAnsi" w:hAnsi="CAIXA Std Book" w:cs="Arial"/>
                <w:color w:val="005CA9"/>
                <w:kern w:val="2"/>
                <w:sz w:val="18"/>
                <w:szCs w:val="18"/>
                <w:lang w:eastAsia="en-US"/>
                <w14:ligatures w14:val="standardContextual"/>
              </w:rPr>
            </w:pPr>
            <w:r w:rsidRPr="00632850">
              <w:rPr>
                <w:rFonts w:ascii="CAIXA Std Book" w:eastAsiaTheme="minorHAnsi" w:hAnsi="CAIXA Std Book" w:cs="Arial"/>
                <w:color w:val="005CA9"/>
                <w:kern w:val="2"/>
                <w:sz w:val="18"/>
                <w:szCs w:val="18"/>
                <w:lang w:eastAsia="en-US"/>
                <w14:ligatures w14:val="standardContextual"/>
              </w:rPr>
              <w:t>58.333</w:t>
            </w:r>
          </w:p>
        </w:tc>
      </w:tr>
      <w:tr w:rsidR="008F6354" w14:paraId="6E413DB7" w14:textId="77777777" w:rsidTr="007B711E">
        <w:trPr>
          <w:trHeight w:val="283"/>
        </w:trPr>
        <w:tc>
          <w:tcPr>
            <w:tcW w:w="3427" w:type="pct"/>
            <w:tcBorders>
              <w:top w:val="nil"/>
              <w:left w:val="single" w:sz="4" w:space="0" w:color="FFFFFF"/>
              <w:bottom w:val="nil"/>
              <w:right w:val="nil"/>
            </w:tcBorders>
            <w:shd w:val="clear" w:color="auto" w:fill="005CA9"/>
            <w:noWrap/>
            <w:tcMar>
              <w:top w:w="15" w:type="dxa"/>
              <w:left w:w="15" w:type="dxa"/>
              <w:bottom w:w="0" w:type="dxa"/>
              <w:right w:w="15" w:type="dxa"/>
            </w:tcMar>
            <w:vAlign w:val="center"/>
            <w:hideMark/>
          </w:tcPr>
          <w:p w14:paraId="71D23091" w14:textId="77777777" w:rsidR="008F6354" w:rsidRPr="00A11407" w:rsidRDefault="008F6354" w:rsidP="008F6354">
            <w:pPr>
              <w:rPr>
                <w:rFonts w:ascii="CAIXA Std Book" w:hAnsi="CAIXA Std Book" w:cs="Calibri"/>
                <w:b/>
                <w:color w:val="FFFFFF"/>
                <w:sz w:val="18"/>
                <w:szCs w:val="18"/>
              </w:rPr>
            </w:pPr>
            <w:r w:rsidRPr="00A11407">
              <w:rPr>
                <w:rFonts w:ascii="CAIXA Std Book" w:hAnsi="CAIXA Std Book" w:cs="Calibri"/>
                <w:b/>
                <w:color w:val="FFFFFF"/>
                <w:sz w:val="18"/>
                <w:szCs w:val="18"/>
              </w:rPr>
              <w:t>Total</w:t>
            </w:r>
          </w:p>
        </w:tc>
        <w:tc>
          <w:tcPr>
            <w:tcW w:w="786" w:type="pct"/>
            <w:tcBorders>
              <w:top w:val="nil"/>
              <w:left w:val="nil"/>
              <w:bottom w:val="nil"/>
              <w:right w:val="nil"/>
            </w:tcBorders>
            <w:shd w:val="clear" w:color="auto" w:fill="005CA9"/>
            <w:noWrap/>
            <w:tcMar>
              <w:top w:w="15" w:type="dxa"/>
              <w:left w:w="15" w:type="dxa"/>
              <w:bottom w:w="0" w:type="dxa"/>
              <w:right w:w="15" w:type="dxa"/>
            </w:tcMar>
            <w:vAlign w:val="center"/>
          </w:tcPr>
          <w:p w14:paraId="279E29FB" w14:textId="17DE7269" w:rsidR="008F6354" w:rsidRPr="00A11407" w:rsidRDefault="00761A41" w:rsidP="008F6354">
            <w:pPr>
              <w:jc w:val="right"/>
              <w:rPr>
                <w:rFonts w:ascii="CAIXA Std Book" w:hAnsi="CAIXA Std Book" w:cs="Calibri"/>
                <w:b/>
                <w:color w:val="FFFFFF"/>
                <w:sz w:val="18"/>
                <w:szCs w:val="18"/>
              </w:rPr>
            </w:pPr>
            <w:r>
              <w:rPr>
                <w:rFonts w:ascii="CAIXA Std Book" w:hAnsi="CAIXA Std Book" w:cs="Arial"/>
                <w:b/>
                <w:bCs/>
                <w:color w:val="FFFFFF"/>
                <w:sz w:val="18"/>
                <w:szCs w:val="18"/>
              </w:rPr>
              <w:t>916.296.938</w:t>
            </w:r>
          </w:p>
        </w:tc>
        <w:tc>
          <w:tcPr>
            <w:tcW w:w="787" w:type="pct"/>
            <w:tcBorders>
              <w:top w:val="nil"/>
              <w:left w:val="nil"/>
              <w:bottom w:val="nil"/>
              <w:right w:val="nil"/>
            </w:tcBorders>
            <w:shd w:val="clear" w:color="auto" w:fill="005CA9"/>
            <w:vAlign w:val="center"/>
          </w:tcPr>
          <w:p w14:paraId="79BD4D09" w14:textId="06300A88" w:rsidR="008F6354" w:rsidRPr="00A11407" w:rsidRDefault="008F6354" w:rsidP="008F6354">
            <w:pPr>
              <w:ind w:right="55"/>
              <w:jc w:val="right"/>
              <w:rPr>
                <w:rFonts w:ascii="CAIXA Std Book" w:hAnsi="CAIXA Std Book" w:cs="Calibri"/>
                <w:b/>
                <w:color w:val="FFFFFF"/>
                <w:sz w:val="18"/>
                <w:szCs w:val="18"/>
              </w:rPr>
            </w:pPr>
            <w:r w:rsidRPr="00A11407">
              <w:rPr>
                <w:rFonts w:ascii="CAIXA Std Book" w:hAnsi="CAIXA Std Book" w:cs="Arial"/>
                <w:b/>
                <w:bCs/>
                <w:color w:val="FFFFFF"/>
                <w:sz w:val="18"/>
                <w:szCs w:val="18"/>
              </w:rPr>
              <w:t>893.724.965</w:t>
            </w:r>
          </w:p>
        </w:tc>
      </w:tr>
    </w:tbl>
    <w:p w14:paraId="5F9241F2" w14:textId="57E9819A" w:rsidR="00CF6D36" w:rsidRPr="00B04D8D" w:rsidRDefault="00C15527" w:rsidP="00630582">
      <w:pPr>
        <w:jc w:val="both"/>
        <w:rPr>
          <w:rFonts w:ascii="CAIXA Std Book" w:hAnsi="CAIXA Std Book"/>
          <w:color w:val="005CA9"/>
          <w:sz w:val="16"/>
          <w:szCs w:val="16"/>
        </w:rPr>
      </w:pPr>
      <w:r w:rsidRPr="00B04D8D">
        <w:rPr>
          <w:rFonts w:ascii="CAIXA Std Book" w:hAnsi="CAIXA Std Book"/>
          <w:color w:val="005CA9"/>
          <w:sz w:val="16"/>
          <w:szCs w:val="16"/>
        </w:rPr>
        <w:t xml:space="preserve"> </w:t>
      </w:r>
      <w:r w:rsidR="00E8461B" w:rsidRPr="00B04D8D">
        <w:rPr>
          <w:rFonts w:ascii="CAIXA Std Book" w:hAnsi="CAIXA Std Book"/>
          <w:color w:val="005CA9"/>
          <w:sz w:val="16"/>
          <w:szCs w:val="16"/>
        </w:rPr>
        <w:t xml:space="preserve">(1) </w:t>
      </w:r>
      <w:r w:rsidR="0007786F" w:rsidRPr="00B04D8D">
        <w:rPr>
          <w:rFonts w:ascii="CAIXA Std Book" w:hAnsi="CAIXA Std Book"/>
          <w:color w:val="005CA9"/>
          <w:sz w:val="16"/>
          <w:szCs w:val="16"/>
        </w:rPr>
        <w:t xml:space="preserve">Os valores apresentados refletem a posição de fechamento mais </w:t>
      </w:r>
      <w:r w:rsidR="008E00C0">
        <w:rPr>
          <w:rFonts w:ascii="CAIXA Std Book" w:hAnsi="CAIXA Std Book"/>
          <w:color w:val="005CA9"/>
          <w:sz w:val="16"/>
          <w:szCs w:val="16"/>
        </w:rPr>
        <w:t>recente</w:t>
      </w:r>
      <w:r w:rsidR="0007786F" w:rsidRPr="00B04D8D">
        <w:rPr>
          <w:rFonts w:ascii="CAIXA Std Book" w:hAnsi="CAIXA Std Book"/>
          <w:color w:val="005CA9"/>
          <w:sz w:val="16"/>
          <w:szCs w:val="16"/>
        </w:rPr>
        <w:t xml:space="preserve"> do</w:t>
      </w:r>
      <w:r w:rsidR="006A5327">
        <w:rPr>
          <w:rFonts w:ascii="CAIXA Std Book" w:hAnsi="CAIXA Std Book"/>
          <w:color w:val="005CA9"/>
          <w:sz w:val="16"/>
          <w:szCs w:val="16"/>
        </w:rPr>
        <w:t>s</w:t>
      </w:r>
      <w:r w:rsidR="0007786F" w:rsidRPr="00B04D8D">
        <w:rPr>
          <w:rFonts w:ascii="CAIXA Std Book" w:hAnsi="CAIXA Std Book"/>
          <w:color w:val="005CA9"/>
          <w:sz w:val="16"/>
          <w:szCs w:val="16"/>
        </w:rPr>
        <w:t xml:space="preserve"> ativo</w:t>
      </w:r>
      <w:r w:rsidR="006A5327">
        <w:rPr>
          <w:rFonts w:ascii="CAIXA Std Book" w:hAnsi="CAIXA Std Book"/>
          <w:color w:val="005CA9"/>
          <w:sz w:val="16"/>
          <w:szCs w:val="16"/>
        </w:rPr>
        <w:t>s</w:t>
      </w:r>
      <w:r w:rsidR="0007786F" w:rsidRPr="00B04D8D">
        <w:rPr>
          <w:rFonts w:ascii="CAIXA Std Book" w:hAnsi="CAIXA Std Book"/>
          <w:color w:val="005CA9"/>
          <w:sz w:val="16"/>
          <w:szCs w:val="16"/>
        </w:rPr>
        <w:t xml:space="preserve"> dos </w:t>
      </w:r>
      <w:r w:rsidR="00624092">
        <w:rPr>
          <w:rFonts w:ascii="CAIXA Std Book" w:hAnsi="CAIXA Std Book"/>
          <w:color w:val="005CA9"/>
          <w:sz w:val="16"/>
          <w:szCs w:val="16"/>
        </w:rPr>
        <w:t>f</w:t>
      </w:r>
      <w:r w:rsidR="0007786F" w:rsidRPr="00B04D8D">
        <w:rPr>
          <w:rFonts w:ascii="CAIXA Std Book" w:hAnsi="CAIXA Std Book"/>
          <w:color w:val="005CA9"/>
          <w:sz w:val="16"/>
          <w:szCs w:val="16"/>
        </w:rPr>
        <w:t>undos</w:t>
      </w:r>
      <w:r w:rsidR="0011205B" w:rsidRPr="00B04D8D">
        <w:rPr>
          <w:rFonts w:ascii="CAIXA Std Book" w:hAnsi="CAIXA Std Book"/>
          <w:color w:val="005CA9"/>
          <w:sz w:val="16"/>
          <w:szCs w:val="16"/>
        </w:rPr>
        <w:t>.</w:t>
      </w:r>
    </w:p>
    <w:p w14:paraId="603A99AB" w14:textId="6CF2E012" w:rsidR="005F303D" w:rsidRPr="00E95E29" w:rsidRDefault="005F303D" w:rsidP="00B735D2">
      <w:pPr>
        <w:pStyle w:val="Ttulo1"/>
      </w:pPr>
      <w:bookmarkStart w:id="60" w:name="_Toc217914314"/>
      <w:bookmarkStart w:id="61" w:name="_Toc229588464"/>
      <w:r w:rsidRPr="00E95E29">
        <w:t>Nota   2 – Apresentação das</w:t>
      </w:r>
      <w:r w:rsidR="00AD3A2A" w:rsidRPr="00E95E29">
        <w:t xml:space="preserve"> demonstrações</w:t>
      </w:r>
      <w:r w:rsidR="00607592" w:rsidRPr="00E95E29">
        <w:t xml:space="preserve"> contábeis</w:t>
      </w:r>
      <w:bookmarkEnd w:id="60"/>
      <w:bookmarkEnd w:id="61"/>
    </w:p>
    <w:p w14:paraId="4326233A" w14:textId="354115F9" w:rsidR="005F303D" w:rsidRPr="00B04D8D" w:rsidRDefault="005F303D" w:rsidP="00111DF8">
      <w:pPr>
        <w:pStyle w:val="PargrafodaLista"/>
        <w:keepNext/>
        <w:numPr>
          <w:ilvl w:val="0"/>
          <w:numId w:val="4"/>
        </w:numPr>
        <w:spacing w:before="240" w:after="120"/>
        <w:contextualSpacing w:val="0"/>
        <w:jc w:val="both"/>
        <w:rPr>
          <w:rFonts w:ascii="CAIXA Std Book" w:hAnsi="CAIXA Std Book"/>
          <w:b/>
          <w:color w:val="005CA9"/>
          <w:sz w:val="20"/>
          <w:szCs w:val="20"/>
        </w:rPr>
      </w:pPr>
      <w:r w:rsidRPr="00B04D8D">
        <w:rPr>
          <w:rFonts w:ascii="CAIXA Std Book" w:hAnsi="CAIXA Std Book"/>
          <w:b/>
          <w:color w:val="005CA9"/>
          <w:sz w:val="20"/>
          <w:szCs w:val="20"/>
        </w:rPr>
        <w:t>Contexto</w:t>
      </w:r>
    </w:p>
    <w:p w14:paraId="479FD2B7" w14:textId="16F0FDCB" w:rsidR="00F31098" w:rsidRPr="00955AA1" w:rsidRDefault="00F31098" w:rsidP="008A1CFD">
      <w:pPr>
        <w:spacing w:before="120" w:after="120"/>
        <w:jc w:val="both"/>
        <w:rPr>
          <w:rFonts w:ascii="CAIXA Std Book" w:hAnsi="CAIXA Std Book"/>
          <w:color w:val="005CA9"/>
          <w:sz w:val="20"/>
          <w:szCs w:val="20"/>
        </w:rPr>
      </w:pPr>
      <w:r w:rsidRPr="00B04D8D">
        <w:rPr>
          <w:rFonts w:ascii="CAIXA Std Book" w:hAnsi="CAIXA Std Book"/>
          <w:color w:val="005CA9"/>
          <w:sz w:val="20"/>
          <w:szCs w:val="20"/>
        </w:rPr>
        <w:t xml:space="preserve">As demonstrações contábeis individuais e consolidadas da CAIXA são de responsabilidade da </w:t>
      </w:r>
      <w:r w:rsidRPr="00955AA1">
        <w:rPr>
          <w:rFonts w:ascii="CAIXA Std Book" w:hAnsi="CAIXA Std Book"/>
          <w:color w:val="005CA9"/>
          <w:sz w:val="20"/>
          <w:szCs w:val="20"/>
        </w:rPr>
        <w:t xml:space="preserve">Administração e foram </w:t>
      </w:r>
      <w:r w:rsidRPr="008D1E1D">
        <w:rPr>
          <w:rFonts w:ascii="CAIXA Std Book" w:hAnsi="CAIXA Std Book"/>
          <w:color w:val="005CA9"/>
          <w:sz w:val="20"/>
          <w:szCs w:val="20"/>
        </w:rPr>
        <w:t xml:space="preserve">aprovadas pelo Conselho Diretor em </w:t>
      </w:r>
      <w:r w:rsidR="008D1E1D" w:rsidRPr="008D1E1D">
        <w:rPr>
          <w:rFonts w:ascii="CAIXA Std Book" w:hAnsi="CAIXA Std Book"/>
          <w:color w:val="005CA9"/>
          <w:sz w:val="20"/>
          <w:szCs w:val="20"/>
        </w:rPr>
        <w:t>07</w:t>
      </w:r>
      <w:r w:rsidR="0074208D" w:rsidRPr="008D1E1D">
        <w:rPr>
          <w:rFonts w:ascii="CAIXA Std Book" w:hAnsi="CAIXA Std Book"/>
          <w:color w:val="005CA9"/>
          <w:sz w:val="20"/>
          <w:szCs w:val="20"/>
        </w:rPr>
        <w:t>/</w:t>
      </w:r>
      <w:r w:rsidR="008D1E1D" w:rsidRPr="008D1E1D">
        <w:rPr>
          <w:rFonts w:ascii="CAIXA Std Book" w:hAnsi="CAIXA Std Book"/>
          <w:color w:val="005CA9"/>
          <w:sz w:val="20"/>
          <w:szCs w:val="20"/>
        </w:rPr>
        <w:t>05</w:t>
      </w:r>
      <w:r w:rsidR="0074208D" w:rsidRPr="008D1E1D">
        <w:rPr>
          <w:rFonts w:ascii="CAIXA Std Book" w:hAnsi="CAIXA Std Book"/>
          <w:color w:val="005CA9"/>
          <w:sz w:val="20"/>
          <w:szCs w:val="20"/>
        </w:rPr>
        <w:t>/</w:t>
      </w:r>
      <w:r w:rsidR="00C43D3D" w:rsidRPr="008D1E1D">
        <w:rPr>
          <w:rFonts w:ascii="CAIXA Std Book" w:hAnsi="CAIXA Std Book"/>
          <w:color w:val="005CA9"/>
          <w:sz w:val="20"/>
          <w:szCs w:val="20"/>
        </w:rPr>
        <w:t>202</w:t>
      </w:r>
      <w:r w:rsidR="0036602D" w:rsidRPr="008D1E1D">
        <w:rPr>
          <w:rFonts w:ascii="CAIXA Std Book" w:hAnsi="CAIXA Std Book"/>
          <w:color w:val="005CA9"/>
          <w:sz w:val="20"/>
          <w:szCs w:val="20"/>
        </w:rPr>
        <w:t>6</w:t>
      </w:r>
      <w:r w:rsidRPr="008D1E1D">
        <w:rPr>
          <w:rFonts w:ascii="CAIXA Std Book" w:hAnsi="CAIXA Std Book"/>
          <w:color w:val="005CA9"/>
          <w:sz w:val="20"/>
          <w:szCs w:val="20"/>
        </w:rPr>
        <w:t xml:space="preserve"> e pelo Conselho de Administração em </w:t>
      </w:r>
      <w:r w:rsidR="008D1E1D" w:rsidRPr="008D1E1D">
        <w:rPr>
          <w:rFonts w:ascii="CAIXA Std Book" w:hAnsi="CAIXA Std Book"/>
          <w:color w:val="005CA9"/>
          <w:sz w:val="20"/>
          <w:szCs w:val="20"/>
        </w:rPr>
        <w:t>11</w:t>
      </w:r>
      <w:r w:rsidR="0074208D" w:rsidRPr="008D1E1D">
        <w:rPr>
          <w:rFonts w:ascii="CAIXA Std Book" w:hAnsi="CAIXA Std Book"/>
          <w:color w:val="005CA9"/>
          <w:sz w:val="20"/>
          <w:szCs w:val="20"/>
        </w:rPr>
        <w:t>/</w:t>
      </w:r>
      <w:r w:rsidR="008D1E1D" w:rsidRPr="008D1E1D">
        <w:rPr>
          <w:rFonts w:ascii="CAIXA Std Book" w:hAnsi="CAIXA Std Book"/>
          <w:color w:val="005CA9"/>
          <w:sz w:val="20"/>
          <w:szCs w:val="20"/>
        </w:rPr>
        <w:t>05</w:t>
      </w:r>
      <w:r w:rsidR="0074208D" w:rsidRPr="008D1E1D">
        <w:rPr>
          <w:rFonts w:ascii="CAIXA Std Book" w:hAnsi="CAIXA Std Book"/>
          <w:color w:val="005CA9"/>
          <w:sz w:val="20"/>
          <w:szCs w:val="20"/>
        </w:rPr>
        <w:t>/</w:t>
      </w:r>
      <w:r w:rsidR="00560D30" w:rsidRPr="008D1E1D">
        <w:rPr>
          <w:rFonts w:ascii="CAIXA Std Book" w:hAnsi="CAIXA Std Book"/>
          <w:color w:val="005CA9"/>
          <w:sz w:val="20"/>
          <w:szCs w:val="20"/>
        </w:rPr>
        <w:t>202</w:t>
      </w:r>
      <w:r w:rsidR="0036602D" w:rsidRPr="008D1E1D">
        <w:rPr>
          <w:rFonts w:ascii="CAIXA Std Book" w:hAnsi="CAIXA Std Book"/>
          <w:color w:val="005CA9"/>
          <w:sz w:val="20"/>
          <w:szCs w:val="20"/>
        </w:rPr>
        <w:t>6</w:t>
      </w:r>
      <w:r w:rsidRPr="008D1E1D">
        <w:rPr>
          <w:rFonts w:ascii="CAIXA Std Book" w:hAnsi="CAIXA Std Book"/>
          <w:color w:val="005CA9"/>
          <w:sz w:val="20"/>
          <w:szCs w:val="20"/>
        </w:rPr>
        <w:t>.</w:t>
      </w:r>
    </w:p>
    <w:p w14:paraId="24B15D83" w14:textId="26E09A30" w:rsidR="005F303D" w:rsidRPr="00B04D8D" w:rsidRDefault="005F303D" w:rsidP="00A26B7B">
      <w:pPr>
        <w:pStyle w:val="PargrafodaLista"/>
        <w:keepNext/>
        <w:numPr>
          <w:ilvl w:val="0"/>
          <w:numId w:val="4"/>
        </w:numPr>
        <w:spacing w:before="240" w:after="120"/>
        <w:contextualSpacing w:val="0"/>
        <w:jc w:val="both"/>
        <w:rPr>
          <w:rFonts w:ascii="CAIXA Std Book" w:hAnsi="CAIXA Std Book"/>
          <w:b/>
          <w:color w:val="005CA9"/>
          <w:sz w:val="20"/>
          <w:szCs w:val="20"/>
        </w:rPr>
      </w:pPr>
      <w:bookmarkStart w:id="62" w:name="_Hlk39168392"/>
      <w:r w:rsidRPr="00B04D8D">
        <w:rPr>
          <w:rFonts w:ascii="CAIXA Std Book" w:hAnsi="CAIXA Std Book"/>
          <w:b/>
          <w:color w:val="005CA9"/>
          <w:sz w:val="20"/>
          <w:szCs w:val="20"/>
        </w:rPr>
        <w:t>Base de preparação e declaração de conformidade</w:t>
      </w:r>
    </w:p>
    <w:p w14:paraId="435D404F" w14:textId="69FA8746" w:rsidR="005F303D" w:rsidRPr="00B04D8D" w:rsidRDefault="005F303D" w:rsidP="008A1CFD">
      <w:pPr>
        <w:spacing w:before="120" w:after="120"/>
        <w:jc w:val="both"/>
        <w:rPr>
          <w:rFonts w:ascii="CAIXA Std Book" w:hAnsi="CAIXA Std Book"/>
          <w:color w:val="005CA9"/>
          <w:sz w:val="20"/>
          <w:szCs w:val="20"/>
        </w:rPr>
      </w:pPr>
      <w:r w:rsidRPr="00B04D8D">
        <w:rPr>
          <w:rFonts w:ascii="CAIXA Std Book" w:hAnsi="CAIXA Std Book"/>
          <w:color w:val="005CA9"/>
          <w:sz w:val="20"/>
          <w:szCs w:val="20"/>
        </w:rPr>
        <w:t>As</w:t>
      </w:r>
      <w:r w:rsidR="00AD3A2A" w:rsidRPr="00B04D8D">
        <w:rPr>
          <w:rFonts w:ascii="CAIXA Std Book" w:hAnsi="CAIXA Std Book"/>
          <w:color w:val="005CA9"/>
          <w:sz w:val="20"/>
          <w:szCs w:val="20"/>
        </w:rPr>
        <w:t xml:space="preserve"> demonstrações</w:t>
      </w:r>
      <w:r w:rsidR="00607592" w:rsidRPr="00B04D8D">
        <w:rPr>
          <w:rFonts w:ascii="CAIXA Std Book" w:hAnsi="CAIXA Std Book"/>
          <w:color w:val="005CA9"/>
          <w:sz w:val="20"/>
          <w:szCs w:val="20"/>
        </w:rPr>
        <w:t xml:space="preserve"> contábeis</w:t>
      </w:r>
      <w:r w:rsidR="00137BCD">
        <w:rPr>
          <w:rFonts w:ascii="CAIXA Std Book" w:hAnsi="CAIXA Std Book"/>
          <w:color w:val="005CA9"/>
          <w:sz w:val="20"/>
          <w:szCs w:val="20"/>
        </w:rPr>
        <w:t xml:space="preserve"> </w:t>
      </w:r>
      <w:r w:rsidR="00693245" w:rsidRPr="00B04D8D">
        <w:rPr>
          <w:rFonts w:ascii="CAIXA Std Book" w:hAnsi="CAIXA Std Book"/>
          <w:color w:val="005CA9"/>
          <w:sz w:val="20"/>
          <w:szCs w:val="20"/>
        </w:rPr>
        <w:t>individua</w:t>
      </w:r>
      <w:r w:rsidR="002B7B85" w:rsidRPr="00B04D8D">
        <w:rPr>
          <w:rFonts w:ascii="CAIXA Std Book" w:hAnsi="CAIXA Std Book"/>
          <w:color w:val="005CA9"/>
          <w:sz w:val="20"/>
          <w:szCs w:val="20"/>
        </w:rPr>
        <w:t>is</w:t>
      </w:r>
      <w:r w:rsidR="00693245" w:rsidRPr="00B04D8D">
        <w:rPr>
          <w:rFonts w:ascii="CAIXA Std Book" w:hAnsi="CAIXA Std Book"/>
          <w:color w:val="005CA9"/>
          <w:sz w:val="20"/>
          <w:szCs w:val="20"/>
        </w:rPr>
        <w:t xml:space="preserve"> e consolidadas</w:t>
      </w:r>
      <w:r w:rsidR="00607592" w:rsidRPr="00B04D8D">
        <w:rPr>
          <w:rFonts w:ascii="CAIXA Std Book" w:hAnsi="CAIXA Std Book"/>
          <w:color w:val="005CA9"/>
          <w:sz w:val="20"/>
          <w:szCs w:val="20"/>
        </w:rPr>
        <w:t xml:space="preserve"> </w:t>
      </w:r>
      <w:r w:rsidRPr="00B04D8D">
        <w:rPr>
          <w:rFonts w:ascii="CAIXA Std Book" w:hAnsi="CAIXA Std Book"/>
          <w:color w:val="005CA9"/>
          <w:sz w:val="20"/>
          <w:szCs w:val="20"/>
        </w:rPr>
        <w:t>da CAIXA foram elaboradas a partir das diretrizes contábeis emanadas</w:t>
      </w:r>
      <w:r w:rsidR="005C58E1" w:rsidRPr="00B04D8D">
        <w:rPr>
          <w:rFonts w:ascii="CAIXA Std Book" w:hAnsi="CAIXA Std Book"/>
          <w:color w:val="005CA9"/>
          <w:sz w:val="20"/>
          <w:szCs w:val="20"/>
        </w:rPr>
        <w:t xml:space="preserve"> </w:t>
      </w:r>
      <w:r w:rsidRPr="00B04D8D">
        <w:rPr>
          <w:rFonts w:ascii="CAIXA Std Book" w:hAnsi="CAIXA Std Book"/>
          <w:color w:val="005CA9"/>
          <w:sz w:val="20"/>
          <w:szCs w:val="20"/>
        </w:rPr>
        <w:t xml:space="preserve">das </w:t>
      </w:r>
      <w:r w:rsidRPr="00955AA1">
        <w:rPr>
          <w:rFonts w:ascii="CAIXA Std Book" w:hAnsi="CAIXA Std Book"/>
          <w:color w:val="005CA9"/>
          <w:sz w:val="20"/>
          <w:szCs w:val="20"/>
        </w:rPr>
        <w:t>Leis</w:t>
      </w:r>
      <w:r w:rsidR="00C56248" w:rsidRPr="00955AA1">
        <w:rPr>
          <w:rFonts w:ascii="CAIXA Std Book" w:hAnsi="CAIXA Std Book"/>
          <w:color w:val="005CA9"/>
          <w:sz w:val="20"/>
          <w:szCs w:val="20"/>
        </w:rPr>
        <w:t xml:space="preserve"> </w:t>
      </w:r>
      <w:r w:rsidRPr="00955AA1">
        <w:rPr>
          <w:rFonts w:ascii="CAIXA Std Book" w:hAnsi="CAIXA Std Book"/>
          <w:color w:val="005CA9"/>
          <w:sz w:val="20"/>
          <w:szCs w:val="20"/>
        </w:rPr>
        <w:t>n</w:t>
      </w:r>
      <w:r w:rsidR="0003593F" w:rsidRPr="00955AA1">
        <w:rPr>
          <w:rFonts w:ascii="CAIXA Std Book" w:hAnsi="CAIXA Std Book"/>
          <w:color w:val="005CA9"/>
          <w:sz w:val="20"/>
          <w:szCs w:val="20"/>
        </w:rPr>
        <w:t>°</w:t>
      </w:r>
      <w:r w:rsidRPr="00955AA1">
        <w:rPr>
          <w:rFonts w:ascii="CAIXA Std Book" w:hAnsi="CAIXA Std Book"/>
          <w:color w:val="005CA9"/>
          <w:sz w:val="20"/>
          <w:szCs w:val="20"/>
        </w:rPr>
        <w:t xml:space="preserve"> 4.595/</w:t>
      </w:r>
      <w:r w:rsidR="00863E28" w:rsidRPr="00955AA1">
        <w:rPr>
          <w:rFonts w:ascii="CAIXA Std Book" w:hAnsi="CAIXA Std Book"/>
          <w:color w:val="005CA9"/>
          <w:sz w:val="20"/>
          <w:szCs w:val="20"/>
        </w:rPr>
        <w:t>19</w:t>
      </w:r>
      <w:r w:rsidRPr="00955AA1">
        <w:rPr>
          <w:rFonts w:ascii="CAIXA Std Book" w:hAnsi="CAIXA Std Book"/>
          <w:color w:val="005CA9"/>
          <w:sz w:val="20"/>
          <w:szCs w:val="20"/>
        </w:rPr>
        <w:t>64 (Lei do Sistema Financeiro Nacional) e n</w:t>
      </w:r>
      <w:r w:rsidR="0003593F" w:rsidRPr="00955AA1">
        <w:rPr>
          <w:rFonts w:ascii="CAIXA Std Book" w:hAnsi="CAIXA Std Book"/>
          <w:color w:val="005CA9"/>
          <w:sz w:val="20"/>
          <w:szCs w:val="20"/>
        </w:rPr>
        <w:t>°</w:t>
      </w:r>
      <w:r w:rsidRPr="00955AA1">
        <w:rPr>
          <w:rFonts w:ascii="CAIXA Std Book" w:hAnsi="CAIXA Std Book"/>
          <w:color w:val="005CA9"/>
          <w:sz w:val="20"/>
          <w:szCs w:val="20"/>
        </w:rPr>
        <w:t xml:space="preserve"> 6.404/</w:t>
      </w:r>
      <w:r w:rsidR="00863E28" w:rsidRPr="00955AA1">
        <w:rPr>
          <w:rFonts w:ascii="CAIXA Std Book" w:hAnsi="CAIXA Std Book"/>
          <w:color w:val="005CA9"/>
          <w:sz w:val="20"/>
          <w:szCs w:val="20"/>
        </w:rPr>
        <w:t>19</w:t>
      </w:r>
      <w:r w:rsidRPr="00955AA1">
        <w:rPr>
          <w:rFonts w:ascii="CAIXA Std Book" w:hAnsi="CAIXA Std Book"/>
          <w:color w:val="005CA9"/>
          <w:sz w:val="20"/>
          <w:szCs w:val="20"/>
        </w:rPr>
        <w:t xml:space="preserve">76 (Lei </w:t>
      </w:r>
      <w:r w:rsidRPr="00955AA1">
        <w:rPr>
          <w:rFonts w:ascii="CAIXA Std Book" w:hAnsi="CAIXA Std Book"/>
          <w:color w:val="005CA9"/>
          <w:sz w:val="20"/>
          <w:szCs w:val="20"/>
        </w:rPr>
        <w:lastRenderedPageBreak/>
        <w:t>das Sociedades por Ações)</w:t>
      </w:r>
      <w:r w:rsidR="00713ECA" w:rsidRPr="00955AA1">
        <w:rPr>
          <w:rFonts w:ascii="CAIXA Std Book" w:hAnsi="CAIXA Std Book"/>
          <w:color w:val="005CA9"/>
          <w:sz w:val="20"/>
          <w:szCs w:val="20"/>
        </w:rPr>
        <w:t xml:space="preserve">, </w:t>
      </w:r>
      <w:r w:rsidR="00140ADC" w:rsidRPr="00955AA1">
        <w:rPr>
          <w:rFonts w:ascii="CAIXA Std Book" w:hAnsi="CAIXA Std Book"/>
          <w:color w:val="005CA9"/>
          <w:sz w:val="20"/>
          <w:szCs w:val="20"/>
        </w:rPr>
        <w:t>Resolução CMN nº 4.966/2021</w:t>
      </w:r>
      <w:r w:rsidR="0005126C">
        <w:rPr>
          <w:rFonts w:ascii="CAIXA Std Book" w:hAnsi="CAIXA Std Book"/>
          <w:color w:val="005CA9"/>
          <w:sz w:val="20"/>
          <w:szCs w:val="20"/>
        </w:rPr>
        <w:t xml:space="preserve"> </w:t>
      </w:r>
      <w:r w:rsidR="00946327">
        <w:rPr>
          <w:rFonts w:ascii="CAIXA Std Book" w:hAnsi="CAIXA Std Book"/>
          <w:color w:val="005CA9"/>
          <w:sz w:val="20"/>
          <w:szCs w:val="20"/>
        </w:rPr>
        <w:t>–</w:t>
      </w:r>
      <w:r w:rsidR="003D6B31">
        <w:rPr>
          <w:rFonts w:ascii="CAIXA Std Book" w:hAnsi="CAIXA Std Book"/>
          <w:color w:val="005CA9"/>
          <w:sz w:val="20"/>
          <w:szCs w:val="20"/>
        </w:rPr>
        <w:t xml:space="preserve"> </w:t>
      </w:r>
      <w:r w:rsidR="00FE0388" w:rsidRPr="00955AA1">
        <w:rPr>
          <w:rFonts w:ascii="CAIXA Std Book" w:hAnsi="CAIXA Std Book"/>
          <w:color w:val="005CA9"/>
          <w:sz w:val="20"/>
          <w:szCs w:val="20"/>
        </w:rPr>
        <w:t xml:space="preserve">que dispõe sobre os critérios contábeis aplicáveis a instrumentos financeiros, bem como para a designação e o reconhecimento das relações de proteção (contabilidade de </w:t>
      </w:r>
      <w:r w:rsidR="00FE0388" w:rsidRPr="00D35C29">
        <w:rPr>
          <w:rFonts w:ascii="CAIXA Std Book" w:hAnsi="CAIXA Std Book"/>
          <w:i/>
          <w:iCs/>
          <w:color w:val="005CA9"/>
          <w:sz w:val="20"/>
          <w:szCs w:val="20"/>
        </w:rPr>
        <w:t>hedge</w:t>
      </w:r>
      <w:r w:rsidR="00FE0388" w:rsidRPr="00955AA1">
        <w:rPr>
          <w:rFonts w:ascii="CAIXA Std Book" w:hAnsi="CAIXA Std Book"/>
          <w:color w:val="005CA9"/>
          <w:sz w:val="20"/>
          <w:szCs w:val="20"/>
        </w:rPr>
        <w:t>)</w:t>
      </w:r>
      <w:r w:rsidR="00043C68">
        <w:rPr>
          <w:rFonts w:ascii="CAIXA Std Book" w:hAnsi="CAIXA Std Book"/>
          <w:color w:val="005CA9"/>
          <w:sz w:val="20"/>
          <w:szCs w:val="20"/>
        </w:rPr>
        <w:t xml:space="preserve">, </w:t>
      </w:r>
      <w:r w:rsidR="00C51E18">
        <w:rPr>
          <w:rFonts w:ascii="CAIXA Std Book" w:hAnsi="CAIXA Std Book"/>
          <w:color w:val="005CA9"/>
          <w:sz w:val="20"/>
          <w:szCs w:val="20"/>
        </w:rPr>
        <w:t xml:space="preserve">com as respectivas alterações </w:t>
      </w:r>
      <w:r w:rsidR="00DE521C">
        <w:rPr>
          <w:rFonts w:ascii="CAIXA Std Book" w:hAnsi="CAIXA Std Book"/>
          <w:color w:val="005CA9"/>
          <w:sz w:val="20"/>
          <w:szCs w:val="20"/>
        </w:rPr>
        <w:t>posteriores</w:t>
      </w:r>
      <w:r w:rsidR="00C51E18">
        <w:rPr>
          <w:rFonts w:ascii="CAIXA Std Book" w:hAnsi="CAIXA Std Book"/>
          <w:color w:val="005CA9"/>
          <w:sz w:val="20"/>
          <w:szCs w:val="20"/>
        </w:rPr>
        <w:t>,</w:t>
      </w:r>
      <w:r w:rsidR="00043C68">
        <w:rPr>
          <w:rFonts w:ascii="CAIXA Std Book" w:hAnsi="CAIXA Std Book"/>
          <w:color w:val="005CA9"/>
          <w:sz w:val="20"/>
          <w:szCs w:val="20"/>
        </w:rPr>
        <w:t xml:space="preserve"> </w:t>
      </w:r>
      <w:r w:rsidR="00043C68" w:rsidRPr="00B04D8D">
        <w:rPr>
          <w:rFonts w:ascii="CAIXA Std Book" w:hAnsi="CAIXA Std Book"/>
          <w:color w:val="005CA9"/>
          <w:sz w:val="20"/>
          <w:szCs w:val="20"/>
        </w:rPr>
        <w:t>Resolução CMN nº 4.818/2020</w:t>
      </w:r>
      <w:r w:rsidR="006D5F7C">
        <w:rPr>
          <w:rFonts w:ascii="CAIXA Std Book" w:hAnsi="CAIXA Std Book"/>
          <w:color w:val="005CA9"/>
          <w:sz w:val="20"/>
          <w:szCs w:val="20"/>
        </w:rPr>
        <w:t xml:space="preserve"> </w:t>
      </w:r>
      <w:r w:rsidR="00FF20DE">
        <w:rPr>
          <w:rFonts w:ascii="CAIXA Std Book" w:hAnsi="CAIXA Std Book"/>
          <w:color w:val="005CA9"/>
          <w:sz w:val="20"/>
          <w:szCs w:val="20"/>
        </w:rPr>
        <w:t>– que c</w:t>
      </w:r>
      <w:r w:rsidR="00FF20DE" w:rsidRPr="00FF20DE">
        <w:rPr>
          <w:rFonts w:ascii="CAIXA Std Book" w:hAnsi="CAIXA Std Book"/>
          <w:color w:val="005CA9"/>
          <w:sz w:val="20"/>
          <w:szCs w:val="20"/>
        </w:rPr>
        <w:t xml:space="preserve">onsolida os critérios gerais para elaboração e divulgação de demonstrações </w:t>
      </w:r>
      <w:r w:rsidR="00976A16">
        <w:rPr>
          <w:rFonts w:ascii="CAIXA Std Book" w:hAnsi="CAIXA Std Book"/>
          <w:color w:val="005CA9"/>
          <w:sz w:val="20"/>
          <w:szCs w:val="20"/>
        </w:rPr>
        <w:t>contábeis</w:t>
      </w:r>
      <w:r w:rsidR="00FF20DE" w:rsidRPr="00FF20DE">
        <w:rPr>
          <w:rFonts w:ascii="CAIXA Std Book" w:hAnsi="CAIXA Std Book"/>
          <w:color w:val="005CA9"/>
          <w:sz w:val="20"/>
          <w:szCs w:val="20"/>
        </w:rPr>
        <w:t xml:space="preserve"> individuais e consolidadas</w:t>
      </w:r>
      <w:r w:rsidR="009D5E3D">
        <w:rPr>
          <w:rFonts w:ascii="CAIXA Std Book" w:hAnsi="CAIXA Std Book"/>
          <w:color w:val="005CA9"/>
          <w:sz w:val="20"/>
          <w:szCs w:val="20"/>
        </w:rPr>
        <w:t xml:space="preserve"> e</w:t>
      </w:r>
      <w:r w:rsidR="009E5CCA" w:rsidRPr="00B04D8D">
        <w:rPr>
          <w:rFonts w:ascii="CAIXA Std Book" w:hAnsi="CAIXA Std Book"/>
          <w:color w:val="005CA9"/>
          <w:sz w:val="20"/>
          <w:szCs w:val="20"/>
        </w:rPr>
        <w:t xml:space="preserve"> em conformidade </w:t>
      </w:r>
      <w:r w:rsidRPr="00B04D8D">
        <w:rPr>
          <w:rFonts w:ascii="CAIXA Std Book" w:hAnsi="CAIXA Std Book"/>
          <w:color w:val="005CA9"/>
          <w:sz w:val="20"/>
          <w:szCs w:val="20"/>
        </w:rPr>
        <w:t xml:space="preserve">com </w:t>
      </w:r>
      <w:r w:rsidR="009E5CCA" w:rsidRPr="00B04D8D">
        <w:rPr>
          <w:rFonts w:ascii="CAIXA Std Book" w:hAnsi="CAIXA Std Book"/>
          <w:color w:val="005CA9"/>
          <w:sz w:val="20"/>
          <w:szCs w:val="20"/>
        </w:rPr>
        <w:t xml:space="preserve">a regulamentação emanada </w:t>
      </w:r>
      <w:r w:rsidR="00C54764">
        <w:rPr>
          <w:rFonts w:ascii="CAIXA Std Book" w:hAnsi="CAIXA Std Book"/>
          <w:color w:val="005CA9"/>
          <w:sz w:val="20"/>
          <w:szCs w:val="20"/>
        </w:rPr>
        <w:t>pelo</w:t>
      </w:r>
      <w:r w:rsidRPr="00B04D8D">
        <w:rPr>
          <w:rFonts w:ascii="CAIXA Std Book" w:hAnsi="CAIXA Std Book"/>
          <w:color w:val="005CA9"/>
          <w:sz w:val="20"/>
          <w:szCs w:val="20"/>
        </w:rPr>
        <w:t xml:space="preserve"> Banco Central do Brasil (B</w:t>
      </w:r>
      <w:r w:rsidR="00A56F7A" w:rsidRPr="00B04D8D">
        <w:rPr>
          <w:rFonts w:ascii="CAIXA Std Book" w:hAnsi="CAIXA Std Book"/>
          <w:color w:val="005CA9"/>
          <w:sz w:val="20"/>
          <w:szCs w:val="20"/>
        </w:rPr>
        <w:t>acen</w:t>
      </w:r>
      <w:r w:rsidRPr="00B04D8D">
        <w:rPr>
          <w:rFonts w:ascii="CAIXA Std Book" w:hAnsi="CAIXA Std Book"/>
          <w:color w:val="005CA9"/>
          <w:sz w:val="20"/>
          <w:szCs w:val="20"/>
        </w:rPr>
        <w:t>)</w:t>
      </w:r>
      <w:r w:rsidR="00CC765C">
        <w:rPr>
          <w:rFonts w:ascii="CAIXA Std Book" w:hAnsi="CAIXA Std Book"/>
          <w:color w:val="005CA9"/>
          <w:sz w:val="20"/>
          <w:szCs w:val="20"/>
        </w:rPr>
        <w:t xml:space="preserve"> </w:t>
      </w:r>
      <w:r w:rsidR="00946327">
        <w:rPr>
          <w:rFonts w:ascii="CAIXA Std Book" w:hAnsi="CAIXA Std Book"/>
          <w:color w:val="005CA9"/>
          <w:sz w:val="20"/>
          <w:szCs w:val="20"/>
        </w:rPr>
        <w:t>–</w:t>
      </w:r>
      <w:r w:rsidR="00895393" w:rsidRPr="00B04D8D">
        <w:rPr>
          <w:rFonts w:ascii="CAIXA Std Book" w:hAnsi="CAIXA Std Book"/>
          <w:color w:val="005CA9"/>
          <w:sz w:val="20"/>
          <w:szCs w:val="20"/>
        </w:rPr>
        <w:t xml:space="preserve"> Resolução BCB nº 2/2020</w:t>
      </w:r>
      <w:r w:rsidR="00C90A97">
        <w:rPr>
          <w:rFonts w:ascii="CAIXA Std Book" w:hAnsi="CAIXA Std Book"/>
          <w:color w:val="005CA9"/>
          <w:sz w:val="20"/>
          <w:szCs w:val="20"/>
        </w:rPr>
        <w:t xml:space="preserve"> e</w:t>
      </w:r>
      <w:r w:rsidR="006A6D78">
        <w:rPr>
          <w:rFonts w:ascii="CAIXA Std Book" w:hAnsi="CAIXA Std Book"/>
          <w:color w:val="005CA9"/>
          <w:sz w:val="20"/>
          <w:szCs w:val="20"/>
        </w:rPr>
        <w:t xml:space="preserve"> Resolução BCB nº 352</w:t>
      </w:r>
      <w:r w:rsidR="00F46AE8">
        <w:rPr>
          <w:rFonts w:ascii="CAIXA Std Book" w:hAnsi="CAIXA Std Book"/>
          <w:color w:val="005CA9"/>
          <w:sz w:val="20"/>
          <w:szCs w:val="20"/>
        </w:rPr>
        <w:t>/</w:t>
      </w:r>
      <w:r w:rsidR="009D22CB">
        <w:rPr>
          <w:rFonts w:ascii="CAIXA Std Book" w:hAnsi="CAIXA Std Book"/>
          <w:color w:val="005CA9"/>
          <w:sz w:val="20"/>
          <w:szCs w:val="20"/>
        </w:rPr>
        <w:t>2023</w:t>
      </w:r>
      <w:r w:rsidR="005C2510">
        <w:rPr>
          <w:rFonts w:ascii="CAIXA Std Book" w:hAnsi="CAIXA Std Book"/>
          <w:color w:val="005CA9"/>
          <w:sz w:val="20"/>
          <w:szCs w:val="20"/>
        </w:rPr>
        <w:t xml:space="preserve"> e </w:t>
      </w:r>
      <w:r w:rsidR="00E33056">
        <w:rPr>
          <w:rFonts w:ascii="CAIXA Std Book" w:hAnsi="CAIXA Std Book"/>
          <w:color w:val="005CA9"/>
          <w:sz w:val="20"/>
          <w:szCs w:val="20"/>
        </w:rPr>
        <w:t>adicionalmente</w:t>
      </w:r>
      <w:r w:rsidR="00132BD5">
        <w:rPr>
          <w:rFonts w:ascii="CAIXA Std Book" w:hAnsi="CAIXA Std Book"/>
          <w:color w:val="005CA9"/>
          <w:sz w:val="20"/>
          <w:szCs w:val="20"/>
        </w:rPr>
        <w:t xml:space="preserve"> </w:t>
      </w:r>
      <w:r w:rsidR="005F2856">
        <w:rPr>
          <w:rFonts w:ascii="CAIXA Std Book" w:hAnsi="CAIXA Std Book"/>
          <w:color w:val="005CA9"/>
          <w:sz w:val="20"/>
          <w:szCs w:val="20"/>
        </w:rPr>
        <w:t>a</w:t>
      </w:r>
      <w:r w:rsidR="00EE2D37">
        <w:rPr>
          <w:rFonts w:ascii="CAIXA Std Book" w:hAnsi="CAIXA Std Book"/>
          <w:color w:val="005CA9"/>
          <w:sz w:val="20"/>
          <w:szCs w:val="20"/>
        </w:rPr>
        <w:t xml:space="preserve">s normas emitidas </w:t>
      </w:r>
      <w:r w:rsidR="00132BD5">
        <w:rPr>
          <w:rFonts w:ascii="CAIXA Std Book" w:hAnsi="CAIXA Std Book"/>
          <w:color w:val="005CA9"/>
          <w:sz w:val="20"/>
          <w:szCs w:val="20"/>
        </w:rPr>
        <w:t xml:space="preserve">pela Comissão de Valores Mobiliários </w:t>
      </w:r>
      <w:r w:rsidR="00132BD5" w:rsidRPr="00B04D8D">
        <w:rPr>
          <w:rFonts w:ascii="CAIXA Std Book" w:hAnsi="CAIXA Std Book"/>
          <w:color w:val="005CA9"/>
          <w:sz w:val="20"/>
          <w:szCs w:val="20"/>
        </w:rPr>
        <w:t>(</w:t>
      </w:r>
      <w:r w:rsidR="00132BD5">
        <w:rPr>
          <w:rFonts w:ascii="CAIXA Std Book" w:hAnsi="CAIXA Std Book"/>
          <w:color w:val="005CA9"/>
          <w:sz w:val="20"/>
          <w:szCs w:val="20"/>
        </w:rPr>
        <w:t>CVM</w:t>
      </w:r>
      <w:r w:rsidR="00132BD5" w:rsidRPr="00B04D8D">
        <w:rPr>
          <w:rFonts w:ascii="CAIXA Std Book" w:hAnsi="CAIXA Std Book"/>
          <w:color w:val="005CA9"/>
          <w:sz w:val="20"/>
          <w:szCs w:val="20"/>
        </w:rPr>
        <w:t xml:space="preserve">) </w:t>
      </w:r>
      <w:r w:rsidR="005C2510">
        <w:rPr>
          <w:rFonts w:ascii="CAIXA Std Book" w:hAnsi="CAIXA Std Book"/>
          <w:color w:val="005CA9"/>
          <w:sz w:val="20"/>
          <w:szCs w:val="20"/>
        </w:rPr>
        <w:t xml:space="preserve">no que não for conflitante </w:t>
      </w:r>
      <w:r w:rsidR="00E27AFF">
        <w:rPr>
          <w:rFonts w:ascii="CAIXA Std Book" w:hAnsi="CAIXA Std Book"/>
          <w:color w:val="005CA9"/>
          <w:sz w:val="20"/>
          <w:szCs w:val="20"/>
        </w:rPr>
        <w:t xml:space="preserve">com as normas </w:t>
      </w:r>
      <w:r w:rsidR="00751529">
        <w:rPr>
          <w:rFonts w:ascii="CAIXA Std Book" w:hAnsi="CAIXA Std Book"/>
          <w:color w:val="005CA9"/>
          <w:sz w:val="20"/>
          <w:szCs w:val="20"/>
        </w:rPr>
        <w:t xml:space="preserve">emitidas pelo </w:t>
      </w:r>
      <w:r w:rsidR="00E27AFF">
        <w:rPr>
          <w:rFonts w:ascii="CAIXA Std Book" w:hAnsi="CAIXA Std Book"/>
          <w:color w:val="005CA9"/>
          <w:sz w:val="20"/>
          <w:szCs w:val="20"/>
        </w:rPr>
        <w:t>Bacen</w:t>
      </w:r>
      <w:r w:rsidR="00751529">
        <w:rPr>
          <w:rFonts w:ascii="CAIXA Std Book" w:hAnsi="CAIXA Std Book"/>
          <w:color w:val="005CA9"/>
          <w:sz w:val="20"/>
          <w:szCs w:val="20"/>
        </w:rPr>
        <w:t>,</w:t>
      </w:r>
      <w:r w:rsidRPr="00B04D8D">
        <w:rPr>
          <w:rFonts w:ascii="CAIXA Std Book" w:hAnsi="CAIXA Std Book"/>
          <w:color w:val="005CA9"/>
          <w:sz w:val="20"/>
          <w:szCs w:val="20"/>
        </w:rPr>
        <w:t xml:space="preserve"> </w:t>
      </w:r>
      <w:r w:rsidR="00894D63">
        <w:rPr>
          <w:rFonts w:ascii="CAIXA Std Book" w:hAnsi="CAIXA Std Book"/>
          <w:color w:val="005CA9"/>
          <w:sz w:val="20"/>
          <w:szCs w:val="20"/>
        </w:rPr>
        <w:t>de acordo</w:t>
      </w:r>
      <w:r w:rsidR="00080122">
        <w:rPr>
          <w:rFonts w:ascii="CAIXA Std Book" w:hAnsi="CAIXA Std Book"/>
          <w:color w:val="005CA9"/>
          <w:sz w:val="20"/>
          <w:szCs w:val="20"/>
        </w:rPr>
        <w:t xml:space="preserve"> com a</w:t>
      </w:r>
      <w:r w:rsidRPr="00B04D8D">
        <w:rPr>
          <w:rFonts w:ascii="CAIXA Std Book" w:hAnsi="CAIXA Std Book"/>
          <w:color w:val="005CA9"/>
          <w:sz w:val="20"/>
          <w:szCs w:val="20"/>
        </w:rPr>
        <w:t>s práticas contábeis adotadas no Brasil.</w:t>
      </w:r>
    </w:p>
    <w:p w14:paraId="50843D71" w14:textId="3C1B1D1F" w:rsidR="00476998" w:rsidRPr="00B04D8D" w:rsidRDefault="005F303D" w:rsidP="008A1CFD">
      <w:pPr>
        <w:spacing w:before="120" w:after="120"/>
        <w:jc w:val="both"/>
        <w:rPr>
          <w:rFonts w:ascii="CAIXA Std Book" w:hAnsi="CAIXA Std Book"/>
          <w:color w:val="005CA9"/>
          <w:sz w:val="20"/>
          <w:szCs w:val="20"/>
        </w:rPr>
      </w:pPr>
      <w:r w:rsidRPr="00B04D8D">
        <w:rPr>
          <w:rFonts w:ascii="CAIXA Std Book" w:hAnsi="CAIXA Std Book"/>
          <w:color w:val="005CA9"/>
          <w:sz w:val="20"/>
          <w:szCs w:val="20"/>
        </w:rPr>
        <w:t>As</w:t>
      </w:r>
      <w:r w:rsidR="00AD3A2A" w:rsidRPr="00B04D8D">
        <w:rPr>
          <w:rFonts w:ascii="CAIXA Std Book" w:hAnsi="CAIXA Std Book"/>
          <w:color w:val="005CA9"/>
          <w:sz w:val="20"/>
          <w:szCs w:val="20"/>
        </w:rPr>
        <w:t xml:space="preserve"> demonstrações</w:t>
      </w:r>
      <w:r w:rsidR="00607592" w:rsidRPr="00B04D8D">
        <w:rPr>
          <w:rFonts w:ascii="CAIXA Std Book" w:hAnsi="CAIXA Std Book"/>
          <w:color w:val="005CA9"/>
          <w:sz w:val="20"/>
          <w:szCs w:val="20"/>
        </w:rPr>
        <w:t xml:space="preserve"> contábeis</w:t>
      </w:r>
      <w:r w:rsidR="00C23B9C" w:rsidRPr="00B04D8D">
        <w:rPr>
          <w:rFonts w:ascii="CAIXA Std Book" w:hAnsi="CAIXA Std Book"/>
          <w:color w:val="005CA9"/>
          <w:sz w:val="20"/>
          <w:szCs w:val="20"/>
        </w:rPr>
        <w:t xml:space="preserve"> </w:t>
      </w:r>
      <w:r w:rsidR="001F2FF6">
        <w:rPr>
          <w:rFonts w:ascii="CAIXA Std Book" w:hAnsi="CAIXA Std Book"/>
          <w:color w:val="005CA9"/>
          <w:sz w:val="20"/>
          <w:szCs w:val="20"/>
        </w:rPr>
        <w:t>individua</w:t>
      </w:r>
      <w:r w:rsidR="0024563F">
        <w:rPr>
          <w:rFonts w:ascii="CAIXA Std Book" w:hAnsi="CAIXA Std Book"/>
          <w:color w:val="005CA9"/>
          <w:sz w:val="20"/>
          <w:szCs w:val="20"/>
        </w:rPr>
        <w:t>is</w:t>
      </w:r>
      <w:r w:rsidR="001F2FF6">
        <w:rPr>
          <w:rFonts w:ascii="CAIXA Std Book" w:hAnsi="CAIXA Std Book"/>
          <w:color w:val="005CA9"/>
          <w:sz w:val="20"/>
          <w:szCs w:val="20"/>
        </w:rPr>
        <w:t xml:space="preserve"> </w:t>
      </w:r>
      <w:r w:rsidR="00DF1A5F">
        <w:rPr>
          <w:rFonts w:ascii="CAIXA Std Book" w:hAnsi="CAIXA Std Book"/>
          <w:color w:val="005CA9"/>
          <w:sz w:val="20"/>
          <w:szCs w:val="20"/>
        </w:rPr>
        <w:t xml:space="preserve">e consolidadas </w:t>
      </w:r>
      <w:r w:rsidRPr="00B04D8D">
        <w:rPr>
          <w:rFonts w:ascii="CAIXA Std Book" w:hAnsi="CAIXA Std Book"/>
          <w:color w:val="005CA9"/>
          <w:sz w:val="20"/>
          <w:szCs w:val="20"/>
        </w:rPr>
        <w:t>são apresentadas em reais e todos os valores arredondados para milhares de reais, exceto quando indicado de outra forma.</w:t>
      </w:r>
      <w:bookmarkEnd w:id="62"/>
    </w:p>
    <w:p w14:paraId="748BE455" w14:textId="2BE107BB" w:rsidR="009959B1" w:rsidRPr="00B04D8D" w:rsidRDefault="001E62D1" w:rsidP="008A1CFD">
      <w:pPr>
        <w:spacing w:before="120" w:after="120"/>
        <w:jc w:val="both"/>
        <w:rPr>
          <w:rFonts w:ascii="CAIXA Std Book" w:hAnsi="CAIXA Std Book"/>
          <w:color w:val="005CA9"/>
          <w:sz w:val="20"/>
          <w:szCs w:val="20"/>
        </w:rPr>
      </w:pPr>
      <w:r w:rsidRPr="00B04D8D">
        <w:rPr>
          <w:rFonts w:ascii="CAIXA Std Book" w:hAnsi="CAIXA Std Book"/>
          <w:color w:val="005CA9"/>
          <w:sz w:val="20"/>
          <w:szCs w:val="20"/>
        </w:rPr>
        <w:t>As práticas contábeis adotadas no Brasil envolvem julgamento pela Administração quanto a estimativas e premissas relativas à mensuração de provisões para perdas associadas ao risco de crédito; ativos fiscais diferidos; valor justo de determinados instrumentos financeiros; provis</w:t>
      </w:r>
      <w:r w:rsidR="003717CF" w:rsidRPr="00B04D8D">
        <w:rPr>
          <w:rFonts w:ascii="CAIXA Std Book" w:hAnsi="CAIXA Std Book"/>
          <w:color w:val="005CA9"/>
          <w:sz w:val="20"/>
          <w:szCs w:val="20"/>
        </w:rPr>
        <w:t>ões</w:t>
      </w:r>
      <w:r w:rsidRPr="00B04D8D">
        <w:rPr>
          <w:rFonts w:ascii="CAIXA Std Book" w:hAnsi="CAIXA Std Book"/>
          <w:color w:val="005CA9"/>
          <w:sz w:val="20"/>
          <w:szCs w:val="20"/>
        </w:rPr>
        <w:t xml:space="preserve"> para causas judiciais cíveis, trabalhistas e fiscais; </w:t>
      </w:r>
      <w:r w:rsidRPr="00A60964">
        <w:rPr>
          <w:rFonts w:ascii="CAIXA Std Book" w:hAnsi="CAIXA Std Book"/>
          <w:color w:val="005CA9"/>
          <w:sz w:val="20"/>
          <w:szCs w:val="20"/>
        </w:rPr>
        <w:t xml:space="preserve">provisões para </w:t>
      </w:r>
      <w:r w:rsidR="003717CF" w:rsidRPr="00A60964">
        <w:rPr>
          <w:rFonts w:ascii="CAIXA Std Book" w:hAnsi="CAIXA Std Book"/>
          <w:color w:val="005CA9"/>
          <w:sz w:val="20"/>
          <w:szCs w:val="20"/>
        </w:rPr>
        <w:t xml:space="preserve">perdas por </w:t>
      </w:r>
      <w:r w:rsidRPr="00A60964">
        <w:rPr>
          <w:rFonts w:ascii="CAIXA Std Book" w:hAnsi="CAIXA Std Book"/>
          <w:color w:val="005CA9"/>
          <w:sz w:val="20"/>
          <w:szCs w:val="20"/>
        </w:rPr>
        <w:t>redução ao valor recuperável de ativos</w:t>
      </w:r>
      <w:r w:rsidRPr="00B04D8D">
        <w:rPr>
          <w:rFonts w:ascii="CAIXA Std Book" w:hAnsi="CAIXA Std Book"/>
          <w:color w:val="005CA9"/>
          <w:sz w:val="20"/>
          <w:szCs w:val="20"/>
        </w:rPr>
        <w:t xml:space="preserve">; planos de previdência complementar; ativos e passivos relacionados a benefícios pós-emprego; e determinação da vida útil de alguns ativos. Os </w:t>
      </w:r>
      <w:r w:rsidRPr="00E824F2">
        <w:rPr>
          <w:rFonts w:ascii="CAIXA Std Book" w:hAnsi="CAIXA Std Book"/>
          <w:color w:val="005CA9"/>
          <w:sz w:val="20"/>
          <w:szCs w:val="20"/>
        </w:rPr>
        <w:t>valores definitivos</w:t>
      </w:r>
      <w:r w:rsidRPr="00B04D8D">
        <w:rPr>
          <w:rFonts w:ascii="CAIXA Std Book" w:hAnsi="CAIXA Std Book"/>
          <w:color w:val="005CA9"/>
          <w:sz w:val="20"/>
          <w:szCs w:val="20"/>
        </w:rPr>
        <w:t xml:space="preserve"> podem ser diferentes daqueles estabelecidos por essas estimativas e premissas e serão conhecidos por ocasião da sua liquidação ou em virtude da revisão das metodologias adotadas. A sensibilidade dos valores contábeis às estimativas não apresenta relevante disparidade e as estimativas são avaliadas periodicamente. A natureza e o valor contábil dos ativos e passivos são apresentados nas respectivas notas explicativas.</w:t>
      </w:r>
    </w:p>
    <w:p w14:paraId="4E38E8F3" w14:textId="7086556D" w:rsidR="005F303D" w:rsidRPr="00B04D8D" w:rsidRDefault="005F303D" w:rsidP="00A26B7B">
      <w:pPr>
        <w:keepNext/>
        <w:numPr>
          <w:ilvl w:val="0"/>
          <w:numId w:val="4"/>
        </w:numPr>
        <w:spacing w:before="240" w:after="120"/>
        <w:jc w:val="both"/>
        <w:rPr>
          <w:rFonts w:ascii="CAIXA Std Book" w:hAnsi="CAIXA Std Book"/>
          <w:b/>
          <w:color w:val="005CA9"/>
          <w:sz w:val="20"/>
          <w:szCs w:val="20"/>
        </w:rPr>
      </w:pPr>
      <w:bookmarkStart w:id="63" w:name="_Hlk205298482"/>
      <w:r w:rsidRPr="00B04D8D">
        <w:rPr>
          <w:rFonts w:ascii="CAIXA Std Book" w:hAnsi="CAIXA Std Book"/>
          <w:b/>
          <w:color w:val="005CA9"/>
          <w:sz w:val="20"/>
          <w:szCs w:val="20"/>
        </w:rPr>
        <w:t>Consolidação</w:t>
      </w:r>
    </w:p>
    <w:p w14:paraId="789D3B6B" w14:textId="2F66F730" w:rsidR="00415115" w:rsidRDefault="00415115" w:rsidP="008A1CFD">
      <w:pPr>
        <w:spacing w:before="120" w:after="240"/>
        <w:jc w:val="both"/>
        <w:rPr>
          <w:rFonts w:ascii="CAIXA Std Book" w:hAnsi="CAIXA Std Book"/>
          <w:color w:val="005CA9"/>
          <w:sz w:val="20"/>
          <w:szCs w:val="20"/>
        </w:rPr>
      </w:pPr>
      <w:r w:rsidRPr="00415115">
        <w:rPr>
          <w:rFonts w:ascii="CAIXA Std Book" w:hAnsi="CAIXA Std Book"/>
          <w:color w:val="005CA9"/>
          <w:sz w:val="20"/>
          <w:szCs w:val="20"/>
        </w:rPr>
        <w:t xml:space="preserve">As demonstrações contábeis </w:t>
      </w:r>
      <w:r w:rsidR="00D43BA4">
        <w:rPr>
          <w:rFonts w:ascii="CAIXA Std Book" w:hAnsi="CAIXA Std Book"/>
          <w:color w:val="005CA9"/>
          <w:sz w:val="20"/>
          <w:szCs w:val="20"/>
        </w:rPr>
        <w:t xml:space="preserve">individuais e </w:t>
      </w:r>
      <w:r w:rsidRPr="00415115">
        <w:rPr>
          <w:rFonts w:ascii="CAIXA Std Book" w:hAnsi="CAIXA Std Book"/>
          <w:color w:val="005CA9"/>
          <w:sz w:val="20"/>
          <w:szCs w:val="20"/>
        </w:rPr>
        <w:t>consolidadas incluem as demonstrações contábeis da CAIXA e de suas controladas diretas e indiretas, os fundos de investimento exclusivos e fundo</w:t>
      </w:r>
      <w:r w:rsidR="00AB290C">
        <w:rPr>
          <w:rFonts w:ascii="CAIXA Std Book" w:hAnsi="CAIXA Std Book"/>
          <w:color w:val="005CA9"/>
          <w:sz w:val="20"/>
          <w:szCs w:val="20"/>
        </w:rPr>
        <w:t>s</w:t>
      </w:r>
      <w:r w:rsidRPr="00415115">
        <w:rPr>
          <w:rFonts w:ascii="CAIXA Std Book" w:hAnsi="CAIXA Std Book"/>
          <w:color w:val="005CA9"/>
          <w:sz w:val="20"/>
          <w:szCs w:val="20"/>
        </w:rPr>
        <w:t xml:space="preserve"> de investimentos em direitos creditórios, conforme demonstrado a seguir:</w:t>
      </w:r>
    </w:p>
    <w:tbl>
      <w:tblPr>
        <w:tblW w:w="5000" w:type="pct"/>
        <w:tblLayout w:type="fixed"/>
        <w:tblCellMar>
          <w:left w:w="70" w:type="dxa"/>
          <w:right w:w="70" w:type="dxa"/>
        </w:tblCellMar>
        <w:tblLook w:val="04A0" w:firstRow="1" w:lastRow="0" w:firstColumn="1" w:lastColumn="0" w:noHBand="0" w:noVBand="1"/>
      </w:tblPr>
      <w:tblGrid>
        <w:gridCol w:w="3545"/>
        <w:gridCol w:w="2267"/>
        <w:gridCol w:w="1841"/>
        <w:gridCol w:w="1985"/>
      </w:tblGrid>
      <w:tr w:rsidR="0074135E" w:rsidRPr="001C2C0D" w14:paraId="68F29C0E" w14:textId="77777777" w:rsidTr="002E3102">
        <w:trPr>
          <w:trHeight w:val="283"/>
        </w:trPr>
        <w:tc>
          <w:tcPr>
            <w:tcW w:w="1839" w:type="pct"/>
            <w:vMerge w:val="restart"/>
            <w:tcBorders>
              <w:top w:val="nil"/>
              <w:left w:val="nil"/>
              <w:right w:val="nil"/>
            </w:tcBorders>
            <w:shd w:val="clear" w:color="auto" w:fill="005CA9"/>
            <w:noWrap/>
            <w:vAlign w:val="center"/>
            <w:hideMark/>
          </w:tcPr>
          <w:p w14:paraId="139EB995" w14:textId="77777777" w:rsidR="0074135E" w:rsidRPr="0074135E" w:rsidRDefault="0074135E" w:rsidP="0074135E">
            <w:pPr>
              <w:jc w:val="center"/>
              <w:rPr>
                <w:rFonts w:ascii="CAIXA Std Book" w:eastAsia="Times New Roman" w:hAnsi="CAIXA Std Book" w:cs="Calibri"/>
                <w:b/>
                <w:bCs/>
                <w:color w:val="FFFFFF"/>
                <w:sz w:val="16"/>
                <w:szCs w:val="16"/>
              </w:rPr>
            </w:pPr>
            <w:r w:rsidRPr="0074135E">
              <w:rPr>
                <w:rFonts w:ascii="CAIXA Std Book" w:eastAsia="Times New Roman" w:hAnsi="CAIXA Std Book" w:cs="Calibri"/>
                <w:b/>
                <w:bCs/>
                <w:color w:val="FFFFFF"/>
                <w:sz w:val="16"/>
                <w:szCs w:val="16"/>
              </w:rPr>
              <w:t>Empresa</w:t>
            </w:r>
          </w:p>
        </w:tc>
        <w:tc>
          <w:tcPr>
            <w:tcW w:w="1176" w:type="pct"/>
            <w:vMerge w:val="restart"/>
            <w:tcBorders>
              <w:top w:val="nil"/>
              <w:left w:val="nil"/>
              <w:right w:val="nil"/>
            </w:tcBorders>
            <w:shd w:val="clear" w:color="auto" w:fill="005CA9"/>
            <w:noWrap/>
            <w:vAlign w:val="center"/>
            <w:hideMark/>
          </w:tcPr>
          <w:p w14:paraId="4B423988" w14:textId="77777777" w:rsidR="0074135E" w:rsidRPr="0074135E" w:rsidRDefault="0074135E" w:rsidP="0074135E">
            <w:pPr>
              <w:jc w:val="center"/>
              <w:rPr>
                <w:rFonts w:ascii="CAIXA Std Book" w:eastAsia="Times New Roman" w:hAnsi="CAIXA Std Book" w:cs="Calibri"/>
                <w:b/>
                <w:bCs/>
                <w:color w:val="FFFFFF"/>
                <w:sz w:val="16"/>
                <w:szCs w:val="16"/>
              </w:rPr>
            </w:pPr>
            <w:r w:rsidRPr="0074135E">
              <w:rPr>
                <w:rFonts w:ascii="CAIXA Std Book" w:eastAsia="Times New Roman" w:hAnsi="CAIXA Std Book" w:cs="Calibri"/>
                <w:b/>
                <w:bCs/>
                <w:color w:val="FFFFFF"/>
                <w:sz w:val="16"/>
                <w:szCs w:val="16"/>
              </w:rPr>
              <w:t>Atividade</w:t>
            </w:r>
          </w:p>
        </w:tc>
        <w:tc>
          <w:tcPr>
            <w:tcW w:w="1985" w:type="pct"/>
            <w:gridSpan w:val="2"/>
            <w:tcBorders>
              <w:bottom w:val="single" w:sz="4" w:space="0" w:color="FFFFFF" w:themeColor="background1"/>
            </w:tcBorders>
            <w:shd w:val="clear" w:color="auto" w:fill="005CA9"/>
            <w:vAlign w:val="center"/>
          </w:tcPr>
          <w:p w14:paraId="46A5FD48" w14:textId="77777777" w:rsidR="0074135E" w:rsidRPr="0074135E" w:rsidRDefault="0074135E" w:rsidP="0074135E">
            <w:pPr>
              <w:jc w:val="center"/>
              <w:rPr>
                <w:rFonts w:ascii="CAIXA Std Book" w:eastAsia="Times New Roman" w:hAnsi="CAIXA Std Book" w:cs="Calibri"/>
                <w:b/>
                <w:bCs/>
                <w:color w:val="FFFFFF"/>
                <w:sz w:val="16"/>
                <w:szCs w:val="16"/>
              </w:rPr>
            </w:pPr>
            <w:r w:rsidRPr="0074135E">
              <w:rPr>
                <w:rFonts w:ascii="CAIXA Std Book" w:eastAsia="Times New Roman" w:hAnsi="CAIXA Std Book" w:cs="Calibri"/>
                <w:b/>
                <w:bCs/>
                <w:color w:val="FFFFFF"/>
                <w:sz w:val="16"/>
                <w:szCs w:val="16"/>
              </w:rPr>
              <w:t>% de participação</w:t>
            </w:r>
          </w:p>
        </w:tc>
      </w:tr>
      <w:tr w:rsidR="0074135E" w:rsidRPr="001C2C0D" w14:paraId="20BD1D0D" w14:textId="77777777" w:rsidTr="002E3102">
        <w:trPr>
          <w:trHeight w:val="283"/>
        </w:trPr>
        <w:tc>
          <w:tcPr>
            <w:tcW w:w="1839" w:type="pct"/>
            <w:vMerge/>
            <w:tcBorders>
              <w:left w:val="nil"/>
              <w:right w:val="nil"/>
            </w:tcBorders>
            <w:shd w:val="clear" w:color="auto" w:fill="005CA9"/>
            <w:vAlign w:val="center"/>
            <w:hideMark/>
          </w:tcPr>
          <w:p w14:paraId="3E59AA51" w14:textId="77777777" w:rsidR="0074135E" w:rsidRPr="0074135E" w:rsidRDefault="0074135E" w:rsidP="0074135E">
            <w:pPr>
              <w:rPr>
                <w:rFonts w:ascii="CAIXA Std Book" w:eastAsia="Times New Roman" w:hAnsi="CAIXA Std Book" w:cs="Calibri"/>
                <w:b/>
                <w:bCs/>
                <w:color w:val="FFFFFF"/>
                <w:sz w:val="16"/>
                <w:szCs w:val="16"/>
              </w:rPr>
            </w:pPr>
          </w:p>
        </w:tc>
        <w:tc>
          <w:tcPr>
            <w:tcW w:w="1176" w:type="pct"/>
            <w:vMerge/>
            <w:tcBorders>
              <w:left w:val="nil"/>
              <w:right w:val="nil"/>
            </w:tcBorders>
            <w:shd w:val="clear" w:color="auto" w:fill="005CA9"/>
            <w:vAlign w:val="center"/>
            <w:hideMark/>
          </w:tcPr>
          <w:p w14:paraId="10E7A81D" w14:textId="77777777" w:rsidR="0074135E" w:rsidRPr="0074135E" w:rsidRDefault="0074135E" w:rsidP="0074135E">
            <w:pPr>
              <w:rPr>
                <w:rFonts w:ascii="CAIXA Std Book" w:eastAsia="Times New Roman" w:hAnsi="CAIXA Std Book" w:cs="Calibri"/>
                <w:b/>
                <w:bCs/>
                <w:color w:val="FFFFFF"/>
                <w:sz w:val="16"/>
                <w:szCs w:val="16"/>
              </w:rPr>
            </w:pPr>
          </w:p>
        </w:tc>
        <w:tc>
          <w:tcPr>
            <w:tcW w:w="955" w:type="pct"/>
            <w:tcBorders>
              <w:top w:val="single" w:sz="4" w:space="0" w:color="FFFFFF" w:themeColor="background1"/>
            </w:tcBorders>
            <w:shd w:val="clear" w:color="auto" w:fill="005CA9"/>
            <w:vAlign w:val="center"/>
          </w:tcPr>
          <w:p w14:paraId="4689D1C2" w14:textId="6A9E5E0F" w:rsidR="00DE63FD" w:rsidRPr="0074135E" w:rsidRDefault="00DE63FD" w:rsidP="00DE63FD">
            <w:pPr>
              <w:jc w:val="center"/>
              <w:rPr>
                <w:rFonts w:ascii="CAIXA Std Book" w:eastAsia="Times New Roman" w:hAnsi="CAIXA Std Book" w:cs="Calibri"/>
                <w:b/>
                <w:bCs/>
                <w:color w:val="FFFFFF"/>
                <w:sz w:val="16"/>
                <w:szCs w:val="16"/>
              </w:rPr>
            </w:pPr>
            <w:r w:rsidRPr="0074135E">
              <w:rPr>
                <w:rFonts w:ascii="CAIXA Std Book" w:eastAsia="Times New Roman" w:hAnsi="CAIXA Std Book" w:cs="Calibri"/>
                <w:b/>
                <w:bCs/>
                <w:color w:val="FFFFFF"/>
                <w:sz w:val="16"/>
                <w:szCs w:val="16"/>
              </w:rPr>
              <w:t>Em 3</w:t>
            </w:r>
            <w:r>
              <w:rPr>
                <w:rFonts w:ascii="CAIXA Std Book" w:eastAsia="Times New Roman" w:hAnsi="CAIXA Std Book" w:cs="Calibri"/>
                <w:b/>
                <w:bCs/>
                <w:color w:val="FFFFFF"/>
                <w:sz w:val="16"/>
                <w:szCs w:val="16"/>
              </w:rPr>
              <w:t>1</w:t>
            </w:r>
            <w:r w:rsidRPr="0074135E">
              <w:rPr>
                <w:rFonts w:ascii="CAIXA Std Book" w:eastAsia="Times New Roman" w:hAnsi="CAIXA Std Book" w:cs="Calibri"/>
                <w:b/>
                <w:bCs/>
                <w:color w:val="FFFFFF"/>
                <w:sz w:val="16"/>
                <w:szCs w:val="16"/>
              </w:rPr>
              <w:t>/</w:t>
            </w:r>
            <w:r w:rsidR="00206C4E">
              <w:rPr>
                <w:rFonts w:ascii="CAIXA Std Book" w:eastAsia="Times New Roman" w:hAnsi="CAIXA Std Book" w:cs="Calibri"/>
                <w:b/>
                <w:bCs/>
                <w:color w:val="FFFFFF"/>
                <w:sz w:val="16"/>
                <w:szCs w:val="16"/>
              </w:rPr>
              <w:t>03</w:t>
            </w:r>
            <w:r w:rsidRPr="0074135E">
              <w:rPr>
                <w:rFonts w:ascii="CAIXA Std Book" w:eastAsia="Times New Roman" w:hAnsi="CAIXA Std Book" w:cs="Calibri"/>
                <w:b/>
                <w:bCs/>
                <w:color w:val="FFFFFF"/>
                <w:sz w:val="16"/>
                <w:szCs w:val="16"/>
              </w:rPr>
              <w:t>/202</w:t>
            </w:r>
            <w:r w:rsidR="00206C4E">
              <w:rPr>
                <w:rFonts w:ascii="CAIXA Std Book" w:eastAsia="Times New Roman" w:hAnsi="CAIXA Std Book" w:cs="Calibri"/>
                <w:b/>
                <w:bCs/>
                <w:color w:val="FFFFFF"/>
                <w:sz w:val="16"/>
                <w:szCs w:val="16"/>
              </w:rPr>
              <w:t>6</w:t>
            </w:r>
          </w:p>
        </w:tc>
        <w:tc>
          <w:tcPr>
            <w:tcW w:w="1030" w:type="pct"/>
            <w:tcBorders>
              <w:top w:val="single" w:sz="4" w:space="0" w:color="FFFFFF" w:themeColor="background1"/>
              <w:left w:val="nil"/>
              <w:right w:val="nil"/>
            </w:tcBorders>
            <w:shd w:val="clear" w:color="auto" w:fill="005CA9"/>
            <w:noWrap/>
            <w:vAlign w:val="center"/>
            <w:hideMark/>
          </w:tcPr>
          <w:p w14:paraId="22292D57" w14:textId="469E0F4C" w:rsidR="0074135E" w:rsidRPr="0074135E" w:rsidRDefault="0074135E" w:rsidP="0074135E">
            <w:pPr>
              <w:jc w:val="center"/>
              <w:rPr>
                <w:rFonts w:ascii="CAIXA Std Book" w:eastAsia="Times New Roman" w:hAnsi="CAIXA Std Book" w:cs="Calibri"/>
                <w:b/>
                <w:bCs/>
                <w:color w:val="FFFFFF"/>
                <w:sz w:val="16"/>
                <w:szCs w:val="16"/>
              </w:rPr>
            </w:pPr>
            <w:r w:rsidRPr="0074135E">
              <w:rPr>
                <w:rFonts w:ascii="CAIXA Std Book" w:eastAsia="Times New Roman" w:hAnsi="CAIXA Std Book" w:cs="Calibri"/>
                <w:b/>
                <w:bCs/>
                <w:color w:val="FFFFFF"/>
                <w:sz w:val="16"/>
                <w:szCs w:val="16"/>
              </w:rPr>
              <w:t>Em 3</w:t>
            </w:r>
            <w:r w:rsidR="00F54364">
              <w:rPr>
                <w:rFonts w:ascii="CAIXA Std Book" w:eastAsia="Times New Roman" w:hAnsi="CAIXA Std Book" w:cs="Calibri"/>
                <w:b/>
                <w:bCs/>
                <w:color w:val="FFFFFF"/>
                <w:sz w:val="16"/>
                <w:szCs w:val="16"/>
              </w:rPr>
              <w:t>1</w:t>
            </w:r>
            <w:r w:rsidRPr="0074135E">
              <w:rPr>
                <w:rFonts w:ascii="CAIXA Std Book" w:eastAsia="Times New Roman" w:hAnsi="CAIXA Std Book" w:cs="Calibri"/>
                <w:b/>
                <w:bCs/>
                <w:color w:val="FFFFFF"/>
                <w:sz w:val="16"/>
                <w:szCs w:val="16"/>
              </w:rPr>
              <w:t>/</w:t>
            </w:r>
            <w:r w:rsidR="00F54364">
              <w:rPr>
                <w:rFonts w:ascii="CAIXA Std Book" w:eastAsia="Times New Roman" w:hAnsi="CAIXA Std Book" w:cs="Calibri"/>
                <w:b/>
                <w:bCs/>
                <w:color w:val="FFFFFF"/>
                <w:sz w:val="16"/>
                <w:szCs w:val="16"/>
              </w:rPr>
              <w:t>12</w:t>
            </w:r>
            <w:r w:rsidRPr="0074135E">
              <w:rPr>
                <w:rFonts w:ascii="CAIXA Std Book" w:eastAsia="Times New Roman" w:hAnsi="CAIXA Std Book" w:cs="Calibri"/>
                <w:b/>
                <w:bCs/>
                <w:color w:val="FFFFFF"/>
                <w:sz w:val="16"/>
                <w:szCs w:val="16"/>
              </w:rPr>
              <w:t>/2025</w:t>
            </w:r>
          </w:p>
        </w:tc>
      </w:tr>
      <w:tr w:rsidR="0074135E" w:rsidRPr="001C2C0D" w14:paraId="1C240629" w14:textId="77777777" w:rsidTr="002E3102">
        <w:trPr>
          <w:trHeight w:val="283"/>
        </w:trPr>
        <w:tc>
          <w:tcPr>
            <w:tcW w:w="1839" w:type="pct"/>
            <w:tcBorders>
              <w:left w:val="nil"/>
              <w:bottom w:val="single" w:sz="4" w:space="0" w:color="FFFFFF" w:themeColor="background1"/>
              <w:right w:val="nil"/>
            </w:tcBorders>
            <w:shd w:val="clear" w:color="auto" w:fill="D0E0E3"/>
            <w:noWrap/>
            <w:vAlign w:val="center"/>
            <w:hideMark/>
          </w:tcPr>
          <w:p w14:paraId="12104947" w14:textId="77777777" w:rsidR="0074135E" w:rsidRPr="0074135E" w:rsidRDefault="0074135E" w:rsidP="0074135E">
            <w:pPr>
              <w:rPr>
                <w:rFonts w:ascii="CAIXA Std Book" w:eastAsia="Times New Roman" w:hAnsi="CAIXA Std Book" w:cs="Calibri"/>
                <w:b/>
                <w:bCs/>
                <w:color w:val="005CA9"/>
                <w:sz w:val="16"/>
                <w:szCs w:val="16"/>
              </w:rPr>
            </w:pPr>
            <w:r w:rsidRPr="0074135E">
              <w:rPr>
                <w:rFonts w:ascii="CAIXA Std Book" w:eastAsia="Times New Roman" w:hAnsi="CAIXA Std Book" w:cs="Calibri"/>
                <w:b/>
                <w:bCs/>
                <w:color w:val="005CA9"/>
                <w:sz w:val="16"/>
                <w:szCs w:val="16"/>
              </w:rPr>
              <w:t>Caixa Econômica Federal</w:t>
            </w:r>
          </w:p>
        </w:tc>
        <w:tc>
          <w:tcPr>
            <w:tcW w:w="1176" w:type="pct"/>
            <w:tcBorders>
              <w:left w:val="nil"/>
              <w:bottom w:val="single" w:sz="4" w:space="0" w:color="FFFFFF" w:themeColor="background1"/>
              <w:right w:val="nil"/>
            </w:tcBorders>
            <w:shd w:val="clear" w:color="auto" w:fill="D0E0E3"/>
            <w:noWrap/>
            <w:vAlign w:val="center"/>
            <w:hideMark/>
          </w:tcPr>
          <w:p w14:paraId="15D7DC32" w14:textId="5EE8410C" w:rsidR="0074135E" w:rsidRPr="0074135E" w:rsidRDefault="0074135E" w:rsidP="0074135E">
            <w:pPr>
              <w:jc w:val="center"/>
              <w:rPr>
                <w:rFonts w:ascii="CAIXA Std Book" w:eastAsia="Times New Roman" w:hAnsi="CAIXA Std Book" w:cs="Calibri"/>
                <w:b/>
                <w:bCs/>
                <w:color w:val="005CA9"/>
                <w:sz w:val="16"/>
                <w:szCs w:val="16"/>
              </w:rPr>
            </w:pPr>
            <w:r w:rsidRPr="0074135E">
              <w:rPr>
                <w:rFonts w:ascii="CAIXA Std Book" w:eastAsia="Times New Roman" w:hAnsi="CAIXA Std Book" w:cs="Calibri"/>
                <w:b/>
                <w:bCs/>
                <w:color w:val="005CA9"/>
                <w:sz w:val="16"/>
                <w:szCs w:val="16"/>
              </w:rPr>
              <w:t xml:space="preserve"> </w:t>
            </w:r>
            <w:r w:rsidR="00D375AE">
              <w:rPr>
                <w:rFonts w:ascii="CAIXA Std Book" w:eastAsia="Times New Roman" w:hAnsi="CAIXA Std Book" w:cs="Calibri"/>
                <w:b/>
                <w:bCs/>
                <w:color w:val="005CA9"/>
                <w:sz w:val="16"/>
                <w:szCs w:val="16"/>
              </w:rPr>
              <w:t xml:space="preserve">Instituição </w:t>
            </w:r>
            <w:r w:rsidR="00CD17FB">
              <w:rPr>
                <w:rFonts w:ascii="CAIXA Std Book" w:eastAsia="Times New Roman" w:hAnsi="CAIXA Std Book" w:cs="Calibri"/>
                <w:b/>
                <w:bCs/>
                <w:color w:val="005CA9"/>
                <w:sz w:val="16"/>
                <w:szCs w:val="16"/>
              </w:rPr>
              <w:t>f</w:t>
            </w:r>
            <w:r w:rsidR="00D375AE">
              <w:rPr>
                <w:rFonts w:ascii="CAIXA Std Book" w:eastAsia="Times New Roman" w:hAnsi="CAIXA Std Book" w:cs="Calibri"/>
                <w:b/>
                <w:bCs/>
                <w:color w:val="005CA9"/>
                <w:sz w:val="16"/>
                <w:szCs w:val="16"/>
              </w:rPr>
              <w:t>inanceira</w:t>
            </w:r>
            <w:r w:rsidRPr="0074135E">
              <w:rPr>
                <w:rFonts w:ascii="CAIXA Std Book" w:eastAsia="Times New Roman" w:hAnsi="CAIXA Std Book" w:cs="Calibri"/>
                <w:b/>
                <w:bCs/>
                <w:color w:val="005CA9"/>
                <w:sz w:val="16"/>
                <w:szCs w:val="16"/>
              </w:rPr>
              <w:t xml:space="preserve"> </w:t>
            </w:r>
          </w:p>
        </w:tc>
        <w:tc>
          <w:tcPr>
            <w:tcW w:w="955" w:type="pct"/>
            <w:tcBorders>
              <w:bottom w:val="single" w:sz="4" w:space="0" w:color="FFFFFF" w:themeColor="background1"/>
            </w:tcBorders>
            <w:shd w:val="clear" w:color="auto" w:fill="D0E0E3"/>
            <w:vAlign w:val="center"/>
          </w:tcPr>
          <w:p w14:paraId="12981663" w14:textId="25107A6B" w:rsidR="00DE63FD" w:rsidRPr="0074135E" w:rsidRDefault="00846E80" w:rsidP="00DE63FD">
            <w:pPr>
              <w:jc w:val="center"/>
              <w:rPr>
                <w:rFonts w:ascii="CAIXA Std Book" w:eastAsia="Times New Roman" w:hAnsi="CAIXA Std Book" w:cs="Calibri"/>
                <w:b/>
                <w:bCs/>
                <w:color w:val="005CA9"/>
                <w:sz w:val="16"/>
                <w:szCs w:val="16"/>
              </w:rPr>
            </w:pPr>
            <w:r w:rsidRPr="0074135E">
              <w:rPr>
                <w:rFonts w:ascii="CAIXA Std Book" w:eastAsia="Times New Roman" w:hAnsi="CAIXA Std Book" w:cs="Calibri"/>
                <w:b/>
                <w:bCs/>
                <w:color w:val="005CA9"/>
                <w:sz w:val="16"/>
                <w:szCs w:val="16"/>
              </w:rPr>
              <w:t xml:space="preserve">Líder do </w:t>
            </w:r>
            <w:r>
              <w:rPr>
                <w:rFonts w:ascii="CAIXA Std Book" w:eastAsia="Times New Roman" w:hAnsi="CAIXA Std Book" w:cs="Calibri"/>
                <w:b/>
                <w:bCs/>
                <w:color w:val="005CA9"/>
                <w:sz w:val="16"/>
                <w:szCs w:val="16"/>
              </w:rPr>
              <w:t>c</w:t>
            </w:r>
            <w:r w:rsidRPr="0074135E">
              <w:rPr>
                <w:rFonts w:ascii="CAIXA Std Book" w:eastAsia="Times New Roman" w:hAnsi="CAIXA Std Book" w:cs="Calibri"/>
                <w:b/>
                <w:bCs/>
                <w:color w:val="005CA9"/>
                <w:sz w:val="16"/>
                <w:szCs w:val="16"/>
              </w:rPr>
              <w:t>onglomerado</w:t>
            </w:r>
          </w:p>
        </w:tc>
        <w:tc>
          <w:tcPr>
            <w:tcW w:w="1030" w:type="pct"/>
            <w:tcBorders>
              <w:left w:val="nil"/>
              <w:bottom w:val="single" w:sz="4" w:space="0" w:color="FFFFFF" w:themeColor="background1"/>
              <w:right w:val="nil"/>
            </w:tcBorders>
            <w:shd w:val="clear" w:color="auto" w:fill="D0E0E3"/>
            <w:noWrap/>
            <w:vAlign w:val="center"/>
          </w:tcPr>
          <w:p w14:paraId="152734DF" w14:textId="1C33F5B9" w:rsidR="0074135E" w:rsidRPr="0074135E" w:rsidRDefault="00E55796" w:rsidP="0074135E">
            <w:pPr>
              <w:jc w:val="center"/>
              <w:rPr>
                <w:rFonts w:ascii="CAIXA Std Book" w:eastAsia="Times New Roman" w:hAnsi="CAIXA Std Book" w:cs="Calibri"/>
                <w:b/>
                <w:bCs/>
                <w:color w:val="005CA9"/>
                <w:sz w:val="16"/>
                <w:szCs w:val="16"/>
              </w:rPr>
            </w:pPr>
            <w:r w:rsidRPr="0074135E">
              <w:rPr>
                <w:rFonts w:ascii="CAIXA Std Book" w:eastAsia="Times New Roman" w:hAnsi="CAIXA Std Book" w:cs="Calibri"/>
                <w:b/>
                <w:bCs/>
                <w:color w:val="005CA9"/>
                <w:sz w:val="16"/>
                <w:szCs w:val="16"/>
              </w:rPr>
              <w:t xml:space="preserve">Líder do </w:t>
            </w:r>
            <w:r w:rsidR="00CD17FB">
              <w:rPr>
                <w:rFonts w:ascii="CAIXA Std Book" w:eastAsia="Times New Roman" w:hAnsi="CAIXA Std Book" w:cs="Calibri"/>
                <w:b/>
                <w:bCs/>
                <w:color w:val="005CA9"/>
                <w:sz w:val="16"/>
                <w:szCs w:val="16"/>
              </w:rPr>
              <w:t>c</w:t>
            </w:r>
            <w:r w:rsidRPr="0074135E">
              <w:rPr>
                <w:rFonts w:ascii="CAIXA Std Book" w:eastAsia="Times New Roman" w:hAnsi="CAIXA Std Book" w:cs="Calibri"/>
                <w:b/>
                <w:bCs/>
                <w:color w:val="005CA9"/>
                <w:sz w:val="16"/>
                <w:szCs w:val="16"/>
              </w:rPr>
              <w:t>onglomerado</w:t>
            </w:r>
          </w:p>
        </w:tc>
      </w:tr>
      <w:tr w:rsidR="0074135E" w:rsidRPr="001C2C0D" w14:paraId="21A3DAE8" w14:textId="77777777" w:rsidTr="002E3102">
        <w:trPr>
          <w:trHeight w:val="283"/>
        </w:trPr>
        <w:tc>
          <w:tcPr>
            <w:tcW w:w="1839" w:type="pct"/>
            <w:tcBorders>
              <w:top w:val="single" w:sz="4" w:space="0" w:color="FFFFFF" w:themeColor="background1"/>
              <w:left w:val="nil"/>
              <w:bottom w:val="nil"/>
              <w:right w:val="nil"/>
            </w:tcBorders>
            <w:shd w:val="clear" w:color="auto" w:fill="D0E0E3"/>
            <w:noWrap/>
            <w:vAlign w:val="center"/>
            <w:hideMark/>
          </w:tcPr>
          <w:p w14:paraId="2D0D20BF" w14:textId="77777777" w:rsidR="0074135E" w:rsidRPr="0074135E" w:rsidRDefault="0074135E" w:rsidP="0074135E">
            <w:pPr>
              <w:rPr>
                <w:rFonts w:ascii="CAIXA Std Book" w:eastAsia="Times New Roman" w:hAnsi="CAIXA Std Book" w:cs="Calibri"/>
                <w:b/>
                <w:bCs/>
                <w:color w:val="005CA9"/>
                <w:sz w:val="16"/>
                <w:szCs w:val="16"/>
              </w:rPr>
            </w:pPr>
            <w:r w:rsidRPr="0074135E">
              <w:rPr>
                <w:rFonts w:ascii="CAIXA Std Book" w:eastAsia="Times New Roman" w:hAnsi="CAIXA Std Book" w:cs="Calibri"/>
                <w:b/>
                <w:bCs/>
                <w:color w:val="005CA9"/>
                <w:sz w:val="16"/>
                <w:szCs w:val="16"/>
              </w:rPr>
              <w:t>Caixa Loterias</w:t>
            </w:r>
          </w:p>
        </w:tc>
        <w:tc>
          <w:tcPr>
            <w:tcW w:w="1176" w:type="pct"/>
            <w:tcBorders>
              <w:top w:val="single" w:sz="4" w:space="0" w:color="FFFFFF" w:themeColor="background1"/>
              <w:left w:val="nil"/>
              <w:bottom w:val="nil"/>
              <w:right w:val="nil"/>
            </w:tcBorders>
            <w:shd w:val="clear" w:color="auto" w:fill="D0E0E3"/>
            <w:noWrap/>
            <w:vAlign w:val="center"/>
            <w:hideMark/>
          </w:tcPr>
          <w:p w14:paraId="6BAE0EA9" w14:textId="59F6F8A3" w:rsidR="0074135E" w:rsidRPr="0074135E" w:rsidRDefault="00E06031" w:rsidP="0074135E">
            <w:pPr>
              <w:jc w:val="center"/>
              <w:rPr>
                <w:rFonts w:ascii="CAIXA Std Book" w:eastAsia="Times New Roman" w:hAnsi="CAIXA Std Book" w:cs="Calibri"/>
                <w:b/>
                <w:bCs/>
                <w:color w:val="005CA9"/>
                <w:sz w:val="16"/>
                <w:szCs w:val="16"/>
              </w:rPr>
            </w:pPr>
            <w:r>
              <w:rPr>
                <w:rFonts w:ascii="CAIXA Std Book" w:eastAsia="Times New Roman" w:hAnsi="CAIXA Std Book" w:cs="Calibri"/>
                <w:b/>
                <w:bCs/>
                <w:color w:val="005CA9"/>
                <w:sz w:val="16"/>
                <w:szCs w:val="16"/>
              </w:rPr>
              <w:t>Serviços lotéricos</w:t>
            </w:r>
            <w:r w:rsidR="0074135E" w:rsidRPr="0074135E">
              <w:rPr>
                <w:rFonts w:ascii="CAIXA Std Book" w:eastAsia="Times New Roman" w:hAnsi="CAIXA Std Book" w:cs="Calibri"/>
                <w:b/>
                <w:bCs/>
                <w:color w:val="005CA9"/>
                <w:sz w:val="16"/>
                <w:szCs w:val="16"/>
              </w:rPr>
              <w:t xml:space="preserve"> </w:t>
            </w:r>
          </w:p>
        </w:tc>
        <w:tc>
          <w:tcPr>
            <w:tcW w:w="955" w:type="pct"/>
            <w:tcBorders>
              <w:top w:val="single" w:sz="4" w:space="0" w:color="FFFFFF" w:themeColor="background1"/>
            </w:tcBorders>
            <w:shd w:val="clear" w:color="auto" w:fill="D0E0E3"/>
            <w:vAlign w:val="center"/>
          </w:tcPr>
          <w:p w14:paraId="1E9DD867" w14:textId="043518C4" w:rsidR="00DE63FD" w:rsidRPr="0074135E" w:rsidRDefault="00846E80" w:rsidP="00DE63FD">
            <w:pPr>
              <w:jc w:val="center"/>
              <w:rPr>
                <w:rFonts w:ascii="CAIXA Std Book" w:eastAsia="Times New Roman" w:hAnsi="CAIXA Std Book" w:cs="Calibri"/>
                <w:b/>
                <w:bCs/>
                <w:color w:val="005CA9"/>
                <w:sz w:val="16"/>
                <w:szCs w:val="16"/>
              </w:rPr>
            </w:pPr>
            <w:r w:rsidRPr="0074135E">
              <w:rPr>
                <w:rFonts w:ascii="CAIXA Std Book" w:eastAsia="Times New Roman" w:hAnsi="CAIXA Std Book" w:cs="Calibri"/>
                <w:b/>
                <w:bCs/>
                <w:color w:val="005CA9"/>
                <w:sz w:val="16"/>
                <w:szCs w:val="16"/>
              </w:rPr>
              <w:t>100%</w:t>
            </w:r>
          </w:p>
        </w:tc>
        <w:tc>
          <w:tcPr>
            <w:tcW w:w="1030" w:type="pct"/>
            <w:tcBorders>
              <w:top w:val="single" w:sz="4" w:space="0" w:color="FFFFFF" w:themeColor="background1"/>
              <w:left w:val="nil"/>
              <w:bottom w:val="nil"/>
              <w:right w:val="nil"/>
            </w:tcBorders>
            <w:shd w:val="clear" w:color="auto" w:fill="D0E0E3"/>
            <w:noWrap/>
            <w:vAlign w:val="center"/>
          </w:tcPr>
          <w:p w14:paraId="0F7549FB" w14:textId="4C2125AE" w:rsidR="0074135E" w:rsidRPr="0074135E" w:rsidRDefault="00E55796" w:rsidP="0074135E">
            <w:pPr>
              <w:jc w:val="center"/>
              <w:rPr>
                <w:rFonts w:ascii="CAIXA Std Book" w:eastAsia="Times New Roman" w:hAnsi="CAIXA Std Book" w:cs="Calibri"/>
                <w:b/>
                <w:bCs/>
                <w:color w:val="005CA9"/>
                <w:sz w:val="16"/>
                <w:szCs w:val="16"/>
              </w:rPr>
            </w:pPr>
            <w:r w:rsidRPr="0074135E">
              <w:rPr>
                <w:rFonts w:ascii="CAIXA Std Book" w:eastAsia="Times New Roman" w:hAnsi="CAIXA Std Book" w:cs="Calibri"/>
                <w:b/>
                <w:bCs/>
                <w:color w:val="005CA9"/>
                <w:sz w:val="16"/>
                <w:szCs w:val="16"/>
              </w:rPr>
              <w:t>100%</w:t>
            </w:r>
          </w:p>
        </w:tc>
      </w:tr>
      <w:tr w:rsidR="0074135E" w:rsidRPr="001C2C0D" w14:paraId="33A7A080" w14:textId="77777777" w:rsidTr="00FC68C2">
        <w:trPr>
          <w:trHeight w:val="283"/>
        </w:trPr>
        <w:tc>
          <w:tcPr>
            <w:tcW w:w="1839" w:type="pct"/>
            <w:tcBorders>
              <w:top w:val="nil"/>
              <w:left w:val="nil"/>
              <w:bottom w:val="nil"/>
              <w:right w:val="nil"/>
            </w:tcBorders>
            <w:shd w:val="clear" w:color="000000" w:fill="FFFFFF"/>
            <w:noWrap/>
            <w:vAlign w:val="center"/>
            <w:hideMark/>
          </w:tcPr>
          <w:p w14:paraId="2611BD04" w14:textId="77777777" w:rsidR="0074135E" w:rsidRPr="0074135E" w:rsidRDefault="0074135E" w:rsidP="0074135E">
            <w:pP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Fundo de Investimento CAIXA Extramercado Exclusivo Loterias</w:t>
            </w:r>
          </w:p>
        </w:tc>
        <w:tc>
          <w:tcPr>
            <w:tcW w:w="1176" w:type="pct"/>
            <w:tcBorders>
              <w:top w:val="nil"/>
              <w:left w:val="nil"/>
              <w:bottom w:val="nil"/>
              <w:right w:val="nil"/>
            </w:tcBorders>
            <w:shd w:val="clear" w:color="000000" w:fill="FFFFFF"/>
            <w:noWrap/>
            <w:vAlign w:val="center"/>
            <w:hideMark/>
          </w:tcPr>
          <w:p w14:paraId="118D07EA" w14:textId="6487EC83" w:rsidR="0074135E" w:rsidRPr="0074135E" w:rsidRDefault="0074135E" w:rsidP="0074135E">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 xml:space="preserve"> Fundos de </w:t>
            </w:r>
            <w:r w:rsidR="00FE38F0">
              <w:rPr>
                <w:rFonts w:ascii="CAIXA Std Book" w:eastAsia="Times New Roman" w:hAnsi="CAIXA Std Book" w:cs="Calibri"/>
                <w:color w:val="005CA9"/>
                <w:sz w:val="16"/>
                <w:szCs w:val="16"/>
              </w:rPr>
              <w:t>i</w:t>
            </w:r>
            <w:r w:rsidRPr="0074135E">
              <w:rPr>
                <w:rFonts w:ascii="CAIXA Std Book" w:eastAsia="Times New Roman" w:hAnsi="CAIXA Std Book" w:cs="Calibri"/>
                <w:color w:val="005CA9"/>
                <w:sz w:val="16"/>
                <w:szCs w:val="16"/>
              </w:rPr>
              <w:t xml:space="preserve">nvestimento </w:t>
            </w:r>
          </w:p>
        </w:tc>
        <w:tc>
          <w:tcPr>
            <w:tcW w:w="955" w:type="pct"/>
            <w:vAlign w:val="center"/>
          </w:tcPr>
          <w:p w14:paraId="0403CC08" w14:textId="77777777" w:rsidR="00846E80" w:rsidRPr="0074135E" w:rsidRDefault="00846E80" w:rsidP="00846E80">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100% de participação</w:t>
            </w:r>
          </w:p>
          <w:p w14:paraId="51921857" w14:textId="20B7048F" w:rsidR="00DE63FD" w:rsidRPr="0074135E" w:rsidRDefault="00846E80" w:rsidP="00DE63FD">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da subsidiária</w:t>
            </w:r>
          </w:p>
        </w:tc>
        <w:tc>
          <w:tcPr>
            <w:tcW w:w="1030" w:type="pct"/>
            <w:tcBorders>
              <w:top w:val="nil"/>
              <w:left w:val="nil"/>
              <w:right w:val="nil"/>
            </w:tcBorders>
            <w:shd w:val="clear" w:color="000000" w:fill="FFFFFF"/>
            <w:noWrap/>
            <w:vAlign w:val="center"/>
          </w:tcPr>
          <w:p w14:paraId="2EAF550F" w14:textId="77777777" w:rsidR="00E55796" w:rsidRPr="0074135E" w:rsidRDefault="00E55796" w:rsidP="00E55796">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100% de participação</w:t>
            </w:r>
          </w:p>
          <w:p w14:paraId="6A755E18" w14:textId="175EF9EB" w:rsidR="0074135E" w:rsidRPr="0074135E" w:rsidRDefault="00E55796" w:rsidP="0074135E">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da subsidiária</w:t>
            </w:r>
          </w:p>
        </w:tc>
      </w:tr>
      <w:tr w:rsidR="0074135E" w:rsidRPr="001C2C0D" w14:paraId="445884EE" w14:textId="77777777" w:rsidTr="00FC68C2">
        <w:trPr>
          <w:trHeight w:val="283"/>
        </w:trPr>
        <w:tc>
          <w:tcPr>
            <w:tcW w:w="1839" w:type="pct"/>
            <w:tcBorders>
              <w:top w:val="nil"/>
              <w:left w:val="nil"/>
              <w:bottom w:val="nil"/>
              <w:right w:val="nil"/>
            </w:tcBorders>
            <w:shd w:val="clear" w:color="auto" w:fill="D0E0E3"/>
            <w:noWrap/>
            <w:vAlign w:val="center"/>
            <w:hideMark/>
          </w:tcPr>
          <w:p w14:paraId="3E16E979" w14:textId="77777777" w:rsidR="0074135E" w:rsidRPr="0074135E" w:rsidRDefault="0074135E" w:rsidP="0074135E">
            <w:pPr>
              <w:rPr>
                <w:rFonts w:ascii="CAIXA Std Book" w:eastAsia="Times New Roman" w:hAnsi="CAIXA Std Book" w:cs="Calibri"/>
                <w:b/>
                <w:bCs/>
                <w:color w:val="005CA9"/>
                <w:sz w:val="16"/>
                <w:szCs w:val="16"/>
              </w:rPr>
            </w:pPr>
            <w:r w:rsidRPr="0074135E">
              <w:rPr>
                <w:rFonts w:ascii="CAIXA Std Book" w:eastAsia="Times New Roman" w:hAnsi="CAIXA Std Book" w:cs="Calibri"/>
                <w:b/>
                <w:bCs/>
                <w:color w:val="005CA9"/>
                <w:sz w:val="16"/>
                <w:szCs w:val="16"/>
              </w:rPr>
              <w:t>Caixa Cartões</w:t>
            </w:r>
          </w:p>
        </w:tc>
        <w:tc>
          <w:tcPr>
            <w:tcW w:w="1176" w:type="pct"/>
            <w:tcBorders>
              <w:top w:val="nil"/>
              <w:left w:val="nil"/>
              <w:bottom w:val="nil"/>
              <w:right w:val="nil"/>
            </w:tcBorders>
            <w:shd w:val="clear" w:color="auto" w:fill="D0E0E3"/>
            <w:noWrap/>
            <w:vAlign w:val="center"/>
            <w:hideMark/>
          </w:tcPr>
          <w:p w14:paraId="1007AE96" w14:textId="77777777" w:rsidR="0074135E" w:rsidRPr="0074135E" w:rsidRDefault="0074135E" w:rsidP="0074135E">
            <w:pPr>
              <w:jc w:val="center"/>
              <w:rPr>
                <w:rFonts w:ascii="CAIXA Std Book" w:eastAsia="Times New Roman" w:hAnsi="CAIXA Std Book" w:cs="Calibri"/>
                <w:b/>
                <w:bCs/>
                <w:color w:val="005CA9"/>
                <w:sz w:val="16"/>
                <w:szCs w:val="16"/>
              </w:rPr>
            </w:pPr>
            <w:r w:rsidRPr="0074135E">
              <w:rPr>
                <w:rFonts w:ascii="CAIXA Std Book" w:eastAsia="Times New Roman" w:hAnsi="CAIXA Std Book" w:cs="Calibri"/>
                <w:b/>
                <w:bCs/>
                <w:color w:val="005CA9"/>
                <w:sz w:val="16"/>
                <w:szCs w:val="16"/>
              </w:rPr>
              <w:t>Holding</w:t>
            </w:r>
          </w:p>
        </w:tc>
        <w:tc>
          <w:tcPr>
            <w:tcW w:w="955" w:type="pct"/>
            <w:shd w:val="clear" w:color="auto" w:fill="D0E0E3"/>
            <w:vAlign w:val="center"/>
          </w:tcPr>
          <w:p w14:paraId="16AB4983" w14:textId="28369786" w:rsidR="00DE63FD" w:rsidRPr="0074135E" w:rsidRDefault="00846E80" w:rsidP="00DE63FD">
            <w:pPr>
              <w:jc w:val="center"/>
              <w:rPr>
                <w:rFonts w:ascii="CAIXA Std Book" w:eastAsia="Times New Roman" w:hAnsi="CAIXA Std Book" w:cs="Calibri"/>
                <w:b/>
                <w:bCs/>
                <w:color w:val="005CA9"/>
                <w:sz w:val="16"/>
                <w:szCs w:val="16"/>
              </w:rPr>
            </w:pPr>
            <w:r w:rsidRPr="0074135E">
              <w:rPr>
                <w:rFonts w:ascii="CAIXA Std Book" w:eastAsia="Times New Roman" w:hAnsi="CAIXA Std Book" w:cs="Calibri"/>
                <w:b/>
                <w:bCs/>
                <w:color w:val="005CA9"/>
                <w:sz w:val="16"/>
                <w:szCs w:val="16"/>
              </w:rPr>
              <w:t>100%</w:t>
            </w:r>
          </w:p>
        </w:tc>
        <w:tc>
          <w:tcPr>
            <w:tcW w:w="1030" w:type="pct"/>
            <w:tcBorders>
              <w:top w:val="nil"/>
              <w:left w:val="nil"/>
              <w:bottom w:val="nil"/>
              <w:right w:val="nil"/>
            </w:tcBorders>
            <w:shd w:val="clear" w:color="auto" w:fill="D0E0E3"/>
            <w:noWrap/>
            <w:vAlign w:val="center"/>
          </w:tcPr>
          <w:p w14:paraId="11C16BFD" w14:textId="31A65B34" w:rsidR="0074135E" w:rsidRPr="0074135E" w:rsidRDefault="00E55796" w:rsidP="0074135E">
            <w:pPr>
              <w:jc w:val="center"/>
              <w:rPr>
                <w:rFonts w:ascii="CAIXA Std Book" w:eastAsia="Times New Roman" w:hAnsi="CAIXA Std Book" w:cs="Calibri"/>
                <w:b/>
                <w:bCs/>
                <w:color w:val="005CA9"/>
                <w:sz w:val="16"/>
                <w:szCs w:val="16"/>
              </w:rPr>
            </w:pPr>
            <w:r w:rsidRPr="0074135E">
              <w:rPr>
                <w:rFonts w:ascii="CAIXA Std Book" w:eastAsia="Times New Roman" w:hAnsi="CAIXA Std Book" w:cs="Calibri"/>
                <w:b/>
                <w:bCs/>
                <w:color w:val="005CA9"/>
                <w:sz w:val="16"/>
                <w:szCs w:val="16"/>
              </w:rPr>
              <w:t>100%</w:t>
            </w:r>
          </w:p>
        </w:tc>
      </w:tr>
      <w:tr w:rsidR="0074135E" w:rsidRPr="001C2C0D" w14:paraId="001D9897" w14:textId="77777777" w:rsidTr="00FC68C2">
        <w:trPr>
          <w:trHeight w:val="283"/>
        </w:trPr>
        <w:tc>
          <w:tcPr>
            <w:tcW w:w="1839" w:type="pct"/>
            <w:tcBorders>
              <w:top w:val="nil"/>
              <w:left w:val="nil"/>
              <w:bottom w:val="nil"/>
              <w:right w:val="nil"/>
            </w:tcBorders>
            <w:shd w:val="clear" w:color="000000" w:fill="FFFFFF"/>
            <w:noWrap/>
            <w:vAlign w:val="center"/>
            <w:hideMark/>
          </w:tcPr>
          <w:p w14:paraId="12F064E6" w14:textId="77777777" w:rsidR="0074135E" w:rsidRPr="0074135E" w:rsidRDefault="0074135E" w:rsidP="0074135E">
            <w:pP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Fundo de Investimento CAIXA Extramercado Exclusivo Cartões</w:t>
            </w:r>
          </w:p>
        </w:tc>
        <w:tc>
          <w:tcPr>
            <w:tcW w:w="1176" w:type="pct"/>
            <w:tcBorders>
              <w:top w:val="nil"/>
              <w:left w:val="nil"/>
              <w:bottom w:val="nil"/>
              <w:right w:val="nil"/>
            </w:tcBorders>
            <w:shd w:val="clear" w:color="000000" w:fill="FFFFFF"/>
            <w:noWrap/>
            <w:vAlign w:val="center"/>
            <w:hideMark/>
          </w:tcPr>
          <w:p w14:paraId="2B5B7524" w14:textId="28D1D294" w:rsidR="0074135E" w:rsidRPr="0074135E" w:rsidRDefault="0074135E" w:rsidP="0074135E">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 xml:space="preserve">Fundos de </w:t>
            </w:r>
            <w:r w:rsidR="00FE38F0">
              <w:rPr>
                <w:rFonts w:ascii="CAIXA Std Book" w:eastAsia="Times New Roman" w:hAnsi="CAIXA Std Book" w:cs="Calibri"/>
                <w:color w:val="005CA9"/>
                <w:sz w:val="16"/>
                <w:szCs w:val="16"/>
              </w:rPr>
              <w:t>i</w:t>
            </w:r>
            <w:r w:rsidRPr="0074135E">
              <w:rPr>
                <w:rFonts w:ascii="CAIXA Std Book" w:eastAsia="Times New Roman" w:hAnsi="CAIXA Std Book" w:cs="Calibri"/>
                <w:color w:val="005CA9"/>
                <w:sz w:val="16"/>
                <w:szCs w:val="16"/>
              </w:rPr>
              <w:t>nvestimento</w:t>
            </w:r>
          </w:p>
        </w:tc>
        <w:tc>
          <w:tcPr>
            <w:tcW w:w="955" w:type="pct"/>
            <w:vAlign w:val="center"/>
          </w:tcPr>
          <w:p w14:paraId="515FC4A6" w14:textId="77777777" w:rsidR="00846E80" w:rsidRPr="0074135E" w:rsidRDefault="00846E80" w:rsidP="00846E80">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100% de participação</w:t>
            </w:r>
          </w:p>
          <w:p w14:paraId="5CA001FD" w14:textId="6207ED65" w:rsidR="00DE63FD" w:rsidRPr="0074135E" w:rsidRDefault="00846E80" w:rsidP="00DE63FD">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da subsidiária</w:t>
            </w:r>
          </w:p>
        </w:tc>
        <w:tc>
          <w:tcPr>
            <w:tcW w:w="1030" w:type="pct"/>
            <w:tcBorders>
              <w:top w:val="nil"/>
              <w:left w:val="nil"/>
              <w:bottom w:val="nil"/>
              <w:right w:val="nil"/>
            </w:tcBorders>
            <w:shd w:val="clear" w:color="000000" w:fill="FFFFFF"/>
            <w:noWrap/>
            <w:vAlign w:val="center"/>
          </w:tcPr>
          <w:p w14:paraId="13EE6AF6" w14:textId="77777777" w:rsidR="00A71BF7" w:rsidRPr="0074135E" w:rsidRDefault="00A71BF7" w:rsidP="00A71BF7">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100% de participação</w:t>
            </w:r>
          </w:p>
          <w:p w14:paraId="6EA9B8A6" w14:textId="3C8A1A7C" w:rsidR="0074135E" w:rsidRPr="0074135E" w:rsidRDefault="00A71BF7" w:rsidP="0074135E">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da subsidiária</w:t>
            </w:r>
          </w:p>
        </w:tc>
      </w:tr>
      <w:tr w:rsidR="0074135E" w:rsidRPr="001C2C0D" w14:paraId="2CE1B70A" w14:textId="77777777" w:rsidTr="00FC68C2">
        <w:trPr>
          <w:trHeight w:val="283"/>
        </w:trPr>
        <w:tc>
          <w:tcPr>
            <w:tcW w:w="1839" w:type="pct"/>
            <w:tcBorders>
              <w:top w:val="nil"/>
              <w:left w:val="nil"/>
              <w:bottom w:val="nil"/>
              <w:right w:val="nil"/>
            </w:tcBorders>
            <w:shd w:val="clear" w:color="auto" w:fill="D0E0E3"/>
            <w:noWrap/>
            <w:vAlign w:val="center"/>
            <w:hideMark/>
          </w:tcPr>
          <w:p w14:paraId="0A739C12" w14:textId="77777777" w:rsidR="0074135E" w:rsidRPr="0074135E" w:rsidRDefault="0074135E" w:rsidP="0074135E">
            <w:pPr>
              <w:rPr>
                <w:rFonts w:ascii="CAIXA Std Book" w:eastAsia="Times New Roman" w:hAnsi="CAIXA Std Book" w:cs="Calibri"/>
                <w:b/>
                <w:bCs/>
                <w:color w:val="005CA9"/>
                <w:sz w:val="16"/>
                <w:szCs w:val="16"/>
              </w:rPr>
            </w:pPr>
            <w:r w:rsidRPr="0074135E">
              <w:rPr>
                <w:rFonts w:ascii="CAIXA Std Book" w:eastAsia="Times New Roman" w:hAnsi="CAIXA Std Book" w:cs="Calibri"/>
                <w:b/>
                <w:bCs/>
                <w:color w:val="005CA9"/>
                <w:sz w:val="16"/>
                <w:szCs w:val="16"/>
              </w:rPr>
              <w:t>Caixa Seguridade</w:t>
            </w:r>
          </w:p>
        </w:tc>
        <w:tc>
          <w:tcPr>
            <w:tcW w:w="1176" w:type="pct"/>
            <w:tcBorders>
              <w:top w:val="nil"/>
              <w:left w:val="nil"/>
              <w:bottom w:val="nil"/>
              <w:right w:val="nil"/>
            </w:tcBorders>
            <w:shd w:val="clear" w:color="auto" w:fill="D0E0E3"/>
            <w:noWrap/>
            <w:vAlign w:val="center"/>
            <w:hideMark/>
          </w:tcPr>
          <w:p w14:paraId="10370F66" w14:textId="77777777" w:rsidR="0074135E" w:rsidRPr="0074135E" w:rsidRDefault="0074135E" w:rsidP="0074135E">
            <w:pPr>
              <w:jc w:val="center"/>
              <w:rPr>
                <w:rFonts w:ascii="CAIXA Std Book" w:eastAsia="Times New Roman" w:hAnsi="CAIXA Std Book" w:cs="Calibri"/>
                <w:b/>
                <w:bCs/>
                <w:color w:val="005CA9"/>
                <w:sz w:val="16"/>
                <w:szCs w:val="16"/>
              </w:rPr>
            </w:pPr>
            <w:r w:rsidRPr="0074135E">
              <w:rPr>
                <w:rFonts w:ascii="CAIXA Std Book" w:eastAsia="Times New Roman" w:hAnsi="CAIXA Std Book" w:cs="Calibri"/>
                <w:b/>
                <w:bCs/>
                <w:color w:val="005CA9"/>
                <w:sz w:val="16"/>
                <w:szCs w:val="16"/>
              </w:rPr>
              <w:t>Holding</w:t>
            </w:r>
          </w:p>
        </w:tc>
        <w:tc>
          <w:tcPr>
            <w:tcW w:w="955" w:type="pct"/>
            <w:shd w:val="clear" w:color="auto" w:fill="D0E0E3"/>
            <w:vAlign w:val="center"/>
          </w:tcPr>
          <w:p w14:paraId="74BC6A0E" w14:textId="652B1468" w:rsidR="00DE63FD" w:rsidRPr="0074135E" w:rsidRDefault="00846E80" w:rsidP="00DE63FD">
            <w:pPr>
              <w:jc w:val="center"/>
              <w:rPr>
                <w:rFonts w:ascii="CAIXA Std Book" w:eastAsia="Times New Roman" w:hAnsi="CAIXA Std Book" w:cs="Calibri"/>
                <w:b/>
                <w:bCs/>
                <w:color w:val="005CA9"/>
                <w:sz w:val="16"/>
                <w:szCs w:val="16"/>
              </w:rPr>
            </w:pPr>
            <w:r w:rsidRPr="0074135E">
              <w:rPr>
                <w:rFonts w:ascii="CAIXA Std Book" w:eastAsia="Times New Roman" w:hAnsi="CAIXA Std Book" w:cs="Calibri"/>
                <w:b/>
                <w:bCs/>
                <w:color w:val="005CA9"/>
                <w:sz w:val="16"/>
                <w:szCs w:val="16"/>
              </w:rPr>
              <w:t>80%</w:t>
            </w:r>
          </w:p>
        </w:tc>
        <w:tc>
          <w:tcPr>
            <w:tcW w:w="1030" w:type="pct"/>
            <w:tcBorders>
              <w:top w:val="nil"/>
              <w:left w:val="nil"/>
              <w:bottom w:val="nil"/>
              <w:right w:val="nil"/>
            </w:tcBorders>
            <w:shd w:val="clear" w:color="auto" w:fill="D0E0E3"/>
            <w:noWrap/>
            <w:vAlign w:val="center"/>
          </w:tcPr>
          <w:p w14:paraId="2B566808" w14:textId="31125E08" w:rsidR="0074135E" w:rsidRPr="0074135E" w:rsidRDefault="00E55796" w:rsidP="0074135E">
            <w:pPr>
              <w:jc w:val="center"/>
              <w:rPr>
                <w:rFonts w:ascii="CAIXA Std Book" w:eastAsia="Times New Roman" w:hAnsi="CAIXA Std Book" w:cs="Calibri"/>
                <w:b/>
                <w:bCs/>
                <w:color w:val="005CA9"/>
                <w:sz w:val="16"/>
                <w:szCs w:val="16"/>
              </w:rPr>
            </w:pPr>
            <w:r w:rsidRPr="0074135E">
              <w:rPr>
                <w:rFonts w:ascii="CAIXA Std Book" w:eastAsia="Times New Roman" w:hAnsi="CAIXA Std Book" w:cs="Calibri"/>
                <w:b/>
                <w:bCs/>
                <w:color w:val="005CA9"/>
                <w:sz w:val="16"/>
                <w:szCs w:val="16"/>
              </w:rPr>
              <w:t>80%</w:t>
            </w:r>
          </w:p>
        </w:tc>
      </w:tr>
      <w:tr w:rsidR="0074135E" w:rsidRPr="001C2C0D" w14:paraId="3C8FB5E9" w14:textId="77777777" w:rsidTr="00FC68C2">
        <w:trPr>
          <w:trHeight w:val="283"/>
        </w:trPr>
        <w:tc>
          <w:tcPr>
            <w:tcW w:w="1839" w:type="pct"/>
            <w:tcBorders>
              <w:top w:val="nil"/>
              <w:left w:val="nil"/>
              <w:bottom w:val="nil"/>
              <w:right w:val="nil"/>
            </w:tcBorders>
            <w:shd w:val="clear" w:color="000000" w:fill="FFFFFF"/>
            <w:noWrap/>
            <w:vAlign w:val="center"/>
            <w:hideMark/>
          </w:tcPr>
          <w:p w14:paraId="6A37B856" w14:textId="77777777" w:rsidR="0074135E" w:rsidRPr="0074135E" w:rsidRDefault="0074135E" w:rsidP="0074135E">
            <w:pP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Caixa Holding</w:t>
            </w:r>
          </w:p>
        </w:tc>
        <w:tc>
          <w:tcPr>
            <w:tcW w:w="1176" w:type="pct"/>
            <w:tcBorders>
              <w:top w:val="nil"/>
              <w:left w:val="nil"/>
              <w:bottom w:val="nil"/>
              <w:right w:val="nil"/>
            </w:tcBorders>
            <w:shd w:val="clear" w:color="000000" w:fill="FFFFFF"/>
            <w:noWrap/>
            <w:vAlign w:val="center"/>
            <w:hideMark/>
          </w:tcPr>
          <w:p w14:paraId="76A79830" w14:textId="77777777" w:rsidR="0074135E" w:rsidRPr="0074135E" w:rsidRDefault="0074135E" w:rsidP="0074135E">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Holding</w:t>
            </w:r>
          </w:p>
        </w:tc>
        <w:tc>
          <w:tcPr>
            <w:tcW w:w="955" w:type="pct"/>
            <w:vAlign w:val="center"/>
          </w:tcPr>
          <w:p w14:paraId="0F39C549" w14:textId="40BAB605" w:rsidR="00DE63FD" w:rsidRPr="0074135E" w:rsidRDefault="00846E80" w:rsidP="00DE63FD">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100%</w:t>
            </w:r>
          </w:p>
        </w:tc>
        <w:tc>
          <w:tcPr>
            <w:tcW w:w="1030" w:type="pct"/>
            <w:tcBorders>
              <w:top w:val="nil"/>
              <w:left w:val="nil"/>
              <w:bottom w:val="nil"/>
              <w:right w:val="nil"/>
            </w:tcBorders>
            <w:shd w:val="clear" w:color="000000" w:fill="FFFFFF"/>
            <w:noWrap/>
            <w:vAlign w:val="center"/>
          </w:tcPr>
          <w:p w14:paraId="168662F9" w14:textId="28AE3645" w:rsidR="0074135E" w:rsidRPr="0074135E" w:rsidRDefault="00E55796" w:rsidP="0074135E">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100%</w:t>
            </w:r>
          </w:p>
        </w:tc>
      </w:tr>
      <w:tr w:rsidR="0074135E" w:rsidRPr="001C2C0D" w14:paraId="408F7DC5" w14:textId="77777777" w:rsidTr="00FC68C2">
        <w:trPr>
          <w:trHeight w:val="283"/>
        </w:trPr>
        <w:tc>
          <w:tcPr>
            <w:tcW w:w="1839" w:type="pct"/>
            <w:tcBorders>
              <w:top w:val="nil"/>
              <w:left w:val="nil"/>
              <w:bottom w:val="nil"/>
              <w:right w:val="nil"/>
            </w:tcBorders>
            <w:shd w:val="clear" w:color="000000" w:fill="FFFFFF"/>
            <w:noWrap/>
            <w:vAlign w:val="center"/>
            <w:hideMark/>
          </w:tcPr>
          <w:p w14:paraId="7042821C" w14:textId="77777777" w:rsidR="0074135E" w:rsidRPr="0074135E" w:rsidRDefault="0074135E" w:rsidP="0074135E">
            <w:pP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Caixa Corretora</w:t>
            </w:r>
          </w:p>
        </w:tc>
        <w:tc>
          <w:tcPr>
            <w:tcW w:w="1176" w:type="pct"/>
            <w:tcBorders>
              <w:top w:val="nil"/>
              <w:left w:val="nil"/>
              <w:bottom w:val="nil"/>
              <w:right w:val="nil"/>
            </w:tcBorders>
            <w:shd w:val="clear" w:color="000000" w:fill="FFFFFF"/>
            <w:noWrap/>
            <w:vAlign w:val="center"/>
            <w:hideMark/>
          </w:tcPr>
          <w:p w14:paraId="42865D8A" w14:textId="08F01F62" w:rsidR="0074135E" w:rsidRPr="0074135E" w:rsidRDefault="0074135E" w:rsidP="0074135E">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 xml:space="preserve">Corretora de </w:t>
            </w:r>
            <w:r w:rsidR="00841686">
              <w:rPr>
                <w:rFonts w:ascii="CAIXA Std Book" w:eastAsia="Times New Roman" w:hAnsi="CAIXA Std Book" w:cs="Calibri"/>
                <w:color w:val="005CA9"/>
                <w:sz w:val="16"/>
                <w:szCs w:val="16"/>
              </w:rPr>
              <w:t>s</w:t>
            </w:r>
            <w:r w:rsidRPr="0074135E">
              <w:rPr>
                <w:rFonts w:ascii="CAIXA Std Book" w:eastAsia="Times New Roman" w:hAnsi="CAIXA Std Book" w:cs="Calibri"/>
                <w:color w:val="005CA9"/>
                <w:sz w:val="16"/>
                <w:szCs w:val="16"/>
              </w:rPr>
              <w:t>eguros</w:t>
            </w:r>
          </w:p>
        </w:tc>
        <w:tc>
          <w:tcPr>
            <w:tcW w:w="955" w:type="pct"/>
            <w:vAlign w:val="center"/>
          </w:tcPr>
          <w:p w14:paraId="5B93C58A" w14:textId="55E5A84B" w:rsidR="00DE63FD" w:rsidRPr="0074135E" w:rsidRDefault="00846E80" w:rsidP="00DE63FD">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100%</w:t>
            </w:r>
          </w:p>
        </w:tc>
        <w:tc>
          <w:tcPr>
            <w:tcW w:w="1030" w:type="pct"/>
            <w:tcBorders>
              <w:top w:val="nil"/>
              <w:left w:val="nil"/>
              <w:bottom w:val="nil"/>
              <w:right w:val="nil"/>
            </w:tcBorders>
            <w:shd w:val="clear" w:color="000000" w:fill="FFFFFF"/>
            <w:noWrap/>
            <w:vAlign w:val="center"/>
          </w:tcPr>
          <w:p w14:paraId="37BF4A3B" w14:textId="3E64B4FB" w:rsidR="0074135E" w:rsidRPr="0074135E" w:rsidRDefault="00E55796" w:rsidP="0074135E">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100%</w:t>
            </w:r>
          </w:p>
        </w:tc>
      </w:tr>
      <w:tr w:rsidR="0074135E" w:rsidRPr="001C2C0D" w14:paraId="473B41F2" w14:textId="77777777" w:rsidTr="00FC68C2">
        <w:trPr>
          <w:trHeight w:val="283"/>
        </w:trPr>
        <w:tc>
          <w:tcPr>
            <w:tcW w:w="1839" w:type="pct"/>
            <w:tcBorders>
              <w:top w:val="nil"/>
              <w:left w:val="nil"/>
              <w:bottom w:val="nil"/>
              <w:right w:val="nil"/>
            </w:tcBorders>
            <w:shd w:val="clear" w:color="000000" w:fill="FFFFFF"/>
            <w:noWrap/>
            <w:vAlign w:val="center"/>
            <w:hideMark/>
          </w:tcPr>
          <w:p w14:paraId="5BD8BB37" w14:textId="77777777" w:rsidR="0074135E" w:rsidRPr="0074135E" w:rsidRDefault="0074135E" w:rsidP="0074135E">
            <w:pP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Fundo de Investimento CAIXA Extramercado Exclusivo Seguridade</w:t>
            </w:r>
          </w:p>
        </w:tc>
        <w:tc>
          <w:tcPr>
            <w:tcW w:w="1176" w:type="pct"/>
            <w:tcBorders>
              <w:top w:val="nil"/>
              <w:left w:val="nil"/>
              <w:bottom w:val="nil"/>
              <w:right w:val="nil"/>
            </w:tcBorders>
            <w:shd w:val="clear" w:color="000000" w:fill="FFFFFF"/>
            <w:noWrap/>
            <w:vAlign w:val="center"/>
            <w:hideMark/>
          </w:tcPr>
          <w:p w14:paraId="24932637" w14:textId="6F401488" w:rsidR="0074135E" w:rsidRPr="0074135E" w:rsidRDefault="0074135E" w:rsidP="0074135E">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 xml:space="preserve">Fundos de </w:t>
            </w:r>
            <w:r w:rsidR="00841686">
              <w:rPr>
                <w:rFonts w:ascii="CAIXA Std Book" w:eastAsia="Times New Roman" w:hAnsi="CAIXA Std Book" w:cs="Calibri"/>
                <w:color w:val="005CA9"/>
                <w:sz w:val="16"/>
                <w:szCs w:val="16"/>
              </w:rPr>
              <w:t>i</w:t>
            </w:r>
            <w:r w:rsidRPr="0074135E">
              <w:rPr>
                <w:rFonts w:ascii="CAIXA Std Book" w:eastAsia="Times New Roman" w:hAnsi="CAIXA Std Book" w:cs="Calibri"/>
                <w:color w:val="005CA9"/>
                <w:sz w:val="16"/>
                <w:szCs w:val="16"/>
              </w:rPr>
              <w:t>nvestimento</w:t>
            </w:r>
          </w:p>
        </w:tc>
        <w:tc>
          <w:tcPr>
            <w:tcW w:w="955" w:type="pct"/>
            <w:vAlign w:val="center"/>
          </w:tcPr>
          <w:p w14:paraId="3DE7A9DE" w14:textId="66763436" w:rsidR="00DE63FD" w:rsidRPr="0074135E" w:rsidRDefault="00846E80" w:rsidP="00DE63FD">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100% de participação</w:t>
            </w:r>
            <w:r>
              <w:rPr>
                <w:rFonts w:ascii="CAIXA Std Book" w:eastAsia="Times New Roman" w:hAnsi="CAIXA Std Book" w:cs="Calibri"/>
                <w:color w:val="005CA9"/>
                <w:sz w:val="16"/>
                <w:szCs w:val="16"/>
              </w:rPr>
              <w:t xml:space="preserve"> </w:t>
            </w:r>
            <w:r w:rsidRPr="0074135E">
              <w:rPr>
                <w:rFonts w:ascii="CAIXA Std Book" w:eastAsia="Times New Roman" w:hAnsi="CAIXA Std Book" w:cs="Calibri"/>
                <w:color w:val="005CA9"/>
                <w:sz w:val="16"/>
                <w:szCs w:val="16"/>
              </w:rPr>
              <w:t>da controlada</w:t>
            </w:r>
          </w:p>
        </w:tc>
        <w:tc>
          <w:tcPr>
            <w:tcW w:w="1030" w:type="pct"/>
            <w:tcBorders>
              <w:top w:val="nil"/>
              <w:left w:val="nil"/>
              <w:right w:val="nil"/>
            </w:tcBorders>
            <w:shd w:val="clear" w:color="000000" w:fill="FFFFFF"/>
            <w:noWrap/>
            <w:vAlign w:val="center"/>
          </w:tcPr>
          <w:p w14:paraId="3C2DE1C6" w14:textId="387FD8B3" w:rsidR="0074135E" w:rsidRPr="0074135E" w:rsidRDefault="00E55796" w:rsidP="0074135E">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100% de participação</w:t>
            </w:r>
            <w:r>
              <w:rPr>
                <w:rFonts w:ascii="CAIXA Std Book" w:eastAsia="Times New Roman" w:hAnsi="CAIXA Std Book" w:cs="Calibri"/>
                <w:color w:val="005CA9"/>
                <w:sz w:val="16"/>
                <w:szCs w:val="16"/>
              </w:rPr>
              <w:t xml:space="preserve"> </w:t>
            </w:r>
            <w:r w:rsidRPr="0074135E">
              <w:rPr>
                <w:rFonts w:ascii="CAIXA Std Book" w:eastAsia="Times New Roman" w:hAnsi="CAIXA Std Book" w:cs="Calibri"/>
                <w:color w:val="005CA9"/>
                <w:sz w:val="16"/>
                <w:szCs w:val="16"/>
              </w:rPr>
              <w:t>da controlada</w:t>
            </w:r>
          </w:p>
        </w:tc>
      </w:tr>
      <w:tr w:rsidR="0074135E" w:rsidRPr="001C2C0D" w14:paraId="46C5F1E9" w14:textId="77777777" w:rsidTr="00FC68C2">
        <w:trPr>
          <w:trHeight w:val="283"/>
        </w:trPr>
        <w:tc>
          <w:tcPr>
            <w:tcW w:w="1839" w:type="pct"/>
            <w:tcBorders>
              <w:top w:val="nil"/>
              <w:left w:val="nil"/>
              <w:bottom w:val="nil"/>
              <w:right w:val="nil"/>
            </w:tcBorders>
            <w:shd w:val="clear" w:color="000000" w:fill="FFFFFF"/>
            <w:noWrap/>
            <w:vAlign w:val="center"/>
            <w:hideMark/>
          </w:tcPr>
          <w:p w14:paraId="1EC57149" w14:textId="77777777" w:rsidR="0074135E" w:rsidRPr="0074135E" w:rsidRDefault="0074135E" w:rsidP="0074135E">
            <w:pP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Fundo de Investimento CAIXA Extramercado Exclusivo Corretora</w:t>
            </w:r>
          </w:p>
        </w:tc>
        <w:tc>
          <w:tcPr>
            <w:tcW w:w="1176" w:type="pct"/>
            <w:tcBorders>
              <w:top w:val="nil"/>
              <w:left w:val="nil"/>
              <w:bottom w:val="nil"/>
              <w:right w:val="nil"/>
            </w:tcBorders>
            <w:shd w:val="clear" w:color="000000" w:fill="FFFFFF"/>
            <w:noWrap/>
            <w:vAlign w:val="center"/>
            <w:hideMark/>
          </w:tcPr>
          <w:p w14:paraId="1797C5AE" w14:textId="7E56A812" w:rsidR="0074135E" w:rsidRPr="0074135E" w:rsidRDefault="0074135E" w:rsidP="0074135E">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 xml:space="preserve">Fundos de </w:t>
            </w:r>
            <w:r w:rsidR="00841686">
              <w:rPr>
                <w:rFonts w:ascii="CAIXA Std Book" w:eastAsia="Times New Roman" w:hAnsi="CAIXA Std Book" w:cs="Calibri"/>
                <w:color w:val="005CA9"/>
                <w:sz w:val="16"/>
                <w:szCs w:val="16"/>
              </w:rPr>
              <w:t>i</w:t>
            </w:r>
            <w:r w:rsidRPr="0074135E">
              <w:rPr>
                <w:rFonts w:ascii="CAIXA Std Book" w:eastAsia="Times New Roman" w:hAnsi="CAIXA Std Book" w:cs="Calibri"/>
                <w:color w:val="005CA9"/>
                <w:sz w:val="16"/>
                <w:szCs w:val="16"/>
              </w:rPr>
              <w:t>nvestimento</w:t>
            </w:r>
          </w:p>
        </w:tc>
        <w:tc>
          <w:tcPr>
            <w:tcW w:w="955" w:type="pct"/>
            <w:vAlign w:val="center"/>
          </w:tcPr>
          <w:p w14:paraId="10C1DA8A" w14:textId="5FBDFC31" w:rsidR="00DE63FD" w:rsidRPr="0074135E" w:rsidRDefault="00846E80" w:rsidP="00DE63FD">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100% de participação</w:t>
            </w:r>
            <w:r>
              <w:rPr>
                <w:rFonts w:ascii="CAIXA Std Book" w:eastAsia="Times New Roman" w:hAnsi="CAIXA Std Book" w:cs="Calibri"/>
                <w:color w:val="005CA9"/>
                <w:sz w:val="16"/>
                <w:szCs w:val="16"/>
              </w:rPr>
              <w:t xml:space="preserve"> </w:t>
            </w:r>
            <w:r w:rsidRPr="0074135E">
              <w:rPr>
                <w:rFonts w:ascii="CAIXA Std Book" w:eastAsia="Times New Roman" w:hAnsi="CAIXA Std Book" w:cs="Calibri"/>
                <w:color w:val="005CA9"/>
                <w:sz w:val="16"/>
                <w:szCs w:val="16"/>
              </w:rPr>
              <w:t>da controlada</w:t>
            </w:r>
          </w:p>
        </w:tc>
        <w:tc>
          <w:tcPr>
            <w:tcW w:w="1030" w:type="pct"/>
            <w:tcBorders>
              <w:top w:val="nil"/>
              <w:left w:val="nil"/>
              <w:right w:val="nil"/>
            </w:tcBorders>
            <w:shd w:val="clear" w:color="000000" w:fill="FFFFFF"/>
            <w:noWrap/>
            <w:vAlign w:val="center"/>
          </w:tcPr>
          <w:p w14:paraId="3487549E" w14:textId="1BA92ADD" w:rsidR="0074135E" w:rsidRPr="0074135E" w:rsidRDefault="00E55796" w:rsidP="0074135E">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100% de participação</w:t>
            </w:r>
            <w:r>
              <w:rPr>
                <w:rFonts w:ascii="CAIXA Std Book" w:eastAsia="Times New Roman" w:hAnsi="CAIXA Std Book" w:cs="Calibri"/>
                <w:color w:val="005CA9"/>
                <w:sz w:val="16"/>
                <w:szCs w:val="16"/>
              </w:rPr>
              <w:t xml:space="preserve"> </w:t>
            </w:r>
            <w:r w:rsidRPr="0074135E">
              <w:rPr>
                <w:rFonts w:ascii="CAIXA Std Book" w:eastAsia="Times New Roman" w:hAnsi="CAIXA Std Book" w:cs="Calibri"/>
                <w:color w:val="005CA9"/>
                <w:sz w:val="16"/>
                <w:szCs w:val="16"/>
              </w:rPr>
              <w:t>da controlada</w:t>
            </w:r>
          </w:p>
        </w:tc>
      </w:tr>
      <w:tr w:rsidR="0074135E" w:rsidRPr="001C2C0D" w14:paraId="2AA0E646" w14:textId="77777777" w:rsidTr="00FC68C2">
        <w:trPr>
          <w:trHeight w:val="283"/>
        </w:trPr>
        <w:tc>
          <w:tcPr>
            <w:tcW w:w="1839" w:type="pct"/>
            <w:tcBorders>
              <w:top w:val="nil"/>
              <w:left w:val="nil"/>
              <w:bottom w:val="nil"/>
              <w:right w:val="nil"/>
            </w:tcBorders>
            <w:shd w:val="clear" w:color="auto" w:fill="D0E0E3"/>
            <w:noWrap/>
            <w:vAlign w:val="center"/>
            <w:hideMark/>
          </w:tcPr>
          <w:p w14:paraId="5C66D219" w14:textId="77777777" w:rsidR="0074135E" w:rsidRPr="0074135E" w:rsidRDefault="0074135E" w:rsidP="0074135E">
            <w:pPr>
              <w:rPr>
                <w:rFonts w:ascii="CAIXA Std Book" w:eastAsia="Times New Roman" w:hAnsi="CAIXA Std Book" w:cs="Calibri"/>
                <w:b/>
                <w:bCs/>
                <w:color w:val="005CA9"/>
                <w:sz w:val="16"/>
                <w:szCs w:val="16"/>
              </w:rPr>
            </w:pPr>
            <w:r w:rsidRPr="0074135E">
              <w:rPr>
                <w:rFonts w:ascii="CAIXA Std Book" w:eastAsia="Times New Roman" w:hAnsi="CAIXA Std Book" w:cs="Calibri"/>
                <w:b/>
                <w:bCs/>
                <w:color w:val="005CA9"/>
                <w:sz w:val="16"/>
                <w:szCs w:val="16"/>
              </w:rPr>
              <w:t>Caixa Asset</w:t>
            </w:r>
          </w:p>
        </w:tc>
        <w:tc>
          <w:tcPr>
            <w:tcW w:w="1176" w:type="pct"/>
            <w:tcBorders>
              <w:top w:val="nil"/>
              <w:left w:val="nil"/>
              <w:bottom w:val="nil"/>
              <w:right w:val="nil"/>
            </w:tcBorders>
            <w:shd w:val="clear" w:color="auto" w:fill="D0E0E3"/>
            <w:noWrap/>
            <w:vAlign w:val="center"/>
            <w:hideMark/>
          </w:tcPr>
          <w:p w14:paraId="6F96FCFE" w14:textId="77777777" w:rsidR="0074135E" w:rsidRPr="0074135E" w:rsidRDefault="0074135E" w:rsidP="0074135E">
            <w:pPr>
              <w:jc w:val="center"/>
              <w:rPr>
                <w:rFonts w:ascii="CAIXA Std Book" w:eastAsia="Times New Roman" w:hAnsi="CAIXA Std Book" w:cs="Calibri"/>
                <w:b/>
                <w:bCs/>
                <w:color w:val="005CA9"/>
                <w:sz w:val="16"/>
                <w:szCs w:val="16"/>
              </w:rPr>
            </w:pPr>
            <w:r w:rsidRPr="0074135E">
              <w:rPr>
                <w:rFonts w:ascii="CAIXA Std Book" w:eastAsia="Times New Roman" w:hAnsi="CAIXA Std Book" w:cs="Calibri"/>
                <w:b/>
                <w:bCs/>
                <w:color w:val="005CA9"/>
                <w:sz w:val="16"/>
                <w:szCs w:val="16"/>
              </w:rPr>
              <w:t>Distribuição de títulos e valores mobiliários</w:t>
            </w:r>
          </w:p>
        </w:tc>
        <w:tc>
          <w:tcPr>
            <w:tcW w:w="955" w:type="pct"/>
            <w:shd w:val="clear" w:color="auto" w:fill="D0E0E3"/>
            <w:vAlign w:val="center"/>
          </w:tcPr>
          <w:p w14:paraId="3A8A5F61" w14:textId="1680D851" w:rsidR="00DE63FD" w:rsidRPr="0074135E" w:rsidRDefault="00846E80" w:rsidP="00DE63FD">
            <w:pPr>
              <w:jc w:val="center"/>
              <w:rPr>
                <w:rFonts w:ascii="CAIXA Std Book" w:eastAsia="Times New Roman" w:hAnsi="CAIXA Std Book" w:cs="Calibri"/>
                <w:b/>
                <w:bCs/>
                <w:color w:val="005CA9"/>
                <w:sz w:val="16"/>
                <w:szCs w:val="16"/>
              </w:rPr>
            </w:pPr>
            <w:r w:rsidRPr="0074135E">
              <w:rPr>
                <w:rFonts w:ascii="CAIXA Std Book" w:eastAsia="Times New Roman" w:hAnsi="CAIXA Std Book" w:cs="Calibri"/>
                <w:b/>
                <w:bCs/>
                <w:color w:val="005CA9"/>
                <w:sz w:val="16"/>
                <w:szCs w:val="16"/>
              </w:rPr>
              <w:t>100%</w:t>
            </w:r>
          </w:p>
        </w:tc>
        <w:tc>
          <w:tcPr>
            <w:tcW w:w="1030" w:type="pct"/>
            <w:tcBorders>
              <w:top w:val="nil"/>
              <w:left w:val="nil"/>
              <w:bottom w:val="nil"/>
              <w:right w:val="nil"/>
            </w:tcBorders>
            <w:shd w:val="clear" w:color="auto" w:fill="D0E0E3"/>
            <w:noWrap/>
            <w:vAlign w:val="center"/>
          </w:tcPr>
          <w:p w14:paraId="0E749C67" w14:textId="43DE1FF9" w:rsidR="0074135E" w:rsidRPr="0074135E" w:rsidRDefault="00E55796" w:rsidP="0074135E">
            <w:pPr>
              <w:jc w:val="center"/>
              <w:rPr>
                <w:rFonts w:ascii="CAIXA Std Book" w:eastAsia="Times New Roman" w:hAnsi="CAIXA Std Book" w:cs="Calibri"/>
                <w:b/>
                <w:bCs/>
                <w:color w:val="005CA9"/>
                <w:sz w:val="16"/>
                <w:szCs w:val="16"/>
              </w:rPr>
            </w:pPr>
            <w:r w:rsidRPr="0074135E">
              <w:rPr>
                <w:rFonts w:ascii="CAIXA Std Book" w:eastAsia="Times New Roman" w:hAnsi="CAIXA Std Book" w:cs="Calibri"/>
                <w:b/>
                <w:bCs/>
                <w:color w:val="005CA9"/>
                <w:sz w:val="16"/>
                <w:szCs w:val="16"/>
              </w:rPr>
              <w:t>100%</w:t>
            </w:r>
          </w:p>
        </w:tc>
      </w:tr>
      <w:tr w:rsidR="0074135E" w:rsidRPr="001C2C0D" w14:paraId="7C04B5A6" w14:textId="77777777" w:rsidTr="002E3102">
        <w:trPr>
          <w:trHeight w:val="283"/>
        </w:trPr>
        <w:tc>
          <w:tcPr>
            <w:tcW w:w="1839" w:type="pct"/>
            <w:tcBorders>
              <w:top w:val="nil"/>
              <w:left w:val="nil"/>
              <w:right w:val="nil"/>
            </w:tcBorders>
            <w:shd w:val="clear" w:color="000000" w:fill="FFFFFF"/>
            <w:noWrap/>
            <w:vAlign w:val="center"/>
            <w:hideMark/>
          </w:tcPr>
          <w:p w14:paraId="79AED083" w14:textId="77777777" w:rsidR="0074135E" w:rsidRPr="0074135E" w:rsidRDefault="0074135E" w:rsidP="0074135E">
            <w:pP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Fundo de Investimento CAIXA Ibirapuera Renda Fixa</w:t>
            </w:r>
          </w:p>
        </w:tc>
        <w:tc>
          <w:tcPr>
            <w:tcW w:w="1176" w:type="pct"/>
            <w:tcBorders>
              <w:top w:val="nil"/>
              <w:left w:val="nil"/>
              <w:right w:val="nil"/>
            </w:tcBorders>
            <w:shd w:val="clear" w:color="000000" w:fill="FFFFFF"/>
            <w:noWrap/>
            <w:vAlign w:val="center"/>
            <w:hideMark/>
          </w:tcPr>
          <w:p w14:paraId="42821D90" w14:textId="48917A63" w:rsidR="0074135E" w:rsidRPr="0074135E" w:rsidRDefault="0074135E" w:rsidP="0074135E">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 xml:space="preserve">Fundos de </w:t>
            </w:r>
            <w:r w:rsidR="00841686">
              <w:rPr>
                <w:rFonts w:ascii="CAIXA Std Book" w:eastAsia="Times New Roman" w:hAnsi="CAIXA Std Book" w:cs="Calibri"/>
                <w:color w:val="005CA9"/>
                <w:sz w:val="16"/>
                <w:szCs w:val="16"/>
              </w:rPr>
              <w:t>i</w:t>
            </w:r>
            <w:r w:rsidRPr="0074135E">
              <w:rPr>
                <w:rFonts w:ascii="CAIXA Std Book" w:eastAsia="Times New Roman" w:hAnsi="CAIXA Std Book" w:cs="Calibri"/>
                <w:color w:val="005CA9"/>
                <w:sz w:val="16"/>
                <w:szCs w:val="16"/>
              </w:rPr>
              <w:t>nvestimento</w:t>
            </w:r>
          </w:p>
        </w:tc>
        <w:tc>
          <w:tcPr>
            <w:tcW w:w="955" w:type="pct"/>
            <w:vAlign w:val="center"/>
          </w:tcPr>
          <w:p w14:paraId="3A62FA66" w14:textId="67F76035" w:rsidR="00F303D4" w:rsidRPr="0074135E" w:rsidRDefault="00846E80" w:rsidP="0074135E">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100% de participação</w:t>
            </w:r>
            <w:r>
              <w:rPr>
                <w:rFonts w:ascii="CAIXA Std Book" w:eastAsia="Times New Roman" w:hAnsi="CAIXA Std Book" w:cs="Calibri"/>
                <w:color w:val="005CA9"/>
                <w:sz w:val="16"/>
                <w:szCs w:val="16"/>
              </w:rPr>
              <w:t xml:space="preserve"> </w:t>
            </w:r>
            <w:r w:rsidRPr="0074135E">
              <w:rPr>
                <w:rFonts w:ascii="CAIXA Std Book" w:eastAsia="Times New Roman" w:hAnsi="CAIXA Std Book" w:cs="Calibri"/>
                <w:color w:val="005CA9"/>
                <w:sz w:val="16"/>
                <w:szCs w:val="16"/>
              </w:rPr>
              <w:t>da subsidiária</w:t>
            </w:r>
          </w:p>
        </w:tc>
        <w:tc>
          <w:tcPr>
            <w:tcW w:w="1030" w:type="pct"/>
            <w:tcBorders>
              <w:top w:val="nil"/>
              <w:left w:val="nil"/>
              <w:right w:val="nil"/>
            </w:tcBorders>
            <w:shd w:val="clear" w:color="000000" w:fill="FFFFFF"/>
            <w:noWrap/>
            <w:vAlign w:val="center"/>
          </w:tcPr>
          <w:p w14:paraId="14B4ED6A" w14:textId="3B7D7C6F" w:rsidR="0074135E" w:rsidRPr="0074135E" w:rsidRDefault="00E55796" w:rsidP="0074135E">
            <w:pPr>
              <w:jc w:val="center"/>
              <w:rPr>
                <w:rFonts w:ascii="CAIXA Std Book" w:eastAsia="Times New Roman" w:hAnsi="CAIXA Std Book" w:cs="Calibri"/>
                <w:color w:val="005CA9"/>
                <w:sz w:val="16"/>
                <w:szCs w:val="16"/>
              </w:rPr>
            </w:pPr>
            <w:r w:rsidRPr="0074135E">
              <w:rPr>
                <w:rFonts w:ascii="CAIXA Std Book" w:eastAsia="Times New Roman" w:hAnsi="CAIXA Std Book" w:cs="Calibri"/>
                <w:color w:val="005CA9"/>
                <w:sz w:val="16"/>
                <w:szCs w:val="16"/>
              </w:rPr>
              <w:t>100% de participação</w:t>
            </w:r>
            <w:r>
              <w:rPr>
                <w:rFonts w:ascii="CAIXA Std Book" w:eastAsia="Times New Roman" w:hAnsi="CAIXA Std Book" w:cs="Calibri"/>
                <w:color w:val="005CA9"/>
                <w:sz w:val="16"/>
                <w:szCs w:val="16"/>
              </w:rPr>
              <w:t xml:space="preserve"> </w:t>
            </w:r>
            <w:r w:rsidRPr="0074135E">
              <w:rPr>
                <w:rFonts w:ascii="CAIXA Std Book" w:eastAsia="Times New Roman" w:hAnsi="CAIXA Std Book" w:cs="Calibri"/>
                <w:color w:val="005CA9"/>
                <w:sz w:val="16"/>
                <w:szCs w:val="16"/>
              </w:rPr>
              <w:t>da subsidiária</w:t>
            </w:r>
          </w:p>
        </w:tc>
      </w:tr>
      <w:tr w:rsidR="0074135E" w:rsidRPr="001C2C0D" w14:paraId="176C97BE" w14:textId="77777777" w:rsidTr="002E3102">
        <w:trPr>
          <w:trHeight w:val="283"/>
        </w:trPr>
        <w:tc>
          <w:tcPr>
            <w:tcW w:w="1839" w:type="pct"/>
            <w:tcBorders>
              <w:top w:val="nil"/>
              <w:left w:val="nil"/>
              <w:bottom w:val="single" w:sz="4" w:space="0" w:color="FFFFFF" w:themeColor="background1"/>
              <w:right w:val="nil"/>
            </w:tcBorders>
            <w:shd w:val="clear" w:color="auto" w:fill="D0E0E3"/>
            <w:noWrap/>
            <w:vAlign w:val="center"/>
            <w:hideMark/>
          </w:tcPr>
          <w:p w14:paraId="385A56EB" w14:textId="77777777" w:rsidR="0074135E" w:rsidRPr="0074135E" w:rsidRDefault="0074135E" w:rsidP="0074135E">
            <w:pPr>
              <w:rPr>
                <w:rFonts w:ascii="CAIXA Std Book" w:eastAsia="Times New Roman" w:hAnsi="CAIXA Std Book" w:cs="Calibri"/>
                <w:b/>
                <w:bCs/>
                <w:color w:val="005CA9"/>
                <w:sz w:val="16"/>
                <w:szCs w:val="16"/>
              </w:rPr>
            </w:pPr>
            <w:r w:rsidRPr="0074135E">
              <w:rPr>
                <w:rFonts w:ascii="CAIXA Std Book" w:eastAsia="Times New Roman" w:hAnsi="CAIXA Std Book" w:cs="Calibri"/>
                <w:b/>
                <w:bCs/>
                <w:color w:val="005CA9"/>
                <w:sz w:val="16"/>
                <w:szCs w:val="16"/>
              </w:rPr>
              <w:t>Fundo de Investimento em Direitos Creditórios ACR IV</w:t>
            </w:r>
          </w:p>
        </w:tc>
        <w:tc>
          <w:tcPr>
            <w:tcW w:w="1176" w:type="pct"/>
            <w:tcBorders>
              <w:top w:val="nil"/>
              <w:left w:val="nil"/>
              <w:bottom w:val="single" w:sz="4" w:space="0" w:color="FFFFFF" w:themeColor="background1"/>
              <w:right w:val="nil"/>
            </w:tcBorders>
            <w:shd w:val="clear" w:color="auto" w:fill="D0E0E3"/>
            <w:noWrap/>
            <w:vAlign w:val="center"/>
            <w:hideMark/>
          </w:tcPr>
          <w:p w14:paraId="7CC557E6" w14:textId="794818F1" w:rsidR="0074135E" w:rsidRPr="0074135E" w:rsidRDefault="0074135E" w:rsidP="0074135E">
            <w:pPr>
              <w:jc w:val="center"/>
              <w:rPr>
                <w:rFonts w:ascii="CAIXA Std Book" w:eastAsia="Times New Roman" w:hAnsi="CAIXA Std Book" w:cs="Calibri"/>
                <w:b/>
                <w:bCs/>
                <w:color w:val="005CA9"/>
                <w:sz w:val="16"/>
                <w:szCs w:val="16"/>
              </w:rPr>
            </w:pPr>
            <w:r w:rsidRPr="0074135E">
              <w:rPr>
                <w:rFonts w:ascii="CAIXA Std Book" w:eastAsia="Times New Roman" w:hAnsi="CAIXA Std Book" w:cs="Calibri"/>
                <w:b/>
                <w:bCs/>
                <w:color w:val="005CA9"/>
                <w:sz w:val="16"/>
                <w:szCs w:val="16"/>
              </w:rPr>
              <w:t xml:space="preserve">Fundos de </w:t>
            </w:r>
            <w:r w:rsidR="00841686">
              <w:rPr>
                <w:rFonts w:ascii="CAIXA Std Book" w:eastAsia="Times New Roman" w:hAnsi="CAIXA Std Book" w:cs="Calibri"/>
                <w:b/>
                <w:bCs/>
                <w:color w:val="005CA9"/>
                <w:sz w:val="16"/>
                <w:szCs w:val="16"/>
              </w:rPr>
              <w:t>i</w:t>
            </w:r>
            <w:r w:rsidRPr="0074135E">
              <w:rPr>
                <w:rFonts w:ascii="CAIXA Std Book" w:eastAsia="Times New Roman" w:hAnsi="CAIXA Std Book" w:cs="Calibri"/>
                <w:b/>
                <w:bCs/>
                <w:color w:val="005CA9"/>
                <w:sz w:val="16"/>
                <w:szCs w:val="16"/>
              </w:rPr>
              <w:t>nvestimento</w:t>
            </w:r>
          </w:p>
        </w:tc>
        <w:tc>
          <w:tcPr>
            <w:tcW w:w="955" w:type="pct"/>
            <w:tcBorders>
              <w:bottom w:val="single" w:sz="4" w:space="0" w:color="FFFFFF" w:themeColor="background1"/>
            </w:tcBorders>
            <w:shd w:val="clear" w:color="auto" w:fill="D0E0E3"/>
            <w:vAlign w:val="center"/>
          </w:tcPr>
          <w:p w14:paraId="730FA9E5" w14:textId="20FFDD03" w:rsidR="00F303D4" w:rsidRPr="00120D13" w:rsidRDefault="00846E80" w:rsidP="0074135E">
            <w:pPr>
              <w:jc w:val="center"/>
              <w:rPr>
                <w:rFonts w:ascii="CAIXA Std Book" w:eastAsia="Times New Roman" w:hAnsi="CAIXA Std Book" w:cs="Calibri"/>
                <w:b/>
                <w:bCs/>
                <w:color w:val="005CA9"/>
                <w:sz w:val="16"/>
                <w:szCs w:val="16"/>
              </w:rPr>
            </w:pPr>
            <w:r w:rsidRPr="00120D13">
              <w:rPr>
                <w:rFonts w:ascii="CAIXA Std Book" w:eastAsia="Times New Roman" w:hAnsi="CAIXA Std Book" w:cs="Calibri"/>
                <w:b/>
                <w:bCs/>
                <w:color w:val="005CA9"/>
                <w:sz w:val="16"/>
                <w:szCs w:val="16"/>
              </w:rPr>
              <w:t>96,</w:t>
            </w:r>
            <w:r w:rsidR="00F660D6">
              <w:rPr>
                <w:rFonts w:ascii="CAIXA Std Book" w:eastAsia="Times New Roman" w:hAnsi="CAIXA Std Book" w:cs="Calibri"/>
                <w:b/>
                <w:bCs/>
                <w:color w:val="005CA9"/>
                <w:sz w:val="16"/>
                <w:szCs w:val="16"/>
              </w:rPr>
              <w:t>86</w:t>
            </w:r>
            <w:r w:rsidRPr="00120D13">
              <w:rPr>
                <w:rFonts w:ascii="CAIXA Std Book" w:eastAsia="Times New Roman" w:hAnsi="CAIXA Std Book" w:cs="Calibri"/>
                <w:b/>
                <w:bCs/>
                <w:color w:val="005CA9"/>
                <w:sz w:val="16"/>
                <w:szCs w:val="16"/>
              </w:rPr>
              <w:t>%</w:t>
            </w:r>
          </w:p>
        </w:tc>
        <w:tc>
          <w:tcPr>
            <w:tcW w:w="1030" w:type="pct"/>
            <w:tcBorders>
              <w:top w:val="nil"/>
              <w:left w:val="nil"/>
              <w:bottom w:val="single" w:sz="4" w:space="0" w:color="FFFFFF" w:themeColor="background1"/>
              <w:right w:val="nil"/>
            </w:tcBorders>
            <w:shd w:val="clear" w:color="auto" w:fill="D0E0E3"/>
            <w:noWrap/>
            <w:vAlign w:val="center"/>
          </w:tcPr>
          <w:p w14:paraId="39CA0D4A" w14:textId="4A1CCEF6" w:rsidR="0074135E" w:rsidRPr="0074135E" w:rsidRDefault="00120D13" w:rsidP="0074135E">
            <w:pPr>
              <w:jc w:val="center"/>
              <w:rPr>
                <w:rFonts w:ascii="CAIXA Std Book" w:eastAsia="Times New Roman" w:hAnsi="CAIXA Std Book" w:cs="Calibri"/>
                <w:b/>
                <w:bCs/>
                <w:color w:val="005CA9"/>
                <w:sz w:val="16"/>
                <w:szCs w:val="16"/>
              </w:rPr>
            </w:pPr>
            <w:r w:rsidRPr="00120D13">
              <w:rPr>
                <w:rFonts w:ascii="CAIXA Std Book" w:eastAsia="Times New Roman" w:hAnsi="CAIXA Std Book" w:cs="Calibri"/>
                <w:b/>
                <w:bCs/>
                <w:color w:val="005CA9"/>
                <w:sz w:val="16"/>
                <w:szCs w:val="16"/>
              </w:rPr>
              <w:t>96,90%</w:t>
            </w:r>
          </w:p>
        </w:tc>
      </w:tr>
      <w:tr w:rsidR="00132B8E" w:rsidRPr="001C2C0D" w14:paraId="18AD63E3" w14:textId="77777777" w:rsidTr="002E3102">
        <w:trPr>
          <w:trHeight w:val="283"/>
        </w:trPr>
        <w:tc>
          <w:tcPr>
            <w:tcW w:w="1839" w:type="pct"/>
            <w:tcBorders>
              <w:top w:val="single" w:sz="4" w:space="0" w:color="FFFFFF" w:themeColor="background1"/>
              <w:left w:val="nil"/>
              <w:bottom w:val="single" w:sz="4" w:space="0" w:color="1F497D" w:themeColor="text2"/>
              <w:right w:val="nil"/>
            </w:tcBorders>
            <w:shd w:val="clear" w:color="auto" w:fill="D0E0E3"/>
            <w:noWrap/>
            <w:vAlign w:val="center"/>
          </w:tcPr>
          <w:p w14:paraId="162B2B0B" w14:textId="2AF61E80" w:rsidR="00132B8E" w:rsidRPr="0074135E" w:rsidRDefault="00132B8E" w:rsidP="00132B8E">
            <w:pPr>
              <w:rPr>
                <w:rFonts w:ascii="CAIXA Std Book" w:eastAsia="Times New Roman" w:hAnsi="CAIXA Std Book" w:cs="Calibri"/>
                <w:b/>
                <w:bCs/>
                <w:color w:val="005CA9"/>
                <w:sz w:val="16"/>
                <w:szCs w:val="16"/>
              </w:rPr>
            </w:pPr>
            <w:r w:rsidRPr="00935BDE">
              <w:rPr>
                <w:rFonts w:ascii="CAIXA Std Book" w:eastAsia="Times New Roman" w:hAnsi="CAIXA Std Book" w:cs="Calibri"/>
                <w:b/>
                <w:bCs/>
                <w:color w:val="005CA9"/>
                <w:sz w:val="16"/>
                <w:szCs w:val="16"/>
              </w:rPr>
              <w:t>Fundo de Investimento em Direitos Creditórios Ânima C</w:t>
            </w:r>
            <w:r w:rsidR="00180B35">
              <w:rPr>
                <w:rFonts w:ascii="CAIXA Std Book" w:eastAsia="Times New Roman" w:hAnsi="CAIXA Std Book" w:cs="Calibri"/>
                <w:b/>
                <w:bCs/>
                <w:color w:val="005CA9"/>
                <w:sz w:val="16"/>
                <w:szCs w:val="16"/>
              </w:rPr>
              <w:t>ooasgo</w:t>
            </w:r>
          </w:p>
        </w:tc>
        <w:tc>
          <w:tcPr>
            <w:tcW w:w="1176" w:type="pct"/>
            <w:tcBorders>
              <w:top w:val="single" w:sz="4" w:space="0" w:color="FFFFFF" w:themeColor="background1"/>
              <w:left w:val="nil"/>
              <w:bottom w:val="single" w:sz="4" w:space="0" w:color="1F497D" w:themeColor="text2"/>
              <w:right w:val="nil"/>
            </w:tcBorders>
            <w:shd w:val="clear" w:color="auto" w:fill="D0E0E3"/>
            <w:noWrap/>
            <w:vAlign w:val="center"/>
          </w:tcPr>
          <w:p w14:paraId="111F06DC" w14:textId="211B04DE" w:rsidR="00132B8E" w:rsidRPr="0074135E" w:rsidRDefault="00132B8E" w:rsidP="00132B8E">
            <w:pPr>
              <w:jc w:val="center"/>
              <w:rPr>
                <w:rFonts w:ascii="CAIXA Std Book" w:eastAsia="Times New Roman" w:hAnsi="CAIXA Std Book" w:cs="Calibri"/>
                <w:b/>
                <w:bCs/>
                <w:color w:val="005CA9"/>
                <w:sz w:val="16"/>
                <w:szCs w:val="16"/>
              </w:rPr>
            </w:pPr>
            <w:r w:rsidRPr="0074135E">
              <w:rPr>
                <w:rFonts w:ascii="CAIXA Std Book" w:eastAsia="Times New Roman" w:hAnsi="CAIXA Std Book" w:cs="Calibri"/>
                <w:b/>
                <w:bCs/>
                <w:color w:val="005CA9"/>
                <w:sz w:val="16"/>
                <w:szCs w:val="16"/>
              </w:rPr>
              <w:t xml:space="preserve">Fundos de </w:t>
            </w:r>
            <w:r w:rsidR="00841686">
              <w:rPr>
                <w:rFonts w:ascii="CAIXA Std Book" w:eastAsia="Times New Roman" w:hAnsi="CAIXA Std Book" w:cs="Calibri"/>
                <w:b/>
                <w:bCs/>
                <w:color w:val="005CA9"/>
                <w:sz w:val="16"/>
                <w:szCs w:val="16"/>
              </w:rPr>
              <w:t>i</w:t>
            </w:r>
            <w:r w:rsidRPr="0074135E">
              <w:rPr>
                <w:rFonts w:ascii="CAIXA Std Book" w:eastAsia="Times New Roman" w:hAnsi="CAIXA Std Book" w:cs="Calibri"/>
                <w:b/>
                <w:bCs/>
                <w:color w:val="005CA9"/>
                <w:sz w:val="16"/>
                <w:szCs w:val="16"/>
              </w:rPr>
              <w:t>nvestimento</w:t>
            </w:r>
          </w:p>
        </w:tc>
        <w:tc>
          <w:tcPr>
            <w:tcW w:w="955" w:type="pct"/>
            <w:tcBorders>
              <w:top w:val="single" w:sz="4" w:space="0" w:color="FFFFFF" w:themeColor="background1"/>
              <w:bottom w:val="single" w:sz="4" w:space="0" w:color="1F497D" w:themeColor="text2"/>
            </w:tcBorders>
            <w:shd w:val="clear" w:color="auto" w:fill="D0E0E3"/>
            <w:vAlign w:val="center"/>
          </w:tcPr>
          <w:p w14:paraId="3BE37340" w14:textId="4FB40A97" w:rsidR="00F303D4" w:rsidRPr="00120D13" w:rsidRDefault="00846E80" w:rsidP="00132B8E">
            <w:pPr>
              <w:jc w:val="center"/>
              <w:rPr>
                <w:rFonts w:ascii="CAIXA Std Book" w:eastAsia="Times New Roman" w:hAnsi="CAIXA Std Book" w:cs="Calibri"/>
                <w:b/>
                <w:bCs/>
                <w:color w:val="005CA9"/>
                <w:sz w:val="16"/>
                <w:szCs w:val="16"/>
              </w:rPr>
            </w:pPr>
            <w:r w:rsidRPr="00120D13">
              <w:rPr>
                <w:rFonts w:ascii="CAIXA Std Book" w:eastAsia="Times New Roman" w:hAnsi="CAIXA Std Book" w:cs="Calibri"/>
                <w:b/>
                <w:bCs/>
                <w:color w:val="005CA9"/>
                <w:sz w:val="16"/>
                <w:szCs w:val="16"/>
              </w:rPr>
              <w:t>6</w:t>
            </w:r>
            <w:r w:rsidR="00AD6C29">
              <w:rPr>
                <w:rFonts w:ascii="CAIXA Std Book" w:eastAsia="Times New Roman" w:hAnsi="CAIXA Std Book" w:cs="Calibri"/>
                <w:b/>
                <w:bCs/>
                <w:color w:val="005CA9"/>
                <w:sz w:val="16"/>
                <w:szCs w:val="16"/>
              </w:rPr>
              <w:t>7</w:t>
            </w:r>
            <w:r w:rsidRPr="00120D13">
              <w:rPr>
                <w:rFonts w:ascii="CAIXA Std Book" w:eastAsia="Times New Roman" w:hAnsi="CAIXA Std Book" w:cs="Calibri"/>
                <w:b/>
                <w:bCs/>
                <w:color w:val="005CA9"/>
                <w:sz w:val="16"/>
                <w:szCs w:val="16"/>
              </w:rPr>
              <w:t>,</w:t>
            </w:r>
            <w:r w:rsidR="00656F36">
              <w:rPr>
                <w:rFonts w:ascii="CAIXA Std Book" w:eastAsia="Times New Roman" w:hAnsi="CAIXA Std Book" w:cs="Calibri"/>
                <w:b/>
                <w:bCs/>
                <w:color w:val="005CA9"/>
                <w:sz w:val="16"/>
                <w:szCs w:val="16"/>
              </w:rPr>
              <w:t>35</w:t>
            </w:r>
            <w:r w:rsidRPr="00120D13">
              <w:rPr>
                <w:rFonts w:ascii="CAIXA Std Book" w:eastAsia="Times New Roman" w:hAnsi="CAIXA Std Book" w:cs="Calibri"/>
                <w:b/>
                <w:bCs/>
                <w:color w:val="005CA9"/>
                <w:sz w:val="16"/>
                <w:szCs w:val="16"/>
              </w:rPr>
              <w:t>%</w:t>
            </w:r>
          </w:p>
        </w:tc>
        <w:tc>
          <w:tcPr>
            <w:tcW w:w="1030" w:type="pct"/>
            <w:tcBorders>
              <w:top w:val="single" w:sz="4" w:space="0" w:color="FFFFFF" w:themeColor="background1"/>
              <w:left w:val="nil"/>
              <w:bottom w:val="single" w:sz="4" w:space="0" w:color="1F497D" w:themeColor="text2"/>
              <w:right w:val="nil"/>
            </w:tcBorders>
            <w:shd w:val="clear" w:color="auto" w:fill="D0E0E3"/>
            <w:noWrap/>
            <w:vAlign w:val="center"/>
          </w:tcPr>
          <w:p w14:paraId="6E56F2CC" w14:textId="06692041" w:rsidR="00132B8E" w:rsidRDefault="00120D13" w:rsidP="00132B8E">
            <w:pPr>
              <w:jc w:val="center"/>
              <w:rPr>
                <w:rFonts w:ascii="CAIXA Std Book" w:eastAsia="Times New Roman" w:hAnsi="CAIXA Std Book" w:cs="Calibri"/>
                <w:b/>
                <w:bCs/>
                <w:color w:val="005CA9"/>
                <w:sz w:val="16"/>
                <w:szCs w:val="16"/>
              </w:rPr>
            </w:pPr>
            <w:r w:rsidRPr="00120D13">
              <w:rPr>
                <w:rFonts w:ascii="CAIXA Std Book" w:eastAsia="Times New Roman" w:hAnsi="CAIXA Std Book" w:cs="Calibri"/>
                <w:b/>
                <w:bCs/>
                <w:color w:val="005CA9"/>
                <w:sz w:val="16"/>
                <w:szCs w:val="16"/>
              </w:rPr>
              <w:t>68,47%</w:t>
            </w:r>
          </w:p>
        </w:tc>
      </w:tr>
    </w:tbl>
    <w:p w14:paraId="69BCE532" w14:textId="61517B52" w:rsidR="005F7035" w:rsidRPr="00B04D8D" w:rsidRDefault="005D7696" w:rsidP="00E11B46">
      <w:pPr>
        <w:spacing w:before="240" w:after="120"/>
        <w:jc w:val="both"/>
        <w:rPr>
          <w:rFonts w:ascii="CAIXA Std Book" w:hAnsi="CAIXA Std Book"/>
          <w:color w:val="005CA9"/>
          <w:sz w:val="20"/>
          <w:szCs w:val="20"/>
        </w:rPr>
      </w:pPr>
      <w:r w:rsidRPr="005D7696">
        <w:rPr>
          <w:rFonts w:ascii="CAIXA Std Book" w:hAnsi="CAIXA Std Book"/>
          <w:color w:val="005CA9"/>
          <w:sz w:val="20"/>
          <w:szCs w:val="20"/>
        </w:rPr>
        <w:lastRenderedPageBreak/>
        <w:t xml:space="preserve">Consideram-se entidades </w:t>
      </w:r>
      <w:r w:rsidR="005F7035" w:rsidRPr="00B04D8D">
        <w:rPr>
          <w:rFonts w:ascii="CAIXA Std Book" w:hAnsi="CAIXA Std Book"/>
          <w:color w:val="005CA9"/>
          <w:sz w:val="20"/>
          <w:szCs w:val="20"/>
        </w:rPr>
        <w:t xml:space="preserve">controladas </w:t>
      </w:r>
      <w:r w:rsidRPr="005D7696">
        <w:rPr>
          <w:rFonts w:ascii="CAIXA Std Book" w:hAnsi="CAIXA Std Book"/>
          <w:color w:val="005CA9"/>
          <w:sz w:val="20"/>
          <w:szCs w:val="20"/>
        </w:rPr>
        <w:t xml:space="preserve">aquelas sobre </w:t>
      </w:r>
      <w:r w:rsidR="005F7035" w:rsidRPr="00B04D8D">
        <w:rPr>
          <w:rFonts w:ascii="CAIXA Std Book" w:hAnsi="CAIXA Std Book"/>
          <w:color w:val="005CA9"/>
          <w:sz w:val="20"/>
          <w:szCs w:val="20"/>
        </w:rPr>
        <w:t xml:space="preserve">as quais a CAIXA </w:t>
      </w:r>
      <w:r w:rsidRPr="005D7696">
        <w:rPr>
          <w:rFonts w:ascii="CAIXA Std Book" w:hAnsi="CAIXA Std Book"/>
          <w:color w:val="005CA9"/>
          <w:sz w:val="20"/>
          <w:szCs w:val="20"/>
        </w:rPr>
        <w:t xml:space="preserve">possui poder, </w:t>
      </w:r>
      <w:r w:rsidR="005F7035" w:rsidRPr="00B04D8D">
        <w:rPr>
          <w:rFonts w:ascii="CAIXA Std Book" w:hAnsi="CAIXA Std Book"/>
          <w:color w:val="005CA9"/>
          <w:sz w:val="20"/>
          <w:szCs w:val="20"/>
        </w:rPr>
        <w:t xml:space="preserve">está exposta ou tem direitos a retornos variáveis </w:t>
      </w:r>
      <w:r w:rsidRPr="005D7696">
        <w:rPr>
          <w:rFonts w:ascii="CAIXA Std Book" w:hAnsi="CAIXA Std Book"/>
          <w:color w:val="005CA9"/>
          <w:sz w:val="20"/>
          <w:szCs w:val="20"/>
        </w:rPr>
        <w:t xml:space="preserve">decorrentes </w:t>
      </w:r>
      <w:r w:rsidR="005F7035" w:rsidRPr="00B04D8D">
        <w:rPr>
          <w:rFonts w:ascii="CAIXA Std Book" w:hAnsi="CAIXA Std Book"/>
          <w:color w:val="005CA9"/>
          <w:sz w:val="20"/>
          <w:szCs w:val="20"/>
        </w:rPr>
        <w:t>de seu envolvimento</w:t>
      </w:r>
      <w:r w:rsidRPr="005D7696">
        <w:rPr>
          <w:rFonts w:ascii="CAIXA Std Book" w:hAnsi="CAIXA Std Book"/>
          <w:color w:val="005CA9"/>
          <w:sz w:val="20"/>
          <w:szCs w:val="20"/>
        </w:rPr>
        <w:t>,</w:t>
      </w:r>
      <w:r w:rsidR="005F7035" w:rsidRPr="00B04D8D">
        <w:rPr>
          <w:rFonts w:ascii="CAIXA Std Book" w:hAnsi="CAIXA Std Book"/>
          <w:color w:val="005CA9"/>
          <w:sz w:val="20"/>
          <w:szCs w:val="20"/>
        </w:rPr>
        <w:t xml:space="preserve"> e </w:t>
      </w:r>
      <w:r w:rsidRPr="005D7696">
        <w:rPr>
          <w:rFonts w:ascii="CAIXA Std Book" w:hAnsi="CAIXA Std Book"/>
          <w:color w:val="005CA9"/>
          <w:sz w:val="20"/>
          <w:szCs w:val="20"/>
        </w:rPr>
        <w:t>é capaz</w:t>
      </w:r>
      <w:r w:rsidR="005F7035" w:rsidRPr="00B04D8D">
        <w:rPr>
          <w:rFonts w:ascii="CAIXA Std Book" w:hAnsi="CAIXA Std Book"/>
          <w:color w:val="005CA9"/>
          <w:sz w:val="20"/>
          <w:szCs w:val="20"/>
        </w:rPr>
        <w:t xml:space="preserve"> de </w:t>
      </w:r>
      <w:r w:rsidRPr="005D7696">
        <w:rPr>
          <w:rFonts w:ascii="CAIXA Std Book" w:hAnsi="CAIXA Std Book"/>
          <w:color w:val="005CA9"/>
          <w:sz w:val="20"/>
          <w:szCs w:val="20"/>
        </w:rPr>
        <w:t>exercer influência sobre tais</w:t>
      </w:r>
      <w:r w:rsidR="005F7035" w:rsidRPr="00B04D8D">
        <w:rPr>
          <w:rFonts w:ascii="CAIXA Std Book" w:hAnsi="CAIXA Std Book"/>
          <w:color w:val="005CA9"/>
          <w:sz w:val="20"/>
          <w:szCs w:val="20"/>
        </w:rPr>
        <w:t xml:space="preserve"> retornos </w:t>
      </w:r>
      <w:r w:rsidRPr="005D7696">
        <w:rPr>
          <w:rFonts w:ascii="CAIXA Std Book" w:hAnsi="CAIXA Std Book"/>
          <w:color w:val="005CA9"/>
          <w:sz w:val="20"/>
          <w:szCs w:val="20"/>
        </w:rPr>
        <w:t>por meio do referido poder.</w:t>
      </w:r>
      <w:r w:rsidR="005F7035" w:rsidRPr="00B04D8D">
        <w:rPr>
          <w:rFonts w:ascii="CAIXA Std Book" w:hAnsi="CAIXA Std Book"/>
          <w:color w:val="005CA9"/>
          <w:sz w:val="20"/>
          <w:szCs w:val="20"/>
        </w:rPr>
        <w:t xml:space="preserve"> As entidades controladas são consolidadas a partir da data em que o controle é estabelecido até a data em que o controle deixa de existir</w:t>
      </w:r>
      <w:r w:rsidR="00F05806">
        <w:rPr>
          <w:rFonts w:ascii="CAIXA Std Book" w:hAnsi="CAIXA Std Book"/>
          <w:color w:val="005CA9"/>
          <w:sz w:val="20"/>
          <w:szCs w:val="20"/>
        </w:rPr>
        <w:t xml:space="preserve"> e a</w:t>
      </w:r>
      <w:r w:rsidR="00F05806" w:rsidRPr="00B04D8D">
        <w:rPr>
          <w:rFonts w:ascii="CAIXA Std Book" w:hAnsi="CAIXA Std Book"/>
          <w:color w:val="005CA9"/>
          <w:sz w:val="20"/>
          <w:szCs w:val="20"/>
        </w:rPr>
        <w:t xml:space="preserve"> avaliação de controle é realizada de forma contínua</w:t>
      </w:r>
      <w:r w:rsidR="00F05806">
        <w:rPr>
          <w:rFonts w:ascii="CAIXA Std Book" w:hAnsi="CAIXA Std Book"/>
          <w:color w:val="005CA9"/>
          <w:sz w:val="20"/>
          <w:szCs w:val="20"/>
        </w:rPr>
        <w:t>.</w:t>
      </w:r>
    </w:p>
    <w:p w14:paraId="23130050" w14:textId="07CA5E89" w:rsidR="000B1CE0" w:rsidRPr="00B04D8D" w:rsidRDefault="000B1CE0" w:rsidP="000B1CE0">
      <w:pPr>
        <w:spacing w:before="120" w:after="120"/>
        <w:jc w:val="both"/>
        <w:rPr>
          <w:rFonts w:ascii="CAIXA Std Book" w:hAnsi="CAIXA Std Book"/>
          <w:color w:val="005CA9"/>
          <w:sz w:val="20"/>
          <w:szCs w:val="20"/>
        </w:rPr>
      </w:pPr>
      <w:r w:rsidRPr="00B04D8D">
        <w:rPr>
          <w:rFonts w:ascii="CAIXA Std Book" w:hAnsi="CAIXA Std Book"/>
          <w:color w:val="005CA9"/>
          <w:sz w:val="20"/>
          <w:szCs w:val="20"/>
        </w:rPr>
        <w:t>As demonstrações contábeis</w:t>
      </w:r>
      <w:r>
        <w:rPr>
          <w:rFonts w:ascii="CAIXA Std Book" w:hAnsi="CAIXA Std Book"/>
          <w:color w:val="005CA9"/>
          <w:sz w:val="20"/>
          <w:szCs w:val="20"/>
        </w:rPr>
        <w:t xml:space="preserve"> </w:t>
      </w:r>
      <w:r w:rsidRPr="00B04D8D">
        <w:rPr>
          <w:rFonts w:ascii="CAIXA Std Book" w:hAnsi="CAIXA Std Book"/>
          <w:color w:val="005CA9"/>
          <w:sz w:val="20"/>
          <w:szCs w:val="20"/>
        </w:rPr>
        <w:t>consolidadas para o período findo em 3</w:t>
      </w:r>
      <w:r>
        <w:rPr>
          <w:rFonts w:ascii="CAIXA Std Book" w:hAnsi="CAIXA Std Book"/>
          <w:color w:val="005CA9"/>
          <w:sz w:val="20"/>
          <w:szCs w:val="20"/>
        </w:rPr>
        <w:t>1</w:t>
      </w:r>
      <w:r w:rsidRPr="00B04D8D">
        <w:rPr>
          <w:rFonts w:ascii="CAIXA Std Book" w:hAnsi="CAIXA Std Book"/>
          <w:color w:val="005CA9"/>
          <w:sz w:val="20"/>
          <w:szCs w:val="20"/>
        </w:rPr>
        <w:t xml:space="preserve"> de </w:t>
      </w:r>
      <w:r w:rsidR="00D5155D">
        <w:rPr>
          <w:rFonts w:ascii="CAIXA Std Book" w:hAnsi="CAIXA Std Book"/>
          <w:color w:val="005CA9"/>
          <w:sz w:val="20"/>
          <w:szCs w:val="20"/>
        </w:rPr>
        <w:t>março</w:t>
      </w:r>
      <w:r w:rsidRPr="00B04D8D">
        <w:rPr>
          <w:rFonts w:ascii="CAIXA Std Book" w:hAnsi="CAIXA Std Book"/>
          <w:color w:val="005CA9"/>
          <w:sz w:val="20"/>
          <w:szCs w:val="20"/>
        </w:rPr>
        <w:t xml:space="preserve"> de 202</w:t>
      </w:r>
      <w:r w:rsidR="00D5155D">
        <w:rPr>
          <w:rFonts w:ascii="CAIXA Std Book" w:hAnsi="CAIXA Std Book"/>
          <w:color w:val="005CA9"/>
          <w:sz w:val="20"/>
          <w:szCs w:val="20"/>
        </w:rPr>
        <w:t>6</w:t>
      </w:r>
      <w:r w:rsidRPr="00B04D8D">
        <w:rPr>
          <w:rFonts w:ascii="CAIXA Std Book" w:hAnsi="CAIXA Std Book"/>
          <w:color w:val="005CA9"/>
          <w:sz w:val="20"/>
          <w:szCs w:val="20"/>
        </w:rPr>
        <w:t xml:space="preserve">, foram elaboradas de acordo com as práticas contábeis adotadas no Brasil aplicáveis às instituições autorizadas a funcionar pelo Banco Central do Brasil, e estão sendo apresentadas de maneira adicional, </w:t>
      </w:r>
      <w:r w:rsidRPr="00955AA1">
        <w:rPr>
          <w:rFonts w:ascii="CAIXA Std Book" w:hAnsi="CAIXA Std Book"/>
          <w:color w:val="005CA9"/>
          <w:sz w:val="20"/>
          <w:szCs w:val="20"/>
        </w:rPr>
        <w:t xml:space="preserve">conforme faculdade prevista no art. nº 77 da Resolução CMN nº 4.966/2021 e art. </w:t>
      </w:r>
      <w:r>
        <w:rPr>
          <w:rFonts w:ascii="CAIXA Std Book" w:hAnsi="CAIXA Std Book"/>
          <w:color w:val="005CA9"/>
          <w:sz w:val="20"/>
          <w:szCs w:val="20"/>
        </w:rPr>
        <w:t>n</w:t>
      </w:r>
      <w:r w:rsidRPr="00955AA1">
        <w:rPr>
          <w:rFonts w:ascii="CAIXA Std Book" w:hAnsi="CAIXA Std Book"/>
          <w:color w:val="005CA9"/>
          <w:sz w:val="20"/>
          <w:szCs w:val="20"/>
        </w:rPr>
        <w:t xml:space="preserve">º 100 da Resolução BCB n° 352/2023 às demonstrações contábeis consolidadas </w:t>
      </w:r>
      <w:r>
        <w:rPr>
          <w:rFonts w:ascii="CAIXA Std Book" w:hAnsi="CAIXA Std Book"/>
          <w:color w:val="005CA9"/>
          <w:sz w:val="20"/>
          <w:szCs w:val="20"/>
        </w:rPr>
        <w:t xml:space="preserve">preparadas </w:t>
      </w:r>
      <w:r w:rsidRPr="00955AA1">
        <w:rPr>
          <w:rFonts w:ascii="CAIXA Std Book" w:hAnsi="CAIXA Std Book"/>
          <w:color w:val="005CA9"/>
          <w:sz w:val="20"/>
          <w:szCs w:val="20"/>
        </w:rPr>
        <w:t xml:space="preserve">de acordo com </w:t>
      </w:r>
      <w:r>
        <w:rPr>
          <w:rFonts w:ascii="CAIXA Std Book" w:hAnsi="CAIXA Std Book"/>
          <w:color w:val="005CA9"/>
          <w:sz w:val="20"/>
          <w:szCs w:val="20"/>
        </w:rPr>
        <w:t>a norma internacional de contabilidade</w:t>
      </w:r>
      <w:r w:rsidRPr="00ED0724">
        <w:rPr>
          <w:rFonts w:ascii="CAIXA Std Book" w:hAnsi="CAIXA Std Book"/>
          <w:color w:val="005CA9"/>
          <w:sz w:val="20"/>
          <w:szCs w:val="20"/>
        </w:rPr>
        <w:t xml:space="preserve"> até o exercício de 2027.</w:t>
      </w:r>
    </w:p>
    <w:p w14:paraId="4C717692" w14:textId="14E1D1A7" w:rsidR="005F7035" w:rsidRPr="00B04D8D" w:rsidRDefault="005F7035" w:rsidP="00E11B46">
      <w:pPr>
        <w:spacing w:before="120" w:after="120"/>
        <w:jc w:val="both"/>
        <w:rPr>
          <w:rFonts w:ascii="CAIXA Std Book" w:hAnsi="CAIXA Std Book"/>
          <w:color w:val="005CA9"/>
          <w:sz w:val="20"/>
          <w:szCs w:val="20"/>
        </w:rPr>
      </w:pPr>
      <w:r w:rsidRPr="00B04D8D">
        <w:rPr>
          <w:rFonts w:ascii="CAIXA Std Book" w:hAnsi="CAIXA Std Book"/>
          <w:color w:val="005CA9"/>
          <w:sz w:val="20"/>
          <w:szCs w:val="20"/>
        </w:rPr>
        <w:t>As demonstrações contábeis</w:t>
      </w:r>
      <w:r w:rsidR="00431FBC" w:rsidRPr="00B04D8D">
        <w:rPr>
          <w:rFonts w:ascii="CAIXA Std Book" w:hAnsi="CAIXA Std Book"/>
          <w:color w:val="005CA9"/>
          <w:sz w:val="20"/>
          <w:szCs w:val="20"/>
        </w:rPr>
        <w:t xml:space="preserve"> </w:t>
      </w:r>
      <w:r w:rsidR="00BA29E3">
        <w:rPr>
          <w:rFonts w:ascii="CAIXA Std Book" w:hAnsi="CAIXA Std Book"/>
          <w:color w:val="005CA9"/>
          <w:sz w:val="20"/>
          <w:szCs w:val="20"/>
        </w:rPr>
        <w:t xml:space="preserve">individuais e </w:t>
      </w:r>
      <w:r w:rsidR="00431FBC" w:rsidRPr="00B04D8D">
        <w:rPr>
          <w:rFonts w:ascii="CAIXA Std Book" w:hAnsi="CAIXA Std Book"/>
          <w:color w:val="005CA9"/>
          <w:sz w:val="20"/>
          <w:szCs w:val="20"/>
        </w:rPr>
        <w:t>c</w:t>
      </w:r>
      <w:r w:rsidRPr="00B04D8D">
        <w:rPr>
          <w:rFonts w:ascii="CAIXA Std Book" w:hAnsi="CAIXA Std Book"/>
          <w:color w:val="005CA9"/>
          <w:sz w:val="20"/>
          <w:szCs w:val="20"/>
        </w:rPr>
        <w:t>onsolidadas são preparadas utilizando práticas contábeis uniformes</w:t>
      </w:r>
      <w:r w:rsidR="002E4223" w:rsidRPr="00B04D8D">
        <w:rPr>
          <w:rFonts w:ascii="CAIXA Std Book" w:hAnsi="CAIXA Std Book"/>
          <w:color w:val="005CA9"/>
          <w:sz w:val="20"/>
          <w:szCs w:val="20"/>
        </w:rPr>
        <w:t xml:space="preserve">. </w:t>
      </w:r>
      <w:r w:rsidRPr="00B04D8D">
        <w:rPr>
          <w:rFonts w:ascii="CAIXA Std Book" w:hAnsi="CAIXA Std Book"/>
          <w:color w:val="005CA9"/>
          <w:sz w:val="20"/>
          <w:szCs w:val="20"/>
        </w:rPr>
        <w:t>Os saldos das contas patrimoniais e de resultado e os valores das transações entre as empresas consolidadas são eliminados.</w:t>
      </w:r>
    </w:p>
    <w:p w14:paraId="39EBA885" w14:textId="5A5ED5DC" w:rsidR="007E0B08" w:rsidRPr="00B04D8D" w:rsidRDefault="007E0B08" w:rsidP="00DA4F30">
      <w:pPr>
        <w:spacing w:before="120" w:after="120"/>
        <w:jc w:val="both"/>
        <w:rPr>
          <w:rFonts w:ascii="CAIXA Std Book" w:hAnsi="CAIXA Std Book"/>
          <w:color w:val="005CA9"/>
          <w:sz w:val="20"/>
          <w:szCs w:val="20"/>
        </w:rPr>
      </w:pPr>
      <w:r w:rsidRPr="00B04D8D">
        <w:rPr>
          <w:rFonts w:ascii="CAIXA Std Book" w:hAnsi="CAIXA Std Book"/>
          <w:color w:val="005CA9"/>
          <w:sz w:val="20"/>
          <w:szCs w:val="20"/>
        </w:rPr>
        <w:t xml:space="preserve">As empresas </w:t>
      </w:r>
      <w:r w:rsidR="002F13AB" w:rsidRPr="00B04D8D">
        <w:rPr>
          <w:rFonts w:ascii="CAIXA Std Book" w:hAnsi="CAIXA Std Book"/>
          <w:color w:val="005CA9"/>
          <w:sz w:val="20"/>
          <w:szCs w:val="20"/>
        </w:rPr>
        <w:t xml:space="preserve">em </w:t>
      </w:r>
      <w:r w:rsidRPr="00B04D8D">
        <w:rPr>
          <w:rFonts w:ascii="CAIXA Std Book" w:hAnsi="CAIXA Std Book"/>
          <w:color w:val="005CA9"/>
          <w:sz w:val="20"/>
          <w:szCs w:val="20"/>
        </w:rPr>
        <w:t xml:space="preserve">que o conglomerado CAIXA </w:t>
      </w:r>
      <w:r w:rsidR="006C4108" w:rsidRPr="00B04D8D">
        <w:rPr>
          <w:rFonts w:ascii="CAIXA Std Book" w:hAnsi="CAIXA Std Book"/>
          <w:color w:val="005CA9"/>
          <w:sz w:val="20"/>
          <w:szCs w:val="20"/>
        </w:rPr>
        <w:t xml:space="preserve">possui </w:t>
      </w:r>
      <w:r w:rsidRPr="00B04D8D">
        <w:rPr>
          <w:rFonts w:ascii="CAIXA Std Book" w:hAnsi="CAIXA Std Book"/>
          <w:color w:val="005CA9"/>
          <w:sz w:val="20"/>
          <w:szCs w:val="20"/>
        </w:rPr>
        <w:t>participação direta ou indireta e que estão incluídas nas demonstrações consolida</w:t>
      </w:r>
      <w:r w:rsidR="00845316" w:rsidRPr="00B04D8D">
        <w:rPr>
          <w:rFonts w:ascii="CAIXA Std Book" w:hAnsi="CAIXA Std Book"/>
          <w:color w:val="005CA9"/>
          <w:sz w:val="20"/>
          <w:szCs w:val="20"/>
        </w:rPr>
        <w:t xml:space="preserve">das são apresentadas nas Notas </w:t>
      </w:r>
      <w:r w:rsidR="00B3615A" w:rsidRPr="00B04D8D">
        <w:rPr>
          <w:rFonts w:ascii="CAIXA Std Book" w:hAnsi="CAIXA Std Book"/>
          <w:color w:val="005CA9"/>
          <w:sz w:val="20"/>
          <w:szCs w:val="20"/>
        </w:rPr>
        <w:t xml:space="preserve">Explicativas </w:t>
      </w:r>
      <w:r w:rsidR="00845316" w:rsidRPr="00B04D8D">
        <w:rPr>
          <w:rFonts w:ascii="CAIXA Std Book" w:hAnsi="CAIXA Std Book"/>
          <w:color w:val="005CA9"/>
          <w:sz w:val="20"/>
          <w:szCs w:val="20"/>
        </w:rPr>
        <w:t>1</w:t>
      </w:r>
      <w:r w:rsidR="00F80EBA" w:rsidRPr="00B04D8D">
        <w:rPr>
          <w:rFonts w:ascii="CAIXA Std Book" w:hAnsi="CAIXA Std Book"/>
          <w:color w:val="005CA9"/>
          <w:sz w:val="20"/>
          <w:szCs w:val="20"/>
        </w:rPr>
        <w:t>1</w:t>
      </w:r>
      <w:r w:rsidR="00845316" w:rsidRPr="00B04D8D">
        <w:rPr>
          <w:rFonts w:ascii="CAIXA Std Book" w:hAnsi="CAIXA Std Book"/>
          <w:color w:val="005CA9"/>
          <w:sz w:val="20"/>
          <w:szCs w:val="20"/>
        </w:rPr>
        <w:t xml:space="preserve"> e </w:t>
      </w:r>
      <w:r w:rsidR="00CB19D4" w:rsidRPr="00B04D8D">
        <w:rPr>
          <w:rFonts w:ascii="CAIXA Std Book" w:hAnsi="CAIXA Std Book"/>
          <w:color w:val="005CA9"/>
          <w:sz w:val="20"/>
          <w:szCs w:val="20"/>
        </w:rPr>
        <w:t>3</w:t>
      </w:r>
      <w:r w:rsidR="00C17716">
        <w:rPr>
          <w:rFonts w:ascii="CAIXA Std Book" w:hAnsi="CAIXA Std Book"/>
          <w:color w:val="005CA9"/>
          <w:sz w:val="20"/>
          <w:szCs w:val="20"/>
        </w:rPr>
        <w:t>2</w:t>
      </w:r>
      <w:r w:rsidR="00845316" w:rsidRPr="00B04D8D">
        <w:rPr>
          <w:rFonts w:ascii="CAIXA Std Book" w:hAnsi="CAIXA Std Book"/>
          <w:color w:val="005CA9"/>
          <w:sz w:val="20"/>
          <w:szCs w:val="20"/>
        </w:rPr>
        <w:t>.</w:t>
      </w:r>
    </w:p>
    <w:bookmarkEnd w:id="63"/>
    <w:p w14:paraId="4D4F82FA" w14:textId="2BD89EBD" w:rsidR="00E07B11" w:rsidRPr="008044E1" w:rsidRDefault="00A75AAE" w:rsidP="0069564E">
      <w:pPr>
        <w:keepNext/>
        <w:numPr>
          <w:ilvl w:val="0"/>
          <w:numId w:val="4"/>
        </w:numPr>
        <w:spacing w:before="240" w:after="120"/>
        <w:jc w:val="both"/>
        <w:rPr>
          <w:rFonts w:ascii="CAIXA Std Book" w:hAnsi="CAIXA Std Book"/>
          <w:b/>
          <w:color w:val="005CA9"/>
          <w:sz w:val="20"/>
          <w:szCs w:val="20"/>
        </w:rPr>
      </w:pPr>
      <w:r w:rsidRPr="008044E1">
        <w:rPr>
          <w:rFonts w:ascii="CAIXA Std Book" w:hAnsi="CAIXA Std Book"/>
          <w:b/>
          <w:color w:val="005CA9"/>
          <w:sz w:val="20"/>
          <w:szCs w:val="20"/>
        </w:rPr>
        <w:t>Normas aplicáveis a períodos futuros</w:t>
      </w:r>
    </w:p>
    <w:p w14:paraId="57AFF6B7" w14:textId="7CBCD894" w:rsidR="000366E6" w:rsidRPr="007F0FDF" w:rsidRDefault="00784F7D" w:rsidP="001B1BE9">
      <w:pPr>
        <w:keepNext/>
        <w:spacing w:before="120" w:after="120"/>
        <w:jc w:val="both"/>
        <w:rPr>
          <w:rFonts w:ascii="CAIXA Std Book" w:hAnsi="CAIXA Std Book"/>
          <w:color w:val="005CA9"/>
          <w:sz w:val="20"/>
          <w:szCs w:val="20"/>
        </w:rPr>
      </w:pPr>
      <w:r w:rsidRPr="007F0FDF">
        <w:rPr>
          <w:rFonts w:ascii="CAIXA Std Book" w:hAnsi="CAIXA Std Book"/>
          <w:color w:val="005CA9"/>
          <w:sz w:val="20"/>
          <w:szCs w:val="20"/>
        </w:rPr>
        <w:t>Em complemento a Resolução CMN</w:t>
      </w:r>
      <w:r w:rsidR="00FD0D19" w:rsidRPr="007F0FDF">
        <w:rPr>
          <w:rFonts w:ascii="CAIXA Std Book" w:hAnsi="CAIXA Std Book"/>
          <w:color w:val="005CA9"/>
          <w:sz w:val="20"/>
          <w:szCs w:val="20"/>
        </w:rPr>
        <w:t xml:space="preserve"> nº 4.966/2021, a</w:t>
      </w:r>
      <w:r w:rsidR="00E0375F" w:rsidRPr="007F0FDF">
        <w:rPr>
          <w:rFonts w:ascii="CAIXA Std Book" w:hAnsi="CAIXA Std Book"/>
          <w:color w:val="005CA9"/>
          <w:sz w:val="20"/>
          <w:szCs w:val="20"/>
        </w:rPr>
        <w:t xml:space="preserve"> resolução CMN nº </w:t>
      </w:r>
      <w:r w:rsidR="00C82137" w:rsidRPr="007F0FDF">
        <w:rPr>
          <w:rFonts w:ascii="CAIXA Std Book" w:hAnsi="CAIXA Std Book"/>
          <w:color w:val="005CA9"/>
          <w:sz w:val="20"/>
          <w:szCs w:val="20"/>
        </w:rPr>
        <w:t>5.146/2024</w:t>
      </w:r>
      <w:r w:rsidR="00CA39FC" w:rsidRPr="007F0FDF">
        <w:rPr>
          <w:rFonts w:ascii="CAIXA Std Book" w:hAnsi="CAIXA Std Book"/>
          <w:color w:val="005CA9"/>
          <w:sz w:val="20"/>
          <w:szCs w:val="20"/>
        </w:rPr>
        <w:t xml:space="preserve"> </w:t>
      </w:r>
      <w:r w:rsidR="00381AD5" w:rsidRPr="007F0FDF">
        <w:rPr>
          <w:rFonts w:ascii="CAIXA Std Book" w:hAnsi="CAIXA Std Book"/>
          <w:color w:val="005CA9"/>
          <w:sz w:val="20"/>
          <w:szCs w:val="20"/>
        </w:rPr>
        <w:t>facul</w:t>
      </w:r>
      <w:r w:rsidR="001D5C33" w:rsidRPr="007F0FDF">
        <w:rPr>
          <w:rFonts w:ascii="CAIXA Std Book" w:hAnsi="CAIXA Std Book"/>
          <w:color w:val="005CA9"/>
          <w:sz w:val="20"/>
          <w:szCs w:val="20"/>
        </w:rPr>
        <w:t>ta</w:t>
      </w:r>
      <w:r w:rsidR="00FD0D19" w:rsidRPr="007F0FDF">
        <w:rPr>
          <w:rFonts w:ascii="CAIXA Std Book" w:hAnsi="CAIXA Std Book"/>
          <w:color w:val="005CA9"/>
          <w:sz w:val="20"/>
          <w:szCs w:val="20"/>
        </w:rPr>
        <w:t xml:space="preserve"> </w:t>
      </w:r>
      <w:r w:rsidR="008E64A5" w:rsidRPr="007F0FDF">
        <w:rPr>
          <w:rFonts w:ascii="CAIXA Std Book" w:hAnsi="CAIXA Std Book"/>
          <w:color w:val="005CA9"/>
          <w:sz w:val="20"/>
          <w:szCs w:val="20"/>
        </w:rPr>
        <w:t>o</w:t>
      </w:r>
      <w:r w:rsidR="00485694" w:rsidRPr="007F0FDF">
        <w:rPr>
          <w:rFonts w:ascii="CAIXA Std Book" w:hAnsi="CAIXA Std Book"/>
          <w:color w:val="005CA9"/>
          <w:sz w:val="20"/>
          <w:szCs w:val="20"/>
        </w:rPr>
        <w:t xml:space="preserve"> uso da taxa de juros efetiva </w:t>
      </w:r>
      <w:r w:rsidR="00E96BAD" w:rsidRPr="007F0FDF">
        <w:rPr>
          <w:rFonts w:ascii="CAIXA Std Book" w:hAnsi="CAIXA Std Book"/>
          <w:color w:val="005CA9"/>
          <w:sz w:val="20"/>
          <w:szCs w:val="20"/>
        </w:rPr>
        <w:t>repactuada para a apuração do valor presente dos fluxos de caixa contratuais reestruturado</w:t>
      </w:r>
      <w:r w:rsidR="007464FA" w:rsidRPr="007F0FDF">
        <w:rPr>
          <w:rFonts w:ascii="CAIXA Std Book" w:hAnsi="CAIXA Std Book"/>
          <w:color w:val="005CA9"/>
          <w:sz w:val="20"/>
          <w:szCs w:val="20"/>
        </w:rPr>
        <w:t>s</w:t>
      </w:r>
      <w:r w:rsidR="001D5C33" w:rsidRPr="007F0FDF">
        <w:rPr>
          <w:rFonts w:ascii="CAIXA Std Book" w:hAnsi="CAIXA Std Book"/>
          <w:color w:val="005CA9"/>
          <w:sz w:val="20"/>
          <w:szCs w:val="20"/>
        </w:rPr>
        <w:t xml:space="preserve"> até </w:t>
      </w:r>
      <w:r w:rsidR="008E64A5" w:rsidRPr="007F0FDF">
        <w:rPr>
          <w:rFonts w:ascii="CAIXA Std Book" w:hAnsi="CAIXA Std Book"/>
          <w:color w:val="005CA9"/>
          <w:sz w:val="20"/>
          <w:szCs w:val="20"/>
        </w:rPr>
        <w:t>31 de dezembro de 2026</w:t>
      </w:r>
      <w:r w:rsidR="004D653B" w:rsidRPr="007F0FDF">
        <w:rPr>
          <w:rFonts w:ascii="CAIXA Std Book" w:hAnsi="CAIXA Std Book"/>
          <w:color w:val="005CA9"/>
          <w:sz w:val="20"/>
          <w:szCs w:val="20"/>
        </w:rPr>
        <w:t xml:space="preserve">, </w:t>
      </w:r>
      <w:r w:rsidR="007F0FDF" w:rsidRPr="007F0FDF">
        <w:rPr>
          <w:rFonts w:ascii="CAIXA Std Book" w:hAnsi="CAIXA Std Book"/>
          <w:color w:val="005CA9"/>
          <w:sz w:val="20"/>
          <w:szCs w:val="20"/>
        </w:rPr>
        <w:t>essa faculdade</w:t>
      </w:r>
      <w:r w:rsidR="004D653B" w:rsidRPr="007F0FDF">
        <w:rPr>
          <w:rFonts w:ascii="CAIXA Std Book" w:hAnsi="CAIXA Std Book"/>
          <w:color w:val="005CA9"/>
          <w:sz w:val="20"/>
          <w:szCs w:val="20"/>
        </w:rPr>
        <w:t xml:space="preserve"> foi adotada pela </w:t>
      </w:r>
      <w:r w:rsidR="00F3609F" w:rsidRPr="007F0FDF">
        <w:rPr>
          <w:rFonts w:ascii="CAIXA Std Book" w:hAnsi="CAIXA Std Book"/>
          <w:color w:val="005CA9"/>
          <w:sz w:val="20"/>
          <w:szCs w:val="20"/>
        </w:rPr>
        <w:t>CAIXA</w:t>
      </w:r>
      <w:r w:rsidR="004222D6">
        <w:rPr>
          <w:rFonts w:ascii="CAIXA Std Book" w:hAnsi="CAIXA Std Book"/>
          <w:color w:val="005CA9"/>
          <w:sz w:val="20"/>
          <w:szCs w:val="20"/>
        </w:rPr>
        <w:t>.</w:t>
      </w:r>
      <w:r w:rsidR="00F3609F" w:rsidRPr="007F0FDF">
        <w:rPr>
          <w:rFonts w:ascii="CAIXA Std Book" w:hAnsi="CAIXA Std Book"/>
          <w:color w:val="005CA9"/>
          <w:sz w:val="20"/>
          <w:szCs w:val="20"/>
        </w:rPr>
        <w:t xml:space="preserve"> </w:t>
      </w:r>
    </w:p>
    <w:p w14:paraId="45BF6E6D" w14:textId="51D5529A" w:rsidR="003341FC" w:rsidRPr="007F0FDF" w:rsidRDefault="00673EF1" w:rsidP="00673EF1">
      <w:pPr>
        <w:pStyle w:val="Default0"/>
        <w:spacing w:before="120" w:after="120"/>
        <w:jc w:val="both"/>
        <w:rPr>
          <w:rFonts w:ascii="CAIXA Std Book" w:hAnsi="CAIXA Std Book"/>
          <w:color w:val="005CA9"/>
          <w:sz w:val="20"/>
          <w:szCs w:val="20"/>
        </w:rPr>
      </w:pPr>
      <w:r w:rsidRPr="007F0FDF">
        <w:rPr>
          <w:rFonts w:ascii="CAIXA Std Book" w:hAnsi="CAIXA Std Book"/>
          <w:color w:val="005CA9"/>
          <w:sz w:val="20"/>
          <w:szCs w:val="20"/>
        </w:rPr>
        <w:t>Conforme estabelece a Resolução CMN nº 5.100/2023, a C</w:t>
      </w:r>
      <w:r w:rsidR="00D70252" w:rsidRPr="007F0FDF">
        <w:rPr>
          <w:rFonts w:ascii="CAIXA Std Book" w:hAnsi="CAIXA Std Book"/>
          <w:color w:val="005CA9"/>
          <w:sz w:val="20"/>
          <w:szCs w:val="20"/>
        </w:rPr>
        <w:t>AIXA</w:t>
      </w:r>
      <w:r w:rsidRPr="007F0FDF">
        <w:rPr>
          <w:rFonts w:ascii="CAIXA Std Book" w:hAnsi="CAIXA Std Book"/>
          <w:color w:val="005CA9"/>
          <w:sz w:val="20"/>
          <w:szCs w:val="20"/>
        </w:rPr>
        <w:t xml:space="preserve"> postergará para 1º de janeiro de 2027 a aplicação dos novos requerimentos do </w:t>
      </w:r>
      <w:r w:rsidRPr="007F0FDF">
        <w:rPr>
          <w:rFonts w:ascii="CAIXA Std Book" w:hAnsi="CAIXA Std Book"/>
          <w:i/>
          <w:color w:val="005CA9"/>
          <w:sz w:val="20"/>
          <w:szCs w:val="20"/>
        </w:rPr>
        <w:t>Hedge</w:t>
      </w:r>
      <w:r w:rsidRPr="007F0FDF">
        <w:rPr>
          <w:rFonts w:ascii="CAIXA Std Book" w:hAnsi="CAIXA Std Book"/>
          <w:color w:val="005CA9"/>
          <w:sz w:val="20"/>
          <w:szCs w:val="20"/>
        </w:rPr>
        <w:t xml:space="preserve"> Contábil.</w:t>
      </w:r>
    </w:p>
    <w:p w14:paraId="3F0716C3" w14:textId="75A720CD" w:rsidR="00E07B11" w:rsidRPr="008044E1" w:rsidRDefault="00A75AAE" w:rsidP="002F350B">
      <w:pPr>
        <w:keepNext/>
        <w:spacing w:before="120" w:after="120"/>
        <w:jc w:val="both"/>
        <w:rPr>
          <w:rFonts w:ascii="CAIXA Std Book" w:hAnsi="CAIXA Std Book"/>
          <w:color w:val="005CA9"/>
          <w:sz w:val="20"/>
          <w:szCs w:val="20"/>
        </w:rPr>
      </w:pPr>
      <w:r w:rsidRPr="008044E1">
        <w:rPr>
          <w:rFonts w:ascii="CAIXA Std Book" w:hAnsi="CAIXA Std Book"/>
          <w:color w:val="005CA9"/>
          <w:sz w:val="20"/>
          <w:szCs w:val="20"/>
        </w:rPr>
        <w:t xml:space="preserve">A Resolução CMN nº 5.185/2024 consolida os critérios gerais para elaboração e divulgação de demonstrações </w:t>
      </w:r>
      <w:r w:rsidR="00F76A08">
        <w:rPr>
          <w:rFonts w:ascii="CAIXA Std Book" w:hAnsi="CAIXA Std Book"/>
          <w:color w:val="005CA9"/>
          <w:sz w:val="20"/>
          <w:szCs w:val="20"/>
        </w:rPr>
        <w:t>contábeis</w:t>
      </w:r>
      <w:r w:rsidRPr="008044E1">
        <w:rPr>
          <w:rFonts w:ascii="CAIXA Std Book" w:hAnsi="CAIXA Std Book"/>
          <w:color w:val="005CA9"/>
          <w:sz w:val="20"/>
          <w:szCs w:val="20"/>
        </w:rPr>
        <w:t xml:space="preserve"> individuais e consolidadas pelas instituições financeiras e demais instituições autorizadas a funcionar pelo Banco Central do Brasil e traz, em seu Art. 12-A, a criação do relatório de informações financeiras relacionadas à sustentabilidade, adotando os seguintes pronunciamentos técnicos do Comitê Brasileiro de Pronunciamentos de Sustentabilidade – CBPS:</w:t>
      </w:r>
    </w:p>
    <w:p w14:paraId="77D15076" w14:textId="77777777" w:rsidR="00E07B11" w:rsidRPr="008044E1" w:rsidRDefault="00A75AAE" w:rsidP="002F350B">
      <w:pPr>
        <w:keepNext/>
        <w:spacing w:before="120" w:after="120"/>
        <w:jc w:val="both"/>
        <w:rPr>
          <w:rFonts w:ascii="CAIXA Std Book" w:hAnsi="CAIXA Std Book"/>
          <w:color w:val="005CA9"/>
          <w:sz w:val="20"/>
          <w:szCs w:val="20"/>
        </w:rPr>
      </w:pPr>
      <w:r w:rsidRPr="008044E1">
        <w:rPr>
          <w:rFonts w:ascii="CAIXA Std Book" w:hAnsi="CAIXA Std Book"/>
          <w:color w:val="005CA9"/>
          <w:sz w:val="20"/>
          <w:szCs w:val="20"/>
        </w:rPr>
        <w:t>I - Pronunciamento Técnico CBPS 01 – Requisitos Gerais para Divulgação de Informações Financeiras Relacionadas à Sustentabilidade, conforme aprovado em 12 de setembro de 2024; e</w:t>
      </w:r>
    </w:p>
    <w:p w14:paraId="114CFE8F" w14:textId="77777777" w:rsidR="00E07B11" w:rsidRPr="008044E1" w:rsidRDefault="00A75AAE" w:rsidP="002F350B">
      <w:pPr>
        <w:keepNext/>
        <w:spacing w:before="120" w:after="120"/>
        <w:jc w:val="both"/>
        <w:rPr>
          <w:rFonts w:ascii="CAIXA Std Book" w:hAnsi="CAIXA Std Book"/>
          <w:color w:val="005CA9"/>
          <w:sz w:val="20"/>
          <w:szCs w:val="20"/>
        </w:rPr>
      </w:pPr>
      <w:r w:rsidRPr="008044E1">
        <w:rPr>
          <w:rFonts w:ascii="CAIXA Std Book" w:hAnsi="CAIXA Std Book"/>
          <w:color w:val="005CA9"/>
          <w:sz w:val="20"/>
          <w:szCs w:val="20"/>
        </w:rPr>
        <w:t>II - Pronunciamento Técnico CBPS 02 – Divulgações Relacionadas ao Clima, conforme aprovado em 12 de setembro de 2024.</w:t>
      </w:r>
    </w:p>
    <w:p w14:paraId="7BE3F492" w14:textId="5DA731BA" w:rsidR="006240EB" w:rsidRPr="008044E1" w:rsidRDefault="006240EB" w:rsidP="002F350B">
      <w:pPr>
        <w:keepNext/>
        <w:spacing w:before="120" w:after="120"/>
        <w:jc w:val="both"/>
        <w:rPr>
          <w:rFonts w:ascii="CAIXA Std Book" w:hAnsi="CAIXA Std Book"/>
          <w:color w:val="005CA9"/>
          <w:sz w:val="20"/>
          <w:szCs w:val="20"/>
        </w:rPr>
      </w:pPr>
      <w:r>
        <w:rPr>
          <w:rFonts w:ascii="CAIXA Std Book" w:hAnsi="CAIXA Std Book"/>
          <w:color w:val="005CA9"/>
          <w:sz w:val="20"/>
          <w:szCs w:val="20"/>
        </w:rPr>
        <w:t>A Resolução CMN</w:t>
      </w:r>
      <w:r w:rsidR="00607CD9">
        <w:rPr>
          <w:rFonts w:ascii="CAIXA Std Book" w:hAnsi="CAIXA Std Book"/>
          <w:color w:val="005CA9"/>
          <w:sz w:val="20"/>
          <w:szCs w:val="20"/>
        </w:rPr>
        <w:t xml:space="preserve"> nº 5.252/2025 </w:t>
      </w:r>
      <w:r w:rsidR="009669B6">
        <w:rPr>
          <w:rFonts w:ascii="CAIXA Std Book" w:hAnsi="CAIXA Std Book"/>
          <w:color w:val="005CA9"/>
          <w:sz w:val="20"/>
          <w:szCs w:val="20"/>
        </w:rPr>
        <w:t>uniformi</w:t>
      </w:r>
      <w:r w:rsidR="00431F4B">
        <w:rPr>
          <w:rFonts w:ascii="CAIXA Std Book" w:hAnsi="CAIXA Std Book"/>
          <w:color w:val="005CA9"/>
          <w:sz w:val="20"/>
          <w:szCs w:val="20"/>
        </w:rPr>
        <w:t>za o tratamento contábil aplicável</w:t>
      </w:r>
      <w:r w:rsidR="000C573C">
        <w:rPr>
          <w:rFonts w:ascii="CAIXA Std Book" w:hAnsi="CAIXA Std Book"/>
          <w:color w:val="005CA9"/>
          <w:sz w:val="20"/>
          <w:szCs w:val="20"/>
        </w:rPr>
        <w:t xml:space="preserve"> aos ativos e passivos decorrentes de ações de sustentabilidade de instituições financeiras</w:t>
      </w:r>
      <w:r w:rsidR="00443210">
        <w:rPr>
          <w:rFonts w:ascii="CAIXA Std Book" w:hAnsi="CAIXA Std Book"/>
          <w:color w:val="005CA9"/>
          <w:sz w:val="20"/>
          <w:szCs w:val="20"/>
        </w:rPr>
        <w:t>. Assim, a partir de janeiro de 2027, as instituições financeiras deverão reconhecer,</w:t>
      </w:r>
      <w:r w:rsidR="00975A07">
        <w:rPr>
          <w:rFonts w:ascii="CAIXA Std Book" w:hAnsi="CAIXA Std Book"/>
          <w:color w:val="005CA9"/>
          <w:sz w:val="20"/>
          <w:szCs w:val="20"/>
        </w:rPr>
        <w:t xml:space="preserve"> </w:t>
      </w:r>
      <w:r w:rsidR="00443210">
        <w:rPr>
          <w:rFonts w:ascii="CAIXA Std Book" w:hAnsi="CAIXA Std Book"/>
          <w:color w:val="005CA9"/>
          <w:sz w:val="20"/>
          <w:szCs w:val="20"/>
        </w:rPr>
        <w:t>mensurar</w:t>
      </w:r>
      <w:r w:rsidR="00975A07">
        <w:rPr>
          <w:rFonts w:ascii="CAIXA Std Book" w:hAnsi="CAIXA Std Book"/>
          <w:color w:val="005CA9"/>
          <w:sz w:val="20"/>
          <w:szCs w:val="20"/>
        </w:rPr>
        <w:t xml:space="preserve"> e evidenciar os ativos e passivos de sustentabilidade</w:t>
      </w:r>
      <w:r w:rsidR="00150B93">
        <w:rPr>
          <w:rFonts w:ascii="CAIXA Std Book" w:hAnsi="CAIXA Std Book"/>
          <w:color w:val="005CA9"/>
          <w:sz w:val="20"/>
          <w:szCs w:val="20"/>
        </w:rPr>
        <w:t>.</w:t>
      </w:r>
    </w:p>
    <w:p w14:paraId="17659532" w14:textId="0F10190C" w:rsidR="004F3E96" w:rsidRPr="008044E1" w:rsidRDefault="004F3E96" w:rsidP="002F350B">
      <w:pPr>
        <w:keepNext/>
        <w:spacing w:before="120" w:after="120"/>
        <w:jc w:val="both"/>
        <w:rPr>
          <w:rFonts w:ascii="CAIXA Std Book" w:hAnsi="CAIXA Std Book"/>
          <w:color w:val="005CA9"/>
          <w:sz w:val="20"/>
          <w:szCs w:val="20"/>
        </w:rPr>
      </w:pPr>
      <w:r w:rsidRPr="004F3E96">
        <w:rPr>
          <w:rFonts w:ascii="CAIXA Std Book" w:hAnsi="CAIXA Std Book"/>
          <w:color w:val="005CA9"/>
          <w:sz w:val="20"/>
          <w:szCs w:val="20"/>
        </w:rPr>
        <w:t xml:space="preserve">A CAIXA acompanha a evolução do arcabouço legal e regulamentar da </w:t>
      </w:r>
      <w:r>
        <w:rPr>
          <w:rFonts w:ascii="CAIXA Std Book" w:hAnsi="CAIXA Std Book"/>
          <w:color w:val="005CA9"/>
          <w:sz w:val="20"/>
          <w:szCs w:val="20"/>
        </w:rPr>
        <w:t>r</w:t>
      </w:r>
      <w:r w:rsidRPr="004F3E96">
        <w:rPr>
          <w:rFonts w:ascii="CAIXA Std Book" w:hAnsi="CAIXA Std Book"/>
          <w:color w:val="005CA9"/>
          <w:sz w:val="20"/>
          <w:szCs w:val="20"/>
        </w:rPr>
        <w:t xml:space="preserve">eforma </w:t>
      </w:r>
      <w:r>
        <w:rPr>
          <w:rFonts w:ascii="CAIXA Std Book" w:hAnsi="CAIXA Std Book"/>
          <w:color w:val="005CA9"/>
          <w:sz w:val="20"/>
          <w:szCs w:val="20"/>
        </w:rPr>
        <w:t>t</w:t>
      </w:r>
      <w:r w:rsidRPr="004F3E96">
        <w:rPr>
          <w:rFonts w:ascii="CAIXA Std Book" w:hAnsi="CAIXA Std Book"/>
          <w:color w:val="005CA9"/>
          <w:sz w:val="20"/>
          <w:szCs w:val="20"/>
        </w:rPr>
        <w:t xml:space="preserve">ributária sobre o </w:t>
      </w:r>
      <w:r>
        <w:rPr>
          <w:rFonts w:ascii="CAIXA Std Book" w:hAnsi="CAIXA Std Book"/>
          <w:color w:val="005CA9"/>
          <w:sz w:val="20"/>
          <w:szCs w:val="20"/>
        </w:rPr>
        <w:t>c</w:t>
      </w:r>
      <w:r w:rsidRPr="004F3E96">
        <w:rPr>
          <w:rFonts w:ascii="CAIXA Std Book" w:hAnsi="CAIXA Std Book"/>
          <w:color w:val="005CA9"/>
          <w:sz w:val="20"/>
          <w:szCs w:val="20"/>
        </w:rPr>
        <w:t>onsumo, instituída pela Emenda Constitucional nº 132/2023 e legislação infraconstitucional correlata, avaliando seus potenciais impactos sobre suas operações. O Banco estruturou governança específica que vem conduzindo análises internas e monitorando a publicação de normas complementares, com vistas a identificar eventuais efeitos contábeis, fiscais e operacionais decorrentes da implementação do novo sistema tributário</w:t>
      </w:r>
      <w:r w:rsidR="00624A43">
        <w:rPr>
          <w:rFonts w:ascii="CAIXA Std Book" w:hAnsi="CAIXA Std Book"/>
          <w:color w:val="005CA9"/>
          <w:sz w:val="20"/>
          <w:szCs w:val="20"/>
        </w:rPr>
        <w:t>.</w:t>
      </w:r>
    </w:p>
    <w:p w14:paraId="39048BE9" w14:textId="275E76B9" w:rsidR="00C0662F" w:rsidRDefault="007F0FDF" w:rsidP="00612A35">
      <w:pPr>
        <w:pStyle w:val="Default0"/>
        <w:spacing w:before="120" w:after="120"/>
        <w:jc w:val="both"/>
        <w:rPr>
          <w:rFonts w:ascii="CAIXA Std Book" w:hAnsi="CAIXA Std Book"/>
          <w:color w:val="005CA9"/>
          <w:sz w:val="20"/>
          <w:szCs w:val="20"/>
        </w:rPr>
      </w:pPr>
      <w:r w:rsidRPr="007F0FDF">
        <w:rPr>
          <w:rFonts w:ascii="CAIXA Std Book" w:hAnsi="CAIXA Std Book"/>
          <w:color w:val="005CA9"/>
          <w:sz w:val="20"/>
          <w:szCs w:val="20"/>
        </w:rPr>
        <w:t>A CAIXA permanece avaliando e analisando os impactos à luz das normas mencionadas a serem finalizados até a data da entrada em vigor das normas.</w:t>
      </w:r>
      <w:r w:rsidR="00C0662F">
        <w:rPr>
          <w:rFonts w:ascii="CAIXA Std Book" w:hAnsi="CAIXA Std Book"/>
          <w:color w:val="005CA9"/>
          <w:sz w:val="20"/>
          <w:szCs w:val="20"/>
        </w:rPr>
        <w:br w:type="page"/>
      </w:r>
    </w:p>
    <w:p w14:paraId="619ABB13" w14:textId="2AF5AB17" w:rsidR="00845D34" w:rsidRDefault="00845D34" w:rsidP="00B735D2">
      <w:pPr>
        <w:pStyle w:val="Ttulo1"/>
      </w:pPr>
      <w:bookmarkStart w:id="64" w:name="_Toc217914315"/>
      <w:bookmarkStart w:id="65" w:name="_Toc229588465"/>
      <w:r w:rsidRPr="00E95E29">
        <w:lastRenderedPageBreak/>
        <w:t xml:space="preserve">Nota   3 – Principais </w:t>
      </w:r>
      <w:r w:rsidR="00131CF4">
        <w:t>políticas contábeis</w:t>
      </w:r>
      <w:bookmarkEnd w:id="64"/>
      <w:bookmarkEnd w:id="65"/>
    </w:p>
    <w:p w14:paraId="703EBCD7" w14:textId="7F97A733" w:rsidR="00DF00DB" w:rsidRDefault="00EB58D6" w:rsidP="00DF00DB">
      <w:pPr>
        <w:spacing w:before="120" w:after="120"/>
        <w:jc w:val="both"/>
        <w:rPr>
          <w:rFonts w:ascii="CAIXA Std Book" w:hAnsi="CAIXA Std Book"/>
          <w:color w:val="005CA9"/>
          <w:sz w:val="20"/>
          <w:szCs w:val="20"/>
        </w:rPr>
      </w:pPr>
      <w:bookmarkStart w:id="66" w:name="_Toc209025072"/>
      <w:bookmarkStart w:id="67" w:name="_Toc217914316"/>
      <w:bookmarkStart w:id="68" w:name="_Hlk205825362"/>
      <w:r w:rsidRPr="00EB58D6">
        <w:rPr>
          <w:rFonts w:ascii="CAIXA Std Book" w:hAnsi="CAIXA Std Book"/>
          <w:color w:val="005CA9"/>
          <w:sz w:val="20"/>
          <w:szCs w:val="20"/>
        </w:rPr>
        <w:t>As políticas</w:t>
      </w:r>
      <w:r w:rsidR="00DF00DB" w:rsidRPr="00003CD0">
        <w:rPr>
          <w:rFonts w:ascii="CAIXA Std Book" w:hAnsi="CAIXA Std Book"/>
          <w:color w:val="005CA9"/>
          <w:sz w:val="20"/>
          <w:szCs w:val="20"/>
        </w:rPr>
        <w:t xml:space="preserve"> contábeis estão </w:t>
      </w:r>
      <w:r w:rsidRPr="00EB58D6">
        <w:rPr>
          <w:rFonts w:ascii="CAIXA Std Book" w:hAnsi="CAIXA Std Book"/>
          <w:color w:val="005CA9"/>
          <w:sz w:val="20"/>
          <w:szCs w:val="20"/>
        </w:rPr>
        <w:t>descritas</w:t>
      </w:r>
      <w:r w:rsidR="00DF00DB" w:rsidRPr="00003CD0">
        <w:rPr>
          <w:rFonts w:ascii="CAIXA Std Book" w:hAnsi="CAIXA Std Book"/>
          <w:color w:val="005CA9"/>
          <w:sz w:val="20"/>
          <w:szCs w:val="20"/>
        </w:rPr>
        <w:t xml:space="preserve"> na nota explicativa </w:t>
      </w:r>
      <w:r w:rsidR="00DF00DB">
        <w:rPr>
          <w:rFonts w:ascii="CAIXA Std Book" w:hAnsi="CAIXA Std Book"/>
          <w:color w:val="005CA9"/>
          <w:sz w:val="20"/>
          <w:szCs w:val="20"/>
        </w:rPr>
        <w:t xml:space="preserve">de Principais </w:t>
      </w:r>
      <w:r w:rsidRPr="00EB58D6">
        <w:rPr>
          <w:rFonts w:ascii="CAIXA Std Book" w:hAnsi="CAIXA Std Book"/>
          <w:color w:val="005CA9"/>
          <w:sz w:val="20"/>
          <w:szCs w:val="20"/>
        </w:rPr>
        <w:t>políticas</w:t>
      </w:r>
      <w:r w:rsidR="00DF00DB">
        <w:rPr>
          <w:rFonts w:ascii="CAIXA Std Book" w:hAnsi="CAIXA Std Book"/>
          <w:color w:val="005CA9"/>
          <w:sz w:val="20"/>
          <w:szCs w:val="20"/>
        </w:rPr>
        <w:t xml:space="preserve"> contábeis </w:t>
      </w:r>
      <w:r w:rsidR="00DF00DB" w:rsidRPr="00003CD0">
        <w:rPr>
          <w:rFonts w:ascii="CAIXA Std Book" w:hAnsi="CAIXA Std Book"/>
          <w:color w:val="005CA9"/>
          <w:sz w:val="20"/>
          <w:szCs w:val="20"/>
        </w:rPr>
        <w:t>das Demonstrações contábeis individuais e consolidadas divulgadas em 3</w:t>
      </w:r>
      <w:r w:rsidR="00DF00DB">
        <w:rPr>
          <w:rFonts w:ascii="CAIXA Std Book" w:hAnsi="CAIXA Std Book"/>
          <w:color w:val="005CA9"/>
          <w:sz w:val="20"/>
          <w:szCs w:val="20"/>
        </w:rPr>
        <w:t>1</w:t>
      </w:r>
      <w:r w:rsidR="00DF00DB" w:rsidRPr="00003CD0">
        <w:rPr>
          <w:rFonts w:ascii="CAIXA Std Book" w:hAnsi="CAIXA Std Book"/>
          <w:color w:val="005CA9"/>
          <w:sz w:val="20"/>
          <w:szCs w:val="20"/>
        </w:rPr>
        <w:t xml:space="preserve"> de </w:t>
      </w:r>
      <w:r w:rsidR="00DF00DB">
        <w:rPr>
          <w:rFonts w:ascii="CAIXA Std Book" w:hAnsi="CAIXA Std Book"/>
          <w:color w:val="005CA9"/>
          <w:sz w:val="20"/>
          <w:szCs w:val="20"/>
        </w:rPr>
        <w:t>dezembro</w:t>
      </w:r>
      <w:r w:rsidR="00DF00DB" w:rsidRPr="00003CD0">
        <w:rPr>
          <w:rFonts w:ascii="CAIXA Std Book" w:hAnsi="CAIXA Std Book"/>
          <w:color w:val="005CA9"/>
          <w:sz w:val="20"/>
          <w:szCs w:val="20"/>
        </w:rPr>
        <w:t xml:space="preserve"> de 202</w:t>
      </w:r>
      <w:r w:rsidR="00DF00DB">
        <w:rPr>
          <w:rFonts w:ascii="CAIXA Std Book" w:hAnsi="CAIXA Std Book"/>
          <w:color w:val="005CA9"/>
          <w:sz w:val="20"/>
          <w:szCs w:val="20"/>
        </w:rPr>
        <w:t>5</w:t>
      </w:r>
      <w:r w:rsidR="00DF00DB" w:rsidRPr="00003CD0">
        <w:rPr>
          <w:rFonts w:ascii="CAIXA Std Book" w:hAnsi="CAIXA Std Book"/>
          <w:color w:val="005CA9"/>
          <w:sz w:val="20"/>
          <w:szCs w:val="20"/>
        </w:rPr>
        <w:t xml:space="preserve"> disponíveis no sítio: </w:t>
      </w:r>
      <w:hyperlink r:id="rId32" w:history="1">
        <w:r w:rsidR="00DF00DB" w:rsidRPr="00DF00DB">
          <w:rPr>
            <w:rFonts w:ascii="CAIXA Std Book" w:hAnsi="CAIXA Std Book"/>
            <w:color w:val="005CA9"/>
            <w:sz w:val="20"/>
            <w:szCs w:val="20"/>
          </w:rPr>
          <w:t>https://ri.caixa.gov.br/informacoes-financeiras/central-de-resultados/</w:t>
        </w:r>
      </w:hyperlink>
      <w:r w:rsidR="00DF00DB" w:rsidRPr="00003CD0">
        <w:rPr>
          <w:rFonts w:ascii="CAIXA Std Book" w:hAnsi="CAIXA Std Book"/>
          <w:color w:val="005CA9"/>
          <w:sz w:val="20"/>
          <w:szCs w:val="20"/>
        </w:rPr>
        <w:t>.</w:t>
      </w:r>
      <w:r w:rsidR="00DF00DB">
        <w:rPr>
          <w:rFonts w:ascii="CAIXA Std Book" w:hAnsi="CAIXA Std Book"/>
          <w:color w:val="005CA9"/>
          <w:sz w:val="20"/>
          <w:szCs w:val="20"/>
        </w:rPr>
        <w:t xml:space="preserve"> </w:t>
      </w:r>
    </w:p>
    <w:p w14:paraId="648B775E" w14:textId="7157E975" w:rsidR="00F666AA" w:rsidRPr="00F666AA" w:rsidRDefault="00F666AA" w:rsidP="00FB6CB2">
      <w:pPr>
        <w:pStyle w:val="PargrafodaLista"/>
        <w:keepNext/>
        <w:numPr>
          <w:ilvl w:val="0"/>
          <w:numId w:val="52"/>
        </w:numPr>
        <w:spacing w:before="240" w:after="120"/>
        <w:jc w:val="both"/>
        <w:rPr>
          <w:rFonts w:ascii="CAIXA Std Book" w:hAnsi="CAIXA Std Book"/>
          <w:color w:val="005CA9"/>
          <w:sz w:val="20"/>
          <w:szCs w:val="20"/>
        </w:rPr>
      </w:pPr>
      <w:r w:rsidRPr="00F666AA">
        <w:rPr>
          <w:rFonts w:ascii="CAIXA Std Book" w:hAnsi="CAIXA Std Book"/>
          <w:b/>
          <w:color w:val="005CA9"/>
          <w:sz w:val="20"/>
          <w:szCs w:val="20"/>
        </w:rPr>
        <w:t>Alteração de política contábil referente à atualização monetária dos Instrumentos Híbridos de Capital e</w:t>
      </w:r>
      <w:r w:rsidRPr="00F666AA">
        <w:rPr>
          <w:rFonts w:ascii="CAIXA Std Book" w:hAnsi="CAIXA Std Book"/>
          <w:b/>
          <w:bCs/>
          <w:color w:val="005CA9"/>
          <w:sz w:val="20"/>
          <w:szCs w:val="20"/>
        </w:rPr>
        <w:t xml:space="preserve"> Dívida (IHCD)</w:t>
      </w:r>
    </w:p>
    <w:p w14:paraId="4D496E55" w14:textId="5769DAE8" w:rsidR="00FA1275" w:rsidRPr="009F1A4F" w:rsidRDefault="002448D8" w:rsidP="00FA1275">
      <w:pPr>
        <w:spacing w:before="120" w:after="120"/>
        <w:jc w:val="both"/>
        <w:rPr>
          <w:rFonts w:ascii="CAIXA Std Book" w:hAnsi="CAIXA Std Book"/>
          <w:color w:val="005CA9"/>
          <w:sz w:val="20"/>
          <w:szCs w:val="20"/>
        </w:rPr>
      </w:pPr>
      <w:r>
        <w:rPr>
          <w:rFonts w:ascii="CAIXA Std Book" w:hAnsi="CAIXA Std Book"/>
          <w:color w:val="005CA9"/>
          <w:sz w:val="20"/>
          <w:szCs w:val="20"/>
        </w:rPr>
        <w:t>Conforme divulgado em Notas Explicativas às Demonstrações Financeiras</w:t>
      </w:r>
      <w:r w:rsidR="00A436D5">
        <w:rPr>
          <w:rFonts w:ascii="CAIXA Std Book" w:hAnsi="CAIXA Std Book"/>
          <w:color w:val="005CA9"/>
          <w:sz w:val="20"/>
          <w:szCs w:val="20"/>
        </w:rPr>
        <w:t>,</w:t>
      </w:r>
      <w:r>
        <w:rPr>
          <w:rFonts w:ascii="CAIXA Std Book" w:hAnsi="CAIXA Std Book"/>
          <w:color w:val="005CA9"/>
          <w:sz w:val="20"/>
          <w:szCs w:val="20"/>
        </w:rPr>
        <w:t xml:space="preserve"> </w:t>
      </w:r>
      <w:r w:rsidR="00F666AA">
        <w:rPr>
          <w:rFonts w:ascii="CAIXA Std Book" w:hAnsi="CAIXA Std Book"/>
          <w:color w:val="005CA9"/>
          <w:sz w:val="20"/>
          <w:szCs w:val="20"/>
        </w:rPr>
        <w:t>a</w:t>
      </w:r>
      <w:r w:rsidR="00FA1275" w:rsidRPr="009F1A4F">
        <w:rPr>
          <w:rFonts w:ascii="CAIXA Std Book" w:hAnsi="CAIXA Std Book"/>
          <w:color w:val="005CA9"/>
          <w:sz w:val="20"/>
          <w:szCs w:val="20"/>
        </w:rPr>
        <w:t xml:space="preserve"> CAIXA promoveu alteração na política contábil aplicada exclusivamente às Demonstrações Financeiras Consolidadas, no que se refere à forma de apresentação da atualização monetária dos Instrumentos Híbridos de Capital e Dívida (IHCD) elegíveis ao capital principal.</w:t>
      </w:r>
    </w:p>
    <w:p w14:paraId="151A981C" w14:textId="77777777" w:rsidR="00FA1275" w:rsidRPr="009F1A4F" w:rsidRDefault="00FA1275" w:rsidP="00FA1275">
      <w:pPr>
        <w:spacing w:before="120" w:after="120"/>
        <w:jc w:val="both"/>
        <w:rPr>
          <w:rFonts w:ascii="CAIXA Std Book" w:hAnsi="CAIXA Std Book"/>
          <w:color w:val="005CA9"/>
          <w:sz w:val="20"/>
          <w:szCs w:val="20"/>
        </w:rPr>
      </w:pPr>
      <w:r w:rsidRPr="009F1A4F">
        <w:rPr>
          <w:rFonts w:ascii="CAIXA Std Book" w:hAnsi="CAIXA Std Book"/>
          <w:color w:val="005CA9"/>
          <w:sz w:val="20"/>
          <w:szCs w:val="20"/>
        </w:rPr>
        <w:t>Considerando que tais instrumentos atendem aos critérios de classificação como instrumentos patrimoniais, e que os juros remuneratórios já são tratados como distribuição de resultado, concluiu-se que a atualização monetária deve receber o mesmo tratamento, sendo reconhecida como variação no patrimônio líquido.</w:t>
      </w:r>
    </w:p>
    <w:p w14:paraId="384A2CDC" w14:textId="77777777" w:rsidR="00FA1275" w:rsidRPr="009F1A4F" w:rsidRDefault="00FA1275" w:rsidP="00FA1275">
      <w:pPr>
        <w:spacing w:before="120" w:after="120"/>
        <w:jc w:val="both"/>
        <w:rPr>
          <w:rFonts w:ascii="CAIXA Std Book" w:hAnsi="CAIXA Std Book"/>
          <w:color w:val="005CA9"/>
          <w:sz w:val="20"/>
          <w:szCs w:val="20"/>
        </w:rPr>
      </w:pPr>
      <w:r w:rsidRPr="009F1A4F">
        <w:rPr>
          <w:rFonts w:ascii="CAIXA Std Book" w:hAnsi="CAIXA Std Book"/>
          <w:color w:val="005CA9"/>
          <w:sz w:val="20"/>
          <w:szCs w:val="20"/>
        </w:rPr>
        <w:t>A reclassificação decorre de revisão voluntária da política contábil, alinhada às melhores práticas internacionais e ao objetivo de fornecer informações mais úteis e relevantes aos usuários das demonstrações contábeis consolidadas, conforme previsto no item 14 do CPC 23.</w:t>
      </w:r>
    </w:p>
    <w:p w14:paraId="5568146E" w14:textId="48FE5205" w:rsidR="006B12BD" w:rsidRDefault="004D638C" w:rsidP="004D638C">
      <w:pPr>
        <w:keepNext/>
        <w:spacing w:before="240" w:after="120"/>
        <w:jc w:val="both"/>
        <w:rPr>
          <w:rFonts w:ascii="CAIXA Std Book" w:hAnsi="CAIXA Std Book"/>
          <w:b/>
          <w:bCs/>
          <w:color w:val="005CA9"/>
          <w:sz w:val="20"/>
          <w:szCs w:val="20"/>
        </w:rPr>
      </w:pPr>
      <w:r>
        <w:rPr>
          <w:rFonts w:ascii="CAIXA Std Book" w:hAnsi="CAIXA Std Book"/>
          <w:b/>
          <w:bCs/>
          <w:color w:val="005CA9"/>
          <w:sz w:val="20"/>
          <w:szCs w:val="20"/>
        </w:rPr>
        <w:t>(a.1)</w:t>
      </w:r>
      <w:r>
        <w:rPr>
          <w:rFonts w:ascii="CAIXA Std Book" w:hAnsi="CAIXA Std Book"/>
          <w:b/>
          <w:bCs/>
          <w:color w:val="005CA9"/>
          <w:sz w:val="20"/>
          <w:szCs w:val="20"/>
        </w:rPr>
        <w:tab/>
      </w:r>
      <w:r w:rsidR="006B12BD" w:rsidRPr="006B12BD">
        <w:rPr>
          <w:rFonts w:ascii="CAIXA Std Book" w:hAnsi="CAIXA Std Book"/>
          <w:b/>
          <w:bCs/>
          <w:color w:val="005CA9"/>
          <w:sz w:val="20"/>
          <w:szCs w:val="20"/>
        </w:rPr>
        <w:t>Reapresentação de saldos comparativos</w:t>
      </w:r>
    </w:p>
    <w:p w14:paraId="3FC9BD27" w14:textId="0B39B9BB" w:rsidR="006B12BD" w:rsidRDefault="006B12BD" w:rsidP="006B12BD">
      <w:pPr>
        <w:spacing w:before="120" w:after="120"/>
        <w:jc w:val="both"/>
        <w:rPr>
          <w:rFonts w:ascii="CAIXA Std Book" w:hAnsi="CAIXA Std Book"/>
          <w:color w:val="005CA9"/>
          <w:sz w:val="20"/>
          <w:szCs w:val="20"/>
        </w:rPr>
      </w:pPr>
      <w:r w:rsidRPr="006B12BD">
        <w:rPr>
          <w:rFonts w:ascii="CAIXA Std Book" w:hAnsi="CAIXA Std Book"/>
          <w:color w:val="005CA9"/>
          <w:sz w:val="20"/>
          <w:szCs w:val="20"/>
        </w:rPr>
        <w:t xml:space="preserve">Reapresentamos abaixo os efeitos sobre os saldos comparativos </w:t>
      </w:r>
      <w:r w:rsidR="00AF49F3">
        <w:rPr>
          <w:rFonts w:ascii="CAIXA Std Book" w:hAnsi="CAIXA Std Book"/>
          <w:color w:val="005CA9"/>
          <w:sz w:val="20"/>
          <w:szCs w:val="20"/>
        </w:rPr>
        <w:t xml:space="preserve">impactados </w:t>
      </w:r>
      <w:r w:rsidRPr="006B12BD">
        <w:rPr>
          <w:rFonts w:ascii="CAIXA Std Book" w:hAnsi="CAIXA Std Book"/>
          <w:color w:val="005CA9"/>
          <w:sz w:val="20"/>
          <w:szCs w:val="20"/>
        </w:rPr>
        <w:t>na Demonstração do resultado do exercício consolidada, Demonstração das mutações do patrimônio líquido</w:t>
      </w:r>
      <w:r w:rsidR="00C179A3">
        <w:rPr>
          <w:rFonts w:ascii="CAIXA Std Book" w:hAnsi="CAIXA Std Book"/>
          <w:color w:val="005CA9"/>
          <w:sz w:val="20"/>
          <w:szCs w:val="20"/>
        </w:rPr>
        <w:t xml:space="preserve"> consoli</w:t>
      </w:r>
      <w:r w:rsidR="00942BD5">
        <w:rPr>
          <w:rFonts w:ascii="CAIXA Std Book" w:hAnsi="CAIXA Std Book"/>
          <w:color w:val="005CA9"/>
          <w:sz w:val="20"/>
          <w:szCs w:val="20"/>
        </w:rPr>
        <w:t>dada</w:t>
      </w:r>
      <w:r w:rsidRPr="006B12BD">
        <w:rPr>
          <w:rFonts w:ascii="CAIXA Std Book" w:hAnsi="CAIXA Std Book"/>
          <w:color w:val="005CA9"/>
          <w:sz w:val="20"/>
          <w:szCs w:val="20"/>
        </w:rPr>
        <w:t>, Demonstração dos fluxos de caixa consolidad</w:t>
      </w:r>
      <w:r w:rsidR="00942BD5">
        <w:rPr>
          <w:rFonts w:ascii="CAIXA Std Book" w:hAnsi="CAIXA Std Book"/>
          <w:color w:val="005CA9"/>
          <w:sz w:val="20"/>
          <w:szCs w:val="20"/>
        </w:rPr>
        <w:t>a</w:t>
      </w:r>
      <w:r w:rsidR="009E2B9B">
        <w:rPr>
          <w:rFonts w:ascii="CAIXA Std Book" w:hAnsi="CAIXA Std Book"/>
          <w:color w:val="005CA9"/>
          <w:sz w:val="20"/>
          <w:szCs w:val="20"/>
        </w:rPr>
        <w:t xml:space="preserve">, e </w:t>
      </w:r>
      <w:r w:rsidR="009E2B9B" w:rsidRPr="00156A5B">
        <w:rPr>
          <w:rFonts w:ascii="CAIXA Std Book" w:hAnsi="CAIXA Std Book"/>
          <w:color w:val="005CA9"/>
          <w:sz w:val="20"/>
          <w:szCs w:val="20"/>
        </w:rPr>
        <w:t xml:space="preserve">Demonstração do </w:t>
      </w:r>
      <w:r w:rsidR="00C66BF6" w:rsidRPr="00156A5B">
        <w:rPr>
          <w:rFonts w:ascii="CAIXA Std Book" w:hAnsi="CAIXA Std Book"/>
          <w:color w:val="005CA9"/>
          <w:sz w:val="20"/>
          <w:szCs w:val="20"/>
        </w:rPr>
        <w:t>v</w:t>
      </w:r>
      <w:r w:rsidR="009E2B9B" w:rsidRPr="00156A5B">
        <w:rPr>
          <w:rFonts w:ascii="CAIXA Std Book" w:hAnsi="CAIXA Std Book"/>
          <w:color w:val="005CA9"/>
          <w:sz w:val="20"/>
          <w:szCs w:val="20"/>
        </w:rPr>
        <w:t xml:space="preserve">alor </w:t>
      </w:r>
      <w:r w:rsidR="00C66BF6" w:rsidRPr="00156A5B">
        <w:rPr>
          <w:rFonts w:ascii="CAIXA Std Book" w:hAnsi="CAIXA Std Book"/>
          <w:color w:val="005CA9"/>
          <w:sz w:val="20"/>
          <w:szCs w:val="20"/>
        </w:rPr>
        <w:t>a</w:t>
      </w:r>
      <w:r w:rsidR="009E2B9B" w:rsidRPr="00156A5B">
        <w:rPr>
          <w:rFonts w:ascii="CAIXA Std Book" w:hAnsi="CAIXA Std Book"/>
          <w:color w:val="005CA9"/>
          <w:sz w:val="20"/>
          <w:szCs w:val="20"/>
        </w:rPr>
        <w:t>dicionado consoli</w:t>
      </w:r>
      <w:r w:rsidR="00315621" w:rsidRPr="00156A5B">
        <w:rPr>
          <w:rFonts w:ascii="CAIXA Std Book" w:hAnsi="CAIXA Std Book"/>
          <w:color w:val="005CA9"/>
          <w:sz w:val="20"/>
          <w:szCs w:val="20"/>
        </w:rPr>
        <w:t>da</w:t>
      </w:r>
      <w:r w:rsidR="00C66BF6" w:rsidRPr="00156A5B">
        <w:rPr>
          <w:rFonts w:ascii="CAIXA Std Book" w:hAnsi="CAIXA Std Book"/>
          <w:color w:val="005CA9"/>
          <w:sz w:val="20"/>
          <w:szCs w:val="20"/>
        </w:rPr>
        <w:t>d</w:t>
      </w:r>
      <w:r w:rsidR="00156A5B" w:rsidRPr="00156A5B">
        <w:rPr>
          <w:rFonts w:ascii="CAIXA Std Book" w:hAnsi="CAIXA Std Book"/>
          <w:color w:val="005CA9"/>
          <w:sz w:val="20"/>
          <w:szCs w:val="20"/>
        </w:rPr>
        <w:t>a</w:t>
      </w:r>
      <w:r w:rsidRPr="006B12BD">
        <w:rPr>
          <w:rFonts w:ascii="CAIXA Std Book" w:hAnsi="CAIXA Std Book"/>
          <w:color w:val="005CA9"/>
          <w:sz w:val="20"/>
          <w:szCs w:val="20"/>
        </w:rPr>
        <w:t xml:space="preserve"> relativos ao </w:t>
      </w:r>
      <w:r>
        <w:rPr>
          <w:rFonts w:ascii="CAIXA Std Book" w:hAnsi="CAIXA Std Book"/>
          <w:color w:val="005CA9"/>
          <w:sz w:val="20"/>
          <w:szCs w:val="20"/>
        </w:rPr>
        <w:t>trimestre findo e</w:t>
      </w:r>
      <w:r w:rsidR="00B40584">
        <w:rPr>
          <w:rFonts w:ascii="CAIXA Std Book" w:hAnsi="CAIXA Std Book"/>
          <w:color w:val="005CA9"/>
          <w:sz w:val="20"/>
          <w:szCs w:val="20"/>
        </w:rPr>
        <w:t>m</w:t>
      </w:r>
      <w:r>
        <w:rPr>
          <w:rFonts w:ascii="CAIXA Std Book" w:hAnsi="CAIXA Std Book"/>
          <w:color w:val="005CA9"/>
          <w:sz w:val="20"/>
          <w:szCs w:val="20"/>
        </w:rPr>
        <w:t xml:space="preserve"> 31/03/2025.</w:t>
      </w:r>
    </w:p>
    <w:p w14:paraId="6FA3A1C2" w14:textId="09B6413F" w:rsidR="00D92B56" w:rsidRPr="006B12BD" w:rsidRDefault="00C14F87" w:rsidP="006B12BD">
      <w:pPr>
        <w:pStyle w:val="PargrafodaLista"/>
        <w:keepNext/>
        <w:numPr>
          <w:ilvl w:val="0"/>
          <w:numId w:val="53"/>
        </w:numPr>
        <w:spacing w:before="240" w:after="120"/>
        <w:jc w:val="both"/>
        <w:rPr>
          <w:rFonts w:ascii="CAIXA Std Book" w:hAnsi="CAIXA Std Book"/>
          <w:b/>
          <w:bCs/>
          <w:color w:val="005CA9"/>
          <w:sz w:val="20"/>
          <w:szCs w:val="20"/>
        </w:rPr>
      </w:pPr>
      <w:r w:rsidRPr="006B12BD">
        <w:rPr>
          <w:rFonts w:ascii="CAIXA Std Book" w:hAnsi="CAIXA Std Book"/>
          <w:b/>
          <w:bCs/>
          <w:color w:val="005CA9"/>
          <w:sz w:val="20"/>
          <w:szCs w:val="20"/>
        </w:rPr>
        <w:t>Demonstração do resultado consolidad</w:t>
      </w:r>
      <w:r w:rsidR="006B12BD" w:rsidRPr="006B12BD">
        <w:rPr>
          <w:rFonts w:ascii="CAIXA Std Book" w:hAnsi="CAIXA Std Book"/>
          <w:b/>
          <w:bCs/>
          <w:color w:val="005CA9"/>
          <w:sz w:val="20"/>
          <w:szCs w:val="20"/>
        </w:rPr>
        <w:t>a</w:t>
      </w:r>
    </w:p>
    <w:tbl>
      <w:tblPr>
        <w:tblW w:w="5000" w:type="pct"/>
        <w:tblCellMar>
          <w:left w:w="70" w:type="dxa"/>
          <w:right w:w="70" w:type="dxa"/>
        </w:tblCellMar>
        <w:tblLook w:val="04A0" w:firstRow="1" w:lastRow="0" w:firstColumn="1" w:lastColumn="0" w:noHBand="0" w:noVBand="1"/>
      </w:tblPr>
      <w:tblGrid>
        <w:gridCol w:w="5669"/>
        <w:gridCol w:w="1351"/>
        <w:gridCol w:w="1247"/>
        <w:gridCol w:w="1371"/>
      </w:tblGrid>
      <w:tr w:rsidR="000A63A8" w:rsidRPr="000A63A8" w14:paraId="4C7E6DDC" w14:textId="77777777" w:rsidTr="00F741DE">
        <w:trPr>
          <w:trHeight w:val="283"/>
        </w:trPr>
        <w:tc>
          <w:tcPr>
            <w:tcW w:w="2941" w:type="pct"/>
            <w:vMerge w:val="restart"/>
            <w:tcBorders>
              <w:top w:val="nil"/>
              <w:left w:val="nil"/>
              <w:bottom w:val="nil"/>
              <w:right w:val="nil"/>
            </w:tcBorders>
            <w:shd w:val="clear" w:color="000000" w:fill="005CA9"/>
            <w:vAlign w:val="center"/>
            <w:hideMark/>
          </w:tcPr>
          <w:p w14:paraId="33BCE866" w14:textId="77777777" w:rsidR="000A63A8" w:rsidRPr="000A63A8" w:rsidRDefault="000A63A8" w:rsidP="000A63A8">
            <w:pPr>
              <w:jc w:val="center"/>
              <w:rPr>
                <w:rFonts w:ascii="CAIXA Std Book" w:eastAsia="Times New Roman" w:hAnsi="CAIXA Std Book" w:cs="Calibri"/>
                <w:b/>
                <w:bCs/>
                <w:color w:val="FFFFFF"/>
                <w:sz w:val="18"/>
                <w:szCs w:val="18"/>
              </w:rPr>
            </w:pPr>
            <w:r w:rsidRPr="000A63A8">
              <w:rPr>
                <w:rFonts w:ascii="CAIXA Std Book" w:eastAsia="Times New Roman" w:hAnsi="CAIXA Std Book" w:cs="Calibri"/>
                <w:b/>
                <w:bCs/>
                <w:color w:val="FFFFFF"/>
                <w:sz w:val="18"/>
                <w:szCs w:val="18"/>
              </w:rPr>
              <w:t>Descrição</w:t>
            </w:r>
          </w:p>
        </w:tc>
        <w:tc>
          <w:tcPr>
            <w:tcW w:w="2059" w:type="pct"/>
            <w:gridSpan w:val="3"/>
            <w:tcBorders>
              <w:top w:val="nil"/>
              <w:left w:val="nil"/>
              <w:bottom w:val="single" w:sz="4" w:space="0" w:color="FFFFFF"/>
              <w:right w:val="nil"/>
            </w:tcBorders>
            <w:shd w:val="clear" w:color="000000" w:fill="005CA9"/>
            <w:vAlign w:val="center"/>
            <w:hideMark/>
          </w:tcPr>
          <w:p w14:paraId="712C5324" w14:textId="77777777" w:rsidR="000A63A8" w:rsidRPr="000A63A8" w:rsidRDefault="000A63A8" w:rsidP="000A63A8">
            <w:pPr>
              <w:jc w:val="center"/>
              <w:rPr>
                <w:rFonts w:ascii="CAIXA Std Book" w:eastAsia="Times New Roman" w:hAnsi="CAIXA Std Book" w:cs="Calibri"/>
                <w:b/>
                <w:bCs/>
                <w:color w:val="FFFFFF"/>
                <w:sz w:val="18"/>
                <w:szCs w:val="18"/>
              </w:rPr>
            </w:pPr>
            <w:r w:rsidRPr="000A63A8">
              <w:rPr>
                <w:rFonts w:ascii="CAIXA Std Book" w:eastAsia="Times New Roman" w:hAnsi="CAIXA Std Book" w:cs="Calibri"/>
                <w:b/>
                <w:bCs/>
                <w:color w:val="FFFFFF"/>
                <w:sz w:val="18"/>
                <w:szCs w:val="18"/>
              </w:rPr>
              <w:t>Consolidado</w:t>
            </w:r>
          </w:p>
        </w:tc>
      </w:tr>
      <w:tr w:rsidR="000A63A8" w:rsidRPr="000A63A8" w14:paraId="64D57092" w14:textId="77777777" w:rsidTr="00F741DE">
        <w:trPr>
          <w:trHeight w:val="283"/>
        </w:trPr>
        <w:tc>
          <w:tcPr>
            <w:tcW w:w="2941" w:type="pct"/>
            <w:vMerge/>
            <w:tcBorders>
              <w:top w:val="nil"/>
              <w:left w:val="nil"/>
              <w:bottom w:val="nil"/>
              <w:right w:val="nil"/>
            </w:tcBorders>
            <w:vAlign w:val="center"/>
            <w:hideMark/>
          </w:tcPr>
          <w:p w14:paraId="29496C69" w14:textId="77777777" w:rsidR="000A63A8" w:rsidRPr="000A63A8" w:rsidRDefault="000A63A8" w:rsidP="000A63A8">
            <w:pPr>
              <w:rPr>
                <w:rFonts w:ascii="CAIXA Std Book" w:eastAsia="Times New Roman" w:hAnsi="CAIXA Std Book" w:cs="Calibri"/>
                <w:b/>
                <w:bCs/>
                <w:color w:val="FFFFFF"/>
                <w:sz w:val="18"/>
                <w:szCs w:val="18"/>
              </w:rPr>
            </w:pPr>
          </w:p>
        </w:tc>
        <w:tc>
          <w:tcPr>
            <w:tcW w:w="2059" w:type="pct"/>
            <w:gridSpan w:val="3"/>
            <w:tcBorders>
              <w:top w:val="single" w:sz="4" w:space="0" w:color="FFFFFF"/>
              <w:left w:val="nil"/>
              <w:bottom w:val="single" w:sz="4" w:space="0" w:color="FFFFFF"/>
              <w:right w:val="nil"/>
            </w:tcBorders>
            <w:shd w:val="clear" w:color="000000" w:fill="005CA9"/>
            <w:vAlign w:val="center"/>
            <w:hideMark/>
          </w:tcPr>
          <w:p w14:paraId="00D0C9AC" w14:textId="77777777" w:rsidR="000A63A8" w:rsidRPr="000A63A8" w:rsidRDefault="000A63A8" w:rsidP="000A63A8">
            <w:pPr>
              <w:jc w:val="center"/>
              <w:rPr>
                <w:rFonts w:ascii="CAIXA Std Book" w:eastAsia="Times New Roman" w:hAnsi="CAIXA Std Book" w:cs="Calibri"/>
                <w:b/>
                <w:bCs/>
                <w:color w:val="FFFFFF"/>
                <w:sz w:val="18"/>
                <w:szCs w:val="18"/>
              </w:rPr>
            </w:pPr>
            <w:r w:rsidRPr="000A63A8">
              <w:rPr>
                <w:rFonts w:ascii="CAIXA Std Book" w:eastAsia="Times New Roman" w:hAnsi="CAIXA Std Book" w:cs="Calibri"/>
                <w:b/>
                <w:bCs/>
                <w:color w:val="FFFFFF"/>
                <w:sz w:val="18"/>
                <w:szCs w:val="18"/>
              </w:rPr>
              <w:t>1º trimestre de 2025</w:t>
            </w:r>
          </w:p>
        </w:tc>
      </w:tr>
      <w:tr w:rsidR="000A63A8" w:rsidRPr="000A63A8" w14:paraId="49EC9B63" w14:textId="77777777" w:rsidTr="00F741DE">
        <w:trPr>
          <w:trHeight w:val="283"/>
        </w:trPr>
        <w:tc>
          <w:tcPr>
            <w:tcW w:w="2941" w:type="pct"/>
            <w:vMerge/>
            <w:tcBorders>
              <w:top w:val="nil"/>
              <w:left w:val="nil"/>
              <w:bottom w:val="nil"/>
              <w:right w:val="nil"/>
            </w:tcBorders>
            <w:vAlign w:val="center"/>
            <w:hideMark/>
          </w:tcPr>
          <w:p w14:paraId="6B4C8DDE" w14:textId="77777777" w:rsidR="000A63A8" w:rsidRPr="000A63A8" w:rsidRDefault="000A63A8" w:rsidP="000A63A8">
            <w:pPr>
              <w:rPr>
                <w:rFonts w:ascii="CAIXA Std Book" w:eastAsia="Times New Roman" w:hAnsi="CAIXA Std Book" w:cs="Calibri"/>
                <w:b/>
                <w:bCs/>
                <w:color w:val="FFFFFF"/>
                <w:sz w:val="18"/>
                <w:szCs w:val="18"/>
              </w:rPr>
            </w:pPr>
          </w:p>
        </w:tc>
        <w:tc>
          <w:tcPr>
            <w:tcW w:w="701" w:type="pct"/>
            <w:tcBorders>
              <w:top w:val="nil"/>
              <w:left w:val="nil"/>
              <w:bottom w:val="nil"/>
              <w:right w:val="nil"/>
            </w:tcBorders>
            <w:shd w:val="clear" w:color="000000" w:fill="005CA9"/>
            <w:vAlign w:val="center"/>
            <w:hideMark/>
          </w:tcPr>
          <w:p w14:paraId="72EB7A7A" w14:textId="77777777" w:rsidR="000A63A8" w:rsidRPr="000A63A8" w:rsidRDefault="000A63A8" w:rsidP="000A63A8">
            <w:pPr>
              <w:jc w:val="center"/>
              <w:rPr>
                <w:rFonts w:ascii="CAIXA Std Book" w:eastAsia="Times New Roman" w:hAnsi="CAIXA Std Book" w:cs="Calibri"/>
                <w:b/>
                <w:bCs/>
                <w:color w:val="FFFFFF"/>
                <w:sz w:val="18"/>
                <w:szCs w:val="18"/>
              </w:rPr>
            </w:pPr>
            <w:r w:rsidRPr="000A63A8">
              <w:rPr>
                <w:rFonts w:ascii="CAIXA Std Book" w:eastAsia="Times New Roman" w:hAnsi="CAIXA Std Book" w:cs="Calibri"/>
                <w:b/>
                <w:bCs/>
                <w:color w:val="FFFFFF"/>
                <w:sz w:val="18"/>
                <w:szCs w:val="18"/>
              </w:rPr>
              <w:t>Conforme apresentado anteriormente</w:t>
            </w:r>
          </w:p>
        </w:tc>
        <w:tc>
          <w:tcPr>
            <w:tcW w:w="647" w:type="pct"/>
            <w:tcBorders>
              <w:top w:val="nil"/>
              <w:left w:val="nil"/>
              <w:bottom w:val="nil"/>
              <w:right w:val="nil"/>
            </w:tcBorders>
            <w:shd w:val="clear" w:color="000000" w:fill="005CA9"/>
            <w:vAlign w:val="center"/>
            <w:hideMark/>
          </w:tcPr>
          <w:p w14:paraId="4EC68BD6" w14:textId="77777777" w:rsidR="000A63A8" w:rsidRPr="000A63A8" w:rsidRDefault="000A63A8" w:rsidP="000A63A8">
            <w:pPr>
              <w:jc w:val="center"/>
              <w:rPr>
                <w:rFonts w:ascii="CAIXA Std Book" w:eastAsia="Times New Roman" w:hAnsi="CAIXA Std Book" w:cs="Calibri"/>
                <w:b/>
                <w:bCs/>
                <w:color w:val="FFFFFF"/>
                <w:sz w:val="18"/>
                <w:szCs w:val="18"/>
              </w:rPr>
            </w:pPr>
            <w:r w:rsidRPr="000A63A8">
              <w:rPr>
                <w:rFonts w:ascii="CAIXA Std Book" w:eastAsia="Times New Roman" w:hAnsi="CAIXA Std Book" w:cs="Calibri"/>
                <w:b/>
                <w:bCs/>
                <w:color w:val="FFFFFF"/>
                <w:sz w:val="18"/>
                <w:szCs w:val="18"/>
              </w:rPr>
              <w:t>Ajuste</w:t>
            </w:r>
          </w:p>
        </w:tc>
        <w:tc>
          <w:tcPr>
            <w:tcW w:w="710" w:type="pct"/>
            <w:tcBorders>
              <w:top w:val="nil"/>
              <w:left w:val="nil"/>
              <w:bottom w:val="nil"/>
              <w:right w:val="nil"/>
            </w:tcBorders>
            <w:shd w:val="clear" w:color="000000" w:fill="005CA9"/>
            <w:vAlign w:val="center"/>
            <w:hideMark/>
          </w:tcPr>
          <w:p w14:paraId="31EF71C7" w14:textId="77777777" w:rsidR="000A63A8" w:rsidRPr="000A63A8" w:rsidRDefault="000A63A8" w:rsidP="000A63A8">
            <w:pPr>
              <w:jc w:val="center"/>
              <w:rPr>
                <w:rFonts w:ascii="CAIXA Std Book" w:eastAsia="Times New Roman" w:hAnsi="CAIXA Std Book" w:cs="Calibri"/>
                <w:b/>
                <w:bCs/>
                <w:color w:val="FFFFFF"/>
                <w:sz w:val="18"/>
                <w:szCs w:val="18"/>
              </w:rPr>
            </w:pPr>
            <w:r w:rsidRPr="000A63A8">
              <w:rPr>
                <w:rFonts w:ascii="CAIXA Std Book" w:eastAsia="Times New Roman" w:hAnsi="CAIXA Std Book" w:cs="Calibri"/>
                <w:b/>
                <w:bCs/>
                <w:color w:val="FFFFFF"/>
                <w:sz w:val="18"/>
                <w:szCs w:val="18"/>
              </w:rPr>
              <w:t>Valor ajustado</w:t>
            </w:r>
          </w:p>
        </w:tc>
      </w:tr>
      <w:tr w:rsidR="000A63A8" w:rsidRPr="000A63A8" w14:paraId="56016F7E" w14:textId="77777777" w:rsidTr="00F741DE">
        <w:trPr>
          <w:trHeight w:val="283"/>
        </w:trPr>
        <w:tc>
          <w:tcPr>
            <w:tcW w:w="2941" w:type="pct"/>
            <w:tcBorders>
              <w:top w:val="nil"/>
              <w:left w:val="nil"/>
              <w:bottom w:val="single" w:sz="4" w:space="0" w:color="FFFFFF"/>
              <w:right w:val="nil"/>
            </w:tcBorders>
            <w:shd w:val="clear" w:color="000000" w:fill="D0E0E3"/>
            <w:noWrap/>
            <w:vAlign w:val="center"/>
            <w:hideMark/>
          </w:tcPr>
          <w:p w14:paraId="1511F25E" w14:textId="77777777" w:rsidR="000A63A8" w:rsidRPr="000A63A8" w:rsidRDefault="000A63A8" w:rsidP="000A63A8">
            <w:pPr>
              <w:rPr>
                <w:rFonts w:ascii="CAIXA Std Book" w:eastAsia="Times New Roman" w:hAnsi="CAIXA Std Book" w:cs="Calibri"/>
                <w:b/>
                <w:bCs/>
                <w:color w:val="005CA9"/>
                <w:sz w:val="18"/>
                <w:szCs w:val="18"/>
              </w:rPr>
            </w:pPr>
            <w:r w:rsidRPr="000A63A8">
              <w:rPr>
                <w:rFonts w:ascii="CAIXA Std Book" w:eastAsia="Times New Roman" w:hAnsi="CAIXA Std Book" w:cs="Calibri"/>
                <w:b/>
                <w:bCs/>
                <w:color w:val="005CA9"/>
                <w:sz w:val="18"/>
                <w:szCs w:val="18"/>
              </w:rPr>
              <w:t>Despesas da intermediação financeira</w:t>
            </w:r>
          </w:p>
        </w:tc>
        <w:tc>
          <w:tcPr>
            <w:tcW w:w="701" w:type="pct"/>
            <w:tcBorders>
              <w:top w:val="nil"/>
              <w:left w:val="nil"/>
              <w:bottom w:val="single" w:sz="4" w:space="0" w:color="FFFFFF"/>
              <w:right w:val="nil"/>
            </w:tcBorders>
            <w:shd w:val="clear" w:color="000000" w:fill="D0E0E3"/>
            <w:noWrap/>
            <w:vAlign w:val="center"/>
            <w:hideMark/>
          </w:tcPr>
          <w:p w14:paraId="6C8BCBF9" w14:textId="77777777" w:rsidR="000A63A8" w:rsidRPr="000A63A8" w:rsidRDefault="000A63A8" w:rsidP="000A63A8">
            <w:pPr>
              <w:jc w:val="right"/>
              <w:rPr>
                <w:rFonts w:ascii="CAIXA Std Book" w:eastAsia="Times New Roman" w:hAnsi="CAIXA Std Book" w:cs="Calibri"/>
                <w:b/>
                <w:bCs/>
                <w:color w:val="005CA9"/>
                <w:sz w:val="18"/>
                <w:szCs w:val="18"/>
              </w:rPr>
            </w:pPr>
            <w:r w:rsidRPr="000A63A8">
              <w:rPr>
                <w:rFonts w:ascii="CAIXA Std Book" w:eastAsia="Times New Roman" w:hAnsi="CAIXA Std Book" w:cs="Calibri"/>
                <w:b/>
                <w:bCs/>
                <w:color w:val="005CA9"/>
                <w:sz w:val="18"/>
                <w:szCs w:val="18"/>
              </w:rPr>
              <w:t>(39.082.172)</w:t>
            </w:r>
          </w:p>
        </w:tc>
        <w:tc>
          <w:tcPr>
            <w:tcW w:w="647" w:type="pct"/>
            <w:tcBorders>
              <w:top w:val="nil"/>
              <w:left w:val="nil"/>
              <w:bottom w:val="single" w:sz="4" w:space="0" w:color="FFFFFF"/>
              <w:right w:val="nil"/>
            </w:tcBorders>
            <w:shd w:val="clear" w:color="000000" w:fill="D0E0E3"/>
            <w:noWrap/>
            <w:vAlign w:val="center"/>
            <w:hideMark/>
          </w:tcPr>
          <w:p w14:paraId="4A1D08C4" w14:textId="77777777" w:rsidR="000A63A8" w:rsidRPr="000A63A8" w:rsidRDefault="000A63A8" w:rsidP="000A63A8">
            <w:pPr>
              <w:jc w:val="right"/>
              <w:rPr>
                <w:rFonts w:ascii="CAIXA Std Book" w:eastAsia="Times New Roman" w:hAnsi="CAIXA Std Book" w:cs="Calibri"/>
                <w:b/>
                <w:bCs/>
                <w:color w:val="005CA9"/>
                <w:sz w:val="18"/>
                <w:szCs w:val="18"/>
              </w:rPr>
            </w:pPr>
            <w:r w:rsidRPr="000A63A8">
              <w:rPr>
                <w:rFonts w:ascii="CAIXA Std Book" w:eastAsia="Times New Roman" w:hAnsi="CAIXA Std Book" w:cs="Calibri"/>
                <w:b/>
                <w:bCs/>
                <w:color w:val="005CA9"/>
                <w:sz w:val="18"/>
                <w:szCs w:val="18"/>
              </w:rPr>
              <w:t>343.682</w:t>
            </w:r>
          </w:p>
        </w:tc>
        <w:tc>
          <w:tcPr>
            <w:tcW w:w="710" w:type="pct"/>
            <w:tcBorders>
              <w:top w:val="nil"/>
              <w:left w:val="nil"/>
              <w:bottom w:val="single" w:sz="4" w:space="0" w:color="FFFFFF"/>
              <w:right w:val="nil"/>
            </w:tcBorders>
            <w:shd w:val="clear" w:color="000000" w:fill="D0E0E3"/>
            <w:noWrap/>
            <w:vAlign w:val="center"/>
            <w:hideMark/>
          </w:tcPr>
          <w:p w14:paraId="56E6240A" w14:textId="77777777" w:rsidR="000A63A8" w:rsidRPr="000A63A8" w:rsidRDefault="000A63A8" w:rsidP="000A63A8">
            <w:pPr>
              <w:jc w:val="right"/>
              <w:rPr>
                <w:rFonts w:ascii="CAIXA Std Book" w:eastAsia="Times New Roman" w:hAnsi="CAIXA Std Book" w:cs="Calibri"/>
                <w:b/>
                <w:bCs/>
                <w:color w:val="005CA9"/>
                <w:sz w:val="18"/>
                <w:szCs w:val="18"/>
              </w:rPr>
            </w:pPr>
            <w:r w:rsidRPr="000A63A8">
              <w:rPr>
                <w:rFonts w:ascii="CAIXA Std Book" w:eastAsia="Times New Roman" w:hAnsi="CAIXA Std Book" w:cs="Calibri"/>
                <w:b/>
                <w:bCs/>
                <w:color w:val="005CA9"/>
                <w:sz w:val="18"/>
                <w:szCs w:val="18"/>
              </w:rPr>
              <w:t>(38.738.490)</w:t>
            </w:r>
          </w:p>
        </w:tc>
      </w:tr>
      <w:tr w:rsidR="000A63A8" w:rsidRPr="000A63A8" w14:paraId="4D1A387F" w14:textId="77777777" w:rsidTr="00F741DE">
        <w:trPr>
          <w:trHeight w:val="283"/>
        </w:trPr>
        <w:tc>
          <w:tcPr>
            <w:tcW w:w="2941" w:type="pct"/>
            <w:tcBorders>
              <w:top w:val="nil"/>
              <w:left w:val="nil"/>
              <w:bottom w:val="nil"/>
              <w:right w:val="nil"/>
            </w:tcBorders>
            <w:shd w:val="clear" w:color="000000" w:fill="FFFFFF"/>
            <w:noWrap/>
            <w:vAlign w:val="center"/>
            <w:hideMark/>
          </w:tcPr>
          <w:p w14:paraId="101F2924" w14:textId="77777777" w:rsidR="000A63A8" w:rsidRPr="000A63A8" w:rsidRDefault="000A63A8" w:rsidP="000A63A8">
            <w:pPr>
              <w:ind w:firstLineChars="100" w:firstLine="180"/>
              <w:rPr>
                <w:rFonts w:ascii="CAIXA Std Book" w:eastAsia="Times New Roman" w:hAnsi="CAIXA Std Book" w:cs="Calibri"/>
                <w:color w:val="005CA9"/>
                <w:sz w:val="18"/>
                <w:szCs w:val="18"/>
              </w:rPr>
            </w:pPr>
            <w:r w:rsidRPr="000A63A8">
              <w:rPr>
                <w:rFonts w:ascii="CAIXA Std Book" w:eastAsia="Times New Roman" w:hAnsi="CAIXA Std Book" w:cs="Calibri"/>
                <w:color w:val="005CA9"/>
                <w:sz w:val="18"/>
                <w:szCs w:val="18"/>
              </w:rPr>
              <w:t>Recursos de emissões de títulos e valores mobiliários</w:t>
            </w:r>
          </w:p>
        </w:tc>
        <w:tc>
          <w:tcPr>
            <w:tcW w:w="701" w:type="pct"/>
            <w:tcBorders>
              <w:top w:val="nil"/>
              <w:left w:val="nil"/>
              <w:bottom w:val="nil"/>
              <w:right w:val="nil"/>
            </w:tcBorders>
            <w:shd w:val="clear" w:color="000000" w:fill="FFFFFF"/>
            <w:noWrap/>
            <w:vAlign w:val="center"/>
            <w:hideMark/>
          </w:tcPr>
          <w:p w14:paraId="167A00EE" w14:textId="77777777" w:rsidR="000A63A8" w:rsidRPr="000A63A8" w:rsidRDefault="000A63A8" w:rsidP="000A63A8">
            <w:pPr>
              <w:jc w:val="right"/>
              <w:rPr>
                <w:rFonts w:ascii="CAIXA Std Book" w:eastAsia="Times New Roman" w:hAnsi="CAIXA Std Book" w:cs="Calibri"/>
                <w:color w:val="005CA9"/>
                <w:sz w:val="18"/>
                <w:szCs w:val="18"/>
              </w:rPr>
            </w:pPr>
            <w:r w:rsidRPr="000A63A8">
              <w:rPr>
                <w:rFonts w:ascii="CAIXA Std Book" w:eastAsia="Times New Roman" w:hAnsi="CAIXA Std Book" w:cs="Calibri"/>
                <w:color w:val="005CA9"/>
                <w:sz w:val="18"/>
                <w:szCs w:val="18"/>
              </w:rPr>
              <w:t>(7.093.690)</w:t>
            </w:r>
          </w:p>
        </w:tc>
        <w:tc>
          <w:tcPr>
            <w:tcW w:w="647" w:type="pct"/>
            <w:tcBorders>
              <w:top w:val="nil"/>
              <w:left w:val="nil"/>
              <w:bottom w:val="nil"/>
              <w:right w:val="nil"/>
            </w:tcBorders>
            <w:shd w:val="clear" w:color="000000" w:fill="FFFFFF"/>
            <w:noWrap/>
            <w:vAlign w:val="center"/>
            <w:hideMark/>
          </w:tcPr>
          <w:p w14:paraId="61825C70" w14:textId="77777777" w:rsidR="000A63A8" w:rsidRPr="000A63A8" w:rsidRDefault="000A63A8" w:rsidP="000A63A8">
            <w:pPr>
              <w:jc w:val="right"/>
              <w:rPr>
                <w:rFonts w:ascii="CAIXA Std Book" w:eastAsia="Times New Roman" w:hAnsi="CAIXA Std Book" w:cs="Calibri"/>
                <w:color w:val="005CA9"/>
                <w:sz w:val="18"/>
                <w:szCs w:val="18"/>
              </w:rPr>
            </w:pPr>
            <w:r w:rsidRPr="000A63A8">
              <w:rPr>
                <w:rFonts w:ascii="CAIXA Std Book" w:eastAsia="Times New Roman" w:hAnsi="CAIXA Std Book" w:cs="Calibri"/>
                <w:color w:val="005CA9"/>
                <w:sz w:val="18"/>
                <w:szCs w:val="18"/>
              </w:rPr>
              <w:t>343.682</w:t>
            </w:r>
          </w:p>
        </w:tc>
        <w:tc>
          <w:tcPr>
            <w:tcW w:w="710" w:type="pct"/>
            <w:tcBorders>
              <w:top w:val="nil"/>
              <w:left w:val="nil"/>
              <w:bottom w:val="nil"/>
              <w:right w:val="nil"/>
            </w:tcBorders>
            <w:shd w:val="clear" w:color="000000" w:fill="FFFFFF"/>
            <w:noWrap/>
            <w:vAlign w:val="center"/>
            <w:hideMark/>
          </w:tcPr>
          <w:p w14:paraId="61211472" w14:textId="77777777" w:rsidR="000A63A8" w:rsidRPr="000A63A8" w:rsidRDefault="000A63A8" w:rsidP="000A63A8">
            <w:pPr>
              <w:jc w:val="right"/>
              <w:rPr>
                <w:rFonts w:ascii="CAIXA Std Book" w:eastAsia="Times New Roman" w:hAnsi="CAIXA Std Book" w:cs="Calibri"/>
                <w:color w:val="005CA9"/>
                <w:sz w:val="18"/>
                <w:szCs w:val="18"/>
              </w:rPr>
            </w:pPr>
            <w:r w:rsidRPr="000A63A8">
              <w:rPr>
                <w:rFonts w:ascii="CAIXA Std Book" w:eastAsia="Times New Roman" w:hAnsi="CAIXA Std Book" w:cs="Calibri"/>
                <w:color w:val="005CA9"/>
                <w:sz w:val="18"/>
                <w:szCs w:val="18"/>
              </w:rPr>
              <w:t>(6.750.008)</w:t>
            </w:r>
          </w:p>
        </w:tc>
      </w:tr>
      <w:tr w:rsidR="000A63A8" w:rsidRPr="000A63A8" w14:paraId="22D7E7EE" w14:textId="77777777" w:rsidTr="00F741DE">
        <w:trPr>
          <w:trHeight w:val="283"/>
        </w:trPr>
        <w:tc>
          <w:tcPr>
            <w:tcW w:w="2941" w:type="pct"/>
            <w:tcBorders>
              <w:top w:val="nil"/>
              <w:left w:val="nil"/>
              <w:bottom w:val="single" w:sz="4" w:space="0" w:color="FFFFFF"/>
              <w:right w:val="nil"/>
            </w:tcBorders>
            <w:shd w:val="clear" w:color="000000" w:fill="D0E0E3"/>
            <w:noWrap/>
            <w:vAlign w:val="center"/>
            <w:hideMark/>
          </w:tcPr>
          <w:p w14:paraId="01F64D3D" w14:textId="77777777" w:rsidR="000A63A8" w:rsidRPr="000A63A8" w:rsidRDefault="000A63A8" w:rsidP="000A63A8">
            <w:pPr>
              <w:rPr>
                <w:rFonts w:ascii="CAIXA Std Book" w:eastAsia="Times New Roman" w:hAnsi="CAIXA Std Book" w:cs="Calibri"/>
                <w:b/>
                <w:bCs/>
                <w:color w:val="005CA9"/>
                <w:sz w:val="18"/>
                <w:szCs w:val="18"/>
              </w:rPr>
            </w:pPr>
            <w:r w:rsidRPr="000A63A8">
              <w:rPr>
                <w:rFonts w:ascii="CAIXA Std Book" w:eastAsia="Times New Roman" w:hAnsi="CAIXA Std Book" w:cs="Calibri"/>
                <w:b/>
                <w:bCs/>
                <w:color w:val="005CA9"/>
                <w:sz w:val="18"/>
                <w:szCs w:val="18"/>
              </w:rPr>
              <w:t>Resultado da intermediação financeira</w:t>
            </w:r>
          </w:p>
        </w:tc>
        <w:tc>
          <w:tcPr>
            <w:tcW w:w="701" w:type="pct"/>
            <w:tcBorders>
              <w:top w:val="nil"/>
              <w:left w:val="nil"/>
              <w:bottom w:val="single" w:sz="4" w:space="0" w:color="FFFFFF"/>
              <w:right w:val="nil"/>
            </w:tcBorders>
            <w:shd w:val="clear" w:color="000000" w:fill="D0E0E3"/>
            <w:noWrap/>
            <w:vAlign w:val="center"/>
            <w:hideMark/>
          </w:tcPr>
          <w:p w14:paraId="60FDBC41" w14:textId="77777777" w:rsidR="000A63A8" w:rsidRPr="000A63A8" w:rsidRDefault="000A63A8" w:rsidP="000A63A8">
            <w:pPr>
              <w:jc w:val="right"/>
              <w:rPr>
                <w:rFonts w:ascii="CAIXA Std Book" w:eastAsia="Times New Roman" w:hAnsi="CAIXA Std Book" w:cs="Calibri"/>
                <w:b/>
                <w:bCs/>
                <w:color w:val="005CA9"/>
                <w:sz w:val="18"/>
                <w:szCs w:val="18"/>
              </w:rPr>
            </w:pPr>
            <w:r w:rsidRPr="000A63A8">
              <w:rPr>
                <w:rFonts w:ascii="CAIXA Std Book" w:eastAsia="Times New Roman" w:hAnsi="CAIXA Std Book" w:cs="Calibri"/>
                <w:b/>
                <w:bCs/>
                <w:color w:val="005CA9"/>
                <w:sz w:val="18"/>
                <w:szCs w:val="18"/>
              </w:rPr>
              <w:t>13.915.201</w:t>
            </w:r>
          </w:p>
        </w:tc>
        <w:tc>
          <w:tcPr>
            <w:tcW w:w="647" w:type="pct"/>
            <w:tcBorders>
              <w:top w:val="nil"/>
              <w:left w:val="nil"/>
              <w:bottom w:val="single" w:sz="4" w:space="0" w:color="FFFFFF"/>
              <w:right w:val="nil"/>
            </w:tcBorders>
            <w:shd w:val="clear" w:color="000000" w:fill="D0E0E3"/>
            <w:noWrap/>
            <w:vAlign w:val="center"/>
            <w:hideMark/>
          </w:tcPr>
          <w:p w14:paraId="012BF212" w14:textId="77777777" w:rsidR="000A63A8" w:rsidRPr="000A63A8" w:rsidRDefault="000A63A8" w:rsidP="000A63A8">
            <w:pPr>
              <w:jc w:val="right"/>
              <w:rPr>
                <w:rFonts w:ascii="CAIXA Std Book" w:eastAsia="Times New Roman" w:hAnsi="CAIXA Std Book" w:cs="Calibri"/>
                <w:b/>
                <w:bCs/>
                <w:color w:val="005CA9"/>
                <w:sz w:val="18"/>
                <w:szCs w:val="18"/>
              </w:rPr>
            </w:pPr>
            <w:r w:rsidRPr="000A63A8">
              <w:rPr>
                <w:rFonts w:ascii="CAIXA Std Book" w:eastAsia="Times New Roman" w:hAnsi="CAIXA Std Book" w:cs="Calibri"/>
                <w:b/>
                <w:bCs/>
                <w:color w:val="005CA9"/>
                <w:sz w:val="18"/>
                <w:szCs w:val="18"/>
              </w:rPr>
              <w:t>343.682</w:t>
            </w:r>
          </w:p>
        </w:tc>
        <w:tc>
          <w:tcPr>
            <w:tcW w:w="710" w:type="pct"/>
            <w:tcBorders>
              <w:top w:val="nil"/>
              <w:left w:val="nil"/>
              <w:bottom w:val="single" w:sz="4" w:space="0" w:color="FFFFFF"/>
              <w:right w:val="nil"/>
            </w:tcBorders>
            <w:shd w:val="clear" w:color="000000" w:fill="D0E0E3"/>
            <w:noWrap/>
            <w:vAlign w:val="center"/>
            <w:hideMark/>
          </w:tcPr>
          <w:p w14:paraId="0DF2489A" w14:textId="77777777" w:rsidR="000A63A8" w:rsidRPr="000A63A8" w:rsidRDefault="000A63A8" w:rsidP="000A63A8">
            <w:pPr>
              <w:jc w:val="right"/>
              <w:rPr>
                <w:rFonts w:ascii="CAIXA Std Book" w:eastAsia="Times New Roman" w:hAnsi="CAIXA Std Book" w:cs="Calibri"/>
                <w:b/>
                <w:bCs/>
                <w:color w:val="005CA9"/>
                <w:sz w:val="18"/>
                <w:szCs w:val="18"/>
              </w:rPr>
            </w:pPr>
            <w:r w:rsidRPr="000A63A8">
              <w:rPr>
                <w:rFonts w:ascii="CAIXA Std Book" w:eastAsia="Times New Roman" w:hAnsi="CAIXA Std Book" w:cs="Calibri"/>
                <w:b/>
                <w:bCs/>
                <w:color w:val="005CA9"/>
                <w:sz w:val="18"/>
                <w:szCs w:val="18"/>
              </w:rPr>
              <w:t>14.258.883</w:t>
            </w:r>
          </w:p>
        </w:tc>
      </w:tr>
      <w:tr w:rsidR="000A63A8" w:rsidRPr="000A63A8" w14:paraId="43222182" w14:textId="77777777" w:rsidTr="00F741DE">
        <w:trPr>
          <w:trHeight w:val="283"/>
        </w:trPr>
        <w:tc>
          <w:tcPr>
            <w:tcW w:w="2941" w:type="pct"/>
            <w:tcBorders>
              <w:top w:val="nil"/>
              <w:left w:val="nil"/>
              <w:bottom w:val="single" w:sz="4" w:space="0" w:color="FFFFFF"/>
              <w:right w:val="nil"/>
            </w:tcBorders>
            <w:shd w:val="clear" w:color="000000" w:fill="D0E0E3"/>
            <w:noWrap/>
            <w:vAlign w:val="center"/>
            <w:hideMark/>
          </w:tcPr>
          <w:p w14:paraId="4FE96C57" w14:textId="77777777" w:rsidR="000A63A8" w:rsidRPr="000A63A8" w:rsidRDefault="000A63A8" w:rsidP="000A63A8">
            <w:pPr>
              <w:rPr>
                <w:rFonts w:ascii="CAIXA Std Book" w:eastAsia="Times New Roman" w:hAnsi="CAIXA Std Book" w:cs="Calibri"/>
                <w:b/>
                <w:bCs/>
                <w:color w:val="005CA9"/>
                <w:sz w:val="18"/>
                <w:szCs w:val="18"/>
              </w:rPr>
            </w:pPr>
            <w:r w:rsidRPr="000A63A8">
              <w:rPr>
                <w:rFonts w:ascii="CAIXA Std Book" w:eastAsia="Times New Roman" w:hAnsi="CAIXA Std Book" w:cs="Calibri"/>
                <w:b/>
                <w:bCs/>
                <w:color w:val="005CA9"/>
                <w:sz w:val="18"/>
                <w:szCs w:val="18"/>
              </w:rPr>
              <w:t>Resultado operacional</w:t>
            </w:r>
          </w:p>
        </w:tc>
        <w:tc>
          <w:tcPr>
            <w:tcW w:w="701" w:type="pct"/>
            <w:tcBorders>
              <w:top w:val="nil"/>
              <w:left w:val="nil"/>
              <w:bottom w:val="single" w:sz="4" w:space="0" w:color="FFFFFF"/>
              <w:right w:val="nil"/>
            </w:tcBorders>
            <w:shd w:val="clear" w:color="000000" w:fill="D0E0E3"/>
            <w:noWrap/>
            <w:vAlign w:val="center"/>
            <w:hideMark/>
          </w:tcPr>
          <w:p w14:paraId="48EE23C1" w14:textId="77777777" w:rsidR="000A63A8" w:rsidRPr="000A63A8" w:rsidRDefault="000A63A8" w:rsidP="000A63A8">
            <w:pPr>
              <w:jc w:val="right"/>
              <w:rPr>
                <w:rFonts w:ascii="CAIXA Std Book" w:eastAsia="Times New Roman" w:hAnsi="CAIXA Std Book" w:cs="Calibri"/>
                <w:b/>
                <w:bCs/>
                <w:color w:val="005CA9"/>
                <w:sz w:val="18"/>
                <w:szCs w:val="18"/>
              </w:rPr>
            </w:pPr>
            <w:r w:rsidRPr="000A63A8">
              <w:rPr>
                <w:rFonts w:ascii="CAIXA Std Book" w:eastAsia="Times New Roman" w:hAnsi="CAIXA Std Book" w:cs="Calibri"/>
                <w:b/>
                <w:bCs/>
                <w:color w:val="005CA9"/>
                <w:sz w:val="18"/>
                <w:szCs w:val="18"/>
              </w:rPr>
              <w:t>7.478.291</w:t>
            </w:r>
          </w:p>
        </w:tc>
        <w:tc>
          <w:tcPr>
            <w:tcW w:w="647" w:type="pct"/>
            <w:tcBorders>
              <w:top w:val="nil"/>
              <w:left w:val="nil"/>
              <w:bottom w:val="single" w:sz="4" w:space="0" w:color="FFFFFF"/>
              <w:right w:val="nil"/>
            </w:tcBorders>
            <w:shd w:val="clear" w:color="000000" w:fill="D0E0E3"/>
            <w:noWrap/>
            <w:vAlign w:val="center"/>
            <w:hideMark/>
          </w:tcPr>
          <w:p w14:paraId="72DE72AF" w14:textId="77777777" w:rsidR="000A63A8" w:rsidRPr="000A63A8" w:rsidRDefault="000A63A8" w:rsidP="000A63A8">
            <w:pPr>
              <w:jc w:val="right"/>
              <w:rPr>
                <w:rFonts w:ascii="CAIXA Std Book" w:eastAsia="Times New Roman" w:hAnsi="CAIXA Std Book" w:cs="Calibri"/>
                <w:b/>
                <w:bCs/>
                <w:color w:val="005CA9"/>
                <w:sz w:val="18"/>
                <w:szCs w:val="18"/>
              </w:rPr>
            </w:pPr>
            <w:r w:rsidRPr="000A63A8">
              <w:rPr>
                <w:rFonts w:ascii="CAIXA Std Book" w:eastAsia="Times New Roman" w:hAnsi="CAIXA Std Book" w:cs="Calibri"/>
                <w:b/>
                <w:bCs/>
                <w:color w:val="005CA9"/>
                <w:sz w:val="18"/>
                <w:szCs w:val="18"/>
              </w:rPr>
              <w:t>343.682</w:t>
            </w:r>
          </w:p>
        </w:tc>
        <w:tc>
          <w:tcPr>
            <w:tcW w:w="710" w:type="pct"/>
            <w:tcBorders>
              <w:top w:val="nil"/>
              <w:left w:val="nil"/>
              <w:bottom w:val="single" w:sz="4" w:space="0" w:color="FFFFFF"/>
              <w:right w:val="nil"/>
            </w:tcBorders>
            <w:shd w:val="clear" w:color="000000" w:fill="D0E0E3"/>
            <w:noWrap/>
            <w:vAlign w:val="center"/>
            <w:hideMark/>
          </w:tcPr>
          <w:p w14:paraId="5AE2A007" w14:textId="77777777" w:rsidR="000A63A8" w:rsidRPr="000A63A8" w:rsidRDefault="000A63A8" w:rsidP="000A63A8">
            <w:pPr>
              <w:jc w:val="right"/>
              <w:rPr>
                <w:rFonts w:ascii="CAIXA Std Book" w:eastAsia="Times New Roman" w:hAnsi="CAIXA Std Book" w:cs="Calibri"/>
                <w:b/>
                <w:bCs/>
                <w:color w:val="005CA9"/>
                <w:sz w:val="18"/>
                <w:szCs w:val="18"/>
              </w:rPr>
            </w:pPr>
            <w:r w:rsidRPr="000A63A8">
              <w:rPr>
                <w:rFonts w:ascii="CAIXA Std Book" w:eastAsia="Times New Roman" w:hAnsi="CAIXA Std Book" w:cs="Calibri"/>
                <w:b/>
                <w:bCs/>
                <w:color w:val="005CA9"/>
                <w:sz w:val="18"/>
                <w:szCs w:val="18"/>
              </w:rPr>
              <w:t>7.821.973</w:t>
            </w:r>
          </w:p>
        </w:tc>
      </w:tr>
      <w:tr w:rsidR="000A63A8" w:rsidRPr="000A63A8" w14:paraId="19C271DE" w14:textId="77777777" w:rsidTr="00F741DE">
        <w:trPr>
          <w:trHeight w:val="283"/>
        </w:trPr>
        <w:tc>
          <w:tcPr>
            <w:tcW w:w="2941" w:type="pct"/>
            <w:tcBorders>
              <w:top w:val="nil"/>
              <w:left w:val="nil"/>
              <w:bottom w:val="single" w:sz="4" w:space="0" w:color="FFFFFF"/>
              <w:right w:val="nil"/>
            </w:tcBorders>
            <w:shd w:val="clear" w:color="000000" w:fill="D0E0E3"/>
            <w:noWrap/>
            <w:vAlign w:val="center"/>
            <w:hideMark/>
          </w:tcPr>
          <w:p w14:paraId="0F6C4076" w14:textId="77777777" w:rsidR="000A63A8" w:rsidRPr="000A63A8" w:rsidRDefault="000A63A8" w:rsidP="000A63A8">
            <w:pPr>
              <w:rPr>
                <w:rFonts w:ascii="CAIXA Std Book" w:eastAsia="Times New Roman" w:hAnsi="CAIXA Std Book" w:cs="Calibri"/>
                <w:b/>
                <w:bCs/>
                <w:color w:val="005CA9"/>
                <w:sz w:val="18"/>
                <w:szCs w:val="18"/>
              </w:rPr>
            </w:pPr>
            <w:r w:rsidRPr="000A63A8">
              <w:rPr>
                <w:rFonts w:ascii="CAIXA Std Book" w:eastAsia="Times New Roman" w:hAnsi="CAIXA Std Book" w:cs="Calibri"/>
                <w:b/>
                <w:bCs/>
                <w:color w:val="005CA9"/>
                <w:sz w:val="18"/>
                <w:szCs w:val="18"/>
              </w:rPr>
              <w:t>Resultado antes da tributação sobre o lucro</w:t>
            </w:r>
          </w:p>
        </w:tc>
        <w:tc>
          <w:tcPr>
            <w:tcW w:w="701" w:type="pct"/>
            <w:tcBorders>
              <w:top w:val="nil"/>
              <w:left w:val="nil"/>
              <w:bottom w:val="single" w:sz="4" w:space="0" w:color="FFFFFF"/>
              <w:right w:val="nil"/>
            </w:tcBorders>
            <w:shd w:val="clear" w:color="000000" w:fill="D0E0E3"/>
            <w:noWrap/>
            <w:vAlign w:val="center"/>
            <w:hideMark/>
          </w:tcPr>
          <w:p w14:paraId="46F1A63D" w14:textId="77777777" w:rsidR="000A63A8" w:rsidRPr="000A63A8" w:rsidRDefault="000A63A8" w:rsidP="000A63A8">
            <w:pPr>
              <w:jc w:val="right"/>
              <w:rPr>
                <w:rFonts w:ascii="CAIXA Std Book" w:eastAsia="Times New Roman" w:hAnsi="CAIXA Std Book" w:cs="Calibri"/>
                <w:b/>
                <w:bCs/>
                <w:color w:val="005CA9"/>
                <w:sz w:val="18"/>
                <w:szCs w:val="18"/>
              </w:rPr>
            </w:pPr>
            <w:r w:rsidRPr="000A63A8">
              <w:rPr>
                <w:rFonts w:ascii="CAIXA Std Book" w:eastAsia="Times New Roman" w:hAnsi="CAIXA Std Book" w:cs="Calibri"/>
                <w:b/>
                <w:bCs/>
                <w:color w:val="005CA9"/>
                <w:sz w:val="18"/>
                <w:szCs w:val="18"/>
              </w:rPr>
              <w:t>7.495.418</w:t>
            </w:r>
          </w:p>
        </w:tc>
        <w:tc>
          <w:tcPr>
            <w:tcW w:w="647" w:type="pct"/>
            <w:tcBorders>
              <w:top w:val="nil"/>
              <w:left w:val="nil"/>
              <w:bottom w:val="single" w:sz="4" w:space="0" w:color="FFFFFF"/>
              <w:right w:val="nil"/>
            </w:tcBorders>
            <w:shd w:val="clear" w:color="000000" w:fill="D0E0E3"/>
            <w:noWrap/>
            <w:vAlign w:val="center"/>
            <w:hideMark/>
          </w:tcPr>
          <w:p w14:paraId="3F8354EA" w14:textId="77777777" w:rsidR="000A63A8" w:rsidRPr="000A63A8" w:rsidRDefault="000A63A8" w:rsidP="000A63A8">
            <w:pPr>
              <w:jc w:val="right"/>
              <w:rPr>
                <w:rFonts w:ascii="CAIXA Std Book" w:eastAsia="Times New Roman" w:hAnsi="CAIXA Std Book" w:cs="Calibri"/>
                <w:b/>
                <w:bCs/>
                <w:color w:val="005CA9"/>
                <w:sz w:val="18"/>
                <w:szCs w:val="18"/>
              </w:rPr>
            </w:pPr>
            <w:r w:rsidRPr="000A63A8">
              <w:rPr>
                <w:rFonts w:ascii="CAIXA Std Book" w:eastAsia="Times New Roman" w:hAnsi="CAIXA Std Book" w:cs="Calibri"/>
                <w:b/>
                <w:bCs/>
                <w:color w:val="005CA9"/>
                <w:sz w:val="18"/>
                <w:szCs w:val="18"/>
              </w:rPr>
              <w:t>343.682</w:t>
            </w:r>
          </w:p>
        </w:tc>
        <w:tc>
          <w:tcPr>
            <w:tcW w:w="710" w:type="pct"/>
            <w:tcBorders>
              <w:top w:val="nil"/>
              <w:left w:val="nil"/>
              <w:bottom w:val="single" w:sz="4" w:space="0" w:color="FFFFFF"/>
              <w:right w:val="nil"/>
            </w:tcBorders>
            <w:shd w:val="clear" w:color="000000" w:fill="D0E0E3"/>
            <w:noWrap/>
            <w:vAlign w:val="center"/>
            <w:hideMark/>
          </w:tcPr>
          <w:p w14:paraId="2C5D7E49" w14:textId="77777777" w:rsidR="000A63A8" w:rsidRPr="000A63A8" w:rsidRDefault="000A63A8" w:rsidP="000A63A8">
            <w:pPr>
              <w:jc w:val="right"/>
              <w:rPr>
                <w:rFonts w:ascii="CAIXA Std Book" w:eastAsia="Times New Roman" w:hAnsi="CAIXA Std Book" w:cs="Calibri"/>
                <w:b/>
                <w:bCs/>
                <w:color w:val="005CA9"/>
                <w:sz w:val="18"/>
                <w:szCs w:val="18"/>
              </w:rPr>
            </w:pPr>
            <w:r w:rsidRPr="000A63A8">
              <w:rPr>
                <w:rFonts w:ascii="CAIXA Std Book" w:eastAsia="Times New Roman" w:hAnsi="CAIXA Std Book" w:cs="Calibri"/>
                <w:b/>
                <w:bCs/>
                <w:color w:val="005CA9"/>
                <w:sz w:val="18"/>
                <w:szCs w:val="18"/>
              </w:rPr>
              <w:t>7.839.100</w:t>
            </w:r>
          </w:p>
        </w:tc>
      </w:tr>
      <w:tr w:rsidR="000A63A8" w:rsidRPr="000A63A8" w14:paraId="7872CB41" w14:textId="77777777" w:rsidTr="00F741DE">
        <w:trPr>
          <w:trHeight w:val="283"/>
        </w:trPr>
        <w:tc>
          <w:tcPr>
            <w:tcW w:w="2941" w:type="pct"/>
            <w:tcBorders>
              <w:top w:val="nil"/>
              <w:left w:val="nil"/>
              <w:bottom w:val="nil"/>
              <w:right w:val="nil"/>
            </w:tcBorders>
            <w:shd w:val="clear" w:color="000000" w:fill="005CA9"/>
            <w:noWrap/>
            <w:vAlign w:val="center"/>
            <w:hideMark/>
          </w:tcPr>
          <w:p w14:paraId="5396FFBA" w14:textId="77777777" w:rsidR="000A63A8" w:rsidRPr="000A63A8" w:rsidRDefault="000A63A8" w:rsidP="000A63A8">
            <w:pPr>
              <w:rPr>
                <w:rFonts w:ascii="CAIXA Std Book" w:eastAsia="Times New Roman" w:hAnsi="CAIXA Std Book" w:cs="Calibri"/>
                <w:b/>
                <w:bCs/>
                <w:color w:val="FFFFFF"/>
                <w:sz w:val="18"/>
                <w:szCs w:val="18"/>
              </w:rPr>
            </w:pPr>
            <w:r w:rsidRPr="000A63A8">
              <w:rPr>
                <w:rFonts w:ascii="CAIXA Std Book" w:eastAsia="Times New Roman" w:hAnsi="CAIXA Std Book" w:cs="Calibri"/>
                <w:b/>
                <w:bCs/>
                <w:color w:val="FFFFFF"/>
                <w:sz w:val="18"/>
                <w:szCs w:val="18"/>
              </w:rPr>
              <w:t>Lucro líquido do período</w:t>
            </w:r>
          </w:p>
        </w:tc>
        <w:tc>
          <w:tcPr>
            <w:tcW w:w="701" w:type="pct"/>
            <w:tcBorders>
              <w:top w:val="nil"/>
              <w:left w:val="nil"/>
              <w:bottom w:val="nil"/>
              <w:right w:val="nil"/>
            </w:tcBorders>
            <w:shd w:val="clear" w:color="000000" w:fill="005CA9"/>
            <w:noWrap/>
            <w:vAlign w:val="center"/>
            <w:hideMark/>
          </w:tcPr>
          <w:p w14:paraId="62DD779B" w14:textId="77777777" w:rsidR="000A63A8" w:rsidRPr="000A63A8" w:rsidRDefault="000A63A8" w:rsidP="000A63A8">
            <w:pPr>
              <w:jc w:val="right"/>
              <w:rPr>
                <w:rFonts w:ascii="CAIXA Std Book" w:eastAsia="Times New Roman" w:hAnsi="CAIXA Std Book" w:cs="Calibri"/>
                <w:b/>
                <w:bCs/>
                <w:color w:val="FFFFFF"/>
                <w:sz w:val="18"/>
                <w:szCs w:val="18"/>
              </w:rPr>
            </w:pPr>
            <w:r w:rsidRPr="000A63A8">
              <w:rPr>
                <w:rFonts w:ascii="CAIXA Std Book" w:eastAsia="Times New Roman" w:hAnsi="CAIXA Std Book" w:cs="Calibri"/>
                <w:b/>
                <w:bCs/>
                <w:color w:val="FFFFFF"/>
                <w:sz w:val="18"/>
                <w:szCs w:val="18"/>
              </w:rPr>
              <w:t>5.757.633</w:t>
            </w:r>
          </w:p>
        </w:tc>
        <w:tc>
          <w:tcPr>
            <w:tcW w:w="647" w:type="pct"/>
            <w:tcBorders>
              <w:top w:val="nil"/>
              <w:left w:val="nil"/>
              <w:bottom w:val="nil"/>
              <w:right w:val="nil"/>
            </w:tcBorders>
            <w:shd w:val="clear" w:color="000000" w:fill="005CA9"/>
            <w:noWrap/>
            <w:vAlign w:val="center"/>
            <w:hideMark/>
          </w:tcPr>
          <w:p w14:paraId="65426ADE" w14:textId="77777777" w:rsidR="000A63A8" w:rsidRPr="000A63A8" w:rsidRDefault="000A63A8" w:rsidP="000A63A8">
            <w:pPr>
              <w:jc w:val="right"/>
              <w:rPr>
                <w:rFonts w:ascii="CAIXA Std Book" w:eastAsia="Times New Roman" w:hAnsi="CAIXA Std Book" w:cs="Calibri"/>
                <w:b/>
                <w:bCs/>
                <w:color w:val="FFFFFF"/>
                <w:sz w:val="18"/>
                <w:szCs w:val="18"/>
              </w:rPr>
            </w:pPr>
            <w:r w:rsidRPr="000A63A8">
              <w:rPr>
                <w:rFonts w:ascii="CAIXA Std Book" w:eastAsia="Times New Roman" w:hAnsi="CAIXA Std Book" w:cs="Calibri"/>
                <w:b/>
                <w:bCs/>
                <w:color w:val="FFFFFF"/>
                <w:sz w:val="18"/>
                <w:szCs w:val="18"/>
              </w:rPr>
              <w:t>343.682</w:t>
            </w:r>
          </w:p>
        </w:tc>
        <w:tc>
          <w:tcPr>
            <w:tcW w:w="710" w:type="pct"/>
            <w:tcBorders>
              <w:top w:val="nil"/>
              <w:left w:val="nil"/>
              <w:bottom w:val="nil"/>
              <w:right w:val="nil"/>
            </w:tcBorders>
            <w:shd w:val="clear" w:color="000000" w:fill="005CA9"/>
            <w:noWrap/>
            <w:vAlign w:val="center"/>
            <w:hideMark/>
          </w:tcPr>
          <w:p w14:paraId="400AC6A0" w14:textId="77777777" w:rsidR="000A63A8" w:rsidRPr="000A63A8" w:rsidRDefault="000A63A8" w:rsidP="000A63A8">
            <w:pPr>
              <w:jc w:val="right"/>
              <w:rPr>
                <w:rFonts w:ascii="CAIXA Std Book" w:eastAsia="Times New Roman" w:hAnsi="CAIXA Std Book" w:cs="Calibri"/>
                <w:b/>
                <w:bCs/>
                <w:color w:val="FFFFFF"/>
                <w:sz w:val="18"/>
                <w:szCs w:val="18"/>
              </w:rPr>
            </w:pPr>
            <w:r w:rsidRPr="000A63A8">
              <w:rPr>
                <w:rFonts w:ascii="CAIXA Std Book" w:eastAsia="Times New Roman" w:hAnsi="CAIXA Std Book" w:cs="Calibri"/>
                <w:b/>
                <w:bCs/>
                <w:color w:val="FFFFFF"/>
                <w:sz w:val="18"/>
                <w:szCs w:val="18"/>
              </w:rPr>
              <w:t>6.101.315</w:t>
            </w:r>
          </w:p>
        </w:tc>
      </w:tr>
    </w:tbl>
    <w:p w14:paraId="527DECB2" w14:textId="77777777" w:rsidR="00A77220" w:rsidRDefault="00A77220">
      <w:r>
        <w:br w:type="page"/>
      </w:r>
    </w:p>
    <w:p w14:paraId="3F761863" w14:textId="341FBBF5" w:rsidR="0025082D" w:rsidRPr="00FB6CB2" w:rsidRDefault="0025082D" w:rsidP="006B12BD">
      <w:pPr>
        <w:pStyle w:val="PargrafodaLista"/>
        <w:keepNext/>
        <w:numPr>
          <w:ilvl w:val="0"/>
          <w:numId w:val="53"/>
        </w:numPr>
        <w:spacing w:before="240" w:after="120"/>
        <w:jc w:val="both"/>
        <w:rPr>
          <w:rFonts w:ascii="CAIXA Std Book" w:hAnsi="CAIXA Std Book"/>
          <w:b/>
          <w:bCs/>
          <w:color w:val="005CA9"/>
          <w:sz w:val="20"/>
          <w:szCs w:val="20"/>
        </w:rPr>
      </w:pPr>
      <w:r>
        <w:rPr>
          <w:rFonts w:ascii="CAIXA Std Book" w:hAnsi="CAIXA Std Book"/>
          <w:b/>
          <w:bCs/>
          <w:color w:val="005CA9"/>
          <w:sz w:val="20"/>
          <w:szCs w:val="20"/>
        </w:rPr>
        <w:lastRenderedPageBreak/>
        <w:t xml:space="preserve">Demonstração dos </w:t>
      </w:r>
      <w:r w:rsidR="004B1184">
        <w:rPr>
          <w:rFonts w:ascii="CAIXA Std Book" w:hAnsi="CAIXA Std Book"/>
          <w:b/>
          <w:bCs/>
          <w:color w:val="005CA9"/>
          <w:sz w:val="20"/>
          <w:szCs w:val="20"/>
        </w:rPr>
        <w:t>r</w:t>
      </w:r>
      <w:r>
        <w:rPr>
          <w:rFonts w:ascii="CAIXA Std Book" w:hAnsi="CAIXA Std Book"/>
          <w:b/>
          <w:bCs/>
          <w:color w:val="005CA9"/>
          <w:sz w:val="20"/>
          <w:szCs w:val="20"/>
        </w:rPr>
        <w:t xml:space="preserve">esultados </w:t>
      </w:r>
      <w:r w:rsidR="004B1184">
        <w:rPr>
          <w:rFonts w:ascii="CAIXA Std Book" w:hAnsi="CAIXA Std Book"/>
          <w:b/>
          <w:bCs/>
          <w:color w:val="005CA9"/>
          <w:sz w:val="20"/>
          <w:szCs w:val="20"/>
        </w:rPr>
        <w:t>a</w:t>
      </w:r>
      <w:r>
        <w:rPr>
          <w:rFonts w:ascii="CAIXA Std Book" w:hAnsi="CAIXA Std Book"/>
          <w:b/>
          <w:bCs/>
          <w:color w:val="005CA9"/>
          <w:sz w:val="20"/>
          <w:szCs w:val="20"/>
        </w:rPr>
        <w:t xml:space="preserve">brangentes </w:t>
      </w:r>
      <w:r w:rsidR="004B1184">
        <w:rPr>
          <w:rFonts w:ascii="CAIXA Std Book" w:hAnsi="CAIXA Std Book"/>
          <w:b/>
          <w:bCs/>
          <w:color w:val="005CA9"/>
          <w:sz w:val="20"/>
          <w:szCs w:val="20"/>
        </w:rPr>
        <w:t>c</w:t>
      </w:r>
      <w:r>
        <w:rPr>
          <w:rFonts w:ascii="CAIXA Std Book" w:hAnsi="CAIXA Std Book"/>
          <w:b/>
          <w:bCs/>
          <w:color w:val="005CA9"/>
          <w:sz w:val="20"/>
          <w:szCs w:val="20"/>
        </w:rPr>
        <w:t>onsolidada</w:t>
      </w:r>
    </w:p>
    <w:tbl>
      <w:tblPr>
        <w:tblW w:w="5074" w:type="pct"/>
        <w:tblCellMar>
          <w:left w:w="0" w:type="dxa"/>
          <w:right w:w="0" w:type="dxa"/>
        </w:tblCellMar>
        <w:tblLook w:val="04A0" w:firstRow="1" w:lastRow="0" w:firstColumn="1" w:lastColumn="0" w:noHBand="0" w:noVBand="1"/>
      </w:tblPr>
      <w:tblGrid>
        <w:gridCol w:w="5650"/>
        <w:gridCol w:w="1324"/>
        <w:gridCol w:w="1416"/>
        <w:gridCol w:w="1391"/>
      </w:tblGrid>
      <w:tr w:rsidR="00235FF8" w14:paraId="0A2074CB" w14:textId="77777777" w:rsidTr="00165AEE">
        <w:trPr>
          <w:trHeight w:val="285"/>
        </w:trPr>
        <w:tc>
          <w:tcPr>
            <w:tcW w:w="2888" w:type="pct"/>
            <w:vMerge w:val="restart"/>
            <w:tcBorders>
              <w:top w:val="nil"/>
              <w:left w:val="nil"/>
              <w:bottom w:val="nil"/>
              <w:right w:val="nil"/>
            </w:tcBorders>
            <w:shd w:val="clear" w:color="000000" w:fill="005CA9"/>
            <w:vAlign w:val="center"/>
            <w:hideMark/>
          </w:tcPr>
          <w:p w14:paraId="320C9F15" w14:textId="77777777" w:rsidR="00235FF8" w:rsidRPr="00235FF8" w:rsidRDefault="00235FF8" w:rsidP="00E97F63">
            <w:pPr>
              <w:ind w:right="81"/>
              <w:jc w:val="center"/>
              <w:rPr>
                <w:rFonts w:ascii="CAIXA Std Book" w:eastAsia="Times New Roman" w:hAnsi="CAIXA Std Book" w:cs="Calibri"/>
                <w:b/>
                <w:bCs/>
                <w:color w:val="FFFFFF"/>
                <w:sz w:val="18"/>
                <w:szCs w:val="18"/>
              </w:rPr>
            </w:pPr>
            <w:r w:rsidRPr="00235FF8">
              <w:rPr>
                <w:rFonts w:ascii="CAIXA Std Book" w:eastAsia="Times New Roman" w:hAnsi="CAIXA Std Book" w:cs="Calibri"/>
                <w:b/>
                <w:bCs/>
                <w:color w:val="FFFFFF"/>
                <w:sz w:val="18"/>
                <w:szCs w:val="18"/>
              </w:rPr>
              <w:t>Descrição</w:t>
            </w:r>
          </w:p>
        </w:tc>
        <w:tc>
          <w:tcPr>
            <w:tcW w:w="2112" w:type="pct"/>
            <w:gridSpan w:val="3"/>
            <w:tcBorders>
              <w:top w:val="nil"/>
              <w:left w:val="nil"/>
              <w:bottom w:val="single" w:sz="4" w:space="0" w:color="FFFFFF"/>
              <w:right w:val="nil"/>
            </w:tcBorders>
            <w:shd w:val="clear" w:color="000000" w:fill="005CA9"/>
            <w:vAlign w:val="center"/>
            <w:hideMark/>
          </w:tcPr>
          <w:p w14:paraId="293FA818" w14:textId="77777777" w:rsidR="00235FF8" w:rsidRPr="00235FF8" w:rsidRDefault="00235FF8" w:rsidP="00E97F63">
            <w:pPr>
              <w:ind w:right="81"/>
              <w:jc w:val="center"/>
              <w:rPr>
                <w:rFonts w:ascii="CAIXA Std Book" w:eastAsia="Times New Roman" w:hAnsi="CAIXA Std Book" w:cs="Calibri"/>
                <w:b/>
                <w:bCs/>
                <w:color w:val="FFFFFF"/>
                <w:sz w:val="18"/>
                <w:szCs w:val="18"/>
              </w:rPr>
            </w:pPr>
            <w:r w:rsidRPr="00235FF8">
              <w:rPr>
                <w:rFonts w:ascii="CAIXA Std Book" w:eastAsia="Times New Roman" w:hAnsi="CAIXA Std Book" w:cs="Calibri"/>
                <w:b/>
                <w:bCs/>
                <w:color w:val="FFFFFF"/>
                <w:sz w:val="18"/>
                <w:szCs w:val="18"/>
              </w:rPr>
              <w:t>Consolidado</w:t>
            </w:r>
          </w:p>
        </w:tc>
      </w:tr>
      <w:tr w:rsidR="00235FF8" w14:paraId="227838C8" w14:textId="77777777" w:rsidTr="00165AEE">
        <w:trPr>
          <w:trHeight w:val="345"/>
        </w:trPr>
        <w:tc>
          <w:tcPr>
            <w:tcW w:w="2888" w:type="pct"/>
            <w:vMerge/>
            <w:tcBorders>
              <w:top w:val="nil"/>
              <w:left w:val="nil"/>
              <w:bottom w:val="nil"/>
              <w:right w:val="nil"/>
            </w:tcBorders>
            <w:vAlign w:val="center"/>
            <w:hideMark/>
          </w:tcPr>
          <w:p w14:paraId="1A2D3B95" w14:textId="77777777" w:rsidR="00235FF8" w:rsidRPr="00235FF8" w:rsidRDefault="00235FF8" w:rsidP="00E97F63">
            <w:pPr>
              <w:ind w:right="81"/>
              <w:rPr>
                <w:rFonts w:ascii="CAIXA Std Book" w:eastAsia="Times New Roman" w:hAnsi="CAIXA Std Book" w:cs="Calibri"/>
                <w:b/>
                <w:bCs/>
                <w:color w:val="FFFFFF"/>
                <w:sz w:val="18"/>
                <w:szCs w:val="18"/>
              </w:rPr>
            </w:pPr>
          </w:p>
        </w:tc>
        <w:tc>
          <w:tcPr>
            <w:tcW w:w="2112" w:type="pct"/>
            <w:gridSpan w:val="3"/>
            <w:tcBorders>
              <w:top w:val="single" w:sz="4" w:space="0" w:color="FFFFFF"/>
              <w:left w:val="nil"/>
              <w:bottom w:val="single" w:sz="4" w:space="0" w:color="FFFFFF"/>
              <w:right w:val="nil"/>
            </w:tcBorders>
            <w:shd w:val="clear" w:color="000000" w:fill="005CA9"/>
            <w:vAlign w:val="center"/>
            <w:hideMark/>
          </w:tcPr>
          <w:p w14:paraId="54538092" w14:textId="77777777" w:rsidR="00235FF8" w:rsidRPr="00235FF8" w:rsidRDefault="00235FF8" w:rsidP="00E97F63">
            <w:pPr>
              <w:ind w:right="81"/>
              <w:jc w:val="center"/>
              <w:rPr>
                <w:rFonts w:ascii="CAIXA Std Book" w:eastAsia="Times New Roman" w:hAnsi="CAIXA Std Book" w:cs="Calibri"/>
                <w:b/>
                <w:bCs/>
                <w:color w:val="FFFFFF"/>
                <w:sz w:val="18"/>
                <w:szCs w:val="18"/>
              </w:rPr>
            </w:pPr>
            <w:r w:rsidRPr="00235FF8">
              <w:rPr>
                <w:rFonts w:ascii="CAIXA Std Book" w:eastAsia="Times New Roman" w:hAnsi="CAIXA Std Book" w:cs="Calibri"/>
                <w:b/>
                <w:bCs/>
                <w:color w:val="FFFFFF"/>
                <w:sz w:val="18"/>
                <w:szCs w:val="18"/>
              </w:rPr>
              <w:t>1º trimestre de 2025</w:t>
            </w:r>
          </w:p>
        </w:tc>
      </w:tr>
      <w:tr w:rsidR="00235FF8" w14:paraId="3AEFABB0" w14:textId="77777777" w:rsidTr="00165AEE">
        <w:trPr>
          <w:trHeight w:val="855"/>
        </w:trPr>
        <w:tc>
          <w:tcPr>
            <w:tcW w:w="2888" w:type="pct"/>
            <w:vMerge/>
            <w:tcBorders>
              <w:top w:val="nil"/>
              <w:left w:val="nil"/>
              <w:bottom w:val="nil"/>
              <w:right w:val="nil"/>
            </w:tcBorders>
            <w:vAlign w:val="center"/>
            <w:hideMark/>
          </w:tcPr>
          <w:p w14:paraId="79271F07" w14:textId="77777777" w:rsidR="00235FF8" w:rsidRPr="00235FF8" w:rsidRDefault="00235FF8" w:rsidP="00E97F63">
            <w:pPr>
              <w:ind w:right="81"/>
              <w:rPr>
                <w:rFonts w:ascii="CAIXA Std Book" w:eastAsia="Times New Roman" w:hAnsi="CAIXA Std Book" w:cs="Calibri"/>
                <w:b/>
                <w:bCs/>
                <w:color w:val="FFFFFF"/>
                <w:sz w:val="18"/>
                <w:szCs w:val="18"/>
              </w:rPr>
            </w:pPr>
          </w:p>
        </w:tc>
        <w:tc>
          <w:tcPr>
            <w:tcW w:w="677" w:type="pct"/>
            <w:tcBorders>
              <w:top w:val="nil"/>
              <w:left w:val="nil"/>
              <w:bottom w:val="nil"/>
              <w:right w:val="nil"/>
            </w:tcBorders>
            <w:shd w:val="clear" w:color="000000" w:fill="005CA9"/>
            <w:vAlign w:val="center"/>
            <w:hideMark/>
          </w:tcPr>
          <w:p w14:paraId="6CDE4F98" w14:textId="77777777" w:rsidR="00235FF8" w:rsidRPr="00235FF8" w:rsidRDefault="00235FF8" w:rsidP="00E97F63">
            <w:pPr>
              <w:ind w:right="81"/>
              <w:jc w:val="center"/>
              <w:rPr>
                <w:rFonts w:ascii="CAIXA Std Book" w:eastAsia="Times New Roman" w:hAnsi="CAIXA Std Book" w:cs="Calibri"/>
                <w:b/>
                <w:bCs/>
                <w:color w:val="FFFFFF"/>
                <w:sz w:val="18"/>
                <w:szCs w:val="18"/>
              </w:rPr>
            </w:pPr>
            <w:r w:rsidRPr="00235FF8">
              <w:rPr>
                <w:rFonts w:ascii="CAIXA Std Book" w:eastAsia="Times New Roman" w:hAnsi="CAIXA Std Book" w:cs="Calibri"/>
                <w:b/>
                <w:bCs/>
                <w:color w:val="FFFFFF"/>
                <w:sz w:val="18"/>
                <w:szCs w:val="18"/>
              </w:rPr>
              <w:t>Conforme apresentado anteriormente</w:t>
            </w:r>
          </w:p>
        </w:tc>
        <w:tc>
          <w:tcPr>
            <w:tcW w:w="724" w:type="pct"/>
            <w:tcBorders>
              <w:top w:val="nil"/>
              <w:left w:val="nil"/>
              <w:bottom w:val="nil"/>
              <w:right w:val="nil"/>
            </w:tcBorders>
            <w:shd w:val="clear" w:color="000000" w:fill="005CA9"/>
            <w:vAlign w:val="center"/>
            <w:hideMark/>
          </w:tcPr>
          <w:p w14:paraId="27A06465" w14:textId="77777777" w:rsidR="00235FF8" w:rsidRPr="00235FF8" w:rsidRDefault="00235FF8" w:rsidP="00E97F63">
            <w:pPr>
              <w:ind w:right="81"/>
              <w:jc w:val="center"/>
              <w:rPr>
                <w:rFonts w:ascii="CAIXA Std Book" w:eastAsia="Times New Roman" w:hAnsi="CAIXA Std Book" w:cs="Calibri"/>
                <w:b/>
                <w:bCs/>
                <w:color w:val="FFFFFF"/>
                <w:sz w:val="18"/>
                <w:szCs w:val="18"/>
              </w:rPr>
            </w:pPr>
            <w:r w:rsidRPr="00235FF8">
              <w:rPr>
                <w:rFonts w:ascii="CAIXA Std Book" w:eastAsia="Times New Roman" w:hAnsi="CAIXA Std Book" w:cs="Calibri"/>
                <w:b/>
                <w:bCs/>
                <w:color w:val="FFFFFF"/>
                <w:sz w:val="18"/>
                <w:szCs w:val="18"/>
              </w:rPr>
              <w:t>Ajuste</w:t>
            </w:r>
          </w:p>
        </w:tc>
        <w:tc>
          <w:tcPr>
            <w:tcW w:w="711" w:type="pct"/>
            <w:tcBorders>
              <w:top w:val="nil"/>
              <w:left w:val="nil"/>
              <w:bottom w:val="nil"/>
              <w:right w:val="nil"/>
            </w:tcBorders>
            <w:shd w:val="clear" w:color="000000" w:fill="005CA9"/>
            <w:vAlign w:val="center"/>
            <w:hideMark/>
          </w:tcPr>
          <w:p w14:paraId="4F383901" w14:textId="77777777" w:rsidR="00235FF8" w:rsidRPr="00235FF8" w:rsidRDefault="00235FF8" w:rsidP="00E97F63">
            <w:pPr>
              <w:ind w:right="81"/>
              <w:jc w:val="center"/>
              <w:rPr>
                <w:rFonts w:ascii="CAIXA Std Book" w:eastAsia="Times New Roman" w:hAnsi="CAIXA Std Book" w:cs="Calibri"/>
                <w:b/>
                <w:bCs/>
                <w:color w:val="FFFFFF"/>
                <w:sz w:val="18"/>
                <w:szCs w:val="18"/>
              </w:rPr>
            </w:pPr>
            <w:r w:rsidRPr="00235FF8">
              <w:rPr>
                <w:rFonts w:ascii="CAIXA Std Book" w:eastAsia="Times New Roman" w:hAnsi="CAIXA Std Book" w:cs="Calibri"/>
                <w:b/>
                <w:bCs/>
                <w:color w:val="FFFFFF"/>
                <w:sz w:val="18"/>
                <w:szCs w:val="18"/>
              </w:rPr>
              <w:t>Valor ajustado</w:t>
            </w:r>
          </w:p>
        </w:tc>
      </w:tr>
      <w:tr w:rsidR="00235FF8" w14:paraId="68F5B506" w14:textId="77777777" w:rsidTr="00165AEE">
        <w:trPr>
          <w:trHeight w:val="285"/>
        </w:trPr>
        <w:tc>
          <w:tcPr>
            <w:tcW w:w="2888" w:type="pct"/>
            <w:tcBorders>
              <w:top w:val="nil"/>
              <w:left w:val="nil"/>
              <w:bottom w:val="single" w:sz="4" w:space="0" w:color="FFFFFF"/>
              <w:right w:val="nil"/>
            </w:tcBorders>
            <w:shd w:val="clear" w:color="000000" w:fill="D0E0E3"/>
            <w:noWrap/>
            <w:vAlign w:val="center"/>
            <w:hideMark/>
          </w:tcPr>
          <w:p w14:paraId="179A4DFD" w14:textId="77777777" w:rsidR="00235FF8" w:rsidRPr="00235FF8" w:rsidRDefault="00235FF8" w:rsidP="00E97F63">
            <w:pPr>
              <w:ind w:right="81"/>
              <w:rPr>
                <w:rFonts w:ascii="CAIXA Std Book" w:eastAsia="Times New Roman" w:hAnsi="CAIXA Std Book" w:cs="Calibri"/>
                <w:b/>
                <w:bCs/>
                <w:color w:val="005CA9"/>
                <w:sz w:val="18"/>
                <w:szCs w:val="18"/>
              </w:rPr>
            </w:pPr>
            <w:r w:rsidRPr="00235FF8">
              <w:rPr>
                <w:rFonts w:ascii="CAIXA Std Book" w:eastAsia="Times New Roman" w:hAnsi="CAIXA Std Book" w:cs="Calibri"/>
                <w:b/>
                <w:bCs/>
                <w:color w:val="005CA9"/>
                <w:sz w:val="18"/>
                <w:szCs w:val="18"/>
              </w:rPr>
              <w:t>Lucro líquido atribuível ao controlador</w:t>
            </w:r>
          </w:p>
        </w:tc>
        <w:tc>
          <w:tcPr>
            <w:tcW w:w="677" w:type="pct"/>
            <w:tcBorders>
              <w:top w:val="nil"/>
              <w:left w:val="nil"/>
              <w:bottom w:val="single" w:sz="4" w:space="0" w:color="FFFFFF"/>
              <w:right w:val="nil"/>
            </w:tcBorders>
            <w:shd w:val="clear" w:color="000000" w:fill="D0E0E3"/>
            <w:noWrap/>
            <w:vAlign w:val="center"/>
            <w:hideMark/>
          </w:tcPr>
          <w:p w14:paraId="15AEAE97" w14:textId="77777777" w:rsidR="00235FF8" w:rsidRPr="00235FF8" w:rsidRDefault="00235FF8" w:rsidP="00E97F63">
            <w:pPr>
              <w:ind w:right="81"/>
              <w:jc w:val="right"/>
              <w:rPr>
                <w:rFonts w:ascii="CAIXA Std Book" w:eastAsia="Times New Roman" w:hAnsi="CAIXA Std Book" w:cs="Calibri"/>
                <w:b/>
                <w:bCs/>
                <w:color w:val="005CA9"/>
                <w:sz w:val="18"/>
                <w:szCs w:val="18"/>
              </w:rPr>
            </w:pPr>
            <w:r w:rsidRPr="00235FF8">
              <w:rPr>
                <w:rFonts w:ascii="CAIXA Std Book" w:eastAsia="Times New Roman" w:hAnsi="CAIXA Std Book" w:cs="Calibri"/>
                <w:b/>
                <w:bCs/>
                <w:color w:val="005CA9"/>
                <w:sz w:val="18"/>
                <w:szCs w:val="18"/>
              </w:rPr>
              <w:t>5.757.633</w:t>
            </w:r>
          </w:p>
        </w:tc>
        <w:tc>
          <w:tcPr>
            <w:tcW w:w="724" w:type="pct"/>
            <w:tcBorders>
              <w:top w:val="nil"/>
              <w:left w:val="nil"/>
              <w:bottom w:val="single" w:sz="4" w:space="0" w:color="FFFFFF"/>
              <w:right w:val="nil"/>
            </w:tcBorders>
            <w:shd w:val="clear" w:color="000000" w:fill="D0E0E3"/>
            <w:noWrap/>
            <w:vAlign w:val="center"/>
            <w:hideMark/>
          </w:tcPr>
          <w:p w14:paraId="696C9BDD" w14:textId="77777777" w:rsidR="00235FF8" w:rsidRPr="00235FF8" w:rsidRDefault="00235FF8" w:rsidP="00E97F63">
            <w:pPr>
              <w:ind w:right="81"/>
              <w:jc w:val="right"/>
              <w:rPr>
                <w:rFonts w:ascii="CAIXA Std Book" w:eastAsia="Times New Roman" w:hAnsi="CAIXA Std Book" w:cs="Calibri"/>
                <w:b/>
                <w:bCs/>
                <w:color w:val="005CA9"/>
                <w:sz w:val="18"/>
                <w:szCs w:val="18"/>
              </w:rPr>
            </w:pPr>
            <w:r w:rsidRPr="00235FF8">
              <w:rPr>
                <w:rFonts w:ascii="CAIXA Std Book" w:eastAsia="Times New Roman" w:hAnsi="CAIXA Std Book" w:cs="Calibri"/>
                <w:b/>
                <w:bCs/>
                <w:color w:val="005CA9"/>
                <w:sz w:val="18"/>
                <w:szCs w:val="18"/>
              </w:rPr>
              <w:t>343.682</w:t>
            </w:r>
          </w:p>
        </w:tc>
        <w:tc>
          <w:tcPr>
            <w:tcW w:w="711" w:type="pct"/>
            <w:tcBorders>
              <w:top w:val="nil"/>
              <w:left w:val="nil"/>
              <w:bottom w:val="single" w:sz="4" w:space="0" w:color="FFFFFF"/>
              <w:right w:val="nil"/>
            </w:tcBorders>
            <w:shd w:val="clear" w:color="000000" w:fill="D0E0E3"/>
            <w:noWrap/>
            <w:vAlign w:val="center"/>
            <w:hideMark/>
          </w:tcPr>
          <w:p w14:paraId="06A4524B" w14:textId="77777777" w:rsidR="00235FF8" w:rsidRPr="00235FF8" w:rsidRDefault="00235FF8" w:rsidP="00E97F63">
            <w:pPr>
              <w:ind w:right="81"/>
              <w:jc w:val="right"/>
              <w:rPr>
                <w:rFonts w:ascii="CAIXA Std Book" w:eastAsia="Times New Roman" w:hAnsi="CAIXA Std Book" w:cs="Calibri"/>
                <w:b/>
                <w:bCs/>
                <w:color w:val="005CA9"/>
                <w:sz w:val="18"/>
                <w:szCs w:val="18"/>
              </w:rPr>
            </w:pPr>
            <w:r w:rsidRPr="00235FF8">
              <w:rPr>
                <w:rFonts w:ascii="CAIXA Std Book" w:eastAsia="Times New Roman" w:hAnsi="CAIXA Std Book" w:cs="Calibri"/>
                <w:b/>
                <w:bCs/>
                <w:color w:val="005CA9"/>
                <w:sz w:val="18"/>
                <w:szCs w:val="18"/>
              </w:rPr>
              <w:t>6.101.315</w:t>
            </w:r>
          </w:p>
        </w:tc>
      </w:tr>
      <w:tr w:rsidR="00235FF8" w14:paraId="625BD175" w14:textId="77777777" w:rsidTr="00165AEE">
        <w:trPr>
          <w:trHeight w:val="285"/>
        </w:trPr>
        <w:tc>
          <w:tcPr>
            <w:tcW w:w="2888" w:type="pct"/>
            <w:tcBorders>
              <w:top w:val="nil"/>
              <w:left w:val="nil"/>
              <w:bottom w:val="single" w:sz="4" w:space="0" w:color="FFFFFF"/>
              <w:right w:val="nil"/>
            </w:tcBorders>
            <w:shd w:val="clear" w:color="000000" w:fill="D0E0E3"/>
            <w:noWrap/>
            <w:vAlign w:val="center"/>
            <w:hideMark/>
          </w:tcPr>
          <w:p w14:paraId="352EA6B5" w14:textId="77777777" w:rsidR="00235FF8" w:rsidRPr="00235FF8" w:rsidRDefault="00235FF8" w:rsidP="00E97F63">
            <w:pPr>
              <w:ind w:right="81"/>
              <w:rPr>
                <w:rFonts w:ascii="CAIXA Std Book" w:eastAsia="Times New Roman" w:hAnsi="CAIXA Std Book" w:cs="Calibri"/>
                <w:b/>
                <w:bCs/>
                <w:color w:val="005CA9"/>
                <w:sz w:val="18"/>
                <w:szCs w:val="18"/>
              </w:rPr>
            </w:pPr>
            <w:r w:rsidRPr="00235FF8">
              <w:rPr>
                <w:rFonts w:ascii="CAIXA Std Book" w:eastAsia="Times New Roman" w:hAnsi="CAIXA Std Book" w:cs="Calibri"/>
                <w:b/>
                <w:bCs/>
                <w:color w:val="005CA9"/>
                <w:sz w:val="18"/>
                <w:szCs w:val="18"/>
              </w:rPr>
              <w:t>Lucro líquido total</w:t>
            </w:r>
          </w:p>
        </w:tc>
        <w:tc>
          <w:tcPr>
            <w:tcW w:w="677" w:type="pct"/>
            <w:tcBorders>
              <w:top w:val="nil"/>
              <w:left w:val="nil"/>
              <w:bottom w:val="single" w:sz="4" w:space="0" w:color="FFFFFF"/>
              <w:right w:val="nil"/>
            </w:tcBorders>
            <w:shd w:val="clear" w:color="000000" w:fill="D0E0E3"/>
            <w:noWrap/>
            <w:vAlign w:val="center"/>
            <w:hideMark/>
          </w:tcPr>
          <w:p w14:paraId="59BE4D70" w14:textId="77777777" w:rsidR="00235FF8" w:rsidRPr="00235FF8" w:rsidRDefault="00235FF8" w:rsidP="00E97F63">
            <w:pPr>
              <w:ind w:right="81"/>
              <w:jc w:val="right"/>
              <w:rPr>
                <w:rFonts w:ascii="CAIXA Std Book" w:eastAsia="Times New Roman" w:hAnsi="CAIXA Std Book" w:cs="Calibri"/>
                <w:b/>
                <w:bCs/>
                <w:color w:val="005CA9"/>
                <w:sz w:val="18"/>
                <w:szCs w:val="18"/>
              </w:rPr>
            </w:pPr>
            <w:r w:rsidRPr="00235FF8">
              <w:rPr>
                <w:rFonts w:ascii="CAIXA Std Book" w:eastAsia="Times New Roman" w:hAnsi="CAIXA Std Book" w:cs="Calibri"/>
                <w:b/>
                <w:bCs/>
                <w:color w:val="005CA9"/>
                <w:sz w:val="18"/>
                <w:szCs w:val="18"/>
              </w:rPr>
              <w:t>5.950.065</w:t>
            </w:r>
          </w:p>
        </w:tc>
        <w:tc>
          <w:tcPr>
            <w:tcW w:w="724" w:type="pct"/>
            <w:tcBorders>
              <w:top w:val="nil"/>
              <w:left w:val="nil"/>
              <w:bottom w:val="single" w:sz="4" w:space="0" w:color="FFFFFF"/>
              <w:right w:val="nil"/>
            </w:tcBorders>
            <w:shd w:val="clear" w:color="000000" w:fill="D0E0E3"/>
            <w:noWrap/>
            <w:vAlign w:val="center"/>
            <w:hideMark/>
          </w:tcPr>
          <w:p w14:paraId="74AD99CD" w14:textId="77777777" w:rsidR="00235FF8" w:rsidRPr="00235FF8" w:rsidRDefault="00235FF8" w:rsidP="00E97F63">
            <w:pPr>
              <w:ind w:right="81"/>
              <w:jc w:val="right"/>
              <w:rPr>
                <w:rFonts w:ascii="CAIXA Std Book" w:eastAsia="Times New Roman" w:hAnsi="CAIXA Std Book" w:cs="Calibri"/>
                <w:b/>
                <w:bCs/>
                <w:color w:val="005CA9"/>
                <w:sz w:val="18"/>
                <w:szCs w:val="18"/>
              </w:rPr>
            </w:pPr>
            <w:r w:rsidRPr="00235FF8">
              <w:rPr>
                <w:rFonts w:ascii="CAIXA Std Book" w:eastAsia="Times New Roman" w:hAnsi="CAIXA Std Book" w:cs="Calibri"/>
                <w:b/>
                <w:bCs/>
                <w:color w:val="005CA9"/>
                <w:sz w:val="18"/>
                <w:szCs w:val="18"/>
              </w:rPr>
              <w:t>343.682</w:t>
            </w:r>
          </w:p>
        </w:tc>
        <w:tc>
          <w:tcPr>
            <w:tcW w:w="711" w:type="pct"/>
            <w:tcBorders>
              <w:top w:val="nil"/>
              <w:left w:val="nil"/>
              <w:bottom w:val="single" w:sz="4" w:space="0" w:color="FFFFFF"/>
              <w:right w:val="nil"/>
            </w:tcBorders>
            <w:shd w:val="clear" w:color="000000" w:fill="D0E0E3"/>
            <w:noWrap/>
            <w:vAlign w:val="center"/>
            <w:hideMark/>
          </w:tcPr>
          <w:p w14:paraId="42F23EB1" w14:textId="77777777" w:rsidR="00235FF8" w:rsidRPr="00235FF8" w:rsidRDefault="00235FF8" w:rsidP="00E97F63">
            <w:pPr>
              <w:ind w:right="81"/>
              <w:jc w:val="right"/>
              <w:rPr>
                <w:rFonts w:ascii="CAIXA Std Book" w:eastAsia="Times New Roman" w:hAnsi="CAIXA Std Book" w:cs="Calibri"/>
                <w:b/>
                <w:bCs/>
                <w:color w:val="005CA9"/>
                <w:sz w:val="18"/>
                <w:szCs w:val="18"/>
              </w:rPr>
            </w:pPr>
            <w:r w:rsidRPr="00235FF8">
              <w:rPr>
                <w:rFonts w:ascii="CAIXA Std Book" w:eastAsia="Times New Roman" w:hAnsi="CAIXA Std Book" w:cs="Calibri"/>
                <w:b/>
                <w:bCs/>
                <w:color w:val="005CA9"/>
                <w:sz w:val="18"/>
                <w:szCs w:val="18"/>
              </w:rPr>
              <w:t>6.293.747</w:t>
            </w:r>
          </w:p>
        </w:tc>
      </w:tr>
      <w:tr w:rsidR="00235FF8" w14:paraId="59F39BEA" w14:textId="77777777" w:rsidTr="00165AEE">
        <w:trPr>
          <w:trHeight w:val="285"/>
        </w:trPr>
        <w:tc>
          <w:tcPr>
            <w:tcW w:w="2888" w:type="pct"/>
            <w:tcBorders>
              <w:top w:val="nil"/>
              <w:left w:val="nil"/>
              <w:bottom w:val="nil"/>
              <w:right w:val="nil"/>
            </w:tcBorders>
            <w:shd w:val="clear" w:color="000000" w:fill="005CA9"/>
            <w:noWrap/>
            <w:vAlign w:val="center"/>
            <w:hideMark/>
          </w:tcPr>
          <w:p w14:paraId="777F6871" w14:textId="77777777" w:rsidR="00235FF8" w:rsidRPr="00235FF8" w:rsidRDefault="00235FF8" w:rsidP="00E97F63">
            <w:pPr>
              <w:ind w:right="81"/>
              <w:rPr>
                <w:rFonts w:ascii="CAIXA Std Book" w:eastAsia="Times New Roman" w:hAnsi="CAIXA Std Book" w:cs="Calibri"/>
                <w:b/>
                <w:bCs/>
                <w:color w:val="FFFFFF"/>
                <w:sz w:val="18"/>
                <w:szCs w:val="18"/>
              </w:rPr>
            </w:pPr>
            <w:r w:rsidRPr="00235FF8">
              <w:rPr>
                <w:rFonts w:ascii="CAIXA Std Book" w:eastAsia="Times New Roman" w:hAnsi="CAIXA Std Book" w:cs="Calibri"/>
                <w:b/>
                <w:bCs/>
                <w:color w:val="FFFFFF"/>
                <w:sz w:val="18"/>
                <w:szCs w:val="18"/>
              </w:rPr>
              <w:t>Resultado abrangente do período</w:t>
            </w:r>
          </w:p>
        </w:tc>
        <w:tc>
          <w:tcPr>
            <w:tcW w:w="677" w:type="pct"/>
            <w:tcBorders>
              <w:top w:val="nil"/>
              <w:left w:val="nil"/>
              <w:bottom w:val="nil"/>
              <w:right w:val="nil"/>
            </w:tcBorders>
            <w:shd w:val="clear" w:color="000000" w:fill="005CA9"/>
            <w:noWrap/>
            <w:vAlign w:val="center"/>
            <w:hideMark/>
          </w:tcPr>
          <w:p w14:paraId="6DD6A950" w14:textId="77777777" w:rsidR="00235FF8" w:rsidRPr="00235FF8" w:rsidRDefault="00235FF8" w:rsidP="00E97F63">
            <w:pPr>
              <w:ind w:right="81"/>
              <w:jc w:val="right"/>
              <w:rPr>
                <w:rFonts w:ascii="CAIXA Std Book" w:eastAsia="Times New Roman" w:hAnsi="CAIXA Std Book" w:cs="Calibri"/>
                <w:b/>
                <w:bCs/>
                <w:color w:val="FFFFFF"/>
                <w:sz w:val="18"/>
                <w:szCs w:val="18"/>
              </w:rPr>
            </w:pPr>
            <w:r w:rsidRPr="00235FF8">
              <w:rPr>
                <w:rFonts w:ascii="CAIXA Std Book" w:eastAsia="Times New Roman" w:hAnsi="CAIXA Std Book" w:cs="Calibri"/>
                <w:b/>
                <w:bCs/>
                <w:color w:val="FFFFFF"/>
                <w:sz w:val="18"/>
                <w:szCs w:val="18"/>
              </w:rPr>
              <w:t>4.779.641</w:t>
            </w:r>
          </w:p>
        </w:tc>
        <w:tc>
          <w:tcPr>
            <w:tcW w:w="724" w:type="pct"/>
            <w:tcBorders>
              <w:top w:val="nil"/>
              <w:left w:val="nil"/>
              <w:bottom w:val="nil"/>
              <w:right w:val="nil"/>
            </w:tcBorders>
            <w:shd w:val="clear" w:color="000000" w:fill="005CA9"/>
            <w:noWrap/>
            <w:vAlign w:val="center"/>
            <w:hideMark/>
          </w:tcPr>
          <w:p w14:paraId="5F2A626A" w14:textId="77777777" w:rsidR="00235FF8" w:rsidRPr="00235FF8" w:rsidRDefault="00235FF8" w:rsidP="00E97F63">
            <w:pPr>
              <w:ind w:right="81"/>
              <w:jc w:val="right"/>
              <w:rPr>
                <w:rFonts w:ascii="CAIXA Std Book" w:eastAsia="Times New Roman" w:hAnsi="CAIXA Std Book" w:cs="Calibri"/>
                <w:b/>
                <w:bCs/>
                <w:color w:val="FFFFFF"/>
                <w:sz w:val="18"/>
                <w:szCs w:val="18"/>
              </w:rPr>
            </w:pPr>
            <w:r w:rsidRPr="00235FF8">
              <w:rPr>
                <w:rFonts w:ascii="CAIXA Std Book" w:eastAsia="Times New Roman" w:hAnsi="CAIXA Std Book" w:cs="Calibri"/>
                <w:b/>
                <w:bCs/>
                <w:color w:val="FFFFFF"/>
                <w:sz w:val="18"/>
                <w:szCs w:val="18"/>
              </w:rPr>
              <w:t>343.682</w:t>
            </w:r>
          </w:p>
        </w:tc>
        <w:tc>
          <w:tcPr>
            <w:tcW w:w="711" w:type="pct"/>
            <w:tcBorders>
              <w:top w:val="nil"/>
              <w:left w:val="nil"/>
              <w:bottom w:val="nil"/>
              <w:right w:val="nil"/>
            </w:tcBorders>
            <w:shd w:val="clear" w:color="000000" w:fill="005CA9"/>
            <w:noWrap/>
            <w:vAlign w:val="center"/>
            <w:hideMark/>
          </w:tcPr>
          <w:p w14:paraId="780E5C30" w14:textId="77777777" w:rsidR="00235FF8" w:rsidRPr="00235FF8" w:rsidRDefault="00235FF8" w:rsidP="00E97F63">
            <w:pPr>
              <w:ind w:right="81"/>
              <w:jc w:val="right"/>
              <w:rPr>
                <w:rFonts w:ascii="CAIXA Std Book" w:eastAsia="Times New Roman" w:hAnsi="CAIXA Std Book" w:cs="Calibri"/>
                <w:b/>
                <w:bCs/>
                <w:color w:val="FFFFFF"/>
                <w:sz w:val="18"/>
                <w:szCs w:val="18"/>
              </w:rPr>
            </w:pPr>
            <w:r w:rsidRPr="00235FF8">
              <w:rPr>
                <w:rFonts w:ascii="CAIXA Std Book" w:eastAsia="Times New Roman" w:hAnsi="CAIXA Std Book" w:cs="Calibri"/>
                <w:b/>
                <w:bCs/>
                <w:color w:val="FFFFFF"/>
                <w:sz w:val="18"/>
                <w:szCs w:val="18"/>
              </w:rPr>
              <w:t>5.123.323</w:t>
            </w:r>
          </w:p>
        </w:tc>
      </w:tr>
      <w:tr w:rsidR="00235FF8" w14:paraId="307E26C4" w14:textId="77777777" w:rsidTr="00165AEE">
        <w:trPr>
          <w:trHeight w:val="285"/>
        </w:trPr>
        <w:tc>
          <w:tcPr>
            <w:tcW w:w="2888" w:type="pct"/>
            <w:tcBorders>
              <w:top w:val="nil"/>
              <w:left w:val="nil"/>
              <w:bottom w:val="single" w:sz="4" w:space="0" w:color="005CA9"/>
              <w:right w:val="nil"/>
            </w:tcBorders>
            <w:shd w:val="clear" w:color="000000" w:fill="FFFFFF"/>
            <w:noWrap/>
            <w:tcMar>
              <w:top w:w="0" w:type="dxa"/>
              <w:left w:w="135" w:type="dxa"/>
              <w:bottom w:w="0" w:type="dxa"/>
              <w:right w:w="0" w:type="dxa"/>
            </w:tcMar>
            <w:vAlign w:val="center"/>
            <w:hideMark/>
          </w:tcPr>
          <w:p w14:paraId="71B15139" w14:textId="77777777" w:rsidR="00235FF8" w:rsidRPr="00235FF8" w:rsidRDefault="00235FF8" w:rsidP="00E97F63">
            <w:pPr>
              <w:ind w:right="81" w:firstLineChars="100" w:firstLine="180"/>
              <w:rPr>
                <w:rFonts w:ascii="CAIXA Std Book" w:eastAsia="Times New Roman" w:hAnsi="CAIXA Std Book" w:cs="Calibri"/>
                <w:color w:val="005CA9"/>
                <w:sz w:val="18"/>
                <w:szCs w:val="18"/>
              </w:rPr>
            </w:pPr>
            <w:r w:rsidRPr="00235FF8">
              <w:rPr>
                <w:rFonts w:ascii="CAIXA Std Book" w:eastAsia="Times New Roman" w:hAnsi="CAIXA Std Book" w:cs="Calibri"/>
                <w:color w:val="005CA9"/>
                <w:sz w:val="18"/>
                <w:szCs w:val="18"/>
              </w:rPr>
              <w:t>Resultado abrangente atribuível ao controlador</w:t>
            </w:r>
          </w:p>
        </w:tc>
        <w:tc>
          <w:tcPr>
            <w:tcW w:w="677" w:type="pct"/>
            <w:tcBorders>
              <w:top w:val="nil"/>
              <w:left w:val="nil"/>
              <w:bottom w:val="single" w:sz="4" w:space="0" w:color="005CA9"/>
              <w:right w:val="nil"/>
            </w:tcBorders>
            <w:shd w:val="clear" w:color="000000" w:fill="FFFFFF"/>
            <w:noWrap/>
            <w:vAlign w:val="center"/>
            <w:hideMark/>
          </w:tcPr>
          <w:p w14:paraId="3A85E328" w14:textId="77777777" w:rsidR="00235FF8" w:rsidRPr="00235FF8" w:rsidRDefault="00235FF8" w:rsidP="00E97F63">
            <w:pPr>
              <w:ind w:right="81"/>
              <w:jc w:val="right"/>
              <w:rPr>
                <w:rFonts w:ascii="CAIXA Std Book" w:eastAsia="Times New Roman" w:hAnsi="CAIXA Std Book" w:cs="Calibri"/>
                <w:color w:val="005CA9"/>
                <w:sz w:val="18"/>
                <w:szCs w:val="18"/>
              </w:rPr>
            </w:pPr>
            <w:r w:rsidRPr="00235FF8">
              <w:rPr>
                <w:rFonts w:ascii="CAIXA Std Book" w:eastAsia="Times New Roman" w:hAnsi="CAIXA Std Book" w:cs="Calibri"/>
                <w:color w:val="005CA9"/>
                <w:sz w:val="18"/>
                <w:szCs w:val="18"/>
              </w:rPr>
              <w:t>4.572.899</w:t>
            </w:r>
          </w:p>
        </w:tc>
        <w:tc>
          <w:tcPr>
            <w:tcW w:w="724" w:type="pct"/>
            <w:tcBorders>
              <w:top w:val="nil"/>
              <w:left w:val="nil"/>
              <w:bottom w:val="single" w:sz="4" w:space="0" w:color="005CA9"/>
              <w:right w:val="nil"/>
            </w:tcBorders>
            <w:shd w:val="clear" w:color="000000" w:fill="FFFFFF"/>
            <w:noWrap/>
            <w:vAlign w:val="center"/>
            <w:hideMark/>
          </w:tcPr>
          <w:p w14:paraId="3D683B4A" w14:textId="77777777" w:rsidR="00235FF8" w:rsidRPr="00235FF8" w:rsidRDefault="00235FF8" w:rsidP="00E97F63">
            <w:pPr>
              <w:ind w:right="81"/>
              <w:jc w:val="right"/>
              <w:rPr>
                <w:rFonts w:ascii="CAIXA Std Book" w:eastAsia="Times New Roman" w:hAnsi="CAIXA Std Book" w:cs="Calibri"/>
                <w:color w:val="005CA9"/>
                <w:sz w:val="18"/>
                <w:szCs w:val="18"/>
              </w:rPr>
            </w:pPr>
            <w:r w:rsidRPr="00235FF8">
              <w:rPr>
                <w:rFonts w:ascii="CAIXA Std Book" w:eastAsia="Times New Roman" w:hAnsi="CAIXA Std Book" w:cs="Calibri"/>
                <w:color w:val="005CA9"/>
                <w:sz w:val="18"/>
                <w:szCs w:val="18"/>
              </w:rPr>
              <w:t>343.682</w:t>
            </w:r>
          </w:p>
        </w:tc>
        <w:tc>
          <w:tcPr>
            <w:tcW w:w="711" w:type="pct"/>
            <w:tcBorders>
              <w:top w:val="nil"/>
              <w:left w:val="nil"/>
              <w:bottom w:val="single" w:sz="4" w:space="0" w:color="005CA9"/>
              <w:right w:val="nil"/>
            </w:tcBorders>
            <w:shd w:val="clear" w:color="000000" w:fill="FFFFFF"/>
            <w:noWrap/>
            <w:vAlign w:val="center"/>
            <w:hideMark/>
          </w:tcPr>
          <w:p w14:paraId="62B763D7" w14:textId="77777777" w:rsidR="00235FF8" w:rsidRPr="00235FF8" w:rsidRDefault="00235FF8" w:rsidP="00E97F63">
            <w:pPr>
              <w:ind w:right="81"/>
              <w:jc w:val="right"/>
              <w:rPr>
                <w:rFonts w:ascii="CAIXA Std Book" w:eastAsia="Times New Roman" w:hAnsi="CAIXA Std Book" w:cs="Calibri"/>
                <w:color w:val="005CA9"/>
                <w:sz w:val="18"/>
                <w:szCs w:val="18"/>
              </w:rPr>
            </w:pPr>
            <w:r w:rsidRPr="00235FF8">
              <w:rPr>
                <w:rFonts w:ascii="CAIXA Std Book" w:eastAsia="Times New Roman" w:hAnsi="CAIXA Std Book" w:cs="Calibri"/>
                <w:color w:val="005CA9"/>
                <w:sz w:val="18"/>
                <w:szCs w:val="18"/>
              </w:rPr>
              <w:t>4.916.581</w:t>
            </w:r>
          </w:p>
        </w:tc>
      </w:tr>
    </w:tbl>
    <w:p w14:paraId="15EB5242" w14:textId="0F171E48" w:rsidR="00FD70A5" w:rsidRPr="00FB6CB2" w:rsidRDefault="009201A1" w:rsidP="006B12BD">
      <w:pPr>
        <w:pStyle w:val="PargrafodaLista"/>
        <w:keepNext/>
        <w:numPr>
          <w:ilvl w:val="0"/>
          <w:numId w:val="53"/>
        </w:numPr>
        <w:spacing w:before="240" w:after="120"/>
        <w:jc w:val="both"/>
        <w:rPr>
          <w:rFonts w:ascii="CAIXA Std Book" w:hAnsi="CAIXA Std Book"/>
          <w:b/>
          <w:bCs/>
          <w:color w:val="005CA9"/>
          <w:sz w:val="20"/>
          <w:szCs w:val="20"/>
        </w:rPr>
      </w:pPr>
      <w:r w:rsidRPr="00FB6CB2">
        <w:rPr>
          <w:rFonts w:ascii="CAIXA Std Book" w:hAnsi="CAIXA Std Book"/>
          <w:b/>
          <w:bCs/>
          <w:color w:val="005CA9"/>
          <w:sz w:val="20"/>
          <w:szCs w:val="20"/>
        </w:rPr>
        <w:t xml:space="preserve"> </w:t>
      </w:r>
      <w:r w:rsidR="00FB6CB2" w:rsidRPr="00FB6CB2">
        <w:rPr>
          <w:rFonts w:ascii="CAIXA Std Book" w:hAnsi="CAIXA Std Book"/>
          <w:b/>
          <w:bCs/>
          <w:color w:val="005CA9"/>
          <w:sz w:val="20"/>
          <w:szCs w:val="20"/>
        </w:rPr>
        <w:t xml:space="preserve">Demonstração dos </w:t>
      </w:r>
      <w:r w:rsidR="004B1184">
        <w:rPr>
          <w:rFonts w:ascii="CAIXA Std Book" w:hAnsi="CAIXA Std Book"/>
          <w:b/>
          <w:bCs/>
          <w:color w:val="005CA9"/>
          <w:sz w:val="20"/>
          <w:szCs w:val="20"/>
        </w:rPr>
        <w:t>f</w:t>
      </w:r>
      <w:r w:rsidR="00FB6CB2" w:rsidRPr="00FB6CB2">
        <w:rPr>
          <w:rFonts w:ascii="CAIXA Std Book" w:hAnsi="CAIXA Std Book"/>
          <w:b/>
          <w:bCs/>
          <w:color w:val="005CA9"/>
          <w:sz w:val="20"/>
          <w:szCs w:val="20"/>
        </w:rPr>
        <w:t xml:space="preserve">luxos de </w:t>
      </w:r>
      <w:r w:rsidR="004B1184">
        <w:rPr>
          <w:rFonts w:ascii="CAIXA Std Book" w:hAnsi="CAIXA Std Book"/>
          <w:b/>
          <w:bCs/>
          <w:color w:val="005CA9"/>
          <w:sz w:val="20"/>
          <w:szCs w:val="20"/>
        </w:rPr>
        <w:t>c</w:t>
      </w:r>
      <w:r w:rsidR="00FB6CB2" w:rsidRPr="00FB6CB2">
        <w:rPr>
          <w:rFonts w:ascii="CAIXA Std Book" w:hAnsi="CAIXA Std Book"/>
          <w:b/>
          <w:bCs/>
          <w:color w:val="005CA9"/>
          <w:sz w:val="20"/>
          <w:szCs w:val="20"/>
        </w:rPr>
        <w:t>aixa</w:t>
      </w:r>
      <w:r w:rsidR="00C14F87">
        <w:rPr>
          <w:rFonts w:ascii="CAIXA Std Book" w:hAnsi="CAIXA Std Book"/>
          <w:b/>
          <w:bCs/>
          <w:color w:val="005CA9"/>
          <w:sz w:val="20"/>
          <w:szCs w:val="20"/>
        </w:rPr>
        <w:t xml:space="preserve"> </w:t>
      </w:r>
      <w:r w:rsidR="004B1184">
        <w:rPr>
          <w:rFonts w:ascii="CAIXA Std Book" w:hAnsi="CAIXA Std Book"/>
          <w:b/>
          <w:bCs/>
          <w:color w:val="005CA9"/>
          <w:sz w:val="20"/>
          <w:szCs w:val="20"/>
        </w:rPr>
        <w:t>c</w:t>
      </w:r>
      <w:r w:rsidR="00C14F87">
        <w:rPr>
          <w:rFonts w:ascii="CAIXA Std Book" w:hAnsi="CAIXA Std Book"/>
          <w:b/>
          <w:bCs/>
          <w:color w:val="005CA9"/>
          <w:sz w:val="20"/>
          <w:szCs w:val="20"/>
        </w:rPr>
        <w:t>onsolidada</w:t>
      </w:r>
    </w:p>
    <w:tbl>
      <w:tblPr>
        <w:tblW w:w="5000" w:type="pct"/>
        <w:tblCellMar>
          <w:left w:w="70" w:type="dxa"/>
          <w:right w:w="70" w:type="dxa"/>
        </w:tblCellMar>
        <w:tblLook w:val="04A0" w:firstRow="1" w:lastRow="0" w:firstColumn="1" w:lastColumn="0" w:noHBand="0" w:noVBand="1"/>
      </w:tblPr>
      <w:tblGrid>
        <w:gridCol w:w="5589"/>
        <w:gridCol w:w="1399"/>
        <w:gridCol w:w="1324"/>
        <w:gridCol w:w="1326"/>
      </w:tblGrid>
      <w:tr w:rsidR="00362B10" w:rsidRPr="00362B10" w14:paraId="593308E9" w14:textId="77777777" w:rsidTr="00F84773">
        <w:trPr>
          <w:trHeight w:val="283"/>
        </w:trPr>
        <w:tc>
          <w:tcPr>
            <w:tcW w:w="2899" w:type="pct"/>
            <w:vMerge w:val="restart"/>
            <w:shd w:val="clear" w:color="000000" w:fill="005CA9"/>
            <w:vAlign w:val="center"/>
            <w:hideMark/>
          </w:tcPr>
          <w:p w14:paraId="1514D508" w14:textId="77777777" w:rsidR="00362B10" w:rsidRPr="00362B10" w:rsidRDefault="00362B10" w:rsidP="00362B10">
            <w:pPr>
              <w:jc w:val="center"/>
              <w:rPr>
                <w:rFonts w:ascii="CAIXA Std Book" w:eastAsia="Times New Roman" w:hAnsi="CAIXA Std Book" w:cs="Calibri"/>
                <w:b/>
                <w:bCs/>
                <w:color w:val="FFFFFF"/>
                <w:sz w:val="18"/>
                <w:szCs w:val="18"/>
              </w:rPr>
            </w:pPr>
            <w:r w:rsidRPr="00362B10">
              <w:rPr>
                <w:rFonts w:ascii="CAIXA Std Book" w:eastAsia="Times New Roman" w:hAnsi="CAIXA Std Book" w:cs="Calibri"/>
                <w:b/>
                <w:bCs/>
                <w:color w:val="FFFFFF"/>
                <w:sz w:val="18"/>
                <w:szCs w:val="18"/>
              </w:rPr>
              <w:t>Descrição</w:t>
            </w:r>
          </w:p>
        </w:tc>
        <w:tc>
          <w:tcPr>
            <w:tcW w:w="2101" w:type="pct"/>
            <w:gridSpan w:val="3"/>
            <w:tcBorders>
              <w:bottom w:val="single" w:sz="4" w:space="0" w:color="FFFFFF" w:themeColor="background1"/>
            </w:tcBorders>
            <w:shd w:val="clear" w:color="000000" w:fill="005CA9"/>
            <w:vAlign w:val="center"/>
            <w:hideMark/>
          </w:tcPr>
          <w:p w14:paraId="5B3D4954" w14:textId="77777777" w:rsidR="00362B10" w:rsidRPr="00362B10" w:rsidRDefault="00362B10" w:rsidP="00362B10">
            <w:pPr>
              <w:jc w:val="center"/>
              <w:rPr>
                <w:rFonts w:ascii="CAIXA Std Book" w:eastAsia="Times New Roman" w:hAnsi="CAIXA Std Book" w:cs="Calibri"/>
                <w:b/>
                <w:bCs/>
                <w:color w:val="FFFFFF"/>
                <w:sz w:val="18"/>
                <w:szCs w:val="18"/>
              </w:rPr>
            </w:pPr>
            <w:r w:rsidRPr="00362B10">
              <w:rPr>
                <w:rFonts w:ascii="CAIXA Std Book" w:eastAsia="Times New Roman" w:hAnsi="CAIXA Std Book" w:cs="Calibri"/>
                <w:b/>
                <w:bCs/>
                <w:color w:val="FFFFFF"/>
                <w:sz w:val="18"/>
                <w:szCs w:val="18"/>
              </w:rPr>
              <w:t>Consolidado</w:t>
            </w:r>
          </w:p>
        </w:tc>
      </w:tr>
      <w:tr w:rsidR="00362B10" w:rsidRPr="00362B10" w14:paraId="3EA9E34D" w14:textId="77777777" w:rsidTr="00F84773">
        <w:trPr>
          <w:trHeight w:val="283"/>
        </w:trPr>
        <w:tc>
          <w:tcPr>
            <w:tcW w:w="2899" w:type="pct"/>
            <w:vMerge/>
            <w:vAlign w:val="center"/>
            <w:hideMark/>
          </w:tcPr>
          <w:p w14:paraId="15E9B3FB" w14:textId="77777777" w:rsidR="00362B10" w:rsidRPr="00362B10" w:rsidRDefault="00362B10" w:rsidP="00362B10">
            <w:pPr>
              <w:rPr>
                <w:rFonts w:ascii="CAIXA Std Book" w:eastAsia="Times New Roman" w:hAnsi="CAIXA Std Book" w:cs="Calibri"/>
                <w:b/>
                <w:bCs/>
                <w:color w:val="FFFFFF"/>
                <w:sz w:val="18"/>
                <w:szCs w:val="18"/>
              </w:rPr>
            </w:pPr>
          </w:p>
        </w:tc>
        <w:tc>
          <w:tcPr>
            <w:tcW w:w="2101" w:type="pct"/>
            <w:gridSpan w:val="3"/>
            <w:tcBorders>
              <w:top w:val="single" w:sz="4" w:space="0" w:color="FFFFFF" w:themeColor="background1"/>
              <w:bottom w:val="single" w:sz="4" w:space="0" w:color="FFFFFF" w:themeColor="background1"/>
            </w:tcBorders>
            <w:shd w:val="clear" w:color="000000" w:fill="005CA9"/>
            <w:vAlign w:val="center"/>
            <w:hideMark/>
          </w:tcPr>
          <w:p w14:paraId="41AA55C9" w14:textId="77777777" w:rsidR="00362B10" w:rsidRPr="00362B10" w:rsidRDefault="00362B10" w:rsidP="00362B10">
            <w:pPr>
              <w:jc w:val="center"/>
              <w:rPr>
                <w:rFonts w:ascii="CAIXA Std Book" w:eastAsia="Times New Roman" w:hAnsi="CAIXA Std Book" w:cs="Calibri"/>
                <w:b/>
                <w:bCs/>
                <w:color w:val="FFFFFF"/>
                <w:sz w:val="18"/>
                <w:szCs w:val="18"/>
              </w:rPr>
            </w:pPr>
            <w:r w:rsidRPr="00362B10">
              <w:rPr>
                <w:rFonts w:ascii="CAIXA Std Book" w:eastAsia="Times New Roman" w:hAnsi="CAIXA Std Book" w:cs="Calibri"/>
                <w:b/>
                <w:bCs/>
                <w:color w:val="FFFFFF"/>
                <w:sz w:val="18"/>
                <w:szCs w:val="18"/>
              </w:rPr>
              <w:t>1º trimestre de 2025</w:t>
            </w:r>
          </w:p>
        </w:tc>
      </w:tr>
      <w:tr w:rsidR="00362B10" w:rsidRPr="00362B10" w14:paraId="2E7523E4" w14:textId="77777777" w:rsidTr="00F84773">
        <w:trPr>
          <w:trHeight w:val="283"/>
        </w:trPr>
        <w:tc>
          <w:tcPr>
            <w:tcW w:w="2899" w:type="pct"/>
            <w:vMerge/>
            <w:vAlign w:val="center"/>
            <w:hideMark/>
          </w:tcPr>
          <w:p w14:paraId="1681CE4D" w14:textId="77777777" w:rsidR="00362B10" w:rsidRPr="00362B10" w:rsidRDefault="00362B10" w:rsidP="00362B10">
            <w:pPr>
              <w:rPr>
                <w:rFonts w:ascii="CAIXA Std Book" w:eastAsia="Times New Roman" w:hAnsi="CAIXA Std Book" w:cs="Calibri"/>
                <w:b/>
                <w:bCs/>
                <w:color w:val="FFFFFF"/>
                <w:sz w:val="18"/>
                <w:szCs w:val="18"/>
              </w:rPr>
            </w:pPr>
          </w:p>
        </w:tc>
        <w:tc>
          <w:tcPr>
            <w:tcW w:w="726" w:type="pct"/>
            <w:tcBorders>
              <w:top w:val="single" w:sz="4" w:space="0" w:color="FFFFFF" w:themeColor="background1"/>
            </w:tcBorders>
            <w:shd w:val="clear" w:color="000000" w:fill="005CA9"/>
            <w:vAlign w:val="center"/>
            <w:hideMark/>
          </w:tcPr>
          <w:p w14:paraId="0CD424D6" w14:textId="77777777" w:rsidR="00362B10" w:rsidRPr="00362B10" w:rsidRDefault="00362B10" w:rsidP="00362B10">
            <w:pPr>
              <w:jc w:val="center"/>
              <w:rPr>
                <w:rFonts w:ascii="CAIXA Std Book" w:eastAsia="Times New Roman" w:hAnsi="CAIXA Std Book" w:cs="Calibri"/>
                <w:b/>
                <w:bCs/>
                <w:color w:val="FFFFFF"/>
                <w:sz w:val="18"/>
                <w:szCs w:val="18"/>
              </w:rPr>
            </w:pPr>
            <w:r w:rsidRPr="00362B10">
              <w:rPr>
                <w:rFonts w:ascii="CAIXA Std Book" w:eastAsia="Times New Roman" w:hAnsi="CAIXA Std Book" w:cs="Calibri"/>
                <w:b/>
                <w:bCs/>
                <w:color w:val="FFFFFF"/>
                <w:sz w:val="18"/>
                <w:szCs w:val="18"/>
              </w:rPr>
              <w:t>Conforme apresentado anteriormente</w:t>
            </w:r>
          </w:p>
        </w:tc>
        <w:tc>
          <w:tcPr>
            <w:tcW w:w="687" w:type="pct"/>
            <w:tcBorders>
              <w:top w:val="single" w:sz="4" w:space="0" w:color="FFFFFF" w:themeColor="background1"/>
            </w:tcBorders>
            <w:shd w:val="clear" w:color="000000" w:fill="005CA9"/>
            <w:vAlign w:val="center"/>
            <w:hideMark/>
          </w:tcPr>
          <w:p w14:paraId="4195D672" w14:textId="77777777" w:rsidR="00362B10" w:rsidRPr="00362B10" w:rsidRDefault="00362B10" w:rsidP="00362B10">
            <w:pPr>
              <w:jc w:val="center"/>
              <w:rPr>
                <w:rFonts w:ascii="CAIXA Std Book" w:eastAsia="Times New Roman" w:hAnsi="CAIXA Std Book" w:cs="Calibri"/>
                <w:b/>
                <w:bCs/>
                <w:color w:val="FFFFFF"/>
                <w:sz w:val="18"/>
                <w:szCs w:val="18"/>
              </w:rPr>
            </w:pPr>
            <w:r w:rsidRPr="00362B10">
              <w:rPr>
                <w:rFonts w:ascii="CAIXA Std Book" w:eastAsia="Times New Roman" w:hAnsi="CAIXA Std Book" w:cs="Calibri"/>
                <w:b/>
                <w:bCs/>
                <w:color w:val="FFFFFF"/>
                <w:sz w:val="18"/>
                <w:szCs w:val="18"/>
              </w:rPr>
              <w:t>Ajuste</w:t>
            </w:r>
          </w:p>
        </w:tc>
        <w:tc>
          <w:tcPr>
            <w:tcW w:w="687" w:type="pct"/>
            <w:tcBorders>
              <w:top w:val="single" w:sz="4" w:space="0" w:color="FFFFFF" w:themeColor="background1"/>
            </w:tcBorders>
            <w:shd w:val="clear" w:color="000000" w:fill="005CA9"/>
            <w:vAlign w:val="center"/>
            <w:hideMark/>
          </w:tcPr>
          <w:p w14:paraId="2C50AFCD" w14:textId="77777777" w:rsidR="00362B10" w:rsidRPr="00362B10" w:rsidRDefault="00362B10" w:rsidP="00362B10">
            <w:pPr>
              <w:jc w:val="center"/>
              <w:rPr>
                <w:rFonts w:ascii="CAIXA Std Book" w:eastAsia="Times New Roman" w:hAnsi="CAIXA Std Book" w:cs="Calibri"/>
                <w:b/>
                <w:bCs/>
                <w:color w:val="FFFFFF"/>
                <w:sz w:val="18"/>
                <w:szCs w:val="18"/>
              </w:rPr>
            </w:pPr>
            <w:r w:rsidRPr="00362B10">
              <w:rPr>
                <w:rFonts w:ascii="CAIXA Std Book" w:eastAsia="Times New Roman" w:hAnsi="CAIXA Std Book" w:cs="Calibri"/>
                <w:b/>
                <w:bCs/>
                <w:color w:val="FFFFFF"/>
                <w:sz w:val="18"/>
                <w:szCs w:val="18"/>
              </w:rPr>
              <w:t>Valor ajustado</w:t>
            </w:r>
          </w:p>
        </w:tc>
      </w:tr>
      <w:tr w:rsidR="00362B10" w:rsidRPr="00362B10" w14:paraId="33FF48D9" w14:textId="77777777" w:rsidTr="007B5407">
        <w:trPr>
          <w:trHeight w:val="283"/>
        </w:trPr>
        <w:tc>
          <w:tcPr>
            <w:tcW w:w="2899" w:type="pct"/>
            <w:tcBorders>
              <w:bottom w:val="single" w:sz="4" w:space="0" w:color="FFFFFF" w:themeColor="background1"/>
            </w:tcBorders>
            <w:shd w:val="clear" w:color="000000" w:fill="D0E0E3"/>
            <w:noWrap/>
            <w:vAlign w:val="center"/>
            <w:hideMark/>
          </w:tcPr>
          <w:p w14:paraId="5EEEA231" w14:textId="77777777" w:rsidR="00362B10" w:rsidRPr="00362B10" w:rsidRDefault="00362B10" w:rsidP="00362B10">
            <w:pPr>
              <w:ind w:firstLineChars="100" w:firstLine="181"/>
              <w:rPr>
                <w:rFonts w:ascii="CAIXA Std Book" w:eastAsia="Times New Roman" w:hAnsi="CAIXA Std Book" w:cs="Calibri"/>
                <w:b/>
                <w:bCs/>
                <w:color w:val="005CA9"/>
                <w:sz w:val="18"/>
                <w:szCs w:val="18"/>
              </w:rPr>
            </w:pPr>
            <w:r w:rsidRPr="00362B10">
              <w:rPr>
                <w:rFonts w:ascii="CAIXA Std Book" w:eastAsia="Times New Roman" w:hAnsi="CAIXA Std Book" w:cs="Calibri"/>
                <w:b/>
                <w:bCs/>
                <w:color w:val="005CA9"/>
                <w:sz w:val="18"/>
                <w:szCs w:val="18"/>
              </w:rPr>
              <w:t>Lucro líquido ajustado</w:t>
            </w:r>
          </w:p>
        </w:tc>
        <w:tc>
          <w:tcPr>
            <w:tcW w:w="726" w:type="pct"/>
            <w:tcBorders>
              <w:bottom w:val="single" w:sz="4" w:space="0" w:color="FFFFFF" w:themeColor="background1"/>
            </w:tcBorders>
            <w:shd w:val="clear" w:color="000000" w:fill="D0E0E3"/>
            <w:noWrap/>
            <w:vAlign w:val="center"/>
            <w:hideMark/>
          </w:tcPr>
          <w:p w14:paraId="03D10CC5" w14:textId="77777777" w:rsidR="00362B10" w:rsidRPr="00362B10" w:rsidRDefault="00362B10" w:rsidP="00362B10">
            <w:pPr>
              <w:jc w:val="right"/>
              <w:rPr>
                <w:rFonts w:ascii="CAIXA Std Book" w:eastAsia="Times New Roman" w:hAnsi="CAIXA Std Book" w:cs="Calibri"/>
                <w:b/>
                <w:bCs/>
                <w:color w:val="005CA9"/>
                <w:sz w:val="18"/>
                <w:szCs w:val="18"/>
              </w:rPr>
            </w:pPr>
            <w:r w:rsidRPr="00362B10">
              <w:rPr>
                <w:rFonts w:ascii="CAIXA Std Book" w:eastAsia="Times New Roman" w:hAnsi="CAIXA Std Book" w:cs="Calibri"/>
                <w:b/>
                <w:bCs/>
                <w:color w:val="005CA9"/>
                <w:sz w:val="18"/>
                <w:szCs w:val="18"/>
              </w:rPr>
              <w:t>10.091.574</w:t>
            </w:r>
          </w:p>
        </w:tc>
        <w:tc>
          <w:tcPr>
            <w:tcW w:w="687" w:type="pct"/>
            <w:tcBorders>
              <w:bottom w:val="single" w:sz="4" w:space="0" w:color="FFFFFF" w:themeColor="background1"/>
            </w:tcBorders>
            <w:shd w:val="clear" w:color="000000" w:fill="D0E0E3"/>
            <w:noWrap/>
            <w:vAlign w:val="center"/>
            <w:hideMark/>
          </w:tcPr>
          <w:p w14:paraId="05E38250" w14:textId="77777777" w:rsidR="00362B10" w:rsidRPr="00362B10" w:rsidRDefault="00362B10" w:rsidP="00362B10">
            <w:pPr>
              <w:jc w:val="right"/>
              <w:rPr>
                <w:rFonts w:ascii="CAIXA Std Book" w:eastAsia="Times New Roman" w:hAnsi="CAIXA Std Book" w:cs="Calibri"/>
                <w:b/>
                <w:bCs/>
                <w:color w:val="005CA9"/>
                <w:sz w:val="18"/>
                <w:szCs w:val="18"/>
              </w:rPr>
            </w:pPr>
            <w:r w:rsidRPr="00362B10">
              <w:rPr>
                <w:rFonts w:ascii="CAIXA Std Book" w:eastAsia="Times New Roman" w:hAnsi="CAIXA Std Book" w:cs="Calibri"/>
                <w:b/>
                <w:bCs/>
                <w:color w:val="005CA9"/>
                <w:sz w:val="18"/>
                <w:szCs w:val="18"/>
              </w:rPr>
              <w:t>192.432</w:t>
            </w:r>
          </w:p>
        </w:tc>
        <w:tc>
          <w:tcPr>
            <w:tcW w:w="687" w:type="pct"/>
            <w:tcBorders>
              <w:bottom w:val="single" w:sz="4" w:space="0" w:color="FFFFFF" w:themeColor="background1"/>
            </w:tcBorders>
            <w:shd w:val="clear" w:color="000000" w:fill="D0E0E3"/>
            <w:noWrap/>
            <w:vAlign w:val="center"/>
            <w:hideMark/>
          </w:tcPr>
          <w:p w14:paraId="040AF901" w14:textId="77777777" w:rsidR="00362B10" w:rsidRPr="00362B10" w:rsidRDefault="00362B10" w:rsidP="00362B10">
            <w:pPr>
              <w:jc w:val="right"/>
              <w:rPr>
                <w:rFonts w:ascii="CAIXA Std Book" w:eastAsia="Times New Roman" w:hAnsi="CAIXA Std Book" w:cs="Calibri"/>
                <w:b/>
                <w:bCs/>
                <w:color w:val="005CA9"/>
                <w:sz w:val="18"/>
                <w:szCs w:val="18"/>
              </w:rPr>
            </w:pPr>
            <w:r w:rsidRPr="00362B10">
              <w:rPr>
                <w:rFonts w:ascii="CAIXA Std Book" w:eastAsia="Times New Roman" w:hAnsi="CAIXA Std Book" w:cs="Calibri"/>
                <w:b/>
                <w:bCs/>
                <w:color w:val="005CA9"/>
                <w:sz w:val="18"/>
                <w:szCs w:val="18"/>
              </w:rPr>
              <w:t>10.284.006</w:t>
            </w:r>
          </w:p>
        </w:tc>
      </w:tr>
      <w:tr w:rsidR="00362B10" w:rsidRPr="00362B10" w14:paraId="0BCAED89" w14:textId="77777777" w:rsidTr="007B5407">
        <w:trPr>
          <w:trHeight w:val="283"/>
        </w:trPr>
        <w:tc>
          <w:tcPr>
            <w:tcW w:w="2899" w:type="pct"/>
            <w:tcBorders>
              <w:top w:val="single" w:sz="4" w:space="0" w:color="FFFFFF" w:themeColor="background1"/>
              <w:bottom w:val="single" w:sz="4" w:space="0" w:color="FFFFFF" w:themeColor="background1"/>
            </w:tcBorders>
            <w:shd w:val="clear" w:color="000000" w:fill="D0E0E3"/>
            <w:noWrap/>
            <w:vAlign w:val="center"/>
            <w:hideMark/>
          </w:tcPr>
          <w:p w14:paraId="639A6A1F" w14:textId="77777777" w:rsidR="00362B10" w:rsidRPr="00362B10" w:rsidRDefault="00362B10" w:rsidP="00362B10">
            <w:pPr>
              <w:ind w:firstLineChars="200" w:firstLine="361"/>
              <w:rPr>
                <w:rFonts w:ascii="CAIXA Std Book" w:eastAsia="Times New Roman" w:hAnsi="CAIXA Std Book" w:cs="Calibri"/>
                <w:b/>
                <w:bCs/>
                <w:color w:val="005CA9"/>
                <w:sz w:val="18"/>
                <w:szCs w:val="18"/>
              </w:rPr>
            </w:pPr>
            <w:r w:rsidRPr="00362B10">
              <w:rPr>
                <w:rFonts w:ascii="CAIXA Std Book" w:eastAsia="Times New Roman" w:hAnsi="CAIXA Std Book" w:cs="Calibri"/>
                <w:b/>
                <w:bCs/>
                <w:color w:val="005CA9"/>
                <w:sz w:val="18"/>
                <w:szCs w:val="18"/>
              </w:rPr>
              <w:t xml:space="preserve">Lucro líquido </w:t>
            </w:r>
          </w:p>
        </w:tc>
        <w:tc>
          <w:tcPr>
            <w:tcW w:w="726" w:type="pct"/>
            <w:tcBorders>
              <w:top w:val="single" w:sz="4" w:space="0" w:color="FFFFFF" w:themeColor="background1"/>
              <w:bottom w:val="single" w:sz="4" w:space="0" w:color="FFFFFF" w:themeColor="background1"/>
            </w:tcBorders>
            <w:shd w:val="clear" w:color="000000" w:fill="D0E0E3"/>
            <w:noWrap/>
            <w:vAlign w:val="center"/>
            <w:hideMark/>
          </w:tcPr>
          <w:p w14:paraId="35E6176E" w14:textId="77777777" w:rsidR="00362B10" w:rsidRPr="00362B10" w:rsidRDefault="00362B10" w:rsidP="00362B10">
            <w:pPr>
              <w:jc w:val="right"/>
              <w:rPr>
                <w:rFonts w:ascii="CAIXA Std Book" w:eastAsia="Times New Roman" w:hAnsi="CAIXA Std Book" w:cs="Calibri"/>
                <w:b/>
                <w:bCs/>
                <w:color w:val="005CA9"/>
                <w:sz w:val="18"/>
                <w:szCs w:val="18"/>
              </w:rPr>
            </w:pPr>
            <w:r w:rsidRPr="00362B10">
              <w:rPr>
                <w:rFonts w:ascii="CAIXA Std Book" w:eastAsia="Times New Roman" w:hAnsi="CAIXA Std Book" w:cs="Calibri"/>
                <w:b/>
                <w:bCs/>
                <w:color w:val="005CA9"/>
                <w:sz w:val="18"/>
                <w:szCs w:val="18"/>
              </w:rPr>
              <w:t>5.757.633</w:t>
            </w:r>
          </w:p>
        </w:tc>
        <w:tc>
          <w:tcPr>
            <w:tcW w:w="687" w:type="pct"/>
            <w:tcBorders>
              <w:top w:val="single" w:sz="4" w:space="0" w:color="FFFFFF" w:themeColor="background1"/>
              <w:bottom w:val="single" w:sz="4" w:space="0" w:color="FFFFFF" w:themeColor="background1"/>
            </w:tcBorders>
            <w:shd w:val="clear" w:color="000000" w:fill="D0E0E3"/>
            <w:noWrap/>
            <w:vAlign w:val="center"/>
            <w:hideMark/>
          </w:tcPr>
          <w:p w14:paraId="571DAD94" w14:textId="77777777" w:rsidR="00362B10" w:rsidRPr="00362B10" w:rsidRDefault="00362B10" w:rsidP="00362B10">
            <w:pPr>
              <w:jc w:val="right"/>
              <w:rPr>
                <w:rFonts w:ascii="CAIXA Std Book" w:eastAsia="Times New Roman" w:hAnsi="CAIXA Std Book" w:cs="Calibri"/>
                <w:b/>
                <w:bCs/>
                <w:color w:val="005CA9"/>
                <w:sz w:val="18"/>
                <w:szCs w:val="18"/>
              </w:rPr>
            </w:pPr>
            <w:r w:rsidRPr="00362B10">
              <w:rPr>
                <w:rFonts w:ascii="CAIXA Std Book" w:eastAsia="Times New Roman" w:hAnsi="CAIXA Std Book" w:cs="Calibri"/>
                <w:b/>
                <w:bCs/>
                <w:color w:val="005CA9"/>
                <w:sz w:val="18"/>
                <w:szCs w:val="18"/>
              </w:rPr>
              <w:t>343.682</w:t>
            </w:r>
          </w:p>
        </w:tc>
        <w:tc>
          <w:tcPr>
            <w:tcW w:w="687" w:type="pct"/>
            <w:tcBorders>
              <w:top w:val="single" w:sz="4" w:space="0" w:color="FFFFFF" w:themeColor="background1"/>
              <w:bottom w:val="single" w:sz="4" w:space="0" w:color="FFFFFF" w:themeColor="background1"/>
            </w:tcBorders>
            <w:shd w:val="clear" w:color="000000" w:fill="D0E0E3"/>
            <w:noWrap/>
            <w:vAlign w:val="center"/>
            <w:hideMark/>
          </w:tcPr>
          <w:p w14:paraId="2898DFB5" w14:textId="77777777" w:rsidR="00362B10" w:rsidRPr="00362B10" w:rsidRDefault="00362B10" w:rsidP="00362B10">
            <w:pPr>
              <w:jc w:val="right"/>
              <w:rPr>
                <w:rFonts w:ascii="CAIXA Std Book" w:eastAsia="Times New Roman" w:hAnsi="CAIXA Std Book" w:cs="Calibri"/>
                <w:b/>
                <w:bCs/>
                <w:color w:val="005CA9"/>
                <w:sz w:val="18"/>
                <w:szCs w:val="18"/>
              </w:rPr>
            </w:pPr>
            <w:r w:rsidRPr="00362B10">
              <w:rPr>
                <w:rFonts w:ascii="CAIXA Std Book" w:eastAsia="Times New Roman" w:hAnsi="CAIXA Std Book" w:cs="Calibri"/>
                <w:b/>
                <w:bCs/>
                <w:color w:val="005CA9"/>
                <w:sz w:val="18"/>
                <w:szCs w:val="18"/>
              </w:rPr>
              <w:t>6.101.315</w:t>
            </w:r>
          </w:p>
        </w:tc>
      </w:tr>
      <w:tr w:rsidR="00362B10" w:rsidRPr="00362B10" w14:paraId="4C3F5DD3" w14:textId="77777777" w:rsidTr="007B5407">
        <w:trPr>
          <w:trHeight w:val="283"/>
        </w:trPr>
        <w:tc>
          <w:tcPr>
            <w:tcW w:w="2899" w:type="pct"/>
            <w:tcBorders>
              <w:top w:val="single" w:sz="4" w:space="0" w:color="FFFFFF" w:themeColor="background1"/>
            </w:tcBorders>
            <w:shd w:val="clear" w:color="000000" w:fill="D0E0E3"/>
            <w:noWrap/>
            <w:vAlign w:val="center"/>
            <w:hideMark/>
          </w:tcPr>
          <w:p w14:paraId="03075EE4" w14:textId="77777777" w:rsidR="00362B10" w:rsidRPr="00362B10" w:rsidRDefault="00362B10" w:rsidP="00362B10">
            <w:pPr>
              <w:ind w:firstLineChars="200" w:firstLine="361"/>
              <w:rPr>
                <w:rFonts w:ascii="CAIXA Std Book" w:eastAsia="Times New Roman" w:hAnsi="CAIXA Std Book" w:cs="Calibri"/>
                <w:b/>
                <w:bCs/>
                <w:color w:val="005CA9"/>
                <w:sz w:val="18"/>
                <w:szCs w:val="18"/>
              </w:rPr>
            </w:pPr>
            <w:r w:rsidRPr="00362B10">
              <w:rPr>
                <w:rFonts w:ascii="CAIXA Std Book" w:eastAsia="Times New Roman" w:hAnsi="CAIXA Std Book" w:cs="Calibri"/>
                <w:b/>
                <w:bCs/>
                <w:color w:val="005CA9"/>
                <w:sz w:val="18"/>
                <w:szCs w:val="18"/>
              </w:rPr>
              <w:t>Ajustes ao lucro líquido</w:t>
            </w:r>
          </w:p>
        </w:tc>
        <w:tc>
          <w:tcPr>
            <w:tcW w:w="726" w:type="pct"/>
            <w:tcBorders>
              <w:top w:val="single" w:sz="4" w:space="0" w:color="FFFFFF" w:themeColor="background1"/>
            </w:tcBorders>
            <w:shd w:val="clear" w:color="000000" w:fill="D0E0E3"/>
            <w:noWrap/>
            <w:vAlign w:val="center"/>
            <w:hideMark/>
          </w:tcPr>
          <w:p w14:paraId="4CCFF432" w14:textId="77777777" w:rsidR="00362B10" w:rsidRPr="00362B10" w:rsidRDefault="00362B10" w:rsidP="00362B10">
            <w:pPr>
              <w:jc w:val="right"/>
              <w:rPr>
                <w:rFonts w:ascii="CAIXA Std Book" w:eastAsia="Times New Roman" w:hAnsi="CAIXA Std Book" w:cs="Calibri"/>
                <w:b/>
                <w:bCs/>
                <w:color w:val="005CA9"/>
                <w:sz w:val="18"/>
                <w:szCs w:val="18"/>
              </w:rPr>
            </w:pPr>
            <w:r w:rsidRPr="00362B10">
              <w:rPr>
                <w:rFonts w:ascii="CAIXA Std Book" w:eastAsia="Times New Roman" w:hAnsi="CAIXA Std Book" w:cs="Calibri"/>
                <w:b/>
                <w:bCs/>
                <w:color w:val="005CA9"/>
                <w:sz w:val="18"/>
                <w:szCs w:val="18"/>
              </w:rPr>
              <w:t>4.333.941</w:t>
            </w:r>
          </w:p>
        </w:tc>
        <w:tc>
          <w:tcPr>
            <w:tcW w:w="687" w:type="pct"/>
            <w:tcBorders>
              <w:top w:val="single" w:sz="4" w:space="0" w:color="FFFFFF" w:themeColor="background1"/>
            </w:tcBorders>
            <w:shd w:val="clear" w:color="000000" w:fill="D0E0E3"/>
            <w:noWrap/>
            <w:vAlign w:val="center"/>
            <w:hideMark/>
          </w:tcPr>
          <w:p w14:paraId="60D7F1D0" w14:textId="77777777" w:rsidR="00362B10" w:rsidRPr="00362B10" w:rsidRDefault="00362B10" w:rsidP="00362B10">
            <w:pPr>
              <w:jc w:val="right"/>
              <w:rPr>
                <w:rFonts w:ascii="CAIXA Std Book" w:eastAsia="Times New Roman" w:hAnsi="CAIXA Std Book" w:cs="Calibri"/>
                <w:b/>
                <w:bCs/>
                <w:color w:val="005CA9"/>
                <w:sz w:val="18"/>
                <w:szCs w:val="18"/>
              </w:rPr>
            </w:pPr>
            <w:r w:rsidRPr="00362B10">
              <w:rPr>
                <w:rFonts w:ascii="CAIXA Std Book" w:eastAsia="Times New Roman" w:hAnsi="CAIXA Std Book" w:cs="Calibri"/>
                <w:b/>
                <w:bCs/>
                <w:color w:val="005CA9"/>
                <w:sz w:val="18"/>
                <w:szCs w:val="18"/>
              </w:rPr>
              <w:t>(151.250)</w:t>
            </w:r>
          </w:p>
        </w:tc>
        <w:tc>
          <w:tcPr>
            <w:tcW w:w="687" w:type="pct"/>
            <w:tcBorders>
              <w:top w:val="single" w:sz="4" w:space="0" w:color="FFFFFF" w:themeColor="background1"/>
            </w:tcBorders>
            <w:shd w:val="clear" w:color="000000" w:fill="D0E0E3"/>
            <w:noWrap/>
            <w:vAlign w:val="center"/>
            <w:hideMark/>
          </w:tcPr>
          <w:p w14:paraId="5764ACA0" w14:textId="77777777" w:rsidR="00362B10" w:rsidRPr="00362B10" w:rsidRDefault="00362B10" w:rsidP="00362B10">
            <w:pPr>
              <w:jc w:val="right"/>
              <w:rPr>
                <w:rFonts w:ascii="CAIXA Std Book" w:eastAsia="Times New Roman" w:hAnsi="CAIXA Std Book" w:cs="Calibri"/>
                <w:b/>
                <w:bCs/>
                <w:color w:val="005CA9"/>
                <w:sz w:val="18"/>
                <w:szCs w:val="18"/>
              </w:rPr>
            </w:pPr>
            <w:r w:rsidRPr="00362B10">
              <w:rPr>
                <w:rFonts w:ascii="CAIXA Std Book" w:eastAsia="Times New Roman" w:hAnsi="CAIXA Std Book" w:cs="Calibri"/>
                <w:b/>
                <w:bCs/>
                <w:color w:val="005CA9"/>
                <w:sz w:val="18"/>
                <w:szCs w:val="18"/>
              </w:rPr>
              <w:t>4.182.691</w:t>
            </w:r>
          </w:p>
        </w:tc>
      </w:tr>
      <w:tr w:rsidR="00362B10" w:rsidRPr="00362B10" w14:paraId="557ABA5D" w14:textId="77777777" w:rsidTr="00F84773">
        <w:trPr>
          <w:trHeight w:val="283"/>
        </w:trPr>
        <w:tc>
          <w:tcPr>
            <w:tcW w:w="2899" w:type="pct"/>
            <w:noWrap/>
            <w:vAlign w:val="center"/>
            <w:hideMark/>
          </w:tcPr>
          <w:p w14:paraId="35FF507A" w14:textId="77777777" w:rsidR="00362B10" w:rsidRPr="00362B10" w:rsidRDefault="00362B10" w:rsidP="00362B10">
            <w:pPr>
              <w:ind w:firstLineChars="300" w:firstLine="540"/>
              <w:rPr>
                <w:rFonts w:ascii="CAIXA Std Book" w:eastAsia="Times New Roman" w:hAnsi="CAIXA Std Book" w:cs="Calibri"/>
                <w:color w:val="005CA9"/>
                <w:sz w:val="18"/>
                <w:szCs w:val="18"/>
              </w:rPr>
            </w:pPr>
            <w:r w:rsidRPr="00362B10">
              <w:rPr>
                <w:rFonts w:ascii="CAIXA Std Book" w:eastAsia="Times New Roman" w:hAnsi="CAIXA Std Book" w:cs="Calibri"/>
                <w:color w:val="005CA9"/>
                <w:sz w:val="18"/>
                <w:szCs w:val="18"/>
              </w:rPr>
              <w:t>Participação de não controladores</w:t>
            </w:r>
          </w:p>
        </w:tc>
        <w:tc>
          <w:tcPr>
            <w:tcW w:w="726" w:type="pct"/>
            <w:shd w:val="clear" w:color="000000" w:fill="FFFFFF"/>
            <w:noWrap/>
            <w:vAlign w:val="center"/>
          </w:tcPr>
          <w:p w14:paraId="1EBF3695" w14:textId="4222236B" w:rsidR="00362B10" w:rsidRPr="00F84773" w:rsidRDefault="00362B10" w:rsidP="00F84773">
            <w:pPr>
              <w:jc w:val="right"/>
              <w:rPr>
                <w:rFonts w:ascii="CAIXA Std Book" w:eastAsia="Times New Roman" w:hAnsi="CAIXA Std Book" w:cs="Calibri"/>
                <w:color w:val="005CA9"/>
                <w:sz w:val="18"/>
                <w:szCs w:val="18"/>
              </w:rPr>
            </w:pPr>
          </w:p>
        </w:tc>
        <w:tc>
          <w:tcPr>
            <w:tcW w:w="687" w:type="pct"/>
            <w:shd w:val="clear" w:color="000000" w:fill="FFFFFF"/>
            <w:noWrap/>
            <w:vAlign w:val="center"/>
            <w:hideMark/>
          </w:tcPr>
          <w:p w14:paraId="289DB8F0" w14:textId="77777777" w:rsidR="00362B10" w:rsidRPr="00362B10" w:rsidRDefault="00362B10" w:rsidP="00362B10">
            <w:pPr>
              <w:jc w:val="right"/>
              <w:rPr>
                <w:rFonts w:ascii="CAIXA Std Book" w:eastAsia="Times New Roman" w:hAnsi="CAIXA Std Book" w:cs="Calibri"/>
                <w:color w:val="005CA9"/>
                <w:sz w:val="18"/>
                <w:szCs w:val="18"/>
              </w:rPr>
            </w:pPr>
            <w:r w:rsidRPr="00362B10">
              <w:rPr>
                <w:rFonts w:ascii="CAIXA Std Book" w:eastAsia="Times New Roman" w:hAnsi="CAIXA Std Book" w:cs="Calibri"/>
                <w:color w:val="005CA9"/>
                <w:sz w:val="18"/>
                <w:szCs w:val="18"/>
              </w:rPr>
              <w:t>192.432</w:t>
            </w:r>
          </w:p>
        </w:tc>
        <w:tc>
          <w:tcPr>
            <w:tcW w:w="687" w:type="pct"/>
            <w:shd w:val="clear" w:color="000000" w:fill="FFFFFF"/>
            <w:noWrap/>
            <w:vAlign w:val="center"/>
            <w:hideMark/>
          </w:tcPr>
          <w:p w14:paraId="45CC9B9D" w14:textId="77777777" w:rsidR="00362B10" w:rsidRPr="00362B10" w:rsidRDefault="00362B10" w:rsidP="00362B10">
            <w:pPr>
              <w:jc w:val="right"/>
              <w:rPr>
                <w:rFonts w:ascii="CAIXA Std Book" w:eastAsia="Times New Roman" w:hAnsi="CAIXA Std Book" w:cs="Calibri"/>
                <w:color w:val="005CA9"/>
                <w:sz w:val="18"/>
                <w:szCs w:val="18"/>
              </w:rPr>
            </w:pPr>
            <w:r w:rsidRPr="00362B10">
              <w:rPr>
                <w:rFonts w:ascii="CAIXA Std Book" w:eastAsia="Times New Roman" w:hAnsi="CAIXA Std Book" w:cs="Calibri"/>
                <w:color w:val="005CA9"/>
                <w:sz w:val="18"/>
                <w:szCs w:val="18"/>
              </w:rPr>
              <w:t>192.432</w:t>
            </w:r>
          </w:p>
        </w:tc>
      </w:tr>
      <w:tr w:rsidR="00362B10" w:rsidRPr="00362B10" w14:paraId="1B45DE49" w14:textId="77777777" w:rsidTr="007B5407">
        <w:trPr>
          <w:trHeight w:val="283"/>
        </w:trPr>
        <w:tc>
          <w:tcPr>
            <w:tcW w:w="2899" w:type="pct"/>
            <w:noWrap/>
            <w:vAlign w:val="center"/>
            <w:hideMark/>
          </w:tcPr>
          <w:p w14:paraId="604C63F1" w14:textId="77777777" w:rsidR="00362B10" w:rsidRPr="00362B10" w:rsidRDefault="00362B10" w:rsidP="00362B10">
            <w:pPr>
              <w:ind w:firstLineChars="300" w:firstLine="540"/>
              <w:rPr>
                <w:rFonts w:ascii="CAIXA Std Book" w:eastAsia="Times New Roman" w:hAnsi="CAIXA Std Book" w:cs="Calibri"/>
                <w:color w:val="005CA9"/>
                <w:sz w:val="18"/>
                <w:szCs w:val="18"/>
              </w:rPr>
            </w:pPr>
            <w:r w:rsidRPr="00362B10">
              <w:rPr>
                <w:rFonts w:ascii="CAIXA Std Book" w:eastAsia="Times New Roman" w:hAnsi="CAIXA Std Book" w:cs="Calibri"/>
                <w:color w:val="005CA9"/>
                <w:sz w:val="18"/>
                <w:szCs w:val="18"/>
              </w:rPr>
              <w:t>Despesas com dívidas subordinadas e instrumentos híbridos</w:t>
            </w:r>
          </w:p>
        </w:tc>
        <w:tc>
          <w:tcPr>
            <w:tcW w:w="726" w:type="pct"/>
            <w:noWrap/>
            <w:vAlign w:val="center"/>
            <w:hideMark/>
          </w:tcPr>
          <w:p w14:paraId="6DA2EC70" w14:textId="77777777" w:rsidR="00362B10" w:rsidRPr="00362B10" w:rsidRDefault="00362B10" w:rsidP="00362B10">
            <w:pPr>
              <w:jc w:val="right"/>
              <w:rPr>
                <w:rFonts w:ascii="CAIXA Std Book" w:eastAsia="Times New Roman" w:hAnsi="CAIXA Std Book" w:cs="Calibri"/>
                <w:color w:val="005CA9"/>
                <w:sz w:val="18"/>
                <w:szCs w:val="18"/>
              </w:rPr>
            </w:pPr>
            <w:r w:rsidRPr="00362B10">
              <w:rPr>
                <w:rFonts w:ascii="CAIXA Std Book" w:eastAsia="Times New Roman" w:hAnsi="CAIXA Std Book" w:cs="Calibri"/>
                <w:color w:val="005CA9"/>
                <w:sz w:val="18"/>
                <w:szCs w:val="18"/>
              </w:rPr>
              <w:t>370.965</w:t>
            </w:r>
          </w:p>
        </w:tc>
        <w:tc>
          <w:tcPr>
            <w:tcW w:w="687" w:type="pct"/>
            <w:noWrap/>
            <w:vAlign w:val="center"/>
            <w:hideMark/>
          </w:tcPr>
          <w:p w14:paraId="1E55875D" w14:textId="77777777" w:rsidR="00362B10" w:rsidRPr="00362B10" w:rsidRDefault="00362B10" w:rsidP="00362B10">
            <w:pPr>
              <w:jc w:val="right"/>
              <w:rPr>
                <w:rFonts w:ascii="CAIXA Std Book" w:eastAsia="Times New Roman" w:hAnsi="CAIXA Std Book" w:cs="Calibri"/>
                <w:color w:val="005CA9"/>
                <w:sz w:val="18"/>
                <w:szCs w:val="18"/>
              </w:rPr>
            </w:pPr>
            <w:r w:rsidRPr="00362B10">
              <w:rPr>
                <w:rFonts w:ascii="CAIXA Std Book" w:eastAsia="Times New Roman" w:hAnsi="CAIXA Std Book" w:cs="Calibri"/>
                <w:color w:val="005CA9"/>
                <w:sz w:val="18"/>
                <w:szCs w:val="18"/>
              </w:rPr>
              <w:t>(343.682)</w:t>
            </w:r>
          </w:p>
        </w:tc>
        <w:tc>
          <w:tcPr>
            <w:tcW w:w="687" w:type="pct"/>
            <w:noWrap/>
            <w:vAlign w:val="center"/>
            <w:hideMark/>
          </w:tcPr>
          <w:p w14:paraId="5236CC3B" w14:textId="77777777" w:rsidR="00362B10" w:rsidRPr="00362B10" w:rsidRDefault="00362B10" w:rsidP="00362B10">
            <w:pPr>
              <w:jc w:val="right"/>
              <w:rPr>
                <w:rFonts w:ascii="CAIXA Std Book" w:eastAsia="Times New Roman" w:hAnsi="CAIXA Std Book" w:cs="Calibri"/>
                <w:color w:val="005CA9"/>
                <w:sz w:val="18"/>
                <w:szCs w:val="18"/>
              </w:rPr>
            </w:pPr>
            <w:r w:rsidRPr="00362B10">
              <w:rPr>
                <w:rFonts w:ascii="CAIXA Std Book" w:eastAsia="Times New Roman" w:hAnsi="CAIXA Std Book" w:cs="Calibri"/>
                <w:color w:val="005CA9"/>
                <w:sz w:val="18"/>
                <w:szCs w:val="18"/>
              </w:rPr>
              <w:t>27.283</w:t>
            </w:r>
          </w:p>
        </w:tc>
      </w:tr>
      <w:tr w:rsidR="00362B10" w:rsidRPr="00362B10" w14:paraId="5DFBBA92" w14:textId="77777777" w:rsidTr="007B5407">
        <w:trPr>
          <w:trHeight w:val="283"/>
        </w:trPr>
        <w:tc>
          <w:tcPr>
            <w:tcW w:w="2899" w:type="pct"/>
            <w:shd w:val="clear" w:color="000000" w:fill="D0E0E3"/>
            <w:noWrap/>
            <w:vAlign w:val="center"/>
            <w:hideMark/>
          </w:tcPr>
          <w:p w14:paraId="626D4ABE" w14:textId="77777777" w:rsidR="00362B10" w:rsidRPr="00362B10" w:rsidRDefault="00362B10" w:rsidP="00362B10">
            <w:pPr>
              <w:ind w:firstLineChars="200" w:firstLine="361"/>
              <w:rPr>
                <w:rFonts w:ascii="CAIXA Std Book" w:eastAsia="Times New Roman" w:hAnsi="CAIXA Std Book" w:cs="Calibri"/>
                <w:b/>
                <w:bCs/>
                <w:color w:val="005CA9"/>
                <w:sz w:val="18"/>
                <w:szCs w:val="18"/>
              </w:rPr>
            </w:pPr>
            <w:r w:rsidRPr="00362B10">
              <w:rPr>
                <w:rFonts w:ascii="CAIXA Std Book" w:eastAsia="Times New Roman" w:hAnsi="CAIXA Std Book" w:cs="Calibri"/>
                <w:b/>
                <w:bCs/>
                <w:color w:val="005CA9"/>
                <w:sz w:val="18"/>
                <w:szCs w:val="18"/>
              </w:rPr>
              <w:t>Caixa líquido proveniente nas atividades operacionais</w:t>
            </w:r>
          </w:p>
        </w:tc>
        <w:tc>
          <w:tcPr>
            <w:tcW w:w="726" w:type="pct"/>
            <w:shd w:val="clear" w:color="000000" w:fill="D0E0E3"/>
            <w:noWrap/>
            <w:vAlign w:val="center"/>
            <w:hideMark/>
          </w:tcPr>
          <w:p w14:paraId="15D94C05" w14:textId="77777777" w:rsidR="00362B10" w:rsidRPr="00362B10" w:rsidRDefault="00362B10" w:rsidP="00362B10">
            <w:pPr>
              <w:jc w:val="right"/>
              <w:rPr>
                <w:rFonts w:ascii="CAIXA Std Book" w:eastAsia="Times New Roman" w:hAnsi="CAIXA Std Book" w:cs="Calibri"/>
                <w:b/>
                <w:bCs/>
                <w:color w:val="005CA9"/>
                <w:sz w:val="18"/>
                <w:szCs w:val="18"/>
              </w:rPr>
            </w:pPr>
            <w:r w:rsidRPr="00362B10">
              <w:rPr>
                <w:rFonts w:ascii="CAIXA Std Book" w:eastAsia="Times New Roman" w:hAnsi="CAIXA Std Book" w:cs="Calibri"/>
                <w:b/>
                <w:bCs/>
                <w:color w:val="005CA9"/>
                <w:sz w:val="18"/>
                <w:szCs w:val="18"/>
              </w:rPr>
              <w:t>33.606.644</w:t>
            </w:r>
          </w:p>
        </w:tc>
        <w:tc>
          <w:tcPr>
            <w:tcW w:w="687" w:type="pct"/>
            <w:shd w:val="clear" w:color="000000" w:fill="D0E0E3"/>
            <w:noWrap/>
            <w:vAlign w:val="center"/>
            <w:hideMark/>
          </w:tcPr>
          <w:p w14:paraId="4C460BFF" w14:textId="77777777" w:rsidR="00362B10" w:rsidRPr="00362B10" w:rsidRDefault="00362B10" w:rsidP="00362B10">
            <w:pPr>
              <w:jc w:val="right"/>
              <w:rPr>
                <w:rFonts w:ascii="CAIXA Std Book" w:eastAsia="Times New Roman" w:hAnsi="CAIXA Std Book" w:cs="Calibri"/>
                <w:b/>
                <w:bCs/>
                <w:color w:val="005CA9"/>
                <w:sz w:val="18"/>
                <w:szCs w:val="18"/>
              </w:rPr>
            </w:pPr>
            <w:r w:rsidRPr="00362B10">
              <w:rPr>
                <w:rFonts w:ascii="CAIXA Std Book" w:eastAsia="Times New Roman" w:hAnsi="CAIXA Std Book" w:cs="Calibri"/>
                <w:b/>
                <w:bCs/>
                <w:color w:val="005CA9"/>
                <w:sz w:val="18"/>
                <w:szCs w:val="18"/>
              </w:rPr>
              <w:t>192.432</w:t>
            </w:r>
          </w:p>
        </w:tc>
        <w:tc>
          <w:tcPr>
            <w:tcW w:w="687" w:type="pct"/>
            <w:shd w:val="clear" w:color="000000" w:fill="D0E0E3"/>
            <w:noWrap/>
            <w:vAlign w:val="center"/>
            <w:hideMark/>
          </w:tcPr>
          <w:p w14:paraId="3647079C" w14:textId="77777777" w:rsidR="00362B10" w:rsidRPr="00362B10" w:rsidRDefault="00362B10" w:rsidP="00362B10">
            <w:pPr>
              <w:jc w:val="right"/>
              <w:rPr>
                <w:rFonts w:ascii="CAIXA Std Book" w:eastAsia="Times New Roman" w:hAnsi="CAIXA Std Book" w:cs="Calibri"/>
                <w:b/>
                <w:bCs/>
                <w:color w:val="005CA9"/>
                <w:sz w:val="18"/>
                <w:szCs w:val="18"/>
              </w:rPr>
            </w:pPr>
            <w:r w:rsidRPr="00362B10">
              <w:rPr>
                <w:rFonts w:ascii="CAIXA Std Book" w:eastAsia="Times New Roman" w:hAnsi="CAIXA Std Book" w:cs="Calibri"/>
                <w:b/>
                <w:bCs/>
                <w:color w:val="005CA9"/>
                <w:sz w:val="18"/>
                <w:szCs w:val="18"/>
              </w:rPr>
              <w:t>33.799.076</w:t>
            </w:r>
          </w:p>
        </w:tc>
      </w:tr>
      <w:tr w:rsidR="00362B10" w:rsidRPr="00362B10" w14:paraId="7C35DB03" w14:textId="77777777" w:rsidTr="00F84773">
        <w:trPr>
          <w:trHeight w:val="283"/>
        </w:trPr>
        <w:tc>
          <w:tcPr>
            <w:tcW w:w="2899" w:type="pct"/>
            <w:noWrap/>
            <w:vAlign w:val="center"/>
            <w:hideMark/>
          </w:tcPr>
          <w:p w14:paraId="1D315725" w14:textId="77777777" w:rsidR="00362B10" w:rsidRPr="00362B10" w:rsidRDefault="00362B10" w:rsidP="00362B10">
            <w:pPr>
              <w:ind w:firstLineChars="300" w:firstLine="540"/>
              <w:rPr>
                <w:rFonts w:ascii="CAIXA Std Book" w:eastAsia="Times New Roman" w:hAnsi="CAIXA Std Book" w:cs="Calibri"/>
                <w:color w:val="005CA9"/>
                <w:sz w:val="18"/>
                <w:szCs w:val="18"/>
              </w:rPr>
            </w:pPr>
            <w:r w:rsidRPr="00362B10">
              <w:rPr>
                <w:rFonts w:ascii="CAIXA Std Book" w:eastAsia="Times New Roman" w:hAnsi="CAIXA Std Book" w:cs="Calibri"/>
                <w:color w:val="005CA9"/>
                <w:sz w:val="18"/>
                <w:szCs w:val="18"/>
              </w:rPr>
              <w:t>Participação de não controladores</w:t>
            </w:r>
          </w:p>
        </w:tc>
        <w:tc>
          <w:tcPr>
            <w:tcW w:w="726" w:type="pct"/>
            <w:shd w:val="clear" w:color="000000" w:fill="FFFFFF"/>
            <w:noWrap/>
            <w:vAlign w:val="center"/>
            <w:hideMark/>
          </w:tcPr>
          <w:p w14:paraId="08E8F3B2" w14:textId="77777777" w:rsidR="00362B10" w:rsidRPr="00362B10" w:rsidRDefault="00362B10" w:rsidP="00362B10">
            <w:pPr>
              <w:jc w:val="right"/>
              <w:rPr>
                <w:rFonts w:ascii="CAIXA Std Book" w:eastAsia="Times New Roman" w:hAnsi="CAIXA Std Book" w:cs="Calibri"/>
                <w:color w:val="005CA9"/>
                <w:sz w:val="18"/>
                <w:szCs w:val="18"/>
              </w:rPr>
            </w:pPr>
            <w:r w:rsidRPr="00362B10">
              <w:rPr>
                <w:rFonts w:ascii="CAIXA Std Book" w:eastAsia="Times New Roman" w:hAnsi="CAIXA Std Book" w:cs="Calibri"/>
                <w:color w:val="005CA9"/>
                <w:sz w:val="18"/>
                <w:szCs w:val="18"/>
              </w:rPr>
              <w:t>584.596</w:t>
            </w:r>
          </w:p>
        </w:tc>
        <w:tc>
          <w:tcPr>
            <w:tcW w:w="687" w:type="pct"/>
            <w:shd w:val="clear" w:color="000000" w:fill="FFFFFF"/>
            <w:noWrap/>
            <w:vAlign w:val="center"/>
            <w:hideMark/>
          </w:tcPr>
          <w:p w14:paraId="6BD9B18D" w14:textId="77777777" w:rsidR="00362B10" w:rsidRPr="00362B10" w:rsidRDefault="00362B10" w:rsidP="00362B10">
            <w:pPr>
              <w:jc w:val="right"/>
              <w:rPr>
                <w:rFonts w:ascii="CAIXA Std Book" w:eastAsia="Times New Roman" w:hAnsi="CAIXA Std Book" w:cs="Calibri"/>
                <w:color w:val="005CA9"/>
                <w:sz w:val="18"/>
                <w:szCs w:val="18"/>
              </w:rPr>
            </w:pPr>
            <w:r w:rsidRPr="00362B10">
              <w:rPr>
                <w:rFonts w:ascii="CAIXA Std Book" w:eastAsia="Times New Roman" w:hAnsi="CAIXA Std Book" w:cs="Calibri"/>
                <w:color w:val="005CA9"/>
                <w:sz w:val="18"/>
                <w:szCs w:val="18"/>
              </w:rPr>
              <w:t>(192.432)</w:t>
            </w:r>
          </w:p>
        </w:tc>
        <w:tc>
          <w:tcPr>
            <w:tcW w:w="687" w:type="pct"/>
            <w:shd w:val="clear" w:color="000000" w:fill="FFFFFF"/>
            <w:noWrap/>
            <w:vAlign w:val="center"/>
            <w:hideMark/>
          </w:tcPr>
          <w:p w14:paraId="197D6FC7" w14:textId="77777777" w:rsidR="00362B10" w:rsidRPr="00362B10" w:rsidRDefault="00362B10" w:rsidP="00362B10">
            <w:pPr>
              <w:jc w:val="right"/>
              <w:rPr>
                <w:rFonts w:ascii="CAIXA Std Book" w:eastAsia="Times New Roman" w:hAnsi="CAIXA Std Book" w:cs="Calibri"/>
                <w:color w:val="005CA9"/>
                <w:sz w:val="18"/>
                <w:szCs w:val="18"/>
              </w:rPr>
            </w:pPr>
            <w:r w:rsidRPr="00362B10">
              <w:rPr>
                <w:rFonts w:ascii="CAIXA Std Book" w:eastAsia="Times New Roman" w:hAnsi="CAIXA Std Book" w:cs="Calibri"/>
                <w:color w:val="005CA9"/>
                <w:sz w:val="18"/>
                <w:szCs w:val="18"/>
              </w:rPr>
              <w:t>392.164</w:t>
            </w:r>
          </w:p>
        </w:tc>
      </w:tr>
      <w:tr w:rsidR="00362B10" w:rsidRPr="00362B10" w14:paraId="3D482694" w14:textId="77777777" w:rsidTr="007B5407">
        <w:trPr>
          <w:trHeight w:val="283"/>
        </w:trPr>
        <w:tc>
          <w:tcPr>
            <w:tcW w:w="2899" w:type="pct"/>
            <w:tcBorders>
              <w:bottom w:val="single" w:sz="4" w:space="0" w:color="1F497D" w:themeColor="text2"/>
            </w:tcBorders>
            <w:shd w:val="clear" w:color="000000" w:fill="D0E0E3"/>
            <w:noWrap/>
            <w:vAlign w:val="center"/>
            <w:hideMark/>
          </w:tcPr>
          <w:p w14:paraId="39200B5C" w14:textId="77777777" w:rsidR="00362B10" w:rsidRPr="00362B10" w:rsidRDefault="00362B10" w:rsidP="00362B10">
            <w:pPr>
              <w:ind w:firstLineChars="200" w:firstLine="361"/>
              <w:rPr>
                <w:rFonts w:ascii="CAIXA Std Book" w:eastAsia="Times New Roman" w:hAnsi="CAIXA Std Book" w:cs="Calibri"/>
                <w:b/>
                <w:bCs/>
                <w:color w:val="005CA9"/>
                <w:sz w:val="18"/>
                <w:szCs w:val="18"/>
              </w:rPr>
            </w:pPr>
            <w:r w:rsidRPr="00362B10">
              <w:rPr>
                <w:rFonts w:ascii="CAIXA Std Book" w:eastAsia="Times New Roman" w:hAnsi="CAIXA Std Book" w:cs="Calibri"/>
                <w:b/>
                <w:bCs/>
                <w:color w:val="005CA9"/>
                <w:sz w:val="18"/>
                <w:szCs w:val="18"/>
              </w:rPr>
              <w:t>Caixa líquido aplicado nas atividades de financiamento</w:t>
            </w:r>
          </w:p>
        </w:tc>
        <w:tc>
          <w:tcPr>
            <w:tcW w:w="726" w:type="pct"/>
            <w:tcBorders>
              <w:bottom w:val="single" w:sz="4" w:space="0" w:color="1F497D" w:themeColor="text2"/>
            </w:tcBorders>
            <w:shd w:val="clear" w:color="000000" w:fill="D0E0E3"/>
            <w:noWrap/>
            <w:vAlign w:val="center"/>
            <w:hideMark/>
          </w:tcPr>
          <w:p w14:paraId="1D609946" w14:textId="77777777" w:rsidR="00362B10" w:rsidRPr="00362B10" w:rsidRDefault="00362B10" w:rsidP="00362B10">
            <w:pPr>
              <w:jc w:val="right"/>
              <w:rPr>
                <w:rFonts w:ascii="CAIXA Std Book" w:eastAsia="Times New Roman" w:hAnsi="CAIXA Std Book" w:cs="Calibri"/>
                <w:b/>
                <w:bCs/>
                <w:color w:val="005CA9"/>
                <w:sz w:val="18"/>
                <w:szCs w:val="18"/>
              </w:rPr>
            </w:pPr>
            <w:r w:rsidRPr="00362B10">
              <w:rPr>
                <w:rFonts w:ascii="CAIXA Std Book" w:eastAsia="Times New Roman" w:hAnsi="CAIXA Std Book" w:cs="Calibri"/>
                <w:b/>
                <w:bCs/>
                <w:color w:val="005CA9"/>
                <w:sz w:val="18"/>
                <w:szCs w:val="18"/>
              </w:rPr>
              <w:t>584.596</w:t>
            </w:r>
          </w:p>
        </w:tc>
        <w:tc>
          <w:tcPr>
            <w:tcW w:w="687" w:type="pct"/>
            <w:tcBorders>
              <w:bottom w:val="single" w:sz="4" w:space="0" w:color="1F497D" w:themeColor="text2"/>
            </w:tcBorders>
            <w:shd w:val="clear" w:color="000000" w:fill="D0E0E3"/>
            <w:noWrap/>
            <w:vAlign w:val="center"/>
            <w:hideMark/>
          </w:tcPr>
          <w:p w14:paraId="1DE4C588" w14:textId="77777777" w:rsidR="00362B10" w:rsidRPr="00362B10" w:rsidRDefault="00362B10" w:rsidP="00362B10">
            <w:pPr>
              <w:jc w:val="right"/>
              <w:rPr>
                <w:rFonts w:ascii="CAIXA Std Book" w:eastAsia="Times New Roman" w:hAnsi="CAIXA Std Book" w:cs="Calibri"/>
                <w:b/>
                <w:bCs/>
                <w:color w:val="005CA9"/>
                <w:sz w:val="18"/>
                <w:szCs w:val="18"/>
              </w:rPr>
            </w:pPr>
            <w:r w:rsidRPr="00362B10">
              <w:rPr>
                <w:rFonts w:ascii="CAIXA Std Book" w:eastAsia="Times New Roman" w:hAnsi="CAIXA Std Book" w:cs="Calibri"/>
                <w:b/>
                <w:bCs/>
                <w:color w:val="005CA9"/>
                <w:sz w:val="18"/>
                <w:szCs w:val="18"/>
              </w:rPr>
              <w:t>(192.432)</w:t>
            </w:r>
          </w:p>
        </w:tc>
        <w:tc>
          <w:tcPr>
            <w:tcW w:w="687" w:type="pct"/>
            <w:tcBorders>
              <w:bottom w:val="single" w:sz="4" w:space="0" w:color="1F497D" w:themeColor="text2"/>
            </w:tcBorders>
            <w:shd w:val="clear" w:color="000000" w:fill="D0E0E3"/>
            <w:noWrap/>
            <w:vAlign w:val="center"/>
            <w:hideMark/>
          </w:tcPr>
          <w:p w14:paraId="6C7AC799" w14:textId="77777777" w:rsidR="00362B10" w:rsidRPr="00362B10" w:rsidRDefault="00362B10" w:rsidP="00362B10">
            <w:pPr>
              <w:jc w:val="right"/>
              <w:rPr>
                <w:rFonts w:ascii="CAIXA Std Book" w:eastAsia="Times New Roman" w:hAnsi="CAIXA Std Book" w:cs="Calibri"/>
                <w:b/>
                <w:bCs/>
                <w:color w:val="005CA9"/>
                <w:sz w:val="18"/>
                <w:szCs w:val="18"/>
              </w:rPr>
            </w:pPr>
            <w:r w:rsidRPr="00362B10">
              <w:rPr>
                <w:rFonts w:ascii="CAIXA Std Book" w:eastAsia="Times New Roman" w:hAnsi="CAIXA Std Book" w:cs="Calibri"/>
                <w:b/>
                <w:bCs/>
                <w:color w:val="005CA9"/>
                <w:sz w:val="18"/>
                <w:szCs w:val="18"/>
              </w:rPr>
              <w:t>392.164</w:t>
            </w:r>
          </w:p>
        </w:tc>
      </w:tr>
    </w:tbl>
    <w:p w14:paraId="75B6C9AD" w14:textId="77777777" w:rsidR="007573E2" w:rsidRDefault="007573E2" w:rsidP="00DF00DB">
      <w:pPr>
        <w:spacing w:before="120" w:after="120"/>
        <w:jc w:val="both"/>
        <w:rPr>
          <w:rFonts w:ascii="CAIXA Std Book" w:hAnsi="CAIXA Std Book"/>
          <w:color w:val="005CA9"/>
          <w:sz w:val="20"/>
          <w:szCs w:val="20"/>
        </w:rPr>
        <w:sectPr w:rsidR="007573E2" w:rsidSect="00621B06">
          <w:pgSz w:w="11907" w:h="16840" w:code="9"/>
          <w:pgMar w:top="1985" w:right="851" w:bottom="1134" w:left="1418" w:header="1134" w:footer="709" w:gutter="0"/>
          <w:cols w:space="708"/>
          <w:docGrid w:linePitch="360"/>
        </w:sectPr>
      </w:pPr>
    </w:p>
    <w:p w14:paraId="35218112" w14:textId="4D50EE06" w:rsidR="00124219" w:rsidRPr="00451F56" w:rsidRDefault="0043109B" w:rsidP="00451F56">
      <w:pPr>
        <w:pStyle w:val="PargrafodaLista"/>
        <w:keepNext/>
        <w:numPr>
          <w:ilvl w:val="0"/>
          <w:numId w:val="53"/>
        </w:numPr>
        <w:spacing w:before="240" w:after="120"/>
        <w:jc w:val="both"/>
        <w:rPr>
          <w:rFonts w:ascii="CAIXA Std Book" w:hAnsi="CAIXA Std Book"/>
          <w:b/>
          <w:bCs/>
          <w:color w:val="005CA9"/>
          <w:sz w:val="20"/>
          <w:szCs w:val="20"/>
        </w:rPr>
      </w:pPr>
      <w:r w:rsidRPr="00451F56">
        <w:rPr>
          <w:rFonts w:ascii="CAIXA Std Book" w:hAnsi="CAIXA Std Book"/>
          <w:b/>
          <w:bCs/>
          <w:color w:val="005CA9"/>
          <w:sz w:val="20"/>
          <w:szCs w:val="20"/>
        </w:rPr>
        <w:lastRenderedPageBreak/>
        <w:t xml:space="preserve">Demonstração das </w:t>
      </w:r>
      <w:r w:rsidR="00F139AA">
        <w:rPr>
          <w:rFonts w:ascii="CAIXA Std Book" w:hAnsi="CAIXA Std Book"/>
          <w:b/>
          <w:bCs/>
          <w:color w:val="005CA9"/>
          <w:sz w:val="20"/>
          <w:szCs w:val="20"/>
        </w:rPr>
        <w:t>m</w:t>
      </w:r>
      <w:r w:rsidRPr="00451F56">
        <w:rPr>
          <w:rFonts w:ascii="CAIXA Std Book" w:hAnsi="CAIXA Std Book"/>
          <w:b/>
          <w:bCs/>
          <w:color w:val="005CA9"/>
          <w:sz w:val="20"/>
          <w:szCs w:val="20"/>
        </w:rPr>
        <w:t xml:space="preserve">utações do </w:t>
      </w:r>
      <w:r w:rsidR="007C2CCC">
        <w:rPr>
          <w:rFonts w:ascii="CAIXA Std Book" w:hAnsi="CAIXA Std Book"/>
          <w:b/>
          <w:bCs/>
          <w:color w:val="005CA9"/>
          <w:sz w:val="20"/>
          <w:szCs w:val="20"/>
        </w:rPr>
        <w:t>p</w:t>
      </w:r>
      <w:r w:rsidRPr="00451F56">
        <w:rPr>
          <w:rFonts w:ascii="CAIXA Std Book" w:hAnsi="CAIXA Std Book"/>
          <w:b/>
          <w:bCs/>
          <w:color w:val="005CA9"/>
          <w:sz w:val="20"/>
          <w:szCs w:val="20"/>
        </w:rPr>
        <w:t xml:space="preserve">atrimônio </w:t>
      </w:r>
      <w:r w:rsidR="007C2CCC">
        <w:rPr>
          <w:rFonts w:ascii="CAIXA Std Book" w:hAnsi="CAIXA Std Book"/>
          <w:b/>
          <w:bCs/>
          <w:color w:val="005CA9"/>
          <w:sz w:val="20"/>
          <w:szCs w:val="20"/>
        </w:rPr>
        <w:t>l</w:t>
      </w:r>
      <w:r w:rsidRPr="00451F56">
        <w:rPr>
          <w:rFonts w:ascii="CAIXA Std Book" w:hAnsi="CAIXA Std Book"/>
          <w:b/>
          <w:bCs/>
          <w:color w:val="005CA9"/>
          <w:sz w:val="20"/>
          <w:szCs w:val="20"/>
        </w:rPr>
        <w:t xml:space="preserve">íquido </w:t>
      </w:r>
      <w:r w:rsidR="007C2CCC">
        <w:rPr>
          <w:rFonts w:ascii="CAIXA Std Book" w:hAnsi="CAIXA Std Book"/>
          <w:b/>
          <w:bCs/>
          <w:color w:val="005CA9"/>
          <w:sz w:val="20"/>
          <w:szCs w:val="20"/>
        </w:rPr>
        <w:t>c</w:t>
      </w:r>
      <w:r w:rsidRPr="00451F56">
        <w:rPr>
          <w:rFonts w:ascii="CAIXA Std Book" w:hAnsi="CAIXA Std Book"/>
          <w:b/>
          <w:bCs/>
          <w:color w:val="005CA9"/>
          <w:sz w:val="20"/>
          <w:szCs w:val="20"/>
        </w:rPr>
        <w:t>onsolidada</w:t>
      </w:r>
    </w:p>
    <w:tbl>
      <w:tblPr>
        <w:tblW w:w="4950" w:type="pct"/>
        <w:tblCellMar>
          <w:left w:w="70" w:type="dxa"/>
          <w:right w:w="70" w:type="dxa"/>
        </w:tblCellMar>
        <w:tblLook w:val="04A0" w:firstRow="1" w:lastRow="0" w:firstColumn="1" w:lastColumn="0" w:noHBand="0" w:noVBand="1"/>
      </w:tblPr>
      <w:tblGrid>
        <w:gridCol w:w="4277"/>
        <w:gridCol w:w="1112"/>
        <w:gridCol w:w="1030"/>
        <w:gridCol w:w="1010"/>
        <w:gridCol w:w="1012"/>
        <w:gridCol w:w="1273"/>
        <w:gridCol w:w="1324"/>
        <w:gridCol w:w="1112"/>
        <w:gridCol w:w="1162"/>
        <w:gridCol w:w="1113"/>
      </w:tblGrid>
      <w:tr w:rsidR="00996F58" w:rsidRPr="00996F58" w14:paraId="53C572A9" w14:textId="77777777" w:rsidTr="00996F58">
        <w:trPr>
          <w:trHeight w:val="270"/>
        </w:trPr>
        <w:tc>
          <w:tcPr>
            <w:tcW w:w="5000" w:type="pct"/>
            <w:gridSpan w:val="10"/>
            <w:tcBorders>
              <w:top w:val="nil"/>
              <w:left w:val="nil"/>
              <w:bottom w:val="single" w:sz="4" w:space="0" w:color="FFFFFF"/>
              <w:right w:val="nil"/>
            </w:tcBorders>
            <w:shd w:val="clear" w:color="000000" w:fill="005CA9"/>
            <w:vAlign w:val="center"/>
            <w:hideMark/>
          </w:tcPr>
          <w:p w14:paraId="07E76975" w14:textId="77777777" w:rsidR="00996F58" w:rsidRPr="00996F58" w:rsidRDefault="00996F58" w:rsidP="00996F58">
            <w:pPr>
              <w:jc w:val="center"/>
              <w:rPr>
                <w:rFonts w:ascii="CAIXA Std Book" w:eastAsia="Times New Roman" w:hAnsi="CAIXA Std Book" w:cs="Calibri"/>
                <w:b/>
                <w:bCs/>
                <w:color w:val="FFFFFF"/>
                <w:sz w:val="16"/>
                <w:szCs w:val="16"/>
              </w:rPr>
            </w:pPr>
            <w:r w:rsidRPr="00996F58">
              <w:rPr>
                <w:rFonts w:ascii="CAIXA Std Book" w:eastAsia="Times New Roman" w:hAnsi="CAIXA Std Book" w:cs="Calibri"/>
                <w:b/>
                <w:bCs/>
                <w:color w:val="FFFFFF"/>
                <w:sz w:val="16"/>
                <w:szCs w:val="16"/>
              </w:rPr>
              <w:t xml:space="preserve">Consolidado </w:t>
            </w:r>
          </w:p>
        </w:tc>
      </w:tr>
      <w:tr w:rsidR="00996F58" w:rsidRPr="00996F58" w14:paraId="77ECBF80" w14:textId="77777777" w:rsidTr="00996F58">
        <w:trPr>
          <w:trHeight w:val="435"/>
        </w:trPr>
        <w:tc>
          <w:tcPr>
            <w:tcW w:w="1482" w:type="pct"/>
            <w:vMerge w:val="restart"/>
            <w:tcBorders>
              <w:top w:val="nil"/>
              <w:left w:val="nil"/>
              <w:bottom w:val="nil"/>
              <w:right w:val="nil"/>
            </w:tcBorders>
            <w:shd w:val="clear" w:color="000000" w:fill="005CA9"/>
            <w:vAlign w:val="center"/>
            <w:hideMark/>
          </w:tcPr>
          <w:p w14:paraId="58CCB055" w14:textId="77777777" w:rsidR="00996F58" w:rsidRPr="00996F58" w:rsidRDefault="00996F58" w:rsidP="00996F58">
            <w:pPr>
              <w:jc w:val="center"/>
              <w:rPr>
                <w:rFonts w:ascii="CAIXA Std Book" w:eastAsia="Times New Roman" w:hAnsi="CAIXA Std Book" w:cs="Calibri"/>
                <w:b/>
                <w:bCs/>
                <w:color w:val="FFFFFF"/>
                <w:sz w:val="16"/>
                <w:szCs w:val="16"/>
              </w:rPr>
            </w:pPr>
            <w:r w:rsidRPr="00996F58">
              <w:rPr>
                <w:rFonts w:ascii="CAIXA Std Book" w:eastAsia="Times New Roman" w:hAnsi="CAIXA Std Book" w:cs="Calibri"/>
                <w:b/>
                <w:bCs/>
                <w:color w:val="FFFFFF"/>
                <w:sz w:val="16"/>
                <w:szCs w:val="16"/>
              </w:rPr>
              <w:t>Eventos</w:t>
            </w:r>
          </w:p>
        </w:tc>
        <w:tc>
          <w:tcPr>
            <w:tcW w:w="385" w:type="pct"/>
            <w:vMerge w:val="restart"/>
            <w:tcBorders>
              <w:top w:val="nil"/>
              <w:left w:val="nil"/>
              <w:bottom w:val="nil"/>
              <w:right w:val="nil"/>
            </w:tcBorders>
            <w:shd w:val="clear" w:color="000000" w:fill="005CA9"/>
            <w:vAlign w:val="center"/>
            <w:hideMark/>
          </w:tcPr>
          <w:p w14:paraId="3F959F25" w14:textId="77777777" w:rsidR="00996F58" w:rsidRPr="00996F58" w:rsidRDefault="00996F58" w:rsidP="00996F58">
            <w:pPr>
              <w:jc w:val="center"/>
              <w:rPr>
                <w:rFonts w:ascii="CAIXA Std Book" w:eastAsia="Times New Roman" w:hAnsi="CAIXA Std Book" w:cs="Calibri"/>
                <w:b/>
                <w:bCs/>
                <w:color w:val="FFFFFF"/>
                <w:sz w:val="16"/>
                <w:szCs w:val="16"/>
              </w:rPr>
            </w:pPr>
            <w:r w:rsidRPr="00996F58">
              <w:rPr>
                <w:rFonts w:ascii="CAIXA Std Book" w:eastAsia="Times New Roman" w:hAnsi="CAIXA Std Book" w:cs="Calibri"/>
                <w:b/>
                <w:bCs/>
                <w:color w:val="FFFFFF"/>
                <w:sz w:val="16"/>
                <w:szCs w:val="16"/>
              </w:rPr>
              <w:t>Capital</w:t>
            </w:r>
          </w:p>
        </w:tc>
        <w:tc>
          <w:tcPr>
            <w:tcW w:w="357" w:type="pct"/>
            <w:vMerge w:val="restart"/>
            <w:tcBorders>
              <w:top w:val="nil"/>
              <w:left w:val="nil"/>
              <w:bottom w:val="nil"/>
              <w:right w:val="nil"/>
            </w:tcBorders>
            <w:shd w:val="clear" w:color="000000" w:fill="005CA9"/>
            <w:vAlign w:val="center"/>
            <w:hideMark/>
          </w:tcPr>
          <w:p w14:paraId="6A07285A" w14:textId="77777777" w:rsidR="00996F58" w:rsidRPr="00996F58" w:rsidRDefault="00996F58" w:rsidP="00996F58">
            <w:pPr>
              <w:jc w:val="center"/>
              <w:rPr>
                <w:rFonts w:ascii="CAIXA Std Book" w:eastAsia="Times New Roman" w:hAnsi="CAIXA Std Book" w:cs="Calibri"/>
                <w:b/>
                <w:bCs/>
                <w:color w:val="FFFFFF"/>
                <w:sz w:val="16"/>
                <w:szCs w:val="16"/>
              </w:rPr>
            </w:pPr>
            <w:r w:rsidRPr="00996F58">
              <w:rPr>
                <w:rFonts w:ascii="CAIXA Std Book" w:eastAsia="Times New Roman" w:hAnsi="CAIXA Std Book" w:cs="Calibri"/>
                <w:b/>
                <w:bCs/>
                <w:color w:val="FFFFFF"/>
                <w:sz w:val="16"/>
                <w:szCs w:val="16"/>
              </w:rPr>
              <w:t>Instrumento elegível ao capital principal</w:t>
            </w:r>
          </w:p>
        </w:tc>
        <w:tc>
          <w:tcPr>
            <w:tcW w:w="350" w:type="pct"/>
            <w:vMerge w:val="restart"/>
            <w:tcBorders>
              <w:top w:val="nil"/>
              <w:left w:val="nil"/>
              <w:bottom w:val="nil"/>
              <w:right w:val="nil"/>
            </w:tcBorders>
            <w:shd w:val="clear" w:color="000000" w:fill="005CA9"/>
            <w:vAlign w:val="center"/>
            <w:hideMark/>
          </w:tcPr>
          <w:p w14:paraId="2FA403B3" w14:textId="77777777" w:rsidR="00996F58" w:rsidRPr="00996F58" w:rsidRDefault="00996F58" w:rsidP="00996F58">
            <w:pPr>
              <w:jc w:val="center"/>
              <w:rPr>
                <w:rFonts w:ascii="CAIXA Std Book" w:eastAsia="Times New Roman" w:hAnsi="CAIXA Std Book" w:cs="Calibri"/>
                <w:b/>
                <w:bCs/>
                <w:color w:val="FFFFFF"/>
                <w:sz w:val="16"/>
                <w:szCs w:val="16"/>
              </w:rPr>
            </w:pPr>
            <w:r w:rsidRPr="00996F58">
              <w:rPr>
                <w:rFonts w:ascii="CAIXA Std Book" w:eastAsia="Times New Roman" w:hAnsi="CAIXA Std Book" w:cs="Calibri"/>
                <w:b/>
                <w:bCs/>
                <w:color w:val="FFFFFF"/>
                <w:sz w:val="16"/>
                <w:szCs w:val="16"/>
              </w:rPr>
              <w:t>Reserva de reavaliação</w:t>
            </w:r>
          </w:p>
        </w:tc>
        <w:tc>
          <w:tcPr>
            <w:tcW w:w="351" w:type="pct"/>
            <w:vMerge w:val="restart"/>
            <w:tcBorders>
              <w:top w:val="nil"/>
              <w:left w:val="nil"/>
              <w:bottom w:val="nil"/>
              <w:right w:val="nil"/>
            </w:tcBorders>
            <w:shd w:val="clear" w:color="000000" w:fill="005CA9"/>
            <w:vAlign w:val="center"/>
            <w:hideMark/>
          </w:tcPr>
          <w:p w14:paraId="422EBF4C" w14:textId="77777777" w:rsidR="00996F58" w:rsidRPr="00996F58" w:rsidRDefault="00996F58" w:rsidP="00996F58">
            <w:pPr>
              <w:jc w:val="center"/>
              <w:rPr>
                <w:rFonts w:ascii="CAIXA Std Book" w:eastAsia="Times New Roman" w:hAnsi="CAIXA Std Book" w:cs="Calibri"/>
                <w:b/>
                <w:bCs/>
                <w:color w:val="FFFFFF"/>
                <w:sz w:val="16"/>
                <w:szCs w:val="16"/>
              </w:rPr>
            </w:pPr>
            <w:r w:rsidRPr="00996F58">
              <w:rPr>
                <w:rFonts w:ascii="CAIXA Std Book" w:eastAsia="Times New Roman" w:hAnsi="CAIXA Std Book" w:cs="Calibri"/>
                <w:b/>
                <w:bCs/>
                <w:color w:val="FFFFFF"/>
                <w:sz w:val="16"/>
                <w:szCs w:val="16"/>
              </w:rPr>
              <w:t>Reserva de lucros</w:t>
            </w:r>
          </w:p>
        </w:tc>
        <w:tc>
          <w:tcPr>
            <w:tcW w:w="442" w:type="pct"/>
            <w:vMerge w:val="restart"/>
            <w:tcBorders>
              <w:top w:val="nil"/>
              <w:left w:val="nil"/>
              <w:bottom w:val="nil"/>
              <w:right w:val="nil"/>
            </w:tcBorders>
            <w:shd w:val="clear" w:color="000000" w:fill="005CA9"/>
            <w:vAlign w:val="center"/>
            <w:hideMark/>
          </w:tcPr>
          <w:p w14:paraId="166D9536" w14:textId="77777777" w:rsidR="00996F58" w:rsidRPr="00996F58" w:rsidRDefault="00996F58" w:rsidP="00996F58">
            <w:pPr>
              <w:jc w:val="center"/>
              <w:rPr>
                <w:rFonts w:ascii="CAIXA Std Book" w:eastAsia="Times New Roman" w:hAnsi="CAIXA Std Book" w:cs="Calibri"/>
                <w:b/>
                <w:bCs/>
                <w:color w:val="FFFFFF"/>
                <w:sz w:val="16"/>
                <w:szCs w:val="16"/>
              </w:rPr>
            </w:pPr>
            <w:r w:rsidRPr="00996F58">
              <w:rPr>
                <w:rFonts w:ascii="CAIXA Std Book" w:eastAsia="Times New Roman" w:hAnsi="CAIXA Std Book" w:cs="Calibri"/>
                <w:b/>
                <w:bCs/>
                <w:color w:val="FFFFFF"/>
                <w:sz w:val="16"/>
                <w:szCs w:val="16"/>
              </w:rPr>
              <w:t>Outros resultados abrangentes</w:t>
            </w:r>
          </w:p>
        </w:tc>
        <w:tc>
          <w:tcPr>
            <w:tcW w:w="459" w:type="pct"/>
            <w:vMerge w:val="restart"/>
            <w:tcBorders>
              <w:top w:val="nil"/>
              <w:left w:val="nil"/>
              <w:bottom w:val="nil"/>
              <w:right w:val="nil"/>
            </w:tcBorders>
            <w:shd w:val="clear" w:color="000000" w:fill="005CA9"/>
            <w:vAlign w:val="center"/>
            <w:hideMark/>
          </w:tcPr>
          <w:p w14:paraId="050200DA" w14:textId="77777777" w:rsidR="00996F58" w:rsidRPr="00996F58" w:rsidRDefault="00996F58" w:rsidP="00996F58">
            <w:pPr>
              <w:jc w:val="center"/>
              <w:rPr>
                <w:rFonts w:ascii="CAIXA Std Book" w:eastAsia="Times New Roman" w:hAnsi="CAIXA Std Book" w:cs="Calibri"/>
                <w:b/>
                <w:bCs/>
                <w:color w:val="FFFFFF"/>
                <w:sz w:val="16"/>
                <w:szCs w:val="16"/>
              </w:rPr>
            </w:pPr>
            <w:r w:rsidRPr="00996F58">
              <w:rPr>
                <w:rFonts w:ascii="CAIXA Std Book" w:eastAsia="Times New Roman" w:hAnsi="CAIXA Std Book" w:cs="Calibri"/>
                <w:b/>
                <w:bCs/>
                <w:color w:val="FFFFFF"/>
                <w:sz w:val="16"/>
                <w:szCs w:val="16"/>
              </w:rPr>
              <w:t>Lucros/prejuízos acumulados</w:t>
            </w:r>
          </w:p>
        </w:tc>
        <w:tc>
          <w:tcPr>
            <w:tcW w:w="385" w:type="pct"/>
            <w:vMerge w:val="restart"/>
            <w:tcBorders>
              <w:top w:val="nil"/>
              <w:left w:val="nil"/>
              <w:bottom w:val="nil"/>
              <w:right w:val="nil"/>
            </w:tcBorders>
            <w:shd w:val="clear" w:color="000000" w:fill="005CA9"/>
            <w:vAlign w:val="center"/>
            <w:hideMark/>
          </w:tcPr>
          <w:p w14:paraId="38E76291" w14:textId="77777777" w:rsidR="00996F58" w:rsidRPr="00996F58" w:rsidRDefault="00996F58" w:rsidP="00996F58">
            <w:pPr>
              <w:jc w:val="center"/>
              <w:rPr>
                <w:rFonts w:ascii="CAIXA Std Book" w:eastAsia="Times New Roman" w:hAnsi="CAIXA Std Book" w:cs="Calibri"/>
                <w:b/>
                <w:bCs/>
                <w:color w:val="FFFFFF"/>
                <w:sz w:val="16"/>
                <w:szCs w:val="16"/>
              </w:rPr>
            </w:pPr>
            <w:r w:rsidRPr="00996F58">
              <w:rPr>
                <w:rFonts w:ascii="CAIXA Std Book" w:eastAsia="Times New Roman" w:hAnsi="CAIXA Std Book" w:cs="Calibri"/>
                <w:b/>
                <w:bCs/>
                <w:color w:val="FFFFFF"/>
                <w:sz w:val="16"/>
                <w:szCs w:val="16"/>
              </w:rPr>
              <w:t>Subtotal</w:t>
            </w:r>
          </w:p>
        </w:tc>
        <w:tc>
          <w:tcPr>
            <w:tcW w:w="403" w:type="pct"/>
            <w:vMerge w:val="restart"/>
            <w:tcBorders>
              <w:top w:val="nil"/>
              <w:left w:val="nil"/>
              <w:bottom w:val="nil"/>
              <w:right w:val="nil"/>
            </w:tcBorders>
            <w:shd w:val="clear" w:color="000000" w:fill="005CA9"/>
            <w:vAlign w:val="center"/>
            <w:hideMark/>
          </w:tcPr>
          <w:p w14:paraId="1FBD376F" w14:textId="77777777" w:rsidR="00996F58" w:rsidRPr="00996F58" w:rsidRDefault="00996F58" w:rsidP="00996F58">
            <w:pPr>
              <w:jc w:val="center"/>
              <w:rPr>
                <w:rFonts w:ascii="CAIXA Std Book" w:eastAsia="Times New Roman" w:hAnsi="CAIXA Std Book" w:cs="Calibri"/>
                <w:b/>
                <w:bCs/>
                <w:color w:val="FFFFFF"/>
                <w:sz w:val="16"/>
                <w:szCs w:val="16"/>
              </w:rPr>
            </w:pPr>
            <w:r w:rsidRPr="00996F58">
              <w:rPr>
                <w:rFonts w:ascii="CAIXA Std Book" w:eastAsia="Times New Roman" w:hAnsi="CAIXA Std Book" w:cs="Calibri"/>
                <w:b/>
                <w:bCs/>
                <w:color w:val="FFFFFF"/>
                <w:sz w:val="16"/>
                <w:szCs w:val="16"/>
              </w:rPr>
              <w:t>Participação de não controladores</w:t>
            </w:r>
          </w:p>
        </w:tc>
        <w:tc>
          <w:tcPr>
            <w:tcW w:w="385" w:type="pct"/>
            <w:vMerge w:val="restart"/>
            <w:tcBorders>
              <w:top w:val="nil"/>
              <w:left w:val="nil"/>
              <w:bottom w:val="nil"/>
              <w:right w:val="nil"/>
            </w:tcBorders>
            <w:shd w:val="clear" w:color="000000" w:fill="005CA9"/>
            <w:vAlign w:val="center"/>
            <w:hideMark/>
          </w:tcPr>
          <w:p w14:paraId="3904603C" w14:textId="77777777" w:rsidR="00996F58" w:rsidRPr="00996F58" w:rsidRDefault="00996F58" w:rsidP="00996F58">
            <w:pPr>
              <w:jc w:val="center"/>
              <w:rPr>
                <w:rFonts w:ascii="CAIXA Std Book" w:eastAsia="Times New Roman" w:hAnsi="CAIXA Std Book" w:cs="Calibri"/>
                <w:b/>
                <w:bCs/>
                <w:color w:val="FFFFFF"/>
                <w:sz w:val="16"/>
                <w:szCs w:val="16"/>
              </w:rPr>
            </w:pPr>
            <w:r w:rsidRPr="00996F58">
              <w:rPr>
                <w:rFonts w:ascii="CAIXA Std Book" w:eastAsia="Times New Roman" w:hAnsi="CAIXA Std Book" w:cs="Calibri"/>
                <w:b/>
                <w:bCs/>
                <w:color w:val="FFFFFF"/>
                <w:sz w:val="16"/>
                <w:szCs w:val="16"/>
              </w:rPr>
              <w:t>Total</w:t>
            </w:r>
          </w:p>
        </w:tc>
      </w:tr>
      <w:tr w:rsidR="00996F58" w:rsidRPr="00996F58" w14:paraId="6A3AE59B" w14:textId="77777777" w:rsidTr="00996F58">
        <w:trPr>
          <w:trHeight w:val="555"/>
        </w:trPr>
        <w:tc>
          <w:tcPr>
            <w:tcW w:w="1482" w:type="pct"/>
            <w:vMerge/>
            <w:tcBorders>
              <w:top w:val="nil"/>
              <w:left w:val="nil"/>
              <w:bottom w:val="nil"/>
              <w:right w:val="nil"/>
            </w:tcBorders>
            <w:vAlign w:val="center"/>
            <w:hideMark/>
          </w:tcPr>
          <w:p w14:paraId="507B8C4F" w14:textId="77777777" w:rsidR="00996F58" w:rsidRPr="00996F58" w:rsidRDefault="00996F58" w:rsidP="00996F58">
            <w:pPr>
              <w:rPr>
                <w:rFonts w:ascii="CAIXA Std Book" w:eastAsia="Times New Roman" w:hAnsi="CAIXA Std Book" w:cs="Calibri"/>
                <w:b/>
                <w:bCs/>
                <w:color w:val="FFFFFF"/>
                <w:sz w:val="16"/>
                <w:szCs w:val="16"/>
              </w:rPr>
            </w:pPr>
          </w:p>
        </w:tc>
        <w:tc>
          <w:tcPr>
            <w:tcW w:w="385" w:type="pct"/>
            <w:vMerge/>
            <w:tcBorders>
              <w:top w:val="nil"/>
              <w:left w:val="nil"/>
              <w:bottom w:val="nil"/>
              <w:right w:val="nil"/>
            </w:tcBorders>
            <w:vAlign w:val="center"/>
            <w:hideMark/>
          </w:tcPr>
          <w:p w14:paraId="2EC28173" w14:textId="77777777" w:rsidR="00996F58" w:rsidRPr="00996F58" w:rsidRDefault="00996F58" w:rsidP="00996F58">
            <w:pPr>
              <w:rPr>
                <w:rFonts w:ascii="CAIXA Std Book" w:eastAsia="Times New Roman" w:hAnsi="CAIXA Std Book" w:cs="Calibri"/>
                <w:b/>
                <w:bCs/>
                <w:color w:val="FFFFFF"/>
                <w:sz w:val="16"/>
                <w:szCs w:val="16"/>
              </w:rPr>
            </w:pPr>
          </w:p>
        </w:tc>
        <w:tc>
          <w:tcPr>
            <w:tcW w:w="357" w:type="pct"/>
            <w:vMerge/>
            <w:tcBorders>
              <w:top w:val="nil"/>
              <w:left w:val="nil"/>
              <w:bottom w:val="nil"/>
              <w:right w:val="nil"/>
            </w:tcBorders>
            <w:vAlign w:val="center"/>
            <w:hideMark/>
          </w:tcPr>
          <w:p w14:paraId="76ECEEF1" w14:textId="77777777" w:rsidR="00996F58" w:rsidRPr="00996F58" w:rsidRDefault="00996F58" w:rsidP="00996F58">
            <w:pPr>
              <w:rPr>
                <w:rFonts w:ascii="CAIXA Std Book" w:eastAsia="Times New Roman" w:hAnsi="CAIXA Std Book" w:cs="Calibri"/>
                <w:b/>
                <w:bCs/>
                <w:color w:val="FFFFFF"/>
                <w:sz w:val="16"/>
                <w:szCs w:val="16"/>
              </w:rPr>
            </w:pPr>
          </w:p>
        </w:tc>
        <w:tc>
          <w:tcPr>
            <w:tcW w:w="350" w:type="pct"/>
            <w:vMerge/>
            <w:tcBorders>
              <w:top w:val="nil"/>
              <w:left w:val="nil"/>
              <w:bottom w:val="nil"/>
              <w:right w:val="nil"/>
            </w:tcBorders>
            <w:vAlign w:val="center"/>
            <w:hideMark/>
          </w:tcPr>
          <w:p w14:paraId="7A978F67" w14:textId="77777777" w:rsidR="00996F58" w:rsidRPr="00996F58" w:rsidRDefault="00996F58" w:rsidP="00996F58">
            <w:pPr>
              <w:rPr>
                <w:rFonts w:ascii="CAIXA Std Book" w:eastAsia="Times New Roman" w:hAnsi="CAIXA Std Book" w:cs="Calibri"/>
                <w:b/>
                <w:bCs/>
                <w:color w:val="FFFFFF"/>
                <w:sz w:val="16"/>
                <w:szCs w:val="16"/>
              </w:rPr>
            </w:pPr>
          </w:p>
        </w:tc>
        <w:tc>
          <w:tcPr>
            <w:tcW w:w="351" w:type="pct"/>
            <w:vMerge/>
            <w:tcBorders>
              <w:top w:val="nil"/>
              <w:left w:val="nil"/>
              <w:bottom w:val="nil"/>
              <w:right w:val="nil"/>
            </w:tcBorders>
            <w:vAlign w:val="center"/>
            <w:hideMark/>
          </w:tcPr>
          <w:p w14:paraId="23656C5D" w14:textId="77777777" w:rsidR="00996F58" w:rsidRPr="00996F58" w:rsidRDefault="00996F58" w:rsidP="00996F58">
            <w:pPr>
              <w:rPr>
                <w:rFonts w:ascii="CAIXA Std Book" w:eastAsia="Times New Roman" w:hAnsi="CAIXA Std Book" w:cs="Calibri"/>
                <w:b/>
                <w:bCs/>
                <w:color w:val="FFFFFF"/>
                <w:sz w:val="16"/>
                <w:szCs w:val="16"/>
              </w:rPr>
            </w:pPr>
          </w:p>
        </w:tc>
        <w:tc>
          <w:tcPr>
            <w:tcW w:w="442" w:type="pct"/>
            <w:vMerge/>
            <w:tcBorders>
              <w:top w:val="nil"/>
              <w:left w:val="nil"/>
              <w:bottom w:val="nil"/>
              <w:right w:val="nil"/>
            </w:tcBorders>
            <w:vAlign w:val="center"/>
            <w:hideMark/>
          </w:tcPr>
          <w:p w14:paraId="04FAEEB3" w14:textId="77777777" w:rsidR="00996F58" w:rsidRPr="00996F58" w:rsidRDefault="00996F58" w:rsidP="00996F58">
            <w:pPr>
              <w:rPr>
                <w:rFonts w:ascii="CAIXA Std Book" w:eastAsia="Times New Roman" w:hAnsi="CAIXA Std Book" w:cs="Calibri"/>
                <w:b/>
                <w:bCs/>
                <w:color w:val="FFFFFF"/>
                <w:sz w:val="16"/>
                <w:szCs w:val="16"/>
              </w:rPr>
            </w:pPr>
          </w:p>
        </w:tc>
        <w:tc>
          <w:tcPr>
            <w:tcW w:w="459" w:type="pct"/>
            <w:vMerge/>
            <w:tcBorders>
              <w:top w:val="nil"/>
              <w:left w:val="nil"/>
              <w:bottom w:val="nil"/>
              <w:right w:val="nil"/>
            </w:tcBorders>
            <w:vAlign w:val="center"/>
            <w:hideMark/>
          </w:tcPr>
          <w:p w14:paraId="29A4045F" w14:textId="77777777" w:rsidR="00996F58" w:rsidRPr="00996F58" w:rsidRDefault="00996F58" w:rsidP="00996F58">
            <w:pPr>
              <w:rPr>
                <w:rFonts w:ascii="CAIXA Std Book" w:eastAsia="Times New Roman" w:hAnsi="CAIXA Std Book" w:cs="Calibri"/>
                <w:b/>
                <w:bCs/>
                <w:color w:val="FFFFFF"/>
                <w:sz w:val="16"/>
                <w:szCs w:val="16"/>
              </w:rPr>
            </w:pPr>
          </w:p>
        </w:tc>
        <w:tc>
          <w:tcPr>
            <w:tcW w:w="385" w:type="pct"/>
            <w:vMerge/>
            <w:tcBorders>
              <w:top w:val="nil"/>
              <w:left w:val="nil"/>
              <w:bottom w:val="nil"/>
              <w:right w:val="nil"/>
            </w:tcBorders>
            <w:vAlign w:val="center"/>
            <w:hideMark/>
          </w:tcPr>
          <w:p w14:paraId="144884F5" w14:textId="77777777" w:rsidR="00996F58" w:rsidRPr="00996F58" w:rsidRDefault="00996F58" w:rsidP="00996F58">
            <w:pPr>
              <w:rPr>
                <w:rFonts w:ascii="CAIXA Std Book" w:eastAsia="Times New Roman" w:hAnsi="CAIXA Std Book" w:cs="Calibri"/>
                <w:b/>
                <w:bCs/>
                <w:color w:val="FFFFFF"/>
                <w:sz w:val="16"/>
                <w:szCs w:val="16"/>
              </w:rPr>
            </w:pPr>
          </w:p>
        </w:tc>
        <w:tc>
          <w:tcPr>
            <w:tcW w:w="403" w:type="pct"/>
            <w:vMerge/>
            <w:tcBorders>
              <w:top w:val="nil"/>
              <w:left w:val="nil"/>
              <w:bottom w:val="nil"/>
              <w:right w:val="nil"/>
            </w:tcBorders>
            <w:vAlign w:val="center"/>
            <w:hideMark/>
          </w:tcPr>
          <w:p w14:paraId="3D2179AE" w14:textId="77777777" w:rsidR="00996F58" w:rsidRPr="00996F58" w:rsidRDefault="00996F58" w:rsidP="00996F58">
            <w:pPr>
              <w:rPr>
                <w:rFonts w:ascii="CAIXA Std Book" w:eastAsia="Times New Roman" w:hAnsi="CAIXA Std Book" w:cs="Calibri"/>
                <w:b/>
                <w:bCs/>
                <w:color w:val="FFFFFF"/>
                <w:sz w:val="16"/>
                <w:szCs w:val="16"/>
              </w:rPr>
            </w:pPr>
          </w:p>
        </w:tc>
        <w:tc>
          <w:tcPr>
            <w:tcW w:w="385" w:type="pct"/>
            <w:vMerge/>
            <w:tcBorders>
              <w:top w:val="nil"/>
              <w:left w:val="nil"/>
              <w:bottom w:val="nil"/>
              <w:right w:val="nil"/>
            </w:tcBorders>
            <w:vAlign w:val="center"/>
            <w:hideMark/>
          </w:tcPr>
          <w:p w14:paraId="4845D769" w14:textId="77777777" w:rsidR="00996F58" w:rsidRPr="00996F58" w:rsidRDefault="00996F58" w:rsidP="00996F58">
            <w:pPr>
              <w:rPr>
                <w:rFonts w:ascii="CAIXA Std Book" w:eastAsia="Times New Roman" w:hAnsi="CAIXA Std Book" w:cs="Calibri"/>
                <w:b/>
                <w:bCs/>
                <w:color w:val="FFFFFF"/>
                <w:sz w:val="16"/>
                <w:szCs w:val="16"/>
              </w:rPr>
            </w:pPr>
          </w:p>
        </w:tc>
      </w:tr>
      <w:tr w:rsidR="00996F58" w:rsidRPr="00996F58" w14:paraId="57408003" w14:textId="77777777" w:rsidTr="00996F58">
        <w:trPr>
          <w:trHeight w:val="270"/>
        </w:trPr>
        <w:tc>
          <w:tcPr>
            <w:tcW w:w="1482" w:type="pct"/>
            <w:tcBorders>
              <w:top w:val="nil"/>
              <w:left w:val="nil"/>
              <w:bottom w:val="nil"/>
              <w:right w:val="nil"/>
            </w:tcBorders>
            <w:shd w:val="clear" w:color="000000" w:fill="D0E0E3"/>
            <w:noWrap/>
            <w:vAlign w:val="center"/>
            <w:hideMark/>
          </w:tcPr>
          <w:p w14:paraId="7087510F" w14:textId="77777777" w:rsidR="00996F58" w:rsidRPr="00996F58" w:rsidRDefault="00996F58" w:rsidP="00996F58">
            <w:pPr>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 xml:space="preserve"> Saldos em 31 de dezembro de 2024 </w:t>
            </w:r>
          </w:p>
        </w:tc>
        <w:tc>
          <w:tcPr>
            <w:tcW w:w="385" w:type="pct"/>
            <w:tcBorders>
              <w:top w:val="nil"/>
              <w:left w:val="nil"/>
              <w:bottom w:val="nil"/>
              <w:right w:val="nil"/>
            </w:tcBorders>
            <w:shd w:val="clear" w:color="000000" w:fill="D0E0E3"/>
            <w:noWrap/>
            <w:vAlign w:val="center"/>
            <w:hideMark/>
          </w:tcPr>
          <w:p w14:paraId="123D9FEB" w14:textId="083E502A"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96.000.000</w:t>
            </w:r>
          </w:p>
        </w:tc>
        <w:tc>
          <w:tcPr>
            <w:tcW w:w="357" w:type="pct"/>
            <w:tcBorders>
              <w:top w:val="nil"/>
              <w:left w:val="nil"/>
              <w:bottom w:val="nil"/>
              <w:right w:val="nil"/>
            </w:tcBorders>
            <w:shd w:val="clear" w:color="000000" w:fill="D0E0E3"/>
            <w:noWrap/>
            <w:vAlign w:val="center"/>
            <w:hideMark/>
          </w:tcPr>
          <w:p w14:paraId="612CAA66" w14:textId="6BDA1E50"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33.927.964</w:t>
            </w:r>
          </w:p>
        </w:tc>
        <w:tc>
          <w:tcPr>
            <w:tcW w:w="350" w:type="pct"/>
            <w:tcBorders>
              <w:top w:val="nil"/>
              <w:left w:val="nil"/>
              <w:bottom w:val="nil"/>
              <w:right w:val="nil"/>
            </w:tcBorders>
            <w:shd w:val="clear" w:color="000000" w:fill="D0E0E3"/>
            <w:noWrap/>
            <w:vAlign w:val="center"/>
            <w:hideMark/>
          </w:tcPr>
          <w:p w14:paraId="0991F575" w14:textId="3EB95520"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206.885</w:t>
            </w:r>
          </w:p>
        </w:tc>
        <w:tc>
          <w:tcPr>
            <w:tcW w:w="351" w:type="pct"/>
            <w:tcBorders>
              <w:top w:val="nil"/>
              <w:left w:val="nil"/>
              <w:bottom w:val="nil"/>
              <w:right w:val="nil"/>
            </w:tcBorders>
            <w:shd w:val="clear" w:color="000000" w:fill="D0E0E3"/>
            <w:noWrap/>
            <w:vAlign w:val="center"/>
            <w:hideMark/>
          </w:tcPr>
          <w:p w14:paraId="3F823A48" w14:textId="0E332A6E"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16.118.618</w:t>
            </w:r>
          </w:p>
        </w:tc>
        <w:tc>
          <w:tcPr>
            <w:tcW w:w="442" w:type="pct"/>
            <w:tcBorders>
              <w:top w:val="nil"/>
              <w:left w:val="nil"/>
              <w:bottom w:val="nil"/>
              <w:right w:val="nil"/>
            </w:tcBorders>
            <w:shd w:val="clear" w:color="000000" w:fill="D0E0E3"/>
            <w:noWrap/>
            <w:vAlign w:val="center"/>
            <w:hideMark/>
          </w:tcPr>
          <w:p w14:paraId="0202BF84" w14:textId="5BEF7C73"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(8.357.380)</w:t>
            </w:r>
          </w:p>
        </w:tc>
        <w:tc>
          <w:tcPr>
            <w:tcW w:w="459" w:type="pct"/>
            <w:tcBorders>
              <w:top w:val="nil"/>
              <w:left w:val="nil"/>
              <w:bottom w:val="nil"/>
              <w:right w:val="nil"/>
            </w:tcBorders>
            <w:shd w:val="clear" w:color="000000" w:fill="D0E0E3"/>
            <w:noWrap/>
            <w:vAlign w:val="center"/>
            <w:hideMark/>
          </w:tcPr>
          <w:p w14:paraId="3E79D8E2" w14:textId="0D86345A" w:rsidR="00996F58" w:rsidRPr="00996F58" w:rsidRDefault="00996F58" w:rsidP="00996F58">
            <w:pPr>
              <w:jc w:val="right"/>
              <w:rPr>
                <w:rFonts w:ascii="CAIXA Std Book" w:eastAsia="Times New Roman" w:hAnsi="CAIXA Std Book" w:cs="Calibri"/>
                <w:b/>
                <w:bCs/>
                <w:color w:val="005CA9"/>
                <w:sz w:val="16"/>
                <w:szCs w:val="16"/>
              </w:rPr>
            </w:pPr>
          </w:p>
        </w:tc>
        <w:tc>
          <w:tcPr>
            <w:tcW w:w="385" w:type="pct"/>
            <w:tcBorders>
              <w:top w:val="nil"/>
              <w:left w:val="nil"/>
              <w:bottom w:val="nil"/>
              <w:right w:val="nil"/>
            </w:tcBorders>
            <w:shd w:val="clear" w:color="000000" w:fill="D0E0E3"/>
            <w:noWrap/>
            <w:vAlign w:val="center"/>
            <w:hideMark/>
          </w:tcPr>
          <w:p w14:paraId="63823D34" w14:textId="569C0098"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137.896.087</w:t>
            </w:r>
          </w:p>
        </w:tc>
        <w:tc>
          <w:tcPr>
            <w:tcW w:w="403" w:type="pct"/>
            <w:tcBorders>
              <w:top w:val="nil"/>
              <w:left w:val="nil"/>
              <w:bottom w:val="nil"/>
              <w:right w:val="nil"/>
            </w:tcBorders>
            <w:shd w:val="clear" w:color="000000" w:fill="D0E0E3"/>
            <w:noWrap/>
            <w:vAlign w:val="center"/>
            <w:hideMark/>
          </w:tcPr>
          <w:p w14:paraId="1672E256" w14:textId="6E3184CF"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2.255.677</w:t>
            </w:r>
          </w:p>
        </w:tc>
        <w:tc>
          <w:tcPr>
            <w:tcW w:w="385" w:type="pct"/>
            <w:tcBorders>
              <w:top w:val="nil"/>
              <w:left w:val="nil"/>
              <w:bottom w:val="nil"/>
              <w:right w:val="nil"/>
            </w:tcBorders>
            <w:shd w:val="clear" w:color="000000" w:fill="D0E0E3"/>
            <w:noWrap/>
            <w:vAlign w:val="center"/>
            <w:hideMark/>
          </w:tcPr>
          <w:p w14:paraId="5061CD0A" w14:textId="0DE2A792"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140.151.764</w:t>
            </w:r>
          </w:p>
        </w:tc>
      </w:tr>
      <w:tr w:rsidR="00996F58" w:rsidRPr="00996F58" w14:paraId="69CA8216" w14:textId="77777777" w:rsidTr="00996F58">
        <w:trPr>
          <w:trHeight w:val="270"/>
        </w:trPr>
        <w:tc>
          <w:tcPr>
            <w:tcW w:w="1482" w:type="pct"/>
            <w:tcBorders>
              <w:top w:val="nil"/>
              <w:left w:val="nil"/>
              <w:bottom w:val="nil"/>
              <w:right w:val="nil"/>
            </w:tcBorders>
            <w:noWrap/>
            <w:vAlign w:val="bottom"/>
            <w:hideMark/>
          </w:tcPr>
          <w:p w14:paraId="607BDBD7" w14:textId="77777777" w:rsidR="00996F58" w:rsidRPr="00996F58" w:rsidRDefault="00996F58" w:rsidP="00996F58">
            <w:pPr>
              <w:rPr>
                <w:rFonts w:ascii="CAIXA Std Book" w:eastAsia="Times New Roman" w:hAnsi="CAIXA Std Book" w:cs="Calibri"/>
                <w:color w:val="005CA9"/>
                <w:sz w:val="16"/>
                <w:szCs w:val="16"/>
              </w:rPr>
            </w:pPr>
            <w:r w:rsidRPr="00996F58">
              <w:rPr>
                <w:rFonts w:ascii="CAIXA Std Book" w:eastAsia="Times New Roman" w:hAnsi="CAIXA Std Book" w:cs="Calibri"/>
                <w:color w:val="005CA9"/>
                <w:sz w:val="16"/>
                <w:szCs w:val="16"/>
              </w:rPr>
              <w:t xml:space="preserve"> Impactos da adoção da Resolução CMN nº 4.966/2021 </w:t>
            </w:r>
          </w:p>
        </w:tc>
        <w:tc>
          <w:tcPr>
            <w:tcW w:w="385" w:type="pct"/>
            <w:tcBorders>
              <w:top w:val="nil"/>
              <w:left w:val="nil"/>
              <w:bottom w:val="nil"/>
              <w:right w:val="nil"/>
            </w:tcBorders>
            <w:noWrap/>
            <w:vAlign w:val="center"/>
            <w:hideMark/>
          </w:tcPr>
          <w:p w14:paraId="0AAD9E67" w14:textId="77777777" w:rsidR="00996F58" w:rsidRPr="00996F58" w:rsidRDefault="00996F58" w:rsidP="00996F58">
            <w:pPr>
              <w:jc w:val="right"/>
              <w:rPr>
                <w:rFonts w:ascii="CAIXA Std Book" w:eastAsia="Times New Roman" w:hAnsi="CAIXA Std Book" w:cs="Calibri"/>
                <w:color w:val="005CA9"/>
                <w:sz w:val="16"/>
                <w:szCs w:val="16"/>
              </w:rPr>
            </w:pPr>
          </w:p>
        </w:tc>
        <w:tc>
          <w:tcPr>
            <w:tcW w:w="357" w:type="pct"/>
            <w:tcBorders>
              <w:top w:val="nil"/>
              <w:left w:val="nil"/>
              <w:bottom w:val="nil"/>
              <w:right w:val="nil"/>
            </w:tcBorders>
            <w:noWrap/>
            <w:vAlign w:val="center"/>
            <w:hideMark/>
          </w:tcPr>
          <w:p w14:paraId="41A279FC" w14:textId="77777777" w:rsidR="00996F58" w:rsidRPr="00996F58" w:rsidRDefault="00996F58" w:rsidP="00996F58">
            <w:pPr>
              <w:jc w:val="right"/>
              <w:rPr>
                <w:rFonts w:ascii="CAIXA Std Book" w:eastAsia="Times New Roman" w:hAnsi="CAIXA Std Book" w:cs="Times New Roman"/>
                <w:sz w:val="16"/>
                <w:szCs w:val="16"/>
              </w:rPr>
            </w:pPr>
          </w:p>
        </w:tc>
        <w:tc>
          <w:tcPr>
            <w:tcW w:w="350" w:type="pct"/>
            <w:tcBorders>
              <w:top w:val="nil"/>
              <w:left w:val="nil"/>
              <w:bottom w:val="nil"/>
              <w:right w:val="nil"/>
            </w:tcBorders>
            <w:noWrap/>
            <w:vAlign w:val="center"/>
            <w:hideMark/>
          </w:tcPr>
          <w:p w14:paraId="112E849A" w14:textId="77777777" w:rsidR="00996F58" w:rsidRPr="00996F58" w:rsidRDefault="00996F58" w:rsidP="00996F58">
            <w:pPr>
              <w:jc w:val="right"/>
              <w:rPr>
                <w:rFonts w:ascii="CAIXA Std Book" w:eastAsia="Times New Roman" w:hAnsi="CAIXA Std Book" w:cs="Times New Roman"/>
                <w:sz w:val="16"/>
                <w:szCs w:val="16"/>
              </w:rPr>
            </w:pPr>
          </w:p>
        </w:tc>
        <w:tc>
          <w:tcPr>
            <w:tcW w:w="351" w:type="pct"/>
            <w:tcBorders>
              <w:top w:val="nil"/>
              <w:left w:val="nil"/>
              <w:bottom w:val="nil"/>
              <w:right w:val="nil"/>
            </w:tcBorders>
            <w:noWrap/>
            <w:vAlign w:val="center"/>
            <w:hideMark/>
          </w:tcPr>
          <w:p w14:paraId="40A1C96F" w14:textId="77777777" w:rsidR="00996F58" w:rsidRPr="00996F58" w:rsidRDefault="00996F58" w:rsidP="00996F58">
            <w:pPr>
              <w:jc w:val="right"/>
              <w:rPr>
                <w:rFonts w:ascii="CAIXA Std Book" w:eastAsia="Times New Roman" w:hAnsi="CAIXA Std Book" w:cs="Times New Roman"/>
                <w:sz w:val="16"/>
                <w:szCs w:val="16"/>
              </w:rPr>
            </w:pPr>
          </w:p>
        </w:tc>
        <w:tc>
          <w:tcPr>
            <w:tcW w:w="442" w:type="pct"/>
            <w:tcBorders>
              <w:top w:val="nil"/>
              <w:left w:val="nil"/>
              <w:bottom w:val="nil"/>
              <w:right w:val="nil"/>
            </w:tcBorders>
            <w:noWrap/>
            <w:vAlign w:val="center"/>
            <w:hideMark/>
          </w:tcPr>
          <w:p w14:paraId="19B977BA" w14:textId="77777777" w:rsidR="00996F58" w:rsidRPr="00996F58" w:rsidRDefault="00996F58" w:rsidP="00996F58">
            <w:pPr>
              <w:jc w:val="right"/>
              <w:rPr>
                <w:rFonts w:ascii="CAIXA Std Book" w:eastAsia="Times New Roman" w:hAnsi="CAIXA Std Book" w:cs="Times New Roman"/>
                <w:sz w:val="16"/>
                <w:szCs w:val="16"/>
              </w:rPr>
            </w:pPr>
          </w:p>
        </w:tc>
        <w:tc>
          <w:tcPr>
            <w:tcW w:w="459" w:type="pct"/>
            <w:tcBorders>
              <w:top w:val="nil"/>
              <w:left w:val="nil"/>
              <w:bottom w:val="nil"/>
              <w:right w:val="nil"/>
            </w:tcBorders>
            <w:noWrap/>
            <w:vAlign w:val="center"/>
            <w:hideMark/>
          </w:tcPr>
          <w:p w14:paraId="7B32CA39" w14:textId="4B434775" w:rsidR="00996F58" w:rsidRPr="00996F58" w:rsidRDefault="00996F58" w:rsidP="00996F58">
            <w:pPr>
              <w:jc w:val="right"/>
              <w:rPr>
                <w:rFonts w:ascii="CAIXA Std Book" w:eastAsia="Times New Roman" w:hAnsi="CAIXA Std Book" w:cs="Calibri"/>
                <w:color w:val="005CA9"/>
                <w:sz w:val="16"/>
                <w:szCs w:val="16"/>
              </w:rPr>
            </w:pPr>
            <w:r w:rsidRPr="00996F58">
              <w:rPr>
                <w:rFonts w:ascii="CAIXA Std Book" w:eastAsia="Times New Roman" w:hAnsi="CAIXA Std Book" w:cs="Calibri"/>
                <w:color w:val="005CA9"/>
                <w:sz w:val="16"/>
                <w:szCs w:val="16"/>
              </w:rPr>
              <w:t>(4.090.439)</w:t>
            </w:r>
          </w:p>
        </w:tc>
        <w:tc>
          <w:tcPr>
            <w:tcW w:w="385" w:type="pct"/>
            <w:tcBorders>
              <w:top w:val="nil"/>
              <w:left w:val="nil"/>
              <w:bottom w:val="nil"/>
              <w:right w:val="nil"/>
            </w:tcBorders>
            <w:noWrap/>
            <w:vAlign w:val="center"/>
            <w:hideMark/>
          </w:tcPr>
          <w:p w14:paraId="6684DAA0" w14:textId="6F192EEA" w:rsidR="00996F58" w:rsidRPr="00996F58" w:rsidRDefault="00996F58" w:rsidP="00996F58">
            <w:pPr>
              <w:jc w:val="right"/>
              <w:rPr>
                <w:rFonts w:ascii="CAIXA Std Book" w:eastAsia="Times New Roman" w:hAnsi="CAIXA Std Book" w:cs="Calibri"/>
                <w:color w:val="005CA9"/>
                <w:sz w:val="16"/>
                <w:szCs w:val="16"/>
              </w:rPr>
            </w:pPr>
            <w:r w:rsidRPr="00996F58">
              <w:rPr>
                <w:rFonts w:ascii="CAIXA Std Book" w:eastAsia="Times New Roman" w:hAnsi="CAIXA Std Book" w:cs="Calibri"/>
                <w:color w:val="005CA9"/>
                <w:sz w:val="16"/>
                <w:szCs w:val="16"/>
              </w:rPr>
              <w:t>(4.090.439)</w:t>
            </w:r>
          </w:p>
        </w:tc>
        <w:tc>
          <w:tcPr>
            <w:tcW w:w="403" w:type="pct"/>
            <w:tcBorders>
              <w:top w:val="nil"/>
              <w:left w:val="nil"/>
              <w:bottom w:val="nil"/>
              <w:right w:val="nil"/>
            </w:tcBorders>
            <w:noWrap/>
            <w:vAlign w:val="center"/>
            <w:hideMark/>
          </w:tcPr>
          <w:p w14:paraId="11C417F3" w14:textId="77777777" w:rsidR="00996F58" w:rsidRPr="00996F58" w:rsidRDefault="00996F58" w:rsidP="00996F58">
            <w:pPr>
              <w:jc w:val="right"/>
              <w:rPr>
                <w:rFonts w:ascii="CAIXA Std Book" w:eastAsia="Times New Roman" w:hAnsi="CAIXA Std Book" w:cs="Calibri"/>
                <w:color w:val="005CA9"/>
                <w:sz w:val="16"/>
                <w:szCs w:val="16"/>
              </w:rPr>
            </w:pPr>
          </w:p>
        </w:tc>
        <w:tc>
          <w:tcPr>
            <w:tcW w:w="385" w:type="pct"/>
            <w:tcBorders>
              <w:top w:val="nil"/>
              <w:left w:val="nil"/>
              <w:bottom w:val="nil"/>
              <w:right w:val="nil"/>
            </w:tcBorders>
            <w:noWrap/>
            <w:vAlign w:val="center"/>
            <w:hideMark/>
          </w:tcPr>
          <w:p w14:paraId="2AD7875E" w14:textId="3429B7ED" w:rsidR="00996F58" w:rsidRPr="00996F58" w:rsidRDefault="00996F58" w:rsidP="00996F58">
            <w:pPr>
              <w:jc w:val="right"/>
              <w:rPr>
                <w:rFonts w:ascii="CAIXA Std Book" w:eastAsia="Times New Roman" w:hAnsi="CAIXA Std Book" w:cs="Calibri"/>
                <w:color w:val="005CA9"/>
                <w:sz w:val="16"/>
                <w:szCs w:val="16"/>
              </w:rPr>
            </w:pPr>
            <w:r w:rsidRPr="00996F58">
              <w:rPr>
                <w:rFonts w:ascii="CAIXA Std Book" w:eastAsia="Times New Roman" w:hAnsi="CAIXA Std Book" w:cs="Calibri"/>
                <w:color w:val="005CA9"/>
                <w:sz w:val="16"/>
                <w:szCs w:val="16"/>
              </w:rPr>
              <w:t>(4.090.439)</w:t>
            </w:r>
          </w:p>
        </w:tc>
      </w:tr>
      <w:tr w:rsidR="00996F58" w:rsidRPr="00996F58" w14:paraId="0ADC6BC0" w14:textId="77777777" w:rsidTr="00996F58">
        <w:trPr>
          <w:trHeight w:val="270"/>
        </w:trPr>
        <w:tc>
          <w:tcPr>
            <w:tcW w:w="1482" w:type="pct"/>
            <w:tcBorders>
              <w:top w:val="nil"/>
              <w:left w:val="nil"/>
              <w:bottom w:val="nil"/>
              <w:right w:val="nil"/>
            </w:tcBorders>
            <w:noWrap/>
            <w:vAlign w:val="bottom"/>
            <w:hideMark/>
          </w:tcPr>
          <w:p w14:paraId="18ED76E9" w14:textId="77777777" w:rsidR="00996F58" w:rsidRPr="00996F58" w:rsidRDefault="00996F58" w:rsidP="00996F58">
            <w:pPr>
              <w:rPr>
                <w:rFonts w:ascii="CAIXA Std Book" w:eastAsia="Times New Roman" w:hAnsi="CAIXA Std Book" w:cs="Calibri"/>
                <w:color w:val="005CA9"/>
                <w:sz w:val="16"/>
                <w:szCs w:val="16"/>
              </w:rPr>
            </w:pPr>
            <w:r w:rsidRPr="00996F58">
              <w:rPr>
                <w:rFonts w:ascii="CAIXA Std Book" w:eastAsia="Times New Roman" w:hAnsi="CAIXA Std Book" w:cs="Calibri"/>
                <w:color w:val="005CA9"/>
                <w:sz w:val="16"/>
                <w:szCs w:val="16"/>
              </w:rPr>
              <w:t xml:space="preserve"> Atualização monetária de IHCD a incorporar </w:t>
            </w:r>
          </w:p>
        </w:tc>
        <w:tc>
          <w:tcPr>
            <w:tcW w:w="385" w:type="pct"/>
            <w:tcBorders>
              <w:top w:val="nil"/>
              <w:left w:val="nil"/>
              <w:bottom w:val="nil"/>
              <w:right w:val="nil"/>
            </w:tcBorders>
            <w:noWrap/>
            <w:vAlign w:val="center"/>
            <w:hideMark/>
          </w:tcPr>
          <w:p w14:paraId="68F79837" w14:textId="77777777" w:rsidR="00996F58" w:rsidRPr="00996F58" w:rsidRDefault="00996F58" w:rsidP="00996F58">
            <w:pPr>
              <w:jc w:val="right"/>
              <w:rPr>
                <w:rFonts w:ascii="CAIXA Std Book" w:eastAsia="Times New Roman" w:hAnsi="CAIXA Std Book" w:cs="Calibri"/>
                <w:color w:val="005CA9"/>
                <w:sz w:val="16"/>
                <w:szCs w:val="16"/>
              </w:rPr>
            </w:pPr>
          </w:p>
        </w:tc>
        <w:tc>
          <w:tcPr>
            <w:tcW w:w="357" w:type="pct"/>
            <w:tcBorders>
              <w:top w:val="nil"/>
              <w:left w:val="nil"/>
              <w:bottom w:val="nil"/>
              <w:right w:val="nil"/>
            </w:tcBorders>
            <w:noWrap/>
            <w:vAlign w:val="center"/>
            <w:hideMark/>
          </w:tcPr>
          <w:p w14:paraId="7D97726F" w14:textId="71E55272" w:rsidR="00996F58" w:rsidRPr="00996F58" w:rsidRDefault="00996F58" w:rsidP="00996F58">
            <w:pPr>
              <w:jc w:val="right"/>
              <w:rPr>
                <w:rFonts w:ascii="CAIXA Std Book" w:eastAsia="Times New Roman" w:hAnsi="CAIXA Std Book" w:cs="Calibri"/>
                <w:color w:val="005CA9"/>
                <w:sz w:val="16"/>
                <w:szCs w:val="16"/>
              </w:rPr>
            </w:pPr>
            <w:r w:rsidRPr="00996F58">
              <w:rPr>
                <w:rFonts w:ascii="CAIXA Std Book" w:eastAsia="Times New Roman" w:hAnsi="CAIXA Std Book" w:cs="Calibri"/>
                <w:color w:val="005CA9"/>
                <w:sz w:val="16"/>
                <w:szCs w:val="16"/>
              </w:rPr>
              <w:t>1.567.585</w:t>
            </w:r>
          </w:p>
        </w:tc>
        <w:tc>
          <w:tcPr>
            <w:tcW w:w="350" w:type="pct"/>
            <w:tcBorders>
              <w:top w:val="nil"/>
              <w:left w:val="nil"/>
              <w:bottom w:val="nil"/>
              <w:right w:val="nil"/>
            </w:tcBorders>
            <w:noWrap/>
            <w:vAlign w:val="center"/>
            <w:hideMark/>
          </w:tcPr>
          <w:p w14:paraId="360E0137" w14:textId="77777777" w:rsidR="00996F58" w:rsidRPr="00996F58" w:rsidRDefault="00996F58" w:rsidP="00996F58">
            <w:pPr>
              <w:jc w:val="right"/>
              <w:rPr>
                <w:rFonts w:ascii="CAIXA Std Book" w:eastAsia="Times New Roman" w:hAnsi="CAIXA Std Book" w:cs="Calibri"/>
                <w:color w:val="005CA9"/>
                <w:sz w:val="16"/>
                <w:szCs w:val="16"/>
              </w:rPr>
            </w:pPr>
          </w:p>
        </w:tc>
        <w:tc>
          <w:tcPr>
            <w:tcW w:w="351" w:type="pct"/>
            <w:tcBorders>
              <w:top w:val="nil"/>
              <w:left w:val="nil"/>
              <w:bottom w:val="nil"/>
              <w:right w:val="nil"/>
            </w:tcBorders>
            <w:noWrap/>
            <w:vAlign w:val="center"/>
            <w:hideMark/>
          </w:tcPr>
          <w:p w14:paraId="52515C3E" w14:textId="77777777" w:rsidR="00996F58" w:rsidRPr="00996F58" w:rsidRDefault="00996F58" w:rsidP="00996F58">
            <w:pPr>
              <w:jc w:val="right"/>
              <w:rPr>
                <w:rFonts w:ascii="CAIXA Std Book" w:eastAsia="Times New Roman" w:hAnsi="CAIXA Std Book" w:cs="Times New Roman"/>
                <w:sz w:val="16"/>
                <w:szCs w:val="16"/>
              </w:rPr>
            </w:pPr>
          </w:p>
        </w:tc>
        <w:tc>
          <w:tcPr>
            <w:tcW w:w="442" w:type="pct"/>
            <w:tcBorders>
              <w:top w:val="nil"/>
              <w:left w:val="nil"/>
              <w:bottom w:val="nil"/>
              <w:right w:val="nil"/>
            </w:tcBorders>
            <w:noWrap/>
            <w:vAlign w:val="center"/>
            <w:hideMark/>
          </w:tcPr>
          <w:p w14:paraId="164C9862" w14:textId="77777777" w:rsidR="00996F58" w:rsidRPr="00996F58" w:rsidRDefault="00996F58" w:rsidP="00996F58">
            <w:pPr>
              <w:jc w:val="right"/>
              <w:rPr>
                <w:rFonts w:ascii="CAIXA Std Book" w:eastAsia="Times New Roman" w:hAnsi="CAIXA Std Book" w:cs="Times New Roman"/>
                <w:sz w:val="16"/>
                <w:szCs w:val="16"/>
              </w:rPr>
            </w:pPr>
          </w:p>
        </w:tc>
        <w:tc>
          <w:tcPr>
            <w:tcW w:w="459" w:type="pct"/>
            <w:tcBorders>
              <w:top w:val="nil"/>
              <w:left w:val="nil"/>
              <w:bottom w:val="nil"/>
              <w:right w:val="nil"/>
            </w:tcBorders>
            <w:noWrap/>
            <w:vAlign w:val="center"/>
            <w:hideMark/>
          </w:tcPr>
          <w:p w14:paraId="137EA39F" w14:textId="0598D02F" w:rsidR="00996F58" w:rsidRPr="00996F58" w:rsidRDefault="00996F58" w:rsidP="00996F58">
            <w:pPr>
              <w:jc w:val="right"/>
              <w:rPr>
                <w:rFonts w:ascii="CAIXA Std Book" w:eastAsia="Times New Roman" w:hAnsi="CAIXA Std Book" w:cs="Calibri"/>
                <w:color w:val="005CA9"/>
                <w:sz w:val="16"/>
                <w:szCs w:val="16"/>
              </w:rPr>
            </w:pPr>
            <w:r w:rsidRPr="00996F58">
              <w:rPr>
                <w:rFonts w:ascii="CAIXA Std Book" w:eastAsia="Times New Roman" w:hAnsi="CAIXA Std Book" w:cs="Calibri"/>
                <w:color w:val="005CA9"/>
                <w:sz w:val="16"/>
                <w:szCs w:val="16"/>
              </w:rPr>
              <w:t>(343.682)</w:t>
            </w:r>
          </w:p>
        </w:tc>
        <w:tc>
          <w:tcPr>
            <w:tcW w:w="385" w:type="pct"/>
            <w:tcBorders>
              <w:top w:val="nil"/>
              <w:left w:val="nil"/>
              <w:bottom w:val="nil"/>
              <w:right w:val="nil"/>
            </w:tcBorders>
            <w:noWrap/>
            <w:vAlign w:val="center"/>
            <w:hideMark/>
          </w:tcPr>
          <w:p w14:paraId="7C57D131" w14:textId="482F7053" w:rsidR="00996F58" w:rsidRPr="00996F58" w:rsidRDefault="00996F58" w:rsidP="00996F58">
            <w:pPr>
              <w:jc w:val="right"/>
              <w:rPr>
                <w:rFonts w:ascii="CAIXA Std Book" w:eastAsia="Times New Roman" w:hAnsi="CAIXA Std Book" w:cs="Calibri"/>
                <w:color w:val="005CA9"/>
                <w:sz w:val="16"/>
                <w:szCs w:val="16"/>
              </w:rPr>
            </w:pPr>
            <w:r w:rsidRPr="00996F58">
              <w:rPr>
                <w:rFonts w:ascii="CAIXA Std Book" w:eastAsia="Times New Roman" w:hAnsi="CAIXA Std Book" w:cs="Calibri"/>
                <w:color w:val="005CA9"/>
                <w:sz w:val="16"/>
                <w:szCs w:val="16"/>
              </w:rPr>
              <w:t>1.223.903</w:t>
            </w:r>
          </w:p>
        </w:tc>
        <w:tc>
          <w:tcPr>
            <w:tcW w:w="403" w:type="pct"/>
            <w:tcBorders>
              <w:top w:val="nil"/>
              <w:left w:val="nil"/>
              <w:bottom w:val="nil"/>
              <w:right w:val="nil"/>
            </w:tcBorders>
            <w:noWrap/>
            <w:vAlign w:val="center"/>
            <w:hideMark/>
          </w:tcPr>
          <w:p w14:paraId="50013B1D" w14:textId="77777777" w:rsidR="00996F58" w:rsidRPr="00996F58" w:rsidRDefault="00996F58" w:rsidP="00996F58">
            <w:pPr>
              <w:jc w:val="right"/>
              <w:rPr>
                <w:rFonts w:ascii="CAIXA Std Book" w:eastAsia="Times New Roman" w:hAnsi="CAIXA Std Book" w:cs="Calibri"/>
                <w:color w:val="005CA9"/>
                <w:sz w:val="16"/>
                <w:szCs w:val="16"/>
              </w:rPr>
            </w:pPr>
          </w:p>
        </w:tc>
        <w:tc>
          <w:tcPr>
            <w:tcW w:w="385" w:type="pct"/>
            <w:tcBorders>
              <w:top w:val="nil"/>
              <w:left w:val="nil"/>
              <w:bottom w:val="nil"/>
              <w:right w:val="nil"/>
            </w:tcBorders>
            <w:noWrap/>
            <w:vAlign w:val="center"/>
            <w:hideMark/>
          </w:tcPr>
          <w:p w14:paraId="5A459A2E" w14:textId="74BA72E0" w:rsidR="00996F58" w:rsidRPr="00996F58" w:rsidRDefault="00996F58" w:rsidP="00996F58">
            <w:pPr>
              <w:jc w:val="right"/>
              <w:rPr>
                <w:rFonts w:ascii="CAIXA Std Book" w:eastAsia="Times New Roman" w:hAnsi="CAIXA Std Book" w:cs="Calibri"/>
                <w:color w:val="005CA9"/>
                <w:sz w:val="16"/>
                <w:szCs w:val="16"/>
              </w:rPr>
            </w:pPr>
            <w:r w:rsidRPr="00996F58">
              <w:rPr>
                <w:rFonts w:ascii="CAIXA Std Book" w:eastAsia="Times New Roman" w:hAnsi="CAIXA Std Book" w:cs="Calibri"/>
                <w:color w:val="005CA9"/>
                <w:sz w:val="16"/>
                <w:szCs w:val="16"/>
              </w:rPr>
              <w:t>1.223.903</w:t>
            </w:r>
          </w:p>
        </w:tc>
      </w:tr>
      <w:tr w:rsidR="00996F58" w:rsidRPr="00996F58" w14:paraId="7F6DBD09" w14:textId="77777777" w:rsidTr="00996F58">
        <w:trPr>
          <w:trHeight w:val="270"/>
        </w:trPr>
        <w:tc>
          <w:tcPr>
            <w:tcW w:w="1482" w:type="pct"/>
            <w:tcBorders>
              <w:top w:val="nil"/>
              <w:left w:val="nil"/>
              <w:bottom w:val="nil"/>
              <w:right w:val="nil"/>
            </w:tcBorders>
            <w:shd w:val="clear" w:color="000000" w:fill="D0E0E3"/>
            <w:noWrap/>
            <w:vAlign w:val="center"/>
            <w:hideMark/>
          </w:tcPr>
          <w:p w14:paraId="451E4F02" w14:textId="77777777" w:rsidR="00996F58" w:rsidRPr="00996F58" w:rsidRDefault="00996F58" w:rsidP="00996F58">
            <w:pPr>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 xml:space="preserve"> Saldos em 1º de janeiro de 2025 </w:t>
            </w:r>
          </w:p>
        </w:tc>
        <w:tc>
          <w:tcPr>
            <w:tcW w:w="385" w:type="pct"/>
            <w:tcBorders>
              <w:top w:val="nil"/>
              <w:left w:val="nil"/>
              <w:bottom w:val="nil"/>
              <w:right w:val="nil"/>
            </w:tcBorders>
            <w:shd w:val="clear" w:color="000000" w:fill="D0E0E3"/>
            <w:noWrap/>
            <w:vAlign w:val="center"/>
            <w:hideMark/>
          </w:tcPr>
          <w:p w14:paraId="36C9EAA6" w14:textId="403AE1D7"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96.000.000</w:t>
            </w:r>
          </w:p>
        </w:tc>
        <w:tc>
          <w:tcPr>
            <w:tcW w:w="357" w:type="pct"/>
            <w:tcBorders>
              <w:top w:val="nil"/>
              <w:left w:val="nil"/>
              <w:bottom w:val="nil"/>
              <w:right w:val="nil"/>
            </w:tcBorders>
            <w:shd w:val="clear" w:color="000000" w:fill="D0E0E3"/>
            <w:noWrap/>
            <w:vAlign w:val="center"/>
            <w:hideMark/>
          </w:tcPr>
          <w:p w14:paraId="7B3BC3DC" w14:textId="6E5FE340"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35.495.549</w:t>
            </w:r>
          </w:p>
        </w:tc>
        <w:tc>
          <w:tcPr>
            <w:tcW w:w="350" w:type="pct"/>
            <w:tcBorders>
              <w:top w:val="nil"/>
              <w:left w:val="nil"/>
              <w:bottom w:val="nil"/>
              <w:right w:val="nil"/>
            </w:tcBorders>
            <w:shd w:val="clear" w:color="000000" w:fill="D0E0E3"/>
            <w:noWrap/>
            <w:vAlign w:val="center"/>
            <w:hideMark/>
          </w:tcPr>
          <w:p w14:paraId="3ED5BBCB" w14:textId="1B95015F"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206.885</w:t>
            </w:r>
          </w:p>
        </w:tc>
        <w:tc>
          <w:tcPr>
            <w:tcW w:w="351" w:type="pct"/>
            <w:tcBorders>
              <w:top w:val="nil"/>
              <w:left w:val="nil"/>
              <w:bottom w:val="nil"/>
              <w:right w:val="nil"/>
            </w:tcBorders>
            <w:shd w:val="clear" w:color="000000" w:fill="D0E0E3"/>
            <w:noWrap/>
            <w:vAlign w:val="center"/>
            <w:hideMark/>
          </w:tcPr>
          <w:p w14:paraId="289231BD" w14:textId="60C522D1"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16.118.618</w:t>
            </w:r>
          </w:p>
        </w:tc>
        <w:tc>
          <w:tcPr>
            <w:tcW w:w="442" w:type="pct"/>
            <w:tcBorders>
              <w:top w:val="nil"/>
              <w:left w:val="nil"/>
              <w:bottom w:val="nil"/>
              <w:right w:val="nil"/>
            </w:tcBorders>
            <w:shd w:val="clear" w:color="000000" w:fill="D0E0E3"/>
            <w:noWrap/>
            <w:vAlign w:val="center"/>
            <w:hideMark/>
          </w:tcPr>
          <w:p w14:paraId="0B8AF515" w14:textId="05D58BEA"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(8.357.380)</w:t>
            </w:r>
          </w:p>
        </w:tc>
        <w:tc>
          <w:tcPr>
            <w:tcW w:w="459" w:type="pct"/>
            <w:tcBorders>
              <w:top w:val="nil"/>
              <w:left w:val="nil"/>
              <w:bottom w:val="nil"/>
              <w:right w:val="nil"/>
            </w:tcBorders>
            <w:shd w:val="clear" w:color="000000" w:fill="D0E0E3"/>
            <w:noWrap/>
            <w:vAlign w:val="center"/>
            <w:hideMark/>
          </w:tcPr>
          <w:p w14:paraId="6CE8DCCD" w14:textId="6C653745"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(4.434.121)</w:t>
            </w:r>
          </w:p>
        </w:tc>
        <w:tc>
          <w:tcPr>
            <w:tcW w:w="385" w:type="pct"/>
            <w:tcBorders>
              <w:top w:val="nil"/>
              <w:left w:val="nil"/>
              <w:bottom w:val="nil"/>
              <w:right w:val="nil"/>
            </w:tcBorders>
            <w:shd w:val="clear" w:color="000000" w:fill="D0E0E3"/>
            <w:noWrap/>
            <w:vAlign w:val="center"/>
            <w:hideMark/>
          </w:tcPr>
          <w:p w14:paraId="3C6B8AD3" w14:textId="42D7A921"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135.029.551</w:t>
            </w:r>
          </w:p>
        </w:tc>
        <w:tc>
          <w:tcPr>
            <w:tcW w:w="403" w:type="pct"/>
            <w:tcBorders>
              <w:top w:val="nil"/>
              <w:left w:val="nil"/>
              <w:bottom w:val="nil"/>
              <w:right w:val="nil"/>
            </w:tcBorders>
            <w:shd w:val="clear" w:color="000000" w:fill="D0E0E3"/>
            <w:noWrap/>
            <w:vAlign w:val="center"/>
            <w:hideMark/>
          </w:tcPr>
          <w:p w14:paraId="04B99F4A" w14:textId="6084AAAE"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2.255.677</w:t>
            </w:r>
          </w:p>
        </w:tc>
        <w:tc>
          <w:tcPr>
            <w:tcW w:w="385" w:type="pct"/>
            <w:tcBorders>
              <w:top w:val="nil"/>
              <w:left w:val="nil"/>
              <w:bottom w:val="nil"/>
              <w:right w:val="nil"/>
            </w:tcBorders>
            <w:shd w:val="clear" w:color="000000" w:fill="D0E0E3"/>
            <w:noWrap/>
            <w:vAlign w:val="center"/>
            <w:hideMark/>
          </w:tcPr>
          <w:p w14:paraId="60209D2B" w14:textId="4ED2D9FB"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137.285.228</w:t>
            </w:r>
          </w:p>
        </w:tc>
      </w:tr>
      <w:tr w:rsidR="00996F58" w:rsidRPr="00996F58" w14:paraId="76A78F80" w14:textId="77777777" w:rsidTr="00996F58">
        <w:trPr>
          <w:trHeight w:val="270"/>
        </w:trPr>
        <w:tc>
          <w:tcPr>
            <w:tcW w:w="1482" w:type="pct"/>
            <w:tcBorders>
              <w:top w:val="nil"/>
              <w:left w:val="nil"/>
              <w:bottom w:val="nil"/>
              <w:right w:val="nil"/>
            </w:tcBorders>
            <w:shd w:val="clear" w:color="000000" w:fill="D0E0E3"/>
            <w:noWrap/>
            <w:vAlign w:val="center"/>
            <w:hideMark/>
          </w:tcPr>
          <w:p w14:paraId="2FF9F92F" w14:textId="77777777" w:rsidR="00996F58" w:rsidRPr="00996F58" w:rsidRDefault="00996F58" w:rsidP="00996F58">
            <w:pPr>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 xml:space="preserve"> Mutações no Patrimônio Líquido </w:t>
            </w:r>
          </w:p>
        </w:tc>
        <w:tc>
          <w:tcPr>
            <w:tcW w:w="385" w:type="pct"/>
            <w:tcBorders>
              <w:top w:val="nil"/>
              <w:left w:val="nil"/>
              <w:bottom w:val="nil"/>
              <w:right w:val="nil"/>
            </w:tcBorders>
            <w:shd w:val="clear" w:color="000000" w:fill="D0E0E3"/>
            <w:noWrap/>
            <w:vAlign w:val="center"/>
            <w:hideMark/>
          </w:tcPr>
          <w:p w14:paraId="23D93DBE" w14:textId="6F978ACC"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9.300.000</w:t>
            </w:r>
          </w:p>
        </w:tc>
        <w:tc>
          <w:tcPr>
            <w:tcW w:w="357" w:type="pct"/>
            <w:tcBorders>
              <w:top w:val="nil"/>
              <w:left w:val="nil"/>
              <w:bottom w:val="nil"/>
              <w:right w:val="nil"/>
            </w:tcBorders>
            <w:shd w:val="clear" w:color="000000" w:fill="D0E0E3"/>
            <w:noWrap/>
            <w:vAlign w:val="center"/>
            <w:hideMark/>
          </w:tcPr>
          <w:p w14:paraId="6022684E" w14:textId="23B49FEF" w:rsidR="00996F58" w:rsidRPr="00996F58" w:rsidRDefault="00996F58" w:rsidP="00996F58">
            <w:pPr>
              <w:jc w:val="right"/>
              <w:rPr>
                <w:rFonts w:ascii="CAIXA Std Book" w:eastAsia="Times New Roman" w:hAnsi="CAIXA Std Book" w:cs="Calibri"/>
                <w:b/>
                <w:bCs/>
                <w:color w:val="005CA9"/>
                <w:sz w:val="16"/>
                <w:szCs w:val="16"/>
              </w:rPr>
            </w:pPr>
          </w:p>
        </w:tc>
        <w:tc>
          <w:tcPr>
            <w:tcW w:w="350" w:type="pct"/>
            <w:tcBorders>
              <w:top w:val="nil"/>
              <w:left w:val="nil"/>
              <w:bottom w:val="nil"/>
              <w:right w:val="nil"/>
            </w:tcBorders>
            <w:shd w:val="clear" w:color="000000" w:fill="D0E0E3"/>
            <w:noWrap/>
            <w:vAlign w:val="center"/>
            <w:hideMark/>
          </w:tcPr>
          <w:p w14:paraId="230860B7" w14:textId="636855FC"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(1.709)</w:t>
            </w:r>
          </w:p>
        </w:tc>
        <w:tc>
          <w:tcPr>
            <w:tcW w:w="351" w:type="pct"/>
            <w:tcBorders>
              <w:top w:val="nil"/>
              <w:left w:val="nil"/>
              <w:bottom w:val="nil"/>
              <w:right w:val="nil"/>
            </w:tcBorders>
            <w:shd w:val="clear" w:color="000000" w:fill="D0E0E3"/>
            <w:noWrap/>
            <w:vAlign w:val="center"/>
            <w:hideMark/>
          </w:tcPr>
          <w:p w14:paraId="137300EF" w14:textId="34B78D4C"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(9.300.000)</w:t>
            </w:r>
          </w:p>
        </w:tc>
        <w:tc>
          <w:tcPr>
            <w:tcW w:w="442" w:type="pct"/>
            <w:tcBorders>
              <w:top w:val="nil"/>
              <w:left w:val="nil"/>
              <w:bottom w:val="nil"/>
              <w:right w:val="nil"/>
            </w:tcBorders>
            <w:shd w:val="clear" w:color="000000" w:fill="D0E0E3"/>
            <w:noWrap/>
            <w:vAlign w:val="center"/>
            <w:hideMark/>
          </w:tcPr>
          <w:p w14:paraId="3DF789FF" w14:textId="00B473E8"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(1.184.734)</w:t>
            </w:r>
          </w:p>
        </w:tc>
        <w:tc>
          <w:tcPr>
            <w:tcW w:w="459" w:type="pct"/>
            <w:tcBorders>
              <w:top w:val="nil"/>
              <w:left w:val="nil"/>
              <w:bottom w:val="nil"/>
              <w:right w:val="nil"/>
            </w:tcBorders>
            <w:shd w:val="clear" w:color="000000" w:fill="D0E0E3"/>
            <w:noWrap/>
            <w:vAlign w:val="center"/>
            <w:hideMark/>
          </w:tcPr>
          <w:p w14:paraId="5C75C5D0" w14:textId="186B63E3"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5.732.182</w:t>
            </w:r>
          </w:p>
        </w:tc>
        <w:tc>
          <w:tcPr>
            <w:tcW w:w="385" w:type="pct"/>
            <w:tcBorders>
              <w:top w:val="nil"/>
              <w:left w:val="nil"/>
              <w:bottom w:val="nil"/>
              <w:right w:val="nil"/>
            </w:tcBorders>
            <w:shd w:val="clear" w:color="000000" w:fill="D0E0E3"/>
            <w:noWrap/>
            <w:vAlign w:val="center"/>
            <w:hideMark/>
          </w:tcPr>
          <w:p w14:paraId="2D32B606" w14:textId="3F8DE930"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4.545.739</w:t>
            </w:r>
          </w:p>
        </w:tc>
        <w:tc>
          <w:tcPr>
            <w:tcW w:w="403" w:type="pct"/>
            <w:tcBorders>
              <w:top w:val="nil"/>
              <w:left w:val="nil"/>
              <w:bottom w:val="nil"/>
              <w:right w:val="nil"/>
            </w:tcBorders>
            <w:shd w:val="clear" w:color="000000" w:fill="D0E0E3"/>
            <w:noWrap/>
            <w:vAlign w:val="center"/>
            <w:hideMark/>
          </w:tcPr>
          <w:p w14:paraId="0D7DC885" w14:textId="6CF3EB27"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584.596</w:t>
            </w:r>
          </w:p>
        </w:tc>
        <w:tc>
          <w:tcPr>
            <w:tcW w:w="385" w:type="pct"/>
            <w:tcBorders>
              <w:top w:val="nil"/>
              <w:left w:val="nil"/>
              <w:bottom w:val="nil"/>
              <w:right w:val="nil"/>
            </w:tcBorders>
            <w:shd w:val="clear" w:color="000000" w:fill="D0E0E3"/>
            <w:noWrap/>
            <w:vAlign w:val="center"/>
            <w:hideMark/>
          </w:tcPr>
          <w:p w14:paraId="2D823C9B" w14:textId="30625C24" w:rsidR="00996F58" w:rsidRPr="00996F58" w:rsidRDefault="00996F58" w:rsidP="00996F58">
            <w:pPr>
              <w:jc w:val="right"/>
              <w:rPr>
                <w:rFonts w:ascii="CAIXA Std Book" w:eastAsia="Times New Roman" w:hAnsi="CAIXA Std Book" w:cs="Calibri"/>
                <w:b/>
                <w:bCs/>
                <w:color w:val="005CA9"/>
                <w:sz w:val="16"/>
                <w:szCs w:val="16"/>
              </w:rPr>
            </w:pPr>
            <w:r w:rsidRPr="00996F58">
              <w:rPr>
                <w:rFonts w:ascii="CAIXA Std Book" w:eastAsia="Times New Roman" w:hAnsi="CAIXA Std Book" w:cs="Calibri"/>
                <w:b/>
                <w:bCs/>
                <w:color w:val="005CA9"/>
                <w:sz w:val="16"/>
                <w:szCs w:val="16"/>
              </w:rPr>
              <w:t>5.130.335</w:t>
            </w:r>
          </w:p>
        </w:tc>
      </w:tr>
      <w:tr w:rsidR="00996F58" w:rsidRPr="00996F58" w14:paraId="46624E22" w14:textId="77777777" w:rsidTr="00996F58">
        <w:trPr>
          <w:trHeight w:val="270"/>
        </w:trPr>
        <w:tc>
          <w:tcPr>
            <w:tcW w:w="1482" w:type="pct"/>
            <w:tcBorders>
              <w:top w:val="nil"/>
              <w:left w:val="nil"/>
              <w:bottom w:val="nil"/>
              <w:right w:val="nil"/>
            </w:tcBorders>
            <w:shd w:val="clear" w:color="000000" w:fill="005CA9"/>
            <w:noWrap/>
            <w:vAlign w:val="center"/>
            <w:hideMark/>
          </w:tcPr>
          <w:p w14:paraId="153920F5" w14:textId="77777777" w:rsidR="00996F58" w:rsidRPr="00996F58" w:rsidRDefault="00996F58" w:rsidP="00996F58">
            <w:pPr>
              <w:rPr>
                <w:rFonts w:ascii="CAIXA Std Book" w:eastAsia="Times New Roman" w:hAnsi="CAIXA Std Book" w:cs="Calibri"/>
                <w:b/>
                <w:bCs/>
                <w:color w:val="FFFFFF"/>
                <w:sz w:val="16"/>
                <w:szCs w:val="16"/>
              </w:rPr>
            </w:pPr>
            <w:r w:rsidRPr="00996F58">
              <w:rPr>
                <w:rFonts w:ascii="CAIXA Std Book" w:eastAsia="Times New Roman" w:hAnsi="CAIXA Std Book" w:cs="Calibri"/>
                <w:b/>
                <w:bCs/>
                <w:color w:val="FFFFFF"/>
                <w:sz w:val="16"/>
                <w:szCs w:val="16"/>
              </w:rPr>
              <w:t xml:space="preserve"> Saldos em 31 de março de 2025 </w:t>
            </w:r>
          </w:p>
        </w:tc>
        <w:tc>
          <w:tcPr>
            <w:tcW w:w="385" w:type="pct"/>
            <w:tcBorders>
              <w:top w:val="nil"/>
              <w:left w:val="nil"/>
              <w:bottom w:val="nil"/>
              <w:right w:val="nil"/>
            </w:tcBorders>
            <w:shd w:val="clear" w:color="000000" w:fill="005CA9"/>
            <w:noWrap/>
            <w:vAlign w:val="center"/>
            <w:hideMark/>
          </w:tcPr>
          <w:p w14:paraId="4BB2096E" w14:textId="645334BE" w:rsidR="00996F58" w:rsidRPr="00996F58" w:rsidRDefault="00996F58" w:rsidP="00996F58">
            <w:pPr>
              <w:jc w:val="right"/>
              <w:rPr>
                <w:rFonts w:ascii="CAIXA Std Book" w:eastAsia="Times New Roman" w:hAnsi="CAIXA Std Book" w:cs="Calibri"/>
                <w:b/>
                <w:bCs/>
                <w:color w:val="FFFFFF"/>
                <w:sz w:val="16"/>
                <w:szCs w:val="16"/>
              </w:rPr>
            </w:pPr>
            <w:r w:rsidRPr="00996F58">
              <w:rPr>
                <w:rFonts w:ascii="CAIXA Std Book" w:eastAsia="Times New Roman" w:hAnsi="CAIXA Std Book" w:cs="Calibri"/>
                <w:b/>
                <w:bCs/>
                <w:color w:val="FFFFFF"/>
                <w:sz w:val="16"/>
                <w:szCs w:val="16"/>
              </w:rPr>
              <w:t>105.300.000</w:t>
            </w:r>
          </w:p>
        </w:tc>
        <w:tc>
          <w:tcPr>
            <w:tcW w:w="357" w:type="pct"/>
            <w:tcBorders>
              <w:top w:val="nil"/>
              <w:left w:val="nil"/>
              <w:bottom w:val="nil"/>
              <w:right w:val="nil"/>
            </w:tcBorders>
            <w:shd w:val="clear" w:color="000000" w:fill="005CA9"/>
            <w:noWrap/>
            <w:vAlign w:val="center"/>
            <w:hideMark/>
          </w:tcPr>
          <w:p w14:paraId="0820A42B" w14:textId="1A56AAFC" w:rsidR="00996F58" w:rsidRPr="00996F58" w:rsidRDefault="00996F58" w:rsidP="00996F58">
            <w:pPr>
              <w:jc w:val="right"/>
              <w:rPr>
                <w:rFonts w:ascii="CAIXA Std Book" w:eastAsia="Times New Roman" w:hAnsi="CAIXA Std Book" w:cs="Calibri"/>
                <w:b/>
                <w:bCs/>
                <w:color w:val="FFFFFF"/>
                <w:sz w:val="16"/>
                <w:szCs w:val="16"/>
              </w:rPr>
            </w:pPr>
            <w:r w:rsidRPr="00996F58">
              <w:rPr>
                <w:rFonts w:ascii="CAIXA Std Book" w:eastAsia="Times New Roman" w:hAnsi="CAIXA Std Book" w:cs="Calibri"/>
                <w:b/>
                <w:bCs/>
                <w:color w:val="FFFFFF"/>
                <w:sz w:val="16"/>
                <w:szCs w:val="16"/>
              </w:rPr>
              <w:t>35.495.549</w:t>
            </w:r>
          </w:p>
        </w:tc>
        <w:tc>
          <w:tcPr>
            <w:tcW w:w="350" w:type="pct"/>
            <w:tcBorders>
              <w:top w:val="nil"/>
              <w:left w:val="nil"/>
              <w:bottom w:val="nil"/>
              <w:right w:val="nil"/>
            </w:tcBorders>
            <w:shd w:val="clear" w:color="000000" w:fill="005CA9"/>
            <w:noWrap/>
            <w:vAlign w:val="center"/>
            <w:hideMark/>
          </w:tcPr>
          <w:p w14:paraId="6746CBFA" w14:textId="7C942A94" w:rsidR="00996F58" w:rsidRPr="00996F58" w:rsidRDefault="00996F58" w:rsidP="00996F58">
            <w:pPr>
              <w:jc w:val="right"/>
              <w:rPr>
                <w:rFonts w:ascii="CAIXA Std Book" w:eastAsia="Times New Roman" w:hAnsi="CAIXA Std Book" w:cs="Calibri"/>
                <w:b/>
                <w:bCs/>
                <w:color w:val="FFFFFF"/>
                <w:sz w:val="16"/>
                <w:szCs w:val="16"/>
              </w:rPr>
            </w:pPr>
            <w:r w:rsidRPr="00996F58">
              <w:rPr>
                <w:rFonts w:ascii="CAIXA Std Book" w:eastAsia="Times New Roman" w:hAnsi="CAIXA Std Book" w:cs="Calibri"/>
                <w:b/>
                <w:bCs/>
                <w:color w:val="FFFFFF"/>
                <w:sz w:val="16"/>
                <w:szCs w:val="16"/>
              </w:rPr>
              <w:t>205.176</w:t>
            </w:r>
          </w:p>
        </w:tc>
        <w:tc>
          <w:tcPr>
            <w:tcW w:w="351" w:type="pct"/>
            <w:tcBorders>
              <w:top w:val="nil"/>
              <w:left w:val="nil"/>
              <w:bottom w:val="nil"/>
              <w:right w:val="nil"/>
            </w:tcBorders>
            <w:shd w:val="clear" w:color="000000" w:fill="005CA9"/>
            <w:noWrap/>
            <w:vAlign w:val="center"/>
            <w:hideMark/>
          </w:tcPr>
          <w:p w14:paraId="220C252A" w14:textId="363E0E9A" w:rsidR="00996F58" w:rsidRPr="00996F58" w:rsidRDefault="00996F58" w:rsidP="00996F58">
            <w:pPr>
              <w:jc w:val="right"/>
              <w:rPr>
                <w:rFonts w:ascii="CAIXA Std Book" w:eastAsia="Times New Roman" w:hAnsi="CAIXA Std Book" w:cs="Calibri"/>
                <w:b/>
                <w:bCs/>
                <w:color w:val="FFFFFF"/>
                <w:sz w:val="16"/>
                <w:szCs w:val="16"/>
              </w:rPr>
            </w:pPr>
            <w:r w:rsidRPr="00996F58">
              <w:rPr>
                <w:rFonts w:ascii="CAIXA Std Book" w:eastAsia="Times New Roman" w:hAnsi="CAIXA Std Book" w:cs="Calibri"/>
                <w:b/>
                <w:bCs/>
                <w:color w:val="FFFFFF"/>
                <w:sz w:val="16"/>
                <w:szCs w:val="16"/>
              </w:rPr>
              <w:t>6.818.618</w:t>
            </w:r>
          </w:p>
        </w:tc>
        <w:tc>
          <w:tcPr>
            <w:tcW w:w="442" w:type="pct"/>
            <w:tcBorders>
              <w:top w:val="nil"/>
              <w:left w:val="nil"/>
              <w:bottom w:val="nil"/>
              <w:right w:val="nil"/>
            </w:tcBorders>
            <w:shd w:val="clear" w:color="000000" w:fill="005CA9"/>
            <w:noWrap/>
            <w:vAlign w:val="center"/>
            <w:hideMark/>
          </w:tcPr>
          <w:p w14:paraId="46FA92F3" w14:textId="05C2F720" w:rsidR="00996F58" w:rsidRPr="00996F58" w:rsidRDefault="00996F58" w:rsidP="00996F58">
            <w:pPr>
              <w:jc w:val="right"/>
              <w:rPr>
                <w:rFonts w:ascii="CAIXA Std Book" w:eastAsia="Times New Roman" w:hAnsi="CAIXA Std Book" w:cs="Calibri"/>
                <w:b/>
                <w:bCs/>
                <w:color w:val="FFFFFF"/>
                <w:sz w:val="16"/>
                <w:szCs w:val="16"/>
              </w:rPr>
            </w:pPr>
            <w:r w:rsidRPr="00996F58">
              <w:rPr>
                <w:rFonts w:ascii="CAIXA Std Book" w:eastAsia="Times New Roman" w:hAnsi="CAIXA Std Book" w:cs="Calibri"/>
                <w:b/>
                <w:bCs/>
                <w:color w:val="FFFFFF"/>
                <w:sz w:val="16"/>
                <w:szCs w:val="16"/>
              </w:rPr>
              <w:t>(9.542.114)</w:t>
            </w:r>
          </w:p>
        </w:tc>
        <w:tc>
          <w:tcPr>
            <w:tcW w:w="459" w:type="pct"/>
            <w:tcBorders>
              <w:top w:val="nil"/>
              <w:left w:val="nil"/>
              <w:bottom w:val="nil"/>
              <w:right w:val="nil"/>
            </w:tcBorders>
            <w:shd w:val="clear" w:color="000000" w:fill="005CA9"/>
            <w:noWrap/>
            <w:vAlign w:val="center"/>
            <w:hideMark/>
          </w:tcPr>
          <w:p w14:paraId="15E45430" w14:textId="4939032B" w:rsidR="00996F58" w:rsidRPr="00996F58" w:rsidRDefault="00996F58" w:rsidP="00996F58">
            <w:pPr>
              <w:jc w:val="right"/>
              <w:rPr>
                <w:rFonts w:ascii="CAIXA Std Book" w:eastAsia="Times New Roman" w:hAnsi="CAIXA Std Book" w:cs="Calibri"/>
                <w:b/>
                <w:bCs/>
                <w:color w:val="FFFFFF"/>
                <w:sz w:val="16"/>
                <w:szCs w:val="16"/>
              </w:rPr>
            </w:pPr>
            <w:r w:rsidRPr="00996F58">
              <w:rPr>
                <w:rFonts w:ascii="CAIXA Std Book" w:eastAsia="Times New Roman" w:hAnsi="CAIXA Std Book" w:cs="Calibri"/>
                <w:b/>
                <w:bCs/>
                <w:color w:val="FFFFFF"/>
                <w:sz w:val="16"/>
                <w:szCs w:val="16"/>
              </w:rPr>
              <w:t>1.298.061</w:t>
            </w:r>
          </w:p>
        </w:tc>
        <w:tc>
          <w:tcPr>
            <w:tcW w:w="385" w:type="pct"/>
            <w:tcBorders>
              <w:top w:val="nil"/>
              <w:left w:val="nil"/>
              <w:bottom w:val="nil"/>
              <w:right w:val="nil"/>
            </w:tcBorders>
            <w:shd w:val="clear" w:color="000000" w:fill="005CA9"/>
            <w:noWrap/>
            <w:vAlign w:val="center"/>
            <w:hideMark/>
          </w:tcPr>
          <w:p w14:paraId="737E7C18" w14:textId="20821770" w:rsidR="00996F58" w:rsidRPr="00996F58" w:rsidRDefault="00996F58" w:rsidP="00996F58">
            <w:pPr>
              <w:jc w:val="right"/>
              <w:rPr>
                <w:rFonts w:ascii="CAIXA Std Book" w:eastAsia="Times New Roman" w:hAnsi="CAIXA Std Book" w:cs="Calibri"/>
                <w:b/>
                <w:bCs/>
                <w:color w:val="FFFFFF"/>
                <w:sz w:val="16"/>
                <w:szCs w:val="16"/>
              </w:rPr>
            </w:pPr>
            <w:r w:rsidRPr="00996F58">
              <w:rPr>
                <w:rFonts w:ascii="CAIXA Std Book" w:eastAsia="Times New Roman" w:hAnsi="CAIXA Std Book" w:cs="Calibri"/>
                <w:b/>
                <w:bCs/>
                <w:color w:val="FFFFFF"/>
                <w:sz w:val="16"/>
                <w:szCs w:val="16"/>
              </w:rPr>
              <w:t>139.575.290</w:t>
            </w:r>
          </w:p>
        </w:tc>
        <w:tc>
          <w:tcPr>
            <w:tcW w:w="403" w:type="pct"/>
            <w:tcBorders>
              <w:top w:val="nil"/>
              <w:left w:val="nil"/>
              <w:bottom w:val="nil"/>
              <w:right w:val="nil"/>
            </w:tcBorders>
            <w:shd w:val="clear" w:color="000000" w:fill="005CA9"/>
            <w:noWrap/>
            <w:vAlign w:val="center"/>
            <w:hideMark/>
          </w:tcPr>
          <w:p w14:paraId="566B8992" w14:textId="11ABDCC6" w:rsidR="00996F58" w:rsidRPr="00996F58" w:rsidRDefault="00996F58" w:rsidP="00996F58">
            <w:pPr>
              <w:jc w:val="right"/>
              <w:rPr>
                <w:rFonts w:ascii="CAIXA Std Book" w:eastAsia="Times New Roman" w:hAnsi="CAIXA Std Book" w:cs="Calibri"/>
                <w:b/>
                <w:bCs/>
                <w:color w:val="FFFFFF"/>
                <w:sz w:val="16"/>
                <w:szCs w:val="16"/>
              </w:rPr>
            </w:pPr>
            <w:r w:rsidRPr="00996F58">
              <w:rPr>
                <w:rFonts w:ascii="CAIXA Std Book" w:eastAsia="Times New Roman" w:hAnsi="CAIXA Std Book" w:cs="Calibri"/>
                <w:b/>
                <w:bCs/>
                <w:color w:val="FFFFFF"/>
                <w:sz w:val="16"/>
                <w:szCs w:val="16"/>
              </w:rPr>
              <w:t>2.840.273</w:t>
            </w:r>
          </w:p>
        </w:tc>
        <w:tc>
          <w:tcPr>
            <w:tcW w:w="385" w:type="pct"/>
            <w:tcBorders>
              <w:top w:val="nil"/>
              <w:left w:val="nil"/>
              <w:bottom w:val="nil"/>
              <w:right w:val="nil"/>
            </w:tcBorders>
            <w:shd w:val="clear" w:color="000000" w:fill="005CA9"/>
            <w:noWrap/>
            <w:vAlign w:val="center"/>
            <w:hideMark/>
          </w:tcPr>
          <w:p w14:paraId="768992C2" w14:textId="2B6F0A01" w:rsidR="00996F58" w:rsidRPr="00996F58" w:rsidRDefault="00996F58" w:rsidP="00996F58">
            <w:pPr>
              <w:jc w:val="right"/>
              <w:rPr>
                <w:rFonts w:ascii="CAIXA Std Book" w:eastAsia="Times New Roman" w:hAnsi="CAIXA Std Book" w:cs="Calibri"/>
                <w:b/>
                <w:bCs/>
                <w:color w:val="FFFFFF"/>
                <w:sz w:val="16"/>
                <w:szCs w:val="16"/>
              </w:rPr>
            </w:pPr>
            <w:r w:rsidRPr="00996F58">
              <w:rPr>
                <w:rFonts w:ascii="CAIXA Std Book" w:eastAsia="Times New Roman" w:hAnsi="CAIXA Std Book" w:cs="Calibri"/>
                <w:b/>
                <w:bCs/>
                <w:color w:val="FFFFFF"/>
                <w:sz w:val="16"/>
                <w:szCs w:val="16"/>
              </w:rPr>
              <w:t>142.415.563</w:t>
            </w:r>
          </w:p>
        </w:tc>
      </w:tr>
    </w:tbl>
    <w:p w14:paraId="6DBE4917" w14:textId="3472F56D" w:rsidR="007573E2" w:rsidRDefault="006A47B5" w:rsidP="00451F56">
      <w:pPr>
        <w:pStyle w:val="PargrafodaLista"/>
        <w:keepNext/>
        <w:numPr>
          <w:ilvl w:val="0"/>
          <w:numId w:val="53"/>
        </w:numPr>
        <w:spacing w:before="240" w:after="120"/>
        <w:jc w:val="both"/>
        <w:rPr>
          <w:rFonts w:ascii="CAIXA Std Book" w:hAnsi="CAIXA Std Book"/>
          <w:color w:val="005CA9"/>
          <w:sz w:val="20"/>
          <w:szCs w:val="20"/>
        </w:rPr>
      </w:pPr>
      <w:r w:rsidRPr="0043109B">
        <w:rPr>
          <w:rFonts w:ascii="CAIXA Std Book" w:hAnsi="CAIXA Std Book"/>
          <w:b/>
          <w:bCs/>
          <w:color w:val="005CA9"/>
          <w:sz w:val="20"/>
          <w:szCs w:val="20"/>
        </w:rPr>
        <w:t>Demonstração d</w:t>
      </w:r>
      <w:r w:rsidR="006F5775">
        <w:rPr>
          <w:rFonts w:ascii="CAIXA Std Book" w:hAnsi="CAIXA Std Book"/>
          <w:b/>
          <w:bCs/>
          <w:color w:val="005CA9"/>
          <w:sz w:val="20"/>
          <w:szCs w:val="20"/>
        </w:rPr>
        <w:t xml:space="preserve">o </w:t>
      </w:r>
      <w:r w:rsidR="007C2CCC">
        <w:rPr>
          <w:rFonts w:ascii="CAIXA Std Book" w:hAnsi="CAIXA Std Book"/>
          <w:b/>
          <w:bCs/>
          <w:color w:val="005CA9"/>
          <w:sz w:val="20"/>
          <w:szCs w:val="20"/>
        </w:rPr>
        <w:t>v</w:t>
      </w:r>
      <w:r w:rsidR="006F5775">
        <w:rPr>
          <w:rFonts w:ascii="CAIXA Std Book" w:hAnsi="CAIXA Std Book"/>
          <w:b/>
          <w:bCs/>
          <w:color w:val="005CA9"/>
          <w:sz w:val="20"/>
          <w:szCs w:val="20"/>
        </w:rPr>
        <w:t xml:space="preserve">alor </w:t>
      </w:r>
      <w:r w:rsidR="007C2CCC">
        <w:rPr>
          <w:rFonts w:ascii="CAIXA Std Book" w:hAnsi="CAIXA Std Book"/>
          <w:b/>
          <w:bCs/>
          <w:color w:val="005CA9"/>
          <w:sz w:val="20"/>
          <w:szCs w:val="20"/>
        </w:rPr>
        <w:t>a</w:t>
      </w:r>
      <w:r w:rsidR="006F5775">
        <w:rPr>
          <w:rFonts w:ascii="CAIXA Std Book" w:hAnsi="CAIXA Std Book"/>
          <w:b/>
          <w:bCs/>
          <w:color w:val="005CA9"/>
          <w:sz w:val="20"/>
          <w:szCs w:val="20"/>
        </w:rPr>
        <w:t>dicionado</w:t>
      </w:r>
      <w:r w:rsidRPr="0043109B">
        <w:rPr>
          <w:rFonts w:ascii="CAIXA Std Book" w:hAnsi="CAIXA Std Book"/>
          <w:b/>
          <w:bCs/>
          <w:color w:val="005CA9"/>
          <w:sz w:val="20"/>
          <w:szCs w:val="20"/>
        </w:rPr>
        <w:t xml:space="preserve"> </w:t>
      </w:r>
      <w:r w:rsidR="007C2CCC">
        <w:rPr>
          <w:rFonts w:ascii="CAIXA Std Book" w:hAnsi="CAIXA Std Book"/>
          <w:b/>
          <w:bCs/>
          <w:color w:val="005CA9"/>
          <w:sz w:val="20"/>
          <w:szCs w:val="20"/>
        </w:rPr>
        <w:t>c</w:t>
      </w:r>
      <w:r w:rsidRPr="0043109B">
        <w:rPr>
          <w:rFonts w:ascii="CAIXA Std Book" w:hAnsi="CAIXA Std Book"/>
          <w:b/>
          <w:bCs/>
          <w:color w:val="005CA9"/>
          <w:sz w:val="20"/>
          <w:szCs w:val="20"/>
        </w:rPr>
        <w:t>onsolidada</w:t>
      </w:r>
    </w:p>
    <w:tbl>
      <w:tblPr>
        <w:tblW w:w="5000" w:type="pct"/>
        <w:tblCellMar>
          <w:left w:w="70" w:type="dxa"/>
          <w:right w:w="70" w:type="dxa"/>
        </w:tblCellMar>
        <w:tblLook w:val="04A0" w:firstRow="1" w:lastRow="0" w:firstColumn="1" w:lastColumn="0" w:noHBand="0" w:noVBand="1"/>
      </w:tblPr>
      <w:tblGrid>
        <w:gridCol w:w="6947"/>
        <w:gridCol w:w="1982"/>
        <w:gridCol w:w="994"/>
        <w:gridCol w:w="1597"/>
        <w:gridCol w:w="1947"/>
        <w:gridCol w:w="1104"/>
      </w:tblGrid>
      <w:tr w:rsidR="00F97500" w:rsidRPr="00F97500" w14:paraId="6A39F423" w14:textId="77777777" w:rsidTr="00D01743">
        <w:trPr>
          <w:trHeight w:val="283"/>
        </w:trPr>
        <w:tc>
          <w:tcPr>
            <w:tcW w:w="2384" w:type="pct"/>
            <w:vMerge w:val="restart"/>
            <w:shd w:val="clear" w:color="000000" w:fill="005CA9"/>
            <w:vAlign w:val="center"/>
            <w:hideMark/>
          </w:tcPr>
          <w:p w14:paraId="10C14201" w14:textId="77777777" w:rsidR="00F97500" w:rsidRPr="00F97500" w:rsidRDefault="00F97500" w:rsidP="00F97500">
            <w:pPr>
              <w:jc w:val="center"/>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Descrição</w:t>
            </w:r>
          </w:p>
        </w:tc>
        <w:tc>
          <w:tcPr>
            <w:tcW w:w="2616" w:type="pct"/>
            <w:gridSpan w:val="5"/>
            <w:tcBorders>
              <w:bottom w:val="single" w:sz="4" w:space="0" w:color="FFFFFF" w:themeColor="background1"/>
            </w:tcBorders>
            <w:shd w:val="clear" w:color="000000" w:fill="005CA9"/>
            <w:noWrap/>
            <w:vAlign w:val="center"/>
            <w:hideMark/>
          </w:tcPr>
          <w:p w14:paraId="610DD1E4" w14:textId="77777777" w:rsidR="00F97500" w:rsidRPr="00F97500" w:rsidRDefault="00F97500" w:rsidP="00F97500">
            <w:pPr>
              <w:jc w:val="center"/>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Consolidado</w:t>
            </w:r>
          </w:p>
        </w:tc>
      </w:tr>
      <w:tr w:rsidR="00F97500" w:rsidRPr="00F97500" w14:paraId="4EE3E2A1" w14:textId="77777777" w:rsidTr="00D01743">
        <w:trPr>
          <w:trHeight w:val="283"/>
        </w:trPr>
        <w:tc>
          <w:tcPr>
            <w:tcW w:w="2384" w:type="pct"/>
            <w:vMerge/>
            <w:vAlign w:val="center"/>
            <w:hideMark/>
          </w:tcPr>
          <w:p w14:paraId="4C57DA86" w14:textId="77777777" w:rsidR="00F97500" w:rsidRPr="00F97500" w:rsidRDefault="00F97500" w:rsidP="00F97500">
            <w:pPr>
              <w:rPr>
                <w:rFonts w:ascii="CAIXA Std Book" w:eastAsia="Times New Roman" w:hAnsi="CAIXA Std Book" w:cs="Calibri"/>
                <w:b/>
                <w:bCs/>
                <w:color w:val="FFFFFF"/>
                <w:sz w:val="18"/>
                <w:szCs w:val="18"/>
              </w:rPr>
            </w:pPr>
          </w:p>
        </w:tc>
        <w:tc>
          <w:tcPr>
            <w:tcW w:w="2616" w:type="pct"/>
            <w:gridSpan w:val="5"/>
            <w:tcBorders>
              <w:top w:val="single" w:sz="4" w:space="0" w:color="FFFFFF" w:themeColor="background1"/>
              <w:bottom w:val="single" w:sz="4" w:space="0" w:color="FFFFFF" w:themeColor="background1"/>
            </w:tcBorders>
            <w:shd w:val="clear" w:color="000000" w:fill="005CA9"/>
            <w:vAlign w:val="center"/>
            <w:hideMark/>
          </w:tcPr>
          <w:p w14:paraId="61673187" w14:textId="77777777" w:rsidR="00F97500" w:rsidRPr="00F97500" w:rsidRDefault="00F97500" w:rsidP="00F97500">
            <w:pPr>
              <w:jc w:val="center"/>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1º trimestre de 2025</w:t>
            </w:r>
          </w:p>
        </w:tc>
      </w:tr>
      <w:tr w:rsidR="00F97500" w:rsidRPr="00F97500" w14:paraId="7DD0A84B" w14:textId="77777777" w:rsidTr="00D01743">
        <w:trPr>
          <w:trHeight w:val="283"/>
        </w:trPr>
        <w:tc>
          <w:tcPr>
            <w:tcW w:w="2384" w:type="pct"/>
            <w:vMerge/>
            <w:vAlign w:val="center"/>
            <w:hideMark/>
          </w:tcPr>
          <w:p w14:paraId="177A2B7C" w14:textId="77777777" w:rsidR="00F97500" w:rsidRPr="00F97500" w:rsidRDefault="00F97500" w:rsidP="00F97500">
            <w:pPr>
              <w:rPr>
                <w:rFonts w:ascii="CAIXA Std Book" w:eastAsia="Times New Roman" w:hAnsi="CAIXA Std Book" w:cs="Calibri"/>
                <w:b/>
                <w:bCs/>
                <w:color w:val="FFFFFF"/>
                <w:sz w:val="18"/>
                <w:szCs w:val="18"/>
              </w:rPr>
            </w:pPr>
          </w:p>
        </w:tc>
        <w:tc>
          <w:tcPr>
            <w:tcW w:w="1021" w:type="pct"/>
            <w:gridSpan w:val="2"/>
            <w:tcBorders>
              <w:top w:val="single" w:sz="4" w:space="0" w:color="FFFFFF" w:themeColor="background1"/>
              <w:bottom w:val="single" w:sz="4" w:space="0" w:color="FFFFFF" w:themeColor="background1"/>
            </w:tcBorders>
            <w:shd w:val="clear" w:color="000000" w:fill="005CA9"/>
            <w:vAlign w:val="center"/>
            <w:hideMark/>
          </w:tcPr>
          <w:p w14:paraId="44E2E43A" w14:textId="77777777" w:rsidR="00F97500" w:rsidRPr="00F97500" w:rsidRDefault="00F97500" w:rsidP="00F97500">
            <w:pPr>
              <w:jc w:val="center"/>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Conforme apresentado anteriormente</w:t>
            </w:r>
          </w:p>
        </w:tc>
        <w:tc>
          <w:tcPr>
            <w:tcW w:w="548" w:type="pct"/>
            <w:tcBorders>
              <w:top w:val="single" w:sz="4" w:space="0" w:color="FFFFFF" w:themeColor="background1"/>
              <w:bottom w:val="single" w:sz="4" w:space="0" w:color="FFFFFF" w:themeColor="background1"/>
            </w:tcBorders>
            <w:shd w:val="clear" w:color="000000" w:fill="005CA9"/>
            <w:vAlign w:val="center"/>
            <w:hideMark/>
          </w:tcPr>
          <w:p w14:paraId="4F5A570B" w14:textId="77777777" w:rsidR="00F97500" w:rsidRPr="00F97500" w:rsidRDefault="00F97500" w:rsidP="00F97500">
            <w:pPr>
              <w:jc w:val="center"/>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Ajuste</w:t>
            </w:r>
          </w:p>
        </w:tc>
        <w:tc>
          <w:tcPr>
            <w:tcW w:w="1047" w:type="pct"/>
            <w:gridSpan w:val="2"/>
            <w:tcBorders>
              <w:top w:val="single" w:sz="4" w:space="0" w:color="FFFFFF" w:themeColor="background1"/>
              <w:bottom w:val="single" w:sz="4" w:space="0" w:color="FFFFFF" w:themeColor="background1"/>
            </w:tcBorders>
            <w:shd w:val="clear" w:color="000000" w:fill="005CA9"/>
            <w:vAlign w:val="center"/>
            <w:hideMark/>
          </w:tcPr>
          <w:p w14:paraId="57CA0FE5" w14:textId="77777777" w:rsidR="00F97500" w:rsidRPr="00F97500" w:rsidRDefault="00F97500" w:rsidP="00F97500">
            <w:pPr>
              <w:jc w:val="center"/>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Valor ajustado</w:t>
            </w:r>
          </w:p>
        </w:tc>
      </w:tr>
      <w:tr w:rsidR="00F97500" w:rsidRPr="00F97500" w14:paraId="4C9B696F" w14:textId="77777777" w:rsidTr="00D01743">
        <w:trPr>
          <w:trHeight w:val="283"/>
        </w:trPr>
        <w:tc>
          <w:tcPr>
            <w:tcW w:w="2384" w:type="pct"/>
            <w:vMerge/>
            <w:vAlign w:val="center"/>
            <w:hideMark/>
          </w:tcPr>
          <w:p w14:paraId="48D538DC" w14:textId="77777777" w:rsidR="00F97500" w:rsidRPr="00F97500" w:rsidRDefault="00F97500" w:rsidP="00F97500">
            <w:pPr>
              <w:rPr>
                <w:rFonts w:ascii="CAIXA Std Book" w:eastAsia="Times New Roman" w:hAnsi="CAIXA Std Book" w:cs="Calibri"/>
                <w:b/>
                <w:bCs/>
                <w:color w:val="FFFFFF"/>
                <w:sz w:val="18"/>
                <w:szCs w:val="18"/>
              </w:rPr>
            </w:pPr>
          </w:p>
        </w:tc>
        <w:tc>
          <w:tcPr>
            <w:tcW w:w="680" w:type="pct"/>
            <w:tcBorders>
              <w:top w:val="single" w:sz="4" w:space="0" w:color="FFFFFF" w:themeColor="background1"/>
            </w:tcBorders>
            <w:shd w:val="clear" w:color="000000" w:fill="005CA9"/>
            <w:noWrap/>
            <w:vAlign w:val="center"/>
            <w:hideMark/>
          </w:tcPr>
          <w:p w14:paraId="36F33440" w14:textId="77777777" w:rsidR="00F97500" w:rsidRPr="00F97500" w:rsidRDefault="00F97500" w:rsidP="00F97500">
            <w:pPr>
              <w:jc w:val="center"/>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R$</w:t>
            </w:r>
          </w:p>
        </w:tc>
        <w:tc>
          <w:tcPr>
            <w:tcW w:w="341" w:type="pct"/>
            <w:tcBorders>
              <w:top w:val="single" w:sz="4" w:space="0" w:color="FFFFFF" w:themeColor="background1"/>
            </w:tcBorders>
            <w:shd w:val="clear" w:color="000000" w:fill="005CA9"/>
            <w:noWrap/>
            <w:vAlign w:val="center"/>
            <w:hideMark/>
          </w:tcPr>
          <w:p w14:paraId="2B285D68" w14:textId="77777777" w:rsidR="00F97500" w:rsidRPr="00F97500" w:rsidRDefault="00F97500" w:rsidP="00F97500">
            <w:pPr>
              <w:jc w:val="center"/>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w:t>
            </w:r>
          </w:p>
        </w:tc>
        <w:tc>
          <w:tcPr>
            <w:tcW w:w="548" w:type="pct"/>
            <w:tcBorders>
              <w:top w:val="single" w:sz="4" w:space="0" w:color="FFFFFF" w:themeColor="background1"/>
            </w:tcBorders>
            <w:shd w:val="clear" w:color="000000" w:fill="005CA9"/>
            <w:noWrap/>
            <w:vAlign w:val="center"/>
            <w:hideMark/>
          </w:tcPr>
          <w:p w14:paraId="469436AC" w14:textId="77777777" w:rsidR="00F97500" w:rsidRPr="00F97500" w:rsidRDefault="00F97500" w:rsidP="00F97500">
            <w:pPr>
              <w:jc w:val="right"/>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 </w:t>
            </w:r>
          </w:p>
        </w:tc>
        <w:tc>
          <w:tcPr>
            <w:tcW w:w="668" w:type="pct"/>
            <w:tcBorders>
              <w:top w:val="single" w:sz="4" w:space="0" w:color="FFFFFF" w:themeColor="background1"/>
            </w:tcBorders>
            <w:shd w:val="clear" w:color="000000" w:fill="005CA9"/>
            <w:noWrap/>
            <w:vAlign w:val="center"/>
            <w:hideMark/>
          </w:tcPr>
          <w:p w14:paraId="3F0240CC" w14:textId="77777777" w:rsidR="00F97500" w:rsidRPr="00F97500" w:rsidRDefault="00F97500" w:rsidP="00F97500">
            <w:pPr>
              <w:jc w:val="center"/>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R$</w:t>
            </w:r>
          </w:p>
        </w:tc>
        <w:tc>
          <w:tcPr>
            <w:tcW w:w="379" w:type="pct"/>
            <w:tcBorders>
              <w:top w:val="single" w:sz="4" w:space="0" w:color="FFFFFF" w:themeColor="background1"/>
            </w:tcBorders>
            <w:shd w:val="clear" w:color="000000" w:fill="005CA9"/>
            <w:noWrap/>
            <w:vAlign w:val="center"/>
            <w:hideMark/>
          </w:tcPr>
          <w:p w14:paraId="547CA38E" w14:textId="77777777" w:rsidR="00F97500" w:rsidRPr="00F97500" w:rsidRDefault="00F97500" w:rsidP="00F97500">
            <w:pPr>
              <w:jc w:val="center"/>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w:t>
            </w:r>
          </w:p>
        </w:tc>
      </w:tr>
      <w:tr w:rsidR="00F97500" w:rsidRPr="00F97500" w14:paraId="07A07DFC" w14:textId="77777777" w:rsidTr="00D01743">
        <w:trPr>
          <w:trHeight w:val="283"/>
        </w:trPr>
        <w:tc>
          <w:tcPr>
            <w:tcW w:w="2384" w:type="pct"/>
            <w:shd w:val="clear" w:color="000000" w:fill="D0E0E3"/>
            <w:noWrap/>
            <w:vAlign w:val="center"/>
            <w:hideMark/>
          </w:tcPr>
          <w:p w14:paraId="0128A1EB" w14:textId="77777777" w:rsidR="00F97500" w:rsidRPr="00F97500" w:rsidRDefault="00F97500" w:rsidP="00F97500">
            <w:pPr>
              <w:ind w:firstLineChars="200" w:firstLine="361"/>
              <w:rPr>
                <w:rFonts w:ascii="CAIXA Std Book" w:eastAsia="Times New Roman" w:hAnsi="CAIXA Std Book" w:cs="Calibri"/>
                <w:b/>
                <w:bCs/>
                <w:color w:val="005CA9"/>
                <w:sz w:val="18"/>
                <w:szCs w:val="18"/>
              </w:rPr>
            </w:pPr>
            <w:r w:rsidRPr="00F97500">
              <w:rPr>
                <w:rFonts w:ascii="CAIXA Std Book" w:eastAsia="Times New Roman" w:hAnsi="CAIXA Std Book" w:cs="Calibri"/>
                <w:b/>
                <w:bCs/>
                <w:color w:val="005CA9"/>
                <w:sz w:val="18"/>
                <w:szCs w:val="18"/>
              </w:rPr>
              <w:t>2. Despesas da intermediação financeira</w:t>
            </w:r>
          </w:p>
        </w:tc>
        <w:tc>
          <w:tcPr>
            <w:tcW w:w="680" w:type="pct"/>
            <w:shd w:val="clear" w:color="000000" w:fill="D0E0E3"/>
            <w:noWrap/>
            <w:vAlign w:val="center"/>
            <w:hideMark/>
          </w:tcPr>
          <w:p w14:paraId="0ED858A4" w14:textId="77777777" w:rsidR="00F97500" w:rsidRPr="00F97500" w:rsidRDefault="00F97500" w:rsidP="00F97500">
            <w:pPr>
              <w:jc w:val="right"/>
              <w:rPr>
                <w:rFonts w:ascii="CAIXA Std Book" w:eastAsia="Times New Roman" w:hAnsi="CAIXA Std Book" w:cs="Calibri"/>
                <w:b/>
                <w:bCs/>
                <w:color w:val="005CA9"/>
                <w:sz w:val="18"/>
                <w:szCs w:val="18"/>
              </w:rPr>
            </w:pPr>
            <w:r w:rsidRPr="00F97500">
              <w:rPr>
                <w:rFonts w:ascii="CAIXA Std Book" w:eastAsia="Times New Roman" w:hAnsi="CAIXA Std Book" w:cs="Calibri"/>
                <w:b/>
                <w:bCs/>
                <w:color w:val="005CA9"/>
                <w:sz w:val="18"/>
                <w:szCs w:val="18"/>
              </w:rPr>
              <w:t>(39.082.172)</w:t>
            </w:r>
          </w:p>
        </w:tc>
        <w:tc>
          <w:tcPr>
            <w:tcW w:w="341" w:type="pct"/>
            <w:shd w:val="clear" w:color="000000" w:fill="D0E0E3"/>
            <w:noWrap/>
            <w:vAlign w:val="center"/>
            <w:hideMark/>
          </w:tcPr>
          <w:p w14:paraId="1CCD3BC3" w14:textId="3A2913A3" w:rsidR="00F97500" w:rsidRPr="00F97500" w:rsidRDefault="00F97500" w:rsidP="00996717">
            <w:pPr>
              <w:jc w:val="right"/>
              <w:rPr>
                <w:rFonts w:ascii="CAIXA Std Book" w:eastAsia="Times New Roman" w:hAnsi="CAIXA Std Book" w:cs="Calibri"/>
                <w:b/>
                <w:bCs/>
                <w:color w:val="005CA9"/>
                <w:sz w:val="18"/>
                <w:szCs w:val="18"/>
              </w:rPr>
            </w:pPr>
          </w:p>
        </w:tc>
        <w:tc>
          <w:tcPr>
            <w:tcW w:w="548" w:type="pct"/>
            <w:shd w:val="clear" w:color="000000" w:fill="D0E0E3"/>
            <w:noWrap/>
            <w:vAlign w:val="center"/>
            <w:hideMark/>
          </w:tcPr>
          <w:p w14:paraId="087A5EF4" w14:textId="77777777" w:rsidR="00F97500" w:rsidRPr="00F97500" w:rsidRDefault="00F97500" w:rsidP="00F97500">
            <w:pPr>
              <w:jc w:val="right"/>
              <w:rPr>
                <w:rFonts w:ascii="CAIXA Std Book" w:eastAsia="Times New Roman" w:hAnsi="CAIXA Std Book" w:cs="Calibri"/>
                <w:b/>
                <w:bCs/>
                <w:color w:val="005CA9"/>
                <w:sz w:val="18"/>
                <w:szCs w:val="18"/>
              </w:rPr>
            </w:pPr>
            <w:r w:rsidRPr="00F97500">
              <w:rPr>
                <w:rFonts w:ascii="CAIXA Std Book" w:eastAsia="Times New Roman" w:hAnsi="CAIXA Std Book" w:cs="Calibri"/>
                <w:b/>
                <w:bCs/>
                <w:color w:val="005CA9"/>
                <w:sz w:val="18"/>
                <w:szCs w:val="18"/>
              </w:rPr>
              <w:t>343.682</w:t>
            </w:r>
          </w:p>
        </w:tc>
        <w:tc>
          <w:tcPr>
            <w:tcW w:w="668" w:type="pct"/>
            <w:shd w:val="clear" w:color="000000" w:fill="D0E0E3"/>
            <w:noWrap/>
            <w:vAlign w:val="center"/>
            <w:hideMark/>
          </w:tcPr>
          <w:p w14:paraId="59996DD3" w14:textId="77777777" w:rsidR="00F97500" w:rsidRPr="00F97500" w:rsidRDefault="00F97500" w:rsidP="00F97500">
            <w:pPr>
              <w:jc w:val="right"/>
              <w:rPr>
                <w:rFonts w:ascii="CAIXA Std Book" w:eastAsia="Times New Roman" w:hAnsi="CAIXA Std Book" w:cs="Calibri"/>
                <w:b/>
                <w:bCs/>
                <w:color w:val="005CA9"/>
                <w:sz w:val="18"/>
                <w:szCs w:val="18"/>
              </w:rPr>
            </w:pPr>
            <w:r w:rsidRPr="00F97500">
              <w:rPr>
                <w:rFonts w:ascii="CAIXA Std Book" w:eastAsia="Times New Roman" w:hAnsi="CAIXA Std Book" w:cs="Calibri"/>
                <w:b/>
                <w:bCs/>
                <w:color w:val="005CA9"/>
                <w:sz w:val="18"/>
                <w:szCs w:val="18"/>
              </w:rPr>
              <w:t>(38.738.490)</w:t>
            </w:r>
          </w:p>
        </w:tc>
        <w:tc>
          <w:tcPr>
            <w:tcW w:w="379" w:type="pct"/>
            <w:shd w:val="clear" w:color="000000" w:fill="D0E0E3"/>
            <w:noWrap/>
            <w:vAlign w:val="center"/>
            <w:hideMark/>
          </w:tcPr>
          <w:p w14:paraId="6E171C2B" w14:textId="20AD79DF" w:rsidR="00F97500" w:rsidRPr="00F97500" w:rsidRDefault="00F97500" w:rsidP="00996717">
            <w:pPr>
              <w:jc w:val="right"/>
              <w:rPr>
                <w:rFonts w:ascii="CAIXA Std Book" w:eastAsia="Times New Roman" w:hAnsi="CAIXA Std Book" w:cs="Calibri"/>
                <w:b/>
                <w:bCs/>
                <w:color w:val="005CA9"/>
                <w:sz w:val="18"/>
                <w:szCs w:val="18"/>
              </w:rPr>
            </w:pPr>
          </w:p>
        </w:tc>
      </w:tr>
      <w:tr w:rsidR="00F97500" w:rsidRPr="00F97500" w14:paraId="18778894" w14:textId="77777777" w:rsidTr="00B52AA3">
        <w:trPr>
          <w:trHeight w:val="283"/>
        </w:trPr>
        <w:tc>
          <w:tcPr>
            <w:tcW w:w="2384" w:type="pct"/>
            <w:tcBorders>
              <w:bottom w:val="single" w:sz="4" w:space="0" w:color="FFFFFF" w:themeColor="background1"/>
            </w:tcBorders>
            <w:shd w:val="clear" w:color="000000" w:fill="005CA9"/>
            <w:noWrap/>
            <w:vAlign w:val="center"/>
            <w:hideMark/>
          </w:tcPr>
          <w:p w14:paraId="330DD070" w14:textId="77777777" w:rsidR="00F97500" w:rsidRPr="00F97500" w:rsidRDefault="00F97500" w:rsidP="00F97500">
            <w:pPr>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4. Valor adicionado bruto (1-2-3)</w:t>
            </w:r>
          </w:p>
        </w:tc>
        <w:tc>
          <w:tcPr>
            <w:tcW w:w="680" w:type="pct"/>
            <w:tcBorders>
              <w:bottom w:val="single" w:sz="4" w:space="0" w:color="FFFFFF" w:themeColor="background1"/>
            </w:tcBorders>
            <w:shd w:val="clear" w:color="000000" w:fill="005CA9"/>
            <w:noWrap/>
            <w:vAlign w:val="center"/>
            <w:hideMark/>
          </w:tcPr>
          <w:p w14:paraId="340232C1" w14:textId="77777777" w:rsidR="00F97500" w:rsidRPr="00F97500" w:rsidRDefault="00F97500" w:rsidP="00F97500">
            <w:pPr>
              <w:jc w:val="right"/>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16.334.701</w:t>
            </w:r>
          </w:p>
        </w:tc>
        <w:tc>
          <w:tcPr>
            <w:tcW w:w="341" w:type="pct"/>
            <w:tcBorders>
              <w:bottom w:val="single" w:sz="4" w:space="0" w:color="FFFFFF" w:themeColor="background1"/>
            </w:tcBorders>
            <w:shd w:val="clear" w:color="000000" w:fill="005CA9"/>
            <w:noWrap/>
            <w:vAlign w:val="center"/>
            <w:hideMark/>
          </w:tcPr>
          <w:p w14:paraId="5361D653" w14:textId="77777777" w:rsidR="00F97500" w:rsidRPr="00F97500" w:rsidRDefault="00F97500" w:rsidP="00F97500">
            <w:pPr>
              <w:jc w:val="right"/>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 </w:t>
            </w:r>
          </w:p>
        </w:tc>
        <w:tc>
          <w:tcPr>
            <w:tcW w:w="548" w:type="pct"/>
            <w:tcBorders>
              <w:bottom w:val="single" w:sz="4" w:space="0" w:color="FFFFFF" w:themeColor="background1"/>
            </w:tcBorders>
            <w:shd w:val="clear" w:color="000000" w:fill="005CA9"/>
            <w:noWrap/>
            <w:vAlign w:val="center"/>
            <w:hideMark/>
          </w:tcPr>
          <w:p w14:paraId="6B68218A" w14:textId="77777777" w:rsidR="00F97500" w:rsidRPr="00F97500" w:rsidRDefault="00F97500" w:rsidP="00F97500">
            <w:pPr>
              <w:jc w:val="right"/>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343.682</w:t>
            </w:r>
          </w:p>
        </w:tc>
        <w:tc>
          <w:tcPr>
            <w:tcW w:w="668" w:type="pct"/>
            <w:tcBorders>
              <w:bottom w:val="single" w:sz="4" w:space="0" w:color="FFFFFF" w:themeColor="background1"/>
            </w:tcBorders>
            <w:shd w:val="clear" w:color="000000" w:fill="005CA9"/>
            <w:noWrap/>
            <w:vAlign w:val="center"/>
            <w:hideMark/>
          </w:tcPr>
          <w:p w14:paraId="14DBA0D9" w14:textId="77777777" w:rsidR="00F97500" w:rsidRPr="00F97500" w:rsidRDefault="00F97500" w:rsidP="00F97500">
            <w:pPr>
              <w:jc w:val="right"/>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16.678.383</w:t>
            </w:r>
          </w:p>
        </w:tc>
        <w:tc>
          <w:tcPr>
            <w:tcW w:w="379" w:type="pct"/>
            <w:tcBorders>
              <w:bottom w:val="single" w:sz="4" w:space="0" w:color="FFFFFF" w:themeColor="background1"/>
            </w:tcBorders>
            <w:shd w:val="clear" w:color="000000" w:fill="005CA9"/>
            <w:noWrap/>
            <w:vAlign w:val="center"/>
            <w:hideMark/>
          </w:tcPr>
          <w:p w14:paraId="48B66618" w14:textId="77777777" w:rsidR="00F97500" w:rsidRPr="00F97500" w:rsidRDefault="00F97500" w:rsidP="00F97500">
            <w:pPr>
              <w:jc w:val="right"/>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 </w:t>
            </w:r>
          </w:p>
        </w:tc>
      </w:tr>
      <w:tr w:rsidR="00F97500" w:rsidRPr="00F97500" w14:paraId="4A7720E8" w14:textId="77777777" w:rsidTr="00B52AA3">
        <w:trPr>
          <w:trHeight w:val="283"/>
        </w:trPr>
        <w:tc>
          <w:tcPr>
            <w:tcW w:w="2384" w:type="pct"/>
            <w:tcBorders>
              <w:top w:val="single" w:sz="4" w:space="0" w:color="FFFFFF" w:themeColor="background1"/>
            </w:tcBorders>
            <w:shd w:val="clear" w:color="000000" w:fill="005CA9"/>
            <w:noWrap/>
            <w:vAlign w:val="center"/>
            <w:hideMark/>
          </w:tcPr>
          <w:p w14:paraId="3CBF51C9" w14:textId="77777777" w:rsidR="00F97500" w:rsidRPr="00F97500" w:rsidRDefault="00F97500" w:rsidP="00F97500">
            <w:pPr>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8. Valor adicionado a distribuir (6+7)</w:t>
            </w:r>
          </w:p>
        </w:tc>
        <w:tc>
          <w:tcPr>
            <w:tcW w:w="680" w:type="pct"/>
            <w:tcBorders>
              <w:top w:val="single" w:sz="4" w:space="0" w:color="FFFFFF" w:themeColor="background1"/>
            </w:tcBorders>
            <w:shd w:val="clear" w:color="000000" w:fill="005CA9"/>
            <w:noWrap/>
            <w:vAlign w:val="center"/>
            <w:hideMark/>
          </w:tcPr>
          <w:p w14:paraId="12B15275" w14:textId="77777777" w:rsidR="00F97500" w:rsidRPr="00F97500" w:rsidRDefault="00F97500" w:rsidP="00F97500">
            <w:pPr>
              <w:jc w:val="right"/>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16.649.998</w:t>
            </w:r>
          </w:p>
        </w:tc>
        <w:tc>
          <w:tcPr>
            <w:tcW w:w="341" w:type="pct"/>
            <w:tcBorders>
              <w:top w:val="single" w:sz="4" w:space="0" w:color="FFFFFF" w:themeColor="background1"/>
            </w:tcBorders>
            <w:shd w:val="clear" w:color="000000" w:fill="005CA9"/>
            <w:noWrap/>
            <w:vAlign w:val="center"/>
            <w:hideMark/>
          </w:tcPr>
          <w:p w14:paraId="37B4FC17" w14:textId="77777777" w:rsidR="00F97500" w:rsidRPr="00F97500" w:rsidRDefault="00F97500" w:rsidP="00F97500">
            <w:pPr>
              <w:jc w:val="right"/>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 </w:t>
            </w:r>
          </w:p>
        </w:tc>
        <w:tc>
          <w:tcPr>
            <w:tcW w:w="548" w:type="pct"/>
            <w:tcBorders>
              <w:top w:val="single" w:sz="4" w:space="0" w:color="FFFFFF" w:themeColor="background1"/>
            </w:tcBorders>
            <w:shd w:val="clear" w:color="000000" w:fill="005CA9"/>
            <w:noWrap/>
            <w:vAlign w:val="center"/>
            <w:hideMark/>
          </w:tcPr>
          <w:p w14:paraId="3537D0ED" w14:textId="77777777" w:rsidR="00F97500" w:rsidRPr="00F97500" w:rsidRDefault="00F97500" w:rsidP="00F97500">
            <w:pPr>
              <w:jc w:val="right"/>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343.682</w:t>
            </w:r>
          </w:p>
        </w:tc>
        <w:tc>
          <w:tcPr>
            <w:tcW w:w="668" w:type="pct"/>
            <w:tcBorders>
              <w:top w:val="single" w:sz="4" w:space="0" w:color="FFFFFF" w:themeColor="background1"/>
            </w:tcBorders>
            <w:shd w:val="clear" w:color="000000" w:fill="005CA9"/>
            <w:noWrap/>
            <w:vAlign w:val="center"/>
            <w:hideMark/>
          </w:tcPr>
          <w:p w14:paraId="3956F462" w14:textId="77777777" w:rsidR="00F97500" w:rsidRPr="00F97500" w:rsidRDefault="00F97500" w:rsidP="00F97500">
            <w:pPr>
              <w:jc w:val="right"/>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16.993.680</w:t>
            </w:r>
          </w:p>
        </w:tc>
        <w:tc>
          <w:tcPr>
            <w:tcW w:w="379" w:type="pct"/>
            <w:tcBorders>
              <w:top w:val="single" w:sz="4" w:space="0" w:color="FFFFFF" w:themeColor="background1"/>
            </w:tcBorders>
            <w:shd w:val="clear" w:color="000000" w:fill="005CA9"/>
            <w:noWrap/>
            <w:vAlign w:val="center"/>
            <w:hideMark/>
          </w:tcPr>
          <w:p w14:paraId="57EA16BC" w14:textId="77777777" w:rsidR="00F97500" w:rsidRPr="00F97500" w:rsidRDefault="00F97500" w:rsidP="00F97500">
            <w:pPr>
              <w:jc w:val="right"/>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 </w:t>
            </w:r>
          </w:p>
        </w:tc>
      </w:tr>
      <w:tr w:rsidR="00F97500" w:rsidRPr="00F97500" w14:paraId="73FDB3BF" w14:textId="77777777" w:rsidTr="00D01743">
        <w:trPr>
          <w:trHeight w:val="283"/>
        </w:trPr>
        <w:tc>
          <w:tcPr>
            <w:tcW w:w="2384" w:type="pct"/>
            <w:shd w:val="clear" w:color="000000" w:fill="D0E0E3"/>
            <w:noWrap/>
            <w:vAlign w:val="center"/>
            <w:hideMark/>
          </w:tcPr>
          <w:p w14:paraId="573652B9" w14:textId="77777777" w:rsidR="00F97500" w:rsidRPr="00F97500" w:rsidRDefault="00F97500" w:rsidP="00F97500">
            <w:pPr>
              <w:ind w:firstLineChars="200" w:firstLine="361"/>
              <w:rPr>
                <w:rFonts w:ascii="CAIXA Std Book" w:eastAsia="Times New Roman" w:hAnsi="CAIXA Std Book" w:cs="Calibri"/>
                <w:b/>
                <w:bCs/>
                <w:color w:val="005CA9"/>
                <w:sz w:val="18"/>
                <w:szCs w:val="18"/>
              </w:rPr>
            </w:pPr>
            <w:r w:rsidRPr="00F97500">
              <w:rPr>
                <w:rFonts w:ascii="CAIXA Std Book" w:eastAsia="Times New Roman" w:hAnsi="CAIXA Std Book" w:cs="Calibri"/>
                <w:b/>
                <w:bCs/>
                <w:color w:val="005CA9"/>
                <w:sz w:val="18"/>
                <w:szCs w:val="18"/>
              </w:rPr>
              <w:t>9. Distribuição do valor adicionado</w:t>
            </w:r>
          </w:p>
        </w:tc>
        <w:tc>
          <w:tcPr>
            <w:tcW w:w="680" w:type="pct"/>
            <w:shd w:val="clear" w:color="000000" w:fill="D0E0E3"/>
            <w:noWrap/>
            <w:vAlign w:val="center"/>
            <w:hideMark/>
          </w:tcPr>
          <w:p w14:paraId="5A10795E" w14:textId="77777777" w:rsidR="00F97500" w:rsidRPr="00F97500" w:rsidRDefault="00F97500" w:rsidP="00F97500">
            <w:pPr>
              <w:jc w:val="right"/>
              <w:rPr>
                <w:rFonts w:ascii="CAIXA Std Book" w:eastAsia="Times New Roman" w:hAnsi="CAIXA Std Book" w:cs="Calibri"/>
                <w:b/>
                <w:bCs/>
                <w:color w:val="005CA9"/>
                <w:sz w:val="18"/>
                <w:szCs w:val="18"/>
              </w:rPr>
            </w:pPr>
            <w:r w:rsidRPr="00F97500">
              <w:rPr>
                <w:rFonts w:ascii="CAIXA Std Book" w:eastAsia="Times New Roman" w:hAnsi="CAIXA Std Book" w:cs="Calibri"/>
                <w:b/>
                <w:bCs/>
                <w:color w:val="005CA9"/>
                <w:sz w:val="18"/>
                <w:szCs w:val="18"/>
              </w:rPr>
              <w:t>16.649.998</w:t>
            </w:r>
          </w:p>
        </w:tc>
        <w:tc>
          <w:tcPr>
            <w:tcW w:w="341" w:type="pct"/>
            <w:shd w:val="clear" w:color="000000" w:fill="D0E0E3"/>
            <w:noWrap/>
            <w:vAlign w:val="center"/>
            <w:hideMark/>
          </w:tcPr>
          <w:p w14:paraId="450CF625" w14:textId="7EA98A74" w:rsidR="00F97500" w:rsidRPr="00F97500" w:rsidRDefault="00F97500" w:rsidP="00F97500">
            <w:pPr>
              <w:jc w:val="right"/>
              <w:rPr>
                <w:rFonts w:ascii="CAIXA Std Book" w:eastAsia="Times New Roman" w:hAnsi="CAIXA Std Book" w:cs="Calibri"/>
                <w:b/>
                <w:bCs/>
                <w:color w:val="005CA9"/>
                <w:sz w:val="18"/>
                <w:szCs w:val="18"/>
              </w:rPr>
            </w:pPr>
            <w:r w:rsidRPr="00F97500">
              <w:rPr>
                <w:rFonts w:ascii="CAIXA Std Book" w:eastAsia="Times New Roman" w:hAnsi="CAIXA Std Book" w:cs="Calibri"/>
                <w:b/>
                <w:bCs/>
                <w:color w:val="005CA9"/>
                <w:sz w:val="18"/>
                <w:szCs w:val="18"/>
              </w:rPr>
              <w:t>100</w:t>
            </w:r>
            <w:r w:rsidR="00727300">
              <w:rPr>
                <w:rFonts w:ascii="CAIXA Std Book" w:eastAsia="Times New Roman" w:hAnsi="CAIXA Std Book" w:cs="Calibri"/>
                <w:b/>
                <w:bCs/>
                <w:color w:val="005CA9"/>
                <w:sz w:val="18"/>
                <w:szCs w:val="18"/>
              </w:rPr>
              <w:t>,00</w:t>
            </w:r>
          </w:p>
        </w:tc>
        <w:tc>
          <w:tcPr>
            <w:tcW w:w="548" w:type="pct"/>
            <w:shd w:val="clear" w:color="000000" w:fill="D0E0E3"/>
            <w:noWrap/>
            <w:vAlign w:val="center"/>
            <w:hideMark/>
          </w:tcPr>
          <w:p w14:paraId="1D4BD1F8" w14:textId="77777777" w:rsidR="00F97500" w:rsidRPr="00F97500" w:rsidRDefault="00F97500" w:rsidP="00F97500">
            <w:pPr>
              <w:jc w:val="right"/>
              <w:rPr>
                <w:rFonts w:ascii="CAIXA Std Book" w:eastAsia="Times New Roman" w:hAnsi="CAIXA Std Book" w:cs="Calibri"/>
                <w:b/>
                <w:bCs/>
                <w:color w:val="005CA9"/>
                <w:sz w:val="18"/>
                <w:szCs w:val="18"/>
              </w:rPr>
            </w:pPr>
            <w:r w:rsidRPr="00F97500">
              <w:rPr>
                <w:rFonts w:ascii="CAIXA Std Book" w:eastAsia="Times New Roman" w:hAnsi="CAIXA Std Book" w:cs="Calibri"/>
                <w:b/>
                <w:bCs/>
                <w:color w:val="005CA9"/>
                <w:sz w:val="18"/>
                <w:szCs w:val="18"/>
              </w:rPr>
              <w:t>343.682</w:t>
            </w:r>
          </w:p>
        </w:tc>
        <w:tc>
          <w:tcPr>
            <w:tcW w:w="668" w:type="pct"/>
            <w:shd w:val="clear" w:color="000000" w:fill="D0E0E3"/>
            <w:noWrap/>
            <w:vAlign w:val="center"/>
            <w:hideMark/>
          </w:tcPr>
          <w:p w14:paraId="00C2D97C" w14:textId="77777777" w:rsidR="00F97500" w:rsidRPr="00F97500" w:rsidRDefault="00F97500" w:rsidP="00F97500">
            <w:pPr>
              <w:jc w:val="right"/>
              <w:rPr>
                <w:rFonts w:ascii="CAIXA Std Book" w:eastAsia="Times New Roman" w:hAnsi="CAIXA Std Book" w:cs="Calibri"/>
                <w:b/>
                <w:bCs/>
                <w:color w:val="005CA9"/>
                <w:sz w:val="18"/>
                <w:szCs w:val="18"/>
              </w:rPr>
            </w:pPr>
            <w:r w:rsidRPr="00F97500">
              <w:rPr>
                <w:rFonts w:ascii="CAIXA Std Book" w:eastAsia="Times New Roman" w:hAnsi="CAIXA Std Book" w:cs="Calibri"/>
                <w:b/>
                <w:bCs/>
                <w:color w:val="005CA9"/>
                <w:sz w:val="18"/>
                <w:szCs w:val="18"/>
              </w:rPr>
              <w:t>16.993.680</w:t>
            </w:r>
          </w:p>
        </w:tc>
        <w:tc>
          <w:tcPr>
            <w:tcW w:w="379" w:type="pct"/>
            <w:shd w:val="clear" w:color="000000" w:fill="D0E0E3"/>
            <w:noWrap/>
            <w:vAlign w:val="center"/>
            <w:hideMark/>
          </w:tcPr>
          <w:p w14:paraId="4E1E1AF9" w14:textId="16BA4AC4" w:rsidR="00F97500" w:rsidRPr="00F97500" w:rsidRDefault="00F97500" w:rsidP="00F97500">
            <w:pPr>
              <w:jc w:val="right"/>
              <w:rPr>
                <w:rFonts w:ascii="CAIXA Std Book" w:eastAsia="Times New Roman" w:hAnsi="CAIXA Std Book" w:cs="Calibri"/>
                <w:b/>
                <w:bCs/>
                <w:color w:val="005CA9"/>
                <w:sz w:val="18"/>
                <w:szCs w:val="18"/>
              </w:rPr>
            </w:pPr>
            <w:r w:rsidRPr="00F97500">
              <w:rPr>
                <w:rFonts w:ascii="CAIXA Std Book" w:eastAsia="Times New Roman" w:hAnsi="CAIXA Std Book" w:cs="Calibri"/>
                <w:b/>
                <w:bCs/>
                <w:color w:val="005CA9"/>
                <w:sz w:val="18"/>
                <w:szCs w:val="18"/>
              </w:rPr>
              <w:t>100</w:t>
            </w:r>
            <w:r w:rsidR="00727300">
              <w:rPr>
                <w:rFonts w:ascii="CAIXA Std Book" w:eastAsia="Times New Roman" w:hAnsi="CAIXA Std Book" w:cs="Calibri"/>
                <w:b/>
                <w:bCs/>
                <w:color w:val="005CA9"/>
                <w:sz w:val="18"/>
                <w:szCs w:val="18"/>
              </w:rPr>
              <w:t>,00</w:t>
            </w:r>
          </w:p>
        </w:tc>
      </w:tr>
      <w:tr w:rsidR="00F97500" w:rsidRPr="00F97500" w14:paraId="488AB834" w14:textId="77777777" w:rsidTr="00D01743">
        <w:trPr>
          <w:trHeight w:val="283"/>
        </w:trPr>
        <w:tc>
          <w:tcPr>
            <w:tcW w:w="2384" w:type="pct"/>
            <w:shd w:val="clear" w:color="000000" w:fill="005CA9"/>
            <w:noWrap/>
            <w:vAlign w:val="center"/>
            <w:hideMark/>
          </w:tcPr>
          <w:p w14:paraId="66E5A444" w14:textId="77777777" w:rsidR="00F97500" w:rsidRPr="00F97500" w:rsidRDefault="00F97500" w:rsidP="00F97500">
            <w:pPr>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Remuneração de capitais próprios</w:t>
            </w:r>
          </w:p>
        </w:tc>
        <w:tc>
          <w:tcPr>
            <w:tcW w:w="680" w:type="pct"/>
            <w:shd w:val="clear" w:color="000000" w:fill="005CA9"/>
            <w:noWrap/>
            <w:vAlign w:val="center"/>
            <w:hideMark/>
          </w:tcPr>
          <w:p w14:paraId="12DBA48A" w14:textId="77777777" w:rsidR="00F97500" w:rsidRPr="00F97500" w:rsidRDefault="00F97500" w:rsidP="00F97500">
            <w:pPr>
              <w:jc w:val="right"/>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5.950.067</w:t>
            </w:r>
          </w:p>
        </w:tc>
        <w:tc>
          <w:tcPr>
            <w:tcW w:w="341" w:type="pct"/>
            <w:shd w:val="clear" w:color="000000" w:fill="005CA9"/>
            <w:noWrap/>
            <w:vAlign w:val="center"/>
            <w:hideMark/>
          </w:tcPr>
          <w:p w14:paraId="0F4401D3" w14:textId="77777777" w:rsidR="00F97500" w:rsidRPr="00F97500" w:rsidRDefault="00F97500" w:rsidP="00F97500">
            <w:pPr>
              <w:jc w:val="right"/>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35,74</w:t>
            </w:r>
          </w:p>
        </w:tc>
        <w:tc>
          <w:tcPr>
            <w:tcW w:w="548" w:type="pct"/>
            <w:shd w:val="clear" w:color="000000" w:fill="005CA9"/>
            <w:noWrap/>
            <w:vAlign w:val="center"/>
            <w:hideMark/>
          </w:tcPr>
          <w:p w14:paraId="3F06BE44" w14:textId="77777777" w:rsidR="00F97500" w:rsidRPr="00F97500" w:rsidRDefault="00F97500" w:rsidP="00F97500">
            <w:pPr>
              <w:jc w:val="right"/>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343.682</w:t>
            </w:r>
          </w:p>
        </w:tc>
        <w:tc>
          <w:tcPr>
            <w:tcW w:w="668" w:type="pct"/>
            <w:shd w:val="clear" w:color="000000" w:fill="005CA9"/>
            <w:noWrap/>
            <w:vAlign w:val="center"/>
            <w:hideMark/>
          </w:tcPr>
          <w:p w14:paraId="00BDFC8A" w14:textId="77777777" w:rsidR="00F97500" w:rsidRPr="00F97500" w:rsidRDefault="00F97500" w:rsidP="00F97500">
            <w:pPr>
              <w:jc w:val="right"/>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6.293.749</w:t>
            </w:r>
          </w:p>
        </w:tc>
        <w:tc>
          <w:tcPr>
            <w:tcW w:w="379" w:type="pct"/>
            <w:shd w:val="clear" w:color="000000" w:fill="005CA9"/>
            <w:noWrap/>
            <w:vAlign w:val="center"/>
            <w:hideMark/>
          </w:tcPr>
          <w:p w14:paraId="138DF8B3" w14:textId="0B93E0B7" w:rsidR="00F97500" w:rsidRPr="00F97500" w:rsidRDefault="00F97500" w:rsidP="00F97500">
            <w:pPr>
              <w:jc w:val="right"/>
              <w:rPr>
                <w:rFonts w:ascii="CAIXA Std Book" w:eastAsia="Times New Roman" w:hAnsi="CAIXA Std Book" w:cs="Calibri"/>
                <w:b/>
                <w:bCs/>
                <w:color w:val="FFFFFF"/>
                <w:sz w:val="18"/>
                <w:szCs w:val="18"/>
              </w:rPr>
            </w:pPr>
            <w:r w:rsidRPr="00F97500">
              <w:rPr>
                <w:rFonts w:ascii="CAIXA Std Book" w:eastAsia="Times New Roman" w:hAnsi="CAIXA Std Book" w:cs="Calibri"/>
                <w:b/>
                <w:bCs/>
                <w:color w:val="FFFFFF"/>
                <w:sz w:val="18"/>
                <w:szCs w:val="18"/>
              </w:rPr>
              <w:t>37,04</w:t>
            </w:r>
          </w:p>
        </w:tc>
      </w:tr>
      <w:tr w:rsidR="00F97500" w:rsidRPr="00F97500" w14:paraId="00DE06C7" w14:textId="77777777" w:rsidTr="00D01743">
        <w:trPr>
          <w:trHeight w:val="283"/>
        </w:trPr>
        <w:tc>
          <w:tcPr>
            <w:tcW w:w="2384" w:type="pct"/>
            <w:tcBorders>
              <w:bottom w:val="single" w:sz="4" w:space="0" w:color="1F497D" w:themeColor="text2"/>
            </w:tcBorders>
            <w:shd w:val="clear" w:color="000000" w:fill="D0E0E3"/>
            <w:noWrap/>
            <w:vAlign w:val="center"/>
            <w:hideMark/>
          </w:tcPr>
          <w:p w14:paraId="0CC98BAE" w14:textId="77777777" w:rsidR="00F97500" w:rsidRPr="00F97500" w:rsidRDefault="00F97500" w:rsidP="00F97500">
            <w:pPr>
              <w:ind w:firstLineChars="200" w:firstLine="361"/>
              <w:rPr>
                <w:rFonts w:ascii="CAIXA Std Book" w:eastAsia="Times New Roman" w:hAnsi="CAIXA Std Book" w:cs="Calibri"/>
                <w:b/>
                <w:bCs/>
                <w:color w:val="005CA9"/>
                <w:sz w:val="18"/>
                <w:szCs w:val="18"/>
              </w:rPr>
            </w:pPr>
            <w:r w:rsidRPr="00F97500">
              <w:rPr>
                <w:rFonts w:ascii="CAIXA Std Book" w:eastAsia="Times New Roman" w:hAnsi="CAIXA Std Book" w:cs="Calibri"/>
                <w:b/>
                <w:bCs/>
                <w:color w:val="005CA9"/>
                <w:sz w:val="18"/>
                <w:szCs w:val="18"/>
              </w:rPr>
              <w:t>Lucros retidos</w:t>
            </w:r>
          </w:p>
        </w:tc>
        <w:tc>
          <w:tcPr>
            <w:tcW w:w="680" w:type="pct"/>
            <w:tcBorders>
              <w:bottom w:val="single" w:sz="4" w:space="0" w:color="1F497D" w:themeColor="text2"/>
            </w:tcBorders>
            <w:shd w:val="clear" w:color="000000" w:fill="D0E0E3"/>
            <w:noWrap/>
            <w:vAlign w:val="center"/>
            <w:hideMark/>
          </w:tcPr>
          <w:p w14:paraId="2B0059D8" w14:textId="77777777" w:rsidR="00F97500" w:rsidRPr="00F97500" w:rsidRDefault="00F97500" w:rsidP="00F97500">
            <w:pPr>
              <w:jc w:val="right"/>
              <w:rPr>
                <w:rFonts w:ascii="CAIXA Std Book" w:eastAsia="Times New Roman" w:hAnsi="CAIXA Std Book" w:cs="Calibri"/>
                <w:b/>
                <w:bCs/>
                <w:color w:val="005CA9"/>
                <w:sz w:val="18"/>
                <w:szCs w:val="18"/>
              </w:rPr>
            </w:pPr>
            <w:r w:rsidRPr="00F97500">
              <w:rPr>
                <w:rFonts w:ascii="CAIXA Std Book" w:eastAsia="Times New Roman" w:hAnsi="CAIXA Std Book" w:cs="Calibri"/>
                <w:b/>
                <w:bCs/>
                <w:color w:val="005CA9"/>
                <w:sz w:val="18"/>
                <w:szCs w:val="18"/>
              </w:rPr>
              <w:t>4.443.396</w:t>
            </w:r>
          </w:p>
        </w:tc>
        <w:tc>
          <w:tcPr>
            <w:tcW w:w="341" w:type="pct"/>
            <w:tcBorders>
              <w:bottom w:val="single" w:sz="4" w:space="0" w:color="1F497D" w:themeColor="text2"/>
            </w:tcBorders>
            <w:shd w:val="clear" w:color="000000" w:fill="D0E0E3"/>
            <w:noWrap/>
            <w:vAlign w:val="center"/>
            <w:hideMark/>
          </w:tcPr>
          <w:p w14:paraId="47837FD2" w14:textId="53DBED91" w:rsidR="00F97500" w:rsidRPr="00F97500" w:rsidRDefault="00F97500" w:rsidP="00996717">
            <w:pPr>
              <w:jc w:val="right"/>
              <w:rPr>
                <w:rFonts w:ascii="CAIXA Std Book" w:eastAsia="Times New Roman" w:hAnsi="CAIXA Std Book" w:cs="Calibri"/>
                <w:b/>
                <w:bCs/>
                <w:color w:val="005CA9"/>
                <w:sz w:val="18"/>
                <w:szCs w:val="18"/>
              </w:rPr>
            </w:pPr>
          </w:p>
        </w:tc>
        <w:tc>
          <w:tcPr>
            <w:tcW w:w="548" w:type="pct"/>
            <w:tcBorders>
              <w:bottom w:val="single" w:sz="4" w:space="0" w:color="1F497D" w:themeColor="text2"/>
            </w:tcBorders>
            <w:shd w:val="clear" w:color="000000" w:fill="D0E0E3"/>
            <w:noWrap/>
            <w:vAlign w:val="center"/>
            <w:hideMark/>
          </w:tcPr>
          <w:p w14:paraId="1ACB78A7" w14:textId="77777777" w:rsidR="00F97500" w:rsidRPr="00F97500" w:rsidRDefault="00F97500" w:rsidP="00F97500">
            <w:pPr>
              <w:jc w:val="right"/>
              <w:rPr>
                <w:rFonts w:ascii="CAIXA Std Book" w:eastAsia="Times New Roman" w:hAnsi="CAIXA Std Book" w:cs="Calibri"/>
                <w:b/>
                <w:bCs/>
                <w:color w:val="005CA9"/>
                <w:sz w:val="18"/>
                <w:szCs w:val="18"/>
              </w:rPr>
            </w:pPr>
            <w:r w:rsidRPr="00F97500">
              <w:rPr>
                <w:rFonts w:ascii="CAIXA Std Book" w:eastAsia="Times New Roman" w:hAnsi="CAIXA Std Book" w:cs="Calibri"/>
                <w:b/>
                <w:bCs/>
                <w:color w:val="005CA9"/>
                <w:sz w:val="18"/>
                <w:szCs w:val="18"/>
              </w:rPr>
              <w:t>343.682</w:t>
            </w:r>
          </w:p>
        </w:tc>
        <w:tc>
          <w:tcPr>
            <w:tcW w:w="668" w:type="pct"/>
            <w:tcBorders>
              <w:bottom w:val="single" w:sz="4" w:space="0" w:color="1F497D" w:themeColor="text2"/>
            </w:tcBorders>
            <w:shd w:val="clear" w:color="000000" w:fill="D0E0E3"/>
            <w:noWrap/>
            <w:vAlign w:val="center"/>
            <w:hideMark/>
          </w:tcPr>
          <w:p w14:paraId="0AE05E96" w14:textId="77777777" w:rsidR="00F97500" w:rsidRPr="00F97500" w:rsidRDefault="00F97500" w:rsidP="00F97500">
            <w:pPr>
              <w:jc w:val="right"/>
              <w:rPr>
                <w:rFonts w:ascii="CAIXA Std Book" w:eastAsia="Times New Roman" w:hAnsi="CAIXA Std Book" w:cs="Calibri"/>
                <w:b/>
                <w:bCs/>
                <w:color w:val="005CA9"/>
                <w:sz w:val="18"/>
                <w:szCs w:val="18"/>
              </w:rPr>
            </w:pPr>
            <w:r w:rsidRPr="00F97500">
              <w:rPr>
                <w:rFonts w:ascii="CAIXA Std Book" w:eastAsia="Times New Roman" w:hAnsi="CAIXA Std Book" w:cs="Calibri"/>
                <w:b/>
                <w:bCs/>
                <w:color w:val="005CA9"/>
                <w:sz w:val="18"/>
                <w:szCs w:val="18"/>
              </w:rPr>
              <w:t>4.787.078</w:t>
            </w:r>
          </w:p>
        </w:tc>
        <w:tc>
          <w:tcPr>
            <w:tcW w:w="379" w:type="pct"/>
            <w:tcBorders>
              <w:bottom w:val="single" w:sz="4" w:space="0" w:color="1F497D" w:themeColor="text2"/>
            </w:tcBorders>
            <w:shd w:val="clear" w:color="000000" w:fill="D0E0E3"/>
            <w:noWrap/>
            <w:vAlign w:val="center"/>
            <w:hideMark/>
          </w:tcPr>
          <w:p w14:paraId="5C9951A5" w14:textId="3735A952" w:rsidR="00F97500" w:rsidRPr="00F97500" w:rsidRDefault="00F97500" w:rsidP="00996717">
            <w:pPr>
              <w:jc w:val="right"/>
              <w:rPr>
                <w:rFonts w:ascii="CAIXA Std Book" w:eastAsia="Times New Roman" w:hAnsi="CAIXA Std Book" w:cs="Calibri"/>
                <w:b/>
                <w:bCs/>
                <w:color w:val="005CA9"/>
                <w:sz w:val="18"/>
                <w:szCs w:val="18"/>
              </w:rPr>
            </w:pPr>
          </w:p>
        </w:tc>
      </w:tr>
    </w:tbl>
    <w:p w14:paraId="460F9651" w14:textId="77777777" w:rsidR="006A47B5" w:rsidRDefault="006A47B5" w:rsidP="00DF00DB">
      <w:pPr>
        <w:spacing w:before="120" w:after="120"/>
        <w:jc w:val="both"/>
        <w:rPr>
          <w:rFonts w:ascii="CAIXA Std Book" w:hAnsi="CAIXA Std Book"/>
          <w:color w:val="005CA9"/>
          <w:sz w:val="20"/>
          <w:szCs w:val="20"/>
        </w:rPr>
        <w:sectPr w:rsidR="006A47B5" w:rsidSect="009755B3">
          <w:headerReference w:type="default" r:id="rId33"/>
          <w:footerReference w:type="default" r:id="rId34"/>
          <w:pgSz w:w="16840" w:h="11907" w:orient="landscape" w:code="9"/>
          <w:pgMar w:top="1985" w:right="851" w:bottom="1418" w:left="1418" w:header="1134" w:footer="709" w:gutter="0"/>
          <w:cols w:space="708"/>
          <w:docGrid w:linePitch="360"/>
        </w:sectPr>
      </w:pPr>
    </w:p>
    <w:p w14:paraId="39053F6D" w14:textId="40BBD689" w:rsidR="00512ED4" w:rsidRPr="00E95E29" w:rsidRDefault="00512ED4" w:rsidP="00B735D2">
      <w:pPr>
        <w:pStyle w:val="Ttulo1"/>
      </w:pPr>
      <w:bookmarkStart w:id="69" w:name="_Toc229588466"/>
      <w:r w:rsidRPr="00E95E29">
        <w:t xml:space="preserve">Nota   4 - Julgamentos e </w:t>
      </w:r>
      <w:r>
        <w:t>e</w:t>
      </w:r>
      <w:r w:rsidRPr="00E95E29">
        <w:t>stimativas</w:t>
      </w:r>
      <w:r>
        <w:t xml:space="preserve"> relevantes</w:t>
      </w:r>
      <w:bookmarkEnd w:id="66"/>
      <w:bookmarkEnd w:id="67"/>
      <w:bookmarkEnd w:id="69"/>
    </w:p>
    <w:bookmarkEnd w:id="68"/>
    <w:p w14:paraId="195F16B6" w14:textId="4B0B6B50" w:rsidR="00512ED4" w:rsidRDefault="00512ED4" w:rsidP="00512ED4">
      <w:pPr>
        <w:spacing w:before="120" w:after="120"/>
        <w:jc w:val="both"/>
        <w:rPr>
          <w:rFonts w:ascii="CAIXA Std Book" w:hAnsi="CAIXA Std Book"/>
          <w:color w:val="005CA9"/>
          <w:sz w:val="20"/>
          <w:szCs w:val="20"/>
        </w:rPr>
      </w:pPr>
      <w:r w:rsidRPr="00B04D8D">
        <w:rPr>
          <w:rFonts w:ascii="CAIXA Std Book" w:hAnsi="CAIXA Std Book"/>
          <w:color w:val="005CA9"/>
          <w:sz w:val="20"/>
          <w:szCs w:val="20"/>
        </w:rPr>
        <w:t xml:space="preserve">A CAIXA apresenta estimativas e julgamentos em conformidade com as </w:t>
      </w:r>
      <w:r w:rsidR="00B31B6E">
        <w:rPr>
          <w:rFonts w:ascii="CAIXA Std Book" w:hAnsi="CAIXA Std Book"/>
          <w:color w:val="005CA9"/>
          <w:sz w:val="20"/>
          <w:szCs w:val="20"/>
        </w:rPr>
        <w:t>p</w:t>
      </w:r>
      <w:r w:rsidRPr="00B04D8D">
        <w:rPr>
          <w:rFonts w:ascii="CAIXA Std Book" w:hAnsi="CAIXA Std Book"/>
          <w:color w:val="005CA9"/>
          <w:sz w:val="20"/>
          <w:szCs w:val="20"/>
        </w:rPr>
        <w:t xml:space="preserve">olíticas </w:t>
      </w:r>
      <w:r w:rsidR="00B31B6E">
        <w:rPr>
          <w:rFonts w:ascii="CAIXA Std Book" w:hAnsi="CAIXA Std Book"/>
          <w:color w:val="005CA9"/>
          <w:sz w:val="20"/>
          <w:szCs w:val="20"/>
        </w:rPr>
        <w:t>c</w:t>
      </w:r>
      <w:r w:rsidRPr="00B04D8D">
        <w:rPr>
          <w:rFonts w:ascii="CAIXA Std Book" w:hAnsi="CAIXA Std Book"/>
          <w:color w:val="005CA9"/>
          <w:sz w:val="20"/>
          <w:szCs w:val="20"/>
        </w:rPr>
        <w:t xml:space="preserve">ontábeis adotadas, os quais refletem a complexidade e a subjetividade envolvidas na elaboração </w:t>
      </w:r>
      <w:r w:rsidR="00BB296E">
        <w:rPr>
          <w:rFonts w:ascii="CAIXA Std Book" w:hAnsi="CAIXA Std Book"/>
          <w:color w:val="005CA9"/>
          <w:sz w:val="20"/>
          <w:szCs w:val="20"/>
        </w:rPr>
        <w:t>de seus demonstrativos e</w:t>
      </w:r>
      <w:r w:rsidRPr="00B04D8D">
        <w:rPr>
          <w:rFonts w:ascii="CAIXA Std Book" w:hAnsi="CAIXA Std Book"/>
          <w:color w:val="005CA9"/>
          <w:sz w:val="20"/>
          <w:szCs w:val="20"/>
        </w:rPr>
        <w:t xml:space="preserve"> notas explicativas, sendo que as premissas são determinadas conforme o padrão contábil aplicável. </w:t>
      </w:r>
    </w:p>
    <w:p w14:paraId="536C6A11" w14:textId="6CA48781" w:rsidR="00AF10B5" w:rsidRPr="00003CD0" w:rsidRDefault="000D3938" w:rsidP="00AF10B5">
      <w:pPr>
        <w:spacing w:before="120" w:after="120"/>
        <w:jc w:val="both"/>
        <w:rPr>
          <w:rFonts w:ascii="CAIXA Std Book" w:hAnsi="CAIXA Std Book"/>
          <w:color w:val="005CA9"/>
          <w:sz w:val="20"/>
          <w:szCs w:val="20"/>
        </w:rPr>
      </w:pPr>
      <w:r w:rsidRPr="000D3938">
        <w:rPr>
          <w:rFonts w:ascii="CAIXA Std Book" w:hAnsi="CAIXA Std Book"/>
          <w:color w:val="005CA9"/>
          <w:sz w:val="20"/>
          <w:szCs w:val="20"/>
        </w:rPr>
        <w:t>Os julgamentos e estimativas relevantes</w:t>
      </w:r>
      <w:r w:rsidR="00AF10B5" w:rsidRPr="00003CD0">
        <w:rPr>
          <w:rFonts w:ascii="CAIXA Std Book" w:hAnsi="CAIXA Std Book"/>
          <w:color w:val="005CA9"/>
          <w:sz w:val="20"/>
          <w:szCs w:val="20"/>
        </w:rPr>
        <w:t xml:space="preserve"> estão </w:t>
      </w:r>
      <w:r w:rsidRPr="000D3938">
        <w:rPr>
          <w:rFonts w:ascii="CAIXA Std Book" w:hAnsi="CAIXA Std Book"/>
          <w:color w:val="005CA9"/>
          <w:sz w:val="20"/>
          <w:szCs w:val="20"/>
        </w:rPr>
        <w:t>descritas</w:t>
      </w:r>
      <w:r w:rsidR="00AF10B5" w:rsidRPr="00003CD0">
        <w:rPr>
          <w:rFonts w:ascii="CAIXA Std Book" w:hAnsi="CAIXA Std Book"/>
          <w:color w:val="005CA9"/>
          <w:sz w:val="20"/>
          <w:szCs w:val="20"/>
        </w:rPr>
        <w:t xml:space="preserve"> na nota explicativa </w:t>
      </w:r>
      <w:r w:rsidR="00AF10B5">
        <w:rPr>
          <w:rFonts w:ascii="CAIXA Std Book" w:hAnsi="CAIXA Std Book"/>
          <w:color w:val="005CA9"/>
          <w:sz w:val="20"/>
          <w:szCs w:val="20"/>
        </w:rPr>
        <w:t xml:space="preserve">de </w:t>
      </w:r>
      <w:r w:rsidR="00A267F5">
        <w:rPr>
          <w:rFonts w:ascii="CAIXA Std Book" w:hAnsi="CAIXA Std Book"/>
          <w:color w:val="005CA9"/>
          <w:sz w:val="20"/>
          <w:szCs w:val="20"/>
        </w:rPr>
        <w:t>j</w:t>
      </w:r>
      <w:r w:rsidRPr="000D3938">
        <w:rPr>
          <w:rFonts w:ascii="CAIXA Std Book" w:hAnsi="CAIXA Std Book"/>
          <w:color w:val="005CA9"/>
          <w:sz w:val="20"/>
          <w:szCs w:val="20"/>
        </w:rPr>
        <w:t>ulgamentos e estimativas relevantes</w:t>
      </w:r>
      <w:r w:rsidR="00AF10B5" w:rsidRPr="008B1355">
        <w:rPr>
          <w:rFonts w:ascii="CAIXA Std Book" w:hAnsi="CAIXA Std Book"/>
        </w:rPr>
        <w:t xml:space="preserve"> </w:t>
      </w:r>
      <w:r w:rsidR="00AF10B5" w:rsidRPr="00003CD0">
        <w:rPr>
          <w:rFonts w:ascii="CAIXA Std Book" w:hAnsi="CAIXA Std Book"/>
          <w:color w:val="005CA9"/>
          <w:sz w:val="20"/>
          <w:szCs w:val="20"/>
        </w:rPr>
        <w:t>das Demonstrações contábeis individuais e consolidadas divulgadas em 3</w:t>
      </w:r>
      <w:r w:rsidR="00AF10B5">
        <w:rPr>
          <w:rFonts w:ascii="CAIXA Std Book" w:hAnsi="CAIXA Std Book"/>
          <w:color w:val="005CA9"/>
          <w:sz w:val="20"/>
          <w:szCs w:val="20"/>
        </w:rPr>
        <w:t>1</w:t>
      </w:r>
      <w:r w:rsidR="00AF10B5" w:rsidRPr="00003CD0">
        <w:rPr>
          <w:rFonts w:ascii="CAIXA Std Book" w:hAnsi="CAIXA Std Book"/>
          <w:color w:val="005CA9"/>
          <w:sz w:val="20"/>
          <w:szCs w:val="20"/>
        </w:rPr>
        <w:t xml:space="preserve"> de </w:t>
      </w:r>
      <w:r w:rsidR="00AF10B5">
        <w:rPr>
          <w:rFonts w:ascii="CAIXA Std Book" w:hAnsi="CAIXA Std Book"/>
          <w:color w:val="005CA9"/>
          <w:sz w:val="20"/>
          <w:szCs w:val="20"/>
        </w:rPr>
        <w:t>dezembro</w:t>
      </w:r>
      <w:r w:rsidR="00AF10B5" w:rsidRPr="00003CD0">
        <w:rPr>
          <w:rFonts w:ascii="CAIXA Std Book" w:hAnsi="CAIXA Std Book"/>
          <w:color w:val="005CA9"/>
          <w:sz w:val="20"/>
          <w:szCs w:val="20"/>
        </w:rPr>
        <w:t xml:space="preserve"> de 202</w:t>
      </w:r>
      <w:r w:rsidR="00AF10B5">
        <w:rPr>
          <w:rFonts w:ascii="CAIXA Std Book" w:hAnsi="CAIXA Std Book"/>
          <w:color w:val="005CA9"/>
          <w:sz w:val="20"/>
          <w:szCs w:val="20"/>
        </w:rPr>
        <w:t>5</w:t>
      </w:r>
      <w:r w:rsidR="00AF10B5" w:rsidRPr="00003CD0">
        <w:rPr>
          <w:rFonts w:ascii="CAIXA Std Book" w:hAnsi="CAIXA Std Book"/>
          <w:color w:val="005CA9"/>
          <w:sz w:val="20"/>
          <w:szCs w:val="20"/>
        </w:rPr>
        <w:t xml:space="preserve"> disponíveis no sítio: </w:t>
      </w:r>
      <w:hyperlink r:id="rId35" w:history="1">
        <w:r w:rsidR="00AF10B5" w:rsidRPr="00DF00DB">
          <w:rPr>
            <w:rFonts w:ascii="CAIXA Std Book" w:hAnsi="CAIXA Std Book"/>
            <w:color w:val="005CA9"/>
            <w:sz w:val="20"/>
            <w:szCs w:val="20"/>
          </w:rPr>
          <w:t>https://ri.caixa.gov.br/informacoes-financeiras/central-de-resultados/</w:t>
        </w:r>
      </w:hyperlink>
      <w:r w:rsidR="00AF10B5" w:rsidRPr="00003CD0">
        <w:rPr>
          <w:rFonts w:ascii="CAIXA Std Book" w:hAnsi="CAIXA Std Book"/>
          <w:color w:val="005CA9"/>
          <w:sz w:val="20"/>
          <w:szCs w:val="20"/>
        </w:rPr>
        <w:t>.</w:t>
      </w:r>
    </w:p>
    <w:p w14:paraId="7CE510EA" w14:textId="7E973ECA" w:rsidR="00921144" w:rsidRPr="00E95E29" w:rsidRDefault="00921144" w:rsidP="00B735D2">
      <w:pPr>
        <w:pStyle w:val="Ttulo1"/>
      </w:pPr>
      <w:bookmarkStart w:id="70" w:name="_Toc217914317"/>
      <w:bookmarkStart w:id="71" w:name="_Toc229588467"/>
      <w:r w:rsidRPr="00E95E29">
        <w:t xml:space="preserve">Nota   </w:t>
      </w:r>
      <w:r w:rsidR="00A624C6" w:rsidRPr="00E95E29">
        <w:t>5</w:t>
      </w:r>
      <w:r w:rsidRPr="00E95E29">
        <w:t xml:space="preserve"> – </w:t>
      </w:r>
      <w:r w:rsidR="008D5C52">
        <w:t>Caixa</w:t>
      </w:r>
      <w:r w:rsidR="002A20C2">
        <w:t xml:space="preserve"> e equivalente de caixa</w:t>
      </w:r>
      <w:bookmarkEnd w:id="70"/>
      <w:bookmarkEnd w:id="71"/>
    </w:p>
    <w:p w14:paraId="5E1AEC9F" w14:textId="530E3CDF" w:rsidR="0012240B" w:rsidRPr="00B04D8D" w:rsidRDefault="00895648" w:rsidP="00196430">
      <w:pPr>
        <w:spacing w:before="120" w:after="120"/>
        <w:jc w:val="both"/>
        <w:rPr>
          <w:rFonts w:ascii="CAIXA Std Book" w:hAnsi="CAIXA Std Book"/>
          <w:color w:val="005CA9"/>
          <w:sz w:val="20"/>
          <w:szCs w:val="20"/>
        </w:rPr>
      </w:pPr>
      <w:r w:rsidRPr="00B04D8D">
        <w:rPr>
          <w:rFonts w:ascii="CAIXA Std Book" w:hAnsi="CAIXA Std Book"/>
          <w:color w:val="005CA9"/>
          <w:sz w:val="20"/>
          <w:szCs w:val="20"/>
        </w:rPr>
        <w:t>Os valores reconhecidos como caixa e equivalentes de caixa são representados por disponibilidades em moeda nacional, moeda estrangeira e aplicações interfinanceiras de liquidez adquiridas com prazo de vencimento igual ou inferior a 90 dias e com risco insignificante de mudança no valor.</w:t>
      </w:r>
    </w:p>
    <w:p w14:paraId="518244C8" w14:textId="250A238D" w:rsidR="00784F6F" w:rsidRPr="00C82FA7" w:rsidRDefault="00C34DC1" w:rsidP="00704573">
      <w:pPr>
        <w:jc w:val="both"/>
        <w:rPr>
          <w:rFonts w:ascii="CAIXA Std Book" w:hAnsi="CAIXA Std Book"/>
          <w:color w:val="005CA9"/>
          <w:sz w:val="20"/>
          <w:szCs w:val="20"/>
        </w:rPr>
      </w:pPr>
      <w:r>
        <w:rPr>
          <w:rFonts w:ascii="CAIXA Std Book" w:hAnsi="CAIXA Std Book"/>
          <w:color w:val="005CA9"/>
          <w:sz w:val="20"/>
          <w:szCs w:val="20"/>
        </w:rPr>
        <w:t xml:space="preserve">Os itens de caixa e equivalentes de caixa são coincidentes na demonstração individual e consolidada, com exceção do item “Disponibilidade em moeda nacional” que em </w:t>
      </w:r>
      <w:r w:rsidRPr="002E03FF">
        <w:rPr>
          <w:rFonts w:ascii="CAIXA Std Book" w:hAnsi="CAIXA Std Book"/>
          <w:color w:val="005CA9"/>
          <w:sz w:val="20"/>
          <w:szCs w:val="20"/>
        </w:rPr>
        <w:t>31/03/202</w:t>
      </w:r>
      <w:r>
        <w:rPr>
          <w:rFonts w:ascii="CAIXA Std Book" w:hAnsi="CAIXA Std Book"/>
          <w:color w:val="005CA9"/>
          <w:sz w:val="20"/>
          <w:szCs w:val="20"/>
        </w:rPr>
        <w:t>6</w:t>
      </w:r>
      <w:r w:rsidRPr="002E03FF">
        <w:rPr>
          <w:rFonts w:ascii="CAIXA Std Book" w:hAnsi="CAIXA Std Book"/>
          <w:color w:val="005CA9"/>
          <w:sz w:val="20"/>
          <w:szCs w:val="20"/>
        </w:rPr>
        <w:t xml:space="preserve"> apresenta na demonstração consolidada o montante de R$</w:t>
      </w:r>
      <w:r w:rsidR="007B4FE0">
        <w:rPr>
          <w:rFonts w:ascii="CAIXA Std Book" w:hAnsi="CAIXA Std Book"/>
          <w:color w:val="005CA9"/>
          <w:sz w:val="20"/>
          <w:szCs w:val="20"/>
        </w:rPr>
        <w:t xml:space="preserve"> </w:t>
      </w:r>
      <w:r w:rsidR="007B4FE0" w:rsidRPr="007B4FE0">
        <w:rPr>
          <w:rFonts w:ascii="CAIXA Std Book" w:hAnsi="CAIXA Std Book"/>
          <w:color w:val="005CA9"/>
          <w:sz w:val="20"/>
          <w:szCs w:val="20"/>
        </w:rPr>
        <w:t>8.923.099</w:t>
      </w:r>
      <w:r w:rsidR="007B4FE0">
        <w:rPr>
          <w:rFonts w:ascii="CAIXA Std Book" w:hAnsi="CAIXA Std Book"/>
          <w:color w:val="005CA9"/>
          <w:sz w:val="20"/>
          <w:szCs w:val="20"/>
        </w:rPr>
        <w:t xml:space="preserve"> (</w:t>
      </w:r>
      <w:r w:rsidR="00962481">
        <w:rPr>
          <w:rFonts w:ascii="CAIXA Std Book" w:hAnsi="CAIXA Std Book"/>
          <w:color w:val="005CA9"/>
          <w:sz w:val="20"/>
          <w:szCs w:val="20"/>
        </w:rPr>
        <w:t xml:space="preserve">31/12/2025 - </w:t>
      </w:r>
      <w:r w:rsidR="00013445" w:rsidRPr="00704573">
        <w:rPr>
          <w:rFonts w:ascii="CAIXA Std Book" w:hAnsi="CAIXA Std Book"/>
          <w:color w:val="005CA9"/>
          <w:sz w:val="20"/>
          <w:szCs w:val="20"/>
        </w:rPr>
        <w:t>R$</w:t>
      </w:r>
      <w:r w:rsidR="00013445" w:rsidRPr="001E513E">
        <w:rPr>
          <w:rFonts w:ascii="CAIXA Std Book" w:hAnsi="CAIXA Std Book"/>
          <w:color w:val="005CA9"/>
          <w:sz w:val="20"/>
          <w:szCs w:val="20"/>
        </w:rPr>
        <w:t xml:space="preserve"> </w:t>
      </w:r>
      <w:r w:rsidR="001E513E" w:rsidRPr="001E513E">
        <w:rPr>
          <w:rFonts w:ascii="CAIXA Std Book" w:hAnsi="CAIXA Std Book"/>
          <w:color w:val="005CA9"/>
          <w:sz w:val="20"/>
          <w:szCs w:val="20"/>
        </w:rPr>
        <w:t>9</w:t>
      </w:r>
      <w:r w:rsidR="00BB4C46">
        <w:rPr>
          <w:rFonts w:ascii="CAIXA Std Book" w:hAnsi="CAIXA Std Book"/>
          <w:color w:val="005CA9"/>
          <w:sz w:val="20"/>
          <w:szCs w:val="20"/>
        </w:rPr>
        <w:t>.</w:t>
      </w:r>
      <w:r w:rsidR="001E513E" w:rsidRPr="001E513E">
        <w:rPr>
          <w:rFonts w:ascii="CAIXA Std Book" w:hAnsi="CAIXA Std Book"/>
          <w:color w:val="005CA9"/>
          <w:sz w:val="20"/>
          <w:szCs w:val="20"/>
        </w:rPr>
        <w:t>781</w:t>
      </w:r>
      <w:r w:rsidR="00BB4C46">
        <w:rPr>
          <w:rFonts w:ascii="CAIXA Std Book" w:hAnsi="CAIXA Std Book"/>
          <w:color w:val="005CA9"/>
          <w:sz w:val="20"/>
          <w:szCs w:val="20"/>
        </w:rPr>
        <w:t>.</w:t>
      </w:r>
      <w:r w:rsidR="001E513E" w:rsidRPr="001E513E">
        <w:rPr>
          <w:rFonts w:ascii="CAIXA Std Book" w:hAnsi="CAIXA Std Book"/>
          <w:color w:val="005CA9"/>
          <w:sz w:val="20"/>
          <w:szCs w:val="20"/>
        </w:rPr>
        <w:t>849</w:t>
      </w:r>
      <w:r w:rsidR="00C82FA7" w:rsidRPr="00C82FA7">
        <w:rPr>
          <w:rFonts w:ascii="CAIXA Std Book" w:hAnsi="CAIXA Std Book"/>
          <w:color w:val="005CA9"/>
          <w:sz w:val="20"/>
          <w:szCs w:val="20"/>
        </w:rPr>
        <w:t>).</w:t>
      </w:r>
    </w:p>
    <w:p w14:paraId="16FC1D3E" w14:textId="77777777" w:rsidR="00704573" w:rsidRPr="00B04D8D" w:rsidRDefault="00704573" w:rsidP="00704573">
      <w:pPr>
        <w:jc w:val="both"/>
        <w:rPr>
          <w:rFonts w:ascii="CAIXA Std Book" w:hAnsi="CAIXA Std Book"/>
          <w:color w:val="005CA9"/>
          <w:sz w:val="20"/>
          <w:szCs w:val="20"/>
        </w:rPr>
      </w:pPr>
    </w:p>
    <w:tbl>
      <w:tblPr>
        <w:tblW w:w="5000" w:type="pct"/>
        <w:tblCellMar>
          <w:left w:w="70" w:type="dxa"/>
          <w:right w:w="70" w:type="dxa"/>
        </w:tblCellMar>
        <w:tblLook w:val="04A0" w:firstRow="1" w:lastRow="0" w:firstColumn="1" w:lastColumn="0" w:noHBand="0" w:noVBand="1"/>
      </w:tblPr>
      <w:tblGrid>
        <w:gridCol w:w="6129"/>
        <w:gridCol w:w="1714"/>
        <w:gridCol w:w="1795"/>
      </w:tblGrid>
      <w:tr w:rsidR="004764C0" w:rsidRPr="004764C0" w14:paraId="597A1A43" w14:textId="77777777" w:rsidTr="009E220E">
        <w:trPr>
          <w:trHeight w:val="283"/>
        </w:trPr>
        <w:tc>
          <w:tcPr>
            <w:tcW w:w="5000" w:type="pct"/>
            <w:gridSpan w:val="3"/>
            <w:tcBorders>
              <w:top w:val="single" w:sz="4" w:space="0" w:color="FFFFFF"/>
              <w:left w:val="nil"/>
              <w:bottom w:val="single" w:sz="4" w:space="0" w:color="FFFFFF"/>
              <w:right w:val="nil"/>
            </w:tcBorders>
            <w:shd w:val="clear" w:color="000000" w:fill="005CA9"/>
            <w:noWrap/>
            <w:vAlign w:val="center"/>
            <w:hideMark/>
          </w:tcPr>
          <w:p w14:paraId="3A0B2AEA" w14:textId="77777777" w:rsidR="004764C0" w:rsidRPr="004764C0" w:rsidRDefault="004764C0" w:rsidP="004764C0">
            <w:pPr>
              <w:jc w:val="center"/>
              <w:rPr>
                <w:rFonts w:ascii="CAIXA Std Book" w:eastAsia="Times New Roman" w:hAnsi="CAIXA Std Book" w:cs="Calibri"/>
                <w:b/>
                <w:bCs/>
                <w:color w:val="FFFFFF"/>
                <w:sz w:val="18"/>
                <w:szCs w:val="18"/>
              </w:rPr>
            </w:pPr>
            <w:r w:rsidRPr="004764C0">
              <w:rPr>
                <w:rFonts w:ascii="CAIXA Std Book" w:eastAsia="Times New Roman" w:hAnsi="CAIXA Std Book" w:cs="Calibri"/>
                <w:b/>
                <w:bCs/>
                <w:color w:val="FFFFFF"/>
                <w:sz w:val="18"/>
                <w:szCs w:val="18"/>
              </w:rPr>
              <w:t>Individual</w:t>
            </w:r>
          </w:p>
        </w:tc>
      </w:tr>
      <w:tr w:rsidR="004764C0" w:rsidRPr="004764C0" w14:paraId="48ED9759" w14:textId="77777777" w:rsidTr="009E220E">
        <w:trPr>
          <w:trHeight w:val="283"/>
        </w:trPr>
        <w:tc>
          <w:tcPr>
            <w:tcW w:w="3180" w:type="pct"/>
            <w:tcBorders>
              <w:top w:val="nil"/>
              <w:left w:val="nil"/>
              <w:bottom w:val="single" w:sz="4" w:space="0" w:color="FFFFFF"/>
              <w:right w:val="nil"/>
            </w:tcBorders>
            <w:shd w:val="clear" w:color="000000" w:fill="005CA9"/>
            <w:vAlign w:val="center"/>
            <w:hideMark/>
          </w:tcPr>
          <w:p w14:paraId="3C4E7294" w14:textId="77777777" w:rsidR="004764C0" w:rsidRPr="004764C0" w:rsidRDefault="004764C0" w:rsidP="0096719C">
            <w:pPr>
              <w:jc w:val="center"/>
              <w:rPr>
                <w:rFonts w:ascii="CAIXA Std Book" w:eastAsia="Times New Roman" w:hAnsi="CAIXA Std Book" w:cs="Calibri"/>
                <w:b/>
                <w:bCs/>
                <w:color w:val="FFFFFF"/>
                <w:sz w:val="18"/>
                <w:szCs w:val="18"/>
              </w:rPr>
            </w:pPr>
            <w:r w:rsidRPr="004764C0">
              <w:rPr>
                <w:rFonts w:ascii="CAIXA Std Book" w:eastAsia="Times New Roman" w:hAnsi="CAIXA Std Book" w:cs="Calibri"/>
                <w:b/>
                <w:bCs/>
                <w:color w:val="FFFFFF"/>
                <w:sz w:val="18"/>
                <w:szCs w:val="18"/>
              </w:rPr>
              <w:t>Descrição</w:t>
            </w:r>
          </w:p>
        </w:tc>
        <w:tc>
          <w:tcPr>
            <w:tcW w:w="889" w:type="pct"/>
            <w:tcBorders>
              <w:top w:val="nil"/>
              <w:left w:val="nil"/>
              <w:bottom w:val="single" w:sz="4" w:space="0" w:color="FFFFFF"/>
              <w:right w:val="nil"/>
            </w:tcBorders>
            <w:shd w:val="clear" w:color="000000" w:fill="005CA9"/>
            <w:noWrap/>
            <w:vAlign w:val="center"/>
            <w:hideMark/>
          </w:tcPr>
          <w:p w14:paraId="288E635F" w14:textId="77777777" w:rsidR="004764C0" w:rsidRPr="004764C0" w:rsidRDefault="004764C0" w:rsidP="0096719C">
            <w:pPr>
              <w:jc w:val="center"/>
              <w:rPr>
                <w:rFonts w:ascii="CAIXA Std Book" w:eastAsia="Times New Roman" w:hAnsi="CAIXA Std Book" w:cs="Calibri"/>
                <w:b/>
                <w:color w:val="FFFFFF"/>
                <w:sz w:val="18"/>
                <w:szCs w:val="18"/>
              </w:rPr>
            </w:pPr>
            <w:r w:rsidRPr="004764C0">
              <w:rPr>
                <w:rFonts w:ascii="CAIXA Std Book" w:eastAsia="Times New Roman" w:hAnsi="CAIXA Std Book" w:cs="Calibri"/>
                <w:b/>
                <w:color w:val="FFFFFF"/>
                <w:sz w:val="18"/>
                <w:szCs w:val="18"/>
              </w:rPr>
              <w:t>31/03/2026</w:t>
            </w:r>
          </w:p>
        </w:tc>
        <w:tc>
          <w:tcPr>
            <w:tcW w:w="931" w:type="pct"/>
            <w:tcBorders>
              <w:top w:val="nil"/>
              <w:left w:val="nil"/>
              <w:bottom w:val="single" w:sz="4" w:space="0" w:color="FFFFFF"/>
              <w:right w:val="nil"/>
            </w:tcBorders>
            <w:shd w:val="clear" w:color="000000" w:fill="005CA9"/>
            <w:noWrap/>
            <w:vAlign w:val="center"/>
            <w:hideMark/>
          </w:tcPr>
          <w:p w14:paraId="7986F18D" w14:textId="77777777" w:rsidR="004764C0" w:rsidRPr="004764C0" w:rsidRDefault="004764C0" w:rsidP="0096719C">
            <w:pPr>
              <w:jc w:val="center"/>
              <w:rPr>
                <w:rFonts w:ascii="CAIXA Std Book" w:eastAsia="Times New Roman" w:hAnsi="CAIXA Std Book" w:cs="Calibri"/>
                <w:b/>
                <w:color w:val="FFFFFF"/>
                <w:sz w:val="18"/>
                <w:szCs w:val="18"/>
              </w:rPr>
            </w:pPr>
            <w:r w:rsidRPr="004764C0">
              <w:rPr>
                <w:rFonts w:ascii="CAIXA Std Book" w:eastAsia="Times New Roman" w:hAnsi="CAIXA Std Book" w:cs="Calibri"/>
                <w:b/>
                <w:color w:val="FFFFFF"/>
                <w:sz w:val="18"/>
                <w:szCs w:val="18"/>
              </w:rPr>
              <w:t>31/12/2025</w:t>
            </w:r>
          </w:p>
        </w:tc>
      </w:tr>
      <w:tr w:rsidR="004764C0" w:rsidRPr="004764C0" w14:paraId="1176C33E" w14:textId="77777777" w:rsidTr="009E220E">
        <w:trPr>
          <w:trHeight w:val="283"/>
        </w:trPr>
        <w:tc>
          <w:tcPr>
            <w:tcW w:w="3180" w:type="pct"/>
            <w:tcBorders>
              <w:top w:val="nil"/>
              <w:left w:val="nil"/>
              <w:bottom w:val="nil"/>
              <w:right w:val="nil"/>
            </w:tcBorders>
            <w:shd w:val="clear" w:color="000000" w:fill="D0E0E3"/>
            <w:noWrap/>
            <w:vAlign w:val="center"/>
            <w:hideMark/>
          </w:tcPr>
          <w:p w14:paraId="5DD4052D" w14:textId="3C1F87FA" w:rsidR="004764C0" w:rsidRPr="004764C0" w:rsidRDefault="004764C0" w:rsidP="004764C0">
            <w:pPr>
              <w:rPr>
                <w:rFonts w:ascii="CAIXA Std Book" w:eastAsia="Times New Roman" w:hAnsi="CAIXA Std Book" w:cs="Calibri"/>
                <w:b/>
                <w:bCs/>
                <w:color w:val="005CA9"/>
                <w:sz w:val="18"/>
                <w:szCs w:val="18"/>
              </w:rPr>
            </w:pPr>
            <w:r>
              <w:rPr>
                <w:rFonts w:ascii="CAIXA Std Book" w:hAnsi="CAIXA Std Book" w:cs="Calibri"/>
                <w:b/>
                <w:color w:val="005CA9"/>
                <w:sz w:val="18"/>
                <w:szCs w:val="18"/>
              </w:rPr>
              <w:t>Total de disponibilidades (caixa)</w:t>
            </w:r>
          </w:p>
        </w:tc>
        <w:tc>
          <w:tcPr>
            <w:tcW w:w="889" w:type="pct"/>
            <w:tcBorders>
              <w:top w:val="nil"/>
              <w:left w:val="nil"/>
              <w:bottom w:val="nil"/>
              <w:right w:val="nil"/>
            </w:tcBorders>
            <w:shd w:val="clear" w:color="000000" w:fill="D0E0E3"/>
            <w:noWrap/>
            <w:vAlign w:val="center"/>
            <w:hideMark/>
          </w:tcPr>
          <w:p w14:paraId="29D77301" w14:textId="699427FA" w:rsidR="004764C0" w:rsidRPr="004764C0" w:rsidRDefault="00346E8C" w:rsidP="00346E8C">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9.470.976</w:t>
            </w:r>
          </w:p>
        </w:tc>
        <w:tc>
          <w:tcPr>
            <w:tcW w:w="931" w:type="pct"/>
            <w:tcBorders>
              <w:top w:val="nil"/>
              <w:left w:val="nil"/>
              <w:bottom w:val="nil"/>
              <w:right w:val="nil"/>
            </w:tcBorders>
            <w:shd w:val="clear" w:color="000000" w:fill="D0E0E3"/>
            <w:noWrap/>
            <w:vAlign w:val="center"/>
            <w:hideMark/>
          </w:tcPr>
          <w:p w14:paraId="4963B72B" w14:textId="11DEB5DB" w:rsidR="004764C0" w:rsidRPr="004764C0" w:rsidRDefault="004764C0" w:rsidP="004764C0">
            <w:pPr>
              <w:jc w:val="right"/>
              <w:rPr>
                <w:rFonts w:ascii="CAIXA Std Book" w:eastAsia="Times New Roman" w:hAnsi="CAIXA Std Book" w:cs="Calibri"/>
                <w:b/>
                <w:bCs/>
                <w:color w:val="005CA9"/>
                <w:sz w:val="18"/>
                <w:szCs w:val="18"/>
              </w:rPr>
            </w:pPr>
            <w:r>
              <w:rPr>
                <w:rFonts w:ascii="CAIXA Std Book" w:hAnsi="CAIXA Std Book" w:cs="Calibri"/>
                <w:b/>
                <w:color w:val="005CA9"/>
                <w:sz w:val="18"/>
                <w:szCs w:val="18"/>
              </w:rPr>
              <w:t>10.057.712</w:t>
            </w:r>
          </w:p>
        </w:tc>
      </w:tr>
      <w:tr w:rsidR="004764C0" w:rsidRPr="004764C0" w14:paraId="28E1A22B" w14:textId="77777777" w:rsidTr="009E220E">
        <w:trPr>
          <w:trHeight w:val="283"/>
        </w:trPr>
        <w:tc>
          <w:tcPr>
            <w:tcW w:w="3180" w:type="pct"/>
            <w:tcBorders>
              <w:top w:val="nil"/>
              <w:left w:val="nil"/>
              <w:bottom w:val="nil"/>
              <w:right w:val="nil"/>
            </w:tcBorders>
            <w:noWrap/>
            <w:vAlign w:val="center"/>
            <w:hideMark/>
          </w:tcPr>
          <w:p w14:paraId="142CD41A" w14:textId="3AC71976" w:rsidR="004764C0" w:rsidRPr="004764C0" w:rsidRDefault="004764C0" w:rsidP="004764C0">
            <w:pPr>
              <w:ind w:firstLineChars="100" w:firstLine="180"/>
              <w:rPr>
                <w:rFonts w:ascii="CAIXA Std Book" w:eastAsia="Times New Roman" w:hAnsi="CAIXA Std Book" w:cs="Calibri"/>
                <w:color w:val="005CA9"/>
                <w:sz w:val="18"/>
                <w:szCs w:val="18"/>
              </w:rPr>
            </w:pPr>
            <w:r>
              <w:rPr>
                <w:rFonts w:ascii="CAIXA Std Book" w:hAnsi="CAIXA Std Book" w:cs="Calibri"/>
                <w:color w:val="005CA9"/>
                <w:sz w:val="18"/>
                <w:szCs w:val="18"/>
              </w:rPr>
              <w:t>Disponibilidade em moeda nacional</w:t>
            </w:r>
          </w:p>
        </w:tc>
        <w:tc>
          <w:tcPr>
            <w:tcW w:w="889" w:type="pct"/>
            <w:tcBorders>
              <w:top w:val="nil"/>
              <w:left w:val="nil"/>
              <w:bottom w:val="nil"/>
              <w:right w:val="nil"/>
            </w:tcBorders>
            <w:noWrap/>
            <w:vAlign w:val="center"/>
            <w:hideMark/>
          </w:tcPr>
          <w:p w14:paraId="16D1B43A" w14:textId="03288762" w:rsidR="004764C0" w:rsidRPr="004773EE" w:rsidRDefault="00346E8C" w:rsidP="00346E8C">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8.922.835</w:t>
            </w:r>
          </w:p>
        </w:tc>
        <w:tc>
          <w:tcPr>
            <w:tcW w:w="931" w:type="pct"/>
            <w:tcBorders>
              <w:top w:val="nil"/>
              <w:left w:val="nil"/>
              <w:bottom w:val="nil"/>
              <w:right w:val="nil"/>
            </w:tcBorders>
            <w:noWrap/>
            <w:vAlign w:val="center"/>
            <w:hideMark/>
          </w:tcPr>
          <w:p w14:paraId="05FBD331" w14:textId="223ABD93" w:rsidR="004764C0" w:rsidRPr="004764C0" w:rsidRDefault="004764C0" w:rsidP="004764C0">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9.769.208</w:t>
            </w:r>
          </w:p>
        </w:tc>
      </w:tr>
      <w:tr w:rsidR="004764C0" w:rsidRPr="004764C0" w14:paraId="52A24B12" w14:textId="77777777" w:rsidTr="009E220E">
        <w:trPr>
          <w:trHeight w:val="283"/>
        </w:trPr>
        <w:tc>
          <w:tcPr>
            <w:tcW w:w="3180" w:type="pct"/>
            <w:tcBorders>
              <w:top w:val="nil"/>
              <w:left w:val="nil"/>
              <w:bottom w:val="nil"/>
              <w:right w:val="nil"/>
            </w:tcBorders>
            <w:noWrap/>
            <w:vAlign w:val="center"/>
            <w:hideMark/>
          </w:tcPr>
          <w:p w14:paraId="73171B44" w14:textId="6148A6CD" w:rsidR="004764C0" w:rsidRPr="004764C0" w:rsidRDefault="004764C0" w:rsidP="004764C0">
            <w:pPr>
              <w:ind w:firstLineChars="100" w:firstLine="180"/>
              <w:rPr>
                <w:rFonts w:ascii="CAIXA Std Book" w:eastAsia="Times New Roman" w:hAnsi="CAIXA Std Book" w:cs="Calibri"/>
                <w:color w:val="005CA9"/>
                <w:sz w:val="18"/>
                <w:szCs w:val="18"/>
              </w:rPr>
            </w:pPr>
            <w:r>
              <w:rPr>
                <w:rFonts w:ascii="CAIXA Std Book" w:hAnsi="CAIXA Std Book" w:cs="Calibri"/>
                <w:color w:val="005CA9"/>
                <w:sz w:val="18"/>
                <w:szCs w:val="18"/>
              </w:rPr>
              <w:t>Disponibilidade em moeda estrangeira</w:t>
            </w:r>
          </w:p>
        </w:tc>
        <w:tc>
          <w:tcPr>
            <w:tcW w:w="889" w:type="pct"/>
            <w:tcBorders>
              <w:top w:val="nil"/>
              <w:left w:val="nil"/>
              <w:bottom w:val="nil"/>
              <w:right w:val="nil"/>
            </w:tcBorders>
            <w:noWrap/>
            <w:vAlign w:val="center"/>
            <w:hideMark/>
          </w:tcPr>
          <w:p w14:paraId="587E0320" w14:textId="3B33FBE3" w:rsidR="004764C0" w:rsidRPr="004773EE" w:rsidRDefault="00346E8C" w:rsidP="00346E8C">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548.141</w:t>
            </w:r>
          </w:p>
        </w:tc>
        <w:tc>
          <w:tcPr>
            <w:tcW w:w="931" w:type="pct"/>
            <w:tcBorders>
              <w:top w:val="nil"/>
              <w:left w:val="nil"/>
              <w:bottom w:val="nil"/>
              <w:right w:val="nil"/>
            </w:tcBorders>
            <w:noWrap/>
            <w:vAlign w:val="center"/>
            <w:hideMark/>
          </w:tcPr>
          <w:p w14:paraId="754AD38A" w14:textId="0F12F374" w:rsidR="004764C0" w:rsidRPr="004764C0" w:rsidRDefault="004764C0" w:rsidP="004764C0">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288.504</w:t>
            </w:r>
          </w:p>
        </w:tc>
      </w:tr>
      <w:tr w:rsidR="004764C0" w:rsidRPr="004764C0" w14:paraId="4776F2C3" w14:textId="77777777" w:rsidTr="009E220E">
        <w:trPr>
          <w:trHeight w:val="283"/>
        </w:trPr>
        <w:tc>
          <w:tcPr>
            <w:tcW w:w="3180" w:type="pct"/>
            <w:tcBorders>
              <w:top w:val="nil"/>
              <w:left w:val="nil"/>
              <w:bottom w:val="single" w:sz="4" w:space="0" w:color="FFFFFF"/>
              <w:right w:val="nil"/>
            </w:tcBorders>
            <w:shd w:val="clear" w:color="000000" w:fill="D0E0E3"/>
            <w:noWrap/>
            <w:vAlign w:val="center"/>
            <w:hideMark/>
          </w:tcPr>
          <w:p w14:paraId="3726C7C8" w14:textId="0E2437CE" w:rsidR="004764C0" w:rsidRPr="004764C0" w:rsidRDefault="004764C0" w:rsidP="004764C0">
            <w:pPr>
              <w:rPr>
                <w:rFonts w:ascii="CAIXA Std Book" w:eastAsia="Times New Roman" w:hAnsi="CAIXA Std Book" w:cs="Calibri"/>
                <w:b/>
                <w:bCs/>
                <w:color w:val="005CA9"/>
                <w:sz w:val="18"/>
                <w:szCs w:val="18"/>
              </w:rPr>
            </w:pPr>
            <w:r>
              <w:rPr>
                <w:rFonts w:ascii="CAIXA Std Book" w:hAnsi="CAIXA Std Book" w:cs="Calibri"/>
                <w:b/>
                <w:color w:val="005CA9"/>
                <w:sz w:val="18"/>
                <w:szCs w:val="18"/>
              </w:rPr>
              <w:t>Aplicações interfinanceiras de liquidez</w:t>
            </w:r>
          </w:p>
        </w:tc>
        <w:tc>
          <w:tcPr>
            <w:tcW w:w="889" w:type="pct"/>
            <w:tcBorders>
              <w:top w:val="nil"/>
              <w:left w:val="nil"/>
              <w:bottom w:val="single" w:sz="4" w:space="0" w:color="FFFFFF"/>
              <w:right w:val="nil"/>
            </w:tcBorders>
            <w:shd w:val="clear" w:color="000000" w:fill="D0E0E3"/>
            <w:noWrap/>
            <w:vAlign w:val="center"/>
            <w:hideMark/>
          </w:tcPr>
          <w:p w14:paraId="65CB201E" w14:textId="1E7D8CA4" w:rsidR="004764C0" w:rsidRPr="004764C0" w:rsidRDefault="00346E8C" w:rsidP="00346E8C">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269.531.070</w:t>
            </w:r>
          </w:p>
        </w:tc>
        <w:tc>
          <w:tcPr>
            <w:tcW w:w="931" w:type="pct"/>
            <w:tcBorders>
              <w:top w:val="nil"/>
              <w:left w:val="nil"/>
              <w:bottom w:val="single" w:sz="4" w:space="0" w:color="FFFFFF"/>
              <w:right w:val="nil"/>
            </w:tcBorders>
            <w:shd w:val="clear" w:color="000000" w:fill="D0E0E3"/>
            <w:noWrap/>
            <w:vAlign w:val="center"/>
            <w:hideMark/>
          </w:tcPr>
          <w:p w14:paraId="3C9BFE48" w14:textId="15F2D7AC" w:rsidR="004764C0" w:rsidRPr="004764C0" w:rsidRDefault="004764C0" w:rsidP="004764C0">
            <w:pPr>
              <w:jc w:val="right"/>
              <w:rPr>
                <w:rFonts w:ascii="CAIXA Std Book" w:eastAsia="Times New Roman" w:hAnsi="CAIXA Std Book" w:cs="Calibri"/>
                <w:b/>
                <w:bCs/>
                <w:color w:val="005CA9"/>
                <w:sz w:val="18"/>
                <w:szCs w:val="18"/>
              </w:rPr>
            </w:pPr>
            <w:r>
              <w:rPr>
                <w:rFonts w:ascii="CAIXA Std Book" w:hAnsi="CAIXA Std Book" w:cs="Calibri"/>
                <w:b/>
                <w:color w:val="005CA9"/>
                <w:sz w:val="18"/>
                <w:szCs w:val="18"/>
              </w:rPr>
              <w:t>140.138.719</w:t>
            </w:r>
          </w:p>
        </w:tc>
      </w:tr>
      <w:tr w:rsidR="004764C0" w:rsidRPr="004764C0" w14:paraId="7F715F0D" w14:textId="77777777" w:rsidTr="009E220E">
        <w:trPr>
          <w:trHeight w:val="283"/>
        </w:trPr>
        <w:tc>
          <w:tcPr>
            <w:tcW w:w="3180" w:type="pct"/>
            <w:tcBorders>
              <w:top w:val="nil"/>
              <w:left w:val="nil"/>
              <w:bottom w:val="nil"/>
              <w:right w:val="nil"/>
            </w:tcBorders>
            <w:shd w:val="clear" w:color="000000" w:fill="D0E0E3"/>
            <w:noWrap/>
            <w:vAlign w:val="center"/>
            <w:hideMark/>
          </w:tcPr>
          <w:p w14:paraId="394BFE2E" w14:textId="1F084AB1" w:rsidR="004764C0" w:rsidRPr="004764C0" w:rsidRDefault="004764C0" w:rsidP="004764C0">
            <w:pPr>
              <w:rPr>
                <w:rFonts w:ascii="CAIXA Std Book" w:eastAsia="Times New Roman" w:hAnsi="CAIXA Std Book" w:cs="Calibri"/>
                <w:b/>
                <w:bCs/>
                <w:color w:val="005CA9"/>
                <w:sz w:val="18"/>
                <w:szCs w:val="18"/>
              </w:rPr>
            </w:pPr>
            <w:r>
              <w:rPr>
                <w:rFonts w:ascii="CAIXA Std Book" w:hAnsi="CAIXA Std Book" w:cs="Calibri"/>
                <w:b/>
                <w:color w:val="005CA9"/>
                <w:sz w:val="18"/>
                <w:szCs w:val="18"/>
              </w:rPr>
              <w:t>Depósitos voluntários – Banco Central (Nota 8.1)</w:t>
            </w:r>
          </w:p>
        </w:tc>
        <w:tc>
          <w:tcPr>
            <w:tcW w:w="889" w:type="pct"/>
            <w:tcBorders>
              <w:top w:val="nil"/>
              <w:left w:val="nil"/>
              <w:bottom w:val="nil"/>
              <w:right w:val="nil"/>
            </w:tcBorders>
            <w:shd w:val="clear" w:color="000000" w:fill="D0E0E3"/>
            <w:noWrap/>
            <w:vAlign w:val="center"/>
            <w:hideMark/>
          </w:tcPr>
          <w:p w14:paraId="3362EE4C" w14:textId="1C262DE9" w:rsidR="004764C0" w:rsidRPr="004764C0" w:rsidRDefault="00346E8C" w:rsidP="00346E8C">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12.399.998</w:t>
            </w:r>
          </w:p>
        </w:tc>
        <w:tc>
          <w:tcPr>
            <w:tcW w:w="931" w:type="pct"/>
            <w:tcBorders>
              <w:top w:val="nil"/>
              <w:left w:val="nil"/>
              <w:bottom w:val="nil"/>
              <w:right w:val="nil"/>
            </w:tcBorders>
            <w:shd w:val="clear" w:color="000000" w:fill="D0E0E3"/>
            <w:noWrap/>
            <w:vAlign w:val="center"/>
            <w:hideMark/>
          </w:tcPr>
          <w:p w14:paraId="755CAD4D" w14:textId="6D4B60A8" w:rsidR="004764C0" w:rsidRPr="004764C0" w:rsidRDefault="004764C0" w:rsidP="004764C0">
            <w:pPr>
              <w:jc w:val="right"/>
              <w:rPr>
                <w:rFonts w:ascii="CAIXA Std Book" w:eastAsia="Times New Roman" w:hAnsi="CAIXA Std Book" w:cs="Calibri"/>
                <w:b/>
                <w:bCs/>
                <w:color w:val="005CA9"/>
                <w:sz w:val="18"/>
                <w:szCs w:val="18"/>
              </w:rPr>
            </w:pPr>
            <w:r>
              <w:rPr>
                <w:rFonts w:ascii="CAIXA Std Book" w:hAnsi="CAIXA Std Book" w:cs="Calibri"/>
                <w:b/>
                <w:color w:val="005CA9"/>
                <w:sz w:val="18"/>
                <w:szCs w:val="18"/>
              </w:rPr>
              <w:t>5.749.999</w:t>
            </w:r>
          </w:p>
        </w:tc>
      </w:tr>
      <w:tr w:rsidR="004764C0" w:rsidRPr="004764C0" w14:paraId="00A58609" w14:textId="77777777" w:rsidTr="009E220E">
        <w:trPr>
          <w:trHeight w:val="283"/>
        </w:trPr>
        <w:tc>
          <w:tcPr>
            <w:tcW w:w="3180" w:type="pct"/>
            <w:tcBorders>
              <w:top w:val="nil"/>
              <w:left w:val="nil"/>
              <w:bottom w:val="nil"/>
              <w:right w:val="nil"/>
            </w:tcBorders>
            <w:shd w:val="clear" w:color="000000" w:fill="005CA9"/>
            <w:noWrap/>
            <w:vAlign w:val="center"/>
            <w:hideMark/>
          </w:tcPr>
          <w:p w14:paraId="3B586E22" w14:textId="390C8468" w:rsidR="004764C0" w:rsidRPr="004764C0" w:rsidRDefault="004764C0" w:rsidP="004764C0">
            <w:pPr>
              <w:rPr>
                <w:rFonts w:ascii="CAIXA Std Book" w:eastAsia="Times New Roman" w:hAnsi="CAIXA Std Book" w:cs="Calibri"/>
                <w:b/>
                <w:bCs/>
                <w:color w:val="FFFFFF"/>
                <w:sz w:val="18"/>
                <w:szCs w:val="18"/>
              </w:rPr>
            </w:pPr>
            <w:r>
              <w:rPr>
                <w:rFonts w:ascii="CAIXA Std Book" w:hAnsi="CAIXA Std Book" w:cs="Calibri"/>
                <w:b/>
                <w:color w:val="FFFFFF"/>
                <w:sz w:val="18"/>
                <w:szCs w:val="18"/>
              </w:rPr>
              <w:t>Total</w:t>
            </w:r>
          </w:p>
        </w:tc>
        <w:tc>
          <w:tcPr>
            <w:tcW w:w="889" w:type="pct"/>
            <w:tcBorders>
              <w:top w:val="nil"/>
              <w:left w:val="nil"/>
              <w:bottom w:val="nil"/>
              <w:right w:val="nil"/>
            </w:tcBorders>
            <w:shd w:val="clear" w:color="000000" w:fill="005CA9"/>
            <w:noWrap/>
            <w:vAlign w:val="center"/>
            <w:hideMark/>
          </w:tcPr>
          <w:p w14:paraId="4A85E44B" w14:textId="3040596E" w:rsidR="004764C0" w:rsidRPr="004764C0" w:rsidRDefault="00346E8C" w:rsidP="00346E8C">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291.402.044</w:t>
            </w:r>
          </w:p>
        </w:tc>
        <w:tc>
          <w:tcPr>
            <w:tcW w:w="931" w:type="pct"/>
            <w:tcBorders>
              <w:top w:val="nil"/>
              <w:left w:val="nil"/>
              <w:bottom w:val="nil"/>
              <w:right w:val="nil"/>
            </w:tcBorders>
            <w:shd w:val="clear" w:color="000000" w:fill="005CA9"/>
            <w:noWrap/>
            <w:vAlign w:val="center"/>
            <w:hideMark/>
          </w:tcPr>
          <w:p w14:paraId="0D93F833" w14:textId="1B27E696" w:rsidR="004764C0" w:rsidRPr="004764C0" w:rsidRDefault="004764C0" w:rsidP="004764C0">
            <w:pPr>
              <w:jc w:val="right"/>
              <w:rPr>
                <w:rFonts w:ascii="CAIXA Std Book" w:eastAsia="Times New Roman" w:hAnsi="CAIXA Std Book" w:cs="Calibri"/>
                <w:b/>
                <w:bCs/>
                <w:color w:val="FFFFFF"/>
                <w:sz w:val="18"/>
                <w:szCs w:val="18"/>
              </w:rPr>
            </w:pPr>
            <w:r>
              <w:rPr>
                <w:rFonts w:ascii="CAIXA Std Book" w:hAnsi="CAIXA Std Book" w:cs="Calibri"/>
                <w:b/>
                <w:color w:val="FFFFFF"/>
                <w:sz w:val="18"/>
                <w:szCs w:val="18"/>
              </w:rPr>
              <w:t>155.946.430</w:t>
            </w:r>
          </w:p>
        </w:tc>
      </w:tr>
    </w:tbl>
    <w:p w14:paraId="09391164" w14:textId="5CD90A97" w:rsidR="004C10F0" w:rsidRPr="001A75FA" w:rsidRDefault="004C10F0" w:rsidP="001820B4">
      <w:pPr>
        <w:sectPr w:rsidR="004C10F0" w:rsidRPr="001A75FA" w:rsidSect="00621B06">
          <w:headerReference w:type="default" r:id="rId36"/>
          <w:footerReference w:type="default" r:id="rId37"/>
          <w:pgSz w:w="11907" w:h="16840" w:code="9"/>
          <w:pgMar w:top="1985" w:right="851" w:bottom="1134" w:left="1418" w:header="1134" w:footer="709" w:gutter="0"/>
          <w:cols w:space="708"/>
          <w:docGrid w:linePitch="360"/>
        </w:sectPr>
      </w:pPr>
    </w:p>
    <w:p w14:paraId="010DBFDA" w14:textId="6849E446" w:rsidR="00D00541" w:rsidRPr="00E95E29" w:rsidRDefault="00B94E10" w:rsidP="00B735D2">
      <w:pPr>
        <w:pStyle w:val="Ttulo1"/>
      </w:pPr>
      <w:bookmarkStart w:id="72" w:name="_Toc217914318"/>
      <w:bookmarkStart w:id="73" w:name="_Toc229588468"/>
      <w:r w:rsidRPr="00E95E29">
        <w:t xml:space="preserve">Nota   </w:t>
      </w:r>
      <w:r w:rsidR="00D56F77" w:rsidRPr="00E95E29">
        <w:t>6</w:t>
      </w:r>
      <w:r w:rsidRPr="00E95E29">
        <w:t xml:space="preserve"> – </w:t>
      </w:r>
      <w:r w:rsidR="00183E36" w:rsidRPr="00E95E29">
        <w:t xml:space="preserve">Ativos </w:t>
      </w:r>
      <w:r w:rsidR="002414A8">
        <w:t>f</w:t>
      </w:r>
      <w:r w:rsidR="00183E36" w:rsidRPr="00E95E29">
        <w:t xml:space="preserve">inanceiros ao </w:t>
      </w:r>
      <w:r w:rsidR="00C401EC">
        <w:t>valor justo por meio do resultado</w:t>
      </w:r>
      <w:bookmarkEnd w:id="72"/>
      <w:bookmarkEnd w:id="73"/>
    </w:p>
    <w:p w14:paraId="4AB91436" w14:textId="4FC1AB55" w:rsidR="00D56F77" w:rsidRDefault="00D56F77" w:rsidP="00B735D2">
      <w:pPr>
        <w:pStyle w:val="Ttulo1"/>
      </w:pPr>
      <w:bookmarkStart w:id="74" w:name="_Toc217914319"/>
      <w:bookmarkStart w:id="75" w:name="_Toc229588469"/>
      <w:r w:rsidRPr="00E95E29">
        <w:t xml:space="preserve">Nota   6.1 – </w:t>
      </w:r>
      <w:r w:rsidR="00A0431F" w:rsidRPr="00E95E29">
        <w:t>Títulos e valores mobiliários ao valor justo por meio de resultado</w:t>
      </w:r>
      <w:bookmarkEnd w:id="74"/>
      <w:bookmarkEnd w:id="75"/>
    </w:p>
    <w:p w14:paraId="4D58BB65" w14:textId="04C50840" w:rsidR="004D59BB" w:rsidRDefault="004D59BB" w:rsidP="00295657">
      <w:pPr>
        <w:pStyle w:val="PargrafodaLista"/>
        <w:numPr>
          <w:ilvl w:val="0"/>
          <w:numId w:val="19"/>
        </w:numPr>
        <w:spacing w:before="240" w:after="120"/>
        <w:ind w:left="567" w:hanging="567"/>
        <w:rPr>
          <w:rFonts w:ascii="CAIXA Std Book" w:hAnsi="CAIXA Std Book"/>
          <w:b/>
          <w:color w:val="005CA9"/>
          <w:sz w:val="20"/>
          <w:szCs w:val="20"/>
        </w:rPr>
      </w:pPr>
      <w:r w:rsidRPr="00DD6830">
        <w:rPr>
          <w:rFonts w:ascii="CAIXA Std Book" w:hAnsi="CAIXA Std Book"/>
          <w:b/>
          <w:color w:val="005CA9"/>
          <w:sz w:val="20"/>
          <w:szCs w:val="20"/>
        </w:rPr>
        <w:t xml:space="preserve">Composição da carteira </w:t>
      </w:r>
      <w:r w:rsidR="00727A95">
        <w:rPr>
          <w:rFonts w:ascii="CAIXA Std Book" w:hAnsi="CAIXA Std Book"/>
          <w:b/>
          <w:color w:val="005CA9"/>
          <w:sz w:val="20"/>
          <w:szCs w:val="20"/>
        </w:rPr>
        <w:t>por prazo de vencimento</w:t>
      </w:r>
    </w:p>
    <w:p w14:paraId="32E5F6CC" w14:textId="77777777" w:rsidR="00666B5E" w:rsidRDefault="00666B5E" w:rsidP="00B131E0">
      <w:pPr>
        <w:rPr>
          <w:rFonts w:ascii="CAIXA Std Book" w:hAnsi="CAIXA Std Book" w:cs="Calibri"/>
          <w:b/>
          <w:color w:val="FFFFFF"/>
          <w:sz w:val="16"/>
          <w:szCs w:val="16"/>
        </w:rPr>
      </w:pPr>
    </w:p>
    <w:tbl>
      <w:tblPr>
        <w:tblW w:w="5000" w:type="pct"/>
        <w:tblCellMar>
          <w:left w:w="70" w:type="dxa"/>
          <w:right w:w="70" w:type="dxa"/>
        </w:tblCellMar>
        <w:tblLook w:val="04A0" w:firstRow="1" w:lastRow="0" w:firstColumn="1" w:lastColumn="0" w:noHBand="0" w:noVBand="1"/>
      </w:tblPr>
      <w:tblGrid>
        <w:gridCol w:w="4814"/>
        <w:gridCol w:w="1625"/>
        <w:gridCol w:w="1625"/>
        <w:gridCol w:w="1625"/>
        <w:gridCol w:w="1625"/>
        <w:gridCol w:w="1625"/>
        <w:gridCol w:w="1622"/>
      </w:tblGrid>
      <w:tr w:rsidR="00B131E0" w:rsidRPr="00B131E0" w14:paraId="577385EE" w14:textId="77777777" w:rsidTr="005841BA">
        <w:trPr>
          <w:trHeight w:val="283"/>
        </w:trPr>
        <w:tc>
          <w:tcPr>
            <w:tcW w:w="5000" w:type="pct"/>
            <w:gridSpan w:val="7"/>
            <w:tcBorders>
              <w:top w:val="nil"/>
              <w:left w:val="single" w:sz="8" w:space="0" w:color="FFFFFF"/>
              <w:bottom w:val="single" w:sz="8" w:space="0" w:color="FFFFFF"/>
              <w:right w:val="nil"/>
            </w:tcBorders>
            <w:shd w:val="clear" w:color="000000" w:fill="005CA9"/>
            <w:vAlign w:val="center"/>
            <w:hideMark/>
          </w:tcPr>
          <w:p w14:paraId="11F74DE2" w14:textId="77777777" w:rsidR="00B131E0" w:rsidRPr="00B131E0" w:rsidRDefault="00B131E0" w:rsidP="00B131E0">
            <w:pPr>
              <w:jc w:val="center"/>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Individual</w:t>
            </w:r>
          </w:p>
        </w:tc>
      </w:tr>
      <w:tr w:rsidR="00B131E0" w:rsidRPr="00B131E0" w14:paraId="2B3323EC" w14:textId="77777777" w:rsidTr="005841BA">
        <w:trPr>
          <w:trHeight w:val="283"/>
        </w:trPr>
        <w:tc>
          <w:tcPr>
            <w:tcW w:w="1653" w:type="pct"/>
            <w:vMerge w:val="restart"/>
            <w:tcBorders>
              <w:top w:val="nil"/>
              <w:left w:val="single" w:sz="8" w:space="0" w:color="FFFFFF"/>
              <w:bottom w:val="single" w:sz="8" w:space="0" w:color="FFFFFF"/>
              <w:right w:val="nil"/>
            </w:tcBorders>
            <w:shd w:val="clear" w:color="000000" w:fill="005CA9"/>
            <w:vAlign w:val="center"/>
            <w:hideMark/>
          </w:tcPr>
          <w:p w14:paraId="05E5E976" w14:textId="77777777" w:rsidR="00B131E0" w:rsidRPr="00B131E0" w:rsidRDefault="00B131E0" w:rsidP="00B131E0">
            <w:pPr>
              <w:jc w:val="center"/>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Descrição</w:t>
            </w:r>
          </w:p>
        </w:tc>
        <w:tc>
          <w:tcPr>
            <w:tcW w:w="3347" w:type="pct"/>
            <w:gridSpan w:val="6"/>
            <w:tcBorders>
              <w:top w:val="single" w:sz="8" w:space="0" w:color="FFFFFF"/>
              <w:left w:val="nil"/>
              <w:bottom w:val="single" w:sz="8" w:space="0" w:color="FFFFFF"/>
              <w:right w:val="nil"/>
            </w:tcBorders>
            <w:shd w:val="clear" w:color="000000" w:fill="005CA9"/>
            <w:vAlign w:val="center"/>
            <w:hideMark/>
          </w:tcPr>
          <w:p w14:paraId="6039F9DB" w14:textId="77777777" w:rsidR="00B131E0" w:rsidRPr="00B131E0" w:rsidRDefault="00B131E0" w:rsidP="00B131E0">
            <w:pPr>
              <w:jc w:val="center"/>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31/03/2026</w:t>
            </w:r>
          </w:p>
        </w:tc>
      </w:tr>
      <w:tr w:rsidR="00B131E0" w:rsidRPr="00B131E0" w14:paraId="4152CEF6" w14:textId="77777777" w:rsidTr="005841BA">
        <w:trPr>
          <w:trHeight w:val="283"/>
        </w:trPr>
        <w:tc>
          <w:tcPr>
            <w:tcW w:w="1653" w:type="pct"/>
            <w:vMerge/>
            <w:tcBorders>
              <w:top w:val="nil"/>
              <w:left w:val="single" w:sz="8" w:space="0" w:color="FFFFFF"/>
              <w:bottom w:val="single" w:sz="8" w:space="0" w:color="FFFFFF"/>
              <w:right w:val="nil"/>
            </w:tcBorders>
            <w:vAlign w:val="center"/>
            <w:hideMark/>
          </w:tcPr>
          <w:p w14:paraId="63F5D4A5" w14:textId="77777777" w:rsidR="00B131E0" w:rsidRPr="00B131E0" w:rsidRDefault="00B131E0" w:rsidP="00B131E0">
            <w:pPr>
              <w:rPr>
                <w:rFonts w:ascii="CAIXA Std Book" w:eastAsia="Times New Roman" w:hAnsi="CAIXA Std Book" w:cs="Times New Roman"/>
                <w:b/>
                <w:bCs/>
                <w:color w:val="FFFFFF"/>
                <w:sz w:val="18"/>
                <w:szCs w:val="18"/>
              </w:rPr>
            </w:pPr>
          </w:p>
        </w:tc>
        <w:tc>
          <w:tcPr>
            <w:tcW w:w="558" w:type="pct"/>
            <w:tcBorders>
              <w:top w:val="nil"/>
              <w:left w:val="nil"/>
              <w:bottom w:val="single" w:sz="8" w:space="0" w:color="FFFFFF"/>
              <w:right w:val="nil"/>
            </w:tcBorders>
            <w:shd w:val="clear" w:color="000000" w:fill="005CA9"/>
            <w:vAlign w:val="center"/>
            <w:hideMark/>
          </w:tcPr>
          <w:p w14:paraId="68EBBBD2" w14:textId="77777777" w:rsidR="00B131E0" w:rsidRPr="00B131E0" w:rsidRDefault="00B131E0" w:rsidP="00B131E0">
            <w:pPr>
              <w:jc w:val="center"/>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Sem vencimento</w:t>
            </w:r>
          </w:p>
        </w:tc>
        <w:tc>
          <w:tcPr>
            <w:tcW w:w="558" w:type="pct"/>
            <w:tcBorders>
              <w:top w:val="nil"/>
              <w:left w:val="nil"/>
              <w:bottom w:val="nil"/>
              <w:right w:val="nil"/>
            </w:tcBorders>
            <w:shd w:val="clear" w:color="000000" w:fill="005CA9"/>
            <w:vAlign w:val="center"/>
            <w:hideMark/>
          </w:tcPr>
          <w:p w14:paraId="36914720" w14:textId="77777777" w:rsidR="00B131E0" w:rsidRPr="00B131E0" w:rsidRDefault="00B131E0" w:rsidP="00B131E0">
            <w:pPr>
              <w:jc w:val="center"/>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Acima de 360 dias</w:t>
            </w:r>
          </w:p>
        </w:tc>
        <w:tc>
          <w:tcPr>
            <w:tcW w:w="558" w:type="pct"/>
            <w:tcBorders>
              <w:top w:val="nil"/>
              <w:left w:val="nil"/>
              <w:bottom w:val="single" w:sz="8" w:space="0" w:color="FFFFFF"/>
              <w:right w:val="nil"/>
            </w:tcBorders>
            <w:shd w:val="clear" w:color="000000" w:fill="005CA9"/>
            <w:vAlign w:val="center"/>
            <w:hideMark/>
          </w:tcPr>
          <w:p w14:paraId="7E625650" w14:textId="77777777" w:rsidR="00B131E0" w:rsidRPr="00B131E0" w:rsidRDefault="00B131E0" w:rsidP="00B131E0">
            <w:pPr>
              <w:jc w:val="center"/>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Valor justo</w:t>
            </w:r>
          </w:p>
        </w:tc>
        <w:tc>
          <w:tcPr>
            <w:tcW w:w="558" w:type="pct"/>
            <w:tcBorders>
              <w:top w:val="nil"/>
              <w:left w:val="nil"/>
              <w:bottom w:val="single" w:sz="8" w:space="0" w:color="FFFFFF"/>
              <w:right w:val="nil"/>
            </w:tcBorders>
            <w:shd w:val="clear" w:color="000000" w:fill="005CA9"/>
            <w:vAlign w:val="center"/>
            <w:hideMark/>
          </w:tcPr>
          <w:p w14:paraId="1D96240A" w14:textId="77777777" w:rsidR="00B131E0" w:rsidRPr="00B131E0" w:rsidRDefault="00B131E0" w:rsidP="00B131E0">
            <w:pPr>
              <w:jc w:val="center"/>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Valor contábil bruto</w:t>
            </w:r>
          </w:p>
        </w:tc>
        <w:tc>
          <w:tcPr>
            <w:tcW w:w="558" w:type="pct"/>
            <w:tcBorders>
              <w:top w:val="nil"/>
              <w:left w:val="nil"/>
              <w:bottom w:val="single" w:sz="8" w:space="0" w:color="FFFFFF"/>
              <w:right w:val="nil"/>
            </w:tcBorders>
            <w:shd w:val="clear" w:color="000000" w:fill="005CA9"/>
            <w:vAlign w:val="center"/>
            <w:hideMark/>
          </w:tcPr>
          <w:p w14:paraId="23F1598B" w14:textId="77777777" w:rsidR="00B131E0" w:rsidRPr="00B131E0" w:rsidRDefault="00B131E0" w:rsidP="00B131E0">
            <w:pPr>
              <w:jc w:val="center"/>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Perdas esperadas</w:t>
            </w:r>
          </w:p>
        </w:tc>
        <w:tc>
          <w:tcPr>
            <w:tcW w:w="558" w:type="pct"/>
            <w:tcBorders>
              <w:top w:val="nil"/>
              <w:left w:val="nil"/>
              <w:bottom w:val="nil"/>
              <w:right w:val="nil"/>
            </w:tcBorders>
            <w:shd w:val="clear" w:color="000000" w:fill="005CA9"/>
            <w:vAlign w:val="center"/>
            <w:hideMark/>
          </w:tcPr>
          <w:p w14:paraId="7D04EF07" w14:textId="77777777" w:rsidR="00B131E0" w:rsidRPr="00B131E0" w:rsidRDefault="00B131E0" w:rsidP="00B131E0">
            <w:pPr>
              <w:jc w:val="center"/>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Ajuste valor justo</w:t>
            </w:r>
          </w:p>
        </w:tc>
      </w:tr>
      <w:tr w:rsidR="00B131E0" w:rsidRPr="00B131E0" w14:paraId="5AC3F4FE" w14:textId="77777777" w:rsidTr="005841BA">
        <w:trPr>
          <w:trHeight w:val="283"/>
        </w:trPr>
        <w:tc>
          <w:tcPr>
            <w:tcW w:w="1653" w:type="pct"/>
            <w:tcBorders>
              <w:top w:val="nil"/>
              <w:left w:val="nil"/>
              <w:bottom w:val="nil"/>
              <w:right w:val="nil"/>
            </w:tcBorders>
            <w:noWrap/>
            <w:vAlign w:val="center"/>
            <w:hideMark/>
          </w:tcPr>
          <w:p w14:paraId="20DA911B" w14:textId="77777777" w:rsidR="00B131E0" w:rsidRPr="00B131E0" w:rsidRDefault="00B131E0" w:rsidP="00B131E0">
            <w:pP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 xml:space="preserve">Títulos públicos federais brasileiros </w:t>
            </w:r>
          </w:p>
        </w:tc>
        <w:tc>
          <w:tcPr>
            <w:tcW w:w="558" w:type="pct"/>
            <w:tcBorders>
              <w:top w:val="nil"/>
              <w:left w:val="nil"/>
              <w:bottom w:val="nil"/>
              <w:right w:val="nil"/>
            </w:tcBorders>
            <w:noWrap/>
            <w:vAlign w:val="center"/>
            <w:hideMark/>
          </w:tcPr>
          <w:p w14:paraId="7BFD7533" w14:textId="3CA95ACA" w:rsidR="00B131E0" w:rsidRPr="00B131E0" w:rsidRDefault="00B131E0" w:rsidP="00B131E0">
            <w:pPr>
              <w:jc w:val="cente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w:t>
            </w:r>
          </w:p>
        </w:tc>
        <w:tc>
          <w:tcPr>
            <w:tcW w:w="558" w:type="pct"/>
            <w:tcBorders>
              <w:top w:val="nil"/>
              <w:left w:val="nil"/>
              <w:bottom w:val="nil"/>
              <w:right w:val="nil"/>
            </w:tcBorders>
            <w:noWrap/>
            <w:vAlign w:val="center"/>
            <w:hideMark/>
          </w:tcPr>
          <w:p w14:paraId="45860ECD" w14:textId="645D96DC"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144.643.91</w:t>
            </w:r>
            <w:r w:rsidR="004665E6">
              <w:rPr>
                <w:rFonts w:ascii="CAIXA Std Book" w:eastAsia="Times New Roman" w:hAnsi="CAIXA Std Book" w:cs="Times New Roman"/>
                <w:color w:val="005CA9"/>
                <w:sz w:val="18"/>
                <w:szCs w:val="18"/>
              </w:rPr>
              <w:t>8</w:t>
            </w:r>
          </w:p>
        </w:tc>
        <w:tc>
          <w:tcPr>
            <w:tcW w:w="558" w:type="pct"/>
            <w:tcBorders>
              <w:top w:val="nil"/>
              <w:left w:val="nil"/>
              <w:bottom w:val="nil"/>
              <w:right w:val="nil"/>
            </w:tcBorders>
            <w:noWrap/>
            <w:vAlign w:val="center"/>
            <w:hideMark/>
          </w:tcPr>
          <w:p w14:paraId="42F2B041" w14:textId="627786AE"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144.643.91</w:t>
            </w:r>
            <w:r w:rsidR="008B416A">
              <w:rPr>
                <w:rFonts w:ascii="CAIXA Std Book" w:eastAsia="Times New Roman" w:hAnsi="CAIXA Std Book" w:cs="Times New Roman"/>
                <w:color w:val="005CA9"/>
                <w:sz w:val="18"/>
                <w:szCs w:val="18"/>
              </w:rPr>
              <w:t>8</w:t>
            </w:r>
          </w:p>
        </w:tc>
        <w:tc>
          <w:tcPr>
            <w:tcW w:w="558" w:type="pct"/>
            <w:tcBorders>
              <w:top w:val="nil"/>
              <w:left w:val="nil"/>
              <w:bottom w:val="nil"/>
              <w:right w:val="nil"/>
            </w:tcBorders>
            <w:noWrap/>
            <w:vAlign w:val="center"/>
            <w:hideMark/>
          </w:tcPr>
          <w:p w14:paraId="73608906" w14:textId="129CD14F"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145.012.404</w:t>
            </w:r>
          </w:p>
        </w:tc>
        <w:tc>
          <w:tcPr>
            <w:tcW w:w="558" w:type="pct"/>
            <w:tcBorders>
              <w:top w:val="nil"/>
              <w:left w:val="nil"/>
              <w:bottom w:val="nil"/>
              <w:right w:val="nil"/>
            </w:tcBorders>
            <w:noWrap/>
            <w:vAlign w:val="center"/>
            <w:hideMark/>
          </w:tcPr>
          <w:p w14:paraId="59759C18" w14:textId="6C5C4EB2" w:rsidR="00B131E0" w:rsidRPr="00B131E0" w:rsidRDefault="00B131E0" w:rsidP="00B131E0">
            <w:pPr>
              <w:jc w:val="cente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w:t>
            </w:r>
          </w:p>
        </w:tc>
        <w:tc>
          <w:tcPr>
            <w:tcW w:w="558" w:type="pct"/>
            <w:tcBorders>
              <w:top w:val="nil"/>
              <w:left w:val="nil"/>
              <w:bottom w:val="nil"/>
              <w:right w:val="nil"/>
            </w:tcBorders>
            <w:noWrap/>
            <w:vAlign w:val="center"/>
            <w:hideMark/>
          </w:tcPr>
          <w:p w14:paraId="0FF23ABC" w14:textId="07307B14"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(368.48</w:t>
            </w:r>
            <w:r w:rsidR="008B416A">
              <w:rPr>
                <w:rFonts w:ascii="CAIXA Std Book" w:eastAsia="Times New Roman" w:hAnsi="CAIXA Std Book" w:cs="Times New Roman"/>
                <w:color w:val="005CA9"/>
                <w:sz w:val="18"/>
                <w:szCs w:val="18"/>
              </w:rPr>
              <w:t>6</w:t>
            </w:r>
            <w:r w:rsidRPr="00B131E0">
              <w:rPr>
                <w:rFonts w:ascii="CAIXA Std Book" w:eastAsia="Times New Roman" w:hAnsi="CAIXA Std Book" w:cs="Times New Roman"/>
                <w:color w:val="005CA9"/>
                <w:sz w:val="18"/>
                <w:szCs w:val="18"/>
              </w:rPr>
              <w:t>)</w:t>
            </w:r>
          </w:p>
        </w:tc>
      </w:tr>
      <w:tr w:rsidR="00B131E0" w:rsidRPr="00B131E0" w14:paraId="76B57B40" w14:textId="77777777" w:rsidTr="005841BA">
        <w:trPr>
          <w:trHeight w:val="283"/>
        </w:trPr>
        <w:tc>
          <w:tcPr>
            <w:tcW w:w="1653" w:type="pct"/>
            <w:tcBorders>
              <w:top w:val="nil"/>
              <w:left w:val="nil"/>
              <w:bottom w:val="nil"/>
              <w:right w:val="nil"/>
            </w:tcBorders>
            <w:noWrap/>
            <w:vAlign w:val="center"/>
            <w:hideMark/>
          </w:tcPr>
          <w:p w14:paraId="2A9AA50B" w14:textId="77777777" w:rsidR="00B131E0" w:rsidRPr="00B131E0" w:rsidRDefault="00B131E0" w:rsidP="00B131E0">
            <w:pP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 xml:space="preserve">Títulos privados de instituições financeiras </w:t>
            </w:r>
          </w:p>
        </w:tc>
        <w:tc>
          <w:tcPr>
            <w:tcW w:w="558" w:type="pct"/>
            <w:tcBorders>
              <w:top w:val="nil"/>
              <w:left w:val="nil"/>
              <w:bottom w:val="nil"/>
              <w:right w:val="nil"/>
            </w:tcBorders>
            <w:noWrap/>
            <w:vAlign w:val="center"/>
            <w:hideMark/>
          </w:tcPr>
          <w:p w14:paraId="09BA58A3" w14:textId="5156F33F" w:rsidR="00B131E0" w:rsidRPr="00B131E0" w:rsidRDefault="00B131E0" w:rsidP="00B131E0">
            <w:pPr>
              <w:jc w:val="cente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w:t>
            </w:r>
          </w:p>
        </w:tc>
        <w:tc>
          <w:tcPr>
            <w:tcW w:w="558" w:type="pct"/>
            <w:tcBorders>
              <w:top w:val="nil"/>
              <w:left w:val="nil"/>
              <w:bottom w:val="nil"/>
              <w:right w:val="nil"/>
            </w:tcBorders>
            <w:noWrap/>
            <w:vAlign w:val="center"/>
            <w:hideMark/>
          </w:tcPr>
          <w:p w14:paraId="4CE71D30" w14:textId="1CFA9D78"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169.694</w:t>
            </w:r>
          </w:p>
        </w:tc>
        <w:tc>
          <w:tcPr>
            <w:tcW w:w="558" w:type="pct"/>
            <w:tcBorders>
              <w:top w:val="nil"/>
              <w:left w:val="nil"/>
              <w:bottom w:val="nil"/>
              <w:right w:val="nil"/>
            </w:tcBorders>
            <w:noWrap/>
            <w:vAlign w:val="center"/>
            <w:hideMark/>
          </w:tcPr>
          <w:p w14:paraId="59578836" w14:textId="6ED74572"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169.694</w:t>
            </w:r>
          </w:p>
        </w:tc>
        <w:tc>
          <w:tcPr>
            <w:tcW w:w="558" w:type="pct"/>
            <w:tcBorders>
              <w:top w:val="nil"/>
              <w:left w:val="nil"/>
              <w:bottom w:val="nil"/>
              <w:right w:val="nil"/>
            </w:tcBorders>
            <w:noWrap/>
            <w:vAlign w:val="center"/>
            <w:hideMark/>
          </w:tcPr>
          <w:p w14:paraId="0E116E4A" w14:textId="5C9F07B6"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167.922</w:t>
            </w:r>
          </w:p>
        </w:tc>
        <w:tc>
          <w:tcPr>
            <w:tcW w:w="558" w:type="pct"/>
            <w:tcBorders>
              <w:top w:val="nil"/>
              <w:left w:val="nil"/>
              <w:bottom w:val="nil"/>
              <w:right w:val="nil"/>
            </w:tcBorders>
            <w:noWrap/>
            <w:vAlign w:val="center"/>
            <w:hideMark/>
          </w:tcPr>
          <w:p w14:paraId="4DC0CB39" w14:textId="5BF7C435"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(840)</w:t>
            </w:r>
          </w:p>
        </w:tc>
        <w:tc>
          <w:tcPr>
            <w:tcW w:w="558" w:type="pct"/>
            <w:tcBorders>
              <w:top w:val="nil"/>
              <w:left w:val="nil"/>
              <w:bottom w:val="nil"/>
              <w:right w:val="nil"/>
            </w:tcBorders>
            <w:noWrap/>
            <w:vAlign w:val="center"/>
            <w:hideMark/>
          </w:tcPr>
          <w:p w14:paraId="78412857" w14:textId="64FD0D63"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2.612</w:t>
            </w:r>
          </w:p>
        </w:tc>
      </w:tr>
      <w:tr w:rsidR="00B131E0" w:rsidRPr="00B131E0" w14:paraId="77330876" w14:textId="77777777" w:rsidTr="005841BA">
        <w:trPr>
          <w:trHeight w:val="283"/>
        </w:trPr>
        <w:tc>
          <w:tcPr>
            <w:tcW w:w="1653" w:type="pct"/>
            <w:tcBorders>
              <w:top w:val="nil"/>
              <w:left w:val="nil"/>
              <w:bottom w:val="nil"/>
              <w:right w:val="nil"/>
            </w:tcBorders>
            <w:noWrap/>
            <w:vAlign w:val="center"/>
            <w:hideMark/>
          </w:tcPr>
          <w:p w14:paraId="2B464AF3" w14:textId="77777777" w:rsidR="00B131E0" w:rsidRPr="00B131E0" w:rsidRDefault="00B131E0" w:rsidP="00B131E0">
            <w:pP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 xml:space="preserve">Títulos privados de entidades não financeiras </w:t>
            </w:r>
          </w:p>
        </w:tc>
        <w:tc>
          <w:tcPr>
            <w:tcW w:w="558" w:type="pct"/>
            <w:tcBorders>
              <w:top w:val="nil"/>
              <w:left w:val="nil"/>
              <w:bottom w:val="nil"/>
              <w:right w:val="nil"/>
            </w:tcBorders>
            <w:noWrap/>
            <w:vAlign w:val="center"/>
            <w:hideMark/>
          </w:tcPr>
          <w:p w14:paraId="42B61A21" w14:textId="662AF711" w:rsidR="00B131E0" w:rsidRPr="00B131E0" w:rsidRDefault="00B131E0" w:rsidP="00B131E0">
            <w:pPr>
              <w:jc w:val="cente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w:t>
            </w:r>
          </w:p>
        </w:tc>
        <w:tc>
          <w:tcPr>
            <w:tcW w:w="558" w:type="pct"/>
            <w:tcBorders>
              <w:top w:val="nil"/>
              <w:left w:val="nil"/>
              <w:bottom w:val="nil"/>
              <w:right w:val="nil"/>
            </w:tcBorders>
            <w:noWrap/>
            <w:vAlign w:val="center"/>
            <w:hideMark/>
          </w:tcPr>
          <w:p w14:paraId="5F153343" w14:textId="65EC5496"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4.320.327</w:t>
            </w:r>
          </w:p>
        </w:tc>
        <w:tc>
          <w:tcPr>
            <w:tcW w:w="558" w:type="pct"/>
            <w:tcBorders>
              <w:top w:val="nil"/>
              <w:left w:val="nil"/>
              <w:bottom w:val="nil"/>
              <w:right w:val="nil"/>
            </w:tcBorders>
            <w:noWrap/>
            <w:vAlign w:val="center"/>
            <w:hideMark/>
          </w:tcPr>
          <w:p w14:paraId="4B5C71EC" w14:textId="55A3D761"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4.320.32</w:t>
            </w:r>
            <w:r w:rsidR="00A3640C">
              <w:rPr>
                <w:rFonts w:ascii="CAIXA Std Book" w:eastAsia="Times New Roman" w:hAnsi="CAIXA Std Book" w:cs="Times New Roman"/>
                <w:color w:val="005CA9"/>
                <w:sz w:val="18"/>
                <w:szCs w:val="18"/>
              </w:rPr>
              <w:t>7</w:t>
            </w:r>
          </w:p>
        </w:tc>
        <w:tc>
          <w:tcPr>
            <w:tcW w:w="558" w:type="pct"/>
            <w:tcBorders>
              <w:top w:val="nil"/>
              <w:left w:val="nil"/>
              <w:bottom w:val="nil"/>
              <w:right w:val="nil"/>
            </w:tcBorders>
            <w:noWrap/>
            <w:vAlign w:val="center"/>
            <w:hideMark/>
          </w:tcPr>
          <w:p w14:paraId="348B49BF" w14:textId="38AD97D3"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4.429.16</w:t>
            </w:r>
            <w:r w:rsidR="00A3640C">
              <w:rPr>
                <w:rFonts w:ascii="CAIXA Std Book" w:eastAsia="Times New Roman" w:hAnsi="CAIXA Std Book" w:cs="Times New Roman"/>
                <w:color w:val="005CA9"/>
                <w:sz w:val="18"/>
                <w:szCs w:val="18"/>
              </w:rPr>
              <w:t>3</w:t>
            </w:r>
          </w:p>
        </w:tc>
        <w:tc>
          <w:tcPr>
            <w:tcW w:w="558" w:type="pct"/>
            <w:tcBorders>
              <w:top w:val="nil"/>
              <w:left w:val="nil"/>
              <w:bottom w:val="nil"/>
              <w:right w:val="nil"/>
            </w:tcBorders>
            <w:noWrap/>
            <w:vAlign w:val="center"/>
            <w:hideMark/>
          </w:tcPr>
          <w:p w14:paraId="5E98E426" w14:textId="709A03F5"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(77.293)</w:t>
            </w:r>
          </w:p>
        </w:tc>
        <w:tc>
          <w:tcPr>
            <w:tcW w:w="558" w:type="pct"/>
            <w:tcBorders>
              <w:top w:val="nil"/>
              <w:left w:val="nil"/>
              <w:bottom w:val="nil"/>
              <w:right w:val="nil"/>
            </w:tcBorders>
            <w:noWrap/>
            <w:vAlign w:val="center"/>
            <w:hideMark/>
          </w:tcPr>
          <w:p w14:paraId="2A7575C0" w14:textId="43877B8D"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(31.54</w:t>
            </w:r>
            <w:r w:rsidR="00A3640C">
              <w:rPr>
                <w:rFonts w:ascii="CAIXA Std Book" w:eastAsia="Times New Roman" w:hAnsi="CAIXA Std Book" w:cs="Times New Roman"/>
                <w:color w:val="005CA9"/>
                <w:sz w:val="18"/>
                <w:szCs w:val="18"/>
              </w:rPr>
              <w:t>3</w:t>
            </w:r>
            <w:r w:rsidRPr="00B131E0">
              <w:rPr>
                <w:rFonts w:ascii="CAIXA Std Book" w:eastAsia="Times New Roman" w:hAnsi="CAIXA Std Book" w:cs="Times New Roman"/>
                <w:color w:val="005CA9"/>
                <w:sz w:val="18"/>
                <w:szCs w:val="18"/>
              </w:rPr>
              <w:t>)</w:t>
            </w:r>
          </w:p>
        </w:tc>
      </w:tr>
      <w:tr w:rsidR="00B131E0" w:rsidRPr="00B131E0" w14:paraId="49BDE365" w14:textId="77777777" w:rsidTr="005841BA">
        <w:trPr>
          <w:trHeight w:val="283"/>
        </w:trPr>
        <w:tc>
          <w:tcPr>
            <w:tcW w:w="1653" w:type="pct"/>
            <w:tcBorders>
              <w:top w:val="nil"/>
              <w:left w:val="nil"/>
              <w:bottom w:val="nil"/>
              <w:right w:val="nil"/>
            </w:tcBorders>
            <w:noWrap/>
            <w:vAlign w:val="center"/>
            <w:hideMark/>
          </w:tcPr>
          <w:p w14:paraId="7BD87C2B" w14:textId="77777777" w:rsidR="00B131E0" w:rsidRPr="00B131E0" w:rsidRDefault="00B131E0" w:rsidP="00B131E0">
            <w:pP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 xml:space="preserve">Cotas de fundo de investimento </w:t>
            </w:r>
          </w:p>
        </w:tc>
        <w:tc>
          <w:tcPr>
            <w:tcW w:w="558" w:type="pct"/>
            <w:tcBorders>
              <w:top w:val="nil"/>
              <w:left w:val="nil"/>
              <w:bottom w:val="nil"/>
              <w:right w:val="nil"/>
            </w:tcBorders>
            <w:noWrap/>
            <w:vAlign w:val="center"/>
            <w:hideMark/>
          </w:tcPr>
          <w:p w14:paraId="3B206DA4" w14:textId="0B0B6DC4"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131.040</w:t>
            </w:r>
          </w:p>
        </w:tc>
        <w:tc>
          <w:tcPr>
            <w:tcW w:w="558" w:type="pct"/>
            <w:tcBorders>
              <w:top w:val="nil"/>
              <w:left w:val="nil"/>
              <w:bottom w:val="nil"/>
              <w:right w:val="nil"/>
            </w:tcBorders>
            <w:noWrap/>
            <w:vAlign w:val="center"/>
            <w:hideMark/>
          </w:tcPr>
          <w:p w14:paraId="661AF555" w14:textId="24BB58D6" w:rsidR="00B131E0" w:rsidRPr="00B131E0" w:rsidRDefault="00B131E0" w:rsidP="00B131E0">
            <w:pPr>
              <w:jc w:val="cente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w:t>
            </w:r>
          </w:p>
        </w:tc>
        <w:tc>
          <w:tcPr>
            <w:tcW w:w="558" w:type="pct"/>
            <w:tcBorders>
              <w:top w:val="nil"/>
              <w:left w:val="nil"/>
              <w:bottom w:val="nil"/>
              <w:right w:val="nil"/>
            </w:tcBorders>
            <w:noWrap/>
            <w:vAlign w:val="center"/>
            <w:hideMark/>
          </w:tcPr>
          <w:p w14:paraId="3342A608" w14:textId="70E5C526"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131.040</w:t>
            </w:r>
          </w:p>
        </w:tc>
        <w:tc>
          <w:tcPr>
            <w:tcW w:w="558" w:type="pct"/>
            <w:tcBorders>
              <w:top w:val="nil"/>
              <w:left w:val="nil"/>
              <w:bottom w:val="nil"/>
              <w:right w:val="nil"/>
            </w:tcBorders>
            <w:noWrap/>
            <w:vAlign w:val="center"/>
            <w:hideMark/>
          </w:tcPr>
          <w:p w14:paraId="1EE846D1" w14:textId="76425652"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130.000</w:t>
            </w:r>
          </w:p>
        </w:tc>
        <w:tc>
          <w:tcPr>
            <w:tcW w:w="558" w:type="pct"/>
            <w:tcBorders>
              <w:top w:val="nil"/>
              <w:left w:val="nil"/>
              <w:bottom w:val="nil"/>
              <w:right w:val="nil"/>
            </w:tcBorders>
            <w:noWrap/>
            <w:vAlign w:val="center"/>
            <w:hideMark/>
          </w:tcPr>
          <w:p w14:paraId="4FF18575" w14:textId="2EA9F107" w:rsidR="00B131E0" w:rsidRPr="00B131E0" w:rsidRDefault="00B131E0" w:rsidP="00B131E0">
            <w:pPr>
              <w:jc w:val="cente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w:t>
            </w:r>
          </w:p>
        </w:tc>
        <w:tc>
          <w:tcPr>
            <w:tcW w:w="558" w:type="pct"/>
            <w:tcBorders>
              <w:top w:val="nil"/>
              <w:left w:val="nil"/>
              <w:bottom w:val="nil"/>
              <w:right w:val="nil"/>
            </w:tcBorders>
            <w:noWrap/>
            <w:vAlign w:val="center"/>
            <w:hideMark/>
          </w:tcPr>
          <w:p w14:paraId="7F99C8EB" w14:textId="686AEAFD"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1.040</w:t>
            </w:r>
          </w:p>
        </w:tc>
      </w:tr>
      <w:tr w:rsidR="00B131E0" w:rsidRPr="00B131E0" w14:paraId="7AD48968" w14:textId="77777777" w:rsidTr="005841BA">
        <w:trPr>
          <w:trHeight w:val="283"/>
        </w:trPr>
        <w:tc>
          <w:tcPr>
            <w:tcW w:w="1653" w:type="pct"/>
            <w:tcBorders>
              <w:top w:val="nil"/>
              <w:left w:val="nil"/>
              <w:bottom w:val="nil"/>
              <w:right w:val="nil"/>
            </w:tcBorders>
            <w:noWrap/>
            <w:vAlign w:val="center"/>
            <w:hideMark/>
          </w:tcPr>
          <w:p w14:paraId="14C975A2" w14:textId="77777777" w:rsidR="00B131E0" w:rsidRPr="00B131E0" w:rsidRDefault="00B131E0" w:rsidP="00B131E0">
            <w:pP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 xml:space="preserve">Ações </w:t>
            </w:r>
          </w:p>
        </w:tc>
        <w:tc>
          <w:tcPr>
            <w:tcW w:w="558" w:type="pct"/>
            <w:tcBorders>
              <w:top w:val="nil"/>
              <w:left w:val="nil"/>
              <w:bottom w:val="nil"/>
              <w:right w:val="nil"/>
            </w:tcBorders>
            <w:noWrap/>
            <w:vAlign w:val="center"/>
            <w:hideMark/>
          </w:tcPr>
          <w:p w14:paraId="0FB27676" w14:textId="2AD23C9B" w:rsidR="00B131E0" w:rsidRPr="00B131E0" w:rsidRDefault="00E850D8" w:rsidP="00E850D8">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4.023</w:t>
            </w:r>
          </w:p>
        </w:tc>
        <w:tc>
          <w:tcPr>
            <w:tcW w:w="558" w:type="pct"/>
            <w:tcBorders>
              <w:top w:val="nil"/>
              <w:left w:val="nil"/>
              <w:bottom w:val="nil"/>
              <w:right w:val="nil"/>
            </w:tcBorders>
            <w:noWrap/>
            <w:vAlign w:val="center"/>
            <w:hideMark/>
          </w:tcPr>
          <w:p w14:paraId="4C773F98" w14:textId="27CBDC4B" w:rsidR="00B131E0" w:rsidRPr="00B131E0" w:rsidRDefault="00E850D8" w:rsidP="00E850D8">
            <w:pPr>
              <w:jc w:val="cente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w:t>
            </w:r>
          </w:p>
        </w:tc>
        <w:tc>
          <w:tcPr>
            <w:tcW w:w="558" w:type="pct"/>
            <w:tcBorders>
              <w:top w:val="nil"/>
              <w:left w:val="nil"/>
              <w:bottom w:val="nil"/>
              <w:right w:val="nil"/>
            </w:tcBorders>
            <w:noWrap/>
            <w:vAlign w:val="center"/>
            <w:hideMark/>
          </w:tcPr>
          <w:p w14:paraId="15CF82F0" w14:textId="1C1BB310"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4.023</w:t>
            </w:r>
          </w:p>
        </w:tc>
        <w:tc>
          <w:tcPr>
            <w:tcW w:w="558" w:type="pct"/>
            <w:tcBorders>
              <w:top w:val="nil"/>
              <w:left w:val="nil"/>
              <w:bottom w:val="nil"/>
              <w:right w:val="nil"/>
            </w:tcBorders>
            <w:noWrap/>
            <w:vAlign w:val="center"/>
            <w:hideMark/>
          </w:tcPr>
          <w:p w14:paraId="54DEE70F" w14:textId="40D7158B"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102.606</w:t>
            </w:r>
          </w:p>
        </w:tc>
        <w:tc>
          <w:tcPr>
            <w:tcW w:w="558" w:type="pct"/>
            <w:tcBorders>
              <w:top w:val="nil"/>
              <w:left w:val="nil"/>
              <w:bottom w:val="nil"/>
              <w:right w:val="nil"/>
            </w:tcBorders>
            <w:noWrap/>
            <w:vAlign w:val="center"/>
            <w:hideMark/>
          </w:tcPr>
          <w:p w14:paraId="06531B4C" w14:textId="55AF9AB9" w:rsidR="00B131E0" w:rsidRPr="00B131E0" w:rsidRDefault="00B131E0" w:rsidP="00B131E0">
            <w:pPr>
              <w:jc w:val="cente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w:t>
            </w:r>
          </w:p>
        </w:tc>
        <w:tc>
          <w:tcPr>
            <w:tcW w:w="558" w:type="pct"/>
            <w:tcBorders>
              <w:top w:val="nil"/>
              <w:left w:val="nil"/>
              <w:bottom w:val="nil"/>
              <w:right w:val="nil"/>
            </w:tcBorders>
            <w:noWrap/>
            <w:vAlign w:val="center"/>
            <w:hideMark/>
          </w:tcPr>
          <w:p w14:paraId="3D4AD4DA" w14:textId="4CCF863F"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(98.583)</w:t>
            </w:r>
          </w:p>
        </w:tc>
      </w:tr>
      <w:tr w:rsidR="00B131E0" w:rsidRPr="00B131E0" w14:paraId="315ADF3B" w14:textId="77777777" w:rsidTr="008E7032">
        <w:trPr>
          <w:trHeight w:val="283"/>
        </w:trPr>
        <w:tc>
          <w:tcPr>
            <w:tcW w:w="1653" w:type="pct"/>
            <w:tcBorders>
              <w:top w:val="nil"/>
              <w:left w:val="nil"/>
              <w:bottom w:val="single" w:sz="8" w:space="0" w:color="FFFFFF"/>
              <w:right w:val="nil"/>
            </w:tcBorders>
            <w:shd w:val="clear" w:color="000000" w:fill="005CA9"/>
            <w:noWrap/>
            <w:vAlign w:val="center"/>
            <w:hideMark/>
          </w:tcPr>
          <w:p w14:paraId="46A84F4B" w14:textId="77777777" w:rsidR="00B131E0" w:rsidRPr="00B131E0" w:rsidRDefault="00B131E0" w:rsidP="00B131E0">
            <w:pPr>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Total</w:t>
            </w:r>
          </w:p>
        </w:tc>
        <w:tc>
          <w:tcPr>
            <w:tcW w:w="558" w:type="pct"/>
            <w:tcBorders>
              <w:top w:val="nil"/>
              <w:left w:val="nil"/>
              <w:bottom w:val="single" w:sz="8" w:space="0" w:color="FFFFFF"/>
              <w:right w:val="nil"/>
            </w:tcBorders>
            <w:shd w:val="clear" w:color="000000" w:fill="005CA9"/>
            <w:noWrap/>
            <w:vAlign w:val="center"/>
            <w:hideMark/>
          </w:tcPr>
          <w:p w14:paraId="41F6DB78" w14:textId="1E8CA43F" w:rsidR="00B131E0" w:rsidRPr="00B131E0" w:rsidRDefault="00E850D8" w:rsidP="00B131E0">
            <w:pPr>
              <w:jc w:val="right"/>
              <w:rPr>
                <w:rFonts w:ascii="CAIXA Std Book" w:eastAsia="Times New Roman" w:hAnsi="CAIXA Std Book" w:cs="Times New Roman"/>
                <w:b/>
                <w:bCs/>
                <w:color w:val="FFFFFF"/>
                <w:sz w:val="18"/>
                <w:szCs w:val="18"/>
              </w:rPr>
            </w:pPr>
            <w:r w:rsidRPr="00E850D8">
              <w:rPr>
                <w:rFonts w:ascii="CAIXA Std Book" w:eastAsia="Times New Roman" w:hAnsi="CAIXA Std Book" w:cs="Times New Roman"/>
                <w:b/>
                <w:bCs/>
                <w:color w:val="FFFFFF"/>
                <w:sz w:val="18"/>
                <w:szCs w:val="18"/>
              </w:rPr>
              <w:t>135.063</w:t>
            </w:r>
          </w:p>
        </w:tc>
        <w:tc>
          <w:tcPr>
            <w:tcW w:w="558" w:type="pct"/>
            <w:tcBorders>
              <w:top w:val="nil"/>
              <w:left w:val="nil"/>
              <w:bottom w:val="single" w:sz="8" w:space="0" w:color="FFFFFF"/>
              <w:right w:val="nil"/>
            </w:tcBorders>
            <w:shd w:val="clear" w:color="000000" w:fill="005CA9"/>
            <w:noWrap/>
            <w:vAlign w:val="center"/>
            <w:hideMark/>
          </w:tcPr>
          <w:p w14:paraId="364E61A9" w14:textId="7D4DB6CA" w:rsidR="00B131E0" w:rsidRPr="00AF378C" w:rsidRDefault="00AF378C" w:rsidP="00AF378C">
            <w:pPr>
              <w:jc w:val="right"/>
              <w:rPr>
                <w:rFonts w:ascii="CAIXA Std Book" w:eastAsia="Times New Roman" w:hAnsi="CAIXA Std Book" w:cs="Times New Roman"/>
                <w:b/>
                <w:bCs/>
                <w:color w:val="FFFFFF"/>
                <w:sz w:val="18"/>
                <w:szCs w:val="18"/>
              </w:rPr>
            </w:pPr>
            <w:r w:rsidRPr="00AF378C">
              <w:rPr>
                <w:rFonts w:ascii="CAIXA Std Book" w:eastAsia="Times New Roman" w:hAnsi="CAIXA Std Book" w:cs="Times New Roman"/>
                <w:b/>
                <w:bCs/>
                <w:color w:val="FFFFFF"/>
                <w:sz w:val="18"/>
                <w:szCs w:val="18"/>
              </w:rPr>
              <w:t>149.133.939</w:t>
            </w:r>
          </w:p>
        </w:tc>
        <w:tc>
          <w:tcPr>
            <w:tcW w:w="558" w:type="pct"/>
            <w:tcBorders>
              <w:top w:val="nil"/>
              <w:left w:val="nil"/>
              <w:bottom w:val="single" w:sz="8" w:space="0" w:color="FFFFFF"/>
              <w:right w:val="nil"/>
            </w:tcBorders>
            <w:shd w:val="clear" w:color="000000" w:fill="005CA9"/>
            <w:noWrap/>
            <w:vAlign w:val="center"/>
            <w:hideMark/>
          </w:tcPr>
          <w:p w14:paraId="78056CC7" w14:textId="480D090C" w:rsidR="00B131E0" w:rsidRPr="00B131E0" w:rsidRDefault="00B131E0" w:rsidP="00B131E0">
            <w:pPr>
              <w:jc w:val="right"/>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149.269.002</w:t>
            </w:r>
          </w:p>
        </w:tc>
        <w:tc>
          <w:tcPr>
            <w:tcW w:w="558" w:type="pct"/>
            <w:tcBorders>
              <w:top w:val="nil"/>
              <w:left w:val="nil"/>
              <w:bottom w:val="single" w:sz="8" w:space="0" w:color="FFFFFF"/>
              <w:right w:val="nil"/>
            </w:tcBorders>
            <w:shd w:val="clear" w:color="000000" w:fill="005CA9"/>
            <w:noWrap/>
            <w:vAlign w:val="center"/>
            <w:hideMark/>
          </w:tcPr>
          <w:p w14:paraId="032B0D13" w14:textId="678FE6EA" w:rsidR="00B131E0" w:rsidRPr="00B131E0" w:rsidRDefault="00B131E0" w:rsidP="00B131E0">
            <w:pPr>
              <w:jc w:val="right"/>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149.842.09</w:t>
            </w:r>
            <w:r w:rsidR="00A3640C">
              <w:rPr>
                <w:rFonts w:ascii="CAIXA Std Book" w:eastAsia="Times New Roman" w:hAnsi="CAIXA Std Book" w:cs="Times New Roman"/>
                <w:b/>
                <w:bCs/>
                <w:color w:val="FFFFFF"/>
                <w:sz w:val="18"/>
                <w:szCs w:val="18"/>
              </w:rPr>
              <w:t>5</w:t>
            </w:r>
          </w:p>
        </w:tc>
        <w:tc>
          <w:tcPr>
            <w:tcW w:w="558" w:type="pct"/>
            <w:tcBorders>
              <w:top w:val="nil"/>
              <w:left w:val="nil"/>
              <w:bottom w:val="single" w:sz="8" w:space="0" w:color="FFFFFF"/>
              <w:right w:val="nil"/>
            </w:tcBorders>
            <w:shd w:val="clear" w:color="000000" w:fill="005CA9"/>
            <w:noWrap/>
            <w:vAlign w:val="center"/>
            <w:hideMark/>
          </w:tcPr>
          <w:p w14:paraId="25A15245" w14:textId="50B23324" w:rsidR="00B131E0" w:rsidRPr="00B131E0" w:rsidRDefault="00B131E0" w:rsidP="00B131E0">
            <w:pPr>
              <w:jc w:val="right"/>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(78.133)</w:t>
            </w:r>
          </w:p>
        </w:tc>
        <w:tc>
          <w:tcPr>
            <w:tcW w:w="558" w:type="pct"/>
            <w:tcBorders>
              <w:top w:val="nil"/>
              <w:left w:val="nil"/>
              <w:bottom w:val="single" w:sz="8" w:space="0" w:color="FFFFFF"/>
              <w:right w:val="nil"/>
            </w:tcBorders>
            <w:shd w:val="clear" w:color="000000" w:fill="005CA9"/>
            <w:noWrap/>
            <w:vAlign w:val="center"/>
            <w:hideMark/>
          </w:tcPr>
          <w:p w14:paraId="38DDD5AB" w14:textId="03E9F266" w:rsidR="00B131E0" w:rsidRPr="00B131E0" w:rsidRDefault="00B131E0" w:rsidP="00B131E0">
            <w:pPr>
              <w:jc w:val="right"/>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(494.960)</w:t>
            </w:r>
          </w:p>
        </w:tc>
      </w:tr>
    </w:tbl>
    <w:p w14:paraId="0EB0431D" w14:textId="69C08FC8" w:rsidR="00B131E0" w:rsidRDefault="00B131E0" w:rsidP="00B131E0">
      <w:pPr>
        <w:rPr>
          <w:rFonts w:ascii="CAIXA Std Book" w:hAnsi="CAIXA Std Book" w:cs="Calibri"/>
          <w:b/>
          <w:color w:val="FFFFFF"/>
          <w:sz w:val="16"/>
          <w:szCs w:val="16"/>
        </w:rPr>
      </w:pPr>
    </w:p>
    <w:tbl>
      <w:tblPr>
        <w:tblW w:w="5000" w:type="pct"/>
        <w:tblCellMar>
          <w:left w:w="70" w:type="dxa"/>
          <w:right w:w="70" w:type="dxa"/>
        </w:tblCellMar>
        <w:tblLook w:val="04A0" w:firstRow="1" w:lastRow="0" w:firstColumn="1" w:lastColumn="0" w:noHBand="0" w:noVBand="1"/>
      </w:tblPr>
      <w:tblGrid>
        <w:gridCol w:w="4814"/>
        <w:gridCol w:w="1625"/>
        <w:gridCol w:w="1625"/>
        <w:gridCol w:w="1625"/>
        <w:gridCol w:w="1625"/>
        <w:gridCol w:w="1625"/>
        <w:gridCol w:w="1622"/>
      </w:tblGrid>
      <w:tr w:rsidR="00B131E0" w:rsidRPr="00B131E0" w14:paraId="3A6714FB" w14:textId="77777777" w:rsidTr="00563FC6">
        <w:trPr>
          <w:trHeight w:val="283"/>
        </w:trPr>
        <w:tc>
          <w:tcPr>
            <w:tcW w:w="5000" w:type="pct"/>
            <w:gridSpan w:val="7"/>
            <w:tcBorders>
              <w:top w:val="nil"/>
              <w:left w:val="single" w:sz="8" w:space="0" w:color="FFFFFF"/>
              <w:bottom w:val="single" w:sz="8" w:space="0" w:color="FFFFFF"/>
              <w:right w:val="nil"/>
            </w:tcBorders>
            <w:shd w:val="clear" w:color="000000" w:fill="005CA9"/>
            <w:vAlign w:val="center"/>
            <w:hideMark/>
          </w:tcPr>
          <w:p w14:paraId="7EC3D8F4" w14:textId="77777777" w:rsidR="00B131E0" w:rsidRPr="00B131E0" w:rsidRDefault="00B131E0" w:rsidP="00B131E0">
            <w:pPr>
              <w:jc w:val="center"/>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Individual</w:t>
            </w:r>
          </w:p>
        </w:tc>
      </w:tr>
      <w:tr w:rsidR="00B131E0" w:rsidRPr="00B131E0" w14:paraId="67B2528E" w14:textId="77777777" w:rsidTr="00563FC6">
        <w:trPr>
          <w:trHeight w:val="283"/>
        </w:trPr>
        <w:tc>
          <w:tcPr>
            <w:tcW w:w="1653" w:type="pct"/>
            <w:vMerge w:val="restart"/>
            <w:tcBorders>
              <w:top w:val="nil"/>
              <w:left w:val="single" w:sz="8" w:space="0" w:color="FFFFFF"/>
              <w:bottom w:val="single" w:sz="8" w:space="0" w:color="FFFFFF"/>
              <w:right w:val="nil"/>
            </w:tcBorders>
            <w:shd w:val="clear" w:color="000000" w:fill="005CA9"/>
            <w:vAlign w:val="center"/>
            <w:hideMark/>
          </w:tcPr>
          <w:p w14:paraId="1F9CC344" w14:textId="77777777" w:rsidR="00B131E0" w:rsidRPr="00B131E0" w:rsidRDefault="00B131E0" w:rsidP="00B131E0">
            <w:pPr>
              <w:jc w:val="center"/>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Descrição</w:t>
            </w:r>
          </w:p>
        </w:tc>
        <w:tc>
          <w:tcPr>
            <w:tcW w:w="3347" w:type="pct"/>
            <w:gridSpan w:val="6"/>
            <w:tcBorders>
              <w:top w:val="single" w:sz="8" w:space="0" w:color="FFFFFF"/>
              <w:left w:val="nil"/>
              <w:bottom w:val="single" w:sz="8" w:space="0" w:color="FFFFFF"/>
              <w:right w:val="nil"/>
            </w:tcBorders>
            <w:shd w:val="clear" w:color="000000" w:fill="005CA9"/>
            <w:vAlign w:val="center"/>
            <w:hideMark/>
          </w:tcPr>
          <w:p w14:paraId="5BFBD8A0" w14:textId="77777777" w:rsidR="00B131E0" w:rsidRPr="00B131E0" w:rsidRDefault="00B131E0" w:rsidP="00B131E0">
            <w:pPr>
              <w:jc w:val="center"/>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31/12/2025</w:t>
            </w:r>
          </w:p>
        </w:tc>
      </w:tr>
      <w:tr w:rsidR="00B131E0" w:rsidRPr="00B131E0" w14:paraId="38A5AB11" w14:textId="77777777" w:rsidTr="005841BA">
        <w:trPr>
          <w:trHeight w:val="283"/>
        </w:trPr>
        <w:tc>
          <w:tcPr>
            <w:tcW w:w="1653" w:type="pct"/>
            <w:vMerge/>
            <w:tcBorders>
              <w:top w:val="nil"/>
              <w:left w:val="single" w:sz="8" w:space="0" w:color="FFFFFF"/>
              <w:bottom w:val="single" w:sz="8" w:space="0" w:color="FFFFFF"/>
              <w:right w:val="nil"/>
            </w:tcBorders>
            <w:vAlign w:val="center"/>
            <w:hideMark/>
          </w:tcPr>
          <w:p w14:paraId="3F160906" w14:textId="77777777" w:rsidR="00B131E0" w:rsidRPr="00B131E0" w:rsidRDefault="00B131E0" w:rsidP="00B131E0">
            <w:pPr>
              <w:rPr>
                <w:rFonts w:ascii="CAIXA Std Book" w:eastAsia="Times New Roman" w:hAnsi="CAIXA Std Book" w:cs="Times New Roman"/>
                <w:b/>
                <w:bCs/>
                <w:color w:val="FFFFFF"/>
                <w:sz w:val="18"/>
                <w:szCs w:val="18"/>
              </w:rPr>
            </w:pPr>
          </w:p>
        </w:tc>
        <w:tc>
          <w:tcPr>
            <w:tcW w:w="558" w:type="pct"/>
            <w:tcBorders>
              <w:top w:val="nil"/>
              <w:left w:val="nil"/>
              <w:bottom w:val="single" w:sz="8" w:space="0" w:color="FFFFFF"/>
              <w:right w:val="nil"/>
            </w:tcBorders>
            <w:shd w:val="clear" w:color="000000" w:fill="005CA9"/>
            <w:vAlign w:val="center"/>
            <w:hideMark/>
          </w:tcPr>
          <w:p w14:paraId="4B64F32F" w14:textId="77777777" w:rsidR="00B131E0" w:rsidRPr="00B131E0" w:rsidRDefault="00B131E0" w:rsidP="00B131E0">
            <w:pPr>
              <w:jc w:val="center"/>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Sem vencimento</w:t>
            </w:r>
          </w:p>
        </w:tc>
        <w:tc>
          <w:tcPr>
            <w:tcW w:w="558" w:type="pct"/>
            <w:tcBorders>
              <w:top w:val="nil"/>
              <w:left w:val="nil"/>
              <w:bottom w:val="nil"/>
              <w:right w:val="nil"/>
            </w:tcBorders>
            <w:shd w:val="clear" w:color="000000" w:fill="005CA9"/>
            <w:vAlign w:val="center"/>
            <w:hideMark/>
          </w:tcPr>
          <w:p w14:paraId="7AD24144" w14:textId="77777777" w:rsidR="00B131E0" w:rsidRPr="00B131E0" w:rsidRDefault="00B131E0" w:rsidP="00B131E0">
            <w:pPr>
              <w:jc w:val="center"/>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Acima de 360 dias</w:t>
            </w:r>
          </w:p>
        </w:tc>
        <w:tc>
          <w:tcPr>
            <w:tcW w:w="558" w:type="pct"/>
            <w:tcBorders>
              <w:top w:val="nil"/>
              <w:left w:val="nil"/>
              <w:bottom w:val="single" w:sz="8" w:space="0" w:color="FFFFFF"/>
              <w:right w:val="nil"/>
            </w:tcBorders>
            <w:shd w:val="clear" w:color="000000" w:fill="005CA9"/>
            <w:vAlign w:val="center"/>
            <w:hideMark/>
          </w:tcPr>
          <w:p w14:paraId="6F1EBCD2" w14:textId="77777777" w:rsidR="00B131E0" w:rsidRPr="00B131E0" w:rsidRDefault="00B131E0" w:rsidP="00B131E0">
            <w:pPr>
              <w:jc w:val="center"/>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Valor justo</w:t>
            </w:r>
          </w:p>
        </w:tc>
        <w:tc>
          <w:tcPr>
            <w:tcW w:w="558" w:type="pct"/>
            <w:tcBorders>
              <w:top w:val="nil"/>
              <w:left w:val="nil"/>
              <w:bottom w:val="single" w:sz="8" w:space="0" w:color="FFFFFF"/>
              <w:right w:val="nil"/>
            </w:tcBorders>
            <w:shd w:val="clear" w:color="000000" w:fill="005CA9"/>
            <w:vAlign w:val="center"/>
            <w:hideMark/>
          </w:tcPr>
          <w:p w14:paraId="093EAC85" w14:textId="77777777" w:rsidR="00B131E0" w:rsidRPr="00B131E0" w:rsidRDefault="00B131E0" w:rsidP="00B131E0">
            <w:pPr>
              <w:jc w:val="center"/>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Valor contábil bruto</w:t>
            </w:r>
          </w:p>
        </w:tc>
        <w:tc>
          <w:tcPr>
            <w:tcW w:w="558" w:type="pct"/>
            <w:tcBorders>
              <w:top w:val="nil"/>
              <w:left w:val="nil"/>
              <w:bottom w:val="single" w:sz="8" w:space="0" w:color="FFFFFF"/>
              <w:right w:val="nil"/>
            </w:tcBorders>
            <w:shd w:val="clear" w:color="000000" w:fill="005CA9"/>
            <w:vAlign w:val="center"/>
            <w:hideMark/>
          </w:tcPr>
          <w:p w14:paraId="446D10E8" w14:textId="77777777" w:rsidR="00B131E0" w:rsidRPr="00B131E0" w:rsidRDefault="00B131E0" w:rsidP="00B131E0">
            <w:pPr>
              <w:jc w:val="center"/>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Perdas esperadas</w:t>
            </w:r>
          </w:p>
        </w:tc>
        <w:tc>
          <w:tcPr>
            <w:tcW w:w="557" w:type="pct"/>
            <w:tcBorders>
              <w:top w:val="nil"/>
              <w:left w:val="nil"/>
              <w:bottom w:val="nil"/>
              <w:right w:val="nil"/>
            </w:tcBorders>
            <w:shd w:val="clear" w:color="000000" w:fill="005CA9"/>
            <w:vAlign w:val="center"/>
            <w:hideMark/>
          </w:tcPr>
          <w:p w14:paraId="272E5CAA" w14:textId="77777777" w:rsidR="00B131E0" w:rsidRPr="00B131E0" w:rsidRDefault="00B131E0" w:rsidP="00B131E0">
            <w:pPr>
              <w:jc w:val="center"/>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Ajuste valor justo</w:t>
            </w:r>
          </w:p>
        </w:tc>
      </w:tr>
      <w:tr w:rsidR="00B131E0" w:rsidRPr="00B131E0" w14:paraId="7B00B73E" w14:textId="77777777" w:rsidTr="005841BA">
        <w:trPr>
          <w:trHeight w:val="283"/>
        </w:trPr>
        <w:tc>
          <w:tcPr>
            <w:tcW w:w="1653" w:type="pct"/>
            <w:tcBorders>
              <w:top w:val="nil"/>
              <w:left w:val="nil"/>
              <w:bottom w:val="nil"/>
              <w:right w:val="nil"/>
            </w:tcBorders>
            <w:noWrap/>
            <w:vAlign w:val="center"/>
            <w:hideMark/>
          </w:tcPr>
          <w:p w14:paraId="46A085B0" w14:textId="77777777" w:rsidR="00B131E0" w:rsidRPr="00B131E0" w:rsidRDefault="00B131E0" w:rsidP="00B131E0">
            <w:pP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Títulos públicos federais brasileiros</w:t>
            </w:r>
          </w:p>
        </w:tc>
        <w:tc>
          <w:tcPr>
            <w:tcW w:w="558" w:type="pct"/>
            <w:tcBorders>
              <w:top w:val="nil"/>
              <w:left w:val="nil"/>
              <w:bottom w:val="nil"/>
              <w:right w:val="nil"/>
            </w:tcBorders>
            <w:noWrap/>
            <w:vAlign w:val="center"/>
            <w:hideMark/>
          </w:tcPr>
          <w:p w14:paraId="17359AF7" w14:textId="7F315AB1" w:rsidR="00B131E0" w:rsidRPr="00B131E0" w:rsidRDefault="00B131E0" w:rsidP="00563FC6">
            <w:pPr>
              <w:jc w:val="cente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w:t>
            </w:r>
          </w:p>
        </w:tc>
        <w:tc>
          <w:tcPr>
            <w:tcW w:w="558" w:type="pct"/>
            <w:tcBorders>
              <w:top w:val="nil"/>
              <w:left w:val="nil"/>
              <w:bottom w:val="nil"/>
              <w:right w:val="nil"/>
            </w:tcBorders>
            <w:noWrap/>
            <w:vAlign w:val="center"/>
            <w:hideMark/>
          </w:tcPr>
          <w:p w14:paraId="7E86AA07" w14:textId="4AA851FD"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152.466.860</w:t>
            </w:r>
          </w:p>
        </w:tc>
        <w:tc>
          <w:tcPr>
            <w:tcW w:w="558" w:type="pct"/>
            <w:tcBorders>
              <w:top w:val="nil"/>
              <w:left w:val="nil"/>
              <w:bottom w:val="nil"/>
              <w:right w:val="nil"/>
            </w:tcBorders>
            <w:noWrap/>
            <w:vAlign w:val="center"/>
            <w:hideMark/>
          </w:tcPr>
          <w:p w14:paraId="0F35C682" w14:textId="59C581C9"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152.466.860</w:t>
            </w:r>
          </w:p>
        </w:tc>
        <w:tc>
          <w:tcPr>
            <w:tcW w:w="558" w:type="pct"/>
            <w:tcBorders>
              <w:top w:val="nil"/>
              <w:left w:val="nil"/>
              <w:bottom w:val="nil"/>
              <w:right w:val="nil"/>
            </w:tcBorders>
            <w:noWrap/>
            <w:vAlign w:val="center"/>
            <w:hideMark/>
          </w:tcPr>
          <w:p w14:paraId="1D0D155D" w14:textId="6A195A5A"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152.198.245</w:t>
            </w:r>
          </w:p>
        </w:tc>
        <w:tc>
          <w:tcPr>
            <w:tcW w:w="558" w:type="pct"/>
            <w:tcBorders>
              <w:top w:val="nil"/>
              <w:left w:val="nil"/>
              <w:bottom w:val="nil"/>
              <w:right w:val="nil"/>
            </w:tcBorders>
            <w:noWrap/>
            <w:vAlign w:val="center"/>
            <w:hideMark/>
          </w:tcPr>
          <w:p w14:paraId="19F943BD" w14:textId="0D1A2488" w:rsidR="00B131E0" w:rsidRPr="00B131E0" w:rsidRDefault="00B131E0" w:rsidP="00563FC6">
            <w:pPr>
              <w:jc w:val="cente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w:t>
            </w:r>
          </w:p>
        </w:tc>
        <w:tc>
          <w:tcPr>
            <w:tcW w:w="557" w:type="pct"/>
            <w:tcBorders>
              <w:top w:val="nil"/>
              <w:left w:val="nil"/>
              <w:bottom w:val="nil"/>
              <w:right w:val="nil"/>
            </w:tcBorders>
            <w:noWrap/>
            <w:vAlign w:val="center"/>
            <w:hideMark/>
          </w:tcPr>
          <w:p w14:paraId="0AA870EC" w14:textId="5386FDC7"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268.615</w:t>
            </w:r>
          </w:p>
        </w:tc>
      </w:tr>
      <w:tr w:rsidR="00B131E0" w:rsidRPr="00B131E0" w14:paraId="7521346D" w14:textId="77777777" w:rsidTr="005841BA">
        <w:trPr>
          <w:trHeight w:val="283"/>
        </w:trPr>
        <w:tc>
          <w:tcPr>
            <w:tcW w:w="1653" w:type="pct"/>
            <w:tcBorders>
              <w:top w:val="nil"/>
              <w:left w:val="nil"/>
              <w:bottom w:val="nil"/>
              <w:right w:val="nil"/>
            </w:tcBorders>
            <w:noWrap/>
            <w:vAlign w:val="center"/>
            <w:hideMark/>
          </w:tcPr>
          <w:p w14:paraId="6582B77D" w14:textId="77777777" w:rsidR="00B131E0" w:rsidRPr="00B131E0" w:rsidRDefault="00B131E0" w:rsidP="00B131E0">
            <w:pP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Títulos privados de instituições financeiras</w:t>
            </w:r>
          </w:p>
        </w:tc>
        <w:tc>
          <w:tcPr>
            <w:tcW w:w="558" w:type="pct"/>
            <w:tcBorders>
              <w:top w:val="nil"/>
              <w:left w:val="nil"/>
              <w:bottom w:val="nil"/>
              <w:right w:val="nil"/>
            </w:tcBorders>
            <w:noWrap/>
            <w:vAlign w:val="center"/>
            <w:hideMark/>
          </w:tcPr>
          <w:p w14:paraId="62C61AE3" w14:textId="522790C5" w:rsidR="00B131E0" w:rsidRPr="00B131E0" w:rsidRDefault="00B131E0" w:rsidP="00563FC6">
            <w:pPr>
              <w:jc w:val="cente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w:t>
            </w:r>
          </w:p>
        </w:tc>
        <w:tc>
          <w:tcPr>
            <w:tcW w:w="558" w:type="pct"/>
            <w:tcBorders>
              <w:top w:val="nil"/>
              <w:left w:val="nil"/>
              <w:bottom w:val="nil"/>
              <w:right w:val="nil"/>
            </w:tcBorders>
            <w:noWrap/>
            <w:vAlign w:val="center"/>
            <w:hideMark/>
          </w:tcPr>
          <w:p w14:paraId="6502668E" w14:textId="6B092E4B"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163.855</w:t>
            </w:r>
          </w:p>
        </w:tc>
        <w:tc>
          <w:tcPr>
            <w:tcW w:w="558" w:type="pct"/>
            <w:tcBorders>
              <w:top w:val="nil"/>
              <w:left w:val="nil"/>
              <w:bottom w:val="nil"/>
              <w:right w:val="nil"/>
            </w:tcBorders>
            <w:noWrap/>
            <w:vAlign w:val="center"/>
            <w:hideMark/>
          </w:tcPr>
          <w:p w14:paraId="28254B9A" w14:textId="2E845BC5"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163.855</w:t>
            </w:r>
          </w:p>
        </w:tc>
        <w:tc>
          <w:tcPr>
            <w:tcW w:w="558" w:type="pct"/>
            <w:tcBorders>
              <w:top w:val="nil"/>
              <w:left w:val="nil"/>
              <w:bottom w:val="nil"/>
              <w:right w:val="nil"/>
            </w:tcBorders>
            <w:noWrap/>
            <w:vAlign w:val="center"/>
            <w:hideMark/>
          </w:tcPr>
          <w:p w14:paraId="39D209A5" w14:textId="6106B361"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162.163</w:t>
            </w:r>
          </w:p>
        </w:tc>
        <w:tc>
          <w:tcPr>
            <w:tcW w:w="558" w:type="pct"/>
            <w:tcBorders>
              <w:top w:val="nil"/>
              <w:left w:val="nil"/>
              <w:bottom w:val="nil"/>
              <w:right w:val="nil"/>
            </w:tcBorders>
            <w:noWrap/>
            <w:vAlign w:val="center"/>
            <w:hideMark/>
          </w:tcPr>
          <w:p w14:paraId="49C8C958" w14:textId="591C881F"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(811)</w:t>
            </w:r>
          </w:p>
        </w:tc>
        <w:tc>
          <w:tcPr>
            <w:tcW w:w="557" w:type="pct"/>
            <w:tcBorders>
              <w:top w:val="nil"/>
              <w:left w:val="nil"/>
              <w:bottom w:val="nil"/>
              <w:right w:val="nil"/>
            </w:tcBorders>
            <w:noWrap/>
            <w:vAlign w:val="center"/>
            <w:hideMark/>
          </w:tcPr>
          <w:p w14:paraId="36E11CF8" w14:textId="0CAC78BD"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2.503</w:t>
            </w:r>
          </w:p>
        </w:tc>
      </w:tr>
      <w:tr w:rsidR="00B131E0" w:rsidRPr="00B131E0" w14:paraId="5F64CDC8" w14:textId="77777777" w:rsidTr="005841BA">
        <w:trPr>
          <w:trHeight w:val="283"/>
        </w:trPr>
        <w:tc>
          <w:tcPr>
            <w:tcW w:w="1653" w:type="pct"/>
            <w:tcBorders>
              <w:top w:val="nil"/>
              <w:left w:val="nil"/>
              <w:bottom w:val="nil"/>
              <w:right w:val="nil"/>
            </w:tcBorders>
            <w:noWrap/>
            <w:vAlign w:val="center"/>
            <w:hideMark/>
          </w:tcPr>
          <w:p w14:paraId="15E52DBD" w14:textId="77777777" w:rsidR="00B131E0" w:rsidRPr="00B131E0" w:rsidRDefault="00B131E0" w:rsidP="00B131E0">
            <w:pP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Títulos privados de entidades não financeiras</w:t>
            </w:r>
          </w:p>
        </w:tc>
        <w:tc>
          <w:tcPr>
            <w:tcW w:w="558" w:type="pct"/>
            <w:tcBorders>
              <w:top w:val="nil"/>
              <w:left w:val="nil"/>
              <w:bottom w:val="nil"/>
              <w:right w:val="nil"/>
            </w:tcBorders>
            <w:noWrap/>
            <w:vAlign w:val="center"/>
            <w:hideMark/>
          </w:tcPr>
          <w:p w14:paraId="1418741E" w14:textId="5DA64FFE" w:rsidR="00B131E0" w:rsidRPr="00B131E0" w:rsidRDefault="00B131E0" w:rsidP="00563FC6">
            <w:pPr>
              <w:jc w:val="cente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w:t>
            </w:r>
          </w:p>
        </w:tc>
        <w:tc>
          <w:tcPr>
            <w:tcW w:w="558" w:type="pct"/>
            <w:tcBorders>
              <w:top w:val="nil"/>
              <w:left w:val="nil"/>
              <w:bottom w:val="nil"/>
              <w:right w:val="nil"/>
            </w:tcBorders>
            <w:noWrap/>
            <w:vAlign w:val="center"/>
            <w:hideMark/>
          </w:tcPr>
          <w:p w14:paraId="092B6F2E" w14:textId="4DAEA223"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3.300.077</w:t>
            </w:r>
          </w:p>
        </w:tc>
        <w:tc>
          <w:tcPr>
            <w:tcW w:w="558" w:type="pct"/>
            <w:tcBorders>
              <w:top w:val="nil"/>
              <w:left w:val="nil"/>
              <w:bottom w:val="nil"/>
              <w:right w:val="nil"/>
            </w:tcBorders>
            <w:noWrap/>
            <w:vAlign w:val="center"/>
            <w:hideMark/>
          </w:tcPr>
          <w:p w14:paraId="6254E7BD" w14:textId="68E24FEE"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3.300.077</w:t>
            </w:r>
          </w:p>
        </w:tc>
        <w:tc>
          <w:tcPr>
            <w:tcW w:w="558" w:type="pct"/>
            <w:tcBorders>
              <w:top w:val="nil"/>
              <w:left w:val="nil"/>
              <w:bottom w:val="nil"/>
              <w:right w:val="nil"/>
            </w:tcBorders>
            <w:noWrap/>
            <w:vAlign w:val="center"/>
            <w:hideMark/>
          </w:tcPr>
          <w:p w14:paraId="6E4B280E" w14:textId="114A3481"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3.345.020</w:t>
            </w:r>
          </w:p>
        </w:tc>
        <w:tc>
          <w:tcPr>
            <w:tcW w:w="558" w:type="pct"/>
            <w:tcBorders>
              <w:top w:val="nil"/>
              <w:left w:val="nil"/>
              <w:bottom w:val="nil"/>
              <w:right w:val="nil"/>
            </w:tcBorders>
            <w:noWrap/>
            <w:vAlign w:val="center"/>
            <w:hideMark/>
          </w:tcPr>
          <w:p w14:paraId="544C9E97" w14:textId="66CD0477"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(75.019)</w:t>
            </w:r>
          </w:p>
        </w:tc>
        <w:tc>
          <w:tcPr>
            <w:tcW w:w="557" w:type="pct"/>
            <w:tcBorders>
              <w:top w:val="nil"/>
              <w:left w:val="nil"/>
              <w:bottom w:val="nil"/>
              <w:right w:val="nil"/>
            </w:tcBorders>
            <w:noWrap/>
            <w:vAlign w:val="center"/>
            <w:hideMark/>
          </w:tcPr>
          <w:p w14:paraId="1A6CEA4A" w14:textId="13B088FB"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30.076</w:t>
            </w:r>
          </w:p>
        </w:tc>
      </w:tr>
      <w:tr w:rsidR="00B131E0" w:rsidRPr="00B131E0" w14:paraId="7E5698D8" w14:textId="77777777" w:rsidTr="005841BA">
        <w:trPr>
          <w:trHeight w:val="283"/>
        </w:trPr>
        <w:tc>
          <w:tcPr>
            <w:tcW w:w="1653" w:type="pct"/>
            <w:tcBorders>
              <w:top w:val="nil"/>
              <w:left w:val="nil"/>
              <w:bottom w:val="nil"/>
              <w:right w:val="nil"/>
            </w:tcBorders>
            <w:noWrap/>
            <w:vAlign w:val="center"/>
            <w:hideMark/>
          </w:tcPr>
          <w:p w14:paraId="393754A3" w14:textId="77777777" w:rsidR="00B131E0" w:rsidRPr="00B131E0" w:rsidRDefault="00B131E0" w:rsidP="00B131E0">
            <w:pP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Cotas de fundo de investimento</w:t>
            </w:r>
          </w:p>
        </w:tc>
        <w:tc>
          <w:tcPr>
            <w:tcW w:w="558" w:type="pct"/>
            <w:tcBorders>
              <w:top w:val="nil"/>
              <w:left w:val="nil"/>
              <w:bottom w:val="nil"/>
              <w:right w:val="nil"/>
            </w:tcBorders>
            <w:noWrap/>
            <w:vAlign w:val="center"/>
            <w:hideMark/>
          </w:tcPr>
          <w:p w14:paraId="1AB6C909" w14:textId="3567278B"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131.002</w:t>
            </w:r>
          </w:p>
        </w:tc>
        <w:tc>
          <w:tcPr>
            <w:tcW w:w="558" w:type="pct"/>
            <w:tcBorders>
              <w:top w:val="nil"/>
              <w:left w:val="nil"/>
              <w:bottom w:val="nil"/>
              <w:right w:val="nil"/>
            </w:tcBorders>
            <w:noWrap/>
            <w:vAlign w:val="center"/>
            <w:hideMark/>
          </w:tcPr>
          <w:p w14:paraId="714B0D3F" w14:textId="232C5E59" w:rsidR="00B131E0" w:rsidRPr="00B131E0" w:rsidRDefault="00B131E0" w:rsidP="00563FC6">
            <w:pPr>
              <w:jc w:val="cente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w:t>
            </w:r>
          </w:p>
        </w:tc>
        <w:tc>
          <w:tcPr>
            <w:tcW w:w="558" w:type="pct"/>
            <w:tcBorders>
              <w:top w:val="nil"/>
              <w:left w:val="nil"/>
              <w:bottom w:val="nil"/>
              <w:right w:val="nil"/>
            </w:tcBorders>
            <w:noWrap/>
            <w:vAlign w:val="center"/>
            <w:hideMark/>
          </w:tcPr>
          <w:p w14:paraId="674825D1" w14:textId="57B92A3E"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131.002</w:t>
            </w:r>
          </w:p>
        </w:tc>
        <w:tc>
          <w:tcPr>
            <w:tcW w:w="558" w:type="pct"/>
            <w:tcBorders>
              <w:top w:val="nil"/>
              <w:left w:val="nil"/>
              <w:bottom w:val="nil"/>
              <w:right w:val="nil"/>
            </w:tcBorders>
            <w:noWrap/>
            <w:vAlign w:val="center"/>
            <w:hideMark/>
          </w:tcPr>
          <w:p w14:paraId="55DFAD8C" w14:textId="26B0C626"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130.000</w:t>
            </w:r>
          </w:p>
        </w:tc>
        <w:tc>
          <w:tcPr>
            <w:tcW w:w="558" w:type="pct"/>
            <w:tcBorders>
              <w:top w:val="nil"/>
              <w:left w:val="nil"/>
              <w:bottom w:val="nil"/>
              <w:right w:val="nil"/>
            </w:tcBorders>
            <w:noWrap/>
            <w:vAlign w:val="center"/>
            <w:hideMark/>
          </w:tcPr>
          <w:p w14:paraId="0111BFE9" w14:textId="4A3931C2" w:rsidR="00B131E0" w:rsidRPr="00B131E0" w:rsidRDefault="00B131E0" w:rsidP="00563FC6">
            <w:pPr>
              <w:jc w:val="cente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w:t>
            </w:r>
          </w:p>
        </w:tc>
        <w:tc>
          <w:tcPr>
            <w:tcW w:w="557" w:type="pct"/>
            <w:tcBorders>
              <w:top w:val="nil"/>
              <w:left w:val="nil"/>
              <w:bottom w:val="nil"/>
              <w:right w:val="nil"/>
            </w:tcBorders>
            <w:noWrap/>
            <w:vAlign w:val="center"/>
            <w:hideMark/>
          </w:tcPr>
          <w:p w14:paraId="20FBFE46" w14:textId="405676C6"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1.002</w:t>
            </w:r>
          </w:p>
        </w:tc>
      </w:tr>
      <w:tr w:rsidR="00B131E0" w:rsidRPr="00B131E0" w14:paraId="5C4F3EAC" w14:textId="77777777" w:rsidTr="005841BA">
        <w:trPr>
          <w:trHeight w:val="283"/>
        </w:trPr>
        <w:tc>
          <w:tcPr>
            <w:tcW w:w="1653" w:type="pct"/>
            <w:tcBorders>
              <w:top w:val="nil"/>
              <w:left w:val="nil"/>
              <w:bottom w:val="nil"/>
              <w:right w:val="nil"/>
            </w:tcBorders>
            <w:noWrap/>
            <w:vAlign w:val="center"/>
            <w:hideMark/>
          </w:tcPr>
          <w:p w14:paraId="5B32A4DE" w14:textId="77777777" w:rsidR="00B131E0" w:rsidRPr="00B131E0" w:rsidRDefault="00B131E0" w:rsidP="00B131E0">
            <w:pP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Ações</w:t>
            </w:r>
          </w:p>
        </w:tc>
        <w:tc>
          <w:tcPr>
            <w:tcW w:w="558" w:type="pct"/>
            <w:tcBorders>
              <w:top w:val="nil"/>
              <w:left w:val="nil"/>
              <w:bottom w:val="nil"/>
              <w:right w:val="nil"/>
            </w:tcBorders>
            <w:noWrap/>
            <w:vAlign w:val="center"/>
            <w:hideMark/>
          </w:tcPr>
          <w:p w14:paraId="40EBCDC3" w14:textId="29926E50"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876.988</w:t>
            </w:r>
          </w:p>
        </w:tc>
        <w:tc>
          <w:tcPr>
            <w:tcW w:w="558" w:type="pct"/>
            <w:tcBorders>
              <w:top w:val="nil"/>
              <w:left w:val="nil"/>
              <w:bottom w:val="nil"/>
              <w:right w:val="nil"/>
            </w:tcBorders>
            <w:noWrap/>
            <w:vAlign w:val="center"/>
            <w:hideMark/>
          </w:tcPr>
          <w:p w14:paraId="31418802" w14:textId="72056429" w:rsidR="00B131E0" w:rsidRPr="00B131E0" w:rsidRDefault="00B131E0" w:rsidP="00563FC6">
            <w:pPr>
              <w:jc w:val="cente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w:t>
            </w:r>
          </w:p>
        </w:tc>
        <w:tc>
          <w:tcPr>
            <w:tcW w:w="558" w:type="pct"/>
            <w:tcBorders>
              <w:top w:val="nil"/>
              <w:left w:val="nil"/>
              <w:bottom w:val="nil"/>
              <w:right w:val="nil"/>
            </w:tcBorders>
            <w:noWrap/>
            <w:vAlign w:val="center"/>
            <w:hideMark/>
          </w:tcPr>
          <w:p w14:paraId="3A0B8A38" w14:textId="621D2DA9"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876.988</w:t>
            </w:r>
          </w:p>
        </w:tc>
        <w:tc>
          <w:tcPr>
            <w:tcW w:w="558" w:type="pct"/>
            <w:tcBorders>
              <w:top w:val="nil"/>
              <w:left w:val="nil"/>
              <w:bottom w:val="nil"/>
              <w:right w:val="nil"/>
            </w:tcBorders>
            <w:noWrap/>
            <w:vAlign w:val="center"/>
            <w:hideMark/>
          </w:tcPr>
          <w:p w14:paraId="67C269D9" w14:textId="4A3C0C87"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917.736</w:t>
            </w:r>
          </w:p>
        </w:tc>
        <w:tc>
          <w:tcPr>
            <w:tcW w:w="558" w:type="pct"/>
            <w:tcBorders>
              <w:top w:val="nil"/>
              <w:left w:val="nil"/>
              <w:bottom w:val="nil"/>
              <w:right w:val="nil"/>
            </w:tcBorders>
            <w:noWrap/>
            <w:vAlign w:val="center"/>
            <w:hideMark/>
          </w:tcPr>
          <w:p w14:paraId="28638C11" w14:textId="70B0C555" w:rsidR="00B131E0" w:rsidRPr="00B131E0" w:rsidRDefault="00B131E0" w:rsidP="00563FC6">
            <w:pPr>
              <w:jc w:val="center"/>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w:t>
            </w:r>
          </w:p>
        </w:tc>
        <w:tc>
          <w:tcPr>
            <w:tcW w:w="557" w:type="pct"/>
            <w:tcBorders>
              <w:top w:val="nil"/>
              <w:left w:val="nil"/>
              <w:bottom w:val="nil"/>
              <w:right w:val="nil"/>
            </w:tcBorders>
            <w:noWrap/>
            <w:vAlign w:val="center"/>
            <w:hideMark/>
          </w:tcPr>
          <w:p w14:paraId="0E0120AD" w14:textId="488F3F18" w:rsidR="00B131E0" w:rsidRPr="00B131E0" w:rsidRDefault="00B131E0" w:rsidP="00B131E0">
            <w:pPr>
              <w:jc w:val="right"/>
              <w:rPr>
                <w:rFonts w:ascii="CAIXA Std Book" w:eastAsia="Times New Roman" w:hAnsi="CAIXA Std Book" w:cs="Times New Roman"/>
                <w:color w:val="005CA9"/>
                <w:sz w:val="18"/>
                <w:szCs w:val="18"/>
              </w:rPr>
            </w:pPr>
            <w:r w:rsidRPr="00B131E0">
              <w:rPr>
                <w:rFonts w:ascii="CAIXA Std Book" w:eastAsia="Times New Roman" w:hAnsi="CAIXA Std Book" w:cs="Times New Roman"/>
                <w:color w:val="005CA9"/>
                <w:sz w:val="18"/>
                <w:szCs w:val="18"/>
              </w:rPr>
              <w:t>(40.748)</w:t>
            </w:r>
          </w:p>
        </w:tc>
      </w:tr>
      <w:tr w:rsidR="00B131E0" w:rsidRPr="00B131E0" w14:paraId="39492FCF" w14:textId="77777777" w:rsidTr="005841BA">
        <w:trPr>
          <w:trHeight w:val="283"/>
        </w:trPr>
        <w:tc>
          <w:tcPr>
            <w:tcW w:w="1653" w:type="pct"/>
            <w:tcBorders>
              <w:top w:val="nil"/>
              <w:left w:val="nil"/>
              <w:bottom w:val="single" w:sz="8" w:space="0" w:color="FFFFFF"/>
              <w:right w:val="nil"/>
            </w:tcBorders>
            <w:shd w:val="clear" w:color="000000" w:fill="005CA9"/>
            <w:noWrap/>
            <w:vAlign w:val="center"/>
            <w:hideMark/>
          </w:tcPr>
          <w:p w14:paraId="672444AB" w14:textId="77777777" w:rsidR="00B131E0" w:rsidRPr="00B131E0" w:rsidRDefault="00B131E0" w:rsidP="00B131E0">
            <w:pPr>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Total</w:t>
            </w:r>
          </w:p>
        </w:tc>
        <w:tc>
          <w:tcPr>
            <w:tcW w:w="558" w:type="pct"/>
            <w:tcBorders>
              <w:top w:val="nil"/>
              <w:left w:val="nil"/>
              <w:bottom w:val="single" w:sz="8" w:space="0" w:color="FFFFFF"/>
              <w:right w:val="nil"/>
            </w:tcBorders>
            <w:shd w:val="clear" w:color="000000" w:fill="005CA9"/>
            <w:noWrap/>
            <w:vAlign w:val="center"/>
            <w:hideMark/>
          </w:tcPr>
          <w:p w14:paraId="756B3B72" w14:textId="1EA9821A" w:rsidR="00B131E0" w:rsidRPr="00B131E0" w:rsidRDefault="00B131E0" w:rsidP="00B131E0">
            <w:pPr>
              <w:jc w:val="right"/>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1.007.990</w:t>
            </w:r>
          </w:p>
        </w:tc>
        <w:tc>
          <w:tcPr>
            <w:tcW w:w="558" w:type="pct"/>
            <w:tcBorders>
              <w:top w:val="nil"/>
              <w:left w:val="nil"/>
              <w:bottom w:val="single" w:sz="8" w:space="0" w:color="FFFFFF"/>
              <w:right w:val="nil"/>
            </w:tcBorders>
            <w:shd w:val="clear" w:color="000000" w:fill="005CA9"/>
            <w:noWrap/>
            <w:vAlign w:val="center"/>
            <w:hideMark/>
          </w:tcPr>
          <w:p w14:paraId="2DD470C3" w14:textId="20818F40" w:rsidR="00B131E0" w:rsidRPr="00B131E0" w:rsidRDefault="00B131E0" w:rsidP="00B131E0">
            <w:pPr>
              <w:jc w:val="right"/>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155.930.792</w:t>
            </w:r>
          </w:p>
        </w:tc>
        <w:tc>
          <w:tcPr>
            <w:tcW w:w="558" w:type="pct"/>
            <w:tcBorders>
              <w:top w:val="nil"/>
              <w:left w:val="nil"/>
              <w:bottom w:val="single" w:sz="8" w:space="0" w:color="FFFFFF"/>
              <w:right w:val="nil"/>
            </w:tcBorders>
            <w:shd w:val="clear" w:color="000000" w:fill="005CA9"/>
            <w:noWrap/>
            <w:vAlign w:val="center"/>
            <w:hideMark/>
          </w:tcPr>
          <w:p w14:paraId="49F6B57E" w14:textId="1E5BDC50" w:rsidR="00B131E0" w:rsidRPr="00B131E0" w:rsidRDefault="00B131E0" w:rsidP="00B131E0">
            <w:pPr>
              <w:jc w:val="right"/>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156.938.782</w:t>
            </w:r>
          </w:p>
        </w:tc>
        <w:tc>
          <w:tcPr>
            <w:tcW w:w="558" w:type="pct"/>
            <w:tcBorders>
              <w:top w:val="nil"/>
              <w:left w:val="nil"/>
              <w:bottom w:val="single" w:sz="8" w:space="0" w:color="FFFFFF"/>
              <w:right w:val="nil"/>
            </w:tcBorders>
            <w:shd w:val="clear" w:color="000000" w:fill="005CA9"/>
            <w:noWrap/>
            <w:vAlign w:val="center"/>
            <w:hideMark/>
          </w:tcPr>
          <w:p w14:paraId="189D75A6" w14:textId="6CD5BCFC" w:rsidR="00B131E0" w:rsidRPr="00B131E0" w:rsidRDefault="00B131E0" w:rsidP="00B131E0">
            <w:pPr>
              <w:jc w:val="right"/>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156.753.164</w:t>
            </w:r>
          </w:p>
        </w:tc>
        <w:tc>
          <w:tcPr>
            <w:tcW w:w="558" w:type="pct"/>
            <w:tcBorders>
              <w:top w:val="nil"/>
              <w:left w:val="nil"/>
              <w:bottom w:val="single" w:sz="8" w:space="0" w:color="FFFFFF"/>
              <w:right w:val="nil"/>
            </w:tcBorders>
            <w:shd w:val="clear" w:color="000000" w:fill="005CA9"/>
            <w:noWrap/>
            <w:vAlign w:val="center"/>
            <w:hideMark/>
          </w:tcPr>
          <w:p w14:paraId="6BB710BB" w14:textId="5EC013A5" w:rsidR="00B131E0" w:rsidRPr="00B131E0" w:rsidRDefault="00B131E0" w:rsidP="00B131E0">
            <w:pPr>
              <w:jc w:val="right"/>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(75.830)</w:t>
            </w:r>
          </w:p>
        </w:tc>
        <w:tc>
          <w:tcPr>
            <w:tcW w:w="557" w:type="pct"/>
            <w:tcBorders>
              <w:top w:val="nil"/>
              <w:left w:val="nil"/>
              <w:bottom w:val="single" w:sz="8" w:space="0" w:color="FFFFFF"/>
              <w:right w:val="nil"/>
            </w:tcBorders>
            <w:shd w:val="clear" w:color="000000" w:fill="005CA9"/>
            <w:noWrap/>
            <w:vAlign w:val="center"/>
            <w:hideMark/>
          </w:tcPr>
          <w:p w14:paraId="6909D54F" w14:textId="6CD20CCE" w:rsidR="00B131E0" w:rsidRPr="00B131E0" w:rsidRDefault="00B131E0" w:rsidP="00B131E0">
            <w:pPr>
              <w:jc w:val="right"/>
              <w:rPr>
                <w:rFonts w:ascii="CAIXA Std Book" w:eastAsia="Times New Roman" w:hAnsi="CAIXA Std Book" w:cs="Times New Roman"/>
                <w:b/>
                <w:bCs/>
                <w:color w:val="FFFFFF"/>
                <w:sz w:val="18"/>
                <w:szCs w:val="18"/>
              </w:rPr>
            </w:pPr>
            <w:r w:rsidRPr="00B131E0">
              <w:rPr>
                <w:rFonts w:ascii="CAIXA Std Book" w:eastAsia="Times New Roman" w:hAnsi="CAIXA Std Book" w:cs="Times New Roman"/>
                <w:b/>
                <w:bCs/>
                <w:color w:val="FFFFFF"/>
                <w:sz w:val="18"/>
                <w:szCs w:val="18"/>
              </w:rPr>
              <w:t>261.448</w:t>
            </w:r>
          </w:p>
        </w:tc>
      </w:tr>
    </w:tbl>
    <w:p w14:paraId="23086F06" w14:textId="5A285C21" w:rsidR="00585E8F" w:rsidRDefault="00585E8F">
      <w:pPr>
        <w:rPr>
          <w:rFonts w:ascii="CAIXA Std Book" w:hAnsi="CAIXA Std Book" w:cs="Calibri"/>
          <w:b/>
          <w:color w:val="FFFFFF"/>
          <w:sz w:val="16"/>
          <w:szCs w:val="16"/>
        </w:rPr>
      </w:pPr>
    </w:p>
    <w:tbl>
      <w:tblPr>
        <w:tblW w:w="5000" w:type="pct"/>
        <w:tblCellMar>
          <w:left w:w="70" w:type="dxa"/>
          <w:right w:w="70" w:type="dxa"/>
        </w:tblCellMar>
        <w:tblLook w:val="04A0" w:firstRow="1" w:lastRow="0" w:firstColumn="1" w:lastColumn="0" w:noHBand="0" w:noVBand="1"/>
      </w:tblPr>
      <w:tblGrid>
        <w:gridCol w:w="3535"/>
        <w:gridCol w:w="1500"/>
        <w:gridCol w:w="1791"/>
        <w:gridCol w:w="1596"/>
        <w:gridCol w:w="1264"/>
        <w:gridCol w:w="1721"/>
        <w:gridCol w:w="1523"/>
        <w:gridCol w:w="1631"/>
      </w:tblGrid>
      <w:tr w:rsidR="008B416A" w:rsidRPr="00585E8F" w14:paraId="642F2615" w14:textId="77777777">
        <w:trPr>
          <w:trHeight w:val="283"/>
        </w:trPr>
        <w:tc>
          <w:tcPr>
            <w:tcW w:w="5000" w:type="pct"/>
            <w:gridSpan w:val="8"/>
            <w:tcBorders>
              <w:top w:val="nil"/>
              <w:left w:val="single" w:sz="8" w:space="0" w:color="FFFFFF"/>
              <w:bottom w:val="single" w:sz="8" w:space="0" w:color="FFFFFF"/>
              <w:right w:val="nil"/>
            </w:tcBorders>
            <w:shd w:val="clear" w:color="000000" w:fill="005CA9"/>
            <w:vAlign w:val="center"/>
            <w:hideMark/>
          </w:tcPr>
          <w:p w14:paraId="6C8C79F2" w14:textId="77777777" w:rsidR="008B416A" w:rsidRPr="00585E8F" w:rsidRDefault="008B416A">
            <w:pPr>
              <w:jc w:val="cente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Consolidado</w:t>
            </w:r>
          </w:p>
        </w:tc>
      </w:tr>
      <w:tr w:rsidR="008B416A" w:rsidRPr="00585E8F" w14:paraId="54019F93" w14:textId="77777777">
        <w:trPr>
          <w:trHeight w:val="283"/>
        </w:trPr>
        <w:tc>
          <w:tcPr>
            <w:tcW w:w="1214" w:type="pct"/>
            <w:vMerge w:val="restart"/>
            <w:tcBorders>
              <w:top w:val="nil"/>
              <w:left w:val="single" w:sz="8" w:space="0" w:color="FFFFFF"/>
              <w:bottom w:val="single" w:sz="8" w:space="0" w:color="FFFFFF"/>
              <w:right w:val="nil"/>
            </w:tcBorders>
            <w:shd w:val="clear" w:color="000000" w:fill="005CA9"/>
            <w:vAlign w:val="center"/>
            <w:hideMark/>
          </w:tcPr>
          <w:p w14:paraId="7FD4E67E" w14:textId="77777777" w:rsidR="008B416A" w:rsidRPr="00585E8F" w:rsidRDefault="008B416A">
            <w:pPr>
              <w:jc w:val="cente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 xml:space="preserve">Descrição </w:t>
            </w:r>
          </w:p>
        </w:tc>
        <w:tc>
          <w:tcPr>
            <w:tcW w:w="3786" w:type="pct"/>
            <w:gridSpan w:val="7"/>
            <w:tcBorders>
              <w:top w:val="single" w:sz="8" w:space="0" w:color="FFFFFF"/>
              <w:left w:val="nil"/>
              <w:bottom w:val="single" w:sz="8" w:space="0" w:color="FFFFFF"/>
              <w:right w:val="nil"/>
            </w:tcBorders>
            <w:shd w:val="clear" w:color="000000" w:fill="005CA9"/>
            <w:vAlign w:val="center"/>
            <w:hideMark/>
          </w:tcPr>
          <w:p w14:paraId="259B5B13" w14:textId="77777777" w:rsidR="008B416A" w:rsidRPr="00585E8F" w:rsidRDefault="008B416A">
            <w:pPr>
              <w:jc w:val="cente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31/</w:t>
            </w:r>
            <w:r>
              <w:rPr>
                <w:rFonts w:ascii="CAIXA Std Book" w:eastAsia="Times New Roman" w:hAnsi="CAIXA Std Book" w:cs="Times New Roman"/>
                <w:b/>
                <w:bCs/>
                <w:color w:val="FFFFFF"/>
                <w:sz w:val="16"/>
                <w:szCs w:val="16"/>
              </w:rPr>
              <w:t>03</w:t>
            </w:r>
            <w:r w:rsidRPr="00585E8F">
              <w:rPr>
                <w:rFonts w:ascii="CAIXA Std Book" w:eastAsia="Times New Roman" w:hAnsi="CAIXA Std Book" w:cs="Times New Roman"/>
                <w:b/>
                <w:bCs/>
                <w:color w:val="FFFFFF"/>
                <w:sz w:val="16"/>
                <w:szCs w:val="16"/>
              </w:rPr>
              <w:t>/202</w:t>
            </w:r>
            <w:r>
              <w:rPr>
                <w:rFonts w:ascii="CAIXA Std Book" w:eastAsia="Times New Roman" w:hAnsi="CAIXA Std Book" w:cs="Times New Roman"/>
                <w:b/>
                <w:bCs/>
                <w:color w:val="FFFFFF"/>
                <w:sz w:val="16"/>
                <w:szCs w:val="16"/>
              </w:rPr>
              <w:t>6</w:t>
            </w:r>
          </w:p>
        </w:tc>
      </w:tr>
      <w:tr w:rsidR="008B416A" w:rsidRPr="00585E8F" w14:paraId="0C998219" w14:textId="77777777">
        <w:trPr>
          <w:trHeight w:val="283"/>
        </w:trPr>
        <w:tc>
          <w:tcPr>
            <w:tcW w:w="1214" w:type="pct"/>
            <w:vMerge/>
            <w:tcBorders>
              <w:top w:val="nil"/>
              <w:left w:val="single" w:sz="8" w:space="0" w:color="FFFFFF"/>
              <w:bottom w:val="single" w:sz="8" w:space="0" w:color="FFFFFF"/>
              <w:right w:val="nil"/>
            </w:tcBorders>
            <w:vAlign w:val="center"/>
            <w:hideMark/>
          </w:tcPr>
          <w:p w14:paraId="5D53A2AB" w14:textId="77777777" w:rsidR="008B416A" w:rsidRPr="00585E8F" w:rsidRDefault="008B416A">
            <w:pPr>
              <w:rPr>
                <w:rFonts w:ascii="CAIXA Std Book" w:eastAsia="Times New Roman" w:hAnsi="CAIXA Std Book" w:cs="Times New Roman"/>
                <w:b/>
                <w:bCs/>
                <w:color w:val="FFFFFF"/>
                <w:sz w:val="16"/>
                <w:szCs w:val="16"/>
              </w:rPr>
            </w:pPr>
          </w:p>
        </w:tc>
        <w:tc>
          <w:tcPr>
            <w:tcW w:w="515" w:type="pct"/>
            <w:tcBorders>
              <w:top w:val="nil"/>
              <w:left w:val="nil"/>
              <w:bottom w:val="single" w:sz="8" w:space="0" w:color="FFFFFF"/>
              <w:right w:val="nil"/>
            </w:tcBorders>
            <w:shd w:val="clear" w:color="000000" w:fill="005CA9"/>
            <w:vAlign w:val="center"/>
            <w:hideMark/>
          </w:tcPr>
          <w:p w14:paraId="6C9452E9" w14:textId="7C69EA36" w:rsidR="008B416A" w:rsidRPr="00585E8F" w:rsidRDefault="008B416A">
            <w:pPr>
              <w:jc w:val="cente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Sem vencimento</w:t>
            </w:r>
          </w:p>
        </w:tc>
        <w:tc>
          <w:tcPr>
            <w:tcW w:w="615" w:type="pct"/>
            <w:tcBorders>
              <w:top w:val="nil"/>
              <w:left w:val="nil"/>
              <w:bottom w:val="single" w:sz="8" w:space="0" w:color="FFFFFF"/>
              <w:right w:val="nil"/>
            </w:tcBorders>
            <w:shd w:val="clear" w:color="000000" w:fill="005CA9"/>
            <w:vAlign w:val="center"/>
            <w:hideMark/>
          </w:tcPr>
          <w:p w14:paraId="113D97DA" w14:textId="064B0B83" w:rsidR="008B416A" w:rsidRPr="00585E8F" w:rsidRDefault="008B416A">
            <w:pPr>
              <w:jc w:val="cente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181 a 360 dias</w:t>
            </w:r>
          </w:p>
        </w:tc>
        <w:tc>
          <w:tcPr>
            <w:tcW w:w="548" w:type="pct"/>
            <w:tcBorders>
              <w:top w:val="nil"/>
              <w:left w:val="nil"/>
              <w:bottom w:val="single" w:sz="8" w:space="0" w:color="FFFFFF"/>
              <w:right w:val="nil"/>
            </w:tcBorders>
            <w:shd w:val="clear" w:color="000000" w:fill="005CA9"/>
            <w:vAlign w:val="center"/>
            <w:hideMark/>
          </w:tcPr>
          <w:p w14:paraId="02F74C8F" w14:textId="5000DBA4" w:rsidR="008B416A" w:rsidRPr="00585E8F" w:rsidRDefault="008B416A">
            <w:pPr>
              <w:jc w:val="cente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Acima de 360 dias</w:t>
            </w:r>
          </w:p>
        </w:tc>
        <w:tc>
          <w:tcPr>
            <w:tcW w:w="434" w:type="pct"/>
            <w:tcBorders>
              <w:top w:val="nil"/>
              <w:left w:val="nil"/>
              <w:bottom w:val="single" w:sz="8" w:space="0" w:color="FFFFFF"/>
              <w:right w:val="nil"/>
            </w:tcBorders>
            <w:shd w:val="clear" w:color="000000" w:fill="005CA9"/>
            <w:vAlign w:val="center"/>
            <w:hideMark/>
          </w:tcPr>
          <w:p w14:paraId="6440AC90" w14:textId="5C4731AA" w:rsidR="008B416A" w:rsidRPr="00585E8F" w:rsidRDefault="008B416A">
            <w:pPr>
              <w:jc w:val="cente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Valor justo</w:t>
            </w:r>
          </w:p>
        </w:tc>
        <w:tc>
          <w:tcPr>
            <w:tcW w:w="591" w:type="pct"/>
            <w:tcBorders>
              <w:top w:val="nil"/>
              <w:left w:val="nil"/>
              <w:bottom w:val="single" w:sz="8" w:space="0" w:color="FFFFFF"/>
              <w:right w:val="nil"/>
            </w:tcBorders>
            <w:shd w:val="clear" w:color="000000" w:fill="005CA9"/>
            <w:vAlign w:val="center"/>
            <w:hideMark/>
          </w:tcPr>
          <w:p w14:paraId="20290D5F" w14:textId="3BC1D041" w:rsidR="008B416A" w:rsidRPr="00585E8F" w:rsidRDefault="008B416A">
            <w:pPr>
              <w:jc w:val="cente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Valor contábil bruto</w:t>
            </w:r>
          </w:p>
        </w:tc>
        <w:tc>
          <w:tcPr>
            <w:tcW w:w="523" w:type="pct"/>
            <w:tcBorders>
              <w:top w:val="nil"/>
              <w:left w:val="nil"/>
              <w:bottom w:val="single" w:sz="8" w:space="0" w:color="FFFFFF"/>
              <w:right w:val="nil"/>
            </w:tcBorders>
            <w:shd w:val="clear" w:color="000000" w:fill="005CA9"/>
            <w:vAlign w:val="center"/>
            <w:hideMark/>
          </w:tcPr>
          <w:p w14:paraId="61F2C60F" w14:textId="7BC1BE1B" w:rsidR="008B416A" w:rsidRPr="00585E8F" w:rsidRDefault="008B416A">
            <w:pPr>
              <w:jc w:val="cente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Perdas esperadas</w:t>
            </w:r>
          </w:p>
        </w:tc>
        <w:tc>
          <w:tcPr>
            <w:tcW w:w="560" w:type="pct"/>
            <w:tcBorders>
              <w:top w:val="nil"/>
              <w:left w:val="nil"/>
              <w:bottom w:val="single" w:sz="8" w:space="0" w:color="FFFFFF"/>
              <w:right w:val="nil"/>
            </w:tcBorders>
            <w:shd w:val="clear" w:color="000000" w:fill="005CA9"/>
            <w:vAlign w:val="center"/>
            <w:hideMark/>
          </w:tcPr>
          <w:p w14:paraId="39A51167" w14:textId="6E53CFDE" w:rsidR="008B416A" w:rsidRPr="00585E8F" w:rsidRDefault="008B416A">
            <w:pPr>
              <w:jc w:val="cente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Ajuste a valor justo</w:t>
            </w:r>
          </w:p>
        </w:tc>
      </w:tr>
      <w:tr w:rsidR="008B416A" w:rsidRPr="00585E8F" w14:paraId="0857362D" w14:textId="77777777">
        <w:trPr>
          <w:trHeight w:val="283"/>
        </w:trPr>
        <w:tc>
          <w:tcPr>
            <w:tcW w:w="1214" w:type="pct"/>
            <w:tcBorders>
              <w:top w:val="nil"/>
              <w:left w:val="nil"/>
              <w:bottom w:val="nil"/>
              <w:right w:val="nil"/>
            </w:tcBorders>
            <w:noWrap/>
            <w:vAlign w:val="center"/>
            <w:hideMark/>
          </w:tcPr>
          <w:p w14:paraId="7820BF36" w14:textId="77777777" w:rsidR="008B416A" w:rsidRPr="00585E8F" w:rsidRDefault="008B416A">
            <w:pP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Títulos públicos federais brasileiros</w:t>
            </w:r>
          </w:p>
        </w:tc>
        <w:tc>
          <w:tcPr>
            <w:tcW w:w="515" w:type="pct"/>
            <w:tcBorders>
              <w:top w:val="nil"/>
              <w:left w:val="nil"/>
              <w:bottom w:val="nil"/>
              <w:right w:val="nil"/>
            </w:tcBorders>
            <w:noWrap/>
            <w:vAlign w:val="center"/>
          </w:tcPr>
          <w:p w14:paraId="1B547B6C" w14:textId="77777777" w:rsidR="008B416A" w:rsidRPr="004639BD" w:rsidRDefault="008B416A">
            <w:pPr>
              <w:jc w:val="center"/>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w:t>
            </w:r>
          </w:p>
        </w:tc>
        <w:tc>
          <w:tcPr>
            <w:tcW w:w="615" w:type="pct"/>
            <w:tcBorders>
              <w:top w:val="nil"/>
              <w:left w:val="nil"/>
              <w:bottom w:val="nil"/>
              <w:right w:val="nil"/>
            </w:tcBorders>
            <w:noWrap/>
            <w:vAlign w:val="center"/>
          </w:tcPr>
          <w:p w14:paraId="130F9B01" w14:textId="77777777" w:rsidR="008B416A" w:rsidRPr="004639BD" w:rsidRDefault="008B416A">
            <w:pPr>
              <w:jc w:val="right"/>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810.545</w:t>
            </w:r>
          </w:p>
        </w:tc>
        <w:tc>
          <w:tcPr>
            <w:tcW w:w="548" w:type="pct"/>
            <w:tcBorders>
              <w:top w:val="nil"/>
              <w:left w:val="nil"/>
              <w:bottom w:val="nil"/>
              <w:right w:val="nil"/>
            </w:tcBorders>
            <w:noWrap/>
            <w:vAlign w:val="center"/>
          </w:tcPr>
          <w:p w14:paraId="58BA34C0" w14:textId="77777777" w:rsidR="008B416A" w:rsidRPr="004639BD" w:rsidRDefault="008B416A">
            <w:pPr>
              <w:jc w:val="right"/>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148.180.803</w:t>
            </w:r>
          </w:p>
        </w:tc>
        <w:tc>
          <w:tcPr>
            <w:tcW w:w="434" w:type="pct"/>
            <w:tcBorders>
              <w:top w:val="nil"/>
              <w:left w:val="nil"/>
              <w:bottom w:val="nil"/>
              <w:right w:val="nil"/>
            </w:tcBorders>
            <w:noWrap/>
            <w:vAlign w:val="center"/>
          </w:tcPr>
          <w:p w14:paraId="7A869D36" w14:textId="77777777" w:rsidR="008B416A" w:rsidRPr="004639BD" w:rsidRDefault="008B416A">
            <w:pPr>
              <w:jc w:val="right"/>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148.991.348</w:t>
            </w:r>
          </w:p>
        </w:tc>
        <w:tc>
          <w:tcPr>
            <w:tcW w:w="591" w:type="pct"/>
            <w:tcBorders>
              <w:top w:val="nil"/>
              <w:left w:val="nil"/>
              <w:bottom w:val="nil"/>
              <w:right w:val="nil"/>
            </w:tcBorders>
            <w:noWrap/>
            <w:vAlign w:val="center"/>
          </w:tcPr>
          <w:p w14:paraId="194A1D4D" w14:textId="77777777" w:rsidR="008B416A" w:rsidRPr="000754E9" w:rsidRDefault="008B416A">
            <w:pPr>
              <w:jc w:val="right"/>
              <w:rPr>
                <w:rFonts w:ascii="CAIXA Std Book" w:eastAsia="Times New Roman" w:hAnsi="CAIXA Std Book" w:cs="Times New Roman"/>
                <w:color w:val="005CA9"/>
                <w:sz w:val="18"/>
                <w:szCs w:val="18"/>
              </w:rPr>
            </w:pPr>
            <w:r w:rsidRPr="000754E9">
              <w:rPr>
                <w:rFonts w:ascii="CAIXA Std Book" w:eastAsia="Times New Roman" w:hAnsi="CAIXA Std Book" w:cs="Times New Roman"/>
                <w:color w:val="005CA9"/>
                <w:sz w:val="18"/>
                <w:szCs w:val="18"/>
              </w:rPr>
              <w:t>149.358.129</w:t>
            </w:r>
          </w:p>
        </w:tc>
        <w:tc>
          <w:tcPr>
            <w:tcW w:w="523" w:type="pct"/>
            <w:tcBorders>
              <w:top w:val="nil"/>
              <w:left w:val="nil"/>
              <w:bottom w:val="nil"/>
              <w:right w:val="nil"/>
            </w:tcBorders>
            <w:noWrap/>
            <w:vAlign w:val="center"/>
          </w:tcPr>
          <w:p w14:paraId="4B52D00A" w14:textId="77777777" w:rsidR="008B416A" w:rsidRPr="004639BD" w:rsidRDefault="008B416A">
            <w:pPr>
              <w:jc w:val="center"/>
              <w:rPr>
                <w:rFonts w:ascii="CAIXA Std Book" w:eastAsia="Times New Roman" w:hAnsi="CAIXA Std Book" w:cs="Times New Roman"/>
                <w:color w:val="005CA9"/>
                <w:sz w:val="18"/>
                <w:szCs w:val="18"/>
              </w:rPr>
            </w:pPr>
            <w:r w:rsidRPr="00DE653B">
              <w:rPr>
                <w:rFonts w:ascii="CAIXA Std Book" w:eastAsia="Times New Roman" w:hAnsi="CAIXA Std Book" w:cs="Times New Roman"/>
                <w:color w:val="005CA9"/>
                <w:sz w:val="18"/>
                <w:szCs w:val="18"/>
              </w:rPr>
              <w:t>-</w:t>
            </w:r>
          </w:p>
        </w:tc>
        <w:tc>
          <w:tcPr>
            <w:tcW w:w="560" w:type="pct"/>
            <w:tcBorders>
              <w:top w:val="nil"/>
              <w:left w:val="nil"/>
              <w:bottom w:val="nil"/>
              <w:right w:val="nil"/>
            </w:tcBorders>
            <w:noWrap/>
            <w:vAlign w:val="center"/>
          </w:tcPr>
          <w:p w14:paraId="4303EAE5" w14:textId="77777777" w:rsidR="008B416A" w:rsidRPr="000754E9" w:rsidRDefault="008B416A">
            <w:pPr>
              <w:jc w:val="right"/>
              <w:rPr>
                <w:rFonts w:ascii="CAIXA Std Book" w:eastAsia="Times New Roman" w:hAnsi="CAIXA Std Book" w:cs="Times New Roman"/>
                <w:color w:val="005CA9"/>
                <w:sz w:val="18"/>
                <w:szCs w:val="18"/>
              </w:rPr>
            </w:pPr>
            <w:r w:rsidRPr="000754E9">
              <w:rPr>
                <w:rFonts w:ascii="CAIXA Std Book" w:eastAsia="Times New Roman" w:hAnsi="CAIXA Std Book" w:cs="Times New Roman"/>
                <w:color w:val="005CA9"/>
                <w:sz w:val="18"/>
                <w:szCs w:val="18"/>
              </w:rPr>
              <w:t>(366.781)</w:t>
            </w:r>
          </w:p>
        </w:tc>
      </w:tr>
      <w:tr w:rsidR="008B416A" w:rsidRPr="00585E8F" w14:paraId="17838396" w14:textId="77777777">
        <w:trPr>
          <w:trHeight w:val="283"/>
        </w:trPr>
        <w:tc>
          <w:tcPr>
            <w:tcW w:w="1214" w:type="pct"/>
            <w:tcBorders>
              <w:top w:val="nil"/>
              <w:left w:val="nil"/>
              <w:bottom w:val="nil"/>
              <w:right w:val="nil"/>
            </w:tcBorders>
            <w:noWrap/>
            <w:vAlign w:val="center"/>
            <w:hideMark/>
          </w:tcPr>
          <w:p w14:paraId="14C60DCE" w14:textId="77777777" w:rsidR="008B416A" w:rsidRPr="00585E8F" w:rsidRDefault="008B416A">
            <w:pP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Títulos privados de instituições financeiras</w:t>
            </w:r>
          </w:p>
        </w:tc>
        <w:tc>
          <w:tcPr>
            <w:tcW w:w="515" w:type="pct"/>
            <w:tcBorders>
              <w:top w:val="nil"/>
              <w:left w:val="nil"/>
              <w:bottom w:val="nil"/>
              <w:right w:val="nil"/>
            </w:tcBorders>
            <w:noWrap/>
            <w:vAlign w:val="center"/>
          </w:tcPr>
          <w:p w14:paraId="0D0C46D2" w14:textId="77777777" w:rsidR="008B416A" w:rsidRPr="004639BD" w:rsidRDefault="008B416A">
            <w:pPr>
              <w:jc w:val="center"/>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w:t>
            </w:r>
          </w:p>
        </w:tc>
        <w:tc>
          <w:tcPr>
            <w:tcW w:w="615" w:type="pct"/>
            <w:tcBorders>
              <w:top w:val="nil"/>
              <w:left w:val="nil"/>
              <w:bottom w:val="nil"/>
              <w:right w:val="nil"/>
            </w:tcBorders>
            <w:noWrap/>
            <w:vAlign w:val="center"/>
          </w:tcPr>
          <w:p w14:paraId="2B05957F" w14:textId="77777777" w:rsidR="008B416A" w:rsidRPr="004639BD" w:rsidRDefault="008B416A">
            <w:pPr>
              <w:jc w:val="center"/>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w:t>
            </w:r>
          </w:p>
        </w:tc>
        <w:tc>
          <w:tcPr>
            <w:tcW w:w="548" w:type="pct"/>
            <w:tcBorders>
              <w:top w:val="nil"/>
              <w:left w:val="nil"/>
              <w:bottom w:val="nil"/>
              <w:right w:val="nil"/>
            </w:tcBorders>
            <w:noWrap/>
            <w:vAlign w:val="center"/>
          </w:tcPr>
          <w:p w14:paraId="1044ED40" w14:textId="77777777" w:rsidR="008B416A" w:rsidRPr="004639BD" w:rsidRDefault="008B416A">
            <w:pPr>
              <w:jc w:val="right"/>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169.694</w:t>
            </w:r>
          </w:p>
        </w:tc>
        <w:tc>
          <w:tcPr>
            <w:tcW w:w="434" w:type="pct"/>
            <w:tcBorders>
              <w:top w:val="nil"/>
              <w:left w:val="nil"/>
              <w:bottom w:val="nil"/>
              <w:right w:val="nil"/>
            </w:tcBorders>
            <w:noWrap/>
            <w:vAlign w:val="center"/>
          </w:tcPr>
          <w:p w14:paraId="3F4E67FF" w14:textId="77777777" w:rsidR="008B416A" w:rsidRPr="004639BD" w:rsidRDefault="008B416A">
            <w:pPr>
              <w:jc w:val="right"/>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169.694</w:t>
            </w:r>
          </w:p>
        </w:tc>
        <w:tc>
          <w:tcPr>
            <w:tcW w:w="591" w:type="pct"/>
            <w:tcBorders>
              <w:top w:val="nil"/>
              <w:left w:val="nil"/>
              <w:bottom w:val="nil"/>
              <w:right w:val="nil"/>
            </w:tcBorders>
            <w:noWrap/>
            <w:vAlign w:val="center"/>
          </w:tcPr>
          <w:p w14:paraId="3DF880DF" w14:textId="77777777" w:rsidR="008B416A" w:rsidRPr="004639BD" w:rsidRDefault="008B416A">
            <w:pPr>
              <w:jc w:val="right"/>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167.922</w:t>
            </w:r>
          </w:p>
        </w:tc>
        <w:tc>
          <w:tcPr>
            <w:tcW w:w="523" w:type="pct"/>
            <w:tcBorders>
              <w:top w:val="nil"/>
              <w:left w:val="nil"/>
              <w:bottom w:val="nil"/>
              <w:right w:val="nil"/>
            </w:tcBorders>
            <w:noWrap/>
            <w:vAlign w:val="center"/>
          </w:tcPr>
          <w:p w14:paraId="0174BFAF" w14:textId="77777777" w:rsidR="008B416A" w:rsidRPr="004639BD" w:rsidRDefault="008B416A">
            <w:pPr>
              <w:jc w:val="right"/>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(840)</w:t>
            </w:r>
          </w:p>
        </w:tc>
        <w:tc>
          <w:tcPr>
            <w:tcW w:w="560" w:type="pct"/>
            <w:tcBorders>
              <w:top w:val="nil"/>
              <w:left w:val="nil"/>
              <w:bottom w:val="nil"/>
              <w:right w:val="nil"/>
            </w:tcBorders>
            <w:noWrap/>
            <w:vAlign w:val="center"/>
          </w:tcPr>
          <w:p w14:paraId="76EA59CA" w14:textId="77777777" w:rsidR="008B416A" w:rsidRPr="004639BD" w:rsidRDefault="008B416A">
            <w:pPr>
              <w:jc w:val="right"/>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2.612</w:t>
            </w:r>
          </w:p>
        </w:tc>
      </w:tr>
      <w:tr w:rsidR="008B416A" w:rsidRPr="00585E8F" w14:paraId="41BB5150" w14:textId="77777777">
        <w:trPr>
          <w:trHeight w:val="283"/>
        </w:trPr>
        <w:tc>
          <w:tcPr>
            <w:tcW w:w="1214" w:type="pct"/>
            <w:tcBorders>
              <w:top w:val="nil"/>
              <w:left w:val="nil"/>
              <w:bottom w:val="nil"/>
              <w:right w:val="nil"/>
            </w:tcBorders>
            <w:noWrap/>
            <w:vAlign w:val="center"/>
            <w:hideMark/>
          </w:tcPr>
          <w:p w14:paraId="2B5BD168" w14:textId="77777777" w:rsidR="008B416A" w:rsidRPr="00585E8F" w:rsidRDefault="008B416A">
            <w:pP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Títulos privados de entidades não financeiras</w:t>
            </w:r>
          </w:p>
        </w:tc>
        <w:tc>
          <w:tcPr>
            <w:tcW w:w="515" w:type="pct"/>
            <w:tcBorders>
              <w:top w:val="nil"/>
              <w:left w:val="nil"/>
              <w:bottom w:val="nil"/>
              <w:right w:val="nil"/>
            </w:tcBorders>
            <w:noWrap/>
            <w:vAlign w:val="center"/>
          </w:tcPr>
          <w:p w14:paraId="7C7D5A4B" w14:textId="77777777" w:rsidR="008B416A" w:rsidRPr="004639BD" w:rsidRDefault="008B416A">
            <w:pPr>
              <w:jc w:val="center"/>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w:t>
            </w:r>
          </w:p>
        </w:tc>
        <w:tc>
          <w:tcPr>
            <w:tcW w:w="615" w:type="pct"/>
            <w:tcBorders>
              <w:top w:val="nil"/>
              <w:left w:val="nil"/>
              <w:bottom w:val="nil"/>
              <w:right w:val="nil"/>
            </w:tcBorders>
            <w:noWrap/>
            <w:vAlign w:val="center"/>
          </w:tcPr>
          <w:p w14:paraId="6FFDF571" w14:textId="77777777" w:rsidR="008B416A" w:rsidRPr="004639BD" w:rsidRDefault="008B416A">
            <w:pPr>
              <w:jc w:val="center"/>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w:t>
            </w:r>
          </w:p>
        </w:tc>
        <w:tc>
          <w:tcPr>
            <w:tcW w:w="548" w:type="pct"/>
            <w:tcBorders>
              <w:top w:val="nil"/>
              <w:left w:val="nil"/>
              <w:bottom w:val="nil"/>
              <w:right w:val="nil"/>
            </w:tcBorders>
            <w:noWrap/>
            <w:vAlign w:val="center"/>
          </w:tcPr>
          <w:p w14:paraId="7CBDD62D" w14:textId="77777777" w:rsidR="008B416A" w:rsidRPr="004639BD" w:rsidRDefault="008B416A">
            <w:pPr>
              <w:jc w:val="right"/>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4.320.32</w:t>
            </w:r>
            <w:r>
              <w:rPr>
                <w:rFonts w:ascii="CAIXA Std Book" w:eastAsia="Times New Roman" w:hAnsi="CAIXA Std Book" w:cs="Times New Roman"/>
                <w:color w:val="005CA9"/>
                <w:sz w:val="18"/>
                <w:szCs w:val="18"/>
              </w:rPr>
              <w:t>7</w:t>
            </w:r>
          </w:p>
        </w:tc>
        <w:tc>
          <w:tcPr>
            <w:tcW w:w="434" w:type="pct"/>
            <w:tcBorders>
              <w:top w:val="nil"/>
              <w:left w:val="nil"/>
              <w:bottom w:val="nil"/>
              <w:right w:val="nil"/>
            </w:tcBorders>
            <w:noWrap/>
            <w:vAlign w:val="center"/>
          </w:tcPr>
          <w:p w14:paraId="19CE6C5E" w14:textId="77777777" w:rsidR="008B416A" w:rsidRPr="004639BD" w:rsidRDefault="008B416A">
            <w:pPr>
              <w:jc w:val="right"/>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4.320.32</w:t>
            </w:r>
            <w:r>
              <w:rPr>
                <w:rFonts w:ascii="CAIXA Std Book" w:eastAsia="Times New Roman" w:hAnsi="CAIXA Std Book" w:cs="Times New Roman"/>
                <w:color w:val="005CA9"/>
                <w:sz w:val="18"/>
                <w:szCs w:val="18"/>
              </w:rPr>
              <w:t>7</w:t>
            </w:r>
          </w:p>
        </w:tc>
        <w:tc>
          <w:tcPr>
            <w:tcW w:w="591" w:type="pct"/>
            <w:tcBorders>
              <w:top w:val="nil"/>
              <w:left w:val="nil"/>
              <w:bottom w:val="nil"/>
              <w:right w:val="nil"/>
            </w:tcBorders>
            <w:noWrap/>
            <w:vAlign w:val="center"/>
          </w:tcPr>
          <w:p w14:paraId="1F201AE8" w14:textId="77777777" w:rsidR="008B416A" w:rsidRPr="004639BD" w:rsidRDefault="008B416A">
            <w:pPr>
              <w:jc w:val="right"/>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4.429.16</w:t>
            </w:r>
            <w:r>
              <w:rPr>
                <w:rFonts w:ascii="CAIXA Std Book" w:eastAsia="Times New Roman" w:hAnsi="CAIXA Std Book" w:cs="Times New Roman"/>
                <w:color w:val="005CA9"/>
                <w:sz w:val="18"/>
                <w:szCs w:val="18"/>
              </w:rPr>
              <w:t>3</w:t>
            </w:r>
          </w:p>
        </w:tc>
        <w:tc>
          <w:tcPr>
            <w:tcW w:w="523" w:type="pct"/>
            <w:tcBorders>
              <w:top w:val="nil"/>
              <w:left w:val="nil"/>
              <w:bottom w:val="nil"/>
              <w:right w:val="nil"/>
            </w:tcBorders>
            <w:noWrap/>
            <w:vAlign w:val="center"/>
          </w:tcPr>
          <w:p w14:paraId="2DB4F812" w14:textId="77777777" w:rsidR="008B416A" w:rsidRPr="004639BD" w:rsidRDefault="008B416A">
            <w:pPr>
              <w:jc w:val="right"/>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(77.293)</w:t>
            </w:r>
          </w:p>
        </w:tc>
        <w:tc>
          <w:tcPr>
            <w:tcW w:w="560" w:type="pct"/>
            <w:tcBorders>
              <w:top w:val="nil"/>
              <w:left w:val="nil"/>
              <w:bottom w:val="nil"/>
              <w:right w:val="nil"/>
            </w:tcBorders>
            <w:noWrap/>
            <w:vAlign w:val="center"/>
          </w:tcPr>
          <w:p w14:paraId="129D9073" w14:textId="77777777" w:rsidR="008B416A" w:rsidRPr="004639BD" w:rsidRDefault="008B416A">
            <w:pPr>
              <w:jc w:val="right"/>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(31.54</w:t>
            </w:r>
            <w:r>
              <w:rPr>
                <w:rFonts w:ascii="CAIXA Std Book" w:eastAsia="Times New Roman" w:hAnsi="CAIXA Std Book" w:cs="Times New Roman"/>
                <w:color w:val="005CA9"/>
                <w:sz w:val="18"/>
                <w:szCs w:val="18"/>
              </w:rPr>
              <w:t>3</w:t>
            </w:r>
            <w:r w:rsidRPr="004639BD">
              <w:rPr>
                <w:rFonts w:ascii="CAIXA Std Book" w:eastAsia="Times New Roman" w:hAnsi="CAIXA Std Book" w:cs="Times New Roman"/>
                <w:color w:val="005CA9"/>
                <w:sz w:val="18"/>
                <w:szCs w:val="18"/>
              </w:rPr>
              <w:t>)</w:t>
            </w:r>
          </w:p>
        </w:tc>
      </w:tr>
      <w:tr w:rsidR="008B416A" w:rsidRPr="00585E8F" w14:paraId="1FF790E6" w14:textId="77777777">
        <w:trPr>
          <w:trHeight w:val="283"/>
        </w:trPr>
        <w:tc>
          <w:tcPr>
            <w:tcW w:w="1214" w:type="pct"/>
            <w:tcBorders>
              <w:top w:val="nil"/>
              <w:left w:val="nil"/>
              <w:bottom w:val="nil"/>
              <w:right w:val="nil"/>
            </w:tcBorders>
            <w:noWrap/>
            <w:vAlign w:val="center"/>
            <w:hideMark/>
          </w:tcPr>
          <w:p w14:paraId="4A2B331E" w14:textId="77777777" w:rsidR="008B416A" w:rsidRPr="00585E8F" w:rsidRDefault="008B416A">
            <w:pP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Cotas de fundo de investimento</w:t>
            </w:r>
          </w:p>
        </w:tc>
        <w:tc>
          <w:tcPr>
            <w:tcW w:w="515" w:type="pct"/>
            <w:tcBorders>
              <w:top w:val="nil"/>
              <w:left w:val="nil"/>
              <w:bottom w:val="nil"/>
              <w:right w:val="nil"/>
            </w:tcBorders>
            <w:noWrap/>
            <w:vAlign w:val="center"/>
          </w:tcPr>
          <w:p w14:paraId="7654E38E" w14:textId="77777777" w:rsidR="008B416A" w:rsidRPr="004639BD" w:rsidRDefault="008B416A">
            <w:pPr>
              <w:jc w:val="right"/>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162.395</w:t>
            </w:r>
          </w:p>
        </w:tc>
        <w:tc>
          <w:tcPr>
            <w:tcW w:w="615" w:type="pct"/>
            <w:tcBorders>
              <w:top w:val="nil"/>
              <w:left w:val="nil"/>
              <w:bottom w:val="nil"/>
              <w:right w:val="nil"/>
            </w:tcBorders>
            <w:noWrap/>
            <w:vAlign w:val="center"/>
          </w:tcPr>
          <w:p w14:paraId="31AAC0BD" w14:textId="77777777" w:rsidR="008B416A" w:rsidRPr="004639BD" w:rsidRDefault="008B416A">
            <w:pPr>
              <w:jc w:val="center"/>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w:t>
            </w:r>
          </w:p>
        </w:tc>
        <w:tc>
          <w:tcPr>
            <w:tcW w:w="548" w:type="pct"/>
            <w:tcBorders>
              <w:top w:val="nil"/>
              <w:left w:val="nil"/>
              <w:bottom w:val="nil"/>
              <w:right w:val="nil"/>
            </w:tcBorders>
            <w:noWrap/>
            <w:vAlign w:val="center"/>
          </w:tcPr>
          <w:p w14:paraId="7EB0D9C3" w14:textId="77777777" w:rsidR="008B416A" w:rsidRPr="004639BD" w:rsidRDefault="008B416A" w:rsidP="0056596C">
            <w:pPr>
              <w:jc w:val="center"/>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w:t>
            </w:r>
          </w:p>
        </w:tc>
        <w:tc>
          <w:tcPr>
            <w:tcW w:w="434" w:type="pct"/>
            <w:tcBorders>
              <w:top w:val="nil"/>
              <w:left w:val="nil"/>
              <w:bottom w:val="nil"/>
              <w:right w:val="nil"/>
            </w:tcBorders>
            <w:noWrap/>
            <w:vAlign w:val="center"/>
          </w:tcPr>
          <w:p w14:paraId="619F1C80" w14:textId="77777777" w:rsidR="008B416A" w:rsidRPr="004639BD" w:rsidRDefault="008B416A">
            <w:pPr>
              <w:jc w:val="right"/>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162.395</w:t>
            </w:r>
          </w:p>
        </w:tc>
        <w:tc>
          <w:tcPr>
            <w:tcW w:w="591" w:type="pct"/>
            <w:tcBorders>
              <w:top w:val="nil"/>
              <w:left w:val="nil"/>
              <w:bottom w:val="nil"/>
              <w:right w:val="nil"/>
            </w:tcBorders>
            <w:noWrap/>
            <w:vAlign w:val="center"/>
          </w:tcPr>
          <w:p w14:paraId="301554B6" w14:textId="77777777" w:rsidR="008B416A" w:rsidRPr="004639BD" w:rsidRDefault="008B416A">
            <w:pPr>
              <w:jc w:val="right"/>
              <w:rPr>
                <w:rFonts w:ascii="CAIXA Std Book" w:eastAsia="Times New Roman" w:hAnsi="CAIXA Std Book" w:cs="Times New Roman"/>
                <w:color w:val="005CA9"/>
                <w:sz w:val="18"/>
                <w:szCs w:val="18"/>
              </w:rPr>
            </w:pPr>
            <w:r w:rsidRPr="00BC4AEB">
              <w:rPr>
                <w:rFonts w:ascii="CAIXA Std Book" w:eastAsia="Times New Roman" w:hAnsi="CAIXA Std Book" w:cs="Times New Roman"/>
                <w:color w:val="005CA9"/>
                <w:sz w:val="18"/>
                <w:szCs w:val="18"/>
              </w:rPr>
              <w:t>161.794</w:t>
            </w:r>
          </w:p>
        </w:tc>
        <w:tc>
          <w:tcPr>
            <w:tcW w:w="523" w:type="pct"/>
            <w:tcBorders>
              <w:top w:val="nil"/>
              <w:left w:val="nil"/>
              <w:bottom w:val="nil"/>
              <w:right w:val="nil"/>
            </w:tcBorders>
            <w:noWrap/>
            <w:vAlign w:val="center"/>
          </w:tcPr>
          <w:p w14:paraId="3D5F8769" w14:textId="77777777" w:rsidR="008B416A" w:rsidRPr="004639BD" w:rsidRDefault="008B416A" w:rsidP="0056596C">
            <w:pPr>
              <w:jc w:val="center"/>
              <w:rPr>
                <w:rFonts w:ascii="CAIXA Std Book" w:eastAsia="Times New Roman" w:hAnsi="CAIXA Std Book" w:cs="Times New Roman"/>
                <w:color w:val="005CA9"/>
                <w:sz w:val="18"/>
                <w:szCs w:val="18"/>
              </w:rPr>
            </w:pPr>
            <w:r w:rsidRPr="00BC4AEB">
              <w:rPr>
                <w:rFonts w:ascii="CAIXA Std Book" w:eastAsia="Times New Roman" w:hAnsi="CAIXA Std Book" w:cs="Times New Roman"/>
                <w:color w:val="005CA9"/>
                <w:sz w:val="18"/>
                <w:szCs w:val="18"/>
              </w:rPr>
              <w:t>-</w:t>
            </w:r>
          </w:p>
        </w:tc>
        <w:tc>
          <w:tcPr>
            <w:tcW w:w="560" w:type="pct"/>
            <w:tcBorders>
              <w:top w:val="nil"/>
              <w:left w:val="nil"/>
              <w:bottom w:val="nil"/>
              <w:right w:val="nil"/>
            </w:tcBorders>
            <w:noWrap/>
            <w:vAlign w:val="center"/>
          </w:tcPr>
          <w:p w14:paraId="14DA90F4" w14:textId="77777777" w:rsidR="008B416A" w:rsidRPr="004639BD" w:rsidRDefault="008B416A">
            <w:pPr>
              <w:jc w:val="right"/>
              <w:rPr>
                <w:rFonts w:ascii="CAIXA Std Book" w:eastAsia="Times New Roman" w:hAnsi="CAIXA Std Book" w:cs="Times New Roman"/>
                <w:color w:val="005CA9"/>
                <w:sz w:val="18"/>
                <w:szCs w:val="18"/>
              </w:rPr>
            </w:pPr>
            <w:r w:rsidRPr="00BC4AEB">
              <w:rPr>
                <w:rFonts w:ascii="CAIXA Std Book" w:eastAsia="Times New Roman" w:hAnsi="CAIXA Std Book" w:cs="Times New Roman"/>
                <w:color w:val="005CA9"/>
                <w:sz w:val="18"/>
                <w:szCs w:val="18"/>
              </w:rPr>
              <w:t>601</w:t>
            </w:r>
          </w:p>
        </w:tc>
      </w:tr>
      <w:tr w:rsidR="008B416A" w:rsidRPr="00585E8F" w14:paraId="5BFB9F30" w14:textId="77777777">
        <w:trPr>
          <w:trHeight w:val="283"/>
        </w:trPr>
        <w:tc>
          <w:tcPr>
            <w:tcW w:w="1214" w:type="pct"/>
            <w:tcBorders>
              <w:top w:val="nil"/>
              <w:left w:val="nil"/>
              <w:bottom w:val="nil"/>
              <w:right w:val="nil"/>
            </w:tcBorders>
            <w:noWrap/>
            <w:vAlign w:val="center"/>
            <w:hideMark/>
          </w:tcPr>
          <w:p w14:paraId="777E7A21" w14:textId="77777777" w:rsidR="008B416A" w:rsidRPr="00585E8F" w:rsidRDefault="008B416A">
            <w:pP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Ações</w:t>
            </w:r>
          </w:p>
        </w:tc>
        <w:tc>
          <w:tcPr>
            <w:tcW w:w="515" w:type="pct"/>
            <w:tcBorders>
              <w:top w:val="nil"/>
              <w:left w:val="nil"/>
              <w:bottom w:val="nil"/>
              <w:right w:val="nil"/>
            </w:tcBorders>
            <w:noWrap/>
            <w:vAlign w:val="center"/>
          </w:tcPr>
          <w:p w14:paraId="4A203521" w14:textId="365C6B86" w:rsidR="008B416A" w:rsidRPr="004639BD" w:rsidRDefault="009453D4" w:rsidP="0095185E">
            <w:pPr>
              <w:jc w:val="right"/>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4.023</w:t>
            </w:r>
          </w:p>
        </w:tc>
        <w:tc>
          <w:tcPr>
            <w:tcW w:w="615" w:type="pct"/>
            <w:tcBorders>
              <w:top w:val="nil"/>
              <w:left w:val="nil"/>
              <w:bottom w:val="nil"/>
              <w:right w:val="nil"/>
            </w:tcBorders>
            <w:noWrap/>
            <w:vAlign w:val="center"/>
          </w:tcPr>
          <w:p w14:paraId="50A3179E" w14:textId="77777777" w:rsidR="008B416A" w:rsidRPr="004639BD" w:rsidRDefault="008B416A">
            <w:pPr>
              <w:jc w:val="center"/>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w:t>
            </w:r>
          </w:p>
        </w:tc>
        <w:tc>
          <w:tcPr>
            <w:tcW w:w="548" w:type="pct"/>
            <w:tcBorders>
              <w:top w:val="nil"/>
              <w:left w:val="nil"/>
              <w:bottom w:val="nil"/>
              <w:right w:val="nil"/>
            </w:tcBorders>
            <w:noWrap/>
            <w:vAlign w:val="center"/>
          </w:tcPr>
          <w:p w14:paraId="1BCDE011" w14:textId="40C1995E" w:rsidR="008B416A" w:rsidRPr="004639BD" w:rsidRDefault="00BB1589" w:rsidP="00BB1589">
            <w:pPr>
              <w:jc w:val="center"/>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w:t>
            </w:r>
          </w:p>
        </w:tc>
        <w:tc>
          <w:tcPr>
            <w:tcW w:w="434" w:type="pct"/>
            <w:tcBorders>
              <w:top w:val="nil"/>
              <w:left w:val="nil"/>
              <w:bottom w:val="nil"/>
              <w:right w:val="nil"/>
            </w:tcBorders>
            <w:noWrap/>
            <w:vAlign w:val="center"/>
          </w:tcPr>
          <w:p w14:paraId="4419B395" w14:textId="77777777" w:rsidR="008B416A" w:rsidRPr="004639BD" w:rsidRDefault="008B416A">
            <w:pPr>
              <w:jc w:val="right"/>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4.023</w:t>
            </w:r>
          </w:p>
        </w:tc>
        <w:tc>
          <w:tcPr>
            <w:tcW w:w="591" w:type="pct"/>
            <w:tcBorders>
              <w:top w:val="nil"/>
              <w:left w:val="nil"/>
              <w:bottom w:val="nil"/>
              <w:right w:val="nil"/>
            </w:tcBorders>
            <w:noWrap/>
            <w:vAlign w:val="center"/>
          </w:tcPr>
          <w:p w14:paraId="290B38F1" w14:textId="77777777" w:rsidR="008B416A" w:rsidRPr="004639BD" w:rsidRDefault="008B416A">
            <w:pPr>
              <w:jc w:val="right"/>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102.606</w:t>
            </w:r>
          </w:p>
        </w:tc>
        <w:tc>
          <w:tcPr>
            <w:tcW w:w="523" w:type="pct"/>
            <w:tcBorders>
              <w:top w:val="nil"/>
              <w:left w:val="nil"/>
              <w:bottom w:val="nil"/>
              <w:right w:val="nil"/>
            </w:tcBorders>
            <w:noWrap/>
            <w:vAlign w:val="center"/>
          </w:tcPr>
          <w:p w14:paraId="2E9438EA" w14:textId="77777777" w:rsidR="008B416A" w:rsidRPr="004639BD" w:rsidRDefault="008B416A">
            <w:pPr>
              <w:jc w:val="center"/>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w:t>
            </w:r>
          </w:p>
        </w:tc>
        <w:tc>
          <w:tcPr>
            <w:tcW w:w="560" w:type="pct"/>
            <w:tcBorders>
              <w:top w:val="nil"/>
              <w:left w:val="nil"/>
              <w:bottom w:val="nil"/>
              <w:right w:val="nil"/>
            </w:tcBorders>
            <w:noWrap/>
            <w:vAlign w:val="center"/>
          </w:tcPr>
          <w:p w14:paraId="075827CD" w14:textId="77777777" w:rsidR="008B416A" w:rsidRPr="004639BD" w:rsidRDefault="008B416A">
            <w:pPr>
              <w:jc w:val="right"/>
              <w:rPr>
                <w:rFonts w:ascii="CAIXA Std Book" w:eastAsia="Times New Roman" w:hAnsi="CAIXA Std Book" w:cs="Times New Roman"/>
                <w:color w:val="005CA9"/>
                <w:sz w:val="18"/>
                <w:szCs w:val="18"/>
              </w:rPr>
            </w:pPr>
            <w:r w:rsidRPr="004639BD">
              <w:rPr>
                <w:rFonts w:ascii="CAIXA Std Book" w:eastAsia="Times New Roman" w:hAnsi="CAIXA Std Book" w:cs="Times New Roman"/>
                <w:color w:val="005CA9"/>
                <w:sz w:val="18"/>
                <w:szCs w:val="18"/>
              </w:rPr>
              <w:t>(98.583)</w:t>
            </w:r>
          </w:p>
        </w:tc>
      </w:tr>
      <w:tr w:rsidR="008B416A" w:rsidRPr="00585E8F" w14:paraId="2FBA2DA0" w14:textId="77777777">
        <w:trPr>
          <w:trHeight w:val="283"/>
        </w:trPr>
        <w:tc>
          <w:tcPr>
            <w:tcW w:w="1214" w:type="pct"/>
            <w:tcBorders>
              <w:top w:val="nil"/>
              <w:left w:val="nil"/>
              <w:bottom w:val="single" w:sz="8" w:space="0" w:color="FFFFFF"/>
              <w:right w:val="nil"/>
            </w:tcBorders>
            <w:shd w:val="clear" w:color="000000" w:fill="005CA9"/>
            <w:noWrap/>
            <w:vAlign w:val="center"/>
            <w:hideMark/>
          </w:tcPr>
          <w:p w14:paraId="5F16EBB9" w14:textId="77777777" w:rsidR="008B416A" w:rsidRPr="00585E8F" w:rsidRDefault="008B416A">
            <w:pP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 xml:space="preserve"> Total </w:t>
            </w:r>
          </w:p>
        </w:tc>
        <w:tc>
          <w:tcPr>
            <w:tcW w:w="515" w:type="pct"/>
            <w:tcBorders>
              <w:top w:val="nil"/>
              <w:left w:val="nil"/>
              <w:bottom w:val="single" w:sz="8" w:space="0" w:color="FFFFFF"/>
              <w:right w:val="nil"/>
            </w:tcBorders>
            <w:shd w:val="clear" w:color="000000" w:fill="005CA9"/>
            <w:noWrap/>
            <w:vAlign w:val="center"/>
          </w:tcPr>
          <w:p w14:paraId="0D5DF8A5" w14:textId="4155EBA8" w:rsidR="008B416A" w:rsidRPr="0048554A" w:rsidRDefault="009F735C">
            <w:pPr>
              <w:jc w:val="right"/>
              <w:rPr>
                <w:rFonts w:ascii="CAIXA Std Book" w:eastAsia="Times New Roman" w:hAnsi="CAIXA Std Book" w:cs="Times New Roman"/>
                <w:b/>
                <w:color w:val="FFFFFF"/>
                <w:sz w:val="18"/>
                <w:szCs w:val="18"/>
              </w:rPr>
            </w:pPr>
            <w:r>
              <w:rPr>
                <w:rFonts w:ascii="CAIXA Std Book" w:eastAsia="Times New Roman" w:hAnsi="CAIXA Std Book" w:cs="Times New Roman"/>
                <w:b/>
                <w:bCs/>
                <w:color w:val="FFFFFF"/>
                <w:sz w:val="18"/>
                <w:szCs w:val="18"/>
              </w:rPr>
              <w:t>166</w:t>
            </w:r>
            <w:r w:rsidR="00BB1589">
              <w:rPr>
                <w:rFonts w:ascii="CAIXA Std Book" w:eastAsia="Times New Roman" w:hAnsi="CAIXA Std Book" w:cs="Times New Roman"/>
                <w:b/>
                <w:bCs/>
                <w:color w:val="FFFFFF"/>
                <w:sz w:val="18"/>
                <w:szCs w:val="18"/>
              </w:rPr>
              <w:t>.418</w:t>
            </w:r>
          </w:p>
        </w:tc>
        <w:tc>
          <w:tcPr>
            <w:tcW w:w="615" w:type="pct"/>
            <w:tcBorders>
              <w:top w:val="nil"/>
              <w:left w:val="nil"/>
              <w:bottom w:val="single" w:sz="8" w:space="0" w:color="FFFFFF"/>
              <w:right w:val="nil"/>
            </w:tcBorders>
            <w:shd w:val="clear" w:color="000000" w:fill="005CA9"/>
            <w:noWrap/>
            <w:vAlign w:val="center"/>
          </w:tcPr>
          <w:p w14:paraId="69187CA6" w14:textId="77777777" w:rsidR="008B416A" w:rsidRPr="0048554A" w:rsidRDefault="008B416A">
            <w:pPr>
              <w:jc w:val="right"/>
              <w:rPr>
                <w:rFonts w:ascii="CAIXA Std Book" w:eastAsia="Times New Roman" w:hAnsi="CAIXA Std Book" w:cs="Times New Roman"/>
                <w:b/>
                <w:color w:val="FFFFFF"/>
                <w:sz w:val="18"/>
                <w:szCs w:val="18"/>
              </w:rPr>
            </w:pPr>
            <w:r w:rsidRPr="004639BD">
              <w:rPr>
                <w:rFonts w:ascii="CAIXA Std Book" w:eastAsia="Times New Roman" w:hAnsi="CAIXA Std Book" w:cs="Times New Roman"/>
                <w:b/>
                <w:bCs/>
                <w:color w:val="FFFFFF"/>
                <w:sz w:val="18"/>
                <w:szCs w:val="18"/>
              </w:rPr>
              <w:t>810.545</w:t>
            </w:r>
          </w:p>
        </w:tc>
        <w:tc>
          <w:tcPr>
            <w:tcW w:w="548" w:type="pct"/>
            <w:tcBorders>
              <w:top w:val="nil"/>
              <w:left w:val="nil"/>
              <w:bottom w:val="single" w:sz="8" w:space="0" w:color="FFFFFF"/>
              <w:right w:val="nil"/>
            </w:tcBorders>
            <w:shd w:val="clear" w:color="000000" w:fill="005CA9"/>
            <w:noWrap/>
            <w:vAlign w:val="center"/>
          </w:tcPr>
          <w:p w14:paraId="6B72DAAC" w14:textId="38245DF2" w:rsidR="008B416A" w:rsidRPr="000D1F6C" w:rsidRDefault="000D1F6C" w:rsidP="000D1F6C">
            <w:pPr>
              <w:jc w:val="right"/>
              <w:rPr>
                <w:rFonts w:ascii="CAIXA Std Book" w:eastAsia="Times New Roman" w:hAnsi="CAIXA Std Book" w:cs="Times New Roman"/>
                <w:b/>
                <w:bCs/>
                <w:color w:val="FFFFFF"/>
                <w:sz w:val="18"/>
                <w:szCs w:val="18"/>
              </w:rPr>
            </w:pPr>
            <w:r w:rsidRPr="000D1F6C">
              <w:rPr>
                <w:rFonts w:ascii="CAIXA Std Book" w:eastAsia="Times New Roman" w:hAnsi="CAIXA Std Book" w:cs="Times New Roman"/>
                <w:b/>
                <w:bCs/>
                <w:color w:val="FFFFFF"/>
                <w:sz w:val="18"/>
                <w:szCs w:val="18"/>
              </w:rPr>
              <w:t>152.670.824</w:t>
            </w:r>
          </w:p>
        </w:tc>
        <w:tc>
          <w:tcPr>
            <w:tcW w:w="434" w:type="pct"/>
            <w:tcBorders>
              <w:top w:val="nil"/>
              <w:left w:val="nil"/>
              <w:bottom w:val="single" w:sz="8" w:space="0" w:color="FFFFFF"/>
              <w:right w:val="nil"/>
            </w:tcBorders>
            <w:shd w:val="clear" w:color="000000" w:fill="005CA9"/>
            <w:noWrap/>
            <w:vAlign w:val="center"/>
          </w:tcPr>
          <w:p w14:paraId="303BE7AE" w14:textId="77777777" w:rsidR="008B416A" w:rsidRPr="000D1F6C" w:rsidRDefault="008B416A">
            <w:pPr>
              <w:jc w:val="right"/>
              <w:rPr>
                <w:rFonts w:ascii="CAIXA Std Book" w:eastAsia="Times New Roman" w:hAnsi="CAIXA Std Book" w:cs="Times New Roman"/>
                <w:b/>
                <w:bCs/>
                <w:color w:val="FFFFFF"/>
                <w:sz w:val="18"/>
                <w:szCs w:val="18"/>
              </w:rPr>
            </w:pPr>
            <w:r w:rsidRPr="004639BD">
              <w:rPr>
                <w:rFonts w:ascii="CAIXA Std Book" w:eastAsia="Times New Roman" w:hAnsi="CAIXA Std Book" w:cs="Times New Roman"/>
                <w:b/>
                <w:bCs/>
                <w:color w:val="FFFFFF"/>
                <w:sz w:val="18"/>
                <w:szCs w:val="18"/>
              </w:rPr>
              <w:t>153.647.78</w:t>
            </w:r>
            <w:r>
              <w:rPr>
                <w:rFonts w:ascii="CAIXA Std Book" w:eastAsia="Times New Roman" w:hAnsi="CAIXA Std Book" w:cs="Times New Roman"/>
                <w:b/>
                <w:bCs/>
                <w:color w:val="FFFFFF"/>
                <w:sz w:val="18"/>
                <w:szCs w:val="18"/>
              </w:rPr>
              <w:t>7</w:t>
            </w:r>
          </w:p>
        </w:tc>
        <w:tc>
          <w:tcPr>
            <w:tcW w:w="591" w:type="pct"/>
            <w:tcBorders>
              <w:top w:val="nil"/>
              <w:left w:val="nil"/>
              <w:bottom w:val="single" w:sz="8" w:space="0" w:color="FFFFFF"/>
              <w:right w:val="nil"/>
            </w:tcBorders>
            <w:shd w:val="clear" w:color="000000" w:fill="005CA9"/>
            <w:noWrap/>
            <w:vAlign w:val="center"/>
          </w:tcPr>
          <w:p w14:paraId="0533C6F8" w14:textId="77777777" w:rsidR="008B416A" w:rsidRPr="0048554A" w:rsidRDefault="008B416A">
            <w:pPr>
              <w:jc w:val="right"/>
              <w:rPr>
                <w:rFonts w:ascii="CAIXA Std Book" w:eastAsia="Times New Roman" w:hAnsi="CAIXA Std Book" w:cs="Times New Roman"/>
                <w:b/>
                <w:color w:val="FFFFFF"/>
                <w:sz w:val="18"/>
                <w:szCs w:val="18"/>
              </w:rPr>
            </w:pPr>
            <w:r w:rsidRPr="00D63741">
              <w:rPr>
                <w:rFonts w:ascii="CAIXA Std Book" w:eastAsia="Times New Roman" w:hAnsi="CAIXA Std Book" w:cs="Times New Roman"/>
                <w:b/>
                <w:bCs/>
                <w:color w:val="FFFFFF"/>
                <w:sz w:val="18"/>
                <w:szCs w:val="18"/>
              </w:rPr>
              <w:t>154.219.</w:t>
            </w:r>
            <w:r w:rsidRPr="00D77381">
              <w:rPr>
                <w:rFonts w:ascii="CAIXA Std Book" w:eastAsia="Times New Roman" w:hAnsi="CAIXA Std Book" w:cs="Times New Roman"/>
                <w:b/>
                <w:bCs/>
                <w:color w:val="FFFFFF"/>
                <w:sz w:val="18"/>
                <w:szCs w:val="18"/>
              </w:rPr>
              <w:t>61</w:t>
            </w:r>
            <w:r>
              <w:rPr>
                <w:rFonts w:ascii="CAIXA Std Book" w:eastAsia="Times New Roman" w:hAnsi="CAIXA Std Book" w:cs="Times New Roman"/>
                <w:b/>
                <w:bCs/>
                <w:color w:val="FFFFFF"/>
                <w:sz w:val="18"/>
                <w:szCs w:val="18"/>
              </w:rPr>
              <w:t>4</w:t>
            </w:r>
          </w:p>
        </w:tc>
        <w:tc>
          <w:tcPr>
            <w:tcW w:w="523" w:type="pct"/>
            <w:tcBorders>
              <w:top w:val="nil"/>
              <w:left w:val="nil"/>
              <w:bottom w:val="single" w:sz="8" w:space="0" w:color="FFFFFF"/>
              <w:right w:val="nil"/>
            </w:tcBorders>
            <w:shd w:val="clear" w:color="000000" w:fill="005CA9"/>
            <w:noWrap/>
            <w:vAlign w:val="center"/>
          </w:tcPr>
          <w:p w14:paraId="2E64D9E2" w14:textId="77777777" w:rsidR="008B416A" w:rsidRPr="0048554A" w:rsidRDefault="008B416A">
            <w:pPr>
              <w:jc w:val="right"/>
              <w:rPr>
                <w:rFonts w:ascii="CAIXA Std Book" w:eastAsia="Times New Roman" w:hAnsi="CAIXA Std Book" w:cs="Times New Roman"/>
                <w:b/>
                <w:color w:val="FFFFFF"/>
                <w:sz w:val="18"/>
                <w:szCs w:val="18"/>
              </w:rPr>
            </w:pPr>
            <w:r w:rsidRPr="00D63741">
              <w:rPr>
                <w:rFonts w:ascii="CAIXA Std Book" w:eastAsia="Times New Roman" w:hAnsi="CAIXA Std Book" w:cs="Times New Roman"/>
                <w:b/>
                <w:bCs/>
                <w:color w:val="FFFFFF"/>
                <w:sz w:val="18"/>
                <w:szCs w:val="18"/>
              </w:rPr>
              <w:t>(78.133)</w:t>
            </w:r>
          </w:p>
        </w:tc>
        <w:tc>
          <w:tcPr>
            <w:tcW w:w="560" w:type="pct"/>
            <w:tcBorders>
              <w:top w:val="nil"/>
              <w:left w:val="nil"/>
              <w:bottom w:val="single" w:sz="8" w:space="0" w:color="FFFFFF"/>
              <w:right w:val="nil"/>
            </w:tcBorders>
            <w:shd w:val="clear" w:color="000000" w:fill="005CA9"/>
            <w:noWrap/>
            <w:vAlign w:val="center"/>
          </w:tcPr>
          <w:p w14:paraId="6E077902" w14:textId="77777777" w:rsidR="008B416A" w:rsidRPr="0048554A" w:rsidRDefault="008B416A">
            <w:pPr>
              <w:jc w:val="right"/>
              <w:rPr>
                <w:rFonts w:ascii="CAIXA Std Book" w:eastAsia="Times New Roman" w:hAnsi="CAIXA Std Book" w:cs="Times New Roman"/>
                <w:b/>
                <w:color w:val="FFFFFF"/>
                <w:sz w:val="18"/>
                <w:szCs w:val="18"/>
              </w:rPr>
            </w:pPr>
            <w:r w:rsidRPr="00D63741">
              <w:rPr>
                <w:rFonts w:ascii="CAIXA Std Book" w:eastAsia="Times New Roman" w:hAnsi="CAIXA Std Book" w:cs="Times New Roman"/>
                <w:b/>
                <w:bCs/>
                <w:color w:val="FFFFFF"/>
                <w:sz w:val="18"/>
                <w:szCs w:val="18"/>
              </w:rPr>
              <w:t>(493.</w:t>
            </w:r>
            <w:r w:rsidRPr="00D77381">
              <w:rPr>
                <w:rFonts w:ascii="CAIXA Std Book" w:eastAsia="Times New Roman" w:hAnsi="CAIXA Std Book" w:cs="Times New Roman"/>
                <w:b/>
                <w:bCs/>
                <w:color w:val="FFFFFF"/>
                <w:sz w:val="18"/>
                <w:szCs w:val="18"/>
              </w:rPr>
              <w:t>69</w:t>
            </w:r>
            <w:r>
              <w:rPr>
                <w:rFonts w:ascii="CAIXA Std Book" w:eastAsia="Times New Roman" w:hAnsi="CAIXA Std Book" w:cs="Times New Roman"/>
                <w:b/>
                <w:bCs/>
                <w:color w:val="FFFFFF"/>
                <w:sz w:val="18"/>
                <w:szCs w:val="18"/>
              </w:rPr>
              <w:t>4</w:t>
            </w:r>
            <w:r w:rsidRPr="00D63741">
              <w:rPr>
                <w:rFonts w:ascii="CAIXA Std Book" w:eastAsia="Times New Roman" w:hAnsi="CAIXA Std Book" w:cs="Times New Roman"/>
                <w:b/>
                <w:bCs/>
                <w:color w:val="FFFFFF"/>
                <w:sz w:val="18"/>
                <w:szCs w:val="18"/>
              </w:rPr>
              <w:t>)</w:t>
            </w:r>
          </w:p>
        </w:tc>
      </w:tr>
    </w:tbl>
    <w:p w14:paraId="2F3596E7" w14:textId="42CBD410" w:rsidR="008B416A" w:rsidRDefault="008B416A">
      <w:pPr>
        <w:rPr>
          <w:rFonts w:ascii="CAIXA Std Book" w:hAnsi="CAIXA Std Book" w:cs="Calibri"/>
          <w:b/>
          <w:color w:val="FFFFFF"/>
          <w:sz w:val="16"/>
          <w:szCs w:val="16"/>
        </w:rPr>
      </w:pPr>
    </w:p>
    <w:tbl>
      <w:tblPr>
        <w:tblW w:w="5000" w:type="pct"/>
        <w:tblCellMar>
          <w:left w:w="70" w:type="dxa"/>
          <w:right w:w="70" w:type="dxa"/>
        </w:tblCellMar>
        <w:tblLook w:val="04A0" w:firstRow="1" w:lastRow="0" w:firstColumn="1" w:lastColumn="0" w:noHBand="0" w:noVBand="1"/>
      </w:tblPr>
      <w:tblGrid>
        <w:gridCol w:w="3693"/>
        <w:gridCol w:w="1357"/>
        <w:gridCol w:w="1357"/>
        <w:gridCol w:w="1360"/>
        <w:gridCol w:w="1357"/>
        <w:gridCol w:w="1357"/>
        <w:gridCol w:w="1360"/>
        <w:gridCol w:w="1357"/>
        <w:gridCol w:w="1363"/>
      </w:tblGrid>
      <w:tr w:rsidR="00585E8F" w:rsidRPr="00E80A10" w14:paraId="541D615A" w14:textId="77777777" w:rsidTr="00563FC6">
        <w:trPr>
          <w:trHeight w:val="283"/>
        </w:trPr>
        <w:tc>
          <w:tcPr>
            <w:tcW w:w="5000" w:type="pct"/>
            <w:gridSpan w:val="9"/>
            <w:tcBorders>
              <w:top w:val="nil"/>
              <w:left w:val="single" w:sz="8" w:space="0" w:color="FFFFFF"/>
              <w:bottom w:val="single" w:sz="8" w:space="0" w:color="FFFFFF"/>
              <w:right w:val="nil"/>
            </w:tcBorders>
            <w:shd w:val="clear" w:color="000000" w:fill="005CA9"/>
            <w:vAlign w:val="center"/>
            <w:hideMark/>
          </w:tcPr>
          <w:p w14:paraId="5B2C78A6" w14:textId="77777777" w:rsidR="00585E8F" w:rsidRPr="00585E8F" w:rsidRDefault="00585E8F" w:rsidP="00585E8F">
            <w:pPr>
              <w:jc w:val="cente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Consolidado</w:t>
            </w:r>
          </w:p>
        </w:tc>
      </w:tr>
      <w:tr w:rsidR="00585E8F" w:rsidRPr="00E80A10" w14:paraId="70EF577B" w14:textId="77777777" w:rsidTr="00563FC6">
        <w:trPr>
          <w:trHeight w:val="283"/>
        </w:trPr>
        <w:tc>
          <w:tcPr>
            <w:tcW w:w="1268" w:type="pct"/>
            <w:vMerge w:val="restart"/>
            <w:tcBorders>
              <w:top w:val="nil"/>
              <w:left w:val="single" w:sz="8" w:space="0" w:color="FFFFFF"/>
              <w:bottom w:val="single" w:sz="8" w:space="0" w:color="FFFFFF"/>
              <w:right w:val="nil"/>
            </w:tcBorders>
            <w:shd w:val="clear" w:color="000000" w:fill="005CA9"/>
            <w:vAlign w:val="center"/>
            <w:hideMark/>
          </w:tcPr>
          <w:p w14:paraId="062CACDD" w14:textId="77777777" w:rsidR="00585E8F" w:rsidRPr="00585E8F" w:rsidRDefault="00585E8F" w:rsidP="00585E8F">
            <w:pPr>
              <w:jc w:val="cente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 xml:space="preserve">Descrição </w:t>
            </w:r>
          </w:p>
        </w:tc>
        <w:tc>
          <w:tcPr>
            <w:tcW w:w="3732" w:type="pct"/>
            <w:gridSpan w:val="8"/>
            <w:tcBorders>
              <w:top w:val="single" w:sz="8" w:space="0" w:color="FFFFFF"/>
              <w:left w:val="nil"/>
              <w:bottom w:val="single" w:sz="8" w:space="0" w:color="FFFFFF"/>
              <w:right w:val="nil"/>
            </w:tcBorders>
            <w:shd w:val="clear" w:color="000000" w:fill="005CA9"/>
            <w:vAlign w:val="center"/>
            <w:hideMark/>
          </w:tcPr>
          <w:p w14:paraId="7AF054BA" w14:textId="77777777" w:rsidR="00585E8F" w:rsidRPr="00585E8F" w:rsidRDefault="00585E8F" w:rsidP="00585E8F">
            <w:pPr>
              <w:jc w:val="cente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31/12/2025</w:t>
            </w:r>
          </w:p>
        </w:tc>
      </w:tr>
      <w:tr w:rsidR="00585E8F" w:rsidRPr="00E80A10" w14:paraId="54B82684" w14:textId="77777777" w:rsidTr="00563FC6">
        <w:trPr>
          <w:trHeight w:val="283"/>
        </w:trPr>
        <w:tc>
          <w:tcPr>
            <w:tcW w:w="1268" w:type="pct"/>
            <w:vMerge/>
            <w:tcBorders>
              <w:top w:val="nil"/>
              <w:left w:val="single" w:sz="8" w:space="0" w:color="FFFFFF"/>
              <w:bottom w:val="single" w:sz="8" w:space="0" w:color="FFFFFF"/>
              <w:right w:val="nil"/>
            </w:tcBorders>
            <w:vAlign w:val="center"/>
            <w:hideMark/>
          </w:tcPr>
          <w:p w14:paraId="28FC09E3" w14:textId="77777777" w:rsidR="00585E8F" w:rsidRPr="00585E8F" w:rsidRDefault="00585E8F" w:rsidP="00585E8F">
            <w:pPr>
              <w:rPr>
                <w:rFonts w:ascii="CAIXA Std Book" w:eastAsia="Times New Roman" w:hAnsi="CAIXA Std Book" w:cs="Times New Roman"/>
                <w:b/>
                <w:bCs/>
                <w:color w:val="FFFFFF"/>
                <w:sz w:val="16"/>
                <w:szCs w:val="16"/>
              </w:rPr>
            </w:pPr>
          </w:p>
        </w:tc>
        <w:tc>
          <w:tcPr>
            <w:tcW w:w="466" w:type="pct"/>
            <w:tcBorders>
              <w:top w:val="nil"/>
              <w:left w:val="nil"/>
              <w:bottom w:val="single" w:sz="8" w:space="0" w:color="FFFFFF"/>
              <w:right w:val="nil"/>
            </w:tcBorders>
            <w:shd w:val="clear" w:color="000000" w:fill="005CA9"/>
            <w:vAlign w:val="center"/>
            <w:hideMark/>
          </w:tcPr>
          <w:p w14:paraId="68141B36" w14:textId="390FBB40" w:rsidR="00585E8F" w:rsidRPr="00585E8F" w:rsidRDefault="00585E8F" w:rsidP="00585E8F">
            <w:pPr>
              <w:jc w:val="cente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Sem vencimento</w:t>
            </w:r>
          </w:p>
        </w:tc>
        <w:tc>
          <w:tcPr>
            <w:tcW w:w="466" w:type="pct"/>
            <w:tcBorders>
              <w:top w:val="nil"/>
              <w:left w:val="nil"/>
              <w:bottom w:val="single" w:sz="8" w:space="0" w:color="FFFFFF"/>
              <w:right w:val="nil"/>
            </w:tcBorders>
            <w:shd w:val="clear" w:color="000000" w:fill="005CA9"/>
            <w:vAlign w:val="center"/>
            <w:hideMark/>
          </w:tcPr>
          <w:p w14:paraId="6664C6F9" w14:textId="2B8F6603" w:rsidR="00585E8F" w:rsidRPr="00585E8F" w:rsidRDefault="00585E8F" w:rsidP="00585E8F">
            <w:pPr>
              <w:jc w:val="cente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01 a 90 dias</w:t>
            </w:r>
          </w:p>
        </w:tc>
        <w:tc>
          <w:tcPr>
            <w:tcW w:w="467" w:type="pct"/>
            <w:tcBorders>
              <w:top w:val="nil"/>
              <w:left w:val="nil"/>
              <w:bottom w:val="single" w:sz="8" w:space="0" w:color="FFFFFF"/>
              <w:right w:val="nil"/>
            </w:tcBorders>
            <w:shd w:val="clear" w:color="000000" w:fill="005CA9"/>
            <w:vAlign w:val="center"/>
            <w:hideMark/>
          </w:tcPr>
          <w:p w14:paraId="43322EED" w14:textId="0F3BA74C" w:rsidR="00585E8F" w:rsidRPr="00585E8F" w:rsidRDefault="00585E8F" w:rsidP="00585E8F">
            <w:pPr>
              <w:jc w:val="cente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181 a 360 dias</w:t>
            </w:r>
          </w:p>
        </w:tc>
        <w:tc>
          <w:tcPr>
            <w:tcW w:w="466" w:type="pct"/>
            <w:tcBorders>
              <w:top w:val="nil"/>
              <w:left w:val="nil"/>
              <w:bottom w:val="single" w:sz="8" w:space="0" w:color="FFFFFF"/>
              <w:right w:val="nil"/>
            </w:tcBorders>
            <w:shd w:val="clear" w:color="000000" w:fill="005CA9"/>
            <w:vAlign w:val="center"/>
            <w:hideMark/>
          </w:tcPr>
          <w:p w14:paraId="773F0639" w14:textId="220D78A1" w:rsidR="00585E8F" w:rsidRPr="00585E8F" w:rsidRDefault="00585E8F" w:rsidP="00585E8F">
            <w:pPr>
              <w:jc w:val="cente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Acima de 360 dias</w:t>
            </w:r>
          </w:p>
        </w:tc>
        <w:tc>
          <w:tcPr>
            <w:tcW w:w="466" w:type="pct"/>
            <w:tcBorders>
              <w:top w:val="nil"/>
              <w:left w:val="nil"/>
              <w:bottom w:val="single" w:sz="8" w:space="0" w:color="FFFFFF"/>
              <w:right w:val="nil"/>
            </w:tcBorders>
            <w:shd w:val="clear" w:color="000000" w:fill="005CA9"/>
            <w:vAlign w:val="center"/>
            <w:hideMark/>
          </w:tcPr>
          <w:p w14:paraId="47DEA787" w14:textId="26462670" w:rsidR="00585E8F" w:rsidRPr="00585E8F" w:rsidRDefault="00585E8F" w:rsidP="00585E8F">
            <w:pPr>
              <w:jc w:val="cente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Valor justo</w:t>
            </w:r>
          </w:p>
        </w:tc>
        <w:tc>
          <w:tcPr>
            <w:tcW w:w="467" w:type="pct"/>
            <w:tcBorders>
              <w:top w:val="nil"/>
              <w:left w:val="nil"/>
              <w:bottom w:val="single" w:sz="8" w:space="0" w:color="FFFFFF"/>
              <w:right w:val="nil"/>
            </w:tcBorders>
            <w:shd w:val="clear" w:color="000000" w:fill="005CA9"/>
            <w:vAlign w:val="center"/>
            <w:hideMark/>
          </w:tcPr>
          <w:p w14:paraId="43CDB265" w14:textId="0891E511" w:rsidR="00585E8F" w:rsidRPr="00585E8F" w:rsidRDefault="00585E8F" w:rsidP="00585E8F">
            <w:pPr>
              <w:jc w:val="cente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Valor contábil bruto</w:t>
            </w:r>
          </w:p>
        </w:tc>
        <w:tc>
          <w:tcPr>
            <w:tcW w:w="466" w:type="pct"/>
            <w:tcBorders>
              <w:top w:val="nil"/>
              <w:left w:val="nil"/>
              <w:bottom w:val="single" w:sz="8" w:space="0" w:color="FFFFFF"/>
              <w:right w:val="nil"/>
            </w:tcBorders>
            <w:shd w:val="clear" w:color="000000" w:fill="005CA9"/>
            <w:vAlign w:val="center"/>
            <w:hideMark/>
          </w:tcPr>
          <w:p w14:paraId="4541AA0D" w14:textId="0192E6B8" w:rsidR="00585E8F" w:rsidRPr="00585E8F" w:rsidRDefault="00585E8F" w:rsidP="00585E8F">
            <w:pPr>
              <w:jc w:val="cente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Perdas esperadas</w:t>
            </w:r>
          </w:p>
        </w:tc>
        <w:tc>
          <w:tcPr>
            <w:tcW w:w="468" w:type="pct"/>
            <w:tcBorders>
              <w:top w:val="nil"/>
              <w:left w:val="nil"/>
              <w:bottom w:val="single" w:sz="8" w:space="0" w:color="FFFFFF"/>
              <w:right w:val="nil"/>
            </w:tcBorders>
            <w:shd w:val="clear" w:color="000000" w:fill="005CA9"/>
            <w:vAlign w:val="center"/>
            <w:hideMark/>
          </w:tcPr>
          <w:p w14:paraId="03259B01" w14:textId="3D995B95" w:rsidR="00585E8F" w:rsidRPr="00585E8F" w:rsidRDefault="00585E8F" w:rsidP="00585E8F">
            <w:pPr>
              <w:jc w:val="cente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Ajuste a valor justo</w:t>
            </w:r>
          </w:p>
        </w:tc>
      </w:tr>
      <w:tr w:rsidR="00585E8F" w:rsidRPr="00E80A10" w14:paraId="484C1B16" w14:textId="77777777" w:rsidTr="00563FC6">
        <w:trPr>
          <w:trHeight w:val="283"/>
        </w:trPr>
        <w:tc>
          <w:tcPr>
            <w:tcW w:w="1268" w:type="pct"/>
            <w:tcBorders>
              <w:top w:val="nil"/>
              <w:left w:val="nil"/>
              <w:bottom w:val="nil"/>
              <w:right w:val="nil"/>
            </w:tcBorders>
            <w:noWrap/>
            <w:vAlign w:val="center"/>
            <w:hideMark/>
          </w:tcPr>
          <w:p w14:paraId="37AA75CA" w14:textId="77777777" w:rsidR="00585E8F" w:rsidRPr="00585E8F" w:rsidRDefault="00585E8F" w:rsidP="00585E8F">
            <w:pP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Títulos públicos federais brasileiros</w:t>
            </w:r>
          </w:p>
        </w:tc>
        <w:tc>
          <w:tcPr>
            <w:tcW w:w="466" w:type="pct"/>
            <w:tcBorders>
              <w:top w:val="nil"/>
              <w:left w:val="nil"/>
              <w:bottom w:val="nil"/>
              <w:right w:val="nil"/>
            </w:tcBorders>
            <w:noWrap/>
            <w:vAlign w:val="center"/>
            <w:hideMark/>
          </w:tcPr>
          <w:p w14:paraId="21759D14" w14:textId="2AA0835F" w:rsidR="00585E8F" w:rsidRPr="00585E8F" w:rsidRDefault="00585E8F" w:rsidP="00585E8F">
            <w:pPr>
              <w:jc w:val="cente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w:t>
            </w:r>
          </w:p>
        </w:tc>
        <w:tc>
          <w:tcPr>
            <w:tcW w:w="466" w:type="pct"/>
            <w:tcBorders>
              <w:top w:val="nil"/>
              <w:left w:val="nil"/>
              <w:bottom w:val="nil"/>
              <w:right w:val="nil"/>
            </w:tcBorders>
            <w:noWrap/>
            <w:vAlign w:val="center"/>
            <w:hideMark/>
          </w:tcPr>
          <w:p w14:paraId="3817C1D0" w14:textId="2B21D357" w:rsidR="00585E8F" w:rsidRPr="00585E8F" w:rsidRDefault="00585E8F" w:rsidP="00585E8F">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814</w:t>
            </w:r>
          </w:p>
        </w:tc>
        <w:tc>
          <w:tcPr>
            <w:tcW w:w="467" w:type="pct"/>
            <w:tcBorders>
              <w:top w:val="nil"/>
              <w:left w:val="nil"/>
              <w:bottom w:val="nil"/>
              <w:right w:val="nil"/>
            </w:tcBorders>
            <w:noWrap/>
            <w:vAlign w:val="center"/>
            <w:hideMark/>
          </w:tcPr>
          <w:p w14:paraId="02730F39" w14:textId="0BC4292A" w:rsidR="00585E8F" w:rsidRPr="00585E8F" w:rsidRDefault="00585E8F" w:rsidP="00585E8F">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136.972</w:t>
            </w:r>
          </w:p>
        </w:tc>
        <w:tc>
          <w:tcPr>
            <w:tcW w:w="466" w:type="pct"/>
            <w:tcBorders>
              <w:top w:val="nil"/>
              <w:left w:val="nil"/>
              <w:bottom w:val="nil"/>
              <w:right w:val="nil"/>
            </w:tcBorders>
            <w:noWrap/>
            <w:vAlign w:val="center"/>
            <w:hideMark/>
          </w:tcPr>
          <w:p w14:paraId="131BBC33" w14:textId="66EA4D8A" w:rsidR="00585E8F" w:rsidRPr="00585E8F" w:rsidRDefault="00585E8F" w:rsidP="00585E8F">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156.477.243</w:t>
            </w:r>
          </w:p>
        </w:tc>
        <w:tc>
          <w:tcPr>
            <w:tcW w:w="466" w:type="pct"/>
            <w:tcBorders>
              <w:top w:val="nil"/>
              <w:left w:val="nil"/>
              <w:bottom w:val="nil"/>
              <w:right w:val="nil"/>
            </w:tcBorders>
            <w:noWrap/>
            <w:vAlign w:val="center"/>
            <w:hideMark/>
          </w:tcPr>
          <w:p w14:paraId="2A0FB6BD" w14:textId="2E8407BF" w:rsidR="00585E8F" w:rsidRPr="00585E8F" w:rsidRDefault="00585E8F" w:rsidP="00563FC6">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156.615.029</w:t>
            </w:r>
          </w:p>
        </w:tc>
        <w:tc>
          <w:tcPr>
            <w:tcW w:w="467" w:type="pct"/>
            <w:tcBorders>
              <w:top w:val="nil"/>
              <w:left w:val="nil"/>
              <w:bottom w:val="nil"/>
              <w:right w:val="nil"/>
            </w:tcBorders>
            <w:noWrap/>
            <w:vAlign w:val="center"/>
            <w:hideMark/>
          </w:tcPr>
          <w:p w14:paraId="37E242B5" w14:textId="595E31D4" w:rsidR="00585E8F" w:rsidRPr="00585E8F" w:rsidRDefault="00585E8F" w:rsidP="00585E8F">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156.081.920</w:t>
            </w:r>
          </w:p>
        </w:tc>
        <w:tc>
          <w:tcPr>
            <w:tcW w:w="466" w:type="pct"/>
            <w:tcBorders>
              <w:top w:val="nil"/>
              <w:left w:val="nil"/>
              <w:bottom w:val="nil"/>
              <w:right w:val="nil"/>
            </w:tcBorders>
            <w:noWrap/>
            <w:vAlign w:val="center"/>
            <w:hideMark/>
          </w:tcPr>
          <w:p w14:paraId="7E25EF9E" w14:textId="5D6E8870" w:rsidR="00585E8F" w:rsidRPr="00585E8F" w:rsidRDefault="00585E8F" w:rsidP="00585E8F">
            <w:pPr>
              <w:jc w:val="cente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w:t>
            </w:r>
          </w:p>
        </w:tc>
        <w:tc>
          <w:tcPr>
            <w:tcW w:w="468" w:type="pct"/>
            <w:tcBorders>
              <w:top w:val="nil"/>
              <w:left w:val="nil"/>
              <w:bottom w:val="nil"/>
              <w:right w:val="nil"/>
            </w:tcBorders>
            <w:noWrap/>
            <w:vAlign w:val="center"/>
            <w:hideMark/>
          </w:tcPr>
          <w:p w14:paraId="106686C0" w14:textId="49F66525" w:rsidR="00585E8F" w:rsidRPr="00585E8F" w:rsidRDefault="00585E8F" w:rsidP="00563FC6">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533.109</w:t>
            </w:r>
          </w:p>
        </w:tc>
      </w:tr>
      <w:tr w:rsidR="00585E8F" w:rsidRPr="00E80A10" w14:paraId="35369D17" w14:textId="77777777" w:rsidTr="00563FC6">
        <w:trPr>
          <w:trHeight w:val="283"/>
        </w:trPr>
        <w:tc>
          <w:tcPr>
            <w:tcW w:w="1268" w:type="pct"/>
            <w:tcBorders>
              <w:top w:val="nil"/>
              <w:left w:val="nil"/>
              <w:bottom w:val="nil"/>
              <w:right w:val="nil"/>
            </w:tcBorders>
            <w:noWrap/>
            <w:vAlign w:val="center"/>
            <w:hideMark/>
          </w:tcPr>
          <w:p w14:paraId="2AB802B2" w14:textId="77777777" w:rsidR="00585E8F" w:rsidRPr="00585E8F" w:rsidRDefault="00585E8F" w:rsidP="00585E8F">
            <w:pP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Títulos privados de instituições financeiras</w:t>
            </w:r>
          </w:p>
        </w:tc>
        <w:tc>
          <w:tcPr>
            <w:tcW w:w="466" w:type="pct"/>
            <w:tcBorders>
              <w:top w:val="nil"/>
              <w:left w:val="nil"/>
              <w:bottom w:val="nil"/>
              <w:right w:val="nil"/>
            </w:tcBorders>
            <w:noWrap/>
            <w:vAlign w:val="center"/>
            <w:hideMark/>
          </w:tcPr>
          <w:p w14:paraId="704C291F" w14:textId="0204173F" w:rsidR="00585E8F" w:rsidRPr="00585E8F" w:rsidRDefault="00585E8F" w:rsidP="00585E8F">
            <w:pPr>
              <w:jc w:val="cente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w:t>
            </w:r>
          </w:p>
        </w:tc>
        <w:tc>
          <w:tcPr>
            <w:tcW w:w="466" w:type="pct"/>
            <w:tcBorders>
              <w:top w:val="nil"/>
              <w:left w:val="nil"/>
              <w:bottom w:val="nil"/>
              <w:right w:val="nil"/>
            </w:tcBorders>
            <w:noWrap/>
            <w:vAlign w:val="center"/>
            <w:hideMark/>
          </w:tcPr>
          <w:p w14:paraId="34D28EE3" w14:textId="7DC32F10" w:rsidR="00585E8F" w:rsidRPr="00585E8F" w:rsidRDefault="00585E8F" w:rsidP="00585E8F">
            <w:pPr>
              <w:jc w:val="cente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w:t>
            </w:r>
          </w:p>
        </w:tc>
        <w:tc>
          <w:tcPr>
            <w:tcW w:w="467" w:type="pct"/>
            <w:tcBorders>
              <w:top w:val="nil"/>
              <w:left w:val="nil"/>
              <w:bottom w:val="nil"/>
              <w:right w:val="nil"/>
            </w:tcBorders>
            <w:noWrap/>
            <w:vAlign w:val="center"/>
            <w:hideMark/>
          </w:tcPr>
          <w:p w14:paraId="0CC0616D" w14:textId="1E470809" w:rsidR="00585E8F" w:rsidRPr="00585E8F" w:rsidRDefault="00585E8F" w:rsidP="00585E8F">
            <w:pPr>
              <w:jc w:val="cente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w:t>
            </w:r>
          </w:p>
        </w:tc>
        <w:tc>
          <w:tcPr>
            <w:tcW w:w="466" w:type="pct"/>
            <w:tcBorders>
              <w:top w:val="nil"/>
              <w:left w:val="nil"/>
              <w:bottom w:val="nil"/>
              <w:right w:val="nil"/>
            </w:tcBorders>
            <w:noWrap/>
            <w:vAlign w:val="center"/>
            <w:hideMark/>
          </w:tcPr>
          <w:p w14:paraId="4B664699" w14:textId="3531A41E" w:rsidR="00585E8F" w:rsidRPr="00585E8F" w:rsidRDefault="00585E8F" w:rsidP="00585E8F">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163.855</w:t>
            </w:r>
          </w:p>
        </w:tc>
        <w:tc>
          <w:tcPr>
            <w:tcW w:w="466" w:type="pct"/>
            <w:tcBorders>
              <w:top w:val="nil"/>
              <w:left w:val="nil"/>
              <w:bottom w:val="nil"/>
              <w:right w:val="nil"/>
            </w:tcBorders>
            <w:noWrap/>
            <w:vAlign w:val="center"/>
            <w:hideMark/>
          </w:tcPr>
          <w:p w14:paraId="2DAF37AC" w14:textId="491845E5" w:rsidR="00585E8F" w:rsidRPr="00585E8F" w:rsidRDefault="00585E8F" w:rsidP="00585E8F">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163.855</w:t>
            </w:r>
          </w:p>
        </w:tc>
        <w:tc>
          <w:tcPr>
            <w:tcW w:w="467" w:type="pct"/>
            <w:tcBorders>
              <w:top w:val="nil"/>
              <w:left w:val="nil"/>
              <w:bottom w:val="nil"/>
              <w:right w:val="nil"/>
            </w:tcBorders>
            <w:noWrap/>
            <w:vAlign w:val="center"/>
            <w:hideMark/>
          </w:tcPr>
          <w:p w14:paraId="35F77E07" w14:textId="43500A93" w:rsidR="00585E8F" w:rsidRPr="00585E8F" w:rsidRDefault="00585E8F" w:rsidP="00585E8F">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162.163</w:t>
            </w:r>
          </w:p>
        </w:tc>
        <w:tc>
          <w:tcPr>
            <w:tcW w:w="466" w:type="pct"/>
            <w:tcBorders>
              <w:top w:val="nil"/>
              <w:left w:val="nil"/>
              <w:bottom w:val="nil"/>
              <w:right w:val="nil"/>
            </w:tcBorders>
            <w:noWrap/>
            <w:vAlign w:val="center"/>
            <w:hideMark/>
          </w:tcPr>
          <w:p w14:paraId="72AAA363" w14:textId="70B27321" w:rsidR="00585E8F" w:rsidRPr="00585E8F" w:rsidRDefault="00585E8F" w:rsidP="00563FC6">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(811)</w:t>
            </w:r>
          </w:p>
        </w:tc>
        <w:tc>
          <w:tcPr>
            <w:tcW w:w="468" w:type="pct"/>
            <w:tcBorders>
              <w:top w:val="nil"/>
              <w:left w:val="nil"/>
              <w:bottom w:val="nil"/>
              <w:right w:val="nil"/>
            </w:tcBorders>
            <w:noWrap/>
            <w:vAlign w:val="center"/>
            <w:hideMark/>
          </w:tcPr>
          <w:p w14:paraId="174B0CCC" w14:textId="21017023" w:rsidR="00585E8F" w:rsidRPr="00585E8F" w:rsidRDefault="00585E8F" w:rsidP="00563FC6">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2.503</w:t>
            </w:r>
          </w:p>
        </w:tc>
      </w:tr>
      <w:tr w:rsidR="00585E8F" w:rsidRPr="00E80A10" w14:paraId="4EDA59E6" w14:textId="77777777" w:rsidTr="00563FC6">
        <w:trPr>
          <w:trHeight w:val="283"/>
        </w:trPr>
        <w:tc>
          <w:tcPr>
            <w:tcW w:w="1268" w:type="pct"/>
            <w:tcBorders>
              <w:top w:val="nil"/>
              <w:left w:val="nil"/>
              <w:bottom w:val="nil"/>
              <w:right w:val="nil"/>
            </w:tcBorders>
            <w:noWrap/>
            <w:vAlign w:val="center"/>
            <w:hideMark/>
          </w:tcPr>
          <w:p w14:paraId="0B3550ED" w14:textId="77777777" w:rsidR="00585E8F" w:rsidRPr="00585E8F" w:rsidRDefault="00585E8F" w:rsidP="00585E8F">
            <w:pP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Títulos privados de entidades não financeiras</w:t>
            </w:r>
          </w:p>
        </w:tc>
        <w:tc>
          <w:tcPr>
            <w:tcW w:w="466" w:type="pct"/>
            <w:tcBorders>
              <w:top w:val="nil"/>
              <w:left w:val="nil"/>
              <w:bottom w:val="nil"/>
              <w:right w:val="nil"/>
            </w:tcBorders>
            <w:noWrap/>
            <w:vAlign w:val="center"/>
            <w:hideMark/>
          </w:tcPr>
          <w:p w14:paraId="176E5836" w14:textId="28D0EFE0" w:rsidR="00585E8F" w:rsidRPr="00585E8F" w:rsidRDefault="00585E8F" w:rsidP="00585E8F">
            <w:pPr>
              <w:jc w:val="cente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w:t>
            </w:r>
          </w:p>
        </w:tc>
        <w:tc>
          <w:tcPr>
            <w:tcW w:w="466" w:type="pct"/>
            <w:tcBorders>
              <w:top w:val="nil"/>
              <w:left w:val="nil"/>
              <w:bottom w:val="nil"/>
              <w:right w:val="nil"/>
            </w:tcBorders>
            <w:noWrap/>
            <w:vAlign w:val="center"/>
            <w:hideMark/>
          </w:tcPr>
          <w:p w14:paraId="7F3AC75C" w14:textId="774DAF75" w:rsidR="00585E8F" w:rsidRPr="00585E8F" w:rsidRDefault="00585E8F" w:rsidP="00585E8F">
            <w:pPr>
              <w:jc w:val="cente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w:t>
            </w:r>
          </w:p>
        </w:tc>
        <w:tc>
          <w:tcPr>
            <w:tcW w:w="467" w:type="pct"/>
            <w:tcBorders>
              <w:top w:val="nil"/>
              <w:left w:val="nil"/>
              <w:bottom w:val="nil"/>
              <w:right w:val="nil"/>
            </w:tcBorders>
            <w:noWrap/>
            <w:vAlign w:val="center"/>
            <w:hideMark/>
          </w:tcPr>
          <w:p w14:paraId="0CFF1A06" w14:textId="14AC3FFD" w:rsidR="00585E8F" w:rsidRPr="00585E8F" w:rsidRDefault="00585E8F" w:rsidP="00585E8F">
            <w:pPr>
              <w:jc w:val="cente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w:t>
            </w:r>
          </w:p>
        </w:tc>
        <w:tc>
          <w:tcPr>
            <w:tcW w:w="466" w:type="pct"/>
            <w:tcBorders>
              <w:top w:val="nil"/>
              <w:left w:val="nil"/>
              <w:bottom w:val="nil"/>
              <w:right w:val="nil"/>
            </w:tcBorders>
            <w:noWrap/>
            <w:vAlign w:val="center"/>
            <w:hideMark/>
          </w:tcPr>
          <w:p w14:paraId="31960690" w14:textId="6511B8B5" w:rsidR="00585E8F" w:rsidRPr="00585E8F" w:rsidRDefault="00585E8F" w:rsidP="00585E8F">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3.300.077</w:t>
            </w:r>
          </w:p>
        </w:tc>
        <w:tc>
          <w:tcPr>
            <w:tcW w:w="466" w:type="pct"/>
            <w:tcBorders>
              <w:top w:val="nil"/>
              <w:left w:val="nil"/>
              <w:bottom w:val="nil"/>
              <w:right w:val="nil"/>
            </w:tcBorders>
            <w:noWrap/>
            <w:vAlign w:val="center"/>
            <w:hideMark/>
          </w:tcPr>
          <w:p w14:paraId="6386867F" w14:textId="2057BAC5" w:rsidR="00585E8F" w:rsidRPr="00585E8F" w:rsidRDefault="00585E8F" w:rsidP="00585E8F">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3.300.077</w:t>
            </w:r>
          </w:p>
        </w:tc>
        <w:tc>
          <w:tcPr>
            <w:tcW w:w="467" w:type="pct"/>
            <w:tcBorders>
              <w:top w:val="nil"/>
              <w:left w:val="nil"/>
              <w:bottom w:val="nil"/>
              <w:right w:val="nil"/>
            </w:tcBorders>
            <w:noWrap/>
            <w:vAlign w:val="center"/>
            <w:hideMark/>
          </w:tcPr>
          <w:p w14:paraId="3AE29B37" w14:textId="315E0502" w:rsidR="00585E8F" w:rsidRPr="00585E8F" w:rsidRDefault="00585E8F" w:rsidP="00585E8F">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3.345.020</w:t>
            </w:r>
          </w:p>
        </w:tc>
        <w:tc>
          <w:tcPr>
            <w:tcW w:w="466" w:type="pct"/>
            <w:tcBorders>
              <w:top w:val="nil"/>
              <w:left w:val="nil"/>
              <w:bottom w:val="nil"/>
              <w:right w:val="nil"/>
            </w:tcBorders>
            <w:noWrap/>
            <w:vAlign w:val="center"/>
            <w:hideMark/>
          </w:tcPr>
          <w:p w14:paraId="22696818" w14:textId="7EF2ED86" w:rsidR="00585E8F" w:rsidRPr="00585E8F" w:rsidRDefault="00585E8F" w:rsidP="00563FC6">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(75.019)</w:t>
            </w:r>
          </w:p>
        </w:tc>
        <w:tc>
          <w:tcPr>
            <w:tcW w:w="468" w:type="pct"/>
            <w:tcBorders>
              <w:top w:val="nil"/>
              <w:left w:val="nil"/>
              <w:bottom w:val="nil"/>
              <w:right w:val="nil"/>
            </w:tcBorders>
            <w:noWrap/>
            <w:vAlign w:val="center"/>
            <w:hideMark/>
          </w:tcPr>
          <w:p w14:paraId="40CB35C3" w14:textId="34B28D60" w:rsidR="00585E8F" w:rsidRPr="00585E8F" w:rsidRDefault="00585E8F" w:rsidP="00563FC6">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30.076</w:t>
            </w:r>
          </w:p>
        </w:tc>
      </w:tr>
      <w:tr w:rsidR="00585E8F" w:rsidRPr="00E80A10" w14:paraId="3893A2B7" w14:textId="77777777" w:rsidTr="00563FC6">
        <w:trPr>
          <w:trHeight w:val="283"/>
        </w:trPr>
        <w:tc>
          <w:tcPr>
            <w:tcW w:w="1268" w:type="pct"/>
            <w:tcBorders>
              <w:top w:val="nil"/>
              <w:left w:val="nil"/>
              <w:bottom w:val="nil"/>
              <w:right w:val="nil"/>
            </w:tcBorders>
            <w:noWrap/>
            <w:vAlign w:val="center"/>
            <w:hideMark/>
          </w:tcPr>
          <w:p w14:paraId="29B7A127" w14:textId="77777777" w:rsidR="00585E8F" w:rsidRPr="00585E8F" w:rsidRDefault="00585E8F" w:rsidP="00585E8F">
            <w:pP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Cotas de fundo de investimento</w:t>
            </w:r>
          </w:p>
        </w:tc>
        <w:tc>
          <w:tcPr>
            <w:tcW w:w="466" w:type="pct"/>
            <w:tcBorders>
              <w:top w:val="nil"/>
              <w:left w:val="nil"/>
              <w:bottom w:val="nil"/>
              <w:right w:val="nil"/>
            </w:tcBorders>
            <w:noWrap/>
            <w:vAlign w:val="center"/>
            <w:hideMark/>
          </w:tcPr>
          <w:p w14:paraId="04AE0B6C" w14:textId="60BB07A1" w:rsidR="00585E8F" w:rsidRPr="00585E8F" w:rsidRDefault="00585E8F" w:rsidP="00585E8F">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147.620</w:t>
            </w:r>
          </w:p>
        </w:tc>
        <w:tc>
          <w:tcPr>
            <w:tcW w:w="466" w:type="pct"/>
            <w:tcBorders>
              <w:top w:val="nil"/>
              <w:left w:val="nil"/>
              <w:bottom w:val="nil"/>
              <w:right w:val="nil"/>
            </w:tcBorders>
            <w:noWrap/>
            <w:vAlign w:val="center"/>
            <w:hideMark/>
          </w:tcPr>
          <w:p w14:paraId="23F8CED5" w14:textId="382B70B6" w:rsidR="00585E8F" w:rsidRPr="00585E8F" w:rsidRDefault="00585E8F" w:rsidP="00585E8F">
            <w:pPr>
              <w:jc w:val="cente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w:t>
            </w:r>
          </w:p>
        </w:tc>
        <w:tc>
          <w:tcPr>
            <w:tcW w:w="467" w:type="pct"/>
            <w:tcBorders>
              <w:top w:val="nil"/>
              <w:left w:val="nil"/>
              <w:bottom w:val="nil"/>
              <w:right w:val="nil"/>
            </w:tcBorders>
            <w:noWrap/>
            <w:vAlign w:val="center"/>
            <w:hideMark/>
          </w:tcPr>
          <w:p w14:paraId="1B237562" w14:textId="25839CB6" w:rsidR="00585E8F" w:rsidRPr="00585E8F" w:rsidRDefault="00585E8F" w:rsidP="00585E8F">
            <w:pPr>
              <w:jc w:val="cente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w:t>
            </w:r>
          </w:p>
        </w:tc>
        <w:tc>
          <w:tcPr>
            <w:tcW w:w="466" w:type="pct"/>
            <w:tcBorders>
              <w:top w:val="nil"/>
              <w:left w:val="nil"/>
              <w:bottom w:val="nil"/>
              <w:right w:val="nil"/>
            </w:tcBorders>
            <w:noWrap/>
            <w:vAlign w:val="center"/>
            <w:hideMark/>
          </w:tcPr>
          <w:p w14:paraId="3A5AE653" w14:textId="6DF1DDEB" w:rsidR="00585E8F" w:rsidRPr="00585E8F" w:rsidRDefault="00585E8F" w:rsidP="00563FC6">
            <w:pPr>
              <w:jc w:val="cente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w:t>
            </w:r>
          </w:p>
        </w:tc>
        <w:tc>
          <w:tcPr>
            <w:tcW w:w="466" w:type="pct"/>
            <w:tcBorders>
              <w:top w:val="nil"/>
              <w:left w:val="nil"/>
              <w:bottom w:val="nil"/>
              <w:right w:val="nil"/>
            </w:tcBorders>
            <w:noWrap/>
            <w:vAlign w:val="center"/>
            <w:hideMark/>
          </w:tcPr>
          <w:p w14:paraId="4C42E10F" w14:textId="66CCBC95" w:rsidR="00585E8F" w:rsidRPr="00585E8F" w:rsidRDefault="00585E8F" w:rsidP="00563FC6">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147.620</w:t>
            </w:r>
          </w:p>
        </w:tc>
        <w:tc>
          <w:tcPr>
            <w:tcW w:w="467" w:type="pct"/>
            <w:tcBorders>
              <w:top w:val="nil"/>
              <w:left w:val="nil"/>
              <w:bottom w:val="nil"/>
              <w:right w:val="nil"/>
            </w:tcBorders>
            <w:noWrap/>
            <w:vAlign w:val="center"/>
            <w:hideMark/>
          </w:tcPr>
          <w:p w14:paraId="3CC0CD4C" w14:textId="54AE08AC" w:rsidR="00585E8F" w:rsidRPr="00585E8F" w:rsidRDefault="00585E8F" w:rsidP="00585E8F">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27.147</w:t>
            </w:r>
          </w:p>
        </w:tc>
        <w:tc>
          <w:tcPr>
            <w:tcW w:w="466" w:type="pct"/>
            <w:tcBorders>
              <w:top w:val="nil"/>
              <w:left w:val="nil"/>
              <w:bottom w:val="nil"/>
              <w:right w:val="nil"/>
            </w:tcBorders>
            <w:noWrap/>
            <w:vAlign w:val="center"/>
            <w:hideMark/>
          </w:tcPr>
          <w:p w14:paraId="4B90B613" w14:textId="28617C4E" w:rsidR="00585E8F" w:rsidRPr="00585E8F" w:rsidRDefault="00585E8F" w:rsidP="00585E8F">
            <w:pPr>
              <w:jc w:val="cente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w:t>
            </w:r>
          </w:p>
        </w:tc>
        <w:tc>
          <w:tcPr>
            <w:tcW w:w="468" w:type="pct"/>
            <w:tcBorders>
              <w:top w:val="nil"/>
              <w:left w:val="nil"/>
              <w:bottom w:val="nil"/>
              <w:right w:val="nil"/>
            </w:tcBorders>
            <w:noWrap/>
            <w:vAlign w:val="center"/>
            <w:hideMark/>
          </w:tcPr>
          <w:p w14:paraId="09A5CC19" w14:textId="43D30498" w:rsidR="00585E8F" w:rsidRPr="00585E8F" w:rsidRDefault="00585E8F" w:rsidP="00585E8F">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120.473</w:t>
            </w:r>
          </w:p>
        </w:tc>
      </w:tr>
      <w:tr w:rsidR="00585E8F" w:rsidRPr="00E80A10" w14:paraId="1E9D7109" w14:textId="77777777" w:rsidTr="00563FC6">
        <w:trPr>
          <w:trHeight w:val="283"/>
        </w:trPr>
        <w:tc>
          <w:tcPr>
            <w:tcW w:w="1268" w:type="pct"/>
            <w:tcBorders>
              <w:top w:val="nil"/>
              <w:left w:val="nil"/>
              <w:bottom w:val="nil"/>
              <w:right w:val="nil"/>
            </w:tcBorders>
            <w:noWrap/>
            <w:vAlign w:val="center"/>
            <w:hideMark/>
          </w:tcPr>
          <w:p w14:paraId="12D612D6" w14:textId="77777777" w:rsidR="00585E8F" w:rsidRPr="00585E8F" w:rsidRDefault="00585E8F" w:rsidP="00585E8F">
            <w:pP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Ações</w:t>
            </w:r>
          </w:p>
        </w:tc>
        <w:tc>
          <w:tcPr>
            <w:tcW w:w="466" w:type="pct"/>
            <w:tcBorders>
              <w:top w:val="nil"/>
              <w:left w:val="nil"/>
              <w:bottom w:val="nil"/>
              <w:right w:val="nil"/>
            </w:tcBorders>
            <w:noWrap/>
            <w:vAlign w:val="center"/>
            <w:hideMark/>
          </w:tcPr>
          <w:p w14:paraId="399D52BE" w14:textId="49601CE9" w:rsidR="00585E8F" w:rsidRPr="00585E8F" w:rsidRDefault="00585E8F" w:rsidP="00563FC6">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876.988</w:t>
            </w:r>
          </w:p>
        </w:tc>
        <w:tc>
          <w:tcPr>
            <w:tcW w:w="466" w:type="pct"/>
            <w:tcBorders>
              <w:top w:val="nil"/>
              <w:left w:val="nil"/>
              <w:bottom w:val="nil"/>
              <w:right w:val="nil"/>
            </w:tcBorders>
            <w:noWrap/>
            <w:vAlign w:val="center"/>
            <w:hideMark/>
          </w:tcPr>
          <w:p w14:paraId="637C02EF" w14:textId="09D5BE27" w:rsidR="00585E8F" w:rsidRPr="00585E8F" w:rsidRDefault="00585E8F" w:rsidP="00585E8F">
            <w:pPr>
              <w:jc w:val="cente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w:t>
            </w:r>
          </w:p>
        </w:tc>
        <w:tc>
          <w:tcPr>
            <w:tcW w:w="467" w:type="pct"/>
            <w:tcBorders>
              <w:top w:val="nil"/>
              <w:left w:val="nil"/>
              <w:bottom w:val="nil"/>
              <w:right w:val="nil"/>
            </w:tcBorders>
            <w:noWrap/>
            <w:vAlign w:val="center"/>
            <w:hideMark/>
          </w:tcPr>
          <w:p w14:paraId="278988B5" w14:textId="772F548B" w:rsidR="00585E8F" w:rsidRPr="00585E8F" w:rsidRDefault="00585E8F" w:rsidP="00585E8F">
            <w:pPr>
              <w:jc w:val="cente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w:t>
            </w:r>
          </w:p>
        </w:tc>
        <w:tc>
          <w:tcPr>
            <w:tcW w:w="466" w:type="pct"/>
            <w:tcBorders>
              <w:top w:val="nil"/>
              <w:left w:val="nil"/>
              <w:bottom w:val="nil"/>
              <w:right w:val="nil"/>
            </w:tcBorders>
            <w:noWrap/>
            <w:vAlign w:val="center"/>
            <w:hideMark/>
          </w:tcPr>
          <w:p w14:paraId="624E4139" w14:textId="2E30501A" w:rsidR="00585E8F" w:rsidRPr="00585E8F" w:rsidRDefault="00585E8F" w:rsidP="00563FC6">
            <w:pPr>
              <w:jc w:val="cente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w:t>
            </w:r>
          </w:p>
        </w:tc>
        <w:tc>
          <w:tcPr>
            <w:tcW w:w="466" w:type="pct"/>
            <w:tcBorders>
              <w:top w:val="nil"/>
              <w:left w:val="nil"/>
              <w:bottom w:val="nil"/>
              <w:right w:val="nil"/>
            </w:tcBorders>
            <w:noWrap/>
            <w:vAlign w:val="center"/>
            <w:hideMark/>
          </w:tcPr>
          <w:p w14:paraId="6F290DC2" w14:textId="097ACCBB" w:rsidR="00585E8F" w:rsidRPr="00585E8F" w:rsidRDefault="00585E8F" w:rsidP="00563FC6">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876.988</w:t>
            </w:r>
          </w:p>
        </w:tc>
        <w:tc>
          <w:tcPr>
            <w:tcW w:w="467" w:type="pct"/>
            <w:tcBorders>
              <w:top w:val="nil"/>
              <w:left w:val="nil"/>
              <w:bottom w:val="nil"/>
              <w:right w:val="nil"/>
            </w:tcBorders>
            <w:noWrap/>
            <w:vAlign w:val="center"/>
            <w:hideMark/>
          </w:tcPr>
          <w:p w14:paraId="1501B474" w14:textId="557D4B1F" w:rsidR="00585E8F" w:rsidRPr="00585E8F" w:rsidRDefault="00585E8F" w:rsidP="00585E8F">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917.736</w:t>
            </w:r>
          </w:p>
        </w:tc>
        <w:tc>
          <w:tcPr>
            <w:tcW w:w="466" w:type="pct"/>
            <w:tcBorders>
              <w:top w:val="nil"/>
              <w:left w:val="nil"/>
              <w:bottom w:val="nil"/>
              <w:right w:val="nil"/>
            </w:tcBorders>
            <w:noWrap/>
            <w:vAlign w:val="center"/>
            <w:hideMark/>
          </w:tcPr>
          <w:p w14:paraId="7D748C0C" w14:textId="1FF8E69E" w:rsidR="00585E8F" w:rsidRPr="00585E8F" w:rsidRDefault="00585E8F" w:rsidP="00585E8F">
            <w:pPr>
              <w:jc w:val="center"/>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w:t>
            </w:r>
          </w:p>
        </w:tc>
        <w:tc>
          <w:tcPr>
            <w:tcW w:w="468" w:type="pct"/>
            <w:tcBorders>
              <w:top w:val="nil"/>
              <w:left w:val="nil"/>
              <w:bottom w:val="nil"/>
              <w:right w:val="nil"/>
            </w:tcBorders>
            <w:noWrap/>
            <w:vAlign w:val="center"/>
            <w:hideMark/>
          </w:tcPr>
          <w:p w14:paraId="7B2D9441" w14:textId="2AB3FA44" w:rsidR="00585E8F" w:rsidRPr="00585E8F" w:rsidRDefault="00585E8F" w:rsidP="00563FC6">
            <w:pPr>
              <w:jc w:val="right"/>
              <w:rPr>
                <w:rFonts w:ascii="CAIXA Std Book" w:eastAsia="Times New Roman" w:hAnsi="CAIXA Std Book" w:cs="Times New Roman"/>
                <w:color w:val="005CA9"/>
                <w:sz w:val="16"/>
                <w:szCs w:val="16"/>
              </w:rPr>
            </w:pPr>
            <w:r w:rsidRPr="00585E8F">
              <w:rPr>
                <w:rFonts w:ascii="CAIXA Std Book" w:eastAsia="Times New Roman" w:hAnsi="CAIXA Std Book" w:cs="Times New Roman"/>
                <w:color w:val="005CA9"/>
                <w:sz w:val="16"/>
                <w:szCs w:val="16"/>
              </w:rPr>
              <w:t>(40.748)</w:t>
            </w:r>
          </w:p>
        </w:tc>
      </w:tr>
      <w:tr w:rsidR="00585E8F" w:rsidRPr="00E80A10" w14:paraId="461DAF07" w14:textId="77777777" w:rsidTr="00563FC6">
        <w:trPr>
          <w:trHeight w:val="283"/>
        </w:trPr>
        <w:tc>
          <w:tcPr>
            <w:tcW w:w="1268" w:type="pct"/>
            <w:tcBorders>
              <w:top w:val="nil"/>
              <w:left w:val="nil"/>
              <w:bottom w:val="single" w:sz="8" w:space="0" w:color="FFFFFF"/>
              <w:right w:val="nil"/>
            </w:tcBorders>
            <w:shd w:val="clear" w:color="000000" w:fill="005CA9"/>
            <w:noWrap/>
            <w:vAlign w:val="center"/>
            <w:hideMark/>
          </w:tcPr>
          <w:p w14:paraId="19061DA5" w14:textId="77777777" w:rsidR="00585E8F" w:rsidRPr="00585E8F" w:rsidRDefault="00585E8F" w:rsidP="00585E8F">
            <w:pPr>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 xml:space="preserve"> Total </w:t>
            </w:r>
          </w:p>
        </w:tc>
        <w:tc>
          <w:tcPr>
            <w:tcW w:w="466" w:type="pct"/>
            <w:tcBorders>
              <w:top w:val="nil"/>
              <w:left w:val="nil"/>
              <w:bottom w:val="single" w:sz="8" w:space="0" w:color="FFFFFF"/>
              <w:right w:val="nil"/>
            </w:tcBorders>
            <w:shd w:val="clear" w:color="000000" w:fill="005CA9"/>
            <w:noWrap/>
            <w:vAlign w:val="center"/>
            <w:hideMark/>
          </w:tcPr>
          <w:p w14:paraId="1AABFF56" w14:textId="47655A21" w:rsidR="00585E8F" w:rsidRPr="00585E8F" w:rsidRDefault="00585E8F" w:rsidP="00585E8F">
            <w:pPr>
              <w:jc w:val="right"/>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1.024.608</w:t>
            </w:r>
          </w:p>
        </w:tc>
        <w:tc>
          <w:tcPr>
            <w:tcW w:w="466" w:type="pct"/>
            <w:tcBorders>
              <w:top w:val="nil"/>
              <w:left w:val="nil"/>
              <w:bottom w:val="single" w:sz="8" w:space="0" w:color="FFFFFF"/>
              <w:right w:val="nil"/>
            </w:tcBorders>
            <w:shd w:val="clear" w:color="000000" w:fill="005CA9"/>
            <w:noWrap/>
            <w:vAlign w:val="center"/>
            <w:hideMark/>
          </w:tcPr>
          <w:p w14:paraId="536F4927" w14:textId="1DD653AA" w:rsidR="00585E8F" w:rsidRPr="00585E8F" w:rsidRDefault="00585E8F" w:rsidP="00585E8F">
            <w:pPr>
              <w:jc w:val="right"/>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814</w:t>
            </w:r>
          </w:p>
        </w:tc>
        <w:tc>
          <w:tcPr>
            <w:tcW w:w="467" w:type="pct"/>
            <w:tcBorders>
              <w:top w:val="nil"/>
              <w:left w:val="nil"/>
              <w:bottom w:val="single" w:sz="8" w:space="0" w:color="FFFFFF"/>
              <w:right w:val="nil"/>
            </w:tcBorders>
            <w:shd w:val="clear" w:color="000000" w:fill="005CA9"/>
            <w:noWrap/>
            <w:vAlign w:val="center"/>
            <w:hideMark/>
          </w:tcPr>
          <w:p w14:paraId="6F563EDF" w14:textId="382D7399" w:rsidR="00585E8F" w:rsidRPr="00585E8F" w:rsidRDefault="00585E8F" w:rsidP="00585E8F">
            <w:pPr>
              <w:jc w:val="right"/>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136.972</w:t>
            </w:r>
          </w:p>
        </w:tc>
        <w:tc>
          <w:tcPr>
            <w:tcW w:w="466" w:type="pct"/>
            <w:tcBorders>
              <w:top w:val="nil"/>
              <w:left w:val="nil"/>
              <w:bottom w:val="single" w:sz="8" w:space="0" w:color="FFFFFF"/>
              <w:right w:val="nil"/>
            </w:tcBorders>
            <w:shd w:val="clear" w:color="000000" w:fill="005CA9"/>
            <w:noWrap/>
            <w:vAlign w:val="center"/>
            <w:hideMark/>
          </w:tcPr>
          <w:p w14:paraId="5AB6EBD1" w14:textId="3DC97092" w:rsidR="00585E8F" w:rsidRPr="00585E8F" w:rsidRDefault="00585E8F" w:rsidP="00585E8F">
            <w:pPr>
              <w:jc w:val="right"/>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159.941.175</w:t>
            </w:r>
          </w:p>
        </w:tc>
        <w:tc>
          <w:tcPr>
            <w:tcW w:w="466" w:type="pct"/>
            <w:tcBorders>
              <w:top w:val="nil"/>
              <w:left w:val="nil"/>
              <w:bottom w:val="single" w:sz="8" w:space="0" w:color="FFFFFF"/>
              <w:right w:val="nil"/>
            </w:tcBorders>
            <w:shd w:val="clear" w:color="000000" w:fill="005CA9"/>
            <w:noWrap/>
            <w:vAlign w:val="center"/>
            <w:hideMark/>
          </w:tcPr>
          <w:p w14:paraId="3681A60A" w14:textId="67ABBDA5" w:rsidR="00585E8F" w:rsidRPr="00585E8F" w:rsidRDefault="00585E8F" w:rsidP="00585E8F">
            <w:pPr>
              <w:jc w:val="right"/>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161.103.569</w:t>
            </w:r>
          </w:p>
        </w:tc>
        <w:tc>
          <w:tcPr>
            <w:tcW w:w="467" w:type="pct"/>
            <w:tcBorders>
              <w:top w:val="nil"/>
              <w:left w:val="nil"/>
              <w:bottom w:val="single" w:sz="8" w:space="0" w:color="FFFFFF"/>
              <w:right w:val="nil"/>
            </w:tcBorders>
            <w:shd w:val="clear" w:color="000000" w:fill="005CA9"/>
            <w:noWrap/>
            <w:vAlign w:val="center"/>
            <w:hideMark/>
          </w:tcPr>
          <w:p w14:paraId="26CBA3CD" w14:textId="3FCCCD47" w:rsidR="00585E8F" w:rsidRPr="00585E8F" w:rsidRDefault="00585E8F" w:rsidP="00585E8F">
            <w:pPr>
              <w:jc w:val="right"/>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160.533.986</w:t>
            </w:r>
          </w:p>
        </w:tc>
        <w:tc>
          <w:tcPr>
            <w:tcW w:w="466" w:type="pct"/>
            <w:tcBorders>
              <w:top w:val="nil"/>
              <w:left w:val="nil"/>
              <w:bottom w:val="single" w:sz="8" w:space="0" w:color="FFFFFF"/>
              <w:right w:val="nil"/>
            </w:tcBorders>
            <w:shd w:val="clear" w:color="000000" w:fill="005CA9"/>
            <w:noWrap/>
            <w:vAlign w:val="center"/>
            <w:hideMark/>
          </w:tcPr>
          <w:p w14:paraId="6D57C4F7" w14:textId="2EEBE241" w:rsidR="00585E8F" w:rsidRPr="00585E8F" w:rsidRDefault="00585E8F" w:rsidP="00563FC6">
            <w:pPr>
              <w:jc w:val="right"/>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(75.830)</w:t>
            </w:r>
          </w:p>
        </w:tc>
        <w:tc>
          <w:tcPr>
            <w:tcW w:w="468" w:type="pct"/>
            <w:tcBorders>
              <w:top w:val="nil"/>
              <w:left w:val="nil"/>
              <w:bottom w:val="single" w:sz="8" w:space="0" w:color="FFFFFF"/>
              <w:right w:val="nil"/>
            </w:tcBorders>
            <w:shd w:val="clear" w:color="000000" w:fill="005CA9"/>
            <w:noWrap/>
            <w:vAlign w:val="center"/>
            <w:hideMark/>
          </w:tcPr>
          <w:p w14:paraId="5B2C1B3C" w14:textId="643C49CF" w:rsidR="00585E8F" w:rsidRPr="00585E8F" w:rsidRDefault="00585E8F" w:rsidP="00585E8F">
            <w:pPr>
              <w:jc w:val="right"/>
              <w:rPr>
                <w:rFonts w:ascii="CAIXA Std Book" w:eastAsia="Times New Roman" w:hAnsi="CAIXA Std Book" w:cs="Times New Roman"/>
                <w:b/>
                <w:bCs/>
                <w:color w:val="FFFFFF"/>
                <w:sz w:val="16"/>
                <w:szCs w:val="16"/>
              </w:rPr>
            </w:pPr>
            <w:r w:rsidRPr="00585E8F">
              <w:rPr>
                <w:rFonts w:ascii="CAIXA Std Book" w:eastAsia="Times New Roman" w:hAnsi="CAIXA Std Book" w:cs="Times New Roman"/>
                <w:b/>
                <w:bCs/>
                <w:color w:val="FFFFFF"/>
                <w:sz w:val="16"/>
                <w:szCs w:val="16"/>
              </w:rPr>
              <w:t>645.413</w:t>
            </w:r>
          </w:p>
        </w:tc>
      </w:tr>
    </w:tbl>
    <w:p w14:paraId="1C58D830" w14:textId="77777777" w:rsidR="00BB26F4" w:rsidRPr="001669D4" w:rsidRDefault="00BB26F4" w:rsidP="00BB26F4">
      <w:pPr>
        <w:spacing w:before="240" w:after="120"/>
        <w:rPr>
          <w:rFonts w:ascii="CAIXA Std Book" w:hAnsi="CAIXA Std Book"/>
          <w:b/>
          <w:color w:val="005CA9"/>
          <w:sz w:val="20"/>
          <w:szCs w:val="20"/>
        </w:rPr>
      </w:pPr>
      <w:r>
        <w:rPr>
          <w:rFonts w:ascii="CAIXA Std Book" w:hAnsi="CAIXA Std Book"/>
          <w:b/>
          <w:color w:val="005CA9"/>
          <w:sz w:val="20"/>
          <w:szCs w:val="20"/>
        </w:rPr>
        <w:t>(a.1)</w:t>
      </w:r>
      <w:r>
        <w:rPr>
          <w:rFonts w:ascii="CAIXA Std Book" w:hAnsi="CAIXA Std Book"/>
          <w:b/>
          <w:color w:val="005CA9"/>
          <w:sz w:val="20"/>
          <w:szCs w:val="20"/>
        </w:rPr>
        <w:tab/>
      </w:r>
      <w:r w:rsidRPr="001669D4">
        <w:rPr>
          <w:rFonts w:ascii="CAIXA Std Book" w:hAnsi="CAIXA Std Book"/>
          <w:b/>
          <w:color w:val="005CA9"/>
          <w:sz w:val="20"/>
          <w:szCs w:val="20"/>
        </w:rPr>
        <w:t>Receitas não reconhecidas</w:t>
      </w:r>
      <w:r>
        <w:rPr>
          <w:rFonts w:ascii="CAIXA Std Book" w:hAnsi="CAIXA Std Book"/>
          <w:b/>
          <w:color w:val="005CA9"/>
          <w:sz w:val="20"/>
          <w:szCs w:val="20"/>
        </w:rPr>
        <w:t xml:space="preserve"> em resultado</w:t>
      </w:r>
    </w:p>
    <w:p w14:paraId="2831B982" w14:textId="77777777" w:rsidR="00A2447B" w:rsidRPr="00A2447B" w:rsidRDefault="00A2447B" w:rsidP="00A2447B">
      <w:pPr>
        <w:rPr>
          <w:rFonts w:ascii="CAIXA Std Book" w:hAnsi="CAIXA Std Book"/>
          <w:bCs/>
          <w:color w:val="005CA9"/>
          <w:sz w:val="20"/>
          <w:szCs w:val="20"/>
        </w:rPr>
      </w:pPr>
      <w:r w:rsidRPr="00A2447B">
        <w:rPr>
          <w:rFonts w:ascii="CAIXA Std Book" w:hAnsi="CAIXA Std Book"/>
          <w:bCs/>
          <w:color w:val="005CA9"/>
          <w:sz w:val="20"/>
          <w:szCs w:val="20"/>
        </w:rPr>
        <w:t>No 1º trimestre de 2026 as receitas com títulos e valores mobiliários ao valor justo por meio do resultado não reconhecidas em função do ativo ser caracterizado com problema de recuperação de crédito totalizaram o montante de R$ 2.551 (1º trimestre de 2025 – R$ 1.366).</w:t>
      </w:r>
    </w:p>
    <w:p w14:paraId="438D454E" w14:textId="77777777" w:rsidR="007D314D" w:rsidRDefault="007D314D">
      <w:pPr>
        <w:rPr>
          <w:rFonts w:ascii="CAIXA Std Book" w:hAnsi="CAIXA Std Book"/>
          <w:b/>
          <w:color w:val="005CA9"/>
          <w:sz w:val="20"/>
          <w:szCs w:val="20"/>
        </w:rPr>
      </w:pPr>
      <w:r>
        <w:rPr>
          <w:rFonts w:ascii="CAIXA Std Book" w:hAnsi="CAIXA Std Book"/>
          <w:b/>
          <w:color w:val="005CA9"/>
          <w:sz w:val="20"/>
          <w:szCs w:val="20"/>
        </w:rPr>
        <w:br w:type="page"/>
      </w:r>
    </w:p>
    <w:p w14:paraId="38E86C9F" w14:textId="4CF73A88" w:rsidR="00A17CBD" w:rsidRDefault="00A17CBD" w:rsidP="00295657">
      <w:pPr>
        <w:pStyle w:val="PargrafodaLista"/>
        <w:numPr>
          <w:ilvl w:val="0"/>
          <w:numId w:val="19"/>
        </w:numPr>
        <w:spacing w:before="240" w:after="120"/>
        <w:ind w:left="567" w:hanging="567"/>
        <w:rPr>
          <w:rFonts w:ascii="CAIXA Std Book" w:hAnsi="CAIXA Std Book"/>
          <w:b/>
          <w:color w:val="005CA9"/>
          <w:sz w:val="20"/>
          <w:szCs w:val="20"/>
        </w:rPr>
      </w:pPr>
      <w:r w:rsidRPr="00CA0736">
        <w:rPr>
          <w:rFonts w:ascii="CAIXA Std Book" w:hAnsi="CAIXA Std Book"/>
          <w:b/>
          <w:color w:val="005CA9"/>
          <w:sz w:val="20"/>
          <w:szCs w:val="20"/>
        </w:rPr>
        <w:t>Movimentação por estágios da carteira de títulos e valores mobiliários</w:t>
      </w:r>
    </w:p>
    <w:p w14:paraId="126B8507" w14:textId="77777777" w:rsidR="00C22FAD" w:rsidRPr="00C22FAD" w:rsidRDefault="001421FF" w:rsidP="00C22FAD">
      <w:pPr>
        <w:rPr>
          <w:rFonts w:ascii="CAIXA Std Book" w:hAnsi="CAIXA Std Book"/>
          <w:bCs/>
          <w:color w:val="005CA9"/>
          <w:sz w:val="20"/>
          <w:szCs w:val="20"/>
        </w:rPr>
      </w:pPr>
      <w:r w:rsidRPr="004A00A3">
        <w:rPr>
          <w:rFonts w:ascii="CAIXA Std Book" w:hAnsi="CAIXA Std Book"/>
          <w:bCs/>
          <w:color w:val="005CA9"/>
          <w:sz w:val="20"/>
          <w:szCs w:val="20"/>
        </w:rPr>
        <w:t xml:space="preserve">Não houve movimentação </w:t>
      </w:r>
      <w:r w:rsidR="00812837" w:rsidRPr="004A00A3">
        <w:rPr>
          <w:rFonts w:ascii="CAIXA Std Book" w:hAnsi="CAIXA Std Book"/>
          <w:bCs/>
          <w:color w:val="005CA9"/>
          <w:sz w:val="20"/>
          <w:szCs w:val="20"/>
        </w:rPr>
        <w:t>do/para o estágio 2 na carteira de títulos e valores mobiliários</w:t>
      </w:r>
      <w:r w:rsidR="004A00A3" w:rsidRPr="004A00A3">
        <w:rPr>
          <w:rFonts w:ascii="CAIXA Std Book" w:hAnsi="CAIXA Std Book"/>
          <w:bCs/>
          <w:color w:val="005CA9"/>
          <w:sz w:val="20"/>
          <w:szCs w:val="20"/>
        </w:rPr>
        <w:t xml:space="preserve"> ao </w:t>
      </w:r>
      <w:r w:rsidR="004A00A3">
        <w:rPr>
          <w:rFonts w:ascii="CAIXA Std Book" w:hAnsi="CAIXA Std Book"/>
          <w:bCs/>
          <w:color w:val="005CA9"/>
          <w:sz w:val="20"/>
          <w:szCs w:val="20"/>
        </w:rPr>
        <w:t>valor justo por meio do resultado.</w:t>
      </w:r>
      <w:r w:rsidR="00813936">
        <w:rPr>
          <w:rFonts w:ascii="CAIXA Std Book" w:hAnsi="CAIXA Std Book"/>
          <w:bCs/>
          <w:color w:val="005CA9"/>
          <w:sz w:val="20"/>
          <w:szCs w:val="20"/>
        </w:rPr>
        <w:t xml:space="preserve"> As movimentações no estágio 3</w:t>
      </w:r>
      <w:r w:rsidR="009F161E">
        <w:rPr>
          <w:rFonts w:ascii="CAIXA Std Book" w:hAnsi="CAIXA Std Book"/>
          <w:bCs/>
          <w:color w:val="005CA9"/>
          <w:sz w:val="20"/>
          <w:szCs w:val="20"/>
        </w:rPr>
        <w:t xml:space="preserve"> contemplam os mesmos saldos no Individual e Consolidado.</w:t>
      </w:r>
      <w:r w:rsidR="00C22FAD">
        <w:rPr>
          <w:rFonts w:ascii="CAIXA Std Book" w:hAnsi="CAIXA Std Book"/>
          <w:bCs/>
          <w:color w:val="005CA9"/>
          <w:sz w:val="20"/>
          <w:szCs w:val="20"/>
        </w:rPr>
        <w:t xml:space="preserve"> </w:t>
      </w:r>
      <w:r w:rsidR="00C22FAD" w:rsidRPr="00C22FAD">
        <w:rPr>
          <w:rFonts w:ascii="CAIXA Std Book" w:hAnsi="CAIXA Std Book"/>
          <w:bCs/>
          <w:color w:val="005CA9"/>
          <w:sz w:val="20"/>
          <w:szCs w:val="20"/>
        </w:rPr>
        <w:t>Os instrumentos financeiros cotas de fundos de investimento e ações foram alocados no estágio 1 de acordo com as características do ativo.</w:t>
      </w:r>
    </w:p>
    <w:p w14:paraId="17DD6AD6" w14:textId="1DA88945" w:rsidR="008B416A" w:rsidRDefault="008B416A">
      <w:pPr>
        <w:rPr>
          <w:rFonts w:ascii="CAIXA Std Book" w:hAnsi="CAIXA Std Book"/>
          <w:bCs/>
          <w:color w:val="005CA9"/>
          <w:sz w:val="20"/>
          <w:szCs w:val="20"/>
        </w:rPr>
      </w:pPr>
    </w:p>
    <w:tbl>
      <w:tblPr>
        <w:tblW w:w="5000" w:type="pct"/>
        <w:tblCellMar>
          <w:left w:w="70" w:type="dxa"/>
          <w:right w:w="70" w:type="dxa"/>
        </w:tblCellMar>
        <w:tblLook w:val="04A0" w:firstRow="1" w:lastRow="0" w:firstColumn="1" w:lastColumn="0" w:noHBand="0" w:noVBand="1"/>
      </w:tblPr>
      <w:tblGrid>
        <w:gridCol w:w="5955"/>
        <w:gridCol w:w="1722"/>
        <w:gridCol w:w="1722"/>
        <w:gridCol w:w="1722"/>
        <w:gridCol w:w="1722"/>
        <w:gridCol w:w="1728"/>
      </w:tblGrid>
      <w:tr w:rsidR="009506A7" w:rsidRPr="00ED1093" w14:paraId="382D7FAE" w14:textId="77777777" w:rsidTr="007D314D">
        <w:trPr>
          <w:trHeight w:val="255"/>
        </w:trPr>
        <w:tc>
          <w:tcPr>
            <w:tcW w:w="5000" w:type="pct"/>
            <w:gridSpan w:val="6"/>
            <w:tcBorders>
              <w:top w:val="nil"/>
              <w:left w:val="nil"/>
              <w:bottom w:val="single" w:sz="4" w:space="0" w:color="FFFFFF" w:themeColor="background1"/>
              <w:right w:val="nil"/>
            </w:tcBorders>
            <w:shd w:val="clear" w:color="auto" w:fill="005CA9"/>
            <w:noWrap/>
            <w:vAlign w:val="center"/>
            <w:hideMark/>
          </w:tcPr>
          <w:p w14:paraId="3221079A" w14:textId="77777777" w:rsidR="009506A7" w:rsidRPr="00ED1093" w:rsidRDefault="009506A7" w:rsidP="009506A7">
            <w:pPr>
              <w:jc w:val="center"/>
              <w:rPr>
                <w:rFonts w:ascii="CAIXA Std Book" w:eastAsia="Times New Roman" w:hAnsi="CAIXA Std Book" w:cs="Times New Roman"/>
                <w:b/>
                <w:bCs/>
                <w:color w:val="FFFFFF"/>
                <w:sz w:val="18"/>
                <w:szCs w:val="18"/>
              </w:rPr>
            </w:pPr>
            <w:r w:rsidRPr="00ED1093">
              <w:rPr>
                <w:rFonts w:ascii="CAIXA Std Book" w:eastAsia="Times New Roman" w:hAnsi="CAIXA Std Book" w:cs="Times New Roman"/>
                <w:b/>
                <w:bCs/>
                <w:color w:val="FFFFFF"/>
                <w:sz w:val="18"/>
                <w:szCs w:val="18"/>
              </w:rPr>
              <w:t>Individual</w:t>
            </w:r>
          </w:p>
        </w:tc>
      </w:tr>
      <w:tr w:rsidR="009506A7" w:rsidRPr="00ED1093" w14:paraId="0D134D49" w14:textId="77777777" w:rsidTr="007D314D">
        <w:trPr>
          <w:trHeight w:val="255"/>
        </w:trPr>
        <w:tc>
          <w:tcPr>
            <w:tcW w:w="2043" w:type="pct"/>
            <w:tcBorders>
              <w:top w:val="single" w:sz="4" w:space="0" w:color="FFFFFF" w:themeColor="background1"/>
              <w:left w:val="nil"/>
              <w:bottom w:val="nil"/>
              <w:right w:val="nil"/>
            </w:tcBorders>
            <w:shd w:val="clear" w:color="auto" w:fill="005CA9"/>
            <w:vAlign w:val="center"/>
            <w:hideMark/>
          </w:tcPr>
          <w:p w14:paraId="4487FCCB" w14:textId="77777777" w:rsidR="009506A7" w:rsidRPr="00ED1093" w:rsidRDefault="009506A7" w:rsidP="009506A7">
            <w:pPr>
              <w:jc w:val="center"/>
              <w:rPr>
                <w:rFonts w:ascii="CAIXA Std Book" w:eastAsia="Times New Roman" w:hAnsi="CAIXA Std Book" w:cs="Times New Roman"/>
                <w:b/>
                <w:bCs/>
                <w:color w:val="FFFFFF"/>
                <w:sz w:val="18"/>
                <w:szCs w:val="18"/>
              </w:rPr>
            </w:pPr>
            <w:r w:rsidRPr="00ED1093">
              <w:rPr>
                <w:rFonts w:ascii="CAIXA Std Book" w:eastAsia="Times New Roman" w:hAnsi="CAIXA Std Book" w:cs="Times New Roman"/>
                <w:b/>
                <w:bCs/>
                <w:color w:val="FFFFFF"/>
                <w:sz w:val="18"/>
                <w:szCs w:val="18"/>
              </w:rPr>
              <w:t>Estágio 1</w:t>
            </w:r>
          </w:p>
        </w:tc>
        <w:tc>
          <w:tcPr>
            <w:tcW w:w="591" w:type="pct"/>
            <w:tcBorders>
              <w:top w:val="single" w:sz="4" w:space="0" w:color="FFFFFF" w:themeColor="background1"/>
              <w:left w:val="nil"/>
              <w:bottom w:val="nil"/>
              <w:right w:val="nil"/>
            </w:tcBorders>
            <w:shd w:val="clear" w:color="auto" w:fill="005CA9"/>
            <w:vAlign w:val="center"/>
            <w:hideMark/>
          </w:tcPr>
          <w:p w14:paraId="2FF9D5A2" w14:textId="77777777" w:rsidR="009506A7" w:rsidRPr="00ED1093" w:rsidRDefault="009506A7" w:rsidP="009506A7">
            <w:pPr>
              <w:jc w:val="center"/>
              <w:rPr>
                <w:rFonts w:ascii="CAIXA Std Book" w:eastAsia="Times New Roman" w:hAnsi="CAIXA Std Book" w:cs="Times New Roman"/>
                <w:b/>
                <w:bCs/>
                <w:color w:val="FFFFFF"/>
                <w:sz w:val="18"/>
                <w:szCs w:val="18"/>
              </w:rPr>
            </w:pPr>
            <w:r w:rsidRPr="00ED1093">
              <w:rPr>
                <w:rFonts w:ascii="CAIXA Std Book" w:eastAsia="Times New Roman" w:hAnsi="CAIXA Std Book" w:cs="Times New Roman"/>
                <w:b/>
                <w:bCs/>
                <w:color w:val="FFFFFF"/>
                <w:sz w:val="18"/>
                <w:szCs w:val="18"/>
              </w:rPr>
              <w:t>Saldo em 31/12/2025</w:t>
            </w:r>
          </w:p>
        </w:tc>
        <w:tc>
          <w:tcPr>
            <w:tcW w:w="591" w:type="pct"/>
            <w:tcBorders>
              <w:top w:val="single" w:sz="4" w:space="0" w:color="FFFFFF" w:themeColor="background1"/>
              <w:left w:val="nil"/>
              <w:bottom w:val="nil"/>
              <w:right w:val="nil"/>
            </w:tcBorders>
            <w:shd w:val="clear" w:color="auto" w:fill="005CA9"/>
            <w:vAlign w:val="center"/>
            <w:hideMark/>
          </w:tcPr>
          <w:p w14:paraId="1E85722F" w14:textId="2B64EA87" w:rsidR="009506A7" w:rsidRPr="00ED1093" w:rsidRDefault="009506A7" w:rsidP="009506A7">
            <w:pPr>
              <w:jc w:val="center"/>
              <w:rPr>
                <w:rFonts w:ascii="CAIXA Std Book" w:eastAsia="Times New Roman" w:hAnsi="CAIXA Std Book" w:cs="Times New Roman"/>
                <w:b/>
                <w:bCs/>
                <w:color w:val="FFFFFF"/>
                <w:sz w:val="18"/>
                <w:szCs w:val="18"/>
              </w:rPr>
            </w:pPr>
            <w:r w:rsidRPr="00ED1093">
              <w:rPr>
                <w:rFonts w:ascii="CAIXA Std Book" w:eastAsia="Times New Roman" w:hAnsi="CAIXA Std Book" w:cs="Times New Roman"/>
                <w:b/>
                <w:bCs/>
                <w:color w:val="FFFFFF"/>
                <w:sz w:val="18"/>
                <w:szCs w:val="18"/>
              </w:rPr>
              <w:t>Compra/</w:t>
            </w:r>
            <w:r w:rsidR="00ED1093">
              <w:rPr>
                <w:rFonts w:ascii="CAIXA Std Book" w:eastAsia="Times New Roman" w:hAnsi="CAIXA Std Book" w:cs="Times New Roman"/>
                <w:b/>
                <w:bCs/>
                <w:color w:val="FFFFFF"/>
                <w:sz w:val="18"/>
                <w:szCs w:val="18"/>
              </w:rPr>
              <w:t xml:space="preserve"> </w:t>
            </w:r>
            <w:r w:rsidRPr="00ED1093">
              <w:rPr>
                <w:rFonts w:ascii="CAIXA Std Book" w:eastAsia="Times New Roman" w:hAnsi="CAIXA Std Book" w:cs="Times New Roman"/>
                <w:b/>
                <w:bCs/>
                <w:color w:val="FFFFFF"/>
                <w:sz w:val="18"/>
                <w:szCs w:val="18"/>
              </w:rPr>
              <w:t>(liquidação)</w:t>
            </w:r>
          </w:p>
        </w:tc>
        <w:tc>
          <w:tcPr>
            <w:tcW w:w="591" w:type="pct"/>
            <w:tcBorders>
              <w:top w:val="single" w:sz="4" w:space="0" w:color="FFFFFF" w:themeColor="background1"/>
              <w:left w:val="nil"/>
              <w:bottom w:val="nil"/>
              <w:right w:val="nil"/>
            </w:tcBorders>
            <w:shd w:val="clear" w:color="auto" w:fill="005CA9"/>
            <w:vAlign w:val="center"/>
            <w:hideMark/>
          </w:tcPr>
          <w:p w14:paraId="007A2FBF" w14:textId="3FFC58B2" w:rsidR="009506A7" w:rsidRPr="00ED1093" w:rsidRDefault="009506A7" w:rsidP="009506A7">
            <w:pPr>
              <w:jc w:val="center"/>
              <w:rPr>
                <w:rFonts w:ascii="CAIXA Std Book" w:eastAsia="Times New Roman" w:hAnsi="CAIXA Std Book" w:cs="Times New Roman"/>
                <w:b/>
                <w:bCs/>
                <w:color w:val="FFFFFF"/>
                <w:sz w:val="18"/>
                <w:szCs w:val="18"/>
              </w:rPr>
            </w:pPr>
            <w:r w:rsidRPr="00ED1093">
              <w:rPr>
                <w:rFonts w:ascii="CAIXA Std Book" w:eastAsia="Times New Roman" w:hAnsi="CAIXA Std Book" w:cs="Times New Roman"/>
                <w:b/>
                <w:bCs/>
                <w:color w:val="FFFFFF"/>
                <w:sz w:val="18"/>
                <w:szCs w:val="18"/>
              </w:rPr>
              <w:t>Transferência do/</w:t>
            </w:r>
            <w:r w:rsidR="002247EA">
              <w:rPr>
                <w:rFonts w:ascii="CAIXA Std Book" w:eastAsia="Times New Roman" w:hAnsi="CAIXA Std Book" w:cs="Times New Roman"/>
                <w:b/>
                <w:bCs/>
                <w:color w:val="FFFFFF"/>
                <w:sz w:val="18"/>
                <w:szCs w:val="18"/>
              </w:rPr>
              <w:t xml:space="preserve"> </w:t>
            </w:r>
            <w:r w:rsidRPr="00ED1093">
              <w:rPr>
                <w:rFonts w:ascii="CAIXA Std Book" w:eastAsia="Times New Roman" w:hAnsi="CAIXA Std Book" w:cs="Times New Roman"/>
                <w:b/>
                <w:bCs/>
                <w:color w:val="FFFFFF"/>
                <w:sz w:val="18"/>
                <w:szCs w:val="18"/>
              </w:rPr>
              <w:t>para estágio 2</w:t>
            </w:r>
          </w:p>
        </w:tc>
        <w:tc>
          <w:tcPr>
            <w:tcW w:w="591" w:type="pct"/>
            <w:tcBorders>
              <w:top w:val="single" w:sz="4" w:space="0" w:color="FFFFFF" w:themeColor="background1"/>
              <w:left w:val="nil"/>
              <w:bottom w:val="nil"/>
              <w:right w:val="nil"/>
            </w:tcBorders>
            <w:shd w:val="clear" w:color="auto" w:fill="005CA9"/>
            <w:vAlign w:val="center"/>
            <w:hideMark/>
          </w:tcPr>
          <w:p w14:paraId="0AD49161" w14:textId="77777777" w:rsidR="002247EA" w:rsidRDefault="009506A7" w:rsidP="009506A7">
            <w:pPr>
              <w:jc w:val="center"/>
              <w:rPr>
                <w:rFonts w:ascii="CAIXA Std Book" w:eastAsia="Times New Roman" w:hAnsi="CAIXA Std Book" w:cs="Times New Roman"/>
                <w:b/>
                <w:bCs/>
                <w:color w:val="FFFFFF"/>
                <w:sz w:val="18"/>
                <w:szCs w:val="18"/>
              </w:rPr>
            </w:pPr>
            <w:r w:rsidRPr="00ED1093">
              <w:rPr>
                <w:rFonts w:ascii="CAIXA Std Book" w:eastAsia="Times New Roman" w:hAnsi="CAIXA Std Book" w:cs="Times New Roman"/>
                <w:b/>
                <w:bCs/>
                <w:color w:val="FFFFFF"/>
                <w:sz w:val="18"/>
                <w:szCs w:val="18"/>
              </w:rPr>
              <w:t>Transferência do/</w:t>
            </w:r>
          </w:p>
          <w:p w14:paraId="6A866E7A" w14:textId="4EE38E3D" w:rsidR="009506A7" w:rsidRPr="00ED1093" w:rsidRDefault="009506A7" w:rsidP="009506A7">
            <w:pPr>
              <w:jc w:val="center"/>
              <w:rPr>
                <w:rFonts w:ascii="CAIXA Std Book" w:eastAsia="Times New Roman" w:hAnsi="CAIXA Std Book" w:cs="Times New Roman"/>
                <w:b/>
                <w:bCs/>
                <w:color w:val="FFFFFF"/>
                <w:sz w:val="18"/>
                <w:szCs w:val="18"/>
              </w:rPr>
            </w:pPr>
            <w:r w:rsidRPr="00ED1093">
              <w:rPr>
                <w:rFonts w:ascii="CAIXA Std Book" w:eastAsia="Times New Roman" w:hAnsi="CAIXA Std Book" w:cs="Times New Roman"/>
                <w:b/>
                <w:bCs/>
                <w:color w:val="FFFFFF"/>
                <w:sz w:val="18"/>
                <w:szCs w:val="18"/>
              </w:rPr>
              <w:t>para estágio 3</w:t>
            </w:r>
          </w:p>
        </w:tc>
        <w:tc>
          <w:tcPr>
            <w:tcW w:w="593" w:type="pct"/>
            <w:tcBorders>
              <w:top w:val="single" w:sz="4" w:space="0" w:color="FFFFFF" w:themeColor="background1"/>
              <w:left w:val="nil"/>
              <w:bottom w:val="nil"/>
              <w:right w:val="nil"/>
            </w:tcBorders>
            <w:shd w:val="clear" w:color="auto" w:fill="005CA9"/>
            <w:vAlign w:val="center"/>
            <w:hideMark/>
          </w:tcPr>
          <w:p w14:paraId="42493216" w14:textId="77777777" w:rsidR="009506A7" w:rsidRPr="00ED1093" w:rsidRDefault="009506A7" w:rsidP="00056E44">
            <w:pPr>
              <w:jc w:val="center"/>
              <w:rPr>
                <w:rFonts w:ascii="CAIXA Std Book" w:eastAsia="Times New Roman" w:hAnsi="CAIXA Std Book" w:cs="Times New Roman"/>
                <w:b/>
                <w:bCs/>
                <w:color w:val="FFFFFF"/>
                <w:sz w:val="18"/>
                <w:szCs w:val="18"/>
              </w:rPr>
            </w:pPr>
            <w:r w:rsidRPr="00ED1093">
              <w:rPr>
                <w:rFonts w:ascii="CAIXA Std Book" w:eastAsia="Times New Roman" w:hAnsi="CAIXA Std Book" w:cs="Times New Roman"/>
                <w:b/>
                <w:bCs/>
                <w:color w:val="FFFFFF"/>
                <w:sz w:val="18"/>
                <w:szCs w:val="18"/>
              </w:rPr>
              <w:t>Saldo em 31/03/2026</w:t>
            </w:r>
          </w:p>
        </w:tc>
      </w:tr>
      <w:tr w:rsidR="009506A7" w:rsidRPr="00ED1093" w14:paraId="782C1DE5" w14:textId="77777777" w:rsidTr="00CD504A">
        <w:trPr>
          <w:trHeight w:val="255"/>
        </w:trPr>
        <w:tc>
          <w:tcPr>
            <w:tcW w:w="2043" w:type="pct"/>
            <w:tcBorders>
              <w:top w:val="nil"/>
              <w:left w:val="nil"/>
              <w:bottom w:val="single" w:sz="8" w:space="0" w:color="FFFFFF"/>
              <w:right w:val="nil"/>
            </w:tcBorders>
            <w:shd w:val="clear" w:color="000000" w:fill="FFFFFF"/>
            <w:noWrap/>
            <w:vAlign w:val="center"/>
            <w:hideMark/>
          </w:tcPr>
          <w:p w14:paraId="3888B473" w14:textId="77777777" w:rsidR="009506A7" w:rsidRPr="00ED1093" w:rsidRDefault="009506A7" w:rsidP="009506A7">
            <w:pPr>
              <w:rPr>
                <w:rFonts w:ascii="CAIXA Std Book" w:eastAsia="Times New Roman" w:hAnsi="CAIXA Std Book" w:cs="Times New Roman"/>
                <w:color w:val="005CA9"/>
                <w:sz w:val="18"/>
                <w:szCs w:val="18"/>
              </w:rPr>
            </w:pPr>
            <w:r w:rsidRPr="00ED1093">
              <w:rPr>
                <w:rFonts w:ascii="CAIXA Std Book" w:eastAsia="Times New Roman" w:hAnsi="CAIXA Std Book" w:cs="Times New Roman"/>
                <w:color w:val="005CA9"/>
                <w:sz w:val="18"/>
                <w:szCs w:val="18"/>
              </w:rPr>
              <w:t>Títulos públicos federais brasileiros</w:t>
            </w:r>
          </w:p>
        </w:tc>
        <w:tc>
          <w:tcPr>
            <w:tcW w:w="591" w:type="pct"/>
            <w:tcBorders>
              <w:top w:val="nil"/>
              <w:left w:val="nil"/>
              <w:bottom w:val="single" w:sz="8" w:space="0" w:color="FFFFFF"/>
              <w:right w:val="nil"/>
            </w:tcBorders>
            <w:noWrap/>
            <w:vAlign w:val="center"/>
            <w:hideMark/>
          </w:tcPr>
          <w:p w14:paraId="6F7F6BD4" w14:textId="77777777" w:rsidR="009506A7" w:rsidRPr="00ED1093" w:rsidRDefault="009506A7" w:rsidP="00ED1093">
            <w:pPr>
              <w:jc w:val="right"/>
              <w:rPr>
                <w:rFonts w:ascii="CAIXA Std Book" w:eastAsia="Times New Roman" w:hAnsi="CAIXA Std Book" w:cs="Times New Roman"/>
                <w:color w:val="005CA9"/>
                <w:sz w:val="18"/>
                <w:szCs w:val="18"/>
              </w:rPr>
            </w:pPr>
            <w:r w:rsidRPr="00ED1093">
              <w:rPr>
                <w:rFonts w:ascii="CAIXA Std Book" w:eastAsia="Times New Roman" w:hAnsi="CAIXA Std Book" w:cs="Arial"/>
                <w:color w:val="005CA9"/>
                <w:sz w:val="18"/>
                <w:szCs w:val="18"/>
              </w:rPr>
              <w:t>152.198.245</w:t>
            </w:r>
          </w:p>
        </w:tc>
        <w:tc>
          <w:tcPr>
            <w:tcW w:w="591" w:type="pct"/>
            <w:tcBorders>
              <w:top w:val="nil"/>
              <w:left w:val="nil"/>
              <w:bottom w:val="single" w:sz="8" w:space="0" w:color="FFFFFF"/>
              <w:right w:val="nil"/>
            </w:tcBorders>
            <w:noWrap/>
            <w:vAlign w:val="center"/>
            <w:hideMark/>
          </w:tcPr>
          <w:p w14:paraId="06588BDF" w14:textId="75736F43" w:rsidR="009506A7" w:rsidRPr="00ED1093" w:rsidRDefault="00E30286" w:rsidP="00ED1093">
            <w:pPr>
              <w:jc w:val="right"/>
              <w:rPr>
                <w:rFonts w:ascii="CAIXA Std Book" w:eastAsia="Times New Roman" w:hAnsi="CAIXA Std Book" w:cs="Times New Roman"/>
                <w:color w:val="005CA9"/>
                <w:sz w:val="18"/>
                <w:szCs w:val="18"/>
              </w:rPr>
            </w:pPr>
            <w:r w:rsidRPr="00ED1093">
              <w:rPr>
                <w:rFonts w:ascii="CAIXA Std Book" w:hAnsi="CAIXA Std Book" w:cs="Arial"/>
                <w:color w:val="005CA9"/>
                <w:sz w:val="18"/>
                <w:szCs w:val="18"/>
              </w:rPr>
              <w:t>(7.185.84</w:t>
            </w:r>
            <w:r w:rsidR="00F36AE6">
              <w:rPr>
                <w:rFonts w:ascii="CAIXA Std Book" w:hAnsi="CAIXA Std Book" w:cs="Arial"/>
                <w:color w:val="005CA9"/>
                <w:sz w:val="18"/>
                <w:szCs w:val="18"/>
              </w:rPr>
              <w:t>1</w:t>
            </w:r>
            <w:r w:rsidRPr="00ED1093">
              <w:rPr>
                <w:rFonts w:ascii="CAIXA Std Book" w:hAnsi="CAIXA Std Book" w:cs="Arial"/>
                <w:color w:val="005CA9"/>
                <w:sz w:val="18"/>
                <w:szCs w:val="18"/>
              </w:rPr>
              <w:t>)</w:t>
            </w:r>
          </w:p>
        </w:tc>
        <w:tc>
          <w:tcPr>
            <w:tcW w:w="591" w:type="pct"/>
            <w:tcBorders>
              <w:top w:val="nil"/>
              <w:left w:val="nil"/>
              <w:bottom w:val="single" w:sz="8" w:space="0" w:color="FFFFFF"/>
              <w:right w:val="nil"/>
            </w:tcBorders>
            <w:noWrap/>
            <w:vAlign w:val="center"/>
            <w:hideMark/>
          </w:tcPr>
          <w:p w14:paraId="0DFA9433" w14:textId="6F806C37" w:rsidR="009506A7" w:rsidRPr="00ED1093" w:rsidRDefault="0004393E" w:rsidP="00ED1093">
            <w:pPr>
              <w:jc w:val="center"/>
              <w:rPr>
                <w:rFonts w:ascii="CAIXA Std Book" w:eastAsia="Times New Roman" w:hAnsi="CAIXA Std Book" w:cs="Times New Roman"/>
                <w:color w:val="005CA9"/>
                <w:sz w:val="18"/>
                <w:szCs w:val="18"/>
              </w:rPr>
            </w:pPr>
            <w:r w:rsidRPr="00ED1093">
              <w:rPr>
                <w:rFonts w:ascii="CAIXA Std Book" w:eastAsia="Times New Roman" w:hAnsi="CAIXA Std Book" w:cs="Times New Roman"/>
                <w:color w:val="005CA9"/>
                <w:sz w:val="18"/>
                <w:szCs w:val="18"/>
              </w:rPr>
              <w:t>-</w:t>
            </w:r>
          </w:p>
        </w:tc>
        <w:tc>
          <w:tcPr>
            <w:tcW w:w="591" w:type="pct"/>
            <w:tcBorders>
              <w:top w:val="nil"/>
              <w:left w:val="nil"/>
              <w:bottom w:val="single" w:sz="8" w:space="0" w:color="FFFFFF"/>
              <w:right w:val="nil"/>
            </w:tcBorders>
            <w:noWrap/>
            <w:vAlign w:val="center"/>
            <w:hideMark/>
          </w:tcPr>
          <w:p w14:paraId="6114261E" w14:textId="01A98765" w:rsidR="009506A7" w:rsidRPr="00ED1093" w:rsidRDefault="0004393E" w:rsidP="00ED1093">
            <w:pPr>
              <w:jc w:val="center"/>
              <w:rPr>
                <w:rFonts w:ascii="CAIXA Std Book" w:eastAsia="Times New Roman" w:hAnsi="CAIXA Std Book" w:cs="Times New Roman"/>
                <w:color w:val="005CA9"/>
                <w:sz w:val="18"/>
                <w:szCs w:val="18"/>
              </w:rPr>
            </w:pPr>
            <w:r w:rsidRPr="00ED1093">
              <w:rPr>
                <w:rFonts w:ascii="CAIXA Std Book" w:eastAsia="Times New Roman" w:hAnsi="CAIXA Std Book" w:cs="Times New Roman"/>
                <w:color w:val="005CA9"/>
                <w:sz w:val="18"/>
                <w:szCs w:val="18"/>
              </w:rPr>
              <w:t>-</w:t>
            </w:r>
          </w:p>
        </w:tc>
        <w:tc>
          <w:tcPr>
            <w:tcW w:w="593" w:type="pct"/>
            <w:tcBorders>
              <w:top w:val="nil"/>
              <w:left w:val="nil"/>
              <w:bottom w:val="single" w:sz="8" w:space="0" w:color="FFFFFF"/>
              <w:right w:val="nil"/>
            </w:tcBorders>
            <w:noWrap/>
            <w:vAlign w:val="center"/>
            <w:hideMark/>
          </w:tcPr>
          <w:p w14:paraId="5D073293" w14:textId="342AFE02" w:rsidR="009506A7" w:rsidRPr="00ED1093" w:rsidRDefault="0004393E" w:rsidP="00ED1093">
            <w:pPr>
              <w:jc w:val="right"/>
              <w:rPr>
                <w:rFonts w:ascii="CAIXA Std Book" w:eastAsia="Times New Roman" w:hAnsi="CAIXA Std Book" w:cs="Times New Roman"/>
                <w:color w:val="005CA9"/>
                <w:sz w:val="18"/>
                <w:szCs w:val="18"/>
              </w:rPr>
            </w:pPr>
            <w:r w:rsidRPr="00ED1093">
              <w:rPr>
                <w:rFonts w:ascii="CAIXA Std Book" w:eastAsia="Times New Roman" w:hAnsi="CAIXA Std Book" w:cs="Arial"/>
                <w:color w:val="005CA9"/>
                <w:sz w:val="18"/>
                <w:szCs w:val="18"/>
              </w:rPr>
              <w:t>145.012.40</w:t>
            </w:r>
            <w:r w:rsidR="00F36AE6">
              <w:rPr>
                <w:rFonts w:ascii="CAIXA Std Book" w:eastAsia="Times New Roman" w:hAnsi="CAIXA Std Book" w:cs="Arial"/>
                <w:color w:val="005CA9"/>
                <w:sz w:val="18"/>
                <w:szCs w:val="18"/>
              </w:rPr>
              <w:t>4</w:t>
            </w:r>
          </w:p>
        </w:tc>
      </w:tr>
      <w:tr w:rsidR="009506A7" w:rsidRPr="00ED1093" w14:paraId="12F11A25" w14:textId="77777777" w:rsidTr="00CD504A">
        <w:trPr>
          <w:trHeight w:val="255"/>
        </w:trPr>
        <w:tc>
          <w:tcPr>
            <w:tcW w:w="2043" w:type="pct"/>
            <w:tcBorders>
              <w:top w:val="nil"/>
              <w:left w:val="nil"/>
              <w:bottom w:val="single" w:sz="8" w:space="0" w:color="FFFFFF"/>
              <w:right w:val="nil"/>
            </w:tcBorders>
            <w:shd w:val="clear" w:color="000000" w:fill="FFFFFF"/>
            <w:noWrap/>
            <w:vAlign w:val="center"/>
            <w:hideMark/>
          </w:tcPr>
          <w:p w14:paraId="4F83DAFE" w14:textId="77777777" w:rsidR="009506A7" w:rsidRPr="00ED1093" w:rsidRDefault="009506A7" w:rsidP="009506A7">
            <w:pPr>
              <w:rPr>
                <w:rFonts w:ascii="CAIXA Std Book" w:eastAsia="Times New Roman" w:hAnsi="CAIXA Std Book" w:cs="Times New Roman"/>
                <w:color w:val="005CA9"/>
                <w:sz w:val="18"/>
                <w:szCs w:val="18"/>
              </w:rPr>
            </w:pPr>
            <w:r w:rsidRPr="00ED1093">
              <w:rPr>
                <w:rFonts w:ascii="CAIXA Std Book" w:eastAsia="Times New Roman" w:hAnsi="CAIXA Std Book" w:cs="Times New Roman"/>
                <w:color w:val="005CA9"/>
                <w:sz w:val="18"/>
                <w:szCs w:val="18"/>
              </w:rPr>
              <w:t>Títulos privados de instituições financeiras</w:t>
            </w:r>
          </w:p>
        </w:tc>
        <w:tc>
          <w:tcPr>
            <w:tcW w:w="591" w:type="pct"/>
            <w:tcBorders>
              <w:top w:val="nil"/>
              <w:left w:val="nil"/>
              <w:bottom w:val="single" w:sz="8" w:space="0" w:color="FFFFFF"/>
              <w:right w:val="nil"/>
            </w:tcBorders>
            <w:noWrap/>
            <w:vAlign w:val="center"/>
            <w:hideMark/>
          </w:tcPr>
          <w:p w14:paraId="10752568" w14:textId="77777777" w:rsidR="009506A7" w:rsidRPr="00ED1093" w:rsidRDefault="009506A7" w:rsidP="00ED1093">
            <w:pPr>
              <w:jc w:val="right"/>
              <w:rPr>
                <w:rFonts w:ascii="CAIXA Std Book" w:eastAsia="Times New Roman" w:hAnsi="CAIXA Std Book" w:cs="Times New Roman"/>
                <w:color w:val="005CA9"/>
                <w:sz w:val="18"/>
                <w:szCs w:val="18"/>
              </w:rPr>
            </w:pPr>
            <w:r w:rsidRPr="00ED1093">
              <w:rPr>
                <w:rFonts w:ascii="CAIXA Std Book" w:eastAsia="Times New Roman" w:hAnsi="CAIXA Std Book" w:cs="Arial"/>
                <w:color w:val="005CA9"/>
                <w:sz w:val="18"/>
                <w:szCs w:val="18"/>
              </w:rPr>
              <w:t>162.163</w:t>
            </w:r>
          </w:p>
        </w:tc>
        <w:tc>
          <w:tcPr>
            <w:tcW w:w="591" w:type="pct"/>
            <w:tcBorders>
              <w:top w:val="nil"/>
              <w:left w:val="nil"/>
              <w:bottom w:val="single" w:sz="8" w:space="0" w:color="FFFFFF"/>
              <w:right w:val="nil"/>
            </w:tcBorders>
            <w:noWrap/>
            <w:vAlign w:val="center"/>
            <w:hideMark/>
          </w:tcPr>
          <w:p w14:paraId="7928C62B" w14:textId="2DE0CECF" w:rsidR="009506A7" w:rsidRPr="00ED1093" w:rsidRDefault="00E30286" w:rsidP="00ED1093">
            <w:pPr>
              <w:jc w:val="right"/>
              <w:rPr>
                <w:rFonts w:ascii="CAIXA Std Book" w:eastAsia="Times New Roman" w:hAnsi="CAIXA Std Book" w:cs="Times New Roman"/>
                <w:color w:val="005CA9"/>
                <w:sz w:val="18"/>
                <w:szCs w:val="18"/>
              </w:rPr>
            </w:pPr>
            <w:r w:rsidRPr="00ED1093">
              <w:rPr>
                <w:rFonts w:ascii="CAIXA Std Book" w:hAnsi="CAIXA Std Book" w:cs="Arial"/>
                <w:color w:val="005CA9"/>
                <w:sz w:val="18"/>
                <w:szCs w:val="18"/>
              </w:rPr>
              <w:t>5.759</w:t>
            </w:r>
          </w:p>
        </w:tc>
        <w:tc>
          <w:tcPr>
            <w:tcW w:w="591" w:type="pct"/>
            <w:tcBorders>
              <w:top w:val="nil"/>
              <w:left w:val="nil"/>
              <w:bottom w:val="single" w:sz="8" w:space="0" w:color="FFFFFF"/>
              <w:right w:val="nil"/>
            </w:tcBorders>
            <w:noWrap/>
            <w:vAlign w:val="center"/>
            <w:hideMark/>
          </w:tcPr>
          <w:p w14:paraId="2C475316" w14:textId="055CF3C2" w:rsidR="009506A7" w:rsidRPr="00ED1093" w:rsidRDefault="0004393E" w:rsidP="00ED1093">
            <w:pPr>
              <w:jc w:val="center"/>
              <w:rPr>
                <w:rFonts w:ascii="CAIXA Std Book" w:eastAsia="Times New Roman" w:hAnsi="CAIXA Std Book" w:cs="Times New Roman"/>
                <w:color w:val="005CA9"/>
                <w:sz w:val="18"/>
                <w:szCs w:val="18"/>
              </w:rPr>
            </w:pPr>
            <w:r w:rsidRPr="00ED1093">
              <w:rPr>
                <w:rFonts w:ascii="CAIXA Std Book" w:eastAsia="Times New Roman" w:hAnsi="CAIXA Std Book" w:cs="Times New Roman"/>
                <w:color w:val="005CA9"/>
                <w:sz w:val="18"/>
                <w:szCs w:val="18"/>
              </w:rPr>
              <w:t>-</w:t>
            </w:r>
          </w:p>
        </w:tc>
        <w:tc>
          <w:tcPr>
            <w:tcW w:w="591" w:type="pct"/>
            <w:tcBorders>
              <w:top w:val="nil"/>
              <w:left w:val="nil"/>
              <w:bottom w:val="single" w:sz="8" w:space="0" w:color="FFFFFF"/>
              <w:right w:val="nil"/>
            </w:tcBorders>
            <w:noWrap/>
            <w:vAlign w:val="center"/>
            <w:hideMark/>
          </w:tcPr>
          <w:p w14:paraId="474B4962" w14:textId="43B1B7B4" w:rsidR="009506A7" w:rsidRPr="00ED1093" w:rsidRDefault="0004393E" w:rsidP="00ED1093">
            <w:pPr>
              <w:jc w:val="center"/>
              <w:rPr>
                <w:rFonts w:ascii="CAIXA Std Book" w:eastAsia="Times New Roman" w:hAnsi="CAIXA Std Book" w:cs="Times New Roman"/>
                <w:color w:val="005CA9"/>
                <w:sz w:val="18"/>
                <w:szCs w:val="18"/>
              </w:rPr>
            </w:pPr>
            <w:r w:rsidRPr="00ED1093">
              <w:rPr>
                <w:rFonts w:ascii="CAIXA Std Book" w:eastAsia="Times New Roman" w:hAnsi="CAIXA Std Book" w:cs="Times New Roman"/>
                <w:color w:val="005CA9"/>
                <w:sz w:val="18"/>
                <w:szCs w:val="18"/>
              </w:rPr>
              <w:t>-</w:t>
            </w:r>
          </w:p>
        </w:tc>
        <w:tc>
          <w:tcPr>
            <w:tcW w:w="593" w:type="pct"/>
            <w:tcBorders>
              <w:top w:val="nil"/>
              <w:left w:val="nil"/>
              <w:bottom w:val="single" w:sz="8" w:space="0" w:color="FFFFFF"/>
              <w:right w:val="nil"/>
            </w:tcBorders>
            <w:noWrap/>
            <w:vAlign w:val="center"/>
            <w:hideMark/>
          </w:tcPr>
          <w:p w14:paraId="2E4B1F00" w14:textId="28466522" w:rsidR="009506A7" w:rsidRPr="00ED1093" w:rsidRDefault="0004393E" w:rsidP="00ED1093">
            <w:pPr>
              <w:jc w:val="right"/>
              <w:rPr>
                <w:rFonts w:ascii="CAIXA Std Book" w:eastAsia="Times New Roman" w:hAnsi="CAIXA Std Book" w:cs="Times New Roman"/>
                <w:color w:val="005CA9"/>
                <w:sz w:val="18"/>
                <w:szCs w:val="18"/>
              </w:rPr>
            </w:pPr>
            <w:r w:rsidRPr="00ED1093">
              <w:rPr>
                <w:rFonts w:ascii="CAIXA Std Book" w:eastAsia="Times New Roman" w:hAnsi="CAIXA Std Book" w:cs="Arial"/>
                <w:color w:val="005CA9"/>
                <w:sz w:val="18"/>
                <w:szCs w:val="18"/>
              </w:rPr>
              <w:t>167.922</w:t>
            </w:r>
          </w:p>
        </w:tc>
      </w:tr>
      <w:tr w:rsidR="009506A7" w:rsidRPr="00ED1093" w14:paraId="0A2FFCDB" w14:textId="77777777" w:rsidTr="00CD504A">
        <w:trPr>
          <w:trHeight w:val="255"/>
        </w:trPr>
        <w:tc>
          <w:tcPr>
            <w:tcW w:w="2043" w:type="pct"/>
            <w:tcBorders>
              <w:top w:val="nil"/>
              <w:left w:val="nil"/>
              <w:bottom w:val="single" w:sz="8" w:space="0" w:color="FFFFFF"/>
              <w:right w:val="nil"/>
            </w:tcBorders>
            <w:shd w:val="clear" w:color="000000" w:fill="FFFFFF"/>
            <w:noWrap/>
            <w:vAlign w:val="center"/>
            <w:hideMark/>
          </w:tcPr>
          <w:p w14:paraId="4684BA6F" w14:textId="77777777" w:rsidR="009506A7" w:rsidRPr="00ED1093" w:rsidRDefault="009506A7" w:rsidP="009506A7">
            <w:pPr>
              <w:rPr>
                <w:rFonts w:ascii="CAIXA Std Book" w:eastAsia="Times New Roman" w:hAnsi="CAIXA Std Book" w:cs="Times New Roman"/>
                <w:color w:val="005CA9"/>
                <w:sz w:val="18"/>
                <w:szCs w:val="18"/>
              </w:rPr>
            </w:pPr>
            <w:r w:rsidRPr="00ED1093">
              <w:rPr>
                <w:rFonts w:ascii="CAIXA Std Book" w:eastAsia="Times New Roman" w:hAnsi="CAIXA Std Book" w:cs="Times New Roman"/>
                <w:color w:val="005CA9"/>
                <w:sz w:val="18"/>
                <w:szCs w:val="18"/>
              </w:rPr>
              <w:t>Títulos privados de entidades não financeiras</w:t>
            </w:r>
          </w:p>
        </w:tc>
        <w:tc>
          <w:tcPr>
            <w:tcW w:w="591" w:type="pct"/>
            <w:tcBorders>
              <w:top w:val="nil"/>
              <w:left w:val="nil"/>
              <w:bottom w:val="single" w:sz="8" w:space="0" w:color="FFFFFF"/>
              <w:right w:val="nil"/>
            </w:tcBorders>
            <w:noWrap/>
            <w:vAlign w:val="center"/>
            <w:hideMark/>
          </w:tcPr>
          <w:p w14:paraId="6CF1089E" w14:textId="77777777" w:rsidR="009506A7" w:rsidRPr="00ED1093" w:rsidRDefault="009506A7" w:rsidP="00ED1093">
            <w:pPr>
              <w:jc w:val="right"/>
              <w:rPr>
                <w:rFonts w:ascii="CAIXA Std Book" w:eastAsia="Times New Roman" w:hAnsi="CAIXA Std Book" w:cs="Times New Roman"/>
                <w:color w:val="005CA9"/>
                <w:sz w:val="18"/>
                <w:szCs w:val="18"/>
              </w:rPr>
            </w:pPr>
            <w:r w:rsidRPr="00ED1093">
              <w:rPr>
                <w:rFonts w:ascii="CAIXA Std Book" w:eastAsia="Times New Roman" w:hAnsi="CAIXA Std Book" w:cs="Arial"/>
                <w:color w:val="005CA9"/>
                <w:sz w:val="18"/>
                <w:szCs w:val="18"/>
              </w:rPr>
              <w:t>3.258.472</w:t>
            </w:r>
          </w:p>
        </w:tc>
        <w:tc>
          <w:tcPr>
            <w:tcW w:w="591" w:type="pct"/>
            <w:tcBorders>
              <w:top w:val="nil"/>
              <w:left w:val="nil"/>
              <w:bottom w:val="single" w:sz="8" w:space="0" w:color="FFFFFF"/>
              <w:right w:val="nil"/>
            </w:tcBorders>
            <w:noWrap/>
            <w:vAlign w:val="center"/>
            <w:hideMark/>
          </w:tcPr>
          <w:p w14:paraId="75E47C7F" w14:textId="1D4E5EA5" w:rsidR="009506A7" w:rsidRPr="00ED1093" w:rsidRDefault="00E30286" w:rsidP="00ED1093">
            <w:pPr>
              <w:jc w:val="right"/>
              <w:rPr>
                <w:rFonts w:ascii="CAIXA Std Book" w:eastAsia="Times New Roman" w:hAnsi="CAIXA Std Book" w:cs="Times New Roman"/>
                <w:color w:val="005CA9"/>
                <w:sz w:val="18"/>
                <w:szCs w:val="18"/>
              </w:rPr>
            </w:pPr>
            <w:r w:rsidRPr="00ED1093">
              <w:rPr>
                <w:rFonts w:ascii="CAIXA Std Book" w:hAnsi="CAIXA Std Book" w:cs="Arial"/>
                <w:color w:val="005CA9"/>
                <w:sz w:val="18"/>
                <w:szCs w:val="18"/>
              </w:rPr>
              <w:t>1.083.</w:t>
            </w:r>
            <w:r>
              <w:rPr>
                <w:rFonts w:ascii="CAIXA Std Book" w:hAnsi="CAIXA Std Book" w:cs="Arial"/>
                <w:color w:val="005CA9"/>
                <w:sz w:val="18"/>
                <w:szCs w:val="18"/>
              </w:rPr>
              <w:t>17</w:t>
            </w:r>
            <w:r w:rsidR="005C24F0">
              <w:rPr>
                <w:rFonts w:ascii="CAIXA Std Book" w:hAnsi="CAIXA Std Book" w:cs="Arial"/>
                <w:color w:val="005CA9"/>
                <w:sz w:val="18"/>
                <w:szCs w:val="18"/>
              </w:rPr>
              <w:t>1</w:t>
            </w:r>
          </w:p>
        </w:tc>
        <w:tc>
          <w:tcPr>
            <w:tcW w:w="591" w:type="pct"/>
            <w:tcBorders>
              <w:top w:val="nil"/>
              <w:left w:val="nil"/>
              <w:bottom w:val="single" w:sz="8" w:space="0" w:color="FFFFFF"/>
              <w:right w:val="nil"/>
            </w:tcBorders>
            <w:noWrap/>
            <w:vAlign w:val="center"/>
            <w:hideMark/>
          </w:tcPr>
          <w:p w14:paraId="598911F1" w14:textId="4ECCE083" w:rsidR="009506A7" w:rsidRPr="00ED1093" w:rsidRDefault="0004393E" w:rsidP="00ED1093">
            <w:pPr>
              <w:jc w:val="center"/>
              <w:rPr>
                <w:rFonts w:ascii="CAIXA Std Book" w:eastAsia="Times New Roman" w:hAnsi="CAIXA Std Book" w:cs="Times New Roman"/>
                <w:color w:val="005CA9"/>
                <w:sz w:val="18"/>
                <w:szCs w:val="18"/>
              </w:rPr>
            </w:pPr>
            <w:r w:rsidRPr="00ED1093">
              <w:rPr>
                <w:rFonts w:ascii="CAIXA Std Book" w:eastAsia="Times New Roman" w:hAnsi="CAIXA Std Book" w:cs="Times New Roman"/>
                <w:color w:val="005CA9"/>
                <w:sz w:val="18"/>
                <w:szCs w:val="18"/>
              </w:rPr>
              <w:t>-</w:t>
            </w:r>
          </w:p>
        </w:tc>
        <w:tc>
          <w:tcPr>
            <w:tcW w:w="591" w:type="pct"/>
            <w:tcBorders>
              <w:top w:val="nil"/>
              <w:left w:val="nil"/>
              <w:bottom w:val="single" w:sz="8" w:space="0" w:color="FFFFFF"/>
              <w:right w:val="nil"/>
            </w:tcBorders>
            <w:noWrap/>
            <w:vAlign w:val="center"/>
            <w:hideMark/>
          </w:tcPr>
          <w:p w14:paraId="7A82237D" w14:textId="43F650F4" w:rsidR="009506A7" w:rsidRPr="00ED1093" w:rsidRDefault="0004393E" w:rsidP="00ED1093">
            <w:pPr>
              <w:jc w:val="center"/>
              <w:rPr>
                <w:rFonts w:ascii="CAIXA Std Book" w:eastAsia="Times New Roman" w:hAnsi="CAIXA Std Book" w:cs="Times New Roman"/>
                <w:color w:val="005CA9"/>
                <w:sz w:val="18"/>
                <w:szCs w:val="18"/>
              </w:rPr>
            </w:pPr>
            <w:r w:rsidRPr="00ED1093">
              <w:rPr>
                <w:rFonts w:ascii="CAIXA Std Book" w:eastAsia="Times New Roman" w:hAnsi="CAIXA Std Book" w:cs="Times New Roman"/>
                <w:color w:val="005CA9"/>
                <w:sz w:val="18"/>
                <w:szCs w:val="18"/>
              </w:rPr>
              <w:t>-</w:t>
            </w:r>
          </w:p>
        </w:tc>
        <w:tc>
          <w:tcPr>
            <w:tcW w:w="593" w:type="pct"/>
            <w:tcBorders>
              <w:top w:val="nil"/>
              <w:left w:val="nil"/>
              <w:bottom w:val="single" w:sz="8" w:space="0" w:color="FFFFFF"/>
              <w:right w:val="nil"/>
            </w:tcBorders>
            <w:noWrap/>
            <w:vAlign w:val="center"/>
            <w:hideMark/>
          </w:tcPr>
          <w:p w14:paraId="6D98638D" w14:textId="6F6C9ACF" w:rsidR="009506A7" w:rsidRPr="00ED1093" w:rsidRDefault="0004393E" w:rsidP="00ED1093">
            <w:pPr>
              <w:jc w:val="right"/>
              <w:rPr>
                <w:rFonts w:ascii="CAIXA Std Book" w:eastAsia="Times New Roman" w:hAnsi="CAIXA Std Book" w:cs="Times New Roman"/>
                <w:color w:val="005CA9"/>
                <w:sz w:val="18"/>
                <w:szCs w:val="18"/>
              </w:rPr>
            </w:pPr>
            <w:r w:rsidRPr="00ED1093">
              <w:rPr>
                <w:rFonts w:ascii="CAIXA Std Book" w:eastAsia="Times New Roman" w:hAnsi="CAIXA Std Book" w:cs="Arial"/>
                <w:color w:val="005CA9"/>
                <w:sz w:val="18"/>
                <w:szCs w:val="18"/>
              </w:rPr>
              <w:t>4.341.64</w:t>
            </w:r>
            <w:r w:rsidR="005C24F0">
              <w:rPr>
                <w:rFonts w:ascii="CAIXA Std Book" w:eastAsia="Times New Roman" w:hAnsi="CAIXA Std Book" w:cs="Arial"/>
                <w:color w:val="005CA9"/>
                <w:sz w:val="18"/>
                <w:szCs w:val="18"/>
              </w:rPr>
              <w:t>3</w:t>
            </w:r>
          </w:p>
        </w:tc>
      </w:tr>
      <w:tr w:rsidR="009506A7" w:rsidRPr="00ED1093" w14:paraId="54B9AC89" w14:textId="77777777" w:rsidTr="00CD504A">
        <w:trPr>
          <w:trHeight w:val="255"/>
        </w:trPr>
        <w:tc>
          <w:tcPr>
            <w:tcW w:w="2043" w:type="pct"/>
            <w:tcBorders>
              <w:top w:val="nil"/>
              <w:left w:val="nil"/>
              <w:bottom w:val="single" w:sz="8" w:space="0" w:color="FFFFFF"/>
              <w:right w:val="nil"/>
            </w:tcBorders>
            <w:shd w:val="clear" w:color="000000" w:fill="FFFFFF"/>
            <w:noWrap/>
            <w:vAlign w:val="center"/>
            <w:hideMark/>
          </w:tcPr>
          <w:p w14:paraId="6E040EEF" w14:textId="77777777" w:rsidR="009506A7" w:rsidRPr="00ED1093" w:rsidRDefault="009506A7" w:rsidP="009506A7">
            <w:pPr>
              <w:rPr>
                <w:rFonts w:ascii="CAIXA Std Book" w:eastAsia="Times New Roman" w:hAnsi="CAIXA Std Book" w:cs="Times New Roman"/>
                <w:color w:val="005CA9"/>
                <w:sz w:val="18"/>
                <w:szCs w:val="18"/>
              </w:rPr>
            </w:pPr>
            <w:r w:rsidRPr="00ED1093">
              <w:rPr>
                <w:rFonts w:ascii="CAIXA Std Book" w:eastAsia="Times New Roman" w:hAnsi="CAIXA Std Book" w:cs="Times New Roman"/>
                <w:color w:val="005CA9"/>
                <w:sz w:val="18"/>
                <w:szCs w:val="18"/>
              </w:rPr>
              <w:t xml:space="preserve">Cotas de fundo de investimento </w:t>
            </w:r>
          </w:p>
        </w:tc>
        <w:tc>
          <w:tcPr>
            <w:tcW w:w="591" w:type="pct"/>
            <w:tcBorders>
              <w:top w:val="nil"/>
              <w:left w:val="nil"/>
              <w:bottom w:val="single" w:sz="8" w:space="0" w:color="FFFFFF"/>
              <w:right w:val="nil"/>
            </w:tcBorders>
            <w:noWrap/>
            <w:vAlign w:val="center"/>
            <w:hideMark/>
          </w:tcPr>
          <w:p w14:paraId="2CBDDB90" w14:textId="77777777" w:rsidR="009506A7" w:rsidRPr="00ED1093" w:rsidRDefault="009506A7" w:rsidP="00ED1093">
            <w:pPr>
              <w:jc w:val="right"/>
              <w:rPr>
                <w:rFonts w:ascii="CAIXA Std Book" w:eastAsia="Times New Roman" w:hAnsi="CAIXA Std Book" w:cs="Times New Roman"/>
                <w:color w:val="005CA9"/>
                <w:sz w:val="18"/>
                <w:szCs w:val="18"/>
              </w:rPr>
            </w:pPr>
            <w:r w:rsidRPr="00ED1093">
              <w:rPr>
                <w:rFonts w:ascii="CAIXA Std Book" w:eastAsia="Times New Roman" w:hAnsi="CAIXA Std Book" w:cs="Arial"/>
                <w:color w:val="005CA9"/>
                <w:sz w:val="18"/>
                <w:szCs w:val="18"/>
              </w:rPr>
              <w:t>130.000</w:t>
            </w:r>
          </w:p>
        </w:tc>
        <w:tc>
          <w:tcPr>
            <w:tcW w:w="591" w:type="pct"/>
            <w:tcBorders>
              <w:top w:val="nil"/>
              <w:left w:val="nil"/>
              <w:bottom w:val="single" w:sz="8" w:space="0" w:color="FFFFFF"/>
              <w:right w:val="nil"/>
            </w:tcBorders>
            <w:noWrap/>
            <w:vAlign w:val="center"/>
            <w:hideMark/>
          </w:tcPr>
          <w:p w14:paraId="0A9CFD28" w14:textId="287EA673" w:rsidR="009506A7" w:rsidRPr="00ED1093" w:rsidRDefault="00E30286" w:rsidP="00ED1093">
            <w:pPr>
              <w:jc w:val="center"/>
              <w:rPr>
                <w:rFonts w:ascii="CAIXA Std Book" w:eastAsia="Times New Roman" w:hAnsi="CAIXA Std Book" w:cs="Times New Roman"/>
                <w:color w:val="005CA9"/>
                <w:sz w:val="18"/>
                <w:szCs w:val="18"/>
              </w:rPr>
            </w:pPr>
            <w:r w:rsidRPr="00ED1093">
              <w:rPr>
                <w:rFonts w:ascii="CAIXA Std Book" w:hAnsi="CAIXA Std Book" w:cs="Arial"/>
                <w:color w:val="005CA9"/>
                <w:sz w:val="18"/>
                <w:szCs w:val="18"/>
              </w:rPr>
              <w:t>-</w:t>
            </w:r>
          </w:p>
        </w:tc>
        <w:tc>
          <w:tcPr>
            <w:tcW w:w="591" w:type="pct"/>
            <w:tcBorders>
              <w:top w:val="nil"/>
              <w:left w:val="nil"/>
              <w:bottom w:val="single" w:sz="8" w:space="0" w:color="FFFFFF"/>
              <w:right w:val="nil"/>
            </w:tcBorders>
            <w:noWrap/>
            <w:vAlign w:val="center"/>
            <w:hideMark/>
          </w:tcPr>
          <w:p w14:paraId="43A892D7" w14:textId="0756C8EC" w:rsidR="009506A7" w:rsidRPr="00ED1093" w:rsidRDefault="0004393E" w:rsidP="00ED1093">
            <w:pPr>
              <w:jc w:val="center"/>
              <w:rPr>
                <w:rFonts w:ascii="CAIXA Std Book" w:eastAsia="Times New Roman" w:hAnsi="CAIXA Std Book" w:cs="Times New Roman"/>
                <w:color w:val="005CA9"/>
                <w:sz w:val="18"/>
                <w:szCs w:val="18"/>
              </w:rPr>
            </w:pPr>
            <w:r w:rsidRPr="00ED1093">
              <w:rPr>
                <w:rFonts w:ascii="CAIXA Std Book" w:eastAsia="Times New Roman" w:hAnsi="CAIXA Std Book" w:cs="Times New Roman"/>
                <w:color w:val="005CA9"/>
                <w:sz w:val="18"/>
                <w:szCs w:val="18"/>
              </w:rPr>
              <w:t>-</w:t>
            </w:r>
          </w:p>
        </w:tc>
        <w:tc>
          <w:tcPr>
            <w:tcW w:w="591" w:type="pct"/>
            <w:tcBorders>
              <w:top w:val="nil"/>
              <w:left w:val="nil"/>
              <w:bottom w:val="single" w:sz="8" w:space="0" w:color="FFFFFF"/>
              <w:right w:val="nil"/>
            </w:tcBorders>
            <w:noWrap/>
            <w:vAlign w:val="center"/>
            <w:hideMark/>
          </w:tcPr>
          <w:p w14:paraId="35161B7F" w14:textId="362F9EC6" w:rsidR="009506A7" w:rsidRPr="00ED1093" w:rsidRDefault="0004393E" w:rsidP="00ED1093">
            <w:pPr>
              <w:jc w:val="center"/>
              <w:rPr>
                <w:rFonts w:ascii="CAIXA Std Book" w:eastAsia="Times New Roman" w:hAnsi="CAIXA Std Book" w:cs="Times New Roman"/>
                <w:color w:val="005CA9"/>
                <w:sz w:val="18"/>
                <w:szCs w:val="18"/>
              </w:rPr>
            </w:pPr>
            <w:r w:rsidRPr="00ED1093">
              <w:rPr>
                <w:rFonts w:ascii="CAIXA Std Book" w:eastAsia="Times New Roman" w:hAnsi="CAIXA Std Book" w:cs="Times New Roman"/>
                <w:color w:val="005CA9"/>
                <w:sz w:val="18"/>
                <w:szCs w:val="18"/>
              </w:rPr>
              <w:t>-</w:t>
            </w:r>
          </w:p>
        </w:tc>
        <w:tc>
          <w:tcPr>
            <w:tcW w:w="593" w:type="pct"/>
            <w:tcBorders>
              <w:top w:val="nil"/>
              <w:left w:val="nil"/>
              <w:bottom w:val="single" w:sz="8" w:space="0" w:color="FFFFFF"/>
              <w:right w:val="nil"/>
            </w:tcBorders>
            <w:noWrap/>
            <w:vAlign w:val="center"/>
            <w:hideMark/>
          </w:tcPr>
          <w:p w14:paraId="2C29A55D" w14:textId="0E37CF3A" w:rsidR="009506A7" w:rsidRPr="00ED1093" w:rsidRDefault="0004393E" w:rsidP="00ED1093">
            <w:pPr>
              <w:jc w:val="right"/>
              <w:rPr>
                <w:rFonts w:ascii="CAIXA Std Book" w:eastAsia="Times New Roman" w:hAnsi="CAIXA Std Book" w:cs="Times New Roman"/>
                <w:color w:val="005CA9"/>
                <w:sz w:val="18"/>
                <w:szCs w:val="18"/>
              </w:rPr>
            </w:pPr>
            <w:r w:rsidRPr="00ED1093">
              <w:rPr>
                <w:rFonts w:ascii="CAIXA Std Book" w:eastAsia="Times New Roman" w:hAnsi="CAIXA Std Book" w:cs="Arial"/>
                <w:color w:val="005CA9"/>
                <w:sz w:val="18"/>
                <w:szCs w:val="18"/>
              </w:rPr>
              <w:t>130.000</w:t>
            </w:r>
          </w:p>
        </w:tc>
      </w:tr>
      <w:tr w:rsidR="009506A7" w:rsidRPr="00ED1093" w14:paraId="74E1B681" w14:textId="77777777" w:rsidTr="00CD504A">
        <w:trPr>
          <w:trHeight w:val="255"/>
        </w:trPr>
        <w:tc>
          <w:tcPr>
            <w:tcW w:w="2043" w:type="pct"/>
            <w:tcBorders>
              <w:top w:val="nil"/>
              <w:left w:val="nil"/>
              <w:bottom w:val="nil"/>
              <w:right w:val="nil"/>
            </w:tcBorders>
            <w:shd w:val="clear" w:color="000000" w:fill="FFFFFF"/>
            <w:noWrap/>
            <w:vAlign w:val="center"/>
            <w:hideMark/>
          </w:tcPr>
          <w:p w14:paraId="721CF61B" w14:textId="77777777" w:rsidR="009506A7" w:rsidRPr="00ED1093" w:rsidRDefault="009506A7" w:rsidP="009506A7">
            <w:pPr>
              <w:rPr>
                <w:rFonts w:ascii="CAIXA Std Book" w:eastAsia="Times New Roman" w:hAnsi="CAIXA Std Book" w:cs="Times New Roman"/>
                <w:color w:val="005CA9"/>
                <w:sz w:val="18"/>
                <w:szCs w:val="18"/>
              </w:rPr>
            </w:pPr>
            <w:r w:rsidRPr="00ED1093">
              <w:rPr>
                <w:rFonts w:ascii="CAIXA Std Book" w:eastAsia="Times New Roman" w:hAnsi="CAIXA Std Book" w:cs="Times New Roman"/>
                <w:color w:val="005CA9"/>
                <w:sz w:val="18"/>
                <w:szCs w:val="18"/>
              </w:rPr>
              <w:t xml:space="preserve">Ações </w:t>
            </w:r>
          </w:p>
        </w:tc>
        <w:tc>
          <w:tcPr>
            <w:tcW w:w="591" w:type="pct"/>
            <w:tcBorders>
              <w:top w:val="nil"/>
              <w:left w:val="nil"/>
              <w:bottom w:val="nil"/>
              <w:right w:val="nil"/>
            </w:tcBorders>
            <w:noWrap/>
            <w:vAlign w:val="center"/>
            <w:hideMark/>
          </w:tcPr>
          <w:p w14:paraId="5C1A710E" w14:textId="77777777" w:rsidR="009506A7" w:rsidRPr="00ED1093" w:rsidRDefault="009506A7" w:rsidP="00ED1093">
            <w:pPr>
              <w:jc w:val="right"/>
              <w:rPr>
                <w:rFonts w:ascii="CAIXA Std Book" w:eastAsia="Times New Roman" w:hAnsi="CAIXA Std Book" w:cs="Times New Roman"/>
                <w:color w:val="005CA9"/>
                <w:sz w:val="18"/>
                <w:szCs w:val="18"/>
              </w:rPr>
            </w:pPr>
            <w:r w:rsidRPr="00ED1093">
              <w:rPr>
                <w:rFonts w:ascii="CAIXA Std Book" w:eastAsia="Times New Roman" w:hAnsi="CAIXA Std Book" w:cs="Arial"/>
                <w:color w:val="005CA9"/>
                <w:sz w:val="18"/>
                <w:szCs w:val="18"/>
              </w:rPr>
              <w:t>917.736</w:t>
            </w:r>
          </w:p>
        </w:tc>
        <w:tc>
          <w:tcPr>
            <w:tcW w:w="591" w:type="pct"/>
            <w:tcBorders>
              <w:top w:val="nil"/>
              <w:left w:val="nil"/>
              <w:bottom w:val="nil"/>
              <w:right w:val="nil"/>
            </w:tcBorders>
            <w:noWrap/>
            <w:vAlign w:val="center"/>
            <w:hideMark/>
          </w:tcPr>
          <w:p w14:paraId="7D6FFAAD" w14:textId="0E15A2AD" w:rsidR="009506A7" w:rsidRPr="00ED1093" w:rsidRDefault="00E30286" w:rsidP="00ED1093">
            <w:pPr>
              <w:jc w:val="right"/>
              <w:rPr>
                <w:rFonts w:ascii="CAIXA Std Book" w:eastAsia="Times New Roman" w:hAnsi="CAIXA Std Book" w:cs="Times New Roman"/>
                <w:color w:val="005CA9"/>
                <w:sz w:val="18"/>
                <w:szCs w:val="18"/>
              </w:rPr>
            </w:pPr>
            <w:r w:rsidRPr="00ED1093">
              <w:rPr>
                <w:rFonts w:ascii="CAIXA Std Book" w:hAnsi="CAIXA Std Book" w:cs="Arial"/>
                <w:color w:val="005CA9"/>
                <w:sz w:val="18"/>
                <w:szCs w:val="18"/>
              </w:rPr>
              <w:t>(815.130)</w:t>
            </w:r>
          </w:p>
        </w:tc>
        <w:tc>
          <w:tcPr>
            <w:tcW w:w="591" w:type="pct"/>
            <w:tcBorders>
              <w:top w:val="nil"/>
              <w:left w:val="nil"/>
              <w:bottom w:val="nil"/>
              <w:right w:val="nil"/>
            </w:tcBorders>
            <w:noWrap/>
            <w:vAlign w:val="center"/>
            <w:hideMark/>
          </w:tcPr>
          <w:p w14:paraId="4BF0C1D2" w14:textId="2766C0A1" w:rsidR="009506A7" w:rsidRPr="00ED1093" w:rsidRDefault="0004393E" w:rsidP="00ED1093">
            <w:pPr>
              <w:jc w:val="center"/>
              <w:rPr>
                <w:rFonts w:ascii="CAIXA Std Book" w:eastAsia="Times New Roman" w:hAnsi="CAIXA Std Book" w:cs="Arial"/>
                <w:color w:val="005CA9"/>
                <w:sz w:val="18"/>
                <w:szCs w:val="18"/>
              </w:rPr>
            </w:pPr>
            <w:r w:rsidRPr="00ED1093">
              <w:rPr>
                <w:rFonts w:ascii="CAIXA Std Book" w:eastAsia="Times New Roman" w:hAnsi="CAIXA Std Book" w:cs="Times New Roman"/>
                <w:color w:val="005CA9"/>
                <w:sz w:val="18"/>
                <w:szCs w:val="18"/>
              </w:rPr>
              <w:t>-</w:t>
            </w:r>
          </w:p>
        </w:tc>
        <w:tc>
          <w:tcPr>
            <w:tcW w:w="591" w:type="pct"/>
            <w:tcBorders>
              <w:top w:val="nil"/>
              <w:left w:val="nil"/>
              <w:bottom w:val="nil"/>
              <w:right w:val="nil"/>
            </w:tcBorders>
            <w:noWrap/>
            <w:vAlign w:val="center"/>
            <w:hideMark/>
          </w:tcPr>
          <w:p w14:paraId="6E48829B" w14:textId="5BEAD0F1" w:rsidR="009506A7" w:rsidRPr="00ED1093" w:rsidRDefault="0004393E" w:rsidP="00ED1093">
            <w:pPr>
              <w:jc w:val="center"/>
              <w:rPr>
                <w:rFonts w:ascii="CAIXA Std Book" w:eastAsia="Times New Roman" w:hAnsi="CAIXA Std Book" w:cs="Arial"/>
                <w:color w:val="005CA9"/>
                <w:sz w:val="18"/>
                <w:szCs w:val="18"/>
              </w:rPr>
            </w:pPr>
            <w:r w:rsidRPr="00ED1093">
              <w:rPr>
                <w:rFonts w:ascii="CAIXA Std Book" w:eastAsia="Times New Roman" w:hAnsi="CAIXA Std Book" w:cs="Times New Roman"/>
                <w:color w:val="005CA9"/>
                <w:sz w:val="18"/>
                <w:szCs w:val="18"/>
              </w:rPr>
              <w:t>-</w:t>
            </w:r>
          </w:p>
        </w:tc>
        <w:tc>
          <w:tcPr>
            <w:tcW w:w="593" w:type="pct"/>
            <w:tcBorders>
              <w:top w:val="nil"/>
              <w:left w:val="nil"/>
              <w:bottom w:val="nil"/>
              <w:right w:val="nil"/>
            </w:tcBorders>
            <w:noWrap/>
            <w:vAlign w:val="center"/>
            <w:hideMark/>
          </w:tcPr>
          <w:p w14:paraId="6EC77508" w14:textId="1AF75290" w:rsidR="009506A7" w:rsidRPr="00ED1093" w:rsidRDefault="0004393E" w:rsidP="00ED1093">
            <w:pPr>
              <w:jc w:val="right"/>
              <w:rPr>
                <w:rFonts w:ascii="CAIXA Std Book" w:eastAsia="Times New Roman" w:hAnsi="CAIXA Std Book" w:cs="Arial"/>
                <w:color w:val="005CA9"/>
                <w:sz w:val="18"/>
                <w:szCs w:val="18"/>
              </w:rPr>
            </w:pPr>
            <w:r w:rsidRPr="00ED1093">
              <w:rPr>
                <w:rFonts w:ascii="CAIXA Std Book" w:eastAsia="Times New Roman" w:hAnsi="CAIXA Std Book" w:cs="Arial"/>
                <w:color w:val="005CA9"/>
                <w:sz w:val="18"/>
                <w:szCs w:val="18"/>
              </w:rPr>
              <w:t>102.606</w:t>
            </w:r>
          </w:p>
        </w:tc>
      </w:tr>
      <w:tr w:rsidR="009506A7" w:rsidRPr="00ED1093" w14:paraId="4D11D8C8" w14:textId="77777777" w:rsidTr="00CD504A">
        <w:trPr>
          <w:trHeight w:val="255"/>
        </w:trPr>
        <w:tc>
          <w:tcPr>
            <w:tcW w:w="2043" w:type="pct"/>
            <w:tcBorders>
              <w:top w:val="nil"/>
              <w:left w:val="nil"/>
              <w:bottom w:val="nil"/>
              <w:right w:val="nil"/>
            </w:tcBorders>
            <w:shd w:val="clear" w:color="auto" w:fill="005CA9"/>
            <w:noWrap/>
            <w:vAlign w:val="center"/>
            <w:hideMark/>
          </w:tcPr>
          <w:p w14:paraId="122363C9" w14:textId="77777777" w:rsidR="009506A7" w:rsidRPr="00ED1093" w:rsidRDefault="009506A7" w:rsidP="00ED1093">
            <w:pPr>
              <w:rPr>
                <w:rFonts w:ascii="CAIXA Std Book" w:eastAsia="Times New Roman" w:hAnsi="CAIXA Std Book" w:cs="Times New Roman"/>
                <w:b/>
                <w:bCs/>
                <w:color w:val="FFFFFF"/>
                <w:sz w:val="18"/>
                <w:szCs w:val="18"/>
              </w:rPr>
            </w:pPr>
            <w:r w:rsidRPr="00ED1093">
              <w:rPr>
                <w:rFonts w:ascii="CAIXA Std Book" w:eastAsia="Times New Roman" w:hAnsi="CAIXA Std Book" w:cs="Times New Roman"/>
                <w:b/>
                <w:bCs/>
                <w:color w:val="FFFFFF"/>
                <w:sz w:val="18"/>
                <w:szCs w:val="18"/>
              </w:rPr>
              <w:t>Total</w:t>
            </w:r>
          </w:p>
        </w:tc>
        <w:tc>
          <w:tcPr>
            <w:tcW w:w="591" w:type="pct"/>
            <w:tcBorders>
              <w:top w:val="nil"/>
              <w:left w:val="nil"/>
              <w:bottom w:val="nil"/>
              <w:right w:val="nil"/>
            </w:tcBorders>
            <w:shd w:val="clear" w:color="auto" w:fill="005CA9"/>
            <w:noWrap/>
            <w:vAlign w:val="center"/>
            <w:hideMark/>
          </w:tcPr>
          <w:p w14:paraId="72B7BF4D" w14:textId="77777777" w:rsidR="009506A7" w:rsidRPr="00ED1093" w:rsidRDefault="009506A7" w:rsidP="00ED1093">
            <w:pPr>
              <w:jc w:val="right"/>
              <w:rPr>
                <w:rFonts w:ascii="CAIXA Std Book" w:eastAsia="Times New Roman" w:hAnsi="CAIXA Std Book" w:cs="Times New Roman"/>
                <w:b/>
                <w:bCs/>
                <w:color w:val="FFFFFF"/>
                <w:sz w:val="18"/>
                <w:szCs w:val="18"/>
              </w:rPr>
            </w:pPr>
            <w:r w:rsidRPr="00ED1093">
              <w:rPr>
                <w:rFonts w:ascii="CAIXA Std Book" w:eastAsia="Times New Roman" w:hAnsi="CAIXA Std Book" w:cs="Arial"/>
                <w:b/>
                <w:bCs/>
                <w:color w:val="FFFFFF"/>
                <w:sz w:val="18"/>
                <w:szCs w:val="18"/>
              </w:rPr>
              <w:t>156.666.616</w:t>
            </w:r>
          </w:p>
        </w:tc>
        <w:tc>
          <w:tcPr>
            <w:tcW w:w="591" w:type="pct"/>
            <w:tcBorders>
              <w:top w:val="nil"/>
              <w:left w:val="nil"/>
              <w:bottom w:val="nil"/>
              <w:right w:val="nil"/>
            </w:tcBorders>
            <w:shd w:val="clear" w:color="auto" w:fill="005CA9"/>
            <w:noWrap/>
            <w:vAlign w:val="center"/>
            <w:hideMark/>
          </w:tcPr>
          <w:p w14:paraId="0E32F066" w14:textId="07EDA93C" w:rsidR="009506A7" w:rsidRPr="00ED1093" w:rsidRDefault="00E30286" w:rsidP="00ED1093">
            <w:pPr>
              <w:jc w:val="right"/>
              <w:rPr>
                <w:rFonts w:ascii="CAIXA Std Book" w:eastAsia="Times New Roman" w:hAnsi="CAIXA Std Book" w:cs="Arial"/>
                <w:b/>
                <w:color w:val="FFFFFF"/>
                <w:sz w:val="18"/>
                <w:szCs w:val="18"/>
              </w:rPr>
            </w:pPr>
            <w:r w:rsidRPr="00ED1093">
              <w:rPr>
                <w:rFonts w:ascii="CAIXA Std Book" w:hAnsi="CAIXA Std Book" w:cs="Arial"/>
                <w:b/>
                <w:bCs/>
                <w:color w:val="FFFFFF"/>
                <w:sz w:val="18"/>
                <w:szCs w:val="18"/>
              </w:rPr>
              <w:t>(6.912.</w:t>
            </w:r>
            <w:r>
              <w:rPr>
                <w:rFonts w:ascii="CAIXA Std Book" w:hAnsi="CAIXA Std Book" w:cs="Arial"/>
                <w:b/>
                <w:bCs/>
                <w:color w:val="FFFFFF"/>
                <w:sz w:val="18"/>
                <w:szCs w:val="18"/>
              </w:rPr>
              <w:t>04</w:t>
            </w:r>
            <w:r w:rsidR="005C24F0">
              <w:rPr>
                <w:rFonts w:ascii="CAIXA Std Book" w:hAnsi="CAIXA Std Book" w:cs="Arial"/>
                <w:b/>
                <w:bCs/>
                <w:color w:val="FFFFFF"/>
                <w:sz w:val="18"/>
                <w:szCs w:val="18"/>
              </w:rPr>
              <w:t>1</w:t>
            </w:r>
            <w:r w:rsidRPr="00ED1093">
              <w:rPr>
                <w:rFonts w:ascii="CAIXA Std Book" w:hAnsi="CAIXA Std Book" w:cs="Arial"/>
                <w:b/>
                <w:bCs/>
                <w:color w:val="FFFFFF"/>
                <w:sz w:val="18"/>
                <w:szCs w:val="18"/>
              </w:rPr>
              <w:t>)</w:t>
            </w:r>
          </w:p>
        </w:tc>
        <w:tc>
          <w:tcPr>
            <w:tcW w:w="591" w:type="pct"/>
            <w:tcBorders>
              <w:top w:val="nil"/>
              <w:left w:val="nil"/>
              <w:bottom w:val="nil"/>
              <w:right w:val="nil"/>
            </w:tcBorders>
            <w:shd w:val="clear" w:color="auto" w:fill="005CA9"/>
            <w:noWrap/>
            <w:vAlign w:val="center"/>
            <w:hideMark/>
          </w:tcPr>
          <w:p w14:paraId="533D439C" w14:textId="7EBDC972" w:rsidR="009506A7" w:rsidRPr="00ED1093" w:rsidRDefault="0004393E" w:rsidP="00ED1093">
            <w:pPr>
              <w:jc w:val="center"/>
              <w:rPr>
                <w:rFonts w:ascii="CAIXA Std Book" w:eastAsia="Times New Roman" w:hAnsi="CAIXA Std Book" w:cs="Arial"/>
                <w:b/>
                <w:color w:val="FFFFFF" w:themeColor="background1"/>
                <w:sz w:val="18"/>
                <w:szCs w:val="18"/>
              </w:rPr>
            </w:pPr>
            <w:r w:rsidRPr="00ED1093">
              <w:rPr>
                <w:rFonts w:ascii="CAIXA Std Book" w:eastAsia="Times New Roman" w:hAnsi="CAIXA Std Book" w:cs="Times New Roman"/>
                <w:color w:val="FFFFFF" w:themeColor="background1"/>
                <w:sz w:val="18"/>
                <w:szCs w:val="18"/>
              </w:rPr>
              <w:t>-</w:t>
            </w:r>
          </w:p>
        </w:tc>
        <w:tc>
          <w:tcPr>
            <w:tcW w:w="591" w:type="pct"/>
            <w:tcBorders>
              <w:top w:val="nil"/>
              <w:left w:val="nil"/>
              <w:bottom w:val="nil"/>
              <w:right w:val="nil"/>
            </w:tcBorders>
            <w:shd w:val="clear" w:color="auto" w:fill="005CA9"/>
            <w:noWrap/>
            <w:vAlign w:val="center"/>
            <w:hideMark/>
          </w:tcPr>
          <w:p w14:paraId="7057873E" w14:textId="7BDB06B0" w:rsidR="009506A7" w:rsidRPr="00ED1093" w:rsidRDefault="0004393E" w:rsidP="00ED1093">
            <w:pPr>
              <w:jc w:val="center"/>
              <w:rPr>
                <w:rFonts w:ascii="CAIXA Std Book" w:eastAsia="Times New Roman" w:hAnsi="CAIXA Std Book" w:cs="Arial"/>
                <w:b/>
                <w:color w:val="FFFFFF" w:themeColor="background1"/>
                <w:sz w:val="18"/>
                <w:szCs w:val="18"/>
              </w:rPr>
            </w:pPr>
            <w:r w:rsidRPr="00ED1093">
              <w:rPr>
                <w:rFonts w:ascii="CAIXA Std Book" w:eastAsia="Times New Roman" w:hAnsi="CAIXA Std Book" w:cs="Times New Roman"/>
                <w:color w:val="FFFFFF" w:themeColor="background1"/>
                <w:sz w:val="18"/>
                <w:szCs w:val="18"/>
              </w:rPr>
              <w:t>-</w:t>
            </w:r>
          </w:p>
        </w:tc>
        <w:tc>
          <w:tcPr>
            <w:tcW w:w="593" w:type="pct"/>
            <w:tcBorders>
              <w:top w:val="nil"/>
              <w:left w:val="nil"/>
              <w:bottom w:val="nil"/>
              <w:right w:val="nil"/>
            </w:tcBorders>
            <w:shd w:val="clear" w:color="auto" w:fill="005CA9"/>
            <w:noWrap/>
            <w:vAlign w:val="center"/>
            <w:hideMark/>
          </w:tcPr>
          <w:p w14:paraId="68EC51FA" w14:textId="0F37258D" w:rsidR="009506A7" w:rsidRPr="00ED1093" w:rsidRDefault="0004393E" w:rsidP="00ED1093">
            <w:pPr>
              <w:jc w:val="right"/>
              <w:rPr>
                <w:rFonts w:ascii="CAIXA Std Book" w:eastAsia="Times New Roman" w:hAnsi="CAIXA Std Book" w:cs="Times New Roman"/>
                <w:b/>
                <w:bCs/>
                <w:color w:val="FFFFFF"/>
                <w:sz w:val="18"/>
                <w:szCs w:val="18"/>
              </w:rPr>
            </w:pPr>
            <w:r w:rsidRPr="00ED1093">
              <w:rPr>
                <w:rFonts w:ascii="CAIXA Std Book" w:eastAsia="Times New Roman" w:hAnsi="CAIXA Std Book" w:cs="Arial"/>
                <w:b/>
                <w:bCs/>
                <w:color w:val="FFFFFF"/>
                <w:sz w:val="18"/>
                <w:szCs w:val="18"/>
              </w:rPr>
              <w:t>149.754.</w:t>
            </w:r>
            <w:r w:rsidRPr="0004393E">
              <w:rPr>
                <w:rFonts w:ascii="CAIXA Std Book" w:eastAsia="Times New Roman" w:hAnsi="CAIXA Std Book" w:cs="Arial"/>
                <w:b/>
                <w:bCs/>
                <w:color w:val="FFFFFF"/>
                <w:sz w:val="18"/>
                <w:szCs w:val="18"/>
              </w:rPr>
              <w:t>57</w:t>
            </w:r>
            <w:r w:rsidR="005C24F0">
              <w:rPr>
                <w:rFonts w:ascii="CAIXA Std Book" w:eastAsia="Times New Roman" w:hAnsi="CAIXA Std Book" w:cs="Arial"/>
                <w:b/>
                <w:bCs/>
                <w:color w:val="FFFFFF"/>
                <w:sz w:val="18"/>
                <w:szCs w:val="18"/>
              </w:rPr>
              <w:t>5</w:t>
            </w:r>
          </w:p>
        </w:tc>
      </w:tr>
    </w:tbl>
    <w:p w14:paraId="07A5B3AD" w14:textId="77777777" w:rsidR="00ED1093" w:rsidRDefault="00ED1093" w:rsidP="0004393E">
      <w:pPr>
        <w:jc w:val="right"/>
        <w:rPr>
          <w:rFonts w:ascii="CAIXA Std Book" w:eastAsia="Times New Roman" w:hAnsi="CAIXA Std Book" w:cs="Arial"/>
          <w:b/>
          <w:color w:val="FFFFFF"/>
          <w:sz w:val="18"/>
          <w:szCs w:val="18"/>
        </w:rPr>
      </w:pPr>
    </w:p>
    <w:tbl>
      <w:tblPr>
        <w:tblW w:w="5000" w:type="pct"/>
        <w:tblCellMar>
          <w:left w:w="70" w:type="dxa"/>
          <w:right w:w="70" w:type="dxa"/>
        </w:tblCellMar>
        <w:tblLook w:val="04A0" w:firstRow="1" w:lastRow="0" w:firstColumn="1" w:lastColumn="0" w:noHBand="0" w:noVBand="1"/>
      </w:tblPr>
      <w:tblGrid>
        <w:gridCol w:w="6237"/>
        <w:gridCol w:w="1416"/>
        <w:gridCol w:w="1842"/>
        <w:gridCol w:w="1702"/>
        <w:gridCol w:w="1754"/>
        <w:gridCol w:w="1620"/>
      </w:tblGrid>
      <w:tr w:rsidR="009E220E" w:rsidRPr="009E220E" w14:paraId="3BCBDD00" w14:textId="77777777" w:rsidTr="009E220E">
        <w:trPr>
          <w:trHeight w:val="255"/>
        </w:trPr>
        <w:tc>
          <w:tcPr>
            <w:tcW w:w="5000" w:type="pct"/>
            <w:gridSpan w:val="6"/>
            <w:tcBorders>
              <w:top w:val="nil"/>
              <w:left w:val="nil"/>
              <w:bottom w:val="single" w:sz="8" w:space="0" w:color="FFFFFF"/>
              <w:right w:val="nil"/>
            </w:tcBorders>
            <w:shd w:val="clear" w:color="000000" w:fill="005CA9"/>
            <w:noWrap/>
            <w:vAlign w:val="center"/>
            <w:hideMark/>
          </w:tcPr>
          <w:p w14:paraId="14B69702" w14:textId="77777777" w:rsidR="009E220E" w:rsidRPr="009E220E" w:rsidRDefault="009E220E" w:rsidP="009E220E">
            <w:pPr>
              <w:jc w:val="center"/>
              <w:rPr>
                <w:rFonts w:ascii="CAIXA Std Book" w:eastAsia="Times New Roman" w:hAnsi="CAIXA Std Book" w:cs="Times New Roman"/>
                <w:b/>
                <w:bCs/>
                <w:color w:val="FFFFFF"/>
                <w:sz w:val="18"/>
                <w:szCs w:val="18"/>
              </w:rPr>
            </w:pPr>
            <w:r w:rsidRPr="009E220E">
              <w:rPr>
                <w:rFonts w:ascii="CAIXA Std Book" w:eastAsia="Times New Roman" w:hAnsi="CAIXA Std Book" w:cs="Times New Roman"/>
                <w:b/>
                <w:bCs/>
                <w:color w:val="FFFFFF"/>
                <w:sz w:val="18"/>
                <w:szCs w:val="18"/>
              </w:rPr>
              <w:t>Individual</w:t>
            </w:r>
          </w:p>
        </w:tc>
      </w:tr>
      <w:tr w:rsidR="009E220E" w:rsidRPr="009E220E" w14:paraId="21CC2A92" w14:textId="77777777" w:rsidTr="009E220E">
        <w:trPr>
          <w:trHeight w:val="255"/>
        </w:trPr>
        <w:tc>
          <w:tcPr>
            <w:tcW w:w="2140" w:type="pct"/>
            <w:tcBorders>
              <w:top w:val="nil"/>
              <w:left w:val="nil"/>
              <w:bottom w:val="nil"/>
              <w:right w:val="nil"/>
            </w:tcBorders>
            <w:shd w:val="clear" w:color="000000" w:fill="005CA9"/>
            <w:vAlign w:val="center"/>
            <w:hideMark/>
          </w:tcPr>
          <w:p w14:paraId="16EA2876" w14:textId="77777777" w:rsidR="009E220E" w:rsidRPr="009E220E" w:rsidRDefault="009E220E" w:rsidP="009E220E">
            <w:pPr>
              <w:jc w:val="center"/>
              <w:rPr>
                <w:rFonts w:ascii="CAIXA Std Book" w:eastAsia="Times New Roman" w:hAnsi="CAIXA Std Book" w:cs="Times New Roman"/>
                <w:b/>
                <w:bCs/>
                <w:color w:val="FFFFFF"/>
                <w:sz w:val="18"/>
                <w:szCs w:val="18"/>
              </w:rPr>
            </w:pPr>
            <w:r w:rsidRPr="009E220E">
              <w:rPr>
                <w:rFonts w:ascii="CAIXA Std Book" w:eastAsia="Times New Roman" w:hAnsi="CAIXA Std Book" w:cs="Times New Roman"/>
                <w:b/>
                <w:bCs/>
                <w:color w:val="FFFFFF"/>
                <w:sz w:val="18"/>
                <w:szCs w:val="18"/>
              </w:rPr>
              <w:t>Estágio 1</w:t>
            </w:r>
          </w:p>
        </w:tc>
        <w:tc>
          <w:tcPr>
            <w:tcW w:w="486" w:type="pct"/>
            <w:tcBorders>
              <w:top w:val="nil"/>
              <w:left w:val="nil"/>
              <w:bottom w:val="nil"/>
              <w:right w:val="nil"/>
            </w:tcBorders>
            <w:shd w:val="clear" w:color="000000" w:fill="005CA9"/>
            <w:vAlign w:val="center"/>
            <w:hideMark/>
          </w:tcPr>
          <w:p w14:paraId="301EFA14" w14:textId="77777777" w:rsidR="009E220E" w:rsidRPr="009E220E" w:rsidRDefault="009E220E" w:rsidP="009E220E">
            <w:pPr>
              <w:jc w:val="center"/>
              <w:rPr>
                <w:rFonts w:ascii="CAIXA Std Book" w:eastAsia="Times New Roman" w:hAnsi="CAIXA Std Book" w:cs="Times New Roman"/>
                <w:b/>
                <w:bCs/>
                <w:color w:val="FFFFFF"/>
                <w:sz w:val="18"/>
                <w:szCs w:val="18"/>
              </w:rPr>
            </w:pPr>
            <w:r w:rsidRPr="009E220E">
              <w:rPr>
                <w:rFonts w:ascii="CAIXA Std Book" w:eastAsia="Times New Roman" w:hAnsi="CAIXA Std Book" w:cs="Times New Roman"/>
                <w:b/>
                <w:bCs/>
                <w:color w:val="FFFFFF"/>
                <w:sz w:val="18"/>
                <w:szCs w:val="18"/>
              </w:rPr>
              <w:t>Saldo em 01/01/2025</w:t>
            </w:r>
          </w:p>
        </w:tc>
        <w:tc>
          <w:tcPr>
            <w:tcW w:w="632" w:type="pct"/>
            <w:tcBorders>
              <w:top w:val="nil"/>
              <w:left w:val="nil"/>
              <w:bottom w:val="nil"/>
              <w:right w:val="nil"/>
            </w:tcBorders>
            <w:shd w:val="clear" w:color="000000" w:fill="005CA9"/>
            <w:vAlign w:val="center"/>
            <w:hideMark/>
          </w:tcPr>
          <w:p w14:paraId="2F6CA87C" w14:textId="77777777" w:rsidR="009E220E" w:rsidRPr="009E220E" w:rsidRDefault="009E220E" w:rsidP="009E220E">
            <w:pPr>
              <w:jc w:val="center"/>
              <w:rPr>
                <w:rFonts w:ascii="CAIXA Std Book" w:eastAsia="Times New Roman" w:hAnsi="CAIXA Std Book" w:cs="Times New Roman"/>
                <w:b/>
                <w:bCs/>
                <w:color w:val="FFFFFF"/>
                <w:sz w:val="18"/>
                <w:szCs w:val="18"/>
              </w:rPr>
            </w:pPr>
            <w:r w:rsidRPr="009E220E">
              <w:rPr>
                <w:rFonts w:ascii="CAIXA Std Book" w:eastAsia="Times New Roman" w:hAnsi="CAIXA Std Book" w:cs="Times New Roman"/>
                <w:b/>
                <w:bCs/>
                <w:color w:val="FFFFFF"/>
                <w:sz w:val="18"/>
                <w:szCs w:val="18"/>
              </w:rPr>
              <w:t>Compra/ (liquidação)</w:t>
            </w:r>
          </w:p>
        </w:tc>
        <w:tc>
          <w:tcPr>
            <w:tcW w:w="584" w:type="pct"/>
            <w:tcBorders>
              <w:top w:val="nil"/>
              <w:left w:val="nil"/>
              <w:bottom w:val="nil"/>
              <w:right w:val="nil"/>
            </w:tcBorders>
            <w:shd w:val="clear" w:color="000000" w:fill="005CA9"/>
            <w:vAlign w:val="center"/>
            <w:hideMark/>
          </w:tcPr>
          <w:p w14:paraId="76886101" w14:textId="77777777" w:rsidR="009E220E" w:rsidRPr="009E220E" w:rsidRDefault="009E220E" w:rsidP="009E220E">
            <w:pPr>
              <w:jc w:val="center"/>
              <w:rPr>
                <w:rFonts w:ascii="CAIXA Std Book" w:eastAsia="Times New Roman" w:hAnsi="CAIXA Std Book" w:cs="Times New Roman"/>
                <w:b/>
                <w:bCs/>
                <w:color w:val="FFFFFF"/>
                <w:sz w:val="18"/>
                <w:szCs w:val="18"/>
              </w:rPr>
            </w:pPr>
            <w:r w:rsidRPr="009E220E">
              <w:rPr>
                <w:rFonts w:ascii="CAIXA Std Book" w:eastAsia="Times New Roman" w:hAnsi="CAIXA Std Book" w:cs="Times New Roman"/>
                <w:b/>
                <w:bCs/>
                <w:color w:val="FFFFFF"/>
                <w:sz w:val="18"/>
                <w:szCs w:val="18"/>
              </w:rPr>
              <w:t>Transferência do/ para estágio 2</w:t>
            </w:r>
          </w:p>
        </w:tc>
        <w:tc>
          <w:tcPr>
            <w:tcW w:w="602" w:type="pct"/>
            <w:tcBorders>
              <w:top w:val="nil"/>
              <w:left w:val="nil"/>
              <w:bottom w:val="nil"/>
              <w:right w:val="nil"/>
            </w:tcBorders>
            <w:shd w:val="clear" w:color="000000" w:fill="005CA9"/>
            <w:vAlign w:val="center"/>
            <w:hideMark/>
          </w:tcPr>
          <w:p w14:paraId="68FE59E6" w14:textId="77777777" w:rsidR="009E220E" w:rsidRPr="009E220E" w:rsidRDefault="009E220E" w:rsidP="009E220E">
            <w:pPr>
              <w:jc w:val="center"/>
              <w:rPr>
                <w:rFonts w:ascii="CAIXA Std Book" w:eastAsia="Times New Roman" w:hAnsi="CAIXA Std Book" w:cs="Times New Roman"/>
                <w:b/>
                <w:bCs/>
                <w:color w:val="FFFFFF"/>
                <w:sz w:val="18"/>
                <w:szCs w:val="18"/>
              </w:rPr>
            </w:pPr>
            <w:r w:rsidRPr="009E220E">
              <w:rPr>
                <w:rFonts w:ascii="CAIXA Std Book" w:eastAsia="Times New Roman" w:hAnsi="CAIXA Std Book" w:cs="Times New Roman"/>
                <w:b/>
                <w:bCs/>
                <w:color w:val="FFFFFF"/>
                <w:sz w:val="18"/>
                <w:szCs w:val="18"/>
              </w:rPr>
              <w:t>Transferência do/ para estágio 3</w:t>
            </w:r>
          </w:p>
        </w:tc>
        <w:tc>
          <w:tcPr>
            <w:tcW w:w="556" w:type="pct"/>
            <w:tcBorders>
              <w:top w:val="nil"/>
              <w:left w:val="nil"/>
              <w:bottom w:val="nil"/>
              <w:right w:val="nil"/>
            </w:tcBorders>
            <w:shd w:val="clear" w:color="000000" w:fill="005CA9"/>
            <w:vAlign w:val="center"/>
            <w:hideMark/>
          </w:tcPr>
          <w:p w14:paraId="00CBB42F" w14:textId="77777777" w:rsidR="009E220E" w:rsidRPr="009E220E" w:rsidRDefault="009E220E" w:rsidP="009E220E">
            <w:pPr>
              <w:jc w:val="center"/>
              <w:rPr>
                <w:rFonts w:ascii="CAIXA Std Book" w:eastAsia="Times New Roman" w:hAnsi="CAIXA Std Book" w:cs="Times New Roman"/>
                <w:b/>
                <w:bCs/>
                <w:color w:val="FFFFFF"/>
                <w:sz w:val="18"/>
                <w:szCs w:val="18"/>
              </w:rPr>
            </w:pPr>
            <w:r w:rsidRPr="009E220E">
              <w:rPr>
                <w:rFonts w:ascii="CAIXA Std Book" w:eastAsia="Times New Roman" w:hAnsi="CAIXA Std Book" w:cs="Times New Roman"/>
                <w:b/>
                <w:bCs/>
                <w:color w:val="FFFFFF"/>
                <w:sz w:val="18"/>
                <w:szCs w:val="18"/>
              </w:rPr>
              <w:t>Saldo em 31/12/2025</w:t>
            </w:r>
          </w:p>
        </w:tc>
      </w:tr>
      <w:tr w:rsidR="009E220E" w:rsidRPr="009E220E" w14:paraId="79DA1FD3" w14:textId="77777777" w:rsidTr="009E220E">
        <w:trPr>
          <w:trHeight w:val="255"/>
        </w:trPr>
        <w:tc>
          <w:tcPr>
            <w:tcW w:w="2140" w:type="pct"/>
            <w:tcBorders>
              <w:top w:val="nil"/>
              <w:left w:val="nil"/>
              <w:bottom w:val="single" w:sz="8" w:space="0" w:color="FFFFFF"/>
              <w:right w:val="nil"/>
            </w:tcBorders>
            <w:shd w:val="clear" w:color="000000" w:fill="FFFFFF"/>
            <w:noWrap/>
            <w:vAlign w:val="center"/>
            <w:hideMark/>
          </w:tcPr>
          <w:p w14:paraId="3089DF0F" w14:textId="77777777" w:rsidR="009E220E" w:rsidRPr="009E220E" w:rsidRDefault="009E220E" w:rsidP="009E220E">
            <w:pPr>
              <w:rPr>
                <w:rFonts w:ascii="CAIXA Std Book" w:eastAsia="Times New Roman" w:hAnsi="CAIXA Std Book" w:cs="Times New Roman"/>
                <w:color w:val="005CA9"/>
                <w:sz w:val="18"/>
                <w:szCs w:val="18"/>
              </w:rPr>
            </w:pPr>
            <w:r w:rsidRPr="009E220E">
              <w:rPr>
                <w:rFonts w:ascii="CAIXA Std Book" w:eastAsia="Times New Roman" w:hAnsi="CAIXA Std Book" w:cs="Times New Roman"/>
                <w:color w:val="005CA9"/>
                <w:sz w:val="18"/>
                <w:szCs w:val="18"/>
              </w:rPr>
              <w:t>Títulos públicos federais brasileiros</w:t>
            </w:r>
          </w:p>
        </w:tc>
        <w:tc>
          <w:tcPr>
            <w:tcW w:w="486" w:type="pct"/>
            <w:tcBorders>
              <w:top w:val="nil"/>
              <w:left w:val="nil"/>
              <w:bottom w:val="single" w:sz="8" w:space="0" w:color="FFFFFF"/>
              <w:right w:val="nil"/>
            </w:tcBorders>
            <w:noWrap/>
            <w:vAlign w:val="center"/>
            <w:hideMark/>
          </w:tcPr>
          <w:p w14:paraId="343F1462" w14:textId="77777777" w:rsidR="009E220E" w:rsidRPr="009E220E" w:rsidRDefault="009E220E" w:rsidP="009E220E">
            <w:pPr>
              <w:jc w:val="right"/>
              <w:rPr>
                <w:rFonts w:ascii="CAIXA Std Book" w:eastAsia="Times New Roman" w:hAnsi="CAIXA Std Book" w:cs="Times New Roman"/>
                <w:color w:val="005CA9"/>
                <w:sz w:val="18"/>
                <w:szCs w:val="18"/>
              </w:rPr>
            </w:pPr>
            <w:r w:rsidRPr="009E220E">
              <w:rPr>
                <w:rFonts w:ascii="CAIXA Std Book" w:eastAsia="Times New Roman" w:hAnsi="CAIXA Std Book" w:cs="Times New Roman"/>
                <w:color w:val="005CA9"/>
                <w:sz w:val="18"/>
                <w:szCs w:val="18"/>
              </w:rPr>
              <w:t>120.920.014</w:t>
            </w:r>
          </w:p>
        </w:tc>
        <w:tc>
          <w:tcPr>
            <w:tcW w:w="632" w:type="pct"/>
            <w:tcBorders>
              <w:top w:val="nil"/>
              <w:left w:val="nil"/>
              <w:bottom w:val="single" w:sz="8" w:space="0" w:color="FFFFFF"/>
              <w:right w:val="nil"/>
            </w:tcBorders>
            <w:noWrap/>
            <w:vAlign w:val="center"/>
            <w:hideMark/>
          </w:tcPr>
          <w:p w14:paraId="72FDD232" w14:textId="77777777" w:rsidR="009E220E" w:rsidRPr="009E220E" w:rsidRDefault="009E220E" w:rsidP="009E220E">
            <w:pPr>
              <w:jc w:val="right"/>
              <w:rPr>
                <w:rFonts w:ascii="CAIXA Std Book" w:eastAsia="Times New Roman" w:hAnsi="CAIXA Std Book" w:cs="Times New Roman"/>
                <w:color w:val="005CA9"/>
                <w:sz w:val="18"/>
                <w:szCs w:val="18"/>
              </w:rPr>
            </w:pPr>
            <w:r w:rsidRPr="009E220E">
              <w:rPr>
                <w:rFonts w:ascii="CAIXA Std Book" w:eastAsia="Times New Roman" w:hAnsi="CAIXA Std Book" w:cs="Arial"/>
                <w:color w:val="005CA9"/>
                <w:sz w:val="18"/>
                <w:szCs w:val="18"/>
              </w:rPr>
              <w:t>31.278.231</w:t>
            </w:r>
          </w:p>
        </w:tc>
        <w:tc>
          <w:tcPr>
            <w:tcW w:w="584" w:type="pct"/>
            <w:tcBorders>
              <w:top w:val="nil"/>
              <w:left w:val="nil"/>
              <w:bottom w:val="single" w:sz="8" w:space="0" w:color="FFFFFF"/>
              <w:right w:val="nil"/>
            </w:tcBorders>
            <w:noWrap/>
            <w:vAlign w:val="center"/>
            <w:hideMark/>
          </w:tcPr>
          <w:p w14:paraId="0E75C184" w14:textId="77777777" w:rsidR="009E220E" w:rsidRPr="009E220E" w:rsidRDefault="009E220E" w:rsidP="009E220E">
            <w:pPr>
              <w:jc w:val="center"/>
              <w:rPr>
                <w:rFonts w:ascii="CAIXA Std Book" w:eastAsia="Times New Roman" w:hAnsi="CAIXA Std Book" w:cs="Times New Roman"/>
                <w:color w:val="005CA9"/>
                <w:sz w:val="18"/>
                <w:szCs w:val="18"/>
              </w:rPr>
            </w:pPr>
            <w:r w:rsidRPr="009E220E">
              <w:rPr>
                <w:rFonts w:ascii="CAIXA Std Book" w:eastAsia="Times New Roman" w:hAnsi="CAIXA Std Book" w:cs="Arial"/>
                <w:color w:val="005CA9"/>
                <w:sz w:val="18"/>
                <w:szCs w:val="18"/>
              </w:rPr>
              <w:t>-</w:t>
            </w:r>
          </w:p>
        </w:tc>
        <w:tc>
          <w:tcPr>
            <w:tcW w:w="602" w:type="pct"/>
            <w:tcBorders>
              <w:top w:val="nil"/>
              <w:left w:val="nil"/>
              <w:bottom w:val="single" w:sz="8" w:space="0" w:color="FFFFFF"/>
              <w:right w:val="nil"/>
            </w:tcBorders>
            <w:noWrap/>
            <w:vAlign w:val="center"/>
            <w:hideMark/>
          </w:tcPr>
          <w:p w14:paraId="568D8BB1" w14:textId="77777777" w:rsidR="009E220E" w:rsidRPr="009E220E" w:rsidRDefault="009E220E" w:rsidP="009E220E">
            <w:pPr>
              <w:jc w:val="center"/>
              <w:rPr>
                <w:rFonts w:ascii="CAIXA Std Book" w:eastAsia="Times New Roman" w:hAnsi="CAIXA Std Book" w:cs="Times New Roman"/>
                <w:color w:val="005CA9"/>
                <w:sz w:val="18"/>
                <w:szCs w:val="18"/>
              </w:rPr>
            </w:pPr>
            <w:r w:rsidRPr="009E220E">
              <w:rPr>
                <w:rFonts w:ascii="CAIXA Std Book" w:eastAsia="Times New Roman" w:hAnsi="CAIXA Std Book" w:cs="Arial"/>
                <w:color w:val="005CA9"/>
                <w:sz w:val="18"/>
                <w:szCs w:val="18"/>
              </w:rPr>
              <w:t>-</w:t>
            </w:r>
          </w:p>
        </w:tc>
        <w:tc>
          <w:tcPr>
            <w:tcW w:w="556" w:type="pct"/>
            <w:tcBorders>
              <w:top w:val="nil"/>
              <w:left w:val="nil"/>
              <w:bottom w:val="single" w:sz="8" w:space="0" w:color="FFFFFF"/>
              <w:right w:val="nil"/>
            </w:tcBorders>
            <w:noWrap/>
            <w:vAlign w:val="center"/>
            <w:hideMark/>
          </w:tcPr>
          <w:p w14:paraId="0F34DB9F" w14:textId="77777777" w:rsidR="009E220E" w:rsidRPr="009E220E" w:rsidRDefault="009E220E" w:rsidP="009E220E">
            <w:pPr>
              <w:jc w:val="right"/>
              <w:rPr>
                <w:rFonts w:ascii="CAIXA Std Book" w:eastAsia="Times New Roman" w:hAnsi="CAIXA Std Book" w:cs="Times New Roman"/>
                <w:color w:val="005CA9"/>
                <w:sz w:val="18"/>
                <w:szCs w:val="18"/>
              </w:rPr>
            </w:pPr>
            <w:r w:rsidRPr="009E220E">
              <w:rPr>
                <w:rFonts w:ascii="CAIXA Std Book" w:eastAsia="Times New Roman" w:hAnsi="CAIXA Std Book" w:cs="Arial"/>
                <w:color w:val="005CA9"/>
                <w:sz w:val="18"/>
                <w:szCs w:val="18"/>
              </w:rPr>
              <w:t>152.198.245</w:t>
            </w:r>
          </w:p>
        </w:tc>
      </w:tr>
      <w:tr w:rsidR="009E220E" w:rsidRPr="009E220E" w14:paraId="16B2D9AE" w14:textId="77777777" w:rsidTr="009E220E">
        <w:trPr>
          <w:trHeight w:val="255"/>
        </w:trPr>
        <w:tc>
          <w:tcPr>
            <w:tcW w:w="2140" w:type="pct"/>
            <w:tcBorders>
              <w:top w:val="nil"/>
              <w:left w:val="nil"/>
              <w:bottom w:val="single" w:sz="8" w:space="0" w:color="FFFFFF"/>
              <w:right w:val="nil"/>
            </w:tcBorders>
            <w:shd w:val="clear" w:color="000000" w:fill="FFFFFF"/>
            <w:noWrap/>
            <w:vAlign w:val="center"/>
            <w:hideMark/>
          </w:tcPr>
          <w:p w14:paraId="4003E347" w14:textId="77777777" w:rsidR="009E220E" w:rsidRPr="009E220E" w:rsidRDefault="009E220E" w:rsidP="009E220E">
            <w:pPr>
              <w:rPr>
                <w:rFonts w:ascii="CAIXA Std Book" w:eastAsia="Times New Roman" w:hAnsi="CAIXA Std Book" w:cs="Times New Roman"/>
                <w:color w:val="005CA9"/>
                <w:sz w:val="18"/>
                <w:szCs w:val="18"/>
              </w:rPr>
            </w:pPr>
            <w:r w:rsidRPr="009E220E">
              <w:rPr>
                <w:rFonts w:ascii="CAIXA Std Book" w:eastAsia="Times New Roman" w:hAnsi="CAIXA Std Book" w:cs="Times New Roman"/>
                <w:color w:val="005CA9"/>
                <w:sz w:val="18"/>
                <w:szCs w:val="18"/>
              </w:rPr>
              <w:t>Títulos privados de instituições financeiras</w:t>
            </w:r>
          </w:p>
        </w:tc>
        <w:tc>
          <w:tcPr>
            <w:tcW w:w="486" w:type="pct"/>
            <w:tcBorders>
              <w:top w:val="nil"/>
              <w:left w:val="nil"/>
              <w:bottom w:val="single" w:sz="8" w:space="0" w:color="FFFFFF"/>
              <w:right w:val="nil"/>
            </w:tcBorders>
            <w:noWrap/>
            <w:vAlign w:val="center"/>
            <w:hideMark/>
          </w:tcPr>
          <w:p w14:paraId="7032FDEC" w14:textId="77777777" w:rsidR="009E220E" w:rsidRPr="009E220E" w:rsidRDefault="009E220E" w:rsidP="009E220E">
            <w:pPr>
              <w:jc w:val="center"/>
              <w:rPr>
                <w:rFonts w:ascii="CAIXA Std Book" w:eastAsia="Times New Roman" w:hAnsi="CAIXA Std Book" w:cs="Times New Roman"/>
                <w:color w:val="005CA9"/>
                <w:sz w:val="18"/>
                <w:szCs w:val="18"/>
              </w:rPr>
            </w:pPr>
            <w:r w:rsidRPr="009E220E">
              <w:rPr>
                <w:rFonts w:ascii="CAIXA Std Book" w:eastAsia="Times New Roman" w:hAnsi="CAIXA Std Book" w:cs="Times New Roman"/>
                <w:color w:val="005CA9"/>
                <w:sz w:val="18"/>
                <w:szCs w:val="18"/>
              </w:rPr>
              <w:t>-</w:t>
            </w:r>
          </w:p>
        </w:tc>
        <w:tc>
          <w:tcPr>
            <w:tcW w:w="632" w:type="pct"/>
            <w:tcBorders>
              <w:top w:val="nil"/>
              <w:left w:val="nil"/>
              <w:bottom w:val="single" w:sz="8" w:space="0" w:color="FFFFFF"/>
              <w:right w:val="nil"/>
            </w:tcBorders>
            <w:noWrap/>
            <w:vAlign w:val="center"/>
            <w:hideMark/>
          </w:tcPr>
          <w:p w14:paraId="6F442C7C" w14:textId="77777777" w:rsidR="009E220E" w:rsidRPr="009E220E" w:rsidRDefault="009E220E" w:rsidP="009E220E">
            <w:pPr>
              <w:jc w:val="right"/>
              <w:rPr>
                <w:rFonts w:ascii="CAIXA Std Book" w:eastAsia="Times New Roman" w:hAnsi="CAIXA Std Book" w:cs="Times New Roman"/>
                <w:color w:val="005CA9"/>
                <w:sz w:val="18"/>
                <w:szCs w:val="18"/>
              </w:rPr>
            </w:pPr>
            <w:r w:rsidRPr="009E220E">
              <w:rPr>
                <w:rFonts w:ascii="CAIXA Std Book" w:eastAsia="Times New Roman" w:hAnsi="CAIXA Std Book" w:cs="Arial"/>
                <w:color w:val="005CA9"/>
                <w:sz w:val="18"/>
                <w:szCs w:val="18"/>
              </w:rPr>
              <w:t>162.163</w:t>
            </w:r>
          </w:p>
        </w:tc>
        <w:tc>
          <w:tcPr>
            <w:tcW w:w="584" w:type="pct"/>
            <w:tcBorders>
              <w:top w:val="nil"/>
              <w:left w:val="nil"/>
              <w:bottom w:val="single" w:sz="8" w:space="0" w:color="FFFFFF"/>
              <w:right w:val="nil"/>
            </w:tcBorders>
            <w:noWrap/>
            <w:vAlign w:val="center"/>
            <w:hideMark/>
          </w:tcPr>
          <w:p w14:paraId="256B84AA" w14:textId="77777777" w:rsidR="009E220E" w:rsidRPr="009E220E" w:rsidRDefault="009E220E" w:rsidP="009E220E">
            <w:pPr>
              <w:jc w:val="center"/>
              <w:rPr>
                <w:rFonts w:ascii="CAIXA Std Book" w:eastAsia="Times New Roman" w:hAnsi="CAIXA Std Book" w:cs="Times New Roman"/>
                <w:color w:val="005CA9"/>
                <w:sz w:val="18"/>
                <w:szCs w:val="18"/>
              </w:rPr>
            </w:pPr>
            <w:r w:rsidRPr="009E220E">
              <w:rPr>
                <w:rFonts w:ascii="CAIXA Std Book" w:eastAsia="Times New Roman" w:hAnsi="CAIXA Std Book" w:cs="Arial"/>
                <w:color w:val="005CA9"/>
                <w:sz w:val="18"/>
                <w:szCs w:val="18"/>
              </w:rPr>
              <w:t>-</w:t>
            </w:r>
          </w:p>
        </w:tc>
        <w:tc>
          <w:tcPr>
            <w:tcW w:w="602" w:type="pct"/>
            <w:tcBorders>
              <w:top w:val="nil"/>
              <w:left w:val="nil"/>
              <w:bottom w:val="single" w:sz="8" w:space="0" w:color="FFFFFF"/>
              <w:right w:val="nil"/>
            </w:tcBorders>
            <w:noWrap/>
            <w:vAlign w:val="center"/>
            <w:hideMark/>
          </w:tcPr>
          <w:p w14:paraId="28CD2BBA" w14:textId="77777777" w:rsidR="009E220E" w:rsidRPr="009E220E" w:rsidRDefault="009E220E" w:rsidP="009E220E">
            <w:pPr>
              <w:jc w:val="center"/>
              <w:rPr>
                <w:rFonts w:ascii="CAIXA Std Book" w:eastAsia="Times New Roman" w:hAnsi="CAIXA Std Book" w:cs="Times New Roman"/>
                <w:color w:val="005CA9"/>
                <w:sz w:val="18"/>
                <w:szCs w:val="18"/>
              </w:rPr>
            </w:pPr>
            <w:r w:rsidRPr="009E220E">
              <w:rPr>
                <w:rFonts w:ascii="CAIXA Std Book" w:eastAsia="Times New Roman" w:hAnsi="CAIXA Std Book" w:cs="Arial"/>
                <w:color w:val="005CA9"/>
                <w:sz w:val="18"/>
                <w:szCs w:val="18"/>
              </w:rPr>
              <w:t>-</w:t>
            </w:r>
          </w:p>
        </w:tc>
        <w:tc>
          <w:tcPr>
            <w:tcW w:w="556" w:type="pct"/>
            <w:tcBorders>
              <w:top w:val="nil"/>
              <w:left w:val="nil"/>
              <w:bottom w:val="single" w:sz="8" w:space="0" w:color="FFFFFF"/>
              <w:right w:val="nil"/>
            </w:tcBorders>
            <w:noWrap/>
            <w:vAlign w:val="center"/>
            <w:hideMark/>
          </w:tcPr>
          <w:p w14:paraId="62133A5D" w14:textId="77777777" w:rsidR="009E220E" w:rsidRPr="009E220E" w:rsidRDefault="009E220E" w:rsidP="009E220E">
            <w:pPr>
              <w:jc w:val="right"/>
              <w:rPr>
                <w:rFonts w:ascii="CAIXA Std Book" w:eastAsia="Times New Roman" w:hAnsi="CAIXA Std Book" w:cs="Times New Roman"/>
                <w:color w:val="005CA9"/>
                <w:sz w:val="18"/>
                <w:szCs w:val="18"/>
              </w:rPr>
            </w:pPr>
            <w:r w:rsidRPr="009E220E">
              <w:rPr>
                <w:rFonts w:ascii="CAIXA Std Book" w:eastAsia="Times New Roman" w:hAnsi="CAIXA Std Book" w:cs="Arial"/>
                <w:color w:val="005CA9"/>
                <w:sz w:val="18"/>
                <w:szCs w:val="18"/>
              </w:rPr>
              <w:t>162.163</w:t>
            </w:r>
          </w:p>
        </w:tc>
      </w:tr>
      <w:tr w:rsidR="009E220E" w:rsidRPr="009E220E" w14:paraId="3F63A1F0" w14:textId="77777777" w:rsidTr="009E220E">
        <w:trPr>
          <w:trHeight w:val="255"/>
        </w:trPr>
        <w:tc>
          <w:tcPr>
            <w:tcW w:w="2140" w:type="pct"/>
            <w:tcBorders>
              <w:top w:val="nil"/>
              <w:left w:val="nil"/>
              <w:bottom w:val="single" w:sz="8" w:space="0" w:color="FFFFFF"/>
              <w:right w:val="nil"/>
            </w:tcBorders>
            <w:shd w:val="clear" w:color="000000" w:fill="FFFFFF"/>
            <w:noWrap/>
            <w:vAlign w:val="center"/>
            <w:hideMark/>
          </w:tcPr>
          <w:p w14:paraId="66559E28" w14:textId="77777777" w:rsidR="009E220E" w:rsidRPr="009E220E" w:rsidRDefault="009E220E" w:rsidP="009E220E">
            <w:pPr>
              <w:rPr>
                <w:rFonts w:ascii="CAIXA Std Book" w:eastAsia="Times New Roman" w:hAnsi="CAIXA Std Book" w:cs="Times New Roman"/>
                <w:color w:val="005CA9"/>
                <w:sz w:val="18"/>
                <w:szCs w:val="18"/>
              </w:rPr>
            </w:pPr>
            <w:r w:rsidRPr="009E220E">
              <w:rPr>
                <w:rFonts w:ascii="CAIXA Std Book" w:eastAsia="Times New Roman" w:hAnsi="CAIXA Std Book" w:cs="Times New Roman"/>
                <w:color w:val="005CA9"/>
                <w:sz w:val="18"/>
                <w:szCs w:val="18"/>
              </w:rPr>
              <w:t>Títulos privados de entidades não financeiras</w:t>
            </w:r>
          </w:p>
        </w:tc>
        <w:tc>
          <w:tcPr>
            <w:tcW w:w="486" w:type="pct"/>
            <w:tcBorders>
              <w:top w:val="nil"/>
              <w:left w:val="nil"/>
              <w:bottom w:val="single" w:sz="8" w:space="0" w:color="FFFFFF"/>
              <w:right w:val="nil"/>
            </w:tcBorders>
            <w:noWrap/>
            <w:vAlign w:val="center"/>
            <w:hideMark/>
          </w:tcPr>
          <w:p w14:paraId="7DA15C57" w14:textId="77777777" w:rsidR="009E220E" w:rsidRPr="009E220E" w:rsidRDefault="009E220E" w:rsidP="009E220E">
            <w:pPr>
              <w:jc w:val="right"/>
              <w:rPr>
                <w:rFonts w:ascii="CAIXA Std Book" w:eastAsia="Times New Roman" w:hAnsi="CAIXA Std Book" w:cs="Times New Roman"/>
                <w:color w:val="005CA9"/>
                <w:sz w:val="18"/>
                <w:szCs w:val="18"/>
              </w:rPr>
            </w:pPr>
            <w:r w:rsidRPr="009E220E">
              <w:rPr>
                <w:rFonts w:ascii="CAIXA Std Book" w:eastAsia="Times New Roman" w:hAnsi="CAIXA Std Book" w:cs="Times New Roman"/>
                <w:color w:val="005CA9"/>
                <w:sz w:val="18"/>
                <w:szCs w:val="18"/>
              </w:rPr>
              <w:t>448.694</w:t>
            </w:r>
          </w:p>
        </w:tc>
        <w:tc>
          <w:tcPr>
            <w:tcW w:w="632" w:type="pct"/>
            <w:tcBorders>
              <w:top w:val="nil"/>
              <w:left w:val="nil"/>
              <w:bottom w:val="single" w:sz="8" w:space="0" w:color="FFFFFF"/>
              <w:right w:val="nil"/>
            </w:tcBorders>
            <w:noWrap/>
            <w:vAlign w:val="center"/>
            <w:hideMark/>
          </w:tcPr>
          <w:p w14:paraId="32606074" w14:textId="77777777" w:rsidR="009E220E" w:rsidRPr="009E220E" w:rsidRDefault="009E220E" w:rsidP="009E220E">
            <w:pPr>
              <w:jc w:val="right"/>
              <w:rPr>
                <w:rFonts w:ascii="CAIXA Std Book" w:eastAsia="Times New Roman" w:hAnsi="CAIXA Std Book" w:cs="Times New Roman"/>
                <w:color w:val="005CA9"/>
                <w:sz w:val="18"/>
                <w:szCs w:val="18"/>
              </w:rPr>
            </w:pPr>
            <w:r w:rsidRPr="009E220E">
              <w:rPr>
                <w:rFonts w:ascii="CAIXA Std Book" w:eastAsia="Times New Roman" w:hAnsi="CAIXA Std Book" w:cs="Arial"/>
                <w:color w:val="005CA9"/>
                <w:sz w:val="18"/>
                <w:szCs w:val="18"/>
              </w:rPr>
              <w:t>2.772.782</w:t>
            </w:r>
          </w:p>
        </w:tc>
        <w:tc>
          <w:tcPr>
            <w:tcW w:w="584" w:type="pct"/>
            <w:tcBorders>
              <w:top w:val="nil"/>
              <w:left w:val="nil"/>
              <w:bottom w:val="single" w:sz="8" w:space="0" w:color="FFFFFF"/>
              <w:right w:val="nil"/>
            </w:tcBorders>
            <w:noWrap/>
            <w:vAlign w:val="center"/>
            <w:hideMark/>
          </w:tcPr>
          <w:p w14:paraId="36611CE1" w14:textId="77777777" w:rsidR="009E220E" w:rsidRPr="009E220E" w:rsidRDefault="009E220E" w:rsidP="009E220E">
            <w:pPr>
              <w:jc w:val="center"/>
              <w:rPr>
                <w:rFonts w:ascii="CAIXA Std Book" w:eastAsia="Times New Roman" w:hAnsi="CAIXA Std Book" w:cs="Times New Roman"/>
                <w:color w:val="005CA9"/>
                <w:sz w:val="18"/>
                <w:szCs w:val="18"/>
              </w:rPr>
            </w:pPr>
            <w:r w:rsidRPr="009E220E">
              <w:rPr>
                <w:rFonts w:ascii="CAIXA Std Book" w:eastAsia="Times New Roman" w:hAnsi="CAIXA Std Book" w:cs="Arial"/>
                <w:color w:val="005CA9"/>
                <w:sz w:val="18"/>
                <w:szCs w:val="18"/>
              </w:rPr>
              <w:t>-</w:t>
            </w:r>
          </w:p>
        </w:tc>
        <w:tc>
          <w:tcPr>
            <w:tcW w:w="602" w:type="pct"/>
            <w:tcBorders>
              <w:top w:val="nil"/>
              <w:left w:val="nil"/>
              <w:bottom w:val="single" w:sz="8" w:space="0" w:color="FFFFFF"/>
              <w:right w:val="nil"/>
            </w:tcBorders>
            <w:noWrap/>
            <w:vAlign w:val="center"/>
            <w:hideMark/>
          </w:tcPr>
          <w:p w14:paraId="469DBC4E" w14:textId="77777777" w:rsidR="009E220E" w:rsidRPr="009E220E" w:rsidRDefault="009E220E" w:rsidP="009E220E">
            <w:pPr>
              <w:jc w:val="right"/>
              <w:rPr>
                <w:rFonts w:ascii="CAIXA Std Book" w:eastAsia="Times New Roman" w:hAnsi="CAIXA Std Book" w:cs="Times New Roman"/>
                <w:color w:val="005CA9"/>
                <w:sz w:val="18"/>
                <w:szCs w:val="18"/>
              </w:rPr>
            </w:pPr>
            <w:r w:rsidRPr="009E220E">
              <w:rPr>
                <w:rFonts w:ascii="CAIXA Std Book" w:eastAsia="Times New Roman" w:hAnsi="CAIXA Std Book" w:cs="Arial"/>
                <w:color w:val="005CA9"/>
                <w:sz w:val="18"/>
                <w:szCs w:val="18"/>
              </w:rPr>
              <w:t>36.996</w:t>
            </w:r>
          </w:p>
        </w:tc>
        <w:tc>
          <w:tcPr>
            <w:tcW w:w="556" w:type="pct"/>
            <w:tcBorders>
              <w:top w:val="nil"/>
              <w:left w:val="nil"/>
              <w:bottom w:val="single" w:sz="8" w:space="0" w:color="FFFFFF"/>
              <w:right w:val="nil"/>
            </w:tcBorders>
            <w:noWrap/>
            <w:vAlign w:val="center"/>
            <w:hideMark/>
          </w:tcPr>
          <w:p w14:paraId="2C4DCAA3" w14:textId="77777777" w:rsidR="009E220E" w:rsidRPr="009E220E" w:rsidRDefault="009E220E" w:rsidP="009E220E">
            <w:pPr>
              <w:jc w:val="right"/>
              <w:rPr>
                <w:rFonts w:ascii="CAIXA Std Book" w:eastAsia="Times New Roman" w:hAnsi="CAIXA Std Book" w:cs="Times New Roman"/>
                <w:color w:val="005CA9"/>
                <w:sz w:val="18"/>
                <w:szCs w:val="18"/>
              </w:rPr>
            </w:pPr>
            <w:r w:rsidRPr="009E220E">
              <w:rPr>
                <w:rFonts w:ascii="CAIXA Std Book" w:eastAsia="Times New Roman" w:hAnsi="CAIXA Std Book" w:cs="Arial"/>
                <w:color w:val="005CA9"/>
                <w:sz w:val="18"/>
                <w:szCs w:val="18"/>
              </w:rPr>
              <w:t>3.258.472</w:t>
            </w:r>
          </w:p>
        </w:tc>
      </w:tr>
      <w:tr w:rsidR="009E220E" w:rsidRPr="009E220E" w14:paraId="45BBC078" w14:textId="77777777" w:rsidTr="009E220E">
        <w:trPr>
          <w:trHeight w:val="255"/>
        </w:trPr>
        <w:tc>
          <w:tcPr>
            <w:tcW w:w="2140" w:type="pct"/>
            <w:tcBorders>
              <w:top w:val="nil"/>
              <w:left w:val="nil"/>
              <w:bottom w:val="single" w:sz="8" w:space="0" w:color="FFFFFF"/>
              <w:right w:val="nil"/>
            </w:tcBorders>
            <w:shd w:val="clear" w:color="000000" w:fill="FFFFFF"/>
            <w:noWrap/>
            <w:vAlign w:val="center"/>
            <w:hideMark/>
          </w:tcPr>
          <w:p w14:paraId="6C483C0B" w14:textId="77777777" w:rsidR="009E220E" w:rsidRPr="009E220E" w:rsidRDefault="009E220E" w:rsidP="009E220E">
            <w:pPr>
              <w:rPr>
                <w:rFonts w:ascii="CAIXA Std Book" w:eastAsia="Times New Roman" w:hAnsi="CAIXA Std Book" w:cs="Times New Roman"/>
                <w:color w:val="005CA9"/>
                <w:sz w:val="18"/>
                <w:szCs w:val="18"/>
              </w:rPr>
            </w:pPr>
            <w:r w:rsidRPr="009E220E">
              <w:rPr>
                <w:rFonts w:ascii="CAIXA Std Book" w:eastAsia="Times New Roman" w:hAnsi="CAIXA Std Book" w:cs="Times New Roman"/>
                <w:color w:val="005CA9"/>
                <w:sz w:val="18"/>
                <w:szCs w:val="18"/>
              </w:rPr>
              <w:t xml:space="preserve">Cotas de fundo de investimento </w:t>
            </w:r>
          </w:p>
        </w:tc>
        <w:tc>
          <w:tcPr>
            <w:tcW w:w="486" w:type="pct"/>
            <w:tcBorders>
              <w:top w:val="nil"/>
              <w:left w:val="nil"/>
              <w:bottom w:val="single" w:sz="8" w:space="0" w:color="FFFFFF"/>
              <w:right w:val="nil"/>
            </w:tcBorders>
            <w:noWrap/>
            <w:vAlign w:val="center"/>
            <w:hideMark/>
          </w:tcPr>
          <w:p w14:paraId="2A345341" w14:textId="77777777" w:rsidR="009E220E" w:rsidRPr="009E220E" w:rsidRDefault="009E220E" w:rsidP="009E220E">
            <w:pPr>
              <w:jc w:val="center"/>
              <w:rPr>
                <w:rFonts w:ascii="CAIXA Std Book" w:eastAsia="Times New Roman" w:hAnsi="CAIXA Std Book" w:cs="Times New Roman"/>
                <w:color w:val="005CA9"/>
                <w:sz w:val="18"/>
                <w:szCs w:val="18"/>
              </w:rPr>
            </w:pPr>
            <w:r w:rsidRPr="009E220E">
              <w:rPr>
                <w:rFonts w:ascii="CAIXA Std Book" w:eastAsia="Times New Roman" w:hAnsi="CAIXA Std Book" w:cs="Times New Roman"/>
                <w:color w:val="005CA9"/>
                <w:sz w:val="18"/>
                <w:szCs w:val="18"/>
              </w:rPr>
              <w:t>-</w:t>
            </w:r>
          </w:p>
        </w:tc>
        <w:tc>
          <w:tcPr>
            <w:tcW w:w="632" w:type="pct"/>
            <w:tcBorders>
              <w:top w:val="nil"/>
              <w:left w:val="nil"/>
              <w:bottom w:val="single" w:sz="8" w:space="0" w:color="FFFFFF"/>
              <w:right w:val="nil"/>
            </w:tcBorders>
            <w:noWrap/>
            <w:vAlign w:val="center"/>
            <w:hideMark/>
          </w:tcPr>
          <w:p w14:paraId="346AB5C3" w14:textId="77777777" w:rsidR="009E220E" w:rsidRPr="009E220E" w:rsidRDefault="009E220E" w:rsidP="009E220E">
            <w:pPr>
              <w:jc w:val="right"/>
              <w:rPr>
                <w:rFonts w:ascii="CAIXA Std Book" w:eastAsia="Times New Roman" w:hAnsi="CAIXA Std Book" w:cs="Times New Roman"/>
                <w:color w:val="005CA9"/>
                <w:sz w:val="18"/>
                <w:szCs w:val="18"/>
              </w:rPr>
            </w:pPr>
            <w:r w:rsidRPr="009E220E">
              <w:rPr>
                <w:rFonts w:ascii="CAIXA Std Book" w:eastAsia="Times New Roman" w:hAnsi="CAIXA Std Book" w:cs="Arial"/>
                <w:color w:val="005CA9"/>
                <w:sz w:val="18"/>
                <w:szCs w:val="18"/>
              </w:rPr>
              <w:t>130.000</w:t>
            </w:r>
          </w:p>
        </w:tc>
        <w:tc>
          <w:tcPr>
            <w:tcW w:w="584" w:type="pct"/>
            <w:tcBorders>
              <w:top w:val="nil"/>
              <w:left w:val="nil"/>
              <w:bottom w:val="single" w:sz="8" w:space="0" w:color="FFFFFF"/>
              <w:right w:val="nil"/>
            </w:tcBorders>
            <w:noWrap/>
            <w:vAlign w:val="center"/>
            <w:hideMark/>
          </w:tcPr>
          <w:p w14:paraId="7CCBC8D0" w14:textId="77777777" w:rsidR="009E220E" w:rsidRPr="009E220E" w:rsidRDefault="009E220E" w:rsidP="009E220E">
            <w:pPr>
              <w:jc w:val="center"/>
              <w:rPr>
                <w:rFonts w:ascii="CAIXA Std Book" w:eastAsia="Times New Roman" w:hAnsi="CAIXA Std Book" w:cs="Times New Roman"/>
                <w:color w:val="005CA9"/>
                <w:sz w:val="18"/>
                <w:szCs w:val="18"/>
              </w:rPr>
            </w:pPr>
            <w:r w:rsidRPr="009E220E">
              <w:rPr>
                <w:rFonts w:ascii="CAIXA Std Book" w:eastAsia="Times New Roman" w:hAnsi="CAIXA Std Book" w:cs="Arial"/>
                <w:color w:val="005CA9"/>
                <w:sz w:val="18"/>
                <w:szCs w:val="18"/>
              </w:rPr>
              <w:t>-</w:t>
            </w:r>
          </w:p>
        </w:tc>
        <w:tc>
          <w:tcPr>
            <w:tcW w:w="602" w:type="pct"/>
            <w:tcBorders>
              <w:top w:val="nil"/>
              <w:left w:val="nil"/>
              <w:bottom w:val="single" w:sz="8" w:space="0" w:color="FFFFFF"/>
              <w:right w:val="nil"/>
            </w:tcBorders>
            <w:noWrap/>
            <w:vAlign w:val="center"/>
            <w:hideMark/>
          </w:tcPr>
          <w:p w14:paraId="30E3BEA3" w14:textId="77777777" w:rsidR="009E220E" w:rsidRPr="009E220E" w:rsidRDefault="009E220E" w:rsidP="009E220E">
            <w:pPr>
              <w:jc w:val="center"/>
              <w:rPr>
                <w:rFonts w:ascii="CAIXA Std Book" w:eastAsia="Times New Roman" w:hAnsi="CAIXA Std Book" w:cs="Times New Roman"/>
                <w:color w:val="005CA9"/>
                <w:sz w:val="18"/>
                <w:szCs w:val="18"/>
              </w:rPr>
            </w:pPr>
            <w:r w:rsidRPr="009E220E">
              <w:rPr>
                <w:rFonts w:ascii="CAIXA Std Book" w:eastAsia="Times New Roman" w:hAnsi="CAIXA Std Book" w:cs="Arial"/>
                <w:color w:val="005CA9"/>
                <w:sz w:val="18"/>
                <w:szCs w:val="18"/>
              </w:rPr>
              <w:t>-</w:t>
            </w:r>
          </w:p>
        </w:tc>
        <w:tc>
          <w:tcPr>
            <w:tcW w:w="556" w:type="pct"/>
            <w:tcBorders>
              <w:top w:val="nil"/>
              <w:left w:val="nil"/>
              <w:bottom w:val="single" w:sz="8" w:space="0" w:color="FFFFFF"/>
              <w:right w:val="nil"/>
            </w:tcBorders>
            <w:noWrap/>
            <w:vAlign w:val="center"/>
            <w:hideMark/>
          </w:tcPr>
          <w:p w14:paraId="2C153C6C" w14:textId="77777777" w:rsidR="009E220E" w:rsidRPr="009E220E" w:rsidRDefault="009E220E" w:rsidP="009E220E">
            <w:pPr>
              <w:jc w:val="right"/>
              <w:rPr>
                <w:rFonts w:ascii="CAIXA Std Book" w:eastAsia="Times New Roman" w:hAnsi="CAIXA Std Book" w:cs="Times New Roman"/>
                <w:color w:val="005CA9"/>
                <w:sz w:val="18"/>
                <w:szCs w:val="18"/>
              </w:rPr>
            </w:pPr>
            <w:r w:rsidRPr="009E220E">
              <w:rPr>
                <w:rFonts w:ascii="CAIXA Std Book" w:eastAsia="Times New Roman" w:hAnsi="CAIXA Std Book" w:cs="Arial"/>
                <w:color w:val="005CA9"/>
                <w:sz w:val="18"/>
                <w:szCs w:val="18"/>
              </w:rPr>
              <w:t>130.000</w:t>
            </w:r>
          </w:p>
        </w:tc>
      </w:tr>
      <w:tr w:rsidR="009E220E" w:rsidRPr="009E220E" w14:paraId="7BC5A2FA" w14:textId="77777777" w:rsidTr="009E220E">
        <w:trPr>
          <w:trHeight w:val="255"/>
        </w:trPr>
        <w:tc>
          <w:tcPr>
            <w:tcW w:w="2140" w:type="pct"/>
            <w:tcBorders>
              <w:top w:val="nil"/>
              <w:left w:val="nil"/>
              <w:bottom w:val="nil"/>
              <w:right w:val="nil"/>
            </w:tcBorders>
            <w:shd w:val="clear" w:color="000000" w:fill="FFFFFF"/>
            <w:noWrap/>
            <w:vAlign w:val="center"/>
            <w:hideMark/>
          </w:tcPr>
          <w:p w14:paraId="4ED38F23" w14:textId="77777777" w:rsidR="009E220E" w:rsidRPr="009E220E" w:rsidRDefault="009E220E" w:rsidP="009E220E">
            <w:pPr>
              <w:rPr>
                <w:rFonts w:ascii="CAIXA Std Book" w:eastAsia="Times New Roman" w:hAnsi="CAIXA Std Book" w:cs="Times New Roman"/>
                <w:color w:val="005CA9"/>
                <w:sz w:val="18"/>
                <w:szCs w:val="18"/>
              </w:rPr>
            </w:pPr>
            <w:r w:rsidRPr="009E220E">
              <w:rPr>
                <w:rFonts w:ascii="CAIXA Std Book" w:eastAsia="Times New Roman" w:hAnsi="CAIXA Std Book" w:cs="Times New Roman"/>
                <w:color w:val="005CA9"/>
                <w:sz w:val="18"/>
                <w:szCs w:val="18"/>
              </w:rPr>
              <w:t xml:space="preserve">Ações </w:t>
            </w:r>
          </w:p>
        </w:tc>
        <w:tc>
          <w:tcPr>
            <w:tcW w:w="486" w:type="pct"/>
            <w:tcBorders>
              <w:top w:val="nil"/>
              <w:left w:val="nil"/>
              <w:bottom w:val="nil"/>
              <w:right w:val="nil"/>
            </w:tcBorders>
            <w:noWrap/>
            <w:vAlign w:val="center"/>
            <w:hideMark/>
          </w:tcPr>
          <w:p w14:paraId="25271FDD" w14:textId="77777777" w:rsidR="009E220E" w:rsidRPr="009E220E" w:rsidRDefault="009E220E" w:rsidP="009E220E">
            <w:pPr>
              <w:jc w:val="right"/>
              <w:rPr>
                <w:rFonts w:ascii="CAIXA Std Book" w:eastAsia="Times New Roman" w:hAnsi="CAIXA Std Book" w:cs="Times New Roman"/>
                <w:color w:val="005CA9"/>
                <w:sz w:val="18"/>
                <w:szCs w:val="18"/>
              </w:rPr>
            </w:pPr>
            <w:r w:rsidRPr="009E220E">
              <w:rPr>
                <w:rFonts w:ascii="CAIXA Std Book" w:eastAsia="Times New Roman" w:hAnsi="CAIXA Std Book" w:cs="Times New Roman"/>
                <w:color w:val="005CA9"/>
                <w:sz w:val="18"/>
                <w:szCs w:val="18"/>
              </w:rPr>
              <w:t>100.448</w:t>
            </w:r>
          </w:p>
        </w:tc>
        <w:tc>
          <w:tcPr>
            <w:tcW w:w="632" w:type="pct"/>
            <w:tcBorders>
              <w:top w:val="nil"/>
              <w:left w:val="nil"/>
              <w:bottom w:val="nil"/>
              <w:right w:val="nil"/>
            </w:tcBorders>
            <w:noWrap/>
            <w:vAlign w:val="center"/>
            <w:hideMark/>
          </w:tcPr>
          <w:p w14:paraId="68FE1535" w14:textId="77777777" w:rsidR="009E220E" w:rsidRPr="009E220E" w:rsidRDefault="009E220E" w:rsidP="009E220E">
            <w:pPr>
              <w:jc w:val="right"/>
              <w:rPr>
                <w:rFonts w:ascii="CAIXA Std Book" w:eastAsia="Times New Roman" w:hAnsi="CAIXA Std Book" w:cs="Times New Roman"/>
                <w:color w:val="005CA9"/>
                <w:sz w:val="18"/>
                <w:szCs w:val="18"/>
              </w:rPr>
            </w:pPr>
            <w:r w:rsidRPr="009E220E">
              <w:rPr>
                <w:rFonts w:ascii="CAIXA Std Book" w:eastAsia="Times New Roman" w:hAnsi="CAIXA Std Book" w:cs="Arial"/>
                <w:color w:val="005CA9"/>
                <w:sz w:val="18"/>
                <w:szCs w:val="18"/>
              </w:rPr>
              <w:t>817.288</w:t>
            </w:r>
          </w:p>
        </w:tc>
        <w:tc>
          <w:tcPr>
            <w:tcW w:w="584" w:type="pct"/>
            <w:tcBorders>
              <w:top w:val="nil"/>
              <w:left w:val="nil"/>
              <w:bottom w:val="nil"/>
              <w:right w:val="nil"/>
            </w:tcBorders>
            <w:noWrap/>
            <w:vAlign w:val="center"/>
            <w:hideMark/>
          </w:tcPr>
          <w:p w14:paraId="76808DBC" w14:textId="77777777" w:rsidR="009E220E" w:rsidRPr="009E220E" w:rsidRDefault="009E220E" w:rsidP="009E220E">
            <w:pPr>
              <w:jc w:val="center"/>
              <w:rPr>
                <w:rFonts w:ascii="CAIXA Std Book" w:eastAsia="Times New Roman" w:hAnsi="CAIXA Std Book" w:cs="Times New Roman"/>
                <w:color w:val="005CA9"/>
                <w:sz w:val="18"/>
                <w:szCs w:val="18"/>
              </w:rPr>
            </w:pPr>
            <w:r w:rsidRPr="009E220E">
              <w:rPr>
                <w:rFonts w:ascii="CAIXA Std Book" w:eastAsia="Times New Roman" w:hAnsi="CAIXA Std Book" w:cs="Arial"/>
                <w:color w:val="005CA9"/>
                <w:sz w:val="18"/>
                <w:szCs w:val="18"/>
              </w:rPr>
              <w:t>-</w:t>
            </w:r>
          </w:p>
        </w:tc>
        <w:tc>
          <w:tcPr>
            <w:tcW w:w="602" w:type="pct"/>
            <w:tcBorders>
              <w:top w:val="nil"/>
              <w:left w:val="nil"/>
              <w:bottom w:val="nil"/>
              <w:right w:val="nil"/>
            </w:tcBorders>
            <w:noWrap/>
            <w:vAlign w:val="center"/>
            <w:hideMark/>
          </w:tcPr>
          <w:p w14:paraId="3CCA4C53" w14:textId="77777777" w:rsidR="009E220E" w:rsidRPr="009E220E" w:rsidRDefault="009E220E" w:rsidP="009E220E">
            <w:pPr>
              <w:jc w:val="center"/>
              <w:rPr>
                <w:rFonts w:ascii="CAIXA Std Book" w:eastAsia="Times New Roman" w:hAnsi="CAIXA Std Book" w:cs="Times New Roman"/>
                <w:color w:val="005CA9"/>
                <w:sz w:val="18"/>
                <w:szCs w:val="18"/>
              </w:rPr>
            </w:pPr>
            <w:r w:rsidRPr="009E220E">
              <w:rPr>
                <w:rFonts w:ascii="CAIXA Std Book" w:eastAsia="Times New Roman" w:hAnsi="CAIXA Std Book" w:cs="Arial"/>
                <w:color w:val="005CA9"/>
                <w:sz w:val="18"/>
                <w:szCs w:val="18"/>
              </w:rPr>
              <w:t>-</w:t>
            </w:r>
          </w:p>
        </w:tc>
        <w:tc>
          <w:tcPr>
            <w:tcW w:w="556" w:type="pct"/>
            <w:tcBorders>
              <w:top w:val="nil"/>
              <w:left w:val="nil"/>
              <w:bottom w:val="nil"/>
              <w:right w:val="nil"/>
            </w:tcBorders>
            <w:noWrap/>
            <w:vAlign w:val="center"/>
            <w:hideMark/>
          </w:tcPr>
          <w:p w14:paraId="37DEDCB3" w14:textId="77777777" w:rsidR="009E220E" w:rsidRPr="009E220E" w:rsidRDefault="009E220E" w:rsidP="009E220E">
            <w:pPr>
              <w:jc w:val="right"/>
              <w:rPr>
                <w:rFonts w:ascii="CAIXA Std Book" w:eastAsia="Times New Roman" w:hAnsi="CAIXA Std Book" w:cs="Times New Roman"/>
                <w:color w:val="005CA9"/>
                <w:sz w:val="18"/>
                <w:szCs w:val="18"/>
              </w:rPr>
            </w:pPr>
            <w:r w:rsidRPr="009E220E">
              <w:rPr>
                <w:rFonts w:ascii="CAIXA Std Book" w:eastAsia="Times New Roman" w:hAnsi="CAIXA Std Book" w:cs="Arial"/>
                <w:color w:val="005CA9"/>
                <w:sz w:val="18"/>
                <w:szCs w:val="18"/>
              </w:rPr>
              <w:t>917.736</w:t>
            </w:r>
          </w:p>
        </w:tc>
      </w:tr>
      <w:tr w:rsidR="009E220E" w:rsidRPr="009E220E" w14:paraId="56026CE2" w14:textId="77777777" w:rsidTr="009E220E">
        <w:trPr>
          <w:trHeight w:val="288"/>
        </w:trPr>
        <w:tc>
          <w:tcPr>
            <w:tcW w:w="2140" w:type="pct"/>
            <w:tcBorders>
              <w:top w:val="nil"/>
              <w:left w:val="nil"/>
              <w:bottom w:val="nil"/>
              <w:right w:val="nil"/>
            </w:tcBorders>
            <w:shd w:val="clear" w:color="000000" w:fill="005CA9"/>
            <w:noWrap/>
            <w:vAlign w:val="center"/>
            <w:hideMark/>
          </w:tcPr>
          <w:p w14:paraId="680A5CDC" w14:textId="77777777" w:rsidR="009E220E" w:rsidRPr="009E220E" w:rsidRDefault="009E220E" w:rsidP="009E220E">
            <w:pPr>
              <w:rPr>
                <w:rFonts w:ascii="CAIXA Std Book" w:eastAsia="Times New Roman" w:hAnsi="CAIXA Std Book" w:cs="Times New Roman"/>
                <w:b/>
                <w:bCs/>
                <w:color w:val="FFFFFF"/>
                <w:sz w:val="18"/>
                <w:szCs w:val="18"/>
              </w:rPr>
            </w:pPr>
            <w:r w:rsidRPr="009E220E">
              <w:rPr>
                <w:rFonts w:ascii="CAIXA Std Book" w:eastAsia="Times New Roman" w:hAnsi="CAIXA Std Book" w:cs="Times New Roman"/>
                <w:b/>
                <w:bCs/>
                <w:color w:val="FFFFFF"/>
                <w:sz w:val="18"/>
                <w:szCs w:val="18"/>
              </w:rPr>
              <w:t>Total</w:t>
            </w:r>
          </w:p>
        </w:tc>
        <w:tc>
          <w:tcPr>
            <w:tcW w:w="486" w:type="pct"/>
            <w:tcBorders>
              <w:top w:val="nil"/>
              <w:left w:val="nil"/>
              <w:bottom w:val="nil"/>
              <w:right w:val="nil"/>
            </w:tcBorders>
            <w:shd w:val="clear" w:color="000000" w:fill="005CA9"/>
            <w:noWrap/>
            <w:vAlign w:val="center"/>
            <w:hideMark/>
          </w:tcPr>
          <w:p w14:paraId="7099507E" w14:textId="77777777" w:rsidR="009E220E" w:rsidRPr="009E220E" w:rsidRDefault="009E220E" w:rsidP="009E220E">
            <w:pPr>
              <w:jc w:val="right"/>
              <w:rPr>
                <w:rFonts w:ascii="CAIXA Std Book" w:eastAsia="Times New Roman" w:hAnsi="CAIXA Std Book" w:cs="Times New Roman"/>
                <w:b/>
                <w:bCs/>
                <w:color w:val="FFFFFF"/>
                <w:sz w:val="18"/>
                <w:szCs w:val="18"/>
              </w:rPr>
            </w:pPr>
            <w:r w:rsidRPr="009E220E">
              <w:rPr>
                <w:rFonts w:ascii="CAIXA Std Book" w:eastAsia="Times New Roman" w:hAnsi="CAIXA Std Book" w:cs="Times New Roman"/>
                <w:b/>
                <w:bCs/>
                <w:color w:val="FFFFFF"/>
                <w:sz w:val="18"/>
                <w:szCs w:val="18"/>
              </w:rPr>
              <w:t>121.469.156</w:t>
            </w:r>
          </w:p>
        </w:tc>
        <w:tc>
          <w:tcPr>
            <w:tcW w:w="632" w:type="pct"/>
            <w:tcBorders>
              <w:top w:val="nil"/>
              <w:left w:val="nil"/>
              <w:bottom w:val="nil"/>
              <w:right w:val="nil"/>
            </w:tcBorders>
            <w:shd w:val="clear" w:color="000000" w:fill="005CA9"/>
            <w:noWrap/>
            <w:vAlign w:val="center"/>
            <w:hideMark/>
          </w:tcPr>
          <w:p w14:paraId="44B1D32E" w14:textId="77777777" w:rsidR="009E220E" w:rsidRPr="009E220E" w:rsidRDefault="009E220E" w:rsidP="009E220E">
            <w:pPr>
              <w:jc w:val="right"/>
              <w:rPr>
                <w:rFonts w:ascii="CAIXA Std Book" w:eastAsia="Times New Roman" w:hAnsi="CAIXA Std Book" w:cs="Times New Roman"/>
                <w:b/>
                <w:bCs/>
                <w:color w:val="FFFFFF"/>
                <w:sz w:val="18"/>
                <w:szCs w:val="18"/>
              </w:rPr>
            </w:pPr>
            <w:r w:rsidRPr="009E220E">
              <w:rPr>
                <w:rFonts w:ascii="CAIXA Std Book" w:eastAsia="Times New Roman" w:hAnsi="CAIXA Std Book" w:cs="Arial"/>
                <w:b/>
                <w:bCs/>
                <w:color w:val="FFFFFF"/>
                <w:sz w:val="18"/>
                <w:szCs w:val="18"/>
              </w:rPr>
              <w:t>35.160.464</w:t>
            </w:r>
          </w:p>
        </w:tc>
        <w:tc>
          <w:tcPr>
            <w:tcW w:w="584" w:type="pct"/>
            <w:tcBorders>
              <w:top w:val="nil"/>
              <w:left w:val="nil"/>
              <w:bottom w:val="nil"/>
              <w:right w:val="nil"/>
            </w:tcBorders>
            <w:shd w:val="clear" w:color="000000" w:fill="005CA9"/>
            <w:noWrap/>
            <w:vAlign w:val="center"/>
            <w:hideMark/>
          </w:tcPr>
          <w:p w14:paraId="74FF6AA4" w14:textId="77777777" w:rsidR="009E220E" w:rsidRPr="009E220E" w:rsidRDefault="009E220E" w:rsidP="009E220E">
            <w:pPr>
              <w:jc w:val="center"/>
              <w:rPr>
                <w:rFonts w:ascii="CAIXA Std Book" w:eastAsia="Times New Roman" w:hAnsi="CAIXA Std Book" w:cs="Times New Roman"/>
                <w:b/>
                <w:bCs/>
                <w:color w:val="FFFFFF"/>
                <w:sz w:val="18"/>
                <w:szCs w:val="18"/>
              </w:rPr>
            </w:pPr>
            <w:r w:rsidRPr="009E220E">
              <w:rPr>
                <w:rFonts w:ascii="CAIXA Std Book" w:eastAsia="Times New Roman" w:hAnsi="CAIXA Std Book" w:cs="Arial"/>
                <w:b/>
                <w:bCs/>
                <w:color w:val="FFFFFF"/>
                <w:sz w:val="18"/>
                <w:szCs w:val="18"/>
              </w:rPr>
              <w:t>-</w:t>
            </w:r>
          </w:p>
        </w:tc>
        <w:tc>
          <w:tcPr>
            <w:tcW w:w="602" w:type="pct"/>
            <w:tcBorders>
              <w:top w:val="nil"/>
              <w:left w:val="nil"/>
              <w:bottom w:val="nil"/>
              <w:right w:val="nil"/>
            </w:tcBorders>
            <w:shd w:val="clear" w:color="000000" w:fill="005CA9"/>
            <w:noWrap/>
            <w:vAlign w:val="center"/>
            <w:hideMark/>
          </w:tcPr>
          <w:p w14:paraId="05AB1B1B" w14:textId="77777777" w:rsidR="009E220E" w:rsidRPr="009E220E" w:rsidRDefault="009E220E" w:rsidP="009E220E">
            <w:pPr>
              <w:jc w:val="right"/>
              <w:rPr>
                <w:rFonts w:ascii="CAIXA Std Book" w:eastAsia="Times New Roman" w:hAnsi="CAIXA Std Book" w:cs="Times New Roman"/>
                <w:b/>
                <w:bCs/>
                <w:color w:val="FFFFFF"/>
                <w:sz w:val="18"/>
                <w:szCs w:val="18"/>
              </w:rPr>
            </w:pPr>
            <w:r w:rsidRPr="009E220E">
              <w:rPr>
                <w:rFonts w:ascii="CAIXA Std Book" w:eastAsia="Times New Roman" w:hAnsi="CAIXA Std Book" w:cs="Arial"/>
                <w:b/>
                <w:bCs/>
                <w:color w:val="FFFFFF"/>
                <w:sz w:val="18"/>
                <w:szCs w:val="18"/>
              </w:rPr>
              <w:t>36.996</w:t>
            </w:r>
          </w:p>
        </w:tc>
        <w:tc>
          <w:tcPr>
            <w:tcW w:w="556" w:type="pct"/>
            <w:tcBorders>
              <w:top w:val="nil"/>
              <w:left w:val="nil"/>
              <w:bottom w:val="nil"/>
              <w:right w:val="nil"/>
            </w:tcBorders>
            <w:shd w:val="clear" w:color="000000" w:fill="005CA9"/>
            <w:noWrap/>
            <w:vAlign w:val="center"/>
            <w:hideMark/>
          </w:tcPr>
          <w:p w14:paraId="103B824D" w14:textId="77777777" w:rsidR="009E220E" w:rsidRPr="009E220E" w:rsidRDefault="009E220E" w:rsidP="009E220E">
            <w:pPr>
              <w:jc w:val="right"/>
              <w:rPr>
                <w:rFonts w:ascii="CAIXA Std Book" w:eastAsia="Times New Roman" w:hAnsi="CAIXA Std Book" w:cs="Times New Roman"/>
                <w:b/>
                <w:bCs/>
                <w:color w:val="FFFFFF"/>
                <w:sz w:val="18"/>
                <w:szCs w:val="18"/>
              </w:rPr>
            </w:pPr>
            <w:r w:rsidRPr="009E220E">
              <w:rPr>
                <w:rFonts w:ascii="CAIXA Std Book" w:eastAsia="Times New Roman" w:hAnsi="CAIXA Std Book" w:cs="Arial"/>
                <w:b/>
                <w:bCs/>
                <w:color w:val="FFFFFF"/>
                <w:sz w:val="18"/>
                <w:szCs w:val="18"/>
              </w:rPr>
              <w:t>156.666.616</w:t>
            </w:r>
          </w:p>
        </w:tc>
      </w:tr>
    </w:tbl>
    <w:p w14:paraId="5A8C93E3" w14:textId="118B8B05" w:rsidR="007D314D" w:rsidRDefault="007D314D" w:rsidP="0004393E">
      <w:pPr>
        <w:jc w:val="right"/>
        <w:rPr>
          <w:rFonts w:ascii="CAIXA Std Book" w:eastAsia="Times New Roman" w:hAnsi="CAIXA Std Book" w:cs="Arial"/>
          <w:b/>
          <w:color w:val="FFFFFF"/>
          <w:sz w:val="18"/>
          <w:szCs w:val="18"/>
        </w:rPr>
      </w:pPr>
    </w:p>
    <w:p w14:paraId="3161083F" w14:textId="77777777" w:rsidR="007D314D" w:rsidRDefault="007D314D">
      <w:pPr>
        <w:rPr>
          <w:rFonts w:ascii="CAIXA Std Book" w:eastAsia="Times New Roman" w:hAnsi="CAIXA Std Book" w:cs="Arial"/>
          <w:b/>
          <w:color w:val="FFFFFF"/>
          <w:sz w:val="18"/>
          <w:szCs w:val="18"/>
        </w:rPr>
      </w:pPr>
      <w:r>
        <w:rPr>
          <w:rFonts w:ascii="CAIXA Std Book" w:eastAsia="Times New Roman" w:hAnsi="CAIXA Std Book" w:cs="Arial"/>
          <w:b/>
          <w:color w:val="FFFFFF"/>
          <w:sz w:val="18"/>
          <w:szCs w:val="18"/>
        </w:rPr>
        <w:br w:type="page"/>
      </w:r>
    </w:p>
    <w:tbl>
      <w:tblPr>
        <w:tblW w:w="5000" w:type="pct"/>
        <w:tblLayout w:type="fixed"/>
        <w:tblCellMar>
          <w:left w:w="70" w:type="dxa"/>
          <w:right w:w="70" w:type="dxa"/>
        </w:tblCellMar>
        <w:tblLook w:val="04A0" w:firstRow="1" w:lastRow="0" w:firstColumn="1" w:lastColumn="0" w:noHBand="0" w:noVBand="1"/>
      </w:tblPr>
      <w:tblGrid>
        <w:gridCol w:w="5955"/>
        <w:gridCol w:w="1722"/>
        <w:gridCol w:w="1722"/>
        <w:gridCol w:w="1722"/>
        <w:gridCol w:w="1722"/>
        <w:gridCol w:w="1728"/>
      </w:tblGrid>
      <w:tr w:rsidR="00E32665" w:rsidRPr="00ED1093" w14:paraId="478FFF28" w14:textId="77777777" w:rsidTr="008F6329">
        <w:trPr>
          <w:trHeight w:val="255"/>
        </w:trPr>
        <w:tc>
          <w:tcPr>
            <w:tcW w:w="5000" w:type="pct"/>
            <w:gridSpan w:val="6"/>
            <w:tcBorders>
              <w:left w:val="nil"/>
              <w:bottom w:val="single" w:sz="4" w:space="0" w:color="FFFFFF" w:themeColor="background1"/>
              <w:right w:val="nil"/>
            </w:tcBorders>
            <w:shd w:val="clear" w:color="auto" w:fill="005CA9"/>
            <w:noWrap/>
            <w:vAlign w:val="center"/>
            <w:hideMark/>
          </w:tcPr>
          <w:p w14:paraId="02CE834E" w14:textId="75F95215" w:rsidR="00E32665" w:rsidRPr="00ED1093" w:rsidRDefault="00AB6CBC" w:rsidP="0085691D">
            <w:pPr>
              <w:jc w:val="center"/>
              <w:rPr>
                <w:rFonts w:ascii="CAIXA Std Book" w:eastAsia="Times New Roman" w:hAnsi="CAIXA Std Book" w:cs="Calibri"/>
                <w:b/>
                <w:bCs/>
                <w:color w:val="FFFFFF"/>
                <w:sz w:val="18"/>
                <w:szCs w:val="18"/>
              </w:rPr>
            </w:pPr>
            <w:r>
              <w:rPr>
                <w:rFonts w:ascii="CAIXA Std Book" w:eastAsia="Times New Roman" w:hAnsi="CAIXA Std Book" w:cs="Arial"/>
                <w:b/>
                <w:color w:val="FFFFFF"/>
                <w:sz w:val="18"/>
                <w:szCs w:val="18"/>
              </w:rPr>
              <w:br w:type="page"/>
            </w:r>
            <w:r w:rsidR="00813936">
              <w:rPr>
                <w:rFonts w:ascii="CAIXA Std Book" w:eastAsia="Times New Roman" w:hAnsi="CAIXA Std Book" w:cs="Arial"/>
                <w:b/>
                <w:color w:val="FFFFFF"/>
                <w:sz w:val="18"/>
                <w:szCs w:val="18"/>
              </w:rPr>
              <w:br w:type="page"/>
            </w:r>
            <w:r w:rsidR="00E32665" w:rsidRPr="00ED1093">
              <w:rPr>
                <w:rFonts w:ascii="CAIXA Std Book" w:eastAsia="Times New Roman" w:hAnsi="CAIXA Std Book" w:cs="Calibri"/>
                <w:b/>
                <w:bCs/>
                <w:color w:val="FFFFFF"/>
                <w:sz w:val="18"/>
                <w:szCs w:val="18"/>
              </w:rPr>
              <w:t>Consolidado</w:t>
            </w:r>
          </w:p>
        </w:tc>
      </w:tr>
      <w:tr w:rsidR="00E32665" w:rsidRPr="00ED1093" w14:paraId="7575985A" w14:textId="77777777" w:rsidTr="009E220E">
        <w:trPr>
          <w:trHeight w:val="401"/>
        </w:trPr>
        <w:tc>
          <w:tcPr>
            <w:tcW w:w="2043" w:type="pct"/>
            <w:vMerge w:val="restart"/>
            <w:tcBorders>
              <w:top w:val="single" w:sz="4" w:space="0" w:color="FFFFFF" w:themeColor="background1"/>
              <w:left w:val="nil"/>
              <w:bottom w:val="single" w:sz="4" w:space="0" w:color="FFFFFF"/>
              <w:right w:val="nil"/>
            </w:tcBorders>
            <w:shd w:val="clear" w:color="auto" w:fill="005CA9"/>
            <w:vAlign w:val="center"/>
            <w:hideMark/>
          </w:tcPr>
          <w:p w14:paraId="7A3C87BC" w14:textId="77777777" w:rsidR="00E32665" w:rsidRPr="00ED1093" w:rsidRDefault="00E32665" w:rsidP="0085691D">
            <w:pPr>
              <w:jc w:val="center"/>
              <w:rPr>
                <w:rFonts w:ascii="CAIXA Std Book" w:eastAsia="Times New Roman" w:hAnsi="CAIXA Std Book" w:cs="Calibri"/>
                <w:b/>
                <w:bCs/>
                <w:color w:val="FFFFFF"/>
                <w:sz w:val="18"/>
                <w:szCs w:val="18"/>
              </w:rPr>
            </w:pPr>
            <w:r w:rsidRPr="00ED1093">
              <w:rPr>
                <w:rFonts w:ascii="CAIXA Std Book" w:eastAsia="Times New Roman" w:hAnsi="CAIXA Std Book" w:cs="Calibri"/>
                <w:b/>
                <w:bCs/>
                <w:color w:val="FFFFFF"/>
                <w:sz w:val="18"/>
                <w:szCs w:val="18"/>
              </w:rPr>
              <w:t>Estágio 1</w:t>
            </w:r>
          </w:p>
        </w:tc>
        <w:tc>
          <w:tcPr>
            <w:tcW w:w="591" w:type="pct"/>
            <w:vMerge w:val="restart"/>
            <w:tcBorders>
              <w:top w:val="single" w:sz="4" w:space="0" w:color="FFFFFF" w:themeColor="background1"/>
              <w:left w:val="nil"/>
              <w:bottom w:val="single" w:sz="4" w:space="0" w:color="FFFFFF"/>
              <w:right w:val="nil"/>
            </w:tcBorders>
            <w:shd w:val="clear" w:color="auto" w:fill="005CA9"/>
            <w:vAlign w:val="center"/>
            <w:hideMark/>
          </w:tcPr>
          <w:p w14:paraId="7F301ED8" w14:textId="6F8F962F" w:rsidR="00E32665" w:rsidRPr="00ED1093" w:rsidRDefault="00E32665" w:rsidP="0085691D">
            <w:pPr>
              <w:jc w:val="center"/>
              <w:rPr>
                <w:rFonts w:ascii="CAIXA Std Book" w:eastAsia="Times New Roman" w:hAnsi="CAIXA Std Book" w:cs="Calibri"/>
                <w:b/>
                <w:bCs/>
                <w:color w:val="FFFFFF"/>
                <w:sz w:val="18"/>
                <w:szCs w:val="18"/>
              </w:rPr>
            </w:pPr>
            <w:r w:rsidRPr="00ED1093">
              <w:rPr>
                <w:rFonts w:ascii="CAIXA Std Book" w:eastAsia="Times New Roman" w:hAnsi="CAIXA Std Book" w:cs="Calibri"/>
                <w:b/>
                <w:bCs/>
                <w:color w:val="FFFFFF"/>
                <w:sz w:val="18"/>
                <w:szCs w:val="18"/>
              </w:rPr>
              <w:t xml:space="preserve">Saldo em </w:t>
            </w:r>
            <w:r w:rsidR="00064D78" w:rsidRPr="00ED1093">
              <w:rPr>
                <w:rFonts w:ascii="CAIXA Std Book" w:eastAsia="Times New Roman" w:hAnsi="CAIXA Std Book" w:cs="Calibri"/>
                <w:b/>
                <w:bCs/>
                <w:color w:val="FFFFFF"/>
                <w:sz w:val="18"/>
                <w:szCs w:val="18"/>
              </w:rPr>
              <w:t>31/12/2025</w:t>
            </w:r>
          </w:p>
        </w:tc>
        <w:tc>
          <w:tcPr>
            <w:tcW w:w="591" w:type="pct"/>
            <w:vMerge w:val="restart"/>
            <w:tcBorders>
              <w:top w:val="single" w:sz="4" w:space="0" w:color="FFFFFF" w:themeColor="background1"/>
              <w:left w:val="nil"/>
              <w:bottom w:val="single" w:sz="4" w:space="0" w:color="FFFFFF"/>
              <w:right w:val="nil"/>
            </w:tcBorders>
            <w:shd w:val="clear" w:color="auto" w:fill="005CA9"/>
            <w:vAlign w:val="center"/>
            <w:hideMark/>
          </w:tcPr>
          <w:p w14:paraId="741C45DE" w14:textId="77777777" w:rsidR="00E32665" w:rsidRPr="00ED1093" w:rsidRDefault="00E32665" w:rsidP="0085691D">
            <w:pPr>
              <w:jc w:val="center"/>
              <w:rPr>
                <w:rFonts w:ascii="CAIXA Std Book" w:eastAsia="Times New Roman" w:hAnsi="CAIXA Std Book" w:cs="Calibri"/>
                <w:b/>
                <w:bCs/>
                <w:color w:val="FFFFFF"/>
                <w:sz w:val="18"/>
                <w:szCs w:val="18"/>
              </w:rPr>
            </w:pPr>
            <w:r w:rsidRPr="00ED1093">
              <w:rPr>
                <w:rFonts w:ascii="CAIXA Std Book" w:eastAsia="Times New Roman" w:hAnsi="CAIXA Std Book" w:cs="Calibri"/>
                <w:b/>
                <w:bCs/>
                <w:color w:val="FFFFFF"/>
                <w:sz w:val="18"/>
                <w:szCs w:val="18"/>
              </w:rPr>
              <w:t>Compra/</w:t>
            </w:r>
          </w:p>
          <w:p w14:paraId="7BB14A29" w14:textId="77777777" w:rsidR="00E32665" w:rsidRPr="00ED1093" w:rsidRDefault="00E32665" w:rsidP="0085691D">
            <w:pPr>
              <w:jc w:val="center"/>
              <w:rPr>
                <w:rFonts w:ascii="CAIXA Std Book" w:eastAsia="Times New Roman" w:hAnsi="CAIXA Std Book" w:cs="Calibri"/>
                <w:b/>
                <w:bCs/>
                <w:color w:val="FFFFFF"/>
                <w:sz w:val="18"/>
                <w:szCs w:val="18"/>
              </w:rPr>
            </w:pPr>
            <w:r w:rsidRPr="00ED1093">
              <w:rPr>
                <w:rFonts w:ascii="CAIXA Std Book" w:eastAsia="Times New Roman" w:hAnsi="CAIXA Std Book" w:cs="Calibri"/>
                <w:b/>
                <w:bCs/>
                <w:color w:val="FFFFFF"/>
                <w:sz w:val="18"/>
                <w:szCs w:val="18"/>
              </w:rPr>
              <w:t>(liquidação)</w:t>
            </w:r>
          </w:p>
        </w:tc>
        <w:tc>
          <w:tcPr>
            <w:tcW w:w="591" w:type="pct"/>
            <w:vMerge w:val="restart"/>
            <w:tcBorders>
              <w:top w:val="single" w:sz="4" w:space="0" w:color="FFFFFF" w:themeColor="background1"/>
              <w:left w:val="nil"/>
              <w:bottom w:val="single" w:sz="4" w:space="0" w:color="FFFFFF"/>
              <w:right w:val="nil"/>
            </w:tcBorders>
            <w:shd w:val="clear" w:color="auto" w:fill="005CA9"/>
            <w:vAlign w:val="center"/>
            <w:hideMark/>
          </w:tcPr>
          <w:p w14:paraId="5B76F21E" w14:textId="77777777" w:rsidR="00E32665" w:rsidRPr="00ED1093" w:rsidRDefault="00E32665" w:rsidP="0085691D">
            <w:pPr>
              <w:jc w:val="center"/>
              <w:rPr>
                <w:rFonts w:ascii="CAIXA Std Book" w:eastAsia="Times New Roman" w:hAnsi="CAIXA Std Book" w:cs="Calibri"/>
                <w:b/>
                <w:bCs/>
                <w:color w:val="FFFFFF"/>
                <w:sz w:val="18"/>
                <w:szCs w:val="18"/>
              </w:rPr>
            </w:pPr>
            <w:r w:rsidRPr="00ED1093">
              <w:rPr>
                <w:rFonts w:ascii="CAIXA Std Book" w:eastAsia="Times New Roman" w:hAnsi="CAIXA Std Book" w:cs="Calibri"/>
                <w:b/>
                <w:bCs/>
                <w:color w:val="FFFFFF"/>
                <w:sz w:val="18"/>
                <w:szCs w:val="18"/>
              </w:rPr>
              <w:t>Transferência do/ para estágio 2</w:t>
            </w:r>
          </w:p>
        </w:tc>
        <w:tc>
          <w:tcPr>
            <w:tcW w:w="591" w:type="pct"/>
            <w:vMerge w:val="restart"/>
            <w:tcBorders>
              <w:top w:val="single" w:sz="4" w:space="0" w:color="FFFFFF" w:themeColor="background1"/>
              <w:left w:val="nil"/>
              <w:bottom w:val="single" w:sz="4" w:space="0" w:color="FFFFFF"/>
              <w:right w:val="nil"/>
            </w:tcBorders>
            <w:shd w:val="clear" w:color="auto" w:fill="005CA9"/>
            <w:vAlign w:val="center"/>
            <w:hideMark/>
          </w:tcPr>
          <w:p w14:paraId="7D334009" w14:textId="77777777" w:rsidR="00E32665" w:rsidRPr="00ED1093" w:rsidRDefault="00E32665" w:rsidP="0085691D">
            <w:pPr>
              <w:jc w:val="center"/>
              <w:rPr>
                <w:rFonts w:ascii="CAIXA Std Book" w:eastAsia="Times New Roman" w:hAnsi="CAIXA Std Book" w:cs="Calibri"/>
                <w:b/>
                <w:bCs/>
                <w:color w:val="FFFFFF"/>
                <w:sz w:val="18"/>
                <w:szCs w:val="18"/>
              </w:rPr>
            </w:pPr>
            <w:r w:rsidRPr="00ED1093">
              <w:rPr>
                <w:rFonts w:ascii="CAIXA Std Book" w:eastAsia="Times New Roman" w:hAnsi="CAIXA Std Book" w:cs="Calibri"/>
                <w:b/>
                <w:bCs/>
                <w:color w:val="FFFFFF"/>
                <w:sz w:val="18"/>
                <w:szCs w:val="18"/>
              </w:rPr>
              <w:t>Transferência do/ para estágio 3</w:t>
            </w:r>
          </w:p>
        </w:tc>
        <w:tc>
          <w:tcPr>
            <w:tcW w:w="593" w:type="pct"/>
            <w:vMerge w:val="restart"/>
            <w:tcBorders>
              <w:top w:val="single" w:sz="4" w:space="0" w:color="FFFFFF" w:themeColor="background1"/>
              <w:left w:val="nil"/>
              <w:bottom w:val="single" w:sz="4" w:space="0" w:color="FFFFFF"/>
              <w:right w:val="nil"/>
            </w:tcBorders>
            <w:shd w:val="clear" w:color="auto" w:fill="005CA9"/>
            <w:vAlign w:val="center"/>
            <w:hideMark/>
          </w:tcPr>
          <w:p w14:paraId="322CA2FD" w14:textId="23D54A74" w:rsidR="00E32665" w:rsidRPr="00ED1093" w:rsidRDefault="00E32665" w:rsidP="0085691D">
            <w:pPr>
              <w:jc w:val="center"/>
              <w:rPr>
                <w:rFonts w:ascii="CAIXA Std Book" w:eastAsia="Times New Roman" w:hAnsi="CAIXA Std Book" w:cs="Calibri"/>
                <w:b/>
                <w:bCs/>
                <w:color w:val="FFFFFF"/>
                <w:sz w:val="18"/>
                <w:szCs w:val="18"/>
              </w:rPr>
            </w:pPr>
            <w:r w:rsidRPr="00ED1093">
              <w:rPr>
                <w:rFonts w:ascii="CAIXA Std Book" w:eastAsia="Times New Roman" w:hAnsi="CAIXA Std Book" w:cs="Calibri"/>
                <w:b/>
                <w:bCs/>
                <w:color w:val="FFFFFF"/>
                <w:sz w:val="18"/>
                <w:szCs w:val="18"/>
              </w:rPr>
              <w:t>Saldo em 31/03/2026</w:t>
            </w:r>
          </w:p>
        </w:tc>
      </w:tr>
      <w:tr w:rsidR="00E32665" w:rsidRPr="00ED1093" w14:paraId="5CA84181" w14:textId="77777777" w:rsidTr="009E220E">
        <w:trPr>
          <w:trHeight w:val="401"/>
        </w:trPr>
        <w:tc>
          <w:tcPr>
            <w:tcW w:w="2043" w:type="pct"/>
            <w:vMerge/>
            <w:tcBorders>
              <w:top w:val="nil"/>
              <w:left w:val="nil"/>
              <w:bottom w:val="single" w:sz="4" w:space="0" w:color="FFFFFF"/>
              <w:right w:val="nil"/>
            </w:tcBorders>
            <w:shd w:val="clear" w:color="auto" w:fill="005CA9"/>
            <w:vAlign w:val="center"/>
            <w:hideMark/>
          </w:tcPr>
          <w:p w14:paraId="3B62A9BC" w14:textId="77777777" w:rsidR="00E32665" w:rsidRPr="00ED1093" w:rsidRDefault="00E32665" w:rsidP="0085691D">
            <w:pPr>
              <w:rPr>
                <w:rFonts w:ascii="CAIXA Std Book" w:eastAsia="Times New Roman" w:hAnsi="CAIXA Std Book" w:cs="Calibri"/>
                <w:b/>
                <w:bCs/>
                <w:color w:val="FFFFFF"/>
                <w:sz w:val="18"/>
                <w:szCs w:val="18"/>
              </w:rPr>
            </w:pPr>
          </w:p>
        </w:tc>
        <w:tc>
          <w:tcPr>
            <w:tcW w:w="591" w:type="pct"/>
            <w:vMerge/>
            <w:tcBorders>
              <w:top w:val="nil"/>
              <w:left w:val="nil"/>
              <w:bottom w:val="single" w:sz="4" w:space="0" w:color="FFFFFF"/>
              <w:right w:val="nil"/>
            </w:tcBorders>
            <w:shd w:val="clear" w:color="auto" w:fill="005CA9"/>
            <w:vAlign w:val="center"/>
            <w:hideMark/>
          </w:tcPr>
          <w:p w14:paraId="531660A5" w14:textId="77777777" w:rsidR="00E32665" w:rsidRPr="00ED1093" w:rsidRDefault="00E32665" w:rsidP="0085691D">
            <w:pPr>
              <w:rPr>
                <w:rFonts w:ascii="CAIXA Std Book" w:eastAsia="Times New Roman" w:hAnsi="CAIXA Std Book" w:cs="Calibri"/>
                <w:b/>
                <w:bCs/>
                <w:color w:val="FFFFFF"/>
                <w:sz w:val="18"/>
                <w:szCs w:val="18"/>
              </w:rPr>
            </w:pPr>
          </w:p>
        </w:tc>
        <w:tc>
          <w:tcPr>
            <w:tcW w:w="591" w:type="pct"/>
            <w:vMerge/>
            <w:tcBorders>
              <w:top w:val="nil"/>
              <w:left w:val="nil"/>
              <w:bottom w:val="single" w:sz="4" w:space="0" w:color="FFFFFF"/>
              <w:right w:val="nil"/>
            </w:tcBorders>
            <w:shd w:val="clear" w:color="auto" w:fill="005CA9"/>
            <w:vAlign w:val="center"/>
            <w:hideMark/>
          </w:tcPr>
          <w:p w14:paraId="1C86817F" w14:textId="77777777" w:rsidR="00E32665" w:rsidRPr="00ED1093" w:rsidRDefault="00E32665" w:rsidP="0085691D">
            <w:pPr>
              <w:rPr>
                <w:rFonts w:ascii="CAIXA Std Book" w:eastAsia="Times New Roman" w:hAnsi="CAIXA Std Book" w:cs="Calibri"/>
                <w:b/>
                <w:bCs/>
                <w:color w:val="FFFFFF"/>
                <w:sz w:val="18"/>
                <w:szCs w:val="18"/>
              </w:rPr>
            </w:pPr>
          </w:p>
        </w:tc>
        <w:tc>
          <w:tcPr>
            <w:tcW w:w="591" w:type="pct"/>
            <w:vMerge/>
            <w:tcBorders>
              <w:top w:val="nil"/>
              <w:left w:val="nil"/>
              <w:bottom w:val="single" w:sz="4" w:space="0" w:color="FFFFFF"/>
              <w:right w:val="nil"/>
            </w:tcBorders>
            <w:shd w:val="clear" w:color="auto" w:fill="005CA9"/>
            <w:vAlign w:val="center"/>
            <w:hideMark/>
          </w:tcPr>
          <w:p w14:paraId="6F2299A9" w14:textId="77777777" w:rsidR="00E32665" w:rsidRPr="00ED1093" w:rsidRDefault="00E32665" w:rsidP="0085691D">
            <w:pPr>
              <w:rPr>
                <w:rFonts w:ascii="CAIXA Std Book" w:eastAsia="Times New Roman" w:hAnsi="CAIXA Std Book" w:cs="Calibri"/>
                <w:b/>
                <w:bCs/>
                <w:color w:val="FFFFFF"/>
                <w:sz w:val="18"/>
                <w:szCs w:val="18"/>
              </w:rPr>
            </w:pPr>
          </w:p>
        </w:tc>
        <w:tc>
          <w:tcPr>
            <w:tcW w:w="591" w:type="pct"/>
            <w:vMerge/>
            <w:tcBorders>
              <w:top w:val="nil"/>
              <w:left w:val="nil"/>
              <w:bottom w:val="single" w:sz="4" w:space="0" w:color="FFFFFF"/>
              <w:right w:val="nil"/>
            </w:tcBorders>
            <w:shd w:val="clear" w:color="auto" w:fill="005CA9"/>
            <w:vAlign w:val="center"/>
            <w:hideMark/>
          </w:tcPr>
          <w:p w14:paraId="1D6DCEE6" w14:textId="77777777" w:rsidR="00E32665" w:rsidRPr="00ED1093" w:rsidRDefault="00E32665" w:rsidP="0085691D">
            <w:pPr>
              <w:rPr>
                <w:rFonts w:ascii="CAIXA Std Book" w:eastAsia="Times New Roman" w:hAnsi="CAIXA Std Book" w:cs="Calibri"/>
                <w:b/>
                <w:bCs/>
                <w:color w:val="FFFFFF"/>
                <w:sz w:val="18"/>
                <w:szCs w:val="18"/>
              </w:rPr>
            </w:pPr>
          </w:p>
        </w:tc>
        <w:tc>
          <w:tcPr>
            <w:tcW w:w="593" w:type="pct"/>
            <w:vMerge/>
            <w:tcBorders>
              <w:top w:val="nil"/>
              <w:left w:val="nil"/>
              <w:bottom w:val="single" w:sz="4" w:space="0" w:color="FFFFFF"/>
              <w:right w:val="nil"/>
            </w:tcBorders>
            <w:shd w:val="clear" w:color="auto" w:fill="005CA9"/>
            <w:vAlign w:val="center"/>
            <w:hideMark/>
          </w:tcPr>
          <w:p w14:paraId="18A7139E" w14:textId="77777777" w:rsidR="00E32665" w:rsidRPr="00ED1093" w:rsidRDefault="00E32665" w:rsidP="0085691D">
            <w:pPr>
              <w:rPr>
                <w:rFonts w:ascii="CAIXA Std Book" w:eastAsia="Times New Roman" w:hAnsi="CAIXA Std Book" w:cs="Calibri"/>
                <w:b/>
                <w:bCs/>
                <w:color w:val="FFFFFF"/>
                <w:sz w:val="18"/>
                <w:szCs w:val="18"/>
              </w:rPr>
            </w:pPr>
          </w:p>
        </w:tc>
      </w:tr>
      <w:tr w:rsidR="00064D78" w:rsidRPr="00ED1093" w14:paraId="45B7C851" w14:textId="77777777" w:rsidTr="009E220E">
        <w:trPr>
          <w:trHeight w:val="255"/>
        </w:trPr>
        <w:tc>
          <w:tcPr>
            <w:tcW w:w="2043" w:type="pct"/>
            <w:tcBorders>
              <w:top w:val="nil"/>
              <w:left w:val="nil"/>
              <w:bottom w:val="single" w:sz="4" w:space="0" w:color="FFFFFF"/>
              <w:right w:val="nil"/>
            </w:tcBorders>
            <w:shd w:val="clear" w:color="000000" w:fill="FFFFFF"/>
            <w:noWrap/>
            <w:vAlign w:val="center"/>
            <w:hideMark/>
          </w:tcPr>
          <w:p w14:paraId="3DE5D90A" w14:textId="77777777" w:rsidR="00064D78" w:rsidRPr="00ED1093" w:rsidRDefault="00064D78" w:rsidP="00064D78">
            <w:pPr>
              <w:rPr>
                <w:rFonts w:ascii="CAIXA Std Book" w:eastAsia="Times New Roman" w:hAnsi="CAIXA Std Book" w:cs="Calibri"/>
                <w:color w:val="005CA9"/>
                <w:sz w:val="18"/>
                <w:szCs w:val="18"/>
              </w:rPr>
            </w:pPr>
            <w:r w:rsidRPr="00ED1093">
              <w:rPr>
                <w:rFonts w:ascii="CAIXA Std Book" w:eastAsia="Times New Roman" w:hAnsi="CAIXA Std Book" w:cs="Calibri"/>
                <w:color w:val="005CA9"/>
                <w:sz w:val="18"/>
                <w:szCs w:val="18"/>
              </w:rPr>
              <w:t>Títulos públicos federais brasileiros</w:t>
            </w:r>
          </w:p>
        </w:tc>
        <w:tc>
          <w:tcPr>
            <w:tcW w:w="591" w:type="pct"/>
            <w:tcBorders>
              <w:top w:val="nil"/>
              <w:left w:val="nil"/>
              <w:bottom w:val="single" w:sz="4" w:space="0" w:color="FFFFFF"/>
              <w:right w:val="nil"/>
            </w:tcBorders>
            <w:noWrap/>
            <w:vAlign w:val="center"/>
          </w:tcPr>
          <w:p w14:paraId="35C4330B" w14:textId="1680D743" w:rsidR="00064D78" w:rsidRPr="00ED1093" w:rsidRDefault="00064D78" w:rsidP="00064D78">
            <w:pPr>
              <w:jc w:val="right"/>
              <w:rPr>
                <w:rFonts w:ascii="CAIXA Std Book" w:eastAsia="Times New Roman" w:hAnsi="CAIXA Std Book" w:cs="Calibri"/>
                <w:color w:val="005CA9"/>
                <w:sz w:val="18"/>
                <w:szCs w:val="18"/>
              </w:rPr>
            </w:pPr>
            <w:r w:rsidRPr="00ED1093">
              <w:rPr>
                <w:rFonts w:ascii="CAIXA Std Book" w:hAnsi="CAIXA Std Book" w:cs="Arial"/>
                <w:color w:val="005CA9"/>
                <w:sz w:val="18"/>
                <w:szCs w:val="18"/>
              </w:rPr>
              <w:t>156.081.920</w:t>
            </w:r>
          </w:p>
        </w:tc>
        <w:tc>
          <w:tcPr>
            <w:tcW w:w="591" w:type="pct"/>
            <w:tcBorders>
              <w:top w:val="nil"/>
              <w:left w:val="nil"/>
              <w:bottom w:val="single" w:sz="4" w:space="0" w:color="FFFFFF"/>
              <w:right w:val="nil"/>
            </w:tcBorders>
            <w:noWrap/>
            <w:vAlign w:val="bottom"/>
          </w:tcPr>
          <w:p w14:paraId="42E701BD" w14:textId="0F469CBE" w:rsidR="00064D78" w:rsidRPr="00ED1093" w:rsidRDefault="0068522A" w:rsidP="00064D78">
            <w:pPr>
              <w:jc w:val="right"/>
              <w:rPr>
                <w:rFonts w:ascii="CAIXA Std Book" w:hAnsi="CAIXA Std Book"/>
                <w:color w:val="005CA9"/>
                <w:sz w:val="18"/>
                <w:szCs w:val="18"/>
              </w:rPr>
            </w:pPr>
            <w:r>
              <w:rPr>
                <w:rFonts w:ascii="CAIXA Std Book" w:hAnsi="CAIXA Std Book" w:cs="Arial"/>
                <w:color w:val="005CA9"/>
                <w:sz w:val="18"/>
                <w:szCs w:val="18"/>
              </w:rPr>
              <w:t>(6.</w:t>
            </w:r>
            <w:r w:rsidR="00E21B5A">
              <w:rPr>
                <w:rFonts w:ascii="CAIXA Std Book" w:hAnsi="CAIXA Std Book" w:cs="Arial"/>
                <w:color w:val="005CA9"/>
                <w:sz w:val="18"/>
                <w:szCs w:val="18"/>
              </w:rPr>
              <w:t>723.</w:t>
            </w:r>
            <w:r w:rsidR="00BA12AE">
              <w:rPr>
                <w:rFonts w:ascii="CAIXA Std Book" w:hAnsi="CAIXA Std Book" w:cs="Arial"/>
                <w:color w:val="005CA9"/>
                <w:sz w:val="18"/>
                <w:szCs w:val="18"/>
              </w:rPr>
              <w:t>791</w:t>
            </w:r>
            <w:r>
              <w:rPr>
                <w:rFonts w:ascii="CAIXA Std Book" w:hAnsi="CAIXA Std Book" w:cs="Arial"/>
                <w:color w:val="005CA9"/>
                <w:sz w:val="18"/>
                <w:szCs w:val="18"/>
              </w:rPr>
              <w:t>)</w:t>
            </w:r>
          </w:p>
        </w:tc>
        <w:tc>
          <w:tcPr>
            <w:tcW w:w="591" w:type="pct"/>
            <w:tcBorders>
              <w:top w:val="nil"/>
              <w:left w:val="nil"/>
              <w:bottom w:val="single" w:sz="4" w:space="0" w:color="FFFFFF"/>
              <w:right w:val="nil"/>
            </w:tcBorders>
            <w:noWrap/>
            <w:vAlign w:val="bottom"/>
          </w:tcPr>
          <w:p w14:paraId="333A9A36" w14:textId="4082878A" w:rsidR="00064D78" w:rsidRPr="00ED1093" w:rsidRDefault="0068522A" w:rsidP="00064D78">
            <w:pPr>
              <w:jc w:val="center"/>
              <w:rPr>
                <w:rFonts w:ascii="CAIXA Std Book" w:hAnsi="CAIXA Std Book"/>
                <w:color w:val="005CA9"/>
                <w:sz w:val="18"/>
                <w:szCs w:val="18"/>
              </w:rPr>
            </w:pPr>
            <w:r>
              <w:rPr>
                <w:rFonts w:ascii="CAIXA Std Book" w:hAnsi="CAIXA Std Book" w:cs="Arial"/>
                <w:color w:val="005CA9"/>
                <w:sz w:val="18"/>
                <w:szCs w:val="18"/>
              </w:rPr>
              <w:t>-</w:t>
            </w:r>
          </w:p>
        </w:tc>
        <w:tc>
          <w:tcPr>
            <w:tcW w:w="591" w:type="pct"/>
            <w:tcBorders>
              <w:top w:val="nil"/>
              <w:left w:val="nil"/>
              <w:bottom w:val="single" w:sz="4" w:space="0" w:color="FFFFFF"/>
              <w:right w:val="nil"/>
            </w:tcBorders>
            <w:noWrap/>
            <w:vAlign w:val="bottom"/>
          </w:tcPr>
          <w:p w14:paraId="6A3AC854" w14:textId="2E1E05CB" w:rsidR="00064D78" w:rsidRPr="00ED1093" w:rsidRDefault="0068522A" w:rsidP="00064D78">
            <w:pPr>
              <w:jc w:val="center"/>
              <w:rPr>
                <w:rFonts w:ascii="CAIXA Std Book" w:hAnsi="CAIXA Std Book"/>
                <w:color w:val="005CA9"/>
                <w:sz w:val="18"/>
                <w:szCs w:val="18"/>
              </w:rPr>
            </w:pPr>
            <w:r>
              <w:rPr>
                <w:rFonts w:ascii="CAIXA Std Book" w:hAnsi="CAIXA Std Book" w:cs="Arial"/>
                <w:color w:val="005CA9"/>
                <w:sz w:val="18"/>
                <w:szCs w:val="18"/>
              </w:rPr>
              <w:t>-</w:t>
            </w:r>
          </w:p>
        </w:tc>
        <w:tc>
          <w:tcPr>
            <w:tcW w:w="593" w:type="pct"/>
            <w:tcBorders>
              <w:top w:val="nil"/>
              <w:left w:val="nil"/>
              <w:bottom w:val="single" w:sz="4" w:space="0" w:color="FFFFFF"/>
              <w:right w:val="nil"/>
            </w:tcBorders>
            <w:noWrap/>
            <w:vAlign w:val="bottom"/>
          </w:tcPr>
          <w:p w14:paraId="6C243FFD" w14:textId="272B54CD" w:rsidR="00064D78" w:rsidRPr="00ED1093" w:rsidRDefault="0068522A" w:rsidP="00064D78">
            <w:pPr>
              <w:jc w:val="right"/>
              <w:rPr>
                <w:rFonts w:ascii="CAIXA Std Book" w:hAnsi="CAIXA Std Book"/>
                <w:color w:val="005CA9"/>
                <w:sz w:val="18"/>
                <w:szCs w:val="18"/>
              </w:rPr>
            </w:pPr>
            <w:r>
              <w:rPr>
                <w:rFonts w:ascii="CAIXA Std Book" w:hAnsi="CAIXA Std Book" w:cs="Arial"/>
                <w:color w:val="005CA9"/>
                <w:sz w:val="18"/>
                <w:szCs w:val="18"/>
              </w:rPr>
              <w:t>149.</w:t>
            </w:r>
            <w:r w:rsidR="00E21B5A">
              <w:rPr>
                <w:rFonts w:ascii="CAIXA Std Book" w:hAnsi="CAIXA Std Book" w:cs="Arial"/>
                <w:color w:val="005CA9"/>
                <w:sz w:val="18"/>
                <w:szCs w:val="18"/>
              </w:rPr>
              <w:t>358.</w:t>
            </w:r>
            <w:r w:rsidR="00BA12AE">
              <w:rPr>
                <w:rFonts w:ascii="CAIXA Std Book" w:hAnsi="CAIXA Std Book" w:cs="Arial"/>
                <w:color w:val="005CA9"/>
                <w:sz w:val="18"/>
                <w:szCs w:val="18"/>
              </w:rPr>
              <w:t>129</w:t>
            </w:r>
          </w:p>
        </w:tc>
      </w:tr>
      <w:tr w:rsidR="00064D78" w:rsidRPr="00ED1093" w14:paraId="34F978DD" w14:textId="77777777" w:rsidTr="009E220E">
        <w:trPr>
          <w:trHeight w:val="255"/>
        </w:trPr>
        <w:tc>
          <w:tcPr>
            <w:tcW w:w="2043" w:type="pct"/>
            <w:tcBorders>
              <w:top w:val="nil"/>
              <w:left w:val="nil"/>
              <w:bottom w:val="single" w:sz="4" w:space="0" w:color="FFFFFF"/>
              <w:right w:val="nil"/>
            </w:tcBorders>
            <w:shd w:val="clear" w:color="000000" w:fill="FFFFFF"/>
            <w:noWrap/>
            <w:vAlign w:val="center"/>
          </w:tcPr>
          <w:p w14:paraId="368CAB8F" w14:textId="77777777" w:rsidR="00064D78" w:rsidRPr="00ED1093" w:rsidRDefault="00064D78" w:rsidP="00064D78">
            <w:pPr>
              <w:rPr>
                <w:rFonts w:ascii="CAIXA Std Book" w:eastAsia="Times New Roman" w:hAnsi="CAIXA Std Book" w:cs="Calibri"/>
                <w:color w:val="005CA9"/>
                <w:sz w:val="18"/>
                <w:szCs w:val="18"/>
              </w:rPr>
            </w:pPr>
            <w:r w:rsidRPr="00ED1093">
              <w:rPr>
                <w:rFonts w:ascii="CAIXA Std Book" w:eastAsia="Times New Roman" w:hAnsi="CAIXA Std Book" w:cs="Calibri"/>
                <w:color w:val="005CA9"/>
                <w:sz w:val="18"/>
                <w:szCs w:val="18"/>
              </w:rPr>
              <w:t>Títulos privados de instituições financeiras</w:t>
            </w:r>
          </w:p>
        </w:tc>
        <w:tc>
          <w:tcPr>
            <w:tcW w:w="591" w:type="pct"/>
            <w:tcBorders>
              <w:top w:val="nil"/>
              <w:left w:val="nil"/>
              <w:bottom w:val="single" w:sz="4" w:space="0" w:color="FFFFFF"/>
              <w:right w:val="nil"/>
            </w:tcBorders>
            <w:noWrap/>
            <w:vAlign w:val="center"/>
          </w:tcPr>
          <w:p w14:paraId="4D9E6883" w14:textId="67CEDC7C" w:rsidR="00064D78" w:rsidRPr="00ED1093" w:rsidRDefault="00064D78" w:rsidP="00064D78">
            <w:pPr>
              <w:jc w:val="right"/>
              <w:rPr>
                <w:rFonts w:ascii="CAIXA Std Book" w:hAnsi="CAIXA Std Book"/>
                <w:color w:val="005CA9"/>
                <w:sz w:val="18"/>
                <w:szCs w:val="18"/>
              </w:rPr>
            </w:pPr>
            <w:r w:rsidRPr="00ED1093">
              <w:rPr>
                <w:rFonts w:ascii="CAIXA Std Book" w:hAnsi="CAIXA Std Book" w:cs="Arial"/>
                <w:color w:val="005CA9"/>
                <w:sz w:val="18"/>
                <w:szCs w:val="18"/>
              </w:rPr>
              <w:t>162.163</w:t>
            </w:r>
          </w:p>
        </w:tc>
        <w:tc>
          <w:tcPr>
            <w:tcW w:w="591" w:type="pct"/>
            <w:tcBorders>
              <w:top w:val="nil"/>
              <w:left w:val="nil"/>
              <w:bottom w:val="single" w:sz="4" w:space="0" w:color="FFFFFF"/>
              <w:right w:val="nil"/>
            </w:tcBorders>
            <w:noWrap/>
            <w:vAlign w:val="center"/>
          </w:tcPr>
          <w:p w14:paraId="511C4214" w14:textId="0977FC8A" w:rsidR="00064D78" w:rsidRPr="00ED1093" w:rsidRDefault="0068522A" w:rsidP="00064D78">
            <w:pPr>
              <w:jc w:val="right"/>
              <w:rPr>
                <w:rFonts w:ascii="CAIXA Std Book" w:hAnsi="CAIXA Std Book"/>
                <w:color w:val="005CA9"/>
                <w:sz w:val="18"/>
                <w:szCs w:val="18"/>
              </w:rPr>
            </w:pPr>
            <w:r>
              <w:rPr>
                <w:rFonts w:ascii="CAIXA Std Book" w:hAnsi="CAIXA Std Book" w:cs="Arial"/>
                <w:color w:val="005CA9"/>
                <w:sz w:val="18"/>
                <w:szCs w:val="18"/>
              </w:rPr>
              <w:t>5.759</w:t>
            </w:r>
          </w:p>
        </w:tc>
        <w:tc>
          <w:tcPr>
            <w:tcW w:w="591" w:type="pct"/>
            <w:tcBorders>
              <w:top w:val="nil"/>
              <w:left w:val="nil"/>
              <w:bottom w:val="single" w:sz="4" w:space="0" w:color="FFFFFF"/>
              <w:right w:val="nil"/>
            </w:tcBorders>
            <w:noWrap/>
            <w:vAlign w:val="center"/>
          </w:tcPr>
          <w:p w14:paraId="441FE6F6" w14:textId="75B14B66" w:rsidR="00064D78" w:rsidRPr="00ED1093" w:rsidRDefault="0068522A" w:rsidP="00064D78">
            <w:pPr>
              <w:jc w:val="center"/>
              <w:rPr>
                <w:rFonts w:ascii="CAIXA Std Book" w:hAnsi="CAIXA Std Book"/>
                <w:color w:val="005CA9"/>
                <w:sz w:val="18"/>
                <w:szCs w:val="18"/>
              </w:rPr>
            </w:pPr>
            <w:r>
              <w:rPr>
                <w:rFonts w:ascii="CAIXA Std Book" w:hAnsi="CAIXA Std Book" w:cs="Arial"/>
                <w:color w:val="005CA9"/>
                <w:sz w:val="18"/>
                <w:szCs w:val="18"/>
              </w:rPr>
              <w:t>-</w:t>
            </w:r>
          </w:p>
        </w:tc>
        <w:tc>
          <w:tcPr>
            <w:tcW w:w="591" w:type="pct"/>
            <w:tcBorders>
              <w:top w:val="nil"/>
              <w:left w:val="nil"/>
              <w:bottom w:val="single" w:sz="4" w:space="0" w:color="FFFFFF"/>
              <w:right w:val="nil"/>
            </w:tcBorders>
            <w:noWrap/>
            <w:vAlign w:val="center"/>
          </w:tcPr>
          <w:p w14:paraId="16EC4236" w14:textId="65A421BA" w:rsidR="00064D78" w:rsidRPr="00ED1093" w:rsidRDefault="0068522A" w:rsidP="00064D78">
            <w:pPr>
              <w:jc w:val="center"/>
              <w:rPr>
                <w:rFonts w:ascii="CAIXA Std Book" w:hAnsi="CAIXA Std Book"/>
                <w:color w:val="005CA9"/>
                <w:sz w:val="18"/>
                <w:szCs w:val="18"/>
              </w:rPr>
            </w:pPr>
            <w:r>
              <w:rPr>
                <w:rFonts w:ascii="CAIXA Std Book" w:hAnsi="CAIXA Std Book" w:cs="Arial"/>
                <w:color w:val="005CA9"/>
                <w:sz w:val="18"/>
                <w:szCs w:val="18"/>
              </w:rPr>
              <w:t>-</w:t>
            </w:r>
          </w:p>
        </w:tc>
        <w:tc>
          <w:tcPr>
            <w:tcW w:w="593" w:type="pct"/>
            <w:tcBorders>
              <w:top w:val="nil"/>
              <w:left w:val="nil"/>
              <w:bottom w:val="single" w:sz="4" w:space="0" w:color="FFFFFF"/>
              <w:right w:val="nil"/>
            </w:tcBorders>
            <w:noWrap/>
            <w:vAlign w:val="center"/>
          </w:tcPr>
          <w:p w14:paraId="00B4D91A" w14:textId="231C0C52" w:rsidR="00064D78" w:rsidRPr="00ED1093" w:rsidRDefault="0068522A" w:rsidP="00064D78">
            <w:pPr>
              <w:jc w:val="right"/>
              <w:rPr>
                <w:rFonts w:ascii="CAIXA Std Book" w:hAnsi="CAIXA Std Book"/>
                <w:color w:val="005CA9"/>
                <w:sz w:val="18"/>
                <w:szCs w:val="18"/>
              </w:rPr>
            </w:pPr>
            <w:r>
              <w:rPr>
                <w:rFonts w:ascii="CAIXA Std Book" w:hAnsi="CAIXA Std Book" w:cs="Arial"/>
                <w:color w:val="005CA9"/>
                <w:sz w:val="18"/>
                <w:szCs w:val="18"/>
              </w:rPr>
              <w:t>167.922</w:t>
            </w:r>
          </w:p>
        </w:tc>
      </w:tr>
      <w:tr w:rsidR="00064D78" w:rsidRPr="00ED1093" w14:paraId="28E42E70" w14:textId="77777777" w:rsidTr="009E220E">
        <w:trPr>
          <w:trHeight w:val="255"/>
        </w:trPr>
        <w:tc>
          <w:tcPr>
            <w:tcW w:w="2043" w:type="pct"/>
            <w:tcBorders>
              <w:top w:val="nil"/>
              <w:left w:val="nil"/>
              <w:bottom w:val="single" w:sz="4" w:space="0" w:color="FFFFFF"/>
              <w:right w:val="nil"/>
            </w:tcBorders>
            <w:shd w:val="clear" w:color="000000" w:fill="FFFFFF"/>
            <w:noWrap/>
            <w:vAlign w:val="center"/>
            <w:hideMark/>
          </w:tcPr>
          <w:p w14:paraId="619E7586" w14:textId="77777777" w:rsidR="00064D78" w:rsidRPr="00ED1093" w:rsidRDefault="00064D78" w:rsidP="00064D78">
            <w:pPr>
              <w:rPr>
                <w:rFonts w:ascii="CAIXA Std Book" w:eastAsia="Times New Roman" w:hAnsi="CAIXA Std Book" w:cs="Calibri"/>
                <w:color w:val="005CA9"/>
                <w:sz w:val="18"/>
                <w:szCs w:val="18"/>
              </w:rPr>
            </w:pPr>
            <w:r w:rsidRPr="00ED1093">
              <w:rPr>
                <w:rFonts w:ascii="CAIXA Std Book" w:eastAsia="Times New Roman" w:hAnsi="CAIXA Std Book" w:cs="Calibri"/>
                <w:color w:val="005CA9"/>
                <w:sz w:val="18"/>
                <w:szCs w:val="18"/>
              </w:rPr>
              <w:t>Títulos privados de entidades não financeiras</w:t>
            </w:r>
          </w:p>
        </w:tc>
        <w:tc>
          <w:tcPr>
            <w:tcW w:w="591" w:type="pct"/>
            <w:tcBorders>
              <w:top w:val="nil"/>
              <w:left w:val="nil"/>
              <w:bottom w:val="single" w:sz="4" w:space="0" w:color="FFFFFF"/>
              <w:right w:val="nil"/>
            </w:tcBorders>
            <w:noWrap/>
            <w:vAlign w:val="center"/>
          </w:tcPr>
          <w:p w14:paraId="170F86B6" w14:textId="05ED7544" w:rsidR="00064D78" w:rsidRPr="00ED1093" w:rsidRDefault="00064D78" w:rsidP="00064D78">
            <w:pPr>
              <w:jc w:val="right"/>
              <w:rPr>
                <w:rFonts w:ascii="CAIXA Std Book" w:eastAsia="Times New Roman" w:hAnsi="CAIXA Std Book" w:cs="Calibri"/>
                <w:color w:val="005CA9"/>
                <w:sz w:val="18"/>
                <w:szCs w:val="18"/>
              </w:rPr>
            </w:pPr>
            <w:r w:rsidRPr="00ED1093">
              <w:rPr>
                <w:rFonts w:ascii="CAIXA Std Book" w:hAnsi="CAIXA Std Book" w:cs="Arial"/>
                <w:color w:val="005CA9"/>
                <w:sz w:val="18"/>
                <w:szCs w:val="18"/>
              </w:rPr>
              <w:t>3.258.472</w:t>
            </w:r>
          </w:p>
        </w:tc>
        <w:tc>
          <w:tcPr>
            <w:tcW w:w="591" w:type="pct"/>
            <w:tcBorders>
              <w:top w:val="nil"/>
              <w:left w:val="nil"/>
              <w:bottom w:val="single" w:sz="4" w:space="0" w:color="FFFFFF"/>
              <w:right w:val="nil"/>
            </w:tcBorders>
            <w:noWrap/>
            <w:vAlign w:val="center"/>
          </w:tcPr>
          <w:p w14:paraId="49AFBB00" w14:textId="371DBE1E" w:rsidR="00064D78" w:rsidRPr="00ED1093" w:rsidRDefault="0068522A" w:rsidP="00064D78">
            <w:pPr>
              <w:jc w:val="right"/>
              <w:rPr>
                <w:rFonts w:ascii="CAIXA Std Book" w:hAnsi="CAIXA Std Book"/>
                <w:color w:val="005CA9"/>
                <w:sz w:val="18"/>
                <w:szCs w:val="18"/>
              </w:rPr>
            </w:pPr>
            <w:r>
              <w:rPr>
                <w:rFonts w:ascii="CAIXA Std Book" w:hAnsi="CAIXA Std Book" w:cs="Arial"/>
                <w:color w:val="005CA9"/>
                <w:sz w:val="18"/>
                <w:szCs w:val="18"/>
              </w:rPr>
              <w:t>1.083.17</w:t>
            </w:r>
            <w:r w:rsidR="00264338">
              <w:rPr>
                <w:rFonts w:ascii="CAIXA Std Book" w:hAnsi="CAIXA Std Book" w:cs="Arial"/>
                <w:color w:val="005CA9"/>
                <w:sz w:val="18"/>
                <w:szCs w:val="18"/>
              </w:rPr>
              <w:t>1</w:t>
            </w:r>
          </w:p>
        </w:tc>
        <w:tc>
          <w:tcPr>
            <w:tcW w:w="591" w:type="pct"/>
            <w:tcBorders>
              <w:top w:val="nil"/>
              <w:left w:val="nil"/>
              <w:bottom w:val="single" w:sz="4" w:space="0" w:color="FFFFFF"/>
              <w:right w:val="nil"/>
            </w:tcBorders>
            <w:noWrap/>
            <w:vAlign w:val="center"/>
          </w:tcPr>
          <w:p w14:paraId="75A5C264" w14:textId="61904346" w:rsidR="00064D78" w:rsidRPr="00ED1093" w:rsidRDefault="0068522A" w:rsidP="00064D78">
            <w:pPr>
              <w:jc w:val="center"/>
              <w:rPr>
                <w:rFonts w:ascii="CAIXA Std Book" w:hAnsi="CAIXA Std Book"/>
                <w:color w:val="005CA9"/>
                <w:sz w:val="18"/>
                <w:szCs w:val="18"/>
              </w:rPr>
            </w:pPr>
            <w:r>
              <w:rPr>
                <w:rFonts w:ascii="CAIXA Std Book" w:hAnsi="CAIXA Std Book" w:cs="Arial"/>
                <w:color w:val="005CA9"/>
                <w:sz w:val="18"/>
                <w:szCs w:val="18"/>
              </w:rPr>
              <w:t>-</w:t>
            </w:r>
          </w:p>
        </w:tc>
        <w:tc>
          <w:tcPr>
            <w:tcW w:w="591" w:type="pct"/>
            <w:tcBorders>
              <w:top w:val="nil"/>
              <w:left w:val="nil"/>
              <w:bottom w:val="single" w:sz="4" w:space="0" w:color="FFFFFF"/>
              <w:right w:val="nil"/>
            </w:tcBorders>
            <w:noWrap/>
            <w:vAlign w:val="center"/>
          </w:tcPr>
          <w:p w14:paraId="731F7CE6" w14:textId="03203444" w:rsidR="00064D78" w:rsidRPr="00ED1093" w:rsidRDefault="0068522A" w:rsidP="0068522A">
            <w:pPr>
              <w:jc w:val="center"/>
              <w:rPr>
                <w:rFonts w:ascii="CAIXA Std Book" w:hAnsi="CAIXA Std Book"/>
                <w:color w:val="005CA9"/>
                <w:sz w:val="18"/>
                <w:szCs w:val="18"/>
              </w:rPr>
            </w:pPr>
            <w:r>
              <w:rPr>
                <w:rFonts w:ascii="CAIXA Std Book" w:hAnsi="CAIXA Std Book" w:cs="Arial"/>
                <w:color w:val="005CA9"/>
                <w:sz w:val="18"/>
                <w:szCs w:val="18"/>
              </w:rPr>
              <w:t>-</w:t>
            </w:r>
          </w:p>
        </w:tc>
        <w:tc>
          <w:tcPr>
            <w:tcW w:w="593" w:type="pct"/>
            <w:tcBorders>
              <w:top w:val="nil"/>
              <w:left w:val="nil"/>
              <w:bottom w:val="single" w:sz="4" w:space="0" w:color="FFFFFF"/>
              <w:right w:val="nil"/>
            </w:tcBorders>
            <w:noWrap/>
            <w:vAlign w:val="center"/>
          </w:tcPr>
          <w:p w14:paraId="1A076617" w14:textId="1911A408" w:rsidR="00064D78" w:rsidRPr="00ED1093" w:rsidRDefault="0068522A" w:rsidP="00064D78">
            <w:pPr>
              <w:jc w:val="right"/>
              <w:rPr>
                <w:rFonts w:ascii="CAIXA Std Book" w:hAnsi="CAIXA Std Book"/>
                <w:color w:val="005CA9"/>
                <w:sz w:val="18"/>
                <w:szCs w:val="18"/>
              </w:rPr>
            </w:pPr>
            <w:r>
              <w:rPr>
                <w:rFonts w:ascii="CAIXA Std Book" w:hAnsi="CAIXA Std Book" w:cs="Arial"/>
                <w:color w:val="005CA9"/>
                <w:sz w:val="18"/>
                <w:szCs w:val="18"/>
              </w:rPr>
              <w:t>4.341.64</w:t>
            </w:r>
            <w:r w:rsidR="00264338">
              <w:rPr>
                <w:rFonts w:ascii="CAIXA Std Book" w:hAnsi="CAIXA Std Book" w:cs="Arial"/>
                <w:color w:val="005CA9"/>
                <w:sz w:val="18"/>
                <w:szCs w:val="18"/>
              </w:rPr>
              <w:t>3</w:t>
            </w:r>
          </w:p>
        </w:tc>
      </w:tr>
      <w:tr w:rsidR="00064D78" w:rsidRPr="00ED1093" w14:paraId="0BBE866B" w14:textId="77777777" w:rsidTr="009E220E">
        <w:trPr>
          <w:trHeight w:val="255"/>
        </w:trPr>
        <w:tc>
          <w:tcPr>
            <w:tcW w:w="2043" w:type="pct"/>
            <w:tcBorders>
              <w:top w:val="nil"/>
              <w:left w:val="nil"/>
              <w:bottom w:val="single" w:sz="4" w:space="0" w:color="FFFFFF"/>
              <w:right w:val="nil"/>
            </w:tcBorders>
            <w:shd w:val="clear" w:color="000000" w:fill="FFFFFF"/>
            <w:noWrap/>
            <w:vAlign w:val="center"/>
            <w:hideMark/>
          </w:tcPr>
          <w:p w14:paraId="54D64D5C" w14:textId="77777777" w:rsidR="00064D78" w:rsidRPr="00ED1093" w:rsidRDefault="00064D78" w:rsidP="00064D78">
            <w:pPr>
              <w:rPr>
                <w:rFonts w:ascii="CAIXA Std Book" w:eastAsia="Times New Roman" w:hAnsi="CAIXA Std Book" w:cs="Calibri"/>
                <w:color w:val="005CA9"/>
                <w:sz w:val="18"/>
                <w:szCs w:val="18"/>
              </w:rPr>
            </w:pPr>
            <w:r w:rsidRPr="00ED1093">
              <w:rPr>
                <w:rFonts w:ascii="CAIXA Std Book" w:eastAsia="Times New Roman" w:hAnsi="CAIXA Std Book" w:cs="Calibri"/>
                <w:color w:val="005CA9"/>
                <w:sz w:val="18"/>
                <w:szCs w:val="18"/>
              </w:rPr>
              <w:t xml:space="preserve">Cotas de fundo de investimento </w:t>
            </w:r>
          </w:p>
        </w:tc>
        <w:tc>
          <w:tcPr>
            <w:tcW w:w="591" w:type="pct"/>
            <w:tcBorders>
              <w:top w:val="nil"/>
              <w:left w:val="nil"/>
              <w:bottom w:val="single" w:sz="4" w:space="0" w:color="FFFFFF"/>
              <w:right w:val="nil"/>
            </w:tcBorders>
            <w:noWrap/>
            <w:vAlign w:val="center"/>
          </w:tcPr>
          <w:p w14:paraId="3C62B7FC" w14:textId="01B85A9E" w:rsidR="00064D78" w:rsidRPr="00ED1093" w:rsidRDefault="00064D78" w:rsidP="00064D78">
            <w:pPr>
              <w:jc w:val="right"/>
              <w:rPr>
                <w:rFonts w:ascii="CAIXA Std Book" w:eastAsia="Times New Roman" w:hAnsi="CAIXA Std Book" w:cs="Calibri"/>
                <w:color w:val="005CA9"/>
                <w:sz w:val="18"/>
                <w:szCs w:val="18"/>
              </w:rPr>
            </w:pPr>
            <w:r w:rsidRPr="00ED1093">
              <w:rPr>
                <w:rFonts w:ascii="CAIXA Std Book" w:hAnsi="CAIXA Std Book" w:cs="Arial"/>
                <w:color w:val="005CA9"/>
                <w:sz w:val="18"/>
                <w:szCs w:val="18"/>
              </w:rPr>
              <w:t>27.147</w:t>
            </w:r>
          </w:p>
        </w:tc>
        <w:tc>
          <w:tcPr>
            <w:tcW w:w="591" w:type="pct"/>
            <w:tcBorders>
              <w:top w:val="nil"/>
              <w:left w:val="nil"/>
              <w:bottom w:val="single" w:sz="4" w:space="0" w:color="FFFFFF"/>
              <w:right w:val="nil"/>
            </w:tcBorders>
            <w:noWrap/>
            <w:vAlign w:val="center"/>
          </w:tcPr>
          <w:p w14:paraId="3239182A" w14:textId="44AA1B90" w:rsidR="00064D78" w:rsidRPr="00ED1093" w:rsidRDefault="007E0C74" w:rsidP="00064D78">
            <w:pPr>
              <w:jc w:val="right"/>
              <w:rPr>
                <w:rFonts w:ascii="CAIXA Std Book" w:hAnsi="CAIXA Std Book"/>
                <w:color w:val="005CA9"/>
                <w:sz w:val="18"/>
                <w:szCs w:val="18"/>
              </w:rPr>
            </w:pPr>
            <w:r>
              <w:rPr>
                <w:rFonts w:ascii="CAIXA Std Book" w:hAnsi="CAIXA Std Book" w:cs="Arial"/>
                <w:color w:val="005CA9"/>
                <w:sz w:val="18"/>
                <w:szCs w:val="18"/>
              </w:rPr>
              <w:t>134.647</w:t>
            </w:r>
          </w:p>
        </w:tc>
        <w:tc>
          <w:tcPr>
            <w:tcW w:w="591" w:type="pct"/>
            <w:tcBorders>
              <w:top w:val="nil"/>
              <w:left w:val="nil"/>
              <w:bottom w:val="single" w:sz="4" w:space="0" w:color="FFFFFF"/>
              <w:right w:val="nil"/>
            </w:tcBorders>
            <w:noWrap/>
            <w:vAlign w:val="center"/>
          </w:tcPr>
          <w:p w14:paraId="5360C006" w14:textId="358108B2" w:rsidR="00064D78" w:rsidRPr="00ED1093" w:rsidRDefault="0068522A" w:rsidP="00064D78">
            <w:pPr>
              <w:jc w:val="center"/>
              <w:rPr>
                <w:rFonts w:ascii="CAIXA Std Book" w:hAnsi="CAIXA Std Book"/>
                <w:color w:val="005CA9"/>
                <w:sz w:val="18"/>
                <w:szCs w:val="18"/>
              </w:rPr>
            </w:pPr>
            <w:r>
              <w:rPr>
                <w:rFonts w:ascii="CAIXA Std Book" w:hAnsi="CAIXA Std Book" w:cs="Arial"/>
                <w:color w:val="005CA9"/>
                <w:sz w:val="18"/>
                <w:szCs w:val="18"/>
              </w:rPr>
              <w:t>-</w:t>
            </w:r>
          </w:p>
        </w:tc>
        <w:tc>
          <w:tcPr>
            <w:tcW w:w="591" w:type="pct"/>
            <w:tcBorders>
              <w:top w:val="nil"/>
              <w:left w:val="nil"/>
              <w:bottom w:val="single" w:sz="4" w:space="0" w:color="FFFFFF"/>
              <w:right w:val="nil"/>
            </w:tcBorders>
            <w:noWrap/>
            <w:vAlign w:val="center"/>
          </w:tcPr>
          <w:p w14:paraId="41B38BEF" w14:textId="1468F319" w:rsidR="00064D78" w:rsidRPr="00ED1093" w:rsidRDefault="0068522A" w:rsidP="00064D78">
            <w:pPr>
              <w:jc w:val="center"/>
              <w:rPr>
                <w:rFonts w:ascii="CAIXA Std Book" w:hAnsi="CAIXA Std Book"/>
                <w:color w:val="005CA9"/>
                <w:sz w:val="18"/>
                <w:szCs w:val="18"/>
              </w:rPr>
            </w:pPr>
            <w:r>
              <w:rPr>
                <w:rFonts w:ascii="CAIXA Std Book" w:hAnsi="CAIXA Std Book" w:cs="Arial"/>
                <w:color w:val="005CA9"/>
                <w:sz w:val="18"/>
                <w:szCs w:val="18"/>
              </w:rPr>
              <w:t>-</w:t>
            </w:r>
          </w:p>
        </w:tc>
        <w:tc>
          <w:tcPr>
            <w:tcW w:w="593" w:type="pct"/>
            <w:tcBorders>
              <w:top w:val="nil"/>
              <w:left w:val="nil"/>
              <w:bottom w:val="single" w:sz="4" w:space="0" w:color="FFFFFF"/>
              <w:right w:val="nil"/>
            </w:tcBorders>
            <w:noWrap/>
            <w:vAlign w:val="center"/>
          </w:tcPr>
          <w:p w14:paraId="200C1CED" w14:textId="30AD0AEC" w:rsidR="00064D78" w:rsidRPr="00ED1093" w:rsidRDefault="007E0C74" w:rsidP="00064D78">
            <w:pPr>
              <w:jc w:val="right"/>
              <w:rPr>
                <w:rFonts w:ascii="CAIXA Std Book" w:hAnsi="CAIXA Std Book"/>
                <w:color w:val="005CA9"/>
                <w:sz w:val="18"/>
                <w:szCs w:val="18"/>
              </w:rPr>
            </w:pPr>
            <w:r>
              <w:rPr>
                <w:rFonts w:ascii="CAIXA Std Book" w:hAnsi="CAIXA Std Book" w:cs="Arial"/>
                <w:color w:val="005CA9"/>
                <w:sz w:val="18"/>
                <w:szCs w:val="18"/>
              </w:rPr>
              <w:t>161.794</w:t>
            </w:r>
          </w:p>
        </w:tc>
      </w:tr>
      <w:tr w:rsidR="00064D78" w:rsidRPr="00ED1093" w14:paraId="3D41CEB5" w14:textId="77777777" w:rsidTr="009E220E">
        <w:trPr>
          <w:trHeight w:val="255"/>
        </w:trPr>
        <w:tc>
          <w:tcPr>
            <w:tcW w:w="2043" w:type="pct"/>
            <w:tcBorders>
              <w:top w:val="nil"/>
              <w:left w:val="nil"/>
              <w:bottom w:val="single" w:sz="4" w:space="0" w:color="FFFFFF"/>
              <w:right w:val="nil"/>
            </w:tcBorders>
            <w:shd w:val="clear" w:color="000000" w:fill="FFFFFF"/>
            <w:noWrap/>
            <w:vAlign w:val="center"/>
            <w:hideMark/>
          </w:tcPr>
          <w:p w14:paraId="273773F1" w14:textId="77777777" w:rsidR="00064D78" w:rsidRPr="00ED1093" w:rsidRDefault="00064D78" w:rsidP="00064D78">
            <w:pPr>
              <w:rPr>
                <w:rFonts w:ascii="CAIXA Std Book" w:eastAsia="Times New Roman" w:hAnsi="CAIXA Std Book" w:cs="Calibri"/>
                <w:color w:val="005CA9"/>
                <w:sz w:val="18"/>
                <w:szCs w:val="18"/>
              </w:rPr>
            </w:pPr>
            <w:r w:rsidRPr="00ED1093">
              <w:rPr>
                <w:rFonts w:ascii="CAIXA Std Book" w:eastAsia="Times New Roman" w:hAnsi="CAIXA Std Book" w:cs="Calibri"/>
                <w:color w:val="005CA9"/>
                <w:sz w:val="18"/>
                <w:szCs w:val="18"/>
              </w:rPr>
              <w:t xml:space="preserve">Ações </w:t>
            </w:r>
          </w:p>
        </w:tc>
        <w:tc>
          <w:tcPr>
            <w:tcW w:w="591" w:type="pct"/>
            <w:tcBorders>
              <w:top w:val="nil"/>
              <w:left w:val="nil"/>
              <w:bottom w:val="single" w:sz="4" w:space="0" w:color="FFFFFF"/>
              <w:right w:val="nil"/>
            </w:tcBorders>
            <w:noWrap/>
            <w:vAlign w:val="center"/>
          </w:tcPr>
          <w:p w14:paraId="15679974" w14:textId="1879199F" w:rsidR="00064D78" w:rsidRPr="00ED1093" w:rsidRDefault="00064D78" w:rsidP="00064D78">
            <w:pPr>
              <w:jc w:val="right"/>
              <w:rPr>
                <w:rFonts w:ascii="CAIXA Std Book" w:eastAsia="Times New Roman" w:hAnsi="CAIXA Std Book" w:cs="Calibri"/>
                <w:color w:val="005CA9"/>
                <w:sz w:val="18"/>
                <w:szCs w:val="18"/>
              </w:rPr>
            </w:pPr>
            <w:r w:rsidRPr="00ED1093">
              <w:rPr>
                <w:rFonts w:ascii="CAIXA Std Book" w:hAnsi="CAIXA Std Book" w:cs="Arial"/>
                <w:color w:val="005CA9"/>
                <w:sz w:val="18"/>
                <w:szCs w:val="18"/>
              </w:rPr>
              <w:t>917.736</w:t>
            </w:r>
          </w:p>
        </w:tc>
        <w:tc>
          <w:tcPr>
            <w:tcW w:w="591" w:type="pct"/>
            <w:tcBorders>
              <w:top w:val="nil"/>
              <w:left w:val="nil"/>
              <w:bottom w:val="single" w:sz="4" w:space="0" w:color="FFFFFF"/>
              <w:right w:val="nil"/>
            </w:tcBorders>
            <w:noWrap/>
            <w:vAlign w:val="center"/>
          </w:tcPr>
          <w:p w14:paraId="4276B3C2" w14:textId="5A2C5B47" w:rsidR="00064D78" w:rsidRPr="00ED1093" w:rsidRDefault="0068522A" w:rsidP="00064D78">
            <w:pPr>
              <w:jc w:val="right"/>
              <w:rPr>
                <w:rFonts w:ascii="CAIXA Std Book" w:hAnsi="CAIXA Std Book"/>
                <w:color w:val="005CA9"/>
                <w:sz w:val="18"/>
                <w:szCs w:val="18"/>
              </w:rPr>
            </w:pPr>
            <w:r>
              <w:rPr>
                <w:rFonts w:ascii="CAIXA Std Book" w:hAnsi="CAIXA Std Book" w:cs="Arial"/>
                <w:color w:val="005CA9"/>
                <w:sz w:val="18"/>
                <w:szCs w:val="18"/>
              </w:rPr>
              <w:t>(815.130)</w:t>
            </w:r>
          </w:p>
        </w:tc>
        <w:tc>
          <w:tcPr>
            <w:tcW w:w="591" w:type="pct"/>
            <w:tcBorders>
              <w:top w:val="nil"/>
              <w:left w:val="nil"/>
              <w:bottom w:val="single" w:sz="4" w:space="0" w:color="FFFFFF"/>
              <w:right w:val="nil"/>
            </w:tcBorders>
            <w:noWrap/>
            <w:vAlign w:val="center"/>
          </w:tcPr>
          <w:p w14:paraId="5EDAF14A" w14:textId="636B6FEC" w:rsidR="00064D78" w:rsidRPr="00ED1093" w:rsidRDefault="0068522A" w:rsidP="00064D78">
            <w:pPr>
              <w:jc w:val="center"/>
              <w:rPr>
                <w:rFonts w:ascii="CAIXA Std Book" w:hAnsi="CAIXA Std Book"/>
                <w:color w:val="005CA9"/>
                <w:sz w:val="18"/>
                <w:szCs w:val="18"/>
              </w:rPr>
            </w:pPr>
            <w:r>
              <w:rPr>
                <w:rFonts w:ascii="CAIXA Std Book" w:hAnsi="CAIXA Std Book" w:cs="Arial"/>
                <w:color w:val="005CA9"/>
                <w:sz w:val="18"/>
                <w:szCs w:val="18"/>
              </w:rPr>
              <w:t>-</w:t>
            </w:r>
          </w:p>
        </w:tc>
        <w:tc>
          <w:tcPr>
            <w:tcW w:w="591" w:type="pct"/>
            <w:tcBorders>
              <w:top w:val="nil"/>
              <w:left w:val="nil"/>
              <w:bottom w:val="single" w:sz="4" w:space="0" w:color="FFFFFF"/>
              <w:right w:val="nil"/>
            </w:tcBorders>
            <w:noWrap/>
            <w:vAlign w:val="center"/>
          </w:tcPr>
          <w:p w14:paraId="10679F98" w14:textId="58821404" w:rsidR="00064D78" w:rsidRPr="00ED1093" w:rsidRDefault="0068522A" w:rsidP="00064D78">
            <w:pPr>
              <w:jc w:val="center"/>
              <w:rPr>
                <w:rFonts w:ascii="CAIXA Std Book" w:hAnsi="CAIXA Std Book"/>
                <w:color w:val="005CA9"/>
                <w:sz w:val="18"/>
                <w:szCs w:val="18"/>
              </w:rPr>
            </w:pPr>
            <w:r>
              <w:rPr>
                <w:rFonts w:ascii="CAIXA Std Book" w:hAnsi="CAIXA Std Book" w:cs="Arial"/>
                <w:color w:val="005CA9"/>
                <w:sz w:val="18"/>
                <w:szCs w:val="18"/>
              </w:rPr>
              <w:t>-</w:t>
            </w:r>
          </w:p>
        </w:tc>
        <w:tc>
          <w:tcPr>
            <w:tcW w:w="593" w:type="pct"/>
            <w:tcBorders>
              <w:top w:val="nil"/>
              <w:left w:val="nil"/>
              <w:bottom w:val="single" w:sz="4" w:space="0" w:color="FFFFFF"/>
              <w:right w:val="nil"/>
            </w:tcBorders>
            <w:noWrap/>
            <w:vAlign w:val="center"/>
          </w:tcPr>
          <w:p w14:paraId="7262396C" w14:textId="641765B4" w:rsidR="00064D78" w:rsidRPr="00ED1093" w:rsidRDefault="0068522A" w:rsidP="00064D78">
            <w:pPr>
              <w:jc w:val="right"/>
              <w:rPr>
                <w:rFonts w:ascii="CAIXA Std Book" w:hAnsi="CAIXA Std Book"/>
                <w:color w:val="005CA9"/>
                <w:sz w:val="18"/>
                <w:szCs w:val="18"/>
              </w:rPr>
            </w:pPr>
            <w:r>
              <w:rPr>
                <w:rFonts w:ascii="CAIXA Std Book" w:hAnsi="CAIXA Std Book" w:cs="Arial"/>
                <w:color w:val="005CA9"/>
                <w:sz w:val="18"/>
                <w:szCs w:val="18"/>
              </w:rPr>
              <w:t>102.606</w:t>
            </w:r>
          </w:p>
        </w:tc>
      </w:tr>
      <w:tr w:rsidR="00064D78" w:rsidRPr="00ED1093" w14:paraId="512C36EB" w14:textId="77777777" w:rsidTr="009E220E">
        <w:trPr>
          <w:trHeight w:val="255"/>
        </w:trPr>
        <w:tc>
          <w:tcPr>
            <w:tcW w:w="2043" w:type="pct"/>
            <w:tcBorders>
              <w:top w:val="nil"/>
              <w:left w:val="nil"/>
              <w:bottom w:val="single" w:sz="4" w:space="0" w:color="FFFFFF"/>
              <w:right w:val="nil"/>
            </w:tcBorders>
            <w:shd w:val="clear" w:color="auto" w:fill="005CA9"/>
            <w:noWrap/>
            <w:vAlign w:val="center"/>
            <w:hideMark/>
          </w:tcPr>
          <w:p w14:paraId="20A3D3F1" w14:textId="77777777" w:rsidR="00064D78" w:rsidRPr="00ED1093" w:rsidRDefault="00064D78" w:rsidP="00064D78">
            <w:pPr>
              <w:rPr>
                <w:rFonts w:ascii="CAIXA Std Book" w:eastAsia="Times New Roman" w:hAnsi="CAIXA Std Book" w:cs="Calibri"/>
                <w:b/>
                <w:bCs/>
                <w:color w:val="FFFFFF"/>
                <w:sz w:val="18"/>
                <w:szCs w:val="18"/>
              </w:rPr>
            </w:pPr>
            <w:r w:rsidRPr="00ED1093">
              <w:rPr>
                <w:rFonts w:ascii="CAIXA Std Book" w:eastAsia="Times New Roman" w:hAnsi="CAIXA Std Book" w:cs="Calibri"/>
                <w:b/>
                <w:bCs/>
                <w:color w:val="FFFFFF"/>
                <w:sz w:val="18"/>
                <w:szCs w:val="18"/>
              </w:rPr>
              <w:t>Total</w:t>
            </w:r>
          </w:p>
        </w:tc>
        <w:tc>
          <w:tcPr>
            <w:tcW w:w="591" w:type="pct"/>
            <w:tcBorders>
              <w:top w:val="nil"/>
              <w:left w:val="nil"/>
              <w:bottom w:val="single" w:sz="4" w:space="0" w:color="FFFFFF"/>
              <w:right w:val="nil"/>
            </w:tcBorders>
            <w:shd w:val="clear" w:color="auto" w:fill="005CA9"/>
            <w:noWrap/>
            <w:vAlign w:val="center"/>
          </w:tcPr>
          <w:p w14:paraId="48068464" w14:textId="78D8A168" w:rsidR="00064D78" w:rsidRPr="00ED1093" w:rsidRDefault="00064D78" w:rsidP="00064D78">
            <w:pPr>
              <w:jc w:val="right"/>
              <w:rPr>
                <w:rFonts w:ascii="CAIXA Std Book" w:hAnsi="CAIXA Std Book" w:cs="Calibri"/>
                <w:b/>
                <w:color w:val="FFFFFF"/>
                <w:sz w:val="18"/>
                <w:szCs w:val="18"/>
              </w:rPr>
            </w:pPr>
            <w:r w:rsidRPr="00ED1093">
              <w:rPr>
                <w:rFonts w:ascii="CAIXA Std Book" w:hAnsi="CAIXA Std Book" w:cs="Arial"/>
                <w:b/>
                <w:bCs/>
                <w:color w:val="FFFFFF"/>
                <w:sz w:val="18"/>
                <w:szCs w:val="18"/>
              </w:rPr>
              <w:t>160.447.438</w:t>
            </w:r>
          </w:p>
        </w:tc>
        <w:tc>
          <w:tcPr>
            <w:tcW w:w="591" w:type="pct"/>
            <w:tcBorders>
              <w:top w:val="nil"/>
              <w:left w:val="nil"/>
              <w:bottom w:val="single" w:sz="4" w:space="0" w:color="FFFFFF"/>
              <w:right w:val="nil"/>
            </w:tcBorders>
            <w:shd w:val="clear" w:color="auto" w:fill="005CA9"/>
            <w:noWrap/>
            <w:vAlign w:val="center"/>
          </w:tcPr>
          <w:p w14:paraId="3D11C0E0" w14:textId="389A2786" w:rsidR="00064D78" w:rsidRPr="00ED1093" w:rsidRDefault="0068522A" w:rsidP="00064D78">
            <w:pPr>
              <w:jc w:val="right"/>
              <w:rPr>
                <w:rFonts w:ascii="CAIXA Std Book" w:hAnsi="CAIXA Std Book" w:cs="Calibri"/>
                <w:b/>
                <w:color w:val="FFFFFF"/>
                <w:sz w:val="18"/>
                <w:szCs w:val="18"/>
              </w:rPr>
            </w:pPr>
            <w:r>
              <w:rPr>
                <w:rFonts w:ascii="CAIXA Std Book" w:hAnsi="CAIXA Std Book" w:cs="Arial"/>
                <w:b/>
                <w:bCs/>
                <w:color w:val="FFFFFF"/>
                <w:sz w:val="18"/>
                <w:szCs w:val="18"/>
              </w:rPr>
              <w:t>(6.</w:t>
            </w:r>
            <w:r w:rsidR="003C0EE2">
              <w:rPr>
                <w:rFonts w:ascii="CAIXA Std Book" w:hAnsi="CAIXA Std Book" w:cs="Arial"/>
                <w:b/>
                <w:bCs/>
                <w:color w:val="FFFFFF"/>
                <w:sz w:val="18"/>
                <w:szCs w:val="18"/>
              </w:rPr>
              <w:t>315.</w:t>
            </w:r>
            <w:r w:rsidR="00223324">
              <w:rPr>
                <w:rFonts w:ascii="CAIXA Std Book" w:hAnsi="CAIXA Std Book" w:cs="Arial"/>
                <w:b/>
                <w:bCs/>
                <w:color w:val="FFFFFF"/>
                <w:sz w:val="18"/>
                <w:szCs w:val="18"/>
              </w:rPr>
              <w:t>34</w:t>
            </w:r>
            <w:r w:rsidR="00264338">
              <w:rPr>
                <w:rFonts w:ascii="CAIXA Std Book" w:hAnsi="CAIXA Std Book" w:cs="Arial"/>
                <w:b/>
                <w:bCs/>
                <w:color w:val="FFFFFF"/>
                <w:sz w:val="18"/>
                <w:szCs w:val="18"/>
              </w:rPr>
              <w:t>4</w:t>
            </w:r>
            <w:r>
              <w:rPr>
                <w:rFonts w:ascii="CAIXA Std Book" w:hAnsi="CAIXA Std Book" w:cs="Arial"/>
                <w:b/>
                <w:bCs/>
                <w:color w:val="FFFFFF"/>
                <w:sz w:val="18"/>
                <w:szCs w:val="18"/>
              </w:rPr>
              <w:t>)</w:t>
            </w:r>
          </w:p>
        </w:tc>
        <w:tc>
          <w:tcPr>
            <w:tcW w:w="591" w:type="pct"/>
            <w:tcBorders>
              <w:top w:val="nil"/>
              <w:left w:val="nil"/>
              <w:bottom w:val="single" w:sz="4" w:space="0" w:color="FFFFFF"/>
              <w:right w:val="nil"/>
            </w:tcBorders>
            <w:shd w:val="clear" w:color="auto" w:fill="005CA9"/>
            <w:noWrap/>
            <w:vAlign w:val="center"/>
          </w:tcPr>
          <w:p w14:paraId="6D213554" w14:textId="60700C24" w:rsidR="00064D78" w:rsidRPr="00ED1093" w:rsidRDefault="0068522A" w:rsidP="00064D78">
            <w:pPr>
              <w:jc w:val="center"/>
              <w:rPr>
                <w:rFonts w:ascii="CAIXA Std Book" w:hAnsi="CAIXA Std Book" w:cs="Calibri"/>
                <w:b/>
                <w:color w:val="FFFFFF"/>
                <w:sz w:val="18"/>
                <w:szCs w:val="18"/>
              </w:rPr>
            </w:pPr>
            <w:r>
              <w:rPr>
                <w:rFonts w:ascii="CAIXA Std Book" w:hAnsi="CAIXA Std Book" w:cs="Arial"/>
                <w:b/>
                <w:bCs/>
                <w:color w:val="FFFFFF"/>
                <w:sz w:val="18"/>
                <w:szCs w:val="18"/>
              </w:rPr>
              <w:t>-</w:t>
            </w:r>
          </w:p>
        </w:tc>
        <w:tc>
          <w:tcPr>
            <w:tcW w:w="591" w:type="pct"/>
            <w:tcBorders>
              <w:top w:val="nil"/>
              <w:left w:val="nil"/>
              <w:bottom w:val="single" w:sz="4" w:space="0" w:color="FFFFFF"/>
              <w:right w:val="nil"/>
            </w:tcBorders>
            <w:shd w:val="clear" w:color="auto" w:fill="005CA9"/>
            <w:noWrap/>
            <w:vAlign w:val="center"/>
          </w:tcPr>
          <w:p w14:paraId="2E07BD32" w14:textId="0CFC2279" w:rsidR="00064D78" w:rsidRPr="00ED1093" w:rsidRDefault="0068522A" w:rsidP="0068522A">
            <w:pPr>
              <w:jc w:val="center"/>
              <w:rPr>
                <w:rFonts w:ascii="CAIXA Std Book" w:hAnsi="CAIXA Std Book" w:cs="Calibri"/>
                <w:b/>
                <w:color w:val="FFFFFF"/>
                <w:sz w:val="18"/>
                <w:szCs w:val="18"/>
              </w:rPr>
            </w:pPr>
            <w:r>
              <w:rPr>
                <w:rFonts w:ascii="CAIXA Std Book" w:hAnsi="CAIXA Std Book" w:cs="Arial"/>
                <w:b/>
                <w:bCs/>
                <w:color w:val="FFFFFF"/>
                <w:sz w:val="18"/>
                <w:szCs w:val="18"/>
              </w:rPr>
              <w:t>-</w:t>
            </w:r>
          </w:p>
        </w:tc>
        <w:tc>
          <w:tcPr>
            <w:tcW w:w="593" w:type="pct"/>
            <w:tcBorders>
              <w:top w:val="nil"/>
              <w:left w:val="nil"/>
              <w:bottom w:val="single" w:sz="4" w:space="0" w:color="FFFFFF"/>
              <w:right w:val="nil"/>
            </w:tcBorders>
            <w:shd w:val="clear" w:color="auto" w:fill="005CA9"/>
            <w:noWrap/>
            <w:vAlign w:val="center"/>
          </w:tcPr>
          <w:p w14:paraId="79F1ED5E" w14:textId="1050D23E" w:rsidR="00064D78" w:rsidRPr="00ED1093" w:rsidRDefault="003C0EE2" w:rsidP="00064D78">
            <w:pPr>
              <w:jc w:val="right"/>
              <w:rPr>
                <w:rFonts w:ascii="CAIXA Std Book" w:hAnsi="CAIXA Std Book" w:cs="Calibri"/>
                <w:b/>
                <w:color w:val="FFFFFF"/>
                <w:sz w:val="18"/>
                <w:szCs w:val="18"/>
              </w:rPr>
            </w:pPr>
            <w:r>
              <w:rPr>
                <w:rFonts w:ascii="CAIXA Std Book" w:hAnsi="CAIXA Std Book" w:cs="Arial"/>
                <w:b/>
                <w:bCs/>
                <w:color w:val="FFFFFF"/>
                <w:sz w:val="18"/>
                <w:szCs w:val="18"/>
              </w:rPr>
              <w:t>154.132.</w:t>
            </w:r>
            <w:r w:rsidR="00223324">
              <w:rPr>
                <w:rFonts w:ascii="CAIXA Std Book" w:hAnsi="CAIXA Std Book" w:cs="Arial"/>
                <w:b/>
                <w:bCs/>
                <w:color w:val="FFFFFF"/>
                <w:sz w:val="18"/>
                <w:szCs w:val="18"/>
              </w:rPr>
              <w:t>09</w:t>
            </w:r>
            <w:r w:rsidR="00264338">
              <w:rPr>
                <w:rFonts w:ascii="CAIXA Std Book" w:hAnsi="CAIXA Std Book" w:cs="Arial"/>
                <w:b/>
                <w:bCs/>
                <w:color w:val="FFFFFF"/>
                <w:sz w:val="18"/>
                <w:szCs w:val="18"/>
              </w:rPr>
              <w:t>4</w:t>
            </w:r>
          </w:p>
        </w:tc>
      </w:tr>
    </w:tbl>
    <w:p w14:paraId="1B4B160A" w14:textId="77777777" w:rsidR="00E20B31" w:rsidRDefault="00E20B31"/>
    <w:tbl>
      <w:tblPr>
        <w:tblW w:w="5000" w:type="pct"/>
        <w:tblCellMar>
          <w:left w:w="70" w:type="dxa"/>
          <w:right w:w="70" w:type="dxa"/>
        </w:tblCellMar>
        <w:tblLook w:val="04A0" w:firstRow="1" w:lastRow="0" w:firstColumn="1" w:lastColumn="0" w:noHBand="0" w:noVBand="1"/>
      </w:tblPr>
      <w:tblGrid>
        <w:gridCol w:w="5955"/>
        <w:gridCol w:w="1722"/>
        <w:gridCol w:w="1725"/>
        <w:gridCol w:w="1722"/>
        <w:gridCol w:w="1725"/>
        <w:gridCol w:w="1722"/>
      </w:tblGrid>
      <w:tr w:rsidR="007B0FD0" w:rsidRPr="00A13447" w14:paraId="566A51D3" w14:textId="77777777" w:rsidTr="009E220E">
        <w:trPr>
          <w:trHeight w:val="255"/>
        </w:trPr>
        <w:tc>
          <w:tcPr>
            <w:tcW w:w="5000" w:type="pct"/>
            <w:gridSpan w:val="6"/>
            <w:tcBorders>
              <w:left w:val="nil"/>
              <w:bottom w:val="single" w:sz="4" w:space="0" w:color="FFFFFF" w:themeColor="background1"/>
              <w:right w:val="nil"/>
            </w:tcBorders>
            <w:shd w:val="clear" w:color="auto" w:fill="005CA9"/>
            <w:noWrap/>
            <w:vAlign w:val="center"/>
            <w:hideMark/>
          </w:tcPr>
          <w:p w14:paraId="7C514FAB" w14:textId="77777777" w:rsidR="007B0FD0" w:rsidRPr="00A13447" w:rsidRDefault="007B0FD0">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Consolidado</w:t>
            </w:r>
          </w:p>
        </w:tc>
      </w:tr>
      <w:tr w:rsidR="007B0FD0" w:rsidRPr="00A13447" w14:paraId="65DFEC97" w14:textId="77777777" w:rsidTr="009E220E">
        <w:trPr>
          <w:trHeight w:val="401"/>
        </w:trPr>
        <w:tc>
          <w:tcPr>
            <w:tcW w:w="2043" w:type="pct"/>
            <w:vMerge w:val="restart"/>
            <w:tcBorders>
              <w:top w:val="single" w:sz="4" w:space="0" w:color="FFFFFF" w:themeColor="background1"/>
              <w:left w:val="nil"/>
              <w:bottom w:val="single" w:sz="4" w:space="0" w:color="FFFFFF"/>
              <w:right w:val="nil"/>
            </w:tcBorders>
            <w:shd w:val="clear" w:color="auto" w:fill="005CA9"/>
            <w:vAlign w:val="center"/>
            <w:hideMark/>
          </w:tcPr>
          <w:p w14:paraId="47D1EB7C" w14:textId="77777777" w:rsidR="007B0FD0" w:rsidRPr="00A13447" w:rsidRDefault="007B0FD0">
            <w:pPr>
              <w:jc w:val="cente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Estágio 1</w:t>
            </w:r>
          </w:p>
        </w:tc>
        <w:tc>
          <w:tcPr>
            <w:tcW w:w="591" w:type="pct"/>
            <w:vMerge w:val="restart"/>
            <w:tcBorders>
              <w:top w:val="single" w:sz="4" w:space="0" w:color="FFFFFF" w:themeColor="background1"/>
              <w:left w:val="nil"/>
              <w:bottom w:val="single" w:sz="4" w:space="0" w:color="FFFFFF"/>
              <w:right w:val="nil"/>
            </w:tcBorders>
            <w:shd w:val="clear" w:color="auto" w:fill="005CA9"/>
            <w:vAlign w:val="center"/>
            <w:hideMark/>
          </w:tcPr>
          <w:p w14:paraId="5B43DA19" w14:textId="77777777" w:rsidR="007B0FD0" w:rsidRPr="00A13447" w:rsidRDefault="007B0FD0">
            <w:pPr>
              <w:jc w:val="cente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Saldo em 01/01/2025</w:t>
            </w:r>
          </w:p>
        </w:tc>
        <w:tc>
          <w:tcPr>
            <w:tcW w:w="592" w:type="pct"/>
            <w:vMerge w:val="restart"/>
            <w:tcBorders>
              <w:top w:val="single" w:sz="4" w:space="0" w:color="FFFFFF" w:themeColor="background1"/>
              <w:left w:val="nil"/>
              <w:bottom w:val="single" w:sz="4" w:space="0" w:color="FFFFFF"/>
              <w:right w:val="nil"/>
            </w:tcBorders>
            <w:shd w:val="clear" w:color="auto" w:fill="005CA9"/>
            <w:vAlign w:val="center"/>
            <w:hideMark/>
          </w:tcPr>
          <w:p w14:paraId="5512DA0E" w14:textId="77777777" w:rsidR="007B0FD0" w:rsidRDefault="007B0FD0">
            <w:pPr>
              <w:jc w:val="cente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Compra/</w:t>
            </w:r>
          </w:p>
          <w:p w14:paraId="4F443748" w14:textId="77777777" w:rsidR="007B0FD0" w:rsidRPr="00A13447" w:rsidRDefault="007B0FD0">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w:t>
            </w:r>
            <w:r w:rsidRPr="00A13447">
              <w:rPr>
                <w:rFonts w:ascii="CAIXA Std Book" w:eastAsia="Times New Roman" w:hAnsi="CAIXA Std Book" w:cs="Calibri"/>
                <w:b/>
                <w:bCs/>
                <w:color w:val="FFFFFF"/>
                <w:sz w:val="18"/>
                <w:szCs w:val="18"/>
              </w:rPr>
              <w:t>liquidação</w:t>
            </w:r>
            <w:r>
              <w:rPr>
                <w:rFonts w:ascii="CAIXA Std Book" w:eastAsia="Times New Roman" w:hAnsi="CAIXA Std Book" w:cs="Calibri"/>
                <w:b/>
                <w:bCs/>
                <w:color w:val="FFFFFF"/>
                <w:sz w:val="18"/>
                <w:szCs w:val="18"/>
              </w:rPr>
              <w:t>)</w:t>
            </w:r>
          </w:p>
        </w:tc>
        <w:tc>
          <w:tcPr>
            <w:tcW w:w="591" w:type="pct"/>
            <w:vMerge w:val="restart"/>
            <w:tcBorders>
              <w:top w:val="single" w:sz="4" w:space="0" w:color="FFFFFF" w:themeColor="background1"/>
              <w:left w:val="nil"/>
              <w:bottom w:val="single" w:sz="4" w:space="0" w:color="FFFFFF"/>
              <w:right w:val="nil"/>
            </w:tcBorders>
            <w:shd w:val="clear" w:color="auto" w:fill="005CA9"/>
            <w:vAlign w:val="center"/>
            <w:hideMark/>
          </w:tcPr>
          <w:p w14:paraId="0709AA17" w14:textId="77777777" w:rsidR="007B0FD0" w:rsidRPr="00A13447" w:rsidRDefault="007B0FD0">
            <w:pPr>
              <w:jc w:val="cente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Transferência do/</w:t>
            </w:r>
            <w:r>
              <w:rPr>
                <w:rFonts w:ascii="CAIXA Std Book" w:eastAsia="Times New Roman" w:hAnsi="CAIXA Std Book" w:cs="Calibri"/>
                <w:b/>
                <w:bCs/>
                <w:color w:val="FFFFFF"/>
                <w:sz w:val="18"/>
                <w:szCs w:val="18"/>
              </w:rPr>
              <w:t xml:space="preserve"> </w:t>
            </w:r>
            <w:r w:rsidRPr="00A13447">
              <w:rPr>
                <w:rFonts w:ascii="CAIXA Std Book" w:eastAsia="Times New Roman" w:hAnsi="CAIXA Std Book" w:cs="Calibri"/>
                <w:b/>
                <w:bCs/>
                <w:color w:val="FFFFFF"/>
                <w:sz w:val="18"/>
                <w:szCs w:val="18"/>
              </w:rPr>
              <w:t>para estágio 2</w:t>
            </w:r>
          </w:p>
        </w:tc>
        <w:tc>
          <w:tcPr>
            <w:tcW w:w="592" w:type="pct"/>
            <w:vMerge w:val="restart"/>
            <w:tcBorders>
              <w:top w:val="single" w:sz="4" w:space="0" w:color="FFFFFF" w:themeColor="background1"/>
              <w:left w:val="nil"/>
              <w:bottom w:val="single" w:sz="4" w:space="0" w:color="FFFFFF"/>
              <w:right w:val="nil"/>
            </w:tcBorders>
            <w:shd w:val="clear" w:color="auto" w:fill="005CA9"/>
            <w:vAlign w:val="center"/>
            <w:hideMark/>
          </w:tcPr>
          <w:p w14:paraId="18CEDB2C" w14:textId="77777777" w:rsidR="007B0FD0" w:rsidRPr="00A13447" w:rsidRDefault="007B0FD0">
            <w:pPr>
              <w:jc w:val="cente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Transferência do</w:t>
            </w:r>
            <w:r>
              <w:rPr>
                <w:rFonts w:ascii="CAIXA Std Book" w:eastAsia="Times New Roman" w:hAnsi="CAIXA Std Book" w:cs="Calibri"/>
                <w:b/>
                <w:bCs/>
                <w:color w:val="FFFFFF"/>
                <w:sz w:val="18"/>
                <w:szCs w:val="18"/>
              </w:rPr>
              <w:t xml:space="preserve">/ </w:t>
            </w:r>
            <w:r w:rsidRPr="00A13447">
              <w:rPr>
                <w:rFonts w:ascii="CAIXA Std Book" w:eastAsia="Times New Roman" w:hAnsi="CAIXA Std Book" w:cs="Calibri"/>
                <w:b/>
                <w:bCs/>
                <w:color w:val="FFFFFF"/>
                <w:sz w:val="18"/>
                <w:szCs w:val="18"/>
              </w:rPr>
              <w:t>para estágio 3</w:t>
            </w:r>
          </w:p>
        </w:tc>
        <w:tc>
          <w:tcPr>
            <w:tcW w:w="591" w:type="pct"/>
            <w:vMerge w:val="restart"/>
            <w:tcBorders>
              <w:top w:val="single" w:sz="4" w:space="0" w:color="FFFFFF" w:themeColor="background1"/>
              <w:left w:val="nil"/>
              <w:bottom w:val="single" w:sz="4" w:space="0" w:color="FFFFFF"/>
              <w:right w:val="nil"/>
            </w:tcBorders>
            <w:shd w:val="clear" w:color="auto" w:fill="005CA9"/>
            <w:vAlign w:val="center"/>
            <w:hideMark/>
          </w:tcPr>
          <w:p w14:paraId="52BADDE8" w14:textId="77777777" w:rsidR="007B0FD0" w:rsidRPr="00A13447" w:rsidRDefault="007B0FD0">
            <w:pPr>
              <w:jc w:val="cente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Saldo em 3</w:t>
            </w:r>
            <w:r>
              <w:rPr>
                <w:rFonts w:ascii="CAIXA Std Book" w:eastAsia="Times New Roman" w:hAnsi="CAIXA Std Book" w:cs="Calibri"/>
                <w:b/>
                <w:bCs/>
                <w:color w:val="FFFFFF"/>
                <w:sz w:val="18"/>
                <w:szCs w:val="18"/>
              </w:rPr>
              <w:t>1/12</w:t>
            </w:r>
            <w:r w:rsidRPr="00A13447">
              <w:rPr>
                <w:rFonts w:ascii="CAIXA Std Book" w:eastAsia="Times New Roman" w:hAnsi="CAIXA Std Book" w:cs="Calibri"/>
                <w:b/>
                <w:bCs/>
                <w:color w:val="FFFFFF"/>
                <w:sz w:val="18"/>
                <w:szCs w:val="18"/>
              </w:rPr>
              <w:t>/2025</w:t>
            </w:r>
          </w:p>
        </w:tc>
      </w:tr>
      <w:tr w:rsidR="007B0FD0" w:rsidRPr="00A13447" w14:paraId="3B990356" w14:textId="77777777" w:rsidTr="009E220E">
        <w:trPr>
          <w:trHeight w:val="401"/>
        </w:trPr>
        <w:tc>
          <w:tcPr>
            <w:tcW w:w="2043" w:type="pct"/>
            <w:vMerge/>
            <w:tcBorders>
              <w:top w:val="nil"/>
              <w:left w:val="nil"/>
              <w:bottom w:val="single" w:sz="4" w:space="0" w:color="FFFFFF"/>
              <w:right w:val="nil"/>
            </w:tcBorders>
            <w:shd w:val="clear" w:color="auto" w:fill="005CA9"/>
            <w:vAlign w:val="center"/>
            <w:hideMark/>
          </w:tcPr>
          <w:p w14:paraId="5A84387E" w14:textId="77777777" w:rsidR="007B0FD0" w:rsidRPr="00A13447" w:rsidRDefault="007B0FD0">
            <w:pPr>
              <w:rPr>
                <w:rFonts w:ascii="CAIXA Std Book" w:eastAsia="Times New Roman" w:hAnsi="CAIXA Std Book" w:cs="Calibri"/>
                <w:b/>
                <w:bCs/>
                <w:color w:val="FFFFFF"/>
                <w:sz w:val="18"/>
                <w:szCs w:val="18"/>
              </w:rPr>
            </w:pPr>
          </w:p>
        </w:tc>
        <w:tc>
          <w:tcPr>
            <w:tcW w:w="591" w:type="pct"/>
            <w:vMerge/>
            <w:tcBorders>
              <w:top w:val="nil"/>
              <w:left w:val="nil"/>
              <w:bottom w:val="single" w:sz="4" w:space="0" w:color="FFFFFF"/>
              <w:right w:val="nil"/>
            </w:tcBorders>
            <w:shd w:val="clear" w:color="auto" w:fill="005CA9"/>
            <w:vAlign w:val="center"/>
            <w:hideMark/>
          </w:tcPr>
          <w:p w14:paraId="1D78193C" w14:textId="77777777" w:rsidR="007B0FD0" w:rsidRPr="00A13447" w:rsidRDefault="007B0FD0">
            <w:pPr>
              <w:rPr>
                <w:rFonts w:ascii="CAIXA Std Book" w:eastAsia="Times New Roman" w:hAnsi="CAIXA Std Book" w:cs="Calibri"/>
                <w:b/>
                <w:bCs/>
                <w:color w:val="FFFFFF"/>
                <w:sz w:val="18"/>
                <w:szCs w:val="18"/>
              </w:rPr>
            </w:pPr>
          </w:p>
        </w:tc>
        <w:tc>
          <w:tcPr>
            <w:tcW w:w="592" w:type="pct"/>
            <w:vMerge/>
            <w:tcBorders>
              <w:top w:val="nil"/>
              <w:left w:val="nil"/>
              <w:bottom w:val="single" w:sz="4" w:space="0" w:color="FFFFFF"/>
              <w:right w:val="nil"/>
            </w:tcBorders>
            <w:shd w:val="clear" w:color="auto" w:fill="005CA9"/>
            <w:vAlign w:val="center"/>
            <w:hideMark/>
          </w:tcPr>
          <w:p w14:paraId="236CD602" w14:textId="77777777" w:rsidR="007B0FD0" w:rsidRPr="00A13447" w:rsidRDefault="007B0FD0">
            <w:pPr>
              <w:rPr>
                <w:rFonts w:ascii="CAIXA Std Book" w:eastAsia="Times New Roman" w:hAnsi="CAIXA Std Book" w:cs="Calibri"/>
                <w:b/>
                <w:bCs/>
                <w:color w:val="FFFFFF"/>
                <w:sz w:val="18"/>
                <w:szCs w:val="18"/>
              </w:rPr>
            </w:pPr>
          </w:p>
        </w:tc>
        <w:tc>
          <w:tcPr>
            <w:tcW w:w="591" w:type="pct"/>
            <w:vMerge/>
            <w:tcBorders>
              <w:top w:val="nil"/>
              <w:left w:val="nil"/>
              <w:bottom w:val="single" w:sz="4" w:space="0" w:color="FFFFFF"/>
              <w:right w:val="nil"/>
            </w:tcBorders>
            <w:shd w:val="clear" w:color="auto" w:fill="005CA9"/>
            <w:vAlign w:val="center"/>
            <w:hideMark/>
          </w:tcPr>
          <w:p w14:paraId="215AE1F2" w14:textId="77777777" w:rsidR="007B0FD0" w:rsidRPr="00A13447" w:rsidRDefault="007B0FD0">
            <w:pPr>
              <w:rPr>
                <w:rFonts w:ascii="CAIXA Std Book" w:eastAsia="Times New Roman" w:hAnsi="CAIXA Std Book" w:cs="Calibri"/>
                <w:b/>
                <w:bCs/>
                <w:color w:val="FFFFFF"/>
                <w:sz w:val="18"/>
                <w:szCs w:val="18"/>
              </w:rPr>
            </w:pPr>
          </w:p>
        </w:tc>
        <w:tc>
          <w:tcPr>
            <w:tcW w:w="592" w:type="pct"/>
            <w:vMerge/>
            <w:tcBorders>
              <w:top w:val="nil"/>
              <w:left w:val="nil"/>
              <w:bottom w:val="single" w:sz="4" w:space="0" w:color="FFFFFF"/>
              <w:right w:val="nil"/>
            </w:tcBorders>
            <w:shd w:val="clear" w:color="auto" w:fill="005CA9"/>
            <w:vAlign w:val="center"/>
            <w:hideMark/>
          </w:tcPr>
          <w:p w14:paraId="369AC4E0" w14:textId="77777777" w:rsidR="007B0FD0" w:rsidRPr="00A13447" w:rsidRDefault="007B0FD0">
            <w:pPr>
              <w:rPr>
                <w:rFonts w:ascii="CAIXA Std Book" w:eastAsia="Times New Roman" w:hAnsi="CAIXA Std Book" w:cs="Calibri"/>
                <w:b/>
                <w:bCs/>
                <w:color w:val="FFFFFF"/>
                <w:sz w:val="18"/>
                <w:szCs w:val="18"/>
              </w:rPr>
            </w:pPr>
          </w:p>
        </w:tc>
        <w:tc>
          <w:tcPr>
            <w:tcW w:w="591" w:type="pct"/>
            <w:vMerge/>
            <w:tcBorders>
              <w:top w:val="nil"/>
              <w:left w:val="nil"/>
              <w:bottom w:val="single" w:sz="4" w:space="0" w:color="FFFFFF"/>
              <w:right w:val="nil"/>
            </w:tcBorders>
            <w:shd w:val="clear" w:color="auto" w:fill="005CA9"/>
            <w:vAlign w:val="center"/>
            <w:hideMark/>
          </w:tcPr>
          <w:p w14:paraId="6A7F958C" w14:textId="77777777" w:rsidR="007B0FD0" w:rsidRPr="00A13447" w:rsidRDefault="007B0FD0">
            <w:pPr>
              <w:rPr>
                <w:rFonts w:ascii="CAIXA Std Book" w:eastAsia="Times New Roman" w:hAnsi="CAIXA Std Book" w:cs="Calibri"/>
                <w:b/>
                <w:bCs/>
                <w:color w:val="FFFFFF"/>
                <w:sz w:val="18"/>
                <w:szCs w:val="18"/>
              </w:rPr>
            </w:pPr>
          </w:p>
        </w:tc>
      </w:tr>
      <w:tr w:rsidR="007B0FD0" w:rsidRPr="00A13447" w14:paraId="59945976" w14:textId="77777777" w:rsidTr="009E220E">
        <w:trPr>
          <w:trHeight w:val="255"/>
        </w:trPr>
        <w:tc>
          <w:tcPr>
            <w:tcW w:w="2043" w:type="pct"/>
            <w:tcBorders>
              <w:top w:val="nil"/>
              <w:left w:val="nil"/>
              <w:bottom w:val="single" w:sz="4" w:space="0" w:color="FFFFFF"/>
              <w:right w:val="nil"/>
            </w:tcBorders>
            <w:shd w:val="clear" w:color="000000" w:fill="FFFFFF"/>
            <w:noWrap/>
            <w:vAlign w:val="center"/>
            <w:hideMark/>
          </w:tcPr>
          <w:p w14:paraId="7821CE29" w14:textId="77777777" w:rsidR="007B0FD0" w:rsidRPr="00A13447" w:rsidRDefault="007B0FD0">
            <w:pPr>
              <w:rPr>
                <w:rFonts w:ascii="CAIXA Std Book" w:eastAsia="Times New Roman" w:hAnsi="CAIXA Std Book" w:cs="Calibri"/>
                <w:color w:val="005CA9"/>
                <w:sz w:val="18"/>
                <w:szCs w:val="18"/>
              </w:rPr>
            </w:pPr>
            <w:r w:rsidRPr="00A13447">
              <w:rPr>
                <w:rFonts w:ascii="CAIXA Std Book" w:eastAsia="Times New Roman" w:hAnsi="CAIXA Std Book" w:cs="Calibri"/>
                <w:color w:val="005CA9"/>
                <w:sz w:val="18"/>
                <w:szCs w:val="18"/>
              </w:rPr>
              <w:t>Títulos públicos federais brasileiros</w:t>
            </w:r>
          </w:p>
        </w:tc>
        <w:tc>
          <w:tcPr>
            <w:tcW w:w="591" w:type="pct"/>
            <w:tcBorders>
              <w:top w:val="nil"/>
              <w:left w:val="nil"/>
              <w:bottom w:val="single" w:sz="4" w:space="0" w:color="FFFFFF"/>
              <w:right w:val="nil"/>
            </w:tcBorders>
            <w:noWrap/>
            <w:vAlign w:val="center"/>
            <w:hideMark/>
          </w:tcPr>
          <w:p w14:paraId="43EEE585" w14:textId="77777777" w:rsidR="007B0FD0" w:rsidRPr="00A13447" w:rsidRDefault="007B0FD0">
            <w:pPr>
              <w:jc w:val="right"/>
              <w:rPr>
                <w:rFonts w:ascii="CAIXA Std Book" w:eastAsia="Times New Roman" w:hAnsi="CAIXA Std Book" w:cs="Calibri"/>
                <w:color w:val="005CA9"/>
                <w:sz w:val="18"/>
                <w:szCs w:val="18"/>
              </w:rPr>
            </w:pPr>
            <w:r>
              <w:rPr>
                <w:rFonts w:ascii="CAIXA Std Book" w:hAnsi="CAIXA Std Book"/>
                <w:color w:val="005CA9"/>
                <w:sz w:val="18"/>
                <w:szCs w:val="18"/>
              </w:rPr>
              <w:t>122.323.519</w:t>
            </w:r>
          </w:p>
        </w:tc>
        <w:tc>
          <w:tcPr>
            <w:tcW w:w="592" w:type="pct"/>
            <w:tcBorders>
              <w:top w:val="nil"/>
              <w:left w:val="nil"/>
              <w:bottom w:val="single" w:sz="4" w:space="0" w:color="FFFFFF"/>
              <w:right w:val="nil"/>
            </w:tcBorders>
            <w:noWrap/>
            <w:vAlign w:val="center"/>
          </w:tcPr>
          <w:p w14:paraId="3EE7E513" w14:textId="77777777" w:rsidR="007B0FD0" w:rsidRPr="00B36055" w:rsidRDefault="007B0FD0">
            <w:pPr>
              <w:jc w:val="right"/>
              <w:rPr>
                <w:rFonts w:ascii="CAIXA Std Book" w:hAnsi="CAIXA Std Book"/>
                <w:color w:val="005CA9"/>
                <w:sz w:val="18"/>
                <w:szCs w:val="18"/>
              </w:rPr>
            </w:pPr>
            <w:r>
              <w:rPr>
                <w:rFonts w:ascii="CAIXA Std Book" w:hAnsi="CAIXA Std Book" w:cs="Arial"/>
                <w:color w:val="005CA9"/>
                <w:sz w:val="18"/>
                <w:szCs w:val="18"/>
              </w:rPr>
              <w:t>33.758.401</w:t>
            </w:r>
          </w:p>
        </w:tc>
        <w:tc>
          <w:tcPr>
            <w:tcW w:w="591" w:type="pct"/>
            <w:tcBorders>
              <w:top w:val="nil"/>
              <w:left w:val="nil"/>
              <w:bottom w:val="single" w:sz="4" w:space="0" w:color="FFFFFF"/>
              <w:right w:val="nil"/>
            </w:tcBorders>
            <w:noWrap/>
            <w:vAlign w:val="center"/>
          </w:tcPr>
          <w:p w14:paraId="614BE7DC" w14:textId="77777777" w:rsidR="007B0FD0" w:rsidRPr="00491304" w:rsidRDefault="007B0FD0">
            <w:pPr>
              <w:jc w:val="center"/>
              <w:rPr>
                <w:rFonts w:ascii="CAIXA Std Book" w:hAnsi="CAIXA Std Book"/>
                <w:color w:val="005CA9"/>
                <w:sz w:val="18"/>
                <w:szCs w:val="18"/>
              </w:rPr>
            </w:pPr>
            <w:r>
              <w:rPr>
                <w:rFonts w:ascii="CAIXA Std Book" w:hAnsi="CAIXA Std Book" w:cs="Arial"/>
                <w:color w:val="005CA9"/>
                <w:sz w:val="18"/>
                <w:szCs w:val="18"/>
              </w:rPr>
              <w:t>-</w:t>
            </w:r>
          </w:p>
        </w:tc>
        <w:tc>
          <w:tcPr>
            <w:tcW w:w="592" w:type="pct"/>
            <w:tcBorders>
              <w:top w:val="nil"/>
              <w:left w:val="nil"/>
              <w:bottom w:val="single" w:sz="4" w:space="0" w:color="FFFFFF"/>
              <w:right w:val="nil"/>
            </w:tcBorders>
            <w:noWrap/>
            <w:vAlign w:val="center"/>
          </w:tcPr>
          <w:p w14:paraId="380ADA95" w14:textId="77777777" w:rsidR="007B0FD0" w:rsidRPr="00491304" w:rsidRDefault="007B0FD0">
            <w:pPr>
              <w:jc w:val="center"/>
              <w:rPr>
                <w:rFonts w:ascii="CAIXA Std Book" w:hAnsi="CAIXA Std Book"/>
                <w:color w:val="005CA9"/>
                <w:sz w:val="18"/>
                <w:szCs w:val="18"/>
              </w:rPr>
            </w:pPr>
            <w:r>
              <w:rPr>
                <w:rFonts w:ascii="CAIXA Std Book" w:hAnsi="CAIXA Std Book" w:cs="Arial"/>
                <w:color w:val="005CA9"/>
                <w:sz w:val="18"/>
                <w:szCs w:val="18"/>
              </w:rPr>
              <w:t>-</w:t>
            </w:r>
          </w:p>
        </w:tc>
        <w:tc>
          <w:tcPr>
            <w:tcW w:w="591" w:type="pct"/>
            <w:tcBorders>
              <w:top w:val="nil"/>
              <w:left w:val="nil"/>
              <w:bottom w:val="single" w:sz="4" w:space="0" w:color="FFFFFF"/>
              <w:right w:val="nil"/>
            </w:tcBorders>
            <w:noWrap/>
            <w:vAlign w:val="center"/>
          </w:tcPr>
          <w:p w14:paraId="1370630B" w14:textId="77777777" w:rsidR="007B0FD0" w:rsidRPr="00491304" w:rsidRDefault="007B0FD0">
            <w:pPr>
              <w:jc w:val="right"/>
              <w:rPr>
                <w:rFonts w:ascii="CAIXA Std Book" w:hAnsi="CAIXA Std Book"/>
                <w:color w:val="005CA9"/>
                <w:sz w:val="18"/>
                <w:szCs w:val="18"/>
              </w:rPr>
            </w:pPr>
            <w:r>
              <w:rPr>
                <w:rFonts w:ascii="CAIXA Std Book" w:hAnsi="CAIXA Std Book" w:cs="Arial"/>
                <w:color w:val="005CA9"/>
                <w:sz w:val="18"/>
                <w:szCs w:val="18"/>
              </w:rPr>
              <w:t>156.081.920</w:t>
            </w:r>
          </w:p>
        </w:tc>
      </w:tr>
      <w:tr w:rsidR="007B0FD0" w:rsidRPr="00A13447" w14:paraId="46826941" w14:textId="77777777" w:rsidTr="009E220E">
        <w:trPr>
          <w:trHeight w:val="255"/>
        </w:trPr>
        <w:tc>
          <w:tcPr>
            <w:tcW w:w="2043" w:type="pct"/>
            <w:tcBorders>
              <w:top w:val="nil"/>
              <w:left w:val="nil"/>
              <w:bottom w:val="single" w:sz="4" w:space="0" w:color="FFFFFF"/>
              <w:right w:val="nil"/>
            </w:tcBorders>
            <w:shd w:val="clear" w:color="000000" w:fill="FFFFFF"/>
            <w:noWrap/>
            <w:vAlign w:val="center"/>
          </w:tcPr>
          <w:p w14:paraId="2B38F41D" w14:textId="77777777" w:rsidR="007B0FD0" w:rsidRPr="00A13447" w:rsidRDefault="007B0FD0">
            <w:pPr>
              <w:rPr>
                <w:rFonts w:ascii="CAIXA Std Book" w:eastAsia="Times New Roman" w:hAnsi="CAIXA Std Book" w:cs="Calibri"/>
                <w:color w:val="005CA9"/>
                <w:sz w:val="18"/>
                <w:szCs w:val="18"/>
              </w:rPr>
            </w:pPr>
            <w:r w:rsidRPr="00A13447">
              <w:rPr>
                <w:rFonts w:ascii="CAIXA Std Book" w:eastAsia="Times New Roman" w:hAnsi="CAIXA Std Book" w:cs="Calibri"/>
                <w:color w:val="005CA9"/>
                <w:sz w:val="18"/>
                <w:szCs w:val="18"/>
              </w:rPr>
              <w:t>Títulos privados de instituições financeiras</w:t>
            </w:r>
          </w:p>
        </w:tc>
        <w:tc>
          <w:tcPr>
            <w:tcW w:w="591" w:type="pct"/>
            <w:tcBorders>
              <w:top w:val="nil"/>
              <w:left w:val="nil"/>
              <w:bottom w:val="single" w:sz="4" w:space="0" w:color="FFFFFF"/>
              <w:right w:val="nil"/>
            </w:tcBorders>
            <w:noWrap/>
            <w:vAlign w:val="center"/>
          </w:tcPr>
          <w:p w14:paraId="42F9B3C2" w14:textId="77777777" w:rsidR="007B0FD0" w:rsidRDefault="007B0FD0">
            <w:pPr>
              <w:jc w:val="center"/>
              <w:rPr>
                <w:rFonts w:ascii="CAIXA Std Book" w:hAnsi="CAIXA Std Book"/>
                <w:color w:val="005CA9"/>
                <w:sz w:val="18"/>
                <w:szCs w:val="18"/>
              </w:rPr>
            </w:pPr>
            <w:r>
              <w:rPr>
                <w:rFonts w:ascii="CAIXA Std Book" w:hAnsi="CAIXA Std Book" w:cs="Arial"/>
                <w:color w:val="005CA9"/>
                <w:sz w:val="18"/>
                <w:szCs w:val="18"/>
              </w:rPr>
              <w:t>-</w:t>
            </w:r>
          </w:p>
        </w:tc>
        <w:tc>
          <w:tcPr>
            <w:tcW w:w="592" w:type="pct"/>
            <w:tcBorders>
              <w:top w:val="nil"/>
              <w:left w:val="nil"/>
              <w:bottom w:val="single" w:sz="4" w:space="0" w:color="FFFFFF"/>
              <w:right w:val="nil"/>
            </w:tcBorders>
            <w:noWrap/>
            <w:vAlign w:val="center"/>
          </w:tcPr>
          <w:p w14:paraId="0071EE4D" w14:textId="77777777" w:rsidR="007B0FD0" w:rsidRPr="00491304" w:rsidRDefault="007B0FD0">
            <w:pPr>
              <w:jc w:val="right"/>
              <w:rPr>
                <w:rFonts w:ascii="CAIXA Std Book" w:hAnsi="CAIXA Std Book"/>
                <w:color w:val="005CA9"/>
                <w:sz w:val="18"/>
                <w:szCs w:val="18"/>
              </w:rPr>
            </w:pPr>
            <w:r>
              <w:rPr>
                <w:rFonts w:ascii="CAIXA Std Book" w:hAnsi="CAIXA Std Book" w:cs="Arial"/>
                <w:color w:val="005CA9"/>
                <w:sz w:val="18"/>
                <w:szCs w:val="18"/>
              </w:rPr>
              <w:t>162.163</w:t>
            </w:r>
          </w:p>
        </w:tc>
        <w:tc>
          <w:tcPr>
            <w:tcW w:w="591" w:type="pct"/>
            <w:tcBorders>
              <w:top w:val="nil"/>
              <w:left w:val="nil"/>
              <w:bottom w:val="single" w:sz="4" w:space="0" w:color="FFFFFF"/>
              <w:right w:val="nil"/>
            </w:tcBorders>
            <w:noWrap/>
            <w:vAlign w:val="center"/>
          </w:tcPr>
          <w:p w14:paraId="2DCFA4C4" w14:textId="77777777" w:rsidR="007B0FD0" w:rsidRPr="00491304" w:rsidRDefault="007B0FD0">
            <w:pPr>
              <w:jc w:val="center"/>
              <w:rPr>
                <w:rFonts w:ascii="CAIXA Std Book" w:hAnsi="CAIXA Std Book"/>
                <w:color w:val="005CA9"/>
                <w:sz w:val="18"/>
                <w:szCs w:val="18"/>
              </w:rPr>
            </w:pPr>
            <w:r>
              <w:rPr>
                <w:rFonts w:ascii="CAIXA Std Book" w:hAnsi="CAIXA Std Book" w:cs="Arial"/>
                <w:color w:val="005CA9"/>
                <w:sz w:val="18"/>
                <w:szCs w:val="18"/>
              </w:rPr>
              <w:t>-</w:t>
            </w:r>
          </w:p>
        </w:tc>
        <w:tc>
          <w:tcPr>
            <w:tcW w:w="592" w:type="pct"/>
            <w:tcBorders>
              <w:top w:val="nil"/>
              <w:left w:val="nil"/>
              <w:bottom w:val="single" w:sz="4" w:space="0" w:color="FFFFFF"/>
              <w:right w:val="nil"/>
            </w:tcBorders>
            <w:noWrap/>
            <w:vAlign w:val="center"/>
          </w:tcPr>
          <w:p w14:paraId="11F0ADCD" w14:textId="77777777" w:rsidR="007B0FD0" w:rsidRPr="00491304" w:rsidRDefault="007B0FD0">
            <w:pPr>
              <w:jc w:val="center"/>
              <w:rPr>
                <w:rFonts w:ascii="CAIXA Std Book" w:hAnsi="CAIXA Std Book"/>
                <w:color w:val="005CA9"/>
                <w:sz w:val="18"/>
                <w:szCs w:val="18"/>
              </w:rPr>
            </w:pPr>
            <w:r>
              <w:rPr>
                <w:rFonts w:ascii="CAIXA Std Book" w:hAnsi="CAIXA Std Book" w:cs="Arial"/>
                <w:color w:val="005CA9"/>
                <w:sz w:val="18"/>
                <w:szCs w:val="18"/>
              </w:rPr>
              <w:t>-</w:t>
            </w:r>
          </w:p>
        </w:tc>
        <w:tc>
          <w:tcPr>
            <w:tcW w:w="591" w:type="pct"/>
            <w:tcBorders>
              <w:top w:val="nil"/>
              <w:left w:val="nil"/>
              <w:bottom w:val="single" w:sz="4" w:space="0" w:color="FFFFFF"/>
              <w:right w:val="nil"/>
            </w:tcBorders>
            <w:noWrap/>
            <w:vAlign w:val="center"/>
          </w:tcPr>
          <w:p w14:paraId="59485219" w14:textId="77777777" w:rsidR="007B0FD0" w:rsidRPr="00491304" w:rsidRDefault="007B0FD0">
            <w:pPr>
              <w:jc w:val="right"/>
              <w:rPr>
                <w:rFonts w:ascii="CAIXA Std Book" w:hAnsi="CAIXA Std Book"/>
                <w:color w:val="005CA9"/>
                <w:sz w:val="18"/>
                <w:szCs w:val="18"/>
              </w:rPr>
            </w:pPr>
            <w:r>
              <w:rPr>
                <w:rFonts w:ascii="CAIXA Std Book" w:hAnsi="CAIXA Std Book" w:cs="Arial"/>
                <w:color w:val="005CA9"/>
                <w:sz w:val="18"/>
                <w:szCs w:val="18"/>
              </w:rPr>
              <w:t>162.163</w:t>
            </w:r>
          </w:p>
        </w:tc>
      </w:tr>
      <w:tr w:rsidR="007B0FD0" w:rsidRPr="00A13447" w14:paraId="6A4B52C3" w14:textId="77777777" w:rsidTr="009E220E">
        <w:trPr>
          <w:trHeight w:val="255"/>
        </w:trPr>
        <w:tc>
          <w:tcPr>
            <w:tcW w:w="2043" w:type="pct"/>
            <w:tcBorders>
              <w:top w:val="nil"/>
              <w:left w:val="nil"/>
              <w:bottom w:val="single" w:sz="4" w:space="0" w:color="FFFFFF"/>
              <w:right w:val="nil"/>
            </w:tcBorders>
            <w:shd w:val="clear" w:color="000000" w:fill="FFFFFF"/>
            <w:noWrap/>
            <w:vAlign w:val="center"/>
            <w:hideMark/>
          </w:tcPr>
          <w:p w14:paraId="140CAE72" w14:textId="77777777" w:rsidR="007B0FD0" w:rsidRPr="00A13447" w:rsidRDefault="007B0FD0">
            <w:pPr>
              <w:rPr>
                <w:rFonts w:ascii="CAIXA Std Book" w:eastAsia="Times New Roman" w:hAnsi="CAIXA Std Book" w:cs="Calibri"/>
                <w:color w:val="005CA9"/>
                <w:sz w:val="18"/>
                <w:szCs w:val="18"/>
              </w:rPr>
            </w:pPr>
            <w:r w:rsidRPr="00A13447">
              <w:rPr>
                <w:rFonts w:ascii="CAIXA Std Book" w:eastAsia="Times New Roman" w:hAnsi="CAIXA Std Book" w:cs="Calibri"/>
                <w:color w:val="005CA9"/>
                <w:sz w:val="18"/>
                <w:szCs w:val="18"/>
              </w:rPr>
              <w:t>Títulos privados de entidades não financeiras</w:t>
            </w:r>
          </w:p>
        </w:tc>
        <w:tc>
          <w:tcPr>
            <w:tcW w:w="591" w:type="pct"/>
            <w:tcBorders>
              <w:top w:val="nil"/>
              <w:left w:val="nil"/>
              <w:bottom w:val="single" w:sz="4" w:space="0" w:color="FFFFFF"/>
              <w:right w:val="nil"/>
            </w:tcBorders>
            <w:noWrap/>
            <w:vAlign w:val="center"/>
            <w:hideMark/>
          </w:tcPr>
          <w:p w14:paraId="458CF7FF" w14:textId="77777777" w:rsidR="007B0FD0" w:rsidRPr="00A13447" w:rsidRDefault="007B0FD0">
            <w:pPr>
              <w:jc w:val="right"/>
              <w:rPr>
                <w:rFonts w:ascii="CAIXA Std Book" w:eastAsia="Times New Roman" w:hAnsi="CAIXA Std Book" w:cs="Calibri"/>
                <w:color w:val="005CA9"/>
                <w:sz w:val="18"/>
                <w:szCs w:val="18"/>
              </w:rPr>
            </w:pPr>
            <w:r>
              <w:rPr>
                <w:rFonts w:ascii="CAIXA Std Book" w:hAnsi="CAIXA Std Book" w:cs="Arial"/>
                <w:color w:val="005CA9"/>
                <w:sz w:val="18"/>
                <w:szCs w:val="18"/>
              </w:rPr>
              <w:t>448.694</w:t>
            </w:r>
          </w:p>
        </w:tc>
        <w:tc>
          <w:tcPr>
            <w:tcW w:w="592" w:type="pct"/>
            <w:tcBorders>
              <w:top w:val="nil"/>
              <w:left w:val="nil"/>
              <w:bottom w:val="single" w:sz="4" w:space="0" w:color="FFFFFF"/>
              <w:right w:val="nil"/>
            </w:tcBorders>
            <w:noWrap/>
            <w:vAlign w:val="center"/>
          </w:tcPr>
          <w:p w14:paraId="4C12CE66" w14:textId="77777777" w:rsidR="007B0FD0" w:rsidRPr="00491304" w:rsidRDefault="007B0FD0">
            <w:pPr>
              <w:jc w:val="right"/>
              <w:rPr>
                <w:rFonts w:ascii="CAIXA Std Book" w:hAnsi="CAIXA Std Book"/>
                <w:color w:val="005CA9"/>
                <w:sz w:val="18"/>
                <w:szCs w:val="18"/>
              </w:rPr>
            </w:pPr>
            <w:r>
              <w:rPr>
                <w:rFonts w:ascii="CAIXA Std Book" w:hAnsi="CAIXA Std Book" w:cs="Arial"/>
                <w:color w:val="005CA9"/>
                <w:sz w:val="18"/>
                <w:szCs w:val="18"/>
              </w:rPr>
              <w:t>2.772.782</w:t>
            </w:r>
          </w:p>
        </w:tc>
        <w:tc>
          <w:tcPr>
            <w:tcW w:w="591" w:type="pct"/>
            <w:tcBorders>
              <w:top w:val="nil"/>
              <w:left w:val="nil"/>
              <w:bottom w:val="single" w:sz="4" w:space="0" w:color="FFFFFF"/>
              <w:right w:val="nil"/>
            </w:tcBorders>
            <w:noWrap/>
            <w:vAlign w:val="center"/>
          </w:tcPr>
          <w:p w14:paraId="0884F3F4" w14:textId="77777777" w:rsidR="007B0FD0" w:rsidRPr="00491304" w:rsidRDefault="007B0FD0">
            <w:pPr>
              <w:jc w:val="center"/>
              <w:rPr>
                <w:rFonts w:ascii="CAIXA Std Book" w:hAnsi="CAIXA Std Book"/>
                <w:color w:val="005CA9"/>
                <w:sz w:val="18"/>
                <w:szCs w:val="18"/>
              </w:rPr>
            </w:pPr>
            <w:r>
              <w:rPr>
                <w:rFonts w:ascii="CAIXA Std Book" w:hAnsi="CAIXA Std Book" w:cs="Arial"/>
                <w:color w:val="005CA9"/>
                <w:sz w:val="18"/>
                <w:szCs w:val="18"/>
              </w:rPr>
              <w:t>-</w:t>
            </w:r>
          </w:p>
        </w:tc>
        <w:tc>
          <w:tcPr>
            <w:tcW w:w="592" w:type="pct"/>
            <w:tcBorders>
              <w:top w:val="nil"/>
              <w:left w:val="nil"/>
              <w:bottom w:val="single" w:sz="4" w:space="0" w:color="FFFFFF"/>
              <w:right w:val="nil"/>
            </w:tcBorders>
            <w:noWrap/>
            <w:vAlign w:val="center"/>
          </w:tcPr>
          <w:p w14:paraId="6F8F8365" w14:textId="77777777" w:rsidR="007B0FD0" w:rsidRPr="00491304" w:rsidRDefault="007B0FD0">
            <w:pPr>
              <w:jc w:val="right"/>
              <w:rPr>
                <w:rFonts w:ascii="CAIXA Std Book" w:hAnsi="CAIXA Std Book"/>
                <w:color w:val="005CA9"/>
                <w:sz w:val="18"/>
                <w:szCs w:val="18"/>
              </w:rPr>
            </w:pPr>
            <w:r>
              <w:rPr>
                <w:rFonts w:ascii="CAIXA Std Book" w:hAnsi="CAIXA Std Book" w:cs="Arial"/>
                <w:color w:val="005CA9"/>
                <w:sz w:val="18"/>
                <w:szCs w:val="18"/>
              </w:rPr>
              <w:t>36.996</w:t>
            </w:r>
          </w:p>
        </w:tc>
        <w:tc>
          <w:tcPr>
            <w:tcW w:w="591" w:type="pct"/>
            <w:tcBorders>
              <w:top w:val="nil"/>
              <w:left w:val="nil"/>
              <w:bottom w:val="single" w:sz="4" w:space="0" w:color="FFFFFF"/>
              <w:right w:val="nil"/>
            </w:tcBorders>
            <w:noWrap/>
            <w:vAlign w:val="center"/>
          </w:tcPr>
          <w:p w14:paraId="6FB0BCE3" w14:textId="77777777" w:rsidR="007B0FD0" w:rsidRPr="00491304" w:rsidRDefault="007B0FD0">
            <w:pPr>
              <w:jc w:val="right"/>
              <w:rPr>
                <w:rFonts w:ascii="CAIXA Std Book" w:hAnsi="CAIXA Std Book"/>
                <w:color w:val="005CA9"/>
                <w:sz w:val="18"/>
                <w:szCs w:val="18"/>
              </w:rPr>
            </w:pPr>
            <w:r>
              <w:rPr>
                <w:rFonts w:ascii="CAIXA Std Book" w:hAnsi="CAIXA Std Book" w:cs="Arial"/>
                <w:color w:val="005CA9"/>
                <w:sz w:val="18"/>
                <w:szCs w:val="18"/>
              </w:rPr>
              <w:t>3.258.472</w:t>
            </w:r>
          </w:p>
        </w:tc>
      </w:tr>
      <w:tr w:rsidR="007B0FD0" w:rsidRPr="00A13447" w14:paraId="3C9A8AA3" w14:textId="77777777" w:rsidTr="009E220E">
        <w:trPr>
          <w:trHeight w:val="255"/>
        </w:trPr>
        <w:tc>
          <w:tcPr>
            <w:tcW w:w="2043" w:type="pct"/>
            <w:tcBorders>
              <w:top w:val="nil"/>
              <w:left w:val="nil"/>
              <w:bottom w:val="single" w:sz="4" w:space="0" w:color="FFFFFF"/>
              <w:right w:val="nil"/>
            </w:tcBorders>
            <w:shd w:val="clear" w:color="000000" w:fill="FFFFFF"/>
            <w:noWrap/>
            <w:vAlign w:val="center"/>
            <w:hideMark/>
          </w:tcPr>
          <w:p w14:paraId="66B2FE3F" w14:textId="77777777" w:rsidR="007B0FD0" w:rsidRPr="00A13447" w:rsidRDefault="007B0FD0">
            <w:pPr>
              <w:rPr>
                <w:rFonts w:ascii="CAIXA Std Book" w:eastAsia="Times New Roman" w:hAnsi="CAIXA Std Book" w:cs="Calibri"/>
                <w:color w:val="005CA9"/>
                <w:sz w:val="18"/>
                <w:szCs w:val="18"/>
              </w:rPr>
            </w:pPr>
            <w:r w:rsidRPr="00A13447">
              <w:rPr>
                <w:rFonts w:ascii="CAIXA Std Book" w:eastAsia="Times New Roman" w:hAnsi="CAIXA Std Book" w:cs="Calibri"/>
                <w:color w:val="005CA9"/>
                <w:sz w:val="18"/>
                <w:szCs w:val="18"/>
              </w:rPr>
              <w:t>Cotas de fundo de investimento</w:t>
            </w:r>
            <w:r>
              <w:rPr>
                <w:rFonts w:ascii="CAIXA Std Book" w:eastAsia="Times New Roman" w:hAnsi="CAIXA Std Book" w:cs="Calibri"/>
                <w:color w:val="005CA9"/>
                <w:sz w:val="18"/>
                <w:szCs w:val="18"/>
              </w:rPr>
              <w:t xml:space="preserve"> </w:t>
            </w:r>
          </w:p>
        </w:tc>
        <w:tc>
          <w:tcPr>
            <w:tcW w:w="591" w:type="pct"/>
            <w:tcBorders>
              <w:top w:val="nil"/>
              <w:left w:val="nil"/>
              <w:bottom w:val="single" w:sz="4" w:space="0" w:color="FFFFFF"/>
              <w:right w:val="nil"/>
            </w:tcBorders>
            <w:noWrap/>
            <w:vAlign w:val="center"/>
            <w:hideMark/>
          </w:tcPr>
          <w:p w14:paraId="7BD096F1" w14:textId="77777777" w:rsidR="007B0FD0" w:rsidRPr="00A13447" w:rsidRDefault="007B0FD0">
            <w:pPr>
              <w:jc w:val="right"/>
              <w:rPr>
                <w:rFonts w:ascii="CAIXA Std Book" w:eastAsia="Times New Roman" w:hAnsi="CAIXA Std Book" w:cs="Calibri"/>
                <w:color w:val="005CA9"/>
                <w:sz w:val="18"/>
                <w:szCs w:val="18"/>
              </w:rPr>
            </w:pPr>
            <w:r>
              <w:rPr>
                <w:rFonts w:ascii="CAIXA Std Book" w:hAnsi="CAIXA Std Book"/>
                <w:color w:val="005CA9"/>
                <w:sz w:val="18"/>
                <w:szCs w:val="18"/>
              </w:rPr>
              <w:t>18.768</w:t>
            </w:r>
          </w:p>
        </w:tc>
        <w:tc>
          <w:tcPr>
            <w:tcW w:w="592" w:type="pct"/>
            <w:tcBorders>
              <w:top w:val="nil"/>
              <w:left w:val="nil"/>
              <w:bottom w:val="single" w:sz="4" w:space="0" w:color="FFFFFF"/>
              <w:right w:val="nil"/>
            </w:tcBorders>
            <w:noWrap/>
            <w:vAlign w:val="center"/>
          </w:tcPr>
          <w:p w14:paraId="0C3B9683" w14:textId="77777777" w:rsidR="007B0FD0" w:rsidRPr="00491304" w:rsidRDefault="007B0FD0">
            <w:pPr>
              <w:jc w:val="right"/>
              <w:rPr>
                <w:rFonts w:ascii="CAIXA Std Book" w:hAnsi="CAIXA Std Book"/>
                <w:color w:val="005CA9"/>
                <w:sz w:val="18"/>
                <w:szCs w:val="18"/>
              </w:rPr>
            </w:pPr>
            <w:r>
              <w:rPr>
                <w:rFonts w:ascii="CAIXA Std Book" w:hAnsi="CAIXA Std Book" w:cs="Arial"/>
                <w:color w:val="005CA9"/>
                <w:sz w:val="18"/>
                <w:szCs w:val="18"/>
              </w:rPr>
              <w:t>8.379</w:t>
            </w:r>
          </w:p>
        </w:tc>
        <w:tc>
          <w:tcPr>
            <w:tcW w:w="591" w:type="pct"/>
            <w:tcBorders>
              <w:top w:val="nil"/>
              <w:left w:val="nil"/>
              <w:bottom w:val="single" w:sz="4" w:space="0" w:color="FFFFFF"/>
              <w:right w:val="nil"/>
            </w:tcBorders>
            <w:noWrap/>
            <w:vAlign w:val="center"/>
          </w:tcPr>
          <w:p w14:paraId="6509D5E9" w14:textId="77777777" w:rsidR="007B0FD0" w:rsidRPr="00491304" w:rsidRDefault="007B0FD0">
            <w:pPr>
              <w:jc w:val="center"/>
              <w:rPr>
                <w:rFonts w:ascii="CAIXA Std Book" w:hAnsi="CAIXA Std Book"/>
                <w:color w:val="005CA9"/>
                <w:sz w:val="18"/>
                <w:szCs w:val="18"/>
              </w:rPr>
            </w:pPr>
            <w:r>
              <w:rPr>
                <w:rFonts w:ascii="CAIXA Std Book" w:hAnsi="CAIXA Std Book"/>
                <w:color w:val="005CA9"/>
                <w:sz w:val="18"/>
                <w:szCs w:val="18"/>
              </w:rPr>
              <w:t>-</w:t>
            </w:r>
          </w:p>
        </w:tc>
        <w:tc>
          <w:tcPr>
            <w:tcW w:w="592" w:type="pct"/>
            <w:tcBorders>
              <w:top w:val="nil"/>
              <w:left w:val="nil"/>
              <w:bottom w:val="single" w:sz="4" w:space="0" w:color="FFFFFF"/>
              <w:right w:val="nil"/>
            </w:tcBorders>
            <w:noWrap/>
            <w:vAlign w:val="center"/>
          </w:tcPr>
          <w:p w14:paraId="45603FEF" w14:textId="77777777" w:rsidR="007B0FD0" w:rsidRPr="00491304" w:rsidRDefault="007B0FD0">
            <w:pPr>
              <w:jc w:val="center"/>
              <w:rPr>
                <w:rFonts w:ascii="CAIXA Std Book" w:hAnsi="CAIXA Std Book"/>
                <w:color w:val="005CA9"/>
                <w:sz w:val="18"/>
                <w:szCs w:val="18"/>
              </w:rPr>
            </w:pPr>
            <w:r>
              <w:rPr>
                <w:rFonts w:ascii="CAIXA Std Book" w:hAnsi="CAIXA Std Book" w:cs="Arial"/>
                <w:color w:val="005CA9"/>
                <w:sz w:val="18"/>
                <w:szCs w:val="18"/>
              </w:rPr>
              <w:t>-</w:t>
            </w:r>
          </w:p>
        </w:tc>
        <w:tc>
          <w:tcPr>
            <w:tcW w:w="591" w:type="pct"/>
            <w:tcBorders>
              <w:top w:val="nil"/>
              <w:left w:val="nil"/>
              <w:bottom w:val="single" w:sz="4" w:space="0" w:color="FFFFFF"/>
              <w:right w:val="nil"/>
            </w:tcBorders>
            <w:noWrap/>
            <w:vAlign w:val="center"/>
          </w:tcPr>
          <w:p w14:paraId="18818A12" w14:textId="77777777" w:rsidR="007B0FD0" w:rsidRPr="00491304" w:rsidRDefault="007B0FD0">
            <w:pPr>
              <w:jc w:val="right"/>
              <w:rPr>
                <w:rFonts w:ascii="CAIXA Std Book" w:hAnsi="CAIXA Std Book"/>
                <w:color w:val="005CA9"/>
                <w:sz w:val="18"/>
                <w:szCs w:val="18"/>
              </w:rPr>
            </w:pPr>
            <w:r>
              <w:rPr>
                <w:rFonts w:ascii="CAIXA Std Book" w:hAnsi="CAIXA Std Book" w:cs="Arial"/>
                <w:color w:val="005CA9"/>
                <w:sz w:val="18"/>
                <w:szCs w:val="18"/>
              </w:rPr>
              <w:t>27.147</w:t>
            </w:r>
          </w:p>
        </w:tc>
      </w:tr>
      <w:tr w:rsidR="007B0FD0" w:rsidRPr="00A13447" w14:paraId="484809D3" w14:textId="77777777" w:rsidTr="009E220E">
        <w:trPr>
          <w:trHeight w:val="255"/>
        </w:trPr>
        <w:tc>
          <w:tcPr>
            <w:tcW w:w="2043" w:type="pct"/>
            <w:tcBorders>
              <w:top w:val="nil"/>
              <w:left w:val="nil"/>
              <w:bottom w:val="single" w:sz="4" w:space="0" w:color="FFFFFF"/>
              <w:right w:val="nil"/>
            </w:tcBorders>
            <w:shd w:val="clear" w:color="000000" w:fill="FFFFFF"/>
            <w:noWrap/>
            <w:vAlign w:val="center"/>
            <w:hideMark/>
          </w:tcPr>
          <w:p w14:paraId="0FC56E9A" w14:textId="77777777" w:rsidR="007B0FD0" w:rsidRPr="00A13447" w:rsidRDefault="007B0FD0">
            <w:pP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 xml:space="preserve">Ações </w:t>
            </w:r>
          </w:p>
        </w:tc>
        <w:tc>
          <w:tcPr>
            <w:tcW w:w="591" w:type="pct"/>
            <w:tcBorders>
              <w:top w:val="nil"/>
              <w:left w:val="nil"/>
              <w:bottom w:val="single" w:sz="4" w:space="0" w:color="FFFFFF"/>
              <w:right w:val="nil"/>
            </w:tcBorders>
            <w:noWrap/>
            <w:vAlign w:val="center"/>
            <w:hideMark/>
          </w:tcPr>
          <w:p w14:paraId="2430C631" w14:textId="77777777" w:rsidR="007B0FD0" w:rsidRPr="00A13447" w:rsidRDefault="007B0FD0">
            <w:pPr>
              <w:jc w:val="right"/>
              <w:rPr>
                <w:rFonts w:ascii="CAIXA Std Book" w:eastAsia="Times New Roman" w:hAnsi="CAIXA Std Book" w:cs="Calibri"/>
                <w:color w:val="005CA9"/>
                <w:sz w:val="18"/>
                <w:szCs w:val="18"/>
              </w:rPr>
            </w:pPr>
            <w:r>
              <w:rPr>
                <w:rFonts w:ascii="CAIXA Std Book" w:hAnsi="CAIXA Std Book" w:cs="Arial"/>
                <w:color w:val="005CA9"/>
                <w:sz w:val="18"/>
                <w:szCs w:val="18"/>
              </w:rPr>
              <w:t>100.448</w:t>
            </w:r>
          </w:p>
        </w:tc>
        <w:tc>
          <w:tcPr>
            <w:tcW w:w="592" w:type="pct"/>
            <w:tcBorders>
              <w:top w:val="nil"/>
              <w:left w:val="nil"/>
              <w:bottom w:val="single" w:sz="4" w:space="0" w:color="FFFFFF"/>
              <w:right w:val="nil"/>
            </w:tcBorders>
            <w:noWrap/>
            <w:vAlign w:val="center"/>
          </w:tcPr>
          <w:p w14:paraId="7E2FFAC6" w14:textId="77777777" w:rsidR="007B0FD0" w:rsidRPr="00491304" w:rsidRDefault="007B0FD0">
            <w:pPr>
              <w:jc w:val="right"/>
              <w:rPr>
                <w:rFonts w:ascii="CAIXA Std Book" w:hAnsi="CAIXA Std Book"/>
                <w:color w:val="005CA9"/>
                <w:sz w:val="18"/>
                <w:szCs w:val="18"/>
              </w:rPr>
            </w:pPr>
            <w:r>
              <w:rPr>
                <w:rFonts w:ascii="CAIXA Std Book" w:hAnsi="CAIXA Std Book" w:cs="Arial"/>
                <w:color w:val="005CA9"/>
                <w:sz w:val="18"/>
                <w:szCs w:val="18"/>
              </w:rPr>
              <w:t>817.288</w:t>
            </w:r>
          </w:p>
        </w:tc>
        <w:tc>
          <w:tcPr>
            <w:tcW w:w="591" w:type="pct"/>
            <w:tcBorders>
              <w:top w:val="nil"/>
              <w:left w:val="nil"/>
              <w:bottom w:val="single" w:sz="4" w:space="0" w:color="FFFFFF"/>
              <w:right w:val="nil"/>
            </w:tcBorders>
            <w:noWrap/>
            <w:vAlign w:val="center"/>
          </w:tcPr>
          <w:p w14:paraId="11B467E2" w14:textId="77777777" w:rsidR="007B0FD0" w:rsidRPr="00491304" w:rsidRDefault="007B0FD0">
            <w:pPr>
              <w:jc w:val="center"/>
              <w:rPr>
                <w:rFonts w:ascii="CAIXA Std Book" w:hAnsi="CAIXA Std Book"/>
                <w:color w:val="005CA9"/>
                <w:sz w:val="18"/>
                <w:szCs w:val="18"/>
              </w:rPr>
            </w:pPr>
            <w:r>
              <w:rPr>
                <w:rFonts w:ascii="CAIXA Std Book" w:hAnsi="CAIXA Std Book" w:cs="Arial"/>
                <w:color w:val="005CA9"/>
                <w:sz w:val="18"/>
                <w:szCs w:val="18"/>
              </w:rPr>
              <w:t>-</w:t>
            </w:r>
          </w:p>
        </w:tc>
        <w:tc>
          <w:tcPr>
            <w:tcW w:w="592" w:type="pct"/>
            <w:tcBorders>
              <w:top w:val="nil"/>
              <w:left w:val="nil"/>
              <w:bottom w:val="single" w:sz="4" w:space="0" w:color="FFFFFF"/>
              <w:right w:val="nil"/>
            </w:tcBorders>
            <w:noWrap/>
            <w:vAlign w:val="center"/>
          </w:tcPr>
          <w:p w14:paraId="5101F695" w14:textId="77777777" w:rsidR="007B0FD0" w:rsidRPr="00491304" w:rsidRDefault="007B0FD0">
            <w:pPr>
              <w:jc w:val="center"/>
              <w:rPr>
                <w:rFonts w:ascii="CAIXA Std Book" w:hAnsi="CAIXA Std Book"/>
                <w:color w:val="005CA9"/>
                <w:sz w:val="18"/>
                <w:szCs w:val="18"/>
              </w:rPr>
            </w:pPr>
            <w:r>
              <w:rPr>
                <w:rFonts w:ascii="CAIXA Std Book" w:hAnsi="CAIXA Std Book" w:cs="Arial"/>
                <w:color w:val="005CA9"/>
                <w:sz w:val="18"/>
                <w:szCs w:val="18"/>
              </w:rPr>
              <w:t>-</w:t>
            </w:r>
          </w:p>
        </w:tc>
        <w:tc>
          <w:tcPr>
            <w:tcW w:w="591" w:type="pct"/>
            <w:tcBorders>
              <w:top w:val="nil"/>
              <w:left w:val="nil"/>
              <w:bottom w:val="single" w:sz="4" w:space="0" w:color="FFFFFF"/>
              <w:right w:val="nil"/>
            </w:tcBorders>
            <w:noWrap/>
            <w:vAlign w:val="center"/>
          </w:tcPr>
          <w:p w14:paraId="535D95C8" w14:textId="77777777" w:rsidR="007B0FD0" w:rsidRPr="00491304" w:rsidRDefault="007B0FD0">
            <w:pPr>
              <w:jc w:val="right"/>
              <w:rPr>
                <w:rFonts w:ascii="CAIXA Std Book" w:hAnsi="CAIXA Std Book"/>
                <w:color w:val="005CA9"/>
                <w:sz w:val="18"/>
                <w:szCs w:val="18"/>
              </w:rPr>
            </w:pPr>
            <w:r>
              <w:rPr>
                <w:rFonts w:ascii="CAIXA Std Book" w:hAnsi="CAIXA Std Book" w:cs="Arial"/>
                <w:color w:val="005CA9"/>
                <w:sz w:val="18"/>
                <w:szCs w:val="18"/>
              </w:rPr>
              <w:t>917.736</w:t>
            </w:r>
          </w:p>
        </w:tc>
      </w:tr>
      <w:tr w:rsidR="007B0FD0" w:rsidRPr="00A13447" w14:paraId="61010CCC" w14:textId="77777777" w:rsidTr="009E220E">
        <w:trPr>
          <w:trHeight w:val="255"/>
        </w:trPr>
        <w:tc>
          <w:tcPr>
            <w:tcW w:w="2043" w:type="pct"/>
            <w:tcBorders>
              <w:top w:val="nil"/>
              <w:left w:val="nil"/>
              <w:bottom w:val="single" w:sz="4" w:space="0" w:color="FFFFFF"/>
              <w:right w:val="nil"/>
            </w:tcBorders>
            <w:shd w:val="clear" w:color="auto" w:fill="005CA9"/>
            <w:noWrap/>
            <w:vAlign w:val="center"/>
            <w:hideMark/>
          </w:tcPr>
          <w:p w14:paraId="0EADBA46" w14:textId="77777777" w:rsidR="007B0FD0" w:rsidRPr="00A13447" w:rsidRDefault="007B0FD0">
            <w:pP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Total</w:t>
            </w:r>
          </w:p>
        </w:tc>
        <w:tc>
          <w:tcPr>
            <w:tcW w:w="591" w:type="pct"/>
            <w:tcBorders>
              <w:top w:val="nil"/>
              <w:left w:val="nil"/>
              <w:bottom w:val="single" w:sz="4" w:space="0" w:color="FFFFFF"/>
              <w:right w:val="nil"/>
            </w:tcBorders>
            <w:shd w:val="clear" w:color="auto" w:fill="005CA9"/>
            <w:noWrap/>
            <w:vAlign w:val="center"/>
            <w:hideMark/>
          </w:tcPr>
          <w:p w14:paraId="39CFC202" w14:textId="77777777" w:rsidR="007B0FD0" w:rsidRPr="00B55367" w:rsidRDefault="007B0FD0">
            <w:pPr>
              <w:jc w:val="right"/>
              <w:rPr>
                <w:rFonts w:ascii="CAIXA Std Book" w:hAnsi="CAIXA Std Book" w:cs="Calibri"/>
                <w:b/>
                <w:color w:val="FFFFFF"/>
                <w:sz w:val="18"/>
                <w:szCs w:val="18"/>
              </w:rPr>
            </w:pPr>
            <w:r>
              <w:rPr>
                <w:rFonts w:ascii="CAIXA Std Book" w:hAnsi="CAIXA Std Book" w:cs="Calibri"/>
                <w:b/>
                <w:color w:val="FFFFFF"/>
                <w:sz w:val="18"/>
                <w:szCs w:val="18"/>
              </w:rPr>
              <w:t>122.891.</w:t>
            </w:r>
            <w:r>
              <w:rPr>
                <w:rFonts w:ascii="CAIXA Std Book" w:hAnsi="CAIXA Std Book" w:cs="Calibri"/>
                <w:b/>
                <w:bCs/>
                <w:color w:val="FFFFFF"/>
                <w:sz w:val="18"/>
                <w:szCs w:val="18"/>
              </w:rPr>
              <w:t>429</w:t>
            </w:r>
          </w:p>
        </w:tc>
        <w:tc>
          <w:tcPr>
            <w:tcW w:w="592" w:type="pct"/>
            <w:tcBorders>
              <w:top w:val="nil"/>
              <w:left w:val="nil"/>
              <w:bottom w:val="single" w:sz="4" w:space="0" w:color="FFFFFF"/>
              <w:right w:val="nil"/>
            </w:tcBorders>
            <w:shd w:val="clear" w:color="auto" w:fill="005CA9"/>
            <w:noWrap/>
            <w:vAlign w:val="center"/>
          </w:tcPr>
          <w:p w14:paraId="72529181" w14:textId="77777777" w:rsidR="007B0FD0" w:rsidRPr="00491304" w:rsidRDefault="007B0FD0">
            <w:pPr>
              <w:jc w:val="right"/>
              <w:rPr>
                <w:rFonts w:ascii="CAIXA Std Book" w:hAnsi="CAIXA Std Book" w:cs="Calibri"/>
                <w:b/>
                <w:color w:val="FFFFFF"/>
                <w:sz w:val="18"/>
                <w:szCs w:val="18"/>
              </w:rPr>
            </w:pPr>
            <w:r>
              <w:rPr>
                <w:rFonts w:ascii="CAIXA Std Book" w:hAnsi="CAIXA Std Book" w:cs="Arial"/>
                <w:b/>
                <w:bCs/>
                <w:color w:val="FFFFFF"/>
                <w:sz w:val="18"/>
                <w:szCs w:val="18"/>
              </w:rPr>
              <w:t>37.519.013</w:t>
            </w:r>
          </w:p>
        </w:tc>
        <w:tc>
          <w:tcPr>
            <w:tcW w:w="591" w:type="pct"/>
            <w:tcBorders>
              <w:top w:val="nil"/>
              <w:left w:val="nil"/>
              <w:bottom w:val="single" w:sz="4" w:space="0" w:color="FFFFFF"/>
              <w:right w:val="nil"/>
            </w:tcBorders>
            <w:shd w:val="clear" w:color="auto" w:fill="005CA9"/>
            <w:noWrap/>
            <w:vAlign w:val="center"/>
          </w:tcPr>
          <w:p w14:paraId="64A4E657" w14:textId="77777777" w:rsidR="007B0FD0" w:rsidRPr="00491304" w:rsidRDefault="007B0FD0">
            <w:pPr>
              <w:jc w:val="center"/>
              <w:rPr>
                <w:rFonts w:ascii="CAIXA Std Book" w:hAnsi="CAIXA Std Book" w:cs="Calibri"/>
                <w:b/>
                <w:color w:val="FFFFFF"/>
                <w:sz w:val="18"/>
                <w:szCs w:val="18"/>
              </w:rPr>
            </w:pPr>
            <w:r>
              <w:rPr>
                <w:rFonts w:ascii="CAIXA Std Book" w:hAnsi="CAIXA Std Book" w:cs="Arial"/>
                <w:b/>
                <w:bCs/>
                <w:color w:val="FFFFFF"/>
                <w:sz w:val="18"/>
                <w:szCs w:val="18"/>
              </w:rPr>
              <w:t>-</w:t>
            </w:r>
          </w:p>
        </w:tc>
        <w:tc>
          <w:tcPr>
            <w:tcW w:w="592" w:type="pct"/>
            <w:tcBorders>
              <w:top w:val="nil"/>
              <w:left w:val="nil"/>
              <w:bottom w:val="single" w:sz="4" w:space="0" w:color="FFFFFF"/>
              <w:right w:val="nil"/>
            </w:tcBorders>
            <w:shd w:val="clear" w:color="auto" w:fill="005CA9"/>
            <w:noWrap/>
            <w:vAlign w:val="center"/>
          </w:tcPr>
          <w:p w14:paraId="252587C6" w14:textId="77777777" w:rsidR="007B0FD0" w:rsidRPr="00491304" w:rsidRDefault="007B0FD0">
            <w:pPr>
              <w:jc w:val="right"/>
              <w:rPr>
                <w:rFonts w:ascii="CAIXA Std Book" w:hAnsi="CAIXA Std Book" w:cs="Calibri"/>
                <w:b/>
                <w:color w:val="FFFFFF"/>
                <w:sz w:val="18"/>
                <w:szCs w:val="18"/>
              </w:rPr>
            </w:pPr>
            <w:r>
              <w:rPr>
                <w:rFonts w:ascii="CAIXA Std Book" w:hAnsi="CAIXA Std Book" w:cs="Arial"/>
                <w:b/>
                <w:bCs/>
                <w:color w:val="FFFFFF"/>
                <w:sz w:val="18"/>
                <w:szCs w:val="18"/>
              </w:rPr>
              <w:t>36.996</w:t>
            </w:r>
          </w:p>
        </w:tc>
        <w:tc>
          <w:tcPr>
            <w:tcW w:w="591" w:type="pct"/>
            <w:tcBorders>
              <w:top w:val="nil"/>
              <w:left w:val="nil"/>
              <w:bottom w:val="single" w:sz="4" w:space="0" w:color="FFFFFF"/>
              <w:right w:val="nil"/>
            </w:tcBorders>
            <w:shd w:val="clear" w:color="auto" w:fill="005CA9"/>
            <w:noWrap/>
            <w:vAlign w:val="center"/>
          </w:tcPr>
          <w:p w14:paraId="2BD68D8C" w14:textId="77777777" w:rsidR="007B0FD0" w:rsidRPr="00491304" w:rsidRDefault="007B0FD0">
            <w:pPr>
              <w:jc w:val="right"/>
              <w:rPr>
                <w:rFonts w:ascii="CAIXA Std Book" w:hAnsi="CAIXA Std Book" w:cs="Calibri"/>
                <w:b/>
                <w:color w:val="FFFFFF"/>
                <w:sz w:val="18"/>
                <w:szCs w:val="18"/>
              </w:rPr>
            </w:pPr>
            <w:r>
              <w:rPr>
                <w:rFonts w:ascii="CAIXA Std Book" w:hAnsi="CAIXA Std Book" w:cs="Arial"/>
                <w:b/>
                <w:bCs/>
                <w:color w:val="FFFFFF"/>
                <w:sz w:val="18"/>
                <w:szCs w:val="18"/>
              </w:rPr>
              <w:t>160.447.438</w:t>
            </w:r>
          </w:p>
        </w:tc>
      </w:tr>
    </w:tbl>
    <w:p w14:paraId="3FBD8A45" w14:textId="08855AA1" w:rsidR="008F3295" w:rsidRDefault="008F3295"/>
    <w:tbl>
      <w:tblPr>
        <w:tblW w:w="5000" w:type="pct"/>
        <w:tblLayout w:type="fixed"/>
        <w:tblCellMar>
          <w:left w:w="70" w:type="dxa"/>
          <w:right w:w="70" w:type="dxa"/>
        </w:tblCellMar>
        <w:tblLook w:val="04A0" w:firstRow="1" w:lastRow="0" w:firstColumn="1" w:lastColumn="0" w:noHBand="0" w:noVBand="1"/>
      </w:tblPr>
      <w:tblGrid>
        <w:gridCol w:w="5955"/>
        <w:gridCol w:w="1722"/>
        <w:gridCol w:w="1725"/>
        <w:gridCol w:w="1722"/>
        <w:gridCol w:w="1725"/>
        <w:gridCol w:w="1722"/>
      </w:tblGrid>
      <w:tr w:rsidR="00813936" w:rsidRPr="00FF6093" w14:paraId="0D53705D" w14:textId="77777777" w:rsidTr="009E220E">
        <w:trPr>
          <w:trHeight w:val="255"/>
        </w:trPr>
        <w:tc>
          <w:tcPr>
            <w:tcW w:w="5000" w:type="pct"/>
            <w:gridSpan w:val="6"/>
            <w:tcBorders>
              <w:left w:val="nil"/>
              <w:bottom w:val="single" w:sz="4" w:space="0" w:color="FFFFFF" w:themeColor="background1"/>
              <w:right w:val="nil"/>
            </w:tcBorders>
            <w:shd w:val="clear" w:color="auto" w:fill="005CA9"/>
            <w:noWrap/>
            <w:vAlign w:val="center"/>
            <w:hideMark/>
          </w:tcPr>
          <w:p w14:paraId="5AA52A45" w14:textId="77777777" w:rsidR="00813936" w:rsidRPr="00FF6093" w:rsidRDefault="00813936">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Individual / Consolidado</w:t>
            </w:r>
          </w:p>
        </w:tc>
      </w:tr>
      <w:tr w:rsidR="00813936" w:rsidRPr="00FF6093" w14:paraId="76459BB9" w14:textId="77777777" w:rsidTr="009E220E">
        <w:trPr>
          <w:trHeight w:val="401"/>
        </w:trPr>
        <w:tc>
          <w:tcPr>
            <w:tcW w:w="2043" w:type="pct"/>
            <w:vMerge w:val="restart"/>
            <w:tcBorders>
              <w:top w:val="single" w:sz="4" w:space="0" w:color="FFFFFF" w:themeColor="background1"/>
              <w:left w:val="nil"/>
              <w:bottom w:val="single" w:sz="4" w:space="0" w:color="FFFFFF"/>
              <w:right w:val="nil"/>
            </w:tcBorders>
            <w:shd w:val="clear" w:color="auto" w:fill="005CA9"/>
            <w:vAlign w:val="center"/>
            <w:hideMark/>
          </w:tcPr>
          <w:p w14:paraId="550A5B5A" w14:textId="77777777" w:rsidR="00813936" w:rsidRPr="00FF6093" w:rsidRDefault="00813936">
            <w:pPr>
              <w:jc w:val="center"/>
              <w:rPr>
                <w:rFonts w:ascii="CAIXA Std Book" w:eastAsia="Times New Roman" w:hAnsi="CAIXA Std Book" w:cs="Calibri"/>
                <w:b/>
                <w:bCs/>
                <w:color w:val="FFFFFF"/>
                <w:sz w:val="18"/>
                <w:szCs w:val="18"/>
              </w:rPr>
            </w:pPr>
            <w:r w:rsidRPr="00FF6093">
              <w:rPr>
                <w:rFonts w:ascii="CAIXA Std Book" w:eastAsia="Times New Roman" w:hAnsi="CAIXA Std Book" w:cs="Calibri"/>
                <w:b/>
                <w:bCs/>
                <w:color w:val="FFFFFF"/>
                <w:sz w:val="18"/>
                <w:szCs w:val="18"/>
              </w:rPr>
              <w:t xml:space="preserve">Estágio </w:t>
            </w:r>
            <w:r>
              <w:rPr>
                <w:rFonts w:ascii="CAIXA Std Book" w:eastAsia="Times New Roman" w:hAnsi="CAIXA Std Book" w:cs="Calibri"/>
                <w:b/>
                <w:bCs/>
                <w:color w:val="FFFFFF"/>
                <w:sz w:val="18"/>
                <w:szCs w:val="18"/>
              </w:rPr>
              <w:t>3</w:t>
            </w:r>
          </w:p>
        </w:tc>
        <w:tc>
          <w:tcPr>
            <w:tcW w:w="591" w:type="pct"/>
            <w:vMerge w:val="restart"/>
            <w:tcBorders>
              <w:top w:val="single" w:sz="4" w:space="0" w:color="FFFFFF" w:themeColor="background1"/>
              <w:left w:val="nil"/>
              <w:bottom w:val="single" w:sz="4" w:space="0" w:color="FFFFFF"/>
              <w:right w:val="nil"/>
            </w:tcBorders>
            <w:shd w:val="clear" w:color="auto" w:fill="005CA9"/>
            <w:vAlign w:val="center"/>
            <w:hideMark/>
          </w:tcPr>
          <w:p w14:paraId="095F750C" w14:textId="77777777" w:rsidR="00813936" w:rsidRPr="00FF6093" w:rsidRDefault="00813936">
            <w:pPr>
              <w:jc w:val="center"/>
              <w:rPr>
                <w:rFonts w:ascii="CAIXA Std Book" w:eastAsia="Times New Roman" w:hAnsi="CAIXA Std Book" w:cs="Calibri"/>
                <w:b/>
                <w:bCs/>
                <w:color w:val="FFFFFF"/>
                <w:sz w:val="18"/>
                <w:szCs w:val="18"/>
              </w:rPr>
            </w:pPr>
            <w:r w:rsidRPr="00FF6093">
              <w:rPr>
                <w:rFonts w:ascii="CAIXA Std Book" w:eastAsia="Times New Roman" w:hAnsi="CAIXA Std Book" w:cs="Calibri"/>
                <w:b/>
                <w:bCs/>
                <w:color w:val="FFFFFF"/>
                <w:sz w:val="18"/>
                <w:szCs w:val="18"/>
              </w:rPr>
              <w:t>Saldo em 3</w:t>
            </w:r>
            <w:r>
              <w:rPr>
                <w:rFonts w:ascii="CAIXA Std Book" w:eastAsia="Times New Roman" w:hAnsi="CAIXA Std Book" w:cs="Calibri"/>
                <w:b/>
                <w:bCs/>
                <w:color w:val="FFFFFF"/>
                <w:sz w:val="18"/>
                <w:szCs w:val="18"/>
              </w:rPr>
              <w:t>1</w:t>
            </w:r>
            <w:r w:rsidRPr="00FF6093">
              <w:rPr>
                <w:rFonts w:ascii="CAIXA Std Book" w:eastAsia="Times New Roman" w:hAnsi="CAIXA Std Book" w:cs="Calibri"/>
                <w:b/>
                <w:bCs/>
                <w:color w:val="FFFFFF"/>
                <w:sz w:val="18"/>
                <w:szCs w:val="18"/>
              </w:rPr>
              <w:t>/</w:t>
            </w:r>
            <w:r>
              <w:rPr>
                <w:rFonts w:ascii="CAIXA Std Book" w:eastAsia="Times New Roman" w:hAnsi="CAIXA Std Book" w:cs="Calibri"/>
                <w:b/>
                <w:bCs/>
                <w:color w:val="FFFFFF"/>
                <w:sz w:val="18"/>
                <w:szCs w:val="18"/>
              </w:rPr>
              <w:t>12</w:t>
            </w:r>
            <w:r w:rsidRPr="00FF6093">
              <w:rPr>
                <w:rFonts w:ascii="CAIXA Std Book" w:eastAsia="Times New Roman" w:hAnsi="CAIXA Std Book" w:cs="Calibri"/>
                <w:b/>
                <w:bCs/>
                <w:color w:val="FFFFFF"/>
                <w:sz w:val="18"/>
                <w:szCs w:val="18"/>
              </w:rPr>
              <w:t>/2025</w:t>
            </w:r>
          </w:p>
        </w:tc>
        <w:tc>
          <w:tcPr>
            <w:tcW w:w="592" w:type="pct"/>
            <w:vMerge w:val="restart"/>
            <w:tcBorders>
              <w:top w:val="single" w:sz="4" w:space="0" w:color="FFFFFF" w:themeColor="background1"/>
              <w:left w:val="nil"/>
              <w:bottom w:val="single" w:sz="4" w:space="0" w:color="FFFFFF"/>
              <w:right w:val="nil"/>
            </w:tcBorders>
            <w:shd w:val="clear" w:color="auto" w:fill="005CA9"/>
            <w:vAlign w:val="center"/>
            <w:hideMark/>
          </w:tcPr>
          <w:p w14:paraId="2E1A0FAC" w14:textId="77777777" w:rsidR="00813936" w:rsidRDefault="00813936">
            <w:pPr>
              <w:jc w:val="center"/>
              <w:rPr>
                <w:rFonts w:ascii="CAIXA Std Book" w:eastAsia="Times New Roman" w:hAnsi="CAIXA Std Book" w:cs="Calibri"/>
                <w:b/>
                <w:bCs/>
                <w:color w:val="FFFFFF"/>
                <w:sz w:val="18"/>
                <w:szCs w:val="18"/>
              </w:rPr>
            </w:pPr>
            <w:r w:rsidRPr="00FF6093">
              <w:rPr>
                <w:rFonts w:ascii="CAIXA Std Book" w:eastAsia="Times New Roman" w:hAnsi="CAIXA Std Book" w:cs="Calibri"/>
                <w:b/>
                <w:bCs/>
                <w:color w:val="FFFFFF"/>
                <w:sz w:val="18"/>
                <w:szCs w:val="18"/>
              </w:rPr>
              <w:t>Compra/</w:t>
            </w:r>
          </w:p>
          <w:p w14:paraId="38D809CF" w14:textId="77777777" w:rsidR="00813936" w:rsidRPr="00FF6093" w:rsidRDefault="00813936">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(l</w:t>
            </w:r>
            <w:r w:rsidRPr="00FF6093">
              <w:rPr>
                <w:rFonts w:ascii="CAIXA Std Book" w:eastAsia="Times New Roman" w:hAnsi="CAIXA Std Book" w:cs="Calibri"/>
                <w:b/>
                <w:bCs/>
                <w:color w:val="FFFFFF"/>
                <w:sz w:val="18"/>
                <w:szCs w:val="18"/>
              </w:rPr>
              <w:t>iquidação</w:t>
            </w:r>
            <w:r>
              <w:rPr>
                <w:rFonts w:ascii="CAIXA Std Book" w:eastAsia="Times New Roman" w:hAnsi="CAIXA Std Book" w:cs="Calibri"/>
                <w:b/>
                <w:bCs/>
                <w:color w:val="FFFFFF"/>
                <w:sz w:val="18"/>
                <w:szCs w:val="18"/>
              </w:rPr>
              <w:t>)</w:t>
            </w:r>
          </w:p>
        </w:tc>
        <w:tc>
          <w:tcPr>
            <w:tcW w:w="591" w:type="pct"/>
            <w:vMerge w:val="restart"/>
            <w:tcBorders>
              <w:top w:val="single" w:sz="4" w:space="0" w:color="FFFFFF" w:themeColor="background1"/>
              <w:left w:val="nil"/>
              <w:bottom w:val="single" w:sz="4" w:space="0" w:color="FFFFFF"/>
              <w:right w:val="nil"/>
            </w:tcBorders>
            <w:shd w:val="clear" w:color="auto" w:fill="005CA9"/>
            <w:vAlign w:val="center"/>
            <w:hideMark/>
          </w:tcPr>
          <w:p w14:paraId="52FD193F" w14:textId="77777777" w:rsidR="00813936" w:rsidRDefault="00813936">
            <w:pPr>
              <w:jc w:val="center"/>
              <w:rPr>
                <w:rFonts w:ascii="CAIXA Std Book" w:hAnsi="CAIXA Std Book" w:cs="Arial"/>
                <w:b/>
                <w:color w:val="FFFFFF"/>
                <w:sz w:val="18"/>
                <w:szCs w:val="18"/>
              </w:rPr>
            </w:pPr>
            <w:r>
              <w:rPr>
                <w:rFonts w:ascii="CAIXA Std Book" w:hAnsi="CAIXA Std Book" w:cs="Arial"/>
                <w:b/>
                <w:color w:val="FFFFFF"/>
                <w:sz w:val="18"/>
                <w:szCs w:val="18"/>
              </w:rPr>
              <w:t>Transferência do/</w:t>
            </w:r>
          </w:p>
          <w:p w14:paraId="52BE77ED" w14:textId="77777777" w:rsidR="00813936" w:rsidRPr="00FF6093" w:rsidRDefault="00813936">
            <w:pPr>
              <w:jc w:val="center"/>
              <w:rPr>
                <w:rFonts w:ascii="CAIXA Std Book" w:eastAsia="Times New Roman" w:hAnsi="CAIXA Std Book" w:cs="Calibri"/>
                <w:b/>
                <w:bCs/>
                <w:color w:val="FFFFFF"/>
                <w:sz w:val="18"/>
                <w:szCs w:val="18"/>
              </w:rPr>
            </w:pPr>
            <w:r>
              <w:rPr>
                <w:rFonts w:ascii="CAIXA Std Book" w:hAnsi="CAIXA Std Book" w:cs="Arial"/>
                <w:b/>
                <w:color w:val="FFFFFF"/>
                <w:sz w:val="18"/>
                <w:szCs w:val="18"/>
              </w:rPr>
              <w:t>para estágio 1</w:t>
            </w:r>
          </w:p>
        </w:tc>
        <w:tc>
          <w:tcPr>
            <w:tcW w:w="592" w:type="pct"/>
            <w:vMerge w:val="restart"/>
            <w:tcBorders>
              <w:top w:val="single" w:sz="4" w:space="0" w:color="FFFFFF" w:themeColor="background1"/>
              <w:left w:val="nil"/>
              <w:bottom w:val="single" w:sz="4" w:space="0" w:color="FFFFFF"/>
              <w:right w:val="nil"/>
            </w:tcBorders>
            <w:shd w:val="clear" w:color="auto" w:fill="005CA9"/>
            <w:vAlign w:val="center"/>
            <w:hideMark/>
          </w:tcPr>
          <w:p w14:paraId="700BAA78" w14:textId="77777777" w:rsidR="00813936" w:rsidRPr="00FF6093" w:rsidRDefault="00813936">
            <w:pPr>
              <w:jc w:val="center"/>
              <w:rPr>
                <w:rFonts w:ascii="CAIXA Std Book" w:eastAsia="Times New Roman" w:hAnsi="CAIXA Std Book" w:cs="Calibri"/>
                <w:b/>
                <w:bCs/>
                <w:color w:val="FFFFFF"/>
                <w:sz w:val="18"/>
                <w:szCs w:val="18"/>
              </w:rPr>
            </w:pPr>
            <w:r>
              <w:rPr>
                <w:rFonts w:ascii="CAIXA Std Book" w:hAnsi="CAIXA Std Book" w:cs="Arial"/>
                <w:b/>
                <w:color w:val="FFFFFF"/>
                <w:sz w:val="18"/>
                <w:szCs w:val="18"/>
              </w:rPr>
              <w:t>Transferência do/</w:t>
            </w:r>
            <w:r>
              <w:rPr>
                <w:rFonts w:ascii="CAIXA Std Book" w:hAnsi="CAIXA Std Book" w:cs="Arial"/>
                <w:b/>
                <w:bCs/>
                <w:color w:val="FFFFFF"/>
                <w:sz w:val="18"/>
                <w:szCs w:val="18"/>
              </w:rPr>
              <w:t xml:space="preserve"> </w:t>
            </w:r>
            <w:r>
              <w:rPr>
                <w:rFonts w:ascii="CAIXA Std Book" w:hAnsi="CAIXA Std Book" w:cs="Arial"/>
                <w:b/>
                <w:color w:val="FFFFFF"/>
                <w:sz w:val="18"/>
                <w:szCs w:val="18"/>
              </w:rPr>
              <w:t xml:space="preserve">para estágio </w:t>
            </w:r>
            <w:r>
              <w:rPr>
                <w:rFonts w:ascii="CAIXA Std Book" w:hAnsi="CAIXA Std Book" w:cs="Arial"/>
                <w:b/>
                <w:bCs/>
                <w:color w:val="FFFFFF"/>
                <w:sz w:val="18"/>
                <w:szCs w:val="18"/>
              </w:rPr>
              <w:t>2</w:t>
            </w:r>
          </w:p>
        </w:tc>
        <w:tc>
          <w:tcPr>
            <w:tcW w:w="591" w:type="pct"/>
            <w:vMerge w:val="restart"/>
            <w:tcBorders>
              <w:top w:val="single" w:sz="4" w:space="0" w:color="FFFFFF" w:themeColor="background1"/>
              <w:left w:val="nil"/>
              <w:bottom w:val="single" w:sz="4" w:space="0" w:color="FFFFFF"/>
              <w:right w:val="nil"/>
            </w:tcBorders>
            <w:shd w:val="clear" w:color="auto" w:fill="005CA9"/>
            <w:vAlign w:val="center"/>
            <w:hideMark/>
          </w:tcPr>
          <w:p w14:paraId="0A97A29A" w14:textId="77777777" w:rsidR="00813936" w:rsidRPr="00FF6093" w:rsidRDefault="00813936">
            <w:pPr>
              <w:jc w:val="center"/>
              <w:rPr>
                <w:rFonts w:ascii="CAIXA Std Book" w:eastAsia="Times New Roman" w:hAnsi="CAIXA Std Book" w:cs="Calibri"/>
                <w:b/>
                <w:bCs/>
                <w:color w:val="FFFFFF"/>
                <w:sz w:val="18"/>
                <w:szCs w:val="18"/>
              </w:rPr>
            </w:pPr>
            <w:r w:rsidRPr="00FF6093">
              <w:rPr>
                <w:rFonts w:ascii="CAIXA Std Book" w:eastAsia="Times New Roman" w:hAnsi="CAIXA Std Book" w:cs="Calibri"/>
                <w:b/>
                <w:bCs/>
                <w:color w:val="FFFFFF"/>
                <w:sz w:val="18"/>
                <w:szCs w:val="18"/>
              </w:rPr>
              <w:t>Saldo em 3</w:t>
            </w:r>
            <w:r>
              <w:rPr>
                <w:rFonts w:ascii="CAIXA Std Book" w:eastAsia="Times New Roman" w:hAnsi="CAIXA Std Book" w:cs="Calibri"/>
                <w:b/>
                <w:bCs/>
                <w:color w:val="FFFFFF"/>
                <w:sz w:val="18"/>
                <w:szCs w:val="18"/>
              </w:rPr>
              <w:t>1</w:t>
            </w:r>
            <w:r w:rsidRPr="00FF6093">
              <w:rPr>
                <w:rFonts w:ascii="CAIXA Std Book" w:eastAsia="Times New Roman" w:hAnsi="CAIXA Std Book" w:cs="Calibri"/>
                <w:b/>
                <w:bCs/>
                <w:color w:val="FFFFFF"/>
                <w:sz w:val="18"/>
                <w:szCs w:val="18"/>
              </w:rPr>
              <w:t>/</w:t>
            </w:r>
            <w:r>
              <w:rPr>
                <w:rFonts w:ascii="CAIXA Std Book" w:eastAsia="Times New Roman" w:hAnsi="CAIXA Std Book" w:cs="Calibri"/>
                <w:b/>
                <w:bCs/>
                <w:color w:val="FFFFFF"/>
                <w:sz w:val="18"/>
                <w:szCs w:val="18"/>
              </w:rPr>
              <w:t>03</w:t>
            </w:r>
            <w:r w:rsidRPr="00FF6093">
              <w:rPr>
                <w:rFonts w:ascii="CAIXA Std Book" w:eastAsia="Times New Roman" w:hAnsi="CAIXA Std Book" w:cs="Calibri"/>
                <w:b/>
                <w:bCs/>
                <w:color w:val="FFFFFF"/>
                <w:sz w:val="18"/>
                <w:szCs w:val="18"/>
              </w:rPr>
              <w:t>/202</w:t>
            </w:r>
            <w:r>
              <w:rPr>
                <w:rFonts w:ascii="CAIXA Std Book" w:eastAsia="Times New Roman" w:hAnsi="CAIXA Std Book" w:cs="Calibri"/>
                <w:b/>
                <w:bCs/>
                <w:color w:val="FFFFFF"/>
                <w:sz w:val="18"/>
                <w:szCs w:val="18"/>
              </w:rPr>
              <w:t>6</w:t>
            </w:r>
          </w:p>
        </w:tc>
      </w:tr>
      <w:tr w:rsidR="00813936" w:rsidRPr="00FF6093" w14:paraId="549BEEEC" w14:textId="77777777" w:rsidTr="009E220E">
        <w:trPr>
          <w:trHeight w:val="401"/>
        </w:trPr>
        <w:tc>
          <w:tcPr>
            <w:tcW w:w="2043" w:type="pct"/>
            <w:vMerge/>
            <w:tcBorders>
              <w:top w:val="nil"/>
              <w:left w:val="nil"/>
              <w:bottom w:val="single" w:sz="4" w:space="0" w:color="FFFFFF"/>
              <w:right w:val="nil"/>
            </w:tcBorders>
            <w:shd w:val="clear" w:color="auto" w:fill="005CA9"/>
            <w:vAlign w:val="center"/>
            <w:hideMark/>
          </w:tcPr>
          <w:p w14:paraId="677407BC" w14:textId="77777777" w:rsidR="00813936" w:rsidRPr="00FF6093" w:rsidRDefault="00813936">
            <w:pPr>
              <w:rPr>
                <w:rFonts w:ascii="CAIXA Std Book" w:eastAsia="Times New Roman" w:hAnsi="CAIXA Std Book" w:cs="Calibri"/>
                <w:b/>
                <w:bCs/>
                <w:color w:val="FFFFFF"/>
                <w:sz w:val="18"/>
                <w:szCs w:val="18"/>
              </w:rPr>
            </w:pPr>
          </w:p>
        </w:tc>
        <w:tc>
          <w:tcPr>
            <w:tcW w:w="591" w:type="pct"/>
            <w:vMerge/>
            <w:tcBorders>
              <w:top w:val="nil"/>
              <w:left w:val="nil"/>
              <w:bottom w:val="single" w:sz="4" w:space="0" w:color="FFFFFF"/>
              <w:right w:val="nil"/>
            </w:tcBorders>
            <w:shd w:val="clear" w:color="auto" w:fill="005CA9"/>
            <w:vAlign w:val="center"/>
            <w:hideMark/>
          </w:tcPr>
          <w:p w14:paraId="69599721" w14:textId="77777777" w:rsidR="00813936" w:rsidRPr="00FF6093" w:rsidRDefault="00813936">
            <w:pPr>
              <w:rPr>
                <w:rFonts w:ascii="CAIXA Std Book" w:eastAsia="Times New Roman" w:hAnsi="CAIXA Std Book" w:cs="Calibri"/>
                <w:b/>
                <w:bCs/>
                <w:color w:val="FFFFFF"/>
                <w:sz w:val="18"/>
                <w:szCs w:val="18"/>
              </w:rPr>
            </w:pPr>
          </w:p>
        </w:tc>
        <w:tc>
          <w:tcPr>
            <w:tcW w:w="592" w:type="pct"/>
            <w:vMerge/>
            <w:tcBorders>
              <w:top w:val="nil"/>
              <w:left w:val="nil"/>
              <w:bottom w:val="single" w:sz="4" w:space="0" w:color="FFFFFF"/>
              <w:right w:val="nil"/>
            </w:tcBorders>
            <w:shd w:val="clear" w:color="auto" w:fill="005CA9"/>
            <w:vAlign w:val="center"/>
            <w:hideMark/>
          </w:tcPr>
          <w:p w14:paraId="2D07B30B" w14:textId="77777777" w:rsidR="00813936" w:rsidRPr="00FF6093" w:rsidRDefault="00813936">
            <w:pPr>
              <w:rPr>
                <w:rFonts w:ascii="CAIXA Std Book" w:eastAsia="Times New Roman" w:hAnsi="CAIXA Std Book" w:cs="Calibri"/>
                <w:b/>
                <w:bCs/>
                <w:color w:val="FFFFFF"/>
                <w:sz w:val="18"/>
                <w:szCs w:val="18"/>
              </w:rPr>
            </w:pPr>
          </w:p>
        </w:tc>
        <w:tc>
          <w:tcPr>
            <w:tcW w:w="591" w:type="pct"/>
            <w:vMerge/>
            <w:tcBorders>
              <w:top w:val="nil"/>
              <w:left w:val="nil"/>
              <w:bottom w:val="single" w:sz="4" w:space="0" w:color="FFFFFF"/>
              <w:right w:val="nil"/>
            </w:tcBorders>
            <w:shd w:val="clear" w:color="auto" w:fill="005CA9"/>
            <w:vAlign w:val="center"/>
            <w:hideMark/>
          </w:tcPr>
          <w:p w14:paraId="1B6C6F9C" w14:textId="77777777" w:rsidR="00813936" w:rsidRPr="00FF6093" w:rsidRDefault="00813936">
            <w:pPr>
              <w:rPr>
                <w:rFonts w:ascii="CAIXA Std Book" w:eastAsia="Times New Roman" w:hAnsi="CAIXA Std Book" w:cs="Calibri"/>
                <w:b/>
                <w:bCs/>
                <w:color w:val="FFFFFF"/>
                <w:sz w:val="18"/>
                <w:szCs w:val="18"/>
              </w:rPr>
            </w:pPr>
          </w:p>
        </w:tc>
        <w:tc>
          <w:tcPr>
            <w:tcW w:w="592" w:type="pct"/>
            <w:vMerge/>
            <w:tcBorders>
              <w:top w:val="nil"/>
              <w:left w:val="nil"/>
              <w:bottom w:val="single" w:sz="4" w:space="0" w:color="FFFFFF"/>
              <w:right w:val="nil"/>
            </w:tcBorders>
            <w:shd w:val="clear" w:color="auto" w:fill="005CA9"/>
            <w:vAlign w:val="center"/>
            <w:hideMark/>
          </w:tcPr>
          <w:p w14:paraId="2A027982" w14:textId="77777777" w:rsidR="00813936" w:rsidRPr="00FF6093" w:rsidRDefault="00813936">
            <w:pPr>
              <w:rPr>
                <w:rFonts w:ascii="CAIXA Std Book" w:eastAsia="Times New Roman" w:hAnsi="CAIXA Std Book" w:cs="Calibri"/>
                <w:b/>
                <w:bCs/>
                <w:color w:val="FFFFFF"/>
                <w:sz w:val="18"/>
                <w:szCs w:val="18"/>
              </w:rPr>
            </w:pPr>
          </w:p>
        </w:tc>
        <w:tc>
          <w:tcPr>
            <w:tcW w:w="591" w:type="pct"/>
            <w:vMerge/>
            <w:tcBorders>
              <w:top w:val="nil"/>
              <w:left w:val="nil"/>
              <w:bottom w:val="single" w:sz="4" w:space="0" w:color="FFFFFF"/>
              <w:right w:val="nil"/>
            </w:tcBorders>
            <w:shd w:val="clear" w:color="auto" w:fill="005CA9"/>
            <w:vAlign w:val="center"/>
            <w:hideMark/>
          </w:tcPr>
          <w:p w14:paraId="3BFC2ECB" w14:textId="77777777" w:rsidR="00813936" w:rsidRPr="00FF6093" w:rsidRDefault="00813936">
            <w:pPr>
              <w:rPr>
                <w:rFonts w:ascii="CAIXA Std Book" w:eastAsia="Times New Roman" w:hAnsi="CAIXA Std Book" w:cs="Calibri"/>
                <w:b/>
                <w:bCs/>
                <w:color w:val="FFFFFF"/>
                <w:sz w:val="18"/>
                <w:szCs w:val="18"/>
              </w:rPr>
            </w:pPr>
          </w:p>
        </w:tc>
      </w:tr>
      <w:tr w:rsidR="00813936" w:rsidRPr="00FF6093" w14:paraId="3105F2B5" w14:textId="77777777" w:rsidTr="009E220E">
        <w:trPr>
          <w:trHeight w:val="255"/>
        </w:trPr>
        <w:tc>
          <w:tcPr>
            <w:tcW w:w="2043" w:type="pct"/>
            <w:tcBorders>
              <w:top w:val="nil"/>
              <w:left w:val="nil"/>
              <w:right w:val="nil"/>
            </w:tcBorders>
            <w:shd w:val="clear" w:color="000000" w:fill="FFFFFF"/>
            <w:noWrap/>
            <w:vAlign w:val="center"/>
            <w:hideMark/>
          </w:tcPr>
          <w:p w14:paraId="7D29B104" w14:textId="77777777" w:rsidR="00813936" w:rsidRPr="00FF6093" w:rsidRDefault="00813936">
            <w:pPr>
              <w:rPr>
                <w:rFonts w:ascii="CAIXA Std Book" w:eastAsia="Times New Roman" w:hAnsi="CAIXA Std Book" w:cs="Calibri"/>
                <w:color w:val="005CA9"/>
                <w:sz w:val="18"/>
                <w:szCs w:val="18"/>
              </w:rPr>
            </w:pPr>
            <w:r w:rsidRPr="00FF6093">
              <w:rPr>
                <w:rFonts w:ascii="CAIXA Std Book" w:eastAsia="Times New Roman" w:hAnsi="CAIXA Std Book" w:cs="Calibri"/>
                <w:color w:val="005CA9"/>
                <w:sz w:val="18"/>
                <w:szCs w:val="18"/>
              </w:rPr>
              <w:t>Títulos privados de entidades não financeiras</w:t>
            </w:r>
          </w:p>
        </w:tc>
        <w:tc>
          <w:tcPr>
            <w:tcW w:w="591" w:type="pct"/>
            <w:tcBorders>
              <w:top w:val="nil"/>
              <w:left w:val="nil"/>
              <w:right w:val="nil"/>
            </w:tcBorders>
            <w:noWrap/>
            <w:vAlign w:val="center"/>
          </w:tcPr>
          <w:p w14:paraId="4378EC20" w14:textId="77777777" w:rsidR="00813936" w:rsidRPr="00FF6093" w:rsidRDefault="00813936">
            <w:pPr>
              <w:jc w:val="right"/>
              <w:rPr>
                <w:rFonts w:ascii="CAIXA Std Book" w:eastAsia="Times New Roman" w:hAnsi="CAIXA Std Book" w:cs="Calibri"/>
                <w:color w:val="005CA9"/>
                <w:sz w:val="18"/>
                <w:szCs w:val="18"/>
              </w:rPr>
            </w:pPr>
            <w:r>
              <w:rPr>
                <w:rFonts w:ascii="CAIXA Std Book" w:hAnsi="CAIXA Std Book" w:cs="Arial"/>
                <w:color w:val="005CA9"/>
                <w:sz w:val="18"/>
                <w:szCs w:val="18"/>
              </w:rPr>
              <w:t>86.548</w:t>
            </w:r>
          </w:p>
        </w:tc>
        <w:tc>
          <w:tcPr>
            <w:tcW w:w="592" w:type="pct"/>
            <w:tcBorders>
              <w:top w:val="nil"/>
              <w:left w:val="nil"/>
              <w:right w:val="nil"/>
            </w:tcBorders>
            <w:noWrap/>
            <w:vAlign w:val="center"/>
          </w:tcPr>
          <w:p w14:paraId="11076344" w14:textId="77777777" w:rsidR="00813936" w:rsidRPr="00FF6093" w:rsidRDefault="00813936">
            <w:pPr>
              <w:jc w:val="right"/>
              <w:rPr>
                <w:rFonts w:ascii="CAIXA Std Book" w:eastAsia="Times New Roman" w:hAnsi="CAIXA Std Book" w:cs="Calibri"/>
                <w:color w:val="005CA9"/>
                <w:sz w:val="18"/>
                <w:szCs w:val="18"/>
              </w:rPr>
            </w:pPr>
            <w:r>
              <w:rPr>
                <w:rFonts w:ascii="CAIXA Std Book" w:hAnsi="CAIXA Std Book" w:cs="Arial"/>
                <w:color w:val="005CA9"/>
                <w:sz w:val="18"/>
                <w:szCs w:val="18"/>
              </w:rPr>
              <w:t>972</w:t>
            </w:r>
          </w:p>
        </w:tc>
        <w:tc>
          <w:tcPr>
            <w:tcW w:w="591" w:type="pct"/>
            <w:tcBorders>
              <w:top w:val="nil"/>
              <w:left w:val="nil"/>
              <w:right w:val="nil"/>
            </w:tcBorders>
            <w:noWrap/>
            <w:vAlign w:val="center"/>
          </w:tcPr>
          <w:p w14:paraId="6377E0CC" w14:textId="77777777" w:rsidR="00813936" w:rsidRPr="006919B4" w:rsidRDefault="00813936">
            <w:pPr>
              <w:jc w:val="center"/>
              <w:rPr>
                <w:rFonts w:ascii="CAIXA Std Book" w:hAnsi="CAIXA Std Book" w:cs="Arial"/>
                <w:color w:val="005CA9"/>
                <w:sz w:val="18"/>
                <w:szCs w:val="18"/>
              </w:rPr>
            </w:pPr>
            <w:r>
              <w:rPr>
                <w:rFonts w:ascii="CAIXA Std Book" w:hAnsi="CAIXA Std Book" w:cs="Arial"/>
                <w:color w:val="005CA9"/>
                <w:sz w:val="18"/>
                <w:szCs w:val="18"/>
              </w:rPr>
              <w:t>-</w:t>
            </w:r>
          </w:p>
        </w:tc>
        <w:tc>
          <w:tcPr>
            <w:tcW w:w="592" w:type="pct"/>
            <w:tcBorders>
              <w:top w:val="nil"/>
              <w:left w:val="nil"/>
              <w:right w:val="nil"/>
            </w:tcBorders>
            <w:noWrap/>
            <w:vAlign w:val="center"/>
          </w:tcPr>
          <w:p w14:paraId="08F7DBB0" w14:textId="77777777" w:rsidR="00813936" w:rsidRPr="00FF6093" w:rsidRDefault="00813936">
            <w:pPr>
              <w:jc w:val="center"/>
              <w:rPr>
                <w:rFonts w:ascii="CAIXA Std Book" w:eastAsia="Times New Roman" w:hAnsi="CAIXA Std Book" w:cs="Calibri"/>
                <w:color w:val="005CA9"/>
                <w:sz w:val="18"/>
                <w:szCs w:val="18"/>
              </w:rPr>
            </w:pPr>
            <w:r>
              <w:rPr>
                <w:rFonts w:ascii="CAIXA Std Book" w:hAnsi="CAIXA Std Book" w:cs="Arial"/>
                <w:color w:val="005CA9"/>
                <w:sz w:val="18"/>
                <w:szCs w:val="18"/>
              </w:rPr>
              <w:t>-</w:t>
            </w:r>
          </w:p>
        </w:tc>
        <w:tc>
          <w:tcPr>
            <w:tcW w:w="591" w:type="pct"/>
            <w:tcBorders>
              <w:top w:val="nil"/>
              <w:left w:val="nil"/>
              <w:right w:val="nil"/>
            </w:tcBorders>
            <w:noWrap/>
            <w:vAlign w:val="center"/>
          </w:tcPr>
          <w:p w14:paraId="27B39FCB" w14:textId="77777777" w:rsidR="00813936" w:rsidRPr="006056CB" w:rsidRDefault="00813936">
            <w:pPr>
              <w:jc w:val="right"/>
              <w:rPr>
                <w:rFonts w:ascii="CAIXA Std Book" w:hAnsi="CAIXA Std Book" w:cs="Arial"/>
                <w:color w:val="005CA9"/>
                <w:sz w:val="18"/>
                <w:szCs w:val="18"/>
              </w:rPr>
            </w:pPr>
            <w:r>
              <w:rPr>
                <w:rFonts w:ascii="CAIXA Std Book" w:hAnsi="CAIXA Std Book" w:cs="Arial"/>
                <w:color w:val="005CA9"/>
                <w:sz w:val="18"/>
                <w:szCs w:val="18"/>
              </w:rPr>
              <w:t>87.520</w:t>
            </w:r>
          </w:p>
        </w:tc>
      </w:tr>
      <w:tr w:rsidR="00813936" w:rsidRPr="00FF6093" w14:paraId="6F39ADE7" w14:textId="77777777" w:rsidTr="009E220E">
        <w:trPr>
          <w:trHeight w:val="255"/>
        </w:trPr>
        <w:tc>
          <w:tcPr>
            <w:tcW w:w="2043" w:type="pct"/>
            <w:tcBorders>
              <w:top w:val="nil"/>
              <w:left w:val="nil"/>
              <w:right w:val="nil"/>
            </w:tcBorders>
            <w:shd w:val="clear" w:color="auto" w:fill="005CA9"/>
            <w:noWrap/>
            <w:vAlign w:val="center"/>
            <w:hideMark/>
          </w:tcPr>
          <w:p w14:paraId="4C3CD9ED" w14:textId="77777777" w:rsidR="00813936" w:rsidRPr="00FF6093" w:rsidRDefault="00813936">
            <w:pPr>
              <w:rPr>
                <w:rFonts w:ascii="CAIXA Std Book" w:eastAsia="Times New Roman" w:hAnsi="CAIXA Std Book" w:cs="Calibri"/>
                <w:b/>
                <w:bCs/>
                <w:color w:val="FFFFFF"/>
                <w:sz w:val="18"/>
                <w:szCs w:val="18"/>
              </w:rPr>
            </w:pPr>
            <w:r w:rsidRPr="00FF6093">
              <w:rPr>
                <w:rFonts w:ascii="CAIXA Std Book" w:eastAsia="Times New Roman" w:hAnsi="CAIXA Std Book" w:cs="Calibri"/>
                <w:b/>
                <w:bCs/>
                <w:color w:val="FFFFFF"/>
                <w:sz w:val="18"/>
                <w:szCs w:val="18"/>
              </w:rPr>
              <w:t>Total</w:t>
            </w:r>
          </w:p>
        </w:tc>
        <w:tc>
          <w:tcPr>
            <w:tcW w:w="591" w:type="pct"/>
            <w:tcBorders>
              <w:top w:val="nil"/>
              <w:left w:val="nil"/>
              <w:right w:val="nil"/>
            </w:tcBorders>
            <w:shd w:val="clear" w:color="auto" w:fill="005CA9"/>
            <w:noWrap/>
            <w:vAlign w:val="center"/>
          </w:tcPr>
          <w:p w14:paraId="55814093" w14:textId="77777777" w:rsidR="00813936" w:rsidRPr="00FF6093" w:rsidRDefault="00813936">
            <w:pPr>
              <w:jc w:val="right"/>
              <w:rPr>
                <w:rFonts w:ascii="CAIXA Std Book" w:eastAsia="Times New Roman" w:hAnsi="CAIXA Std Book" w:cs="Calibri"/>
                <w:color w:val="FFFFFF"/>
                <w:sz w:val="18"/>
                <w:szCs w:val="18"/>
              </w:rPr>
            </w:pPr>
            <w:r>
              <w:rPr>
                <w:rFonts w:ascii="CAIXA Std Book" w:hAnsi="CAIXA Std Book" w:cs="Arial"/>
                <w:b/>
                <w:bCs/>
                <w:color w:val="FFFFFF"/>
                <w:sz w:val="18"/>
                <w:szCs w:val="18"/>
              </w:rPr>
              <w:t>86.548</w:t>
            </w:r>
          </w:p>
        </w:tc>
        <w:tc>
          <w:tcPr>
            <w:tcW w:w="592" w:type="pct"/>
            <w:tcBorders>
              <w:top w:val="nil"/>
              <w:left w:val="nil"/>
              <w:right w:val="nil"/>
            </w:tcBorders>
            <w:shd w:val="clear" w:color="auto" w:fill="005CA9"/>
            <w:noWrap/>
            <w:vAlign w:val="center"/>
          </w:tcPr>
          <w:p w14:paraId="5A971B52" w14:textId="77777777" w:rsidR="00813936" w:rsidRPr="00C54B91" w:rsidRDefault="00813936">
            <w:pPr>
              <w:jc w:val="right"/>
              <w:rPr>
                <w:rFonts w:ascii="CAIXA Std Book" w:hAnsi="CAIXA Std Book"/>
                <w:b/>
                <w:color w:val="FFFFFF"/>
                <w:sz w:val="18"/>
                <w:szCs w:val="18"/>
              </w:rPr>
            </w:pPr>
            <w:r>
              <w:rPr>
                <w:rFonts w:ascii="CAIXA Std Book" w:hAnsi="CAIXA Std Book" w:cs="Arial"/>
                <w:b/>
                <w:bCs/>
                <w:color w:val="FFFFFF"/>
                <w:sz w:val="18"/>
                <w:szCs w:val="18"/>
              </w:rPr>
              <w:t>972</w:t>
            </w:r>
          </w:p>
        </w:tc>
        <w:tc>
          <w:tcPr>
            <w:tcW w:w="591" w:type="pct"/>
            <w:tcBorders>
              <w:top w:val="nil"/>
              <w:left w:val="nil"/>
              <w:right w:val="nil"/>
            </w:tcBorders>
            <w:shd w:val="clear" w:color="auto" w:fill="005CA9"/>
            <w:noWrap/>
            <w:vAlign w:val="center"/>
          </w:tcPr>
          <w:p w14:paraId="72000369" w14:textId="77777777" w:rsidR="00813936" w:rsidRPr="006919B4" w:rsidRDefault="00813936">
            <w:pPr>
              <w:jc w:val="center"/>
              <w:rPr>
                <w:rFonts w:ascii="CAIXA Std Book" w:hAnsi="CAIXA Std Book" w:cs="Arial"/>
                <w:b/>
                <w:color w:val="FFFFFF"/>
                <w:sz w:val="18"/>
                <w:szCs w:val="18"/>
              </w:rPr>
            </w:pPr>
            <w:r>
              <w:rPr>
                <w:rFonts w:ascii="CAIXA Std Book" w:hAnsi="CAIXA Std Book" w:cs="Arial"/>
                <w:b/>
                <w:bCs/>
                <w:color w:val="FFFFFF"/>
                <w:sz w:val="18"/>
                <w:szCs w:val="18"/>
              </w:rPr>
              <w:t>-</w:t>
            </w:r>
          </w:p>
        </w:tc>
        <w:tc>
          <w:tcPr>
            <w:tcW w:w="592" w:type="pct"/>
            <w:tcBorders>
              <w:top w:val="nil"/>
              <w:left w:val="nil"/>
              <w:right w:val="nil"/>
            </w:tcBorders>
            <w:shd w:val="clear" w:color="auto" w:fill="005CA9"/>
            <w:noWrap/>
            <w:vAlign w:val="center"/>
          </w:tcPr>
          <w:p w14:paraId="058FBF32" w14:textId="77777777" w:rsidR="00813936" w:rsidRPr="00C54B91" w:rsidRDefault="00813936">
            <w:pPr>
              <w:jc w:val="center"/>
              <w:rPr>
                <w:rFonts w:ascii="CAIXA Std Book" w:hAnsi="CAIXA Std Book"/>
                <w:b/>
                <w:color w:val="FFFFFF"/>
                <w:sz w:val="18"/>
                <w:szCs w:val="18"/>
              </w:rPr>
            </w:pPr>
            <w:r>
              <w:rPr>
                <w:rFonts w:ascii="CAIXA Std Book" w:hAnsi="CAIXA Std Book" w:cs="Arial"/>
                <w:b/>
                <w:bCs/>
                <w:color w:val="FFFFFF"/>
                <w:sz w:val="18"/>
                <w:szCs w:val="18"/>
              </w:rPr>
              <w:t>-</w:t>
            </w:r>
          </w:p>
        </w:tc>
        <w:tc>
          <w:tcPr>
            <w:tcW w:w="591" w:type="pct"/>
            <w:tcBorders>
              <w:top w:val="nil"/>
              <w:left w:val="nil"/>
              <w:right w:val="nil"/>
            </w:tcBorders>
            <w:shd w:val="clear" w:color="auto" w:fill="005CA9"/>
            <w:noWrap/>
            <w:vAlign w:val="center"/>
          </w:tcPr>
          <w:p w14:paraId="76A691F0" w14:textId="77777777" w:rsidR="00813936" w:rsidRPr="006056CB" w:rsidRDefault="00813936">
            <w:pPr>
              <w:jc w:val="right"/>
              <w:rPr>
                <w:rFonts w:ascii="CAIXA Std Book" w:hAnsi="CAIXA Std Book" w:cs="Arial"/>
                <w:b/>
                <w:color w:val="FFFFFF"/>
                <w:sz w:val="18"/>
                <w:szCs w:val="18"/>
              </w:rPr>
            </w:pPr>
            <w:r>
              <w:rPr>
                <w:rFonts w:ascii="CAIXA Std Book" w:hAnsi="CAIXA Std Book" w:cs="Arial"/>
                <w:b/>
                <w:bCs/>
                <w:color w:val="FFFFFF"/>
                <w:sz w:val="18"/>
                <w:szCs w:val="18"/>
              </w:rPr>
              <w:t>87.520</w:t>
            </w:r>
          </w:p>
        </w:tc>
      </w:tr>
    </w:tbl>
    <w:p w14:paraId="117620C9" w14:textId="7D4FA535" w:rsidR="009E220E" w:rsidRDefault="009E220E"/>
    <w:p w14:paraId="7381E06F" w14:textId="588BEEBF" w:rsidR="009E220E" w:rsidRDefault="009E220E"/>
    <w:tbl>
      <w:tblPr>
        <w:tblW w:w="5000" w:type="pct"/>
        <w:tblCellMar>
          <w:left w:w="70" w:type="dxa"/>
          <w:right w:w="70" w:type="dxa"/>
        </w:tblCellMar>
        <w:tblLook w:val="04A0" w:firstRow="1" w:lastRow="0" w:firstColumn="1" w:lastColumn="0" w:noHBand="0" w:noVBand="1"/>
      </w:tblPr>
      <w:tblGrid>
        <w:gridCol w:w="5955"/>
        <w:gridCol w:w="1722"/>
        <w:gridCol w:w="1725"/>
        <w:gridCol w:w="1722"/>
        <w:gridCol w:w="1725"/>
        <w:gridCol w:w="1722"/>
      </w:tblGrid>
      <w:tr w:rsidR="00296C31" w:rsidRPr="00FF6093" w14:paraId="20338412" w14:textId="77777777" w:rsidTr="009E220E">
        <w:trPr>
          <w:trHeight w:val="255"/>
        </w:trPr>
        <w:tc>
          <w:tcPr>
            <w:tcW w:w="5000" w:type="pct"/>
            <w:gridSpan w:val="6"/>
            <w:tcBorders>
              <w:left w:val="nil"/>
              <w:bottom w:val="single" w:sz="4" w:space="0" w:color="FFFFFF" w:themeColor="background1"/>
              <w:right w:val="nil"/>
            </w:tcBorders>
            <w:shd w:val="clear" w:color="auto" w:fill="005CA9"/>
            <w:noWrap/>
            <w:vAlign w:val="center"/>
            <w:hideMark/>
          </w:tcPr>
          <w:p w14:paraId="7BD47258" w14:textId="77777777" w:rsidR="00223388" w:rsidRPr="00FF6093" w:rsidRDefault="00223388">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Individual</w:t>
            </w:r>
            <w:r w:rsidR="008F72B7">
              <w:rPr>
                <w:rFonts w:ascii="CAIXA Std Book" w:eastAsia="Times New Roman" w:hAnsi="CAIXA Std Book" w:cs="Calibri"/>
                <w:b/>
                <w:bCs/>
                <w:color w:val="FFFFFF"/>
                <w:sz w:val="18"/>
                <w:szCs w:val="18"/>
              </w:rPr>
              <w:t xml:space="preserve"> </w:t>
            </w:r>
            <w:r w:rsidR="008D002E">
              <w:rPr>
                <w:rFonts w:ascii="CAIXA Std Book" w:eastAsia="Times New Roman" w:hAnsi="CAIXA Std Book" w:cs="Calibri"/>
                <w:b/>
                <w:bCs/>
                <w:color w:val="FFFFFF"/>
                <w:sz w:val="18"/>
                <w:szCs w:val="18"/>
              </w:rPr>
              <w:t>/</w:t>
            </w:r>
            <w:r w:rsidR="008F72B7">
              <w:rPr>
                <w:rFonts w:ascii="CAIXA Std Book" w:eastAsia="Times New Roman" w:hAnsi="CAIXA Std Book" w:cs="Calibri"/>
                <w:b/>
                <w:bCs/>
                <w:color w:val="FFFFFF"/>
                <w:sz w:val="18"/>
                <w:szCs w:val="18"/>
              </w:rPr>
              <w:t xml:space="preserve"> </w:t>
            </w:r>
            <w:r w:rsidR="008D002E">
              <w:rPr>
                <w:rFonts w:ascii="CAIXA Std Book" w:eastAsia="Times New Roman" w:hAnsi="CAIXA Std Book" w:cs="Calibri"/>
                <w:b/>
                <w:bCs/>
                <w:color w:val="FFFFFF"/>
                <w:sz w:val="18"/>
                <w:szCs w:val="18"/>
              </w:rPr>
              <w:t>Consolidado</w:t>
            </w:r>
          </w:p>
        </w:tc>
      </w:tr>
      <w:tr w:rsidR="003B077A" w:rsidRPr="00FF6093" w14:paraId="3B9F9C39" w14:textId="77777777" w:rsidTr="009E220E">
        <w:trPr>
          <w:trHeight w:val="401"/>
        </w:trPr>
        <w:tc>
          <w:tcPr>
            <w:tcW w:w="2043" w:type="pct"/>
            <w:vMerge w:val="restart"/>
            <w:tcBorders>
              <w:top w:val="single" w:sz="4" w:space="0" w:color="FFFFFF" w:themeColor="background1"/>
              <w:left w:val="nil"/>
              <w:bottom w:val="single" w:sz="4" w:space="0" w:color="FFFFFF"/>
              <w:right w:val="nil"/>
            </w:tcBorders>
            <w:shd w:val="clear" w:color="auto" w:fill="005CA9"/>
            <w:vAlign w:val="center"/>
            <w:hideMark/>
          </w:tcPr>
          <w:p w14:paraId="735E61CE" w14:textId="77777777" w:rsidR="00223388" w:rsidRPr="00FF6093" w:rsidRDefault="00223388">
            <w:pPr>
              <w:jc w:val="center"/>
              <w:rPr>
                <w:rFonts w:ascii="CAIXA Std Book" w:eastAsia="Times New Roman" w:hAnsi="CAIXA Std Book" w:cs="Calibri"/>
                <w:b/>
                <w:bCs/>
                <w:color w:val="FFFFFF"/>
                <w:sz w:val="18"/>
                <w:szCs w:val="18"/>
              </w:rPr>
            </w:pPr>
            <w:r w:rsidRPr="00FF6093">
              <w:rPr>
                <w:rFonts w:ascii="CAIXA Std Book" w:eastAsia="Times New Roman" w:hAnsi="CAIXA Std Book" w:cs="Calibri"/>
                <w:b/>
                <w:bCs/>
                <w:color w:val="FFFFFF"/>
                <w:sz w:val="18"/>
                <w:szCs w:val="18"/>
              </w:rPr>
              <w:t xml:space="preserve">Estágio </w:t>
            </w:r>
            <w:r>
              <w:rPr>
                <w:rFonts w:ascii="CAIXA Std Book" w:eastAsia="Times New Roman" w:hAnsi="CAIXA Std Book" w:cs="Calibri"/>
                <w:b/>
                <w:bCs/>
                <w:color w:val="FFFFFF"/>
                <w:sz w:val="18"/>
                <w:szCs w:val="18"/>
              </w:rPr>
              <w:t>3</w:t>
            </w:r>
          </w:p>
        </w:tc>
        <w:tc>
          <w:tcPr>
            <w:tcW w:w="591" w:type="pct"/>
            <w:vMerge w:val="restart"/>
            <w:tcBorders>
              <w:top w:val="single" w:sz="4" w:space="0" w:color="FFFFFF" w:themeColor="background1"/>
              <w:left w:val="nil"/>
              <w:bottom w:val="single" w:sz="4" w:space="0" w:color="FFFFFF"/>
              <w:right w:val="nil"/>
            </w:tcBorders>
            <w:shd w:val="clear" w:color="auto" w:fill="005CA9"/>
            <w:vAlign w:val="center"/>
            <w:hideMark/>
          </w:tcPr>
          <w:p w14:paraId="06DB0FAE" w14:textId="77777777" w:rsidR="00223388" w:rsidRPr="00FF6093" w:rsidRDefault="00223388">
            <w:pPr>
              <w:jc w:val="center"/>
              <w:rPr>
                <w:rFonts w:ascii="CAIXA Std Book" w:eastAsia="Times New Roman" w:hAnsi="CAIXA Std Book" w:cs="Calibri"/>
                <w:b/>
                <w:bCs/>
                <w:color w:val="FFFFFF"/>
                <w:sz w:val="18"/>
                <w:szCs w:val="18"/>
              </w:rPr>
            </w:pPr>
            <w:r w:rsidRPr="00FF6093">
              <w:rPr>
                <w:rFonts w:ascii="CAIXA Std Book" w:eastAsia="Times New Roman" w:hAnsi="CAIXA Std Book" w:cs="Calibri"/>
                <w:b/>
                <w:bCs/>
                <w:color w:val="FFFFFF"/>
                <w:sz w:val="18"/>
                <w:szCs w:val="18"/>
              </w:rPr>
              <w:t>Saldo em 01/01/2025</w:t>
            </w:r>
          </w:p>
        </w:tc>
        <w:tc>
          <w:tcPr>
            <w:tcW w:w="592" w:type="pct"/>
            <w:vMerge w:val="restart"/>
            <w:tcBorders>
              <w:top w:val="single" w:sz="4" w:space="0" w:color="FFFFFF" w:themeColor="background1"/>
              <w:left w:val="nil"/>
              <w:bottom w:val="single" w:sz="4" w:space="0" w:color="FFFFFF"/>
              <w:right w:val="nil"/>
            </w:tcBorders>
            <w:shd w:val="clear" w:color="auto" w:fill="005CA9"/>
            <w:vAlign w:val="center"/>
            <w:hideMark/>
          </w:tcPr>
          <w:p w14:paraId="1CF532CC" w14:textId="77777777" w:rsidR="002A2922" w:rsidRDefault="00223388">
            <w:pPr>
              <w:jc w:val="center"/>
              <w:rPr>
                <w:rFonts w:ascii="CAIXA Std Book" w:eastAsia="Times New Roman" w:hAnsi="CAIXA Std Book" w:cs="Calibri"/>
                <w:b/>
                <w:bCs/>
                <w:color w:val="FFFFFF"/>
                <w:sz w:val="18"/>
                <w:szCs w:val="18"/>
              </w:rPr>
            </w:pPr>
            <w:r w:rsidRPr="00FF6093">
              <w:rPr>
                <w:rFonts w:ascii="CAIXA Std Book" w:eastAsia="Times New Roman" w:hAnsi="CAIXA Std Book" w:cs="Calibri"/>
                <w:b/>
                <w:bCs/>
                <w:color w:val="FFFFFF"/>
                <w:sz w:val="18"/>
                <w:szCs w:val="18"/>
              </w:rPr>
              <w:t>Compra/</w:t>
            </w:r>
          </w:p>
          <w:p w14:paraId="05AA7283" w14:textId="77777777" w:rsidR="00223388" w:rsidRPr="00FF6093" w:rsidRDefault="00594A28">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w:t>
            </w:r>
            <w:r w:rsidR="00223388">
              <w:rPr>
                <w:rFonts w:ascii="CAIXA Std Book" w:eastAsia="Times New Roman" w:hAnsi="CAIXA Std Book" w:cs="Calibri"/>
                <w:b/>
                <w:bCs/>
                <w:color w:val="FFFFFF"/>
                <w:sz w:val="18"/>
                <w:szCs w:val="18"/>
              </w:rPr>
              <w:t>l</w:t>
            </w:r>
            <w:r w:rsidR="00223388" w:rsidRPr="00FF6093">
              <w:rPr>
                <w:rFonts w:ascii="CAIXA Std Book" w:eastAsia="Times New Roman" w:hAnsi="CAIXA Std Book" w:cs="Calibri"/>
                <w:b/>
                <w:bCs/>
                <w:color w:val="FFFFFF"/>
                <w:sz w:val="18"/>
                <w:szCs w:val="18"/>
              </w:rPr>
              <w:t>iquidação</w:t>
            </w:r>
            <w:r>
              <w:rPr>
                <w:rFonts w:ascii="CAIXA Std Book" w:eastAsia="Times New Roman" w:hAnsi="CAIXA Std Book" w:cs="Calibri"/>
                <w:b/>
                <w:bCs/>
                <w:color w:val="FFFFFF"/>
                <w:sz w:val="18"/>
                <w:szCs w:val="18"/>
              </w:rPr>
              <w:t>)</w:t>
            </w:r>
          </w:p>
        </w:tc>
        <w:tc>
          <w:tcPr>
            <w:tcW w:w="591" w:type="pct"/>
            <w:vMerge w:val="restart"/>
            <w:tcBorders>
              <w:top w:val="single" w:sz="4" w:space="0" w:color="FFFFFF" w:themeColor="background1"/>
              <w:left w:val="nil"/>
              <w:bottom w:val="single" w:sz="4" w:space="0" w:color="FFFFFF"/>
              <w:right w:val="nil"/>
            </w:tcBorders>
            <w:shd w:val="clear" w:color="auto" w:fill="005CA9"/>
            <w:vAlign w:val="center"/>
            <w:hideMark/>
          </w:tcPr>
          <w:p w14:paraId="76F7BA1E" w14:textId="77777777" w:rsidR="00A76FA5" w:rsidRDefault="00223388">
            <w:pPr>
              <w:jc w:val="center"/>
              <w:rPr>
                <w:rFonts w:ascii="CAIXA Std Book" w:hAnsi="CAIXA Std Book" w:cs="Arial"/>
                <w:b/>
                <w:color w:val="FFFFFF"/>
                <w:sz w:val="18"/>
                <w:szCs w:val="18"/>
              </w:rPr>
            </w:pPr>
            <w:r>
              <w:rPr>
                <w:rFonts w:ascii="CAIXA Std Book" w:hAnsi="CAIXA Std Book" w:cs="Arial"/>
                <w:b/>
                <w:color w:val="FFFFFF"/>
                <w:sz w:val="18"/>
                <w:szCs w:val="18"/>
              </w:rPr>
              <w:t>Transferência do/</w:t>
            </w:r>
          </w:p>
          <w:p w14:paraId="18AC0963" w14:textId="77777777" w:rsidR="00223388" w:rsidRPr="00FF6093" w:rsidRDefault="00223388">
            <w:pPr>
              <w:jc w:val="center"/>
              <w:rPr>
                <w:rFonts w:ascii="CAIXA Std Book" w:eastAsia="Times New Roman" w:hAnsi="CAIXA Std Book" w:cs="Calibri"/>
                <w:b/>
                <w:bCs/>
                <w:color w:val="FFFFFF"/>
                <w:sz w:val="18"/>
                <w:szCs w:val="18"/>
              </w:rPr>
            </w:pPr>
            <w:r>
              <w:rPr>
                <w:rFonts w:ascii="CAIXA Std Book" w:hAnsi="CAIXA Std Book" w:cs="Arial"/>
                <w:b/>
                <w:color w:val="FFFFFF"/>
                <w:sz w:val="18"/>
                <w:szCs w:val="18"/>
              </w:rPr>
              <w:t>para estágio 1</w:t>
            </w:r>
          </w:p>
        </w:tc>
        <w:tc>
          <w:tcPr>
            <w:tcW w:w="592" w:type="pct"/>
            <w:vMerge w:val="restart"/>
            <w:tcBorders>
              <w:top w:val="single" w:sz="4" w:space="0" w:color="FFFFFF" w:themeColor="background1"/>
              <w:left w:val="nil"/>
              <w:bottom w:val="single" w:sz="4" w:space="0" w:color="FFFFFF"/>
              <w:right w:val="nil"/>
            </w:tcBorders>
            <w:shd w:val="clear" w:color="auto" w:fill="005CA9"/>
            <w:vAlign w:val="center"/>
            <w:hideMark/>
          </w:tcPr>
          <w:p w14:paraId="1AF0D171" w14:textId="77777777" w:rsidR="00223388" w:rsidRPr="00FF6093" w:rsidRDefault="00223388">
            <w:pPr>
              <w:jc w:val="center"/>
              <w:rPr>
                <w:rFonts w:ascii="CAIXA Std Book" w:eastAsia="Times New Roman" w:hAnsi="CAIXA Std Book" w:cs="Calibri"/>
                <w:b/>
                <w:bCs/>
                <w:color w:val="FFFFFF"/>
                <w:sz w:val="18"/>
                <w:szCs w:val="18"/>
              </w:rPr>
            </w:pPr>
            <w:r>
              <w:rPr>
                <w:rFonts w:ascii="CAIXA Std Book" w:hAnsi="CAIXA Std Book" w:cs="Arial"/>
                <w:b/>
                <w:color w:val="FFFFFF"/>
                <w:sz w:val="18"/>
                <w:szCs w:val="18"/>
              </w:rPr>
              <w:t>Transferência do/</w:t>
            </w:r>
            <w:r w:rsidR="003713F5">
              <w:rPr>
                <w:rFonts w:ascii="CAIXA Std Book" w:hAnsi="CAIXA Std Book" w:cs="Arial"/>
                <w:b/>
                <w:bCs/>
                <w:color w:val="FFFFFF"/>
                <w:sz w:val="18"/>
                <w:szCs w:val="18"/>
              </w:rPr>
              <w:t xml:space="preserve"> </w:t>
            </w:r>
            <w:r>
              <w:rPr>
                <w:rFonts w:ascii="CAIXA Std Book" w:hAnsi="CAIXA Std Book" w:cs="Arial"/>
                <w:b/>
                <w:color w:val="FFFFFF"/>
                <w:sz w:val="18"/>
                <w:szCs w:val="18"/>
              </w:rPr>
              <w:t xml:space="preserve">para estágio </w:t>
            </w:r>
            <w:r w:rsidR="003713F5">
              <w:rPr>
                <w:rFonts w:ascii="CAIXA Std Book" w:hAnsi="CAIXA Std Book" w:cs="Arial"/>
                <w:b/>
                <w:bCs/>
                <w:color w:val="FFFFFF"/>
                <w:sz w:val="18"/>
                <w:szCs w:val="18"/>
              </w:rPr>
              <w:t>2</w:t>
            </w:r>
          </w:p>
        </w:tc>
        <w:tc>
          <w:tcPr>
            <w:tcW w:w="591" w:type="pct"/>
            <w:vMerge w:val="restart"/>
            <w:tcBorders>
              <w:top w:val="single" w:sz="4" w:space="0" w:color="FFFFFF" w:themeColor="background1"/>
              <w:left w:val="nil"/>
              <w:bottom w:val="single" w:sz="4" w:space="0" w:color="FFFFFF"/>
              <w:right w:val="nil"/>
            </w:tcBorders>
            <w:shd w:val="clear" w:color="auto" w:fill="005CA9"/>
            <w:vAlign w:val="center"/>
            <w:hideMark/>
          </w:tcPr>
          <w:p w14:paraId="239F918D" w14:textId="77777777" w:rsidR="00223388" w:rsidRPr="00FF6093" w:rsidRDefault="00223388">
            <w:pPr>
              <w:jc w:val="center"/>
              <w:rPr>
                <w:rFonts w:ascii="CAIXA Std Book" w:eastAsia="Times New Roman" w:hAnsi="CAIXA Std Book" w:cs="Calibri"/>
                <w:b/>
                <w:bCs/>
                <w:color w:val="FFFFFF"/>
                <w:sz w:val="18"/>
                <w:szCs w:val="18"/>
              </w:rPr>
            </w:pPr>
            <w:r w:rsidRPr="00FF6093">
              <w:rPr>
                <w:rFonts w:ascii="CAIXA Std Book" w:eastAsia="Times New Roman" w:hAnsi="CAIXA Std Book" w:cs="Calibri"/>
                <w:b/>
                <w:bCs/>
                <w:color w:val="FFFFFF"/>
                <w:sz w:val="18"/>
                <w:szCs w:val="18"/>
              </w:rPr>
              <w:t xml:space="preserve">Saldo em </w:t>
            </w:r>
            <w:r w:rsidR="003713F5" w:rsidRPr="00FF6093">
              <w:rPr>
                <w:rFonts w:ascii="CAIXA Std Book" w:eastAsia="Times New Roman" w:hAnsi="CAIXA Std Book" w:cs="Calibri"/>
                <w:b/>
                <w:bCs/>
                <w:color w:val="FFFFFF"/>
                <w:sz w:val="18"/>
                <w:szCs w:val="18"/>
              </w:rPr>
              <w:t>3</w:t>
            </w:r>
            <w:r w:rsidR="00BC054C">
              <w:rPr>
                <w:rFonts w:ascii="CAIXA Std Book" w:eastAsia="Times New Roman" w:hAnsi="CAIXA Std Book" w:cs="Calibri"/>
                <w:b/>
                <w:bCs/>
                <w:color w:val="FFFFFF"/>
                <w:sz w:val="18"/>
                <w:szCs w:val="18"/>
              </w:rPr>
              <w:t>1</w:t>
            </w:r>
            <w:r w:rsidRPr="00FF6093">
              <w:rPr>
                <w:rFonts w:ascii="CAIXA Std Book" w:eastAsia="Times New Roman" w:hAnsi="CAIXA Std Book" w:cs="Calibri"/>
                <w:b/>
                <w:bCs/>
                <w:color w:val="FFFFFF"/>
                <w:sz w:val="18"/>
                <w:szCs w:val="18"/>
              </w:rPr>
              <w:t>/</w:t>
            </w:r>
            <w:r w:rsidR="001B3B7B">
              <w:rPr>
                <w:rFonts w:ascii="CAIXA Std Book" w:eastAsia="Times New Roman" w:hAnsi="CAIXA Std Book" w:cs="Calibri"/>
                <w:b/>
                <w:bCs/>
                <w:color w:val="FFFFFF"/>
                <w:sz w:val="18"/>
                <w:szCs w:val="18"/>
              </w:rPr>
              <w:t>12</w:t>
            </w:r>
            <w:r w:rsidRPr="00FF6093">
              <w:rPr>
                <w:rFonts w:ascii="CAIXA Std Book" w:eastAsia="Times New Roman" w:hAnsi="CAIXA Std Book" w:cs="Calibri"/>
                <w:b/>
                <w:bCs/>
                <w:color w:val="FFFFFF"/>
                <w:sz w:val="18"/>
                <w:szCs w:val="18"/>
              </w:rPr>
              <w:t>/2025</w:t>
            </w:r>
          </w:p>
        </w:tc>
      </w:tr>
      <w:tr w:rsidR="003B077A" w:rsidRPr="00FF6093" w14:paraId="2A69B7E4" w14:textId="77777777" w:rsidTr="009E220E">
        <w:trPr>
          <w:trHeight w:val="401"/>
        </w:trPr>
        <w:tc>
          <w:tcPr>
            <w:tcW w:w="2043" w:type="pct"/>
            <w:vMerge/>
            <w:tcBorders>
              <w:top w:val="nil"/>
              <w:left w:val="nil"/>
              <w:bottom w:val="single" w:sz="4" w:space="0" w:color="FFFFFF"/>
              <w:right w:val="nil"/>
            </w:tcBorders>
            <w:shd w:val="clear" w:color="auto" w:fill="005CA9"/>
            <w:vAlign w:val="center"/>
            <w:hideMark/>
          </w:tcPr>
          <w:p w14:paraId="753913EA" w14:textId="77777777" w:rsidR="00223388" w:rsidRPr="00FF6093" w:rsidRDefault="00223388">
            <w:pPr>
              <w:rPr>
                <w:rFonts w:ascii="CAIXA Std Book" w:eastAsia="Times New Roman" w:hAnsi="CAIXA Std Book" w:cs="Calibri"/>
                <w:b/>
                <w:bCs/>
                <w:color w:val="FFFFFF"/>
                <w:sz w:val="18"/>
                <w:szCs w:val="18"/>
              </w:rPr>
            </w:pPr>
          </w:p>
        </w:tc>
        <w:tc>
          <w:tcPr>
            <w:tcW w:w="591" w:type="pct"/>
            <w:vMerge/>
            <w:tcBorders>
              <w:top w:val="nil"/>
              <w:left w:val="nil"/>
              <w:bottom w:val="single" w:sz="4" w:space="0" w:color="FFFFFF"/>
              <w:right w:val="nil"/>
            </w:tcBorders>
            <w:shd w:val="clear" w:color="auto" w:fill="005CA9"/>
            <w:vAlign w:val="center"/>
            <w:hideMark/>
          </w:tcPr>
          <w:p w14:paraId="29BDF6B7" w14:textId="77777777" w:rsidR="00223388" w:rsidRPr="00FF6093" w:rsidRDefault="00223388">
            <w:pPr>
              <w:rPr>
                <w:rFonts w:ascii="CAIXA Std Book" w:eastAsia="Times New Roman" w:hAnsi="CAIXA Std Book" w:cs="Calibri"/>
                <w:b/>
                <w:bCs/>
                <w:color w:val="FFFFFF"/>
                <w:sz w:val="18"/>
                <w:szCs w:val="18"/>
              </w:rPr>
            </w:pPr>
          </w:p>
        </w:tc>
        <w:tc>
          <w:tcPr>
            <w:tcW w:w="592" w:type="pct"/>
            <w:vMerge/>
            <w:tcBorders>
              <w:top w:val="nil"/>
              <w:left w:val="nil"/>
              <w:bottom w:val="single" w:sz="4" w:space="0" w:color="FFFFFF"/>
              <w:right w:val="nil"/>
            </w:tcBorders>
            <w:shd w:val="clear" w:color="auto" w:fill="005CA9"/>
            <w:vAlign w:val="center"/>
            <w:hideMark/>
          </w:tcPr>
          <w:p w14:paraId="77AE83F3" w14:textId="77777777" w:rsidR="00223388" w:rsidRPr="00FF6093" w:rsidRDefault="00223388">
            <w:pPr>
              <w:rPr>
                <w:rFonts w:ascii="CAIXA Std Book" w:eastAsia="Times New Roman" w:hAnsi="CAIXA Std Book" w:cs="Calibri"/>
                <w:b/>
                <w:bCs/>
                <w:color w:val="FFFFFF"/>
                <w:sz w:val="18"/>
                <w:szCs w:val="18"/>
              </w:rPr>
            </w:pPr>
          </w:p>
        </w:tc>
        <w:tc>
          <w:tcPr>
            <w:tcW w:w="591" w:type="pct"/>
            <w:vMerge/>
            <w:tcBorders>
              <w:top w:val="nil"/>
              <w:left w:val="nil"/>
              <w:bottom w:val="single" w:sz="4" w:space="0" w:color="FFFFFF"/>
              <w:right w:val="nil"/>
            </w:tcBorders>
            <w:shd w:val="clear" w:color="auto" w:fill="005CA9"/>
            <w:vAlign w:val="center"/>
            <w:hideMark/>
          </w:tcPr>
          <w:p w14:paraId="7D08E754" w14:textId="77777777" w:rsidR="00223388" w:rsidRPr="00FF6093" w:rsidRDefault="00223388">
            <w:pPr>
              <w:rPr>
                <w:rFonts w:ascii="CAIXA Std Book" w:eastAsia="Times New Roman" w:hAnsi="CAIXA Std Book" w:cs="Calibri"/>
                <w:b/>
                <w:bCs/>
                <w:color w:val="FFFFFF"/>
                <w:sz w:val="18"/>
                <w:szCs w:val="18"/>
              </w:rPr>
            </w:pPr>
          </w:p>
        </w:tc>
        <w:tc>
          <w:tcPr>
            <w:tcW w:w="592" w:type="pct"/>
            <w:vMerge/>
            <w:tcBorders>
              <w:top w:val="nil"/>
              <w:left w:val="nil"/>
              <w:bottom w:val="single" w:sz="4" w:space="0" w:color="FFFFFF"/>
              <w:right w:val="nil"/>
            </w:tcBorders>
            <w:shd w:val="clear" w:color="auto" w:fill="005CA9"/>
            <w:vAlign w:val="center"/>
            <w:hideMark/>
          </w:tcPr>
          <w:p w14:paraId="599F6AA4" w14:textId="77777777" w:rsidR="00223388" w:rsidRPr="00FF6093" w:rsidRDefault="00223388">
            <w:pPr>
              <w:rPr>
                <w:rFonts w:ascii="CAIXA Std Book" w:eastAsia="Times New Roman" w:hAnsi="CAIXA Std Book" w:cs="Calibri"/>
                <w:b/>
                <w:bCs/>
                <w:color w:val="FFFFFF"/>
                <w:sz w:val="18"/>
                <w:szCs w:val="18"/>
              </w:rPr>
            </w:pPr>
          </w:p>
        </w:tc>
        <w:tc>
          <w:tcPr>
            <w:tcW w:w="591" w:type="pct"/>
            <w:vMerge/>
            <w:tcBorders>
              <w:top w:val="nil"/>
              <w:left w:val="nil"/>
              <w:bottom w:val="single" w:sz="4" w:space="0" w:color="FFFFFF"/>
              <w:right w:val="nil"/>
            </w:tcBorders>
            <w:shd w:val="clear" w:color="auto" w:fill="005CA9"/>
            <w:vAlign w:val="center"/>
            <w:hideMark/>
          </w:tcPr>
          <w:p w14:paraId="53CAE96C" w14:textId="77777777" w:rsidR="00223388" w:rsidRPr="00FF6093" w:rsidRDefault="00223388">
            <w:pPr>
              <w:rPr>
                <w:rFonts w:ascii="CAIXA Std Book" w:eastAsia="Times New Roman" w:hAnsi="CAIXA Std Book" w:cs="Calibri"/>
                <w:b/>
                <w:bCs/>
                <w:color w:val="FFFFFF"/>
                <w:sz w:val="18"/>
                <w:szCs w:val="18"/>
              </w:rPr>
            </w:pPr>
          </w:p>
        </w:tc>
      </w:tr>
      <w:tr w:rsidR="003B077A" w:rsidRPr="00FF6093" w14:paraId="6ED8CEE3" w14:textId="77777777" w:rsidTr="009E220E">
        <w:trPr>
          <w:trHeight w:val="255"/>
        </w:trPr>
        <w:tc>
          <w:tcPr>
            <w:tcW w:w="2043" w:type="pct"/>
            <w:tcBorders>
              <w:top w:val="nil"/>
              <w:left w:val="nil"/>
              <w:right w:val="nil"/>
            </w:tcBorders>
            <w:shd w:val="clear" w:color="000000" w:fill="FFFFFF"/>
            <w:noWrap/>
            <w:vAlign w:val="center"/>
            <w:hideMark/>
          </w:tcPr>
          <w:p w14:paraId="34C06FA2" w14:textId="77777777" w:rsidR="00223388" w:rsidRPr="00FF6093" w:rsidRDefault="00223388">
            <w:pPr>
              <w:rPr>
                <w:rFonts w:ascii="CAIXA Std Book" w:eastAsia="Times New Roman" w:hAnsi="CAIXA Std Book" w:cs="Calibri"/>
                <w:color w:val="005CA9"/>
                <w:sz w:val="18"/>
                <w:szCs w:val="18"/>
              </w:rPr>
            </w:pPr>
            <w:r w:rsidRPr="00FF6093">
              <w:rPr>
                <w:rFonts w:ascii="CAIXA Std Book" w:eastAsia="Times New Roman" w:hAnsi="CAIXA Std Book" w:cs="Calibri"/>
                <w:color w:val="005CA9"/>
                <w:sz w:val="18"/>
                <w:szCs w:val="18"/>
              </w:rPr>
              <w:t>Títulos privados de entidades não financeiras</w:t>
            </w:r>
          </w:p>
        </w:tc>
        <w:tc>
          <w:tcPr>
            <w:tcW w:w="591" w:type="pct"/>
            <w:tcBorders>
              <w:top w:val="nil"/>
              <w:left w:val="nil"/>
              <w:right w:val="nil"/>
            </w:tcBorders>
            <w:noWrap/>
            <w:vAlign w:val="center"/>
            <w:hideMark/>
          </w:tcPr>
          <w:p w14:paraId="55877078" w14:textId="77777777" w:rsidR="00223388" w:rsidRPr="00FF6093" w:rsidRDefault="00B47582" w:rsidP="00B47582">
            <w:pPr>
              <w:jc w:val="right"/>
              <w:rPr>
                <w:rFonts w:ascii="CAIXA Std Book" w:eastAsia="Times New Roman" w:hAnsi="CAIXA Std Book" w:cs="Calibri"/>
                <w:color w:val="005CA9"/>
                <w:sz w:val="18"/>
                <w:szCs w:val="18"/>
              </w:rPr>
            </w:pPr>
            <w:r>
              <w:rPr>
                <w:rFonts w:ascii="CAIXA Std Book" w:hAnsi="CAIXA Std Book"/>
                <w:color w:val="005CA9"/>
                <w:sz w:val="18"/>
                <w:szCs w:val="18"/>
              </w:rPr>
              <w:t>36.996</w:t>
            </w:r>
          </w:p>
        </w:tc>
        <w:tc>
          <w:tcPr>
            <w:tcW w:w="592" w:type="pct"/>
            <w:tcBorders>
              <w:top w:val="nil"/>
              <w:left w:val="nil"/>
              <w:right w:val="nil"/>
            </w:tcBorders>
            <w:noWrap/>
            <w:vAlign w:val="center"/>
          </w:tcPr>
          <w:p w14:paraId="47F28489" w14:textId="77777777" w:rsidR="00223388" w:rsidRPr="00FF6093" w:rsidRDefault="0037184C" w:rsidP="00A85F2F">
            <w:pPr>
              <w:jc w:val="right"/>
              <w:rPr>
                <w:rFonts w:ascii="CAIXA Std Book" w:eastAsia="Times New Roman" w:hAnsi="CAIXA Std Book" w:cs="Calibri"/>
                <w:color w:val="005CA9"/>
                <w:sz w:val="18"/>
                <w:szCs w:val="18"/>
              </w:rPr>
            </w:pPr>
            <w:r>
              <w:rPr>
                <w:rFonts w:ascii="CAIXA Std Book" w:hAnsi="CAIXA Std Book" w:cs="Arial"/>
                <w:color w:val="005CA9"/>
                <w:sz w:val="18"/>
                <w:szCs w:val="18"/>
              </w:rPr>
              <w:t>86.548</w:t>
            </w:r>
          </w:p>
        </w:tc>
        <w:tc>
          <w:tcPr>
            <w:tcW w:w="591" w:type="pct"/>
            <w:tcBorders>
              <w:top w:val="nil"/>
              <w:left w:val="nil"/>
              <w:right w:val="nil"/>
            </w:tcBorders>
            <w:noWrap/>
            <w:vAlign w:val="center"/>
          </w:tcPr>
          <w:p w14:paraId="3DD3468C" w14:textId="77777777" w:rsidR="00223388" w:rsidRPr="006919B4" w:rsidRDefault="0037184C" w:rsidP="009B7AFB">
            <w:pPr>
              <w:jc w:val="right"/>
              <w:rPr>
                <w:rFonts w:ascii="CAIXA Std Book" w:hAnsi="CAIXA Std Book" w:cs="Arial"/>
                <w:color w:val="005CA9"/>
                <w:sz w:val="18"/>
                <w:szCs w:val="18"/>
              </w:rPr>
            </w:pPr>
            <w:r>
              <w:rPr>
                <w:rFonts w:ascii="CAIXA Std Book" w:hAnsi="CAIXA Std Book" w:cs="Arial"/>
                <w:color w:val="005CA9"/>
                <w:sz w:val="18"/>
                <w:szCs w:val="18"/>
              </w:rPr>
              <w:t>(36.996)</w:t>
            </w:r>
          </w:p>
        </w:tc>
        <w:tc>
          <w:tcPr>
            <w:tcW w:w="592" w:type="pct"/>
            <w:tcBorders>
              <w:top w:val="nil"/>
              <w:left w:val="nil"/>
              <w:right w:val="nil"/>
            </w:tcBorders>
            <w:noWrap/>
            <w:vAlign w:val="center"/>
          </w:tcPr>
          <w:p w14:paraId="6D464D56" w14:textId="77777777" w:rsidR="00223388" w:rsidRPr="00FF6093" w:rsidRDefault="00A85F2F" w:rsidP="00213AC0">
            <w:pPr>
              <w:jc w:val="center"/>
              <w:rPr>
                <w:rFonts w:ascii="CAIXA Std Book" w:eastAsia="Times New Roman" w:hAnsi="CAIXA Std Book" w:cs="Calibri"/>
                <w:color w:val="005CA9"/>
                <w:sz w:val="18"/>
                <w:szCs w:val="18"/>
              </w:rPr>
            </w:pPr>
            <w:r>
              <w:rPr>
                <w:rFonts w:ascii="CAIXA Std Book" w:hAnsi="CAIXA Std Book" w:cs="Arial"/>
                <w:color w:val="005CA9"/>
                <w:sz w:val="18"/>
                <w:szCs w:val="18"/>
              </w:rPr>
              <w:t>-</w:t>
            </w:r>
          </w:p>
        </w:tc>
        <w:tc>
          <w:tcPr>
            <w:tcW w:w="591" w:type="pct"/>
            <w:tcBorders>
              <w:top w:val="nil"/>
              <w:left w:val="nil"/>
              <w:right w:val="nil"/>
            </w:tcBorders>
            <w:noWrap/>
            <w:vAlign w:val="center"/>
          </w:tcPr>
          <w:p w14:paraId="3D11CC56" w14:textId="77777777" w:rsidR="00223388" w:rsidRPr="006056CB" w:rsidRDefault="006E2519" w:rsidP="00A85F2F">
            <w:pPr>
              <w:jc w:val="right"/>
              <w:rPr>
                <w:rFonts w:ascii="CAIXA Std Book" w:hAnsi="CAIXA Std Book" w:cs="Arial"/>
                <w:color w:val="005CA9"/>
                <w:sz w:val="18"/>
                <w:szCs w:val="18"/>
              </w:rPr>
            </w:pPr>
            <w:r>
              <w:rPr>
                <w:rFonts w:ascii="CAIXA Std Book" w:hAnsi="CAIXA Std Book" w:cs="Arial"/>
                <w:color w:val="005CA9"/>
                <w:sz w:val="18"/>
                <w:szCs w:val="18"/>
              </w:rPr>
              <w:t>86.548</w:t>
            </w:r>
          </w:p>
        </w:tc>
      </w:tr>
      <w:tr w:rsidR="003B077A" w:rsidRPr="00FF6093" w14:paraId="74B01F65" w14:textId="77777777" w:rsidTr="009E220E">
        <w:trPr>
          <w:trHeight w:val="255"/>
        </w:trPr>
        <w:tc>
          <w:tcPr>
            <w:tcW w:w="2043" w:type="pct"/>
            <w:tcBorders>
              <w:top w:val="nil"/>
              <w:left w:val="nil"/>
              <w:right w:val="nil"/>
            </w:tcBorders>
            <w:shd w:val="clear" w:color="auto" w:fill="005CA9"/>
            <w:noWrap/>
            <w:vAlign w:val="center"/>
            <w:hideMark/>
          </w:tcPr>
          <w:p w14:paraId="0E85DDE4" w14:textId="77777777" w:rsidR="00223388" w:rsidRPr="00FF6093" w:rsidRDefault="00223388">
            <w:pPr>
              <w:rPr>
                <w:rFonts w:ascii="CAIXA Std Book" w:eastAsia="Times New Roman" w:hAnsi="CAIXA Std Book" w:cs="Calibri"/>
                <w:b/>
                <w:bCs/>
                <w:color w:val="FFFFFF"/>
                <w:sz w:val="18"/>
                <w:szCs w:val="18"/>
              </w:rPr>
            </w:pPr>
            <w:r w:rsidRPr="00FF6093">
              <w:rPr>
                <w:rFonts w:ascii="CAIXA Std Book" w:eastAsia="Times New Roman" w:hAnsi="CAIXA Std Book" w:cs="Calibri"/>
                <w:b/>
                <w:bCs/>
                <w:color w:val="FFFFFF"/>
                <w:sz w:val="18"/>
                <w:szCs w:val="18"/>
              </w:rPr>
              <w:t>Total</w:t>
            </w:r>
          </w:p>
        </w:tc>
        <w:tc>
          <w:tcPr>
            <w:tcW w:w="591" w:type="pct"/>
            <w:tcBorders>
              <w:top w:val="nil"/>
              <w:left w:val="nil"/>
              <w:right w:val="nil"/>
            </w:tcBorders>
            <w:shd w:val="clear" w:color="auto" w:fill="005CA9"/>
            <w:noWrap/>
            <w:vAlign w:val="center"/>
            <w:hideMark/>
          </w:tcPr>
          <w:p w14:paraId="409E3E62" w14:textId="77777777" w:rsidR="00223388" w:rsidRPr="00FF6093" w:rsidRDefault="00B47582" w:rsidP="00B47582">
            <w:pPr>
              <w:jc w:val="right"/>
              <w:rPr>
                <w:rFonts w:ascii="CAIXA Std Book" w:eastAsia="Times New Roman" w:hAnsi="CAIXA Std Book" w:cs="Calibri"/>
                <w:color w:val="FFFFFF"/>
                <w:sz w:val="18"/>
                <w:szCs w:val="18"/>
              </w:rPr>
            </w:pPr>
            <w:r>
              <w:rPr>
                <w:rFonts w:ascii="CAIXA Std Book" w:hAnsi="CAIXA Std Book"/>
                <w:b/>
                <w:bCs/>
                <w:color w:val="FFFFFF"/>
                <w:sz w:val="18"/>
                <w:szCs w:val="18"/>
              </w:rPr>
              <w:t>36.996</w:t>
            </w:r>
          </w:p>
        </w:tc>
        <w:tc>
          <w:tcPr>
            <w:tcW w:w="592" w:type="pct"/>
            <w:tcBorders>
              <w:top w:val="nil"/>
              <w:left w:val="nil"/>
              <w:right w:val="nil"/>
            </w:tcBorders>
            <w:shd w:val="clear" w:color="auto" w:fill="005CA9"/>
            <w:noWrap/>
            <w:vAlign w:val="center"/>
          </w:tcPr>
          <w:p w14:paraId="11CC052E" w14:textId="77777777" w:rsidR="00223388" w:rsidRPr="00C54B91" w:rsidRDefault="0037184C" w:rsidP="00C54B91">
            <w:pPr>
              <w:jc w:val="right"/>
              <w:rPr>
                <w:rFonts w:ascii="CAIXA Std Book" w:hAnsi="CAIXA Std Book"/>
                <w:b/>
                <w:color w:val="FFFFFF"/>
                <w:sz w:val="18"/>
                <w:szCs w:val="18"/>
              </w:rPr>
            </w:pPr>
            <w:r>
              <w:rPr>
                <w:rFonts w:ascii="CAIXA Std Book" w:hAnsi="CAIXA Std Book" w:cs="Arial"/>
                <w:b/>
                <w:bCs/>
                <w:color w:val="FFFFFF"/>
                <w:sz w:val="18"/>
                <w:szCs w:val="18"/>
              </w:rPr>
              <w:t>86.548</w:t>
            </w:r>
          </w:p>
        </w:tc>
        <w:tc>
          <w:tcPr>
            <w:tcW w:w="591" w:type="pct"/>
            <w:tcBorders>
              <w:top w:val="nil"/>
              <w:left w:val="nil"/>
              <w:right w:val="nil"/>
            </w:tcBorders>
            <w:shd w:val="clear" w:color="auto" w:fill="005CA9"/>
            <w:noWrap/>
            <w:vAlign w:val="center"/>
          </w:tcPr>
          <w:p w14:paraId="5AEF6570" w14:textId="77777777" w:rsidR="00223388" w:rsidRPr="006919B4" w:rsidRDefault="0037184C" w:rsidP="009B7AFB">
            <w:pPr>
              <w:jc w:val="right"/>
              <w:rPr>
                <w:rFonts w:ascii="CAIXA Std Book" w:hAnsi="CAIXA Std Book" w:cs="Arial"/>
                <w:b/>
                <w:color w:val="FFFFFF"/>
                <w:sz w:val="18"/>
                <w:szCs w:val="18"/>
              </w:rPr>
            </w:pPr>
            <w:r>
              <w:rPr>
                <w:rFonts w:ascii="CAIXA Std Book" w:hAnsi="CAIXA Std Book" w:cs="Arial"/>
                <w:b/>
                <w:bCs/>
                <w:color w:val="FFFFFF"/>
                <w:sz w:val="18"/>
                <w:szCs w:val="18"/>
              </w:rPr>
              <w:t>(36.996)</w:t>
            </w:r>
          </w:p>
        </w:tc>
        <w:tc>
          <w:tcPr>
            <w:tcW w:w="592" w:type="pct"/>
            <w:tcBorders>
              <w:top w:val="nil"/>
              <w:left w:val="nil"/>
              <w:right w:val="nil"/>
            </w:tcBorders>
            <w:shd w:val="clear" w:color="auto" w:fill="005CA9"/>
            <w:noWrap/>
            <w:vAlign w:val="center"/>
          </w:tcPr>
          <w:p w14:paraId="2D136E94" w14:textId="77777777" w:rsidR="00223388" w:rsidRPr="00C54B91" w:rsidRDefault="00213AC0" w:rsidP="00213AC0">
            <w:pPr>
              <w:jc w:val="center"/>
              <w:rPr>
                <w:rFonts w:ascii="CAIXA Std Book" w:hAnsi="CAIXA Std Book"/>
                <w:b/>
                <w:color w:val="FFFFFF"/>
                <w:sz w:val="18"/>
                <w:szCs w:val="18"/>
              </w:rPr>
            </w:pPr>
            <w:r>
              <w:rPr>
                <w:rFonts w:ascii="CAIXA Std Book" w:hAnsi="CAIXA Std Book"/>
                <w:b/>
                <w:color w:val="FFFFFF"/>
                <w:sz w:val="18"/>
                <w:szCs w:val="18"/>
              </w:rPr>
              <w:t>-</w:t>
            </w:r>
          </w:p>
        </w:tc>
        <w:tc>
          <w:tcPr>
            <w:tcW w:w="591" w:type="pct"/>
            <w:tcBorders>
              <w:top w:val="nil"/>
              <w:left w:val="nil"/>
              <w:right w:val="nil"/>
            </w:tcBorders>
            <w:shd w:val="clear" w:color="auto" w:fill="005CA9"/>
            <w:noWrap/>
            <w:vAlign w:val="center"/>
          </w:tcPr>
          <w:p w14:paraId="5D85E507" w14:textId="77777777" w:rsidR="00223388" w:rsidRPr="006056CB" w:rsidRDefault="00A1554D" w:rsidP="00C54B91">
            <w:pPr>
              <w:jc w:val="right"/>
              <w:rPr>
                <w:rFonts w:ascii="CAIXA Std Book" w:hAnsi="CAIXA Std Book" w:cs="Arial"/>
                <w:b/>
                <w:color w:val="FFFFFF"/>
                <w:sz w:val="18"/>
                <w:szCs w:val="18"/>
              </w:rPr>
            </w:pPr>
            <w:r>
              <w:rPr>
                <w:rFonts w:ascii="CAIXA Std Book" w:hAnsi="CAIXA Std Book" w:cs="Arial"/>
                <w:b/>
                <w:bCs/>
                <w:color w:val="FFFFFF"/>
                <w:sz w:val="18"/>
                <w:szCs w:val="18"/>
              </w:rPr>
              <w:t>86.548</w:t>
            </w:r>
          </w:p>
        </w:tc>
      </w:tr>
    </w:tbl>
    <w:p w14:paraId="58C70A77" w14:textId="77777777" w:rsidR="007B0174" w:rsidRPr="00E95E29" w:rsidRDefault="007B0174" w:rsidP="007B0174">
      <w:pPr>
        <w:pStyle w:val="Ttulo1"/>
      </w:pPr>
      <w:bookmarkStart w:id="76" w:name="_Toc229588470"/>
      <w:r w:rsidRPr="00E95E29">
        <w:t>Nota   6.2 – Derivativos</w:t>
      </w:r>
      <w:bookmarkEnd w:id="76"/>
    </w:p>
    <w:p w14:paraId="66E94FDE" w14:textId="77777777" w:rsidR="00E97911" w:rsidRDefault="00E97911" w:rsidP="00295657">
      <w:pPr>
        <w:pStyle w:val="PargrafodaLista"/>
        <w:numPr>
          <w:ilvl w:val="0"/>
          <w:numId w:val="45"/>
        </w:numPr>
        <w:spacing w:before="240" w:after="120"/>
        <w:jc w:val="both"/>
        <w:rPr>
          <w:rFonts w:ascii="CAIXA Std Book" w:hAnsi="CAIXA Std Book"/>
          <w:b/>
          <w:color w:val="005CA9"/>
          <w:sz w:val="20"/>
          <w:szCs w:val="20"/>
        </w:rPr>
      </w:pPr>
      <w:r w:rsidRPr="00B04D8D">
        <w:rPr>
          <w:rFonts w:ascii="CAIXA Std Book" w:hAnsi="CAIXA Std Book"/>
          <w:b/>
          <w:i/>
          <w:color w:val="005CA9"/>
          <w:sz w:val="20"/>
          <w:szCs w:val="20"/>
        </w:rPr>
        <w:t>Hedge</w:t>
      </w:r>
      <w:r w:rsidRPr="00B04D8D">
        <w:rPr>
          <w:rFonts w:ascii="CAIXA Std Book" w:hAnsi="CAIXA Std Book"/>
          <w:b/>
          <w:color w:val="005CA9"/>
          <w:sz w:val="20"/>
          <w:szCs w:val="20"/>
        </w:rPr>
        <w:t xml:space="preserve"> Contábil</w:t>
      </w:r>
    </w:p>
    <w:tbl>
      <w:tblPr>
        <w:tblW w:w="5001" w:type="pct"/>
        <w:tblCellMar>
          <w:left w:w="70" w:type="dxa"/>
          <w:right w:w="70" w:type="dxa"/>
        </w:tblCellMar>
        <w:tblLook w:val="04A0" w:firstRow="1" w:lastRow="0" w:firstColumn="1" w:lastColumn="0" w:noHBand="0" w:noVBand="1"/>
      </w:tblPr>
      <w:tblGrid>
        <w:gridCol w:w="3276"/>
        <w:gridCol w:w="2195"/>
        <w:gridCol w:w="1728"/>
        <w:gridCol w:w="1376"/>
        <w:gridCol w:w="1376"/>
        <w:gridCol w:w="1379"/>
        <w:gridCol w:w="1583"/>
        <w:gridCol w:w="1661"/>
      </w:tblGrid>
      <w:tr w:rsidR="00021A81" w:rsidRPr="00C11B6E" w14:paraId="55E6DFC1" w14:textId="77777777" w:rsidTr="008A7C09">
        <w:trPr>
          <w:trHeight w:val="255"/>
        </w:trPr>
        <w:tc>
          <w:tcPr>
            <w:tcW w:w="5000" w:type="pct"/>
            <w:gridSpan w:val="8"/>
            <w:tcBorders>
              <w:bottom w:val="single" w:sz="4" w:space="0" w:color="FFFFFF" w:themeColor="background1"/>
            </w:tcBorders>
            <w:shd w:val="clear" w:color="auto" w:fill="005CA9"/>
            <w:noWrap/>
            <w:vAlign w:val="center"/>
            <w:hideMark/>
          </w:tcPr>
          <w:p w14:paraId="1FA9F348" w14:textId="77777777" w:rsidR="00021A81" w:rsidRPr="00C11B6E" w:rsidRDefault="00021A81">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Individual / Consolidado</w:t>
            </w:r>
          </w:p>
        </w:tc>
      </w:tr>
      <w:tr w:rsidR="00021A81" w:rsidRPr="00C11B6E" w14:paraId="20BD0C2B" w14:textId="77777777" w:rsidTr="008A7C09">
        <w:trPr>
          <w:trHeight w:val="255"/>
        </w:trPr>
        <w:tc>
          <w:tcPr>
            <w:tcW w:w="1877" w:type="pct"/>
            <w:gridSpan w:val="2"/>
            <w:vMerge w:val="restart"/>
            <w:tcBorders>
              <w:top w:val="single" w:sz="4" w:space="0" w:color="FFFFFF" w:themeColor="background1"/>
            </w:tcBorders>
            <w:shd w:val="clear" w:color="auto" w:fill="005CA9"/>
            <w:vAlign w:val="center"/>
            <w:hideMark/>
          </w:tcPr>
          <w:p w14:paraId="1522DDB6" w14:textId="77777777" w:rsidR="00021A81" w:rsidRPr="00C11B6E" w:rsidRDefault="00021A81">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Estratégia</w:t>
            </w:r>
          </w:p>
        </w:tc>
        <w:tc>
          <w:tcPr>
            <w:tcW w:w="3123" w:type="pct"/>
            <w:gridSpan w:val="6"/>
            <w:tcBorders>
              <w:top w:val="single" w:sz="4" w:space="0" w:color="FFFFFF" w:themeColor="background1"/>
              <w:bottom w:val="single" w:sz="4" w:space="0" w:color="FFFFFF" w:themeColor="background1"/>
            </w:tcBorders>
            <w:shd w:val="clear" w:color="auto" w:fill="005CA9"/>
            <w:vAlign w:val="center"/>
            <w:hideMark/>
          </w:tcPr>
          <w:p w14:paraId="75A0467C" w14:textId="77777777" w:rsidR="00021A81" w:rsidRPr="00C11B6E" w:rsidRDefault="00021A81">
            <w:pPr>
              <w:jc w:val="center"/>
              <w:rPr>
                <w:rFonts w:ascii="CAIXA Std Book" w:eastAsia="Times New Roman" w:hAnsi="CAIXA Std Book" w:cs="Times New Roman"/>
                <w:b/>
                <w:bCs/>
                <w:color w:val="FFFFFF"/>
                <w:sz w:val="18"/>
                <w:szCs w:val="18"/>
              </w:rPr>
            </w:pPr>
            <w:r>
              <w:rPr>
                <w:rFonts w:ascii="CAIXA Std Book" w:eastAsia="Times New Roman" w:hAnsi="CAIXA Std Book" w:cs="Times New Roman"/>
                <w:b/>
                <w:bCs/>
                <w:color w:val="FFFFFF"/>
                <w:sz w:val="18"/>
                <w:szCs w:val="18"/>
              </w:rPr>
              <w:t>31</w:t>
            </w:r>
            <w:r w:rsidRPr="00C11B6E">
              <w:rPr>
                <w:rFonts w:ascii="CAIXA Std Book" w:eastAsia="Times New Roman" w:hAnsi="CAIXA Std Book" w:cs="Times New Roman"/>
                <w:b/>
                <w:bCs/>
                <w:color w:val="FFFFFF"/>
                <w:sz w:val="18"/>
                <w:szCs w:val="18"/>
              </w:rPr>
              <w:t>/</w:t>
            </w:r>
            <w:r>
              <w:rPr>
                <w:rFonts w:ascii="CAIXA Std Book" w:eastAsia="Times New Roman" w:hAnsi="CAIXA Std Book" w:cs="Times New Roman"/>
                <w:b/>
                <w:bCs/>
                <w:color w:val="FFFFFF"/>
                <w:sz w:val="18"/>
                <w:szCs w:val="18"/>
              </w:rPr>
              <w:t>03</w:t>
            </w:r>
            <w:r w:rsidRPr="00C11B6E">
              <w:rPr>
                <w:rFonts w:ascii="CAIXA Std Book" w:eastAsia="Times New Roman" w:hAnsi="CAIXA Std Book" w:cs="Times New Roman"/>
                <w:b/>
                <w:bCs/>
                <w:color w:val="FFFFFF"/>
                <w:sz w:val="18"/>
                <w:szCs w:val="18"/>
              </w:rPr>
              <w:t>/202</w:t>
            </w:r>
            <w:r>
              <w:rPr>
                <w:rFonts w:ascii="CAIXA Std Book" w:eastAsia="Times New Roman" w:hAnsi="CAIXA Std Book" w:cs="Times New Roman"/>
                <w:b/>
                <w:bCs/>
                <w:color w:val="FFFFFF"/>
                <w:sz w:val="18"/>
                <w:szCs w:val="18"/>
              </w:rPr>
              <w:t>6</w:t>
            </w:r>
          </w:p>
        </w:tc>
      </w:tr>
      <w:tr w:rsidR="00021A81" w:rsidRPr="00C11B6E" w14:paraId="0A4F7344" w14:textId="77777777" w:rsidTr="008A7C09">
        <w:trPr>
          <w:trHeight w:val="255"/>
        </w:trPr>
        <w:tc>
          <w:tcPr>
            <w:tcW w:w="1877" w:type="pct"/>
            <w:gridSpan w:val="2"/>
            <w:vMerge/>
            <w:tcBorders>
              <w:top w:val="single" w:sz="4" w:space="0" w:color="FFFFFF" w:themeColor="background1"/>
              <w:bottom w:val="single" w:sz="4" w:space="0" w:color="FFFFFF" w:themeColor="background1"/>
            </w:tcBorders>
            <w:shd w:val="clear" w:color="auto" w:fill="005CA9"/>
            <w:vAlign w:val="center"/>
            <w:hideMark/>
          </w:tcPr>
          <w:p w14:paraId="0F8890AF" w14:textId="77777777" w:rsidR="00021A81" w:rsidRPr="00C11B6E" w:rsidRDefault="00021A81">
            <w:pPr>
              <w:rPr>
                <w:rFonts w:ascii="CAIXA Std Book" w:eastAsia="Times New Roman" w:hAnsi="CAIXA Std Book" w:cs="Times New Roman"/>
                <w:b/>
                <w:bCs/>
                <w:color w:val="FFFFFF"/>
                <w:sz w:val="18"/>
                <w:szCs w:val="18"/>
              </w:rPr>
            </w:pPr>
          </w:p>
        </w:tc>
        <w:tc>
          <w:tcPr>
            <w:tcW w:w="2010" w:type="pct"/>
            <w:gridSpan w:val="4"/>
            <w:tcBorders>
              <w:top w:val="single" w:sz="4" w:space="0" w:color="FFFFFF" w:themeColor="background1"/>
              <w:bottom w:val="single" w:sz="4" w:space="0" w:color="FFFFFF" w:themeColor="background1"/>
            </w:tcBorders>
            <w:shd w:val="clear" w:color="auto" w:fill="005CA9"/>
            <w:vAlign w:val="center"/>
            <w:hideMark/>
          </w:tcPr>
          <w:p w14:paraId="052352DC" w14:textId="77777777" w:rsidR="00021A81" w:rsidRPr="00C11B6E" w:rsidRDefault="00021A81">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 xml:space="preserve">Instrumentos de </w:t>
            </w:r>
            <w:r w:rsidRPr="00C11B6E">
              <w:rPr>
                <w:rFonts w:ascii="CAIXA Std Book" w:eastAsia="Times New Roman" w:hAnsi="CAIXA Std Book" w:cs="Times New Roman"/>
                <w:b/>
                <w:bCs/>
                <w:i/>
                <w:iCs/>
                <w:color w:val="FFFFFF"/>
                <w:sz w:val="16"/>
                <w:szCs w:val="16"/>
              </w:rPr>
              <w:t>hedge</w:t>
            </w:r>
          </w:p>
        </w:tc>
        <w:tc>
          <w:tcPr>
            <w:tcW w:w="1113" w:type="pct"/>
            <w:gridSpan w:val="2"/>
            <w:tcBorders>
              <w:top w:val="single" w:sz="4" w:space="0" w:color="FFFFFF" w:themeColor="background1"/>
              <w:bottom w:val="single" w:sz="4" w:space="0" w:color="FFFFFF" w:themeColor="background1"/>
            </w:tcBorders>
            <w:shd w:val="clear" w:color="auto" w:fill="005CA9"/>
            <w:vAlign w:val="center"/>
            <w:hideMark/>
          </w:tcPr>
          <w:p w14:paraId="372E67C3" w14:textId="77777777" w:rsidR="00021A81" w:rsidRPr="00C11B6E" w:rsidRDefault="00021A81">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Objeto</w:t>
            </w:r>
          </w:p>
        </w:tc>
      </w:tr>
      <w:tr w:rsidR="00021A81" w:rsidRPr="00C11B6E" w14:paraId="2DBB4A5F" w14:textId="77777777" w:rsidTr="008A7C09">
        <w:trPr>
          <w:trHeight w:val="255"/>
        </w:trPr>
        <w:tc>
          <w:tcPr>
            <w:tcW w:w="1877" w:type="pct"/>
            <w:gridSpan w:val="2"/>
            <w:tcBorders>
              <w:top w:val="single" w:sz="4" w:space="0" w:color="FFFFFF" w:themeColor="background1"/>
              <w:bottom w:val="single" w:sz="4" w:space="0" w:color="FFFFFF" w:themeColor="background1"/>
            </w:tcBorders>
            <w:shd w:val="clear" w:color="auto" w:fill="005CA9"/>
            <w:vAlign w:val="center"/>
            <w:hideMark/>
          </w:tcPr>
          <w:p w14:paraId="2505BFDC" w14:textId="77777777" w:rsidR="00021A81" w:rsidRPr="00C11B6E" w:rsidRDefault="00021A81">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Risco de taxa de juros</w:t>
            </w:r>
          </w:p>
        </w:tc>
        <w:tc>
          <w:tcPr>
            <w:tcW w:w="593" w:type="pct"/>
            <w:vMerge w:val="restart"/>
            <w:tcBorders>
              <w:top w:val="single" w:sz="4" w:space="0" w:color="FFFFFF" w:themeColor="background1"/>
            </w:tcBorders>
            <w:shd w:val="clear" w:color="auto" w:fill="005CA9"/>
            <w:vAlign w:val="center"/>
            <w:hideMark/>
          </w:tcPr>
          <w:p w14:paraId="689E31B0" w14:textId="77777777" w:rsidR="00021A81" w:rsidRPr="00C11B6E" w:rsidRDefault="00021A81">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Valor nominal</w:t>
            </w:r>
          </w:p>
        </w:tc>
        <w:tc>
          <w:tcPr>
            <w:tcW w:w="472" w:type="pct"/>
            <w:vMerge w:val="restart"/>
            <w:tcBorders>
              <w:top w:val="single" w:sz="4" w:space="0" w:color="FFFFFF" w:themeColor="background1"/>
            </w:tcBorders>
            <w:shd w:val="clear" w:color="auto" w:fill="005CA9"/>
            <w:vAlign w:val="center"/>
            <w:hideMark/>
          </w:tcPr>
          <w:p w14:paraId="17E513D1" w14:textId="77777777" w:rsidR="00021A81" w:rsidRPr="00C11B6E" w:rsidRDefault="00021A81">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Quant</w:t>
            </w:r>
            <w:r>
              <w:rPr>
                <w:rFonts w:ascii="CAIXA Std Book" w:eastAsia="Times New Roman" w:hAnsi="CAIXA Std Book" w:cs="Times New Roman"/>
                <w:b/>
                <w:bCs/>
                <w:color w:val="FFFFFF"/>
                <w:sz w:val="18"/>
                <w:szCs w:val="18"/>
              </w:rPr>
              <w:t>.</w:t>
            </w:r>
          </w:p>
        </w:tc>
        <w:tc>
          <w:tcPr>
            <w:tcW w:w="945" w:type="pct"/>
            <w:gridSpan w:val="2"/>
            <w:tcBorders>
              <w:top w:val="single" w:sz="4" w:space="0" w:color="FFFFFF" w:themeColor="background1"/>
              <w:bottom w:val="single" w:sz="4" w:space="0" w:color="FFFFFF" w:themeColor="background1"/>
            </w:tcBorders>
            <w:shd w:val="clear" w:color="auto" w:fill="005CA9"/>
            <w:vAlign w:val="center"/>
            <w:hideMark/>
          </w:tcPr>
          <w:p w14:paraId="4A35FB76" w14:textId="77777777" w:rsidR="00021A81" w:rsidRPr="00C11B6E" w:rsidRDefault="00021A81">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 xml:space="preserve">Valor </w:t>
            </w:r>
            <w:r>
              <w:rPr>
                <w:rFonts w:ascii="CAIXA Std Book" w:eastAsia="Times New Roman" w:hAnsi="CAIXA Std Book" w:cs="Times New Roman"/>
                <w:b/>
                <w:bCs/>
                <w:color w:val="FFFFFF"/>
                <w:sz w:val="18"/>
                <w:szCs w:val="18"/>
              </w:rPr>
              <w:t>justo</w:t>
            </w:r>
            <w:r w:rsidRPr="00C11B6E">
              <w:rPr>
                <w:rFonts w:ascii="CAIXA Std Book" w:eastAsia="Times New Roman" w:hAnsi="CAIXA Std Book" w:cs="Times New Roman"/>
                <w:b/>
                <w:bCs/>
                <w:color w:val="FFFFFF"/>
                <w:sz w:val="18"/>
                <w:szCs w:val="18"/>
              </w:rPr>
              <w:t xml:space="preserve"> (1)</w:t>
            </w:r>
          </w:p>
        </w:tc>
        <w:tc>
          <w:tcPr>
            <w:tcW w:w="543" w:type="pct"/>
            <w:vMerge w:val="restart"/>
            <w:tcBorders>
              <w:top w:val="single" w:sz="4" w:space="0" w:color="FFFFFF" w:themeColor="background1"/>
            </w:tcBorders>
            <w:shd w:val="clear" w:color="auto" w:fill="005CA9"/>
            <w:vAlign w:val="center"/>
            <w:hideMark/>
          </w:tcPr>
          <w:p w14:paraId="13FCC319" w14:textId="77777777" w:rsidR="00021A81" w:rsidRPr="00C11B6E" w:rsidRDefault="00021A81">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 xml:space="preserve">Valor </w:t>
            </w:r>
            <w:r>
              <w:rPr>
                <w:rFonts w:ascii="CAIXA Std Book" w:eastAsia="Times New Roman" w:hAnsi="CAIXA Std Book" w:cs="Times New Roman"/>
                <w:b/>
                <w:bCs/>
                <w:color w:val="FFFFFF"/>
                <w:sz w:val="18"/>
                <w:szCs w:val="18"/>
              </w:rPr>
              <w:t>justo</w:t>
            </w:r>
          </w:p>
        </w:tc>
        <w:tc>
          <w:tcPr>
            <w:tcW w:w="570" w:type="pct"/>
            <w:vMerge w:val="restart"/>
            <w:tcBorders>
              <w:top w:val="single" w:sz="4" w:space="0" w:color="FFFFFF" w:themeColor="background1"/>
            </w:tcBorders>
            <w:shd w:val="clear" w:color="auto" w:fill="005CA9"/>
            <w:vAlign w:val="center"/>
            <w:hideMark/>
          </w:tcPr>
          <w:p w14:paraId="62D558C4" w14:textId="77777777" w:rsidR="00021A81" w:rsidRPr="00C11B6E" w:rsidRDefault="00021A81">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Ajuste de marcação a mercado</w:t>
            </w:r>
          </w:p>
        </w:tc>
      </w:tr>
      <w:tr w:rsidR="00021A81" w:rsidRPr="00C11B6E" w14:paraId="5696877A" w14:textId="77777777" w:rsidTr="008A7C09">
        <w:trPr>
          <w:trHeight w:val="255"/>
        </w:trPr>
        <w:tc>
          <w:tcPr>
            <w:tcW w:w="1124" w:type="pct"/>
            <w:tcBorders>
              <w:top w:val="single" w:sz="4" w:space="0" w:color="FFFFFF" w:themeColor="background1"/>
            </w:tcBorders>
            <w:shd w:val="clear" w:color="auto" w:fill="005CA9"/>
            <w:vAlign w:val="center"/>
            <w:hideMark/>
          </w:tcPr>
          <w:p w14:paraId="0520D8F6" w14:textId="77777777" w:rsidR="00021A81" w:rsidRPr="00C11B6E" w:rsidRDefault="00021A81">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Objeto</w:t>
            </w:r>
          </w:p>
        </w:tc>
        <w:tc>
          <w:tcPr>
            <w:tcW w:w="753" w:type="pct"/>
            <w:tcBorders>
              <w:top w:val="single" w:sz="4" w:space="0" w:color="FFFFFF" w:themeColor="background1"/>
            </w:tcBorders>
            <w:shd w:val="clear" w:color="auto" w:fill="005CA9"/>
            <w:vAlign w:val="center"/>
            <w:hideMark/>
          </w:tcPr>
          <w:p w14:paraId="582FFC8E" w14:textId="77777777" w:rsidR="00021A81" w:rsidRPr="00C11B6E" w:rsidRDefault="00021A81">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Instrumento</w:t>
            </w:r>
          </w:p>
        </w:tc>
        <w:tc>
          <w:tcPr>
            <w:tcW w:w="593" w:type="pct"/>
            <w:vMerge/>
            <w:tcBorders>
              <w:top w:val="single" w:sz="4" w:space="0" w:color="FFFFFF" w:themeColor="background1"/>
            </w:tcBorders>
            <w:shd w:val="clear" w:color="auto" w:fill="005CA9"/>
            <w:vAlign w:val="center"/>
            <w:hideMark/>
          </w:tcPr>
          <w:p w14:paraId="43F8AD5A" w14:textId="77777777" w:rsidR="00021A81" w:rsidRPr="00C11B6E" w:rsidRDefault="00021A81">
            <w:pPr>
              <w:rPr>
                <w:rFonts w:ascii="CAIXA Std Book" w:eastAsia="Times New Roman" w:hAnsi="CAIXA Std Book" w:cs="Times New Roman"/>
                <w:b/>
                <w:bCs/>
                <w:color w:val="FFFFFF"/>
                <w:sz w:val="18"/>
                <w:szCs w:val="18"/>
              </w:rPr>
            </w:pPr>
          </w:p>
        </w:tc>
        <w:tc>
          <w:tcPr>
            <w:tcW w:w="472" w:type="pct"/>
            <w:vMerge/>
            <w:tcBorders>
              <w:top w:val="single" w:sz="4" w:space="0" w:color="FFFFFF" w:themeColor="background1"/>
            </w:tcBorders>
            <w:shd w:val="clear" w:color="auto" w:fill="005CA9"/>
            <w:vAlign w:val="center"/>
            <w:hideMark/>
          </w:tcPr>
          <w:p w14:paraId="361F2066" w14:textId="77777777" w:rsidR="00021A81" w:rsidRPr="00C11B6E" w:rsidRDefault="00021A81">
            <w:pPr>
              <w:rPr>
                <w:rFonts w:ascii="CAIXA Std Book" w:eastAsia="Times New Roman" w:hAnsi="CAIXA Std Book" w:cs="Times New Roman"/>
                <w:b/>
                <w:bCs/>
                <w:color w:val="FFFFFF"/>
                <w:sz w:val="18"/>
                <w:szCs w:val="18"/>
              </w:rPr>
            </w:pPr>
          </w:p>
        </w:tc>
        <w:tc>
          <w:tcPr>
            <w:tcW w:w="472" w:type="pct"/>
            <w:tcBorders>
              <w:top w:val="single" w:sz="4" w:space="0" w:color="FFFFFF" w:themeColor="background1"/>
            </w:tcBorders>
            <w:shd w:val="clear" w:color="auto" w:fill="005CA9"/>
            <w:vAlign w:val="center"/>
            <w:hideMark/>
          </w:tcPr>
          <w:p w14:paraId="632AC690" w14:textId="77777777" w:rsidR="00021A81" w:rsidRPr="00C11B6E" w:rsidRDefault="00021A81">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 xml:space="preserve">Parcela efetiva </w:t>
            </w:r>
          </w:p>
        </w:tc>
        <w:tc>
          <w:tcPr>
            <w:tcW w:w="473" w:type="pct"/>
            <w:tcBorders>
              <w:top w:val="single" w:sz="4" w:space="0" w:color="FFFFFF" w:themeColor="background1"/>
            </w:tcBorders>
            <w:shd w:val="clear" w:color="auto" w:fill="005CA9"/>
            <w:vAlign w:val="center"/>
            <w:hideMark/>
          </w:tcPr>
          <w:p w14:paraId="7B107686" w14:textId="77777777" w:rsidR="00021A81" w:rsidRPr="00C11B6E" w:rsidRDefault="00021A81">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Parcela inefetiva</w:t>
            </w:r>
          </w:p>
        </w:tc>
        <w:tc>
          <w:tcPr>
            <w:tcW w:w="543" w:type="pct"/>
            <w:vMerge/>
            <w:shd w:val="clear" w:color="auto" w:fill="005CA9"/>
            <w:vAlign w:val="center"/>
            <w:hideMark/>
          </w:tcPr>
          <w:p w14:paraId="419FE851" w14:textId="77777777" w:rsidR="00021A81" w:rsidRPr="00C11B6E" w:rsidRDefault="00021A81">
            <w:pPr>
              <w:rPr>
                <w:rFonts w:ascii="CAIXA Std Book" w:eastAsia="Times New Roman" w:hAnsi="CAIXA Std Book" w:cs="Times New Roman"/>
                <w:b/>
                <w:bCs/>
                <w:color w:val="FFFFFF"/>
                <w:sz w:val="18"/>
                <w:szCs w:val="18"/>
              </w:rPr>
            </w:pPr>
          </w:p>
        </w:tc>
        <w:tc>
          <w:tcPr>
            <w:tcW w:w="570" w:type="pct"/>
            <w:vMerge/>
            <w:shd w:val="clear" w:color="auto" w:fill="005CA9"/>
            <w:vAlign w:val="center"/>
            <w:hideMark/>
          </w:tcPr>
          <w:p w14:paraId="2EA04C29" w14:textId="77777777" w:rsidR="00021A81" w:rsidRPr="00C11B6E" w:rsidRDefault="00021A81">
            <w:pPr>
              <w:rPr>
                <w:rFonts w:ascii="CAIXA Std Book" w:eastAsia="Times New Roman" w:hAnsi="CAIXA Std Book" w:cs="Times New Roman"/>
                <w:b/>
                <w:bCs/>
                <w:color w:val="FFFFFF"/>
                <w:sz w:val="18"/>
                <w:szCs w:val="18"/>
              </w:rPr>
            </w:pPr>
          </w:p>
        </w:tc>
      </w:tr>
      <w:tr w:rsidR="00CA1C83" w:rsidRPr="00C11B6E" w14:paraId="39597F33" w14:textId="77777777" w:rsidTr="008A7C09">
        <w:trPr>
          <w:trHeight w:val="255"/>
        </w:trPr>
        <w:tc>
          <w:tcPr>
            <w:tcW w:w="1124" w:type="pct"/>
            <w:noWrap/>
            <w:vAlign w:val="center"/>
            <w:hideMark/>
          </w:tcPr>
          <w:p w14:paraId="67D83134" w14:textId="77777777" w:rsidR="00CA1C83" w:rsidRPr="00C11B6E" w:rsidRDefault="00CA1C83" w:rsidP="00CA1C83">
            <w:pPr>
              <w:rPr>
                <w:rFonts w:ascii="CAIXA Std Book" w:eastAsia="Times New Roman" w:hAnsi="CAIXA Std Book" w:cs="Times New Roman"/>
                <w:color w:val="005CA9"/>
                <w:sz w:val="18"/>
                <w:szCs w:val="18"/>
              </w:rPr>
            </w:pPr>
            <w:r w:rsidRPr="0067686C">
              <w:rPr>
                <w:rFonts w:ascii="CAIXA Std Book" w:eastAsia="Times New Roman" w:hAnsi="CAIXA Std Book" w:cs="Times New Roman"/>
                <w:i/>
                <w:color w:val="005CA9"/>
                <w:sz w:val="18"/>
                <w:szCs w:val="18"/>
              </w:rPr>
              <w:t>Hedge</w:t>
            </w:r>
            <w:r w:rsidRPr="00C11B6E">
              <w:rPr>
                <w:rFonts w:ascii="CAIXA Std Book" w:eastAsia="Times New Roman" w:hAnsi="CAIXA Std Book" w:cs="Times New Roman"/>
                <w:color w:val="005CA9"/>
                <w:sz w:val="18"/>
                <w:szCs w:val="18"/>
              </w:rPr>
              <w:t xml:space="preserve"> da carteira de crédito</w:t>
            </w:r>
          </w:p>
        </w:tc>
        <w:tc>
          <w:tcPr>
            <w:tcW w:w="753" w:type="pct"/>
            <w:noWrap/>
            <w:vAlign w:val="center"/>
            <w:hideMark/>
          </w:tcPr>
          <w:p w14:paraId="6BE48895" w14:textId="77777777" w:rsidR="00CA1C83" w:rsidRPr="00C11B6E" w:rsidRDefault="00CA1C83" w:rsidP="00CA1C83">
            <w:pPr>
              <w:rPr>
                <w:rFonts w:ascii="CAIXA Std Book" w:eastAsia="Times New Roman" w:hAnsi="CAIXA Std Book" w:cs="Times New Roman"/>
                <w:color w:val="005CA9"/>
                <w:sz w:val="18"/>
                <w:szCs w:val="18"/>
              </w:rPr>
            </w:pPr>
            <w:r w:rsidRPr="00C11B6E">
              <w:rPr>
                <w:rFonts w:ascii="CAIXA Std Book" w:eastAsia="Times New Roman" w:hAnsi="CAIXA Std Book" w:cs="Times New Roman"/>
                <w:color w:val="005CA9"/>
                <w:sz w:val="18"/>
                <w:szCs w:val="18"/>
              </w:rPr>
              <w:t>Contrato futuro (2)</w:t>
            </w:r>
          </w:p>
        </w:tc>
        <w:tc>
          <w:tcPr>
            <w:tcW w:w="593" w:type="pct"/>
            <w:shd w:val="clear" w:color="000000" w:fill="FFFFFF"/>
            <w:noWrap/>
            <w:vAlign w:val="center"/>
          </w:tcPr>
          <w:p w14:paraId="39589D29" w14:textId="77777777" w:rsidR="00CA1C83" w:rsidRPr="00CA1C83" w:rsidRDefault="00CA1C83" w:rsidP="00CA1C83">
            <w:pPr>
              <w:ind w:firstLineChars="100" w:firstLine="180"/>
              <w:jc w:val="right"/>
              <w:rPr>
                <w:rFonts w:ascii="CAIXA Std Book" w:hAnsi="CAIXA Std Book"/>
                <w:color w:val="005CA9"/>
                <w:sz w:val="18"/>
                <w:szCs w:val="18"/>
              </w:rPr>
            </w:pPr>
            <w:r w:rsidRPr="00CA1C83">
              <w:rPr>
                <w:rFonts w:ascii="CAIXA Std Book" w:hAnsi="CAIXA Std Book"/>
                <w:color w:val="005CA9"/>
                <w:sz w:val="18"/>
                <w:szCs w:val="18"/>
              </w:rPr>
              <w:t>11.295.948</w:t>
            </w:r>
          </w:p>
        </w:tc>
        <w:tc>
          <w:tcPr>
            <w:tcW w:w="472" w:type="pct"/>
            <w:shd w:val="clear" w:color="000000" w:fill="FFFFFF"/>
            <w:noWrap/>
            <w:vAlign w:val="center"/>
          </w:tcPr>
          <w:p w14:paraId="1792106E" w14:textId="77777777" w:rsidR="00CA1C83" w:rsidRPr="00CA1C83" w:rsidRDefault="00CA1C83" w:rsidP="00CA1C83">
            <w:pPr>
              <w:ind w:firstLineChars="100" w:firstLine="180"/>
              <w:jc w:val="right"/>
              <w:rPr>
                <w:rFonts w:ascii="CAIXA Std Book" w:hAnsi="CAIXA Std Book"/>
                <w:color w:val="005CA9"/>
                <w:sz w:val="18"/>
                <w:szCs w:val="18"/>
              </w:rPr>
            </w:pPr>
            <w:r w:rsidRPr="00CA1C83">
              <w:rPr>
                <w:rFonts w:ascii="CAIXA Std Book" w:hAnsi="CAIXA Std Book"/>
                <w:color w:val="005CA9"/>
                <w:sz w:val="18"/>
                <w:szCs w:val="18"/>
              </w:rPr>
              <w:t>125.300</w:t>
            </w:r>
          </w:p>
        </w:tc>
        <w:tc>
          <w:tcPr>
            <w:tcW w:w="472" w:type="pct"/>
            <w:shd w:val="clear" w:color="000000" w:fill="FFFFFF"/>
            <w:noWrap/>
            <w:vAlign w:val="center"/>
          </w:tcPr>
          <w:p w14:paraId="598CF9F7" w14:textId="77777777" w:rsidR="00CA1C83" w:rsidRPr="00CA1C83" w:rsidRDefault="00CA1C83" w:rsidP="00CA1C83">
            <w:pPr>
              <w:ind w:firstLineChars="100" w:firstLine="180"/>
              <w:jc w:val="right"/>
              <w:rPr>
                <w:rFonts w:ascii="CAIXA Std Book" w:hAnsi="CAIXA Std Book"/>
                <w:color w:val="005CA9"/>
                <w:sz w:val="18"/>
                <w:szCs w:val="18"/>
              </w:rPr>
            </w:pPr>
            <w:r w:rsidRPr="00CA1C83">
              <w:rPr>
                <w:rFonts w:ascii="CAIXA Std Book" w:hAnsi="CAIXA Std Book"/>
                <w:color w:val="005CA9"/>
                <w:sz w:val="18"/>
                <w:szCs w:val="18"/>
              </w:rPr>
              <w:t>219.234</w:t>
            </w:r>
          </w:p>
        </w:tc>
        <w:tc>
          <w:tcPr>
            <w:tcW w:w="473" w:type="pct"/>
            <w:shd w:val="clear" w:color="000000" w:fill="FFFFFF"/>
            <w:noWrap/>
            <w:vAlign w:val="center"/>
          </w:tcPr>
          <w:p w14:paraId="105E66CE" w14:textId="77777777" w:rsidR="00CA1C83" w:rsidRPr="00CA1C83" w:rsidRDefault="00CA1C83" w:rsidP="00CA1C83">
            <w:pPr>
              <w:ind w:firstLineChars="100" w:firstLine="180"/>
              <w:jc w:val="right"/>
              <w:rPr>
                <w:rFonts w:ascii="CAIXA Std Book" w:hAnsi="CAIXA Std Book"/>
                <w:color w:val="005CA9"/>
                <w:sz w:val="18"/>
                <w:szCs w:val="18"/>
              </w:rPr>
            </w:pPr>
            <w:r w:rsidRPr="00CA1C83">
              <w:rPr>
                <w:rFonts w:ascii="CAIXA Std Book" w:hAnsi="CAIXA Std Book"/>
                <w:color w:val="005CA9"/>
                <w:sz w:val="18"/>
                <w:szCs w:val="18"/>
              </w:rPr>
              <w:t>68.534</w:t>
            </w:r>
          </w:p>
        </w:tc>
        <w:tc>
          <w:tcPr>
            <w:tcW w:w="543" w:type="pct"/>
            <w:shd w:val="clear" w:color="000000" w:fill="FFFFFF"/>
            <w:noWrap/>
            <w:vAlign w:val="center"/>
          </w:tcPr>
          <w:p w14:paraId="109A99CC" w14:textId="77777777" w:rsidR="00CA1C83" w:rsidRPr="00CA1C83" w:rsidRDefault="00CA1C83" w:rsidP="00CA1C83">
            <w:pPr>
              <w:ind w:firstLineChars="100" w:firstLine="180"/>
              <w:jc w:val="right"/>
              <w:rPr>
                <w:rFonts w:ascii="CAIXA Std Book" w:hAnsi="CAIXA Std Book"/>
                <w:color w:val="005CA9"/>
                <w:sz w:val="18"/>
                <w:szCs w:val="18"/>
              </w:rPr>
            </w:pPr>
            <w:r w:rsidRPr="00CA1C83">
              <w:rPr>
                <w:rFonts w:ascii="CAIXA Std Book" w:hAnsi="CAIXA Std Book"/>
                <w:color w:val="005CA9"/>
                <w:sz w:val="18"/>
                <w:szCs w:val="18"/>
              </w:rPr>
              <w:t>12.144.138</w:t>
            </w:r>
          </w:p>
        </w:tc>
        <w:tc>
          <w:tcPr>
            <w:tcW w:w="570" w:type="pct"/>
            <w:shd w:val="clear" w:color="000000" w:fill="FFFFFF"/>
            <w:noWrap/>
            <w:vAlign w:val="center"/>
          </w:tcPr>
          <w:p w14:paraId="160AD9FD" w14:textId="77777777" w:rsidR="00CA1C83" w:rsidRPr="00CA1C83" w:rsidRDefault="00CA1C83" w:rsidP="00CA1C83">
            <w:pPr>
              <w:ind w:firstLineChars="100" w:firstLine="180"/>
              <w:jc w:val="right"/>
              <w:rPr>
                <w:rFonts w:ascii="CAIXA Std Book" w:hAnsi="CAIXA Std Book"/>
                <w:color w:val="005CA9"/>
                <w:sz w:val="18"/>
                <w:szCs w:val="18"/>
              </w:rPr>
            </w:pPr>
            <w:r w:rsidRPr="00CA1C83">
              <w:rPr>
                <w:rFonts w:ascii="CAIXA Std Book" w:hAnsi="CAIXA Std Book"/>
                <w:color w:val="005CA9"/>
                <w:sz w:val="18"/>
                <w:szCs w:val="18"/>
              </w:rPr>
              <w:t>(219.234)</w:t>
            </w:r>
          </w:p>
        </w:tc>
      </w:tr>
      <w:tr w:rsidR="00CA1C83" w:rsidRPr="00C11B6E" w14:paraId="74DEE546" w14:textId="77777777" w:rsidTr="008A7C09">
        <w:trPr>
          <w:trHeight w:val="255"/>
        </w:trPr>
        <w:tc>
          <w:tcPr>
            <w:tcW w:w="1124" w:type="pct"/>
            <w:tcBorders>
              <w:bottom w:val="single" w:sz="4" w:space="0" w:color="1F497D" w:themeColor="text2"/>
            </w:tcBorders>
            <w:noWrap/>
            <w:vAlign w:val="center"/>
            <w:hideMark/>
          </w:tcPr>
          <w:p w14:paraId="4C415FAD" w14:textId="77777777" w:rsidR="00CA1C83" w:rsidRPr="00C11B6E" w:rsidRDefault="00CA1C83" w:rsidP="00CA1C83">
            <w:pPr>
              <w:rPr>
                <w:rFonts w:ascii="CAIXA Std Book" w:eastAsia="Times New Roman" w:hAnsi="CAIXA Std Book" w:cs="Times New Roman"/>
                <w:color w:val="005CA9"/>
                <w:sz w:val="18"/>
                <w:szCs w:val="18"/>
              </w:rPr>
            </w:pPr>
            <w:r w:rsidRPr="0067686C">
              <w:rPr>
                <w:rFonts w:ascii="CAIXA Std Book" w:eastAsia="Times New Roman" w:hAnsi="CAIXA Std Book" w:cs="Times New Roman"/>
                <w:i/>
                <w:color w:val="005CA9"/>
                <w:sz w:val="18"/>
                <w:szCs w:val="18"/>
              </w:rPr>
              <w:t>Hedge</w:t>
            </w:r>
            <w:r w:rsidRPr="00C11B6E">
              <w:rPr>
                <w:rFonts w:ascii="CAIXA Std Book" w:eastAsia="Times New Roman" w:hAnsi="CAIXA Std Book" w:cs="Times New Roman"/>
                <w:color w:val="005CA9"/>
                <w:sz w:val="18"/>
                <w:szCs w:val="18"/>
              </w:rPr>
              <w:t xml:space="preserve"> de emissões externas</w:t>
            </w:r>
          </w:p>
        </w:tc>
        <w:tc>
          <w:tcPr>
            <w:tcW w:w="753" w:type="pct"/>
            <w:tcBorders>
              <w:bottom w:val="single" w:sz="4" w:space="0" w:color="1F497D" w:themeColor="text2"/>
            </w:tcBorders>
            <w:noWrap/>
            <w:vAlign w:val="center"/>
            <w:hideMark/>
          </w:tcPr>
          <w:p w14:paraId="03004798" w14:textId="77777777" w:rsidR="00CA1C83" w:rsidRPr="00314738" w:rsidRDefault="00CA1C83" w:rsidP="00CA1C83">
            <w:pPr>
              <w:rPr>
                <w:rFonts w:ascii="CAIXA Std Book" w:eastAsia="Times New Roman" w:hAnsi="CAIXA Std Book" w:cs="Times New Roman"/>
                <w:color w:val="005CA9"/>
                <w:sz w:val="18"/>
                <w:szCs w:val="18"/>
              </w:rPr>
            </w:pPr>
            <w:r w:rsidRPr="00AD1786">
              <w:rPr>
                <w:rFonts w:ascii="CAIXA Std Book" w:eastAsia="Times New Roman" w:hAnsi="CAIXA Std Book" w:cs="Times New Roman"/>
                <w:i/>
                <w:color w:val="005CA9"/>
                <w:sz w:val="18"/>
                <w:szCs w:val="18"/>
              </w:rPr>
              <w:t>Swap</w:t>
            </w:r>
          </w:p>
        </w:tc>
        <w:tc>
          <w:tcPr>
            <w:tcW w:w="593" w:type="pct"/>
            <w:tcBorders>
              <w:bottom w:val="single" w:sz="4" w:space="0" w:color="1F497D" w:themeColor="text2"/>
            </w:tcBorders>
            <w:shd w:val="clear" w:color="000000" w:fill="FFFFFF"/>
            <w:noWrap/>
            <w:vAlign w:val="center"/>
          </w:tcPr>
          <w:p w14:paraId="3CC73A3B" w14:textId="77777777" w:rsidR="00CA1C83" w:rsidRPr="00CA1C83" w:rsidRDefault="00CA1C83" w:rsidP="00CA1C83">
            <w:pPr>
              <w:ind w:firstLineChars="100" w:firstLine="180"/>
              <w:jc w:val="right"/>
              <w:rPr>
                <w:rFonts w:ascii="CAIXA Std Book" w:hAnsi="CAIXA Std Book"/>
                <w:color w:val="005CA9"/>
                <w:sz w:val="18"/>
                <w:szCs w:val="18"/>
              </w:rPr>
            </w:pPr>
            <w:r w:rsidRPr="00CA1C83">
              <w:rPr>
                <w:rFonts w:ascii="CAIXA Std Book" w:hAnsi="CAIXA Std Book"/>
                <w:color w:val="005CA9"/>
                <w:sz w:val="18"/>
                <w:szCs w:val="18"/>
              </w:rPr>
              <w:t>3.780.785</w:t>
            </w:r>
          </w:p>
        </w:tc>
        <w:tc>
          <w:tcPr>
            <w:tcW w:w="472" w:type="pct"/>
            <w:tcBorders>
              <w:bottom w:val="single" w:sz="4" w:space="0" w:color="1F497D" w:themeColor="text2"/>
            </w:tcBorders>
            <w:shd w:val="clear" w:color="000000" w:fill="FFFFFF"/>
            <w:noWrap/>
            <w:vAlign w:val="center"/>
          </w:tcPr>
          <w:p w14:paraId="4211C320" w14:textId="77777777" w:rsidR="00CA1C83" w:rsidRPr="00CA1C83" w:rsidRDefault="00CA1C83" w:rsidP="00CA1C83">
            <w:pPr>
              <w:ind w:firstLineChars="100" w:firstLine="180"/>
              <w:jc w:val="right"/>
              <w:rPr>
                <w:rFonts w:ascii="CAIXA Std Book" w:hAnsi="CAIXA Std Book"/>
                <w:color w:val="005CA9"/>
                <w:sz w:val="18"/>
                <w:szCs w:val="18"/>
              </w:rPr>
            </w:pPr>
            <w:r w:rsidRPr="00CA1C83">
              <w:rPr>
                <w:rFonts w:ascii="CAIXA Std Book" w:hAnsi="CAIXA Std Book"/>
                <w:color w:val="005CA9"/>
                <w:sz w:val="18"/>
                <w:szCs w:val="18"/>
              </w:rPr>
              <w:t>36</w:t>
            </w:r>
          </w:p>
        </w:tc>
        <w:tc>
          <w:tcPr>
            <w:tcW w:w="472" w:type="pct"/>
            <w:tcBorders>
              <w:bottom w:val="single" w:sz="4" w:space="0" w:color="1F497D" w:themeColor="text2"/>
            </w:tcBorders>
            <w:shd w:val="clear" w:color="000000" w:fill="FFFFFF"/>
            <w:noWrap/>
            <w:vAlign w:val="center"/>
          </w:tcPr>
          <w:p w14:paraId="3E777D5D" w14:textId="77777777" w:rsidR="00CA1C83" w:rsidRPr="00CA1C83" w:rsidRDefault="00CA1C83" w:rsidP="00CA1C83">
            <w:pPr>
              <w:ind w:firstLineChars="100" w:firstLine="180"/>
              <w:jc w:val="right"/>
              <w:rPr>
                <w:rFonts w:ascii="CAIXA Std Book" w:hAnsi="CAIXA Std Book"/>
                <w:color w:val="005CA9"/>
                <w:sz w:val="18"/>
                <w:szCs w:val="18"/>
              </w:rPr>
            </w:pPr>
            <w:r w:rsidRPr="00CA1C83">
              <w:rPr>
                <w:rFonts w:ascii="CAIXA Std Book" w:hAnsi="CAIXA Std Book"/>
                <w:color w:val="005CA9"/>
                <w:sz w:val="18"/>
                <w:szCs w:val="18"/>
              </w:rPr>
              <w:t>157.749</w:t>
            </w:r>
          </w:p>
        </w:tc>
        <w:tc>
          <w:tcPr>
            <w:tcW w:w="473" w:type="pct"/>
            <w:tcBorders>
              <w:bottom w:val="single" w:sz="4" w:space="0" w:color="1F497D" w:themeColor="text2"/>
            </w:tcBorders>
            <w:shd w:val="clear" w:color="000000" w:fill="FFFFFF"/>
            <w:noWrap/>
            <w:vAlign w:val="center"/>
          </w:tcPr>
          <w:p w14:paraId="0911315B" w14:textId="5958C610" w:rsidR="00CA1C83" w:rsidRPr="00CA1C83" w:rsidRDefault="00CA1C83" w:rsidP="004A39B6">
            <w:pPr>
              <w:ind w:firstLineChars="100" w:firstLine="180"/>
              <w:jc w:val="center"/>
              <w:rPr>
                <w:rFonts w:ascii="CAIXA Std Book" w:hAnsi="CAIXA Std Book"/>
                <w:color w:val="005CA9"/>
                <w:sz w:val="18"/>
                <w:szCs w:val="18"/>
              </w:rPr>
            </w:pPr>
            <w:r w:rsidRPr="00CA1C83">
              <w:rPr>
                <w:rFonts w:ascii="CAIXA Std Book" w:hAnsi="CAIXA Std Book"/>
                <w:color w:val="005CA9"/>
                <w:sz w:val="18"/>
                <w:szCs w:val="18"/>
              </w:rPr>
              <w:t>-</w:t>
            </w:r>
          </w:p>
        </w:tc>
        <w:tc>
          <w:tcPr>
            <w:tcW w:w="543" w:type="pct"/>
            <w:tcBorders>
              <w:bottom w:val="single" w:sz="4" w:space="0" w:color="1F497D" w:themeColor="text2"/>
            </w:tcBorders>
            <w:shd w:val="clear" w:color="000000" w:fill="FFFFFF"/>
            <w:noWrap/>
            <w:vAlign w:val="center"/>
          </w:tcPr>
          <w:p w14:paraId="739F17FE" w14:textId="77777777" w:rsidR="00CA1C83" w:rsidRPr="00CA1C83" w:rsidRDefault="00CA1C83" w:rsidP="00CA1C83">
            <w:pPr>
              <w:ind w:firstLineChars="100" w:firstLine="180"/>
              <w:jc w:val="right"/>
              <w:rPr>
                <w:rFonts w:ascii="CAIXA Std Book" w:hAnsi="CAIXA Std Book"/>
                <w:color w:val="005CA9"/>
                <w:sz w:val="18"/>
                <w:szCs w:val="18"/>
              </w:rPr>
            </w:pPr>
            <w:r w:rsidRPr="00CA1C83">
              <w:rPr>
                <w:rFonts w:ascii="CAIXA Std Book" w:hAnsi="CAIXA Std Book"/>
                <w:color w:val="005CA9"/>
                <w:sz w:val="18"/>
                <w:szCs w:val="18"/>
              </w:rPr>
              <w:t>3.938.534</w:t>
            </w:r>
          </w:p>
        </w:tc>
        <w:tc>
          <w:tcPr>
            <w:tcW w:w="570" w:type="pct"/>
            <w:tcBorders>
              <w:bottom w:val="single" w:sz="4" w:space="0" w:color="1F497D" w:themeColor="text2"/>
            </w:tcBorders>
            <w:shd w:val="clear" w:color="000000" w:fill="FFFFFF"/>
            <w:noWrap/>
            <w:vAlign w:val="center"/>
          </w:tcPr>
          <w:p w14:paraId="3968645C" w14:textId="2F55510C" w:rsidR="00CA1C83" w:rsidRPr="00CA1C83" w:rsidRDefault="00CA1C83" w:rsidP="00CA1C83">
            <w:pPr>
              <w:ind w:firstLineChars="100" w:firstLine="180"/>
              <w:jc w:val="right"/>
              <w:rPr>
                <w:rFonts w:ascii="CAIXA Std Book" w:hAnsi="CAIXA Std Book"/>
                <w:color w:val="005CA9"/>
                <w:sz w:val="18"/>
                <w:szCs w:val="18"/>
              </w:rPr>
            </w:pPr>
            <w:r w:rsidRPr="00CA1C83">
              <w:rPr>
                <w:rFonts w:ascii="CAIXA Std Book" w:hAnsi="CAIXA Std Book"/>
                <w:color w:val="005CA9"/>
                <w:sz w:val="18"/>
                <w:szCs w:val="18"/>
              </w:rPr>
              <w:t>(157.749)</w:t>
            </w:r>
          </w:p>
        </w:tc>
      </w:tr>
    </w:tbl>
    <w:p w14:paraId="32072FF1" w14:textId="77777777" w:rsidR="000C45CE" w:rsidRDefault="000C45CE" w:rsidP="000C45CE">
      <w:pPr>
        <w:rPr>
          <w:rFonts w:ascii="CAIXA Std Book" w:hAnsi="CAIXA Std Book"/>
          <w:b/>
          <w:color w:val="005CA9"/>
          <w:sz w:val="20"/>
          <w:szCs w:val="20"/>
        </w:rPr>
      </w:pPr>
    </w:p>
    <w:tbl>
      <w:tblPr>
        <w:tblW w:w="5000" w:type="pct"/>
        <w:tblCellMar>
          <w:left w:w="70" w:type="dxa"/>
          <w:right w:w="70" w:type="dxa"/>
        </w:tblCellMar>
        <w:tblLook w:val="04A0" w:firstRow="1" w:lastRow="0" w:firstColumn="1" w:lastColumn="0" w:noHBand="0" w:noVBand="1"/>
      </w:tblPr>
      <w:tblGrid>
        <w:gridCol w:w="3279"/>
        <w:gridCol w:w="2191"/>
        <w:gridCol w:w="1728"/>
        <w:gridCol w:w="1376"/>
        <w:gridCol w:w="1376"/>
        <w:gridCol w:w="1378"/>
        <w:gridCol w:w="1582"/>
        <w:gridCol w:w="1661"/>
      </w:tblGrid>
      <w:tr w:rsidR="00805005" w:rsidRPr="00C11B6E" w14:paraId="04112419" w14:textId="77777777" w:rsidTr="008A7C09">
        <w:trPr>
          <w:trHeight w:val="255"/>
        </w:trPr>
        <w:tc>
          <w:tcPr>
            <w:tcW w:w="5000" w:type="pct"/>
            <w:gridSpan w:val="8"/>
            <w:tcBorders>
              <w:bottom w:val="single" w:sz="4" w:space="0" w:color="FFFFFF" w:themeColor="background1"/>
            </w:tcBorders>
            <w:shd w:val="clear" w:color="auto" w:fill="005CA9"/>
            <w:noWrap/>
            <w:vAlign w:val="center"/>
            <w:hideMark/>
          </w:tcPr>
          <w:p w14:paraId="0F3875F0" w14:textId="77777777" w:rsidR="00C11B6E" w:rsidRPr="00C11B6E" w:rsidRDefault="00C11B6E" w:rsidP="00C11B6E">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Individual / Consolidado</w:t>
            </w:r>
          </w:p>
        </w:tc>
      </w:tr>
      <w:tr w:rsidR="000C1815" w:rsidRPr="00C11B6E" w14:paraId="7CA24170" w14:textId="77777777" w:rsidTr="008A7C09">
        <w:trPr>
          <w:trHeight w:val="255"/>
        </w:trPr>
        <w:tc>
          <w:tcPr>
            <w:tcW w:w="1877" w:type="pct"/>
            <w:gridSpan w:val="2"/>
            <w:vMerge w:val="restart"/>
            <w:tcBorders>
              <w:top w:val="single" w:sz="4" w:space="0" w:color="FFFFFF" w:themeColor="background1"/>
            </w:tcBorders>
            <w:shd w:val="clear" w:color="auto" w:fill="005CA9"/>
            <w:vAlign w:val="center"/>
            <w:hideMark/>
          </w:tcPr>
          <w:p w14:paraId="20A2977E" w14:textId="77777777" w:rsidR="00C11B6E" w:rsidRPr="00C11B6E" w:rsidRDefault="00C11B6E" w:rsidP="00C11B6E">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Estratégia</w:t>
            </w:r>
          </w:p>
        </w:tc>
        <w:tc>
          <w:tcPr>
            <w:tcW w:w="3123" w:type="pct"/>
            <w:gridSpan w:val="6"/>
            <w:tcBorders>
              <w:top w:val="single" w:sz="4" w:space="0" w:color="FFFFFF" w:themeColor="background1"/>
              <w:bottom w:val="single" w:sz="4" w:space="0" w:color="FFFFFF" w:themeColor="background1"/>
            </w:tcBorders>
            <w:shd w:val="clear" w:color="auto" w:fill="005CA9"/>
            <w:vAlign w:val="center"/>
            <w:hideMark/>
          </w:tcPr>
          <w:p w14:paraId="189A9065" w14:textId="27EF613C" w:rsidR="00C11B6E" w:rsidRPr="00C11B6E" w:rsidRDefault="0063516A" w:rsidP="00C11B6E">
            <w:pPr>
              <w:jc w:val="center"/>
              <w:rPr>
                <w:rFonts w:ascii="CAIXA Std Book" w:eastAsia="Times New Roman" w:hAnsi="CAIXA Std Book" w:cs="Times New Roman"/>
                <w:b/>
                <w:bCs/>
                <w:color w:val="FFFFFF"/>
                <w:sz w:val="18"/>
                <w:szCs w:val="18"/>
              </w:rPr>
            </w:pPr>
            <w:r>
              <w:rPr>
                <w:rFonts w:ascii="CAIXA Std Book" w:eastAsia="Times New Roman" w:hAnsi="CAIXA Std Book" w:cs="Times New Roman"/>
                <w:b/>
                <w:bCs/>
                <w:color w:val="FFFFFF"/>
                <w:sz w:val="18"/>
                <w:szCs w:val="18"/>
              </w:rPr>
              <w:t>31</w:t>
            </w:r>
            <w:r w:rsidR="00C11B6E" w:rsidRPr="00C11B6E">
              <w:rPr>
                <w:rFonts w:ascii="CAIXA Std Book" w:eastAsia="Times New Roman" w:hAnsi="CAIXA Std Book" w:cs="Times New Roman"/>
                <w:b/>
                <w:bCs/>
                <w:color w:val="FFFFFF"/>
                <w:sz w:val="18"/>
                <w:szCs w:val="18"/>
              </w:rPr>
              <w:t>/</w:t>
            </w:r>
            <w:r>
              <w:rPr>
                <w:rFonts w:ascii="CAIXA Std Book" w:eastAsia="Times New Roman" w:hAnsi="CAIXA Std Book" w:cs="Times New Roman"/>
                <w:b/>
                <w:bCs/>
                <w:color w:val="FFFFFF"/>
                <w:sz w:val="18"/>
                <w:szCs w:val="18"/>
              </w:rPr>
              <w:t>12</w:t>
            </w:r>
            <w:r w:rsidR="00C11B6E" w:rsidRPr="00C11B6E">
              <w:rPr>
                <w:rFonts w:ascii="CAIXA Std Book" w:eastAsia="Times New Roman" w:hAnsi="CAIXA Std Book" w:cs="Times New Roman"/>
                <w:b/>
                <w:bCs/>
                <w:color w:val="FFFFFF"/>
                <w:sz w:val="18"/>
                <w:szCs w:val="18"/>
              </w:rPr>
              <w:t>/2025</w:t>
            </w:r>
          </w:p>
        </w:tc>
      </w:tr>
      <w:tr w:rsidR="00E54693" w:rsidRPr="00C11B6E" w14:paraId="4A32B2C5" w14:textId="77777777" w:rsidTr="008A7C09">
        <w:trPr>
          <w:trHeight w:val="255"/>
        </w:trPr>
        <w:tc>
          <w:tcPr>
            <w:tcW w:w="1877" w:type="pct"/>
            <w:gridSpan w:val="2"/>
            <w:vMerge/>
            <w:tcBorders>
              <w:top w:val="single" w:sz="4" w:space="0" w:color="FFFFFF" w:themeColor="background1"/>
              <w:bottom w:val="single" w:sz="4" w:space="0" w:color="FFFFFF" w:themeColor="background1"/>
            </w:tcBorders>
            <w:shd w:val="clear" w:color="auto" w:fill="005CA9"/>
            <w:vAlign w:val="center"/>
            <w:hideMark/>
          </w:tcPr>
          <w:p w14:paraId="77B56237" w14:textId="77777777" w:rsidR="00C11B6E" w:rsidRPr="00C11B6E" w:rsidRDefault="00C11B6E" w:rsidP="00C11B6E">
            <w:pPr>
              <w:rPr>
                <w:rFonts w:ascii="CAIXA Std Book" w:eastAsia="Times New Roman" w:hAnsi="CAIXA Std Book" w:cs="Times New Roman"/>
                <w:b/>
                <w:bCs/>
                <w:color w:val="FFFFFF"/>
                <w:sz w:val="18"/>
                <w:szCs w:val="18"/>
              </w:rPr>
            </w:pPr>
          </w:p>
        </w:tc>
        <w:tc>
          <w:tcPr>
            <w:tcW w:w="2010" w:type="pct"/>
            <w:gridSpan w:val="4"/>
            <w:tcBorders>
              <w:top w:val="single" w:sz="4" w:space="0" w:color="FFFFFF" w:themeColor="background1"/>
              <w:bottom w:val="single" w:sz="4" w:space="0" w:color="FFFFFF" w:themeColor="background1"/>
            </w:tcBorders>
            <w:shd w:val="clear" w:color="auto" w:fill="005CA9"/>
            <w:vAlign w:val="center"/>
            <w:hideMark/>
          </w:tcPr>
          <w:p w14:paraId="0485D3FE" w14:textId="77777777" w:rsidR="00C11B6E" w:rsidRPr="00C11B6E" w:rsidRDefault="00C11B6E" w:rsidP="00C11B6E">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 xml:space="preserve">Instrumentos de </w:t>
            </w:r>
            <w:r w:rsidRPr="00C11B6E">
              <w:rPr>
                <w:rFonts w:ascii="CAIXA Std Book" w:eastAsia="Times New Roman" w:hAnsi="CAIXA Std Book" w:cs="Times New Roman"/>
                <w:b/>
                <w:bCs/>
                <w:i/>
                <w:iCs/>
                <w:color w:val="FFFFFF"/>
                <w:sz w:val="16"/>
                <w:szCs w:val="16"/>
              </w:rPr>
              <w:t>hedge</w:t>
            </w:r>
          </w:p>
        </w:tc>
        <w:tc>
          <w:tcPr>
            <w:tcW w:w="1113" w:type="pct"/>
            <w:gridSpan w:val="2"/>
            <w:tcBorders>
              <w:top w:val="single" w:sz="4" w:space="0" w:color="FFFFFF" w:themeColor="background1"/>
              <w:bottom w:val="single" w:sz="4" w:space="0" w:color="FFFFFF" w:themeColor="background1"/>
            </w:tcBorders>
            <w:shd w:val="clear" w:color="auto" w:fill="005CA9"/>
            <w:vAlign w:val="center"/>
            <w:hideMark/>
          </w:tcPr>
          <w:p w14:paraId="1D225C11" w14:textId="77777777" w:rsidR="00C11B6E" w:rsidRPr="00C11B6E" w:rsidRDefault="00C11B6E" w:rsidP="00C11B6E">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Objeto</w:t>
            </w:r>
          </w:p>
        </w:tc>
      </w:tr>
      <w:tr w:rsidR="00E54693" w:rsidRPr="00C11B6E" w14:paraId="0064D6AD" w14:textId="77777777" w:rsidTr="008A7C09">
        <w:trPr>
          <w:trHeight w:val="255"/>
        </w:trPr>
        <w:tc>
          <w:tcPr>
            <w:tcW w:w="1877" w:type="pct"/>
            <w:gridSpan w:val="2"/>
            <w:tcBorders>
              <w:top w:val="single" w:sz="4" w:space="0" w:color="FFFFFF" w:themeColor="background1"/>
              <w:bottom w:val="single" w:sz="4" w:space="0" w:color="FFFFFF" w:themeColor="background1"/>
            </w:tcBorders>
            <w:shd w:val="clear" w:color="auto" w:fill="005CA9"/>
            <w:vAlign w:val="center"/>
            <w:hideMark/>
          </w:tcPr>
          <w:p w14:paraId="16010B0F" w14:textId="77777777" w:rsidR="00C11B6E" w:rsidRPr="00C11B6E" w:rsidRDefault="00C11B6E" w:rsidP="00C11B6E">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Risco de taxa de juros</w:t>
            </w:r>
          </w:p>
        </w:tc>
        <w:tc>
          <w:tcPr>
            <w:tcW w:w="593" w:type="pct"/>
            <w:vMerge w:val="restart"/>
            <w:tcBorders>
              <w:top w:val="single" w:sz="4" w:space="0" w:color="FFFFFF" w:themeColor="background1"/>
            </w:tcBorders>
            <w:shd w:val="clear" w:color="auto" w:fill="005CA9"/>
            <w:vAlign w:val="center"/>
            <w:hideMark/>
          </w:tcPr>
          <w:p w14:paraId="4111E99C" w14:textId="77777777" w:rsidR="00C11B6E" w:rsidRPr="00C11B6E" w:rsidRDefault="00C11B6E" w:rsidP="00C11B6E">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Valor nominal</w:t>
            </w:r>
          </w:p>
        </w:tc>
        <w:tc>
          <w:tcPr>
            <w:tcW w:w="472" w:type="pct"/>
            <w:vMerge w:val="restart"/>
            <w:tcBorders>
              <w:top w:val="single" w:sz="4" w:space="0" w:color="FFFFFF" w:themeColor="background1"/>
            </w:tcBorders>
            <w:shd w:val="clear" w:color="auto" w:fill="005CA9"/>
            <w:vAlign w:val="center"/>
            <w:hideMark/>
          </w:tcPr>
          <w:p w14:paraId="673BD11F" w14:textId="6AD5C719" w:rsidR="00C11B6E" w:rsidRPr="00C11B6E" w:rsidRDefault="00C11B6E" w:rsidP="00C11B6E">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Quant</w:t>
            </w:r>
            <w:r w:rsidR="001E1887">
              <w:rPr>
                <w:rFonts w:ascii="CAIXA Std Book" w:eastAsia="Times New Roman" w:hAnsi="CAIXA Std Book" w:cs="Times New Roman"/>
                <w:b/>
                <w:bCs/>
                <w:color w:val="FFFFFF"/>
                <w:sz w:val="18"/>
                <w:szCs w:val="18"/>
              </w:rPr>
              <w:t>.</w:t>
            </w:r>
          </w:p>
        </w:tc>
        <w:tc>
          <w:tcPr>
            <w:tcW w:w="945" w:type="pct"/>
            <w:gridSpan w:val="2"/>
            <w:tcBorders>
              <w:top w:val="single" w:sz="4" w:space="0" w:color="FFFFFF" w:themeColor="background1"/>
              <w:bottom w:val="single" w:sz="4" w:space="0" w:color="FFFFFF" w:themeColor="background1"/>
            </w:tcBorders>
            <w:shd w:val="clear" w:color="auto" w:fill="005CA9"/>
            <w:vAlign w:val="center"/>
            <w:hideMark/>
          </w:tcPr>
          <w:p w14:paraId="7CD28F17" w14:textId="1A4FFFA6" w:rsidR="00C11B6E" w:rsidRPr="00C11B6E" w:rsidRDefault="00C11B6E" w:rsidP="00C11B6E">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 xml:space="preserve">Valor </w:t>
            </w:r>
            <w:r w:rsidR="000F2D78">
              <w:rPr>
                <w:rFonts w:ascii="CAIXA Std Book" w:eastAsia="Times New Roman" w:hAnsi="CAIXA Std Book" w:cs="Times New Roman"/>
                <w:b/>
                <w:bCs/>
                <w:color w:val="FFFFFF"/>
                <w:sz w:val="18"/>
                <w:szCs w:val="18"/>
              </w:rPr>
              <w:t>justo</w:t>
            </w:r>
            <w:r w:rsidRPr="00C11B6E">
              <w:rPr>
                <w:rFonts w:ascii="CAIXA Std Book" w:eastAsia="Times New Roman" w:hAnsi="CAIXA Std Book" w:cs="Times New Roman"/>
                <w:b/>
                <w:bCs/>
                <w:color w:val="FFFFFF"/>
                <w:sz w:val="18"/>
                <w:szCs w:val="18"/>
              </w:rPr>
              <w:t xml:space="preserve"> (1)</w:t>
            </w:r>
          </w:p>
        </w:tc>
        <w:tc>
          <w:tcPr>
            <w:tcW w:w="543" w:type="pct"/>
            <w:vMerge w:val="restart"/>
            <w:tcBorders>
              <w:top w:val="single" w:sz="4" w:space="0" w:color="FFFFFF" w:themeColor="background1"/>
            </w:tcBorders>
            <w:shd w:val="clear" w:color="auto" w:fill="005CA9"/>
            <w:vAlign w:val="center"/>
            <w:hideMark/>
          </w:tcPr>
          <w:p w14:paraId="34C856B9" w14:textId="3FB49FBC" w:rsidR="00C11B6E" w:rsidRPr="00C11B6E" w:rsidRDefault="00C11B6E" w:rsidP="00C11B6E">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 xml:space="preserve">Valor </w:t>
            </w:r>
            <w:r w:rsidR="00DB76C7">
              <w:rPr>
                <w:rFonts w:ascii="CAIXA Std Book" w:eastAsia="Times New Roman" w:hAnsi="CAIXA Std Book" w:cs="Times New Roman"/>
                <w:b/>
                <w:bCs/>
                <w:color w:val="FFFFFF"/>
                <w:sz w:val="18"/>
                <w:szCs w:val="18"/>
              </w:rPr>
              <w:t>justo</w:t>
            </w:r>
          </w:p>
        </w:tc>
        <w:tc>
          <w:tcPr>
            <w:tcW w:w="570" w:type="pct"/>
            <w:vMerge w:val="restart"/>
            <w:tcBorders>
              <w:top w:val="single" w:sz="4" w:space="0" w:color="FFFFFF" w:themeColor="background1"/>
            </w:tcBorders>
            <w:shd w:val="clear" w:color="auto" w:fill="005CA9"/>
            <w:vAlign w:val="center"/>
            <w:hideMark/>
          </w:tcPr>
          <w:p w14:paraId="04B3CA4E" w14:textId="7F111DE0" w:rsidR="00C11B6E" w:rsidRPr="00C11B6E" w:rsidRDefault="00C11B6E" w:rsidP="00C11B6E">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Ajuste de marcação a mercado</w:t>
            </w:r>
          </w:p>
        </w:tc>
      </w:tr>
      <w:tr w:rsidR="001F2583" w:rsidRPr="00C11B6E" w14:paraId="37C19011" w14:textId="77777777" w:rsidTr="008A7C09">
        <w:trPr>
          <w:trHeight w:val="255"/>
        </w:trPr>
        <w:tc>
          <w:tcPr>
            <w:tcW w:w="1125" w:type="pct"/>
            <w:tcBorders>
              <w:top w:val="single" w:sz="4" w:space="0" w:color="FFFFFF" w:themeColor="background1"/>
            </w:tcBorders>
            <w:shd w:val="clear" w:color="auto" w:fill="005CA9"/>
            <w:vAlign w:val="center"/>
            <w:hideMark/>
          </w:tcPr>
          <w:p w14:paraId="378C5123" w14:textId="77777777" w:rsidR="00C11B6E" w:rsidRPr="00C11B6E" w:rsidRDefault="00C11B6E" w:rsidP="00C11B6E">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Objeto</w:t>
            </w:r>
          </w:p>
        </w:tc>
        <w:tc>
          <w:tcPr>
            <w:tcW w:w="752" w:type="pct"/>
            <w:tcBorders>
              <w:top w:val="single" w:sz="4" w:space="0" w:color="FFFFFF" w:themeColor="background1"/>
            </w:tcBorders>
            <w:shd w:val="clear" w:color="auto" w:fill="005CA9"/>
            <w:vAlign w:val="center"/>
            <w:hideMark/>
          </w:tcPr>
          <w:p w14:paraId="1D117E97" w14:textId="77777777" w:rsidR="00C11B6E" w:rsidRPr="00C11B6E" w:rsidRDefault="00C11B6E" w:rsidP="00C11B6E">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Instrumento</w:t>
            </w:r>
          </w:p>
        </w:tc>
        <w:tc>
          <w:tcPr>
            <w:tcW w:w="593" w:type="pct"/>
            <w:vMerge/>
            <w:shd w:val="clear" w:color="auto" w:fill="005CA9"/>
            <w:vAlign w:val="center"/>
            <w:hideMark/>
          </w:tcPr>
          <w:p w14:paraId="433224AC" w14:textId="77777777" w:rsidR="00C11B6E" w:rsidRPr="00C11B6E" w:rsidRDefault="00C11B6E" w:rsidP="00C11B6E">
            <w:pPr>
              <w:rPr>
                <w:rFonts w:ascii="CAIXA Std Book" w:eastAsia="Times New Roman" w:hAnsi="CAIXA Std Book" w:cs="Times New Roman"/>
                <w:b/>
                <w:bCs/>
                <w:color w:val="FFFFFF"/>
                <w:sz w:val="18"/>
                <w:szCs w:val="18"/>
              </w:rPr>
            </w:pPr>
          </w:p>
        </w:tc>
        <w:tc>
          <w:tcPr>
            <w:tcW w:w="472" w:type="pct"/>
            <w:vMerge/>
            <w:shd w:val="clear" w:color="auto" w:fill="005CA9"/>
            <w:vAlign w:val="center"/>
            <w:hideMark/>
          </w:tcPr>
          <w:p w14:paraId="75B5AEB3" w14:textId="77777777" w:rsidR="00C11B6E" w:rsidRPr="00C11B6E" w:rsidRDefault="00C11B6E" w:rsidP="00C11B6E">
            <w:pPr>
              <w:rPr>
                <w:rFonts w:ascii="CAIXA Std Book" w:eastAsia="Times New Roman" w:hAnsi="CAIXA Std Book" w:cs="Times New Roman"/>
                <w:b/>
                <w:bCs/>
                <w:color w:val="FFFFFF"/>
                <w:sz w:val="18"/>
                <w:szCs w:val="18"/>
              </w:rPr>
            </w:pPr>
          </w:p>
        </w:tc>
        <w:tc>
          <w:tcPr>
            <w:tcW w:w="472" w:type="pct"/>
            <w:tcBorders>
              <w:top w:val="single" w:sz="4" w:space="0" w:color="FFFFFF" w:themeColor="background1"/>
            </w:tcBorders>
            <w:shd w:val="clear" w:color="auto" w:fill="005CA9"/>
            <w:vAlign w:val="center"/>
            <w:hideMark/>
          </w:tcPr>
          <w:p w14:paraId="55FC0F86" w14:textId="77777777" w:rsidR="00C11B6E" w:rsidRPr="00C11B6E" w:rsidRDefault="00C11B6E" w:rsidP="00C11B6E">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 xml:space="preserve">Parcela efetiva </w:t>
            </w:r>
          </w:p>
        </w:tc>
        <w:tc>
          <w:tcPr>
            <w:tcW w:w="473" w:type="pct"/>
            <w:tcBorders>
              <w:top w:val="single" w:sz="4" w:space="0" w:color="FFFFFF" w:themeColor="background1"/>
            </w:tcBorders>
            <w:shd w:val="clear" w:color="auto" w:fill="005CA9"/>
            <w:vAlign w:val="center"/>
            <w:hideMark/>
          </w:tcPr>
          <w:p w14:paraId="41EC6351" w14:textId="77777777" w:rsidR="00C11B6E" w:rsidRPr="00C11B6E" w:rsidRDefault="00C11B6E" w:rsidP="00C11B6E">
            <w:pPr>
              <w:jc w:val="center"/>
              <w:rPr>
                <w:rFonts w:ascii="CAIXA Std Book" w:eastAsia="Times New Roman" w:hAnsi="CAIXA Std Book" w:cs="Times New Roman"/>
                <w:b/>
                <w:bCs/>
                <w:color w:val="FFFFFF"/>
                <w:sz w:val="18"/>
                <w:szCs w:val="18"/>
              </w:rPr>
            </w:pPr>
            <w:r w:rsidRPr="00C11B6E">
              <w:rPr>
                <w:rFonts w:ascii="CAIXA Std Book" w:eastAsia="Times New Roman" w:hAnsi="CAIXA Std Book" w:cs="Times New Roman"/>
                <w:b/>
                <w:bCs/>
                <w:color w:val="FFFFFF"/>
                <w:sz w:val="18"/>
                <w:szCs w:val="18"/>
              </w:rPr>
              <w:t>Parcela inefetiva</w:t>
            </w:r>
          </w:p>
        </w:tc>
        <w:tc>
          <w:tcPr>
            <w:tcW w:w="543" w:type="pct"/>
            <w:vMerge/>
            <w:shd w:val="clear" w:color="auto" w:fill="005CA9"/>
            <w:vAlign w:val="center"/>
            <w:hideMark/>
          </w:tcPr>
          <w:p w14:paraId="24AAF9E3" w14:textId="77777777" w:rsidR="00C11B6E" w:rsidRPr="00C11B6E" w:rsidRDefault="00C11B6E" w:rsidP="00C11B6E">
            <w:pPr>
              <w:rPr>
                <w:rFonts w:ascii="CAIXA Std Book" w:eastAsia="Times New Roman" w:hAnsi="CAIXA Std Book" w:cs="Times New Roman"/>
                <w:b/>
                <w:bCs/>
                <w:color w:val="FFFFFF"/>
                <w:sz w:val="18"/>
                <w:szCs w:val="18"/>
              </w:rPr>
            </w:pPr>
          </w:p>
        </w:tc>
        <w:tc>
          <w:tcPr>
            <w:tcW w:w="570" w:type="pct"/>
            <w:vMerge/>
            <w:shd w:val="clear" w:color="auto" w:fill="005CA9"/>
            <w:vAlign w:val="center"/>
            <w:hideMark/>
          </w:tcPr>
          <w:p w14:paraId="4E413CAD" w14:textId="77777777" w:rsidR="00C11B6E" w:rsidRPr="00C11B6E" w:rsidRDefault="00C11B6E" w:rsidP="00C11B6E">
            <w:pPr>
              <w:rPr>
                <w:rFonts w:ascii="CAIXA Std Book" w:eastAsia="Times New Roman" w:hAnsi="CAIXA Std Book" w:cs="Times New Roman"/>
                <w:b/>
                <w:bCs/>
                <w:color w:val="FFFFFF"/>
                <w:sz w:val="18"/>
                <w:szCs w:val="18"/>
              </w:rPr>
            </w:pPr>
          </w:p>
        </w:tc>
      </w:tr>
      <w:tr w:rsidR="001F2583" w:rsidRPr="00C11B6E" w14:paraId="713E7FF9" w14:textId="77777777" w:rsidTr="008A7C09">
        <w:trPr>
          <w:trHeight w:val="255"/>
        </w:trPr>
        <w:tc>
          <w:tcPr>
            <w:tcW w:w="1125" w:type="pct"/>
            <w:noWrap/>
            <w:vAlign w:val="center"/>
            <w:hideMark/>
          </w:tcPr>
          <w:p w14:paraId="17C0A023" w14:textId="77777777" w:rsidR="0061333C" w:rsidRPr="00C11B6E" w:rsidRDefault="0061333C" w:rsidP="0061333C">
            <w:pPr>
              <w:rPr>
                <w:rFonts w:ascii="CAIXA Std Book" w:eastAsia="Times New Roman" w:hAnsi="CAIXA Std Book" w:cs="Times New Roman"/>
                <w:color w:val="005CA9"/>
                <w:sz w:val="18"/>
                <w:szCs w:val="18"/>
              </w:rPr>
            </w:pPr>
            <w:r w:rsidRPr="0067686C">
              <w:rPr>
                <w:rFonts w:ascii="CAIXA Std Book" w:eastAsia="Times New Roman" w:hAnsi="CAIXA Std Book" w:cs="Times New Roman"/>
                <w:i/>
                <w:color w:val="005CA9"/>
                <w:sz w:val="18"/>
                <w:szCs w:val="18"/>
              </w:rPr>
              <w:t>Hedge</w:t>
            </w:r>
            <w:r w:rsidRPr="00C11B6E">
              <w:rPr>
                <w:rFonts w:ascii="CAIXA Std Book" w:eastAsia="Times New Roman" w:hAnsi="CAIXA Std Book" w:cs="Times New Roman"/>
                <w:color w:val="005CA9"/>
                <w:sz w:val="18"/>
                <w:szCs w:val="18"/>
              </w:rPr>
              <w:t xml:space="preserve"> da carteira de crédito</w:t>
            </w:r>
          </w:p>
        </w:tc>
        <w:tc>
          <w:tcPr>
            <w:tcW w:w="752" w:type="pct"/>
            <w:noWrap/>
            <w:vAlign w:val="center"/>
            <w:hideMark/>
          </w:tcPr>
          <w:p w14:paraId="53CC2EE3" w14:textId="77777777" w:rsidR="0061333C" w:rsidRPr="00C11B6E" w:rsidRDefault="0061333C" w:rsidP="00C95B7B">
            <w:pPr>
              <w:rPr>
                <w:rFonts w:ascii="CAIXA Std Book" w:eastAsia="Times New Roman" w:hAnsi="CAIXA Std Book" w:cs="Times New Roman"/>
                <w:color w:val="005CA9"/>
                <w:sz w:val="18"/>
                <w:szCs w:val="18"/>
              </w:rPr>
            </w:pPr>
            <w:r w:rsidRPr="00C11B6E">
              <w:rPr>
                <w:rFonts w:ascii="CAIXA Std Book" w:eastAsia="Times New Roman" w:hAnsi="CAIXA Std Book" w:cs="Times New Roman"/>
                <w:color w:val="005CA9"/>
                <w:sz w:val="18"/>
                <w:szCs w:val="18"/>
              </w:rPr>
              <w:t>Contrato futuro (2)</w:t>
            </w:r>
          </w:p>
        </w:tc>
        <w:tc>
          <w:tcPr>
            <w:tcW w:w="593" w:type="pct"/>
            <w:shd w:val="clear" w:color="000000" w:fill="FFFFFF"/>
            <w:noWrap/>
            <w:vAlign w:val="center"/>
          </w:tcPr>
          <w:p w14:paraId="5B2FA1F1" w14:textId="5AB4C785" w:rsidR="0061333C" w:rsidRPr="00C11B6E" w:rsidRDefault="001D427F" w:rsidP="00C95B7B">
            <w:pPr>
              <w:ind w:firstLineChars="100" w:firstLine="180"/>
              <w:jc w:val="right"/>
              <w:rPr>
                <w:rFonts w:ascii="CAIXA Std Book" w:eastAsia="Times New Roman" w:hAnsi="CAIXA Std Book" w:cs="Times New Roman"/>
                <w:color w:val="005CA9"/>
                <w:sz w:val="18"/>
                <w:szCs w:val="18"/>
              </w:rPr>
            </w:pPr>
            <w:r>
              <w:rPr>
                <w:rFonts w:ascii="CAIXA Std Book" w:hAnsi="CAIXA Std Book"/>
                <w:color w:val="005CA9"/>
                <w:sz w:val="18"/>
                <w:szCs w:val="18"/>
              </w:rPr>
              <w:t>16.243.577</w:t>
            </w:r>
          </w:p>
        </w:tc>
        <w:tc>
          <w:tcPr>
            <w:tcW w:w="472" w:type="pct"/>
            <w:shd w:val="clear" w:color="000000" w:fill="FFFFFF"/>
            <w:noWrap/>
            <w:vAlign w:val="center"/>
          </w:tcPr>
          <w:p w14:paraId="4D646E78" w14:textId="7E07BA5C" w:rsidR="0061333C" w:rsidRPr="00C11B6E" w:rsidRDefault="001D427F" w:rsidP="00C95B7B">
            <w:pPr>
              <w:ind w:firstLineChars="100" w:firstLine="180"/>
              <w:jc w:val="right"/>
              <w:rPr>
                <w:rFonts w:ascii="CAIXA Std Book" w:eastAsia="Times New Roman" w:hAnsi="CAIXA Std Book" w:cs="Times New Roman"/>
                <w:color w:val="005CA9"/>
                <w:sz w:val="18"/>
                <w:szCs w:val="18"/>
              </w:rPr>
            </w:pPr>
            <w:r>
              <w:rPr>
                <w:rFonts w:ascii="CAIXA Std Book" w:hAnsi="CAIXA Std Book"/>
                <w:color w:val="005CA9"/>
                <w:sz w:val="18"/>
                <w:szCs w:val="18"/>
              </w:rPr>
              <w:t>178.045</w:t>
            </w:r>
          </w:p>
        </w:tc>
        <w:tc>
          <w:tcPr>
            <w:tcW w:w="472" w:type="pct"/>
            <w:shd w:val="clear" w:color="000000" w:fill="FFFFFF"/>
            <w:noWrap/>
            <w:vAlign w:val="center"/>
          </w:tcPr>
          <w:p w14:paraId="20EEDC38" w14:textId="5C49B899" w:rsidR="0061333C" w:rsidRPr="00C11B6E" w:rsidRDefault="001D427F" w:rsidP="00C95B7B">
            <w:pPr>
              <w:ind w:firstLineChars="100" w:firstLine="180"/>
              <w:jc w:val="right"/>
              <w:rPr>
                <w:rFonts w:ascii="CAIXA Std Book" w:eastAsia="Times New Roman" w:hAnsi="CAIXA Std Book" w:cs="Times New Roman"/>
                <w:color w:val="005CA9"/>
                <w:sz w:val="18"/>
                <w:szCs w:val="18"/>
              </w:rPr>
            </w:pPr>
            <w:r>
              <w:rPr>
                <w:rFonts w:ascii="CAIXA Std Book" w:hAnsi="CAIXA Std Book"/>
                <w:color w:val="005CA9"/>
                <w:sz w:val="18"/>
                <w:szCs w:val="18"/>
              </w:rPr>
              <w:t>268.976</w:t>
            </w:r>
          </w:p>
        </w:tc>
        <w:tc>
          <w:tcPr>
            <w:tcW w:w="473" w:type="pct"/>
            <w:shd w:val="clear" w:color="000000" w:fill="FFFFFF"/>
            <w:noWrap/>
            <w:vAlign w:val="center"/>
          </w:tcPr>
          <w:p w14:paraId="06831608" w14:textId="724E592B" w:rsidR="0061333C" w:rsidRPr="00C11B6E" w:rsidRDefault="001D427F" w:rsidP="00C95B7B">
            <w:pPr>
              <w:ind w:firstLineChars="100" w:firstLine="180"/>
              <w:jc w:val="right"/>
              <w:rPr>
                <w:rFonts w:ascii="CAIXA Std Book" w:eastAsia="Times New Roman" w:hAnsi="CAIXA Std Book" w:cs="Times New Roman"/>
                <w:color w:val="005CA9"/>
                <w:sz w:val="18"/>
                <w:szCs w:val="18"/>
              </w:rPr>
            </w:pPr>
            <w:r>
              <w:rPr>
                <w:rFonts w:ascii="CAIXA Std Book" w:hAnsi="CAIXA Std Book"/>
                <w:color w:val="005CA9"/>
                <w:sz w:val="18"/>
                <w:szCs w:val="18"/>
              </w:rPr>
              <w:t>74.629</w:t>
            </w:r>
          </w:p>
        </w:tc>
        <w:tc>
          <w:tcPr>
            <w:tcW w:w="543" w:type="pct"/>
            <w:shd w:val="clear" w:color="000000" w:fill="FFFFFF"/>
            <w:noWrap/>
            <w:vAlign w:val="center"/>
          </w:tcPr>
          <w:p w14:paraId="6DF0E188" w14:textId="52A5B98A" w:rsidR="0061333C" w:rsidRPr="00C11B6E" w:rsidRDefault="001D427F" w:rsidP="00C95B7B">
            <w:pPr>
              <w:ind w:firstLineChars="100" w:firstLine="180"/>
              <w:jc w:val="right"/>
              <w:rPr>
                <w:rFonts w:ascii="CAIXA Std Book" w:eastAsia="Times New Roman" w:hAnsi="CAIXA Std Book" w:cs="Times New Roman"/>
                <w:color w:val="005CA9"/>
                <w:sz w:val="18"/>
                <w:szCs w:val="18"/>
              </w:rPr>
            </w:pPr>
            <w:r>
              <w:rPr>
                <w:rFonts w:ascii="CAIXA Std Book" w:hAnsi="CAIXA Std Book"/>
                <w:color w:val="005CA9"/>
                <w:sz w:val="18"/>
                <w:szCs w:val="18"/>
              </w:rPr>
              <w:t>14.473.407</w:t>
            </w:r>
          </w:p>
        </w:tc>
        <w:tc>
          <w:tcPr>
            <w:tcW w:w="570" w:type="pct"/>
            <w:shd w:val="clear" w:color="000000" w:fill="FFFFFF"/>
            <w:noWrap/>
            <w:vAlign w:val="center"/>
          </w:tcPr>
          <w:p w14:paraId="4D091A30" w14:textId="3ACBBD7F" w:rsidR="0061333C" w:rsidRPr="00C11B6E" w:rsidRDefault="00737CB7" w:rsidP="00C95B7B">
            <w:pPr>
              <w:ind w:firstLineChars="100" w:firstLine="180"/>
              <w:jc w:val="right"/>
              <w:rPr>
                <w:rFonts w:ascii="CAIXA Std Book" w:eastAsia="Times New Roman" w:hAnsi="CAIXA Std Book" w:cs="Times New Roman"/>
                <w:color w:val="005CA9"/>
                <w:sz w:val="18"/>
                <w:szCs w:val="18"/>
              </w:rPr>
            </w:pPr>
            <w:r>
              <w:rPr>
                <w:rFonts w:ascii="CAIXA Std Book" w:hAnsi="CAIXA Std Book"/>
                <w:color w:val="005CA9"/>
                <w:sz w:val="18"/>
                <w:szCs w:val="18"/>
              </w:rPr>
              <w:t>(</w:t>
            </w:r>
            <w:r w:rsidR="001D427F">
              <w:rPr>
                <w:rFonts w:ascii="CAIXA Std Book" w:hAnsi="CAIXA Std Book"/>
                <w:color w:val="005CA9"/>
                <w:sz w:val="18"/>
                <w:szCs w:val="18"/>
              </w:rPr>
              <w:t>268.976</w:t>
            </w:r>
            <w:r>
              <w:rPr>
                <w:rFonts w:ascii="CAIXA Std Book" w:hAnsi="CAIXA Std Book"/>
                <w:color w:val="005CA9"/>
                <w:sz w:val="18"/>
                <w:szCs w:val="18"/>
              </w:rPr>
              <w:t>)</w:t>
            </w:r>
          </w:p>
        </w:tc>
      </w:tr>
      <w:tr w:rsidR="001F2583" w:rsidRPr="00C11B6E" w14:paraId="499F2D32" w14:textId="77777777" w:rsidTr="008A7C09">
        <w:trPr>
          <w:trHeight w:val="255"/>
        </w:trPr>
        <w:tc>
          <w:tcPr>
            <w:tcW w:w="1125" w:type="pct"/>
            <w:tcBorders>
              <w:bottom w:val="single" w:sz="4" w:space="0" w:color="1F497D" w:themeColor="text2"/>
            </w:tcBorders>
            <w:noWrap/>
            <w:vAlign w:val="center"/>
            <w:hideMark/>
          </w:tcPr>
          <w:p w14:paraId="05C059D0" w14:textId="77777777" w:rsidR="0061333C" w:rsidRPr="00C11B6E" w:rsidRDefault="0061333C" w:rsidP="0061333C">
            <w:pPr>
              <w:rPr>
                <w:rFonts w:ascii="CAIXA Std Book" w:eastAsia="Times New Roman" w:hAnsi="CAIXA Std Book" w:cs="Times New Roman"/>
                <w:color w:val="005CA9"/>
                <w:sz w:val="18"/>
                <w:szCs w:val="18"/>
              </w:rPr>
            </w:pPr>
            <w:r w:rsidRPr="0067686C">
              <w:rPr>
                <w:rFonts w:ascii="CAIXA Std Book" w:eastAsia="Times New Roman" w:hAnsi="CAIXA Std Book" w:cs="Times New Roman"/>
                <w:i/>
                <w:color w:val="005CA9"/>
                <w:sz w:val="18"/>
                <w:szCs w:val="18"/>
              </w:rPr>
              <w:t>Hedge</w:t>
            </w:r>
            <w:r w:rsidRPr="00C11B6E">
              <w:rPr>
                <w:rFonts w:ascii="CAIXA Std Book" w:eastAsia="Times New Roman" w:hAnsi="CAIXA Std Book" w:cs="Times New Roman"/>
                <w:color w:val="005CA9"/>
                <w:sz w:val="18"/>
                <w:szCs w:val="18"/>
              </w:rPr>
              <w:t xml:space="preserve"> de emissões externas</w:t>
            </w:r>
          </w:p>
        </w:tc>
        <w:tc>
          <w:tcPr>
            <w:tcW w:w="752" w:type="pct"/>
            <w:tcBorders>
              <w:bottom w:val="single" w:sz="4" w:space="0" w:color="1F497D" w:themeColor="text2"/>
            </w:tcBorders>
            <w:noWrap/>
            <w:vAlign w:val="center"/>
            <w:hideMark/>
          </w:tcPr>
          <w:p w14:paraId="3F4238D6" w14:textId="77777777" w:rsidR="0061333C" w:rsidRPr="00AD1786" w:rsidRDefault="0061333C" w:rsidP="00C95B7B">
            <w:pPr>
              <w:rPr>
                <w:rFonts w:ascii="CAIXA Std Book" w:eastAsia="Times New Roman" w:hAnsi="CAIXA Std Book" w:cs="Times New Roman"/>
                <w:i/>
                <w:color w:val="005CA9"/>
                <w:sz w:val="18"/>
                <w:szCs w:val="18"/>
              </w:rPr>
            </w:pPr>
            <w:r w:rsidRPr="00AD1786">
              <w:rPr>
                <w:rFonts w:ascii="CAIXA Std Book" w:eastAsia="Times New Roman" w:hAnsi="CAIXA Std Book" w:cs="Times New Roman"/>
                <w:i/>
                <w:color w:val="005CA9"/>
                <w:sz w:val="18"/>
                <w:szCs w:val="18"/>
              </w:rPr>
              <w:t>Swap</w:t>
            </w:r>
          </w:p>
        </w:tc>
        <w:tc>
          <w:tcPr>
            <w:tcW w:w="593" w:type="pct"/>
            <w:tcBorders>
              <w:bottom w:val="single" w:sz="4" w:space="0" w:color="1F497D" w:themeColor="text2"/>
            </w:tcBorders>
            <w:shd w:val="clear" w:color="000000" w:fill="FFFFFF"/>
            <w:noWrap/>
            <w:vAlign w:val="center"/>
          </w:tcPr>
          <w:p w14:paraId="6A8B2D07" w14:textId="4903A69D" w:rsidR="0061333C" w:rsidRPr="00C11B6E" w:rsidRDefault="001D427F" w:rsidP="00C95B7B">
            <w:pPr>
              <w:ind w:firstLineChars="100" w:firstLine="180"/>
              <w:jc w:val="right"/>
              <w:rPr>
                <w:rFonts w:ascii="CAIXA Std Book" w:eastAsia="Times New Roman" w:hAnsi="CAIXA Std Book" w:cs="Times New Roman"/>
                <w:color w:val="005CA9"/>
                <w:sz w:val="18"/>
                <w:szCs w:val="18"/>
              </w:rPr>
            </w:pPr>
            <w:r>
              <w:rPr>
                <w:rFonts w:ascii="CAIXA Std Book" w:hAnsi="CAIXA Std Book"/>
                <w:color w:val="005CA9"/>
                <w:sz w:val="18"/>
                <w:szCs w:val="18"/>
              </w:rPr>
              <w:t>3.780.785</w:t>
            </w:r>
          </w:p>
        </w:tc>
        <w:tc>
          <w:tcPr>
            <w:tcW w:w="472" w:type="pct"/>
            <w:tcBorders>
              <w:bottom w:val="single" w:sz="4" w:space="0" w:color="1F497D" w:themeColor="text2"/>
            </w:tcBorders>
            <w:shd w:val="clear" w:color="000000" w:fill="FFFFFF"/>
            <w:noWrap/>
            <w:vAlign w:val="center"/>
          </w:tcPr>
          <w:p w14:paraId="784B43BA" w14:textId="3BB7A891" w:rsidR="0061333C" w:rsidRPr="00C11B6E" w:rsidRDefault="001D427F" w:rsidP="00C95B7B">
            <w:pPr>
              <w:ind w:firstLineChars="100" w:firstLine="180"/>
              <w:jc w:val="right"/>
              <w:rPr>
                <w:rFonts w:ascii="CAIXA Std Book" w:eastAsia="Times New Roman" w:hAnsi="CAIXA Std Book" w:cs="Times New Roman"/>
                <w:color w:val="005CA9"/>
                <w:sz w:val="18"/>
                <w:szCs w:val="18"/>
              </w:rPr>
            </w:pPr>
            <w:r>
              <w:rPr>
                <w:rFonts w:ascii="CAIXA Std Book" w:hAnsi="CAIXA Std Book"/>
                <w:color w:val="005CA9"/>
                <w:sz w:val="18"/>
                <w:szCs w:val="18"/>
              </w:rPr>
              <w:t>36</w:t>
            </w:r>
          </w:p>
        </w:tc>
        <w:tc>
          <w:tcPr>
            <w:tcW w:w="472" w:type="pct"/>
            <w:tcBorders>
              <w:bottom w:val="single" w:sz="4" w:space="0" w:color="1F497D" w:themeColor="text2"/>
            </w:tcBorders>
            <w:shd w:val="clear" w:color="000000" w:fill="FFFFFF"/>
            <w:noWrap/>
            <w:vAlign w:val="center"/>
          </w:tcPr>
          <w:p w14:paraId="7A721CC5" w14:textId="6A310DA4" w:rsidR="0061333C" w:rsidRPr="00C11B6E" w:rsidRDefault="001D427F" w:rsidP="00C95B7B">
            <w:pPr>
              <w:ind w:firstLineChars="100" w:firstLine="180"/>
              <w:jc w:val="right"/>
              <w:rPr>
                <w:rFonts w:ascii="CAIXA Std Book" w:eastAsia="Times New Roman" w:hAnsi="CAIXA Std Book" w:cs="Times New Roman"/>
                <w:color w:val="005CA9"/>
                <w:sz w:val="18"/>
                <w:szCs w:val="18"/>
              </w:rPr>
            </w:pPr>
            <w:r>
              <w:rPr>
                <w:rFonts w:ascii="CAIXA Std Book" w:hAnsi="CAIXA Std Book"/>
                <w:color w:val="005CA9"/>
                <w:sz w:val="18"/>
                <w:szCs w:val="18"/>
              </w:rPr>
              <w:t>358.190</w:t>
            </w:r>
          </w:p>
        </w:tc>
        <w:tc>
          <w:tcPr>
            <w:tcW w:w="473" w:type="pct"/>
            <w:tcBorders>
              <w:bottom w:val="single" w:sz="4" w:space="0" w:color="1F497D" w:themeColor="text2"/>
            </w:tcBorders>
            <w:shd w:val="clear" w:color="000000" w:fill="FFFFFF"/>
            <w:noWrap/>
            <w:vAlign w:val="center"/>
          </w:tcPr>
          <w:p w14:paraId="06C6A87B" w14:textId="53B9FD9B" w:rsidR="0061333C" w:rsidRPr="00C11B6E" w:rsidRDefault="00FF6D15" w:rsidP="00C2704B">
            <w:pPr>
              <w:ind w:firstLineChars="100" w:firstLine="180"/>
              <w:jc w:val="center"/>
              <w:rPr>
                <w:rFonts w:ascii="CAIXA Std Book" w:eastAsia="Times New Roman" w:hAnsi="CAIXA Std Book" w:cs="Times New Roman"/>
                <w:color w:val="005CA9"/>
                <w:sz w:val="18"/>
                <w:szCs w:val="18"/>
              </w:rPr>
            </w:pPr>
            <w:r>
              <w:rPr>
                <w:rFonts w:ascii="CAIXA Std Book" w:hAnsi="CAIXA Std Book"/>
                <w:color w:val="005CA9"/>
                <w:sz w:val="18"/>
                <w:szCs w:val="18"/>
              </w:rPr>
              <w:t>-</w:t>
            </w:r>
          </w:p>
        </w:tc>
        <w:tc>
          <w:tcPr>
            <w:tcW w:w="543" w:type="pct"/>
            <w:tcBorders>
              <w:bottom w:val="single" w:sz="4" w:space="0" w:color="1F497D" w:themeColor="text2"/>
            </w:tcBorders>
            <w:shd w:val="clear" w:color="000000" w:fill="FFFFFF"/>
            <w:noWrap/>
            <w:vAlign w:val="center"/>
          </w:tcPr>
          <w:p w14:paraId="0E3A345A" w14:textId="23D956C0" w:rsidR="0061333C" w:rsidRPr="00C11B6E" w:rsidRDefault="001D427F" w:rsidP="00C95B7B">
            <w:pPr>
              <w:ind w:firstLineChars="100" w:firstLine="180"/>
              <w:jc w:val="right"/>
              <w:rPr>
                <w:rFonts w:ascii="CAIXA Std Book" w:eastAsia="Times New Roman" w:hAnsi="CAIXA Std Book" w:cs="Times New Roman"/>
                <w:color w:val="005CA9"/>
                <w:sz w:val="18"/>
                <w:szCs w:val="18"/>
              </w:rPr>
            </w:pPr>
            <w:r>
              <w:rPr>
                <w:rFonts w:ascii="CAIXA Std Book" w:hAnsi="CAIXA Std Book"/>
                <w:color w:val="005CA9"/>
                <w:sz w:val="18"/>
                <w:szCs w:val="18"/>
              </w:rPr>
              <w:t>4.138.976</w:t>
            </w:r>
          </w:p>
        </w:tc>
        <w:tc>
          <w:tcPr>
            <w:tcW w:w="570" w:type="pct"/>
            <w:tcBorders>
              <w:bottom w:val="single" w:sz="4" w:space="0" w:color="1F497D" w:themeColor="text2"/>
            </w:tcBorders>
            <w:shd w:val="clear" w:color="000000" w:fill="FFFFFF"/>
            <w:noWrap/>
            <w:vAlign w:val="center"/>
          </w:tcPr>
          <w:p w14:paraId="69F726FA" w14:textId="63E1DB57" w:rsidR="0061333C" w:rsidRPr="00C11B6E" w:rsidRDefault="00737CB7" w:rsidP="00C95B7B">
            <w:pPr>
              <w:ind w:firstLineChars="100" w:firstLine="180"/>
              <w:jc w:val="right"/>
              <w:rPr>
                <w:rFonts w:ascii="CAIXA Std Book" w:eastAsia="Times New Roman" w:hAnsi="CAIXA Std Book" w:cs="Times New Roman"/>
                <w:color w:val="005CA9"/>
                <w:sz w:val="18"/>
                <w:szCs w:val="18"/>
              </w:rPr>
            </w:pPr>
            <w:r>
              <w:rPr>
                <w:rFonts w:ascii="CAIXA Std Book" w:hAnsi="CAIXA Std Book"/>
                <w:color w:val="005CA9"/>
                <w:sz w:val="18"/>
                <w:szCs w:val="18"/>
              </w:rPr>
              <w:t>(</w:t>
            </w:r>
            <w:r w:rsidR="001D427F">
              <w:rPr>
                <w:rFonts w:ascii="CAIXA Std Book" w:hAnsi="CAIXA Std Book"/>
                <w:color w:val="005CA9"/>
                <w:sz w:val="18"/>
                <w:szCs w:val="18"/>
              </w:rPr>
              <w:t>358.190</w:t>
            </w:r>
            <w:r>
              <w:rPr>
                <w:rFonts w:ascii="CAIXA Std Book" w:hAnsi="CAIXA Std Book"/>
                <w:color w:val="005CA9"/>
                <w:sz w:val="18"/>
                <w:szCs w:val="18"/>
              </w:rPr>
              <w:t>)</w:t>
            </w:r>
          </w:p>
        </w:tc>
      </w:tr>
    </w:tbl>
    <w:p w14:paraId="7C6AE53D" w14:textId="77777777" w:rsidR="00981E65" w:rsidRPr="0091607A" w:rsidRDefault="00981E65" w:rsidP="00981E65">
      <w:pPr>
        <w:pStyle w:val="PargrafodaLista"/>
        <w:numPr>
          <w:ilvl w:val="0"/>
          <w:numId w:val="13"/>
        </w:numPr>
        <w:tabs>
          <w:tab w:val="left" w:pos="284"/>
          <w:tab w:val="left" w:pos="5529"/>
        </w:tabs>
        <w:ind w:left="709" w:hanging="669"/>
        <w:jc w:val="both"/>
        <w:rPr>
          <w:rFonts w:ascii="CAIXA Std Book" w:hAnsi="CAIXA Std Book"/>
          <w:color w:val="005CA9"/>
          <w:sz w:val="16"/>
          <w:szCs w:val="16"/>
        </w:rPr>
      </w:pPr>
      <w:r w:rsidRPr="0091607A">
        <w:rPr>
          <w:rFonts w:ascii="CAIXA Std Book" w:hAnsi="CAIXA Std Book"/>
          <w:bCs/>
          <w:color w:val="005CA9"/>
          <w:sz w:val="16"/>
          <w:szCs w:val="16"/>
        </w:rPr>
        <w:t xml:space="preserve">Parcela de marcação </w:t>
      </w:r>
      <w:r>
        <w:rPr>
          <w:rFonts w:ascii="CAIXA Std Book" w:hAnsi="CAIXA Std Book"/>
          <w:bCs/>
          <w:color w:val="005CA9"/>
          <w:sz w:val="16"/>
          <w:szCs w:val="16"/>
        </w:rPr>
        <w:t xml:space="preserve">a mercado do resultado do instrumento de </w:t>
      </w:r>
      <w:r w:rsidRPr="005A1345">
        <w:rPr>
          <w:rFonts w:ascii="CAIXA Std Book" w:hAnsi="CAIXA Std Book"/>
          <w:bCs/>
          <w:i/>
          <w:iCs/>
          <w:color w:val="005CA9"/>
          <w:sz w:val="16"/>
          <w:szCs w:val="16"/>
        </w:rPr>
        <w:t>hedge</w:t>
      </w:r>
      <w:r>
        <w:rPr>
          <w:rFonts w:ascii="CAIXA Std Book" w:hAnsi="CAIXA Std Book"/>
          <w:bCs/>
          <w:color w:val="005CA9"/>
          <w:sz w:val="16"/>
          <w:szCs w:val="16"/>
        </w:rPr>
        <w:t>.</w:t>
      </w:r>
    </w:p>
    <w:p w14:paraId="34627693" w14:textId="71B3BF78" w:rsidR="00987B9E" w:rsidRPr="007D314D" w:rsidRDefault="00981E65" w:rsidP="008B680C">
      <w:pPr>
        <w:pStyle w:val="PargrafodaLista"/>
        <w:numPr>
          <w:ilvl w:val="0"/>
          <w:numId w:val="13"/>
        </w:numPr>
        <w:tabs>
          <w:tab w:val="left" w:pos="284"/>
          <w:tab w:val="left" w:pos="5529"/>
        </w:tabs>
        <w:ind w:left="709" w:hanging="669"/>
        <w:jc w:val="both"/>
        <w:rPr>
          <w:rFonts w:ascii="CAIXA Std Book" w:hAnsi="CAIXA Std Book"/>
          <w:color w:val="005CA9"/>
          <w:sz w:val="16"/>
          <w:szCs w:val="16"/>
        </w:rPr>
      </w:pPr>
      <w:r w:rsidRPr="007D314D">
        <w:rPr>
          <w:rFonts w:ascii="CAIXA Std Book" w:hAnsi="CAIXA Std Book"/>
          <w:bCs/>
          <w:color w:val="005CA9"/>
          <w:sz w:val="16"/>
          <w:szCs w:val="16"/>
        </w:rPr>
        <w:t>Instrumento liquidado em D+1 com contraparte B3</w:t>
      </w:r>
      <w:r w:rsidRPr="007D314D">
        <w:rPr>
          <w:rFonts w:ascii="CAIXA Std Book" w:hAnsi="CAIXA Std Book"/>
          <w:color w:val="005CA9"/>
          <w:sz w:val="16"/>
          <w:szCs w:val="16"/>
        </w:rPr>
        <w:t>.</w:t>
      </w:r>
      <w:r w:rsidR="008F3295" w:rsidRPr="007D314D">
        <w:rPr>
          <w:rFonts w:ascii="CAIXA Std Book" w:hAnsi="CAIXA Std Book"/>
          <w:color w:val="005CA9"/>
          <w:sz w:val="16"/>
          <w:szCs w:val="16"/>
        </w:rPr>
        <w:t xml:space="preserve"> </w:t>
      </w:r>
      <w:r w:rsidR="00987B9E" w:rsidRPr="007D314D">
        <w:rPr>
          <w:rFonts w:ascii="CAIXA Std Book" w:hAnsi="CAIXA Std Book"/>
          <w:color w:val="005CA9"/>
          <w:sz w:val="16"/>
          <w:szCs w:val="16"/>
        </w:rPr>
        <w:br w:type="page"/>
      </w:r>
    </w:p>
    <w:p w14:paraId="54964B65" w14:textId="58796491" w:rsidR="00E97911" w:rsidRPr="00130ED4" w:rsidRDefault="00E97911" w:rsidP="002506F0">
      <w:pPr>
        <w:pStyle w:val="PargrafodaLista"/>
        <w:numPr>
          <w:ilvl w:val="0"/>
          <w:numId w:val="49"/>
        </w:numPr>
        <w:spacing w:before="240" w:after="120"/>
        <w:rPr>
          <w:rFonts w:ascii="CAIXA Std Book" w:eastAsiaTheme="minorHAnsi" w:hAnsi="CAIXA Std Book" w:cstheme="minorBidi"/>
          <w:b/>
          <w:i/>
          <w:color w:val="005CA9"/>
          <w:sz w:val="20"/>
          <w:szCs w:val="20"/>
          <w:lang w:eastAsia="en-US"/>
        </w:rPr>
      </w:pPr>
      <w:r w:rsidRPr="00B04D8D">
        <w:rPr>
          <w:rFonts w:ascii="CAIXA Std Book" w:eastAsiaTheme="minorHAnsi" w:hAnsi="CAIXA Std Book" w:cstheme="minorBidi"/>
          <w:b/>
          <w:bCs/>
          <w:color w:val="005CA9"/>
          <w:sz w:val="20"/>
          <w:szCs w:val="20"/>
          <w:lang w:eastAsia="en-US"/>
        </w:rPr>
        <w:t xml:space="preserve">Estrutura temporal do </w:t>
      </w:r>
      <w:r w:rsidRPr="00AD1786">
        <w:rPr>
          <w:rFonts w:ascii="CAIXA Std Book" w:eastAsiaTheme="minorHAnsi" w:hAnsi="CAIXA Std Book" w:cstheme="minorBidi"/>
          <w:b/>
          <w:i/>
          <w:color w:val="005CA9"/>
          <w:sz w:val="20"/>
          <w:szCs w:val="20"/>
          <w:lang w:eastAsia="en-US"/>
        </w:rPr>
        <w:t>hedge</w:t>
      </w:r>
    </w:p>
    <w:tbl>
      <w:tblPr>
        <w:tblW w:w="5000" w:type="pct"/>
        <w:tblCellMar>
          <w:left w:w="70" w:type="dxa"/>
          <w:right w:w="70" w:type="dxa"/>
        </w:tblCellMar>
        <w:tblLook w:val="04A0" w:firstRow="1" w:lastRow="0" w:firstColumn="1" w:lastColumn="0" w:noHBand="0" w:noVBand="1"/>
      </w:tblPr>
      <w:tblGrid>
        <w:gridCol w:w="5917"/>
        <w:gridCol w:w="2165"/>
        <w:gridCol w:w="2165"/>
        <w:gridCol w:w="2165"/>
        <w:gridCol w:w="2159"/>
      </w:tblGrid>
      <w:tr w:rsidR="00293E99" w:rsidRPr="00293E99" w14:paraId="303613E7" w14:textId="77777777" w:rsidTr="00FB0B1F">
        <w:trPr>
          <w:trHeight w:val="283"/>
        </w:trPr>
        <w:tc>
          <w:tcPr>
            <w:tcW w:w="5000" w:type="pct"/>
            <w:gridSpan w:val="5"/>
            <w:tcBorders>
              <w:top w:val="nil"/>
              <w:left w:val="nil"/>
              <w:bottom w:val="nil"/>
              <w:right w:val="nil"/>
            </w:tcBorders>
            <w:shd w:val="clear" w:color="auto" w:fill="005CA9"/>
            <w:noWrap/>
            <w:vAlign w:val="center"/>
            <w:hideMark/>
          </w:tcPr>
          <w:p w14:paraId="6CC08187" w14:textId="77777777" w:rsidR="00293E99" w:rsidRPr="00293E99" w:rsidRDefault="00293E99" w:rsidP="00293E99">
            <w:pPr>
              <w:jc w:val="center"/>
              <w:rPr>
                <w:rFonts w:ascii="CAIXA Std Book" w:eastAsia="Times New Roman" w:hAnsi="CAIXA Std Book" w:cs="Times New Roman"/>
                <w:b/>
                <w:bCs/>
                <w:color w:val="FFFFFF"/>
                <w:sz w:val="18"/>
                <w:szCs w:val="18"/>
              </w:rPr>
            </w:pPr>
            <w:r w:rsidRPr="00293E99">
              <w:rPr>
                <w:rFonts w:ascii="CAIXA Std Book" w:eastAsia="Times New Roman" w:hAnsi="CAIXA Std Book" w:cs="Times New Roman"/>
                <w:b/>
                <w:bCs/>
                <w:color w:val="FFFFFF"/>
                <w:sz w:val="18"/>
                <w:szCs w:val="18"/>
              </w:rPr>
              <w:t>Individual / Consolidado</w:t>
            </w:r>
          </w:p>
        </w:tc>
      </w:tr>
      <w:tr w:rsidR="00293E99" w:rsidRPr="00293E99" w14:paraId="527AF802" w14:textId="77777777" w:rsidTr="002F24F0">
        <w:trPr>
          <w:trHeight w:val="283"/>
        </w:trPr>
        <w:tc>
          <w:tcPr>
            <w:tcW w:w="2030" w:type="pct"/>
            <w:vMerge w:val="restart"/>
            <w:tcBorders>
              <w:top w:val="single" w:sz="8" w:space="0" w:color="FFFFFF"/>
              <w:left w:val="nil"/>
              <w:bottom w:val="nil"/>
              <w:right w:val="nil"/>
            </w:tcBorders>
            <w:shd w:val="clear" w:color="auto" w:fill="005CA9"/>
            <w:vAlign w:val="center"/>
            <w:hideMark/>
          </w:tcPr>
          <w:p w14:paraId="25A64223" w14:textId="77777777" w:rsidR="00293E99" w:rsidRPr="00293E99" w:rsidRDefault="00293E99" w:rsidP="00293E99">
            <w:pPr>
              <w:jc w:val="center"/>
              <w:rPr>
                <w:rFonts w:ascii="CAIXA Std Book" w:eastAsia="Times New Roman" w:hAnsi="CAIXA Std Book" w:cs="Times New Roman"/>
                <w:b/>
                <w:bCs/>
                <w:color w:val="FFFFFF"/>
                <w:sz w:val="18"/>
                <w:szCs w:val="18"/>
              </w:rPr>
            </w:pPr>
            <w:r w:rsidRPr="00293E99">
              <w:rPr>
                <w:rFonts w:ascii="CAIXA Std Book" w:eastAsia="Times New Roman" w:hAnsi="CAIXA Std Book" w:cs="Times New Roman"/>
                <w:b/>
                <w:bCs/>
                <w:color w:val="FFFFFF"/>
                <w:sz w:val="18"/>
                <w:szCs w:val="18"/>
              </w:rPr>
              <w:t>Vencimento</w:t>
            </w:r>
          </w:p>
        </w:tc>
        <w:tc>
          <w:tcPr>
            <w:tcW w:w="1486" w:type="pct"/>
            <w:gridSpan w:val="2"/>
            <w:tcBorders>
              <w:top w:val="single" w:sz="8" w:space="0" w:color="FFFFFF"/>
              <w:left w:val="nil"/>
              <w:bottom w:val="single" w:sz="8" w:space="0" w:color="FFFFFF"/>
              <w:right w:val="nil"/>
            </w:tcBorders>
            <w:shd w:val="clear" w:color="auto" w:fill="005CA9"/>
            <w:vAlign w:val="center"/>
            <w:hideMark/>
          </w:tcPr>
          <w:p w14:paraId="7643FB8C" w14:textId="77777777" w:rsidR="00293E99" w:rsidRPr="00293E99" w:rsidRDefault="00293E99" w:rsidP="00293E99">
            <w:pPr>
              <w:jc w:val="center"/>
              <w:rPr>
                <w:rFonts w:ascii="CAIXA Std Book" w:eastAsia="Times New Roman" w:hAnsi="CAIXA Std Book" w:cs="Times New Roman"/>
                <w:b/>
                <w:bCs/>
                <w:i/>
                <w:iCs/>
                <w:color w:val="FFFFFF"/>
                <w:sz w:val="18"/>
                <w:szCs w:val="18"/>
              </w:rPr>
            </w:pPr>
            <w:r w:rsidRPr="00293E99">
              <w:rPr>
                <w:rFonts w:ascii="CAIXA Std Book" w:eastAsia="Times New Roman" w:hAnsi="CAIXA Std Book" w:cs="Times New Roman"/>
                <w:b/>
                <w:bCs/>
                <w:i/>
                <w:iCs/>
                <w:color w:val="FFFFFF"/>
                <w:sz w:val="18"/>
                <w:szCs w:val="18"/>
              </w:rPr>
              <w:t>Hedge</w:t>
            </w:r>
            <w:r w:rsidRPr="00293E99">
              <w:rPr>
                <w:rFonts w:ascii="CAIXA Std Book" w:eastAsia="Times New Roman" w:hAnsi="CAIXA Std Book" w:cs="Times New Roman"/>
                <w:b/>
                <w:bCs/>
                <w:color w:val="FFFFFF"/>
                <w:sz w:val="18"/>
                <w:szCs w:val="18"/>
              </w:rPr>
              <w:t xml:space="preserve"> da carteira bancária</w:t>
            </w:r>
          </w:p>
        </w:tc>
        <w:tc>
          <w:tcPr>
            <w:tcW w:w="1484" w:type="pct"/>
            <w:gridSpan w:val="2"/>
            <w:tcBorders>
              <w:top w:val="single" w:sz="8" w:space="0" w:color="FFFFFF"/>
              <w:left w:val="nil"/>
              <w:bottom w:val="single" w:sz="8" w:space="0" w:color="FFFFFF"/>
              <w:right w:val="nil"/>
            </w:tcBorders>
            <w:shd w:val="clear" w:color="auto" w:fill="005CA9"/>
            <w:vAlign w:val="center"/>
            <w:hideMark/>
          </w:tcPr>
          <w:p w14:paraId="29162AF6" w14:textId="77777777" w:rsidR="00293E99" w:rsidRPr="00293E99" w:rsidRDefault="00293E99" w:rsidP="00293E99">
            <w:pPr>
              <w:jc w:val="center"/>
              <w:rPr>
                <w:rFonts w:ascii="CAIXA Std Book" w:eastAsia="Times New Roman" w:hAnsi="CAIXA Std Book" w:cs="Times New Roman"/>
                <w:b/>
                <w:bCs/>
                <w:i/>
                <w:iCs/>
                <w:color w:val="FFFFFF"/>
                <w:sz w:val="18"/>
                <w:szCs w:val="18"/>
              </w:rPr>
            </w:pPr>
            <w:r w:rsidRPr="00293E99">
              <w:rPr>
                <w:rFonts w:ascii="CAIXA Std Book" w:eastAsia="Times New Roman" w:hAnsi="CAIXA Std Book" w:cs="Times New Roman"/>
                <w:b/>
                <w:bCs/>
                <w:i/>
                <w:iCs/>
                <w:color w:val="FFFFFF"/>
                <w:sz w:val="18"/>
                <w:szCs w:val="18"/>
              </w:rPr>
              <w:t xml:space="preserve">Hedge </w:t>
            </w:r>
            <w:r w:rsidRPr="00293E99">
              <w:rPr>
                <w:rFonts w:ascii="CAIXA Std Book" w:eastAsia="Times New Roman" w:hAnsi="CAIXA Std Book" w:cs="Times New Roman"/>
                <w:b/>
                <w:bCs/>
                <w:color w:val="FFFFFF"/>
                <w:sz w:val="18"/>
                <w:szCs w:val="18"/>
              </w:rPr>
              <w:t>de emissões externas</w:t>
            </w:r>
          </w:p>
        </w:tc>
      </w:tr>
      <w:tr w:rsidR="00293E99" w:rsidRPr="00293E99" w14:paraId="278D6BF4" w14:textId="77777777" w:rsidTr="002F24F0">
        <w:trPr>
          <w:trHeight w:val="283"/>
        </w:trPr>
        <w:tc>
          <w:tcPr>
            <w:tcW w:w="2030" w:type="pct"/>
            <w:vMerge/>
            <w:tcBorders>
              <w:top w:val="single" w:sz="8" w:space="0" w:color="FFFFFF"/>
              <w:left w:val="nil"/>
              <w:bottom w:val="nil"/>
              <w:right w:val="nil"/>
            </w:tcBorders>
            <w:vAlign w:val="center"/>
            <w:hideMark/>
          </w:tcPr>
          <w:p w14:paraId="528939FF" w14:textId="77777777" w:rsidR="00293E99" w:rsidRPr="00293E99" w:rsidRDefault="00293E99" w:rsidP="00293E99">
            <w:pPr>
              <w:rPr>
                <w:rFonts w:ascii="CAIXA Std Book" w:eastAsia="Times New Roman" w:hAnsi="CAIXA Std Book" w:cs="Times New Roman"/>
                <w:b/>
                <w:bCs/>
                <w:color w:val="FFFFFF"/>
                <w:sz w:val="18"/>
                <w:szCs w:val="18"/>
              </w:rPr>
            </w:pPr>
          </w:p>
        </w:tc>
        <w:tc>
          <w:tcPr>
            <w:tcW w:w="743" w:type="pct"/>
            <w:tcBorders>
              <w:top w:val="nil"/>
              <w:left w:val="nil"/>
              <w:bottom w:val="nil"/>
              <w:right w:val="nil"/>
            </w:tcBorders>
            <w:shd w:val="clear" w:color="auto" w:fill="005CA9"/>
            <w:vAlign w:val="center"/>
            <w:hideMark/>
          </w:tcPr>
          <w:p w14:paraId="7582BA3C" w14:textId="77777777" w:rsidR="00293E99" w:rsidRPr="00293E99" w:rsidRDefault="00293E99" w:rsidP="00293E99">
            <w:pPr>
              <w:jc w:val="center"/>
              <w:rPr>
                <w:rFonts w:ascii="CAIXA Std Book" w:eastAsia="Times New Roman" w:hAnsi="CAIXA Std Book" w:cs="Times New Roman"/>
                <w:b/>
                <w:bCs/>
                <w:color w:val="FFFFFF"/>
                <w:sz w:val="18"/>
                <w:szCs w:val="18"/>
              </w:rPr>
            </w:pPr>
            <w:r w:rsidRPr="00293E99">
              <w:rPr>
                <w:rFonts w:ascii="CAIXA Std Book" w:eastAsia="Times New Roman" w:hAnsi="CAIXA Std Book" w:cs="Times New Roman"/>
                <w:b/>
                <w:bCs/>
                <w:color w:val="FFFFFF"/>
                <w:sz w:val="18"/>
                <w:szCs w:val="18"/>
              </w:rPr>
              <w:t>31/03/2026</w:t>
            </w:r>
          </w:p>
        </w:tc>
        <w:tc>
          <w:tcPr>
            <w:tcW w:w="743" w:type="pct"/>
            <w:tcBorders>
              <w:top w:val="nil"/>
              <w:left w:val="nil"/>
              <w:bottom w:val="nil"/>
              <w:right w:val="nil"/>
            </w:tcBorders>
            <w:shd w:val="clear" w:color="auto" w:fill="005CA9"/>
            <w:vAlign w:val="center"/>
            <w:hideMark/>
          </w:tcPr>
          <w:p w14:paraId="332F7E64" w14:textId="77777777" w:rsidR="00293E99" w:rsidRPr="00293E99" w:rsidRDefault="00293E99" w:rsidP="00293E99">
            <w:pPr>
              <w:jc w:val="center"/>
              <w:rPr>
                <w:rFonts w:ascii="CAIXA Std Book" w:eastAsia="Times New Roman" w:hAnsi="CAIXA Std Book" w:cs="Times New Roman"/>
                <w:b/>
                <w:bCs/>
                <w:color w:val="FFFFFF"/>
                <w:sz w:val="18"/>
                <w:szCs w:val="18"/>
              </w:rPr>
            </w:pPr>
            <w:r w:rsidRPr="00293E99">
              <w:rPr>
                <w:rFonts w:ascii="CAIXA Std Book" w:eastAsia="Times New Roman" w:hAnsi="CAIXA Std Book" w:cs="Times New Roman"/>
                <w:b/>
                <w:bCs/>
                <w:color w:val="FFFFFF"/>
                <w:sz w:val="18"/>
                <w:szCs w:val="18"/>
              </w:rPr>
              <w:t>31/12/2025</w:t>
            </w:r>
          </w:p>
        </w:tc>
        <w:tc>
          <w:tcPr>
            <w:tcW w:w="743" w:type="pct"/>
            <w:tcBorders>
              <w:top w:val="nil"/>
              <w:left w:val="nil"/>
              <w:bottom w:val="nil"/>
              <w:right w:val="nil"/>
            </w:tcBorders>
            <w:shd w:val="clear" w:color="auto" w:fill="005CA9"/>
            <w:vAlign w:val="center"/>
            <w:hideMark/>
          </w:tcPr>
          <w:p w14:paraId="4010A010" w14:textId="77777777" w:rsidR="00293E99" w:rsidRPr="00293E99" w:rsidRDefault="00293E99" w:rsidP="00293E99">
            <w:pPr>
              <w:jc w:val="center"/>
              <w:rPr>
                <w:rFonts w:ascii="CAIXA Std Book" w:eastAsia="Times New Roman" w:hAnsi="CAIXA Std Book" w:cs="Times New Roman"/>
                <w:b/>
                <w:bCs/>
                <w:color w:val="FFFFFF"/>
                <w:sz w:val="18"/>
                <w:szCs w:val="18"/>
              </w:rPr>
            </w:pPr>
            <w:r w:rsidRPr="00293E99">
              <w:rPr>
                <w:rFonts w:ascii="CAIXA Std Book" w:eastAsia="Times New Roman" w:hAnsi="CAIXA Std Book" w:cs="Times New Roman"/>
                <w:b/>
                <w:bCs/>
                <w:color w:val="FFFFFF"/>
                <w:sz w:val="18"/>
                <w:szCs w:val="18"/>
              </w:rPr>
              <w:t>31/03/2026</w:t>
            </w:r>
          </w:p>
        </w:tc>
        <w:tc>
          <w:tcPr>
            <w:tcW w:w="741" w:type="pct"/>
            <w:tcBorders>
              <w:top w:val="nil"/>
              <w:left w:val="nil"/>
              <w:bottom w:val="nil"/>
              <w:right w:val="nil"/>
            </w:tcBorders>
            <w:shd w:val="clear" w:color="auto" w:fill="005CA9"/>
            <w:vAlign w:val="center"/>
            <w:hideMark/>
          </w:tcPr>
          <w:p w14:paraId="58D96891" w14:textId="77777777" w:rsidR="00293E99" w:rsidRPr="00293E99" w:rsidRDefault="00293E99" w:rsidP="00293E99">
            <w:pPr>
              <w:jc w:val="center"/>
              <w:rPr>
                <w:rFonts w:ascii="CAIXA Std Book" w:eastAsia="Times New Roman" w:hAnsi="CAIXA Std Book" w:cs="Times New Roman"/>
                <w:b/>
                <w:bCs/>
                <w:color w:val="FFFFFF"/>
                <w:sz w:val="18"/>
                <w:szCs w:val="18"/>
              </w:rPr>
            </w:pPr>
            <w:r w:rsidRPr="00293E99">
              <w:rPr>
                <w:rFonts w:ascii="CAIXA Std Book" w:eastAsia="Times New Roman" w:hAnsi="CAIXA Std Book" w:cs="Times New Roman"/>
                <w:b/>
                <w:bCs/>
                <w:color w:val="FFFFFF"/>
                <w:sz w:val="18"/>
                <w:szCs w:val="18"/>
              </w:rPr>
              <w:t>31/12/2025</w:t>
            </w:r>
          </w:p>
        </w:tc>
      </w:tr>
      <w:tr w:rsidR="00D24E2F" w:rsidRPr="00293E99" w14:paraId="325F4129" w14:textId="77777777" w:rsidTr="002F24F0">
        <w:trPr>
          <w:trHeight w:val="283"/>
        </w:trPr>
        <w:tc>
          <w:tcPr>
            <w:tcW w:w="2030" w:type="pct"/>
            <w:tcBorders>
              <w:top w:val="nil"/>
              <w:left w:val="nil"/>
              <w:bottom w:val="nil"/>
              <w:right w:val="nil"/>
            </w:tcBorders>
            <w:noWrap/>
            <w:vAlign w:val="center"/>
            <w:hideMark/>
          </w:tcPr>
          <w:p w14:paraId="77732AFB" w14:textId="77777777" w:rsidR="00D24E2F" w:rsidRPr="00293E99" w:rsidRDefault="00D24E2F" w:rsidP="00D24E2F">
            <w:pPr>
              <w:jc w:val="center"/>
              <w:rPr>
                <w:rFonts w:ascii="CAIXA Std Book" w:eastAsia="Times New Roman" w:hAnsi="CAIXA Std Book" w:cs="Times New Roman"/>
                <w:color w:val="005CA9"/>
                <w:sz w:val="18"/>
                <w:szCs w:val="18"/>
              </w:rPr>
            </w:pPr>
            <w:r w:rsidRPr="00293E99">
              <w:rPr>
                <w:rFonts w:ascii="CAIXA Std Book" w:eastAsia="Times New Roman" w:hAnsi="CAIXA Std Book" w:cs="Times New Roman"/>
                <w:color w:val="005CA9"/>
                <w:sz w:val="18"/>
                <w:szCs w:val="18"/>
              </w:rPr>
              <w:t>2026</w:t>
            </w:r>
          </w:p>
        </w:tc>
        <w:tc>
          <w:tcPr>
            <w:tcW w:w="743" w:type="pct"/>
            <w:tcBorders>
              <w:top w:val="nil"/>
              <w:left w:val="nil"/>
              <w:bottom w:val="nil"/>
              <w:right w:val="nil"/>
            </w:tcBorders>
            <w:shd w:val="clear" w:color="000000" w:fill="FFFFFF"/>
            <w:noWrap/>
            <w:vAlign w:val="center"/>
            <w:hideMark/>
          </w:tcPr>
          <w:p w14:paraId="1844D9FE" w14:textId="435F0E89" w:rsidR="00D24E2F" w:rsidRPr="00293E99" w:rsidRDefault="00D24E2F" w:rsidP="001043F9">
            <w:pPr>
              <w:jc w:val="center"/>
              <w:rPr>
                <w:rFonts w:ascii="CAIXA Std Book" w:eastAsia="Times New Roman" w:hAnsi="CAIXA Std Book" w:cs="Times New Roman"/>
                <w:color w:val="005CA9"/>
                <w:sz w:val="18"/>
                <w:szCs w:val="18"/>
              </w:rPr>
            </w:pPr>
            <w:r w:rsidRPr="00D24E2F">
              <w:rPr>
                <w:rFonts w:ascii="CAIXA Std Book" w:eastAsia="Times New Roman" w:hAnsi="CAIXA Std Book" w:cs="Times New Roman"/>
                <w:color w:val="005CA9"/>
                <w:sz w:val="18"/>
                <w:szCs w:val="18"/>
              </w:rPr>
              <w:t>4.239.55</w:t>
            </w:r>
            <w:r w:rsidR="005E4AD2">
              <w:rPr>
                <w:rFonts w:ascii="CAIXA Std Book" w:eastAsia="Times New Roman" w:hAnsi="CAIXA Std Book" w:cs="Times New Roman"/>
                <w:color w:val="005CA9"/>
                <w:sz w:val="18"/>
                <w:szCs w:val="18"/>
              </w:rPr>
              <w:t>5</w:t>
            </w:r>
          </w:p>
        </w:tc>
        <w:tc>
          <w:tcPr>
            <w:tcW w:w="743" w:type="pct"/>
            <w:tcBorders>
              <w:top w:val="nil"/>
              <w:left w:val="nil"/>
              <w:bottom w:val="nil"/>
              <w:right w:val="nil"/>
            </w:tcBorders>
            <w:shd w:val="clear" w:color="000000" w:fill="FFFFFF"/>
            <w:noWrap/>
            <w:vAlign w:val="center"/>
            <w:hideMark/>
          </w:tcPr>
          <w:p w14:paraId="246BB406" w14:textId="77777777" w:rsidR="00D24E2F" w:rsidRPr="00293E99" w:rsidRDefault="00D24E2F" w:rsidP="001043F9">
            <w:pPr>
              <w:jc w:val="center"/>
              <w:rPr>
                <w:rFonts w:ascii="CAIXA Std Book" w:eastAsia="Times New Roman" w:hAnsi="CAIXA Std Book" w:cs="Times New Roman"/>
                <w:color w:val="005CA9"/>
                <w:sz w:val="18"/>
                <w:szCs w:val="18"/>
              </w:rPr>
            </w:pPr>
            <w:r w:rsidRPr="00293E99">
              <w:rPr>
                <w:rFonts w:ascii="CAIXA Std Book" w:eastAsia="Times New Roman" w:hAnsi="CAIXA Std Book" w:cs="Times New Roman"/>
                <w:color w:val="005CA9"/>
                <w:sz w:val="18"/>
                <w:szCs w:val="18"/>
              </w:rPr>
              <w:t>9.372.833</w:t>
            </w:r>
          </w:p>
        </w:tc>
        <w:tc>
          <w:tcPr>
            <w:tcW w:w="743" w:type="pct"/>
            <w:tcBorders>
              <w:top w:val="nil"/>
              <w:left w:val="nil"/>
              <w:bottom w:val="nil"/>
              <w:right w:val="nil"/>
            </w:tcBorders>
            <w:shd w:val="clear" w:color="000000" w:fill="FFFFFF"/>
            <w:noWrap/>
            <w:vAlign w:val="center"/>
            <w:hideMark/>
          </w:tcPr>
          <w:p w14:paraId="52E62059" w14:textId="7C8243D4" w:rsidR="00D24E2F" w:rsidRPr="00293E99" w:rsidRDefault="00760D3A" w:rsidP="00D24E2F">
            <w:pPr>
              <w:jc w:val="center"/>
              <w:rPr>
                <w:rFonts w:ascii="CAIXA Std Book" w:eastAsia="Times New Roman" w:hAnsi="CAIXA Std Book" w:cs="Times New Roman"/>
                <w:color w:val="005CA9"/>
                <w:sz w:val="18"/>
                <w:szCs w:val="18"/>
              </w:rPr>
            </w:pPr>
            <w:r w:rsidRPr="001F6A28">
              <w:rPr>
                <w:rFonts w:ascii="CAIXA Std Book" w:eastAsia="Times New Roman" w:hAnsi="CAIXA Std Book" w:cs="Times New Roman"/>
                <w:color w:val="005CA9"/>
                <w:sz w:val="18"/>
                <w:szCs w:val="18"/>
              </w:rPr>
              <w:t>237.821</w:t>
            </w:r>
          </w:p>
        </w:tc>
        <w:tc>
          <w:tcPr>
            <w:tcW w:w="741" w:type="pct"/>
            <w:tcBorders>
              <w:top w:val="nil"/>
              <w:left w:val="nil"/>
              <w:bottom w:val="nil"/>
              <w:right w:val="nil"/>
            </w:tcBorders>
            <w:shd w:val="clear" w:color="000000" w:fill="FFFFFF"/>
            <w:noWrap/>
            <w:vAlign w:val="center"/>
            <w:hideMark/>
          </w:tcPr>
          <w:p w14:paraId="6173CBD3" w14:textId="77777777" w:rsidR="00D24E2F" w:rsidRPr="00293E99" w:rsidRDefault="00D24E2F" w:rsidP="001043F9">
            <w:pPr>
              <w:jc w:val="center"/>
              <w:rPr>
                <w:rFonts w:ascii="CAIXA Std Book" w:eastAsia="Times New Roman" w:hAnsi="CAIXA Std Book" w:cs="Times New Roman"/>
                <w:color w:val="005CA9"/>
                <w:sz w:val="18"/>
                <w:szCs w:val="18"/>
              </w:rPr>
            </w:pPr>
            <w:r w:rsidRPr="00293E99">
              <w:rPr>
                <w:rFonts w:ascii="CAIXA Std Book" w:eastAsia="Times New Roman" w:hAnsi="CAIXA Std Book" w:cs="Times New Roman"/>
                <w:color w:val="005CA9"/>
                <w:sz w:val="18"/>
                <w:szCs w:val="18"/>
              </w:rPr>
              <w:t>237.821</w:t>
            </w:r>
          </w:p>
        </w:tc>
      </w:tr>
      <w:tr w:rsidR="00D24E2F" w:rsidRPr="00293E99" w14:paraId="3620A77A" w14:textId="77777777" w:rsidTr="002F24F0">
        <w:trPr>
          <w:trHeight w:val="283"/>
        </w:trPr>
        <w:tc>
          <w:tcPr>
            <w:tcW w:w="2030" w:type="pct"/>
            <w:tcBorders>
              <w:top w:val="nil"/>
              <w:left w:val="nil"/>
              <w:bottom w:val="nil"/>
              <w:right w:val="nil"/>
            </w:tcBorders>
            <w:noWrap/>
            <w:vAlign w:val="center"/>
            <w:hideMark/>
          </w:tcPr>
          <w:p w14:paraId="0B537DC4" w14:textId="77777777" w:rsidR="00D24E2F" w:rsidRPr="00293E99" w:rsidRDefault="00D24E2F" w:rsidP="00D24E2F">
            <w:pPr>
              <w:jc w:val="center"/>
              <w:rPr>
                <w:rFonts w:ascii="CAIXA Std Book" w:eastAsia="Times New Roman" w:hAnsi="CAIXA Std Book" w:cs="Times New Roman"/>
                <w:color w:val="005CA9"/>
                <w:sz w:val="18"/>
                <w:szCs w:val="18"/>
              </w:rPr>
            </w:pPr>
            <w:r w:rsidRPr="00293E99">
              <w:rPr>
                <w:rFonts w:ascii="CAIXA Std Book" w:eastAsia="Times New Roman" w:hAnsi="CAIXA Std Book" w:cs="Times New Roman"/>
                <w:color w:val="005CA9"/>
                <w:sz w:val="18"/>
                <w:szCs w:val="18"/>
              </w:rPr>
              <w:t>2027</w:t>
            </w:r>
          </w:p>
        </w:tc>
        <w:tc>
          <w:tcPr>
            <w:tcW w:w="743" w:type="pct"/>
            <w:tcBorders>
              <w:top w:val="nil"/>
              <w:left w:val="nil"/>
              <w:bottom w:val="nil"/>
              <w:right w:val="nil"/>
            </w:tcBorders>
            <w:shd w:val="clear" w:color="000000" w:fill="FFFFFF"/>
            <w:noWrap/>
            <w:vAlign w:val="center"/>
            <w:hideMark/>
          </w:tcPr>
          <w:p w14:paraId="1D0C80B4" w14:textId="3EE63E17" w:rsidR="00D24E2F" w:rsidRPr="00293E99" w:rsidRDefault="00D24E2F" w:rsidP="001043F9">
            <w:pPr>
              <w:jc w:val="center"/>
              <w:rPr>
                <w:rFonts w:ascii="CAIXA Std Book" w:eastAsia="Times New Roman" w:hAnsi="CAIXA Std Book" w:cs="Times New Roman"/>
                <w:color w:val="005CA9"/>
                <w:sz w:val="18"/>
                <w:szCs w:val="18"/>
              </w:rPr>
            </w:pPr>
            <w:r w:rsidRPr="00D24E2F">
              <w:rPr>
                <w:rFonts w:ascii="CAIXA Std Book" w:eastAsia="Times New Roman" w:hAnsi="CAIXA Std Book" w:cs="Times New Roman"/>
                <w:color w:val="005CA9"/>
                <w:sz w:val="18"/>
                <w:szCs w:val="18"/>
              </w:rPr>
              <w:t>6.125.361</w:t>
            </w:r>
          </w:p>
        </w:tc>
        <w:tc>
          <w:tcPr>
            <w:tcW w:w="743" w:type="pct"/>
            <w:tcBorders>
              <w:top w:val="nil"/>
              <w:left w:val="nil"/>
              <w:bottom w:val="nil"/>
              <w:right w:val="nil"/>
            </w:tcBorders>
            <w:shd w:val="clear" w:color="000000" w:fill="FFFFFF"/>
            <w:noWrap/>
            <w:vAlign w:val="center"/>
            <w:hideMark/>
          </w:tcPr>
          <w:p w14:paraId="03B22B39" w14:textId="77777777" w:rsidR="00D24E2F" w:rsidRPr="00293E99" w:rsidRDefault="00D24E2F" w:rsidP="001043F9">
            <w:pPr>
              <w:jc w:val="center"/>
              <w:rPr>
                <w:rFonts w:ascii="CAIXA Std Book" w:eastAsia="Times New Roman" w:hAnsi="CAIXA Std Book" w:cs="Times New Roman"/>
                <w:color w:val="005CA9"/>
                <w:sz w:val="18"/>
                <w:szCs w:val="18"/>
              </w:rPr>
            </w:pPr>
            <w:r w:rsidRPr="00293E99">
              <w:rPr>
                <w:rFonts w:ascii="CAIXA Std Book" w:eastAsia="Times New Roman" w:hAnsi="CAIXA Std Book" w:cs="Times New Roman"/>
                <w:color w:val="005CA9"/>
                <w:sz w:val="18"/>
                <w:szCs w:val="18"/>
              </w:rPr>
              <w:t>5.958.019</w:t>
            </w:r>
          </w:p>
        </w:tc>
        <w:tc>
          <w:tcPr>
            <w:tcW w:w="743" w:type="pct"/>
            <w:tcBorders>
              <w:top w:val="nil"/>
              <w:left w:val="nil"/>
              <w:bottom w:val="nil"/>
              <w:right w:val="nil"/>
            </w:tcBorders>
            <w:shd w:val="clear" w:color="000000" w:fill="FFFFFF"/>
            <w:noWrap/>
            <w:vAlign w:val="center"/>
            <w:hideMark/>
          </w:tcPr>
          <w:p w14:paraId="6530D52A" w14:textId="0A6E40DB" w:rsidR="00D24E2F" w:rsidRPr="00293E99" w:rsidRDefault="00760D3A" w:rsidP="00D24E2F">
            <w:pPr>
              <w:jc w:val="center"/>
              <w:rPr>
                <w:rFonts w:ascii="CAIXA Std Book" w:eastAsia="Times New Roman" w:hAnsi="CAIXA Std Book" w:cs="Times New Roman"/>
                <w:color w:val="005CA9"/>
                <w:sz w:val="18"/>
                <w:szCs w:val="18"/>
              </w:rPr>
            </w:pPr>
            <w:r w:rsidRPr="001F6A28">
              <w:rPr>
                <w:rFonts w:ascii="CAIXA Std Book" w:eastAsia="Times New Roman" w:hAnsi="CAIXA Std Book" w:cs="Times New Roman"/>
                <w:color w:val="005CA9"/>
                <w:sz w:val="18"/>
                <w:szCs w:val="18"/>
              </w:rPr>
              <w:t>221.685</w:t>
            </w:r>
          </w:p>
        </w:tc>
        <w:tc>
          <w:tcPr>
            <w:tcW w:w="741" w:type="pct"/>
            <w:tcBorders>
              <w:top w:val="nil"/>
              <w:left w:val="nil"/>
              <w:bottom w:val="nil"/>
              <w:right w:val="nil"/>
            </w:tcBorders>
            <w:shd w:val="clear" w:color="000000" w:fill="FFFFFF"/>
            <w:noWrap/>
            <w:vAlign w:val="center"/>
            <w:hideMark/>
          </w:tcPr>
          <w:p w14:paraId="1D6E9396" w14:textId="77777777" w:rsidR="00D24E2F" w:rsidRPr="00293E99" w:rsidRDefault="00D24E2F" w:rsidP="001043F9">
            <w:pPr>
              <w:jc w:val="center"/>
              <w:rPr>
                <w:rFonts w:ascii="CAIXA Std Book" w:eastAsia="Times New Roman" w:hAnsi="CAIXA Std Book" w:cs="Times New Roman"/>
                <w:color w:val="005CA9"/>
                <w:sz w:val="18"/>
                <w:szCs w:val="18"/>
              </w:rPr>
            </w:pPr>
            <w:r w:rsidRPr="00293E99">
              <w:rPr>
                <w:rFonts w:ascii="CAIXA Std Book" w:eastAsia="Times New Roman" w:hAnsi="CAIXA Std Book" w:cs="Times New Roman"/>
                <w:color w:val="005CA9"/>
                <w:sz w:val="18"/>
                <w:szCs w:val="18"/>
              </w:rPr>
              <w:t>221.685</w:t>
            </w:r>
          </w:p>
        </w:tc>
      </w:tr>
      <w:tr w:rsidR="00D24E2F" w:rsidRPr="00293E99" w14:paraId="33EE3A5C" w14:textId="77777777" w:rsidTr="002F24F0">
        <w:trPr>
          <w:trHeight w:val="283"/>
        </w:trPr>
        <w:tc>
          <w:tcPr>
            <w:tcW w:w="2030" w:type="pct"/>
            <w:tcBorders>
              <w:top w:val="nil"/>
              <w:left w:val="nil"/>
              <w:bottom w:val="nil"/>
              <w:right w:val="nil"/>
            </w:tcBorders>
            <w:noWrap/>
            <w:vAlign w:val="center"/>
            <w:hideMark/>
          </w:tcPr>
          <w:p w14:paraId="1DC5BFD3" w14:textId="77777777" w:rsidR="00D24E2F" w:rsidRPr="00293E99" w:rsidRDefault="00D24E2F" w:rsidP="00D24E2F">
            <w:pPr>
              <w:jc w:val="center"/>
              <w:rPr>
                <w:rFonts w:ascii="CAIXA Std Book" w:eastAsia="Times New Roman" w:hAnsi="CAIXA Std Book" w:cs="Times New Roman"/>
                <w:color w:val="005CA9"/>
                <w:sz w:val="18"/>
                <w:szCs w:val="18"/>
              </w:rPr>
            </w:pPr>
            <w:r w:rsidRPr="00293E99">
              <w:rPr>
                <w:rFonts w:ascii="CAIXA Std Book" w:eastAsia="Times New Roman" w:hAnsi="CAIXA Std Book" w:cs="Times New Roman"/>
                <w:color w:val="005CA9"/>
                <w:sz w:val="18"/>
                <w:szCs w:val="18"/>
              </w:rPr>
              <w:t>2028</w:t>
            </w:r>
          </w:p>
        </w:tc>
        <w:tc>
          <w:tcPr>
            <w:tcW w:w="743" w:type="pct"/>
            <w:tcBorders>
              <w:top w:val="nil"/>
              <w:left w:val="nil"/>
              <w:bottom w:val="nil"/>
              <w:right w:val="nil"/>
            </w:tcBorders>
            <w:shd w:val="clear" w:color="000000" w:fill="FFFFFF"/>
            <w:noWrap/>
            <w:vAlign w:val="center"/>
            <w:hideMark/>
          </w:tcPr>
          <w:p w14:paraId="465CC696" w14:textId="7BAF3B84" w:rsidR="00D24E2F" w:rsidRPr="00293E99" w:rsidRDefault="00D24E2F" w:rsidP="001043F9">
            <w:pPr>
              <w:jc w:val="center"/>
              <w:rPr>
                <w:rFonts w:ascii="CAIXA Std Book" w:eastAsia="Times New Roman" w:hAnsi="CAIXA Std Book" w:cs="Times New Roman"/>
                <w:color w:val="005CA9"/>
                <w:sz w:val="18"/>
                <w:szCs w:val="18"/>
              </w:rPr>
            </w:pPr>
            <w:r w:rsidRPr="00D24E2F">
              <w:rPr>
                <w:rFonts w:ascii="CAIXA Std Book" w:eastAsia="Times New Roman" w:hAnsi="CAIXA Std Book" w:cs="Times New Roman"/>
                <w:color w:val="005CA9"/>
                <w:sz w:val="18"/>
                <w:szCs w:val="18"/>
              </w:rPr>
              <w:t>712.096</w:t>
            </w:r>
          </w:p>
        </w:tc>
        <w:tc>
          <w:tcPr>
            <w:tcW w:w="743" w:type="pct"/>
            <w:tcBorders>
              <w:top w:val="nil"/>
              <w:left w:val="nil"/>
              <w:bottom w:val="nil"/>
              <w:right w:val="nil"/>
            </w:tcBorders>
            <w:shd w:val="clear" w:color="000000" w:fill="FFFFFF"/>
            <w:noWrap/>
            <w:vAlign w:val="center"/>
            <w:hideMark/>
          </w:tcPr>
          <w:p w14:paraId="703B4686" w14:textId="77777777" w:rsidR="00D24E2F" w:rsidRPr="00293E99" w:rsidRDefault="00D24E2F" w:rsidP="001043F9">
            <w:pPr>
              <w:jc w:val="center"/>
              <w:rPr>
                <w:rFonts w:ascii="CAIXA Std Book" w:eastAsia="Times New Roman" w:hAnsi="CAIXA Std Book" w:cs="Times New Roman"/>
                <w:color w:val="005CA9"/>
                <w:sz w:val="18"/>
                <w:szCs w:val="18"/>
              </w:rPr>
            </w:pPr>
            <w:r w:rsidRPr="00293E99">
              <w:rPr>
                <w:rFonts w:ascii="CAIXA Std Book" w:eastAsia="Times New Roman" w:hAnsi="CAIXA Std Book" w:cs="Times New Roman"/>
                <w:color w:val="005CA9"/>
                <w:sz w:val="18"/>
                <w:szCs w:val="18"/>
              </w:rPr>
              <w:t>697.465</w:t>
            </w:r>
          </w:p>
        </w:tc>
        <w:tc>
          <w:tcPr>
            <w:tcW w:w="743" w:type="pct"/>
            <w:tcBorders>
              <w:top w:val="nil"/>
              <w:left w:val="nil"/>
              <w:bottom w:val="nil"/>
              <w:right w:val="nil"/>
            </w:tcBorders>
            <w:shd w:val="clear" w:color="000000" w:fill="FFFFFF"/>
            <w:noWrap/>
            <w:vAlign w:val="center"/>
            <w:hideMark/>
          </w:tcPr>
          <w:p w14:paraId="2D0D814F" w14:textId="12455A86" w:rsidR="00D24E2F" w:rsidRPr="00293E99" w:rsidRDefault="00760D3A" w:rsidP="00D24E2F">
            <w:pPr>
              <w:jc w:val="center"/>
              <w:rPr>
                <w:rFonts w:ascii="CAIXA Std Book" w:eastAsia="Times New Roman" w:hAnsi="CAIXA Std Book" w:cs="Times New Roman"/>
                <w:color w:val="005CA9"/>
                <w:sz w:val="18"/>
                <w:szCs w:val="18"/>
              </w:rPr>
            </w:pPr>
            <w:r w:rsidRPr="001F6A28">
              <w:rPr>
                <w:rFonts w:ascii="CAIXA Std Book" w:eastAsia="Times New Roman" w:hAnsi="CAIXA Std Book" w:cs="Times New Roman"/>
                <w:color w:val="005CA9"/>
                <w:sz w:val="18"/>
                <w:szCs w:val="18"/>
              </w:rPr>
              <w:t>207.</w:t>
            </w:r>
            <w:r w:rsidR="006268D3" w:rsidRPr="006268D3">
              <w:rPr>
                <w:rFonts w:ascii="CAIXA Std Book" w:eastAsia="Times New Roman" w:hAnsi="CAIXA Std Book" w:cs="Times New Roman"/>
                <w:color w:val="005CA9"/>
                <w:sz w:val="18"/>
                <w:szCs w:val="18"/>
              </w:rPr>
              <w:t>631</w:t>
            </w:r>
          </w:p>
        </w:tc>
        <w:tc>
          <w:tcPr>
            <w:tcW w:w="741" w:type="pct"/>
            <w:tcBorders>
              <w:top w:val="nil"/>
              <w:left w:val="nil"/>
              <w:bottom w:val="nil"/>
              <w:right w:val="nil"/>
            </w:tcBorders>
            <w:shd w:val="clear" w:color="000000" w:fill="FFFFFF"/>
            <w:noWrap/>
            <w:vAlign w:val="center"/>
            <w:hideMark/>
          </w:tcPr>
          <w:p w14:paraId="7A268CA3" w14:textId="77777777" w:rsidR="00D24E2F" w:rsidRPr="00293E99" w:rsidRDefault="00D24E2F" w:rsidP="001043F9">
            <w:pPr>
              <w:jc w:val="center"/>
              <w:rPr>
                <w:rFonts w:ascii="CAIXA Std Book" w:eastAsia="Times New Roman" w:hAnsi="CAIXA Std Book" w:cs="Times New Roman"/>
                <w:color w:val="005CA9"/>
                <w:sz w:val="18"/>
                <w:szCs w:val="18"/>
              </w:rPr>
            </w:pPr>
            <w:r w:rsidRPr="00293E99">
              <w:rPr>
                <w:rFonts w:ascii="CAIXA Std Book" w:eastAsia="Times New Roman" w:hAnsi="CAIXA Std Book" w:cs="Times New Roman"/>
                <w:color w:val="005CA9"/>
                <w:sz w:val="18"/>
                <w:szCs w:val="18"/>
              </w:rPr>
              <w:t>207.631</w:t>
            </w:r>
          </w:p>
        </w:tc>
      </w:tr>
      <w:tr w:rsidR="00D24E2F" w:rsidRPr="00293E99" w14:paraId="2FD7CA77" w14:textId="77777777" w:rsidTr="002F24F0">
        <w:trPr>
          <w:trHeight w:val="283"/>
        </w:trPr>
        <w:tc>
          <w:tcPr>
            <w:tcW w:w="2030" w:type="pct"/>
            <w:tcBorders>
              <w:top w:val="nil"/>
              <w:left w:val="nil"/>
              <w:bottom w:val="nil"/>
              <w:right w:val="nil"/>
            </w:tcBorders>
            <w:noWrap/>
            <w:vAlign w:val="center"/>
            <w:hideMark/>
          </w:tcPr>
          <w:p w14:paraId="554199B0" w14:textId="77777777" w:rsidR="00D24E2F" w:rsidRPr="00293E99" w:rsidRDefault="00D24E2F" w:rsidP="00D24E2F">
            <w:pPr>
              <w:jc w:val="center"/>
              <w:rPr>
                <w:rFonts w:ascii="CAIXA Std Book" w:eastAsia="Times New Roman" w:hAnsi="CAIXA Std Book" w:cs="Times New Roman"/>
                <w:color w:val="005CA9"/>
                <w:sz w:val="18"/>
                <w:szCs w:val="18"/>
              </w:rPr>
            </w:pPr>
            <w:r w:rsidRPr="00293E99">
              <w:rPr>
                <w:rFonts w:ascii="CAIXA Std Book" w:eastAsia="Times New Roman" w:hAnsi="CAIXA Std Book" w:cs="Times New Roman"/>
                <w:color w:val="005CA9"/>
                <w:sz w:val="18"/>
                <w:szCs w:val="18"/>
              </w:rPr>
              <w:t>2029</w:t>
            </w:r>
          </w:p>
        </w:tc>
        <w:tc>
          <w:tcPr>
            <w:tcW w:w="743" w:type="pct"/>
            <w:tcBorders>
              <w:top w:val="nil"/>
              <w:left w:val="nil"/>
              <w:bottom w:val="nil"/>
              <w:right w:val="nil"/>
            </w:tcBorders>
            <w:shd w:val="clear" w:color="000000" w:fill="FFFFFF"/>
            <w:noWrap/>
            <w:vAlign w:val="center"/>
            <w:hideMark/>
          </w:tcPr>
          <w:p w14:paraId="50B1CC9A" w14:textId="504653F1" w:rsidR="00D24E2F" w:rsidRPr="00293E99" w:rsidRDefault="00D24E2F" w:rsidP="001043F9">
            <w:pPr>
              <w:jc w:val="center"/>
              <w:rPr>
                <w:rFonts w:ascii="CAIXA Std Book" w:eastAsia="Times New Roman" w:hAnsi="CAIXA Std Book" w:cs="Times New Roman"/>
                <w:color w:val="005CA9"/>
                <w:sz w:val="18"/>
                <w:szCs w:val="18"/>
              </w:rPr>
            </w:pPr>
            <w:r w:rsidRPr="00D24E2F">
              <w:rPr>
                <w:rFonts w:ascii="CAIXA Std Book" w:eastAsia="Times New Roman" w:hAnsi="CAIXA Std Book" w:cs="Times New Roman"/>
                <w:color w:val="005CA9"/>
                <w:sz w:val="18"/>
                <w:szCs w:val="18"/>
              </w:rPr>
              <w:t>172.821</w:t>
            </w:r>
          </w:p>
        </w:tc>
        <w:tc>
          <w:tcPr>
            <w:tcW w:w="743" w:type="pct"/>
            <w:tcBorders>
              <w:top w:val="nil"/>
              <w:left w:val="nil"/>
              <w:bottom w:val="nil"/>
              <w:right w:val="nil"/>
            </w:tcBorders>
            <w:shd w:val="clear" w:color="000000" w:fill="FFFFFF"/>
            <w:noWrap/>
            <w:vAlign w:val="center"/>
            <w:hideMark/>
          </w:tcPr>
          <w:p w14:paraId="50031DB7" w14:textId="77777777" w:rsidR="00D24E2F" w:rsidRPr="00293E99" w:rsidRDefault="00D24E2F" w:rsidP="001043F9">
            <w:pPr>
              <w:jc w:val="center"/>
              <w:rPr>
                <w:rFonts w:ascii="CAIXA Std Book" w:eastAsia="Times New Roman" w:hAnsi="CAIXA Std Book" w:cs="Times New Roman"/>
                <w:color w:val="005CA9"/>
                <w:sz w:val="18"/>
                <w:szCs w:val="18"/>
              </w:rPr>
            </w:pPr>
            <w:r w:rsidRPr="00293E99">
              <w:rPr>
                <w:rFonts w:ascii="CAIXA Std Book" w:eastAsia="Times New Roman" w:hAnsi="CAIXA Std Book" w:cs="Times New Roman"/>
                <w:color w:val="005CA9"/>
                <w:sz w:val="18"/>
                <w:szCs w:val="18"/>
              </w:rPr>
              <w:t>169.851</w:t>
            </w:r>
          </w:p>
        </w:tc>
        <w:tc>
          <w:tcPr>
            <w:tcW w:w="743" w:type="pct"/>
            <w:tcBorders>
              <w:top w:val="nil"/>
              <w:left w:val="nil"/>
              <w:bottom w:val="nil"/>
              <w:right w:val="nil"/>
            </w:tcBorders>
            <w:shd w:val="clear" w:color="000000" w:fill="FFFFFF"/>
            <w:noWrap/>
            <w:vAlign w:val="center"/>
            <w:hideMark/>
          </w:tcPr>
          <w:p w14:paraId="2297D34B" w14:textId="04748F03" w:rsidR="00D24E2F" w:rsidRPr="00293E99" w:rsidRDefault="00760D3A" w:rsidP="00D24E2F">
            <w:pPr>
              <w:jc w:val="center"/>
              <w:rPr>
                <w:rFonts w:ascii="CAIXA Std Book" w:eastAsia="Times New Roman" w:hAnsi="CAIXA Std Book" w:cs="Times New Roman"/>
                <w:color w:val="005CA9"/>
                <w:sz w:val="18"/>
                <w:szCs w:val="18"/>
              </w:rPr>
            </w:pPr>
            <w:r w:rsidRPr="001F6A28">
              <w:rPr>
                <w:rFonts w:ascii="CAIXA Std Book" w:eastAsia="Times New Roman" w:hAnsi="CAIXA Std Book" w:cs="Times New Roman"/>
                <w:color w:val="005CA9"/>
                <w:sz w:val="18"/>
                <w:szCs w:val="18"/>
              </w:rPr>
              <w:t>195.289</w:t>
            </w:r>
          </w:p>
        </w:tc>
        <w:tc>
          <w:tcPr>
            <w:tcW w:w="741" w:type="pct"/>
            <w:tcBorders>
              <w:top w:val="nil"/>
              <w:left w:val="nil"/>
              <w:bottom w:val="nil"/>
              <w:right w:val="nil"/>
            </w:tcBorders>
            <w:shd w:val="clear" w:color="000000" w:fill="FFFFFF"/>
            <w:noWrap/>
            <w:vAlign w:val="center"/>
            <w:hideMark/>
          </w:tcPr>
          <w:p w14:paraId="3591A79C" w14:textId="77777777" w:rsidR="00D24E2F" w:rsidRPr="00293E99" w:rsidRDefault="00D24E2F" w:rsidP="001043F9">
            <w:pPr>
              <w:jc w:val="center"/>
              <w:rPr>
                <w:rFonts w:ascii="CAIXA Std Book" w:eastAsia="Times New Roman" w:hAnsi="CAIXA Std Book" w:cs="Times New Roman"/>
                <w:color w:val="005CA9"/>
                <w:sz w:val="18"/>
                <w:szCs w:val="18"/>
              </w:rPr>
            </w:pPr>
            <w:r w:rsidRPr="00293E99">
              <w:rPr>
                <w:rFonts w:ascii="CAIXA Std Book" w:eastAsia="Times New Roman" w:hAnsi="CAIXA Std Book" w:cs="Times New Roman"/>
                <w:color w:val="005CA9"/>
                <w:sz w:val="18"/>
                <w:szCs w:val="18"/>
              </w:rPr>
              <w:t>195.289</w:t>
            </w:r>
          </w:p>
        </w:tc>
      </w:tr>
      <w:tr w:rsidR="00D24E2F" w:rsidRPr="00293E99" w14:paraId="532EEA5B" w14:textId="77777777" w:rsidTr="002F24F0">
        <w:trPr>
          <w:trHeight w:val="283"/>
        </w:trPr>
        <w:tc>
          <w:tcPr>
            <w:tcW w:w="2030" w:type="pct"/>
            <w:tcBorders>
              <w:top w:val="nil"/>
              <w:left w:val="nil"/>
              <w:bottom w:val="nil"/>
              <w:right w:val="nil"/>
            </w:tcBorders>
            <w:noWrap/>
            <w:vAlign w:val="center"/>
            <w:hideMark/>
          </w:tcPr>
          <w:p w14:paraId="047EF2F4" w14:textId="77777777" w:rsidR="00D24E2F" w:rsidRPr="00293E99" w:rsidRDefault="00D24E2F" w:rsidP="00D24E2F">
            <w:pPr>
              <w:jc w:val="center"/>
              <w:rPr>
                <w:rFonts w:ascii="CAIXA Std Book" w:eastAsia="Times New Roman" w:hAnsi="CAIXA Std Book" w:cs="Times New Roman"/>
                <w:color w:val="005CA9"/>
                <w:sz w:val="18"/>
                <w:szCs w:val="18"/>
              </w:rPr>
            </w:pPr>
            <w:r w:rsidRPr="00293E99">
              <w:rPr>
                <w:rFonts w:ascii="CAIXA Std Book" w:eastAsia="Times New Roman" w:hAnsi="CAIXA Std Book" w:cs="Times New Roman"/>
                <w:color w:val="005CA9"/>
                <w:sz w:val="18"/>
                <w:szCs w:val="18"/>
              </w:rPr>
              <w:t>2030</w:t>
            </w:r>
          </w:p>
        </w:tc>
        <w:tc>
          <w:tcPr>
            <w:tcW w:w="743" w:type="pct"/>
            <w:tcBorders>
              <w:top w:val="nil"/>
              <w:left w:val="nil"/>
              <w:bottom w:val="nil"/>
              <w:right w:val="nil"/>
            </w:tcBorders>
            <w:shd w:val="clear" w:color="000000" w:fill="FFFFFF"/>
            <w:noWrap/>
            <w:vAlign w:val="center"/>
            <w:hideMark/>
          </w:tcPr>
          <w:p w14:paraId="153B2534" w14:textId="301AC2C6" w:rsidR="00D24E2F" w:rsidRPr="00293E99" w:rsidRDefault="00A60CAF" w:rsidP="00A60CAF">
            <w:pPr>
              <w:jc w:val="center"/>
              <w:rPr>
                <w:rFonts w:ascii="CAIXA Std Book" w:eastAsia="Times New Roman" w:hAnsi="CAIXA Std Book" w:cs="Times New Roman"/>
                <w:color w:val="005CA9"/>
                <w:sz w:val="18"/>
                <w:szCs w:val="18"/>
              </w:rPr>
            </w:pPr>
            <w:r>
              <w:rPr>
                <w:rFonts w:ascii="CAIXA Std Book" w:eastAsia="Times New Roman" w:hAnsi="CAIXA Std Book" w:cs="Times New Roman"/>
                <w:color w:val="005CA9"/>
                <w:sz w:val="18"/>
                <w:szCs w:val="18"/>
              </w:rPr>
              <w:t>-</w:t>
            </w:r>
          </w:p>
        </w:tc>
        <w:tc>
          <w:tcPr>
            <w:tcW w:w="743" w:type="pct"/>
            <w:tcBorders>
              <w:top w:val="nil"/>
              <w:left w:val="nil"/>
              <w:bottom w:val="nil"/>
              <w:right w:val="nil"/>
            </w:tcBorders>
            <w:shd w:val="clear" w:color="000000" w:fill="FFFFFF"/>
            <w:noWrap/>
            <w:vAlign w:val="center"/>
            <w:hideMark/>
          </w:tcPr>
          <w:p w14:paraId="190EF5F6" w14:textId="77777777" w:rsidR="00D24E2F" w:rsidRPr="00293E99" w:rsidRDefault="00D24E2F" w:rsidP="00D24E2F">
            <w:pPr>
              <w:jc w:val="center"/>
              <w:rPr>
                <w:rFonts w:ascii="CAIXA Std Book" w:eastAsia="Times New Roman" w:hAnsi="CAIXA Std Book" w:cs="Times New Roman"/>
                <w:color w:val="005CA9"/>
                <w:sz w:val="18"/>
                <w:szCs w:val="18"/>
              </w:rPr>
            </w:pPr>
            <w:r w:rsidRPr="00293E99">
              <w:rPr>
                <w:rFonts w:ascii="CAIXA Std Book" w:eastAsia="Times New Roman" w:hAnsi="CAIXA Std Book" w:cs="Times New Roman"/>
                <w:color w:val="005CA9"/>
                <w:sz w:val="18"/>
                <w:szCs w:val="18"/>
              </w:rPr>
              <w:t>-</w:t>
            </w:r>
          </w:p>
        </w:tc>
        <w:tc>
          <w:tcPr>
            <w:tcW w:w="743" w:type="pct"/>
            <w:tcBorders>
              <w:top w:val="nil"/>
              <w:left w:val="nil"/>
              <w:bottom w:val="nil"/>
              <w:right w:val="nil"/>
            </w:tcBorders>
            <w:shd w:val="clear" w:color="000000" w:fill="FFFFFF"/>
            <w:noWrap/>
            <w:vAlign w:val="center"/>
            <w:hideMark/>
          </w:tcPr>
          <w:p w14:paraId="6DFEAF70" w14:textId="1E79DA4F" w:rsidR="00D24E2F" w:rsidRPr="00293E99" w:rsidRDefault="00760D3A" w:rsidP="00D24E2F">
            <w:pPr>
              <w:jc w:val="center"/>
              <w:rPr>
                <w:rFonts w:ascii="CAIXA Std Book" w:eastAsia="Times New Roman" w:hAnsi="CAIXA Std Book" w:cs="Times New Roman"/>
                <w:color w:val="005CA9"/>
                <w:sz w:val="18"/>
                <w:szCs w:val="18"/>
              </w:rPr>
            </w:pPr>
            <w:r w:rsidRPr="001F6A28">
              <w:rPr>
                <w:rFonts w:ascii="CAIXA Std Book" w:eastAsia="Times New Roman" w:hAnsi="CAIXA Std Book" w:cs="Times New Roman"/>
                <w:color w:val="005CA9"/>
                <w:sz w:val="18"/>
                <w:szCs w:val="18"/>
              </w:rPr>
              <w:t>2.918.359</w:t>
            </w:r>
          </w:p>
        </w:tc>
        <w:tc>
          <w:tcPr>
            <w:tcW w:w="741" w:type="pct"/>
            <w:tcBorders>
              <w:top w:val="nil"/>
              <w:left w:val="nil"/>
              <w:bottom w:val="nil"/>
              <w:right w:val="nil"/>
            </w:tcBorders>
            <w:shd w:val="clear" w:color="000000" w:fill="FFFFFF"/>
            <w:noWrap/>
            <w:vAlign w:val="center"/>
            <w:hideMark/>
          </w:tcPr>
          <w:p w14:paraId="5E9D4A0E" w14:textId="77777777" w:rsidR="00D24E2F" w:rsidRPr="00293E99" w:rsidRDefault="00D24E2F" w:rsidP="001043F9">
            <w:pPr>
              <w:jc w:val="center"/>
              <w:rPr>
                <w:rFonts w:ascii="CAIXA Std Book" w:eastAsia="Times New Roman" w:hAnsi="CAIXA Std Book" w:cs="Times New Roman"/>
                <w:color w:val="005CA9"/>
                <w:sz w:val="18"/>
                <w:szCs w:val="18"/>
              </w:rPr>
            </w:pPr>
            <w:r w:rsidRPr="00293E99">
              <w:rPr>
                <w:rFonts w:ascii="CAIXA Std Book" w:eastAsia="Times New Roman" w:hAnsi="CAIXA Std Book" w:cs="Times New Roman"/>
                <w:color w:val="005CA9"/>
                <w:sz w:val="18"/>
                <w:szCs w:val="18"/>
              </w:rPr>
              <w:t>2.918.359</w:t>
            </w:r>
          </w:p>
        </w:tc>
      </w:tr>
      <w:tr w:rsidR="00D24E2F" w:rsidRPr="00293E99" w14:paraId="54B60F90" w14:textId="77777777" w:rsidTr="002F24F0">
        <w:trPr>
          <w:trHeight w:val="283"/>
        </w:trPr>
        <w:tc>
          <w:tcPr>
            <w:tcW w:w="2030" w:type="pct"/>
            <w:tcBorders>
              <w:top w:val="nil"/>
              <w:left w:val="nil"/>
              <w:bottom w:val="nil"/>
              <w:right w:val="nil"/>
            </w:tcBorders>
            <w:noWrap/>
            <w:vAlign w:val="center"/>
            <w:hideMark/>
          </w:tcPr>
          <w:p w14:paraId="49E174C8" w14:textId="77777777" w:rsidR="00D24E2F" w:rsidRPr="00293E99" w:rsidRDefault="00D24E2F" w:rsidP="00D24E2F">
            <w:pPr>
              <w:jc w:val="center"/>
              <w:rPr>
                <w:rFonts w:ascii="CAIXA Std Book" w:eastAsia="Times New Roman" w:hAnsi="CAIXA Std Book" w:cs="Times New Roman"/>
                <w:color w:val="005CA9"/>
                <w:sz w:val="18"/>
                <w:szCs w:val="18"/>
              </w:rPr>
            </w:pPr>
            <w:r w:rsidRPr="00293E99">
              <w:rPr>
                <w:rFonts w:ascii="CAIXA Std Book" w:eastAsia="Times New Roman" w:hAnsi="CAIXA Std Book" w:cs="Times New Roman"/>
                <w:color w:val="005CA9"/>
                <w:sz w:val="18"/>
                <w:szCs w:val="18"/>
              </w:rPr>
              <w:t>2031</w:t>
            </w:r>
          </w:p>
        </w:tc>
        <w:tc>
          <w:tcPr>
            <w:tcW w:w="743" w:type="pct"/>
            <w:tcBorders>
              <w:top w:val="nil"/>
              <w:left w:val="nil"/>
              <w:bottom w:val="nil"/>
              <w:right w:val="nil"/>
            </w:tcBorders>
            <w:shd w:val="clear" w:color="000000" w:fill="FFFFFF"/>
            <w:noWrap/>
            <w:vAlign w:val="center"/>
            <w:hideMark/>
          </w:tcPr>
          <w:p w14:paraId="694A00AF" w14:textId="461B1182" w:rsidR="00D24E2F" w:rsidRPr="00293E99" w:rsidRDefault="00D24E2F" w:rsidP="001043F9">
            <w:pPr>
              <w:jc w:val="center"/>
              <w:rPr>
                <w:rFonts w:ascii="CAIXA Std Book" w:eastAsia="Times New Roman" w:hAnsi="CAIXA Std Book" w:cs="Times New Roman"/>
                <w:color w:val="005CA9"/>
                <w:sz w:val="18"/>
                <w:szCs w:val="18"/>
              </w:rPr>
            </w:pPr>
            <w:r w:rsidRPr="00D24E2F">
              <w:rPr>
                <w:rFonts w:ascii="CAIXA Std Book" w:eastAsia="Times New Roman" w:hAnsi="CAIXA Std Book" w:cs="Times New Roman"/>
                <w:color w:val="005CA9"/>
                <w:sz w:val="18"/>
                <w:szCs w:val="18"/>
              </w:rPr>
              <w:t>46.115</w:t>
            </w:r>
          </w:p>
        </w:tc>
        <w:tc>
          <w:tcPr>
            <w:tcW w:w="743" w:type="pct"/>
            <w:tcBorders>
              <w:top w:val="nil"/>
              <w:left w:val="nil"/>
              <w:bottom w:val="nil"/>
              <w:right w:val="nil"/>
            </w:tcBorders>
            <w:shd w:val="clear" w:color="000000" w:fill="FFFFFF"/>
            <w:noWrap/>
            <w:vAlign w:val="center"/>
            <w:hideMark/>
          </w:tcPr>
          <w:p w14:paraId="57092638" w14:textId="77777777" w:rsidR="00D24E2F" w:rsidRPr="00293E99" w:rsidRDefault="00D24E2F" w:rsidP="001043F9">
            <w:pPr>
              <w:jc w:val="center"/>
              <w:rPr>
                <w:rFonts w:ascii="CAIXA Std Book" w:eastAsia="Times New Roman" w:hAnsi="CAIXA Std Book" w:cs="Times New Roman"/>
                <w:color w:val="005CA9"/>
                <w:sz w:val="18"/>
                <w:szCs w:val="18"/>
              </w:rPr>
            </w:pPr>
            <w:r w:rsidRPr="00293E99">
              <w:rPr>
                <w:rFonts w:ascii="CAIXA Std Book" w:eastAsia="Times New Roman" w:hAnsi="CAIXA Std Book" w:cs="Times New Roman"/>
                <w:color w:val="005CA9"/>
                <w:sz w:val="18"/>
                <w:szCs w:val="18"/>
              </w:rPr>
              <w:t>45.409</w:t>
            </w:r>
          </w:p>
        </w:tc>
        <w:tc>
          <w:tcPr>
            <w:tcW w:w="743" w:type="pct"/>
            <w:tcBorders>
              <w:top w:val="nil"/>
              <w:left w:val="nil"/>
              <w:bottom w:val="nil"/>
              <w:right w:val="nil"/>
            </w:tcBorders>
            <w:shd w:val="clear" w:color="000000" w:fill="FFFFFF"/>
            <w:noWrap/>
            <w:vAlign w:val="center"/>
            <w:hideMark/>
          </w:tcPr>
          <w:p w14:paraId="150C1AB9" w14:textId="253C8C4D" w:rsidR="00D24E2F" w:rsidRPr="00293E99" w:rsidRDefault="00755E77" w:rsidP="00D24E2F">
            <w:pPr>
              <w:jc w:val="center"/>
              <w:rPr>
                <w:rFonts w:ascii="CAIXA Std Book" w:eastAsia="Times New Roman" w:hAnsi="CAIXA Std Book" w:cs="Times New Roman"/>
                <w:color w:val="005CA9"/>
                <w:sz w:val="18"/>
                <w:szCs w:val="18"/>
              </w:rPr>
            </w:pPr>
            <w:r>
              <w:rPr>
                <w:rFonts w:ascii="CAIXA Std Book" w:eastAsia="Times New Roman" w:hAnsi="CAIXA Std Book" w:cs="Times New Roman"/>
                <w:color w:val="005CA9"/>
                <w:sz w:val="18"/>
                <w:szCs w:val="18"/>
              </w:rPr>
              <w:t>-</w:t>
            </w:r>
          </w:p>
        </w:tc>
        <w:tc>
          <w:tcPr>
            <w:tcW w:w="741" w:type="pct"/>
            <w:tcBorders>
              <w:top w:val="nil"/>
              <w:left w:val="nil"/>
              <w:bottom w:val="nil"/>
              <w:right w:val="nil"/>
            </w:tcBorders>
            <w:shd w:val="clear" w:color="000000" w:fill="FFFFFF"/>
            <w:noWrap/>
            <w:vAlign w:val="center"/>
            <w:hideMark/>
          </w:tcPr>
          <w:p w14:paraId="0C69DFA9" w14:textId="77777777" w:rsidR="00D24E2F" w:rsidRPr="00293E99" w:rsidRDefault="00D24E2F" w:rsidP="00D24E2F">
            <w:pPr>
              <w:jc w:val="center"/>
              <w:rPr>
                <w:rFonts w:ascii="CAIXA Std Book" w:eastAsia="Times New Roman" w:hAnsi="CAIXA Std Book" w:cs="Times New Roman"/>
                <w:color w:val="005CA9"/>
                <w:sz w:val="18"/>
                <w:szCs w:val="18"/>
              </w:rPr>
            </w:pPr>
            <w:r w:rsidRPr="00293E99">
              <w:rPr>
                <w:rFonts w:ascii="CAIXA Std Book" w:eastAsia="Times New Roman" w:hAnsi="CAIXA Std Book" w:cs="Times New Roman"/>
                <w:color w:val="005CA9"/>
                <w:sz w:val="18"/>
                <w:szCs w:val="18"/>
              </w:rPr>
              <w:t>-</w:t>
            </w:r>
          </w:p>
        </w:tc>
      </w:tr>
      <w:tr w:rsidR="00D24E2F" w:rsidRPr="00293E99" w14:paraId="38A33AC3" w14:textId="77777777" w:rsidTr="002F24F0">
        <w:trPr>
          <w:trHeight w:val="283"/>
        </w:trPr>
        <w:tc>
          <w:tcPr>
            <w:tcW w:w="2030" w:type="pct"/>
            <w:tcBorders>
              <w:top w:val="nil"/>
              <w:left w:val="nil"/>
              <w:bottom w:val="nil"/>
              <w:right w:val="nil"/>
            </w:tcBorders>
            <w:shd w:val="clear" w:color="auto" w:fill="005CA9"/>
            <w:noWrap/>
            <w:vAlign w:val="center"/>
            <w:hideMark/>
          </w:tcPr>
          <w:p w14:paraId="677FF7DA" w14:textId="77777777" w:rsidR="00D24E2F" w:rsidRPr="00293E99" w:rsidRDefault="00D24E2F" w:rsidP="00D24E2F">
            <w:pPr>
              <w:rPr>
                <w:rFonts w:ascii="CAIXA Std Book" w:eastAsia="Times New Roman" w:hAnsi="CAIXA Std Book" w:cs="Times New Roman"/>
                <w:b/>
                <w:bCs/>
                <w:color w:val="FFFFFF"/>
                <w:sz w:val="18"/>
                <w:szCs w:val="18"/>
              </w:rPr>
            </w:pPr>
            <w:r w:rsidRPr="00293E99">
              <w:rPr>
                <w:rFonts w:ascii="CAIXA Std Book" w:eastAsia="Times New Roman" w:hAnsi="CAIXA Std Book" w:cs="Times New Roman"/>
                <w:b/>
                <w:bCs/>
                <w:color w:val="FFFFFF"/>
                <w:sz w:val="18"/>
                <w:szCs w:val="18"/>
              </w:rPr>
              <w:t xml:space="preserve">Total </w:t>
            </w:r>
          </w:p>
        </w:tc>
        <w:tc>
          <w:tcPr>
            <w:tcW w:w="743" w:type="pct"/>
            <w:tcBorders>
              <w:top w:val="nil"/>
              <w:left w:val="nil"/>
              <w:bottom w:val="nil"/>
              <w:right w:val="nil"/>
            </w:tcBorders>
            <w:shd w:val="clear" w:color="auto" w:fill="005CA9"/>
            <w:noWrap/>
            <w:vAlign w:val="center"/>
            <w:hideMark/>
          </w:tcPr>
          <w:p w14:paraId="33545FA8" w14:textId="437C9247" w:rsidR="00D24E2F" w:rsidRPr="00293E99" w:rsidRDefault="00D24E2F" w:rsidP="001043F9">
            <w:pPr>
              <w:jc w:val="center"/>
              <w:rPr>
                <w:rFonts w:ascii="CAIXA Std Book" w:eastAsia="Times New Roman" w:hAnsi="CAIXA Std Book" w:cs="Times New Roman"/>
                <w:b/>
                <w:bCs/>
                <w:color w:val="FFFFFF"/>
                <w:sz w:val="18"/>
                <w:szCs w:val="18"/>
              </w:rPr>
            </w:pPr>
            <w:r w:rsidRPr="00D24E2F">
              <w:rPr>
                <w:rFonts w:ascii="CAIXA Std Book" w:eastAsia="Times New Roman" w:hAnsi="CAIXA Std Book" w:cs="Times New Roman"/>
                <w:b/>
                <w:bCs/>
                <w:color w:val="FFFFFF"/>
                <w:sz w:val="18"/>
                <w:szCs w:val="18"/>
              </w:rPr>
              <w:t>11.295.948</w:t>
            </w:r>
          </w:p>
        </w:tc>
        <w:tc>
          <w:tcPr>
            <w:tcW w:w="743" w:type="pct"/>
            <w:tcBorders>
              <w:top w:val="nil"/>
              <w:left w:val="nil"/>
              <w:bottom w:val="nil"/>
              <w:right w:val="nil"/>
            </w:tcBorders>
            <w:shd w:val="clear" w:color="auto" w:fill="005CA9"/>
            <w:noWrap/>
            <w:vAlign w:val="center"/>
            <w:hideMark/>
          </w:tcPr>
          <w:p w14:paraId="46E6745E" w14:textId="77777777" w:rsidR="00D24E2F" w:rsidRPr="00293E99" w:rsidRDefault="00D24E2F" w:rsidP="001043F9">
            <w:pPr>
              <w:jc w:val="center"/>
              <w:rPr>
                <w:rFonts w:ascii="CAIXA Std Book" w:eastAsia="Times New Roman" w:hAnsi="CAIXA Std Book" w:cs="Times New Roman"/>
                <w:b/>
                <w:bCs/>
                <w:color w:val="FFFFFF"/>
                <w:sz w:val="18"/>
                <w:szCs w:val="18"/>
              </w:rPr>
            </w:pPr>
            <w:r w:rsidRPr="00293E99">
              <w:rPr>
                <w:rFonts w:ascii="CAIXA Std Book" w:eastAsia="Times New Roman" w:hAnsi="CAIXA Std Book" w:cs="Times New Roman"/>
                <w:b/>
                <w:bCs/>
                <w:color w:val="FFFFFF"/>
                <w:sz w:val="18"/>
                <w:szCs w:val="18"/>
              </w:rPr>
              <w:t>16.243.577</w:t>
            </w:r>
          </w:p>
        </w:tc>
        <w:tc>
          <w:tcPr>
            <w:tcW w:w="743" w:type="pct"/>
            <w:tcBorders>
              <w:top w:val="nil"/>
              <w:left w:val="nil"/>
              <w:bottom w:val="nil"/>
              <w:right w:val="nil"/>
            </w:tcBorders>
            <w:shd w:val="clear" w:color="auto" w:fill="005CA9"/>
            <w:noWrap/>
            <w:vAlign w:val="center"/>
            <w:hideMark/>
          </w:tcPr>
          <w:p w14:paraId="120B06CE" w14:textId="71E2AB4C" w:rsidR="00D24E2F" w:rsidRPr="00293E99" w:rsidRDefault="002F24F0" w:rsidP="00D24E2F">
            <w:pPr>
              <w:jc w:val="center"/>
              <w:rPr>
                <w:rFonts w:ascii="CAIXA Std Book" w:eastAsia="Times New Roman" w:hAnsi="CAIXA Std Book" w:cs="Times New Roman"/>
                <w:b/>
                <w:bCs/>
                <w:color w:val="FFFFFF"/>
                <w:sz w:val="18"/>
                <w:szCs w:val="18"/>
              </w:rPr>
            </w:pPr>
            <w:r w:rsidRPr="001F6A28">
              <w:rPr>
                <w:rFonts w:ascii="CAIXA Std Book" w:eastAsia="Times New Roman" w:hAnsi="CAIXA Std Book" w:cs="Times New Roman"/>
                <w:b/>
                <w:color w:val="FFFFFF"/>
                <w:sz w:val="18"/>
                <w:szCs w:val="18"/>
              </w:rPr>
              <w:t>3.780.785</w:t>
            </w:r>
          </w:p>
        </w:tc>
        <w:tc>
          <w:tcPr>
            <w:tcW w:w="741" w:type="pct"/>
            <w:tcBorders>
              <w:top w:val="nil"/>
              <w:left w:val="nil"/>
              <w:bottom w:val="nil"/>
              <w:right w:val="nil"/>
            </w:tcBorders>
            <w:shd w:val="clear" w:color="auto" w:fill="005CA9"/>
            <w:noWrap/>
            <w:vAlign w:val="center"/>
            <w:hideMark/>
          </w:tcPr>
          <w:p w14:paraId="4C10B958" w14:textId="77777777" w:rsidR="00D24E2F" w:rsidRPr="00293E99" w:rsidRDefault="00D24E2F" w:rsidP="001043F9">
            <w:pPr>
              <w:jc w:val="center"/>
              <w:rPr>
                <w:rFonts w:ascii="CAIXA Std Book" w:eastAsia="Times New Roman" w:hAnsi="CAIXA Std Book" w:cs="Times New Roman"/>
                <w:b/>
                <w:bCs/>
                <w:color w:val="FFFFFF"/>
                <w:sz w:val="18"/>
                <w:szCs w:val="18"/>
              </w:rPr>
            </w:pPr>
            <w:r w:rsidRPr="00293E99">
              <w:rPr>
                <w:rFonts w:ascii="CAIXA Std Book" w:eastAsia="Times New Roman" w:hAnsi="CAIXA Std Book" w:cs="Times New Roman"/>
                <w:b/>
                <w:bCs/>
                <w:color w:val="FFFFFF"/>
                <w:sz w:val="18"/>
                <w:szCs w:val="18"/>
              </w:rPr>
              <w:t>3.780.785</w:t>
            </w:r>
          </w:p>
        </w:tc>
      </w:tr>
    </w:tbl>
    <w:p w14:paraId="37F69EA2" w14:textId="77777777" w:rsidR="00606D9B" w:rsidRDefault="00606D9B">
      <w:pPr>
        <w:rPr>
          <w:rFonts w:ascii="CAIXA Std Book" w:hAnsi="CAIXA Std Book"/>
          <w:b/>
          <w:color w:val="005CA9"/>
          <w:sz w:val="20"/>
          <w:szCs w:val="20"/>
        </w:rPr>
      </w:pPr>
      <w:r>
        <w:rPr>
          <w:rFonts w:ascii="CAIXA Std Book" w:hAnsi="CAIXA Std Book"/>
          <w:b/>
          <w:color w:val="005CA9"/>
          <w:sz w:val="20"/>
          <w:szCs w:val="20"/>
        </w:rPr>
        <w:br w:type="page"/>
      </w:r>
    </w:p>
    <w:p w14:paraId="301E1209" w14:textId="480F2D30" w:rsidR="003667EF" w:rsidRPr="00B04D8D" w:rsidRDefault="00E97911" w:rsidP="00295657">
      <w:pPr>
        <w:pStyle w:val="PargrafodaLista"/>
        <w:numPr>
          <w:ilvl w:val="0"/>
          <w:numId w:val="44"/>
        </w:numPr>
        <w:spacing w:before="240" w:after="120"/>
        <w:jc w:val="both"/>
        <w:rPr>
          <w:rFonts w:ascii="CAIXA Std Book" w:hAnsi="CAIXA Std Book"/>
          <w:b/>
          <w:color w:val="005CA9"/>
          <w:sz w:val="20"/>
          <w:szCs w:val="20"/>
        </w:rPr>
      </w:pPr>
      <w:r w:rsidRPr="006414BB">
        <w:rPr>
          <w:rFonts w:ascii="CAIXA Std Book" w:hAnsi="CAIXA Std Book"/>
          <w:b/>
          <w:color w:val="005CA9"/>
          <w:sz w:val="20"/>
          <w:szCs w:val="20"/>
        </w:rPr>
        <w:t>Composição da carteira de instrumentos financeiros derivativos por indexador, tipo de instrumento e prazo, demonstrada pelo seu valor referencial</w:t>
      </w:r>
      <w:r w:rsidRPr="00B04D8D">
        <w:rPr>
          <w:rFonts w:ascii="CAIXA Std Book" w:hAnsi="CAIXA Std Book"/>
          <w:b/>
          <w:color w:val="005CA9"/>
          <w:sz w:val="20"/>
          <w:szCs w:val="20"/>
        </w:rPr>
        <w:t xml:space="preserve"> em contas de compensação</w:t>
      </w:r>
    </w:p>
    <w:tbl>
      <w:tblPr>
        <w:tblW w:w="5000" w:type="pct"/>
        <w:tblLayout w:type="fixed"/>
        <w:tblCellMar>
          <w:left w:w="70" w:type="dxa"/>
          <w:right w:w="70" w:type="dxa"/>
        </w:tblCellMar>
        <w:tblLook w:val="04A0" w:firstRow="1" w:lastRow="0" w:firstColumn="1" w:lastColumn="0" w:noHBand="0" w:noVBand="1"/>
      </w:tblPr>
      <w:tblGrid>
        <w:gridCol w:w="4678"/>
        <w:gridCol w:w="1650"/>
        <w:gridCol w:w="1649"/>
        <w:gridCol w:w="1649"/>
        <w:gridCol w:w="1649"/>
        <w:gridCol w:w="1649"/>
        <w:gridCol w:w="1647"/>
      </w:tblGrid>
      <w:tr w:rsidR="00F406D5" w:rsidRPr="008C0446" w14:paraId="7D9AB663" w14:textId="77777777" w:rsidTr="0054443F">
        <w:trPr>
          <w:trHeight w:val="283"/>
        </w:trPr>
        <w:tc>
          <w:tcPr>
            <w:tcW w:w="5000" w:type="pct"/>
            <w:gridSpan w:val="7"/>
            <w:tcBorders>
              <w:top w:val="nil"/>
              <w:left w:val="nil"/>
              <w:bottom w:val="single" w:sz="8" w:space="0" w:color="FFFFFF"/>
              <w:right w:val="nil"/>
            </w:tcBorders>
            <w:shd w:val="clear" w:color="auto" w:fill="005CA9"/>
            <w:vAlign w:val="center"/>
            <w:hideMark/>
          </w:tcPr>
          <w:p w14:paraId="1478E94C" w14:textId="77777777" w:rsidR="00F406D5" w:rsidRPr="00744032" w:rsidRDefault="00F406D5">
            <w:pPr>
              <w:jc w:val="center"/>
              <w:rPr>
                <w:rFonts w:ascii="CAIXA Std Book" w:eastAsia="Times New Roman" w:hAnsi="CAIXA Std Book" w:cs="Times New Roman"/>
                <w:b/>
                <w:color w:val="FFFFFF"/>
                <w:sz w:val="18"/>
                <w:szCs w:val="18"/>
              </w:rPr>
            </w:pPr>
            <w:r w:rsidRPr="00744032">
              <w:rPr>
                <w:rFonts w:ascii="CAIXA Std Book" w:eastAsia="Times New Roman" w:hAnsi="CAIXA Std Book" w:cs="Times New Roman"/>
                <w:b/>
                <w:color w:val="FFFFFF"/>
                <w:sz w:val="18"/>
                <w:szCs w:val="18"/>
              </w:rPr>
              <w:t>Individual</w:t>
            </w:r>
          </w:p>
        </w:tc>
      </w:tr>
      <w:tr w:rsidR="003667EF" w:rsidRPr="003667EF" w14:paraId="2C7EE8B0" w14:textId="77777777" w:rsidTr="0054443F">
        <w:trPr>
          <w:trHeight w:val="283"/>
        </w:trPr>
        <w:tc>
          <w:tcPr>
            <w:tcW w:w="5000" w:type="pct"/>
            <w:gridSpan w:val="7"/>
            <w:tcBorders>
              <w:top w:val="nil"/>
              <w:left w:val="nil"/>
              <w:bottom w:val="single" w:sz="2" w:space="0" w:color="FFFFFF" w:themeColor="background1"/>
              <w:right w:val="nil"/>
            </w:tcBorders>
            <w:shd w:val="clear" w:color="auto" w:fill="005CA9"/>
            <w:vAlign w:val="center"/>
            <w:hideMark/>
          </w:tcPr>
          <w:p w14:paraId="6948E4D0" w14:textId="77777777" w:rsidR="003667EF" w:rsidRPr="003667EF" w:rsidRDefault="003667EF" w:rsidP="003667EF">
            <w:pPr>
              <w:jc w:val="center"/>
              <w:rPr>
                <w:rFonts w:ascii="CAIXA Std Book" w:eastAsia="Times New Roman" w:hAnsi="CAIXA Std Book" w:cs="Times New Roman"/>
                <w:b/>
                <w:bCs/>
                <w:color w:val="FFFFFF"/>
                <w:sz w:val="18"/>
                <w:szCs w:val="18"/>
              </w:rPr>
            </w:pPr>
            <w:r w:rsidRPr="003667EF">
              <w:rPr>
                <w:rFonts w:ascii="CAIXA Std Book" w:eastAsia="Times New Roman" w:hAnsi="CAIXA Std Book" w:cs="Times New Roman"/>
                <w:b/>
                <w:bCs/>
                <w:color w:val="FFFFFF"/>
                <w:sz w:val="18"/>
                <w:szCs w:val="18"/>
              </w:rPr>
              <w:t>Valor referencial</w:t>
            </w:r>
          </w:p>
        </w:tc>
      </w:tr>
      <w:tr w:rsidR="003667EF" w:rsidRPr="003667EF" w14:paraId="4DE7DC11" w14:textId="77777777" w:rsidTr="00C973C1">
        <w:trPr>
          <w:trHeight w:val="283"/>
        </w:trPr>
        <w:tc>
          <w:tcPr>
            <w:tcW w:w="1605" w:type="pct"/>
            <w:vMerge w:val="restart"/>
            <w:tcBorders>
              <w:top w:val="single" w:sz="2" w:space="0" w:color="FFFFFF" w:themeColor="background1"/>
              <w:left w:val="nil"/>
              <w:bottom w:val="single" w:sz="8" w:space="0" w:color="FFFFFF"/>
              <w:right w:val="nil"/>
            </w:tcBorders>
            <w:shd w:val="clear" w:color="auto" w:fill="005CA9"/>
            <w:vAlign w:val="center"/>
            <w:hideMark/>
          </w:tcPr>
          <w:p w14:paraId="1BB17BB6" w14:textId="77777777" w:rsidR="003667EF" w:rsidRPr="003667EF" w:rsidRDefault="003667EF" w:rsidP="003667EF">
            <w:pPr>
              <w:jc w:val="center"/>
              <w:rPr>
                <w:rFonts w:ascii="CAIXA Std Book" w:eastAsia="Times New Roman" w:hAnsi="CAIXA Std Book" w:cs="Times New Roman"/>
                <w:b/>
                <w:bCs/>
                <w:color w:val="FFFFFF"/>
                <w:sz w:val="18"/>
                <w:szCs w:val="18"/>
              </w:rPr>
            </w:pPr>
            <w:r w:rsidRPr="003667EF">
              <w:rPr>
                <w:rFonts w:ascii="CAIXA Std Book" w:eastAsia="Times New Roman" w:hAnsi="CAIXA Std Book" w:cs="Times New Roman"/>
                <w:b/>
                <w:bCs/>
                <w:color w:val="FFFFFF"/>
                <w:sz w:val="18"/>
                <w:szCs w:val="18"/>
              </w:rPr>
              <w:t>Descrição</w:t>
            </w:r>
          </w:p>
        </w:tc>
        <w:tc>
          <w:tcPr>
            <w:tcW w:w="2830" w:type="pct"/>
            <w:gridSpan w:val="5"/>
            <w:tcBorders>
              <w:top w:val="single" w:sz="2" w:space="0" w:color="FFFFFF" w:themeColor="background1"/>
              <w:left w:val="nil"/>
              <w:bottom w:val="single" w:sz="8" w:space="0" w:color="FFFFFF"/>
              <w:right w:val="nil"/>
            </w:tcBorders>
            <w:shd w:val="clear" w:color="auto" w:fill="005CA9"/>
            <w:vAlign w:val="center"/>
            <w:hideMark/>
          </w:tcPr>
          <w:p w14:paraId="20D627C7" w14:textId="273565B8" w:rsidR="00C973C1" w:rsidRPr="003667EF" w:rsidRDefault="00C973C1" w:rsidP="00C973C1">
            <w:pPr>
              <w:jc w:val="center"/>
              <w:rPr>
                <w:rFonts w:ascii="CAIXA Std Book" w:eastAsia="Times New Roman" w:hAnsi="CAIXA Std Book" w:cs="Times New Roman"/>
                <w:b/>
                <w:bCs/>
                <w:color w:val="FFFFFF"/>
                <w:sz w:val="18"/>
                <w:szCs w:val="18"/>
              </w:rPr>
            </w:pPr>
            <w:r w:rsidRPr="003667EF">
              <w:rPr>
                <w:rFonts w:ascii="CAIXA Std Book" w:eastAsia="Times New Roman" w:hAnsi="CAIXA Std Book" w:cs="Times New Roman"/>
                <w:b/>
                <w:bCs/>
                <w:color w:val="FFFFFF"/>
                <w:sz w:val="18"/>
                <w:szCs w:val="18"/>
              </w:rPr>
              <w:t>31/03/2026</w:t>
            </w:r>
          </w:p>
        </w:tc>
        <w:tc>
          <w:tcPr>
            <w:tcW w:w="565" w:type="pct"/>
            <w:tcBorders>
              <w:top w:val="single" w:sz="2" w:space="0" w:color="FFFFFF" w:themeColor="background1"/>
              <w:left w:val="nil"/>
              <w:bottom w:val="single" w:sz="8" w:space="0" w:color="FFFFFF"/>
              <w:right w:val="nil"/>
            </w:tcBorders>
            <w:shd w:val="clear" w:color="auto" w:fill="005CA9"/>
            <w:vAlign w:val="center"/>
          </w:tcPr>
          <w:p w14:paraId="7334DBF9" w14:textId="77777777" w:rsidR="003667EF" w:rsidRPr="003667EF" w:rsidRDefault="003667EF" w:rsidP="00024A88">
            <w:pPr>
              <w:jc w:val="center"/>
              <w:rPr>
                <w:rFonts w:ascii="CAIXA Std Book" w:eastAsia="Times New Roman" w:hAnsi="CAIXA Std Book" w:cs="Times New Roman"/>
                <w:b/>
                <w:bCs/>
                <w:color w:val="FFFFFF"/>
                <w:sz w:val="18"/>
                <w:szCs w:val="18"/>
              </w:rPr>
            </w:pPr>
            <w:r w:rsidRPr="003667EF">
              <w:rPr>
                <w:rFonts w:ascii="CAIXA Std Book" w:eastAsia="Times New Roman" w:hAnsi="CAIXA Std Book" w:cs="Times New Roman"/>
                <w:b/>
                <w:bCs/>
                <w:color w:val="FFFFFF"/>
                <w:sz w:val="18"/>
                <w:szCs w:val="18"/>
              </w:rPr>
              <w:t>31/12/2025</w:t>
            </w:r>
          </w:p>
        </w:tc>
      </w:tr>
      <w:tr w:rsidR="003667EF" w:rsidRPr="003667EF" w14:paraId="3CB74ECF" w14:textId="77777777" w:rsidTr="00C973C1">
        <w:trPr>
          <w:trHeight w:val="283"/>
        </w:trPr>
        <w:tc>
          <w:tcPr>
            <w:tcW w:w="1605" w:type="pct"/>
            <w:vMerge/>
            <w:tcBorders>
              <w:top w:val="nil"/>
              <w:left w:val="nil"/>
              <w:bottom w:val="single" w:sz="8" w:space="0" w:color="FFFFFF"/>
              <w:right w:val="nil"/>
            </w:tcBorders>
            <w:shd w:val="clear" w:color="auto" w:fill="005CA9"/>
            <w:vAlign w:val="center"/>
            <w:hideMark/>
          </w:tcPr>
          <w:p w14:paraId="52F24547" w14:textId="77777777" w:rsidR="003667EF" w:rsidRPr="003667EF" w:rsidRDefault="003667EF" w:rsidP="003667EF">
            <w:pPr>
              <w:rPr>
                <w:rFonts w:ascii="CAIXA Std Book" w:eastAsia="Times New Roman" w:hAnsi="CAIXA Std Book" w:cs="Times New Roman"/>
                <w:b/>
                <w:bCs/>
                <w:color w:val="FFFFFF"/>
                <w:sz w:val="18"/>
                <w:szCs w:val="18"/>
              </w:rPr>
            </w:pPr>
          </w:p>
        </w:tc>
        <w:tc>
          <w:tcPr>
            <w:tcW w:w="566" w:type="pct"/>
            <w:tcBorders>
              <w:top w:val="nil"/>
              <w:left w:val="nil"/>
              <w:bottom w:val="single" w:sz="8" w:space="0" w:color="FFFFFF"/>
              <w:right w:val="nil"/>
            </w:tcBorders>
            <w:shd w:val="clear" w:color="auto" w:fill="005CA9"/>
            <w:noWrap/>
            <w:vAlign w:val="center"/>
            <w:hideMark/>
          </w:tcPr>
          <w:p w14:paraId="33588B1D" w14:textId="77777777" w:rsidR="003667EF" w:rsidRPr="003667EF" w:rsidRDefault="003667EF" w:rsidP="003667EF">
            <w:pPr>
              <w:jc w:val="center"/>
              <w:rPr>
                <w:rFonts w:ascii="CAIXA Std Book" w:eastAsia="Times New Roman" w:hAnsi="CAIXA Std Book" w:cs="Times New Roman"/>
                <w:b/>
                <w:bCs/>
                <w:color w:val="FFFFFF"/>
                <w:sz w:val="18"/>
                <w:szCs w:val="18"/>
              </w:rPr>
            </w:pPr>
            <w:r w:rsidRPr="003667EF">
              <w:rPr>
                <w:rFonts w:ascii="CAIXA Std Book" w:eastAsia="Times New Roman" w:hAnsi="CAIXA Std Book" w:cs="Times New Roman"/>
                <w:b/>
                <w:bCs/>
                <w:color w:val="FFFFFF"/>
                <w:sz w:val="18"/>
                <w:szCs w:val="18"/>
              </w:rPr>
              <w:t>01 a 90 dias</w:t>
            </w:r>
          </w:p>
        </w:tc>
        <w:tc>
          <w:tcPr>
            <w:tcW w:w="566" w:type="pct"/>
            <w:tcBorders>
              <w:top w:val="nil"/>
              <w:left w:val="nil"/>
              <w:bottom w:val="single" w:sz="8" w:space="0" w:color="FFFFFF"/>
              <w:right w:val="nil"/>
            </w:tcBorders>
            <w:shd w:val="clear" w:color="auto" w:fill="005CA9"/>
            <w:vAlign w:val="center"/>
            <w:hideMark/>
          </w:tcPr>
          <w:p w14:paraId="66DD949A" w14:textId="77777777" w:rsidR="003667EF" w:rsidRPr="003667EF" w:rsidRDefault="003667EF" w:rsidP="003667EF">
            <w:pPr>
              <w:jc w:val="center"/>
              <w:rPr>
                <w:rFonts w:ascii="CAIXA Std Book" w:eastAsia="Times New Roman" w:hAnsi="CAIXA Std Book" w:cs="Times New Roman"/>
                <w:b/>
                <w:bCs/>
                <w:color w:val="FFFFFF"/>
                <w:sz w:val="18"/>
                <w:szCs w:val="18"/>
              </w:rPr>
            </w:pPr>
            <w:r w:rsidRPr="003667EF">
              <w:rPr>
                <w:rFonts w:ascii="CAIXA Std Book" w:eastAsia="Times New Roman" w:hAnsi="CAIXA Std Book" w:cs="Times New Roman"/>
                <w:b/>
                <w:bCs/>
                <w:color w:val="FFFFFF"/>
                <w:sz w:val="18"/>
                <w:szCs w:val="18"/>
              </w:rPr>
              <w:t>91 a 180 dias</w:t>
            </w:r>
          </w:p>
        </w:tc>
        <w:tc>
          <w:tcPr>
            <w:tcW w:w="566" w:type="pct"/>
            <w:tcBorders>
              <w:top w:val="nil"/>
              <w:left w:val="nil"/>
              <w:bottom w:val="single" w:sz="8" w:space="0" w:color="FFFFFF"/>
              <w:right w:val="nil"/>
            </w:tcBorders>
            <w:shd w:val="clear" w:color="auto" w:fill="005CA9"/>
            <w:vAlign w:val="center"/>
            <w:hideMark/>
          </w:tcPr>
          <w:p w14:paraId="5D9AB335" w14:textId="77777777" w:rsidR="003667EF" w:rsidRPr="003667EF" w:rsidRDefault="003667EF" w:rsidP="003667EF">
            <w:pPr>
              <w:jc w:val="center"/>
              <w:rPr>
                <w:rFonts w:ascii="CAIXA Std Book" w:eastAsia="Times New Roman" w:hAnsi="CAIXA Std Book" w:cs="Times New Roman"/>
                <w:b/>
                <w:bCs/>
                <w:color w:val="FFFFFF"/>
                <w:sz w:val="18"/>
                <w:szCs w:val="18"/>
              </w:rPr>
            </w:pPr>
            <w:r w:rsidRPr="003667EF">
              <w:rPr>
                <w:rFonts w:ascii="CAIXA Std Book" w:eastAsia="Times New Roman" w:hAnsi="CAIXA Std Book" w:cs="Times New Roman"/>
                <w:b/>
                <w:bCs/>
                <w:color w:val="FFFFFF"/>
                <w:sz w:val="18"/>
                <w:szCs w:val="18"/>
              </w:rPr>
              <w:t>181 a 360 dias</w:t>
            </w:r>
          </w:p>
        </w:tc>
        <w:tc>
          <w:tcPr>
            <w:tcW w:w="566" w:type="pct"/>
            <w:tcBorders>
              <w:top w:val="nil"/>
              <w:left w:val="nil"/>
              <w:bottom w:val="single" w:sz="8" w:space="0" w:color="FFFFFF"/>
              <w:right w:val="nil"/>
            </w:tcBorders>
            <w:shd w:val="clear" w:color="auto" w:fill="005CA9"/>
            <w:vAlign w:val="center"/>
            <w:hideMark/>
          </w:tcPr>
          <w:p w14:paraId="12D9DB3D" w14:textId="77777777" w:rsidR="003667EF" w:rsidRPr="003667EF" w:rsidRDefault="003667EF" w:rsidP="003667EF">
            <w:pPr>
              <w:jc w:val="center"/>
              <w:rPr>
                <w:rFonts w:ascii="CAIXA Std Book" w:eastAsia="Times New Roman" w:hAnsi="CAIXA Std Book" w:cs="Times New Roman"/>
                <w:b/>
                <w:bCs/>
                <w:color w:val="FFFFFF"/>
                <w:sz w:val="18"/>
                <w:szCs w:val="18"/>
              </w:rPr>
            </w:pPr>
            <w:r w:rsidRPr="003667EF">
              <w:rPr>
                <w:rFonts w:ascii="CAIXA Std Book" w:eastAsia="Times New Roman" w:hAnsi="CAIXA Std Book" w:cs="Times New Roman"/>
                <w:b/>
                <w:bCs/>
                <w:color w:val="FFFFFF"/>
                <w:sz w:val="18"/>
                <w:szCs w:val="18"/>
              </w:rPr>
              <w:t>Acima de 360 dias</w:t>
            </w:r>
          </w:p>
        </w:tc>
        <w:tc>
          <w:tcPr>
            <w:tcW w:w="566" w:type="pct"/>
            <w:tcBorders>
              <w:top w:val="nil"/>
              <w:left w:val="nil"/>
              <w:bottom w:val="single" w:sz="8" w:space="0" w:color="FFFFFF"/>
              <w:right w:val="nil"/>
            </w:tcBorders>
            <w:shd w:val="clear" w:color="auto" w:fill="005CA9"/>
            <w:vAlign w:val="center"/>
            <w:hideMark/>
          </w:tcPr>
          <w:p w14:paraId="4ABC649D" w14:textId="77777777" w:rsidR="003667EF" w:rsidRPr="003667EF" w:rsidRDefault="003667EF" w:rsidP="003667EF">
            <w:pPr>
              <w:jc w:val="center"/>
              <w:rPr>
                <w:rFonts w:ascii="CAIXA Std Book" w:eastAsia="Times New Roman" w:hAnsi="CAIXA Std Book" w:cs="Times New Roman"/>
                <w:b/>
                <w:bCs/>
                <w:color w:val="FFFFFF"/>
                <w:sz w:val="18"/>
                <w:szCs w:val="18"/>
              </w:rPr>
            </w:pPr>
            <w:r w:rsidRPr="003667EF">
              <w:rPr>
                <w:rFonts w:ascii="CAIXA Std Book" w:eastAsia="Times New Roman" w:hAnsi="CAIXA Std Book" w:cs="Times New Roman"/>
                <w:b/>
                <w:bCs/>
                <w:color w:val="FFFFFF"/>
                <w:sz w:val="18"/>
                <w:szCs w:val="18"/>
              </w:rPr>
              <w:t>Valor justo</w:t>
            </w:r>
          </w:p>
        </w:tc>
        <w:tc>
          <w:tcPr>
            <w:tcW w:w="565" w:type="pct"/>
            <w:tcBorders>
              <w:top w:val="nil"/>
              <w:left w:val="nil"/>
              <w:bottom w:val="single" w:sz="8" w:space="0" w:color="FFFFFF"/>
              <w:right w:val="nil"/>
            </w:tcBorders>
            <w:shd w:val="clear" w:color="auto" w:fill="005CA9"/>
            <w:vAlign w:val="center"/>
            <w:hideMark/>
          </w:tcPr>
          <w:p w14:paraId="386CB061" w14:textId="77777777" w:rsidR="003667EF" w:rsidRPr="003667EF" w:rsidRDefault="003667EF" w:rsidP="003667EF">
            <w:pPr>
              <w:jc w:val="center"/>
              <w:rPr>
                <w:rFonts w:ascii="CAIXA Std Book" w:eastAsia="Times New Roman" w:hAnsi="CAIXA Std Book" w:cs="Times New Roman"/>
                <w:b/>
                <w:bCs/>
                <w:color w:val="FFFFFF"/>
                <w:sz w:val="18"/>
                <w:szCs w:val="18"/>
              </w:rPr>
            </w:pPr>
            <w:r w:rsidRPr="003667EF">
              <w:rPr>
                <w:rFonts w:ascii="CAIXA Std Book" w:eastAsia="Times New Roman" w:hAnsi="CAIXA Std Book" w:cs="Times New Roman"/>
                <w:b/>
                <w:bCs/>
                <w:color w:val="FFFFFF"/>
                <w:sz w:val="18"/>
                <w:szCs w:val="18"/>
              </w:rPr>
              <w:t>Valor justo</w:t>
            </w:r>
          </w:p>
        </w:tc>
      </w:tr>
      <w:tr w:rsidR="003667EF" w:rsidRPr="003667EF" w14:paraId="2C58F7D0" w14:textId="77777777" w:rsidTr="0054443F">
        <w:trPr>
          <w:trHeight w:val="283"/>
        </w:trPr>
        <w:tc>
          <w:tcPr>
            <w:tcW w:w="5000" w:type="pct"/>
            <w:gridSpan w:val="7"/>
            <w:tcBorders>
              <w:top w:val="single" w:sz="8" w:space="0" w:color="FFFFFF"/>
              <w:left w:val="nil"/>
              <w:right w:val="nil"/>
            </w:tcBorders>
            <w:shd w:val="clear" w:color="auto" w:fill="005CA9"/>
            <w:vAlign w:val="center"/>
            <w:hideMark/>
          </w:tcPr>
          <w:p w14:paraId="5F571F4F" w14:textId="77777777" w:rsidR="003667EF" w:rsidRPr="003667EF" w:rsidRDefault="003667EF" w:rsidP="003667EF">
            <w:pPr>
              <w:jc w:val="center"/>
              <w:rPr>
                <w:rFonts w:ascii="CAIXA Std Book" w:eastAsia="Times New Roman" w:hAnsi="CAIXA Std Book" w:cs="Times New Roman"/>
                <w:b/>
                <w:bCs/>
                <w:color w:val="FFFFFF"/>
                <w:sz w:val="18"/>
                <w:szCs w:val="18"/>
              </w:rPr>
            </w:pPr>
            <w:r w:rsidRPr="003667EF">
              <w:rPr>
                <w:rFonts w:ascii="CAIXA Std Book" w:eastAsia="Times New Roman" w:hAnsi="CAIXA Std Book" w:cs="Times New Roman"/>
                <w:b/>
                <w:bCs/>
                <w:color w:val="FFFFFF"/>
                <w:sz w:val="18"/>
                <w:szCs w:val="18"/>
              </w:rPr>
              <w:t>Contratos de futuros</w:t>
            </w:r>
          </w:p>
        </w:tc>
      </w:tr>
      <w:tr w:rsidR="00AE4C3E" w:rsidRPr="003667EF" w14:paraId="3DEE0E81" w14:textId="77777777" w:rsidTr="00C973C1">
        <w:trPr>
          <w:trHeight w:val="283"/>
        </w:trPr>
        <w:tc>
          <w:tcPr>
            <w:tcW w:w="1605" w:type="pct"/>
            <w:tcBorders>
              <w:left w:val="nil"/>
              <w:bottom w:val="nil"/>
              <w:right w:val="nil"/>
            </w:tcBorders>
            <w:shd w:val="clear" w:color="auto" w:fill="D0E0E3"/>
            <w:noWrap/>
            <w:vAlign w:val="center"/>
            <w:hideMark/>
          </w:tcPr>
          <w:p w14:paraId="6C279F6E" w14:textId="77777777" w:rsidR="00AE4C3E" w:rsidRPr="003667EF" w:rsidRDefault="00AE4C3E" w:rsidP="00AE4C3E">
            <w:pPr>
              <w:rPr>
                <w:rFonts w:ascii="CAIXA Std Book" w:eastAsia="Times New Roman" w:hAnsi="CAIXA Std Book" w:cs="Times New Roman"/>
                <w:b/>
                <w:bCs/>
                <w:color w:val="005CA9"/>
                <w:sz w:val="18"/>
                <w:szCs w:val="18"/>
              </w:rPr>
            </w:pPr>
            <w:r w:rsidRPr="003667EF">
              <w:rPr>
                <w:rFonts w:ascii="CAIXA Std Book" w:eastAsia="Times New Roman" w:hAnsi="CAIXA Std Book" w:cs="Times New Roman"/>
                <w:b/>
                <w:bCs/>
                <w:color w:val="005CA9"/>
                <w:sz w:val="18"/>
                <w:szCs w:val="18"/>
              </w:rPr>
              <w:t>Compromissos de compra</w:t>
            </w:r>
          </w:p>
        </w:tc>
        <w:tc>
          <w:tcPr>
            <w:tcW w:w="566" w:type="pct"/>
            <w:tcBorders>
              <w:left w:val="nil"/>
              <w:bottom w:val="nil"/>
              <w:right w:val="nil"/>
            </w:tcBorders>
            <w:shd w:val="clear" w:color="auto" w:fill="D0E0E3"/>
            <w:noWrap/>
            <w:vAlign w:val="center"/>
            <w:hideMark/>
          </w:tcPr>
          <w:p w14:paraId="471C39FE" w14:textId="546945C7" w:rsidR="00AE4C3E" w:rsidRPr="003667EF" w:rsidRDefault="00AE4C3E" w:rsidP="00F92340">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37.023</w:t>
            </w:r>
          </w:p>
        </w:tc>
        <w:tc>
          <w:tcPr>
            <w:tcW w:w="566" w:type="pct"/>
            <w:tcBorders>
              <w:left w:val="nil"/>
              <w:bottom w:val="nil"/>
              <w:right w:val="nil"/>
            </w:tcBorders>
            <w:shd w:val="clear" w:color="auto" w:fill="D0E0E3"/>
            <w:noWrap/>
            <w:vAlign w:val="center"/>
            <w:hideMark/>
          </w:tcPr>
          <w:p w14:paraId="20E9A901" w14:textId="4A508066" w:rsidR="00AE4C3E" w:rsidRPr="003667EF" w:rsidRDefault="00AE4C3E" w:rsidP="00F92340">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152.750</w:t>
            </w:r>
          </w:p>
        </w:tc>
        <w:tc>
          <w:tcPr>
            <w:tcW w:w="566" w:type="pct"/>
            <w:tcBorders>
              <w:left w:val="nil"/>
              <w:bottom w:val="nil"/>
              <w:right w:val="nil"/>
            </w:tcBorders>
            <w:shd w:val="clear" w:color="auto" w:fill="D0E0E3"/>
            <w:noWrap/>
            <w:vAlign w:val="center"/>
            <w:hideMark/>
          </w:tcPr>
          <w:p w14:paraId="3F055C23" w14:textId="6C249A76" w:rsidR="00AE4C3E" w:rsidRPr="003667EF" w:rsidRDefault="00AE4C3E" w:rsidP="00F92340">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251.748</w:t>
            </w:r>
          </w:p>
        </w:tc>
        <w:tc>
          <w:tcPr>
            <w:tcW w:w="566" w:type="pct"/>
            <w:tcBorders>
              <w:left w:val="nil"/>
              <w:bottom w:val="nil"/>
              <w:right w:val="nil"/>
            </w:tcBorders>
            <w:shd w:val="clear" w:color="auto" w:fill="D0E0E3"/>
            <w:noWrap/>
            <w:vAlign w:val="center"/>
            <w:hideMark/>
          </w:tcPr>
          <w:p w14:paraId="4BAC7D36" w14:textId="543FA815" w:rsidR="00AE4C3E" w:rsidRPr="003667EF" w:rsidRDefault="00AE4C3E" w:rsidP="00F92340">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1.879.560</w:t>
            </w:r>
          </w:p>
        </w:tc>
        <w:tc>
          <w:tcPr>
            <w:tcW w:w="566" w:type="pct"/>
            <w:tcBorders>
              <w:left w:val="nil"/>
              <w:bottom w:val="nil"/>
              <w:right w:val="nil"/>
            </w:tcBorders>
            <w:shd w:val="clear" w:color="auto" w:fill="D0E0E3"/>
            <w:noWrap/>
            <w:vAlign w:val="center"/>
            <w:hideMark/>
          </w:tcPr>
          <w:p w14:paraId="334C59EF" w14:textId="4F12DE03" w:rsidR="00AE4C3E" w:rsidRPr="003667EF" w:rsidRDefault="00AE4C3E" w:rsidP="00F92340">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2.321.081</w:t>
            </w:r>
          </w:p>
        </w:tc>
        <w:tc>
          <w:tcPr>
            <w:tcW w:w="565" w:type="pct"/>
            <w:tcBorders>
              <w:left w:val="nil"/>
              <w:bottom w:val="nil"/>
              <w:right w:val="nil"/>
            </w:tcBorders>
            <w:shd w:val="clear" w:color="auto" w:fill="D0E0E3"/>
            <w:noWrap/>
            <w:vAlign w:val="center"/>
            <w:hideMark/>
          </w:tcPr>
          <w:p w14:paraId="1322ED16" w14:textId="77777777" w:rsidR="00AE4C3E" w:rsidRPr="003667EF" w:rsidRDefault="00AE4C3E" w:rsidP="00F92340">
            <w:pPr>
              <w:jc w:val="right"/>
              <w:rPr>
                <w:rFonts w:ascii="CAIXA Std Book" w:eastAsia="Times New Roman" w:hAnsi="CAIXA Std Book" w:cs="Times New Roman"/>
                <w:b/>
                <w:bCs/>
                <w:color w:val="005CA9"/>
                <w:sz w:val="18"/>
                <w:szCs w:val="18"/>
              </w:rPr>
            </w:pPr>
            <w:r w:rsidRPr="003667EF">
              <w:rPr>
                <w:rFonts w:ascii="CAIXA Std Book" w:eastAsia="Times New Roman" w:hAnsi="CAIXA Std Book" w:cs="Times New Roman"/>
                <w:b/>
                <w:bCs/>
                <w:color w:val="005CA9"/>
                <w:sz w:val="18"/>
                <w:szCs w:val="18"/>
              </w:rPr>
              <w:t>2.359.479</w:t>
            </w:r>
          </w:p>
        </w:tc>
      </w:tr>
      <w:tr w:rsidR="00AE4C3E" w:rsidRPr="003667EF" w14:paraId="26E204C9" w14:textId="77777777" w:rsidTr="00C973C1">
        <w:trPr>
          <w:trHeight w:val="283"/>
        </w:trPr>
        <w:tc>
          <w:tcPr>
            <w:tcW w:w="1605" w:type="pct"/>
            <w:tcBorders>
              <w:top w:val="nil"/>
              <w:left w:val="nil"/>
              <w:bottom w:val="single" w:sz="8" w:space="0" w:color="FFFFFF"/>
              <w:right w:val="nil"/>
            </w:tcBorders>
            <w:noWrap/>
            <w:vAlign w:val="center"/>
            <w:hideMark/>
          </w:tcPr>
          <w:p w14:paraId="70AF3677" w14:textId="77777777" w:rsidR="00AE4C3E" w:rsidRPr="003667EF" w:rsidRDefault="00AE4C3E" w:rsidP="00AE4C3E">
            <w:pPr>
              <w:ind w:firstLineChars="100" w:firstLine="180"/>
              <w:rPr>
                <w:rFonts w:ascii="CAIXA Std Book" w:eastAsia="Times New Roman" w:hAnsi="CAIXA Std Book" w:cs="Times New Roman"/>
                <w:color w:val="005CA9"/>
                <w:sz w:val="18"/>
                <w:szCs w:val="18"/>
              </w:rPr>
            </w:pPr>
            <w:r w:rsidRPr="003667EF">
              <w:rPr>
                <w:rFonts w:ascii="CAIXA Std Book" w:eastAsia="Times New Roman" w:hAnsi="CAIXA Std Book" w:cs="Times New Roman"/>
                <w:color w:val="005CA9"/>
                <w:sz w:val="18"/>
                <w:szCs w:val="18"/>
              </w:rPr>
              <w:t>Mercado interfinanceiro</w:t>
            </w:r>
          </w:p>
        </w:tc>
        <w:tc>
          <w:tcPr>
            <w:tcW w:w="566" w:type="pct"/>
            <w:tcBorders>
              <w:top w:val="nil"/>
              <w:left w:val="nil"/>
              <w:bottom w:val="single" w:sz="8" w:space="0" w:color="FFFFFF"/>
              <w:right w:val="nil"/>
            </w:tcBorders>
            <w:shd w:val="clear" w:color="000000" w:fill="FFFFFF"/>
            <w:noWrap/>
            <w:vAlign w:val="center"/>
            <w:hideMark/>
          </w:tcPr>
          <w:p w14:paraId="0CC957A3" w14:textId="0F0EBA1C" w:rsidR="00AE4C3E" w:rsidRPr="003667EF" w:rsidRDefault="00AE4C3E" w:rsidP="00F92340">
            <w:pPr>
              <w:jc w:val="right"/>
              <w:rPr>
                <w:rFonts w:ascii="CAIXA Std Book" w:eastAsia="Times New Roman" w:hAnsi="CAIXA Std Book" w:cs="Times New Roman"/>
                <w:color w:val="005CA9"/>
                <w:sz w:val="18"/>
                <w:szCs w:val="18"/>
              </w:rPr>
            </w:pPr>
            <w:r>
              <w:rPr>
                <w:rFonts w:ascii="CAIXA Std Book" w:hAnsi="CAIXA Std Book"/>
                <w:color w:val="005CA9"/>
                <w:sz w:val="18"/>
                <w:szCs w:val="18"/>
              </w:rPr>
              <w:t>37.023</w:t>
            </w:r>
          </w:p>
        </w:tc>
        <w:tc>
          <w:tcPr>
            <w:tcW w:w="566" w:type="pct"/>
            <w:tcBorders>
              <w:top w:val="nil"/>
              <w:left w:val="nil"/>
              <w:bottom w:val="single" w:sz="8" w:space="0" w:color="FFFFFF"/>
              <w:right w:val="nil"/>
            </w:tcBorders>
            <w:shd w:val="clear" w:color="000000" w:fill="FFFFFF"/>
            <w:noWrap/>
            <w:vAlign w:val="center"/>
            <w:hideMark/>
          </w:tcPr>
          <w:p w14:paraId="2333CAFA" w14:textId="6A260D1B" w:rsidR="00AE4C3E" w:rsidRPr="003667EF" w:rsidRDefault="00AE4C3E" w:rsidP="00F92340">
            <w:pPr>
              <w:jc w:val="right"/>
              <w:rPr>
                <w:rFonts w:ascii="CAIXA Std Book" w:eastAsia="Times New Roman" w:hAnsi="CAIXA Std Book" w:cs="Times New Roman"/>
                <w:color w:val="005CA9"/>
                <w:sz w:val="18"/>
                <w:szCs w:val="18"/>
              </w:rPr>
            </w:pPr>
            <w:r>
              <w:rPr>
                <w:rFonts w:ascii="CAIXA Std Book" w:hAnsi="CAIXA Std Book"/>
                <w:color w:val="005CA9"/>
                <w:sz w:val="18"/>
                <w:szCs w:val="18"/>
              </w:rPr>
              <w:t>152.750</w:t>
            </w:r>
          </w:p>
        </w:tc>
        <w:tc>
          <w:tcPr>
            <w:tcW w:w="566" w:type="pct"/>
            <w:tcBorders>
              <w:top w:val="nil"/>
              <w:left w:val="nil"/>
              <w:bottom w:val="single" w:sz="8" w:space="0" w:color="FFFFFF"/>
              <w:right w:val="nil"/>
            </w:tcBorders>
            <w:shd w:val="clear" w:color="000000" w:fill="FFFFFF"/>
            <w:noWrap/>
            <w:vAlign w:val="center"/>
            <w:hideMark/>
          </w:tcPr>
          <w:p w14:paraId="14FEAC98" w14:textId="154CF1A4" w:rsidR="00AE4C3E" w:rsidRPr="003667EF" w:rsidRDefault="00AE4C3E" w:rsidP="00F92340">
            <w:pPr>
              <w:jc w:val="right"/>
              <w:rPr>
                <w:rFonts w:ascii="CAIXA Std Book" w:eastAsia="Times New Roman" w:hAnsi="CAIXA Std Book" w:cs="Times New Roman"/>
                <w:color w:val="005CA9"/>
                <w:sz w:val="18"/>
                <w:szCs w:val="18"/>
              </w:rPr>
            </w:pPr>
            <w:r>
              <w:rPr>
                <w:rFonts w:ascii="CAIXA Std Book" w:hAnsi="CAIXA Std Book"/>
                <w:color w:val="005CA9"/>
                <w:sz w:val="18"/>
                <w:szCs w:val="18"/>
              </w:rPr>
              <w:t>251.748</w:t>
            </w:r>
          </w:p>
        </w:tc>
        <w:tc>
          <w:tcPr>
            <w:tcW w:w="566" w:type="pct"/>
            <w:tcBorders>
              <w:top w:val="nil"/>
              <w:left w:val="nil"/>
              <w:bottom w:val="single" w:sz="8" w:space="0" w:color="FFFFFF"/>
              <w:right w:val="nil"/>
            </w:tcBorders>
            <w:shd w:val="clear" w:color="000000" w:fill="FFFFFF"/>
            <w:noWrap/>
            <w:vAlign w:val="center"/>
            <w:hideMark/>
          </w:tcPr>
          <w:p w14:paraId="092FF98C" w14:textId="5AA45EC7" w:rsidR="00AE4C3E" w:rsidRPr="003667EF" w:rsidRDefault="00AE4C3E" w:rsidP="00F92340">
            <w:pPr>
              <w:jc w:val="right"/>
              <w:rPr>
                <w:rFonts w:ascii="CAIXA Std Book" w:eastAsia="Times New Roman" w:hAnsi="CAIXA Std Book" w:cs="Times New Roman"/>
                <w:color w:val="005CA9"/>
                <w:sz w:val="18"/>
                <w:szCs w:val="18"/>
              </w:rPr>
            </w:pPr>
            <w:r>
              <w:rPr>
                <w:rFonts w:ascii="CAIXA Std Book" w:hAnsi="CAIXA Std Book"/>
                <w:color w:val="005CA9"/>
                <w:sz w:val="18"/>
                <w:szCs w:val="18"/>
              </w:rPr>
              <w:t>1.879.560</w:t>
            </w:r>
          </w:p>
        </w:tc>
        <w:tc>
          <w:tcPr>
            <w:tcW w:w="566" w:type="pct"/>
            <w:tcBorders>
              <w:top w:val="nil"/>
              <w:left w:val="nil"/>
              <w:bottom w:val="single" w:sz="8" w:space="0" w:color="FFFFFF"/>
              <w:right w:val="nil"/>
            </w:tcBorders>
            <w:shd w:val="clear" w:color="000000" w:fill="FFFFFF"/>
            <w:noWrap/>
            <w:vAlign w:val="center"/>
            <w:hideMark/>
          </w:tcPr>
          <w:p w14:paraId="1085176D" w14:textId="76548B19" w:rsidR="00AE4C3E" w:rsidRPr="003667EF" w:rsidRDefault="00AE4C3E" w:rsidP="00F92340">
            <w:pPr>
              <w:jc w:val="right"/>
              <w:rPr>
                <w:rFonts w:ascii="CAIXA Std Book" w:eastAsia="Times New Roman" w:hAnsi="CAIXA Std Book" w:cs="Times New Roman"/>
                <w:color w:val="005CA9"/>
                <w:sz w:val="18"/>
                <w:szCs w:val="18"/>
              </w:rPr>
            </w:pPr>
            <w:r>
              <w:rPr>
                <w:rFonts w:ascii="CAIXA Std Book" w:hAnsi="CAIXA Std Book"/>
                <w:color w:val="005CA9"/>
                <w:sz w:val="18"/>
                <w:szCs w:val="18"/>
              </w:rPr>
              <w:t>2.321.081</w:t>
            </w:r>
          </w:p>
        </w:tc>
        <w:tc>
          <w:tcPr>
            <w:tcW w:w="565" w:type="pct"/>
            <w:tcBorders>
              <w:top w:val="nil"/>
              <w:left w:val="nil"/>
              <w:bottom w:val="single" w:sz="8" w:space="0" w:color="FFFFFF"/>
              <w:right w:val="nil"/>
            </w:tcBorders>
            <w:shd w:val="clear" w:color="000000" w:fill="FFFFFF"/>
            <w:noWrap/>
            <w:vAlign w:val="center"/>
            <w:hideMark/>
          </w:tcPr>
          <w:p w14:paraId="5CE0607A" w14:textId="77777777" w:rsidR="00AE4C3E" w:rsidRPr="003667EF" w:rsidRDefault="00AE4C3E" w:rsidP="00F92340">
            <w:pPr>
              <w:jc w:val="right"/>
              <w:rPr>
                <w:rFonts w:ascii="CAIXA Std Book" w:eastAsia="Times New Roman" w:hAnsi="CAIXA Std Book" w:cs="Times New Roman"/>
                <w:color w:val="005CA9"/>
                <w:sz w:val="18"/>
                <w:szCs w:val="18"/>
              </w:rPr>
            </w:pPr>
            <w:r w:rsidRPr="003667EF">
              <w:rPr>
                <w:rFonts w:ascii="CAIXA Std Book" w:eastAsia="Times New Roman" w:hAnsi="CAIXA Std Book" w:cs="Times New Roman"/>
                <w:color w:val="005CA9"/>
                <w:sz w:val="18"/>
                <w:szCs w:val="18"/>
              </w:rPr>
              <w:t>2.359.479</w:t>
            </w:r>
          </w:p>
        </w:tc>
      </w:tr>
      <w:tr w:rsidR="00AE4C3E" w:rsidRPr="003667EF" w14:paraId="1FF52323" w14:textId="77777777" w:rsidTr="00C973C1">
        <w:trPr>
          <w:trHeight w:val="283"/>
        </w:trPr>
        <w:tc>
          <w:tcPr>
            <w:tcW w:w="1605" w:type="pct"/>
            <w:tcBorders>
              <w:top w:val="nil"/>
              <w:left w:val="nil"/>
              <w:bottom w:val="single" w:sz="8" w:space="0" w:color="FFFFFF"/>
              <w:right w:val="nil"/>
            </w:tcBorders>
            <w:shd w:val="clear" w:color="auto" w:fill="D0E0E3"/>
            <w:noWrap/>
            <w:vAlign w:val="center"/>
            <w:hideMark/>
          </w:tcPr>
          <w:p w14:paraId="47DE4C0A" w14:textId="77777777" w:rsidR="00AE4C3E" w:rsidRPr="003667EF" w:rsidRDefault="00AE4C3E" w:rsidP="00AE4C3E">
            <w:pPr>
              <w:rPr>
                <w:rFonts w:ascii="CAIXA Std Book" w:eastAsia="Times New Roman" w:hAnsi="CAIXA Std Book" w:cs="Times New Roman"/>
                <w:b/>
                <w:bCs/>
                <w:color w:val="005CA9"/>
                <w:sz w:val="18"/>
                <w:szCs w:val="18"/>
              </w:rPr>
            </w:pPr>
            <w:r w:rsidRPr="003667EF">
              <w:rPr>
                <w:rFonts w:ascii="CAIXA Std Book" w:eastAsia="Times New Roman" w:hAnsi="CAIXA Std Book" w:cs="Times New Roman"/>
                <w:b/>
                <w:bCs/>
                <w:color w:val="005CA9"/>
                <w:sz w:val="18"/>
                <w:szCs w:val="18"/>
              </w:rPr>
              <w:t>Compromissos de venda</w:t>
            </w:r>
          </w:p>
        </w:tc>
        <w:tc>
          <w:tcPr>
            <w:tcW w:w="566" w:type="pct"/>
            <w:tcBorders>
              <w:top w:val="nil"/>
              <w:left w:val="nil"/>
              <w:bottom w:val="single" w:sz="8" w:space="0" w:color="FFFFFF"/>
              <w:right w:val="nil"/>
            </w:tcBorders>
            <w:shd w:val="clear" w:color="auto" w:fill="D0E0E3"/>
            <w:noWrap/>
            <w:vAlign w:val="center"/>
            <w:hideMark/>
          </w:tcPr>
          <w:p w14:paraId="3617FE3D" w14:textId="0D3D7275" w:rsidR="00AE4C3E" w:rsidRPr="003667EF" w:rsidRDefault="00525A75" w:rsidP="00F92340">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320.100</w:t>
            </w:r>
          </w:p>
        </w:tc>
        <w:tc>
          <w:tcPr>
            <w:tcW w:w="566" w:type="pct"/>
            <w:tcBorders>
              <w:top w:val="nil"/>
              <w:left w:val="nil"/>
              <w:bottom w:val="single" w:sz="8" w:space="0" w:color="FFFFFF"/>
              <w:right w:val="nil"/>
            </w:tcBorders>
            <w:shd w:val="clear" w:color="auto" w:fill="D0E0E3"/>
            <w:noWrap/>
            <w:vAlign w:val="center"/>
            <w:hideMark/>
          </w:tcPr>
          <w:p w14:paraId="5181457F" w14:textId="5F319088" w:rsidR="00AE4C3E" w:rsidRPr="003667EF" w:rsidRDefault="00693A7C" w:rsidP="00F92340">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4.392.401</w:t>
            </w:r>
          </w:p>
        </w:tc>
        <w:tc>
          <w:tcPr>
            <w:tcW w:w="566" w:type="pct"/>
            <w:tcBorders>
              <w:top w:val="nil"/>
              <w:left w:val="nil"/>
              <w:bottom w:val="single" w:sz="8" w:space="0" w:color="FFFFFF"/>
              <w:right w:val="nil"/>
            </w:tcBorders>
            <w:shd w:val="clear" w:color="auto" w:fill="D0E0E3"/>
            <w:noWrap/>
            <w:vAlign w:val="center"/>
            <w:hideMark/>
          </w:tcPr>
          <w:p w14:paraId="67540315" w14:textId="2E2133A6" w:rsidR="00AE4C3E" w:rsidRPr="003667EF" w:rsidRDefault="00693A7C" w:rsidP="00F92340">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4.133.166</w:t>
            </w:r>
          </w:p>
        </w:tc>
        <w:tc>
          <w:tcPr>
            <w:tcW w:w="566" w:type="pct"/>
            <w:tcBorders>
              <w:top w:val="nil"/>
              <w:left w:val="nil"/>
              <w:bottom w:val="single" w:sz="8" w:space="0" w:color="FFFFFF"/>
              <w:right w:val="nil"/>
            </w:tcBorders>
            <w:shd w:val="clear" w:color="auto" w:fill="D0E0E3"/>
            <w:noWrap/>
            <w:vAlign w:val="center"/>
            <w:hideMark/>
          </w:tcPr>
          <w:p w14:paraId="1D0736B1" w14:textId="584363D0" w:rsidR="00AE4C3E" w:rsidRPr="003667EF" w:rsidRDefault="00693A7C" w:rsidP="00F92340">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64.781.238</w:t>
            </w:r>
          </w:p>
        </w:tc>
        <w:tc>
          <w:tcPr>
            <w:tcW w:w="566" w:type="pct"/>
            <w:tcBorders>
              <w:top w:val="nil"/>
              <w:left w:val="nil"/>
              <w:bottom w:val="single" w:sz="8" w:space="0" w:color="FFFFFF"/>
              <w:right w:val="nil"/>
            </w:tcBorders>
            <w:shd w:val="clear" w:color="auto" w:fill="D0E0E3"/>
            <w:noWrap/>
            <w:vAlign w:val="center"/>
            <w:hideMark/>
          </w:tcPr>
          <w:p w14:paraId="38C9D3A8" w14:textId="6D19EA1D" w:rsidR="00AE4C3E" w:rsidRPr="003667EF" w:rsidRDefault="00693A7C" w:rsidP="00F92340">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73.626.905</w:t>
            </w:r>
          </w:p>
        </w:tc>
        <w:tc>
          <w:tcPr>
            <w:tcW w:w="565" w:type="pct"/>
            <w:tcBorders>
              <w:top w:val="nil"/>
              <w:left w:val="nil"/>
              <w:bottom w:val="single" w:sz="8" w:space="0" w:color="FFFFFF"/>
              <w:right w:val="nil"/>
            </w:tcBorders>
            <w:shd w:val="clear" w:color="auto" w:fill="D0E0E3"/>
            <w:noWrap/>
            <w:vAlign w:val="center"/>
            <w:hideMark/>
          </w:tcPr>
          <w:p w14:paraId="31C9A614" w14:textId="77777777" w:rsidR="00AE4C3E" w:rsidRPr="003667EF" w:rsidRDefault="00AE4C3E" w:rsidP="00F92340">
            <w:pPr>
              <w:jc w:val="right"/>
              <w:rPr>
                <w:rFonts w:ascii="CAIXA Std Book" w:eastAsia="Times New Roman" w:hAnsi="CAIXA Std Book" w:cs="Times New Roman"/>
                <w:b/>
                <w:bCs/>
                <w:color w:val="005CA9"/>
                <w:sz w:val="18"/>
                <w:szCs w:val="18"/>
              </w:rPr>
            </w:pPr>
            <w:r w:rsidRPr="003667EF">
              <w:rPr>
                <w:rFonts w:ascii="CAIXA Std Book" w:eastAsia="Times New Roman" w:hAnsi="CAIXA Std Book" w:cs="Times New Roman"/>
                <w:b/>
                <w:bCs/>
                <w:color w:val="005CA9"/>
                <w:sz w:val="18"/>
                <w:szCs w:val="18"/>
              </w:rPr>
              <w:t>80.269.757</w:t>
            </w:r>
          </w:p>
        </w:tc>
      </w:tr>
      <w:tr w:rsidR="00AE4C3E" w:rsidRPr="003667EF" w14:paraId="20A7DAE2" w14:textId="77777777" w:rsidTr="00C973C1">
        <w:trPr>
          <w:trHeight w:val="283"/>
        </w:trPr>
        <w:tc>
          <w:tcPr>
            <w:tcW w:w="1605" w:type="pct"/>
            <w:tcBorders>
              <w:top w:val="nil"/>
              <w:left w:val="nil"/>
              <w:bottom w:val="nil"/>
              <w:right w:val="nil"/>
            </w:tcBorders>
            <w:shd w:val="clear" w:color="000000" w:fill="FFFFFF"/>
            <w:noWrap/>
            <w:vAlign w:val="center"/>
            <w:hideMark/>
          </w:tcPr>
          <w:p w14:paraId="1A51AF56" w14:textId="77777777" w:rsidR="00AE4C3E" w:rsidRPr="003667EF" w:rsidRDefault="00AE4C3E" w:rsidP="00AE4C3E">
            <w:pPr>
              <w:ind w:firstLineChars="100" w:firstLine="180"/>
              <w:rPr>
                <w:rFonts w:ascii="CAIXA Std Book" w:eastAsia="Times New Roman" w:hAnsi="CAIXA Std Book" w:cs="Times New Roman"/>
                <w:color w:val="005CA9"/>
                <w:sz w:val="18"/>
                <w:szCs w:val="18"/>
              </w:rPr>
            </w:pPr>
            <w:r w:rsidRPr="003667EF">
              <w:rPr>
                <w:rFonts w:ascii="CAIXA Std Book" w:eastAsia="Times New Roman" w:hAnsi="CAIXA Std Book" w:cs="Times New Roman"/>
                <w:color w:val="005CA9"/>
                <w:sz w:val="18"/>
                <w:szCs w:val="18"/>
              </w:rPr>
              <w:t>Mercado interfinanceiro</w:t>
            </w:r>
          </w:p>
        </w:tc>
        <w:tc>
          <w:tcPr>
            <w:tcW w:w="566" w:type="pct"/>
            <w:tcBorders>
              <w:top w:val="nil"/>
              <w:left w:val="nil"/>
              <w:bottom w:val="nil"/>
              <w:right w:val="nil"/>
            </w:tcBorders>
            <w:shd w:val="clear" w:color="000000" w:fill="FFFFFF"/>
            <w:noWrap/>
            <w:vAlign w:val="center"/>
            <w:hideMark/>
          </w:tcPr>
          <w:p w14:paraId="4AC043DE" w14:textId="4469480F" w:rsidR="00AE4C3E" w:rsidRPr="003667EF" w:rsidRDefault="00525A75" w:rsidP="00F92340">
            <w:pPr>
              <w:jc w:val="right"/>
              <w:rPr>
                <w:rFonts w:ascii="CAIXA Std Book" w:eastAsia="Times New Roman" w:hAnsi="CAIXA Std Book" w:cs="Times New Roman"/>
                <w:color w:val="005CA9"/>
                <w:sz w:val="18"/>
                <w:szCs w:val="18"/>
              </w:rPr>
            </w:pPr>
            <w:r>
              <w:rPr>
                <w:rFonts w:ascii="CAIXA Std Book" w:hAnsi="CAIXA Std Book"/>
                <w:color w:val="005CA9"/>
                <w:sz w:val="18"/>
                <w:szCs w:val="18"/>
              </w:rPr>
              <w:t>37.939</w:t>
            </w:r>
          </w:p>
        </w:tc>
        <w:tc>
          <w:tcPr>
            <w:tcW w:w="566" w:type="pct"/>
            <w:tcBorders>
              <w:top w:val="nil"/>
              <w:left w:val="nil"/>
              <w:bottom w:val="nil"/>
              <w:right w:val="nil"/>
            </w:tcBorders>
            <w:shd w:val="clear" w:color="000000" w:fill="FFFFFF"/>
            <w:noWrap/>
            <w:vAlign w:val="center"/>
            <w:hideMark/>
          </w:tcPr>
          <w:p w14:paraId="4CF87C61" w14:textId="61DAD646" w:rsidR="00AE4C3E" w:rsidRPr="003667EF" w:rsidRDefault="00693A7C" w:rsidP="00F92340">
            <w:pPr>
              <w:jc w:val="right"/>
              <w:rPr>
                <w:rFonts w:ascii="CAIXA Std Book" w:eastAsia="Times New Roman" w:hAnsi="CAIXA Std Book" w:cs="Times New Roman"/>
                <w:color w:val="005CA9"/>
                <w:sz w:val="18"/>
                <w:szCs w:val="18"/>
              </w:rPr>
            </w:pPr>
            <w:r>
              <w:rPr>
                <w:rFonts w:ascii="CAIXA Std Book" w:hAnsi="CAIXA Std Book"/>
                <w:color w:val="005CA9"/>
                <w:sz w:val="18"/>
                <w:szCs w:val="18"/>
              </w:rPr>
              <w:t>4.392.401</w:t>
            </w:r>
          </w:p>
        </w:tc>
        <w:tc>
          <w:tcPr>
            <w:tcW w:w="566" w:type="pct"/>
            <w:tcBorders>
              <w:top w:val="nil"/>
              <w:left w:val="nil"/>
              <w:bottom w:val="nil"/>
              <w:right w:val="nil"/>
            </w:tcBorders>
            <w:shd w:val="clear" w:color="000000" w:fill="FFFFFF"/>
            <w:noWrap/>
            <w:vAlign w:val="center"/>
            <w:hideMark/>
          </w:tcPr>
          <w:p w14:paraId="73C8822E" w14:textId="7B4B4734" w:rsidR="00AE4C3E" w:rsidRPr="003667EF" w:rsidRDefault="00693A7C" w:rsidP="00F92340">
            <w:pPr>
              <w:jc w:val="right"/>
              <w:rPr>
                <w:rFonts w:ascii="CAIXA Std Book" w:eastAsia="Times New Roman" w:hAnsi="CAIXA Std Book" w:cs="Times New Roman"/>
                <w:color w:val="005CA9"/>
                <w:sz w:val="18"/>
                <w:szCs w:val="18"/>
              </w:rPr>
            </w:pPr>
            <w:r>
              <w:rPr>
                <w:rFonts w:ascii="CAIXA Std Book" w:hAnsi="CAIXA Std Book"/>
                <w:color w:val="005CA9"/>
                <w:sz w:val="18"/>
                <w:szCs w:val="18"/>
              </w:rPr>
              <w:t>4.133.166</w:t>
            </w:r>
          </w:p>
        </w:tc>
        <w:tc>
          <w:tcPr>
            <w:tcW w:w="566" w:type="pct"/>
            <w:tcBorders>
              <w:top w:val="nil"/>
              <w:left w:val="nil"/>
              <w:bottom w:val="nil"/>
              <w:right w:val="nil"/>
            </w:tcBorders>
            <w:shd w:val="clear" w:color="000000" w:fill="FFFFFF"/>
            <w:noWrap/>
            <w:vAlign w:val="center"/>
            <w:hideMark/>
          </w:tcPr>
          <w:p w14:paraId="6E3722F5" w14:textId="64093416" w:rsidR="00AE4C3E" w:rsidRPr="003667EF" w:rsidRDefault="00693A7C" w:rsidP="00F92340">
            <w:pPr>
              <w:jc w:val="right"/>
              <w:rPr>
                <w:rFonts w:ascii="CAIXA Std Book" w:eastAsia="Times New Roman" w:hAnsi="CAIXA Std Book" w:cs="Times New Roman"/>
                <w:color w:val="005CA9"/>
                <w:sz w:val="18"/>
                <w:szCs w:val="18"/>
              </w:rPr>
            </w:pPr>
            <w:r>
              <w:rPr>
                <w:rFonts w:ascii="CAIXA Std Book" w:hAnsi="CAIXA Std Book"/>
                <w:color w:val="005CA9"/>
                <w:sz w:val="18"/>
                <w:szCs w:val="18"/>
              </w:rPr>
              <w:t>64.781.238</w:t>
            </w:r>
          </w:p>
        </w:tc>
        <w:tc>
          <w:tcPr>
            <w:tcW w:w="566" w:type="pct"/>
            <w:tcBorders>
              <w:top w:val="nil"/>
              <w:left w:val="nil"/>
              <w:bottom w:val="nil"/>
              <w:right w:val="nil"/>
            </w:tcBorders>
            <w:shd w:val="clear" w:color="000000" w:fill="FFFFFF"/>
            <w:noWrap/>
            <w:vAlign w:val="center"/>
            <w:hideMark/>
          </w:tcPr>
          <w:p w14:paraId="544501C5" w14:textId="78DB19E6" w:rsidR="00AE4C3E" w:rsidRPr="003667EF" w:rsidRDefault="00693A7C" w:rsidP="00F92340">
            <w:pPr>
              <w:jc w:val="right"/>
              <w:rPr>
                <w:rFonts w:ascii="CAIXA Std Book" w:eastAsia="Times New Roman" w:hAnsi="CAIXA Std Book" w:cs="Times New Roman"/>
                <w:color w:val="005CA9"/>
                <w:sz w:val="18"/>
                <w:szCs w:val="18"/>
              </w:rPr>
            </w:pPr>
            <w:r>
              <w:rPr>
                <w:rFonts w:ascii="CAIXA Std Book" w:hAnsi="CAIXA Std Book"/>
                <w:color w:val="005CA9"/>
                <w:sz w:val="18"/>
                <w:szCs w:val="18"/>
              </w:rPr>
              <w:t>73.344.744</w:t>
            </w:r>
          </w:p>
        </w:tc>
        <w:tc>
          <w:tcPr>
            <w:tcW w:w="565" w:type="pct"/>
            <w:tcBorders>
              <w:top w:val="nil"/>
              <w:left w:val="nil"/>
              <w:bottom w:val="nil"/>
              <w:right w:val="nil"/>
            </w:tcBorders>
            <w:shd w:val="clear" w:color="000000" w:fill="FFFFFF"/>
            <w:noWrap/>
            <w:vAlign w:val="center"/>
            <w:hideMark/>
          </w:tcPr>
          <w:p w14:paraId="7661CAA4" w14:textId="77777777" w:rsidR="00AE4C3E" w:rsidRPr="003667EF" w:rsidRDefault="00AE4C3E" w:rsidP="00F92340">
            <w:pPr>
              <w:jc w:val="right"/>
              <w:rPr>
                <w:rFonts w:ascii="CAIXA Std Book" w:eastAsia="Times New Roman" w:hAnsi="CAIXA Std Book" w:cs="Times New Roman"/>
                <w:color w:val="005CA9"/>
                <w:sz w:val="18"/>
                <w:szCs w:val="18"/>
              </w:rPr>
            </w:pPr>
            <w:r w:rsidRPr="003667EF">
              <w:rPr>
                <w:rFonts w:ascii="CAIXA Std Book" w:eastAsia="Times New Roman" w:hAnsi="CAIXA Std Book" w:cs="Times New Roman"/>
                <w:color w:val="005CA9"/>
                <w:sz w:val="18"/>
                <w:szCs w:val="18"/>
              </w:rPr>
              <w:t>79.629.377</w:t>
            </w:r>
          </w:p>
        </w:tc>
      </w:tr>
      <w:tr w:rsidR="00AE4C3E" w:rsidRPr="003667EF" w14:paraId="1D953FAE" w14:textId="77777777" w:rsidTr="00C973C1">
        <w:trPr>
          <w:trHeight w:val="283"/>
        </w:trPr>
        <w:tc>
          <w:tcPr>
            <w:tcW w:w="1605" w:type="pct"/>
            <w:tcBorders>
              <w:top w:val="nil"/>
              <w:left w:val="nil"/>
              <w:bottom w:val="nil"/>
              <w:right w:val="nil"/>
            </w:tcBorders>
            <w:shd w:val="clear" w:color="000000" w:fill="FFFFFF"/>
            <w:noWrap/>
            <w:vAlign w:val="center"/>
            <w:hideMark/>
          </w:tcPr>
          <w:p w14:paraId="6284D9C1" w14:textId="77777777" w:rsidR="00AE4C3E" w:rsidRPr="003667EF" w:rsidRDefault="00AE4C3E" w:rsidP="00AE4C3E">
            <w:pPr>
              <w:ind w:firstLineChars="100" w:firstLine="180"/>
              <w:rPr>
                <w:rFonts w:ascii="CAIXA Std Book" w:eastAsia="Times New Roman" w:hAnsi="CAIXA Std Book" w:cs="Times New Roman"/>
                <w:color w:val="005CA9"/>
                <w:sz w:val="18"/>
                <w:szCs w:val="18"/>
              </w:rPr>
            </w:pPr>
            <w:r w:rsidRPr="003667EF">
              <w:rPr>
                <w:rFonts w:ascii="CAIXA Std Book" w:eastAsia="Times New Roman" w:hAnsi="CAIXA Std Book" w:cs="Times New Roman"/>
                <w:color w:val="005CA9"/>
                <w:sz w:val="18"/>
                <w:szCs w:val="18"/>
              </w:rPr>
              <w:t>Moeda estrangeira</w:t>
            </w:r>
          </w:p>
        </w:tc>
        <w:tc>
          <w:tcPr>
            <w:tcW w:w="566" w:type="pct"/>
            <w:tcBorders>
              <w:top w:val="nil"/>
              <w:left w:val="nil"/>
              <w:bottom w:val="nil"/>
              <w:right w:val="nil"/>
            </w:tcBorders>
            <w:shd w:val="clear" w:color="000000" w:fill="FFFFFF"/>
            <w:noWrap/>
            <w:vAlign w:val="center"/>
            <w:hideMark/>
          </w:tcPr>
          <w:p w14:paraId="1DA2B029" w14:textId="576336CF" w:rsidR="00AE4C3E" w:rsidRPr="003667EF" w:rsidRDefault="00525A75" w:rsidP="00F92340">
            <w:pPr>
              <w:jc w:val="right"/>
              <w:rPr>
                <w:rFonts w:ascii="CAIXA Std Book" w:eastAsia="Times New Roman" w:hAnsi="CAIXA Std Book" w:cs="Times New Roman"/>
                <w:color w:val="005CA9"/>
                <w:sz w:val="18"/>
                <w:szCs w:val="18"/>
              </w:rPr>
            </w:pPr>
            <w:r>
              <w:rPr>
                <w:rFonts w:ascii="CAIXA Std Book" w:hAnsi="CAIXA Std Book"/>
                <w:color w:val="005CA9"/>
                <w:sz w:val="18"/>
                <w:szCs w:val="18"/>
              </w:rPr>
              <w:t>282.161</w:t>
            </w:r>
          </w:p>
        </w:tc>
        <w:tc>
          <w:tcPr>
            <w:tcW w:w="566" w:type="pct"/>
            <w:tcBorders>
              <w:top w:val="nil"/>
              <w:left w:val="nil"/>
              <w:bottom w:val="nil"/>
              <w:right w:val="nil"/>
            </w:tcBorders>
            <w:shd w:val="clear" w:color="000000" w:fill="FFFFFF"/>
            <w:noWrap/>
            <w:vAlign w:val="center"/>
            <w:hideMark/>
          </w:tcPr>
          <w:p w14:paraId="054CCFB8" w14:textId="0162F3D3" w:rsidR="00AE4C3E" w:rsidRPr="003667EF" w:rsidRDefault="00E80264" w:rsidP="00E80264">
            <w:pPr>
              <w:jc w:val="center"/>
              <w:rPr>
                <w:rFonts w:ascii="CAIXA Std Book" w:eastAsia="Times New Roman" w:hAnsi="CAIXA Std Book" w:cs="Times New Roman"/>
                <w:color w:val="005CA9"/>
                <w:sz w:val="18"/>
                <w:szCs w:val="18"/>
              </w:rPr>
            </w:pPr>
            <w:r w:rsidRPr="00CE7A7C">
              <w:rPr>
                <w:rFonts w:ascii="CAIXA Std Book" w:eastAsia="Times New Roman" w:hAnsi="CAIXA Std Book" w:cs="Times New Roman"/>
                <w:color w:val="005CA9"/>
                <w:sz w:val="18"/>
                <w:szCs w:val="18"/>
              </w:rPr>
              <w:t>-</w:t>
            </w:r>
          </w:p>
        </w:tc>
        <w:tc>
          <w:tcPr>
            <w:tcW w:w="566" w:type="pct"/>
            <w:tcBorders>
              <w:top w:val="nil"/>
              <w:left w:val="nil"/>
              <w:bottom w:val="nil"/>
              <w:right w:val="nil"/>
            </w:tcBorders>
            <w:shd w:val="clear" w:color="000000" w:fill="FFFFFF"/>
            <w:noWrap/>
            <w:vAlign w:val="center"/>
            <w:hideMark/>
          </w:tcPr>
          <w:p w14:paraId="6EC96982" w14:textId="4C30990E" w:rsidR="00AE4C3E" w:rsidRPr="003667EF" w:rsidRDefault="00E80264" w:rsidP="00E80264">
            <w:pPr>
              <w:jc w:val="center"/>
              <w:rPr>
                <w:rFonts w:ascii="CAIXA Std Book" w:eastAsia="Times New Roman" w:hAnsi="CAIXA Std Book" w:cs="Times New Roman"/>
                <w:color w:val="005CA9"/>
                <w:sz w:val="18"/>
                <w:szCs w:val="18"/>
              </w:rPr>
            </w:pPr>
            <w:r w:rsidRPr="00CE7A7C">
              <w:rPr>
                <w:rFonts w:ascii="CAIXA Std Book" w:eastAsia="Times New Roman" w:hAnsi="CAIXA Std Book" w:cs="Times New Roman"/>
                <w:color w:val="005CA9"/>
                <w:sz w:val="18"/>
                <w:szCs w:val="18"/>
              </w:rPr>
              <w:t>-</w:t>
            </w:r>
          </w:p>
        </w:tc>
        <w:tc>
          <w:tcPr>
            <w:tcW w:w="566" w:type="pct"/>
            <w:tcBorders>
              <w:top w:val="nil"/>
              <w:left w:val="nil"/>
              <w:bottom w:val="nil"/>
              <w:right w:val="nil"/>
            </w:tcBorders>
            <w:shd w:val="clear" w:color="000000" w:fill="FFFFFF"/>
            <w:noWrap/>
            <w:vAlign w:val="center"/>
            <w:hideMark/>
          </w:tcPr>
          <w:p w14:paraId="3FE18BC0" w14:textId="7F6C78C9" w:rsidR="00AE4C3E" w:rsidRPr="003667EF" w:rsidRDefault="00E80264" w:rsidP="00E80264">
            <w:pPr>
              <w:jc w:val="center"/>
              <w:rPr>
                <w:rFonts w:ascii="CAIXA Std Book" w:eastAsia="Times New Roman" w:hAnsi="CAIXA Std Book" w:cs="Times New Roman"/>
                <w:color w:val="005CA9"/>
                <w:sz w:val="18"/>
                <w:szCs w:val="18"/>
              </w:rPr>
            </w:pPr>
            <w:r w:rsidRPr="00CE7A7C">
              <w:rPr>
                <w:rFonts w:ascii="CAIXA Std Book" w:eastAsia="Times New Roman" w:hAnsi="CAIXA Std Book" w:cs="Times New Roman"/>
                <w:color w:val="005CA9"/>
                <w:sz w:val="18"/>
                <w:szCs w:val="18"/>
              </w:rPr>
              <w:t>-</w:t>
            </w:r>
          </w:p>
        </w:tc>
        <w:tc>
          <w:tcPr>
            <w:tcW w:w="566" w:type="pct"/>
            <w:tcBorders>
              <w:top w:val="nil"/>
              <w:left w:val="nil"/>
              <w:bottom w:val="nil"/>
              <w:right w:val="nil"/>
            </w:tcBorders>
            <w:shd w:val="clear" w:color="000000" w:fill="FFFFFF"/>
            <w:noWrap/>
            <w:vAlign w:val="center"/>
            <w:hideMark/>
          </w:tcPr>
          <w:p w14:paraId="4ABB1167" w14:textId="28B557C7" w:rsidR="00AE4C3E" w:rsidRPr="003667EF" w:rsidRDefault="00693A7C" w:rsidP="00693A7C">
            <w:pPr>
              <w:jc w:val="right"/>
              <w:rPr>
                <w:rFonts w:ascii="CAIXA Std Book" w:eastAsia="Times New Roman" w:hAnsi="CAIXA Std Book" w:cs="Times New Roman"/>
                <w:color w:val="005CA9"/>
                <w:sz w:val="18"/>
                <w:szCs w:val="18"/>
              </w:rPr>
            </w:pPr>
            <w:r>
              <w:rPr>
                <w:rFonts w:ascii="CAIXA Std Book" w:hAnsi="CAIXA Std Book"/>
                <w:color w:val="005CA9"/>
                <w:sz w:val="18"/>
                <w:szCs w:val="18"/>
              </w:rPr>
              <w:t>282.161</w:t>
            </w:r>
          </w:p>
        </w:tc>
        <w:tc>
          <w:tcPr>
            <w:tcW w:w="565" w:type="pct"/>
            <w:tcBorders>
              <w:top w:val="nil"/>
              <w:left w:val="nil"/>
              <w:bottom w:val="nil"/>
              <w:right w:val="nil"/>
            </w:tcBorders>
            <w:shd w:val="clear" w:color="000000" w:fill="FFFFFF"/>
            <w:noWrap/>
            <w:vAlign w:val="center"/>
            <w:hideMark/>
          </w:tcPr>
          <w:p w14:paraId="05976F4B" w14:textId="77777777" w:rsidR="00AE4C3E" w:rsidRPr="003667EF" w:rsidRDefault="00AE4C3E" w:rsidP="00F92340">
            <w:pPr>
              <w:jc w:val="right"/>
              <w:rPr>
                <w:rFonts w:ascii="CAIXA Std Book" w:eastAsia="Times New Roman" w:hAnsi="CAIXA Std Book" w:cs="Times New Roman"/>
                <w:color w:val="005CA9"/>
                <w:sz w:val="18"/>
                <w:szCs w:val="18"/>
              </w:rPr>
            </w:pPr>
            <w:r w:rsidRPr="003667EF">
              <w:rPr>
                <w:rFonts w:ascii="CAIXA Std Book" w:eastAsia="Times New Roman" w:hAnsi="CAIXA Std Book" w:cs="Times New Roman"/>
                <w:color w:val="005CA9"/>
                <w:sz w:val="18"/>
                <w:szCs w:val="18"/>
              </w:rPr>
              <w:t>640.380</w:t>
            </w:r>
          </w:p>
        </w:tc>
      </w:tr>
      <w:tr w:rsidR="003667EF" w:rsidRPr="003667EF" w14:paraId="2432F809" w14:textId="77777777" w:rsidTr="0054443F">
        <w:trPr>
          <w:trHeight w:val="283"/>
        </w:trPr>
        <w:tc>
          <w:tcPr>
            <w:tcW w:w="5000" w:type="pct"/>
            <w:gridSpan w:val="7"/>
            <w:tcBorders>
              <w:top w:val="nil"/>
              <w:left w:val="nil"/>
              <w:bottom w:val="nil"/>
              <w:right w:val="nil"/>
            </w:tcBorders>
            <w:shd w:val="clear" w:color="auto" w:fill="005CA9"/>
            <w:vAlign w:val="center"/>
            <w:hideMark/>
          </w:tcPr>
          <w:p w14:paraId="01B8A8DE" w14:textId="77777777" w:rsidR="003667EF" w:rsidRPr="003667EF" w:rsidRDefault="003667EF" w:rsidP="003667EF">
            <w:pPr>
              <w:jc w:val="center"/>
              <w:rPr>
                <w:rFonts w:ascii="CAIXA Std Book" w:eastAsia="Times New Roman" w:hAnsi="CAIXA Std Book" w:cs="Times New Roman"/>
                <w:b/>
                <w:bCs/>
                <w:color w:val="FFFFFF"/>
                <w:sz w:val="18"/>
                <w:szCs w:val="18"/>
              </w:rPr>
            </w:pPr>
            <w:r w:rsidRPr="003667EF">
              <w:rPr>
                <w:rFonts w:ascii="CAIXA Std Book" w:eastAsia="Times New Roman" w:hAnsi="CAIXA Std Book" w:cs="Times New Roman"/>
                <w:b/>
                <w:bCs/>
                <w:color w:val="FFFFFF"/>
                <w:sz w:val="18"/>
                <w:szCs w:val="18"/>
              </w:rPr>
              <w:t>Contrato a Termo (1)</w:t>
            </w:r>
          </w:p>
        </w:tc>
      </w:tr>
      <w:tr w:rsidR="00AE4C3E" w:rsidRPr="002A4EE9" w14:paraId="780A55CD" w14:textId="77777777" w:rsidTr="00C973C1">
        <w:trPr>
          <w:trHeight w:val="283"/>
        </w:trPr>
        <w:tc>
          <w:tcPr>
            <w:tcW w:w="1605" w:type="pct"/>
            <w:tcBorders>
              <w:top w:val="nil"/>
              <w:left w:val="nil"/>
              <w:bottom w:val="single" w:sz="8" w:space="0" w:color="FFFFFF"/>
              <w:right w:val="nil"/>
            </w:tcBorders>
            <w:shd w:val="clear" w:color="auto" w:fill="D0E0E3"/>
            <w:noWrap/>
            <w:vAlign w:val="center"/>
            <w:hideMark/>
          </w:tcPr>
          <w:p w14:paraId="52622B44" w14:textId="77777777" w:rsidR="00AE4C3E" w:rsidRPr="003667EF" w:rsidRDefault="00AE4C3E" w:rsidP="00AE4C3E">
            <w:pPr>
              <w:rPr>
                <w:rFonts w:ascii="CAIXA Std Book" w:eastAsia="Times New Roman" w:hAnsi="CAIXA Std Book" w:cs="Times New Roman"/>
                <w:b/>
                <w:bCs/>
                <w:color w:val="005CA9"/>
                <w:sz w:val="18"/>
                <w:szCs w:val="18"/>
              </w:rPr>
            </w:pPr>
            <w:r w:rsidRPr="003667EF">
              <w:rPr>
                <w:rFonts w:ascii="CAIXA Std Book" w:eastAsia="Times New Roman" w:hAnsi="CAIXA Std Book" w:cs="Times New Roman"/>
                <w:b/>
                <w:bCs/>
                <w:color w:val="005CA9"/>
                <w:sz w:val="18"/>
                <w:szCs w:val="18"/>
              </w:rPr>
              <w:t>Contrato de câmbio - Ativo</w:t>
            </w:r>
          </w:p>
        </w:tc>
        <w:tc>
          <w:tcPr>
            <w:tcW w:w="566" w:type="pct"/>
            <w:tcBorders>
              <w:top w:val="nil"/>
              <w:left w:val="nil"/>
              <w:bottom w:val="single" w:sz="8" w:space="0" w:color="FFFFFF"/>
              <w:right w:val="nil"/>
            </w:tcBorders>
            <w:shd w:val="clear" w:color="auto" w:fill="D0E0E3"/>
            <w:noWrap/>
            <w:vAlign w:val="center"/>
            <w:hideMark/>
          </w:tcPr>
          <w:p w14:paraId="1B22B0D0" w14:textId="4FC09FBD" w:rsidR="00AE4C3E" w:rsidRPr="003667EF" w:rsidRDefault="00AE4C3E" w:rsidP="0054443F">
            <w:pPr>
              <w:jc w:val="right"/>
              <w:rPr>
                <w:rFonts w:ascii="CAIXA Std Book" w:eastAsia="Times New Roman" w:hAnsi="CAIXA Std Book" w:cs="Times New Roman"/>
                <w:b/>
                <w:bCs/>
                <w:color w:val="005CA9"/>
                <w:sz w:val="18"/>
                <w:szCs w:val="18"/>
              </w:rPr>
            </w:pPr>
            <w:r w:rsidRPr="00AE4C3E">
              <w:rPr>
                <w:rFonts w:ascii="CAIXA Std Book" w:eastAsia="Times New Roman" w:hAnsi="CAIXA Std Book" w:cs="Times New Roman"/>
                <w:b/>
                <w:bCs/>
                <w:color w:val="005CA9"/>
                <w:sz w:val="18"/>
                <w:szCs w:val="18"/>
              </w:rPr>
              <w:t>169.467</w:t>
            </w:r>
          </w:p>
        </w:tc>
        <w:tc>
          <w:tcPr>
            <w:tcW w:w="566" w:type="pct"/>
            <w:tcBorders>
              <w:top w:val="nil"/>
              <w:left w:val="nil"/>
              <w:bottom w:val="single" w:sz="8" w:space="0" w:color="FFFFFF"/>
              <w:right w:val="nil"/>
            </w:tcBorders>
            <w:shd w:val="clear" w:color="auto" w:fill="D0E0E3"/>
            <w:noWrap/>
            <w:vAlign w:val="center"/>
            <w:hideMark/>
          </w:tcPr>
          <w:p w14:paraId="1CE5DEA0" w14:textId="15D9F112" w:rsidR="00AE4C3E" w:rsidRPr="003667EF" w:rsidRDefault="00AE4C3E" w:rsidP="00AE4C3E">
            <w:pPr>
              <w:jc w:val="center"/>
              <w:rPr>
                <w:rFonts w:ascii="CAIXA Std Book" w:eastAsia="Times New Roman" w:hAnsi="CAIXA Std Book" w:cs="Times New Roman"/>
                <w:b/>
                <w:bCs/>
                <w:color w:val="005CA9"/>
                <w:sz w:val="18"/>
                <w:szCs w:val="18"/>
              </w:rPr>
            </w:pPr>
            <w:r w:rsidRPr="00AE4C3E">
              <w:rPr>
                <w:rFonts w:ascii="CAIXA Std Book" w:eastAsia="Times New Roman" w:hAnsi="CAIXA Std Book" w:cs="Times New Roman"/>
                <w:b/>
                <w:bCs/>
                <w:color w:val="005CA9"/>
                <w:sz w:val="18"/>
                <w:szCs w:val="18"/>
              </w:rPr>
              <w:t>-</w:t>
            </w:r>
          </w:p>
        </w:tc>
        <w:tc>
          <w:tcPr>
            <w:tcW w:w="566" w:type="pct"/>
            <w:tcBorders>
              <w:top w:val="nil"/>
              <w:left w:val="nil"/>
              <w:bottom w:val="single" w:sz="8" w:space="0" w:color="FFFFFF"/>
              <w:right w:val="nil"/>
            </w:tcBorders>
            <w:shd w:val="clear" w:color="auto" w:fill="D0E0E3"/>
            <w:noWrap/>
            <w:vAlign w:val="center"/>
            <w:hideMark/>
          </w:tcPr>
          <w:p w14:paraId="399A6968" w14:textId="1A164CA0" w:rsidR="00AE4C3E" w:rsidRPr="003667EF" w:rsidRDefault="00AE4C3E" w:rsidP="00AE4C3E">
            <w:pPr>
              <w:jc w:val="center"/>
              <w:rPr>
                <w:rFonts w:ascii="CAIXA Std Book" w:eastAsia="Times New Roman" w:hAnsi="CAIXA Std Book" w:cs="Times New Roman"/>
                <w:b/>
                <w:bCs/>
                <w:color w:val="005CA9"/>
                <w:sz w:val="18"/>
                <w:szCs w:val="18"/>
              </w:rPr>
            </w:pPr>
            <w:r w:rsidRPr="00AE4C3E">
              <w:rPr>
                <w:rFonts w:ascii="CAIXA Std Book" w:eastAsia="Times New Roman" w:hAnsi="CAIXA Std Book" w:cs="Times New Roman"/>
                <w:b/>
                <w:bCs/>
                <w:color w:val="005CA9"/>
                <w:sz w:val="18"/>
                <w:szCs w:val="18"/>
              </w:rPr>
              <w:t>-</w:t>
            </w:r>
          </w:p>
        </w:tc>
        <w:tc>
          <w:tcPr>
            <w:tcW w:w="566" w:type="pct"/>
            <w:tcBorders>
              <w:top w:val="nil"/>
              <w:left w:val="nil"/>
              <w:bottom w:val="single" w:sz="8" w:space="0" w:color="FFFFFF"/>
              <w:right w:val="nil"/>
            </w:tcBorders>
            <w:shd w:val="clear" w:color="auto" w:fill="D0E0E3"/>
            <w:noWrap/>
            <w:vAlign w:val="center"/>
            <w:hideMark/>
          </w:tcPr>
          <w:p w14:paraId="73CA86FB" w14:textId="0DD0F57C" w:rsidR="00AE4C3E" w:rsidRPr="003667EF" w:rsidRDefault="00AE4C3E" w:rsidP="00AE4C3E">
            <w:pPr>
              <w:jc w:val="center"/>
              <w:rPr>
                <w:rFonts w:ascii="CAIXA Std Book" w:eastAsia="Times New Roman" w:hAnsi="CAIXA Std Book" w:cs="Times New Roman"/>
                <w:b/>
                <w:bCs/>
                <w:color w:val="005CA9"/>
                <w:sz w:val="18"/>
                <w:szCs w:val="18"/>
              </w:rPr>
            </w:pPr>
            <w:r w:rsidRPr="00AE4C3E">
              <w:rPr>
                <w:rFonts w:ascii="CAIXA Std Book" w:eastAsia="Times New Roman" w:hAnsi="CAIXA Std Book" w:cs="Times New Roman"/>
                <w:b/>
                <w:bCs/>
                <w:color w:val="005CA9"/>
                <w:sz w:val="18"/>
                <w:szCs w:val="18"/>
              </w:rPr>
              <w:t>-</w:t>
            </w:r>
          </w:p>
        </w:tc>
        <w:tc>
          <w:tcPr>
            <w:tcW w:w="566" w:type="pct"/>
            <w:tcBorders>
              <w:top w:val="nil"/>
              <w:left w:val="nil"/>
              <w:bottom w:val="single" w:sz="8" w:space="0" w:color="FFFFFF"/>
              <w:right w:val="nil"/>
            </w:tcBorders>
            <w:shd w:val="clear" w:color="auto" w:fill="D0E0E3"/>
            <w:noWrap/>
            <w:vAlign w:val="center"/>
            <w:hideMark/>
          </w:tcPr>
          <w:p w14:paraId="3BA940F9" w14:textId="4E4FFD14" w:rsidR="00AE4C3E" w:rsidRPr="003667EF" w:rsidRDefault="00AE4C3E" w:rsidP="0054443F">
            <w:pPr>
              <w:jc w:val="right"/>
              <w:rPr>
                <w:rFonts w:ascii="CAIXA Std Book" w:eastAsia="Times New Roman" w:hAnsi="CAIXA Std Book" w:cs="Times New Roman"/>
                <w:b/>
                <w:bCs/>
                <w:color w:val="005CA9"/>
                <w:sz w:val="18"/>
                <w:szCs w:val="18"/>
              </w:rPr>
            </w:pPr>
            <w:r w:rsidRPr="00AE4C3E">
              <w:rPr>
                <w:rFonts w:ascii="CAIXA Std Book" w:eastAsia="Times New Roman" w:hAnsi="CAIXA Std Book" w:cs="Times New Roman"/>
                <w:b/>
                <w:bCs/>
                <w:color w:val="005CA9"/>
                <w:sz w:val="18"/>
                <w:szCs w:val="18"/>
              </w:rPr>
              <w:t>169.467</w:t>
            </w:r>
          </w:p>
        </w:tc>
        <w:tc>
          <w:tcPr>
            <w:tcW w:w="565" w:type="pct"/>
            <w:tcBorders>
              <w:top w:val="nil"/>
              <w:left w:val="nil"/>
              <w:bottom w:val="single" w:sz="8" w:space="0" w:color="FFFFFF"/>
              <w:right w:val="nil"/>
            </w:tcBorders>
            <w:shd w:val="clear" w:color="auto" w:fill="D0E0E3"/>
            <w:noWrap/>
            <w:vAlign w:val="center"/>
            <w:hideMark/>
          </w:tcPr>
          <w:p w14:paraId="672E589C" w14:textId="77777777" w:rsidR="00AE4C3E" w:rsidRPr="003667EF" w:rsidRDefault="00AE4C3E" w:rsidP="00AE4C3E">
            <w:pPr>
              <w:jc w:val="right"/>
              <w:rPr>
                <w:rFonts w:ascii="CAIXA Std Book" w:eastAsia="Times New Roman" w:hAnsi="CAIXA Std Book" w:cs="Times New Roman"/>
                <w:b/>
                <w:bCs/>
                <w:color w:val="005CA9"/>
                <w:sz w:val="18"/>
                <w:szCs w:val="18"/>
              </w:rPr>
            </w:pPr>
            <w:r w:rsidRPr="003667EF">
              <w:rPr>
                <w:rFonts w:ascii="CAIXA Std Book" w:eastAsia="Times New Roman" w:hAnsi="CAIXA Std Book" w:cs="Times New Roman"/>
                <w:b/>
                <w:bCs/>
                <w:color w:val="005CA9"/>
                <w:sz w:val="18"/>
                <w:szCs w:val="18"/>
              </w:rPr>
              <w:t>83.328</w:t>
            </w:r>
          </w:p>
        </w:tc>
      </w:tr>
      <w:tr w:rsidR="00AE4C3E" w:rsidRPr="002A4EE9" w14:paraId="44E9EBF2" w14:textId="77777777" w:rsidTr="00C973C1">
        <w:trPr>
          <w:trHeight w:val="283"/>
        </w:trPr>
        <w:tc>
          <w:tcPr>
            <w:tcW w:w="1605" w:type="pct"/>
            <w:tcBorders>
              <w:top w:val="nil"/>
              <w:left w:val="nil"/>
              <w:bottom w:val="nil"/>
              <w:right w:val="nil"/>
            </w:tcBorders>
            <w:shd w:val="clear" w:color="auto" w:fill="D0E0E3"/>
            <w:noWrap/>
            <w:vAlign w:val="center"/>
            <w:hideMark/>
          </w:tcPr>
          <w:p w14:paraId="3F8A8059" w14:textId="77777777" w:rsidR="00AE4C3E" w:rsidRPr="003667EF" w:rsidRDefault="00AE4C3E" w:rsidP="00AE4C3E">
            <w:pPr>
              <w:rPr>
                <w:rFonts w:ascii="CAIXA Std Book" w:eastAsia="Times New Roman" w:hAnsi="CAIXA Std Book" w:cs="Times New Roman"/>
                <w:b/>
                <w:bCs/>
                <w:color w:val="005CA9"/>
                <w:sz w:val="18"/>
                <w:szCs w:val="18"/>
              </w:rPr>
            </w:pPr>
            <w:r w:rsidRPr="003667EF">
              <w:rPr>
                <w:rFonts w:ascii="CAIXA Std Book" w:eastAsia="Times New Roman" w:hAnsi="CAIXA Std Book" w:cs="Times New Roman"/>
                <w:b/>
                <w:bCs/>
                <w:color w:val="005CA9"/>
                <w:sz w:val="18"/>
                <w:szCs w:val="18"/>
              </w:rPr>
              <w:t>Contrato de câmbio – Passivo</w:t>
            </w:r>
          </w:p>
        </w:tc>
        <w:tc>
          <w:tcPr>
            <w:tcW w:w="566" w:type="pct"/>
            <w:tcBorders>
              <w:top w:val="nil"/>
              <w:left w:val="nil"/>
              <w:bottom w:val="nil"/>
              <w:right w:val="nil"/>
            </w:tcBorders>
            <w:shd w:val="clear" w:color="auto" w:fill="D0E0E3"/>
            <w:noWrap/>
            <w:vAlign w:val="center"/>
            <w:hideMark/>
          </w:tcPr>
          <w:p w14:paraId="3F6ABF4F" w14:textId="0DE02946" w:rsidR="00AE4C3E" w:rsidRPr="003667EF" w:rsidRDefault="00AE4C3E" w:rsidP="0054443F">
            <w:pPr>
              <w:jc w:val="right"/>
              <w:rPr>
                <w:rFonts w:ascii="CAIXA Std Book" w:eastAsia="Times New Roman" w:hAnsi="CAIXA Std Book" w:cs="Times New Roman"/>
                <w:b/>
                <w:bCs/>
                <w:color w:val="005CA9"/>
                <w:sz w:val="18"/>
                <w:szCs w:val="18"/>
              </w:rPr>
            </w:pPr>
            <w:r w:rsidRPr="00AE4C3E">
              <w:rPr>
                <w:rFonts w:ascii="CAIXA Std Book" w:eastAsia="Times New Roman" w:hAnsi="CAIXA Std Book" w:cs="Times New Roman"/>
                <w:b/>
                <w:bCs/>
                <w:color w:val="005CA9"/>
                <w:sz w:val="18"/>
                <w:szCs w:val="18"/>
              </w:rPr>
              <w:t>123.735</w:t>
            </w:r>
          </w:p>
        </w:tc>
        <w:tc>
          <w:tcPr>
            <w:tcW w:w="566" w:type="pct"/>
            <w:tcBorders>
              <w:top w:val="nil"/>
              <w:left w:val="nil"/>
              <w:bottom w:val="nil"/>
              <w:right w:val="nil"/>
            </w:tcBorders>
            <w:shd w:val="clear" w:color="auto" w:fill="D0E0E3"/>
            <w:noWrap/>
            <w:vAlign w:val="center"/>
            <w:hideMark/>
          </w:tcPr>
          <w:p w14:paraId="7D39FF87" w14:textId="0330AA94" w:rsidR="00AE4C3E" w:rsidRPr="003667EF" w:rsidRDefault="00AE4C3E" w:rsidP="00AE4C3E">
            <w:pPr>
              <w:jc w:val="center"/>
              <w:rPr>
                <w:rFonts w:ascii="CAIXA Std Book" w:eastAsia="Times New Roman" w:hAnsi="CAIXA Std Book" w:cs="Times New Roman"/>
                <w:b/>
                <w:bCs/>
                <w:color w:val="005CA9"/>
                <w:sz w:val="18"/>
                <w:szCs w:val="18"/>
              </w:rPr>
            </w:pPr>
            <w:r w:rsidRPr="00AE4C3E">
              <w:rPr>
                <w:rFonts w:ascii="CAIXA Std Book" w:eastAsia="Times New Roman" w:hAnsi="CAIXA Std Book" w:cs="Times New Roman"/>
                <w:b/>
                <w:bCs/>
                <w:color w:val="005CA9"/>
                <w:sz w:val="18"/>
                <w:szCs w:val="18"/>
              </w:rPr>
              <w:t>-</w:t>
            </w:r>
          </w:p>
        </w:tc>
        <w:tc>
          <w:tcPr>
            <w:tcW w:w="566" w:type="pct"/>
            <w:tcBorders>
              <w:top w:val="nil"/>
              <w:left w:val="nil"/>
              <w:bottom w:val="nil"/>
              <w:right w:val="nil"/>
            </w:tcBorders>
            <w:shd w:val="clear" w:color="auto" w:fill="D0E0E3"/>
            <w:noWrap/>
            <w:vAlign w:val="center"/>
            <w:hideMark/>
          </w:tcPr>
          <w:p w14:paraId="350CE956" w14:textId="6AD93C6F" w:rsidR="00AE4C3E" w:rsidRPr="003667EF" w:rsidRDefault="00AE4C3E" w:rsidP="00AE4C3E">
            <w:pPr>
              <w:jc w:val="center"/>
              <w:rPr>
                <w:rFonts w:ascii="CAIXA Std Book" w:eastAsia="Times New Roman" w:hAnsi="CAIXA Std Book" w:cs="Times New Roman"/>
                <w:b/>
                <w:bCs/>
                <w:color w:val="005CA9"/>
                <w:sz w:val="18"/>
                <w:szCs w:val="18"/>
              </w:rPr>
            </w:pPr>
            <w:r w:rsidRPr="00AE4C3E">
              <w:rPr>
                <w:rFonts w:ascii="CAIXA Std Book" w:eastAsia="Times New Roman" w:hAnsi="CAIXA Std Book" w:cs="Times New Roman"/>
                <w:b/>
                <w:bCs/>
                <w:color w:val="005CA9"/>
                <w:sz w:val="18"/>
                <w:szCs w:val="18"/>
              </w:rPr>
              <w:t>-</w:t>
            </w:r>
          </w:p>
        </w:tc>
        <w:tc>
          <w:tcPr>
            <w:tcW w:w="566" w:type="pct"/>
            <w:tcBorders>
              <w:top w:val="nil"/>
              <w:left w:val="nil"/>
              <w:bottom w:val="nil"/>
              <w:right w:val="nil"/>
            </w:tcBorders>
            <w:shd w:val="clear" w:color="auto" w:fill="D0E0E3"/>
            <w:noWrap/>
            <w:vAlign w:val="center"/>
            <w:hideMark/>
          </w:tcPr>
          <w:p w14:paraId="4B60557E" w14:textId="62FB57BD" w:rsidR="00AE4C3E" w:rsidRPr="003667EF" w:rsidRDefault="00AE4C3E" w:rsidP="00AE4C3E">
            <w:pPr>
              <w:jc w:val="center"/>
              <w:rPr>
                <w:rFonts w:ascii="CAIXA Std Book" w:eastAsia="Times New Roman" w:hAnsi="CAIXA Std Book" w:cs="Times New Roman"/>
                <w:b/>
                <w:bCs/>
                <w:color w:val="005CA9"/>
                <w:sz w:val="18"/>
                <w:szCs w:val="18"/>
              </w:rPr>
            </w:pPr>
            <w:r w:rsidRPr="00AE4C3E">
              <w:rPr>
                <w:rFonts w:ascii="CAIXA Std Book" w:eastAsia="Times New Roman" w:hAnsi="CAIXA Std Book" w:cs="Times New Roman"/>
                <w:b/>
                <w:bCs/>
                <w:color w:val="005CA9"/>
                <w:sz w:val="18"/>
                <w:szCs w:val="18"/>
              </w:rPr>
              <w:t>-</w:t>
            </w:r>
          </w:p>
        </w:tc>
        <w:tc>
          <w:tcPr>
            <w:tcW w:w="566" w:type="pct"/>
            <w:tcBorders>
              <w:top w:val="nil"/>
              <w:left w:val="nil"/>
              <w:bottom w:val="nil"/>
              <w:right w:val="nil"/>
            </w:tcBorders>
            <w:shd w:val="clear" w:color="auto" w:fill="D0E0E3"/>
            <w:noWrap/>
            <w:vAlign w:val="center"/>
            <w:hideMark/>
          </w:tcPr>
          <w:p w14:paraId="49BCA707" w14:textId="19B056B1" w:rsidR="00AE4C3E" w:rsidRPr="003667EF" w:rsidRDefault="00AE4C3E" w:rsidP="0054443F">
            <w:pPr>
              <w:jc w:val="right"/>
              <w:rPr>
                <w:rFonts w:ascii="CAIXA Std Book" w:eastAsia="Times New Roman" w:hAnsi="CAIXA Std Book" w:cs="Times New Roman"/>
                <w:b/>
                <w:bCs/>
                <w:color w:val="005CA9"/>
                <w:sz w:val="18"/>
                <w:szCs w:val="18"/>
              </w:rPr>
            </w:pPr>
            <w:r w:rsidRPr="00AE4C3E">
              <w:rPr>
                <w:rFonts w:ascii="CAIXA Std Book" w:eastAsia="Times New Roman" w:hAnsi="CAIXA Std Book" w:cs="Times New Roman"/>
                <w:b/>
                <w:bCs/>
                <w:color w:val="005CA9"/>
                <w:sz w:val="18"/>
                <w:szCs w:val="18"/>
              </w:rPr>
              <w:t>123.735</w:t>
            </w:r>
          </w:p>
        </w:tc>
        <w:tc>
          <w:tcPr>
            <w:tcW w:w="565" w:type="pct"/>
            <w:tcBorders>
              <w:top w:val="nil"/>
              <w:left w:val="nil"/>
              <w:bottom w:val="nil"/>
              <w:right w:val="nil"/>
            </w:tcBorders>
            <w:shd w:val="clear" w:color="auto" w:fill="D0E0E3"/>
            <w:noWrap/>
            <w:vAlign w:val="center"/>
            <w:hideMark/>
          </w:tcPr>
          <w:p w14:paraId="656092BB" w14:textId="77777777" w:rsidR="00AE4C3E" w:rsidRPr="003667EF" w:rsidRDefault="00AE4C3E" w:rsidP="00AE4C3E">
            <w:pPr>
              <w:jc w:val="right"/>
              <w:rPr>
                <w:rFonts w:ascii="CAIXA Std Book" w:eastAsia="Times New Roman" w:hAnsi="CAIXA Std Book" w:cs="Times New Roman"/>
                <w:b/>
                <w:bCs/>
                <w:color w:val="005CA9"/>
                <w:sz w:val="18"/>
                <w:szCs w:val="18"/>
              </w:rPr>
            </w:pPr>
            <w:r w:rsidRPr="003667EF">
              <w:rPr>
                <w:rFonts w:ascii="CAIXA Std Book" w:eastAsia="Times New Roman" w:hAnsi="CAIXA Std Book" w:cs="Times New Roman"/>
                <w:b/>
                <w:bCs/>
                <w:color w:val="005CA9"/>
                <w:sz w:val="18"/>
                <w:szCs w:val="18"/>
              </w:rPr>
              <w:t>18.390</w:t>
            </w:r>
          </w:p>
        </w:tc>
      </w:tr>
      <w:tr w:rsidR="003667EF" w:rsidRPr="003667EF" w14:paraId="69C84629" w14:textId="77777777" w:rsidTr="0054443F">
        <w:trPr>
          <w:trHeight w:val="283"/>
        </w:trPr>
        <w:tc>
          <w:tcPr>
            <w:tcW w:w="5000" w:type="pct"/>
            <w:gridSpan w:val="7"/>
            <w:tcBorders>
              <w:top w:val="nil"/>
              <w:left w:val="nil"/>
              <w:bottom w:val="nil"/>
              <w:right w:val="nil"/>
            </w:tcBorders>
            <w:shd w:val="clear" w:color="auto" w:fill="005CA9"/>
            <w:vAlign w:val="center"/>
            <w:hideMark/>
          </w:tcPr>
          <w:p w14:paraId="5D0D7EDA" w14:textId="77777777" w:rsidR="003667EF" w:rsidRPr="00AE4C3E" w:rsidRDefault="003667EF" w:rsidP="00AE4C3E">
            <w:pPr>
              <w:jc w:val="right"/>
              <w:rPr>
                <w:rFonts w:ascii="CAIXA Std Book" w:eastAsia="Times New Roman" w:hAnsi="CAIXA Std Book" w:cs="Times New Roman"/>
                <w:b/>
                <w:bCs/>
                <w:color w:val="005CA9"/>
                <w:sz w:val="18"/>
                <w:szCs w:val="18"/>
              </w:rPr>
            </w:pPr>
            <w:r w:rsidRPr="00AE4C3E">
              <w:rPr>
                <w:rFonts w:ascii="CAIXA Std Book" w:eastAsia="Times New Roman" w:hAnsi="CAIXA Std Book" w:cs="Times New Roman"/>
                <w:b/>
                <w:bCs/>
                <w:color w:val="005CA9"/>
                <w:sz w:val="18"/>
                <w:szCs w:val="18"/>
              </w:rPr>
              <w:t>Swap</w:t>
            </w:r>
          </w:p>
        </w:tc>
      </w:tr>
      <w:tr w:rsidR="00AE4C3E" w:rsidRPr="002A4EE9" w14:paraId="787D0B97" w14:textId="77777777" w:rsidTr="00C973C1">
        <w:trPr>
          <w:trHeight w:val="283"/>
        </w:trPr>
        <w:tc>
          <w:tcPr>
            <w:tcW w:w="1605" w:type="pct"/>
            <w:tcBorders>
              <w:top w:val="nil"/>
              <w:left w:val="nil"/>
              <w:bottom w:val="nil"/>
              <w:right w:val="nil"/>
            </w:tcBorders>
            <w:shd w:val="clear" w:color="auto" w:fill="D0E0E3"/>
            <w:noWrap/>
            <w:vAlign w:val="center"/>
            <w:hideMark/>
          </w:tcPr>
          <w:p w14:paraId="43389259" w14:textId="77777777" w:rsidR="00AE4C3E" w:rsidRPr="002A4EE9" w:rsidRDefault="00AE4C3E" w:rsidP="00AE4C3E">
            <w:pPr>
              <w:rPr>
                <w:rFonts w:ascii="CAIXA Std Book" w:eastAsia="Times New Roman" w:hAnsi="CAIXA Std Book" w:cs="Times New Roman"/>
                <w:b/>
                <w:color w:val="005CA9"/>
                <w:sz w:val="18"/>
                <w:szCs w:val="18"/>
              </w:rPr>
            </w:pPr>
            <w:r w:rsidRPr="00EA7C9E">
              <w:rPr>
                <w:rFonts w:ascii="CAIXA Std Book" w:eastAsia="Times New Roman" w:hAnsi="CAIXA Std Book" w:cs="Times New Roman"/>
                <w:b/>
                <w:i/>
                <w:color w:val="005CA9"/>
                <w:sz w:val="18"/>
                <w:szCs w:val="18"/>
              </w:rPr>
              <w:t>Swap</w:t>
            </w:r>
            <w:r w:rsidRPr="003667EF">
              <w:rPr>
                <w:rFonts w:ascii="CAIXA Std Book" w:eastAsia="Times New Roman" w:hAnsi="CAIXA Std Book" w:cs="Times New Roman"/>
                <w:b/>
                <w:bCs/>
                <w:color w:val="005CA9"/>
                <w:sz w:val="18"/>
                <w:szCs w:val="18"/>
              </w:rPr>
              <w:t xml:space="preserve"> - Dólar</w:t>
            </w:r>
          </w:p>
        </w:tc>
        <w:tc>
          <w:tcPr>
            <w:tcW w:w="566" w:type="pct"/>
            <w:tcBorders>
              <w:top w:val="nil"/>
              <w:left w:val="nil"/>
              <w:bottom w:val="nil"/>
              <w:right w:val="nil"/>
            </w:tcBorders>
            <w:shd w:val="clear" w:color="auto" w:fill="D0E0E3"/>
            <w:noWrap/>
            <w:vAlign w:val="center"/>
            <w:hideMark/>
          </w:tcPr>
          <w:p w14:paraId="6C53390B" w14:textId="5F0F6ACB" w:rsidR="00AE4C3E" w:rsidRPr="003667EF" w:rsidRDefault="00AE4C3E" w:rsidP="0054443F">
            <w:pPr>
              <w:jc w:val="right"/>
              <w:rPr>
                <w:rFonts w:ascii="CAIXA Std Book" w:eastAsia="Times New Roman" w:hAnsi="CAIXA Std Book" w:cs="Times New Roman"/>
                <w:b/>
                <w:bCs/>
                <w:color w:val="005CA9"/>
                <w:sz w:val="18"/>
                <w:szCs w:val="18"/>
              </w:rPr>
            </w:pPr>
            <w:r w:rsidRPr="00AE4C3E">
              <w:rPr>
                <w:rFonts w:ascii="CAIXA Std Book" w:eastAsia="Times New Roman" w:hAnsi="CAIXA Std Book" w:cs="Times New Roman"/>
                <w:b/>
                <w:bCs/>
                <w:color w:val="005CA9"/>
                <w:sz w:val="18"/>
                <w:szCs w:val="18"/>
              </w:rPr>
              <w:t>121.082</w:t>
            </w:r>
          </w:p>
        </w:tc>
        <w:tc>
          <w:tcPr>
            <w:tcW w:w="566" w:type="pct"/>
            <w:tcBorders>
              <w:top w:val="nil"/>
              <w:left w:val="nil"/>
              <w:bottom w:val="nil"/>
              <w:right w:val="nil"/>
            </w:tcBorders>
            <w:shd w:val="clear" w:color="auto" w:fill="D0E0E3"/>
            <w:noWrap/>
            <w:vAlign w:val="center"/>
            <w:hideMark/>
          </w:tcPr>
          <w:p w14:paraId="4FC05D98" w14:textId="73745E38" w:rsidR="00AE4C3E" w:rsidRPr="003667EF" w:rsidRDefault="00AE4C3E" w:rsidP="00AE4C3E">
            <w:pPr>
              <w:jc w:val="center"/>
              <w:rPr>
                <w:rFonts w:ascii="CAIXA Std Book" w:eastAsia="Times New Roman" w:hAnsi="CAIXA Std Book" w:cs="Times New Roman"/>
                <w:b/>
                <w:bCs/>
                <w:color w:val="005CA9"/>
                <w:sz w:val="18"/>
                <w:szCs w:val="18"/>
              </w:rPr>
            </w:pPr>
            <w:r w:rsidRPr="00AE4C3E">
              <w:rPr>
                <w:rFonts w:ascii="CAIXA Std Book" w:eastAsia="Times New Roman" w:hAnsi="CAIXA Std Book" w:cs="Times New Roman"/>
                <w:b/>
                <w:bCs/>
                <w:color w:val="005CA9"/>
                <w:sz w:val="18"/>
                <w:szCs w:val="18"/>
              </w:rPr>
              <w:t>-</w:t>
            </w:r>
          </w:p>
        </w:tc>
        <w:tc>
          <w:tcPr>
            <w:tcW w:w="566" w:type="pct"/>
            <w:tcBorders>
              <w:top w:val="nil"/>
              <w:left w:val="nil"/>
              <w:bottom w:val="nil"/>
              <w:right w:val="nil"/>
            </w:tcBorders>
            <w:shd w:val="clear" w:color="auto" w:fill="D0E0E3"/>
            <w:noWrap/>
            <w:vAlign w:val="center"/>
            <w:hideMark/>
          </w:tcPr>
          <w:p w14:paraId="21D38123" w14:textId="05945C32" w:rsidR="00AE4C3E" w:rsidRPr="003667EF" w:rsidRDefault="00AE4C3E" w:rsidP="0054443F">
            <w:pPr>
              <w:jc w:val="right"/>
              <w:rPr>
                <w:rFonts w:ascii="CAIXA Std Book" w:eastAsia="Times New Roman" w:hAnsi="CAIXA Std Book" w:cs="Times New Roman"/>
                <w:b/>
                <w:bCs/>
                <w:color w:val="005CA9"/>
                <w:sz w:val="18"/>
                <w:szCs w:val="18"/>
              </w:rPr>
            </w:pPr>
            <w:r w:rsidRPr="00AE4C3E">
              <w:rPr>
                <w:rFonts w:ascii="CAIXA Std Book" w:eastAsia="Times New Roman" w:hAnsi="CAIXA Std Book" w:cs="Times New Roman"/>
                <w:b/>
                <w:bCs/>
                <w:color w:val="005CA9"/>
                <w:sz w:val="18"/>
                <w:szCs w:val="18"/>
              </w:rPr>
              <w:t>116.739</w:t>
            </w:r>
          </w:p>
        </w:tc>
        <w:tc>
          <w:tcPr>
            <w:tcW w:w="566" w:type="pct"/>
            <w:tcBorders>
              <w:top w:val="nil"/>
              <w:left w:val="nil"/>
              <w:bottom w:val="nil"/>
              <w:right w:val="nil"/>
            </w:tcBorders>
            <w:shd w:val="clear" w:color="auto" w:fill="D0E0E3"/>
            <w:noWrap/>
            <w:vAlign w:val="center"/>
            <w:hideMark/>
          </w:tcPr>
          <w:p w14:paraId="4A0DEB4A" w14:textId="7E34EDBB" w:rsidR="00AE4C3E" w:rsidRPr="003667EF" w:rsidRDefault="00AE4C3E" w:rsidP="0054443F">
            <w:pPr>
              <w:jc w:val="right"/>
              <w:rPr>
                <w:rFonts w:ascii="CAIXA Std Book" w:eastAsia="Times New Roman" w:hAnsi="CAIXA Std Book" w:cs="Times New Roman"/>
                <w:b/>
                <w:bCs/>
                <w:color w:val="005CA9"/>
                <w:sz w:val="18"/>
                <w:szCs w:val="18"/>
              </w:rPr>
            </w:pPr>
            <w:r w:rsidRPr="00AE4C3E">
              <w:rPr>
                <w:rFonts w:ascii="CAIXA Std Book" w:eastAsia="Times New Roman" w:hAnsi="CAIXA Std Book" w:cs="Times New Roman"/>
                <w:b/>
                <w:bCs/>
                <w:color w:val="005CA9"/>
                <w:sz w:val="18"/>
                <w:szCs w:val="18"/>
              </w:rPr>
              <w:t>3.542.964</w:t>
            </w:r>
          </w:p>
        </w:tc>
        <w:tc>
          <w:tcPr>
            <w:tcW w:w="566" w:type="pct"/>
            <w:tcBorders>
              <w:top w:val="nil"/>
              <w:left w:val="nil"/>
              <w:bottom w:val="nil"/>
              <w:right w:val="nil"/>
            </w:tcBorders>
            <w:shd w:val="clear" w:color="auto" w:fill="D0E0E3"/>
            <w:noWrap/>
            <w:vAlign w:val="center"/>
            <w:hideMark/>
          </w:tcPr>
          <w:p w14:paraId="13084BFA" w14:textId="5D9B290C" w:rsidR="00AE4C3E" w:rsidRPr="003667EF" w:rsidRDefault="00561866" w:rsidP="0054443F">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3.780.785</w:t>
            </w:r>
          </w:p>
        </w:tc>
        <w:tc>
          <w:tcPr>
            <w:tcW w:w="565" w:type="pct"/>
            <w:tcBorders>
              <w:top w:val="nil"/>
              <w:left w:val="nil"/>
              <w:bottom w:val="nil"/>
              <w:right w:val="nil"/>
            </w:tcBorders>
            <w:shd w:val="clear" w:color="auto" w:fill="D0E0E3"/>
            <w:noWrap/>
            <w:vAlign w:val="center"/>
            <w:hideMark/>
          </w:tcPr>
          <w:p w14:paraId="40578458" w14:textId="77777777" w:rsidR="00AE4C3E" w:rsidRPr="003667EF" w:rsidRDefault="00AE4C3E" w:rsidP="0054443F">
            <w:pPr>
              <w:jc w:val="right"/>
              <w:rPr>
                <w:rFonts w:ascii="CAIXA Std Book" w:eastAsia="Times New Roman" w:hAnsi="CAIXA Std Book" w:cs="Times New Roman"/>
                <w:b/>
                <w:bCs/>
                <w:color w:val="005CA9"/>
                <w:sz w:val="18"/>
                <w:szCs w:val="18"/>
              </w:rPr>
            </w:pPr>
            <w:r w:rsidRPr="003667EF">
              <w:rPr>
                <w:rFonts w:ascii="CAIXA Std Book" w:eastAsia="Times New Roman" w:hAnsi="CAIXA Std Book" w:cs="Times New Roman"/>
                <w:b/>
                <w:bCs/>
                <w:color w:val="005CA9"/>
                <w:sz w:val="18"/>
                <w:szCs w:val="18"/>
              </w:rPr>
              <w:t>3.780.785</w:t>
            </w:r>
          </w:p>
        </w:tc>
      </w:tr>
      <w:tr w:rsidR="003667EF" w:rsidRPr="003667EF" w14:paraId="6266C36E" w14:textId="77777777" w:rsidTr="00DC11A6">
        <w:trPr>
          <w:trHeight w:val="283"/>
        </w:trPr>
        <w:tc>
          <w:tcPr>
            <w:tcW w:w="5000" w:type="pct"/>
            <w:gridSpan w:val="7"/>
            <w:tcBorders>
              <w:top w:val="nil"/>
              <w:left w:val="nil"/>
              <w:right w:val="nil"/>
            </w:tcBorders>
            <w:shd w:val="clear" w:color="auto" w:fill="005CA9"/>
            <w:vAlign w:val="center"/>
            <w:hideMark/>
          </w:tcPr>
          <w:p w14:paraId="7032A813" w14:textId="77777777" w:rsidR="003667EF" w:rsidRPr="003667EF" w:rsidRDefault="003667EF" w:rsidP="003667EF">
            <w:pPr>
              <w:jc w:val="center"/>
              <w:rPr>
                <w:rFonts w:ascii="CAIXA Std Book" w:eastAsia="Times New Roman" w:hAnsi="CAIXA Std Book" w:cs="Times New Roman"/>
                <w:b/>
                <w:bCs/>
                <w:color w:val="FFFFFF"/>
                <w:sz w:val="18"/>
                <w:szCs w:val="18"/>
              </w:rPr>
            </w:pPr>
            <w:r w:rsidRPr="003667EF">
              <w:rPr>
                <w:rFonts w:ascii="CAIXA Std Book" w:eastAsia="Times New Roman" w:hAnsi="CAIXA Std Book" w:cs="Times New Roman"/>
                <w:b/>
                <w:bCs/>
                <w:color w:val="FFFFFF"/>
                <w:sz w:val="18"/>
                <w:szCs w:val="18"/>
              </w:rPr>
              <w:t>Outros</w:t>
            </w:r>
          </w:p>
        </w:tc>
      </w:tr>
      <w:tr w:rsidR="00AE4C3E" w:rsidRPr="002A4EE9" w14:paraId="480D2AC2" w14:textId="77777777" w:rsidTr="00DC11A6">
        <w:trPr>
          <w:trHeight w:val="283"/>
        </w:trPr>
        <w:tc>
          <w:tcPr>
            <w:tcW w:w="1605" w:type="pct"/>
            <w:tcBorders>
              <w:top w:val="nil"/>
              <w:left w:val="nil"/>
              <w:bottom w:val="single" w:sz="4" w:space="0" w:color="1F497D" w:themeColor="text2"/>
              <w:right w:val="nil"/>
            </w:tcBorders>
            <w:shd w:val="clear" w:color="auto" w:fill="D0E0E3"/>
            <w:noWrap/>
            <w:vAlign w:val="center"/>
            <w:hideMark/>
          </w:tcPr>
          <w:p w14:paraId="1B644DC5" w14:textId="77777777" w:rsidR="00AE4C3E" w:rsidRPr="003667EF" w:rsidRDefault="00AE4C3E" w:rsidP="00AE4C3E">
            <w:pPr>
              <w:rPr>
                <w:rFonts w:ascii="CAIXA Std Book" w:eastAsia="Times New Roman" w:hAnsi="CAIXA Std Book" w:cs="Times New Roman"/>
                <w:b/>
                <w:bCs/>
                <w:color w:val="005CA9"/>
                <w:sz w:val="18"/>
                <w:szCs w:val="18"/>
              </w:rPr>
            </w:pPr>
            <w:r w:rsidRPr="003667EF">
              <w:rPr>
                <w:rFonts w:ascii="CAIXA Std Book" w:eastAsia="Times New Roman" w:hAnsi="CAIXA Std Book" w:cs="Times New Roman"/>
                <w:b/>
                <w:bCs/>
                <w:color w:val="005CA9"/>
                <w:sz w:val="18"/>
                <w:szCs w:val="18"/>
              </w:rPr>
              <w:t>Derivativo FGTS</w:t>
            </w:r>
          </w:p>
        </w:tc>
        <w:tc>
          <w:tcPr>
            <w:tcW w:w="566" w:type="pct"/>
            <w:tcBorders>
              <w:top w:val="nil"/>
              <w:left w:val="nil"/>
              <w:bottom w:val="single" w:sz="4" w:space="0" w:color="1F497D" w:themeColor="text2"/>
              <w:right w:val="nil"/>
            </w:tcBorders>
            <w:shd w:val="clear" w:color="auto" w:fill="D0E0E3"/>
            <w:noWrap/>
            <w:vAlign w:val="center"/>
            <w:hideMark/>
          </w:tcPr>
          <w:p w14:paraId="72084D3D" w14:textId="4FA2B8B1" w:rsidR="00AE4C3E" w:rsidRPr="003667EF" w:rsidRDefault="00AE4C3E" w:rsidP="00AE4C3E">
            <w:pPr>
              <w:jc w:val="center"/>
              <w:rPr>
                <w:rFonts w:ascii="CAIXA Std Book" w:eastAsia="Times New Roman" w:hAnsi="CAIXA Std Book" w:cs="Times New Roman"/>
                <w:b/>
                <w:bCs/>
                <w:color w:val="005CA9"/>
                <w:sz w:val="18"/>
                <w:szCs w:val="18"/>
              </w:rPr>
            </w:pPr>
            <w:r w:rsidRPr="00AE4C3E">
              <w:rPr>
                <w:rFonts w:ascii="CAIXA Std Book" w:eastAsia="Times New Roman" w:hAnsi="CAIXA Std Book" w:cs="Times New Roman"/>
                <w:b/>
                <w:bCs/>
                <w:color w:val="005CA9"/>
                <w:sz w:val="18"/>
                <w:szCs w:val="18"/>
              </w:rPr>
              <w:t>-</w:t>
            </w:r>
          </w:p>
        </w:tc>
        <w:tc>
          <w:tcPr>
            <w:tcW w:w="566" w:type="pct"/>
            <w:tcBorders>
              <w:top w:val="nil"/>
              <w:left w:val="nil"/>
              <w:bottom w:val="single" w:sz="4" w:space="0" w:color="1F497D" w:themeColor="text2"/>
              <w:right w:val="nil"/>
            </w:tcBorders>
            <w:shd w:val="clear" w:color="auto" w:fill="D0E0E3"/>
            <w:noWrap/>
            <w:vAlign w:val="center"/>
            <w:hideMark/>
          </w:tcPr>
          <w:p w14:paraId="438812B9" w14:textId="44624A69" w:rsidR="00AE4C3E" w:rsidRPr="003667EF" w:rsidRDefault="00AE4C3E" w:rsidP="00AE4C3E">
            <w:pPr>
              <w:jc w:val="center"/>
              <w:rPr>
                <w:rFonts w:ascii="CAIXA Std Book" w:eastAsia="Times New Roman" w:hAnsi="CAIXA Std Book" w:cs="Times New Roman"/>
                <w:b/>
                <w:bCs/>
                <w:color w:val="005CA9"/>
                <w:sz w:val="18"/>
                <w:szCs w:val="18"/>
              </w:rPr>
            </w:pPr>
            <w:r w:rsidRPr="00AE4C3E">
              <w:rPr>
                <w:rFonts w:ascii="CAIXA Std Book" w:eastAsia="Times New Roman" w:hAnsi="CAIXA Std Book" w:cs="Times New Roman"/>
                <w:b/>
                <w:bCs/>
                <w:color w:val="005CA9"/>
                <w:sz w:val="18"/>
                <w:szCs w:val="18"/>
              </w:rPr>
              <w:t>-</w:t>
            </w:r>
          </w:p>
        </w:tc>
        <w:tc>
          <w:tcPr>
            <w:tcW w:w="566" w:type="pct"/>
            <w:tcBorders>
              <w:top w:val="nil"/>
              <w:left w:val="nil"/>
              <w:bottom w:val="single" w:sz="4" w:space="0" w:color="1F497D" w:themeColor="text2"/>
              <w:right w:val="nil"/>
            </w:tcBorders>
            <w:shd w:val="clear" w:color="auto" w:fill="D0E0E3"/>
            <w:noWrap/>
            <w:vAlign w:val="center"/>
            <w:hideMark/>
          </w:tcPr>
          <w:p w14:paraId="56431CE5" w14:textId="295E7D48" w:rsidR="00AE4C3E" w:rsidRPr="003667EF" w:rsidRDefault="00AE4C3E" w:rsidP="00AE4C3E">
            <w:pPr>
              <w:jc w:val="center"/>
              <w:rPr>
                <w:rFonts w:ascii="CAIXA Std Book" w:eastAsia="Times New Roman" w:hAnsi="CAIXA Std Book" w:cs="Times New Roman"/>
                <w:b/>
                <w:bCs/>
                <w:color w:val="005CA9"/>
                <w:sz w:val="18"/>
                <w:szCs w:val="18"/>
              </w:rPr>
            </w:pPr>
            <w:r w:rsidRPr="00AE4C3E">
              <w:rPr>
                <w:rFonts w:ascii="CAIXA Std Book" w:eastAsia="Times New Roman" w:hAnsi="CAIXA Std Book" w:cs="Times New Roman"/>
                <w:b/>
                <w:bCs/>
                <w:color w:val="005CA9"/>
                <w:sz w:val="18"/>
                <w:szCs w:val="18"/>
              </w:rPr>
              <w:t>-</w:t>
            </w:r>
          </w:p>
        </w:tc>
        <w:tc>
          <w:tcPr>
            <w:tcW w:w="566" w:type="pct"/>
            <w:tcBorders>
              <w:top w:val="nil"/>
              <w:left w:val="nil"/>
              <w:bottom w:val="single" w:sz="4" w:space="0" w:color="1F497D" w:themeColor="text2"/>
              <w:right w:val="nil"/>
            </w:tcBorders>
            <w:shd w:val="clear" w:color="auto" w:fill="D0E0E3"/>
            <w:noWrap/>
            <w:vAlign w:val="center"/>
            <w:hideMark/>
          </w:tcPr>
          <w:p w14:paraId="67B8674A" w14:textId="2E6DCCF5" w:rsidR="00AE4C3E" w:rsidRPr="003667EF" w:rsidRDefault="00AE4C3E" w:rsidP="0054443F">
            <w:pPr>
              <w:jc w:val="right"/>
              <w:rPr>
                <w:rFonts w:ascii="CAIXA Std Book" w:eastAsia="Times New Roman" w:hAnsi="CAIXA Std Book" w:cs="Times New Roman"/>
                <w:b/>
                <w:bCs/>
                <w:color w:val="005CA9"/>
                <w:sz w:val="18"/>
                <w:szCs w:val="18"/>
              </w:rPr>
            </w:pPr>
            <w:r w:rsidRPr="00AE4C3E">
              <w:rPr>
                <w:rFonts w:ascii="CAIXA Std Book" w:eastAsia="Times New Roman" w:hAnsi="CAIXA Std Book" w:cs="Times New Roman"/>
                <w:b/>
                <w:bCs/>
                <w:color w:val="005CA9"/>
                <w:sz w:val="18"/>
                <w:szCs w:val="18"/>
              </w:rPr>
              <w:t>3.090.992</w:t>
            </w:r>
          </w:p>
        </w:tc>
        <w:tc>
          <w:tcPr>
            <w:tcW w:w="566" w:type="pct"/>
            <w:tcBorders>
              <w:top w:val="nil"/>
              <w:left w:val="nil"/>
              <w:bottom w:val="single" w:sz="4" w:space="0" w:color="1F497D" w:themeColor="text2"/>
              <w:right w:val="nil"/>
            </w:tcBorders>
            <w:shd w:val="clear" w:color="auto" w:fill="D0E0E3"/>
            <w:noWrap/>
            <w:vAlign w:val="center"/>
            <w:hideMark/>
          </w:tcPr>
          <w:p w14:paraId="285F6384" w14:textId="0D154687" w:rsidR="00AE4C3E" w:rsidRPr="003667EF" w:rsidRDefault="00561866" w:rsidP="00755E77">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3.090.992</w:t>
            </w:r>
          </w:p>
        </w:tc>
        <w:tc>
          <w:tcPr>
            <w:tcW w:w="565" w:type="pct"/>
            <w:tcBorders>
              <w:top w:val="nil"/>
              <w:left w:val="nil"/>
              <w:bottom w:val="single" w:sz="4" w:space="0" w:color="1F497D" w:themeColor="text2"/>
              <w:right w:val="nil"/>
            </w:tcBorders>
            <w:shd w:val="clear" w:color="auto" w:fill="D0E0E3"/>
            <w:noWrap/>
            <w:vAlign w:val="center"/>
            <w:hideMark/>
          </w:tcPr>
          <w:p w14:paraId="6E798C6D" w14:textId="77777777" w:rsidR="00AE4C3E" w:rsidRPr="003667EF" w:rsidRDefault="00AE4C3E" w:rsidP="0054443F">
            <w:pPr>
              <w:jc w:val="right"/>
              <w:rPr>
                <w:rFonts w:ascii="CAIXA Std Book" w:eastAsia="Times New Roman" w:hAnsi="CAIXA Std Book" w:cs="Times New Roman"/>
                <w:b/>
                <w:bCs/>
                <w:color w:val="005CA9"/>
                <w:sz w:val="18"/>
                <w:szCs w:val="18"/>
              </w:rPr>
            </w:pPr>
            <w:r w:rsidRPr="003667EF">
              <w:rPr>
                <w:rFonts w:ascii="CAIXA Std Book" w:eastAsia="Times New Roman" w:hAnsi="CAIXA Std Book" w:cs="Times New Roman"/>
                <w:b/>
                <w:bCs/>
                <w:color w:val="005CA9"/>
                <w:sz w:val="18"/>
                <w:szCs w:val="18"/>
              </w:rPr>
              <w:t>3.090.992</w:t>
            </w:r>
          </w:p>
        </w:tc>
      </w:tr>
    </w:tbl>
    <w:p w14:paraId="6CB44D41" w14:textId="77777777" w:rsidR="00744032" w:rsidRDefault="00744032">
      <w:pPr>
        <w:rPr>
          <w:rFonts w:ascii="CAIXA Std Book" w:hAnsi="CAIXA Std Book"/>
          <w:color w:val="005CA9"/>
          <w:sz w:val="16"/>
          <w:szCs w:val="16"/>
        </w:rPr>
      </w:pPr>
      <w:r>
        <w:rPr>
          <w:rFonts w:ascii="CAIXA Std Book" w:hAnsi="CAIXA Std Book"/>
          <w:color w:val="005CA9"/>
          <w:sz w:val="16"/>
          <w:szCs w:val="16"/>
        </w:rPr>
        <w:br w:type="page"/>
      </w:r>
    </w:p>
    <w:tbl>
      <w:tblPr>
        <w:tblW w:w="5000" w:type="pct"/>
        <w:tblCellMar>
          <w:left w:w="70" w:type="dxa"/>
          <w:right w:w="70" w:type="dxa"/>
        </w:tblCellMar>
        <w:tblLook w:val="04A0" w:firstRow="1" w:lastRow="0" w:firstColumn="1" w:lastColumn="0" w:noHBand="0" w:noVBand="1"/>
      </w:tblPr>
      <w:tblGrid>
        <w:gridCol w:w="4662"/>
        <w:gridCol w:w="1638"/>
        <w:gridCol w:w="1638"/>
        <w:gridCol w:w="1638"/>
        <w:gridCol w:w="1638"/>
        <w:gridCol w:w="1716"/>
        <w:gridCol w:w="1641"/>
      </w:tblGrid>
      <w:tr w:rsidR="00F406D5" w:rsidRPr="008C0446" w14:paraId="0A7B26AF" w14:textId="77777777" w:rsidTr="00A238A8">
        <w:trPr>
          <w:trHeight w:val="283"/>
        </w:trPr>
        <w:tc>
          <w:tcPr>
            <w:tcW w:w="5000" w:type="pct"/>
            <w:gridSpan w:val="7"/>
            <w:tcBorders>
              <w:bottom w:val="single" w:sz="4" w:space="0" w:color="FFFFFF" w:themeColor="background1"/>
            </w:tcBorders>
            <w:shd w:val="clear" w:color="auto" w:fill="005CA9"/>
            <w:vAlign w:val="center"/>
            <w:hideMark/>
          </w:tcPr>
          <w:p w14:paraId="6C7CCAC0" w14:textId="7DD5E02F" w:rsidR="00F406D5" w:rsidRPr="00744032" w:rsidRDefault="00793B32">
            <w:pPr>
              <w:jc w:val="center"/>
              <w:rPr>
                <w:rFonts w:ascii="CAIXA Std Book" w:eastAsia="Times New Roman" w:hAnsi="CAIXA Std Book" w:cs="Times New Roman"/>
                <w:b/>
                <w:color w:val="FFFFFF"/>
                <w:sz w:val="18"/>
                <w:szCs w:val="18"/>
              </w:rPr>
            </w:pPr>
            <w:r w:rsidRPr="00744032">
              <w:rPr>
                <w:rFonts w:ascii="CAIXA Std Book" w:hAnsi="CAIXA Std Book"/>
                <w:color w:val="005CA9"/>
                <w:sz w:val="18"/>
                <w:szCs w:val="18"/>
              </w:rPr>
              <w:br w:type="page"/>
            </w:r>
            <w:r w:rsidR="00F406D5" w:rsidRPr="005C02E9">
              <w:rPr>
                <w:rFonts w:ascii="CAIXA Std Book" w:eastAsia="Times New Roman" w:hAnsi="CAIXA Std Book" w:cs="Times New Roman"/>
                <w:b/>
                <w:bCs/>
                <w:color w:val="FFFFFF"/>
                <w:sz w:val="18"/>
                <w:szCs w:val="18"/>
              </w:rPr>
              <w:t>Consolidado</w:t>
            </w:r>
          </w:p>
        </w:tc>
      </w:tr>
      <w:tr w:rsidR="005C02E9" w:rsidRPr="005C02E9" w14:paraId="68B7B226" w14:textId="77777777" w:rsidTr="00A238A8">
        <w:trPr>
          <w:trHeight w:val="283"/>
        </w:trPr>
        <w:tc>
          <w:tcPr>
            <w:tcW w:w="5000" w:type="pct"/>
            <w:gridSpan w:val="7"/>
            <w:tcBorders>
              <w:top w:val="single" w:sz="4" w:space="0" w:color="FFFFFF" w:themeColor="background1"/>
              <w:bottom w:val="single" w:sz="4" w:space="0" w:color="FFFFFF" w:themeColor="background1"/>
            </w:tcBorders>
            <w:shd w:val="clear" w:color="auto" w:fill="005CA9"/>
            <w:vAlign w:val="center"/>
            <w:hideMark/>
          </w:tcPr>
          <w:p w14:paraId="570EAAB4" w14:textId="77777777" w:rsidR="005C02E9" w:rsidRPr="005C02E9" w:rsidRDefault="005C02E9" w:rsidP="005C02E9">
            <w:pPr>
              <w:jc w:val="center"/>
              <w:rPr>
                <w:rFonts w:ascii="CAIXA Std Book" w:eastAsia="Times New Roman" w:hAnsi="CAIXA Std Book" w:cs="Times New Roman"/>
                <w:b/>
                <w:bCs/>
                <w:color w:val="FFFFFF"/>
                <w:sz w:val="18"/>
                <w:szCs w:val="18"/>
              </w:rPr>
            </w:pPr>
            <w:r w:rsidRPr="005C02E9">
              <w:rPr>
                <w:rFonts w:ascii="CAIXA Std Book" w:eastAsia="Times New Roman" w:hAnsi="CAIXA Std Book" w:cs="Times New Roman"/>
                <w:b/>
                <w:bCs/>
                <w:color w:val="FFFFFF"/>
                <w:sz w:val="18"/>
                <w:szCs w:val="18"/>
              </w:rPr>
              <w:t>Valor referencial</w:t>
            </w:r>
          </w:p>
        </w:tc>
      </w:tr>
      <w:tr w:rsidR="005C02E9" w:rsidRPr="005C02E9" w14:paraId="46A49D4C" w14:textId="77777777" w:rsidTr="00A238A8">
        <w:trPr>
          <w:trHeight w:val="283"/>
        </w:trPr>
        <w:tc>
          <w:tcPr>
            <w:tcW w:w="1600" w:type="pct"/>
            <w:vMerge w:val="restart"/>
            <w:tcBorders>
              <w:top w:val="single" w:sz="4" w:space="0" w:color="FFFFFF" w:themeColor="background1"/>
            </w:tcBorders>
            <w:shd w:val="clear" w:color="auto" w:fill="005CA9"/>
            <w:vAlign w:val="center"/>
            <w:hideMark/>
          </w:tcPr>
          <w:p w14:paraId="6A3A582F" w14:textId="77777777" w:rsidR="005C02E9" w:rsidRPr="005C02E9" w:rsidRDefault="005C02E9" w:rsidP="005C02E9">
            <w:pPr>
              <w:jc w:val="center"/>
              <w:rPr>
                <w:rFonts w:ascii="CAIXA Std Book" w:eastAsia="Times New Roman" w:hAnsi="CAIXA Std Book" w:cs="Times New Roman"/>
                <w:b/>
                <w:bCs/>
                <w:color w:val="FFFFFF"/>
                <w:sz w:val="18"/>
                <w:szCs w:val="18"/>
              </w:rPr>
            </w:pPr>
            <w:r w:rsidRPr="005C02E9">
              <w:rPr>
                <w:rFonts w:ascii="CAIXA Std Book" w:eastAsia="Times New Roman" w:hAnsi="CAIXA Std Book" w:cs="Times New Roman"/>
                <w:b/>
                <w:bCs/>
                <w:color w:val="FFFFFF"/>
                <w:sz w:val="18"/>
                <w:szCs w:val="18"/>
              </w:rPr>
              <w:t>Descrição</w:t>
            </w:r>
          </w:p>
        </w:tc>
        <w:tc>
          <w:tcPr>
            <w:tcW w:w="2837" w:type="pct"/>
            <w:gridSpan w:val="5"/>
            <w:tcBorders>
              <w:top w:val="single" w:sz="4" w:space="0" w:color="FFFFFF" w:themeColor="background1"/>
              <w:bottom w:val="single" w:sz="4" w:space="0" w:color="FFFFFF" w:themeColor="background1"/>
            </w:tcBorders>
            <w:shd w:val="clear" w:color="auto" w:fill="005CA9"/>
            <w:vAlign w:val="center"/>
            <w:hideMark/>
          </w:tcPr>
          <w:p w14:paraId="0AF07403" w14:textId="0D45ED48" w:rsidR="00E605AB" w:rsidRPr="005C02E9" w:rsidRDefault="00E605AB" w:rsidP="00EA7370">
            <w:pPr>
              <w:jc w:val="center"/>
              <w:rPr>
                <w:rFonts w:ascii="CAIXA Std Book" w:eastAsia="Times New Roman" w:hAnsi="CAIXA Std Book" w:cs="Times New Roman"/>
                <w:b/>
                <w:bCs/>
                <w:color w:val="FFFFFF"/>
                <w:sz w:val="18"/>
                <w:szCs w:val="18"/>
              </w:rPr>
            </w:pPr>
            <w:r w:rsidRPr="005C02E9">
              <w:rPr>
                <w:rFonts w:ascii="CAIXA Std Book" w:eastAsia="Times New Roman" w:hAnsi="CAIXA Std Book" w:cs="Times New Roman"/>
                <w:b/>
                <w:bCs/>
                <w:color w:val="FFFFFF"/>
                <w:sz w:val="18"/>
                <w:szCs w:val="18"/>
              </w:rPr>
              <w:t>31/03/2026</w:t>
            </w:r>
          </w:p>
        </w:tc>
        <w:tc>
          <w:tcPr>
            <w:tcW w:w="562" w:type="pct"/>
            <w:tcBorders>
              <w:top w:val="single" w:sz="4" w:space="0" w:color="FFFFFF" w:themeColor="background1"/>
              <w:bottom w:val="single" w:sz="4" w:space="0" w:color="FFFFFF" w:themeColor="background1"/>
            </w:tcBorders>
            <w:shd w:val="clear" w:color="auto" w:fill="005CA9"/>
            <w:vAlign w:val="center"/>
          </w:tcPr>
          <w:p w14:paraId="0B0B2C06" w14:textId="24204E3B" w:rsidR="005C02E9" w:rsidRPr="005C02E9" w:rsidRDefault="005C02E9" w:rsidP="00EA7370">
            <w:pPr>
              <w:jc w:val="center"/>
              <w:rPr>
                <w:rFonts w:ascii="CAIXA Std Book" w:eastAsia="Times New Roman" w:hAnsi="CAIXA Std Book" w:cs="Times New Roman"/>
                <w:b/>
                <w:bCs/>
                <w:color w:val="FFFFFF"/>
                <w:sz w:val="18"/>
                <w:szCs w:val="18"/>
              </w:rPr>
            </w:pPr>
            <w:r w:rsidRPr="005C02E9">
              <w:rPr>
                <w:rFonts w:ascii="CAIXA Std Book" w:eastAsia="Times New Roman" w:hAnsi="CAIXA Std Book" w:cs="Times New Roman"/>
                <w:b/>
                <w:bCs/>
                <w:color w:val="FFFFFF"/>
                <w:sz w:val="18"/>
                <w:szCs w:val="18"/>
              </w:rPr>
              <w:t>31/12/2025</w:t>
            </w:r>
          </w:p>
        </w:tc>
      </w:tr>
      <w:tr w:rsidR="005C02E9" w:rsidRPr="005C02E9" w14:paraId="4E3E329C" w14:textId="77777777" w:rsidTr="00A238A8">
        <w:trPr>
          <w:trHeight w:val="283"/>
        </w:trPr>
        <w:tc>
          <w:tcPr>
            <w:tcW w:w="1600" w:type="pct"/>
            <w:vMerge/>
            <w:tcBorders>
              <w:top w:val="single" w:sz="4" w:space="0" w:color="FFFFFF" w:themeColor="background1"/>
              <w:bottom w:val="single" w:sz="4" w:space="0" w:color="FFFFFF" w:themeColor="background1"/>
            </w:tcBorders>
            <w:shd w:val="clear" w:color="auto" w:fill="005CA9"/>
            <w:vAlign w:val="center"/>
            <w:hideMark/>
          </w:tcPr>
          <w:p w14:paraId="34335283" w14:textId="77777777" w:rsidR="005C02E9" w:rsidRPr="005C02E9" w:rsidRDefault="005C02E9" w:rsidP="005C02E9">
            <w:pPr>
              <w:rPr>
                <w:rFonts w:ascii="CAIXA Std Book" w:eastAsia="Times New Roman" w:hAnsi="CAIXA Std Book" w:cs="Times New Roman"/>
                <w:b/>
                <w:bCs/>
                <w:color w:val="FFFFFF"/>
                <w:sz w:val="18"/>
                <w:szCs w:val="18"/>
              </w:rPr>
            </w:pPr>
          </w:p>
        </w:tc>
        <w:tc>
          <w:tcPr>
            <w:tcW w:w="562" w:type="pct"/>
            <w:tcBorders>
              <w:top w:val="single" w:sz="4" w:space="0" w:color="FFFFFF" w:themeColor="background1"/>
              <w:bottom w:val="single" w:sz="4" w:space="0" w:color="FFFFFF" w:themeColor="background1"/>
            </w:tcBorders>
            <w:shd w:val="clear" w:color="auto" w:fill="005CA9"/>
            <w:noWrap/>
            <w:vAlign w:val="center"/>
            <w:hideMark/>
          </w:tcPr>
          <w:p w14:paraId="2FF146A1" w14:textId="77777777" w:rsidR="005C02E9" w:rsidRPr="005C02E9" w:rsidRDefault="005C02E9" w:rsidP="005C02E9">
            <w:pPr>
              <w:jc w:val="center"/>
              <w:rPr>
                <w:rFonts w:ascii="CAIXA Std Book" w:eastAsia="Times New Roman" w:hAnsi="CAIXA Std Book" w:cs="Times New Roman"/>
                <w:b/>
                <w:bCs/>
                <w:color w:val="FFFFFF"/>
                <w:sz w:val="18"/>
                <w:szCs w:val="18"/>
              </w:rPr>
            </w:pPr>
            <w:r w:rsidRPr="005C02E9">
              <w:rPr>
                <w:rFonts w:ascii="CAIXA Std Book" w:eastAsia="Times New Roman" w:hAnsi="CAIXA Std Book" w:cs="Times New Roman"/>
                <w:b/>
                <w:bCs/>
                <w:color w:val="FFFFFF"/>
                <w:sz w:val="18"/>
                <w:szCs w:val="18"/>
              </w:rPr>
              <w:t>01 a 90 dias</w:t>
            </w:r>
          </w:p>
        </w:tc>
        <w:tc>
          <w:tcPr>
            <w:tcW w:w="562" w:type="pct"/>
            <w:tcBorders>
              <w:top w:val="single" w:sz="4" w:space="0" w:color="FFFFFF" w:themeColor="background1"/>
              <w:bottom w:val="single" w:sz="4" w:space="0" w:color="FFFFFF" w:themeColor="background1"/>
            </w:tcBorders>
            <w:shd w:val="clear" w:color="auto" w:fill="005CA9"/>
            <w:vAlign w:val="center"/>
            <w:hideMark/>
          </w:tcPr>
          <w:p w14:paraId="562F5C90" w14:textId="77777777" w:rsidR="005C02E9" w:rsidRPr="005C02E9" w:rsidRDefault="005C02E9" w:rsidP="005C02E9">
            <w:pPr>
              <w:jc w:val="center"/>
              <w:rPr>
                <w:rFonts w:ascii="CAIXA Std Book" w:eastAsia="Times New Roman" w:hAnsi="CAIXA Std Book" w:cs="Times New Roman"/>
                <w:b/>
                <w:bCs/>
                <w:color w:val="FFFFFF"/>
                <w:sz w:val="18"/>
                <w:szCs w:val="18"/>
              </w:rPr>
            </w:pPr>
            <w:r w:rsidRPr="005C02E9">
              <w:rPr>
                <w:rFonts w:ascii="CAIXA Std Book" w:eastAsia="Times New Roman" w:hAnsi="CAIXA Std Book" w:cs="Times New Roman"/>
                <w:b/>
                <w:bCs/>
                <w:color w:val="FFFFFF"/>
                <w:sz w:val="18"/>
                <w:szCs w:val="18"/>
              </w:rPr>
              <w:t>91 a 180 dias</w:t>
            </w:r>
          </w:p>
        </w:tc>
        <w:tc>
          <w:tcPr>
            <w:tcW w:w="562" w:type="pct"/>
            <w:tcBorders>
              <w:top w:val="single" w:sz="4" w:space="0" w:color="FFFFFF" w:themeColor="background1"/>
              <w:bottom w:val="single" w:sz="4" w:space="0" w:color="FFFFFF" w:themeColor="background1"/>
            </w:tcBorders>
            <w:shd w:val="clear" w:color="auto" w:fill="005CA9"/>
            <w:vAlign w:val="center"/>
            <w:hideMark/>
          </w:tcPr>
          <w:p w14:paraId="71FEE47D" w14:textId="77777777" w:rsidR="005C02E9" w:rsidRPr="005C02E9" w:rsidRDefault="005C02E9" w:rsidP="005C02E9">
            <w:pPr>
              <w:jc w:val="center"/>
              <w:rPr>
                <w:rFonts w:ascii="CAIXA Std Book" w:eastAsia="Times New Roman" w:hAnsi="CAIXA Std Book" w:cs="Times New Roman"/>
                <w:b/>
                <w:bCs/>
                <w:color w:val="FFFFFF"/>
                <w:sz w:val="18"/>
                <w:szCs w:val="18"/>
              </w:rPr>
            </w:pPr>
            <w:r w:rsidRPr="005C02E9">
              <w:rPr>
                <w:rFonts w:ascii="CAIXA Std Book" w:eastAsia="Times New Roman" w:hAnsi="CAIXA Std Book" w:cs="Times New Roman"/>
                <w:b/>
                <w:bCs/>
                <w:color w:val="FFFFFF"/>
                <w:sz w:val="18"/>
                <w:szCs w:val="18"/>
              </w:rPr>
              <w:t>181 a 360 dias</w:t>
            </w:r>
          </w:p>
        </w:tc>
        <w:tc>
          <w:tcPr>
            <w:tcW w:w="562" w:type="pct"/>
            <w:tcBorders>
              <w:top w:val="single" w:sz="4" w:space="0" w:color="FFFFFF" w:themeColor="background1"/>
              <w:bottom w:val="single" w:sz="4" w:space="0" w:color="FFFFFF" w:themeColor="background1"/>
            </w:tcBorders>
            <w:shd w:val="clear" w:color="auto" w:fill="005CA9"/>
            <w:vAlign w:val="center"/>
            <w:hideMark/>
          </w:tcPr>
          <w:p w14:paraId="5A9089FE" w14:textId="77777777" w:rsidR="005C02E9" w:rsidRPr="005C02E9" w:rsidRDefault="005C02E9" w:rsidP="005C02E9">
            <w:pPr>
              <w:jc w:val="center"/>
              <w:rPr>
                <w:rFonts w:ascii="CAIXA Std Book" w:eastAsia="Times New Roman" w:hAnsi="CAIXA Std Book" w:cs="Times New Roman"/>
                <w:b/>
                <w:bCs/>
                <w:color w:val="FFFFFF"/>
                <w:sz w:val="18"/>
                <w:szCs w:val="18"/>
              </w:rPr>
            </w:pPr>
            <w:r w:rsidRPr="005C02E9">
              <w:rPr>
                <w:rFonts w:ascii="CAIXA Std Book" w:eastAsia="Times New Roman" w:hAnsi="CAIXA Std Book" w:cs="Times New Roman"/>
                <w:b/>
                <w:bCs/>
                <w:color w:val="FFFFFF"/>
                <w:sz w:val="18"/>
                <w:szCs w:val="18"/>
              </w:rPr>
              <w:t>Acima de 360 dias</w:t>
            </w:r>
          </w:p>
        </w:tc>
        <w:tc>
          <w:tcPr>
            <w:tcW w:w="588" w:type="pct"/>
            <w:tcBorders>
              <w:top w:val="single" w:sz="4" w:space="0" w:color="FFFFFF" w:themeColor="background1"/>
              <w:bottom w:val="single" w:sz="4" w:space="0" w:color="FFFFFF" w:themeColor="background1"/>
            </w:tcBorders>
            <w:shd w:val="clear" w:color="auto" w:fill="005CA9"/>
            <w:vAlign w:val="center"/>
            <w:hideMark/>
          </w:tcPr>
          <w:p w14:paraId="760AB567" w14:textId="77777777" w:rsidR="005C02E9" w:rsidRPr="005C02E9" w:rsidRDefault="005C02E9" w:rsidP="005C02E9">
            <w:pPr>
              <w:jc w:val="center"/>
              <w:rPr>
                <w:rFonts w:ascii="CAIXA Std Book" w:eastAsia="Times New Roman" w:hAnsi="CAIXA Std Book" w:cs="Times New Roman"/>
                <w:b/>
                <w:bCs/>
                <w:color w:val="FFFFFF"/>
                <w:sz w:val="18"/>
                <w:szCs w:val="18"/>
              </w:rPr>
            </w:pPr>
            <w:r w:rsidRPr="005C02E9">
              <w:rPr>
                <w:rFonts w:ascii="CAIXA Std Book" w:eastAsia="Times New Roman" w:hAnsi="CAIXA Std Book" w:cs="Times New Roman"/>
                <w:b/>
                <w:bCs/>
                <w:color w:val="FFFFFF"/>
                <w:sz w:val="18"/>
                <w:szCs w:val="18"/>
              </w:rPr>
              <w:t>Valor justo</w:t>
            </w:r>
          </w:p>
        </w:tc>
        <w:tc>
          <w:tcPr>
            <w:tcW w:w="562" w:type="pct"/>
            <w:tcBorders>
              <w:top w:val="single" w:sz="4" w:space="0" w:color="FFFFFF" w:themeColor="background1"/>
              <w:bottom w:val="single" w:sz="4" w:space="0" w:color="FFFFFF" w:themeColor="background1"/>
            </w:tcBorders>
            <w:shd w:val="clear" w:color="auto" w:fill="005CA9"/>
            <w:vAlign w:val="center"/>
            <w:hideMark/>
          </w:tcPr>
          <w:p w14:paraId="13DE3259" w14:textId="77777777" w:rsidR="005C02E9" w:rsidRPr="005C02E9" w:rsidRDefault="005C02E9" w:rsidP="005C02E9">
            <w:pPr>
              <w:jc w:val="center"/>
              <w:rPr>
                <w:rFonts w:ascii="CAIXA Std Book" w:eastAsia="Times New Roman" w:hAnsi="CAIXA Std Book" w:cs="Times New Roman"/>
                <w:b/>
                <w:bCs/>
                <w:color w:val="FFFFFF"/>
                <w:sz w:val="18"/>
                <w:szCs w:val="18"/>
              </w:rPr>
            </w:pPr>
            <w:r w:rsidRPr="005C02E9">
              <w:rPr>
                <w:rFonts w:ascii="CAIXA Std Book" w:eastAsia="Times New Roman" w:hAnsi="CAIXA Std Book" w:cs="Times New Roman"/>
                <w:b/>
                <w:bCs/>
                <w:color w:val="FFFFFF"/>
                <w:sz w:val="18"/>
                <w:szCs w:val="18"/>
              </w:rPr>
              <w:t>Valor justo</w:t>
            </w:r>
          </w:p>
        </w:tc>
      </w:tr>
      <w:tr w:rsidR="005C02E9" w:rsidRPr="005C02E9" w14:paraId="7EF56F26" w14:textId="77777777" w:rsidTr="00A238A8">
        <w:trPr>
          <w:trHeight w:val="283"/>
        </w:trPr>
        <w:tc>
          <w:tcPr>
            <w:tcW w:w="5000" w:type="pct"/>
            <w:gridSpan w:val="7"/>
            <w:tcBorders>
              <w:top w:val="single" w:sz="4" w:space="0" w:color="FFFFFF" w:themeColor="background1"/>
            </w:tcBorders>
            <w:shd w:val="clear" w:color="auto" w:fill="005CA9"/>
            <w:vAlign w:val="center"/>
            <w:hideMark/>
          </w:tcPr>
          <w:p w14:paraId="43285FF1" w14:textId="77777777" w:rsidR="005C02E9" w:rsidRPr="005C02E9" w:rsidRDefault="005C02E9" w:rsidP="005C02E9">
            <w:pPr>
              <w:jc w:val="center"/>
              <w:rPr>
                <w:rFonts w:ascii="CAIXA Std Book" w:eastAsia="Times New Roman" w:hAnsi="CAIXA Std Book" w:cs="Times New Roman"/>
                <w:b/>
                <w:bCs/>
                <w:color w:val="FFFFFF"/>
                <w:sz w:val="18"/>
                <w:szCs w:val="18"/>
              </w:rPr>
            </w:pPr>
            <w:r w:rsidRPr="005C02E9">
              <w:rPr>
                <w:rFonts w:ascii="CAIXA Std Book" w:eastAsia="Times New Roman" w:hAnsi="CAIXA Std Book" w:cs="Times New Roman"/>
                <w:b/>
                <w:bCs/>
                <w:color w:val="FFFFFF"/>
                <w:sz w:val="18"/>
                <w:szCs w:val="18"/>
              </w:rPr>
              <w:t>Contratos de futuros</w:t>
            </w:r>
          </w:p>
        </w:tc>
      </w:tr>
      <w:tr w:rsidR="005C02E9" w:rsidRPr="005C02E9" w14:paraId="480677A4" w14:textId="77777777" w:rsidTr="00A238A8">
        <w:trPr>
          <w:trHeight w:val="283"/>
        </w:trPr>
        <w:tc>
          <w:tcPr>
            <w:tcW w:w="1600" w:type="pct"/>
            <w:shd w:val="clear" w:color="auto" w:fill="D0E0E3"/>
            <w:noWrap/>
            <w:vAlign w:val="center"/>
            <w:hideMark/>
          </w:tcPr>
          <w:p w14:paraId="28B5F367" w14:textId="77777777" w:rsidR="005C02E9" w:rsidRPr="005C02E9" w:rsidRDefault="005C02E9" w:rsidP="005C02E9">
            <w:pPr>
              <w:rPr>
                <w:rFonts w:ascii="CAIXA Std Book" w:eastAsia="Times New Roman" w:hAnsi="CAIXA Std Book" w:cs="Times New Roman"/>
                <w:b/>
                <w:bCs/>
                <w:color w:val="005CA9"/>
                <w:sz w:val="18"/>
                <w:szCs w:val="18"/>
              </w:rPr>
            </w:pPr>
            <w:r w:rsidRPr="005C02E9">
              <w:rPr>
                <w:rFonts w:ascii="CAIXA Std Book" w:eastAsia="Times New Roman" w:hAnsi="CAIXA Std Book" w:cs="Times New Roman"/>
                <w:b/>
                <w:bCs/>
                <w:color w:val="005CA9"/>
                <w:sz w:val="18"/>
                <w:szCs w:val="18"/>
              </w:rPr>
              <w:t>Compromissos de compra</w:t>
            </w:r>
          </w:p>
        </w:tc>
        <w:tc>
          <w:tcPr>
            <w:tcW w:w="562" w:type="pct"/>
            <w:shd w:val="clear" w:color="auto" w:fill="D0E0E3"/>
            <w:noWrap/>
            <w:vAlign w:val="center"/>
          </w:tcPr>
          <w:p w14:paraId="67476DCA" w14:textId="083295AF" w:rsidR="005C02E9" w:rsidRPr="005C02E9" w:rsidRDefault="003622C3" w:rsidP="005C02E9">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37.023</w:t>
            </w:r>
          </w:p>
        </w:tc>
        <w:tc>
          <w:tcPr>
            <w:tcW w:w="562" w:type="pct"/>
            <w:shd w:val="clear" w:color="auto" w:fill="D0E0E3"/>
            <w:noWrap/>
            <w:vAlign w:val="center"/>
          </w:tcPr>
          <w:p w14:paraId="3A4BC124" w14:textId="17A51BB1" w:rsidR="005C02E9" w:rsidRPr="005C02E9" w:rsidRDefault="003622C3" w:rsidP="005C02E9">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3.801.524</w:t>
            </w:r>
          </w:p>
        </w:tc>
        <w:tc>
          <w:tcPr>
            <w:tcW w:w="562" w:type="pct"/>
            <w:shd w:val="clear" w:color="auto" w:fill="D0E0E3"/>
            <w:noWrap/>
            <w:vAlign w:val="center"/>
          </w:tcPr>
          <w:p w14:paraId="073D44FE" w14:textId="342402DC" w:rsidR="005C02E9" w:rsidRPr="005C02E9" w:rsidRDefault="003622C3" w:rsidP="005C02E9">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251.748</w:t>
            </w:r>
          </w:p>
        </w:tc>
        <w:tc>
          <w:tcPr>
            <w:tcW w:w="562" w:type="pct"/>
            <w:shd w:val="clear" w:color="auto" w:fill="D0E0E3"/>
            <w:noWrap/>
            <w:vAlign w:val="center"/>
          </w:tcPr>
          <w:p w14:paraId="548C7F9E" w14:textId="648E762E" w:rsidR="005C02E9" w:rsidRPr="005C02E9" w:rsidRDefault="003622C3" w:rsidP="005C02E9">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1.879.560</w:t>
            </w:r>
          </w:p>
        </w:tc>
        <w:tc>
          <w:tcPr>
            <w:tcW w:w="588" w:type="pct"/>
            <w:shd w:val="clear" w:color="auto" w:fill="D0E0E3"/>
            <w:noWrap/>
            <w:vAlign w:val="center"/>
          </w:tcPr>
          <w:p w14:paraId="2D08A4D8" w14:textId="4858AEC2" w:rsidR="005C02E9" w:rsidRPr="005C02E9" w:rsidRDefault="003622C3" w:rsidP="005C02E9">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5.969.855</w:t>
            </w:r>
          </w:p>
        </w:tc>
        <w:tc>
          <w:tcPr>
            <w:tcW w:w="562" w:type="pct"/>
            <w:shd w:val="clear" w:color="auto" w:fill="D0E0E3"/>
            <w:noWrap/>
            <w:vAlign w:val="center"/>
            <w:hideMark/>
          </w:tcPr>
          <w:p w14:paraId="3FA8C125" w14:textId="77777777" w:rsidR="005C02E9" w:rsidRPr="005C02E9" w:rsidRDefault="005C02E9" w:rsidP="005C02E9">
            <w:pPr>
              <w:jc w:val="right"/>
              <w:rPr>
                <w:rFonts w:ascii="CAIXA Std Book" w:eastAsia="Times New Roman" w:hAnsi="CAIXA Std Book" w:cs="Times New Roman"/>
                <w:b/>
                <w:bCs/>
                <w:color w:val="005CA9"/>
                <w:sz w:val="18"/>
                <w:szCs w:val="18"/>
              </w:rPr>
            </w:pPr>
            <w:r w:rsidRPr="005C02E9">
              <w:rPr>
                <w:rFonts w:ascii="CAIXA Std Book" w:eastAsia="Times New Roman" w:hAnsi="CAIXA Std Book" w:cs="Times New Roman"/>
                <w:b/>
                <w:bCs/>
                <w:color w:val="005CA9"/>
                <w:sz w:val="18"/>
                <w:szCs w:val="18"/>
              </w:rPr>
              <w:t>5.961.568</w:t>
            </w:r>
          </w:p>
        </w:tc>
      </w:tr>
      <w:tr w:rsidR="005C02E9" w:rsidRPr="005C02E9" w14:paraId="3792DC49" w14:textId="77777777" w:rsidTr="00A238A8">
        <w:trPr>
          <w:trHeight w:val="283"/>
        </w:trPr>
        <w:tc>
          <w:tcPr>
            <w:tcW w:w="1600" w:type="pct"/>
            <w:noWrap/>
            <w:vAlign w:val="center"/>
            <w:hideMark/>
          </w:tcPr>
          <w:p w14:paraId="3B28A831" w14:textId="77777777" w:rsidR="005C02E9" w:rsidRPr="005C02E9" w:rsidRDefault="005C02E9" w:rsidP="005C02E9">
            <w:pPr>
              <w:ind w:firstLineChars="100" w:firstLine="180"/>
              <w:rPr>
                <w:rFonts w:ascii="CAIXA Std Book" w:eastAsia="Times New Roman" w:hAnsi="CAIXA Std Book" w:cs="Times New Roman"/>
                <w:color w:val="005CA9"/>
                <w:sz w:val="18"/>
                <w:szCs w:val="18"/>
              </w:rPr>
            </w:pPr>
            <w:r w:rsidRPr="005C02E9">
              <w:rPr>
                <w:rFonts w:ascii="CAIXA Std Book" w:eastAsia="Times New Roman" w:hAnsi="CAIXA Std Book" w:cs="Times New Roman"/>
                <w:color w:val="005CA9"/>
                <w:sz w:val="18"/>
                <w:szCs w:val="18"/>
              </w:rPr>
              <w:t>Mercado interfinanceiro</w:t>
            </w:r>
          </w:p>
        </w:tc>
        <w:tc>
          <w:tcPr>
            <w:tcW w:w="562" w:type="pct"/>
            <w:shd w:val="clear" w:color="000000" w:fill="FFFFFF"/>
            <w:noWrap/>
            <w:vAlign w:val="center"/>
          </w:tcPr>
          <w:p w14:paraId="21C942EF" w14:textId="0D351F79" w:rsidR="005C02E9" w:rsidRPr="005C02E9" w:rsidRDefault="003622C3" w:rsidP="005C02E9">
            <w:pPr>
              <w:jc w:val="right"/>
              <w:rPr>
                <w:rFonts w:ascii="CAIXA Std Book" w:eastAsia="Times New Roman" w:hAnsi="CAIXA Std Book" w:cs="Times New Roman"/>
                <w:color w:val="005CA9"/>
                <w:sz w:val="18"/>
                <w:szCs w:val="18"/>
              </w:rPr>
            </w:pPr>
            <w:r>
              <w:rPr>
                <w:rFonts w:ascii="CAIXA Std Book" w:hAnsi="CAIXA Std Book"/>
                <w:color w:val="005CA9"/>
                <w:sz w:val="18"/>
                <w:szCs w:val="18"/>
              </w:rPr>
              <w:t>37.023</w:t>
            </w:r>
          </w:p>
        </w:tc>
        <w:tc>
          <w:tcPr>
            <w:tcW w:w="562" w:type="pct"/>
            <w:shd w:val="clear" w:color="000000" w:fill="FFFFFF"/>
            <w:noWrap/>
            <w:vAlign w:val="center"/>
          </w:tcPr>
          <w:p w14:paraId="41198A37" w14:textId="4A051403" w:rsidR="005C02E9" w:rsidRPr="005C02E9" w:rsidRDefault="003622C3" w:rsidP="005C02E9">
            <w:pPr>
              <w:jc w:val="right"/>
              <w:rPr>
                <w:rFonts w:ascii="CAIXA Std Book" w:eastAsia="Times New Roman" w:hAnsi="CAIXA Std Book" w:cs="Times New Roman"/>
                <w:color w:val="005CA9"/>
                <w:sz w:val="18"/>
                <w:szCs w:val="18"/>
              </w:rPr>
            </w:pPr>
            <w:r>
              <w:rPr>
                <w:rFonts w:ascii="CAIXA Std Book" w:hAnsi="CAIXA Std Book"/>
                <w:color w:val="005CA9"/>
                <w:sz w:val="18"/>
                <w:szCs w:val="18"/>
              </w:rPr>
              <w:t>3.801.524</w:t>
            </w:r>
          </w:p>
        </w:tc>
        <w:tc>
          <w:tcPr>
            <w:tcW w:w="562" w:type="pct"/>
            <w:shd w:val="clear" w:color="000000" w:fill="FFFFFF"/>
            <w:noWrap/>
            <w:vAlign w:val="center"/>
          </w:tcPr>
          <w:p w14:paraId="0BD82D16" w14:textId="3FDD93A0" w:rsidR="005C02E9" w:rsidRPr="005C02E9" w:rsidRDefault="003622C3" w:rsidP="005C02E9">
            <w:pPr>
              <w:jc w:val="right"/>
              <w:rPr>
                <w:rFonts w:ascii="CAIXA Std Book" w:eastAsia="Times New Roman" w:hAnsi="CAIXA Std Book" w:cs="Times New Roman"/>
                <w:color w:val="005CA9"/>
                <w:sz w:val="18"/>
                <w:szCs w:val="18"/>
              </w:rPr>
            </w:pPr>
            <w:r>
              <w:rPr>
                <w:rFonts w:ascii="CAIXA Std Book" w:hAnsi="CAIXA Std Book"/>
                <w:color w:val="005CA9"/>
                <w:sz w:val="18"/>
                <w:szCs w:val="18"/>
              </w:rPr>
              <w:t>251.748</w:t>
            </w:r>
          </w:p>
        </w:tc>
        <w:tc>
          <w:tcPr>
            <w:tcW w:w="562" w:type="pct"/>
            <w:shd w:val="clear" w:color="000000" w:fill="FFFFFF"/>
            <w:noWrap/>
            <w:vAlign w:val="center"/>
          </w:tcPr>
          <w:p w14:paraId="7F4654F1" w14:textId="3275477A" w:rsidR="005C02E9" w:rsidRPr="005C02E9" w:rsidRDefault="003622C3" w:rsidP="005C02E9">
            <w:pPr>
              <w:jc w:val="right"/>
              <w:rPr>
                <w:rFonts w:ascii="CAIXA Std Book" w:eastAsia="Times New Roman" w:hAnsi="CAIXA Std Book" w:cs="Times New Roman"/>
                <w:color w:val="005CA9"/>
                <w:sz w:val="18"/>
                <w:szCs w:val="18"/>
              </w:rPr>
            </w:pPr>
            <w:r>
              <w:rPr>
                <w:rFonts w:ascii="CAIXA Std Book" w:hAnsi="CAIXA Std Book"/>
                <w:color w:val="005CA9"/>
                <w:sz w:val="18"/>
                <w:szCs w:val="18"/>
              </w:rPr>
              <w:t>1.879.560</w:t>
            </w:r>
          </w:p>
        </w:tc>
        <w:tc>
          <w:tcPr>
            <w:tcW w:w="588" w:type="pct"/>
            <w:shd w:val="clear" w:color="000000" w:fill="FFFFFF"/>
            <w:noWrap/>
            <w:vAlign w:val="center"/>
          </w:tcPr>
          <w:p w14:paraId="4835AB58" w14:textId="5843F1CE" w:rsidR="005C02E9" w:rsidRPr="005C02E9" w:rsidRDefault="003622C3" w:rsidP="005C02E9">
            <w:pPr>
              <w:jc w:val="right"/>
              <w:rPr>
                <w:rFonts w:ascii="CAIXA Std Book" w:eastAsia="Times New Roman" w:hAnsi="CAIXA Std Book" w:cs="Times New Roman"/>
                <w:color w:val="005CA9"/>
                <w:sz w:val="18"/>
                <w:szCs w:val="18"/>
              </w:rPr>
            </w:pPr>
            <w:r>
              <w:rPr>
                <w:rFonts w:ascii="CAIXA Std Book" w:hAnsi="CAIXA Std Book"/>
                <w:color w:val="005CA9"/>
                <w:sz w:val="18"/>
                <w:szCs w:val="18"/>
              </w:rPr>
              <w:t>5.969.855</w:t>
            </w:r>
          </w:p>
        </w:tc>
        <w:tc>
          <w:tcPr>
            <w:tcW w:w="562" w:type="pct"/>
            <w:shd w:val="clear" w:color="000000" w:fill="FFFFFF"/>
            <w:noWrap/>
            <w:vAlign w:val="center"/>
            <w:hideMark/>
          </w:tcPr>
          <w:p w14:paraId="4DFB2A4E" w14:textId="77777777" w:rsidR="005C02E9" w:rsidRPr="005C02E9" w:rsidRDefault="005C02E9" w:rsidP="005C02E9">
            <w:pPr>
              <w:jc w:val="right"/>
              <w:rPr>
                <w:rFonts w:ascii="CAIXA Std Book" w:eastAsia="Times New Roman" w:hAnsi="CAIXA Std Book" w:cs="Times New Roman"/>
                <w:color w:val="005CA9"/>
                <w:sz w:val="18"/>
                <w:szCs w:val="18"/>
              </w:rPr>
            </w:pPr>
            <w:r w:rsidRPr="005C02E9">
              <w:rPr>
                <w:rFonts w:ascii="CAIXA Std Book" w:eastAsia="Times New Roman" w:hAnsi="CAIXA Std Book" w:cs="Times New Roman"/>
                <w:color w:val="005CA9"/>
                <w:sz w:val="18"/>
                <w:szCs w:val="18"/>
              </w:rPr>
              <w:t>5.961.568</w:t>
            </w:r>
          </w:p>
        </w:tc>
      </w:tr>
      <w:tr w:rsidR="005C02E9" w:rsidRPr="005C02E9" w14:paraId="10938D27" w14:textId="77777777" w:rsidTr="00A238A8">
        <w:trPr>
          <w:trHeight w:val="283"/>
        </w:trPr>
        <w:tc>
          <w:tcPr>
            <w:tcW w:w="1600" w:type="pct"/>
            <w:shd w:val="clear" w:color="auto" w:fill="D0E0E3"/>
            <w:noWrap/>
            <w:vAlign w:val="center"/>
            <w:hideMark/>
          </w:tcPr>
          <w:p w14:paraId="1819B038" w14:textId="77777777" w:rsidR="005C02E9" w:rsidRPr="005C02E9" w:rsidRDefault="005C02E9" w:rsidP="005C02E9">
            <w:pPr>
              <w:rPr>
                <w:rFonts w:ascii="CAIXA Std Book" w:eastAsia="Times New Roman" w:hAnsi="CAIXA Std Book" w:cs="Times New Roman"/>
                <w:b/>
                <w:bCs/>
                <w:color w:val="005CA9"/>
                <w:sz w:val="18"/>
                <w:szCs w:val="18"/>
              </w:rPr>
            </w:pPr>
            <w:r w:rsidRPr="005C02E9">
              <w:rPr>
                <w:rFonts w:ascii="CAIXA Std Book" w:eastAsia="Times New Roman" w:hAnsi="CAIXA Std Book" w:cs="Times New Roman"/>
                <w:b/>
                <w:bCs/>
                <w:color w:val="005CA9"/>
                <w:sz w:val="18"/>
                <w:szCs w:val="18"/>
              </w:rPr>
              <w:t>Compromissos de venda</w:t>
            </w:r>
          </w:p>
        </w:tc>
        <w:tc>
          <w:tcPr>
            <w:tcW w:w="562" w:type="pct"/>
            <w:shd w:val="clear" w:color="auto" w:fill="D0E0E3"/>
            <w:noWrap/>
            <w:vAlign w:val="center"/>
          </w:tcPr>
          <w:p w14:paraId="2C8A03B3" w14:textId="5EF84407" w:rsidR="005C02E9" w:rsidRPr="005C02E9" w:rsidRDefault="008D4CF6" w:rsidP="005C02E9">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320.100</w:t>
            </w:r>
          </w:p>
        </w:tc>
        <w:tc>
          <w:tcPr>
            <w:tcW w:w="562" w:type="pct"/>
            <w:shd w:val="clear" w:color="auto" w:fill="D0E0E3"/>
            <w:noWrap/>
            <w:vAlign w:val="center"/>
          </w:tcPr>
          <w:p w14:paraId="45BCBC13" w14:textId="75569715" w:rsidR="005C02E9" w:rsidRPr="005C02E9" w:rsidRDefault="008D4CF6" w:rsidP="005C02E9">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4.392.401</w:t>
            </w:r>
          </w:p>
        </w:tc>
        <w:tc>
          <w:tcPr>
            <w:tcW w:w="562" w:type="pct"/>
            <w:shd w:val="clear" w:color="auto" w:fill="D0E0E3"/>
            <w:noWrap/>
            <w:vAlign w:val="center"/>
          </w:tcPr>
          <w:p w14:paraId="7487FAC4" w14:textId="15EEF8F7" w:rsidR="005C02E9" w:rsidRPr="005C02E9" w:rsidRDefault="008D4CF6" w:rsidP="005C02E9">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4.133.166</w:t>
            </w:r>
          </w:p>
        </w:tc>
        <w:tc>
          <w:tcPr>
            <w:tcW w:w="562" w:type="pct"/>
            <w:shd w:val="clear" w:color="auto" w:fill="D0E0E3"/>
            <w:noWrap/>
            <w:vAlign w:val="center"/>
          </w:tcPr>
          <w:p w14:paraId="1FAC378D" w14:textId="0BD1EAC9" w:rsidR="005C02E9" w:rsidRPr="005C02E9" w:rsidRDefault="008D4CF6" w:rsidP="005C02E9">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64.781.238</w:t>
            </w:r>
          </w:p>
        </w:tc>
        <w:tc>
          <w:tcPr>
            <w:tcW w:w="588" w:type="pct"/>
            <w:shd w:val="clear" w:color="auto" w:fill="D0E0E3"/>
            <w:noWrap/>
            <w:vAlign w:val="center"/>
          </w:tcPr>
          <w:p w14:paraId="2CDBE9ED" w14:textId="0F28C656" w:rsidR="005C02E9" w:rsidRPr="005C02E9" w:rsidRDefault="008D4CF6" w:rsidP="005C02E9">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73.626.905</w:t>
            </w:r>
          </w:p>
        </w:tc>
        <w:tc>
          <w:tcPr>
            <w:tcW w:w="562" w:type="pct"/>
            <w:shd w:val="clear" w:color="auto" w:fill="D0E0E3"/>
            <w:noWrap/>
            <w:vAlign w:val="center"/>
            <w:hideMark/>
          </w:tcPr>
          <w:p w14:paraId="0BA9EA70" w14:textId="77777777" w:rsidR="005C02E9" w:rsidRPr="005C02E9" w:rsidRDefault="005C02E9" w:rsidP="005C02E9">
            <w:pPr>
              <w:jc w:val="right"/>
              <w:rPr>
                <w:rFonts w:ascii="CAIXA Std Book" w:eastAsia="Times New Roman" w:hAnsi="CAIXA Std Book" w:cs="Times New Roman"/>
                <w:b/>
                <w:bCs/>
                <w:color w:val="005CA9"/>
                <w:sz w:val="18"/>
                <w:szCs w:val="18"/>
              </w:rPr>
            </w:pPr>
            <w:r w:rsidRPr="005C02E9">
              <w:rPr>
                <w:rFonts w:ascii="CAIXA Std Book" w:eastAsia="Times New Roman" w:hAnsi="CAIXA Std Book" w:cs="Times New Roman"/>
                <w:b/>
                <w:bCs/>
                <w:color w:val="005CA9"/>
                <w:sz w:val="18"/>
                <w:szCs w:val="18"/>
              </w:rPr>
              <w:t>80.269.757</w:t>
            </w:r>
          </w:p>
        </w:tc>
      </w:tr>
      <w:tr w:rsidR="005C02E9" w:rsidRPr="005C02E9" w14:paraId="3A00D9F6" w14:textId="77777777" w:rsidTr="00A238A8">
        <w:trPr>
          <w:trHeight w:val="283"/>
        </w:trPr>
        <w:tc>
          <w:tcPr>
            <w:tcW w:w="1600" w:type="pct"/>
            <w:shd w:val="clear" w:color="000000" w:fill="FFFFFF"/>
            <w:noWrap/>
            <w:vAlign w:val="center"/>
            <w:hideMark/>
          </w:tcPr>
          <w:p w14:paraId="079AC911" w14:textId="77777777" w:rsidR="005C02E9" w:rsidRPr="005C02E9" w:rsidRDefault="005C02E9" w:rsidP="005C02E9">
            <w:pPr>
              <w:ind w:firstLineChars="100" w:firstLine="180"/>
              <w:rPr>
                <w:rFonts w:ascii="CAIXA Std Book" w:eastAsia="Times New Roman" w:hAnsi="CAIXA Std Book" w:cs="Times New Roman"/>
                <w:color w:val="005CA9"/>
                <w:sz w:val="18"/>
                <w:szCs w:val="18"/>
              </w:rPr>
            </w:pPr>
            <w:r w:rsidRPr="005C02E9">
              <w:rPr>
                <w:rFonts w:ascii="CAIXA Std Book" w:eastAsia="Times New Roman" w:hAnsi="CAIXA Std Book" w:cs="Times New Roman"/>
                <w:color w:val="005CA9"/>
                <w:sz w:val="18"/>
                <w:szCs w:val="18"/>
              </w:rPr>
              <w:t>Mercado interfinanceiro</w:t>
            </w:r>
          </w:p>
        </w:tc>
        <w:tc>
          <w:tcPr>
            <w:tcW w:w="562" w:type="pct"/>
            <w:shd w:val="clear" w:color="000000" w:fill="FFFFFF"/>
            <w:noWrap/>
            <w:vAlign w:val="center"/>
          </w:tcPr>
          <w:p w14:paraId="582057FB" w14:textId="2A4D9641" w:rsidR="005C02E9" w:rsidRPr="005C02E9" w:rsidRDefault="008D4CF6" w:rsidP="005C02E9">
            <w:pPr>
              <w:jc w:val="right"/>
              <w:rPr>
                <w:rFonts w:ascii="CAIXA Std Book" w:eastAsia="Times New Roman" w:hAnsi="CAIXA Std Book" w:cs="Times New Roman"/>
                <w:color w:val="005CA9"/>
                <w:sz w:val="18"/>
                <w:szCs w:val="18"/>
              </w:rPr>
            </w:pPr>
            <w:r>
              <w:rPr>
                <w:rFonts w:ascii="CAIXA Std Book" w:hAnsi="CAIXA Std Book"/>
                <w:color w:val="005CA9"/>
                <w:sz w:val="18"/>
                <w:szCs w:val="18"/>
              </w:rPr>
              <w:t>37.939</w:t>
            </w:r>
          </w:p>
        </w:tc>
        <w:tc>
          <w:tcPr>
            <w:tcW w:w="562" w:type="pct"/>
            <w:shd w:val="clear" w:color="000000" w:fill="FFFFFF"/>
            <w:noWrap/>
            <w:vAlign w:val="center"/>
          </w:tcPr>
          <w:p w14:paraId="6BDC2AF9" w14:textId="7D89FA40" w:rsidR="005C02E9" w:rsidRPr="005C02E9" w:rsidRDefault="008D4CF6" w:rsidP="005C02E9">
            <w:pPr>
              <w:jc w:val="right"/>
              <w:rPr>
                <w:rFonts w:ascii="CAIXA Std Book" w:eastAsia="Times New Roman" w:hAnsi="CAIXA Std Book" w:cs="Times New Roman"/>
                <w:color w:val="005CA9"/>
                <w:sz w:val="18"/>
                <w:szCs w:val="18"/>
              </w:rPr>
            </w:pPr>
            <w:r>
              <w:rPr>
                <w:rFonts w:ascii="CAIXA Std Book" w:hAnsi="CAIXA Std Book"/>
                <w:color w:val="005CA9"/>
                <w:sz w:val="18"/>
                <w:szCs w:val="18"/>
              </w:rPr>
              <w:t>4.392.401</w:t>
            </w:r>
          </w:p>
        </w:tc>
        <w:tc>
          <w:tcPr>
            <w:tcW w:w="562" w:type="pct"/>
            <w:shd w:val="clear" w:color="000000" w:fill="FFFFFF"/>
            <w:noWrap/>
            <w:vAlign w:val="center"/>
          </w:tcPr>
          <w:p w14:paraId="786976C8" w14:textId="315263C2" w:rsidR="005C02E9" w:rsidRPr="005C02E9" w:rsidRDefault="008D4CF6" w:rsidP="005C02E9">
            <w:pPr>
              <w:jc w:val="right"/>
              <w:rPr>
                <w:rFonts w:ascii="CAIXA Std Book" w:eastAsia="Times New Roman" w:hAnsi="CAIXA Std Book" w:cs="Times New Roman"/>
                <w:color w:val="005CA9"/>
                <w:sz w:val="18"/>
                <w:szCs w:val="18"/>
              </w:rPr>
            </w:pPr>
            <w:r>
              <w:rPr>
                <w:rFonts w:ascii="CAIXA Std Book" w:hAnsi="CAIXA Std Book"/>
                <w:color w:val="005CA9"/>
                <w:sz w:val="18"/>
                <w:szCs w:val="18"/>
              </w:rPr>
              <w:t>4.133.166</w:t>
            </w:r>
          </w:p>
        </w:tc>
        <w:tc>
          <w:tcPr>
            <w:tcW w:w="562" w:type="pct"/>
            <w:shd w:val="clear" w:color="000000" w:fill="FFFFFF"/>
            <w:noWrap/>
            <w:vAlign w:val="center"/>
          </w:tcPr>
          <w:p w14:paraId="00FEDF41" w14:textId="40C9E2B7" w:rsidR="005C02E9" w:rsidRPr="005C02E9" w:rsidRDefault="008D4CF6" w:rsidP="005C02E9">
            <w:pPr>
              <w:jc w:val="right"/>
              <w:rPr>
                <w:rFonts w:ascii="CAIXA Std Book" w:eastAsia="Times New Roman" w:hAnsi="CAIXA Std Book" w:cs="Times New Roman"/>
                <w:color w:val="005CA9"/>
                <w:sz w:val="18"/>
                <w:szCs w:val="18"/>
              </w:rPr>
            </w:pPr>
            <w:r>
              <w:rPr>
                <w:rFonts w:ascii="CAIXA Std Book" w:hAnsi="CAIXA Std Book"/>
                <w:color w:val="005CA9"/>
                <w:sz w:val="18"/>
                <w:szCs w:val="18"/>
              </w:rPr>
              <w:t>64.781.238</w:t>
            </w:r>
          </w:p>
        </w:tc>
        <w:tc>
          <w:tcPr>
            <w:tcW w:w="588" w:type="pct"/>
            <w:shd w:val="clear" w:color="000000" w:fill="FFFFFF"/>
            <w:noWrap/>
            <w:vAlign w:val="center"/>
          </w:tcPr>
          <w:p w14:paraId="4CC7792F" w14:textId="1C0B6D22" w:rsidR="005C02E9" w:rsidRPr="005C02E9" w:rsidRDefault="008D4CF6" w:rsidP="005C02E9">
            <w:pPr>
              <w:jc w:val="right"/>
              <w:rPr>
                <w:rFonts w:ascii="CAIXA Std Book" w:eastAsia="Times New Roman" w:hAnsi="CAIXA Std Book" w:cs="Times New Roman"/>
                <w:color w:val="005CA9"/>
                <w:sz w:val="18"/>
                <w:szCs w:val="18"/>
              </w:rPr>
            </w:pPr>
            <w:r>
              <w:rPr>
                <w:rFonts w:ascii="CAIXA Std Book" w:hAnsi="CAIXA Std Book"/>
                <w:color w:val="005CA9"/>
                <w:sz w:val="18"/>
                <w:szCs w:val="18"/>
              </w:rPr>
              <w:t>73.344.744</w:t>
            </w:r>
          </w:p>
        </w:tc>
        <w:tc>
          <w:tcPr>
            <w:tcW w:w="562" w:type="pct"/>
            <w:shd w:val="clear" w:color="000000" w:fill="FFFFFF"/>
            <w:noWrap/>
            <w:vAlign w:val="center"/>
            <w:hideMark/>
          </w:tcPr>
          <w:p w14:paraId="1B80DF3D" w14:textId="77777777" w:rsidR="005C02E9" w:rsidRPr="005C02E9" w:rsidRDefault="005C02E9" w:rsidP="005C02E9">
            <w:pPr>
              <w:jc w:val="right"/>
              <w:rPr>
                <w:rFonts w:ascii="CAIXA Std Book" w:eastAsia="Times New Roman" w:hAnsi="CAIXA Std Book" w:cs="Times New Roman"/>
                <w:color w:val="005CA9"/>
                <w:sz w:val="18"/>
                <w:szCs w:val="18"/>
              </w:rPr>
            </w:pPr>
            <w:r w:rsidRPr="005C02E9">
              <w:rPr>
                <w:rFonts w:ascii="CAIXA Std Book" w:eastAsia="Times New Roman" w:hAnsi="CAIXA Std Book" w:cs="Times New Roman"/>
                <w:color w:val="005CA9"/>
                <w:sz w:val="18"/>
                <w:szCs w:val="18"/>
              </w:rPr>
              <w:t>79.629.377</w:t>
            </w:r>
          </w:p>
        </w:tc>
      </w:tr>
      <w:tr w:rsidR="005C02E9" w:rsidRPr="005C02E9" w14:paraId="0C159021" w14:textId="77777777" w:rsidTr="00A238A8">
        <w:trPr>
          <w:trHeight w:val="283"/>
        </w:trPr>
        <w:tc>
          <w:tcPr>
            <w:tcW w:w="1600" w:type="pct"/>
            <w:shd w:val="clear" w:color="000000" w:fill="FFFFFF"/>
            <w:noWrap/>
            <w:vAlign w:val="center"/>
            <w:hideMark/>
          </w:tcPr>
          <w:p w14:paraId="4DB6920D" w14:textId="77777777" w:rsidR="005C02E9" w:rsidRPr="005C02E9" w:rsidRDefault="005C02E9" w:rsidP="005C02E9">
            <w:pPr>
              <w:ind w:firstLineChars="100" w:firstLine="180"/>
              <w:rPr>
                <w:rFonts w:ascii="CAIXA Std Book" w:eastAsia="Times New Roman" w:hAnsi="CAIXA Std Book" w:cs="Times New Roman"/>
                <w:color w:val="005CA9"/>
                <w:sz w:val="18"/>
                <w:szCs w:val="18"/>
              </w:rPr>
            </w:pPr>
            <w:r w:rsidRPr="005C02E9">
              <w:rPr>
                <w:rFonts w:ascii="CAIXA Std Book" w:eastAsia="Times New Roman" w:hAnsi="CAIXA Std Book" w:cs="Times New Roman"/>
                <w:color w:val="005CA9"/>
                <w:sz w:val="18"/>
                <w:szCs w:val="18"/>
              </w:rPr>
              <w:t>Moeda estrangeira</w:t>
            </w:r>
          </w:p>
        </w:tc>
        <w:tc>
          <w:tcPr>
            <w:tcW w:w="562" w:type="pct"/>
            <w:shd w:val="clear" w:color="000000" w:fill="FFFFFF"/>
            <w:noWrap/>
            <w:vAlign w:val="center"/>
          </w:tcPr>
          <w:p w14:paraId="700DD4D6" w14:textId="7D668558" w:rsidR="005C02E9" w:rsidRPr="005C02E9" w:rsidRDefault="008D4CF6" w:rsidP="005C02E9">
            <w:pPr>
              <w:jc w:val="right"/>
              <w:rPr>
                <w:rFonts w:ascii="CAIXA Std Book" w:eastAsia="Times New Roman" w:hAnsi="CAIXA Std Book" w:cs="Times New Roman"/>
                <w:color w:val="005CA9"/>
                <w:sz w:val="18"/>
                <w:szCs w:val="18"/>
              </w:rPr>
            </w:pPr>
            <w:r>
              <w:rPr>
                <w:rFonts w:ascii="CAIXA Std Book" w:hAnsi="CAIXA Std Book"/>
                <w:color w:val="005CA9"/>
                <w:sz w:val="18"/>
                <w:szCs w:val="18"/>
              </w:rPr>
              <w:t>282.161</w:t>
            </w:r>
          </w:p>
        </w:tc>
        <w:tc>
          <w:tcPr>
            <w:tcW w:w="562" w:type="pct"/>
            <w:shd w:val="clear" w:color="000000" w:fill="FFFFFF"/>
            <w:noWrap/>
            <w:vAlign w:val="center"/>
          </w:tcPr>
          <w:p w14:paraId="5DAB06F5" w14:textId="0F1AC5B3" w:rsidR="005C02E9" w:rsidRPr="005C02E9" w:rsidRDefault="008D4CF6" w:rsidP="005C02E9">
            <w:pPr>
              <w:jc w:val="center"/>
              <w:rPr>
                <w:rFonts w:ascii="CAIXA Std Book" w:eastAsia="Times New Roman" w:hAnsi="CAIXA Std Book" w:cs="Times New Roman"/>
                <w:color w:val="005CA9"/>
                <w:sz w:val="18"/>
                <w:szCs w:val="18"/>
              </w:rPr>
            </w:pPr>
            <w:r>
              <w:rPr>
                <w:rFonts w:ascii="CAIXA Std Book" w:eastAsia="Times New Roman" w:hAnsi="CAIXA Std Book" w:cs="Times New Roman"/>
                <w:color w:val="005CA9"/>
                <w:sz w:val="18"/>
                <w:szCs w:val="18"/>
              </w:rPr>
              <w:t>-</w:t>
            </w:r>
          </w:p>
        </w:tc>
        <w:tc>
          <w:tcPr>
            <w:tcW w:w="562" w:type="pct"/>
            <w:shd w:val="clear" w:color="000000" w:fill="FFFFFF"/>
            <w:noWrap/>
            <w:vAlign w:val="center"/>
          </w:tcPr>
          <w:p w14:paraId="0536D088" w14:textId="04D3C0F0" w:rsidR="005C02E9" w:rsidRPr="008D4CF6" w:rsidRDefault="008D4CF6" w:rsidP="005C02E9">
            <w:pPr>
              <w:jc w:val="center"/>
              <w:rPr>
                <w:rFonts w:ascii="CAIXA Std Book" w:hAnsi="CAIXA Std Book"/>
                <w:color w:val="005CA9"/>
                <w:sz w:val="18"/>
                <w:szCs w:val="18"/>
              </w:rPr>
            </w:pPr>
            <w:r>
              <w:rPr>
                <w:rFonts w:ascii="CAIXA Std Book" w:hAnsi="CAIXA Std Book"/>
                <w:color w:val="005CA9"/>
                <w:sz w:val="18"/>
                <w:szCs w:val="18"/>
              </w:rPr>
              <w:t>-</w:t>
            </w:r>
          </w:p>
        </w:tc>
        <w:tc>
          <w:tcPr>
            <w:tcW w:w="562" w:type="pct"/>
            <w:shd w:val="clear" w:color="000000" w:fill="FFFFFF"/>
            <w:noWrap/>
            <w:vAlign w:val="center"/>
          </w:tcPr>
          <w:p w14:paraId="22EA979F" w14:textId="140EED90" w:rsidR="005C02E9" w:rsidRPr="005C02E9" w:rsidRDefault="008D4CF6" w:rsidP="005C02E9">
            <w:pPr>
              <w:jc w:val="center"/>
              <w:rPr>
                <w:rFonts w:ascii="CAIXA Std Book" w:eastAsia="Times New Roman" w:hAnsi="CAIXA Std Book" w:cs="Times New Roman"/>
                <w:color w:val="005CA9"/>
                <w:sz w:val="18"/>
                <w:szCs w:val="18"/>
              </w:rPr>
            </w:pPr>
            <w:r>
              <w:rPr>
                <w:rFonts w:ascii="CAIXA Std Book" w:eastAsia="Times New Roman" w:hAnsi="CAIXA Std Book" w:cs="Times New Roman"/>
                <w:color w:val="005CA9"/>
                <w:sz w:val="18"/>
                <w:szCs w:val="18"/>
              </w:rPr>
              <w:t>-</w:t>
            </w:r>
          </w:p>
        </w:tc>
        <w:tc>
          <w:tcPr>
            <w:tcW w:w="588" w:type="pct"/>
            <w:shd w:val="clear" w:color="000000" w:fill="FFFFFF"/>
            <w:noWrap/>
            <w:vAlign w:val="center"/>
          </w:tcPr>
          <w:p w14:paraId="1CC77AAB" w14:textId="54AB09EB" w:rsidR="005C02E9" w:rsidRPr="005C02E9" w:rsidRDefault="008D4CF6" w:rsidP="005C02E9">
            <w:pPr>
              <w:jc w:val="right"/>
              <w:rPr>
                <w:rFonts w:ascii="CAIXA Std Book" w:eastAsia="Times New Roman" w:hAnsi="CAIXA Std Book" w:cs="Times New Roman"/>
                <w:color w:val="005CA9"/>
                <w:sz w:val="18"/>
                <w:szCs w:val="18"/>
              </w:rPr>
            </w:pPr>
            <w:r>
              <w:rPr>
                <w:rFonts w:ascii="CAIXA Std Book" w:hAnsi="CAIXA Std Book"/>
                <w:color w:val="005CA9"/>
                <w:sz w:val="18"/>
                <w:szCs w:val="18"/>
              </w:rPr>
              <w:t>282.161</w:t>
            </w:r>
          </w:p>
        </w:tc>
        <w:tc>
          <w:tcPr>
            <w:tcW w:w="562" w:type="pct"/>
            <w:shd w:val="clear" w:color="000000" w:fill="FFFFFF"/>
            <w:noWrap/>
            <w:vAlign w:val="center"/>
            <w:hideMark/>
          </w:tcPr>
          <w:p w14:paraId="2BB9A5AC" w14:textId="77777777" w:rsidR="005C02E9" w:rsidRPr="005C02E9" w:rsidRDefault="005C02E9" w:rsidP="005C02E9">
            <w:pPr>
              <w:jc w:val="right"/>
              <w:rPr>
                <w:rFonts w:ascii="CAIXA Std Book" w:eastAsia="Times New Roman" w:hAnsi="CAIXA Std Book" w:cs="Times New Roman"/>
                <w:color w:val="005CA9"/>
                <w:sz w:val="18"/>
                <w:szCs w:val="18"/>
              </w:rPr>
            </w:pPr>
            <w:r w:rsidRPr="005C02E9">
              <w:rPr>
                <w:rFonts w:ascii="CAIXA Std Book" w:eastAsia="Times New Roman" w:hAnsi="CAIXA Std Book" w:cs="Times New Roman"/>
                <w:color w:val="005CA9"/>
                <w:sz w:val="18"/>
                <w:szCs w:val="18"/>
              </w:rPr>
              <w:t>640.380</w:t>
            </w:r>
          </w:p>
        </w:tc>
      </w:tr>
      <w:tr w:rsidR="005C02E9" w:rsidRPr="005C02E9" w14:paraId="66944FCA" w14:textId="77777777" w:rsidTr="008A7C09">
        <w:trPr>
          <w:trHeight w:val="283"/>
        </w:trPr>
        <w:tc>
          <w:tcPr>
            <w:tcW w:w="5000" w:type="pct"/>
            <w:gridSpan w:val="7"/>
            <w:shd w:val="clear" w:color="auto" w:fill="005CA9"/>
            <w:vAlign w:val="center"/>
            <w:hideMark/>
          </w:tcPr>
          <w:p w14:paraId="3246F0E5" w14:textId="77777777" w:rsidR="005C02E9" w:rsidRPr="005C02E9" w:rsidRDefault="005C02E9" w:rsidP="005C02E9">
            <w:pPr>
              <w:jc w:val="center"/>
              <w:rPr>
                <w:rFonts w:ascii="CAIXA Std Book" w:eastAsia="Times New Roman" w:hAnsi="CAIXA Std Book" w:cs="Times New Roman"/>
                <w:b/>
                <w:bCs/>
                <w:color w:val="FFFFFF"/>
                <w:sz w:val="18"/>
                <w:szCs w:val="18"/>
              </w:rPr>
            </w:pPr>
            <w:r w:rsidRPr="005C02E9">
              <w:rPr>
                <w:rFonts w:ascii="CAIXA Std Book" w:eastAsia="Times New Roman" w:hAnsi="CAIXA Std Book" w:cs="Times New Roman"/>
                <w:b/>
                <w:bCs/>
                <w:color w:val="FFFFFF"/>
                <w:sz w:val="18"/>
                <w:szCs w:val="18"/>
              </w:rPr>
              <w:t>Contrato a Termo (1)</w:t>
            </w:r>
          </w:p>
        </w:tc>
      </w:tr>
      <w:tr w:rsidR="005C02E9" w:rsidRPr="005C02E9" w14:paraId="75801EC7" w14:textId="77777777" w:rsidTr="008A7C09">
        <w:trPr>
          <w:trHeight w:val="283"/>
        </w:trPr>
        <w:tc>
          <w:tcPr>
            <w:tcW w:w="1600" w:type="pct"/>
            <w:tcBorders>
              <w:bottom w:val="single" w:sz="4" w:space="0" w:color="FFFFFF" w:themeColor="background1"/>
            </w:tcBorders>
            <w:shd w:val="clear" w:color="auto" w:fill="D0E0E3"/>
            <w:noWrap/>
            <w:vAlign w:val="center"/>
            <w:hideMark/>
          </w:tcPr>
          <w:p w14:paraId="62C5E6FA" w14:textId="77777777" w:rsidR="005C02E9" w:rsidRPr="005C02E9" w:rsidRDefault="005C02E9" w:rsidP="005C02E9">
            <w:pPr>
              <w:rPr>
                <w:rFonts w:ascii="CAIXA Std Book" w:eastAsia="Times New Roman" w:hAnsi="CAIXA Std Book" w:cs="Times New Roman"/>
                <w:b/>
                <w:bCs/>
                <w:color w:val="005CA9"/>
                <w:sz w:val="18"/>
                <w:szCs w:val="18"/>
              </w:rPr>
            </w:pPr>
            <w:r w:rsidRPr="005C02E9">
              <w:rPr>
                <w:rFonts w:ascii="CAIXA Std Book" w:eastAsia="Times New Roman" w:hAnsi="CAIXA Std Book" w:cs="Times New Roman"/>
                <w:b/>
                <w:bCs/>
                <w:color w:val="005CA9"/>
                <w:sz w:val="18"/>
                <w:szCs w:val="18"/>
              </w:rPr>
              <w:t>Contrato de câmbio - Ativo</w:t>
            </w:r>
          </w:p>
        </w:tc>
        <w:tc>
          <w:tcPr>
            <w:tcW w:w="562" w:type="pct"/>
            <w:tcBorders>
              <w:bottom w:val="single" w:sz="4" w:space="0" w:color="FFFFFF" w:themeColor="background1"/>
            </w:tcBorders>
            <w:shd w:val="clear" w:color="auto" w:fill="D0E0E3"/>
            <w:noWrap/>
            <w:vAlign w:val="center"/>
          </w:tcPr>
          <w:p w14:paraId="5D3AE28E" w14:textId="02F66FF9" w:rsidR="005C02E9" w:rsidRPr="005C02E9" w:rsidRDefault="00B02450" w:rsidP="005C02E9">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169.467</w:t>
            </w:r>
          </w:p>
        </w:tc>
        <w:tc>
          <w:tcPr>
            <w:tcW w:w="562" w:type="pct"/>
            <w:tcBorders>
              <w:bottom w:val="single" w:sz="4" w:space="0" w:color="FFFFFF" w:themeColor="background1"/>
            </w:tcBorders>
            <w:shd w:val="clear" w:color="auto" w:fill="D0E0E3"/>
            <w:noWrap/>
          </w:tcPr>
          <w:p w14:paraId="37124458" w14:textId="5240E320" w:rsidR="005C02E9" w:rsidRPr="005C02E9" w:rsidRDefault="00B02450" w:rsidP="005C02E9">
            <w:pPr>
              <w:jc w:val="center"/>
              <w:rPr>
                <w:rFonts w:ascii="CAIXA Std Book" w:eastAsia="Times New Roman" w:hAnsi="CAIXA Std Book" w:cs="Times New Roman"/>
                <w:b/>
                <w:bCs/>
                <w:color w:val="005CA9"/>
                <w:sz w:val="18"/>
                <w:szCs w:val="18"/>
              </w:rPr>
            </w:pPr>
            <w:r w:rsidRPr="005873E6">
              <w:rPr>
                <w:rFonts w:ascii="CAIXA Std Book" w:eastAsia="Times New Roman" w:hAnsi="CAIXA Std Book" w:cs="Times New Roman"/>
                <w:b/>
                <w:bCs/>
                <w:color w:val="005CA9"/>
                <w:sz w:val="18"/>
                <w:szCs w:val="18"/>
              </w:rPr>
              <w:t>-</w:t>
            </w:r>
          </w:p>
        </w:tc>
        <w:tc>
          <w:tcPr>
            <w:tcW w:w="562" w:type="pct"/>
            <w:tcBorders>
              <w:bottom w:val="single" w:sz="4" w:space="0" w:color="FFFFFF" w:themeColor="background1"/>
            </w:tcBorders>
            <w:shd w:val="clear" w:color="auto" w:fill="D0E0E3"/>
            <w:noWrap/>
          </w:tcPr>
          <w:p w14:paraId="52D4A6E1" w14:textId="11E206D0" w:rsidR="005C02E9" w:rsidRPr="005C02E9" w:rsidRDefault="00B02450" w:rsidP="005C02E9">
            <w:pPr>
              <w:jc w:val="center"/>
              <w:rPr>
                <w:rFonts w:ascii="CAIXA Std Book" w:eastAsia="Times New Roman" w:hAnsi="CAIXA Std Book" w:cs="Times New Roman"/>
                <w:b/>
                <w:bCs/>
                <w:color w:val="005CA9"/>
                <w:sz w:val="18"/>
                <w:szCs w:val="18"/>
              </w:rPr>
            </w:pPr>
            <w:r w:rsidRPr="005873E6">
              <w:rPr>
                <w:rFonts w:ascii="CAIXA Std Book" w:eastAsia="Times New Roman" w:hAnsi="CAIXA Std Book" w:cs="Times New Roman"/>
                <w:b/>
                <w:bCs/>
                <w:color w:val="005CA9"/>
                <w:sz w:val="18"/>
                <w:szCs w:val="18"/>
              </w:rPr>
              <w:t>-</w:t>
            </w:r>
          </w:p>
        </w:tc>
        <w:tc>
          <w:tcPr>
            <w:tcW w:w="562" w:type="pct"/>
            <w:tcBorders>
              <w:bottom w:val="single" w:sz="4" w:space="0" w:color="FFFFFF" w:themeColor="background1"/>
            </w:tcBorders>
            <w:shd w:val="clear" w:color="auto" w:fill="D0E0E3"/>
            <w:noWrap/>
          </w:tcPr>
          <w:p w14:paraId="4312E772" w14:textId="6797CF3F" w:rsidR="005C02E9" w:rsidRPr="005C02E9" w:rsidRDefault="00B02450" w:rsidP="005C02E9">
            <w:pPr>
              <w:jc w:val="center"/>
              <w:rPr>
                <w:rFonts w:ascii="CAIXA Std Book" w:eastAsia="Times New Roman" w:hAnsi="CAIXA Std Book" w:cs="Times New Roman"/>
                <w:b/>
                <w:bCs/>
                <w:color w:val="005CA9"/>
                <w:sz w:val="18"/>
                <w:szCs w:val="18"/>
              </w:rPr>
            </w:pPr>
            <w:r w:rsidRPr="005873E6">
              <w:rPr>
                <w:rFonts w:ascii="CAIXA Std Book" w:eastAsia="Times New Roman" w:hAnsi="CAIXA Std Book" w:cs="Times New Roman"/>
                <w:b/>
                <w:bCs/>
                <w:color w:val="005CA9"/>
                <w:sz w:val="18"/>
                <w:szCs w:val="18"/>
              </w:rPr>
              <w:t>-</w:t>
            </w:r>
          </w:p>
        </w:tc>
        <w:tc>
          <w:tcPr>
            <w:tcW w:w="588" w:type="pct"/>
            <w:tcBorders>
              <w:bottom w:val="single" w:sz="4" w:space="0" w:color="FFFFFF" w:themeColor="background1"/>
            </w:tcBorders>
            <w:shd w:val="clear" w:color="auto" w:fill="D0E0E3"/>
            <w:noWrap/>
            <w:vAlign w:val="center"/>
          </w:tcPr>
          <w:p w14:paraId="4745D4DC" w14:textId="322FCC19" w:rsidR="005C02E9" w:rsidRPr="005C02E9" w:rsidRDefault="00B02450" w:rsidP="005C02E9">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169.467</w:t>
            </w:r>
          </w:p>
        </w:tc>
        <w:tc>
          <w:tcPr>
            <w:tcW w:w="562" w:type="pct"/>
            <w:tcBorders>
              <w:bottom w:val="single" w:sz="4" w:space="0" w:color="FFFFFF" w:themeColor="background1"/>
            </w:tcBorders>
            <w:shd w:val="clear" w:color="auto" w:fill="D0E0E3"/>
            <w:noWrap/>
            <w:vAlign w:val="center"/>
            <w:hideMark/>
          </w:tcPr>
          <w:p w14:paraId="5D03CA98" w14:textId="77777777" w:rsidR="005C02E9" w:rsidRPr="005C02E9" w:rsidRDefault="005C02E9" w:rsidP="005C02E9">
            <w:pPr>
              <w:jc w:val="right"/>
              <w:rPr>
                <w:rFonts w:ascii="CAIXA Std Book" w:eastAsia="Times New Roman" w:hAnsi="CAIXA Std Book" w:cs="Times New Roman"/>
                <w:b/>
                <w:bCs/>
                <w:color w:val="005CA9"/>
                <w:sz w:val="18"/>
                <w:szCs w:val="18"/>
              </w:rPr>
            </w:pPr>
            <w:r w:rsidRPr="005C02E9">
              <w:rPr>
                <w:rFonts w:ascii="CAIXA Std Book" w:eastAsia="Times New Roman" w:hAnsi="CAIXA Std Book" w:cs="Times New Roman"/>
                <w:b/>
                <w:bCs/>
                <w:color w:val="005CA9"/>
                <w:sz w:val="18"/>
                <w:szCs w:val="18"/>
              </w:rPr>
              <w:t>83.328</w:t>
            </w:r>
          </w:p>
        </w:tc>
      </w:tr>
      <w:tr w:rsidR="005C02E9" w:rsidRPr="005C02E9" w14:paraId="6D9C7A0D" w14:textId="77777777" w:rsidTr="008A7C09">
        <w:trPr>
          <w:trHeight w:val="283"/>
        </w:trPr>
        <w:tc>
          <w:tcPr>
            <w:tcW w:w="1600" w:type="pct"/>
            <w:tcBorders>
              <w:top w:val="single" w:sz="4" w:space="0" w:color="FFFFFF" w:themeColor="background1"/>
            </w:tcBorders>
            <w:shd w:val="clear" w:color="auto" w:fill="D0E0E3"/>
            <w:noWrap/>
            <w:vAlign w:val="center"/>
            <w:hideMark/>
          </w:tcPr>
          <w:p w14:paraId="4F29B845" w14:textId="77777777" w:rsidR="005C02E9" w:rsidRPr="005C02E9" w:rsidRDefault="005C02E9" w:rsidP="005C02E9">
            <w:pPr>
              <w:rPr>
                <w:rFonts w:ascii="CAIXA Std Book" w:eastAsia="Times New Roman" w:hAnsi="CAIXA Std Book" w:cs="Times New Roman"/>
                <w:b/>
                <w:bCs/>
                <w:color w:val="005CA9"/>
                <w:sz w:val="18"/>
                <w:szCs w:val="18"/>
              </w:rPr>
            </w:pPr>
            <w:r w:rsidRPr="005C02E9">
              <w:rPr>
                <w:rFonts w:ascii="CAIXA Std Book" w:eastAsia="Times New Roman" w:hAnsi="CAIXA Std Book" w:cs="Times New Roman"/>
                <w:b/>
                <w:bCs/>
                <w:color w:val="005CA9"/>
                <w:sz w:val="18"/>
                <w:szCs w:val="18"/>
              </w:rPr>
              <w:t>Contrato de câmbio – Passivo</w:t>
            </w:r>
          </w:p>
        </w:tc>
        <w:tc>
          <w:tcPr>
            <w:tcW w:w="562" w:type="pct"/>
            <w:tcBorders>
              <w:top w:val="single" w:sz="4" w:space="0" w:color="FFFFFF" w:themeColor="background1"/>
            </w:tcBorders>
            <w:shd w:val="clear" w:color="auto" w:fill="D0E0E3"/>
            <w:noWrap/>
            <w:vAlign w:val="center"/>
          </w:tcPr>
          <w:p w14:paraId="0E8F1233" w14:textId="6EB5B358" w:rsidR="005C02E9" w:rsidRPr="005C02E9" w:rsidRDefault="00B02450" w:rsidP="005C02E9">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123.735</w:t>
            </w:r>
          </w:p>
        </w:tc>
        <w:tc>
          <w:tcPr>
            <w:tcW w:w="562" w:type="pct"/>
            <w:tcBorders>
              <w:top w:val="single" w:sz="4" w:space="0" w:color="FFFFFF" w:themeColor="background1"/>
            </w:tcBorders>
            <w:shd w:val="clear" w:color="auto" w:fill="D0E0E3"/>
            <w:noWrap/>
          </w:tcPr>
          <w:p w14:paraId="21B9EDEB" w14:textId="69B6E594" w:rsidR="005C02E9" w:rsidRPr="005C02E9" w:rsidRDefault="00B02450" w:rsidP="005C02E9">
            <w:pPr>
              <w:jc w:val="center"/>
              <w:rPr>
                <w:rFonts w:ascii="CAIXA Std Book" w:eastAsia="Times New Roman" w:hAnsi="CAIXA Std Book" w:cs="Times New Roman"/>
                <w:b/>
                <w:bCs/>
                <w:color w:val="005CA9"/>
                <w:sz w:val="18"/>
                <w:szCs w:val="18"/>
              </w:rPr>
            </w:pPr>
            <w:r w:rsidRPr="005873E6">
              <w:rPr>
                <w:rFonts w:ascii="CAIXA Std Book" w:eastAsia="Times New Roman" w:hAnsi="CAIXA Std Book" w:cs="Times New Roman"/>
                <w:b/>
                <w:bCs/>
                <w:color w:val="005CA9"/>
                <w:sz w:val="18"/>
                <w:szCs w:val="18"/>
              </w:rPr>
              <w:t>-</w:t>
            </w:r>
          </w:p>
        </w:tc>
        <w:tc>
          <w:tcPr>
            <w:tcW w:w="562" w:type="pct"/>
            <w:tcBorders>
              <w:top w:val="single" w:sz="4" w:space="0" w:color="FFFFFF" w:themeColor="background1"/>
            </w:tcBorders>
            <w:shd w:val="clear" w:color="auto" w:fill="D0E0E3"/>
            <w:noWrap/>
          </w:tcPr>
          <w:p w14:paraId="74E91D78" w14:textId="61029E89" w:rsidR="005C02E9" w:rsidRPr="005C02E9" w:rsidRDefault="00B02450" w:rsidP="005C02E9">
            <w:pPr>
              <w:jc w:val="center"/>
              <w:rPr>
                <w:rFonts w:ascii="CAIXA Std Book" w:eastAsia="Times New Roman" w:hAnsi="CAIXA Std Book" w:cs="Times New Roman"/>
                <w:b/>
                <w:bCs/>
                <w:color w:val="005CA9"/>
                <w:sz w:val="18"/>
                <w:szCs w:val="18"/>
              </w:rPr>
            </w:pPr>
            <w:r w:rsidRPr="005873E6">
              <w:rPr>
                <w:rFonts w:ascii="CAIXA Std Book" w:eastAsia="Times New Roman" w:hAnsi="CAIXA Std Book" w:cs="Times New Roman"/>
                <w:b/>
                <w:bCs/>
                <w:color w:val="005CA9"/>
                <w:sz w:val="18"/>
                <w:szCs w:val="18"/>
              </w:rPr>
              <w:t>-</w:t>
            </w:r>
          </w:p>
        </w:tc>
        <w:tc>
          <w:tcPr>
            <w:tcW w:w="562" w:type="pct"/>
            <w:tcBorders>
              <w:top w:val="single" w:sz="4" w:space="0" w:color="FFFFFF" w:themeColor="background1"/>
            </w:tcBorders>
            <w:shd w:val="clear" w:color="auto" w:fill="D0E0E3"/>
            <w:noWrap/>
          </w:tcPr>
          <w:p w14:paraId="2E1C8147" w14:textId="1DDD27C0" w:rsidR="005C02E9" w:rsidRPr="005C02E9" w:rsidRDefault="00B02450" w:rsidP="005C02E9">
            <w:pPr>
              <w:jc w:val="center"/>
              <w:rPr>
                <w:rFonts w:ascii="CAIXA Std Book" w:eastAsia="Times New Roman" w:hAnsi="CAIXA Std Book" w:cs="Times New Roman"/>
                <w:b/>
                <w:bCs/>
                <w:color w:val="005CA9"/>
                <w:sz w:val="18"/>
                <w:szCs w:val="18"/>
              </w:rPr>
            </w:pPr>
            <w:r w:rsidRPr="005873E6">
              <w:rPr>
                <w:rFonts w:ascii="CAIXA Std Book" w:eastAsia="Times New Roman" w:hAnsi="CAIXA Std Book" w:cs="Times New Roman"/>
                <w:b/>
                <w:bCs/>
                <w:color w:val="005CA9"/>
                <w:sz w:val="18"/>
                <w:szCs w:val="18"/>
              </w:rPr>
              <w:t>-</w:t>
            </w:r>
          </w:p>
        </w:tc>
        <w:tc>
          <w:tcPr>
            <w:tcW w:w="588" w:type="pct"/>
            <w:tcBorders>
              <w:top w:val="single" w:sz="4" w:space="0" w:color="FFFFFF" w:themeColor="background1"/>
            </w:tcBorders>
            <w:shd w:val="clear" w:color="auto" w:fill="D0E0E3"/>
            <w:noWrap/>
            <w:vAlign w:val="center"/>
          </w:tcPr>
          <w:p w14:paraId="16983DDD" w14:textId="350CB683" w:rsidR="005C02E9" w:rsidRPr="005C02E9" w:rsidRDefault="00B02450" w:rsidP="005C02E9">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123.735</w:t>
            </w:r>
          </w:p>
        </w:tc>
        <w:tc>
          <w:tcPr>
            <w:tcW w:w="562" w:type="pct"/>
            <w:tcBorders>
              <w:top w:val="single" w:sz="4" w:space="0" w:color="FFFFFF" w:themeColor="background1"/>
            </w:tcBorders>
            <w:shd w:val="clear" w:color="auto" w:fill="D0E0E3"/>
            <w:noWrap/>
            <w:vAlign w:val="center"/>
            <w:hideMark/>
          </w:tcPr>
          <w:p w14:paraId="6989FC2F" w14:textId="77777777" w:rsidR="005C02E9" w:rsidRPr="005C02E9" w:rsidRDefault="005C02E9" w:rsidP="005C02E9">
            <w:pPr>
              <w:jc w:val="right"/>
              <w:rPr>
                <w:rFonts w:ascii="CAIXA Std Book" w:eastAsia="Times New Roman" w:hAnsi="CAIXA Std Book" w:cs="Times New Roman"/>
                <w:b/>
                <w:bCs/>
                <w:color w:val="005CA9"/>
                <w:sz w:val="18"/>
                <w:szCs w:val="18"/>
              </w:rPr>
            </w:pPr>
            <w:r w:rsidRPr="005C02E9">
              <w:rPr>
                <w:rFonts w:ascii="CAIXA Std Book" w:eastAsia="Times New Roman" w:hAnsi="CAIXA Std Book" w:cs="Times New Roman"/>
                <w:b/>
                <w:bCs/>
                <w:color w:val="005CA9"/>
                <w:sz w:val="18"/>
                <w:szCs w:val="18"/>
              </w:rPr>
              <w:t>18.390</w:t>
            </w:r>
          </w:p>
        </w:tc>
      </w:tr>
      <w:tr w:rsidR="005C02E9" w:rsidRPr="005C02E9" w14:paraId="432A6D43" w14:textId="77777777" w:rsidTr="008A7C09">
        <w:trPr>
          <w:trHeight w:val="283"/>
        </w:trPr>
        <w:tc>
          <w:tcPr>
            <w:tcW w:w="5000" w:type="pct"/>
            <w:gridSpan w:val="7"/>
            <w:shd w:val="clear" w:color="auto" w:fill="005CA9"/>
            <w:vAlign w:val="center"/>
            <w:hideMark/>
          </w:tcPr>
          <w:p w14:paraId="270342E7" w14:textId="77777777" w:rsidR="005C02E9" w:rsidRPr="005C02E9" w:rsidRDefault="005C02E9" w:rsidP="005C02E9">
            <w:pPr>
              <w:jc w:val="center"/>
              <w:rPr>
                <w:rFonts w:ascii="CAIXA Std Book" w:eastAsia="Times New Roman" w:hAnsi="CAIXA Std Book" w:cs="Times New Roman"/>
                <w:b/>
                <w:bCs/>
                <w:color w:val="FFFFFF"/>
                <w:sz w:val="18"/>
                <w:szCs w:val="18"/>
              </w:rPr>
            </w:pPr>
            <w:r w:rsidRPr="00DC3E31">
              <w:rPr>
                <w:rFonts w:ascii="CAIXA Std Book" w:eastAsia="Times New Roman" w:hAnsi="CAIXA Std Book" w:cs="Times New Roman"/>
                <w:b/>
                <w:i/>
                <w:color w:val="FFFFFF"/>
                <w:sz w:val="18"/>
                <w:szCs w:val="18"/>
              </w:rPr>
              <w:t>Swap</w:t>
            </w:r>
          </w:p>
        </w:tc>
      </w:tr>
      <w:tr w:rsidR="005C02E9" w:rsidRPr="005C02E9" w14:paraId="50642390" w14:textId="77777777" w:rsidTr="008A7C09">
        <w:trPr>
          <w:trHeight w:val="283"/>
        </w:trPr>
        <w:tc>
          <w:tcPr>
            <w:tcW w:w="1600" w:type="pct"/>
            <w:tcBorders>
              <w:bottom w:val="single" w:sz="4" w:space="0" w:color="FFFFFF" w:themeColor="background1"/>
            </w:tcBorders>
            <w:shd w:val="clear" w:color="auto" w:fill="D0E0E3"/>
            <w:noWrap/>
            <w:vAlign w:val="center"/>
            <w:hideMark/>
          </w:tcPr>
          <w:p w14:paraId="4DAE78E8" w14:textId="77777777" w:rsidR="005C02E9" w:rsidRPr="005C02E9" w:rsidRDefault="005C02E9" w:rsidP="005C02E9">
            <w:pPr>
              <w:rPr>
                <w:rFonts w:ascii="CAIXA Std Book" w:eastAsia="Times New Roman" w:hAnsi="CAIXA Std Book" w:cs="Times New Roman"/>
                <w:b/>
                <w:bCs/>
                <w:i/>
                <w:iCs/>
                <w:color w:val="005CA9"/>
                <w:sz w:val="18"/>
                <w:szCs w:val="18"/>
              </w:rPr>
            </w:pPr>
            <w:r w:rsidRPr="005C02E9">
              <w:rPr>
                <w:rFonts w:ascii="CAIXA Std Book" w:eastAsia="Times New Roman" w:hAnsi="CAIXA Std Book" w:cs="Times New Roman"/>
                <w:b/>
                <w:bCs/>
                <w:i/>
                <w:iCs/>
                <w:color w:val="005CA9"/>
                <w:sz w:val="18"/>
                <w:szCs w:val="18"/>
              </w:rPr>
              <w:t>Swap</w:t>
            </w:r>
            <w:r w:rsidRPr="005C02E9">
              <w:rPr>
                <w:rFonts w:ascii="CAIXA Std Book" w:eastAsia="Times New Roman" w:hAnsi="CAIXA Std Book" w:cs="Times New Roman"/>
                <w:b/>
                <w:bCs/>
                <w:color w:val="005CA9"/>
                <w:sz w:val="18"/>
                <w:szCs w:val="18"/>
              </w:rPr>
              <w:t xml:space="preserve"> - Dólar</w:t>
            </w:r>
          </w:p>
        </w:tc>
        <w:tc>
          <w:tcPr>
            <w:tcW w:w="562" w:type="pct"/>
            <w:tcBorders>
              <w:bottom w:val="single" w:sz="4" w:space="0" w:color="FFFFFF" w:themeColor="background1"/>
            </w:tcBorders>
            <w:shd w:val="clear" w:color="auto" w:fill="D0E0E3"/>
            <w:noWrap/>
            <w:vAlign w:val="center"/>
          </w:tcPr>
          <w:p w14:paraId="396146C1" w14:textId="1D697A8F" w:rsidR="005C02E9" w:rsidRPr="005C02E9" w:rsidRDefault="00B02450" w:rsidP="00B02450">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121.082</w:t>
            </w:r>
          </w:p>
        </w:tc>
        <w:tc>
          <w:tcPr>
            <w:tcW w:w="562" w:type="pct"/>
            <w:tcBorders>
              <w:bottom w:val="single" w:sz="4" w:space="0" w:color="FFFFFF" w:themeColor="background1"/>
            </w:tcBorders>
            <w:shd w:val="clear" w:color="auto" w:fill="D0E0E3"/>
            <w:noWrap/>
            <w:vAlign w:val="center"/>
          </w:tcPr>
          <w:p w14:paraId="63E43839" w14:textId="78467819" w:rsidR="005C02E9" w:rsidRPr="005C02E9" w:rsidRDefault="00B02450" w:rsidP="00B02450">
            <w:pPr>
              <w:jc w:val="center"/>
              <w:rPr>
                <w:rFonts w:ascii="CAIXA Std Book" w:eastAsia="Times New Roman" w:hAnsi="CAIXA Std Book" w:cs="Times New Roman"/>
                <w:b/>
                <w:bCs/>
                <w:color w:val="005CA9"/>
                <w:sz w:val="18"/>
                <w:szCs w:val="18"/>
              </w:rPr>
            </w:pPr>
            <w:r w:rsidRPr="005873E6">
              <w:rPr>
                <w:rFonts w:ascii="CAIXA Std Book" w:eastAsia="Times New Roman" w:hAnsi="CAIXA Std Book" w:cs="Times New Roman"/>
                <w:b/>
                <w:bCs/>
                <w:color w:val="005CA9"/>
                <w:sz w:val="18"/>
                <w:szCs w:val="18"/>
              </w:rPr>
              <w:t>-</w:t>
            </w:r>
          </w:p>
        </w:tc>
        <w:tc>
          <w:tcPr>
            <w:tcW w:w="562" w:type="pct"/>
            <w:tcBorders>
              <w:bottom w:val="single" w:sz="4" w:space="0" w:color="FFFFFF" w:themeColor="background1"/>
            </w:tcBorders>
            <w:shd w:val="clear" w:color="auto" w:fill="D0E0E3"/>
            <w:noWrap/>
            <w:vAlign w:val="center"/>
          </w:tcPr>
          <w:p w14:paraId="454DC1F1" w14:textId="05688178" w:rsidR="005C02E9" w:rsidRPr="005C02E9" w:rsidRDefault="00B02450" w:rsidP="005C02E9">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116.739</w:t>
            </w:r>
          </w:p>
        </w:tc>
        <w:tc>
          <w:tcPr>
            <w:tcW w:w="562" w:type="pct"/>
            <w:tcBorders>
              <w:bottom w:val="single" w:sz="4" w:space="0" w:color="FFFFFF" w:themeColor="background1"/>
            </w:tcBorders>
            <w:shd w:val="clear" w:color="auto" w:fill="D0E0E3"/>
            <w:noWrap/>
            <w:vAlign w:val="center"/>
          </w:tcPr>
          <w:p w14:paraId="53160F38" w14:textId="153B99B6" w:rsidR="005C02E9" w:rsidRPr="005C02E9" w:rsidRDefault="00B02450" w:rsidP="005C02E9">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3.542.964</w:t>
            </w:r>
          </w:p>
        </w:tc>
        <w:tc>
          <w:tcPr>
            <w:tcW w:w="588" w:type="pct"/>
            <w:tcBorders>
              <w:bottom w:val="single" w:sz="4" w:space="0" w:color="FFFFFF" w:themeColor="background1"/>
            </w:tcBorders>
            <w:shd w:val="clear" w:color="auto" w:fill="D0E0E3"/>
            <w:noWrap/>
            <w:vAlign w:val="center"/>
          </w:tcPr>
          <w:p w14:paraId="1052BAED" w14:textId="2A8488AD" w:rsidR="005C02E9" w:rsidRPr="005C02E9" w:rsidRDefault="00B02450" w:rsidP="005C02E9">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3.780.785</w:t>
            </w:r>
          </w:p>
        </w:tc>
        <w:tc>
          <w:tcPr>
            <w:tcW w:w="562" w:type="pct"/>
            <w:tcBorders>
              <w:bottom w:val="single" w:sz="4" w:space="0" w:color="FFFFFF" w:themeColor="background1"/>
            </w:tcBorders>
            <w:shd w:val="clear" w:color="auto" w:fill="D0E0E3"/>
            <w:noWrap/>
            <w:vAlign w:val="center"/>
            <w:hideMark/>
          </w:tcPr>
          <w:p w14:paraId="50D9D8EF" w14:textId="77777777" w:rsidR="005C02E9" w:rsidRPr="005C02E9" w:rsidRDefault="005C02E9" w:rsidP="005C02E9">
            <w:pPr>
              <w:jc w:val="right"/>
              <w:rPr>
                <w:rFonts w:ascii="CAIXA Std Book" w:eastAsia="Times New Roman" w:hAnsi="CAIXA Std Book" w:cs="Times New Roman"/>
                <w:b/>
                <w:bCs/>
                <w:color w:val="005CA9"/>
                <w:sz w:val="18"/>
                <w:szCs w:val="18"/>
              </w:rPr>
            </w:pPr>
            <w:r w:rsidRPr="005C02E9">
              <w:rPr>
                <w:rFonts w:ascii="CAIXA Std Book" w:eastAsia="Times New Roman" w:hAnsi="CAIXA Std Book" w:cs="Times New Roman"/>
                <w:b/>
                <w:bCs/>
                <w:color w:val="005CA9"/>
                <w:sz w:val="18"/>
                <w:szCs w:val="18"/>
              </w:rPr>
              <w:t>3.780.785</w:t>
            </w:r>
          </w:p>
        </w:tc>
      </w:tr>
      <w:tr w:rsidR="005C02E9" w:rsidRPr="005C02E9" w14:paraId="1E487A91" w14:textId="77777777" w:rsidTr="008A7C09">
        <w:trPr>
          <w:trHeight w:val="283"/>
        </w:trPr>
        <w:tc>
          <w:tcPr>
            <w:tcW w:w="1600" w:type="pct"/>
            <w:tcBorders>
              <w:top w:val="single" w:sz="4" w:space="0" w:color="FFFFFF" w:themeColor="background1"/>
            </w:tcBorders>
            <w:shd w:val="clear" w:color="auto" w:fill="D0E0E3"/>
            <w:noWrap/>
            <w:vAlign w:val="center"/>
            <w:hideMark/>
          </w:tcPr>
          <w:p w14:paraId="2CB523E1" w14:textId="77777777" w:rsidR="005C02E9" w:rsidRPr="005C02E9" w:rsidRDefault="005C02E9" w:rsidP="005C02E9">
            <w:pPr>
              <w:rPr>
                <w:rFonts w:ascii="CAIXA Std Book" w:eastAsia="Times New Roman" w:hAnsi="CAIXA Std Book" w:cs="Times New Roman"/>
                <w:b/>
                <w:bCs/>
                <w:i/>
                <w:iCs/>
                <w:color w:val="005CA9"/>
                <w:sz w:val="18"/>
                <w:szCs w:val="18"/>
              </w:rPr>
            </w:pPr>
            <w:r w:rsidRPr="005C02E9">
              <w:rPr>
                <w:rFonts w:ascii="CAIXA Std Book" w:eastAsia="Times New Roman" w:hAnsi="CAIXA Std Book" w:cs="Times New Roman"/>
                <w:b/>
                <w:bCs/>
                <w:i/>
                <w:iCs/>
                <w:color w:val="005CA9"/>
                <w:sz w:val="18"/>
                <w:szCs w:val="18"/>
              </w:rPr>
              <w:t>Swap</w:t>
            </w:r>
            <w:r w:rsidRPr="005C02E9">
              <w:rPr>
                <w:rFonts w:ascii="CAIXA Std Book" w:eastAsia="Times New Roman" w:hAnsi="CAIXA Std Book" w:cs="Times New Roman"/>
                <w:b/>
                <w:bCs/>
                <w:color w:val="005CA9"/>
                <w:sz w:val="18"/>
                <w:szCs w:val="18"/>
              </w:rPr>
              <w:t xml:space="preserve"> - DI</w:t>
            </w:r>
          </w:p>
        </w:tc>
        <w:tc>
          <w:tcPr>
            <w:tcW w:w="562" w:type="pct"/>
            <w:tcBorders>
              <w:top w:val="single" w:sz="4" w:space="0" w:color="FFFFFF" w:themeColor="background1"/>
            </w:tcBorders>
            <w:shd w:val="clear" w:color="auto" w:fill="D0E0E3"/>
            <w:noWrap/>
            <w:vAlign w:val="center"/>
          </w:tcPr>
          <w:p w14:paraId="3C2E3D0A" w14:textId="397C191C" w:rsidR="005C02E9" w:rsidRPr="005C02E9" w:rsidRDefault="00B02450" w:rsidP="005C02E9">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481.089</w:t>
            </w:r>
          </w:p>
        </w:tc>
        <w:tc>
          <w:tcPr>
            <w:tcW w:w="562" w:type="pct"/>
            <w:tcBorders>
              <w:top w:val="single" w:sz="4" w:space="0" w:color="FFFFFF" w:themeColor="background1"/>
            </w:tcBorders>
            <w:shd w:val="clear" w:color="auto" w:fill="D0E0E3"/>
            <w:noWrap/>
          </w:tcPr>
          <w:p w14:paraId="54E87B5A" w14:textId="2121B033" w:rsidR="005C02E9" w:rsidRPr="005C02E9" w:rsidRDefault="00B02450" w:rsidP="005C02E9">
            <w:pPr>
              <w:jc w:val="center"/>
              <w:rPr>
                <w:rFonts w:ascii="CAIXA Std Book" w:eastAsia="Times New Roman" w:hAnsi="CAIXA Std Book" w:cs="Times New Roman"/>
                <w:b/>
                <w:bCs/>
                <w:color w:val="005CA9"/>
                <w:sz w:val="18"/>
                <w:szCs w:val="18"/>
              </w:rPr>
            </w:pPr>
            <w:r w:rsidRPr="007912C6">
              <w:rPr>
                <w:rFonts w:ascii="CAIXA Std Book" w:eastAsia="Times New Roman" w:hAnsi="CAIXA Std Book" w:cs="Times New Roman"/>
                <w:b/>
                <w:bCs/>
                <w:color w:val="005CA9"/>
                <w:sz w:val="18"/>
                <w:szCs w:val="18"/>
              </w:rPr>
              <w:t>-</w:t>
            </w:r>
          </w:p>
        </w:tc>
        <w:tc>
          <w:tcPr>
            <w:tcW w:w="562" w:type="pct"/>
            <w:tcBorders>
              <w:top w:val="single" w:sz="4" w:space="0" w:color="FFFFFF" w:themeColor="background1"/>
            </w:tcBorders>
            <w:shd w:val="clear" w:color="auto" w:fill="D0E0E3"/>
            <w:noWrap/>
          </w:tcPr>
          <w:p w14:paraId="75D119E9" w14:textId="2D424DBB" w:rsidR="005C02E9" w:rsidRPr="005C02E9" w:rsidRDefault="00B02450" w:rsidP="005C02E9">
            <w:pPr>
              <w:jc w:val="center"/>
              <w:rPr>
                <w:rFonts w:ascii="CAIXA Std Book" w:eastAsia="Times New Roman" w:hAnsi="CAIXA Std Book" w:cs="Times New Roman"/>
                <w:b/>
                <w:bCs/>
                <w:color w:val="005CA9"/>
                <w:sz w:val="18"/>
                <w:szCs w:val="18"/>
              </w:rPr>
            </w:pPr>
            <w:r w:rsidRPr="007912C6">
              <w:rPr>
                <w:rFonts w:ascii="CAIXA Std Book" w:eastAsia="Times New Roman" w:hAnsi="CAIXA Std Book" w:cs="Times New Roman"/>
                <w:b/>
                <w:bCs/>
                <w:color w:val="005CA9"/>
                <w:sz w:val="18"/>
                <w:szCs w:val="18"/>
              </w:rPr>
              <w:t>-</w:t>
            </w:r>
          </w:p>
        </w:tc>
        <w:tc>
          <w:tcPr>
            <w:tcW w:w="562" w:type="pct"/>
            <w:tcBorders>
              <w:top w:val="single" w:sz="4" w:space="0" w:color="FFFFFF" w:themeColor="background1"/>
            </w:tcBorders>
            <w:shd w:val="clear" w:color="auto" w:fill="D0E0E3"/>
            <w:noWrap/>
          </w:tcPr>
          <w:p w14:paraId="71DC0743" w14:textId="746D4A7E" w:rsidR="005C02E9" w:rsidRPr="005C02E9" w:rsidRDefault="00B02450" w:rsidP="005C02E9">
            <w:pPr>
              <w:jc w:val="center"/>
              <w:rPr>
                <w:rFonts w:ascii="CAIXA Std Book" w:eastAsia="Times New Roman" w:hAnsi="CAIXA Std Book" w:cs="Times New Roman"/>
                <w:b/>
                <w:bCs/>
                <w:color w:val="005CA9"/>
                <w:sz w:val="18"/>
                <w:szCs w:val="18"/>
              </w:rPr>
            </w:pPr>
            <w:r w:rsidRPr="007912C6">
              <w:rPr>
                <w:rFonts w:ascii="CAIXA Std Book" w:eastAsia="Times New Roman" w:hAnsi="CAIXA Std Book" w:cs="Times New Roman"/>
                <w:b/>
                <w:bCs/>
                <w:color w:val="005CA9"/>
                <w:sz w:val="18"/>
                <w:szCs w:val="18"/>
              </w:rPr>
              <w:t>-</w:t>
            </w:r>
          </w:p>
        </w:tc>
        <w:tc>
          <w:tcPr>
            <w:tcW w:w="588" w:type="pct"/>
            <w:tcBorders>
              <w:top w:val="single" w:sz="4" w:space="0" w:color="FFFFFF" w:themeColor="background1"/>
            </w:tcBorders>
            <w:shd w:val="clear" w:color="auto" w:fill="D0E0E3"/>
            <w:noWrap/>
            <w:vAlign w:val="center"/>
          </w:tcPr>
          <w:p w14:paraId="210F8CDA" w14:textId="3E8CF21D" w:rsidR="005C02E9" w:rsidRPr="005C02E9" w:rsidRDefault="00B02450" w:rsidP="005C02E9">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481.089</w:t>
            </w:r>
          </w:p>
        </w:tc>
        <w:tc>
          <w:tcPr>
            <w:tcW w:w="562" w:type="pct"/>
            <w:tcBorders>
              <w:top w:val="single" w:sz="4" w:space="0" w:color="FFFFFF" w:themeColor="background1"/>
            </w:tcBorders>
            <w:shd w:val="clear" w:color="auto" w:fill="D0E0E3"/>
            <w:noWrap/>
            <w:vAlign w:val="center"/>
            <w:hideMark/>
          </w:tcPr>
          <w:p w14:paraId="6C9B563E" w14:textId="77777777" w:rsidR="005C02E9" w:rsidRPr="005C02E9" w:rsidRDefault="005C02E9" w:rsidP="005C02E9">
            <w:pPr>
              <w:jc w:val="right"/>
              <w:rPr>
                <w:rFonts w:ascii="CAIXA Std Book" w:eastAsia="Times New Roman" w:hAnsi="CAIXA Std Book" w:cs="Times New Roman"/>
                <w:b/>
                <w:bCs/>
                <w:color w:val="005CA9"/>
                <w:sz w:val="18"/>
                <w:szCs w:val="18"/>
              </w:rPr>
            </w:pPr>
            <w:r w:rsidRPr="005C02E9">
              <w:rPr>
                <w:rFonts w:ascii="CAIXA Std Book" w:eastAsia="Times New Roman" w:hAnsi="CAIXA Std Book" w:cs="Times New Roman"/>
                <w:b/>
                <w:bCs/>
                <w:color w:val="005CA9"/>
                <w:sz w:val="18"/>
                <w:szCs w:val="18"/>
              </w:rPr>
              <w:t>204.768</w:t>
            </w:r>
          </w:p>
        </w:tc>
      </w:tr>
      <w:tr w:rsidR="005C02E9" w:rsidRPr="005C02E9" w14:paraId="6488CB51" w14:textId="77777777" w:rsidTr="00A238A8">
        <w:trPr>
          <w:trHeight w:val="283"/>
        </w:trPr>
        <w:tc>
          <w:tcPr>
            <w:tcW w:w="5000" w:type="pct"/>
            <w:gridSpan w:val="7"/>
            <w:shd w:val="clear" w:color="auto" w:fill="005CA9"/>
            <w:vAlign w:val="center"/>
            <w:hideMark/>
          </w:tcPr>
          <w:p w14:paraId="5D92D1D5" w14:textId="77777777" w:rsidR="005C02E9" w:rsidRPr="005C02E9" w:rsidRDefault="005C02E9" w:rsidP="005C02E9">
            <w:pPr>
              <w:jc w:val="center"/>
              <w:rPr>
                <w:rFonts w:ascii="CAIXA Std Book" w:eastAsia="Times New Roman" w:hAnsi="CAIXA Std Book" w:cs="Times New Roman"/>
                <w:b/>
                <w:bCs/>
                <w:color w:val="FFFFFF"/>
                <w:sz w:val="18"/>
                <w:szCs w:val="18"/>
              </w:rPr>
            </w:pPr>
            <w:r w:rsidRPr="005C02E9">
              <w:rPr>
                <w:rFonts w:ascii="CAIXA Std Book" w:eastAsia="Times New Roman" w:hAnsi="CAIXA Std Book" w:cs="Times New Roman"/>
                <w:b/>
                <w:bCs/>
                <w:color w:val="FFFFFF"/>
                <w:sz w:val="18"/>
                <w:szCs w:val="18"/>
              </w:rPr>
              <w:t>Outros</w:t>
            </w:r>
          </w:p>
        </w:tc>
      </w:tr>
      <w:tr w:rsidR="005C02E9" w:rsidRPr="005C02E9" w14:paraId="2775E89F" w14:textId="77777777" w:rsidTr="0070160A">
        <w:trPr>
          <w:trHeight w:val="80"/>
        </w:trPr>
        <w:tc>
          <w:tcPr>
            <w:tcW w:w="1600" w:type="pct"/>
            <w:tcBorders>
              <w:bottom w:val="single" w:sz="4" w:space="0" w:color="1F497D" w:themeColor="text2"/>
            </w:tcBorders>
            <w:shd w:val="clear" w:color="auto" w:fill="D0E0E3"/>
            <w:noWrap/>
            <w:vAlign w:val="center"/>
            <w:hideMark/>
          </w:tcPr>
          <w:p w14:paraId="6EECD4B0" w14:textId="77777777" w:rsidR="005C02E9" w:rsidRPr="005C02E9" w:rsidRDefault="005C02E9" w:rsidP="005C02E9">
            <w:pPr>
              <w:rPr>
                <w:rFonts w:ascii="CAIXA Std Book" w:eastAsia="Times New Roman" w:hAnsi="CAIXA Std Book" w:cs="Times New Roman"/>
                <w:b/>
                <w:bCs/>
                <w:color w:val="005CA9"/>
                <w:sz w:val="18"/>
                <w:szCs w:val="18"/>
              </w:rPr>
            </w:pPr>
            <w:r w:rsidRPr="005C02E9">
              <w:rPr>
                <w:rFonts w:ascii="CAIXA Std Book" w:eastAsia="Times New Roman" w:hAnsi="CAIXA Std Book" w:cs="Times New Roman"/>
                <w:b/>
                <w:bCs/>
                <w:color w:val="005CA9"/>
                <w:sz w:val="18"/>
                <w:szCs w:val="18"/>
              </w:rPr>
              <w:t>Derivativo FGTS</w:t>
            </w:r>
          </w:p>
        </w:tc>
        <w:tc>
          <w:tcPr>
            <w:tcW w:w="562" w:type="pct"/>
            <w:tcBorders>
              <w:bottom w:val="single" w:sz="4" w:space="0" w:color="1F497D" w:themeColor="text2"/>
            </w:tcBorders>
            <w:shd w:val="clear" w:color="auto" w:fill="D0E0E3"/>
            <w:noWrap/>
          </w:tcPr>
          <w:p w14:paraId="0EA86438" w14:textId="63D7F119" w:rsidR="005C02E9" w:rsidRPr="005C02E9" w:rsidRDefault="00500438" w:rsidP="005C02E9">
            <w:pPr>
              <w:jc w:val="center"/>
              <w:rPr>
                <w:rFonts w:ascii="CAIXA Std Book" w:eastAsia="Times New Roman" w:hAnsi="CAIXA Std Book" w:cs="Times New Roman"/>
                <w:b/>
                <w:bCs/>
                <w:color w:val="005CA9"/>
                <w:sz w:val="18"/>
                <w:szCs w:val="18"/>
              </w:rPr>
            </w:pPr>
            <w:r w:rsidRPr="007C7C1C">
              <w:rPr>
                <w:rFonts w:ascii="CAIXA Std Book" w:eastAsia="Times New Roman" w:hAnsi="CAIXA Std Book" w:cs="Times New Roman"/>
                <w:b/>
                <w:bCs/>
                <w:color w:val="005CA9"/>
                <w:sz w:val="18"/>
                <w:szCs w:val="18"/>
              </w:rPr>
              <w:t>-</w:t>
            </w:r>
          </w:p>
        </w:tc>
        <w:tc>
          <w:tcPr>
            <w:tcW w:w="562" w:type="pct"/>
            <w:tcBorders>
              <w:bottom w:val="single" w:sz="4" w:space="0" w:color="1F497D" w:themeColor="text2"/>
            </w:tcBorders>
            <w:shd w:val="clear" w:color="auto" w:fill="D0E0E3"/>
            <w:noWrap/>
          </w:tcPr>
          <w:p w14:paraId="6D196A9E" w14:textId="6E493055" w:rsidR="005C02E9" w:rsidRPr="005C02E9" w:rsidRDefault="00500438" w:rsidP="005C02E9">
            <w:pPr>
              <w:jc w:val="center"/>
              <w:rPr>
                <w:rFonts w:ascii="CAIXA Std Book" w:eastAsia="Times New Roman" w:hAnsi="CAIXA Std Book" w:cs="Times New Roman"/>
                <w:b/>
                <w:bCs/>
                <w:color w:val="005CA9"/>
                <w:sz w:val="18"/>
                <w:szCs w:val="18"/>
              </w:rPr>
            </w:pPr>
            <w:r w:rsidRPr="007C7C1C">
              <w:rPr>
                <w:rFonts w:ascii="CAIXA Std Book" w:eastAsia="Times New Roman" w:hAnsi="CAIXA Std Book" w:cs="Times New Roman"/>
                <w:b/>
                <w:bCs/>
                <w:color w:val="005CA9"/>
                <w:sz w:val="18"/>
                <w:szCs w:val="18"/>
              </w:rPr>
              <w:t>-</w:t>
            </w:r>
          </w:p>
        </w:tc>
        <w:tc>
          <w:tcPr>
            <w:tcW w:w="562" w:type="pct"/>
            <w:tcBorders>
              <w:bottom w:val="single" w:sz="4" w:space="0" w:color="1F497D" w:themeColor="text2"/>
            </w:tcBorders>
            <w:shd w:val="clear" w:color="auto" w:fill="D0E0E3"/>
            <w:noWrap/>
          </w:tcPr>
          <w:p w14:paraId="031C2B09" w14:textId="08D02E6F" w:rsidR="005C02E9" w:rsidRPr="005C02E9" w:rsidRDefault="00500438" w:rsidP="005C02E9">
            <w:pPr>
              <w:jc w:val="center"/>
              <w:rPr>
                <w:rFonts w:ascii="CAIXA Std Book" w:eastAsia="Times New Roman" w:hAnsi="CAIXA Std Book" w:cs="Times New Roman"/>
                <w:b/>
                <w:bCs/>
                <w:color w:val="005CA9"/>
                <w:sz w:val="18"/>
                <w:szCs w:val="18"/>
              </w:rPr>
            </w:pPr>
            <w:r w:rsidRPr="007C7C1C">
              <w:rPr>
                <w:rFonts w:ascii="CAIXA Std Book" w:eastAsia="Times New Roman" w:hAnsi="CAIXA Std Book" w:cs="Times New Roman"/>
                <w:b/>
                <w:bCs/>
                <w:color w:val="005CA9"/>
                <w:sz w:val="18"/>
                <w:szCs w:val="18"/>
              </w:rPr>
              <w:t>-</w:t>
            </w:r>
          </w:p>
        </w:tc>
        <w:tc>
          <w:tcPr>
            <w:tcW w:w="562" w:type="pct"/>
            <w:tcBorders>
              <w:bottom w:val="single" w:sz="4" w:space="0" w:color="1F497D" w:themeColor="text2"/>
            </w:tcBorders>
            <w:shd w:val="clear" w:color="auto" w:fill="D0E0E3"/>
            <w:noWrap/>
            <w:vAlign w:val="center"/>
          </w:tcPr>
          <w:p w14:paraId="6AABA0A7" w14:textId="24465205" w:rsidR="005C02E9" w:rsidRPr="005C02E9" w:rsidRDefault="00500438" w:rsidP="005C02E9">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3.090.992</w:t>
            </w:r>
          </w:p>
        </w:tc>
        <w:tc>
          <w:tcPr>
            <w:tcW w:w="588" w:type="pct"/>
            <w:tcBorders>
              <w:bottom w:val="single" w:sz="4" w:space="0" w:color="1F497D" w:themeColor="text2"/>
            </w:tcBorders>
            <w:shd w:val="clear" w:color="auto" w:fill="D0E0E3"/>
            <w:noWrap/>
            <w:vAlign w:val="center"/>
          </w:tcPr>
          <w:p w14:paraId="553F2333" w14:textId="03A1C2D8" w:rsidR="005C02E9" w:rsidRPr="005C02E9" w:rsidRDefault="00500438" w:rsidP="005C02E9">
            <w:pPr>
              <w:jc w:val="right"/>
              <w:rPr>
                <w:rFonts w:ascii="CAIXA Std Book" w:eastAsia="Times New Roman" w:hAnsi="CAIXA Std Book" w:cs="Times New Roman"/>
                <w:b/>
                <w:bCs/>
                <w:color w:val="005CA9"/>
                <w:sz w:val="18"/>
                <w:szCs w:val="18"/>
              </w:rPr>
            </w:pPr>
            <w:r>
              <w:rPr>
                <w:rFonts w:ascii="CAIXA Std Book" w:hAnsi="CAIXA Std Book"/>
                <w:b/>
                <w:bCs/>
                <w:color w:val="005CA9"/>
                <w:sz w:val="18"/>
                <w:szCs w:val="18"/>
              </w:rPr>
              <w:t>3.090.992</w:t>
            </w:r>
          </w:p>
        </w:tc>
        <w:tc>
          <w:tcPr>
            <w:tcW w:w="562" w:type="pct"/>
            <w:tcBorders>
              <w:bottom w:val="single" w:sz="4" w:space="0" w:color="1F497D" w:themeColor="text2"/>
            </w:tcBorders>
            <w:shd w:val="clear" w:color="auto" w:fill="D0E0E3"/>
            <w:noWrap/>
            <w:vAlign w:val="center"/>
            <w:hideMark/>
          </w:tcPr>
          <w:p w14:paraId="72364805" w14:textId="77777777" w:rsidR="005C02E9" w:rsidRPr="005C02E9" w:rsidRDefault="005C02E9" w:rsidP="005C02E9">
            <w:pPr>
              <w:jc w:val="right"/>
              <w:rPr>
                <w:rFonts w:ascii="CAIXA Std Book" w:eastAsia="Times New Roman" w:hAnsi="CAIXA Std Book" w:cs="Times New Roman"/>
                <w:b/>
                <w:bCs/>
                <w:color w:val="005CA9"/>
                <w:sz w:val="18"/>
                <w:szCs w:val="18"/>
              </w:rPr>
            </w:pPr>
            <w:r w:rsidRPr="005C02E9">
              <w:rPr>
                <w:rFonts w:ascii="CAIXA Std Book" w:eastAsia="Times New Roman" w:hAnsi="CAIXA Std Book" w:cs="Times New Roman"/>
                <w:b/>
                <w:bCs/>
                <w:color w:val="005CA9"/>
                <w:sz w:val="18"/>
                <w:szCs w:val="18"/>
              </w:rPr>
              <w:t>3.090.992</w:t>
            </w:r>
          </w:p>
        </w:tc>
      </w:tr>
    </w:tbl>
    <w:p w14:paraId="0AF04345" w14:textId="40E59A1F" w:rsidR="00606D9B" w:rsidRDefault="00395366" w:rsidP="007450EF">
      <w:pPr>
        <w:ind w:left="567" w:hanging="567"/>
        <w:rPr>
          <w:rFonts w:ascii="CAIXA Std Book" w:hAnsi="CAIXA Std Book"/>
          <w:b/>
          <w:color w:val="005CA9"/>
          <w:sz w:val="20"/>
          <w:szCs w:val="20"/>
        </w:rPr>
      </w:pPr>
      <w:r w:rsidRPr="00937577">
        <w:rPr>
          <w:rFonts w:ascii="CAIXA Std Book" w:hAnsi="CAIXA Std Book"/>
          <w:color w:val="005CA9"/>
          <w:sz w:val="16"/>
          <w:szCs w:val="16"/>
        </w:rPr>
        <w:t xml:space="preserve">(1) Contratos </w:t>
      </w:r>
      <w:r w:rsidR="006F163D" w:rsidRPr="00937577">
        <w:rPr>
          <w:rFonts w:ascii="CAIXA Std Book" w:hAnsi="CAIXA Std Book"/>
          <w:color w:val="005CA9"/>
          <w:sz w:val="16"/>
          <w:szCs w:val="16"/>
        </w:rPr>
        <w:t>de câmbio</w:t>
      </w:r>
      <w:r w:rsidRPr="00937577">
        <w:rPr>
          <w:rFonts w:ascii="CAIXA Std Book" w:hAnsi="CAIXA Std Book"/>
          <w:color w:val="005CA9"/>
          <w:sz w:val="16"/>
          <w:szCs w:val="16"/>
        </w:rPr>
        <w:t xml:space="preserve"> indexados a moedas estrangeiras convertidos pela PTAX.</w:t>
      </w:r>
      <w:r w:rsidR="00606D9B">
        <w:rPr>
          <w:rFonts w:ascii="CAIXA Std Book" w:hAnsi="CAIXA Std Book"/>
          <w:b/>
          <w:color w:val="005CA9"/>
          <w:sz w:val="20"/>
          <w:szCs w:val="20"/>
        </w:rPr>
        <w:br w:type="page"/>
      </w:r>
    </w:p>
    <w:p w14:paraId="19813BF3" w14:textId="77777777" w:rsidR="00030A4D" w:rsidRPr="006414BB" w:rsidRDefault="00E97911" w:rsidP="00211FE4">
      <w:pPr>
        <w:pStyle w:val="PargrafodaLista"/>
        <w:numPr>
          <w:ilvl w:val="0"/>
          <w:numId w:val="47"/>
        </w:numPr>
        <w:jc w:val="both"/>
        <w:rPr>
          <w:rFonts w:ascii="CAIXA Std Book" w:hAnsi="CAIXA Std Book"/>
          <w:b/>
          <w:color w:val="005CA9"/>
          <w:sz w:val="20"/>
          <w:szCs w:val="20"/>
        </w:rPr>
      </w:pPr>
      <w:r w:rsidRPr="006414BB">
        <w:rPr>
          <w:rFonts w:ascii="CAIXA Std Book" w:hAnsi="CAIXA Std Book"/>
          <w:b/>
          <w:color w:val="005CA9"/>
          <w:sz w:val="20"/>
          <w:szCs w:val="20"/>
        </w:rPr>
        <w:t>Composição da carteira de instrumentos financeiros derivativos por tipo de instrumento, contraparte e prazo de vencimento, demonstrada pelo seu valor patrimonial</w:t>
      </w:r>
      <w:r w:rsidR="00E044F5" w:rsidRPr="006414BB">
        <w:rPr>
          <w:rFonts w:ascii="CAIXA Std Book" w:hAnsi="CAIXA Std Book"/>
          <w:b/>
          <w:color w:val="005CA9"/>
          <w:sz w:val="20"/>
          <w:szCs w:val="20"/>
        </w:rPr>
        <w:t>.</w:t>
      </w:r>
    </w:p>
    <w:p w14:paraId="3306DC1B" w14:textId="77777777" w:rsidR="00E97911" w:rsidRPr="006414BB" w:rsidRDefault="00E97911" w:rsidP="00846CAA">
      <w:pPr>
        <w:jc w:val="both"/>
        <w:rPr>
          <w:rFonts w:ascii="CAIXA Std Book" w:hAnsi="CAIXA Std Book"/>
          <w:b/>
          <w:color w:val="005CA9"/>
          <w:sz w:val="20"/>
          <w:szCs w:val="20"/>
        </w:rPr>
      </w:pPr>
    </w:p>
    <w:tbl>
      <w:tblPr>
        <w:tblW w:w="5000" w:type="pct"/>
        <w:tblCellMar>
          <w:left w:w="70" w:type="dxa"/>
          <w:right w:w="70" w:type="dxa"/>
        </w:tblCellMar>
        <w:tblLook w:val="04A0" w:firstRow="1" w:lastRow="0" w:firstColumn="1" w:lastColumn="0" w:noHBand="0" w:noVBand="1"/>
      </w:tblPr>
      <w:tblGrid>
        <w:gridCol w:w="5869"/>
        <w:gridCol w:w="1760"/>
        <w:gridCol w:w="1734"/>
        <w:gridCol w:w="1734"/>
        <w:gridCol w:w="1661"/>
        <w:gridCol w:w="1813"/>
      </w:tblGrid>
      <w:tr w:rsidR="00EC2E83" w:rsidRPr="00D446C8" w14:paraId="16F1048D" w14:textId="77777777">
        <w:trPr>
          <w:trHeight w:val="283"/>
        </w:trPr>
        <w:tc>
          <w:tcPr>
            <w:tcW w:w="14571" w:type="dxa"/>
            <w:gridSpan w:val="6"/>
            <w:tcBorders>
              <w:top w:val="single" w:sz="4" w:space="0" w:color="FFFFFF" w:themeColor="background1"/>
            </w:tcBorders>
            <w:shd w:val="clear" w:color="000000" w:fill="005CA9"/>
            <w:vAlign w:val="center"/>
          </w:tcPr>
          <w:p w14:paraId="58A39752" w14:textId="1748621F" w:rsidR="00EC2E83" w:rsidRPr="00D446C8" w:rsidRDefault="00EC2E83" w:rsidP="00454A53">
            <w:pPr>
              <w:jc w:val="center"/>
              <w:rPr>
                <w:rFonts w:ascii="CAIXA Std Book" w:eastAsia="Times New Roman" w:hAnsi="CAIXA Std Book" w:cs="Times New Roman"/>
                <w:b/>
                <w:bCs/>
                <w:color w:val="FFFFFF"/>
                <w:sz w:val="18"/>
                <w:szCs w:val="18"/>
              </w:rPr>
            </w:pPr>
            <w:r w:rsidRPr="00D446C8">
              <w:rPr>
                <w:rFonts w:ascii="CAIXA Std Book" w:eastAsia="Times New Roman" w:hAnsi="CAIXA Std Book" w:cs="Times New Roman"/>
                <w:b/>
                <w:bCs/>
                <w:color w:val="FFFFFF"/>
                <w:sz w:val="18"/>
                <w:szCs w:val="18"/>
              </w:rPr>
              <w:t>Individual</w:t>
            </w:r>
          </w:p>
        </w:tc>
      </w:tr>
      <w:tr w:rsidR="00594462" w:rsidRPr="00D446C8" w14:paraId="43613904" w14:textId="77777777" w:rsidTr="00DC11A6">
        <w:trPr>
          <w:trHeight w:val="283"/>
        </w:trPr>
        <w:tc>
          <w:tcPr>
            <w:tcW w:w="5869" w:type="dxa"/>
            <w:vMerge w:val="restart"/>
            <w:tcBorders>
              <w:top w:val="single" w:sz="4" w:space="0" w:color="FFFFFF" w:themeColor="background1"/>
            </w:tcBorders>
            <w:shd w:val="clear" w:color="000000" w:fill="005CA9"/>
            <w:vAlign w:val="center"/>
            <w:hideMark/>
          </w:tcPr>
          <w:p w14:paraId="317038CD" w14:textId="430BE96C" w:rsidR="00594462" w:rsidRPr="00D446C8" w:rsidRDefault="00594462" w:rsidP="004C7FBA">
            <w:pPr>
              <w:jc w:val="center"/>
              <w:rPr>
                <w:rFonts w:ascii="CAIXA Std Book" w:eastAsia="Times New Roman" w:hAnsi="CAIXA Std Book" w:cs="Times New Roman"/>
                <w:b/>
                <w:bCs/>
                <w:color w:val="FFFFFF"/>
                <w:sz w:val="18"/>
                <w:szCs w:val="18"/>
              </w:rPr>
            </w:pPr>
            <w:r w:rsidRPr="00D446C8">
              <w:rPr>
                <w:rFonts w:ascii="CAIXA Std Book" w:eastAsia="Times New Roman" w:hAnsi="CAIXA Std Book" w:cs="Times New Roman"/>
                <w:b/>
                <w:bCs/>
                <w:color w:val="FFFFFF"/>
                <w:sz w:val="18"/>
                <w:szCs w:val="18"/>
              </w:rPr>
              <w:t>Descrição</w:t>
            </w:r>
          </w:p>
        </w:tc>
        <w:tc>
          <w:tcPr>
            <w:tcW w:w="6889" w:type="dxa"/>
            <w:gridSpan w:val="4"/>
            <w:tcBorders>
              <w:top w:val="single" w:sz="4" w:space="0" w:color="FFFFFF" w:themeColor="background1"/>
              <w:bottom w:val="single" w:sz="4" w:space="0" w:color="FFFFFF" w:themeColor="background1"/>
            </w:tcBorders>
            <w:shd w:val="clear" w:color="000000" w:fill="005CA9"/>
            <w:vAlign w:val="center"/>
          </w:tcPr>
          <w:p w14:paraId="5FF8D075" w14:textId="0DEC8C0A" w:rsidR="00594462" w:rsidRPr="00D446C8" w:rsidRDefault="00594462" w:rsidP="004C7FBA">
            <w:pPr>
              <w:jc w:val="center"/>
              <w:rPr>
                <w:rFonts w:ascii="CAIXA Std Book" w:eastAsia="Times New Roman" w:hAnsi="CAIXA Std Book" w:cs="Times New Roman"/>
                <w:b/>
                <w:bCs/>
                <w:color w:val="FFFFFF"/>
                <w:sz w:val="18"/>
                <w:szCs w:val="18"/>
              </w:rPr>
            </w:pPr>
            <w:r w:rsidRPr="00D446C8">
              <w:rPr>
                <w:rFonts w:ascii="CAIXA Std Book" w:eastAsia="Times New Roman" w:hAnsi="CAIXA Std Book" w:cs="Times New Roman"/>
                <w:b/>
                <w:bCs/>
                <w:color w:val="FFFFFF"/>
                <w:sz w:val="18"/>
                <w:szCs w:val="18"/>
              </w:rPr>
              <w:t>31/03/2026</w:t>
            </w:r>
          </w:p>
        </w:tc>
        <w:tc>
          <w:tcPr>
            <w:tcW w:w="1813" w:type="dxa"/>
            <w:tcBorders>
              <w:top w:val="single" w:sz="4" w:space="0" w:color="FFFFFF" w:themeColor="background1"/>
              <w:bottom w:val="single" w:sz="4" w:space="0" w:color="FFFFFF" w:themeColor="background1"/>
            </w:tcBorders>
            <w:shd w:val="clear" w:color="000000" w:fill="005CA9"/>
            <w:vAlign w:val="center"/>
          </w:tcPr>
          <w:p w14:paraId="7056DDD1" w14:textId="70D4B819" w:rsidR="00594462" w:rsidRPr="00D446C8" w:rsidRDefault="00594462" w:rsidP="004C7FBA">
            <w:pPr>
              <w:jc w:val="center"/>
              <w:rPr>
                <w:rFonts w:ascii="CAIXA Std Book" w:eastAsia="Times New Roman" w:hAnsi="CAIXA Std Book" w:cs="Times New Roman"/>
                <w:b/>
                <w:bCs/>
                <w:color w:val="FFFFFF"/>
                <w:sz w:val="18"/>
                <w:szCs w:val="18"/>
              </w:rPr>
            </w:pPr>
            <w:r w:rsidRPr="00D446C8">
              <w:rPr>
                <w:rFonts w:ascii="CAIXA Std Book" w:eastAsia="Times New Roman" w:hAnsi="CAIXA Std Book" w:cs="Times New Roman"/>
                <w:b/>
                <w:bCs/>
                <w:color w:val="FFFFFF"/>
                <w:sz w:val="18"/>
                <w:szCs w:val="18"/>
              </w:rPr>
              <w:t>31/12/2025</w:t>
            </w:r>
          </w:p>
        </w:tc>
      </w:tr>
      <w:tr w:rsidR="00594462" w:rsidRPr="00D446C8" w14:paraId="0FE3DEF6" w14:textId="77777777" w:rsidTr="008A7C09">
        <w:trPr>
          <w:trHeight w:val="283"/>
        </w:trPr>
        <w:tc>
          <w:tcPr>
            <w:tcW w:w="5869" w:type="dxa"/>
            <w:vMerge/>
            <w:vAlign w:val="center"/>
            <w:hideMark/>
          </w:tcPr>
          <w:p w14:paraId="03D52706" w14:textId="77777777" w:rsidR="00594462" w:rsidRPr="00D446C8" w:rsidRDefault="00594462" w:rsidP="004C7FBA">
            <w:pPr>
              <w:rPr>
                <w:rFonts w:ascii="CAIXA Std Book" w:eastAsia="Times New Roman" w:hAnsi="CAIXA Std Book" w:cs="Times New Roman"/>
                <w:b/>
                <w:bCs/>
                <w:color w:val="FFFFFF"/>
                <w:sz w:val="18"/>
                <w:szCs w:val="18"/>
              </w:rPr>
            </w:pPr>
          </w:p>
        </w:tc>
        <w:tc>
          <w:tcPr>
            <w:tcW w:w="1760" w:type="dxa"/>
            <w:tcBorders>
              <w:top w:val="single" w:sz="4" w:space="0" w:color="FFFFFF" w:themeColor="background1"/>
            </w:tcBorders>
            <w:shd w:val="clear" w:color="000000" w:fill="005CA9"/>
            <w:vAlign w:val="center"/>
            <w:hideMark/>
          </w:tcPr>
          <w:p w14:paraId="2346B91E" w14:textId="77777777" w:rsidR="00594462" w:rsidRPr="00D446C8" w:rsidRDefault="00594462" w:rsidP="004C7FBA">
            <w:pPr>
              <w:jc w:val="center"/>
              <w:rPr>
                <w:rFonts w:ascii="CAIXA Std Book" w:eastAsia="Times New Roman" w:hAnsi="CAIXA Std Book" w:cs="Times New Roman"/>
                <w:b/>
                <w:bCs/>
                <w:color w:val="FFFFFF"/>
                <w:sz w:val="18"/>
                <w:szCs w:val="18"/>
              </w:rPr>
            </w:pPr>
            <w:r w:rsidRPr="00D446C8">
              <w:rPr>
                <w:rFonts w:ascii="CAIXA Std Book" w:eastAsia="Times New Roman" w:hAnsi="CAIXA Std Book" w:cs="Times New Roman"/>
                <w:b/>
                <w:bCs/>
                <w:color w:val="FFFFFF"/>
                <w:sz w:val="18"/>
                <w:szCs w:val="18"/>
              </w:rPr>
              <w:t>01 a 90 dias</w:t>
            </w:r>
          </w:p>
        </w:tc>
        <w:tc>
          <w:tcPr>
            <w:tcW w:w="1734" w:type="dxa"/>
            <w:tcBorders>
              <w:top w:val="single" w:sz="4" w:space="0" w:color="FFFFFF" w:themeColor="background1"/>
            </w:tcBorders>
            <w:shd w:val="clear" w:color="000000" w:fill="005CA9"/>
            <w:vAlign w:val="center"/>
            <w:hideMark/>
          </w:tcPr>
          <w:p w14:paraId="7291499D" w14:textId="77777777" w:rsidR="00594462" w:rsidRPr="00D446C8" w:rsidRDefault="00594462" w:rsidP="004C7FBA">
            <w:pPr>
              <w:jc w:val="center"/>
              <w:rPr>
                <w:rFonts w:ascii="CAIXA Std Book" w:eastAsia="Times New Roman" w:hAnsi="CAIXA Std Book" w:cs="Times New Roman"/>
                <w:b/>
                <w:bCs/>
                <w:color w:val="FFFFFF"/>
                <w:sz w:val="18"/>
                <w:szCs w:val="18"/>
              </w:rPr>
            </w:pPr>
            <w:r w:rsidRPr="00D446C8">
              <w:rPr>
                <w:rFonts w:ascii="CAIXA Std Book" w:eastAsia="Times New Roman" w:hAnsi="CAIXA Std Book" w:cs="Times New Roman"/>
                <w:b/>
                <w:bCs/>
                <w:color w:val="FFFFFF"/>
                <w:sz w:val="18"/>
                <w:szCs w:val="18"/>
              </w:rPr>
              <w:t>181 a 360 dias</w:t>
            </w:r>
          </w:p>
        </w:tc>
        <w:tc>
          <w:tcPr>
            <w:tcW w:w="1734" w:type="dxa"/>
            <w:tcBorders>
              <w:top w:val="single" w:sz="4" w:space="0" w:color="FFFFFF" w:themeColor="background1"/>
            </w:tcBorders>
            <w:shd w:val="clear" w:color="000000" w:fill="005CA9"/>
            <w:vAlign w:val="center"/>
            <w:hideMark/>
          </w:tcPr>
          <w:p w14:paraId="4AC213BB" w14:textId="77777777" w:rsidR="00594462" w:rsidRPr="00D446C8" w:rsidRDefault="00594462" w:rsidP="004C7FBA">
            <w:pPr>
              <w:jc w:val="center"/>
              <w:rPr>
                <w:rFonts w:ascii="CAIXA Std Book" w:eastAsia="Times New Roman" w:hAnsi="CAIXA Std Book" w:cs="Times New Roman"/>
                <w:b/>
                <w:bCs/>
                <w:color w:val="FFFFFF"/>
                <w:sz w:val="18"/>
                <w:szCs w:val="18"/>
              </w:rPr>
            </w:pPr>
            <w:r w:rsidRPr="00D446C8">
              <w:rPr>
                <w:rFonts w:ascii="CAIXA Std Book" w:eastAsia="Times New Roman" w:hAnsi="CAIXA Std Book" w:cs="Times New Roman"/>
                <w:b/>
                <w:bCs/>
                <w:color w:val="FFFFFF"/>
                <w:sz w:val="18"/>
                <w:szCs w:val="18"/>
              </w:rPr>
              <w:t>Acima de 360 dias</w:t>
            </w:r>
          </w:p>
        </w:tc>
        <w:tc>
          <w:tcPr>
            <w:tcW w:w="1661" w:type="dxa"/>
            <w:tcBorders>
              <w:top w:val="single" w:sz="4" w:space="0" w:color="FFFFFF" w:themeColor="background1"/>
            </w:tcBorders>
            <w:shd w:val="clear" w:color="000000" w:fill="005CA9"/>
            <w:vAlign w:val="center"/>
            <w:hideMark/>
          </w:tcPr>
          <w:p w14:paraId="127BC4FA" w14:textId="77777777" w:rsidR="00594462" w:rsidRPr="00D446C8" w:rsidRDefault="00594462" w:rsidP="004C7FBA">
            <w:pPr>
              <w:jc w:val="center"/>
              <w:rPr>
                <w:rFonts w:ascii="CAIXA Std Book" w:eastAsia="Times New Roman" w:hAnsi="CAIXA Std Book" w:cs="Times New Roman"/>
                <w:b/>
                <w:bCs/>
                <w:color w:val="FFFFFF"/>
                <w:sz w:val="18"/>
                <w:szCs w:val="18"/>
              </w:rPr>
            </w:pPr>
            <w:r w:rsidRPr="00D446C8">
              <w:rPr>
                <w:rFonts w:ascii="CAIXA Std Book" w:eastAsia="Times New Roman" w:hAnsi="CAIXA Std Book" w:cs="Times New Roman"/>
                <w:b/>
                <w:bCs/>
                <w:color w:val="FFFFFF"/>
                <w:sz w:val="18"/>
                <w:szCs w:val="18"/>
              </w:rPr>
              <w:t>Valor Justo</w:t>
            </w:r>
          </w:p>
        </w:tc>
        <w:tc>
          <w:tcPr>
            <w:tcW w:w="1813" w:type="dxa"/>
            <w:tcBorders>
              <w:top w:val="single" w:sz="4" w:space="0" w:color="FFFFFF" w:themeColor="background1"/>
            </w:tcBorders>
            <w:shd w:val="clear" w:color="000000" w:fill="005CA9"/>
            <w:vAlign w:val="center"/>
            <w:hideMark/>
          </w:tcPr>
          <w:p w14:paraId="31406EB5" w14:textId="77777777" w:rsidR="00594462" w:rsidRPr="00D446C8" w:rsidRDefault="00594462" w:rsidP="004C7FBA">
            <w:pPr>
              <w:jc w:val="center"/>
              <w:rPr>
                <w:rFonts w:ascii="CAIXA Std Book" w:eastAsia="Times New Roman" w:hAnsi="CAIXA Std Book" w:cs="Times New Roman"/>
                <w:b/>
                <w:bCs/>
                <w:color w:val="FFFFFF"/>
                <w:sz w:val="18"/>
                <w:szCs w:val="18"/>
              </w:rPr>
            </w:pPr>
            <w:r w:rsidRPr="00D446C8">
              <w:rPr>
                <w:rFonts w:ascii="CAIXA Std Book" w:eastAsia="Times New Roman" w:hAnsi="CAIXA Std Book" w:cs="Times New Roman"/>
                <w:b/>
                <w:bCs/>
                <w:color w:val="FFFFFF"/>
                <w:sz w:val="18"/>
                <w:szCs w:val="18"/>
              </w:rPr>
              <w:t>Valor Justo</w:t>
            </w:r>
          </w:p>
        </w:tc>
      </w:tr>
      <w:tr w:rsidR="004C7FBA" w:rsidRPr="00D446C8" w14:paraId="5521BC1A" w14:textId="77777777" w:rsidTr="008A7C09">
        <w:trPr>
          <w:trHeight w:val="283"/>
        </w:trPr>
        <w:tc>
          <w:tcPr>
            <w:tcW w:w="5869" w:type="dxa"/>
            <w:tcBorders>
              <w:bottom w:val="single" w:sz="4" w:space="0" w:color="FFFFFF" w:themeColor="background1"/>
            </w:tcBorders>
            <w:shd w:val="clear" w:color="000000" w:fill="D0E0E3"/>
            <w:noWrap/>
            <w:vAlign w:val="center"/>
            <w:hideMark/>
          </w:tcPr>
          <w:p w14:paraId="33ED489A" w14:textId="77777777" w:rsidR="004C7FBA" w:rsidRPr="00D446C8" w:rsidRDefault="004C7FBA" w:rsidP="004C7FBA">
            <w:pP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Posição ativa</w:t>
            </w:r>
          </w:p>
        </w:tc>
        <w:tc>
          <w:tcPr>
            <w:tcW w:w="1760" w:type="dxa"/>
            <w:tcBorders>
              <w:bottom w:val="single" w:sz="4" w:space="0" w:color="FFFFFF" w:themeColor="background1"/>
            </w:tcBorders>
            <w:shd w:val="clear" w:color="000000" w:fill="D0E0E3"/>
            <w:noWrap/>
            <w:vAlign w:val="center"/>
            <w:hideMark/>
          </w:tcPr>
          <w:p w14:paraId="31070F7E" w14:textId="77777777" w:rsidR="004C7FBA" w:rsidRPr="00D446C8" w:rsidRDefault="004C7FBA" w:rsidP="004C7FB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17.935</w:t>
            </w:r>
          </w:p>
        </w:tc>
        <w:tc>
          <w:tcPr>
            <w:tcW w:w="1734" w:type="dxa"/>
            <w:tcBorders>
              <w:bottom w:val="single" w:sz="4" w:space="0" w:color="FFFFFF" w:themeColor="background1"/>
            </w:tcBorders>
            <w:shd w:val="clear" w:color="000000" w:fill="D0E0E3"/>
            <w:vAlign w:val="center"/>
            <w:hideMark/>
          </w:tcPr>
          <w:p w14:paraId="0E564DE1" w14:textId="77777777" w:rsidR="004C7FBA" w:rsidRPr="00D446C8" w:rsidRDefault="004C7FBA" w:rsidP="004C7FB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1734" w:type="dxa"/>
            <w:tcBorders>
              <w:bottom w:val="single" w:sz="4" w:space="0" w:color="FFFFFF" w:themeColor="background1"/>
            </w:tcBorders>
            <w:shd w:val="clear" w:color="000000" w:fill="D0E0E3"/>
            <w:noWrap/>
            <w:vAlign w:val="center"/>
            <w:hideMark/>
          </w:tcPr>
          <w:p w14:paraId="1FF65F92" w14:textId="77777777" w:rsidR="004C7FBA" w:rsidRPr="00D446C8" w:rsidRDefault="004C7FBA" w:rsidP="004C7FB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1661" w:type="dxa"/>
            <w:tcBorders>
              <w:bottom w:val="single" w:sz="4" w:space="0" w:color="FFFFFF" w:themeColor="background1"/>
            </w:tcBorders>
            <w:shd w:val="clear" w:color="000000" w:fill="D0E0E3"/>
            <w:noWrap/>
            <w:vAlign w:val="center"/>
            <w:hideMark/>
          </w:tcPr>
          <w:p w14:paraId="49BD2BAC" w14:textId="77777777" w:rsidR="004C7FBA" w:rsidRPr="00D446C8" w:rsidRDefault="004C7FBA" w:rsidP="004C7FB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17.935</w:t>
            </w:r>
          </w:p>
        </w:tc>
        <w:tc>
          <w:tcPr>
            <w:tcW w:w="1813" w:type="dxa"/>
            <w:tcBorders>
              <w:bottom w:val="single" w:sz="4" w:space="0" w:color="FFFFFF" w:themeColor="background1"/>
            </w:tcBorders>
            <w:shd w:val="clear" w:color="000000" w:fill="D0E0E3"/>
            <w:noWrap/>
            <w:vAlign w:val="center"/>
            <w:hideMark/>
          </w:tcPr>
          <w:p w14:paraId="794131D5" w14:textId="77777777" w:rsidR="004C7FBA" w:rsidRPr="00D446C8" w:rsidRDefault="004C7FBA" w:rsidP="004C7FBA">
            <w:pPr>
              <w:jc w:val="right"/>
              <w:rPr>
                <w:rFonts w:ascii="CAIXA Std Book" w:eastAsia="Times New Roman" w:hAnsi="CAIXA Std Book" w:cs="Times New Roman"/>
                <w:b/>
                <w:color w:val="005CA9"/>
                <w:sz w:val="18"/>
                <w:szCs w:val="18"/>
              </w:rPr>
            </w:pPr>
            <w:r w:rsidRPr="00D446C8">
              <w:rPr>
                <w:rFonts w:ascii="CAIXA Std Book" w:eastAsia="Times New Roman" w:hAnsi="CAIXA Std Book" w:cs="Times New Roman"/>
                <w:b/>
                <w:color w:val="005CA9"/>
                <w:sz w:val="18"/>
                <w:szCs w:val="18"/>
              </w:rPr>
              <w:t>46</w:t>
            </w:r>
          </w:p>
        </w:tc>
      </w:tr>
      <w:tr w:rsidR="004C7FBA" w:rsidRPr="00D446C8" w14:paraId="3BE5440C" w14:textId="77777777" w:rsidTr="008A7C09">
        <w:trPr>
          <w:trHeight w:val="283"/>
        </w:trPr>
        <w:tc>
          <w:tcPr>
            <w:tcW w:w="5869" w:type="dxa"/>
            <w:tcBorders>
              <w:top w:val="single" w:sz="4" w:space="0" w:color="FFFFFF" w:themeColor="background1"/>
            </w:tcBorders>
            <w:shd w:val="clear" w:color="000000" w:fill="D0E0E3"/>
            <w:noWrap/>
            <w:vAlign w:val="center"/>
            <w:hideMark/>
          </w:tcPr>
          <w:p w14:paraId="0A3A17E0" w14:textId="77777777" w:rsidR="004C7FBA" w:rsidRPr="00D446C8" w:rsidRDefault="004C7FBA" w:rsidP="004C7FBA">
            <w:pP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Termo</w:t>
            </w:r>
          </w:p>
        </w:tc>
        <w:tc>
          <w:tcPr>
            <w:tcW w:w="1760" w:type="dxa"/>
            <w:tcBorders>
              <w:top w:val="single" w:sz="4" w:space="0" w:color="FFFFFF" w:themeColor="background1"/>
            </w:tcBorders>
            <w:shd w:val="clear" w:color="000000" w:fill="D0E0E3"/>
            <w:noWrap/>
            <w:vAlign w:val="center"/>
            <w:hideMark/>
          </w:tcPr>
          <w:p w14:paraId="71B2AB76" w14:textId="77777777" w:rsidR="004C7FBA" w:rsidRPr="00D446C8" w:rsidRDefault="004C7FBA" w:rsidP="004C7FB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646</w:t>
            </w:r>
          </w:p>
        </w:tc>
        <w:tc>
          <w:tcPr>
            <w:tcW w:w="1734" w:type="dxa"/>
            <w:tcBorders>
              <w:top w:val="single" w:sz="4" w:space="0" w:color="FFFFFF" w:themeColor="background1"/>
            </w:tcBorders>
            <w:shd w:val="clear" w:color="000000" w:fill="D0E0E3"/>
            <w:vAlign w:val="center"/>
            <w:hideMark/>
          </w:tcPr>
          <w:p w14:paraId="45601E2A" w14:textId="77777777" w:rsidR="004C7FBA" w:rsidRPr="00D446C8" w:rsidRDefault="004C7FBA" w:rsidP="004C7FB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1734" w:type="dxa"/>
            <w:tcBorders>
              <w:top w:val="single" w:sz="4" w:space="0" w:color="FFFFFF" w:themeColor="background1"/>
            </w:tcBorders>
            <w:shd w:val="clear" w:color="000000" w:fill="D0E0E3"/>
            <w:noWrap/>
            <w:vAlign w:val="center"/>
            <w:hideMark/>
          </w:tcPr>
          <w:p w14:paraId="13721A3C" w14:textId="77777777" w:rsidR="004C7FBA" w:rsidRPr="00D446C8" w:rsidRDefault="004C7FBA" w:rsidP="004C7FB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1661" w:type="dxa"/>
            <w:tcBorders>
              <w:top w:val="single" w:sz="4" w:space="0" w:color="FFFFFF" w:themeColor="background1"/>
            </w:tcBorders>
            <w:shd w:val="clear" w:color="000000" w:fill="D0E0E3"/>
            <w:noWrap/>
            <w:vAlign w:val="center"/>
            <w:hideMark/>
          </w:tcPr>
          <w:p w14:paraId="1B6535A2" w14:textId="77777777" w:rsidR="004C7FBA" w:rsidRPr="00D446C8" w:rsidRDefault="004C7FBA" w:rsidP="004C7FB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646</w:t>
            </w:r>
          </w:p>
        </w:tc>
        <w:tc>
          <w:tcPr>
            <w:tcW w:w="1813" w:type="dxa"/>
            <w:tcBorders>
              <w:top w:val="single" w:sz="4" w:space="0" w:color="FFFFFF" w:themeColor="background1"/>
            </w:tcBorders>
            <w:shd w:val="clear" w:color="000000" w:fill="D0E0E3"/>
            <w:noWrap/>
            <w:vAlign w:val="center"/>
            <w:hideMark/>
          </w:tcPr>
          <w:p w14:paraId="14C7466B" w14:textId="77777777" w:rsidR="004C7FBA" w:rsidRPr="00D446C8" w:rsidRDefault="004C7FBA" w:rsidP="004C7FBA">
            <w:pPr>
              <w:jc w:val="right"/>
              <w:rPr>
                <w:rFonts w:ascii="CAIXA Std Book" w:eastAsia="Times New Roman" w:hAnsi="CAIXA Std Book" w:cs="Times New Roman"/>
                <w:b/>
                <w:color w:val="005CA9"/>
                <w:sz w:val="18"/>
                <w:szCs w:val="18"/>
              </w:rPr>
            </w:pPr>
            <w:r w:rsidRPr="00D446C8">
              <w:rPr>
                <w:rFonts w:ascii="CAIXA Std Book" w:eastAsia="Times New Roman" w:hAnsi="CAIXA Std Book" w:cs="Times New Roman"/>
                <w:b/>
                <w:color w:val="005CA9"/>
                <w:sz w:val="18"/>
                <w:szCs w:val="18"/>
              </w:rPr>
              <w:t>46</w:t>
            </w:r>
          </w:p>
        </w:tc>
      </w:tr>
      <w:tr w:rsidR="004C7FBA" w:rsidRPr="00D446C8" w14:paraId="0797ACD1" w14:textId="77777777" w:rsidTr="00DC11A6">
        <w:trPr>
          <w:trHeight w:val="283"/>
        </w:trPr>
        <w:tc>
          <w:tcPr>
            <w:tcW w:w="5869" w:type="dxa"/>
            <w:shd w:val="clear" w:color="000000" w:fill="FFFFFF"/>
            <w:noWrap/>
            <w:vAlign w:val="center"/>
            <w:hideMark/>
          </w:tcPr>
          <w:p w14:paraId="65705DA5" w14:textId="77777777" w:rsidR="004C7FBA" w:rsidRPr="00D446C8" w:rsidRDefault="004C7FBA" w:rsidP="004C7FBA">
            <w:pPr>
              <w:ind w:firstLineChars="100" w:firstLine="180"/>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Instituições financeiras e clientes</w:t>
            </w:r>
          </w:p>
        </w:tc>
        <w:tc>
          <w:tcPr>
            <w:tcW w:w="1760" w:type="dxa"/>
            <w:shd w:val="clear" w:color="000000" w:fill="FFFFFF"/>
            <w:noWrap/>
            <w:vAlign w:val="center"/>
            <w:hideMark/>
          </w:tcPr>
          <w:p w14:paraId="22C56241" w14:textId="77777777" w:rsidR="004C7FBA" w:rsidRPr="00D446C8" w:rsidRDefault="004C7FBA" w:rsidP="004C7FB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646</w:t>
            </w:r>
          </w:p>
        </w:tc>
        <w:tc>
          <w:tcPr>
            <w:tcW w:w="1734" w:type="dxa"/>
            <w:shd w:val="clear" w:color="000000" w:fill="FFFFFF"/>
            <w:vAlign w:val="center"/>
            <w:hideMark/>
          </w:tcPr>
          <w:p w14:paraId="6B963FEC" w14:textId="77777777" w:rsidR="004C7FBA" w:rsidRPr="00D446C8" w:rsidRDefault="004C7FBA" w:rsidP="004C7FBA">
            <w:pPr>
              <w:jc w:val="center"/>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w:t>
            </w:r>
          </w:p>
        </w:tc>
        <w:tc>
          <w:tcPr>
            <w:tcW w:w="1734" w:type="dxa"/>
            <w:shd w:val="clear" w:color="000000" w:fill="FFFFFF"/>
            <w:noWrap/>
            <w:vAlign w:val="center"/>
            <w:hideMark/>
          </w:tcPr>
          <w:p w14:paraId="7E1F2A4E" w14:textId="77777777" w:rsidR="004C7FBA" w:rsidRPr="00D446C8" w:rsidRDefault="004C7FBA" w:rsidP="004C7FBA">
            <w:pPr>
              <w:jc w:val="center"/>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w:t>
            </w:r>
          </w:p>
        </w:tc>
        <w:tc>
          <w:tcPr>
            <w:tcW w:w="1661" w:type="dxa"/>
            <w:shd w:val="clear" w:color="000000" w:fill="FFFFFF"/>
            <w:noWrap/>
            <w:vAlign w:val="center"/>
            <w:hideMark/>
          </w:tcPr>
          <w:p w14:paraId="0CA6EFFF" w14:textId="77777777" w:rsidR="004C7FBA" w:rsidRPr="00D446C8" w:rsidRDefault="004C7FBA" w:rsidP="004C7FB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646</w:t>
            </w:r>
          </w:p>
        </w:tc>
        <w:tc>
          <w:tcPr>
            <w:tcW w:w="1813" w:type="dxa"/>
            <w:shd w:val="clear" w:color="000000" w:fill="FFFFFF"/>
            <w:noWrap/>
            <w:vAlign w:val="center"/>
            <w:hideMark/>
          </w:tcPr>
          <w:p w14:paraId="7B51AE46" w14:textId="77777777" w:rsidR="004C7FBA" w:rsidRPr="00D446C8" w:rsidRDefault="004C7FBA" w:rsidP="004C7FB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46</w:t>
            </w:r>
          </w:p>
        </w:tc>
      </w:tr>
      <w:tr w:rsidR="004C7FBA" w:rsidRPr="00D446C8" w14:paraId="0A962799" w14:textId="77777777" w:rsidTr="00DC11A6">
        <w:trPr>
          <w:trHeight w:val="283"/>
        </w:trPr>
        <w:tc>
          <w:tcPr>
            <w:tcW w:w="5869" w:type="dxa"/>
            <w:shd w:val="clear" w:color="000000" w:fill="D0E0E3"/>
            <w:noWrap/>
            <w:vAlign w:val="center"/>
            <w:hideMark/>
          </w:tcPr>
          <w:p w14:paraId="60CD8B4A" w14:textId="77777777" w:rsidR="004C7FBA" w:rsidRPr="00D446C8" w:rsidRDefault="004C7FBA" w:rsidP="004C7FBA">
            <w:pP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Futuro</w:t>
            </w:r>
          </w:p>
        </w:tc>
        <w:tc>
          <w:tcPr>
            <w:tcW w:w="1760" w:type="dxa"/>
            <w:shd w:val="clear" w:color="000000" w:fill="D0E0E3"/>
            <w:noWrap/>
            <w:vAlign w:val="center"/>
            <w:hideMark/>
          </w:tcPr>
          <w:p w14:paraId="48658D05" w14:textId="77777777" w:rsidR="004C7FBA" w:rsidRPr="00D446C8" w:rsidRDefault="004C7FBA" w:rsidP="004C7FB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17.289</w:t>
            </w:r>
          </w:p>
        </w:tc>
        <w:tc>
          <w:tcPr>
            <w:tcW w:w="1734" w:type="dxa"/>
            <w:shd w:val="clear" w:color="000000" w:fill="D0E0E3"/>
            <w:noWrap/>
            <w:vAlign w:val="center"/>
            <w:hideMark/>
          </w:tcPr>
          <w:p w14:paraId="76879560" w14:textId="77777777" w:rsidR="004C7FBA" w:rsidRPr="00D446C8" w:rsidRDefault="004C7FBA" w:rsidP="004C7FB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1734" w:type="dxa"/>
            <w:shd w:val="clear" w:color="000000" w:fill="D0E0E3"/>
            <w:noWrap/>
            <w:vAlign w:val="center"/>
            <w:hideMark/>
          </w:tcPr>
          <w:p w14:paraId="4A7A717F" w14:textId="77777777" w:rsidR="004C7FBA" w:rsidRPr="00D446C8" w:rsidRDefault="004C7FBA" w:rsidP="004C7FB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1661" w:type="dxa"/>
            <w:shd w:val="clear" w:color="000000" w:fill="D0E0E3"/>
            <w:noWrap/>
            <w:vAlign w:val="center"/>
            <w:hideMark/>
          </w:tcPr>
          <w:p w14:paraId="5660E516" w14:textId="77777777" w:rsidR="004C7FBA" w:rsidRPr="00D446C8" w:rsidRDefault="004C7FBA" w:rsidP="004C7FB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17.289</w:t>
            </w:r>
          </w:p>
        </w:tc>
        <w:tc>
          <w:tcPr>
            <w:tcW w:w="1813" w:type="dxa"/>
            <w:shd w:val="clear" w:color="000000" w:fill="D0E0E3"/>
            <w:noWrap/>
            <w:vAlign w:val="center"/>
            <w:hideMark/>
          </w:tcPr>
          <w:p w14:paraId="5E414F90" w14:textId="77777777" w:rsidR="004C7FBA" w:rsidRPr="00D446C8" w:rsidRDefault="004C7FBA" w:rsidP="004C7FB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r>
      <w:tr w:rsidR="004C7FBA" w:rsidRPr="00D446C8" w14:paraId="3132B891" w14:textId="77777777" w:rsidTr="00DC11A6">
        <w:trPr>
          <w:trHeight w:val="283"/>
        </w:trPr>
        <w:tc>
          <w:tcPr>
            <w:tcW w:w="5869" w:type="dxa"/>
            <w:shd w:val="clear" w:color="000000" w:fill="FFFFFF"/>
            <w:noWrap/>
            <w:vAlign w:val="center"/>
            <w:hideMark/>
          </w:tcPr>
          <w:p w14:paraId="3D79DBB8" w14:textId="5F581E23" w:rsidR="004C7FBA" w:rsidRPr="00D446C8" w:rsidRDefault="004C7FBA" w:rsidP="004C7FBA">
            <w:pPr>
              <w:ind w:firstLineChars="100" w:firstLine="180"/>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Índices/B3</w:t>
            </w:r>
          </w:p>
        </w:tc>
        <w:tc>
          <w:tcPr>
            <w:tcW w:w="1760" w:type="dxa"/>
            <w:shd w:val="clear" w:color="000000" w:fill="FFFFFF"/>
            <w:noWrap/>
            <w:vAlign w:val="center"/>
            <w:hideMark/>
          </w:tcPr>
          <w:p w14:paraId="06EEF219" w14:textId="77777777" w:rsidR="004C7FBA" w:rsidRPr="00D446C8" w:rsidRDefault="004C7FBA" w:rsidP="004C7FB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17.289</w:t>
            </w:r>
          </w:p>
        </w:tc>
        <w:tc>
          <w:tcPr>
            <w:tcW w:w="1734" w:type="dxa"/>
            <w:shd w:val="clear" w:color="000000" w:fill="FFFFFF"/>
            <w:noWrap/>
            <w:vAlign w:val="center"/>
            <w:hideMark/>
          </w:tcPr>
          <w:p w14:paraId="46A46A45" w14:textId="77777777" w:rsidR="004C7FBA" w:rsidRPr="00D446C8" w:rsidRDefault="004C7FBA" w:rsidP="004C7FBA">
            <w:pPr>
              <w:jc w:val="center"/>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w:t>
            </w:r>
          </w:p>
        </w:tc>
        <w:tc>
          <w:tcPr>
            <w:tcW w:w="1734" w:type="dxa"/>
            <w:shd w:val="clear" w:color="000000" w:fill="FFFFFF"/>
            <w:noWrap/>
            <w:vAlign w:val="center"/>
            <w:hideMark/>
          </w:tcPr>
          <w:p w14:paraId="2C8DC411" w14:textId="77777777" w:rsidR="004C7FBA" w:rsidRPr="00D446C8" w:rsidRDefault="004C7FBA" w:rsidP="004C7FBA">
            <w:pPr>
              <w:jc w:val="center"/>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w:t>
            </w:r>
          </w:p>
        </w:tc>
        <w:tc>
          <w:tcPr>
            <w:tcW w:w="1661" w:type="dxa"/>
            <w:shd w:val="clear" w:color="000000" w:fill="FFFFFF"/>
            <w:noWrap/>
            <w:vAlign w:val="center"/>
            <w:hideMark/>
          </w:tcPr>
          <w:p w14:paraId="55A78256" w14:textId="77777777" w:rsidR="004C7FBA" w:rsidRPr="00D446C8" w:rsidRDefault="004C7FBA" w:rsidP="004C7FB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17.289</w:t>
            </w:r>
          </w:p>
        </w:tc>
        <w:tc>
          <w:tcPr>
            <w:tcW w:w="1813" w:type="dxa"/>
            <w:shd w:val="clear" w:color="000000" w:fill="FFFFFF"/>
            <w:noWrap/>
            <w:vAlign w:val="center"/>
            <w:hideMark/>
          </w:tcPr>
          <w:p w14:paraId="164005FF" w14:textId="77777777" w:rsidR="004C7FBA" w:rsidRPr="00D446C8" w:rsidRDefault="004C7FBA" w:rsidP="004C7FBA">
            <w:pPr>
              <w:jc w:val="center"/>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w:t>
            </w:r>
          </w:p>
        </w:tc>
      </w:tr>
      <w:tr w:rsidR="004C7FBA" w:rsidRPr="00D446C8" w14:paraId="7A14822F" w14:textId="77777777" w:rsidTr="00DC11A6">
        <w:trPr>
          <w:trHeight w:val="283"/>
        </w:trPr>
        <w:tc>
          <w:tcPr>
            <w:tcW w:w="5869" w:type="dxa"/>
            <w:tcBorders>
              <w:bottom w:val="single" w:sz="4" w:space="0" w:color="FFFFFF" w:themeColor="background1"/>
            </w:tcBorders>
            <w:shd w:val="clear" w:color="000000" w:fill="D0E0E3"/>
            <w:noWrap/>
            <w:vAlign w:val="center"/>
            <w:hideMark/>
          </w:tcPr>
          <w:p w14:paraId="01DF5D9C" w14:textId="77777777" w:rsidR="004C7FBA" w:rsidRPr="00D446C8" w:rsidRDefault="004C7FBA" w:rsidP="004C7FBA">
            <w:pP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Posição passiva</w:t>
            </w:r>
          </w:p>
        </w:tc>
        <w:tc>
          <w:tcPr>
            <w:tcW w:w="1760" w:type="dxa"/>
            <w:tcBorders>
              <w:bottom w:val="single" w:sz="4" w:space="0" w:color="FFFFFF" w:themeColor="background1"/>
            </w:tcBorders>
            <w:shd w:val="clear" w:color="000000" w:fill="D0E0E3"/>
            <w:noWrap/>
            <w:vAlign w:val="center"/>
            <w:hideMark/>
          </w:tcPr>
          <w:p w14:paraId="7116CF5C" w14:textId="77777777" w:rsidR="004C7FBA" w:rsidRPr="00D446C8" w:rsidRDefault="004C7FBA" w:rsidP="004C7FB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634.485</w:t>
            </w:r>
          </w:p>
        </w:tc>
        <w:tc>
          <w:tcPr>
            <w:tcW w:w="1734" w:type="dxa"/>
            <w:tcBorders>
              <w:bottom w:val="single" w:sz="4" w:space="0" w:color="FFFFFF" w:themeColor="background1"/>
            </w:tcBorders>
            <w:shd w:val="clear" w:color="000000" w:fill="D0E0E3"/>
            <w:vAlign w:val="center"/>
            <w:hideMark/>
          </w:tcPr>
          <w:p w14:paraId="7CCB38E7" w14:textId="77777777" w:rsidR="004C7FBA" w:rsidRPr="00D446C8" w:rsidRDefault="004C7FBA" w:rsidP="004C7FB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19.594</w:t>
            </w:r>
          </w:p>
        </w:tc>
        <w:tc>
          <w:tcPr>
            <w:tcW w:w="1734" w:type="dxa"/>
            <w:tcBorders>
              <w:bottom w:val="single" w:sz="4" w:space="0" w:color="FFFFFF" w:themeColor="background1"/>
            </w:tcBorders>
            <w:shd w:val="clear" w:color="000000" w:fill="D0E0E3"/>
            <w:noWrap/>
            <w:vAlign w:val="center"/>
            <w:hideMark/>
          </w:tcPr>
          <w:p w14:paraId="1B52F034" w14:textId="77777777" w:rsidR="004C7FBA" w:rsidRPr="00D446C8" w:rsidRDefault="004C7FBA" w:rsidP="004C7FB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698.453</w:t>
            </w:r>
          </w:p>
        </w:tc>
        <w:tc>
          <w:tcPr>
            <w:tcW w:w="1661" w:type="dxa"/>
            <w:tcBorders>
              <w:bottom w:val="single" w:sz="4" w:space="0" w:color="FFFFFF" w:themeColor="background1"/>
            </w:tcBorders>
            <w:shd w:val="clear" w:color="000000" w:fill="D0E0E3"/>
            <w:noWrap/>
            <w:vAlign w:val="center"/>
            <w:hideMark/>
          </w:tcPr>
          <w:p w14:paraId="57D5BF26" w14:textId="77777777" w:rsidR="004C7FBA" w:rsidRPr="00D446C8" w:rsidRDefault="004C7FBA" w:rsidP="004C7FB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1.352.532</w:t>
            </w:r>
          </w:p>
        </w:tc>
        <w:tc>
          <w:tcPr>
            <w:tcW w:w="1813" w:type="dxa"/>
            <w:tcBorders>
              <w:bottom w:val="single" w:sz="4" w:space="0" w:color="FFFFFF" w:themeColor="background1"/>
            </w:tcBorders>
            <w:shd w:val="clear" w:color="000000" w:fill="D0E0E3"/>
            <w:noWrap/>
            <w:vAlign w:val="center"/>
            <w:hideMark/>
          </w:tcPr>
          <w:p w14:paraId="3E1300DA" w14:textId="77777777" w:rsidR="004C7FBA" w:rsidRPr="00D446C8" w:rsidRDefault="004C7FBA" w:rsidP="004C7FB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372.346</w:t>
            </w:r>
          </w:p>
        </w:tc>
      </w:tr>
      <w:tr w:rsidR="004C7FBA" w:rsidRPr="00D446C8" w14:paraId="06EF2DAD" w14:textId="77777777" w:rsidTr="00DC11A6">
        <w:trPr>
          <w:trHeight w:val="283"/>
        </w:trPr>
        <w:tc>
          <w:tcPr>
            <w:tcW w:w="5869" w:type="dxa"/>
            <w:tcBorders>
              <w:top w:val="single" w:sz="4" w:space="0" w:color="FFFFFF" w:themeColor="background1"/>
            </w:tcBorders>
            <w:shd w:val="clear" w:color="000000" w:fill="D0E0E3"/>
            <w:noWrap/>
            <w:vAlign w:val="center"/>
            <w:hideMark/>
          </w:tcPr>
          <w:p w14:paraId="7FD340DA" w14:textId="77777777" w:rsidR="004C7FBA" w:rsidRPr="00D446C8" w:rsidRDefault="004C7FBA" w:rsidP="004C7FBA">
            <w:pP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i/>
                <w:iCs/>
                <w:color w:val="005CA9"/>
                <w:sz w:val="18"/>
                <w:szCs w:val="18"/>
              </w:rPr>
              <w:t>Swap</w:t>
            </w:r>
          </w:p>
        </w:tc>
        <w:tc>
          <w:tcPr>
            <w:tcW w:w="1760" w:type="dxa"/>
            <w:tcBorders>
              <w:top w:val="single" w:sz="4" w:space="0" w:color="FFFFFF" w:themeColor="background1"/>
            </w:tcBorders>
            <w:shd w:val="clear" w:color="000000" w:fill="D0E0E3"/>
            <w:noWrap/>
            <w:vAlign w:val="center"/>
            <w:hideMark/>
          </w:tcPr>
          <w:p w14:paraId="666BEE18" w14:textId="77777777" w:rsidR="004C7FBA" w:rsidRPr="00D446C8" w:rsidRDefault="004C7FBA" w:rsidP="004C7FB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20.242</w:t>
            </w:r>
          </w:p>
        </w:tc>
        <w:tc>
          <w:tcPr>
            <w:tcW w:w="1734" w:type="dxa"/>
            <w:tcBorders>
              <w:top w:val="single" w:sz="4" w:space="0" w:color="FFFFFF" w:themeColor="background1"/>
            </w:tcBorders>
            <w:shd w:val="clear" w:color="000000" w:fill="D0E0E3"/>
            <w:vAlign w:val="center"/>
            <w:hideMark/>
          </w:tcPr>
          <w:p w14:paraId="0E5E71E6" w14:textId="77777777" w:rsidR="004C7FBA" w:rsidRPr="00D446C8" w:rsidRDefault="004C7FBA" w:rsidP="004C7FB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19.594</w:t>
            </w:r>
          </w:p>
        </w:tc>
        <w:tc>
          <w:tcPr>
            <w:tcW w:w="1734" w:type="dxa"/>
            <w:tcBorders>
              <w:top w:val="single" w:sz="4" w:space="0" w:color="FFFFFF" w:themeColor="background1"/>
            </w:tcBorders>
            <w:shd w:val="clear" w:color="000000" w:fill="D0E0E3"/>
            <w:noWrap/>
            <w:vAlign w:val="center"/>
            <w:hideMark/>
          </w:tcPr>
          <w:p w14:paraId="584435C8" w14:textId="77777777" w:rsidR="004C7FBA" w:rsidRPr="00D446C8" w:rsidRDefault="004C7FBA" w:rsidP="004C7FB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698.453</w:t>
            </w:r>
          </w:p>
        </w:tc>
        <w:tc>
          <w:tcPr>
            <w:tcW w:w="1661" w:type="dxa"/>
            <w:tcBorders>
              <w:top w:val="single" w:sz="4" w:space="0" w:color="FFFFFF" w:themeColor="background1"/>
            </w:tcBorders>
            <w:shd w:val="clear" w:color="000000" w:fill="D0E0E3"/>
            <w:noWrap/>
            <w:vAlign w:val="center"/>
            <w:hideMark/>
          </w:tcPr>
          <w:p w14:paraId="4BD02075" w14:textId="77777777" w:rsidR="004C7FBA" w:rsidRPr="00D446C8" w:rsidRDefault="004C7FBA" w:rsidP="004C7FB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738.289</w:t>
            </w:r>
          </w:p>
        </w:tc>
        <w:tc>
          <w:tcPr>
            <w:tcW w:w="1813" w:type="dxa"/>
            <w:tcBorders>
              <w:top w:val="single" w:sz="4" w:space="0" w:color="FFFFFF" w:themeColor="background1"/>
            </w:tcBorders>
            <w:shd w:val="clear" w:color="000000" w:fill="D0E0E3"/>
            <w:noWrap/>
            <w:vAlign w:val="center"/>
            <w:hideMark/>
          </w:tcPr>
          <w:p w14:paraId="0A7A0A70" w14:textId="77777777" w:rsidR="004C7FBA" w:rsidRPr="00D446C8" w:rsidRDefault="004C7FBA" w:rsidP="004C7FB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372.342</w:t>
            </w:r>
          </w:p>
        </w:tc>
      </w:tr>
      <w:tr w:rsidR="004C7FBA" w:rsidRPr="00D446C8" w14:paraId="5197FCFD" w14:textId="77777777" w:rsidTr="00DC11A6">
        <w:trPr>
          <w:trHeight w:val="283"/>
        </w:trPr>
        <w:tc>
          <w:tcPr>
            <w:tcW w:w="5869" w:type="dxa"/>
            <w:shd w:val="clear" w:color="000000" w:fill="FFFFFF"/>
            <w:noWrap/>
            <w:vAlign w:val="center"/>
            <w:hideMark/>
          </w:tcPr>
          <w:p w14:paraId="20B80829" w14:textId="77777777" w:rsidR="004C7FBA" w:rsidRPr="00D446C8" w:rsidRDefault="004C7FBA" w:rsidP="004C7FBA">
            <w:pPr>
              <w:ind w:firstLineChars="100" w:firstLine="180"/>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Índices/B3</w:t>
            </w:r>
          </w:p>
        </w:tc>
        <w:tc>
          <w:tcPr>
            <w:tcW w:w="1760" w:type="dxa"/>
            <w:shd w:val="clear" w:color="000000" w:fill="FFFFFF"/>
            <w:noWrap/>
            <w:vAlign w:val="center"/>
            <w:hideMark/>
          </w:tcPr>
          <w:p w14:paraId="4F1DDD38" w14:textId="77777777" w:rsidR="004C7FBA" w:rsidRPr="00D446C8" w:rsidRDefault="004C7FBA" w:rsidP="004C7FB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20.242</w:t>
            </w:r>
          </w:p>
        </w:tc>
        <w:tc>
          <w:tcPr>
            <w:tcW w:w="1734" w:type="dxa"/>
            <w:shd w:val="clear" w:color="000000" w:fill="FFFFFF"/>
            <w:vAlign w:val="center"/>
            <w:hideMark/>
          </w:tcPr>
          <w:p w14:paraId="24FCFA5F" w14:textId="3CF9A2D7" w:rsidR="004C7FBA" w:rsidRPr="00D446C8" w:rsidRDefault="004C7FBA" w:rsidP="004C7FB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19.594</w:t>
            </w:r>
          </w:p>
        </w:tc>
        <w:tc>
          <w:tcPr>
            <w:tcW w:w="1734" w:type="dxa"/>
            <w:shd w:val="clear" w:color="000000" w:fill="FFFFFF"/>
            <w:noWrap/>
            <w:vAlign w:val="center"/>
            <w:hideMark/>
          </w:tcPr>
          <w:p w14:paraId="181DD386" w14:textId="77777777" w:rsidR="004C7FBA" w:rsidRPr="00D446C8" w:rsidRDefault="004C7FBA" w:rsidP="004C7FB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698.453</w:t>
            </w:r>
          </w:p>
        </w:tc>
        <w:tc>
          <w:tcPr>
            <w:tcW w:w="1661" w:type="dxa"/>
            <w:shd w:val="clear" w:color="000000" w:fill="FFFFFF"/>
            <w:noWrap/>
            <w:vAlign w:val="center"/>
            <w:hideMark/>
          </w:tcPr>
          <w:p w14:paraId="4B487A52" w14:textId="77777777" w:rsidR="004C7FBA" w:rsidRPr="00D446C8" w:rsidRDefault="004C7FBA" w:rsidP="004C7FB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738.289</w:t>
            </w:r>
          </w:p>
        </w:tc>
        <w:tc>
          <w:tcPr>
            <w:tcW w:w="1813" w:type="dxa"/>
            <w:shd w:val="clear" w:color="000000" w:fill="FFFFFF"/>
            <w:noWrap/>
            <w:vAlign w:val="center"/>
            <w:hideMark/>
          </w:tcPr>
          <w:p w14:paraId="36896FEF" w14:textId="77777777" w:rsidR="004C7FBA" w:rsidRPr="00D446C8" w:rsidRDefault="004C7FBA" w:rsidP="004C7FB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372.342</w:t>
            </w:r>
          </w:p>
        </w:tc>
      </w:tr>
      <w:tr w:rsidR="004C7FBA" w:rsidRPr="00D446C8" w14:paraId="677EA828" w14:textId="77777777" w:rsidTr="00DC11A6">
        <w:trPr>
          <w:trHeight w:val="283"/>
        </w:trPr>
        <w:tc>
          <w:tcPr>
            <w:tcW w:w="5869" w:type="dxa"/>
            <w:shd w:val="clear" w:color="000000" w:fill="D0E0E3"/>
            <w:noWrap/>
            <w:vAlign w:val="center"/>
          </w:tcPr>
          <w:p w14:paraId="4ED15598" w14:textId="5B7C0E64" w:rsidR="004C7FBA" w:rsidRPr="00D446C8" w:rsidRDefault="004C7FBA" w:rsidP="004C7FBA">
            <w:pP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Termo</w:t>
            </w:r>
          </w:p>
        </w:tc>
        <w:tc>
          <w:tcPr>
            <w:tcW w:w="1760" w:type="dxa"/>
            <w:shd w:val="clear" w:color="000000" w:fill="D0E0E3"/>
            <w:noWrap/>
            <w:vAlign w:val="center"/>
          </w:tcPr>
          <w:p w14:paraId="4FCD8055" w14:textId="4140E772" w:rsidR="004C7FBA" w:rsidRPr="00D446C8" w:rsidRDefault="004C7FBA" w:rsidP="004C7FB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233</w:t>
            </w:r>
          </w:p>
        </w:tc>
        <w:tc>
          <w:tcPr>
            <w:tcW w:w="1734" w:type="dxa"/>
            <w:shd w:val="clear" w:color="000000" w:fill="D0E0E3"/>
            <w:vAlign w:val="center"/>
          </w:tcPr>
          <w:p w14:paraId="23123A2B" w14:textId="67EAAA86" w:rsidR="004C7FBA" w:rsidRPr="00D446C8" w:rsidRDefault="004C7FBA" w:rsidP="004C7FB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1734" w:type="dxa"/>
            <w:shd w:val="clear" w:color="000000" w:fill="D0E0E3"/>
            <w:noWrap/>
            <w:vAlign w:val="center"/>
          </w:tcPr>
          <w:p w14:paraId="0D4E493C" w14:textId="309CB3D1" w:rsidR="004C7FBA" w:rsidRPr="00D446C8" w:rsidRDefault="004C7FBA" w:rsidP="004C7FB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1661" w:type="dxa"/>
            <w:shd w:val="clear" w:color="000000" w:fill="D0E0E3"/>
            <w:noWrap/>
            <w:vAlign w:val="center"/>
          </w:tcPr>
          <w:p w14:paraId="0F5C2C76" w14:textId="06AB2A4D" w:rsidR="004C7FBA" w:rsidRPr="00D446C8" w:rsidRDefault="004C7FBA" w:rsidP="004C7FB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233</w:t>
            </w:r>
          </w:p>
        </w:tc>
        <w:tc>
          <w:tcPr>
            <w:tcW w:w="1813" w:type="dxa"/>
            <w:shd w:val="clear" w:color="000000" w:fill="D0E0E3"/>
            <w:noWrap/>
            <w:vAlign w:val="center"/>
          </w:tcPr>
          <w:p w14:paraId="5E225E0B" w14:textId="6F82897C" w:rsidR="004C7FBA" w:rsidRPr="00D446C8" w:rsidRDefault="004C7FBA" w:rsidP="004C7FB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4</w:t>
            </w:r>
          </w:p>
        </w:tc>
      </w:tr>
      <w:tr w:rsidR="004C7FBA" w:rsidRPr="00D446C8" w14:paraId="7E88DD0F" w14:textId="77777777" w:rsidTr="00DC11A6">
        <w:trPr>
          <w:trHeight w:val="283"/>
        </w:trPr>
        <w:tc>
          <w:tcPr>
            <w:tcW w:w="5869" w:type="dxa"/>
            <w:noWrap/>
            <w:vAlign w:val="center"/>
          </w:tcPr>
          <w:p w14:paraId="6EA9FE3B" w14:textId="460C8180" w:rsidR="004C7FBA" w:rsidRPr="00D446C8" w:rsidRDefault="004C7FBA" w:rsidP="004C7FBA">
            <w:pP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color w:val="005CA9"/>
                <w:sz w:val="18"/>
                <w:szCs w:val="18"/>
              </w:rPr>
              <w:t>Instituições financeiras e clientes</w:t>
            </w:r>
          </w:p>
        </w:tc>
        <w:tc>
          <w:tcPr>
            <w:tcW w:w="1760" w:type="dxa"/>
            <w:noWrap/>
            <w:vAlign w:val="center"/>
          </w:tcPr>
          <w:p w14:paraId="0A8AFE8B" w14:textId="68D0E291" w:rsidR="004C7FBA" w:rsidRPr="00D446C8" w:rsidRDefault="004C7FBA" w:rsidP="004C7FB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color w:val="005CA9"/>
                <w:sz w:val="18"/>
                <w:szCs w:val="18"/>
              </w:rPr>
              <w:t>233</w:t>
            </w:r>
          </w:p>
        </w:tc>
        <w:tc>
          <w:tcPr>
            <w:tcW w:w="1734" w:type="dxa"/>
            <w:vAlign w:val="center"/>
          </w:tcPr>
          <w:p w14:paraId="5967803A" w14:textId="39E58B3B" w:rsidR="004C7FBA" w:rsidRPr="00D446C8" w:rsidRDefault="004C7FBA" w:rsidP="004C7FB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color w:val="005CA9"/>
                <w:sz w:val="18"/>
                <w:szCs w:val="18"/>
              </w:rPr>
              <w:t>-</w:t>
            </w:r>
          </w:p>
        </w:tc>
        <w:tc>
          <w:tcPr>
            <w:tcW w:w="1734" w:type="dxa"/>
            <w:noWrap/>
            <w:vAlign w:val="center"/>
          </w:tcPr>
          <w:p w14:paraId="72AF23A2" w14:textId="361B16CC" w:rsidR="004C7FBA" w:rsidRPr="00D446C8" w:rsidRDefault="004C7FBA" w:rsidP="004C7FB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color w:val="005CA9"/>
                <w:sz w:val="18"/>
                <w:szCs w:val="18"/>
              </w:rPr>
              <w:t>-</w:t>
            </w:r>
          </w:p>
        </w:tc>
        <w:tc>
          <w:tcPr>
            <w:tcW w:w="1661" w:type="dxa"/>
            <w:noWrap/>
            <w:vAlign w:val="center"/>
          </w:tcPr>
          <w:p w14:paraId="43F6F3A4" w14:textId="48466B12" w:rsidR="004C7FBA" w:rsidRPr="00D446C8" w:rsidRDefault="004C7FBA" w:rsidP="004C7FB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color w:val="005CA9"/>
                <w:sz w:val="18"/>
                <w:szCs w:val="18"/>
              </w:rPr>
              <w:t>233</w:t>
            </w:r>
          </w:p>
        </w:tc>
        <w:tc>
          <w:tcPr>
            <w:tcW w:w="1813" w:type="dxa"/>
            <w:noWrap/>
            <w:vAlign w:val="center"/>
          </w:tcPr>
          <w:p w14:paraId="73EDA2BB" w14:textId="50867F02" w:rsidR="004C7FBA" w:rsidRPr="00D446C8" w:rsidRDefault="004C7FBA" w:rsidP="004C7FB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color w:val="005CA9"/>
                <w:sz w:val="18"/>
                <w:szCs w:val="18"/>
              </w:rPr>
              <w:t>4</w:t>
            </w:r>
          </w:p>
        </w:tc>
      </w:tr>
      <w:tr w:rsidR="004C7FBA" w:rsidRPr="00D446C8" w14:paraId="65C24C66" w14:textId="77777777" w:rsidTr="00D446C8">
        <w:trPr>
          <w:trHeight w:val="283"/>
        </w:trPr>
        <w:tc>
          <w:tcPr>
            <w:tcW w:w="5869" w:type="dxa"/>
            <w:shd w:val="clear" w:color="000000" w:fill="D0E0E3"/>
            <w:noWrap/>
            <w:vAlign w:val="center"/>
            <w:hideMark/>
          </w:tcPr>
          <w:p w14:paraId="64E0C9C0" w14:textId="77777777" w:rsidR="004C7FBA" w:rsidRPr="00D446C8" w:rsidRDefault="004C7FBA" w:rsidP="004C7FBA">
            <w:pP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Futuro</w:t>
            </w:r>
          </w:p>
        </w:tc>
        <w:tc>
          <w:tcPr>
            <w:tcW w:w="1760" w:type="dxa"/>
            <w:shd w:val="clear" w:color="000000" w:fill="D0E0E3"/>
            <w:noWrap/>
            <w:vAlign w:val="center"/>
            <w:hideMark/>
          </w:tcPr>
          <w:p w14:paraId="1EA8C449" w14:textId="77777777" w:rsidR="004C7FBA" w:rsidRPr="00D446C8" w:rsidRDefault="004C7FBA" w:rsidP="004C7FB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614.010</w:t>
            </w:r>
          </w:p>
        </w:tc>
        <w:tc>
          <w:tcPr>
            <w:tcW w:w="1734" w:type="dxa"/>
            <w:shd w:val="clear" w:color="000000" w:fill="D0E0E3"/>
            <w:vAlign w:val="center"/>
            <w:hideMark/>
          </w:tcPr>
          <w:p w14:paraId="5FC33A2E" w14:textId="77777777" w:rsidR="004C7FBA" w:rsidRPr="00D446C8" w:rsidRDefault="004C7FBA" w:rsidP="004C7FB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1734" w:type="dxa"/>
            <w:shd w:val="clear" w:color="000000" w:fill="D0E0E3"/>
            <w:noWrap/>
            <w:vAlign w:val="center"/>
            <w:hideMark/>
          </w:tcPr>
          <w:p w14:paraId="5F9BF051" w14:textId="77777777" w:rsidR="004C7FBA" w:rsidRPr="00D446C8" w:rsidRDefault="004C7FBA" w:rsidP="004C7FB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1661" w:type="dxa"/>
            <w:shd w:val="clear" w:color="000000" w:fill="D0E0E3"/>
            <w:noWrap/>
            <w:vAlign w:val="center"/>
            <w:hideMark/>
          </w:tcPr>
          <w:p w14:paraId="7C5F4C0F" w14:textId="77777777" w:rsidR="004C7FBA" w:rsidRPr="00D446C8" w:rsidRDefault="004C7FBA" w:rsidP="004C7FB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614.010</w:t>
            </w:r>
          </w:p>
        </w:tc>
        <w:tc>
          <w:tcPr>
            <w:tcW w:w="1813" w:type="dxa"/>
            <w:shd w:val="clear" w:color="000000" w:fill="D0E0E3"/>
            <w:noWrap/>
            <w:vAlign w:val="center"/>
            <w:hideMark/>
          </w:tcPr>
          <w:p w14:paraId="6EF5C638" w14:textId="77777777" w:rsidR="004C7FBA" w:rsidRPr="00D446C8" w:rsidRDefault="004C7FBA" w:rsidP="004C7FB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r>
      <w:tr w:rsidR="004C7FBA" w:rsidRPr="00D446C8" w14:paraId="59BBAC7A" w14:textId="77777777" w:rsidTr="00D446C8">
        <w:trPr>
          <w:trHeight w:val="283"/>
        </w:trPr>
        <w:tc>
          <w:tcPr>
            <w:tcW w:w="5869" w:type="dxa"/>
            <w:tcBorders>
              <w:bottom w:val="single" w:sz="4" w:space="0" w:color="1F497D" w:themeColor="text2"/>
            </w:tcBorders>
            <w:shd w:val="clear" w:color="000000" w:fill="FFFFFF"/>
            <w:noWrap/>
            <w:vAlign w:val="center"/>
          </w:tcPr>
          <w:p w14:paraId="6BDD2915" w14:textId="220CC7C2" w:rsidR="004C7FBA" w:rsidRPr="00D446C8" w:rsidRDefault="004C7FBA" w:rsidP="004C7FBA">
            <w:pPr>
              <w:ind w:firstLineChars="100" w:firstLine="180"/>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Índices/B3</w:t>
            </w:r>
          </w:p>
        </w:tc>
        <w:tc>
          <w:tcPr>
            <w:tcW w:w="1760" w:type="dxa"/>
            <w:tcBorders>
              <w:bottom w:val="single" w:sz="4" w:space="0" w:color="1F497D" w:themeColor="text2"/>
            </w:tcBorders>
            <w:shd w:val="clear" w:color="000000" w:fill="FFFFFF"/>
            <w:noWrap/>
            <w:vAlign w:val="center"/>
          </w:tcPr>
          <w:p w14:paraId="1E7DED03" w14:textId="36F4D74C" w:rsidR="004C7FBA" w:rsidRPr="00D446C8" w:rsidRDefault="004C7FBA" w:rsidP="004C7FBA">
            <w:pPr>
              <w:ind w:firstLineChars="400" w:firstLine="720"/>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614.010</w:t>
            </w:r>
          </w:p>
        </w:tc>
        <w:tc>
          <w:tcPr>
            <w:tcW w:w="1734" w:type="dxa"/>
            <w:tcBorders>
              <w:bottom w:val="single" w:sz="4" w:space="0" w:color="1F497D" w:themeColor="text2"/>
            </w:tcBorders>
            <w:shd w:val="clear" w:color="000000" w:fill="FFFFFF"/>
            <w:noWrap/>
            <w:vAlign w:val="center"/>
          </w:tcPr>
          <w:p w14:paraId="213F8E80" w14:textId="24B08B2D" w:rsidR="004C7FBA" w:rsidRPr="00D446C8" w:rsidRDefault="004C7FBA" w:rsidP="004C7FBA">
            <w:pPr>
              <w:jc w:val="center"/>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w:t>
            </w:r>
          </w:p>
        </w:tc>
        <w:tc>
          <w:tcPr>
            <w:tcW w:w="1734" w:type="dxa"/>
            <w:tcBorders>
              <w:bottom w:val="single" w:sz="4" w:space="0" w:color="1F497D" w:themeColor="text2"/>
            </w:tcBorders>
            <w:shd w:val="clear" w:color="000000" w:fill="FFFFFF"/>
            <w:noWrap/>
            <w:vAlign w:val="center"/>
          </w:tcPr>
          <w:p w14:paraId="1E4A92F4" w14:textId="23D80DF9" w:rsidR="004C7FBA" w:rsidRPr="00D446C8" w:rsidRDefault="004C7FBA" w:rsidP="004C7FBA">
            <w:pPr>
              <w:jc w:val="center"/>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w:t>
            </w:r>
          </w:p>
        </w:tc>
        <w:tc>
          <w:tcPr>
            <w:tcW w:w="1661" w:type="dxa"/>
            <w:tcBorders>
              <w:bottom w:val="single" w:sz="4" w:space="0" w:color="1F497D" w:themeColor="text2"/>
            </w:tcBorders>
            <w:shd w:val="clear" w:color="000000" w:fill="FFFFFF"/>
            <w:noWrap/>
            <w:vAlign w:val="center"/>
          </w:tcPr>
          <w:p w14:paraId="2DF454F0" w14:textId="329CCE04" w:rsidR="004C7FBA" w:rsidRPr="00D446C8" w:rsidRDefault="004C7FBA" w:rsidP="004C7FB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614.010</w:t>
            </w:r>
          </w:p>
        </w:tc>
        <w:tc>
          <w:tcPr>
            <w:tcW w:w="1813" w:type="dxa"/>
            <w:tcBorders>
              <w:bottom w:val="single" w:sz="4" w:space="0" w:color="1F497D" w:themeColor="text2"/>
            </w:tcBorders>
            <w:shd w:val="clear" w:color="000000" w:fill="FFFFFF"/>
            <w:noWrap/>
            <w:vAlign w:val="center"/>
          </w:tcPr>
          <w:p w14:paraId="116B3ACE" w14:textId="44985103" w:rsidR="004C7FBA" w:rsidRPr="00D446C8" w:rsidRDefault="004C7FBA" w:rsidP="004C7FBA">
            <w:pPr>
              <w:jc w:val="center"/>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w:t>
            </w:r>
          </w:p>
        </w:tc>
      </w:tr>
    </w:tbl>
    <w:p w14:paraId="3D42FCA4" w14:textId="6EB06B6D" w:rsidR="00846CAA" w:rsidRDefault="00846CAA">
      <w:pPr>
        <w:rPr>
          <w:rFonts w:ascii="CAIXA Std Book" w:hAnsi="CAIXA Std Book"/>
          <w:b/>
          <w:color w:val="005CA9"/>
          <w:sz w:val="20"/>
          <w:szCs w:val="20"/>
        </w:rPr>
      </w:pPr>
      <w:r>
        <w:rPr>
          <w:rFonts w:ascii="CAIXA Std Book" w:hAnsi="CAIXA Std Book"/>
          <w:b/>
          <w:color w:val="005CA9"/>
          <w:sz w:val="20"/>
          <w:szCs w:val="20"/>
        </w:rPr>
        <w:br w:type="page"/>
      </w:r>
    </w:p>
    <w:tbl>
      <w:tblPr>
        <w:tblW w:w="5000" w:type="pct"/>
        <w:tblCellMar>
          <w:left w:w="70" w:type="dxa"/>
          <w:right w:w="70" w:type="dxa"/>
        </w:tblCellMar>
        <w:tblLook w:val="04A0" w:firstRow="1" w:lastRow="0" w:firstColumn="1" w:lastColumn="0" w:noHBand="0" w:noVBand="1"/>
      </w:tblPr>
      <w:tblGrid>
        <w:gridCol w:w="5247"/>
        <w:gridCol w:w="1553"/>
        <w:gridCol w:w="1553"/>
        <w:gridCol w:w="1556"/>
        <w:gridCol w:w="1553"/>
        <w:gridCol w:w="1553"/>
        <w:gridCol w:w="1556"/>
      </w:tblGrid>
      <w:tr w:rsidR="00163E84" w:rsidRPr="00D446C8" w14:paraId="3DE205F3" w14:textId="77777777" w:rsidTr="00E42F21">
        <w:trPr>
          <w:trHeight w:val="283"/>
        </w:trPr>
        <w:tc>
          <w:tcPr>
            <w:tcW w:w="5000" w:type="pct"/>
            <w:gridSpan w:val="7"/>
            <w:tcBorders>
              <w:top w:val="single" w:sz="8" w:space="0" w:color="FFFFFF"/>
              <w:left w:val="nil"/>
              <w:bottom w:val="single" w:sz="4" w:space="0" w:color="FFFFFF" w:themeColor="background1"/>
              <w:right w:val="nil"/>
            </w:tcBorders>
            <w:shd w:val="clear" w:color="000000" w:fill="005CA9"/>
            <w:vAlign w:val="center"/>
          </w:tcPr>
          <w:p w14:paraId="74FA3577" w14:textId="6AC16248" w:rsidR="00163E84" w:rsidRPr="00D446C8" w:rsidRDefault="00163E84" w:rsidP="00A238A8">
            <w:pPr>
              <w:jc w:val="center"/>
              <w:rPr>
                <w:rFonts w:ascii="CAIXA Std Book" w:eastAsia="Times New Roman" w:hAnsi="CAIXA Std Book" w:cs="Times New Roman"/>
                <w:b/>
                <w:bCs/>
                <w:color w:val="FFFFFF"/>
                <w:sz w:val="18"/>
                <w:szCs w:val="18"/>
              </w:rPr>
            </w:pPr>
            <w:r w:rsidRPr="00D446C8">
              <w:rPr>
                <w:rFonts w:ascii="CAIXA Std Book" w:eastAsia="Times New Roman" w:hAnsi="CAIXA Std Book" w:cs="Times New Roman"/>
                <w:b/>
                <w:bCs/>
                <w:color w:val="FFFFFF"/>
                <w:sz w:val="18"/>
                <w:szCs w:val="18"/>
              </w:rPr>
              <w:t>Consolidado</w:t>
            </w:r>
          </w:p>
        </w:tc>
      </w:tr>
      <w:tr w:rsidR="00591CB6" w:rsidRPr="00D446C8" w14:paraId="4E3FE714" w14:textId="77777777" w:rsidTr="000F39AD">
        <w:trPr>
          <w:trHeight w:val="283"/>
        </w:trPr>
        <w:tc>
          <w:tcPr>
            <w:tcW w:w="1800" w:type="pct"/>
            <w:vMerge w:val="restart"/>
            <w:tcBorders>
              <w:top w:val="single" w:sz="4" w:space="0" w:color="FFFFFF" w:themeColor="background1"/>
              <w:left w:val="nil"/>
              <w:bottom w:val="nil"/>
              <w:right w:val="nil"/>
            </w:tcBorders>
            <w:shd w:val="clear" w:color="000000" w:fill="005CA9"/>
            <w:vAlign w:val="center"/>
            <w:hideMark/>
          </w:tcPr>
          <w:p w14:paraId="78F51539" w14:textId="77777777" w:rsidR="00591CB6" w:rsidRPr="00D446C8" w:rsidRDefault="00591CB6" w:rsidP="00591CB6">
            <w:pPr>
              <w:jc w:val="center"/>
              <w:rPr>
                <w:rFonts w:ascii="CAIXA Std Book" w:eastAsia="Times New Roman" w:hAnsi="CAIXA Std Book" w:cs="Times New Roman"/>
                <w:b/>
                <w:bCs/>
                <w:color w:val="FFFFFF"/>
                <w:sz w:val="18"/>
                <w:szCs w:val="18"/>
              </w:rPr>
            </w:pPr>
            <w:r w:rsidRPr="00D446C8">
              <w:rPr>
                <w:rFonts w:ascii="CAIXA Std Book" w:eastAsia="Times New Roman" w:hAnsi="CAIXA Std Book" w:cs="Times New Roman"/>
                <w:b/>
                <w:bCs/>
                <w:color w:val="FFFFFF"/>
                <w:sz w:val="18"/>
                <w:szCs w:val="18"/>
              </w:rPr>
              <w:t>Descrição</w:t>
            </w:r>
          </w:p>
        </w:tc>
        <w:tc>
          <w:tcPr>
            <w:tcW w:w="2666" w:type="pct"/>
            <w:gridSpan w:val="5"/>
            <w:tcBorders>
              <w:top w:val="single" w:sz="4" w:space="0" w:color="FFFFFF" w:themeColor="background1"/>
              <w:left w:val="nil"/>
              <w:bottom w:val="single" w:sz="8" w:space="0" w:color="FFFFFF"/>
              <w:right w:val="nil"/>
            </w:tcBorders>
            <w:shd w:val="clear" w:color="000000" w:fill="005CA9"/>
            <w:vAlign w:val="center"/>
            <w:hideMark/>
          </w:tcPr>
          <w:p w14:paraId="4701A1BA" w14:textId="56377527" w:rsidR="000F39AD" w:rsidRPr="00D446C8" w:rsidRDefault="000F39AD" w:rsidP="00591CB6">
            <w:pPr>
              <w:jc w:val="center"/>
              <w:rPr>
                <w:rFonts w:ascii="CAIXA Std Book" w:eastAsia="Times New Roman" w:hAnsi="CAIXA Std Book" w:cs="Times New Roman"/>
                <w:b/>
                <w:bCs/>
                <w:color w:val="FFFFFF"/>
                <w:sz w:val="18"/>
                <w:szCs w:val="18"/>
              </w:rPr>
            </w:pPr>
            <w:r w:rsidRPr="00D446C8">
              <w:rPr>
                <w:rFonts w:ascii="CAIXA Std Book" w:eastAsia="Times New Roman" w:hAnsi="CAIXA Std Book" w:cs="Times New Roman"/>
                <w:b/>
                <w:bCs/>
                <w:color w:val="FFFFFF"/>
                <w:sz w:val="18"/>
                <w:szCs w:val="18"/>
              </w:rPr>
              <w:t>31/03/2026</w:t>
            </w:r>
          </w:p>
        </w:tc>
        <w:tc>
          <w:tcPr>
            <w:tcW w:w="534" w:type="pct"/>
            <w:tcBorders>
              <w:top w:val="single" w:sz="4" w:space="0" w:color="FFFFFF" w:themeColor="background1"/>
              <w:left w:val="nil"/>
              <w:bottom w:val="single" w:sz="8" w:space="0" w:color="FFFFFF"/>
              <w:right w:val="nil"/>
            </w:tcBorders>
            <w:shd w:val="clear" w:color="000000" w:fill="005CA9"/>
            <w:vAlign w:val="center"/>
          </w:tcPr>
          <w:p w14:paraId="39BACC64" w14:textId="4EE01E28" w:rsidR="00591CB6" w:rsidRPr="00D446C8" w:rsidRDefault="00591CB6" w:rsidP="00591CB6">
            <w:pPr>
              <w:jc w:val="center"/>
              <w:rPr>
                <w:rFonts w:ascii="CAIXA Std Book" w:eastAsia="Times New Roman" w:hAnsi="CAIXA Std Book" w:cs="Times New Roman"/>
                <w:b/>
                <w:bCs/>
                <w:color w:val="FFFFFF"/>
                <w:sz w:val="18"/>
                <w:szCs w:val="18"/>
              </w:rPr>
            </w:pPr>
            <w:r w:rsidRPr="00D446C8">
              <w:rPr>
                <w:rFonts w:ascii="CAIXA Std Book" w:eastAsia="Times New Roman" w:hAnsi="CAIXA Std Book" w:cs="Times New Roman"/>
                <w:b/>
                <w:bCs/>
                <w:color w:val="FFFFFF"/>
                <w:sz w:val="18"/>
                <w:szCs w:val="18"/>
              </w:rPr>
              <w:t>31/12/2025</w:t>
            </w:r>
          </w:p>
        </w:tc>
      </w:tr>
      <w:tr w:rsidR="00591CB6" w:rsidRPr="00D446C8" w14:paraId="68D75F42" w14:textId="77777777" w:rsidTr="00D01743">
        <w:trPr>
          <w:trHeight w:val="283"/>
        </w:trPr>
        <w:tc>
          <w:tcPr>
            <w:tcW w:w="1800" w:type="pct"/>
            <w:vMerge/>
            <w:tcBorders>
              <w:top w:val="single" w:sz="8" w:space="0" w:color="FFFFFF"/>
              <w:left w:val="nil"/>
              <w:bottom w:val="nil"/>
              <w:right w:val="nil"/>
            </w:tcBorders>
            <w:vAlign w:val="center"/>
            <w:hideMark/>
          </w:tcPr>
          <w:p w14:paraId="0490C070" w14:textId="77777777" w:rsidR="00591CB6" w:rsidRPr="00D446C8" w:rsidRDefault="00591CB6" w:rsidP="00591CB6">
            <w:pPr>
              <w:rPr>
                <w:rFonts w:ascii="CAIXA Std Book" w:eastAsia="Times New Roman" w:hAnsi="CAIXA Std Book" w:cs="Times New Roman"/>
                <w:b/>
                <w:bCs/>
                <w:color w:val="FFFFFF"/>
                <w:sz w:val="18"/>
                <w:szCs w:val="18"/>
              </w:rPr>
            </w:pPr>
          </w:p>
        </w:tc>
        <w:tc>
          <w:tcPr>
            <w:tcW w:w="533" w:type="pct"/>
            <w:tcBorders>
              <w:top w:val="nil"/>
              <w:left w:val="nil"/>
              <w:bottom w:val="nil"/>
              <w:right w:val="nil"/>
            </w:tcBorders>
            <w:shd w:val="clear" w:color="000000" w:fill="005CA9"/>
            <w:vAlign w:val="center"/>
            <w:hideMark/>
          </w:tcPr>
          <w:p w14:paraId="403337D1" w14:textId="77777777" w:rsidR="00591CB6" w:rsidRPr="00D446C8" w:rsidRDefault="00591CB6" w:rsidP="00591CB6">
            <w:pPr>
              <w:jc w:val="center"/>
              <w:rPr>
                <w:rFonts w:ascii="CAIXA Std Book" w:eastAsia="Times New Roman" w:hAnsi="CAIXA Std Book" w:cs="Times New Roman"/>
                <w:b/>
                <w:bCs/>
                <w:color w:val="FFFFFF"/>
                <w:sz w:val="18"/>
                <w:szCs w:val="18"/>
              </w:rPr>
            </w:pPr>
            <w:r w:rsidRPr="00D446C8">
              <w:rPr>
                <w:rFonts w:ascii="CAIXA Std Book" w:eastAsia="Times New Roman" w:hAnsi="CAIXA Std Book" w:cs="Times New Roman"/>
                <w:b/>
                <w:bCs/>
                <w:color w:val="FFFFFF"/>
                <w:sz w:val="18"/>
                <w:szCs w:val="18"/>
              </w:rPr>
              <w:t>01 a 90 dias</w:t>
            </w:r>
          </w:p>
        </w:tc>
        <w:tc>
          <w:tcPr>
            <w:tcW w:w="533" w:type="pct"/>
            <w:tcBorders>
              <w:top w:val="nil"/>
              <w:left w:val="nil"/>
              <w:bottom w:val="nil"/>
              <w:right w:val="nil"/>
            </w:tcBorders>
            <w:shd w:val="clear" w:color="000000" w:fill="005CA9"/>
            <w:vAlign w:val="center"/>
            <w:hideMark/>
          </w:tcPr>
          <w:p w14:paraId="07F1306F" w14:textId="77777777" w:rsidR="00591CB6" w:rsidRPr="00D446C8" w:rsidRDefault="00591CB6" w:rsidP="00591CB6">
            <w:pPr>
              <w:jc w:val="center"/>
              <w:rPr>
                <w:rFonts w:ascii="CAIXA Std Book" w:eastAsia="Times New Roman" w:hAnsi="CAIXA Std Book" w:cs="Times New Roman"/>
                <w:b/>
                <w:bCs/>
                <w:color w:val="FFFFFF"/>
                <w:sz w:val="18"/>
                <w:szCs w:val="18"/>
              </w:rPr>
            </w:pPr>
            <w:r w:rsidRPr="00D446C8">
              <w:rPr>
                <w:rFonts w:ascii="CAIXA Std Book" w:eastAsia="Times New Roman" w:hAnsi="CAIXA Std Book" w:cs="Times New Roman"/>
                <w:b/>
                <w:bCs/>
                <w:color w:val="FFFFFF"/>
                <w:sz w:val="18"/>
                <w:szCs w:val="18"/>
              </w:rPr>
              <w:t>91 a 180 dias</w:t>
            </w:r>
          </w:p>
        </w:tc>
        <w:tc>
          <w:tcPr>
            <w:tcW w:w="534" w:type="pct"/>
            <w:tcBorders>
              <w:top w:val="nil"/>
              <w:left w:val="nil"/>
              <w:bottom w:val="nil"/>
              <w:right w:val="nil"/>
            </w:tcBorders>
            <w:shd w:val="clear" w:color="000000" w:fill="005CA9"/>
            <w:vAlign w:val="center"/>
            <w:hideMark/>
          </w:tcPr>
          <w:p w14:paraId="4ADBCE31" w14:textId="77777777" w:rsidR="00591CB6" w:rsidRPr="00D446C8" w:rsidRDefault="00591CB6" w:rsidP="00591CB6">
            <w:pPr>
              <w:jc w:val="center"/>
              <w:rPr>
                <w:rFonts w:ascii="CAIXA Std Book" w:eastAsia="Times New Roman" w:hAnsi="CAIXA Std Book" w:cs="Times New Roman"/>
                <w:b/>
                <w:bCs/>
                <w:color w:val="FFFFFF"/>
                <w:sz w:val="18"/>
                <w:szCs w:val="18"/>
              </w:rPr>
            </w:pPr>
            <w:r w:rsidRPr="00D446C8">
              <w:rPr>
                <w:rFonts w:ascii="CAIXA Std Book" w:eastAsia="Times New Roman" w:hAnsi="CAIXA Std Book" w:cs="Times New Roman"/>
                <w:b/>
                <w:bCs/>
                <w:color w:val="FFFFFF"/>
                <w:sz w:val="18"/>
                <w:szCs w:val="18"/>
              </w:rPr>
              <w:t>181 a 360 dias</w:t>
            </w:r>
          </w:p>
        </w:tc>
        <w:tc>
          <w:tcPr>
            <w:tcW w:w="533" w:type="pct"/>
            <w:tcBorders>
              <w:top w:val="nil"/>
              <w:left w:val="nil"/>
              <w:bottom w:val="nil"/>
              <w:right w:val="nil"/>
            </w:tcBorders>
            <w:shd w:val="clear" w:color="000000" w:fill="005CA9"/>
            <w:vAlign w:val="center"/>
            <w:hideMark/>
          </w:tcPr>
          <w:p w14:paraId="6D820CA8" w14:textId="77777777" w:rsidR="00591CB6" w:rsidRPr="00D446C8" w:rsidRDefault="00591CB6" w:rsidP="00591CB6">
            <w:pPr>
              <w:jc w:val="center"/>
              <w:rPr>
                <w:rFonts w:ascii="CAIXA Std Book" w:eastAsia="Times New Roman" w:hAnsi="CAIXA Std Book" w:cs="Times New Roman"/>
                <w:b/>
                <w:bCs/>
                <w:color w:val="FFFFFF"/>
                <w:sz w:val="18"/>
                <w:szCs w:val="18"/>
              </w:rPr>
            </w:pPr>
            <w:r w:rsidRPr="00D446C8">
              <w:rPr>
                <w:rFonts w:ascii="CAIXA Std Book" w:eastAsia="Times New Roman" w:hAnsi="CAIXA Std Book" w:cs="Times New Roman"/>
                <w:b/>
                <w:bCs/>
                <w:color w:val="FFFFFF"/>
                <w:sz w:val="18"/>
                <w:szCs w:val="18"/>
              </w:rPr>
              <w:t>Acima de 360 dias</w:t>
            </w:r>
          </w:p>
        </w:tc>
        <w:tc>
          <w:tcPr>
            <w:tcW w:w="533" w:type="pct"/>
            <w:tcBorders>
              <w:top w:val="nil"/>
              <w:left w:val="nil"/>
              <w:bottom w:val="nil"/>
              <w:right w:val="nil"/>
            </w:tcBorders>
            <w:shd w:val="clear" w:color="000000" w:fill="005CA9"/>
            <w:vAlign w:val="center"/>
            <w:hideMark/>
          </w:tcPr>
          <w:p w14:paraId="312C8796" w14:textId="77777777" w:rsidR="00591CB6" w:rsidRPr="00D446C8" w:rsidRDefault="00591CB6" w:rsidP="00591CB6">
            <w:pPr>
              <w:jc w:val="center"/>
              <w:rPr>
                <w:rFonts w:ascii="CAIXA Std Book" w:eastAsia="Times New Roman" w:hAnsi="CAIXA Std Book" w:cs="Times New Roman"/>
                <w:b/>
                <w:bCs/>
                <w:color w:val="FFFFFF"/>
                <w:sz w:val="18"/>
                <w:szCs w:val="18"/>
              </w:rPr>
            </w:pPr>
            <w:r w:rsidRPr="00D446C8">
              <w:rPr>
                <w:rFonts w:ascii="CAIXA Std Book" w:eastAsia="Times New Roman" w:hAnsi="CAIXA Std Book" w:cs="Times New Roman"/>
                <w:b/>
                <w:bCs/>
                <w:color w:val="FFFFFF"/>
                <w:sz w:val="18"/>
                <w:szCs w:val="18"/>
              </w:rPr>
              <w:t>Valor Justo</w:t>
            </w:r>
          </w:p>
        </w:tc>
        <w:tc>
          <w:tcPr>
            <w:tcW w:w="534" w:type="pct"/>
            <w:tcBorders>
              <w:top w:val="nil"/>
              <w:left w:val="nil"/>
              <w:bottom w:val="nil"/>
              <w:right w:val="nil"/>
            </w:tcBorders>
            <w:shd w:val="clear" w:color="000000" w:fill="005CA9"/>
            <w:vAlign w:val="center"/>
            <w:hideMark/>
          </w:tcPr>
          <w:p w14:paraId="145A5764" w14:textId="77777777" w:rsidR="00591CB6" w:rsidRPr="00D446C8" w:rsidRDefault="00591CB6" w:rsidP="00591CB6">
            <w:pPr>
              <w:jc w:val="center"/>
              <w:rPr>
                <w:rFonts w:ascii="CAIXA Std Book" w:eastAsia="Times New Roman" w:hAnsi="CAIXA Std Book" w:cs="Times New Roman"/>
                <w:b/>
                <w:bCs/>
                <w:color w:val="FFFFFF"/>
                <w:sz w:val="18"/>
                <w:szCs w:val="18"/>
              </w:rPr>
            </w:pPr>
            <w:r w:rsidRPr="00D446C8">
              <w:rPr>
                <w:rFonts w:ascii="CAIXA Std Book" w:eastAsia="Times New Roman" w:hAnsi="CAIXA Std Book" w:cs="Times New Roman"/>
                <w:b/>
                <w:bCs/>
                <w:color w:val="FFFFFF"/>
                <w:sz w:val="18"/>
                <w:szCs w:val="18"/>
              </w:rPr>
              <w:t>Valor Justo</w:t>
            </w:r>
          </w:p>
        </w:tc>
      </w:tr>
      <w:tr w:rsidR="00591CB6" w:rsidRPr="00D446C8" w14:paraId="618418AD" w14:textId="77777777" w:rsidTr="00D01743">
        <w:trPr>
          <w:trHeight w:val="283"/>
        </w:trPr>
        <w:tc>
          <w:tcPr>
            <w:tcW w:w="1800" w:type="pct"/>
            <w:tcBorders>
              <w:top w:val="nil"/>
              <w:left w:val="nil"/>
              <w:bottom w:val="single" w:sz="8" w:space="0" w:color="FFFFFF"/>
              <w:right w:val="nil"/>
            </w:tcBorders>
            <w:shd w:val="clear" w:color="000000" w:fill="D0E0E3"/>
            <w:noWrap/>
            <w:vAlign w:val="center"/>
            <w:hideMark/>
          </w:tcPr>
          <w:p w14:paraId="296E4F34" w14:textId="77777777" w:rsidR="00591CB6" w:rsidRPr="00D446C8" w:rsidRDefault="00591CB6" w:rsidP="00591CB6">
            <w:pP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Posição ativa</w:t>
            </w:r>
          </w:p>
        </w:tc>
        <w:tc>
          <w:tcPr>
            <w:tcW w:w="533" w:type="pct"/>
            <w:tcBorders>
              <w:top w:val="nil"/>
              <w:left w:val="nil"/>
              <w:bottom w:val="single" w:sz="8" w:space="0" w:color="FFFFFF"/>
              <w:right w:val="nil"/>
            </w:tcBorders>
            <w:shd w:val="clear" w:color="000000" w:fill="D0E0E3"/>
            <w:noWrap/>
            <w:vAlign w:val="center"/>
            <w:hideMark/>
          </w:tcPr>
          <w:p w14:paraId="07E14AC5" w14:textId="1059D2B6" w:rsidR="00591CB6" w:rsidRPr="00D446C8" w:rsidRDefault="00591CB6" w:rsidP="00591CB6">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17.948</w:t>
            </w:r>
          </w:p>
        </w:tc>
        <w:tc>
          <w:tcPr>
            <w:tcW w:w="533" w:type="pct"/>
            <w:tcBorders>
              <w:top w:val="nil"/>
              <w:left w:val="nil"/>
              <w:bottom w:val="single" w:sz="8" w:space="0" w:color="FFFFFF"/>
              <w:right w:val="nil"/>
            </w:tcBorders>
            <w:shd w:val="clear" w:color="000000" w:fill="D0E0E3"/>
            <w:noWrap/>
            <w:vAlign w:val="center"/>
            <w:hideMark/>
          </w:tcPr>
          <w:p w14:paraId="68FE28FA" w14:textId="3FCC863F" w:rsidR="00591CB6" w:rsidRPr="00D446C8" w:rsidRDefault="00A238A8" w:rsidP="0097282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462</w:t>
            </w:r>
          </w:p>
        </w:tc>
        <w:tc>
          <w:tcPr>
            <w:tcW w:w="534" w:type="pct"/>
            <w:tcBorders>
              <w:top w:val="nil"/>
              <w:left w:val="nil"/>
              <w:bottom w:val="single" w:sz="8" w:space="0" w:color="FFFFFF"/>
              <w:right w:val="nil"/>
            </w:tcBorders>
            <w:shd w:val="clear" w:color="000000" w:fill="D0E0E3"/>
            <w:vAlign w:val="center"/>
            <w:hideMark/>
          </w:tcPr>
          <w:p w14:paraId="7976EE9C" w14:textId="27AC8DBA" w:rsidR="00591CB6" w:rsidRPr="00D446C8" w:rsidRDefault="00591CB6" w:rsidP="0097282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533" w:type="pct"/>
            <w:tcBorders>
              <w:top w:val="nil"/>
              <w:left w:val="nil"/>
              <w:bottom w:val="single" w:sz="8" w:space="0" w:color="FFFFFF"/>
              <w:right w:val="nil"/>
            </w:tcBorders>
            <w:shd w:val="clear" w:color="000000" w:fill="D0E0E3"/>
            <w:noWrap/>
            <w:vAlign w:val="center"/>
            <w:hideMark/>
          </w:tcPr>
          <w:p w14:paraId="62ACD72C" w14:textId="3EEF1A7A" w:rsidR="00591CB6" w:rsidRPr="00D446C8" w:rsidRDefault="00591CB6" w:rsidP="0097282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533" w:type="pct"/>
            <w:tcBorders>
              <w:top w:val="nil"/>
              <w:left w:val="nil"/>
              <w:bottom w:val="single" w:sz="8" w:space="0" w:color="FFFFFF"/>
              <w:right w:val="nil"/>
            </w:tcBorders>
            <w:shd w:val="clear" w:color="000000" w:fill="D0E0E3"/>
            <w:noWrap/>
            <w:vAlign w:val="center"/>
            <w:hideMark/>
          </w:tcPr>
          <w:p w14:paraId="1BC7A09B" w14:textId="540B2EDC" w:rsidR="00591CB6" w:rsidRPr="00D446C8" w:rsidRDefault="00591CB6" w:rsidP="00591CB6">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18.410</w:t>
            </w:r>
          </w:p>
        </w:tc>
        <w:tc>
          <w:tcPr>
            <w:tcW w:w="534" w:type="pct"/>
            <w:tcBorders>
              <w:top w:val="nil"/>
              <w:left w:val="nil"/>
              <w:bottom w:val="single" w:sz="8" w:space="0" w:color="FFFFFF"/>
              <w:right w:val="nil"/>
            </w:tcBorders>
            <w:shd w:val="clear" w:color="000000" w:fill="D0E0E3"/>
            <w:noWrap/>
            <w:vAlign w:val="center"/>
            <w:hideMark/>
          </w:tcPr>
          <w:p w14:paraId="54692A2E" w14:textId="57FF5099" w:rsidR="00591CB6" w:rsidRPr="00D446C8" w:rsidRDefault="00A238A8" w:rsidP="00591CB6">
            <w:pPr>
              <w:jc w:val="right"/>
              <w:rPr>
                <w:rFonts w:ascii="CAIXA Std Book" w:eastAsia="Times New Roman" w:hAnsi="CAIXA Std Book" w:cs="Arial"/>
                <w:b/>
                <w:color w:val="005CA9"/>
                <w:sz w:val="18"/>
                <w:szCs w:val="18"/>
              </w:rPr>
            </w:pPr>
            <w:r w:rsidRPr="00D446C8">
              <w:rPr>
                <w:rFonts w:ascii="CAIXA Std Book" w:eastAsia="Times New Roman" w:hAnsi="CAIXA Std Book" w:cs="Arial"/>
                <w:b/>
                <w:color w:val="005CA9"/>
                <w:sz w:val="18"/>
                <w:szCs w:val="18"/>
              </w:rPr>
              <w:t>46</w:t>
            </w:r>
          </w:p>
        </w:tc>
      </w:tr>
      <w:tr w:rsidR="00591CB6" w:rsidRPr="00D446C8" w14:paraId="0B642001" w14:textId="77777777" w:rsidTr="00D01743">
        <w:trPr>
          <w:trHeight w:val="283"/>
        </w:trPr>
        <w:tc>
          <w:tcPr>
            <w:tcW w:w="1800" w:type="pct"/>
            <w:tcBorders>
              <w:top w:val="nil"/>
              <w:left w:val="nil"/>
              <w:bottom w:val="single" w:sz="8" w:space="0" w:color="FFFFFF"/>
              <w:right w:val="nil"/>
            </w:tcBorders>
            <w:shd w:val="clear" w:color="000000" w:fill="D0E0E3"/>
            <w:noWrap/>
            <w:vAlign w:val="center"/>
            <w:hideMark/>
          </w:tcPr>
          <w:p w14:paraId="23B38941" w14:textId="77777777" w:rsidR="00591CB6" w:rsidRPr="00D446C8" w:rsidRDefault="00591CB6" w:rsidP="00591CB6">
            <w:pP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i/>
                <w:iCs/>
                <w:color w:val="005CA9"/>
                <w:sz w:val="18"/>
                <w:szCs w:val="18"/>
              </w:rPr>
              <w:t>Swap</w:t>
            </w:r>
          </w:p>
        </w:tc>
        <w:tc>
          <w:tcPr>
            <w:tcW w:w="533" w:type="pct"/>
            <w:tcBorders>
              <w:top w:val="nil"/>
              <w:left w:val="nil"/>
              <w:bottom w:val="single" w:sz="8" w:space="0" w:color="FFFFFF"/>
              <w:right w:val="nil"/>
            </w:tcBorders>
            <w:shd w:val="clear" w:color="000000" w:fill="D0E0E3"/>
            <w:noWrap/>
            <w:vAlign w:val="center"/>
            <w:hideMark/>
          </w:tcPr>
          <w:p w14:paraId="39A54560" w14:textId="0BA2221E" w:rsidR="00591CB6" w:rsidRPr="00D446C8" w:rsidRDefault="00A238A8" w:rsidP="00591CB6">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13</w:t>
            </w:r>
          </w:p>
        </w:tc>
        <w:tc>
          <w:tcPr>
            <w:tcW w:w="533" w:type="pct"/>
            <w:tcBorders>
              <w:top w:val="nil"/>
              <w:left w:val="nil"/>
              <w:bottom w:val="single" w:sz="8" w:space="0" w:color="FFFFFF"/>
              <w:right w:val="nil"/>
            </w:tcBorders>
            <w:shd w:val="clear" w:color="000000" w:fill="D0E0E3"/>
            <w:noWrap/>
            <w:vAlign w:val="center"/>
            <w:hideMark/>
          </w:tcPr>
          <w:p w14:paraId="146347A6" w14:textId="4E1AA7E0" w:rsidR="00591CB6" w:rsidRPr="00D446C8" w:rsidRDefault="00591CB6" w:rsidP="0097282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534" w:type="pct"/>
            <w:tcBorders>
              <w:top w:val="nil"/>
              <w:left w:val="nil"/>
              <w:bottom w:val="single" w:sz="8" w:space="0" w:color="FFFFFF"/>
              <w:right w:val="nil"/>
            </w:tcBorders>
            <w:shd w:val="clear" w:color="000000" w:fill="D0E0E3"/>
            <w:vAlign w:val="center"/>
            <w:hideMark/>
          </w:tcPr>
          <w:p w14:paraId="3FC061A1" w14:textId="786249C5" w:rsidR="00591CB6" w:rsidRPr="00D446C8" w:rsidRDefault="00591CB6" w:rsidP="0097282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533" w:type="pct"/>
            <w:tcBorders>
              <w:top w:val="nil"/>
              <w:left w:val="nil"/>
              <w:bottom w:val="single" w:sz="8" w:space="0" w:color="FFFFFF"/>
              <w:right w:val="nil"/>
            </w:tcBorders>
            <w:shd w:val="clear" w:color="000000" w:fill="D0E0E3"/>
            <w:noWrap/>
            <w:vAlign w:val="center"/>
            <w:hideMark/>
          </w:tcPr>
          <w:p w14:paraId="526E2B6A" w14:textId="541208D5" w:rsidR="00591CB6" w:rsidRPr="00D446C8" w:rsidRDefault="00591CB6" w:rsidP="0097282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533" w:type="pct"/>
            <w:tcBorders>
              <w:top w:val="nil"/>
              <w:left w:val="nil"/>
              <w:bottom w:val="single" w:sz="8" w:space="0" w:color="FFFFFF"/>
              <w:right w:val="nil"/>
            </w:tcBorders>
            <w:shd w:val="clear" w:color="000000" w:fill="D0E0E3"/>
            <w:noWrap/>
            <w:vAlign w:val="center"/>
            <w:hideMark/>
          </w:tcPr>
          <w:p w14:paraId="678457C0" w14:textId="320786B8" w:rsidR="00591CB6" w:rsidRPr="00D446C8" w:rsidRDefault="00A238A8" w:rsidP="00591CB6">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13</w:t>
            </w:r>
          </w:p>
        </w:tc>
        <w:tc>
          <w:tcPr>
            <w:tcW w:w="534" w:type="pct"/>
            <w:tcBorders>
              <w:top w:val="nil"/>
              <w:left w:val="nil"/>
              <w:bottom w:val="single" w:sz="8" w:space="0" w:color="FFFFFF"/>
              <w:right w:val="nil"/>
            </w:tcBorders>
            <w:shd w:val="clear" w:color="000000" w:fill="D0E0E3"/>
            <w:noWrap/>
            <w:vAlign w:val="center"/>
            <w:hideMark/>
          </w:tcPr>
          <w:p w14:paraId="5B273D36" w14:textId="47B1C8E3" w:rsidR="00591CB6" w:rsidRPr="00D446C8" w:rsidRDefault="00A238A8" w:rsidP="00591CB6">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r>
      <w:tr w:rsidR="0097282A" w:rsidRPr="00D446C8" w14:paraId="354A897B" w14:textId="77777777" w:rsidTr="00D01743">
        <w:trPr>
          <w:trHeight w:val="283"/>
        </w:trPr>
        <w:tc>
          <w:tcPr>
            <w:tcW w:w="1800" w:type="pct"/>
            <w:tcBorders>
              <w:top w:val="nil"/>
              <w:left w:val="nil"/>
              <w:bottom w:val="nil"/>
              <w:right w:val="nil"/>
            </w:tcBorders>
            <w:shd w:val="clear" w:color="000000" w:fill="FFFFFF"/>
            <w:noWrap/>
            <w:vAlign w:val="center"/>
            <w:hideMark/>
          </w:tcPr>
          <w:p w14:paraId="1B2C829C" w14:textId="77777777" w:rsidR="0097282A" w:rsidRPr="00D446C8" w:rsidRDefault="0097282A" w:rsidP="0097282A">
            <w:pPr>
              <w:ind w:firstLineChars="100" w:firstLine="180"/>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Índices/B3</w:t>
            </w:r>
          </w:p>
        </w:tc>
        <w:tc>
          <w:tcPr>
            <w:tcW w:w="533" w:type="pct"/>
            <w:tcBorders>
              <w:top w:val="nil"/>
              <w:left w:val="nil"/>
              <w:bottom w:val="nil"/>
              <w:right w:val="nil"/>
            </w:tcBorders>
            <w:shd w:val="clear" w:color="000000" w:fill="FFFFFF"/>
            <w:noWrap/>
            <w:vAlign w:val="center"/>
            <w:hideMark/>
          </w:tcPr>
          <w:p w14:paraId="159B4FA6" w14:textId="315746C5" w:rsidR="0097282A" w:rsidRPr="00D446C8" w:rsidRDefault="00A238A8" w:rsidP="0097282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13</w:t>
            </w:r>
          </w:p>
        </w:tc>
        <w:tc>
          <w:tcPr>
            <w:tcW w:w="533" w:type="pct"/>
            <w:tcBorders>
              <w:top w:val="nil"/>
              <w:left w:val="nil"/>
              <w:bottom w:val="nil"/>
              <w:right w:val="nil"/>
            </w:tcBorders>
            <w:shd w:val="clear" w:color="000000" w:fill="FFFFFF"/>
            <w:noWrap/>
            <w:vAlign w:val="center"/>
            <w:hideMark/>
          </w:tcPr>
          <w:p w14:paraId="024B56E5" w14:textId="6A030AE0" w:rsidR="0097282A" w:rsidRPr="00D446C8" w:rsidRDefault="0097282A" w:rsidP="0097282A">
            <w:pPr>
              <w:jc w:val="center"/>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w:t>
            </w:r>
          </w:p>
        </w:tc>
        <w:tc>
          <w:tcPr>
            <w:tcW w:w="534" w:type="pct"/>
            <w:tcBorders>
              <w:top w:val="nil"/>
              <w:left w:val="nil"/>
              <w:bottom w:val="nil"/>
              <w:right w:val="nil"/>
            </w:tcBorders>
            <w:shd w:val="clear" w:color="000000" w:fill="FFFFFF"/>
            <w:vAlign w:val="center"/>
            <w:hideMark/>
          </w:tcPr>
          <w:p w14:paraId="1F513C86" w14:textId="52C3642E" w:rsidR="0097282A" w:rsidRPr="00D446C8" w:rsidRDefault="0097282A" w:rsidP="0097282A">
            <w:pPr>
              <w:jc w:val="center"/>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w:t>
            </w:r>
          </w:p>
        </w:tc>
        <w:tc>
          <w:tcPr>
            <w:tcW w:w="533" w:type="pct"/>
            <w:tcBorders>
              <w:top w:val="nil"/>
              <w:left w:val="nil"/>
              <w:bottom w:val="nil"/>
              <w:right w:val="nil"/>
            </w:tcBorders>
            <w:shd w:val="clear" w:color="000000" w:fill="FFFFFF"/>
            <w:noWrap/>
            <w:vAlign w:val="center"/>
            <w:hideMark/>
          </w:tcPr>
          <w:p w14:paraId="0A8BB667" w14:textId="3BBECEDB" w:rsidR="0097282A" w:rsidRPr="00D446C8" w:rsidRDefault="0097282A" w:rsidP="0097282A">
            <w:pPr>
              <w:jc w:val="center"/>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w:t>
            </w:r>
          </w:p>
        </w:tc>
        <w:tc>
          <w:tcPr>
            <w:tcW w:w="533" w:type="pct"/>
            <w:tcBorders>
              <w:top w:val="nil"/>
              <w:left w:val="nil"/>
              <w:bottom w:val="nil"/>
              <w:right w:val="nil"/>
            </w:tcBorders>
            <w:shd w:val="clear" w:color="000000" w:fill="FFFFFF"/>
            <w:noWrap/>
            <w:vAlign w:val="center"/>
            <w:hideMark/>
          </w:tcPr>
          <w:p w14:paraId="2CE1501B" w14:textId="2933A770" w:rsidR="0097282A" w:rsidRPr="00D446C8" w:rsidRDefault="00A238A8" w:rsidP="0097282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13</w:t>
            </w:r>
          </w:p>
        </w:tc>
        <w:tc>
          <w:tcPr>
            <w:tcW w:w="534" w:type="pct"/>
            <w:tcBorders>
              <w:top w:val="nil"/>
              <w:left w:val="nil"/>
              <w:bottom w:val="nil"/>
              <w:right w:val="nil"/>
            </w:tcBorders>
            <w:shd w:val="clear" w:color="000000" w:fill="FFFFFF"/>
            <w:noWrap/>
            <w:vAlign w:val="center"/>
            <w:hideMark/>
          </w:tcPr>
          <w:p w14:paraId="5ACAE89C" w14:textId="6E9393AE" w:rsidR="0097282A" w:rsidRPr="00D446C8" w:rsidRDefault="00A238A8" w:rsidP="0097282A">
            <w:pPr>
              <w:jc w:val="center"/>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w:t>
            </w:r>
          </w:p>
        </w:tc>
      </w:tr>
      <w:tr w:rsidR="00591CB6" w:rsidRPr="00D446C8" w14:paraId="664FDC02" w14:textId="77777777" w:rsidTr="00D01743">
        <w:trPr>
          <w:trHeight w:val="283"/>
        </w:trPr>
        <w:tc>
          <w:tcPr>
            <w:tcW w:w="1800" w:type="pct"/>
            <w:tcBorders>
              <w:top w:val="nil"/>
              <w:left w:val="nil"/>
              <w:bottom w:val="single" w:sz="8" w:space="0" w:color="FFFFFF"/>
              <w:right w:val="nil"/>
            </w:tcBorders>
            <w:shd w:val="clear" w:color="000000" w:fill="D0E0E3"/>
            <w:noWrap/>
            <w:vAlign w:val="center"/>
            <w:hideMark/>
          </w:tcPr>
          <w:p w14:paraId="0789013D" w14:textId="77777777" w:rsidR="00591CB6" w:rsidRPr="00D446C8" w:rsidRDefault="00591CB6" w:rsidP="00591CB6">
            <w:pP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Termo</w:t>
            </w:r>
          </w:p>
        </w:tc>
        <w:tc>
          <w:tcPr>
            <w:tcW w:w="533" w:type="pct"/>
            <w:tcBorders>
              <w:top w:val="nil"/>
              <w:left w:val="nil"/>
              <w:bottom w:val="single" w:sz="8" w:space="0" w:color="FFFFFF"/>
              <w:right w:val="nil"/>
            </w:tcBorders>
            <w:shd w:val="clear" w:color="000000" w:fill="D0E0E3"/>
            <w:noWrap/>
            <w:vAlign w:val="center"/>
            <w:hideMark/>
          </w:tcPr>
          <w:p w14:paraId="2E013490" w14:textId="352A616A" w:rsidR="00591CB6" w:rsidRPr="00D446C8" w:rsidRDefault="00A238A8" w:rsidP="00591CB6">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646</w:t>
            </w:r>
          </w:p>
        </w:tc>
        <w:tc>
          <w:tcPr>
            <w:tcW w:w="533" w:type="pct"/>
            <w:tcBorders>
              <w:top w:val="nil"/>
              <w:left w:val="nil"/>
              <w:bottom w:val="single" w:sz="8" w:space="0" w:color="FFFFFF"/>
              <w:right w:val="nil"/>
            </w:tcBorders>
            <w:shd w:val="clear" w:color="000000" w:fill="D0E0E3"/>
            <w:noWrap/>
            <w:vAlign w:val="center"/>
            <w:hideMark/>
          </w:tcPr>
          <w:p w14:paraId="7F4A4303" w14:textId="3985488A" w:rsidR="00591CB6" w:rsidRPr="00D446C8" w:rsidRDefault="00591CB6" w:rsidP="0097282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534" w:type="pct"/>
            <w:tcBorders>
              <w:top w:val="nil"/>
              <w:left w:val="nil"/>
              <w:bottom w:val="single" w:sz="8" w:space="0" w:color="FFFFFF"/>
              <w:right w:val="nil"/>
            </w:tcBorders>
            <w:shd w:val="clear" w:color="000000" w:fill="D0E0E3"/>
            <w:vAlign w:val="center"/>
            <w:hideMark/>
          </w:tcPr>
          <w:p w14:paraId="5EF9CDF6" w14:textId="37F2B83C" w:rsidR="00591CB6" w:rsidRPr="00D446C8" w:rsidRDefault="00591CB6" w:rsidP="0097282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533" w:type="pct"/>
            <w:tcBorders>
              <w:top w:val="nil"/>
              <w:left w:val="nil"/>
              <w:bottom w:val="single" w:sz="8" w:space="0" w:color="FFFFFF"/>
              <w:right w:val="nil"/>
            </w:tcBorders>
            <w:shd w:val="clear" w:color="000000" w:fill="D0E0E3"/>
            <w:noWrap/>
            <w:vAlign w:val="center"/>
            <w:hideMark/>
          </w:tcPr>
          <w:p w14:paraId="305F4A95" w14:textId="14EAAE9A" w:rsidR="00591CB6" w:rsidRPr="00D446C8" w:rsidRDefault="00591CB6" w:rsidP="0097282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533" w:type="pct"/>
            <w:tcBorders>
              <w:top w:val="nil"/>
              <w:left w:val="nil"/>
              <w:bottom w:val="single" w:sz="8" w:space="0" w:color="FFFFFF"/>
              <w:right w:val="nil"/>
            </w:tcBorders>
            <w:shd w:val="clear" w:color="000000" w:fill="D0E0E3"/>
            <w:noWrap/>
            <w:vAlign w:val="center"/>
            <w:hideMark/>
          </w:tcPr>
          <w:p w14:paraId="52BD0567" w14:textId="1DC60EFC" w:rsidR="00591CB6" w:rsidRPr="00D446C8" w:rsidRDefault="00A238A8" w:rsidP="00591CB6">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646</w:t>
            </w:r>
          </w:p>
        </w:tc>
        <w:tc>
          <w:tcPr>
            <w:tcW w:w="534" w:type="pct"/>
            <w:tcBorders>
              <w:top w:val="nil"/>
              <w:left w:val="nil"/>
              <w:bottom w:val="single" w:sz="8" w:space="0" w:color="FFFFFF"/>
              <w:right w:val="nil"/>
            </w:tcBorders>
            <w:shd w:val="clear" w:color="000000" w:fill="D0E0E3"/>
            <w:noWrap/>
            <w:vAlign w:val="center"/>
            <w:hideMark/>
          </w:tcPr>
          <w:p w14:paraId="38852100" w14:textId="046E1628" w:rsidR="00591CB6" w:rsidRPr="00D446C8" w:rsidRDefault="00A238A8" w:rsidP="00591CB6">
            <w:pPr>
              <w:jc w:val="right"/>
              <w:rPr>
                <w:rFonts w:ascii="CAIXA Std Book" w:eastAsia="Times New Roman" w:hAnsi="CAIXA Std Book" w:cs="Arial"/>
                <w:b/>
                <w:color w:val="005CA9"/>
                <w:sz w:val="18"/>
                <w:szCs w:val="18"/>
              </w:rPr>
            </w:pPr>
            <w:r w:rsidRPr="00D446C8">
              <w:rPr>
                <w:rFonts w:ascii="CAIXA Std Book" w:eastAsia="Times New Roman" w:hAnsi="CAIXA Std Book" w:cs="Arial"/>
                <w:b/>
                <w:color w:val="005CA9"/>
                <w:sz w:val="18"/>
                <w:szCs w:val="18"/>
              </w:rPr>
              <w:t>46</w:t>
            </w:r>
          </w:p>
        </w:tc>
      </w:tr>
      <w:tr w:rsidR="0097282A" w:rsidRPr="00D446C8" w14:paraId="5C95A394" w14:textId="77777777" w:rsidTr="00D01743">
        <w:trPr>
          <w:trHeight w:val="283"/>
        </w:trPr>
        <w:tc>
          <w:tcPr>
            <w:tcW w:w="1800" w:type="pct"/>
            <w:tcBorders>
              <w:top w:val="nil"/>
              <w:left w:val="nil"/>
              <w:bottom w:val="nil"/>
              <w:right w:val="nil"/>
            </w:tcBorders>
            <w:shd w:val="clear" w:color="000000" w:fill="FFFFFF"/>
            <w:noWrap/>
            <w:vAlign w:val="center"/>
            <w:hideMark/>
          </w:tcPr>
          <w:p w14:paraId="20B81EDB" w14:textId="77777777" w:rsidR="0097282A" w:rsidRPr="00D446C8" w:rsidRDefault="0097282A" w:rsidP="0097282A">
            <w:pPr>
              <w:ind w:firstLineChars="100" w:firstLine="180"/>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Instituições financeiras e clientes</w:t>
            </w:r>
          </w:p>
        </w:tc>
        <w:tc>
          <w:tcPr>
            <w:tcW w:w="533" w:type="pct"/>
            <w:tcBorders>
              <w:top w:val="nil"/>
              <w:left w:val="nil"/>
              <w:bottom w:val="nil"/>
              <w:right w:val="nil"/>
            </w:tcBorders>
            <w:shd w:val="clear" w:color="000000" w:fill="FFFFFF"/>
            <w:noWrap/>
            <w:vAlign w:val="center"/>
            <w:hideMark/>
          </w:tcPr>
          <w:p w14:paraId="52848123" w14:textId="6432D467" w:rsidR="0097282A" w:rsidRPr="00D446C8" w:rsidRDefault="00A238A8" w:rsidP="0097282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646</w:t>
            </w:r>
          </w:p>
        </w:tc>
        <w:tc>
          <w:tcPr>
            <w:tcW w:w="533" w:type="pct"/>
            <w:tcBorders>
              <w:top w:val="nil"/>
              <w:left w:val="nil"/>
              <w:bottom w:val="nil"/>
              <w:right w:val="nil"/>
            </w:tcBorders>
            <w:shd w:val="clear" w:color="000000" w:fill="FFFFFF"/>
            <w:noWrap/>
            <w:vAlign w:val="center"/>
            <w:hideMark/>
          </w:tcPr>
          <w:p w14:paraId="405B03CA" w14:textId="466D74C5" w:rsidR="0097282A" w:rsidRPr="00D446C8" w:rsidRDefault="0097282A" w:rsidP="0097282A">
            <w:pPr>
              <w:jc w:val="center"/>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w:t>
            </w:r>
          </w:p>
        </w:tc>
        <w:tc>
          <w:tcPr>
            <w:tcW w:w="534" w:type="pct"/>
            <w:tcBorders>
              <w:top w:val="nil"/>
              <w:left w:val="nil"/>
              <w:bottom w:val="nil"/>
              <w:right w:val="nil"/>
            </w:tcBorders>
            <w:shd w:val="clear" w:color="000000" w:fill="FFFFFF"/>
            <w:vAlign w:val="center"/>
            <w:hideMark/>
          </w:tcPr>
          <w:p w14:paraId="7EAD41AF" w14:textId="6A403DAD" w:rsidR="0097282A" w:rsidRPr="00D446C8" w:rsidRDefault="0097282A" w:rsidP="0097282A">
            <w:pPr>
              <w:jc w:val="center"/>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w:t>
            </w:r>
          </w:p>
        </w:tc>
        <w:tc>
          <w:tcPr>
            <w:tcW w:w="533" w:type="pct"/>
            <w:tcBorders>
              <w:top w:val="nil"/>
              <w:left w:val="nil"/>
              <w:bottom w:val="nil"/>
              <w:right w:val="nil"/>
            </w:tcBorders>
            <w:shd w:val="clear" w:color="000000" w:fill="FFFFFF"/>
            <w:noWrap/>
            <w:vAlign w:val="center"/>
            <w:hideMark/>
          </w:tcPr>
          <w:p w14:paraId="57BDC697" w14:textId="1813EDDA" w:rsidR="0097282A" w:rsidRPr="00D446C8" w:rsidRDefault="0097282A" w:rsidP="0097282A">
            <w:pPr>
              <w:jc w:val="center"/>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w:t>
            </w:r>
          </w:p>
        </w:tc>
        <w:tc>
          <w:tcPr>
            <w:tcW w:w="533" w:type="pct"/>
            <w:tcBorders>
              <w:top w:val="nil"/>
              <w:left w:val="nil"/>
              <w:bottom w:val="nil"/>
              <w:right w:val="nil"/>
            </w:tcBorders>
            <w:shd w:val="clear" w:color="000000" w:fill="FFFFFF"/>
            <w:noWrap/>
            <w:vAlign w:val="center"/>
            <w:hideMark/>
          </w:tcPr>
          <w:p w14:paraId="26787DFA" w14:textId="07E73466" w:rsidR="0097282A" w:rsidRPr="00D446C8" w:rsidRDefault="00A238A8" w:rsidP="0097282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646</w:t>
            </w:r>
          </w:p>
        </w:tc>
        <w:tc>
          <w:tcPr>
            <w:tcW w:w="534" w:type="pct"/>
            <w:tcBorders>
              <w:top w:val="nil"/>
              <w:left w:val="nil"/>
              <w:bottom w:val="nil"/>
              <w:right w:val="nil"/>
            </w:tcBorders>
            <w:shd w:val="clear" w:color="000000" w:fill="FFFFFF"/>
            <w:noWrap/>
            <w:vAlign w:val="center"/>
            <w:hideMark/>
          </w:tcPr>
          <w:p w14:paraId="7785A19B" w14:textId="4EAAE70D" w:rsidR="0097282A" w:rsidRPr="00D446C8" w:rsidRDefault="00A238A8" w:rsidP="0097282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46</w:t>
            </w:r>
          </w:p>
        </w:tc>
      </w:tr>
      <w:tr w:rsidR="0097282A" w:rsidRPr="00D446C8" w14:paraId="642F7050" w14:textId="77777777" w:rsidTr="00D01743">
        <w:trPr>
          <w:trHeight w:val="283"/>
        </w:trPr>
        <w:tc>
          <w:tcPr>
            <w:tcW w:w="1800" w:type="pct"/>
            <w:tcBorders>
              <w:top w:val="nil"/>
              <w:left w:val="nil"/>
              <w:bottom w:val="single" w:sz="8" w:space="0" w:color="FFFFFF"/>
              <w:right w:val="nil"/>
            </w:tcBorders>
            <w:shd w:val="clear" w:color="000000" w:fill="D0E0E3"/>
            <w:noWrap/>
            <w:vAlign w:val="center"/>
            <w:hideMark/>
          </w:tcPr>
          <w:p w14:paraId="73B150BC" w14:textId="77777777" w:rsidR="0097282A" w:rsidRPr="00D446C8" w:rsidRDefault="0097282A" w:rsidP="0097282A">
            <w:pP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Futuro</w:t>
            </w:r>
          </w:p>
        </w:tc>
        <w:tc>
          <w:tcPr>
            <w:tcW w:w="533" w:type="pct"/>
            <w:tcBorders>
              <w:top w:val="nil"/>
              <w:left w:val="nil"/>
              <w:bottom w:val="single" w:sz="8" w:space="0" w:color="FFFFFF"/>
              <w:right w:val="nil"/>
            </w:tcBorders>
            <w:shd w:val="clear" w:color="000000" w:fill="D0E0E3"/>
            <w:noWrap/>
            <w:vAlign w:val="center"/>
            <w:hideMark/>
          </w:tcPr>
          <w:p w14:paraId="747332AE" w14:textId="6B82011D" w:rsidR="0097282A" w:rsidRPr="00D446C8" w:rsidRDefault="0097282A" w:rsidP="0097282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17.289</w:t>
            </w:r>
          </w:p>
        </w:tc>
        <w:tc>
          <w:tcPr>
            <w:tcW w:w="533" w:type="pct"/>
            <w:tcBorders>
              <w:top w:val="nil"/>
              <w:left w:val="nil"/>
              <w:bottom w:val="single" w:sz="8" w:space="0" w:color="FFFFFF"/>
              <w:right w:val="nil"/>
            </w:tcBorders>
            <w:shd w:val="clear" w:color="000000" w:fill="D0E0E3"/>
            <w:noWrap/>
            <w:vAlign w:val="center"/>
            <w:hideMark/>
          </w:tcPr>
          <w:p w14:paraId="026C3D1E" w14:textId="21230136" w:rsidR="0097282A" w:rsidRPr="00D446C8" w:rsidRDefault="00A238A8" w:rsidP="0097282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462</w:t>
            </w:r>
          </w:p>
        </w:tc>
        <w:tc>
          <w:tcPr>
            <w:tcW w:w="534" w:type="pct"/>
            <w:tcBorders>
              <w:top w:val="nil"/>
              <w:left w:val="nil"/>
              <w:bottom w:val="single" w:sz="8" w:space="0" w:color="FFFFFF"/>
              <w:right w:val="nil"/>
            </w:tcBorders>
            <w:shd w:val="clear" w:color="000000" w:fill="D0E0E3"/>
            <w:noWrap/>
            <w:vAlign w:val="center"/>
            <w:hideMark/>
          </w:tcPr>
          <w:p w14:paraId="0D715DC6" w14:textId="6914094F" w:rsidR="0097282A" w:rsidRPr="00D446C8" w:rsidRDefault="0097282A" w:rsidP="0097282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533" w:type="pct"/>
            <w:tcBorders>
              <w:top w:val="nil"/>
              <w:left w:val="nil"/>
              <w:bottom w:val="single" w:sz="8" w:space="0" w:color="FFFFFF"/>
              <w:right w:val="nil"/>
            </w:tcBorders>
            <w:shd w:val="clear" w:color="000000" w:fill="D0E0E3"/>
            <w:noWrap/>
            <w:vAlign w:val="center"/>
            <w:hideMark/>
          </w:tcPr>
          <w:p w14:paraId="51273F69" w14:textId="20F2714A" w:rsidR="0097282A" w:rsidRPr="00D446C8" w:rsidRDefault="0097282A" w:rsidP="0097282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533" w:type="pct"/>
            <w:tcBorders>
              <w:top w:val="nil"/>
              <w:left w:val="nil"/>
              <w:bottom w:val="single" w:sz="8" w:space="0" w:color="FFFFFF"/>
              <w:right w:val="nil"/>
            </w:tcBorders>
            <w:shd w:val="clear" w:color="000000" w:fill="D0E0E3"/>
            <w:noWrap/>
            <w:vAlign w:val="center"/>
            <w:hideMark/>
          </w:tcPr>
          <w:p w14:paraId="69B87EC0" w14:textId="27264249" w:rsidR="0097282A" w:rsidRPr="00D446C8" w:rsidRDefault="0097282A" w:rsidP="0097282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17.751</w:t>
            </w:r>
          </w:p>
        </w:tc>
        <w:tc>
          <w:tcPr>
            <w:tcW w:w="534" w:type="pct"/>
            <w:tcBorders>
              <w:top w:val="nil"/>
              <w:left w:val="nil"/>
              <w:bottom w:val="single" w:sz="8" w:space="0" w:color="FFFFFF"/>
              <w:right w:val="nil"/>
            </w:tcBorders>
            <w:shd w:val="clear" w:color="000000" w:fill="D0E0E3"/>
            <w:noWrap/>
            <w:vAlign w:val="center"/>
            <w:hideMark/>
          </w:tcPr>
          <w:p w14:paraId="65E38342" w14:textId="2EE74F80" w:rsidR="0097282A" w:rsidRPr="00D446C8" w:rsidRDefault="00A238A8" w:rsidP="0097282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r>
      <w:tr w:rsidR="0097282A" w:rsidRPr="00D446C8" w14:paraId="1835E3BF" w14:textId="77777777" w:rsidTr="00D01743">
        <w:trPr>
          <w:trHeight w:val="283"/>
        </w:trPr>
        <w:tc>
          <w:tcPr>
            <w:tcW w:w="1800" w:type="pct"/>
            <w:tcBorders>
              <w:top w:val="nil"/>
              <w:left w:val="nil"/>
              <w:bottom w:val="nil"/>
              <w:right w:val="nil"/>
            </w:tcBorders>
            <w:shd w:val="clear" w:color="000000" w:fill="FFFFFF"/>
            <w:noWrap/>
            <w:vAlign w:val="center"/>
            <w:hideMark/>
          </w:tcPr>
          <w:p w14:paraId="0AF49823" w14:textId="7B590B20" w:rsidR="0097282A" w:rsidRPr="00D446C8" w:rsidRDefault="0097282A" w:rsidP="0097282A">
            <w:pPr>
              <w:ind w:firstLineChars="100" w:firstLine="180"/>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Índices/B3</w:t>
            </w:r>
          </w:p>
        </w:tc>
        <w:tc>
          <w:tcPr>
            <w:tcW w:w="533" w:type="pct"/>
            <w:tcBorders>
              <w:top w:val="nil"/>
              <w:left w:val="nil"/>
              <w:bottom w:val="nil"/>
              <w:right w:val="nil"/>
            </w:tcBorders>
            <w:shd w:val="clear" w:color="000000" w:fill="FFFFFF"/>
            <w:noWrap/>
            <w:vAlign w:val="center"/>
            <w:hideMark/>
          </w:tcPr>
          <w:p w14:paraId="647D3FD8" w14:textId="3DE6036C" w:rsidR="0097282A" w:rsidRPr="00D446C8" w:rsidRDefault="00A238A8" w:rsidP="0097282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17.289</w:t>
            </w:r>
          </w:p>
        </w:tc>
        <w:tc>
          <w:tcPr>
            <w:tcW w:w="533" w:type="pct"/>
            <w:tcBorders>
              <w:top w:val="nil"/>
              <w:left w:val="nil"/>
              <w:bottom w:val="nil"/>
              <w:right w:val="nil"/>
            </w:tcBorders>
            <w:shd w:val="clear" w:color="000000" w:fill="FFFFFF"/>
            <w:noWrap/>
            <w:vAlign w:val="center"/>
            <w:hideMark/>
          </w:tcPr>
          <w:p w14:paraId="34072619" w14:textId="6B680312" w:rsidR="0097282A" w:rsidRPr="00D446C8" w:rsidRDefault="00A238A8" w:rsidP="0097282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462</w:t>
            </w:r>
          </w:p>
        </w:tc>
        <w:tc>
          <w:tcPr>
            <w:tcW w:w="534" w:type="pct"/>
            <w:tcBorders>
              <w:top w:val="nil"/>
              <w:left w:val="nil"/>
              <w:bottom w:val="nil"/>
              <w:right w:val="nil"/>
            </w:tcBorders>
            <w:shd w:val="clear" w:color="000000" w:fill="FFFFFF"/>
            <w:noWrap/>
            <w:vAlign w:val="center"/>
            <w:hideMark/>
          </w:tcPr>
          <w:p w14:paraId="114D64C0" w14:textId="26126FA1" w:rsidR="0097282A" w:rsidRPr="00D446C8" w:rsidRDefault="0097282A" w:rsidP="0097282A">
            <w:pPr>
              <w:jc w:val="center"/>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w:t>
            </w:r>
          </w:p>
        </w:tc>
        <w:tc>
          <w:tcPr>
            <w:tcW w:w="533" w:type="pct"/>
            <w:tcBorders>
              <w:top w:val="nil"/>
              <w:left w:val="nil"/>
              <w:bottom w:val="nil"/>
              <w:right w:val="nil"/>
            </w:tcBorders>
            <w:shd w:val="clear" w:color="000000" w:fill="FFFFFF"/>
            <w:noWrap/>
            <w:vAlign w:val="center"/>
            <w:hideMark/>
          </w:tcPr>
          <w:p w14:paraId="611EE128" w14:textId="43DCFA89" w:rsidR="0097282A" w:rsidRPr="00D446C8" w:rsidRDefault="0097282A" w:rsidP="0097282A">
            <w:pPr>
              <w:jc w:val="center"/>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w:t>
            </w:r>
          </w:p>
        </w:tc>
        <w:tc>
          <w:tcPr>
            <w:tcW w:w="533" w:type="pct"/>
            <w:tcBorders>
              <w:top w:val="nil"/>
              <w:left w:val="nil"/>
              <w:bottom w:val="nil"/>
              <w:right w:val="nil"/>
            </w:tcBorders>
            <w:shd w:val="clear" w:color="000000" w:fill="FFFFFF"/>
            <w:noWrap/>
            <w:vAlign w:val="center"/>
            <w:hideMark/>
          </w:tcPr>
          <w:p w14:paraId="78B09957" w14:textId="1EC5DFCF" w:rsidR="0097282A" w:rsidRPr="00D446C8" w:rsidRDefault="0097282A" w:rsidP="0097282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17.751</w:t>
            </w:r>
          </w:p>
        </w:tc>
        <w:tc>
          <w:tcPr>
            <w:tcW w:w="534" w:type="pct"/>
            <w:tcBorders>
              <w:top w:val="nil"/>
              <w:left w:val="nil"/>
              <w:bottom w:val="nil"/>
              <w:right w:val="nil"/>
            </w:tcBorders>
            <w:shd w:val="clear" w:color="000000" w:fill="FFFFFF"/>
            <w:noWrap/>
            <w:vAlign w:val="center"/>
            <w:hideMark/>
          </w:tcPr>
          <w:p w14:paraId="29F78855" w14:textId="1A292D10" w:rsidR="0097282A" w:rsidRPr="00D446C8" w:rsidRDefault="00A238A8" w:rsidP="0097282A">
            <w:pPr>
              <w:jc w:val="center"/>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w:t>
            </w:r>
          </w:p>
        </w:tc>
      </w:tr>
      <w:tr w:rsidR="0097282A" w:rsidRPr="00D446C8" w14:paraId="4D921EDE" w14:textId="77777777" w:rsidTr="00D01743">
        <w:trPr>
          <w:trHeight w:val="283"/>
        </w:trPr>
        <w:tc>
          <w:tcPr>
            <w:tcW w:w="1800" w:type="pct"/>
            <w:tcBorders>
              <w:top w:val="nil"/>
              <w:left w:val="nil"/>
              <w:bottom w:val="single" w:sz="8" w:space="0" w:color="FFFFFF"/>
              <w:right w:val="nil"/>
            </w:tcBorders>
            <w:shd w:val="clear" w:color="000000" w:fill="D0E0E3"/>
            <w:noWrap/>
            <w:vAlign w:val="center"/>
            <w:hideMark/>
          </w:tcPr>
          <w:p w14:paraId="666ED912" w14:textId="77777777" w:rsidR="0097282A" w:rsidRPr="00D446C8" w:rsidRDefault="0097282A" w:rsidP="0097282A">
            <w:pP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Posição passiva</w:t>
            </w:r>
          </w:p>
        </w:tc>
        <w:tc>
          <w:tcPr>
            <w:tcW w:w="533" w:type="pct"/>
            <w:tcBorders>
              <w:top w:val="nil"/>
              <w:left w:val="nil"/>
              <w:bottom w:val="single" w:sz="8" w:space="0" w:color="FFFFFF"/>
              <w:right w:val="nil"/>
            </w:tcBorders>
            <w:shd w:val="clear" w:color="000000" w:fill="D0E0E3"/>
            <w:noWrap/>
            <w:vAlign w:val="center"/>
            <w:hideMark/>
          </w:tcPr>
          <w:p w14:paraId="458A7AB4" w14:textId="30FCB0E0" w:rsidR="0097282A" w:rsidRPr="00D446C8" w:rsidRDefault="0097282A" w:rsidP="0097282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634.498</w:t>
            </w:r>
          </w:p>
        </w:tc>
        <w:tc>
          <w:tcPr>
            <w:tcW w:w="533" w:type="pct"/>
            <w:tcBorders>
              <w:top w:val="nil"/>
              <w:left w:val="nil"/>
              <w:bottom w:val="single" w:sz="8" w:space="0" w:color="FFFFFF"/>
              <w:right w:val="nil"/>
            </w:tcBorders>
            <w:shd w:val="clear" w:color="000000" w:fill="D0E0E3"/>
            <w:noWrap/>
            <w:vAlign w:val="center"/>
            <w:hideMark/>
          </w:tcPr>
          <w:p w14:paraId="6C922C32" w14:textId="4A8A5B03" w:rsidR="0097282A" w:rsidRPr="00D446C8" w:rsidRDefault="0097282A" w:rsidP="0097282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534" w:type="pct"/>
            <w:tcBorders>
              <w:top w:val="nil"/>
              <w:left w:val="nil"/>
              <w:bottom w:val="single" w:sz="8" w:space="0" w:color="FFFFFF"/>
              <w:right w:val="nil"/>
            </w:tcBorders>
            <w:shd w:val="clear" w:color="000000" w:fill="D0E0E3"/>
            <w:vAlign w:val="center"/>
            <w:hideMark/>
          </w:tcPr>
          <w:p w14:paraId="3EB66E14" w14:textId="30D159AF" w:rsidR="0097282A" w:rsidRPr="00D446C8" w:rsidRDefault="0097282A" w:rsidP="0097282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19.594</w:t>
            </w:r>
          </w:p>
        </w:tc>
        <w:tc>
          <w:tcPr>
            <w:tcW w:w="533" w:type="pct"/>
            <w:tcBorders>
              <w:top w:val="nil"/>
              <w:left w:val="nil"/>
              <w:bottom w:val="single" w:sz="8" w:space="0" w:color="FFFFFF"/>
              <w:right w:val="nil"/>
            </w:tcBorders>
            <w:shd w:val="clear" w:color="000000" w:fill="D0E0E3"/>
            <w:noWrap/>
            <w:vAlign w:val="center"/>
            <w:hideMark/>
          </w:tcPr>
          <w:p w14:paraId="77A9CF1A" w14:textId="0BFB814D" w:rsidR="0097282A" w:rsidRPr="00D446C8" w:rsidRDefault="0097282A" w:rsidP="0097282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698.453</w:t>
            </w:r>
          </w:p>
        </w:tc>
        <w:tc>
          <w:tcPr>
            <w:tcW w:w="533" w:type="pct"/>
            <w:tcBorders>
              <w:top w:val="nil"/>
              <w:left w:val="nil"/>
              <w:bottom w:val="single" w:sz="8" w:space="0" w:color="FFFFFF"/>
              <w:right w:val="nil"/>
            </w:tcBorders>
            <w:shd w:val="clear" w:color="000000" w:fill="D0E0E3"/>
            <w:noWrap/>
            <w:vAlign w:val="center"/>
            <w:hideMark/>
          </w:tcPr>
          <w:p w14:paraId="487B107B" w14:textId="60A42B7A" w:rsidR="0097282A" w:rsidRPr="00D446C8" w:rsidRDefault="0097282A" w:rsidP="0097282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1.352.545</w:t>
            </w:r>
          </w:p>
        </w:tc>
        <w:tc>
          <w:tcPr>
            <w:tcW w:w="534" w:type="pct"/>
            <w:tcBorders>
              <w:top w:val="nil"/>
              <w:left w:val="nil"/>
              <w:bottom w:val="single" w:sz="8" w:space="0" w:color="FFFFFF"/>
              <w:right w:val="nil"/>
            </w:tcBorders>
            <w:shd w:val="clear" w:color="000000" w:fill="D0E0E3"/>
            <w:noWrap/>
            <w:vAlign w:val="center"/>
            <w:hideMark/>
          </w:tcPr>
          <w:p w14:paraId="34341839" w14:textId="3DF374FD" w:rsidR="0097282A" w:rsidRPr="00D446C8" w:rsidRDefault="0097282A" w:rsidP="0097282A">
            <w:pPr>
              <w:jc w:val="right"/>
              <w:rPr>
                <w:rFonts w:ascii="CAIXA Std Book" w:eastAsia="Times New Roman" w:hAnsi="CAIXA Std Book" w:cs="Arial"/>
                <w:b/>
                <w:color w:val="005CA9"/>
                <w:sz w:val="18"/>
                <w:szCs w:val="18"/>
              </w:rPr>
            </w:pPr>
            <w:r w:rsidRPr="00D446C8">
              <w:rPr>
                <w:rFonts w:ascii="CAIXA Std Book" w:eastAsia="Times New Roman" w:hAnsi="CAIXA Std Book" w:cs="Arial"/>
                <w:b/>
                <w:color w:val="005CA9"/>
                <w:sz w:val="18"/>
                <w:szCs w:val="18"/>
              </w:rPr>
              <w:t>372.406</w:t>
            </w:r>
          </w:p>
        </w:tc>
      </w:tr>
      <w:tr w:rsidR="0097282A" w:rsidRPr="00D446C8" w14:paraId="60504C12" w14:textId="77777777" w:rsidTr="00D01743">
        <w:trPr>
          <w:trHeight w:val="283"/>
        </w:trPr>
        <w:tc>
          <w:tcPr>
            <w:tcW w:w="1800" w:type="pct"/>
            <w:tcBorders>
              <w:top w:val="nil"/>
              <w:left w:val="nil"/>
              <w:bottom w:val="single" w:sz="8" w:space="0" w:color="FFFFFF"/>
              <w:right w:val="nil"/>
            </w:tcBorders>
            <w:shd w:val="clear" w:color="000000" w:fill="D0E0E3"/>
            <w:noWrap/>
            <w:vAlign w:val="center"/>
            <w:hideMark/>
          </w:tcPr>
          <w:p w14:paraId="79B71485" w14:textId="77777777" w:rsidR="0097282A" w:rsidRPr="00D446C8" w:rsidRDefault="0097282A" w:rsidP="0097282A">
            <w:pP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i/>
                <w:iCs/>
                <w:color w:val="005CA9"/>
                <w:sz w:val="18"/>
                <w:szCs w:val="18"/>
              </w:rPr>
              <w:t>Swap</w:t>
            </w:r>
          </w:p>
        </w:tc>
        <w:tc>
          <w:tcPr>
            <w:tcW w:w="533" w:type="pct"/>
            <w:tcBorders>
              <w:top w:val="nil"/>
              <w:left w:val="nil"/>
              <w:bottom w:val="single" w:sz="8" w:space="0" w:color="FFFFFF"/>
              <w:right w:val="nil"/>
            </w:tcBorders>
            <w:shd w:val="clear" w:color="000000" w:fill="D0E0E3"/>
            <w:noWrap/>
            <w:vAlign w:val="center"/>
            <w:hideMark/>
          </w:tcPr>
          <w:p w14:paraId="7F9B2567" w14:textId="7350972B" w:rsidR="0097282A" w:rsidRPr="00D446C8" w:rsidRDefault="0097282A" w:rsidP="0097282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20.255</w:t>
            </w:r>
          </w:p>
        </w:tc>
        <w:tc>
          <w:tcPr>
            <w:tcW w:w="533" w:type="pct"/>
            <w:tcBorders>
              <w:top w:val="nil"/>
              <w:left w:val="nil"/>
              <w:bottom w:val="single" w:sz="8" w:space="0" w:color="FFFFFF"/>
              <w:right w:val="nil"/>
            </w:tcBorders>
            <w:shd w:val="clear" w:color="000000" w:fill="D0E0E3"/>
            <w:noWrap/>
            <w:vAlign w:val="center"/>
            <w:hideMark/>
          </w:tcPr>
          <w:p w14:paraId="7DF6E09E" w14:textId="7BF1EA8A" w:rsidR="0097282A" w:rsidRPr="00D446C8" w:rsidRDefault="0097282A" w:rsidP="0097282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534" w:type="pct"/>
            <w:tcBorders>
              <w:top w:val="nil"/>
              <w:left w:val="nil"/>
              <w:bottom w:val="single" w:sz="8" w:space="0" w:color="FFFFFF"/>
              <w:right w:val="nil"/>
            </w:tcBorders>
            <w:shd w:val="clear" w:color="000000" w:fill="D0E0E3"/>
            <w:vAlign w:val="center"/>
            <w:hideMark/>
          </w:tcPr>
          <w:p w14:paraId="03140583" w14:textId="04B603FF" w:rsidR="0097282A" w:rsidRPr="00D446C8" w:rsidRDefault="0097282A" w:rsidP="0097282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19.594</w:t>
            </w:r>
          </w:p>
        </w:tc>
        <w:tc>
          <w:tcPr>
            <w:tcW w:w="533" w:type="pct"/>
            <w:tcBorders>
              <w:top w:val="nil"/>
              <w:left w:val="nil"/>
              <w:bottom w:val="single" w:sz="8" w:space="0" w:color="FFFFFF"/>
              <w:right w:val="nil"/>
            </w:tcBorders>
            <w:shd w:val="clear" w:color="000000" w:fill="D0E0E3"/>
            <w:noWrap/>
            <w:vAlign w:val="center"/>
            <w:hideMark/>
          </w:tcPr>
          <w:p w14:paraId="32242CA9" w14:textId="59661E7C" w:rsidR="0097282A" w:rsidRPr="00D446C8" w:rsidRDefault="0097282A" w:rsidP="0097282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698.453</w:t>
            </w:r>
          </w:p>
        </w:tc>
        <w:tc>
          <w:tcPr>
            <w:tcW w:w="533" w:type="pct"/>
            <w:tcBorders>
              <w:top w:val="nil"/>
              <w:left w:val="nil"/>
              <w:bottom w:val="single" w:sz="8" w:space="0" w:color="FFFFFF"/>
              <w:right w:val="nil"/>
            </w:tcBorders>
            <w:shd w:val="clear" w:color="000000" w:fill="D0E0E3"/>
            <w:noWrap/>
            <w:vAlign w:val="center"/>
            <w:hideMark/>
          </w:tcPr>
          <w:p w14:paraId="30D22078" w14:textId="191E84AC" w:rsidR="0097282A" w:rsidRPr="00D446C8" w:rsidRDefault="0097282A" w:rsidP="0097282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738.302</w:t>
            </w:r>
          </w:p>
        </w:tc>
        <w:tc>
          <w:tcPr>
            <w:tcW w:w="534" w:type="pct"/>
            <w:tcBorders>
              <w:top w:val="nil"/>
              <w:left w:val="nil"/>
              <w:bottom w:val="single" w:sz="8" w:space="0" w:color="FFFFFF"/>
              <w:right w:val="nil"/>
            </w:tcBorders>
            <w:shd w:val="clear" w:color="000000" w:fill="D0E0E3"/>
            <w:noWrap/>
            <w:vAlign w:val="center"/>
            <w:hideMark/>
          </w:tcPr>
          <w:p w14:paraId="08347A9B" w14:textId="6B713DB1" w:rsidR="0097282A" w:rsidRPr="00D446C8" w:rsidRDefault="0097282A" w:rsidP="0097282A">
            <w:pPr>
              <w:jc w:val="right"/>
              <w:rPr>
                <w:rFonts w:ascii="CAIXA Std Book" w:eastAsia="Times New Roman" w:hAnsi="CAIXA Std Book" w:cs="Arial"/>
                <w:b/>
                <w:color w:val="005CA9"/>
                <w:sz w:val="18"/>
                <w:szCs w:val="18"/>
              </w:rPr>
            </w:pPr>
            <w:r w:rsidRPr="00D446C8">
              <w:rPr>
                <w:rFonts w:ascii="CAIXA Std Book" w:eastAsia="Times New Roman" w:hAnsi="CAIXA Std Book" w:cs="Arial"/>
                <w:b/>
                <w:color w:val="005CA9"/>
                <w:sz w:val="18"/>
                <w:szCs w:val="18"/>
              </w:rPr>
              <w:t>372.352</w:t>
            </w:r>
          </w:p>
        </w:tc>
      </w:tr>
      <w:tr w:rsidR="0097282A" w:rsidRPr="00D446C8" w14:paraId="57E097D9" w14:textId="77777777" w:rsidTr="001959AD">
        <w:trPr>
          <w:trHeight w:val="283"/>
        </w:trPr>
        <w:tc>
          <w:tcPr>
            <w:tcW w:w="1800" w:type="pct"/>
            <w:tcBorders>
              <w:top w:val="nil"/>
              <w:left w:val="nil"/>
              <w:right w:val="nil"/>
            </w:tcBorders>
            <w:shd w:val="clear" w:color="000000" w:fill="FFFFFF"/>
            <w:noWrap/>
            <w:vAlign w:val="center"/>
            <w:hideMark/>
          </w:tcPr>
          <w:p w14:paraId="03833E7C" w14:textId="77777777" w:rsidR="0097282A" w:rsidRPr="00D446C8" w:rsidRDefault="0097282A" w:rsidP="0097282A">
            <w:pPr>
              <w:ind w:firstLineChars="100" w:firstLine="180"/>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Índices/B3</w:t>
            </w:r>
          </w:p>
        </w:tc>
        <w:tc>
          <w:tcPr>
            <w:tcW w:w="533" w:type="pct"/>
            <w:tcBorders>
              <w:top w:val="nil"/>
              <w:left w:val="nil"/>
              <w:right w:val="nil"/>
            </w:tcBorders>
            <w:shd w:val="clear" w:color="000000" w:fill="FFFFFF"/>
            <w:noWrap/>
            <w:vAlign w:val="center"/>
            <w:hideMark/>
          </w:tcPr>
          <w:p w14:paraId="5D00DCC2" w14:textId="4BD6A1B3" w:rsidR="0097282A" w:rsidRPr="00D446C8" w:rsidRDefault="00A238A8" w:rsidP="0097282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20.255</w:t>
            </w:r>
          </w:p>
        </w:tc>
        <w:tc>
          <w:tcPr>
            <w:tcW w:w="533" w:type="pct"/>
            <w:tcBorders>
              <w:top w:val="nil"/>
              <w:left w:val="nil"/>
              <w:right w:val="nil"/>
            </w:tcBorders>
            <w:shd w:val="clear" w:color="000000" w:fill="FFFFFF"/>
            <w:noWrap/>
            <w:vAlign w:val="center"/>
            <w:hideMark/>
          </w:tcPr>
          <w:p w14:paraId="0521E3C9" w14:textId="7663EA6B" w:rsidR="0097282A" w:rsidRPr="00D446C8" w:rsidRDefault="0097282A" w:rsidP="0097282A">
            <w:pPr>
              <w:jc w:val="center"/>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w:t>
            </w:r>
          </w:p>
        </w:tc>
        <w:tc>
          <w:tcPr>
            <w:tcW w:w="534" w:type="pct"/>
            <w:tcBorders>
              <w:top w:val="nil"/>
              <w:left w:val="nil"/>
              <w:right w:val="nil"/>
            </w:tcBorders>
            <w:shd w:val="clear" w:color="000000" w:fill="FFFFFF"/>
            <w:vAlign w:val="center"/>
            <w:hideMark/>
          </w:tcPr>
          <w:p w14:paraId="002C3951" w14:textId="7E389C05" w:rsidR="0097282A" w:rsidRPr="00D446C8" w:rsidRDefault="0097282A" w:rsidP="0097282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19.594</w:t>
            </w:r>
          </w:p>
        </w:tc>
        <w:tc>
          <w:tcPr>
            <w:tcW w:w="533" w:type="pct"/>
            <w:tcBorders>
              <w:top w:val="nil"/>
              <w:left w:val="nil"/>
              <w:right w:val="nil"/>
            </w:tcBorders>
            <w:shd w:val="clear" w:color="000000" w:fill="FFFFFF"/>
            <w:noWrap/>
            <w:vAlign w:val="center"/>
            <w:hideMark/>
          </w:tcPr>
          <w:p w14:paraId="3B9F7ABE" w14:textId="431F4E15" w:rsidR="0097282A" w:rsidRPr="00D446C8" w:rsidRDefault="0097282A" w:rsidP="0097282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698.453</w:t>
            </w:r>
          </w:p>
        </w:tc>
        <w:tc>
          <w:tcPr>
            <w:tcW w:w="533" w:type="pct"/>
            <w:tcBorders>
              <w:top w:val="nil"/>
              <w:left w:val="nil"/>
              <w:right w:val="nil"/>
            </w:tcBorders>
            <w:shd w:val="clear" w:color="000000" w:fill="FFFFFF"/>
            <w:noWrap/>
            <w:vAlign w:val="center"/>
            <w:hideMark/>
          </w:tcPr>
          <w:p w14:paraId="7034AC34" w14:textId="4FA568C7" w:rsidR="0097282A" w:rsidRPr="00D446C8" w:rsidRDefault="0097282A" w:rsidP="0097282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738.302</w:t>
            </w:r>
          </w:p>
        </w:tc>
        <w:tc>
          <w:tcPr>
            <w:tcW w:w="534" w:type="pct"/>
            <w:tcBorders>
              <w:top w:val="nil"/>
              <w:left w:val="nil"/>
              <w:right w:val="nil"/>
            </w:tcBorders>
            <w:shd w:val="clear" w:color="000000" w:fill="FFFFFF"/>
            <w:noWrap/>
            <w:vAlign w:val="center"/>
            <w:hideMark/>
          </w:tcPr>
          <w:p w14:paraId="2FBF45AC" w14:textId="0DCF6D61" w:rsidR="0097282A" w:rsidRPr="00D446C8" w:rsidRDefault="0097282A" w:rsidP="0097282A">
            <w:pPr>
              <w:jc w:val="right"/>
              <w:rPr>
                <w:rFonts w:ascii="CAIXA Std Book" w:eastAsia="Times New Roman" w:hAnsi="CAIXA Std Book" w:cs="Arial"/>
                <w:b/>
                <w:color w:val="005CA9"/>
                <w:sz w:val="18"/>
                <w:szCs w:val="18"/>
              </w:rPr>
            </w:pPr>
            <w:r w:rsidRPr="00D446C8">
              <w:rPr>
                <w:rFonts w:ascii="CAIXA Std Book" w:eastAsia="Times New Roman" w:hAnsi="CAIXA Std Book" w:cs="Arial"/>
                <w:b/>
                <w:color w:val="005CA9"/>
                <w:sz w:val="18"/>
                <w:szCs w:val="18"/>
              </w:rPr>
              <w:t>372.352</w:t>
            </w:r>
          </w:p>
        </w:tc>
      </w:tr>
      <w:tr w:rsidR="0097282A" w:rsidRPr="00D446C8" w14:paraId="1F721E5D" w14:textId="77777777" w:rsidTr="001959AD">
        <w:trPr>
          <w:trHeight w:val="283"/>
        </w:trPr>
        <w:tc>
          <w:tcPr>
            <w:tcW w:w="1800" w:type="pct"/>
            <w:tcBorders>
              <w:top w:val="nil"/>
              <w:left w:val="nil"/>
              <w:right w:val="nil"/>
            </w:tcBorders>
            <w:shd w:val="clear" w:color="000000" w:fill="D0E0E3"/>
            <w:noWrap/>
            <w:vAlign w:val="center"/>
            <w:hideMark/>
          </w:tcPr>
          <w:p w14:paraId="5E2E3ACB" w14:textId="77777777" w:rsidR="0097282A" w:rsidRPr="00D446C8" w:rsidRDefault="0097282A" w:rsidP="0097282A">
            <w:pP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Termo</w:t>
            </w:r>
          </w:p>
        </w:tc>
        <w:tc>
          <w:tcPr>
            <w:tcW w:w="533" w:type="pct"/>
            <w:tcBorders>
              <w:top w:val="nil"/>
              <w:left w:val="nil"/>
              <w:right w:val="nil"/>
            </w:tcBorders>
            <w:shd w:val="clear" w:color="000000" w:fill="D0E0E3"/>
            <w:noWrap/>
            <w:vAlign w:val="center"/>
            <w:hideMark/>
          </w:tcPr>
          <w:p w14:paraId="2E926B38" w14:textId="4FF3A87E" w:rsidR="0097282A" w:rsidRPr="00D446C8" w:rsidRDefault="00C63AD5" w:rsidP="0097282A">
            <w:pPr>
              <w:jc w:val="right"/>
              <w:rPr>
                <w:rFonts w:ascii="CAIXA Std Book" w:eastAsia="Times New Roman" w:hAnsi="CAIXA Std Book" w:cs="Times New Roman"/>
                <w:b/>
                <w:bCs/>
                <w:color w:val="005CA9"/>
                <w:sz w:val="18"/>
                <w:szCs w:val="18"/>
              </w:rPr>
            </w:pPr>
            <w:r w:rsidRPr="00D446C8">
              <w:rPr>
                <w:rFonts w:ascii="CAIXA Std Book" w:hAnsi="CAIXA Std Book"/>
                <w:b/>
                <w:color w:val="005CA9"/>
                <w:sz w:val="18"/>
                <w:szCs w:val="18"/>
              </w:rPr>
              <w:t>233</w:t>
            </w:r>
          </w:p>
        </w:tc>
        <w:tc>
          <w:tcPr>
            <w:tcW w:w="533" w:type="pct"/>
            <w:tcBorders>
              <w:top w:val="nil"/>
              <w:left w:val="nil"/>
              <w:right w:val="nil"/>
            </w:tcBorders>
            <w:shd w:val="clear" w:color="000000" w:fill="D0E0E3"/>
            <w:noWrap/>
            <w:vAlign w:val="center"/>
            <w:hideMark/>
          </w:tcPr>
          <w:p w14:paraId="42280548" w14:textId="68E68929" w:rsidR="0097282A" w:rsidRPr="00D446C8" w:rsidRDefault="0097282A" w:rsidP="0097282A">
            <w:pPr>
              <w:jc w:val="center"/>
              <w:rPr>
                <w:rFonts w:ascii="CAIXA Std Book" w:eastAsia="Times New Roman" w:hAnsi="CAIXA Std Book" w:cs="Times New Roman"/>
                <w:b/>
                <w:bCs/>
                <w:color w:val="005CA9"/>
                <w:sz w:val="18"/>
                <w:szCs w:val="18"/>
              </w:rPr>
            </w:pPr>
            <w:r w:rsidRPr="00D446C8">
              <w:rPr>
                <w:rFonts w:ascii="CAIXA Std Book" w:hAnsi="CAIXA Std Book"/>
                <w:b/>
                <w:color w:val="005CA9"/>
                <w:sz w:val="18"/>
                <w:szCs w:val="18"/>
              </w:rPr>
              <w:t>-</w:t>
            </w:r>
          </w:p>
        </w:tc>
        <w:tc>
          <w:tcPr>
            <w:tcW w:w="534" w:type="pct"/>
            <w:tcBorders>
              <w:top w:val="nil"/>
              <w:left w:val="nil"/>
              <w:right w:val="nil"/>
            </w:tcBorders>
            <w:shd w:val="clear" w:color="000000" w:fill="D0E0E3"/>
            <w:vAlign w:val="center"/>
            <w:hideMark/>
          </w:tcPr>
          <w:p w14:paraId="145F6F01" w14:textId="0ABBAB88" w:rsidR="0097282A" w:rsidRPr="00D446C8" w:rsidRDefault="00C63AD5" w:rsidP="00C63AD5">
            <w:pPr>
              <w:jc w:val="center"/>
              <w:rPr>
                <w:rFonts w:ascii="CAIXA Std Book" w:eastAsia="Times New Roman" w:hAnsi="CAIXA Std Book" w:cs="Times New Roman"/>
                <w:b/>
                <w:bCs/>
                <w:color w:val="005CA9"/>
                <w:sz w:val="18"/>
                <w:szCs w:val="18"/>
              </w:rPr>
            </w:pPr>
            <w:r w:rsidRPr="00D446C8">
              <w:rPr>
                <w:rFonts w:ascii="CAIXA Std Book" w:hAnsi="CAIXA Std Book"/>
                <w:b/>
                <w:color w:val="005CA9"/>
                <w:sz w:val="18"/>
                <w:szCs w:val="18"/>
              </w:rPr>
              <w:t>-</w:t>
            </w:r>
          </w:p>
        </w:tc>
        <w:tc>
          <w:tcPr>
            <w:tcW w:w="533" w:type="pct"/>
            <w:tcBorders>
              <w:top w:val="nil"/>
              <w:left w:val="nil"/>
              <w:right w:val="nil"/>
            </w:tcBorders>
            <w:shd w:val="clear" w:color="000000" w:fill="D0E0E3"/>
            <w:noWrap/>
            <w:vAlign w:val="center"/>
            <w:hideMark/>
          </w:tcPr>
          <w:p w14:paraId="2C3236A8" w14:textId="6F9DACF1" w:rsidR="0097282A" w:rsidRPr="00D446C8" w:rsidRDefault="00C63AD5" w:rsidP="00C63AD5">
            <w:pPr>
              <w:jc w:val="center"/>
              <w:rPr>
                <w:rFonts w:ascii="CAIXA Std Book" w:eastAsia="Times New Roman" w:hAnsi="CAIXA Std Book" w:cs="Times New Roman"/>
                <w:b/>
                <w:bCs/>
                <w:color w:val="005CA9"/>
                <w:sz w:val="18"/>
                <w:szCs w:val="18"/>
              </w:rPr>
            </w:pPr>
            <w:r w:rsidRPr="00D446C8">
              <w:rPr>
                <w:rFonts w:ascii="CAIXA Std Book" w:hAnsi="CAIXA Std Book"/>
                <w:b/>
                <w:color w:val="005CA9"/>
                <w:sz w:val="18"/>
                <w:szCs w:val="18"/>
              </w:rPr>
              <w:t>-</w:t>
            </w:r>
          </w:p>
        </w:tc>
        <w:tc>
          <w:tcPr>
            <w:tcW w:w="533" w:type="pct"/>
            <w:tcBorders>
              <w:top w:val="nil"/>
              <w:left w:val="nil"/>
              <w:right w:val="nil"/>
            </w:tcBorders>
            <w:shd w:val="clear" w:color="000000" w:fill="D0E0E3"/>
            <w:noWrap/>
            <w:vAlign w:val="center"/>
            <w:hideMark/>
          </w:tcPr>
          <w:p w14:paraId="1D6794D7" w14:textId="6F7C85D4" w:rsidR="0097282A" w:rsidRPr="00D446C8" w:rsidRDefault="00C63AD5" w:rsidP="0097282A">
            <w:pPr>
              <w:jc w:val="right"/>
              <w:rPr>
                <w:rFonts w:ascii="CAIXA Std Book" w:eastAsia="Times New Roman" w:hAnsi="CAIXA Std Book" w:cs="Times New Roman"/>
                <w:b/>
                <w:bCs/>
                <w:color w:val="005CA9"/>
                <w:sz w:val="18"/>
                <w:szCs w:val="18"/>
              </w:rPr>
            </w:pPr>
            <w:r w:rsidRPr="00D446C8">
              <w:rPr>
                <w:rFonts w:ascii="CAIXA Std Book" w:hAnsi="CAIXA Std Book"/>
                <w:b/>
                <w:color w:val="005CA9"/>
                <w:sz w:val="18"/>
                <w:szCs w:val="18"/>
              </w:rPr>
              <w:t>233</w:t>
            </w:r>
          </w:p>
        </w:tc>
        <w:tc>
          <w:tcPr>
            <w:tcW w:w="534" w:type="pct"/>
            <w:tcBorders>
              <w:top w:val="nil"/>
              <w:left w:val="nil"/>
              <w:right w:val="nil"/>
            </w:tcBorders>
            <w:shd w:val="clear" w:color="000000" w:fill="D0E0E3"/>
            <w:noWrap/>
            <w:vAlign w:val="center"/>
            <w:hideMark/>
          </w:tcPr>
          <w:p w14:paraId="29C5AC5C" w14:textId="1FC12922" w:rsidR="0097282A" w:rsidRPr="00D446C8" w:rsidRDefault="00A238A8" w:rsidP="0097282A">
            <w:pPr>
              <w:jc w:val="right"/>
              <w:rPr>
                <w:rFonts w:ascii="CAIXA Std Book" w:eastAsia="Times New Roman" w:hAnsi="CAIXA Std Book" w:cs="Arial"/>
                <w:b/>
                <w:color w:val="005CA9"/>
                <w:sz w:val="18"/>
                <w:szCs w:val="18"/>
              </w:rPr>
            </w:pPr>
            <w:r w:rsidRPr="00D446C8">
              <w:rPr>
                <w:rFonts w:ascii="CAIXA Std Book" w:eastAsia="Times New Roman" w:hAnsi="CAIXA Std Book" w:cs="Arial"/>
                <w:b/>
                <w:color w:val="005CA9"/>
                <w:sz w:val="18"/>
                <w:szCs w:val="18"/>
              </w:rPr>
              <w:t>4</w:t>
            </w:r>
          </w:p>
        </w:tc>
      </w:tr>
      <w:tr w:rsidR="0097282A" w:rsidRPr="00D446C8" w14:paraId="1E8772E5" w14:textId="77777777" w:rsidTr="001959AD">
        <w:trPr>
          <w:trHeight w:val="283"/>
        </w:trPr>
        <w:tc>
          <w:tcPr>
            <w:tcW w:w="1800" w:type="pct"/>
            <w:tcBorders>
              <w:top w:val="nil"/>
              <w:left w:val="nil"/>
              <w:right w:val="nil"/>
            </w:tcBorders>
            <w:noWrap/>
            <w:vAlign w:val="center"/>
            <w:hideMark/>
          </w:tcPr>
          <w:p w14:paraId="7803A08F" w14:textId="77777777" w:rsidR="0097282A" w:rsidRPr="00D446C8" w:rsidRDefault="0097282A" w:rsidP="00405CC4">
            <w:pPr>
              <w:ind w:firstLineChars="100" w:firstLine="180"/>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Instituições financeiras e clientes</w:t>
            </w:r>
          </w:p>
        </w:tc>
        <w:tc>
          <w:tcPr>
            <w:tcW w:w="533" w:type="pct"/>
            <w:tcBorders>
              <w:top w:val="nil"/>
              <w:left w:val="nil"/>
              <w:right w:val="nil"/>
            </w:tcBorders>
            <w:shd w:val="clear" w:color="000000" w:fill="FFFFFF"/>
            <w:noWrap/>
            <w:vAlign w:val="center"/>
            <w:hideMark/>
          </w:tcPr>
          <w:p w14:paraId="3E3398CB" w14:textId="2B00E403" w:rsidR="0097282A" w:rsidRPr="00D446C8" w:rsidRDefault="00C63AD5" w:rsidP="0097282A">
            <w:pPr>
              <w:jc w:val="right"/>
              <w:rPr>
                <w:rFonts w:ascii="CAIXA Std Book" w:eastAsia="Times New Roman" w:hAnsi="CAIXA Std Book" w:cs="Arial"/>
                <w:color w:val="005CA9"/>
                <w:sz w:val="18"/>
                <w:szCs w:val="18"/>
              </w:rPr>
            </w:pPr>
            <w:r w:rsidRPr="00D446C8">
              <w:rPr>
                <w:rFonts w:ascii="CAIXA Std Book" w:hAnsi="CAIXA Std Book" w:cs="Arial"/>
                <w:color w:val="005CA9"/>
                <w:sz w:val="18"/>
                <w:szCs w:val="18"/>
              </w:rPr>
              <w:t>233</w:t>
            </w:r>
          </w:p>
        </w:tc>
        <w:tc>
          <w:tcPr>
            <w:tcW w:w="533" w:type="pct"/>
            <w:tcBorders>
              <w:top w:val="nil"/>
              <w:left w:val="nil"/>
              <w:right w:val="nil"/>
            </w:tcBorders>
            <w:shd w:val="clear" w:color="000000" w:fill="FFFFFF"/>
            <w:noWrap/>
            <w:vAlign w:val="center"/>
            <w:hideMark/>
          </w:tcPr>
          <w:p w14:paraId="5C796D8D" w14:textId="24149E80" w:rsidR="0097282A" w:rsidRPr="00D446C8" w:rsidRDefault="0097282A" w:rsidP="0097282A">
            <w:pPr>
              <w:jc w:val="center"/>
              <w:rPr>
                <w:rFonts w:ascii="CAIXA Std Book" w:eastAsia="Times New Roman" w:hAnsi="CAIXA Std Book" w:cs="Arial"/>
                <w:color w:val="005CA9"/>
                <w:sz w:val="18"/>
                <w:szCs w:val="18"/>
              </w:rPr>
            </w:pPr>
            <w:r w:rsidRPr="00D446C8">
              <w:rPr>
                <w:rFonts w:ascii="CAIXA Std Book" w:hAnsi="CAIXA Std Book" w:cs="Arial"/>
                <w:color w:val="005CA9"/>
                <w:sz w:val="18"/>
                <w:szCs w:val="18"/>
              </w:rPr>
              <w:t>-</w:t>
            </w:r>
          </w:p>
        </w:tc>
        <w:tc>
          <w:tcPr>
            <w:tcW w:w="534" w:type="pct"/>
            <w:tcBorders>
              <w:top w:val="nil"/>
              <w:left w:val="nil"/>
              <w:right w:val="nil"/>
            </w:tcBorders>
            <w:shd w:val="clear" w:color="000000" w:fill="FFFFFF"/>
            <w:noWrap/>
            <w:vAlign w:val="center"/>
            <w:hideMark/>
          </w:tcPr>
          <w:p w14:paraId="396C90D7" w14:textId="24D43C03" w:rsidR="0097282A" w:rsidRPr="00D446C8" w:rsidRDefault="00C63AD5" w:rsidP="00C63AD5">
            <w:pPr>
              <w:jc w:val="center"/>
              <w:rPr>
                <w:rFonts w:ascii="CAIXA Std Book" w:eastAsia="Times New Roman" w:hAnsi="CAIXA Std Book" w:cs="Arial"/>
                <w:color w:val="005CA9"/>
                <w:sz w:val="18"/>
                <w:szCs w:val="18"/>
              </w:rPr>
            </w:pPr>
            <w:r w:rsidRPr="00D446C8">
              <w:rPr>
                <w:rFonts w:ascii="CAIXA Std Book" w:hAnsi="CAIXA Std Book" w:cs="Arial"/>
                <w:color w:val="005CA9"/>
                <w:sz w:val="18"/>
                <w:szCs w:val="18"/>
              </w:rPr>
              <w:t>-</w:t>
            </w:r>
          </w:p>
        </w:tc>
        <w:tc>
          <w:tcPr>
            <w:tcW w:w="533" w:type="pct"/>
            <w:tcBorders>
              <w:top w:val="nil"/>
              <w:left w:val="nil"/>
              <w:right w:val="nil"/>
            </w:tcBorders>
            <w:shd w:val="clear" w:color="000000" w:fill="FFFFFF"/>
            <w:noWrap/>
            <w:vAlign w:val="center"/>
            <w:hideMark/>
          </w:tcPr>
          <w:p w14:paraId="14FD610C" w14:textId="46AF5A78" w:rsidR="0097282A" w:rsidRPr="00D446C8" w:rsidRDefault="00C63AD5" w:rsidP="00C63AD5">
            <w:pPr>
              <w:jc w:val="center"/>
              <w:rPr>
                <w:rFonts w:ascii="CAIXA Std Book" w:eastAsia="Times New Roman" w:hAnsi="CAIXA Std Book" w:cs="Arial"/>
                <w:color w:val="005CA9"/>
                <w:sz w:val="18"/>
                <w:szCs w:val="18"/>
              </w:rPr>
            </w:pPr>
            <w:r w:rsidRPr="00D446C8">
              <w:rPr>
                <w:rFonts w:ascii="CAIXA Std Book" w:hAnsi="CAIXA Std Book" w:cs="Arial"/>
                <w:color w:val="005CA9"/>
                <w:sz w:val="18"/>
                <w:szCs w:val="18"/>
              </w:rPr>
              <w:t>-</w:t>
            </w:r>
          </w:p>
        </w:tc>
        <w:tc>
          <w:tcPr>
            <w:tcW w:w="533" w:type="pct"/>
            <w:tcBorders>
              <w:top w:val="nil"/>
              <w:left w:val="nil"/>
              <w:right w:val="nil"/>
            </w:tcBorders>
            <w:shd w:val="clear" w:color="000000" w:fill="FFFFFF"/>
            <w:noWrap/>
            <w:vAlign w:val="center"/>
            <w:hideMark/>
          </w:tcPr>
          <w:p w14:paraId="5780D423" w14:textId="51CE5131" w:rsidR="0097282A" w:rsidRPr="00D446C8" w:rsidRDefault="00C63AD5" w:rsidP="0097282A">
            <w:pPr>
              <w:jc w:val="right"/>
              <w:rPr>
                <w:rFonts w:ascii="CAIXA Std Book" w:eastAsia="Times New Roman" w:hAnsi="CAIXA Std Book" w:cs="Arial"/>
                <w:color w:val="005CA9"/>
                <w:sz w:val="18"/>
                <w:szCs w:val="18"/>
              </w:rPr>
            </w:pPr>
            <w:r w:rsidRPr="00D446C8">
              <w:rPr>
                <w:rFonts w:ascii="CAIXA Std Book" w:hAnsi="CAIXA Std Book" w:cs="Arial"/>
                <w:color w:val="005CA9"/>
                <w:sz w:val="18"/>
                <w:szCs w:val="18"/>
              </w:rPr>
              <w:t>233</w:t>
            </w:r>
          </w:p>
        </w:tc>
        <w:tc>
          <w:tcPr>
            <w:tcW w:w="534" w:type="pct"/>
            <w:tcBorders>
              <w:top w:val="nil"/>
              <w:left w:val="nil"/>
              <w:right w:val="nil"/>
            </w:tcBorders>
            <w:noWrap/>
            <w:vAlign w:val="center"/>
            <w:hideMark/>
          </w:tcPr>
          <w:p w14:paraId="04572733" w14:textId="4658C4A9" w:rsidR="0097282A" w:rsidRPr="00D446C8" w:rsidRDefault="00A238A8" w:rsidP="0097282A">
            <w:pPr>
              <w:jc w:val="right"/>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4</w:t>
            </w:r>
          </w:p>
        </w:tc>
      </w:tr>
      <w:tr w:rsidR="0097282A" w:rsidRPr="00D446C8" w14:paraId="32C1D8E4" w14:textId="77777777" w:rsidTr="00D446C8">
        <w:trPr>
          <w:trHeight w:val="283"/>
        </w:trPr>
        <w:tc>
          <w:tcPr>
            <w:tcW w:w="1800" w:type="pct"/>
            <w:tcBorders>
              <w:top w:val="nil"/>
              <w:left w:val="nil"/>
              <w:right w:val="nil"/>
            </w:tcBorders>
            <w:shd w:val="clear" w:color="000000" w:fill="D0E0E3"/>
            <w:noWrap/>
            <w:vAlign w:val="center"/>
            <w:hideMark/>
          </w:tcPr>
          <w:p w14:paraId="4D4F8AD7" w14:textId="77777777" w:rsidR="0097282A" w:rsidRPr="00D446C8" w:rsidRDefault="0097282A" w:rsidP="0097282A">
            <w:pP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Futuro</w:t>
            </w:r>
          </w:p>
        </w:tc>
        <w:tc>
          <w:tcPr>
            <w:tcW w:w="533" w:type="pct"/>
            <w:tcBorders>
              <w:top w:val="nil"/>
              <w:left w:val="nil"/>
              <w:right w:val="nil"/>
            </w:tcBorders>
            <w:shd w:val="clear" w:color="000000" w:fill="D0E0E3"/>
            <w:noWrap/>
            <w:vAlign w:val="center"/>
            <w:hideMark/>
          </w:tcPr>
          <w:p w14:paraId="7F8E372A" w14:textId="5C487403" w:rsidR="0097282A" w:rsidRPr="00D446C8" w:rsidRDefault="00EF64E5" w:rsidP="0097282A">
            <w:pPr>
              <w:jc w:val="right"/>
              <w:rPr>
                <w:rFonts w:ascii="CAIXA Std Book" w:eastAsia="Times New Roman" w:hAnsi="CAIXA Std Book" w:cs="Times New Roman"/>
                <w:b/>
                <w:bCs/>
                <w:color w:val="005CA9"/>
                <w:sz w:val="18"/>
                <w:szCs w:val="18"/>
              </w:rPr>
            </w:pPr>
            <w:r w:rsidRPr="00D446C8">
              <w:rPr>
                <w:rFonts w:ascii="CAIXA Std Book" w:hAnsi="CAIXA Std Book" w:cs="Arial"/>
                <w:b/>
                <w:bCs/>
                <w:color w:val="005CA9"/>
                <w:sz w:val="18"/>
                <w:szCs w:val="18"/>
              </w:rPr>
              <w:t>614.010</w:t>
            </w:r>
          </w:p>
        </w:tc>
        <w:tc>
          <w:tcPr>
            <w:tcW w:w="533" w:type="pct"/>
            <w:tcBorders>
              <w:top w:val="nil"/>
              <w:left w:val="nil"/>
              <w:right w:val="nil"/>
            </w:tcBorders>
            <w:shd w:val="clear" w:color="000000" w:fill="D0E0E3"/>
            <w:noWrap/>
            <w:vAlign w:val="center"/>
            <w:hideMark/>
          </w:tcPr>
          <w:p w14:paraId="0DE73707" w14:textId="01E2E020" w:rsidR="0097282A" w:rsidRPr="00D446C8" w:rsidRDefault="0097282A" w:rsidP="0097282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534" w:type="pct"/>
            <w:tcBorders>
              <w:top w:val="nil"/>
              <w:left w:val="nil"/>
              <w:right w:val="nil"/>
            </w:tcBorders>
            <w:shd w:val="clear" w:color="000000" w:fill="D0E0E3"/>
            <w:vAlign w:val="center"/>
            <w:hideMark/>
          </w:tcPr>
          <w:p w14:paraId="7A36C940" w14:textId="15A7B52F" w:rsidR="0097282A" w:rsidRPr="00D446C8" w:rsidRDefault="0097282A" w:rsidP="0097282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533" w:type="pct"/>
            <w:tcBorders>
              <w:top w:val="nil"/>
              <w:left w:val="nil"/>
              <w:right w:val="nil"/>
            </w:tcBorders>
            <w:shd w:val="clear" w:color="000000" w:fill="D0E0E3"/>
            <w:noWrap/>
            <w:vAlign w:val="center"/>
            <w:hideMark/>
          </w:tcPr>
          <w:p w14:paraId="22D3A7EB" w14:textId="3D0C47AB" w:rsidR="0097282A" w:rsidRPr="00D446C8" w:rsidRDefault="0097282A" w:rsidP="0097282A">
            <w:pPr>
              <w:jc w:val="center"/>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w:t>
            </w:r>
          </w:p>
        </w:tc>
        <w:tc>
          <w:tcPr>
            <w:tcW w:w="533" w:type="pct"/>
            <w:tcBorders>
              <w:top w:val="nil"/>
              <w:left w:val="nil"/>
              <w:right w:val="nil"/>
            </w:tcBorders>
            <w:shd w:val="clear" w:color="000000" w:fill="D0E0E3"/>
            <w:noWrap/>
            <w:vAlign w:val="center"/>
            <w:hideMark/>
          </w:tcPr>
          <w:p w14:paraId="2CDDAC07" w14:textId="4D6FA7D6" w:rsidR="0097282A" w:rsidRPr="00D446C8" w:rsidRDefault="0097282A" w:rsidP="0097282A">
            <w:pPr>
              <w:jc w:val="right"/>
              <w:rPr>
                <w:rFonts w:ascii="CAIXA Std Book" w:eastAsia="Times New Roman" w:hAnsi="CAIXA Std Book" w:cs="Times New Roman"/>
                <w:b/>
                <w:bCs/>
                <w:color w:val="005CA9"/>
                <w:sz w:val="18"/>
                <w:szCs w:val="18"/>
              </w:rPr>
            </w:pPr>
            <w:r w:rsidRPr="00D446C8">
              <w:rPr>
                <w:rFonts w:ascii="CAIXA Std Book" w:eastAsia="Times New Roman" w:hAnsi="CAIXA Std Book" w:cs="Times New Roman"/>
                <w:b/>
                <w:bCs/>
                <w:color w:val="005CA9"/>
                <w:sz w:val="18"/>
                <w:szCs w:val="18"/>
              </w:rPr>
              <w:t>614.010</w:t>
            </w:r>
          </w:p>
        </w:tc>
        <w:tc>
          <w:tcPr>
            <w:tcW w:w="534" w:type="pct"/>
            <w:tcBorders>
              <w:top w:val="nil"/>
              <w:left w:val="nil"/>
              <w:right w:val="nil"/>
            </w:tcBorders>
            <w:shd w:val="clear" w:color="000000" w:fill="D0E0E3"/>
            <w:noWrap/>
            <w:vAlign w:val="center"/>
            <w:hideMark/>
          </w:tcPr>
          <w:p w14:paraId="4F1D5139" w14:textId="7A0F1B01" w:rsidR="0097282A" w:rsidRPr="00D446C8" w:rsidRDefault="00A238A8" w:rsidP="0097282A">
            <w:pPr>
              <w:jc w:val="right"/>
              <w:rPr>
                <w:rFonts w:ascii="CAIXA Std Book" w:eastAsia="Times New Roman" w:hAnsi="CAIXA Std Book" w:cs="Arial"/>
                <w:b/>
                <w:color w:val="005CA9"/>
                <w:sz w:val="18"/>
                <w:szCs w:val="18"/>
              </w:rPr>
            </w:pPr>
            <w:r w:rsidRPr="00D446C8">
              <w:rPr>
                <w:rFonts w:ascii="CAIXA Std Book" w:eastAsia="Times New Roman" w:hAnsi="CAIXA Std Book" w:cs="Arial"/>
                <w:b/>
                <w:color w:val="005CA9"/>
                <w:sz w:val="18"/>
                <w:szCs w:val="18"/>
              </w:rPr>
              <w:t>50</w:t>
            </w:r>
          </w:p>
        </w:tc>
      </w:tr>
      <w:tr w:rsidR="0097282A" w:rsidRPr="00D446C8" w14:paraId="03F9A5AA" w14:textId="77777777" w:rsidTr="00D446C8">
        <w:trPr>
          <w:trHeight w:val="283"/>
        </w:trPr>
        <w:tc>
          <w:tcPr>
            <w:tcW w:w="1800" w:type="pct"/>
            <w:tcBorders>
              <w:left w:val="nil"/>
              <w:bottom w:val="single" w:sz="4" w:space="0" w:color="1F497D" w:themeColor="text2"/>
              <w:right w:val="nil"/>
            </w:tcBorders>
            <w:shd w:val="clear" w:color="000000" w:fill="FFFFFF"/>
            <w:noWrap/>
            <w:vAlign w:val="center"/>
            <w:hideMark/>
          </w:tcPr>
          <w:p w14:paraId="51AA6CDB" w14:textId="52891B8D" w:rsidR="0097282A" w:rsidRPr="00D446C8" w:rsidRDefault="0097282A" w:rsidP="0097282A">
            <w:pPr>
              <w:ind w:firstLineChars="100" w:firstLine="180"/>
              <w:rPr>
                <w:rFonts w:ascii="CAIXA Std Book" w:eastAsia="Times New Roman" w:hAnsi="CAIXA Std Book" w:cs="Times New Roman"/>
                <w:color w:val="005CA9"/>
                <w:sz w:val="18"/>
                <w:szCs w:val="18"/>
              </w:rPr>
            </w:pPr>
            <w:r w:rsidRPr="00D446C8">
              <w:rPr>
                <w:rFonts w:ascii="CAIXA Std Book" w:eastAsia="Times New Roman" w:hAnsi="CAIXA Std Book" w:cs="Times New Roman"/>
                <w:color w:val="005CA9"/>
                <w:sz w:val="18"/>
                <w:szCs w:val="18"/>
              </w:rPr>
              <w:t>Índices/B3</w:t>
            </w:r>
          </w:p>
        </w:tc>
        <w:tc>
          <w:tcPr>
            <w:tcW w:w="533" w:type="pct"/>
            <w:tcBorders>
              <w:left w:val="nil"/>
              <w:bottom w:val="single" w:sz="4" w:space="0" w:color="1F497D" w:themeColor="text2"/>
              <w:right w:val="nil"/>
            </w:tcBorders>
            <w:shd w:val="clear" w:color="000000" w:fill="FFFFFF"/>
            <w:noWrap/>
            <w:vAlign w:val="center"/>
            <w:hideMark/>
          </w:tcPr>
          <w:p w14:paraId="121EF915" w14:textId="7BFA6420" w:rsidR="0097282A" w:rsidRPr="00D446C8" w:rsidRDefault="00EF64E5" w:rsidP="0097282A">
            <w:pPr>
              <w:jc w:val="right"/>
              <w:rPr>
                <w:rFonts w:ascii="CAIXA Std Book" w:eastAsia="Times New Roman" w:hAnsi="CAIXA Std Book" w:cs="Arial"/>
                <w:color w:val="005CA9"/>
                <w:sz w:val="18"/>
                <w:szCs w:val="18"/>
              </w:rPr>
            </w:pPr>
            <w:r w:rsidRPr="00D446C8">
              <w:rPr>
                <w:rFonts w:ascii="CAIXA Std Book" w:hAnsi="CAIXA Std Book" w:cs="Arial"/>
                <w:color w:val="005CA9"/>
                <w:sz w:val="18"/>
                <w:szCs w:val="18"/>
              </w:rPr>
              <w:t>614.010</w:t>
            </w:r>
          </w:p>
        </w:tc>
        <w:tc>
          <w:tcPr>
            <w:tcW w:w="533" w:type="pct"/>
            <w:tcBorders>
              <w:left w:val="nil"/>
              <w:bottom w:val="single" w:sz="4" w:space="0" w:color="1F497D" w:themeColor="text2"/>
              <w:right w:val="nil"/>
            </w:tcBorders>
            <w:shd w:val="clear" w:color="000000" w:fill="FFFFFF"/>
            <w:noWrap/>
            <w:vAlign w:val="center"/>
            <w:hideMark/>
          </w:tcPr>
          <w:p w14:paraId="49466735" w14:textId="272D57A9" w:rsidR="0097282A" w:rsidRPr="00D446C8" w:rsidRDefault="0097282A" w:rsidP="0097282A">
            <w:pPr>
              <w:jc w:val="center"/>
              <w:rPr>
                <w:rFonts w:ascii="CAIXA Std Book" w:eastAsia="Times New Roman" w:hAnsi="CAIXA Std Book" w:cs="Arial"/>
                <w:color w:val="005CA9"/>
                <w:sz w:val="18"/>
                <w:szCs w:val="18"/>
              </w:rPr>
            </w:pPr>
            <w:r w:rsidRPr="00D446C8">
              <w:rPr>
                <w:rFonts w:ascii="CAIXA Std Book" w:eastAsia="Times New Roman" w:hAnsi="CAIXA Std Book" w:cs="Times New Roman"/>
                <w:color w:val="005CA9"/>
                <w:sz w:val="18"/>
                <w:szCs w:val="18"/>
              </w:rPr>
              <w:t>-</w:t>
            </w:r>
          </w:p>
        </w:tc>
        <w:tc>
          <w:tcPr>
            <w:tcW w:w="534" w:type="pct"/>
            <w:tcBorders>
              <w:left w:val="nil"/>
              <w:bottom w:val="single" w:sz="4" w:space="0" w:color="1F497D" w:themeColor="text2"/>
              <w:right w:val="nil"/>
            </w:tcBorders>
            <w:shd w:val="clear" w:color="000000" w:fill="FFFFFF"/>
            <w:noWrap/>
            <w:vAlign w:val="center"/>
            <w:hideMark/>
          </w:tcPr>
          <w:p w14:paraId="2CF22828" w14:textId="44CA5640" w:rsidR="0097282A" w:rsidRPr="00D446C8" w:rsidRDefault="0097282A" w:rsidP="0097282A">
            <w:pPr>
              <w:jc w:val="center"/>
              <w:rPr>
                <w:rFonts w:ascii="CAIXA Std Book" w:eastAsia="Times New Roman" w:hAnsi="CAIXA Std Book" w:cs="Arial"/>
                <w:color w:val="005CA9"/>
                <w:sz w:val="18"/>
                <w:szCs w:val="18"/>
              </w:rPr>
            </w:pPr>
            <w:r w:rsidRPr="00D446C8">
              <w:rPr>
                <w:rFonts w:ascii="CAIXA Std Book" w:eastAsia="Times New Roman" w:hAnsi="CAIXA Std Book" w:cs="Times New Roman"/>
                <w:color w:val="005CA9"/>
                <w:sz w:val="18"/>
                <w:szCs w:val="18"/>
              </w:rPr>
              <w:t>-</w:t>
            </w:r>
          </w:p>
        </w:tc>
        <w:tc>
          <w:tcPr>
            <w:tcW w:w="533" w:type="pct"/>
            <w:tcBorders>
              <w:left w:val="nil"/>
              <w:bottom w:val="single" w:sz="4" w:space="0" w:color="1F497D" w:themeColor="text2"/>
              <w:right w:val="nil"/>
            </w:tcBorders>
            <w:shd w:val="clear" w:color="000000" w:fill="FFFFFF"/>
            <w:noWrap/>
            <w:vAlign w:val="center"/>
            <w:hideMark/>
          </w:tcPr>
          <w:p w14:paraId="60FB6072" w14:textId="52C97483" w:rsidR="0097282A" w:rsidRPr="00D446C8" w:rsidRDefault="0097282A" w:rsidP="0097282A">
            <w:pPr>
              <w:jc w:val="center"/>
              <w:rPr>
                <w:rFonts w:ascii="CAIXA Std Book" w:eastAsia="Times New Roman" w:hAnsi="CAIXA Std Book" w:cs="Arial"/>
                <w:color w:val="005CA9"/>
                <w:sz w:val="18"/>
                <w:szCs w:val="18"/>
              </w:rPr>
            </w:pPr>
            <w:r w:rsidRPr="00D446C8">
              <w:rPr>
                <w:rFonts w:ascii="CAIXA Std Book" w:eastAsia="Times New Roman" w:hAnsi="CAIXA Std Book" w:cs="Times New Roman"/>
                <w:color w:val="005CA9"/>
                <w:sz w:val="18"/>
                <w:szCs w:val="18"/>
              </w:rPr>
              <w:t>-</w:t>
            </w:r>
          </w:p>
        </w:tc>
        <w:tc>
          <w:tcPr>
            <w:tcW w:w="533" w:type="pct"/>
            <w:tcBorders>
              <w:left w:val="nil"/>
              <w:bottom w:val="single" w:sz="4" w:space="0" w:color="1F497D" w:themeColor="text2"/>
              <w:right w:val="nil"/>
            </w:tcBorders>
            <w:shd w:val="clear" w:color="000000" w:fill="FFFFFF"/>
            <w:noWrap/>
            <w:vAlign w:val="center"/>
            <w:hideMark/>
          </w:tcPr>
          <w:p w14:paraId="26AFCE0E" w14:textId="2B40F87B" w:rsidR="0097282A" w:rsidRPr="00D446C8" w:rsidRDefault="0097282A" w:rsidP="0097282A">
            <w:pPr>
              <w:jc w:val="right"/>
              <w:rPr>
                <w:rFonts w:ascii="CAIXA Std Book" w:eastAsia="Times New Roman" w:hAnsi="CAIXA Std Book" w:cs="Arial"/>
                <w:color w:val="005CA9"/>
                <w:sz w:val="18"/>
                <w:szCs w:val="18"/>
              </w:rPr>
            </w:pPr>
            <w:r w:rsidRPr="00D446C8">
              <w:rPr>
                <w:rFonts w:ascii="CAIXA Std Book" w:hAnsi="CAIXA Std Book" w:cs="Arial"/>
                <w:color w:val="005CA9"/>
                <w:sz w:val="18"/>
                <w:szCs w:val="18"/>
              </w:rPr>
              <w:t>614.010</w:t>
            </w:r>
          </w:p>
        </w:tc>
        <w:tc>
          <w:tcPr>
            <w:tcW w:w="534" w:type="pct"/>
            <w:tcBorders>
              <w:left w:val="nil"/>
              <w:bottom w:val="single" w:sz="4" w:space="0" w:color="1F497D" w:themeColor="text2"/>
              <w:right w:val="nil"/>
            </w:tcBorders>
            <w:shd w:val="clear" w:color="000000" w:fill="FFFFFF"/>
            <w:noWrap/>
            <w:vAlign w:val="center"/>
            <w:hideMark/>
          </w:tcPr>
          <w:p w14:paraId="4180C45B" w14:textId="0A2F6518" w:rsidR="0097282A" w:rsidRPr="00D446C8" w:rsidRDefault="00A238A8" w:rsidP="0097282A">
            <w:pPr>
              <w:jc w:val="right"/>
              <w:rPr>
                <w:rFonts w:ascii="CAIXA Std Book" w:eastAsia="Times New Roman" w:hAnsi="CAIXA Std Book" w:cs="Arial"/>
                <w:color w:val="005CA9"/>
                <w:sz w:val="18"/>
                <w:szCs w:val="18"/>
              </w:rPr>
            </w:pPr>
            <w:r w:rsidRPr="00D446C8">
              <w:rPr>
                <w:rFonts w:ascii="CAIXA Std Book" w:eastAsia="Times New Roman" w:hAnsi="CAIXA Std Book" w:cs="Arial"/>
                <w:color w:val="005CA9"/>
                <w:sz w:val="18"/>
                <w:szCs w:val="18"/>
              </w:rPr>
              <w:t>50</w:t>
            </w:r>
          </w:p>
        </w:tc>
      </w:tr>
    </w:tbl>
    <w:p w14:paraId="4B5E1CAB" w14:textId="3D0528DA" w:rsidR="00E20473" w:rsidRDefault="00E20473">
      <w:pPr>
        <w:rPr>
          <w:rFonts w:ascii="CAIXA Std Book" w:hAnsi="CAIXA Std Book"/>
          <w:b/>
          <w:color w:val="005CA9"/>
          <w:sz w:val="20"/>
          <w:szCs w:val="20"/>
        </w:rPr>
        <w:sectPr w:rsidR="00E20473" w:rsidSect="00D0612D">
          <w:headerReference w:type="default" r:id="rId38"/>
          <w:footerReference w:type="default" r:id="rId39"/>
          <w:pgSz w:w="16840" w:h="11907" w:orient="landscape" w:code="9"/>
          <w:pgMar w:top="1985" w:right="851" w:bottom="1418" w:left="1418" w:header="1134" w:footer="709" w:gutter="0"/>
          <w:cols w:space="708"/>
          <w:docGrid w:linePitch="360"/>
        </w:sectPr>
      </w:pPr>
      <w:bookmarkStart w:id="77" w:name="_Toc217914321"/>
    </w:p>
    <w:p w14:paraId="23A4698D" w14:textId="77777777" w:rsidR="00FC0FD7" w:rsidRDefault="00FC0FD7" w:rsidP="00FC0FD7">
      <w:pPr>
        <w:pStyle w:val="PargrafodaLista"/>
        <w:numPr>
          <w:ilvl w:val="0"/>
          <w:numId w:val="48"/>
        </w:numPr>
        <w:spacing w:before="240" w:after="120"/>
        <w:contextualSpacing w:val="0"/>
        <w:jc w:val="both"/>
        <w:rPr>
          <w:rFonts w:ascii="CAIXA Std Book" w:hAnsi="CAIXA Std Book"/>
          <w:b/>
          <w:color w:val="005CA9"/>
          <w:sz w:val="20"/>
          <w:szCs w:val="20"/>
        </w:rPr>
      </w:pPr>
      <w:r w:rsidRPr="00446C35">
        <w:rPr>
          <w:rFonts w:ascii="CAIXA Std Book" w:hAnsi="CAIXA Std Book"/>
          <w:b/>
          <w:color w:val="005CA9"/>
          <w:sz w:val="20"/>
          <w:szCs w:val="20"/>
        </w:rPr>
        <w:t>Resultado na carteira de instrumentos financeiros derivativos</w:t>
      </w:r>
    </w:p>
    <w:tbl>
      <w:tblPr>
        <w:tblW w:w="5000" w:type="pct"/>
        <w:tblCellMar>
          <w:left w:w="70" w:type="dxa"/>
          <w:right w:w="70" w:type="dxa"/>
        </w:tblCellMar>
        <w:tblLook w:val="04A0" w:firstRow="1" w:lastRow="0" w:firstColumn="1" w:lastColumn="0" w:noHBand="0" w:noVBand="1"/>
      </w:tblPr>
      <w:tblGrid>
        <w:gridCol w:w="4306"/>
        <w:gridCol w:w="1332"/>
        <w:gridCol w:w="1334"/>
        <w:gridCol w:w="1332"/>
        <w:gridCol w:w="1334"/>
      </w:tblGrid>
      <w:tr w:rsidR="00FC0FD7" w:rsidRPr="005E168F" w14:paraId="7FA8A4CB" w14:textId="77777777" w:rsidTr="00A238A8">
        <w:trPr>
          <w:trHeight w:val="283"/>
        </w:trPr>
        <w:tc>
          <w:tcPr>
            <w:tcW w:w="2234" w:type="pct"/>
            <w:vMerge w:val="restart"/>
            <w:shd w:val="clear" w:color="auto" w:fill="005CA9"/>
            <w:noWrap/>
            <w:vAlign w:val="center"/>
            <w:hideMark/>
          </w:tcPr>
          <w:p w14:paraId="75721784" w14:textId="77777777" w:rsidR="00FC0FD7" w:rsidRPr="005E168F" w:rsidRDefault="00FC0FD7">
            <w:pPr>
              <w:jc w:val="center"/>
              <w:rPr>
                <w:rFonts w:ascii="CAIXA Std Book" w:eastAsia="Times New Roman" w:hAnsi="CAIXA Std Book" w:cs="Times New Roman"/>
                <w:b/>
                <w:bCs/>
                <w:color w:val="FFFFFF"/>
                <w:sz w:val="18"/>
                <w:szCs w:val="18"/>
              </w:rPr>
            </w:pPr>
            <w:r w:rsidRPr="005E168F">
              <w:rPr>
                <w:rFonts w:ascii="CAIXA Std Book" w:eastAsia="Times New Roman" w:hAnsi="CAIXA Std Book" w:cs="Times New Roman"/>
                <w:b/>
                <w:bCs/>
                <w:color w:val="FFFFFF"/>
                <w:sz w:val="18"/>
                <w:szCs w:val="18"/>
              </w:rPr>
              <w:t>Descrição</w:t>
            </w:r>
          </w:p>
        </w:tc>
        <w:tc>
          <w:tcPr>
            <w:tcW w:w="1383" w:type="pct"/>
            <w:gridSpan w:val="2"/>
            <w:tcBorders>
              <w:bottom w:val="single" w:sz="4" w:space="0" w:color="FFFFFF" w:themeColor="background1"/>
            </w:tcBorders>
            <w:shd w:val="clear" w:color="auto" w:fill="005CA9"/>
            <w:vAlign w:val="center"/>
            <w:hideMark/>
          </w:tcPr>
          <w:p w14:paraId="34FD263A" w14:textId="77777777" w:rsidR="00FC0FD7" w:rsidRPr="005E168F" w:rsidRDefault="00FC0FD7">
            <w:pPr>
              <w:jc w:val="center"/>
              <w:rPr>
                <w:rFonts w:ascii="CAIXA Std Book" w:eastAsia="Times New Roman" w:hAnsi="CAIXA Std Book" w:cs="Times New Roman"/>
                <w:b/>
                <w:bCs/>
                <w:color w:val="FFFFFF"/>
                <w:sz w:val="18"/>
                <w:szCs w:val="18"/>
              </w:rPr>
            </w:pPr>
            <w:r w:rsidRPr="0047135A">
              <w:rPr>
                <w:rFonts w:ascii="CAIXA Std Book" w:eastAsia="Times New Roman" w:hAnsi="CAIXA Std Book" w:cs="Calibri"/>
                <w:b/>
                <w:bCs/>
                <w:color w:val="FFFFFF"/>
                <w:sz w:val="18"/>
                <w:szCs w:val="18"/>
              </w:rPr>
              <w:t>Individual</w:t>
            </w:r>
          </w:p>
        </w:tc>
        <w:tc>
          <w:tcPr>
            <w:tcW w:w="1383" w:type="pct"/>
            <w:gridSpan w:val="2"/>
            <w:tcBorders>
              <w:bottom w:val="single" w:sz="4" w:space="0" w:color="FFFFFF" w:themeColor="background1"/>
            </w:tcBorders>
            <w:shd w:val="clear" w:color="auto" w:fill="005CA9"/>
            <w:vAlign w:val="center"/>
          </w:tcPr>
          <w:p w14:paraId="6EB061E6" w14:textId="77777777" w:rsidR="00FC0FD7" w:rsidRPr="005E168F" w:rsidRDefault="00FC0FD7">
            <w:pPr>
              <w:jc w:val="center"/>
              <w:rPr>
                <w:rFonts w:ascii="CAIXA Std Book" w:eastAsia="Times New Roman" w:hAnsi="CAIXA Std Book" w:cs="Times New Roman"/>
                <w:b/>
                <w:color w:val="FFFFFF"/>
                <w:sz w:val="18"/>
                <w:szCs w:val="18"/>
              </w:rPr>
            </w:pPr>
            <w:r w:rsidRPr="0047135A">
              <w:rPr>
                <w:rFonts w:ascii="CAIXA Std Book" w:eastAsia="Times New Roman" w:hAnsi="CAIXA Std Book" w:cs="Calibri"/>
                <w:b/>
                <w:bCs/>
                <w:color w:val="FFFFFF"/>
                <w:sz w:val="18"/>
                <w:szCs w:val="18"/>
              </w:rPr>
              <w:t>Consolidado</w:t>
            </w:r>
          </w:p>
        </w:tc>
      </w:tr>
      <w:tr w:rsidR="00FC0FD7" w:rsidRPr="005E168F" w14:paraId="661DCB79" w14:textId="77777777" w:rsidTr="00A238A8">
        <w:trPr>
          <w:trHeight w:val="283"/>
        </w:trPr>
        <w:tc>
          <w:tcPr>
            <w:tcW w:w="2234" w:type="pct"/>
            <w:vMerge/>
            <w:shd w:val="clear" w:color="auto" w:fill="005CA9"/>
            <w:vAlign w:val="center"/>
            <w:hideMark/>
          </w:tcPr>
          <w:p w14:paraId="03C703D9" w14:textId="77777777" w:rsidR="00FC0FD7" w:rsidRPr="005E168F" w:rsidRDefault="00FC0FD7">
            <w:pPr>
              <w:rPr>
                <w:rFonts w:ascii="CAIXA Std Book" w:eastAsia="Times New Roman" w:hAnsi="CAIXA Std Book" w:cs="Times New Roman"/>
                <w:b/>
                <w:bCs/>
                <w:color w:val="FFFFFF"/>
                <w:sz w:val="18"/>
                <w:szCs w:val="18"/>
              </w:rPr>
            </w:pPr>
          </w:p>
        </w:tc>
        <w:tc>
          <w:tcPr>
            <w:tcW w:w="691" w:type="pct"/>
            <w:tcBorders>
              <w:top w:val="single" w:sz="4" w:space="0" w:color="FFFFFF" w:themeColor="background1"/>
              <w:bottom w:val="single" w:sz="4" w:space="0" w:color="FFFFFF" w:themeColor="background1"/>
            </w:tcBorders>
            <w:shd w:val="clear" w:color="auto" w:fill="005CA9"/>
            <w:vAlign w:val="center"/>
            <w:hideMark/>
          </w:tcPr>
          <w:p w14:paraId="04EB584E" w14:textId="77777777" w:rsidR="00FC0FD7" w:rsidRPr="005E168F" w:rsidRDefault="00FC0FD7">
            <w:pPr>
              <w:jc w:val="center"/>
              <w:rPr>
                <w:rFonts w:ascii="CAIXA Std Book" w:eastAsia="Times New Roman" w:hAnsi="CAIXA Std Book" w:cs="Times New Roman"/>
                <w:b/>
                <w:bCs/>
                <w:color w:val="FFFFFF"/>
                <w:sz w:val="18"/>
                <w:szCs w:val="18"/>
              </w:rPr>
            </w:pPr>
            <w:r w:rsidRPr="005E168F">
              <w:rPr>
                <w:rFonts w:ascii="CAIXA Std Book" w:eastAsia="Times New Roman" w:hAnsi="CAIXA Std Book" w:cs="Times New Roman"/>
                <w:b/>
                <w:bCs/>
                <w:color w:val="FFFFFF"/>
                <w:sz w:val="18"/>
                <w:szCs w:val="18"/>
              </w:rPr>
              <w:t>202</w:t>
            </w:r>
            <w:r>
              <w:rPr>
                <w:rFonts w:ascii="CAIXA Std Book" w:eastAsia="Times New Roman" w:hAnsi="CAIXA Std Book" w:cs="Times New Roman"/>
                <w:b/>
                <w:bCs/>
                <w:color w:val="FFFFFF"/>
                <w:sz w:val="18"/>
                <w:szCs w:val="18"/>
              </w:rPr>
              <w:t>6</w:t>
            </w:r>
          </w:p>
        </w:tc>
        <w:tc>
          <w:tcPr>
            <w:tcW w:w="692" w:type="pct"/>
            <w:tcBorders>
              <w:top w:val="single" w:sz="4" w:space="0" w:color="FFFFFF" w:themeColor="background1"/>
              <w:bottom w:val="single" w:sz="4" w:space="0" w:color="FFFFFF" w:themeColor="background1"/>
            </w:tcBorders>
            <w:shd w:val="clear" w:color="auto" w:fill="005CA9"/>
            <w:vAlign w:val="center"/>
          </w:tcPr>
          <w:p w14:paraId="53A74BDA" w14:textId="77777777" w:rsidR="00FC0FD7" w:rsidRPr="005E168F" w:rsidRDefault="00FC0FD7">
            <w:pPr>
              <w:jc w:val="center"/>
              <w:rPr>
                <w:rFonts w:ascii="CAIXA Std Book" w:eastAsia="Times New Roman" w:hAnsi="CAIXA Std Book" w:cs="Times New Roman"/>
                <w:b/>
                <w:bCs/>
                <w:color w:val="FFFFFF"/>
                <w:sz w:val="18"/>
                <w:szCs w:val="18"/>
              </w:rPr>
            </w:pPr>
            <w:r w:rsidRPr="005E168F">
              <w:rPr>
                <w:rFonts w:ascii="CAIXA Std Book" w:eastAsia="Times New Roman" w:hAnsi="CAIXA Std Book" w:cs="Times New Roman"/>
                <w:b/>
                <w:bCs/>
                <w:color w:val="FFFFFF"/>
                <w:sz w:val="18"/>
                <w:szCs w:val="18"/>
              </w:rPr>
              <w:t>2025</w:t>
            </w:r>
          </w:p>
        </w:tc>
        <w:tc>
          <w:tcPr>
            <w:tcW w:w="691" w:type="pct"/>
            <w:tcBorders>
              <w:top w:val="single" w:sz="4" w:space="0" w:color="FFFFFF" w:themeColor="background1"/>
              <w:bottom w:val="single" w:sz="4" w:space="0" w:color="FFFFFF" w:themeColor="background1"/>
            </w:tcBorders>
            <w:shd w:val="clear" w:color="auto" w:fill="005CA9"/>
            <w:vAlign w:val="center"/>
          </w:tcPr>
          <w:p w14:paraId="5415C7C8" w14:textId="77777777" w:rsidR="00FC0FD7" w:rsidRDefault="00FC0FD7">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2026</w:t>
            </w:r>
          </w:p>
        </w:tc>
        <w:tc>
          <w:tcPr>
            <w:tcW w:w="692" w:type="pct"/>
            <w:tcBorders>
              <w:top w:val="single" w:sz="4" w:space="0" w:color="FFFFFF" w:themeColor="background1"/>
              <w:bottom w:val="single" w:sz="4" w:space="0" w:color="FFFFFF" w:themeColor="background1"/>
            </w:tcBorders>
            <w:shd w:val="clear" w:color="auto" w:fill="005CA9"/>
            <w:vAlign w:val="center"/>
          </w:tcPr>
          <w:p w14:paraId="629E1879" w14:textId="77777777" w:rsidR="00FC0FD7" w:rsidRPr="005E168F" w:rsidRDefault="00FC0FD7">
            <w:pPr>
              <w:jc w:val="center"/>
              <w:rPr>
                <w:rFonts w:ascii="CAIXA Std Book" w:eastAsia="Times New Roman" w:hAnsi="CAIXA Std Book" w:cs="Times New Roman"/>
                <w:b/>
                <w:color w:val="FFFFFF"/>
                <w:sz w:val="18"/>
                <w:szCs w:val="18"/>
              </w:rPr>
            </w:pPr>
            <w:r w:rsidRPr="0047135A">
              <w:rPr>
                <w:rFonts w:ascii="CAIXA Std Book" w:eastAsia="Times New Roman" w:hAnsi="CAIXA Std Book" w:cs="Calibri"/>
                <w:b/>
                <w:bCs/>
                <w:color w:val="FFFFFF"/>
                <w:sz w:val="18"/>
                <w:szCs w:val="18"/>
              </w:rPr>
              <w:t>2025</w:t>
            </w:r>
          </w:p>
        </w:tc>
      </w:tr>
      <w:tr w:rsidR="00FC0FD7" w:rsidRPr="005E168F" w14:paraId="2D6887FA" w14:textId="77777777" w:rsidTr="00A238A8">
        <w:trPr>
          <w:trHeight w:val="283"/>
        </w:trPr>
        <w:tc>
          <w:tcPr>
            <w:tcW w:w="2234" w:type="pct"/>
            <w:vMerge/>
            <w:shd w:val="clear" w:color="auto" w:fill="005CA9"/>
            <w:vAlign w:val="center"/>
            <w:hideMark/>
          </w:tcPr>
          <w:p w14:paraId="2013C1EB" w14:textId="77777777" w:rsidR="00FC0FD7" w:rsidRPr="005E168F" w:rsidRDefault="00FC0FD7">
            <w:pPr>
              <w:rPr>
                <w:rFonts w:ascii="CAIXA Std Book" w:eastAsia="Times New Roman" w:hAnsi="CAIXA Std Book" w:cs="Times New Roman"/>
                <w:b/>
                <w:bCs/>
                <w:color w:val="FFFFFF"/>
                <w:sz w:val="18"/>
                <w:szCs w:val="18"/>
              </w:rPr>
            </w:pPr>
          </w:p>
        </w:tc>
        <w:tc>
          <w:tcPr>
            <w:tcW w:w="691" w:type="pct"/>
            <w:tcBorders>
              <w:top w:val="single" w:sz="4" w:space="0" w:color="FFFFFF" w:themeColor="background1"/>
            </w:tcBorders>
            <w:shd w:val="clear" w:color="auto" w:fill="005CA9"/>
            <w:vAlign w:val="center"/>
            <w:hideMark/>
          </w:tcPr>
          <w:p w14:paraId="3103097F" w14:textId="77777777" w:rsidR="00FC0FD7" w:rsidRPr="005E168F" w:rsidRDefault="00FC0FD7">
            <w:pPr>
              <w:jc w:val="center"/>
              <w:rPr>
                <w:rFonts w:ascii="CAIXA Std Book" w:eastAsia="Times New Roman" w:hAnsi="CAIXA Std Book" w:cs="Times New Roman"/>
                <w:b/>
                <w:bCs/>
                <w:color w:val="FFFFFF"/>
                <w:sz w:val="18"/>
                <w:szCs w:val="18"/>
              </w:rPr>
            </w:pPr>
            <w:r>
              <w:rPr>
                <w:rFonts w:ascii="CAIXA Std Book" w:eastAsia="Times New Roman" w:hAnsi="CAIXA Std Book" w:cs="Calibri"/>
                <w:b/>
                <w:bCs/>
                <w:color w:val="FFFFFF"/>
                <w:sz w:val="18"/>
                <w:szCs w:val="18"/>
              </w:rPr>
              <w:t>1</w:t>
            </w:r>
            <w:r w:rsidRPr="0047135A">
              <w:rPr>
                <w:rFonts w:ascii="CAIXA Std Book" w:eastAsia="Times New Roman" w:hAnsi="CAIXA Std Book" w:cs="Calibri"/>
                <w:b/>
                <w:bCs/>
                <w:color w:val="FFFFFF"/>
                <w:sz w:val="18"/>
                <w:szCs w:val="18"/>
              </w:rPr>
              <w:t xml:space="preserve">º </w:t>
            </w:r>
            <w:r>
              <w:rPr>
                <w:rFonts w:ascii="CAIXA Std Book" w:eastAsia="Times New Roman" w:hAnsi="CAIXA Std Book" w:cs="Calibri"/>
                <w:b/>
                <w:bCs/>
                <w:color w:val="FFFFFF"/>
                <w:sz w:val="18"/>
                <w:szCs w:val="18"/>
              </w:rPr>
              <w:t>trimestre</w:t>
            </w:r>
          </w:p>
        </w:tc>
        <w:tc>
          <w:tcPr>
            <w:tcW w:w="692" w:type="pct"/>
            <w:tcBorders>
              <w:top w:val="single" w:sz="4" w:space="0" w:color="FFFFFF" w:themeColor="background1"/>
            </w:tcBorders>
            <w:shd w:val="clear" w:color="auto" w:fill="005CA9"/>
            <w:vAlign w:val="center"/>
            <w:hideMark/>
          </w:tcPr>
          <w:p w14:paraId="5C901EA8" w14:textId="77777777" w:rsidR="00FC0FD7" w:rsidRPr="005E168F" w:rsidRDefault="00FC0FD7">
            <w:pPr>
              <w:jc w:val="center"/>
              <w:rPr>
                <w:rFonts w:ascii="CAIXA Std Book" w:eastAsia="Times New Roman" w:hAnsi="CAIXA Std Book" w:cs="Times New Roman"/>
                <w:b/>
                <w:bCs/>
                <w:color w:val="FFFFFF"/>
                <w:sz w:val="18"/>
                <w:szCs w:val="18"/>
              </w:rPr>
            </w:pPr>
            <w:r>
              <w:rPr>
                <w:rFonts w:ascii="CAIXA Std Book" w:eastAsia="Times New Roman" w:hAnsi="CAIXA Std Book" w:cs="Calibri"/>
                <w:b/>
                <w:bCs/>
                <w:color w:val="FFFFFF"/>
                <w:sz w:val="18"/>
                <w:szCs w:val="18"/>
              </w:rPr>
              <w:t>1</w:t>
            </w:r>
            <w:r w:rsidRPr="0047135A">
              <w:rPr>
                <w:rFonts w:ascii="CAIXA Std Book" w:eastAsia="Times New Roman" w:hAnsi="CAIXA Std Book" w:cs="Calibri"/>
                <w:b/>
                <w:bCs/>
                <w:color w:val="FFFFFF"/>
                <w:sz w:val="18"/>
                <w:szCs w:val="18"/>
              </w:rPr>
              <w:t xml:space="preserve">º </w:t>
            </w:r>
            <w:r>
              <w:rPr>
                <w:rFonts w:ascii="CAIXA Std Book" w:eastAsia="Times New Roman" w:hAnsi="CAIXA Std Book" w:cs="Calibri"/>
                <w:b/>
                <w:bCs/>
                <w:color w:val="FFFFFF"/>
                <w:sz w:val="18"/>
                <w:szCs w:val="18"/>
              </w:rPr>
              <w:t>trimestre</w:t>
            </w:r>
          </w:p>
        </w:tc>
        <w:tc>
          <w:tcPr>
            <w:tcW w:w="691" w:type="pct"/>
            <w:tcBorders>
              <w:top w:val="single" w:sz="4" w:space="0" w:color="FFFFFF" w:themeColor="background1"/>
            </w:tcBorders>
            <w:shd w:val="clear" w:color="auto" w:fill="005CA9"/>
            <w:vAlign w:val="center"/>
          </w:tcPr>
          <w:p w14:paraId="1FF504D9" w14:textId="77777777" w:rsidR="00FC0FD7" w:rsidRDefault="00FC0FD7">
            <w:pPr>
              <w:jc w:val="center"/>
              <w:rPr>
                <w:rFonts w:ascii="CAIXA Std Book" w:eastAsia="Times New Roman" w:hAnsi="CAIXA Std Book" w:cs="Times New Roman"/>
                <w:b/>
                <w:color w:val="FFFFFF"/>
                <w:sz w:val="18"/>
                <w:szCs w:val="18"/>
              </w:rPr>
            </w:pPr>
            <w:r>
              <w:rPr>
                <w:rFonts w:ascii="CAIXA Std Book" w:eastAsia="Times New Roman" w:hAnsi="CAIXA Std Book" w:cs="Calibri"/>
                <w:b/>
                <w:bCs/>
                <w:color w:val="FFFFFF"/>
                <w:sz w:val="18"/>
                <w:szCs w:val="18"/>
              </w:rPr>
              <w:t>1</w:t>
            </w:r>
            <w:r w:rsidRPr="0047135A">
              <w:rPr>
                <w:rFonts w:ascii="CAIXA Std Book" w:eastAsia="Times New Roman" w:hAnsi="CAIXA Std Book" w:cs="Calibri"/>
                <w:b/>
                <w:bCs/>
                <w:color w:val="FFFFFF"/>
                <w:sz w:val="18"/>
                <w:szCs w:val="18"/>
              </w:rPr>
              <w:t xml:space="preserve">º </w:t>
            </w:r>
            <w:r>
              <w:rPr>
                <w:rFonts w:ascii="CAIXA Std Book" w:eastAsia="Times New Roman" w:hAnsi="CAIXA Std Book" w:cs="Calibri"/>
                <w:b/>
                <w:bCs/>
                <w:color w:val="FFFFFF"/>
                <w:sz w:val="18"/>
                <w:szCs w:val="18"/>
              </w:rPr>
              <w:t>trimestre</w:t>
            </w:r>
          </w:p>
        </w:tc>
        <w:tc>
          <w:tcPr>
            <w:tcW w:w="692" w:type="pct"/>
            <w:tcBorders>
              <w:top w:val="single" w:sz="4" w:space="0" w:color="FFFFFF" w:themeColor="background1"/>
            </w:tcBorders>
            <w:shd w:val="clear" w:color="auto" w:fill="005CA9"/>
            <w:vAlign w:val="center"/>
          </w:tcPr>
          <w:p w14:paraId="15C7CF4D" w14:textId="77777777" w:rsidR="00FC0FD7" w:rsidRDefault="00FC0FD7">
            <w:pPr>
              <w:jc w:val="center"/>
              <w:rPr>
                <w:rFonts w:ascii="CAIXA Std Book" w:eastAsia="Times New Roman" w:hAnsi="CAIXA Std Book" w:cs="Times New Roman"/>
                <w:b/>
                <w:color w:val="FFFFFF"/>
                <w:sz w:val="18"/>
                <w:szCs w:val="18"/>
              </w:rPr>
            </w:pPr>
            <w:r>
              <w:rPr>
                <w:rFonts w:ascii="CAIXA Std Book" w:eastAsia="Times New Roman" w:hAnsi="CAIXA Std Book" w:cs="Calibri"/>
                <w:b/>
                <w:bCs/>
                <w:color w:val="FFFFFF"/>
                <w:sz w:val="18"/>
                <w:szCs w:val="18"/>
              </w:rPr>
              <w:t>1</w:t>
            </w:r>
            <w:r w:rsidRPr="0047135A">
              <w:rPr>
                <w:rFonts w:ascii="CAIXA Std Book" w:eastAsia="Times New Roman" w:hAnsi="CAIXA Std Book" w:cs="Calibri"/>
                <w:b/>
                <w:bCs/>
                <w:color w:val="FFFFFF"/>
                <w:sz w:val="18"/>
                <w:szCs w:val="18"/>
              </w:rPr>
              <w:t xml:space="preserve">º </w:t>
            </w:r>
            <w:r>
              <w:rPr>
                <w:rFonts w:ascii="CAIXA Std Book" w:eastAsia="Times New Roman" w:hAnsi="CAIXA Std Book" w:cs="Calibri"/>
                <w:b/>
                <w:bCs/>
                <w:color w:val="FFFFFF"/>
                <w:sz w:val="18"/>
                <w:szCs w:val="18"/>
              </w:rPr>
              <w:t>trimestre</w:t>
            </w:r>
          </w:p>
        </w:tc>
      </w:tr>
      <w:tr w:rsidR="004A39B6" w:rsidRPr="005E168F" w14:paraId="5A25D7A0" w14:textId="77777777" w:rsidTr="00A238A8">
        <w:trPr>
          <w:trHeight w:val="283"/>
        </w:trPr>
        <w:tc>
          <w:tcPr>
            <w:tcW w:w="2234" w:type="pct"/>
            <w:noWrap/>
            <w:vAlign w:val="center"/>
            <w:hideMark/>
          </w:tcPr>
          <w:p w14:paraId="1E3554D8" w14:textId="77777777" w:rsidR="004A39B6" w:rsidRPr="00682352" w:rsidRDefault="004A39B6" w:rsidP="004A39B6">
            <w:pPr>
              <w:rPr>
                <w:rFonts w:ascii="CAIXA Std Book" w:eastAsia="Times New Roman" w:hAnsi="CAIXA Std Book" w:cs="Times New Roman"/>
                <w:i/>
                <w:color w:val="005CA9"/>
                <w:sz w:val="18"/>
                <w:szCs w:val="18"/>
              </w:rPr>
            </w:pPr>
            <w:r w:rsidRPr="00682352">
              <w:rPr>
                <w:rFonts w:ascii="CAIXA Std Book" w:eastAsia="Times New Roman" w:hAnsi="CAIXA Std Book" w:cs="Times New Roman"/>
                <w:i/>
                <w:color w:val="005CA9"/>
                <w:sz w:val="18"/>
                <w:szCs w:val="18"/>
              </w:rPr>
              <w:t>Swap</w:t>
            </w:r>
          </w:p>
        </w:tc>
        <w:tc>
          <w:tcPr>
            <w:tcW w:w="691" w:type="pct"/>
            <w:shd w:val="clear" w:color="000000" w:fill="FFFFFF"/>
            <w:noWrap/>
            <w:vAlign w:val="center"/>
          </w:tcPr>
          <w:p w14:paraId="7F049FD5" w14:textId="4189B0FA" w:rsidR="004A39B6" w:rsidRPr="005E168F" w:rsidRDefault="004A39B6" w:rsidP="004A39B6">
            <w:pPr>
              <w:jc w:val="right"/>
              <w:rPr>
                <w:rFonts w:ascii="CAIXA Std Book" w:eastAsia="Times New Roman" w:hAnsi="CAIXA Std Book" w:cs="Times New Roman"/>
                <w:color w:val="005CA9"/>
                <w:sz w:val="18"/>
                <w:szCs w:val="18"/>
              </w:rPr>
            </w:pPr>
            <w:r w:rsidRPr="004A39B6">
              <w:rPr>
                <w:rFonts w:ascii="CAIXA Std Book" w:eastAsia="Times New Roman" w:hAnsi="CAIXA Std Book" w:cs="Times New Roman"/>
                <w:color w:val="005CA9"/>
                <w:sz w:val="18"/>
                <w:szCs w:val="18"/>
              </w:rPr>
              <w:t>(365.946)</w:t>
            </w:r>
          </w:p>
        </w:tc>
        <w:tc>
          <w:tcPr>
            <w:tcW w:w="692" w:type="pct"/>
            <w:shd w:val="clear" w:color="000000" w:fill="FFFFFF"/>
            <w:vAlign w:val="center"/>
          </w:tcPr>
          <w:p w14:paraId="6F74A583" w14:textId="77777777" w:rsidR="004A39B6" w:rsidRPr="00744032" w:rsidRDefault="004A39B6" w:rsidP="004A39B6">
            <w:pPr>
              <w:jc w:val="right"/>
              <w:rPr>
                <w:rFonts w:ascii="CAIXA Std Book" w:eastAsia="Times New Roman" w:hAnsi="CAIXA Std Book" w:cs="Times New Roman"/>
                <w:color w:val="005CA9"/>
                <w:sz w:val="18"/>
                <w:szCs w:val="18"/>
              </w:rPr>
            </w:pPr>
            <w:r w:rsidRPr="00744032">
              <w:rPr>
                <w:rFonts w:ascii="CAIXA Std Book" w:eastAsia="Times New Roman" w:hAnsi="CAIXA Std Book" w:cs="Times New Roman"/>
                <w:color w:val="005CA9"/>
                <w:sz w:val="18"/>
                <w:szCs w:val="18"/>
              </w:rPr>
              <w:t>(24)</w:t>
            </w:r>
          </w:p>
        </w:tc>
        <w:tc>
          <w:tcPr>
            <w:tcW w:w="691" w:type="pct"/>
            <w:shd w:val="clear" w:color="000000" w:fill="FFFFFF"/>
            <w:vAlign w:val="center"/>
          </w:tcPr>
          <w:p w14:paraId="68FE8B99" w14:textId="363C93EA" w:rsidR="004A39B6" w:rsidRPr="00744032" w:rsidRDefault="008E79BD" w:rsidP="004A39B6">
            <w:pPr>
              <w:jc w:val="right"/>
              <w:rPr>
                <w:rFonts w:ascii="CAIXA Std Book" w:eastAsia="Times New Roman" w:hAnsi="CAIXA Std Book" w:cs="Times New Roman"/>
                <w:color w:val="005CA9"/>
                <w:sz w:val="18"/>
                <w:szCs w:val="18"/>
              </w:rPr>
            </w:pPr>
            <w:r>
              <w:rPr>
                <w:rFonts w:ascii="CAIXA Std Book" w:hAnsi="CAIXA Std Book"/>
                <w:color w:val="005CA9"/>
                <w:sz w:val="18"/>
                <w:szCs w:val="18"/>
              </w:rPr>
              <w:t>(365.948)</w:t>
            </w:r>
          </w:p>
        </w:tc>
        <w:tc>
          <w:tcPr>
            <w:tcW w:w="692" w:type="pct"/>
            <w:shd w:val="clear" w:color="000000" w:fill="FFFFFF"/>
            <w:vAlign w:val="center"/>
          </w:tcPr>
          <w:p w14:paraId="083E53E9" w14:textId="77777777" w:rsidR="004A39B6" w:rsidRPr="00744032" w:rsidRDefault="004A39B6" w:rsidP="004A39B6">
            <w:pPr>
              <w:jc w:val="right"/>
              <w:rPr>
                <w:rFonts w:ascii="CAIXA Std Book" w:eastAsia="Times New Roman" w:hAnsi="CAIXA Std Book" w:cs="Times New Roman"/>
                <w:color w:val="005CA9"/>
                <w:sz w:val="18"/>
                <w:szCs w:val="18"/>
              </w:rPr>
            </w:pPr>
            <w:r w:rsidRPr="00744032">
              <w:rPr>
                <w:rFonts w:ascii="CAIXA Std Book" w:eastAsia="Times New Roman" w:hAnsi="CAIXA Std Book" w:cs="Times New Roman"/>
                <w:color w:val="005CA9"/>
                <w:sz w:val="18"/>
                <w:szCs w:val="18"/>
              </w:rPr>
              <w:t>(362)</w:t>
            </w:r>
          </w:p>
        </w:tc>
      </w:tr>
      <w:tr w:rsidR="004A39B6" w:rsidRPr="005E168F" w14:paraId="07CCDE81" w14:textId="77777777" w:rsidTr="00A238A8">
        <w:trPr>
          <w:trHeight w:val="283"/>
        </w:trPr>
        <w:tc>
          <w:tcPr>
            <w:tcW w:w="2234" w:type="pct"/>
            <w:noWrap/>
            <w:vAlign w:val="center"/>
            <w:hideMark/>
          </w:tcPr>
          <w:p w14:paraId="78CE07FD" w14:textId="77777777" w:rsidR="004A39B6" w:rsidRPr="005E168F" w:rsidRDefault="004A39B6" w:rsidP="004A39B6">
            <w:pPr>
              <w:rPr>
                <w:rFonts w:ascii="CAIXA Std Book" w:eastAsia="Times New Roman" w:hAnsi="CAIXA Std Book" w:cs="Times New Roman"/>
                <w:color w:val="005CA9"/>
                <w:sz w:val="18"/>
                <w:szCs w:val="18"/>
              </w:rPr>
            </w:pPr>
            <w:r w:rsidRPr="005E168F">
              <w:rPr>
                <w:rFonts w:ascii="CAIXA Std Book" w:eastAsia="Times New Roman" w:hAnsi="CAIXA Std Book" w:cs="Times New Roman"/>
                <w:color w:val="005CA9"/>
                <w:sz w:val="18"/>
                <w:szCs w:val="18"/>
              </w:rPr>
              <w:t>Futuro</w:t>
            </w:r>
          </w:p>
        </w:tc>
        <w:tc>
          <w:tcPr>
            <w:tcW w:w="691" w:type="pct"/>
            <w:shd w:val="clear" w:color="000000" w:fill="FFFFFF"/>
            <w:noWrap/>
            <w:vAlign w:val="center"/>
          </w:tcPr>
          <w:p w14:paraId="13156036" w14:textId="62D0C89D" w:rsidR="004A39B6" w:rsidRPr="005E168F" w:rsidRDefault="004A39B6" w:rsidP="004A39B6">
            <w:pPr>
              <w:jc w:val="right"/>
              <w:rPr>
                <w:rFonts w:ascii="CAIXA Std Book" w:eastAsia="Times New Roman" w:hAnsi="CAIXA Std Book" w:cs="Times New Roman"/>
                <w:color w:val="005CA9"/>
                <w:sz w:val="18"/>
                <w:szCs w:val="18"/>
              </w:rPr>
            </w:pPr>
            <w:r w:rsidRPr="004A39B6">
              <w:rPr>
                <w:rFonts w:ascii="CAIXA Std Book" w:eastAsia="Times New Roman" w:hAnsi="CAIXA Std Book" w:cs="Times New Roman"/>
                <w:color w:val="005CA9"/>
                <w:sz w:val="18"/>
                <w:szCs w:val="18"/>
              </w:rPr>
              <w:t>1.341.506</w:t>
            </w:r>
          </w:p>
        </w:tc>
        <w:tc>
          <w:tcPr>
            <w:tcW w:w="692" w:type="pct"/>
            <w:shd w:val="clear" w:color="000000" w:fill="FFFFFF"/>
            <w:vAlign w:val="center"/>
          </w:tcPr>
          <w:p w14:paraId="3618AF4A" w14:textId="77777777" w:rsidR="004A39B6" w:rsidRPr="00744032" w:rsidRDefault="004A39B6" w:rsidP="004A39B6">
            <w:pPr>
              <w:jc w:val="right"/>
              <w:rPr>
                <w:rFonts w:ascii="CAIXA Std Book" w:eastAsia="Times New Roman" w:hAnsi="CAIXA Std Book" w:cs="Times New Roman"/>
                <w:color w:val="005CA9"/>
                <w:sz w:val="18"/>
                <w:szCs w:val="18"/>
              </w:rPr>
            </w:pPr>
            <w:r w:rsidRPr="00744032">
              <w:rPr>
                <w:rFonts w:ascii="CAIXA Std Book" w:eastAsia="Times New Roman" w:hAnsi="CAIXA Std Book" w:cs="Times New Roman"/>
                <w:color w:val="005CA9"/>
                <w:sz w:val="18"/>
                <w:szCs w:val="18"/>
              </w:rPr>
              <w:t>(944.250)</w:t>
            </w:r>
          </w:p>
        </w:tc>
        <w:tc>
          <w:tcPr>
            <w:tcW w:w="691" w:type="pct"/>
            <w:shd w:val="clear" w:color="000000" w:fill="FFFFFF"/>
            <w:vAlign w:val="center"/>
          </w:tcPr>
          <w:p w14:paraId="6C098225" w14:textId="12DAE9D8" w:rsidR="004A39B6" w:rsidRPr="00744032" w:rsidRDefault="008E79BD" w:rsidP="004A39B6">
            <w:pPr>
              <w:jc w:val="right"/>
              <w:rPr>
                <w:rFonts w:ascii="CAIXA Std Book" w:eastAsia="Times New Roman" w:hAnsi="CAIXA Std Book" w:cs="Times New Roman"/>
                <w:color w:val="005CA9"/>
                <w:sz w:val="18"/>
                <w:szCs w:val="18"/>
              </w:rPr>
            </w:pPr>
            <w:r>
              <w:rPr>
                <w:rFonts w:ascii="CAIXA Std Book" w:hAnsi="CAIXA Std Book"/>
                <w:color w:val="005CA9"/>
                <w:sz w:val="18"/>
                <w:szCs w:val="18"/>
              </w:rPr>
              <w:t>1.339.103</w:t>
            </w:r>
          </w:p>
        </w:tc>
        <w:tc>
          <w:tcPr>
            <w:tcW w:w="692" w:type="pct"/>
            <w:shd w:val="clear" w:color="000000" w:fill="FFFFFF"/>
            <w:vAlign w:val="center"/>
          </w:tcPr>
          <w:p w14:paraId="43D2C498" w14:textId="77777777" w:rsidR="004A39B6" w:rsidRPr="00744032" w:rsidRDefault="004A39B6" w:rsidP="004A39B6">
            <w:pPr>
              <w:jc w:val="right"/>
              <w:rPr>
                <w:rFonts w:ascii="CAIXA Std Book" w:eastAsia="Times New Roman" w:hAnsi="CAIXA Std Book" w:cs="Times New Roman"/>
                <w:color w:val="005CA9"/>
                <w:sz w:val="18"/>
                <w:szCs w:val="18"/>
              </w:rPr>
            </w:pPr>
            <w:r w:rsidRPr="00744032">
              <w:rPr>
                <w:rFonts w:ascii="CAIXA Std Book" w:eastAsia="Times New Roman" w:hAnsi="CAIXA Std Book" w:cs="Times New Roman"/>
                <w:color w:val="005CA9"/>
                <w:sz w:val="18"/>
                <w:szCs w:val="18"/>
              </w:rPr>
              <w:t>(944.250)</w:t>
            </w:r>
          </w:p>
        </w:tc>
      </w:tr>
      <w:tr w:rsidR="004A39B6" w:rsidRPr="005E168F" w14:paraId="14F47A0C" w14:textId="77777777" w:rsidTr="00A238A8">
        <w:trPr>
          <w:trHeight w:val="283"/>
        </w:trPr>
        <w:tc>
          <w:tcPr>
            <w:tcW w:w="2234" w:type="pct"/>
            <w:noWrap/>
            <w:vAlign w:val="center"/>
            <w:hideMark/>
          </w:tcPr>
          <w:p w14:paraId="5980A1D3" w14:textId="77777777" w:rsidR="004A39B6" w:rsidRPr="005E168F" w:rsidRDefault="004A39B6" w:rsidP="004A39B6">
            <w:pPr>
              <w:rPr>
                <w:rFonts w:ascii="CAIXA Std Book" w:eastAsia="Times New Roman" w:hAnsi="CAIXA Std Book" w:cs="Times New Roman"/>
                <w:color w:val="005CA9"/>
                <w:sz w:val="18"/>
                <w:szCs w:val="18"/>
              </w:rPr>
            </w:pPr>
            <w:r w:rsidRPr="005E168F">
              <w:rPr>
                <w:rFonts w:ascii="CAIXA Std Book" w:eastAsia="Times New Roman" w:hAnsi="CAIXA Std Book" w:cs="Times New Roman"/>
                <w:color w:val="005CA9"/>
                <w:sz w:val="18"/>
                <w:szCs w:val="18"/>
              </w:rPr>
              <w:t>Câmbio</w:t>
            </w:r>
          </w:p>
        </w:tc>
        <w:tc>
          <w:tcPr>
            <w:tcW w:w="691" w:type="pct"/>
            <w:shd w:val="clear" w:color="000000" w:fill="FFFFFF"/>
            <w:noWrap/>
            <w:vAlign w:val="center"/>
          </w:tcPr>
          <w:p w14:paraId="36CD06E0" w14:textId="51457382" w:rsidR="004A39B6" w:rsidRPr="005E168F" w:rsidRDefault="004A39B6" w:rsidP="004A39B6">
            <w:pPr>
              <w:jc w:val="right"/>
              <w:rPr>
                <w:rFonts w:ascii="CAIXA Std Book" w:eastAsia="Times New Roman" w:hAnsi="CAIXA Std Book" w:cs="Times New Roman"/>
                <w:color w:val="005CA9"/>
                <w:sz w:val="18"/>
                <w:szCs w:val="18"/>
              </w:rPr>
            </w:pPr>
            <w:r w:rsidRPr="004A39B6">
              <w:rPr>
                <w:rFonts w:ascii="CAIXA Std Book" w:eastAsia="Times New Roman" w:hAnsi="CAIXA Std Book" w:cs="Times New Roman"/>
                <w:color w:val="005CA9"/>
                <w:sz w:val="18"/>
                <w:szCs w:val="18"/>
              </w:rPr>
              <w:t>370</w:t>
            </w:r>
          </w:p>
        </w:tc>
        <w:tc>
          <w:tcPr>
            <w:tcW w:w="692" w:type="pct"/>
            <w:shd w:val="clear" w:color="000000" w:fill="FFFFFF"/>
            <w:vAlign w:val="center"/>
          </w:tcPr>
          <w:p w14:paraId="728D9670" w14:textId="77777777" w:rsidR="004A39B6" w:rsidRPr="00744032" w:rsidRDefault="004A39B6" w:rsidP="004A39B6">
            <w:pPr>
              <w:jc w:val="right"/>
              <w:rPr>
                <w:rFonts w:ascii="CAIXA Std Book" w:eastAsia="Times New Roman" w:hAnsi="CAIXA Std Book" w:cs="Times New Roman"/>
                <w:color w:val="005CA9"/>
                <w:sz w:val="18"/>
                <w:szCs w:val="18"/>
              </w:rPr>
            </w:pPr>
            <w:r w:rsidRPr="00744032">
              <w:rPr>
                <w:rFonts w:ascii="CAIXA Std Book" w:eastAsia="Times New Roman" w:hAnsi="CAIXA Std Book" w:cs="Times New Roman"/>
                <w:color w:val="005CA9"/>
                <w:sz w:val="18"/>
                <w:szCs w:val="18"/>
              </w:rPr>
              <w:t>33.605</w:t>
            </w:r>
          </w:p>
        </w:tc>
        <w:tc>
          <w:tcPr>
            <w:tcW w:w="691" w:type="pct"/>
            <w:shd w:val="clear" w:color="000000" w:fill="FFFFFF"/>
            <w:vAlign w:val="center"/>
          </w:tcPr>
          <w:p w14:paraId="3CD14970" w14:textId="6F6F02E6" w:rsidR="004A39B6" w:rsidRPr="00744032" w:rsidRDefault="008E79BD" w:rsidP="004A39B6">
            <w:pPr>
              <w:jc w:val="right"/>
              <w:rPr>
                <w:rFonts w:ascii="CAIXA Std Book" w:eastAsia="Times New Roman" w:hAnsi="CAIXA Std Book" w:cs="Times New Roman"/>
                <w:color w:val="005CA9"/>
                <w:sz w:val="18"/>
                <w:szCs w:val="18"/>
              </w:rPr>
            </w:pPr>
            <w:r>
              <w:rPr>
                <w:rFonts w:ascii="CAIXA Std Book" w:hAnsi="CAIXA Std Book"/>
                <w:color w:val="005CA9"/>
                <w:sz w:val="18"/>
                <w:szCs w:val="18"/>
              </w:rPr>
              <w:t>370</w:t>
            </w:r>
          </w:p>
        </w:tc>
        <w:tc>
          <w:tcPr>
            <w:tcW w:w="692" w:type="pct"/>
            <w:shd w:val="clear" w:color="000000" w:fill="FFFFFF"/>
            <w:vAlign w:val="center"/>
          </w:tcPr>
          <w:p w14:paraId="43FB262E" w14:textId="77777777" w:rsidR="004A39B6" w:rsidRPr="00744032" w:rsidRDefault="004A39B6" w:rsidP="004A39B6">
            <w:pPr>
              <w:jc w:val="right"/>
              <w:rPr>
                <w:rFonts w:ascii="CAIXA Std Book" w:eastAsia="Times New Roman" w:hAnsi="CAIXA Std Book" w:cs="Times New Roman"/>
                <w:color w:val="005CA9"/>
                <w:sz w:val="18"/>
                <w:szCs w:val="18"/>
              </w:rPr>
            </w:pPr>
            <w:r w:rsidRPr="00744032">
              <w:rPr>
                <w:rFonts w:ascii="CAIXA Std Book" w:eastAsia="Times New Roman" w:hAnsi="CAIXA Std Book" w:cs="Times New Roman"/>
                <w:color w:val="005CA9"/>
                <w:sz w:val="18"/>
                <w:szCs w:val="18"/>
              </w:rPr>
              <w:t>34.647</w:t>
            </w:r>
          </w:p>
        </w:tc>
      </w:tr>
      <w:tr w:rsidR="004A39B6" w:rsidRPr="005E168F" w14:paraId="4893E84C" w14:textId="77777777" w:rsidTr="00A238A8">
        <w:trPr>
          <w:trHeight w:val="283"/>
        </w:trPr>
        <w:tc>
          <w:tcPr>
            <w:tcW w:w="2234" w:type="pct"/>
            <w:shd w:val="clear" w:color="auto" w:fill="005CA9"/>
            <w:noWrap/>
            <w:vAlign w:val="center"/>
            <w:hideMark/>
          </w:tcPr>
          <w:p w14:paraId="01FACED8" w14:textId="77777777" w:rsidR="004A39B6" w:rsidRPr="005E168F" w:rsidRDefault="004A39B6" w:rsidP="004A39B6">
            <w:pPr>
              <w:rPr>
                <w:rFonts w:ascii="CAIXA Std Book" w:eastAsia="Times New Roman" w:hAnsi="CAIXA Std Book" w:cs="Times New Roman"/>
                <w:b/>
                <w:bCs/>
                <w:color w:val="FFFFFF"/>
                <w:sz w:val="18"/>
                <w:szCs w:val="18"/>
              </w:rPr>
            </w:pPr>
            <w:r w:rsidRPr="005E168F">
              <w:rPr>
                <w:rFonts w:ascii="CAIXA Std Book" w:eastAsia="Times New Roman" w:hAnsi="CAIXA Std Book" w:cs="Times New Roman"/>
                <w:b/>
                <w:bCs/>
                <w:color w:val="FFFFFF"/>
                <w:sz w:val="18"/>
                <w:szCs w:val="18"/>
              </w:rPr>
              <w:t>Total</w:t>
            </w:r>
          </w:p>
        </w:tc>
        <w:tc>
          <w:tcPr>
            <w:tcW w:w="691" w:type="pct"/>
            <w:shd w:val="clear" w:color="auto" w:fill="005CA9"/>
            <w:noWrap/>
            <w:vAlign w:val="center"/>
          </w:tcPr>
          <w:p w14:paraId="0DDDD597" w14:textId="275E6CE1" w:rsidR="004A39B6" w:rsidRPr="004A39B6" w:rsidRDefault="004A39B6" w:rsidP="004A39B6">
            <w:pPr>
              <w:jc w:val="right"/>
              <w:rPr>
                <w:rFonts w:ascii="CAIXA Std Book" w:hAnsi="CAIXA Std Book"/>
                <w:b/>
                <w:bCs/>
                <w:color w:val="FFFFFF"/>
                <w:sz w:val="18"/>
                <w:szCs w:val="18"/>
              </w:rPr>
            </w:pPr>
            <w:r>
              <w:rPr>
                <w:rFonts w:ascii="CAIXA Std Book" w:hAnsi="CAIXA Std Book"/>
                <w:b/>
                <w:bCs/>
                <w:color w:val="FFFFFF"/>
                <w:sz w:val="18"/>
                <w:szCs w:val="18"/>
              </w:rPr>
              <w:t>975.930</w:t>
            </w:r>
          </w:p>
        </w:tc>
        <w:tc>
          <w:tcPr>
            <w:tcW w:w="692" w:type="pct"/>
            <w:shd w:val="clear" w:color="auto" w:fill="005CA9"/>
            <w:vAlign w:val="center"/>
          </w:tcPr>
          <w:p w14:paraId="1257C047" w14:textId="77777777" w:rsidR="004A39B6" w:rsidRPr="005E168F" w:rsidRDefault="004A39B6" w:rsidP="004A39B6">
            <w:pPr>
              <w:jc w:val="right"/>
              <w:rPr>
                <w:rFonts w:ascii="CAIXA Std Book" w:eastAsia="Times New Roman" w:hAnsi="CAIXA Std Book" w:cs="Times New Roman"/>
                <w:b/>
                <w:bCs/>
                <w:color w:val="FFFFFF"/>
                <w:sz w:val="18"/>
                <w:szCs w:val="18"/>
              </w:rPr>
            </w:pPr>
            <w:r>
              <w:rPr>
                <w:rFonts w:ascii="CAIXA Std Book" w:hAnsi="CAIXA Std Book"/>
                <w:b/>
                <w:bCs/>
                <w:color w:val="FFFFFF"/>
                <w:sz w:val="18"/>
                <w:szCs w:val="18"/>
              </w:rPr>
              <w:t>(910.669)</w:t>
            </w:r>
          </w:p>
        </w:tc>
        <w:tc>
          <w:tcPr>
            <w:tcW w:w="691" w:type="pct"/>
            <w:shd w:val="clear" w:color="auto" w:fill="005CA9"/>
            <w:vAlign w:val="center"/>
          </w:tcPr>
          <w:p w14:paraId="4B7813AC" w14:textId="7878286D" w:rsidR="004A39B6" w:rsidRDefault="008E79BD" w:rsidP="004A39B6">
            <w:pPr>
              <w:jc w:val="right"/>
              <w:rPr>
                <w:rFonts w:ascii="CAIXA Std Book" w:hAnsi="CAIXA Std Book"/>
                <w:b/>
                <w:bCs/>
                <w:color w:val="FFFFFF"/>
                <w:sz w:val="18"/>
                <w:szCs w:val="18"/>
              </w:rPr>
            </w:pPr>
            <w:r>
              <w:rPr>
                <w:rFonts w:ascii="CAIXA Std Book" w:hAnsi="CAIXA Std Book"/>
                <w:b/>
                <w:bCs/>
                <w:color w:val="FFFFFF"/>
                <w:sz w:val="18"/>
                <w:szCs w:val="18"/>
              </w:rPr>
              <w:t>973.525</w:t>
            </w:r>
          </w:p>
        </w:tc>
        <w:tc>
          <w:tcPr>
            <w:tcW w:w="692" w:type="pct"/>
            <w:shd w:val="clear" w:color="auto" w:fill="005CA9"/>
            <w:vAlign w:val="center"/>
          </w:tcPr>
          <w:p w14:paraId="589789F2" w14:textId="77777777" w:rsidR="004A39B6" w:rsidRDefault="004A39B6" w:rsidP="004A39B6">
            <w:pPr>
              <w:jc w:val="right"/>
              <w:rPr>
                <w:rFonts w:ascii="CAIXA Std Book" w:hAnsi="CAIXA Std Book"/>
                <w:b/>
                <w:bCs/>
                <w:color w:val="FFFFFF"/>
                <w:sz w:val="18"/>
                <w:szCs w:val="18"/>
              </w:rPr>
            </w:pPr>
            <w:r w:rsidRPr="0030099F">
              <w:rPr>
                <w:rFonts w:ascii="CAIXA Std Book" w:eastAsia="Times New Roman" w:hAnsi="CAIXA Std Book" w:cs="Times New Roman"/>
                <w:b/>
                <w:bCs/>
                <w:color w:val="FFFFFF"/>
                <w:sz w:val="18"/>
                <w:szCs w:val="18"/>
              </w:rPr>
              <w:t>(909.965)</w:t>
            </w:r>
          </w:p>
        </w:tc>
      </w:tr>
    </w:tbl>
    <w:p w14:paraId="78585CA3" w14:textId="333271B5" w:rsidR="00CD56B3" w:rsidRPr="00E95E29" w:rsidRDefault="00CD56B3" w:rsidP="00B735D2">
      <w:pPr>
        <w:pStyle w:val="Ttulo1"/>
      </w:pPr>
      <w:bookmarkStart w:id="78" w:name="_Toc229588471"/>
      <w:r w:rsidRPr="00E95E29">
        <w:t xml:space="preserve">Nota   </w:t>
      </w:r>
      <w:r>
        <w:t>6</w:t>
      </w:r>
      <w:r w:rsidRPr="00E95E29">
        <w:t xml:space="preserve">.3 – Outros </w:t>
      </w:r>
      <w:r>
        <w:t>a</w:t>
      </w:r>
      <w:r w:rsidRPr="00E95E29">
        <w:t xml:space="preserve">tivos financeiros </w:t>
      </w:r>
      <w:r>
        <w:t>ao valor justo por meio resultado</w:t>
      </w:r>
      <w:bookmarkEnd w:id="77"/>
      <w:bookmarkEnd w:id="78"/>
    </w:p>
    <w:p w14:paraId="70E6C110" w14:textId="54278D25" w:rsidR="00CD56B3" w:rsidRDefault="00B54686" w:rsidP="009E34BF">
      <w:pPr>
        <w:spacing w:before="240" w:after="240"/>
        <w:jc w:val="both"/>
        <w:rPr>
          <w:rFonts w:ascii="CAIXA Std Book" w:eastAsia="Times New Roman" w:hAnsi="CAIXA Std Book" w:cs="Arial"/>
          <w:bCs/>
          <w:color w:val="005CA9"/>
          <w:sz w:val="20"/>
          <w:szCs w:val="20"/>
        </w:rPr>
      </w:pPr>
      <w:r>
        <w:rPr>
          <w:rFonts w:ascii="CAIXA Std Book" w:eastAsia="Times New Roman" w:hAnsi="CAIXA Std Book" w:cs="Arial"/>
          <w:bCs/>
          <w:color w:val="005CA9"/>
          <w:sz w:val="20"/>
          <w:szCs w:val="20"/>
        </w:rPr>
        <w:t>Refere</w:t>
      </w:r>
      <w:r w:rsidR="00CD56B3" w:rsidRPr="0078652D">
        <w:rPr>
          <w:rFonts w:ascii="CAIXA Std Book" w:eastAsia="Times New Roman" w:hAnsi="CAIXA Std Book" w:cs="Arial"/>
          <w:bCs/>
          <w:color w:val="005CA9"/>
          <w:sz w:val="20"/>
          <w:szCs w:val="20"/>
        </w:rPr>
        <w:t xml:space="preserve">-se </w:t>
      </w:r>
      <w:r w:rsidR="00B91A50">
        <w:rPr>
          <w:rFonts w:ascii="CAIXA Std Book" w:eastAsia="Times New Roman" w:hAnsi="CAIXA Std Book" w:cs="Arial"/>
          <w:bCs/>
          <w:color w:val="005CA9"/>
          <w:sz w:val="20"/>
          <w:szCs w:val="20"/>
        </w:rPr>
        <w:t>a</w:t>
      </w:r>
      <w:r w:rsidR="00CD56B3" w:rsidRPr="003241DB">
        <w:rPr>
          <w:rFonts w:ascii="CAIXA Std Book" w:eastAsia="Times New Roman" w:hAnsi="CAIXA Std Book" w:cs="Arial"/>
          <w:bCs/>
          <w:color w:val="005CA9"/>
          <w:sz w:val="20"/>
          <w:szCs w:val="20"/>
        </w:rPr>
        <w:t xml:space="preserve"> contrato firmado </w:t>
      </w:r>
      <w:r w:rsidR="00CD56B3">
        <w:rPr>
          <w:rFonts w:ascii="CAIXA Std Book" w:eastAsia="Times New Roman" w:hAnsi="CAIXA Std Book" w:cs="Arial"/>
          <w:bCs/>
          <w:color w:val="005CA9"/>
          <w:sz w:val="20"/>
          <w:szCs w:val="20"/>
        </w:rPr>
        <w:t>pela</w:t>
      </w:r>
      <w:r w:rsidR="00CD56B3" w:rsidRPr="003241DB">
        <w:rPr>
          <w:rFonts w:ascii="CAIXA Std Book" w:eastAsia="Times New Roman" w:hAnsi="CAIXA Std Book" w:cs="Arial"/>
          <w:bCs/>
          <w:color w:val="005CA9"/>
          <w:sz w:val="20"/>
          <w:szCs w:val="20"/>
        </w:rPr>
        <w:t xml:space="preserve"> CAIX</w:t>
      </w:r>
      <w:r w:rsidR="00CD56B3">
        <w:rPr>
          <w:rFonts w:ascii="CAIXA Std Book" w:eastAsia="Times New Roman" w:hAnsi="CAIXA Std Book" w:cs="Arial"/>
          <w:bCs/>
          <w:color w:val="005CA9"/>
          <w:sz w:val="20"/>
          <w:szCs w:val="20"/>
        </w:rPr>
        <w:t>A, n</w:t>
      </w:r>
      <w:r w:rsidR="000C12D0">
        <w:rPr>
          <w:rFonts w:ascii="CAIXA Std Book" w:eastAsia="Times New Roman" w:hAnsi="CAIXA Std Book" w:cs="Arial"/>
          <w:bCs/>
          <w:color w:val="005CA9"/>
          <w:sz w:val="20"/>
          <w:szCs w:val="20"/>
        </w:rPr>
        <w:t>o</w:t>
      </w:r>
      <w:r w:rsidR="00CD56B3">
        <w:rPr>
          <w:rFonts w:ascii="CAIXA Std Book" w:eastAsia="Times New Roman" w:hAnsi="CAIXA Std Book" w:cs="Arial"/>
          <w:bCs/>
          <w:color w:val="005CA9"/>
          <w:sz w:val="20"/>
          <w:szCs w:val="20"/>
        </w:rPr>
        <w:t xml:space="preserve"> qual foram cedidos</w:t>
      </w:r>
      <w:r w:rsidR="00CD56B3" w:rsidRPr="003241DB">
        <w:rPr>
          <w:rFonts w:ascii="CAIXA Std Book" w:eastAsia="Times New Roman" w:hAnsi="CAIXA Std Book" w:cs="Arial"/>
          <w:bCs/>
          <w:color w:val="005CA9"/>
          <w:sz w:val="20"/>
          <w:szCs w:val="20"/>
        </w:rPr>
        <w:t xml:space="preserve"> </w:t>
      </w:r>
      <w:r w:rsidR="00AD1A4C">
        <w:rPr>
          <w:rFonts w:ascii="CAIXA Std Book" w:eastAsia="Times New Roman" w:hAnsi="CAIXA Std Book" w:cs="Arial"/>
          <w:bCs/>
          <w:color w:val="005CA9"/>
          <w:sz w:val="20"/>
          <w:szCs w:val="20"/>
        </w:rPr>
        <w:t xml:space="preserve">direitos </w:t>
      </w:r>
      <w:r w:rsidR="00CD56B3" w:rsidRPr="003241DB">
        <w:rPr>
          <w:rFonts w:ascii="CAIXA Std Book" w:eastAsia="Times New Roman" w:hAnsi="CAIXA Std Book" w:cs="Arial"/>
          <w:bCs/>
          <w:color w:val="005CA9"/>
          <w:sz w:val="20"/>
          <w:szCs w:val="20"/>
        </w:rPr>
        <w:t>oriundos d</w:t>
      </w:r>
      <w:r w:rsidR="00DC529A">
        <w:rPr>
          <w:rFonts w:ascii="CAIXA Std Book" w:eastAsia="Times New Roman" w:hAnsi="CAIXA Std Book" w:cs="Arial"/>
          <w:bCs/>
          <w:color w:val="005CA9"/>
          <w:sz w:val="20"/>
          <w:szCs w:val="20"/>
        </w:rPr>
        <w:t>e</w:t>
      </w:r>
      <w:r w:rsidR="00CD56B3" w:rsidRPr="003241DB">
        <w:rPr>
          <w:rFonts w:ascii="CAIXA Std Book" w:eastAsia="Times New Roman" w:hAnsi="CAIXA Std Book" w:cs="Arial"/>
          <w:bCs/>
          <w:color w:val="005CA9"/>
          <w:sz w:val="20"/>
          <w:szCs w:val="20"/>
        </w:rPr>
        <w:t xml:space="preserve"> </w:t>
      </w:r>
      <w:r w:rsidR="00CD56B3" w:rsidRPr="009E34BF">
        <w:rPr>
          <w:rFonts w:ascii="CAIXA Std Book" w:eastAsia="Times New Roman" w:hAnsi="CAIXA Std Book" w:cs="Arial"/>
          <w:i/>
          <w:color w:val="005CA9"/>
          <w:sz w:val="20"/>
          <w:szCs w:val="20"/>
        </w:rPr>
        <w:t>Royalties</w:t>
      </w:r>
      <w:r w:rsidR="00CD56B3" w:rsidRPr="003241DB">
        <w:rPr>
          <w:rFonts w:ascii="CAIXA Std Book" w:eastAsia="Times New Roman" w:hAnsi="CAIXA Std Book" w:cs="Arial"/>
          <w:bCs/>
          <w:color w:val="005CA9"/>
          <w:sz w:val="20"/>
          <w:szCs w:val="20"/>
        </w:rPr>
        <w:t xml:space="preserve"> e Participação Especial decorrentes da exploração de </w:t>
      </w:r>
      <w:r w:rsidR="00932AD9">
        <w:rPr>
          <w:rFonts w:ascii="CAIXA Std Book" w:eastAsia="Times New Roman" w:hAnsi="CAIXA Std Book" w:cs="Arial"/>
          <w:bCs/>
          <w:color w:val="005CA9"/>
          <w:sz w:val="20"/>
          <w:szCs w:val="20"/>
        </w:rPr>
        <w:t>p</w:t>
      </w:r>
      <w:r w:rsidR="00CD56B3" w:rsidRPr="003241DB">
        <w:rPr>
          <w:rFonts w:ascii="CAIXA Std Book" w:eastAsia="Times New Roman" w:hAnsi="CAIXA Std Book" w:cs="Arial"/>
          <w:bCs/>
          <w:color w:val="005CA9"/>
          <w:sz w:val="20"/>
          <w:szCs w:val="20"/>
        </w:rPr>
        <w:t xml:space="preserve">etróleo e </w:t>
      </w:r>
      <w:r w:rsidR="00932AD9">
        <w:rPr>
          <w:rFonts w:ascii="CAIXA Std Book" w:eastAsia="Times New Roman" w:hAnsi="CAIXA Std Book" w:cs="Arial"/>
          <w:bCs/>
          <w:color w:val="005CA9"/>
          <w:sz w:val="20"/>
          <w:szCs w:val="20"/>
        </w:rPr>
        <w:t>g</w:t>
      </w:r>
      <w:r w:rsidR="00CD56B3" w:rsidRPr="003241DB">
        <w:rPr>
          <w:rFonts w:ascii="CAIXA Std Book" w:eastAsia="Times New Roman" w:hAnsi="CAIXA Std Book" w:cs="Arial"/>
          <w:bCs/>
          <w:color w:val="005CA9"/>
          <w:sz w:val="20"/>
          <w:szCs w:val="20"/>
        </w:rPr>
        <w:t xml:space="preserve">ás </w:t>
      </w:r>
      <w:r w:rsidR="00932AD9">
        <w:rPr>
          <w:rFonts w:ascii="CAIXA Std Book" w:eastAsia="Times New Roman" w:hAnsi="CAIXA Std Book" w:cs="Arial"/>
          <w:bCs/>
          <w:color w:val="005CA9"/>
          <w:sz w:val="20"/>
          <w:szCs w:val="20"/>
        </w:rPr>
        <w:t>n</w:t>
      </w:r>
      <w:r w:rsidR="00CD56B3" w:rsidRPr="003241DB">
        <w:rPr>
          <w:rFonts w:ascii="CAIXA Std Book" w:eastAsia="Times New Roman" w:hAnsi="CAIXA Std Book" w:cs="Arial"/>
          <w:bCs/>
          <w:color w:val="005CA9"/>
          <w:sz w:val="20"/>
          <w:szCs w:val="20"/>
        </w:rPr>
        <w:t>atural</w:t>
      </w:r>
      <w:r w:rsidR="00CD56B3">
        <w:rPr>
          <w:rFonts w:ascii="CAIXA Std Book" w:eastAsia="Times New Roman" w:hAnsi="CAIXA Std Book" w:cs="Arial"/>
          <w:bCs/>
          <w:color w:val="005CA9"/>
          <w:sz w:val="20"/>
          <w:szCs w:val="20"/>
        </w:rPr>
        <w:t>.</w:t>
      </w:r>
      <w:r w:rsidR="006D6384">
        <w:rPr>
          <w:rFonts w:ascii="CAIXA Std Book" w:eastAsia="Times New Roman" w:hAnsi="CAIXA Std Book" w:cs="Arial"/>
          <w:bCs/>
          <w:color w:val="005CA9"/>
          <w:sz w:val="20"/>
          <w:szCs w:val="20"/>
        </w:rPr>
        <w:t xml:space="preserve"> </w:t>
      </w:r>
      <w:r w:rsidR="006D6384" w:rsidRPr="00957F83">
        <w:rPr>
          <w:rFonts w:ascii="CAIXA Std Book" w:eastAsia="Times New Roman" w:hAnsi="CAIXA Std Book" w:cs="Arial"/>
          <w:bCs/>
          <w:color w:val="005CA9"/>
          <w:sz w:val="20"/>
          <w:szCs w:val="20"/>
        </w:rPr>
        <w:t xml:space="preserve">A CAIXA designou </w:t>
      </w:r>
      <w:r w:rsidR="006D6384" w:rsidRPr="00410C40">
        <w:rPr>
          <w:rFonts w:ascii="CAIXA Std Book" w:eastAsia="Times New Roman" w:hAnsi="CAIXA Std Book" w:cs="Arial"/>
          <w:i/>
          <w:color w:val="005CA9"/>
          <w:sz w:val="20"/>
          <w:szCs w:val="20"/>
        </w:rPr>
        <w:t>Royalties</w:t>
      </w:r>
      <w:r w:rsidR="006D6384" w:rsidRPr="00957F83">
        <w:rPr>
          <w:rFonts w:ascii="CAIXA Std Book" w:eastAsia="Times New Roman" w:hAnsi="CAIXA Std Book" w:cs="Arial"/>
          <w:bCs/>
          <w:color w:val="005CA9"/>
          <w:sz w:val="20"/>
          <w:szCs w:val="20"/>
        </w:rPr>
        <w:t xml:space="preserve"> inicialmente de forma irrevogável em razão das características do ativo.</w:t>
      </w:r>
    </w:p>
    <w:tbl>
      <w:tblPr>
        <w:tblW w:w="5000" w:type="pct"/>
        <w:tblCellMar>
          <w:left w:w="70" w:type="dxa"/>
          <w:right w:w="70" w:type="dxa"/>
        </w:tblCellMar>
        <w:tblLook w:val="04A0" w:firstRow="1" w:lastRow="0" w:firstColumn="1" w:lastColumn="0" w:noHBand="0" w:noVBand="1"/>
      </w:tblPr>
      <w:tblGrid>
        <w:gridCol w:w="1699"/>
        <w:gridCol w:w="1323"/>
        <w:gridCol w:w="1322"/>
        <w:gridCol w:w="1326"/>
        <w:gridCol w:w="1322"/>
        <w:gridCol w:w="1322"/>
        <w:gridCol w:w="1324"/>
      </w:tblGrid>
      <w:tr w:rsidR="0087063C" w:rsidRPr="0087063C" w14:paraId="5727D766" w14:textId="77777777" w:rsidTr="00702F34">
        <w:trPr>
          <w:trHeight w:val="283"/>
        </w:trPr>
        <w:tc>
          <w:tcPr>
            <w:tcW w:w="881" w:type="pct"/>
            <w:vMerge w:val="restart"/>
            <w:tcBorders>
              <w:top w:val="nil"/>
              <w:left w:val="nil"/>
              <w:bottom w:val="nil"/>
              <w:right w:val="nil"/>
            </w:tcBorders>
            <w:shd w:val="clear" w:color="auto" w:fill="005CA9"/>
            <w:noWrap/>
            <w:vAlign w:val="center"/>
            <w:hideMark/>
          </w:tcPr>
          <w:p w14:paraId="4644E49B" w14:textId="77777777" w:rsidR="0087063C" w:rsidRPr="0087063C" w:rsidRDefault="0087063C" w:rsidP="0087063C">
            <w:pPr>
              <w:jc w:val="center"/>
              <w:rPr>
                <w:rFonts w:ascii="CAIXA Std Book" w:eastAsia="Times New Roman" w:hAnsi="CAIXA Std Book" w:cs="Calibri"/>
                <w:b/>
                <w:bCs/>
                <w:color w:val="FFFFFF"/>
                <w:sz w:val="18"/>
                <w:szCs w:val="18"/>
              </w:rPr>
            </w:pPr>
            <w:r w:rsidRPr="0087063C">
              <w:rPr>
                <w:rFonts w:ascii="CAIXA Std Book" w:eastAsia="Times New Roman" w:hAnsi="CAIXA Std Book" w:cs="Calibri"/>
                <w:b/>
                <w:bCs/>
                <w:color w:val="FFFFFF"/>
                <w:sz w:val="18"/>
                <w:szCs w:val="18"/>
              </w:rPr>
              <w:t>Descrição</w:t>
            </w:r>
          </w:p>
        </w:tc>
        <w:tc>
          <w:tcPr>
            <w:tcW w:w="4119" w:type="pct"/>
            <w:gridSpan w:val="6"/>
            <w:tcBorders>
              <w:top w:val="nil"/>
              <w:left w:val="nil"/>
              <w:bottom w:val="single" w:sz="4" w:space="0" w:color="FFFFFF"/>
              <w:right w:val="nil"/>
            </w:tcBorders>
            <w:shd w:val="clear" w:color="auto" w:fill="005CA9"/>
            <w:noWrap/>
            <w:vAlign w:val="center"/>
            <w:hideMark/>
          </w:tcPr>
          <w:p w14:paraId="76B349EC" w14:textId="6E3E22EE" w:rsidR="0087063C" w:rsidRPr="0087063C" w:rsidRDefault="00702F34" w:rsidP="0087063C">
            <w:pPr>
              <w:jc w:val="center"/>
              <w:rPr>
                <w:rFonts w:ascii="CAIXA Std Book" w:eastAsia="Times New Roman" w:hAnsi="CAIXA Std Book" w:cs="Calibri"/>
                <w:b/>
                <w:bCs/>
                <w:color w:val="FFFFFF"/>
                <w:sz w:val="18"/>
                <w:szCs w:val="18"/>
              </w:rPr>
            </w:pPr>
            <w:r w:rsidRPr="00744032">
              <w:rPr>
                <w:rFonts w:ascii="CAIXA Std Book" w:eastAsia="Times New Roman" w:hAnsi="CAIXA Std Book" w:cs="Calibri"/>
                <w:b/>
                <w:bCs/>
                <w:color w:val="FFFFFF"/>
                <w:sz w:val="18"/>
                <w:szCs w:val="18"/>
              </w:rPr>
              <w:t>Individual</w:t>
            </w:r>
            <w:r>
              <w:rPr>
                <w:rFonts w:ascii="CAIXA Std Book" w:eastAsia="Times New Roman" w:hAnsi="CAIXA Std Book" w:cs="Calibri"/>
                <w:b/>
                <w:bCs/>
                <w:color w:val="FFFFFF"/>
                <w:sz w:val="18"/>
                <w:szCs w:val="18"/>
              </w:rPr>
              <w:t xml:space="preserve"> </w:t>
            </w:r>
            <w:r w:rsidRPr="00744032">
              <w:rPr>
                <w:rFonts w:ascii="CAIXA Std Book" w:eastAsia="Times New Roman" w:hAnsi="CAIXA Std Book" w:cs="Calibri"/>
                <w:b/>
                <w:bCs/>
                <w:color w:val="FFFFFF"/>
                <w:sz w:val="18"/>
                <w:szCs w:val="18"/>
              </w:rPr>
              <w:t>/</w:t>
            </w:r>
            <w:r>
              <w:rPr>
                <w:rFonts w:ascii="CAIXA Std Book" w:eastAsia="Times New Roman" w:hAnsi="CAIXA Std Book" w:cs="Calibri"/>
                <w:b/>
                <w:bCs/>
                <w:color w:val="FFFFFF"/>
                <w:sz w:val="18"/>
                <w:szCs w:val="18"/>
              </w:rPr>
              <w:t xml:space="preserve"> </w:t>
            </w:r>
            <w:r w:rsidRPr="00744032">
              <w:rPr>
                <w:rFonts w:ascii="CAIXA Std Book" w:eastAsia="Times New Roman" w:hAnsi="CAIXA Std Book" w:cs="Calibri"/>
                <w:b/>
                <w:bCs/>
                <w:color w:val="FFFFFF"/>
                <w:sz w:val="18"/>
                <w:szCs w:val="18"/>
              </w:rPr>
              <w:t>Consolidado</w:t>
            </w:r>
          </w:p>
        </w:tc>
      </w:tr>
      <w:tr w:rsidR="0087063C" w:rsidRPr="0087063C" w14:paraId="30BDE604" w14:textId="77777777" w:rsidTr="00F32A0A">
        <w:trPr>
          <w:trHeight w:val="283"/>
        </w:trPr>
        <w:tc>
          <w:tcPr>
            <w:tcW w:w="881" w:type="pct"/>
            <w:vMerge/>
            <w:tcBorders>
              <w:top w:val="nil"/>
              <w:left w:val="nil"/>
              <w:bottom w:val="nil"/>
              <w:right w:val="nil"/>
            </w:tcBorders>
            <w:shd w:val="clear" w:color="auto" w:fill="005CA9"/>
            <w:vAlign w:val="center"/>
            <w:hideMark/>
          </w:tcPr>
          <w:p w14:paraId="2E7F36DA" w14:textId="77777777" w:rsidR="0087063C" w:rsidRPr="0087063C" w:rsidRDefault="0087063C" w:rsidP="0087063C">
            <w:pPr>
              <w:rPr>
                <w:rFonts w:ascii="CAIXA Std Book" w:eastAsia="Times New Roman" w:hAnsi="CAIXA Std Book" w:cs="Calibri"/>
                <w:b/>
                <w:bCs/>
                <w:color w:val="FFFFFF"/>
                <w:sz w:val="18"/>
                <w:szCs w:val="18"/>
              </w:rPr>
            </w:pPr>
          </w:p>
        </w:tc>
        <w:tc>
          <w:tcPr>
            <w:tcW w:w="2060" w:type="pct"/>
            <w:gridSpan w:val="3"/>
            <w:tcBorders>
              <w:top w:val="single" w:sz="4" w:space="0" w:color="FFFFFF"/>
              <w:left w:val="nil"/>
              <w:bottom w:val="single" w:sz="4" w:space="0" w:color="FFFFFF" w:themeColor="background1"/>
              <w:right w:val="nil"/>
            </w:tcBorders>
            <w:shd w:val="clear" w:color="auto" w:fill="005CA9"/>
            <w:vAlign w:val="center"/>
            <w:hideMark/>
          </w:tcPr>
          <w:p w14:paraId="61681805" w14:textId="77777777" w:rsidR="0087063C" w:rsidRPr="0087063C" w:rsidRDefault="0087063C" w:rsidP="0087063C">
            <w:pPr>
              <w:jc w:val="center"/>
              <w:rPr>
                <w:rFonts w:ascii="CAIXA Std Book" w:eastAsia="Times New Roman" w:hAnsi="CAIXA Std Book" w:cs="Calibri"/>
                <w:b/>
                <w:bCs/>
                <w:color w:val="FFFFFF"/>
                <w:sz w:val="18"/>
                <w:szCs w:val="18"/>
              </w:rPr>
            </w:pPr>
            <w:r w:rsidRPr="0087063C">
              <w:rPr>
                <w:rFonts w:ascii="CAIXA Std Book" w:eastAsia="Times New Roman" w:hAnsi="CAIXA Std Book" w:cs="Calibri"/>
                <w:b/>
                <w:bCs/>
                <w:color w:val="FFFFFF"/>
                <w:sz w:val="18"/>
                <w:szCs w:val="18"/>
              </w:rPr>
              <w:t>31/03/2026</w:t>
            </w:r>
          </w:p>
        </w:tc>
        <w:tc>
          <w:tcPr>
            <w:tcW w:w="2060" w:type="pct"/>
            <w:gridSpan w:val="3"/>
            <w:tcBorders>
              <w:top w:val="single" w:sz="4" w:space="0" w:color="FFFFFF"/>
              <w:left w:val="nil"/>
              <w:bottom w:val="single" w:sz="4" w:space="0" w:color="FFFFFF" w:themeColor="background1"/>
              <w:right w:val="nil"/>
            </w:tcBorders>
            <w:shd w:val="clear" w:color="auto" w:fill="005CA9"/>
            <w:vAlign w:val="center"/>
            <w:hideMark/>
          </w:tcPr>
          <w:p w14:paraId="716E54F3" w14:textId="77777777" w:rsidR="0087063C" w:rsidRPr="0087063C" w:rsidRDefault="0087063C" w:rsidP="0087063C">
            <w:pPr>
              <w:jc w:val="center"/>
              <w:rPr>
                <w:rFonts w:ascii="CAIXA Std Book" w:eastAsia="Times New Roman" w:hAnsi="CAIXA Std Book" w:cs="Calibri"/>
                <w:b/>
                <w:bCs/>
                <w:color w:val="FFFFFF"/>
                <w:sz w:val="18"/>
                <w:szCs w:val="18"/>
              </w:rPr>
            </w:pPr>
            <w:r w:rsidRPr="0087063C">
              <w:rPr>
                <w:rFonts w:ascii="CAIXA Std Book" w:eastAsia="Times New Roman" w:hAnsi="CAIXA Std Book" w:cs="Calibri"/>
                <w:b/>
                <w:bCs/>
                <w:color w:val="FFFFFF"/>
                <w:sz w:val="18"/>
                <w:szCs w:val="18"/>
              </w:rPr>
              <w:t>31/12/2025</w:t>
            </w:r>
          </w:p>
        </w:tc>
      </w:tr>
      <w:tr w:rsidR="0087063C" w:rsidRPr="0096719C" w14:paraId="78D8D0AF" w14:textId="77777777" w:rsidTr="00F32A0A">
        <w:trPr>
          <w:trHeight w:val="283"/>
        </w:trPr>
        <w:tc>
          <w:tcPr>
            <w:tcW w:w="881" w:type="pct"/>
            <w:vMerge/>
            <w:tcBorders>
              <w:top w:val="nil"/>
              <w:left w:val="nil"/>
              <w:bottom w:val="nil"/>
              <w:right w:val="nil"/>
            </w:tcBorders>
            <w:shd w:val="clear" w:color="auto" w:fill="005CA9"/>
            <w:vAlign w:val="center"/>
            <w:hideMark/>
          </w:tcPr>
          <w:p w14:paraId="002DE520" w14:textId="77777777" w:rsidR="0087063C" w:rsidRPr="0087063C" w:rsidRDefault="0087063C" w:rsidP="0087063C">
            <w:pPr>
              <w:rPr>
                <w:rFonts w:ascii="CAIXA Std Book" w:eastAsia="Times New Roman" w:hAnsi="CAIXA Std Book" w:cs="Calibri"/>
                <w:b/>
                <w:bCs/>
                <w:color w:val="FFFFFF"/>
                <w:sz w:val="18"/>
                <w:szCs w:val="18"/>
              </w:rPr>
            </w:pPr>
          </w:p>
        </w:tc>
        <w:tc>
          <w:tcPr>
            <w:tcW w:w="686" w:type="pct"/>
            <w:tcBorders>
              <w:top w:val="single" w:sz="4" w:space="0" w:color="FFFFFF" w:themeColor="background1"/>
              <w:left w:val="nil"/>
              <w:bottom w:val="nil"/>
              <w:right w:val="nil"/>
            </w:tcBorders>
            <w:shd w:val="clear" w:color="auto" w:fill="005CA9"/>
            <w:vAlign w:val="center"/>
            <w:hideMark/>
          </w:tcPr>
          <w:p w14:paraId="7BBB9C8B" w14:textId="77777777" w:rsidR="0087063C" w:rsidRPr="0087063C" w:rsidRDefault="0087063C" w:rsidP="0087063C">
            <w:pPr>
              <w:jc w:val="center"/>
              <w:rPr>
                <w:rFonts w:ascii="CAIXA Std Book" w:eastAsia="Times New Roman" w:hAnsi="CAIXA Std Book" w:cs="Calibri"/>
                <w:b/>
                <w:bCs/>
                <w:color w:val="FFFFFF"/>
                <w:sz w:val="18"/>
                <w:szCs w:val="18"/>
              </w:rPr>
            </w:pPr>
            <w:r w:rsidRPr="0087063C">
              <w:rPr>
                <w:rFonts w:ascii="CAIXA Std Book" w:eastAsia="Times New Roman" w:hAnsi="CAIXA Std Book" w:cs="Calibri"/>
                <w:b/>
                <w:bCs/>
                <w:color w:val="FFFFFF"/>
                <w:sz w:val="18"/>
                <w:szCs w:val="18"/>
              </w:rPr>
              <w:t>Valor contábil bruto</w:t>
            </w:r>
          </w:p>
        </w:tc>
        <w:tc>
          <w:tcPr>
            <w:tcW w:w="686" w:type="pct"/>
            <w:tcBorders>
              <w:top w:val="single" w:sz="4" w:space="0" w:color="FFFFFF" w:themeColor="background1"/>
              <w:left w:val="nil"/>
              <w:bottom w:val="nil"/>
              <w:right w:val="nil"/>
            </w:tcBorders>
            <w:shd w:val="clear" w:color="auto" w:fill="005CA9"/>
            <w:vAlign w:val="center"/>
            <w:hideMark/>
          </w:tcPr>
          <w:p w14:paraId="677168DF" w14:textId="77777777" w:rsidR="0087063C" w:rsidRPr="0087063C" w:rsidRDefault="0087063C" w:rsidP="0087063C">
            <w:pPr>
              <w:jc w:val="center"/>
              <w:rPr>
                <w:rFonts w:ascii="CAIXA Std Book" w:eastAsia="Times New Roman" w:hAnsi="CAIXA Std Book" w:cs="Calibri"/>
                <w:b/>
                <w:bCs/>
                <w:color w:val="FFFFFF"/>
                <w:sz w:val="18"/>
                <w:szCs w:val="18"/>
              </w:rPr>
            </w:pPr>
            <w:r w:rsidRPr="0087063C">
              <w:rPr>
                <w:rFonts w:ascii="CAIXA Std Book" w:eastAsia="Times New Roman" w:hAnsi="CAIXA Std Book" w:cs="Calibri"/>
                <w:b/>
                <w:bCs/>
                <w:color w:val="FFFFFF"/>
                <w:sz w:val="18"/>
                <w:szCs w:val="18"/>
              </w:rPr>
              <w:t>Ajuste a valor justo no resultado</w:t>
            </w:r>
          </w:p>
        </w:tc>
        <w:tc>
          <w:tcPr>
            <w:tcW w:w="687" w:type="pct"/>
            <w:tcBorders>
              <w:top w:val="single" w:sz="4" w:space="0" w:color="FFFFFF" w:themeColor="background1"/>
              <w:left w:val="nil"/>
              <w:bottom w:val="nil"/>
              <w:right w:val="nil"/>
            </w:tcBorders>
            <w:shd w:val="clear" w:color="auto" w:fill="005CA9"/>
            <w:vAlign w:val="center"/>
            <w:hideMark/>
          </w:tcPr>
          <w:p w14:paraId="04D11C4A" w14:textId="77777777" w:rsidR="0087063C" w:rsidRPr="0087063C" w:rsidRDefault="0087063C" w:rsidP="0087063C">
            <w:pPr>
              <w:jc w:val="center"/>
              <w:rPr>
                <w:rFonts w:ascii="CAIXA Std Book" w:eastAsia="Times New Roman" w:hAnsi="CAIXA Std Book" w:cs="Calibri"/>
                <w:b/>
                <w:bCs/>
                <w:color w:val="FFFFFF"/>
                <w:sz w:val="18"/>
                <w:szCs w:val="18"/>
              </w:rPr>
            </w:pPr>
            <w:r w:rsidRPr="0087063C">
              <w:rPr>
                <w:rFonts w:ascii="CAIXA Std Book" w:eastAsia="Times New Roman" w:hAnsi="CAIXA Std Book" w:cs="Calibri"/>
                <w:b/>
                <w:bCs/>
                <w:color w:val="FFFFFF"/>
                <w:sz w:val="18"/>
                <w:szCs w:val="18"/>
              </w:rPr>
              <w:t>Valor justo</w:t>
            </w:r>
          </w:p>
        </w:tc>
        <w:tc>
          <w:tcPr>
            <w:tcW w:w="686" w:type="pct"/>
            <w:tcBorders>
              <w:top w:val="single" w:sz="4" w:space="0" w:color="FFFFFF" w:themeColor="background1"/>
              <w:left w:val="nil"/>
              <w:bottom w:val="nil"/>
              <w:right w:val="nil"/>
            </w:tcBorders>
            <w:shd w:val="clear" w:color="auto" w:fill="005CA9"/>
            <w:vAlign w:val="center"/>
            <w:hideMark/>
          </w:tcPr>
          <w:p w14:paraId="6536FE39" w14:textId="77777777" w:rsidR="0087063C" w:rsidRPr="0087063C" w:rsidRDefault="0087063C" w:rsidP="0087063C">
            <w:pPr>
              <w:jc w:val="center"/>
              <w:rPr>
                <w:rFonts w:ascii="CAIXA Std Book" w:eastAsia="Times New Roman" w:hAnsi="CAIXA Std Book" w:cs="Calibri"/>
                <w:b/>
                <w:bCs/>
                <w:color w:val="FFFFFF"/>
                <w:sz w:val="18"/>
                <w:szCs w:val="18"/>
              </w:rPr>
            </w:pPr>
            <w:r w:rsidRPr="0087063C">
              <w:rPr>
                <w:rFonts w:ascii="CAIXA Std Book" w:eastAsia="Times New Roman" w:hAnsi="CAIXA Std Book" w:cs="Calibri"/>
                <w:b/>
                <w:bCs/>
                <w:color w:val="FFFFFF"/>
                <w:sz w:val="18"/>
                <w:szCs w:val="18"/>
              </w:rPr>
              <w:t>Valor contábil bruto</w:t>
            </w:r>
          </w:p>
        </w:tc>
        <w:tc>
          <w:tcPr>
            <w:tcW w:w="686" w:type="pct"/>
            <w:tcBorders>
              <w:top w:val="single" w:sz="4" w:space="0" w:color="FFFFFF" w:themeColor="background1"/>
              <w:left w:val="nil"/>
              <w:bottom w:val="nil"/>
              <w:right w:val="nil"/>
            </w:tcBorders>
            <w:shd w:val="clear" w:color="auto" w:fill="005CA9"/>
            <w:vAlign w:val="center"/>
            <w:hideMark/>
          </w:tcPr>
          <w:p w14:paraId="09C3CB85" w14:textId="77777777" w:rsidR="0087063C" w:rsidRPr="0087063C" w:rsidRDefault="0087063C" w:rsidP="0087063C">
            <w:pPr>
              <w:jc w:val="center"/>
              <w:rPr>
                <w:rFonts w:ascii="CAIXA Std Book" w:eastAsia="Times New Roman" w:hAnsi="CAIXA Std Book" w:cs="Calibri"/>
                <w:b/>
                <w:bCs/>
                <w:color w:val="FFFFFF"/>
                <w:sz w:val="18"/>
                <w:szCs w:val="18"/>
              </w:rPr>
            </w:pPr>
            <w:r w:rsidRPr="0087063C">
              <w:rPr>
                <w:rFonts w:ascii="CAIXA Std Book" w:eastAsia="Times New Roman" w:hAnsi="CAIXA Std Book" w:cs="Calibri"/>
                <w:b/>
                <w:bCs/>
                <w:color w:val="FFFFFF"/>
                <w:sz w:val="18"/>
                <w:szCs w:val="18"/>
              </w:rPr>
              <w:t>Ajuste a valor justo no resultado</w:t>
            </w:r>
          </w:p>
        </w:tc>
        <w:tc>
          <w:tcPr>
            <w:tcW w:w="687" w:type="pct"/>
            <w:tcBorders>
              <w:top w:val="single" w:sz="4" w:space="0" w:color="FFFFFF" w:themeColor="background1"/>
              <w:left w:val="nil"/>
              <w:bottom w:val="nil"/>
              <w:right w:val="nil"/>
            </w:tcBorders>
            <w:shd w:val="clear" w:color="auto" w:fill="005CA9"/>
            <w:vAlign w:val="center"/>
            <w:hideMark/>
          </w:tcPr>
          <w:p w14:paraId="376355A1" w14:textId="77777777" w:rsidR="0087063C" w:rsidRPr="0087063C" w:rsidRDefault="0087063C" w:rsidP="0087063C">
            <w:pPr>
              <w:jc w:val="center"/>
              <w:rPr>
                <w:rFonts w:ascii="CAIXA Std Book" w:eastAsia="Times New Roman" w:hAnsi="CAIXA Std Book" w:cs="Calibri"/>
                <w:b/>
                <w:bCs/>
                <w:color w:val="FFFFFF"/>
                <w:sz w:val="18"/>
                <w:szCs w:val="18"/>
              </w:rPr>
            </w:pPr>
            <w:r w:rsidRPr="0087063C">
              <w:rPr>
                <w:rFonts w:ascii="CAIXA Std Book" w:eastAsia="Times New Roman" w:hAnsi="CAIXA Std Book" w:cs="Calibri"/>
                <w:b/>
                <w:bCs/>
                <w:color w:val="FFFFFF"/>
                <w:sz w:val="18"/>
                <w:szCs w:val="18"/>
              </w:rPr>
              <w:t>Valor justo</w:t>
            </w:r>
          </w:p>
        </w:tc>
      </w:tr>
      <w:tr w:rsidR="0087063C" w:rsidRPr="0096719C" w14:paraId="60B61BE6" w14:textId="77777777" w:rsidTr="00F32A0A">
        <w:trPr>
          <w:trHeight w:val="283"/>
        </w:trPr>
        <w:tc>
          <w:tcPr>
            <w:tcW w:w="881" w:type="pct"/>
            <w:tcBorders>
              <w:top w:val="nil"/>
              <w:left w:val="nil"/>
              <w:bottom w:val="nil"/>
              <w:right w:val="nil"/>
            </w:tcBorders>
            <w:shd w:val="clear" w:color="000000" w:fill="FFFFFF"/>
            <w:noWrap/>
            <w:vAlign w:val="center"/>
            <w:hideMark/>
          </w:tcPr>
          <w:p w14:paraId="30CAC98E" w14:textId="77777777" w:rsidR="0087063C" w:rsidRPr="0087063C" w:rsidRDefault="0087063C" w:rsidP="0087063C">
            <w:pPr>
              <w:rPr>
                <w:rFonts w:ascii="CAIXA Std Book" w:eastAsia="Times New Roman" w:hAnsi="CAIXA Std Book" w:cs="Calibri"/>
                <w:i/>
                <w:iCs/>
                <w:color w:val="005CA9"/>
                <w:sz w:val="18"/>
                <w:szCs w:val="18"/>
              </w:rPr>
            </w:pPr>
            <w:r w:rsidRPr="0087063C">
              <w:rPr>
                <w:rFonts w:ascii="CAIXA Std Book" w:eastAsia="Times New Roman" w:hAnsi="CAIXA Std Book" w:cs="Calibri"/>
                <w:i/>
                <w:iCs/>
                <w:color w:val="005CA9"/>
                <w:sz w:val="18"/>
                <w:szCs w:val="18"/>
              </w:rPr>
              <w:t>Royalties</w:t>
            </w:r>
          </w:p>
        </w:tc>
        <w:tc>
          <w:tcPr>
            <w:tcW w:w="686" w:type="pct"/>
            <w:tcBorders>
              <w:top w:val="nil"/>
              <w:left w:val="nil"/>
              <w:bottom w:val="nil"/>
              <w:right w:val="nil"/>
            </w:tcBorders>
            <w:noWrap/>
            <w:vAlign w:val="center"/>
            <w:hideMark/>
          </w:tcPr>
          <w:p w14:paraId="6EA3095A" w14:textId="1820A55D" w:rsidR="0087063C" w:rsidRPr="0087063C" w:rsidRDefault="00FC3D75" w:rsidP="00FC3D75">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725.051</w:t>
            </w:r>
          </w:p>
        </w:tc>
        <w:tc>
          <w:tcPr>
            <w:tcW w:w="686" w:type="pct"/>
            <w:tcBorders>
              <w:top w:val="nil"/>
              <w:left w:val="nil"/>
              <w:bottom w:val="nil"/>
              <w:right w:val="nil"/>
            </w:tcBorders>
            <w:noWrap/>
            <w:vAlign w:val="center"/>
            <w:hideMark/>
          </w:tcPr>
          <w:p w14:paraId="7FAAA772" w14:textId="377490E4" w:rsidR="0087063C" w:rsidRPr="0087063C" w:rsidRDefault="00FC3D75" w:rsidP="00FC3D75">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(394.949)</w:t>
            </w:r>
          </w:p>
        </w:tc>
        <w:tc>
          <w:tcPr>
            <w:tcW w:w="687" w:type="pct"/>
            <w:tcBorders>
              <w:top w:val="nil"/>
              <w:left w:val="nil"/>
              <w:bottom w:val="nil"/>
              <w:right w:val="nil"/>
            </w:tcBorders>
            <w:noWrap/>
            <w:vAlign w:val="center"/>
            <w:hideMark/>
          </w:tcPr>
          <w:p w14:paraId="50E6B407" w14:textId="7C6ECF65" w:rsidR="0087063C" w:rsidRPr="0087063C" w:rsidRDefault="00FC3D75" w:rsidP="00FC3D75">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330.102</w:t>
            </w:r>
          </w:p>
        </w:tc>
        <w:tc>
          <w:tcPr>
            <w:tcW w:w="686" w:type="pct"/>
            <w:tcBorders>
              <w:top w:val="nil"/>
              <w:left w:val="nil"/>
              <w:bottom w:val="nil"/>
              <w:right w:val="nil"/>
            </w:tcBorders>
            <w:noWrap/>
            <w:vAlign w:val="center"/>
            <w:hideMark/>
          </w:tcPr>
          <w:p w14:paraId="3D9554DF" w14:textId="5C138405" w:rsidR="0087063C" w:rsidRPr="0087063C" w:rsidRDefault="0087063C" w:rsidP="0087063C">
            <w:pPr>
              <w:jc w:val="right"/>
              <w:rPr>
                <w:rFonts w:ascii="CAIXA Std Book" w:eastAsia="Times New Roman" w:hAnsi="CAIXA Std Book" w:cs="Calibri"/>
                <w:color w:val="005CA9"/>
                <w:sz w:val="18"/>
                <w:szCs w:val="18"/>
              </w:rPr>
            </w:pPr>
            <w:r w:rsidRPr="00356695">
              <w:rPr>
                <w:rFonts w:ascii="CAIXA Std Book" w:eastAsia="Times New Roman" w:hAnsi="CAIXA Std Book" w:cs="Calibri"/>
                <w:color w:val="005CA9"/>
                <w:sz w:val="18"/>
                <w:szCs w:val="18"/>
              </w:rPr>
              <w:t>761.375</w:t>
            </w:r>
          </w:p>
        </w:tc>
        <w:tc>
          <w:tcPr>
            <w:tcW w:w="686" w:type="pct"/>
            <w:tcBorders>
              <w:top w:val="nil"/>
              <w:left w:val="nil"/>
              <w:bottom w:val="nil"/>
              <w:right w:val="nil"/>
            </w:tcBorders>
            <w:noWrap/>
            <w:vAlign w:val="center"/>
            <w:hideMark/>
          </w:tcPr>
          <w:p w14:paraId="24E5D12B" w14:textId="278CC9EC" w:rsidR="0087063C" w:rsidRPr="0087063C" w:rsidRDefault="0087063C" w:rsidP="0087063C">
            <w:pPr>
              <w:jc w:val="right"/>
              <w:rPr>
                <w:rFonts w:ascii="CAIXA Std Book" w:eastAsia="Times New Roman" w:hAnsi="CAIXA Std Book" w:cs="Calibri"/>
                <w:color w:val="005CA9"/>
                <w:sz w:val="18"/>
                <w:szCs w:val="18"/>
              </w:rPr>
            </w:pPr>
            <w:r w:rsidRPr="00356695">
              <w:rPr>
                <w:rFonts w:ascii="CAIXA Std Book" w:eastAsia="Times New Roman" w:hAnsi="CAIXA Std Book" w:cs="Calibri"/>
                <w:color w:val="005CA9"/>
                <w:sz w:val="18"/>
                <w:szCs w:val="18"/>
              </w:rPr>
              <w:t>(501.768)</w:t>
            </w:r>
          </w:p>
        </w:tc>
        <w:tc>
          <w:tcPr>
            <w:tcW w:w="687" w:type="pct"/>
            <w:tcBorders>
              <w:top w:val="nil"/>
              <w:left w:val="nil"/>
              <w:bottom w:val="nil"/>
              <w:right w:val="nil"/>
            </w:tcBorders>
            <w:noWrap/>
            <w:vAlign w:val="center"/>
            <w:hideMark/>
          </w:tcPr>
          <w:p w14:paraId="1F963684" w14:textId="188627AA" w:rsidR="0087063C" w:rsidRPr="0087063C" w:rsidRDefault="0087063C" w:rsidP="0087063C">
            <w:pPr>
              <w:jc w:val="right"/>
              <w:rPr>
                <w:rFonts w:ascii="CAIXA Std Book" w:eastAsia="Times New Roman" w:hAnsi="CAIXA Std Book" w:cs="Calibri"/>
                <w:color w:val="005CA9"/>
                <w:sz w:val="18"/>
                <w:szCs w:val="18"/>
              </w:rPr>
            </w:pPr>
            <w:r w:rsidRPr="00356695">
              <w:rPr>
                <w:rFonts w:ascii="CAIXA Std Book" w:eastAsia="Times New Roman" w:hAnsi="CAIXA Std Book" w:cs="Calibri"/>
                <w:color w:val="005CA9"/>
                <w:sz w:val="18"/>
                <w:szCs w:val="18"/>
              </w:rPr>
              <w:t>259.607</w:t>
            </w:r>
          </w:p>
        </w:tc>
      </w:tr>
      <w:tr w:rsidR="0087063C" w:rsidRPr="0096719C" w14:paraId="333D31EF" w14:textId="77777777" w:rsidTr="00F32A0A">
        <w:trPr>
          <w:trHeight w:val="283"/>
        </w:trPr>
        <w:tc>
          <w:tcPr>
            <w:tcW w:w="881" w:type="pct"/>
            <w:tcBorders>
              <w:top w:val="nil"/>
              <w:left w:val="single" w:sz="4" w:space="0" w:color="FFFFFF"/>
              <w:bottom w:val="nil"/>
              <w:right w:val="nil"/>
            </w:tcBorders>
            <w:shd w:val="clear" w:color="auto" w:fill="005CA9"/>
            <w:noWrap/>
            <w:vAlign w:val="center"/>
            <w:hideMark/>
          </w:tcPr>
          <w:p w14:paraId="45593E5D" w14:textId="77777777" w:rsidR="0087063C" w:rsidRPr="0087063C" w:rsidRDefault="0087063C" w:rsidP="0087063C">
            <w:pPr>
              <w:rPr>
                <w:rFonts w:ascii="CAIXA Std Book" w:eastAsia="Times New Roman" w:hAnsi="CAIXA Std Book" w:cs="Calibri"/>
                <w:b/>
                <w:bCs/>
                <w:color w:val="FFFFFF"/>
                <w:sz w:val="18"/>
                <w:szCs w:val="18"/>
              </w:rPr>
            </w:pPr>
            <w:r w:rsidRPr="0087063C">
              <w:rPr>
                <w:rFonts w:ascii="CAIXA Std Book" w:eastAsia="Times New Roman" w:hAnsi="CAIXA Std Book" w:cs="Calibri"/>
                <w:b/>
                <w:bCs/>
                <w:color w:val="FFFFFF"/>
                <w:sz w:val="18"/>
                <w:szCs w:val="18"/>
              </w:rPr>
              <w:t>Total</w:t>
            </w:r>
          </w:p>
        </w:tc>
        <w:tc>
          <w:tcPr>
            <w:tcW w:w="686" w:type="pct"/>
            <w:tcBorders>
              <w:top w:val="nil"/>
              <w:left w:val="nil"/>
              <w:bottom w:val="nil"/>
              <w:right w:val="nil"/>
            </w:tcBorders>
            <w:shd w:val="clear" w:color="auto" w:fill="005CA9"/>
            <w:noWrap/>
            <w:vAlign w:val="center"/>
            <w:hideMark/>
          </w:tcPr>
          <w:p w14:paraId="0BBA60A3" w14:textId="15C272DF" w:rsidR="0087063C" w:rsidRPr="0087063C" w:rsidRDefault="00FC3D75" w:rsidP="00FC3D75">
            <w:pPr>
              <w:jc w:val="right"/>
              <w:rPr>
                <w:rFonts w:ascii="CAIXA Std Book" w:eastAsia="Times New Roman" w:hAnsi="CAIXA Std Book" w:cs="Calibri"/>
                <w:color w:val="FFFFFF"/>
                <w:sz w:val="18"/>
                <w:szCs w:val="18"/>
              </w:rPr>
            </w:pPr>
            <w:r>
              <w:rPr>
                <w:rFonts w:ascii="CAIXA Std Book" w:hAnsi="CAIXA Std Book" w:cs="Calibri"/>
                <w:b/>
                <w:bCs/>
                <w:color w:val="FFFFFF"/>
                <w:sz w:val="18"/>
                <w:szCs w:val="18"/>
              </w:rPr>
              <w:t>725.051</w:t>
            </w:r>
          </w:p>
        </w:tc>
        <w:tc>
          <w:tcPr>
            <w:tcW w:w="686" w:type="pct"/>
            <w:tcBorders>
              <w:top w:val="nil"/>
              <w:left w:val="nil"/>
              <w:bottom w:val="nil"/>
              <w:right w:val="nil"/>
            </w:tcBorders>
            <w:shd w:val="clear" w:color="auto" w:fill="005CA9"/>
            <w:noWrap/>
            <w:vAlign w:val="center"/>
            <w:hideMark/>
          </w:tcPr>
          <w:p w14:paraId="081A0172" w14:textId="5FBD881C" w:rsidR="0087063C" w:rsidRPr="0087063C" w:rsidRDefault="00FC3D75" w:rsidP="00FC3D75">
            <w:pPr>
              <w:jc w:val="right"/>
              <w:rPr>
                <w:rFonts w:ascii="CAIXA Std Book" w:eastAsia="Times New Roman" w:hAnsi="CAIXA Std Book" w:cs="Calibri"/>
                <w:color w:val="FFFFFF"/>
                <w:sz w:val="18"/>
                <w:szCs w:val="18"/>
              </w:rPr>
            </w:pPr>
            <w:r>
              <w:rPr>
                <w:rFonts w:ascii="CAIXA Std Book" w:hAnsi="CAIXA Std Book" w:cs="Calibri"/>
                <w:b/>
                <w:bCs/>
                <w:color w:val="FFFFFF"/>
                <w:sz w:val="18"/>
                <w:szCs w:val="18"/>
              </w:rPr>
              <w:t>(394.949)</w:t>
            </w:r>
          </w:p>
        </w:tc>
        <w:tc>
          <w:tcPr>
            <w:tcW w:w="687" w:type="pct"/>
            <w:tcBorders>
              <w:top w:val="nil"/>
              <w:left w:val="nil"/>
              <w:bottom w:val="nil"/>
              <w:right w:val="nil"/>
            </w:tcBorders>
            <w:shd w:val="clear" w:color="auto" w:fill="005CA9"/>
            <w:noWrap/>
            <w:vAlign w:val="center"/>
            <w:hideMark/>
          </w:tcPr>
          <w:p w14:paraId="68B616AD" w14:textId="0E4BEE92" w:rsidR="0087063C" w:rsidRPr="0087063C" w:rsidRDefault="00FC3D75" w:rsidP="00FC3D75">
            <w:pPr>
              <w:jc w:val="right"/>
              <w:rPr>
                <w:rFonts w:ascii="CAIXA Std Book" w:eastAsia="Times New Roman" w:hAnsi="CAIXA Std Book" w:cs="Calibri"/>
                <w:color w:val="FFFFFF"/>
                <w:sz w:val="18"/>
                <w:szCs w:val="18"/>
              </w:rPr>
            </w:pPr>
            <w:r>
              <w:rPr>
                <w:rFonts w:ascii="CAIXA Std Book" w:hAnsi="CAIXA Std Book" w:cs="Calibri"/>
                <w:b/>
                <w:bCs/>
                <w:color w:val="FFFFFF"/>
                <w:sz w:val="18"/>
                <w:szCs w:val="18"/>
              </w:rPr>
              <w:t>330.102</w:t>
            </w:r>
          </w:p>
        </w:tc>
        <w:tc>
          <w:tcPr>
            <w:tcW w:w="686" w:type="pct"/>
            <w:tcBorders>
              <w:top w:val="nil"/>
              <w:left w:val="nil"/>
              <w:bottom w:val="nil"/>
              <w:right w:val="nil"/>
            </w:tcBorders>
            <w:shd w:val="clear" w:color="auto" w:fill="005CA9"/>
            <w:noWrap/>
            <w:vAlign w:val="center"/>
            <w:hideMark/>
          </w:tcPr>
          <w:p w14:paraId="2C90E7C1" w14:textId="088AFE6B" w:rsidR="0087063C" w:rsidRPr="0087063C" w:rsidRDefault="0087063C" w:rsidP="0087063C">
            <w:pPr>
              <w:jc w:val="right"/>
              <w:rPr>
                <w:rFonts w:ascii="CAIXA Std Book" w:eastAsia="Times New Roman" w:hAnsi="CAIXA Std Book" w:cs="Calibri"/>
                <w:color w:val="FFFFFF"/>
                <w:sz w:val="18"/>
                <w:szCs w:val="18"/>
              </w:rPr>
            </w:pPr>
            <w:r w:rsidRPr="00523ED4">
              <w:rPr>
                <w:rFonts w:ascii="CAIXA Std Book" w:eastAsia="Times New Roman" w:hAnsi="CAIXA Std Book" w:cs="Calibri"/>
                <w:b/>
                <w:color w:val="FFFFFF"/>
                <w:sz w:val="18"/>
                <w:szCs w:val="18"/>
              </w:rPr>
              <w:t>761.375</w:t>
            </w:r>
          </w:p>
        </w:tc>
        <w:tc>
          <w:tcPr>
            <w:tcW w:w="686" w:type="pct"/>
            <w:tcBorders>
              <w:top w:val="nil"/>
              <w:left w:val="nil"/>
              <w:bottom w:val="nil"/>
              <w:right w:val="nil"/>
            </w:tcBorders>
            <w:shd w:val="clear" w:color="auto" w:fill="005CA9"/>
            <w:noWrap/>
            <w:vAlign w:val="center"/>
            <w:hideMark/>
          </w:tcPr>
          <w:p w14:paraId="4E17A916" w14:textId="0FCBC2F8" w:rsidR="0087063C" w:rsidRPr="0087063C" w:rsidRDefault="0087063C" w:rsidP="0087063C">
            <w:pPr>
              <w:jc w:val="right"/>
              <w:rPr>
                <w:rFonts w:ascii="CAIXA Std Book" w:eastAsia="Times New Roman" w:hAnsi="CAIXA Std Book" w:cs="Calibri"/>
                <w:color w:val="FFFFFF"/>
                <w:sz w:val="18"/>
                <w:szCs w:val="18"/>
              </w:rPr>
            </w:pPr>
            <w:r w:rsidRPr="00523ED4">
              <w:rPr>
                <w:rFonts w:ascii="CAIXA Std Book" w:eastAsia="Times New Roman" w:hAnsi="CAIXA Std Book" w:cs="Calibri"/>
                <w:b/>
                <w:color w:val="FFFFFF"/>
                <w:sz w:val="18"/>
                <w:szCs w:val="18"/>
              </w:rPr>
              <w:t>(501.768)</w:t>
            </w:r>
          </w:p>
        </w:tc>
        <w:tc>
          <w:tcPr>
            <w:tcW w:w="687" w:type="pct"/>
            <w:tcBorders>
              <w:top w:val="nil"/>
              <w:left w:val="nil"/>
              <w:bottom w:val="nil"/>
              <w:right w:val="nil"/>
            </w:tcBorders>
            <w:shd w:val="clear" w:color="auto" w:fill="005CA9"/>
            <w:noWrap/>
            <w:vAlign w:val="center"/>
            <w:hideMark/>
          </w:tcPr>
          <w:p w14:paraId="7CBE7FE3" w14:textId="77740000" w:rsidR="0087063C" w:rsidRPr="0087063C" w:rsidRDefault="0087063C" w:rsidP="0087063C">
            <w:pPr>
              <w:jc w:val="right"/>
              <w:rPr>
                <w:rFonts w:ascii="CAIXA Std Book" w:eastAsia="Times New Roman" w:hAnsi="CAIXA Std Book" w:cs="Calibri"/>
                <w:color w:val="FFFFFF"/>
                <w:sz w:val="18"/>
                <w:szCs w:val="18"/>
              </w:rPr>
            </w:pPr>
            <w:r w:rsidRPr="00523ED4">
              <w:rPr>
                <w:rFonts w:ascii="CAIXA Std Book" w:eastAsia="Times New Roman" w:hAnsi="CAIXA Std Book" w:cs="Calibri"/>
                <w:b/>
                <w:color w:val="FFFFFF"/>
                <w:sz w:val="18"/>
                <w:szCs w:val="18"/>
              </w:rPr>
              <w:t>259.607</w:t>
            </w:r>
          </w:p>
        </w:tc>
      </w:tr>
    </w:tbl>
    <w:p w14:paraId="22D5FB30" w14:textId="694CA371" w:rsidR="00253877" w:rsidRDefault="00253877" w:rsidP="00B735D2">
      <w:pPr>
        <w:pStyle w:val="Ttulo1"/>
      </w:pPr>
      <w:bookmarkStart w:id="79" w:name="_Toc217914322"/>
      <w:bookmarkStart w:id="80" w:name="_Toc229588472"/>
      <w:r w:rsidRPr="00E95E29">
        <w:t xml:space="preserve">Nota   7 – Ativos financeiros ao </w:t>
      </w:r>
      <w:r>
        <w:t>v</w:t>
      </w:r>
      <w:r w:rsidRPr="00E95E29">
        <w:t xml:space="preserve">alor </w:t>
      </w:r>
      <w:r>
        <w:t>j</w:t>
      </w:r>
      <w:r w:rsidRPr="00E95E29">
        <w:t xml:space="preserve">usto por meio de outros </w:t>
      </w:r>
      <w:r>
        <w:t>r</w:t>
      </w:r>
      <w:r w:rsidRPr="00E95E29">
        <w:t xml:space="preserve">esultados </w:t>
      </w:r>
      <w:r>
        <w:t>a</w:t>
      </w:r>
      <w:r w:rsidRPr="00E95E29">
        <w:t>brangentes</w:t>
      </w:r>
      <w:bookmarkEnd w:id="79"/>
      <w:bookmarkEnd w:id="80"/>
    </w:p>
    <w:p w14:paraId="06121A70" w14:textId="2866A057" w:rsidR="00253877" w:rsidRPr="00EF3433" w:rsidRDefault="00253877" w:rsidP="00B735D2">
      <w:pPr>
        <w:pStyle w:val="Ttulo1"/>
      </w:pPr>
      <w:bookmarkStart w:id="81" w:name="_Toc217914323"/>
      <w:bookmarkStart w:id="82" w:name="_Toc229588473"/>
      <w:r w:rsidRPr="00E95E29">
        <w:t>Nota   7.</w:t>
      </w:r>
      <w:r>
        <w:t>1</w:t>
      </w:r>
      <w:r w:rsidRPr="00E95E29">
        <w:t xml:space="preserve"> – </w:t>
      </w:r>
      <w:r>
        <w:t xml:space="preserve">Aplicações </w:t>
      </w:r>
      <w:r w:rsidR="00441EFA">
        <w:t>i</w:t>
      </w:r>
      <w:r>
        <w:t xml:space="preserve">nterfinanceiras de </w:t>
      </w:r>
      <w:r w:rsidR="00441EFA">
        <w:t>l</w:t>
      </w:r>
      <w:r>
        <w:t xml:space="preserve">iquidez - </w:t>
      </w:r>
      <w:r w:rsidR="003B5DAA">
        <w:t>o</w:t>
      </w:r>
      <w:r w:rsidRPr="00EF3433">
        <w:t xml:space="preserve">perações </w:t>
      </w:r>
      <w:r>
        <w:t>c</w:t>
      </w:r>
      <w:r w:rsidRPr="00EF3433">
        <w:t>ompromissadas</w:t>
      </w:r>
      <w:bookmarkEnd w:id="81"/>
      <w:bookmarkEnd w:id="82"/>
    </w:p>
    <w:p w14:paraId="7F8CDE6D" w14:textId="5949AAB6" w:rsidR="00253877" w:rsidRDefault="00253877" w:rsidP="00295657">
      <w:pPr>
        <w:pStyle w:val="PargrafodaLista"/>
        <w:numPr>
          <w:ilvl w:val="0"/>
          <w:numId w:val="17"/>
        </w:numPr>
        <w:spacing w:before="240" w:after="120"/>
        <w:ind w:left="567" w:hanging="567"/>
        <w:rPr>
          <w:rFonts w:ascii="CAIXA Std Book" w:hAnsi="CAIXA Std Book"/>
          <w:b/>
          <w:color w:val="005CA9"/>
          <w:sz w:val="20"/>
          <w:szCs w:val="20"/>
        </w:rPr>
      </w:pPr>
      <w:r w:rsidRPr="00AC005E">
        <w:rPr>
          <w:rFonts w:ascii="CAIXA Std Book" w:hAnsi="CAIXA Std Book"/>
          <w:b/>
          <w:color w:val="005CA9"/>
          <w:sz w:val="20"/>
          <w:szCs w:val="20"/>
        </w:rPr>
        <w:t xml:space="preserve">Composição da </w:t>
      </w:r>
      <w:r>
        <w:rPr>
          <w:rFonts w:ascii="CAIXA Std Book" w:hAnsi="CAIXA Std Book"/>
          <w:b/>
          <w:color w:val="005CA9"/>
          <w:sz w:val="20"/>
          <w:szCs w:val="20"/>
        </w:rPr>
        <w:t>c</w:t>
      </w:r>
      <w:r w:rsidRPr="00AC005E">
        <w:rPr>
          <w:rFonts w:ascii="CAIXA Std Book" w:hAnsi="CAIXA Std Book"/>
          <w:b/>
          <w:color w:val="005CA9"/>
          <w:sz w:val="20"/>
          <w:szCs w:val="20"/>
        </w:rPr>
        <w:t xml:space="preserve">arteira de </w:t>
      </w:r>
      <w:r w:rsidR="002E658B">
        <w:rPr>
          <w:rFonts w:ascii="CAIXA Std Book" w:hAnsi="CAIXA Std Book"/>
          <w:b/>
          <w:color w:val="005CA9"/>
          <w:sz w:val="20"/>
          <w:szCs w:val="20"/>
        </w:rPr>
        <w:t>o</w:t>
      </w:r>
      <w:r w:rsidRPr="00AC005E">
        <w:rPr>
          <w:rFonts w:ascii="CAIXA Std Book" w:hAnsi="CAIXA Std Book"/>
          <w:b/>
          <w:color w:val="005CA9"/>
          <w:sz w:val="20"/>
          <w:szCs w:val="20"/>
        </w:rPr>
        <w:t xml:space="preserve">perações </w:t>
      </w:r>
      <w:r w:rsidR="002E658B">
        <w:rPr>
          <w:rFonts w:ascii="CAIXA Std Book" w:hAnsi="CAIXA Std Book"/>
          <w:b/>
          <w:color w:val="005CA9"/>
          <w:sz w:val="20"/>
          <w:szCs w:val="20"/>
        </w:rPr>
        <w:t>c</w:t>
      </w:r>
      <w:r w:rsidRPr="00607F79">
        <w:rPr>
          <w:rFonts w:ascii="CAIXA Std Book" w:hAnsi="CAIXA Std Book"/>
          <w:b/>
          <w:color w:val="005CA9"/>
          <w:sz w:val="20"/>
          <w:szCs w:val="20"/>
        </w:rPr>
        <w:t>ompromissadas</w:t>
      </w:r>
    </w:p>
    <w:tbl>
      <w:tblPr>
        <w:tblW w:w="5000" w:type="pct"/>
        <w:tblCellMar>
          <w:left w:w="70" w:type="dxa"/>
          <w:right w:w="70" w:type="dxa"/>
        </w:tblCellMar>
        <w:tblLook w:val="04A0" w:firstRow="1" w:lastRow="0" w:firstColumn="1" w:lastColumn="0" w:noHBand="0" w:noVBand="1"/>
      </w:tblPr>
      <w:tblGrid>
        <w:gridCol w:w="3953"/>
        <w:gridCol w:w="1446"/>
        <w:gridCol w:w="1272"/>
        <w:gridCol w:w="1363"/>
        <w:gridCol w:w="1604"/>
      </w:tblGrid>
      <w:tr w:rsidR="004E0426" w:rsidRPr="004E0426" w14:paraId="71F639E4" w14:textId="77777777" w:rsidTr="008A7C09">
        <w:trPr>
          <w:trHeight w:val="283"/>
        </w:trPr>
        <w:tc>
          <w:tcPr>
            <w:tcW w:w="5000" w:type="pct"/>
            <w:gridSpan w:val="5"/>
            <w:tcBorders>
              <w:top w:val="nil"/>
              <w:left w:val="nil"/>
              <w:bottom w:val="single" w:sz="4" w:space="0" w:color="FFFFFF" w:themeColor="background1"/>
              <w:right w:val="nil"/>
            </w:tcBorders>
            <w:shd w:val="clear" w:color="000000" w:fill="005CA9"/>
            <w:noWrap/>
            <w:vAlign w:val="center"/>
            <w:hideMark/>
          </w:tcPr>
          <w:p w14:paraId="18F45F3C" w14:textId="77777777" w:rsidR="004E0426" w:rsidRPr="004E0426" w:rsidRDefault="004E0426" w:rsidP="004E0426">
            <w:pPr>
              <w:jc w:val="center"/>
              <w:rPr>
                <w:rFonts w:ascii="CAIXA Std Book" w:eastAsia="Times New Roman" w:hAnsi="CAIXA Std Book" w:cs="Calibri"/>
                <w:b/>
                <w:bCs/>
                <w:color w:val="FFFFFF"/>
                <w:sz w:val="16"/>
                <w:szCs w:val="16"/>
              </w:rPr>
            </w:pPr>
            <w:r w:rsidRPr="004E0426">
              <w:rPr>
                <w:rFonts w:ascii="CAIXA Std Book" w:eastAsia="Times New Roman" w:hAnsi="CAIXA Std Book" w:cs="Calibri"/>
                <w:b/>
                <w:bCs/>
                <w:color w:val="FFFFFF"/>
                <w:sz w:val="16"/>
                <w:szCs w:val="16"/>
              </w:rPr>
              <w:t>Individual / Consolidado</w:t>
            </w:r>
          </w:p>
        </w:tc>
      </w:tr>
      <w:tr w:rsidR="00836794" w:rsidRPr="004E0426" w14:paraId="5482A869" w14:textId="77777777" w:rsidTr="008A7C09">
        <w:trPr>
          <w:trHeight w:val="283"/>
        </w:trPr>
        <w:tc>
          <w:tcPr>
            <w:tcW w:w="2051" w:type="pct"/>
            <w:vMerge w:val="restart"/>
            <w:tcBorders>
              <w:top w:val="single" w:sz="4" w:space="0" w:color="FFFFFF" w:themeColor="background1"/>
              <w:left w:val="nil"/>
              <w:right w:val="nil"/>
            </w:tcBorders>
            <w:shd w:val="clear" w:color="000000" w:fill="005CA9"/>
            <w:noWrap/>
            <w:vAlign w:val="center"/>
            <w:hideMark/>
          </w:tcPr>
          <w:p w14:paraId="0E17C968" w14:textId="37E4A4DC" w:rsidR="00836794" w:rsidRPr="004E0426" w:rsidRDefault="00836794" w:rsidP="004E0426">
            <w:pPr>
              <w:jc w:val="center"/>
              <w:rPr>
                <w:rFonts w:ascii="CAIXA Std Book" w:eastAsia="Times New Roman" w:hAnsi="CAIXA Std Book" w:cs="Calibri"/>
                <w:b/>
                <w:bCs/>
                <w:color w:val="FFFFFF"/>
                <w:sz w:val="16"/>
                <w:szCs w:val="16"/>
              </w:rPr>
            </w:pPr>
            <w:r w:rsidRPr="004E0426">
              <w:rPr>
                <w:rFonts w:ascii="CAIXA Std Book" w:eastAsia="Times New Roman" w:hAnsi="CAIXA Std Book" w:cs="Calibri"/>
                <w:b/>
                <w:bCs/>
                <w:color w:val="FFFFFF"/>
                <w:sz w:val="16"/>
                <w:szCs w:val="16"/>
              </w:rPr>
              <w:t>Descrição</w:t>
            </w:r>
          </w:p>
        </w:tc>
        <w:tc>
          <w:tcPr>
            <w:tcW w:w="2117" w:type="pct"/>
            <w:gridSpan w:val="3"/>
            <w:tcBorders>
              <w:top w:val="single" w:sz="4" w:space="0" w:color="FFFFFF" w:themeColor="background1"/>
              <w:left w:val="nil"/>
              <w:bottom w:val="single" w:sz="4" w:space="0" w:color="FFFFFF"/>
              <w:right w:val="nil"/>
            </w:tcBorders>
            <w:shd w:val="clear" w:color="000000" w:fill="005CA9"/>
            <w:noWrap/>
            <w:vAlign w:val="center"/>
            <w:hideMark/>
          </w:tcPr>
          <w:p w14:paraId="41964BB6" w14:textId="77777777" w:rsidR="00836794" w:rsidRPr="004E0426" w:rsidRDefault="00836794" w:rsidP="004E0426">
            <w:pPr>
              <w:jc w:val="center"/>
              <w:rPr>
                <w:rFonts w:ascii="CAIXA Std Book" w:eastAsia="Times New Roman" w:hAnsi="CAIXA Std Book" w:cs="Calibri"/>
                <w:b/>
                <w:bCs/>
                <w:color w:val="FFFFFF"/>
                <w:sz w:val="16"/>
                <w:szCs w:val="16"/>
              </w:rPr>
            </w:pPr>
            <w:r w:rsidRPr="004E0426">
              <w:rPr>
                <w:rFonts w:ascii="CAIXA Std Book" w:eastAsia="Times New Roman" w:hAnsi="CAIXA Std Book" w:cs="Calibri"/>
                <w:b/>
                <w:bCs/>
                <w:color w:val="FFFFFF"/>
                <w:sz w:val="16"/>
                <w:szCs w:val="16"/>
              </w:rPr>
              <w:t>31/03/2026</w:t>
            </w:r>
          </w:p>
        </w:tc>
        <w:tc>
          <w:tcPr>
            <w:tcW w:w="832" w:type="pct"/>
            <w:tcBorders>
              <w:top w:val="single" w:sz="4" w:space="0" w:color="FFFFFF" w:themeColor="background1"/>
              <w:left w:val="nil"/>
              <w:bottom w:val="single" w:sz="4" w:space="0" w:color="FFFFFF"/>
              <w:right w:val="nil"/>
            </w:tcBorders>
            <w:shd w:val="clear" w:color="000000" w:fill="005CA9"/>
            <w:noWrap/>
            <w:vAlign w:val="center"/>
            <w:hideMark/>
          </w:tcPr>
          <w:p w14:paraId="3DE3500C" w14:textId="77777777" w:rsidR="00836794" w:rsidRPr="004E0426" w:rsidRDefault="00836794" w:rsidP="004E0426">
            <w:pPr>
              <w:jc w:val="center"/>
              <w:rPr>
                <w:rFonts w:ascii="CAIXA Std Book" w:eastAsia="Times New Roman" w:hAnsi="CAIXA Std Book" w:cs="Calibri"/>
                <w:b/>
                <w:bCs/>
                <w:color w:val="FFFFFF"/>
                <w:sz w:val="16"/>
                <w:szCs w:val="16"/>
              </w:rPr>
            </w:pPr>
            <w:r w:rsidRPr="004E0426">
              <w:rPr>
                <w:rFonts w:ascii="CAIXA Std Book" w:eastAsia="Times New Roman" w:hAnsi="CAIXA Std Book" w:cs="Calibri"/>
                <w:b/>
                <w:bCs/>
                <w:color w:val="FFFFFF"/>
                <w:sz w:val="16"/>
                <w:szCs w:val="16"/>
              </w:rPr>
              <w:t>31/12/2025</w:t>
            </w:r>
          </w:p>
        </w:tc>
      </w:tr>
      <w:tr w:rsidR="00836794" w:rsidRPr="004E0426" w14:paraId="763526CE" w14:textId="77777777" w:rsidTr="008A7C09">
        <w:trPr>
          <w:trHeight w:val="283"/>
        </w:trPr>
        <w:tc>
          <w:tcPr>
            <w:tcW w:w="2051" w:type="pct"/>
            <w:vMerge/>
            <w:tcBorders>
              <w:left w:val="nil"/>
              <w:bottom w:val="nil"/>
              <w:right w:val="nil"/>
            </w:tcBorders>
            <w:shd w:val="clear" w:color="000000" w:fill="005CA9"/>
            <w:vAlign w:val="center"/>
            <w:hideMark/>
          </w:tcPr>
          <w:p w14:paraId="3383ABFF" w14:textId="7846C19E" w:rsidR="00836794" w:rsidRPr="004E0426" w:rsidRDefault="00836794" w:rsidP="004E0426">
            <w:pPr>
              <w:jc w:val="center"/>
              <w:rPr>
                <w:rFonts w:ascii="CAIXA Std Book" w:eastAsia="Times New Roman" w:hAnsi="CAIXA Std Book" w:cs="Calibri"/>
                <w:b/>
                <w:bCs/>
                <w:color w:val="FFFFFF"/>
                <w:sz w:val="16"/>
                <w:szCs w:val="16"/>
              </w:rPr>
            </w:pPr>
          </w:p>
        </w:tc>
        <w:tc>
          <w:tcPr>
            <w:tcW w:w="750" w:type="pct"/>
            <w:tcBorders>
              <w:top w:val="nil"/>
              <w:left w:val="nil"/>
              <w:bottom w:val="nil"/>
              <w:right w:val="nil"/>
            </w:tcBorders>
            <w:shd w:val="clear" w:color="000000" w:fill="005CA9"/>
            <w:vAlign w:val="center"/>
            <w:hideMark/>
          </w:tcPr>
          <w:p w14:paraId="5D6A2609" w14:textId="77777777" w:rsidR="00836794" w:rsidRPr="004E0426" w:rsidRDefault="00836794" w:rsidP="004E0426">
            <w:pPr>
              <w:jc w:val="center"/>
              <w:rPr>
                <w:rFonts w:ascii="CAIXA Std Book" w:eastAsia="Times New Roman" w:hAnsi="CAIXA Std Book" w:cs="Calibri"/>
                <w:b/>
                <w:bCs/>
                <w:color w:val="FFFFFF"/>
                <w:sz w:val="16"/>
                <w:szCs w:val="16"/>
              </w:rPr>
            </w:pPr>
            <w:r w:rsidRPr="004E0426">
              <w:rPr>
                <w:rFonts w:ascii="CAIXA Std Book" w:eastAsia="Times New Roman" w:hAnsi="CAIXA Std Book" w:cs="Calibri"/>
                <w:b/>
                <w:bCs/>
                <w:color w:val="FFFFFF"/>
                <w:sz w:val="16"/>
                <w:szCs w:val="16"/>
              </w:rPr>
              <w:t>01 a 90 dias</w:t>
            </w:r>
          </w:p>
        </w:tc>
        <w:tc>
          <w:tcPr>
            <w:tcW w:w="660" w:type="pct"/>
            <w:tcBorders>
              <w:top w:val="nil"/>
              <w:left w:val="nil"/>
              <w:bottom w:val="nil"/>
              <w:right w:val="nil"/>
            </w:tcBorders>
            <w:shd w:val="clear" w:color="000000" w:fill="005CA9"/>
            <w:vAlign w:val="center"/>
            <w:hideMark/>
          </w:tcPr>
          <w:p w14:paraId="4C41FD49" w14:textId="3568D510" w:rsidR="00836794" w:rsidRPr="004E0426" w:rsidRDefault="00836794" w:rsidP="004E0426">
            <w:pPr>
              <w:jc w:val="center"/>
              <w:rPr>
                <w:rFonts w:ascii="CAIXA Std Book" w:eastAsia="Times New Roman" w:hAnsi="CAIXA Std Book" w:cs="Calibri"/>
                <w:b/>
                <w:bCs/>
                <w:color w:val="FFFFFF"/>
                <w:sz w:val="16"/>
                <w:szCs w:val="16"/>
              </w:rPr>
            </w:pPr>
            <w:r w:rsidRPr="004E0426">
              <w:rPr>
                <w:rFonts w:ascii="CAIXA Std Book" w:eastAsia="Times New Roman" w:hAnsi="CAIXA Std Book" w:cs="Calibri"/>
                <w:b/>
                <w:bCs/>
                <w:color w:val="FFFFFF"/>
                <w:sz w:val="16"/>
                <w:szCs w:val="16"/>
              </w:rPr>
              <w:t>Ajuste a valor justo</w:t>
            </w:r>
          </w:p>
        </w:tc>
        <w:tc>
          <w:tcPr>
            <w:tcW w:w="706" w:type="pct"/>
            <w:tcBorders>
              <w:top w:val="nil"/>
              <w:left w:val="nil"/>
              <w:bottom w:val="nil"/>
              <w:right w:val="nil"/>
            </w:tcBorders>
            <w:shd w:val="clear" w:color="000000" w:fill="005CA9"/>
            <w:vAlign w:val="center"/>
            <w:hideMark/>
          </w:tcPr>
          <w:p w14:paraId="1A9EC771" w14:textId="77777777" w:rsidR="00836794" w:rsidRPr="004E0426" w:rsidRDefault="00836794" w:rsidP="004E0426">
            <w:pPr>
              <w:jc w:val="center"/>
              <w:rPr>
                <w:rFonts w:ascii="CAIXA Std Book" w:eastAsia="Times New Roman" w:hAnsi="CAIXA Std Book" w:cs="Calibri"/>
                <w:b/>
                <w:bCs/>
                <w:color w:val="FFFFFF"/>
                <w:sz w:val="16"/>
                <w:szCs w:val="16"/>
              </w:rPr>
            </w:pPr>
            <w:r w:rsidRPr="004E0426">
              <w:rPr>
                <w:rFonts w:ascii="CAIXA Std Book" w:eastAsia="Times New Roman" w:hAnsi="CAIXA Std Book" w:cs="Calibri"/>
                <w:b/>
                <w:bCs/>
                <w:color w:val="FFFFFF"/>
                <w:sz w:val="16"/>
                <w:szCs w:val="16"/>
              </w:rPr>
              <w:t>Valor contábil</w:t>
            </w:r>
          </w:p>
        </w:tc>
        <w:tc>
          <w:tcPr>
            <w:tcW w:w="832" w:type="pct"/>
            <w:tcBorders>
              <w:top w:val="nil"/>
              <w:left w:val="nil"/>
              <w:bottom w:val="nil"/>
              <w:right w:val="nil"/>
            </w:tcBorders>
            <w:shd w:val="clear" w:color="000000" w:fill="005CA9"/>
            <w:vAlign w:val="center"/>
            <w:hideMark/>
          </w:tcPr>
          <w:p w14:paraId="5855FF6F" w14:textId="77777777" w:rsidR="00836794" w:rsidRPr="004E0426" w:rsidRDefault="00836794" w:rsidP="004E0426">
            <w:pPr>
              <w:jc w:val="center"/>
              <w:rPr>
                <w:rFonts w:ascii="CAIXA Std Book" w:eastAsia="Times New Roman" w:hAnsi="CAIXA Std Book" w:cs="Calibri"/>
                <w:b/>
                <w:bCs/>
                <w:color w:val="FFFFFF"/>
                <w:sz w:val="16"/>
                <w:szCs w:val="16"/>
              </w:rPr>
            </w:pPr>
            <w:r w:rsidRPr="004E0426">
              <w:rPr>
                <w:rFonts w:ascii="CAIXA Std Book" w:eastAsia="Times New Roman" w:hAnsi="CAIXA Std Book" w:cs="Calibri"/>
                <w:b/>
                <w:bCs/>
                <w:color w:val="FFFFFF"/>
                <w:sz w:val="16"/>
                <w:szCs w:val="16"/>
              </w:rPr>
              <w:t>Valor contábil</w:t>
            </w:r>
          </w:p>
        </w:tc>
      </w:tr>
      <w:tr w:rsidR="004E0426" w:rsidRPr="004E0426" w14:paraId="16B8134F" w14:textId="77777777" w:rsidTr="008A7C09">
        <w:trPr>
          <w:trHeight w:val="283"/>
        </w:trPr>
        <w:tc>
          <w:tcPr>
            <w:tcW w:w="2051" w:type="pct"/>
            <w:tcBorders>
              <w:top w:val="nil"/>
              <w:left w:val="nil"/>
              <w:bottom w:val="nil"/>
              <w:right w:val="nil"/>
            </w:tcBorders>
            <w:shd w:val="clear" w:color="000000" w:fill="D0E0E3"/>
            <w:noWrap/>
            <w:vAlign w:val="center"/>
            <w:hideMark/>
          </w:tcPr>
          <w:p w14:paraId="701E92BC" w14:textId="77777777" w:rsidR="004E0426" w:rsidRPr="004E0426" w:rsidRDefault="004E0426" w:rsidP="004E0426">
            <w:pPr>
              <w:rPr>
                <w:rFonts w:ascii="CAIXA Std Book" w:eastAsia="Times New Roman" w:hAnsi="CAIXA Std Book" w:cs="Calibri"/>
                <w:b/>
                <w:bCs/>
                <w:color w:val="005CA9"/>
                <w:sz w:val="16"/>
                <w:szCs w:val="16"/>
              </w:rPr>
            </w:pPr>
            <w:r w:rsidRPr="004E0426">
              <w:rPr>
                <w:rFonts w:ascii="CAIXA Std Book" w:eastAsia="Times New Roman" w:hAnsi="CAIXA Std Book" w:cs="Calibri"/>
                <w:b/>
                <w:bCs/>
                <w:color w:val="005CA9"/>
                <w:sz w:val="16"/>
                <w:szCs w:val="16"/>
              </w:rPr>
              <w:t>Aplicações no mercado aberto - posição bancada</w:t>
            </w:r>
          </w:p>
        </w:tc>
        <w:tc>
          <w:tcPr>
            <w:tcW w:w="750" w:type="pct"/>
            <w:tcBorders>
              <w:top w:val="nil"/>
              <w:left w:val="nil"/>
              <w:bottom w:val="nil"/>
              <w:right w:val="nil"/>
            </w:tcBorders>
            <w:shd w:val="clear" w:color="000000" w:fill="D0E0E3"/>
            <w:noWrap/>
            <w:vAlign w:val="center"/>
            <w:hideMark/>
          </w:tcPr>
          <w:p w14:paraId="5FF037B2" w14:textId="670D4B23" w:rsidR="004E0426" w:rsidRPr="004E0426" w:rsidRDefault="004E0426" w:rsidP="004E0426">
            <w:pPr>
              <w:jc w:val="right"/>
              <w:rPr>
                <w:rFonts w:ascii="CAIXA Std Book" w:eastAsia="Times New Roman" w:hAnsi="CAIXA Std Book" w:cs="Calibri"/>
                <w:b/>
                <w:bCs/>
                <w:color w:val="005CA9"/>
                <w:sz w:val="16"/>
                <w:szCs w:val="16"/>
              </w:rPr>
            </w:pPr>
            <w:r w:rsidRPr="004E0426">
              <w:rPr>
                <w:rFonts w:ascii="CAIXA Std Book" w:eastAsia="Times New Roman" w:hAnsi="CAIXA Std Book" w:cs="Calibri"/>
                <w:b/>
                <w:bCs/>
                <w:color w:val="005CA9"/>
                <w:sz w:val="16"/>
                <w:szCs w:val="16"/>
              </w:rPr>
              <w:t>203.874.594</w:t>
            </w:r>
          </w:p>
        </w:tc>
        <w:tc>
          <w:tcPr>
            <w:tcW w:w="660" w:type="pct"/>
            <w:tcBorders>
              <w:top w:val="nil"/>
              <w:left w:val="nil"/>
              <w:bottom w:val="nil"/>
              <w:right w:val="nil"/>
            </w:tcBorders>
            <w:shd w:val="clear" w:color="000000" w:fill="D0E0E3"/>
            <w:noWrap/>
            <w:vAlign w:val="center"/>
            <w:hideMark/>
          </w:tcPr>
          <w:p w14:paraId="1D959C2E" w14:textId="77777777" w:rsidR="004E0426" w:rsidRPr="004E0426" w:rsidRDefault="004E0426" w:rsidP="004E0426">
            <w:pPr>
              <w:jc w:val="right"/>
              <w:rPr>
                <w:rFonts w:ascii="CAIXA Std Book" w:eastAsia="Times New Roman" w:hAnsi="CAIXA Std Book" w:cs="Calibri"/>
                <w:b/>
                <w:bCs/>
                <w:color w:val="005CA9"/>
                <w:sz w:val="16"/>
                <w:szCs w:val="16"/>
              </w:rPr>
            </w:pPr>
            <w:r w:rsidRPr="004E0426">
              <w:rPr>
                <w:rFonts w:ascii="CAIXA Std Book" w:eastAsia="Times New Roman" w:hAnsi="CAIXA Std Book" w:cs="Calibri"/>
                <w:b/>
                <w:bCs/>
                <w:color w:val="005CA9"/>
                <w:sz w:val="16"/>
                <w:szCs w:val="16"/>
              </w:rPr>
              <w:t>23.619</w:t>
            </w:r>
          </w:p>
        </w:tc>
        <w:tc>
          <w:tcPr>
            <w:tcW w:w="706" w:type="pct"/>
            <w:tcBorders>
              <w:top w:val="nil"/>
              <w:left w:val="nil"/>
              <w:bottom w:val="nil"/>
              <w:right w:val="nil"/>
            </w:tcBorders>
            <w:shd w:val="clear" w:color="000000" w:fill="D0E0E3"/>
            <w:noWrap/>
            <w:vAlign w:val="center"/>
            <w:hideMark/>
          </w:tcPr>
          <w:p w14:paraId="0F955580" w14:textId="5080C3D5" w:rsidR="004E0426" w:rsidRPr="004E0426" w:rsidRDefault="004E0426" w:rsidP="004E0426">
            <w:pPr>
              <w:jc w:val="right"/>
              <w:rPr>
                <w:rFonts w:ascii="CAIXA Std Book" w:eastAsia="Times New Roman" w:hAnsi="CAIXA Std Book" w:cs="Calibri"/>
                <w:b/>
                <w:bCs/>
                <w:color w:val="005CA9"/>
                <w:sz w:val="16"/>
                <w:szCs w:val="16"/>
              </w:rPr>
            </w:pPr>
            <w:r w:rsidRPr="004E0426">
              <w:rPr>
                <w:rFonts w:ascii="CAIXA Std Book" w:eastAsia="Times New Roman" w:hAnsi="CAIXA Std Book" w:cs="Calibri"/>
                <w:b/>
                <w:bCs/>
                <w:color w:val="005CA9"/>
                <w:sz w:val="16"/>
                <w:szCs w:val="16"/>
              </w:rPr>
              <w:t>203.898.213</w:t>
            </w:r>
          </w:p>
        </w:tc>
        <w:tc>
          <w:tcPr>
            <w:tcW w:w="832" w:type="pct"/>
            <w:tcBorders>
              <w:top w:val="nil"/>
              <w:left w:val="nil"/>
              <w:bottom w:val="nil"/>
              <w:right w:val="nil"/>
            </w:tcBorders>
            <w:shd w:val="clear" w:color="000000" w:fill="D0E0E3"/>
            <w:noWrap/>
            <w:vAlign w:val="center"/>
            <w:hideMark/>
          </w:tcPr>
          <w:p w14:paraId="6EFDB93C" w14:textId="63A3AB20" w:rsidR="004E0426" w:rsidRPr="004E0426" w:rsidRDefault="004E0426" w:rsidP="004E0426">
            <w:pPr>
              <w:jc w:val="right"/>
              <w:rPr>
                <w:rFonts w:ascii="CAIXA Std Book" w:eastAsia="Times New Roman" w:hAnsi="CAIXA Std Book" w:cs="Calibri"/>
                <w:b/>
                <w:bCs/>
                <w:color w:val="005CA9"/>
                <w:sz w:val="16"/>
                <w:szCs w:val="16"/>
              </w:rPr>
            </w:pPr>
            <w:r w:rsidRPr="004E0426">
              <w:rPr>
                <w:rFonts w:ascii="CAIXA Std Book" w:eastAsia="Times New Roman" w:hAnsi="CAIXA Std Book" w:cs="Calibri"/>
                <w:b/>
                <w:bCs/>
                <w:color w:val="005CA9"/>
                <w:sz w:val="16"/>
                <w:szCs w:val="16"/>
              </w:rPr>
              <w:t>98.746.297</w:t>
            </w:r>
          </w:p>
        </w:tc>
      </w:tr>
      <w:tr w:rsidR="004E0426" w:rsidRPr="004E0426" w14:paraId="2EAE4E20" w14:textId="77777777" w:rsidTr="008A7C09">
        <w:trPr>
          <w:trHeight w:val="283"/>
        </w:trPr>
        <w:tc>
          <w:tcPr>
            <w:tcW w:w="2051" w:type="pct"/>
            <w:tcBorders>
              <w:top w:val="nil"/>
              <w:left w:val="nil"/>
              <w:bottom w:val="nil"/>
              <w:right w:val="nil"/>
            </w:tcBorders>
            <w:shd w:val="clear" w:color="000000" w:fill="FFFFFF"/>
            <w:noWrap/>
            <w:vAlign w:val="center"/>
            <w:hideMark/>
          </w:tcPr>
          <w:p w14:paraId="2EC96F61" w14:textId="77777777" w:rsidR="004E0426" w:rsidRPr="004E0426" w:rsidRDefault="004E0426" w:rsidP="004E0426">
            <w:pPr>
              <w:ind w:firstLineChars="100" w:firstLine="160"/>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Letras financeiras do tesouro</w:t>
            </w:r>
          </w:p>
        </w:tc>
        <w:tc>
          <w:tcPr>
            <w:tcW w:w="750" w:type="pct"/>
            <w:tcBorders>
              <w:top w:val="nil"/>
              <w:left w:val="nil"/>
              <w:bottom w:val="nil"/>
              <w:right w:val="nil"/>
            </w:tcBorders>
            <w:shd w:val="clear" w:color="000000" w:fill="FFFFFF"/>
            <w:noWrap/>
            <w:vAlign w:val="center"/>
            <w:hideMark/>
          </w:tcPr>
          <w:p w14:paraId="00C2A021" w14:textId="34A35C75" w:rsidR="004E0426" w:rsidRPr="004E0426" w:rsidRDefault="004E0426" w:rsidP="004E0426">
            <w:pPr>
              <w:ind w:firstLineChars="100" w:firstLine="160"/>
              <w:jc w:val="right"/>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66.190.982</w:t>
            </w:r>
          </w:p>
        </w:tc>
        <w:tc>
          <w:tcPr>
            <w:tcW w:w="660" w:type="pct"/>
            <w:tcBorders>
              <w:top w:val="nil"/>
              <w:left w:val="nil"/>
              <w:bottom w:val="nil"/>
              <w:right w:val="nil"/>
            </w:tcBorders>
            <w:shd w:val="clear" w:color="000000" w:fill="FFFFFF"/>
            <w:noWrap/>
            <w:vAlign w:val="center"/>
            <w:hideMark/>
          </w:tcPr>
          <w:p w14:paraId="4585B4D4" w14:textId="77777777" w:rsidR="004E0426" w:rsidRPr="004E0426" w:rsidRDefault="004E0426" w:rsidP="004E0426">
            <w:pPr>
              <w:jc w:val="right"/>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10.123</w:t>
            </w:r>
          </w:p>
        </w:tc>
        <w:tc>
          <w:tcPr>
            <w:tcW w:w="706" w:type="pct"/>
            <w:tcBorders>
              <w:top w:val="nil"/>
              <w:left w:val="nil"/>
              <w:bottom w:val="nil"/>
              <w:right w:val="nil"/>
            </w:tcBorders>
            <w:shd w:val="clear" w:color="000000" w:fill="FFFFFF"/>
            <w:noWrap/>
            <w:vAlign w:val="center"/>
            <w:hideMark/>
          </w:tcPr>
          <w:p w14:paraId="3577149D" w14:textId="06B7477F" w:rsidR="004E0426" w:rsidRPr="004E0426" w:rsidRDefault="004E0426" w:rsidP="004E0426">
            <w:pPr>
              <w:ind w:firstLineChars="100" w:firstLine="160"/>
              <w:jc w:val="right"/>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66.201.105</w:t>
            </w:r>
          </w:p>
        </w:tc>
        <w:tc>
          <w:tcPr>
            <w:tcW w:w="832" w:type="pct"/>
            <w:tcBorders>
              <w:top w:val="nil"/>
              <w:left w:val="nil"/>
              <w:bottom w:val="nil"/>
              <w:right w:val="nil"/>
            </w:tcBorders>
            <w:shd w:val="clear" w:color="000000" w:fill="FFFFFF"/>
            <w:noWrap/>
            <w:vAlign w:val="center"/>
            <w:hideMark/>
          </w:tcPr>
          <w:p w14:paraId="345EAA0C" w14:textId="3838184C" w:rsidR="004E0426" w:rsidRPr="004E0426" w:rsidRDefault="004E0426" w:rsidP="004E0426">
            <w:pPr>
              <w:ind w:firstLineChars="100" w:firstLine="160"/>
              <w:jc w:val="right"/>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65.862.907</w:t>
            </w:r>
          </w:p>
        </w:tc>
      </w:tr>
      <w:tr w:rsidR="004E0426" w:rsidRPr="004E0426" w14:paraId="691ABFAD" w14:textId="77777777" w:rsidTr="008A7C09">
        <w:trPr>
          <w:trHeight w:val="283"/>
        </w:trPr>
        <w:tc>
          <w:tcPr>
            <w:tcW w:w="2051" w:type="pct"/>
            <w:tcBorders>
              <w:top w:val="nil"/>
              <w:left w:val="nil"/>
              <w:bottom w:val="nil"/>
              <w:right w:val="nil"/>
            </w:tcBorders>
            <w:shd w:val="clear" w:color="000000" w:fill="FFFFFF"/>
            <w:noWrap/>
            <w:vAlign w:val="center"/>
            <w:hideMark/>
          </w:tcPr>
          <w:p w14:paraId="6FF7EB34" w14:textId="77777777" w:rsidR="004E0426" w:rsidRPr="004E0426" w:rsidRDefault="004E0426" w:rsidP="004E0426">
            <w:pPr>
              <w:ind w:firstLineChars="100" w:firstLine="160"/>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Letras do tesouro nacional</w:t>
            </w:r>
          </w:p>
        </w:tc>
        <w:tc>
          <w:tcPr>
            <w:tcW w:w="750" w:type="pct"/>
            <w:tcBorders>
              <w:top w:val="nil"/>
              <w:left w:val="nil"/>
              <w:bottom w:val="nil"/>
              <w:right w:val="nil"/>
            </w:tcBorders>
            <w:shd w:val="clear" w:color="000000" w:fill="FFFFFF"/>
            <w:noWrap/>
            <w:vAlign w:val="center"/>
            <w:hideMark/>
          </w:tcPr>
          <w:p w14:paraId="150711F8" w14:textId="7F6CE916" w:rsidR="004E0426" w:rsidRPr="004E0426" w:rsidRDefault="004E0426" w:rsidP="004E0426">
            <w:pPr>
              <w:ind w:firstLineChars="100" w:firstLine="160"/>
              <w:jc w:val="right"/>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3.009.854</w:t>
            </w:r>
          </w:p>
        </w:tc>
        <w:tc>
          <w:tcPr>
            <w:tcW w:w="660" w:type="pct"/>
            <w:tcBorders>
              <w:top w:val="nil"/>
              <w:left w:val="nil"/>
              <w:bottom w:val="nil"/>
              <w:right w:val="nil"/>
            </w:tcBorders>
            <w:shd w:val="clear" w:color="000000" w:fill="FFFFFF"/>
            <w:noWrap/>
            <w:vAlign w:val="center"/>
            <w:hideMark/>
          </w:tcPr>
          <w:p w14:paraId="4B49161C" w14:textId="277C5527" w:rsidR="004E0426" w:rsidRPr="004E0426" w:rsidRDefault="004E0426" w:rsidP="004E0426">
            <w:pPr>
              <w:jc w:val="center"/>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w:t>
            </w:r>
          </w:p>
        </w:tc>
        <w:tc>
          <w:tcPr>
            <w:tcW w:w="706" w:type="pct"/>
            <w:tcBorders>
              <w:top w:val="nil"/>
              <w:left w:val="nil"/>
              <w:bottom w:val="nil"/>
              <w:right w:val="nil"/>
            </w:tcBorders>
            <w:shd w:val="clear" w:color="000000" w:fill="FFFFFF"/>
            <w:noWrap/>
            <w:vAlign w:val="center"/>
            <w:hideMark/>
          </w:tcPr>
          <w:p w14:paraId="4DE200CB" w14:textId="6C0E37A2" w:rsidR="004E0426" w:rsidRPr="004E0426" w:rsidRDefault="004E0426" w:rsidP="004E0426">
            <w:pPr>
              <w:ind w:firstLineChars="100" w:firstLine="160"/>
              <w:jc w:val="right"/>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3.009.854</w:t>
            </w:r>
          </w:p>
        </w:tc>
        <w:tc>
          <w:tcPr>
            <w:tcW w:w="832" w:type="pct"/>
            <w:tcBorders>
              <w:top w:val="nil"/>
              <w:left w:val="nil"/>
              <w:bottom w:val="nil"/>
              <w:right w:val="nil"/>
            </w:tcBorders>
            <w:shd w:val="clear" w:color="000000" w:fill="FFFFFF"/>
            <w:noWrap/>
            <w:vAlign w:val="center"/>
            <w:hideMark/>
          </w:tcPr>
          <w:p w14:paraId="724556AB" w14:textId="59EE7E0C" w:rsidR="004E0426" w:rsidRPr="004E0426" w:rsidRDefault="004E0426" w:rsidP="004E0426">
            <w:pPr>
              <w:ind w:firstLineChars="100" w:firstLine="160"/>
              <w:jc w:val="right"/>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24.976.562</w:t>
            </w:r>
          </w:p>
        </w:tc>
      </w:tr>
      <w:tr w:rsidR="004E0426" w:rsidRPr="004E0426" w14:paraId="594D2D49" w14:textId="77777777" w:rsidTr="008A7C09">
        <w:trPr>
          <w:trHeight w:val="283"/>
        </w:trPr>
        <w:tc>
          <w:tcPr>
            <w:tcW w:w="2051" w:type="pct"/>
            <w:tcBorders>
              <w:top w:val="nil"/>
              <w:left w:val="nil"/>
              <w:bottom w:val="nil"/>
              <w:right w:val="nil"/>
            </w:tcBorders>
            <w:shd w:val="clear" w:color="000000" w:fill="FFFFFF"/>
            <w:noWrap/>
            <w:vAlign w:val="center"/>
            <w:hideMark/>
          </w:tcPr>
          <w:p w14:paraId="42383CDE" w14:textId="77777777" w:rsidR="004E0426" w:rsidRPr="004E0426" w:rsidRDefault="004E0426" w:rsidP="004E0426">
            <w:pPr>
              <w:ind w:firstLineChars="100" w:firstLine="160"/>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Notas do tesouro nacional</w:t>
            </w:r>
          </w:p>
        </w:tc>
        <w:tc>
          <w:tcPr>
            <w:tcW w:w="750" w:type="pct"/>
            <w:tcBorders>
              <w:top w:val="nil"/>
              <w:left w:val="nil"/>
              <w:bottom w:val="nil"/>
              <w:right w:val="nil"/>
            </w:tcBorders>
            <w:shd w:val="clear" w:color="000000" w:fill="FFFFFF"/>
            <w:noWrap/>
            <w:vAlign w:val="center"/>
            <w:hideMark/>
          </w:tcPr>
          <w:p w14:paraId="0283F582" w14:textId="50A48BEB" w:rsidR="004E0426" w:rsidRPr="004E0426" w:rsidRDefault="004E0426" w:rsidP="004E0426">
            <w:pPr>
              <w:ind w:firstLineChars="100" w:firstLine="160"/>
              <w:jc w:val="right"/>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134.673.758</w:t>
            </w:r>
          </w:p>
        </w:tc>
        <w:tc>
          <w:tcPr>
            <w:tcW w:w="660" w:type="pct"/>
            <w:tcBorders>
              <w:top w:val="nil"/>
              <w:left w:val="nil"/>
              <w:bottom w:val="nil"/>
              <w:right w:val="nil"/>
            </w:tcBorders>
            <w:shd w:val="clear" w:color="000000" w:fill="FFFFFF"/>
            <w:noWrap/>
            <w:vAlign w:val="center"/>
            <w:hideMark/>
          </w:tcPr>
          <w:p w14:paraId="1B6E1C13" w14:textId="77777777" w:rsidR="004E0426" w:rsidRPr="004E0426" w:rsidRDefault="004E0426" w:rsidP="004E0426">
            <w:pPr>
              <w:jc w:val="right"/>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13.496</w:t>
            </w:r>
          </w:p>
        </w:tc>
        <w:tc>
          <w:tcPr>
            <w:tcW w:w="706" w:type="pct"/>
            <w:tcBorders>
              <w:top w:val="nil"/>
              <w:left w:val="nil"/>
              <w:bottom w:val="nil"/>
              <w:right w:val="nil"/>
            </w:tcBorders>
            <w:shd w:val="clear" w:color="000000" w:fill="FFFFFF"/>
            <w:noWrap/>
            <w:vAlign w:val="center"/>
            <w:hideMark/>
          </w:tcPr>
          <w:p w14:paraId="6A37BFF2" w14:textId="1FFAEC9E" w:rsidR="004E0426" w:rsidRPr="004E0426" w:rsidRDefault="004E0426" w:rsidP="004E0426">
            <w:pPr>
              <w:ind w:firstLineChars="100" w:firstLine="160"/>
              <w:jc w:val="right"/>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134.687.254</w:t>
            </w:r>
          </w:p>
        </w:tc>
        <w:tc>
          <w:tcPr>
            <w:tcW w:w="832" w:type="pct"/>
            <w:tcBorders>
              <w:top w:val="nil"/>
              <w:left w:val="nil"/>
              <w:bottom w:val="nil"/>
              <w:right w:val="nil"/>
            </w:tcBorders>
            <w:shd w:val="clear" w:color="000000" w:fill="FFFFFF"/>
            <w:noWrap/>
            <w:vAlign w:val="center"/>
            <w:hideMark/>
          </w:tcPr>
          <w:p w14:paraId="77CB9CD9" w14:textId="508AF086" w:rsidR="004E0426" w:rsidRPr="004E0426" w:rsidRDefault="004E0426" w:rsidP="004E0426">
            <w:pPr>
              <w:ind w:firstLineChars="100" w:firstLine="160"/>
              <w:jc w:val="right"/>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7.906.828</w:t>
            </w:r>
          </w:p>
        </w:tc>
      </w:tr>
      <w:tr w:rsidR="004E0426" w:rsidRPr="004E0426" w14:paraId="1F72727E" w14:textId="77777777" w:rsidTr="008A7C09">
        <w:trPr>
          <w:trHeight w:val="283"/>
        </w:trPr>
        <w:tc>
          <w:tcPr>
            <w:tcW w:w="2051" w:type="pct"/>
            <w:tcBorders>
              <w:top w:val="nil"/>
              <w:left w:val="nil"/>
              <w:bottom w:val="nil"/>
              <w:right w:val="nil"/>
            </w:tcBorders>
            <w:shd w:val="clear" w:color="000000" w:fill="D0E0E3"/>
            <w:noWrap/>
            <w:vAlign w:val="center"/>
            <w:hideMark/>
          </w:tcPr>
          <w:p w14:paraId="00CF3E7D" w14:textId="77777777" w:rsidR="004E0426" w:rsidRPr="004E0426" w:rsidRDefault="004E0426" w:rsidP="004E0426">
            <w:pPr>
              <w:rPr>
                <w:rFonts w:ascii="CAIXA Std Book" w:eastAsia="Times New Roman" w:hAnsi="CAIXA Std Book" w:cs="Calibri"/>
                <w:b/>
                <w:bCs/>
                <w:color w:val="005CA9"/>
                <w:sz w:val="16"/>
                <w:szCs w:val="16"/>
              </w:rPr>
            </w:pPr>
            <w:r w:rsidRPr="004E0426">
              <w:rPr>
                <w:rFonts w:ascii="CAIXA Std Book" w:eastAsia="Times New Roman" w:hAnsi="CAIXA Std Book" w:cs="Calibri"/>
                <w:b/>
                <w:bCs/>
                <w:color w:val="005CA9"/>
                <w:sz w:val="16"/>
                <w:szCs w:val="16"/>
              </w:rPr>
              <w:t>Aplicações no mercado aberto - posição financiada</w:t>
            </w:r>
          </w:p>
        </w:tc>
        <w:tc>
          <w:tcPr>
            <w:tcW w:w="750" w:type="pct"/>
            <w:tcBorders>
              <w:top w:val="nil"/>
              <w:left w:val="nil"/>
              <w:bottom w:val="nil"/>
              <w:right w:val="nil"/>
            </w:tcBorders>
            <w:shd w:val="clear" w:color="000000" w:fill="D0E0E3"/>
            <w:noWrap/>
            <w:vAlign w:val="center"/>
            <w:hideMark/>
          </w:tcPr>
          <w:p w14:paraId="299CE348" w14:textId="3D607B92" w:rsidR="004E0426" w:rsidRPr="004E0426" w:rsidRDefault="004E0426" w:rsidP="004E0426">
            <w:pPr>
              <w:jc w:val="right"/>
              <w:rPr>
                <w:rFonts w:ascii="CAIXA Std Book" w:eastAsia="Times New Roman" w:hAnsi="CAIXA Std Book" w:cs="Calibri"/>
                <w:b/>
                <w:bCs/>
                <w:color w:val="005CA9"/>
                <w:sz w:val="16"/>
                <w:szCs w:val="16"/>
              </w:rPr>
            </w:pPr>
            <w:r w:rsidRPr="004E0426">
              <w:rPr>
                <w:rFonts w:ascii="CAIXA Std Book" w:eastAsia="Times New Roman" w:hAnsi="CAIXA Std Book" w:cs="Calibri"/>
                <w:b/>
                <w:bCs/>
                <w:color w:val="005CA9"/>
                <w:sz w:val="16"/>
                <w:szCs w:val="16"/>
              </w:rPr>
              <w:t>65.632.857</w:t>
            </w:r>
          </w:p>
        </w:tc>
        <w:tc>
          <w:tcPr>
            <w:tcW w:w="660" w:type="pct"/>
            <w:tcBorders>
              <w:top w:val="nil"/>
              <w:left w:val="nil"/>
              <w:bottom w:val="nil"/>
              <w:right w:val="nil"/>
            </w:tcBorders>
            <w:shd w:val="clear" w:color="000000" w:fill="D0E0E3"/>
            <w:noWrap/>
            <w:vAlign w:val="center"/>
            <w:hideMark/>
          </w:tcPr>
          <w:p w14:paraId="02C7F889" w14:textId="4D933E72" w:rsidR="004E0426" w:rsidRPr="004E0426" w:rsidRDefault="004E0426" w:rsidP="004E0426">
            <w:pPr>
              <w:jc w:val="center"/>
              <w:rPr>
                <w:rFonts w:ascii="CAIXA Std Book" w:eastAsia="Times New Roman" w:hAnsi="CAIXA Std Book" w:cs="Calibri"/>
                <w:b/>
                <w:bCs/>
                <w:color w:val="005CA9"/>
                <w:sz w:val="16"/>
                <w:szCs w:val="16"/>
              </w:rPr>
            </w:pPr>
            <w:r w:rsidRPr="004E0426">
              <w:rPr>
                <w:rFonts w:ascii="CAIXA Std Book" w:eastAsia="Times New Roman" w:hAnsi="CAIXA Std Book" w:cs="Calibri"/>
                <w:b/>
                <w:bCs/>
                <w:color w:val="005CA9"/>
                <w:sz w:val="16"/>
                <w:szCs w:val="16"/>
              </w:rPr>
              <w:t>-</w:t>
            </w:r>
          </w:p>
        </w:tc>
        <w:tc>
          <w:tcPr>
            <w:tcW w:w="706" w:type="pct"/>
            <w:tcBorders>
              <w:top w:val="nil"/>
              <w:left w:val="nil"/>
              <w:bottom w:val="nil"/>
              <w:right w:val="nil"/>
            </w:tcBorders>
            <w:shd w:val="clear" w:color="000000" w:fill="D0E0E3"/>
            <w:noWrap/>
            <w:vAlign w:val="center"/>
            <w:hideMark/>
          </w:tcPr>
          <w:p w14:paraId="4C96414D" w14:textId="47983BDA" w:rsidR="004E0426" w:rsidRPr="004E0426" w:rsidRDefault="004E0426" w:rsidP="004E0426">
            <w:pPr>
              <w:jc w:val="right"/>
              <w:rPr>
                <w:rFonts w:ascii="CAIXA Std Book" w:eastAsia="Times New Roman" w:hAnsi="CAIXA Std Book" w:cs="Calibri"/>
                <w:b/>
                <w:bCs/>
                <w:color w:val="005CA9"/>
                <w:sz w:val="16"/>
                <w:szCs w:val="16"/>
              </w:rPr>
            </w:pPr>
            <w:r w:rsidRPr="004E0426">
              <w:rPr>
                <w:rFonts w:ascii="CAIXA Std Book" w:eastAsia="Times New Roman" w:hAnsi="CAIXA Std Book" w:cs="Calibri"/>
                <w:b/>
                <w:bCs/>
                <w:color w:val="005CA9"/>
                <w:sz w:val="16"/>
                <w:szCs w:val="16"/>
              </w:rPr>
              <w:t>65.632.857</w:t>
            </w:r>
          </w:p>
        </w:tc>
        <w:tc>
          <w:tcPr>
            <w:tcW w:w="832" w:type="pct"/>
            <w:tcBorders>
              <w:top w:val="nil"/>
              <w:left w:val="nil"/>
              <w:bottom w:val="nil"/>
              <w:right w:val="nil"/>
            </w:tcBorders>
            <w:shd w:val="clear" w:color="000000" w:fill="D0E0E3"/>
            <w:noWrap/>
            <w:vAlign w:val="center"/>
            <w:hideMark/>
          </w:tcPr>
          <w:p w14:paraId="3B53F889" w14:textId="5B81CDE8" w:rsidR="004E0426" w:rsidRPr="004E0426" w:rsidRDefault="004E0426" w:rsidP="004E0426">
            <w:pPr>
              <w:jc w:val="right"/>
              <w:rPr>
                <w:rFonts w:ascii="CAIXA Std Book" w:eastAsia="Times New Roman" w:hAnsi="CAIXA Std Book" w:cs="Calibri"/>
                <w:b/>
                <w:bCs/>
                <w:color w:val="005CA9"/>
                <w:sz w:val="16"/>
                <w:szCs w:val="16"/>
              </w:rPr>
            </w:pPr>
            <w:r w:rsidRPr="004E0426">
              <w:rPr>
                <w:rFonts w:ascii="CAIXA Std Book" w:eastAsia="Times New Roman" w:hAnsi="CAIXA Std Book" w:cs="Calibri"/>
                <w:b/>
                <w:bCs/>
                <w:color w:val="005CA9"/>
                <w:sz w:val="16"/>
                <w:szCs w:val="16"/>
              </w:rPr>
              <w:t>41.242.011</w:t>
            </w:r>
          </w:p>
        </w:tc>
      </w:tr>
      <w:tr w:rsidR="004E0426" w:rsidRPr="004E0426" w14:paraId="122859CF" w14:textId="77777777" w:rsidTr="008A7C09">
        <w:trPr>
          <w:trHeight w:val="283"/>
        </w:trPr>
        <w:tc>
          <w:tcPr>
            <w:tcW w:w="2051" w:type="pct"/>
            <w:tcBorders>
              <w:top w:val="nil"/>
              <w:left w:val="nil"/>
              <w:bottom w:val="nil"/>
              <w:right w:val="nil"/>
            </w:tcBorders>
            <w:shd w:val="clear" w:color="000000" w:fill="FFFFFF"/>
            <w:noWrap/>
            <w:vAlign w:val="center"/>
            <w:hideMark/>
          </w:tcPr>
          <w:p w14:paraId="049F13A2" w14:textId="77777777" w:rsidR="004E0426" w:rsidRPr="004E0426" w:rsidRDefault="004E0426" w:rsidP="004E0426">
            <w:pPr>
              <w:ind w:firstLineChars="100" w:firstLine="160"/>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Letras financeiras do tesouro</w:t>
            </w:r>
          </w:p>
        </w:tc>
        <w:tc>
          <w:tcPr>
            <w:tcW w:w="750" w:type="pct"/>
            <w:tcBorders>
              <w:top w:val="nil"/>
              <w:left w:val="nil"/>
              <w:bottom w:val="nil"/>
              <w:right w:val="nil"/>
            </w:tcBorders>
            <w:shd w:val="clear" w:color="000000" w:fill="FFFFFF"/>
            <w:noWrap/>
            <w:vAlign w:val="center"/>
            <w:hideMark/>
          </w:tcPr>
          <w:p w14:paraId="65C0E8BE" w14:textId="2DD28966" w:rsidR="004E0426" w:rsidRPr="004E0426" w:rsidRDefault="004E0426" w:rsidP="004E0426">
            <w:pPr>
              <w:ind w:firstLineChars="100" w:firstLine="160"/>
              <w:jc w:val="right"/>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26.019.955</w:t>
            </w:r>
          </w:p>
        </w:tc>
        <w:tc>
          <w:tcPr>
            <w:tcW w:w="660" w:type="pct"/>
            <w:tcBorders>
              <w:top w:val="nil"/>
              <w:left w:val="nil"/>
              <w:bottom w:val="nil"/>
              <w:right w:val="nil"/>
            </w:tcBorders>
            <w:shd w:val="clear" w:color="000000" w:fill="FFFFFF"/>
            <w:noWrap/>
            <w:vAlign w:val="center"/>
            <w:hideMark/>
          </w:tcPr>
          <w:p w14:paraId="34ADB863" w14:textId="41509497" w:rsidR="004E0426" w:rsidRPr="004E0426" w:rsidRDefault="004E0426" w:rsidP="004E0426">
            <w:pPr>
              <w:jc w:val="center"/>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w:t>
            </w:r>
          </w:p>
        </w:tc>
        <w:tc>
          <w:tcPr>
            <w:tcW w:w="706" w:type="pct"/>
            <w:tcBorders>
              <w:top w:val="nil"/>
              <w:left w:val="nil"/>
              <w:bottom w:val="nil"/>
              <w:right w:val="nil"/>
            </w:tcBorders>
            <w:shd w:val="clear" w:color="000000" w:fill="FFFFFF"/>
            <w:noWrap/>
            <w:vAlign w:val="center"/>
            <w:hideMark/>
          </w:tcPr>
          <w:p w14:paraId="07876F02" w14:textId="6A3C6BFE" w:rsidR="004E0426" w:rsidRPr="004E0426" w:rsidRDefault="004E0426" w:rsidP="004E0426">
            <w:pPr>
              <w:ind w:firstLineChars="100" w:firstLine="160"/>
              <w:jc w:val="right"/>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26.019.955</w:t>
            </w:r>
          </w:p>
        </w:tc>
        <w:tc>
          <w:tcPr>
            <w:tcW w:w="832" w:type="pct"/>
            <w:tcBorders>
              <w:top w:val="nil"/>
              <w:left w:val="nil"/>
              <w:bottom w:val="nil"/>
              <w:right w:val="nil"/>
            </w:tcBorders>
            <w:noWrap/>
            <w:vAlign w:val="center"/>
            <w:hideMark/>
          </w:tcPr>
          <w:p w14:paraId="71BA4650" w14:textId="65DD8225" w:rsidR="004E0426" w:rsidRPr="004E0426" w:rsidRDefault="004E0426" w:rsidP="004E0426">
            <w:pPr>
              <w:jc w:val="right"/>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18.347.552</w:t>
            </w:r>
          </w:p>
        </w:tc>
      </w:tr>
      <w:tr w:rsidR="004E0426" w:rsidRPr="004E0426" w14:paraId="2C70CD9A" w14:textId="77777777" w:rsidTr="008A7C09">
        <w:trPr>
          <w:trHeight w:val="283"/>
        </w:trPr>
        <w:tc>
          <w:tcPr>
            <w:tcW w:w="2051" w:type="pct"/>
            <w:tcBorders>
              <w:top w:val="nil"/>
              <w:left w:val="nil"/>
              <w:bottom w:val="nil"/>
              <w:right w:val="nil"/>
            </w:tcBorders>
            <w:shd w:val="clear" w:color="000000" w:fill="FFFFFF"/>
            <w:noWrap/>
            <w:vAlign w:val="center"/>
            <w:hideMark/>
          </w:tcPr>
          <w:p w14:paraId="310A1FA9" w14:textId="77777777" w:rsidR="004E0426" w:rsidRPr="004E0426" w:rsidRDefault="004E0426" w:rsidP="004E0426">
            <w:pPr>
              <w:ind w:firstLineChars="100" w:firstLine="160"/>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Letras do tesouro nacional</w:t>
            </w:r>
          </w:p>
        </w:tc>
        <w:tc>
          <w:tcPr>
            <w:tcW w:w="750" w:type="pct"/>
            <w:tcBorders>
              <w:top w:val="nil"/>
              <w:left w:val="nil"/>
              <w:bottom w:val="nil"/>
              <w:right w:val="nil"/>
            </w:tcBorders>
            <w:shd w:val="clear" w:color="000000" w:fill="FFFFFF"/>
            <w:noWrap/>
            <w:vAlign w:val="center"/>
            <w:hideMark/>
          </w:tcPr>
          <w:p w14:paraId="6C6D587B" w14:textId="2E7575A6" w:rsidR="004E0426" w:rsidRPr="004E0426" w:rsidRDefault="004E0426" w:rsidP="004E0426">
            <w:pPr>
              <w:ind w:firstLineChars="100" w:firstLine="160"/>
              <w:jc w:val="right"/>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6.861.992</w:t>
            </w:r>
          </w:p>
        </w:tc>
        <w:tc>
          <w:tcPr>
            <w:tcW w:w="660" w:type="pct"/>
            <w:tcBorders>
              <w:top w:val="nil"/>
              <w:left w:val="nil"/>
              <w:bottom w:val="nil"/>
              <w:right w:val="nil"/>
            </w:tcBorders>
            <w:shd w:val="clear" w:color="000000" w:fill="FFFFFF"/>
            <w:noWrap/>
            <w:vAlign w:val="center"/>
            <w:hideMark/>
          </w:tcPr>
          <w:p w14:paraId="39E84877" w14:textId="0A53B647" w:rsidR="004E0426" w:rsidRPr="004E0426" w:rsidRDefault="004E0426" w:rsidP="004E0426">
            <w:pPr>
              <w:jc w:val="center"/>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w:t>
            </w:r>
          </w:p>
        </w:tc>
        <w:tc>
          <w:tcPr>
            <w:tcW w:w="706" w:type="pct"/>
            <w:tcBorders>
              <w:top w:val="nil"/>
              <w:left w:val="nil"/>
              <w:bottom w:val="nil"/>
              <w:right w:val="nil"/>
            </w:tcBorders>
            <w:shd w:val="clear" w:color="000000" w:fill="FFFFFF"/>
            <w:noWrap/>
            <w:vAlign w:val="center"/>
            <w:hideMark/>
          </w:tcPr>
          <w:p w14:paraId="1F30D8B8" w14:textId="1C9F2939" w:rsidR="004E0426" w:rsidRPr="004E0426" w:rsidRDefault="004E0426" w:rsidP="004E0426">
            <w:pPr>
              <w:ind w:firstLineChars="100" w:firstLine="160"/>
              <w:jc w:val="right"/>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6.861.992</w:t>
            </w:r>
          </w:p>
        </w:tc>
        <w:tc>
          <w:tcPr>
            <w:tcW w:w="832" w:type="pct"/>
            <w:tcBorders>
              <w:top w:val="nil"/>
              <w:left w:val="nil"/>
              <w:bottom w:val="nil"/>
              <w:right w:val="nil"/>
            </w:tcBorders>
            <w:shd w:val="clear" w:color="000000" w:fill="FFFFFF"/>
            <w:noWrap/>
            <w:vAlign w:val="center"/>
            <w:hideMark/>
          </w:tcPr>
          <w:p w14:paraId="2FF6DC5E" w14:textId="2D71AEC3" w:rsidR="004E0426" w:rsidRPr="004E0426" w:rsidRDefault="004E0426" w:rsidP="004E0426">
            <w:pPr>
              <w:ind w:firstLineChars="100" w:firstLine="160"/>
              <w:jc w:val="right"/>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22.894.459</w:t>
            </w:r>
          </w:p>
        </w:tc>
      </w:tr>
      <w:tr w:rsidR="004E0426" w:rsidRPr="004E0426" w14:paraId="3E09B064" w14:textId="77777777" w:rsidTr="008A7C09">
        <w:trPr>
          <w:trHeight w:val="283"/>
        </w:trPr>
        <w:tc>
          <w:tcPr>
            <w:tcW w:w="2051" w:type="pct"/>
            <w:tcBorders>
              <w:top w:val="nil"/>
              <w:left w:val="nil"/>
              <w:bottom w:val="nil"/>
              <w:right w:val="nil"/>
            </w:tcBorders>
            <w:shd w:val="clear" w:color="000000" w:fill="FFFFFF"/>
            <w:noWrap/>
            <w:vAlign w:val="center"/>
            <w:hideMark/>
          </w:tcPr>
          <w:p w14:paraId="7E8C6369" w14:textId="77777777" w:rsidR="004E0426" w:rsidRPr="004E0426" w:rsidRDefault="004E0426" w:rsidP="004E0426">
            <w:pPr>
              <w:ind w:firstLineChars="100" w:firstLine="160"/>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Notas do tesouro nacional</w:t>
            </w:r>
          </w:p>
        </w:tc>
        <w:tc>
          <w:tcPr>
            <w:tcW w:w="750" w:type="pct"/>
            <w:tcBorders>
              <w:top w:val="nil"/>
              <w:left w:val="nil"/>
              <w:bottom w:val="nil"/>
              <w:right w:val="nil"/>
            </w:tcBorders>
            <w:shd w:val="clear" w:color="000000" w:fill="FFFFFF"/>
            <w:noWrap/>
            <w:vAlign w:val="center"/>
            <w:hideMark/>
          </w:tcPr>
          <w:p w14:paraId="6ACEA482" w14:textId="219A3D83" w:rsidR="004E0426" w:rsidRPr="004E0426" w:rsidRDefault="004E0426" w:rsidP="004E0426">
            <w:pPr>
              <w:ind w:firstLineChars="100" w:firstLine="160"/>
              <w:jc w:val="right"/>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32.750.910</w:t>
            </w:r>
          </w:p>
        </w:tc>
        <w:tc>
          <w:tcPr>
            <w:tcW w:w="660" w:type="pct"/>
            <w:tcBorders>
              <w:top w:val="nil"/>
              <w:left w:val="nil"/>
              <w:bottom w:val="nil"/>
              <w:right w:val="nil"/>
            </w:tcBorders>
            <w:shd w:val="clear" w:color="000000" w:fill="FFFFFF"/>
            <w:noWrap/>
            <w:vAlign w:val="center"/>
            <w:hideMark/>
          </w:tcPr>
          <w:p w14:paraId="148A08B0" w14:textId="08C28A81" w:rsidR="004E0426" w:rsidRPr="004E0426" w:rsidRDefault="004E0426" w:rsidP="004E0426">
            <w:pPr>
              <w:jc w:val="center"/>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w:t>
            </w:r>
          </w:p>
        </w:tc>
        <w:tc>
          <w:tcPr>
            <w:tcW w:w="706" w:type="pct"/>
            <w:tcBorders>
              <w:top w:val="nil"/>
              <w:left w:val="nil"/>
              <w:bottom w:val="nil"/>
              <w:right w:val="nil"/>
            </w:tcBorders>
            <w:shd w:val="clear" w:color="000000" w:fill="FFFFFF"/>
            <w:noWrap/>
            <w:vAlign w:val="center"/>
            <w:hideMark/>
          </w:tcPr>
          <w:p w14:paraId="0E7C0C5A" w14:textId="2D2B61AD" w:rsidR="004E0426" w:rsidRPr="004E0426" w:rsidRDefault="004E0426" w:rsidP="004E0426">
            <w:pPr>
              <w:ind w:firstLineChars="100" w:firstLine="160"/>
              <w:jc w:val="right"/>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32.750.910</w:t>
            </w:r>
          </w:p>
        </w:tc>
        <w:tc>
          <w:tcPr>
            <w:tcW w:w="832" w:type="pct"/>
            <w:tcBorders>
              <w:top w:val="nil"/>
              <w:left w:val="nil"/>
              <w:bottom w:val="nil"/>
              <w:right w:val="nil"/>
            </w:tcBorders>
            <w:shd w:val="clear" w:color="000000" w:fill="FFFFFF"/>
            <w:noWrap/>
            <w:vAlign w:val="center"/>
            <w:hideMark/>
          </w:tcPr>
          <w:p w14:paraId="47F285F4" w14:textId="143C6069" w:rsidR="004E0426" w:rsidRPr="004E0426" w:rsidRDefault="004E0426" w:rsidP="004E0426">
            <w:pPr>
              <w:ind w:firstLineChars="100" w:firstLine="160"/>
              <w:jc w:val="center"/>
              <w:rPr>
                <w:rFonts w:ascii="CAIXA Std Book" w:eastAsia="Times New Roman" w:hAnsi="CAIXA Std Book" w:cs="Calibri"/>
                <w:color w:val="005CA9"/>
                <w:sz w:val="16"/>
                <w:szCs w:val="16"/>
              </w:rPr>
            </w:pPr>
            <w:r w:rsidRPr="004E0426">
              <w:rPr>
                <w:rFonts w:ascii="CAIXA Std Book" w:eastAsia="Times New Roman" w:hAnsi="CAIXA Std Book" w:cs="Calibri"/>
                <w:color w:val="005CA9"/>
                <w:sz w:val="16"/>
                <w:szCs w:val="16"/>
              </w:rPr>
              <w:t>-</w:t>
            </w:r>
          </w:p>
        </w:tc>
      </w:tr>
      <w:tr w:rsidR="004E0426" w:rsidRPr="004E0426" w14:paraId="66023065" w14:textId="77777777" w:rsidTr="008A7C09">
        <w:trPr>
          <w:trHeight w:val="283"/>
        </w:trPr>
        <w:tc>
          <w:tcPr>
            <w:tcW w:w="2051" w:type="pct"/>
            <w:tcBorders>
              <w:top w:val="nil"/>
              <w:left w:val="nil"/>
              <w:bottom w:val="nil"/>
              <w:right w:val="nil"/>
            </w:tcBorders>
            <w:shd w:val="clear" w:color="000000" w:fill="005CA9"/>
            <w:noWrap/>
            <w:vAlign w:val="center"/>
            <w:hideMark/>
          </w:tcPr>
          <w:p w14:paraId="14C0C280" w14:textId="77777777" w:rsidR="004E0426" w:rsidRPr="004E0426" w:rsidRDefault="004E0426" w:rsidP="004E0426">
            <w:pPr>
              <w:rPr>
                <w:rFonts w:ascii="CAIXA Std Book" w:eastAsia="Times New Roman" w:hAnsi="CAIXA Std Book" w:cs="Calibri"/>
                <w:b/>
                <w:bCs/>
                <w:color w:val="FFFFFF"/>
                <w:sz w:val="16"/>
                <w:szCs w:val="16"/>
              </w:rPr>
            </w:pPr>
            <w:r w:rsidRPr="004E0426">
              <w:rPr>
                <w:rFonts w:ascii="CAIXA Std Book" w:eastAsia="Times New Roman" w:hAnsi="CAIXA Std Book" w:cs="Calibri"/>
                <w:b/>
                <w:bCs/>
                <w:color w:val="FFFFFF"/>
                <w:sz w:val="16"/>
                <w:szCs w:val="16"/>
              </w:rPr>
              <w:t>Total</w:t>
            </w:r>
          </w:p>
        </w:tc>
        <w:tc>
          <w:tcPr>
            <w:tcW w:w="750" w:type="pct"/>
            <w:tcBorders>
              <w:top w:val="nil"/>
              <w:left w:val="nil"/>
              <w:bottom w:val="nil"/>
              <w:right w:val="nil"/>
            </w:tcBorders>
            <w:shd w:val="clear" w:color="000000" w:fill="005CA9"/>
            <w:noWrap/>
            <w:vAlign w:val="center"/>
            <w:hideMark/>
          </w:tcPr>
          <w:p w14:paraId="41F257A1" w14:textId="3CB832F3" w:rsidR="004E0426" w:rsidRPr="004E0426" w:rsidRDefault="004E0426" w:rsidP="004E0426">
            <w:pPr>
              <w:jc w:val="right"/>
              <w:rPr>
                <w:rFonts w:ascii="CAIXA Std Book" w:eastAsia="Times New Roman" w:hAnsi="CAIXA Std Book" w:cs="Calibri"/>
                <w:b/>
                <w:bCs/>
                <w:color w:val="FFFFFF"/>
                <w:sz w:val="16"/>
                <w:szCs w:val="16"/>
              </w:rPr>
            </w:pPr>
            <w:r w:rsidRPr="004E0426">
              <w:rPr>
                <w:rFonts w:ascii="CAIXA Std Book" w:eastAsia="Times New Roman" w:hAnsi="CAIXA Std Book" w:cs="Calibri"/>
                <w:b/>
                <w:bCs/>
                <w:color w:val="FFFFFF"/>
                <w:sz w:val="16"/>
                <w:szCs w:val="16"/>
              </w:rPr>
              <w:t>269.507.451</w:t>
            </w:r>
          </w:p>
        </w:tc>
        <w:tc>
          <w:tcPr>
            <w:tcW w:w="660" w:type="pct"/>
            <w:tcBorders>
              <w:top w:val="nil"/>
              <w:left w:val="nil"/>
              <w:bottom w:val="nil"/>
              <w:right w:val="nil"/>
            </w:tcBorders>
            <w:shd w:val="clear" w:color="000000" w:fill="005CA9"/>
            <w:noWrap/>
            <w:vAlign w:val="center"/>
            <w:hideMark/>
          </w:tcPr>
          <w:p w14:paraId="09189EFF" w14:textId="77777777" w:rsidR="004E0426" w:rsidRPr="004E0426" w:rsidRDefault="004E0426" w:rsidP="004E0426">
            <w:pPr>
              <w:jc w:val="right"/>
              <w:rPr>
                <w:rFonts w:ascii="CAIXA Std Book" w:eastAsia="Times New Roman" w:hAnsi="CAIXA Std Book" w:cs="Calibri"/>
                <w:b/>
                <w:bCs/>
                <w:color w:val="FFFFFF"/>
                <w:sz w:val="16"/>
                <w:szCs w:val="16"/>
              </w:rPr>
            </w:pPr>
            <w:r w:rsidRPr="004E0426">
              <w:rPr>
                <w:rFonts w:ascii="CAIXA Std Book" w:eastAsia="Times New Roman" w:hAnsi="CAIXA Std Book" w:cs="Calibri"/>
                <w:b/>
                <w:bCs/>
                <w:color w:val="FFFFFF"/>
                <w:sz w:val="16"/>
                <w:szCs w:val="16"/>
              </w:rPr>
              <w:t>23.619</w:t>
            </w:r>
          </w:p>
        </w:tc>
        <w:tc>
          <w:tcPr>
            <w:tcW w:w="706" w:type="pct"/>
            <w:tcBorders>
              <w:top w:val="nil"/>
              <w:left w:val="nil"/>
              <w:bottom w:val="nil"/>
              <w:right w:val="nil"/>
            </w:tcBorders>
            <w:shd w:val="clear" w:color="000000" w:fill="005CA9"/>
            <w:noWrap/>
            <w:vAlign w:val="center"/>
            <w:hideMark/>
          </w:tcPr>
          <w:p w14:paraId="10985882" w14:textId="42285720" w:rsidR="004E0426" w:rsidRPr="004E0426" w:rsidRDefault="004E0426" w:rsidP="004E0426">
            <w:pPr>
              <w:jc w:val="right"/>
              <w:rPr>
                <w:rFonts w:ascii="CAIXA Std Book" w:eastAsia="Times New Roman" w:hAnsi="CAIXA Std Book" w:cs="Calibri"/>
                <w:b/>
                <w:bCs/>
                <w:color w:val="FFFFFF"/>
                <w:sz w:val="16"/>
                <w:szCs w:val="16"/>
              </w:rPr>
            </w:pPr>
            <w:r w:rsidRPr="004E0426">
              <w:rPr>
                <w:rFonts w:ascii="CAIXA Std Book" w:eastAsia="Times New Roman" w:hAnsi="CAIXA Std Book" w:cs="Calibri"/>
                <w:b/>
                <w:bCs/>
                <w:color w:val="FFFFFF"/>
                <w:sz w:val="16"/>
                <w:szCs w:val="16"/>
              </w:rPr>
              <w:t>269.531.070</w:t>
            </w:r>
          </w:p>
        </w:tc>
        <w:tc>
          <w:tcPr>
            <w:tcW w:w="832" w:type="pct"/>
            <w:tcBorders>
              <w:top w:val="nil"/>
              <w:left w:val="nil"/>
              <w:bottom w:val="nil"/>
              <w:right w:val="nil"/>
            </w:tcBorders>
            <w:shd w:val="clear" w:color="000000" w:fill="005CA9"/>
            <w:noWrap/>
            <w:vAlign w:val="center"/>
            <w:hideMark/>
          </w:tcPr>
          <w:p w14:paraId="3F882BB9" w14:textId="306BC3B3" w:rsidR="004E0426" w:rsidRPr="004E0426" w:rsidRDefault="004E0426" w:rsidP="004E0426">
            <w:pPr>
              <w:jc w:val="right"/>
              <w:rPr>
                <w:rFonts w:ascii="CAIXA Std Book" w:eastAsia="Times New Roman" w:hAnsi="CAIXA Std Book" w:cs="Calibri"/>
                <w:b/>
                <w:bCs/>
                <w:color w:val="FFFFFF"/>
                <w:sz w:val="16"/>
                <w:szCs w:val="16"/>
              </w:rPr>
            </w:pPr>
            <w:r w:rsidRPr="004E0426">
              <w:rPr>
                <w:rFonts w:ascii="CAIXA Std Book" w:eastAsia="Times New Roman" w:hAnsi="CAIXA Std Book" w:cs="Calibri"/>
                <w:b/>
                <w:bCs/>
                <w:color w:val="FFFFFF"/>
                <w:sz w:val="16"/>
                <w:szCs w:val="16"/>
              </w:rPr>
              <w:t>139.988.308</w:t>
            </w:r>
          </w:p>
        </w:tc>
      </w:tr>
    </w:tbl>
    <w:p w14:paraId="0D7E9F9E" w14:textId="77777777" w:rsidR="00494542" w:rsidRDefault="00494542" w:rsidP="00644B91">
      <w:pPr>
        <w:spacing w:before="240" w:after="120"/>
        <w:rPr>
          <w:rFonts w:ascii="CAIXA Std Book" w:hAnsi="CAIXA Std Book"/>
          <w:b/>
          <w:color w:val="005CA9"/>
          <w:sz w:val="20"/>
          <w:szCs w:val="20"/>
        </w:rPr>
      </w:pPr>
    </w:p>
    <w:p w14:paraId="23E262E0" w14:textId="77777777" w:rsidR="00494542" w:rsidRPr="00644B91" w:rsidRDefault="00494542" w:rsidP="00644B91">
      <w:pPr>
        <w:spacing w:before="240" w:after="120"/>
        <w:rPr>
          <w:rFonts w:ascii="CAIXA Std Book" w:hAnsi="CAIXA Std Book"/>
          <w:b/>
          <w:color w:val="005CA9"/>
          <w:sz w:val="20"/>
          <w:szCs w:val="20"/>
        </w:rPr>
        <w:sectPr w:rsidR="00494542" w:rsidRPr="00644B91" w:rsidSect="00E20473">
          <w:headerReference w:type="default" r:id="rId40"/>
          <w:footerReference w:type="default" r:id="rId41"/>
          <w:pgSz w:w="11907" w:h="16840" w:code="9"/>
          <w:pgMar w:top="1985" w:right="851" w:bottom="1418" w:left="1418" w:header="1134" w:footer="709" w:gutter="0"/>
          <w:cols w:space="708"/>
          <w:docGrid w:linePitch="360"/>
        </w:sectPr>
      </w:pPr>
    </w:p>
    <w:p w14:paraId="2B291C68" w14:textId="33EADB27" w:rsidR="00531CDA" w:rsidRPr="00E95E29" w:rsidRDefault="0022562F" w:rsidP="00B735D2">
      <w:pPr>
        <w:pStyle w:val="Ttulo1"/>
      </w:pPr>
      <w:bookmarkStart w:id="83" w:name="_Toc217914324"/>
      <w:bookmarkStart w:id="84" w:name="_Toc229588474"/>
      <w:r w:rsidRPr="00E95E29">
        <w:t xml:space="preserve">Nota </w:t>
      </w:r>
      <w:r w:rsidR="00174F9B">
        <w:t xml:space="preserve"> </w:t>
      </w:r>
      <w:r w:rsidRPr="00E95E29">
        <w:t xml:space="preserve"> 7</w:t>
      </w:r>
      <w:r w:rsidR="00531CDA" w:rsidRPr="00E95E29">
        <w:t>.</w:t>
      </w:r>
      <w:r w:rsidR="00511614">
        <w:t>2</w:t>
      </w:r>
      <w:r w:rsidR="00531CDA" w:rsidRPr="00E95E29">
        <w:t xml:space="preserve"> – </w:t>
      </w:r>
      <w:r w:rsidR="001E59A0">
        <w:t>T</w:t>
      </w:r>
      <w:r w:rsidR="00B97997">
        <w:t>ítulos e valores mobiliários</w:t>
      </w:r>
      <w:r w:rsidR="00531CDA" w:rsidRPr="00E95E29">
        <w:t xml:space="preserve"> ao </w:t>
      </w:r>
      <w:r w:rsidR="00531CDA">
        <w:t>v</w:t>
      </w:r>
      <w:r w:rsidR="00531CDA" w:rsidRPr="00E95E29">
        <w:t xml:space="preserve">alor </w:t>
      </w:r>
      <w:r w:rsidR="00531CDA">
        <w:t>j</w:t>
      </w:r>
      <w:r w:rsidR="00531CDA" w:rsidRPr="00E95E29">
        <w:t xml:space="preserve">usto por meio de outros </w:t>
      </w:r>
      <w:r w:rsidR="00531CDA">
        <w:t>r</w:t>
      </w:r>
      <w:r w:rsidR="00531CDA" w:rsidRPr="00E95E29">
        <w:t xml:space="preserve">esultados </w:t>
      </w:r>
      <w:r w:rsidR="00531CDA">
        <w:t>a</w:t>
      </w:r>
      <w:r w:rsidR="00531CDA" w:rsidRPr="00E95E29">
        <w:t>brangentes</w:t>
      </w:r>
      <w:bookmarkEnd w:id="83"/>
      <w:bookmarkEnd w:id="84"/>
      <w:r w:rsidR="00531CDA" w:rsidRPr="00E95E29">
        <w:t xml:space="preserve"> </w:t>
      </w:r>
    </w:p>
    <w:p w14:paraId="63337CD3" w14:textId="4DF4ECA4" w:rsidR="00531CDA" w:rsidRDefault="00531CDA" w:rsidP="00295657">
      <w:pPr>
        <w:pStyle w:val="PargrafodaLista"/>
        <w:numPr>
          <w:ilvl w:val="0"/>
          <w:numId w:val="18"/>
        </w:numPr>
        <w:spacing w:before="240" w:after="120"/>
        <w:ind w:left="567" w:hanging="567"/>
        <w:contextualSpacing w:val="0"/>
        <w:rPr>
          <w:rFonts w:ascii="CAIXA Std Book" w:hAnsi="CAIXA Std Book"/>
          <w:b/>
          <w:color w:val="005CA9"/>
          <w:sz w:val="20"/>
          <w:szCs w:val="20"/>
        </w:rPr>
      </w:pPr>
      <w:r w:rsidRPr="00DD6830">
        <w:rPr>
          <w:rFonts w:ascii="CAIXA Std Book" w:hAnsi="CAIXA Std Book"/>
          <w:b/>
          <w:color w:val="005CA9"/>
          <w:sz w:val="20"/>
          <w:szCs w:val="20"/>
        </w:rPr>
        <w:t xml:space="preserve">Composição da carteira </w:t>
      </w:r>
      <w:r w:rsidR="00420E73">
        <w:rPr>
          <w:rFonts w:ascii="CAIXA Std Book" w:hAnsi="CAIXA Std Book"/>
          <w:b/>
          <w:color w:val="005CA9"/>
          <w:sz w:val="20"/>
          <w:szCs w:val="20"/>
        </w:rPr>
        <w:t>por prazo de vencimento</w:t>
      </w:r>
    </w:p>
    <w:tbl>
      <w:tblPr>
        <w:tblW w:w="5000" w:type="pct"/>
        <w:tblCellMar>
          <w:left w:w="70" w:type="dxa"/>
          <w:right w:w="70" w:type="dxa"/>
        </w:tblCellMar>
        <w:tblLook w:val="04A0" w:firstRow="1" w:lastRow="0" w:firstColumn="1" w:lastColumn="0" w:noHBand="0" w:noVBand="1"/>
      </w:tblPr>
      <w:tblGrid>
        <w:gridCol w:w="3495"/>
        <w:gridCol w:w="1215"/>
        <w:gridCol w:w="1215"/>
        <w:gridCol w:w="1212"/>
        <w:gridCol w:w="1212"/>
        <w:gridCol w:w="1369"/>
        <w:gridCol w:w="1212"/>
        <w:gridCol w:w="1212"/>
        <w:gridCol w:w="1212"/>
        <w:gridCol w:w="1215"/>
      </w:tblGrid>
      <w:tr w:rsidR="0039756E" w:rsidRPr="00EE108F" w14:paraId="3E3D8E72" w14:textId="77777777" w:rsidTr="00E80A10">
        <w:trPr>
          <w:trHeight w:val="283"/>
        </w:trPr>
        <w:tc>
          <w:tcPr>
            <w:tcW w:w="5000" w:type="pct"/>
            <w:gridSpan w:val="10"/>
            <w:tcBorders>
              <w:top w:val="nil"/>
              <w:left w:val="nil"/>
              <w:bottom w:val="single" w:sz="8" w:space="0" w:color="FFFFFF"/>
              <w:right w:val="nil"/>
            </w:tcBorders>
            <w:shd w:val="clear" w:color="000000" w:fill="005CA9"/>
            <w:vAlign w:val="center"/>
            <w:hideMark/>
          </w:tcPr>
          <w:p w14:paraId="2FE34E3F" w14:textId="77777777" w:rsidR="0039756E" w:rsidRPr="00EE108F" w:rsidRDefault="0039756E" w:rsidP="00E26849">
            <w:pPr>
              <w:jc w:val="center"/>
              <w:rPr>
                <w:rFonts w:ascii="CAIXA Std Book" w:eastAsia="Times New Roman" w:hAnsi="CAIXA Std Book" w:cs="Times New Roman"/>
                <w:b/>
                <w:color w:val="FFFFFF"/>
                <w:sz w:val="16"/>
                <w:szCs w:val="16"/>
              </w:rPr>
            </w:pPr>
            <w:r w:rsidRPr="00EE108F">
              <w:rPr>
                <w:rFonts w:ascii="CAIXA Std Book" w:eastAsia="Times New Roman" w:hAnsi="CAIXA Std Book" w:cs="Times New Roman"/>
                <w:b/>
                <w:color w:val="FFFFFF"/>
                <w:sz w:val="16"/>
                <w:szCs w:val="16"/>
              </w:rPr>
              <w:t>Individual</w:t>
            </w:r>
          </w:p>
        </w:tc>
      </w:tr>
      <w:tr w:rsidR="0039756E" w:rsidRPr="00EE108F" w14:paraId="4F421684" w14:textId="77777777" w:rsidTr="00E80A10">
        <w:trPr>
          <w:trHeight w:val="283"/>
        </w:trPr>
        <w:tc>
          <w:tcPr>
            <w:tcW w:w="1199" w:type="pct"/>
            <w:vMerge w:val="restart"/>
            <w:tcBorders>
              <w:top w:val="nil"/>
              <w:left w:val="nil"/>
              <w:bottom w:val="nil"/>
              <w:right w:val="nil"/>
            </w:tcBorders>
            <w:shd w:val="clear" w:color="000000" w:fill="005CA9"/>
            <w:vAlign w:val="center"/>
            <w:hideMark/>
          </w:tcPr>
          <w:p w14:paraId="5A8E70CC" w14:textId="77777777" w:rsidR="0039756E" w:rsidRPr="00EE108F" w:rsidRDefault="0039756E" w:rsidP="00E26849">
            <w:pPr>
              <w:jc w:val="center"/>
              <w:rPr>
                <w:rFonts w:ascii="CAIXA Std Book" w:eastAsia="Times New Roman" w:hAnsi="CAIXA Std Book" w:cs="Times New Roman"/>
                <w:b/>
                <w:color w:val="FFFFFF"/>
                <w:sz w:val="16"/>
                <w:szCs w:val="16"/>
              </w:rPr>
            </w:pPr>
            <w:r w:rsidRPr="00EE108F">
              <w:rPr>
                <w:rFonts w:ascii="CAIXA Std Book" w:eastAsia="Times New Roman" w:hAnsi="CAIXA Std Book" w:cs="Times New Roman"/>
                <w:b/>
                <w:color w:val="FFFFFF"/>
                <w:sz w:val="16"/>
                <w:szCs w:val="16"/>
              </w:rPr>
              <w:t>Descrição</w:t>
            </w:r>
          </w:p>
        </w:tc>
        <w:tc>
          <w:tcPr>
            <w:tcW w:w="3801" w:type="pct"/>
            <w:gridSpan w:val="9"/>
            <w:tcBorders>
              <w:top w:val="single" w:sz="8" w:space="0" w:color="FFFFFF"/>
              <w:left w:val="nil"/>
              <w:bottom w:val="single" w:sz="8" w:space="0" w:color="FFFFFF"/>
              <w:right w:val="nil"/>
            </w:tcBorders>
            <w:shd w:val="clear" w:color="000000" w:fill="005CA9"/>
            <w:vAlign w:val="center"/>
            <w:hideMark/>
          </w:tcPr>
          <w:p w14:paraId="258A2398" w14:textId="77777777" w:rsidR="0039756E" w:rsidRPr="00EE108F" w:rsidRDefault="0039756E" w:rsidP="00E26849">
            <w:pPr>
              <w:jc w:val="center"/>
              <w:rPr>
                <w:rFonts w:ascii="CAIXA Std Book" w:eastAsia="Times New Roman" w:hAnsi="CAIXA Std Book" w:cs="Times New Roman"/>
                <w:b/>
                <w:color w:val="FFFFFF"/>
                <w:sz w:val="16"/>
                <w:szCs w:val="16"/>
              </w:rPr>
            </w:pPr>
            <w:r w:rsidRPr="00EE108F">
              <w:rPr>
                <w:rFonts w:ascii="CAIXA Std Book" w:eastAsia="Times New Roman" w:hAnsi="CAIXA Std Book" w:cs="Times New Roman"/>
                <w:b/>
                <w:color w:val="FFFFFF"/>
                <w:sz w:val="16"/>
                <w:szCs w:val="16"/>
              </w:rPr>
              <w:t>31/03/2026</w:t>
            </w:r>
          </w:p>
        </w:tc>
      </w:tr>
      <w:tr w:rsidR="0039756E" w:rsidRPr="00EE108F" w14:paraId="0C0CCDF0" w14:textId="77777777" w:rsidTr="00652286">
        <w:trPr>
          <w:trHeight w:val="283"/>
        </w:trPr>
        <w:tc>
          <w:tcPr>
            <w:tcW w:w="1199" w:type="pct"/>
            <w:vMerge/>
            <w:tcBorders>
              <w:top w:val="nil"/>
              <w:left w:val="nil"/>
              <w:bottom w:val="single" w:sz="4" w:space="0" w:color="FFFFFF" w:themeColor="background1"/>
              <w:right w:val="nil"/>
            </w:tcBorders>
            <w:vAlign w:val="center"/>
            <w:hideMark/>
          </w:tcPr>
          <w:p w14:paraId="35669408" w14:textId="77777777" w:rsidR="0039756E" w:rsidRPr="00EE108F" w:rsidRDefault="0039756E" w:rsidP="00E26849">
            <w:pPr>
              <w:jc w:val="center"/>
              <w:rPr>
                <w:rFonts w:ascii="CAIXA Std Book" w:eastAsia="Times New Roman" w:hAnsi="CAIXA Std Book" w:cs="Times New Roman"/>
                <w:b/>
                <w:color w:val="FFFFFF"/>
                <w:sz w:val="16"/>
                <w:szCs w:val="16"/>
              </w:rPr>
            </w:pPr>
          </w:p>
        </w:tc>
        <w:tc>
          <w:tcPr>
            <w:tcW w:w="417" w:type="pct"/>
            <w:tcBorders>
              <w:top w:val="nil"/>
              <w:left w:val="nil"/>
              <w:bottom w:val="single" w:sz="4" w:space="0" w:color="FFFFFF" w:themeColor="background1"/>
              <w:right w:val="nil"/>
            </w:tcBorders>
            <w:shd w:val="clear" w:color="000000" w:fill="005CA9"/>
            <w:vAlign w:val="center"/>
            <w:hideMark/>
          </w:tcPr>
          <w:p w14:paraId="3B49B4B9" w14:textId="77777777" w:rsidR="0039756E" w:rsidRPr="00EE108F" w:rsidRDefault="0039756E" w:rsidP="00E26849">
            <w:pPr>
              <w:jc w:val="center"/>
              <w:rPr>
                <w:rFonts w:ascii="CAIXA Std Book" w:eastAsia="Times New Roman" w:hAnsi="CAIXA Std Book" w:cs="Times New Roman"/>
                <w:b/>
                <w:color w:val="FFFFFF"/>
                <w:sz w:val="16"/>
                <w:szCs w:val="16"/>
              </w:rPr>
            </w:pPr>
            <w:r w:rsidRPr="00EE108F">
              <w:rPr>
                <w:rFonts w:ascii="CAIXA Std Book" w:eastAsia="Times New Roman" w:hAnsi="CAIXA Std Book" w:cs="Times New Roman"/>
                <w:b/>
                <w:color w:val="FFFFFF"/>
                <w:sz w:val="16"/>
                <w:szCs w:val="16"/>
              </w:rPr>
              <w:t>Sem vencimento</w:t>
            </w:r>
          </w:p>
        </w:tc>
        <w:tc>
          <w:tcPr>
            <w:tcW w:w="417" w:type="pct"/>
            <w:tcBorders>
              <w:top w:val="nil"/>
              <w:left w:val="nil"/>
              <w:bottom w:val="single" w:sz="4" w:space="0" w:color="FFFFFF" w:themeColor="background1"/>
              <w:right w:val="nil"/>
            </w:tcBorders>
            <w:shd w:val="clear" w:color="000000" w:fill="005CA9"/>
            <w:vAlign w:val="center"/>
            <w:hideMark/>
          </w:tcPr>
          <w:p w14:paraId="15A6F16E" w14:textId="77777777" w:rsidR="0039756E" w:rsidRPr="00EE108F" w:rsidRDefault="0039756E" w:rsidP="00E26849">
            <w:pPr>
              <w:jc w:val="center"/>
              <w:rPr>
                <w:rFonts w:ascii="CAIXA Std Book" w:eastAsia="Times New Roman" w:hAnsi="CAIXA Std Book" w:cs="Times New Roman"/>
                <w:b/>
                <w:color w:val="FFFFFF"/>
                <w:sz w:val="16"/>
                <w:szCs w:val="16"/>
              </w:rPr>
            </w:pPr>
            <w:r w:rsidRPr="00EE108F">
              <w:rPr>
                <w:rFonts w:ascii="CAIXA Std Book" w:eastAsia="Times New Roman" w:hAnsi="CAIXA Std Book" w:cs="Times New Roman"/>
                <w:b/>
                <w:color w:val="FFFFFF"/>
                <w:sz w:val="16"/>
                <w:szCs w:val="16"/>
              </w:rPr>
              <w:t>1 a 90 dias</w:t>
            </w:r>
          </w:p>
        </w:tc>
        <w:tc>
          <w:tcPr>
            <w:tcW w:w="416" w:type="pct"/>
            <w:tcBorders>
              <w:top w:val="nil"/>
              <w:left w:val="nil"/>
              <w:bottom w:val="single" w:sz="4" w:space="0" w:color="FFFFFF" w:themeColor="background1"/>
              <w:right w:val="nil"/>
            </w:tcBorders>
            <w:shd w:val="clear" w:color="000000" w:fill="005CA9"/>
            <w:vAlign w:val="center"/>
            <w:hideMark/>
          </w:tcPr>
          <w:p w14:paraId="4088C2BB" w14:textId="77777777" w:rsidR="0039756E" w:rsidRPr="00EE108F" w:rsidRDefault="0039756E" w:rsidP="00E26849">
            <w:pPr>
              <w:jc w:val="center"/>
              <w:rPr>
                <w:rFonts w:ascii="CAIXA Std Book" w:eastAsia="Times New Roman" w:hAnsi="CAIXA Std Book" w:cs="Times New Roman"/>
                <w:b/>
                <w:color w:val="FFFFFF"/>
                <w:sz w:val="16"/>
                <w:szCs w:val="16"/>
              </w:rPr>
            </w:pPr>
            <w:r w:rsidRPr="00EE108F">
              <w:rPr>
                <w:rFonts w:ascii="CAIXA Std Book" w:eastAsia="Times New Roman" w:hAnsi="CAIXA Std Book" w:cs="Times New Roman"/>
                <w:b/>
                <w:color w:val="FFFFFF"/>
                <w:sz w:val="16"/>
                <w:szCs w:val="16"/>
              </w:rPr>
              <w:t>91 a180 dias</w:t>
            </w:r>
          </w:p>
        </w:tc>
        <w:tc>
          <w:tcPr>
            <w:tcW w:w="416" w:type="pct"/>
            <w:tcBorders>
              <w:top w:val="nil"/>
              <w:left w:val="nil"/>
              <w:bottom w:val="single" w:sz="4" w:space="0" w:color="FFFFFF" w:themeColor="background1"/>
              <w:right w:val="nil"/>
            </w:tcBorders>
            <w:shd w:val="clear" w:color="000000" w:fill="005CA9"/>
            <w:vAlign w:val="center"/>
            <w:hideMark/>
          </w:tcPr>
          <w:p w14:paraId="59A35B7F" w14:textId="77777777" w:rsidR="0039756E" w:rsidRPr="00EE108F" w:rsidRDefault="0039756E" w:rsidP="00E26849">
            <w:pPr>
              <w:jc w:val="center"/>
              <w:rPr>
                <w:rFonts w:ascii="CAIXA Std Book" w:eastAsia="Times New Roman" w:hAnsi="CAIXA Std Book" w:cs="Times New Roman"/>
                <w:b/>
                <w:color w:val="FFFFFF"/>
                <w:sz w:val="16"/>
                <w:szCs w:val="16"/>
              </w:rPr>
            </w:pPr>
            <w:r w:rsidRPr="00EE108F">
              <w:rPr>
                <w:rFonts w:ascii="CAIXA Std Book" w:eastAsia="Times New Roman" w:hAnsi="CAIXA Std Book" w:cs="Times New Roman"/>
                <w:b/>
                <w:color w:val="FFFFFF"/>
                <w:sz w:val="16"/>
                <w:szCs w:val="16"/>
              </w:rPr>
              <w:t>181 a 360 dias</w:t>
            </w:r>
          </w:p>
        </w:tc>
        <w:tc>
          <w:tcPr>
            <w:tcW w:w="470" w:type="pct"/>
            <w:tcBorders>
              <w:top w:val="nil"/>
              <w:left w:val="nil"/>
              <w:bottom w:val="single" w:sz="4" w:space="0" w:color="FFFFFF" w:themeColor="background1"/>
              <w:right w:val="nil"/>
            </w:tcBorders>
            <w:shd w:val="clear" w:color="000000" w:fill="005CA9"/>
            <w:vAlign w:val="center"/>
            <w:hideMark/>
          </w:tcPr>
          <w:p w14:paraId="6AF9EFA0" w14:textId="77777777" w:rsidR="0039756E" w:rsidRPr="00EE108F" w:rsidRDefault="0039756E" w:rsidP="00E26849">
            <w:pPr>
              <w:jc w:val="center"/>
              <w:rPr>
                <w:rFonts w:ascii="CAIXA Std Book" w:eastAsia="Times New Roman" w:hAnsi="CAIXA Std Book" w:cs="Times New Roman"/>
                <w:b/>
                <w:color w:val="FFFFFF"/>
                <w:sz w:val="16"/>
                <w:szCs w:val="16"/>
              </w:rPr>
            </w:pPr>
            <w:r w:rsidRPr="00EE108F">
              <w:rPr>
                <w:rFonts w:ascii="CAIXA Std Book" w:eastAsia="Times New Roman" w:hAnsi="CAIXA Std Book" w:cs="Times New Roman"/>
                <w:b/>
                <w:color w:val="FFFFFF"/>
                <w:sz w:val="16"/>
                <w:szCs w:val="16"/>
              </w:rPr>
              <w:t>Acima de 360 dias</w:t>
            </w:r>
          </w:p>
        </w:tc>
        <w:tc>
          <w:tcPr>
            <w:tcW w:w="416" w:type="pct"/>
            <w:tcBorders>
              <w:top w:val="nil"/>
              <w:left w:val="nil"/>
              <w:bottom w:val="single" w:sz="4" w:space="0" w:color="FFFFFF" w:themeColor="background1"/>
              <w:right w:val="nil"/>
            </w:tcBorders>
            <w:shd w:val="clear" w:color="000000" w:fill="005CA9"/>
            <w:vAlign w:val="center"/>
            <w:hideMark/>
          </w:tcPr>
          <w:p w14:paraId="116ABAD3" w14:textId="77777777" w:rsidR="0039756E" w:rsidRPr="00EE108F" w:rsidRDefault="0039756E" w:rsidP="00E26849">
            <w:pPr>
              <w:jc w:val="center"/>
              <w:rPr>
                <w:rFonts w:ascii="CAIXA Std Book" w:eastAsia="Times New Roman" w:hAnsi="CAIXA Std Book" w:cs="Times New Roman"/>
                <w:b/>
                <w:color w:val="FFFFFF"/>
                <w:sz w:val="16"/>
                <w:szCs w:val="16"/>
              </w:rPr>
            </w:pPr>
            <w:r w:rsidRPr="00EE108F">
              <w:rPr>
                <w:rFonts w:ascii="CAIXA Std Book" w:eastAsia="Times New Roman" w:hAnsi="CAIXA Std Book" w:cs="Times New Roman"/>
                <w:b/>
                <w:color w:val="FFFFFF"/>
                <w:sz w:val="16"/>
                <w:szCs w:val="16"/>
              </w:rPr>
              <w:t>Valor justo</w:t>
            </w:r>
          </w:p>
        </w:tc>
        <w:tc>
          <w:tcPr>
            <w:tcW w:w="416" w:type="pct"/>
            <w:tcBorders>
              <w:top w:val="nil"/>
              <w:left w:val="nil"/>
              <w:bottom w:val="single" w:sz="4" w:space="0" w:color="FFFFFF" w:themeColor="background1"/>
              <w:right w:val="nil"/>
            </w:tcBorders>
            <w:shd w:val="clear" w:color="000000" w:fill="005CA9"/>
            <w:vAlign w:val="center"/>
            <w:hideMark/>
          </w:tcPr>
          <w:p w14:paraId="468DE122" w14:textId="77777777" w:rsidR="0039756E" w:rsidRPr="00EE108F" w:rsidRDefault="0039756E" w:rsidP="00E26849">
            <w:pPr>
              <w:jc w:val="center"/>
              <w:rPr>
                <w:rFonts w:ascii="CAIXA Std Book" w:eastAsia="Times New Roman" w:hAnsi="CAIXA Std Book" w:cs="Times New Roman"/>
                <w:b/>
                <w:color w:val="FFFFFF"/>
                <w:sz w:val="16"/>
                <w:szCs w:val="16"/>
              </w:rPr>
            </w:pPr>
            <w:r w:rsidRPr="00EE108F">
              <w:rPr>
                <w:rFonts w:ascii="CAIXA Std Book" w:eastAsia="Times New Roman" w:hAnsi="CAIXA Std Book" w:cs="Times New Roman"/>
                <w:b/>
                <w:color w:val="FFFFFF"/>
                <w:sz w:val="16"/>
                <w:szCs w:val="16"/>
              </w:rPr>
              <w:t>Valor contábil bruto</w:t>
            </w:r>
          </w:p>
        </w:tc>
        <w:tc>
          <w:tcPr>
            <w:tcW w:w="416" w:type="pct"/>
            <w:tcBorders>
              <w:top w:val="nil"/>
              <w:left w:val="nil"/>
              <w:bottom w:val="single" w:sz="4" w:space="0" w:color="FFFFFF" w:themeColor="background1"/>
              <w:right w:val="nil"/>
            </w:tcBorders>
            <w:shd w:val="clear" w:color="000000" w:fill="005CA9"/>
            <w:vAlign w:val="center"/>
            <w:hideMark/>
          </w:tcPr>
          <w:p w14:paraId="4C029CD5" w14:textId="77777777" w:rsidR="0039756E" w:rsidRPr="00EE108F" w:rsidRDefault="0039756E" w:rsidP="00E26849">
            <w:pPr>
              <w:jc w:val="center"/>
              <w:rPr>
                <w:rFonts w:ascii="CAIXA Std Book" w:eastAsia="Times New Roman" w:hAnsi="CAIXA Std Book" w:cs="Times New Roman"/>
                <w:b/>
                <w:color w:val="FFFFFF"/>
                <w:sz w:val="16"/>
                <w:szCs w:val="16"/>
              </w:rPr>
            </w:pPr>
            <w:r w:rsidRPr="00EE108F">
              <w:rPr>
                <w:rFonts w:ascii="CAIXA Std Book" w:eastAsia="Times New Roman" w:hAnsi="CAIXA Std Book" w:cs="Times New Roman"/>
                <w:b/>
                <w:color w:val="FFFFFF"/>
                <w:sz w:val="16"/>
                <w:szCs w:val="16"/>
              </w:rPr>
              <w:t>Perdas esperadas</w:t>
            </w:r>
          </w:p>
        </w:tc>
        <w:tc>
          <w:tcPr>
            <w:tcW w:w="417" w:type="pct"/>
            <w:tcBorders>
              <w:top w:val="nil"/>
              <w:left w:val="nil"/>
              <w:bottom w:val="single" w:sz="4" w:space="0" w:color="FFFFFF" w:themeColor="background1"/>
              <w:right w:val="nil"/>
            </w:tcBorders>
            <w:shd w:val="clear" w:color="000000" w:fill="005CA9"/>
            <w:vAlign w:val="center"/>
            <w:hideMark/>
          </w:tcPr>
          <w:p w14:paraId="1B477C29" w14:textId="77777777" w:rsidR="0039756E" w:rsidRPr="00EE108F" w:rsidRDefault="0039756E" w:rsidP="00E26849">
            <w:pPr>
              <w:jc w:val="center"/>
              <w:rPr>
                <w:rFonts w:ascii="CAIXA Std Book" w:eastAsia="Times New Roman" w:hAnsi="CAIXA Std Book" w:cs="Times New Roman"/>
                <w:b/>
                <w:color w:val="FFFFFF"/>
                <w:sz w:val="16"/>
                <w:szCs w:val="16"/>
              </w:rPr>
            </w:pPr>
            <w:r w:rsidRPr="00EE108F">
              <w:rPr>
                <w:rFonts w:ascii="CAIXA Std Book" w:eastAsia="Times New Roman" w:hAnsi="CAIXA Std Book" w:cs="Times New Roman"/>
                <w:b/>
                <w:color w:val="FFFFFF"/>
                <w:sz w:val="16"/>
                <w:szCs w:val="16"/>
              </w:rPr>
              <w:t>Ajuste a valor justo</w:t>
            </w:r>
          </w:p>
        </w:tc>
      </w:tr>
      <w:tr w:rsidR="00A16B82" w:rsidRPr="00EE108F" w14:paraId="3C722ED6" w14:textId="77777777" w:rsidTr="00652286">
        <w:trPr>
          <w:trHeight w:val="283"/>
        </w:trPr>
        <w:tc>
          <w:tcPr>
            <w:tcW w:w="1199" w:type="pct"/>
            <w:tcBorders>
              <w:top w:val="single" w:sz="4" w:space="0" w:color="FFFFFF" w:themeColor="background1"/>
              <w:left w:val="nil"/>
              <w:bottom w:val="nil"/>
              <w:right w:val="nil"/>
            </w:tcBorders>
            <w:vAlign w:val="center"/>
            <w:hideMark/>
          </w:tcPr>
          <w:p w14:paraId="6245181F" w14:textId="77777777" w:rsidR="00A16B82" w:rsidRPr="00EE108F" w:rsidRDefault="00A16B82" w:rsidP="00A16B82">
            <w:pPr>
              <w:rPr>
                <w:rFonts w:ascii="CAIXA Std Book" w:eastAsia="Times New Roman" w:hAnsi="CAIXA Std Book" w:cs="Times New Roman"/>
                <w:color w:val="005CA9"/>
                <w:sz w:val="16"/>
                <w:szCs w:val="16"/>
              </w:rPr>
            </w:pPr>
            <w:r w:rsidRPr="00EE108F">
              <w:rPr>
                <w:rFonts w:ascii="CAIXA Std Book" w:eastAsia="Times New Roman" w:hAnsi="CAIXA Std Book" w:cs="Times New Roman"/>
                <w:color w:val="005CA9"/>
                <w:sz w:val="16"/>
                <w:szCs w:val="16"/>
              </w:rPr>
              <w:t>Títulos públicos federais brasileiros</w:t>
            </w:r>
          </w:p>
        </w:tc>
        <w:tc>
          <w:tcPr>
            <w:tcW w:w="417" w:type="pct"/>
            <w:tcBorders>
              <w:top w:val="single" w:sz="4" w:space="0" w:color="FFFFFF" w:themeColor="background1"/>
              <w:left w:val="nil"/>
              <w:bottom w:val="nil"/>
              <w:right w:val="nil"/>
            </w:tcBorders>
            <w:noWrap/>
            <w:vAlign w:val="center"/>
            <w:hideMark/>
          </w:tcPr>
          <w:p w14:paraId="0FBB5659" w14:textId="060016AA" w:rsidR="00A16B82" w:rsidRPr="00EE108F" w:rsidRDefault="00A16B82" w:rsidP="00A16B82">
            <w:pPr>
              <w:jc w:val="center"/>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w:t>
            </w:r>
          </w:p>
        </w:tc>
        <w:tc>
          <w:tcPr>
            <w:tcW w:w="417" w:type="pct"/>
            <w:tcBorders>
              <w:top w:val="single" w:sz="4" w:space="0" w:color="FFFFFF" w:themeColor="background1"/>
              <w:left w:val="nil"/>
              <w:bottom w:val="nil"/>
              <w:right w:val="nil"/>
            </w:tcBorders>
            <w:noWrap/>
            <w:vAlign w:val="center"/>
            <w:hideMark/>
          </w:tcPr>
          <w:p w14:paraId="20EC5C31" w14:textId="516D5FED" w:rsidR="00A16B82" w:rsidRPr="00EE108F" w:rsidRDefault="00A16B82" w:rsidP="00A16B82">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2.851.702</w:t>
            </w:r>
          </w:p>
        </w:tc>
        <w:tc>
          <w:tcPr>
            <w:tcW w:w="416" w:type="pct"/>
            <w:tcBorders>
              <w:top w:val="single" w:sz="4" w:space="0" w:color="FFFFFF" w:themeColor="background1"/>
              <w:left w:val="nil"/>
              <w:bottom w:val="nil"/>
              <w:right w:val="nil"/>
            </w:tcBorders>
            <w:noWrap/>
            <w:vAlign w:val="center"/>
            <w:hideMark/>
          </w:tcPr>
          <w:p w14:paraId="26997EB2" w14:textId="3B64A866" w:rsidR="00A16B82" w:rsidRPr="00EE108F" w:rsidRDefault="00A16B82" w:rsidP="00A16B82">
            <w:pPr>
              <w:ind w:firstLineChars="100" w:firstLine="160"/>
              <w:jc w:val="center"/>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w:t>
            </w:r>
          </w:p>
        </w:tc>
        <w:tc>
          <w:tcPr>
            <w:tcW w:w="416" w:type="pct"/>
            <w:tcBorders>
              <w:top w:val="single" w:sz="4" w:space="0" w:color="FFFFFF" w:themeColor="background1"/>
              <w:left w:val="nil"/>
              <w:bottom w:val="nil"/>
              <w:right w:val="nil"/>
            </w:tcBorders>
            <w:vAlign w:val="center"/>
            <w:hideMark/>
          </w:tcPr>
          <w:p w14:paraId="699E43A9" w14:textId="6BABA30D" w:rsidR="00A16B82" w:rsidRPr="00EE108F" w:rsidRDefault="00A16B82" w:rsidP="00A16B82">
            <w:pPr>
              <w:ind w:firstLineChars="100" w:firstLine="160"/>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3.050.429</w:t>
            </w:r>
          </w:p>
        </w:tc>
        <w:tc>
          <w:tcPr>
            <w:tcW w:w="470" w:type="pct"/>
            <w:tcBorders>
              <w:top w:val="single" w:sz="4" w:space="0" w:color="FFFFFF" w:themeColor="background1"/>
              <w:left w:val="nil"/>
              <w:bottom w:val="nil"/>
              <w:right w:val="nil"/>
            </w:tcBorders>
            <w:vAlign w:val="center"/>
            <w:hideMark/>
          </w:tcPr>
          <w:p w14:paraId="779691CB" w14:textId="5574BB02" w:rsidR="00A16B82" w:rsidRPr="00644A42" w:rsidRDefault="00A16B82" w:rsidP="00644A42">
            <w:pPr>
              <w:jc w:val="right"/>
              <w:rPr>
                <w:rFonts w:ascii="CAIXA Std Book" w:hAnsi="CAIXA Std Book" w:cs="Arial"/>
                <w:color w:val="005CA9"/>
                <w:sz w:val="16"/>
                <w:szCs w:val="16"/>
              </w:rPr>
            </w:pPr>
            <w:r w:rsidRPr="00644A42">
              <w:rPr>
                <w:rFonts w:ascii="CAIXA Std Book" w:hAnsi="CAIXA Std Book" w:cs="Arial"/>
                <w:color w:val="005CA9"/>
                <w:sz w:val="16"/>
                <w:szCs w:val="16"/>
              </w:rPr>
              <w:t>258.441.</w:t>
            </w:r>
            <w:r w:rsidR="00644A42" w:rsidRPr="00644A42">
              <w:rPr>
                <w:rFonts w:ascii="CAIXA Std Book" w:hAnsi="CAIXA Std Book" w:cs="Arial"/>
                <w:color w:val="005CA9"/>
                <w:sz w:val="16"/>
                <w:szCs w:val="16"/>
              </w:rPr>
              <w:t>577</w:t>
            </w:r>
          </w:p>
        </w:tc>
        <w:tc>
          <w:tcPr>
            <w:tcW w:w="416" w:type="pct"/>
            <w:tcBorders>
              <w:top w:val="single" w:sz="4" w:space="0" w:color="FFFFFF" w:themeColor="background1"/>
              <w:left w:val="nil"/>
              <w:bottom w:val="nil"/>
              <w:right w:val="nil"/>
            </w:tcBorders>
            <w:vAlign w:val="center"/>
            <w:hideMark/>
          </w:tcPr>
          <w:p w14:paraId="66640C0F" w14:textId="5626B769" w:rsidR="00A16B82" w:rsidRPr="00EE108F" w:rsidRDefault="00A16B82" w:rsidP="00455D90">
            <w:pPr>
              <w:jc w:val="right"/>
              <w:rPr>
                <w:rFonts w:ascii="CAIXA Std Book" w:eastAsia="Times New Roman" w:hAnsi="CAIXA Std Book" w:cs="Calibri"/>
                <w:color w:val="005CA9"/>
                <w:sz w:val="16"/>
                <w:szCs w:val="16"/>
              </w:rPr>
            </w:pPr>
            <w:r>
              <w:rPr>
                <w:rFonts w:ascii="CAIXA Std Book" w:hAnsi="CAIXA Std Book" w:cs="Arial"/>
                <w:color w:val="005CA9"/>
                <w:sz w:val="16"/>
                <w:szCs w:val="16"/>
              </w:rPr>
              <w:t>264.343.708</w:t>
            </w:r>
          </w:p>
        </w:tc>
        <w:tc>
          <w:tcPr>
            <w:tcW w:w="416" w:type="pct"/>
            <w:tcBorders>
              <w:top w:val="single" w:sz="4" w:space="0" w:color="FFFFFF" w:themeColor="background1"/>
              <w:left w:val="nil"/>
              <w:bottom w:val="nil"/>
              <w:right w:val="nil"/>
            </w:tcBorders>
            <w:vAlign w:val="center"/>
            <w:hideMark/>
          </w:tcPr>
          <w:p w14:paraId="272F8A45" w14:textId="2913050E" w:rsidR="00A16B82" w:rsidRPr="00EE108F" w:rsidRDefault="00A16B82" w:rsidP="00EE108F">
            <w:pPr>
              <w:jc w:val="right"/>
              <w:rPr>
                <w:rFonts w:ascii="CAIXA Std Book" w:eastAsia="Times New Roman" w:hAnsi="CAIXA Std Book" w:cs="Calibri"/>
                <w:color w:val="005CA9"/>
                <w:sz w:val="16"/>
                <w:szCs w:val="16"/>
              </w:rPr>
            </w:pPr>
            <w:r>
              <w:rPr>
                <w:rFonts w:ascii="CAIXA Std Book" w:hAnsi="CAIXA Std Book" w:cs="Arial"/>
                <w:color w:val="005CA9"/>
                <w:sz w:val="16"/>
                <w:szCs w:val="16"/>
              </w:rPr>
              <w:t>264.350.189</w:t>
            </w:r>
          </w:p>
        </w:tc>
        <w:tc>
          <w:tcPr>
            <w:tcW w:w="416" w:type="pct"/>
            <w:tcBorders>
              <w:top w:val="single" w:sz="4" w:space="0" w:color="FFFFFF" w:themeColor="background1"/>
              <w:left w:val="nil"/>
              <w:bottom w:val="nil"/>
              <w:right w:val="nil"/>
            </w:tcBorders>
            <w:vAlign w:val="center"/>
            <w:hideMark/>
          </w:tcPr>
          <w:p w14:paraId="65D84557" w14:textId="558F1B4B" w:rsidR="00A16B82" w:rsidRPr="00EE108F" w:rsidRDefault="00A16B82" w:rsidP="00A16B82">
            <w:pPr>
              <w:ind w:firstLineChars="100" w:firstLine="160"/>
              <w:jc w:val="center"/>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w:t>
            </w:r>
          </w:p>
        </w:tc>
        <w:tc>
          <w:tcPr>
            <w:tcW w:w="417" w:type="pct"/>
            <w:tcBorders>
              <w:top w:val="single" w:sz="4" w:space="0" w:color="FFFFFF" w:themeColor="background1"/>
              <w:left w:val="nil"/>
              <w:bottom w:val="nil"/>
              <w:right w:val="nil"/>
            </w:tcBorders>
            <w:noWrap/>
            <w:vAlign w:val="center"/>
            <w:hideMark/>
          </w:tcPr>
          <w:p w14:paraId="34E9175D" w14:textId="6E16E6FB" w:rsidR="00A16B82" w:rsidRPr="00EE108F" w:rsidRDefault="00A16B82" w:rsidP="00A16B82">
            <w:pPr>
              <w:jc w:val="right"/>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(6.481)</w:t>
            </w:r>
          </w:p>
        </w:tc>
      </w:tr>
      <w:tr w:rsidR="00A16B82" w:rsidRPr="00EE108F" w14:paraId="66AECE40" w14:textId="77777777" w:rsidTr="00E80A10">
        <w:trPr>
          <w:trHeight w:val="283"/>
        </w:trPr>
        <w:tc>
          <w:tcPr>
            <w:tcW w:w="1199" w:type="pct"/>
            <w:tcBorders>
              <w:top w:val="nil"/>
              <w:left w:val="nil"/>
              <w:bottom w:val="nil"/>
              <w:right w:val="nil"/>
            </w:tcBorders>
            <w:vAlign w:val="center"/>
            <w:hideMark/>
          </w:tcPr>
          <w:p w14:paraId="037B9F90" w14:textId="77777777" w:rsidR="00A16B82" w:rsidRPr="00EE108F" w:rsidRDefault="00A16B82" w:rsidP="00A16B82">
            <w:pPr>
              <w:rPr>
                <w:rFonts w:ascii="CAIXA Std Book" w:eastAsia="Times New Roman" w:hAnsi="CAIXA Std Book" w:cs="Times New Roman"/>
                <w:color w:val="005CA9"/>
                <w:sz w:val="16"/>
                <w:szCs w:val="16"/>
              </w:rPr>
            </w:pPr>
            <w:r w:rsidRPr="00EE108F">
              <w:rPr>
                <w:rFonts w:ascii="CAIXA Std Book" w:eastAsia="Times New Roman" w:hAnsi="CAIXA Std Book" w:cs="Times New Roman"/>
                <w:color w:val="005CA9"/>
                <w:sz w:val="16"/>
                <w:szCs w:val="16"/>
              </w:rPr>
              <w:t>Títulos privados de instituições financeiras</w:t>
            </w:r>
          </w:p>
        </w:tc>
        <w:tc>
          <w:tcPr>
            <w:tcW w:w="417" w:type="pct"/>
            <w:tcBorders>
              <w:top w:val="nil"/>
              <w:left w:val="nil"/>
              <w:bottom w:val="nil"/>
              <w:right w:val="nil"/>
            </w:tcBorders>
            <w:noWrap/>
            <w:vAlign w:val="center"/>
            <w:hideMark/>
          </w:tcPr>
          <w:p w14:paraId="38A5064B" w14:textId="681140CF" w:rsidR="00A16B82" w:rsidRPr="00EE108F" w:rsidRDefault="00A16B82" w:rsidP="00A16B82">
            <w:pPr>
              <w:jc w:val="center"/>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w:t>
            </w:r>
          </w:p>
        </w:tc>
        <w:tc>
          <w:tcPr>
            <w:tcW w:w="417" w:type="pct"/>
            <w:tcBorders>
              <w:top w:val="nil"/>
              <w:left w:val="nil"/>
              <w:bottom w:val="nil"/>
              <w:right w:val="nil"/>
            </w:tcBorders>
            <w:noWrap/>
            <w:vAlign w:val="center"/>
            <w:hideMark/>
          </w:tcPr>
          <w:p w14:paraId="2DEF40D1" w14:textId="30704275" w:rsidR="00A16B82" w:rsidRPr="00EE108F" w:rsidRDefault="00A16B82" w:rsidP="00A16B82">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293.786</w:t>
            </w:r>
          </w:p>
        </w:tc>
        <w:tc>
          <w:tcPr>
            <w:tcW w:w="416" w:type="pct"/>
            <w:tcBorders>
              <w:top w:val="nil"/>
              <w:left w:val="nil"/>
              <w:bottom w:val="nil"/>
              <w:right w:val="nil"/>
            </w:tcBorders>
            <w:noWrap/>
            <w:vAlign w:val="center"/>
            <w:hideMark/>
          </w:tcPr>
          <w:p w14:paraId="4E965609" w14:textId="1F7EE2C8" w:rsidR="00A16B82" w:rsidRPr="00EE108F" w:rsidRDefault="00A16B82" w:rsidP="00A16B82">
            <w:pPr>
              <w:ind w:firstLineChars="100" w:firstLine="160"/>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428.354</w:t>
            </w:r>
          </w:p>
        </w:tc>
        <w:tc>
          <w:tcPr>
            <w:tcW w:w="416" w:type="pct"/>
            <w:tcBorders>
              <w:top w:val="nil"/>
              <w:left w:val="nil"/>
              <w:bottom w:val="nil"/>
              <w:right w:val="nil"/>
            </w:tcBorders>
            <w:vAlign w:val="center"/>
            <w:hideMark/>
          </w:tcPr>
          <w:p w14:paraId="786F7560" w14:textId="54601A5A" w:rsidR="00A16B82" w:rsidRPr="00EE108F" w:rsidRDefault="00A16B82" w:rsidP="00A16B82">
            <w:pPr>
              <w:ind w:firstLineChars="100" w:firstLine="160"/>
              <w:jc w:val="center"/>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w:t>
            </w:r>
          </w:p>
        </w:tc>
        <w:tc>
          <w:tcPr>
            <w:tcW w:w="470" w:type="pct"/>
            <w:tcBorders>
              <w:top w:val="nil"/>
              <w:left w:val="nil"/>
              <w:bottom w:val="nil"/>
              <w:right w:val="nil"/>
            </w:tcBorders>
            <w:vAlign w:val="center"/>
            <w:hideMark/>
          </w:tcPr>
          <w:p w14:paraId="66F6E978" w14:textId="2E124F8C" w:rsidR="00A16B82" w:rsidRPr="00644A42" w:rsidRDefault="00A16B82" w:rsidP="00644A42">
            <w:pPr>
              <w:jc w:val="right"/>
              <w:rPr>
                <w:rFonts w:ascii="CAIXA Std Book" w:hAnsi="CAIXA Std Book" w:cs="Arial"/>
                <w:color w:val="005CA9"/>
                <w:sz w:val="16"/>
                <w:szCs w:val="16"/>
              </w:rPr>
            </w:pPr>
            <w:r w:rsidRPr="00644A42">
              <w:rPr>
                <w:rFonts w:ascii="CAIXA Std Book" w:hAnsi="CAIXA Std Book" w:cs="Arial"/>
                <w:color w:val="005CA9"/>
                <w:sz w:val="16"/>
                <w:szCs w:val="16"/>
              </w:rPr>
              <w:t>437.</w:t>
            </w:r>
            <w:r w:rsidR="00644A42" w:rsidRPr="00644A42">
              <w:rPr>
                <w:rFonts w:ascii="CAIXA Std Book" w:hAnsi="CAIXA Std Book" w:cs="Arial"/>
                <w:color w:val="005CA9"/>
                <w:sz w:val="16"/>
                <w:szCs w:val="16"/>
              </w:rPr>
              <w:t>084</w:t>
            </w:r>
          </w:p>
        </w:tc>
        <w:tc>
          <w:tcPr>
            <w:tcW w:w="416" w:type="pct"/>
            <w:tcBorders>
              <w:top w:val="nil"/>
              <w:left w:val="nil"/>
              <w:bottom w:val="nil"/>
              <w:right w:val="nil"/>
            </w:tcBorders>
            <w:vAlign w:val="center"/>
            <w:hideMark/>
          </w:tcPr>
          <w:p w14:paraId="29679BB4" w14:textId="749DEBF1" w:rsidR="00A16B82" w:rsidRPr="00EE108F" w:rsidRDefault="00A16B82" w:rsidP="00EE108F">
            <w:pPr>
              <w:jc w:val="right"/>
              <w:rPr>
                <w:rFonts w:ascii="CAIXA Std Book" w:eastAsia="Times New Roman" w:hAnsi="CAIXA Std Book" w:cs="Calibri"/>
                <w:color w:val="005CA9"/>
                <w:sz w:val="16"/>
                <w:szCs w:val="16"/>
              </w:rPr>
            </w:pPr>
            <w:r>
              <w:rPr>
                <w:rFonts w:ascii="CAIXA Std Book" w:hAnsi="CAIXA Std Book" w:cs="Arial"/>
                <w:color w:val="005CA9"/>
                <w:sz w:val="16"/>
                <w:szCs w:val="16"/>
              </w:rPr>
              <w:t>1.159.224</w:t>
            </w:r>
          </w:p>
        </w:tc>
        <w:tc>
          <w:tcPr>
            <w:tcW w:w="416" w:type="pct"/>
            <w:tcBorders>
              <w:top w:val="nil"/>
              <w:left w:val="nil"/>
              <w:bottom w:val="nil"/>
              <w:right w:val="nil"/>
            </w:tcBorders>
            <w:vAlign w:val="center"/>
            <w:hideMark/>
          </w:tcPr>
          <w:p w14:paraId="06CD0C94" w14:textId="2A448E23" w:rsidR="00A16B82" w:rsidRPr="00EE108F" w:rsidRDefault="00A16B82" w:rsidP="00EE108F">
            <w:pPr>
              <w:jc w:val="right"/>
              <w:rPr>
                <w:rFonts w:ascii="CAIXA Std Book" w:eastAsia="Times New Roman" w:hAnsi="CAIXA Std Book" w:cs="Calibri"/>
                <w:color w:val="005CA9"/>
                <w:sz w:val="16"/>
                <w:szCs w:val="16"/>
              </w:rPr>
            </w:pPr>
            <w:r>
              <w:rPr>
                <w:rFonts w:ascii="CAIXA Std Book" w:hAnsi="CAIXA Std Book" w:cs="Arial"/>
                <w:color w:val="005CA9"/>
                <w:sz w:val="16"/>
                <w:szCs w:val="16"/>
              </w:rPr>
              <w:t>1.154.928</w:t>
            </w:r>
          </w:p>
        </w:tc>
        <w:tc>
          <w:tcPr>
            <w:tcW w:w="416" w:type="pct"/>
            <w:tcBorders>
              <w:top w:val="nil"/>
              <w:left w:val="nil"/>
              <w:bottom w:val="nil"/>
              <w:right w:val="nil"/>
            </w:tcBorders>
            <w:vAlign w:val="center"/>
            <w:hideMark/>
          </w:tcPr>
          <w:p w14:paraId="0368487C" w14:textId="34D837A6" w:rsidR="00A16B82" w:rsidRPr="00EE108F" w:rsidRDefault="00A16B82" w:rsidP="00A16B82">
            <w:pPr>
              <w:ind w:firstLineChars="100" w:firstLine="160"/>
              <w:jc w:val="right"/>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(3.336)</w:t>
            </w:r>
          </w:p>
        </w:tc>
        <w:tc>
          <w:tcPr>
            <w:tcW w:w="417" w:type="pct"/>
            <w:tcBorders>
              <w:top w:val="nil"/>
              <w:left w:val="nil"/>
              <w:bottom w:val="nil"/>
              <w:right w:val="nil"/>
            </w:tcBorders>
            <w:noWrap/>
            <w:vAlign w:val="center"/>
            <w:hideMark/>
          </w:tcPr>
          <w:p w14:paraId="52B171CC" w14:textId="397ED594" w:rsidR="00A16B82" w:rsidRPr="00EE108F" w:rsidRDefault="00A16B82" w:rsidP="00A16B82">
            <w:pPr>
              <w:jc w:val="right"/>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7.632</w:t>
            </w:r>
          </w:p>
        </w:tc>
      </w:tr>
      <w:tr w:rsidR="00A16B82" w:rsidRPr="00EE108F" w14:paraId="25D8DD67" w14:textId="77777777" w:rsidTr="00E80A10">
        <w:trPr>
          <w:trHeight w:val="283"/>
        </w:trPr>
        <w:tc>
          <w:tcPr>
            <w:tcW w:w="1199" w:type="pct"/>
            <w:tcBorders>
              <w:top w:val="nil"/>
              <w:left w:val="nil"/>
              <w:bottom w:val="nil"/>
              <w:right w:val="nil"/>
            </w:tcBorders>
            <w:vAlign w:val="center"/>
            <w:hideMark/>
          </w:tcPr>
          <w:p w14:paraId="5B2B485D" w14:textId="77777777" w:rsidR="00A16B82" w:rsidRPr="00EE108F" w:rsidRDefault="00A16B82" w:rsidP="00A16B82">
            <w:pPr>
              <w:rPr>
                <w:rFonts w:ascii="CAIXA Std Book" w:eastAsia="Times New Roman" w:hAnsi="CAIXA Std Book" w:cs="Times New Roman"/>
                <w:color w:val="005CA9"/>
                <w:sz w:val="16"/>
                <w:szCs w:val="16"/>
              </w:rPr>
            </w:pPr>
            <w:r w:rsidRPr="00EE108F">
              <w:rPr>
                <w:rFonts w:ascii="CAIXA Std Book" w:eastAsia="Times New Roman" w:hAnsi="CAIXA Std Book" w:cs="Times New Roman"/>
                <w:color w:val="005CA9"/>
                <w:sz w:val="16"/>
                <w:szCs w:val="16"/>
              </w:rPr>
              <w:t>Títulos privados de entidades não financeiras</w:t>
            </w:r>
          </w:p>
        </w:tc>
        <w:tc>
          <w:tcPr>
            <w:tcW w:w="417" w:type="pct"/>
            <w:tcBorders>
              <w:top w:val="nil"/>
              <w:left w:val="nil"/>
              <w:bottom w:val="nil"/>
              <w:right w:val="nil"/>
            </w:tcBorders>
            <w:noWrap/>
            <w:vAlign w:val="center"/>
            <w:hideMark/>
          </w:tcPr>
          <w:p w14:paraId="2683ECD5" w14:textId="29747C33" w:rsidR="00A16B82" w:rsidRPr="00EE108F" w:rsidRDefault="00A16B82" w:rsidP="00A16B82">
            <w:pPr>
              <w:jc w:val="center"/>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w:t>
            </w:r>
          </w:p>
        </w:tc>
        <w:tc>
          <w:tcPr>
            <w:tcW w:w="417" w:type="pct"/>
            <w:tcBorders>
              <w:top w:val="nil"/>
              <w:left w:val="nil"/>
              <w:bottom w:val="nil"/>
              <w:right w:val="nil"/>
            </w:tcBorders>
            <w:noWrap/>
            <w:vAlign w:val="center"/>
            <w:hideMark/>
          </w:tcPr>
          <w:p w14:paraId="2E216113" w14:textId="0BEBCDB4" w:rsidR="00A16B82" w:rsidRPr="00EE108F" w:rsidRDefault="00A16B82" w:rsidP="00A16B82">
            <w:pPr>
              <w:jc w:val="center"/>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w:t>
            </w:r>
          </w:p>
        </w:tc>
        <w:tc>
          <w:tcPr>
            <w:tcW w:w="416" w:type="pct"/>
            <w:tcBorders>
              <w:top w:val="nil"/>
              <w:left w:val="nil"/>
              <w:bottom w:val="nil"/>
              <w:right w:val="nil"/>
            </w:tcBorders>
            <w:noWrap/>
            <w:vAlign w:val="center"/>
            <w:hideMark/>
          </w:tcPr>
          <w:p w14:paraId="5195EA7F" w14:textId="42D2F95A" w:rsidR="00A16B82" w:rsidRPr="00EE108F" w:rsidRDefault="00A16B82" w:rsidP="00A16B82">
            <w:pPr>
              <w:jc w:val="center"/>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w:t>
            </w:r>
          </w:p>
        </w:tc>
        <w:tc>
          <w:tcPr>
            <w:tcW w:w="416" w:type="pct"/>
            <w:tcBorders>
              <w:top w:val="nil"/>
              <w:left w:val="nil"/>
              <w:bottom w:val="nil"/>
              <w:right w:val="nil"/>
            </w:tcBorders>
            <w:vAlign w:val="center"/>
            <w:hideMark/>
          </w:tcPr>
          <w:p w14:paraId="7F51E6BF" w14:textId="5F2FFE93" w:rsidR="00A16B82" w:rsidRPr="00EE108F" w:rsidRDefault="00A16B82" w:rsidP="00A16B82">
            <w:pPr>
              <w:jc w:val="right"/>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636.395</w:t>
            </w:r>
          </w:p>
        </w:tc>
        <w:tc>
          <w:tcPr>
            <w:tcW w:w="470" w:type="pct"/>
            <w:tcBorders>
              <w:top w:val="nil"/>
              <w:left w:val="nil"/>
              <w:bottom w:val="nil"/>
              <w:right w:val="nil"/>
            </w:tcBorders>
            <w:vAlign w:val="center"/>
            <w:hideMark/>
          </w:tcPr>
          <w:p w14:paraId="040E1AB6" w14:textId="1C8E7BDC" w:rsidR="00A16B82" w:rsidRPr="00644A42" w:rsidRDefault="00A16B82" w:rsidP="00644A42">
            <w:pPr>
              <w:jc w:val="right"/>
              <w:rPr>
                <w:rFonts w:ascii="CAIXA Std Book" w:hAnsi="CAIXA Std Book" w:cs="Arial"/>
                <w:color w:val="005CA9"/>
                <w:sz w:val="16"/>
                <w:szCs w:val="16"/>
              </w:rPr>
            </w:pPr>
            <w:r w:rsidRPr="00644A42">
              <w:rPr>
                <w:rFonts w:ascii="CAIXA Std Book" w:hAnsi="CAIXA Std Book" w:cs="Arial"/>
                <w:color w:val="005CA9"/>
                <w:sz w:val="16"/>
                <w:szCs w:val="16"/>
              </w:rPr>
              <w:t>14.016.</w:t>
            </w:r>
            <w:r w:rsidR="00644A42" w:rsidRPr="00644A42">
              <w:rPr>
                <w:rFonts w:ascii="CAIXA Std Book" w:hAnsi="CAIXA Std Book" w:cs="Arial"/>
                <w:color w:val="005CA9"/>
                <w:sz w:val="16"/>
                <w:szCs w:val="16"/>
              </w:rPr>
              <w:t>584</w:t>
            </w:r>
          </w:p>
        </w:tc>
        <w:tc>
          <w:tcPr>
            <w:tcW w:w="416" w:type="pct"/>
            <w:tcBorders>
              <w:top w:val="nil"/>
              <w:left w:val="nil"/>
              <w:bottom w:val="nil"/>
              <w:right w:val="nil"/>
            </w:tcBorders>
            <w:vAlign w:val="center"/>
            <w:hideMark/>
          </w:tcPr>
          <w:p w14:paraId="2C236C32" w14:textId="3F59260E" w:rsidR="00A16B82" w:rsidRPr="00EE108F" w:rsidRDefault="00A16B82" w:rsidP="00EE108F">
            <w:pPr>
              <w:jc w:val="right"/>
              <w:rPr>
                <w:rFonts w:ascii="CAIXA Std Book" w:eastAsia="Times New Roman" w:hAnsi="CAIXA Std Book" w:cs="Calibri"/>
                <w:color w:val="005CA9"/>
                <w:sz w:val="16"/>
                <w:szCs w:val="16"/>
              </w:rPr>
            </w:pPr>
            <w:r>
              <w:rPr>
                <w:rFonts w:ascii="CAIXA Std Book" w:hAnsi="CAIXA Std Book" w:cs="Arial"/>
                <w:color w:val="005CA9"/>
                <w:sz w:val="16"/>
                <w:szCs w:val="16"/>
              </w:rPr>
              <w:t>14.652.979</w:t>
            </w:r>
          </w:p>
        </w:tc>
        <w:tc>
          <w:tcPr>
            <w:tcW w:w="416" w:type="pct"/>
            <w:tcBorders>
              <w:top w:val="nil"/>
              <w:left w:val="nil"/>
              <w:bottom w:val="nil"/>
              <w:right w:val="nil"/>
            </w:tcBorders>
            <w:vAlign w:val="center"/>
            <w:hideMark/>
          </w:tcPr>
          <w:p w14:paraId="65FA76DB" w14:textId="5D3962EA" w:rsidR="00A16B82" w:rsidRPr="00EE108F" w:rsidRDefault="00A16B82" w:rsidP="00EE108F">
            <w:pPr>
              <w:jc w:val="right"/>
              <w:rPr>
                <w:rFonts w:ascii="CAIXA Std Book" w:eastAsia="Times New Roman" w:hAnsi="CAIXA Std Book" w:cs="Calibri"/>
                <w:color w:val="005CA9"/>
                <w:sz w:val="16"/>
                <w:szCs w:val="16"/>
              </w:rPr>
            </w:pPr>
            <w:r>
              <w:rPr>
                <w:rFonts w:ascii="CAIXA Std Book" w:hAnsi="CAIXA Std Book" w:cs="Arial"/>
                <w:color w:val="005CA9"/>
                <w:sz w:val="16"/>
                <w:szCs w:val="16"/>
              </w:rPr>
              <w:t>15.011.529</w:t>
            </w:r>
          </w:p>
        </w:tc>
        <w:tc>
          <w:tcPr>
            <w:tcW w:w="416" w:type="pct"/>
            <w:tcBorders>
              <w:top w:val="nil"/>
              <w:left w:val="nil"/>
              <w:bottom w:val="nil"/>
              <w:right w:val="nil"/>
            </w:tcBorders>
            <w:vAlign w:val="center"/>
            <w:hideMark/>
          </w:tcPr>
          <w:p w14:paraId="54AE8E58" w14:textId="1C3BB8EF" w:rsidR="00A16B82" w:rsidRPr="00EE108F" w:rsidRDefault="00A16B82" w:rsidP="00A16B82">
            <w:pPr>
              <w:ind w:firstLineChars="100" w:firstLine="160"/>
              <w:jc w:val="right"/>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(399.526)</w:t>
            </w:r>
          </w:p>
        </w:tc>
        <w:tc>
          <w:tcPr>
            <w:tcW w:w="417" w:type="pct"/>
            <w:tcBorders>
              <w:top w:val="nil"/>
              <w:left w:val="nil"/>
              <w:bottom w:val="nil"/>
              <w:right w:val="nil"/>
            </w:tcBorders>
            <w:noWrap/>
            <w:vAlign w:val="center"/>
            <w:hideMark/>
          </w:tcPr>
          <w:p w14:paraId="47979731" w14:textId="3BB508FF" w:rsidR="00A16B82" w:rsidRPr="00EE108F" w:rsidRDefault="00A16B82" w:rsidP="00A16B82">
            <w:pPr>
              <w:jc w:val="right"/>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40.976</w:t>
            </w:r>
          </w:p>
        </w:tc>
      </w:tr>
      <w:tr w:rsidR="00A16B82" w:rsidRPr="00EE108F" w14:paraId="20CE08A9" w14:textId="77777777" w:rsidTr="00E80A10">
        <w:trPr>
          <w:trHeight w:val="283"/>
        </w:trPr>
        <w:tc>
          <w:tcPr>
            <w:tcW w:w="1199" w:type="pct"/>
            <w:tcBorders>
              <w:top w:val="nil"/>
              <w:left w:val="nil"/>
              <w:bottom w:val="nil"/>
              <w:right w:val="nil"/>
            </w:tcBorders>
            <w:vAlign w:val="center"/>
            <w:hideMark/>
          </w:tcPr>
          <w:p w14:paraId="0BB281B4" w14:textId="77777777" w:rsidR="00A16B82" w:rsidRPr="00EE108F" w:rsidRDefault="00A16B82" w:rsidP="00A16B82">
            <w:pPr>
              <w:rPr>
                <w:rFonts w:ascii="CAIXA Std Book" w:eastAsia="Times New Roman" w:hAnsi="CAIXA Std Book" w:cs="Times New Roman"/>
                <w:color w:val="005CA9"/>
                <w:sz w:val="16"/>
                <w:szCs w:val="16"/>
              </w:rPr>
            </w:pPr>
            <w:r w:rsidRPr="00EE108F">
              <w:rPr>
                <w:rFonts w:ascii="CAIXA Std Book" w:eastAsia="Times New Roman" w:hAnsi="CAIXA Std Book" w:cs="Times New Roman"/>
                <w:color w:val="005CA9"/>
                <w:sz w:val="16"/>
                <w:szCs w:val="16"/>
              </w:rPr>
              <w:t>Cotas de fundo de investimento (1)</w:t>
            </w:r>
          </w:p>
        </w:tc>
        <w:tc>
          <w:tcPr>
            <w:tcW w:w="417" w:type="pct"/>
            <w:tcBorders>
              <w:top w:val="nil"/>
              <w:left w:val="nil"/>
              <w:bottom w:val="nil"/>
              <w:right w:val="nil"/>
            </w:tcBorders>
            <w:noWrap/>
            <w:vAlign w:val="center"/>
            <w:hideMark/>
          </w:tcPr>
          <w:p w14:paraId="5A267C3A" w14:textId="32CA7B3F" w:rsidR="00A16B82" w:rsidRPr="00EE108F" w:rsidRDefault="00A16B82" w:rsidP="00A16B82">
            <w:pPr>
              <w:jc w:val="right"/>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2.720.522</w:t>
            </w:r>
          </w:p>
        </w:tc>
        <w:tc>
          <w:tcPr>
            <w:tcW w:w="417" w:type="pct"/>
            <w:tcBorders>
              <w:top w:val="nil"/>
              <w:left w:val="nil"/>
              <w:bottom w:val="nil"/>
              <w:right w:val="nil"/>
            </w:tcBorders>
            <w:noWrap/>
            <w:vAlign w:val="center"/>
            <w:hideMark/>
          </w:tcPr>
          <w:p w14:paraId="1178B2DC" w14:textId="5FA8F88C" w:rsidR="00A16B82" w:rsidRPr="00EE108F" w:rsidRDefault="00A16B82" w:rsidP="008B3918">
            <w:pPr>
              <w:jc w:val="center"/>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w:t>
            </w:r>
          </w:p>
        </w:tc>
        <w:tc>
          <w:tcPr>
            <w:tcW w:w="416" w:type="pct"/>
            <w:tcBorders>
              <w:top w:val="nil"/>
              <w:left w:val="nil"/>
              <w:bottom w:val="nil"/>
              <w:right w:val="nil"/>
            </w:tcBorders>
            <w:noWrap/>
            <w:vAlign w:val="center"/>
            <w:hideMark/>
          </w:tcPr>
          <w:p w14:paraId="5E726A14" w14:textId="63218D5B" w:rsidR="00A16B82" w:rsidRPr="00EE108F" w:rsidRDefault="00A16B82" w:rsidP="00A16B82">
            <w:pPr>
              <w:jc w:val="center"/>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w:t>
            </w:r>
          </w:p>
        </w:tc>
        <w:tc>
          <w:tcPr>
            <w:tcW w:w="416" w:type="pct"/>
            <w:tcBorders>
              <w:top w:val="nil"/>
              <w:left w:val="nil"/>
              <w:bottom w:val="nil"/>
              <w:right w:val="nil"/>
            </w:tcBorders>
            <w:vAlign w:val="center"/>
            <w:hideMark/>
          </w:tcPr>
          <w:p w14:paraId="665C5808" w14:textId="31A0F377" w:rsidR="00A16B82" w:rsidRPr="00EE108F" w:rsidRDefault="00A16B82" w:rsidP="00A16B82">
            <w:pPr>
              <w:jc w:val="center"/>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w:t>
            </w:r>
          </w:p>
        </w:tc>
        <w:tc>
          <w:tcPr>
            <w:tcW w:w="470" w:type="pct"/>
            <w:tcBorders>
              <w:top w:val="nil"/>
              <w:left w:val="nil"/>
              <w:bottom w:val="nil"/>
              <w:right w:val="nil"/>
            </w:tcBorders>
            <w:vAlign w:val="center"/>
            <w:hideMark/>
          </w:tcPr>
          <w:p w14:paraId="7FAA11C7" w14:textId="2441470A" w:rsidR="00A16B82" w:rsidRPr="00644A42" w:rsidRDefault="00A16B82" w:rsidP="00A16B82">
            <w:pPr>
              <w:jc w:val="center"/>
              <w:rPr>
                <w:rFonts w:ascii="CAIXA Std Book" w:hAnsi="CAIXA Std Book" w:cs="Arial"/>
                <w:color w:val="005CA9"/>
                <w:sz w:val="16"/>
                <w:szCs w:val="16"/>
              </w:rPr>
            </w:pPr>
            <w:r w:rsidRPr="00644A42">
              <w:rPr>
                <w:rFonts w:ascii="CAIXA Std Book" w:hAnsi="CAIXA Std Book" w:cs="Arial"/>
                <w:color w:val="005CA9"/>
                <w:sz w:val="16"/>
                <w:szCs w:val="16"/>
              </w:rPr>
              <w:t>-</w:t>
            </w:r>
          </w:p>
        </w:tc>
        <w:tc>
          <w:tcPr>
            <w:tcW w:w="416" w:type="pct"/>
            <w:tcBorders>
              <w:top w:val="nil"/>
              <w:left w:val="nil"/>
              <w:bottom w:val="nil"/>
              <w:right w:val="nil"/>
            </w:tcBorders>
            <w:vAlign w:val="center"/>
            <w:hideMark/>
          </w:tcPr>
          <w:p w14:paraId="3A790E8E" w14:textId="0D389110" w:rsidR="00A16B82" w:rsidRPr="00EE108F" w:rsidRDefault="00A16B82" w:rsidP="00A16B82">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2.720.522</w:t>
            </w:r>
          </w:p>
        </w:tc>
        <w:tc>
          <w:tcPr>
            <w:tcW w:w="416" w:type="pct"/>
            <w:tcBorders>
              <w:top w:val="nil"/>
              <w:left w:val="nil"/>
              <w:bottom w:val="nil"/>
              <w:right w:val="nil"/>
            </w:tcBorders>
            <w:vAlign w:val="center"/>
            <w:hideMark/>
          </w:tcPr>
          <w:p w14:paraId="513042D0" w14:textId="478AF58E" w:rsidR="00A16B82" w:rsidRPr="00EE108F" w:rsidRDefault="00A16B82" w:rsidP="00A16B82">
            <w:pPr>
              <w:ind w:firstLineChars="100" w:firstLine="160"/>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1.495.411</w:t>
            </w:r>
          </w:p>
        </w:tc>
        <w:tc>
          <w:tcPr>
            <w:tcW w:w="416" w:type="pct"/>
            <w:tcBorders>
              <w:top w:val="nil"/>
              <w:left w:val="nil"/>
              <w:bottom w:val="nil"/>
              <w:right w:val="nil"/>
            </w:tcBorders>
            <w:vAlign w:val="center"/>
            <w:hideMark/>
          </w:tcPr>
          <w:p w14:paraId="43800E9D" w14:textId="454E49A7" w:rsidR="00A16B82" w:rsidRPr="00EE108F" w:rsidRDefault="00A16B82" w:rsidP="00A16B82">
            <w:pPr>
              <w:ind w:firstLineChars="100" w:firstLine="160"/>
              <w:jc w:val="center"/>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w:t>
            </w:r>
          </w:p>
        </w:tc>
        <w:tc>
          <w:tcPr>
            <w:tcW w:w="417" w:type="pct"/>
            <w:tcBorders>
              <w:top w:val="nil"/>
              <w:left w:val="nil"/>
              <w:bottom w:val="nil"/>
              <w:right w:val="nil"/>
            </w:tcBorders>
            <w:noWrap/>
            <w:vAlign w:val="center"/>
            <w:hideMark/>
          </w:tcPr>
          <w:p w14:paraId="22BD69D7" w14:textId="4514772C" w:rsidR="00A16B82" w:rsidRPr="00EE108F" w:rsidRDefault="00A16B82" w:rsidP="00A16B82">
            <w:pPr>
              <w:jc w:val="right"/>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1.225.111</w:t>
            </w:r>
          </w:p>
        </w:tc>
      </w:tr>
      <w:tr w:rsidR="00A16B82" w:rsidRPr="00EE108F" w14:paraId="55E961ED" w14:textId="77777777" w:rsidTr="00E80A10">
        <w:trPr>
          <w:trHeight w:val="283"/>
        </w:trPr>
        <w:tc>
          <w:tcPr>
            <w:tcW w:w="1199" w:type="pct"/>
            <w:tcBorders>
              <w:top w:val="nil"/>
              <w:left w:val="nil"/>
              <w:bottom w:val="nil"/>
              <w:right w:val="nil"/>
            </w:tcBorders>
            <w:vAlign w:val="center"/>
            <w:hideMark/>
          </w:tcPr>
          <w:p w14:paraId="1B2F0940" w14:textId="77777777" w:rsidR="00A16B82" w:rsidRPr="00EE108F" w:rsidRDefault="00A16B82" w:rsidP="00A16B82">
            <w:pPr>
              <w:rPr>
                <w:rFonts w:ascii="CAIXA Std Book" w:eastAsia="Times New Roman" w:hAnsi="CAIXA Std Book" w:cs="Times New Roman"/>
                <w:color w:val="005CA9"/>
                <w:sz w:val="16"/>
                <w:szCs w:val="16"/>
              </w:rPr>
            </w:pPr>
            <w:r w:rsidRPr="00EE108F">
              <w:rPr>
                <w:rFonts w:ascii="CAIXA Std Book" w:eastAsia="Times New Roman" w:hAnsi="CAIXA Std Book" w:cs="Times New Roman"/>
                <w:color w:val="005CA9"/>
                <w:sz w:val="16"/>
                <w:szCs w:val="16"/>
              </w:rPr>
              <w:t>Ações (1)</w:t>
            </w:r>
          </w:p>
        </w:tc>
        <w:tc>
          <w:tcPr>
            <w:tcW w:w="417" w:type="pct"/>
            <w:tcBorders>
              <w:top w:val="nil"/>
              <w:left w:val="nil"/>
              <w:bottom w:val="nil"/>
              <w:right w:val="nil"/>
            </w:tcBorders>
            <w:noWrap/>
            <w:vAlign w:val="center"/>
            <w:hideMark/>
          </w:tcPr>
          <w:p w14:paraId="76829C29" w14:textId="4708DB9F" w:rsidR="00A16B82" w:rsidRPr="00EE108F" w:rsidRDefault="00E84D36" w:rsidP="00A16B82">
            <w:pPr>
              <w:jc w:val="right"/>
              <w:rPr>
                <w:rFonts w:ascii="CAIXA Std Book" w:eastAsia="Times New Roman" w:hAnsi="CAIXA Std Book" w:cs="Times New Roman"/>
                <w:color w:val="005CA9"/>
                <w:sz w:val="16"/>
                <w:szCs w:val="16"/>
              </w:rPr>
            </w:pPr>
            <w:r w:rsidRPr="00644A42">
              <w:rPr>
                <w:rFonts w:ascii="CAIXA Std Book" w:hAnsi="CAIXA Std Book" w:cs="Arial"/>
                <w:color w:val="005CA9"/>
                <w:sz w:val="16"/>
                <w:szCs w:val="16"/>
              </w:rPr>
              <w:t>12.96</w:t>
            </w:r>
            <w:r>
              <w:rPr>
                <w:rFonts w:ascii="CAIXA Std Book" w:hAnsi="CAIXA Std Book" w:cs="Arial"/>
                <w:color w:val="005CA9"/>
                <w:sz w:val="16"/>
                <w:szCs w:val="16"/>
              </w:rPr>
              <w:t>8</w:t>
            </w:r>
          </w:p>
        </w:tc>
        <w:tc>
          <w:tcPr>
            <w:tcW w:w="417" w:type="pct"/>
            <w:tcBorders>
              <w:top w:val="nil"/>
              <w:left w:val="nil"/>
              <w:bottom w:val="nil"/>
              <w:right w:val="nil"/>
            </w:tcBorders>
            <w:noWrap/>
            <w:vAlign w:val="center"/>
            <w:hideMark/>
          </w:tcPr>
          <w:p w14:paraId="0BADCEC7" w14:textId="65C9EC96" w:rsidR="00A16B82" w:rsidRPr="00EE108F" w:rsidRDefault="00A16B82" w:rsidP="008B3918">
            <w:pPr>
              <w:jc w:val="center"/>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w:t>
            </w:r>
          </w:p>
        </w:tc>
        <w:tc>
          <w:tcPr>
            <w:tcW w:w="416" w:type="pct"/>
            <w:tcBorders>
              <w:top w:val="nil"/>
              <w:left w:val="nil"/>
              <w:bottom w:val="nil"/>
              <w:right w:val="nil"/>
            </w:tcBorders>
            <w:noWrap/>
            <w:vAlign w:val="center"/>
            <w:hideMark/>
          </w:tcPr>
          <w:p w14:paraId="25E261C4" w14:textId="4BF0533A" w:rsidR="00A16B82" w:rsidRPr="00EE108F" w:rsidRDefault="00A16B82" w:rsidP="00A16B82">
            <w:pPr>
              <w:jc w:val="center"/>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w:t>
            </w:r>
          </w:p>
        </w:tc>
        <w:tc>
          <w:tcPr>
            <w:tcW w:w="416" w:type="pct"/>
            <w:tcBorders>
              <w:top w:val="nil"/>
              <w:left w:val="nil"/>
              <w:bottom w:val="nil"/>
              <w:right w:val="nil"/>
            </w:tcBorders>
            <w:vAlign w:val="center"/>
            <w:hideMark/>
          </w:tcPr>
          <w:p w14:paraId="78CD5BE4" w14:textId="1E79E930" w:rsidR="00A16B82" w:rsidRPr="00EE108F" w:rsidRDefault="00A16B82" w:rsidP="00A16B82">
            <w:pPr>
              <w:jc w:val="center"/>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w:t>
            </w:r>
          </w:p>
        </w:tc>
        <w:tc>
          <w:tcPr>
            <w:tcW w:w="470" w:type="pct"/>
            <w:tcBorders>
              <w:top w:val="nil"/>
              <w:left w:val="nil"/>
              <w:bottom w:val="nil"/>
              <w:right w:val="nil"/>
            </w:tcBorders>
            <w:vAlign w:val="center"/>
            <w:hideMark/>
          </w:tcPr>
          <w:p w14:paraId="794B22CD" w14:textId="73758DF9" w:rsidR="00A16B82" w:rsidRPr="00644A42" w:rsidRDefault="00E84D36" w:rsidP="00E84D36">
            <w:pPr>
              <w:jc w:val="center"/>
              <w:rPr>
                <w:rFonts w:ascii="CAIXA Std Book" w:hAnsi="CAIXA Std Book" w:cs="Arial"/>
                <w:color w:val="005CA9"/>
                <w:sz w:val="16"/>
                <w:szCs w:val="16"/>
              </w:rPr>
            </w:pPr>
            <w:r>
              <w:rPr>
                <w:rFonts w:ascii="CAIXA Std Book" w:hAnsi="CAIXA Std Book" w:cs="Arial"/>
                <w:color w:val="005CA9"/>
                <w:sz w:val="16"/>
                <w:szCs w:val="16"/>
              </w:rPr>
              <w:t>-</w:t>
            </w:r>
          </w:p>
        </w:tc>
        <w:tc>
          <w:tcPr>
            <w:tcW w:w="416" w:type="pct"/>
            <w:tcBorders>
              <w:top w:val="nil"/>
              <w:left w:val="nil"/>
              <w:bottom w:val="nil"/>
              <w:right w:val="nil"/>
            </w:tcBorders>
            <w:vAlign w:val="center"/>
            <w:hideMark/>
          </w:tcPr>
          <w:p w14:paraId="5282FEBE" w14:textId="7EC40D71" w:rsidR="00A16B82" w:rsidRPr="00EE108F" w:rsidRDefault="00A16B82" w:rsidP="00A16B82">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12.968</w:t>
            </w:r>
          </w:p>
        </w:tc>
        <w:tc>
          <w:tcPr>
            <w:tcW w:w="416" w:type="pct"/>
            <w:tcBorders>
              <w:top w:val="nil"/>
              <w:left w:val="nil"/>
              <w:bottom w:val="nil"/>
              <w:right w:val="nil"/>
            </w:tcBorders>
            <w:vAlign w:val="center"/>
            <w:hideMark/>
          </w:tcPr>
          <w:p w14:paraId="0673AB00" w14:textId="13031CB1" w:rsidR="00A16B82" w:rsidRPr="00EE108F" w:rsidRDefault="00A16B82" w:rsidP="00A16B82">
            <w:pPr>
              <w:ind w:firstLineChars="100" w:firstLine="160"/>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18.970</w:t>
            </w:r>
          </w:p>
        </w:tc>
        <w:tc>
          <w:tcPr>
            <w:tcW w:w="416" w:type="pct"/>
            <w:tcBorders>
              <w:top w:val="nil"/>
              <w:left w:val="nil"/>
              <w:bottom w:val="nil"/>
              <w:right w:val="nil"/>
            </w:tcBorders>
            <w:vAlign w:val="center"/>
            <w:hideMark/>
          </w:tcPr>
          <w:p w14:paraId="1E73C8AA" w14:textId="46A42BB4" w:rsidR="00A16B82" w:rsidRPr="00EE108F" w:rsidRDefault="00A16B82" w:rsidP="00A16B82">
            <w:pPr>
              <w:ind w:firstLineChars="100" w:firstLine="160"/>
              <w:jc w:val="center"/>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w:t>
            </w:r>
          </w:p>
        </w:tc>
        <w:tc>
          <w:tcPr>
            <w:tcW w:w="417" w:type="pct"/>
            <w:tcBorders>
              <w:top w:val="nil"/>
              <w:left w:val="nil"/>
              <w:bottom w:val="nil"/>
              <w:right w:val="nil"/>
            </w:tcBorders>
            <w:noWrap/>
            <w:vAlign w:val="center"/>
            <w:hideMark/>
          </w:tcPr>
          <w:p w14:paraId="5AE5D4EF" w14:textId="232D67D1" w:rsidR="00A16B82" w:rsidRPr="00EE108F" w:rsidRDefault="00A16B82" w:rsidP="00A16B82">
            <w:pPr>
              <w:jc w:val="right"/>
              <w:rPr>
                <w:rFonts w:ascii="CAIXA Std Book" w:eastAsia="Times New Roman" w:hAnsi="CAIXA Std Book" w:cs="Times New Roman"/>
                <w:color w:val="005CA9"/>
                <w:sz w:val="16"/>
                <w:szCs w:val="16"/>
              </w:rPr>
            </w:pPr>
            <w:r w:rsidRPr="00EE108F">
              <w:rPr>
                <w:rFonts w:ascii="CAIXA Std Book" w:eastAsia="Times New Roman" w:hAnsi="CAIXA Std Book" w:cs="Arial"/>
                <w:color w:val="005CA9"/>
                <w:sz w:val="16"/>
                <w:szCs w:val="16"/>
              </w:rPr>
              <w:t>(6.002)</w:t>
            </w:r>
          </w:p>
        </w:tc>
      </w:tr>
      <w:tr w:rsidR="00A16B82" w:rsidRPr="00EE108F" w14:paraId="3959F922" w14:textId="77777777" w:rsidTr="00E80A10">
        <w:trPr>
          <w:trHeight w:val="283"/>
        </w:trPr>
        <w:tc>
          <w:tcPr>
            <w:tcW w:w="1199" w:type="pct"/>
            <w:tcBorders>
              <w:top w:val="nil"/>
              <w:left w:val="nil"/>
              <w:bottom w:val="nil"/>
              <w:right w:val="nil"/>
            </w:tcBorders>
            <w:shd w:val="clear" w:color="000000" w:fill="005CA9"/>
            <w:noWrap/>
            <w:vAlign w:val="center"/>
            <w:hideMark/>
          </w:tcPr>
          <w:p w14:paraId="755E9A7C" w14:textId="77777777" w:rsidR="00A16B82" w:rsidRPr="00EE108F" w:rsidRDefault="00A16B82" w:rsidP="00A16B82">
            <w:pPr>
              <w:rPr>
                <w:rFonts w:ascii="CAIXA Std Book" w:eastAsia="Times New Roman" w:hAnsi="CAIXA Std Book" w:cs="Times New Roman"/>
                <w:b/>
                <w:color w:val="FFFFFF"/>
                <w:sz w:val="16"/>
                <w:szCs w:val="16"/>
              </w:rPr>
            </w:pPr>
            <w:r w:rsidRPr="00EE108F">
              <w:rPr>
                <w:rFonts w:ascii="CAIXA Std Book" w:eastAsia="Times New Roman" w:hAnsi="CAIXA Std Book" w:cs="Times New Roman"/>
                <w:b/>
                <w:color w:val="FFFFFF"/>
                <w:sz w:val="16"/>
                <w:szCs w:val="16"/>
              </w:rPr>
              <w:t>Total</w:t>
            </w:r>
          </w:p>
        </w:tc>
        <w:tc>
          <w:tcPr>
            <w:tcW w:w="417" w:type="pct"/>
            <w:tcBorders>
              <w:top w:val="nil"/>
              <w:left w:val="nil"/>
              <w:bottom w:val="nil"/>
              <w:right w:val="nil"/>
            </w:tcBorders>
            <w:shd w:val="clear" w:color="000000" w:fill="005CA9"/>
            <w:noWrap/>
            <w:vAlign w:val="center"/>
            <w:hideMark/>
          </w:tcPr>
          <w:p w14:paraId="49597BA3" w14:textId="311B54A7" w:rsidR="00A16B82" w:rsidRPr="00EE108F" w:rsidRDefault="00B31536" w:rsidP="006A54BB">
            <w:pPr>
              <w:rPr>
                <w:rFonts w:ascii="CAIXA Std Book" w:eastAsia="Times New Roman" w:hAnsi="CAIXA Std Book" w:cs="Times New Roman"/>
                <w:b/>
                <w:color w:val="FFFFFF"/>
                <w:sz w:val="16"/>
                <w:szCs w:val="16"/>
              </w:rPr>
            </w:pPr>
            <w:r w:rsidRPr="00B31536">
              <w:rPr>
                <w:rFonts w:ascii="CAIXA Std Book" w:eastAsia="Times New Roman" w:hAnsi="CAIXA Std Book" w:cs="Times New Roman"/>
                <w:b/>
                <w:color w:val="FFFFFF"/>
                <w:sz w:val="16"/>
                <w:szCs w:val="16"/>
              </w:rPr>
              <w:t>2.733.490</w:t>
            </w:r>
          </w:p>
        </w:tc>
        <w:tc>
          <w:tcPr>
            <w:tcW w:w="417" w:type="pct"/>
            <w:tcBorders>
              <w:top w:val="nil"/>
              <w:left w:val="nil"/>
              <w:bottom w:val="nil"/>
              <w:right w:val="nil"/>
            </w:tcBorders>
            <w:shd w:val="clear" w:color="000000" w:fill="005CA9"/>
            <w:noWrap/>
            <w:vAlign w:val="center"/>
            <w:hideMark/>
          </w:tcPr>
          <w:p w14:paraId="08E8E7F9" w14:textId="4ACA1502" w:rsidR="00A16B82" w:rsidRPr="00EE108F" w:rsidRDefault="00A16B82" w:rsidP="00A16B82">
            <w:pPr>
              <w:jc w:val="right"/>
              <w:rPr>
                <w:rFonts w:ascii="CAIXA Std Book" w:eastAsia="Times New Roman" w:hAnsi="CAIXA Std Book" w:cs="Times New Roman"/>
                <w:b/>
                <w:color w:val="FFFFFF"/>
                <w:sz w:val="16"/>
                <w:szCs w:val="16"/>
              </w:rPr>
            </w:pPr>
            <w:r w:rsidRPr="00EE108F">
              <w:rPr>
                <w:rFonts w:ascii="CAIXA Std Book" w:eastAsia="Times New Roman" w:hAnsi="CAIXA Std Book" w:cs="Times New Roman"/>
                <w:b/>
                <w:color w:val="FFFFFF"/>
                <w:sz w:val="16"/>
                <w:szCs w:val="16"/>
              </w:rPr>
              <w:t>3.145.488</w:t>
            </w:r>
          </w:p>
        </w:tc>
        <w:tc>
          <w:tcPr>
            <w:tcW w:w="416" w:type="pct"/>
            <w:tcBorders>
              <w:top w:val="nil"/>
              <w:left w:val="nil"/>
              <w:bottom w:val="nil"/>
              <w:right w:val="nil"/>
            </w:tcBorders>
            <w:shd w:val="clear" w:color="000000" w:fill="005CA9"/>
            <w:noWrap/>
            <w:vAlign w:val="center"/>
            <w:hideMark/>
          </w:tcPr>
          <w:p w14:paraId="6A17E112" w14:textId="795C8476" w:rsidR="00A16B82" w:rsidRPr="00EE108F" w:rsidRDefault="00A16B82" w:rsidP="00A16B82">
            <w:pPr>
              <w:jc w:val="right"/>
              <w:rPr>
                <w:rFonts w:ascii="CAIXA Std Book" w:eastAsia="Times New Roman" w:hAnsi="CAIXA Std Book" w:cs="Times New Roman"/>
                <w:b/>
                <w:color w:val="FFFFFF"/>
                <w:sz w:val="16"/>
                <w:szCs w:val="16"/>
              </w:rPr>
            </w:pPr>
            <w:r w:rsidRPr="00EE108F">
              <w:rPr>
                <w:rFonts w:ascii="CAIXA Std Book" w:eastAsia="Times New Roman" w:hAnsi="CAIXA Std Book" w:cs="Times New Roman"/>
                <w:b/>
                <w:color w:val="FFFFFF"/>
                <w:sz w:val="16"/>
                <w:szCs w:val="16"/>
              </w:rPr>
              <w:t>428.354</w:t>
            </w:r>
          </w:p>
        </w:tc>
        <w:tc>
          <w:tcPr>
            <w:tcW w:w="416" w:type="pct"/>
            <w:tcBorders>
              <w:top w:val="nil"/>
              <w:left w:val="nil"/>
              <w:bottom w:val="nil"/>
              <w:right w:val="nil"/>
            </w:tcBorders>
            <w:shd w:val="clear" w:color="000000" w:fill="005CA9"/>
            <w:vAlign w:val="center"/>
            <w:hideMark/>
          </w:tcPr>
          <w:p w14:paraId="3122506C" w14:textId="1807271D" w:rsidR="00A16B82" w:rsidRPr="00EE108F" w:rsidRDefault="00A16B82" w:rsidP="00A16B82">
            <w:pPr>
              <w:jc w:val="right"/>
              <w:rPr>
                <w:rFonts w:ascii="CAIXA Std Book" w:eastAsia="Times New Roman" w:hAnsi="CAIXA Std Book" w:cs="Times New Roman"/>
                <w:b/>
                <w:color w:val="FFFFFF"/>
                <w:sz w:val="16"/>
                <w:szCs w:val="16"/>
              </w:rPr>
            </w:pPr>
            <w:r w:rsidRPr="00EE108F">
              <w:rPr>
                <w:rFonts w:ascii="CAIXA Std Book" w:eastAsia="Times New Roman" w:hAnsi="CAIXA Std Book" w:cs="Times New Roman"/>
                <w:b/>
                <w:color w:val="FFFFFF"/>
                <w:sz w:val="16"/>
                <w:szCs w:val="16"/>
              </w:rPr>
              <w:t>3.686.824</w:t>
            </w:r>
          </w:p>
        </w:tc>
        <w:tc>
          <w:tcPr>
            <w:tcW w:w="470" w:type="pct"/>
            <w:tcBorders>
              <w:top w:val="nil"/>
              <w:left w:val="nil"/>
              <w:bottom w:val="nil"/>
              <w:right w:val="nil"/>
            </w:tcBorders>
            <w:shd w:val="clear" w:color="000000" w:fill="005CA9"/>
            <w:vAlign w:val="center"/>
            <w:hideMark/>
          </w:tcPr>
          <w:p w14:paraId="0C7413C2" w14:textId="064E87E3" w:rsidR="00A16B82" w:rsidRPr="00220519" w:rsidRDefault="00A16B82" w:rsidP="00A16B82">
            <w:pPr>
              <w:jc w:val="right"/>
              <w:rPr>
                <w:rFonts w:cs="Arial"/>
              </w:rPr>
            </w:pPr>
            <w:r>
              <w:rPr>
                <w:rFonts w:ascii="CAIXA Std Book" w:hAnsi="CAIXA Std Book" w:cs="Calibri"/>
                <w:b/>
                <w:color w:val="FFFFFF"/>
                <w:sz w:val="16"/>
                <w:szCs w:val="16"/>
              </w:rPr>
              <w:t>272.</w:t>
            </w:r>
            <w:r w:rsidR="00220519" w:rsidRPr="00220519">
              <w:rPr>
                <w:rFonts w:ascii="CAIXA Std Book" w:eastAsia="Times New Roman" w:hAnsi="CAIXA Std Book" w:cs="Times New Roman" w:hint="eastAsia"/>
                <w:b/>
                <w:color w:val="FFFFFF"/>
                <w:sz w:val="16"/>
                <w:szCs w:val="16"/>
              </w:rPr>
              <w:t>895.245</w:t>
            </w:r>
          </w:p>
        </w:tc>
        <w:tc>
          <w:tcPr>
            <w:tcW w:w="416" w:type="pct"/>
            <w:tcBorders>
              <w:top w:val="nil"/>
              <w:left w:val="nil"/>
              <w:bottom w:val="nil"/>
              <w:right w:val="nil"/>
            </w:tcBorders>
            <w:shd w:val="clear" w:color="000000" w:fill="005CA9"/>
            <w:vAlign w:val="center"/>
            <w:hideMark/>
          </w:tcPr>
          <w:p w14:paraId="5C26A8C1" w14:textId="5EFA7727" w:rsidR="00A16B82" w:rsidRPr="00EE108F" w:rsidRDefault="00A16B82" w:rsidP="00A16B82">
            <w:pPr>
              <w:jc w:val="right"/>
              <w:rPr>
                <w:rFonts w:ascii="CAIXA Std Book" w:eastAsia="Times New Roman" w:hAnsi="CAIXA Std Book" w:cs="Times New Roman"/>
                <w:b/>
                <w:color w:val="FFFFFF"/>
                <w:sz w:val="16"/>
                <w:szCs w:val="16"/>
              </w:rPr>
            </w:pPr>
            <w:r w:rsidRPr="00EE108F">
              <w:rPr>
                <w:rFonts w:ascii="CAIXA Std Book" w:eastAsia="Times New Roman" w:hAnsi="CAIXA Std Book" w:cs="Times New Roman"/>
                <w:b/>
                <w:color w:val="FFFFFF"/>
                <w:sz w:val="16"/>
                <w:szCs w:val="16"/>
              </w:rPr>
              <w:t>282.889.401</w:t>
            </w:r>
          </w:p>
        </w:tc>
        <w:tc>
          <w:tcPr>
            <w:tcW w:w="416" w:type="pct"/>
            <w:tcBorders>
              <w:top w:val="nil"/>
              <w:left w:val="nil"/>
              <w:bottom w:val="nil"/>
              <w:right w:val="nil"/>
            </w:tcBorders>
            <w:shd w:val="clear" w:color="000000" w:fill="005CA9"/>
            <w:vAlign w:val="center"/>
            <w:hideMark/>
          </w:tcPr>
          <w:p w14:paraId="5224E58E" w14:textId="669EA4BE" w:rsidR="00A16B82" w:rsidRPr="00EE108F" w:rsidRDefault="00A16B82" w:rsidP="00A16B82">
            <w:pPr>
              <w:jc w:val="right"/>
              <w:rPr>
                <w:rFonts w:ascii="CAIXA Std Book" w:eastAsia="Times New Roman" w:hAnsi="CAIXA Std Book" w:cs="Times New Roman"/>
                <w:b/>
                <w:color w:val="FFFFFF"/>
                <w:sz w:val="16"/>
                <w:szCs w:val="16"/>
              </w:rPr>
            </w:pPr>
            <w:r w:rsidRPr="00EE108F">
              <w:rPr>
                <w:rFonts w:ascii="CAIXA Std Book" w:eastAsia="Times New Roman" w:hAnsi="CAIXA Std Book" w:cs="Times New Roman"/>
                <w:b/>
                <w:color w:val="FFFFFF"/>
                <w:sz w:val="16"/>
                <w:szCs w:val="16"/>
              </w:rPr>
              <w:t>282.031.027</w:t>
            </w:r>
          </w:p>
        </w:tc>
        <w:tc>
          <w:tcPr>
            <w:tcW w:w="416" w:type="pct"/>
            <w:tcBorders>
              <w:top w:val="nil"/>
              <w:left w:val="nil"/>
              <w:bottom w:val="nil"/>
              <w:right w:val="nil"/>
            </w:tcBorders>
            <w:shd w:val="clear" w:color="000000" w:fill="005CA9"/>
            <w:vAlign w:val="center"/>
            <w:hideMark/>
          </w:tcPr>
          <w:p w14:paraId="6C875293" w14:textId="669CF848" w:rsidR="00A16B82" w:rsidRPr="00EE108F" w:rsidRDefault="00A16B82" w:rsidP="00A16B82">
            <w:pPr>
              <w:jc w:val="right"/>
              <w:rPr>
                <w:rFonts w:ascii="CAIXA Std Book" w:eastAsia="Times New Roman" w:hAnsi="CAIXA Std Book" w:cs="Times New Roman"/>
                <w:b/>
                <w:color w:val="FFFFFF"/>
                <w:sz w:val="16"/>
                <w:szCs w:val="16"/>
              </w:rPr>
            </w:pPr>
            <w:r w:rsidRPr="00EE108F">
              <w:rPr>
                <w:rFonts w:ascii="CAIXA Std Book" w:eastAsia="Times New Roman" w:hAnsi="CAIXA Std Book" w:cs="Times New Roman"/>
                <w:b/>
                <w:color w:val="FFFFFF"/>
                <w:sz w:val="16"/>
                <w:szCs w:val="16"/>
              </w:rPr>
              <w:t>(402.862)</w:t>
            </w:r>
          </w:p>
        </w:tc>
        <w:tc>
          <w:tcPr>
            <w:tcW w:w="417" w:type="pct"/>
            <w:tcBorders>
              <w:top w:val="nil"/>
              <w:left w:val="nil"/>
              <w:bottom w:val="nil"/>
              <w:right w:val="nil"/>
            </w:tcBorders>
            <w:shd w:val="clear" w:color="000000" w:fill="005CA9"/>
            <w:noWrap/>
            <w:vAlign w:val="center"/>
            <w:hideMark/>
          </w:tcPr>
          <w:p w14:paraId="1E77B103" w14:textId="74853273" w:rsidR="00A16B82" w:rsidRPr="00EE108F" w:rsidRDefault="00A16B82" w:rsidP="00A16B82">
            <w:pPr>
              <w:jc w:val="right"/>
              <w:rPr>
                <w:rFonts w:ascii="CAIXA Std Book" w:eastAsia="Times New Roman" w:hAnsi="CAIXA Std Book" w:cs="Times New Roman"/>
                <w:b/>
                <w:color w:val="FFFFFF"/>
                <w:sz w:val="16"/>
                <w:szCs w:val="16"/>
              </w:rPr>
            </w:pPr>
            <w:r w:rsidRPr="00EE108F">
              <w:rPr>
                <w:rFonts w:ascii="CAIXA Std Book" w:eastAsia="Times New Roman" w:hAnsi="CAIXA Std Book" w:cs="Times New Roman"/>
                <w:b/>
                <w:color w:val="FFFFFF"/>
                <w:sz w:val="16"/>
                <w:szCs w:val="16"/>
              </w:rPr>
              <w:t>1.261.236</w:t>
            </w:r>
          </w:p>
        </w:tc>
      </w:tr>
    </w:tbl>
    <w:p w14:paraId="780A6A1A" w14:textId="77777777" w:rsidR="0039756E" w:rsidRDefault="0039756E" w:rsidP="00FE7C3C">
      <w:pPr>
        <w:rPr>
          <w:rFonts w:ascii="CAIXA Std Book" w:hAnsi="CAIXA Std Book"/>
          <w:b/>
          <w:color w:val="005CA9"/>
        </w:rPr>
      </w:pPr>
    </w:p>
    <w:tbl>
      <w:tblPr>
        <w:tblW w:w="5000" w:type="pct"/>
        <w:tblLayout w:type="fixed"/>
        <w:tblCellMar>
          <w:left w:w="70" w:type="dxa"/>
          <w:right w:w="70" w:type="dxa"/>
        </w:tblCellMar>
        <w:tblLook w:val="04A0" w:firstRow="1" w:lastRow="0" w:firstColumn="1" w:lastColumn="0" w:noHBand="0" w:noVBand="1"/>
      </w:tblPr>
      <w:tblGrid>
        <w:gridCol w:w="3542"/>
        <w:gridCol w:w="1224"/>
        <w:gridCol w:w="1224"/>
        <w:gridCol w:w="1224"/>
        <w:gridCol w:w="1224"/>
        <w:gridCol w:w="1224"/>
        <w:gridCol w:w="1224"/>
        <w:gridCol w:w="1224"/>
        <w:gridCol w:w="1224"/>
        <w:gridCol w:w="1235"/>
      </w:tblGrid>
      <w:tr w:rsidR="00EE108F" w:rsidRPr="00EE108F" w14:paraId="605442E5" w14:textId="77777777" w:rsidTr="00EE108F">
        <w:trPr>
          <w:trHeight w:val="283"/>
        </w:trPr>
        <w:tc>
          <w:tcPr>
            <w:tcW w:w="5000" w:type="pct"/>
            <w:gridSpan w:val="10"/>
            <w:tcBorders>
              <w:top w:val="nil"/>
              <w:left w:val="nil"/>
              <w:bottom w:val="single" w:sz="8" w:space="0" w:color="FFFFFF"/>
              <w:right w:val="nil"/>
            </w:tcBorders>
            <w:shd w:val="clear" w:color="000000" w:fill="005CA9"/>
            <w:vAlign w:val="center"/>
            <w:hideMark/>
          </w:tcPr>
          <w:p w14:paraId="74F46F07" w14:textId="77777777" w:rsidR="00EE108F" w:rsidRPr="00EE108F" w:rsidRDefault="00EE108F" w:rsidP="00EE108F">
            <w:pPr>
              <w:jc w:val="center"/>
              <w:rPr>
                <w:rFonts w:ascii="CAIXA Std Book" w:eastAsia="Times New Roman" w:hAnsi="CAIXA Std Book" w:cs="Calibri"/>
                <w:b/>
                <w:bCs/>
                <w:color w:val="FFFFFF"/>
                <w:sz w:val="16"/>
                <w:szCs w:val="16"/>
              </w:rPr>
            </w:pPr>
            <w:r w:rsidRPr="00EE108F">
              <w:rPr>
                <w:rFonts w:ascii="CAIXA Std Book" w:eastAsia="Times New Roman" w:hAnsi="CAIXA Std Book" w:cs="Calibri"/>
                <w:b/>
                <w:bCs/>
                <w:color w:val="FFFFFF"/>
                <w:sz w:val="16"/>
                <w:szCs w:val="16"/>
              </w:rPr>
              <w:t>Individual</w:t>
            </w:r>
          </w:p>
        </w:tc>
      </w:tr>
      <w:tr w:rsidR="00EE108F" w:rsidRPr="00EE108F" w14:paraId="67D5880B" w14:textId="77777777" w:rsidTr="00EE108F">
        <w:trPr>
          <w:trHeight w:val="283"/>
        </w:trPr>
        <w:tc>
          <w:tcPr>
            <w:tcW w:w="1216" w:type="pct"/>
            <w:vMerge w:val="restart"/>
            <w:tcBorders>
              <w:top w:val="nil"/>
              <w:left w:val="nil"/>
              <w:bottom w:val="nil"/>
              <w:right w:val="nil"/>
            </w:tcBorders>
            <w:shd w:val="clear" w:color="000000" w:fill="005CA9"/>
            <w:vAlign w:val="center"/>
            <w:hideMark/>
          </w:tcPr>
          <w:p w14:paraId="1B974600" w14:textId="77777777" w:rsidR="00EE108F" w:rsidRPr="00EE108F" w:rsidRDefault="00EE108F" w:rsidP="00EE108F">
            <w:pPr>
              <w:jc w:val="center"/>
              <w:rPr>
                <w:rFonts w:ascii="CAIXA Std Book" w:eastAsia="Times New Roman" w:hAnsi="CAIXA Std Book" w:cs="Calibri"/>
                <w:b/>
                <w:bCs/>
                <w:color w:val="FFFFFF"/>
                <w:sz w:val="16"/>
                <w:szCs w:val="16"/>
              </w:rPr>
            </w:pPr>
            <w:r w:rsidRPr="00EE108F">
              <w:rPr>
                <w:rFonts w:ascii="CAIXA Std Book" w:eastAsia="Times New Roman" w:hAnsi="CAIXA Std Book" w:cs="Calibri"/>
                <w:b/>
                <w:bCs/>
                <w:color w:val="FFFFFF"/>
                <w:sz w:val="16"/>
                <w:szCs w:val="16"/>
              </w:rPr>
              <w:t>Descrição</w:t>
            </w:r>
          </w:p>
        </w:tc>
        <w:tc>
          <w:tcPr>
            <w:tcW w:w="3784" w:type="pct"/>
            <w:gridSpan w:val="9"/>
            <w:tcBorders>
              <w:top w:val="single" w:sz="8" w:space="0" w:color="FFFFFF"/>
              <w:left w:val="nil"/>
              <w:bottom w:val="single" w:sz="8" w:space="0" w:color="FFFFFF"/>
              <w:right w:val="nil"/>
            </w:tcBorders>
            <w:shd w:val="clear" w:color="000000" w:fill="005CA9"/>
            <w:vAlign w:val="center"/>
            <w:hideMark/>
          </w:tcPr>
          <w:p w14:paraId="15653CAD" w14:textId="3ECAE7EB" w:rsidR="00EE108F" w:rsidRPr="00EE108F" w:rsidRDefault="00EE108F" w:rsidP="00EE108F">
            <w:pPr>
              <w:jc w:val="center"/>
              <w:rPr>
                <w:rFonts w:ascii="CAIXA Std Book" w:eastAsia="Times New Roman" w:hAnsi="CAIXA Std Book" w:cs="Calibri"/>
                <w:b/>
                <w:bCs/>
                <w:color w:val="FFFFFF"/>
                <w:sz w:val="16"/>
                <w:szCs w:val="16"/>
              </w:rPr>
            </w:pPr>
            <w:r w:rsidRPr="00EE108F">
              <w:rPr>
                <w:rFonts w:ascii="CAIXA Std Book" w:eastAsia="Times New Roman" w:hAnsi="CAIXA Std Book" w:cs="Calibri"/>
                <w:b/>
                <w:bCs/>
                <w:color w:val="FFFFFF"/>
                <w:sz w:val="16"/>
                <w:szCs w:val="16"/>
              </w:rPr>
              <w:t>31/</w:t>
            </w:r>
            <w:r>
              <w:rPr>
                <w:rFonts w:ascii="CAIXA Std Book" w:eastAsia="Times New Roman" w:hAnsi="CAIXA Std Book" w:cs="Calibri"/>
                <w:b/>
                <w:bCs/>
                <w:color w:val="FFFFFF"/>
                <w:sz w:val="16"/>
                <w:szCs w:val="16"/>
              </w:rPr>
              <w:t>12</w:t>
            </w:r>
            <w:r w:rsidRPr="00EE108F">
              <w:rPr>
                <w:rFonts w:ascii="CAIXA Std Book" w:eastAsia="Times New Roman" w:hAnsi="CAIXA Std Book" w:cs="Calibri"/>
                <w:b/>
                <w:bCs/>
                <w:color w:val="FFFFFF"/>
                <w:sz w:val="16"/>
                <w:szCs w:val="16"/>
              </w:rPr>
              <w:t>/202</w:t>
            </w:r>
            <w:r>
              <w:rPr>
                <w:rFonts w:ascii="CAIXA Std Book" w:eastAsia="Times New Roman" w:hAnsi="CAIXA Std Book" w:cs="Calibri"/>
                <w:b/>
                <w:bCs/>
                <w:color w:val="FFFFFF"/>
                <w:sz w:val="16"/>
                <w:szCs w:val="16"/>
              </w:rPr>
              <w:t>5</w:t>
            </w:r>
          </w:p>
        </w:tc>
      </w:tr>
      <w:tr w:rsidR="00EE108F" w:rsidRPr="00EE108F" w14:paraId="1D8A7BBD" w14:textId="77777777" w:rsidTr="00652286">
        <w:trPr>
          <w:trHeight w:val="283"/>
        </w:trPr>
        <w:tc>
          <w:tcPr>
            <w:tcW w:w="1216" w:type="pct"/>
            <w:vMerge/>
            <w:tcBorders>
              <w:top w:val="nil"/>
              <w:left w:val="nil"/>
              <w:bottom w:val="single" w:sz="4" w:space="0" w:color="FFFFFF" w:themeColor="background1"/>
              <w:right w:val="nil"/>
            </w:tcBorders>
            <w:vAlign w:val="center"/>
            <w:hideMark/>
          </w:tcPr>
          <w:p w14:paraId="05D10DFA" w14:textId="77777777" w:rsidR="00EE108F" w:rsidRPr="00EE108F" w:rsidRDefault="00EE108F" w:rsidP="00EE108F">
            <w:pPr>
              <w:rPr>
                <w:rFonts w:ascii="CAIXA Std Book" w:eastAsia="Times New Roman" w:hAnsi="CAIXA Std Book" w:cs="Calibri"/>
                <w:b/>
                <w:bCs/>
                <w:color w:val="FFFFFF"/>
                <w:sz w:val="16"/>
                <w:szCs w:val="16"/>
              </w:rPr>
            </w:pPr>
          </w:p>
        </w:tc>
        <w:tc>
          <w:tcPr>
            <w:tcW w:w="420" w:type="pct"/>
            <w:tcBorders>
              <w:top w:val="nil"/>
              <w:left w:val="nil"/>
              <w:bottom w:val="single" w:sz="4" w:space="0" w:color="FFFFFF" w:themeColor="background1"/>
              <w:right w:val="nil"/>
            </w:tcBorders>
            <w:shd w:val="clear" w:color="000000" w:fill="005CA9"/>
            <w:vAlign w:val="center"/>
            <w:hideMark/>
          </w:tcPr>
          <w:p w14:paraId="4011EC96" w14:textId="77777777" w:rsidR="00EE108F" w:rsidRPr="00EE108F" w:rsidRDefault="00EE108F" w:rsidP="00EE108F">
            <w:pPr>
              <w:jc w:val="center"/>
              <w:rPr>
                <w:rFonts w:ascii="CAIXA Std Book" w:eastAsia="Times New Roman" w:hAnsi="CAIXA Std Book" w:cs="Calibri"/>
                <w:b/>
                <w:bCs/>
                <w:color w:val="FFFFFF"/>
                <w:sz w:val="16"/>
                <w:szCs w:val="16"/>
              </w:rPr>
            </w:pPr>
            <w:r w:rsidRPr="00EE108F">
              <w:rPr>
                <w:rFonts w:ascii="CAIXA Std Book" w:eastAsia="Times New Roman" w:hAnsi="CAIXA Std Book" w:cs="Calibri"/>
                <w:b/>
                <w:bCs/>
                <w:color w:val="FFFFFF"/>
                <w:sz w:val="16"/>
                <w:szCs w:val="16"/>
              </w:rPr>
              <w:t>Sem vencimento</w:t>
            </w:r>
          </w:p>
        </w:tc>
        <w:tc>
          <w:tcPr>
            <w:tcW w:w="420" w:type="pct"/>
            <w:tcBorders>
              <w:top w:val="nil"/>
              <w:left w:val="nil"/>
              <w:bottom w:val="single" w:sz="4" w:space="0" w:color="FFFFFF" w:themeColor="background1"/>
              <w:right w:val="nil"/>
            </w:tcBorders>
            <w:shd w:val="clear" w:color="000000" w:fill="005CA9"/>
            <w:vAlign w:val="center"/>
            <w:hideMark/>
          </w:tcPr>
          <w:p w14:paraId="0AAE1C40" w14:textId="77777777" w:rsidR="00EE108F" w:rsidRPr="00EE108F" w:rsidRDefault="00EE108F" w:rsidP="00EE108F">
            <w:pPr>
              <w:jc w:val="center"/>
              <w:rPr>
                <w:rFonts w:ascii="CAIXA Std Book" w:eastAsia="Times New Roman" w:hAnsi="CAIXA Std Book" w:cs="Calibri"/>
                <w:b/>
                <w:bCs/>
                <w:color w:val="FFFFFF"/>
                <w:sz w:val="16"/>
                <w:szCs w:val="16"/>
              </w:rPr>
            </w:pPr>
            <w:r w:rsidRPr="00EE108F">
              <w:rPr>
                <w:rFonts w:ascii="CAIXA Std Book" w:eastAsia="Times New Roman" w:hAnsi="CAIXA Std Book" w:cs="Calibri"/>
                <w:b/>
                <w:bCs/>
                <w:color w:val="FFFFFF"/>
                <w:sz w:val="16"/>
                <w:szCs w:val="16"/>
              </w:rPr>
              <w:t>1 a 90 dias</w:t>
            </w:r>
          </w:p>
        </w:tc>
        <w:tc>
          <w:tcPr>
            <w:tcW w:w="420" w:type="pct"/>
            <w:tcBorders>
              <w:top w:val="nil"/>
              <w:left w:val="nil"/>
              <w:bottom w:val="single" w:sz="4" w:space="0" w:color="FFFFFF" w:themeColor="background1"/>
              <w:right w:val="nil"/>
            </w:tcBorders>
            <w:shd w:val="clear" w:color="000000" w:fill="005CA9"/>
            <w:vAlign w:val="center"/>
            <w:hideMark/>
          </w:tcPr>
          <w:p w14:paraId="547E69FD" w14:textId="77777777" w:rsidR="00EE108F" w:rsidRPr="00EE108F" w:rsidRDefault="00EE108F" w:rsidP="00EE108F">
            <w:pPr>
              <w:jc w:val="center"/>
              <w:rPr>
                <w:rFonts w:ascii="CAIXA Std Book" w:eastAsia="Times New Roman" w:hAnsi="CAIXA Std Book" w:cs="Calibri"/>
                <w:b/>
                <w:bCs/>
                <w:color w:val="FFFFFF"/>
                <w:sz w:val="16"/>
                <w:szCs w:val="16"/>
              </w:rPr>
            </w:pPr>
            <w:r w:rsidRPr="00EE108F">
              <w:rPr>
                <w:rFonts w:ascii="CAIXA Std Book" w:eastAsia="Times New Roman" w:hAnsi="CAIXA Std Book" w:cs="Calibri"/>
                <w:b/>
                <w:bCs/>
                <w:color w:val="FFFFFF"/>
                <w:sz w:val="16"/>
                <w:szCs w:val="16"/>
              </w:rPr>
              <w:t>91 a180 dias</w:t>
            </w:r>
          </w:p>
        </w:tc>
        <w:tc>
          <w:tcPr>
            <w:tcW w:w="420" w:type="pct"/>
            <w:tcBorders>
              <w:top w:val="nil"/>
              <w:left w:val="nil"/>
              <w:bottom w:val="single" w:sz="4" w:space="0" w:color="FFFFFF" w:themeColor="background1"/>
              <w:right w:val="nil"/>
            </w:tcBorders>
            <w:shd w:val="clear" w:color="000000" w:fill="005CA9"/>
            <w:vAlign w:val="center"/>
            <w:hideMark/>
          </w:tcPr>
          <w:p w14:paraId="10B4E53B" w14:textId="77777777" w:rsidR="00EE108F" w:rsidRPr="00EE108F" w:rsidRDefault="00EE108F" w:rsidP="00EE108F">
            <w:pPr>
              <w:jc w:val="center"/>
              <w:rPr>
                <w:rFonts w:ascii="CAIXA Std Book" w:eastAsia="Times New Roman" w:hAnsi="CAIXA Std Book" w:cs="Calibri"/>
                <w:b/>
                <w:bCs/>
                <w:color w:val="FFFFFF"/>
                <w:sz w:val="16"/>
                <w:szCs w:val="16"/>
              </w:rPr>
            </w:pPr>
            <w:r w:rsidRPr="00EE108F">
              <w:rPr>
                <w:rFonts w:ascii="CAIXA Std Book" w:eastAsia="Times New Roman" w:hAnsi="CAIXA Std Book" w:cs="Calibri"/>
                <w:b/>
                <w:bCs/>
                <w:color w:val="FFFFFF"/>
                <w:sz w:val="16"/>
                <w:szCs w:val="16"/>
              </w:rPr>
              <w:t>181 a 360 dias</w:t>
            </w:r>
          </w:p>
        </w:tc>
        <w:tc>
          <w:tcPr>
            <w:tcW w:w="420" w:type="pct"/>
            <w:tcBorders>
              <w:top w:val="nil"/>
              <w:left w:val="nil"/>
              <w:bottom w:val="single" w:sz="4" w:space="0" w:color="FFFFFF" w:themeColor="background1"/>
              <w:right w:val="nil"/>
            </w:tcBorders>
            <w:shd w:val="clear" w:color="000000" w:fill="005CA9"/>
            <w:vAlign w:val="center"/>
            <w:hideMark/>
          </w:tcPr>
          <w:p w14:paraId="06CAC581" w14:textId="77777777" w:rsidR="00EE108F" w:rsidRPr="00EE108F" w:rsidRDefault="00EE108F" w:rsidP="00EE108F">
            <w:pPr>
              <w:jc w:val="center"/>
              <w:rPr>
                <w:rFonts w:ascii="CAIXA Std Book" w:eastAsia="Times New Roman" w:hAnsi="CAIXA Std Book" w:cs="Calibri"/>
                <w:b/>
                <w:bCs/>
                <w:color w:val="FFFFFF"/>
                <w:sz w:val="16"/>
                <w:szCs w:val="16"/>
              </w:rPr>
            </w:pPr>
            <w:r w:rsidRPr="00EE108F">
              <w:rPr>
                <w:rFonts w:ascii="CAIXA Std Book" w:eastAsia="Times New Roman" w:hAnsi="CAIXA Std Book" w:cs="Calibri"/>
                <w:b/>
                <w:bCs/>
                <w:color w:val="FFFFFF"/>
                <w:sz w:val="16"/>
                <w:szCs w:val="16"/>
              </w:rPr>
              <w:t>Acima de 360 dias</w:t>
            </w:r>
          </w:p>
        </w:tc>
        <w:tc>
          <w:tcPr>
            <w:tcW w:w="420" w:type="pct"/>
            <w:tcBorders>
              <w:top w:val="nil"/>
              <w:left w:val="nil"/>
              <w:bottom w:val="single" w:sz="4" w:space="0" w:color="FFFFFF" w:themeColor="background1"/>
              <w:right w:val="nil"/>
            </w:tcBorders>
            <w:shd w:val="clear" w:color="000000" w:fill="005CA9"/>
            <w:vAlign w:val="center"/>
            <w:hideMark/>
          </w:tcPr>
          <w:p w14:paraId="2C079AC4" w14:textId="77777777" w:rsidR="00EE108F" w:rsidRPr="00EE108F" w:rsidRDefault="00EE108F" w:rsidP="00EE108F">
            <w:pPr>
              <w:jc w:val="center"/>
              <w:rPr>
                <w:rFonts w:ascii="CAIXA Std Book" w:eastAsia="Times New Roman" w:hAnsi="CAIXA Std Book" w:cs="Calibri"/>
                <w:b/>
                <w:bCs/>
                <w:color w:val="FFFFFF"/>
                <w:sz w:val="16"/>
                <w:szCs w:val="16"/>
              </w:rPr>
            </w:pPr>
            <w:r w:rsidRPr="00EE108F">
              <w:rPr>
                <w:rFonts w:ascii="CAIXA Std Book" w:eastAsia="Times New Roman" w:hAnsi="CAIXA Std Book" w:cs="Calibri"/>
                <w:b/>
                <w:bCs/>
                <w:color w:val="FFFFFF"/>
                <w:sz w:val="16"/>
                <w:szCs w:val="16"/>
              </w:rPr>
              <w:t>Valor justo</w:t>
            </w:r>
          </w:p>
        </w:tc>
        <w:tc>
          <w:tcPr>
            <w:tcW w:w="420" w:type="pct"/>
            <w:tcBorders>
              <w:top w:val="nil"/>
              <w:left w:val="nil"/>
              <w:bottom w:val="single" w:sz="4" w:space="0" w:color="FFFFFF" w:themeColor="background1"/>
              <w:right w:val="nil"/>
            </w:tcBorders>
            <w:shd w:val="clear" w:color="000000" w:fill="005CA9"/>
            <w:vAlign w:val="center"/>
            <w:hideMark/>
          </w:tcPr>
          <w:p w14:paraId="3AC90DD2" w14:textId="77777777" w:rsidR="00EE108F" w:rsidRPr="00EE108F" w:rsidRDefault="00EE108F" w:rsidP="00EE108F">
            <w:pPr>
              <w:jc w:val="center"/>
              <w:rPr>
                <w:rFonts w:ascii="CAIXA Std Book" w:eastAsia="Times New Roman" w:hAnsi="CAIXA Std Book" w:cs="Calibri"/>
                <w:b/>
                <w:bCs/>
                <w:color w:val="FFFFFF"/>
                <w:sz w:val="16"/>
                <w:szCs w:val="16"/>
              </w:rPr>
            </w:pPr>
            <w:r w:rsidRPr="00EE108F">
              <w:rPr>
                <w:rFonts w:ascii="CAIXA Std Book" w:eastAsia="Times New Roman" w:hAnsi="CAIXA Std Book" w:cs="Calibri"/>
                <w:b/>
                <w:bCs/>
                <w:color w:val="FFFFFF"/>
                <w:sz w:val="16"/>
                <w:szCs w:val="16"/>
              </w:rPr>
              <w:t>Valor contábil bruto</w:t>
            </w:r>
          </w:p>
        </w:tc>
        <w:tc>
          <w:tcPr>
            <w:tcW w:w="420" w:type="pct"/>
            <w:tcBorders>
              <w:top w:val="nil"/>
              <w:left w:val="nil"/>
              <w:bottom w:val="single" w:sz="4" w:space="0" w:color="FFFFFF" w:themeColor="background1"/>
              <w:right w:val="nil"/>
            </w:tcBorders>
            <w:shd w:val="clear" w:color="000000" w:fill="005CA9"/>
            <w:vAlign w:val="center"/>
            <w:hideMark/>
          </w:tcPr>
          <w:p w14:paraId="4E24091B" w14:textId="77777777" w:rsidR="00EE108F" w:rsidRPr="00EE108F" w:rsidRDefault="00EE108F" w:rsidP="00EE108F">
            <w:pPr>
              <w:jc w:val="center"/>
              <w:rPr>
                <w:rFonts w:ascii="CAIXA Std Book" w:eastAsia="Times New Roman" w:hAnsi="CAIXA Std Book" w:cs="Calibri"/>
                <w:b/>
                <w:bCs/>
                <w:color w:val="FFFFFF"/>
                <w:sz w:val="16"/>
                <w:szCs w:val="16"/>
              </w:rPr>
            </w:pPr>
            <w:r w:rsidRPr="00EE108F">
              <w:rPr>
                <w:rFonts w:ascii="CAIXA Std Book" w:eastAsia="Times New Roman" w:hAnsi="CAIXA Std Book" w:cs="Calibri"/>
                <w:b/>
                <w:bCs/>
                <w:color w:val="FFFFFF"/>
                <w:sz w:val="16"/>
                <w:szCs w:val="16"/>
              </w:rPr>
              <w:t>Perdas esperadas</w:t>
            </w:r>
          </w:p>
        </w:tc>
        <w:tc>
          <w:tcPr>
            <w:tcW w:w="424" w:type="pct"/>
            <w:tcBorders>
              <w:top w:val="nil"/>
              <w:left w:val="nil"/>
              <w:bottom w:val="single" w:sz="4" w:space="0" w:color="FFFFFF" w:themeColor="background1"/>
              <w:right w:val="nil"/>
            </w:tcBorders>
            <w:shd w:val="clear" w:color="000000" w:fill="005CA9"/>
            <w:vAlign w:val="center"/>
            <w:hideMark/>
          </w:tcPr>
          <w:p w14:paraId="577E2627" w14:textId="77777777" w:rsidR="00EE108F" w:rsidRPr="00EE108F" w:rsidRDefault="00EE108F" w:rsidP="00EE108F">
            <w:pPr>
              <w:jc w:val="center"/>
              <w:rPr>
                <w:rFonts w:ascii="CAIXA Std Book" w:eastAsia="Times New Roman" w:hAnsi="CAIXA Std Book" w:cs="Calibri"/>
                <w:b/>
                <w:bCs/>
                <w:color w:val="FFFFFF"/>
                <w:sz w:val="16"/>
                <w:szCs w:val="16"/>
              </w:rPr>
            </w:pPr>
            <w:r w:rsidRPr="00EE108F">
              <w:rPr>
                <w:rFonts w:ascii="CAIXA Std Book" w:eastAsia="Times New Roman" w:hAnsi="CAIXA Std Book" w:cs="Calibri"/>
                <w:b/>
                <w:bCs/>
                <w:color w:val="FFFFFF"/>
                <w:sz w:val="16"/>
                <w:szCs w:val="16"/>
              </w:rPr>
              <w:t>Ajuste a valor justo</w:t>
            </w:r>
          </w:p>
        </w:tc>
      </w:tr>
      <w:tr w:rsidR="00EE108F" w:rsidRPr="00EE108F" w14:paraId="7A377EDC" w14:textId="77777777" w:rsidTr="00652286">
        <w:trPr>
          <w:trHeight w:val="283"/>
        </w:trPr>
        <w:tc>
          <w:tcPr>
            <w:tcW w:w="1216" w:type="pct"/>
            <w:tcBorders>
              <w:top w:val="single" w:sz="4" w:space="0" w:color="FFFFFF" w:themeColor="background1"/>
              <w:left w:val="nil"/>
              <w:bottom w:val="nil"/>
              <w:right w:val="nil"/>
            </w:tcBorders>
            <w:noWrap/>
            <w:vAlign w:val="center"/>
            <w:hideMark/>
          </w:tcPr>
          <w:p w14:paraId="64B9C5C5" w14:textId="77777777" w:rsidR="00EE108F" w:rsidRPr="00EE108F" w:rsidRDefault="00EE108F" w:rsidP="00EE108F">
            <w:pPr>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Títulos públicos federais brasileiros</w:t>
            </w:r>
          </w:p>
        </w:tc>
        <w:tc>
          <w:tcPr>
            <w:tcW w:w="420" w:type="pct"/>
            <w:tcBorders>
              <w:top w:val="single" w:sz="4" w:space="0" w:color="FFFFFF" w:themeColor="background1"/>
              <w:left w:val="nil"/>
              <w:bottom w:val="nil"/>
              <w:right w:val="nil"/>
            </w:tcBorders>
            <w:noWrap/>
            <w:vAlign w:val="center"/>
            <w:hideMark/>
          </w:tcPr>
          <w:p w14:paraId="45E4F4AD" w14:textId="77777777" w:rsidR="00EE108F" w:rsidRPr="00EE108F" w:rsidRDefault="00EE108F" w:rsidP="00EE108F">
            <w:pPr>
              <w:jc w:val="center"/>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w:t>
            </w:r>
          </w:p>
        </w:tc>
        <w:tc>
          <w:tcPr>
            <w:tcW w:w="420" w:type="pct"/>
            <w:tcBorders>
              <w:top w:val="single" w:sz="4" w:space="0" w:color="FFFFFF" w:themeColor="background1"/>
              <w:left w:val="nil"/>
              <w:bottom w:val="nil"/>
              <w:right w:val="nil"/>
            </w:tcBorders>
            <w:noWrap/>
            <w:vAlign w:val="center"/>
            <w:hideMark/>
          </w:tcPr>
          <w:p w14:paraId="7B8B7014"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3.641.590</w:t>
            </w:r>
          </w:p>
        </w:tc>
        <w:tc>
          <w:tcPr>
            <w:tcW w:w="420" w:type="pct"/>
            <w:tcBorders>
              <w:top w:val="single" w:sz="4" w:space="0" w:color="FFFFFF" w:themeColor="background1"/>
              <w:left w:val="nil"/>
              <w:bottom w:val="nil"/>
              <w:right w:val="nil"/>
            </w:tcBorders>
            <w:noWrap/>
            <w:vAlign w:val="center"/>
            <w:hideMark/>
          </w:tcPr>
          <w:p w14:paraId="2F57AA4D"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2.758.402</w:t>
            </w:r>
          </w:p>
        </w:tc>
        <w:tc>
          <w:tcPr>
            <w:tcW w:w="420" w:type="pct"/>
            <w:tcBorders>
              <w:top w:val="single" w:sz="4" w:space="0" w:color="FFFFFF" w:themeColor="background1"/>
              <w:left w:val="nil"/>
              <w:bottom w:val="nil"/>
              <w:right w:val="nil"/>
            </w:tcBorders>
            <w:noWrap/>
            <w:vAlign w:val="center"/>
            <w:hideMark/>
          </w:tcPr>
          <w:p w14:paraId="512D0957"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1.359.292</w:t>
            </w:r>
          </w:p>
        </w:tc>
        <w:tc>
          <w:tcPr>
            <w:tcW w:w="420" w:type="pct"/>
            <w:tcBorders>
              <w:top w:val="single" w:sz="4" w:space="0" w:color="FFFFFF" w:themeColor="background1"/>
              <w:left w:val="nil"/>
              <w:bottom w:val="nil"/>
              <w:right w:val="nil"/>
            </w:tcBorders>
            <w:noWrap/>
            <w:vAlign w:val="center"/>
            <w:hideMark/>
          </w:tcPr>
          <w:p w14:paraId="47CC1F61"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285.708.822</w:t>
            </w:r>
          </w:p>
        </w:tc>
        <w:tc>
          <w:tcPr>
            <w:tcW w:w="420" w:type="pct"/>
            <w:tcBorders>
              <w:top w:val="single" w:sz="4" w:space="0" w:color="FFFFFF" w:themeColor="background1"/>
              <w:left w:val="nil"/>
              <w:bottom w:val="nil"/>
              <w:right w:val="nil"/>
            </w:tcBorders>
            <w:noWrap/>
            <w:vAlign w:val="center"/>
            <w:hideMark/>
          </w:tcPr>
          <w:p w14:paraId="7CDC9EBB"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293.468.106</w:t>
            </w:r>
          </w:p>
        </w:tc>
        <w:tc>
          <w:tcPr>
            <w:tcW w:w="420" w:type="pct"/>
            <w:tcBorders>
              <w:top w:val="single" w:sz="4" w:space="0" w:color="FFFFFF" w:themeColor="background1"/>
              <w:left w:val="nil"/>
              <w:bottom w:val="nil"/>
              <w:right w:val="nil"/>
            </w:tcBorders>
            <w:noWrap/>
            <w:vAlign w:val="center"/>
            <w:hideMark/>
          </w:tcPr>
          <w:p w14:paraId="36C26B9D"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293.460.576</w:t>
            </w:r>
          </w:p>
        </w:tc>
        <w:tc>
          <w:tcPr>
            <w:tcW w:w="420" w:type="pct"/>
            <w:tcBorders>
              <w:top w:val="single" w:sz="4" w:space="0" w:color="FFFFFF" w:themeColor="background1"/>
              <w:left w:val="nil"/>
              <w:bottom w:val="nil"/>
              <w:right w:val="nil"/>
            </w:tcBorders>
            <w:noWrap/>
            <w:vAlign w:val="center"/>
            <w:hideMark/>
          </w:tcPr>
          <w:p w14:paraId="5BA72D4A" w14:textId="77777777" w:rsidR="00EE108F" w:rsidRPr="00EE108F" w:rsidRDefault="00EE108F" w:rsidP="00EE108F">
            <w:pPr>
              <w:jc w:val="center"/>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w:t>
            </w:r>
          </w:p>
        </w:tc>
        <w:tc>
          <w:tcPr>
            <w:tcW w:w="424" w:type="pct"/>
            <w:tcBorders>
              <w:top w:val="single" w:sz="4" w:space="0" w:color="FFFFFF" w:themeColor="background1"/>
              <w:left w:val="nil"/>
              <w:bottom w:val="nil"/>
              <w:right w:val="nil"/>
            </w:tcBorders>
            <w:noWrap/>
            <w:vAlign w:val="center"/>
            <w:hideMark/>
          </w:tcPr>
          <w:p w14:paraId="3781661F"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7.530</w:t>
            </w:r>
          </w:p>
        </w:tc>
      </w:tr>
      <w:tr w:rsidR="00EE108F" w:rsidRPr="00EE108F" w14:paraId="62644C3B" w14:textId="77777777" w:rsidTr="00FA7E4C">
        <w:trPr>
          <w:trHeight w:val="283"/>
        </w:trPr>
        <w:tc>
          <w:tcPr>
            <w:tcW w:w="1216" w:type="pct"/>
            <w:tcBorders>
              <w:top w:val="nil"/>
              <w:left w:val="nil"/>
              <w:bottom w:val="nil"/>
              <w:right w:val="nil"/>
            </w:tcBorders>
            <w:noWrap/>
            <w:vAlign w:val="center"/>
            <w:hideMark/>
          </w:tcPr>
          <w:p w14:paraId="3E0AC8B1" w14:textId="77777777" w:rsidR="00EE108F" w:rsidRPr="00EE108F" w:rsidRDefault="00EE108F" w:rsidP="00EE108F">
            <w:pPr>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Títulos privados de instituições financeiras</w:t>
            </w:r>
          </w:p>
        </w:tc>
        <w:tc>
          <w:tcPr>
            <w:tcW w:w="420" w:type="pct"/>
            <w:tcBorders>
              <w:top w:val="nil"/>
              <w:left w:val="nil"/>
              <w:bottom w:val="nil"/>
              <w:right w:val="nil"/>
            </w:tcBorders>
            <w:noWrap/>
            <w:vAlign w:val="center"/>
            <w:hideMark/>
          </w:tcPr>
          <w:p w14:paraId="3EC1F110" w14:textId="77777777" w:rsidR="00EE108F" w:rsidRPr="00EE108F" w:rsidRDefault="00EE108F" w:rsidP="00EE108F">
            <w:pPr>
              <w:jc w:val="center"/>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3149C695"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439.201</w:t>
            </w:r>
          </w:p>
        </w:tc>
        <w:tc>
          <w:tcPr>
            <w:tcW w:w="420" w:type="pct"/>
            <w:tcBorders>
              <w:top w:val="nil"/>
              <w:left w:val="nil"/>
              <w:bottom w:val="nil"/>
              <w:right w:val="nil"/>
            </w:tcBorders>
            <w:noWrap/>
            <w:vAlign w:val="center"/>
            <w:hideMark/>
          </w:tcPr>
          <w:p w14:paraId="76541ED0"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284.093</w:t>
            </w:r>
          </w:p>
        </w:tc>
        <w:tc>
          <w:tcPr>
            <w:tcW w:w="420" w:type="pct"/>
            <w:tcBorders>
              <w:top w:val="nil"/>
              <w:left w:val="nil"/>
              <w:bottom w:val="nil"/>
              <w:right w:val="nil"/>
            </w:tcBorders>
            <w:noWrap/>
            <w:vAlign w:val="center"/>
            <w:hideMark/>
          </w:tcPr>
          <w:p w14:paraId="142F05DB"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436.357</w:t>
            </w:r>
          </w:p>
        </w:tc>
        <w:tc>
          <w:tcPr>
            <w:tcW w:w="420" w:type="pct"/>
            <w:tcBorders>
              <w:top w:val="nil"/>
              <w:left w:val="nil"/>
              <w:bottom w:val="nil"/>
              <w:right w:val="nil"/>
            </w:tcBorders>
            <w:noWrap/>
            <w:vAlign w:val="center"/>
            <w:hideMark/>
          </w:tcPr>
          <w:p w14:paraId="6B00526F"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422.268</w:t>
            </w:r>
          </w:p>
        </w:tc>
        <w:tc>
          <w:tcPr>
            <w:tcW w:w="420" w:type="pct"/>
            <w:tcBorders>
              <w:top w:val="nil"/>
              <w:left w:val="nil"/>
              <w:bottom w:val="nil"/>
              <w:right w:val="nil"/>
            </w:tcBorders>
            <w:noWrap/>
            <w:vAlign w:val="center"/>
            <w:hideMark/>
          </w:tcPr>
          <w:p w14:paraId="06676F27"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1.581.919</w:t>
            </w:r>
          </w:p>
        </w:tc>
        <w:tc>
          <w:tcPr>
            <w:tcW w:w="420" w:type="pct"/>
            <w:tcBorders>
              <w:top w:val="nil"/>
              <w:left w:val="nil"/>
              <w:bottom w:val="nil"/>
              <w:right w:val="nil"/>
            </w:tcBorders>
            <w:noWrap/>
            <w:vAlign w:val="center"/>
            <w:hideMark/>
          </w:tcPr>
          <w:p w14:paraId="491FE457"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1.574.865</w:t>
            </w:r>
          </w:p>
        </w:tc>
        <w:tc>
          <w:tcPr>
            <w:tcW w:w="420" w:type="pct"/>
            <w:tcBorders>
              <w:top w:val="nil"/>
              <w:left w:val="nil"/>
              <w:bottom w:val="nil"/>
              <w:right w:val="nil"/>
            </w:tcBorders>
            <w:noWrap/>
            <w:vAlign w:val="center"/>
            <w:hideMark/>
          </w:tcPr>
          <w:p w14:paraId="6787A7C8"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(3.360)</w:t>
            </w:r>
          </w:p>
        </w:tc>
        <w:tc>
          <w:tcPr>
            <w:tcW w:w="424" w:type="pct"/>
            <w:tcBorders>
              <w:top w:val="nil"/>
              <w:left w:val="nil"/>
              <w:bottom w:val="nil"/>
              <w:right w:val="nil"/>
            </w:tcBorders>
            <w:noWrap/>
            <w:vAlign w:val="center"/>
            <w:hideMark/>
          </w:tcPr>
          <w:p w14:paraId="5A3C9D1D"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10.414</w:t>
            </w:r>
          </w:p>
        </w:tc>
      </w:tr>
      <w:tr w:rsidR="00EE108F" w:rsidRPr="00EE108F" w14:paraId="1967EF5A" w14:textId="77777777" w:rsidTr="00FA7E4C">
        <w:trPr>
          <w:trHeight w:val="283"/>
        </w:trPr>
        <w:tc>
          <w:tcPr>
            <w:tcW w:w="1216" w:type="pct"/>
            <w:tcBorders>
              <w:top w:val="nil"/>
              <w:left w:val="nil"/>
              <w:bottom w:val="nil"/>
              <w:right w:val="nil"/>
            </w:tcBorders>
            <w:noWrap/>
            <w:vAlign w:val="center"/>
            <w:hideMark/>
          </w:tcPr>
          <w:p w14:paraId="3CCD6673" w14:textId="77777777" w:rsidR="00EE108F" w:rsidRPr="00EE108F" w:rsidRDefault="00EE108F" w:rsidP="00EE108F">
            <w:pPr>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Títulos privados de entidades não financeiras</w:t>
            </w:r>
          </w:p>
        </w:tc>
        <w:tc>
          <w:tcPr>
            <w:tcW w:w="420" w:type="pct"/>
            <w:tcBorders>
              <w:top w:val="nil"/>
              <w:left w:val="nil"/>
              <w:bottom w:val="nil"/>
              <w:right w:val="nil"/>
            </w:tcBorders>
            <w:noWrap/>
            <w:vAlign w:val="center"/>
            <w:hideMark/>
          </w:tcPr>
          <w:p w14:paraId="2EE01CA6" w14:textId="77777777" w:rsidR="00EE108F" w:rsidRPr="00EE108F" w:rsidRDefault="00EE108F" w:rsidP="00EE108F">
            <w:pPr>
              <w:jc w:val="center"/>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66B7E218" w14:textId="77777777" w:rsidR="00EE108F" w:rsidRPr="00EE108F" w:rsidRDefault="00EE108F" w:rsidP="00EE108F">
            <w:pPr>
              <w:jc w:val="center"/>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3769B219" w14:textId="77777777" w:rsidR="00EE108F" w:rsidRPr="00EE108F" w:rsidRDefault="00EE108F" w:rsidP="00EE108F">
            <w:pPr>
              <w:jc w:val="center"/>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6CE23AD4"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151.655</w:t>
            </w:r>
          </w:p>
        </w:tc>
        <w:tc>
          <w:tcPr>
            <w:tcW w:w="420" w:type="pct"/>
            <w:tcBorders>
              <w:top w:val="nil"/>
              <w:left w:val="nil"/>
              <w:bottom w:val="nil"/>
              <w:right w:val="nil"/>
            </w:tcBorders>
            <w:noWrap/>
            <w:vAlign w:val="center"/>
            <w:hideMark/>
          </w:tcPr>
          <w:p w14:paraId="3DF7B760"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14.107.109</w:t>
            </w:r>
          </w:p>
        </w:tc>
        <w:tc>
          <w:tcPr>
            <w:tcW w:w="420" w:type="pct"/>
            <w:tcBorders>
              <w:top w:val="nil"/>
              <w:left w:val="nil"/>
              <w:bottom w:val="nil"/>
              <w:right w:val="nil"/>
            </w:tcBorders>
            <w:noWrap/>
            <w:vAlign w:val="center"/>
            <w:hideMark/>
          </w:tcPr>
          <w:p w14:paraId="6342A821"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14.258.764</w:t>
            </w:r>
          </w:p>
        </w:tc>
        <w:tc>
          <w:tcPr>
            <w:tcW w:w="420" w:type="pct"/>
            <w:tcBorders>
              <w:top w:val="nil"/>
              <w:left w:val="nil"/>
              <w:bottom w:val="nil"/>
              <w:right w:val="nil"/>
            </w:tcBorders>
            <w:noWrap/>
            <w:vAlign w:val="center"/>
            <w:hideMark/>
          </w:tcPr>
          <w:p w14:paraId="0F38D40E"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14.396.286</w:t>
            </w:r>
          </w:p>
        </w:tc>
        <w:tc>
          <w:tcPr>
            <w:tcW w:w="420" w:type="pct"/>
            <w:tcBorders>
              <w:top w:val="nil"/>
              <w:left w:val="nil"/>
              <w:bottom w:val="nil"/>
              <w:right w:val="nil"/>
            </w:tcBorders>
            <w:noWrap/>
            <w:vAlign w:val="center"/>
            <w:hideMark/>
          </w:tcPr>
          <w:p w14:paraId="122BDD4D"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(499.588)</w:t>
            </w:r>
          </w:p>
        </w:tc>
        <w:tc>
          <w:tcPr>
            <w:tcW w:w="424" w:type="pct"/>
            <w:tcBorders>
              <w:top w:val="nil"/>
              <w:left w:val="nil"/>
              <w:bottom w:val="nil"/>
              <w:right w:val="nil"/>
            </w:tcBorders>
            <w:noWrap/>
            <w:vAlign w:val="center"/>
            <w:hideMark/>
          </w:tcPr>
          <w:p w14:paraId="37D5A000"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362.066</w:t>
            </w:r>
          </w:p>
        </w:tc>
      </w:tr>
      <w:tr w:rsidR="00EE108F" w:rsidRPr="00EE108F" w14:paraId="7BC1FC01" w14:textId="77777777" w:rsidTr="00FA7E4C">
        <w:trPr>
          <w:trHeight w:val="283"/>
        </w:trPr>
        <w:tc>
          <w:tcPr>
            <w:tcW w:w="1216" w:type="pct"/>
            <w:tcBorders>
              <w:top w:val="nil"/>
              <w:left w:val="nil"/>
              <w:bottom w:val="nil"/>
              <w:right w:val="nil"/>
            </w:tcBorders>
            <w:noWrap/>
            <w:vAlign w:val="center"/>
            <w:hideMark/>
          </w:tcPr>
          <w:p w14:paraId="435610E2" w14:textId="77777777" w:rsidR="00EE108F" w:rsidRPr="00EE108F" w:rsidRDefault="00EE108F" w:rsidP="00EE108F">
            <w:pPr>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Cotas de fundo de investimento (1)</w:t>
            </w:r>
          </w:p>
        </w:tc>
        <w:tc>
          <w:tcPr>
            <w:tcW w:w="420" w:type="pct"/>
            <w:tcBorders>
              <w:top w:val="nil"/>
              <w:left w:val="nil"/>
              <w:bottom w:val="nil"/>
              <w:right w:val="nil"/>
            </w:tcBorders>
            <w:noWrap/>
            <w:vAlign w:val="center"/>
            <w:hideMark/>
          </w:tcPr>
          <w:p w14:paraId="57D288FD"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2.680.595</w:t>
            </w:r>
          </w:p>
        </w:tc>
        <w:tc>
          <w:tcPr>
            <w:tcW w:w="420" w:type="pct"/>
            <w:tcBorders>
              <w:top w:val="nil"/>
              <w:left w:val="nil"/>
              <w:bottom w:val="nil"/>
              <w:right w:val="nil"/>
            </w:tcBorders>
            <w:noWrap/>
            <w:vAlign w:val="center"/>
            <w:hideMark/>
          </w:tcPr>
          <w:p w14:paraId="42DE386A" w14:textId="77777777" w:rsidR="00EE108F" w:rsidRPr="00EE108F" w:rsidRDefault="00EE108F" w:rsidP="00EE108F">
            <w:pPr>
              <w:jc w:val="center"/>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62270090" w14:textId="77777777" w:rsidR="00EE108F" w:rsidRPr="00EE108F" w:rsidRDefault="00EE108F" w:rsidP="00EE108F">
            <w:pPr>
              <w:jc w:val="center"/>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0D4D8E26" w14:textId="77777777" w:rsidR="00EE108F" w:rsidRPr="00EE108F" w:rsidRDefault="00EE108F" w:rsidP="00EE108F">
            <w:pPr>
              <w:jc w:val="center"/>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7353089D" w14:textId="77777777" w:rsidR="00EE108F" w:rsidRPr="00EE108F" w:rsidRDefault="00EE108F" w:rsidP="00EE108F">
            <w:pPr>
              <w:jc w:val="center"/>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537E73CF"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2.680.595</w:t>
            </w:r>
          </w:p>
        </w:tc>
        <w:tc>
          <w:tcPr>
            <w:tcW w:w="420" w:type="pct"/>
            <w:tcBorders>
              <w:top w:val="nil"/>
              <w:left w:val="nil"/>
              <w:bottom w:val="nil"/>
              <w:right w:val="nil"/>
            </w:tcBorders>
            <w:noWrap/>
            <w:vAlign w:val="center"/>
            <w:hideMark/>
          </w:tcPr>
          <w:p w14:paraId="352DA0F2"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1.495.411</w:t>
            </w:r>
          </w:p>
        </w:tc>
        <w:tc>
          <w:tcPr>
            <w:tcW w:w="420" w:type="pct"/>
            <w:tcBorders>
              <w:top w:val="nil"/>
              <w:left w:val="nil"/>
              <w:bottom w:val="nil"/>
              <w:right w:val="nil"/>
            </w:tcBorders>
            <w:noWrap/>
            <w:vAlign w:val="center"/>
            <w:hideMark/>
          </w:tcPr>
          <w:p w14:paraId="3284281A" w14:textId="77777777" w:rsidR="00EE108F" w:rsidRPr="00EE108F" w:rsidRDefault="00EE108F" w:rsidP="00EE108F">
            <w:pPr>
              <w:jc w:val="center"/>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w:t>
            </w:r>
          </w:p>
        </w:tc>
        <w:tc>
          <w:tcPr>
            <w:tcW w:w="424" w:type="pct"/>
            <w:tcBorders>
              <w:top w:val="nil"/>
              <w:left w:val="nil"/>
              <w:bottom w:val="nil"/>
              <w:right w:val="nil"/>
            </w:tcBorders>
            <w:noWrap/>
            <w:vAlign w:val="center"/>
            <w:hideMark/>
          </w:tcPr>
          <w:p w14:paraId="13032C2A"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1.185.184</w:t>
            </w:r>
          </w:p>
        </w:tc>
      </w:tr>
      <w:tr w:rsidR="00EE108F" w:rsidRPr="00EE108F" w14:paraId="30D6576B" w14:textId="77777777" w:rsidTr="00FA7E4C">
        <w:trPr>
          <w:trHeight w:val="283"/>
        </w:trPr>
        <w:tc>
          <w:tcPr>
            <w:tcW w:w="1216" w:type="pct"/>
            <w:tcBorders>
              <w:top w:val="nil"/>
              <w:left w:val="nil"/>
              <w:bottom w:val="nil"/>
              <w:right w:val="nil"/>
            </w:tcBorders>
            <w:noWrap/>
            <w:vAlign w:val="center"/>
            <w:hideMark/>
          </w:tcPr>
          <w:p w14:paraId="5BEDADC5" w14:textId="77777777" w:rsidR="00EE108F" w:rsidRPr="00EE108F" w:rsidRDefault="00EE108F" w:rsidP="00EE108F">
            <w:pPr>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Ações (1)</w:t>
            </w:r>
          </w:p>
        </w:tc>
        <w:tc>
          <w:tcPr>
            <w:tcW w:w="420" w:type="pct"/>
            <w:tcBorders>
              <w:top w:val="nil"/>
              <w:left w:val="nil"/>
              <w:bottom w:val="nil"/>
              <w:right w:val="nil"/>
            </w:tcBorders>
            <w:noWrap/>
            <w:vAlign w:val="center"/>
            <w:hideMark/>
          </w:tcPr>
          <w:p w14:paraId="48303EB3"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14.071</w:t>
            </w:r>
          </w:p>
        </w:tc>
        <w:tc>
          <w:tcPr>
            <w:tcW w:w="420" w:type="pct"/>
            <w:tcBorders>
              <w:top w:val="nil"/>
              <w:left w:val="nil"/>
              <w:bottom w:val="nil"/>
              <w:right w:val="nil"/>
            </w:tcBorders>
            <w:noWrap/>
            <w:vAlign w:val="center"/>
            <w:hideMark/>
          </w:tcPr>
          <w:p w14:paraId="7DE23496" w14:textId="77777777" w:rsidR="00EE108F" w:rsidRPr="00EE108F" w:rsidRDefault="00EE108F" w:rsidP="00EE108F">
            <w:pPr>
              <w:jc w:val="center"/>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6A085D58" w14:textId="77777777" w:rsidR="00EE108F" w:rsidRPr="00EE108F" w:rsidRDefault="00EE108F" w:rsidP="00EE108F">
            <w:pPr>
              <w:jc w:val="center"/>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5DF1E6BD" w14:textId="77777777" w:rsidR="00EE108F" w:rsidRPr="00EE108F" w:rsidRDefault="00EE108F" w:rsidP="00EE108F">
            <w:pPr>
              <w:jc w:val="center"/>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242DBE79" w14:textId="77777777" w:rsidR="00EE108F" w:rsidRPr="00EE108F" w:rsidRDefault="00EE108F" w:rsidP="00EE108F">
            <w:pPr>
              <w:jc w:val="center"/>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09F0EB52"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14.071</w:t>
            </w:r>
          </w:p>
        </w:tc>
        <w:tc>
          <w:tcPr>
            <w:tcW w:w="420" w:type="pct"/>
            <w:tcBorders>
              <w:top w:val="nil"/>
              <w:left w:val="nil"/>
              <w:bottom w:val="nil"/>
              <w:right w:val="nil"/>
            </w:tcBorders>
            <w:noWrap/>
            <w:vAlign w:val="center"/>
            <w:hideMark/>
          </w:tcPr>
          <w:p w14:paraId="7A806793"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18.970</w:t>
            </w:r>
          </w:p>
        </w:tc>
        <w:tc>
          <w:tcPr>
            <w:tcW w:w="420" w:type="pct"/>
            <w:tcBorders>
              <w:top w:val="nil"/>
              <w:left w:val="nil"/>
              <w:bottom w:val="nil"/>
              <w:right w:val="nil"/>
            </w:tcBorders>
            <w:noWrap/>
            <w:vAlign w:val="center"/>
            <w:hideMark/>
          </w:tcPr>
          <w:p w14:paraId="2B127AD9" w14:textId="77777777" w:rsidR="00EE108F" w:rsidRPr="00EE108F" w:rsidRDefault="00EE108F" w:rsidP="00EE108F">
            <w:pPr>
              <w:jc w:val="center"/>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w:t>
            </w:r>
          </w:p>
        </w:tc>
        <w:tc>
          <w:tcPr>
            <w:tcW w:w="424" w:type="pct"/>
            <w:tcBorders>
              <w:top w:val="nil"/>
              <w:left w:val="nil"/>
              <w:bottom w:val="nil"/>
              <w:right w:val="nil"/>
            </w:tcBorders>
            <w:noWrap/>
            <w:vAlign w:val="center"/>
            <w:hideMark/>
          </w:tcPr>
          <w:p w14:paraId="7EFFA7D3" w14:textId="77777777" w:rsidR="00EE108F" w:rsidRPr="00EE108F" w:rsidRDefault="00EE108F" w:rsidP="00EE108F">
            <w:pPr>
              <w:jc w:val="right"/>
              <w:rPr>
                <w:rFonts w:ascii="CAIXA Std Book" w:eastAsia="Times New Roman" w:hAnsi="CAIXA Std Book" w:cs="Calibri"/>
                <w:color w:val="005CA9"/>
                <w:sz w:val="16"/>
                <w:szCs w:val="16"/>
              </w:rPr>
            </w:pPr>
            <w:r w:rsidRPr="00EE108F">
              <w:rPr>
                <w:rFonts w:ascii="CAIXA Std Book" w:eastAsia="Times New Roman" w:hAnsi="CAIXA Std Book" w:cs="Calibri"/>
                <w:color w:val="005CA9"/>
                <w:sz w:val="16"/>
                <w:szCs w:val="16"/>
              </w:rPr>
              <w:t>(4.899)</w:t>
            </w:r>
          </w:p>
        </w:tc>
      </w:tr>
      <w:tr w:rsidR="00EE108F" w:rsidRPr="00EE108F" w14:paraId="66CCCE5E" w14:textId="77777777" w:rsidTr="00FA7E4C">
        <w:trPr>
          <w:trHeight w:val="283"/>
        </w:trPr>
        <w:tc>
          <w:tcPr>
            <w:tcW w:w="1216" w:type="pct"/>
            <w:tcBorders>
              <w:top w:val="nil"/>
              <w:left w:val="nil"/>
              <w:bottom w:val="nil"/>
              <w:right w:val="nil"/>
            </w:tcBorders>
            <w:shd w:val="clear" w:color="000000" w:fill="005CA9"/>
            <w:noWrap/>
            <w:vAlign w:val="center"/>
            <w:hideMark/>
          </w:tcPr>
          <w:p w14:paraId="29E470D3" w14:textId="77777777" w:rsidR="00EE108F" w:rsidRPr="00EE108F" w:rsidRDefault="00EE108F" w:rsidP="00EE108F">
            <w:pPr>
              <w:rPr>
                <w:rFonts w:ascii="CAIXA Std Book" w:eastAsia="Times New Roman" w:hAnsi="CAIXA Std Book" w:cs="Calibri"/>
                <w:b/>
                <w:bCs/>
                <w:color w:val="FFFFFF"/>
                <w:sz w:val="16"/>
                <w:szCs w:val="16"/>
              </w:rPr>
            </w:pPr>
            <w:r w:rsidRPr="00EE108F">
              <w:rPr>
                <w:rFonts w:ascii="CAIXA Std Book" w:eastAsia="Times New Roman" w:hAnsi="CAIXA Std Book" w:cs="Calibri"/>
                <w:b/>
                <w:bCs/>
                <w:color w:val="FFFFFF"/>
                <w:sz w:val="16"/>
                <w:szCs w:val="16"/>
              </w:rPr>
              <w:t>Total</w:t>
            </w:r>
          </w:p>
        </w:tc>
        <w:tc>
          <w:tcPr>
            <w:tcW w:w="420" w:type="pct"/>
            <w:tcBorders>
              <w:top w:val="nil"/>
              <w:left w:val="nil"/>
              <w:bottom w:val="nil"/>
              <w:right w:val="nil"/>
            </w:tcBorders>
            <w:shd w:val="clear" w:color="000000" w:fill="005CA9"/>
            <w:noWrap/>
            <w:vAlign w:val="center"/>
            <w:hideMark/>
          </w:tcPr>
          <w:p w14:paraId="3BC91709" w14:textId="77777777" w:rsidR="00EE108F" w:rsidRPr="00EE108F" w:rsidRDefault="00EE108F" w:rsidP="00EE108F">
            <w:pPr>
              <w:ind w:firstLineChars="100" w:firstLine="161"/>
              <w:jc w:val="right"/>
              <w:rPr>
                <w:rFonts w:ascii="CAIXA Std Book" w:eastAsia="Times New Roman" w:hAnsi="CAIXA Std Book" w:cs="Calibri"/>
                <w:b/>
                <w:bCs/>
                <w:color w:val="FFFFFF"/>
                <w:sz w:val="16"/>
                <w:szCs w:val="16"/>
              </w:rPr>
            </w:pPr>
            <w:r w:rsidRPr="00EE108F">
              <w:rPr>
                <w:rFonts w:ascii="CAIXA Std Book" w:eastAsia="Times New Roman" w:hAnsi="CAIXA Std Book" w:cs="Calibri"/>
                <w:b/>
                <w:bCs/>
                <w:color w:val="FFFFFF"/>
                <w:sz w:val="16"/>
                <w:szCs w:val="16"/>
              </w:rPr>
              <w:t>2.694.666</w:t>
            </w:r>
          </w:p>
        </w:tc>
        <w:tc>
          <w:tcPr>
            <w:tcW w:w="420" w:type="pct"/>
            <w:tcBorders>
              <w:top w:val="nil"/>
              <w:left w:val="nil"/>
              <w:bottom w:val="nil"/>
              <w:right w:val="nil"/>
            </w:tcBorders>
            <w:shd w:val="clear" w:color="000000" w:fill="005CA9"/>
            <w:noWrap/>
            <w:vAlign w:val="center"/>
            <w:hideMark/>
          </w:tcPr>
          <w:p w14:paraId="2C857994" w14:textId="77777777" w:rsidR="00EE108F" w:rsidRPr="00EE108F" w:rsidRDefault="00EE108F" w:rsidP="00EE108F">
            <w:pPr>
              <w:ind w:firstLineChars="100" w:firstLine="161"/>
              <w:jc w:val="right"/>
              <w:rPr>
                <w:rFonts w:ascii="CAIXA Std Book" w:eastAsia="Times New Roman" w:hAnsi="CAIXA Std Book" w:cs="Calibri"/>
                <w:b/>
                <w:bCs/>
                <w:color w:val="FFFFFF"/>
                <w:sz w:val="16"/>
                <w:szCs w:val="16"/>
              </w:rPr>
            </w:pPr>
            <w:r w:rsidRPr="00EE108F">
              <w:rPr>
                <w:rFonts w:ascii="CAIXA Std Book" w:eastAsia="Times New Roman" w:hAnsi="CAIXA Std Book" w:cs="Calibri"/>
                <w:b/>
                <w:bCs/>
                <w:color w:val="FFFFFF"/>
                <w:sz w:val="16"/>
                <w:szCs w:val="16"/>
              </w:rPr>
              <w:t>4.080.791</w:t>
            </w:r>
          </w:p>
        </w:tc>
        <w:tc>
          <w:tcPr>
            <w:tcW w:w="420" w:type="pct"/>
            <w:tcBorders>
              <w:top w:val="nil"/>
              <w:left w:val="nil"/>
              <w:bottom w:val="nil"/>
              <w:right w:val="nil"/>
            </w:tcBorders>
            <w:shd w:val="clear" w:color="000000" w:fill="005CA9"/>
            <w:noWrap/>
            <w:vAlign w:val="center"/>
            <w:hideMark/>
          </w:tcPr>
          <w:p w14:paraId="1795FD48" w14:textId="77777777" w:rsidR="00EE108F" w:rsidRPr="00EE108F" w:rsidRDefault="00EE108F" w:rsidP="00EE108F">
            <w:pPr>
              <w:ind w:firstLineChars="100" w:firstLine="161"/>
              <w:jc w:val="right"/>
              <w:rPr>
                <w:rFonts w:ascii="CAIXA Std Book" w:eastAsia="Times New Roman" w:hAnsi="CAIXA Std Book" w:cs="Calibri"/>
                <w:b/>
                <w:bCs/>
                <w:color w:val="FFFFFF"/>
                <w:sz w:val="16"/>
                <w:szCs w:val="16"/>
              </w:rPr>
            </w:pPr>
            <w:r w:rsidRPr="00EE108F">
              <w:rPr>
                <w:rFonts w:ascii="CAIXA Std Book" w:eastAsia="Times New Roman" w:hAnsi="CAIXA Std Book" w:cs="Calibri"/>
                <w:b/>
                <w:bCs/>
                <w:color w:val="FFFFFF"/>
                <w:sz w:val="16"/>
                <w:szCs w:val="16"/>
              </w:rPr>
              <w:t>3.042.495</w:t>
            </w:r>
          </w:p>
        </w:tc>
        <w:tc>
          <w:tcPr>
            <w:tcW w:w="420" w:type="pct"/>
            <w:tcBorders>
              <w:top w:val="nil"/>
              <w:left w:val="nil"/>
              <w:bottom w:val="nil"/>
              <w:right w:val="nil"/>
            </w:tcBorders>
            <w:shd w:val="clear" w:color="000000" w:fill="005CA9"/>
            <w:vAlign w:val="center"/>
            <w:hideMark/>
          </w:tcPr>
          <w:p w14:paraId="702276D0" w14:textId="77777777" w:rsidR="00EE108F" w:rsidRPr="00EE108F" w:rsidRDefault="00EE108F" w:rsidP="00EE108F">
            <w:pPr>
              <w:ind w:firstLineChars="100" w:firstLine="161"/>
              <w:jc w:val="right"/>
              <w:rPr>
                <w:rFonts w:ascii="CAIXA Std Book" w:eastAsia="Times New Roman" w:hAnsi="CAIXA Std Book" w:cs="Calibri"/>
                <w:b/>
                <w:bCs/>
                <w:color w:val="FFFFFF"/>
                <w:sz w:val="16"/>
                <w:szCs w:val="16"/>
              </w:rPr>
            </w:pPr>
            <w:r w:rsidRPr="00EE108F">
              <w:rPr>
                <w:rFonts w:ascii="CAIXA Std Book" w:eastAsia="Times New Roman" w:hAnsi="CAIXA Std Book" w:cs="Calibri"/>
                <w:b/>
                <w:bCs/>
                <w:color w:val="FFFFFF"/>
                <w:sz w:val="16"/>
                <w:szCs w:val="16"/>
              </w:rPr>
              <w:t>1.947.304</w:t>
            </w:r>
          </w:p>
        </w:tc>
        <w:tc>
          <w:tcPr>
            <w:tcW w:w="420" w:type="pct"/>
            <w:tcBorders>
              <w:top w:val="nil"/>
              <w:left w:val="nil"/>
              <w:bottom w:val="nil"/>
              <w:right w:val="nil"/>
            </w:tcBorders>
            <w:shd w:val="clear" w:color="000000" w:fill="005CA9"/>
            <w:vAlign w:val="center"/>
            <w:hideMark/>
          </w:tcPr>
          <w:p w14:paraId="75350A96" w14:textId="77777777" w:rsidR="00EE108F" w:rsidRPr="00EE108F" w:rsidRDefault="00EE108F" w:rsidP="00EE108F">
            <w:pPr>
              <w:jc w:val="right"/>
              <w:rPr>
                <w:rFonts w:ascii="CAIXA Std Book" w:eastAsia="Times New Roman" w:hAnsi="CAIXA Std Book" w:cs="Calibri"/>
                <w:b/>
                <w:bCs/>
                <w:color w:val="FFFFFF"/>
                <w:sz w:val="16"/>
                <w:szCs w:val="16"/>
              </w:rPr>
            </w:pPr>
            <w:r w:rsidRPr="00EE108F">
              <w:rPr>
                <w:rFonts w:ascii="CAIXA Std Book" w:eastAsia="Times New Roman" w:hAnsi="CAIXA Std Book" w:cs="Calibri"/>
                <w:b/>
                <w:bCs/>
                <w:color w:val="FFFFFF"/>
                <w:sz w:val="16"/>
                <w:szCs w:val="16"/>
              </w:rPr>
              <w:t>300.238.199</w:t>
            </w:r>
          </w:p>
        </w:tc>
        <w:tc>
          <w:tcPr>
            <w:tcW w:w="420" w:type="pct"/>
            <w:tcBorders>
              <w:top w:val="nil"/>
              <w:left w:val="nil"/>
              <w:bottom w:val="nil"/>
              <w:right w:val="nil"/>
            </w:tcBorders>
            <w:shd w:val="clear" w:color="000000" w:fill="005CA9"/>
            <w:vAlign w:val="center"/>
            <w:hideMark/>
          </w:tcPr>
          <w:p w14:paraId="0EE4149B" w14:textId="77777777" w:rsidR="00EE108F" w:rsidRPr="00EE108F" w:rsidRDefault="00EE108F" w:rsidP="00EE108F">
            <w:pPr>
              <w:jc w:val="right"/>
              <w:rPr>
                <w:rFonts w:ascii="CAIXA Std Book" w:eastAsia="Times New Roman" w:hAnsi="CAIXA Std Book" w:cs="Calibri"/>
                <w:b/>
                <w:bCs/>
                <w:color w:val="FFFFFF"/>
                <w:sz w:val="16"/>
                <w:szCs w:val="16"/>
              </w:rPr>
            </w:pPr>
            <w:r w:rsidRPr="00EE108F">
              <w:rPr>
                <w:rFonts w:ascii="CAIXA Std Book" w:eastAsia="Times New Roman" w:hAnsi="CAIXA Std Book" w:cs="Calibri"/>
                <w:b/>
                <w:bCs/>
                <w:color w:val="FFFFFF"/>
                <w:sz w:val="16"/>
                <w:szCs w:val="16"/>
              </w:rPr>
              <w:t>312.003.455</w:t>
            </w:r>
          </w:p>
        </w:tc>
        <w:tc>
          <w:tcPr>
            <w:tcW w:w="420" w:type="pct"/>
            <w:tcBorders>
              <w:top w:val="nil"/>
              <w:left w:val="nil"/>
              <w:bottom w:val="nil"/>
              <w:right w:val="nil"/>
            </w:tcBorders>
            <w:shd w:val="clear" w:color="000000" w:fill="005CA9"/>
            <w:vAlign w:val="center"/>
            <w:hideMark/>
          </w:tcPr>
          <w:p w14:paraId="5EF73860" w14:textId="77777777" w:rsidR="00EE108F" w:rsidRPr="00EE108F" w:rsidRDefault="00EE108F" w:rsidP="00EE108F">
            <w:pPr>
              <w:jc w:val="right"/>
              <w:rPr>
                <w:rFonts w:ascii="CAIXA Std Book" w:eastAsia="Times New Roman" w:hAnsi="CAIXA Std Book" w:cs="Calibri"/>
                <w:b/>
                <w:bCs/>
                <w:color w:val="FFFFFF"/>
                <w:sz w:val="16"/>
                <w:szCs w:val="16"/>
              </w:rPr>
            </w:pPr>
            <w:r w:rsidRPr="00EE108F">
              <w:rPr>
                <w:rFonts w:ascii="CAIXA Std Book" w:eastAsia="Times New Roman" w:hAnsi="CAIXA Std Book" w:cs="Calibri"/>
                <w:b/>
                <w:bCs/>
                <w:color w:val="FFFFFF"/>
                <w:sz w:val="16"/>
                <w:szCs w:val="16"/>
              </w:rPr>
              <w:t>310.946.108</w:t>
            </w:r>
          </w:p>
        </w:tc>
        <w:tc>
          <w:tcPr>
            <w:tcW w:w="420" w:type="pct"/>
            <w:tcBorders>
              <w:top w:val="nil"/>
              <w:left w:val="nil"/>
              <w:bottom w:val="nil"/>
              <w:right w:val="nil"/>
            </w:tcBorders>
            <w:shd w:val="clear" w:color="000000" w:fill="005CA9"/>
            <w:vAlign w:val="center"/>
            <w:hideMark/>
          </w:tcPr>
          <w:p w14:paraId="4D3AB24F" w14:textId="77777777" w:rsidR="00EE108F" w:rsidRPr="00EE108F" w:rsidRDefault="00EE108F" w:rsidP="00EE108F">
            <w:pPr>
              <w:ind w:firstLineChars="100" w:firstLine="161"/>
              <w:jc w:val="right"/>
              <w:rPr>
                <w:rFonts w:ascii="CAIXA Std Book" w:eastAsia="Times New Roman" w:hAnsi="CAIXA Std Book" w:cs="Calibri"/>
                <w:b/>
                <w:bCs/>
                <w:color w:val="FFFFFF"/>
                <w:sz w:val="16"/>
                <w:szCs w:val="16"/>
              </w:rPr>
            </w:pPr>
            <w:r w:rsidRPr="00EE108F">
              <w:rPr>
                <w:rFonts w:ascii="CAIXA Std Book" w:eastAsia="Times New Roman" w:hAnsi="CAIXA Std Book" w:cs="Calibri"/>
                <w:b/>
                <w:bCs/>
                <w:color w:val="FFFFFF"/>
                <w:sz w:val="16"/>
                <w:szCs w:val="16"/>
              </w:rPr>
              <w:t>(502.948)</w:t>
            </w:r>
          </w:p>
        </w:tc>
        <w:tc>
          <w:tcPr>
            <w:tcW w:w="424" w:type="pct"/>
            <w:tcBorders>
              <w:top w:val="nil"/>
              <w:left w:val="nil"/>
              <w:bottom w:val="nil"/>
              <w:right w:val="nil"/>
            </w:tcBorders>
            <w:shd w:val="clear" w:color="000000" w:fill="005CA9"/>
            <w:noWrap/>
            <w:vAlign w:val="center"/>
            <w:hideMark/>
          </w:tcPr>
          <w:p w14:paraId="5FD76F11" w14:textId="77777777" w:rsidR="00EE108F" w:rsidRPr="00EE108F" w:rsidRDefault="00EE108F" w:rsidP="00EE108F">
            <w:pPr>
              <w:ind w:firstLineChars="100" w:firstLine="161"/>
              <w:jc w:val="right"/>
              <w:rPr>
                <w:rFonts w:ascii="CAIXA Std Book" w:eastAsia="Times New Roman" w:hAnsi="CAIXA Std Book" w:cs="Calibri"/>
                <w:b/>
                <w:bCs/>
                <w:color w:val="FFFFFF"/>
                <w:sz w:val="16"/>
                <w:szCs w:val="16"/>
              </w:rPr>
            </w:pPr>
            <w:r w:rsidRPr="00EE108F">
              <w:rPr>
                <w:rFonts w:ascii="CAIXA Std Book" w:eastAsia="Times New Roman" w:hAnsi="CAIXA Std Book" w:cs="Calibri"/>
                <w:b/>
                <w:bCs/>
                <w:color w:val="FFFFFF"/>
                <w:sz w:val="16"/>
                <w:szCs w:val="16"/>
              </w:rPr>
              <w:t>1.560.295</w:t>
            </w:r>
          </w:p>
        </w:tc>
      </w:tr>
    </w:tbl>
    <w:p w14:paraId="78825F60" w14:textId="379AF9F4" w:rsidR="00DE10E4" w:rsidRDefault="00DE10E4">
      <w:pPr>
        <w:rPr>
          <w:rFonts w:ascii="CAIXA Std Book" w:hAnsi="CAIXA Std Book"/>
          <w:b/>
          <w:color w:val="005CA9"/>
        </w:rPr>
      </w:pPr>
      <w:r>
        <w:rPr>
          <w:rFonts w:ascii="CAIXA Std Book" w:hAnsi="CAIXA Std Book"/>
          <w:b/>
          <w:color w:val="005CA9"/>
        </w:rPr>
        <w:br w:type="page"/>
      </w:r>
    </w:p>
    <w:tbl>
      <w:tblPr>
        <w:tblW w:w="5000" w:type="pct"/>
        <w:tblCellMar>
          <w:left w:w="70" w:type="dxa"/>
          <w:right w:w="70" w:type="dxa"/>
        </w:tblCellMar>
        <w:tblLook w:val="04A0" w:firstRow="1" w:lastRow="0" w:firstColumn="1" w:lastColumn="0" w:noHBand="0" w:noVBand="1"/>
      </w:tblPr>
      <w:tblGrid>
        <w:gridCol w:w="3522"/>
        <w:gridCol w:w="1203"/>
        <w:gridCol w:w="1203"/>
        <w:gridCol w:w="1203"/>
        <w:gridCol w:w="1203"/>
        <w:gridCol w:w="1273"/>
        <w:gridCol w:w="1273"/>
        <w:gridCol w:w="1273"/>
        <w:gridCol w:w="1203"/>
        <w:gridCol w:w="1213"/>
      </w:tblGrid>
      <w:tr w:rsidR="0095195A" w:rsidRPr="0095195A" w14:paraId="66CAB012" w14:textId="77777777" w:rsidTr="00A85066">
        <w:trPr>
          <w:trHeight w:val="283"/>
        </w:trPr>
        <w:tc>
          <w:tcPr>
            <w:tcW w:w="5000" w:type="pct"/>
            <w:gridSpan w:val="10"/>
            <w:tcBorders>
              <w:top w:val="nil"/>
              <w:left w:val="nil"/>
              <w:bottom w:val="single" w:sz="8" w:space="0" w:color="FFFFFF"/>
              <w:right w:val="nil"/>
            </w:tcBorders>
            <w:shd w:val="clear" w:color="auto" w:fill="005CA9"/>
            <w:vAlign w:val="center"/>
            <w:hideMark/>
          </w:tcPr>
          <w:p w14:paraId="52C83CA0" w14:textId="77777777" w:rsidR="0095195A" w:rsidRPr="0095195A" w:rsidRDefault="0095195A" w:rsidP="0095195A">
            <w:pPr>
              <w:jc w:val="center"/>
              <w:rPr>
                <w:rFonts w:ascii="CAIXA Std Book" w:eastAsia="Times New Roman" w:hAnsi="CAIXA Std Book" w:cs="Times New Roman"/>
                <w:b/>
                <w:bCs/>
                <w:color w:val="FFFFFF"/>
                <w:sz w:val="16"/>
                <w:szCs w:val="16"/>
              </w:rPr>
            </w:pPr>
            <w:r w:rsidRPr="0095195A">
              <w:rPr>
                <w:rFonts w:ascii="CAIXA Std Book" w:eastAsia="Times New Roman" w:hAnsi="CAIXA Std Book" w:cs="Times New Roman"/>
                <w:b/>
                <w:bCs/>
                <w:color w:val="FFFFFF"/>
                <w:sz w:val="16"/>
                <w:szCs w:val="16"/>
              </w:rPr>
              <w:t>Consolidado</w:t>
            </w:r>
          </w:p>
        </w:tc>
      </w:tr>
      <w:tr w:rsidR="0095195A" w:rsidRPr="0095195A" w14:paraId="459228C2" w14:textId="77777777" w:rsidTr="00A85066">
        <w:trPr>
          <w:trHeight w:val="283"/>
        </w:trPr>
        <w:tc>
          <w:tcPr>
            <w:tcW w:w="1216" w:type="pct"/>
            <w:vMerge w:val="restart"/>
            <w:tcBorders>
              <w:top w:val="nil"/>
              <w:left w:val="nil"/>
              <w:bottom w:val="nil"/>
              <w:right w:val="nil"/>
            </w:tcBorders>
            <w:shd w:val="clear" w:color="auto" w:fill="005CA9"/>
            <w:vAlign w:val="center"/>
            <w:hideMark/>
          </w:tcPr>
          <w:p w14:paraId="08D19C9A" w14:textId="77777777" w:rsidR="0095195A" w:rsidRPr="0095195A" w:rsidRDefault="0095195A" w:rsidP="0095195A">
            <w:pPr>
              <w:jc w:val="center"/>
              <w:rPr>
                <w:rFonts w:ascii="CAIXA Std Book" w:eastAsia="Times New Roman" w:hAnsi="CAIXA Std Book" w:cs="Times New Roman"/>
                <w:b/>
                <w:bCs/>
                <w:color w:val="FFFFFF"/>
                <w:sz w:val="16"/>
                <w:szCs w:val="16"/>
              </w:rPr>
            </w:pPr>
            <w:r w:rsidRPr="0095195A">
              <w:rPr>
                <w:rFonts w:ascii="CAIXA Std Book" w:eastAsia="Times New Roman" w:hAnsi="CAIXA Std Book" w:cs="Times New Roman"/>
                <w:b/>
                <w:bCs/>
                <w:color w:val="FFFFFF"/>
                <w:sz w:val="16"/>
                <w:szCs w:val="16"/>
              </w:rPr>
              <w:t>Descrição</w:t>
            </w:r>
          </w:p>
        </w:tc>
        <w:tc>
          <w:tcPr>
            <w:tcW w:w="3784" w:type="pct"/>
            <w:gridSpan w:val="9"/>
            <w:tcBorders>
              <w:top w:val="single" w:sz="8" w:space="0" w:color="FFFFFF"/>
              <w:left w:val="nil"/>
              <w:bottom w:val="single" w:sz="8" w:space="0" w:color="FFFFFF"/>
              <w:right w:val="nil"/>
            </w:tcBorders>
            <w:shd w:val="clear" w:color="auto" w:fill="005CA9"/>
            <w:vAlign w:val="center"/>
            <w:hideMark/>
          </w:tcPr>
          <w:p w14:paraId="6C716F4C" w14:textId="42708E3E" w:rsidR="0095195A" w:rsidRPr="0095195A" w:rsidRDefault="0095195A" w:rsidP="0095195A">
            <w:pPr>
              <w:jc w:val="center"/>
              <w:rPr>
                <w:rFonts w:ascii="CAIXA Std Book" w:eastAsia="Times New Roman" w:hAnsi="CAIXA Std Book" w:cs="Times New Roman"/>
                <w:b/>
                <w:bCs/>
                <w:color w:val="FFFFFF"/>
                <w:sz w:val="16"/>
                <w:szCs w:val="16"/>
              </w:rPr>
            </w:pPr>
            <w:r w:rsidRPr="0095195A">
              <w:rPr>
                <w:rFonts w:ascii="CAIXA Std Book" w:eastAsia="Times New Roman" w:hAnsi="CAIXA Std Book" w:cs="Times New Roman"/>
                <w:b/>
                <w:bCs/>
                <w:color w:val="FFFFFF"/>
                <w:sz w:val="16"/>
                <w:szCs w:val="16"/>
              </w:rPr>
              <w:t>31/</w:t>
            </w:r>
            <w:r w:rsidR="00627831">
              <w:rPr>
                <w:rFonts w:ascii="CAIXA Std Book" w:eastAsia="Times New Roman" w:hAnsi="CAIXA Std Book" w:cs="Times New Roman"/>
                <w:b/>
                <w:bCs/>
                <w:color w:val="FFFFFF"/>
                <w:sz w:val="16"/>
                <w:szCs w:val="16"/>
              </w:rPr>
              <w:t>03</w:t>
            </w:r>
            <w:r w:rsidRPr="0095195A">
              <w:rPr>
                <w:rFonts w:ascii="CAIXA Std Book" w:eastAsia="Times New Roman" w:hAnsi="CAIXA Std Book" w:cs="Times New Roman"/>
                <w:b/>
                <w:bCs/>
                <w:color w:val="FFFFFF"/>
                <w:sz w:val="16"/>
                <w:szCs w:val="16"/>
              </w:rPr>
              <w:t>/202</w:t>
            </w:r>
            <w:r w:rsidR="00627831">
              <w:rPr>
                <w:rFonts w:ascii="CAIXA Std Book" w:eastAsia="Times New Roman" w:hAnsi="CAIXA Std Book" w:cs="Times New Roman"/>
                <w:b/>
                <w:bCs/>
                <w:color w:val="FFFFFF"/>
                <w:sz w:val="16"/>
                <w:szCs w:val="16"/>
              </w:rPr>
              <w:t>6</w:t>
            </w:r>
          </w:p>
        </w:tc>
      </w:tr>
      <w:tr w:rsidR="001B3811" w:rsidRPr="0095195A" w14:paraId="0E27B116" w14:textId="77777777" w:rsidTr="000A4582">
        <w:trPr>
          <w:trHeight w:val="283"/>
        </w:trPr>
        <w:tc>
          <w:tcPr>
            <w:tcW w:w="1216" w:type="pct"/>
            <w:vMerge/>
            <w:tcBorders>
              <w:top w:val="nil"/>
              <w:left w:val="nil"/>
              <w:bottom w:val="nil"/>
              <w:right w:val="nil"/>
            </w:tcBorders>
            <w:shd w:val="clear" w:color="auto" w:fill="005CA9"/>
            <w:vAlign w:val="center"/>
            <w:hideMark/>
          </w:tcPr>
          <w:p w14:paraId="1332816E" w14:textId="77777777" w:rsidR="0095195A" w:rsidRPr="0095195A" w:rsidRDefault="0095195A" w:rsidP="0095195A">
            <w:pPr>
              <w:rPr>
                <w:rFonts w:ascii="CAIXA Std Book" w:eastAsia="Times New Roman" w:hAnsi="CAIXA Std Book" w:cs="Times New Roman"/>
                <w:b/>
                <w:bCs/>
                <w:color w:val="FFFFFF"/>
                <w:sz w:val="16"/>
                <w:szCs w:val="16"/>
              </w:rPr>
            </w:pPr>
          </w:p>
        </w:tc>
        <w:tc>
          <w:tcPr>
            <w:tcW w:w="420" w:type="pct"/>
            <w:tcBorders>
              <w:top w:val="nil"/>
              <w:left w:val="nil"/>
              <w:bottom w:val="nil"/>
              <w:right w:val="nil"/>
            </w:tcBorders>
            <w:shd w:val="clear" w:color="auto" w:fill="005CA9"/>
            <w:vAlign w:val="center"/>
            <w:hideMark/>
          </w:tcPr>
          <w:p w14:paraId="139C2278" w14:textId="77777777" w:rsidR="0095195A" w:rsidRPr="0095195A" w:rsidRDefault="0095195A" w:rsidP="0095195A">
            <w:pPr>
              <w:jc w:val="center"/>
              <w:rPr>
                <w:rFonts w:ascii="CAIXA Std Book" w:eastAsia="Times New Roman" w:hAnsi="CAIXA Std Book" w:cs="Times New Roman"/>
                <w:b/>
                <w:bCs/>
                <w:color w:val="FFFFFF"/>
                <w:sz w:val="16"/>
                <w:szCs w:val="16"/>
              </w:rPr>
            </w:pPr>
            <w:r w:rsidRPr="0095195A">
              <w:rPr>
                <w:rFonts w:ascii="CAIXA Std Book" w:eastAsia="Times New Roman" w:hAnsi="CAIXA Std Book" w:cs="Times New Roman"/>
                <w:b/>
                <w:bCs/>
                <w:color w:val="FFFFFF"/>
                <w:sz w:val="16"/>
                <w:szCs w:val="16"/>
              </w:rPr>
              <w:t>Sem vencimento</w:t>
            </w:r>
          </w:p>
        </w:tc>
        <w:tc>
          <w:tcPr>
            <w:tcW w:w="420" w:type="pct"/>
            <w:tcBorders>
              <w:top w:val="nil"/>
              <w:left w:val="nil"/>
              <w:bottom w:val="nil"/>
              <w:right w:val="nil"/>
            </w:tcBorders>
            <w:shd w:val="clear" w:color="auto" w:fill="005CA9"/>
            <w:vAlign w:val="center"/>
            <w:hideMark/>
          </w:tcPr>
          <w:p w14:paraId="67E31056" w14:textId="77777777" w:rsidR="0095195A" w:rsidRPr="0095195A" w:rsidRDefault="0095195A" w:rsidP="0095195A">
            <w:pPr>
              <w:jc w:val="center"/>
              <w:rPr>
                <w:rFonts w:ascii="CAIXA Std Book" w:eastAsia="Times New Roman" w:hAnsi="CAIXA Std Book" w:cs="Times New Roman"/>
                <w:b/>
                <w:bCs/>
                <w:color w:val="FFFFFF"/>
                <w:sz w:val="16"/>
                <w:szCs w:val="16"/>
              </w:rPr>
            </w:pPr>
            <w:r w:rsidRPr="0095195A">
              <w:rPr>
                <w:rFonts w:ascii="CAIXA Std Book" w:eastAsia="Times New Roman" w:hAnsi="CAIXA Std Book" w:cs="Times New Roman"/>
                <w:b/>
                <w:bCs/>
                <w:color w:val="FFFFFF"/>
                <w:sz w:val="16"/>
                <w:szCs w:val="16"/>
              </w:rPr>
              <w:t>1 a 90 dias</w:t>
            </w:r>
          </w:p>
        </w:tc>
        <w:tc>
          <w:tcPr>
            <w:tcW w:w="420" w:type="pct"/>
            <w:tcBorders>
              <w:top w:val="nil"/>
              <w:left w:val="nil"/>
              <w:bottom w:val="nil"/>
              <w:right w:val="nil"/>
            </w:tcBorders>
            <w:shd w:val="clear" w:color="auto" w:fill="005CA9"/>
            <w:vAlign w:val="center"/>
            <w:hideMark/>
          </w:tcPr>
          <w:p w14:paraId="0CF69CAB" w14:textId="77777777" w:rsidR="0095195A" w:rsidRPr="0095195A" w:rsidRDefault="0095195A" w:rsidP="0095195A">
            <w:pPr>
              <w:jc w:val="center"/>
              <w:rPr>
                <w:rFonts w:ascii="CAIXA Std Book" w:eastAsia="Times New Roman" w:hAnsi="CAIXA Std Book" w:cs="Times New Roman"/>
                <w:b/>
                <w:bCs/>
                <w:color w:val="FFFFFF"/>
                <w:sz w:val="16"/>
                <w:szCs w:val="16"/>
              </w:rPr>
            </w:pPr>
            <w:r w:rsidRPr="0095195A">
              <w:rPr>
                <w:rFonts w:ascii="CAIXA Std Book" w:eastAsia="Times New Roman" w:hAnsi="CAIXA Std Book" w:cs="Times New Roman"/>
                <w:b/>
                <w:bCs/>
                <w:color w:val="FFFFFF"/>
                <w:sz w:val="16"/>
                <w:szCs w:val="16"/>
              </w:rPr>
              <w:t>91 a 180 dias</w:t>
            </w:r>
          </w:p>
        </w:tc>
        <w:tc>
          <w:tcPr>
            <w:tcW w:w="420" w:type="pct"/>
            <w:tcBorders>
              <w:top w:val="nil"/>
              <w:left w:val="nil"/>
              <w:bottom w:val="nil"/>
              <w:right w:val="nil"/>
            </w:tcBorders>
            <w:shd w:val="clear" w:color="auto" w:fill="005CA9"/>
            <w:vAlign w:val="center"/>
            <w:hideMark/>
          </w:tcPr>
          <w:p w14:paraId="6BE51566" w14:textId="77777777" w:rsidR="0095195A" w:rsidRPr="0095195A" w:rsidRDefault="0095195A" w:rsidP="0095195A">
            <w:pPr>
              <w:jc w:val="center"/>
              <w:rPr>
                <w:rFonts w:ascii="CAIXA Std Book" w:eastAsia="Times New Roman" w:hAnsi="CAIXA Std Book" w:cs="Times New Roman"/>
                <w:b/>
                <w:bCs/>
                <w:color w:val="FFFFFF"/>
                <w:sz w:val="16"/>
                <w:szCs w:val="16"/>
              </w:rPr>
            </w:pPr>
            <w:r w:rsidRPr="0095195A">
              <w:rPr>
                <w:rFonts w:ascii="CAIXA Std Book" w:eastAsia="Times New Roman" w:hAnsi="CAIXA Std Book" w:cs="Times New Roman"/>
                <w:b/>
                <w:bCs/>
                <w:color w:val="FFFFFF"/>
                <w:sz w:val="16"/>
                <w:szCs w:val="16"/>
              </w:rPr>
              <w:t>181 a 360 dias</w:t>
            </w:r>
          </w:p>
        </w:tc>
        <w:tc>
          <w:tcPr>
            <w:tcW w:w="421" w:type="pct"/>
            <w:tcBorders>
              <w:top w:val="nil"/>
              <w:left w:val="nil"/>
              <w:bottom w:val="nil"/>
              <w:right w:val="nil"/>
            </w:tcBorders>
            <w:shd w:val="clear" w:color="auto" w:fill="005CA9"/>
            <w:vAlign w:val="center"/>
            <w:hideMark/>
          </w:tcPr>
          <w:p w14:paraId="4E72DC9F" w14:textId="77777777" w:rsidR="0095195A" w:rsidRPr="0095195A" w:rsidRDefault="0095195A" w:rsidP="0095195A">
            <w:pPr>
              <w:jc w:val="center"/>
              <w:rPr>
                <w:rFonts w:ascii="CAIXA Std Book" w:eastAsia="Times New Roman" w:hAnsi="CAIXA Std Book" w:cs="Times New Roman"/>
                <w:b/>
                <w:bCs/>
                <w:color w:val="FFFFFF"/>
                <w:sz w:val="16"/>
                <w:szCs w:val="16"/>
              </w:rPr>
            </w:pPr>
            <w:r w:rsidRPr="0095195A">
              <w:rPr>
                <w:rFonts w:ascii="CAIXA Std Book" w:eastAsia="Times New Roman" w:hAnsi="CAIXA Std Book" w:cs="Times New Roman"/>
                <w:b/>
                <w:bCs/>
                <w:color w:val="FFFFFF"/>
                <w:sz w:val="16"/>
                <w:szCs w:val="16"/>
              </w:rPr>
              <w:t>Acima de 360 dias</w:t>
            </w:r>
          </w:p>
        </w:tc>
        <w:tc>
          <w:tcPr>
            <w:tcW w:w="420" w:type="pct"/>
            <w:tcBorders>
              <w:top w:val="nil"/>
              <w:left w:val="nil"/>
              <w:bottom w:val="nil"/>
              <w:right w:val="nil"/>
            </w:tcBorders>
            <w:shd w:val="clear" w:color="auto" w:fill="005CA9"/>
            <w:vAlign w:val="center"/>
            <w:hideMark/>
          </w:tcPr>
          <w:p w14:paraId="27868F43" w14:textId="77777777" w:rsidR="0095195A" w:rsidRPr="0095195A" w:rsidRDefault="0095195A" w:rsidP="0095195A">
            <w:pPr>
              <w:jc w:val="center"/>
              <w:rPr>
                <w:rFonts w:ascii="CAIXA Std Book" w:eastAsia="Times New Roman" w:hAnsi="CAIXA Std Book" w:cs="Times New Roman"/>
                <w:b/>
                <w:bCs/>
                <w:color w:val="FFFFFF"/>
                <w:sz w:val="16"/>
                <w:szCs w:val="16"/>
              </w:rPr>
            </w:pPr>
            <w:r w:rsidRPr="0095195A">
              <w:rPr>
                <w:rFonts w:ascii="CAIXA Std Book" w:eastAsia="Times New Roman" w:hAnsi="CAIXA Std Book" w:cs="Times New Roman"/>
                <w:b/>
                <w:bCs/>
                <w:color w:val="FFFFFF"/>
                <w:sz w:val="16"/>
                <w:szCs w:val="16"/>
              </w:rPr>
              <w:t>Valor justo</w:t>
            </w:r>
          </w:p>
        </w:tc>
        <w:tc>
          <w:tcPr>
            <w:tcW w:w="420" w:type="pct"/>
            <w:tcBorders>
              <w:top w:val="nil"/>
              <w:left w:val="nil"/>
              <w:right w:val="nil"/>
            </w:tcBorders>
            <w:shd w:val="clear" w:color="auto" w:fill="005CA9"/>
            <w:vAlign w:val="center"/>
            <w:hideMark/>
          </w:tcPr>
          <w:p w14:paraId="2F31854F" w14:textId="77777777" w:rsidR="00B77E05" w:rsidRPr="0095195A" w:rsidRDefault="0095195A" w:rsidP="0095195A">
            <w:pPr>
              <w:jc w:val="center"/>
              <w:rPr>
                <w:rFonts w:ascii="CAIXA Std Book" w:eastAsia="Times New Roman" w:hAnsi="CAIXA Std Book" w:cs="Times New Roman"/>
                <w:b/>
                <w:bCs/>
                <w:color w:val="FFFFFF"/>
                <w:sz w:val="16"/>
                <w:szCs w:val="16"/>
              </w:rPr>
            </w:pPr>
            <w:r w:rsidRPr="0095195A">
              <w:rPr>
                <w:rFonts w:ascii="CAIXA Std Book" w:eastAsia="Times New Roman" w:hAnsi="CAIXA Std Book" w:cs="Times New Roman"/>
                <w:b/>
                <w:bCs/>
                <w:color w:val="FFFFFF"/>
                <w:sz w:val="16"/>
                <w:szCs w:val="16"/>
              </w:rPr>
              <w:t>Valor contábil</w:t>
            </w:r>
          </w:p>
          <w:p w14:paraId="7032CC76" w14:textId="19D3F5AA" w:rsidR="0095195A" w:rsidRPr="0095195A" w:rsidRDefault="00B77E05" w:rsidP="0095195A">
            <w:pPr>
              <w:jc w:val="center"/>
              <w:rPr>
                <w:rFonts w:ascii="CAIXA Std Book" w:eastAsia="Times New Roman" w:hAnsi="CAIXA Std Book" w:cs="Times New Roman"/>
                <w:b/>
                <w:bCs/>
                <w:color w:val="FFFFFF"/>
                <w:sz w:val="16"/>
                <w:szCs w:val="16"/>
              </w:rPr>
            </w:pPr>
            <w:r w:rsidRPr="0095195A">
              <w:rPr>
                <w:rFonts w:ascii="CAIXA Std Book" w:eastAsia="Times New Roman" w:hAnsi="CAIXA Std Book" w:cs="Times New Roman"/>
                <w:b/>
                <w:bCs/>
                <w:color w:val="FFFFFF"/>
                <w:sz w:val="16"/>
                <w:szCs w:val="16"/>
              </w:rPr>
              <w:t>bruto</w:t>
            </w:r>
          </w:p>
        </w:tc>
        <w:tc>
          <w:tcPr>
            <w:tcW w:w="420" w:type="pct"/>
            <w:tcBorders>
              <w:top w:val="nil"/>
              <w:left w:val="nil"/>
              <w:bottom w:val="nil"/>
              <w:right w:val="nil"/>
            </w:tcBorders>
            <w:shd w:val="clear" w:color="auto" w:fill="005CA9"/>
            <w:vAlign w:val="center"/>
            <w:hideMark/>
          </w:tcPr>
          <w:p w14:paraId="67DAC3E0" w14:textId="77777777" w:rsidR="0095195A" w:rsidRPr="0095195A" w:rsidRDefault="0095195A" w:rsidP="0095195A">
            <w:pPr>
              <w:jc w:val="center"/>
              <w:rPr>
                <w:rFonts w:ascii="CAIXA Std Book" w:eastAsia="Times New Roman" w:hAnsi="CAIXA Std Book" w:cs="Times New Roman"/>
                <w:b/>
                <w:bCs/>
                <w:color w:val="FFFFFF"/>
                <w:sz w:val="16"/>
                <w:szCs w:val="16"/>
              </w:rPr>
            </w:pPr>
            <w:r w:rsidRPr="0095195A">
              <w:rPr>
                <w:rFonts w:ascii="CAIXA Std Book" w:eastAsia="Times New Roman" w:hAnsi="CAIXA Std Book" w:cs="Times New Roman"/>
                <w:b/>
                <w:bCs/>
                <w:color w:val="FFFFFF"/>
                <w:sz w:val="16"/>
                <w:szCs w:val="16"/>
              </w:rPr>
              <w:t>Perdas esperadas</w:t>
            </w:r>
          </w:p>
        </w:tc>
        <w:tc>
          <w:tcPr>
            <w:tcW w:w="423" w:type="pct"/>
            <w:tcBorders>
              <w:top w:val="nil"/>
              <w:left w:val="nil"/>
              <w:bottom w:val="nil"/>
              <w:right w:val="nil"/>
            </w:tcBorders>
            <w:shd w:val="clear" w:color="auto" w:fill="005CA9"/>
            <w:vAlign w:val="center"/>
            <w:hideMark/>
          </w:tcPr>
          <w:p w14:paraId="4E994FB3" w14:textId="77777777" w:rsidR="0095195A" w:rsidRPr="0095195A" w:rsidRDefault="0095195A" w:rsidP="0095195A">
            <w:pPr>
              <w:jc w:val="center"/>
              <w:rPr>
                <w:rFonts w:ascii="CAIXA Std Book" w:eastAsia="Times New Roman" w:hAnsi="CAIXA Std Book" w:cs="Times New Roman"/>
                <w:b/>
                <w:bCs/>
                <w:color w:val="FFFFFF"/>
                <w:sz w:val="16"/>
                <w:szCs w:val="16"/>
              </w:rPr>
            </w:pPr>
            <w:r w:rsidRPr="0095195A">
              <w:rPr>
                <w:rFonts w:ascii="CAIXA Std Book" w:eastAsia="Times New Roman" w:hAnsi="CAIXA Std Book" w:cs="Times New Roman"/>
                <w:b/>
                <w:bCs/>
                <w:color w:val="FFFFFF"/>
                <w:sz w:val="16"/>
                <w:szCs w:val="16"/>
              </w:rPr>
              <w:t>Ajuste a valor justo</w:t>
            </w:r>
          </w:p>
        </w:tc>
      </w:tr>
      <w:tr w:rsidR="0095195A" w:rsidRPr="0095195A" w14:paraId="2140DB75" w14:textId="77777777" w:rsidTr="000A4582">
        <w:trPr>
          <w:trHeight w:val="283"/>
        </w:trPr>
        <w:tc>
          <w:tcPr>
            <w:tcW w:w="1216" w:type="pct"/>
            <w:tcBorders>
              <w:top w:val="nil"/>
              <w:left w:val="nil"/>
              <w:bottom w:val="nil"/>
              <w:right w:val="nil"/>
            </w:tcBorders>
            <w:noWrap/>
            <w:vAlign w:val="center"/>
            <w:hideMark/>
          </w:tcPr>
          <w:p w14:paraId="2490708D" w14:textId="77777777" w:rsidR="0095195A" w:rsidRPr="0095195A" w:rsidRDefault="0095195A" w:rsidP="0095195A">
            <w:pPr>
              <w:rPr>
                <w:rFonts w:ascii="CAIXA Std Book" w:eastAsia="Times New Roman" w:hAnsi="CAIXA Std Book" w:cs="Times New Roman"/>
                <w:color w:val="005CA9"/>
                <w:sz w:val="16"/>
                <w:szCs w:val="16"/>
              </w:rPr>
            </w:pPr>
            <w:r w:rsidRPr="0095195A">
              <w:rPr>
                <w:rFonts w:ascii="CAIXA Std Book" w:eastAsia="Times New Roman" w:hAnsi="CAIXA Std Book" w:cs="Times New Roman"/>
                <w:color w:val="005CA9"/>
                <w:sz w:val="16"/>
                <w:szCs w:val="16"/>
              </w:rPr>
              <w:t>Títulos públicos federais brasileiros</w:t>
            </w:r>
          </w:p>
        </w:tc>
        <w:tc>
          <w:tcPr>
            <w:tcW w:w="420" w:type="pct"/>
            <w:tcBorders>
              <w:top w:val="nil"/>
              <w:left w:val="nil"/>
              <w:bottom w:val="nil"/>
              <w:right w:val="nil"/>
            </w:tcBorders>
            <w:noWrap/>
            <w:vAlign w:val="center"/>
            <w:hideMark/>
          </w:tcPr>
          <w:p w14:paraId="543AA0DF" w14:textId="047A6C2E" w:rsidR="0095195A" w:rsidRPr="000A4582" w:rsidRDefault="000A4582" w:rsidP="000A4582">
            <w:pPr>
              <w:jc w:val="center"/>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683A6812" w14:textId="53102D72" w:rsidR="0095195A" w:rsidRPr="000A4582" w:rsidRDefault="000A4582" w:rsidP="0095195A">
            <w:pPr>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2.851.702</w:t>
            </w:r>
          </w:p>
        </w:tc>
        <w:tc>
          <w:tcPr>
            <w:tcW w:w="420" w:type="pct"/>
            <w:tcBorders>
              <w:top w:val="nil"/>
              <w:left w:val="nil"/>
              <w:bottom w:val="nil"/>
              <w:right w:val="nil"/>
            </w:tcBorders>
            <w:noWrap/>
            <w:vAlign w:val="center"/>
            <w:hideMark/>
          </w:tcPr>
          <w:p w14:paraId="23B76B4F" w14:textId="23CF869B" w:rsidR="0095195A" w:rsidRPr="000A4582" w:rsidRDefault="000A4582" w:rsidP="006A58B9">
            <w:pPr>
              <w:ind w:firstLineChars="100" w:firstLine="160"/>
              <w:jc w:val="center"/>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w:t>
            </w:r>
          </w:p>
        </w:tc>
        <w:tc>
          <w:tcPr>
            <w:tcW w:w="420" w:type="pct"/>
            <w:tcBorders>
              <w:top w:val="nil"/>
              <w:left w:val="nil"/>
              <w:bottom w:val="nil"/>
              <w:right w:val="nil"/>
            </w:tcBorders>
            <w:vAlign w:val="center"/>
            <w:hideMark/>
          </w:tcPr>
          <w:p w14:paraId="4E9C7756" w14:textId="1B04D707" w:rsidR="0095195A" w:rsidRPr="000A4582" w:rsidRDefault="000A4582" w:rsidP="0095195A">
            <w:pPr>
              <w:ind w:firstLineChars="100" w:firstLine="160"/>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3.050.429</w:t>
            </w:r>
          </w:p>
        </w:tc>
        <w:tc>
          <w:tcPr>
            <w:tcW w:w="421" w:type="pct"/>
            <w:tcBorders>
              <w:top w:val="nil"/>
              <w:left w:val="nil"/>
              <w:bottom w:val="nil"/>
              <w:right w:val="nil"/>
            </w:tcBorders>
            <w:vAlign w:val="center"/>
            <w:hideMark/>
          </w:tcPr>
          <w:p w14:paraId="639AFC93" w14:textId="30A32BFC" w:rsidR="0095195A" w:rsidRPr="000A4582" w:rsidRDefault="000A4582" w:rsidP="0095195A">
            <w:pPr>
              <w:ind w:firstLineChars="100" w:firstLine="160"/>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258.441.577</w:t>
            </w:r>
          </w:p>
        </w:tc>
        <w:tc>
          <w:tcPr>
            <w:tcW w:w="420" w:type="pct"/>
            <w:tcBorders>
              <w:top w:val="nil"/>
              <w:left w:val="nil"/>
              <w:bottom w:val="nil"/>
              <w:right w:val="nil"/>
            </w:tcBorders>
            <w:vAlign w:val="center"/>
            <w:hideMark/>
          </w:tcPr>
          <w:p w14:paraId="4BD8878A" w14:textId="38109D06" w:rsidR="0095195A" w:rsidRPr="000A4582" w:rsidRDefault="000A4582" w:rsidP="0095195A">
            <w:pPr>
              <w:ind w:firstLineChars="100" w:firstLine="160"/>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264.343.708</w:t>
            </w:r>
          </w:p>
        </w:tc>
        <w:tc>
          <w:tcPr>
            <w:tcW w:w="420" w:type="pct"/>
            <w:tcBorders>
              <w:top w:val="nil"/>
              <w:left w:val="nil"/>
              <w:bottom w:val="nil"/>
              <w:right w:val="nil"/>
            </w:tcBorders>
            <w:vAlign w:val="center"/>
            <w:hideMark/>
          </w:tcPr>
          <w:p w14:paraId="4CD4A7CD" w14:textId="61DD4063" w:rsidR="0095195A" w:rsidRPr="000A4582" w:rsidRDefault="000A4582" w:rsidP="0095195A">
            <w:pPr>
              <w:ind w:firstLineChars="100" w:firstLine="160"/>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264.350.189</w:t>
            </w:r>
          </w:p>
        </w:tc>
        <w:tc>
          <w:tcPr>
            <w:tcW w:w="420" w:type="pct"/>
            <w:tcBorders>
              <w:top w:val="nil"/>
              <w:left w:val="nil"/>
              <w:bottom w:val="nil"/>
              <w:right w:val="nil"/>
            </w:tcBorders>
            <w:vAlign w:val="center"/>
            <w:hideMark/>
          </w:tcPr>
          <w:p w14:paraId="1536482E" w14:textId="03C04EBF" w:rsidR="0095195A" w:rsidRPr="000A4582" w:rsidRDefault="000A4582" w:rsidP="006A58B9">
            <w:pPr>
              <w:ind w:firstLineChars="100" w:firstLine="160"/>
              <w:jc w:val="center"/>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w:t>
            </w:r>
          </w:p>
        </w:tc>
        <w:tc>
          <w:tcPr>
            <w:tcW w:w="423" w:type="pct"/>
            <w:tcBorders>
              <w:top w:val="nil"/>
              <w:left w:val="nil"/>
              <w:bottom w:val="nil"/>
              <w:right w:val="nil"/>
            </w:tcBorders>
            <w:noWrap/>
            <w:vAlign w:val="center"/>
            <w:hideMark/>
          </w:tcPr>
          <w:p w14:paraId="5E7BC4FB" w14:textId="0399AF29" w:rsidR="0095195A" w:rsidRPr="000A4582" w:rsidRDefault="000A4582" w:rsidP="0095195A">
            <w:pPr>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(6.481)</w:t>
            </w:r>
          </w:p>
        </w:tc>
      </w:tr>
      <w:tr w:rsidR="0095195A" w:rsidRPr="0095195A" w14:paraId="15FE4163" w14:textId="77777777" w:rsidTr="000A4582">
        <w:trPr>
          <w:trHeight w:val="283"/>
        </w:trPr>
        <w:tc>
          <w:tcPr>
            <w:tcW w:w="1216" w:type="pct"/>
            <w:tcBorders>
              <w:top w:val="nil"/>
              <w:left w:val="nil"/>
              <w:bottom w:val="nil"/>
              <w:right w:val="nil"/>
            </w:tcBorders>
            <w:noWrap/>
            <w:vAlign w:val="center"/>
            <w:hideMark/>
          </w:tcPr>
          <w:p w14:paraId="502FD6D1" w14:textId="77777777" w:rsidR="0095195A" w:rsidRPr="0095195A" w:rsidRDefault="0095195A" w:rsidP="0095195A">
            <w:pPr>
              <w:rPr>
                <w:rFonts w:ascii="CAIXA Std Book" w:eastAsia="Times New Roman" w:hAnsi="CAIXA Std Book" w:cs="Times New Roman"/>
                <w:color w:val="005CA9"/>
                <w:sz w:val="16"/>
                <w:szCs w:val="16"/>
              </w:rPr>
            </w:pPr>
            <w:r w:rsidRPr="0095195A">
              <w:rPr>
                <w:rFonts w:ascii="CAIXA Std Book" w:eastAsia="Times New Roman" w:hAnsi="CAIXA Std Book" w:cs="Times New Roman"/>
                <w:color w:val="005CA9"/>
                <w:sz w:val="16"/>
                <w:szCs w:val="16"/>
              </w:rPr>
              <w:t>Títulos privados de instituições financeiras</w:t>
            </w:r>
          </w:p>
        </w:tc>
        <w:tc>
          <w:tcPr>
            <w:tcW w:w="420" w:type="pct"/>
            <w:tcBorders>
              <w:top w:val="nil"/>
              <w:left w:val="nil"/>
              <w:bottom w:val="nil"/>
              <w:right w:val="nil"/>
            </w:tcBorders>
            <w:noWrap/>
            <w:vAlign w:val="center"/>
            <w:hideMark/>
          </w:tcPr>
          <w:p w14:paraId="5650FC6C" w14:textId="18230A36" w:rsidR="0095195A" w:rsidRPr="000A4582" w:rsidRDefault="000A4582" w:rsidP="000A4582">
            <w:pPr>
              <w:jc w:val="center"/>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7BF095AB" w14:textId="529EC11E" w:rsidR="0095195A" w:rsidRPr="000A4582" w:rsidRDefault="000A4582" w:rsidP="0095195A">
            <w:pPr>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293.786</w:t>
            </w:r>
          </w:p>
        </w:tc>
        <w:tc>
          <w:tcPr>
            <w:tcW w:w="420" w:type="pct"/>
            <w:tcBorders>
              <w:top w:val="nil"/>
              <w:left w:val="nil"/>
              <w:bottom w:val="nil"/>
              <w:right w:val="nil"/>
            </w:tcBorders>
            <w:noWrap/>
            <w:vAlign w:val="center"/>
            <w:hideMark/>
          </w:tcPr>
          <w:p w14:paraId="57AACA8A" w14:textId="18A822CE" w:rsidR="0095195A" w:rsidRPr="000A4582" w:rsidRDefault="000A4582" w:rsidP="0095195A">
            <w:pPr>
              <w:ind w:firstLineChars="100" w:firstLine="160"/>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428.354</w:t>
            </w:r>
          </w:p>
        </w:tc>
        <w:tc>
          <w:tcPr>
            <w:tcW w:w="420" w:type="pct"/>
            <w:tcBorders>
              <w:top w:val="nil"/>
              <w:left w:val="nil"/>
              <w:bottom w:val="nil"/>
              <w:right w:val="nil"/>
            </w:tcBorders>
            <w:vAlign w:val="center"/>
            <w:hideMark/>
          </w:tcPr>
          <w:p w14:paraId="4E28EF11" w14:textId="4E78D66E" w:rsidR="0095195A" w:rsidRPr="000A4582" w:rsidRDefault="000A4582" w:rsidP="000A4582">
            <w:pPr>
              <w:ind w:firstLineChars="100" w:firstLine="160"/>
              <w:jc w:val="center"/>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w:t>
            </w:r>
          </w:p>
        </w:tc>
        <w:tc>
          <w:tcPr>
            <w:tcW w:w="421" w:type="pct"/>
            <w:tcBorders>
              <w:top w:val="nil"/>
              <w:left w:val="nil"/>
              <w:bottom w:val="nil"/>
              <w:right w:val="nil"/>
            </w:tcBorders>
            <w:vAlign w:val="center"/>
            <w:hideMark/>
          </w:tcPr>
          <w:p w14:paraId="13683E56" w14:textId="4D0488FF" w:rsidR="0095195A" w:rsidRPr="000A4582" w:rsidRDefault="000A4582" w:rsidP="0095195A">
            <w:pPr>
              <w:ind w:firstLineChars="100" w:firstLine="160"/>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437.084</w:t>
            </w:r>
          </w:p>
        </w:tc>
        <w:tc>
          <w:tcPr>
            <w:tcW w:w="420" w:type="pct"/>
            <w:tcBorders>
              <w:top w:val="nil"/>
              <w:left w:val="nil"/>
              <w:bottom w:val="nil"/>
              <w:right w:val="nil"/>
            </w:tcBorders>
            <w:vAlign w:val="center"/>
            <w:hideMark/>
          </w:tcPr>
          <w:p w14:paraId="212C36F2" w14:textId="5B478361" w:rsidR="0095195A" w:rsidRPr="000A4582" w:rsidRDefault="000A4582" w:rsidP="0095195A">
            <w:pPr>
              <w:ind w:firstLineChars="100" w:firstLine="160"/>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1.159.224</w:t>
            </w:r>
          </w:p>
        </w:tc>
        <w:tc>
          <w:tcPr>
            <w:tcW w:w="420" w:type="pct"/>
            <w:tcBorders>
              <w:top w:val="nil"/>
              <w:left w:val="nil"/>
              <w:bottom w:val="nil"/>
              <w:right w:val="nil"/>
            </w:tcBorders>
            <w:vAlign w:val="center"/>
            <w:hideMark/>
          </w:tcPr>
          <w:p w14:paraId="3844A341" w14:textId="37B44CE5" w:rsidR="0095195A" w:rsidRPr="000A4582" w:rsidRDefault="000A4582" w:rsidP="0095195A">
            <w:pPr>
              <w:ind w:firstLineChars="100" w:firstLine="160"/>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1.154.928</w:t>
            </w:r>
          </w:p>
        </w:tc>
        <w:tc>
          <w:tcPr>
            <w:tcW w:w="420" w:type="pct"/>
            <w:tcBorders>
              <w:top w:val="nil"/>
              <w:left w:val="nil"/>
              <w:bottom w:val="nil"/>
              <w:right w:val="nil"/>
            </w:tcBorders>
            <w:vAlign w:val="center"/>
            <w:hideMark/>
          </w:tcPr>
          <w:p w14:paraId="3C37B713" w14:textId="1AF6D100" w:rsidR="0095195A" w:rsidRPr="000A4582" w:rsidRDefault="000A4582" w:rsidP="0095195A">
            <w:pPr>
              <w:ind w:firstLineChars="100" w:firstLine="160"/>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(3.336)</w:t>
            </w:r>
          </w:p>
        </w:tc>
        <w:tc>
          <w:tcPr>
            <w:tcW w:w="423" w:type="pct"/>
            <w:tcBorders>
              <w:top w:val="nil"/>
              <w:left w:val="nil"/>
              <w:bottom w:val="nil"/>
              <w:right w:val="nil"/>
            </w:tcBorders>
            <w:noWrap/>
            <w:vAlign w:val="center"/>
            <w:hideMark/>
          </w:tcPr>
          <w:p w14:paraId="4077322A" w14:textId="2414BD9E" w:rsidR="0095195A" w:rsidRPr="000A4582" w:rsidRDefault="000A4582" w:rsidP="0095195A">
            <w:pPr>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7.632</w:t>
            </w:r>
          </w:p>
        </w:tc>
      </w:tr>
      <w:tr w:rsidR="0095195A" w:rsidRPr="0095195A" w14:paraId="7D70923B" w14:textId="77777777" w:rsidTr="000A4582">
        <w:trPr>
          <w:trHeight w:val="283"/>
        </w:trPr>
        <w:tc>
          <w:tcPr>
            <w:tcW w:w="1216" w:type="pct"/>
            <w:tcBorders>
              <w:top w:val="nil"/>
              <w:left w:val="nil"/>
              <w:bottom w:val="nil"/>
              <w:right w:val="nil"/>
            </w:tcBorders>
            <w:noWrap/>
            <w:vAlign w:val="center"/>
            <w:hideMark/>
          </w:tcPr>
          <w:p w14:paraId="561F28EA" w14:textId="77777777" w:rsidR="0095195A" w:rsidRPr="0095195A" w:rsidRDefault="0095195A" w:rsidP="0095195A">
            <w:pPr>
              <w:rPr>
                <w:rFonts w:ascii="CAIXA Std Book" w:eastAsia="Times New Roman" w:hAnsi="CAIXA Std Book" w:cs="Times New Roman"/>
                <w:color w:val="005CA9"/>
                <w:sz w:val="16"/>
                <w:szCs w:val="16"/>
              </w:rPr>
            </w:pPr>
            <w:r w:rsidRPr="0095195A">
              <w:rPr>
                <w:rFonts w:ascii="CAIXA Std Book" w:eastAsia="Times New Roman" w:hAnsi="CAIXA Std Book" w:cs="Times New Roman"/>
                <w:color w:val="005CA9"/>
                <w:sz w:val="16"/>
                <w:szCs w:val="16"/>
              </w:rPr>
              <w:t>Títulos privados de entidades não financeiras</w:t>
            </w:r>
          </w:p>
        </w:tc>
        <w:tc>
          <w:tcPr>
            <w:tcW w:w="420" w:type="pct"/>
            <w:tcBorders>
              <w:top w:val="nil"/>
              <w:left w:val="nil"/>
              <w:bottom w:val="nil"/>
              <w:right w:val="nil"/>
            </w:tcBorders>
            <w:noWrap/>
            <w:vAlign w:val="center"/>
            <w:hideMark/>
          </w:tcPr>
          <w:p w14:paraId="04716A75" w14:textId="0470E84F" w:rsidR="0095195A" w:rsidRPr="000A4582" w:rsidRDefault="000A4582" w:rsidP="000A4582">
            <w:pPr>
              <w:jc w:val="center"/>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0E0DCEFE" w14:textId="0892CC93" w:rsidR="0095195A" w:rsidRPr="000A4582" w:rsidRDefault="000A4582" w:rsidP="000A4582">
            <w:pPr>
              <w:jc w:val="center"/>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42CA9A80" w14:textId="6D3DD34E" w:rsidR="0095195A" w:rsidRPr="000A4582" w:rsidRDefault="000A4582" w:rsidP="000A4582">
            <w:pPr>
              <w:jc w:val="center"/>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w:t>
            </w:r>
          </w:p>
        </w:tc>
        <w:tc>
          <w:tcPr>
            <w:tcW w:w="420" w:type="pct"/>
            <w:tcBorders>
              <w:top w:val="nil"/>
              <w:left w:val="nil"/>
              <w:bottom w:val="nil"/>
              <w:right w:val="nil"/>
            </w:tcBorders>
            <w:vAlign w:val="center"/>
            <w:hideMark/>
          </w:tcPr>
          <w:p w14:paraId="7195EB20" w14:textId="73CD7A57" w:rsidR="0095195A" w:rsidRPr="000A4582" w:rsidRDefault="000A4582" w:rsidP="0095195A">
            <w:pPr>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636.395</w:t>
            </w:r>
          </w:p>
        </w:tc>
        <w:tc>
          <w:tcPr>
            <w:tcW w:w="421" w:type="pct"/>
            <w:tcBorders>
              <w:top w:val="nil"/>
              <w:left w:val="nil"/>
              <w:bottom w:val="nil"/>
              <w:right w:val="nil"/>
            </w:tcBorders>
            <w:vAlign w:val="center"/>
            <w:hideMark/>
          </w:tcPr>
          <w:p w14:paraId="1F6A2788" w14:textId="7577F04A" w:rsidR="0095195A" w:rsidRPr="000A4582" w:rsidRDefault="000A4582" w:rsidP="0095195A">
            <w:pPr>
              <w:ind w:firstLineChars="100" w:firstLine="160"/>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14.016.584</w:t>
            </w:r>
          </w:p>
        </w:tc>
        <w:tc>
          <w:tcPr>
            <w:tcW w:w="420" w:type="pct"/>
            <w:tcBorders>
              <w:top w:val="nil"/>
              <w:left w:val="nil"/>
              <w:bottom w:val="nil"/>
              <w:right w:val="nil"/>
            </w:tcBorders>
            <w:vAlign w:val="center"/>
            <w:hideMark/>
          </w:tcPr>
          <w:p w14:paraId="467B5E74" w14:textId="5C3A1876" w:rsidR="0095195A" w:rsidRPr="000A4582" w:rsidRDefault="000A4582" w:rsidP="0095195A">
            <w:pPr>
              <w:ind w:firstLineChars="100" w:firstLine="160"/>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14.652.979</w:t>
            </w:r>
          </w:p>
        </w:tc>
        <w:tc>
          <w:tcPr>
            <w:tcW w:w="420" w:type="pct"/>
            <w:tcBorders>
              <w:top w:val="nil"/>
              <w:left w:val="nil"/>
              <w:bottom w:val="nil"/>
              <w:right w:val="nil"/>
            </w:tcBorders>
            <w:vAlign w:val="center"/>
            <w:hideMark/>
          </w:tcPr>
          <w:p w14:paraId="05E35E03" w14:textId="34C6BA47" w:rsidR="0095195A" w:rsidRPr="000A4582" w:rsidRDefault="000A4582" w:rsidP="0095195A">
            <w:pPr>
              <w:ind w:firstLineChars="100" w:firstLine="160"/>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15.011.529</w:t>
            </w:r>
          </w:p>
        </w:tc>
        <w:tc>
          <w:tcPr>
            <w:tcW w:w="420" w:type="pct"/>
            <w:tcBorders>
              <w:top w:val="nil"/>
              <w:left w:val="nil"/>
              <w:bottom w:val="nil"/>
              <w:right w:val="nil"/>
            </w:tcBorders>
            <w:vAlign w:val="center"/>
            <w:hideMark/>
          </w:tcPr>
          <w:p w14:paraId="7E9A52B5" w14:textId="46E5066A" w:rsidR="0095195A" w:rsidRPr="000A4582" w:rsidRDefault="000A4582" w:rsidP="0095195A">
            <w:pPr>
              <w:ind w:firstLineChars="100" w:firstLine="160"/>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(399.526)</w:t>
            </w:r>
          </w:p>
        </w:tc>
        <w:tc>
          <w:tcPr>
            <w:tcW w:w="423" w:type="pct"/>
            <w:tcBorders>
              <w:top w:val="nil"/>
              <w:left w:val="nil"/>
              <w:bottom w:val="nil"/>
              <w:right w:val="nil"/>
            </w:tcBorders>
            <w:noWrap/>
            <w:vAlign w:val="center"/>
            <w:hideMark/>
          </w:tcPr>
          <w:p w14:paraId="0163DDBF" w14:textId="74418C84" w:rsidR="0095195A" w:rsidRPr="000A4582" w:rsidRDefault="000A4582" w:rsidP="0095195A">
            <w:pPr>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40.976</w:t>
            </w:r>
          </w:p>
        </w:tc>
      </w:tr>
      <w:tr w:rsidR="0095195A" w:rsidRPr="0095195A" w14:paraId="3044DAE2" w14:textId="77777777" w:rsidTr="000A4582">
        <w:trPr>
          <w:trHeight w:val="283"/>
        </w:trPr>
        <w:tc>
          <w:tcPr>
            <w:tcW w:w="1216" w:type="pct"/>
            <w:tcBorders>
              <w:top w:val="nil"/>
              <w:left w:val="nil"/>
              <w:bottom w:val="nil"/>
              <w:right w:val="nil"/>
            </w:tcBorders>
            <w:noWrap/>
            <w:vAlign w:val="center"/>
            <w:hideMark/>
          </w:tcPr>
          <w:p w14:paraId="62A6D74B" w14:textId="77777777" w:rsidR="0095195A" w:rsidRPr="0095195A" w:rsidRDefault="0095195A" w:rsidP="0095195A">
            <w:pPr>
              <w:rPr>
                <w:rFonts w:ascii="CAIXA Std Book" w:eastAsia="Times New Roman" w:hAnsi="CAIXA Std Book" w:cs="Times New Roman"/>
                <w:color w:val="005CA9"/>
                <w:sz w:val="16"/>
                <w:szCs w:val="16"/>
              </w:rPr>
            </w:pPr>
            <w:r w:rsidRPr="0095195A">
              <w:rPr>
                <w:rFonts w:ascii="CAIXA Std Book" w:eastAsia="Times New Roman" w:hAnsi="CAIXA Std Book" w:cs="Times New Roman"/>
                <w:color w:val="005CA9"/>
                <w:sz w:val="16"/>
                <w:szCs w:val="16"/>
              </w:rPr>
              <w:t>Cotas de fundo de investimento (1)</w:t>
            </w:r>
          </w:p>
        </w:tc>
        <w:tc>
          <w:tcPr>
            <w:tcW w:w="420" w:type="pct"/>
            <w:tcBorders>
              <w:top w:val="nil"/>
              <w:left w:val="nil"/>
              <w:bottom w:val="nil"/>
              <w:right w:val="nil"/>
            </w:tcBorders>
            <w:noWrap/>
            <w:vAlign w:val="center"/>
            <w:hideMark/>
          </w:tcPr>
          <w:p w14:paraId="359E4DCF" w14:textId="55305306" w:rsidR="0095195A" w:rsidRPr="000A4582" w:rsidRDefault="000A4582" w:rsidP="0095195A">
            <w:pPr>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1.660.0</w:t>
            </w:r>
            <w:r w:rsidR="00E36FE8">
              <w:rPr>
                <w:rFonts w:ascii="CAIXA Std Book" w:eastAsia="Times New Roman" w:hAnsi="CAIXA Std Book" w:cs="Calibri"/>
                <w:color w:val="005CA9"/>
                <w:sz w:val="16"/>
                <w:szCs w:val="16"/>
              </w:rPr>
              <w:t>5</w:t>
            </w:r>
            <w:r w:rsidR="00432EE5">
              <w:rPr>
                <w:rFonts w:ascii="CAIXA Std Book" w:eastAsia="Times New Roman" w:hAnsi="CAIXA Std Book" w:cs="Calibri"/>
                <w:color w:val="005CA9"/>
                <w:sz w:val="16"/>
                <w:szCs w:val="16"/>
              </w:rPr>
              <w:t>0</w:t>
            </w:r>
          </w:p>
        </w:tc>
        <w:tc>
          <w:tcPr>
            <w:tcW w:w="420" w:type="pct"/>
            <w:tcBorders>
              <w:top w:val="nil"/>
              <w:left w:val="nil"/>
              <w:bottom w:val="nil"/>
              <w:right w:val="nil"/>
            </w:tcBorders>
            <w:noWrap/>
            <w:vAlign w:val="center"/>
            <w:hideMark/>
          </w:tcPr>
          <w:p w14:paraId="151BD7D1" w14:textId="375D45F6" w:rsidR="0095195A" w:rsidRPr="000A4582" w:rsidRDefault="000A4582" w:rsidP="00690297">
            <w:pPr>
              <w:jc w:val="center"/>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683329B1" w14:textId="289AB78C" w:rsidR="0095195A" w:rsidRPr="000A4582" w:rsidRDefault="000A4582" w:rsidP="000A4582">
            <w:pPr>
              <w:jc w:val="center"/>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w:t>
            </w:r>
          </w:p>
        </w:tc>
        <w:tc>
          <w:tcPr>
            <w:tcW w:w="420" w:type="pct"/>
            <w:tcBorders>
              <w:top w:val="nil"/>
              <w:left w:val="nil"/>
              <w:bottom w:val="nil"/>
              <w:right w:val="nil"/>
            </w:tcBorders>
            <w:vAlign w:val="center"/>
            <w:hideMark/>
          </w:tcPr>
          <w:p w14:paraId="0DD3510F" w14:textId="1A0676AF" w:rsidR="0095195A" w:rsidRPr="000A4582" w:rsidRDefault="000A4582" w:rsidP="000A4582">
            <w:pPr>
              <w:jc w:val="center"/>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w:t>
            </w:r>
          </w:p>
        </w:tc>
        <w:tc>
          <w:tcPr>
            <w:tcW w:w="421" w:type="pct"/>
            <w:tcBorders>
              <w:top w:val="nil"/>
              <w:left w:val="nil"/>
              <w:bottom w:val="nil"/>
              <w:right w:val="nil"/>
            </w:tcBorders>
            <w:vAlign w:val="center"/>
            <w:hideMark/>
          </w:tcPr>
          <w:p w14:paraId="7ED9532F" w14:textId="7F4F0F58" w:rsidR="0095195A" w:rsidRPr="000A4582" w:rsidRDefault="000A4582" w:rsidP="000A4582">
            <w:pPr>
              <w:jc w:val="center"/>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w:t>
            </w:r>
          </w:p>
        </w:tc>
        <w:tc>
          <w:tcPr>
            <w:tcW w:w="420" w:type="pct"/>
            <w:tcBorders>
              <w:top w:val="nil"/>
              <w:left w:val="nil"/>
              <w:bottom w:val="nil"/>
              <w:right w:val="nil"/>
            </w:tcBorders>
            <w:vAlign w:val="center"/>
            <w:hideMark/>
          </w:tcPr>
          <w:p w14:paraId="72592EC1" w14:textId="1B1A1A6C" w:rsidR="0095195A" w:rsidRPr="000A4582" w:rsidRDefault="000A4582" w:rsidP="0095195A">
            <w:pPr>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1.660.0</w:t>
            </w:r>
            <w:r w:rsidR="00E36FE8">
              <w:rPr>
                <w:rFonts w:ascii="CAIXA Std Book" w:eastAsia="Times New Roman" w:hAnsi="CAIXA Std Book" w:cs="Calibri"/>
                <w:color w:val="005CA9"/>
                <w:sz w:val="16"/>
                <w:szCs w:val="16"/>
              </w:rPr>
              <w:t>5</w:t>
            </w:r>
            <w:r w:rsidR="00C70079">
              <w:rPr>
                <w:rFonts w:ascii="CAIXA Std Book" w:eastAsia="Times New Roman" w:hAnsi="CAIXA Std Book" w:cs="Calibri"/>
                <w:color w:val="005CA9"/>
                <w:sz w:val="16"/>
                <w:szCs w:val="16"/>
              </w:rPr>
              <w:t>0</w:t>
            </w:r>
          </w:p>
        </w:tc>
        <w:tc>
          <w:tcPr>
            <w:tcW w:w="420" w:type="pct"/>
            <w:tcBorders>
              <w:top w:val="nil"/>
              <w:left w:val="nil"/>
              <w:bottom w:val="nil"/>
              <w:right w:val="nil"/>
            </w:tcBorders>
            <w:vAlign w:val="center"/>
            <w:hideMark/>
          </w:tcPr>
          <w:p w14:paraId="6263858B" w14:textId="70BCFE89" w:rsidR="0095195A" w:rsidRPr="000A4582" w:rsidRDefault="000A4582" w:rsidP="0095195A">
            <w:pPr>
              <w:ind w:firstLineChars="100" w:firstLine="160"/>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495.411</w:t>
            </w:r>
          </w:p>
        </w:tc>
        <w:tc>
          <w:tcPr>
            <w:tcW w:w="420" w:type="pct"/>
            <w:tcBorders>
              <w:top w:val="nil"/>
              <w:left w:val="nil"/>
              <w:bottom w:val="nil"/>
              <w:right w:val="nil"/>
            </w:tcBorders>
            <w:vAlign w:val="center"/>
            <w:hideMark/>
          </w:tcPr>
          <w:p w14:paraId="1F0700D6" w14:textId="7CE68B8D" w:rsidR="0095195A" w:rsidRPr="000A4582" w:rsidRDefault="000A4582" w:rsidP="000A4582">
            <w:pPr>
              <w:ind w:firstLineChars="100" w:firstLine="160"/>
              <w:jc w:val="center"/>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w:t>
            </w:r>
          </w:p>
        </w:tc>
        <w:tc>
          <w:tcPr>
            <w:tcW w:w="423" w:type="pct"/>
            <w:tcBorders>
              <w:top w:val="nil"/>
              <w:left w:val="nil"/>
              <w:bottom w:val="nil"/>
              <w:right w:val="nil"/>
            </w:tcBorders>
            <w:noWrap/>
            <w:vAlign w:val="center"/>
            <w:hideMark/>
          </w:tcPr>
          <w:p w14:paraId="6AB7D553" w14:textId="10402CF6" w:rsidR="0095195A" w:rsidRPr="000A4582" w:rsidRDefault="000A4582" w:rsidP="0095195A">
            <w:pPr>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1.164.6</w:t>
            </w:r>
            <w:r w:rsidR="008E55B3">
              <w:rPr>
                <w:rFonts w:ascii="CAIXA Std Book" w:eastAsia="Times New Roman" w:hAnsi="CAIXA Std Book" w:cs="Calibri"/>
                <w:color w:val="005CA9"/>
                <w:sz w:val="16"/>
                <w:szCs w:val="16"/>
              </w:rPr>
              <w:t>39</w:t>
            </w:r>
          </w:p>
        </w:tc>
      </w:tr>
      <w:tr w:rsidR="0095195A" w:rsidRPr="0095195A" w14:paraId="2BE22BA5" w14:textId="77777777" w:rsidTr="000A4582">
        <w:trPr>
          <w:trHeight w:val="283"/>
        </w:trPr>
        <w:tc>
          <w:tcPr>
            <w:tcW w:w="1216" w:type="pct"/>
            <w:tcBorders>
              <w:top w:val="nil"/>
              <w:left w:val="nil"/>
              <w:bottom w:val="nil"/>
              <w:right w:val="nil"/>
            </w:tcBorders>
            <w:noWrap/>
            <w:vAlign w:val="center"/>
            <w:hideMark/>
          </w:tcPr>
          <w:p w14:paraId="5C8DEBAA" w14:textId="77777777" w:rsidR="0095195A" w:rsidRPr="0095195A" w:rsidRDefault="0095195A" w:rsidP="0095195A">
            <w:pPr>
              <w:rPr>
                <w:rFonts w:ascii="CAIXA Std Book" w:eastAsia="Times New Roman" w:hAnsi="CAIXA Std Book" w:cs="Times New Roman"/>
                <w:color w:val="005CA9"/>
                <w:sz w:val="16"/>
                <w:szCs w:val="16"/>
              </w:rPr>
            </w:pPr>
            <w:r w:rsidRPr="0095195A">
              <w:rPr>
                <w:rFonts w:ascii="CAIXA Std Book" w:eastAsia="Times New Roman" w:hAnsi="CAIXA Std Book" w:cs="Times New Roman"/>
                <w:color w:val="005CA9"/>
                <w:sz w:val="16"/>
                <w:szCs w:val="16"/>
              </w:rPr>
              <w:t>Ações (1)</w:t>
            </w:r>
          </w:p>
        </w:tc>
        <w:tc>
          <w:tcPr>
            <w:tcW w:w="420" w:type="pct"/>
            <w:tcBorders>
              <w:top w:val="nil"/>
              <w:left w:val="nil"/>
              <w:bottom w:val="nil"/>
              <w:right w:val="nil"/>
            </w:tcBorders>
            <w:noWrap/>
            <w:vAlign w:val="center"/>
            <w:hideMark/>
          </w:tcPr>
          <w:p w14:paraId="4B96B13F" w14:textId="11D23057" w:rsidR="0095195A" w:rsidRPr="000A4582" w:rsidRDefault="00220519" w:rsidP="0095195A">
            <w:pPr>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12.96</w:t>
            </w:r>
            <w:r>
              <w:rPr>
                <w:rFonts w:ascii="CAIXA Std Book" w:eastAsia="Times New Roman" w:hAnsi="CAIXA Std Book" w:cs="Calibri"/>
                <w:color w:val="005CA9"/>
                <w:sz w:val="16"/>
                <w:szCs w:val="16"/>
              </w:rPr>
              <w:t>8</w:t>
            </w:r>
          </w:p>
        </w:tc>
        <w:tc>
          <w:tcPr>
            <w:tcW w:w="420" w:type="pct"/>
            <w:tcBorders>
              <w:top w:val="nil"/>
              <w:left w:val="nil"/>
              <w:bottom w:val="nil"/>
              <w:right w:val="nil"/>
            </w:tcBorders>
            <w:noWrap/>
            <w:vAlign w:val="center"/>
            <w:hideMark/>
          </w:tcPr>
          <w:p w14:paraId="6F1AAB94" w14:textId="2259A31E" w:rsidR="0095195A" w:rsidRPr="000A4582" w:rsidRDefault="000A4582" w:rsidP="00690297">
            <w:pPr>
              <w:jc w:val="center"/>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6D3549F8" w14:textId="45AB7DED" w:rsidR="0095195A" w:rsidRPr="000A4582" w:rsidRDefault="000A4582" w:rsidP="000A4582">
            <w:pPr>
              <w:jc w:val="center"/>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w:t>
            </w:r>
          </w:p>
        </w:tc>
        <w:tc>
          <w:tcPr>
            <w:tcW w:w="420" w:type="pct"/>
            <w:tcBorders>
              <w:top w:val="nil"/>
              <w:left w:val="nil"/>
              <w:bottom w:val="nil"/>
              <w:right w:val="nil"/>
            </w:tcBorders>
            <w:vAlign w:val="center"/>
            <w:hideMark/>
          </w:tcPr>
          <w:p w14:paraId="30639D04" w14:textId="3E2DB7F3" w:rsidR="0095195A" w:rsidRPr="000A4582" w:rsidRDefault="000A4582" w:rsidP="000A4582">
            <w:pPr>
              <w:jc w:val="center"/>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w:t>
            </w:r>
          </w:p>
        </w:tc>
        <w:tc>
          <w:tcPr>
            <w:tcW w:w="421" w:type="pct"/>
            <w:tcBorders>
              <w:top w:val="nil"/>
              <w:left w:val="nil"/>
              <w:bottom w:val="nil"/>
              <w:right w:val="nil"/>
            </w:tcBorders>
            <w:vAlign w:val="center"/>
            <w:hideMark/>
          </w:tcPr>
          <w:p w14:paraId="788B67E9" w14:textId="13D27F5B" w:rsidR="0095195A" w:rsidRPr="000A4582" w:rsidRDefault="00220519" w:rsidP="00220519">
            <w:pPr>
              <w:jc w:val="center"/>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w:t>
            </w:r>
          </w:p>
        </w:tc>
        <w:tc>
          <w:tcPr>
            <w:tcW w:w="420" w:type="pct"/>
            <w:tcBorders>
              <w:top w:val="nil"/>
              <w:left w:val="nil"/>
              <w:bottom w:val="nil"/>
              <w:right w:val="nil"/>
            </w:tcBorders>
            <w:vAlign w:val="center"/>
            <w:hideMark/>
          </w:tcPr>
          <w:p w14:paraId="171E3E19" w14:textId="0309B7B5" w:rsidR="0095195A" w:rsidRPr="000A4582" w:rsidRDefault="000A4582" w:rsidP="0095195A">
            <w:pPr>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12.968</w:t>
            </w:r>
          </w:p>
        </w:tc>
        <w:tc>
          <w:tcPr>
            <w:tcW w:w="420" w:type="pct"/>
            <w:tcBorders>
              <w:top w:val="nil"/>
              <w:left w:val="nil"/>
              <w:bottom w:val="nil"/>
              <w:right w:val="nil"/>
            </w:tcBorders>
            <w:vAlign w:val="center"/>
            <w:hideMark/>
          </w:tcPr>
          <w:p w14:paraId="7E4100A6" w14:textId="78254FEB" w:rsidR="0095195A" w:rsidRPr="000A4582" w:rsidRDefault="000A4582" w:rsidP="0095195A">
            <w:pPr>
              <w:ind w:firstLineChars="100" w:firstLine="160"/>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18.970</w:t>
            </w:r>
          </w:p>
        </w:tc>
        <w:tc>
          <w:tcPr>
            <w:tcW w:w="420" w:type="pct"/>
            <w:tcBorders>
              <w:top w:val="nil"/>
              <w:left w:val="nil"/>
              <w:bottom w:val="nil"/>
              <w:right w:val="nil"/>
            </w:tcBorders>
            <w:vAlign w:val="center"/>
            <w:hideMark/>
          </w:tcPr>
          <w:p w14:paraId="1EC2C9A8" w14:textId="72DC98D6" w:rsidR="0095195A" w:rsidRPr="000A4582" w:rsidRDefault="000A4582" w:rsidP="000A4582">
            <w:pPr>
              <w:ind w:firstLineChars="100" w:firstLine="160"/>
              <w:jc w:val="center"/>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w:t>
            </w:r>
          </w:p>
        </w:tc>
        <w:tc>
          <w:tcPr>
            <w:tcW w:w="423" w:type="pct"/>
            <w:tcBorders>
              <w:top w:val="nil"/>
              <w:left w:val="nil"/>
              <w:bottom w:val="nil"/>
              <w:right w:val="nil"/>
            </w:tcBorders>
            <w:noWrap/>
            <w:vAlign w:val="center"/>
            <w:hideMark/>
          </w:tcPr>
          <w:p w14:paraId="31BEF47E" w14:textId="13E04813" w:rsidR="0095195A" w:rsidRPr="000A4582" w:rsidRDefault="000A4582" w:rsidP="0095195A">
            <w:pPr>
              <w:jc w:val="right"/>
              <w:rPr>
                <w:rFonts w:ascii="CAIXA Std Book" w:eastAsia="Times New Roman" w:hAnsi="CAIXA Std Book" w:cs="Calibri"/>
                <w:color w:val="005CA9"/>
                <w:sz w:val="16"/>
                <w:szCs w:val="16"/>
              </w:rPr>
            </w:pPr>
            <w:r w:rsidRPr="000A4582">
              <w:rPr>
                <w:rFonts w:ascii="CAIXA Std Book" w:eastAsia="Times New Roman" w:hAnsi="CAIXA Std Book" w:cs="Calibri"/>
                <w:color w:val="005CA9"/>
                <w:sz w:val="16"/>
                <w:szCs w:val="16"/>
              </w:rPr>
              <w:t>(6.002)</w:t>
            </w:r>
          </w:p>
        </w:tc>
      </w:tr>
      <w:tr w:rsidR="00ED7D10" w:rsidRPr="0095195A" w14:paraId="4AFD13C1" w14:textId="77777777" w:rsidTr="000A4582">
        <w:trPr>
          <w:trHeight w:val="283"/>
        </w:trPr>
        <w:tc>
          <w:tcPr>
            <w:tcW w:w="1216" w:type="pct"/>
            <w:tcBorders>
              <w:top w:val="nil"/>
              <w:left w:val="nil"/>
              <w:bottom w:val="nil"/>
              <w:right w:val="nil"/>
            </w:tcBorders>
            <w:shd w:val="clear" w:color="auto" w:fill="005CA9"/>
            <w:noWrap/>
            <w:vAlign w:val="center"/>
            <w:hideMark/>
          </w:tcPr>
          <w:p w14:paraId="1EB130D6" w14:textId="77777777" w:rsidR="0095195A" w:rsidRPr="0095195A" w:rsidRDefault="0095195A" w:rsidP="0095195A">
            <w:pPr>
              <w:rPr>
                <w:rFonts w:ascii="CAIXA Std Book" w:eastAsia="Times New Roman" w:hAnsi="CAIXA Std Book" w:cs="Times New Roman"/>
                <w:b/>
                <w:bCs/>
                <w:color w:val="FFFFFF"/>
                <w:sz w:val="16"/>
                <w:szCs w:val="16"/>
              </w:rPr>
            </w:pPr>
            <w:r w:rsidRPr="0095195A">
              <w:rPr>
                <w:rFonts w:ascii="CAIXA Std Book" w:eastAsia="Times New Roman" w:hAnsi="CAIXA Std Book" w:cs="Times New Roman"/>
                <w:b/>
                <w:bCs/>
                <w:color w:val="FFFFFF"/>
                <w:sz w:val="16"/>
                <w:szCs w:val="16"/>
              </w:rPr>
              <w:t>Total</w:t>
            </w:r>
          </w:p>
        </w:tc>
        <w:tc>
          <w:tcPr>
            <w:tcW w:w="420" w:type="pct"/>
            <w:tcBorders>
              <w:top w:val="nil"/>
              <w:left w:val="nil"/>
              <w:bottom w:val="nil"/>
              <w:right w:val="nil"/>
            </w:tcBorders>
            <w:shd w:val="clear" w:color="auto" w:fill="005CA9"/>
            <w:noWrap/>
            <w:vAlign w:val="center"/>
            <w:hideMark/>
          </w:tcPr>
          <w:p w14:paraId="0EAB37B2" w14:textId="3D132C29" w:rsidR="0095195A" w:rsidRPr="000A4582" w:rsidRDefault="00EB737B" w:rsidP="0095195A">
            <w:pPr>
              <w:ind w:firstLineChars="100" w:firstLine="161"/>
              <w:jc w:val="right"/>
              <w:rPr>
                <w:rFonts w:ascii="CAIXA Std Book" w:eastAsia="Times New Roman" w:hAnsi="CAIXA Std Book" w:cs="Calibri"/>
                <w:b/>
                <w:color w:val="FFFFFF"/>
                <w:sz w:val="16"/>
                <w:szCs w:val="16"/>
              </w:rPr>
            </w:pPr>
            <w:r w:rsidRPr="00EB737B">
              <w:rPr>
                <w:rFonts w:ascii="CAIXA Std Book" w:eastAsia="Times New Roman" w:hAnsi="CAIXA Std Book" w:cs="Calibri" w:hint="eastAsia"/>
                <w:b/>
                <w:bCs/>
                <w:color w:val="FFFFFF"/>
                <w:sz w:val="16"/>
                <w:szCs w:val="16"/>
              </w:rPr>
              <w:t>1.673.018</w:t>
            </w:r>
          </w:p>
        </w:tc>
        <w:tc>
          <w:tcPr>
            <w:tcW w:w="420" w:type="pct"/>
            <w:tcBorders>
              <w:top w:val="nil"/>
              <w:left w:val="nil"/>
              <w:bottom w:val="nil"/>
              <w:right w:val="nil"/>
            </w:tcBorders>
            <w:shd w:val="clear" w:color="auto" w:fill="005CA9"/>
            <w:noWrap/>
            <w:vAlign w:val="center"/>
            <w:hideMark/>
          </w:tcPr>
          <w:p w14:paraId="598452BF" w14:textId="6054A372" w:rsidR="0095195A" w:rsidRPr="000A4582" w:rsidRDefault="000A4582" w:rsidP="0095195A">
            <w:pPr>
              <w:ind w:firstLineChars="100" w:firstLine="161"/>
              <w:jc w:val="right"/>
              <w:rPr>
                <w:rFonts w:ascii="CAIXA Std Book" w:eastAsia="Times New Roman" w:hAnsi="CAIXA Std Book" w:cs="Calibri"/>
                <w:b/>
                <w:color w:val="FFFFFF"/>
                <w:sz w:val="16"/>
                <w:szCs w:val="16"/>
              </w:rPr>
            </w:pPr>
            <w:r w:rsidRPr="000A4582">
              <w:rPr>
                <w:rFonts w:ascii="CAIXA Std Book" w:eastAsia="Times New Roman" w:hAnsi="CAIXA Std Book" w:cs="Calibri"/>
                <w:b/>
                <w:bCs/>
                <w:color w:val="FFFFFF"/>
                <w:sz w:val="16"/>
                <w:szCs w:val="16"/>
              </w:rPr>
              <w:t>3.145.488</w:t>
            </w:r>
          </w:p>
        </w:tc>
        <w:tc>
          <w:tcPr>
            <w:tcW w:w="420" w:type="pct"/>
            <w:tcBorders>
              <w:top w:val="nil"/>
              <w:left w:val="nil"/>
              <w:bottom w:val="nil"/>
              <w:right w:val="nil"/>
            </w:tcBorders>
            <w:shd w:val="clear" w:color="auto" w:fill="005CA9"/>
            <w:noWrap/>
            <w:vAlign w:val="center"/>
            <w:hideMark/>
          </w:tcPr>
          <w:p w14:paraId="4467543C" w14:textId="274EA2D5" w:rsidR="0095195A" w:rsidRPr="000A4582" w:rsidRDefault="000A4582" w:rsidP="0095195A">
            <w:pPr>
              <w:ind w:firstLineChars="100" w:firstLine="161"/>
              <w:jc w:val="right"/>
              <w:rPr>
                <w:rFonts w:ascii="CAIXA Std Book" w:eastAsia="Times New Roman" w:hAnsi="CAIXA Std Book" w:cs="Calibri"/>
                <w:b/>
                <w:color w:val="FFFFFF"/>
                <w:sz w:val="16"/>
                <w:szCs w:val="16"/>
              </w:rPr>
            </w:pPr>
            <w:r w:rsidRPr="000A4582">
              <w:rPr>
                <w:rFonts w:ascii="CAIXA Std Book" w:eastAsia="Times New Roman" w:hAnsi="CAIXA Std Book" w:cs="Calibri"/>
                <w:b/>
                <w:bCs/>
                <w:color w:val="FFFFFF"/>
                <w:sz w:val="16"/>
                <w:szCs w:val="16"/>
              </w:rPr>
              <w:t>428.354</w:t>
            </w:r>
          </w:p>
        </w:tc>
        <w:tc>
          <w:tcPr>
            <w:tcW w:w="420" w:type="pct"/>
            <w:tcBorders>
              <w:top w:val="nil"/>
              <w:left w:val="nil"/>
              <w:bottom w:val="nil"/>
              <w:right w:val="nil"/>
            </w:tcBorders>
            <w:shd w:val="clear" w:color="auto" w:fill="005CA9"/>
            <w:vAlign w:val="center"/>
            <w:hideMark/>
          </w:tcPr>
          <w:p w14:paraId="4B175C63" w14:textId="64AC5E85" w:rsidR="0095195A" w:rsidRPr="000A4582" w:rsidRDefault="000A4582" w:rsidP="0095195A">
            <w:pPr>
              <w:ind w:firstLineChars="100" w:firstLine="161"/>
              <w:jc w:val="right"/>
              <w:rPr>
                <w:rFonts w:ascii="CAIXA Std Book" w:eastAsia="Times New Roman" w:hAnsi="CAIXA Std Book" w:cs="Calibri"/>
                <w:b/>
                <w:color w:val="FFFFFF"/>
                <w:sz w:val="16"/>
                <w:szCs w:val="16"/>
              </w:rPr>
            </w:pPr>
            <w:r w:rsidRPr="000A4582">
              <w:rPr>
                <w:rFonts w:ascii="CAIXA Std Book" w:eastAsia="Times New Roman" w:hAnsi="CAIXA Std Book" w:cs="Calibri"/>
                <w:b/>
                <w:bCs/>
                <w:color w:val="FFFFFF"/>
                <w:sz w:val="16"/>
                <w:szCs w:val="16"/>
              </w:rPr>
              <w:t>3.686.824</w:t>
            </w:r>
          </w:p>
        </w:tc>
        <w:tc>
          <w:tcPr>
            <w:tcW w:w="421" w:type="pct"/>
            <w:tcBorders>
              <w:top w:val="nil"/>
              <w:left w:val="nil"/>
              <w:bottom w:val="nil"/>
              <w:right w:val="nil"/>
            </w:tcBorders>
            <w:shd w:val="clear" w:color="auto" w:fill="005CA9"/>
            <w:vAlign w:val="center"/>
            <w:hideMark/>
          </w:tcPr>
          <w:p w14:paraId="5A400C98" w14:textId="5F23183B" w:rsidR="0095195A" w:rsidRPr="000A4582" w:rsidRDefault="000A4582" w:rsidP="0095195A">
            <w:pPr>
              <w:ind w:firstLineChars="100" w:firstLine="161"/>
              <w:jc w:val="right"/>
              <w:rPr>
                <w:rFonts w:ascii="CAIXA Std Book" w:eastAsia="Times New Roman" w:hAnsi="CAIXA Std Book" w:cs="Calibri"/>
                <w:b/>
                <w:color w:val="FFFFFF"/>
                <w:sz w:val="16"/>
                <w:szCs w:val="16"/>
              </w:rPr>
            </w:pPr>
            <w:r w:rsidRPr="000A4582">
              <w:rPr>
                <w:rFonts w:ascii="CAIXA Std Book" w:eastAsia="Times New Roman" w:hAnsi="CAIXA Std Book" w:cs="Calibri"/>
                <w:b/>
                <w:bCs/>
                <w:color w:val="FFFFFF"/>
                <w:sz w:val="16"/>
                <w:szCs w:val="16"/>
              </w:rPr>
              <w:t>272.</w:t>
            </w:r>
            <w:r w:rsidR="003739F2" w:rsidRPr="003739F2">
              <w:rPr>
                <w:rFonts w:ascii="CAIXA Std Book" w:eastAsia="Times New Roman" w:hAnsi="CAIXA Std Book" w:cs="Calibri"/>
                <w:b/>
                <w:bCs/>
                <w:color w:val="FFFFFF"/>
                <w:sz w:val="16"/>
                <w:szCs w:val="16"/>
              </w:rPr>
              <w:t>895.245</w:t>
            </w:r>
          </w:p>
        </w:tc>
        <w:tc>
          <w:tcPr>
            <w:tcW w:w="420" w:type="pct"/>
            <w:tcBorders>
              <w:top w:val="nil"/>
              <w:left w:val="nil"/>
              <w:bottom w:val="nil"/>
              <w:right w:val="nil"/>
            </w:tcBorders>
            <w:shd w:val="clear" w:color="auto" w:fill="005CA9"/>
            <w:vAlign w:val="center"/>
            <w:hideMark/>
          </w:tcPr>
          <w:p w14:paraId="662FF9C2" w14:textId="68681666" w:rsidR="0095195A" w:rsidRPr="000A4582" w:rsidRDefault="000A4582" w:rsidP="0095195A">
            <w:pPr>
              <w:ind w:firstLineChars="100" w:firstLine="161"/>
              <w:jc w:val="right"/>
              <w:rPr>
                <w:rFonts w:ascii="CAIXA Std Book" w:eastAsia="Times New Roman" w:hAnsi="CAIXA Std Book" w:cs="Calibri"/>
                <w:b/>
                <w:color w:val="FFFFFF"/>
                <w:sz w:val="16"/>
                <w:szCs w:val="16"/>
              </w:rPr>
            </w:pPr>
            <w:r w:rsidRPr="000A4582">
              <w:rPr>
                <w:rFonts w:ascii="CAIXA Std Book" w:eastAsia="Times New Roman" w:hAnsi="CAIXA Std Book" w:cs="Calibri"/>
                <w:b/>
                <w:bCs/>
                <w:color w:val="FFFFFF"/>
                <w:sz w:val="16"/>
                <w:szCs w:val="16"/>
              </w:rPr>
              <w:t>281.828.9</w:t>
            </w:r>
            <w:r w:rsidR="00C70079">
              <w:rPr>
                <w:rFonts w:ascii="CAIXA Std Book" w:eastAsia="Times New Roman" w:hAnsi="CAIXA Std Book" w:cs="Calibri"/>
                <w:b/>
                <w:bCs/>
                <w:color w:val="FFFFFF"/>
                <w:sz w:val="16"/>
                <w:szCs w:val="16"/>
              </w:rPr>
              <w:t>29</w:t>
            </w:r>
          </w:p>
        </w:tc>
        <w:tc>
          <w:tcPr>
            <w:tcW w:w="420" w:type="pct"/>
            <w:tcBorders>
              <w:top w:val="nil"/>
              <w:left w:val="nil"/>
              <w:bottom w:val="nil"/>
              <w:right w:val="nil"/>
            </w:tcBorders>
            <w:shd w:val="clear" w:color="auto" w:fill="005CA9"/>
            <w:vAlign w:val="center"/>
            <w:hideMark/>
          </w:tcPr>
          <w:p w14:paraId="598D7FCF" w14:textId="54DAA14C" w:rsidR="0095195A" w:rsidRPr="000A4582" w:rsidRDefault="000A4582" w:rsidP="0095195A">
            <w:pPr>
              <w:ind w:firstLineChars="100" w:firstLine="161"/>
              <w:jc w:val="right"/>
              <w:rPr>
                <w:rFonts w:ascii="CAIXA Std Book" w:eastAsia="Times New Roman" w:hAnsi="CAIXA Std Book" w:cs="Calibri"/>
                <w:b/>
                <w:color w:val="FFFFFF"/>
                <w:sz w:val="16"/>
                <w:szCs w:val="16"/>
              </w:rPr>
            </w:pPr>
            <w:r w:rsidRPr="000A4582">
              <w:rPr>
                <w:rFonts w:ascii="CAIXA Std Book" w:eastAsia="Times New Roman" w:hAnsi="CAIXA Std Book" w:cs="Calibri"/>
                <w:b/>
                <w:bCs/>
                <w:color w:val="FFFFFF"/>
                <w:sz w:val="16"/>
                <w:szCs w:val="16"/>
              </w:rPr>
              <w:t>281.031.027</w:t>
            </w:r>
          </w:p>
        </w:tc>
        <w:tc>
          <w:tcPr>
            <w:tcW w:w="420" w:type="pct"/>
            <w:tcBorders>
              <w:top w:val="nil"/>
              <w:left w:val="nil"/>
              <w:bottom w:val="nil"/>
              <w:right w:val="nil"/>
            </w:tcBorders>
            <w:shd w:val="clear" w:color="auto" w:fill="005CA9"/>
            <w:vAlign w:val="center"/>
            <w:hideMark/>
          </w:tcPr>
          <w:p w14:paraId="246D1D77" w14:textId="626AD545" w:rsidR="0095195A" w:rsidRPr="000A4582" w:rsidRDefault="000A4582" w:rsidP="0095195A">
            <w:pPr>
              <w:ind w:firstLineChars="100" w:firstLine="161"/>
              <w:jc w:val="right"/>
              <w:rPr>
                <w:rFonts w:ascii="CAIXA Std Book" w:eastAsia="Times New Roman" w:hAnsi="CAIXA Std Book" w:cs="Calibri"/>
                <w:b/>
                <w:color w:val="FFFFFF"/>
                <w:sz w:val="16"/>
                <w:szCs w:val="16"/>
              </w:rPr>
            </w:pPr>
            <w:r w:rsidRPr="000A4582">
              <w:rPr>
                <w:rFonts w:ascii="CAIXA Std Book" w:eastAsia="Times New Roman" w:hAnsi="CAIXA Std Book" w:cs="Calibri"/>
                <w:b/>
                <w:bCs/>
                <w:color w:val="FFFFFF"/>
                <w:sz w:val="16"/>
                <w:szCs w:val="16"/>
              </w:rPr>
              <w:t>(402.862)</w:t>
            </w:r>
          </w:p>
        </w:tc>
        <w:tc>
          <w:tcPr>
            <w:tcW w:w="423" w:type="pct"/>
            <w:tcBorders>
              <w:top w:val="nil"/>
              <w:left w:val="nil"/>
              <w:bottom w:val="nil"/>
              <w:right w:val="nil"/>
            </w:tcBorders>
            <w:shd w:val="clear" w:color="auto" w:fill="005CA9"/>
            <w:noWrap/>
            <w:vAlign w:val="center"/>
            <w:hideMark/>
          </w:tcPr>
          <w:p w14:paraId="09101BFA" w14:textId="4D4AB934" w:rsidR="0095195A" w:rsidRPr="000A4582" w:rsidRDefault="000A4582" w:rsidP="0095195A">
            <w:pPr>
              <w:ind w:firstLineChars="100" w:firstLine="161"/>
              <w:jc w:val="right"/>
              <w:rPr>
                <w:rFonts w:ascii="CAIXA Std Book" w:eastAsia="Times New Roman" w:hAnsi="CAIXA Std Book" w:cs="Calibri"/>
                <w:b/>
                <w:color w:val="FFFFFF"/>
                <w:sz w:val="16"/>
                <w:szCs w:val="16"/>
              </w:rPr>
            </w:pPr>
            <w:r w:rsidRPr="000A4582">
              <w:rPr>
                <w:rFonts w:ascii="CAIXA Std Book" w:eastAsia="Times New Roman" w:hAnsi="CAIXA Std Book" w:cs="Calibri"/>
                <w:b/>
                <w:bCs/>
                <w:color w:val="FFFFFF"/>
                <w:sz w:val="16"/>
                <w:szCs w:val="16"/>
              </w:rPr>
              <w:t>1.200.7</w:t>
            </w:r>
            <w:r w:rsidR="00E36FE8">
              <w:rPr>
                <w:rFonts w:ascii="CAIXA Std Book" w:eastAsia="Times New Roman" w:hAnsi="CAIXA Std Book" w:cs="Calibri"/>
                <w:b/>
                <w:bCs/>
                <w:color w:val="FFFFFF"/>
                <w:sz w:val="16"/>
                <w:szCs w:val="16"/>
              </w:rPr>
              <w:t>6</w:t>
            </w:r>
            <w:r w:rsidR="008E55B3">
              <w:rPr>
                <w:rFonts w:ascii="CAIXA Std Book" w:eastAsia="Times New Roman" w:hAnsi="CAIXA Std Book" w:cs="Calibri"/>
                <w:b/>
                <w:bCs/>
                <w:color w:val="FFFFFF"/>
                <w:sz w:val="16"/>
                <w:szCs w:val="16"/>
              </w:rPr>
              <w:t>4</w:t>
            </w:r>
          </w:p>
        </w:tc>
      </w:tr>
    </w:tbl>
    <w:p w14:paraId="0B939F00" w14:textId="02C73F8C" w:rsidR="00831BB8" w:rsidRPr="001D4E38" w:rsidRDefault="000B72D6" w:rsidP="000B72D6">
      <w:pPr>
        <w:rPr>
          <w:rFonts w:ascii="CAIXA Std Book" w:hAnsi="CAIXA Std Book"/>
          <w:b/>
          <w:color w:val="005CA9"/>
          <w:sz w:val="20"/>
          <w:szCs w:val="20"/>
        </w:rPr>
      </w:pPr>
      <w:r w:rsidRPr="00D75391">
        <w:rPr>
          <w:rFonts w:ascii="CAIXA Std Book" w:eastAsia="Times New Roman" w:hAnsi="CAIXA Std Book" w:cs="Arial"/>
          <w:color w:val="005CA9"/>
          <w:sz w:val="16"/>
          <w:szCs w:val="16"/>
        </w:rPr>
        <w:t>(1) A CAIXA designou de modo irrevogável instrumentos patrimoniais ao valor justo por meio de outros resultados abrangentes em razão da estratégia e característica desses títulos. Em 31/</w:t>
      </w:r>
      <w:r w:rsidR="007613BC">
        <w:rPr>
          <w:rFonts w:ascii="CAIXA Std Book" w:eastAsia="Times New Roman" w:hAnsi="CAIXA Std Book" w:cs="Arial"/>
          <w:color w:val="005CA9"/>
          <w:sz w:val="16"/>
          <w:szCs w:val="16"/>
        </w:rPr>
        <w:t>03</w:t>
      </w:r>
      <w:r w:rsidRPr="00D75391">
        <w:rPr>
          <w:rFonts w:ascii="CAIXA Std Book" w:eastAsia="Times New Roman" w:hAnsi="CAIXA Std Book" w:cs="Arial"/>
          <w:color w:val="005CA9"/>
          <w:sz w:val="16"/>
          <w:szCs w:val="16"/>
        </w:rPr>
        <w:t>/202</w:t>
      </w:r>
      <w:r w:rsidR="007613BC">
        <w:rPr>
          <w:rFonts w:ascii="CAIXA Std Book" w:eastAsia="Times New Roman" w:hAnsi="CAIXA Std Book" w:cs="Arial"/>
          <w:color w:val="005CA9"/>
          <w:sz w:val="16"/>
          <w:szCs w:val="16"/>
        </w:rPr>
        <w:t>6</w:t>
      </w:r>
      <w:r w:rsidRPr="00D75391">
        <w:rPr>
          <w:rFonts w:ascii="CAIXA Std Book" w:eastAsia="Times New Roman" w:hAnsi="CAIXA Std Book" w:cs="Arial"/>
          <w:color w:val="005CA9"/>
          <w:sz w:val="16"/>
          <w:szCs w:val="16"/>
        </w:rPr>
        <w:t xml:space="preserve"> esses títulos perfazem o montante de R$ </w:t>
      </w:r>
      <w:r w:rsidR="001C01E9" w:rsidRPr="001C01E9">
        <w:rPr>
          <w:rFonts w:ascii="CAIXA Std Book" w:eastAsia="Times New Roman" w:hAnsi="CAIXA Std Book" w:cs="Arial"/>
          <w:color w:val="005CA9"/>
          <w:sz w:val="16"/>
          <w:szCs w:val="16"/>
        </w:rPr>
        <w:t>11</w:t>
      </w:r>
      <w:r w:rsidR="00196A98">
        <w:rPr>
          <w:rFonts w:ascii="CAIXA Std Book" w:eastAsia="Times New Roman" w:hAnsi="CAIXA Std Book" w:cs="Arial"/>
          <w:color w:val="005CA9"/>
          <w:sz w:val="16"/>
          <w:szCs w:val="16"/>
        </w:rPr>
        <w:t>.</w:t>
      </w:r>
      <w:r w:rsidR="001C01E9" w:rsidRPr="001C01E9">
        <w:rPr>
          <w:rFonts w:ascii="CAIXA Std Book" w:eastAsia="Times New Roman" w:hAnsi="CAIXA Std Book" w:cs="Arial"/>
          <w:color w:val="005CA9"/>
          <w:sz w:val="16"/>
          <w:szCs w:val="16"/>
        </w:rPr>
        <w:t>69</w:t>
      </w:r>
      <w:r w:rsidR="00196A98">
        <w:rPr>
          <w:rFonts w:ascii="CAIXA Std Book" w:eastAsia="Times New Roman" w:hAnsi="CAIXA Std Book" w:cs="Arial"/>
          <w:color w:val="005CA9"/>
          <w:sz w:val="16"/>
          <w:szCs w:val="16"/>
        </w:rPr>
        <w:t>7</w:t>
      </w:r>
      <w:r w:rsidRPr="00D75391">
        <w:rPr>
          <w:rFonts w:ascii="CAIXA Std Book" w:eastAsia="Times New Roman" w:hAnsi="CAIXA Std Book" w:cs="Arial"/>
          <w:color w:val="005CA9"/>
          <w:sz w:val="16"/>
          <w:szCs w:val="16"/>
        </w:rPr>
        <w:t xml:space="preserve"> em cotas de fundos de investimento e R$ </w:t>
      </w:r>
      <w:r w:rsidR="00C21470">
        <w:rPr>
          <w:rFonts w:ascii="CAIXA Std Book" w:eastAsia="Times New Roman" w:hAnsi="CAIXA Std Book" w:cs="Arial"/>
          <w:color w:val="005CA9"/>
          <w:sz w:val="16"/>
          <w:szCs w:val="16"/>
        </w:rPr>
        <w:t>11.345</w:t>
      </w:r>
      <w:r w:rsidRPr="00D75391">
        <w:rPr>
          <w:rFonts w:ascii="CAIXA Std Book" w:eastAsia="Times New Roman" w:hAnsi="CAIXA Std Book" w:cs="Arial"/>
          <w:color w:val="005CA9"/>
          <w:sz w:val="16"/>
          <w:szCs w:val="16"/>
        </w:rPr>
        <w:t xml:space="preserve"> em ações.</w:t>
      </w:r>
    </w:p>
    <w:p w14:paraId="33961120" w14:textId="77777777" w:rsidR="00EE108F" w:rsidRDefault="00EE108F">
      <w:pPr>
        <w:rPr>
          <w:rFonts w:ascii="CAIXA Std Book" w:eastAsia="Times New Roman" w:hAnsi="CAIXA Std Book" w:cs="Arial"/>
          <w:color w:val="005CA9"/>
          <w:sz w:val="16"/>
          <w:szCs w:val="16"/>
        </w:rPr>
      </w:pPr>
    </w:p>
    <w:tbl>
      <w:tblPr>
        <w:tblW w:w="5000" w:type="pct"/>
        <w:tblLayout w:type="fixed"/>
        <w:tblCellMar>
          <w:left w:w="70" w:type="dxa"/>
          <w:right w:w="70" w:type="dxa"/>
        </w:tblCellMar>
        <w:tblLook w:val="04A0" w:firstRow="1" w:lastRow="0" w:firstColumn="1" w:lastColumn="0" w:noHBand="0" w:noVBand="1"/>
      </w:tblPr>
      <w:tblGrid>
        <w:gridCol w:w="3542"/>
        <w:gridCol w:w="1223"/>
        <w:gridCol w:w="1224"/>
        <w:gridCol w:w="1224"/>
        <w:gridCol w:w="1224"/>
        <w:gridCol w:w="1227"/>
        <w:gridCol w:w="1224"/>
        <w:gridCol w:w="1224"/>
        <w:gridCol w:w="1224"/>
        <w:gridCol w:w="1233"/>
      </w:tblGrid>
      <w:tr w:rsidR="00A85066" w:rsidRPr="00A85066" w14:paraId="0C4B7A36" w14:textId="77777777" w:rsidTr="00A85066">
        <w:trPr>
          <w:trHeight w:val="283"/>
        </w:trPr>
        <w:tc>
          <w:tcPr>
            <w:tcW w:w="5000" w:type="pct"/>
            <w:gridSpan w:val="10"/>
            <w:tcBorders>
              <w:top w:val="nil"/>
              <w:left w:val="nil"/>
              <w:bottom w:val="single" w:sz="8" w:space="0" w:color="FFFFFF"/>
              <w:right w:val="nil"/>
            </w:tcBorders>
            <w:shd w:val="clear" w:color="000000" w:fill="005CA9"/>
            <w:vAlign w:val="center"/>
            <w:hideMark/>
          </w:tcPr>
          <w:p w14:paraId="4B5EBB7D" w14:textId="77777777" w:rsidR="00A85066" w:rsidRPr="00A85066" w:rsidRDefault="00A85066" w:rsidP="00A85066">
            <w:pPr>
              <w:jc w:val="center"/>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Consolidado</w:t>
            </w:r>
          </w:p>
        </w:tc>
      </w:tr>
      <w:tr w:rsidR="00A85066" w:rsidRPr="00A85066" w14:paraId="59C6D5AE" w14:textId="77777777" w:rsidTr="00A85066">
        <w:trPr>
          <w:trHeight w:val="283"/>
        </w:trPr>
        <w:tc>
          <w:tcPr>
            <w:tcW w:w="1216" w:type="pct"/>
            <w:vMerge w:val="restart"/>
            <w:tcBorders>
              <w:top w:val="nil"/>
              <w:left w:val="nil"/>
              <w:bottom w:val="nil"/>
              <w:right w:val="nil"/>
            </w:tcBorders>
            <w:shd w:val="clear" w:color="000000" w:fill="005CA9"/>
            <w:vAlign w:val="center"/>
            <w:hideMark/>
          </w:tcPr>
          <w:p w14:paraId="469C2E40" w14:textId="77777777" w:rsidR="00A85066" w:rsidRPr="00A85066" w:rsidRDefault="00A85066" w:rsidP="00A85066">
            <w:pPr>
              <w:jc w:val="center"/>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Descrição</w:t>
            </w:r>
          </w:p>
        </w:tc>
        <w:tc>
          <w:tcPr>
            <w:tcW w:w="3784" w:type="pct"/>
            <w:gridSpan w:val="9"/>
            <w:tcBorders>
              <w:top w:val="single" w:sz="8" w:space="0" w:color="FFFFFF"/>
              <w:left w:val="nil"/>
              <w:bottom w:val="single" w:sz="8" w:space="0" w:color="FFFFFF"/>
              <w:right w:val="nil"/>
            </w:tcBorders>
            <w:shd w:val="clear" w:color="000000" w:fill="005CA9"/>
            <w:vAlign w:val="center"/>
            <w:hideMark/>
          </w:tcPr>
          <w:p w14:paraId="70A735C6" w14:textId="77777777" w:rsidR="00A85066" w:rsidRPr="00A85066" w:rsidRDefault="00A85066" w:rsidP="00A85066">
            <w:pPr>
              <w:jc w:val="center"/>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31/12/2025</w:t>
            </w:r>
          </w:p>
        </w:tc>
      </w:tr>
      <w:tr w:rsidR="00A85066" w:rsidRPr="00A85066" w14:paraId="4A3631E5" w14:textId="77777777" w:rsidTr="001177F4">
        <w:trPr>
          <w:trHeight w:val="283"/>
        </w:trPr>
        <w:tc>
          <w:tcPr>
            <w:tcW w:w="1216" w:type="pct"/>
            <w:vMerge/>
            <w:tcBorders>
              <w:top w:val="nil"/>
              <w:left w:val="nil"/>
              <w:bottom w:val="nil"/>
              <w:right w:val="nil"/>
            </w:tcBorders>
            <w:vAlign w:val="center"/>
            <w:hideMark/>
          </w:tcPr>
          <w:p w14:paraId="3C004BA7" w14:textId="77777777" w:rsidR="00A85066" w:rsidRPr="00A85066" w:rsidRDefault="00A85066" w:rsidP="00A85066">
            <w:pPr>
              <w:rPr>
                <w:rFonts w:ascii="CAIXA Std Book" w:eastAsia="Times New Roman" w:hAnsi="CAIXA Std Book" w:cs="Calibri"/>
                <w:b/>
                <w:bCs/>
                <w:color w:val="FFFFFF"/>
                <w:sz w:val="16"/>
                <w:szCs w:val="16"/>
              </w:rPr>
            </w:pPr>
          </w:p>
        </w:tc>
        <w:tc>
          <w:tcPr>
            <w:tcW w:w="420" w:type="pct"/>
            <w:tcBorders>
              <w:top w:val="nil"/>
              <w:left w:val="nil"/>
              <w:bottom w:val="nil"/>
              <w:right w:val="nil"/>
            </w:tcBorders>
            <w:shd w:val="clear" w:color="000000" w:fill="005CA9"/>
            <w:vAlign w:val="center"/>
            <w:hideMark/>
          </w:tcPr>
          <w:p w14:paraId="72631E88" w14:textId="77777777" w:rsidR="00A85066" w:rsidRPr="00A85066" w:rsidRDefault="00A85066" w:rsidP="00A85066">
            <w:pPr>
              <w:jc w:val="center"/>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Sem vencimento</w:t>
            </w:r>
          </w:p>
        </w:tc>
        <w:tc>
          <w:tcPr>
            <w:tcW w:w="420" w:type="pct"/>
            <w:tcBorders>
              <w:top w:val="nil"/>
              <w:left w:val="nil"/>
              <w:bottom w:val="nil"/>
              <w:right w:val="nil"/>
            </w:tcBorders>
            <w:shd w:val="clear" w:color="000000" w:fill="005CA9"/>
            <w:vAlign w:val="center"/>
            <w:hideMark/>
          </w:tcPr>
          <w:p w14:paraId="5F973194" w14:textId="77777777" w:rsidR="00A85066" w:rsidRPr="00A85066" w:rsidRDefault="00A85066" w:rsidP="00A85066">
            <w:pPr>
              <w:jc w:val="center"/>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1 a 90 dias</w:t>
            </w:r>
          </w:p>
        </w:tc>
        <w:tc>
          <w:tcPr>
            <w:tcW w:w="420" w:type="pct"/>
            <w:tcBorders>
              <w:top w:val="nil"/>
              <w:left w:val="nil"/>
              <w:bottom w:val="nil"/>
              <w:right w:val="nil"/>
            </w:tcBorders>
            <w:shd w:val="clear" w:color="000000" w:fill="005CA9"/>
            <w:vAlign w:val="center"/>
            <w:hideMark/>
          </w:tcPr>
          <w:p w14:paraId="4655E371" w14:textId="77777777" w:rsidR="00A85066" w:rsidRPr="00A85066" w:rsidRDefault="00A85066" w:rsidP="00A85066">
            <w:pPr>
              <w:jc w:val="center"/>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91 a 180 dias</w:t>
            </w:r>
          </w:p>
        </w:tc>
        <w:tc>
          <w:tcPr>
            <w:tcW w:w="420" w:type="pct"/>
            <w:tcBorders>
              <w:top w:val="nil"/>
              <w:left w:val="nil"/>
              <w:bottom w:val="nil"/>
              <w:right w:val="nil"/>
            </w:tcBorders>
            <w:shd w:val="clear" w:color="000000" w:fill="005CA9"/>
            <w:vAlign w:val="center"/>
            <w:hideMark/>
          </w:tcPr>
          <w:p w14:paraId="6803365F" w14:textId="77777777" w:rsidR="00A85066" w:rsidRPr="00A85066" w:rsidRDefault="00A85066" w:rsidP="00A85066">
            <w:pPr>
              <w:jc w:val="center"/>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181 a 360 dias</w:t>
            </w:r>
          </w:p>
        </w:tc>
        <w:tc>
          <w:tcPr>
            <w:tcW w:w="421" w:type="pct"/>
            <w:tcBorders>
              <w:top w:val="nil"/>
              <w:left w:val="nil"/>
              <w:bottom w:val="nil"/>
              <w:right w:val="nil"/>
            </w:tcBorders>
            <w:shd w:val="clear" w:color="000000" w:fill="005CA9"/>
            <w:vAlign w:val="center"/>
            <w:hideMark/>
          </w:tcPr>
          <w:p w14:paraId="5E49CFEC" w14:textId="77777777" w:rsidR="00A85066" w:rsidRPr="00A85066" w:rsidRDefault="00A85066" w:rsidP="00A85066">
            <w:pPr>
              <w:jc w:val="center"/>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Acima de 360 dias</w:t>
            </w:r>
          </w:p>
        </w:tc>
        <w:tc>
          <w:tcPr>
            <w:tcW w:w="420" w:type="pct"/>
            <w:tcBorders>
              <w:top w:val="nil"/>
              <w:left w:val="nil"/>
              <w:bottom w:val="nil"/>
              <w:right w:val="nil"/>
            </w:tcBorders>
            <w:shd w:val="clear" w:color="000000" w:fill="005CA9"/>
            <w:vAlign w:val="center"/>
            <w:hideMark/>
          </w:tcPr>
          <w:p w14:paraId="50BA82C6" w14:textId="77777777" w:rsidR="00A85066" w:rsidRPr="00A85066" w:rsidRDefault="00A85066" w:rsidP="00A85066">
            <w:pPr>
              <w:jc w:val="center"/>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Valor justo</w:t>
            </w:r>
          </w:p>
        </w:tc>
        <w:tc>
          <w:tcPr>
            <w:tcW w:w="420" w:type="pct"/>
            <w:tcBorders>
              <w:top w:val="nil"/>
              <w:left w:val="nil"/>
              <w:right w:val="nil"/>
            </w:tcBorders>
            <w:shd w:val="clear" w:color="000000" w:fill="005CA9"/>
            <w:vAlign w:val="center"/>
            <w:hideMark/>
          </w:tcPr>
          <w:p w14:paraId="42BE804A" w14:textId="77777777" w:rsidR="00B77E05" w:rsidRPr="00A85066" w:rsidRDefault="00A85066" w:rsidP="00A85066">
            <w:pPr>
              <w:jc w:val="center"/>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Valor contábil</w:t>
            </w:r>
          </w:p>
          <w:p w14:paraId="1E37D14E" w14:textId="214C5DB2" w:rsidR="00A85066" w:rsidRPr="00A85066" w:rsidRDefault="00B77E05" w:rsidP="00A85066">
            <w:pPr>
              <w:jc w:val="center"/>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bruto</w:t>
            </w:r>
          </w:p>
        </w:tc>
        <w:tc>
          <w:tcPr>
            <w:tcW w:w="420" w:type="pct"/>
            <w:tcBorders>
              <w:top w:val="nil"/>
              <w:left w:val="nil"/>
              <w:bottom w:val="nil"/>
              <w:right w:val="nil"/>
            </w:tcBorders>
            <w:shd w:val="clear" w:color="000000" w:fill="005CA9"/>
            <w:vAlign w:val="center"/>
            <w:hideMark/>
          </w:tcPr>
          <w:p w14:paraId="5E655BF9" w14:textId="77777777" w:rsidR="00A85066" w:rsidRPr="00A85066" w:rsidRDefault="00A85066" w:rsidP="00A85066">
            <w:pPr>
              <w:jc w:val="center"/>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Perdas esperadas</w:t>
            </w:r>
          </w:p>
        </w:tc>
        <w:tc>
          <w:tcPr>
            <w:tcW w:w="423" w:type="pct"/>
            <w:tcBorders>
              <w:top w:val="nil"/>
              <w:left w:val="nil"/>
              <w:bottom w:val="nil"/>
              <w:right w:val="nil"/>
            </w:tcBorders>
            <w:shd w:val="clear" w:color="000000" w:fill="005CA9"/>
            <w:vAlign w:val="center"/>
            <w:hideMark/>
          </w:tcPr>
          <w:p w14:paraId="718659F6" w14:textId="77777777" w:rsidR="00A85066" w:rsidRPr="00A85066" w:rsidRDefault="00A85066" w:rsidP="00A85066">
            <w:pPr>
              <w:jc w:val="center"/>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Ajuste a valor justo</w:t>
            </w:r>
          </w:p>
        </w:tc>
      </w:tr>
      <w:tr w:rsidR="00A85066" w:rsidRPr="00A85066" w14:paraId="26631E83" w14:textId="77777777" w:rsidTr="001177F4">
        <w:trPr>
          <w:trHeight w:val="283"/>
        </w:trPr>
        <w:tc>
          <w:tcPr>
            <w:tcW w:w="1216" w:type="pct"/>
            <w:tcBorders>
              <w:top w:val="nil"/>
              <w:left w:val="nil"/>
              <w:bottom w:val="nil"/>
              <w:right w:val="nil"/>
            </w:tcBorders>
            <w:noWrap/>
            <w:vAlign w:val="center"/>
            <w:hideMark/>
          </w:tcPr>
          <w:p w14:paraId="2A882DE4" w14:textId="77777777" w:rsidR="00A85066" w:rsidRPr="00A85066" w:rsidRDefault="00A85066" w:rsidP="00A85066">
            <w:pPr>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Títulos públicos federais brasileiros</w:t>
            </w:r>
          </w:p>
        </w:tc>
        <w:tc>
          <w:tcPr>
            <w:tcW w:w="420" w:type="pct"/>
            <w:tcBorders>
              <w:top w:val="nil"/>
              <w:left w:val="nil"/>
              <w:bottom w:val="nil"/>
              <w:right w:val="nil"/>
            </w:tcBorders>
            <w:noWrap/>
            <w:vAlign w:val="center"/>
            <w:hideMark/>
          </w:tcPr>
          <w:p w14:paraId="455547CA" w14:textId="77777777" w:rsidR="00A85066" w:rsidRPr="00A85066" w:rsidRDefault="00A85066" w:rsidP="00A85066">
            <w:pPr>
              <w:jc w:val="center"/>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73AFE08E"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3.641.590</w:t>
            </w:r>
          </w:p>
        </w:tc>
        <w:tc>
          <w:tcPr>
            <w:tcW w:w="420" w:type="pct"/>
            <w:tcBorders>
              <w:top w:val="nil"/>
              <w:left w:val="nil"/>
              <w:bottom w:val="nil"/>
              <w:right w:val="nil"/>
            </w:tcBorders>
            <w:noWrap/>
            <w:vAlign w:val="center"/>
            <w:hideMark/>
          </w:tcPr>
          <w:p w14:paraId="3D468F10"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2.758.402</w:t>
            </w:r>
          </w:p>
        </w:tc>
        <w:tc>
          <w:tcPr>
            <w:tcW w:w="420" w:type="pct"/>
            <w:tcBorders>
              <w:top w:val="nil"/>
              <w:left w:val="nil"/>
              <w:bottom w:val="nil"/>
              <w:right w:val="nil"/>
            </w:tcBorders>
            <w:noWrap/>
            <w:vAlign w:val="center"/>
            <w:hideMark/>
          </w:tcPr>
          <w:p w14:paraId="56EB2CCE"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1.359.292</w:t>
            </w:r>
          </w:p>
        </w:tc>
        <w:tc>
          <w:tcPr>
            <w:tcW w:w="421" w:type="pct"/>
            <w:tcBorders>
              <w:top w:val="nil"/>
              <w:left w:val="nil"/>
              <w:bottom w:val="nil"/>
              <w:right w:val="nil"/>
            </w:tcBorders>
            <w:noWrap/>
            <w:vAlign w:val="center"/>
            <w:hideMark/>
          </w:tcPr>
          <w:p w14:paraId="1722CC6E"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285.708.822</w:t>
            </w:r>
          </w:p>
        </w:tc>
        <w:tc>
          <w:tcPr>
            <w:tcW w:w="420" w:type="pct"/>
            <w:tcBorders>
              <w:top w:val="nil"/>
              <w:left w:val="nil"/>
              <w:bottom w:val="nil"/>
              <w:right w:val="nil"/>
            </w:tcBorders>
            <w:noWrap/>
            <w:vAlign w:val="center"/>
            <w:hideMark/>
          </w:tcPr>
          <w:p w14:paraId="2D095986"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293.468.106</w:t>
            </w:r>
          </w:p>
        </w:tc>
        <w:tc>
          <w:tcPr>
            <w:tcW w:w="420" w:type="pct"/>
            <w:tcBorders>
              <w:top w:val="nil"/>
              <w:left w:val="nil"/>
              <w:bottom w:val="nil"/>
              <w:right w:val="nil"/>
            </w:tcBorders>
            <w:noWrap/>
            <w:vAlign w:val="center"/>
            <w:hideMark/>
          </w:tcPr>
          <w:p w14:paraId="5ABC410B"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293.460.576</w:t>
            </w:r>
          </w:p>
        </w:tc>
        <w:tc>
          <w:tcPr>
            <w:tcW w:w="420" w:type="pct"/>
            <w:tcBorders>
              <w:top w:val="nil"/>
              <w:left w:val="nil"/>
              <w:bottom w:val="nil"/>
              <w:right w:val="nil"/>
            </w:tcBorders>
            <w:noWrap/>
            <w:vAlign w:val="center"/>
            <w:hideMark/>
          </w:tcPr>
          <w:p w14:paraId="03183B43" w14:textId="77777777" w:rsidR="00A85066" w:rsidRPr="00A85066" w:rsidRDefault="00A85066" w:rsidP="00A85066">
            <w:pPr>
              <w:jc w:val="center"/>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w:t>
            </w:r>
          </w:p>
        </w:tc>
        <w:tc>
          <w:tcPr>
            <w:tcW w:w="423" w:type="pct"/>
            <w:tcBorders>
              <w:top w:val="nil"/>
              <w:left w:val="nil"/>
              <w:bottom w:val="nil"/>
              <w:right w:val="nil"/>
            </w:tcBorders>
            <w:noWrap/>
            <w:vAlign w:val="center"/>
            <w:hideMark/>
          </w:tcPr>
          <w:p w14:paraId="53A61AE8"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7.530</w:t>
            </w:r>
          </w:p>
        </w:tc>
      </w:tr>
      <w:tr w:rsidR="00A85066" w:rsidRPr="00A85066" w14:paraId="336FABB6" w14:textId="77777777" w:rsidTr="001177F4">
        <w:trPr>
          <w:trHeight w:val="283"/>
        </w:trPr>
        <w:tc>
          <w:tcPr>
            <w:tcW w:w="1216" w:type="pct"/>
            <w:tcBorders>
              <w:top w:val="nil"/>
              <w:left w:val="nil"/>
              <w:bottom w:val="nil"/>
              <w:right w:val="nil"/>
            </w:tcBorders>
            <w:noWrap/>
            <w:vAlign w:val="center"/>
            <w:hideMark/>
          </w:tcPr>
          <w:p w14:paraId="4396451B" w14:textId="77777777" w:rsidR="00A85066" w:rsidRPr="00A85066" w:rsidRDefault="00A85066" w:rsidP="00A85066">
            <w:pPr>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Títulos privados de instituições financeiras</w:t>
            </w:r>
          </w:p>
        </w:tc>
        <w:tc>
          <w:tcPr>
            <w:tcW w:w="420" w:type="pct"/>
            <w:tcBorders>
              <w:top w:val="nil"/>
              <w:left w:val="nil"/>
              <w:bottom w:val="nil"/>
              <w:right w:val="nil"/>
            </w:tcBorders>
            <w:noWrap/>
            <w:vAlign w:val="center"/>
            <w:hideMark/>
          </w:tcPr>
          <w:p w14:paraId="76E5FB84" w14:textId="77777777" w:rsidR="00A85066" w:rsidRPr="00A85066" w:rsidRDefault="00A85066" w:rsidP="00A85066">
            <w:pPr>
              <w:jc w:val="center"/>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6FEEE791"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439.201</w:t>
            </w:r>
          </w:p>
        </w:tc>
        <w:tc>
          <w:tcPr>
            <w:tcW w:w="420" w:type="pct"/>
            <w:tcBorders>
              <w:top w:val="nil"/>
              <w:left w:val="nil"/>
              <w:bottom w:val="nil"/>
              <w:right w:val="nil"/>
            </w:tcBorders>
            <w:noWrap/>
            <w:vAlign w:val="center"/>
            <w:hideMark/>
          </w:tcPr>
          <w:p w14:paraId="3B36A62E"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284.093</w:t>
            </w:r>
          </w:p>
        </w:tc>
        <w:tc>
          <w:tcPr>
            <w:tcW w:w="420" w:type="pct"/>
            <w:tcBorders>
              <w:top w:val="nil"/>
              <w:left w:val="nil"/>
              <w:bottom w:val="nil"/>
              <w:right w:val="nil"/>
            </w:tcBorders>
            <w:noWrap/>
            <w:vAlign w:val="center"/>
            <w:hideMark/>
          </w:tcPr>
          <w:p w14:paraId="3A91F9F8"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436.357</w:t>
            </w:r>
          </w:p>
        </w:tc>
        <w:tc>
          <w:tcPr>
            <w:tcW w:w="421" w:type="pct"/>
            <w:tcBorders>
              <w:top w:val="nil"/>
              <w:left w:val="nil"/>
              <w:bottom w:val="nil"/>
              <w:right w:val="nil"/>
            </w:tcBorders>
            <w:noWrap/>
            <w:vAlign w:val="center"/>
            <w:hideMark/>
          </w:tcPr>
          <w:p w14:paraId="0D2F6EF9"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422.268</w:t>
            </w:r>
          </w:p>
        </w:tc>
        <w:tc>
          <w:tcPr>
            <w:tcW w:w="420" w:type="pct"/>
            <w:tcBorders>
              <w:top w:val="nil"/>
              <w:left w:val="nil"/>
              <w:bottom w:val="nil"/>
              <w:right w:val="nil"/>
            </w:tcBorders>
            <w:noWrap/>
            <w:vAlign w:val="center"/>
            <w:hideMark/>
          </w:tcPr>
          <w:p w14:paraId="6FC0EBB2"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1.581.919</w:t>
            </w:r>
          </w:p>
        </w:tc>
        <w:tc>
          <w:tcPr>
            <w:tcW w:w="420" w:type="pct"/>
            <w:tcBorders>
              <w:top w:val="nil"/>
              <w:left w:val="nil"/>
              <w:bottom w:val="nil"/>
              <w:right w:val="nil"/>
            </w:tcBorders>
            <w:noWrap/>
            <w:vAlign w:val="center"/>
            <w:hideMark/>
          </w:tcPr>
          <w:p w14:paraId="571EF011"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1.574.865</w:t>
            </w:r>
          </w:p>
        </w:tc>
        <w:tc>
          <w:tcPr>
            <w:tcW w:w="420" w:type="pct"/>
            <w:tcBorders>
              <w:top w:val="nil"/>
              <w:left w:val="nil"/>
              <w:bottom w:val="nil"/>
              <w:right w:val="nil"/>
            </w:tcBorders>
            <w:noWrap/>
            <w:vAlign w:val="center"/>
            <w:hideMark/>
          </w:tcPr>
          <w:p w14:paraId="58ECA54D"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(3.360)</w:t>
            </w:r>
          </w:p>
        </w:tc>
        <w:tc>
          <w:tcPr>
            <w:tcW w:w="423" w:type="pct"/>
            <w:tcBorders>
              <w:top w:val="nil"/>
              <w:left w:val="nil"/>
              <w:bottom w:val="nil"/>
              <w:right w:val="nil"/>
            </w:tcBorders>
            <w:noWrap/>
            <w:vAlign w:val="center"/>
            <w:hideMark/>
          </w:tcPr>
          <w:p w14:paraId="098E4EBF"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10.414</w:t>
            </w:r>
          </w:p>
        </w:tc>
      </w:tr>
      <w:tr w:rsidR="00A85066" w:rsidRPr="00A85066" w14:paraId="6C6CCE3D" w14:textId="77777777" w:rsidTr="001177F4">
        <w:trPr>
          <w:trHeight w:val="283"/>
        </w:trPr>
        <w:tc>
          <w:tcPr>
            <w:tcW w:w="1216" w:type="pct"/>
            <w:tcBorders>
              <w:top w:val="nil"/>
              <w:left w:val="nil"/>
              <w:bottom w:val="nil"/>
              <w:right w:val="nil"/>
            </w:tcBorders>
            <w:noWrap/>
            <w:vAlign w:val="center"/>
            <w:hideMark/>
          </w:tcPr>
          <w:p w14:paraId="5E1B330B" w14:textId="77777777" w:rsidR="00A85066" w:rsidRPr="00A85066" w:rsidRDefault="00A85066" w:rsidP="00A85066">
            <w:pPr>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Títulos privados de entidades não financeiras</w:t>
            </w:r>
          </w:p>
        </w:tc>
        <w:tc>
          <w:tcPr>
            <w:tcW w:w="420" w:type="pct"/>
            <w:tcBorders>
              <w:top w:val="nil"/>
              <w:left w:val="nil"/>
              <w:bottom w:val="nil"/>
              <w:right w:val="nil"/>
            </w:tcBorders>
            <w:noWrap/>
            <w:vAlign w:val="center"/>
            <w:hideMark/>
          </w:tcPr>
          <w:p w14:paraId="5482033D" w14:textId="77777777" w:rsidR="00A85066" w:rsidRPr="00A85066" w:rsidRDefault="00A85066" w:rsidP="00A85066">
            <w:pPr>
              <w:jc w:val="center"/>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1AC317A0" w14:textId="77777777" w:rsidR="00A85066" w:rsidRPr="00A85066" w:rsidRDefault="00A85066" w:rsidP="00A85066">
            <w:pPr>
              <w:jc w:val="center"/>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496E0E25" w14:textId="77777777" w:rsidR="00A85066" w:rsidRPr="00A85066" w:rsidRDefault="00A85066" w:rsidP="00A85066">
            <w:pPr>
              <w:jc w:val="center"/>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1E21840D"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151.655</w:t>
            </w:r>
          </w:p>
        </w:tc>
        <w:tc>
          <w:tcPr>
            <w:tcW w:w="421" w:type="pct"/>
            <w:tcBorders>
              <w:top w:val="nil"/>
              <w:left w:val="nil"/>
              <w:bottom w:val="nil"/>
              <w:right w:val="nil"/>
            </w:tcBorders>
            <w:noWrap/>
            <w:vAlign w:val="center"/>
            <w:hideMark/>
          </w:tcPr>
          <w:p w14:paraId="06D39BB3"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14.107.109</w:t>
            </w:r>
          </w:p>
        </w:tc>
        <w:tc>
          <w:tcPr>
            <w:tcW w:w="420" w:type="pct"/>
            <w:tcBorders>
              <w:top w:val="nil"/>
              <w:left w:val="nil"/>
              <w:bottom w:val="nil"/>
              <w:right w:val="nil"/>
            </w:tcBorders>
            <w:noWrap/>
            <w:vAlign w:val="center"/>
            <w:hideMark/>
          </w:tcPr>
          <w:p w14:paraId="7F08E59C"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14.258.764</w:t>
            </w:r>
          </w:p>
        </w:tc>
        <w:tc>
          <w:tcPr>
            <w:tcW w:w="420" w:type="pct"/>
            <w:tcBorders>
              <w:top w:val="nil"/>
              <w:left w:val="nil"/>
              <w:bottom w:val="nil"/>
              <w:right w:val="nil"/>
            </w:tcBorders>
            <w:noWrap/>
            <w:vAlign w:val="center"/>
            <w:hideMark/>
          </w:tcPr>
          <w:p w14:paraId="135D8BBC"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14.396.286</w:t>
            </w:r>
          </w:p>
        </w:tc>
        <w:tc>
          <w:tcPr>
            <w:tcW w:w="420" w:type="pct"/>
            <w:tcBorders>
              <w:top w:val="nil"/>
              <w:left w:val="nil"/>
              <w:bottom w:val="nil"/>
              <w:right w:val="nil"/>
            </w:tcBorders>
            <w:noWrap/>
            <w:vAlign w:val="center"/>
            <w:hideMark/>
          </w:tcPr>
          <w:p w14:paraId="06C65ABB"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(499.588)</w:t>
            </w:r>
          </w:p>
        </w:tc>
        <w:tc>
          <w:tcPr>
            <w:tcW w:w="423" w:type="pct"/>
            <w:tcBorders>
              <w:top w:val="nil"/>
              <w:left w:val="nil"/>
              <w:bottom w:val="nil"/>
              <w:right w:val="nil"/>
            </w:tcBorders>
            <w:noWrap/>
            <w:vAlign w:val="center"/>
            <w:hideMark/>
          </w:tcPr>
          <w:p w14:paraId="02936A97"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362.066</w:t>
            </w:r>
          </w:p>
        </w:tc>
      </w:tr>
      <w:tr w:rsidR="00A85066" w:rsidRPr="00A85066" w14:paraId="4DCB80CC" w14:textId="77777777" w:rsidTr="001177F4">
        <w:trPr>
          <w:trHeight w:val="283"/>
        </w:trPr>
        <w:tc>
          <w:tcPr>
            <w:tcW w:w="1216" w:type="pct"/>
            <w:tcBorders>
              <w:top w:val="nil"/>
              <w:left w:val="nil"/>
              <w:bottom w:val="nil"/>
              <w:right w:val="nil"/>
            </w:tcBorders>
            <w:noWrap/>
            <w:vAlign w:val="center"/>
            <w:hideMark/>
          </w:tcPr>
          <w:p w14:paraId="2530DA86" w14:textId="77777777" w:rsidR="00A85066" w:rsidRPr="00A85066" w:rsidRDefault="00A85066" w:rsidP="00A85066">
            <w:pPr>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Cotas de fundo de investimento (1)</w:t>
            </w:r>
          </w:p>
        </w:tc>
        <w:tc>
          <w:tcPr>
            <w:tcW w:w="420" w:type="pct"/>
            <w:tcBorders>
              <w:top w:val="nil"/>
              <w:left w:val="nil"/>
              <w:bottom w:val="nil"/>
              <w:right w:val="nil"/>
            </w:tcBorders>
            <w:noWrap/>
            <w:vAlign w:val="center"/>
            <w:hideMark/>
          </w:tcPr>
          <w:p w14:paraId="5E3C017F"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1.658.937</w:t>
            </w:r>
          </w:p>
        </w:tc>
        <w:tc>
          <w:tcPr>
            <w:tcW w:w="420" w:type="pct"/>
            <w:tcBorders>
              <w:top w:val="nil"/>
              <w:left w:val="nil"/>
              <w:bottom w:val="nil"/>
              <w:right w:val="nil"/>
            </w:tcBorders>
            <w:noWrap/>
            <w:vAlign w:val="center"/>
            <w:hideMark/>
          </w:tcPr>
          <w:p w14:paraId="3F125588" w14:textId="77777777" w:rsidR="00A85066" w:rsidRPr="00A85066" w:rsidRDefault="00A85066" w:rsidP="00A85066">
            <w:pPr>
              <w:jc w:val="center"/>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3D680791" w14:textId="77777777" w:rsidR="00A85066" w:rsidRPr="00A85066" w:rsidRDefault="00A85066" w:rsidP="00A85066">
            <w:pPr>
              <w:jc w:val="center"/>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5AF71240" w14:textId="77777777" w:rsidR="00A85066" w:rsidRPr="00A85066" w:rsidRDefault="00A85066" w:rsidP="00A85066">
            <w:pPr>
              <w:jc w:val="center"/>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w:t>
            </w:r>
          </w:p>
        </w:tc>
        <w:tc>
          <w:tcPr>
            <w:tcW w:w="421" w:type="pct"/>
            <w:tcBorders>
              <w:top w:val="nil"/>
              <w:left w:val="nil"/>
              <w:bottom w:val="nil"/>
              <w:right w:val="nil"/>
            </w:tcBorders>
            <w:noWrap/>
            <w:vAlign w:val="center"/>
            <w:hideMark/>
          </w:tcPr>
          <w:p w14:paraId="53841384" w14:textId="77777777" w:rsidR="00A85066" w:rsidRPr="00A85066" w:rsidRDefault="00A85066" w:rsidP="00A85066">
            <w:pPr>
              <w:jc w:val="center"/>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0CED88DF"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1.658.937</w:t>
            </w:r>
          </w:p>
        </w:tc>
        <w:tc>
          <w:tcPr>
            <w:tcW w:w="420" w:type="pct"/>
            <w:tcBorders>
              <w:top w:val="nil"/>
              <w:left w:val="nil"/>
              <w:bottom w:val="nil"/>
              <w:right w:val="nil"/>
            </w:tcBorders>
            <w:noWrap/>
            <w:vAlign w:val="center"/>
            <w:hideMark/>
          </w:tcPr>
          <w:p w14:paraId="0FA8854B"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495.411</w:t>
            </w:r>
          </w:p>
        </w:tc>
        <w:tc>
          <w:tcPr>
            <w:tcW w:w="420" w:type="pct"/>
            <w:tcBorders>
              <w:top w:val="nil"/>
              <w:left w:val="nil"/>
              <w:bottom w:val="nil"/>
              <w:right w:val="nil"/>
            </w:tcBorders>
            <w:noWrap/>
            <w:vAlign w:val="center"/>
            <w:hideMark/>
          </w:tcPr>
          <w:p w14:paraId="4F0E3D27" w14:textId="77777777" w:rsidR="00A85066" w:rsidRPr="00A85066" w:rsidRDefault="00A85066" w:rsidP="00A85066">
            <w:pPr>
              <w:jc w:val="center"/>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w:t>
            </w:r>
          </w:p>
        </w:tc>
        <w:tc>
          <w:tcPr>
            <w:tcW w:w="423" w:type="pct"/>
            <w:tcBorders>
              <w:top w:val="nil"/>
              <w:left w:val="nil"/>
              <w:bottom w:val="nil"/>
              <w:right w:val="nil"/>
            </w:tcBorders>
            <w:noWrap/>
            <w:vAlign w:val="center"/>
            <w:hideMark/>
          </w:tcPr>
          <w:p w14:paraId="704CCFC4"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1.163.526</w:t>
            </w:r>
          </w:p>
        </w:tc>
      </w:tr>
      <w:tr w:rsidR="00A85066" w:rsidRPr="00A85066" w14:paraId="20FC4720" w14:textId="77777777" w:rsidTr="001177F4">
        <w:trPr>
          <w:trHeight w:val="283"/>
        </w:trPr>
        <w:tc>
          <w:tcPr>
            <w:tcW w:w="1216" w:type="pct"/>
            <w:tcBorders>
              <w:top w:val="nil"/>
              <w:left w:val="nil"/>
              <w:bottom w:val="nil"/>
              <w:right w:val="nil"/>
            </w:tcBorders>
            <w:noWrap/>
            <w:vAlign w:val="center"/>
            <w:hideMark/>
          </w:tcPr>
          <w:p w14:paraId="1318EFD9" w14:textId="77777777" w:rsidR="00A85066" w:rsidRPr="00A85066" w:rsidRDefault="00A85066" w:rsidP="00A85066">
            <w:pPr>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Ações (1)</w:t>
            </w:r>
          </w:p>
        </w:tc>
        <w:tc>
          <w:tcPr>
            <w:tcW w:w="420" w:type="pct"/>
            <w:tcBorders>
              <w:top w:val="nil"/>
              <w:left w:val="nil"/>
              <w:bottom w:val="nil"/>
              <w:right w:val="nil"/>
            </w:tcBorders>
            <w:noWrap/>
            <w:vAlign w:val="center"/>
            <w:hideMark/>
          </w:tcPr>
          <w:p w14:paraId="3EB6143A"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14.071</w:t>
            </w:r>
          </w:p>
        </w:tc>
        <w:tc>
          <w:tcPr>
            <w:tcW w:w="420" w:type="pct"/>
            <w:tcBorders>
              <w:top w:val="nil"/>
              <w:left w:val="nil"/>
              <w:bottom w:val="nil"/>
              <w:right w:val="nil"/>
            </w:tcBorders>
            <w:noWrap/>
            <w:vAlign w:val="center"/>
            <w:hideMark/>
          </w:tcPr>
          <w:p w14:paraId="6A32B7FB" w14:textId="77777777" w:rsidR="00A85066" w:rsidRPr="00A85066" w:rsidRDefault="00A85066" w:rsidP="00A85066">
            <w:pPr>
              <w:jc w:val="center"/>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36C8F9E4" w14:textId="77777777" w:rsidR="00A85066" w:rsidRPr="00A85066" w:rsidRDefault="00A85066" w:rsidP="00A85066">
            <w:pPr>
              <w:jc w:val="center"/>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57277445" w14:textId="77777777" w:rsidR="00A85066" w:rsidRPr="00A85066" w:rsidRDefault="00A85066" w:rsidP="00A85066">
            <w:pPr>
              <w:jc w:val="center"/>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w:t>
            </w:r>
          </w:p>
        </w:tc>
        <w:tc>
          <w:tcPr>
            <w:tcW w:w="421" w:type="pct"/>
            <w:tcBorders>
              <w:top w:val="nil"/>
              <w:left w:val="nil"/>
              <w:bottom w:val="nil"/>
              <w:right w:val="nil"/>
            </w:tcBorders>
            <w:noWrap/>
            <w:vAlign w:val="center"/>
            <w:hideMark/>
          </w:tcPr>
          <w:p w14:paraId="1FA4701B" w14:textId="77777777" w:rsidR="00A85066" w:rsidRPr="00A85066" w:rsidRDefault="00A85066" w:rsidP="00A85066">
            <w:pPr>
              <w:jc w:val="center"/>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w:t>
            </w:r>
          </w:p>
        </w:tc>
        <w:tc>
          <w:tcPr>
            <w:tcW w:w="420" w:type="pct"/>
            <w:tcBorders>
              <w:top w:val="nil"/>
              <w:left w:val="nil"/>
              <w:bottom w:val="nil"/>
              <w:right w:val="nil"/>
            </w:tcBorders>
            <w:noWrap/>
            <w:vAlign w:val="center"/>
            <w:hideMark/>
          </w:tcPr>
          <w:p w14:paraId="026D8B03"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14.071</w:t>
            </w:r>
          </w:p>
        </w:tc>
        <w:tc>
          <w:tcPr>
            <w:tcW w:w="420" w:type="pct"/>
            <w:tcBorders>
              <w:top w:val="nil"/>
              <w:left w:val="nil"/>
              <w:bottom w:val="nil"/>
              <w:right w:val="nil"/>
            </w:tcBorders>
            <w:noWrap/>
            <w:vAlign w:val="center"/>
            <w:hideMark/>
          </w:tcPr>
          <w:p w14:paraId="3F7AA557"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18.970</w:t>
            </w:r>
          </w:p>
        </w:tc>
        <w:tc>
          <w:tcPr>
            <w:tcW w:w="420" w:type="pct"/>
            <w:tcBorders>
              <w:top w:val="nil"/>
              <w:left w:val="nil"/>
              <w:bottom w:val="nil"/>
              <w:right w:val="nil"/>
            </w:tcBorders>
            <w:noWrap/>
            <w:vAlign w:val="center"/>
            <w:hideMark/>
          </w:tcPr>
          <w:p w14:paraId="5F25DDBD" w14:textId="77777777" w:rsidR="00A85066" w:rsidRPr="00A85066" w:rsidRDefault="00A85066" w:rsidP="00A85066">
            <w:pPr>
              <w:jc w:val="center"/>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w:t>
            </w:r>
          </w:p>
        </w:tc>
        <w:tc>
          <w:tcPr>
            <w:tcW w:w="423" w:type="pct"/>
            <w:tcBorders>
              <w:top w:val="nil"/>
              <w:left w:val="nil"/>
              <w:bottom w:val="nil"/>
              <w:right w:val="nil"/>
            </w:tcBorders>
            <w:noWrap/>
            <w:vAlign w:val="center"/>
            <w:hideMark/>
          </w:tcPr>
          <w:p w14:paraId="4AB8720D" w14:textId="77777777" w:rsidR="00A85066" w:rsidRPr="00A85066" w:rsidRDefault="00A85066" w:rsidP="00A85066">
            <w:pPr>
              <w:jc w:val="right"/>
              <w:rPr>
                <w:rFonts w:ascii="CAIXA Std Book" w:eastAsia="Times New Roman" w:hAnsi="CAIXA Std Book" w:cs="Calibri"/>
                <w:color w:val="005CA9"/>
                <w:sz w:val="16"/>
                <w:szCs w:val="16"/>
              </w:rPr>
            </w:pPr>
            <w:r w:rsidRPr="00A85066">
              <w:rPr>
                <w:rFonts w:ascii="CAIXA Std Book" w:eastAsia="Times New Roman" w:hAnsi="CAIXA Std Book" w:cs="Calibri"/>
                <w:color w:val="005CA9"/>
                <w:sz w:val="16"/>
                <w:szCs w:val="16"/>
              </w:rPr>
              <w:t>(4.899)</w:t>
            </w:r>
          </w:p>
        </w:tc>
      </w:tr>
      <w:tr w:rsidR="00A85066" w:rsidRPr="00A85066" w14:paraId="33FBB927" w14:textId="77777777" w:rsidTr="001177F4">
        <w:trPr>
          <w:trHeight w:val="283"/>
        </w:trPr>
        <w:tc>
          <w:tcPr>
            <w:tcW w:w="1216" w:type="pct"/>
            <w:tcBorders>
              <w:top w:val="nil"/>
              <w:left w:val="nil"/>
              <w:bottom w:val="nil"/>
              <w:right w:val="nil"/>
            </w:tcBorders>
            <w:shd w:val="clear" w:color="000000" w:fill="005CA9"/>
            <w:noWrap/>
            <w:vAlign w:val="center"/>
            <w:hideMark/>
          </w:tcPr>
          <w:p w14:paraId="09414768" w14:textId="77777777" w:rsidR="00A85066" w:rsidRPr="00A85066" w:rsidRDefault="00A85066" w:rsidP="00A85066">
            <w:pPr>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Total</w:t>
            </w:r>
          </w:p>
        </w:tc>
        <w:tc>
          <w:tcPr>
            <w:tcW w:w="420" w:type="pct"/>
            <w:tcBorders>
              <w:top w:val="nil"/>
              <w:left w:val="nil"/>
              <w:bottom w:val="nil"/>
              <w:right w:val="nil"/>
            </w:tcBorders>
            <w:shd w:val="clear" w:color="000000" w:fill="005CA9"/>
            <w:noWrap/>
            <w:vAlign w:val="center"/>
            <w:hideMark/>
          </w:tcPr>
          <w:p w14:paraId="285D1DC6" w14:textId="77777777" w:rsidR="00A85066" w:rsidRPr="00A85066" w:rsidRDefault="00A85066" w:rsidP="00A85066">
            <w:pPr>
              <w:ind w:firstLineChars="100" w:firstLine="161"/>
              <w:jc w:val="right"/>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1.673.008</w:t>
            </w:r>
          </w:p>
        </w:tc>
        <w:tc>
          <w:tcPr>
            <w:tcW w:w="420" w:type="pct"/>
            <w:tcBorders>
              <w:top w:val="nil"/>
              <w:left w:val="nil"/>
              <w:bottom w:val="nil"/>
              <w:right w:val="nil"/>
            </w:tcBorders>
            <w:shd w:val="clear" w:color="000000" w:fill="005CA9"/>
            <w:noWrap/>
            <w:vAlign w:val="center"/>
            <w:hideMark/>
          </w:tcPr>
          <w:p w14:paraId="174C093A" w14:textId="77777777" w:rsidR="00A85066" w:rsidRPr="00A85066" w:rsidRDefault="00A85066" w:rsidP="00A85066">
            <w:pPr>
              <w:ind w:firstLineChars="100" w:firstLine="161"/>
              <w:jc w:val="right"/>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4.080.791</w:t>
            </w:r>
          </w:p>
        </w:tc>
        <w:tc>
          <w:tcPr>
            <w:tcW w:w="420" w:type="pct"/>
            <w:tcBorders>
              <w:top w:val="nil"/>
              <w:left w:val="nil"/>
              <w:bottom w:val="nil"/>
              <w:right w:val="nil"/>
            </w:tcBorders>
            <w:shd w:val="clear" w:color="000000" w:fill="005CA9"/>
            <w:noWrap/>
            <w:vAlign w:val="center"/>
            <w:hideMark/>
          </w:tcPr>
          <w:p w14:paraId="5B0AB6CF" w14:textId="77777777" w:rsidR="00A85066" w:rsidRPr="00A85066" w:rsidRDefault="00A85066" w:rsidP="00A85066">
            <w:pPr>
              <w:ind w:firstLineChars="100" w:firstLine="161"/>
              <w:jc w:val="right"/>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3.042.495</w:t>
            </w:r>
          </w:p>
        </w:tc>
        <w:tc>
          <w:tcPr>
            <w:tcW w:w="420" w:type="pct"/>
            <w:tcBorders>
              <w:top w:val="nil"/>
              <w:left w:val="nil"/>
              <w:bottom w:val="nil"/>
              <w:right w:val="nil"/>
            </w:tcBorders>
            <w:shd w:val="clear" w:color="000000" w:fill="005CA9"/>
            <w:vAlign w:val="center"/>
            <w:hideMark/>
          </w:tcPr>
          <w:p w14:paraId="4513FAA4" w14:textId="77777777" w:rsidR="00A85066" w:rsidRPr="00A85066" w:rsidRDefault="00A85066" w:rsidP="00A85066">
            <w:pPr>
              <w:ind w:firstLineChars="100" w:firstLine="161"/>
              <w:jc w:val="right"/>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1.947.304</w:t>
            </w:r>
          </w:p>
        </w:tc>
        <w:tc>
          <w:tcPr>
            <w:tcW w:w="421" w:type="pct"/>
            <w:tcBorders>
              <w:top w:val="nil"/>
              <w:left w:val="nil"/>
              <w:bottom w:val="nil"/>
              <w:right w:val="nil"/>
            </w:tcBorders>
            <w:shd w:val="clear" w:color="000000" w:fill="005CA9"/>
            <w:vAlign w:val="center"/>
            <w:hideMark/>
          </w:tcPr>
          <w:p w14:paraId="2A833E72" w14:textId="77777777" w:rsidR="00A85066" w:rsidRPr="00A85066" w:rsidRDefault="00A85066" w:rsidP="00A85066">
            <w:pPr>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300.238.199</w:t>
            </w:r>
          </w:p>
        </w:tc>
        <w:tc>
          <w:tcPr>
            <w:tcW w:w="420" w:type="pct"/>
            <w:tcBorders>
              <w:top w:val="nil"/>
              <w:left w:val="nil"/>
              <w:bottom w:val="nil"/>
              <w:right w:val="nil"/>
            </w:tcBorders>
            <w:shd w:val="clear" w:color="000000" w:fill="005CA9"/>
            <w:vAlign w:val="center"/>
            <w:hideMark/>
          </w:tcPr>
          <w:p w14:paraId="07FF5F3A" w14:textId="77777777" w:rsidR="00A85066" w:rsidRPr="00A85066" w:rsidRDefault="00A85066" w:rsidP="00987ECB">
            <w:pPr>
              <w:jc w:val="right"/>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310.981.797</w:t>
            </w:r>
          </w:p>
        </w:tc>
        <w:tc>
          <w:tcPr>
            <w:tcW w:w="420" w:type="pct"/>
            <w:tcBorders>
              <w:top w:val="nil"/>
              <w:left w:val="nil"/>
              <w:bottom w:val="nil"/>
              <w:right w:val="nil"/>
            </w:tcBorders>
            <w:shd w:val="clear" w:color="000000" w:fill="005CA9"/>
            <w:vAlign w:val="center"/>
            <w:hideMark/>
          </w:tcPr>
          <w:p w14:paraId="6AF4F64E" w14:textId="77777777" w:rsidR="00A85066" w:rsidRPr="00A85066" w:rsidRDefault="00A85066" w:rsidP="00987ECB">
            <w:pPr>
              <w:jc w:val="right"/>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309.946.108</w:t>
            </w:r>
          </w:p>
        </w:tc>
        <w:tc>
          <w:tcPr>
            <w:tcW w:w="420" w:type="pct"/>
            <w:tcBorders>
              <w:top w:val="nil"/>
              <w:left w:val="nil"/>
              <w:bottom w:val="nil"/>
              <w:right w:val="nil"/>
            </w:tcBorders>
            <w:shd w:val="clear" w:color="000000" w:fill="005CA9"/>
            <w:vAlign w:val="center"/>
            <w:hideMark/>
          </w:tcPr>
          <w:p w14:paraId="5299FE0E" w14:textId="77777777" w:rsidR="00A85066" w:rsidRPr="00A85066" w:rsidRDefault="00A85066" w:rsidP="00A85066">
            <w:pPr>
              <w:ind w:firstLineChars="100" w:firstLine="161"/>
              <w:jc w:val="right"/>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(502.948)</w:t>
            </w:r>
          </w:p>
        </w:tc>
        <w:tc>
          <w:tcPr>
            <w:tcW w:w="423" w:type="pct"/>
            <w:tcBorders>
              <w:top w:val="nil"/>
              <w:left w:val="nil"/>
              <w:bottom w:val="nil"/>
              <w:right w:val="nil"/>
            </w:tcBorders>
            <w:shd w:val="clear" w:color="000000" w:fill="005CA9"/>
            <w:noWrap/>
            <w:vAlign w:val="center"/>
            <w:hideMark/>
          </w:tcPr>
          <w:p w14:paraId="78B43254" w14:textId="77777777" w:rsidR="00A85066" w:rsidRPr="00A85066" w:rsidRDefault="00A85066" w:rsidP="00A85066">
            <w:pPr>
              <w:ind w:firstLineChars="100" w:firstLine="161"/>
              <w:jc w:val="right"/>
              <w:rPr>
                <w:rFonts w:ascii="CAIXA Std Book" w:eastAsia="Times New Roman" w:hAnsi="CAIXA Std Book" w:cs="Calibri"/>
                <w:b/>
                <w:bCs/>
                <w:color w:val="FFFFFF"/>
                <w:sz w:val="16"/>
                <w:szCs w:val="16"/>
              </w:rPr>
            </w:pPr>
            <w:r w:rsidRPr="00A85066">
              <w:rPr>
                <w:rFonts w:ascii="CAIXA Std Book" w:eastAsia="Times New Roman" w:hAnsi="CAIXA Std Book" w:cs="Calibri"/>
                <w:b/>
                <w:bCs/>
                <w:color w:val="FFFFFF"/>
                <w:sz w:val="16"/>
                <w:szCs w:val="16"/>
              </w:rPr>
              <w:t>1.538.637</w:t>
            </w:r>
          </w:p>
        </w:tc>
      </w:tr>
    </w:tbl>
    <w:p w14:paraId="46660BCC" w14:textId="05F36642" w:rsidR="00AB3081" w:rsidRPr="001D4E38" w:rsidRDefault="00AB3081" w:rsidP="00AB3081">
      <w:pPr>
        <w:rPr>
          <w:rFonts w:ascii="CAIXA Std Book" w:hAnsi="CAIXA Std Book"/>
          <w:b/>
          <w:color w:val="005CA9"/>
          <w:sz w:val="20"/>
          <w:szCs w:val="20"/>
        </w:rPr>
      </w:pPr>
      <w:r w:rsidRPr="00D75391">
        <w:rPr>
          <w:rFonts w:ascii="CAIXA Std Book" w:eastAsia="Times New Roman" w:hAnsi="CAIXA Std Book" w:cs="Arial"/>
          <w:color w:val="005CA9"/>
          <w:sz w:val="16"/>
          <w:szCs w:val="16"/>
        </w:rPr>
        <w:t>(1) A CAIXA designou de modo irrevogável instrumentos patrimoniais ao valor justo por meio de outros resultados abrangentes em razão da estratégia e característica desses títulos. Em 31/12/2025 esses títulos perfazem o montante de R$ 11.222 em cotas de fundos de investimento e R$ 11.865 em ações.</w:t>
      </w:r>
    </w:p>
    <w:p w14:paraId="5AA146DE" w14:textId="77777777" w:rsidR="00EE108F" w:rsidRDefault="00EE108F" w:rsidP="00524746">
      <w:pPr>
        <w:spacing w:before="240" w:after="120"/>
        <w:rPr>
          <w:rFonts w:ascii="CAIXA Std Book" w:eastAsia="Times New Roman" w:hAnsi="CAIXA Std Book" w:cs="Arial"/>
          <w:color w:val="005CA9"/>
          <w:sz w:val="16"/>
          <w:szCs w:val="16"/>
        </w:rPr>
      </w:pPr>
    </w:p>
    <w:p w14:paraId="1D9EDE5F" w14:textId="29BD34DA" w:rsidR="00831BB8" w:rsidRPr="001669D4" w:rsidRDefault="00831BB8" w:rsidP="00524746">
      <w:pPr>
        <w:spacing w:before="240" w:after="120"/>
        <w:rPr>
          <w:rFonts w:ascii="CAIXA Std Book" w:hAnsi="CAIXA Std Book"/>
          <w:b/>
          <w:color w:val="005CA9"/>
          <w:sz w:val="20"/>
          <w:szCs w:val="20"/>
        </w:rPr>
      </w:pPr>
      <w:r>
        <w:rPr>
          <w:rFonts w:ascii="CAIXA Std Book" w:eastAsia="Times New Roman" w:hAnsi="CAIXA Std Book" w:cs="Arial"/>
          <w:color w:val="005CA9"/>
          <w:sz w:val="16"/>
          <w:szCs w:val="16"/>
        </w:rPr>
        <w:br w:type="page"/>
      </w:r>
      <w:r w:rsidR="00524746">
        <w:rPr>
          <w:rFonts w:ascii="CAIXA Std Book" w:hAnsi="CAIXA Std Book"/>
          <w:b/>
          <w:color w:val="005CA9"/>
          <w:sz w:val="20"/>
          <w:szCs w:val="20"/>
        </w:rPr>
        <w:t>(a.1)</w:t>
      </w:r>
      <w:r w:rsidR="00524746">
        <w:rPr>
          <w:rFonts w:ascii="CAIXA Std Book" w:hAnsi="CAIXA Std Book"/>
          <w:b/>
          <w:color w:val="005CA9"/>
          <w:sz w:val="20"/>
          <w:szCs w:val="20"/>
        </w:rPr>
        <w:tab/>
      </w:r>
      <w:r w:rsidR="00524746" w:rsidRPr="001669D4">
        <w:rPr>
          <w:rFonts w:ascii="CAIXA Std Book" w:hAnsi="CAIXA Std Book"/>
          <w:b/>
          <w:color w:val="005CA9"/>
          <w:sz w:val="20"/>
          <w:szCs w:val="20"/>
        </w:rPr>
        <w:t>Receitas não reconhecidas</w:t>
      </w:r>
      <w:r w:rsidR="00524746">
        <w:rPr>
          <w:rFonts w:ascii="CAIXA Std Book" w:hAnsi="CAIXA Std Book"/>
          <w:b/>
          <w:color w:val="005CA9"/>
          <w:sz w:val="20"/>
          <w:szCs w:val="20"/>
        </w:rPr>
        <w:t xml:space="preserve"> em resultado</w:t>
      </w:r>
    </w:p>
    <w:p w14:paraId="6E238004" w14:textId="7BF46AB4" w:rsidR="00FF1A2F" w:rsidRPr="00FF1A2F" w:rsidRDefault="00FF1A2F" w:rsidP="00FF1A2F">
      <w:pPr>
        <w:rPr>
          <w:rFonts w:ascii="CAIXA Std Book" w:hAnsi="CAIXA Std Book"/>
          <w:color w:val="005CA9"/>
          <w:sz w:val="20"/>
          <w:szCs w:val="20"/>
        </w:rPr>
      </w:pPr>
      <w:r w:rsidRPr="00FF1A2F">
        <w:rPr>
          <w:rFonts w:ascii="CAIXA Std Book" w:hAnsi="CAIXA Std Book"/>
          <w:color w:val="005CA9"/>
          <w:sz w:val="20"/>
          <w:szCs w:val="20"/>
        </w:rPr>
        <w:t>No 1º trimestre de 2026 as receitas com títulos e valores mobiliários ao valor justo por meio de outros resultados abrangentes não reconhecidas em função do ativo ser caracterizado com problema de recuperação de crédito totalizaram o montante de R$ 17.113 (1º trimestre de 2025 – R$ 1.152).</w:t>
      </w:r>
    </w:p>
    <w:p w14:paraId="75448E86" w14:textId="77777777" w:rsidR="00FF1A2F" w:rsidRPr="00FF1A2F" w:rsidRDefault="00FF1A2F" w:rsidP="00FF1A2F">
      <w:pPr>
        <w:pStyle w:val="PargrafodaLista"/>
        <w:ind w:left="709"/>
        <w:rPr>
          <w:rFonts w:ascii="CAIXA Std Book" w:hAnsi="CAIXA Std Book"/>
          <w:b/>
          <w:color w:val="005CA9"/>
          <w:sz w:val="20"/>
          <w:szCs w:val="20"/>
        </w:rPr>
      </w:pPr>
    </w:p>
    <w:p w14:paraId="3231D82B" w14:textId="77777777" w:rsidR="00423106" w:rsidRDefault="00423106" w:rsidP="00AB4D07">
      <w:pPr>
        <w:pStyle w:val="PargrafodaLista"/>
        <w:numPr>
          <w:ilvl w:val="0"/>
          <w:numId w:val="7"/>
        </w:numPr>
        <w:spacing w:before="240" w:after="120"/>
        <w:ind w:left="567" w:hanging="567"/>
        <w:rPr>
          <w:rFonts w:ascii="CAIXA Std Book" w:hAnsi="CAIXA Std Book"/>
          <w:b/>
          <w:color w:val="005CA9"/>
          <w:sz w:val="20"/>
          <w:szCs w:val="20"/>
        </w:rPr>
      </w:pPr>
      <w:r w:rsidRPr="00DD6830">
        <w:rPr>
          <w:rFonts w:ascii="CAIXA Std Book" w:hAnsi="CAIXA Std Book"/>
          <w:b/>
          <w:color w:val="005CA9"/>
          <w:sz w:val="20"/>
          <w:szCs w:val="20"/>
        </w:rPr>
        <w:t xml:space="preserve">Movimentação por estágios da carteira </w:t>
      </w:r>
      <w:r>
        <w:rPr>
          <w:rFonts w:ascii="CAIXA Std Book" w:hAnsi="CAIXA Std Book"/>
          <w:b/>
          <w:color w:val="005CA9"/>
          <w:sz w:val="20"/>
          <w:szCs w:val="20"/>
        </w:rPr>
        <w:t>de títulos e valores mobiliários</w:t>
      </w:r>
    </w:p>
    <w:p w14:paraId="7E7A16C7" w14:textId="13AFE4A6" w:rsidR="005E1D50" w:rsidRPr="005E1D50" w:rsidRDefault="00E31ACA" w:rsidP="005E1D50">
      <w:pPr>
        <w:rPr>
          <w:rFonts w:ascii="CAIXA Std Book" w:hAnsi="CAIXA Std Book"/>
          <w:bCs/>
          <w:color w:val="005CA9"/>
          <w:sz w:val="20"/>
          <w:szCs w:val="20"/>
        </w:rPr>
      </w:pPr>
      <w:r>
        <w:rPr>
          <w:rFonts w:ascii="CAIXA Std Book" w:hAnsi="CAIXA Std Book"/>
          <w:bCs/>
          <w:color w:val="005CA9"/>
          <w:sz w:val="20"/>
          <w:szCs w:val="20"/>
        </w:rPr>
        <w:t xml:space="preserve">As </w:t>
      </w:r>
      <w:r w:rsidR="005E1D50" w:rsidRPr="005E1D50">
        <w:rPr>
          <w:rFonts w:ascii="CAIXA Std Book" w:hAnsi="CAIXA Std Book"/>
          <w:bCs/>
          <w:color w:val="005CA9"/>
          <w:sz w:val="20"/>
          <w:szCs w:val="20"/>
        </w:rPr>
        <w:t>movimentações no</w:t>
      </w:r>
      <w:r>
        <w:rPr>
          <w:rFonts w:ascii="CAIXA Std Book" w:hAnsi="CAIXA Std Book"/>
          <w:bCs/>
          <w:color w:val="005CA9"/>
          <w:sz w:val="20"/>
          <w:szCs w:val="20"/>
        </w:rPr>
        <w:t>s</w:t>
      </w:r>
      <w:r w:rsidR="005E1D50" w:rsidRPr="005E1D50">
        <w:rPr>
          <w:rFonts w:ascii="CAIXA Std Book" w:hAnsi="CAIXA Std Book"/>
          <w:bCs/>
          <w:color w:val="005CA9"/>
          <w:sz w:val="20"/>
          <w:szCs w:val="20"/>
        </w:rPr>
        <w:t xml:space="preserve"> estágio</w:t>
      </w:r>
      <w:r>
        <w:rPr>
          <w:rFonts w:ascii="CAIXA Std Book" w:hAnsi="CAIXA Std Book"/>
          <w:bCs/>
          <w:color w:val="005CA9"/>
          <w:sz w:val="20"/>
          <w:szCs w:val="20"/>
        </w:rPr>
        <w:t>s</w:t>
      </w:r>
      <w:r w:rsidR="005E1D50" w:rsidRPr="005E1D50">
        <w:rPr>
          <w:rFonts w:ascii="CAIXA Std Book" w:hAnsi="CAIXA Std Book"/>
          <w:bCs/>
          <w:color w:val="005CA9"/>
          <w:sz w:val="20"/>
          <w:szCs w:val="20"/>
        </w:rPr>
        <w:t xml:space="preserve"> 2 e 3 contemplam os mesmos saldos no Individual e Consolidado. Os instrumentos financeiros cotas de fundos de investimento e ações foram alocados no estágio 1 de acordo com as características do ativo.</w:t>
      </w:r>
    </w:p>
    <w:p w14:paraId="342FECA6" w14:textId="77777777" w:rsidR="00E31ACA" w:rsidRPr="005E1D50" w:rsidRDefault="00E31ACA" w:rsidP="005E1D50">
      <w:pPr>
        <w:rPr>
          <w:rFonts w:ascii="CAIXA Std Book" w:hAnsi="CAIXA Std Book"/>
          <w:bCs/>
          <w:color w:val="005CA9"/>
          <w:sz w:val="20"/>
          <w:szCs w:val="20"/>
        </w:rPr>
      </w:pPr>
    </w:p>
    <w:tbl>
      <w:tblPr>
        <w:tblW w:w="5000" w:type="pct"/>
        <w:tblCellMar>
          <w:left w:w="70" w:type="dxa"/>
          <w:right w:w="70" w:type="dxa"/>
        </w:tblCellMar>
        <w:tblLook w:val="04A0" w:firstRow="1" w:lastRow="0" w:firstColumn="1" w:lastColumn="0" w:noHBand="0" w:noVBand="1"/>
      </w:tblPr>
      <w:tblGrid>
        <w:gridCol w:w="4678"/>
        <w:gridCol w:w="1979"/>
        <w:gridCol w:w="1978"/>
        <w:gridCol w:w="1978"/>
        <w:gridCol w:w="1978"/>
        <w:gridCol w:w="1978"/>
      </w:tblGrid>
      <w:tr w:rsidR="00805005" w:rsidRPr="00A13447" w14:paraId="7EB765BF" w14:textId="77777777" w:rsidTr="00E31ACA">
        <w:trPr>
          <w:trHeight w:val="272"/>
        </w:trPr>
        <w:tc>
          <w:tcPr>
            <w:tcW w:w="5000" w:type="pct"/>
            <w:gridSpan w:val="6"/>
            <w:tcBorders>
              <w:top w:val="single" w:sz="8" w:space="0" w:color="009FD0"/>
              <w:left w:val="nil"/>
              <w:bottom w:val="single" w:sz="4" w:space="0" w:color="FFFFFF" w:themeColor="background1"/>
              <w:right w:val="nil"/>
            </w:tcBorders>
            <w:shd w:val="clear" w:color="auto" w:fill="005CA9"/>
            <w:noWrap/>
            <w:vAlign w:val="center"/>
            <w:hideMark/>
          </w:tcPr>
          <w:p w14:paraId="4B89C0D4" w14:textId="5F0D5348" w:rsidR="00A13447" w:rsidRPr="00A13447" w:rsidRDefault="00747B9E" w:rsidP="00A13447">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Individual</w:t>
            </w:r>
          </w:p>
        </w:tc>
      </w:tr>
      <w:tr w:rsidR="003B077A" w:rsidRPr="00A13447" w14:paraId="602F352F" w14:textId="77777777" w:rsidTr="00C93589">
        <w:trPr>
          <w:trHeight w:val="401"/>
        </w:trPr>
        <w:tc>
          <w:tcPr>
            <w:tcW w:w="1605" w:type="pct"/>
            <w:vMerge w:val="restart"/>
            <w:tcBorders>
              <w:top w:val="single" w:sz="4" w:space="0" w:color="FFFFFF" w:themeColor="background1"/>
              <w:left w:val="nil"/>
              <w:bottom w:val="single" w:sz="4" w:space="0" w:color="FFFFFF"/>
              <w:right w:val="nil"/>
            </w:tcBorders>
            <w:shd w:val="clear" w:color="auto" w:fill="005CA9"/>
            <w:vAlign w:val="center"/>
            <w:hideMark/>
          </w:tcPr>
          <w:p w14:paraId="5CC73D55" w14:textId="77777777" w:rsidR="00A13447" w:rsidRPr="00A13447" w:rsidRDefault="00A13447" w:rsidP="00A13447">
            <w:pPr>
              <w:jc w:val="cente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Estágio 1</w:t>
            </w:r>
          </w:p>
        </w:tc>
        <w:tc>
          <w:tcPr>
            <w:tcW w:w="679" w:type="pct"/>
            <w:vMerge w:val="restart"/>
            <w:tcBorders>
              <w:top w:val="single" w:sz="4" w:space="0" w:color="FFFFFF" w:themeColor="background1"/>
              <w:left w:val="nil"/>
              <w:bottom w:val="single" w:sz="4" w:space="0" w:color="FFFFFF"/>
              <w:right w:val="nil"/>
            </w:tcBorders>
            <w:shd w:val="clear" w:color="auto" w:fill="005CA9"/>
            <w:vAlign w:val="center"/>
            <w:hideMark/>
          </w:tcPr>
          <w:p w14:paraId="6288C3EA" w14:textId="7E521043" w:rsidR="00A13447" w:rsidRPr="00A13447" w:rsidRDefault="00A13447" w:rsidP="00AD1667">
            <w:pPr>
              <w:jc w:val="cente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 xml:space="preserve">Saldo em </w:t>
            </w:r>
            <w:r w:rsidR="00933BC7" w:rsidRPr="00A13447">
              <w:rPr>
                <w:rFonts w:ascii="CAIXA Std Book" w:eastAsia="Times New Roman" w:hAnsi="CAIXA Std Book" w:cs="Calibri"/>
                <w:b/>
                <w:bCs/>
                <w:color w:val="FFFFFF"/>
                <w:sz w:val="18"/>
                <w:szCs w:val="18"/>
              </w:rPr>
              <w:t>3</w:t>
            </w:r>
            <w:r w:rsidR="00933BC7">
              <w:rPr>
                <w:rFonts w:ascii="CAIXA Std Book" w:eastAsia="Times New Roman" w:hAnsi="CAIXA Std Book" w:cs="Calibri"/>
                <w:b/>
                <w:bCs/>
                <w:color w:val="FFFFFF"/>
                <w:sz w:val="18"/>
                <w:szCs w:val="18"/>
              </w:rPr>
              <w:t>1</w:t>
            </w:r>
            <w:r w:rsidR="00933BC7" w:rsidRPr="00A13447">
              <w:rPr>
                <w:rFonts w:ascii="CAIXA Std Book" w:eastAsia="Times New Roman" w:hAnsi="CAIXA Std Book" w:cs="Calibri"/>
                <w:b/>
                <w:bCs/>
                <w:color w:val="FFFFFF"/>
                <w:sz w:val="18"/>
                <w:szCs w:val="18"/>
              </w:rPr>
              <w:t>/</w:t>
            </w:r>
            <w:r w:rsidR="00933BC7">
              <w:rPr>
                <w:rFonts w:ascii="CAIXA Std Book" w:eastAsia="Times New Roman" w:hAnsi="CAIXA Std Book" w:cs="Calibri"/>
                <w:b/>
                <w:bCs/>
                <w:color w:val="FFFFFF"/>
                <w:sz w:val="18"/>
                <w:szCs w:val="18"/>
              </w:rPr>
              <w:t>12</w:t>
            </w:r>
            <w:r w:rsidRPr="00A13447">
              <w:rPr>
                <w:rFonts w:ascii="CAIXA Std Book" w:eastAsia="Times New Roman" w:hAnsi="CAIXA Std Book" w:cs="Calibri"/>
                <w:b/>
                <w:bCs/>
                <w:color w:val="FFFFFF"/>
                <w:sz w:val="18"/>
                <w:szCs w:val="18"/>
              </w:rPr>
              <w:t>/2025</w:t>
            </w:r>
          </w:p>
        </w:tc>
        <w:tc>
          <w:tcPr>
            <w:tcW w:w="679" w:type="pct"/>
            <w:vMerge w:val="restart"/>
            <w:tcBorders>
              <w:top w:val="single" w:sz="4" w:space="0" w:color="FFFFFF" w:themeColor="background1"/>
              <w:left w:val="nil"/>
              <w:bottom w:val="single" w:sz="4" w:space="0" w:color="FFFFFF"/>
              <w:right w:val="nil"/>
            </w:tcBorders>
            <w:shd w:val="clear" w:color="auto" w:fill="005CA9"/>
            <w:vAlign w:val="center"/>
            <w:hideMark/>
          </w:tcPr>
          <w:p w14:paraId="7F85CB23" w14:textId="32876DC9" w:rsidR="001638E9" w:rsidRDefault="00A13447" w:rsidP="00AD1667">
            <w:pPr>
              <w:jc w:val="cente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Compra/</w:t>
            </w:r>
          </w:p>
          <w:p w14:paraId="33D0C046" w14:textId="69D67F01" w:rsidR="00A13447" w:rsidRPr="00A13447" w:rsidRDefault="00E607E9" w:rsidP="00AD1667">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w:t>
            </w:r>
            <w:r w:rsidR="00A13447" w:rsidRPr="00A13447">
              <w:rPr>
                <w:rFonts w:ascii="CAIXA Std Book" w:eastAsia="Times New Roman" w:hAnsi="CAIXA Std Book" w:cs="Calibri"/>
                <w:b/>
                <w:bCs/>
                <w:color w:val="FFFFFF"/>
                <w:sz w:val="18"/>
                <w:szCs w:val="18"/>
              </w:rPr>
              <w:t>liquidação</w:t>
            </w:r>
            <w:r>
              <w:rPr>
                <w:rFonts w:ascii="CAIXA Std Book" w:eastAsia="Times New Roman" w:hAnsi="CAIXA Std Book" w:cs="Calibri"/>
                <w:b/>
                <w:bCs/>
                <w:color w:val="FFFFFF"/>
                <w:sz w:val="18"/>
                <w:szCs w:val="18"/>
              </w:rPr>
              <w:t>)</w:t>
            </w:r>
          </w:p>
        </w:tc>
        <w:tc>
          <w:tcPr>
            <w:tcW w:w="679" w:type="pct"/>
            <w:vMerge w:val="restart"/>
            <w:tcBorders>
              <w:top w:val="single" w:sz="4" w:space="0" w:color="FFFFFF" w:themeColor="background1"/>
              <w:left w:val="nil"/>
              <w:bottom w:val="single" w:sz="4" w:space="0" w:color="FFFFFF"/>
              <w:right w:val="nil"/>
            </w:tcBorders>
            <w:shd w:val="clear" w:color="auto" w:fill="005CA9"/>
            <w:vAlign w:val="center"/>
            <w:hideMark/>
          </w:tcPr>
          <w:p w14:paraId="70105E37" w14:textId="77777777" w:rsidR="002D7150" w:rsidRDefault="00A13447" w:rsidP="00AD1667">
            <w:pPr>
              <w:jc w:val="cente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Transferência do/</w:t>
            </w:r>
          </w:p>
          <w:p w14:paraId="6A6D1638" w14:textId="11A13239" w:rsidR="00A13447" w:rsidRPr="00A13447" w:rsidRDefault="00A13447" w:rsidP="00AD1667">
            <w:pPr>
              <w:jc w:val="cente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para estágio 2</w:t>
            </w:r>
          </w:p>
        </w:tc>
        <w:tc>
          <w:tcPr>
            <w:tcW w:w="679" w:type="pct"/>
            <w:vMerge w:val="restart"/>
            <w:tcBorders>
              <w:top w:val="single" w:sz="4" w:space="0" w:color="FFFFFF" w:themeColor="background1"/>
              <w:left w:val="nil"/>
              <w:bottom w:val="single" w:sz="4" w:space="0" w:color="FFFFFF"/>
              <w:right w:val="nil"/>
            </w:tcBorders>
            <w:shd w:val="clear" w:color="auto" w:fill="005CA9"/>
            <w:vAlign w:val="center"/>
            <w:hideMark/>
          </w:tcPr>
          <w:p w14:paraId="33FE316C" w14:textId="77777777" w:rsidR="002D7150" w:rsidRDefault="00A13447" w:rsidP="00AD1667">
            <w:pPr>
              <w:jc w:val="cente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Transferência do/</w:t>
            </w:r>
          </w:p>
          <w:p w14:paraId="75FA458C" w14:textId="4B1D0964" w:rsidR="00A13447" w:rsidRPr="00A13447" w:rsidRDefault="00A13447" w:rsidP="00AD1667">
            <w:pPr>
              <w:jc w:val="cente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para estágio 3</w:t>
            </w:r>
          </w:p>
        </w:tc>
        <w:tc>
          <w:tcPr>
            <w:tcW w:w="679" w:type="pct"/>
            <w:vMerge w:val="restart"/>
            <w:tcBorders>
              <w:top w:val="single" w:sz="4" w:space="0" w:color="FFFFFF" w:themeColor="background1"/>
              <w:left w:val="nil"/>
              <w:bottom w:val="single" w:sz="4" w:space="0" w:color="FFFFFF"/>
              <w:right w:val="nil"/>
            </w:tcBorders>
            <w:shd w:val="clear" w:color="auto" w:fill="005CA9"/>
            <w:vAlign w:val="center"/>
            <w:hideMark/>
          </w:tcPr>
          <w:p w14:paraId="1D4AF895" w14:textId="4D377890" w:rsidR="00A13447" w:rsidRPr="00A13447" w:rsidRDefault="00A13447" w:rsidP="00AD1667">
            <w:pPr>
              <w:jc w:val="cente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Saldo em 3</w:t>
            </w:r>
            <w:r w:rsidR="00920055">
              <w:rPr>
                <w:rFonts w:ascii="CAIXA Std Book" w:eastAsia="Times New Roman" w:hAnsi="CAIXA Std Book" w:cs="Calibri"/>
                <w:b/>
                <w:bCs/>
                <w:color w:val="FFFFFF"/>
                <w:sz w:val="18"/>
                <w:szCs w:val="18"/>
              </w:rPr>
              <w:t>1</w:t>
            </w:r>
            <w:r w:rsidRPr="00A13447">
              <w:rPr>
                <w:rFonts w:ascii="CAIXA Std Book" w:eastAsia="Times New Roman" w:hAnsi="CAIXA Std Book" w:cs="Calibri"/>
                <w:b/>
                <w:bCs/>
                <w:color w:val="FFFFFF"/>
                <w:sz w:val="18"/>
                <w:szCs w:val="18"/>
              </w:rPr>
              <w:t>/</w:t>
            </w:r>
            <w:r w:rsidR="00933BC7">
              <w:rPr>
                <w:rFonts w:ascii="CAIXA Std Book" w:eastAsia="Times New Roman" w:hAnsi="CAIXA Std Book" w:cs="Calibri"/>
                <w:b/>
                <w:bCs/>
                <w:color w:val="FFFFFF"/>
                <w:sz w:val="18"/>
                <w:szCs w:val="18"/>
              </w:rPr>
              <w:t>03</w:t>
            </w:r>
            <w:r w:rsidR="00933BC7" w:rsidRPr="00A13447">
              <w:rPr>
                <w:rFonts w:ascii="CAIXA Std Book" w:eastAsia="Times New Roman" w:hAnsi="CAIXA Std Book" w:cs="Calibri"/>
                <w:b/>
                <w:bCs/>
                <w:color w:val="FFFFFF"/>
                <w:sz w:val="18"/>
                <w:szCs w:val="18"/>
              </w:rPr>
              <w:t>/202</w:t>
            </w:r>
            <w:r w:rsidR="00933BC7">
              <w:rPr>
                <w:rFonts w:ascii="CAIXA Std Book" w:eastAsia="Times New Roman" w:hAnsi="CAIXA Std Book" w:cs="Calibri"/>
                <w:b/>
                <w:bCs/>
                <w:color w:val="FFFFFF"/>
                <w:sz w:val="18"/>
                <w:szCs w:val="18"/>
              </w:rPr>
              <w:t>6</w:t>
            </w:r>
          </w:p>
        </w:tc>
      </w:tr>
      <w:tr w:rsidR="003B077A" w:rsidRPr="00A13447" w14:paraId="58BDF2AE" w14:textId="77777777" w:rsidTr="00C93589">
        <w:trPr>
          <w:trHeight w:val="401"/>
        </w:trPr>
        <w:tc>
          <w:tcPr>
            <w:tcW w:w="1605" w:type="pct"/>
            <w:vMerge/>
            <w:tcBorders>
              <w:top w:val="nil"/>
              <w:left w:val="nil"/>
              <w:bottom w:val="single" w:sz="4" w:space="0" w:color="FFFFFF"/>
              <w:right w:val="nil"/>
            </w:tcBorders>
            <w:shd w:val="clear" w:color="auto" w:fill="005CA9"/>
            <w:vAlign w:val="center"/>
            <w:hideMark/>
          </w:tcPr>
          <w:p w14:paraId="0E1829BD" w14:textId="77777777" w:rsidR="00753447" w:rsidRPr="00A13447" w:rsidRDefault="00753447" w:rsidP="00A13447">
            <w:pPr>
              <w:rPr>
                <w:rFonts w:ascii="CAIXA Std Book" w:eastAsia="Times New Roman" w:hAnsi="CAIXA Std Book" w:cs="Calibri"/>
                <w:b/>
                <w:bCs/>
                <w:color w:val="FFFFFF"/>
                <w:sz w:val="18"/>
                <w:szCs w:val="18"/>
              </w:rPr>
            </w:pPr>
          </w:p>
        </w:tc>
        <w:tc>
          <w:tcPr>
            <w:tcW w:w="679" w:type="pct"/>
            <w:vMerge/>
            <w:tcBorders>
              <w:top w:val="nil"/>
              <w:left w:val="nil"/>
              <w:bottom w:val="single" w:sz="4" w:space="0" w:color="FFFFFF"/>
              <w:right w:val="nil"/>
            </w:tcBorders>
            <w:shd w:val="clear" w:color="auto" w:fill="005CA9"/>
            <w:vAlign w:val="center"/>
            <w:hideMark/>
          </w:tcPr>
          <w:p w14:paraId="5005ED15" w14:textId="77777777" w:rsidR="00753447" w:rsidRPr="00A13447" w:rsidRDefault="00753447" w:rsidP="00A85066">
            <w:pPr>
              <w:jc w:val="right"/>
              <w:rPr>
                <w:rFonts w:ascii="CAIXA Std Book" w:eastAsia="Times New Roman" w:hAnsi="CAIXA Std Book" w:cs="Calibri"/>
                <w:b/>
                <w:bCs/>
                <w:color w:val="FFFFFF"/>
                <w:sz w:val="18"/>
                <w:szCs w:val="18"/>
              </w:rPr>
            </w:pPr>
          </w:p>
        </w:tc>
        <w:tc>
          <w:tcPr>
            <w:tcW w:w="679" w:type="pct"/>
            <w:vMerge/>
            <w:tcBorders>
              <w:top w:val="nil"/>
              <w:left w:val="nil"/>
              <w:bottom w:val="single" w:sz="4" w:space="0" w:color="FFFFFF"/>
              <w:right w:val="nil"/>
            </w:tcBorders>
            <w:shd w:val="clear" w:color="auto" w:fill="005CA9"/>
            <w:vAlign w:val="center"/>
            <w:hideMark/>
          </w:tcPr>
          <w:p w14:paraId="0E652C07" w14:textId="77777777" w:rsidR="00753447" w:rsidRPr="00A13447" w:rsidRDefault="00753447" w:rsidP="00A85066">
            <w:pPr>
              <w:jc w:val="right"/>
              <w:rPr>
                <w:rFonts w:ascii="CAIXA Std Book" w:eastAsia="Times New Roman" w:hAnsi="CAIXA Std Book" w:cs="Calibri"/>
                <w:b/>
                <w:bCs/>
                <w:color w:val="FFFFFF"/>
                <w:sz w:val="18"/>
                <w:szCs w:val="18"/>
              </w:rPr>
            </w:pPr>
          </w:p>
        </w:tc>
        <w:tc>
          <w:tcPr>
            <w:tcW w:w="679" w:type="pct"/>
            <w:vMerge/>
            <w:tcBorders>
              <w:top w:val="nil"/>
              <w:left w:val="nil"/>
              <w:bottom w:val="single" w:sz="4" w:space="0" w:color="FFFFFF"/>
              <w:right w:val="nil"/>
            </w:tcBorders>
            <w:shd w:val="clear" w:color="auto" w:fill="005CA9"/>
            <w:vAlign w:val="center"/>
            <w:hideMark/>
          </w:tcPr>
          <w:p w14:paraId="5A56C383" w14:textId="77777777" w:rsidR="00753447" w:rsidRPr="00A13447" w:rsidRDefault="00753447" w:rsidP="00A85066">
            <w:pPr>
              <w:jc w:val="right"/>
              <w:rPr>
                <w:rFonts w:ascii="CAIXA Std Book" w:eastAsia="Times New Roman" w:hAnsi="CAIXA Std Book" w:cs="Calibri"/>
                <w:b/>
                <w:bCs/>
                <w:color w:val="FFFFFF"/>
                <w:sz w:val="18"/>
                <w:szCs w:val="18"/>
              </w:rPr>
            </w:pPr>
          </w:p>
        </w:tc>
        <w:tc>
          <w:tcPr>
            <w:tcW w:w="679" w:type="pct"/>
            <w:vMerge/>
            <w:tcBorders>
              <w:top w:val="nil"/>
              <w:left w:val="nil"/>
              <w:bottom w:val="single" w:sz="4" w:space="0" w:color="FFFFFF"/>
              <w:right w:val="nil"/>
            </w:tcBorders>
            <w:shd w:val="clear" w:color="auto" w:fill="005CA9"/>
            <w:vAlign w:val="center"/>
            <w:hideMark/>
          </w:tcPr>
          <w:p w14:paraId="4D97508E" w14:textId="77777777" w:rsidR="00753447" w:rsidRPr="00A13447" w:rsidRDefault="00753447" w:rsidP="00A85066">
            <w:pPr>
              <w:jc w:val="right"/>
              <w:rPr>
                <w:rFonts w:ascii="CAIXA Std Book" w:eastAsia="Times New Roman" w:hAnsi="CAIXA Std Book" w:cs="Calibri"/>
                <w:b/>
                <w:bCs/>
                <w:color w:val="FFFFFF"/>
                <w:sz w:val="18"/>
                <w:szCs w:val="18"/>
              </w:rPr>
            </w:pPr>
          </w:p>
        </w:tc>
        <w:tc>
          <w:tcPr>
            <w:tcW w:w="679" w:type="pct"/>
            <w:vMerge/>
            <w:tcBorders>
              <w:top w:val="nil"/>
              <w:left w:val="nil"/>
              <w:bottom w:val="single" w:sz="4" w:space="0" w:color="FFFFFF"/>
              <w:right w:val="nil"/>
            </w:tcBorders>
            <w:shd w:val="clear" w:color="auto" w:fill="005CA9"/>
            <w:vAlign w:val="center"/>
            <w:hideMark/>
          </w:tcPr>
          <w:p w14:paraId="40FA3ADE" w14:textId="77777777" w:rsidR="00753447" w:rsidRPr="00A13447" w:rsidRDefault="00753447" w:rsidP="00A85066">
            <w:pPr>
              <w:jc w:val="right"/>
              <w:rPr>
                <w:rFonts w:ascii="CAIXA Std Book" w:eastAsia="Times New Roman" w:hAnsi="CAIXA Std Book" w:cs="Calibri"/>
                <w:b/>
                <w:bCs/>
                <w:color w:val="FFFFFF"/>
                <w:sz w:val="18"/>
                <w:szCs w:val="18"/>
              </w:rPr>
            </w:pPr>
          </w:p>
        </w:tc>
      </w:tr>
      <w:tr w:rsidR="003B077A" w:rsidRPr="00A13447" w14:paraId="0F29E1C9" w14:textId="77777777" w:rsidTr="00E31ACA">
        <w:trPr>
          <w:trHeight w:val="272"/>
        </w:trPr>
        <w:tc>
          <w:tcPr>
            <w:tcW w:w="1605" w:type="pct"/>
            <w:tcBorders>
              <w:top w:val="nil"/>
              <w:left w:val="nil"/>
              <w:bottom w:val="single" w:sz="4" w:space="0" w:color="FFFFFF"/>
              <w:right w:val="nil"/>
            </w:tcBorders>
            <w:shd w:val="clear" w:color="000000" w:fill="FFFFFF"/>
            <w:noWrap/>
            <w:vAlign w:val="center"/>
            <w:hideMark/>
          </w:tcPr>
          <w:p w14:paraId="0A13D448" w14:textId="69DF5E45" w:rsidR="003362A6" w:rsidRPr="00A13447" w:rsidRDefault="00FC7E46" w:rsidP="003362A6">
            <w:pPr>
              <w:rPr>
                <w:rFonts w:ascii="CAIXA Std Book" w:eastAsia="Times New Roman" w:hAnsi="CAIXA Std Book" w:cs="Calibri"/>
                <w:color w:val="005CA9"/>
                <w:sz w:val="18"/>
                <w:szCs w:val="18"/>
              </w:rPr>
            </w:pPr>
            <w:r>
              <w:rPr>
                <w:rFonts w:ascii="CAIXA Std Book" w:hAnsi="CAIXA Std Book" w:cs="Calibri"/>
                <w:color w:val="005CA9"/>
                <w:sz w:val="18"/>
                <w:szCs w:val="18"/>
              </w:rPr>
              <w:t>Títulos públicos federais brasileiros</w:t>
            </w:r>
          </w:p>
        </w:tc>
        <w:tc>
          <w:tcPr>
            <w:tcW w:w="679" w:type="pct"/>
            <w:tcBorders>
              <w:top w:val="nil"/>
              <w:left w:val="nil"/>
              <w:bottom w:val="single" w:sz="8" w:space="0" w:color="FFFFFF"/>
              <w:right w:val="nil"/>
            </w:tcBorders>
            <w:noWrap/>
            <w:vAlign w:val="center"/>
            <w:hideMark/>
          </w:tcPr>
          <w:p w14:paraId="35C3842E" w14:textId="0F18DC41" w:rsidR="003362A6" w:rsidRPr="00FD59D1" w:rsidRDefault="00933BC7" w:rsidP="003362A6">
            <w:pPr>
              <w:jc w:val="right"/>
              <w:rPr>
                <w:rFonts w:ascii="CAIXA Std Book" w:hAnsi="CAIXA Std Book"/>
                <w:color w:val="005CA9"/>
                <w:sz w:val="18"/>
                <w:szCs w:val="18"/>
              </w:rPr>
            </w:pPr>
            <w:r>
              <w:rPr>
                <w:rFonts w:ascii="CAIXA Std Book" w:hAnsi="CAIXA Std Book" w:cs="Arial"/>
                <w:color w:val="005CA9"/>
                <w:sz w:val="18"/>
                <w:szCs w:val="18"/>
              </w:rPr>
              <w:t>293.460.576</w:t>
            </w:r>
          </w:p>
        </w:tc>
        <w:tc>
          <w:tcPr>
            <w:tcW w:w="679" w:type="pct"/>
            <w:tcBorders>
              <w:top w:val="nil"/>
              <w:left w:val="nil"/>
              <w:bottom w:val="single" w:sz="8" w:space="0" w:color="FFFFFF"/>
              <w:right w:val="nil"/>
            </w:tcBorders>
            <w:noWrap/>
            <w:vAlign w:val="center"/>
          </w:tcPr>
          <w:p w14:paraId="28B2B121" w14:textId="6BE0CE09" w:rsidR="003362A6" w:rsidRPr="00DE7DE5" w:rsidRDefault="00DE7DE5" w:rsidP="003362A6">
            <w:pPr>
              <w:jc w:val="right"/>
              <w:rPr>
                <w:rFonts w:ascii="CAIXA Std Book" w:hAnsi="CAIXA Std Book" w:cs="Arial"/>
                <w:color w:val="005CA9"/>
                <w:sz w:val="18"/>
                <w:szCs w:val="18"/>
              </w:rPr>
            </w:pPr>
            <w:r>
              <w:rPr>
                <w:rFonts w:ascii="CAIXA Std Book" w:hAnsi="CAIXA Std Book" w:cs="Arial"/>
                <w:color w:val="005CA9"/>
                <w:sz w:val="18"/>
                <w:szCs w:val="18"/>
              </w:rPr>
              <w:t>(29.110.387)</w:t>
            </w:r>
          </w:p>
        </w:tc>
        <w:tc>
          <w:tcPr>
            <w:tcW w:w="679" w:type="pct"/>
            <w:tcBorders>
              <w:top w:val="nil"/>
              <w:left w:val="nil"/>
              <w:bottom w:val="single" w:sz="8" w:space="0" w:color="FFFFFF"/>
              <w:right w:val="nil"/>
            </w:tcBorders>
            <w:noWrap/>
            <w:vAlign w:val="center"/>
          </w:tcPr>
          <w:p w14:paraId="6A41FF59" w14:textId="1BC1BBC4" w:rsidR="003362A6" w:rsidRPr="00DE7DE5" w:rsidRDefault="00DE7DE5" w:rsidP="003A4E1E">
            <w:pPr>
              <w:jc w:val="center"/>
              <w:rPr>
                <w:rFonts w:ascii="CAIXA Std Book" w:hAnsi="CAIXA Std Book" w:cs="Arial"/>
                <w:color w:val="005CA9"/>
                <w:sz w:val="18"/>
                <w:szCs w:val="18"/>
              </w:rPr>
            </w:pPr>
            <w:r>
              <w:rPr>
                <w:rFonts w:ascii="CAIXA Std Book" w:hAnsi="CAIXA Std Book" w:cs="Arial"/>
                <w:color w:val="005CA9"/>
                <w:sz w:val="18"/>
                <w:szCs w:val="18"/>
              </w:rPr>
              <w:t>-</w:t>
            </w:r>
          </w:p>
        </w:tc>
        <w:tc>
          <w:tcPr>
            <w:tcW w:w="679" w:type="pct"/>
            <w:tcBorders>
              <w:top w:val="nil"/>
              <w:left w:val="nil"/>
              <w:bottom w:val="single" w:sz="8" w:space="0" w:color="FFFFFF"/>
              <w:right w:val="nil"/>
            </w:tcBorders>
            <w:noWrap/>
            <w:vAlign w:val="center"/>
          </w:tcPr>
          <w:p w14:paraId="00EDFAAA" w14:textId="12683DCE" w:rsidR="003362A6" w:rsidRPr="00DE7DE5" w:rsidRDefault="00DE7DE5" w:rsidP="003A4E1E">
            <w:pPr>
              <w:jc w:val="center"/>
              <w:rPr>
                <w:rFonts w:ascii="CAIXA Std Book" w:hAnsi="CAIXA Std Book" w:cs="Arial"/>
                <w:color w:val="005CA9"/>
                <w:sz w:val="18"/>
                <w:szCs w:val="18"/>
              </w:rPr>
            </w:pPr>
            <w:r>
              <w:rPr>
                <w:rFonts w:ascii="CAIXA Std Book" w:hAnsi="CAIXA Std Book" w:cs="Arial"/>
                <w:color w:val="005CA9"/>
                <w:sz w:val="18"/>
                <w:szCs w:val="18"/>
              </w:rPr>
              <w:t>-</w:t>
            </w:r>
          </w:p>
        </w:tc>
        <w:tc>
          <w:tcPr>
            <w:tcW w:w="679" w:type="pct"/>
            <w:tcBorders>
              <w:top w:val="nil"/>
              <w:left w:val="nil"/>
              <w:bottom w:val="single" w:sz="8" w:space="0" w:color="FFFFFF"/>
              <w:right w:val="nil"/>
            </w:tcBorders>
            <w:noWrap/>
            <w:vAlign w:val="center"/>
          </w:tcPr>
          <w:p w14:paraId="44B5EC80" w14:textId="6CAD5784" w:rsidR="003362A6" w:rsidRPr="00DE7DE5" w:rsidRDefault="00DE7DE5" w:rsidP="003362A6">
            <w:pPr>
              <w:jc w:val="right"/>
              <w:rPr>
                <w:rFonts w:ascii="CAIXA Std Book" w:hAnsi="CAIXA Std Book" w:cs="Arial"/>
                <w:color w:val="005CA9"/>
                <w:sz w:val="18"/>
                <w:szCs w:val="18"/>
              </w:rPr>
            </w:pPr>
            <w:r>
              <w:rPr>
                <w:rFonts w:ascii="CAIXA Std Book" w:hAnsi="CAIXA Std Book" w:cs="Arial"/>
                <w:color w:val="005CA9"/>
                <w:sz w:val="18"/>
                <w:szCs w:val="18"/>
              </w:rPr>
              <w:t>264.350.189</w:t>
            </w:r>
          </w:p>
        </w:tc>
      </w:tr>
      <w:tr w:rsidR="003B077A" w:rsidRPr="00A13447" w14:paraId="71D5C404" w14:textId="77777777" w:rsidTr="00E31ACA">
        <w:trPr>
          <w:trHeight w:val="272"/>
        </w:trPr>
        <w:tc>
          <w:tcPr>
            <w:tcW w:w="1605" w:type="pct"/>
            <w:tcBorders>
              <w:top w:val="nil"/>
              <w:left w:val="nil"/>
              <w:bottom w:val="single" w:sz="4" w:space="0" w:color="FFFFFF"/>
              <w:right w:val="nil"/>
            </w:tcBorders>
            <w:shd w:val="clear" w:color="000000" w:fill="FFFFFF"/>
            <w:noWrap/>
            <w:vAlign w:val="center"/>
            <w:hideMark/>
          </w:tcPr>
          <w:p w14:paraId="54C7914B" w14:textId="77777777" w:rsidR="003362A6" w:rsidRPr="00A13447" w:rsidRDefault="003362A6" w:rsidP="003362A6">
            <w:pPr>
              <w:rPr>
                <w:rFonts w:ascii="CAIXA Std Book" w:eastAsia="Times New Roman" w:hAnsi="CAIXA Std Book" w:cs="Calibri"/>
                <w:color w:val="005CA9"/>
                <w:sz w:val="18"/>
                <w:szCs w:val="18"/>
              </w:rPr>
            </w:pPr>
            <w:r w:rsidRPr="00A13447">
              <w:rPr>
                <w:rFonts w:ascii="CAIXA Std Book" w:eastAsia="Times New Roman" w:hAnsi="CAIXA Std Book" w:cs="Calibri"/>
                <w:color w:val="005CA9"/>
                <w:sz w:val="18"/>
                <w:szCs w:val="18"/>
              </w:rPr>
              <w:t>Títulos privados de instituições financeiras</w:t>
            </w:r>
          </w:p>
        </w:tc>
        <w:tc>
          <w:tcPr>
            <w:tcW w:w="679" w:type="pct"/>
            <w:tcBorders>
              <w:top w:val="nil"/>
              <w:left w:val="nil"/>
              <w:bottom w:val="single" w:sz="8" w:space="0" w:color="FFFFFF"/>
              <w:right w:val="nil"/>
            </w:tcBorders>
            <w:noWrap/>
            <w:vAlign w:val="center"/>
            <w:hideMark/>
          </w:tcPr>
          <w:p w14:paraId="071DC9B5" w14:textId="1FB1AFBF" w:rsidR="003362A6" w:rsidRPr="00FD59D1" w:rsidRDefault="00933BC7" w:rsidP="003362A6">
            <w:pPr>
              <w:jc w:val="right"/>
              <w:rPr>
                <w:rFonts w:ascii="CAIXA Std Book" w:hAnsi="CAIXA Std Book"/>
                <w:color w:val="005CA9"/>
                <w:sz w:val="18"/>
                <w:szCs w:val="18"/>
              </w:rPr>
            </w:pPr>
            <w:r>
              <w:rPr>
                <w:rFonts w:ascii="CAIXA Std Book" w:hAnsi="CAIXA Std Book" w:cs="Arial"/>
                <w:color w:val="005CA9"/>
                <w:sz w:val="18"/>
                <w:szCs w:val="18"/>
              </w:rPr>
              <w:t>1.574.865</w:t>
            </w:r>
          </w:p>
        </w:tc>
        <w:tc>
          <w:tcPr>
            <w:tcW w:w="679" w:type="pct"/>
            <w:tcBorders>
              <w:top w:val="nil"/>
              <w:left w:val="nil"/>
              <w:bottom w:val="single" w:sz="8" w:space="0" w:color="FFFFFF"/>
              <w:right w:val="nil"/>
            </w:tcBorders>
            <w:noWrap/>
            <w:vAlign w:val="center"/>
          </w:tcPr>
          <w:p w14:paraId="1CCFE7F8" w14:textId="510341F6" w:rsidR="003362A6" w:rsidRPr="00DE7DE5" w:rsidRDefault="00DE7DE5" w:rsidP="003362A6">
            <w:pPr>
              <w:jc w:val="right"/>
              <w:rPr>
                <w:rFonts w:ascii="CAIXA Std Book" w:hAnsi="CAIXA Std Book" w:cs="Arial"/>
                <w:color w:val="005CA9"/>
                <w:sz w:val="18"/>
                <w:szCs w:val="18"/>
              </w:rPr>
            </w:pPr>
            <w:r>
              <w:rPr>
                <w:rFonts w:ascii="CAIXA Std Book" w:hAnsi="CAIXA Std Book" w:cs="Arial"/>
                <w:color w:val="005CA9"/>
                <w:sz w:val="18"/>
                <w:szCs w:val="18"/>
              </w:rPr>
              <w:t>(419.937)</w:t>
            </w:r>
          </w:p>
        </w:tc>
        <w:tc>
          <w:tcPr>
            <w:tcW w:w="679" w:type="pct"/>
            <w:tcBorders>
              <w:top w:val="nil"/>
              <w:left w:val="nil"/>
              <w:bottom w:val="single" w:sz="8" w:space="0" w:color="FFFFFF"/>
              <w:right w:val="nil"/>
            </w:tcBorders>
            <w:noWrap/>
            <w:vAlign w:val="center"/>
          </w:tcPr>
          <w:p w14:paraId="6F02C5F2" w14:textId="5D967C71" w:rsidR="003362A6" w:rsidRPr="00DE7DE5" w:rsidRDefault="00DE7DE5" w:rsidP="003A4E1E">
            <w:pPr>
              <w:jc w:val="center"/>
              <w:rPr>
                <w:rFonts w:ascii="CAIXA Std Book" w:hAnsi="CAIXA Std Book" w:cs="Arial"/>
                <w:color w:val="005CA9"/>
                <w:sz w:val="18"/>
                <w:szCs w:val="18"/>
              </w:rPr>
            </w:pPr>
            <w:r>
              <w:rPr>
                <w:rFonts w:ascii="CAIXA Std Book" w:hAnsi="CAIXA Std Book" w:cs="Arial"/>
                <w:color w:val="005CA9"/>
                <w:sz w:val="18"/>
                <w:szCs w:val="18"/>
              </w:rPr>
              <w:t>-</w:t>
            </w:r>
          </w:p>
        </w:tc>
        <w:tc>
          <w:tcPr>
            <w:tcW w:w="679" w:type="pct"/>
            <w:tcBorders>
              <w:top w:val="nil"/>
              <w:left w:val="nil"/>
              <w:bottom w:val="single" w:sz="8" w:space="0" w:color="FFFFFF"/>
              <w:right w:val="nil"/>
            </w:tcBorders>
            <w:noWrap/>
            <w:vAlign w:val="center"/>
          </w:tcPr>
          <w:p w14:paraId="5870BF3C" w14:textId="78E58630" w:rsidR="003362A6" w:rsidRPr="00DE7DE5" w:rsidRDefault="00DE7DE5" w:rsidP="009E79B8">
            <w:pPr>
              <w:jc w:val="center"/>
              <w:rPr>
                <w:rFonts w:ascii="CAIXA Std Book" w:hAnsi="CAIXA Std Book" w:cs="Arial"/>
                <w:color w:val="005CA9"/>
                <w:sz w:val="18"/>
                <w:szCs w:val="18"/>
              </w:rPr>
            </w:pPr>
            <w:r>
              <w:rPr>
                <w:rFonts w:ascii="CAIXA Std Book" w:hAnsi="CAIXA Std Book" w:cs="Arial"/>
                <w:color w:val="005CA9"/>
                <w:sz w:val="18"/>
                <w:szCs w:val="18"/>
              </w:rPr>
              <w:t>-</w:t>
            </w:r>
          </w:p>
        </w:tc>
        <w:tc>
          <w:tcPr>
            <w:tcW w:w="679" w:type="pct"/>
            <w:tcBorders>
              <w:top w:val="nil"/>
              <w:left w:val="nil"/>
              <w:bottom w:val="single" w:sz="8" w:space="0" w:color="FFFFFF"/>
              <w:right w:val="nil"/>
            </w:tcBorders>
            <w:noWrap/>
            <w:vAlign w:val="center"/>
          </w:tcPr>
          <w:p w14:paraId="78655768" w14:textId="60B0B1B7" w:rsidR="003362A6" w:rsidRPr="00DE7DE5" w:rsidRDefault="00DE7DE5" w:rsidP="003362A6">
            <w:pPr>
              <w:jc w:val="right"/>
              <w:rPr>
                <w:rFonts w:ascii="CAIXA Std Book" w:hAnsi="CAIXA Std Book" w:cs="Arial"/>
                <w:color w:val="005CA9"/>
                <w:sz w:val="18"/>
                <w:szCs w:val="18"/>
              </w:rPr>
            </w:pPr>
            <w:r>
              <w:rPr>
                <w:rFonts w:ascii="CAIXA Std Book" w:hAnsi="CAIXA Std Book" w:cs="Arial"/>
                <w:color w:val="005CA9"/>
                <w:sz w:val="18"/>
                <w:szCs w:val="18"/>
              </w:rPr>
              <w:t>1.154.928</w:t>
            </w:r>
          </w:p>
        </w:tc>
      </w:tr>
      <w:tr w:rsidR="003B077A" w:rsidRPr="00A13447" w14:paraId="1E81DEF5" w14:textId="77777777" w:rsidTr="00E31ACA">
        <w:trPr>
          <w:trHeight w:val="272"/>
        </w:trPr>
        <w:tc>
          <w:tcPr>
            <w:tcW w:w="1605" w:type="pct"/>
            <w:tcBorders>
              <w:top w:val="nil"/>
              <w:left w:val="nil"/>
              <w:bottom w:val="single" w:sz="4" w:space="0" w:color="FFFFFF"/>
              <w:right w:val="nil"/>
            </w:tcBorders>
            <w:shd w:val="clear" w:color="000000" w:fill="FFFFFF"/>
            <w:noWrap/>
            <w:vAlign w:val="center"/>
            <w:hideMark/>
          </w:tcPr>
          <w:p w14:paraId="30CDC663" w14:textId="77777777" w:rsidR="003362A6" w:rsidRPr="00A13447" w:rsidRDefault="003362A6" w:rsidP="003362A6">
            <w:pPr>
              <w:rPr>
                <w:rFonts w:ascii="CAIXA Std Book" w:eastAsia="Times New Roman" w:hAnsi="CAIXA Std Book" w:cs="Calibri"/>
                <w:color w:val="005CA9"/>
                <w:sz w:val="18"/>
                <w:szCs w:val="18"/>
              </w:rPr>
            </w:pPr>
            <w:r w:rsidRPr="00A13447">
              <w:rPr>
                <w:rFonts w:ascii="CAIXA Std Book" w:eastAsia="Times New Roman" w:hAnsi="CAIXA Std Book" w:cs="Calibri"/>
                <w:color w:val="005CA9"/>
                <w:sz w:val="18"/>
                <w:szCs w:val="18"/>
              </w:rPr>
              <w:t>Títulos privados de entidades não financeiras</w:t>
            </w:r>
          </w:p>
        </w:tc>
        <w:tc>
          <w:tcPr>
            <w:tcW w:w="679" w:type="pct"/>
            <w:tcBorders>
              <w:top w:val="nil"/>
              <w:left w:val="nil"/>
              <w:bottom w:val="single" w:sz="8" w:space="0" w:color="FFFFFF"/>
              <w:right w:val="nil"/>
            </w:tcBorders>
            <w:noWrap/>
            <w:vAlign w:val="center"/>
            <w:hideMark/>
          </w:tcPr>
          <w:p w14:paraId="6140A465" w14:textId="3E7970CB" w:rsidR="003362A6" w:rsidRPr="00FD59D1" w:rsidRDefault="00933BC7" w:rsidP="003362A6">
            <w:pPr>
              <w:jc w:val="right"/>
              <w:rPr>
                <w:rFonts w:ascii="CAIXA Std Book" w:hAnsi="CAIXA Std Book"/>
                <w:color w:val="005CA9"/>
                <w:sz w:val="18"/>
                <w:szCs w:val="18"/>
              </w:rPr>
            </w:pPr>
            <w:r>
              <w:rPr>
                <w:rFonts w:ascii="CAIXA Std Book" w:hAnsi="CAIXA Std Book" w:cs="Arial"/>
                <w:color w:val="005CA9"/>
                <w:sz w:val="18"/>
                <w:szCs w:val="18"/>
              </w:rPr>
              <w:t>13.562.928</w:t>
            </w:r>
          </w:p>
        </w:tc>
        <w:tc>
          <w:tcPr>
            <w:tcW w:w="679" w:type="pct"/>
            <w:tcBorders>
              <w:top w:val="nil"/>
              <w:left w:val="nil"/>
              <w:bottom w:val="single" w:sz="8" w:space="0" w:color="FFFFFF"/>
              <w:right w:val="nil"/>
            </w:tcBorders>
            <w:noWrap/>
            <w:vAlign w:val="center"/>
          </w:tcPr>
          <w:p w14:paraId="07EFAE21" w14:textId="61A8A9E3" w:rsidR="003362A6" w:rsidRPr="00DE7DE5" w:rsidRDefault="00DE7DE5" w:rsidP="003362A6">
            <w:pPr>
              <w:jc w:val="right"/>
              <w:rPr>
                <w:rFonts w:ascii="CAIXA Std Book" w:hAnsi="CAIXA Std Book" w:cs="Arial"/>
                <w:color w:val="005CA9"/>
                <w:sz w:val="18"/>
                <w:szCs w:val="18"/>
              </w:rPr>
            </w:pPr>
            <w:r>
              <w:rPr>
                <w:rFonts w:ascii="CAIXA Std Book" w:hAnsi="CAIXA Std Book" w:cs="Arial"/>
                <w:color w:val="005CA9"/>
                <w:sz w:val="18"/>
                <w:szCs w:val="18"/>
              </w:rPr>
              <w:t>1.038.40</w:t>
            </w:r>
            <w:r w:rsidR="005A771B">
              <w:rPr>
                <w:rFonts w:ascii="CAIXA Std Book" w:hAnsi="CAIXA Std Book" w:cs="Arial"/>
                <w:color w:val="005CA9"/>
                <w:sz w:val="18"/>
                <w:szCs w:val="18"/>
              </w:rPr>
              <w:t>7</w:t>
            </w:r>
          </w:p>
        </w:tc>
        <w:tc>
          <w:tcPr>
            <w:tcW w:w="679" w:type="pct"/>
            <w:tcBorders>
              <w:top w:val="nil"/>
              <w:left w:val="nil"/>
              <w:bottom w:val="single" w:sz="8" w:space="0" w:color="FFFFFF"/>
              <w:right w:val="nil"/>
            </w:tcBorders>
            <w:noWrap/>
            <w:vAlign w:val="center"/>
          </w:tcPr>
          <w:p w14:paraId="10F7EFFF" w14:textId="49477AF3" w:rsidR="003362A6" w:rsidRPr="00DE7DE5" w:rsidRDefault="00DE7DE5" w:rsidP="00DE7DE5">
            <w:pPr>
              <w:jc w:val="center"/>
              <w:rPr>
                <w:rFonts w:ascii="CAIXA Std Book" w:hAnsi="CAIXA Std Book" w:cs="Arial"/>
                <w:color w:val="005CA9"/>
                <w:sz w:val="18"/>
                <w:szCs w:val="18"/>
              </w:rPr>
            </w:pPr>
            <w:r>
              <w:rPr>
                <w:rFonts w:ascii="CAIXA Std Book" w:hAnsi="CAIXA Std Book" w:cs="Arial"/>
                <w:color w:val="005CA9"/>
                <w:sz w:val="18"/>
                <w:szCs w:val="18"/>
              </w:rPr>
              <w:t>-</w:t>
            </w:r>
          </w:p>
        </w:tc>
        <w:tc>
          <w:tcPr>
            <w:tcW w:w="679" w:type="pct"/>
            <w:tcBorders>
              <w:top w:val="nil"/>
              <w:left w:val="nil"/>
              <w:bottom w:val="single" w:sz="8" w:space="0" w:color="FFFFFF"/>
              <w:right w:val="nil"/>
            </w:tcBorders>
            <w:noWrap/>
            <w:vAlign w:val="center"/>
          </w:tcPr>
          <w:p w14:paraId="12BED278" w14:textId="1E2C067F" w:rsidR="003362A6" w:rsidRPr="00DE7DE5" w:rsidRDefault="00DE7DE5" w:rsidP="00DE7DE5">
            <w:pPr>
              <w:jc w:val="center"/>
              <w:rPr>
                <w:rFonts w:ascii="CAIXA Std Book" w:hAnsi="CAIXA Std Book" w:cs="Arial"/>
                <w:color w:val="005CA9"/>
                <w:sz w:val="18"/>
                <w:szCs w:val="18"/>
              </w:rPr>
            </w:pPr>
            <w:r>
              <w:rPr>
                <w:rFonts w:ascii="CAIXA Std Book" w:hAnsi="CAIXA Std Book" w:cs="Arial"/>
                <w:color w:val="005CA9"/>
                <w:sz w:val="18"/>
                <w:szCs w:val="18"/>
              </w:rPr>
              <w:t>-</w:t>
            </w:r>
          </w:p>
        </w:tc>
        <w:tc>
          <w:tcPr>
            <w:tcW w:w="679" w:type="pct"/>
            <w:tcBorders>
              <w:top w:val="nil"/>
              <w:left w:val="nil"/>
              <w:bottom w:val="single" w:sz="8" w:space="0" w:color="FFFFFF"/>
              <w:right w:val="nil"/>
            </w:tcBorders>
            <w:noWrap/>
            <w:vAlign w:val="center"/>
          </w:tcPr>
          <w:p w14:paraId="3D9D0E59" w14:textId="3C97B2BA" w:rsidR="003362A6" w:rsidRPr="00DE7DE5" w:rsidRDefault="00DE7DE5" w:rsidP="003362A6">
            <w:pPr>
              <w:jc w:val="right"/>
              <w:rPr>
                <w:rFonts w:ascii="CAIXA Std Book" w:hAnsi="CAIXA Std Book" w:cs="Arial"/>
                <w:color w:val="005CA9"/>
                <w:sz w:val="18"/>
                <w:szCs w:val="18"/>
              </w:rPr>
            </w:pPr>
            <w:r>
              <w:rPr>
                <w:rFonts w:ascii="CAIXA Std Book" w:hAnsi="CAIXA Std Book" w:cs="Arial"/>
                <w:color w:val="005CA9"/>
                <w:sz w:val="18"/>
                <w:szCs w:val="18"/>
              </w:rPr>
              <w:t>14.601.33</w:t>
            </w:r>
            <w:r w:rsidR="005A771B">
              <w:rPr>
                <w:rFonts w:ascii="CAIXA Std Book" w:hAnsi="CAIXA Std Book" w:cs="Arial"/>
                <w:color w:val="005CA9"/>
                <w:sz w:val="18"/>
                <w:szCs w:val="18"/>
              </w:rPr>
              <w:t>5</w:t>
            </w:r>
          </w:p>
        </w:tc>
      </w:tr>
      <w:tr w:rsidR="003B077A" w:rsidRPr="00A13447" w14:paraId="287E89F2" w14:textId="77777777" w:rsidTr="00E31ACA">
        <w:trPr>
          <w:trHeight w:val="272"/>
        </w:trPr>
        <w:tc>
          <w:tcPr>
            <w:tcW w:w="1605" w:type="pct"/>
            <w:tcBorders>
              <w:top w:val="nil"/>
              <w:left w:val="nil"/>
              <w:bottom w:val="single" w:sz="4" w:space="0" w:color="FFFFFF"/>
              <w:right w:val="nil"/>
            </w:tcBorders>
            <w:shd w:val="clear" w:color="000000" w:fill="FFFFFF"/>
            <w:noWrap/>
            <w:vAlign w:val="center"/>
            <w:hideMark/>
          </w:tcPr>
          <w:p w14:paraId="77532289" w14:textId="4797E011" w:rsidR="003362A6" w:rsidRPr="00A13447" w:rsidRDefault="003362A6" w:rsidP="003362A6">
            <w:pPr>
              <w:rPr>
                <w:rFonts w:ascii="CAIXA Std Book" w:eastAsia="Times New Roman" w:hAnsi="CAIXA Std Book" w:cs="Calibri"/>
                <w:color w:val="005CA9"/>
                <w:sz w:val="18"/>
                <w:szCs w:val="18"/>
              </w:rPr>
            </w:pPr>
            <w:r w:rsidRPr="00A13447">
              <w:rPr>
                <w:rFonts w:ascii="CAIXA Std Book" w:eastAsia="Times New Roman" w:hAnsi="CAIXA Std Book" w:cs="Calibri"/>
                <w:color w:val="005CA9"/>
                <w:sz w:val="18"/>
                <w:szCs w:val="18"/>
              </w:rPr>
              <w:t>Cotas de fundo de investimento</w:t>
            </w:r>
            <w:r w:rsidR="00E85EC3">
              <w:rPr>
                <w:rFonts w:ascii="CAIXA Std Book" w:eastAsia="Times New Roman" w:hAnsi="CAIXA Std Book" w:cs="Calibri"/>
                <w:color w:val="005CA9"/>
                <w:sz w:val="18"/>
                <w:szCs w:val="18"/>
              </w:rPr>
              <w:t xml:space="preserve"> </w:t>
            </w:r>
          </w:p>
        </w:tc>
        <w:tc>
          <w:tcPr>
            <w:tcW w:w="679" w:type="pct"/>
            <w:tcBorders>
              <w:top w:val="nil"/>
              <w:left w:val="nil"/>
              <w:bottom w:val="single" w:sz="8" w:space="0" w:color="FFFFFF"/>
              <w:right w:val="nil"/>
            </w:tcBorders>
            <w:noWrap/>
            <w:vAlign w:val="center"/>
            <w:hideMark/>
          </w:tcPr>
          <w:p w14:paraId="4B60D130" w14:textId="289E6A23" w:rsidR="003362A6" w:rsidRPr="00FD59D1" w:rsidRDefault="00933BC7" w:rsidP="003362A6">
            <w:pPr>
              <w:jc w:val="right"/>
              <w:rPr>
                <w:rFonts w:ascii="CAIXA Std Book" w:hAnsi="CAIXA Std Book"/>
                <w:color w:val="005CA9"/>
                <w:sz w:val="18"/>
                <w:szCs w:val="18"/>
              </w:rPr>
            </w:pPr>
            <w:r>
              <w:rPr>
                <w:rFonts w:ascii="CAIXA Std Book" w:hAnsi="CAIXA Std Book" w:cs="Arial"/>
                <w:color w:val="005CA9"/>
                <w:sz w:val="18"/>
                <w:szCs w:val="18"/>
              </w:rPr>
              <w:t>1.495.411</w:t>
            </w:r>
          </w:p>
        </w:tc>
        <w:tc>
          <w:tcPr>
            <w:tcW w:w="679" w:type="pct"/>
            <w:tcBorders>
              <w:top w:val="nil"/>
              <w:left w:val="nil"/>
              <w:bottom w:val="single" w:sz="8" w:space="0" w:color="FFFFFF"/>
              <w:right w:val="nil"/>
            </w:tcBorders>
            <w:noWrap/>
            <w:vAlign w:val="center"/>
          </w:tcPr>
          <w:p w14:paraId="5C45FC2C" w14:textId="0F80DD90" w:rsidR="003362A6" w:rsidRPr="00DE7DE5" w:rsidRDefault="00DE7DE5" w:rsidP="00DE7DE5">
            <w:pPr>
              <w:jc w:val="center"/>
              <w:rPr>
                <w:rFonts w:ascii="CAIXA Std Book" w:hAnsi="CAIXA Std Book" w:cs="Arial"/>
                <w:color w:val="005CA9"/>
                <w:sz w:val="18"/>
                <w:szCs w:val="18"/>
              </w:rPr>
            </w:pPr>
            <w:r>
              <w:rPr>
                <w:rFonts w:ascii="CAIXA Std Book" w:hAnsi="CAIXA Std Book" w:cs="Arial"/>
                <w:color w:val="005CA9"/>
                <w:sz w:val="18"/>
                <w:szCs w:val="18"/>
              </w:rPr>
              <w:t>-</w:t>
            </w:r>
          </w:p>
        </w:tc>
        <w:tc>
          <w:tcPr>
            <w:tcW w:w="679" w:type="pct"/>
            <w:tcBorders>
              <w:top w:val="nil"/>
              <w:left w:val="nil"/>
              <w:bottom w:val="single" w:sz="8" w:space="0" w:color="FFFFFF"/>
              <w:right w:val="nil"/>
            </w:tcBorders>
            <w:noWrap/>
            <w:vAlign w:val="center"/>
          </w:tcPr>
          <w:p w14:paraId="03E806BE" w14:textId="5B5FA4AC" w:rsidR="003362A6" w:rsidRPr="00DE7DE5" w:rsidRDefault="00DE7DE5" w:rsidP="003A4E1E">
            <w:pPr>
              <w:jc w:val="center"/>
              <w:rPr>
                <w:rFonts w:ascii="CAIXA Std Book" w:hAnsi="CAIXA Std Book" w:cs="Arial"/>
                <w:color w:val="005CA9"/>
                <w:sz w:val="18"/>
                <w:szCs w:val="18"/>
              </w:rPr>
            </w:pPr>
            <w:r>
              <w:rPr>
                <w:rFonts w:ascii="CAIXA Std Book" w:hAnsi="CAIXA Std Book" w:cs="Arial"/>
                <w:color w:val="005CA9"/>
                <w:sz w:val="18"/>
                <w:szCs w:val="18"/>
              </w:rPr>
              <w:t>-</w:t>
            </w:r>
          </w:p>
        </w:tc>
        <w:tc>
          <w:tcPr>
            <w:tcW w:w="679" w:type="pct"/>
            <w:tcBorders>
              <w:top w:val="nil"/>
              <w:left w:val="nil"/>
              <w:bottom w:val="single" w:sz="8" w:space="0" w:color="FFFFFF"/>
              <w:right w:val="nil"/>
            </w:tcBorders>
            <w:noWrap/>
            <w:vAlign w:val="center"/>
          </w:tcPr>
          <w:p w14:paraId="775769EE" w14:textId="6D969D16" w:rsidR="003362A6" w:rsidRPr="00DE7DE5" w:rsidRDefault="00DE7DE5" w:rsidP="003A4E1E">
            <w:pPr>
              <w:jc w:val="center"/>
              <w:rPr>
                <w:rFonts w:ascii="CAIXA Std Book" w:hAnsi="CAIXA Std Book" w:cs="Arial"/>
                <w:color w:val="005CA9"/>
                <w:sz w:val="18"/>
                <w:szCs w:val="18"/>
              </w:rPr>
            </w:pPr>
            <w:r>
              <w:rPr>
                <w:rFonts w:ascii="CAIXA Std Book" w:hAnsi="CAIXA Std Book" w:cs="Arial"/>
                <w:color w:val="005CA9"/>
                <w:sz w:val="18"/>
                <w:szCs w:val="18"/>
              </w:rPr>
              <w:t>-</w:t>
            </w:r>
          </w:p>
        </w:tc>
        <w:tc>
          <w:tcPr>
            <w:tcW w:w="679" w:type="pct"/>
            <w:tcBorders>
              <w:top w:val="nil"/>
              <w:left w:val="nil"/>
              <w:bottom w:val="single" w:sz="8" w:space="0" w:color="FFFFFF"/>
              <w:right w:val="nil"/>
            </w:tcBorders>
            <w:noWrap/>
            <w:vAlign w:val="center"/>
          </w:tcPr>
          <w:p w14:paraId="6F87D787" w14:textId="64FC3824" w:rsidR="003362A6" w:rsidRPr="00DE7DE5" w:rsidRDefault="00DE7DE5" w:rsidP="003362A6">
            <w:pPr>
              <w:jc w:val="right"/>
              <w:rPr>
                <w:rFonts w:ascii="CAIXA Std Book" w:hAnsi="CAIXA Std Book" w:cs="Arial"/>
                <w:color w:val="005CA9"/>
                <w:sz w:val="18"/>
                <w:szCs w:val="18"/>
              </w:rPr>
            </w:pPr>
            <w:r>
              <w:rPr>
                <w:rFonts w:ascii="CAIXA Std Book" w:hAnsi="CAIXA Std Book" w:cs="Arial"/>
                <w:color w:val="005CA9"/>
                <w:sz w:val="18"/>
                <w:szCs w:val="18"/>
              </w:rPr>
              <w:t>1.495.41</w:t>
            </w:r>
            <w:r w:rsidR="00110FC5">
              <w:rPr>
                <w:rFonts w:ascii="CAIXA Std Book" w:hAnsi="CAIXA Std Book" w:cs="Arial"/>
                <w:color w:val="005CA9"/>
                <w:sz w:val="18"/>
                <w:szCs w:val="18"/>
              </w:rPr>
              <w:t>1</w:t>
            </w:r>
          </w:p>
        </w:tc>
      </w:tr>
      <w:tr w:rsidR="003B077A" w:rsidRPr="00A13447" w14:paraId="04D23D02" w14:textId="77777777" w:rsidTr="00E31ACA">
        <w:trPr>
          <w:trHeight w:val="272"/>
        </w:trPr>
        <w:tc>
          <w:tcPr>
            <w:tcW w:w="1605" w:type="pct"/>
            <w:tcBorders>
              <w:top w:val="nil"/>
              <w:left w:val="nil"/>
              <w:right w:val="nil"/>
            </w:tcBorders>
            <w:shd w:val="clear" w:color="000000" w:fill="FFFFFF"/>
            <w:noWrap/>
            <w:vAlign w:val="center"/>
            <w:hideMark/>
          </w:tcPr>
          <w:p w14:paraId="197EDF16" w14:textId="4B7B4DD3" w:rsidR="003362A6" w:rsidRPr="00A13447" w:rsidRDefault="00FC7E46" w:rsidP="003362A6">
            <w:pP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Ações</w:t>
            </w:r>
            <w:r w:rsidR="00E85EC3">
              <w:rPr>
                <w:rFonts w:ascii="CAIXA Std Book" w:eastAsia="Times New Roman" w:hAnsi="CAIXA Std Book" w:cs="Calibri"/>
                <w:color w:val="005CA9"/>
                <w:sz w:val="18"/>
                <w:szCs w:val="18"/>
              </w:rPr>
              <w:t xml:space="preserve"> </w:t>
            </w:r>
          </w:p>
        </w:tc>
        <w:tc>
          <w:tcPr>
            <w:tcW w:w="679" w:type="pct"/>
            <w:tcBorders>
              <w:top w:val="nil"/>
              <w:left w:val="nil"/>
              <w:right w:val="nil"/>
            </w:tcBorders>
            <w:noWrap/>
            <w:vAlign w:val="center"/>
            <w:hideMark/>
          </w:tcPr>
          <w:p w14:paraId="3340FE20" w14:textId="09730A1D" w:rsidR="003362A6" w:rsidRPr="00FD59D1" w:rsidRDefault="009B6575" w:rsidP="003362A6">
            <w:pPr>
              <w:jc w:val="right"/>
              <w:rPr>
                <w:rFonts w:ascii="CAIXA Std Book" w:hAnsi="CAIXA Std Book"/>
                <w:color w:val="005CA9"/>
                <w:sz w:val="18"/>
                <w:szCs w:val="18"/>
              </w:rPr>
            </w:pPr>
            <w:r>
              <w:rPr>
                <w:rFonts w:ascii="CAIXA Std Book" w:hAnsi="CAIXA Std Book" w:cs="Arial"/>
                <w:color w:val="005CA9"/>
                <w:sz w:val="18"/>
                <w:szCs w:val="18"/>
              </w:rPr>
              <w:t>18.970</w:t>
            </w:r>
          </w:p>
        </w:tc>
        <w:tc>
          <w:tcPr>
            <w:tcW w:w="679" w:type="pct"/>
            <w:tcBorders>
              <w:top w:val="nil"/>
              <w:left w:val="nil"/>
              <w:right w:val="nil"/>
            </w:tcBorders>
            <w:noWrap/>
            <w:vAlign w:val="center"/>
          </w:tcPr>
          <w:p w14:paraId="5F61CEC4" w14:textId="40E6B6E4" w:rsidR="003362A6" w:rsidRPr="00DE7DE5" w:rsidRDefault="00DE7DE5" w:rsidP="0040562C">
            <w:pPr>
              <w:jc w:val="center"/>
              <w:rPr>
                <w:rFonts w:ascii="CAIXA Std Book" w:hAnsi="CAIXA Std Book" w:cs="Arial"/>
                <w:color w:val="005CA9"/>
                <w:sz w:val="18"/>
                <w:szCs w:val="18"/>
              </w:rPr>
            </w:pPr>
            <w:r>
              <w:rPr>
                <w:rFonts w:ascii="CAIXA Std Book" w:hAnsi="CAIXA Std Book" w:cs="Arial"/>
                <w:color w:val="005CA9"/>
                <w:sz w:val="18"/>
                <w:szCs w:val="18"/>
              </w:rPr>
              <w:t>-</w:t>
            </w:r>
          </w:p>
        </w:tc>
        <w:tc>
          <w:tcPr>
            <w:tcW w:w="679" w:type="pct"/>
            <w:tcBorders>
              <w:top w:val="nil"/>
              <w:left w:val="nil"/>
              <w:right w:val="nil"/>
            </w:tcBorders>
            <w:noWrap/>
            <w:vAlign w:val="center"/>
          </w:tcPr>
          <w:p w14:paraId="4646176F" w14:textId="3692A90A" w:rsidR="003362A6" w:rsidRPr="00DE7DE5" w:rsidRDefault="00DE7DE5" w:rsidP="003A4E1E">
            <w:pPr>
              <w:jc w:val="center"/>
              <w:rPr>
                <w:rFonts w:ascii="CAIXA Std Book" w:hAnsi="CAIXA Std Book" w:cs="Arial"/>
                <w:color w:val="005CA9"/>
                <w:sz w:val="18"/>
                <w:szCs w:val="18"/>
              </w:rPr>
            </w:pPr>
            <w:r>
              <w:rPr>
                <w:rFonts w:ascii="CAIXA Std Book" w:hAnsi="CAIXA Std Book" w:cs="Arial"/>
                <w:color w:val="005CA9"/>
                <w:sz w:val="18"/>
                <w:szCs w:val="18"/>
              </w:rPr>
              <w:t>-</w:t>
            </w:r>
          </w:p>
        </w:tc>
        <w:tc>
          <w:tcPr>
            <w:tcW w:w="679" w:type="pct"/>
            <w:tcBorders>
              <w:top w:val="nil"/>
              <w:left w:val="nil"/>
              <w:right w:val="nil"/>
            </w:tcBorders>
            <w:noWrap/>
            <w:vAlign w:val="center"/>
          </w:tcPr>
          <w:p w14:paraId="09FDDC30" w14:textId="46436777" w:rsidR="003362A6" w:rsidRPr="00DE7DE5" w:rsidRDefault="00DE7DE5" w:rsidP="00A11822">
            <w:pPr>
              <w:jc w:val="center"/>
              <w:rPr>
                <w:rFonts w:ascii="CAIXA Std Book" w:hAnsi="CAIXA Std Book" w:cs="Arial"/>
                <w:color w:val="005CA9"/>
                <w:sz w:val="18"/>
                <w:szCs w:val="18"/>
              </w:rPr>
            </w:pPr>
            <w:r>
              <w:rPr>
                <w:rFonts w:ascii="CAIXA Std Book" w:hAnsi="CAIXA Std Book" w:cs="Arial"/>
                <w:color w:val="005CA9"/>
                <w:sz w:val="18"/>
                <w:szCs w:val="18"/>
              </w:rPr>
              <w:t>-</w:t>
            </w:r>
          </w:p>
        </w:tc>
        <w:tc>
          <w:tcPr>
            <w:tcW w:w="679" w:type="pct"/>
            <w:tcBorders>
              <w:top w:val="nil"/>
              <w:left w:val="nil"/>
              <w:right w:val="nil"/>
            </w:tcBorders>
            <w:noWrap/>
            <w:vAlign w:val="center"/>
          </w:tcPr>
          <w:p w14:paraId="6AF4CF43" w14:textId="700AE885" w:rsidR="003362A6" w:rsidRPr="00DE7DE5" w:rsidRDefault="00DE7DE5" w:rsidP="003362A6">
            <w:pPr>
              <w:jc w:val="right"/>
              <w:rPr>
                <w:rFonts w:ascii="CAIXA Std Book" w:hAnsi="CAIXA Std Book" w:cs="Arial"/>
                <w:color w:val="005CA9"/>
                <w:sz w:val="18"/>
                <w:szCs w:val="18"/>
              </w:rPr>
            </w:pPr>
            <w:r>
              <w:rPr>
                <w:rFonts w:ascii="CAIXA Std Book" w:hAnsi="CAIXA Std Book" w:cs="Arial"/>
                <w:color w:val="005CA9"/>
                <w:sz w:val="18"/>
                <w:szCs w:val="18"/>
              </w:rPr>
              <w:t>18.970</w:t>
            </w:r>
          </w:p>
        </w:tc>
      </w:tr>
      <w:tr w:rsidR="003B077A" w:rsidRPr="00A13447" w14:paraId="6C6E4675" w14:textId="77777777" w:rsidTr="00E31ACA">
        <w:trPr>
          <w:trHeight w:val="272"/>
        </w:trPr>
        <w:tc>
          <w:tcPr>
            <w:tcW w:w="1605" w:type="pct"/>
            <w:tcBorders>
              <w:top w:val="nil"/>
              <w:left w:val="nil"/>
              <w:right w:val="nil"/>
            </w:tcBorders>
            <w:shd w:val="clear" w:color="auto" w:fill="005CA9"/>
            <w:noWrap/>
            <w:vAlign w:val="center"/>
            <w:hideMark/>
          </w:tcPr>
          <w:p w14:paraId="107B3BB6" w14:textId="77777777" w:rsidR="003362A6" w:rsidRPr="00A13447" w:rsidRDefault="003362A6" w:rsidP="003362A6">
            <w:pP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Total</w:t>
            </w:r>
          </w:p>
        </w:tc>
        <w:tc>
          <w:tcPr>
            <w:tcW w:w="679" w:type="pct"/>
            <w:tcBorders>
              <w:top w:val="nil"/>
              <w:left w:val="nil"/>
              <w:right w:val="nil"/>
            </w:tcBorders>
            <w:shd w:val="clear" w:color="auto" w:fill="005CA9"/>
            <w:noWrap/>
            <w:vAlign w:val="center"/>
            <w:hideMark/>
          </w:tcPr>
          <w:p w14:paraId="62AE819E" w14:textId="48DAEDD4" w:rsidR="003362A6" w:rsidRPr="006E1448" w:rsidRDefault="00933BC7" w:rsidP="00FF047F">
            <w:pPr>
              <w:jc w:val="right"/>
              <w:rPr>
                <w:rFonts w:ascii="CAIXA Std Book" w:hAnsi="CAIXA Std Book"/>
                <w:b/>
                <w:color w:val="FFFFFF"/>
                <w:sz w:val="18"/>
                <w:szCs w:val="18"/>
              </w:rPr>
            </w:pPr>
            <w:r>
              <w:rPr>
                <w:rFonts w:ascii="CAIXA Std Book" w:hAnsi="CAIXA Std Book" w:cs="Arial"/>
                <w:b/>
                <w:bCs/>
                <w:color w:val="FFFFFF"/>
                <w:sz w:val="18"/>
                <w:szCs w:val="18"/>
              </w:rPr>
              <w:t>310.112.750</w:t>
            </w:r>
          </w:p>
        </w:tc>
        <w:tc>
          <w:tcPr>
            <w:tcW w:w="679" w:type="pct"/>
            <w:tcBorders>
              <w:top w:val="nil"/>
              <w:left w:val="nil"/>
              <w:right w:val="nil"/>
            </w:tcBorders>
            <w:shd w:val="clear" w:color="auto" w:fill="005CA9"/>
            <w:noWrap/>
            <w:vAlign w:val="center"/>
          </w:tcPr>
          <w:p w14:paraId="5BAF75B2" w14:textId="6D872894" w:rsidR="003362A6" w:rsidRPr="00D41D00" w:rsidRDefault="00DE7DE5" w:rsidP="003362A6">
            <w:pPr>
              <w:jc w:val="right"/>
              <w:rPr>
                <w:rFonts w:ascii="CAIXA Std Book" w:hAnsi="CAIXA Std Book" w:cs="Arial"/>
                <w:b/>
                <w:color w:val="FFFFFF"/>
                <w:sz w:val="18"/>
                <w:szCs w:val="18"/>
              </w:rPr>
            </w:pPr>
            <w:r>
              <w:rPr>
                <w:rFonts w:ascii="CAIXA Std Book" w:hAnsi="CAIXA Std Book" w:cs="Arial"/>
                <w:b/>
                <w:bCs/>
                <w:color w:val="FFFFFF"/>
                <w:sz w:val="18"/>
                <w:szCs w:val="18"/>
              </w:rPr>
              <w:t>(28.491.91</w:t>
            </w:r>
            <w:r w:rsidR="00F25BE7">
              <w:rPr>
                <w:rFonts w:ascii="CAIXA Std Book" w:hAnsi="CAIXA Std Book" w:cs="Arial"/>
                <w:b/>
                <w:bCs/>
                <w:color w:val="FFFFFF"/>
                <w:sz w:val="18"/>
                <w:szCs w:val="18"/>
              </w:rPr>
              <w:t>7</w:t>
            </w:r>
            <w:r>
              <w:rPr>
                <w:rFonts w:ascii="CAIXA Std Book" w:hAnsi="CAIXA Std Book" w:cs="Arial"/>
                <w:b/>
                <w:bCs/>
                <w:color w:val="FFFFFF"/>
                <w:sz w:val="18"/>
                <w:szCs w:val="18"/>
              </w:rPr>
              <w:t>)</w:t>
            </w:r>
          </w:p>
        </w:tc>
        <w:tc>
          <w:tcPr>
            <w:tcW w:w="679" w:type="pct"/>
            <w:tcBorders>
              <w:top w:val="nil"/>
              <w:left w:val="nil"/>
              <w:right w:val="nil"/>
            </w:tcBorders>
            <w:shd w:val="clear" w:color="auto" w:fill="005CA9"/>
            <w:noWrap/>
            <w:vAlign w:val="center"/>
          </w:tcPr>
          <w:p w14:paraId="75430BB2" w14:textId="4CEBF644" w:rsidR="003362A6" w:rsidRPr="000F202E" w:rsidRDefault="00DE7DE5" w:rsidP="00DE7DE5">
            <w:pPr>
              <w:jc w:val="center"/>
              <w:rPr>
                <w:rFonts w:ascii="CAIXA Std Book" w:hAnsi="CAIXA Std Book" w:cs="Arial"/>
                <w:b/>
                <w:color w:val="FFFFFF"/>
                <w:sz w:val="18"/>
                <w:szCs w:val="18"/>
              </w:rPr>
            </w:pPr>
            <w:r>
              <w:rPr>
                <w:rFonts w:ascii="CAIXA Std Book" w:hAnsi="CAIXA Std Book" w:cs="Arial"/>
                <w:b/>
                <w:bCs/>
                <w:color w:val="FFFFFF"/>
                <w:sz w:val="18"/>
                <w:szCs w:val="18"/>
              </w:rPr>
              <w:t>-</w:t>
            </w:r>
          </w:p>
        </w:tc>
        <w:tc>
          <w:tcPr>
            <w:tcW w:w="679" w:type="pct"/>
            <w:tcBorders>
              <w:top w:val="nil"/>
              <w:left w:val="nil"/>
              <w:right w:val="nil"/>
            </w:tcBorders>
            <w:shd w:val="clear" w:color="auto" w:fill="005CA9"/>
            <w:noWrap/>
            <w:vAlign w:val="center"/>
          </w:tcPr>
          <w:p w14:paraId="2824AA4B" w14:textId="047C300A" w:rsidR="003362A6" w:rsidRPr="00DE7DE5" w:rsidRDefault="00DE7DE5" w:rsidP="00DE7DE5">
            <w:pPr>
              <w:jc w:val="center"/>
              <w:rPr>
                <w:rFonts w:ascii="CAIXA Std Book" w:hAnsi="CAIXA Std Book" w:cs="Arial"/>
                <w:b/>
                <w:color w:val="FFFFFF"/>
                <w:sz w:val="18"/>
                <w:szCs w:val="18"/>
              </w:rPr>
            </w:pPr>
            <w:r>
              <w:rPr>
                <w:rFonts w:ascii="CAIXA Std Book" w:hAnsi="CAIXA Std Book" w:cs="Arial"/>
                <w:b/>
                <w:bCs/>
                <w:color w:val="FFFFFF"/>
                <w:sz w:val="18"/>
                <w:szCs w:val="18"/>
              </w:rPr>
              <w:t>-</w:t>
            </w:r>
          </w:p>
        </w:tc>
        <w:tc>
          <w:tcPr>
            <w:tcW w:w="679" w:type="pct"/>
            <w:tcBorders>
              <w:top w:val="nil"/>
              <w:left w:val="nil"/>
              <w:right w:val="nil"/>
            </w:tcBorders>
            <w:shd w:val="clear" w:color="auto" w:fill="005CA9"/>
            <w:noWrap/>
            <w:vAlign w:val="center"/>
          </w:tcPr>
          <w:p w14:paraId="21A5D830" w14:textId="4F537C95" w:rsidR="003362A6" w:rsidRPr="00DE7DE5" w:rsidRDefault="00DE7DE5" w:rsidP="003362A6">
            <w:pPr>
              <w:jc w:val="right"/>
              <w:rPr>
                <w:rFonts w:ascii="CAIXA Std Book" w:hAnsi="CAIXA Std Book" w:cs="Arial"/>
                <w:b/>
                <w:color w:val="FFFFFF"/>
                <w:sz w:val="18"/>
                <w:szCs w:val="18"/>
              </w:rPr>
            </w:pPr>
            <w:r>
              <w:rPr>
                <w:rFonts w:ascii="CAIXA Std Book" w:hAnsi="CAIXA Std Book" w:cs="Arial"/>
                <w:b/>
                <w:bCs/>
                <w:color w:val="FFFFFF"/>
                <w:sz w:val="18"/>
                <w:szCs w:val="18"/>
              </w:rPr>
              <w:t>281.620.83</w:t>
            </w:r>
            <w:r w:rsidR="00F25BE7">
              <w:rPr>
                <w:rFonts w:ascii="CAIXA Std Book" w:hAnsi="CAIXA Std Book" w:cs="Arial"/>
                <w:b/>
                <w:bCs/>
                <w:color w:val="FFFFFF"/>
                <w:sz w:val="18"/>
                <w:szCs w:val="18"/>
              </w:rPr>
              <w:t>3</w:t>
            </w:r>
          </w:p>
        </w:tc>
      </w:tr>
    </w:tbl>
    <w:p w14:paraId="75A8999F" w14:textId="77777777" w:rsidR="008C50ED" w:rsidRPr="007A16D5" w:rsidRDefault="008C50ED" w:rsidP="008C50ED">
      <w:pPr>
        <w:rPr>
          <w:rFonts w:ascii="CAIXA Std Book" w:eastAsia="Times New Roman" w:hAnsi="CAIXA Std Book" w:cs="Arial"/>
          <w:color w:val="005CA9"/>
        </w:rPr>
      </w:pPr>
    </w:p>
    <w:tbl>
      <w:tblPr>
        <w:tblW w:w="5000" w:type="pct"/>
        <w:tblCellMar>
          <w:left w:w="70" w:type="dxa"/>
          <w:right w:w="70" w:type="dxa"/>
        </w:tblCellMar>
        <w:tblLook w:val="04A0" w:firstRow="1" w:lastRow="0" w:firstColumn="1" w:lastColumn="0" w:noHBand="0" w:noVBand="1"/>
      </w:tblPr>
      <w:tblGrid>
        <w:gridCol w:w="4666"/>
        <w:gridCol w:w="1982"/>
        <w:gridCol w:w="1981"/>
        <w:gridCol w:w="1981"/>
        <w:gridCol w:w="1981"/>
        <w:gridCol w:w="1978"/>
      </w:tblGrid>
      <w:tr w:rsidR="006E2693" w:rsidRPr="00A13447" w14:paraId="4DD1301C" w14:textId="77777777" w:rsidTr="006E2693">
        <w:trPr>
          <w:trHeight w:val="255"/>
        </w:trPr>
        <w:tc>
          <w:tcPr>
            <w:tcW w:w="5000" w:type="pct"/>
            <w:gridSpan w:val="6"/>
            <w:tcBorders>
              <w:left w:val="nil"/>
              <w:bottom w:val="single" w:sz="4" w:space="0" w:color="FFFFFF" w:themeColor="background1"/>
              <w:right w:val="nil"/>
            </w:tcBorders>
            <w:shd w:val="clear" w:color="auto" w:fill="005CA9"/>
            <w:noWrap/>
            <w:vAlign w:val="center"/>
            <w:hideMark/>
          </w:tcPr>
          <w:p w14:paraId="7F828910" w14:textId="77777777" w:rsidR="006E2693" w:rsidRPr="00A13447" w:rsidRDefault="006E2693" w:rsidP="00256BC9">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Individual</w:t>
            </w:r>
          </w:p>
        </w:tc>
      </w:tr>
      <w:tr w:rsidR="006E2693" w:rsidRPr="00A13447" w14:paraId="5D418637" w14:textId="77777777" w:rsidTr="006E2693">
        <w:trPr>
          <w:trHeight w:val="401"/>
        </w:trPr>
        <w:tc>
          <w:tcPr>
            <w:tcW w:w="1601" w:type="pct"/>
            <w:vMerge w:val="restart"/>
            <w:tcBorders>
              <w:top w:val="single" w:sz="4" w:space="0" w:color="FFFFFF" w:themeColor="background1"/>
              <w:left w:val="nil"/>
              <w:bottom w:val="single" w:sz="4" w:space="0" w:color="FFFFFF"/>
              <w:right w:val="nil"/>
            </w:tcBorders>
            <w:shd w:val="clear" w:color="auto" w:fill="005CA9"/>
            <w:vAlign w:val="center"/>
            <w:hideMark/>
          </w:tcPr>
          <w:p w14:paraId="6D2F8167" w14:textId="77777777" w:rsidR="006E2693" w:rsidRPr="00A13447" w:rsidRDefault="006E2693" w:rsidP="00256BC9">
            <w:pPr>
              <w:jc w:val="cente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Estágio 1</w:t>
            </w:r>
          </w:p>
        </w:tc>
        <w:tc>
          <w:tcPr>
            <w:tcW w:w="680" w:type="pct"/>
            <w:vMerge w:val="restart"/>
            <w:tcBorders>
              <w:top w:val="single" w:sz="4" w:space="0" w:color="FFFFFF" w:themeColor="background1"/>
              <w:left w:val="nil"/>
              <w:bottom w:val="single" w:sz="4" w:space="0" w:color="FFFFFF"/>
              <w:right w:val="nil"/>
            </w:tcBorders>
            <w:shd w:val="clear" w:color="auto" w:fill="005CA9"/>
            <w:vAlign w:val="center"/>
            <w:hideMark/>
          </w:tcPr>
          <w:p w14:paraId="52844773" w14:textId="77777777" w:rsidR="006E2693" w:rsidRPr="00A13447" w:rsidRDefault="006E2693" w:rsidP="00256BC9">
            <w:pPr>
              <w:jc w:val="cente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Saldo em 01/01/2025</w:t>
            </w:r>
          </w:p>
        </w:tc>
        <w:tc>
          <w:tcPr>
            <w:tcW w:w="680" w:type="pct"/>
            <w:vMerge w:val="restart"/>
            <w:tcBorders>
              <w:top w:val="single" w:sz="4" w:space="0" w:color="FFFFFF" w:themeColor="background1"/>
              <w:left w:val="nil"/>
              <w:bottom w:val="single" w:sz="4" w:space="0" w:color="FFFFFF"/>
              <w:right w:val="nil"/>
            </w:tcBorders>
            <w:shd w:val="clear" w:color="auto" w:fill="005CA9"/>
            <w:vAlign w:val="center"/>
            <w:hideMark/>
          </w:tcPr>
          <w:p w14:paraId="37B5EA82" w14:textId="77777777" w:rsidR="006E2693" w:rsidRDefault="006E2693" w:rsidP="00256BC9">
            <w:pPr>
              <w:jc w:val="cente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Compra/</w:t>
            </w:r>
          </w:p>
          <w:p w14:paraId="58F24E00" w14:textId="77777777" w:rsidR="006E2693" w:rsidRPr="00A13447" w:rsidRDefault="006E2693" w:rsidP="00256BC9">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w:t>
            </w:r>
            <w:r w:rsidRPr="00A13447">
              <w:rPr>
                <w:rFonts w:ascii="CAIXA Std Book" w:eastAsia="Times New Roman" w:hAnsi="CAIXA Std Book" w:cs="Calibri"/>
                <w:b/>
                <w:bCs/>
                <w:color w:val="FFFFFF"/>
                <w:sz w:val="18"/>
                <w:szCs w:val="18"/>
              </w:rPr>
              <w:t>liquidação</w:t>
            </w:r>
            <w:r>
              <w:rPr>
                <w:rFonts w:ascii="CAIXA Std Book" w:eastAsia="Times New Roman" w:hAnsi="CAIXA Std Book" w:cs="Calibri"/>
                <w:b/>
                <w:bCs/>
                <w:color w:val="FFFFFF"/>
                <w:sz w:val="18"/>
                <w:szCs w:val="18"/>
              </w:rPr>
              <w:t>)</w:t>
            </w:r>
          </w:p>
        </w:tc>
        <w:tc>
          <w:tcPr>
            <w:tcW w:w="680" w:type="pct"/>
            <w:vMerge w:val="restart"/>
            <w:tcBorders>
              <w:top w:val="single" w:sz="4" w:space="0" w:color="FFFFFF" w:themeColor="background1"/>
              <w:left w:val="nil"/>
              <w:bottom w:val="single" w:sz="4" w:space="0" w:color="FFFFFF"/>
              <w:right w:val="nil"/>
            </w:tcBorders>
            <w:shd w:val="clear" w:color="auto" w:fill="005CA9"/>
            <w:vAlign w:val="center"/>
            <w:hideMark/>
          </w:tcPr>
          <w:p w14:paraId="62A7287F" w14:textId="77777777" w:rsidR="006E2693" w:rsidRDefault="006E2693" w:rsidP="00256BC9">
            <w:pPr>
              <w:jc w:val="cente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Transferência do/</w:t>
            </w:r>
          </w:p>
          <w:p w14:paraId="41C96974" w14:textId="77777777" w:rsidR="006E2693" w:rsidRPr="00A13447" w:rsidRDefault="006E2693" w:rsidP="00256BC9">
            <w:pPr>
              <w:jc w:val="cente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para estágio 2</w:t>
            </w:r>
          </w:p>
        </w:tc>
        <w:tc>
          <w:tcPr>
            <w:tcW w:w="680" w:type="pct"/>
            <w:vMerge w:val="restart"/>
            <w:tcBorders>
              <w:top w:val="single" w:sz="4" w:space="0" w:color="FFFFFF" w:themeColor="background1"/>
              <w:left w:val="nil"/>
              <w:bottom w:val="single" w:sz="4" w:space="0" w:color="FFFFFF"/>
              <w:right w:val="nil"/>
            </w:tcBorders>
            <w:shd w:val="clear" w:color="auto" w:fill="005CA9"/>
            <w:vAlign w:val="center"/>
            <w:hideMark/>
          </w:tcPr>
          <w:p w14:paraId="66DF4E65" w14:textId="77777777" w:rsidR="006E2693" w:rsidRDefault="006E2693" w:rsidP="00256BC9">
            <w:pPr>
              <w:jc w:val="cente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Transferência do/</w:t>
            </w:r>
          </w:p>
          <w:p w14:paraId="1FCF6EEE" w14:textId="77777777" w:rsidR="006E2693" w:rsidRPr="00A13447" w:rsidRDefault="006E2693" w:rsidP="00256BC9">
            <w:pPr>
              <w:jc w:val="cente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para estágio 3</w:t>
            </w:r>
          </w:p>
        </w:tc>
        <w:tc>
          <w:tcPr>
            <w:tcW w:w="679" w:type="pct"/>
            <w:vMerge w:val="restart"/>
            <w:tcBorders>
              <w:top w:val="single" w:sz="4" w:space="0" w:color="FFFFFF" w:themeColor="background1"/>
              <w:left w:val="nil"/>
              <w:bottom w:val="single" w:sz="4" w:space="0" w:color="FFFFFF"/>
              <w:right w:val="nil"/>
            </w:tcBorders>
            <w:shd w:val="clear" w:color="auto" w:fill="005CA9"/>
            <w:vAlign w:val="center"/>
            <w:hideMark/>
          </w:tcPr>
          <w:p w14:paraId="73DF6C10" w14:textId="77777777" w:rsidR="006E2693" w:rsidRPr="00A13447" w:rsidRDefault="006E2693" w:rsidP="00256BC9">
            <w:pPr>
              <w:jc w:val="cente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Saldo em 3</w:t>
            </w:r>
            <w:r>
              <w:rPr>
                <w:rFonts w:ascii="CAIXA Std Book" w:eastAsia="Times New Roman" w:hAnsi="CAIXA Std Book" w:cs="Calibri"/>
                <w:b/>
                <w:bCs/>
                <w:color w:val="FFFFFF"/>
                <w:sz w:val="18"/>
                <w:szCs w:val="18"/>
              </w:rPr>
              <w:t>1</w:t>
            </w:r>
            <w:r w:rsidRPr="00A13447">
              <w:rPr>
                <w:rFonts w:ascii="CAIXA Std Book" w:eastAsia="Times New Roman" w:hAnsi="CAIXA Std Book" w:cs="Calibri"/>
                <w:b/>
                <w:bCs/>
                <w:color w:val="FFFFFF"/>
                <w:sz w:val="18"/>
                <w:szCs w:val="18"/>
              </w:rPr>
              <w:t>/</w:t>
            </w:r>
            <w:r>
              <w:rPr>
                <w:rFonts w:ascii="CAIXA Std Book" w:eastAsia="Times New Roman" w:hAnsi="CAIXA Std Book" w:cs="Calibri"/>
                <w:b/>
                <w:bCs/>
                <w:color w:val="FFFFFF"/>
                <w:sz w:val="18"/>
                <w:szCs w:val="18"/>
              </w:rPr>
              <w:t>12</w:t>
            </w:r>
            <w:r w:rsidRPr="00A13447">
              <w:rPr>
                <w:rFonts w:ascii="CAIXA Std Book" w:eastAsia="Times New Roman" w:hAnsi="CAIXA Std Book" w:cs="Calibri"/>
                <w:b/>
                <w:bCs/>
                <w:color w:val="FFFFFF"/>
                <w:sz w:val="18"/>
                <w:szCs w:val="18"/>
              </w:rPr>
              <w:t>/2025</w:t>
            </w:r>
          </w:p>
        </w:tc>
      </w:tr>
      <w:tr w:rsidR="006E2693" w:rsidRPr="00A13447" w14:paraId="1F9A1944" w14:textId="77777777" w:rsidTr="006E2693">
        <w:trPr>
          <w:trHeight w:val="401"/>
        </w:trPr>
        <w:tc>
          <w:tcPr>
            <w:tcW w:w="1601" w:type="pct"/>
            <w:vMerge/>
            <w:tcBorders>
              <w:top w:val="nil"/>
              <w:left w:val="nil"/>
              <w:bottom w:val="single" w:sz="4" w:space="0" w:color="FFFFFF"/>
              <w:right w:val="nil"/>
            </w:tcBorders>
            <w:shd w:val="clear" w:color="auto" w:fill="005CA9"/>
            <w:vAlign w:val="center"/>
            <w:hideMark/>
          </w:tcPr>
          <w:p w14:paraId="35C6D51B" w14:textId="77777777" w:rsidR="006E2693" w:rsidRPr="00A13447" w:rsidRDefault="006E2693" w:rsidP="00256BC9">
            <w:pPr>
              <w:rPr>
                <w:rFonts w:ascii="CAIXA Std Book" w:eastAsia="Times New Roman" w:hAnsi="CAIXA Std Book" w:cs="Calibri"/>
                <w:b/>
                <w:bCs/>
                <w:color w:val="FFFFFF"/>
                <w:sz w:val="18"/>
                <w:szCs w:val="18"/>
              </w:rPr>
            </w:pPr>
          </w:p>
        </w:tc>
        <w:tc>
          <w:tcPr>
            <w:tcW w:w="680" w:type="pct"/>
            <w:vMerge/>
            <w:tcBorders>
              <w:top w:val="nil"/>
              <w:left w:val="nil"/>
              <w:bottom w:val="single" w:sz="4" w:space="0" w:color="FFFFFF"/>
              <w:right w:val="nil"/>
            </w:tcBorders>
            <w:shd w:val="clear" w:color="auto" w:fill="005CA9"/>
            <w:vAlign w:val="center"/>
            <w:hideMark/>
          </w:tcPr>
          <w:p w14:paraId="27EA4095" w14:textId="77777777" w:rsidR="006E2693" w:rsidRPr="00A13447" w:rsidRDefault="006E2693" w:rsidP="00256BC9">
            <w:pPr>
              <w:rPr>
                <w:rFonts w:ascii="CAIXA Std Book" w:eastAsia="Times New Roman" w:hAnsi="CAIXA Std Book" w:cs="Calibri"/>
                <w:b/>
                <w:bCs/>
                <w:color w:val="FFFFFF"/>
                <w:sz w:val="18"/>
                <w:szCs w:val="18"/>
              </w:rPr>
            </w:pPr>
          </w:p>
        </w:tc>
        <w:tc>
          <w:tcPr>
            <w:tcW w:w="680" w:type="pct"/>
            <w:vMerge/>
            <w:tcBorders>
              <w:top w:val="nil"/>
              <w:left w:val="nil"/>
              <w:bottom w:val="single" w:sz="4" w:space="0" w:color="FFFFFF"/>
              <w:right w:val="nil"/>
            </w:tcBorders>
            <w:shd w:val="clear" w:color="auto" w:fill="005CA9"/>
            <w:vAlign w:val="center"/>
            <w:hideMark/>
          </w:tcPr>
          <w:p w14:paraId="60BC4A73" w14:textId="77777777" w:rsidR="006E2693" w:rsidRPr="00A13447" w:rsidRDefault="006E2693" w:rsidP="00256BC9">
            <w:pPr>
              <w:rPr>
                <w:rFonts w:ascii="CAIXA Std Book" w:eastAsia="Times New Roman" w:hAnsi="CAIXA Std Book" w:cs="Calibri"/>
                <w:b/>
                <w:bCs/>
                <w:color w:val="FFFFFF"/>
                <w:sz w:val="18"/>
                <w:szCs w:val="18"/>
              </w:rPr>
            </w:pPr>
          </w:p>
        </w:tc>
        <w:tc>
          <w:tcPr>
            <w:tcW w:w="680" w:type="pct"/>
            <w:vMerge/>
            <w:tcBorders>
              <w:top w:val="nil"/>
              <w:left w:val="nil"/>
              <w:bottom w:val="single" w:sz="4" w:space="0" w:color="FFFFFF"/>
              <w:right w:val="nil"/>
            </w:tcBorders>
            <w:shd w:val="clear" w:color="auto" w:fill="005CA9"/>
            <w:vAlign w:val="center"/>
            <w:hideMark/>
          </w:tcPr>
          <w:p w14:paraId="32811211" w14:textId="77777777" w:rsidR="006E2693" w:rsidRPr="00A13447" w:rsidRDefault="006E2693" w:rsidP="00256BC9">
            <w:pPr>
              <w:rPr>
                <w:rFonts w:ascii="CAIXA Std Book" w:eastAsia="Times New Roman" w:hAnsi="CAIXA Std Book" w:cs="Calibri"/>
                <w:b/>
                <w:bCs/>
                <w:color w:val="FFFFFF"/>
                <w:sz w:val="18"/>
                <w:szCs w:val="18"/>
              </w:rPr>
            </w:pPr>
          </w:p>
        </w:tc>
        <w:tc>
          <w:tcPr>
            <w:tcW w:w="680" w:type="pct"/>
            <w:vMerge/>
            <w:tcBorders>
              <w:top w:val="nil"/>
              <w:left w:val="nil"/>
              <w:bottom w:val="single" w:sz="4" w:space="0" w:color="FFFFFF"/>
              <w:right w:val="nil"/>
            </w:tcBorders>
            <w:shd w:val="clear" w:color="auto" w:fill="005CA9"/>
            <w:vAlign w:val="center"/>
            <w:hideMark/>
          </w:tcPr>
          <w:p w14:paraId="1C9EEC6C" w14:textId="77777777" w:rsidR="006E2693" w:rsidRPr="00A13447" w:rsidRDefault="006E2693" w:rsidP="00256BC9">
            <w:pPr>
              <w:rPr>
                <w:rFonts w:ascii="CAIXA Std Book" w:eastAsia="Times New Roman" w:hAnsi="CAIXA Std Book" w:cs="Calibri"/>
                <w:b/>
                <w:bCs/>
                <w:color w:val="FFFFFF"/>
                <w:sz w:val="18"/>
                <w:szCs w:val="18"/>
              </w:rPr>
            </w:pPr>
          </w:p>
        </w:tc>
        <w:tc>
          <w:tcPr>
            <w:tcW w:w="679" w:type="pct"/>
            <w:vMerge/>
            <w:tcBorders>
              <w:top w:val="nil"/>
              <w:left w:val="nil"/>
              <w:bottom w:val="single" w:sz="4" w:space="0" w:color="FFFFFF"/>
              <w:right w:val="nil"/>
            </w:tcBorders>
            <w:shd w:val="clear" w:color="auto" w:fill="005CA9"/>
            <w:vAlign w:val="center"/>
            <w:hideMark/>
          </w:tcPr>
          <w:p w14:paraId="17E0A156" w14:textId="77777777" w:rsidR="006E2693" w:rsidRPr="00A13447" w:rsidRDefault="006E2693" w:rsidP="00256BC9">
            <w:pPr>
              <w:rPr>
                <w:rFonts w:ascii="CAIXA Std Book" w:eastAsia="Times New Roman" w:hAnsi="CAIXA Std Book" w:cs="Calibri"/>
                <w:b/>
                <w:bCs/>
                <w:color w:val="FFFFFF"/>
                <w:sz w:val="18"/>
                <w:szCs w:val="18"/>
              </w:rPr>
            </w:pPr>
          </w:p>
        </w:tc>
      </w:tr>
      <w:tr w:rsidR="006E2693" w:rsidRPr="00A13447" w14:paraId="0AD2672F" w14:textId="77777777" w:rsidTr="006E2693">
        <w:trPr>
          <w:trHeight w:val="255"/>
        </w:trPr>
        <w:tc>
          <w:tcPr>
            <w:tcW w:w="1601" w:type="pct"/>
            <w:tcBorders>
              <w:top w:val="nil"/>
              <w:left w:val="nil"/>
              <w:bottom w:val="single" w:sz="4" w:space="0" w:color="FFFFFF"/>
              <w:right w:val="nil"/>
            </w:tcBorders>
            <w:shd w:val="clear" w:color="000000" w:fill="FFFFFF"/>
            <w:noWrap/>
            <w:vAlign w:val="center"/>
            <w:hideMark/>
          </w:tcPr>
          <w:p w14:paraId="75C801F1" w14:textId="77777777" w:rsidR="006E2693" w:rsidRPr="00A13447" w:rsidRDefault="006E2693" w:rsidP="00256BC9">
            <w:pPr>
              <w:rPr>
                <w:rFonts w:ascii="CAIXA Std Book" w:eastAsia="Times New Roman" w:hAnsi="CAIXA Std Book" w:cs="Calibri"/>
                <w:color w:val="005CA9"/>
                <w:sz w:val="18"/>
                <w:szCs w:val="18"/>
              </w:rPr>
            </w:pPr>
            <w:r>
              <w:rPr>
                <w:rFonts w:ascii="CAIXA Std Book" w:hAnsi="CAIXA Std Book" w:cs="Calibri"/>
                <w:color w:val="005CA9"/>
                <w:sz w:val="18"/>
                <w:szCs w:val="18"/>
              </w:rPr>
              <w:t>Títulos públicos federais brasileiros</w:t>
            </w:r>
          </w:p>
        </w:tc>
        <w:tc>
          <w:tcPr>
            <w:tcW w:w="680" w:type="pct"/>
            <w:tcBorders>
              <w:top w:val="nil"/>
              <w:left w:val="nil"/>
              <w:bottom w:val="single" w:sz="8" w:space="0" w:color="FFFFFF"/>
              <w:right w:val="nil"/>
            </w:tcBorders>
            <w:noWrap/>
            <w:vAlign w:val="center"/>
            <w:hideMark/>
          </w:tcPr>
          <w:p w14:paraId="14FF7C41" w14:textId="77777777" w:rsidR="006E2693" w:rsidRPr="00FD59D1" w:rsidRDefault="006E2693" w:rsidP="00256BC9">
            <w:pPr>
              <w:jc w:val="right"/>
              <w:rPr>
                <w:rFonts w:ascii="CAIXA Std Book" w:hAnsi="CAIXA Std Book"/>
                <w:color w:val="005CA9"/>
                <w:sz w:val="18"/>
                <w:szCs w:val="18"/>
              </w:rPr>
            </w:pPr>
            <w:r>
              <w:rPr>
                <w:rFonts w:ascii="CAIXA Std Book" w:hAnsi="CAIXA Std Book"/>
                <w:color w:val="005CA9"/>
                <w:sz w:val="18"/>
                <w:szCs w:val="18"/>
              </w:rPr>
              <w:t>162.083.246</w:t>
            </w:r>
          </w:p>
        </w:tc>
        <w:tc>
          <w:tcPr>
            <w:tcW w:w="680" w:type="pct"/>
            <w:tcBorders>
              <w:top w:val="nil"/>
              <w:left w:val="nil"/>
              <w:bottom w:val="single" w:sz="8" w:space="0" w:color="FFFFFF"/>
              <w:right w:val="nil"/>
            </w:tcBorders>
            <w:noWrap/>
            <w:vAlign w:val="center"/>
          </w:tcPr>
          <w:p w14:paraId="284E8D46" w14:textId="77777777" w:rsidR="006E2693" w:rsidRPr="00FD59D1" w:rsidRDefault="006E2693" w:rsidP="00256BC9">
            <w:pPr>
              <w:jc w:val="right"/>
              <w:rPr>
                <w:rFonts w:ascii="CAIXA Std Book" w:hAnsi="CAIXA Std Book"/>
                <w:color w:val="005CA9"/>
                <w:sz w:val="18"/>
                <w:szCs w:val="18"/>
              </w:rPr>
            </w:pPr>
            <w:r>
              <w:rPr>
                <w:rFonts w:ascii="CAIXA Std Book" w:hAnsi="CAIXA Std Book" w:cs="Arial"/>
                <w:color w:val="005CA9"/>
                <w:sz w:val="18"/>
                <w:szCs w:val="18"/>
              </w:rPr>
              <w:t>131.377.330</w:t>
            </w:r>
          </w:p>
        </w:tc>
        <w:tc>
          <w:tcPr>
            <w:tcW w:w="680" w:type="pct"/>
            <w:tcBorders>
              <w:top w:val="nil"/>
              <w:left w:val="nil"/>
              <w:bottom w:val="single" w:sz="8" w:space="0" w:color="FFFFFF"/>
              <w:right w:val="nil"/>
            </w:tcBorders>
            <w:noWrap/>
            <w:vAlign w:val="center"/>
          </w:tcPr>
          <w:p w14:paraId="688E9117" w14:textId="77777777" w:rsidR="006E2693" w:rsidRPr="00FD59D1" w:rsidRDefault="006E2693" w:rsidP="00256BC9">
            <w:pPr>
              <w:jc w:val="center"/>
              <w:rPr>
                <w:rFonts w:ascii="CAIXA Std Book" w:hAnsi="CAIXA Std Book"/>
                <w:color w:val="005CA9"/>
                <w:sz w:val="18"/>
                <w:szCs w:val="18"/>
              </w:rPr>
            </w:pPr>
            <w:r>
              <w:rPr>
                <w:rFonts w:ascii="CAIXA Std Book" w:hAnsi="CAIXA Std Book" w:cs="Arial"/>
                <w:color w:val="005CA9"/>
                <w:sz w:val="18"/>
                <w:szCs w:val="18"/>
              </w:rPr>
              <w:t>-</w:t>
            </w:r>
          </w:p>
        </w:tc>
        <w:tc>
          <w:tcPr>
            <w:tcW w:w="680" w:type="pct"/>
            <w:tcBorders>
              <w:top w:val="nil"/>
              <w:left w:val="nil"/>
              <w:bottom w:val="single" w:sz="8" w:space="0" w:color="FFFFFF"/>
              <w:right w:val="nil"/>
            </w:tcBorders>
            <w:noWrap/>
            <w:vAlign w:val="center"/>
          </w:tcPr>
          <w:p w14:paraId="40611751" w14:textId="77777777" w:rsidR="006E2693" w:rsidRPr="00FD59D1" w:rsidRDefault="006E2693" w:rsidP="00256BC9">
            <w:pPr>
              <w:jc w:val="center"/>
              <w:rPr>
                <w:rFonts w:ascii="CAIXA Std Book" w:hAnsi="CAIXA Std Book"/>
                <w:color w:val="005CA9"/>
                <w:sz w:val="18"/>
                <w:szCs w:val="18"/>
              </w:rPr>
            </w:pPr>
            <w:r>
              <w:rPr>
                <w:rFonts w:ascii="CAIXA Std Book" w:hAnsi="CAIXA Std Book" w:cs="Arial"/>
                <w:color w:val="005CA9"/>
                <w:sz w:val="18"/>
                <w:szCs w:val="18"/>
              </w:rPr>
              <w:t>-</w:t>
            </w:r>
          </w:p>
        </w:tc>
        <w:tc>
          <w:tcPr>
            <w:tcW w:w="679" w:type="pct"/>
            <w:tcBorders>
              <w:top w:val="nil"/>
              <w:left w:val="nil"/>
              <w:bottom w:val="single" w:sz="8" w:space="0" w:color="FFFFFF"/>
              <w:right w:val="nil"/>
            </w:tcBorders>
            <w:noWrap/>
            <w:vAlign w:val="center"/>
          </w:tcPr>
          <w:p w14:paraId="67C850D8" w14:textId="77777777" w:rsidR="006E2693" w:rsidRPr="00FD59D1" w:rsidRDefault="006E2693" w:rsidP="00256BC9">
            <w:pPr>
              <w:jc w:val="right"/>
              <w:rPr>
                <w:rFonts w:ascii="CAIXA Std Book" w:hAnsi="CAIXA Std Book"/>
                <w:color w:val="005CA9"/>
                <w:sz w:val="18"/>
                <w:szCs w:val="18"/>
              </w:rPr>
            </w:pPr>
            <w:r>
              <w:rPr>
                <w:rFonts w:ascii="CAIXA Std Book" w:hAnsi="CAIXA Std Book" w:cs="Arial"/>
                <w:color w:val="005CA9"/>
                <w:sz w:val="18"/>
                <w:szCs w:val="18"/>
              </w:rPr>
              <w:t>293.460.576</w:t>
            </w:r>
          </w:p>
        </w:tc>
      </w:tr>
      <w:tr w:rsidR="006E2693" w:rsidRPr="00A13447" w14:paraId="2B813319" w14:textId="77777777" w:rsidTr="006E2693">
        <w:trPr>
          <w:trHeight w:val="255"/>
        </w:trPr>
        <w:tc>
          <w:tcPr>
            <w:tcW w:w="1601" w:type="pct"/>
            <w:tcBorders>
              <w:top w:val="nil"/>
              <w:left w:val="nil"/>
              <w:bottom w:val="single" w:sz="4" w:space="0" w:color="FFFFFF"/>
              <w:right w:val="nil"/>
            </w:tcBorders>
            <w:shd w:val="clear" w:color="000000" w:fill="FFFFFF"/>
            <w:noWrap/>
            <w:vAlign w:val="center"/>
            <w:hideMark/>
          </w:tcPr>
          <w:p w14:paraId="44CD1B17" w14:textId="77777777" w:rsidR="006E2693" w:rsidRPr="00A13447" w:rsidRDefault="006E2693" w:rsidP="00256BC9">
            <w:pPr>
              <w:rPr>
                <w:rFonts w:ascii="CAIXA Std Book" w:eastAsia="Times New Roman" w:hAnsi="CAIXA Std Book" w:cs="Calibri"/>
                <w:color w:val="005CA9"/>
                <w:sz w:val="18"/>
                <w:szCs w:val="18"/>
              </w:rPr>
            </w:pPr>
            <w:r w:rsidRPr="00A13447">
              <w:rPr>
                <w:rFonts w:ascii="CAIXA Std Book" w:eastAsia="Times New Roman" w:hAnsi="CAIXA Std Book" w:cs="Calibri"/>
                <w:color w:val="005CA9"/>
                <w:sz w:val="18"/>
                <w:szCs w:val="18"/>
              </w:rPr>
              <w:t>Títulos privados de instituições financeiras</w:t>
            </w:r>
          </w:p>
        </w:tc>
        <w:tc>
          <w:tcPr>
            <w:tcW w:w="680" w:type="pct"/>
            <w:tcBorders>
              <w:top w:val="nil"/>
              <w:left w:val="nil"/>
              <w:bottom w:val="single" w:sz="8" w:space="0" w:color="FFFFFF"/>
              <w:right w:val="nil"/>
            </w:tcBorders>
            <w:noWrap/>
            <w:vAlign w:val="center"/>
            <w:hideMark/>
          </w:tcPr>
          <w:p w14:paraId="0B9510DC" w14:textId="77777777" w:rsidR="006E2693" w:rsidRPr="00FD59D1" w:rsidRDefault="006E2693" w:rsidP="00256BC9">
            <w:pPr>
              <w:jc w:val="right"/>
              <w:rPr>
                <w:rFonts w:ascii="CAIXA Std Book" w:hAnsi="CAIXA Std Book"/>
                <w:color w:val="005CA9"/>
                <w:sz w:val="18"/>
                <w:szCs w:val="18"/>
              </w:rPr>
            </w:pPr>
            <w:r w:rsidRPr="009B6575">
              <w:rPr>
                <w:rFonts w:ascii="CAIXA Std Book" w:hAnsi="CAIXA Std Book"/>
                <w:color w:val="005CA9"/>
                <w:sz w:val="18"/>
                <w:szCs w:val="18"/>
              </w:rPr>
              <w:t>2.854.322</w:t>
            </w:r>
          </w:p>
        </w:tc>
        <w:tc>
          <w:tcPr>
            <w:tcW w:w="680" w:type="pct"/>
            <w:tcBorders>
              <w:top w:val="nil"/>
              <w:left w:val="nil"/>
              <w:bottom w:val="single" w:sz="8" w:space="0" w:color="FFFFFF"/>
              <w:right w:val="nil"/>
            </w:tcBorders>
            <w:noWrap/>
            <w:vAlign w:val="center"/>
          </w:tcPr>
          <w:p w14:paraId="70B470AE" w14:textId="77777777" w:rsidR="006E2693" w:rsidRPr="00FD59D1" w:rsidRDefault="006E2693" w:rsidP="00256BC9">
            <w:pPr>
              <w:jc w:val="right"/>
              <w:rPr>
                <w:rFonts w:ascii="CAIXA Std Book" w:hAnsi="CAIXA Std Book"/>
                <w:color w:val="005CA9"/>
                <w:sz w:val="18"/>
                <w:szCs w:val="18"/>
              </w:rPr>
            </w:pPr>
            <w:r>
              <w:rPr>
                <w:rFonts w:ascii="CAIXA Std Book" w:hAnsi="CAIXA Std Book" w:cs="Arial"/>
                <w:color w:val="005CA9"/>
                <w:sz w:val="18"/>
                <w:szCs w:val="18"/>
              </w:rPr>
              <w:t>(1.279.457)</w:t>
            </w:r>
          </w:p>
        </w:tc>
        <w:tc>
          <w:tcPr>
            <w:tcW w:w="680" w:type="pct"/>
            <w:tcBorders>
              <w:top w:val="nil"/>
              <w:left w:val="nil"/>
              <w:bottom w:val="single" w:sz="8" w:space="0" w:color="FFFFFF"/>
              <w:right w:val="nil"/>
            </w:tcBorders>
            <w:noWrap/>
            <w:vAlign w:val="center"/>
          </w:tcPr>
          <w:p w14:paraId="5553BC38" w14:textId="77777777" w:rsidR="006E2693" w:rsidRPr="00FD59D1" w:rsidRDefault="006E2693" w:rsidP="00256BC9">
            <w:pPr>
              <w:jc w:val="center"/>
              <w:rPr>
                <w:rFonts w:ascii="CAIXA Std Book" w:hAnsi="CAIXA Std Book"/>
                <w:color w:val="005CA9"/>
                <w:sz w:val="18"/>
                <w:szCs w:val="18"/>
              </w:rPr>
            </w:pPr>
            <w:r>
              <w:rPr>
                <w:rFonts w:ascii="CAIXA Std Book" w:hAnsi="CAIXA Std Book" w:cs="Arial"/>
                <w:color w:val="005CA9"/>
                <w:sz w:val="18"/>
                <w:szCs w:val="18"/>
              </w:rPr>
              <w:t>-</w:t>
            </w:r>
          </w:p>
        </w:tc>
        <w:tc>
          <w:tcPr>
            <w:tcW w:w="680" w:type="pct"/>
            <w:tcBorders>
              <w:top w:val="nil"/>
              <w:left w:val="nil"/>
              <w:bottom w:val="single" w:sz="8" w:space="0" w:color="FFFFFF"/>
              <w:right w:val="nil"/>
            </w:tcBorders>
            <w:noWrap/>
            <w:vAlign w:val="center"/>
          </w:tcPr>
          <w:p w14:paraId="086897AC" w14:textId="77777777" w:rsidR="006E2693" w:rsidRPr="00FD59D1" w:rsidRDefault="006E2693" w:rsidP="00256BC9">
            <w:pPr>
              <w:jc w:val="center"/>
              <w:rPr>
                <w:rFonts w:ascii="CAIXA Std Book" w:hAnsi="CAIXA Std Book"/>
                <w:color w:val="005CA9"/>
                <w:sz w:val="18"/>
                <w:szCs w:val="18"/>
              </w:rPr>
            </w:pPr>
            <w:r>
              <w:rPr>
                <w:rFonts w:ascii="CAIXA Std Book" w:hAnsi="CAIXA Std Book" w:cs="Arial"/>
                <w:color w:val="005CA9"/>
                <w:sz w:val="18"/>
                <w:szCs w:val="18"/>
              </w:rPr>
              <w:t>-</w:t>
            </w:r>
          </w:p>
        </w:tc>
        <w:tc>
          <w:tcPr>
            <w:tcW w:w="679" w:type="pct"/>
            <w:tcBorders>
              <w:top w:val="nil"/>
              <w:left w:val="nil"/>
              <w:bottom w:val="single" w:sz="8" w:space="0" w:color="FFFFFF"/>
              <w:right w:val="nil"/>
            </w:tcBorders>
            <w:noWrap/>
            <w:vAlign w:val="center"/>
          </w:tcPr>
          <w:p w14:paraId="2F8F6778" w14:textId="77777777" w:rsidR="006E2693" w:rsidRPr="00FD59D1" w:rsidRDefault="006E2693" w:rsidP="00256BC9">
            <w:pPr>
              <w:jc w:val="right"/>
              <w:rPr>
                <w:rFonts w:ascii="CAIXA Std Book" w:hAnsi="CAIXA Std Book"/>
                <w:color w:val="005CA9"/>
                <w:sz w:val="18"/>
                <w:szCs w:val="18"/>
              </w:rPr>
            </w:pPr>
            <w:r>
              <w:rPr>
                <w:rFonts w:ascii="CAIXA Std Book" w:hAnsi="CAIXA Std Book" w:cs="Arial"/>
                <w:color w:val="005CA9"/>
                <w:sz w:val="18"/>
                <w:szCs w:val="18"/>
              </w:rPr>
              <w:t>1.574.865</w:t>
            </w:r>
          </w:p>
        </w:tc>
      </w:tr>
      <w:tr w:rsidR="006E2693" w:rsidRPr="00A13447" w14:paraId="229F1B9B" w14:textId="77777777" w:rsidTr="006E2693">
        <w:trPr>
          <w:trHeight w:val="255"/>
        </w:trPr>
        <w:tc>
          <w:tcPr>
            <w:tcW w:w="1601" w:type="pct"/>
            <w:tcBorders>
              <w:top w:val="nil"/>
              <w:left w:val="nil"/>
              <w:bottom w:val="single" w:sz="4" w:space="0" w:color="FFFFFF"/>
              <w:right w:val="nil"/>
            </w:tcBorders>
            <w:shd w:val="clear" w:color="000000" w:fill="FFFFFF"/>
            <w:noWrap/>
            <w:vAlign w:val="center"/>
            <w:hideMark/>
          </w:tcPr>
          <w:p w14:paraId="16920B05" w14:textId="77777777" w:rsidR="006E2693" w:rsidRPr="00A13447" w:rsidRDefault="006E2693" w:rsidP="00256BC9">
            <w:pPr>
              <w:rPr>
                <w:rFonts w:ascii="CAIXA Std Book" w:eastAsia="Times New Roman" w:hAnsi="CAIXA Std Book" w:cs="Calibri"/>
                <w:color w:val="005CA9"/>
                <w:sz w:val="18"/>
                <w:szCs w:val="18"/>
              </w:rPr>
            </w:pPr>
            <w:r w:rsidRPr="00A13447">
              <w:rPr>
                <w:rFonts w:ascii="CAIXA Std Book" w:eastAsia="Times New Roman" w:hAnsi="CAIXA Std Book" w:cs="Calibri"/>
                <w:color w:val="005CA9"/>
                <w:sz w:val="18"/>
                <w:szCs w:val="18"/>
              </w:rPr>
              <w:t>Títulos privados de entidades não financeiras</w:t>
            </w:r>
          </w:p>
        </w:tc>
        <w:tc>
          <w:tcPr>
            <w:tcW w:w="680" w:type="pct"/>
            <w:tcBorders>
              <w:top w:val="nil"/>
              <w:left w:val="nil"/>
              <w:bottom w:val="single" w:sz="8" w:space="0" w:color="FFFFFF"/>
              <w:right w:val="nil"/>
            </w:tcBorders>
            <w:noWrap/>
            <w:vAlign w:val="center"/>
            <w:hideMark/>
          </w:tcPr>
          <w:p w14:paraId="7BBD767C" w14:textId="77777777" w:rsidR="006E2693" w:rsidRPr="00FD59D1" w:rsidRDefault="006E2693" w:rsidP="00256BC9">
            <w:pPr>
              <w:jc w:val="right"/>
              <w:rPr>
                <w:rFonts w:ascii="CAIXA Std Book" w:hAnsi="CAIXA Std Book"/>
                <w:color w:val="005CA9"/>
                <w:sz w:val="18"/>
                <w:szCs w:val="18"/>
              </w:rPr>
            </w:pPr>
            <w:r w:rsidRPr="009B6575">
              <w:rPr>
                <w:rFonts w:ascii="CAIXA Std Book" w:hAnsi="CAIXA Std Book"/>
                <w:color w:val="005CA9"/>
                <w:sz w:val="18"/>
                <w:szCs w:val="18"/>
              </w:rPr>
              <w:t>8.979.453</w:t>
            </w:r>
          </w:p>
        </w:tc>
        <w:tc>
          <w:tcPr>
            <w:tcW w:w="680" w:type="pct"/>
            <w:tcBorders>
              <w:top w:val="nil"/>
              <w:left w:val="nil"/>
              <w:bottom w:val="single" w:sz="8" w:space="0" w:color="FFFFFF"/>
              <w:right w:val="nil"/>
            </w:tcBorders>
            <w:noWrap/>
            <w:vAlign w:val="center"/>
          </w:tcPr>
          <w:p w14:paraId="2E7771AD" w14:textId="77777777" w:rsidR="006E2693" w:rsidRPr="00FD59D1" w:rsidRDefault="006E2693" w:rsidP="00256BC9">
            <w:pPr>
              <w:jc w:val="right"/>
              <w:rPr>
                <w:rFonts w:ascii="CAIXA Std Book" w:hAnsi="CAIXA Std Book"/>
                <w:color w:val="005CA9"/>
                <w:sz w:val="18"/>
                <w:szCs w:val="18"/>
              </w:rPr>
            </w:pPr>
            <w:r>
              <w:rPr>
                <w:rFonts w:ascii="CAIXA Std Book" w:hAnsi="CAIXA Std Book" w:cs="Arial"/>
                <w:color w:val="005CA9"/>
                <w:sz w:val="18"/>
                <w:szCs w:val="18"/>
              </w:rPr>
              <w:t>4.965.064</w:t>
            </w:r>
          </w:p>
        </w:tc>
        <w:tc>
          <w:tcPr>
            <w:tcW w:w="680" w:type="pct"/>
            <w:tcBorders>
              <w:top w:val="nil"/>
              <w:left w:val="nil"/>
              <w:bottom w:val="single" w:sz="8" w:space="0" w:color="FFFFFF"/>
              <w:right w:val="nil"/>
            </w:tcBorders>
            <w:noWrap/>
            <w:vAlign w:val="center"/>
          </w:tcPr>
          <w:p w14:paraId="3750D2CA" w14:textId="77777777" w:rsidR="006E2693" w:rsidRPr="00FD59D1" w:rsidRDefault="006E2693" w:rsidP="00256BC9">
            <w:pPr>
              <w:jc w:val="right"/>
              <w:rPr>
                <w:rFonts w:ascii="CAIXA Std Book" w:hAnsi="CAIXA Std Book"/>
                <w:color w:val="005CA9"/>
                <w:sz w:val="18"/>
                <w:szCs w:val="18"/>
              </w:rPr>
            </w:pPr>
            <w:r>
              <w:rPr>
                <w:rFonts w:ascii="CAIXA Std Book" w:hAnsi="CAIXA Std Book" w:cs="Arial"/>
                <w:color w:val="005CA9"/>
                <w:sz w:val="18"/>
                <w:szCs w:val="18"/>
              </w:rPr>
              <w:t>(241.129)</w:t>
            </w:r>
          </w:p>
        </w:tc>
        <w:tc>
          <w:tcPr>
            <w:tcW w:w="680" w:type="pct"/>
            <w:tcBorders>
              <w:top w:val="nil"/>
              <w:left w:val="nil"/>
              <w:bottom w:val="single" w:sz="8" w:space="0" w:color="FFFFFF"/>
              <w:right w:val="nil"/>
            </w:tcBorders>
            <w:noWrap/>
            <w:vAlign w:val="center"/>
          </w:tcPr>
          <w:p w14:paraId="32B35A2A" w14:textId="77777777" w:rsidR="006E2693" w:rsidRPr="00FD59D1" w:rsidRDefault="006E2693" w:rsidP="00256BC9">
            <w:pPr>
              <w:jc w:val="right"/>
              <w:rPr>
                <w:rFonts w:ascii="CAIXA Std Book" w:hAnsi="CAIXA Std Book"/>
                <w:color w:val="005CA9"/>
                <w:sz w:val="18"/>
                <w:szCs w:val="18"/>
              </w:rPr>
            </w:pPr>
            <w:r>
              <w:rPr>
                <w:rFonts w:ascii="CAIXA Std Book" w:hAnsi="CAIXA Std Book" w:cs="Arial"/>
                <w:color w:val="005CA9"/>
                <w:sz w:val="18"/>
                <w:szCs w:val="18"/>
              </w:rPr>
              <w:t>(140.460)</w:t>
            </w:r>
          </w:p>
        </w:tc>
        <w:tc>
          <w:tcPr>
            <w:tcW w:w="679" w:type="pct"/>
            <w:tcBorders>
              <w:top w:val="nil"/>
              <w:left w:val="nil"/>
              <w:bottom w:val="single" w:sz="8" w:space="0" w:color="FFFFFF"/>
              <w:right w:val="nil"/>
            </w:tcBorders>
            <w:noWrap/>
            <w:vAlign w:val="center"/>
          </w:tcPr>
          <w:p w14:paraId="2596BB60" w14:textId="77777777" w:rsidR="006E2693" w:rsidRPr="00FD59D1" w:rsidRDefault="006E2693" w:rsidP="00256BC9">
            <w:pPr>
              <w:jc w:val="right"/>
              <w:rPr>
                <w:rFonts w:ascii="CAIXA Std Book" w:hAnsi="CAIXA Std Book"/>
                <w:color w:val="005CA9"/>
                <w:sz w:val="18"/>
                <w:szCs w:val="18"/>
              </w:rPr>
            </w:pPr>
            <w:r>
              <w:rPr>
                <w:rFonts w:ascii="CAIXA Std Book" w:hAnsi="CAIXA Std Book" w:cs="Arial"/>
                <w:color w:val="005CA9"/>
                <w:sz w:val="18"/>
                <w:szCs w:val="18"/>
              </w:rPr>
              <w:t>13.562.928</w:t>
            </w:r>
          </w:p>
        </w:tc>
      </w:tr>
      <w:tr w:rsidR="006E2693" w:rsidRPr="00A13447" w14:paraId="6FD201F3" w14:textId="77777777" w:rsidTr="006E2693">
        <w:trPr>
          <w:trHeight w:val="255"/>
        </w:trPr>
        <w:tc>
          <w:tcPr>
            <w:tcW w:w="1601" w:type="pct"/>
            <w:tcBorders>
              <w:top w:val="nil"/>
              <w:left w:val="nil"/>
              <w:bottom w:val="single" w:sz="4" w:space="0" w:color="FFFFFF"/>
              <w:right w:val="nil"/>
            </w:tcBorders>
            <w:shd w:val="clear" w:color="000000" w:fill="FFFFFF"/>
            <w:noWrap/>
            <w:vAlign w:val="center"/>
            <w:hideMark/>
          </w:tcPr>
          <w:p w14:paraId="4CF2D8F5" w14:textId="77777777" w:rsidR="006E2693" w:rsidRPr="00A13447" w:rsidRDefault="006E2693" w:rsidP="00256BC9">
            <w:pPr>
              <w:rPr>
                <w:rFonts w:ascii="CAIXA Std Book" w:eastAsia="Times New Roman" w:hAnsi="CAIXA Std Book" w:cs="Calibri"/>
                <w:color w:val="005CA9"/>
                <w:sz w:val="18"/>
                <w:szCs w:val="18"/>
              </w:rPr>
            </w:pPr>
            <w:r w:rsidRPr="00A13447">
              <w:rPr>
                <w:rFonts w:ascii="CAIXA Std Book" w:eastAsia="Times New Roman" w:hAnsi="CAIXA Std Book" w:cs="Calibri"/>
                <w:color w:val="005CA9"/>
                <w:sz w:val="18"/>
                <w:szCs w:val="18"/>
              </w:rPr>
              <w:t>Cotas de fundo de investimento</w:t>
            </w:r>
            <w:r>
              <w:rPr>
                <w:rFonts w:ascii="CAIXA Std Book" w:eastAsia="Times New Roman" w:hAnsi="CAIXA Std Book" w:cs="Calibri"/>
                <w:color w:val="005CA9"/>
                <w:sz w:val="18"/>
                <w:szCs w:val="18"/>
              </w:rPr>
              <w:t xml:space="preserve"> </w:t>
            </w:r>
          </w:p>
        </w:tc>
        <w:tc>
          <w:tcPr>
            <w:tcW w:w="680" w:type="pct"/>
            <w:tcBorders>
              <w:top w:val="nil"/>
              <w:left w:val="nil"/>
              <w:bottom w:val="single" w:sz="8" w:space="0" w:color="FFFFFF"/>
              <w:right w:val="nil"/>
            </w:tcBorders>
            <w:noWrap/>
            <w:vAlign w:val="center"/>
            <w:hideMark/>
          </w:tcPr>
          <w:p w14:paraId="1B7A0C11" w14:textId="77777777" w:rsidR="006E2693" w:rsidRPr="00FD59D1" w:rsidRDefault="006E2693" w:rsidP="00256BC9">
            <w:pPr>
              <w:jc w:val="right"/>
              <w:rPr>
                <w:rFonts w:ascii="CAIXA Std Book" w:hAnsi="CAIXA Std Book"/>
                <w:color w:val="005CA9"/>
                <w:sz w:val="18"/>
                <w:szCs w:val="18"/>
              </w:rPr>
            </w:pPr>
            <w:r w:rsidRPr="009B6575">
              <w:rPr>
                <w:rFonts w:ascii="CAIXA Std Book" w:hAnsi="CAIXA Std Book"/>
                <w:color w:val="005CA9"/>
                <w:sz w:val="18"/>
                <w:szCs w:val="18"/>
              </w:rPr>
              <w:t>1.557.330</w:t>
            </w:r>
          </w:p>
        </w:tc>
        <w:tc>
          <w:tcPr>
            <w:tcW w:w="680" w:type="pct"/>
            <w:tcBorders>
              <w:top w:val="nil"/>
              <w:left w:val="nil"/>
              <w:bottom w:val="single" w:sz="8" w:space="0" w:color="FFFFFF"/>
              <w:right w:val="nil"/>
            </w:tcBorders>
            <w:noWrap/>
            <w:vAlign w:val="center"/>
          </w:tcPr>
          <w:p w14:paraId="342DB295" w14:textId="77777777" w:rsidR="006E2693" w:rsidRPr="00FD59D1" w:rsidRDefault="006E2693" w:rsidP="00256BC9">
            <w:pPr>
              <w:jc w:val="right"/>
              <w:rPr>
                <w:rFonts w:ascii="CAIXA Std Book" w:hAnsi="CAIXA Std Book"/>
                <w:color w:val="005CA9"/>
                <w:sz w:val="18"/>
                <w:szCs w:val="18"/>
              </w:rPr>
            </w:pPr>
            <w:r>
              <w:rPr>
                <w:rFonts w:ascii="CAIXA Std Book" w:hAnsi="CAIXA Std Book" w:cs="Arial"/>
                <w:color w:val="005CA9"/>
                <w:sz w:val="18"/>
                <w:szCs w:val="18"/>
              </w:rPr>
              <w:t>(61.919)</w:t>
            </w:r>
          </w:p>
        </w:tc>
        <w:tc>
          <w:tcPr>
            <w:tcW w:w="680" w:type="pct"/>
            <w:tcBorders>
              <w:top w:val="nil"/>
              <w:left w:val="nil"/>
              <w:bottom w:val="single" w:sz="8" w:space="0" w:color="FFFFFF"/>
              <w:right w:val="nil"/>
            </w:tcBorders>
            <w:noWrap/>
            <w:vAlign w:val="center"/>
          </w:tcPr>
          <w:p w14:paraId="5828BFC4" w14:textId="77777777" w:rsidR="006E2693" w:rsidRPr="00FD59D1" w:rsidRDefault="006E2693" w:rsidP="00256BC9">
            <w:pPr>
              <w:jc w:val="center"/>
              <w:rPr>
                <w:rFonts w:ascii="CAIXA Std Book" w:hAnsi="CAIXA Std Book"/>
                <w:color w:val="005CA9"/>
                <w:sz w:val="18"/>
                <w:szCs w:val="18"/>
              </w:rPr>
            </w:pPr>
            <w:r>
              <w:rPr>
                <w:rFonts w:ascii="CAIXA Std Book" w:hAnsi="CAIXA Std Book" w:cs="Arial"/>
                <w:color w:val="005CA9"/>
                <w:sz w:val="18"/>
                <w:szCs w:val="18"/>
              </w:rPr>
              <w:t>-</w:t>
            </w:r>
          </w:p>
        </w:tc>
        <w:tc>
          <w:tcPr>
            <w:tcW w:w="680" w:type="pct"/>
            <w:tcBorders>
              <w:top w:val="nil"/>
              <w:left w:val="nil"/>
              <w:bottom w:val="single" w:sz="8" w:space="0" w:color="FFFFFF"/>
              <w:right w:val="nil"/>
            </w:tcBorders>
            <w:noWrap/>
            <w:vAlign w:val="center"/>
          </w:tcPr>
          <w:p w14:paraId="2E51A08A" w14:textId="77777777" w:rsidR="006E2693" w:rsidRPr="00FD59D1" w:rsidRDefault="006E2693" w:rsidP="00256BC9">
            <w:pPr>
              <w:jc w:val="center"/>
              <w:rPr>
                <w:rFonts w:ascii="CAIXA Std Book" w:hAnsi="CAIXA Std Book"/>
                <w:color w:val="005CA9"/>
                <w:sz w:val="18"/>
                <w:szCs w:val="18"/>
              </w:rPr>
            </w:pPr>
            <w:r>
              <w:rPr>
                <w:rFonts w:ascii="CAIXA Std Book" w:hAnsi="CAIXA Std Book" w:cs="Arial"/>
                <w:color w:val="005CA9"/>
                <w:sz w:val="18"/>
                <w:szCs w:val="18"/>
              </w:rPr>
              <w:t>-</w:t>
            </w:r>
          </w:p>
        </w:tc>
        <w:tc>
          <w:tcPr>
            <w:tcW w:w="679" w:type="pct"/>
            <w:tcBorders>
              <w:top w:val="nil"/>
              <w:left w:val="nil"/>
              <w:bottom w:val="single" w:sz="8" w:space="0" w:color="FFFFFF"/>
              <w:right w:val="nil"/>
            </w:tcBorders>
            <w:noWrap/>
            <w:vAlign w:val="center"/>
          </w:tcPr>
          <w:p w14:paraId="0C889BE9" w14:textId="77777777" w:rsidR="006E2693" w:rsidRPr="00FD59D1" w:rsidRDefault="006E2693" w:rsidP="00256BC9">
            <w:pPr>
              <w:jc w:val="right"/>
              <w:rPr>
                <w:rFonts w:ascii="CAIXA Std Book" w:hAnsi="CAIXA Std Book"/>
                <w:color w:val="005CA9"/>
                <w:sz w:val="18"/>
                <w:szCs w:val="18"/>
              </w:rPr>
            </w:pPr>
            <w:r>
              <w:rPr>
                <w:rFonts w:ascii="CAIXA Std Book" w:hAnsi="CAIXA Std Book" w:cs="Arial"/>
                <w:color w:val="005CA9"/>
                <w:sz w:val="18"/>
                <w:szCs w:val="18"/>
              </w:rPr>
              <w:t>1.495.411</w:t>
            </w:r>
          </w:p>
        </w:tc>
      </w:tr>
      <w:tr w:rsidR="006E2693" w:rsidRPr="00A13447" w14:paraId="46216476" w14:textId="77777777" w:rsidTr="006E2693">
        <w:trPr>
          <w:trHeight w:val="255"/>
        </w:trPr>
        <w:tc>
          <w:tcPr>
            <w:tcW w:w="1601" w:type="pct"/>
            <w:tcBorders>
              <w:top w:val="nil"/>
              <w:left w:val="nil"/>
              <w:right w:val="nil"/>
            </w:tcBorders>
            <w:shd w:val="clear" w:color="000000" w:fill="FFFFFF"/>
            <w:noWrap/>
            <w:vAlign w:val="center"/>
            <w:hideMark/>
          </w:tcPr>
          <w:p w14:paraId="66A1ABFB" w14:textId="77777777" w:rsidR="006E2693" w:rsidRPr="00A13447" w:rsidRDefault="006E2693" w:rsidP="00256BC9">
            <w:pP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 xml:space="preserve">Ações </w:t>
            </w:r>
          </w:p>
        </w:tc>
        <w:tc>
          <w:tcPr>
            <w:tcW w:w="680" w:type="pct"/>
            <w:tcBorders>
              <w:top w:val="nil"/>
              <w:left w:val="nil"/>
              <w:right w:val="nil"/>
            </w:tcBorders>
            <w:noWrap/>
            <w:vAlign w:val="center"/>
            <w:hideMark/>
          </w:tcPr>
          <w:p w14:paraId="634F9AD1" w14:textId="77777777" w:rsidR="006E2693" w:rsidRPr="00FD59D1" w:rsidRDefault="006E2693" w:rsidP="00256BC9">
            <w:pPr>
              <w:jc w:val="right"/>
              <w:rPr>
                <w:rFonts w:ascii="CAIXA Std Book" w:hAnsi="CAIXA Std Book"/>
                <w:color w:val="005CA9"/>
                <w:sz w:val="18"/>
                <w:szCs w:val="18"/>
              </w:rPr>
            </w:pPr>
            <w:r w:rsidRPr="009B6575">
              <w:rPr>
                <w:rFonts w:ascii="CAIXA Std Book" w:hAnsi="CAIXA Std Book"/>
                <w:color w:val="005CA9"/>
                <w:sz w:val="18"/>
                <w:szCs w:val="18"/>
              </w:rPr>
              <w:t>18.970</w:t>
            </w:r>
          </w:p>
        </w:tc>
        <w:tc>
          <w:tcPr>
            <w:tcW w:w="680" w:type="pct"/>
            <w:tcBorders>
              <w:top w:val="nil"/>
              <w:left w:val="nil"/>
              <w:right w:val="nil"/>
            </w:tcBorders>
            <w:noWrap/>
            <w:vAlign w:val="center"/>
          </w:tcPr>
          <w:p w14:paraId="7FF32D92" w14:textId="77777777" w:rsidR="006E2693" w:rsidRPr="00FD59D1" w:rsidRDefault="006E2693" w:rsidP="00256BC9">
            <w:pPr>
              <w:jc w:val="center"/>
              <w:rPr>
                <w:rFonts w:ascii="CAIXA Std Book" w:hAnsi="CAIXA Std Book"/>
                <w:color w:val="005CA9"/>
                <w:sz w:val="18"/>
                <w:szCs w:val="18"/>
              </w:rPr>
            </w:pPr>
            <w:r>
              <w:rPr>
                <w:rFonts w:ascii="CAIXA Std Book" w:hAnsi="CAIXA Std Book" w:cs="Arial"/>
                <w:color w:val="005CA9"/>
                <w:sz w:val="18"/>
                <w:szCs w:val="18"/>
              </w:rPr>
              <w:t>-</w:t>
            </w:r>
          </w:p>
        </w:tc>
        <w:tc>
          <w:tcPr>
            <w:tcW w:w="680" w:type="pct"/>
            <w:tcBorders>
              <w:top w:val="nil"/>
              <w:left w:val="nil"/>
              <w:right w:val="nil"/>
            </w:tcBorders>
            <w:noWrap/>
            <w:vAlign w:val="center"/>
          </w:tcPr>
          <w:p w14:paraId="2F283E97" w14:textId="77777777" w:rsidR="006E2693" w:rsidRPr="00FD59D1" w:rsidRDefault="006E2693" w:rsidP="00256BC9">
            <w:pPr>
              <w:jc w:val="center"/>
              <w:rPr>
                <w:rFonts w:ascii="CAIXA Std Book" w:hAnsi="CAIXA Std Book"/>
                <w:color w:val="005CA9"/>
                <w:sz w:val="18"/>
                <w:szCs w:val="18"/>
              </w:rPr>
            </w:pPr>
            <w:r>
              <w:rPr>
                <w:rFonts w:ascii="CAIXA Std Book" w:hAnsi="CAIXA Std Book" w:cs="Arial"/>
                <w:color w:val="005CA9"/>
                <w:sz w:val="18"/>
                <w:szCs w:val="18"/>
              </w:rPr>
              <w:t>-</w:t>
            </w:r>
          </w:p>
        </w:tc>
        <w:tc>
          <w:tcPr>
            <w:tcW w:w="680" w:type="pct"/>
            <w:tcBorders>
              <w:top w:val="nil"/>
              <w:left w:val="nil"/>
              <w:right w:val="nil"/>
            </w:tcBorders>
            <w:noWrap/>
            <w:vAlign w:val="center"/>
          </w:tcPr>
          <w:p w14:paraId="35F5E6C5" w14:textId="77777777" w:rsidR="006E2693" w:rsidRPr="00FD59D1" w:rsidRDefault="006E2693" w:rsidP="00256BC9">
            <w:pPr>
              <w:jc w:val="center"/>
              <w:rPr>
                <w:rFonts w:ascii="CAIXA Std Book" w:hAnsi="CAIXA Std Book"/>
                <w:color w:val="005CA9"/>
                <w:sz w:val="18"/>
                <w:szCs w:val="18"/>
              </w:rPr>
            </w:pPr>
            <w:r>
              <w:rPr>
                <w:rFonts w:ascii="CAIXA Std Book" w:hAnsi="CAIXA Std Book" w:cs="Arial"/>
                <w:color w:val="005CA9"/>
                <w:sz w:val="18"/>
                <w:szCs w:val="18"/>
              </w:rPr>
              <w:t>-</w:t>
            </w:r>
          </w:p>
        </w:tc>
        <w:tc>
          <w:tcPr>
            <w:tcW w:w="679" w:type="pct"/>
            <w:tcBorders>
              <w:top w:val="nil"/>
              <w:left w:val="nil"/>
              <w:right w:val="nil"/>
            </w:tcBorders>
            <w:noWrap/>
            <w:vAlign w:val="center"/>
          </w:tcPr>
          <w:p w14:paraId="35A2EB15" w14:textId="77777777" w:rsidR="006E2693" w:rsidRPr="00FD59D1" w:rsidRDefault="006E2693" w:rsidP="00256BC9">
            <w:pPr>
              <w:jc w:val="right"/>
              <w:rPr>
                <w:rFonts w:ascii="CAIXA Std Book" w:hAnsi="CAIXA Std Book"/>
                <w:color w:val="005CA9"/>
                <w:sz w:val="18"/>
                <w:szCs w:val="18"/>
              </w:rPr>
            </w:pPr>
            <w:r>
              <w:rPr>
                <w:rFonts w:ascii="CAIXA Std Book" w:hAnsi="CAIXA Std Book" w:cs="Arial"/>
                <w:color w:val="005CA9"/>
                <w:sz w:val="18"/>
                <w:szCs w:val="18"/>
              </w:rPr>
              <w:t>18.970</w:t>
            </w:r>
          </w:p>
        </w:tc>
      </w:tr>
      <w:tr w:rsidR="006E2693" w:rsidRPr="00A13447" w14:paraId="4FB9FF19" w14:textId="77777777" w:rsidTr="006E2693">
        <w:trPr>
          <w:trHeight w:val="255"/>
        </w:trPr>
        <w:tc>
          <w:tcPr>
            <w:tcW w:w="1601" w:type="pct"/>
            <w:tcBorders>
              <w:top w:val="nil"/>
              <w:left w:val="nil"/>
              <w:right w:val="nil"/>
            </w:tcBorders>
            <w:shd w:val="clear" w:color="auto" w:fill="005CA9"/>
            <w:noWrap/>
            <w:vAlign w:val="center"/>
            <w:hideMark/>
          </w:tcPr>
          <w:p w14:paraId="0A17E8EC" w14:textId="77777777" w:rsidR="006E2693" w:rsidRPr="00A13447" w:rsidRDefault="006E2693" w:rsidP="00256BC9">
            <w:pPr>
              <w:rPr>
                <w:rFonts w:ascii="CAIXA Std Book" w:eastAsia="Times New Roman" w:hAnsi="CAIXA Std Book" w:cs="Calibri"/>
                <w:b/>
                <w:bCs/>
                <w:color w:val="FFFFFF"/>
                <w:sz w:val="18"/>
                <w:szCs w:val="18"/>
              </w:rPr>
            </w:pPr>
            <w:r w:rsidRPr="00A13447">
              <w:rPr>
                <w:rFonts w:ascii="CAIXA Std Book" w:eastAsia="Times New Roman" w:hAnsi="CAIXA Std Book" w:cs="Calibri"/>
                <w:b/>
                <w:bCs/>
                <w:color w:val="FFFFFF"/>
                <w:sz w:val="18"/>
                <w:szCs w:val="18"/>
              </w:rPr>
              <w:t>Total</w:t>
            </w:r>
          </w:p>
        </w:tc>
        <w:tc>
          <w:tcPr>
            <w:tcW w:w="680" w:type="pct"/>
            <w:tcBorders>
              <w:top w:val="nil"/>
              <w:left w:val="nil"/>
              <w:right w:val="nil"/>
            </w:tcBorders>
            <w:shd w:val="clear" w:color="auto" w:fill="005CA9"/>
            <w:noWrap/>
            <w:vAlign w:val="center"/>
            <w:hideMark/>
          </w:tcPr>
          <w:p w14:paraId="524F6858" w14:textId="77777777" w:rsidR="006E2693" w:rsidRPr="006E1448" w:rsidRDefault="006E2693" w:rsidP="00256BC9">
            <w:pPr>
              <w:jc w:val="right"/>
              <w:rPr>
                <w:rFonts w:ascii="CAIXA Std Book" w:hAnsi="CAIXA Std Book"/>
                <w:b/>
                <w:color w:val="FFFFFF"/>
                <w:sz w:val="18"/>
                <w:szCs w:val="18"/>
              </w:rPr>
            </w:pPr>
            <w:r>
              <w:rPr>
                <w:rFonts w:ascii="CAIXA Std Book" w:hAnsi="CAIXA Std Book"/>
                <w:b/>
                <w:bCs/>
                <w:color w:val="FFFFFF"/>
                <w:sz w:val="18"/>
                <w:szCs w:val="18"/>
              </w:rPr>
              <w:t>175.493.321</w:t>
            </w:r>
          </w:p>
        </w:tc>
        <w:tc>
          <w:tcPr>
            <w:tcW w:w="680" w:type="pct"/>
            <w:tcBorders>
              <w:top w:val="nil"/>
              <w:left w:val="nil"/>
              <w:right w:val="nil"/>
            </w:tcBorders>
            <w:shd w:val="clear" w:color="auto" w:fill="005CA9"/>
            <w:noWrap/>
            <w:vAlign w:val="center"/>
          </w:tcPr>
          <w:p w14:paraId="4B62E42A" w14:textId="77777777" w:rsidR="006E2693" w:rsidRPr="00D41D00" w:rsidRDefault="006E2693" w:rsidP="00256BC9">
            <w:pPr>
              <w:jc w:val="right"/>
              <w:rPr>
                <w:rFonts w:ascii="CAIXA Std Book" w:hAnsi="CAIXA Std Book" w:cs="Arial"/>
                <w:b/>
                <w:color w:val="FFFFFF"/>
                <w:sz w:val="18"/>
                <w:szCs w:val="18"/>
              </w:rPr>
            </w:pPr>
            <w:r>
              <w:rPr>
                <w:rFonts w:ascii="CAIXA Std Book" w:hAnsi="CAIXA Std Book" w:cs="Arial"/>
                <w:b/>
                <w:bCs/>
                <w:color w:val="FFFFFF"/>
                <w:sz w:val="18"/>
                <w:szCs w:val="18"/>
              </w:rPr>
              <w:t>135.001.018</w:t>
            </w:r>
          </w:p>
        </w:tc>
        <w:tc>
          <w:tcPr>
            <w:tcW w:w="680" w:type="pct"/>
            <w:tcBorders>
              <w:top w:val="nil"/>
              <w:left w:val="nil"/>
              <w:right w:val="nil"/>
            </w:tcBorders>
            <w:shd w:val="clear" w:color="auto" w:fill="005CA9"/>
            <w:noWrap/>
            <w:vAlign w:val="center"/>
          </w:tcPr>
          <w:p w14:paraId="2BD80430" w14:textId="77777777" w:rsidR="006E2693" w:rsidRPr="000F202E" w:rsidRDefault="006E2693" w:rsidP="00256BC9">
            <w:pPr>
              <w:jc w:val="right"/>
              <w:rPr>
                <w:rFonts w:ascii="CAIXA Std Book" w:hAnsi="CAIXA Std Book" w:cs="Arial"/>
                <w:b/>
                <w:color w:val="FFFFFF"/>
                <w:sz w:val="18"/>
                <w:szCs w:val="18"/>
              </w:rPr>
            </w:pPr>
            <w:r>
              <w:rPr>
                <w:rFonts w:ascii="CAIXA Std Book" w:hAnsi="CAIXA Std Book" w:cs="Arial"/>
                <w:b/>
                <w:bCs/>
                <w:color w:val="FFFFFF"/>
                <w:sz w:val="18"/>
                <w:szCs w:val="18"/>
              </w:rPr>
              <w:t>(241.129)</w:t>
            </w:r>
          </w:p>
        </w:tc>
        <w:tc>
          <w:tcPr>
            <w:tcW w:w="680" w:type="pct"/>
            <w:tcBorders>
              <w:top w:val="nil"/>
              <w:left w:val="nil"/>
              <w:right w:val="nil"/>
            </w:tcBorders>
            <w:shd w:val="clear" w:color="auto" w:fill="005CA9"/>
            <w:noWrap/>
            <w:vAlign w:val="center"/>
          </w:tcPr>
          <w:p w14:paraId="1925729E" w14:textId="77777777" w:rsidR="006E2693" w:rsidRPr="00326215" w:rsidRDefault="006E2693" w:rsidP="00256BC9">
            <w:pPr>
              <w:jc w:val="right"/>
              <w:rPr>
                <w:rFonts w:ascii="CAIXA Std Book" w:hAnsi="CAIXA Std Book"/>
                <w:b/>
                <w:color w:val="FFFFFF"/>
                <w:sz w:val="18"/>
                <w:szCs w:val="18"/>
              </w:rPr>
            </w:pPr>
            <w:r>
              <w:rPr>
                <w:rFonts w:ascii="CAIXA Std Book" w:hAnsi="CAIXA Std Book" w:cs="Arial"/>
                <w:b/>
                <w:bCs/>
                <w:color w:val="FFFFFF"/>
                <w:sz w:val="18"/>
                <w:szCs w:val="18"/>
              </w:rPr>
              <w:t>(140.460)</w:t>
            </w:r>
          </w:p>
        </w:tc>
        <w:tc>
          <w:tcPr>
            <w:tcW w:w="679" w:type="pct"/>
            <w:tcBorders>
              <w:top w:val="nil"/>
              <w:left w:val="nil"/>
              <w:right w:val="nil"/>
            </w:tcBorders>
            <w:shd w:val="clear" w:color="auto" w:fill="005CA9"/>
            <w:noWrap/>
            <w:vAlign w:val="center"/>
          </w:tcPr>
          <w:p w14:paraId="4CAACE52" w14:textId="77777777" w:rsidR="006E2693" w:rsidRPr="00326215" w:rsidRDefault="006E2693" w:rsidP="00256BC9">
            <w:pPr>
              <w:jc w:val="right"/>
              <w:rPr>
                <w:rFonts w:ascii="CAIXA Std Book" w:hAnsi="CAIXA Std Book"/>
                <w:b/>
                <w:color w:val="FFFFFF"/>
                <w:sz w:val="18"/>
                <w:szCs w:val="18"/>
              </w:rPr>
            </w:pPr>
            <w:r>
              <w:rPr>
                <w:rFonts w:ascii="CAIXA Std Book" w:hAnsi="CAIXA Std Book" w:cs="Arial"/>
                <w:b/>
                <w:bCs/>
                <w:color w:val="FFFFFF"/>
                <w:sz w:val="18"/>
                <w:szCs w:val="18"/>
              </w:rPr>
              <w:t>310.112.750</w:t>
            </w:r>
          </w:p>
        </w:tc>
      </w:tr>
    </w:tbl>
    <w:p w14:paraId="6FD3F72D" w14:textId="77777777" w:rsidR="006E2693" w:rsidRPr="007A16D5" w:rsidRDefault="006E2693" w:rsidP="008C50ED">
      <w:pPr>
        <w:rPr>
          <w:rFonts w:ascii="CAIXA Std Book" w:eastAsia="Times New Roman" w:hAnsi="CAIXA Std Book" w:cs="Arial"/>
          <w:color w:val="005CA9"/>
        </w:rPr>
      </w:pPr>
    </w:p>
    <w:tbl>
      <w:tblPr>
        <w:tblW w:w="5000" w:type="pct"/>
        <w:tblCellMar>
          <w:left w:w="0" w:type="dxa"/>
          <w:right w:w="0" w:type="dxa"/>
        </w:tblCellMar>
        <w:tblLook w:val="04A0" w:firstRow="1" w:lastRow="0" w:firstColumn="1" w:lastColumn="0" w:noHBand="0" w:noVBand="1"/>
      </w:tblPr>
      <w:tblGrid>
        <w:gridCol w:w="4673"/>
        <w:gridCol w:w="1975"/>
        <w:gridCol w:w="1980"/>
        <w:gridCol w:w="1975"/>
        <w:gridCol w:w="1976"/>
        <w:gridCol w:w="1984"/>
        <w:gridCol w:w="6"/>
      </w:tblGrid>
      <w:tr w:rsidR="008959C5" w14:paraId="3CBCF4AD" w14:textId="77777777" w:rsidTr="00E31ACA">
        <w:trPr>
          <w:gridAfter w:val="1"/>
          <w:wAfter w:w="2" w:type="pct"/>
          <w:trHeight w:val="272"/>
        </w:trPr>
        <w:tc>
          <w:tcPr>
            <w:tcW w:w="4998" w:type="pct"/>
            <w:gridSpan w:val="6"/>
            <w:tcBorders>
              <w:top w:val="single" w:sz="8" w:space="0" w:color="009FD0"/>
              <w:left w:val="nil"/>
              <w:bottom w:val="single" w:sz="4" w:space="0" w:color="FFFFFF" w:themeColor="background1"/>
              <w:right w:val="nil"/>
            </w:tcBorders>
            <w:shd w:val="clear" w:color="auto" w:fill="005CA9"/>
            <w:noWrap/>
            <w:vAlign w:val="center"/>
            <w:hideMark/>
          </w:tcPr>
          <w:p w14:paraId="492C1F63" w14:textId="7807012E" w:rsidR="008959C5" w:rsidRDefault="008959C5" w:rsidP="0085691D">
            <w:pPr>
              <w:jc w:val="center"/>
              <w:rPr>
                <w:rFonts w:ascii="CAIXA Std Book" w:hAnsi="CAIXA Std Book" w:cs="Calibri"/>
                <w:b/>
                <w:bCs/>
                <w:color w:val="FFFFFF"/>
                <w:sz w:val="18"/>
                <w:szCs w:val="18"/>
              </w:rPr>
            </w:pPr>
            <w:r>
              <w:rPr>
                <w:rFonts w:ascii="CAIXA Std Book" w:eastAsia="Times New Roman" w:hAnsi="CAIXA Std Book" w:cs="Calibri"/>
                <w:b/>
                <w:bCs/>
                <w:color w:val="FFFFFF"/>
                <w:sz w:val="18"/>
                <w:szCs w:val="18"/>
              </w:rPr>
              <w:t>Consolidado</w:t>
            </w:r>
          </w:p>
        </w:tc>
      </w:tr>
      <w:tr w:rsidR="008959C5" w14:paraId="7A5D91E2" w14:textId="77777777" w:rsidTr="006E2693">
        <w:trPr>
          <w:gridAfter w:val="1"/>
          <w:wAfter w:w="2" w:type="pct"/>
          <w:trHeight w:val="401"/>
        </w:trPr>
        <w:tc>
          <w:tcPr>
            <w:tcW w:w="1604" w:type="pct"/>
            <w:vMerge w:val="restart"/>
            <w:tcBorders>
              <w:top w:val="single" w:sz="4" w:space="0" w:color="FFFFFF" w:themeColor="background1"/>
              <w:left w:val="nil"/>
              <w:bottom w:val="single" w:sz="4" w:space="0" w:color="FFFFFF"/>
              <w:right w:val="nil"/>
            </w:tcBorders>
            <w:shd w:val="clear" w:color="auto" w:fill="005CA9"/>
            <w:vAlign w:val="center"/>
            <w:hideMark/>
          </w:tcPr>
          <w:p w14:paraId="38037747" w14:textId="77777777" w:rsidR="008959C5" w:rsidRDefault="008959C5" w:rsidP="008959C5">
            <w:pPr>
              <w:jc w:val="center"/>
              <w:rPr>
                <w:rFonts w:ascii="CAIXA Std Book" w:hAnsi="CAIXA Std Book" w:cs="Calibri"/>
                <w:b/>
                <w:bCs/>
                <w:color w:val="FFFFFF"/>
                <w:sz w:val="18"/>
                <w:szCs w:val="18"/>
              </w:rPr>
            </w:pPr>
            <w:r>
              <w:rPr>
                <w:rFonts w:ascii="CAIXA Std Book" w:hAnsi="CAIXA Std Book" w:cs="Calibri"/>
                <w:b/>
                <w:bCs/>
                <w:color w:val="FFFFFF"/>
                <w:sz w:val="18"/>
                <w:szCs w:val="18"/>
              </w:rPr>
              <w:t>Estágio 1</w:t>
            </w:r>
          </w:p>
        </w:tc>
        <w:tc>
          <w:tcPr>
            <w:tcW w:w="678" w:type="pct"/>
            <w:vMerge w:val="restart"/>
            <w:tcBorders>
              <w:top w:val="single" w:sz="4" w:space="0" w:color="FFFFFF" w:themeColor="background1"/>
              <w:left w:val="nil"/>
              <w:bottom w:val="single" w:sz="4" w:space="0" w:color="FFFFFF"/>
              <w:right w:val="nil"/>
            </w:tcBorders>
            <w:shd w:val="clear" w:color="auto" w:fill="005CA9"/>
            <w:vAlign w:val="center"/>
            <w:hideMark/>
          </w:tcPr>
          <w:p w14:paraId="2E28A499" w14:textId="77777777" w:rsidR="008959C5" w:rsidRDefault="008959C5" w:rsidP="008959C5">
            <w:pPr>
              <w:jc w:val="center"/>
              <w:rPr>
                <w:rFonts w:ascii="CAIXA Std Book" w:hAnsi="CAIXA Std Book" w:cs="Calibri"/>
                <w:b/>
                <w:bCs/>
                <w:color w:val="FFFFFF"/>
                <w:sz w:val="18"/>
                <w:szCs w:val="18"/>
              </w:rPr>
            </w:pPr>
            <w:r>
              <w:rPr>
                <w:rFonts w:ascii="CAIXA Std Book" w:hAnsi="CAIXA Std Book" w:cs="Calibri"/>
                <w:b/>
                <w:bCs/>
                <w:color w:val="FFFFFF"/>
                <w:sz w:val="18"/>
                <w:szCs w:val="18"/>
              </w:rPr>
              <w:t>Saldo em</w:t>
            </w:r>
          </w:p>
          <w:p w14:paraId="3DCCBEB1" w14:textId="683F4DA2" w:rsidR="008959C5" w:rsidRDefault="008959C5" w:rsidP="008959C5">
            <w:pPr>
              <w:jc w:val="center"/>
              <w:rPr>
                <w:rFonts w:ascii="CAIXA Std Book" w:hAnsi="CAIXA Std Book" w:cs="Calibri"/>
                <w:b/>
                <w:bCs/>
                <w:color w:val="FFFFFF"/>
                <w:sz w:val="18"/>
                <w:szCs w:val="18"/>
              </w:rPr>
            </w:pPr>
            <w:r>
              <w:rPr>
                <w:rFonts w:ascii="CAIXA Std Book" w:hAnsi="CAIXA Std Book" w:cs="Calibri"/>
                <w:b/>
                <w:bCs/>
                <w:color w:val="FFFFFF"/>
                <w:sz w:val="18"/>
                <w:szCs w:val="18"/>
              </w:rPr>
              <w:t>31/12/2025</w:t>
            </w:r>
          </w:p>
        </w:tc>
        <w:tc>
          <w:tcPr>
            <w:tcW w:w="680" w:type="pct"/>
            <w:vMerge w:val="restart"/>
            <w:tcBorders>
              <w:top w:val="single" w:sz="4" w:space="0" w:color="FFFFFF" w:themeColor="background1"/>
              <w:left w:val="nil"/>
              <w:bottom w:val="single" w:sz="4" w:space="0" w:color="FFFFFF"/>
              <w:right w:val="nil"/>
            </w:tcBorders>
            <w:shd w:val="clear" w:color="auto" w:fill="005CA9"/>
            <w:vAlign w:val="center"/>
            <w:hideMark/>
          </w:tcPr>
          <w:p w14:paraId="72BC732D" w14:textId="77777777" w:rsidR="008959C5" w:rsidRDefault="008959C5" w:rsidP="008959C5">
            <w:pPr>
              <w:jc w:val="center"/>
              <w:rPr>
                <w:rFonts w:ascii="CAIXA Std Book" w:hAnsi="CAIXA Std Book" w:cs="Calibri"/>
                <w:b/>
                <w:bCs/>
                <w:color w:val="FFFFFF"/>
                <w:sz w:val="18"/>
                <w:szCs w:val="18"/>
              </w:rPr>
            </w:pPr>
            <w:r>
              <w:rPr>
                <w:rFonts w:ascii="CAIXA Std Book" w:hAnsi="CAIXA Std Book" w:cs="Calibri"/>
                <w:b/>
                <w:bCs/>
                <w:color w:val="FFFFFF"/>
                <w:sz w:val="18"/>
                <w:szCs w:val="18"/>
              </w:rPr>
              <w:t>Compra/</w:t>
            </w:r>
          </w:p>
          <w:p w14:paraId="429B6E3F" w14:textId="77777777" w:rsidR="008959C5" w:rsidRDefault="008959C5" w:rsidP="008959C5">
            <w:pPr>
              <w:jc w:val="center"/>
              <w:rPr>
                <w:rFonts w:ascii="CAIXA Std Book" w:hAnsi="CAIXA Std Book" w:cs="Calibri"/>
                <w:b/>
                <w:bCs/>
                <w:color w:val="FFFFFF"/>
                <w:sz w:val="18"/>
                <w:szCs w:val="18"/>
              </w:rPr>
            </w:pPr>
            <w:r>
              <w:rPr>
                <w:rFonts w:ascii="CAIXA Std Book" w:hAnsi="CAIXA Std Book" w:cs="Calibri"/>
                <w:b/>
                <w:bCs/>
                <w:color w:val="FFFFFF"/>
                <w:sz w:val="18"/>
                <w:szCs w:val="18"/>
              </w:rPr>
              <w:t>(liquidação)</w:t>
            </w:r>
          </w:p>
        </w:tc>
        <w:tc>
          <w:tcPr>
            <w:tcW w:w="678" w:type="pct"/>
            <w:vMerge w:val="restart"/>
            <w:tcBorders>
              <w:top w:val="single" w:sz="4" w:space="0" w:color="FFFFFF" w:themeColor="background1"/>
              <w:left w:val="nil"/>
              <w:bottom w:val="single" w:sz="4" w:space="0" w:color="FFFFFF"/>
              <w:right w:val="nil"/>
            </w:tcBorders>
            <w:shd w:val="clear" w:color="auto" w:fill="005CA9"/>
            <w:vAlign w:val="center"/>
            <w:hideMark/>
          </w:tcPr>
          <w:p w14:paraId="5FE14C1D" w14:textId="77777777" w:rsidR="008959C5" w:rsidRDefault="008959C5" w:rsidP="008959C5">
            <w:pPr>
              <w:jc w:val="center"/>
              <w:rPr>
                <w:rFonts w:ascii="CAIXA Std Book" w:hAnsi="CAIXA Std Book" w:cs="Calibri"/>
                <w:b/>
                <w:bCs/>
                <w:color w:val="FFFFFF"/>
                <w:sz w:val="18"/>
                <w:szCs w:val="18"/>
              </w:rPr>
            </w:pPr>
            <w:r>
              <w:rPr>
                <w:rFonts w:ascii="CAIXA Std Book" w:hAnsi="CAIXA Std Book" w:cs="Calibri"/>
                <w:b/>
                <w:bCs/>
                <w:color w:val="FFFFFF"/>
                <w:sz w:val="18"/>
                <w:szCs w:val="18"/>
              </w:rPr>
              <w:t>Transferência do/</w:t>
            </w:r>
          </w:p>
          <w:p w14:paraId="6131DD95" w14:textId="77777777" w:rsidR="008959C5" w:rsidRDefault="008959C5" w:rsidP="008959C5">
            <w:pPr>
              <w:jc w:val="center"/>
              <w:rPr>
                <w:rFonts w:ascii="CAIXA Std Book" w:hAnsi="CAIXA Std Book" w:cs="Calibri"/>
                <w:b/>
                <w:bCs/>
                <w:color w:val="FFFFFF"/>
                <w:sz w:val="18"/>
                <w:szCs w:val="18"/>
              </w:rPr>
            </w:pPr>
            <w:r>
              <w:rPr>
                <w:rFonts w:ascii="CAIXA Std Book" w:hAnsi="CAIXA Std Book" w:cs="Calibri"/>
                <w:b/>
                <w:bCs/>
                <w:color w:val="FFFFFF"/>
                <w:sz w:val="18"/>
                <w:szCs w:val="18"/>
              </w:rPr>
              <w:t>para estágio 2</w:t>
            </w:r>
          </w:p>
        </w:tc>
        <w:tc>
          <w:tcPr>
            <w:tcW w:w="678" w:type="pct"/>
            <w:vMerge w:val="restart"/>
            <w:tcBorders>
              <w:top w:val="single" w:sz="4" w:space="0" w:color="FFFFFF" w:themeColor="background1"/>
              <w:left w:val="nil"/>
              <w:bottom w:val="single" w:sz="4" w:space="0" w:color="FFFFFF"/>
              <w:right w:val="nil"/>
            </w:tcBorders>
            <w:shd w:val="clear" w:color="auto" w:fill="005CA9"/>
            <w:vAlign w:val="center"/>
            <w:hideMark/>
          </w:tcPr>
          <w:p w14:paraId="510E904B" w14:textId="77777777" w:rsidR="008959C5" w:rsidRDefault="008959C5" w:rsidP="008959C5">
            <w:pPr>
              <w:jc w:val="center"/>
              <w:rPr>
                <w:rFonts w:ascii="CAIXA Std Book" w:hAnsi="CAIXA Std Book" w:cs="Calibri"/>
                <w:b/>
                <w:bCs/>
                <w:color w:val="FFFFFF"/>
                <w:sz w:val="18"/>
                <w:szCs w:val="18"/>
              </w:rPr>
            </w:pPr>
            <w:r>
              <w:rPr>
                <w:rFonts w:ascii="CAIXA Std Book" w:hAnsi="CAIXA Std Book" w:cs="Calibri"/>
                <w:b/>
                <w:bCs/>
                <w:color w:val="FFFFFF"/>
                <w:sz w:val="18"/>
                <w:szCs w:val="18"/>
              </w:rPr>
              <w:t>Transferência do/</w:t>
            </w:r>
          </w:p>
          <w:p w14:paraId="36C26E0E" w14:textId="77777777" w:rsidR="008959C5" w:rsidRDefault="008959C5" w:rsidP="008959C5">
            <w:pPr>
              <w:jc w:val="center"/>
              <w:rPr>
                <w:rFonts w:ascii="CAIXA Std Book" w:hAnsi="CAIXA Std Book" w:cs="Calibri"/>
                <w:b/>
                <w:bCs/>
                <w:color w:val="FFFFFF"/>
                <w:sz w:val="18"/>
                <w:szCs w:val="18"/>
              </w:rPr>
            </w:pPr>
            <w:r>
              <w:rPr>
                <w:rFonts w:ascii="CAIXA Std Book" w:hAnsi="CAIXA Std Book" w:cs="Calibri"/>
                <w:b/>
                <w:bCs/>
                <w:color w:val="FFFFFF"/>
                <w:sz w:val="18"/>
                <w:szCs w:val="18"/>
              </w:rPr>
              <w:t>para estágio 3</w:t>
            </w:r>
          </w:p>
        </w:tc>
        <w:tc>
          <w:tcPr>
            <w:tcW w:w="681" w:type="pct"/>
            <w:vMerge w:val="restart"/>
            <w:tcBorders>
              <w:top w:val="single" w:sz="4" w:space="0" w:color="FFFFFF" w:themeColor="background1"/>
              <w:left w:val="nil"/>
              <w:bottom w:val="single" w:sz="4" w:space="0" w:color="FFFFFF"/>
              <w:right w:val="nil"/>
            </w:tcBorders>
            <w:shd w:val="clear" w:color="auto" w:fill="005CA9"/>
            <w:vAlign w:val="center"/>
            <w:hideMark/>
          </w:tcPr>
          <w:p w14:paraId="5C04DCA3" w14:textId="77777777" w:rsidR="008959C5" w:rsidRDefault="008959C5" w:rsidP="008959C5">
            <w:pPr>
              <w:jc w:val="center"/>
              <w:rPr>
                <w:rFonts w:ascii="CAIXA Std Book" w:hAnsi="CAIXA Std Book" w:cs="Calibri"/>
                <w:b/>
                <w:bCs/>
                <w:color w:val="FFFFFF"/>
                <w:sz w:val="18"/>
                <w:szCs w:val="18"/>
              </w:rPr>
            </w:pPr>
            <w:r>
              <w:rPr>
                <w:rFonts w:ascii="CAIXA Std Book" w:hAnsi="CAIXA Std Book" w:cs="Calibri"/>
                <w:b/>
                <w:bCs/>
                <w:color w:val="FFFFFF"/>
                <w:sz w:val="18"/>
                <w:szCs w:val="18"/>
              </w:rPr>
              <w:t>Saldo em</w:t>
            </w:r>
          </w:p>
          <w:p w14:paraId="419132FB" w14:textId="576CE910" w:rsidR="008959C5" w:rsidRDefault="008959C5" w:rsidP="008959C5">
            <w:pPr>
              <w:jc w:val="center"/>
              <w:rPr>
                <w:rFonts w:ascii="CAIXA Std Book" w:hAnsi="CAIXA Std Book" w:cs="Calibri"/>
                <w:b/>
                <w:bCs/>
                <w:color w:val="FFFFFF"/>
                <w:sz w:val="18"/>
                <w:szCs w:val="18"/>
              </w:rPr>
            </w:pPr>
            <w:r>
              <w:rPr>
                <w:rFonts w:ascii="CAIXA Std Book" w:hAnsi="CAIXA Std Book" w:cs="Calibri"/>
                <w:b/>
                <w:bCs/>
                <w:color w:val="FFFFFF"/>
                <w:sz w:val="18"/>
                <w:szCs w:val="18"/>
              </w:rPr>
              <w:t>31/03/2026</w:t>
            </w:r>
          </w:p>
        </w:tc>
      </w:tr>
      <w:tr w:rsidR="008959C5" w14:paraId="26F908F2" w14:textId="77777777" w:rsidTr="006E2693">
        <w:trPr>
          <w:trHeight w:val="272"/>
        </w:trPr>
        <w:tc>
          <w:tcPr>
            <w:tcW w:w="1604" w:type="pct"/>
            <w:vMerge/>
            <w:tcBorders>
              <w:top w:val="nil"/>
              <w:left w:val="nil"/>
              <w:bottom w:val="single" w:sz="4" w:space="0" w:color="FFFFFF"/>
              <w:right w:val="nil"/>
            </w:tcBorders>
            <w:vAlign w:val="center"/>
            <w:hideMark/>
          </w:tcPr>
          <w:p w14:paraId="72B28EF9" w14:textId="77777777" w:rsidR="008959C5" w:rsidRDefault="008959C5" w:rsidP="008959C5">
            <w:pPr>
              <w:rPr>
                <w:rFonts w:ascii="CAIXA Std Book" w:hAnsi="CAIXA Std Book" w:cs="Calibri"/>
                <w:b/>
                <w:bCs/>
                <w:color w:val="FFFFFF"/>
                <w:sz w:val="18"/>
                <w:szCs w:val="18"/>
              </w:rPr>
            </w:pPr>
          </w:p>
        </w:tc>
        <w:tc>
          <w:tcPr>
            <w:tcW w:w="678" w:type="pct"/>
            <w:vMerge/>
            <w:tcBorders>
              <w:top w:val="nil"/>
              <w:left w:val="nil"/>
              <w:bottom w:val="single" w:sz="4" w:space="0" w:color="FFFFFF"/>
              <w:right w:val="nil"/>
            </w:tcBorders>
            <w:vAlign w:val="center"/>
            <w:hideMark/>
          </w:tcPr>
          <w:p w14:paraId="4723DAAC" w14:textId="77777777" w:rsidR="008959C5" w:rsidRDefault="008959C5" w:rsidP="008959C5">
            <w:pPr>
              <w:rPr>
                <w:rFonts w:ascii="CAIXA Std Book" w:hAnsi="CAIXA Std Book" w:cs="Calibri"/>
                <w:b/>
                <w:bCs/>
                <w:color w:val="FFFFFF"/>
                <w:sz w:val="18"/>
                <w:szCs w:val="18"/>
              </w:rPr>
            </w:pPr>
          </w:p>
        </w:tc>
        <w:tc>
          <w:tcPr>
            <w:tcW w:w="680" w:type="pct"/>
            <w:vMerge/>
            <w:tcBorders>
              <w:top w:val="nil"/>
              <w:left w:val="nil"/>
              <w:bottom w:val="single" w:sz="4" w:space="0" w:color="FFFFFF"/>
              <w:right w:val="nil"/>
            </w:tcBorders>
            <w:vAlign w:val="center"/>
            <w:hideMark/>
          </w:tcPr>
          <w:p w14:paraId="4588C7D5" w14:textId="77777777" w:rsidR="008959C5" w:rsidRDefault="008959C5" w:rsidP="008959C5">
            <w:pPr>
              <w:rPr>
                <w:rFonts w:ascii="CAIXA Std Book" w:hAnsi="CAIXA Std Book" w:cs="Calibri"/>
                <w:b/>
                <w:bCs/>
                <w:color w:val="FFFFFF"/>
                <w:sz w:val="18"/>
                <w:szCs w:val="18"/>
              </w:rPr>
            </w:pPr>
          </w:p>
        </w:tc>
        <w:tc>
          <w:tcPr>
            <w:tcW w:w="678" w:type="pct"/>
            <w:vMerge/>
            <w:tcBorders>
              <w:top w:val="nil"/>
              <w:left w:val="nil"/>
              <w:bottom w:val="single" w:sz="4" w:space="0" w:color="FFFFFF"/>
              <w:right w:val="nil"/>
            </w:tcBorders>
            <w:vAlign w:val="center"/>
            <w:hideMark/>
          </w:tcPr>
          <w:p w14:paraId="2B671DEE" w14:textId="77777777" w:rsidR="008959C5" w:rsidRDefault="008959C5" w:rsidP="008959C5">
            <w:pPr>
              <w:rPr>
                <w:rFonts w:ascii="CAIXA Std Book" w:hAnsi="CAIXA Std Book" w:cs="Calibri"/>
                <w:b/>
                <w:bCs/>
                <w:color w:val="FFFFFF"/>
                <w:sz w:val="18"/>
                <w:szCs w:val="18"/>
              </w:rPr>
            </w:pPr>
          </w:p>
        </w:tc>
        <w:tc>
          <w:tcPr>
            <w:tcW w:w="678" w:type="pct"/>
            <w:vMerge/>
            <w:tcBorders>
              <w:top w:val="nil"/>
              <w:left w:val="nil"/>
              <w:bottom w:val="single" w:sz="4" w:space="0" w:color="FFFFFF"/>
              <w:right w:val="nil"/>
            </w:tcBorders>
            <w:vAlign w:val="center"/>
            <w:hideMark/>
          </w:tcPr>
          <w:p w14:paraId="2DF40E5A" w14:textId="77777777" w:rsidR="008959C5" w:rsidRDefault="008959C5" w:rsidP="008959C5">
            <w:pPr>
              <w:rPr>
                <w:rFonts w:ascii="CAIXA Std Book" w:hAnsi="CAIXA Std Book" w:cs="Calibri"/>
                <w:b/>
                <w:bCs/>
                <w:color w:val="FFFFFF"/>
                <w:sz w:val="18"/>
                <w:szCs w:val="18"/>
              </w:rPr>
            </w:pPr>
          </w:p>
        </w:tc>
        <w:tc>
          <w:tcPr>
            <w:tcW w:w="681" w:type="pct"/>
            <w:vMerge/>
            <w:tcBorders>
              <w:top w:val="nil"/>
              <w:left w:val="nil"/>
              <w:bottom w:val="single" w:sz="4" w:space="0" w:color="FFFFFF"/>
              <w:right w:val="nil"/>
            </w:tcBorders>
            <w:vAlign w:val="center"/>
            <w:hideMark/>
          </w:tcPr>
          <w:p w14:paraId="06D752D6" w14:textId="77777777" w:rsidR="008959C5" w:rsidRDefault="008959C5" w:rsidP="008959C5">
            <w:pPr>
              <w:rPr>
                <w:rFonts w:ascii="CAIXA Std Book" w:hAnsi="CAIXA Std Book" w:cs="Calibri"/>
                <w:b/>
                <w:bCs/>
                <w:color w:val="FFFFFF"/>
                <w:sz w:val="18"/>
                <w:szCs w:val="18"/>
              </w:rPr>
            </w:pPr>
          </w:p>
        </w:tc>
        <w:tc>
          <w:tcPr>
            <w:tcW w:w="2" w:type="pct"/>
            <w:tcBorders>
              <w:top w:val="nil"/>
              <w:left w:val="nil"/>
              <w:bottom w:val="nil"/>
              <w:right w:val="nil"/>
            </w:tcBorders>
            <w:noWrap/>
            <w:vAlign w:val="bottom"/>
            <w:hideMark/>
          </w:tcPr>
          <w:p w14:paraId="0D91A1CE" w14:textId="77777777" w:rsidR="008959C5" w:rsidRDefault="008959C5" w:rsidP="008959C5">
            <w:pPr>
              <w:jc w:val="center"/>
              <w:rPr>
                <w:rFonts w:ascii="CAIXA Std Book" w:hAnsi="CAIXA Std Book" w:cs="Calibri"/>
                <w:b/>
                <w:bCs/>
                <w:color w:val="FFFFFF"/>
                <w:sz w:val="18"/>
                <w:szCs w:val="18"/>
              </w:rPr>
            </w:pPr>
          </w:p>
        </w:tc>
      </w:tr>
      <w:tr w:rsidR="008959C5" w14:paraId="08293955" w14:textId="77777777" w:rsidTr="006E2693">
        <w:trPr>
          <w:trHeight w:val="272"/>
        </w:trPr>
        <w:tc>
          <w:tcPr>
            <w:tcW w:w="1604" w:type="pct"/>
            <w:tcBorders>
              <w:top w:val="nil"/>
              <w:left w:val="nil"/>
              <w:bottom w:val="single" w:sz="4" w:space="0" w:color="FFFFFF"/>
              <w:right w:val="nil"/>
            </w:tcBorders>
            <w:shd w:val="clear" w:color="000000" w:fill="FFFFFF"/>
            <w:noWrap/>
            <w:vAlign w:val="center"/>
            <w:hideMark/>
          </w:tcPr>
          <w:p w14:paraId="3AD8ECBA" w14:textId="77777777" w:rsidR="008959C5" w:rsidRDefault="008959C5" w:rsidP="008959C5">
            <w:pPr>
              <w:rPr>
                <w:rFonts w:ascii="CAIXA Std Book" w:hAnsi="CAIXA Std Book" w:cs="Calibri"/>
                <w:color w:val="005CA9"/>
                <w:sz w:val="18"/>
                <w:szCs w:val="18"/>
              </w:rPr>
            </w:pPr>
            <w:r>
              <w:rPr>
                <w:rFonts w:ascii="CAIXA Std Book" w:hAnsi="CAIXA Std Book" w:cs="Calibri"/>
                <w:color w:val="005CA9"/>
                <w:sz w:val="18"/>
                <w:szCs w:val="18"/>
              </w:rPr>
              <w:t>Títulos públicos federais brasileiros</w:t>
            </w:r>
          </w:p>
        </w:tc>
        <w:tc>
          <w:tcPr>
            <w:tcW w:w="678" w:type="pct"/>
            <w:tcBorders>
              <w:top w:val="nil"/>
              <w:left w:val="nil"/>
              <w:bottom w:val="single" w:sz="8" w:space="0" w:color="FFFFFF"/>
              <w:right w:val="nil"/>
            </w:tcBorders>
            <w:noWrap/>
            <w:vAlign w:val="center"/>
            <w:hideMark/>
          </w:tcPr>
          <w:p w14:paraId="2EFE79FB" w14:textId="0509F4CB" w:rsidR="008959C5" w:rsidRPr="00FD59D1" w:rsidRDefault="008959C5" w:rsidP="008959C5">
            <w:pPr>
              <w:jc w:val="right"/>
              <w:rPr>
                <w:rFonts w:ascii="CAIXA Std Book" w:hAnsi="CAIXA Std Book"/>
                <w:color w:val="005CA9"/>
                <w:sz w:val="18"/>
                <w:szCs w:val="18"/>
              </w:rPr>
            </w:pPr>
            <w:r w:rsidRPr="00C7065D">
              <w:rPr>
                <w:rFonts w:ascii="CAIXA Std Book" w:hAnsi="CAIXA Std Book" w:cs="Arial"/>
                <w:color w:val="005CA9"/>
                <w:sz w:val="18"/>
                <w:szCs w:val="18"/>
              </w:rPr>
              <w:t>293.460.576</w:t>
            </w:r>
          </w:p>
        </w:tc>
        <w:tc>
          <w:tcPr>
            <w:tcW w:w="680" w:type="pct"/>
            <w:tcBorders>
              <w:top w:val="nil"/>
              <w:left w:val="nil"/>
              <w:bottom w:val="single" w:sz="8" w:space="0" w:color="FFFFFF"/>
              <w:right w:val="nil"/>
            </w:tcBorders>
            <w:noWrap/>
            <w:vAlign w:val="center"/>
          </w:tcPr>
          <w:p w14:paraId="739A66ED" w14:textId="16493310" w:rsidR="008959C5" w:rsidRPr="00C7065D" w:rsidRDefault="00EF7B66" w:rsidP="008959C5">
            <w:pPr>
              <w:jc w:val="right"/>
              <w:rPr>
                <w:rFonts w:ascii="CAIXA Std Book" w:hAnsi="CAIXA Std Book" w:cs="Arial"/>
                <w:color w:val="005CA9"/>
                <w:sz w:val="18"/>
                <w:szCs w:val="18"/>
              </w:rPr>
            </w:pPr>
            <w:r w:rsidRPr="00EF7B66">
              <w:rPr>
                <w:rFonts w:ascii="CAIXA Std Book" w:hAnsi="CAIXA Std Book" w:cs="Arial"/>
                <w:color w:val="005CA9"/>
                <w:sz w:val="18"/>
                <w:szCs w:val="18"/>
              </w:rPr>
              <w:t>(29.110.387)</w:t>
            </w:r>
          </w:p>
        </w:tc>
        <w:tc>
          <w:tcPr>
            <w:tcW w:w="678" w:type="pct"/>
            <w:tcBorders>
              <w:top w:val="nil"/>
              <w:left w:val="nil"/>
              <w:bottom w:val="single" w:sz="4" w:space="0" w:color="FFFFFF"/>
              <w:right w:val="nil"/>
            </w:tcBorders>
            <w:noWrap/>
            <w:vAlign w:val="center"/>
          </w:tcPr>
          <w:p w14:paraId="056B7CA6" w14:textId="277891F6" w:rsidR="008959C5" w:rsidRPr="00C7065D" w:rsidRDefault="00EF7B66" w:rsidP="008959C5">
            <w:pPr>
              <w:jc w:val="center"/>
              <w:rPr>
                <w:rFonts w:ascii="CAIXA Std Book" w:hAnsi="CAIXA Std Book" w:cs="Arial"/>
                <w:color w:val="005CA9"/>
                <w:sz w:val="18"/>
                <w:szCs w:val="18"/>
              </w:rPr>
            </w:pPr>
            <w:r w:rsidRPr="00EF7B66">
              <w:rPr>
                <w:rFonts w:ascii="CAIXA Std Book" w:hAnsi="CAIXA Std Book" w:cs="Arial"/>
                <w:color w:val="005CA9"/>
                <w:sz w:val="18"/>
                <w:szCs w:val="18"/>
              </w:rPr>
              <w:t>-</w:t>
            </w:r>
          </w:p>
        </w:tc>
        <w:tc>
          <w:tcPr>
            <w:tcW w:w="678" w:type="pct"/>
            <w:tcBorders>
              <w:top w:val="nil"/>
              <w:left w:val="nil"/>
              <w:bottom w:val="single" w:sz="4" w:space="0" w:color="FFFFFF"/>
              <w:right w:val="nil"/>
            </w:tcBorders>
            <w:noWrap/>
            <w:vAlign w:val="center"/>
          </w:tcPr>
          <w:p w14:paraId="0799AB2C" w14:textId="0C69DDEA" w:rsidR="008959C5" w:rsidRPr="00C7065D" w:rsidRDefault="00EF7B66" w:rsidP="008959C5">
            <w:pPr>
              <w:jc w:val="center"/>
              <w:rPr>
                <w:rFonts w:ascii="CAIXA Std Book" w:hAnsi="CAIXA Std Book" w:cs="Arial"/>
                <w:color w:val="005CA9"/>
                <w:sz w:val="18"/>
                <w:szCs w:val="18"/>
              </w:rPr>
            </w:pPr>
            <w:r w:rsidRPr="00EF7B66">
              <w:rPr>
                <w:rFonts w:ascii="CAIXA Std Book" w:hAnsi="CAIXA Std Book" w:cs="Arial"/>
                <w:color w:val="005CA9"/>
                <w:sz w:val="18"/>
                <w:szCs w:val="18"/>
              </w:rPr>
              <w:t>-</w:t>
            </w:r>
          </w:p>
        </w:tc>
        <w:tc>
          <w:tcPr>
            <w:tcW w:w="681" w:type="pct"/>
            <w:tcBorders>
              <w:top w:val="nil"/>
              <w:left w:val="nil"/>
              <w:bottom w:val="single" w:sz="8" w:space="0" w:color="FFFFFF"/>
              <w:right w:val="nil"/>
            </w:tcBorders>
            <w:noWrap/>
            <w:vAlign w:val="center"/>
          </w:tcPr>
          <w:p w14:paraId="2D4879AC" w14:textId="4832BCF9" w:rsidR="008959C5" w:rsidRPr="00C7065D" w:rsidRDefault="00EF7B66" w:rsidP="008959C5">
            <w:pPr>
              <w:ind w:right="72"/>
              <w:jc w:val="right"/>
              <w:rPr>
                <w:rFonts w:ascii="CAIXA Std Book" w:hAnsi="CAIXA Std Book" w:cs="Arial"/>
                <w:color w:val="005CA9"/>
                <w:sz w:val="18"/>
                <w:szCs w:val="18"/>
              </w:rPr>
            </w:pPr>
            <w:r w:rsidRPr="00EF7B66">
              <w:rPr>
                <w:rFonts w:ascii="CAIXA Std Book" w:hAnsi="CAIXA Std Book" w:cs="Arial"/>
                <w:color w:val="005CA9"/>
                <w:sz w:val="18"/>
                <w:szCs w:val="18"/>
              </w:rPr>
              <w:t>264.350.189</w:t>
            </w:r>
          </w:p>
        </w:tc>
        <w:tc>
          <w:tcPr>
            <w:tcW w:w="2" w:type="pct"/>
            <w:vAlign w:val="center"/>
            <w:hideMark/>
          </w:tcPr>
          <w:p w14:paraId="50708849" w14:textId="77777777" w:rsidR="008959C5" w:rsidRPr="003058F2" w:rsidRDefault="008959C5" w:rsidP="008959C5">
            <w:pPr>
              <w:rPr>
                <w:rFonts w:ascii="CAIXA Std Book" w:hAnsi="CAIXA Std Book"/>
                <w:sz w:val="18"/>
                <w:szCs w:val="18"/>
              </w:rPr>
            </w:pPr>
          </w:p>
        </w:tc>
      </w:tr>
      <w:tr w:rsidR="008959C5" w14:paraId="522C8B7B" w14:textId="77777777" w:rsidTr="006E2693">
        <w:trPr>
          <w:trHeight w:val="272"/>
        </w:trPr>
        <w:tc>
          <w:tcPr>
            <w:tcW w:w="1604" w:type="pct"/>
            <w:tcBorders>
              <w:top w:val="nil"/>
              <w:left w:val="nil"/>
              <w:bottom w:val="single" w:sz="4" w:space="0" w:color="FFFFFF"/>
              <w:right w:val="nil"/>
            </w:tcBorders>
            <w:shd w:val="clear" w:color="000000" w:fill="FFFFFF"/>
            <w:noWrap/>
            <w:vAlign w:val="center"/>
            <w:hideMark/>
          </w:tcPr>
          <w:p w14:paraId="30891911" w14:textId="77777777" w:rsidR="008959C5" w:rsidRDefault="008959C5" w:rsidP="008959C5">
            <w:pPr>
              <w:rPr>
                <w:rFonts w:ascii="CAIXA Std Book" w:hAnsi="CAIXA Std Book" w:cs="Calibri"/>
                <w:color w:val="005CA9"/>
                <w:sz w:val="18"/>
                <w:szCs w:val="18"/>
              </w:rPr>
            </w:pPr>
            <w:r w:rsidRPr="00A13447">
              <w:rPr>
                <w:rFonts w:ascii="CAIXA Std Book" w:eastAsia="Times New Roman" w:hAnsi="CAIXA Std Book" w:cs="Calibri"/>
                <w:color w:val="005CA9"/>
                <w:sz w:val="18"/>
                <w:szCs w:val="18"/>
              </w:rPr>
              <w:t>Títulos privados de instituições financeiras</w:t>
            </w:r>
          </w:p>
        </w:tc>
        <w:tc>
          <w:tcPr>
            <w:tcW w:w="678" w:type="pct"/>
            <w:tcBorders>
              <w:top w:val="nil"/>
              <w:left w:val="nil"/>
              <w:bottom w:val="single" w:sz="8" w:space="0" w:color="FFFFFF"/>
              <w:right w:val="nil"/>
            </w:tcBorders>
            <w:noWrap/>
            <w:vAlign w:val="center"/>
            <w:hideMark/>
          </w:tcPr>
          <w:p w14:paraId="16937AF1" w14:textId="39BB99FA" w:rsidR="008959C5" w:rsidRPr="00FD59D1" w:rsidRDefault="008959C5" w:rsidP="008959C5">
            <w:pPr>
              <w:jc w:val="right"/>
              <w:rPr>
                <w:rFonts w:ascii="CAIXA Std Book" w:hAnsi="CAIXA Std Book"/>
                <w:color w:val="005CA9"/>
                <w:sz w:val="18"/>
                <w:szCs w:val="18"/>
              </w:rPr>
            </w:pPr>
            <w:r w:rsidRPr="00C7065D">
              <w:rPr>
                <w:rFonts w:ascii="CAIXA Std Book" w:hAnsi="CAIXA Std Book" w:cs="Arial"/>
                <w:color w:val="005CA9"/>
                <w:sz w:val="18"/>
                <w:szCs w:val="18"/>
              </w:rPr>
              <w:t>1.574.865</w:t>
            </w:r>
          </w:p>
        </w:tc>
        <w:tc>
          <w:tcPr>
            <w:tcW w:w="680" w:type="pct"/>
            <w:tcBorders>
              <w:top w:val="nil"/>
              <w:left w:val="nil"/>
              <w:bottom w:val="single" w:sz="8" w:space="0" w:color="FFFFFF"/>
              <w:right w:val="nil"/>
            </w:tcBorders>
            <w:noWrap/>
            <w:vAlign w:val="center"/>
          </w:tcPr>
          <w:p w14:paraId="32E03A41" w14:textId="5D886E21" w:rsidR="008959C5" w:rsidRPr="00C7065D" w:rsidRDefault="00EF7B66" w:rsidP="008959C5">
            <w:pPr>
              <w:jc w:val="right"/>
              <w:rPr>
                <w:rFonts w:ascii="CAIXA Std Book" w:hAnsi="CAIXA Std Book" w:cs="Arial"/>
                <w:color w:val="005CA9"/>
                <w:sz w:val="18"/>
                <w:szCs w:val="18"/>
              </w:rPr>
            </w:pPr>
            <w:r w:rsidRPr="00EF7B66">
              <w:rPr>
                <w:rFonts w:ascii="CAIXA Std Book" w:hAnsi="CAIXA Std Book" w:cs="Arial"/>
                <w:color w:val="005CA9"/>
                <w:sz w:val="18"/>
                <w:szCs w:val="18"/>
              </w:rPr>
              <w:t>(419.937)</w:t>
            </w:r>
          </w:p>
        </w:tc>
        <w:tc>
          <w:tcPr>
            <w:tcW w:w="678" w:type="pct"/>
            <w:tcBorders>
              <w:top w:val="nil"/>
              <w:left w:val="nil"/>
              <w:bottom w:val="single" w:sz="4" w:space="0" w:color="FFFFFF"/>
              <w:right w:val="nil"/>
            </w:tcBorders>
            <w:noWrap/>
            <w:vAlign w:val="center"/>
          </w:tcPr>
          <w:p w14:paraId="5F27AD1F" w14:textId="5BA2ADAF" w:rsidR="008959C5" w:rsidRPr="00C7065D" w:rsidRDefault="00EF7B66" w:rsidP="008959C5">
            <w:pPr>
              <w:jc w:val="center"/>
              <w:rPr>
                <w:rFonts w:ascii="CAIXA Std Book" w:hAnsi="CAIXA Std Book" w:cs="Arial"/>
                <w:color w:val="005CA9"/>
                <w:sz w:val="18"/>
                <w:szCs w:val="18"/>
              </w:rPr>
            </w:pPr>
            <w:r w:rsidRPr="00EF7B66">
              <w:rPr>
                <w:rFonts w:ascii="CAIXA Std Book" w:hAnsi="CAIXA Std Book" w:cs="Arial"/>
                <w:color w:val="005CA9"/>
                <w:sz w:val="18"/>
                <w:szCs w:val="18"/>
              </w:rPr>
              <w:t>-</w:t>
            </w:r>
          </w:p>
        </w:tc>
        <w:tc>
          <w:tcPr>
            <w:tcW w:w="678" w:type="pct"/>
            <w:tcBorders>
              <w:top w:val="nil"/>
              <w:left w:val="nil"/>
              <w:bottom w:val="single" w:sz="4" w:space="0" w:color="FFFFFF"/>
              <w:right w:val="nil"/>
            </w:tcBorders>
            <w:noWrap/>
            <w:vAlign w:val="center"/>
          </w:tcPr>
          <w:p w14:paraId="1029727B" w14:textId="67F7891F" w:rsidR="008959C5" w:rsidRPr="00C7065D" w:rsidRDefault="00EF7B66" w:rsidP="008959C5">
            <w:pPr>
              <w:jc w:val="center"/>
              <w:rPr>
                <w:rFonts w:ascii="CAIXA Std Book" w:hAnsi="CAIXA Std Book" w:cs="Arial"/>
                <w:color w:val="005CA9"/>
                <w:sz w:val="18"/>
                <w:szCs w:val="18"/>
              </w:rPr>
            </w:pPr>
            <w:r w:rsidRPr="00EF7B66">
              <w:rPr>
                <w:rFonts w:ascii="CAIXA Std Book" w:hAnsi="CAIXA Std Book" w:cs="Arial"/>
                <w:color w:val="005CA9"/>
                <w:sz w:val="18"/>
                <w:szCs w:val="18"/>
              </w:rPr>
              <w:t>-</w:t>
            </w:r>
          </w:p>
        </w:tc>
        <w:tc>
          <w:tcPr>
            <w:tcW w:w="681" w:type="pct"/>
            <w:tcBorders>
              <w:top w:val="nil"/>
              <w:left w:val="nil"/>
              <w:bottom w:val="single" w:sz="8" w:space="0" w:color="FFFFFF"/>
              <w:right w:val="nil"/>
            </w:tcBorders>
            <w:noWrap/>
            <w:vAlign w:val="center"/>
          </w:tcPr>
          <w:p w14:paraId="21198199" w14:textId="50087476" w:rsidR="008959C5" w:rsidRPr="00C7065D" w:rsidRDefault="00EF7B66" w:rsidP="008959C5">
            <w:pPr>
              <w:ind w:right="72"/>
              <w:jc w:val="right"/>
              <w:rPr>
                <w:rFonts w:ascii="CAIXA Std Book" w:hAnsi="CAIXA Std Book" w:cs="Arial"/>
                <w:color w:val="005CA9"/>
                <w:sz w:val="18"/>
                <w:szCs w:val="18"/>
              </w:rPr>
            </w:pPr>
            <w:r w:rsidRPr="00EF7B66">
              <w:rPr>
                <w:rFonts w:ascii="CAIXA Std Book" w:hAnsi="CAIXA Std Book" w:cs="Arial"/>
                <w:color w:val="005CA9"/>
                <w:sz w:val="18"/>
                <w:szCs w:val="18"/>
              </w:rPr>
              <w:t>1.154.928</w:t>
            </w:r>
          </w:p>
        </w:tc>
        <w:tc>
          <w:tcPr>
            <w:tcW w:w="2" w:type="pct"/>
            <w:vAlign w:val="center"/>
            <w:hideMark/>
          </w:tcPr>
          <w:p w14:paraId="6A8D84CD" w14:textId="77777777" w:rsidR="008959C5" w:rsidRPr="003058F2" w:rsidRDefault="008959C5" w:rsidP="008959C5">
            <w:pPr>
              <w:rPr>
                <w:rFonts w:ascii="CAIXA Std Book" w:hAnsi="CAIXA Std Book"/>
                <w:sz w:val="18"/>
                <w:szCs w:val="18"/>
              </w:rPr>
            </w:pPr>
          </w:p>
        </w:tc>
      </w:tr>
      <w:tr w:rsidR="008959C5" w14:paraId="2038ACCA" w14:textId="77777777" w:rsidTr="006E2693">
        <w:trPr>
          <w:trHeight w:val="272"/>
        </w:trPr>
        <w:tc>
          <w:tcPr>
            <w:tcW w:w="1604" w:type="pct"/>
            <w:tcBorders>
              <w:top w:val="nil"/>
              <w:left w:val="nil"/>
              <w:bottom w:val="single" w:sz="4" w:space="0" w:color="FFFFFF"/>
              <w:right w:val="nil"/>
            </w:tcBorders>
            <w:shd w:val="clear" w:color="000000" w:fill="FFFFFF"/>
            <w:noWrap/>
            <w:vAlign w:val="center"/>
            <w:hideMark/>
          </w:tcPr>
          <w:p w14:paraId="11EFD3D0" w14:textId="77777777" w:rsidR="008959C5" w:rsidRDefault="008959C5" w:rsidP="008959C5">
            <w:pPr>
              <w:rPr>
                <w:rFonts w:ascii="CAIXA Std Book" w:hAnsi="CAIXA Std Book" w:cs="Calibri"/>
                <w:color w:val="005CA9"/>
                <w:sz w:val="18"/>
                <w:szCs w:val="18"/>
              </w:rPr>
            </w:pPr>
            <w:r w:rsidRPr="00A13447">
              <w:rPr>
                <w:rFonts w:ascii="CAIXA Std Book" w:eastAsia="Times New Roman" w:hAnsi="CAIXA Std Book" w:cs="Calibri"/>
                <w:color w:val="005CA9"/>
                <w:sz w:val="18"/>
                <w:szCs w:val="18"/>
              </w:rPr>
              <w:t>Títulos privados de entidades não financeiras</w:t>
            </w:r>
          </w:p>
        </w:tc>
        <w:tc>
          <w:tcPr>
            <w:tcW w:w="678" w:type="pct"/>
            <w:tcBorders>
              <w:top w:val="nil"/>
              <w:left w:val="nil"/>
              <w:bottom w:val="single" w:sz="8" w:space="0" w:color="FFFFFF"/>
              <w:right w:val="nil"/>
            </w:tcBorders>
            <w:noWrap/>
            <w:vAlign w:val="center"/>
            <w:hideMark/>
          </w:tcPr>
          <w:p w14:paraId="389D9C25" w14:textId="6C7C995F" w:rsidR="008959C5" w:rsidRPr="002811C9" w:rsidRDefault="008959C5" w:rsidP="008959C5">
            <w:pPr>
              <w:jc w:val="right"/>
              <w:rPr>
                <w:rFonts w:ascii="CAIXA Std Book" w:hAnsi="CAIXA Std Book"/>
                <w:color w:val="005CA9"/>
                <w:sz w:val="18"/>
                <w:szCs w:val="18"/>
              </w:rPr>
            </w:pPr>
            <w:r w:rsidRPr="00C7065D">
              <w:rPr>
                <w:rFonts w:ascii="CAIXA Std Book" w:hAnsi="CAIXA Std Book" w:cs="Arial"/>
                <w:color w:val="005CA9"/>
                <w:sz w:val="18"/>
                <w:szCs w:val="18"/>
              </w:rPr>
              <w:t>13.562.928</w:t>
            </w:r>
          </w:p>
        </w:tc>
        <w:tc>
          <w:tcPr>
            <w:tcW w:w="680" w:type="pct"/>
            <w:tcBorders>
              <w:top w:val="nil"/>
              <w:left w:val="nil"/>
              <w:bottom w:val="single" w:sz="8" w:space="0" w:color="FFFFFF"/>
              <w:right w:val="nil"/>
            </w:tcBorders>
            <w:noWrap/>
            <w:vAlign w:val="center"/>
          </w:tcPr>
          <w:p w14:paraId="117BF928" w14:textId="2159C387" w:rsidR="008959C5" w:rsidRPr="00C7065D" w:rsidRDefault="00EF7B66" w:rsidP="008959C5">
            <w:pPr>
              <w:jc w:val="right"/>
              <w:rPr>
                <w:rFonts w:ascii="CAIXA Std Book" w:hAnsi="CAIXA Std Book" w:cs="Arial"/>
                <w:color w:val="005CA9"/>
                <w:sz w:val="18"/>
                <w:szCs w:val="18"/>
              </w:rPr>
            </w:pPr>
            <w:r w:rsidRPr="00EF7B66">
              <w:rPr>
                <w:rFonts w:ascii="CAIXA Std Book" w:hAnsi="CAIXA Std Book" w:cs="Arial"/>
                <w:color w:val="005CA9"/>
                <w:sz w:val="18"/>
                <w:szCs w:val="18"/>
              </w:rPr>
              <w:t>1.038.407</w:t>
            </w:r>
          </w:p>
        </w:tc>
        <w:tc>
          <w:tcPr>
            <w:tcW w:w="678" w:type="pct"/>
            <w:tcBorders>
              <w:top w:val="nil"/>
              <w:left w:val="nil"/>
              <w:bottom w:val="single" w:sz="4" w:space="0" w:color="FFFFFF"/>
              <w:right w:val="nil"/>
            </w:tcBorders>
            <w:noWrap/>
            <w:vAlign w:val="center"/>
          </w:tcPr>
          <w:p w14:paraId="5C123278" w14:textId="24EA46E8" w:rsidR="008959C5" w:rsidRPr="00C7065D" w:rsidRDefault="00EF7B66" w:rsidP="00EF7B66">
            <w:pPr>
              <w:jc w:val="center"/>
              <w:rPr>
                <w:rFonts w:ascii="CAIXA Std Book" w:hAnsi="CAIXA Std Book" w:cs="Arial"/>
                <w:color w:val="005CA9"/>
                <w:sz w:val="18"/>
                <w:szCs w:val="18"/>
              </w:rPr>
            </w:pPr>
            <w:r w:rsidRPr="00EF7B66">
              <w:rPr>
                <w:rFonts w:ascii="CAIXA Std Book" w:hAnsi="CAIXA Std Book" w:cs="Arial"/>
                <w:color w:val="005CA9"/>
                <w:sz w:val="18"/>
                <w:szCs w:val="18"/>
              </w:rPr>
              <w:t>-</w:t>
            </w:r>
          </w:p>
        </w:tc>
        <w:tc>
          <w:tcPr>
            <w:tcW w:w="678" w:type="pct"/>
            <w:tcBorders>
              <w:top w:val="nil"/>
              <w:left w:val="nil"/>
              <w:bottom w:val="single" w:sz="4" w:space="0" w:color="FFFFFF"/>
              <w:right w:val="nil"/>
            </w:tcBorders>
            <w:noWrap/>
            <w:vAlign w:val="center"/>
          </w:tcPr>
          <w:p w14:paraId="4127159D" w14:textId="37EC98E2" w:rsidR="008959C5" w:rsidRPr="00C7065D" w:rsidRDefault="00EF7B66" w:rsidP="00EF7B66">
            <w:pPr>
              <w:jc w:val="center"/>
              <w:rPr>
                <w:rFonts w:ascii="CAIXA Std Book" w:hAnsi="CAIXA Std Book" w:cs="Arial"/>
                <w:color w:val="005CA9"/>
                <w:sz w:val="18"/>
                <w:szCs w:val="18"/>
              </w:rPr>
            </w:pPr>
            <w:r w:rsidRPr="00EF7B66">
              <w:rPr>
                <w:rFonts w:ascii="CAIXA Std Book" w:hAnsi="CAIXA Std Book" w:cs="Arial"/>
                <w:color w:val="005CA9"/>
                <w:sz w:val="18"/>
                <w:szCs w:val="18"/>
              </w:rPr>
              <w:t>-</w:t>
            </w:r>
          </w:p>
        </w:tc>
        <w:tc>
          <w:tcPr>
            <w:tcW w:w="681" w:type="pct"/>
            <w:tcBorders>
              <w:top w:val="nil"/>
              <w:left w:val="nil"/>
              <w:bottom w:val="single" w:sz="8" w:space="0" w:color="FFFFFF"/>
              <w:right w:val="nil"/>
            </w:tcBorders>
            <w:noWrap/>
            <w:vAlign w:val="center"/>
          </w:tcPr>
          <w:p w14:paraId="1374F0B8" w14:textId="4BF04493" w:rsidR="008959C5" w:rsidRPr="00C7065D" w:rsidRDefault="00EF7B66" w:rsidP="008959C5">
            <w:pPr>
              <w:ind w:right="72"/>
              <w:jc w:val="right"/>
              <w:rPr>
                <w:rFonts w:ascii="CAIXA Std Book" w:hAnsi="CAIXA Std Book" w:cs="Arial"/>
                <w:color w:val="005CA9"/>
                <w:sz w:val="18"/>
                <w:szCs w:val="18"/>
              </w:rPr>
            </w:pPr>
            <w:r w:rsidRPr="00EF7B66">
              <w:rPr>
                <w:rFonts w:ascii="CAIXA Std Book" w:hAnsi="CAIXA Std Book" w:cs="Arial"/>
                <w:color w:val="005CA9"/>
                <w:sz w:val="18"/>
                <w:szCs w:val="18"/>
              </w:rPr>
              <w:t>14.601.335</w:t>
            </w:r>
          </w:p>
        </w:tc>
        <w:tc>
          <w:tcPr>
            <w:tcW w:w="2" w:type="pct"/>
            <w:vAlign w:val="center"/>
            <w:hideMark/>
          </w:tcPr>
          <w:p w14:paraId="08437DAB" w14:textId="77777777" w:rsidR="008959C5" w:rsidRPr="003058F2" w:rsidRDefault="008959C5" w:rsidP="008959C5">
            <w:pPr>
              <w:rPr>
                <w:rFonts w:ascii="CAIXA Std Book" w:hAnsi="CAIXA Std Book"/>
                <w:sz w:val="18"/>
                <w:szCs w:val="18"/>
              </w:rPr>
            </w:pPr>
          </w:p>
        </w:tc>
      </w:tr>
      <w:tr w:rsidR="008959C5" w14:paraId="147A114F" w14:textId="77777777" w:rsidTr="006E2693">
        <w:trPr>
          <w:trHeight w:val="272"/>
        </w:trPr>
        <w:tc>
          <w:tcPr>
            <w:tcW w:w="1604" w:type="pct"/>
            <w:tcBorders>
              <w:top w:val="nil"/>
              <w:left w:val="nil"/>
              <w:bottom w:val="single" w:sz="4" w:space="0" w:color="FFFFFF"/>
              <w:right w:val="nil"/>
            </w:tcBorders>
            <w:shd w:val="clear" w:color="000000" w:fill="FFFFFF"/>
            <w:noWrap/>
            <w:vAlign w:val="center"/>
            <w:hideMark/>
          </w:tcPr>
          <w:p w14:paraId="3949868B" w14:textId="77777777" w:rsidR="008959C5" w:rsidRDefault="008959C5" w:rsidP="008959C5">
            <w:pPr>
              <w:rPr>
                <w:rFonts w:ascii="CAIXA Std Book" w:hAnsi="CAIXA Std Book" w:cs="Calibri"/>
                <w:color w:val="005CA9"/>
                <w:sz w:val="18"/>
                <w:szCs w:val="18"/>
              </w:rPr>
            </w:pPr>
            <w:r w:rsidRPr="00A13447">
              <w:rPr>
                <w:rFonts w:ascii="CAIXA Std Book" w:eastAsia="Times New Roman" w:hAnsi="CAIXA Std Book" w:cs="Calibri"/>
                <w:color w:val="005CA9"/>
                <w:sz w:val="18"/>
                <w:szCs w:val="18"/>
              </w:rPr>
              <w:t>Cotas de fundo de investimento</w:t>
            </w:r>
          </w:p>
        </w:tc>
        <w:tc>
          <w:tcPr>
            <w:tcW w:w="678" w:type="pct"/>
            <w:tcBorders>
              <w:top w:val="nil"/>
              <w:left w:val="nil"/>
              <w:bottom w:val="single" w:sz="8" w:space="0" w:color="FFFFFF"/>
              <w:right w:val="nil"/>
            </w:tcBorders>
            <w:noWrap/>
            <w:vAlign w:val="center"/>
            <w:hideMark/>
          </w:tcPr>
          <w:p w14:paraId="54BB4F12" w14:textId="4CD0187E" w:rsidR="008959C5" w:rsidRPr="00FD59D1" w:rsidRDefault="008959C5" w:rsidP="008959C5">
            <w:pPr>
              <w:jc w:val="right"/>
              <w:rPr>
                <w:rFonts w:ascii="CAIXA Std Book" w:hAnsi="CAIXA Std Book"/>
                <w:color w:val="005CA9"/>
                <w:sz w:val="18"/>
                <w:szCs w:val="18"/>
              </w:rPr>
            </w:pPr>
            <w:r w:rsidRPr="00C7065D">
              <w:rPr>
                <w:rFonts w:ascii="CAIXA Std Book" w:hAnsi="CAIXA Std Book" w:cs="Arial"/>
                <w:color w:val="005CA9"/>
                <w:sz w:val="18"/>
                <w:szCs w:val="18"/>
              </w:rPr>
              <w:t>495.411</w:t>
            </w:r>
          </w:p>
        </w:tc>
        <w:tc>
          <w:tcPr>
            <w:tcW w:w="680" w:type="pct"/>
            <w:tcBorders>
              <w:top w:val="nil"/>
              <w:left w:val="nil"/>
              <w:bottom w:val="single" w:sz="8" w:space="0" w:color="FFFFFF"/>
              <w:right w:val="nil"/>
            </w:tcBorders>
            <w:noWrap/>
            <w:vAlign w:val="center"/>
          </w:tcPr>
          <w:p w14:paraId="30D557CE" w14:textId="602412A9" w:rsidR="008959C5" w:rsidRPr="00C7065D" w:rsidRDefault="00EF7B66" w:rsidP="001877EC">
            <w:pPr>
              <w:jc w:val="center"/>
              <w:rPr>
                <w:rFonts w:ascii="CAIXA Std Book" w:hAnsi="CAIXA Std Book" w:cs="Arial"/>
                <w:color w:val="005CA9"/>
                <w:sz w:val="18"/>
                <w:szCs w:val="18"/>
              </w:rPr>
            </w:pPr>
            <w:r w:rsidRPr="00EF7B66">
              <w:rPr>
                <w:rFonts w:ascii="CAIXA Std Book" w:hAnsi="CAIXA Std Book" w:cs="Arial"/>
                <w:color w:val="005CA9"/>
                <w:sz w:val="18"/>
                <w:szCs w:val="18"/>
              </w:rPr>
              <w:t>-</w:t>
            </w:r>
          </w:p>
        </w:tc>
        <w:tc>
          <w:tcPr>
            <w:tcW w:w="678" w:type="pct"/>
            <w:tcBorders>
              <w:top w:val="nil"/>
              <w:left w:val="nil"/>
              <w:bottom w:val="single" w:sz="4" w:space="0" w:color="FFFFFF"/>
              <w:right w:val="nil"/>
            </w:tcBorders>
            <w:noWrap/>
            <w:vAlign w:val="center"/>
          </w:tcPr>
          <w:p w14:paraId="039653C1" w14:textId="66E746E0" w:rsidR="008959C5" w:rsidRPr="00C7065D" w:rsidRDefault="00EF7B66" w:rsidP="008959C5">
            <w:pPr>
              <w:jc w:val="center"/>
              <w:rPr>
                <w:rFonts w:ascii="CAIXA Std Book" w:hAnsi="CAIXA Std Book" w:cs="Arial"/>
                <w:color w:val="005CA9"/>
                <w:sz w:val="18"/>
                <w:szCs w:val="18"/>
              </w:rPr>
            </w:pPr>
            <w:r w:rsidRPr="00EF7B66">
              <w:rPr>
                <w:rFonts w:ascii="CAIXA Std Book" w:hAnsi="CAIXA Std Book" w:cs="Arial"/>
                <w:color w:val="005CA9"/>
                <w:sz w:val="18"/>
                <w:szCs w:val="18"/>
              </w:rPr>
              <w:t>-</w:t>
            </w:r>
          </w:p>
        </w:tc>
        <w:tc>
          <w:tcPr>
            <w:tcW w:w="678" w:type="pct"/>
            <w:tcBorders>
              <w:top w:val="nil"/>
              <w:left w:val="nil"/>
              <w:bottom w:val="single" w:sz="4" w:space="0" w:color="FFFFFF"/>
              <w:right w:val="nil"/>
            </w:tcBorders>
            <w:noWrap/>
            <w:vAlign w:val="center"/>
          </w:tcPr>
          <w:p w14:paraId="3917C564" w14:textId="2802EC02" w:rsidR="008959C5" w:rsidRPr="00C7065D" w:rsidRDefault="00EF7B66" w:rsidP="008959C5">
            <w:pPr>
              <w:jc w:val="center"/>
              <w:rPr>
                <w:rFonts w:ascii="CAIXA Std Book" w:hAnsi="CAIXA Std Book" w:cs="Arial"/>
                <w:color w:val="005CA9"/>
                <w:sz w:val="18"/>
                <w:szCs w:val="18"/>
              </w:rPr>
            </w:pPr>
            <w:r w:rsidRPr="00EF7B66">
              <w:rPr>
                <w:rFonts w:ascii="CAIXA Std Book" w:hAnsi="CAIXA Std Book" w:cs="Arial"/>
                <w:color w:val="005CA9"/>
                <w:sz w:val="18"/>
                <w:szCs w:val="18"/>
              </w:rPr>
              <w:t>-</w:t>
            </w:r>
          </w:p>
        </w:tc>
        <w:tc>
          <w:tcPr>
            <w:tcW w:w="681" w:type="pct"/>
            <w:tcBorders>
              <w:top w:val="nil"/>
              <w:left w:val="nil"/>
              <w:bottom w:val="single" w:sz="8" w:space="0" w:color="FFFFFF"/>
              <w:right w:val="nil"/>
            </w:tcBorders>
            <w:noWrap/>
            <w:vAlign w:val="center"/>
          </w:tcPr>
          <w:p w14:paraId="5FFC6298" w14:textId="32F59427" w:rsidR="008959C5" w:rsidRPr="00C7065D" w:rsidRDefault="00EF7B66" w:rsidP="008959C5">
            <w:pPr>
              <w:ind w:right="72"/>
              <w:jc w:val="right"/>
              <w:rPr>
                <w:rFonts w:ascii="CAIXA Std Book" w:hAnsi="CAIXA Std Book" w:cs="Arial"/>
                <w:color w:val="005CA9"/>
                <w:sz w:val="18"/>
                <w:szCs w:val="18"/>
              </w:rPr>
            </w:pPr>
            <w:r w:rsidRPr="00EF7B66">
              <w:rPr>
                <w:rFonts w:ascii="CAIXA Std Book" w:hAnsi="CAIXA Std Book" w:cs="Arial"/>
                <w:color w:val="005CA9"/>
                <w:sz w:val="18"/>
                <w:szCs w:val="18"/>
              </w:rPr>
              <w:t>495.411</w:t>
            </w:r>
          </w:p>
        </w:tc>
        <w:tc>
          <w:tcPr>
            <w:tcW w:w="2" w:type="pct"/>
            <w:vAlign w:val="center"/>
            <w:hideMark/>
          </w:tcPr>
          <w:p w14:paraId="705F562E" w14:textId="77777777" w:rsidR="008959C5" w:rsidRPr="003058F2" w:rsidRDefault="008959C5" w:rsidP="008959C5">
            <w:pPr>
              <w:rPr>
                <w:rFonts w:ascii="CAIXA Std Book" w:hAnsi="CAIXA Std Book"/>
                <w:sz w:val="18"/>
                <w:szCs w:val="18"/>
              </w:rPr>
            </w:pPr>
          </w:p>
        </w:tc>
      </w:tr>
      <w:tr w:rsidR="008959C5" w14:paraId="7F040E9D" w14:textId="77777777" w:rsidTr="006E2693">
        <w:trPr>
          <w:trHeight w:val="272"/>
        </w:trPr>
        <w:tc>
          <w:tcPr>
            <w:tcW w:w="1604" w:type="pct"/>
            <w:tcBorders>
              <w:top w:val="nil"/>
              <w:left w:val="nil"/>
              <w:right w:val="nil"/>
            </w:tcBorders>
            <w:shd w:val="clear" w:color="000000" w:fill="FFFFFF"/>
            <w:noWrap/>
            <w:vAlign w:val="center"/>
            <w:hideMark/>
          </w:tcPr>
          <w:p w14:paraId="29F6BB13" w14:textId="77777777" w:rsidR="008959C5" w:rsidRDefault="008959C5" w:rsidP="008959C5">
            <w:pPr>
              <w:rPr>
                <w:rFonts w:ascii="CAIXA Std Book" w:hAnsi="CAIXA Std Book" w:cs="Calibri"/>
                <w:color w:val="005CA9"/>
                <w:sz w:val="18"/>
                <w:szCs w:val="18"/>
              </w:rPr>
            </w:pPr>
            <w:r>
              <w:rPr>
                <w:rFonts w:ascii="CAIXA Std Book" w:eastAsia="Times New Roman" w:hAnsi="CAIXA Std Book" w:cs="Calibri"/>
                <w:color w:val="005CA9"/>
                <w:sz w:val="18"/>
                <w:szCs w:val="18"/>
              </w:rPr>
              <w:t xml:space="preserve">Ações </w:t>
            </w:r>
          </w:p>
        </w:tc>
        <w:tc>
          <w:tcPr>
            <w:tcW w:w="678" w:type="pct"/>
            <w:tcBorders>
              <w:top w:val="nil"/>
              <w:left w:val="nil"/>
              <w:right w:val="nil"/>
            </w:tcBorders>
            <w:noWrap/>
            <w:vAlign w:val="center"/>
            <w:hideMark/>
          </w:tcPr>
          <w:p w14:paraId="7973844B" w14:textId="0332261B" w:rsidR="008959C5" w:rsidRPr="00FD59D1" w:rsidRDefault="008959C5" w:rsidP="008959C5">
            <w:pPr>
              <w:jc w:val="right"/>
              <w:rPr>
                <w:rFonts w:ascii="CAIXA Std Book" w:hAnsi="CAIXA Std Book"/>
                <w:color w:val="005CA9"/>
                <w:sz w:val="18"/>
                <w:szCs w:val="18"/>
              </w:rPr>
            </w:pPr>
            <w:r w:rsidRPr="00C7065D">
              <w:rPr>
                <w:rFonts w:ascii="CAIXA Std Book" w:hAnsi="CAIXA Std Book" w:cs="Arial"/>
                <w:color w:val="005CA9"/>
                <w:sz w:val="18"/>
                <w:szCs w:val="18"/>
              </w:rPr>
              <w:t>18.970</w:t>
            </w:r>
          </w:p>
        </w:tc>
        <w:tc>
          <w:tcPr>
            <w:tcW w:w="680" w:type="pct"/>
            <w:tcBorders>
              <w:top w:val="nil"/>
              <w:left w:val="nil"/>
              <w:right w:val="nil"/>
            </w:tcBorders>
            <w:noWrap/>
            <w:vAlign w:val="center"/>
          </w:tcPr>
          <w:p w14:paraId="5FA71A85" w14:textId="739B44EE" w:rsidR="008959C5" w:rsidRPr="00C7065D" w:rsidRDefault="00EF7B66" w:rsidP="008959C5">
            <w:pPr>
              <w:jc w:val="center"/>
              <w:rPr>
                <w:rFonts w:ascii="CAIXA Std Book" w:hAnsi="CAIXA Std Book" w:cs="Arial"/>
                <w:color w:val="005CA9"/>
                <w:sz w:val="18"/>
                <w:szCs w:val="18"/>
              </w:rPr>
            </w:pPr>
            <w:r w:rsidRPr="00EF7B66">
              <w:rPr>
                <w:rFonts w:ascii="CAIXA Std Book" w:hAnsi="CAIXA Std Book" w:cs="Arial"/>
                <w:color w:val="005CA9"/>
                <w:sz w:val="18"/>
                <w:szCs w:val="18"/>
              </w:rPr>
              <w:t>-</w:t>
            </w:r>
          </w:p>
        </w:tc>
        <w:tc>
          <w:tcPr>
            <w:tcW w:w="678" w:type="pct"/>
            <w:tcBorders>
              <w:top w:val="nil"/>
              <w:left w:val="nil"/>
              <w:right w:val="nil"/>
            </w:tcBorders>
            <w:noWrap/>
            <w:vAlign w:val="center"/>
          </w:tcPr>
          <w:p w14:paraId="28B14219" w14:textId="08B8AA7D" w:rsidR="008959C5" w:rsidRPr="00C7065D" w:rsidRDefault="00EF7B66" w:rsidP="008959C5">
            <w:pPr>
              <w:jc w:val="center"/>
              <w:rPr>
                <w:rFonts w:ascii="CAIXA Std Book" w:hAnsi="CAIXA Std Book" w:cs="Arial"/>
                <w:color w:val="005CA9"/>
                <w:sz w:val="18"/>
                <w:szCs w:val="18"/>
              </w:rPr>
            </w:pPr>
            <w:r w:rsidRPr="00EF7B66">
              <w:rPr>
                <w:rFonts w:ascii="CAIXA Std Book" w:hAnsi="CAIXA Std Book" w:cs="Arial"/>
                <w:color w:val="005CA9"/>
                <w:sz w:val="18"/>
                <w:szCs w:val="18"/>
              </w:rPr>
              <w:t>-</w:t>
            </w:r>
          </w:p>
        </w:tc>
        <w:tc>
          <w:tcPr>
            <w:tcW w:w="678" w:type="pct"/>
            <w:tcBorders>
              <w:top w:val="nil"/>
              <w:left w:val="nil"/>
              <w:right w:val="nil"/>
            </w:tcBorders>
            <w:noWrap/>
            <w:vAlign w:val="center"/>
          </w:tcPr>
          <w:p w14:paraId="3341947F" w14:textId="26DFE9F2" w:rsidR="008959C5" w:rsidRPr="00C7065D" w:rsidRDefault="00EF7B66" w:rsidP="008959C5">
            <w:pPr>
              <w:jc w:val="center"/>
              <w:rPr>
                <w:rFonts w:ascii="CAIXA Std Book" w:hAnsi="CAIXA Std Book" w:cs="Arial"/>
                <w:color w:val="005CA9"/>
                <w:sz w:val="18"/>
                <w:szCs w:val="18"/>
              </w:rPr>
            </w:pPr>
            <w:r w:rsidRPr="00EF7B66">
              <w:rPr>
                <w:rFonts w:ascii="CAIXA Std Book" w:hAnsi="CAIXA Std Book" w:cs="Arial"/>
                <w:color w:val="005CA9"/>
                <w:sz w:val="18"/>
                <w:szCs w:val="18"/>
              </w:rPr>
              <w:t>-</w:t>
            </w:r>
          </w:p>
        </w:tc>
        <w:tc>
          <w:tcPr>
            <w:tcW w:w="681" w:type="pct"/>
            <w:tcBorders>
              <w:top w:val="nil"/>
              <w:left w:val="nil"/>
              <w:right w:val="nil"/>
            </w:tcBorders>
            <w:noWrap/>
            <w:vAlign w:val="center"/>
          </w:tcPr>
          <w:p w14:paraId="75EA96B0" w14:textId="579F6C55" w:rsidR="008959C5" w:rsidRPr="00C7065D" w:rsidRDefault="00EF7B66" w:rsidP="008959C5">
            <w:pPr>
              <w:ind w:right="72"/>
              <w:jc w:val="right"/>
              <w:rPr>
                <w:rFonts w:ascii="CAIXA Std Book" w:hAnsi="CAIXA Std Book" w:cs="Arial"/>
                <w:color w:val="005CA9"/>
                <w:sz w:val="18"/>
                <w:szCs w:val="18"/>
              </w:rPr>
            </w:pPr>
            <w:r w:rsidRPr="00EF7B66">
              <w:rPr>
                <w:rFonts w:ascii="CAIXA Std Book" w:hAnsi="CAIXA Std Book" w:cs="Arial"/>
                <w:color w:val="005CA9"/>
                <w:sz w:val="18"/>
                <w:szCs w:val="18"/>
              </w:rPr>
              <w:t>18.970</w:t>
            </w:r>
          </w:p>
        </w:tc>
        <w:tc>
          <w:tcPr>
            <w:tcW w:w="2" w:type="pct"/>
            <w:vAlign w:val="center"/>
            <w:hideMark/>
          </w:tcPr>
          <w:p w14:paraId="43A3D3E0" w14:textId="77777777" w:rsidR="008959C5" w:rsidRPr="003058F2" w:rsidRDefault="008959C5" w:rsidP="008959C5">
            <w:pPr>
              <w:rPr>
                <w:rFonts w:ascii="CAIXA Std Book" w:hAnsi="CAIXA Std Book"/>
                <w:sz w:val="18"/>
                <w:szCs w:val="18"/>
              </w:rPr>
            </w:pPr>
          </w:p>
        </w:tc>
      </w:tr>
      <w:tr w:rsidR="008959C5" w:rsidRPr="002F2FDB" w14:paraId="25225B3B" w14:textId="77777777" w:rsidTr="006E2693">
        <w:trPr>
          <w:trHeight w:val="272"/>
        </w:trPr>
        <w:tc>
          <w:tcPr>
            <w:tcW w:w="1604" w:type="pct"/>
            <w:tcBorders>
              <w:top w:val="nil"/>
              <w:left w:val="nil"/>
              <w:right w:val="nil"/>
            </w:tcBorders>
            <w:shd w:val="clear" w:color="auto" w:fill="005CA9"/>
            <w:noWrap/>
            <w:vAlign w:val="center"/>
            <w:hideMark/>
          </w:tcPr>
          <w:p w14:paraId="59B19FDC" w14:textId="77777777" w:rsidR="008959C5" w:rsidRDefault="008959C5" w:rsidP="008959C5">
            <w:pPr>
              <w:rPr>
                <w:rFonts w:ascii="CAIXA Std Book" w:hAnsi="CAIXA Std Book" w:cs="Calibri"/>
                <w:b/>
                <w:bCs/>
                <w:color w:val="FFFFFF"/>
                <w:sz w:val="18"/>
                <w:szCs w:val="18"/>
              </w:rPr>
            </w:pPr>
            <w:r>
              <w:rPr>
                <w:rFonts w:ascii="CAIXA Std Book" w:hAnsi="CAIXA Std Book" w:cs="Calibri"/>
                <w:b/>
                <w:bCs/>
                <w:color w:val="FFFFFF"/>
                <w:sz w:val="18"/>
                <w:szCs w:val="18"/>
              </w:rPr>
              <w:t>Total</w:t>
            </w:r>
          </w:p>
        </w:tc>
        <w:tc>
          <w:tcPr>
            <w:tcW w:w="678" w:type="pct"/>
            <w:tcBorders>
              <w:top w:val="nil"/>
              <w:left w:val="nil"/>
              <w:right w:val="nil"/>
            </w:tcBorders>
            <w:shd w:val="clear" w:color="auto" w:fill="005CA9"/>
            <w:noWrap/>
            <w:vAlign w:val="center"/>
            <w:hideMark/>
          </w:tcPr>
          <w:p w14:paraId="0E4E9A75" w14:textId="4C48D9F9" w:rsidR="008959C5" w:rsidRPr="002F2FDB" w:rsidRDefault="008959C5" w:rsidP="008959C5">
            <w:pPr>
              <w:jc w:val="right"/>
              <w:rPr>
                <w:rFonts w:ascii="CAIXA Std Book" w:hAnsi="CAIXA Std Book"/>
                <w:b/>
                <w:color w:val="FFFFFF"/>
                <w:sz w:val="18"/>
                <w:szCs w:val="18"/>
              </w:rPr>
            </w:pPr>
            <w:r>
              <w:rPr>
                <w:rFonts w:ascii="CAIXA Std Book" w:hAnsi="CAIXA Std Book" w:cs="Arial"/>
                <w:b/>
                <w:bCs/>
                <w:color w:val="FFFFFF"/>
                <w:sz w:val="18"/>
                <w:szCs w:val="18"/>
              </w:rPr>
              <w:t>309.112.750</w:t>
            </w:r>
          </w:p>
        </w:tc>
        <w:tc>
          <w:tcPr>
            <w:tcW w:w="680" w:type="pct"/>
            <w:tcBorders>
              <w:top w:val="nil"/>
              <w:left w:val="nil"/>
              <w:right w:val="nil"/>
            </w:tcBorders>
            <w:shd w:val="clear" w:color="auto" w:fill="005CA9"/>
            <w:noWrap/>
            <w:vAlign w:val="center"/>
          </w:tcPr>
          <w:p w14:paraId="788844AE" w14:textId="1A0BCDDA" w:rsidR="008959C5" w:rsidRPr="00C7065D" w:rsidRDefault="00EF7B66" w:rsidP="008959C5">
            <w:pPr>
              <w:jc w:val="right"/>
              <w:rPr>
                <w:rFonts w:ascii="CAIXA Std Book" w:hAnsi="CAIXA Std Book" w:cs="Arial"/>
                <w:b/>
                <w:color w:val="FFFFFF"/>
                <w:sz w:val="18"/>
                <w:szCs w:val="18"/>
              </w:rPr>
            </w:pPr>
            <w:r>
              <w:rPr>
                <w:rFonts w:ascii="CAIXA Std Book" w:hAnsi="CAIXA Std Book" w:cs="Arial"/>
                <w:b/>
                <w:bCs/>
                <w:color w:val="FFFFFF"/>
                <w:sz w:val="18"/>
                <w:szCs w:val="18"/>
              </w:rPr>
              <w:t>(28.491.917)</w:t>
            </w:r>
          </w:p>
        </w:tc>
        <w:tc>
          <w:tcPr>
            <w:tcW w:w="678" w:type="pct"/>
            <w:tcBorders>
              <w:top w:val="nil"/>
              <w:left w:val="nil"/>
              <w:right w:val="nil"/>
            </w:tcBorders>
            <w:shd w:val="clear" w:color="auto" w:fill="005CA9"/>
            <w:noWrap/>
            <w:vAlign w:val="center"/>
          </w:tcPr>
          <w:p w14:paraId="1EBFC0AC" w14:textId="6FA9D43C" w:rsidR="008959C5" w:rsidRPr="00C7065D" w:rsidRDefault="00EF7B66" w:rsidP="00EF7B66">
            <w:pPr>
              <w:jc w:val="center"/>
              <w:rPr>
                <w:rFonts w:ascii="CAIXA Std Book" w:hAnsi="CAIXA Std Book" w:cs="Arial"/>
                <w:b/>
                <w:color w:val="FFFFFF"/>
                <w:sz w:val="18"/>
                <w:szCs w:val="18"/>
              </w:rPr>
            </w:pPr>
            <w:r>
              <w:rPr>
                <w:rFonts w:ascii="CAIXA Std Book" w:hAnsi="CAIXA Std Book" w:cs="Arial"/>
                <w:b/>
                <w:bCs/>
                <w:color w:val="FFFFFF"/>
                <w:sz w:val="18"/>
                <w:szCs w:val="18"/>
              </w:rPr>
              <w:t>-</w:t>
            </w:r>
          </w:p>
        </w:tc>
        <w:tc>
          <w:tcPr>
            <w:tcW w:w="678" w:type="pct"/>
            <w:tcBorders>
              <w:top w:val="nil"/>
              <w:left w:val="nil"/>
              <w:right w:val="nil"/>
            </w:tcBorders>
            <w:shd w:val="clear" w:color="auto" w:fill="005CA9"/>
            <w:noWrap/>
            <w:vAlign w:val="center"/>
          </w:tcPr>
          <w:p w14:paraId="3D4F4AE5" w14:textId="6D71A493" w:rsidR="008959C5" w:rsidRPr="00C7065D" w:rsidRDefault="00EF7B66" w:rsidP="00EF7B66">
            <w:pPr>
              <w:jc w:val="center"/>
              <w:rPr>
                <w:rFonts w:ascii="CAIXA Std Book" w:hAnsi="CAIXA Std Book" w:cs="Arial"/>
                <w:b/>
                <w:color w:val="FFFFFF"/>
                <w:sz w:val="18"/>
                <w:szCs w:val="18"/>
              </w:rPr>
            </w:pPr>
            <w:r>
              <w:rPr>
                <w:rFonts w:ascii="CAIXA Std Book" w:hAnsi="CAIXA Std Book" w:cs="Arial"/>
                <w:b/>
                <w:bCs/>
                <w:color w:val="FFFFFF"/>
                <w:sz w:val="18"/>
                <w:szCs w:val="18"/>
              </w:rPr>
              <w:t>-</w:t>
            </w:r>
          </w:p>
        </w:tc>
        <w:tc>
          <w:tcPr>
            <w:tcW w:w="681" w:type="pct"/>
            <w:tcBorders>
              <w:top w:val="nil"/>
              <w:left w:val="nil"/>
              <w:right w:val="nil"/>
            </w:tcBorders>
            <w:shd w:val="clear" w:color="auto" w:fill="005CA9"/>
            <w:noWrap/>
            <w:vAlign w:val="center"/>
          </w:tcPr>
          <w:p w14:paraId="25F906D0" w14:textId="5315F473" w:rsidR="008959C5" w:rsidRPr="00C7065D" w:rsidRDefault="00EF7B66" w:rsidP="008959C5">
            <w:pPr>
              <w:ind w:right="72"/>
              <w:jc w:val="right"/>
              <w:rPr>
                <w:rFonts w:ascii="CAIXA Std Book" w:hAnsi="CAIXA Std Book" w:cs="Arial"/>
                <w:b/>
                <w:color w:val="FFFFFF"/>
                <w:sz w:val="18"/>
                <w:szCs w:val="18"/>
              </w:rPr>
            </w:pPr>
            <w:r>
              <w:rPr>
                <w:rFonts w:ascii="CAIXA Std Book" w:hAnsi="CAIXA Std Book" w:cs="Arial"/>
                <w:b/>
                <w:bCs/>
                <w:color w:val="FFFFFF"/>
                <w:sz w:val="18"/>
                <w:szCs w:val="18"/>
              </w:rPr>
              <w:t>280.620.833</w:t>
            </w:r>
          </w:p>
        </w:tc>
        <w:tc>
          <w:tcPr>
            <w:tcW w:w="2" w:type="pct"/>
            <w:shd w:val="clear" w:color="auto" w:fill="005CA9"/>
            <w:vAlign w:val="center"/>
            <w:hideMark/>
          </w:tcPr>
          <w:p w14:paraId="5D872850" w14:textId="77777777" w:rsidR="008959C5" w:rsidRPr="00D02175" w:rsidRDefault="008959C5" w:rsidP="008959C5">
            <w:pPr>
              <w:jc w:val="right"/>
              <w:rPr>
                <w:rFonts w:ascii="CAIXA Std Book" w:hAnsi="CAIXA Std Book"/>
                <w:b/>
                <w:color w:val="FFFFFF"/>
                <w:sz w:val="18"/>
                <w:szCs w:val="18"/>
              </w:rPr>
            </w:pPr>
          </w:p>
        </w:tc>
      </w:tr>
    </w:tbl>
    <w:p w14:paraId="50833D1F" w14:textId="35005D6B" w:rsidR="00744032" w:rsidRDefault="00744032"/>
    <w:tbl>
      <w:tblPr>
        <w:tblW w:w="5000" w:type="pct"/>
        <w:tblCellMar>
          <w:left w:w="0" w:type="dxa"/>
          <w:right w:w="0" w:type="dxa"/>
        </w:tblCellMar>
        <w:tblLook w:val="04A0" w:firstRow="1" w:lastRow="0" w:firstColumn="1" w:lastColumn="0" w:noHBand="0" w:noVBand="1"/>
      </w:tblPr>
      <w:tblGrid>
        <w:gridCol w:w="4676"/>
        <w:gridCol w:w="1975"/>
        <w:gridCol w:w="1976"/>
        <w:gridCol w:w="1976"/>
        <w:gridCol w:w="1976"/>
        <w:gridCol w:w="1984"/>
        <w:gridCol w:w="6"/>
      </w:tblGrid>
      <w:tr w:rsidR="002E334B" w14:paraId="1B1420A7" w14:textId="77777777" w:rsidTr="00456B98">
        <w:trPr>
          <w:gridAfter w:val="1"/>
          <w:wAfter w:w="2" w:type="pct"/>
          <w:trHeight w:val="283"/>
        </w:trPr>
        <w:tc>
          <w:tcPr>
            <w:tcW w:w="4998" w:type="pct"/>
            <w:gridSpan w:val="6"/>
            <w:tcBorders>
              <w:left w:val="nil"/>
              <w:bottom w:val="single" w:sz="4" w:space="0" w:color="FFFFFF" w:themeColor="background1"/>
              <w:right w:val="nil"/>
            </w:tcBorders>
            <w:shd w:val="clear" w:color="auto" w:fill="005CA9"/>
            <w:noWrap/>
            <w:vAlign w:val="center"/>
            <w:hideMark/>
          </w:tcPr>
          <w:p w14:paraId="2521C1CA" w14:textId="77777777" w:rsidR="002E334B" w:rsidRDefault="002E334B">
            <w:pPr>
              <w:jc w:val="center"/>
              <w:rPr>
                <w:rFonts w:ascii="CAIXA Std Book" w:hAnsi="CAIXA Std Book" w:cs="Calibri"/>
                <w:b/>
                <w:bCs/>
                <w:color w:val="FFFFFF"/>
                <w:sz w:val="18"/>
                <w:szCs w:val="18"/>
              </w:rPr>
            </w:pPr>
            <w:r>
              <w:rPr>
                <w:rFonts w:ascii="CAIXA Std Book" w:eastAsia="Times New Roman" w:hAnsi="CAIXA Std Book" w:cs="Calibri"/>
                <w:b/>
                <w:bCs/>
                <w:color w:val="FFFFFF"/>
                <w:sz w:val="18"/>
                <w:szCs w:val="18"/>
              </w:rPr>
              <w:t>Consolidado</w:t>
            </w:r>
          </w:p>
        </w:tc>
      </w:tr>
      <w:tr w:rsidR="002E334B" w14:paraId="17BB9FFA" w14:textId="77777777" w:rsidTr="006E2693">
        <w:trPr>
          <w:gridAfter w:val="1"/>
          <w:wAfter w:w="2" w:type="pct"/>
          <w:trHeight w:val="401"/>
        </w:trPr>
        <w:tc>
          <w:tcPr>
            <w:tcW w:w="1605" w:type="pct"/>
            <w:vMerge w:val="restart"/>
            <w:tcBorders>
              <w:top w:val="single" w:sz="4" w:space="0" w:color="FFFFFF" w:themeColor="background1"/>
              <w:left w:val="nil"/>
              <w:bottom w:val="single" w:sz="4" w:space="0" w:color="FFFFFF"/>
              <w:right w:val="nil"/>
            </w:tcBorders>
            <w:shd w:val="clear" w:color="auto" w:fill="005CA9"/>
            <w:vAlign w:val="center"/>
            <w:hideMark/>
          </w:tcPr>
          <w:p w14:paraId="6E3557F8" w14:textId="77777777" w:rsidR="002E334B" w:rsidRDefault="002E334B">
            <w:pPr>
              <w:jc w:val="center"/>
              <w:rPr>
                <w:rFonts w:ascii="CAIXA Std Book" w:hAnsi="CAIXA Std Book" w:cs="Calibri"/>
                <w:b/>
                <w:bCs/>
                <w:color w:val="FFFFFF"/>
                <w:sz w:val="18"/>
                <w:szCs w:val="18"/>
              </w:rPr>
            </w:pPr>
            <w:r>
              <w:rPr>
                <w:rFonts w:ascii="CAIXA Std Book" w:hAnsi="CAIXA Std Book" w:cs="Calibri"/>
                <w:b/>
                <w:bCs/>
                <w:color w:val="FFFFFF"/>
                <w:sz w:val="18"/>
                <w:szCs w:val="18"/>
              </w:rPr>
              <w:t>Estágio 1</w:t>
            </w:r>
          </w:p>
        </w:tc>
        <w:tc>
          <w:tcPr>
            <w:tcW w:w="678" w:type="pct"/>
            <w:vMerge w:val="restart"/>
            <w:tcBorders>
              <w:top w:val="single" w:sz="4" w:space="0" w:color="FFFFFF" w:themeColor="background1"/>
              <w:left w:val="nil"/>
              <w:bottom w:val="single" w:sz="4" w:space="0" w:color="FFFFFF"/>
              <w:right w:val="nil"/>
            </w:tcBorders>
            <w:shd w:val="clear" w:color="auto" w:fill="005CA9"/>
            <w:vAlign w:val="center"/>
            <w:hideMark/>
          </w:tcPr>
          <w:p w14:paraId="0F7CB2DE" w14:textId="77777777" w:rsidR="002E334B" w:rsidRDefault="002E334B">
            <w:pPr>
              <w:jc w:val="center"/>
              <w:rPr>
                <w:rFonts w:ascii="CAIXA Std Book" w:hAnsi="CAIXA Std Book" w:cs="Calibri"/>
                <w:b/>
                <w:bCs/>
                <w:color w:val="FFFFFF"/>
                <w:sz w:val="18"/>
                <w:szCs w:val="18"/>
              </w:rPr>
            </w:pPr>
            <w:r>
              <w:rPr>
                <w:rFonts w:ascii="CAIXA Std Book" w:hAnsi="CAIXA Std Book" w:cs="Calibri"/>
                <w:b/>
                <w:bCs/>
                <w:color w:val="FFFFFF"/>
                <w:sz w:val="18"/>
                <w:szCs w:val="18"/>
              </w:rPr>
              <w:t>Saldo em</w:t>
            </w:r>
          </w:p>
          <w:p w14:paraId="3DE6A62C" w14:textId="77777777" w:rsidR="002E334B" w:rsidRDefault="002E334B">
            <w:pPr>
              <w:jc w:val="center"/>
              <w:rPr>
                <w:rFonts w:ascii="CAIXA Std Book" w:hAnsi="CAIXA Std Book" w:cs="Calibri"/>
                <w:b/>
                <w:bCs/>
                <w:color w:val="FFFFFF"/>
                <w:sz w:val="18"/>
                <w:szCs w:val="18"/>
              </w:rPr>
            </w:pPr>
            <w:r>
              <w:rPr>
                <w:rFonts w:ascii="CAIXA Std Book" w:hAnsi="CAIXA Std Book" w:cs="Calibri"/>
                <w:b/>
                <w:bCs/>
                <w:color w:val="FFFFFF"/>
                <w:sz w:val="18"/>
                <w:szCs w:val="18"/>
              </w:rPr>
              <w:t>01/01/2025</w:t>
            </w:r>
          </w:p>
        </w:tc>
        <w:tc>
          <w:tcPr>
            <w:tcW w:w="678" w:type="pct"/>
            <w:vMerge w:val="restart"/>
            <w:tcBorders>
              <w:top w:val="single" w:sz="4" w:space="0" w:color="FFFFFF" w:themeColor="background1"/>
              <w:left w:val="nil"/>
              <w:bottom w:val="single" w:sz="4" w:space="0" w:color="FFFFFF"/>
              <w:right w:val="nil"/>
            </w:tcBorders>
            <w:shd w:val="clear" w:color="auto" w:fill="005CA9"/>
            <w:vAlign w:val="center"/>
            <w:hideMark/>
          </w:tcPr>
          <w:p w14:paraId="5481B050" w14:textId="77777777" w:rsidR="002E334B" w:rsidRDefault="002E334B">
            <w:pPr>
              <w:jc w:val="center"/>
              <w:rPr>
                <w:rFonts w:ascii="CAIXA Std Book" w:hAnsi="CAIXA Std Book" w:cs="Calibri"/>
                <w:b/>
                <w:bCs/>
                <w:color w:val="FFFFFF"/>
                <w:sz w:val="18"/>
                <w:szCs w:val="18"/>
              </w:rPr>
            </w:pPr>
            <w:r>
              <w:rPr>
                <w:rFonts w:ascii="CAIXA Std Book" w:hAnsi="CAIXA Std Book" w:cs="Calibri"/>
                <w:b/>
                <w:bCs/>
                <w:color w:val="FFFFFF"/>
                <w:sz w:val="18"/>
                <w:szCs w:val="18"/>
              </w:rPr>
              <w:t>Compra/</w:t>
            </w:r>
          </w:p>
          <w:p w14:paraId="0E55CE19" w14:textId="77777777" w:rsidR="002E334B" w:rsidRDefault="002E334B">
            <w:pPr>
              <w:jc w:val="center"/>
              <w:rPr>
                <w:rFonts w:ascii="CAIXA Std Book" w:hAnsi="CAIXA Std Book" w:cs="Calibri"/>
                <w:b/>
                <w:bCs/>
                <w:color w:val="FFFFFF"/>
                <w:sz w:val="18"/>
                <w:szCs w:val="18"/>
              </w:rPr>
            </w:pPr>
            <w:r>
              <w:rPr>
                <w:rFonts w:ascii="CAIXA Std Book" w:hAnsi="CAIXA Std Book" w:cs="Calibri"/>
                <w:b/>
                <w:bCs/>
                <w:color w:val="FFFFFF"/>
                <w:sz w:val="18"/>
                <w:szCs w:val="18"/>
              </w:rPr>
              <w:t>(liquidação)</w:t>
            </w:r>
          </w:p>
        </w:tc>
        <w:tc>
          <w:tcPr>
            <w:tcW w:w="678" w:type="pct"/>
            <w:vMerge w:val="restart"/>
            <w:tcBorders>
              <w:top w:val="single" w:sz="4" w:space="0" w:color="FFFFFF" w:themeColor="background1"/>
              <w:left w:val="nil"/>
              <w:bottom w:val="single" w:sz="4" w:space="0" w:color="FFFFFF"/>
              <w:right w:val="nil"/>
            </w:tcBorders>
            <w:shd w:val="clear" w:color="auto" w:fill="005CA9"/>
            <w:vAlign w:val="center"/>
            <w:hideMark/>
          </w:tcPr>
          <w:p w14:paraId="0CD0512E" w14:textId="77777777" w:rsidR="002E334B" w:rsidRDefault="002E334B">
            <w:pPr>
              <w:jc w:val="center"/>
              <w:rPr>
                <w:rFonts w:ascii="CAIXA Std Book" w:hAnsi="CAIXA Std Book" w:cs="Calibri"/>
                <w:b/>
                <w:bCs/>
                <w:color w:val="FFFFFF"/>
                <w:sz w:val="18"/>
                <w:szCs w:val="18"/>
              </w:rPr>
            </w:pPr>
            <w:r>
              <w:rPr>
                <w:rFonts w:ascii="CAIXA Std Book" w:hAnsi="CAIXA Std Book" w:cs="Calibri"/>
                <w:b/>
                <w:bCs/>
                <w:color w:val="FFFFFF"/>
                <w:sz w:val="18"/>
                <w:szCs w:val="18"/>
              </w:rPr>
              <w:t>Transferência do/</w:t>
            </w:r>
          </w:p>
          <w:p w14:paraId="2EC6F8C0" w14:textId="77777777" w:rsidR="002E334B" w:rsidRDefault="002E334B">
            <w:pPr>
              <w:jc w:val="center"/>
              <w:rPr>
                <w:rFonts w:ascii="CAIXA Std Book" w:hAnsi="CAIXA Std Book" w:cs="Calibri"/>
                <w:b/>
                <w:bCs/>
                <w:color w:val="FFFFFF"/>
                <w:sz w:val="18"/>
                <w:szCs w:val="18"/>
              </w:rPr>
            </w:pPr>
            <w:r>
              <w:rPr>
                <w:rFonts w:ascii="CAIXA Std Book" w:hAnsi="CAIXA Std Book" w:cs="Calibri"/>
                <w:b/>
                <w:bCs/>
                <w:color w:val="FFFFFF"/>
                <w:sz w:val="18"/>
                <w:szCs w:val="18"/>
              </w:rPr>
              <w:t>para estágio 2</w:t>
            </w:r>
          </w:p>
        </w:tc>
        <w:tc>
          <w:tcPr>
            <w:tcW w:w="678" w:type="pct"/>
            <w:vMerge w:val="restart"/>
            <w:tcBorders>
              <w:top w:val="single" w:sz="4" w:space="0" w:color="FFFFFF" w:themeColor="background1"/>
              <w:left w:val="nil"/>
              <w:bottom w:val="single" w:sz="4" w:space="0" w:color="FFFFFF"/>
              <w:right w:val="nil"/>
            </w:tcBorders>
            <w:shd w:val="clear" w:color="auto" w:fill="005CA9"/>
            <w:vAlign w:val="center"/>
            <w:hideMark/>
          </w:tcPr>
          <w:p w14:paraId="2241A994" w14:textId="77777777" w:rsidR="002E334B" w:rsidRDefault="002E334B">
            <w:pPr>
              <w:jc w:val="center"/>
              <w:rPr>
                <w:rFonts w:ascii="CAIXA Std Book" w:hAnsi="CAIXA Std Book" w:cs="Calibri"/>
                <w:b/>
                <w:bCs/>
                <w:color w:val="FFFFFF"/>
                <w:sz w:val="18"/>
                <w:szCs w:val="18"/>
              </w:rPr>
            </w:pPr>
            <w:r>
              <w:rPr>
                <w:rFonts w:ascii="CAIXA Std Book" w:hAnsi="CAIXA Std Book" w:cs="Calibri"/>
                <w:b/>
                <w:bCs/>
                <w:color w:val="FFFFFF"/>
                <w:sz w:val="18"/>
                <w:szCs w:val="18"/>
              </w:rPr>
              <w:t>Transferência do/</w:t>
            </w:r>
          </w:p>
          <w:p w14:paraId="4C1365B6" w14:textId="77777777" w:rsidR="002E334B" w:rsidRDefault="002E334B">
            <w:pPr>
              <w:jc w:val="center"/>
              <w:rPr>
                <w:rFonts w:ascii="CAIXA Std Book" w:hAnsi="CAIXA Std Book" w:cs="Calibri"/>
                <w:b/>
                <w:bCs/>
                <w:color w:val="FFFFFF"/>
                <w:sz w:val="18"/>
                <w:szCs w:val="18"/>
              </w:rPr>
            </w:pPr>
            <w:r>
              <w:rPr>
                <w:rFonts w:ascii="CAIXA Std Book" w:hAnsi="CAIXA Std Book" w:cs="Calibri"/>
                <w:b/>
                <w:bCs/>
                <w:color w:val="FFFFFF"/>
                <w:sz w:val="18"/>
                <w:szCs w:val="18"/>
              </w:rPr>
              <w:t>para estágio 3</w:t>
            </w:r>
          </w:p>
        </w:tc>
        <w:tc>
          <w:tcPr>
            <w:tcW w:w="681" w:type="pct"/>
            <w:vMerge w:val="restart"/>
            <w:tcBorders>
              <w:top w:val="single" w:sz="4" w:space="0" w:color="FFFFFF" w:themeColor="background1"/>
              <w:left w:val="nil"/>
              <w:bottom w:val="single" w:sz="4" w:space="0" w:color="FFFFFF"/>
              <w:right w:val="nil"/>
            </w:tcBorders>
            <w:shd w:val="clear" w:color="auto" w:fill="005CA9"/>
            <w:vAlign w:val="center"/>
            <w:hideMark/>
          </w:tcPr>
          <w:p w14:paraId="1F31D3E1" w14:textId="77777777" w:rsidR="002E334B" w:rsidRDefault="002E334B">
            <w:pPr>
              <w:jc w:val="center"/>
              <w:rPr>
                <w:rFonts w:ascii="CAIXA Std Book" w:hAnsi="CAIXA Std Book" w:cs="Calibri"/>
                <w:b/>
                <w:bCs/>
                <w:color w:val="FFFFFF"/>
                <w:sz w:val="18"/>
                <w:szCs w:val="18"/>
              </w:rPr>
            </w:pPr>
            <w:r>
              <w:rPr>
                <w:rFonts w:ascii="CAIXA Std Book" w:hAnsi="CAIXA Std Book" w:cs="Calibri"/>
                <w:b/>
                <w:bCs/>
                <w:color w:val="FFFFFF"/>
                <w:sz w:val="18"/>
                <w:szCs w:val="18"/>
              </w:rPr>
              <w:t>Saldo em</w:t>
            </w:r>
          </w:p>
          <w:p w14:paraId="559A33A2" w14:textId="77777777" w:rsidR="002E334B" w:rsidRDefault="002E334B">
            <w:pPr>
              <w:jc w:val="center"/>
              <w:rPr>
                <w:rFonts w:ascii="CAIXA Std Book" w:hAnsi="CAIXA Std Book" w:cs="Calibri"/>
                <w:b/>
                <w:bCs/>
                <w:color w:val="FFFFFF"/>
                <w:sz w:val="18"/>
                <w:szCs w:val="18"/>
              </w:rPr>
            </w:pPr>
            <w:r>
              <w:rPr>
                <w:rFonts w:ascii="CAIXA Std Book" w:hAnsi="CAIXA Std Book" w:cs="Calibri"/>
                <w:b/>
                <w:bCs/>
                <w:color w:val="FFFFFF"/>
                <w:sz w:val="18"/>
                <w:szCs w:val="18"/>
              </w:rPr>
              <w:t>31/12/2025</w:t>
            </w:r>
          </w:p>
        </w:tc>
      </w:tr>
      <w:tr w:rsidR="002E334B" w14:paraId="1EBADD4F" w14:textId="77777777" w:rsidTr="006E2693">
        <w:trPr>
          <w:trHeight w:val="283"/>
        </w:trPr>
        <w:tc>
          <w:tcPr>
            <w:tcW w:w="1605" w:type="pct"/>
            <w:vMerge/>
            <w:tcBorders>
              <w:top w:val="nil"/>
              <w:left w:val="nil"/>
              <w:bottom w:val="single" w:sz="4" w:space="0" w:color="FFFFFF"/>
              <w:right w:val="nil"/>
            </w:tcBorders>
            <w:vAlign w:val="center"/>
            <w:hideMark/>
          </w:tcPr>
          <w:p w14:paraId="13F4F04C" w14:textId="77777777" w:rsidR="002E334B" w:rsidRDefault="002E334B">
            <w:pPr>
              <w:rPr>
                <w:rFonts w:ascii="CAIXA Std Book" w:hAnsi="CAIXA Std Book" w:cs="Calibri"/>
                <w:b/>
                <w:bCs/>
                <w:color w:val="FFFFFF"/>
                <w:sz w:val="18"/>
                <w:szCs w:val="18"/>
              </w:rPr>
            </w:pPr>
          </w:p>
        </w:tc>
        <w:tc>
          <w:tcPr>
            <w:tcW w:w="678" w:type="pct"/>
            <w:vMerge/>
            <w:tcBorders>
              <w:top w:val="nil"/>
              <w:left w:val="nil"/>
              <w:bottom w:val="single" w:sz="4" w:space="0" w:color="FFFFFF"/>
              <w:right w:val="nil"/>
            </w:tcBorders>
            <w:vAlign w:val="center"/>
            <w:hideMark/>
          </w:tcPr>
          <w:p w14:paraId="36B3491C" w14:textId="77777777" w:rsidR="002E334B" w:rsidRDefault="002E334B">
            <w:pPr>
              <w:rPr>
                <w:rFonts w:ascii="CAIXA Std Book" w:hAnsi="CAIXA Std Book" w:cs="Calibri"/>
                <w:b/>
                <w:bCs/>
                <w:color w:val="FFFFFF"/>
                <w:sz w:val="18"/>
                <w:szCs w:val="18"/>
              </w:rPr>
            </w:pPr>
          </w:p>
        </w:tc>
        <w:tc>
          <w:tcPr>
            <w:tcW w:w="678" w:type="pct"/>
            <w:vMerge/>
            <w:tcBorders>
              <w:top w:val="nil"/>
              <w:left w:val="nil"/>
              <w:bottom w:val="single" w:sz="4" w:space="0" w:color="FFFFFF"/>
              <w:right w:val="nil"/>
            </w:tcBorders>
            <w:vAlign w:val="center"/>
            <w:hideMark/>
          </w:tcPr>
          <w:p w14:paraId="1708852D" w14:textId="77777777" w:rsidR="002E334B" w:rsidRDefault="002E334B">
            <w:pPr>
              <w:rPr>
                <w:rFonts w:ascii="CAIXA Std Book" w:hAnsi="CAIXA Std Book" w:cs="Calibri"/>
                <w:b/>
                <w:bCs/>
                <w:color w:val="FFFFFF"/>
                <w:sz w:val="18"/>
                <w:szCs w:val="18"/>
              </w:rPr>
            </w:pPr>
          </w:p>
        </w:tc>
        <w:tc>
          <w:tcPr>
            <w:tcW w:w="678" w:type="pct"/>
            <w:vMerge/>
            <w:tcBorders>
              <w:top w:val="nil"/>
              <w:left w:val="nil"/>
              <w:bottom w:val="single" w:sz="4" w:space="0" w:color="FFFFFF"/>
              <w:right w:val="nil"/>
            </w:tcBorders>
            <w:vAlign w:val="center"/>
            <w:hideMark/>
          </w:tcPr>
          <w:p w14:paraId="3CE9C632" w14:textId="77777777" w:rsidR="002E334B" w:rsidRDefault="002E334B">
            <w:pPr>
              <w:rPr>
                <w:rFonts w:ascii="CAIXA Std Book" w:hAnsi="CAIXA Std Book" w:cs="Calibri"/>
                <w:b/>
                <w:bCs/>
                <w:color w:val="FFFFFF"/>
                <w:sz w:val="18"/>
                <w:szCs w:val="18"/>
              </w:rPr>
            </w:pPr>
          </w:p>
        </w:tc>
        <w:tc>
          <w:tcPr>
            <w:tcW w:w="678" w:type="pct"/>
            <w:vMerge/>
            <w:tcBorders>
              <w:top w:val="nil"/>
              <w:left w:val="nil"/>
              <w:bottom w:val="single" w:sz="4" w:space="0" w:color="FFFFFF"/>
              <w:right w:val="nil"/>
            </w:tcBorders>
            <w:vAlign w:val="center"/>
            <w:hideMark/>
          </w:tcPr>
          <w:p w14:paraId="6F654480" w14:textId="77777777" w:rsidR="002E334B" w:rsidRDefault="002E334B">
            <w:pPr>
              <w:rPr>
                <w:rFonts w:ascii="CAIXA Std Book" w:hAnsi="CAIXA Std Book" w:cs="Calibri"/>
                <w:b/>
                <w:bCs/>
                <w:color w:val="FFFFFF"/>
                <w:sz w:val="18"/>
                <w:szCs w:val="18"/>
              </w:rPr>
            </w:pPr>
          </w:p>
        </w:tc>
        <w:tc>
          <w:tcPr>
            <w:tcW w:w="681" w:type="pct"/>
            <w:vMerge/>
            <w:tcBorders>
              <w:top w:val="nil"/>
              <w:left w:val="nil"/>
              <w:bottom w:val="single" w:sz="4" w:space="0" w:color="FFFFFF"/>
              <w:right w:val="nil"/>
            </w:tcBorders>
            <w:vAlign w:val="center"/>
            <w:hideMark/>
          </w:tcPr>
          <w:p w14:paraId="1B01E8A0" w14:textId="77777777" w:rsidR="002E334B" w:rsidRDefault="002E334B">
            <w:pPr>
              <w:rPr>
                <w:rFonts w:ascii="CAIXA Std Book" w:hAnsi="CAIXA Std Book" w:cs="Calibri"/>
                <w:b/>
                <w:bCs/>
                <w:color w:val="FFFFFF"/>
                <w:sz w:val="18"/>
                <w:szCs w:val="18"/>
              </w:rPr>
            </w:pPr>
          </w:p>
        </w:tc>
        <w:tc>
          <w:tcPr>
            <w:tcW w:w="2" w:type="pct"/>
            <w:tcBorders>
              <w:top w:val="nil"/>
              <w:left w:val="nil"/>
              <w:bottom w:val="nil"/>
              <w:right w:val="nil"/>
            </w:tcBorders>
            <w:noWrap/>
            <w:vAlign w:val="bottom"/>
            <w:hideMark/>
          </w:tcPr>
          <w:p w14:paraId="3345FAFF" w14:textId="77777777" w:rsidR="002E334B" w:rsidRDefault="002E334B">
            <w:pPr>
              <w:jc w:val="center"/>
              <w:rPr>
                <w:rFonts w:ascii="CAIXA Std Book" w:hAnsi="CAIXA Std Book" w:cs="Calibri"/>
                <w:b/>
                <w:bCs/>
                <w:color w:val="FFFFFF"/>
                <w:sz w:val="18"/>
                <w:szCs w:val="18"/>
              </w:rPr>
            </w:pPr>
          </w:p>
        </w:tc>
      </w:tr>
      <w:tr w:rsidR="002E334B" w14:paraId="5838C9A9" w14:textId="77777777" w:rsidTr="006E2693">
        <w:trPr>
          <w:trHeight w:val="283"/>
        </w:trPr>
        <w:tc>
          <w:tcPr>
            <w:tcW w:w="1605" w:type="pct"/>
            <w:tcBorders>
              <w:top w:val="nil"/>
              <w:left w:val="nil"/>
              <w:bottom w:val="single" w:sz="4" w:space="0" w:color="FFFFFF"/>
              <w:right w:val="nil"/>
            </w:tcBorders>
            <w:shd w:val="clear" w:color="000000" w:fill="FFFFFF"/>
            <w:noWrap/>
            <w:vAlign w:val="center"/>
            <w:hideMark/>
          </w:tcPr>
          <w:p w14:paraId="01C8DCEB" w14:textId="77777777" w:rsidR="002E334B" w:rsidRDefault="002E334B">
            <w:pPr>
              <w:rPr>
                <w:rFonts w:ascii="CAIXA Std Book" w:hAnsi="CAIXA Std Book" w:cs="Calibri"/>
                <w:color w:val="005CA9"/>
                <w:sz w:val="18"/>
                <w:szCs w:val="18"/>
              </w:rPr>
            </w:pPr>
            <w:r>
              <w:rPr>
                <w:rFonts w:ascii="CAIXA Std Book" w:hAnsi="CAIXA Std Book" w:cs="Calibri"/>
                <w:color w:val="005CA9"/>
                <w:sz w:val="18"/>
                <w:szCs w:val="18"/>
              </w:rPr>
              <w:t>Títulos públicos federais brasileiros</w:t>
            </w:r>
          </w:p>
        </w:tc>
        <w:tc>
          <w:tcPr>
            <w:tcW w:w="678" w:type="pct"/>
            <w:tcBorders>
              <w:top w:val="nil"/>
              <w:left w:val="nil"/>
              <w:bottom w:val="single" w:sz="8" w:space="0" w:color="FFFFFF"/>
              <w:right w:val="nil"/>
            </w:tcBorders>
            <w:noWrap/>
            <w:vAlign w:val="center"/>
            <w:hideMark/>
          </w:tcPr>
          <w:p w14:paraId="11CFE636" w14:textId="11068CBF" w:rsidR="002E334B" w:rsidRPr="00FD59D1" w:rsidRDefault="002E334B">
            <w:pPr>
              <w:jc w:val="right"/>
              <w:rPr>
                <w:rFonts w:ascii="CAIXA Std Book" w:hAnsi="CAIXA Std Book"/>
                <w:color w:val="005CA9"/>
                <w:sz w:val="18"/>
                <w:szCs w:val="18"/>
              </w:rPr>
            </w:pPr>
            <w:r>
              <w:rPr>
                <w:rFonts w:ascii="CAIXA Std Book" w:hAnsi="CAIXA Std Book" w:cs="Calibri"/>
                <w:color w:val="005CA9"/>
                <w:sz w:val="18"/>
                <w:szCs w:val="18"/>
              </w:rPr>
              <w:t>162.083.246</w:t>
            </w:r>
          </w:p>
        </w:tc>
        <w:tc>
          <w:tcPr>
            <w:tcW w:w="678" w:type="pct"/>
            <w:tcBorders>
              <w:top w:val="nil"/>
              <w:left w:val="nil"/>
              <w:bottom w:val="single" w:sz="8" w:space="0" w:color="FFFFFF"/>
              <w:right w:val="nil"/>
            </w:tcBorders>
            <w:noWrap/>
            <w:vAlign w:val="center"/>
          </w:tcPr>
          <w:p w14:paraId="6FBF59FE" w14:textId="77777777" w:rsidR="002E334B" w:rsidRPr="00C7065D" w:rsidRDefault="002E334B">
            <w:pPr>
              <w:jc w:val="right"/>
              <w:rPr>
                <w:rFonts w:ascii="CAIXA Std Book" w:hAnsi="CAIXA Std Book" w:cs="Arial"/>
                <w:color w:val="005CA9"/>
                <w:sz w:val="18"/>
                <w:szCs w:val="18"/>
              </w:rPr>
            </w:pPr>
            <w:r w:rsidRPr="00C7065D">
              <w:rPr>
                <w:rFonts w:ascii="CAIXA Std Book" w:hAnsi="CAIXA Std Book" w:cs="Arial"/>
                <w:color w:val="005CA9"/>
                <w:sz w:val="18"/>
                <w:szCs w:val="18"/>
              </w:rPr>
              <w:t>131.377.330</w:t>
            </w:r>
          </w:p>
        </w:tc>
        <w:tc>
          <w:tcPr>
            <w:tcW w:w="678" w:type="pct"/>
            <w:tcBorders>
              <w:top w:val="nil"/>
              <w:left w:val="nil"/>
              <w:bottom w:val="single" w:sz="4" w:space="0" w:color="FFFFFF"/>
              <w:right w:val="nil"/>
            </w:tcBorders>
            <w:noWrap/>
            <w:vAlign w:val="center"/>
          </w:tcPr>
          <w:p w14:paraId="1AEC54D8" w14:textId="77777777" w:rsidR="002E334B" w:rsidRPr="00C7065D" w:rsidRDefault="002E334B">
            <w:pPr>
              <w:jc w:val="center"/>
              <w:rPr>
                <w:rFonts w:ascii="CAIXA Std Book" w:hAnsi="CAIXA Std Book" w:cs="Arial"/>
                <w:color w:val="005CA9"/>
                <w:sz w:val="18"/>
                <w:szCs w:val="18"/>
              </w:rPr>
            </w:pPr>
            <w:r w:rsidRPr="00C7065D">
              <w:rPr>
                <w:rFonts w:ascii="CAIXA Std Book" w:hAnsi="CAIXA Std Book" w:cs="Arial"/>
                <w:color w:val="005CA9"/>
                <w:sz w:val="18"/>
                <w:szCs w:val="18"/>
              </w:rPr>
              <w:t>-</w:t>
            </w:r>
          </w:p>
        </w:tc>
        <w:tc>
          <w:tcPr>
            <w:tcW w:w="678" w:type="pct"/>
            <w:tcBorders>
              <w:top w:val="nil"/>
              <w:left w:val="nil"/>
              <w:bottom w:val="single" w:sz="4" w:space="0" w:color="FFFFFF"/>
              <w:right w:val="nil"/>
            </w:tcBorders>
            <w:noWrap/>
            <w:vAlign w:val="center"/>
          </w:tcPr>
          <w:p w14:paraId="777FA7C6" w14:textId="77777777" w:rsidR="002E334B" w:rsidRPr="00C7065D" w:rsidRDefault="002E334B">
            <w:pPr>
              <w:jc w:val="center"/>
              <w:rPr>
                <w:rFonts w:ascii="CAIXA Std Book" w:hAnsi="CAIXA Std Book" w:cs="Arial"/>
                <w:color w:val="005CA9"/>
                <w:sz w:val="18"/>
                <w:szCs w:val="18"/>
              </w:rPr>
            </w:pPr>
            <w:r w:rsidRPr="00C7065D">
              <w:rPr>
                <w:rFonts w:ascii="CAIXA Std Book" w:hAnsi="CAIXA Std Book" w:cs="Arial"/>
                <w:color w:val="005CA9"/>
                <w:sz w:val="18"/>
                <w:szCs w:val="18"/>
              </w:rPr>
              <w:t>-</w:t>
            </w:r>
          </w:p>
        </w:tc>
        <w:tc>
          <w:tcPr>
            <w:tcW w:w="681" w:type="pct"/>
            <w:tcBorders>
              <w:top w:val="nil"/>
              <w:left w:val="nil"/>
              <w:bottom w:val="single" w:sz="8" w:space="0" w:color="FFFFFF"/>
              <w:right w:val="nil"/>
            </w:tcBorders>
            <w:noWrap/>
            <w:vAlign w:val="center"/>
          </w:tcPr>
          <w:p w14:paraId="775457CE" w14:textId="77777777" w:rsidR="002E334B" w:rsidRPr="00C7065D" w:rsidRDefault="002E334B">
            <w:pPr>
              <w:ind w:right="72"/>
              <w:jc w:val="right"/>
              <w:rPr>
                <w:rFonts w:ascii="CAIXA Std Book" w:hAnsi="CAIXA Std Book" w:cs="Arial"/>
                <w:color w:val="005CA9"/>
                <w:sz w:val="18"/>
                <w:szCs w:val="18"/>
              </w:rPr>
            </w:pPr>
            <w:r w:rsidRPr="00C7065D">
              <w:rPr>
                <w:rFonts w:ascii="CAIXA Std Book" w:hAnsi="CAIXA Std Book" w:cs="Arial"/>
                <w:color w:val="005CA9"/>
                <w:sz w:val="18"/>
                <w:szCs w:val="18"/>
              </w:rPr>
              <w:t>293.460.576</w:t>
            </w:r>
          </w:p>
        </w:tc>
        <w:tc>
          <w:tcPr>
            <w:tcW w:w="2" w:type="pct"/>
            <w:vAlign w:val="center"/>
            <w:hideMark/>
          </w:tcPr>
          <w:p w14:paraId="79B963DB" w14:textId="77777777" w:rsidR="002E334B" w:rsidRPr="003058F2" w:rsidRDefault="002E334B">
            <w:pPr>
              <w:rPr>
                <w:rFonts w:ascii="CAIXA Std Book" w:hAnsi="CAIXA Std Book"/>
                <w:sz w:val="18"/>
                <w:szCs w:val="18"/>
              </w:rPr>
            </w:pPr>
          </w:p>
        </w:tc>
      </w:tr>
      <w:tr w:rsidR="002E334B" w14:paraId="2B5B018F" w14:textId="77777777" w:rsidTr="006E2693">
        <w:trPr>
          <w:trHeight w:val="283"/>
        </w:trPr>
        <w:tc>
          <w:tcPr>
            <w:tcW w:w="1605" w:type="pct"/>
            <w:tcBorders>
              <w:top w:val="nil"/>
              <w:left w:val="nil"/>
              <w:bottom w:val="single" w:sz="4" w:space="0" w:color="FFFFFF"/>
              <w:right w:val="nil"/>
            </w:tcBorders>
            <w:shd w:val="clear" w:color="000000" w:fill="FFFFFF"/>
            <w:noWrap/>
            <w:vAlign w:val="center"/>
            <w:hideMark/>
          </w:tcPr>
          <w:p w14:paraId="159D310A" w14:textId="77777777" w:rsidR="002E334B" w:rsidRDefault="002E334B">
            <w:pPr>
              <w:rPr>
                <w:rFonts w:ascii="CAIXA Std Book" w:hAnsi="CAIXA Std Book" w:cs="Calibri"/>
                <w:color w:val="005CA9"/>
                <w:sz w:val="18"/>
                <w:szCs w:val="18"/>
              </w:rPr>
            </w:pPr>
            <w:r w:rsidRPr="00A13447">
              <w:rPr>
                <w:rFonts w:ascii="CAIXA Std Book" w:eastAsia="Times New Roman" w:hAnsi="CAIXA Std Book" w:cs="Calibri"/>
                <w:color w:val="005CA9"/>
                <w:sz w:val="18"/>
                <w:szCs w:val="18"/>
              </w:rPr>
              <w:t>Títulos privados de instituições financeiras</w:t>
            </w:r>
          </w:p>
        </w:tc>
        <w:tc>
          <w:tcPr>
            <w:tcW w:w="678" w:type="pct"/>
            <w:tcBorders>
              <w:top w:val="nil"/>
              <w:left w:val="nil"/>
              <w:bottom w:val="single" w:sz="8" w:space="0" w:color="FFFFFF"/>
              <w:right w:val="nil"/>
            </w:tcBorders>
            <w:noWrap/>
            <w:vAlign w:val="center"/>
            <w:hideMark/>
          </w:tcPr>
          <w:p w14:paraId="4A6EFB8A" w14:textId="77777777" w:rsidR="002E334B" w:rsidRPr="00FD59D1" w:rsidRDefault="002E334B">
            <w:pPr>
              <w:jc w:val="right"/>
              <w:rPr>
                <w:rFonts w:ascii="CAIXA Std Book" w:hAnsi="CAIXA Std Book"/>
                <w:color w:val="005CA9"/>
                <w:sz w:val="18"/>
                <w:szCs w:val="18"/>
              </w:rPr>
            </w:pPr>
            <w:r>
              <w:rPr>
                <w:rFonts w:ascii="CAIXA Std Book" w:hAnsi="CAIXA Std Book"/>
                <w:color w:val="005CA9"/>
                <w:sz w:val="18"/>
                <w:szCs w:val="18"/>
              </w:rPr>
              <w:t>2.854.322</w:t>
            </w:r>
          </w:p>
        </w:tc>
        <w:tc>
          <w:tcPr>
            <w:tcW w:w="678" w:type="pct"/>
            <w:tcBorders>
              <w:top w:val="nil"/>
              <w:left w:val="nil"/>
              <w:bottom w:val="single" w:sz="8" w:space="0" w:color="FFFFFF"/>
              <w:right w:val="nil"/>
            </w:tcBorders>
            <w:noWrap/>
            <w:vAlign w:val="center"/>
          </w:tcPr>
          <w:p w14:paraId="1EB4ABBC" w14:textId="77777777" w:rsidR="002E334B" w:rsidRPr="00C7065D" w:rsidRDefault="002E334B">
            <w:pPr>
              <w:jc w:val="right"/>
              <w:rPr>
                <w:rFonts w:ascii="CAIXA Std Book" w:hAnsi="CAIXA Std Book" w:cs="Arial"/>
                <w:color w:val="005CA9"/>
                <w:sz w:val="18"/>
                <w:szCs w:val="18"/>
              </w:rPr>
            </w:pPr>
            <w:r w:rsidRPr="00C7065D">
              <w:rPr>
                <w:rFonts w:ascii="CAIXA Std Book" w:hAnsi="CAIXA Std Book" w:cs="Arial"/>
                <w:color w:val="005CA9"/>
                <w:sz w:val="18"/>
                <w:szCs w:val="18"/>
              </w:rPr>
              <w:t>(1.279.457)</w:t>
            </w:r>
          </w:p>
        </w:tc>
        <w:tc>
          <w:tcPr>
            <w:tcW w:w="678" w:type="pct"/>
            <w:tcBorders>
              <w:top w:val="nil"/>
              <w:left w:val="nil"/>
              <w:bottom w:val="single" w:sz="4" w:space="0" w:color="FFFFFF"/>
              <w:right w:val="nil"/>
            </w:tcBorders>
            <w:noWrap/>
            <w:vAlign w:val="center"/>
          </w:tcPr>
          <w:p w14:paraId="142D1388" w14:textId="77777777" w:rsidR="002E334B" w:rsidRPr="00C7065D" w:rsidRDefault="002E334B">
            <w:pPr>
              <w:jc w:val="center"/>
              <w:rPr>
                <w:rFonts w:ascii="CAIXA Std Book" w:hAnsi="CAIXA Std Book" w:cs="Arial"/>
                <w:color w:val="005CA9"/>
                <w:sz w:val="18"/>
                <w:szCs w:val="18"/>
              </w:rPr>
            </w:pPr>
            <w:r w:rsidRPr="00C7065D">
              <w:rPr>
                <w:rFonts w:ascii="CAIXA Std Book" w:hAnsi="CAIXA Std Book" w:cs="Arial"/>
                <w:color w:val="005CA9"/>
                <w:sz w:val="18"/>
                <w:szCs w:val="18"/>
              </w:rPr>
              <w:t>-</w:t>
            </w:r>
          </w:p>
        </w:tc>
        <w:tc>
          <w:tcPr>
            <w:tcW w:w="678" w:type="pct"/>
            <w:tcBorders>
              <w:top w:val="nil"/>
              <w:left w:val="nil"/>
              <w:bottom w:val="single" w:sz="4" w:space="0" w:color="FFFFFF"/>
              <w:right w:val="nil"/>
            </w:tcBorders>
            <w:noWrap/>
            <w:vAlign w:val="center"/>
          </w:tcPr>
          <w:p w14:paraId="2052FFC8" w14:textId="77777777" w:rsidR="002E334B" w:rsidRPr="00C7065D" w:rsidRDefault="002E334B">
            <w:pPr>
              <w:jc w:val="center"/>
              <w:rPr>
                <w:rFonts w:ascii="CAIXA Std Book" w:hAnsi="CAIXA Std Book" w:cs="Arial"/>
                <w:color w:val="005CA9"/>
                <w:sz w:val="18"/>
                <w:szCs w:val="18"/>
              </w:rPr>
            </w:pPr>
            <w:r w:rsidRPr="00C7065D">
              <w:rPr>
                <w:rFonts w:ascii="CAIXA Std Book" w:hAnsi="CAIXA Std Book" w:cs="Arial"/>
                <w:color w:val="005CA9"/>
                <w:sz w:val="18"/>
                <w:szCs w:val="18"/>
              </w:rPr>
              <w:t>-</w:t>
            </w:r>
          </w:p>
        </w:tc>
        <w:tc>
          <w:tcPr>
            <w:tcW w:w="681" w:type="pct"/>
            <w:tcBorders>
              <w:top w:val="nil"/>
              <w:left w:val="nil"/>
              <w:bottom w:val="single" w:sz="8" w:space="0" w:color="FFFFFF"/>
              <w:right w:val="nil"/>
            </w:tcBorders>
            <w:noWrap/>
            <w:vAlign w:val="center"/>
          </w:tcPr>
          <w:p w14:paraId="2B2B580D" w14:textId="77777777" w:rsidR="002E334B" w:rsidRPr="00C7065D" w:rsidRDefault="002E334B">
            <w:pPr>
              <w:ind w:right="72"/>
              <w:jc w:val="right"/>
              <w:rPr>
                <w:rFonts w:ascii="CAIXA Std Book" w:hAnsi="CAIXA Std Book" w:cs="Arial"/>
                <w:color w:val="005CA9"/>
                <w:sz w:val="18"/>
                <w:szCs w:val="18"/>
              </w:rPr>
            </w:pPr>
            <w:r w:rsidRPr="00C7065D">
              <w:rPr>
                <w:rFonts w:ascii="CAIXA Std Book" w:hAnsi="CAIXA Std Book" w:cs="Arial"/>
                <w:color w:val="005CA9"/>
                <w:sz w:val="18"/>
                <w:szCs w:val="18"/>
              </w:rPr>
              <w:t>1.574.865</w:t>
            </w:r>
          </w:p>
        </w:tc>
        <w:tc>
          <w:tcPr>
            <w:tcW w:w="2" w:type="pct"/>
            <w:vAlign w:val="center"/>
            <w:hideMark/>
          </w:tcPr>
          <w:p w14:paraId="38DDADA2" w14:textId="77777777" w:rsidR="002E334B" w:rsidRPr="003058F2" w:rsidRDefault="002E334B">
            <w:pPr>
              <w:rPr>
                <w:rFonts w:ascii="CAIXA Std Book" w:hAnsi="CAIXA Std Book"/>
                <w:sz w:val="18"/>
                <w:szCs w:val="18"/>
              </w:rPr>
            </w:pPr>
          </w:p>
        </w:tc>
      </w:tr>
      <w:tr w:rsidR="002E334B" w14:paraId="1ED8CF68" w14:textId="77777777" w:rsidTr="006E2693">
        <w:trPr>
          <w:trHeight w:val="283"/>
        </w:trPr>
        <w:tc>
          <w:tcPr>
            <w:tcW w:w="1605" w:type="pct"/>
            <w:tcBorders>
              <w:top w:val="nil"/>
              <w:left w:val="nil"/>
              <w:bottom w:val="single" w:sz="4" w:space="0" w:color="FFFFFF"/>
              <w:right w:val="nil"/>
            </w:tcBorders>
            <w:shd w:val="clear" w:color="000000" w:fill="FFFFFF"/>
            <w:noWrap/>
            <w:vAlign w:val="center"/>
            <w:hideMark/>
          </w:tcPr>
          <w:p w14:paraId="5D579F64" w14:textId="77777777" w:rsidR="002E334B" w:rsidRDefault="002E334B">
            <w:pPr>
              <w:rPr>
                <w:rFonts w:ascii="CAIXA Std Book" w:hAnsi="CAIXA Std Book" w:cs="Calibri"/>
                <w:color w:val="005CA9"/>
                <w:sz w:val="18"/>
                <w:szCs w:val="18"/>
              </w:rPr>
            </w:pPr>
            <w:r w:rsidRPr="00A13447">
              <w:rPr>
                <w:rFonts w:ascii="CAIXA Std Book" w:eastAsia="Times New Roman" w:hAnsi="CAIXA Std Book" w:cs="Calibri"/>
                <w:color w:val="005CA9"/>
                <w:sz w:val="18"/>
                <w:szCs w:val="18"/>
              </w:rPr>
              <w:t>Títulos privados de entidades não financeiras</w:t>
            </w:r>
          </w:p>
        </w:tc>
        <w:tc>
          <w:tcPr>
            <w:tcW w:w="678" w:type="pct"/>
            <w:tcBorders>
              <w:top w:val="nil"/>
              <w:left w:val="nil"/>
              <w:bottom w:val="single" w:sz="8" w:space="0" w:color="FFFFFF"/>
              <w:right w:val="nil"/>
            </w:tcBorders>
            <w:noWrap/>
            <w:vAlign w:val="center"/>
            <w:hideMark/>
          </w:tcPr>
          <w:p w14:paraId="058AB45F" w14:textId="77777777" w:rsidR="002E334B" w:rsidRPr="002811C9" w:rsidRDefault="002E334B">
            <w:pPr>
              <w:jc w:val="right"/>
              <w:rPr>
                <w:rFonts w:ascii="CAIXA Std Book" w:hAnsi="CAIXA Std Book"/>
                <w:color w:val="005CA9"/>
                <w:sz w:val="18"/>
                <w:szCs w:val="18"/>
              </w:rPr>
            </w:pPr>
            <w:r>
              <w:rPr>
                <w:rFonts w:ascii="CAIXA Std Book" w:hAnsi="CAIXA Std Book"/>
                <w:color w:val="005CA9"/>
                <w:sz w:val="18"/>
                <w:szCs w:val="18"/>
              </w:rPr>
              <w:t>8.979.453</w:t>
            </w:r>
          </w:p>
        </w:tc>
        <w:tc>
          <w:tcPr>
            <w:tcW w:w="678" w:type="pct"/>
            <w:tcBorders>
              <w:top w:val="nil"/>
              <w:left w:val="nil"/>
              <w:bottom w:val="single" w:sz="8" w:space="0" w:color="FFFFFF"/>
              <w:right w:val="nil"/>
            </w:tcBorders>
            <w:noWrap/>
            <w:vAlign w:val="center"/>
          </w:tcPr>
          <w:p w14:paraId="35364959" w14:textId="77777777" w:rsidR="002E334B" w:rsidRPr="00C7065D" w:rsidRDefault="002E334B">
            <w:pPr>
              <w:jc w:val="right"/>
              <w:rPr>
                <w:rFonts w:ascii="CAIXA Std Book" w:hAnsi="CAIXA Std Book" w:cs="Arial"/>
                <w:color w:val="005CA9"/>
                <w:sz w:val="18"/>
                <w:szCs w:val="18"/>
              </w:rPr>
            </w:pPr>
            <w:r w:rsidRPr="00C7065D">
              <w:rPr>
                <w:rFonts w:ascii="CAIXA Std Book" w:hAnsi="CAIXA Std Book" w:cs="Arial"/>
                <w:color w:val="005CA9"/>
                <w:sz w:val="18"/>
                <w:szCs w:val="18"/>
              </w:rPr>
              <w:t>4.965.064</w:t>
            </w:r>
          </w:p>
        </w:tc>
        <w:tc>
          <w:tcPr>
            <w:tcW w:w="678" w:type="pct"/>
            <w:tcBorders>
              <w:top w:val="nil"/>
              <w:left w:val="nil"/>
              <w:bottom w:val="single" w:sz="4" w:space="0" w:color="FFFFFF"/>
              <w:right w:val="nil"/>
            </w:tcBorders>
            <w:noWrap/>
            <w:vAlign w:val="center"/>
          </w:tcPr>
          <w:p w14:paraId="7EA8B4F1" w14:textId="77777777" w:rsidR="002E334B" w:rsidRPr="00C7065D" w:rsidRDefault="002E334B">
            <w:pPr>
              <w:jc w:val="right"/>
              <w:rPr>
                <w:rFonts w:ascii="CAIXA Std Book" w:hAnsi="CAIXA Std Book" w:cs="Arial"/>
                <w:color w:val="005CA9"/>
                <w:sz w:val="18"/>
                <w:szCs w:val="18"/>
              </w:rPr>
            </w:pPr>
            <w:r w:rsidRPr="00C7065D">
              <w:rPr>
                <w:rFonts w:ascii="CAIXA Std Book" w:hAnsi="CAIXA Std Book" w:cs="Arial"/>
                <w:color w:val="005CA9"/>
                <w:sz w:val="18"/>
                <w:szCs w:val="18"/>
              </w:rPr>
              <w:t>(241.129)</w:t>
            </w:r>
          </w:p>
        </w:tc>
        <w:tc>
          <w:tcPr>
            <w:tcW w:w="678" w:type="pct"/>
            <w:tcBorders>
              <w:top w:val="nil"/>
              <w:left w:val="nil"/>
              <w:bottom w:val="single" w:sz="4" w:space="0" w:color="FFFFFF"/>
              <w:right w:val="nil"/>
            </w:tcBorders>
            <w:noWrap/>
            <w:vAlign w:val="center"/>
          </w:tcPr>
          <w:p w14:paraId="29328B0C" w14:textId="77777777" w:rsidR="002E334B" w:rsidRPr="00C7065D" w:rsidRDefault="002E334B">
            <w:pPr>
              <w:jc w:val="right"/>
              <w:rPr>
                <w:rFonts w:ascii="CAIXA Std Book" w:hAnsi="CAIXA Std Book" w:cs="Arial"/>
                <w:color w:val="005CA9"/>
                <w:sz w:val="18"/>
                <w:szCs w:val="18"/>
              </w:rPr>
            </w:pPr>
            <w:r w:rsidRPr="00C7065D">
              <w:rPr>
                <w:rFonts w:ascii="CAIXA Std Book" w:hAnsi="CAIXA Std Book" w:cs="Arial"/>
                <w:color w:val="005CA9"/>
                <w:sz w:val="18"/>
                <w:szCs w:val="18"/>
              </w:rPr>
              <w:t>(140.460)</w:t>
            </w:r>
          </w:p>
        </w:tc>
        <w:tc>
          <w:tcPr>
            <w:tcW w:w="681" w:type="pct"/>
            <w:tcBorders>
              <w:top w:val="nil"/>
              <w:left w:val="nil"/>
              <w:bottom w:val="single" w:sz="8" w:space="0" w:color="FFFFFF"/>
              <w:right w:val="nil"/>
            </w:tcBorders>
            <w:noWrap/>
            <w:vAlign w:val="center"/>
          </w:tcPr>
          <w:p w14:paraId="130D0AD4" w14:textId="77777777" w:rsidR="002E334B" w:rsidRPr="00C7065D" w:rsidRDefault="002E334B">
            <w:pPr>
              <w:ind w:right="72"/>
              <w:jc w:val="right"/>
              <w:rPr>
                <w:rFonts w:ascii="CAIXA Std Book" w:hAnsi="CAIXA Std Book" w:cs="Arial"/>
                <w:color w:val="005CA9"/>
                <w:sz w:val="18"/>
                <w:szCs w:val="18"/>
              </w:rPr>
            </w:pPr>
            <w:r w:rsidRPr="00C7065D">
              <w:rPr>
                <w:rFonts w:ascii="CAIXA Std Book" w:hAnsi="CAIXA Std Book" w:cs="Arial"/>
                <w:color w:val="005CA9"/>
                <w:sz w:val="18"/>
                <w:szCs w:val="18"/>
              </w:rPr>
              <w:t>13.562.928</w:t>
            </w:r>
          </w:p>
        </w:tc>
        <w:tc>
          <w:tcPr>
            <w:tcW w:w="2" w:type="pct"/>
            <w:vAlign w:val="center"/>
            <w:hideMark/>
          </w:tcPr>
          <w:p w14:paraId="766514B8" w14:textId="77777777" w:rsidR="002E334B" w:rsidRPr="003058F2" w:rsidRDefault="002E334B">
            <w:pPr>
              <w:rPr>
                <w:rFonts w:ascii="CAIXA Std Book" w:hAnsi="CAIXA Std Book"/>
                <w:sz w:val="18"/>
                <w:szCs w:val="18"/>
              </w:rPr>
            </w:pPr>
          </w:p>
        </w:tc>
      </w:tr>
      <w:tr w:rsidR="002E334B" w14:paraId="055AAA69" w14:textId="77777777" w:rsidTr="006E2693">
        <w:trPr>
          <w:trHeight w:val="283"/>
        </w:trPr>
        <w:tc>
          <w:tcPr>
            <w:tcW w:w="1605" w:type="pct"/>
            <w:tcBorders>
              <w:top w:val="nil"/>
              <w:left w:val="nil"/>
              <w:bottom w:val="single" w:sz="4" w:space="0" w:color="FFFFFF"/>
              <w:right w:val="nil"/>
            </w:tcBorders>
            <w:shd w:val="clear" w:color="000000" w:fill="FFFFFF"/>
            <w:noWrap/>
            <w:vAlign w:val="center"/>
            <w:hideMark/>
          </w:tcPr>
          <w:p w14:paraId="7E99864B" w14:textId="77777777" w:rsidR="002E334B" w:rsidRDefault="002E334B">
            <w:pPr>
              <w:rPr>
                <w:rFonts w:ascii="CAIXA Std Book" w:hAnsi="CAIXA Std Book" w:cs="Calibri"/>
                <w:color w:val="005CA9"/>
                <w:sz w:val="18"/>
                <w:szCs w:val="18"/>
              </w:rPr>
            </w:pPr>
            <w:r w:rsidRPr="00A13447">
              <w:rPr>
                <w:rFonts w:ascii="CAIXA Std Book" w:eastAsia="Times New Roman" w:hAnsi="CAIXA Std Book" w:cs="Calibri"/>
                <w:color w:val="005CA9"/>
                <w:sz w:val="18"/>
                <w:szCs w:val="18"/>
              </w:rPr>
              <w:t>Cotas de fundo de investimento</w:t>
            </w:r>
          </w:p>
        </w:tc>
        <w:tc>
          <w:tcPr>
            <w:tcW w:w="678" w:type="pct"/>
            <w:tcBorders>
              <w:top w:val="nil"/>
              <w:left w:val="nil"/>
              <w:bottom w:val="single" w:sz="8" w:space="0" w:color="FFFFFF"/>
              <w:right w:val="nil"/>
            </w:tcBorders>
            <w:noWrap/>
            <w:vAlign w:val="center"/>
            <w:hideMark/>
          </w:tcPr>
          <w:p w14:paraId="62C1F051" w14:textId="77777777" w:rsidR="002E334B" w:rsidRPr="00FD59D1" w:rsidRDefault="002E334B">
            <w:pPr>
              <w:jc w:val="right"/>
              <w:rPr>
                <w:rFonts w:ascii="CAIXA Std Book" w:hAnsi="CAIXA Std Book"/>
                <w:color w:val="005CA9"/>
                <w:sz w:val="18"/>
                <w:szCs w:val="18"/>
              </w:rPr>
            </w:pPr>
            <w:r>
              <w:rPr>
                <w:rFonts w:ascii="CAIXA Std Book" w:hAnsi="CAIXA Std Book"/>
                <w:color w:val="005CA9"/>
                <w:sz w:val="18"/>
                <w:szCs w:val="18"/>
              </w:rPr>
              <w:t>557.330</w:t>
            </w:r>
          </w:p>
        </w:tc>
        <w:tc>
          <w:tcPr>
            <w:tcW w:w="678" w:type="pct"/>
            <w:tcBorders>
              <w:top w:val="nil"/>
              <w:left w:val="nil"/>
              <w:bottom w:val="single" w:sz="8" w:space="0" w:color="FFFFFF"/>
              <w:right w:val="nil"/>
            </w:tcBorders>
            <w:noWrap/>
            <w:vAlign w:val="center"/>
          </w:tcPr>
          <w:p w14:paraId="452D440B" w14:textId="77777777" w:rsidR="002E334B" w:rsidRPr="00C7065D" w:rsidRDefault="002E334B">
            <w:pPr>
              <w:jc w:val="right"/>
              <w:rPr>
                <w:rFonts w:ascii="CAIXA Std Book" w:hAnsi="CAIXA Std Book" w:cs="Arial"/>
                <w:color w:val="005CA9"/>
                <w:sz w:val="18"/>
                <w:szCs w:val="18"/>
              </w:rPr>
            </w:pPr>
            <w:r w:rsidRPr="00C7065D">
              <w:rPr>
                <w:rFonts w:ascii="CAIXA Std Book" w:hAnsi="CAIXA Std Book" w:cs="Arial"/>
                <w:color w:val="005CA9"/>
                <w:sz w:val="18"/>
                <w:szCs w:val="18"/>
              </w:rPr>
              <w:t>(61.919)</w:t>
            </w:r>
          </w:p>
        </w:tc>
        <w:tc>
          <w:tcPr>
            <w:tcW w:w="678" w:type="pct"/>
            <w:tcBorders>
              <w:top w:val="nil"/>
              <w:left w:val="nil"/>
              <w:bottom w:val="single" w:sz="4" w:space="0" w:color="FFFFFF"/>
              <w:right w:val="nil"/>
            </w:tcBorders>
            <w:noWrap/>
            <w:vAlign w:val="center"/>
          </w:tcPr>
          <w:p w14:paraId="7498340F" w14:textId="77777777" w:rsidR="002E334B" w:rsidRPr="00C7065D" w:rsidRDefault="002E334B">
            <w:pPr>
              <w:jc w:val="center"/>
              <w:rPr>
                <w:rFonts w:ascii="CAIXA Std Book" w:hAnsi="CAIXA Std Book" w:cs="Arial"/>
                <w:color w:val="005CA9"/>
                <w:sz w:val="18"/>
                <w:szCs w:val="18"/>
              </w:rPr>
            </w:pPr>
            <w:r w:rsidRPr="00C7065D">
              <w:rPr>
                <w:rFonts w:ascii="CAIXA Std Book" w:hAnsi="CAIXA Std Book" w:cs="Arial"/>
                <w:color w:val="005CA9"/>
                <w:sz w:val="18"/>
                <w:szCs w:val="18"/>
              </w:rPr>
              <w:t>-</w:t>
            </w:r>
          </w:p>
        </w:tc>
        <w:tc>
          <w:tcPr>
            <w:tcW w:w="678" w:type="pct"/>
            <w:tcBorders>
              <w:top w:val="nil"/>
              <w:left w:val="nil"/>
              <w:bottom w:val="single" w:sz="4" w:space="0" w:color="FFFFFF"/>
              <w:right w:val="nil"/>
            </w:tcBorders>
            <w:noWrap/>
            <w:vAlign w:val="center"/>
          </w:tcPr>
          <w:p w14:paraId="0E120A08" w14:textId="77777777" w:rsidR="002E334B" w:rsidRPr="00C7065D" w:rsidRDefault="002E334B">
            <w:pPr>
              <w:jc w:val="center"/>
              <w:rPr>
                <w:rFonts w:ascii="CAIXA Std Book" w:hAnsi="CAIXA Std Book" w:cs="Arial"/>
                <w:color w:val="005CA9"/>
                <w:sz w:val="18"/>
                <w:szCs w:val="18"/>
              </w:rPr>
            </w:pPr>
            <w:r w:rsidRPr="00C7065D">
              <w:rPr>
                <w:rFonts w:ascii="CAIXA Std Book" w:hAnsi="CAIXA Std Book" w:cs="Arial"/>
                <w:color w:val="005CA9"/>
                <w:sz w:val="18"/>
                <w:szCs w:val="18"/>
              </w:rPr>
              <w:t>-</w:t>
            </w:r>
          </w:p>
        </w:tc>
        <w:tc>
          <w:tcPr>
            <w:tcW w:w="681" w:type="pct"/>
            <w:tcBorders>
              <w:top w:val="nil"/>
              <w:left w:val="nil"/>
              <w:bottom w:val="single" w:sz="8" w:space="0" w:color="FFFFFF"/>
              <w:right w:val="nil"/>
            </w:tcBorders>
            <w:noWrap/>
            <w:vAlign w:val="center"/>
          </w:tcPr>
          <w:p w14:paraId="65177BA4" w14:textId="77777777" w:rsidR="002E334B" w:rsidRPr="00C7065D" w:rsidRDefault="002E334B">
            <w:pPr>
              <w:ind w:right="72"/>
              <w:jc w:val="right"/>
              <w:rPr>
                <w:rFonts w:ascii="CAIXA Std Book" w:hAnsi="CAIXA Std Book" w:cs="Arial"/>
                <w:color w:val="005CA9"/>
                <w:sz w:val="18"/>
                <w:szCs w:val="18"/>
              </w:rPr>
            </w:pPr>
            <w:r w:rsidRPr="00C7065D">
              <w:rPr>
                <w:rFonts w:ascii="CAIXA Std Book" w:hAnsi="CAIXA Std Book" w:cs="Arial"/>
                <w:color w:val="005CA9"/>
                <w:sz w:val="18"/>
                <w:szCs w:val="18"/>
              </w:rPr>
              <w:t>495.411</w:t>
            </w:r>
          </w:p>
        </w:tc>
        <w:tc>
          <w:tcPr>
            <w:tcW w:w="2" w:type="pct"/>
            <w:vAlign w:val="center"/>
            <w:hideMark/>
          </w:tcPr>
          <w:p w14:paraId="50EF3F42" w14:textId="77777777" w:rsidR="002E334B" w:rsidRPr="003058F2" w:rsidRDefault="002E334B">
            <w:pPr>
              <w:rPr>
                <w:rFonts w:ascii="CAIXA Std Book" w:hAnsi="CAIXA Std Book"/>
                <w:sz w:val="18"/>
                <w:szCs w:val="18"/>
              </w:rPr>
            </w:pPr>
          </w:p>
        </w:tc>
      </w:tr>
      <w:tr w:rsidR="002E334B" w14:paraId="1CB86C46" w14:textId="77777777" w:rsidTr="006E2693">
        <w:trPr>
          <w:trHeight w:val="283"/>
        </w:trPr>
        <w:tc>
          <w:tcPr>
            <w:tcW w:w="1605" w:type="pct"/>
            <w:tcBorders>
              <w:top w:val="nil"/>
              <w:left w:val="nil"/>
              <w:right w:val="nil"/>
            </w:tcBorders>
            <w:shd w:val="clear" w:color="000000" w:fill="FFFFFF"/>
            <w:noWrap/>
            <w:vAlign w:val="center"/>
            <w:hideMark/>
          </w:tcPr>
          <w:p w14:paraId="0248330C" w14:textId="77777777" w:rsidR="002E334B" w:rsidRDefault="002E334B">
            <w:pPr>
              <w:rPr>
                <w:rFonts w:ascii="CAIXA Std Book" w:hAnsi="CAIXA Std Book" w:cs="Calibri"/>
                <w:color w:val="005CA9"/>
                <w:sz w:val="18"/>
                <w:szCs w:val="18"/>
              </w:rPr>
            </w:pPr>
            <w:r>
              <w:rPr>
                <w:rFonts w:ascii="CAIXA Std Book" w:eastAsia="Times New Roman" w:hAnsi="CAIXA Std Book" w:cs="Calibri"/>
                <w:color w:val="005CA9"/>
                <w:sz w:val="18"/>
                <w:szCs w:val="18"/>
              </w:rPr>
              <w:t xml:space="preserve">Ações </w:t>
            </w:r>
          </w:p>
        </w:tc>
        <w:tc>
          <w:tcPr>
            <w:tcW w:w="678" w:type="pct"/>
            <w:tcBorders>
              <w:top w:val="nil"/>
              <w:left w:val="nil"/>
              <w:right w:val="nil"/>
            </w:tcBorders>
            <w:noWrap/>
            <w:vAlign w:val="center"/>
            <w:hideMark/>
          </w:tcPr>
          <w:p w14:paraId="26DB0FFA" w14:textId="77777777" w:rsidR="002E334B" w:rsidRPr="00FD59D1" w:rsidRDefault="002E334B">
            <w:pPr>
              <w:jc w:val="right"/>
              <w:rPr>
                <w:rFonts w:ascii="CAIXA Std Book" w:hAnsi="CAIXA Std Book"/>
                <w:color w:val="005CA9"/>
                <w:sz w:val="18"/>
                <w:szCs w:val="18"/>
              </w:rPr>
            </w:pPr>
            <w:r>
              <w:rPr>
                <w:rFonts w:ascii="CAIXA Std Book" w:hAnsi="CAIXA Std Book"/>
                <w:color w:val="005CA9"/>
                <w:sz w:val="18"/>
                <w:szCs w:val="18"/>
              </w:rPr>
              <w:t>18.970</w:t>
            </w:r>
          </w:p>
        </w:tc>
        <w:tc>
          <w:tcPr>
            <w:tcW w:w="678" w:type="pct"/>
            <w:tcBorders>
              <w:top w:val="nil"/>
              <w:left w:val="nil"/>
              <w:right w:val="nil"/>
            </w:tcBorders>
            <w:noWrap/>
            <w:vAlign w:val="center"/>
          </w:tcPr>
          <w:p w14:paraId="3D00C1A4" w14:textId="77777777" w:rsidR="002E334B" w:rsidRPr="00C7065D" w:rsidRDefault="002E334B">
            <w:pPr>
              <w:jc w:val="center"/>
              <w:rPr>
                <w:rFonts w:ascii="CAIXA Std Book" w:hAnsi="CAIXA Std Book" w:cs="Arial"/>
                <w:color w:val="005CA9"/>
                <w:sz w:val="18"/>
                <w:szCs w:val="18"/>
              </w:rPr>
            </w:pPr>
            <w:r w:rsidRPr="00C7065D">
              <w:rPr>
                <w:rFonts w:ascii="CAIXA Std Book" w:hAnsi="CAIXA Std Book" w:cs="Arial"/>
                <w:color w:val="005CA9"/>
                <w:sz w:val="18"/>
                <w:szCs w:val="18"/>
              </w:rPr>
              <w:t>-</w:t>
            </w:r>
          </w:p>
        </w:tc>
        <w:tc>
          <w:tcPr>
            <w:tcW w:w="678" w:type="pct"/>
            <w:tcBorders>
              <w:top w:val="nil"/>
              <w:left w:val="nil"/>
              <w:right w:val="nil"/>
            </w:tcBorders>
            <w:noWrap/>
            <w:vAlign w:val="center"/>
          </w:tcPr>
          <w:p w14:paraId="6111768F" w14:textId="77777777" w:rsidR="002E334B" w:rsidRPr="00C7065D" w:rsidRDefault="002E334B">
            <w:pPr>
              <w:jc w:val="center"/>
              <w:rPr>
                <w:rFonts w:ascii="CAIXA Std Book" w:hAnsi="CAIXA Std Book" w:cs="Arial"/>
                <w:color w:val="005CA9"/>
                <w:sz w:val="18"/>
                <w:szCs w:val="18"/>
              </w:rPr>
            </w:pPr>
            <w:r w:rsidRPr="00C7065D">
              <w:rPr>
                <w:rFonts w:ascii="CAIXA Std Book" w:hAnsi="CAIXA Std Book" w:cs="Arial"/>
                <w:color w:val="005CA9"/>
                <w:sz w:val="18"/>
                <w:szCs w:val="18"/>
              </w:rPr>
              <w:t>-</w:t>
            </w:r>
          </w:p>
        </w:tc>
        <w:tc>
          <w:tcPr>
            <w:tcW w:w="678" w:type="pct"/>
            <w:tcBorders>
              <w:top w:val="nil"/>
              <w:left w:val="nil"/>
              <w:right w:val="nil"/>
            </w:tcBorders>
            <w:noWrap/>
            <w:vAlign w:val="center"/>
          </w:tcPr>
          <w:p w14:paraId="75FE3ED0" w14:textId="77777777" w:rsidR="002E334B" w:rsidRPr="00C7065D" w:rsidRDefault="002E334B">
            <w:pPr>
              <w:jc w:val="center"/>
              <w:rPr>
                <w:rFonts w:ascii="CAIXA Std Book" w:hAnsi="CAIXA Std Book" w:cs="Arial"/>
                <w:color w:val="005CA9"/>
                <w:sz w:val="18"/>
                <w:szCs w:val="18"/>
              </w:rPr>
            </w:pPr>
            <w:r w:rsidRPr="00C7065D">
              <w:rPr>
                <w:rFonts w:ascii="CAIXA Std Book" w:hAnsi="CAIXA Std Book" w:cs="Arial"/>
                <w:color w:val="005CA9"/>
                <w:sz w:val="18"/>
                <w:szCs w:val="18"/>
              </w:rPr>
              <w:t>-</w:t>
            </w:r>
          </w:p>
        </w:tc>
        <w:tc>
          <w:tcPr>
            <w:tcW w:w="681" w:type="pct"/>
            <w:tcBorders>
              <w:top w:val="nil"/>
              <w:left w:val="nil"/>
              <w:right w:val="nil"/>
            </w:tcBorders>
            <w:noWrap/>
            <w:vAlign w:val="center"/>
          </w:tcPr>
          <w:p w14:paraId="35BC9CDC" w14:textId="77777777" w:rsidR="002E334B" w:rsidRPr="00C7065D" w:rsidRDefault="002E334B">
            <w:pPr>
              <w:ind w:right="72"/>
              <w:jc w:val="right"/>
              <w:rPr>
                <w:rFonts w:ascii="CAIXA Std Book" w:hAnsi="CAIXA Std Book" w:cs="Arial"/>
                <w:color w:val="005CA9"/>
                <w:sz w:val="18"/>
                <w:szCs w:val="18"/>
              </w:rPr>
            </w:pPr>
            <w:r w:rsidRPr="00C7065D">
              <w:rPr>
                <w:rFonts w:ascii="CAIXA Std Book" w:hAnsi="CAIXA Std Book" w:cs="Arial"/>
                <w:color w:val="005CA9"/>
                <w:sz w:val="18"/>
                <w:szCs w:val="18"/>
              </w:rPr>
              <w:t>18.970</w:t>
            </w:r>
          </w:p>
        </w:tc>
        <w:tc>
          <w:tcPr>
            <w:tcW w:w="2" w:type="pct"/>
            <w:vAlign w:val="center"/>
            <w:hideMark/>
          </w:tcPr>
          <w:p w14:paraId="1FDA81F6" w14:textId="77777777" w:rsidR="002E334B" w:rsidRPr="003058F2" w:rsidRDefault="002E334B">
            <w:pPr>
              <w:rPr>
                <w:rFonts w:ascii="CAIXA Std Book" w:hAnsi="CAIXA Std Book"/>
                <w:sz w:val="18"/>
                <w:szCs w:val="18"/>
              </w:rPr>
            </w:pPr>
          </w:p>
        </w:tc>
      </w:tr>
      <w:tr w:rsidR="002E334B" w:rsidRPr="002F2FDB" w14:paraId="732F3F96" w14:textId="77777777" w:rsidTr="006E2693">
        <w:trPr>
          <w:trHeight w:val="283"/>
        </w:trPr>
        <w:tc>
          <w:tcPr>
            <w:tcW w:w="1605" w:type="pct"/>
            <w:tcBorders>
              <w:top w:val="nil"/>
              <w:left w:val="nil"/>
              <w:right w:val="nil"/>
            </w:tcBorders>
            <w:shd w:val="clear" w:color="auto" w:fill="005CA9"/>
            <w:noWrap/>
            <w:vAlign w:val="center"/>
            <w:hideMark/>
          </w:tcPr>
          <w:p w14:paraId="6A1E6BDB" w14:textId="77777777" w:rsidR="002E334B" w:rsidRDefault="002E334B">
            <w:pPr>
              <w:rPr>
                <w:rFonts w:ascii="CAIXA Std Book" w:hAnsi="CAIXA Std Book" w:cs="Calibri"/>
                <w:b/>
                <w:bCs/>
                <w:color w:val="FFFFFF"/>
                <w:sz w:val="18"/>
                <w:szCs w:val="18"/>
              </w:rPr>
            </w:pPr>
            <w:r>
              <w:rPr>
                <w:rFonts w:ascii="CAIXA Std Book" w:hAnsi="CAIXA Std Book" w:cs="Calibri"/>
                <w:b/>
                <w:bCs/>
                <w:color w:val="FFFFFF"/>
                <w:sz w:val="18"/>
                <w:szCs w:val="18"/>
              </w:rPr>
              <w:t>Total</w:t>
            </w:r>
          </w:p>
        </w:tc>
        <w:tc>
          <w:tcPr>
            <w:tcW w:w="678" w:type="pct"/>
            <w:tcBorders>
              <w:top w:val="nil"/>
              <w:left w:val="nil"/>
              <w:right w:val="nil"/>
            </w:tcBorders>
            <w:shd w:val="clear" w:color="auto" w:fill="005CA9"/>
            <w:noWrap/>
            <w:vAlign w:val="center"/>
            <w:hideMark/>
          </w:tcPr>
          <w:p w14:paraId="2C1C93C4" w14:textId="77777777" w:rsidR="002E334B" w:rsidRPr="002F2FDB" w:rsidRDefault="002E334B">
            <w:pPr>
              <w:jc w:val="right"/>
              <w:rPr>
                <w:rFonts w:ascii="CAIXA Std Book" w:hAnsi="CAIXA Std Book"/>
                <w:b/>
                <w:color w:val="FFFFFF"/>
                <w:sz w:val="18"/>
                <w:szCs w:val="18"/>
              </w:rPr>
            </w:pPr>
            <w:r>
              <w:rPr>
                <w:rFonts w:ascii="CAIXA Std Book" w:hAnsi="CAIXA Std Book"/>
                <w:b/>
                <w:bCs/>
                <w:color w:val="FFFFFF"/>
                <w:sz w:val="18"/>
                <w:szCs w:val="18"/>
              </w:rPr>
              <w:t>174.493.321</w:t>
            </w:r>
          </w:p>
        </w:tc>
        <w:tc>
          <w:tcPr>
            <w:tcW w:w="678" w:type="pct"/>
            <w:tcBorders>
              <w:top w:val="nil"/>
              <w:left w:val="nil"/>
              <w:right w:val="nil"/>
            </w:tcBorders>
            <w:shd w:val="clear" w:color="auto" w:fill="005CA9"/>
            <w:noWrap/>
            <w:vAlign w:val="center"/>
          </w:tcPr>
          <w:p w14:paraId="5F5D8C8F" w14:textId="77777777" w:rsidR="002E334B" w:rsidRPr="00C7065D" w:rsidRDefault="002E334B">
            <w:pPr>
              <w:jc w:val="right"/>
              <w:rPr>
                <w:rFonts w:ascii="CAIXA Std Book" w:hAnsi="CAIXA Std Book" w:cs="Arial"/>
                <w:b/>
                <w:color w:val="FFFFFF"/>
                <w:sz w:val="18"/>
                <w:szCs w:val="18"/>
              </w:rPr>
            </w:pPr>
            <w:r>
              <w:rPr>
                <w:rFonts w:ascii="CAIXA Std Book" w:hAnsi="CAIXA Std Book" w:cs="Arial"/>
                <w:b/>
                <w:bCs/>
                <w:color w:val="FFFFFF"/>
                <w:sz w:val="18"/>
                <w:szCs w:val="18"/>
              </w:rPr>
              <w:t>135.001.018</w:t>
            </w:r>
          </w:p>
        </w:tc>
        <w:tc>
          <w:tcPr>
            <w:tcW w:w="678" w:type="pct"/>
            <w:tcBorders>
              <w:top w:val="nil"/>
              <w:left w:val="nil"/>
              <w:right w:val="nil"/>
            </w:tcBorders>
            <w:shd w:val="clear" w:color="auto" w:fill="005CA9"/>
            <w:noWrap/>
            <w:vAlign w:val="center"/>
          </w:tcPr>
          <w:p w14:paraId="22E6394B" w14:textId="77777777" w:rsidR="002E334B" w:rsidRPr="00C7065D" w:rsidRDefault="002E334B">
            <w:pPr>
              <w:jc w:val="right"/>
              <w:rPr>
                <w:rFonts w:ascii="CAIXA Std Book" w:hAnsi="CAIXA Std Book" w:cs="Arial"/>
                <w:b/>
                <w:color w:val="FFFFFF"/>
                <w:sz w:val="18"/>
                <w:szCs w:val="18"/>
              </w:rPr>
            </w:pPr>
            <w:r>
              <w:rPr>
                <w:rFonts w:ascii="CAIXA Std Book" w:hAnsi="CAIXA Std Book" w:cs="Arial"/>
                <w:b/>
                <w:bCs/>
                <w:color w:val="FFFFFF"/>
                <w:sz w:val="18"/>
                <w:szCs w:val="18"/>
              </w:rPr>
              <w:t>(241.129)</w:t>
            </w:r>
          </w:p>
        </w:tc>
        <w:tc>
          <w:tcPr>
            <w:tcW w:w="678" w:type="pct"/>
            <w:tcBorders>
              <w:top w:val="nil"/>
              <w:left w:val="nil"/>
              <w:right w:val="nil"/>
            </w:tcBorders>
            <w:shd w:val="clear" w:color="auto" w:fill="005CA9"/>
            <w:noWrap/>
            <w:vAlign w:val="center"/>
          </w:tcPr>
          <w:p w14:paraId="7530C8EF" w14:textId="77777777" w:rsidR="002E334B" w:rsidRPr="00C7065D" w:rsidRDefault="002E334B">
            <w:pPr>
              <w:jc w:val="right"/>
              <w:rPr>
                <w:rFonts w:ascii="CAIXA Std Book" w:hAnsi="CAIXA Std Book" w:cs="Arial"/>
                <w:b/>
                <w:color w:val="FFFFFF"/>
                <w:sz w:val="18"/>
                <w:szCs w:val="18"/>
              </w:rPr>
            </w:pPr>
            <w:r>
              <w:rPr>
                <w:rFonts w:ascii="CAIXA Std Book" w:hAnsi="CAIXA Std Book" w:cs="Arial"/>
                <w:b/>
                <w:bCs/>
                <w:color w:val="FFFFFF"/>
                <w:sz w:val="18"/>
                <w:szCs w:val="18"/>
              </w:rPr>
              <w:t>(140.460)</w:t>
            </w:r>
          </w:p>
        </w:tc>
        <w:tc>
          <w:tcPr>
            <w:tcW w:w="681" w:type="pct"/>
            <w:tcBorders>
              <w:top w:val="nil"/>
              <w:left w:val="nil"/>
              <w:right w:val="nil"/>
            </w:tcBorders>
            <w:shd w:val="clear" w:color="auto" w:fill="005CA9"/>
            <w:noWrap/>
            <w:vAlign w:val="center"/>
          </w:tcPr>
          <w:p w14:paraId="6B997F18" w14:textId="77777777" w:rsidR="002E334B" w:rsidRPr="00C7065D" w:rsidRDefault="002E334B">
            <w:pPr>
              <w:ind w:right="72"/>
              <w:jc w:val="right"/>
              <w:rPr>
                <w:rFonts w:ascii="CAIXA Std Book" w:hAnsi="CAIXA Std Book" w:cs="Arial"/>
                <w:b/>
                <w:color w:val="FFFFFF"/>
                <w:sz w:val="18"/>
                <w:szCs w:val="18"/>
              </w:rPr>
            </w:pPr>
            <w:r>
              <w:rPr>
                <w:rFonts w:ascii="CAIXA Std Book" w:hAnsi="CAIXA Std Book" w:cs="Arial"/>
                <w:b/>
                <w:bCs/>
                <w:color w:val="FFFFFF"/>
                <w:sz w:val="18"/>
                <w:szCs w:val="18"/>
              </w:rPr>
              <w:t>309.112.750</w:t>
            </w:r>
          </w:p>
        </w:tc>
        <w:tc>
          <w:tcPr>
            <w:tcW w:w="2" w:type="pct"/>
            <w:shd w:val="clear" w:color="auto" w:fill="005CA9"/>
            <w:vAlign w:val="center"/>
            <w:hideMark/>
          </w:tcPr>
          <w:p w14:paraId="7AADA8BC" w14:textId="77777777" w:rsidR="002E334B" w:rsidRPr="00D02175" w:rsidRDefault="002E334B">
            <w:pPr>
              <w:jc w:val="right"/>
              <w:rPr>
                <w:rFonts w:ascii="CAIXA Std Book" w:hAnsi="CAIXA Std Book"/>
                <w:b/>
                <w:color w:val="FFFFFF"/>
                <w:sz w:val="18"/>
                <w:szCs w:val="18"/>
              </w:rPr>
            </w:pPr>
          </w:p>
        </w:tc>
      </w:tr>
    </w:tbl>
    <w:p w14:paraId="1304E9F3" w14:textId="77777777" w:rsidR="002E334B" w:rsidRPr="002F2FDB" w:rsidRDefault="002E334B" w:rsidP="002E334B">
      <w:pPr>
        <w:jc w:val="right"/>
        <w:rPr>
          <w:rFonts w:ascii="CAIXA Std Book" w:hAnsi="CAIXA Std Book"/>
          <w:b/>
          <w:color w:val="FFFFFF"/>
          <w:sz w:val="18"/>
          <w:szCs w:val="18"/>
        </w:rPr>
      </w:pPr>
    </w:p>
    <w:p w14:paraId="02F85995" w14:textId="77777777" w:rsidR="0022487D" w:rsidRDefault="0022487D">
      <w:r>
        <w:br w:type="page"/>
      </w:r>
    </w:p>
    <w:tbl>
      <w:tblPr>
        <w:tblW w:w="5000" w:type="pct"/>
        <w:tblLayout w:type="fixed"/>
        <w:tblCellMar>
          <w:left w:w="70" w:type="dxa"/>
          <w:right w:w="70" w:type="dxa"/>
        </w:tblCellMar>
        <w:tblLook w:val="04A0" w:firstRow="1" w:lastRow="0" w:firstColumn="1" w:lastColumn="0" w:noHBand="0" w:noVBand="1"/>
      </w:tblPr>
      <w:tblGrid>
        <w:gridCol w:w="4820"/>
        <w:gridCol w:w="1985"/>
        <w:gridCol w:w="1914"/>
        <w:gridCol w:w="1949"/>
        <w:gridCol w:w="1949"/>
        <w:gridCol w:w="1952"/>
      </w:tblGrid>
      <w:tr w:rsidR="00C93589" w:rsidRPr="00A567AB" w14:paraId="0D8D5D53" w14:textId="77777777">
        <w:trPr>
          <w:trHeight w:val="330"/>
        </w:trPr>
        <w:tc>
          <w:tcPr>
            <w:tcW w:w="5000" w:type="pct"/>
            <w:gridSpan w:val="6"/>
            <w:tcBorders>
              <w:top w:val="nil"/>
              <w:left w:val="nil"/>
              <w:bottom w:val="single" w:sz="4" w:space="0" w:color="FFFFFF" w:themeColor="background1"/>
              <w:right w:val="nil"/>
            </w:tcBorders>
            <w:shd w:val="clear" w:color="auto" w:fill="005CA9"/>
            <w:noWrap/>
            <w:vAlign w:val="center"/>
            <w:hideMark/>
          </w:tcPr>
          <w:p w14:paraId="7ED35C6A" w14:textId="77777777" w:rsidR="00C93589" w:rsidRPr="00A567AB" w:rsidRDefault="00C93589">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Times New Roman"/>
                <w:b/>
                <w:bCs/>
                <w:color w:val="FFFFFF"/>
                <w:sz w:val="18"/>
                <w:szCs w:val="18"/>
              </w:rPr>
              <w:t>Individual / Consolidado</w:t>
            </w:r>
          </w:p>
        </w:tc>
      </w:tr>
      <w:tr w:rsidR="00C93589" w:rsidRPr="00A567AB" w14:paraId="2A7032E7" w14:textId="77777777" w:rsidTr="00C93589">
        <w:trPr>
          <w:trHeight w:val="855"/>
        </w:trPr>
        <w:tc>
          <w:tcPr>
            <w:tcW w:w="1654" w:type="pct"/>
            <w:tcBorders>
              <w:top w:val="single" w:sz="4" w:space="0" w:color="FFFFFF" w:themeColor="background1"/>
              <w:left w:val="nil"/>
              <w:bottom w:val="nil"/>
              <w:right w:val="nil"/>
            </w:tcBorders>
            <w:shd w:val="clear" w:color="auto" w:fill="005CA9"/>
            <w:vAlign w:val="center"/>
            <w:hideMark/>
          </w:tcPr>
          <w:p w14:paraId="0341F4B9" w14:textId="77777777" w:rsidR="00C93589" w:rsidRPr="00A567AB" w:rsidRDefault="00C93589">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Estágio 2</w:t>
            </w:r>
          </w:p>
        </w:tc>
        <w:tc>
          <w:tcPr>
            <w:tcW w:w="681" w:type="pct"/>
            <w:tcBorders>
              <w:top w:val="single" w:sz="4" w:space="0" w:color="FFFFFF" w:themeColor="background1"/>
              <w:left w:val="nil"/>
              <w:bottom w:val="nil"/>
              <w:right w:val="nil"/>
            </w:tcBorders>
            <w:shd w:val="clear" w:color="auto" w:fill="005CA9"/>
            <w:vAlign w:val="center"/>
            <w:hideMark/>
          </w:tcPr>
          <w:p w14:paraId="14562032" w14:textId="77777777" w:rsidR="00C93589" w:rsidRPr="00A567AB" w:rsidRDefault="00C93589">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Saldo em 31/12/2025</w:t>
            </w:r>
          </w:p>
        </w:tc>
        <w:tc>
          <w:tcPr>
            <w:tcW w:w="657" w:type="pct"/>
            <w:tcBorders>
              <w:top w:val="single" w:sz="4" w:space="0" w:color="FFFFFF" w:themeColor="background1"/>
              <w:left w:val="nil"/>
              <w:bottom w:val="nil"/>
              <w:right w:val="nil"/>
            </w:tcBorders>
            <w:shd w:val="clear" w:color="auto" w:fill="005CA9"/>
            <w:vAlign w:val="center"/>
            <w:hideMark/>
          </w:tcPr>
          <w:p w14:paraId="471DE07A" w14:textId="77777777" w:rsidR="00C93589" w:rsidRPr="00A567AB" w:rsidRDefault="00C93589">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Compra/</w:t>
            </w:r>
            <w:r>
              <w:rPr>
                <w:rFonts w:ascii="CAIXA Std Book" w:eastAsia="Times New Roman" w:hAnsi="CAIXA Std Book" w:cs="Calibri"/>
                <w:b/>
                <w:bCs/>
                <w:color w:val="FFFFFF"/>
                <w:sz w:val="18"/>
                <w:szCs w:val="18"/>
              </w:rPr>
              <w:t xml:space="preserve"> </w:t>
            </w:r>
            <w:r w:rsidRPr="00A567AB">
              <w:rPr>
                <w:rFonts w:ascii="CAIXA Std Book" w:eastAsia="Times New Roman" w:hAnsi="CAIXA Std Book" w:cs="Calibri"/>
                <w:b/>
                <w:bCs/>
                <w:color w:val="FFFFFF"/>
                <w:sz w:val="18"/>
                <w:szCs w:val="18"/>
              </w:rPr>
              <w:t>(liquidação)</w:t>
            </w:r>
          </w:p>
        </w:tc>
        <w:tc>
          <w:tcPr>
            <w:tcW w:w="669" w:type="pct"/>
            <w:tcBorders>
              <w:top w:val="single" w:sz="4" w:space="0" w:color="FFFFFF" w:themeColor="background1"/>
              <w:left w:val="nil"/>
              <w:bottom w:val="nil"/>
              <w:right w:val="nil"/>
            </w:tcBorders>
            <w:shd w:val="clear" w:color="auto" w:fill="005CA9"/>
            <w:vAlign w:val="center"/>
            <w:hideMark/>
          </w:tcPr>
          <w:p w14:paraId="60398FA5" w14:textId="77777777" w:rsidR="00C93589" w:rsidRPr="00A567AB" w:rsidRDefault="00C93589">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Transferência do/para estágio 1</w:t>
            </w:r>
          </w:p>
        </w:tc>
        <w:tc>
          <w:tcPr>
            <w:tcW w:w="669" w:type="pct"/>
            <w:tcBorders>
              <w:top w:val="single" w:sz="4" w:space="0" w:color="FFFFFF" w:themeColor="background1"/>
              <w:left w:val="nil"/>
              <w:bottom w:val="nil"/>
              <w:right w:val="nil"/>
            </w:tcBorders>
            <w:shd w:val="clear" w:color="auto" w:fill="005CA9"/>
            <w:vAlign w:val="center"/>
            <w:hideMark/>
          </w:tcPr>
          <w:p w14:paraId="1B48994A" w14:textId="77777777" w:rsidR="00C93589" w:rsidRPr="00A567AB" w:rsidRDefault="00C93589">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Transferência do/para estágio 3</w:t>
            </w:r>
          </w:p>
        </w:tc>
        <w:tc>
          <w:tcPr>
            <w:tcW w:w="670" w:type="pct"/>
            <w:tcBorders>
              <w:top w:val="single" w:sz="4" w:space="0" w:color="FFFFFF" w:themeColor="background1"/>
              <w:left w:val="nil"/>
              <w:bottom w:val="nil"/>
              <w:right w:val="nil"/>
            </w:tcBorders>
            <w:shd w:val="clear" w:color="auto" w:fill="005CA9"/>
            <w:vAlign w:val="center"/>
            <w:hideMark/>
          </w:tcPr>
          <w:p w14:paraId="4B2D7862" w14:textId="77777777" w:rsidR="00C93589" w:rsidRPr="00A567AB" w:rsidRDefault="00C93589">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Saldo em 31/</w:t>
            </w:r>
            <w:r>
              <w:rPr>
                <w:rFonts w:ascii="CAIXA Std Book" w:eastAsia="Times New Roman" w:hAnsi="CAIXA Std Book" w:cs="Calibri"/>
                <w:b/>
                <w:bCs/>
                <w:color w:val="FFFFFF"/>
                <w:sz w:val="18"/>
                <w:szCs w:val="18"/>
              </w:rPr>
              <w:t>03</w:t>
            </w:r>
            <w:r w:rsidRPr="00A567AB">
              <w:rPr>
                <w:rFonts w:ascii="CAIXA Std Book" w:eastAsia="Times New Roman" w:hAnsi="CAIXA Std Book" w:cs="Calibri"/>
                <w:b/>
                <w:bCs/>
                <w:color w:val="FFFFFF"/>
                <w:sz w:val="18"/>
                <w:szCs w:val="18"/>
              </w:rPr>
              <w:t>/202</w:t>
            </w:r>
            <w:r>
              <w:rPr>
                <w:rFonts w:ascii="CAIXA Std Book" w:eastAsia="Times New Roman" w:hAnsi="CAIXA Std Book" w:cs="Calibri"/>
                <w:b/>
                <w:bCs/>
                <w:color w:val="FFFFFF"/>
                <w:sz w:val="18"/>
                <w:szCs w:val="18"/>
              </w:rPr>
              <w:t>6</w:t>
            </w:r>
          </w:p>
        </w:tc>
      </w:tr>
      <w:tr w:rsidR="00C93589" w:rsidRPr="00A567AB" w14:paraId="15857DF7" w14:textId="77777777" w:rsidTr="00C93589">
        <w:trPr>
          <w:trHeight w:val="300"/>
        </w:trPr>
        <w:tc>
          <w:tcPr>
            <w:tcW w:w="1654" w:type="pct"/>
            <w:tcBorders>
              <w:top w:val="single" w:sz="4" w:space="0" w:color="FFFFFF"/>
              <w:left w:val="nil"/>
              <w:bottom w:val="nil"/>
              <w:right w:val="nil"/>
            </w:tcBorders>
            <w:shd w:val="clear" w:color="000000" w:fill="FFFFFF"/>
            <w:noWrap/>
            <w:vAlign w:val="center"/>
            <w:hideMark/>
          </w:tcPr>
          <w:p w14:paraId="2D5D7F97" w14:textId="77777777" w:rsidR="00C93589" w:rsidRPr="00A567AB" w:rsidRDefault="00C93589">
            <w:pPr>
              <w:rPr>
                <w:rFonts w:ascii="CAIXA Std Book" w:eastAsia="Times New Roman" w:hAnsi="CAIXA Std Book" w:cs="Times New Roman"/>
                <w:color w:val="005CA9"/>
                <w:sz w:val="18"/>
                <w:szCs w:val="18"/>
              </w:rPr>
            </w:pPr>
            <w:r w:rsidRPr="00A567AB">
              <w:rPr>
                <w:rFonts w:ascii="CAIXA Std Book" w:eastAsia="Times New Roman" w:hAnsi="CAIXA Std Book" w:cs="Times New Roman"/>
                <w:color w:val="005CA9"/>
                <w:sz w:val="18"/>
                <w:szCs w:val="18"/>
              </w:rPr>
              <w:t xml:space="preserve"> Títulos privados de entidades não financeiras</w:t>
            </w:r>
          </w:p>
        </w:tc>
        <w:tc>
          <w:tcPr>
            <w:tcW w:w="681" w:type="pct"/>
            <w:tcBorders>
              <w:top w:val="single" w:sz="4" w:space="0" w:color="FFFFFF"/>
              <w:left w:val="nil"/>
              <w:bottom w:val="nil"/>
              <w:right w:val="nil"/>
            </w:tcBorders>
            <w:noWrap/>
            <w:vAlign w:val="center"/>
            <w:hideMark/>
          </w:tcPr>
          <w:p w14:paraId="76F49C1E" w14:textId="77777777" w:rsidR="00C93589" w:rsidRPr="00A567AB" w:rsidRDefault="00C93589">
            <w:pPr>
              <w:jc w:val="right"/>
              <w:rPr>
                <w:rFonts w:ascii="CAIXA Std Book" w:eastAsia="Times New Roman" w:hAnsi="CAIXA Std Book" w:cs="Times New Roman"/>
                <w:color w:val="005CA9"/>
                <w:sz w:val="18"/>
                <w:szCs w:val="18"/>
              </w:rPr>
            </w:pPr>
            <w:r w:rsidRPr="00A567AB">
              <w:rPr>
                <w:rFonts w:ascii="CAIXA Std Book" w:eastAsia="Times New Roman" w:hAnsi="CAIXA Std Book" w:cs="Arial"/>
                <w:color w:val="005CA9"/>
                <w:sz w:val="18"/>
                <w:szCs w:val="18"/>
              </w:rPr>
              <w:t>423.164</w:t>
            </w:r>
          </w:p>
        </w:tc>
        <w:tc>
          <w:tcPr>
            <w:tcW w:w="657" w:type="pct"/>
            <w:tcBorders>
              <w:top w:val="single" w:sz="4" w:space="0" w:color="FFFFFF"/>
              <w:left w:val="nil"/>
              <w:bottom w:val="nil"/>
              <w:right w:val="nil"/>
            </w:tcBorders>
            <w:noWrap/>
            <w:vAlign w:val="center"/>
          </w:tcPr>
          <w:p w14:paraId="21162A0E" w14:textId="77777777" w:rsidR="00C93589" w:rsidRPr="00A567AB" w:rsidRDefault="00C93589">
            <w:pPr>
              <w:jc w:val="right"/>
              <w:rPr>
                <w:rFonts w:ascii="CAIXA Std Book" w:eastAsia="Times New Roman" w:hAnsi="CAIXA Std Book" w:cs="Times New Roman"/>
                <w:color w:val="005CA9"/>
                <w:sz w:val="18"/>
                <w:szCs w:val="18"/>
              </w:rPr>
            </w:pPr>
            <w:r>
              <w:rPr>
                <w:rFonts w:ascii="CAIXA Std Book" w:eastAsia="Times New Roman" w:hAnsi="CAIXA Std Book" w:cs="Arial"/>
                <w:color w:val="005CA9"/>
                <w:sz w:val="18"/>
                <w:szCs w:val="18"/>
              </w:rPr>
              <w:t>(</w:t>
            </w:r>
            <w:r w:rsidRPr="00A567AB">
              <w:rPr>
                <w:rFonts w:ascii="CAIXA Std Book" w:eastAsia="Times New Roman" w:hAnsi="CAIXA Std Book" w:cs="Arial"/>
                <w:color w:val="005CA9"/>
                <w:sz w:val="18"/>
                <w:szCs w:val="18"/>
              </w:rPr>
              <w:t>423.164</w:t>
            </w:r>
            <w:r>
              <w:rPr>
                <w:rFonts w:ascii="CAIXA Std Book" w:eastAsia="Times New Roman" w:hAnsi="CAIXA Std Book" w:cs="Arial"/>
                <w:color w:val="005CA9"/>
                <w:sz w:val="18"/>
                <w:szCs w:val="18"/>
              </w:rPr>
              <w:t>)</w:t>
            </w:r>
          </w:p>
        </w:tc>
        <w:tc>
          <w:tcPr>
            <w:tcW w:w="669" w:type="pct"/>
            <w:tcBorders>
              <w:top w:val="single" w:sz="4" w:space="0" w:color="FFFFFF"/>
              <w:left w:val="nil"/>
              <w:bottom w:val="nil"/>
              <w:right w:val="nil"/>
            </w:tcBorders>
            <w:noWrap/>
            <w:vAlign w:val="center"/>
          </w:tcPr>
          <w:p w14:paraId="6A581800" w14:textId="77777777" w:rsidR="00C93589" w:rsidRPr="00A567AB" w:rsidRDefault="00C93589">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w:t>
            </w:r>
          </w:p>
        </w:tc>
        <w:tc>
          <w:tcPr>
            <w:tcW w:w="669" w:type="pct"/>
            <w:tcBorders>
              <w:top w:val="single" w:sz="4" w:space="0" w:color="FFFFFF"/>
              <w:left w:val="nil"/>
              <w:bottom w:val="nil"/>
              <w:right w:val="nil"/>
            </w:tcBorders>
            <w:noWrap/>
            <w:vAlign w:val="center"/>
          </w:tcPr>
          <w:p w14:paraId="509DABB0" w14:textId="77777777" w:rsidR="00C93589" w:rsidRPr="00A567AB" w:rsidRDefault="00C93589">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w:t>
            </w:r>
          </w:p>
        </w:tc>
        <w:tc>
          <w:tcPr>
            <w:tcW w:w="670" w:type="pct"/>
            <w:tcBorders>
              <w:top w:val="single" w:sz="4" w:space="0" w:color="FFFFFF"/>
              <w:left w:val="nil"/>
              <w:bottom w:val="nil"/>
              <w:right w:val="nil"/>
            </w:tcBorders>
            <w:noWrap/>
            <w:vAlign w:val="center"/>
          </w:tcPr>
          <w:p w14:paraId="4BD06A29" w14:textId="77777777" w:rsidR="00C93589" w:rsidRPr="00A567AB" w:rsidRDefault="00C93589">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w:t>
            </w:r>
          </w:p>
        </w:tc>
      </w:tr>
      <w:tr w:rsidR="00C93589" w:rsidRPr="00A567AB" w14:paraId="4DE69674" w14:textId="77777777" w:rsidTr="00C93589">
        <w:trPr>
          <w:trHeight w:val="300"/>
        </w:trPr>
        <w:tc>
          <w:tcPr>
            <w:tcW w:w="1654" w:type="pct"/>
            <w:tcBorders>
              <w:top w:val="nil"/>
              <w:left w:val="nil"/>
              <w:bottom w:val="nil"/>
              <w:right w:val="nil"/>
            </w:tcBorders>
            <w:shd w:val="clear" w:color="auto" w:fill="005CA9"/>
            <w:noWrap/>
            <w:vAlign w:val="center"/>
            <w:hideMark/>
          </w:tcPr>
          <w:p w14:paraId="3D3E22C1" w14:textId="77777777" w:rsidR="00C93589" w:rsidRPr="00A567AB" w:rsidRDefault="00C93589">
            <w:pP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Total</w:t>
            </w:r>
          </w:p>
        </w:tc>
        <w:tc>
          <w:tcPr>
            <w:tcW w:w="681" w:type="pct"/>
            <w:tcBorders>
              <w:top w:val="nil"/>
              <w:left w:val="nil"/>
              <w:bottom w:val="nil"/>
              <w:right w:val="nil"/>
            </w:tcBorders>
            <w:shd w:val="clear" w:color="auto" w:fill="005CA9"/>
            <w:noWrap/>
            <w:vAlign w:val="center"/>
            <w:hideMark/>
          </w:tcPr>
          <w:p w14:paraId="13C81E88" w14:textId="77777777" w:rsidR="00C93589" w:rsidRPr="00A567AB" w:rsidRDefault="00C93589">
            <w:pPr>
              <w:jc w:val="right"/>
              <w:rPr>
                <w:rFonts w:ascii="CAIXA Std Book" w:eastAsia="Times New Roman" w:hAnsi="CAIXA Std Book" w:cs="Times New Roman"/>
                <w:b/>
                <w:bCs/>
                <w:color w:val="FFFFFF"/>
                <w:sz w:val="18"/>
                <w:szCs w:val="18"/>
              </w:rPr>
            </w:pPr>
            <w:r w:rsidRPr="00A567AB">
              <w:rPr>
                <w:rFonts w:ascii="CAIXA Std Book" w:eastAsia="Times New Roman" w:hAnsi="CAIXA Std Book" w:cs="Arial"/>
                <w:b/>
                <w:bCs/>
                <w:color w:val="FFFFFF"/>
                <w:sz w:val="18"/>
                <w:szCs w:val="18"/>
              </w:rPr>
              <w:t>423.164</w:t>
            </w:r>
          </w:p>
        </w:tc>
        <w:tc>
          <w:tcPr>
            <w:tcW w:w="657" w:type="pct"/>
            <w:tcBorders>
              <w:top w:val="nil"/>
              <w:left w:val="nil"/>
              <w:bottom w:val="nil"/>
              <w:right w:val="nil"/>
            </w:tcBorders>
            <w:shd w:val="clear" w:color="auto" w:fill="005CA9"/>
            <w:noWrap/>
            <w:vAlign w:val="center"/>
          </w:tcPr>
          <w:p w14:paraId="7F4807C4" w14:textId="77777777" w:rsidR="00C93589" w:rsidRPr="00A567AB" w:rsidRDefault="00C93589">
            <w:pPr>
              <w:jc w:val="right"/>
              <w:rPr>
                <w:rFonts w:ascii="CAIXA Std Book" w:eastAsia="Times New Roman" w:hAnsi="CAIXA Std Book" w:cs="Times New Roman"/>
                <w:b/>
                <w:bCs/>
                <w:color w:val="FFFFFF"/>
                <w:sz w:val="18"/>
                <w:szCs w:val="18"/>
              </w:rPr>
            </w:pPr>
            <w:r>
              <w:rPr>
                <w:rFonts w:ascii="CAIXA Std Book" w:eastAsia="Times New Roman" w:hAnsi="CAIXA Std Book" w:cs="Arial"/>
                <w:b/>
                <w:bCs/>
                <w:color w:val="FFFFFF"/>
                <w:sz w:val="18"/>
                <w:szCs w:val="18"/>
              </w:rPr>
              <w:t>(</w:t>
            </w:r>
            <w:r w:rsidRPr="00A567AB">
              <w:rPr>
                <w:rFonts w:ascii="CAIXA Std Book" w:eastAsia="Times New Roman" w:hAnsi="CAIXA Std Book" w:cs="Arial"/>
                <w:b/>
                <w:bCs/>
                <w:color w:val="FFFFFF"/>
                <w:sz w:val="18"/>
                <w:szCs w:val="18"/>
              </w:rPr>
              <w:t>423.164</w:t>
            </w:r>
            <w:r>
              <w:rPr>
                <w:rFonts w:ascii="CAIXA Std Book" w:eastAsia="Times New Roman" w:hAnsi="CAIXA Std Book" w:cs="Arial"/>
                <w:b/>
                <w:bCs/>
                <w:color w:val="FFFFFF"/>
                <w:sz w:val="18"/>
                <w:szCs w:val="18"/>
              </w:rPr>
              <w:t>)</w:t>
            </w:r>
          </w:p>
        </w:tc>
        <w:tc>
          <w:tcPr>
            <w:tcW w:w="669" w:type="pct"/>
            <w:tcBorders>
              <w:top w:val="nil"/>
              <w:left w:val="nil"/>
              <w:bottom w:val="nil"/>
              <w:right w:val="nil"/>
            </w:tcBorders>
            <w:shd w:val="clear" w:color="auto" w:fill="005CA9"/>
            <w:noWrap/>
            <w:vAlign w:val="center"/>
          </w:tcPr>
          <w:p w14:paraId="095EEB88" w14:textId="77777777" w:rsidR="00C93589" w:rsidRPr="00A567AB" w:rsidRDefault="00C93589">
            <w:pPr>
              <w:jc w:val="center"/>
              <w:rPr>
                <w:rFonts w:ascii="CAIXA Std Book" w:eastAsia="Times New Roman" w:hAnsi="CAIXA Std Book" w:cs="Times New Roman"/>
                <w:b/>
                <w:bCs/>
                <w:color w:val="FFFFFF"/>
                <w:sz w:val="18"/>
                <w:szCs w:val="18"/>
              </w:rPr>
            </w:pPr>
            <w:r>
              <w:rPr>
                <w:rFonts w:ascii="CAIXA Std Book" w:hAnsi="CAIXA Std Book" w:cs="Arial"/>
                <w:b/>
                <w:bCs/>
                <w:color w:val="FFFFFF"/>
                <w:sz w:val="18"/>
                <w:szCs w:val="18"/>
              </w:rPr>
              <w:t>-</w:t>
            </w:r>
          </w:p>
        </w:tc>
        <w:tc>
          <w:tcPr>
            <w:tcW w:w="669" w:type="pct"/>
            <w:tcBorders>
              <w:top w:val="nil"/>
              <w:left w:val="nil"/>
              <w:bottom w:val="nil"/>
              <w:right w:val="nil"/>
            </w:tcBorders>
            <w:shd w:val="clear" w:color="auto" w:fill="005CA9"/>
            <w:noWrap/>
            <w:vAlign w:val="center"/>
          </w:tcPr>
          <w:p w14:paraId="197E87AA" w14:textId="77777777" w:rsidR="00C93589" w:rsidRPr="00A567AB" w:rsidRDefault="00C93589">
            <w:pPr>
              <w:jc w:val="center"/>
              <w:rPr>
                <w:rFonts w:ascii="CAIXA Std Book" w:eastAsia="Times New Roman" w:hAnsi="CAIXA Std Book" w:cs="Times New Roman"/>
                <w:b/>
                <w:bCs/>
                <w:color w:val="FFFFFF"/>
                <w:sz w:val="18"/>
                <w:szCs w:val="18"/>
              </w:rPr>
            </w:pPr>
            <w:r>
              <w:rPr>
                <w:rFonts w:ascii="CAIXA Std Book" w:hAnsi="CAIXA Std Book" w:cs="Arial"/>
                <w:b/>
                <w:bCs/>
                <w:color w:val="FFFFFF"/>
                <w:sz w:val="18"/>
                <w:szCs w:val="18"/>
              </w:rPr>
              <w:t>-</w:t>
            </w:r>
          </w:p>
        </w:tc>
        <w:tc>
          <w:tcPr>
            <w:tcW w:w="670" w:type="pct"/>
            <w:tcBorders>
              <w:top w:val="nil"/>
              <w:left w:val="nil"/>
              <w:bottom w:val="nil"/>
              <w:right w:val="nil"/>
            </w:tcBorders>
            <w:shd w:val="clear" w:color="auto" w:fill="005CA9"/>
            <w:noWrap/>
            <w:vAlign w:val="center"/>
          </w:tcPr>
          <w:p w14:paraId="262754A2" w14:textId="77777777" w:rsidR="00C93589" w:rsidRPr="00A567AB" w:rsidRDefault="00C93589">
            <w:pPr>
              <w:jc w:val="center"/>
              <w:rPr>
                <w:rFonts w:ascii="CAIXA Std Book" w:eastAsia="Times New Roman" w:hAnsi="CAIXA Std Book" w:cs="Times New Roman"/>
                <w:b/>
                <w:bCs/>
                <w:color w:val="FFFFFF"/>
                <w:sz w:val="18"/>
                <w:szCs w:val="18"/>
              </w:rPr>
            </w:pPr>
            <w:r>
              <w:rPr>
                <w:rFonts w:ascii="CAIXA Std Book" w:hAnsi="CAIXA Std Book" w:cs="Arial"/>
                <w:b/>
                <w:bCs/>
                <w:color w:val="FFFFFF"/>
                <w:sz w:val="18"/>
                <w:szCs w:val="18"/>
              </w:rPr>
              <w:t>-</w:t>
            </w:r>
          </w:p>
        </w:tc>
      </w:tr>
    </w:tbl>
    <w:p w14:paraId="2226C48C" w14:textId="77777777" w:rsidR="00C93589" w:rsidRDefault="00C93589" w:rsidP="00C93589">
      <w:pPr>
        <w:rPr>
          <w:rFonts w:ascii="CAIXA Std Book" w:eastAsia="Times New Roman" w:hAnsi="CAIXA Std Book" w:cs="Arial"/>
          <w:color w:val="005CA9"/>
        </w:rPr>
      </w:pPr>
    </w:p>
    <w:tbl>
      <w:tblPr>
        <w:tblW w:w="5000" w:type="pct"/>
        <w:tblLayout w:type="fixed"/>
        <w:tblCellMar>
          <w:left w:w="70" w:type="dxa"/>
          <w:right w:w="70" w:type="dxa"/>
        </w:tblCellMar>
        <w:tblLook w:val="04A0" w:firstRow="1" w:lastRow="0" w:firstColumn="1" w:lastColumn="0" w:noHBand="0" w:noVBand="1"/>
      </w:tblPr>
      <w:tblGrid>
        <w:gridCol w:w="4820"/>
        <w:gridCol w:w="1950"/>
        <w:gridCol w:w="1949"/>
        <w:gridCol w:w="1949"/>
        <w:gridCol w:w="1949"/>
        <w:gridCol w:w="1952"/>
      </w:tblGrid>
      <w:tr w:rsidR="002E334B" w:rsidRPr="00A567AB" w14:paraId="23983489" w14:textId="77777777" w:rsidTr="00702F34">
        <w:trPr>
          <w:trHeight w:val="283"/>
        </w:trPr>
        <w:tc>
          <w:tcPr>
            <w:tcW w:w="5000" w:type="pct"/>
            <w:gridSpan w:val="6"/>
            <w:tcBorders>
              <w:top w:val="nil"/>
              <w:left w:val="nil"/>
              <w:bottom w:val="single" w:sz="4" w:space="0" w:color="FFFFFF" w:themeColor="background1"/>
              <w:right w:val="nil"/>
            </w:tcBorders>
            <w:shd w:val="clear" w:color="auto" w:fill="005CA9"/>
            <w:noWrap/>
            <w:vAlign w:val="center"/>
            <w:hideMark/>
          </w:tcPr>
          <w:p w14:paraId="444EF19F" w14:textId="77777777" w:rsidR="002E334B" w:rsidRPr="00A567AB" w:rsidRDefault="002E334B">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Times New Roman"/>
                <w:b/>
                <w:bCs/>
                <w:color w:val="FFFFFF"/>
                <w:sz w:val="18"/>
                <w:szCs w:val="18"/>
              </w:rPr>
              <w:t>Individual / Consolidado</w:t>
            </w:r>
          </w:p>
        </w:tc>
      </w:tr>
      <w:tr w:rsidR="002E334B" w:rsidRPr="00A567AB" w14:paraId="0A2F581B" w14:textId="77777777" w:rsidTr="00C93589">
        <w:trPr>
          <w:trHeight w:val="283"/>
        </w:trPr>
        <w:tc>
          <w:tcPr>
            <w:tcW w:w="1654" w:type="pct"/>
            <w:tcBorders>
              <w:top w:val="single" w:sz="4" w:space="0" w:color="FFFFFF" w:themeColor="background1"/>
              <w:left w:val="nil"/>
              <w:bottom w:val="nil"/>
              <w:right w:val="nil"/>
            </w:tcBorders>
            <w:shd w:val="clear" w:color="auto" w:fill="005CA9"/>
            <w:vAlign w:val="center"/>
            <w:hideMark/>
          </w:tcPr>
          <w:p w14:paraId="21242218" w14:textId="77777777" w:rsidR="002E334B" w:rsidRPr="00A567AB" w:rsidRDefault="002E334B">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Estágio 2</w:t>
            </w:r>
          </w:p>
        </w:tc>
        <w:tc>
          <w:tcPr>
            <w:tcW w:w="669" w:type="pct"/>
            <w:tcBorders>
              <w:top w:val="single" w:sz="4" w:space="0" w:color="FFFFFF" w:themeColor="background1"/>
              <w:left w:val="nil"/>
              <w:bottom w:val="nil"/>
              <w:right w:val="nil"/>
            </w:tcBorders>
            <w:shd w:val="clear" w:color="auto" w:fill="005CA9"/>
            <w:vAlign w:val="center"/>
            <w:hideMark/>
          </w:tcPr>
          <w:p w14:paraId="023CC0A6" w14:textId="77777777" w:rsidR="002E334B" w:rsidRPr="00A567AB" w:rsidRDefault="002E334B">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Saldo em 01/01/2025</w:t>
            </w:r>
          </w:p>
        </w:tc>
        <w:tc>
          <w:tcPr>
            <w:tcW w:w="669" w:type="pct"/>
            <w:tcBorders>
              <w:top w:val="single" w:sz="4" w:space="0" w:color="FFFFFF" w:themeColor="background1"/>
              <w:left w:val="nil"/>
              <w:bottom w:val="nil"/>
              <w:right w:val="nil"/>
            </w:tcBorders>
            <w:shd w:val="clear" w:color="auto" w:fill="005CA9"/>
            <w:vAlign w:val="center"/>
            <w:hideMark/>
          </w:tcPr>
          <w:p w14:paraId="6FB7502E" w14:textId="77777777" w:rsidR="00BB59DB" w:rsidRDefault="002E334B">
            <w:pPr>
              <w:jc w:val="center"/>
              <w:rPr>
                <w:rFonts w:ascii="CAIXA Std Book" w:eastAsia="Times New Roman" w:hAnsi="CAIXA Std Book" w:cs="Calibri"/>
                <w:b/>
                <w:bCs/>
                <w:color w:val="FFFFFF"/>
                <w:sz w:val="18"/>
                <w:szCs w:val="18"/>
              </w:rPr>
            </w:pPr>
            <w:r w:rsidRPr="00A567AB">
              <w:rPr>
                <w:rFonts w:ascii="CAIXA Std Book" w:eastAsia="Times New Roman" w:hAnsi="CAIXA Std Book" w:cs="Calibri"/>
                <w:b/>
                <w:bCs/>
                <w:color w:val="FFFFFF"/>
                <w:sz w:val="18"/>
                <w:szCs w:val="18"/>
              </w:rPr>
              <w:t>Compra/</w:t>
            </w:r>
          </w:p>
          <w:p w14:paraId="668BF789" w14:textId="77777777" w:rsidR="002E334B" w:rsidRPr="00A567AB" w:rsidRDefault="002E334B">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(liquidação)</w:t>
            </w:r>
          </w:p>
        </w:tc>
        <w:tc>
          <w:tcPr>
            <w:tcW w:w="669" w:type="pct"/>
            <w:tcBorders>
              <w:top w:val="single" w:sz="4" w:space="0" w:color="FFFFFF" w:themeColor="background1"/>
              <w:left w:val="nil"/>
              <w:bottom w:val="nil"/>
              <w:right w:val="nil"/>
            </w:tcBorders>
            <w:shd w:val="clear" w:color="auto" w:fill="005CA9"/>
            <w:vAlign w:val="center"/>
            <w:hideMark/>
          </w:tcPr>
          <w:p w14:paraId="22A4393C" w14:textId="77777777" w:rsidR="002E334B" w:rsidRPr="00A567AB" w:rsidRDefault="002E334B">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Transferência do/para estágio 1</w:t>
            </w:r>
          </w:p>
        </w:tc>
        <w:tc>
          <w:tcPr>
            <w:tcW w:w="669" w:type="pct"/>
            <w:tcBorders>
              <w:top w:val="single" w:sz="4" w:space="0" w:color="FFFFFF" w:themeColor="background1"/>
              <w:left w:val="nil"/>
              <w:bottom w:val="nil"/>
              <w:right w:val="nil"/>
            </w:tcBorders>
            <w:shd w:val="clear" w:color="auto" w:fill="005CA9"/>
            <w:vAlign w:val="center"/>
            <w:hideMark/>
          </w:tcPr>
          <w:p w14:paraId="11346CF2" w14:textId="77777777" w:rsidR="002E334B" w:rsidRPr="00A567AB" w:rsidRDefault="002E334B">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Transferência do/para estágio 3</w:t>
            </w:r>
          </w:p>
        </w:tc>
        <w:tc>
          <w:tcPr>
            <w:tcW w:w="669" w:type="pct"/>
            <w:tcBorders>
              <w:top w:val="single" w:sz="4" w:space="0" w:color="FFFFFF" w:themeColor="background1"/>
              <w:left w:val="nil"/>
              <w:bottom w:val="nil"/>
              <w:right w:val="nil"/>
            </w:tcBorders>
            <w:shd w:val="clear" w:color="auto" w:fill="005CA9"/>
            <w:vAlign w:val="center"/>
            <w:hideMark/>
          </w:tcPr>
          <w:p w14:paraId="23443198" w14:textId="77777777" w:rsidR="002E334B" w:rsidRPr="00A567AB" w:rsidRDefault="002E334B">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Saldo em 31/12/2025</w:t>
            </w:r>
          </w:p>
        </w:tc>
      </w:tr>
      <w:tr w:rsidR="002E334B" w:rsidRPr="00A567AB" w14:paraId="5859EB2A" w14:textId="77777777" w:rsidTr="00C93589">
        <w:trPr>
          <w:trHeight w:val="283"/>
        </w:trPr>
        <w:tc>
          <w:tcPr>
            <w:tcW w:w="1654" w:type="pct"/>
            <w:tcBorders>
              <w:top w:val="single" w:sz="4" w:space="0" w:color="FFFFFF"/>
              <w:left w:val="nil"/>
              <w:bottom w:val="nil"/>
              <w:right w:val="nil"/>
            </w:tcBorders>
            <w:shd w:val="clear" w:color="000000" w:fill="FFFFFF"/>
            <w:noWrap/>
            <w:vAlign w:val="center"/>
            <w:hideMark/>
          </w:tcPr>
          <w:p w14:paraId="5553CD03" w14:textId="77777777" w:rsidR="002E334B" w:rsidRPr="00A567AB" w:rsidRDefault="002E334B">
            <w:pPr>
              <w:rPr>
                <w:rFonts w:ascii="CAIXA Std Book" w:eastAsia="Times New Roman" w:hAnsi="CAIXA Std Book" w:cs="Times New Roman"/>
                <w:color w:val="005CA9"/>
                <w:sz w:val="18"/>
                <w:szCs w:val="18"/>
              </w:rPr>
            </w:pPr>
            <w:r w:rsidRPr="00A567AB">
              <w:rPr>
                <w:rFonts w:ascii="CAIXA Std Book" w:eastAsia="Times New Roman" w:hAnsi="CAIXA Std Book" w:cs="Times New Roman"/>
                <w:color w:val="005CA9"/>
                <w:sz w:val="18"/>
                <w:szCs w:val="18"/>
              </w:rPr>
              <w:t xml:space="preserve"> Títulos privados de entidades não financeiras</w:t>
            </w:r>
          </w:p>
        </w:tc>
        <w:tc>
          <w:tcPr>
            <w:tcW w:w="669" w:type="pct"/>
            <w:tcBorders>
              <w:top w:val="single" w:sz="4" w:space="0" w:color="FFFFFF"/>
              <w:left w:val="nil"/>
              <w:bottom w:val="nil"/>
              <w:right w:val="nil"/>
            </w:tcBorders>
            <w:noWrap/>
            <w:vAlign w:val="center"/>
            <w:hideMark/>
          </w:tcPr>
          <w:p w14:paraId="0AECD7B1" w14:textId="77777777" w:rsidR="002E334B" w:rsidRPr="00A567AB" w:rsidRDefault="002E334B">
            <w:pPr>
              <w:jc w:val="center"/>
              <w:rPr>
                <w:rFonts w:ascii="CAIXA Std Book" w:eastAsia="Times New Roman" w:hAnsi="CAIXA Std Book" w:cs="Times New Roman"/>
                <w:color w:val="005CA9"/>
                <w:sz w:val="18"/>
                <w:szCs w:val="18"/>
              </w:rPr>
            </w:pPr>
            <w:r w:rsidRPr="00A567AB">
              <w:rPr>
                <w:rFonts w:ascii="CAIXA Std Book" w:eastAsia="Times New Roman" w:hAnsi="CAIXA Std Book" w:cs="Times New Roman"/>
                <w:color w:val="005CA9"/>
                <w:sz w:val="18"/>
                <w:szCs w:val="18"/>
              </w:rPr>
              <w:t>-</w:t>
            </w:r>
          </w:p>
        </w:tc>
        <w:tc>
          <w:tcPr>
            <w:tcW w:w="669" w:type="pct"/>
            <w:tcBorders>
              <w:top w:val="single" w:sz="4" w:space="0" w:color="FFFFFF"/>
              <w:left w:val="nil"/>
              <w:bottom w:val="nil"/>
              <w:right w:val="nil"/>
            </w:tcBorders>
            <w:noWrap/>
            <w:vAlign w:val="center"/>
            <w:hideMark/>
          </w:tcPr>
          <w:p w14:paraId="3B1B4E7C" w14:textId="77777777" w:rsidR="002E334B" w:rsidRPr="00A567AB" w:rsidRDefault="002E334B">
            <w:pPr>
              <w:jc w:val="right"/>
              <w:rPr>
                <w:rFonts w:ascii="CAIXA Std Book" w:eastAsia="Times New Roman" w:hAnsi="CAIXA Std Book" w:cs="Times New Roman"/>
                <w:color w:val="005CA9"/>
                <w:sz w:val="18"/>
                <w:szCs w:val="18"/>
              </w:rPr>
            </w:pPr>
            <w:r w:rsidRPr="00A567AB">
              <w:rPr>
                <w:rFonts w:ascii="CAIXA Std Book" w:eastAsia="Times New Roman" w:hAnsi="CAIXA Std Book" w:cs="Arial"/>
                <w:color w:val="005CA9"/>
                <w:sz w:val="18"/>
                <w:szCs w:val="18"/>
              </w:rPr>
              <w:t>182.035</w:t>
            </w:r>
          </w:p>
        </w:tc>
        <w:tc>
          <w:tcPr>
            <w:tcW w:w="669" w:type="pct"/>
            <w:tcBorders>
              <w:top w:val="single" w:sz="4" w:space="0" w:color="FFFFFF"/>
              <w:left w:val="nil"/>
              <w:bottom w:val="nil"/>
              <w:right w:val="nil"/>
            </w:tcBorders>
            <w:noWrap/>
            <w:vAlign w:val="center"/>
            <w:hideMark/>
          </w:tcPr>
          <w:p w14:paraId="219EB2D5" w14:textId="77777777" w:rsidR="002E334B" w:rsidRPr="00A567AB" w:rsidRDefault="002E334B">
            <w:pPr>
              <w:jc w:val="right"/>
              <w:rPr>
                <w:rFonts w:ascii="CAIXA Std Book" w:eastAsia="Times New Roman" w:hAnsi="CAIXA Std Book" w:cs="Times New Roman"/>
                <w:color w:val="005CA9"/>
                <w:sz w:val="18"/>
                <w:szCs w:val="18"/>
              </w:rPr>
            </w:pPr>
            <w:r w:rsidRPr="00A567AB">
              <w:rPr>
                <w:rFonts w:ascii="CAIXA Std Book" w:eastAsia="Times New Roman" w:hAnsi="CAIXA Std Book" w:cs="Arial"/>
                <w:color w:val="005CA9"/>
                <w:sz w:val="18"/>
                <w:szCs w:val="18"/>
              </w:rPr>
              <w:t>241.129</w:t>
            </w:r>
          </w:p>
        </w:tc>
        <w:tc>
          <w:tcPr>
            <w:tcW w:w="669" w:type="pct"/>
            <w:tcBorders>
              <w:top w:val="single" w:sz="4" w:space="0" w:color="FFFFFF"/>
              <w:left w:val="nil"/>
              <w:bottom w:val="nil"/>
              <w:right w:val="nil"/>
            </w:tcBorders>
            <w:noWrap/>
            <w:vAlign w:val="center"/>
            <w:hideMark/>
          </w:tcPr>
          <w:p w14:paraId="603F494D" w14:textId="77777777" w:rsidR="002E334B" w:rsidRPr="00A567AB" w:rsidRDefault="002E334B">
            <w:pPr>
              <w:jc w:val="center"/>
              <w:rPr>
                <w:rFonts w:ascii="CAIXA Std Book" w:eastAsia="Times New Roman" w:hAnsi="CAIXA Std Book" w:cs="Times New Roman"/>
                <w:color w:val="005CA9"/>
                <w:sz w:val="18"/>
                <w:szCs w:val="18"/>
              </w:rPr>
            </w:pPr>
            <w:r w:rsidRPr="00A567AB">
              <w:rPr>
                <w:rFonts w:ascii="CAIXA Std Book" w:eastAsia="Times New Roman" w:hAnsi="CAIXA Std Book" w:cs="Arial"/>
                <w:color w:val="005CA9"/>
                <w:sz w:val="18"/>
                <w:szCs w:val="18"/>
              </w:rPr>
              <w:t>-</w:t>
            </w:r>
          </w:p>
        </w:tc>
        <w:tc>
          <w:tcPr>
            <w:tcW w:w="669" w:type="pct"/>
            <w:tcBorders>
              <w:top w:val="single" w:sz="4" w:space="0" w:color="FFFFFF"/>
              <w:left w:val="nil"/>
              <w:bottom w:val="nil"/>
              <w:right w:val="nil"/>
            </w:tcBorders>
            <w:noWrap/>
            <w:vAlign w:val="center"/>
            <w:hideMark/>
          </w:tcPr>
          <w:p w14:paraId="76EC0A74" w14:textId="77777777" w:rsidR="002E334B" w:rsidRPr="00A567AB" w:rsidRDefault="002E334B">
            <w:pPr>
              <w:jc w:val="right"/>
              <w:rPr>
                <w:rFonts w:ascii="CAIXA Std Book" w:eastAsia="Times New Roman" w:hAnsi="CAIXA Std Book" w:cs="Times New Roman"/>
                <w:color w:val="005CA9"/>
                <w:sz w:val="18"/>
                <w:szCs w:val="18"/>
              </w:rPr>
            </w:pPr>
            <w:r w:rsidRPr="00A567AB">
              <w:rPr>
                <w:rFonts w:ascii="CAIXA Std Book" w:eastAsia="Times New Roman" w:hAnsi="CAIXA Std Book" w:cs="Arial"/>
                <w:color w:val="005CA9"/>
                <w:sz w:val="18"/>
                <w:szCs w:val="18"/>
              </w:rPr>
              <w:t>423.164</w:t>
            </w:r>
          </w:p>
        </w:tc>
      </w:tr>
      <w:tr w:rsidR="002E334B" w:rsidRPr="00A567AB" w14:paraId="1B2B7A9E" w14:textId="77777777" w:rsidTr="00C93589">
        <w:trPr>
          <w:trHeight w:val="283"/>
        </w:trPr>
        <w:tc>
          <w:tcPr>
            <w:tcW w:w="1654" w:type="pct"/>
            <w:tcBorders>
              <w:top w:val="nil"/>
              <w:left w:val="nil"/>
              <w:bottom w:val="nil"/>
              <w:right w:val="nil"/>
            </w:tcBorders>
            <w:shd w:val="clear" w:color="auto" w:fill="005CA9"/>
            <w:noWrap/>
            <w:vAlign w:val="center"/>
            <w:hideMark/>
          </w:tcPr>
          <w:p w14:paraId="0C9FA12C" w14:textId="77777777" w:rsidR="002E334B" w:rsidRPr="00A567AB" w:rsidRDefault="002E334B">
            <w:pP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Total</w:t>
            </w:r>
          </w:p>
        </w:tc>
        <w:tc>
          <w:tcPr>
            <w:tcW w:w="669" w:type="pct"/>
            <w:tcBorders>
              <w:top w:val="nil"/>
              <w:left w:val="nil"/>
              <w:bottom w:val="nil"/>
              <w:right w:val="nil"/>
            </w:tcBorders>
            <w:shd w:val="clear" w:color="auto" w:fill="005CA9"/>
            <w:noWrap/>
            <w:vAlign w:val="center"/>
            <w:hideMark/>
          </w:tcPr>
          <w:p w14:paraId="62F6D293" w14:textId="77777777" w:rsidR="002E334B" w:rsidRPr="00A567AB" w:rsidRDefault="002E334B">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Arial"/>
                <w:b/>
                <w:bCs/>
                <w:color w:val="FFFFFF"/>
                <w:sz w:val="18"/>
                <w:szCs w:val="18"/>
              </w:rPr>
              <w:t>-</w:t>
            </w:r>
          </w:p>
        </w:tc>
        <w:tc>
          <w:tcPr>
            <w:tcW w:w="669" w:type="pct"/>
            <w:tcBorders>
              <w:top w:val="nil"/>
              <w:left w:val="nil"/>
              <w:bottom w:val="nil"/>
              <w:right w:val="nil"/>
            </w:tcBorders>
            <w:shd w:val="clear" w:color="auto" w:fill="005CA9"/>
            <w:noWrap/>
            <w:vAlign w:val="center"/>
            <w:hideMark/>
          </w:tcPr>
          <w:p w14:paraId="31F93715" w14:textId="77777777" w:rsidR="002E334B" w:rsidRPr="00A567AB" w:rsidRDefault="002E334B">
            <w:pPr>
              <w:jc w:val="right"/>
              <w:rPr>
                <w:rFonts w:ascii="CAIXA Std Book" w:eastAsia="Times New Roman" w:hAnsi="CAIXA Std Book" w:cs="Times New Roman"/>
                <w:b/>
                <w:bCs/>
                <w:color w:val="FFFFFF"/>
                <w:sz w:val="18"/>
                <w:szCs w:val="18"/>
              </w:rPr>
            </w:pPr>
            <w:r w:rsidRPr="00A567AB">
              <w:rPr>
                <w:rFonts w:ascii="CAIXA Std Book" w:eastAsia="Times New Roman" w:hAnsi="CAIXA Std Book" w:cs="Arial"/>
                <w:b/>
                <w:bCs/>
                <w:color w:val="FFFFFF"/>
                <w:sz w:val="18"/>
                <w:szCs w:val="18"/>
              </w:rPr>
              <w:t>182.035</w:t>
            </w:r>
          </w:p>
        </w:tc>
        <w:tc>
          <w:tcPr>
            <w:tcW w:w="669" w:type="pct"/>
            <w:tcBorders>
              <w:top w:val="nil"/>
              <w:left w:val="nil"/>
              <w:bottom w:val="nil"/>
              <w:right w:val="nil"/>
            </w:tcBorders>
            <w:shd w:val="clear" w:color="auto" w:fill="005CA9"/>
            <w:noWrap/>
            <w:vAlign w:val="center"/>
            <w:hideMark/>
          </w:tcPr>
          <w:p w14:paraId="40C2E6C3" w14:textId="77777777" w:rsidR="002E334B" w:rsidRPr="00A567AB" w:rsidRDefault="002E334B">
            <w:pPr>
              <w:jc w:val="right"/>
              <w:rPr>
                <w:rFonts w:ascii="CAIXA Std Book" w:eastAsia="Times New Roman" w:hAnsi="CAIXA Std Book" w:cs="Times New Roman"/>
                <w:b/>
                <w:bCs/>
                <w:color w:val="FFFFFF"/>
                <w:sz w:val="18"/>
                <w:szCs w:val="18"/>
              </w:rPr>
            </w:pPr>
            <w:r w:rsidRPr="00A567AB">
              <w:rPr>
                <w:rFonts w:ascii="CAIXA Std Book" w:eastAsia="Times New Roman" w:hAnsi="CAIXA Std Book" w:cs="Arial"/>
                <w:b/>
                <w:bCs/>
                <w:color w:val="FFFFFF"/>
                <w:sz w:val="18"/>
                <w:szCs w:val="18"/>
              </w:rPr>
              <w:t>241.129</w:t>
            </w:r>
          </w:p>
        </w:tc>
        <w:tc>
          <w:tcPr>
            <w:tcW w:w="669" w:type="pct"/>
            <w:tcBorders>
              <w:top w:val="nil"/>
              <w:left w:val="nil"/>
              <w:bottom w:val="nil"/>
              <w:right w:val="nil"/>
            </w:tcBorders>
            <w:shd w:val="clear" w:color="auto" w:fill="005CA9"/>
            <w:noWrap/>
            <w:vAlign w:val="center"/>
            <w:hideMark/>
          </w:tcPr>
          <w:p w14:paraId="101BA148" w14:textId="77777777" w:rsidR="002E334B" w:rsidRPr="00A567AB" w:rsidRDefault="00D51E27">
            <w:pPr>
              <w:jc w:val="center"/>
              <w:rPr>
                <w:rFonts w:ascii="CAIXA Std Book" w:eastAsia="Times New Roman" w:hAnsi="CAIXA Std Book" w:cs="Times New Roman"/>
                <w:b/>
                <w:bCs/>
                <w:color w:val="FFFFFF"/>
                <w:sz w:val="18"/>
                <w:szCs w:val="18"/>
              </w:rPr>
            </w:pPr>
            <w:r>
              <w:rPr>
                <w:rFonts w:ascii="CAIXA Std Book" w:eastAsia="Times New Roman" w:hAnsi="CAIXA Std Book" w:cs="Times New Roman"/>
                <w:b/>
                <w:bCs/>
                <w:color w:val="FFFFFF"/>
                <w:sz w:val="18"/>
                <w:szCs w:val="18"/>
              </w:rPr>
              <w:t>-</w:t>
            </w:r>
          </w:p>
        </w:tc>
        <w:tc>
          <w:tcPr>
            <w:tcW w:w="669" w:type="pct"/>
            <w:tcBorders>
              <w:top w:val="nil"/>
              <w:left w:val="nil"/>
              <w:bottom w:val="nil"/>
              <w:right w:val="nil"/>
            </w:tcBorders>
            <w:shd w:val="clear" w:color="auto" w:fill="005CA9"/>
            <w:noWrap/>
            <w:vAlign w:val="center"/>
            <w:hideMark/>
          </w:tcPr>
          <w:p w14:paraId="0F0703DA" w14:textId="77777777" w:rsidR="002E334B" w:rsidRPr="00A567AB" w:rsidRDefault="002E334B">
            <w:pPr>
              <w:jc w:val="right"/>
              <w:rPr>
                <w:rFonts w:ascii="CAIXA Std Book" w:eastAsia="Times New Roman" w:hAnsi="CAIXA Std Book" w:cs="Times New Roman"/>
                <w:b/>
                <w:bCs/>
                <w:color w:val="FFFFFF"/>
                <w:sz w:val="18"/>
                <w:szCs w:val="18"/>
              </w:rPr>
            </w:pPr>
            <w:r w:rsidRPr="00A567AB">
              <w:rPr>
                <w:rFonts w:ascii="CAIXA Std Book" w:eastAsia="Times New Roman" w:hAnsi="CAIXA Std Book" w:cs="Arial"/>
                <w:b/>
                <w:bCs/>
                <w:color w:val="FFFFFF"/>
                <w:sz w:val="18"/>
                <w:szCs w:val="18"/>
              </w:rPr>
              <w:t>423.164</w:t>
            </w:r>
          </w:p>
        </w:tc>
      </w:tr>
    </w:tbl>
    <w:p w14:paraId="6E0BD09E" w14:textId="77777777" w:rsidR="002E334B" w:rsidRDefault="002E334B" w:rsidP="002E334B">
      <w:pPr>
        <w:rPr>
          <w:rFonts w:ascii="CAIXA Std Book" w:eastAsia="Times New Roman" w:hAnsi="CAIXA Std Book" w:cs="Arial"/>
          <w:color w:val="005CA9"/>
        </w:rPr>
      </w:pPr>
    </w:p>
    <w:tbl>
      <w:tblPr>
        <w:tblW w:w="5000" w:type="pct"/>
        <w:tblLayout w:type="fixed"/>
        <w:tblCellMar>
          <w:left w:w="70" w:type="dxa"/>
          <w:right w:w="70" w:type="dxa"/>
        </w:tblCellMar>
        <w:tblLook w:val="04A0" w:firstRow="1" w:lastRow="0" w:firstColumn="1" w:lastColumn="0" w:noHBand="0" w:noVBand="1"/>
      </w:tblPr>
      <w:tblGrid>
        <w:gridCol w:w="4820"/>
        <w:gridCol w:w="1950"/>
        <w:gridCol w:w="1949"/>
        <w:gridCol w:w="1949"/>
        <w:gridCol w:w="1949"/>
        <w:gridCol w:w="1952"/>
      </w:tblGrid>
      <w:tr w:rsidR="00C93589" w:rsidRPr="00A567AB" w14:paraId="3865956B" w14:textId="77777777">
        <w:trPr>
          <w:trHeight w:val="330"/>
        </w:trPr>
        <w:tc>
          <w:tcPr>
            <w:tcW w:w="5000" w:type="pct"/>
            <w:gridSpan w:val="6"/>
            <w:tcBorders>
              <w:top w:val="single" w:sz="8" w:space="0" w:color="009FD0"/>
              <w:left w:val="nil"/>
              <w:bottom w:val="single" w:sz="4" w:space="0" w:color="FFFFFF" w:themeColor="background1"/>
              <w:right w:val="nil"/>
            </w:tcBorders>
            <w:shd w:val="clear" w:color="auto" w:fill="005CA9"/>
            <w:noWrap/>
            <w:vAlign w:val="center"/>
            <w:hideMark/>
          </w:tcPr>
          <w:p w14:paraId="564F39B4" w14:textId="77777777" w:rsidR="00C93589" w:rsidRPr="00A567AB" w:rsidRDefault="00C93589">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Times New Roman"/>
                <w:b/>
                <w:bCs/>
                <w:color w:val="FFFFFF"/>
                <w:sz w:val="18"/>
                <w:szCs w:val="18"/>
              </w:rPr>
              <w:t>Individual / Consolidado</w:t>
            </w:r>
          </w:p>
        </w:tc>
      </w:tr>
      <w:tr w:rsidR="00C93589" w:rsidRPr="00A567AB" w14:paraId="523B15D1" w14:textId="77777777" w:rsidTr="00C93589">
        <w:trPr>
          <w:trHeight w:val="855"/>
        </w:trPr>
        <w:tc>
          <w:tcPr>
            <w:tcW w:w="1654" w:type="pct"/>
            <w:tcBorders>
              <w:top w:val="single" w:sz="4" w:space="0" w:color="FFFFFF" w:themeColor="background1"/>
              <w:left w:val="nil"/>
              <w:bottom w:val="nil"/>
              <w:right w:val="nil"/>
            </w:tcBorders>
            <w:shd w:val="clear" w:color="auto" w:fill="005CA9"/>
            <w:vAlign w:val="center"/>
            <w:hideMark/>
          </w:tcPr>
          <w:p w14:paraId="2C21FA58" w14:textId="77777777" w:rsidR="00C93589" w:rsidRPr="00A567AB" w:rsidRDefault="00C93589">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Estágio 3</w:t>
            </w:r>
          </w:p>
        </w:tc>
        <w:tc>
          <w:tcPr>
            <w:tcW w:w="669" w:type="pct"/>
            <w:tcBorders>
              <w:top w:val="single" w:sz="4" w:space="0" w:color="FFFFFF" w:themeColor="background1"/>
              <w:left w:val="nil"/>
              <w:bottom w:val="nil"/>
              <w:right w:val="nil"/>
            </w:tcBorders>
            <w:shd w:val="clear" w:color="auto" w:fill="005CA9"/>
            <w:vAlign w:val="center"/>
            <w:hideMark/>
          </w:tcPr>
          <w:p w14:paraId="2E8DDEF5" w14:textId="77777777" w:rsidR="00C93589" w:rsidRPr="00A567AB" w:rsidRDefault="00C93589">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Saldo em 31/12/2025</w:t>
            </w:r>
          </w:p>
        </w:tc>
        <w:tc>
          <w:tcPr>
            <w:tcW w:w="669" w:type="pct"/>
            <w:tcBorders>
              <w:top w:val="single" w:sz="4" w:space="0" w:color="FFFFFF" w:themeColor="background1"/>
              <w:left w:val="nil"/>
              <w:bottom w:val="nil"/>
              <w:right w:val="nil"/>
            </w:tcBorders>
            <w:shd w:val="clear" w:color="auto" w:fill="005CA9"/>
            <w:vAlign w:val="center"/>
            <w:hideMark/>
          </w:tcPr>
          <w:p w14:paraId="13AF2071" w14:textId="77777777" w:rsidR="00C93589" w:rsidRDefault="00C93589">
            <w:pPr>
              <w:jc w:val="center"/>
              <w:rPr>
                <w:rFonts w:ascii="CAIXA Std Book" w:eastAsia="Times New Roman" w:hAnsi="CAIXA Std Book" w:cs="Calibri"/>
                <w:b/>
                <w:bCs/>
                <w:color w:val="FFFFFF"/>
                <w:sz w:val="18"/>
                <w:szCs w:val="18"/>
              </w:rPr>
            </w:pPr>
            <w:r w:rsidRPr="00A567AB">
              <w:rPr>
                <w:rFonts w:ascii="CAIXA Std Book" w:eastAsia="Times New Roman" w:hAnsi="CAIXA Std Book" w:cs="Calibri"/>
                <w:b/>
                <w:bCs/>
                <w:color w:val="FFFFFF"/>
                <w:sz w:val="18"/>
                <w:szCs w:val="18"/>
              </w:rPr>
              <w:t>Compra/</w:t>
            </w:r>
          </w:p>
          <w:p w14:paraId="407C54CF" w14:textId="77777777" w:rsidR="00C93589" w:rsidRPr="00A567AB" w:rsidRDefault="00C93589">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(liquidação)</w:t>
            </w:r>
          </w:p>
        </w:tc>
        <w:tc>
          <w:tcPr>
            <w:tcW w:w="669" w:type="pct"/>
            <w:tcBorders>
              <w:top w:val="single" w:sz="4" w:space="0" w:color="FFFFFF" w:themeColor="background1"/>
              <w:left w:val="nil"/>
              <w:bottom w:val="nil"/>
              <w:right w:val="nil"/>
            </w:tcBorders>
            <w:shd w:val="clear" w:color="auto" w:fill="005CA9"/>
            <w:vAlign w:val="center"/>
            <w:hideMark/>
          </w:tcPr>
          <w:p w14:paraId="7CCE6728" w14:textId="77777777" w:rsidR="00C93589" w:rsidRPr="00A567AB" w:rsidRDefault="00C93589">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Transferência do/para estágio 1</w:t>
            </w:r>
          </w:p>
        </w:tc>
        <w:tc>
          <w:tcPr>
            <w:tcW w:w="669" w:type="pct"/>
            <w:tcBorders>
              <w:top w:val="single" w:sz="4" w:space="0" w:color="FFFFFF" w:themeColor="background1"/>
              <w:left w:val="nil"/>
              <w:bottom w:val="nil"/>
              <w:right w:val="nil"/>
            </w:tcBorders>
            <w:shd w:val="clear" w:color="auto" w:fill="005CA9"/>
            <w:vAlign w:val="center"/>
            <w:hideMark/>
          </w:tcPr>
          <w:p w14:paraId="15586132" w14:textId="77777777" w:rsidR="00C93589" w:rsidRPr="00A567AB" w:rsidRDefault="00C93589">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Transferência do/para estágio 2</w:t>
            </w:r>
          </w:p>
        </w:tc>
        <w:tc>
          <w:tcPr>
            <w:tcW w:w="669" w:type="pct"/>
            <w:tcBorders>
              <w:top w:val="single" w:sz="4" w:space="0" w:color="FFFFFF" w:themeColor="background1"/>
              <w:left w:val="nil"/>
              <w:bottom w:val="nil"/>
              <w:right w:val="nil"/>
            </w:tcBorders>
            <w:shd w:val="clear" w:color="auto" w:fill="005CA9"/>
            <w:vAlign w:val="center"/>
            <w:hideMark/>
          </w:tcPr>
          <w:p w14:paraId="7A9571C9" w14:textId="77777777" w:rsidR="00C93589" w:rsidRPr="00A567AB" w:rsidRDefault="00C93589">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Saldo em 31/</w:t>
            </w:r>
            <w:r>
              <w:rPr>
                <w:rFonts w:ascii="CAIXA Std Book" w:eastAsia="Times New Roman" w:hAnsi="CAIXA Std Book" w:cs="Calibri"/>
                <w:b/>
                <w:bCs/>
                <w:color w:val="FFFFFF"/>
                <w:sz w:val="18"/>
                <w:szCs w:val="18"/>
              </w:rPr>
              <w:t>03</w:t>
            </w:r>
            <w:r w:rsidRPr="00A567AB">
              <w:rPr>
                <w:rFonts w:ascii="CAIXA Std Book" w:eastAsia="Times New Roman" w:hAnsi="CAIXA Std Book" w:cs="Calibri"/>
                <w:b/>
                <w:bCs/>
                <w:color w:val="FFFFFF"/>
                <w:sz w:val="18"/>
                <w:szCs w:val="18"/>
              </w:rPr>
              <w:t>/202</w:t>
            </w:r>
            <w:r>
              <w:rPr>
                <w:rFonts w:ascii="CAIXA Std Book" w:eastAsia="Times New Roman" w:hAnsi="CAIXA Std Book" w:cs="Calibri"/>
                <w:b/>
                <w:bCs/>
                <w:color w:val="FFFFFF"/>
                <w:sz w:val="18"/>
                <w:szCs w:val="18"/>
              </w:rPr>
              <w:t>6</w:t>
            </w:r>
          </w:p>
        </w:tc>
      </w:tr>
      <w:tr w:rsidR="00C93589" w:rsidRPr="00A567AB" w14:paraId="6DA16D39" w14:textId="77777777" w:rsidTr="00C93589">
        <w:trPr>
          <w:trHeight w:val="300"/>
        </w:trPr>
        <w:tc>
          <w:tcPr>
            <w:tcW w:w="1654" w:type="pct"/>
            <w:tcBorders>
              <w:top w:val="single" w:sz="4" w:space="0" w:color="FFFFFF"/>
              <w:left w:val="nil"/>
              <w:bottom w:val="nil"/>
              <w:right w:val="nil"/>
            </w:tcBorders>
            <w:shd w:val="clear" w:color="000000" w:fill="FFFFFF"/>
            <w:noWrap/>
            <w:vAlign w:val="center"/>
            <w:hideMark/>
          </w:tcPr>
          <w:p w14:paraId="3FC0DF0C" w14:textId="77777777" w:rsidR="00C93589" w:rsidRPr="00A567AB" w:rsidRDefault="00C93589">
            <w:pPr>
              <w:rPr>
                <w:rFonts w:ascii="CAIXA Std Book" w:eastAsia="Times New Roman" w:hAnsi="CAIXA Std Book" w:cs="Times New Roman"/>
                <w:color w:val="005CA9"/>
                <w:sz w:val="18"/>
                <w:szCs w:val="18"/>
              </w:rPr>
            </w:pPr>
            <w:r w:rsidRPr="00A567AB">
              <w:rPr>
                <w:rFonts w:ascii="CAIXA Std Book" w:eastAsia="Times New Roman" w:hAnsi="CAIXA Std Book" w:cs="Times New Roman"/>
                <w:color w:val="005CA9"/>
                <w:sz w:val="18"/>
                <w:szCs w:val="18"/>
              </w:rPr>
              <w:t>Títulos privados de entidades não financeiras</w:t>
            </w:r>
          </w:p>
        </w:tc>
        <w:tc>
          <w:tcPr>
            <w:tcW w:w="669" w:type="pct"/>
            <w:tcBorders>
              <w:top w:val="single" w:sz="4" w:space="0" w:color="FFFFFF"/>
              <w:left w:val="nil"/>
              <w:bottom w:val="nil"/>
              <w:right w:val="nil"/>
            </w:tcBorders>
            <w:noWrap/>
            <w:vAlign w:val="center"/>
            <w:hideMark/>
          </w:tcPr>
          <w:p w14:paraId="6539AD51" w14:textId="77777777" w:rsidR="00C93589" w:rsidRPr="00A567AB" w:rsidRDefault="00C93589">
            <w:pPr>
              <w:jc w:val="right"/>
              <w:rPr>
                <w:rFonts w:ascii="CAIXA Std Book" w:eastAsia="Times New Roman" w:hAnsi="CAIXA Std Book" w:cs="Times New Roman"/>
                <w:color w:val="005CA9"/>
                <w:sz w:val="18"/>
                <w:szCs w:val="18"/>
              </w:rPr>
            </w:pPr>
            <w:r w:rsidRPr="00A567AB">
              <w:rPr>
                <w:rFonts w:ascii="CAIXA Std Book" w:eastAsia="Times New Roman" w:hAnsi="CAIXA Std Book" w:cs="Times New Roman"/>
                <w:color w:val="005CA9"/>
                <w:sz w:val="18"/>
                <w:szCs w:val="18"/>
              </w:rPr>
              <w:t>410.194</w:t>
            </w:r>
          </w:p>
        </w:tc>
        <w:tc>
          <w:tcPr>
            <w:tcW w:w="669" w:type="pct"/>
            <w:tcBorders>
              <w:top w:val="single" w:sz="4" w:space="0" w:color="FFFFFF"/>
              <w:left w:val="nil"/>
              <w:bottom w:val="nil"/>
              <w:right w:val="nil"/>
            </w:tcBorders>
            <w:noWrap/>
            <w:vAlign w:val="center"/>
          </w:tcPr>
          <w:p w14:paraId="70BAF415" w14:textId="77777777" w:rsidR="00C93589" w:rsidRPr="00A567AB" w:rsidRDefault="00C93589">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w:t>
            </w:r>
          </w:p>
        </w:tc>
        <w:tc>
          <w:tcPr>
            <w:tcW w:w="669" w:type="pct"/>
            <w:tcBorders>
              <w:top w:val="single" w:sz="4" w:space="0" w:color="FFFFFF"/>
              <w:left w:val="nil"/>
              <w:bottom w:val="nil"/>
              <w:right w:val="nil"/>
            </w:tcBorders>
            <w:noWrap/>
            <w:vAlign w:val="center"/>
          </w:tcPr>
          <w:p w14:paraId="4F32CCE7" w14:textId="77777777" w:rsidR="00C93589" w:rsidRPr="00A567AB" w:rsidRDefault="00C93589">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w:t>
            </w:r>
          </w:p>
        </w:tc>
        <w:tc>
          <w:tcPr>
            <w:tcW w:w="669" w:type="pct"/>
            <w:tcBorders>
              <w:top w:val="single" w:sz="4" w:space="0" w:color="FFFFFF"/>
              <w:left w:val="nil"/>
              <w:bottom w:val="nil"/>
              <w:right w:val="nil"/>
            </w:tcBorders>
            <w:noWrap/>
            <w:vAlign w:val="center"/>
          </w:tcPr>
          <w:p w14:paraId="6AEB9CBF" w14:textId="77777777" w:rsidR="00C93589" w:rsidRPr="00A567AB" w:rsidRDefault="00C93589">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w:t>
            </w:r>
          </w:p>
        </w:tc>
        <w:tc>
          <w:tcPr>
            <w:tcW w:w="669" w:type="pct"/>
            <w:tcBorders>
              <w:top w:val="single" w:sz="4" w:space="0" w:color="FFFFFF"/>
              <w:left w:val="nil"/>
              <w:bottom w:val="nil"/>
              <w:right w:val="nil"/>
            </w:tcBorders>
            <w:noWrap/>
            <w:vAlign w:val="center"/>
          </w:tcPr>
          <w:p w14:paraId="6BE93BA1" w14:textId="77777777" w:rsidR="00C93589" w:rsidRPr="00A567AB" w:rsidRDefault="00C93589">
            <w:pPr>
              <w:jc w:val="right"/>
              <w:rPr>
                <w:rFonts w:ascii="CAIXA Std Book" w:eastAsia="Times New Roman" w:hAnsi="CAIXA Std Book" w:cs="Times New Roman"/>
                <w:color w:val="005CA9"/>
                <w:sz w:val="18"/>
                <w:szCs w:val="18"/>
              </w:rPr>
            </w:pPr>
            <w:r w:rsidRPr="00A567AB">
              <w:rPr>
                <w:rFonts w:ascii="CAIXA Std Book" w:eastAsia="Times New Roman" w:hAnsi="CAIXA Std Book" w:cs="Times New Roman"/>
                <w:color w:val="005CA9"/>
                <w:sz w:val="18"/>
                <w:szCs w:val="18"/>
              </w:rPr>
              <w:t>410.194</w:t>
            </w:r>
          </w:p>
        </w:tc>
      </w:tr>
      <w:tr w:rsidR="00C93589" w:rsidRPr="00A567AB" w14:paraId="369F4A40" w14:textId="77777777" w:rsidTr="00C93589">
        <w:trPr>
          <w:trHeight w:val="300"/>
        </w:trPr>
        <w:tc>
          <w:tcPr>
            <w:tcW w:w="1654" w:type="pct"/>
            <w:tcBorders>
              <w:top w:val="nil"/>
              <w:left w:val="nil"/>
              <w:bottom w:val="nil"/>
              <w:right w:val="nil"/>
            </w:tcBorders>
            <w:shd w:val="clear" w:color="auto" w:fill="005CA9"/>
            <w:noWrap/>
            <w:vAlign w:val="center"/>
            <w:hideMark/>
          </w:tcPr>
          <w:p w14:paraId="64E80689" w14:textId="77777777" w:rsidR="00C93589" w:rsidRPr="00A567AB" w:rsidRDefault="00C93589">
            <w:pP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Total</w:t>
            </w:r>
          </w:p>
        </w:tc>
        <w:tc>
          <w:tcPr>
            <w:tcW w:w="669" w:type="pct"/>
            <w:tcBorders>
              <w:top w:val="nil"/>
              <w:left w:val="nil"/>
              <w:bottom w:val="nil"/>
              <w:right w:val="nil"/>
            </w:tcBorders>
            <w:shd w:val="clear" w:color="auto" w:fill="005CA9"/>
            <w:noWrap/>
            <w:vAlign w:val="center"/>
            <w:hideMark/>
          </w:tcPr>
          <w:p w14:paraId="344FA617" w14:textId="77777777" w:rsidR="00C93589" w:rsidRPr="00A567AB" w:rsidRDefault="00C93589">
            <w:pPr>
              <w:jc w:val="right"/>
              <w:rPr>
                <w:rFonts w:ascii="CAIXA Std Book" w:eastAsia="Times New Roman" w:hAnsi="CAIXA Std Book" w:cs="Times New Roman"/>
                <w:b/>
                <w:bCs/>
                <w:color w:val="FFFFFF"/>
                <w:sz w:val="18"/>
                <w:szCs w:val="18"/>
              </w:rPr>
            </w:pPr>
            <w:r w:rsidRPr="00A567AB">
              <w:rPr>
                <w:rFonts w:ascii="CAIXA Std Book" w:eastAsia="Times New Roman" w:hAnsi="CAIXA Std Book" w:cs="Arial"/>
                <w:b/>
                <w:bCs/>
                <w:color w:val="FFFFFF"/>
                <w:sz w:val="18"/>
                <w:szCs w:val="18"/>
              </w:rPr>
              <w:t>410.194</w:t>
            </w:r>
          </w:p>
        </w:tc>
        <w:tc>
          <w:tcPr>
            <w:tcW w:w="669" w:type="pct"/>
            <w:tcBorders>
              <w:top w:val="nil"/>
              <w:left w:val="nil"/>
              <w:bottom w:val="nil"/>
              <w:right w:val="nil"/>
            </w:tcBorders>
            <w:shd w:val="clear" w:color="auto" w:fill="005CA9"/>
            <w:noWrap/>
            <w:vAlign w:val="center"/>
          </w:tcPr>
          <w:p w14:paraId="6EA37E8B" w14:textId="77777777" w:rsidR="00C93589" w:rsidRPr="00A567AB" w:rsidRDefault="00C93589">
            <w:pPr>
              <w:jc w:val="center"/>
              <w:rPr>
                <w:rFonts w:ascii="CAIXA Std Book" w:eastAsia="Times New Roman" w:hAnsi="CAIXA Std Book" w:cs="Times New Roman"/>
                <w:b/>
                <w:bCs/>
                <w:color w:val="FFFFFF"/>
                <w:sz w:val="18"/>
                <w:szCs w:val="18"/>
              </w:rPr>
            </w:pPr>
            <w:r>
              <w:rPr>
                <w:rFonts w:ascii="CAIXA Std Book" w:hAnsi="CAIXA Std Book" w:cs="Arial"/>
                <w:b/>
                <w:bCs/>
                <w:color w:val="FFFFFF"/>
                <w:sz w:val="18"/>
                <w:szCs w:val="18"/>
              </w:rPr>
              <w:t>-</w:t>
            </w:r>
          </w:p>
        </w:tc>
        <w:tc>
          <w:tcPr>
            <w:tcW w:w="669" w:type="pct"/>
            <w:tcBorders>
              <w:top w:val="nil"/>
              <w:left w:val="nil"/>
              <w:bottom w:val="nil"/>
              <w:right w:val="nil"/>
            </w:tcBorders>
            <w:shd w:val="clear" w:color="auto" w:fill="005CA9"/>
            <w:noWrap/>
            <w:vAlign w:val="center"/>
          </w:tcPr>
          <w:p w14:paraId="113A918F" w14:textId="77777777" w:rsidR="00C93589" w:rsidRPr="00A567AB" w:rsidRDefault="00C93589">
            <w:pPr>
              <w:jc w:val="center"/>
              <w:rPr>
                <w:rFonts w:ascii="CAIXA Std Book" w:eastAsia="Times New Roman" w:hAnsi="CAIXA Std Book" w:cs="Times New Roman"/>
                <w:b/>
                <w:bCs/>
                <w:color w:val="FFFFFF"/>
                <w:sz w:val="18"/>
                <w:szCs w:val="18"/>
              </w:rPr>
            </w:pPr>
            <w:r>
              <w:rPr>
                <w:rFonts w:ascii="CAIXA Std Book" w:hAnsi="CAIXA Std Book" w:cs="Arial"/>
                <w:b/>
                <w:bCs/>
                <w:color w:val="FFFFFF"/>
                <w:sz w:val="18"/>
                <w:szCs w:val="18"/>
              </w:rPr>
              <w:t>-</w:t>
            </w:r>
          </w:p>
        </w:tc>
        <w:tc>
          <w:tcPr>
            <w:tcW w:w="669" w:type="pct"/>
            <w:tcBorders>
              <w:top w:val="nil"/>
              <w:left w:val="nil"/>
              <w:bottom w:val="nil"/>
              <w:right w:val="nil"/>
            </w:tcBorders>
            <w:shd w:val="clear" w:color="auto" w:fill="005CA9"/>
            <w:noWrap/>
            <w:vAlign w:val="center"/>
          </w:tcPr>
          <w:p w14:paraId="0EEEE68E" w14:textId="77777777" w:rsidR="00C93589" w:rsidRPr="00A567AB" w:rsidRDefault="00C93589">
            <w:pPr>
              <w:jc w:val="center"/>
              <w:rPr>
                <w:rFonts w:ascii="CAIXA Std Book" w:eastAsia="Times New Roman" w:hAnsi="CAIXA Std Book" w:cs="Times New Roman"/>
                <w:b/>
                <w:bCs/>
                <w:color w:val="FFFFFF"/>
                <w:sz w:val="18"/>
                <w:szCs w:val="18"/>
              </w:rPr>
            </w:pPr>
            <w:r>
              <w:rPr>
                <w:rFonts w:ascii="CAIXA Std Book" w:hAnsi="CAIXA Std Book" w:cs="Arial"/>
                <w:b/>
                <w:bCs/>
                <w:color w:val="FFFFFF"/>
                <w:sz w:val="18"/>
                <w:szCs w:val="18"/>
              </w:rPr>
              <w:t>-</w:t>
            </w:r>
          </w:p>
        </w:tc>
        <w:tc>
          <w:tcPr>
            <w:tcW w:w="669" w:type="pct"/>
            <w:tcBorders>
              <w:top w:val="nil"/>
              <w:left w:val="nil"/>
              <w:bottom w:val="nil"/>
              <w:right w:val="nil"/>
            </w:tcBorders>
            <w:shd w:val="clear" w:color="auto" w:fill="005CA9"/>
            <w:noWrap/>
            <w:vAlign w:val="center"/>
          </w:tcPr>
          <w:p w14:paraId="7E0F93A0" w14:textId="77777777" w:rsidR="00C93589" w:rsidRPr="00A567AB" w:rsidRDefault="00C93589">
            <w:pPr>
              <w:jc w:val="right"/>
              <w:rPr>
                <w:rFonts w:ascii="CAIXA Std Book" w:eastAsia="Times New Roman" w:hAnsi="CAIXA Std Book" w:cs="Times New Roman"/>
                <w:b/>
                <w:bCs/>
                <w:color w:val="FFFFFF"/>
                <w:sz w:val="18"/>
                <w:szCs w:val="18"/>
              </w:rPr>
            </w:pPr>
            <w:r w:rsidRPr="00A567AB">
              <w:rPr>
                <w:rFonts w:ascii="CAIXA Std Book" w:eastAsia="Times New Roman" w:hAnsi="CAIXA Std Book" w:cs="Arial"/>
                <w:b/>
                <w:bCs/>
                <w:color w:val="FFFFFF"/>
                <w:sz w:val="18"/>
                <w:szCs w:val="18"/>
              </w:rPr>
              <w:t>410.194</w:t>
            </w:r>
          </w:p>
        </w:tc>
      </w:tr>
    </w:tbl>
    <w:p w14:paraId="17F04D19" w14:textId="77777777" w:rsidR="00C93589" w:rsidRDefault="00C93589" w:rsidP="00C93589">
      <w:pPr>
        <w:rPr>
          <w:rFonts w:ascii="CAIXA Std Book" w:eastAsia="Times New Roman" w:hAnsi="CAIXA Std Book" w:cs="Arial"/>
          <w:color w:val="005CA9"/>
        </w:rPr>
      </w:pPr>
    </w:p>
    <w:tbl>
      <w:tblPr>
        <w:tblW w:w="5000" w:type="pct"/>
        <w:tblLayout w:type="fixed"/>
        <w:tblCellMar>
          <w:left w:w="70" w:type="dxa"/>
          <w:right w:w="70" w:type="dxa"/>
        </w:tblCellMar>
        <w:tblLook w:val="04A0" w:firstRow="1" w:lastRow="0" w:firstColumn="1" w:lastColumn="0" w:noHBand="0" w:noVBand="1"/>
      </w:tblPr>
      <w:tblGrid>
        <w:gridCol w:w="4820"/>
        <w:gridCol w:w="1950"/>
        <w:gridCol w:w="1949"/>
        <w:gridCol w:w="1949"/>
        <w:gridCol w:w="1949"/>
        <w:gridCol w:w="1952"/>
      </w:tblGrid>
      <w:tr w:rsidR="002E334B" w:rsidRPr="00A567AB" w14:paraId="0A05ADAF" w14:textId="77777777" w:rsidTr="00702F34">
        <w:trPr>
          <w:trHeight w:val="283"/>
        </w:trPr>
        <w:tc>
          <w:tcPr>
            <w:tcW w:w="5000" w:type="pct"/>
            <w:gridSpan w:val="6"/>
            <w:tcBorders>
              <w:top w:val="single" w:sz="8" w:space="0" w:color="009FD0"/>
              <w:left w:val="nil"/>
              <w:bottom w:val="single" w:sz="4" w:space="0" w:color="FFFFFF" w:themeColor="background1"/>
              <w:right w:val="nil"/>
            </w:tcBorders>
            <w:shd w:val="clear" w:color="auto" w:fill="005CA9"/>
            <w:noWrap/>
            <w:vAlign w:val="center"/>
            <w:hideMark/>
          </w:tcPr>
          <w:p w14:paraId="78CA755F" w14:textId="77777777" w:rsidR="002E334B" w:rsidRPr="00A567AB" w:rsidRDefault="002E334B">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Times New Roman"/>
                <w:b/>
                <w:bCs/>
                <w:color w:val="FFFFFF"/>
                <w:sz w:val="18"/>
                <w:szCs w:val="18"/>
              </w:rPr>
              <w:t>Individual / Consolidado</w:t>
            </w:r>
          </w:p>
        </w:tc>
      </w:tr>
      <w:tr w:rsidR="002E334B" w:rsidRPr="00A567AB" w14:paraId="1EC010B4" w14:textId="77777777" w:rsidTr="00C93589">
        <w:trPr>
          <w:trHeight w:val="283"/>
        </w:trPr>
        <w:tc>
          <w:tcPr>
            <w:tcW w:w="1654" w:type="pct"/>
            <w:tcBorders>
              <w:top w:val="single" w:sz="4" w:space="0" w:color="FFFFFF" w:themeColor="background1"/>
              <w:left w:val="nil"/>
              <w:bottom w:val="nil"/>
              <w:right w:val="nil"/>
            </w:tcBorders>
            <w:shd w:val="clear" w:color="auto" w:fill="005CA9"/>
            <w:vAlign w:val="center"/>
            <w:hideMark/>
          </w:tcPr>
          <w:p w14:paraId="16E4C2E8" w14:textId="77777777" w:rsidR="002E334B" w:rsidRPr="00A567AB" w:rsidRDefault="002E334B">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Estágio 3</w:t>
            </w:r>
          </w:p>
        </w:tc>
        <w:tc>
          <w:tcPr>
            <w:tcW w:w="669" w:type="pct"/>
            <w:tcBorders>
              <w:top w:val="single" w:sz="4" w:space="0" w:color="FFFFFF" w:themeColor="background1"/>
              <w:left w:val="nil"/>
              <w:bottom w:val="nil"/>
              <w:right w:val="nil"/>
            </w:tcBorders>
            <w:shd w:val="clear" w:color="auto" w:fill="005CA9"/>
            <w:vAlign w:val="center"/>
            <w:hideMark/>
          </w:tcPr>
          <w:p w14:paraId="6115F7D3" w14:textId="77777777" w:rsidR="002E334B" w:rsidRPr="00A567AB" w:rsidRDefault="002E334B">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Saldo em 01/01/2025</w:t>
            </w:r>
          </w:p>
        </w:tc>
        <w:tc>
          <w:tcPr>
            <w:tcW w:w="669" w:type="pct"/>
            <w:tcBorders>
              <w:top w:val="single" w:sz="4" w:space="0" w:color="FFFFFF" w:themeColor="background1"/>
              <w:left w:val="nil"/>
              <w:bottom w:val="nil"/>
              <w:right w:val="nil"/>
            </w:tcBorders>
            <w:shd w:val="clear" w:color="auto" w:fill="005CA9"/>
            <w:vAlign w:val="center"/>
            <w:hideMark/>
          </w:tcPr>
          <w:p w14:paraId="22D146AD" w14:textId="77777777" w:rsidR="002E334B" w:rsidRDefault="002E334B">
            <w:pPr>
              <w:jc w:val="center"/>
              <w:rPr>
                <w:rFonts w:ascii="CAIXA Std Book" w:eastAsia="Times New Roman" w:hAnsi="CAIXA Std Book" w:cs="Calibri"/>
                <w:b/>
                <w:bCs/>
                <w:color w:val="FFFFFF"/>
                <w:sz w:val="18"/>
                <w:szCs w:val="18"/>
              </w:rPr>
            </w:pPr>
            <w:r w:rsidRPr="00A567AB">
              <w:rPr>
                <w:rFonts w:ascii="CAIXA Std Book" w:eastAsia="Times New Roman" w:hAnsi="CAIXA Std Book" w:cs="Calibri"/>
                <w:b/>
                <w:bCs/>
                <w:color w:val="FFFFFF"/>
                <w:sz w:val="18"/>
                <w:szCs w:val="18"/>
              </w:rPr>
              <w:t>Compra/</w:t>
            </w:r>
          </w:p>
          <w:p w14:paraId="51911956" w14:textId="77777777" w:rsidR="002E334B" w:rsidRPr="00A567AB" w:rsidRDefault="002E334B">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(liquidação)</w:t>
            </w:r>
          </w:p>
        </w:tc>
        <w:tc>
          <w:tcPr>
            <w:tcW w:w="669" w:type="pct"/>
            <w:tcBorders>
              <w:top w:val="single" w:sz="4" w:space="0" w:color="FFFFFF" w:themeColor="background1"/>
              <w:left w:val="nil"/>
              <w:bottom w:val="nil"/>
              <w:right w:val="nil"/>
            </w:tcBorders>
            <w:shd w:val="clear" w:color="auto" w:fill="005CA9"/>
            <w:vAlign w:val="center"/>
            <w:hideMark/>
          </w:tcPr>
          <w:p w14:paraId="4685E4D0" w14:textId="77777777" w:rsidR="002E334B" w:rsidRPr="00A567AB" w:rsidRDefault="002E334B">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Transferência do/para estágio 1</w:t>
            </w:r>
          </w:p>
        </w:tc>
        <w:tc>
          <w:tcPr>
            <w:tcW w:w="669" w:type="pct"/>
            <w:tcBorders>
              <w:top w:val="single" w:sz="4" w:space="0" w:color="FFFFFF" w:themeColor="background1"/>
              <w:left w:val="nil"/>
              <w:bottom w:val="nil"/>
              <w:right w:val="nil"/>
            </w:tcBorders>
            <w:shd w:val="clear" w:color="auto" w:fill="005CA9"/>
            <w:vAlign w:val="center"/>
            <w:hideMark/>
          </w:tcPr>
          <w:p w14:paraId="19A7E0F9" w14:textId="77777777" w:rsidR="002E334B" w:rsidRPr="00A567AB" w:rsidRDefault="002E334B">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Transferência do/para estágio 2</w:t>
            </w:r>
          </w:p>
        </w:tc>
        <w:tc>
          <w:tcPr>
            <w:tcW w:w="669" w:type="pct"/>
            <w:tcBorders>
              <w:top w:val="single" w:sz="4" w:space="0" w:color="FFFFFF" w:themeColor="background1"/>
              <w:left w:val="nil"/>
              <w:bottom w:val="nil"/>
              <w:right w:val="nil"/>
            </w:tcBorders>
            <w:shd w:val="clear" w:color="auto" w:fill="005CA9"/>
            <w:vAlign w:val="center"/>
            <w:hideMark/>
          </w:tcPr>
          <w:p w14:paraId="586E6907" w14:textId="77777777" w:rsidR="002E334B" w:rsidRPr="00A567AB" w:rsidRDefault="002E334B">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Saldo em 31/12/2025</w:t>
            </w:r>
          </w:p>
        </w:tc>
      </w:tr>
      <w:tr w:rsidR="002E334B" w:rsidRPr="00A567AB" w14:paraId="578D4FFC" w14:textId="77777777" w:rsidTr="00C93589">
        <w:trPr>
          <w:trHeight w:val="283"/>
        </w:trPr>
        <w:tc>
          <w:tcPr>
            <w:tcW w:w="1654" w:type="pct"/>
            <w:tcBorders>
              <w:top w:val="single" w:sz="4" w:space="0" w:color="FFFFFF"/>
              <w:left w:val="nil"/>
              <w:bottom w:val="nil"/>
              <w:right w:val="nil"/>
            </w:tcBorders>
            <w:shd w:val="clear" w:color="000000" w:fill="FFFFFF"/>
            <w:noWrap/>
            <w:vAlign w:val="center"/>
            <w:hideMark/>
          </w:tcPr>
          <w:p w14:paraId="494D9717" w14:textId="77777777" w:rsidR="002E334B" w:rsidRPr="00A567AB" w:rsidRDefault="002E334B">
            <w:pPr>
              <w:rPr>
                <w:rFonts w:ascii="CAIXA Std Book" w:eastAsia="Times New Roman" w:hAnsi="CAIXA Std Book" w:cs="Times New Roman"/>
                <w:color w:val="005CA9"/>
                <w:sz w:val="18"/>
                <w:szCs w:val="18"/>
              </w:rPr>
            </w:pPr>
            <w:r w:rsidRPr="00A567AB">
              <w:rPr>
                <w:rFonts w:ascii="CAIXA Std Book" w:eastAsia="Times New Roman" w:hAnsi="CAIXA Std Book" w:cs="Times New Roman"/>
                <w:color w:val="005CA9"/>
                <w:sz w:val="18"/>
                <w:szCs w:val="18"/>
              </w:rPr>
              <w:t>Títulos privados de entidades não financeiras</w:t>
            </w:r>
          </w:p>
        </w:tc>
        <w:tc>
          <w:tcPr>
            <w:tcW w:w="669" w:type="pct"/>
            <w:tcBorders>
              <w:top w:val="single" w:sz="4" w:space="0" w:color="FFFFFF"/>
              <w:left w:val="nil"/>
              <w:bottom w:val="nil"/>
              <w:right w:val="nil"/>
            </w:tcBorders>
            <w:noWrap/>
            <w:vAlign w:val="center"/>
            <w:hideMark/>
          </w:tcPr>
          <w:p w14:paraId="40AA350E" w14:textId="77777777" w:rsidR="002E334B" w:rsidRPr="00A567AB" w:rsidRDefault="002E334B">
            <w:pPr>
              <w:jc w:val="right"/>
              <w:rPr>
                <w:rFonts w:ascii="CAIXA Std Book" w:eastAsia="Times New Roman" w:hAnsi="CAIXA Std Book" w:cs="Times New Roman"/>
                <w:color w:val="005CA9"/>
                <w:sz w:val="18"/>
                <w:szCs w:val="18"/>
              </w:rPr>
            </w:pPr>
            <w:r w:rsidRPr="00A567AB">
              <w:rPr>
                <w:rFonts w:ascii="CAIXA Std Book" w:eastAsia="Times New Roman" w:hAnsi="CAIXA Std Book" w:cs="Times New Roman"/>
                <w:color w:val="005CA9"/>
                <w:sz w:val="18"/>
                <w:szCs w:val="18"/>
              </w:rPr>
              <w:t>30.022</w:t>
            </w:r>
          </w:p>
        </w:tc>
        <w:tc>
          <w:tcPr>
            <w:tcW w:w="669" w:type="pct"/>
            <w:tcBorders>
              <w:top w:val="single" w:sz="4" w:space="0" w:color="FFFFFF"/>
              <w:left w:val="nil"/>
              <w:bottom w:val="nil"/>
              <w:right w:val="nil"/>
            </w:tcBorders>
            <w:noWrap/>
            <w:vAlign w:val="center"/>
            <w:hideMark/>
          </w:tcPr>
          <w:p w14:paraId="5CC242E9" w14:textId="77777777" w:rsidR="002E334B" w:rsidRPr="00A567AB" w:rsidRDefault="002E334B">
            <w:pPr>
              <w:jc w:val="right"/>
              <w:rPr>
                <w:rFonts w:ascii="CAIXA Std Book" w:eastAsia="Times New Roman" w:hAnsi="CAIXA Std Book" w:cs="Times New Roman"/>
                <w:color w:val="005CA9"/>
                <w:sz w:val="18"/>
                <w:szCs w:val="18"/>
              </w:rPr>
            </w:pPr>
            <w:r w:rsidRPr="00A567AB">
              <w:rPr>
                <w:rFonts w:ascii="CAIXA Std Book" w:eastAsia="Times New Roman" w:hAnsi="CAIXA Std Book" w:cs="Arial"/>
                <w:color w:val="005CA9"/>
                <w:sz w:val="18"/>
                <w:szCs w:val="18"/>
              </w:rPr>
              <w:t>239.712</w:t>
            </w:r>
          </w:p>
        </w:tc>
        <w:tc>
          <w:tcPr>
            <w:tcW w:w="669" w:type="pct"/>
            <w:tcBorders>
              <w:top w:val="single" w:sz="4" w:space="0" w:color="FFFFFF"/>
              <w:left w:val="nil"/>
              <w:bottom w:val="nil"/>
              <w:right w:val="nil"/>
            </w:tcBorders>
            <w:noWrap/>
            <w:vAlign w:val="center"/>
            <w:hideMark/>
          </w:tcPr>
          <w:p w14:paraId="238DC2E8" w14:textId="77777777" w:rsidR="002E334B" w:rsidRPr="00A567AB" w:rsidRDefault="002E334B">
            <w:pPr>
              <w:jc w:val="right"/>
              <w:rPr>
                <w:rFonts w:ascii="CAIXA Std Book" w:eastAsia="Times New Roman" w:hAnsi="CAIXA Std Book" w:cs="Times New Roman"/>
                <w:color w:val="005CA9"/>
                <w:sz w:val="18"/>
                <w:szCs w:val="18"/>
              </w:rPr>
            </w:pPr>
            <w:r w:rsidRPr="00A567AB">
              <w:rPr>
                <w:rFonts w:ascii="CAIXA Std Book" w:eastAsia="Times New Roman" w:hAnsi="CAIXA Std Book" w:cs="Arial"/>
                <w:color w:val="005CA9"/>
                <w:sz w:val="18"/>
                <w:szCs w:val="18"/>
              </w:rPr>
              <w:t>140.460</w:t>
            </w:r>
          </w:p>
        </w:tc>
        <w:tc>
          <w:tcPr>
            <w:tcW w:w="669" w:type="pct"/>
            <w:tcBorders>
              <w:top w:val="single" w:sz="4" w:space="0" w:color="FFFFFF"/>
              <w:left w:val="nil"/>
              <w:bottom w:val="nil"/>
              <w:right w:val="nil"/>
            </w:tcBorders>
            <w:noWrap/>
            <w:vAlign w:val="center"/>
            <w:hideMark/>
          </w:tcPr>
          <w:p w14:paraId="107B0517" w14:textId="77777777" w:rsidR="002E334B" w:rsidRPr="00A567AB" w:rsidRDefault="002E334B">
            <w:pPr>
              <w:jc w:val="center"/>
              <w:rPr>
                <w:rFonts w:ascii="CAIXA Std Book" w:eastAsia="Times New Roman" w:hAnsi="CAIXA Std Book" w:cs="Times New Roman"/>
                <w:color w:val="005CA9"/>
                <w:sz w:val="18"/>
                <w:szCs w:val="18"/>
              </w:rPr>
            </w:pPr>
            <w:r w:rsidRPr="00A567AB">
              <w:rPr>
                <w:rFonts w:ascii="CAIXA Std Book" w:eastAsia="Times New Roman" w:hAnsi="CAIXA Std Book" w:cs="Times New Roman"/>
                <w:color w:val="005CA9"/>
                <w:sz w:val="18"/>
                <w:szCs w:val="18"/>
              </w:rPr>
              <w:t>-</w:t>
            </w:r>
          </w:p>
        </w:tc>
        <w:tc>
          <w:tcPr>
            <w:tcW w:w="669" w:type="pct"/>
            <w:tcBorders>
              <w:top w:val="single" w:sz="4" w:space="0" w:color="FFFFFF"/>
              <w:left w:val="nil"/>
              <w:bottom w:val="nil"/>
              <w:right w:val="nil"/>
            </w:tcBorders>
            <w:noWrap/>
            <w:vAlign w:val="center"/>
            <w:hideMark/>
          </w:tcPr>
          <w:p w14:paraId="5A7F0FC8" w14:textId="77777777" w:rsidR="002E334B" w:rsidRPr="00A567AB" w:rsidRDefault="002E334B">
            <w:pPr>
              <w:jc w:val="right"/>
              <w:rPr>
                <w:rFonts w:ascii="CAIXA Std Book" w:eastAsia="Times New Roman" w:hAnsi="CAIXA Std Book" w:cs="Times New Roman"/>
                <w:color w:val="005CA9"/>
                <w:sz w:val="18"/>
                <w:szCs w:val="18"/>
              </w:rPr>
            </w:pPr>
            <w:r w:rsidRPr="00A567AB">
              <w:rPr>
                <w:rFonts w:ascii="CAIXA Std Book" w:eastAsia="Times New Roman" w:hAnsi="CAIXA Std Book" w:cs="Times New Roman"/>
                <w:color w:val="005CA9"/>
                <w:sz w:val="18"/>
                <w:szCs w:val="18"/>
              </w:rPr>
              <w:t>410.194</w:t>
            </w:r>
          </w:p>
        </w:tc>
      </w:tr>
      <w:tr w:rsidR="002E334B" w:rsidRPr="00A567AB" w14:paraId="027C9F7F" w14:textId="77777777" w:rsidTr="00C93589">
        <w:trPr>
          <w:trHeight w:val="283"/>
        </w:trPr>
        <w:tc>
          <w:tcPr>
            <w:tcW w:w="1654" w:type="pct"/>
            <w:tcBorders>
              <w:top w:val="nil"/>
              <w:left w:val="nil"/>
              <w:bottom w:val="nil"/>
              <w:right w:val="nil"/>
            </w:tcBorders>
            <w:shd w:val="clear" w:color="auto" w:fill="005CA9"/>
            <w:noWrap/>
            <w:vAlign w:val="center"/>
            <w:hideMark/>
          </w:tcPr>
          <w:p w14:paraId="634258B3" w14:textId="77777777" w:rsidR="002E334B" w:rsidRPr="00A567AB" w:rsidRDefault="002E334B">
            <w:pPr>
              <w:rPr>
                <w:rFonts w:ascii="CAIXA Std Book" w:eastAsia="Times New Roman" w:hAnsi="CAIXA Std Book" w:cs="Times New Roman"/>
                <w:b/>
                <w:bCs/>
                <w:color w:val="FFFFFF"/>
                <w:sz w:val="18"/>
                <w:szCs w:val="18"/>
              </w:rPr>
            </w:pPr>
            <w:r w:rsidRPr="00A567AB">
              <w:rPr>
                <w:rFonts w:ascii="CAIXA Std Book" w:eastAsia="Times New Roman" w:hAnsi="CAIXA Std Book" w:cs="Calibri"/>
                <w:b/>
                <w:bCs/>
                <w:color w:val="FFFFFF"/>
                <w:sz w:val="18"/>
                <w:szCs w:val="18"/>
              </w:rPr>
              <w:t>Total</w:t>
            </w:r>
          </w:p>
        </w:tc>
        <w:tc>
          <w:tcPr>
            <w:tcW w:w="669" w:type="pct"/>
            <w:tcBorders>
              <w:top w:val="nil"/>
              <w:left w:val="nil"/>
              <w:bottom w:val="nil"/>
              <w:right w:val="nil"/>
            </w:tcBorders>
            <w:shd w:val="clear" w:color="auto" w:fill="005CA9"/>
            <w:noWrap/>
            <w:vAlign w:val="center"/>
            <w:hideMark/>
          </w:tcPr>
          <w:p w14:paraId="0351C949" w14:textId="77777777" w:rsidR="002E334B" w:rsidRPr="00A567AB" w:rsidRDefault="002E334B">
            <w:pPr>
              <w:jc w:val="right"/>
              <w:rPr>
                <w:rFonts w:ascii="CAIXA Std Book" w:eastAsia="Times New Roman" w:hAnsi="CAIXA Std Book" w:cs="Times New Roman"/>
                <w:b/>
                <w:bCs/>
                <w:color w:val="FFFFFF"/>
                <w:sz w:val="18"/>
                <w:szCs w:val="18"/>
              </w:rPr>
            </w:pPr>
            <w:r w:rsidRPr="00A567AB">
              <w:rPr>
                <w:rFonts w:ascii="CAIXA Std Book" w:eastAsia="Times New Roman" w:hAnsi="CAIXA Std Book" w:cs="Arial"/>
                <w:b/>
                <w:bCs/>
                <w:color w:val="FFFFFF"/>
                <w:sz w:val="18"/>
                <w:szCs w:val="18"/>
              </w:rPr>
              <w:t>30.022</w:t>
            </w:r>
          </w:p>
        </w:tc>
        <w:tc>
          <w:tcPr>
            <w:tcW w:w="669" w:type="pct"/>
            <w:tcBorders>
              <w:top w:val="nil"/>
              <w:left w:val="nil"/>
              <w:bottom w:val="nil"/>
              <w:right w:val="nil"/>
            </w:tcBorders>
            <w:shd w:val="clear" w:color="auto" w:fill="005CA9"/>
            <w:noWrap/>
            <w:vAlign w:val="center"/>
            <w:hideMark/>
          </w:tcPr>
          <w:p w14:paraId="73A3AB77" w14:textId="77777777" w:rsidR="002E334B" w:rsidRPr="00A567AB" w:rsidRDefault="002E334B">
            <w:pPr>
              <w:jc w:val="right"/>
              <w:rPr>
                <w:rFonts w:ascii="CAIXA Std Book" w:eastAsia="Times New Roman" w:hAnsi="CAIXA Std Book" w:cs="Times New Roman"/>
                <w:b/>
                <w:bCs/>
                <w:color w:val="FFFFFF"/>
                <w:sz w:val="18"/>
                <w:szCs w:val="18"/>
              </w:rPr>
            </w:pPr>
            <w:r w:rsidRPr="00A567AB">
              <w:rPr>
                <w:rFonts w:ascii="CAIXA Std Book" w:eastAsia="Times New Roman" w:hAnsi="CAIXA Std Book" w:cs="Arial"/>
                <w:b/>
                <w:bCs/>
                <w:color w:val="FFFFFF"/>
                <w:sz w:val="18"/>
                <w:szCs w:val="18"/>
              </w:rPr>
              <w:t>239.712</w:t>
            </w:r>
          </w:p>
        </w:tc>
        <w:tc>
          <w:tcPr>
            <w:tcW w:w="669" w:type="pct"/>
            <w:tcBorders>
              <w:top w:val="nil"/>
              <w:left w:val="nil"/>
              <w:bottom w:val="nil"/>
              <w:right w:val="nil"/>
            </w:tcBorders>
            <w:shd w:val="clear" w:color="auto" w:fill="005CA9"/>
            <w:noWrap/>
            <w:vAlign w:val="center"/>
            <w:hideMark/>
          </w:tcPr>
          <w:p w14:paraId="68F5EC0A" w14:textId="77777777" w:rsidR="002E334B" w:rsidRPr="00A567AB" w:rsidRDefault="002E334B">
            <w:pPr>
              <w:jc w:val="right"/>
              <w:rPr>
                <w:rFonts w:ascii="CAIXA Std Book" w:eastAsia="Times New Roman" w:hAnsi="CAIXA Std Book" w:cs="Times New Roman"/>
                <w:b/>
                <w:bCs/>
                <w:color w:val="FFFFFF"/>
                <w:sz w:val="18"/>
                <w:szCs w:val="18"/>
              </w:rPr>
            </w:pPr>
            <w:r w:rsidRPr="00A567AB">
              <w:rPr>
                <w:rFonts w:ascii="CAIXA Std Book" w:eastAsia="Times New Roman" w:hAnsi="CAIXA Std Book" w:cs="Arial"/>
                <w:b/>
                <w:bCs/>
                <w:color w:val="FFFFFF"/>
                <w:sz w:val="18"/>
                <w:szCs w:val="18"/>
              </w:rPr>
              <w:t>140.460</w:t>
            </w:r>
          </w:p>
        </w:tc>
        <w:tc>
          <w:tcPr>
            <w:tcW w:w="669" w:type="pct"/>
            <w:tcBorders>
              <w:top w:val="nil"/>
              <w:left w:val="nil"/>
              <w:bottom w:val="nil"/>
              <w:right w:val="nil"/>
            </w:tcBorders>
            <w:shd w:val="clear" w:color="auto" w:fill="005CA9"/>
            <w:noWrap/>
            <w:vAlign w:val="center"/>
            <w:hideMark/>
          </w:tcPr>
          <w:p w14:paraId="3D6D3D7C" w14:textId="77777777" w:rsidR="002E334B" w:rsidRPr="00A567AB" w:rsidRDefault="002E334B">
            <w:pPr>
              <w:jc w:val="center"/>
              <w:rPr>
                <w:rFonts w:ascii="CAIXA Std Book" w:eastAsia="Times New Roman" w:hAnsi="CAIXA Std Book" w:cs="Times New Roman"/>
                <w:b/>
                <w:bCs/>
                <w:color w:val="FFFFFF"/>
                <w:sz w:val="18"/>
                <w:szCs w:val="18"/>
              </w:rPr>
            </w:pPr>
            <w:r w:rsidRPr="00A567AB">
              <w:rPr>
                <w:rFonts w:ascii="CAIXA Std Book" w:eastAsia="Times New Roman" w:hAnsi="CAIXA Std Book" w:cs="Arial"/>
                <w:b/>
                <w:bCs/>
                <w:color w:val="FFFFFF"/>
                <w:sz w:val="18"/>
                <w:szCs w:val="18"/>
              </w:rPr>
              <w:t>-</w:t>
            </w:r>
          </w:p>
        </w:tc>
        <w:tc>
          <w:tcPr>
            <w:tcW w:w="669" w:type="pct"/>
            <w:tcBorders>
              <w:top w:val="nil"/>
              <w:left w:val="nil"/>
              <w:bottom w:val="nil"/>
              <w:right w:val="nil"/>
            </w:tcBorders>
            <w:shd w:val="clear" w:color="auto" w:fill="005CA9"/>
            <w:noWrap/>
            <w:vAlign w:val="center"/>
            <w:hideMark/>
          </w:tcPr>
          <w:p w14:paraId="22DC8F92" w14:textId="77777777" w:rsidR="002E334B" w:rsidRPr="00A567AB" w:rsidRDefault="002E334B">
            <w:pPr>
              <w:jc w:val="right"/>
              <w:rPr>
                <w:rFonts w:ascii="CAIXA Std Book" w:eastAsia="Times New Roman" w:hAnsi="CAIXA Std Book" w:cs="Times New Roman"/>
                <w:b/>
                <w:bCs/>
                <w:color w:val="FFFFFF"/>
                <w:sz w:val="18"/>
                <w:szCs w:val="18"/>
              </w:rPr>
            </w:pPr>
            <w:r w:rsidRPr="00A567AB">
              <w:rPr>
                <w:rFonts w:ascii="CAIXA Std Book" w:eastAsia="Times New Roman" w:hAnsi="CAIXA Std Book" w:cs="Arial"/>
                <w:b/>
                <w:bCs/>
                <w:color w:val="FFFFFF"/>
                <w:sz w:val="18"/>
                <w:szCs w:val="18"/>
              </w:rPr>
              <w:t>410.194</w:t>
            </w:r>
          </w:p>
        </w:tc>
      </w:tr>
    </w:tbl>
    <w:p w14:paraId="346E6804" w14:textId="77777777" w:rsidR="00B32C6A" w:rsidRDefault="00B32C6A">
      <w:pPr>
        <w:rPr>
          <w:rFonts w:ascii="CAIXA Std Book" w:hAnsi="CAIXA Std Book"/>
          <w:b/>
          <w:color w:val="005CA9"/>
          <w:sz w:val="20"/>
          <w:szCs w:val="20"/>
        </w:rPr>
        <w:sectPr w:rsidR="00B32C6A" w:rsidSect="00805827">
          <w:headerReference w:type="default" r:id="rId42"/>
          <w:footerReference w:type="even" r:id="rId43"/>
          <w:footerReference w:type="default" r:id="rId44"/>
          <w:footerReference w:type="first" r:id="rId45"/>
          <w:pgSz w:w="16838" w:h="11906" w:orient="landscape" w:code="9"/>
          <w:pgMar w:top="1985" w:right="851" w:bottom="1418" w:left="1418" w:header="1134" w:footer="709" w:gutter="0"/>
          <w:cols w:space="708"/>
          <w:docGrid w:linePitch="360"/>
        </w:sectPr>
      </w:pPr>
    </w:p>
    <w:p w14:paraId="3CE10F8F" w14:textId="1193519C" w:rsidR="0006360C" w:rsidRPr="00E95E29" w:rsidRDefault="0006360C" w:rsidP="00B735D2">
      <w:pPr>
        <w:pStyle w:val="Ttulo1"/>
      </w:pPr>
      <w:bookmarkStart w:id="85" w:name="_Toc217914325"/>
      <w:bookmarkStart w:id="86" w:name="_Toc229588475"/>
      <w:r w:rsidRPr="00E95E29">
        <w:t xml:space="preserve">Nota   8 – Ativos financeiros ao </w:t>
      </w:r>
      <w:r>
        <w:t>custo amortiza</w:t>
      </w:r>
      <w:r w:rsidR="00BC2769">
        <w:t>d</w:t>
      </w:r>
      <w:r>
        <w:t>o</w:t>
      </w:r>
      <w:bookmarkEnd w:id="85"/>
      <w:bookmarkEnd w:id="86"/>
    </w:p>
    <w:p w14:paraId="6552D00D" w14:textId="42F0DCEA" w:rsidR="0078777B" w:rsidRPr="00E95E29" w:rsidRDefault="0078777B" w:rsidP="00B735D2">
      <w:pPr>
        <w:pStyle w:val="Ttulo1"/>
      </w:pPr>
      <w:bookmarkStart w:id="87" w:name="_Toc217914326"/>
      <w:bookmarkStart w:id="88" w:name="_Toc229588476"/>
      <w:r w:rsidRPr="00E95E29">
        <w:t xml:space="preserve">Nota   </w:t>
      </w:r>
      <w:r>
        <w:t>8</w:t>
      </w:r>
      <w:r w:rsidRPr="00E95E29">
        <w:t xml:space="preserve">.1 – Depósitos no </w:t>
      </w:r>
      <w:r>
        <w:t>b</w:t>
      </w:r>
      <w:r w:rsidRPr="00E95E29">
        <w:t xml:space="preserve">anco </w:t>
      </w:r>
      <w:r>
        <w:t>c</w:t>
      </w:r>
      <w:r w:rsidRPr="00E95E29">
        <w:t>entral</w:t>
      </w:r>
      <w:bookmarkEnd w:id="87"/>
      <w:bookmarkEnd w:id="88"/>
    </w:p>
    <w:tbl>
      <w:tblPr>
        <w:tblW w:w="5000" w:type="pct"/>
        <w:tblCellMar>
          <w:left w:w="70" w:type="dxa"/>
          <w:right w:w="70" w:type="dxa"/>
        </w:tblCellMar>
        <w:tblLook w:val="04A0" w:firstRow="1" w:lastRow="0" w:firstColumn="1" w:lastColumn="0" w:noHBand="0" w:noVBand="1"/>
      </w:tblPr>
      <w:tblGrid>
        <w:gridCol w:w="3862"/>
        <w:gridCol w:w="2294"/>
        <w:gridCol w:w="1741"/>
        <w:gridCol w:w="1741"/>
      </w:tblGrid>
      <w:tr w:rsidR="00933F50" w:rsidRPr="00933F50" w14:paraId="28DF4828" w14:textId="77777777" w:rsidTr="008240DE">
        <w:trPr>
          <w:trHeight w:val="283"/>
        </w:trPr>
        <w:tc>
          <w:tcPr>
            <w:tcW w:w="5000" w:type="pct"/>
            <w:gridSpan w:val="4"/>
            <w:tcBorders>
              <w:top w:val="nil"/>
              <w:left w:val="nil"/>
              <w:bottom w:val="single" w:sz="4" w:space="0" w:color="FFFFFF"/>
              <w:right w:val="nil"/>
            </w:tcBorders>
            <w:shd w:val="clear" w:color="000000" w:fill="005CA9"/>
            <w:vAlign w:val="center"/>
            <w:hideMark/>
          </w:tcPr>
          <w:p w14:paraId="1D2B8022" w14:textId="77777777" w:rsidR="00933F50" w:rsidRPr="00933F50" w:rsidRDefault="00933F50" w:rsidP="00933F50">
            <w:pPr>
              <w:jc w:val="center"/>
              <w:rPr>
                <w:rFonts w:ascii="CAIXA Std Book" w:eastAsia="Times New Roman" w:hAnsi="CAIXA Std Book" w:cs="Times New Roman"/>
                <w:b/>
                <w:bCs/>
                <w:color w:val="FFFFFF"/>
                <w:sz w:val="18"/>
                <w:szCs w:val="18"/>
              </w:rPr>
            </w:pPr>
            <w:bookmarkStart w:id="89" w:name="_Toc217914327"/>
            <w:r w:rsidRPr="00933F50">
              <w:rPr>
                <w:rFonts w:ascii="CAIXA Std Book" w:eastAsia="Times New Roman" w:hAnsi="CAIXA Std Book" w:cs="Times New Roman"/>
                <w:b/>
                <w:bCs/>
                <w:color w:val="FFFFFF"/>
                <w:sz w:val="18"/>
                <w:szCs w:val="18"/>
              </w:rPr>
              <w:t>Individual / Consolidado</w:t>
            </w:r>
          </w:p>
        </w:tc>
      </w:tr>
      <w:tr w:rsidR="00933F50" w:rsidRPr="00933F50" w14:paraId="324A09DB" w14:textId="77777777" w:rsidTr="008240DE">
        <w:trPr>
          <w:trHeight w:val="283"/>
        </w:trPr>
        <w:tc>
          <w:tcPr>
            <w:tcW w:w="2004" w:type="pct"/>
            <w:tcBorders>
              <w:top w:val="nil"/>
              <w:left w:val="nil"/>
              <w:bottom w:val="nil"/>
              <w:right w:val="nil"/>
            </w:tcBorders>
            <w:shd w:val="clear" w:color="000000" w:fill="005CA9"/>
            <w:vAlign w:val="center"/>
            <w:hideMark/>
          </w:tcPr>
          <w:p w14:paraId="18DFFC07" w14:textId="77777777" w:rsidR="00933F50" w:rsidRPr="00933F50" w:rsidRDefault="00933F50" w:rsidP="00933F50">
            <w:pPr>
              <w:jc w:val="center"/>
              <w:rPr>
                <w:rFonts w:ascii="CAIXA Std Book" w:eastAsia="Times New Roman" w:hAnsi="CAIXA Std Book" w:cs="Times New Roman"/>
                <w:b/>
                <w:bCs/>
                <w:color w:val="FFFFFF"/>
                <w:sz w:val="18"/>
                <w:szCs w:val="18"/>
              </w:rPr>
            </w:pPr>
            <w:r w:rsidRPr="00933F50">
              <w:rPr>
                <w:rFonts w:ascii="CAIXA Std Book" w:eastAsia="Times New Roman" w:hAnsi="CAIXA Std Book" w:cs="Times New Roman"/>
                <w:b/>
                <w:bCs/>
                <w:color w:val="FFFFFF"/>
                <w:sz w:val="18"/>
                <w:szCs w:val="18"/>
              </w:rPr>
              <w:t>Descrição</w:t>
            </w:r>
          </w:p>
        </w:tc>
        <w:tc>
          <w:tcPr>
            <w:tcW w:w="1190" w:type="pct"/>
            <w:tcBorders>
              <w:top w:val="nil"/>
              <w:left w:val="nil"/>
              <w:bottom w:val="nil"/>
              <w:right w:val="nil"/>
            </w:tcBorders>
            <w:shd w:val="clear" w:color="000000" w:fill="005CA9"/>
            <w:vAlign w:val="center"/>
            <w:hideMark/>
          </w:tcPr>
          <w:p w14:paraId="63D455AF" w14:textId="77777777" w:rsidR="00933F50" w:rsidRPr="00933F50" w:rsidRDefault="00933F50" w:rsidP="00933F50">
            <w:pPr>
              <w:jc w:val="center"/>
              <w:rPr>
                <w:rFonts w:ascii="CAIXA Std Book" w:eastAsia="Times New Roman" w:hAnsi="CAIXA Std Book" w:cs="Times New Roman"/>
                <w:b/>
                <w:bCs/>
                <w:color w:val="FFFFFF"/>
                <w:sz w:val="18"/>
                <w:szCs w:val="18"/>
              </w:rPr>
            </w:pPr>
            <w:r w:rsidRPr="00933F50">
              <w:rPr>
                <w:rFonts w:ascii="CAIXA Std Book" w:eastAsia="Times New Roman" w:hAnsi="CAIXA Std Book" w:cs="Times New Roman"/>
                <w:b/>
                <w:bCs/>
                <w:color w:val="FFFFFF"/>
                <w:sz w:val="18"/>
                <w:szCs w:val="18"/>
              </w:rPr>
              <w:t>Remuneração</w:t>
            </w:r>
          </w:p>
        </w:tc>
        <w:tc>
          <w:tcPr>
            <w:tcW w:w="903" w:type="pct"/>
            <w:tcBorders>
              <w:top w:val="nil"/>
              <w:left w:val="nil"/>
              <w:bottom w:val="nil"/>
              <w:right w:val="nil"/>
            </w:tcBorders>
            <w:shd w:val="clear" w:color="000000" w:fill="005CA9"/>
            <w:vAlign w:val="center"/>
            <w:hideMark/>
          </w:tcPr>
          <w:p w14:paraId="63E7FCCE" w14:textId="77777777" w:rsidR="00933F50" w:rsidRPr="00933F50" w:rsidRDefault="00933F50" w:rsidP="00933F50">
            <w:pPr>
              <w:jc w:val="center"/>
              <w:rPr>
                <w:rFonts w:ascii="CAIXA Std Book" w:eastAsia="Times New Roman" w:hAnsi="CAIXA Std Book" w:cs="Times New Roman"/>
                <w:b/>
                <w:bCs/>
                <w:color w:val="FFFFFF"/>
                <w:sz w:val="18"/>
                <w:szCs w:val="18"/>
              </w:rPr>
            </w:pPr>
            <w:r w:rsidRPr="00933F50">
              <w:rPr>
                <w:rFonts w:ascii="CAIXA Std Book" w:eastAsia="Times New Roman" w:hAnsi="CAIXA Std Book" w:cs="Times New Roman"/>
                <w:b/>
                <w:bCs/>
                <w:color w:val="FFFFFF"/>
                <w:sz w:val="18"/>
                <w:szCs w:val="18"/>
              </w:rPr>
              <w:t>31/03/2026</w:t>
            </w:r>
          </w:p>
        </w:tc>
        <w:tc>
          <w:tcPr>
            <w:tcW w:w="903" w:type="pct"/>
            <w:tcBorders>
              <w:top w:val="nil"/>
              <w:left w:val="nil"/>
              <w:bottom w:val="nil"/>
              <w:right w:val="nil"/>
            </w:tcBorders>
            <w:shd w:val="clear" w:color="000000" w:fill="005CA9"/>
            <w:vAlign w:val="center"/>
            <w:hideMark/>
          </w:tcPr>
          <w:p w14:paraId="55DA49B2" w14:textId="77777777" w:rsidR="00933F50" w:rsidRPr="00933F50" w:rsidRDefault="00933F50" w:rsidP="00933F50">
            <w:pPr>
              <w:jc w:val="center"/>
              <w:rPr>
                <w:rFonts w:ascii="CAIXA Std Book" w:eastAsia="Times New Roman" w:hAnsi="CAIXA Std Book" w:cs="Times New Roman"/>
                <w:b/>
                <w:bCs/>
                <w:color w:val="FFFFFF"/>
                <w:sz w:val="18"/>
                <w:szCs w:val="18"/>
              </w:rPr>
            </w:pPr>
            <w:r w:rsidRPr="00933F50">
              <w:rPr>
                <w:rFonts w:ascii="CAIXA Std Book" w:eastAsia="Times New Roman" w:hAnsi="CAIXA Std Book" w:cs="Times New Roman"/>
                <w:b/>
                <w:bCs/>
                <w:color w:val="FFFFFF"/>
                <w:sz w:val="18"/>
                <w:szCs w:val="18"/>
              </w:rPr>
              <w:t>31/12/2025</w:t>
            </w:r>
          </w:p>
        </w:tc>
      </w:tr>
      <w:tr w:rsidR="00933F50" w:rsidRPr="00933F50" w14:paraId="263F977E" w14:textId="77777777" w:rsidTr="008240DE">
        <w:trPr>
          <w:trHeight w:val="283"/>
        </w:trPr>
        <w:tc>
          <w:tcPr>
            <w:tcW w:w="2004" w:type="pct"/>
            <w:tcBorders>
              <w:top w:val="nil"/>
              <w:left w:val="nil"/>
              <w:bottom w:val="nil"/>
              <w:right w:val="nil"/>
            </w:tcBorders>
            <w:noWrap/>
            <w:vAlign w:val="center"/>
            <w:hideMark/>
          </w:tcPr>
          <w:p w14:paraId="5D68E861" w14:textId="77777777" w:rsidR="00933F50" w:rsidRPr="00933F50" w:rsidRDefault="00933F50" w:rsidP="00933F50">
            <w:pPr>
              <w:rPr>
                <w:rFonts w:ascii="CAIXA Std Book" w:eastAsia="Times New Roman" w:hAnsi="CAIXA Std Book" w:cs="Times New Roman"/>
                <w:color w:val="005CA9"/>
                <w:sz w:val="18"/>
                <w:szCs w:val="18"/>
              </w:rPr>
            </w:pPr>
            <w:r w:rsidRPr="00933F50">
              <w:rPr>
                <w:rFonts w:ascii="CAIXA Std Book" w:eastAsia="Times New Roman" w:hAnsi="CAIXA Std Book" w:cs="Times New Roman"/>
                <w:color w:val="005CA9"/>
                <w:sz w:val="18"/>
                <w:szCs w:val="18"/>
              </w:rPr>
              <w:t>Compulsório sobre depósitos à vista</w:t>
            </w:r>
          </w:p>
        </w:tc>
        <w:tc>
          <w:tcPr>
            <w:tcW w:w="1190" w:type="pct"/>
            <w:tcBorders>
              <w:top w:val="nil"/>
              <w:left w:val="nil"/>
              <w:bottom w:val="nil"/>
              <w:right w:val="nil"/>
            </w:tcBorders>
            <w:noWrap/>
            <w:vAlign w:val="center"/>
            <w:hideMark/>
          </w:tcPr>
          <w:p w14:paraId="1CA7B891" w14:textId="77777777" w:rsidR="00933F50" w:rsidRPr="00933F50" w:rsidRDefault="00933F50" w:rsidP="00933F50">
            <w:pPr>
              <w:jc w:val="center"/>
              <w:rPr>
                <w:rFonts w:ascii="CAIXA Std Book" w:eastAsia="Times New Roman" w:hAnsi="CAIXA Std Book" w:cs="Times New Roman"/>
                <w:color w:val="005CA9"/>
                <w:sz w:val="18"/>
                <w:szCs w:val="18"/>
              </w:rPr>
            </w:pPr>
            <w:r w:rsidRPr="00933F50">
              <w:rPr>
                <w:rFonts w:ascii="CAIXA Std Book" w:eastAsia="Times New Roman" w:hAnsi="CAIXA Std Book" w:cs="Times New Roman"/>
                <w:color w:val="005CA9"/>
                <w:sz w:val="18"/>
                <w:szCs w:val="18"/>
              </w:rPr>
              <w:t>Não remunerado</w:t>
            </w:r>
          </w:p>
        </w:tc>
        <w:tc>
          <w:tcPr>
            <w:tcW w:w="903" w:type="pct"/>
            <w:tcBorders>
              <w:top w:val="nil"/>
              <w:left w:val="nil"/>
              <w:bottom w:val="nil"/>
              <w:right w:val="nil"/>
            </w:tcBorders>
            <w:noWrap/>
            <w:vAlign w:val="center"/>
            <w:hideMark/>
          </w:tcPr>
          <w:p w14:paraId="696058A8" w14:textId="77777777" w:rsidR="00933F50" w:rsidRPr="00933F50" w:rsidRDefault="00933F50" w:rsidP="008240DE">
            <w:pPr>
              <w:jc w:val="right"/>
              <w:rPr>
                <w:rFonts w:ascii="CAIXA Std Book" w:eastAsia="Times New Roman" w:hAnsi="CAIXA Std Book" w:cs="Times New Roman"/>
                <w:color w:val="005CA9"/>
                <w:sz w:val="18"/>
                <w:szCs w:val="18"/>
              </w:rPr>
            </w:pPr>
            <w:r w:rsidRPr="00933F50">
              <w:rPr>
                <w:rFonts w:ascii="CAIXA Std Book" w:eastAsia="Times New Roman" w:hAnsi="CAIXA Std Book" w:cs="Times New Roman"/>
                <w:color w:val="005CA9"/>
                <w:sz w:val="18"/>
                <w:szCs w:val="18"/>
              </w:rPr>
              <w:t>8.297.181</w:t>
            </w:r>
          </w:p>
        </w:tc>
        <w:tc>
          <w:tcPr>
            <w:tcW w:w="903" w:type="pct"/>
            <w:tcBorders>
              <w:top w:val="nil"/>
              <w:left w:val="nil"/>
              <w:bottom w:val="nil"/>
              <w:right w:val="nil"/>
            </w:tcBorders>
            <w:noWrap/>
            <w:vAlign w:val="center"/>
            <w:hideMark/>
          </w:tcPr>
          <w:p w14:paraId="303617E6" w14:textId="77777777" w:rsidR="00933F50" w:rsidRPr="00933F50" w:rsidRDefault="00933F50" w:rsidP="008240DE">
            <w:pPr>
              <w:jc w:val="right"/>
              <w:rPr>
                <w:rFonts w:ascii="CAIXA Std Book" w:eastAsia="Times New Roman" w:hAnsi="CAIXA Std Book" w:cs="Times New Roman"/>
                <w:color w:val="005CA9"/>
                <w:sz w:val="18"/>
                <w:szCs w:val="18"/>
              </w:rPr>
            </w:pPr>
            <w:r w:rsidRPr="00933F50">
              <w:rPr>
                <w:rFonts w:ascii="CAIXA Std Book" w:eastAsia="Times New Roman" w:hAnsi="CAIXA Std Book" w:cs="Times New Roman"/>
                <w:color w:val="005CA9"/>
                <w:sz w:val="18"/>
                <w:szCs w:val="18"/>
              </w:rPr>
              <w:t>10.061.220</w:t>
            </w:r>
          </w:p>
        </w:tc>
      </w:tr>
      <w:tr w:rsidR="00933F50" w:rsidRPr="00933F50" w14:paraId="4FA8A364" w14:textId="77777777" w:rsidTr="008240DE">
        <w:trPr>
          <w:trHeight w:val="283"/>
        </w:trPr>
        <w:tc>
          <w:tcPr>
            <w:tcW w:w="2004" w:type="pct"/>
            <w:tcBorders>
              <w:top w:val="nil"/>
              <w:left w:val="nil"/>
              <w:bottom w:val="nil"/>
              <w:right w:val="nil"/>
            </w:tcBorders>
            <w:noWrap/>
            <w:vAlign w:val="center"/>
            <w:hideMark/>
          </w:tcPr>
          <w:p w14:paraId="70A37471" w14:textId="77777777" w:rsidR="00933F50" w:rsidRPr="00933F50" w:rsidRDefault="00933F50" w:rsidP="00933F50">
            <w:pPr>
              <w:rPr>
                <w:rFonts w:ascii="CAIXA Std Book" w:eastAsia="Times New Roman" w:hAnsi="CAIXA Std Book" w:cs="Times New Roman"/>
                <w:color w:val="005CA9"/>
                <w:sz w:val="18"/>
                <w:szCs w:val="18"/>
              </w:rPr>
            </w:pPr>
            <w:r w:rsidRPr="00933F50">
              <w:rPr>
                <w:rFonts w:ascii="CAIXA Std Book" w:eastAsia="Times New Roman" w:hAnsi="CAIXA Std Book" w:cs="Times New Roman"/>
                <w:color w:val="005CA9"/>
                <w:sz w:val="18"/>
                <w:szCs w:val="18"/>
              </w:rPr>
              <w:t>Compulsório sobre depósitos de poupança</w:t>
            </w:r>
          </w:p>
        </w:tc>
        <w:tc>
          <w:tcPr>
            <w:tcW w:w="1190" w:type="pct"/>
            <w:tcBorders>
              <w:top w:val="nil"/>
              <w:left w:val="nil"/>
              <w:bottom w:val="nil"/>
              <w:right w:val="nil"/>
            </w:tcBorders>
            <w:noWrap/>
            <w:vAlign w:val="center"/>
            <w:hideMark/>
          </w:tcPr>
          <w:p w14:paraId="49B711AE" w14:textId="77777777" w:rsidR="00933F50" w:rsidRPr="00933F50" w:rsidRDefault="00933F50" w:rsidP="00933F50">
            <w:pPr>
              <w:jc w:val="center"/>
              <w:rPr>
                <w:rFonts w:ascii="CAIXA Std Book" w:eastAsia="Times New Roman" w:hAnsi="CAIXA Std Book" w:cs="Times New Roman"/>
                <w:color w:val="005CA9"/>
                <w:sz w:val="18"/>
                <w:szCs w:val="18"/>
              </w:rPr>
            </w:pPr>
            <w:r w:rsidRPr="00933F50">
              <w:rPr>
                <w:rFonts w:ascii="CAIXA Std Book" w:eastAsia="Times New Roman" w:hAnsi="CAIXA Std Book" w:cs="Times New Roman"/>
                <w:color w:val="005CA9"/>
                <w:sz w:val="18"/>
                <w:szCs w:val="18"/>
              </w:rPr>
              <w:t>Índice da poupança</w:t>
            </w:r>
          </w:p>
        </w:tc>
        <w:tc>
          <w:tcPr>
            <w:tcW w:w="903" w:type="pct"/>
            <w:tcBorders>
              <w:top w:val="nil"/>
              <w:left w:val="nil"/>
              <w:bottom w:val="nil"/>
              <w:right w:val="nil"/>
            </w:tcBorders>
            <w:noWrap/>
            <w:vAlign w:val="center"/>
            <w:hideMark/>
          </w:tcPr>
          <w:p w14:paraId="0F2E1927" w14:textId="77777777" w:rsidR="00933F50" w:rsidRPr="00933F50" w:rsidRDefault="00933F50" w:rsidP="008240DE">
            <w:pPr>
              <w:jc w:val="right"/>
              <w:rPr>
                <w:rFonts w:ascii="CAIXA Std Book" w:eastAsia="Times New Roman" w:hAnsi="CAIXA Std Book" w:cs="Times New Roman"/>
                <w:color w:val="005CA9"/>
                <w:sz w:val="18"/>
                <w:szCs w:val="18"/>
              </w:rPr>
            </w:pPr>
            <w:r w:rsidRPr="00933F50">
              <w:rPr>
                <w:rFonts w:ascii="CAIXA Std Book" w:eastAsia="Times New Roman" w:hAnsi="CAIXA Std Book" w:cs="Times New Roman"/>
                <w:color w:val="005CA9"/>
                <w:sz w:val="18"/>
                <w:szCs w:val="18"/>
              </w:rPr>
              <w:t>58.874.323</w:t>
            </w:r>
          </w:p>
        </w:tc>
        <w:tc>
          <w:tcPr>
            <w:tcW w:w="903" w:type="pct"/>
            <w:tcBorders>
              <w:top w:val="nil"/>
              <w:left w:val="nil"/>
              <w:bottom w:val="nil"/>
              <w:right w:val="nil"/>
            </w:tcBorders>
            <w:noWrap/>
            <w:vAlign w:val="center"/>
            <w:hideMark/>
          </w:tcPr>
          <w:p w14:paraId="7687B7F2" w14:textId="77777777" w:rsidR="00933F50" w:rsidRPr="00933F50" w:rsidRDefault="00933F50" w:rsidP="008240DE">
            <w:pPr>
              <w:jc w:val="right"/>
              <w:rPr>
                <w:rFonts w:ascii="CAIXA Std Book" w:eastAsia="Times New Roman" w:hAnsi="CAIXA Std Book" w:cs="Times New Roman"/>
                <w:color w:val="005CA9"/>
                <w:sz w:val="18"/>
                <w:szCs w:val="18"/>
              </w:rPr>
            </w:pPr>
            <w:r w:rsidRPr="00933F50">
              <w:rPr>
                <w:rFonts w:ascii="CAIXA Std Book" w:eastAsia="Times New Roman" w:hAnsi="CAIXA Std Book" w:cs="Times New Roman"/>
                <w:color w:val="005CA9"/>
                <w:sz w:val="18"/>
                <w:szCs w:val="18"/>
              </w:rPr>
              <w:t>59.315.401</w:t>
            </w:r>
          </w:p>
        </w:tc>
      </w:tr>
      <w:tr w:rsidR="00933F50" w:rsidRPr="00933F50" w14:paraId="70270FC3" w14:textId="77777777" w:rsidTr="008240DE">
        <w:trPr>
          <w:trHeight w:val="283"/>
        </w:trPr>
        <w:tc>
          <w:tcPr>
            <w:tcW w:w="2004" w:type="pct"/>
            <w:tcBorders>
              <w:top w:val="nil"/>
              <w:left w:val="nil"/>
              <w:bottom w:val="nil"/>
              <w:right w:val="nil"/>
            </w:tcBorders>
            <w:noWrap/>
            <w:vAlign w:val="center"/>
            <w:hideMark/>
          </w:tcPr>
          <w:p w14:paraId="13912380" w14:textId="77777777" w:rsidR="00933F50" w:rsidRPr="00933F50" w:rsidRDefault="00933F50" w:rsidP="00933F50">
            <w:pPr>
              <w:rPr>
                <w:rFonts w:ascii="CAIXA Std Book" w:eastAsia="Times New Roman" w:hAnsi="CAIXA Std Book" w:cs="Times New Roman"/>
                <w:color w:val="005CA9"/>
                <w:sz w:val="18"/>
                <w:szCs w:val="18"/>
              </w:rPr>
            </w:pPr>
            <w:r w:rsidRPr="00933F50">
              <w:rPr>
                <w:rFonts w:ascii="CAIXA Std Book" w:eastAsia="Times New Roman" w:hAnsi="CAIXA Std Book" w:cs="Times New Roman"/>
                <w:color w:val="005CA9"/>
                <w:sz w:val="18"/>
                <w:szCs w:val="18"/>
              </w:rPr>
              <w:t>Compulsório sobre depósitos a prazo</w:t>
            </w:r>
          </w:p>
        </w:tc>
        <w:tc>
          <w:tcPr>
            <w:tcW w:w="1190" w:type="pct"/>
            <w:tcBorders>
              <w:top w:val="nil"/>
              <w:left w:val="nil"/>
              <w:bottom w:val="nil"/>
              <w:right w:val="nil"/>
            </w:tcBorders>
            <w:noWrap/>
            <w:vAlign w:val="center"/>
            <w:hideMark/>
          </w:tcPr>
          <w:p w14:paraId="420B95C1" w14:textId="77777777" w:rsidR="00933F50" w:rsidRPr="00933F50" w:rsidRDefault="00933F50" w:rsidP="00933F50">
            <w:pPr>
              <w:jc w:val="center"/>
              <w:rPr>
                <w:rFonts w:ascii="CAIXA Std Book" w:eastAsia="Times New Roman" w:hAnsi="CAIXA Std Book" w:cs="Times New Roman"/>
                <w:color w:val="005CA9"/>
                <w:sz w:val="18"/>
                <w:szCs w:val="18"/>
              </w:rPr>
            </w:pPr>
            <w:r w:rsidRPr="00933F50">
              <w:rPr>
                <w:rFonts w:ascii="CAIXA Std Book" w:eastAsia="Times New Roman" w:hAnsi="CAIXA Std Book" w:cs="Times New Roman"/>
                <w:color w:val="005CA9"/>
                <w:sz w:val="18"/>
                <w:szCs w:val="18"/>
              </w:rPr>
              <w:t>Taxa SELIC</w:t>
            </w:r>
          </w:p>
        </w:tc>
        <w:tc>
          <w:tcPr>
            <w:tcW w:w="903" w:type="pct"/>
            <w:tcBorders>
              <w:top w:val="nil"/>
              <w:left w:val="nil"/>
              <w:bottom w:val="nil"/>
              <w:right w:val="nil"/>
            </w:tcBorders>
            <w:noWrap/>
            <w:vAlign w:val="center"/>
            <w:hideMark/>
          </w:tcPr>
          <w:p w14:paraId="517CE60D" w14:textId="77777777" w:rsidR="00933F50" w:rsidRPr="00933F50" w:rsidRDefault="00933F50" w:rsidP="008240DE">
            <w:pPr>
              <w:jc w:val="right"/>
              <w:rPr>
                <w:rFonts w:ascii="CAIXA Std Book" w:eastAsia="Times New Roman" w:hAnsi="CAIXA Std Book" w:cs="Times New Roman"/>
                <w:color w:val="005CA9"/>
                <w:sz w:val="18"/>
                <w:szCs w:val="18"/>
              </w:rPr>
            </w:pPr>
            <w:r w:rsidRPr="00933F50">
              <w:rPr>
                <w:rFonts w:ascii="CAIXA Std Book" w:eastAsia="Times New Roman" w:hAnsi="CAIXA Std Book" w:cs="Times New Roman"/>
                <w:color w:val="005CA9"/>
                <w:sz w:val="18"/>
                <w:szCs w:val="18"/>
              </w:rPr>
              <w:t>41.597.501</w:t>
            </w:r>
          </w:p>
        </w:tc>
        <w:tc>
          <w:tcPr>
            <w:tcW w:w="903" w:type="pct"/>
            <w:tcBorders>
              <w:top w:val="nil"/>
              <w:left w:val="nil"/>
              <w:bottom w:val="nil"/>
              <w:right w:val="nil"/>
            </w:tcBorders>
            <w:noWrap/>
            <w:vAlign w:val="center"/>
            <w:hideMark/>
          </w:tcPr>
          <w:p w14:paraId="3F9271DD" w14:textId="77777777" w:rsidR="00933F50" w:rsidRPr="00933F50" w:rsidRDefault="00933F50" w:rsidP="008240DE">
            <w:pPr>
              <w:jc w:val="right"/>
              <w:rPr>
                <w:rFonts w:ascii="CAIXA Std Book" w:eastAsia="Times New Roman" w:hAnsi="CAIXA Std Book" w:cs="Times New Roman"/>
                <w:color w:val="005CA9"/>
                <w:sz w:val="18"/>
                <w:szCs w:val="18"/>
              </w:rPr>
            </w:pPr>
            <w:r w:rsidRPr="00933F50">
              <w:rPr>
                <w:rFonts w:ascii="CAIXA Std Book" w:eastAsia="Times New Roman" w:hAnsi="CAIXA Std Book" w:cs="Times New Roman"/>
                <w:color w:val="005CA9"/>
                <w:sz w:val="18"/>
                <w:szCs w:val="18"/>
              </w:rPr>
              <w:t>40.408.928</w:t>
            </w:r>
          </w:p>
        </w:tc>
      </w:tr>
      <w:tr w:rsidR="00933F50" w:rsidRPr="00933F50" w14:paraId="1DB85059" w14:textId="77777777" w:rsidTr="008240DE">
        <w:trPr>
          <w:trHeight w:val="283"/>
        </w:trPr>
        <w:tc>
          <w:tcPr>
            <w:tcW w:w="2004" w:type="pct"/>
            <w:tcBorders>
              <w:top w:val="nil"/>
              <w:left w:val="nil"/>
              <w:bottom w:val="nil"/>
              <w:right w:val="nil"/>
            </w:tcBorders>
            <w:noWrap/>
            <w:vAlign w:val="center"/>
            <w:hideMark/>
          </w:tcPr>
          <w:p w14:paraId="25949BEF" w14:textId="77777777" w:rsidR="00933F50" w:rsidRPr="00933F50" w:rsidRDefault="00933F50" w:rsidP="00933F50">
            <w:pPr>
              <w:rPr>
                <w:rFonts w:ascii="CAIXA Std Book" w:eastAsia="Times New Roman" w:hAnsi="CAIXA Std Book" w:cs="Times New Roman"/>
                <w:color w:val="005CA9"/>
                <w:sz w:val="18"/>
                <w:szCs w:val="18"/>
              </w:rPr>
            </w:pPr>
            <w:r w:rsidRPr="00933F50">
              <w:rPr>
                <w:rFonts w:ascii="CAIXA Std Book" w:eastAsia="Times New Roman" w:hAnsi="CAIXA Std Book" w:cs="Times New Roman"/>
                <w:color w:val="005CA9"/>
                <w:sz w:val="18"/>
                <w:szCs w:val="18"/>
              </w:rPr>
              <w:t>Conta de pagamentos instantâneos</w:t>
            </w:r>
          </w:p>
        </w:tc>
        <w:tc>
          <w:tcPr>
            <w:tcW w:w="1190" w:type="pct"/>
            <w:tcBorders>
              <w:top w:val="nil"/>
              <w:left w:val="nil"/>
              <w:bottom w:val="nil"/>
              <w:right w:val="nil"/>
            </w:tcBorders>
            <w:noWrap/>
            <w:vAlign w:val="center"/>
            <w:hideMark/>
          </w:tcPr>
          <w:p w14:paraId="512EEF79" w14:textId="77777777" w:rsidR="00933F50" w:rsidRPr="00933F50" w:rsidRDefault="00933F50" w:rsidP="00933F50">
            <w:pPr>
              <w:jc w:val="center"/>
              <w:rPr>
                <w:rFonts w:ascii="CAIXA Std Book" w:eastAsia="Times New Roman" w:hAnsi="CAIXA Std Book" w:cs="Times New Roman"/>
                <w:color w:val="005CA9"/>
                <w:sz w:val="18"/>
                <w:szCs w:val="18"/>
              </w:rPr>
            </w:pPr>
            <w:r w:rsidRPr="00933F50">
              <w:rPr>
                <w:rFonts w:ascii="CAIXA Std Book" w:eastAsia="Times New Roman" w:hAnsi="CAIXA Std Book" w:cs="Times New Roman"/>
                <w:color w:val="005CA9"/>
                <w:sz w:val="18"/>
                <w:szCs w:val="18"/>
              </w:rPr>
              <w:t>Taxa SELIC</w:t>
            </w:r>
          </w:p>
        </w:tc>
        <w:tc>
          <w:tcPr>
            <w:tcW w:w="903" w:type="pct"/>
            <w:tcBorders>
              <w:top w:val="nil"/>
              <w:left w:val="nil"/>
              <w:bottom w:val="nil"/>
              <w:right w:val="nil"/>
            </w:tcBorders>
            <w:noWrap/>
            <w:vAlign w:val="center"/>
            <w:hideMark/>
          </w:tcPr>
          <w:p w14:paraId="10A5D205" w14:textId="77777777" w:rsidR="00933F50" w:rsidRPr="00933F50" w:rsidRDefault="00933F50" w:rsidP="008240DE">
            <w:pPr>
              <w:jc w:val="right"/>
              <w:rPr>
                <w:rFonts w:ascii="CAIXA Std Book" w:eastAsia="Times New Roman" w:hAnsi="CAIXA Std Book" w:cs="Times New Roman"/>
                <w:color w:val="005CA9"/>
                <w:sz w:val="18"/>
                <w:szCs w:val="18"/>
              </w:rPr>
            </w:pPr>
            <w:r w:rsidRPr="00933F50">
              <w:rPr>
                <w:rFonts w:ascii="CAIXA Std Book" w:eastAsia="Times New Roman" w:hAnsi="CAIXA Std Book" w:cs="Times New Roman"/>
                <w:color w:val="005CA9"/>
                <w:sz w:val="18"/>
                <w:szCs w:val="18"/>
              </w:rPr>
              <w:t>474.885</w:t>
            </w:r>
          </w:p>
        </w:tc>
        <w:tc>
          <w:tcPr>
            <w:tcW w:w="903" w:type="pct"/>
            <w:tcBorders>
              <w:top w:val="nil"/>
              <w:left w:val="nil"/>
              <w:bottom w:val="nil"/>
              <w:right w:val="nil"/>
            </w:tcBorders>
            <w:noWrap/>
            <w:vAlign w:val="center"/>
            <w:hideMark/>
          </w:tcPr>
          <w:p w14:paraId="4476D438" w14:textId="77777777" w:rsidR="00933F50" w:rsidRPr="00933F50" w:rsidRDefault="00933F50" w:rsidP="008240DE">
            <w:pPr>
              <w:jc w:val="right"/>
              <w:rPr>
                <w:rFonts w:ascii="CAIXA Std Book" w:eastAsia="Times New Roman" w:hAnsi="CAIXA Std Book" w:cs="Times New Roman"/>
                <w:color w:val="005CA9"/>
                <w:sz w:val="18"/>
                <w:szCs w:val="18"/>
              </w:rPr>
            </w:pPr>
            <w:r w:rsidRPr="00933F50">
              <w:rPr>
                <w:rFonts w:ascii="CAIXA Std Book" w:eastAsia="Times New Roman" w:hAnsi="CAIXA Std Book" w:cs="Times New Roman"/>
                <w:color w:val="005CA9"/>
                <w:sz w:val="18"/>
                <w:szCs w:val="18"/>
              </w:rPr>
              <w:t>1.356.252</w:t>
            </w:r>
          </w:p>
        </w:tc>
      </w:tr>
      <w:tr w:rsidR="00933F50" w:rsidRPr="00933F50" w14:paraId="0FFD23D6" w14:textId="77777777" w:rsidTr="008240DE">
        <w:trPr>
          <w:trHeight w:val="283"/>
        </w:trPr>
        <w:tc>
          <w:tcPr>
            <w:tcW w:w="2004" w:type="pct"/>
            <w:tcBorders>
              <w:top w:val="nil"/>
              <w:left w:val="nil"/>
              <w:bottom w:val="nil"/>
              <w:right w:val="nil"/>
            </w:tcBorders>
            <w:noWrap/>
            <w:vAlign w:val="center"/>
            <w:hideMark/>
          </w:tcPr>
          <w:p w14:paraId="42EF1E4E" w14:textId="77777777" w:rsidR="00933F50" w:rsidRPr="00933F50" w:rsidRDefault="00933F50" w:rsidP="00933F50">
            <w:pPr>
              <w:rPr>
                <w:rFonts w:ascii="CAIXA Std Book" w:eastAsia="Times New Roman" w:hAnsi="CAIXA Std Book" w:cs="Times New Roman"/>
                <w:color w:val="005CA9"/>
                <w:sz w:val="18"/>
                <w:szCs w:val="18"/>
              </w:rPr>
            </w:pPr>
            <w:r w:rsidRPr="00933F50">
              <w:rPr>
                <w:rFonts w:ascii="CAIXA Std Book" w:eastAsia="Times New Roman" w:hAnsi="CAIXA Std Book" w:cs="Times New Roman"/>
                <w:color w:val="005CA9"/>
                <w:sz w:val="18"/>
                <w:szCs w:val="18"/>
              </w:rPr>
              <w:t>Depósitos voluntários</w:t>
            </w:r>
          </w:p>
        </w:tc>
        <w:tc>
          <w:tcPr>
            <w:tcW w:w="1190" w:type="pct"/>
            <w:tcBorders>
              <w:top w:val="nil"/>
              <w:left w:val="nil"/>
              <w:bottom w:val="nil"/>
              <w:right w:val="nil"/>
            </w:tcBorders>
            <w:noWrap/>
            <w:vAlign w:val="center"/>
            <w:hideMark/>
          </w:tcPr>
          <w:p w14:paraId="6A6A641C" w14:textId="77777777" w:rsidR="00933F50" w:rsidRPr="00933F50" w:rsidRDefault="00933F50" w:rsidP="00933F50">
            <w:pPr>
              <w:jc w:val="center"/>
              <w:rPr>
                <w:rFonts w:ascii="CAIXA Std Book" w:eastAsia="Times New Roman" w:hAnsi="CAIXA Std Book" w:cs="Times New Roman"/>
                <w:color w:val="005CA9"/>
                <w:sz w:val="18"/>
                <w:szCs w:val="18"/>
              </w:rPr>
            </w:pPr>
            <w:r w:rsidRPr="00933F50">
              <w:rPr>
                <w:rFonts w:ascii="CAIXA Std Book" w:eastAsia="Times New Roman" w:hAnsi="CAIXA Std Book" w:cs="Times New Roman"/>
                <w:color w:val="005CA9"/>
                <w:sz w:val="18"/>
                <w:szCs w:val="18"/>
              </w:rPr>
              <w:t>Taxa SELIC</w:t>
            </w:r>
          </w:p>
        </w:tc>
        <w:tc>
          <w:tcPr>
            <w:tcW w:w="903" w:type="pct"/>
            <w:tcBorders>
              <w:top w:val="nil"/>
              <w:left w:val="nil"/>
              <w:bottom w:val="nil"/>
              <w:right w:val="nil"/>
            </w:tcBorders>
            <w:noWrap/>
            <w:vAlign w:val="center"/>
            <w:hideMark/>
          </w:tcPr>
          <w:p w14:paraId="0E8F74D8" w14:textId="77777777" w:rsidR="00933F50" w:rsidRPr="00933F50" w:rsidRDefault="00933F50" w:rsidP="008240DE">
            <w:pPr>
              <w:jc w:val="right"/>
              <w:rPr>
                <w:rFonts w:ascii="CAIXA Std Book" w:eastAsia="Times New Roman" w:hAnsi="CAIXA Std Book" w:cs="Times New Roman"/>
                <w:color w:val="005CA9"/>
                <w:sz w:val="18"/>
                <w:szCs w:val="18"/>
              </w:rPr>
            </w:pPr>
            <w:r w:rsidRPr="00933F50">
              <w:rPr>
                <w:rFonts w:ascii="CAIXA Std Book" w:eastAsia="Times New Roman" w:hAnsi="CAIXA Std Book" w:cs="Times New Roman"/>
                <w:color w:val="005CA9"/>
                <w:sz w:val="18"/>
                <w:szCs w:val="18"/>
              </w:rPr>
              <w:t>12.399.998</w:t>
            </w:r>
          </w:p>
        </w:tc>
        <w:tc>
          <w:tcPr>
            <w:tcW w:w="903" w:type="pct"/>
            <w:tcBorders>
              <w:top w:val="nil"/>
              <w:left w:val="nil"/>
              <w:bottom w:val="nil"/>
              <w:right w:val="nil"/>
            </w:tcBorders>
            <w:noWrap/>
            <w:vAlign w:val="center"/>
            <w:hideMark/>
          </w:tcPr>
          <w:p w14:paraId="308240CF" w14:textId="77777777" w:rsidR="00933F50" w:rsidRPr="00933F50" w:rsidRDefault="00933F50" w:rsidP="008240DE">
            <w:pPr>
              <w:jc w:val="right"/>
              <w:rPr>
                <w:rFonts w:ascii="CAIXA Std Book" w:eastAsia="Times New Roman" w:hAnsi="CAIXA Std Book" w:cs="Times New Roman"/>
                <w:color w:val="005CA9"/>
                <w:sz w:val="18"/>
                <w:szCs w:val="18"/>
              </w:rPr>
            </w:pPr>
            <w:r w:rsidRPr="00933F50">
              <w:rPr>
                <w:rFonts w:ascii="CAIXA Std Book" w:eastAsia="Times New Roman" w:hAnsi="CAIXA Std Book" w:cs="Times New Roman"/>
                <w:color w:val="005CA9"/>
                <w:sz w:val="18"/>
                <w:szCs w:val="18"/>
              </w:rPr>
              <w:t>5.749.999</w:t>
            </w:r>
          </w:p>
        </w:tc>
      </w:tr>
      <w:tr w:rsidR="00933F50" w:rsidRPr="00933F50" w14:paraId="38202D2B" w14:textId="77777777" w:rsidTr="008240DE">
        <w:trPr>
          <w:trHeight w:val="283"/>
        </w:trPr>
        <w:tc>
          <w:tcPr>
            <w:tcW w:w="2004" w:type="pct"/>
            <w:tcBorders>
              <w:top w:val="nil"/>
              <w:left w:val="nil"/>
              <w:bottom w:val="nil"/>
              <w:right w:val="nil"/>
            </w:tcBorders>
            <w:shd w:val="clear" w:color="000000" w:fill="005CA9"/>
            <w:noWrap/>
            <w:vAlign w:val="center"/>
            <w:hideMark/>
          </w:tcPr>
          <w:p w14:paraId="7D548C06" w14:textId="77777777" w:rsidR="00933F50" w:rsidRPr="00933F50" w:rsidRDefault="00933F50" w:rsidP="00933F50">
            <w:pPr>
              <w:rPr>
                <w:rFonts w:ascii="CAIXA Std Book" w:eastAsia="Times New Roman" w:hAnsi="CAIXA Std Book" w:cs="Times New Roman"/>
                <w:b/>
                <w:bCs/>
                <w:color w:val="FFFFFF"/>
                <w:sz w:val="18"/>
                <w:szCs w:val="18"/>
              </w:rPr>
            </w:pPr>
            <w:r w:rsidRPr="00933F50">
              <w:rPr>
                <w:rFonts w:ascii="CAIXA Std Book" w:eastAsia="Times New Roman" w:hAnsi="CAIXA Std Book" w:cs="Times New Roman"/>
                <w:b/>
                <w:bCs/>
                <w:color w:val="FFFFFF"/>
                <w:sz w:val="18"/>
                <w:szCs w:val="18"/>
              </w:rPr>
              <w:t>Total</w:t>
            </w:r>
          </w:p>
        </w:tc>
        <w:tc>
          <w:tcPr>
            <w:tcW w:w="1190" w:type="pct"/>
            <w:tcBorders>
              <w:top w:val="nil"/>
              <w:left w:val="nil"/>
              <w:bottom w:val="nil"/>
              <w:right w:val="nil"/>
            </w:tcBorders>
            <w:shd w:val="clear" w:color="000000" w:fill="005CA9"/>
            <w:noWrap/>
            <w:vAlign w:val="center"/>
            <w:hideMark/>
          </w:tcPr>
          <w:p w14:paraId="2F8CC6BB" w14:textId="77777777" w:rsidR="00933F50" w:rsidRPr="00933F50" w:rsidRDefault="00933F50" w:rsidP="00933F50">
            <w:pPr>
              <w:rPr>
                <w:rFonts w:ascii="CAIXA Std Book" w:eastAsia="Times New Roman" w:hAnsi="CAIXA Std Book" w:cs="Times New Roman"/>
                <w:b/>
                <w:bCs/>
                <w:color w:val="FFFFFF"/>
                <w:sz w:val="18"/>
                <w:szCs w:val="18"/>
              </w:rPr>
            </w:pPr>
            <w:r w:rsidRPr="00933F50">
              <w:rPr>
                <w:rFonts w:ascii="CAIXA Std Book" w:eastAsia="Times New Roman" w:hAnsi="CAIXA Std Book" w:cs="Times New Roman"/>
                <w:b/>
                <w:bCs/>
                <w:color w:val="FFFFFF"/>
                <w:sz w:val="18"/>
                <w:szCs w:val="18"/>
              </w:rPr>
              <w:t> </w:t>
            </w:r>
          </w:p>
        </w:tc>
        <w:tc>
          <w:tcPr>
            <w:tcW w:w="903" w:type="pct"/>
            <w:tcBorders>
              <w:top w:val="nil"/>
              <w:left w:val="nil"/>
              <w:bottom w:val="nil"/>
              <w:right w:val="nil"/>
            </w:tcBorders>
            <w:shd w:val="clear" w:color="000000" w:fill="005CA9"/>
            <w:noWrap/>
            <w:vAlign w:val="center"/>
            <w:hideMark/>
          </w:tcPr>
          <w:p w14:paraId="46B0B3D9" w14:textId="77777777" w:rsidR="00933F50" w:rsidRPr="00933F50" w:rsidRDefault="00933F50" w:rsidP="008240DE">
            <w:pPr>
              <w:jc w:val="right"/>
              <w:rPr>
                <w:rFonts w:ascii="CAIXA Std Book" w:eastAsia="Times New Roman" w:hAnsi="CAIXA Std Book" w:cs="Times New Roman"/>
                <w:b/>
                <w:bCs/>
                <w:color w:val="FFFFFF"/>
                <w:sz w:val="18"/>
                <w:szCs w:val="18"/>
              </w:rPr>
            </w:pPr>
            <w:r w:rsidRPr="00933F50">
              <w:rPr>
                <w:rFonts w:ascii="CAIXA Std Book" w:eastAsia="Times New Roman" w:hAnsi="CAIXA Std Book" w:cs="Times New Roman"/>
                <w:b/>
                <w:bCs/>
                <w:color w:val="FFFFFF"/>
                <w:sz w:val="18"/>
                <w:szCs w:val="18"/>
              </w:rPr>
              <w:t>121.643.888</w:t>
            </w:r>
          </w:p>
        </w:tc>
        <w:tc>
          <w:tcPr>
            <w:tcW w:w="903" w:type="pct"/>
            <w:tcBorders>
              <w:top w:val="nil"/>
              <w:left w:val="nil"/>
              <w:bottom w:val="nil"/>
              <w:right w:val="nil"/>
            </w:tcBorders>
            <w:shd w:val="clear" w:color="000000" w:fill="005CA9"/>
            <w:noWrap/>
            <w:vAlign w:val="center"/>
            <w:hideMark/>
          </w:tcPr>
          <w:p w14:paraId="03F0635A" w14:textId="77777777" w:rsidR="00933F50" w:rsidRPr="00933F50" w:rsidRDefault="00933F50" w:rsidP="008240DE">
            <w:pPr>
              <w:jc w:val="right"/>
              <w:rPr>
                <w:rFonts w:ascii="CAIXA Std Book" w:eastAsia="Times New Roman" w:hAnsi="CAIXA Std Book" w:cs="Times New Roman"/>
                <w:b/>
                <w:bCs/>
                <w:color w:val="FFFFFF"/>
                <w:sz w:val="18"/>
                <w:szCs w:val="18"/>
              </w:rPr>
            </w:pPr>
            <w:r w:rsidRPr="00933F50">
              <w:rPr>
                <w:rFonts w:ascii="CAIXA Std Book" w:eastAsia="Times New Roman" w:hAnsi="CAIXA Std Book" w:cs="Times New Roman"/>
                <w:b/>
                <w:bCs/>
                <w:color w:val="FFFFFF"/>
                <w:sz w:val="18"/>
                <w:szCs w:val="18"/>
              </w:rPr>
              <w:t>116.891.800</w:t>
            </w:r>
          </w:p>
        </w:tc>
      </w:tr>
    </w:tbl>
    <w:p w14:paraId="16DB8DDC" w14:textId="73E00BD3" w:rsidR="00095C67" w:rsidRPr="00E95E29" w:rsidRDefault="00095C67" w:rsidP="00B735D2">
      <w:pPr>
        <w:pStyle w:val="Ttulo1"/>
      </w:pPr>
      <w:bookmarkStart w:id="90" w:name="_Toc229588477"/>
      <w:r w:rsidRPr="00E95E29">
        <w:t xml:space="preserve">Nota   </w:t>
      </w:r>
      <w:r w:rsidR="006C3EF9">
        <w:t>8</w:t>
      </w:r>
      <w:r w:rsidRPr="00E95E29">
        <w:t xml:space="preserve">.2 – Aplicações </w:t>
      </w:r>
      <w:r w:rsidR="00CA64E8">
        <w:t>i</w:t>
      </w:r>
      <w:r w:rsidRPr="00E95E29">
        <w:t xml:space="preserve">nterfinanceiras de </w:t>
      </w:r>
      <w:r w:rsidR="00CA64E8">
        <w:t>l</w:t>
      </w:r>
      <w:r w:rsidRPr="00E95E29">
        <w:t>iquidez</w:t>
      </w:r>
      <w:r w:rsidR="006C1176">
        <w:t xml:space="preserve"> – </w:t>
      </w:r>
      <w:r w:rsidR="00B24E90">
        <w:t>d</w:t>
      </w:r>
      <w:r w:rsidR="006C1176">
        <w:t xml:space="preserve">epósitos </w:t>
      </w:r>
      <w:r w:rsidR="00CB1BC6">
        <w:t>i</w:t>
      </w:r>
      <w:r w:rsidR="006C1176">
        <w:t>nterfinanceiros</w:t>
      </w:r>
      <w:bookmarkEnd w:id="89"/>
      <w:bookmarkEnd w:id="90"/>
    </w:p>
    <w:p w14:paraId="7FDDEDE9" w14:textId="57888F3B" w:rsidR="00095C67" w:rsidRPr="00B04D8D" w:rsidRDefault="00287733" w:rsidP="00295657">
      <w:pPr>
        <w:pStyle w:val="PargrafodaLista"/>
        <w:keepNext/>
        <w:numPr>
          <w:ilvl w:val="0"/>
          <w:numId w:val="16"/>
        </w:numPr>
        <w:spacing w:before="240" w:after="120"/>
        <w:ind w:left="567" w:hanging="567"/>
        <w:contextualSpacing w:val="0"/>
        <w:jc w:val="both"/>
        <w:rPr>
          <w:rStyle w:val="Nmerodepgina"/>
          <w:rFonts w:ascii="CAIXA Std Book" w:hAnsi="CAIXA Std Book" w:cs="Arial Unicode MS"/>
          <w:b/>
          <w:color w:val="005CA9"/>
          <w:sz w:val="20"/>
          <w:szCs w:val="20"/>
        </w:rPr>
      </w:pPr>
      <w:r w:rsidRPr="00287733">
        <w:rPr>
          <w:rStyle w:val="Nmerodepgina"/>
          <w:rFonts w:ascii="CAIXA Std Book" w:hAnsi="CAIXA Std Book" w:cs="Arial Unicode MS"/>
          <w:b/>
          <w:color w:val="005CA9"/>
          <w:sz w:val="20"/>
          <w:szCs w:val="20"/>
        </w:rPr>
        <w:t xml:space="preserve">Composição da </w:t>
      </w:r>
      <w:r w:rsidR="00925617">
        <w:rPr>
          <w:rStyle w:val="Nmerodepgina"/>
          <w:rFonts w:ascii="CAIXA Std Book" w:hAnsi="CAIXA Std Book" w:cs="Arial Unicode MS"/>
          <w:b/>
          <w:color w:val="005CA9"/>
          <w:sz w:val="20"/>
          <w:szCs w:val="20"/>
        </w:rPr>
        <w:t>c</w:t>
      </w:r>
      <w:r w:rsidRPr="00287733">
        <w:rPr>
          <w:rStyle w:val="Nmerodepgina"/>
          <w:rFonts w:ascii="CAIXA Std Book" w:hAnsi="CAIXA Std Book" w:cs="Arial Unicode MS"/>
          <w:b/>
          <w:color w:val="005CA9"/>
          <w:sz w:val="20"/>
          <w:szCs w:val="20"/>
        </w:rPr>
        <w:t xml:space="preserve">arteira de </w:t>
      </w:r>
      <w:r w:rsidR="00925617">
        <w:rPr>
          <w:rStyle w:val="Nmerodepgina"/>
          <w:rFonts w:ascii="CAIXA Std Book" w:hAnsi="CAIXA Std Book" w:cs="Arial Unicode MS"/>
          <w:b/>
          <w:color w:val="005CA9"/>
          <w:sz w:val="20"/>
          <w:szCs w:val="20"/>
        </w:rPr>
        <w:t>d</w:t>
      </w:r>
      <w:r w:rsidRPr="00287733">
        <w:rPr>
          <w:rStyle w:val="Nmerodepgina"/>
          <w:rFonts w:ascii="CAIXA Std Book" w:hAnsi="CAIXA Std Book" w:cs="Arial Unicode MS"/>
          <w:b/>
          <w:color w:val="005CA9"/>
          <w:sz w:val="20"/>
          <w:szCs w:val="20"/>
        </w:rPr>
        <w:t xml:space="preserve">epósitos </w:t>
      </w:r>
      <w:r w:rsidR="00925617">
        <w:rPr>
          <w:rStyle w:val="Nmerodepgina"/>
          <w:rFonts w:ascii="CAIXA Std Book" w:hAnsi="CAIXA Std Book" w:cs="Arial Unicode MS"/>
          <w:b/>
          <w:color w:val="005CA9"/>
          <w:sz w:val="20"/>
          <w:szCs w:val="20"/>
        </w:rPr>
        <w:t>i</w:t>
      </w:r>
      <w:r w:rsidRPr="00287733">
        <w:rPr>
          <w:rStyle w:val="Nmerodepgina"/>
          <w:rFonts w:ascii="CAIXA Std Book" w:hAnsi="CAIXA Std Book" w:cs="Arial Unicode MS"/>
          <w:b/>
          <w:color w:val="005CA9"/>
          <w:sz w:val="20"/>
          <w:szCs w:val="20"/>
        </w:rPr>
        <w:t xml:space="preserve">nterfinanceiros de </w:t>
      </w:r>
      <w:r w:rsidR="00925617">
        <w:rPr>
          <w:rStyle w:val="Nmerodepgina"/>
          <w:rFonts w:ascii="CAIXA Std Book" w:hAnsi="CAIXA Std Book" w:cs="Arial Unicode MS"/>
          <w:b/>
          <w:color w:val="005CA9"/>
          <w:sz w:val="20"/>
          <w:szCs w:val="20"/>
        </w:rPr>
        <w:t>l</w:t>
      </w:r>
      <w:r w:rsidRPr="00287733">
        <w:rPr>
          <w:rStyle w:val="Nmerodepgina"/>
          <w:rFonts w:ascii="CAIXA Std Book" w:hAnsi="CAIXA Std Book" w:cs="Arial Unicode MS"/>
          <w:b/>
          <w:color w:val="005CA9"/>
          <w:sz w:val="20"/>
          <w:szCs w:val="20"/>
        </w:rPr>
        <w:t>iquidez por prazo de vencimento</w:t>
      </w:r>
    </w:p>
    <w:tbl>
      <w:tblPr>
        <w:tblW w:w="5000" w:type="pct"/>
        <w:tblCellMar>
          <w:left w:w="70" w:type="dxa"/>
          <w:right w:w="70" w:type="dxa"/>
        </w:tblCellMar>
        <w:tblLook w:val="04A0" w:firstRow="1" w:lastRow="0" w:firstColumn="1" w:lastColumn="0" w:noHBand="0" w:noVBand="1"/>
      </w:tblPr>
      <w:tblGrid>
        <w:gridCol w:w="3792"/>
        <w:gridCol w:w="1168"/>
        <w:gridCol w:w="1168"/>
        <w:gridCol w:w="1168"/>
        <w:gridCol w:w="1168"/>
        <w:gridCol w:w="1174"/>
      </w:tblGrid>
      <w:tr w:rsidR="00951A4C" w:rsidRPr="00951A4C" w14:paraId="5FA29E90" w14:textId="77777777" w:rsidTr="00E3206D">
        <w:trPr>
          <w:trHeight w:val="283"/>
        </w:trPr>
        <w:tc>
          <w:tcPr>
            <w:tcW w:w="5000" w:type="pct"/>
            <w:gridSpan w:val="6"/>
            <w:tcBorders>
              <w:top w:val="nil"/>
              <w:left w:val="nil"/>
              <w:bottom w:val="single" w:sz="4" w:space="0" w:color="FFFFFF" w:themeColor="background1"/>
              <w:right w:val="nil"/>
            </w:tcBorders>
            <w:shd w:val="clear" w:color="000000" w:fill="005CA9"/>
            <w:vAlign w:val="center"/>
            <w:hideMark/>
          </w:tcPr>
          <w:p w14:paraId="0A9A61B2" w14:textId="77777777" w:rsidR="00951A4C" w:rsidRPr="00951A4C" w:rsidRDefault="00951A4C" w:rsidP="00951A4C">
            <w:pPr>
              <w:jc w:val="center"/>
              <w:rPr>
                <w:rFonts w:ascii="CAIXA Std Book" w:eastAsia="Times New Roman" w:hAnsi="CAIXA Std Book" w:cs="Calibri"/>
                <w:b/>
                <w:bCs/>
                <w:color w:val="FFFFFF"/>
                <w:sz w:val="16"/>
                <w:szCs w:val="16"/>
              </w:rPr>
            </w:pPr>
            <w:r w:rsidRPr="00951A4C">
              <w:rPr>
                <w:rFonts w:ascii="CAIXA Std Book" w:eastAsia="Times New Roman" w:hAnsi="CAIXA Std Book" w:cs="Calibri"/>
                <w:b/>
                <w:bCs/>
                <w:color w:val="FFFFFF"/>
                <w:sz w:val="16"/>
                <w:szCs w:val="16"/>
              </w:rPr>
              <w:t>Individual / Consolidado</w:t>
            </w:r>
          </w:p>
        </w:tc>
      </w:tr>
      <w:tr w:rsidR="00951A4C" w:rsidRPr="00951A4C" w14:paraId="35C0111A" w14:textId="77777777" w:rsidTr="00E3206D">
        <w:trPr>
          <w:trHeight w:val="283"/>
        </w:trPr>
        <w:tc>
          <w:tcPr>
            <w:tcW w:w="1967" w:type="pct"/>
            <w:vMerge w:val="restart"/>
            <w:tcBorders>
              <w:top w:val="single" w:sz="4" w:space="0" w:color="FFFFFF" w:themeColor="background1"/>
              <w:left w:val="nil"/>
              <w:bottom w:val="nil"/>
              <w:right w:val="nil"/>
            </w:tcBorders>
            <w:shd w:val="clear" w:color="000000" w:fill="005CA9"/>
            <w:vAlign w:val="center"/>
            <w:hideMark/>
          </w:tcPr>
          <w:p w14:paraId="7CA9DD4A" w14:textId="77777777" w:rsidR="00951A4C" w:rsidRPr="00951A4C" w:rsidRDefault="00951A4C" w:rsidP="00951A4C">
            <w:pPr>
              <w:jc w:val="center"/>
              <w:rPr>
                <w:rFonts w:ascii="CAIXA Std Book" w:eastAsia="Times New Roman" w:hAnsi="CAIXA Std Book" w:cs="Calibri"/>
                <w:b/>
                <w:bCs/>
                <w:color w:val="FFFFFF"/>
                <w:sz w:val="16"/>
                <w:szCs w:val="16"/>
              </w:rPr>
            </w:pPr>
            <w:r w:rsidRPr="00951A4C">
              <w:rPr>
                <w:rFonts w:ascii="CAIXA Std Book" w:eastAsia="Times New Roman" w:hAnsi="CAIXA Std Book" w:cs="Calibri"/>
                <w:b/>
                <w:bCs/>
                <w:color w:val="FFFFFF"/>
                <w:sz w:val="16"/>
                <w:szCs w:val="16"/>
              </w:rPr>
              <w:t>Carteira</w:t>
            </w:r>
          </w:p>
        </w:tc>
        <w:tc>
          <w:tcPr>
            <w:tcW w:w="2424" w:type="pct"/>
            <w:gridSpan w:val="4"/>
            <w:tcBorders>
              <w:top w:val="single" w:sz="4" w:space="0" w:color="FFFFFF" w:themeColor="background1"/>
              <w:left w:val="nil"/>
              <w:bottom w:val="single" w:sz="4" w:space="0" w:color="FFFFFF" w:themeColor="background1"/>
              <w:right w:val="nil"/>
            </w:tcBorders>
            <w:shd w:val="clear" w:color="000000" w:fill="005CA9"/>
            <w:vAlign w:val="center"/>
            <w:hideMark/>
          </w:tcPr>
          <w:p w14:paraId="1B9B5E11" w14:textId="77777777" w:rsidR="00951A4C" w:rsidRPr="00951A4C" w:rsidRDefault="00951A4C" w:rsidP="00951A4C">
            <w:pPr>
              <w:jc w:val="center"/>
              <w:rPr>
                <w:rFonts w:ascii="CAIXA Std Book" w:eastAsia="Times New Roman" w:hAnsi="CAIXA Std Book" w:cs="Calibri"/>
                <w:b/>
                <w:bCs/>
                <w:color w:val="FFFFFF"/>
                <w:sz w:val="16"/>
                <w:szCs w:val="16"/>
              </w:rPr>
            </w:pPr>
            <w:r w:rsidRPr="00951A4C">
              <w:rPr>
                <w:rFonts w:ascii="CAIXA Std Book" w:eastAsia="Times New Roman" w:hAnsi="CAIXA Std Book" w:cs="Calibri"/>
                <w:b/>
                <w:bCs/>
                <w:color w:val="FFFFFF"/>
                <w:sz w:val="16"/>
                <w:szCs w:val="16"/>
              </w:rPr>
              <w:t>31/03/2026</w:t>
            </w:r>
          </w:p>
        </w:tc>
        <w:tc>
          <w:tcPr>
            <w:tcW w:w="609" w:type="pct"/>
            <w:tcBorders>
              <w:top w:val="single" w:sz="4" w:space="0" w:color="FFFFFF" w:themeColor="background1"/>
              <w:left w:val="nil"/>
              <w:bottom w:val="single" w:sz="4" w:space="0" w:color="FFFFFF" w:themeColor="background1"/>
              <w:right w:val="nil"/>
            </w:tcBorders>
            <w:shd w:val="clear" w:color="000000" w:fill="005CA9"/>
            <w:vAlign w:val="center"/>
            <w:hideMark/>
          </w:tcPr>
          <w:p w14:paraId="32746128" w14:textId="77777777" w:rsidR="00951A4C" w:rsidRPr="00951A4C" w:rsidRDefault="00951A4C" w:rsidP="00951A4C">
            <w:pPr>
              <w:jc w:val="center"/>
              <w:rPr>
                <w:rFonts w:ascii="CAIXA Std Book" w:eastAsia="Times New Roman" w:hAnsi="CAIXA Std Book" w:cs="Calibri"/>
                <w:b/>
                <w:bCs/>
                <w:color w:val="FFFFFF"/>
                <w:sz w:val="16"/>
                <w:szCs w:val="16"/>
              </w:rPr>
            </w:pPr>
            <w:r w:rsidRPr="00951A4C">
              <w:rPr>
                <w:rFonts w:ascii="CAIXA Std Book" w:eastAsia="Times New Roman" w:hAnsi="CAIXA Std Book" w:cs="Calibri"/>
                <w:b/>
                <w:bCs/>
                <w:color w:val="FFFFFF"/>
                <w:sz w:val="16"/>
                <w:szCs w:val="16"/>
              </w:rPr>
              <w:t>31/12/2025</w:t>
            </w:r>
          </w:p>
        </w:tc>
      </w:tr>
      <w:tr w:rsidR="00951A4C" w:rsidRPr="00951A4C" w14:paraId="394CBE95" w14:textId="77777777" w:rsidTr="00E3206D">
        <w:trPr>
          <w:trHeight w:val="283"/>
        </w:trPr>
        <w:tc>
          <w:tcPr>
            <w:tcW w:w="1967" w:type="pct"/>
            <w:vMerge/>
            <w:tcBorders>
              <w:top w:val="single" w:sz="4" w:space="0" w:color="FFFFFF" w:themeColor="background1"/>
              <w:left w:val="nil"/>
              <w:bottom w:val="nil"/>
              <w:right w:val="nil"/>
            </w:tcBorders>
            <w:vAlign w:val="center"/>
            <w:hideMark/>
          </w:tcPr>
          <w:p w14:paraId="245CD68F" w14:textId="77777777" w:rsidR="00951A4C" w:rsidRPr="00951A4C" w:rsidRDefault="00951A4C" w:rsidP="00951A4C">
            <w:pPr>
              <w:rPr>
                <w:rFonts w:ascii="CAIXA Std Book" w:eastAsia="Times New Roman" w:hAnsi="CAIXA Std Book" w:cs="Calibri"/>
                <w:b/>
                <w:bCs/>
                <w:color w:val="FFFFFF"/>
                <w:sz w:val="16"/>
                <w:szCs w:val="16"/>
              </w:rPr>
            </w:pPr>
          </w:p>
        </w:tc>
        <w:tc>
          <w:tcPr>
            <w:tcW w:w="606" w:type="pct"/>
            <w:tcBorders>
              <w:top w:val="single" w:sz="4" w:space="0" w:color="FFFFFF" w:themeColor="background1"/>
              <w:left w:val="nil"/>
              <w:bottom w:val="nil"/>
              <w:right w:val="nil"/>
            </w:tcBorders>
            <w:shd w:val="clear" w:color="000000" w:fill="005CA9"/>
            <w:vAlign w:val="center"/>
            <w:hideMark/>
          </w:tcPr>
          <w:p w14:paraId="189FE3B3" w14:textId="588A841E" w:rsidR="00951A4C" w:rsidRPr="00951A4C" w:rsidRDefault="00951A4C" w:rsidP="00951A4C">
            <w:pPr>
              <w:jc w:val="center"/>
              <w:rPr>
                <w:rFonts w:ascii="CAIXA Std Book" w:eastAsia="Times New Roman" w:hAnsi="CAIXA Std Book" w:cs="Calibri"/>
                <w:b/>
                <w:bCs/>
                <w:color w:val="FFFFFF"/>
                <w:sz w:val="16"/>
                <w:szCs w:val="16"/>
              </w:rPr>
            </w:pPr>
            <w:r w:rsidRPr="00951A4C">
              <w:rPr>
                <w:rFonts w:ascii="CAIXA Std Book" w:eastAsia="Times New Roman" w:hAnsi="CAIXA Std Book" w:cs="Calibri"/>
                <w:b/>
                <w:bCs/>
                <w:color w:val="FFFFFF"/>
                <w:sz w:val="16"/>
                <w:szCs w:val="16"/>
              </w:rPr>
              <w:t>91 a 180 dias</w:t>
            </w:r>
          </w:p>
        </w:tc>
        <w:tc>
          <w:tcPr>
            <w:tcW w:w="606" w:type="pct"/>
            <w:tcBorders>
              <w:top w:val="single" w:sz="4" w:space="0" w:color="FFFFFF" w:themeColor="background1"/>
              <w:left w:val="nil"/>
              <w:bottom w:val="nil"/>
              <w:right w:val="nil"/>
            </w:tcBorders>
            <w:shd w:val="clear" w:color="000000" w:fill="005CA9"/>
            <w:vAlign w:val="center"/>
            <w:hideMark/>
          </w:tcPr>
          <w:p w14:paraId="48EF02E6" w14:textId="0766C50F" w:rsidR="00951A4C" w:rsidRPr="00951A4C" w:rsidRDefault="00951A4C" w:rsidP="00951A4C">
            <w:pPr>
              <w:jc w:val="center"/>
              <w:rPr>
                <w:rFonts w:ascii="CAIXA Std Book" w:eastAsia="Times New Roman" w:hAnsi="CAIXA Std Book" w:cs="Calibri"/>
                <w:b/>
                <w:bCs/>
                <w:color w:val="FFFFFF"/>
                <w:sz w:val="16"/>
                <w:szCs w:val="16"/>
              </w:rPr>
            </w:pPr>
            <w:r w:rsidRPr="00951A4C">
              <w:rPr>
                <w:rFonts w:ascii="CAIXA Std Book" w:eastAsia="Times New Roman" w:hAnsi="CAIXA Std Book" w:cs="Calibri"/>
                <w:b/>
                <w:bCs/>
                <w:color w:val="FFFFFF"/>
                <w:sz w:val="16"/>
                <w:szCs w:val="16"/>
              </w:rPr>
              <w:t>Acima de 360 dias</w:t>
            </w:r>
          </w:p>
        </w:tc>
        <w:tc>
          <w:tcPr>
            <w:tcW w:w="606" w:type="pct"/>
            <w:tcBorders>
              <w:top w:val="single" w:sz="4" w:space="0" w:color="FFFFFF" w:themeColor="background1"/>
              <w:left w:val="nil"/>
              <w:bottom w:val="nil"/>
              <w:right w:val="nil"/>
            </w:tcBorders>
            <w:shd w:val="clear" w:color="000000" w:fill="005CA9"/>
            <w:vAlign w:val="center"/>
            <w:hideMark/>
          </w:tcPr>
          <w:p w14:paraId="144F063A" w14:textId="77777777" w:rsidR="00951A4C" w:rsidRPr="00951A4C" w:rsidRDefault="00951A4C" w:rsidP="00951A4C">
            <w:pPr>
              <w:jc w:val="center"/>
              <w:rPr>
                <w:rFonts w:ascii="CAIXA Std Book" w:eastAsia="Times New Roman" w:hAnsi="CAIXA Std Book" w:cs="Calibri"/>
                <w:b/>
                <w:bCs/>
                <w:color w:val="FFFFFF"/>
                <w:sz w:val="16"/>
                <w:szCs w:val="16"/>
              </w:rPr>
            </w:pPr>
            <w:r w:rsidRPr="00951A4C">
              <w:rPr>
                <w:rFonts w:ascii="CAIXA Std Book" w:eastAsia="Times New Roman" w:hAnsi="CAIXA Std Book" w:cs="Calibri"/>
                <w:b/>
                <w:bCs/>
                <w:color w:val="FFFFFF"/>
                <w:sz w:val="16"/>
                <w:szCs w:val="16"/>
              </w:rPr>
              <w:t>Perdas esperadas</w:t>
            </w:r>
          </w:p>
        </w:tc>
        <w:tc>
          <w:tcPr>
            <w:tcW w:w="606" w:type="pct"/>
            <w:tcBorders>
              <w:top w:val="single" w:sz="4" w:space="0" w:color="FFFFFF" w:themeColor="background1"/>
              <w:left w:val="nil"/>
              <w:bottom w:val="nil"/>
              <w:right w:val="nil"/>
            </w:tcBorders>
            <w:shd w:val="clear" w:color="000000" w:fill="005CA9"/>
            <w:vAlign w:val="center"/>
            <w:hideMark/>
          </w:tcPr>
          <w:p w14:paraId="36AE9C4A" w14:textId="77777777" w:rsidR="00951A4C" w:rsidRPr="00951A4C" w:rsidRDefault="00951A4C" w:rsidP="00951A4C">
            <w:pPr>
              <w:jc w:val="center"/>
              <w:rPr>
                <w:rFonts w:ascii="CAIXA Std Book" w:eastAsia="Times New Roman" w:hAnsi="CAIXA Std Book" w:cs="Calibri"/>
                <w:b/>
                <w:bCs/>
                <w:color w:val="FFFFFF"/>
                <w:sz w:val="16"/>
                <w:szCs w:val="16"/>
              </w:rPr>
            </w:pPr>
            <w:r w:rsidRPr="00951A4C">
              <w:rPr>
                <w:rFonts w:ascii="CAIXA Std Book" w:eastAsia="Times New Roman" w:hAnsi="CAIXA Std Book" w:cs="Calibri"/>
                <w:b/>
                <w:bCs/>
                <w:color w:val="FFFFFF"/>
                <w:sz w:val="16"/>
                <w:szCs w:val="16"/>
              </w:rPr>
              <w:t>Valor contábil líquido</w:t>
            </w:r>
          </w:p>
        </w:tc>
        <w:tc>
          <w:tcPr>
            <w:tcW w:w="609" w:type="pct"/>
            <w:tcBorders>
              <w:top w:val="single" w:sz="4" w:space="0" w:color="FFFFFF" w:themeColor="background1"/>
              <w:left w:val="nil"/>
              <w:bottom w:val="nil"/>
              <w:right w:val="nil"/>
            </w:tcBorders>
            <w:shd w:val="clear" w:color="000000" w:fill="005CA9"/>
            <w:vAlign w:val="center"/>
            <w:hideMark/>
          </w:tcPr>
          <w:p w14:paraId="63AE85B8" w14:textId="77777777" w:rsidR="00951A4C" w:rsidRPr="00951A4C" w:rsidRDefault="00951A4C" w:rsidP="00951A4C">
            <w:pPr>
              <w:jc w:val="center"/>
              <w:rPr>
                <w:rFonts w:ascii="CAIXA Std Book" w:eastAsia="Times New Roman" w:hAnsi="CAIXA Std Book" w:cs="Calibri"/>
                <w:b/>
                <w:bCs/>
                <w:color w:val="FFFFFF"/>
                <w:sz w:val="16"/>
                <w:szCs w:val="16"/>
              </w:rPr>
            </w:pPr>
            <w:r w:rsidRPr="00951A4C">
              <w:rPr>
                <w:rFonts w:ascii="CAIXA Std Book" w:eastAsia="Times New Roman" w:hAnsi="CAIXA Std Book" w:cs="Calibri"/>
                <w:b/>
                <w:bCs/>
                <w:color w:val="FFFFFF"/>
                <w:sz w:val="16"/>
                <w:szCs w:val="16"/>
              </w:rPr>
              <w:t>Valor contábil líquido</w:t>
            </w:r>
          </w:p>
        </w:tc>
      </w:tr>
      <w:tr w:rsidR="00951A4C" w:rsidRPr="00951A4C" w14:paraId="1F00D8D7" w14:textId="77777777" w:rsidTr="00E11638">
        <w:trPr>
          <w:trHeight w:val="283"/>
        </w:trPr>
        <w:tc>
          <w:tcPr>
            <w:tcW w:w="1967" w:type="pct"/>
            <w:tcBorders>
              <w:top w:val="nil"/>
              <w:left w:val="nil"/>
              <w:bottom w:val="nil"/>
              <w:right w:val="nil"/>
            </w:tcBorders>
            <w:shd w:val="clear" w:color="000000" w:fill="D0E0E3"/>
            <w:noWrap/>
            <w:vAlign w:val="center"/>
            <w:hideMark/>
          </w:tcPr>
          <w:p w14:paraId="503832B2" w14:textId="77777777" w:rsidR="00951A4C" w:rsidRPr="00951A4C" w:rsidRDefault="00951A4C" w:rsidP="00951A4C">
            <w:pPr>
              <w:rPr>
                <w:rFonts w:ascii="CAIXA Std Book" w:eastAsia="Times New Roman" w:hAnsi="CAIXA Std Book" w:cs="Calibri"/>
                <w:b/>
                <w:bCs/>
                <w:color w:val="005CA9"/>
                <w:sz w:val="16"/>
                <w:szCs w:val="16"/>
              </w:rPr>
            </w:pPr>
            <w:r w:rsidRPr="00951A4C">
              <w:rPr>
                <w:rFonts w:ascii="CAIXA Std Book" w:eastAsia="Times New Roman" w:hAnsi="CAIXA Std Book" w:cs="Calibri"/>
                <w:b/>
                <w:bCs/>
                <w:color w:val="005CA9"/>
                <w:sz w:val="16"/>
                <w:szCs w:val="16"/>
              </w:rPr>
              <w:t>Aplicações em depósitos interfinanceiros</w:t>
            </w:r>
          </w:p>
        </w:tc>
        <w:tc>
          <w:tcPr>
            <w:tcW w:w="606" w:type="pct"/>
            <w:tcBorders>
              <w:top w:val="nil"/>
              <w:left w:val="nil"/>
              <w:bottom w:val="nil"/>
              <w:right w:val="nil"/>
            </w:tcBorders>
            <w:shd w:val="clear" w:color="000000" w:fill="D0E0E3"/>
            <w:noWrap/>
            <w:vAlign w:val="center"/>
            <w:hideMark/>
          </w:tcPr>
          <w:p w14:paraId="16FDA4F8" w14:textId="18CD0EE5" w:rsidR="00951A4C" w:rsidRPr="00951A4C" w:rsidRDefault="00951A4C" w:rsidP="00951A4C">
            <w:pPr>
              <w:jc w:val="right"/>
              <w:rPr>
                <w:rFonts w:ascii="CAIXA Std Book" w:eastAsia="Times New Roman" w:hAnsi="CAIXA Std Book" w:cs="Calibri"/>
                <w:b/>
                <w:bCs/>
                <w:color w:val="005CA9"/>
                <w:sz w:val="16"/>
                <w:szCs w:val="16"/>
              </w:rPr>
            </w:pPr>
            <w:r w:rsidRPr="00951A4C">
              <w:rPr>
                <w:rFonts w:ascii="CAIXA Std Book" w:eastAsia="Times New Roman" w:hAnsi="CAIXA Std Book" w:cs="Calibri"/>
                <w:b/>
                <w:bCs/>
                <w:color w:val="005CA9"/>
                <w:sz w:val="16"/>
                <w:szCs w:val="16"/>
              </w:rPr>
              <w:t>8.179.316</w:t>
            </w:r>
          </w:p>
        </w:tc>
        <w:tc>
          <w:tcPr>
            <w:tcW w:w="606" w:type="pct"/>
            <w:tcBorders>
              <w:top w:val="nil"/>
              <w:left w:val="nil"/>
              <w:bottom w:val="nil"/>
              <w:right w:val="nil"/>
            </w:tcBorders>
            <w:shd w:val="clear" w:color="000000" w:fill="D0E0E3"/>
            <w:noWrap/>
            <w:vAlign w:val="center"/>
            <w:hideMark/>
          </w:tcPr>
          <w:p w14:paraId="1BAE6A74" w14:textId="46734969" w:rsidR="00951A4C" w:rsidRPr="00951A4C" w:rsidRDefault="00951A4C" w:rsidP="00951A4C">
            <w:pPr>
              <w:jc w:val="right"/>
              <w:rPr>
                <w:rFonts w:ascii="CAIXA Std Book" w:eastAsia="Times New Roman" w:hAnsi="CAIXA Std Book" w:cs="Calibri"/>
                <w:b/>
                <w:bCs/>
                <w:color w:val="005CA9"/>
                <w:sz w:val="16"/>
                <w:szCs w:val="16"/>
              </w:rPr>
            </w:pPr>
            <w:r w:rsidRPr="00951A4C">
              <w:rPr>
                <w:rFonts w:ascii="CAIXA Std Book" w:eastAsia="Times New Roman" w:hAnsi="CAIXA Std Book" w:cs="Calibri"/>
                <w:b/>
                <w:bCs/>
                <w:color w:val="005CA9"/>
                <w:sz w:val="16"/>
                <w:szCs w:val="16"/>
              </w:rPr>
              <w:t>108.227</w:t>
            </w:r>
          </w:p>
        </w:tc>
        <w:tc>
          <w:tcPr>
            <w:tcW w:w="606" w:type="pct"/>
            <w:tcBorders>
              <w:top w:val="nil"/>
              <w:left w:val="nil"/>
              <w:bottom w:val="nil"/>
              <w:right w:val="nil"/>
            </w:tcBorders>
            <w:shd w:val="clear" w:color="000000" w:fill="D0E0E3"/>
            <w:noWrap/>
            <w:vAlign w:val="center"/>
            <w:hideMark/>
          </w:tcPr>
          <w:p w14:paraId="0D36AC00" w14:textId="77777777" w:rsidR="00951A4C" w:rsidRPr="00951A4C" w:rsidRDefault="00951A4C" w:rsidP="00951A4C">
            <w:pPr>
              <w:jc w:val="right"/>
              <w:rPr>
                <w:rFonts w:ascii="CAIXA Std Book" w:eastAsia="Times New Roman" w:hAnsi="CAIXA Std Book" w:cs="Calibri"/>
                <w:b/>
                <w:bCs/>
                <w:color w:val="005CA9"/>
                <w:sz w:val="16"/>
                <w:szCs w:val="16"/>
              </w:rPr>
            </w:pPr>
            <w:r w:rsidRPr="00951A4C">
              <w:rPr>
                <w:rFonts w:ascii="CAIXA Std Book" w:eastAsia="Times New Roman" w:hAnsi="CAIXA Std Book" w:cs="Calibri"/>
                <w:b/>
                <w:bCs/>
                <w:color w:val="005CA9"/>
                <w:sz w:val="16"/>
                <w:szCs w:val="16"/>
              </w:rPr>
              <w:t>(13.698)</w:t>
            </w:r>
          </w:p>
        </w:tc>
        <w:tc>
          <w:tcPr>
            <w:tcW w:w="606" w:type="pct"/>
            <w:tcBorders>
              <w:top w:val="nil"/>
              <w:left w:val="nil"/>
              <w:bottom w:val="nil"/>
              <w:right w:val="nil"/>
            </w:tcBorders>
            <w:shd w:val="clear" w:color="000000" w:fill="D0E0E3"/>
            <w:noWrap/>
            <w:vAlign w:val="center"/>
            <w:hideMark/>
          </w:tcPr>
          <w:p w14:paraId="057136E6" w14:textId="1789424F" w:rsidR="00951A4C" w:rsidRPr="00951A4C" w:rsidRDefault="00951A4C" w:rsidP="00951A4C">
            <w:pPr>
              <w:jc w:val="right"/>
              <w:rPr>
                <w:rFonts w:ascii="CAIXA Std Book" w:eastAsia="Times New Roman" w:hAnsi="CAIXA Std Book" w:cs="Calibri"/>
                <w:b/>
                <w:bCs/>
                <w:color w:val="005CA9"/>
                <w:sz w:val="16"/>
                <w:szCs w:val="16"/>
              </w:rPr>
            </w:pPr>
            <w:r w:rsidRPr="00951A4C">
              <w:rPr>
                <w:rFonts w:ascii="CAIXA Std Book" w:eastAsia="Times New Roman" w:hAnsi="CAIXA Std Book" w:cs="Calibri"/>
                <w:b/>
                <w:bCs/>
                <w:color w:val="005CA9"/>
                <w:sz w:val="16"/>
                <w:szCs w:val="16"/>
              </w:rPr>
              <w:t>8.273.845</w:t>
            </w:r>
          </w:p>
        </w:tc>
        <w:tc>
          <w:tcPr>
            <w:tcW w:w="609" w:type="pct"/>
            <w:tcBorders>
              <w:top w:val="nil"/>
              <w:left w:val="nil"/>
              <w:bottom w:val="nil"/>
              <w:right w:val="nil"/>
            </w:tcBorders>
            <w:shd w:val="clear" w:color="000000" w:fill="D0E0E3"/>
            <w:noWrap/>
            <w:vAlign w:val="center"/>
            <w:hideMark/>
          </w:tcPr>
          <w:p w14:paraId="6353C030" w14:textId="256E8A3B" w:rsidR="00951A4C" w:rsidRPr="00951A4C" w:rsidRDefault="00951A4C" w:rsidP="00951A4C">
            <w:pPr>
              <w:jc w:val="right"/>
              <w:rPr>
                <w:rFonts w:ascii="CAIXA Std Book" w:eastAsia="Times New Roman" w:hAnsi="CAIXA Std Book" w:cs="Calibri"/>
                <w:b/>
                <w:bCs/>
                <w:color w:val="005CA9"/>
                <w:sz w:val="16"/>
                <w:szCs w:val="16"/>
              </w:rPr>
            </w:pPr>
            <w:r w:rsidRPr="00951A4C">
              <w:rPr>
                <w:rFonts w:ascii="CAIXA Std Book" w:eastAsia="Times New Roman" w:hAnsi="CAIXA Std Book" w:cs="Calibri"/>
                <w:b/>
                <w:bCs/>
                <w:color w:val="005CA9"/>
                <w:sz w:val="16"/>
                <w:szCs w:val="16"/>
              </w:rPr>
              <w:t>7.808.018</w:t>
            </w:r>
          </w:p>
        </w:tc>
      </w:tr>
      <w:tr w:rsidR="00951A4C" w:rsidRPr="00951A4C" w14:paraId="4592B50D" w14:textId="77777777" w:rsidTr="00E11638">
        <w:trPr>
          <w:trHeight w:val="283"/>
        </w:trPr>
        <w:tc>
          <w:tcPr>
            <w:tcW w:w="1967" w:type="pct"/>
            <w:tcBorders>
              <w:top w:val="nil"/>
              <w:left w:val="nil"/>
              <w:bottom w:val="nil"/>
              <w:right w:val="nil"/>
            </w:tcBorders>
            <w:noWrap/>
            <w:vAlign w:val="center"/>
            <w:hideMark/>
          </w:tcPr>
          <w:p w14:paraId="7E8B7D0E" w14:textId="62D6C8E3" w:rsidR="00951A4C" w:rsidRPr="00951A4C" w:rsidRDefault="00951A4C" w:rsidP="00951A4C">
            <w:pPr>
              <w:ind w:firstLineChars="100" w:firstLine="160"/>
              <w:rPr>
                <w:rFonts w:ascii="CAIXA Std Book" w:eastAsia="Times New Roman" w:hAnsi="CAIXA Std Book" w:cs="Calibri"/>
                <w:color w:val="005CA9"/>
                <w:sz w:val="16"/>
                <w:szCs w:val="16"/>
              </w:rPr>
            </w:pPr>
            <w:r w:rsidRPr="00951A4C">
              <w:rPr>
                <w:rFonts w:ascii="CAIXA Std Book" w:eastAsia="Times New Roman" w:hAnsi="CAIXA Std Book" w:cs="Calibri"/>
                <w:color w:val="005CA9"/>
                <w:sz w:val="16"/>
                <w:szCs w:val="16"/>
              </w:rPr>
              <w:t>Depósitos interfinanceiros</w:t>
            </w:r>
            <w:r w:rsidR="00AD781E">
              <w:rPr>
                <w:rFonts w:ascii="CAIXA Std Book" w:eastAsia="Times New Roman" w:hAnsi="CAIXA Std Book" w:cs="Calibri"/>
                <w:color w:val="005CA9"/>
                <w:sz w:val="16"/>
                <w:szCs w:val="16"/>
              </w:rPr>
              <w:t xml:space="preserve"> (</w:t>
            </w:r>
            <w:r w:rsidR="00505749">
              <w:rPr>
                <w:rFonts w:ascii="CAIXA Std Book" w:eastAsia="Times New Roman" w:hAnsi="CAIXA Std Book" w:cs="Calibri"/>
                <w:color w:val="005CA9"/>
                <w:sz w:val="16"/>
                <w:szCs w:val="16"/>
              </w:rPr>
              <w:t>1)</w:t>
            </w:r>
          </w:p>
        </w:tc>
        <w:tc>
          <w:tcPr>
            <w:tcW w:w="606" w:type="pct"/>
            <w:tcBorders>
              <w:top w:val="nil"/>
              <w:left w:val="nil"/>
              <w:bottom w:val="nil"/>
              <w:right w:val="nil"/>
            </w:tcBorders>
            <w:shd w:val="clear" w:color="000000" w:fill="FFFFFF"/>
            <w:noWrap/>
            <w:vAlign w:val="center"/>
            <w:hideMark/>
          </w:tcPr>
          <w:p w14:paraId="484970D4" w14:textId="1AFFEEC0" w:rsidR="00951A4C" w:rsidRPr="00951A4C" w:rsidRDefault="00951A4C" w:rsidP="00951A4C">
            <w:pPr>
              <w:jc w:val="center"/>
              <w:rPr>
                <w:rFonts w:ascii="CAIXA Std Book" w:eastAsia="Times New Roman" w:hAnsi="CAIXA Std Book" w:cs="Calibri"/>
                <w:color w:val="005CA9"/>
                <w:sz w:val="16"/>
                <w:szCs w:val="16"/>
              </w:rPr>
            </w:pPr>
            <w:r w:rsidRPr="00951A4C">
              <w:rPr>
                <w:rFonts w:ascii="CAIXA Std Book" w:eastAsia="Times New Roman" w:hAnsi="CAIXA Std Book" w:cs="Calibri"/>
                <w:color w:val="005CA9"/>
                <w:sz w:val="16"/>
                <w:szCs w:val="16"/>
              </w:rPr>
              <w:t>-</w:t>
            </w:r>
          </w:p>
        </w:tc>
        <w:tc>
          <w:tcPr>
            <w:tcW w:w="606" w:type="pct"/>
            <w:tcBorders>
              <w:top w:val="nil"/>
              <w:left w:val="nil"/>
              <w:bottom w:val="nil"/>
              <w:right w:val="nil"/>
            </w:tcBorders>
            <w:shd w:val="clear" w:color="000000" w:fill="FFFFFF"/>
            <w:noWrap/>
            <w:vAlign w:val="center"/>
            <w:hideMark/>
          </w:tcPr>
          <w:p w14:paraId="447A60D6" w14:textId="58FDD328" w:rsidR="00951A4C" w:rsidRPr="00951A4C" w:rsidRDefault="00951A4C" w:rsidP="00951A4C">
            <w:pPr>
              <w:jc w:val="center"/>
              <w:rPr>
                <w:rFonts w:ascii="CAIXA Std Book" w:eastAsia="Times New Roman" w:hAnsi="CAIXA Std Book" w:cs="Calibri"/>
                <w:color w:val="005CA9"/>
                <w:sz w:val="16"/>
                <w:szCs w:val="16"/>
              </w:rPr>
            </w:pPr>
            <w:r w:rsidRPr="00951A4C">
              <w:rPr>
                <w:rFonts w:ascii="CAIXA Std Book" w:eastAsia="Times New Roman" w:hAnsi="CAIXA Std Book" w:cs="Calibri"/>
                <w:color w:val="005CA9"/>
                <w:sz w:val="16"/>
                <w:szCs w:val="16"/>
              </w:rPr>
              <w:t>-</w:t>
            </w:r>
          </w:p>
        </w:tc>
        <w:tc>
          <w:tcPr>
            <w:tcW w:w="606" w:type="pct"/>
            <w:tcBorders>
              <w:top w:val="nil"/>
              <w:left w:val="nil"/>
              <w:bottom w:val="nil"/>
              <w:right w:val="nil"/>
            </w:tcBorders>
            <w:shd w:val="clear" w:color="000000" w:fill="FFFFFF"/>
            <w:noWrap/>
            <w:vAlign w:val="center"/>
            <w:hideMark/>
          </w:tcPr>
          <w:p w14:paraId="25E1DA32" w14:textId="6D297BC9" w:rsidR="00951A4C" w:rsidRPr="00951A4C" w:rsidRDefault="00951A4C" w:rsidP="00951A4C">
            <w:pPr>
              <w:jc w:val="center"/>
              <w:rPr>
                <w:rFonts w:ascii="CAIXA Std Book" w:eastAsia="Times New Roman" w:hAnsi="CAIXA Std Book" w:cs="Calibri"/>
                <w:color w:val="005CA9"/>
                <w:sz w:val="16"/>
                <w:szCs w:val="16"/>
              </w:rPr>
            </w:pPr>
            <w:r w:rsidRPr="00951A4C">
              <w:rPr>
                <w:rFonts w:ascii="CAIXA Std Book" w:eastAsia="Times New Roman" w:hAnsi="CAIXA Std Book" w:cs="Calibri"/>
                <w:color w:val="005CA9"/>
                <w:sz w:val="16"/>
                <w:szCs w:val="16"/>
              </w:rPr>
              <w:t>-</w:t>
            </w:r>
          </w:p>
        </w:tc>
        <w:tc>
          <w:tcPr>
            <w:tcW w:w="606" w:type="pct"/>
            <w:tcBorders>
              <w:top w:val="nil"/>
              <w:left w:val="nil"/>
              <w:bottom w:val="nil"/>
              <w:right w:val="nil"/>
            </w:tcBorders>
            <w:shd w:val="clear" w:color="000000" w:fill="FFFFFF"/>
            <w:noWrap/>
            <w:vAlign w:val="center"/>
            <w:hideMark/>
          </w:tcPr>
          <w:p w14:paraId="647C6B95" w14:textId="798F3FE7" w:rsidR="00951A4C" w:rsidRPr="00951A4C" w:rsidRDefault="00951A4C" w:rsidP="00951A4C">
            <w:pPr>
              <w:jc w:val="center"/>
              <w:rPr>
                <w:rFonts w:ascii="CAIXA Std Book" w:eastAsia="Times New Roman" w:hAnsi="CAIXA Std Book" w:cs="Calibri"/>
                <w:color w:val="005CA9"/>
                <w:sz w:val="16"/>
                <w:szCs w:val="16"/>
              </w:rPr>
            </w:pPr>
            <w:r w:rsidRPr="00951A4C">
              <w:rPr>
                <w:rFonts w:ascii="CAIXA Std Book" w:eastAsia="Times New Roman" w:hAnsi="CAIXA Std Book" w:cs="Calibri"/>
                <w:color w:val="005CA9"/>
                <w:sz w:val="16"/>
                <w:szCs w:val="16"/>
              </w:rPr>
              <w:t>-</w:t>
            </w:r>
          </w:p>
        </w:tc>
        <w:tc>
          <w:tcPr>
            <w:tcW w:w="609" w:type="pct"/>
            <w:tcBorders>
              <w:top w:val="nil"/>
              <w:left w:val="nil"/>
              <w:bottom w:val="nil"/>
              <w:right w:val="nil"/>
            </w:tcBorders>
            <w:shd w:val="clear" w:color="000000" w:fill="FFFFFF"/>
            <w:noWrap/>
            <w:vAlign w:val="center"/>
            <w:hideMark/>
          </w:tcPr>
          <w:p w14:paraId="14380E8B" w14:textId="3D077F76" w:rsidR="00951A4C" w:rsidRPr="00951A4C" w:rsidRDefault="00951A4C" w:rsidP="00951A4C">
            <w:pPr>
              <w:jc w:val="right"/>
              <w:rPr>
                <w:rFonts w:ascii="CAIXA Std Book" w:eastAsia="Times New Roman" w:hAnsi="CAIXA Std Book" w:cs="Calibri"/>
                <w:color w:val="005CA9"/>
                <w:sz w:val="16"/>
                <w:szCs w:val="16"/>
              </w:rPr>
            </w:pPr>
            <w:r w:rsidRPr="00951A4C">
              <w:rPr>
                <w:rFonts w:ascii="CAIXA Std Book" w:eastAsia="Times New Roman" w:hAnsi="CAIXA Std Book" w:cs="Calibri"/>
                <w:color w:val="005CA9"/>
                <w:sz w:val="16"/>
                <w:szCs w:val="16"/>
              </w:rPr>
              <w:t>150.365</w:t>
            </w:r>
          </w:p>
        </w:tc>
      </w:tr>
      <w:tr w:rsidR="00951A4C" w:rsidRPr="00951A4C" w14:paraId="7A18C5E3" w14:textId="77777777" w:rsidTr="00E11638">
        <w:trPr>
          <w:trHeight w:val="283"/>
        </w:trPr>
        <w:tc>
          <w:tcPr>
            <w:tcW w:w="1967" w:type="pct"/>
            <w:tcBorders>
              <w:top w:val="nil"/>
              <w:left w:val="nil"/>
              <w:bottom w:val="nil"/>
              <w:right w:val="nil"/>
            </w:tcBorders>
            <w:noWrap/>
            <w:vAlign w:val="center"/>
            <w:hideMark/>
          </w:tcPr>
          <w:p w14:paraId="2838834C" w14:textId="77777777" w:rsidR="00951A4C" w:rsidRPr="00951A4C" w:rsidRDefault="00951A4C" w:rsidP="00951A4C">
            <w:pPr>
              <w:ind w:firstLineChars="100" w:firstLine="160"/>
              <w:rPr>
                <w:rFonts w:ascii="CAIXA Std Book" w:eastAsia="Times New Roman" w:hAnsi="CAIXA Std Book" w:cs="Calibri"/>
                <w:color w:val="005CA9"/>
                <w:sz w:val="16"/>
                <w:szCs w:val="16"/>
              </w:rPr>
            </w:pPr>
            <w:r w:rsidRPr="00951A4C">
              <w:rPr>
                <w:rFonts w:ascii="CAIXA Std Book" w:eastAsia="Times New Roman" w:hAnsi="CAIXA Std Book" w:cs="Calibri"/>
                <w:color w:val="005CA9"/>
                <w:sz w:val="16"/>
                <w:szCs w:val="16"/>
              </w:rPr>
              <w:t>Depósitos interfinanceiros - crédito rural</w:t>
            </w:r>
          </w:p>
        </w:tc>
        <w:tc>
          <w:tcPr>
            <w:tcW w:w="606" w:type="pct"/>
            <w:tcBorders>
              <w:top w:val="nil"/>
              <w:left w:val="nil"/>
              <w:bottom w:val="nil"/>
              <w:right w:val="nil"/>
            </w:tcBorders>
            <w:shd w:val="clear" w:color="000000" w:fill="FFFFFF"/>
            <w:noWrap/>
            <w:vAlign w:val="center"/>
            <w:hideMark/>
          </w:tcPr>
          <w:p w14:paraId="1B11D0B4" w14:textId="33991EF8" w:rsidR="00951A4C" w:rsidRPr="00951A4C" w:rsidRDefault="00951A4C" w:rsidP="00951A4C">
            <w:pPr>
              <w:jc w:val="right"/>
              <w:rPr>
                <w:rFonts w:ascii="CAIXA Std Book" w:eastAsia="Times New Roman" w:hAnsi="CAIXA Std Book" w:cs="Calibri"/>
                <w:color w:val="005CA9"/>
                <w:sz w:val="16"/>
                <w:szCs w:val="16"/>
              </w:rPr>
            </w:pPr>
            <w:r w:rsidRPr="00951A4C">
              <w:rPr>
                <w:rFonts w:ascii="CAIXA Std Book" w:eastAsia="Times New Roman" w:hAnsi="CAIXA Std Book" w:cs="Calibri"/>
                <w:color w:val="005CA9"/>
                <w:sz w:val="16"/>
                <w:szCs w:val="16"/>
              </w:rPr>
              <w:t>8.179.316</w:t>
            </w:r>
          </w:p>
        </w:tc>
        <w:tc>
          <w:tcPr>
            <w:tcW w:w="606" w:type="pct"/>
            <w:tcBorders>
              <w:top w:val="nil"/>
              <w:left w:val="nil"/>
              <w:bottom w:val="nil"/>
              <w:right w:val="nil"/>
            </w:tcBorders>
            <w:shd w:val="clear" w:color="000000" w:fill="FFFFFF"/>
            <w:noWrap/>
            <w:vAlign w:val="center"/>
            <w:hideMark/>
          </w:tcPr>
          <w:p w14:paraId="158057EB" w14:textId="56384982" w:rsidR="00951A4C" w:rsidRPr="00951A4C" w:rsidRDefault="00951A4C" w:rsidP="00951A4C">
            <w:pPr>
              <w:jc w:val="right"/>
              <w:rPr>
                <w:rFonts w:ascii="CAIXA Std Book" w:eastAsia="Times New Roman" w:hAnsi="CAIXA Std Book" w:cs="Calibri"/>
                <w:color w:val="005CA9"/>
                <w:sz w:val="16"/>
                <w:szCs w:val="16"/>
              </w:rPr>
            </w:pPr>
            <w:r w:rsidRPr="00951A4C">
              <w:rPr>
                <w:rFonts w:ascii="CAIXA Std Book" w:eastAsia="Times New Roman" w:hAnsi="CAIXA Std Book" w:cs="Calibri"/>
                <w:color w:val="005CA9"/>
                <w:sz w:val="16"/>
                <w:szCs w:val="16"/>
              </w:rPr>
              <w:t>108.227</w:t>
            </w:r>
          </w:p>
        </w:tc>
        <w:tc>
          <w:tcPr>
            <w:tcW w:w="606" w:type="pct"/>
            <w:tcBorders>
              <w:top w:val="nil"/>
              <w:left w:val="nil"/>
              <w:bottom w:val="nil"/>
              <w:right w:val="nil"/>
            </w:tcBorders>
            <w:shd w:val="clear" w:color="000000" w:fill="FFFFFF"/>
            <w:noWrap/>
            <w:vAlign w:val="center"/>
            <w:hideMark/>
          </w:tcPr>
          <w:p w14:paraId="77B993A1" w14:textId="77777777" w:rsidR="00951A4C" w:rsidRPr="00951A4C" w:rsidRDefault="00951A4C" w:rsidP="00951A4C">
            <w:pPr>
              <w:jc w:val="right"/>
              <w:rPr>
                <w:rFonts w:ascii="CAIXA Std Book" w:eastAsia="Times New Roman" w:hAnsi="CAIXA Std Book" w:cs="Calibri"/>
                <w:color w:val="005CA9"/>
                <w:sz w:val="16"/>
                <w:szCs w:val="16"/>
              </w:rPr>
            </w:pPr>
            <w:r w:rsidRPr="00951A4C">
              <w:rPr>
                <w:rFonts w:ascii="CAIXA Std Book" w:eastAsia="Times New Roman" w:hAnsi="CAIXA Std Book" w:cs="Calibri"/>
                <w:color w:val="005CA9"/>
                <w:sz w:val="16"/>
                <w:szCs w:val="16"/>
              </w:rPr>
              <w:t>(13.698)</w:t>
            </w:r>
          </w:p>
        </w:tc>
        <w:tc>
          <w:tcPr>
            <w:tcW w:w="606" w:type="pct"/>
            <w:tcBorders>
              <w:top w:val="nil"/>
              <w:left w:val="nil"/>
              <w:bottom w:val="nil"/>
              <w:right w:val="nil"/>
            </w:tcBorders>
            <w:shd w:val="clear" w:color="000000" w:fill="FFFFFF"/>
            <w:noWrap/>
            <w:vAlign w:val="center"/>
            <w:hideMark/>
          </w:tcPr>
          <w:p w14:paraId="25618FB6" w14:textId="7AE41FF0" w:rsidR="00951A4C" w:rsidRPr="00951A4C" w:rsidRDefault="00951A4C" w:rsidP="00951A4C">
            <w:pPr>
              <w:jc w:val="right"/>
              <w:rPr>
                <w:rFonts w:ascii="CAIXA Std Book" w:eastAsia="Times New Roman" w:hAnsi="CAIXA Std Book" w:cs="Calibri"/>
                <w:color w:val="005CA9"/>
                <w:sz w:val="16"/>
                <w:szCs w:val="16"/>
              </w:rPr>
            </w:pPr>
            <w:r w:rsidRPr="00951A4C">
              <w:rPr>
                <w:rFonts w:ascii="CAIXA Std Book" w:eastAsia="Times New Roman" w:hAnsi="CAIXA Std Book" w:cs="Calibri"/>
                <w:color w:val="005CA9"/>
                <w:sz w:val="16"/>
                <w:szCs w:val="16"/>
              </w:rPr>
              <w:t>8.273.845</w:t>
            </w:r>
          </w:p>
        </w:tc>
        <w:tc>
          <w:tcPr>
            <w:tcW w:w="609" w:type="pct"/>
            <w:tcBorders>
              <w:top w:val="nil"/>
              <w:left w:val="nil"/>
              <w:bottom w:val="nil"/>
              <w:right w:val="nil"/>
            </w:tcBorders>
            <w:shd w:val="clear" w:color="000000" w:fill="FFFFFF"/>
            <w:noWrap/>
            <w:vAlign w:val="center"/>
            <w:hideMark/>
          </w:tcPr>
          <w:p w14:paraId="2AD2F549" w14:textId="48444EDF" w:rsidR="00951A4C" w:rsidRPr="00951A4C" w:rsidRDefault="00951A4C" w:rsidP="00951A4C">
            <w:pPr>
              <w:jc w:val="right"/>
              <w:rPr>
                <w:rFonts w:ascii="CAIXA Std Book" w:eastAsia="Times New Roman" w:hAnsi="CAIXA Std Book" w:cs="Calibri"/>
                <w:color w:val="005CA9"/>
                <w:sz w:val="16"/>
                <w:szCs w:val="16"/>
              </w:rPr>
            </w:pPr>
            <w:r w:rsidRPr="00951A4C">
              <w:rPr>
                <w:rFonts w:ascii="CAIXA Std Book" w:eastAsia="Times New Roman" w:hAnsi="CAIXA Std Book" w:cs="Calibri"/>
                <w:color w:val="005CA9"/>
                <w:sz w:val="16"/>
                <w:szCs w:val="16"/>
              </w:rPr>
              <w:t>7.657.653</w:t>
            </w:r>
          </w:p>
        </w:tc>
      </w:tr>
      <w:tr w:rsidR="00951A4C" w:rsidRPr="00951A4C" w14:paraId="4FA83379" w14:textId="77777777" w:rsidTr="00E11638">
        <w:trPr>
          <w:trHeight w:val="283"/>
        </w:trPr>
        <w:tc>
          <w:tcPr>
            <w:tcW w:w="1967" w:type="pct"/>
            <w:tcBorders>
              <w:top w:val="nil"/>
              <w:left w:val="nil"/>
              <w:bottom w:val="nil"/>
              <w:right w:val="nil"/>
            </w:tcBorders>
            <w:shd w:val="clear" w:color="000000" w:fill="005CA9"/>
            <w:noWrap/>
            <w:vAlign w:val="center"/>
            <w:hideMark/>
          </w:tcPr>
          <w:p w14:paraId="236C8389" w14:textId="77777777" w:rsidR="00951A4C" w:rsidRPr="00951A4C" w:rsidRDefault="00951A4C" w:rsidP="00951A4C">
            <w:pPr>
              <w:rPr>
                <w:rFonts w:ascii="CAIXA Std Book" w:eastAsia="Times New Roman" w:hAnsi="CAIXA Std Book" w:cs="Calibri"/>
                <w:b/>
                <w:bCs/>
                <w:color w:val="FFFFFF"/>
                <w:sz w:val="16"/>
                <w:szCs w:val="16"/>
              </w:rPr>
            </w:pPr>
            <w:r w:rsidRPr="00951A4C">
              <w:rPr>
                <w:rFonts w:ascii="CAIXA Std Book" w:eastAsia="Times New Roman" w:hAnsi="CAIXA Std Book" w:cs="Calibri"/>
                <w:b/>
                <w:bCs/>
                <w:color w:val="FFFFFF"/>
                <w:sz w:val="16"/>
                <w:szCs w:val="16"/>
              </w:rPr>
              <w:t xml:space="preserve"> Total </w:t>
            </w:r>
          </w:p>
        </w:tc>
        <w:tc>
          <w:tcPr>
            <w:tcW w:w="606" w:type="pct"/>
            <w:tcBorders>
              <w:top w:val="nil"/>
              <w:left w:val="nil"/>
              <w:bottom w:val="nil"/>
              <w:right w:val="nil"/>
            </w:tcBorders>
            <w:shd w:val="clear" w:color="000000" w:fill="005CA9"/>
            <w:noWrap/>
            <w:vAlign w:val="center"/>
            <w:hideMark/>
          </w:tcPr>
          <w:p w14:paraId="14FEF22B" w14:textId="3842783C" w:rsidR="00951A4C" w:rsidRPr="00951A4C" w:rsidRDefault="00951A4C" w:rsidP="00951A4C">
            <w:pPr>
              <w:jc w:val="right"/>
              <w:rPr>
                <w:rFonts w:ascii="CAIXA Std Book" w:eastAsia="Times New Roman" w:hAnsi="CAIXA Std Book" w:cs="Calibri"/>
                <w:b/>
                <w:bCs/>
                <w:color w:val="FFFFFF"/>
                <w:sz w:val="16"/>
                <w:szCs w:val="16"/>
              </w:rPr>
            </w:pPr>
            <w:r w:rsidRPr="00951A4C">
              <w:rPr>
                <w:rFonts w:ascii="CAIXA Std Book" w:eastAsia="Times New Roman" w:hAnsi="CAIXA Std Book" w:cs="Calibri"/>
                <w:b/>
                <w:bCs/>
                <w:color w:val="FFFFFF"/>
                <w:sz w:val="16"/>
                <w:szCs w:val="16"/>
              </w:rPr>
              <w:t>8.179.316</w:t>
            </w:r>
          </w:p>
        </w:tc>
        <w:tc>
          <w:tcPr>
            <w:tcW w:w="606" w:type="pct"/>
            <w:tcBorders>
              <w:top w:val="nil"/>
              <w:left w:val="nil"/>
              <w:bottom w:val="nil"/>
              <w:right w:val="nil"/>
            </w:tcBorders>
            <w:shd w:val="clear" w:color="000000" w:fill="005CA9"/>
            <w:noWrap/>
            <w:vAlign w:val="center"/>
            <w:hideMark/>
          </w:tcPr>
          <w:p w14:paraId="139D1578" w14:textId="77E04536" w:rsidR="00951A4C" w:rsidRPr="00951A4C" w:rsidRDefault="00951A4C" w:rsidP="00951A4C">
            <w:pPr>
              <w:jc w:val="right"/>
              <w:rPr>
                <w:rFonts w:ascii="CAIXA Std Book" w:eastAsia="Times New Roman" w:hAnsi="CAIXA Std Book" w:cs="Calibri"/>
                <w:b/>
                <w:bCs/>
                <w:color w:val="FFFFFF"/>
                <w:sz w:val="16"/>
                <w:szCs w:val="16"/>
              </w:rPr>
            </w:pPr>
            <w:r w:rsidRPr="00951A4C">
              <w:rPr>
                <w:rFonts w:ascii="CAIXA Std Book" w:eastAsia="Times New Roman" w:hAnsi="CAIXA Std Book" w:cs="Calibri"/>
                <w:b/>
                <w:bCs/>
                <w:color w:val="FFFFFF"/>
                <w:sz w:val="16"/>
                <w:szCs w:val="16"/>
              </w:rPr>
              <w:t>108.227</w:t>
            </w:r>
          </w:p>
        </w:tc>
        <w:tc>
          <w:tcPr>
            <w:tcW w:w="606" w:type="pct"/>
            <w:tcBorders>
              <w:top w:val="nil"/>
              <w:left w:val="nil"/>
              <w:bottom w:val="nil"/>
              <w:right w:val="nil"/>
            </w:tcBorders>
            <w:shd w:val="clear" w:color="000000" w:fill="005CA9"/>
            <w:noWrap/>
            <w:vAlign w:val="center"/>
            <w:hideMark/>
          </w:tcPr>
          <w:p w14:paraId="0C4D58C4" w14:textId="77777777" w:rsidR="00951A4C" w:rsidRPr="00951A4C" w:rsidRDefault="00951A4C" w:rsidP="00951A4C">
            <w:pPr>
              <w:jc w:val="right"/>
              <w:rPr>
                <w:rFonts w:ascii="CAIXA Std Book" w:eastAsia="Times New Roman" w:hAnsi="CAIXA Std Book" w:cs="Calibri"/>
                <w:b/>
                <w:bCs/>
                <w:color w:val="FFFFFF"/>
                <w:sz w:val="16"/>
                <w:szCs w:val="16"/>
              </w:rPr>
            </w:pPr>
            <w:r w:rsidRPr="00951A4C">
              <w:rPr>
                <w:rFonts w:ascii="CAIXA Std Book" w:eastAsia="Times New Roman" w:hAnsi="CAIXA Std Book" w:cs="Calibri"/>
                <w:b/>
                <w:bCs/>
                <w:color w:val="FFFFFF"/>
                <w:sz w:val="16"/>
                <w:szCs w:val="16"/>
              </w:rPr>
              <w:t>(13.698)</w:t>
            </w:r>
          </w:p>
        </w:tc>
        <w:tc>
          <w:tcPr>
            <w:tcW w:w="606" w:type="pct"/>
            <w:tcBorders>
              <w:top w:val="nil"/>
              <w:left w:val="nil"/>
              <w:bottom w:val="nil"/>
              <w:right w:val="nil"/>
            </w:tcBorders>
            <w:shd w:val="clear" w:color="000000" w:fill="005CA9"/>
            <w:noWrap/>
            <w:vAlign w:val="center"/>
            <w:hideMark/>
          </w:tcPr>
          <w:p w14:paraId="0E530536" w14:textId="3D2D75BB" w:rsidR="00951A4C" w:rsidRPr="00951A4C" w:rsidRDefault="00951A4C" w:rsidP="00951A4C">
            <w:pPr>
              <w:jc w:val="right"/>
              <w:rPr>
                <w:rFonts w:ascii="CAIXA Std Book" w:eastAsia="Times New Roman" w:hAnsi="CAIXA Std Book" w:cs="Calibri"/>
                <w:b/>
                <w:bCs/>
                <w:color w:val="FFFFFF"/>
                <w:sz w:val="16"/>
                <w:szCs w:val="16"/>
              </w:rPr>
            </w:pPr>
            <w:r w:rsidRPr="00951A4C">
              <w:rPr>
                <w:rFonts w:ascii="CAIXA Std Book" w:eastAsia="Times New Roman" w:hAnsi="CAIXA Std Book" w:cs="Calibri"/>
                <w:b/>
                <w:bCs/>
                <w:color w:val="FFFFFF"/>
                <w:sz w:val="16"/>
                <w:szCs w:val="16"/>
              </w:rPr>
              <w:t>8.273.845</w:t>
            </w:r>
          </w:p>
        </w:tc>
        <w:tc>
          <w:tcPr>
            <w:tcW w:w="609" w:type="pct"/>
            <w:tcBorders>
              <w:top w:val="nil"/>
              <w:left w:val="nil"/>
              <w:bottom w:val="nil"/>
              <w:right w:val="nil"/>
            </w:tcBorders>
            <w:shd w:val="clear" w:color="000000" w:fill="005CA9"/>
            <w:noWrap/>
            <w:vAlign w:val="center"/>
            <w:hideMark/>
          </w:tcPr>
          <w:p w14:paraId="21FBB053" w14:textId="6C26E97F" w:rsidR="00951A4C" w:rsidRPr="00951A4C" w:rsidRDefault="00951A4C" w:rsidP="00951A4C">
            <w:pPr>
              <w:jc w:val="right"/>
              <w:rPr>
                <w:rFonts w:ascii="CAIXA Std Book" w:eastAsia="Times New Roman" w:hAnsi="CAIXA Std Book" w:cs="Calibri"/>
                <w:b/>
                <w:bCs/>
                <w:color w:val="FFFFFF"/>
                <w:sz w:val="16"/>
                <w:szCs w:val="16"/>
              </w:rPr>
            </w:pPr>
            <w:r w:rsidRPr="00951A4C">
              <w:rPr>
                <w:rFonts w:ascii="CAIXA Std Book" w:eastAsia="Times New Roman" w:hAnsi="CAIXA Std Book" w:cs="Calibri"/>
                <w:b/>
                <w:bCs/>
                <w:color w:val="FFFFFF"/>
                <w:sz w:val="16"/>
                <w:szCs w:val="16"/>
              </w:rPr>
              <w:t>7.808.018</w:t>
            </w:r>
          </w:p>
        </w:tc>
      </w:tr>
    </w:tbl>
    <w:p w14:paraId="464282D8" w14:textId="495C1E90" w:rsidR="00CD21F9" w:rsidRDefault="004B261E">
      <w:pPr>
        <w:rPr>
          <w:rFonts w:ascii="CAIXA Std Book" w:hAnsi="CAIXA Std Book"/>
          <w:color w:val="005CA9"/>
          <w:sz w:val="16"/>
          <w:szCs w:val="16"/>
        </w:rPr>
      </w:pPr>
      <w:r w:rsidRPr="004B261E">
        <w:rPr>
          <w:rFonts w:ascii="CAIXA Std Book" w:hAnsi="CAIXA Std Book"/>
          <w:color w:val="005CA9"/>
          <w:sz w:val="16"/>
          <w:szCs w:val="16"/>
        </w:rPr>
        <w:t>(1)</w:t>
      </w:r>
      <w:r w:rsidR="00204CB5">
        <w:rPr>
          <w:rFonts w:ascii="CAIXA Std Book" w:hAnsi="CAIXA Std Book"/>
          <w:color w:val="005CA9"/>
          <w:sz w:val="16"/>
          <w:szCs w:val="16"/>
        </w:rPr>
        <w:t xml:space="preserve"> </w:t>
      </w:r>
      <w:r w:rsidR="007A5013" w:rsidRPr="004B261E">
        <w:rPr>
          <w:rFonts w:ascii="CAIXA Std Book" w:hAnsi="CAIXA Std Book"/>
          <w:color w:val="005CA9"/>
          <w:sz w:val="16"/>
          <w:szCs w:val="16"/>
        </w:rPr>
        <w:t xml:space="preserve">A integralidade da carteira de depósito </w:t>
      </w:r>
      <w:r w:rsidR="001A094D" w:rsidRPr="004B261E">
        <w:rPr>
          <w:rFonts w:ascii="CAIXA Std Book" w:hAnsi="CAIXA Std Book"/>
          <w:color w:val="005CA9"/>
          <w:sz w:val="16"/>
          <w:szCs w:val="16"/>
        </w:rPr>
        <w:t>inter</w:t>
      </w:r>
      <w:r w:rsidR="007A5013" w:rsidRPr="004B261E">
        <w:rPr>
          <w:rFonts w:ascii="CAIXA Std Book" w:hAnsi="CAIXA Std Book"/>
          <w:color w:val="005CA9"/>
          <w:sz w:val="16"/>
          <w:szCs w:val="16"/>
        </w:rPr>
        <w:t xml:space="preserve">financeiro encontra-se alocada no </w:t>
      </w:r>
      <w:r w:rsidR="00894F92" w:rsidRPr="004B261E">
        <w:rPr>
          <w:rFonts w:ascii="CAIXA Std Book" w:hAnsi="CAIXA Std Book"/>
          <w:color w:val="005CA9"/>
          <w:sz w:val="16"/>
          <w:szCs w:val="16"/>
        </w:rPr>
        <w:t>e</w:t>
      </w:r>
      <w:r w:rsidR="007A5013" w:rsidRPr="004B261E">
        <w:rPr>
          <w:rFonts w:ascii="CAIXA Std Book" w:hAnsi="CAIXA Std Book"/>
          <w:color w:val="005CA9"/>
          <w:sz w:val="16"/>
          <w:szCs w:val="16"/>
        </w:rPr>
        <w:t>stágio 1.</w:t>
      </w:r>
    </w:p>
    <w:p w14:paraId="3977C54A" w14:textId="7BAB36B0" w:rsidR="005D4B84" w:rsidRDefault="006D200C" w:rsidP="00CF3BB7">
      <w:pPr>
        <w:sectPr w:rsidR="005D4B84" w:rsidSect="006907F6">
          <w:headerReference w:type="default" r:id="rId46"/>
          <w:footerReference w:type="even" r:id="rId47"/>
          <w:footerReference w:type="default" r:id="rId48"/>
          <w:footerReference w:type="first" r:id="rId49"/>
          <w:pgSz w:w="11907" w:h="16840" w:code="9"/>
          <w:pgMar w:top="1985" w:right="851" w:bottom="1418" w:left="1418" w:header="1134" w:footer="709" w:gutter="0"/>
          <w:cols w:space="708"/>
          <w:docGrid w:linePitch="360"/>
        </w:sectPr>
      </w:pPr>
      <w:bookmarkStart w:id="91" w:name="_Toc217914328"/>
      <w:r>
        <w:br w:type="page"/>
      </w:r>
    </w:p>
    <w:p w14:paraId="08A21710" w14:textId="56BE2BA0" w:rsidR="006256ED" w:rsidRPr="00E95E29" w:rsidRDefault="006256ED" w:rsidP="00B735D2">
      <w:pPr>
        <w:pStyle w:val="Ttulo1"/>
      </w:pPr>
      <w:bookmarkStart w:id="92" w:name="_Toc229588478"/>
      <w:r w:rsidRPr="007A78A2">
        <w:t>Nota   8.3 – Títulos e valores mobiliários mensurados ao custo amortizado</w:t>
      </w:r>
      <w:bookmarkEnd w:id="91"/>
      <w:bookmarkEnd w:id="92"/>
    </w:p>
    <w:p w14:paraId="0E564EC0" w14:textId="12839790" w:rsidR="002E07C0" w:rsidRDefault="002E07C0" w:rsidP="00EA1459">
      <w:pPr>
        <w:pStyle w:val="PargrafodaLista"/>
        <w:numPr>
          <w:ilvl w:val="0"/>
          <w:numId w:val="6"/>
        </w:numPr>
        <w:spacing w:before="240" w:after="120"/>
        <w:ind w:left="567" w:hanging="567"/>
        <w:rPr>
          <w:rFonts w:ascii="CAIXA Std Book" w:hAnsi="CAIXA Std Book"/>
          <w:b/>
          <w:color w:val="005CA9"/>
          <w:sz w:val="20"/>
          <w:szCs w:val="20"/>
        </w:rPr>
      </w:pPr>
      <w:r w:rsidRPr="00F7791E">
        <w:rPr>
          <w:rFonts w:ascii="CAIXA Std Book" w:hAnsi="CAIXA Std Book"/>
          <w:b/>
          <w:color w:val="005CA9"/>
          <w:sz w:val="20"/>
          <w:szCs w:val="20"/>
        </w:rPr>
        <w:t>Composição da carteira por prazo de vencimento</w:t>
      </w:r>
    </w:p>
    <w:tbl>
      <w:tblPr>
        <w:tblW w:w="5000" w:type="pct"/>
        <w:tblCellMar>
          <w:left w:w="70" w:type="dxa"/>
          <w:right w:w="70" w:type="dxa"/>
        </w:tblCellMar>
        <w:tblLook w:val="04A0" w:firstRow="1" w:lastRow="0" w:firstColumn="1" w:lastColumn="0" w:noHBand="0" w:noVBand="1"/>
      </w:tblPr>
      <w:tblGrid>
        <w:gridCol w:w="6341"/>
        <w:gridCol w:w="1882"/>
        <w:gridCol w:w="2121"/>
        <w:gridCol w:w="2104"/>
        <w:gridCol w:w="2121"/>
      </w:tblGrid>
      <w:tr w:rsidR="004F6B14" w:rsidRPr="004F6B14" w14:paraId="040C729E" w14:textId="77777777" w:rsidTr="00545B46">
        <w:trPr>
          <w:trHeight w:val="283"/>
        </w:trPr>
        <w:tc>
          <w:tcPr>
            <w:tcW w:w="5000" w:type="pct"/>
            <w:gridSpan w:val="5"/>
            <w:tcBorders>
              <w:top w:val="nil"/>
              <w:left w:val="nil"/>
              <w:bottom w:val="single" w:sz="8" w:space="0" w:color="FFFFFF"/>
              <w:right w:val="nil"/>
            </w:tcBorders>
            <w:shd w:val="clear" w:color="000000" w:fill="005CA9"/>
            <w:vAlign w:val="center"/>
            <w:hideMark/>
          </w:tcPr>
          <w:p w14:paraId="3363504D" w14:textId="77777777" w:rsidR="004F6B14" w:rsidRPr="004F6B14" w:rsidRDefault="004F6B14" w:rsidP="004F6B14">
            <w:pPr>
              <w:jc w:val="center"/>
              <w:rPr>
                <w:rFonts w:ascii="CAIXA Std Book" w:eastAsia="Times New Roman" w:hAnsi="CAIXA Std Book" w:cs="Times New Roman"/>
                <w:b/>
                <w:bCs/>
                <w:color w:val="FFFFFF"/>
                <w:sz w:val="18"/>
                <w:szCs w:val="18"/>
              </w:rPr>
            </w:pPr>
            <w:r w:rsidRPr="004F6B14">
              <w:rPr>
                <w:rFonts w:ascii="CAIXA Std Book" w:eastAsia="Times New Roman" w:hAnsi="CAIXA Std Book" w:cs="Times New Roman"/>
                <w:b/>
                <w:bCs/>
                <w:color w:val="FFFFFF"/>
                <w:sz w:val="18"/>
                <w:szCs w:val="18"/>
              </w:rPr>
              <w:t>Individual / Consolidado</w:t>
            </w:r>
          </w:p>
        </w:tc>
      </w:tr>
      <w:tr w:rsidR="004F6B14" w:rsidRPr="004F6B14" w14:paraId="2490FB7F" w14:textId="77777777" w:rsidTr="00545B46">
        <w:trPr>
          <w:trHeight w:val="283"/>
        </w:trPr>
        <w:tc>
          <w:tcPr>
            <w:tcW w:w="2176" w:type="pct"/>
            <w:vMerge w:val="restart"/>
            <w:tcBorders>
              <w:top w:val="nil"/>
              <w:left w:val="nil"/>
              <w:bottom w:val="nil"/>
              <w:right w:val="nil"/>
            </w:tcBorders>
            <w:shd w:val="clear" w:color="000000" w:fill="005CA9"/>
            <w:vAlign w:val="center"/>
            <w:hideMark/>
          </w:tcPr>
          <w:p w14:paraId="6C95C64D" w14:textId="77777777" w:rsidR="004F6B14" w:rsidRPr="004F6B14" w:rsidRDefault="004F6B14" w:rsidP="004F6B14">
            <w:pPr>
              <w:jc w:val="center"/>
              <w:rPr>
                <w:rFonts w:ascii="CAIXA Std Book" w:eastAsia="Times New Roman" w:hAnsi="CAIXA Std Book" w:cs="Times New Roman"/>
                <w:b/>
                <w:bCs/>
                <w:color w:val="FFFFFF"/>
                <w:sz w:val="18"/>
                <w:szCs w:val="18"/>
              </w:rPr>
            </w:pPr>
            <w:r w:rsidRPr="004F6B14">
              <w:rPr>
                <w:rFonts w:ascii="CAIXA Std Book" w:eastAsia="Times New Roman" w:hAnsi="CAIXA Std Book" w:cs="Times New Roman"/>
                <w:b/>
                <w:bCs/>
                <w:color w:val="FFFFFF"/>
                <w:sz w:val="18"/>
                <w:szCs w:val="18"/>
              </w:rPr>
              <w:t>Descrição</w:t>
            </w:r>
          </w:p>
        </w:tc>
        <w:tc>
          <w:tcPr>
            <w:tcW w:w="2824" w:type="pct"/>
            <w:gridSpan w:val="4"/>
            <w:tcBorders>
              <w:top w:val="single" w:sz="8" w:space="0" w:color="FFFFFF"/>
              <w:left w:val="nil"/>
              <w:bottom w:val="single" w:sz="8" w:space="0" w:color="FFFFFF"/>
              <w:right w:val="nil"/>
            </w:tcBorders>
            <w:shd w:val="clear" w:color="000000" w:fill="005CA9"/>
            <w:vAlign w:val="center"/>
            <w:hideMark/>
          </w:tcPr>
          <w:p w14:paraId="48E56CEF" w14:textId="77777777" w:rsidR="004F6B14" w:rsidRPr="004F6B14" w:rsidRDefault="004F6B14" w:rsidP="004F6B14">
            <w:pPr>
              <w:jc w:val="center"/>
              <w:rPr>
                <w:rFonts w:ascii="CAIXA Std Book" w:eastAsia="Times New Roman" w:hAnsi="CAIXA Std Book" w:cs="Times New Roman"/>
                <w:b/>
                <w:bCs/>
                <w:color w:val="FFFFFF"/>
                <w:sz w:val="18"/>
                <w:szCs w:val="18"/>
              </w:rPr>
            </w:pPr>
            <w:r w:rsidRPr="004F6B14">
              <w:rPr>
                <w:rFonts w:ascii="CAIXA Std Book" w:eastAsia="Times New Roman" w:hAnsi="CAIXA Std Book" w:cs="Times New Roman"/>
                <w:b/>
                <w:bCs/>
                <w:color w:val="FFFFFF"/>
                <w:sz w:val="18"/>
                <w:szCs w:val="18"/>
              </w:rPr>
              <w:t>31/03/2026</w:t>
            </w:r>
          </w:p>
        </w:tc>
      </w:tr>
      <w:tr w:rsidR="004F6B14" w:rsidRPr="004F6B14" w14:paraId="704139A7" w14:textId="77777777" w:rsidTr="00545B46">
        <w:trPr>
          <w:trHeight w:val="283"/>
        </w:trPr>
        <w:tc>
          <w:tcPr>
            <w:tcW w:w="2176" w:type="pct"/>
            <w:vMerge/>
            <w:tcBorders>
              <w:top w:val="nil"/>
              <w:left w:val="nil"/>
              <w:bottom w:val="nil"/>
              <w:right w:val="nil"/>
            </w:tcBorders>
            <w:vAlign w:val="center"/>
            <w:hideMark/>
          </w:tcPr>
          <w:p w14:paraId="690CF57A" w14:textId="77777777" w:rsidR="004F6B14" w:rsidRPr="004F6B14" w:rsidRDefault="004F6B14" w:rsidP="004F6B14">
            <w:pPr>
              <w:rPr>
                <w:rFonts w:ascii="CAIXA Std Book" w:eastAsia="Times New Roman" w:hAnsi="CAIXA Std Book" w:cs="Times New Roman"/>
                <w:b/>
                <w:bCs/>
                <w:color w:val="FFFFFF"/>
                <w:sz w:val="18"/>
                <w:szCs w:val="18"/>
              </w:rPr>
            </w:pPr>
          </w:p>
        </w:tc>
        <w:tc>
          <w:tcPr>
            <w:tcW w:w="646" w:type="pct"/>
            <w:tcBorders>
              <w:top w:val="nil"/>
              <w:left w:val="nil"/>
              <w:bottom w:val="nil"/>
              <w:right w:val="nil"/>
            </w:tcBorders>
            <w:shd w:val="clear" w:color="000000" w:fill="005CA9"/>
            <w:vAlign w:val="center"/>
            <w:hideMark/>
          </w:tcPr>
          <w:p w14:paraId="313227F5" w14:textId="77777777" w:rsidR="004F6B14" w:rsidRPr="004F6B14" w:rsidRDefault="004F6B14" w:rsidP="004F6B14">
            <w:pPr>
              <w:jc w:val="center"/>
              <w:rPr>
                <w:rFonts w:ascii="CAIXA Std Book" w:eastAsia="Times New Roman" w:hAnsi="CAIXA Std Book" w:cs="Times New Roman"/>
                <w:b/>
                <w:bCs/>
                <w:color w:val="FFFFFF"/>
                <w:sz w:val="18"/>
                <w:szCs w:val="18"/>
              </w:rPr>
            </w:pPr>
            <w:r w:rsidRPr="004F6B14">
              <w:rPr>
                <w:rFonts w:ascii="CAIXA Std Book" w:eastAsia="Times New Roman" w:hAnsi="CAIXA Std Book" w:cs="Times New Roman"/>
                <w:b/>
                <w:bCs/>
                <w:color w:val="FFFFFF"/>
                <w:sz w:val="18"/>
                <w:szCs w:val="18"/>
              </w:rPr>
              <w:t>Acima de 360 dias</w:t>
            </w:r>
          </w:p>
        </w:tc>
        <w:tc>
          <w:tcPr>
            <w:tcW w:w="728" w:type="pct"/>
            <w:tcBorders>
              <w:top w:val="nil"/>
              <w:left w:val="nil"/>
              <w:bottom w:val="nil"/>
              <w:right w:val="nil"/>
            </w:tcBorders>
            <w:shd w:val="clear" w:color="000000" w:fill="005CA9"/>
            <w:vAlign w:val="center"/>
            <w:hideMark/>
          </w:tcPr>
          <w:p w14:paraId="6C33A54A" w14:textId="77777777" w:rsidR="004F6B14" w:rsidRPr="004F6B14" w:rsidRDefault="004F6B14" w:rsidP="004F6B14">
            <w:pPr>
              <w:jc w:val="center"/>
              <w:rPr>
                <w:rFonts w:ascii="CAIXA Std Book" w:eastAsia="Times New Roman" w:hAnsi="CAIXA Std Book" w:cs="Times New Roman"/>
                <w:b/>
                <w:bCs/>
                <w:color w:val="FFFFFF"/>
                <w:sz w:val="18"/>
                <w:szCs w:val="18"/>
              </w:rPr>
            </w:pPr>
            <w:r w:rsidRPr="004F6B14">
              <w:rPr>
                <w:rFonts w:ascii="CAIXA Std Book" w:eastAsia="Times New Roman" w:hAnsi="CAIXA Std Book" w:cs="Times New Roman"/>
                <w:b/>
                <w:bCs/>
                <w:color w:val="FFFFFF"/>
                <w:sz w:val="18"/>
                <w:szCs w:val="18"/>
              </w:rPr>
              <w:t>Valor contábil bruto</w:t>
            </w:r>
          </w:p>
        </w:tc>
        <w:tc>
          <w:tcPr>
            <w:tcW w:w="722" w:type="pct"/>
            <w:tcBorders>
              <w:top w:val="nil"/>
              <w:left w:val="nil"/>
              <w:bottom w:val="nil"/>
              <w:right w:val="nil"/>
            </w:tcBorders>
            <w:shd w:val="clear" w:color="000000" w:fill="005CA9"/>
            <w:vAlign w:val="center"/>
            <w:hideMark/>
          </w:tcPr>
          <w:p w14:paraId="1458E612" w14:textId="77777777" w:rsidR="004F6B14" w:rsidRPr="004F6B14" w:rsidRDefault="004F6B14" w:rsidP="004F6B14">
            <w:pPr>
              <w:jc w:val="center"/>
              <w:rPr>
                <w:rFonts w:ascii="CAIXA Std Book" w:eastAsia="Times New Roman" w:hAnsi="CAIXA Std Book" w:cs="Times New Roman"/>
                <w:b/>
                <w:bCs/>
                <w:color w:val="FFFFFF"/>
                <w:sz w:val="18"/>
                <w:szCs w:val="18"/>
              </w:rPr>
            </w:pPr>
            <w:r w:rsidRPr="004F6B14">
              <w:rPr>
                <w:rFonts w:ascii="CAIXA Std Book" w:eastAsia="Times New Roman" w:hAnsi="CAIXA Std Book" w:cs="Times New Roman"/>
                <w:b/>
                <w:bCs/>
                <w:color w:val="FFFFFF"/>
                <w:sz w:val="18"/>
                <w:szCs w:val="18"/>
              </w:rPr>
              <w:t>Perdas esperadas</w:t>
            </w:r>
          </w:p>
        </w:tc>
        <w:tc>
          <w:tcPr>
            <w:tcW w:w="728" w:type="pct"/>
            <w:tcBorders>
              <w:top w:val="nil"/>
              <w:left w:val="nil"/>
              <w:bottom w:val="nil"/>
              <w:right w:val="nil"/>
            </w:tcBorders>
            <w:shd w:val="clear" w:color="000000" w:fill="005CA9"/>
            <w:vAlign w:val="center"/>
            <w:hideMark/>
          </w:tcPr>
          <w:p w14:paraId="317F0074" w14:textId="77777777" w:rsidR="004F6B14" w:rsidRPr="004F6B14" w:rsidRDefault="004F6B14" w:rsidP="004F6B14">
            <w:pPr>
              <w:jc w:val="center"/>
              <w:rPr>
                <w:rFonts w:ascii="CAIXA Std Book" w:eastAsia="Times New Roman" w:hAnsi="CAIXA Std Book" w:cs="Times New Roman"/>
                <w:b/>
                <w:bCs/>
                <w:color w:val="FFFFFF"/>
                <w:sz w:val="18"/>
                <w:szCs w:val="18"/>
              </w:rPr>
            </w:pPr>
            <w:r w:rsidRPr="004F6B14">
              <w:rPr>
                <w:rFonts w:ascii="CAIXA Std Book" w:eastAsia="Times New Roman" w:hAnsi="CAIXA Std Book" w:cs="Times New Roman"/>
                <w:b/>
                <w:bCs/>
                <w:color w:val="FFFFFF"/>
                <w:sz w:val="18"/>
                <w:szCs w:val="18"/>
              </w:rPr>
              <w:t>Valor contábil líquido de provisão</w:t>
            </w:r>
          </w:p>
        </w:tc>
      </w:tr>
      <w:tr w:rsidR="004F6B14" w:rsidRPr="004F6B14" w14:paraId="4BFF3A1E" w14:textId="77777777" w:rsidTr="00545B46">
        <w:trPr>
          <w:trHeight w:val="283"/>
        </w:trPr>
        <w:tc>
          <w:tcPr>
            <w:tcW w:w="2176" w:type="pct"/>
            <w:tcBorders>
              <w:top w:val="nil"/>
              <w:left w:val="nil"/>
              <w:bottom w:val="nil"/>
              <w:right w:val="nil"/>
            </w:tcBorders>
            <w:noWrap/>
            <w:vAlign w:val="center"/>
            <w:hideMark/>
          </w:tcPr>
          <w:p w14:paraId="114DC1DE" w14:textId="77777777" w:rsidR="004F6B14" w:rsidRPr="004F6B14" w:rsidRDefault="004F6B14" w:rsidP="004F6B14">
            <w:pPr>
              <w:rPr>
                <w:rFonts w:ascii="CAIXA Std Book" w:eastAsia="Times New Roman" w:hAnsi="CAIXA Std Book" w:cs="Times New Roman"/>
                <w:color w:val="005CA9"/>
                <w:sz w:val="18"/>
                <w:szCs w:val="18"/>
              </w:rPr>
            </w:pPr>
            <w:r w:rsidRPr="004F6B14">
              <w:rPr>
                <w:rFonts w:ascii="CAIXA Std Book" w:eastAsia="Times New Roman" w:hAnsi="CAIXA Std Book" w:cs="Times New Roman"/>
                <w:color w:val="005CA9"/>
                <w:sz w:val="18"/>
                <w:szCs w:val="18"/>
              </w:rPr>
              <w:t>Títulos privados de entidades não financeiras</w:t>
            </w:r>
          </w:p>
        </w:tc>
        <w:tc>
          <w:tcPr>
            <w:tcW w:w="646" w:type="pct"/>
            <w:tcBorders>
              <w:top w:val="nil"/>
              <w:left w:val="nil"/>
              <w:bottom w:val="nil"/>
              <w:right w:val="nil"/>
            </w:tcBorders>
            <w:shd w:val="clear" w:color="000000" w:fill="FFFFFF"/>
            <w:noWrap/>
            <w:vAlign w:val="center"/>
            <w:hideMark/>
          </w:tcPr>
          <w:p w14:paraId="6F132169" w14:textId="19F67711" w:rsidR="004F6B14" w:rsidRPr="004F6B14" w:rsidRDefault="004F6B14" w:rsidP="004F6B14">
            <w:pPr>
              <w:jc w:val="right"/>
              <w:rPr>
                <w:rFonts w:ascii="CAIXA Std Book" w:eastAsia="Times New Roman" w:hAnsi="CAIXA Std Book" w:cs="Times New Roman"/>
                <w:color w:val="005CA9"/>
                <w:sz w:val="18"/>
                <w:szCs w:val="18"/>
              </w:rPr>
            </w:pPr>
            <w:r w:rsidRPr="004F6B14">
              <w:rPr>
                <w:rFonts w:ascii="CAIXA Std Book" w:eastAsia="Times New Roman" w:hAnsi="CAIXA Std Book" w:cs="Arial"/>
                <w:color w:val="005CA9"/>
                <w:sz w:val="18"/>
                <w:szCs w:val="18"/>
              </w:rPr>
              <w:t>2.733.490</w:t>
            </w:r>
          </w:p>
        </w:tc>
        <w:tc>
          <w:tcPr>
            <w:tcW w:w="728" w:type="pct"/>
            <w:tcBorders>
              <w:top w:val="nil"/>
              <w:left w:val="nil"/>
              <w:bottom w:val="nil"/>
              <w:right w:val="nil"/>
            </w:tcBorders>
            <w:shd w:val="clear" w:color="000000" w:fill="FFFFFF"/>
            <w:noWrap/>
            <w:vAlign w:val="center"/>
            <w:hideMark/>
          </w:tcPr>
          <w:p w14:paraId="4BF5A916" w14:textId="57172B6E" w:rsidR="004F6B14" w:rsidRPr="004F6B14" w:rsidRDefault="004F6B14" w:rsidP="004F6B14">
            <w:pPr>
              <w:jc w:val="right"/>
              <w:rPr>
                <w:rFonts w:ascii="CAIXA Std Book" w:eastAsia="Times New Roman" w:hAnsi="CAIXA Std Book" w:cs="Times New Roman"/>
                <w:color w:val="005CA9"/>
                <w:sz w:val="18"/>
                <w:szCs w:val="18"/>
              </w:rPr>
            </w:pPr>
            <w:r w:rsidRPr="004F6B14">
              <w:rPr>
                <w:rFonts w:ascii="CAIXA Std Book" w:eastAsia="Times New Roman" w:hAnsi="CAIXA Std Book" w:cs="Arial"/>
                <w:color w:val="005CA9"/>
                <w:sz w:val="18"/>
                <w:szCs w:val="18"/>
              </w:rPr>
              <w:t>2.751.839</w:t>
            </w:r>
          </w:p>
        </w:tc>
        <w:tc>
          <w:tcPr>
            <w:tcW w:w="722" w:type="pct"/>
            <w:tcBorders>
              <w:top w:val="nil"/>
              <w:left w:val="nil"/>
              <w:bottom w:val="nil"/>
              <w:right w:val="nil"/>
            </w:tcBorders>
            <w:shd w:val="clear" w:color="000000" w:fill="FFFFFF"/>
            <w:noWrap/>
            <w:vAlign w:val="center"/>
            <w:hideMark/>
          </w:tcPr>
          <w:p w14:paraId="2A649938" w14:textId="2EEA00DD" w:rsidR="004F6B14" w:rsidRPr="004F6B14" w:rsidRDefault="004F6B14" w:rsidP="004F6B14">
            <w:pPr>
              <w:jc w:val="right"/>
              <w:rPr>
                <w:rFonts w:ascii="CAIXA Std Book" w:eastAsia="Times New Roman" w:hAnsi="CAIXA Std Book" w:cs="Times New Roman"/>
                <w:color w:val="005CA9"/>
                <w:sz w:val="18"/>
                <w:szCs w:val="18"/>
              </w:rPr>
            </w:pPr>
            <w:r w:rsidRPr="004F6B14">
              <w:rPr>
                <w:rFonts w:ascii="CAIXA Std Book" w:eastAsia="Times New Roman" w:hAnsi="CAIXA Std Book" w:cs="Arial"/>
                <w:color w:val="005CA9"/>
                <w:sz w:val="18"/>
                <w:szCs w:val="18"/>
              </w:rPr>
              <w:t>(18.349)</w:t>
            </w:r>
          </w:p>
        </w:tc>
        <w:tc>
          <w:tcPr>
            <w:tcW w:w="728" w:type="pct"/>
            <w:tcBorders>
              <w:top w:val="nil"/>
              <w:left w:val="nil"/>
              <w:bottom w:val="nil"/>
              <w:right w:val="nil"/>
            </w:tcBorders>
            <w:shd w:val="clear" w:color="000000" w:fill="FFFFFF"/>
            <w:noWrap/>
            <w:vAlign w:val="center"/>
            <w:hideMark/>
          </w:tcPr>
          <w:p w14:paraId="7056C638" w14:textId="657CB33A" w:rsidR="004F6B14" w:rsidRPr="004F6B14" w:rsidRDefault="004F6B14" w:rsidP="004F6B14">
            <w:pPr>
              <w:jc w:val="right"/>
              <w:rPr>
                <w:rFonts w:ascii="CAIXA Std Book" w:eastAsia="Times New Roman" w:hAnsi="CAIXA Std Book" w:cs="Times New Roman"/>
                <w:color w:val="005CA9"/>
                <w:sz w:val="18"/>
                <w:szCs w:val="18"/>
              </w:rPr>
            </w:pPr>
            <w:r w:rsidRPr="004F6B14">
              <w:rPr>
                <w:rFonts w:ascii="CAIXA Std Book" w:eastAsia="Times New Roman" w:hAnsi="CAIXA Std Book" w:cs="Arial"/>
                <w:color w:val="005CA9"/>
                <w:sz w:val="18"/>
                <w:szCs w:val="18"/>
              </w:rPr>
              <w:t>2.733.490</w:t>
            </w:r>
          </w:p>
        </w:tc>
      </w:tr>
      <w:tr w:rsidR="004F6B14" w:rsidRPr="004F6B14" w14:paraId="09896879" w14:textId="77777777" w:rsidTr="00545B46">
        <w:trPr>
          <w:trHeight w:val="283"/>
        </w:trPr>
        <w:tc>
          <w:tcPr>
            <w:tcW w:w="2176" w:type="pct"/>
            <w:tcBorders>
              <w:top w:val="nil"/>
              <w:left w:val="nil"/>
              <w:bottom w:val="nil"/>
              <w:right w:val="nil"/>
            </w:tcBorders>
            <w:shd w:val="clear" w:color="000000" w:fill="005CA9"/>
            <w:noWrap/>
            <w:vAlign w:val="center"/>
            <w:hideMark/>
          </w:tcPr>
          <w:p w14:paraId="196580C5" w14:textId="77777777" w:rsidR="004F6B14" w:rsidRPr="004F6B14" w:rsidRDefault="004F6B14" w:rsidP="004F6B14">
            <w:pPr>
              <w:rPr>
                <w:rFonts w:ascii="CAIXA Std Book" w:eastAsia="Times New Roman" w:hAnsi="CAIXA Std Book" w:cs="Times New Roman"/>
                <w:b/>
                <w:bCs/>
                <w:color w:val="FFFFFF"/>
                <w:sz w:val="18"/>
                <w:szCs w:val="18"/>
              </w:rPr>
            </w:pPr>
            <w:r w:rsidRPr="004F6B14">
              <w:rPr>
                <w:rFonts w:ascii="CAIXA Std Book" w:eastAsia="Times New Roman" w:hAnsi="CAIXA Std Book" w:cs="Times New Roman"/>
                <w:b/>
                <w:bCs/>
                <w:color w:val="FFFFFF"/>
                <w:sz w:val="18"/>
                <w:szCs w:val="18"/>
              </w:rPr>
              <w:t>Total</w:t>
            </w:r>
          </w:p>
        </w:tc>
        <w:tc>
          <w:tcPr>
            <w:tcW w:w="646" w:type="pct"/>
            <w:tcBorders>
              <w:top w:val="nil"/>
              <w:left w:val="nil"/>
              <w:bottom w:val="nil"/>
              <w:right w:val="nil"/>
            </w:tcBorders>
            <w:shd w:val="clear" w:color="000000" w:fill="005CA9"/>
            <w:noWrap/>
            <w:vAlign w:val="center"/>
            <w:hideMark/>
          </w:tcPr>
          <w:p w14:paraId="6609C04F" w14:textId="721B1777" w:rsidR="004F6B14" w:rsidRPr="004F6B14" w:rsidRDefault="004F6B14" w:rsidP="004F6B14">
            <w:pPr>
              <w:jc w:val="right"/>
              <w:rPr>
                <w:rFonts w:ascii="CAIXA Std Book" w:eastAsia="Times New Roman" w:hAnsi="CAIXA Std Book" w:cs="Times New Roman"/>
                <w:b/>
                <w:bCs/>
                <w:color w:val="FFFFFF"/>
                <w:sz w:val="18"/>
                <w:szCs w:val="18"/>
              </w:rPr>
            </w:pPr>
            <w:r w:rsidRPr="004F6B14">
              <w:rPr>
                <w:rFonts w:ascii="CAIXA Std Book" w:eastAsia="Times New Roman" w:hAnsi="CAIXA Std Book" w:cs="Arial"/>
                <w:b/>
                <w:bCs/>
                <w:color w:val="FFFFFF"/>
                <w:sz w:val="18"/>
                <w:szCs w:val="18"/>
              </w:rPr>
              <w:t>2.733.490</w:t>
            </w:r>
          </w:p>
        </w:tc>
        <w:tc>
          <w:tcPr>
            <w:tcW w:w="728" w:type="pct"/>
            <w:tcBorders>
              <w:top w:val="nil"/>
              <w:left w:val="nil"/>
              <w:bottom w:val="nil"/>
              <w:right w:val="nil"/>
            </w:tcBorders>
            <w:shd w:val="clear" w:color="000000" w:fill="005CA9"/>
            <w:noWrap/>
            <w:vAlign w:val="center"/>
            <w:hideMark/>
          </w:tcPr>
          <w:p w14:paraId="1F238020" w14:textId="4A205935" w:rsidR="004F6B14" w:rsidRPr="004F6B14" w:rsidRDefault="004F6B14" w:rsidP="004F6B14">
            <w:pPr>
              <w:jc w:val="right"/>
              <w:rPr>
                <w:rFonts w:ascii="CAIXA Std Book" w:eastAsia="Times New Roman" w:hAnsi="CAIXA Std Book" w:cs="Times New Roman"/>
                <w:b/>
                <w:bCs/>
                <w:color w:val="FFFFFF"/>
                <w:sz w:val="18"/>
                <w:szCs w:val="18"/>
              </w:rPr>
            </w:pPr>
            <w:r w:rsidRPr="004F6B14">
              <w:rPr>
                <w:rFonts w:ascii="CAIXA Std Book" w:eastAsia="Times New Roman" w:hAnsi="CAIXA Std Book" w:cs="Arial"/>
                <w:b/>
                <w:bCs/>
                <w:color w:val="FFFFFF"/>
                <w:sz w:val="18"/>
                <w:szCs w:val="18"/>
              </w:rPr>
              <w:t>2.751.839</w:t>
            </w:r>
          </w:p>
        </w:tc>
        <w:tc>
          <w:tcPr>
            <w:tcW w:w="722" w:type="pct"/>
            <w:tcBorders>
              <w:top w:val="nil"/>
              <w:left w:val="nil"/>
              <w:bottom w:val="nil"/>
              <w:right w:val="nil"/>
            </w:tcBorders>
            <w:shd w:val="clear" w:color="000000" w:fill="005CA9"/>
            <w:noWrap/>
            <w:vAlign w:val="center"/>
            <w:hideMark/>
          </w:tcPr>
          <w:p w14:paraId="2FF714E8" w14:textId="560B25B6" w:rsidR="004F6B14" w:rsidRPr="004F6B14" w:rsidRDefault="004F6B14" w:rsidP="004F6B14">
            <w:pPr>
              <w:jc w:val="right"/>
              <w:rPr>
                <w:rFonts w:ascii="CAIXA Std Book" w:eastAsia="Times New Roman" w:hAnsi="CAIXA Std Book" w:cs="Times New Roman"/>
                <w:b/>
                <w:bCs/>
                <w:color w:val="FFFFFF"/>
                <w:sz w:val="18"/>
                <w:szCs w:val="18"/>
              </w:rPr>
            </w:pPr>
            <w:r w:rsidRPr="004F6B14">
              <w:rPr>
                <w:rFonts w:ascii="CAIXA Std Book" w:eastAsia="Times New Roman" w:hAnsi="CAIXA Std Book" w:cs="Arial"/>
                <w:b/>
                <w:bCs/>
                <w:color w:val="FFFFFF"/>
                <w:sz w:val="18"/>
                <w:szCs w:val="18"/>
              </w:rPr>
              <w:t>(18.349)</w:t>
            </w:r>
          </w:p>
        </w:tc>
        <w:tc>
          <w:tcPr>
            <w:tcW w:w="728" w:type="pct"/>
            <w:tcBorders>
              <w:top w:val="nil"/>
              <w:left w:val="nil"/>
              <w:bottom w:val="nil"/>
              <w:right w:val="nil"/>
            </w:tcBorders>
            <w:shd w:val="clear" w:color="000000" w:fill="005CA9"/>
            <w:noWrap/>
            <w:vAlign w:val="center"/>
            <w:hideMark/>
          </w:tcPr>
          <w:p w14:paraId="34E9D47C" w14:textId="53CB7D84" w:rsidR="004F6B14" w:rsidRPr="004F6B14" w:rsidRDefault="004F6B14" w:rsidP="004F6B14">
            <w:pPr>
              <w:jc w:val="right"/>
              <w:rPr>
                <w:rFonts w:ascii="CAIXA Std Book" w:eastAsia="Times New Roman" w:hAnsi="CAIXA Std Book" w:cs="Times New Roman"/>
                <w:b/>
                <w:bCs/>
                <w:color w:val="FFFFFF"/>
                <w:sz w:val="18"/>
                <w:szCs w:val="18"/>
              </w:rPr>
            </w:pPr>
            <w:r w:rsidRPr="004F6B14">
              <w:rPr>
                <w:rFonts w:ascii="CAIXA Std Book" w:eastAsia="Times New Roman" w:hAnsi="CAIXA Std Book" w:cs="Arial"/>
                <w:b/>
                <w:bCs/>
                <w:color w:val="FFFFFF"/>
                <w:sz w:val="18"/>
                <w:szCs w:val="18"/>
              </w:rPr>
              <w:t>2.733.490</w:t>
            </w:r>
          </w:p>
        </w:tc>
      </w:tr>
    </w:tbl>
    <w:p w14:paraId="1216C6CC" w14:textId="77777777" w:rsidR="00CC5CC6" w:rsidRDefault="00CC5CC6" w:rsidP="002955A3">
      <w:pPr>
        <w:rPr>
          <w:rFonts w:ascii="CAIXA Std Book" w:hAnsi="CAIXA Std Book"/>
          <w:b/>
          <w:color w:val="005CA9"/>
          <w:sz w:val="20"/>
          <w:szCs w:val="20"/>
        </w:rPr>
      </w:pPr>
    </w:p>
    <w:tbl>
      <w:tblPr>
        <w:tblW w:w="5000" w:type="pct"/>
        <w:tblCellMar>
          <w:left w:w="70" w:type="dxa"/>
          <w:right w:w="70" w:type="dxa"/>
        </w:tblCellMar>
        <w:tblLook w:val="04A0" w:firstRow="1" w:lastRow="0" w:firstColumn="1" w:lastColumn="0" w:noHBand="0" w:noVBand="1"/>
      </w:tblPr>
      <w:tblGrid>
        <w:gridCol w:w="6341"/>
        <w:gridCol w:w="1880"/>
        <w:gridCol w:w="2115"/>
        <w:gridCol w:w="2115"/>
        <w:gridCol w:w="2118"/>
      </w:tblGrid>
      <w:tr w:rsidR="00EB091D" w:rsidRPr="00EB091D" w14:paraId="7CA8D4A9" w14:textId="77777777" w:rsidTr="00545B46">
        <w:trPr>
          <w:trHeight w:val="283"/>
        </w:trPr>
        <w:tc>
          <w:tcPr>
            <w:tcW w:w="5000" w:type="pct"/>
            <w:gridSpan w:val="5"/>
            <w:tcBorders>
              <w:top w:val="nil"/>
              <w:left w:val="nil"/>
              <w:bottom w:val="single" w:sz="8" w:space="0" w:color="FFFFFF"/>
              <w:right w:val="nil"/>
            </w:tcBorders>
            <w:shd w:val="clear" w:color="000000" w:fill="005CA9"/>
            <w:vAlign w:val="center"/>
            <w:hideMark/>
          </w:tcPr>
          <w:p w14:paraId="183321EA" w14:textId="77777777" w:rsidR="00EB091D" w:rsidRPr="00EB091D" w:rsidRDefault="00EB091D" w:rsidP="00EB091D">
            <w:pPr>
              <w:jc w:val="center"/>
              <w:rPr>
                <w:rFonts w:ascii="CAIXA Std Book" w:eastAsia="Times New Roman" w:hAnsi="CAIXA Std Book" w:cs="Times New Roman"/>
                <w:b/>
                <w:bCs/>
                <w:color w:val="FFFFFF"/>
                <w:sz w:val="18"/>
                <w:szCs w:val="18"/>
              </w:rPr>
            </w:pPr>
            <w:r w:rsidRPr="00EB091D">
              <w:rPr>
                <w:rFonts w:ascii="CAIXA Std Book" w:eastAsia="Times New Roman" w:hAnsi="CAIXA Std Book" w:cs="Times New Roman"/>
                <w:b/>
                <w:bCs/>
                <w:color w:val="FFFFFF"/>
                <w:sz w:val="18"/>
                <w:szCs w:val="18"/>
              </w:rPr>
              <w:t>Individual / Consolidado</w:t>
            </w:r>
          </w:p>
        </w:tc>
      </w:tr>
      <w:tr w:rsidR="00EB091D" w:rsidRPr="00EB091D" w14:paraId="322BD6BF" w14:textId="77777777" w:rsidTr="00545B46">
        <w:trPr>
          <w:trHeight w:val="283"/>
        </w:trPr>
        <w:tc>
          <w:tcPr>
            <w:tcW w:w="2176" w:type="pct"/>
            <w:vMerge w:val="restart"/>
            <w:tcBorders>
              <w:top w:val="nil"/>
              <w:left w:val="nil"/>
              <w:bottom w:val="nil"/>
              <w:right w:val="nil"/>
            </w:tcBorders>
            <w:shd w:val="clear" w:color="000000" w:fill="005CA9"/>
            <w:vAlign w:val="center"/>
            <w:hideMark/>
          </w:tcPr>
          <w:p w14:paraId="73F3629C" w14:textId="77777777" w:rsidR="00EB091D" w:rsidRPr="00EB091D" w:rsidRDefault="00EB091D" w:rsidP="00EB091D">
            <w:pPr>
              <w:jc w:val="center"/>
              <w:rPr>
                <w:rFonts w:ascii="CAIXA Std Book" w:eastAsia="Times New Roman" w:hAnsi="CAIXA Std Book" w:cs="Times New Roman"/>
                <w:b/>
                <w:bCs/>
                <w:color w:val="FFFFFF"/>
                <w:sz w:val="18"/>
                <w:szCs w:val="18"/>
              </w:rPr>
            </w:pPr>
            <w:r w:rsidRPr="00EB091D">
              <w:rPr>
                <w:rFonts w:ascii="CAIXA Std Book" w:eastAsia="Times New Roman" w:hAnsi="CAIXA Std Book" w:cs="Times New Roman"/>
                <w:b/>
                <w:bCs/>
                <w:color w:val="FFFFFF"/>
                <w:sz w:val="18"/>
                <w:szCs w:val="18"/>
              </w:rPr>
              <w:t>Descrição</w:t>
            </w:r>
          </w:p>
        </w:tc>
        <w:tc>
          <w:tcPr>
            <w:tcW w:w="2824" w:type="pct"/>
            <w:gridSpan w:val="4"/>
            <w:tcBorders>
              <w:top w:val="single" w:sz="8" w:space="0" w:color="FFFFFF"/>
              <w:left w:val="nil"/>
              <w:bottom w:val="single" w:sz="8" w:space="0" w:color="FFFFFF"/>
              <w:right w:val="nil"/>
            </w:tcBorders>
            <w:shd w:val="clear" w:color="000000" w:fill="005CA9"/>
            <w:vAlign w:val="center"/>
            <w:hideMark/>
          </w:tcPr>
          <w:p w14:paraId="5B1AE764" w14:textId="77777777" w:rsidR="00EB091D" w:rsidRPr="00EB091D" w:rsidRDefault="00EB091D" w:rsidP="00EB091D">
            <w:pPr>
              <w:jc w:val="center"/>
              <w:rPr>
                <w:rFonts w:ascii="CAIXA Std Book" w:eastAsia="Times New Roman" w:hAnsi="CAIXA Std Book" w:cs="Times New Roman"/>
                <w:b/>
                <w:bCs/>
                <w:color w:val="FFFFFF"/>
                <w:sz w:val="18"/>
                <w:szCs w:val="18"/>
              </w:rPr>
            </w:pPr>
            <w:r w:rsidRPr="00EB091D">
              <w:rPr>
                <w:rFonts w:ascii="CAIXA Std Book" w:eastAsia="Times New Roman" w:hAnsi="CAIXA Std Book" w:cs="Times New Roman"/>
                <w:b/>
                <w:bCs/>
                <w:color w:val="FFFFFF"/>
                <w:sz w:val="18"/>
                <w:szCs w:val="18"/>
              </w:rPr>
              <w:t>31/12/2025</w:t>
            </w:r>
          </w:p>
        </w:tc>
      </w:tr>
      <w:tr w:rsidR="00EB091D" w:rsidRPr="00EB091D" w14:paraId="35BDE1CD" w14:textId="77777777" w:rsidTr="00FA7E4C">
        <w:trPr>
          <w:trHeight w:val="283"/>
        </w:trPr>
        <w:tc>
          <w:tcPr>
            <w:tcW w:w="2176" w:type="pct"/>
            <w:vMerge/>
            <w:tcBorders>
              <w:top w:val="nil"/>
              <w:left w:val="nil"/>
              <w:bottom w:val="nil"/>
              <w:right w:val="nil"/>
            </w:tcBorders>
            <w:vAlign w:val="center"/>
            <w:hideMark/>
          </w:tcPr>
          <w:p w14:paraId="56DA3B0C" w14:textId="77777777" w:rsidR="00EB091D" w:rsidRPr="00EB091D" w:rsidRDefault="00EB091D" w:rsidP="00EB091D">
            <w:pPr>
              <w:rPr>
                <w:rFonts w:ascii="CAIXA Std Book" w:eastAsia="Times New Roman" w:hAnsi="CAIXA Std Book" w:cs="Times New Roman"/>
                <w:b/>
                <w:bCs/>
                <w:color w:val="FFFFFF"/>
                <w:sz w:val="18"/>
                <w:szCs w:val="18"/>
              </w:rPr>
            </w:pPr>
          </w:p>
        </w:tc>
        <w:tc>
          <w:tcPr>
            <w:tcW w:w="645" w:type="pct"/>
            <w:tcBorders>
              <w:top w:val="nil"/>
              <w:left w:val="nil"/>
              <w:bottom w:val="nil"/>
              <w:right w:val="nil"/>
            </w:tcBorders>
            <w:shd w:val="clear" w:color="000000" w:fill="005CA9"/>
            <w:vAlign w:val="center"/>
            <w:hideMark/>
          </w:tcPr>
          <w:p w14:paraId="0D181726" w14:textId="77777777" w:rsidR="00EB091D" w:rsidRPr="00EB091D" w:rsidRDefault="00EB091D" w:rsidP="00EB091D">
            <w:pPr>
              <w:jc w:val="center"/>
              <w:rPr>
                <w:rFonts w:ascii="CAIXA Std Book" w:eastAsia="Times New Roman" w:hAnsi="CAIXA Std Book" w:cs="Times New Roman"/>
                <w:b/>
                <w:bCs/>
                <w:color w:val="FFFFFF"/>
                <w:sz w:val="18"/>
                <w:szCs w:val="18"/>
              </w:rPr>
            </w:pPr>
            <w:r w:rsidRPr="00EB091D">
              <w:rPr>
                <w:rFonts w:ascii="CAIXA Std Book" w:eastAsia="Times New Roman" w:hAnsi="CAIXA Std Book" w:cs="Times New Roman"/>
                <w:b/>
                <w:bCs/>
                <w:color w:val="FFFFFF"/>
                <w:sz w:val="18"/>
                <w:szCs w:val="18"/>
              </w:rPr>
              <w:t>Acima de 360 dias</w:t>
            </w:r>
          </w:p>
        </w:tc>
        <w:tc>
          <w:tcPr>
            <w:tcW w:w="726" w:type="pct"/>
            <w:tcBorders>
              <w:top w:val="nil"/>
              <w:left w:val="nil"/>
              <w:bottom w:val="nil"/>
              <w:right w:val="nil"/>
            </w:tcBorders>
            <w:shd w:val="clear" w:color="000000" w:fill="005CA9"/>
            <w:vAlign w:val="center"/>
            <w:hideMark/>
          </w:tcPr>
          <w:p w14:paraId="703CD3D6" w14:textId="77777777" w:rsidR="00EB091D" w:rsidRPr="00EB091D" w:rsidRDefault="00EB091D" w:rsidP="00EB091D">
            <w:pPr>
              <w:jc w:val="center"/>
              <w:rPr>
                <w:rFonts w:ascii="CAIXA Std Book" w:eastAsia="Times New Roman" w:hAnsi="CAIXA Std Book" w:cs="Times New Roman"/>
                <w:b/>
                <w:bCs/>
                <w:color w:val="FFFFFF"/>
                <w:sz w:val="18"/>
                <w:szCs w:val="18"/>
              </w:rPr>
            </w:pPr>
            <w:r w:rsidRPr="00EB091D">
              <w:rPr>
                <w:rFonts w:ascii="CAIXA Std Book" w:eastAsia="Times New Roman" w:hAnsi="CAIXA Std Book" w:cs="Times New Roman"/>
                <w:b/>
                <w:bCs/>
                <w:color w:val="FFFFFF"/>
                <w:sz w:val="18"/>
                <w:szCs w:val="18"/>
              </w:rPr>
              <w:t>Valor contábil bruto</w:t>
            </w:r>
          </w:p>
        </w:tc>
        <w:tc>
          <w:tcPr>
            <w:tcW w:w="726" w:type="pct"/>
            <w:tcBorders>
              <w:top w:val="nil"/>
              <w:left w:val="nil"/>
              <w:bottom w:val="nil"/>
              <w:right w:val="nil"/>
            </w:tcBorders>
            <w:shd w:val="clear" w:color="000000" w:fill="005CA9"/>
            <w:vAlign w:val="center"/>
            <w:hideMark/>
          </w:tcPr>
          <w:p w14:paraId="68979A12" w14:textId="77777777" w:rsidR="00EB091D" w:rsidRPr="00EB091D" w:rsidRDefault="00EB091D" w:rsidP="00EB091D">
            <w:pPr>
              <w:jc w:val="center"/>
              <w:rPr>
                <w:rFonts w:ascii="CAIXA Std Book" w:eastAsia="Times New Roman" w:hAnsi="CAIXA Std Book" w:cs="Times New Roman"/>
                <w:b/>
                <w:bCs/>
                <w:color w:val="FFFFFF"/>
                <w:sz w:val="18"/>
                <w:szCs w:val="18"/>
              </w:rPr>
            </w:pPr>
            <w:r w:rsidRPr="00EB091D">
              <w:rPr>
                <w:rFonts w:ascii="CAIXA Std Book" w:eastAsia="Times New Roman" w:hAnsi="CAIXA Std Book" w:cs="Times New Roman"/>
                <w:b/>
                <w:bCs/>
                <w:color w:val="FFFFFF"/>
                <w:sz w:val="18"/>
                <w:szCs w:val="18"/>
              </w:rPr>
              <w:t>Perdas esperadas</w:t>
            </w:r>
          </w:p>
        </w:tc>
        <w:tc>
          <w:tcPr>
            <w:tcW w:w="727" w:type="pct"/>
            <w:tcBorders>
              <w:top w:val="nil"/>
              <w:left w:val="nil"/>
              <w:bottom w:val="nil"/>
              <w:right w:val="nil"/>
            </w:tcBorders>
            <w:shd w:val="clear" w:color="000000" w:fill="005CA9"/>
            <w:vAlign w:val="center"/>
            <w:hideMark/>
          </w:tcPr>
          <w:p w14:paraId="1AFEA2F2" w14:textId="77777777" w:rsidR="00EB091D" w:rsidRPr="00EB091D" w:rsidRDefault="00EB091D" w:rsidP="00EB091D">
            <w:pPr>
              <w:jc w:val="center"/>
              <w:rPr>
                <w:rFonts w:ascii="CAIXA Std Book" w:eastAsia="Times New Roman" w:hAnsi="CAIXA Std Book" w:cs="Times New Roman"/>
                <w:b/>
                <w:bCs/>
                <w:color w:val="FFFFFF"/>
                <w:sz w:val="18"/>
                <w:szCs w:val="18"/>
              </w:rPr>
            </w:pPr>
            <w:r w:rsidRPr="00EB091D">
              <w:rPr>
                <w:rFonts w:ascii="CAIXA Std Book" w:eastAsia="Times New Roman" w:hAnsi="CAIXA Std Book" w:cs="Times New Roman"/>
                <w:b/>
                <w:bCs/>
                <w:color w:val="FFFFFF"/>
                <w:sz w:val="18"/>
                <w:szCs w:val="18"/>
              </w:rPr>
              <w:t>Valor contábil líquido de provisão</w:t>
            </w:r>
          </w:p>
        </w:tc>
      </w:tr>
      <w:tr w:rsidR="00EB091D" w:rsidRPr="00EB091D" w14:paraId="69321CD6" w14:textId="77777777" w:rsidTr="00FA7E4C">
        <w:trPr>
          <w:trHeight w:val="283"/>
        </w:trPr>
        <w:tc>
          <w:tcPr>
            <w:tcW w:w="2176" w:type="pct"/>
            <w:tcBorders>
              <w:top w:val="nil"/>
              <w:left w:val="nil"/>
              <w:bottom w:val="nil"/>
              <w:right w:val="nil"/>
            </w:tcBorders>
            <w:noWrap/>
            <w:vAlign w:val="center"/>
            <w:hideMark/>
          </w:tcPr>
          <w:p w14:paraId="508C3EAD" w14:textId="77777777" w:rsidR="00EB091D" w:rsidRPr="00EB091D" w:rsidRDefault="00EB091D" w:rsidP="00EB091D">
            <w:pPr>
              <w:rPr>
                <w:rFonts w:ascii="CAIXA Std Book" w:eastAsia="Times New Roman" w:hAnsi="CAIXA Std Book" w:cs="Times New Roman"/>
                <w:color w:val="005CA9"/>
                <w:sz w:val="18"/>
                <w:szCs w:val="18"/>
              </w:rPr>
            </w:pPr>
            <w:r w:rsidRPr="00EB091D">
              <w:rPr>
                <w:rFonts w:ascii="CAIXA Std Book" w:eastAsia="Times New Roman" w:hAnsi="CAIXA Std Book" w:cs="Times New Roman"/>
                <w:color w:val="005CA9"/>
                <w:sz w:val="18"/>
                <w:szCs w:val="18"/>
              </w:rPr>
              <w:t>Títulos privados de entidades não financeiras</w:t>
            </w:r>
          </w:p>
        </w:tc>
        <w:tc>
          <w:tcPr>
            <w:tcW w:w="645" w:type="pct"/>
            <w:tcBorders>
              <w:top w:val="nil"/>
              <w:left w:val="nil"/>
              <w:bottom w:val="nil"/>
              <w:right w:val="nil"/>
            </w:tcBorders>
            <w:shd w:val="clear" w:color="000000" w:fill="FFFFFF"/>
            <w:noWrap/>
            <w:vAlign w:val="center"/>
            <w:hideMark/>
          </w:tcPr>
          <w:p w14:paraId="2F4D5E72" w14:textId="197242F8" w:rsidR="00EB091D" w:rsidRPr="00EB091D" w:rsidRDefault="00EB091D" w:rsidP="00EB091D">
            <w:pPr>
              <w:jc w:val="right"/>
              <w:rPr>
                <w:rFonts w:ascii="CAIXA Std Book" w:eastAsia="Times New Roman" w:hAnsi="CAIXA Std Book" w:cs="Times New Roman"/>
                <w:color w:val="005CA9"/>
                <w:sz w:val="18"/>
                <w:szCs w:val="18"/>
              </w:rPr>
            </w:pPr>
            <w:r w:rsidRPr="00EB091D">
              <w:rPr>
                <w:rFonts w:ascii="CAIXA Std Book" w:eastAsia="Times New Roman" w:hAnsi="CAIXA Std Book" w:cs="Arial"/>
                <w:color w:val="005CA9"/>
                <w:sz w:val="18"/>
                <w:szCs w:val="18"/>
              </w:rPr>
              <w:t>2.238.931</w:t>
            </w:r>
          </w:p>
        </w:tc>
        <w:tc>
          <w:tcPr>
            <w:tcW w:w="726" w:type="pct"/>
            <w:tcBorders>
              <w:top w:val="nil"/>
              <w:left w:val="nil"/>
              <w:bottom w:val="nil"/>
              <w:right w:val="nil"/>
            </w:tcBorders>
            <w:shd w:val="clear" w:color="000000" w:fill="FFFFFF"/>
            <w:noWrap/>
            <w:vAlign w:val="center"/>
            <w:hideMark/>
          </w:tcPr>
          <w:p w14:paraId="462D0EF6" w14:textId="7888F62C" w:rsidR="00EB091D" w:rsidRPr="00EB091D" w:rsidRDefault="00EB091D" w:rsidP="00EB091D">
            <w:pPr>
              <w:jc w:val="right"/>
              <w:rPr>
                <w:rFonts w:ascii="CAIXA Std Book" w:eastAsia="Times New Roman" w:hAnsi="CAIXA Std Book" w:cs="Times New Roman"/>
                <w:color w:val="005CA9"/>
                <w:sz w:val="18"/>
                <w:szCs w:val="18"/>
              </w:rPr>
            </w:pPr>
            <w:r w:rsidRPr="00EB091D">
              <w:rPr>
                <w:rFonts w:ascii="CAIXA Std Book" w:eastAsia="Times New Roman" w:hAnsi="CAIXA Std Book" w:cs="Arial"/>
                <w:color w:val="005CA9"/>
                <w:sz w:val="18"/>
                <w:szCs w:val="18"/>
              </w:rPr>
              <w:t>2.239.603</w:t>
            </w:r>
          </w:p>
        </w:tc>
        <w:tc>
          <w:tcPr>
            <w:tcW w:w="726" w:type="pct"/>
            <w:tcBorders>
              <w:top w:val="nil"/>
              <w:left w:val="nil"/>
              <w:bottom w:val="nil"/>
              <w:right w:val="nil"/>
            </w:tcBorders>
            <w:shd w:val="clear" w:color="000000" w:fill="FFFFFF"/>
            <w:noWrap/>
            <w:vAlign w:val="center"/>
            <w:hideMark/>
          </w:tcPr>
          <w:p w14:paraId="49A3BB26" w14:textId="3958E09C" w:rsidR="00EB091D" w:rsidRPr="00EB091D" w:rsidRDefault="00EB091D" w:rsidP="00EB091D">
            <w:pPr>
              <w:jc w:val="right"/>
              <w:rPr>
                <w:rFonts w:ascii="CAIXA Std Book" w:eastAsia="Times New Roman" w:hAnsi="CAIXA Std Book" w:cs="Times New Roman"/>
                <w:color w:val="005CA9"/>
                <w:sz w:val="18"/>
                <w:szCs w:val="18"/>
              </w:rPr>
            </w:pPr>
            <w:r w:rsidRPr="00EB091D">
              <w:rPr>
                <w:rFonts w:ascii="CAIXA Std Book" w:eastAsia="Times New Roman" w:hAnsi="CAIXA Std Book" w:cs="Arial"/>
                <w:color w:val="005CA9"/>
                <w:sz w:val="18"/>
                <w:szCs w:val="18"/>
              </w:rPr>
              <w:t>(672)</w:t>
            </w:r>
          </w:p>
        </w:tc>
        <w:tc>
          <w:tcPr>
            <w:tcW w:w="727" w:type="pct"/>
            <w:tcBorders>
              <w:top w:val="nil"/>
              <w:left w:val="nil"/>
              <w:bottom w:val="nil"/>
              <w:right w:val="nil"/>
            </w:tcBorders>
            <w:shd w:val="clear" w:color="000000" w:fill="FFFFFF"/>
            <w:noWrap/>
            <w:vAlign w:val="center"/>
            <w:hideMark/>
          </w:tcPr>
          <w:p w14:paraId="294F7B18" w14:textId="190B07EC" w:rsidR="00EB091D" w:rsidRPr="00EB091D" w:rsidRDefault="00EB091D" w:rsidP="00EB091D">
            <w:pPr>
              <w:jc w:val="right"/>
              <w:rPr>
                <w:rFonts w:ascii="CAIXA Std Book" w:eastAsia="Times New Roman" w:hAnsi="CAIXA Std Book" w:cs="Times New Roman"/>
                <w:color w:val="005CA9"/>
                <w:sz w:val="18"/>
                <w:szCs w:val="18"/>
              </w:rPr>
            </w:pPr>
            <w:r w:rsidRPr="00EB091D">
              <w:rPr>
                <w:rFonts w:ascii="CAIXA Std Book" w:eastAsia="Times New Roman" w:hAnsi="CAIXA Std Book" w:cs="Arial"/>
                <w:color w:val="005CA9"/>
                <w:sz w:val="18"/>
                <w:szCs w:val="18"/>
              </w:rPr>
              <w:t>2.238.931</w:t>
            </w:r>
          </w:p>
        </w:tc>
      </w:tr>
      <w:tr w:rsidR="00EB091D" w:rsidRPr="00EB091D" w14:paraId="462C358E" w14:textId="77777777" w:rsidTr="00FA7E4C">
        <w:trPr>
          <w:trHeight w:val="283"/>
        </w:trPr>
        <w:tc>
          <w:tcPr>
            <w:tcW w:w="2176" w:type="pct"/>
            <w:tcBorders>
              <w:top w:val="nil"/>
              <w:left w:val="nil"/>
              <w:bottom w:val="nil"/>
              <w:right w:val="nil"/>
            </w:tcBorders>
            <w:shd w:val="clear" w:color="000000" w:fill="005CA9"/>
            <w:noWrap/>
            <w:vAlign w:val="center"/>
            <w:hideMark/>
          </w:tcPr>
          <w:p w14:paraId="428924C5" w14:textId="77777777" w:rsidR="00EB091D" w:rsidRPr="00EB091D" w:rsidRDefault="00EB091D" w:rsidP="00EB091D">
            <w:pPr>
              <w:rPr>
                <w:rFonts w:ascii="CAIXA Std Book" w:eastAsia="Times New Roman" w:hAnsi="CAIXA Std Book" w:cs="Times New Roman"/>
                <w:b/>
                <w:bCs/>
                <w:color w:val="FFFFFF"/>
                <w:sz w:val="18"/>
                <w:szCs w:val="18"/>
              </w:rPr>
            </w:pPr>
            <w:r w:rsidRPr="00EB091D">
              <w:rPr>
                <w:rFonts w:ascii="CAIXA Std Book" w:eastAsia="Times New Roman" w:hAnsi="CAIXA Std Book" w:cs="Times New Roman"/>
                <w:b/>
                <w:bCs/>
                <w:color w:val="FFFFFF"/>
                <w:sz w:val="18"/>
                <w:szCs w:val="18"/>
              </w:rPr>
              <w:t>Total</w:t>
            </w:r>
          </w:p>
        </w:tc>
        <w:tc>
          <w:tcPr>
            <w:tcW w:w="645" w:type="pct"/>
            <w:tcBorders>
              <w:top w:val="nil"/>
              <w:left w:val="nil"/>
              <w:bottom w:val="nil"/>
              <w:right w:val="nil"/>
            </w:tcBorders>
            <w:shd w:val="clear" w:color="000000" w:fill="005CA9"/>
            <w:noWrap/>
            <w:vAlign w:val="center"/>
            <w:hideMark/>
          </w:tcPr>
          <w:p w14:paraId="22546A0B" w14:textId="295CA1D2" w:rsidR="00EB091D" w:rsidRPr="00EB091D" w:rsidRDefault="00EB091D" w:rsidP="00EB091D">
            <w:pPr>
              <w:jc w:val="right"/>
              <w:rPr>
                <w:rFonts w:ascii="CAIXA Std Book" w:eastAsia="Times New Roman" w:hAnsi="CAIXA Std Book" w:cs="Times New Roman"/>
                <w:b/>
                <w:bCs/>
                <w:color w:val="FFFFFF"/>
                <w:sz w:val="18"/>
                <w:szCs w:val="18"/>
              </w:rPr>
            </w:pPr>
            <w:r w:rsidRPr="00EB091D">
              <w:rPr>
                <w:rFonts w:ascii="CAIXA Std Book" w:eastAsia="Times New Roman" w:hAnsi="CAIXA Std Book" w:cs="Times New Roman"/>
                <w:b/>
                <w:bCs/>
                <w:color w:val="FFFFFF"/>
                <w:sz w:val="18"/>
                <w:szCs w:val="18"/>
              </w:rPr>
              <w:t>2.238.931</w:t>
            </w:r>
          </w:p>
        </w:tc>
        <w:tc>
          <w:tcPr>
            <w:tcW w:w="726" w:type="pct"/>
            <w:tcBorders>
              <w:top w:val="nil"/>
              <w:left w:val="nil"/>
              <w:bottom w:val="nil"/>
              <w:right w:val="nil"/>
            </w:tcBorders>
            <w:shd w:val="clear" w:color="000000" w:fill="005CA9"/>
            <w:noWrap/>
            <w:vAlign w:val="center"/>
            <w:hideMark/>
          </w:tcPr>
          <w:p w14:paraId="1B74DE9F" w14:textId="0588295C" w:rsidR="00EB091D" w:rsidRPr="00EB091D" w:rsidRDefault="00EB091D" w:rsidP="00EB091D">
            <w:pPr>
              <w:jc w:val="right"/>
              <w:rPr>
                <w:rFonts w:ascii="CAIXA Std Book" w:eastAsia="Times New Roman" w:hAnsi="CAIXA Std Book" w:cs="Times New Roman"/>
                <w:b/>
                <w:bCs/>
                <w:color w:val="FFFFFF"/>
                <w:sz w:val="18"/>
                <w:szCs w:val="18"/>
              </w:rPr>
            </w:pPr>
            <w:r w:rsidRPr="00EB091D">
              <w:rPr>
                <w:rFonts w:ascii="CAIXA Std Book" w:eastAsia="Times New Roman" w:hAnsi="CAIXA Std Book" w:cs="Times New Roman"/>
                <w:b/>
                <w:bCs/>
                <w:color w:val="FFFFFF"/>
                <w:sz w:val="18"/>
                <w:szCs w:val="18"/>
              </w:rPr>
              <w:t>2.239.603</w:t>
            </w:r>
          </w:p>
        </w:tc>
        <w:tc>
          <w:tcPr>
            <w:tcW w:w="726" w:type="pct"/>
            <w:tcBorders>
              <w:top w:val="nil"/>
              <w:left w:val="nil"/>
              <w:bottom w:val="nil"/>
              <w:right w:val="nil"/>
            </w:tcBorders>
            <w:shd w:val="clear" w:color="000000" w:fill="005CA9"/>
            <w:noWrap/>
            <w:vAlign w:val="center"/>
            <w:hideMark/>
          </w:tcPr>
          <w:p w14:paraId="6D8D3D32" w14:textId="53A765A5" w:rsidR="00EB091D" w:rsidRPr="00EB091D" w:rsidRDefault="00EB091D" w:rsidP="00EB091D">
            <w:pPr>
              <w:jc w:val="right"/>
              <w:rPr>
                <w:rFonts w:ascii="CAIXA Std Book" w:eastAsia="Times New Roman" w:hAnsi="CAIXA Std Book" w:cs="Times New Roman"/>
                <w:b/>
                <w:bCs/>
                <w:color w:val="FFFFFF"/>
                <w:sz w:val="18"/>
                <w:szCs w:val="18"/>
              </w:rPr>
            </w:pPr>
            <w:r w:rsidRPr="00EB091D">
              <w:rPr>
                <w:rFonts w:ascii="CAIXA Std Book" w:eastAsia="Times New Roman" w:hAnsi="CAIXA Std Book" w:cs="Times New Roman"/>
                <w:b/>
                <w:bCs/>
                <w:color w:val="FFFFFF"/>
                <w:sz w:val="18"/>
                <w:szCs w:val="18"/>
              </w:rPr>
              <w:t>(672)</w:t>
            </w:r>
          </w:p>
        </w:tc>
        <w:tc>
          <w:tcPr>
            <w:tcW w:w="727" w:type="pct"/>
            <w:tcBorders>
              <w:top w:val="nil"/>
              <w:left w:val="nil"/>
              <w:bottom w:val="nil"/>
              <w:right w:val="nil"/>
            </w:tcBorders>
            <w:shd w:val="clear" w:color="000000" w:fill="005CA9"/>
            <w:noWrap/>
            <w:vAlign w:val="center"/>
            <w:hideMark/>
          </w:tcPr>
          <w:p w14:paraId="5E719349" w14:textId="29E1E6FF" w:rsidR="00EB091D" w:rsidRPr="00EB091D" w:rsidRDefault="00EB091D" w:rsidP="00EB091D">
            <w:pPr>
              <w:jc w:val="right"/>
              <w:rPr>
                <w:rFonts w:ascii="CAIXA Std Book" w:eastAsia="Times New Roman" w:hAnsi="CAIXA Std Book" w:cs="Times New Roman"/>
                <w:b/>
                <w:bCs/>
                <w:color w:val="FFFFFF"/>
                <w:sz w:val="18"/>
                <w:szCs w:val="18"/>
              </w:rPr>
            </w:pPr>
            <w:r w:rsidRPr="00EB091D">
              <w:rPr>
                <w:rFonts w:ascii="CAIXA Std Book" w:eastAsia="Times New Roman" w:hAnsi="CAIXA Std Book" w:cs="Times New Roman"/>
                <w:b/>
                <w:bCs/>
                <w:color w:val="FFFFFF"/>
                <w:sz w:val="18"/>
                <w:szCs w:val="18"/>
              </w:rPr>
              <w:t>2.238.931</w:t>
            </w:r>
          </w:p>
        </w:tc>
      </w:tr>
    </w:tbl>
    <w:p w14:paraId="0C991029" w14:textId="7293953D" w:rsidR="00F7791E" w:rsidRPr="00DA7916" w:rsidRDefault="00F7791E" w:rsidP="00EA1459">
      <w:pPr>
        <w:pStyle w:val="PargrafodaLista"/>
        <w:numPr>
          <w:ilvl w:val="0"/>
          <w:numId w:val="6"/>
        </w:numPr>
        <w:spacing w:before="240" w:after="120"/>
        <w:ind w:left="567" w:hanging="567"/>
        <w:rPr>
          <w:rFonts w:ascii="CAIXA Std Book" w:hAnsi="CAIXA Std Book"/>
          <w:b/>
          <w:color w:val="005CA9"/>
          <w:sz w:val="20"/>
          <w:szCs w:val="20"/>
        </w:rPr>
      </w:pPr>
      <w:r w:rsidRPr="00DA7916">
        <w:rPr>
          <w:rFonts w:ascii="CAIXA Std Book" w:hAnsi="CAIXA Std Book"/>
          <w:b/>
          <w:color w:val="005CA9"/>
          <w:sz w:val="20"/>
          <w:szCs w:val="20"/>
        </w:rPr>
        <w:t>Movimentação por estágios da carteira</w:t>
      </w:r>
    </w:p>
    <w:p w14:paraId="449AAA81" w14:textId="62ED6BB1" w:rsidR="009C3125" w:rsidRPr="009C3125" w:rsidRDefault="009C3125" w:rsidP="009C3125">
      <w:pPr>
        <w:rPr>
          <w:rFonts w:ascii="CAIXA Std Book" w:hAnsi="CAIXA Std Book"/>
          <w:bCs/>
          <w:color w:val="005CA9"/>
          <w:sz w:val="20"/>
          <w:szCs w:val="20"/>
        </w:rPr>
      </w:pPr>
      <w:r w:rsidRPr="009C3125">
        <w:rPr>
          <w:rFonts w:ascii="CAIXA Std Book" w:hAnsi="CAIXA Std Book"/>
          <w:bCs/>
          <w:color w:val="005CA9"/>
          <w:sz w:val="20"/>
          <w:szCs w:val="20"/>
        </w:rPr>
        <w:t>Não houve movimentação do/para o</w:t>
      </w:r>
      <w:r>
        <w:rPr>
          <w:rFonts w:ascii="CAIXA Std Book" w:hAnsi="CAIXA Std Book"/>
          <w:bCs/>
          <w:color w:val="005CA9"/>
          <w:sz w:val="20"/>
          <w:szCs w:val="20"/>
        </w:rPr>
        <w:t>s</w:t>
      </w:r>
      <w:r w:rsidRPr="009C3125">
        <w:rPr>
          <w:rFonts w:ascii="CAIXA Std Book" w:hAnsi="CAIXA Std Book"/>
          <w:bCs/>
          <w:color w:val="005CA9"/>
          <w:sz w:val="20"/>
          <w:szCs w:val="20"/>
        </w:rPr>
        <w:t xml:space="preserve"> estágios 2</w:t>
      </w:r>
      <w:r>
        <w:rPr>
          <w:rFonts w:ascii="CAIXA Std Book" w:hAnsi="CAIXA Std Book"/>
          <w:bCs/>
          <w:color w:val="005CA9"/>
          <w:sz w:val="20"/>
          <w:szCs w:val="20"/>
        </w:rPr>
        <w:t xml:space="preserve"> e 3</w:t>
      </w:r>
      <w:r w:rsidRPr="009C3125">
        <w:rPr>
          <w:rFonts w:ascii="CAIXA Std Book" w:hAnsi="CAIXA Std Book"/>
          <w:bCs/>
          <w:color w:val="005CA9"/>
          <w:sz w:val="20"/>
          <w:szCs w:val="20"/>
        </w:rPr>
        <w:t xml:space="preserve"> na carteira de títulos e valores mobiliários </w:t>
      </w:r>
      <w:r>
        <w:rPr>
          <w:rFonts w:ascii="CAIXA Std Book" w:hAnsi="CAIXA Std Book"/>
          <w:bCs/>
          <w:color w:val="005CA9"/>
          <w:sz w:val="20"/>
          <w:szCs w:val="20"/>
        </w:rPr>
        <w:t xml:space="preserve">ao custo amortizado. </w:t>
      </w:r>
    </w:p>
    <w:p w14:paraId="71BA9C00" w14:textId="77777777" w:rsidR="005E1D50" w:rsidRPr="00441370" w:rsidRDefault="005E1D50" w:rsidP="00441370">
      <w:pPr>
        <w:rPr>
          <w:rFonts w:ascii="CAIXA Std Book" w:hAnsi="CAIXA Std Book"/>
          <w:color w:val="005CA9"/>
          <w:sz w:val="20"/>
          <w:szCs w:val="20"/>
        </w:rPr>
      </w:pPr>
    </w:p>
    <w:tbl>
      <w:tblPr>
        <w:tblW w:w="5000" w:type="pct"/>
        <w:tblLayout w:type="fixed"/>
        <w:tblCellMar>
          <w:left w:w="70" w:type="dxa"/>
          <w:right w:w="70" w:type="dxa"/>
        </w:tblCellMar>
        <w:tblLook w:val="04A0" w:firstRow="1" w:lastRow="0" w:firstColumn="1" w:lastColumn="0" w:noHBand="0" w:noVBand="1"/>
      </w:tblPr>
      <w:tblGrid>
        <w:gridCol w:w="5366"/>
        <w:gridCol w:w="1838"/>
        <w:gridCol w:w="1842"/>
        <w:gridCol w:w="1839"/>
        <w:gridCol w:w="1842"/>
        <w:gridCol w:w="1842"/>
      </w:tblGrid>
      <w:tr w:rsidR="007E05B9" w:rsidRPr="008715AE" w14:paraId="5A7EF592" w14:textId="77777777" w:rsidTr="00441370">
        <w:trPr>
          <w:trHeight w:val="283"/>
        </w:trPr>
        <w:tc>
          <w:tcPr>
            <w:tcW w:w="5000" w:type="pct"/>
            <w:gridSpan w:val="6"/>
            <w:tcBorders>
              <w:left w:val="nil"/>
              <w:bottom w:val="single" w:sz="4" w:space="0" w:color="FFFFFF" w:themeColor="background1"/>
              <w:right w:val="nil"/>
            </w:tcBorders>
            <w:shd w:val="clear" w:color="auto" w:fill="005CA9"/>
            <w:noWrap/>
            <w:vAlign w:val="center"/>
            <w:hideMark/>
          </w:tcPr>
          <w:p w14:paraId="1C93505E" w14:textId="77777777" w:rsidR="007E05B9" w:rsidRPr="008715AE" w:rsidRDefault="007E05B9" w:rsidP="003208C7">
            <w:pPr>
              <w:jc w:val="center"/>
              <w:rPr>
                <w:rFonts w:ascii="CAIXA Std Book" w:eastAsia="Times New Roman" w:hAnsi="CAIXA Std Book" w:cs="Calibri"/>
                <w:b/>
                <w:color w:val="FFFFFF"/>
                <w:sz w:val="18"/>
                <w:szCs w:val="18"/>
              </w:rPr>
            </w:pPr>
            <w:r w:rsidRPr="008715AE">
              <w:rPr>
                <w:rFonts w:ascii="CAIXA Std Book" w:eastAsia="Times New Roman" w:hAnsi="CAIXA Std Book" w:cs="Calibri"/>
                <w:b/>
                <w:color w:val="FFFFFF"/>
                <w:sz w:val="18"/>
                <w:szCs w:val="18"/>
              </w:rPr>
              <w:t>Individual / Consolidado</w:t>
            </w:r>
          </w:p>
        </w:tc>
      </w:tr>
      <w:tr w:rsidR="007E05B9" w:rsidRPr="008715AE" w14:paraId="20696500" w14:textId="77777777" w:rsidTr="00702F34">
        <w:trPr>
          <w:trHeight w:val="401"/>
        </w:trPr>
        <w:tc>
          <w:tcPr>
            <w:tcW w:w="1842" w:type="pct"/>
            <w:vMerge w:val="restart"/>
            <w:tcBorders>
              <w:top w:val="single" w:sz="4" w:space="0" w:color="FFFFFF" w:themeColor="background1"/>
              <w:left w:val="nil"/>
              <w:bottom w:val="single" w:sz="4" w:space="0" w:color="FFFFFF"/>
              <w:right w:val="nil"/>
            </w:tcBorders>
            <w:shd w:val="clear" w:color="auto" w:fill="005CA9"/>
            <w:vAlign w:val="center"/>
            <w:hideMark/>
          </w:tcPr>
          <w:p w14:paraId="539FD08F" w14:textId="77777777" w:rsidR="007E05B9" w:rsidRPr="008715AE" w:rsidRDefault="007E05B9" w:rsidP="003208C7">
            <w:pPr>
              <w:jc w:val="center"/>
              <w:rPr>
                <w:rFonts w:ascii="CAIXA Std Book" w:eastAsia="Times New Roman" w:hAnsi="CAIXA Std Book" w:cs="Calibri"/>
                <w:b/>
                <w:color w:val="FFFFFF"/>
                <w:sz w:val="18"/>
                <w:szCs w:val="18"/>
              </w:rPr>
            </w:pPr>
            <w:r w:rsidRPr="008715AE">
              <w:rPr>
                <w:rFonts w:ascii="CAIXA Std Book" w:eastAsia="Times New Roman" w:hAnsi="CAIXA Std Book" w:cs="Calibri"/>
                <w:b/>
                <w:color w:val="FFFFFF"/>
                <w:sz w:val="18"/>
                <w:szCs w:val="18"/>
              </w:rPr>
              <w:t>Estágio 1</w:t>
            </w:r>
          </w:p>
        </w:tc>
        <w:tc>
          <w:tcPr>
            <w:tcW w:w="631" w:type="pct"/>
            <w:vMerge w:val="restart"/>
            <w:tcBorders>
              <w:top w:val="single" w:sz="4" w:space="0" w:color="FFFFFF" w:themeColor="background1"/>
              <w:left w:val="nil"/>
              <w:bottom w:val="single" w:sz="4" w:space="0" w:color="FFFFFF"/>
              <w:right w:val="nil"/>
            </w:tcBorders>
            <w:shd w:val="clear" w:color="auto" w:fill="005CA9"/>
            <w:vAlign w:val="center"/>
            <w:hideMark/>
          </w:tcPr>
          <w:p w14:paraId="3510D4B8" w14:textId="13BA1263" w:rsidR="007E05B9" w:rsidRPr="008715AE" w:rsidRDefault="007E05B9" w:rsidP="003208C7">
            <w:pPr>
              <w:jc w:val="center"/>
              <w:rPr>
                <w:rFonts w:ascii="CAIXA Std Book" w:eastAsia="Times New Roman" w:hAnsi="CAIXA Std Book" w:cs="Calibri"/>
                <w:b/>
                <w:color w:val="FFFFFF"/>
                <w:sz w:val="18"/>
                <w:szCs w:val="18"/>
              </w:rPr>
            </w:pPr>
            <w:r w:rsidRPr="008715AE">
              <w:rPr>
                <w:rFonts w:ascii="CAIXA Std Book" w:eastAsia="Times New Roman" w:hAnsi="CAIXA Std Book" w:cs="Calibri"/>
                <w:b/>
                <w:color w:val="FFFFFF"/>
                <w:sz w:val="18"/>
                <w:szCs w:val="18"/>
              </w:rPr>
              <w:t xml:space="preserve">Saldo em </w:t>
            </w:r>
            <w:r w:rsidR="00ED2B8A">
              <w:rPr>
                <w:rFonts w:ascii="CAIXA Std Book" w:eastAsia="Times New Roman" w:hAnsi="CAIXA Std Book" w:cs="Calibri"/>
                <w:b/>
                <w:color w:val="FFFFFF"/>
                <w:sz w:val="18"/>
                <w:szCs w:val="18"/>
              </w:rPr>
              <w:t>31</w:t>
            </w:r>
            <w:r w:rsidRPr="008715AE">
              <w:rPr>
                <w:rFonts w:ascii="CAIXA Std Book" w:eastAsia="Times New Roman" w:hAnsi="CAIXA Std Book" w:cs="Calibri"/>
                <w:b/>
                <w:color w:val="FFFFFF"/>
                <w:sz w:val="18"/>
                <w:szCs w:val="18"/>
              </w:rPr>
              <w:t>/</w:t>
            </w:r>
            <w:r w:rsidR="00ED2B8A">
              <w:rPr>
                <w:rFonts w:ascii="CAIXA Std Book" w:eastAsia="Times New Roman" w:hAnsi="CAIXA Std Book" w:cs="Calibri"/>
                <w:b/>
                <w:color w:val="FFFFFF"/>
                <w:sz w:val="18"/>
                <w:szCs w:val="18"/>
              </w:rPr>
              <w:t>12</w:t>
            </w:r>
            <w:r w:rsidRPr="008715AE">
              <w:rPr>
                <w:rFonts w:ascii="CAIXA Std Book" w:eastAsia="Times New Roman" w:hAnsi="CAIXA Std Book" w:cs="Calibri"/>
                <w:b/>
                <w:color w:val="FFFFFF"/>
                <w:sz w:val="18"/>
                <w:szCs w:val="18"/>
              </w:rPr>
              <w:t>/2025</w:t>
            </w:r>
          </w:p>
        </w:tc>
        <w:tc>
          <w:tcPr>
            <w:tcW w:w="632" w:type="pct"/>
            <w:vMerge w:val="restart"/>
            <w:tcBorders>
              <w:top w:val="single" w:sz="4" w:space="0" w:color="FFFFFF" w:themeColor="background1"/>
              <w:left w:val="nil"/>
              <w:bottom w:val="single" w:sz="4" w:space="0" w:color="FFFFFF"/>
              <w:right w:val="nil"/>
            </w:tcBorders>
            <w:shd w:val="clear" w:color="auto" w:fill="005CA9"/>
            <w:vAlign w:val="center"/>
            <w:hideMark/>
          </w:tcPr>
          <w:p w14:paraId="61BD575B" w14:textId="77777777" w:rsidR="007E05B9" w:rsidRPr="008715AE" w:rsidRDefault="007E05B9" w:rsidP="003208C7">
            <w:pPr>
              <w:jc w:val="center"/>
              <w:rPr>
                <w:rFonts w:ascii="CAIXA Std Book" w:eastAsia="Times New Roman" w:hAnsi="CAIXA Std Book" w:cs="Calibri"/>
                <w:b/>
                <w:color w:val="FFFFFF"/>
                <w:sz w:val="18"/>
                <w:szCs w:val="18"/>
              </w:rPr>
            </w:pPr>
            <w:r w:rsidRPr="008715AE">
              <w:rPr>
                <w:rFonts w:ascii="CAIXA Std Book" w:eastAsia="Times New Roman" w:hAnsi="CAIXA Std Book" w:cs="Calibri"/>
                <w:b/>
                <w:color w:val="FFFFFF"/>
                <w:sz w:val="18"/>
                <w:szCs w:val="18"/>
              </w:rPr>
              <w:t>Compra/</w:t>
            </w:r>
          </w:p>
          <w:p w14:paraId="37CD26F6" w14:textId="77777777" w:rsidR="007E05B9" w:rsidRPr="008715AE" w:rsidRDefault="007E05B9" w:rsidP="003208C7">
            <w:pPr>
              <w:jc w:val="center"/>
              <w:rPr>
                <w:rFonts w:ascii="CAIXA Std Book" w:eastAsia="Times New Roman" w:hAnsi="CAIXA Std Book" w:cs="Calibri"/>
                <w:b/>
                <w:color w:val="FFFFFF"/>
                <w:sz w:val="18"/>
                <w:szCs w:val="18"/>
              </w:rPr>
            </w:pPr>
            <w:r w:rsidRPr="008715AE">
              <w:rPr>
                <w:rFonts w:ascii="CAIXA Std Book" w:eastAsia="Times New Roman" w:hAnsi="CAIXA Std Book" w:cs="Calibri"/>
                <w:b/>
                <w:color w:val="FFFFFF"/>
                <w:sz w:val="18"/>
                <w:szCs w:val="18"/>
              </w:rPr>
              <w:t>(liquidação)</w:t>
            </w:r>
          </w:p>
        </w:tc>
        <w:tc>
          <w:tcPr>
            <w:tcW w:w="631" w:type="pct"/>
            <w:vMerge w:val="restart"/>
            <w:tcBorders>
              <w:top w:val="single" w:sz="4" w:space="0" w:color="FFFFFF" w:themeColor="background1"/>
              <w:left w:val="nil"/>
              <w:bottom w:val="single" w:sz="4" w:space="0" w:color="FFFFFF"/>
              <w:right w:val="nil"/>
            </w:tcBorders>
            <w:shd w:val="clear" w:color="auto" w:fill="005CA9"/>
            <w:vAlign w:val="center"/>
            <w:hideMark/>
          </w:tcPr>
          <w:p w14:paraId="545C6A3B" w14:textId="77777777" w:rsidR="007E05B9" w:rsidRPr="008715AE" w:rsidRDefault="007E05B9" w:rsidP="003208C7">
            <w:pPr>
              <w:jc w:val="center"/>
              <w:rPr>
                <w:rFonts w:ascii="CAIXA Std Book" w:eastAsia="Times New Roman" w:hAnsi="CAIXA Std Book" w:cs="Calibri"/>
                <w:b/>
                <w:color w:val="FFFFFF"/>
                <w:sz w:val="18"/>
                <w:szCs w:val="18"/>
              </w:rPr>
            </w:pPr>
            <w:r w:rsidRPr="008715AE">
              <w:rPr>
                <w:rFonts w:ascii="CAIXA Std Book" w:eastAsia="Times New Roman" w:hAnsi="CAIXA Std Book" w:cs="Calibri"/>
                <w:b/>
                <w:color w:val="FFFFFF"/>
                <w:sz w:val="18"/>
                <w:szCs w:val="18"/>
              </w:rPr>
              <w:t>Transferência do/para estágio 2</w:t>
            </w:r>
          </w:p>
        </w:tc>
        <w:tc>
          <w:tcPr>
            <w:tcW w:w="632" w:type="pct"/>
            <w:vMerge w:val="restart"/>
            <w:tcBorders>
              <w:top w:val="single" w:sz="4" w:space="0" w:color="FFFFFF" w:themeColor="background1"/>
              <w:left w:val="nil"/>
              <w:bottom w:val="single" w:sz="4" w:space="0" w:color="FFFFFF"/>
              <w:right w:val="nil"/>
            </w:tcBorders>
            <w:shd w:val="clear" w:color="auto" w:fill="005CA9"/>
            <w:vAlign w:val="center"/>
            <w:hideMark/>
          </w:tcPr>
          <w:p w14:paraId="7864427B" w14:textId="77777777" w:rsidR="007E05B9" w:rsidRPr="008715AE" w:rsidRDefault="007E05B9" w:rsidP="003208C7">
            <w:pPr>
              <w:jc w:val="center"/>
              <w:rPr>
                <w:rFonts w:ascii="CAIXA Std Book" w:eastAsia="Times New Roman" w:hAnsi="CAIXA Std Book" w:cs="Calibri"/>
                <w:b/>
                <w:color w:val="FFFFFF"/>
                <w:sz w:val="18"/>
                <w:szCs w:val="18"/>
              </w:rPr>
            </w:pPr>
            <w:r w:rsidRPr="008715AE">
              <w:rPr>
                <w:rFonts w:ascii="CAIXA Std Book" w:eastAsia="Times New Roman" w:hAnsi="CAIXA Std Book" w:cs="Calibri"/>
                <w:b/>
                <w:color w:val="FFFFFF"/>
                <w:sz w:val="18"/>
                <w:szCs w:val="18"/>
              </w:rPr>
              <w:t>Transferência do/para estágio 3</w:t>
            </w:r>
          </w:p>
        </w:tc>
        <w:tc>
          <w:tcPr>
            <w:tcW w:w="632" w:type="pct"/>
            <w:vMerge w:val="restart"/>
            <w:tcBorders>
              <w:top w:val="single" w:sz="4" w:space="0" w:color="FFFFFF" w:themeColor="background1"/>
              <w:left w:val="nil"/>
              <w:bottom w:val="single" w:sz="4" w:space="0" w:color="FFFFFF"/>
              <w:right w:val="nil"/>
            </w:tcBorders>
            <w:shd w:val="clear" w:color="auto" w:fill="005CA9"/>
            <w:vAlign w:val="center"/>
            <w:hideMark/>
          </w:tcPr>
          <w:p w14:paraId="39575BD9" w14:textId="77777777" w:rsidR="007E05B9" w:rsidRPr="008715AE" w:rsidRDefault="007E05B9" w:rsidP="003208C7">
            <w:pPr>
              <w:jc w:val="center"/>
              <w:rPr>
                <w:rFonts w:ascii="CAIXA Std Book" w:eastAsia="Times New Roman" w:hAnsi="CAIXA Std Book" w:cs="Calibri"/>
                <w:b/>
                <w:color w:val="FFFFFF"/>
                <w:sz w:val="18"/>
                <w:szCs w:val="18"/>
              </w:rPr>
            </w:pPr>
            <w:r w:rsidRPr="008715AE">
              <w:rPr>
                <w:rFonts w:ascii="CAIXA Std Book" w:eastAsia="Times New Roman" w:hAnsi="CAIXA Std Book" w:cs="Calibri"/>
                <w:b/>
                <w:color w:val="FFFFFF"/>
                <w:sz w:val="18"/>
                <w:szCs w:val="18"/>
              </w:rPr>
              <w:t>Saldo em</w:t>
            </w:r>
          </w:p>
          <w:p w14:paraId="676B74B6" w14:textId="41EDDE49" w:rsidR="007E05B9" w:rsidRPr="008715AE" w:rsidRDefault="007E05B9" w:rsidP="003208C7">
            <w:pPr>
              <w:jc w:val="center"/>
              <w:rPr>
                <w:rFonts w:ascii="CAIXA Std Book" w:eastAsia="Times New Roman" w:hAnsi="CAIXA Std Book" w:cs="Calibri"/>
                <w:b/>
                <w:color w:val="FFFFFF"/>
                <w:sz w:val="18"/>
                <w:szCs w:val="18"/>
              </w:rPr>
            </w:pPr>
            <w:r w:rsidRPr="008715AE">
              <w:rPr>
                <w:rFonts w:ascii="CAIXA Std Book" w:eastAsia="Times New Roman" w:hAnsi="CAIXA Std Book" w:cs="Calibri"/>
                <w:b/>
                <w:color w:val="FFFFFF"/>
                <w:sz w:val="18"/>
                <w:szCs w:val="18"/>
              </w:rPr>
              <w:t>31/</w:t>
            </w:r>
            <w:r w:rsidR="008715AE" w:rsidRPr="008715AE">
              <w:rPr>
                <w:rFonts w:ascii="CAIXA Std Book" w:eastAsia="Times New Roman" w:hAnsi="CAIXA Std Book" w:cs="Calibri"/>
                <w:b/>
                <w:color w:val="FFFFFF"/>
                <w:sz w:val="18"/>
                <w:szCs w:val="18"/>
              </w:rPr>
              <w:t>03</w:t>
            </w:r>
            <w:r w:rsidRPr="008715AE">
              <w:rPr>
                <w:rFonts w:ascii="CAIXA Std Book" w:eastAsia="Times New Roman" w:hAnsi="CAIXA Std Book" w:cs="Calibri"/>
                <w:b/>
                <w:color w:val="FFFFFF"/>
                <w:sz w:val="18"/>
                <w:szCs w:val="18"/>
              </w:rPr>
              <w:t>/202</w:t>
            </w:r>
            <w:r w:rsidR="008715AE" w:rsidRPr="008715AE">
              <w:rPr>
                <w:rFonts w:ascii="CAIXA Std Book" w:eastAsia="Times New Roman" w:hAnsi="CAIXA Std Book" w:cs="Calibri"/>
                <w:b/>
                <w:color w:val="FFFFFF"/>
                <w:sz w:val="18"/>
                <w:szCs w:val="18"/>
              </w:rPr>
              <w:t>6</w:t>
            </w:r>
          </w:p>
        </w:tc>
      </w:tr>
      <w:tr w:rsidR="007E05B9" w:rsidRPr="008715AE" w14:paraId="07588ECC" w14:textId="77777777" w:rsidTr="003208C7">
        <w:trPr>
          <w:trHeight w:val="401"/>
        </w:trPr>
        <w:tc>
          <w:tcPr>
            <w:tcW w:w="1842" w:type="pct"/>
            <w:vMerge/>
            <w:tcBorders>
              <w:top w:val="nil"/>
              <w:left w:val="nil"/>
              <w:bottom w:val="single" w:sz="4" w:space="0" w:color="FFFFFF"/>
              <w:right w:val="nil"/>
            </w:tcBorders>
            <w:shd w:val="clear" w:color="auto" w:fill="005CA9"/>
            <w:vAlign w:val="center"/>
            <w:hideMark/>
          </w:tcPr>
          <w:p w14:paraId="065486A6" w14:textId="77777777" w:rsidR="007E05B9" w:rsidRPr="008715AE" w:rsidRDefault="007E05B9" w:rsidP="003208C7">
            <w:pPr>
              <w:rPr>
                <w:rFonts w:ascii="CAIXA Std Book" w:eastAsia="Times New Roman" w:hAnsi="CAIXA Std Book" w:cs="Calibri"/>
                <w:b/>
                <w:color w:val="FFFFFF"/>
                <w:sz w:val="18"/>
                <w:szCs w:val="18"/>
              </w:rPr>
            </w:pPr>
          </w:p>
        </w:tc>
        <w:tc>
          <w:tcPr>
            <w:tcW w:w="631" w:type="pct"/>
            <w:vMerge/>
            <w:tcBorders>
              <w:top w:val="nil"/>
              <w:left w:val="nil"/>
              <w:bottom w:val="single" w:sz="4" w:space="0" w:color="FFFFFF"/>
              <w:right w:val="nil"/>
            </w:tcBorders>
            <w:shd w:val="clear" w:color="auto" w:fill="005CA9"/>
            <w:vAlign w:val="center"/>
            <w:hideMark/>
          </w:tcPr>
          <w:p w14:paraId="73BE3304" w14:textId="77777777" w:rsidR="007E05B9" w:rsidRPr="008715AE" w:rsidRDefault="007E05B9" w:rsidP="003208C7">
            <w:pPr>
              <w:rPr>
                <w:rFonts w:ascii="CAIXA Std Book" w:eastAsia="Times New Roman" w:hAnsi="CAIXA Std Book" w:cs="Calibri"/>
                <w:b/>
                <w:color w:val="FFFFFF"/>
                <w:sz w:val="18"/>
                <w:szCs w:val="18"/>
              </w:rPr>
            </w:pPr>
          </w:p>
        </w:tc>
        <w:tc>
          <w:tcPr>
            <w:tcW w:w="632" w:type="pct"/>
            <w:vMerge/>
            <w:tcBorders>
              <w:top w:val="nil"/>
              <w:left w:val="nil"/>
              <w:bottom w:val="single" w:sz="4" w:space="0" w:color="FFFFFF"/>
              <w:right w:val="nil"/>
            </w:tcBorders>
            <w:shd w:val="clear" w:color="auto" w:fill="005CA9"/>
            <w:vAlign w:val="center"/>
            <w:hideMark/>
          </w:tcPr>
          <w:p w14:paraId="62B820CE" w14:textId="77777777" w:rsidR="007E05B9" w:rsidRPr="008715AE" w:rsidRDefault="007E05B9" w:rsidP="003208C7">
            <w:pPr>
              <w:rPr>
                <w:rFonts w:ascii="CAIXA Std Book" w:eastAsia="Times New Roman" w:hAnsi="CAIXA Std Book" w:cs="Calibri"/>
                <w:b/>
                <w:color w:val="FFFFFF"/>
                <w:sz w:val="18"/>
                <w:szCs w:val="18"/>
              </w:rPr>
            </w:pPr>
          </w:p>
        </w:tc>
        <w:tc>
          <w:tcPr>
            <w:tcW w:w="631" w:type="pct"/>
            <w:vMerge/>
            <w:tcBorders>
              <w:top w:val="nil"/>
              <w:left w:val="nil"/>
              <w:bottom w:val="single" w:sz="4" w:space="0" w:color="FFFFFF"/>
              <w:right w:val="nil"/>
            </w:tcBorders>
            <w:shd w:val="clear" w:color="auto" w:fill="005CA9"/>
            <w:vAlign w:val="center"/>
            <w:hideMark/>
          </w:tcPr>
          <w:p w14:paraId="4CCF5E85" w14:textId="77777777" w:rsidR="007E05B9" w:rsidRPr="008715AE" w:rsidRDefault="007E05B9" w:rsidP="003208C7">
            <w:pPr>
              <w:rPr>
                <w:rFonts w:ascii="CAIXA Std Book" w:eastAsia="Times New Roman" w:hAnsi="CAIXA Std Book" w:cs="Calibri"/>
                <w:b/>
                <w:color w:val="FFFFFF"/>
                <w:sz w:val="18"/>
                <w:szCs w:val="18"/>
              </w:rPr>
            </w:pPr>
          </w:p>
        </w:tc>
        <w:tc>
          <w:tcPr>
            <w:tcW w:w="632" w:type="pct"/>
            <w:vMerge/>
            <w:tcBorders>
              <w:top w:val="nil"/>
              <w:left w:val="nil"/>
              <w:bottom w:val="single" w:sz="4" w:space="0" w:color="FFFFFF"/>
              <w:right w:val="nil"/>
            </w:tcBorders>
            <w:shd w:val="clear" w:color="auto" w:fill="005CA9"/>
            <w:vAlign w:val="center"/>
            <w:hideMark/>
          </w:tcPr>
          <w:p w14:paraId="4A69EC6F" w14:textId="77777777" w:rsidR="007E05B9" w:rsidRPr="008715AE" w:rsidRDefault="007E05B9" w:rsidP="003208C7">
            <w:pPr>
              <w:rPr>
                <w:rFonts w:ascii="CAIXA Std Book" w:eastAsia="Times New Roman" w:hAnsi="CAIXA Std Book" w:cs="Calibri"/>
                <w:b/>
                <w:color w:val="FFFFFF"/>
                <w:sz w:val="18"/>
                <w:szCs w:val="18"/>
              </w:rPr>
            </w:pPr>
          </w:p>
        </w:tc>
        <w:tc>
          <w:tcPr>
            <w:tcW w:w="632" w:type="pct"/>
            <w:vMerge/>
            <w:tcBorders>
              <w:top w:val="nil"/>
              <w:left w:val="nil"/>
              <w:bottom w:val="single" w:sz="4" w:space="0" w:color="FFFFFF"/>
              <w:right w:val="nil"/>
            </w:tcBorders>
            <w:shd w:val="clear" w:color="auto" w:fill="005CA9"/>
            <w:vAlign w:val="center"/>
            <w:hideMark/>
          </w:tcPr>
          <w:p w14:paraId="5CA0292D" w14:textId="77777777" w:rsidR="007E05B9" w:rsidRPr="008715AE" w:rsidRDefault="007E05B9" w:rsidP="003208C7">
            <w:pPr>
              <w:rPr>
                <w:rFonts w:ascii="CAIXA Std Book" w:eastAsia="Times New Roman" w:hAnsi="CAIXA Std Book" w:cs="Calibri"/>
                <w:b/>
                <w:color w:val="FFFFFF"/>
                <w:sz w:val="18"/>
                <w:szCs w:val="18"/>
              </w:rPr>
            </w:pPr>
          </w:p>
        </w:tc>
      </w:tr>
      <w:tr w:rsidR="008A0DAE" w:rsidRPr="008715AE" w14:paraId="672EF9B0" w14:textId="77777777" w:rsidTr="008A0DAE">
        <w:trPr>
          <w:trHeight w:val="283"/>
        </w:trPr>
        <w:tc>
          <w:tcPr>
            <w:tcW w:w="1842" w:type="pct"/>
            <w:tcBorders>
              <w:top w:val="nil"/>
              <w:left w:val="nil"/>
              <w:right w:val="nil"/>
            </w:tcBorders>
            <w:shd w:val="clear" w:color="000000" w:fill="FFFFFF"/>
            <w:noWrap/>
            <w:vAlign w:val="center"/>
            <w:hideMark/>
          </w:tcPr>
          <w:p w14:paraId="41B2BCF3" w14:textId="77777777" w:rsidR="008A0DAE" w:rsidRPr="008715AE" w:rsidRDefault="008A0DAE" w:rsidP="008A0DAE">
            <w:pPr>
              <w:rPr>
                <w:rFonts w:ascii="CAIXA Std Book" w:eastAsia="Times New Roman" w:hAnsi="CAIXA Std Book" w:cs="Calibri"/>
                <w:color w:val="005CA9"/>
                <w:sz w:val="18"/>
                <w:szCs w:val="18"/>
              </w:rPr>
            </w:pPr>
            <w:r w:rsidRPr="008715AE">
              <w:rPr>
                <w:rFonts w:ascii="CAIXA Std Book" w:eastAsia="Times New Roman" w:hAnsi="CAIXA Std Book" w:cs="Calibri"/>
                <w:color w:val="005CA9"/>
                <w:sz w:val="18"/>
                <w:szCs w:val="18"/>
              </w:rPr>
              <w:t>Títulos privados de entidades não financeiras</w:t>
            </w:r>
          </w:p>
        </w:tc>
        <w:tc>
          <w:tcPr>
            <w:tcW w:w="631" w:type="pct"/>
            <w:tcBorders>
              <w:top w:val="nil"/>
              <w:left w:val="nil"/>
              <w:right w:val="nil"/>
            </w:tcBorders>
            <w:noWrap/>
            <w:vAlign w:val="center"/>
            <w:hideMark/>
          </w:tcPr>
          <w:p w14:paraId="01079451" w14:textId="2B3D753E" w:rsidR="008A0DAE" w:rsidRPr="008715AE" w:rsidRDefault="008A0DAE" w:rsidP="008A0DAE">
            <w:pPr>
              <w:jc w:val="right"/>
              <w:rPr>
                <w:rFonts w:ascii="CAIXA Std Book" w:hAnsi="CAIXA Std Book"/>
                <w:color w:val="005CA9"/>
                <w:sz w:val="18"/>
                <w:szCs w:val="18"/>
              </w:rPr>
            </w:pPr>
            <w:r w:rsidRPr="008715AE">
              <w:rPr>
                <w:rFonts w:ascii="CAIXA Std Book" w:hAnsi="CAIXA Std Book"/>
                <w:color w:val="005CA9"/>
                <w:sz w:val="18"/>
                <w:szCs w:val="18"/>
              </w:rPr>
              <w:t>2.239.603</w:t>
            </w:r>
          </w:p>
        </w:tc>
        <w:tc>
          <w:tcPr>
            <w:tcW w:w="632" w:type="pct"/>
            <w:tcBorders>
              <w:top w:val="nil"/>
              <w:left w:val="nil"/>
              <w:right w:val="nil"/>
            </w:tcBorders>
            <w:noWrap/>
            <w:vAlign w:val="center"/>
          </w:tcPr>
          <w:p w14:paraId="1AD19955" w14:textId="025D55A2" w:rsidR="008A0DAE" w:rsidRPr="008715AE" w:rsidRDefault="008A0DAE" w:rsidP="008A0DAE">
            <w:pPr>
              <w:jc w:val="right"/>
              <w:rPr>
                <w:rFonts w:ascii="CAIXA Std Book" w:hAnsi="CAIXA Std Book"/>
                <w:color w:val="005CA9"/>
                <w:sz w:val="18"/>
                <w:szCs w:val="18"/>
              </w:rPr>
            </w:pPr>
            <w:r>
              <w:rPr>
                <w:rFonts w:ascii="CAIXA Std Book" w:hAnsi="CAIXA Std Book" w:cs="Arial"/>
                <w:color w:val="005CA9"/>
                <w:sz w:val="18"/>
                <w:szCs w:val="18"/>
              </w:rPr>
              <w:t>512.23</w:t>
            </w:r>
            <w:r w:rsidR="00ED2B8A">
              <w:rPr>
                <w:rFonts w:ascii="CAIXA Std Book" w:hAnsi="CAIXA Std Book" w:cs="Arial"/>
                <w:color w:val="005CA9"/>
                <w:sz w:val="18"/>
                <w:szCs w:val="18"/>
              </w:rPr>
              <w:t>6</w:t>
            </w:r>
          </w:p>
        </w:tc>
        <w:tc>
          <w:tcPr>
            <w:tcW w:w="631" w:type="pct"/>
            <w:tcBorders>
              <w:top w:val="nil"/>
              <w:left w:val="nil"/>
              <w:right w:val="nil"/>
            </w:tcBorders>
            <w:noWrap/>
            <w:vAlign w:val="center"/>
          </w:tcPr>
          <w:p w14:paraId="75F4044E" w14:textId="1C0E78CB" w:rsidR="008A0DAE" w:rsidRPr="008715AE" w:rsidRDefault="008A0DAE" w:rsidP="008A0DAE">
            <w:pPr>
              <w:jc w:val="center"/>
              <w:rPr>
                <w:rFonts w:ascii="CAIXA Std Book" w:hAnsi="CAIXA Std Book"/>
                <w:color w:val="005CA9"/>
                <w:sz w:val="18"/>
                <w:szCs w:val="18"/>
              </w:rPr>
            </w:pPr>
            <w:r>
              <w:rPr>
                <w:rFonts w:ascii="CAIXA Std Book" w:hAnsi="CAIXA Std Book" w:cs="Arial"/>
                <w:color w:val="005CA9"/>
                <w:sz w:val="18"/>
                <w:szCs w:val="18"/>
              </w:rPr>
              <w:t>-</w:t>
            </w:r>
          </w:p>
        </w:tc>
        <w:tc>
          <w:tcPr>
            <w:tcW w:w="632" w:type="pct"/>
            <w:tcBorders>
              <w:top w:val="nil"/>
              <w:left w:val="nil"/>
              <w:right w:val="nil"/>
            </w:tcBorders>
            <w:noWrap/>
            <w:vAlign w:val="center"/>
          </w:tcPr>
          <w:p w14:paraId="2D56130B" w14:textId="20789E6C" w:rsidR="008A0DAE" w:rsidRPr="008715AE" w:rsidRDefault="008A0DAE" w:rsidP="008A0DAE">
            <w:pPr>
              <w:jc w:val="center"/>
              <w:rPr>
                <w:rFonts w:ascii="CAIXA Std Book" w:hAnsi="CAIXA Std Book"/>
                <w:color w:val="005CA9"/>
                <w:sz w:val="18"/>
                <w:szCs w:val="18"/>
              </w:rPr>
            </w:pPr>
            <w:r>
              <w:rPr>
                <w:rFonts w:ascii="CAIXA Std Book" w:hAnsi="CAIXA Std Book" w:cs="Arial"/>
                <w:color w:val="005CA9"/>
                <w:sz w:val="18"/>
                <w:szCs w:val="18"/>
              </w:rPr>
              <w:t>-</w:t>
            </w:r>
          </w:p>
        </w:tc>
        <w:tc>
          <w:tcPr>
            <w:tcW w:w="632" w:type="pct"/>
            <w:tcBorders>
              <w:top w:val="nil"/>
              <w:left w:val="nil"/>
              <w:right w:val="nil"/>
            </w:tcBorders>
            <w:noWrap/>
            <w:vAlign w:val="center"/>
          </w:tcPr>
          <w:p w14:paraId="5A25620A" w14:textId="6C2CE735" w:rsidR="008A0DAE" w:rsidRPr="008715AE" w:rsidRDefault="008A0DAE" w:rsidP="008A0DAE">
            <w:pPr>
              <w:jc w:val="right"/>
              <w:rPr>
                <w:rFonts w:ascii="CAIXA Std Book" w:hAnsi="CAIXA Std Book"/>
                <w:color w:val="005CA9"/>
                <w:sz w:val="18"/>
                <w:szCs w:val="18"/>
              </w:rPr>
            </w:pPr>
            <w:r>
              <w:rPr>
                <w:rFonts w:ascii="CAIXA Std Book" w:hAnsi="CAIXA Std Book" w:cs="Arial"/>
                <w:color w:val="005CA9"/>
                <w:sz w:val="18"/>
                <w:szCs w:val="18"/>
              </w:rPr>
              <w:t>2.751.8</w:t>
            </w:r>
            <w:r w:rsidR="00ED2B8A">
              <w:rPr>
                <w:rFonts w:ascii="CAIXA Std Book" w:hAnsi="CAIXA Std Book" w:cs="Arial"/>
                <w:color w:val="005CA9"/>
                <w:sz w:val="18"/>
                <w:szCs w:val="18"/>
              </w:rPr>
              <w:t>39</w:t>
            </w:r>
          </w:p>
        </w:tc>
      </w:tr>
      <w:tr w:rsidR="0042136E" w:rsidRPr="008715AE" w14:paraId="1E11419B" w14:textId="77777777" w:rsidTr="00617F22">
        <w:trPr>
          <w:trHeight w:val="283"/>
        </w:trPr>
        <w:tc>
          <w:tcPr>
            <w:tcW w:w="1842" w:type="pct"/>
            <w:tcBorders>
              <w:top w:val="nil"/>
              <w:left w:val="nil"/>
              <w:bottom w:val="nil"/>
              <w:right w:val="nil"/>
            </w:tcBorders>
            <w:shd w:val="clear" w:color="auto" w:fill="005CA9"/>
            <w:noWrap/>
            <w:vAlign w:val="center"/>
            <w:hideMark/>
          </w:tcPr>
          <w:p w14:paraId="102DCFE6" w14:textId="77777777" w:rsidR="0042136E" w:rsidRPr="008715AE" w:rsidRDefault="0042136E" w:rsidP="0042136E">
            <w:pPr>
              <w:rPr>
                <w:rFonts w:ascii="CAIXA Std Book" w:eastAsia="Times New Roman" w:hAnsi="CAIXA Std Book" w:cs="Calibri"/>
                <w:b/>
                <w:color w:val="FFFFFF"/>
                <w:sz w:val="18"/>
                <w:szCs w:val="18"/>
              </w:rPr>
            </w:pPr>
            <w:r w:rsidRPr="008715AE">
              <w:rPr>
                <w:rFonts w:ascii="CAIXA Std Book" w:eastAsia="Times New Roman" w:hAnsi="CAIXA Std Book" w:cs="Calibri"/>
                <w:b/>
                <w:color w:val="FFFFFF"/>
                <w:sz w:val="18"/>
                <w:szCs w:val="18"/>
              </w:rPr>
              <w:t>Total</w:t>
            </w:r>
          </w:p>
        </w:tc>
        <w:tc>
          <w:tcPr>
            <w:tcW w:w="631" w:type="pct"/>
            <w:tcBorders>
              <w:top w:val="nil"/>
              <w:left w:val="nil"/>
              <w:bottom w:val="nil"/>
              <w:right w:val="nil"/>
            </w:tcBorders>
            <w:shd w:val="clear" w:color="auto" w:fill="005CA9"/>
            <w:noWrap/>
            <w:vAlign w:val="center"/>
            <w:hideMark/>
          </w:tcPr>
          <w:p w14:paraId="488D60CD" w14:textId="55FAD6AB" w:rsidR="0042136E" w:rsidRPr="008715AE" w:rsidRDefault="0042136E" w:rsidP="0042136E">
            <w:pPr>
              <w:jc w:val="right"/>
              <w:rPr>
                <w:rFonts w:ascii="CAIXA Std Book" w:hAnsi="CAIXA Std Book"/>
                <w:b/>
                <w:color w:val="FFFFFF"/>
                <w:sz w:val="18"/>
                <w:szCs w:val="18"/>
              </w:rPr>
            </w:pPr>
            <w:r w:rsidRPr="008715AE">
              <w:rPr>
                <w:rFonts w:ascii="CAIXA Std Book" w:hAnsi="CAIXA Std Book"/>
                <w:b/>
                <w:color w:val="FFFFFF"/>
                <w:sz w:val="18"/>
                <w:szCs w:val="18"/>
              </w:rPr>
              <w:t>2.239.603</w:t>
            </w:r>
          </w:p>
        </w:tc>
        <w:tc>
          <w:tcPr>
            <w:tcW w:w="632" w:type="pct"/>
            <w:tcBorders>
              <w:top w:val="nil"/>
              <w:left w:val="nil"/>
              <w:bottom w:val="nil"/>
              <w:right w:val="nil"/>
            </w:tcBorders>
            <w:shd w:val="clear" w:color="auto" w:fill="005CA9"/>
            <w:noWrap/>
            <w:vAlign w:val="center"/>
          </w:tcPr>
          <w:p w14:paraId="72C785CA" w14:textId="24F4886F" w:rsidR="0042136E" w:rsidRPr="008715AE" w:rsidRDefault="0042136E" w:rsidP="0042136E">
            <w:pPr>
              <w:jc w:val="right"/>
              <w:rPr>
                <w:rFonts w:ascii="CAIXA Std Book" w:hAnsi="CAIXA Std Book"/>
                <w:b/>
                <w:color w:val="FFFFFF"/>
                <w:sz w:val="18"/>
                <w:szCs w:val="18"/>
              </w:rPr>
            </w:pPr>
            <w:r>
              <w:rPr>
                <w:rFonts w:ascii="CAIXA Std Book" w:hAnsi="CAIXA Std Book" w:cs="Arial"/>
                <w:b/>
                <w:bCs/>
                <w:color w:val="FFFFFF"/>
                <w:sz w:val="18"/>
                <w:szCs w:val="18"/>
              </w:rPr>
              <w:t>512.23</w:t>
            </w:r>
            <w:r w:rsidR="00ED2B8A">
              <w:rPr>
                <w:rFonts w:ascii="CAIXA Std Book" w:hAnsi="CAIXA Std Book" w:cs="Arial"/>
                <w:b/>
                <w:bCs/>
                <w:color w:val="FFFFFF"/>
                <w:sz w:val="18"/>
                <w:szCs w:val="18"/>
              </w:rPr>
              <w:t>6</w:t>
            </w:r>
          </w:p>
        </w:tc>
        <w:tc>
          <w:tcPr>
            <w:tcW w:w="631" w:type="pct"/>
            <w:tcBorders>
              <w:top w:val="nil"/>
              <w:left w:val="nil"/>
              <w:bottom w:val="nil"/>
              <w:right w:val="nil"/>
            </w:tcBorders>
            <w:shd w:val="clear" w:color="auto" w:fill="005CA9"/>
            <w:noWrap/>
            <w:vAlign w:val="center"/>
          </w:tcPr>
          <w:p w14:paraId="6B64971B" w14:textId="09EC0203" w:rsidR="0042136E" w:rsidRPr="008715AE" w:rsidRDefault="0042136E" w:rsidP="0042136E">
            <w:pPr>
              <w:jc w:val="center"/>
              <w:rPr>
                <w:rFonts w:ascii="CAIXA Std Book" w:hAnsi="CAIXA Std Book"/>
                <w:b/>
                <w:color w:val="FFFFFF"/>
                <w:sz w:val="18"/>
                <w:szCs w:val="18"/>
              </w:rPr>
            </w:pPr>
            <w:r>
              <w:rPr>
                <w:rFonts w:ascii="CAIXA Std Book" w:hAnsi="CAIXA Std Book" w:cs="Arial"/>
                <w:b/>
                <w:bCs/>
                <w:color w:val="FFFFFF"/>
                <w:sz w:val="18"/>
                <w:szCs w:val="18"/>
              </w:rPr>
              <w:t>-</w:t>
            </w:r>
          </w:p>
        </w:tc>
        <w:tc>
          <w:tcPr>
            <w:tcW w:w="632" w:type="pct"/>
            <w:tcBorders>
              <w:top w:val="nil"/>
              <w:left w:val="nil"/>
              <w:bottom w:val="nil"/>
              <w:right w:val="nil"/>
            </w:tcBorders>
            <w:shd w:val="clear" w:color="auto" w:fill="005CA9"/>
            <w:noWrap/>
            <w:vAlign w:val="center"/>
          </w:tcPr>
          <w:p w14:paraId="0D05E969" w14:textId="675237FC" w:rsidR="0042136E" w:rsidRPr="008715AE" w:rsidRDefault="0042136E" w:rsidP="0042136E">
            <w:pPr>
              <w:jc w:val="center"/>
              <w:rPr>
                <w:rFonts w:ascii="CAIXA Std Book" w:hAnsi="CAIXA Std Book"/>
                <w:b/>
                <w:color w:val="FFFFFF"/>
                <w:sz w:val="18"/>
                <w:szCs w:val="18"/>
              </w:rPr>
            </w:pPr>
            <w:r>
              <w:rPr>
                <w:rFonts w:ascii="CAIXA Std Book" w:hAnsi="CAIXA Std Book" w:cs="Arial"/>
                <w:b/>
                <w:bCs/>
                <w:color w:val="FFFFFF"/>
                <w:sz w:val="18"/>
                <w:szCs w:val="18"/>
              </w:rPr>
              <w:t>-</w:t>
            </w:r>
          </w:p>
        </w:tc>
        <w:tc>
          <w:tcPr>
            <w:tcW w:w="632" w:type="pct"/>
            <w:tcBorders>
              <w:top w:val="nil"/>
              <w:left w:val="nil"/>
              <w:bottom w:val="nil"/>
              <w:right w:val="nil"/>
            </w:tcBorders>
            <w:shd w:val="clear" w:color="auto" w:fill="005CA9"/>
            <w:noWrap/>
            <w:vAlign w:val="center"/>
          </w:tcPr>
          <w:p w14:paraId="36D82BB3" w14:textId="185693C7" w:rsidR="0042136E" w:rsidRPr="008715AE" w:rsidRDefault="0042136E" w:rsidP="0042136E">
            <w:pPr>
              <w:jc w:val="right"/>
              <w:rPr>
                <w:rFonts w:ascii="CAIXA Std Book" w:hAnsi="CAIXA Std Book"/>
                <w:b/>
                <w:color w:val="FFFFFF"/>
                <w:sz w:val="18"/>
                <w:szCs w:val="18"/>
              </w:rPr>
            </w:pPr>
            <w:r>
              <w:rPr>
                <w:rFonts w:ascii="CAIXA Std Book" w:hAnsi="CAIXA Std Book" w:cs="Arial"/>
                <w:b/>
                <w:bCs/>
                <w:color w:val="FFFFFF"/>
                <w:sz w:val="18"/>
                <w:szCs w:val="18"/>
              </w:rPr>
              <w:t>2.751.8</w:t>
            </w:r>
            <w:r w:rsidR="00ED2B8A">
              <w:rPr>
                <w:rFonts w:ascii="CAIXA Std Book" w:hAnsi="CAIXA Std Book" w:cs="Arial"/>
                <w:b/>
                <w:bCs/>
                <w:color w:val="FFFFFF"/>
                <w:sz w:val="18"/>
                <w:szCs w:val="18"/>
              </w:rPr>
              <w:t>39</w:t>
            </w:r>
          </w:p>
        </w:tc>
      </w:tr>
    </w:tbl>
    <w:p w14:paraId="2CC9C4DF" w14:textId="2C2D9AEE" w:rsidR="00071A80" w:rsidRDefault="008715AE">
      <w:pPr>
        <w:rPr>
          <w:rFonts w:ascii="CAIXA Std Book" w:hAnsi="CAIXA Std Book"/>
          <w:b/>
          <w:color w:val="005CA9"/>
          <w:sz w:val="20"/>
          <w:szCs w:val="20"/>
        </w:rPr>
      </w:pPr>
      <w:r>
        <w:rPr>
          <w:rFonts w:ascii="CAIXA Std Book" w:hAnsi="CAIXA Std Book"/>
          <w:b/>
          <w:color w:val="005CA9"/>
          <w:sz w:val="20"/>
          <w:szCs w:val="20"/>
        </w:rPr>
        <w:br w:type="page"/>
      </w:r>
    </w:p>
    <w:tbl>
      <w:tblPr>
        <w:tblW w:w="5000" w:type="pct"/>
        <w:tblLayout w:type="fixed"/>
        <w:tblCellMar>
          <w:left w:w="70" w:type="dxa"/>
          <w:right w:w="70" w:type="dxa"/>
        </w:tblCellMar>
        <w:tblLook w:val="04A0" w:firstRow="1" w:lastRow="0" w:firstColumn="1" w:lastColumn="0" w:noHBand="0" w:noVBand="1"/>
      </w:tblPr>
      <w:tblGrid>
        <w:gridCol w:w="5387"/>
        <w:gridCol w:w="1835"/>
        <w:gridCol w:w="1836"/>
        <w:gridCol w:w="1836"/>
        <w:gridCol w:w="1836"/>
        <w:gridCol w:w="1839"/>
      </w:tblGrid>
      <w:tr w:rsidR="00747ED0" w:rsidRPr="00EC11A8" w14:paraId="1C2A73F7" w14:textId="77777777" w:rsidTr="00727DF3">
        <w:trPr>
          <w:trHeight w:val="283"/>
        </w:trPr>
        <w:tc>
          <w:tcPr>
            <w:tcW w:w="5000" w:type="pct"/>
            <w:gridSpan w:val="6"/>
            <w:tcBorders>
              <w:left w:val="nil"/>
              <w:bottom w:val="single" w:sz="4" w:space="0" w:color="FFFFFF" w:themeColor="background1"/>
              <w:right w:val="nil"/>
            </w:tcBorders>
            <w:shd w:val="clear" w:color="auto" w:fill="005CA9"/>
            <w:noWrap/>
            <w:vAlign w:val="center"/>
            <w:hideMark/>
          </w:tcPr>
          <w:p w14:paraId="29C24053" w14:textId="77777777" w:rsidR="00747ED0" w:rsidRPr="00865D5B" w:rsidRDefault="00747ED0" w:rsidP="0084741B">
            <w:pPr>
              <w:jc w:val="center"/>
              <w:rPr>
                <w:rFonts w:ascii="CAIXA Std Book" w:eastAsia="Times New Roman" w:hAnsi="CAIXA Std Book" w:cs="Calibri"/>
                <w:b/>
                <w:color w:val="FFFFFF"/>
                <w:sz w:val="18"/>
                <w:szCs w:val="18"/>
              </w:rPr>
            </w:pPr>
            <w:bookmarkStart w:id="93" w:name="_Toc217914329"/>
            <w:r w:rsidRPr="00865D5B">
              <w:rPr>
                <w:rFonts w:ascii="CAIXA Std Book" w:eastAsia="Times New Roman" w:hAnsi="CAIXA Std Book" w:cs="Calibri"/>
                <w:b/>
                <w:color w:val="FFFFFF"/>
                <w:sz w:val="18"/>
                <w:szCs w:val="18"/>
              </w:rPr>
              <w:t>Individual / Consolidado</w:t>
            </w:r>
          </w:p>
        </w:tc>
      </w:tr>
      <w:tr w:rsidR="00747ED0" w:rsidRPr="00EC11A8" w14:paraId="0370894D" w14:textId="77777777" w:rsidTr="00727DF3">
        <w:trPr>
          <w:trHeight w:val="401"/>
        </w:trPr>
        <w:tc>
          <w:tcPr>
            <w:tcW w:w="1849" w:type="pct"/>
            <w:vMerge w:val="restart"/>
            <w:tcBorders>
              <w:top w:val="single" w:sz="4" w:space="0" w:color="FFFFFF" w:themeColor="background1"/>
              <w:left w:val="nil"/>
              <w:bottom w:val="single" w:sz="4" w:space="0" w:color="FFFFFF"/>
              <w:right w:val="nil"/>
            </w:tcBorders>
            <w:shd w:val="clear" w:color="auto" w:fill="005CA9"/>
            <w:vAlign w:val="center"/>
            <w:hideMark/>
          </w:tcPr>
          <w:p w14:paraId="23AF8CF8" w14:textId="77777777" w:rsidR="00747ED0" w:rsidRPr="00865D5B" w:rsidRDefault="00747ED0" w:rsidP="0084741B">
            <w:pPr>
              <w:jc w:val="center"/>
              <w:rPr>
                <w:rFonts w:ascii="CAIXA Std Book" w:eastAsia="Times New Roman" w:hAnsi="CAIXA Std Book" w:cs="Calibri"/>
                <w:b/>
                <w:color w:val="FFFFFF"/>
                <w:sz w:val="18"/>
                <w:szCs w:val="18"/>
              </w:rPr>
            </w:pPr>
            <w:r w:rsidRPr="00865D5B">
              <w:rPr>
                <w:rFonts w:ascii="CAIXA Std Book" w:eastAsia="Times New Roman" w:hAnsi="CAIXA Std Book" w:cs="Calibri"/>
                <w:b/>
                <w:color w:val="FFFFFF"/>
                <w:sz w:val="18"/>
                <w:szCs w:val="18"/>
              </w:rPr>
              <w:t>Estágio 1</w:t>
            </w:r>
          </w:p>
        </w:tc>
        <w:tc>
          <w:tcPr>
            <w:tcW w:w="630" w:type="pct"/>
            <w:vMerge w:val="restart"/>
            <w:tcBorders>
              <w:top w:val="single" w:sz="4" w:space="0" w:color="FFFFFF" w:themeColor="background1"/>
              <w:left w:val="nil"/>
              <w:bottom w:val="single" w:sz="4" w:space="0" w:color="FFFFFF"/>
              <w:right w:val="nil"/>
            </w:tcBorders>
            <w:shd w:val="clear" w:color="auto" w:fill="005CA9"/>
            <w:vAlign w:val="center"/>
            <w:hideMark/>
          </w:tcPr>
          <w:p w14:paraId="20BFCF73" w14:textId="77777777" w:rsidR="00747ED0" w:rsidRPr="00865D5B" w:rsidRDefault="00747ED0" w:rsidP="0084741B">
            <w:pPr>
              <w:jc w:val="center"/>
              <w:rPr>
                <w:rFonts w:ascii="CAIXA Std Book" w:eastAsia="Times New Roman" w:hAnsi="CAIXA Std Book" w:cs="Calibri"/>
                <w:b/>
                <w:color w:val="FFFFFF"/>
                <w:sz w:val="18"/>
                <w:szCs w:val="18"/>
              </w:rPr>
            </w:pPr>
            <w:r w:rsidRPr="00865D5B">
              <w:rPr>
                <w:rFonts w:ascii="CAIXA Std Book" w:eastAsia="Times New Roman" w:hAnsi="CAIXA Std Book" w:cs="Calibri"/>
                <w:b/>
                <w:color w:val="FFFFFF"/>
                <w:sz w:val="18"/>
                <w:szCs w:val="18"/>
              </w:rPr>
              <w:t>Saldo em 01/01/2025</w:t>
            </w:r>
          </w:p>
        </w:tc>
        <w:tc>
          <w:tcPr>
            <w:tcW w:w="630" w:type="pct"/>
            <w:vMerge w:val="restart"/>
            <w:tcBorders>
              <w:top w:val="single" w:sz="4" w:space="0" w:color="FFFFFF" w:themeColor="background1"/>
              <w:left w:val="nil"/>
              <w:bottom w:val="single" w:sz="4" w:space="0" w:color="FFFFFF"/>
              <w:right w:val="nil"/>
            </w:tcBorders>
            <w:shd w:val="clear" w:color="auto" w:fill="005CA9"/>
            <w:vAlign w:val="center"/>
            <w:hideMark/>
          </w:tcPr>
          <w:p w14:paraId="798641F2" w14:textId="77777777" w:rsidR="00747ED0" w:rsidRPr="00865D5B" w:rsidRDefault="00747ED0" w:rsidP="0084741B">
            <w:pPr>
              <w:jc w:val="center"/>
              <w:rPr>
                <w:rFonts w:ascii="CAIXA Std Book" w:eastAsia="Times New Roman" w:hAnsi="CAIXA Std Book" w:cs="Calibri"/>
                <w:b/>
                <w:color w:val="FFFFFF"/>
                <w:sz w:val="18"/>
                <w:szCs w:val="18"/>
              </w:rPr>
            </w:pPr>
            <w:r w:rsidRPr="00865D5B">
              <w:rPr>
                <w:rFonts w:ascii="CAIXA Std Book" w:eastAsia="Times New Roman" w:hAnsi="CAIXA Std Book" w:cs="Calibri"/>
                <w:b/>
                <w:color w:val="FFFFFF"/>
                <w:sz w:val="18"/>
                <w:szCs w:val="18"/>
              </w:rPr>
              <w:t>Compra/</w:t>
            </w:r>
          </w:p>
          <w:p w14:paraId="2E9CD295" w14:textId="77777777" w:rsidR="00747ED0" w:rsidRPr="00865D5B" w:rsidRDefault="00747ED0" w:rsidP="0084741B">
            <w:pPr>
              <w:jc w:val="center"/>
              <w:rPr>
                <w:rFonts w:ascii="CAIXA Std Book" w:eastAsia="Times New Roman" w:hAnsi="CAIXA Std Book" w:cs="Calibri"/>
                <w:b/>
                <w:color w:val="FFFFFF"/>
                <w:sz w:val="18"/>
                <w:szCs w:val="18"/>
              </w:rPr>
            </w:pPr>
            <w:r w:rsidRPr="00865D5B">
              <w:rPr>
                <w:rFonts w:ascii="CAIXA Std Book" w:eastAsia="Times New Roman" w:hAnsi="CAIXA Std Book" w:cs="Calibri"/>
                <w:b/>
                <w:color w:val="FFFFFF"/>
                <w:sz w:val="18"/>
                <w:szCs w:val="18"/>
              </w:rPr>
              <w:t>(liquidação)</w:t>
            </w:r>
          </w:p>
        </w:tc>
        <w:tc>
          <w:tcPr>
            <w:tcW w:w="630" w:type="pct"/>
            <w:vMerge w:val="restart"/>
            <w:tcBorders>
              <w:top w:val="single" w:sz="4" w:space="0" w:color="FFFFFF" w:themeColor="background1"/>
              <w:left w:val="nil"/>
              <w:bottom w:val="single" w:sz="4" w:space="0" w:color="FFFFFF"/>
              <w:right w:val="nil"/>
            </w:tcBorders>
            <w:shd w:val="clear" w:color="auto" w:fill="005CA9"/>
            <w:vAlign w:val="center"/>
            <w:hideMark/>
          </w:tcPr>
          <w:p w14:paraId="514766BC" w14:textId="77777777" w:rsidR="00747ED0" w:rsidRPr="00865D5B" w:rsidRDefault="00747ED0" w:rsidP="0084741B">
            <w:pPr>
              <w:jc w:val="center"/>
              <w:rPr>
                <w:rFonts w:ascii="CAIXA Std Book" w:eastAsia="Times New Roman" w:hAnsi="CAIXA Std Book" w:cs="Calibri"/>
                <w:b/>
                <w:color w:val="FFFFFF"/>
                <w:sz w:val="18"/>
                <w:szCs w:val="18"/>
              </w:rPr>
            </w:pPr>
            <w:r w:rsidRPr="00865D5B">
              <w:rPr>
                <w:rFonts w:ascii="CAIXA Std Book" w:eastAsia="Times New Roman" w:hAnsi="CAIXA Std Book" w:cs="Calibri"/>
                <w:b/>
                <w:color w:val="FFFFFF"/>
                <w:sz w:val="18"/>
                <w:szCs w:val="18"/>
              </w:rPr>
              <w:t>Transferência do/para estágio 2</w:t>
            </w:r>
          </w:p>
        </w:tc>
        <w:tc>
          <w:tcPr>
            <w:tcW w:w="630" w:type="pct"/>
            <w:vMerge w:val="restart"/>
            <w:tcBorders>
              <w:top w:val="single" w:sz="4" w:space="0" w:color="FFFFFF" w:themeColor="background1"/>
              <w:left w:val="nil"/>
              <w:bottom w:val="single" w:sz="4" w:space="0" w:color="FFFFFF"/>
              <w:right w:val="nil"/>
            </w:tcBorders>
            <w:shd w:val="clear" w:color="auto" w:fill="005CA9"/>
            <w:vAlign w:val="center"/>
            <w:hideMark/>
          </w:tcPr>
          <w:p w14:paraId="3B3D1483" w14:textId="77777777" w:rsidR="00747ED0" w:rsidRPr="00865D5B" w:rsidRDefault="00747ED0" w:rsidP="0084741B">
            <w:pPr>
              <w:jc w:val="center"/>
              <w:rPr>
                <w:rFonts w:ascii="CAIXA Std Book" w:eastAsia="Times New Roman" w:hAnsi="CAIXA Std Book" w:cs="Calibri"/>
                <w:b/>
                <w:color w:val="FFFFFF"/>
                <w:sz w:val="18"/>
                <w:szCs w:val="18"/>
              </w:rPr>
            </w:pPr>
            <w:r w:rsidRPr="00865D5B">
              <w:rPr>
                <w:rFonts w:ascii="CAIXA Std Book" w:eastAsia="Times New Roman" w:hAnsi="CAIXA Std Book" w:cs="Calibri"/>
                <w:b/>
                <w:color w:val="FFFFFF"/>
                <w:sz w:val="18"/>
                <w:szCs w:val="18"/>
              </w:rPr>
              <w:t>Transferência do/para estágio 3</w:t>
            </w:r>
          </w:p>
        </w:tc>
        <w:tc>
          <w:tcPr>
            <w:tcW w:w="630" w:type="pct"/>
            <w:vMerge w:val="restart"/>
            <w:tcBorders>
              <w:top w:val="single" w:sz="4" w:space="0" w:color="FFFFFF" w:themeColor="background1"/>
              <w:left w:val="nil"/>
              <w:bottom w:val="single" w:sz="4" w:space="0" w:color="FFFFFF"/>
              <w:right w:val="nil"/>
            </w:tcBorders>
            <w:shd w:val="clear" w:color="auto" w:fill="005CA9"/>
            <w:vAlign w:val="center"/>
            <w:hideMark/>
          </w:tcPr>
          <w:p w14:paraId="3148B3BE" w14:textId="77777777" w:rsidR="00747ED0" w:rsidRPr="00865D5B" w:rsidRDefault="00747ED0" w:rsidP="0084741B">
            <w:pPr>
              <w:jc w:val="center"/>
              <w:rPr>
                <w:rFonts w:ascii="CAIXA Std Book" w:eastAsia="Times New Roman" w:hAnsi="CAIXA Std Book" w:cs="Calibri"/>
                <w:b/>
                <w:color w:val="FFFFFF"/>
                <w:sz w:val="18"/>
                <w:szCs w:val="18"/>
              </w:rPr>
            </w:pPr>
            <w:r w:rsidRPr="00865D5B">
              <w:rPr>
                <w:rFonts w:ascii="CAIXA Std Book" w:eastAsia="Times New Roman" w:hAnsi="CAIXA Std Book" w:cs="Calibri"/>
                <w:b/>
                <w:color w:val="FFFFFF"/>
                <w:sz w:val="18"/>
                <w:szCs w:val="18"/>
              </w:rPr>
              <w:t>Saldo em</w:t>
            </w:r>
          </w:p>
          <w:p w14:paraId="4D2444CF" w14:textId="77777777" w:rsidR="00747ED0" w:rsidRPr="00865D5B" w:rsidRDefault="00747ED0" w:rsidP="0084741B">
            <w:pPr>
              <w:jc w:val="center"/>
              <w:rPr>
                <w:rFonts w:ascii="CAIXA Std Book" w:eastAsia="Times New Roman" w:hAnsi="CAIXA Std Book" w:cs="Calibri"/>
                <w:b/>
                <w:color w:val="FFFFFF"/>
                <w:sz w:val="18"/>
                <w:szCs w:val="18"/>
              </w:rPr>
            </w:pPr>
            <w:r w:rsidRPr="00865D5B">
              <w:rPr>
                <w:rFonts w:ascii="CAIXA Std Book" w:eastAsia="Times New Roman" w:hAnsi="CAIXA Std Book" w:cs="Calibri"/>
                <w:b/>
                <w:color w:val="FFFFFF"/>
                <w:sz w:val="18"/>
                <w:szCs w:val="18"/>
              </w:rPr>
              <w:t>31/12/2025</w:t>
            </w:r>
          </w:p>
        </w:tc>
      </w:tr>
      <w:tr w:rsidR="00747ED0" w:rsidRPr="00EC11A8" w14:paraId="6096834C" w14:textId="77777777" w:rsidTr="009C3125">
        <w:trPr>
          <w:trHeight w:val="401"/>
        </w:trPr>
        <w:tc>
          <w:tcPr>
            <w:tcW w:w="1849" w:type="pct"/>
            <w:vMerge/>
            <w:tcBorders>
              <w:top w:val="nil"/>
              <w:left w:val="nil"/>
              <w:bottom w:val="single" w:sz="4" w:space="0" w:color="FFFFFF"/>
              <w:right w:val="nil"/>
            </w:tcBorders>
            <w:shd w:val="clear" w:color="auto" w:fill="005CA9"/>
            <w:vAlign w:val="center"/>
            <w:hideMark/>
          </w:tcPr>
          <w:p w14:paraId="0F50091F" w14:textId="77777777" w:rsidR="00747ED0" w:rsidRPr="00865D5B" w:rsidRDefault="00747ED0" w:rsidP="0084741B">
            <w:pPr>
              <w:rPr>
                <w:rFonts w:ascii="CAIXA Std Book" w:eastAsia="Times New Roman" w:hAnsi="CAIXA Std Book" w:cs="Calibri"/>
                <w:b/>
                <w:color w:val="FFFFFF"/>
                <w:sz w:val="18"/>
                <w:szCs w:val="18"/>
              </w:rPr>
            </w:pPr>
          </w:p>
        </w:tc>
        <w:tc>
          <w:tcPr>
            <w:tcW w:w="630" w:type="pct"/>
            <w:vMerge/>
            <w:tcBorders>
              <w:top w:val="nil"/>
              <w:left w:val="nil"/>
              <w:bottom w:val="single" w:sz="4" w:space="0" w:color="FFFFFF"/>
              <w:right w:val="nil"/>
            </w:tcBorders>
            <w:shd w:val="clear" w:color="auto" w:fill="005CA9"/>
            <w:vAlign w:val="center"/>
            <w:hideMark/>
          </w:tcPr>
          <w:p w14:paraId="0C7A9BF1" w14:textId="77777777" w:rsidR="00747ED0" w:rsidRPr="00865D5B" w:rsidRDefault="00747ED0" w:rsidP="0084741B">
            <w:pPr>
              <w:rPr>
                <w:rFonts w:ascii="CAIXA Std Book" w:eastAsia="Times New Roman" w:hAnsi="CAIXA Std Book" w:cs="Calibri"/>
                <w:b/>
                <w:color w:val="FFFFFF"/>
                <w:sz w:val="18"/>
                <w:szCs w:val="18"/>
              </w:rPr>
            </w:pPr>
          </w:p>
        </w:tc>
        <w:tc>
          <w:tcPr>
            <w:tcW w:w="630" w:type="pct"/>
            <w:vMerge/>
            <w:tcBorders>
              <w:top w:val="nil"/>
              <w:left w:val="nil"/>
              <w:bottom w:val="single" w:sz="4" w:space="0" w:color="FFFFFF"/>
              <w:right w:val="nil"/>
            </w:tcBorders>
            <w:shd w:val="clear" w:color="auto" w:fill="005CA9"/>
            <w:vAlign w:val="center"/>
            <w:hideMark/>
          </w:tcPr>
          <w:p w14:paraId="56BD306F" w14:textId="77777777" w:rsidR="00747ED0" w:rsidRPr="00865D5B" w:rsidRDefault="00747ED0" w:rsidP="0084741B">
            <w:pPr>
              <w:rPr>
                <w:rFonts w:ascii="CAIXA Std Book" w:eastAsia="Times New Roman" w:hAnsi="CAIXA Std Book" w:cs="Calibri"/>
                <w:b/>
                <w:color w:val="FFFFFF"/>
                <w:sz w:val="18"/>
                <w:szCs w:val="18"/>
              </w:rPr>
            </w:pPr>
          </w:p>
        </w:tc>
        <w:tc>
          <w:tcPr>
            <w:tcW w:w="630" w:type="pct"/>
            <w:vMerge/>
            <w:tcBorders>
              <w:top w:val="nil"/>
              <w:left w:val="nil"/>
              <w:bottom w:val="single" w:sz="4" w:space="0" w:color="FFFFFF"/>
              <w:right w:val="nil"/>
            </w:tcBorders>
            <w:shd w:val="clear" w:color="auto" w:fill="005CA9"/>
            <w:vAlign w:val="center"/>
            <w:hideMark/>
          </w:tcPr>
          <w:p w14:paraId="32F801E5" w14:textId="77777777" w:rsidR="00747ED0" w:rsidRPr="00865D5B" w:rsidRDefault="00747ED0" w:rsidP="0084741B">
            <w:pPr>
              <w:rPr>
                <w:rFonts w:ascii="CAIXA Std Book" w:eastAsia="Times New Roman" w:hAnsi="CAIXA Std Book" w:cs="Calibri"/>
                <w:b/>
                <w:color w:val="FFFFFF"/>
                <w:sz w:val="18"/>
                <w:szCs w:val="18"/>
              </w:rPr>
            </w:pPr>
          </w:p>
        </w:tc>
        <w:tc>
          <w:tcPr>
            <w:tcW w:w="630" w:type="pct"/>
            <w:vMerge/>
            <w:tcBorders>
              <w:top w:val="nil"/>
              <w:left w:val="nil"/>
              <w:bottom w:val="single" w:sz="4" w:space="0" w:color="FFFFFF"/>
              <w:right w:val="nil"/>
            </w:tcBorders>
            <w:shd w:val="clear" w:color="auto" w:fill="005CA9"/>
            <w:vAlign w:val="center"/>
            <w:hideMark/>
          </w:tcPr>
          <w:p w14:paraId="6F6D736C" w14:textId="77777777" w:rsidR="00747ED0" w:rsidRPr="00865D5B" w:rsidRDefault="00747ED0" w:rsidP="0084741B">
            <w:pPr>
              <w:rPr>
                <w:rFonts w:ascii="CAIXA Std Book" w:eastAsia="Times New Roman" w:hAnsi="CAIXA Std Book" w:cs="Calibri"/>
                <w:b/>
                <w:color w:val="FFFFFF"/>
                <w:sz w:val="18"/>
                <w:szCs w:val="18"/>
              </w:rPr>
            </w:pPr>
          </w:p>
        </w:tc>
        <w:tc>
          <w:tcPr>
            <w:tcW w:w="630" w:type="pct"/>
            <w:vMerge/>
            <w:tcBorders>
              <w:top w:val="nil"/>
              <w:left w:val="nil"/>
              <w:bottom w:val="single" w:sz="4" w:space="0" w:color="FFFFFF"/>
              <w:right w:val="nil"/>
            </w:tcBorders>
            <w:shd w:val="clear" w:color="auto" w:fill="005CA9"/>
            <w:vAlign w:val="center"/>
            <w:hideMark/>
          </w:tcPr>
          <w:p w14:paraId="54F1F024" w14:textId="77777777" w:rsidR="00747ED0" w:rsidRPr="00865D5B" w:rsidRDefault="00747ED0" w:rsidP="0084741B">
            <w:pPr>
              <w:rPr>
                <w:rFonts w:ascii="CAIXA Std Book" w:eastAsia="Times New Roman" w:hAnsi="CAIXA Std Book" w:cs="Calibri"/>
                <w:b/>
                <w:color w:val="FFFFFF"/>
                <w:sz w:val="18"/>
                <w:szCs w:val="18"/>
              </w:rPr>
            </w:pPr>
          </w:p>
        </w:tc>
      </w:tr>
      <w:tr w:rsidR="00747ED0" w:rsidRPr="00EC11A8" w14:paraId="0BA986C5" w14:textId="77777777" w:rsidTr="009C3125">
        <w:trPr>
          <w:trHeight w:val="283"/>
        </w:trPr>
        <w:tc>
          <w:tcPr>
            <w:tcW w:w="1849" w:type="pct"/>
            <w:tcBorders>
              <w:top w:val="nil"/>
              <w:left w:val="nil"/>
              <w:bottom w:val="single" w:sz="4" w:space="0" w:color="FFFFFF"/>
              <w:right w:val="nil"/>
            </w:tcBorders>
            <w:shd w:val="clear" w:color="000000" w:fill="FFFFFF"/>
            <w:noWrap/>
            <w:vAlign w:val="center"/>
            <w:hideMark/>
          </w:tcPr>
          <w:p w14:paraId="0937DBDF" w14:textId="77777777" w:rsidR="00747ED0" w:rsidRPr="00865D5B" w:rsidRDefault="00747ED0" w:rsidP="0084741B">
            <w:pPr>
              <w:rPr>
                <w:rFonts w:ascii="CAIXA Std Book" w:eastAsia="Times New Roman" w:hAnsi="CAIXA Std Book" w:cs="Calibri"/>
                <w:color w:val="005CA9"/>
                <w:sz w:val="18"/>
                <w:szCs w:val="18"/>
              </w:rPr>
            </w:pPr>
            <w:r w:rsidRPr="00865D5B">
              <w:rPr>
                <w:rFonts w:ascii="CAIXA Std Book" w:eastAsia="Times New Roman" w:hAnsi="CAIXA Std Book" w:cs="Calibri"/>
                <w:color w:val="005CA9"/>
                <w:sz w:val="18"/>
                <w:szCs w:val="18"/>
              </w:rPr>
              <w:t>Títulos públicos federais brasileiros</w:t>
            </w:r>
          </w:p>
        </w:tc>
        <w:tc>
          <w:tcPr>
            <w:tcW w:w="630" w:type="pct"/>
            <w:tcBorders>
              <w:top w:val="nil"/>
              <w:left w:val="nil"/>
              <w:bottom w:val="single" w:sz="8" w:space="0" w:color="FFFFFF"/>
              <w:right w:val="nil"/>
            </w:tcBorders>
            <w:noWrap/>
            <w:vAlign w:val="center"/>
            <w:hideMark/>
          </w:tcPr>
          <w:p w14:paraId="3EFAA4A5" w14:textId="77777777" w:rsidR="00747ED0" w:rsidRPr="00865D5B" w:rsidRDefault="00747ED0" w:rsidP="0084741B">
            <w:pPr>
              <w:jc w:val="right"/>
              <w:rPr>
                <w:rFonts w:ascii="CAIXA Std Book" w:hAnsi="CAIXA Std Book"/>
                <w:color w:val="005CA9"/>
                <w:sz w:val="18"/>
                <w:szCs w:val="18"/>
              </w:rPr>
            </w:pPr>
            <w:r w:rsidRPr="00865D5B">
              <w:rPr>
                <w:rFonts w:ascii="CAIXA Std Book" w:hAnsi="CAIXA Std Book"/>
                <w:color w:val="005CA9"/>
                <w:sz w:val="18"/>
                <w:szCs w:val="18"/>
              </w:rPr>
              <w:t>1.541.305</w:t>
            </w:r>
          </w:p>
        </w:tc>
        <w:tc>
          <w:tcPr>
            <w:tcW w:w="630" w:type="pct"/>
            <w:tcBorders>
              <w:top w:val="nil"/>
              <w:left w:val="nil"/>
              <w:bottom w:val="single" w:sz="8" w:space="0" w:color="FFFFFF"/>
              <w:right w:val="nil"/>
            </w:tcBorders>
            <w:noWrap/>
            <w:vAlign w:val="center"/>
          </w:tcPr>
          <w:p w14:paraId="308B3558" w14:textId="77777777" w:rsidR="00747ED0" w:rsidRPr="00865D5B" w:rsidRDefault="00747ED0" w:rsidP="0084741B">
            <w:pPr>
              <w:jc w:val="right"/>
              <w:rPr>
                <w:rFonts w:ascii="CAIXA Std Book" w:hAnsi="CAIXA Std Book"/>
                <w:color w:val="005CA9"/>
                <w:sz w:val="18"/>
                <w:szCs w:val="18"/>
              </w:rPr>
            </w:pPr>
            <w:r w:rsidRPr="00865D5B">
              <w:rPr>
                <w:rFonts w:ascii="CAIXA Std Book" w:hAnsi="CAIXA Std Book" w:cs="Arial"/>
                <w:color w:val="005CA9"/>
                <w:sz w:val="18"/>
                <w:szCs w:val="18"/>
              </w:rPr>
              <w:t>(1.541.305)</w:t>
            </w:r>
          </w:p>
        </w:tc>
        <w:tc>
          <w:tcPr>
            <w:tcW w:w="630" w:type="pct"/>
            <w:tcBorders>
              <w:top w:val="nil"/>
              <w:left w:val="nil"/>
              <w:bottom w:val="single" w:sz="8" w:space="0" w:color="FFFFFF"/>
              <w:right w:val="nil"/>
            </w:tcBorders>
            <w:noWrap/>
            <w:vAlign w:val="center"/>
          </w:tcPr>
          <w:p w14:paraId="678A3DEB" w14:textId="77777777" w:rsidR="00747ED0" w:rsidRPr="00865D5B" w:rsidRDefault="00747ED0" w:rsidP="0084741B">
            <w:pPr>
              <w:jc w:val="center"/>
              <w:rPr>
                <w:rFonts w:ascii="CAIXA Std Book" w:hAnsi="CAIXA Std Book"/>
                <w:color w:val="005CA9"/>
                <w:sz w:val="18"/>
                <w:szCs w:val="18"/>
              </w:rPr>
            </w:pPr>
            <w:r w:rsidRPr="00865D5B">
              <w:rPr>
                <w:rFonts w:ascii="CAIXA Std Book" w:hAnsi="CAIXA Std Book" w:cs="Arial"/>
                <w:color w:val="005CA9"/>
                <w:sz w:val="18"/>
                <w:szCs w:val="18"/>
              </w:rPr>
              <w:t>-</w:t>
            </w:r>
          </w:p>
        </w:tc>
        <w:tc>
          <w:tcPr>
            <w:tcW w:w="630" w:type="pct"/>
            <w:tcBorders>
              <w:top w:val="nil"/>
              <w:left w:val="nil"/>
              <w:bottom w:val="single" w:sz="8" w:space="0" w:color="FFFFFF"/>
              <w:right w:val="nil"/>
            </w:tcBorders>
            <w:noWrap/>
            <w:vAlign w:val="center"/>
          </w:tcPr>
          <w:p w14:paraId="3D764F1E" w14:textId="77777777" w:rsidR="00747ED0" w:rsidRPr="00865D5B" w:rsidRDefault="00747ED0" w:rsidP="0084741B">
            <w:pPr>
              <w:jc w:val="center"/>
              <w:rPr>
                <w:rFonts w:ascii="CAIXA Std Book" w:hAnsi="CAIXA Std Book"/>
                <w:color w:val="005CA9"/>
                <w:sz w:val="18"/>
                <w:szCs w:val="18"/>
              </w:rPr>
            </w:pPr>
            <w:r w:rsidRPr="00865D5B">
              <w:rPr>
                <w:rFonts w:ascii="CAIXA Std Book" w:hAnsi="CAIXA Std Book" w:cs="Arial"/>
                <w:color w:val="005CA9"/>
                <w:sz w:val="18"/>
                <w:szCs w:val="18"/>
              </w:rPr>
              <w:t>-</w:t>
            </w:r>
          </w:p>
        </w:tc>
        <w:tc>
          <w:tcPr>
            <w:tcW w:w="630" w:type="pct"/>
            <w:tcBorders>
              <w:top w:val="nil"/>
              <w:left w:val="nil"/>
              <w:bottom w:val="single" w:sz="8" w:space="0" w:color="FFFFFF"/>
              <w:right w:val="nil"/>
            </w:tcBorders>
            <w:noWrap/>
            <w:vAlign w:val="center"/>
          </w:tcPr>
          <w:p w14:paraId="7EC5F734" w14:textId="77777777" w:rsidR="00747ED0" w:rsidRPr="00865D5B" w:rsidRDefault="00747ED0" w:rsidP="0084741B">
            <w:pPr>
              <w:jc w:val="center"/>
              <w:rPr>
                <w:rFonts w:ascii="CAIXA Std Book" w:hAnsi="CAIXA Std Book"/>
                <w:color w:val="005CA9"/>
                <w:sz w:val="18"/>
                <w:szCs w:val="18"/>
              </w:rPr>
            </w:pPr>
            <w:r w:rsidRPr="00865D5B">
              <w:rPr>
                <w:rFonts w:ascii="CAIXA Std Book" w:hAnsi="CAIXA Std Book" w:cs="Arial"/>
                <w:color w:val="005CA9"/>
                <w:sz w:val="18"/>
                <w:szCs w:val="18"/>
              </w:rPr>
              <w:t>-</w:t>
            </w:r>
          </w:p>
        </w:tc>
      </w:tr>
      <w:tr w:rsidR="00747ED0" w:rsidRPr="00EC11A8" w14:paraId="29E58BF0" w14:textId="77777777" w:rsidTr="009C3125">
        <w:trPr>
          <w:trHeight w:val="283"/>
        </w:trPr>
        <w:tc>
          <w:tcPr>
            <w:tcW w:w="1849" w:type="pct"/>
            <w:tcBorders>
              <w:top w:val="nil"/>
              <w:left w:val="nil"/>
              <w:right w:val="nil"/>
            </w:tcBorders>
            <w:shd w:val="clear" w:color="000000" w:fill="FFFFFF"/>
            <w:noWrap/>
            <w:vAlign w:val="center"/>
            <w:hideMark/>
          </w:tcPr>
          <w:p w14:paraId="01A3F73B" w14:textId="77777777" w:rsidR="00747ED0" w:rsidRPr="00865D5B" w:rsidRDefault="00747ED0" w:rsidP="0084741B">
            <w:pPr>
              <w:rPr>
                <w:rFonts w:ascii="CAIXA Std Book" w:eastAsia="Times New Roman" w:hAnsi="CAIXA Std Book" w:cs="Calibri"/>
                <w:color w:val="005CA9"/>
                <w:sz w:val="18"/>
                <w:szCs w:val="18"/>
              </w:rPr>
            </w:pPr>
            <w:r w:rsidRPr="00865D5B">
              <w:rPr>
                <w:rFonts w:ascii="CAIXA Std Book" w:eastAsia="Times New Roman" w:hAnsi="CAIXA Std Book" w:cs="Calibri"/>
                <w:color w:val="005CA9"/>
                <w:sz w:val="18"/>
                <w:szCs w:val="18"/>
              </w:rPr>
              <w:t>Títulos privados de entidades não financeiras</w:t>
            </w:r>
          </w:p>
        </w:tc>
        <w:tc>
          <w:tcPr>
            <w:tcW w:w="630" w:type="pct"/>
            <w:tcBorders>
              <w:top w:val="nil"/>
              <w:left w:val="nil"/>
              <w:right w:val="nil"/>
            </w:tcBorders>
            <w:noWrap/>
            <w:vAlign w:val="center"/>
            <w:hideMark/>
          </w:tcPr>
          <w:p w14:paraId="0A5046BD" w14:textId="77777777" w:rsidR="00747ED0" w:rsidRPr="00865D5B" w:rsidRDefault="00747ED0" w:rsidP="0084741B">
            <w:pPr>
              <w:jc w:val="right"/>
              <w:rPr>
                <w:rFonts w:ascii="CAIXA Std Book" w:hAnsi="CAIXA Std Book"/>
                <w:color w:val="005CA9"/>
                <w:sz w:val="18"/>
                <w:szCs w:val="18"/>
              </w:rPr>
            </w:pPr>
            <w:r w:rsidRPr="00865D5B">
              <w:rPr>
                <w:rFonts w:ascii="CAIXA Std Book" w:hAnsi="CAIXA Std Book"/>
                <w:color w:val="005CA9"/>
                <w:sz w:val="18"/>
                <w:szCs w:val="18"/>
              </w:rPr>
              <w:t>2.198.643</w:t>
            </w:r>
          </w:p>
        </w:tc>
        <w:tc>
          <w:tcPr>
            <w:tcW w:w="630" w:type="pct"/>
            <w:tcBorders>
              <w:top w:val="nil"/>
              <w:left w:val="nil"/>
              <w:right w:val="nil"/>
            </w:tcBorders>
            <w:noWrap/>
            <w:vAlign w:val="center"/>
          </w:tcPr>
          <w:p w14:paraId="44B66BE5" w14:textId="77777777" w:rsidR="00747ED0" w:rsidRPr="00865D5B" w:rsidRDefault="00747ED0" w:rsidP="0084741B">
            <w:pPr>
              <w:jc w:val="right"/>
              <w:rPr>
                <w:rFonts w:ascii="CAIXA Std Book" w:hAnsi="CAIXA Std Book"/>
                <w:color w:val="005CA9"/>
                <w:sz w:val="18"/>
                <w:szCs w:val="18"/>
              </w:rPr>
            </w:pPr>
            <w:r w:rsidRPr="00865D5B">
              <w:rPr>
                <w:rFonts w:ascii="CAIXA Std Book" w:hAnsi="CAIXA Std Book"/>
                <w:color w:val="005CA9"/>
                <w:sz w:val="18"/>
                <w:szCs w:val="18"/>
              </w:rPr>
              <w:t>40.960</w:t>
            </w:r>
          </w:p>
        </w:tc>
        <w:tc>
          <w:tcPr>
            <w:tcW w:w="630" w:type="pct"/>
            <w:tcBorders>
              <w:top w:val="nil"/>
              <w:left w:val="nil"/>
              <w:right w:val="nil"/>
            </w:tcBorders>
            <w:noWrap/>
            <w:vAlign w:val="center"/>
          </w:tcPr>
          <w:p w14:paraId="25560E1E" w14:textId="77777777" w:rsidR="00747ED0" w:rsidRPr="00865D5B" w:rsidRDefault="00747ED0" w:rsidP="0084741B">
            <w:pPr>
              <w:jc w:val="center"/>
              <w:rPr>
                <w:rFonts w:ascii="CAIXA Std Book" w:hAnsi="CAIXA Std Book"/>
                <w:color w:val="005CA9"/>
                <w:sz w:val="18"/>
                <w:szCs w:val="18"/>
              </w:rPr>
            </w:pPr>
            <w:r w:rsidRPr="00865D5B">
              <w:rPr>
                <w:rFonts w:ascii="CAIXA Std Book" w:hAnsi="CAIXA Std Book" w:cs="Arial"/>
                <w:color w:val="005CA9"/>
                <w:sz w:val="18"/>
                <w:szCs w:val="18"/>
              </w:rPr>
              <w:t>-</w:t>
            </w:r>
          </w:p>
        </w:tc>
        <w:tc>
          <w:tcPr>
            <w:tcW w:w="630" w:type="pct"/>
            <w:tcBorders>
              <w:top w:val="nil"/>
              <w:left w:val="nil"/>
              <w:right w:val="nil"/>
            </w:tcBorders>
            <w:noWrap/>
            <w:vAlign w:val="center"/>
          </w:tcPr>
          <w:p w14:paraId="71684F7D" w14:textId="77777777" w:rsidR="00747ED0" w:rsidRPr="00865D5B" w:rsidRDefault="00747ED0" w:rsidP="0084741B">
            <w:pPr>
              <w:jc w:val="center"/>
              <w:rPr>
                <w:rFonts w:ascii="CAIXA Std Book" w:hAnsi="CAIXA Std Book"/>
                <w:color w:val="005CA9"/>
                <w:sz w:val="18"/>
                <w:szCs w:val="18"/>
              </w:rPr>
            </w:pPr>
            <w:r w:rsidRPr="00865D5B">
              <w:rPr>
                <w:rFonts w:ascii="CAIXA Std Book" w:hAnsi="CAIXA Std Book" w:cs="Arial"/>
                <w:color w:val="005CA9"/>
                <w:sz w:val="18"/>
                <w:szCs w:val="18"/>
              </w:rPr>
              <w:t>-</w:t>
            </w:r>
          </w:p>
        </w:tc>
        <w:tc>
          <w:tcPr>
            <w:tcW w:w="630" w:type="pct"/>
            <w:tcBorders>
              <w:top w:val="nil"/>
              <w:left w:val="nil"/>
              <w:right w:val="nil"/>
            </w:tcBorders>
            <w:noWrap/>
            <w:vAlign w:val="center"/>
          </w:tcPr>
          <w:p w14:paraId="49BE7043" w14:textId="77777777" w:rsidR="00747ED0" w:rsidRPr="00865D5B" w:rsidRDefault="00747ED0" w:rsidP="0084741B">
            <w:pPr>
              <w:jc w:val="right"/>
              <w:rPr>
                <w:rFonts w:ascii="CAIXA Std Book" w:hAnsi="CAIXA Std Book"/>
                <w:color w:val="005CA9"/>
                <w:sz w:val="18"/>
                <w:szCs w:val="18"/>
              </w:rPr>
            </w:pPr>
            <w:r w:rsidRPr="00865D5B">
              <w:rPr>
                <w:rFonts w:ascii="CAIXA Std Book" w:hAnsi="CAIXA Std Book"/>
                <w:color w:val="005CA9"/>
                <w:sz w:val="18"/>
                <w:szCs w:val="18"/>
              </w:rPr>
              <w:t>2.239.603</w:t>
            </w:r>
          </w:p>
        </w:tc>
      </w:tr>
      <w:tr w:rsidR="00747ED0" w:rsidRPr="00EC11A8" w14:paraId="56C339A3" w14:textId="77777777" w:rsidTr="009C3125">
        <w:trPr>
          <w:trHeight w:val="283"/>
        </w:trPr>
        <w:tc>
          <w:tcPr>
            <w:tcW w:w="1849" w:type="pct"/>
            <w:tcBorders>
              <w:top w:val="nil"/>
              <w:left w:val="nil"/>
              <w:right w:val="nil"/>
            </w:tcBorders>
            <w:shd w:val="clear" w:color="auto" w:fill="005CA9"/>
            <w:noWrap/>
            <w:vAlign w:val="center"/>
            <w:hideMark/>
          </w:tcPr>
          <w:p w14:paraId="6636489B" w14:textId="77777777" w:rsidR="00747ED0" w:rsidRPr="00865D5B" w:rsidRDefault="00747ED0" w:rsidP="0084741B">
            <w:pPr>
              <w:rPr>
                <w:rFonts w:ascii="CAIXA Std Book" w:eastAsia="Times New Roman" w:hAnsi="CAIXA Std Book" w:cs="Calibri"/>
                <w:b/>
                <w:color w:val="FFFFFF"/>
                <w:sz w:val="18"/>
                <w:szCs w:val="18"/>
              </w:rPr>
            </w:pPr>
            <w:r w:rsidRPr="00865D5B">
              <w:rPr>
                <w:rFonts w:ascii="CAIXA Std Book" w:eastAsia="Times New Roman" w:hAnsi="CAIXA Std Book" w:cs="Calibri"/>
                <w:b/>
                <w:color w:val="FFFFFF"/>
                <w:sz w:val="18"/>
                <w:szCs w:val="18"/>
              </w:rPr>
              <w:t>Total</w:t>
            </w:r>
          </w:p>
        </w:tc>
        <w:tc>
          <w:tcPr>
            <w:tcW w:w="630" w:type="pct"/>
            <w:tcBorders>
              <w:top w:val="nil"/>
              <w:left w:val="nil"/>
              <w:right w:val="nil"/>
            </w:tcBorders>
            <w:shd w:val="clear" w:color="auto" w:fill="005CA9"/>
            <w:noWrap/>
            <w:vAlign w:val="center"/>
            <w:hideMark/>
          </w:tcPr>
          <w:p w14:paraId="4B8C5B05" w14:textId="77777777" w:rsidR="00747ED0" w:rsidRPr="00865D5B" w:rsidRDefault="00747ED0" w:rsidP="0084741B">
            <w:pPr>
              <w:jc w:val="right"/>
              <w:rPr>
                <w:rFonts w:ascii="CAIXA Std Book" w:hAnsi="CAIXA Std Book"/>
                <w:b/>
                <w:color w:val="FFFFFF"/>
                <w:sz w:val="18"/>
                <w:szCs w:val="18"/>
              </w:rPr>
            </w:pPr>
            <w:r w:rsidRPr="00865D5B">
              <w:rPr>
                <w:rFonts w:ascii="CAIXA Std Book" w:hAnsi="CAIXA Std Book"/>
                <w:b/>
                <w:color w:val="FFFFFF"/>
                <w:sz w:val="18"/>
                <w:szCs w:val="18"/>
              </w:rPr>
              <w:t>3.739.948</w:t>
            </w:r>
          </w:p>
        </w:tc>
        <w:tc>
          <w:tcPr>
            <w:tcW w:w="630" w:type="pct"/>
            <w:tcBorders>
              <w:top w:val="nil"/>
              <w:left w:val="nil"/>
              <w:right w:val="nil"/>
            </w:tcBorders>
            <w:shd w:val="clear" w:color="auto" w:fill="005CA9"/>
            <w:noWrap/>
            <w:vAlign w:val="center"/>
          </w:tcPr>
          <w:p w14:paraId="628C9A31" w14:textId="77777777" w:rsidR="00747ED0" w:rsidRPr="00865D5B" w:rsidRDefault="00747ED0" w:rsidP="0084741B">
            <w:pPr>
              <w:jc w:val="right"/>
              <w:rPr>
                <w:rFonts w:ascii="CAIXA Std Book" w:hAnsi="CAIXA Std Book"/>
                <w:b/>
                <w:color w:val="FFFFFF"/>
                <w:sz w:val="18"/>
                <w:szCs w:val="18"/>
              </w:rPr>
            </w:pPr>
            <w:r w:rsidRPr="00865D5B">
              <w:rPr>
                <w:rFonts w:ascii="CAIXA Std Book" w:hAnsi="CAIXA Std Book"/>
                <w:b/>
                <w:color w:val="FFFFFF"/>
                <w:sz w:val="18"/>
                <w:szCs w:val="18"/>
              </w:rPr>
              <w:t>(1.500.345)</w:t>
            </w:r>
          </w:p>
        </w:tc>
        <w:tc>
          <w:tcPr>
            <w:tcW w:w="630" w:type="pct"/>
            <w:tcBorders>
              <w:top w:val="nil"/>
              <w:left w:val="nil"/>
              <w:right w:val="nil"/>
            </w:tcBorders>
            <w:shd w:val="clear" w:color="auto" w:fill="005CA9"/>
            <w:noWrap/>
            <w:vAlign w:val="center"/>
          </w:tcPr>
          <w:p w14:paraId="47043FAA" w14:textId="77777777" w:rsidR="00747ED0" w:rsidRPr="00865D5B" w:rsidRDefault="00747ED0" w:rsidP="0084741B">
            <w:pPr>
              <w:jc w:val="center"/>
              <w:rPr>
                <w:rFonts w:ascii="CAIXA Std Book" w:hAnsi="CAIXA Std Book"/>
                <w:b/>
                <w:color w:val="FFFFFF"/>
                <w:sz w:val="18"/>
                <w:szCs w:val="18"/>
              </w:rPr>
            </w:pPr>
            <w:r w:rsidRPr="00865D5B">
              <w:rPr>
                <w:rFonts w:ascii="CAIXA Std Book" w:hAnsi="CAIXA Std Book" w:cs="Arial"/>
                <w:b/>
                <w:color w:val="FFFFFF"/>
                <w:sz w:val="18"/>
                <w:szCs w:val="18"/>
              </w:rPr>
              <w:t>-</w:t>
            </w:r>
          </w:p>
        </w:tc>
        <w:tc>
          <w:tcPr>
            <w:tcW w:w="630" w:type="pct"/>
            <w:tcBorders>
              <w:top w:val="nil"/>
              <w:left w:val="nil"/>
              <w:right w:val="nil"/>
            </w:tcBorders>
            <w:shd w:val="clear" w:color="auto" w:fill="005CA9"/>
            <w:noWrap/>
            <w:vAlign w:val="center"/>
          </w:tcPr>
          <w:p w14:paraId="090B2BE3" w14:textId="77777777" w:rsidR="00747ED0" w:rsidRPr="00865D5B" w:rsidRDefault="00747ED0" w:rsidP="0084741B">
            <w:pPr>
              <w:jc w:val="center"/>
              <w:rPr>
                <w:rFonts w:ascii="CAIXA Std Book" w:hAnsi="CAIXA Std Book"/>
                <w:b/>
                <w:color w:val="FFFFFF"/>
                <w:sz w:val="18"/>
                <w:szCs w:val="18"/>
              </w:rPr>
            </w:pPr>
            <w:r w:rsidRPr="00865D5B">
              <w:rPr>
                <w:rFonts w:ascii="CAIXA Std Book" w:hAnsi="CAIXA Std Book" w:cs="Arial"/>
                <w:b/>
                <w:color w:val="FFFFFF"/>
                <w:sz w:val="18"/>
                <w:szCs w:val="18"/>
              </w:rPr>
              <w:t>-</w:t>
            </w:r>
          </w:p>
        </w:tc>
        <w:tc>
          <w:tcPr>
            <w:tcW w:w="630" w:type="pct"/>
            <w:tcBorders>
              <w:top w:val="nil"/>
              <w:left w:val="nil"/>
              <w:right w:val="nil"/>
            </w:tcBorders>
            <w:shd w:val="clear" w:color="auto" w:fill="005CA9"/>
            <w:noWrap/>
            <w:vAlign w:val="center"/>
          </w:tcPr>
          <w:p w14:paraId="0C9F4FC0" w14:textId="77777777" w:rsidR="00747ED0" w:rsidRPr="00865D5B" w:rsidRDefault="00747ED0" w:rsidP="0084741B">
            <w:pPr>
              <w:jc w:val="right"/>
              <w:rPr>
                <w:rFonts w:ascii="CAIXA Std Book" w:hAnsi="CAIXA Std Book"/>
                <w:b/>
                <w:color w:val="FFFFFF"/>
                <w:sz w:val="18"/>
                <w:szCs w:val="18"/>
              </w:rPr>
            </w:pPr>
            <w:r w:rsidRPr="00865D5B">
              <w:rPr>
                <w:rFonts w:ascii="CAIXA Std Book" w:hAnsi="CAIXA Std Book"/>
                <w:b/>
                <w:color w:val="FFFFFF"/>
                <w:sz w:val="18"/>
                <w:szCs w:val="18"/>
              </w:rPr>
              <w:t>2.239.603</w:t>
            </w:r>
          </w:p>
        </w:tc>
      </w:tr>
    </w:tbl>
    <w:p w14:paraId="4EA0AEFA" w14:textId="4767F7B1" w:rsidR="00D64B32" w:rsidRDefault="00D64B32" w:rsidP="00B735D2">
      <w:pPr>
        <w:pStyle w:val="Ttulo1"/>
      </w:pPr>
      <w:bookmarkStart w:id="94" w:name="_Toc229588479"/>
      <w:r w:rsidRPr="00E95E29">
        <w:t xml:space="preserve">Nota   </w:t>
      </w:r>
      <w:r>
        <w:t>8</w:t>
      </w:r>
      <w:r w:rsidRPr="00E95E29">
        <w:t xml:space="preserve">.4 – Carteira de crédito </w:t>
      </w:r>
      <w:r w:rsidR="001C2BD9">
        <w:t>mensurada</w:t>
      </w:r>
      <w:r w:rsidRPr="00E95E29">
        <w:t xml:space="preserve"> ao custo amortizado</w:t>
      </w:r>
      <w:bookmarkEnd w:id="93"/>
      <w:bookmarkEnd w:id="94"/>
    </w:p>
    <w:p w14:paraId="05658FBB" w14:textId="737490B0" w:rsidR="00D64B32" w:rsidRPr="00EC5808" w:rsidRDefault="00D64B32" w:rsidP="00EC5808">
      <w:pPr>
        <w:pStyle w:val="PargrafodaLista"/>
        <w:numPr>
          <w:ilvl w:val="4"/>
          <w:numId w:val="6"/>
        </w:numPr>
        <w:spacing w:before="240" w:after="120"/>
        <w:ind w:left="567" w:hanging="567"/>
        <w:contextualSpacing w:val="0"/>
        <w:rPr>
          <w:rFonts w:ascii="CAIXA Std Book" w:hAnsi="CAIXA Std Book"/>
          <w:b/>
          <w:color w:val="005CA9"/>
          <w:sz w:val="20"/>
          <w:szCs w:val="20"/>
        </w:rPr>
      </w:pPr>
      <w:r w:rsidRPr="00EC5808">
        <w:rPr>
          <w:rFonts w:ascii="CAIXA Std Book" w:hAnsi="CAIXA Std Book"/>
          <w:b/>
          <w:color w:val="005CA9"/>
          <w:sz w:val="20"/>
          <w:szCs w:val="20"/>
        </w:rPr>
        <w:t>Composição da carteira de crédito</w:t>
      </w:r>
    </w:p>
    <w:tbl>
      <w:tblPr>
        <w:tblW w:w="5000" w:type="pct"/>
        <w:tblCellMar>
          <w:left w:w="70" w:type="dxa"/>
          <w:right w:w="70" w:type="dxa"/>
        </w:tblCellMar>
        <w:tblLook w:val="04A0" w:firstRow="1" w:lastRow="0" w:firstColumn="1" w:lastColumn="0" w:noHBand="0" w:noVBand="1"/>
      </w:tblPr>
      <w:tblGrid>
        <w:gridCol w:w="4889"/>
        <w:gridCol w:w="1609"/>
        <w:gridCol w:w="1609"/>
        <w:gridCol w:w="1612"/>
        <w:gridCol w:w="1609"/>
        <w:gridCol w:w="1609"/>
        <w:gridCol w:w="1612"/>
      </w:tblGrid>
      <w:tr w:rsidR="000221CD" w14:paraId="1B254503" w14:textId="77777777" w:rsidTr="00E96052">
        <w:trPr>
          <w:trHeight w:val="283"/>
        </w:trPr>
        <w:tc>
          <w:tcPr>
            <w:tcW w:w="1680" w:type="pct"/>
            <w:vMerge w:val="restart"/>
            <w:tcBorders>
              <w:top w:val="single" w:sz="8" w:space="0" w:color="FFFFFF"/>
              <w:left w:val="single" w:sz="8" w:space="0" w:color="FFFFFF"/>
              <w:bottom w:val="single" w:sz="8" w:space="0" w:color="FFFFFF"/>
              <w:right w:val="nil"/>
            </w:tcBorders>
            <w:shd w:val="clear" w:color="auto" w:fill="005CA9"/>
            <w:tcMar>
              <w:top w:w="15" w:type="dxa"/>
              <w:left w:w="15" w:type="dxa"/>
              <w:bottom w:w="0" w:type="dxa"/>
              <w:right w:w="15" w:type="dxa"/>
            </w:tcMar>
            <w:vAlign w:val="center"/>
            <w:hideMark/>
          </w:tcPr>
          <w:p w14:paraId="073A6562" w14:textId="77777777" w:rsidR="00010111" w:rsidRDefault="00010111">
            <w:pPr>
              <w:jc w:val="center"/>
              <w:rPr>
                <w:rFonts w:ascii="CAIXA Std Book" w:hAnsi="CAIXA Std Book"/>
                <w:b/>
                <w:bCs/>
                <w:color w:val="FFFFFF"/>
                <w:sz w:val="18"/>
                <w:szCs w:val="18"/>
              </w:rPr>
            </w:pPr>
            <w:r>
              <w:rPr>
                <w:rFonts w:ascii="CAIXA Std Book" w:hAnsi="CAIXA Std Book"/>
                <w:b/>
                <w:bCs/>
                <w:color w:val="FFFFFF"/>
                <w:sz w:val="18"/>
                <w:szCs w:val="18"/>
              </w:rPr>
              <w:t>Descrição</w:t>
            </w:r>
          </w:p>
        </w:tc>
        <w:tc>
          <w:tcPr>
            <w:tcW w:w="3320" w:type="pct"/>
            <w:gridSpan w:val="6"/>
            <w:tcBorders>
              <w:top w:val="single" w:sz="8" w:space="0" w:color="FFFFFF"/>
              <w:left w:val="nil"/>
              <w:bottom w:val="outset" w:sz="6" w:space="0" w:color="FFFFFF" w:themeColor="background1"/>
              <w:right w:val="single" w:sz="8" w:space="0" w:color="FFFFFF"/>
            </w:tcBorders>
            <w:shd w:val="clear" w:color="auto" w:fill="005CA9"/>
            <w:tcMar>
              <w:top w:w="15" w:type="dxa"/>
              <w:left w:w="15" w:type="dxa"/>
              <w:bottom w:w="0" w:type="dxa"/>
              <w:right w:w="15" w:type="dxa"/>
            </w:tcMar>
            <w:vAlign w:val="center"/>
            <w:hideMark/>
          </w:tcPr>
          <w:p w14:paraId="2758F7C0" w14:textId="0D4D5B83" w:rsidR="00010111" w:rsidRDefault="00F25734">
            <w:pPr>
              <w:jc w:val="center"/>
              <w:rPr>
                <w:rFonts w:ascii="CAIXA Std Book" w:hAnsi="CAIXA Std Book"/>
                <w:b/>
                <w:bCs/>
                <w:color w:val="FFFFFF"/>
                <w:sz w:val="18"/>
                <w:szCs w:val="18"/>
              </w:rPr>
            </w:pPr>
            <w:r>
              <w:rPr>
                <w:rFonts w:ascii="CAIXA Std Book" w:hAnsi="CAIXA Std Book"/>
                <w:b/>
                <w:bCs/>
                <w:color w:val="FFFFFF"/>
                <w:sz w:val="18"/>
                <w:szCs w:val="18"/>
              </w:rPr>
              <w:t>Individual</w:t>
            </w:r>
          </w:p>
        </w:tc>
      </w:tr>
      <w:tr w:rsidR="00A14EA7" w14:paraId="22B69A94" w14:textId="77777777" w:rsidTr="00E96052">
        <w:trPr>
          <w:trHeight w:val="283"/>
        </w:trPr>
        <w:tc>
          <w:tcPr>
            <w:tcW w:w="1680" w:type="pct"/>
            <w:vMerge/>
            <w:tcBorders>
              <w:top w:val="single" w:sz="8" w:space="0" w:color="FFFFFF"/>
              <w:left w:val="single" w:sz="8" w:space="0" w:color="FFFFFF"/>
              <w:bottom w:val="single" w:sz="8" w:space="0" w:color="FFFFFF"/>
              <w:right w:val="nil"/>
            </w:tcBorders>
            <w:shd w:val="clear" w:color="auto" w:fill="005CA9"/>
            <w:vAlign w:val="center"/>
            <w:hideMark/>
          </w:tcPr>
          <w:p w14:paraId="7FD549C5" w14:textId="77777777" w:rsidR="00010111" w:rsidRDefault="00010111">
            <w:pPr>
              <w:rPr>
                <w:rFonts w:ascii="CAIXA Std Book" w:hAnsi="CAIXA Std Book"/>
                <w:b/>
                <w:bCs/>
                <w:color w:val="FFFFFF"/>
                <w:sz w:val="18"/>
                <w:szCs w:val="18"/>
              </w:rPr>
            </w:pPr>
          </w:p>
        </w:tc>
        <w:tc>
          <w:tcPr>
            <w:tcW w:w="1660" w:type="pct"/>
            <w:gridSpan w:val="3"/>
            <w:tcBorders>
              <w:top w:val="outset" w:sz="6" w:space="0" w:color="FFFFFF" w:themeColor="background1"/>
              <w:left w:val="nil"/>
              <w:bottom w:val="outset" w:sz="6" w:space="0" w:color="FFFFFF" w:themeColor="background1"/>
              <w:right w:val="nil"/>
            </w:tcBorders>
            <w:shd w:val="clear" w:color="auto" w:fill="005CA9"/>
            <w:tcMar>
              <w:top w:w="15" w:type="dxa"/>
              <w:left w:w="15" w:type="dxa"/>
              <w:bottom w:w="0" w:type="dxa"/>
              <w:right w:w="15" w:type="dxa"/>
            </w:tcMar>
            <w:vAlign w:val="center"/>
            <w:hideMark/>
          </w:tcPr>
          <w:p w14:paraId="347C07EC" w14:textId="6B1D7457" w:rsidR="00010111" w:rsidRDefault="007968B6">
            <w:pPr>
              <w:jc w:val="center"/>
              <w:rPr>
                <w:rFonts w:ascii="CAIXA Std Book" w:hAnsi="CAIXA Std Book"/>
                <w:b/>
                <w:bCs/>
                <w:color w:val="FFFFFF"/>
                <w:sz w:val="18"/>
                <w:szCs w:val="18"/>
              </w:rPr>
            </w:pPr>
            <w:r>
              <w:rPr>
                <w:rFonts w:ascii="CAIXA Std Book" w:hAnsi="CAIXA Std Book"/>
                <w:b/>
                <w:bCs/>
                <w:color w:val="FFFFFF"/>
                <w:sz w:val="18"/>
                <w:szCs w:val="18"/>
              </w:rPr>
              <w:t>31/</w:t>
            </w:r>
            <w:r w:rsidR="00DD6699">
              <w:rPr>
                <w:rFonts w:ascii="CAIXA Std Book" w:hAnsi="CAIXA Std Book"/>
                <w:b/>
                <w:bCs/>
                <w:color w:val="FFFFFF"/>
                <w:sz w:val="18"/>
                <w:szCs w:val="18"/>
              </w:rPr>
              <w:t>03</w:t>
            </w:r>
            <w:r w:rsidR="00F25734">
              <w:rPr>
                <w:rFonts w:ascii="CAIXA Std Book" w:hAnsi="CAIXA Std Book"/>
                <w:b/>
                <w:bCs/>
                <w:color w:val="FFFFFF"/>
                <w:sz w:val="18"/>
                <w:szCs w:val="18"/>
              </w:rPr>
              <w:t>/2026</w:t>
            </w:r>
          </w:p>
        </w:tc>
        <w:tc>
          <w:tcPr>
            <w:tcW w:w="1660" w:type="pct"/>
            <w:gridSpan w:val="3"/>
            <w:tcBorders>
              <w:top w:val="outset" w:sz="6" w:space="0" w:color="FFFFFF" w:themeColor="background1"/>
              <w:left w:val="nil"/>
              <w:bottom w:val="outset" w:sz="6" w:space="0" w:color="FFFFFF" w:themeColor="background1"/>
            </w:tcBorders>
            <w:shd w:val="clear" w:color="auto" w:fill="005CA9"/>
            <w:tcMar>
              <w:top w:w="15" w:type="dxa"/>
              <w:left w:w="15" w:type="dxa"/>
              <w:bottom w:w="0" w:type="dxa"/>
              <w:right w:w="15" w:type="dxa"/>
            </w:tcMar>
            <w:vAlign w:val="center"/>
            <w:hideMark/>
          </w:tcPr>
          <w:p w14:paraId="1548BE3B" w14:textId="599E3DB5" w:rsidR="00010111" w:rsidRDefault="007968B6">
            <w:pPr>
              <w:jc w:val="center"/>
              <w:rPr>
                <w:rFonts w:ascii="CAIXA Std Book" w:hAnsi="CAIXA Std Book"/>
                <w:b/>
                <w:bCs/>
                <w:color w:val="FFFFFF"/>
                <w:sz w:val="18"/>
                <w:szCs w:val="18"/>
              </w:rPr>
            </w:pPr>
            <w:r>
              <w:rPr>
                <w:rFonts w:ascii="CAIXA Std Book" w:hAnsi="CAIXA Std Book"/>
                <w:b/>
                <w:bCs/>
                <w:color w:val="FFFFFF"/>
                <w:sz w:val="18"/>
                <w:szCs w:val="18"/>
              </w:rPr>
              <w:t>31/</w:t>
            </w:r>
            <w:r w:rsidR="009842D3">
              <w:rPr>
                <w:rFonts w:ascii="CAIXA Std Book" w:hAnsi="CAIXA Std Book"/>
                <w:b/>
                <w:bCs/>
                <w:color w:val="FFFFFF"/>
                <w:sz w:val="18"/>
                <w:szCs w:val="18"/>
              </w:rPr>
              <w:t>12</w:t>
            </w:r>
            <w:r w:rsidR="00010111">
              <w:rPr>
                <w:rFonts w:ascii="CAIXA Std Book" w:hAnsi="CAIXA Std Book"/>
                <w:b/>
                <w:bCs/>
                <w:color w:val="FFFFFF"/>
                <w:sz w:val="18"/>
                <w:szCs w:val="18"/>
              </w:rPr>
              <w:t>/2025</w:t>
            </w:r>
          </w:p>
        </w:tc>
      </w:tr>
      <w:tr w:rsidR="00860EF9" w14:paraId="2BF14AE2" w14:textId="77777777" w:rsidTr="00E96052">
        <w:trPr>
          <w:trHeight w:val="283"/>
        </w:trPr>
        <w:tc>
          <w:tcPr>
            <w:tcW w:w="1680" w:type="pct"/>
            <w:vMerge/>
            <w:tcBorders>
              <w:top w:val="single" w:sz="8" w:space="0" w:color="FFFFFF"/>
              <w:left w:val="single" w:sz="8" w:space="0" w:color="FFFFFF"/>
              <w:right w:val="nil"/>
            </w:tcBorders>
            <w:shd w:val="clear" w:color="auto" w:fill="005CA9"/>
            <w:vAlign w:val="center"/>
            <w:hideMark/>
          </w:tcPr>
          <w:p w14:paraId="5254DBA2" w14:textId="77777777" w:rsidR="00010111" w:rsidRDefault="00010111">
            <w:pPr>
              <w:rPr>
                <w:rFonts w:ascii="CAIXA Std Book" w:hAnsi="CAIXA Std Book"/>
                <w:b/>
                <w:bCs/>
                <w:color w:val="FFFFFF"/>
                <w:sz w:val="18"/>
                <w:szCs w:val="18"/>
              </w:rPr>
            </w:pPr>
          </w:p>
        </w:tc>
        <w:tc>
          <w:tcPr>
            <w:tcW w:w="553" w:type="pct"/>
            <w:tcBorders>
              <w:top w:val="outset" w:sz="6" w:space="0" w:color="FFFFFF" w:themeColor="background1"/>
              <w:left w:val="nil"/>
              <w:right w:val="nil"/>
            </w:tcBorders>
            <w:shd w:val="clear" w:color="auto" w:fill="005CA9"/>
            <w:tcMar>
              <w:top w:w="15" w:type="dxa"/>
              <w:left w:w="15" w:type="dxa"/>
              <w:bottom w:w="0" w:type="dxa"/>
              <w:right w:w="15" w:type="dxa"/>
            </w:tcMar>
            <w:vAlign w:val="center"/>
            <w:hideMark/>
          </w:tcPr>
          <w:p w14:paraId="1C7AB4B7" w14:textId="77777777" w:rsidR="00010111" w:rsidRDefault="00010111">
            <w:pPr>
              <w:jc w:val="center"/>
              <w:rPr>
                <w:rFonts w:ascii="CAIXA Std Book" w:hAnsi="CAIXA Std Book"/>
                <w:b/>
                <w:bCs/>
                <w:color w:val="FFFFFF"/>
                <w:sz w:val="18"/>
                <w:szCs w:val="18"/>
              </w:rPr>
            </w:pPr>
            <w:r>
              <w:rPr>
                <w:rFonts w:ascii="CAIXA Std Book" w:hAnsi="CAIXA Std Book"/>
                <w:b/>
                <w:bCs/>
                <w:color w:val="FFFFFF"/>
                <w:sz w:val="18"/>
                <w:szCs w:val="18"/>
              </w:rPr>
              <w:t>Valor contábil</w:t>
            </w:r>
          </w:p>
        </w:tc>
        <w:tc>
          <w:tcPr>
            <w:tcW w:w="553" w:type="pct"/>
            <w:tcBorders>
              <w:top w:val="outset" w:sz="6" w:space="0" w:color="FFFFFF" w:themeColor="background1"/>
              <w:left w:val="nil"/>
              <w:right w:val="nil"/>
            </w:tcBorders>
            <w:shd w:val="clear" w:color="auto" w:fill="005CA9"/>
            <w:tcMar>
              <w:top w:w="15" w:type="dxa"/>
              <w:left w:w="15" w:type="dxa"/>
              <w:bottom w:w="0" w:type="dxa"/>
              <w:right w:w="15" w:type="dxa"/>
            </w:tcMar>
            <w:vAlign w:val="center"/>
            <w:hideMark/>
          </w:tcPr>
          <w:p w14:paraId="2A73824F" w14:textId="7E3DD7F8" w:rsidR="00010111" w:rsidRDefault="00F65D2D">
            <w:pPr>
              <w:jc w:val="center"/>
              <w:rPr>
                <w:rFonts w:ascii="CAIXA Std Book" w:hAnsi="CAIXA Std Book"/>
                <w:b/>
                <w:bCs/>
                <w:color w:val="FFFFFF"/>
                <w:sz w:val="18"/>
                <w:szCs w:val="18"/>
              </w:rPr>
            </w:pPr>
            <w:r w:rsidRPr="00FF2C6F">
              <w:rPr>
                <w:rFonts w:ascii="CAIXA Std Book" w:hAnsi="CAIXA Std Book"/>
                <w:b/>
                <w:color w:val="FFFFFF"/>
                <w:sz w:val="18"/>
                <w:szCs w:val="18"/>
              </w:rPr>
              <w:t>Perdas esperadas</w:t>
            </w:r>
          </w:p>
        </w:tc>
        <w:tc>
          <w:tcPr>
            <w:tcW w:w="554" w:type="pct"/>
            <w:tcBorders>
              <w:top w:val="outset" w:sz="6" w:space="0" w:color="FFFFFF" w:themeColor="background1"/>
              <w:left w:val="nil"/>
              <w:right w:val="nil"/>
            </w:tcBorders>
            <w:shd w:val="clear" w:color="auto" w:fill="005CA9"/>
            <w:tcMar>
              <w:top w:w="15" w:type="dxa"/>
              <w:left w:w="15" w:type="dxa"/>
              <w:bottom w:w="0" w:type="dxa"/>
              <w:right w:w="15" w:type="dxa"/>
            </w:tcMar>
            <w:vAlign w:val="center"/>
            <w:hideMark/>
          </w:tcPr>
          <w:p w14:paraId="2C5AE286" w14:textId="77777777" w:rsidR="00010111" w:rsidRDefault="00010111">
            <w:pPr>
              <w:jc w:val="center"/>
              <w:rPr>
                <w:rFonts w:ascii="CAIXA Std Book" w:hAnsi="CAIXA Std Book"/>
                <w:b/>
                <w:bCs/>
                <w:color w:val="FFFFFF"/>
                <w:sz w:val="18"/>
                <w:szCs w:val="18"/>
              </w:rPr>
            </w:pPr>
            <w:r>
              <w:rPr>
                <w:rFonts w:ascii="CAIXA Std Book" w:hAnsi="CAIXA Std Book"/>
                <w:b/>
                <w:bCs/>
                <w:color w:val="FFFFFF"/>
                <w:sz w:val="18"/>
                <w:szCs w:val="18"/>
              </w:rPr>
              <w:t>Valor contábil líquido de provisão</w:t>
            </w:r>
          </w:p>
        </w:tc>
        <w:tc>
          <w:tcPr>
            <w:tcW w:w="553" w:type="pct"/>
            <w:tcBorders>
              <w:top w:val="outset" w:sz="6" w:space="0" w:color="FFFFFF" w:themeColor="background1"/>
              <w:left w:val="nil"/>
              <w:right w:val="nil"/>
            </w:tcBorders>
            <w:shd w:val="clear" w:color="auto" w:fill="005CA9"/>
            <w:tcMar>
              <w:top w:w="15" w:type="dxa"/>
              <w:left w:w="15" w:type="dxa"/>
              <w:bottom w:w="0" w:type="dxa"/>
              <w:right w:w="15" w:type="dxa"/>
            </w:tcMar>
            <w:vAlign w:val="center"/>
            <w:hideMark/>
          </w:tcPr>
          <w:p w14:paraId="35B0EFA5" w14:textId="77777777" w:rsidR="00010111" w:rsidRDefault="00010111">
            <w:pPr>
              <w:jc w:val="center"/>
              <w:rPr>
                <w:rFonts w:ascii="CAIXA Std Book" w:hAnsi="CAIXA Std Book"/>
                <w:b/>
                <w:bCs/>
                <w:color w:val="FFFFFF"/>
                <w:sz w:val="18"/>
                <w:szCs w:val="18"/>
              </w:rPr>
            </w:pPr>
            <w:r>
              <w:rPr>
                <w:rFonts w:ascii="CAIXA Std Book" w:hAnsi="CAIXA Std Book"/>
                <w:b/>
                <w:bCs/>
                <w:color w:val="FFFFFF"/>
                <w:sz w:val="18"/>
                <w:szCs w:val="18"/>
              </w:rPr>
              <w:t>Valor contábil</w:t>
            </w:r>
          </w:p>
        </w:tc>
        <w:tc>
          <w:tcPr>
            <w:tcW w:w="553" w:type="pct"/>
            <w:tcBorders>
              <w:top w:val="outset" w:sz="6" w:space="0" w:color="FFFFFF" w:themeColor="background1"/>
              <w:left w:val="nil"/>
              <w:right w:val="nil"/>
            </w:tcBorders>
            <w:shd w:val="clear" w:color="auto" w:fill="005CA9"/>
            <w:tcMar>
              <w:top w:w="15" w:type="dxa"/>
              <w:left w:w="15" w:type="dxa"/>
              <w:bottom w:w="0" w:type="dxa"/>
              <w:right w:w="15" w:type="dxa"/>
            </w:tcMar>
            <w:vAlign w:val="center"/>
            <w:hideMark/>
          </w:tcPr>
          <w:p w14:paraId="5FE652EC" w14:textId="2A08DFBC" w:rsidR="00010111" w:rsidRDefault="00F65D2D">
            <w:pPr>
              <w:jc w:val="center"/>
              <w:rPr>
                <w:rFonts w:ascii="CAIXA Std Book" w:hAnsi="CAIXA Std Book"/>
                <w:b/>
                <w:bCs/>
                <w:color w:val="FFFFFF"/>
                <w:sz w:val="18"/>
                <w:szCs w:val="18"/>
              </w:rPr>
            </w:pPr>
            <w:r w:rsidRPr="00316E5C">
              <w:rPr>
                <w:rFonts w:ascii="CAIXA Std Book" w:hAnsi="CAIXA Std Book"/>
                <w:b/>
                <w:color w:val="FFFFFF"/>
                <w:sz w:val="18"/>
                <w:szCs w:val="18"/>
              </w:rPr>
              <w:t>Perdas esperadas</w:t>
            </w:r>
          </w:p>
        </w:tc>
        <w:tc>
          <w:tcPr>
            <w:tcW w:w="554" w:type="pct"/>
            <w:tcBorders>
              <w:top w:val="outset" w:sz="6" w:space="0" w:color="FFFFFF" w:themeColor="background1"/>
              <w:left w:val="nil"/>
              <w:right w:val="single" w:sz="8" w:space="0" w:color="FFFFFF"/>
            </w:tcBorders>
            <w:shd w:val="clear" w:color="auto" w:fill="005CA9"/>
            <w:tcMar>
              <w:top w:w="15" w:type="dxa"/>
              <w:left w:w="15" w:type="dxa"/>
              <w:bottom w:w="0" w:type="dxa"/>
              <w:right w:w="15" w:type="dxa"/>
            </w:tcMar>
            <w:vAlign w:val="center"/>
            <w:hideMark/>
          </w:tcPr>
          <w:p w14:paraId="22081A9A" w14:textId="77777777" w:rsidR="00010111" w:rsidRDefault="00010111">
            <w:pPr>
              <w:jc w:val="center"/>
              <w:rPr>
                <w:rFonts w:ascii="CAIXA Std Book" w:hAnsi="CAIXA Std Book"/>
                <w:b/>
                <w:bCs/>
                <w:color w:val="FFFFFF"/>
                <w:sz w:val="18"/>
                <w:szCs w:val="18"/>
              </w:rPr>
            </w:pPr>
            <w:r>
              <w:rPr>
                <w:rFonts w:ascii="CAIXA Std Book" w:hAnsi="CAIXA Std Book"/>
                <w:b/>
                <w:bCs/>
                <w:color w:val="FFFFFF"/>
                <w:sz w:val="18"/>
                <w:szCs w:val="18"/>
              </w:rPr>
              <w:t>Valor contábil líquido de provisão</w:t>
            </w:r>
          </w:p>
        </w:tc>
      </w:tr>
      <w:tr w:rsidR="0015386D" w14:paraId="504C283D" w14:textId="77777777" w:rsidTr="00E96052">
        <w:trPr>
          <w:trHeight w:val="283"/>
        </w:trPr>
        <w:tc>
          <w:tcPr>
            <w:tcW w:w="1680" w:type="pct"/>
            <w:tcBorders>
              <w:top w:val="nil"/>
              <w:left w:val="nil"/>
              <w:bottom w:val="nil"/>
              <w:right w:val="nil"/>
            </w:tcBorders>
            <w:noWrap/>
            <w:tcMar>
              <w:top w:w="0" w:type="dxa"/>
              <w:left w:w="15" w:type="dxa"/>
              <w:bottom w:w="0" w:type="dxa"/>
              <w:right w:w="15" w:type="dxa"/>
            </w:tcMar>
            <w:vAlign w:val="center"/>
            <w:hideMark/>
          </w:tcPr>
          <w:p w14:paraId="62D277C6" w14:textId="77777777" w:rsidR="004D61E4" w:rsidRDefault="004D61E4" w:rsidP="004D61E4">
            <w:pPr>
              <w:rPr>
                <w:rFonts w:ascii="CAIXA Std Book" w:hAnsi="CAIXA Std Book"/>
                <w:color w:val="005CA9"/>
                <w:sz w:val="18"/>
                <w:szCs w:val="18"/>
              </w:rPr>
            </w:pPr>
            <w:r>
              <w:rPr>
                <w:rFonts w:ascii="CAIXA Std Book" w:hAnsi="CAIXA Std Book"/>
                <w:color w:val="005CA9"/>
                <w:sz w:val="18"/>
                <w:szCs w:val="18"/>
              </w:rPr>
              <w:t>Empréstimos e direitos creditórios descontados (1) (2)</w:t>
            </w:r>
          </w:p>
        </w:tc>
        <w:tc>
          <w:tcPr>
            <w:tcW w:w="553" w:type="pct"/>
            <w:tcBorders>
              <w:top w:val="nil"/>
              <w:left w:val="nil"/>
              <w:bottom w:val="nil"/>
              <w:right w:val="nil"/>
            </w:tcBorders>
            <w:noWrap/>
            <w:tcMar>
              <w:top w:w="0" w:type="dxa"/>
              <w:left w:w="15" w:type="dxa"/>
              <w:bottom w:w="0" w:type="dxa"/>
              <w:right w:w="15" w:type="dxa"/>
            </w:tcMar>
            <w:vAlign w:val="center"/>
          </w:tcPr>
          <w:p w14:paraId="3F49BF32" w14:textId="508012E6" w:rsidR="004D61E4" w:rsidRDefault="00571FEE" w:rsidP="00B35D64">
            <w:pPr>
              <w:jc w:val="right"/>
              <w:rPr>
                <w:rFonts w:ascii="CAIXA Std Book" w:hAnsi="CAIXA Std Book"/>
                <w:color w:val="005CA9"/>
                <w:sz w:val="18"/>
                <w:szCs w:val="18"/>
              </w:rPr>
            </w:pPr>
            <w:r>
              <w:rPr>
                <w:rFonts w:ascii="CAIXA Std Book" w:hAnsi="CAIXA Std Book" w:cs="Calibri"/>
                <w:color w:val="005CA9"/>
                <w:sz w:val="18"/>
                <w:szCs w:val="18"/>
              </w:rPr>
              <w:t>239.694.145</w:t>
            </w:r>
          </w:p>
        </w:tc>
        <w:tc>
          <w:tcPr>
            <w:tcW w:w="553" w:type="pct"/>
            <w:tcBorders>
              <w:top w:val="nil"/>
              <w:left w:val="nil"/>
              <w:bottom w:val="nil"/>
              <w:right w:val="nil"/>
            </w:tcBorders>
            <w:noWrap/>
            <w:tcMar>
              <w:top w:w="0" w:type="dxa"/>
              <w:left w:w="15" w:type="dxa"/>
              <w:bottom w:w="0" w:type="dxa"/>
              <w:right w:w="15" w:type="dxa"/>
            </w:tcMar>
            <w:vAlign w:val="center"/>
          </w:tcPr>
          <w:p w14:paraId="0B38B9F5" w14:textId="5C61EC07" w:rsidR="004D61E4" w:rsidRDefault="00571FEE" w:rsidP="00B35D64">
            <w:pPr>
              <w:jc w:val="right"/>
              <w:rPr>
                <w:rFonts w:ascii="CAIXA Std Book" w:hAnsi="CAIXA Std Book"/>
                <w:color w:val="005CA9"/>
                <w:sz w:val="18"/>
                <w:szCs w:val="18"/>
              </w:rPr>
            </w:pPr>
            <w:r>
              <w:rPr>
                <w:rFonts w:ascii="CAIXA Std Book" w:hAnsi="CAIXA Std Book" w:cs="Calibri"/>
                <w:color w:val="005CA9"/>
                <w:sz w:val="18"/>
                <w:szCs w:val="18"/>
              </w:rPr>
              <w:t>(31.172.969)</w:t>
            </w:r>
          </w:p>
        </w:tc>
        <w:tc>
          <w:tcPr>
            <w:tcW w:w="554" w:type="pct"/>
            <w:tcBorders>
              <w:top w:val="nil"/>
              <w:left w:val="nil"/>
              <w:bottom w:val="nil"/>
              <w:right w:val="nil"/>
            </w:tcBorders>
            <w:noWrap/>
            <w:tcMar>
              <w:top w:w="0" w:type="dxa"/>
              <w:left w:w="15" w:type="dxa"/>
              <w:bottom w:w="0" w:type="dxa"/>
              <w:right w:w="15" w:type="dxa"/>
            </w:tcMar>
            <w:vAlign w:val="center"/>
          </w:tcPr>
          <w:p w14:paraId="1A42A8D9" w14:textId="33A8A6A7" w:rsidR="004D61E4" w:rsidRDefault="00571FEE" w:rsidP="00B35D64">
            <w:pPr>
              <w:jc w:val="right"/>
              <w:rPr>
                <w:rFonts w:ascii="CAIXA Std Book" w:hAnsi="CAIXA Std Book"/>
                <w:color w:val="005CA9"/>
                <w:sz w:val="18"/>
                <w:szCs w:val="18"/>
              </w:rPr>
            </w:pPr>
            <w:r>
              <w:rPr>
                <w:rFonts w:ascii="CAIXA Std Book" w:hAnsi="CAIXA Std Book" w:cs="Calibri"/>
                <w:color w:val="005CA9"/>
                <w:sz w:val="18"/>
                <w:szCs w:val="18"/>
              </w:rPr>
              <w:t>208.521.176</w:t>
            </w:r>
          </w:p>
        </w:tc>
        <w:tc>
          <w:tcPr>
            <w:tcW w:w="553" w:type="pct"/>
            <w:tcBorders>
              <w:top w:val="nil"/>
              <w:left w:val="nil"/>
              <w:bottom w:val="nil"/>
              <w:right w:val="nil"/>
            </w:tcBorders>
            <w:noWrap/>
            <w:tcMar>
              <w:top w:w="0" w:type="dxa"/>
              <w:left w:w="15" w:type="dxa"/>
              <w:bottom w:w="0" w:type="dxa"/>
              <w:right w:w="15" w:type="dxa"/>
            </w:tcMar>
            <w:vAlign w:val="center"/>
          </w:tcPr>
          <w:p w14:paraId="0A545331" w14:textId="2B89F88E" w:rsidR="004D61E4" w:rsidRPr="006B4B37" w:rsidRDefault="009842D3" w:rsidP="004D61E4">
            <w:pPr>
              <w:jc w:val="right"/>
              <w:rPr>
                <w:rFonts w:ascii="CAIXA Std Book" w:hAnsi="CAIXA Std Book" w:cs="Calibri"/>
                <w:color w:val="005CA9"/>
                <w:sz w:val="18"/>
                <w:szCs w:val="18"/>
              </w:rPr>
            </w:pPr>
            <w:r>
              <w:rPr>
                <w:rFonts w:ascii="CAIXA Std Book" w:hAnsi="CAIXA Std Book" w:cs="Calibri"/>
                <w:color w:val="005CA9"/>
                <w:sz w:val="18"/>
                <w:szCs w:val="18"/>
              </w:rPr>
              <w:t>236.975.990</w:t>
            </w:r>
          </w:p>
        </w:tc>
        <w:tc>
          <w:tcPr>
            <w:tcW w:w="553" w:type="pct"/>
            <w:tcBorders>
              <w:top w:val="nil"/>
              <w:left w:val="nil"/>
              <w:bottom w:val="nil"/>
              <w:right w:val="nil"/>
            </w:tcBorders>
            <w:noWrap/>
            <w:tcMar>
              <w:top w:w="0" w:type="dxa"/>
              <w:left w:w="15" w:type="dxa"/>
              <w:bottom w:w="0" w:type="dxa"/>
              <w:right w:w="15" w:type="dxa"/>
            </w:tcMar>
            <w:vAlign w:val="center"/>
          </w:tcPr>
          <w:p w14:paraId="600847C8" w14:textId="1A116511" w:rsidR="004D61E4" w:rsidRPr="00417332" w:rsidRDefault="009842D3" w:rsidP="004D61E4">
            <w:pPr>
              <w:jc w:val="right"/>
              <w:rPr>
                <w:rFonts w:ascii="CAIXA Std Book" w:hAnsi="CAIXA Std Book" w:cs="Calibri"/>
                <w:color w:val="005CA9"/>
                <w:sz w:val="18"/>
                <w:szCs w:val="18"/>
              </w:rPr>
            </w:pPr>
            <w:r>
              <w:rPr>
                <w:rFonts w:ascii="CAIXA Std Book" w:hAnsi="CAIXA Std Book" w:cs="Calibri"/>
                <w:color w:val="005CA9"/>
                <w:sz w:val="18"/>
                <w:szCs w:val="18"/>
              </w:rPr>
              <w:t>(30.211.369)</w:t>
            </w:r>
          </w:p>
        </w:tc>
        <w:tc>
          <w:tcPr>
            <w:tcW w:w="554" w:type="pct"/>
            <w:tcBorders>
              <w:top w:val="nil"/>
              <w:left w:val="nil"/>
              <w:bottom w:val="nil"/>
              <w:right w:val="nil"/>
            </w:tcBorders>
            <w:noWrap/>
            <w:tcMar>
              <w:top w:w="0" w:type="dxa"/>
              <w:left w:w="15" w:type="dxa"/>
              <w:bottom w:w="0" w:type="dxa"/>
              <w:right w:w="15" w:type="dxa"/>
            </w:tcMar>
            <w:vAlign w:val="center"/>
          </w:tcPr>
          <w:p w14:paraId="38B69A59" w14:textId="5EF234F0" w:rsidR="004D61E4" w:rsidRPr="00417332" w:rsidRDefault="009842D3" w:rsidP="004D61E4">
            <w:pPr>
              <w:jc w:val="right"/>
              <w:rPr>
                <w:rFonts w:ascii="CAIXA Std Book" w:hAnsi="CAIXA Std Book" w:cs="Calibri"/>
                <w:color w:val="005CA9"/>
                <w:sz w:val="18"/>
                <w:szCs w:val="18"/>
              </w:rPr>
            </w:pPr>
            <w:r>
              <w:rPr>
                <w:rFonts w:ascii="CAIXA Std Book" w:hAnsi="CAIXA Std Book" w:cs="Calibri"/>
                <w:color w:val="005CA9"/>
                <w:sz w:val="18"/>
                <w:szCs w:val="18"/>
              </w:rPr>
              <w:t>206.764.621</w:t>
            </w:r>
          </w:p>
        </w:tc>
      </w:tr>
      <w:tr w:rsidR="0015386D" w14:paraId="1577D777" w14:textId="77777777" w:rsidTr="00E96052">
        <w:trPr>
          <w:trHeight w:val="283"/>
        </w:trPr>
        <w:tc>
          <w:tcPr>
            <w:tcW w:w="1680" w:type="pct"/>
            <w:tcBorders>
              <w:top w:val="nil"/>
              <w:left w:val="nil"/>
              <w:right w:val="nil"/>
            </w:tcBorders>
            <w:noWrap/>
            <w:tcMar>
              <w:top w:w="15" w:type="dxa"/>
              <w:left w:w="15" w:type="dxa"/>
              <w:bottom w:w="0" w:type="dxa"/>
              <w:right w:w="15" w:type="dxa"/>
            </w:tcMar>
            <w:vAlign w:val="center"/>
            <w:hideMark/>
          </w:tcPr>
          <w:p w14:paraId="14B0992F" w14:textId="77777777" w:rsidR="004D61E4" w:rsidRDefault="004D61E4" w:rsidP="004D61E4">
            <w:pPr>
              <w:rPr>
                <w:rFonts w:ascii="CAIXA Std Book" w:hAnsi="CAIXA Std Book"/>
                <w:color w:val="005CA9"/>
                <w:sz w:val="18"/>
                <w:szCs w:val="18"/>
              </w:rPr>
            </w:pPr>
            <w:r>
              <w:rPr>
                <w:rFonts w:ascii="CAIXA Std Book" w:hAnsi="CAIXA Std Book"/>
                <w:color w:val="005CA9"/>
                <w:sz w:val="18"/>
                <w:szCs w:val="18"/>
              </w:rPr>
              <w:t>Financiamentos (2)</w:t>
            </w:r>
          </w:p>
        </w:tc>
        <w:tc>
          <w:tcPr>
            <w:tcW w:w="553" w:type="pct"/>
            <w:tcBorders>
              <w:top w:val="nil"/>
              <w:left w:val="nil"/>
              <w:right w:val="nil"/>
            </w:tcBorders>
            <w:noWrap/>
            <w:tcMar>
              <w:top w:w="15" w:type="dxa"/>
              <w:left w:w="15" w:type="dxa"/>
              <w:bottom w:w="0" w:type="dxa"/>
              <w:right w:w="15" w:type="dxa"/>
            </w:tcMar>
            <w:vAlign w:val="center"/>
          </w:tcPr>
          <w:p w14:paraId="55F15E90" w14:textId="680E33E6" w:rsidR="004D61E4" w:rsidRDefault="00571FEE" w:rsidP="00B35D64">
            <w:pPr>
              <w:jc w:val="right"/>
              <w:rPr>
                <w:rFonts w:ascii="CAIXA Std Book" w:hAnsi="CAIXA Std Book"/>
                <w:color w:val="005CA9"/>
                <w:sz w:val="18"/>
                <w:szCs w:val="18"/>
              </w:rPr>
            </w:pPr>
            <w:r>
              <w:rPr>
                <w:rFonts w:ascii="CAIXA Std Book" w:hAnsi="CAIXA Std Book" w:cs="Calibri"/>
                <w:color w:val="005CA9"/>
                <w:sz w:val="18"/>
                <w:szCs w:val="18"/>
              </w:rPr>
              <w:t>14.368.313</w:t>
            </w:r>
          </w:p>
        </w:tc>
        <w:tc>
          <w:tcPr>
            <w:tcW w:w="553" w:type="pct"/>
            <w:tcBorders>
              <w:top w:val="nil"/>
              <w:left w:val="nil"/>
              <w:right w:val="nil"/>
            </w:tcBorders>
            <w:noWrap/>
            <w:tcMar>
              <w:top w:w="15" w:type="dxa"/>
              <w:left w:w="15" w:type="dxa"/>
              <w:bottom w:w="0" w:type="dxa"/>
              <w:right w:w="15" w:type="dxa"/>
            </w:tcMar>
            <w:vAlign w:val="center"/>
          </w:tcPr>
          <w:p w14:paraId="27C5A6E3" w14:textId="03E9F997" w:rsidR="004D61E4" w:rsidRDefault="00571FEE" w:rsidP="00B35D64">
            <w:pPr>
              <w:jc w:val="right"/>
              <w:rPr>
                <w:rFonts w:ascii="CAIXA Std Book" w:hAnsi="CAIXA Std Book"/>
                <w:color w:val="005CA9"/>
                <w:sz w:val="18"/>
                <w:szCs w:val="18"/>
              </w:rPr>
            </w:pPr>
            <w:r>
              <w:rPr>
                <w:rFonts w:ascii="CAIXA Std Book" w:hAnsi="CAIXA Std Book" w:cs="Calibri"/>
                <w:color w:val="005CA9"/>
                <w:sz w:val="18"/>
                <w:szCs w:val="18"/>
              </w:rPr>
              <w:t>(1.547.618)</w:t>
            </w:r>
          </w:p>
        </w:tc>
        <w:tc>
          <w:tcPr>
            <w:tcW w:w="554" w:type="pct"/>
            <w:tcBorders>
              <w:top w:val="nil"/>
              <w:left w:val="nil"/>
              <w:right w:val="nil"/>
            </w:tcBorders>
            <w:noWrap/>
            <w:tcMar>
              <w:top w:w="15" w:type="dxa"/>
              <w:left w:w="15" w:type="dxa"/>
              <w:bottom w:w="0" w:type="dxa"/>
              <w:right w:w="15" w:type="dxa"/>
            </w:tcMar>
            <w:vAlign w:val="center"/>
          </w:tcPr>
          <w:p w14:paraId="64A00D82" w14:textId="4218D312" w:rsidR="004D61E4" w:rsidRDefault="00571FEE" w:rsidP="00B35D64">
            <w:pPr>
              <w:jc w:val="right"/>
              <w:rPr>
                <w:rFonts w:ascii="CAIXA Std Book" w:hAnsi="CAIXA Std Book"/>
                <w:color w:val="005CA9"/>
                <w:sz w:val="18"/>
                <w:szCs w:val="18"/>
              </w:rPr>
            </w:pPr>
            <w:r>
              <w:rPr>
                <w:rFonts w:ascii="CAIXA Std Book" w:hAnsi="CAIXA Std Book" w:cs="Calibri"/>
                <w:color w:val="005CA9"/>
                <w:sz w:val="18"/>
                <w:szCs w:val="18"/>
              </w:rPr>
              <w:t>12.820.695</w:t>
            </w:r>
          </w:p>
        </w:tc>
        <w:tc>
          <w:tcPr>
            <w:tcW w:w="553" w:type="pct"/>
            <w:tcBorders>
              <w:top w:val="nil"/>
              <w:left w:val="nil"/>
              <w:right w:val="nil"/>
            </w:tcBorders>
            <w:noWrap/>
            <w:tcMar>
              <w:top w:w="15" w:type="dxa"/>
              <w:left w:w="15" w:type="dxa"/>
              <w:bottom w:w="0" w:type="dxa"/>
              <w:right w:w="15" w:type="dxa"/>
            </w:tcMar>
            <w:vAlign w:val="center"/>
          </w:tcPr>
          <w:p w14:paraId="6B331329" w14:textId="68666546" w:rsidR="004D61E4" w:rsidRPr="006B4B37" w:rsidRDefault="009842D3" w:rsidP="004D61E4">
            <w:pPr>
              <w:jc w:val="right"/>
              <w:rPr>
                <w:rFonts w:ascii="CAIXA Std Book" w:hAnsi="CAIXA Std Book" w:cs="Calibri"/>
                <w:color w:val="005CA9"/>
                <w:sz w:val="18"/>
                <w:szCs w:val="18"/>
              </w:rPr>
            </w:pPr>
            <w:r>
              <w:rPr>
                <w:rFonts w:ascii="CAIXA Std Book" w:hAnsi="CAIXA Std Book" w:cs="Calibri"/>
                <w:color w:val="005CA9"/>
                <w:sz w:val="18"/>
                <w:szCs w:val="18"/>
              </w:rPr>
              <w:t>13.516.909</w:t>
            </w:r>
          </w:p>
        </w:tc>
        <w:tc>
          <w:tcPr>
            <w:tcW w:w="553" w:type="pct"/>
            <w:tcBorders>
              <w:top w:val="nil"/>
              <w:left w:val="nil"/>
              <w:right w:val="nil"/>
            </w:tcBorders>
            <w:noWrap/>
            <w:tcMar>
              <w:top w:w="15" w:type="dxa"/>
              <w:left w:w="15" w:type="dxa"/>
              <w:bottom w:w="0" w:type="dxa"/>
              <w:right w:w="15" w:type="dxa"/>
            </w:tcMar>
            <w:vAlign w:val="center"/>
          </w:tcPr>
          <w:p w14:paraId="2172EB0E" w14:textId="5A689793" w:rsidR="004D61E4" w:rsidRPr="00417332" w:rsidRDefault="009842D3" w:rsidP="004D61E4">
            <w:pPr>
              <w:jc w:val="right"/>
              <w:rPr>
                <w:rFonts w:ascii="CAIXA Std Book" w:hAnsi="CAIXA Std Book" w:cs="Calibri"/>
                <w:color w:val="005CA9"/>
                <w:sz w:val="18"/>
                <w:szCs w:val="18"/>
              </w:rPr>
            </w:pPr>
            <w:r>
              <w:rPr>
                <w:rFonts w:ascii="CAIXA Std Book" w:hAnsi="CAIXA Std Book" w:cs="Calibri"/>
                <w:color w:val="005CA9"/>
                <w:sz w:val="18"/>
                <w:szCs w:val="18"/>
              </w:rPr>
              <w:t>(1.381.549)</w:t>
            </w:r>
          </w:p>
        </w:tc>
        <w:tc>
          <w:tcPr>
            <w:tcW w:w="554" w:type="pct"/>
            <w:tcBorders>
              <w:top w:val="nil"/>
              <w:left w:val="nil"/>
              <w:right w:val="nil"/>
            </w:tcBorders>
            <w:noWrap/>
            <w:tcMar>
              <w:top w:w="15" w:type="dxa"/>
              <w:left w:w="15" w:type="dxa"/>
              <w:bottom w:w="0" w:type="dxa"/>
              <w:right w:w="15" w:type="dxa"/>
            </w:tcMar>
            <w:vAlign w:val="center"/>
          </w:tcPr>
          <w:p w14:paraId="50B045F0" w14:textId="03ACC693" w:rsidR="004D61E4" w:rsidRPr="00417332" w:rsidRDefault="009842D3" w:rsidP="004D61E4">
            <w:pPr>
              <w:jc w:val="right"/>
              <w:rPr>
                <w:rFonts w:ascii="CAIXA Std Book" w:hAnsi="CAIXA Std Book" w:cs="Calibri"/>
                <w:color w:val="005CA9"/>
                <w:sz w:val="18"/>
                <w:szCs w:val="18"/>
              </w:rPr>
            </w:pPr>
            <w:r>
              <w:rPr>
                <w:rFonts w:ascii="CAIXA Std Book" w:hAnsi="CAIXA Std Book" w:cs="Calibri"/>
                <w:color w:val="005CA9"/>
                <w:sz w:val="18"/>
                <w:szCs w:val="18"/>
              </w:rPr>
              <w:t>12.135.360</w:t>
            </w:r>
          </w:p>
        </w:tc>
      </w:tr>
      <w:tr w:rsidR="0015386D" w14:paraId="176A4156" w14:textId="77777777" w:rsidTr="00E96052">
        <w:trPr>
          <w:trHeight w:val="283"/>
        </w:trPr>
        <w:tc>
          <w:tcPr>
            <w:tcW w:w="1680" w:type="pct"/>
            <w:tcBorders>
              <w:top w:val="nil"/>
              <w:left w:val="nil"/>
              <w:right w:val="nil"/>
            </w:tcBorders>
            <w:noWrap/>
            <w:tcMar>
              <w:top w:w="15" w:type="dxa"/>
              <w:left w:w="15" w:type="dxa"/>
              <w:bottom w:w="0" w:type="dxa"/>
              <w:right w:w="15" w:type="dxa"/>
            </w:tcMar>
            <w:vAlign w:val="center"/>
            <w:hideMark/>
          </w:tcPr>
          <w:p w14:paraId="3191AA73" w14:textId="77777777" w:rsidR="004D61E4" w:rsidRDefault="004D61E4" w:rsidP="004D61E4">
            <w:pPr>
              <w:rPr>
                <w:rFonts w:ascii="CAIXA Std Book" w:hAnsi="CAIXA Std Book"/>
                <w:color w:val="005CA9"/>
                <w:sz w:val="18"/>
                <w:szCs w:val="18"/>
              </w:rPr>
            </w:pPr>
            <w:r>
              <w:rPr>
                <w:rFonts w:ascii="CAIXA Std Book" w:hAnsi="CAIXA Std Book"/>
                <w:color w:val="005CA9"/>
                <w:sz w:val="18"/>
                <w:szCs w:val="18"/>
              </w:rPr>
              <w:t>Financiamentos rurais</w:t>
            </w:r>
          </w:p>
        </w:tc>
        <w:tc>
          <w:tcPr>
            <w:tcW w:w="553" w:type="pct"/>
            <w:tcBorders>
              <w:top w:val="nil"/>
              <w:left w:val="nil"/>
              <w:right w:val="nil"/>
            </w:tcBorders>
            <w:noWrap/>
            <w:tcMar>
              <w:top w:w="15" w:type="dxa"/>
              <w:left w:w="15" w:type="dxa"/>
              <w:bottom w:w="0" w:type="dxa"/>
              <w:right w:w="15" w:type="dxa"/>
            </w:tcMar>
            <w:vAlign w:val="center"/>
          </w:tcPr>
          <w:p w14:paraId="3C44DCC9" w14:textId="4D6642BD" w:rsidR="004D61E4" w:rsidRDefault="00571FEE" w:rsidP="00B35D64">
            <w:pPr>
              <w:jc w:val="right"/>
              <w:rPr>
                <w:rFonts w:ascii="CAIXA Std Book" w:hAnsi="CAIXA Std Book"/>
                <w:color w:val="005CA9"/>
                <w:sz w:val="18"/>
                <w:szCs w:val="18"/>
              </w:rPr>
            </w:pPr>
            <w:r>
              <w:rPr>
                <w:rFonts w:ascii="CAIXA Std Book" w:hAnsi="CAIXA Std Book" w:cs="Calibri"/>
                <w:color w:val="005CA9"/>
                <w:sz w:val="18"/>
                <w:szCs w:val="18"/>
              </w:rPr>
              <w:t>63.956.385</w:t>
            </w:r>
          </w:p>
        </w:tc>
        <w:tc>
          <w:tcPr>
            <w:tcW w:w="553" w:type="pct"/>
            <w:tcBorders>
              <w:top w:val="nil"/>
              <w:left w:val="nil"/>
              <w:right w:val="nil"/>
            </w:tcBorders>
            <w:noWrap/>
            <w:tcMar>
              <w:top w:w="15" w:type="dxa"/>
              <w:left w:w="15" w:type="dxa"/>
              <w:bottom w:w="0" w:type="dxa"/>
              <w:right w:w="15" w:type="dxa"/>
            </w:tcMar>
            <w:vAlign w:val="center"/>
          </w:tcPr>
          <w:p w14:paraId="38D6F126" w14:textId="671B2765" w:rsidR="004D61E4" w:rsidRDefault="00571FEE" w:rsidP="00B35D64">
            <w:pPr>
              <w:jc w:val="right"/>
              <w:rPr>
                <w:rFonts w:ascii="CAIXA Std Book" w:hAnsi="CAIXA Std Book"/>
                <w:color w:val="005CA9"/>
                <w:sz w:val="18"/>
                <w:szCs w:val="18"/>
              </w:rPr>
            </w:pPr>
            <w:r>
              <w:rPr>
                <w:rFonts w:ascii="CAIXA Std Book" w:hAnsi="CAIXA Std Book" w:cs="Calibri"/>
                <w:color w:val="005CA9"/>
                <w:sz w:val="18"/>
                <w:szCs w:val="18"/>
              </w:rPr>
              <w:t>(7.983.367)</w:t>
            </w:r>
          </w:p>
        </w:tc>
        <w:tc>
          <w:tcPr>
            <w:tcW w:w="554" w:type="pct"/>
            <w:tcBorders>
              <w:top w:val="nil"/>
              <w:left w:val="nil"/>
              <w:right w:val="nil"/>
            </w:tcBorders>
            <w:noWrap/>
            <w:tcMar>
              <w:top w:w="15" w:type="dxa"/>
              <w:left w:w="15" w:type="dxa"/>
              <w:bottom w:w="0" w:type="dxa"/>
              <w:right w:w="15" w:type="dxa"/>
            </w:tcMar>
            <w:vAlign w:val="center"/>
          </w:tcPr>
          <w:p w14:paraId="28EE0863" w14:textId="17C34C9F" w:rsidR="004D61E4" w:rsidRDefault="00571FEE" w:rsidP="00B35D64">
            <w:pPr>
              <w:jc w:val="right"/>
              <w:rPr>
                <w:rFonts w:ascii="CAIXA Std Book" w:hAnsi="CAIXA Std Book"/>
                <w:color w:val="005CA9"/>
                <w:sz w:val="18"/>
                <w:szCs w:val="18"/>
              </w:rPr>
            </w:pPr>
            <w:r>
              <w:rPr>
                <w:rFonts w:ascii="CAIXA Std Book" w:hAnsi="CAIXA Std Book" w:cs="Calibri"/>
                <w:color w:val="005CA9"/>
                <w:sz w:val="18"/>
                <w:szCs w:val="18"/>
              </w:rPr>
              <w:t>55.973.018</w:t>
            </w:r>
          </w:p>
        </w:tc>
        <w:tc>
          <w:tcPr>
            <w:tcW w:w="553" w:type="pct"/>
            <w:tcBorders>
              <w:top w:val="nil"/>
              <w:left w:val="nil"/>
              <w:right w:val="nil"/>
            </w:tcBorders>
            <w:noWrap/>
            <w:tcMar>
              <w:top w:w="15" w:type="dxa"/>
              <w:left w:w="15" w:type="dxa"/>
              <w:bottom w:w="0" w:type="dxa"/>
              <w:right w:w="15" w:type="dxa"/>
            </w:tcMar>
            <w:vAlign w:val="center"/>
          </w:tcPr>
          <w:p w14:paraId="4EC47FAD" w14:textId="49998D45" w:rsidR="004D61E4" w:rsidRPr="006B4B37" w:rsidRDefault="009842D3" w:rsidP="004D61E4">
            <w:pPr>
              <w:jc w:val="right"/>
              <w:rPr>
                <w:rFonts w:ascii="CAIXA Std Book" w:hAnsi="CAIXA Std Book" w:cs="Calibri"/>
                <w:color w:val="005CA9"/>
                <w:sz w:val="18"/>
                <w:szCs w:val="18"/>
              </w:rPr>
            </w:pPr>
            <w:r>
              <w:rPr>
                <w:rFonts w:ascii="CAIXA Std Book" w:hAnsi="CAIXA Std Book" w:cs="Calibri"/>
                <w:color w:val="005CA9"/>
                <w:sz w:val="18"/>
                <w:szCs w:val="18"/>
              </w:rPr>
              <w:t>62.053.408</w:t>
            </w:r>
          </w:p>
        </w:tc>
        <w:tc>
          <w:tcPr>
            <w:tcW w:w="553" w:type="pct"/>
            <w:tcBorders>
              <w:top w:val="nil"/>
              <w:left w:val="nil"/>
              <w:right w:val="nil"/>
            </w:tcBorders>
            <w:noWrap/>
            <w:tcMar>
              <w:top w:w="15" w:type="dxa"/>
              <w:left w:w="15" w:type="dxa"/>
              <w:bottom w:w="0" w:type="dxa"/>
              <w:right w:w="15" w:type="dxa"/>
            </w:tcMar>
            <w:vAlign w:val="center"/>
          </w:tcPr>
          <w:p w14:paraId="6362F526" w14:textId="408F567C" w:rsidR="004D61E4" w:rsidRPr="00417332" w:rsidRDefault="009842D3" w:rsidP="004D61E4">
            <w:pPr>
              <w:jc w:val="right"/>
              <w:rPr>
                <w:rFonts w:ascii="CAIXA Std Book" w:hAnsi="CAIXA Std Book" w:cs="Calibri"/>
                <w:color w:val="005CA9"/>
                <w:sz w:val="18"/>
                <w:szCs w:val="18"/>
              </w:rPr>
            </w:pPr>
            <w:r>
              <w:rPr>
                <w:rFonts w:ascii="CAIXA Std Book" w:hAnsi="CAIXA Std Book" w:cs="Calibri"/>
                <w:color w:val="005CA9"/>
                <w:sz w:val="18"/>
                <w:szCs w:val="18"/>
              </w:rPr>
              <w:t>(6.594.249)</w:t>
            </w:r>
          </w:p>
        </w:tc>
        <w:tc>
          <w:tcPr>
            <w:tcW w:w="554" w:type="pct"/>
            <w:tcBorders>
              <w:top w:val="nil"/>
              <w:left w:val="nil"/>
              <w:right w:val="nil"/>
            </w:tcBorders>
            <w:noWrap/>
            <w:tcMar>
              <w:top w:w="15" w:type="dxa"/>
              <w:left w:w="15" w:type="dxa"/>
              <w:bottom w:w="0" w:type="dxa"/>
              <w:right w:w="15" w:type="dxa"/>
            </w:tcMar>
            <w:vAlign w:val="center"/>
          </w:tcPr>
          <w:p w14:paraId="6663A2D2" w14:textId="4B35E650" w:rsidR="004D61E4" w:rsidRPr="00417332" w:rsidRDefault="009842D3" w:rsidP="004D61E4">
            <w:pPr>
              <w:jc w:val="right"/>
              <w:rPr>
                <w:rFonts w:ascii="CAIXA Std Book" w:hAnsi="CAIXA Std Book" w:cs="Calibri"/>
                <w:color w:val="005CA9"/>
                <w:sz w:val="18"/>
                <w:szCs w:val="18"/>
              </w:rPr>
            </w:pPr>
            <w:r>
              <w:rPr>
                <w:rFonts w:ascii="CAIXA Std Book" w:hAnsi="CAIXA Std Book" w:cs="Calibri"/>
                <w:color w:val="005CA9"/>
                <w:sz w:val="18"/>
                <w:szCs w:val="18"/>
              </w:rPr>
              <w:t>55.459.159</w:t>
            </w:r>
          </w:p>
        </w:tc>
      </w:tr>
      <w:tr w:rsidR="0015386D" w14:paraId="7080AFBA" w14:textId="77777777" w:rsidTr="00E96052">
        <w:trPr>
          <w:trHeight w:val="283"/>
        </w:trPr>
        <w:tc>
          <w:tcPr>
            <w:tcW w:w="1680" w:type="pct"/>
            <w:tcBorders>
              <w:top w:val="nil"/>
              <w:left w:val="nil"/>
              <w:right w:val="nil"/>
            </w:tcBorders>
            <w:noWrap/>
            <w:tcMar>
              <w:top w:w="15" w:type="dxa"/>
              <w:left w:w="15" w:type="dxa"/>
              <w:bottom w:w="0" w:type="dxa"/>
              <w:right w:w="15" w:type="dxa"/>
            </w:tcMar>
            <w:vAlign w:val="center"/>
            <w:hideMark/>
          </w:tcPr>
          <w:p w14:paraId="62593B0F" w14:textId="77777777" w:rsidR="004D61E4" w:rsidRDefault="004D61E4" w:rsidP="004D61E4">
            <w:pPr>
              <w:rPr>
                <w:rFonts w:ascii="CAIXA Std Book" w:hAnsi="CAIXA Std Book"/>
                <w:color w:val="005CA9"/>
                <w:sz w:val="18"/>
                <w:szCs w:val="18"/>
              </w:rPr>
            </w:pPr>
            <w:r>
              <w:rPr>
                <w:rFonts w:ascii="CAIXA Std Book" w:hAnsi="CAIXA Std Book"/>
                <w:color w:val="005CA9"/>
                <w:sz w:val="18"/>
                <w:szCs w:val="18"/>
              </w:rPr>
              <w:t>Financiamentos imobiliários (1)</w:t>
            </w:r>
          </w:p>
        </w:tc>
        <w:tc>
          <w:tcPr>
            <w:tcW w:w="553" w:type="pct"/>
            <w:tcBorders>
              <w:top w:val="nil"/>
              <w:left w:val="nil"/>
              <w:right w:val="nil"/>
            </w:tcBorders>
            <w:noWrap/>
            <w:tcMar>
              <w:top w:w="15" w:type="dxa"/>
              <w:left w:w="15" w:type="dxa"/>
              <w:bottom w:w="0" w:type="dxa"/>
              <w:right w:w="15" w:type="dxa"/>
            </w:tcMar>
            <w:vAlign w:val="center"/>
          </w:tcPr>
          <w:p w14:paraId="143B9ED8" w14:textId="3A5F3E10" w:rsidR="004D61E4" w:rsidRPr="00571FEE" w:rsidRDefault="00571FEE" w:rsidP="00B35D64">
            <w:pPr>
              <w:jc w:val="right"/>
              <w:rPr>
                <w:rFonts w:ascii="CAIXA Std Book" w:hAnsi="CAIXA Std Book" w:cs="Calibri"/>
                <w:color w:val="005CA9"/>
                <w:sz w:val="18"/>
                <w:szCs w:val="18"/>
              </w:rPr>
            </w:pPr>
            <w:r w:rsidRPr="00571FEE">
              <w:rPr>
                <w:rFonts w:ascii="CAIXA Std Book" w:hAnsi="CAIXA Std Book" w:cs="Calibri"/>
                <w:color w:val="005CA9"/>
                <w:sz w:val="18"/>
                <w:szCs w:val="18"/>
              </w:rPr>
              <w:t>958.363.248</w:t>
            </w:r>
          </w:p>
        </w:tc>
        <w:tc>
          <w:tcPr>
            <w:tcW w:w="553" w:type="pct"/>
            <w:tcBorders>
              <w:top w:val="nil"/>
              <w:left w:val="nil"/>
              <w:right w:val="nil"/>
            </w:tcBorders>
            <w:noWrap/>
            <w:tcMar>
              <w:top w:w="15" w:type="dxa"/>
              <w:left w:w="15" w:type="dxa"/>
              <w:bottom w:w="0" w:type="dxa"/>
              <w:right w:w="15" w:type="dxa"/>
            </w:tcMar>
            <w:vAlign w:val="center"/>
          </w:tcPr>
          <w:p w14:paraId="4E4989A1" w14:textId="72DCBE88" w:rsidR="004D61E4" w:rsidRPr="00571FEE" w:rsidRDefault="00571FEE" w:rsidP="00B35D64">
            <w:pPr>
              <w:jc w:val="right"/>
              <w:rPr>
                <w:rFonts w:ascii="CAIXA Std Book" w:hAnsi="CAIXA Std Book" w:cs="Calibri"/>
                <w:color w:val="005CA9"/>
                <w:sz w:val="18"/>
                <w:szCs w:val="18"/>
              </w:rPr>
            </w:pPr>
            <w:r w:rsidRPr="00571FEE">
              <w:rPr>
                <w:rFonts w:ascii="CAIXA Std Book" w:hAnsi="CAIXA Std Book" w:cs="Calibri"/>
                <w:color w:val="005CA9"/>
                <w:sz w:val="18"/>
                <w:szCs w:val="18"/>
              </w:rPr>
              <w:t>(19.887.204)</w:t>
            </w:r>
          </w:p>
        </w:tc>
        <w:tc>
          <w:tcPr>
            <w:tcW w:w="554" w:type="pct"/>
            <w:tcBorders>
              <w:top w:val="nil"/>
              <w:left w:val="nil"/>
              <w:right w:val="nil"/>
            </w:tcBorders>
            <w:noWrap/>
            <w:tcMar>
              <w:top w:w="15" w:type="dxa"/>
              <w:left w:w="15" w:type="dxa"/>
              <w:bottom w:w="0" w:type="dxa"/>
              <w:right w:w="15" w:type="dxa"/>
            </w:tcMar>
            <w:vAlign w:val="center"/>
          </w:tcPr>
          <w:p w14:paraId="7631B210" w14:textId="198655A1" w:rsidR="004D61E4" w:rsidRDefault="00571FEE" w:rsidP="00B35D64">
            <w:pPr>
              <w:jc w:val="right"/>
              <w:rPr>
                <w:rFonts w:ascii="CAIXA Std Book" w:hAnsi="CAIXA Std Book"/>
                <w:color w:val="005CA9"/>
                <w:sz w:val="18"/>
                <w:szCs w:val="18"/>
              </w:rPr>
            </w:pPr>
            <w:r>
              <w:rPr>
                <w:rFonts w:ascii="CAIXA Std Book" w:hAnsi="CAIXA Std Book" w:cs="Calibri"/>
                <w:color w:val="005CA9"/>
                <w:sz w:val="18"/>
                <w:szCs w:val="18"/>
              </w:rPr>
              <w:t>938.476.044</w:t>
            </w:r>
          </w:p>
        </w:tc>
        <w:tc>
          <w:tcPr>
            <w:tcW w:w="553" w:type="pct"/>
            <w:tcBorders>
              <w:top w:val="nil"/>
              <w:left w:val="nil"/>
              <w:right w:val="nil"/>
            </w:tcBorders>
            <w:noWrap/>
            <w:tcMar>
              <w:top w:w="15" w:type="dxa"/>
              <w:left w:w="15" w:type="dxa"/>
              <w:bottom w:w="0" w:type="dxa"/>
              <w:right w:w="15" w:type="dxa"/>
            </w:tcMar>
            <w:vAlign w:val="center"/>
          </w:tcPr>
          <w:p w14:paraId="6B890213" w14:textId="13A31468" w:rsidR="004D61E4" w:rsidRPr="006B4B37" w:rsidRDefault="009842D3" w:rsidP="004D61E4">
            <w:pPr>
              <w:jc w:val="right"/>
              <w:rPr>
                <w:rFonts w:ascii="CAIXA Std Book" w:hAnsi="CAIXA Std Book" w:cs="Calibri"/>
                <w:color w:val="005CA9"/>
                <w:sz w:val="18"/>
                <w:szCs w:val="18"/>
              </w:rPr>
            </w:pPr>
            <w:r>
              <w:rPr>
                <w:rFonts w:ascii="CAIXA Std Book" w:hAnsi="CAIXA Std Book" w:cs="Calibri"/>
                <w:color w:val="005CA9"/>
                <w:sz w:val="18"/>
                <w:szCs w:val="18"/>
              </w:rPr>
              <w:t>930.687.442</w:t>
            </w:r>
          </w:p>
        </w:tc>
        <w:tc>
          <w:tcPr>
            <w:tcW w:w="553" w:type="pct"/>
            <w:tcBorders>
              <w:top w:val="nil"/>
              <w:left w:val="nil"/>
              <w:right w:val="nil"/>
            </w:tcBorders>
            <w:noWrap/>
            <w:tcMar>
              <w:top w:w="15" w:type="dxa"/>
              <w:left w:w="15" w:type="dxa"/>
              <w:bottom w:w="0" w:type="dxa"/>
              <w:right w:w="15" w:type="dxa"/>
            </w:tcMar>
            <w:vAlign w:val="center"/>
          </w:tcPr>
          <w:p w14:paraId="02219342" w14:textId="63BCF1C0" w:rsidR="004D61E4" w:rsidRPr="00417332" w:rsidRDefault="009842D3" w:rsidP="004D61E4">
            <w:pPr>
              <w:jc w:val="right"/>
              <w:rPr>
                <w:rFonts w:ascii="CAIXA Std Book" w:hAnsi="CAIXA Std Book" w:cs="Calibri"/>
                <w:color w:val="005CA9"/>
                <w:sz w:val="18"/>
                <w:szCs w:val="18"/>
              </w:rPr>
            </w:pPr>
            <w:r>
              <w:rPr>
                <w:rFonts w:ascii="CAIXA Std Book" w:hAnsi="CAIXA Std Book" w:cs="Calibri"/>
                <w:color w:val="005CA9"/>
                <w:sz w:val="18"/>
                <w:szCs w:val="18"/>
              </w:rPr>
              <w:t>(18.111.147)</w:t>
            </w:r>
          </w:p>
        </w:tc>
        <w:tc>
          <w:tcPr>
            <w:tcW w:w="554" w:type="pct"/>
            <w:tcBorders>
              <w:top w:val="nil"/>
              <w:left w:val="nil"/>
              <w:right w:val="nil"/>
            </w:tcBorders>
            <w:noWrap/>
            <w:tcMar>
              <w:top w:w="15" w:type="dxa"/>
              <w:left w:w="15" w:type="dxa"/>
              <w:bottom w:w="0" w:type="dxa"/>
              <w:right w:w="15" w:type="dxa"/>
            </w:tcMar>
            <w:vAlign w:val="center"/>
          </w:tcPr>
          <w:p w14:paraId="5D1B044C" w14:textId="4669C8C4" w:rsidR="004D61E4" w:rsidRPr="00417332" w:rsidRDefault="009842D3" w:rsidP="004D61E4">
            <w:pPr>
              <w:jc w:val="right"/>
              <w:rPr>
                <w:rFonts w:ascii="CAIXA Std Book" w:hAnsi="CAIXA Std Book" w:cs="Calibri"/>
                <w:color w:val="005CA9"/>
                <w:sz w:val="18"/>
                <w:szCs w:val="18"/>
              </w:rPr>
            </w:pPr>
            <w:r>
              <w:rPr>
                <w:rFonts w:ascii="CAIXA Std Book" w:hAnsi="CAIXA Std Book" w:cs="Calibri"/>
                <w:color w:val="005CA9"/>
                <w:sz w:val="18"/>
                <w:szCs w:val="18"/>
              </w:rPr>
              <w:t>912.576.295</w:t>
            </w:r>
          </w:p>
        </w:tc>
      </w:tr>
      <w:tr w:rsidR="0015386D" w14:paraId="398D4ED7" w14:textId="77777777" w:rsidTr="00E96052">
        <w:trPr>
          <w:trHeight w:val="283"/>
        </w:trPr>
        <w:tc>
          <w:tcPr>
            <w:tcW w:w="1680" w:type="pct"/>
            <w:tcBorders>
              <w:top w:val="nil"/>
              <w:left w:val="nil"/>
              <w:right w:val="nil"/>
            </w:tcBorders>
            <w:noWrap/>
            <w:tcMar>
              <w:top w:w="15" w:type="dxa"/>
              <w:left w:w="15" w:type="dxa"/>
              <w:bottom w:w="0" w:type="dxa"/>
              <w:right w:w="15" w:type="dxa"/>
            </w:tcMar>
            <w:vAlign w:val="center"/>
            <w:hideMark/>
          </w:tcPr>
          <w:p w14:paraId="13E2546E" w14:textId="77777777" w:rsidR="004D61E4" w:rsidRDefault="004D61E4" w:rsidP="004D61E4">
            <w:pPr>
              <w:rPr>
                <w:rFonts w:ascii="CAIXA Std Book" w:hAnsi="CAIXA Std Book"/>
                <w:color w:val="005CA9"/>
                <w:sz w:val="18"/>
                <w:szCs w:val="18"/>
              </w:rPr>
            </w:pPr>
            <w:r>
              <w:rPr>
                <w:rFonts w:ascii="CAIXA Std Book" w:hAnsi="CAIXA Std Book"/>
                <w:color w:val="005CA9"/>
                <w:sz w:val="18"/>
                <w:szCs w:val="18"/>
              </w:rPr>
              <w:t>Financiamentos de infraestrutura</w:t>
            </w:r>
          </w:p>
        </w:tc>
        <w:tc>
          <w:tcPr>
            <w:tcW w:w="553" w:type="pct"/>
            <w:tcBorders>
              <w:top w:val="nil"/>
              <w:left w:val="nil"/>
              <w:right w:val="nil"/>
            </w:tcBorders>
            <w:noWrap/>
            <w:tcMar>
              <w:top w:w="15" w:type="dxa"/>
              <w:left w:w="15" w:type="dxa"/>
              <w:bottom w:w="0" w:type="dxa"/>
              <w:right w:w="15" w:type="dxa"/>
            </w:tcMar>
            <w:vAlign w:val="center"/>
          </w:tcPr>
          <w:p w14:paraId="6CCDBC20" w14:textId="518FBC75" w:rsidR="004D61E4" w:rsidRPr="00571FEE" w:rsidRDefault="00571FEE" w:rsidP="00B35D64">
            <w:pPr>
              <w:jc w:val="right"/>
              <w:rPr>
                <w:rFonts w:ascii="CAIXA Std Book" w:hAnsi="CAIXA Std Book" w:cs="Calibri"/>
                <w:color w:val="005CA9"/>
                <w:sz w:val="18"/>
                <w:szCs w:val="18"/>
              </w:rPr>
            </w:pPr>
            <w:r>
              <w:rPr>
                <w:rFonts w:ascii="CAIXA Std Book" w:hAnsi="CAIXA Std Book" w:cs="Calibri"/>
                <w:color w:val="005CA9"/>
                <w:sz w:val="18"/>
                <w:szCs w:val="18"/>
              </w:rPr>
              <w:t>109.733.553</w:t>
            </w:r>
          </w:p>
        </w:tc>
        <w:tc>
          <w:tcPr>
            <w:tcW w:w="553" w:type="pct"/>
            <w:tcBorders>
              <w:top w:val="nil"/>
              <w:left w:val="nil"/>
              <w:right w:val="nil"/>
            </w:tcBorders>
            <w:noWrap/>
            <w:tcMar>
              <w:top w:w="15" w:type="dxa"/>
              <w:left w:w="15" w:type="dxa"/>
              <w:bottom w:w="0" w:type="dxa"/>
              <w:right w:w="15" w:type="dxa"/>
            </w:tcMar>
            <w:vAlign w:val="center"/>
          </w:tcPr>
          <w:p w14:paraId="2BB7125C" w14:textId="123DAC79" w:rsidR="004D61E4" w:rsidRPr="00571FEE" w:rsidRDefault="00571FEE" w:rsidP="00B35D64">
            <w:pPr>
              <w:jc w:val="right"/>
              <w:rPr>
                <w:rFonts w:ascii="CAIXA Std Book" w:hAnsi="CAIXA Std Book" w:cs="Calibri"/>
                <w:color w:val="005CA9"/>
                <w:sz w:val="18"/>
                <w:szCs w:val="18"/>
              </w:rPr>
            </w:pPr>
            <w:r>
              <w:rPr>
                <w:rFonts w:ascii="CAIXA Std Book" w:hAnsi="CAIXA Std Book" w:cs="Calibri"/>
                <w:color w:val="005CA9"/>
                <w:sz w:val="18"/>
                <w:szCs w:val="18"/>
              </w:rPr>
              <w:t>(4.692.423)</w:t>
            </w:r>
          </w:p>
        </w:tc>
        <w:tc>
          <w:tcPr>
            <w:tcW w:w="554" w:type="pct"/>
            <w:tcBorders>
              <w:top w:val="nil"/>
              <w:left w:val="nil"/>
              <w:right w:val="nil"/>
            </w:tcBorders>
            <w:noWrap/>
            <w:tcMar>
              <w:top w:w="15" w:type="dxa"/>
              <w:left w:w="15" w:type="dxa"/>
              <w:bottom w:w="0" w:type="dxa"/>
              <w:right w:w="15" w:type="dxa"/>
            </w:tcMar>
            <w:vAlign w:val="center"/>
          </w:tcPr>
          <w:p w14:paraId="29481B48" w14:textId="630E5ADF" w:rsidR="004D61E4" w:rsidRDefault="00571FEE" w:rsidP="00B35D64">
            <w:pPr>
              <w:jc w:val="right"/>
              <w:rPr>
                <w:rFonts w:ascii="CAIXA Std Book" w:hAnsi="CAIXA Std Book"/>
                <w:color w:val="005CA9"/>
                <w:sz w:val="18"/>
                <w:szCs w:val="18"/>
              </w:rPr>
            </w:pPr>
            <w:r>
              <w:rPr>
                <w:rFonts w:ascii="CAIXA Std Book" w:hAnsi="CAIXA Std Book" w:cs="Calibri"/>
                <w:color w:val="005CA9"/>
                <w:sz w:val="18"/>
                <w:szCs w:val="18"/>
              </w:rPr>
              <w:t>105.041.130</w:t>
            </w:r>
          </w:p>
        </w:tc>
        <w:tc>
          <w:tcPr>
            <w:tcW w:w="553" w:type="pct"/>
            <w:tcBorders>
              <w:top w:val="nil"/>
              <w:left w:val="nil"/>
              <w:right w:val="nil"/>
            </w:tcBorders>
            <w:noWrap/>
            <w:tcMar>
              <w:top w:w="15" w:type="dxa"/>
              <w:left w:w="15" w:type="dxa"/>
              <w:bottom w:w="0" w:type="dxa"/>
              <w:right w:w="15" w:type="dxa"/>
            </w:tcMar>
            <w:vAlign w:val="center"/>
          </w:tcPr>
          <w:p w14:paraId="4E4B540D" w14:textId="55638DC2" w:rsidR="004D61E4" w:rsidRPr="006B4B37" w:rsidRDefault="009842D3" w:rsidP="004D61E4">
            <w:pPr>
              <w:jc w:val="right"/>
              <w:rPr>
                <w:rFonts w:ascii="CAIXA Std Book" w:hAnsi="CAIXA Std Book" w:cs="Calibri"/>
                <w:color w:val="005CA9"/>
                <w:sz w:val="18"/>
                <w:szCs w:val="18"/>
              </w:rPr>
            </w:pPr>
            <w:r>
              <w:rPr>
                <w:rFonts w:ascii="CAIXA Std Book" w:hAnsi="CAIXA Std Book" w:cs="Calibri"/>
                <w:color w:val="005CA9"/>
                <w:sz w:val="18"/>
                <w:szCs w:val="18"/>
              </w:rPr>
              <w:t>110.146.098</w:t>
            </w:r>
          </w:p>
        </w:tc>
        <w:tc>
          <w:tcPr>
            <w:tcW w:w="553" w:type="pct"/>
            <w:tcBorders>
              <w:top w:val="nil"/>
              <w:left w:val="nil"/>
              <w:right w:val="nil"/>
            </w:tcBorders>
            <w:noWrap/>
            <w:tcMar>
              <w:top w:w="15" w:type="dxa"/>
              <w:left w:w="15" w:type="dxa"/>
              <w:bottom w:w="0" w:type="dxa"/>
              <w:right w:w="15" w:type="dxa"/>
            </w:tcMar>
            <w:vAlign w:val="center"/>
          </w:tcPr>
          <w:p w14:paraId="3AE447B9" w14:textId="6EA1717A" w:rsidR="004D61E4" w:rsidRPr="00417332" w:rsidRDefault="009842D3" w:rsidP="004D61E4">
            <w:pPr>
              <w:jc w:val="right"/>
              <w:rPr>
                <w:rFonts w:ascii="CAIXA Std Book" w:hAnsi="CAIXA Std Book" w:cs="Calibri"/>
                <w:color w:val="005CA9"/>
                <w:sz w:val="18"/>
                <w:szCs w:val="18"/>
              </w:rPr>
            </w:pPr>
            <w:r>
              <w:rPr>
                <w:rFonts w:ascii="CAIXA Std Book" w:hAnsi="CAIXA Std Book" w:cs="Calibri"/>
                <w:color w:val="005CA9"/>
                <w:sz w:val="18"/>
                <w:szCs w:val="18"/>
              </w:rPr>
              <w:t>(4.812.460)</w:t>
            </w:r>
          </w:p>
        </w:tc>
        <w:tc>
          <w:tcPr>
            <w:tcW w:w="554" w:type="pct"/>
            <w:tcBorders>
              <w:top w:val="nil"/>
              <w:left w:val="nil"/>
              <w:right w:val="nil"/>
            </w:tcBorders>
            <w:noWrap/>
            <w:tcMar>
              <w:top w:w="15" w:type="dxa"/>
              <w:left w:w="15" w:type="dxa"/>
              <w:bottom w:w="0" w:type="dxa"/>
              <w:right w:w="15" w:type="dxa"/>
            </w:tcMar>
            <w:vAlign w:val="center"/>
          </w:tcPr>
          <w:p w14:paraId="62A0453E" w14:textId="7326AC69" w:rsidR="004D61E4" w:rsidRPr="00417332" w:rsidRDefault="00417332" w:rsidP="004D61E4">
            <w:pPr>
              <w:jc w:val="right"/>
              <w:rPr>
                <w:rFonts w:ascii="CAIXA Std Book" w:hAnsi="CAIXA Std Book" w:cs="Calibri"/>
                <w:color w:val="005CA9"/>
                <w:sz w:val="18"/>
                <w:szCs w:val="18"/>
              </w:rPr>
            </w:pPr>
            <w:r>
              <w:rPr>
                <w:rFonts w:ascii="CAIXA Std Book" w:hAnsi="CAIXA Std Book" w:cs="Calibri"/>
                <w:color w:val="005CA9"/>
                <w:sz w:val="18"/>
                <w:szCs w:val="18"/>
              </w:rPr>
              <w:t>105.</w:t>
            </w:r>
            <w:r w:rsidR="009842D3">
              <w:rPr>
                <w:rFonts w:ascii="CAIXA Std Book" w:hAnsi="CAIXA Std Book" w:cs="Calibri"/>
                <w:color w:val="005CA9"/>
                <w:sz w:val="18"/>
                <w:szCs w:val="18"/>
              </w:rPr>
              <w:t>333.638</w:t>
            </w:r>
          </w:p>
        </w:tc>
      </w:tr>
      <w:tr w:rsidR="0015386D" w14:paraId="21118B5B" w14:textId="77777777" w:rsidTr="00E96052">
        <w:trPr>
          <w:trHeight w:val="283"/>
        </w:trPr>
        <w:tc>
          <w:tcPr>
            <w:tcW w:w="1680" w:type="pct"/>
            <w:tcBorders>
              <w:top w:val="nil"/>
              <w:left w:val="nil"/>
              <w:right w:val="nil"/>
            </w:tcBorders>
            <w:noWrap/>
            <w:tcMar>
              <w:top w:w="15" w:type="dxa"/>
              <w:left w:w="15" w:type="dxa"/>
              <w:bottom w:w="0" w:type="dxa"/>
              <w:right w:w="15" w:type="dxa"/>
            </w:tcMar>
            <w:vAlign w:val="center"/>
            <w:hideMark/>
          </w:tcPr>
          <w:p w14:paraId="7D16567C" w14:textId="77777777" w:rsidR="004D61E4" w:rsidRDefault="004D61E4" w:rsidP="004D61E4">
            <w:pPr>
              <w:rPr>
                <w:rFonts w:ascii="CAIXA Std Book" w:hAnsi="CAIXA Std Book"/>
                <w:color w:val="005CA9"/>
                <w:sz w:val="18"/>
                <w:szCs w:val="18"/>
              </w:rPr>
            </w:pPr>
            <w:r>
              <w:rPr>
                <w:rFonts w:ascii="CAIXA Std Book" w:hAnsi="CAIXA Std Book"/>
                <w:color w:val="005CA9"/>
                <w:sz w:val="18"/>
                <w:szCs w:val="18"/>
              </w:rPr>
              <w:t>Cessão de créditos</w:t>
            </w:r>
          </w:p>
        </w:tc>
        <w:tc>
          <w:tcPr>
            <w:tcW w:w="553" w:type="pct"/>
            <w:tcBorders>
              <w:top w:val="nil"/>
              <w:left w:val="nil"/>
              <w:right w:val="nil"/>
            </w:tcBorders>
            <w:noWrap/>
            <w:tcMar>
              <w:top w:w="15" w:type="dxa"/>
              <w:left w:w="15" w:type="dxa"/>
              <w:bottom w:w="0" w:type="dxa"/>
              <w:right w:w="15" w:type="dxa"/>
            </w:tcMar>
            <w:vAlign w:val="center"/>
          </w:tcPr>
          <w:p w14:paraId="5D00BEB8" w14:textId="156D6304" w:rsidR="004D61E4" w:rsidRPr="00571FEE" w:rsidRDefault="00571FEE" w:rsidP="00B35D64">
            <w:pPr>
              <w:jc w:val="right"/>
              <w:rPr>
                <w:rFonts w:ascii="CAIXA Std Book" w:hAnsi="CAIXA Std Book" w:cs="Calibri"/>
                <w:color w:val="005CA9"/>
                <w:sz w:val="18"/>
                <w:szCs w:val="18"/>
              </w:rPr>
            </w:pPr>
            <w:r w:rsidRPr="00571FEE">
              <w:rPr>
                <w:rFonts w:ascii="CAIXA Std Book" w:hAnsi="CAIXA Std Book" w:cs="Calibri"/>
                <w:color w:val="005CA9"/>
                <w:sz w:val="18"/>
                <w:szCs w:val="18"/>
              </w:rPr>
              <w:t>2.753.15</w:t>
            </w:r>
            <w:r w:rsidR="00DB3C6A">
              <w:rPr>
                <w:rFonts w:ascii="CAIXA Std Book" w:hAnsi="CAIXA Std Book" w:cs="Calibri"/>
                <w:color w:val="005CA9"/>
                <w:sz w:val="18"/>
                <w:szCs w:val="18"/>
              </w:rPr>
              <w:t>3</w:t>
            </w:r>
          </w:p>
        </w:tc>
        <w:tc>
          <w:tcPr>
            <w:tcW w:w="553" w:type="pct"/>
            <w:tcBorders>
              <w:top w:val="nil"/>
              <w:left w:val="nil"/>
              <w:right w:val="nil"/>
            </w:tcBorders>
            <w:noWrap/>
            <w:tcMar>
              <w:top w:w="15" w:type="dxa"/>
              <w:left w:w="15" w:type="dxa"/>
              <w:bottom w:w="0" w:type="dxa"/>
              <w:right w:w="15" w:type="dxa"/>
            </w:tcMar>
            <w:vAlign w:val="center"/>
          </w:tcPr>
          <w:p w14:paraId="00A17370" w14:textId="61AA8E3F" w:rsidR="004D61E4" w:rsidRPr="00571FEE" w:rsidRDefault="00571FEE" w:rsidP="00B35D64">
            <w:pPr>
              <w:jc w:val="right"/>
              <w:rPr>
                <w:rFonts w:ascii="CAIXA Std Book" w:hAnsi="CAIXA Std Book" w:cs="Calibri"/>
                <w:color w:val="005CA9"/>
                <w:sz w:val="18"/>
                <w:szCs w:val="18"/>
              </w:rPr>
            </w:pPr>
            <w:r>
              <w:rPr>
                <w:rFonts w:ascii="CAIXA Std Book" w:hAnsi="CAIXA Std Book" w:cs="Calibri"/>
                <w:color w:val="005CA9"/>
                <w:sz w:val="18"/>
                <w:szCs w:val="18"/>
              </w:rPr>
              <w:t>(26.894)</w:t>
            </w:r>
          </w:p>
        </w:tc>
        <w:tc>
          <w:tcPr>
            <w:tcW w:w="554" w:type="pct"/>
            <w:tcBorders>
              <w:top w:val="nil"/>
              <w:left w:val="nil"/>
              <w:right w:val="nil"/>
            </w:tcBorders>
            <w:noWrap/>
            <w:tcMar>
              <w:top w:w="15" w:type="dxa"/>
              <w:left w:w="15" w:type="dxa"/>
              <w:bottom w:w="0" w:type="dxa"/>
              <w:right w:w="15" w:type="dxa"/>
            </w:tcMar>
            <w:vAlign w:val="center"/>
          </w:tcPr>
          <w:p w14:paraId="4CD633F4" w14:textId="67200451" w:rsidR="004D61E4" w:rsidRDefault="00571FEE" w:rsidP="00B35D64">
            <w:pPr>
              <w:jc w:val="right"/>
              <w:rPr>
                <w:rFonts w:ascii="CAIXA Std Book" w:hAnsi="CAIXA Std Book"/>
                <w:color w:val="005CA9"/>
                <w:sz w:val="18"/>
                <w:szCs w:val="18"/>
              </w:rPr>
            </w:pPr>
            <w:r>
              <w:rPr>
                <w:rFonts w:ascii="CAIXA Std Book" w:hAnsi="CAIXA Std Book" w:cs="Calibri"/>
                <w:color w:val="005CA9"/>
                <w:sz w:val="18"/>
                <w:szCs w:val="18"/>
              </w:rPr>
              <w:t>2.726.259</w:t>
            </w:r>
          </w:p>
        </w:tc>
        <w:tc>
          <w:tcPr>
            <w:tcW w:w="553" w:type="pct"/>
            <w:tcBorders>
              <w:top w:val="nil"/>
              <w:left w:val="nil"/>
              <w:right w:val="nil"/>
            </w:tcBorders>
            <w:noWrap/>
            <w:tcMar>
              <w:top w:w="15" w:type="dxa"/>
              <w:left w:w="15" w:type="dxa"/>
              <w:bottom w:w="0" w:type="dxa"/>
              <w:right w:w="15" w:type="dxa"/>
            </w:tcMar>
            <w:vAlign w:val="center"/>
          </w:tcPr>
          <w:p w14:paraId="5093EE2F" w14:textId="022D671F" w:rsidR="004D61E4" w:rsidRPr="006B4B37" w:rsidRDefault="009842D3" w:rsidP="004D61E4">
            <w:pPr>
              <w:jc w:val="right"/>
              <w:rPr>
                <w:rFonts w:ascii="CAIXA Std Book" w:hAnsi="CAIXA Std Book" w:cs="Calibri"/>
                <w:color w:val="005CA9"/>
                <w:sz w:val="18"/>
                <w:szCs w:val="18"/>
              </w:rPr>
            </w:pPr>
            <w:r>
              <w:rPr>
                <w:rFonts w:ascii="CAIXA Std Book" w:hAnsi="CAIXA Std Book" w:cs="Calibri"/>
                <w:color w:val="005CA9"/>
                <w:sz w:val="18"/>
                <w:szCs w:val="18"/>
              </w:rPr>
              <w:t>2.870.790</w:t>
            </w:r>
          </w:p>
        </w:tc>
        <w:tc>
          <w:tcPr>
            <w:tcW w:w="553" w:type="pct"/>
            <w:tcBorders>
              <w:top w:val="nil"/>
              <w:left w:val="nil"/>
              <w:right w:val="nil"/>
            </w:tcBorders>
            <w:noWrap/>
            <w:tcMar>
              <w:top w:w="15" w:type="dxa"/>
              <w:left w:w="15" w:type="dxa"/>
              <w:bottom w:w="0" w:type="dxa"/>
              <w:right w:w="15" w:type="dxa"/>
            </w:tcMar>
            <w:vAlign w:val="center"/>
          </w:tcPr>
          <w:p w14:paraId="56255E82" w14:textId="169EA231" w:rsidR="004D61E4" w:rsidRPr="00417332" w:rsidRDefault="009842D3" w:rsidP="004D61E4">
            <w:pPr>
              <w:jc w:val="right"/>
              <w:rPr>
                <w:rFonts w:ascii="CAIXA Std Book" w:hAnsi="CAIXA Std Book" w:cs="Calibri"/>
                <w:color w:val="005CA9"/>
                <w:sz w:val="18"/>
                <w:szCs w:val="18"/>
              </w:rPr>
            </w:pPr>
            <w:r>
              <w:rPr>
                <w:rFonts w:ascii="CAIXA Std Book" w:hAnsi="CAIXA Std Book" w:cs="Calibri"/>
                <w:color w:val="005CA9"/>
                <w:sz w:val="18"/>
                <w:szCs w:val="18"/>
              </w:rPr>
              <w:t>(26.325)</w:t>
            </w:r>
          </w:p>
        </w:tc>
        <w:tc>
          <w:tcPr>
            <w:tcW w:w="554" w:type="pct"/>
            <w:tcBorders>
              <w:top w:val="nil"/>
              <w:left w:val="nil"/>
              <w:right w:val="nil"/>
            </w:tcBorders>
            <w:noWrap/>
            <w:tcMar>
              <w:top w:w="15" w:type="dxa"/>
              <w:left w:w="15" w:type="dxa"/>
              <w:bottom w:w="0" w:type="dxa"/>
              <w:right w:w="15" w:type="dxa"/>
            </w:tcMar>
            <w:vAlign w:val="center"/>
          </w:tcPr>
          <w:p w14:paraId="72A78E78" w14:textId="2AC693D8" w:rsidR="004D61E4" w:rsidRPr="00417332" w:rsidRDefault="009842D3" w:rsidP="004D61E4">
            <w:pPr>
              <w:jc w:val="right"/>
              <w:rPr>
                <w:rFonts w:ascii="CAIXA Std Book" w:hAnsi="CAIXA Std Book" w:cs="Calibri"/>
                <w:color w:val="005CA9"/>
                <w:sz w:val="18"/>
                <w:szCs w:val="18"/>
              </w:rPr>
            </w:pPr>
            <w:r>
              <w:rPr>
                <w:rFonts w:ascii="CAIXA Std Book" w:hAnsi="CAIXA Std Book" w:cs="Calibri"/>
                <w:color w:val="005CA9"/>
                <w:sz w:val="18"/>
                <w:szCs w:val="18"/>
              </w:rPr>
              <w:t>2.844.465</w:t>
            </w:r>
          </w:p>
        </w:tc>
      </w:tr>
      <w:tr w:rsidR="0015386D" w14:paraId="1385C746" w14:textId="77777777" w:rsidTr="00E96052">
        <w:trPr>
          <w:trHeight w:val="283"/>
        </w:trPr>
        <w:tc>
          <w:tcPr>
            <w:tcW w:w="1680" w:type="pct"/>
            <w:tcBorders>
              <w:top w:val="nil"/>
              <w:left w:val="nil"/>
              <w:right w:val="nil"/>
            </w:tcBorders>
            <w:noWrap/>
            <w:tcMar>
              <w:top w:w="15" w:type="dxa"/>
              <w:left w:w="15" w:type="dxa"/>
              <w:bottom w:w="0" w:type="dxa"/>
              <w:right w:w="15" w:type="dxa"/>
            </w:tcMar>
            <w:vAlign w:val="center"/>
            <w:hideMark/>
          </w:tcPr>
          <w:p w14:paraId="391BDBFB" w14:textId="77777777" w:rsidR="004D61E4" w:rsidRDefault="004D61E4" w:rsidP="004D61E4">
            <w:pPr>
              <w:rPr>
                <w:rFonts w:ascii="CAIXA Std Book" w:hAnsi="CAIXA Std Book"/>
                <w:color w:val="005CA9"/>
                <w:sz w:val="18"/>
                <w:szCs w:val="18"/>
              </w:rPr>
            </w:pPr>
            <w:r>
              <w:rPr>
                <w:rFonts w:ascii="CAIXA Std Book" w:hAnsi="CAIXA Std Book"/>
                <w:color w:val="005CA9"/>
                <w:sz w:val="18"/>
                <w:szCs w:val="18"/>
              </w:rPr>
              <w:t>Outros ativos com características de concessão de crédito</w:t>
            </w:r>
          </w:p>
        </w:tc>
        <w:tc>
          <w:tcPr>
            <w:tcW w:w="553" w:type="pct"/>
            <w:tcBorders>
              <w:top w:val="nil"/>
              <w:left w:val="nil"/>
              <w:right w:val="nil"/>
            </w:tcBorders>
            <w:noWrap/>
            <w:tcMar>
              <w:top w:w="15" w:type="dxa"/>
              <w:left w:w="15" w:type="dxa"/>
              <w:bottom w:w="0" w:type="dxa"/>
              <w:right w:w="15" w:type="dxa"/>
            </w:tcMar>
            <w:vAlign w:val="center"/>
          </w:tcPr>
          <w:p w14:paraId="7CD2EF51" w14:textId="525273D0" w:rsidR="004D61E4" w:rsidRDefault="00571FEE" w:rsidP="00B35D64">
            <w:pPr>
              <w:jc w:val="right"/>
              <w:rPr>
                <w:rFonts w:ascii="CAIXA Std Book" w:hAnsi="CAIXA Std Book"/>
                <w:color w:val="005CA9"/>
                <w:sz w:val="18"/>
                <w:szCs w:val="18"/>
              </w:rPr>
            </w:pPr>
            <w:r>
              <w:rPr>
                <w:rFonts w:ascii="CAIXA Std Book" w:hAnsi="CAIXA Std Book" w:cs="Calibri"/>
                <w:color w:val="005CA9"/>
                <w:sz w:val="18"/>
                <w:szCs w:val="18"/>
              </w:rPr>
              <w:t>2.946.511</w:t>
            </w:r>
          </w:p>
        </w:tc>
        <w:tc>
          <w:tcPr>
            <w:tcW w:w="553" w:type="pct"/>
            <w:tcBorders>
              <w:top w:val="nil"/>
              <w:left w:val="nil"/>
              <w:right w:val="nil"/>
            </w:tcBorders>
            <w:noWrap/>
            <w:tcMar>
              <w:top w:w="15" w:type="dxa"/>
              <w:left w:w="15" w:type="dxa"/>
              <w:bottom w:w="0" w:type="dxa"/>
              <w:right w:w="15" w:type="dxa"/>
            </w:tcMar>
            <w:vAlign w:val="center"/>
          </w:tcPr>
          <w:p w14:paraId="4333ED0A" w14:textId="4031CAFA" w:rsidR="004D61E4" w:rsidRDefault="00571FEE" w:rsidP="00B35D64">
            <w:pPr>
              <w:jc w:val="right"/>
              <w:rPr>
                <w:rFonts w:ascii="CAIXA Std Book" w:hAnsi="CAIXA Std Book"/>
                <w:color w:val="005CA9"/>
                <w:sz w:val="18"/>
                <w:szCs w:val="18"/>
              </w:rPr>
            </w:pPr>
            <w:r>
              <w:rPr>
                <w:rFonts w:ascii="CAIXA Std Book" w:hAnsi="CAIXA Std Book" w:cs="Calibri"/>
                <w:color w:val="005CA9"/>
                <w:sz w:val="18"/>
                <w:szCs w:val="18"/>
              </w:rPr>
              <w:t>(168.423)</w:t>
            </w:r>
          </w:p>
        </w:tc>
        <w:tc>
          <w:tcPr>
            <w:tcW w:w="554" w:type="pct"/>
            <w:tcBorders>
              <w:top w:val="nil"/>
              <w:left w:val="nil"/>
              <w:right w:val="nil"/>
            </w:tcBorders>
            <w:noWrap/>
            <w:tcMar>
              <w:top w:w="15" w:type="dxa"/>
              <w:left w:w="15" w:type="dxa"/>
              <w:bottom w:w="0" w:type="dxa"/>
              <w:right w:w="15" w:type="dxa"/>
            </w:tcMar>
            <w:vAlign w:val="center"/>
          </w:tcPr>
          <w:p w14:paraId="3A1960CA" w14:textId="5144BF8C" w:rsidR="004D61E4" w:rsidRDefault="00571FEE" w:rsidP="00B35D64">
            <w:pPr>
              <w:jc w:val="right"/>
              <w:rPr>
                <w:rFonts w:ascii="CAIXA Std Book" w:hAnsi="CAIXA Std Book"/>
                <w:color w:val="005CA9"/>
                <w:sz w:val="18"/>
                <w:szCs w:val="18"/>
              </w:rPr>
            </w:pPr>
            <w:r>
              <w:rPr>
                <w:rFonts w:ascii="CAIXA Std Book" w:hAnsi="CAIXA Std Book" w:cs="Calibri"/>
                <w:color w:val="005CA9"/>
                <w:sz w:val="18"/>
                <w:szCs w:val="18"/>
              </w:rPr>
              <w:t>2.778.088</w:t>
            </w:r>
          </w:p>
        </w:tc>
        <w:tc>
          <w:tcPr>
            <w:tcW w:w="553" w:type="pct"/>
            <w:tcBorders>
              <w:top w:val="nil"/>
              <w:left w:val="nil"/>
              <w:right w:val="nil"/>
            </w:tcBorders>
            <w:noWrap/>
            <w:tcMar>
              <w:top w:w="15" w:type="dxa"/>
              <w:left w:w="15" w:type="dxa"/>
              <w:bottom w:w="0" w:type="dxa"/>
              <w:right w:w="15" w:type="dxa"/>
            </w:tcMar>
            <w:vAlign w:val="center"/>
          </w:tcPr>
          <w:p w14:paraId="7AA2FC26" w14:textId="0B834B30" w:rsidR="004D61E4" w:rsidRPr="006B4B37" w:rsidRDefault="009842D3" w:rsidP="004D61E4">
            <w:pPr>
              <w:jc w:val="right"/>
              <w:rPr>
                <w:rFonts w:ascii="CAIXA Std Book" w:hAnsi="CAIXA Std Book" w:cs="Calibri"/>
                <w:color w:val="005CA9"/>
                <w:sz w:val="18"/>
                <w:szCs w:val="18"/>
              </w:rPr>
            </w:pPr>
            <w:r>
              <w:rPr>
                <w:rFonts w:ascii="CAIXA Std Book" w:hAnsi="CAIXA Std Book" w:cs="Calibri"/>
                <w:color w:val="005CA9"/>
                <w:sz w:val="18"/>
                <w:szCs w:val="18"/>
              </w:rPr>
              <w:t>3.132.122</w:t>
            </w:r>
          </w:p>
        </w:tc>
        <w:tc>
          <w:tcPr>
            <w:tcW w:w="553" w:type="pct"/>
            <w:tcBorders>
              <w:top w:val="nil"/>
              <w:left w:val="nil"/>
              <w:right w:val="nil"/>
            </w:tcBorders>
            <w:noWrap/>
            <w:tcMar>
              <w:top w:w="15" w:type="dxa"/>
              <w:left w:w="15" w:type="dxa"/>
              <w:bottom w:w="0" w:type="dxa"/>
              <w:right w:w="15" w:type="dxa"/>
            </w:tcMar>
            <w:vAlign w:val="center"/>
          </w:tcPr>
          <w:p w14:paraId="59B024AE" w14:textId="5517FE43" w:rsidR="004D61E4" w:rsidRPr="00417332" w:rsidRDefault="009842D3" w:rsidP="004D61E4">
            <w:pPr>
              <w:jc w:val="right"/>
              <w:rPr>
                <w:rFonts w:ascii="CAIXA Std Book" w:hAnsi="CAIXA Std Book" w:cs="Calibri"/>
                <w:color w:val="005CA9"/>
                <w:sz w:val="18"/>
                <w:szCs w:val="18"/>
              </w:rPr>
            </w:pPr>
            <w:r>
              <w:rPr>
                <w:rFonts w:ascii="CAIXA Std Book" w:hAnsi="CAIXA Std Book" w:cs="Calibri"/>
                <w:color w:val="005CA9"/>
                <w:sz w:val="18"/>
                <w:szCs w:val="18"/>
              </w:rPr>
              <w:t>(269.870)</w:t>
            </w:r>
          </w:p>
        </w:tc>
        <w:tc>
          <w:tcPr>
            <w:tcW w:w="554" w:type="pct"/>
            <w:tcBorders>
              <w:top w:val="nil"/>
              <w:left w:val="nil"/>
              <w:right w:val="nil"/>
            </w:tcBorders>
            <w:noWrap/>
            <w:tcMar>
              <w:top w:w="15" w:type="dxa"/>
              <w:left w:w="15" w:type="dxa"/>
              <w:bottom w:w="0" w:type="dxa"/>
              <w:right w:w="15" w:type="dxa"/>
            </w:tcMar>
            <w:vAlign w:val="center"/>
          </w:tcPr>
          <w:p w14:paraId="557C102F" w14:textId="61D52A28" w:rsidR="004D61E4" w:rsidRPr="00417332" w:rsidRDefault="009842D3" w:rsidP="004D61E4">
            <w:pPr>
              <w:jc w:val="right"/>
              <w:rPr>
                <w:rFonts w:ascii="CAIXA Std Book" w:hAnsi="CAIXA Std Book" w:cs="Calibri"/>
                <w:color w:val="005CA9"/>
                <w:sz w:val="18"/>
                <w:szCs w:val="18"/>
              </w:rPr>
            </w:pPr>
            <w:r>
              <w:rPr>
                <w:rFonts w:ascii="CAIXA Std Book" w:hAnsi="CAIXA Std Book" w:cs="Calibri"/>
                <w:color w:val="005CA9"/>
                <w:sz w:val="18"/>
                <w:szCs w:val="18"/>
              </w:rPr>
              <w:t>2.862.252</w:t>
            </w:r>
          </w:p>
        </w:tc>
      </w:tr>
      <w:tr w:rsidR="007D6CEB" w14:paraId="18A9BF6E" w14:textId="77777777" w:rsidTr="00E96052">
        <w:trPr>
          <w:trHeight w:val="283"/>
        </w:trPr>
        <w:tc>
          <w:tcPr>
            <w:tcW w:w="1680" w:type="pct"/>
            <w:tcBorders>
              <w:left w:val="nil"/>
              <w:bottom w:val="single" w:sz="8" w:space="0" w:color="FFFFFF"/>
              <w:right w:val="nil"/>
            </w:tcBorders>
            <w:shd w:val="clear" w:color="auto" w:fill="005CA9"/>
            <w:noWrap/>
            <w:tcMar>
              <w:top w:w="15" w:type="dxa"/>
              <w:left w:w="15" w:type="dxa"/>
              <w:bottom w:w="0" w:type="dxa"/>
              <w:right w:w="15" w:type="dxa"/>
            </w:tcMar>
            <w:vAlign w:val="center"/>
            <w:hideMark/>
          </w:tcPr>
          <w:p w14:paraId="0E3A8700" w14:textId="77777777" w:rsidR="004D61E4" w:rsidRDefault="004D61E4" w:rsidP="004D61E4">
            <w:pPr>
              <w:rPr>
                <w:rFonts w:ascii="CAIXA Std Book" w:hAnsi="CAIXA Std Book"/>
                <w:b/>
                <w:bCs/>
                <w:color w:val="FFFFFF"/>
                <w:sz w:val="18"/>
                <w:szCs w:val="18"/>
              </w:rPr>
            </w:pPr>
            <w:r>
              <w:rPr>
                <w:rFonts w:ascii="CAIXA Std Book" w:hAnsi="CAIXA Std Book"/>
                <w:b/>
                <w:bCs/>
                <w:color w:val="FFFFFF"/>
                <w:sz w:val="18"/>
                <w:szCs w:val="18"/>
              </w:rPr>
              <w:t>Total</w:t>
            </w:r>
          </w:p>
        </w:tc>
        <w:tc>
          <w:tcPr>
            <w:tcW w:w="553" w:type="pct"/>
            <w:tcBorders>
              <w:left w:val="nil"/>
              <w:bottom w:val="nil"/>
              <w:right w:val="nil"/>
            </w:tcBorders>
            <w:shd w:val="clear" w:color="auto" w:fill="005CA9"/>
            <w:noWrap/>
            <w:tcMar>
              <w:top w:w="15" w:type="dxa"/>
              <w:left w:w="15" w:type="dxa"/>
              <w:bottom w:w="0" w:type="dxa"/>
              <w:right w:w="15" w:type="dxa"/>
            </w:tcMar>
            <w:vAlign w:val="center"/>
          </w:tcPr>
          <w:p w14:paraId="7659B1CF" w14:textId="1A9C71A4" w:rsidR="004D61E4" w:rsidRDefault="00571FEE" w:rsidP="00B35D64">
            <w:pPr>
              <w:jc w:val="right"/>
              <w:rPr>
                <w:rFonts w:ascii="CAIXA Std Book" w:hAnsi="CAIXA Std Book"/>
                <w:b/>
                <w:bCs/>
                <w:color w:val="FFFFFF"/>
                <w:sz w:val="18"/>
                <w:szCs w:val="18"/>
              </w:rPr>
            </w:pPr>
            <w:r>
              <w:rPr>
                <w:rFonts w:ascii="CAIXA Std Book" w:hAnsi="CAIXA Std Book" w:cs="Calibri"/>
                <w:b/>
                <w:bCs/>
                <w:color w:val="FFFFFF"/>
                <w:sz w:val="18"/>
                <w:szCs w:val="18"/>
              </w:rPr>
              <w:t>1.391.815.308</w:t>
            </w:r>
          </w:p>
        </w:tc>
        <w:tc>
          <w:tcPr>
            <w:tcW w:w="553" w:type="pct"/>
            <w:tcBorders>
              <w:left w:val="nil"/>
              <w:bottom w:val="nil"/>
              <w:right w:val="nil"/>
            </w:tcBorders>
            <w:shd w:val="clear" w:color="auto" w:fill="005CA9"/>
            <w:noWrap/>
            <w:tcMar>
              <w:top w:w="15" w:type="dxa"/>
              <w:left w:w="15" w:type="dxa"/>
              <w:bottom w:w="0" w:type="dxa"/>
              <w:right w:w="15" w:type="dxa"/>
            </w:tcMar>
            <w:vAlign w:val="center"/>
          </w:tcPr>
          <w:p w14:paraId="6A0755D9" w14:textId="32BEB643" w:rsidR="004D61E4" w:rsidRDefault="00571FEE" w:rsidP="00B35D64">
            <w:pPr>
              <w:jc w:val="right"/>
              <w:rPr>
                <w:rFonts w:ascii="CAIXA Std Book" w:hAnsi="CAIXA Std Book"/>
                <w:b/>
                <w:bCs/>
                <w:color w:val="FFFFFF"/>
                <w:sz w:val="18"/>
                <w:szCs w:val="18"/>
              </w:rPr>
            </w:pPr>
            <w:r>
              <w:rPr>
                <w:rFonts w:ascii="CAIXA Std Book" w:hAnsi="CAIXA Std Book" w:cs="Calibri"/>
                <w:b/>
                <w:bCs/>
                <w:color w:val="FFFFFF"/>
                <w:sz w:val="18"/>
                <w:szCs w:val="18"/>
              </w:rPr>
              <w:t>(65.478.898)</w:t>
            </w:r>
          </w:p>
        </w:tc>
        <w:tc>
          <w:tcPr>
            <w:tcW w:w="554" w:type="pct"/>
            <w:tcBorders>
              <w:left w:val="nil"/>
              <w:bottom w:val="nil"/>
              <w:right w:val="nil"/>
            </w:tcBorders>
            <w:shd w:val="clear" w:color="auto" w:fill="005CA9"/>
            <w:noWrap/>
            <w:tcMar>
              <w:top w:w="15" w:type="dxa"/>
              <w:left w:w="15" w:type="dxa"/>
              <w:bottom w:w="0" w:type="dxa"/>
              <w:right w:w="15" w:type="dxa"/>
            </w:tcMar>
            <w:vAlign w:val="center"/>
          </w:tcPr>
          <w:p w14:paraId="36754537" w14:textId="41D9A41D" w:rsidR="004D61E4" w:rsidRDefault="00571FEE" w:rsidP="00B35D64">
            <w:pPr>
              <w:jc w:val="right"/>
              <w:rPr>
                <w:rFonts w:ascii="CAIXA Std Book" w:hAnsi="CAIXA Std Book"/>
                <w:b/>
                <w:color w:val="FFFFFF"/>
                <w:sz w:val="18"/>
                <w:szCs w:val="18"/>
              </w:rPr>
            </w:pPr>
            <w:r>
              <w:rPr>
                <w:rFonts w:ascii="CAIXA Std Book" w:hAnsi="CAIXA Std Book" w:cs="Calibri"/>
                <w:b/>
                <w:bCs/>
                <w:color w:val="FFFFFF"/>
                <w:sz w:val="18"/>
                <w:szCs w:val="18"/>
              </w:rPr>
              <w:t>1.326.336.410</w:t>
            </w:r>
          </w:p>
        </w:tc>
        <w:tc>
          <w:tcPr>
            <w:tcW w:w="553" w:type="pct"/>
            <w:tcBorders>
              <w:left w:val="nil"/>
              <w:bottom w:val="nil"/>
              <w:right w:val="nil"/>
            </w:tcBorders>
            <w:shd w:val="clear" w:color="auto" w:fill="005CA9"/>
            <w:noWrap/>
            <w:tcMar>
              <w:top w:w="15" w:type="dxa"/>
              <w:left w:w="15" w:type="dxa"/>
              <w:bottom w:w="0" w:type="dxa"/>
              <w:right w:w="15" w:type="dxa"/>
            </w:tcMar>
            <w:vAlign w:val="center"/>
          </w:tcPr>
          <w:p w14:paraId="4BED3196" w14:textId="446074CE" w:rsidR="004D61E4" w:rsidRDefault="009842D3" w:rsidP="004E0812">
            <w:pPr>
              <w:jc w:val="right"/>
              <w:rPr>
                <w:rFonts w:ascii="CAIXA Std Book" w:hAnsi="CAIXA Std Book"/>
                <w:b/>
                <w:bCs/>
                <w:color w:val="FFFFFF"/>
                <w:sz w:val="18"/>
                <w:szCs w:val="18"/>
              </w:rPr>
            </w:pPr>
            <w:r>
              <w:rPr>
                <w:rFonts w:ascii="CAIXA Std Book" w:hAnsi="CAIXA Std Book" w:cs="Calibri"/>
                <w:b/>
                <w:bCs/>
                <w:color w:val="FFFFFF"/>
                <w:sz w:val="18"/>
                <w:szCs w:val="18"/>
              </w:rPr>
              <w:t>1.359.382.759</w:t>
            </w:r>
          </w:p>
        </w:tc>
        <w:tc>
          <w:tcPr>
            <w:tcW w:w="553" w:type="pct"/>
            <w:tcBorders>
              <w:left w:val="nil"/>
              <w:bottom w:val="nil"/>
              <w:right w:val="nil"/>
            </w:tcBorders>
            <w:shd w:val="clear" w:color="auto" w:fill="005CA9"/>
            <w:noWrap/>
            <w:tcMar>
              <w:top w:w="15" w:type="dxa"/>
              <w:left w:w="15" w:type="dxa"/>
              <w:bottom w:w="0" w:type="dxa"/>
              <w:right w:w="15" w:type="dxa"/>
            </w:tcMar>
            <w:vAlign w:val="center"/>
          </w:tcPr>
          <w:p w14:paraId="659422D4" w14:textId="660B894C" w:rsidR="004D61E4" w:rsidRDefault="009842D3" w:rsidP="004E0812">
            <w:pPr>
              <w:jc w:val="right"/>
              <w:rPr>
                <w:rFonts w:ascii="CAIXA Std Book" w:hAnsi="CAIXA Std Book"/>
                <w:b/>
                <w:bCs/>
                <w:color w:val="FFFFFF"/>
                <w:sz w:val="18"/>
                <w:szCs w:val="18"/>
              </w:rPr>
            </w:pPr>
            <w:r>
              <w:rPr>
                <w:rFonts w:ascii="CAIXA Std Book" w:hAnsi="CAIXA Std Book" w:cs="Calibri"/>
                <w:b/>
                <w:bCs/>
                <w:color w:val="FFFFFF"/>
                <w:sz w:val="18"/>
                <w:szCs w:val="18"/>
              </w:rPr>
              <w:t>(61.406.969)</w:t>
            </w:r>
          </w:p>
        </w:tc>
        <w:tc>
          <w:tcPr>
            <w:tcW w:w="554" w:type="pct"/>
            <w:tcBorders>
              <w:left w:val="nil"/>
              <w:bottom w:val="nil"/>
              <w:right w:val="nil"/>
            </w:tcBorders>
            <w:shd w:val="clear" w:color="auto" w:fill="005CA9"/>
            <w:noWrap/>
            <w:tcMar>
              <w:top w:w="15" w:type="dxa"/>
              <w:left w:w="15" w:type="dxa"/>
              <w:bottom w:w="0" w:type="dxa"/>
              <w:right w:w="15" w:type="dxa"/>
            </w:tcMar>
            <w:vAlign w:val="center"/>
          </w:tcPr>
          <w:p w14:paraId="7F0908F6" w14:textId="695E22B8" w:rsidR="004D61E4" w:rsidRDefault="009842D3" w:rsidP="00686734">
            <w:pPr>
              <w:jc w:val="right"/>
              <w:rPr>
                <w:rFonts w:ascii="CAIXA Std Book" w:hAnsi="CAIXA Std Book"/>
                <w:b/>
                <w:bCs/>
                <w:color w:val="FFFFFF"/>
                <w:sz w:val="18"/>
                <w:szCs w:val="18"/>
              </w:rPr>
            </w:pPr>
            <w:r>
              <w:rPr>
                <w:rFonts w:ascii="CAIXA Std Book" w:hAnsi="CAIXA Std Book" w:cs="Calibri"/>
                <w:b/>
                <w:bCs/>
                <w:color w:val="FFFFFF"/>
                <w:sz w:val="18"/>
                <w:szCs w:val="18"/>
              </w:rPr>
              <w:t>1.297.975.790</w:t>
            </w:r>
          </w:p>
        </w:tc>
      </w:tr>
    </w:tbl>
    <w:p w14:paraId="2A7979AD" w14:textId="7C591879" w:rsidR="0006624F" w:rsidRPr="00A267CC" w:rsidRDefault="0006624F" w:rsidP="0006624F">
      <w:pPr>
        <w:rPr>
          <w:rFonts w:ascii="CAIXA Std Book" w:hAnsi="CAIXA Std Book"/>
          <w:color w:val="005CA9"/>
          <w:sz w:val="16"/>
          <w:szCs w:val="16"/>
        </w:rPr>
      </w:pPr>
      <w:r w:rsidRPr="00A267CC">
        <w:rPr>
          <w:rFonts w:ascii="CAIXA Std Book" w:hAnsi="CAIXA Std Book"/>
          <w:color w:val="005CA9"/>
          <w:sz w:val="16"/>
          <w:szCs w:val="16"/>
        </w:rPr>
        <w:t xml:space="preserve">(1) </w:t>
      </w:r>
      <w:r>
        <w:rPr>
          <w:rFonts w:ascii="CAIXA Std Book" w:hAnsi="CAIXA Std Book"/>
          <w:color w:val="005CA9"/>
          <w:sz w:val="16"/>
          <w:szCs w:val="16"/>
        </w:rPr>
        <w:t xml:space="preserve">Contempla o </w:t>
      </w:r>
      <w:r w:rsidRPr="00566BEE">
        <w:rPr>
          <w:rFonts w:ascii="CAIXA Std Book" w:hAnsi="CAIXA Std Book"/>
          <w:i/>
          <w:color w:val="005CA9"/>
          <w:sz w:val="16"/>
          <w:szCs w:val="16"/>
        </w:rPr>
        <w:t>hedge</w:t>
      </w:r>
      <w:r w:rsidRPr="00A267CC">
        <w:rPr>
          <w:rFonts w:ascii="CAIXA Std Book" w:hAnsi="CAIXA Std Book"/>
          <w:color w:val="005CA9"/>
          <w:sz w:val="16"/>
          <w:szCs w:val="16"/>
        </w:rPr>
        <w:t xml:space="preserve"> em empréstimos e direitos creditórios descontados no montante </w:t>
      </w:r>
      <w:r w:rsidRPr="001D663F">
        <w:rPr>
          <w:rFonts w:ascii="CAIXA Std Book" w:hAnsi="CAIXA Std Book"/>
          <w:color w:val="005CA9"/>
          <w:sz w:val="16"/>
          <w:szCs w:val="16"/>
        </w:rPr>
        <w:t xml:space="preserve">R$ </w:t>
      </w:r>
      <w:r w:rsidR="00216C66">
        <w:rPr>
          <w:rFonts w:ascii="CAIXA Std Book" w:hAnsi="CAIXA Std Book"/>
          <w:color w:val="005CA9"/>
          <w:sz w:val="16"/>
          <w:szCs w:val="16"/>
        </w:rPr>
        <w:t>207.575</w:t>
      </w:r>
      <w:r w:rsidRPr="00A267CC">
        <w:rPr>
          <w:rFonts w:ascii="CAIXA Std Book" w:hAnsi="CAIXA Std Book"/>
          <w:color w:val="005CA9"/>
          <w:sz w:val="16"/>
          <w:szCs w:val="16"/>
        </w:rPr>
        <w:t xml:space="preserve"> </w:t>
      </w:r>
      <w:r w:rsidR="00C15DAC">
        <w:rPr>
          <w:rFonts w:ascii="CAIXA Std Book" w:hAnsi="CAIXA Std Book"/>
          <w:color w:val="005CA9"/>
          <w:sz w:val="16"/>
          <w:szCs w:val="16"/>
        </w:rPr>
        <w:t>(</w:t>
      </w:r>
      <w:r w:rsidR="00CA65BC">
        <w:rPr>
          <w:rFonts w:ascii="CAIXA Std Book" w:hAnsi="CAIXA Std Book"/>
          <w:color w:val="005CA9"/>
          <w:sz w:val="16"/>
          <w:szCs w:val="16"/>
        </w:rPr>
        <w:t>3</w:t>
      </w:r>
      <w:r w:rsidR="00565EF1">
        <w:rPr>
          <w:rFonts w:ascii="CAIXA Std Book" w:hAnsi="CAIXA Std Book"/>
          <w:color w:val="005CA9"/>
          <w:sz w:val="16"/>
          <w:szCs w:val="16"/>
        </w:rPr>
        <w:t>1</w:t>
      </w:r>
      <w:r w:rsidR="00CA65BC">
        <w:rPr>
          <w:rFonts w:ascii="CAIXA Std Book" w:hAnsi="CAIXA Std Book"/>
          <w:color w:val="005CA9"/>
          <w:sz w:val="16"/>
          <w:szCs w:val="16"/>
        </w:rPr>
        <w:t>/</w:t>
      </w:r>
      <w:r w:rsidR="0075549D">
        <w:rPr>
          <w:rFonts w:ascii="CAIXA Std Book" w:hAnsi="CAIXA Std Book"/>
          <w:color w:val="005CA9"/>
          <w:sz w:val="16"/>
          <w:szCs w:val="16"/>
        </w:rPr>
        <w:t>12</w:t>
      </w:r>
      <w:r w:rsidR="00CA65BC">
        <w:rPr>
          <w:rFonts w:ascii="CAIXA Std Book" w:hAnsi="CAIXA Std Book"/>
          <w:color w:val="005CA9"/>
          <w:sz w:val="16"/>
          <w:szCs w:val="16"/>
        </w:rPr>
        <w:t>/2025</w:t>
      </w:r>
      <w:r w:rsidR="00E5044E">
        <w:rPr>
          <w:rFonts w:ascii="CAIXA Std Book" w:hAnsi="CAIXA Std Book"/>
          <w:color w:val="005CA9"/>
          <w:sz w:val="16"/>
          <w:szCs w:val="16"/>
        </w:rPr>
        <w:t xml:space="preserve"> - </w:t>
      </w:r>
      <w:r w:rsidR="00C15DAC">
        <w:rPr>
          <w:rFonts w:ascii="CAIXA Std Book" w:hAnsi="CAIXA Std Book"/>
          <w:color w:val="005CA9"/>
          <w:sz w:val="16"/>
          <w:szCs w:val="16"/>
        </w:rPr>
        <w:t xml:space="preserve">R$ </w:t>
      </w:r>
      <w:r w:rsidR="00C84FFB">
        <w:rPr>
          <w:rFonts w:ascii="CAIXA Std Book" w:hAnsi="CAIXA Std Book"/>
          <w:color w:val="005CA9"/>
          <w:sz w:val="16"/>
          <w:szCs w:val="16"/>
        </w:rPr>
        <w:t>259.044</w:t>
      </w:r>
      <w:r w:rsidR="00CA65BC">
        <w:rPr>
          <w:rFonts w:ascii="CAIXA Std Book" w:hAnsi="CAIXA Std Book"/>
          <w:color w:val="005CA9"/>
          <w:sz w:val="16"/>
          <w:szCs w:val="16"/>
        </w:rPr>
        <w:t>)</w:t>
      </w:r>
      <w:r w:rsidRPr="00A267CC">
        <w:rPr>
          <w:rFonts w:ascii="CAIXA Std Book" w:hAnsi="CAIXA Std Book"/>
          <w:color w:val="005CA9"/>
          <w:sz w:val="16"/>
          <w:szCs w:val="16"/>
        </w:rPr>
        <w:t xml:space="preserve"> e em financiamentos imobiliários no montante de </w:t>
      </w:r>
      <w:r w:rsidRPr="001D663F">
        <w:rPr>
          <w:rFonts w:ascii="CAIXA Std Book" w:hAnsi="CAIXA Std Book"/>
          <w:color w:val="005CA9"/>
          <w:sz w:val="16"/>
          <w:szCs w:val="16"/>
        </w:rPr>
        <w:t xml:space="preserve">R$ </w:t>
      </w:r>
      <w:r w:rsidR="001D663F">
        <w:rPr>
          <w:rFonts w:ascii="CAIXA Std Book" w:hAnsi="CAIXA Std Book"/>
          <w:color w:val="005CA9"/>
          <w:sz w:val="16"/>
          <w:szCs w:val="16"/>
        </w:rPr>
        <w:t>11.659</w:t>
      </w:r>
      <w:r w:rsidR="00CA65BC">
        <w:rPr>
          <w:rFonts w:ascii="CAIXA Std Book" w:hAnsi="CAIXA Std Book"/>
          <w:color w:val="005CA9"/>
          <w:sz w:val="16"/>
          <w:szCs w:val="16"/>
        </w:rPr>
        <w:t xml:space="preserve"> (</w:t>
      </w:r>
      <w:r w:rsidR="00B94006">
        <w:rPr>
          <w:rFonts w:ascii="CAIXA Std Book" w:hAnsi="CAIXA Std Book"/>
          <w:color w:val="005CA9"/>
          <w:sz w:val="16"/>
          <w:szCs w:val="16"/>
        </w:rPr>
        <w:t xml:space="preserve">31/12/2025 - </w:t>
      </w:r>
      <w:r w:rsidR="00CA65BC">
        <w:rPr>
          <w:rFonts w:ascii="CAIXA Std Book" w:hAnsi="CAIXA Std Book"/>
          <w:color w:val="005CA9"/>
          <w:sz w:val="16"/>
          <w:szCs w:val="16"/>
        </w:rPr>
        <w:t xml:space="preserve">R$ </w:t>
      </w:r>
      <w:r w:rsidR="002F3016">
        <w:rPr>
          <w:rFonts w:ascii="CAIXA Std Book" w:hAnsi="CAIXA Std Book"/>
          <w:color w:val="005CA9"/>
          <w:sz w:val="16"/>
          <w:szCs w:val="16"/>
        </w:rPr>
        <w:t>9.932</w:t>
      </w:r>
      <w:r w:rsidR="000E188E">
        <w:rPr>
          <w:rFonts w:ascii="CAIXA Std Book" w:hAnsi="CAIXA Std Book"/>
          <w:color w:val="005CA9"/>
          <w:sz w:val="16"/>
          <w:szCs w:val="16"/>
        </w:rPr>
        <w:t>)</w:t>
      </w:r>
      <w:r w:rsidR="001C1D53" w:rsidRPr="004C725C">
        <w:rPr>
          <w:rFonts w:ascii="CAIXA Std Book" w:hAnsi="CAIXA Std Book"/>
          <w:color w:val="005CA9"/>
          <w:sz w:val="16"/>
          <w:szCs w:val="16"/>
        </w:rPr>
        <w:t>.</w:t>
      </w:r>
    </w:p>
    <w:p w14:paraId="6DB8CEC9" w14:textId="1E822193" w:rsidR="00530FFA" w:rsidRPr="003457DC" w:rsidRDefault="0006624F" w:rsidP="00530FFA">
      <w:pPr>
        <w:rPr>
          <w:rFonts w:ascii="CAIXA Std Book" w:hAnsi="CAIXA Std Book"/>
          <w:color w:val="005CA9"/>
          <w:sz w:val="16"/>
          <w:szCs w:val="16"/>
        </w:rPr>
      </w:pPr>
      <w:r w:rsidRPr="00917EF6">
        <w:rPr>
          <w:rFonts w:ascii="CAIXA Std Book" w:hAnsi="CAIXA Std Book"/>
          <w:color w:val="005CA9"/>
          <w:sz w:val="16"/>
          <w:szCs w:val="16"/>
        </w:rPr>
        <w:t xml:space="preserve">(2) </w:t>
      </w:r>
      <w:r w:rsidR="0063002B">
        <w:rPr>
          <w:rFonts w:ascii="CAIXA Std Book" w:hAnsi="CAIXA Std Book"/>
          <w:color w:val="005CA9"/>
          <w:sz w:val="16"/>
          <w:szCs w:val="16"/>
        </w:rPr>
        <w:t>O</w:t>
      </w:r>
      <w:r w:rsidRPr="00917EF6">
        <w:rPr>
          <w:rFonts w:ascii="CAIXA Std Book" w:hAnsi="CAIXA Std Book"/>
          <w:color w:val="005CA9"/>
          <w:sz w:val="16"/>
          <w:szCs w:val="16"/>
        </w:rPr>
        <w:t xml:space="preserve">s </w:t>
      </w:r>
      <w:r w:rsidRPr="00742BA3">
        <w:rPr>
          <w:rFonts w:ascii="CAIXA Std Book" w:eastAsia="Times New Roman" w:hAnsi="CAIXA Std Book" w:cs="Arial"/>
          <w:color w:val="005CA9"/>
          <w:sz w:val="16"/>
          <w:szCs w:val="16"/>
        </w:rPr>
        <w:t>programas governamentais</w:t>
      </w:r>
      <w:r w:rsidRPr="00917EF6">
        <w:rPr>
          <w:rFonts w:ascii="CAIXA Std Book" w:hAnsi="CAIXA Std Book"/>
          <w:color w:val="005CA9"/>
          <w:sz w:val="16"/>
          <w:szCs w:val="16"/>
        </w:rPr>
        <w:t xml:space="preserve"> (Giro CAIXA e microcrédito P</w:t>
      </w:r>
      <w:r w:rsidR="00D05F78">
        <w:rPr>
          <w:rFonts w:ascii="CAIXA Std Book" w:hAnsi="CAIXA Std Book"/>
          <w:color w:val="005CA9"/>
          <w:sz w:val="16"/>
          <w:szCs w:val="16"/>
        </w:rPr>
        <w:t>ronampe</w:t>
      </w:r>
      <w:r w:rsidRPr="00917EF6">
        <w:rPr>
          <w:rFonts w:ascii="CAIXA Std Book" w:hAnsi="CAIXA Std Book"/>
          <w:color w:val="005CA9"/>
          <w:sz w:val="16"/>
          <w:szCs w:val="16"/>
        </w:rPr>
        <w:t>, Giro CAIXA FGI e P</w:t>
      </w:r>
      <w:r w:rsidR="00D05F78">
        <w:rPr>
          <w:rFonts w:ascii="CAIXA Std Book" w:hAnsi="CAIXA Std Book"/>
          <w:color w:val="005CA9"/>
          <w:sz w:val="16"/>
          <w:szCs w:val="16"/>
        </w:rPr>
        <w:t>rocred</w:t>
      </w:r>
      <w:r w:rsidRPr="00917EF6">
        <w:rPr>
          <w:rFonts w:ascii="CAIXA Std Book" w:hAnsi="CAIXA Std Book"/>
          <w:color w:val="005CA9"/>
          <w:sz w:val="16"/>
          <w:szCs w:val="16"/>
        </w:rPr>
        <w:t xml:space="preserve">) totalizaram o montante de </w:t>
      </w:r>
      <w:r w:rsidRPr="00946A8C">
        <w:rPr>
          <w:rFonts w:ascii="CAIXA Std Book" w:hAnsi="CAIXA Std Book"/>
          <w:color w:val="005CA9"/>
          <w:sz w:val="16"/>
          <w:szCs w:val="16"/>
        </w:rPr>
        <w:t xml:space="preserve">R$ </w:t>
      </w:r>
      <w:r w:rsidR="00306753">
        <w:rPr>
          <w:rFonts w:ascii="CAIXA Std Book" w:hAnsi="CAIXA Std Book"/>
          <w:color w:val="005CA9"/>
          <w:sz w:val="16"/>
          <w:szCs w:val="16"/>
        </w:rPr>
        <w:t>31.701.440</w:t>
      </w:r>
      <w:r w:rsidR="00B550E7">
        <w:rPr>
          <w:rFonts w:ascii="CAIXA Std Book" w:hAnsi="CAIXA Std Book"/>
          <w:color w:val="005CA9"/>
          <w:sz w:val="16"/>
          <w:szCs w:val="16"/>
        </w:rPr>
        <w:t xml:space="preserve"> </w:t>
      </w:r>
      <w:r w:rsidR="000E188E">
        <w:rPr>
          <w:rFonts w:ascii="CAIXA Std Book" w:hAnsi="CAIXA Std Book"/>
          <w:color w:val="005CA9"/>
          <w:sz w:val="16"/>
          <w:szCs w:val="16"/>
        </w:rPr>
        <w:t>(</w:t>
      </w:r>
      <w:r w:rsidR="00E5044E">
        <w:rPr>
          <w:rFonts w:ascii="CAIXA Std Book" w:hAnsi="CAIXA Std Book"/>
          <w:color w:val="005CA9"/>
          <w:sz w:val="16"/>
          <w:szCs w:val="16"/>
        </w:rPr>
        <w:t xml:space="preserve">31/12/2025 - </w:t>
      </w:r>
      <w:r w:rsidR="000E188E">
        <w:rPr>
          <w:rFonts w:ascii="CAIXA Std Book" w:hAnsi="CAIXA Std Book"/>
          <w:color w:val="005CA9"/>
          <w:sz w:val="16"/>
          <w:szCs w:val="16"/>
        </w:rPr>
        <w:t>R$</w:t>
      </w:r>
      <w:r w:rsidR="00D567CE">
        <w:rPr>
          <w:rFonts w:ascii="CAIXA Std Book" w:hAnsi="CAIXA Std Book"/>
          <w:color w:val="005CA9"/>
          <w:sz w:val="16"/>
          <w:szCs w:val="16"/>
        </w:rPr>
        <w:t xml:space="preserve"> </w:t>
      </w:r>
      <w:r w:rsidR="009A5E87">
        <w:rPr>
          <w:rFonts w:ascii="CAIXA Std Book" w:hAnsi="CAIXA Std Book"/>
          <w:color w:val="005CA9"/>
          <w:sz w:val="16"/>
          <w:szCs w:val="16"/>
        </w:rPr>
        <w:t>31.702.837</w:t>
      </w:r>
      <w:r w:rsidR="000E188E">
        <w:rPr>
          <w:rFonts w:ascii="CAIXA Std Book" w:hAnsi="CAIXA Std Book"/>
          <w:color w:val="005CA9"/>
          <w:sz w:val="16"/>
          <w:szCs w:val="16"/>
        </w:rPr>
        <w:t>)</w:t>
      </w:r>
      <w:r w:rsidR="0063002B">
        <w:rPr>
          <w:rFonts w:ascii="CAIXA Std Book" w:hAnsi="CAIXA Std Book"/>
          <w:color w:val="005CA9"/>
          <w:sz w:val="16"/>
          <w:szCs w:val="16"/>
        </w:rPr>
        <w:t>.</w:t>
      </w:r>
    </w:p>
    <w:p w14:paraId="3A977AED" w14:textId="77777777" w:rsidR="00530FFA" w:rsidRDefault="00530FFA">
      <w:pPr>
        <w:rPr>
          <w:rFonts w:ascii="CAIXA Std Book" w:hAnsi="CAIXA Std Book"/>
          <w:color w:val="005CA9"/>
          <w:sz w:val="16"/>
          <w:szCs w:val="16"/>
        </w:rPr>
      </w:pPr>
      <w:r>
        <w:rPr>
          <w:rFonts w:ascii="CAIXA Std Book" w:hAnsi="CAIXA Std Book"/>
          <w:color w:val="005CA9"/>
          <w:sz w:val="16"/>
          <w:szCs w:val="16"/>
        </w:rPr>
        <w:br w:type="page"/>
      </w:r>
    </w:p>
    <w:tbl>
      <w:tblPr>
        <w:tblW w:w="5000" w:type="pct"/>
        <w:tblCellMar>
          <w:left w:w="70" w:type="dxa"/>
          <w:right w:w="70" w:type="dxa"/>
        </w:tblCellMar>
        <w:tblLook w:val="04A0" w:firstRow="1" w:lastRow="0" w:firstColumn="1" w:lastColumn="0" w:noHBand="0" w:noVBand="1"/>
      </w:tblPr>
      <w:tblGrid>
        <w:gridCol w:w="4823"/>
        <w:gridCol w:w="1621"/>
        <w:gridCol w:w="1621"/>
        <w:gridCol w:w="1621"/>
        <w:gridCol w:w="1621"/>
        <w:gridCol w:w="1621"/>
        <w:gridCol w:w="1621"/>
      </w:tblGrid>
      <w:tr w:rsidR="00342445" w14:paraId="045BE242" w14:textId="77777777" w:rsidTr="00E96052">
        <w:trPr>
          <w:trHeight w:val="283"/>
        </w:trPr>
        <w:tc>
          <w:tcPr>
            <w:tcW w:w="1658" w:type="pct"/>
            <w:vMerge w:val="restart"/>
            <w:tcBorders>
              <w:top w:val="single" w:sz="8" w:space="0" w:color="FFFFFF"/>
              <w:left w:val="single" w:sz="8" w:space="0" w:color="FFFFFF"/>
              <w:bottom w:val="single" w:sz="8" w:space="0" w:color="FFFFFF"/>
              <w:right w:val="nil"/>
            </w:tcBorders>
            <w:shd w:val="clear" w:color="auto" w:fill="005CA9"/>
            <w:tcMar>
              <w:top w:w="15" w:type="dxa"/>
              <w:left w:w="15" w:type="dxa"/>
              <w:bottom w:w="0" w:type="dxa"/>
              <w:right w:w="15" w:type="dxa"/>
            </w:tcMar>
            <w:vAlign w:val="center"/>
            <w:hideMark/>
          </w:tcPr>
          <w:p w14:paraId="68308D67" w14:textId="77777777" w:rsidR="00D53532" w:rsidRDefault="00D53532">
            <w:pPr>
              <w:jc w:val="center"/>
              <w:rPr>
                <w:rFonts w:ascii="CAIXA Std Book" w:hAnsi="CAIXA Std Book"/>
                <w:b/>
                <w:bCs/>
                <w:color w:val="FFFFFF"/>
                <w:sz w:val="18"/>
                <w:szCs w:val="18"/>
              </w:rPr>
            </w:pPr>
            <w:r>
              <w:rPr>
                <w:rFonts w:ascii="CAIXA Std Book" w:hAnsi="CAIXA Std Book"/>
                <w:b/>
                <w:bCs/>
                <w:color w:val="FFFFFF"/>
                <w:sz w:val="18"/>
                <w:szCs w:val="18"/>
              </w:rPr>
              <w:t>Descrição</w:t>
            </w:r>
          </w:p>
        </w:tc>
        <w:tc>
          <w:tcPr>
            <w:tcW w:w="3342" w:type="pct"/>
            <w:gridSpan w:val="6"/>
            <w:tcBorders>
              <w:top w:val="single" w:sz="8" w:space="0" w:color="FFFFFF"/>
              <w:left w:val="nil"/>
              <w:bottom w:val="outset" w:sz="6" w:space="0" w:color="FFFFFF" w:themeColor="background1"/>
              <w:right w:val="single" w:sz="8" w:space="0" w:color="FFFFFF"/>
            </w:tcBorders>
            <w:shd w:val="clear" w:color="auto" w:fill="005CA9"/>
            <w:tcMar>
              <w:top w:w="15" w:type="dxa"/>
              <w:left w:w="15" w:type="dxa"/>
              <w:bottom w:w="0" w:type="dxa"/>
              <w:right w:w="15" w:type="dxa"/>
            </w:tcMar>
            <w:vAlign w:val="center"/>
            <w:hideMark/>
          </w:tcPr>
          <w:p w14:paraId="29AD9C8F" w14:textId="47FA830C" w:rsidR="00D53532" w:rsidRDefault="00D53532">
            <w:pPr>
              <w:jc w:val="center"/>
              <w:rPr>
                <w:rFonts w:ascii="CAIXA Std Book" w:hAnsi="CAIXA Std Book"/>
                <w:b/>
                <w:bCs/>
                <w:color w:val="FFFFFF"/>
                <w:sz w:val="18"/>
                <w:szCs w:val="18"/>
              </w:rPr>
            </w:pPr>
            <w:r>
              <w:rPr>
                <w:rFonts w:ascii="CAIXA Std Book" w:hAnsi="CAIXA Std Book"/>
                <w:b/>
                <w:bCs/>
                <w:color w:val="FFFFFF"/>
                <w:sz w:val="18"/>
                <w:szCs w:val="18"/>
              </w:rPr>
              <w:t>Consolidado</w:t>
            </w:r>
          </w:p>
        </w:tc>
      </w:tr>
      <w:tr w:rsidR="00AF3600" w14:paraId="6DB7C044" w14:textId="77777777" w:rsidTr="00E96052">
        <w:trPr>
          <w:trHeight w:val="283"/>
        </w:trPr>
        <w:tc>
          <w:tcPr>
            <w:tcW w:w="1658" w:type="pct"/>
            <w:vMerge/>
            <w:tcBorders>
              <w:top w:val="single" w:sz="8" w:space="0" w:color="FFFFFF"/>
              <w:left w:val="single" w:sz="8" w:space="0" w:color="FFFFFF"/>
              <w:bottom w:val="single" w:sz="8" w:space="0" w:color="FFFFFF"/>
              <w:right w:val="nil"/>
            </w:tcBorders>
            <w:shd w:val="clear" w:color="auto" w:fill="005CA9"/>
            <w:vAlign w:val="center"/>
            <w:hideMark/>
          </w:tcPr>
          <w:p w14:paraId="5403BC51" w14:textId="77777777" w:rsidR="00D53532" w:rsidRDefault="00D53532">
            <w:pPr>
              <w:rPr>
                <w:rFonts w:ascii="CAIXA Std Book" w:hAnsi="CAIXA Std Book"/>
                <w:b/>
                <w:bCs/>
                <w:color w:val="FFFFFF"/>
                <w:sz w:val="18"/>
                <w:szCs w:val="18"/>
              </w:rPr>
            </w:pPr>
          </w:p>
        </w:tc>
        <w:tc>
          <w:tcPr>
            <w:tcW w:w="1671" w:type="pct"/>
            <w:gridSpan w:val="3"/>
            <w:tcBorders>
              <w:top w:val="outset" w:sz="6" w:space="0" w:color="FFFFFF" w:themeColor="background1"/>
              <w:left w:val="nil"/>
              <w:bottom w:val="single" w:sz="4" w:space="0" w:color="FFFFFF" w:themeColor="background1"/>
              <w:right w:val="nil"/>
            </w:tcBorders>
            <w:shd w:val="clear" w:color="auto" w:fill="005CA9"/>
            <w:tcMar>
              <w:top w:w="15" w:type="dxa"/>
              <w:left w:w="15" w:type="dxa"/>
              <w:bottom w:w="0" w:type="dxa"/>
              <w:right w:w="15" w:type="dxa"/>
            </w:tcMar>
            <w:vAlign w:val="center"/>
            <w:hideMark/>
          </w:tcPr>
          <w:p w14:paraId="7F579D35" w14:textId="4EBE962A" w:rsidR="00BA087F" w:rsidRDefault="00BA087F">
            <w:pPr>
              <w:jc w:val="center"/>
              <w:rPr>
                <w:rFonts w:ascii="CAIXA Std Book" w:hAnsi="CAIXA Std Book"/>
                <w:b/>
                <w:bCs/>
                <w:color w:val="FFFFFF"/>
                <w:sz w:val="18"/>
                <w:szCs w:val="18"/>
              </w:rPr>
            </w:pPr>
            <w:r>
              <w:rPr>
                <w:rFonts w:ascii="CAIXA Std Book" w:hAnsi="CAIXA Std Book"/>
                <w:b/>
                <w:bCs/>
                <w:color w:val="FFFFFF"/>
                <w:sz w:val="18"/>
                <w:szCs w:val="18"/>
              </w:rPr>
              <w:t>31/03/2026</w:t>
            </w:r>
          </w:p>
        </w:tc>
        <w:tc>
          <w:tcPr>
            <w:tcW w:w="1671" w:type="pct"/>
            <w:gridSpan w:val="3"/>
            <w:tcBorders>
              <w:top w:val="outset" w:sz="6" w:space="0" w:color="FFFFFF" w:themeColor="background1"/>
              <w:left w:val="nil"/>
              <w:bottom w:val="single" w:sz="4" w:space="0" w:color="FFFFFF" w:themeColor="background1"/>
            </w:tcBorders>
            <w:shd w:val="clear" w:color="auto" w:fill="005CA9"/>
            <w:vAlign w:val="center"/>
          </w:tcPr>
          <w:p w14:paraId="262B7F1A" w14:textId="6AE30EE3" w:rsidR="00D53532" w:rsidRDefault="00D53532">
            <w:pPr>
              <w:jc w:val="center"/>
              <w:rPr>
                <w:rFonts w:ascii="CAIXA Std Book" w:hAnsi="CAIXA Std Book"/>
                <w:b/>
                <w:bCs/>
                <w:color w:val="FFFFFF"/>
                <w:sz w:val="18"/>
                <w:szCs w:val="18"/>
              </w:rPr>
            </w:pPr>
            <w:r>
              <w:rPr>
                <w:rFonts w:ascii="CAIXA Std Book" w:hAnsi="CAIXA Std Book"/>
                <w:b/>
                <w:bCs/>
                <w:color w:val="FFFFFF"/>
                <w:sz w:val="18"/>
                <w:szCs w:val="18"/>
              </w:rPr>
              <w:t>31/</w:t>
            </w:r>
            <w:r w:rsidR="00125C5E">
              <w:rPr>
                <w:rFonts w:ascii="CAIXA Std Book" w:hAnsi="CAIXA Std Book"/>
                <w:b/>
                <w:bCs/>
                <w:color w:val="FFFFFF"/>
                <w:sz w:val="18"/>
                <w:szCs w:val="18"/>
              </w:rPr>
              <w:t>12</w:t>
            </w:r>
            <w:r>
              <w:rPr>
                <w:rFonts w:ascii="CAIXA Std Book" w:hAnsi="CAIXA Std Book"/>
                <w:b/>
                <w:bCs/>
                <w:color w:val="FFFFFF"/>
                <w:sz w:val="18"/>
                <w:szCs w:val="18"/>
              </w:rPr>
              <w:t>/2025</w:t>
            </w:r>
          </w:p>
        </w:tc>
      </w:tr>
      <w:tr w:rsidR="00AF3600" w14:paraId="7083B2BA" w14:textId="77777777" w:rsidTr="00E96052">
        <w:trPr>
          <w:trHeight w:val="283"/>
        </w:trPr>
        <w:tc>
          <w:tcPr>
            <w:tcW w:w="1658" w:type="pct"/>
            <w:vMerge/>
            <w:tcBorders>
              <w:top w:val="single" w:sz="8" w:space="0" w:color="FFFFFF"/>
              <w:left w:val="single" w:sz="8" w:space="0" w:color="FFFFFF"/>
              <w:right w:val="nil"/>
            </w:tcBorders>
            <w:shd w:val="clear" w:color="auto" w:fill="005CA9"/>
            <w:vAlign w:val="center"/>
            <w:hideMark/>
          </w:tcPr>
          <w:p w14:paraId="3D57D6E8" w14:textId="77777777" w:rsidR="00D53532" w:rsidRDefault="00D53532">
            <w:pPr>
              <w:rPr>
                <w:rFonts w:ascii="CAIXA Std Book" w:hAnsi="CAIXA Std Book"/>
                <w:b/>
                <w:bCs/>
                <w:color w:val="FFFFFF"/>
                <w:sz w:val="18"/>
                <w:szCs w:val="18"/>
              </w:rPr>
            </w:pPr>
          </w:p>
        </w:tc>
        <w:tc>
          <w:tcPr>
            <w:tcW w:w="557" w:type="pct"/>
            <w:tcBorders>
              <w:top w:val="single" w:sz="4" w:space="0" w:color="FFFFFF" w:themeColor="background1"/>
              <w:left w:val="nil"/>
              <w:right w:val="nil"/>
            </w:tcBorders>
            <w:shd w:val="clear" w:color="auto" w:fill="005CA9"/>
            <w:tcMar>
              <w:top w:w="15" w:type="dxa"/>
              <w:left w:w="15" w:type="dxa"/>
              <w:bottom w:w="0" w:type="dxa"/>
              <w:right w:w="15" w:type="dxa"/>
            </w:tcMar>
            <w:vAlign w:val="center"/>
            <w:hideMark/>
          </w:tcPr>
          <w:p w14:paraId="6DDC52D4" w14:textId="77777777" w:rsidR="00D53532" w:rsidRDefault="00D53532">
            <w:pPr>
              <w:jc w:val="center"/>
              <w:rPr>
                <w:rFonts w:ascii="CAIXA Std Book" w:hAnsi="CAIXA Std Book"/>
                <w:b/>
                <w:bCs/>
                <w:color w:val="FFFFFF"/>
                <w:sz w:val="18"/>
                <w:szCs w:val="18"/>
              </w:rPr>
            </w:pPr>
            <w:r>
              <w:rPr>
                <w:rFonts w:ascii="CAIXA Std Book" w:hAnsi="CAIXA Std Book"/>
                <w:b/>
                <w:bCs/>
                <w:color w:val="FFFFFF"/>
                <w:sz w:val="18"/>
                <w:szCs w:val="18"/>
              </w:rPr>
              <w:t>Valor contábil</w:t>
            </w:r>
          </w:p>
        </w:tc>
        <w:tc>
          <w:tcPr>
            <w:tcW w:w="557" w:type="pct"/>
            <w:tcBorders>
              <w:top w:val="single" w:sz="4" w:space="0" w:color="FFFFFF" w:themeColor="background1"/>
              <w:left w:val="nil"/>
              <w:right w:val="nil"/>
            </w:tcBorders>
            <w:shd w:val="clear" w:color="auto" w:fill="005CA9"/>
            <w:tcMar>
              <w:top w:w="15" w:type="dxa"/>
              <w:left w:w="15" w:type="dxa"/>
              <w:bottom w:w="0" w:type="dxa"/>
              <w:right w:w="15" w:type="dxa"/>
            </w:tcMar>
            <w:vAlign w:val="center"/>
            <w:hideMark/>
          </w:tcPr>
          <w:p w14:paraId="386272F9" w14:textId="77777777" w:rsidR="00D53532" w:rsidRDefault="00D53532">
            <w:pPr>
              <w:jc w:val="center"/>
              <w:rPr>
                <w:rFonts w:ascii="CAIXA Std Book" w:hAnsi="CAIXA Std Book"/>
                <w:b/>
                <w:bCs/>
                <w:color w:val="FFFFFF"/>
                <w:sz w:val="18"/>
                <w:szCs w:val="18"/>
              </w:rPr>
            </w:pPr>
            <w:r w:rsidRPr="00FF2C6F">
              <w:rPr>
                <w:rFonts w:ascii="CAIXA Std Book" w:hAnsi="CAIXA Std Book"/>
                <w:b/>
                <w:color w:val="FFFFFF"/>
                <w:sz w:val="18"/>
                <w:szCs w:val="18"/>
              </w:rPr>
              <w:t>Perdas esperadas</w:t>
            </w:r>
          </w:p>
        </w:tc>
        <w:tc>
          <w:tcPr>
            <w:tcW w:w="557" w:type="pct"/>
            <w:tcBorders>
              <w:top w:val="single" w:sz="4" w:space="0" w:color="FFFFFF" w:themeColor="background1"/>
              <w:left w:val="nil"/>
              <w:right w:val="nil"/>
            </w:tcBorders>
            <w:shd w:val="clear" w:color="auto" w:fill="005CA9"/>
            <w:tcMar>
              <w:top w:w="15" w:type="dxa"/>
              <w:left w:w="15" w:type="dxa"/>
              <w:bottom w:w="0" w:type="dxa"/>
              <w:right w:w="15" w:type="dxa"/>
            </w:tcMar>
            <w:vAlign w:val="center"/>
            <w:hideMark/>
          </w:tcPr>
          <w:p w14:paraId="33E179EC" w14:textId="77777777" w:rsidR="00D53532" w:rsidRDefault="00D53532">
            <w:pPr>
              <w:jc w:val="center"/>
              <w:rPr>
                <w:rFonts w:ascii="CAIXA Std Book" w:hAnsi="CAIXA Std Book"/>
                <w:b/>
                <w:bCs/>
                <w:color w:val="FFFFFF"/>
                <w:sz w:val="18"/>
                <w:szCs w:val="18"/>
              </w:rPr>
            </w:pPr>
            <w:r>
              <w:rPr>
                <w:rFonts w:ascii="CAIXA Std Book" w:hAnsi="CAIXA Std Book"/>
                <w:b/>
                <w:bCs/>
                <w:color w:val="FFFFFF"/>
                <w:sz w:val="18"/>
                <w:szCs w:val="18"/>
              </w:rPr>
              <w:t>Valor contábil líquido de provisão</w:t>
            </w:r>
          </w:p>
        </w:tc>
        <w:tc>
          <w:tcPr>
            <w:tcW w:w="557" w:type="pct"/>
            <w:tcBorders>
              <w:top w:val="single" w:sz="4" w:space="0" w:color="FFFFFF" w:themeColor="background1"/>
              <w:left w:val="nil"/>
              <w:right w:val="nil"/>
            </w:tcBorders>
            <w:shd w:val="clear" w:color="auto" w:fill="005CA9"/>
            <w:tcMar>
              <w:top w:w="15" w:type="dxa"/>
              <w:left w:w="15" w:type="dxa"/>
              <w:bottom w:w="0" w:type="dxa"/>
              <w:right w:w="15" w:type="dxa"/>
            </w:tcMar>
            <w:vAlign w:val="center"/>
            <w:hideMark/>
          </w:tcPr>
          <w:p w14:paraId="6C0F26CD" w14:textId="77777777" w:rsidR="00D53532" w:rsidRDefault="00D53532">
            <w:pPr>
              <w:jc w:val="center"/>
              <w:rPr>
                <w:rFonts w:ascii="CAIXA Std Book" w:hAnsi="CAIXA Std Book"/>
                <w:b/>
                <w:bCs/>
                <w:color w:val="FFFFFF"/>
                <w:sz w:val="18"/>
                <w:szCs w:val="18"/>
              </w:rPr>
            </w:pPr>
            <w:r>
              <w:rPr>
                <w:rFonts w:ascii="CAIXA Std Book" w:hAnsi="CAIXA Std Book"/>
                <w:b/>
                <w:bCs/>
                <w:color w:val="FFFFFF"/>
                <w:sz w:val="18"/>
                <w:szCs w:val="18"/>
              </w:rPr>
              <w:t>Valor contábil</w:t>
            </w:r>
          </w:p>
        </w:tc>
        <w:tc>
          <w:tcPr>
            <w:tcW w:w="557" w:type="pct"/>
            <w:tcBorders>
              <w:top w:val="single" w:sz="4" w:space="0" w:color="FFFFFF" w:themeColor="background1"/>
              <w:left w:val="nil"/>
              <w:right w:val="nil"/>
            </w:tcBorders>
            <w:shd w:val="clear" w:color="auto" w:fill="005CA9"/>
            <w:tcMar>
              <w:top w:w="15" w:type="dxa"/>
              <w:left w:w="15" w:type="dxa"/>
              <w:bottom w:w="0" w:type="dxa"/>
              <w:right w:w="15" w:type="dxa"/>
            </w:tcMar>
            <w:vAlign w:val="center"/>
            <w:hideMark/>
          </w:tcPr>
          <w:p w14:paraId="1C507F09" w14:textId="77777777" w:rsidR="00D53532" w:rsidRDefault="00D53532">
            <w:pPr>
              <w:jc w:val="center"/>
              <w:rPr>
                <w:rFonts w:ascii="CAIXA Std Book" w:hAnsi="CAIXA Std Book"/>
                <w:b/>
                <w:bCs/>
                <w:color w:val="FFFFFF"/>
                <w:sz w:val="18"/>
                <w:szCs w:val="18"/>
              </w:rPr>
            </w:pPr>
            <w:r w:rsidRPr="00316E5C">
              <w:rPr>
                <w:rFonts w:ascii="CAIXA Std Book" w:hAnsi="CAIXA Std Book"/>
                <w:b/>
                <w:color w:val="FFFFFF"/>
                <w:sz w:val="18"/>
                <w:szCs w:val="18"/>
              </w:rPr>
              <w:t>Perdas esperadas</w:t>
            </w:r>
          </w:p>
        </w:tc>
        <w:tc>
          <w:tcPr>
            <w:tcW w:w="557" w:type="pct"/>
            <w:tcBorders>
              <w:top w:val="single" w:sz="4" w:space="0" w:color="FFFFFF" w:themeColor="background1"/>
              <w:left w:val="nil"/>
              <w:right w:val="single" w:sz="8" w:space="0" w:color="FFFFFF"/>
            </w:tcBorders>
            <w:shd w:val="clear" w:color="auto" w:fill="005CA9"/>
            <w:tcMar>
              <w:top w:w="15" w:type="dxa"/>
              <w:left w:w="15" w:type="dxa"/>
              <w:bottom w:w="0" w:type="dxa"/>
              <w:right w:w="15" w:type="dxa"/>
            </w:tcMar>
            <w:vAlign w:val="center"/>
            <w:hideMark/>
          </w:tcPr>
          <w:p w14:paraId="572639C9" w14:textId="77777777" w:rsidR="00D53532" w:rsidRDefault="00D53532">
            <w:pPr>
              <w:jc w:val="center"/>
              <w:rPr>
                <w:rFonts w:ascii="CAIXA Std Book" w:hAnsi="CAIXA Std Book"/>
                <w:b/>
                <w:bCs/>
                <w:color w:val="FFFFFF"/>
                <w:sz w:val="18"/>
                <w:szCs w:val="18"/>
              </w:rPr>
            </w:pPr>
            <w:r>
              <w:rPr>
                <w:rFonts w:ascii="CAIXA Std Book" w:hAnsi="CAIXA Std Book"/>
                <w:b/>
                <w:bCs/>
                <w:color w:val="FFFFFF"/>
                <w:sz w:val="18"/>
                <w:szCs w:val="18"/>
              </w:rPr>
              <w:t>Valor contábil líquido de provisão</w:t>
            </w:r>
          </w:p>
        </w:tc>
      </w:tr>
      <w:tr w:rsidR="00B4411E" w14:paraId="0BB3D4CD" w14:textId="77777777" w:rsidTr="00E96052">
        <w:trPr>
          <w:trHeight w:val="283"/>
        </w:trPr>
        <w:tc>
          <w:tcPr>
            <w:tcW w:w="1658" w:type="pct"/>
            <w:tcBorders>
              <w:top w:val="nil"/>
              <w:left w:val="nil"/>
              <w:bottom w:val="nil"/>
              <w:right w:val="nil"/>
            </w:tcBorders>
            <w:noWrap/>
            <w:tcMar>
              <w:top w:w="0" w:type="dxa"/>
              <w:left w:w="15" w:type="dxa"/>
              <w:bottom w:w="0" w:type="dxa"/>
              <w:right w:w="15" w:type="dxa"/>
            </w:tcMar>
            <w:vAlign w:val="center"/>
            <w:hideMark/>
          </w:tcPr>
          <w:p w14:paraId="076C7A31" w14:textId="77777777" w:rsidR="00B4411E" w:rsidRDefault="00B4411E" w:rsidP="00B4411E">
            <w:pPr>
              <w:rPr>
                <w:rFonts w:ascii="CAIXA Std Book" w:hAnsi="CAIXA Std Book"/>
                <w:color w:val="005CA9"/>
                <w:sz w:val="18"/>
                <w:szCs w:val="18"/>
              </w:rPr>
            </w:pPr>
            <w:r>
              <w:rPr>
                <w:rFonts w:ascii="CAIXA Std Book" w:hAnsi="CAIXA Std Book"/>
                <w:color w:val="005CA9"/>
                <w:sz w:val="18"/>
                <w:szCs w:val="18"/>
              </w:rPr>
              <w:t>Empréstimos e direitos creditórios descontados (1) (2)</w:t>
            </w:r>
          </w:p>
        </w:tc>
        <w:tc>
          <w:tcPr>
            <w:tcW w:w="557" w:type="pct"/>
            <w:tcBorders>
              <w:top w:val="nil"/>
              <w:left w:val="nil"/>
              <w:bottom w:val="nil"/>
              <w:right w:val="nil"/>
            </w:tcBorders>
            <w:noWrap/>
            <w:tcMar>
              <w:top w:w="0" w:type="dxa"/>
              <w:left w:w="15" w:type="dxa"/>
              <w:bottom w:w="0" w:type="dxa"/>
              <w:right w:w="15" w:type="dxa"/>
            </w:tcMar>
            <w:vAlign w:val="center"/>
          </w:tcPr>
          <w:p w14:paraId="67985D93" w14:textId="38EAA174" w:rsidR="00B4411E" w:rsidRDefault="00F55497" w:rsidP="00B4411E">
            <w:pPr>
              <w:jc w:val="right"/>
              <w:rPr>
                <w:rFonts w:ascii="CAIXA Std Book" w:hAnsi="CAIXA Std Book"/>
                <w:color w:val="005CA9"/>
                <w:sz w:val="18"/>
                <w:szCs w:val="18"/>
              </w:rPr>
            </w:pPr>
            <w:r>
              <w:rPr>
                <w:rFonts w:ascii="CAIXA Std Book" w:hAnsi="CAIXA Std Book" w:cs="Calibri"/>
                <w:color w:val="005CA9"/>
                <w:sz w:val="18"/>
                <w:szCs w:val="18"/>
              </w:rPr>
              <w:t>240.892.513</w:t>
            </w:r>
          </w:p>
        </w:tc>
        <w:tc>
          <w:tcPr>
            <w:tcW w:w="557" w:type="pct"/>
            <w:tcBorders>
              <w:top w:val="nil"/>
              <w:left w:val="nil"/>
              <w:bottom w:val="nil"/>
              <w:right w:val="nil"/>
            </w:tcBorders>
            <w:noWrap/>
            <w:tcMar>
              <w:top w:w="0" w:type="dxa"/>
              <w:left w:w="15" w:type="dxa"/>
              <w:bottom w:w="0" w:type="dxa"/>
              <w:right w:w="15" w:type="dxa"/>
            </w:tcMar>
            <w:vAlign w:val="center"/>
          </w:tcPr>
          <w:p w14:paraId="5B4ABDF2" w14:textId="781CA84D" w:rsidR="00B4411E" w:rsidRDefault="00F55497" w:rsidP="00B4411E">
            <w:pPr>
              <w:jc w:val="right"/>
              <w:rPr>
                <w:rFonts w:ascii="CAIXA Std Book" w:hAnsi="CAIXA Std Book"/>
                <w:color w:val="005CA9"/>
                <w:sz w:val="18"/>
                <w:szCs w:val="18"/>
              </w:rPr>
            </w:pPr>
            <w:r>
              <w:rPr>
                <w:rFonts w:ascii="CAIXA Std Book" w:hAnsi="CAIXA Std Book" w:cs="Calibri"/>
                <w:color w:val="005CA9"/>
                <w:sz w:val="18"/>
                <w:szCs w:val="18"/>
              </w:rPr>
              <w:t>(31.172.969)</w:t>
            </w:r>
          </w:p>
        </w:tc>
        <w:tc>
          <w:tcPr>
            <w:tcW w:w="557" w:type="pct"/>
            <w:tcBorders>
              <w:top w:val="nil"/>
              <w:left w:val="nil"/>
              <w:bottom w:val="nil"/>
              <w:right w:val="nil"/>
            </w:tcBorders>
            <w:noWrap/>
            <w:tcMar>
              <w:top w:w="0" w:type="dxa"/>
              <w:left w:w="15" w:type="dxa"/>
              <w:bottom w:w="0" w:type="dxa"/>
              <w:right w:w="15" w:type="dxa"/>
            </w:tcMar>
            <w:vAlign w:val="center"/>
          </w:tcPr>
          <w:p w14:paraId="5D65DC2E" w14:textId="663DF74D" w:rsidR="00B4411E" w:rsidRDefault="00F55497" w:rsidP="00B4411E">
            <w:pPr>
              <w:jc w:val="right"/>
              <w:rPr>
                <w:rFonts w:ascii="CAIXA Std Book" w:hAnsi="CAIXA Std Book"/>
                <w:color w:val="005CA9"/>
                <w:sz w:val="18"/>
                <w:szCs w:val="18"/>
              </w:rPr>
            </w:pPr>
            <w:r>
              <w:rPr>
                <w:rFonts w:ascii="CAIXA Std Book" w:hAnsi="CAIXA Std Book" w:cs="Calibri"/>
                <w:color w:val="005CA9"/>
                <w:sz w:val="18"/>
                <w:szCs w:val="18"/>
              </w:rPr>
              <w:t>209.719.544</w:t>
            </w:r>
          </w:p>
        </w:tc>
        <w:tc>
          <w:tcPr>
            <w:tcW w:w="557" w:type="pct"/>
            <w:tcBorders>
              <w:top w:val="nil"/>
              <w:left w:val="nil"/>
              <w:bottom w:val="nil"/>
              <w:right w:val="nil"/>
            </w:tcBorders>
            <w:noWrap/>
            <w:tcMar>
              <w:top w:w="0" w:type="dxa"/>
              <w:left w:w="15" w:type="dxa"/>
              <w:bottom w:w="0" w:type="dxa"/>
              <w:right w:w="15" w:type="dxa"/>
            </w:tcMar>
            <w:vAlign w:val="center"/>
          </w:tcPr>
          <w:p w14:paraId="27BCC6CD" w14:textId="64F4B29B" w:rsidR="00B4411E" w:rsidRPr="006B4B37" w:rsidRDefault="00DC371B" w:rsidP="00B4411E">
            <w:pPr>
              <w:jc w:val="right"/>
              <w:rPr>
                <w:rFonts w:ascii="CAIXA Std Book" w:hAnsi="CAIXA Std Book" w:cs="Calibri"/>
                <w:color w:val="005CA9"/>
                <w:sz w:val="18"/>
                <w:szCs w:val="18"/>
              </w:rPr>
            </w:pPr>
            <w:r w:rsidRPr="00417332">
              <w:rPr>
                <w:rFonts w:ascii="CAIXA Std Book" w:hAnsi="CAIXA Std Book" w:cs="Calibri"/>
                <w:color w:val="005CA9"/>
                <w:sz w:val="18"/>
                <w:szCs w:val="18"/>
              </w:rPr>
              <w:t>238.119.347</w:t>
            </w:r>
          </w:p>
        </w:tc>
        <w:tc>
          <w:tcPr>
            <w:tcW w:w="557" w:type="pct"/>
            <w:tcBorders>
              <w:top w:val="nil"/>
              <w:left w:val="nil"/>
              <w:bottom w:val="nil"/>
              <w:right w:val="nil"/>
            </w:tcBorders>
            <w:noWrap/>
            <w:tcMar>
              <w:top w:w="0" w:type="dxa"/>
              <w:left w:w="15" w:type="dxa"/>
              <w:bottom w:w="0" w:type="dxa"/>
              <w:right w:w="15" w:type="dxa"/>
            </w:tcMar>
            <w:vAlign w:val="center"/>
          </w:tcPr>
          <w:p w14:paraId="10236424" w14:textId="0F24E1A6" w:rsidR="00B4411E" w:rsidRPr="00417332" w:rsidRDefault="00DC371B" w:rsidP="00B4411E">
            <w:pPr>
              <w:jc w:val="right"/>
              <w:rPr>
                <w:rFonts w:ascii="CAIXA Std Book" w:hAnsi="CAIXA Std Book" w:cs="Calibri"/>
                <w:color w:val="005CA9"/>
                <w:sz w:val="18"/>
                <w:szCs w:val="18"/>
              </w:rPr>
            </w:pPr>
            <w:r>
              <w:rPr>
                <w:rFonts w:ascii="CAIXA Std Book" w:hAnsi="CAIXA Std Book" w:cs="Calibri"/>
                <w:color w:val="005CA9"/>
                <w:sz w:val="18"/>
                <w:szCs w:val="18"/>
              </w:rPr>
              <w:t>(30.211.369)</w:t>
            </w:r>
          </w:p>
        </w:tc>
        <w:tc>
          <w:tcPr>
            <w:tcW w:w="557" w:type="pct"/>
            <w:tcBorders>
              <w:top w:val="nil"/>
              <w:left w:val="nil"/>
              <w:bottom w:val="nil"/>
              <w:right w:val="nil"/>
            </w:tcBorders>
            <w:noWrap/>
            <w:tcMar>
              <w:top w:w="0" w:type="dxa"/>
              <w:left w:w="15" w:type="dxa"/>
              <w:bottom w:w="0" w:type="dxa"/>
              <w:right w:w="15" w:type="dxa"/>
            </w:tcMar>
            <w:vAlign w:val="center"/>
          </w:tcPr>
          <w:p w14:paraId="38C57F5D" w14:textId="082520CC" w:rsidR="00B4411E" w:rsidRPr="00417332" w:rsidRDefault="00DC371B" w:rsidP="00ED02FD">
            <w:pPr>
              <w:ind w:right="38"/>
              <w:jc w:val="right"/>
              <w:rPr>
                <w:rFonts w:ascii="CAIXA Std Book" w:hAnsi="CAIXA Std Book" w:cs="Calibri"/>
                <w:color w:val="005CA9"/>
                <w:sz w:val="18"/>
                <w:szCs w:val="18"/>
              </w:rPr>
            </w:pPr>
            <w:r>
              <w:rPr>
                <w:rFonts w:ascii="CAIXA Std Book" w:hAnsi="CAIXA Std Book" w:cs="Calibri"/>
                <w:color w:val="005CA9"/>
                <w:sz w:val="18"/>
                <w:szCs w:val="18"/>
              </w:rPr>
              <w:t>207.907.978</w:t>
            </w:r>
          </w:p>
        </w:tc>
      </w:tr>
      <w:tr w:rsidR="00B4411E" w14:paraId="7A142156" w14:textId="77777777" w:rsidTr="00E96052">
        <w:trPr>
          <w:trHeight w:val="283"/>
        </w:trPr>
        <w:tc>
          <w:tcPr>
            <w:tcW w:w="1658" w:type="pct"/>
            <w:tcBorders>
              <w:top w:val="nil"/>
              <w:left w:val="nil"/>
              <w:right w:val="nil"/>
            </w:tcBorders>
            <w:noWrap/>
            <w:tcMar>
              <w:top w:w="15" w:type="dxa"/>
              <w:left w:w="15" w:type="dxa"/>
              <w:bottom w:w="0" w:type="dxa"/>
              <w:right w:w="15" w:type="dxa"/>
            </w:tcMar>
            <w:vAlign w:val="center"/>
            <w:hideMark/>
          </w:tcPr>
          <w:p w14:paraId="0CF770ED" w14:textId="77777777" w:rsidR="00B4411E" w:rsidRDefault="00B4411E" w:rsidP="00B4411E">
            <w:pPr>
              <w:rPr>
                <w:rFonts w:ascii="CAIXA Std Book" w:hAnsi="CAIXA Std Book"/>
                <w:color w:val="005CA9"/>
                <w:sz w:val="18"/>
                <w:szCs w:val="18"/>
              </w:rPr>
            </w:pPr>
            <w:r>
              <w:rPr>
                <w:rFonts w:ascii="CAIXA Std Book" w:hAnsi="CAIXA Std Book"/>
                <w:color w:val="005CA9"/>
                <w:sz w:val="18"/>
                <w:szCs w:val="18"/>
              </w:rPr>
              <w:t>Financiamentos (2)</w:t>
            </w:r>
          </w:p>
        </w:tc>
        <w:tc>
          <w:tcPr>
            <w:tcW w:w="557" w:type="pct"/>
            <w:tcBorders>
              <w:top w:val="nil"/>
              <w:left w:val="nil"/>
              <w:right w:val="nil"/>
            </w:tcBorders>
            <w:noWrap/>
            <w:tcMar>
              <w:top w:w="15" w:type="dxa"/>
              <w:left w:w="15" w:type="dxa"/>
              <w:bottom w:w="0" w:type="dxa"/>
              <w:right w:w="15" w:type="dxa"/>
            </w:tcMar>
            <w:vAlign w:val="center"/>
          </w:tcPr>
          <w:p w14:paraId="0BB3ED45" w14:textId="15F0655F" w:rsidR="00B4411E" w:rsidRDefault="00F55497" w:rsidP="00B4411E">
            <w:pPr>
              <w:jc w:val="right"/>
              <w:rPr>
                <w:rFonts w:ascii="CAIXA Std Book" w:hAnsi="CAIXA Std Book"/>
                <w:color w:val="005CA9"/>
                <w:sz w:val="18"/>
                <w:szCs w:val="18"/>
              </w:rPr>
            </w:pPr>
            <w:r>
              <w:rPr>
                <w:rFonts w:ascii="CAIXA Std Book" w:hAnsi="CAIXA Std Book" w:cs="Calibri"/>
                <w:color w:val="005CA9"/>
                <w:sz w:val="18"/>
                <w:szCs w:val="18"/>
              </w:rPr>
              <w:t>14.368.313</w:t>
            </w:r>
          </w:p>
        </w:tc>
        <w:tc>
          <w:tcPr>
            <w:tcW w:w="557" w:type="pct"/>
            <w:tcBorders>
              <w:top w:val="nil"/>
              <w:left w:val="nil"/>
              <w:right w:val="nil"/>
            </w:tcBorders>
            <w:noWrap/>
            <w:tcMar>
              <w:top w:w="15" w:type="dxa"/>
              <w:left w:w="15" w:type="dxa"/>
              <w:bottom w:w="0" w:type="dxa"/>
              <w:right w:w="15" w:type="dxa"/>
            </w:tcMar>
            <w:vAlign w:val="center"/>
          </w:tcPr>
          <w:p w14:paraId="10A23A40" w14:textId="040D8CD8" w:rsidR="00B4411E" w:rsidRDefault="00F55497" w:rsidP="00B4411E">
            <w:pPr>
              <w:jc w:val="right"/>
              <w:rPr>
                <w:rFonts w:ascii="CAIXA Std Book" w:hAnsi="CAIXA Std Book"/>
                <w:color w:val="005CA9"/>
                <w:sz w:val="18"/>
                <w:szCs w:val="18"/>
              </w:rPr>
            </w:pPr>
            <w:r>
              <w:rPr>
                <w:rFonts w:ascii="CAIXA Std Book" w:hAnsi="CAIXA Std Book" w:cs="Calibri"/>
                <w:color w:val="005CA9"/>
                <w:sz w:val="18"/>
                <w:szCs w:val="18"/>
              </w:rPr>
              <w:t>(1.547.618)</w:t>
            </w:r>
          </w:p>
        </w:tc>
        <w:tc>
          <w:tcPr>
            <w:tcW w:w="557" w:type="pct"/>
            <w:tcBorders>
              <w:top w:val="nil"/>
              <w:left w:val="nil"/>
              <w:right w:val="nil"/>
            </w:tcBorders>
            <w:noWrap/>
            <w:tcMar>
              <w:top w:w="15" w:type="dxa"/>
              <w:left w:w="15" w:type="dxa"/>
              <w:bottom w:w="0" w:type="dxa"/>
              <w:right w:w="15" w:type="dxa"/>
            </w:tcMar>
            <w:vAlign w:val="center"/>
          </w:tcPr>
          <w:p w14:paraId="3AA155FC" w14:textId="4C99BFA8" w:rsidR="00B4411E" w:rsidRDefault="00F55497" w:rsidP="00B4411E">
            <w:pPr>
              <w:jc w:val="right"/>
              <w:rPr>
                <w:rFonts w:ascii="CAIXA Std Book" w:hAnsi="CAIXA Std Book"/>
                <w:color w:val="005CA9"/>
                <w:sz w:val="18"/>
                <w:szCs w:val="18"/>
              </w:rPr>
            </w:pPr>
            <w:r>
              <w:rPr>
                <w:rFonts w:ascii="CAIXA Std Book" w:hAnsi="CAIXA Std Book" w:cs="Calibri"/>
                <w:color w:val="005CA9"/>
                <w:sz w:val="18"/>
                <w:szCs w:val="18"/>
              </w:rPr>
              <w:t>12.820.695</w:t>
            </w:r>
          </w:p>
        </w:tc>
        <w:tc>
          <w:tcPr>
            <w:tcW w:w="557" w:type="pct"/>
            <w:tcBorders>
              <w:top w:val="nil"/>
              <w:left w:val="nil"/>
              <w:right w:val="nil"/>
            </w:tcBorders>
            <w:noWrap/>
            <w:tcMar>
              <w:top w:w="15" w:type="dxa"/>
              <w:left w:w="15" w:type="dxa"/>
              <w:bottom w:w="0" w:type="dxa"/>
              <w:right w:w="15" w:type="dxa"/>
            </w:tcMar>
            <w:vAlign w:val="center"/>
          </w:tcPr>
          <w:p w14:paraId="5A6C68E1" w14:textId="45939690" w:rsidR="00B4411E" w:rsidRPr="006B4B37" w:rsidRDefault="00DC371B" w:rsidP="00B4411E">
            <w:pPr>
              <w:jc w:val="right"/>
              <w:rPr>
                <w:rFonts w:ascii="CAIXA Std Book" w:hAnsi="CAIXA Std Book" w:cs="Calibri"/>
                <w:color w:val="005CA9"/>
                <w:sz w:val="18"/>
                <w:szCs w:val="18"/>
              </w:rPr>
            </w:pPr>
            <w:r>
              <w:rPr>
                <w:rFonts w:ascii="CAIXA Std Book" w:hAnsi="CAIXA Std Book" w:cs="Calibri"/>
                <w:color w:val="005CA9"/>
                <w:sz w:val="18"/>
                <w:szCs w:val="18"/>
              </w:rPr>
              <w:t>13.516.909</w:t>
            </w:r>
          </w:p>
        </w:tc>
        <w:tc>
          <w:tcPr>
            <w:tcW w:w="557" w:type="pct"/>
            <w:tcBorders>
              <w:top w:val="nil"/>
              <w:left w:val="nil"/>
              <w:right w:val="nil"/>
            </w:tcBorders>
            <w:noWrap/>
            <w:tcMar>
              <w:top w:w="15" w:type="dxa"/>
              <w:left w:w="15" w:type="dxa"/>
              <w:bottom w:w="0" w:type="dxa"/>
              <w:right w:w="15" w:type="dxa"/>
            </w:tcMar>
            <w:vAlign w:val="center"/>
          </w:tcPr>
          <w:p w14:paraId="0C0072C2" w14:textId="12177666" w:rsidR="00B4411E" w:rsidRPr="00417332" w:rsidRDefault="00DC371B" w:rsidP="00B4411E">
            <w:pPr>
              <w:jc w:val="right"/>
              <w:rPr>
                <w:rFonts w:ascii="CAIXA Std Book" w:hAnsi="CAIXA Std Book" w:cs="Calibri"/>
                <w:color w:val="005CA9"/>
                <w:sz w:val="18"/>
                <w:szCs w:val="18"/>
              </w:rPr>
            </w:pPr>
            <w:r>
              <w:rPr>
                <w:rFonts w:ascii="CAIXA Std Book" w:hAnsi="CAIXA Std Book" w:cs="Calibri"/>
                <w:color w:val="005CA9"/>
                <w:sz w:val="18"/>
                <w:szCs w:val="18"/>
              </w:rPr>
              <w:t>(1.381.549)</w:t>
            </w:r>
          </w:p>
        </w:tc>
        <w:tc>
          <w:tcPr>
            <w:tcW w:w="557" w:type="pct"/>
            <w:tcBorders>
              <w:top w:val="nil"/>
              <w:left w:val="nil"/>
              <w:right w:val="nil"/>
            </w:tcBorders>
            <w:noWrap/>
            <w:tcMar>
              <w:top w:w="15" w:type="dxa"/>
              <w:left w:w="15" w:type="dxa"/>
              <w:bottom w:w="0" w:type="dxa"/>
              <w:right w:w="15" w:type="dxa"/>
            </w:tcMar>
            <w:vAlign w:val="center"/>
          </w:tcPr>
          <w:p w14:paraId="083F28FD" w14:textId="2ABC3669" w:rsidR="00B4411E" w:rsidRPr="00417332" w:rsidRDefault="00DC371B" w:rsidP="00ED02FD">
            <w:pPr>
              <w:ind w:right="38"/>
              <w:jc w:val="right"/>
              <w:rPr>
                <w:rFonts w:ascii="CAIXA Std Book" w:hAnsi="CAIXA Std Book" w:cs="Calibri"/>
                <w:color w:val="005CA9"/>
                <w:sz w:val="18"/>
                <w:szCs w:val="18"/>
              </w:rPr>
            </w:pPr>
            <w:r>
              <w:rPr>
                <w:rFonts w:ascii="CAIXA Std Book" w:hAnsi="CAIXA Std Book" w:cs="Calibri"/>
                <w:color w:val="005CA9"/>
                <w:sz w:val="18"/>
                <w:szCs w:val="18"/>
              </w:rPr>
              <w:t>12.135.360</w:t>
            </w:r>
          </w:p>
        </w:tc>
      </w:tr>
      <w:tr w:rsidR="00B4411E" w14:paraId="557A9982" w14:textId="77777777" w:rsidTr="00E96052">
        <w:trPr>
          <w:trHeight w:val="283"/>
        </w:trPr>
        <w:tc>
          <w:tcPr>
            <w:tcW w:w="1658" w:type="pct"/>
            <w:tcBorders>
              <w:top w:val="nil"/>
              <w:left w:val="nil"/>
              <w:right w:val="nil"/>
            </w:tcBorders>
            <w:noWrap/>
            <w:tcMar>
              <w:top w:w="15" w:type="dxa"/>
              <w:left w:w="15" w:type="dxa"/>
              <w:bottom w:w="0" w:type="dxa"/>
              <w:right w:w="15" w:type="dxa"/>
            </w:tcMar>
            <w:vAlign w:val="center"/>
            <w:hideMark/>
          </w:tcPr>
          <w:p w14:paraId="714FDF9E" w14:textId="77777777" w:rsidR="00B4411E" w:rsidRDefault="00B4411E" w:rsidP="00B4411E">
            <w:pPr>
              <w:rPr>
                <w:rFonts w:ascii="CAIXA Std Book" w:hAnsi="CAIXA Std Book"/>
                <w:color w:val="005CA9"/>
                <w:sz w:val="18"/>
                <w:szCs w:val="18"/>
              </w:rPr>
            </w:pPr>
            <w:r>
              <w:rPr>
                <w:rFonts w:ascii="CAIXA Std Book" w:hAnsi="CAIXA Std Book"/>
                <w:color w:val="005CA9"/>
                <w:sz w:val="18"/>
                <w:szCs w:val="18"/>
              </w:rPr>
              <w:t>Financiamentos rurais</w:t>
            </w:r>
          </w:p>
        </w:tc>
        <w:tc>
          <w:tcPr>
            <w:tcW w:w="557" w:type="pct"/>
            <w:tcBorders>
              <w:top w:val="nil"/>
              <w:left w:val="nil"/>
              <w:right w:val="nil"/>
            </w:tcBorders>
            <w:noWrap/>
            <w:tcMar>
              <w:top w:w="15" w:type="dxa"/>
              <w:left w:w="15" w:type="dxa"/>
              <w:bottom w:w="0" w:type="dxa"/>
              <w:right w:w="15" w:type="dxa"/>
            </w:tcMar>
            <w:vAlign w:val="center"/>
          </w:tcPr>
          <w:p w14:paraId="2042A883" w14:textId="7ACAC515" w:rsidR="00B4411E" w:rsidRDefault="00F55497" w:rsidP="00B4411E">
            <w:pPr>
              <w:jc w:val="right"/>
              <w:rPr>
                <w:rFonts w:ascii="CAIXA Std Book" w:hAnsi="CAIXA Std Book"/>
                <w:color w:val="005CA9"/>
                <w:sz w:val="18"/>
                <w:szCs w:val="18"/>
              </w:rPr>
            </w:pPr>
            <w:r>
              <w:rPr>
                <w:rFonts w:ascii="CAIXA Std Book" w:hAnsi="CAIXA Std Book" w:cs="Calibri"/>
                <w:color w:val="005CA9"/>
                <w:sz w:val="18"/>
                <w:szCs w:val="18"/>
              </w:rPr>
              <w:t>63.956.385</w:t>
            </w:r>
          </w:p>
        </w:tc>
        <w:tc>
          <w:tcPr>
            <w:tcW w:w="557" w:type="pct"/>
            <w:tcBorders>
              <w:top w:val="nil"/>
              <w:left w:val="nil"/>
              <w:right w:val="nil"/>
            </w:tcBorders>
            <w:noWrap/>
            <w:tcMar>
              <w:top w:w="15" w:type="dxa"/>
              <w:left w:w="15" w:type="dxa"/>
              <w:bottom w:w="0" w:type="dxa"/>
              <w:right w:w="15" w:type="dxa"/>
            </w:tcMar>
            <w:vAlign w:val="center"/>
          </w:tcPr>
          <w:p w14:paraId="384763A9" w14:textId="6CCC1F85" w:rsidR="00B4411E" w:rsidRDefault="00F55497" w:rsidP="00B4411E">
            <w:pPr>
              <w:jc w:val="right"/>
              <w:rPr>
                <w:rFonts w:ascii="CAIXA Std Book" w:hAnsi="CAIXA Std Book"/>
                <w:color w:val="005CA9"/>
                <w:sz w:val="18"/>
                <w:szCs w:val="18"/>
              </w:rPr>
            </w:pPr>
            <w:r>
              <w:rPr>
                <w:rFonts w:ascii="CAIXA Std Book" w:hAnsi="CAIXA Std Book" w:cs="Calibri"/>
                <w:color w:val="005CA9"/>
                <w:sz w:val="18"/>
                <w:szCs w:val="18"/>
              </w:rPr>
              <w:t>(7.983.367)</w:t>
            </w:r>
          </w:p>
        </w:tc>
        <w:tc>
          <w:tcPr>
            <w:tcW w:w="557" w:type="pct"/>
            <w:tcBorders>
              <w:top w:val="nil"/>
              <w:left w:val="nil"/>
              <w:right w:val="nil"/>
            </w:tcBorders>
            <w:noWrap/>
            <w:tcMar>
              <w:top w:w="15" w:type="dxa"/>
              <w:left w:w="15" w:type="dxa"/>
              <w:bottom w:w="0" w:type="dxa"/>
              <w:right w:w="15" w:type="dxa"/>
            </w:tcMar>
            <w:vAlign w:val="center"/>
          </w:tcPr>
          <w:p w14:paraId="25C71B78" w14:textId="188CF8C2" w:rsidR="00B4411E" w:rsidRDefault="00F55497" w:rsidP="00B4411E">
            <w:pPr>
              <w:jc w:val="right"/>
              <w:rPr>
                <w:rFonts w:ascii="CAIXA Std Book" w:hAnsi="CAIXA Std Book"/>
                <w:color w:val="005CA9"/>
                <w:sz w:val="18"/>
                <w:szCs w:val="18"/>
              </w:rPr>
            </w:pPr>
            <w:r>
              <w:rPr>
                <w:rFonts w:ascii="CAIXA Std Book" w:hAnsi="CAIXA Std Book" w:cs="Calibri"/>
                <w:color w:val="005CA9"/>
                <w:sz w:val="18"/>
                <w:szCs w:val="18"/>
              </w:rPr>
              <w:t>55.973.018</w:t>
            </w:r>
          </w:p>
        </w:tc>
        <w:tc>
          <w:tcPr>
            <w:tcW w:w="557" w:type="pct"/>
            <w:tcBorders>
              <w:top w:val="nil"/>
              <w:left w:val="nil"/>
              <w:right w:val="nil"/>
            </w:tcBorders>
            <w:noWrap/>
            <w:tcMar>
              <w:top w:w="15" w:type="dxa"/>
              <w:left w:w="15" w:type="dxa"/>
              <w:bottom w:w="0" w:type="dxa"/>
              <w:right w:w="15" w:type="dxa"/>
            </w:tcMar>
            <w:vAlign w:val="center"/>
          </w:tcPr>
          <w:p w14:paraId="62759299" w14:textId="12C9789F" w:rsidR="00B4411E" w:rsidRPr="006B4B37" w:rsidRDefault="00DC371B" w:rsidP="00B4411E">
            <w:pPr>
              <w:jc w:val="right"/>
              <w:rPr>
                <w:rFonts w:ascii="CAIXA Std Book" w:hAnsi="CAIXA Std Book" w:cs="Calibri"/>
                <w:color w:val="005CA9"/>
                <w:sz w:val="18"/>
                <w:szCs w:val="18"/>
              </w:rPr>
            </w:pPr>
            <w:r>
              <w:rPr>
                <w:rFonts w:ascii="CAIXA Std Book" w:hAnsi="CAIXA Std Book" w:cs="Calibri"/>
                <w:color w:val="005CA9"/>
                <w:sz w:val="18"/>
                <w:szCs w:val="18"/>
              </w:rPr>
              <w:t>62.053.408</w:t>
            </w:r>
          </w:p>
        </w:tc>
        <w:tc>
          <w:tcPr>
            <w:tcW w:w="557" w:type="pct"/>
            <w:tcBorders>
              <w:top w:val="nil"/>
              <w:left w:val="nil"/>
              <w:right w:val="nil"/>
            </w:tcBorders>
            <w:noWrap/>
            <w:tcMar>
              <w:top w:w="15" w:type="dxa"/>
              <w:left w:w="15" w:type="dxa"/>
              <w:bottom w:w="0" w:type="dxa"/>
              <w:right w:w="15" w:type="dxa"/>
            </w:tcMar>
            <w:vAlign w:val="center"/>
          </w:tcPr>
          <w:p w14:paraId="5385E6C6" w14:textId="687FC097" w:rsidR="00B4411E" w:rsidRPr="00417332" w:rsidRDefault="00DC371B" w:rsidP="00B4411E">
            <w:pPr>
              <w:jc w:val="right"/>
              <w:rPr>
                <w:rFonts w:ascii="CAIXA Std Book" w:hAnsi="CAIXA Std Book" w:cs="Calibri"/>
                <w:color w:val="005CA9"/>
                <w:sz w:val="18"/>
                <w:szCs w:val="18"/>
              </w:rPr>
            </w:pPr>
            <w:r>
              <w:rPr>
                <w:rFonts w:ascii="CAIXA Std Book" w:hAnsi="CAIXA Std Book" w:cs="Calibri"/>
                <w:color w:val="005CA9"/>
                <w:sz w:val="18"/>
                <w:szCs w:val="18"/>
              </w:rPr>
              <w:t>(6.594.249)</w:t>
            </w:r>
          </w:p>
        </w:tc>
        <w:tc>
          <w:tcPr>
            <w:tcW w:w="557" w:type="pct"/>
            <w:tcBorders>
              <w:top w:val="nil"/>
              <w:left w:val="nil"/>
              <w:right w:val="nil"/>
            </w:tcBorders>
            <w:noWrap/>
            <w:tcMar>
              <w:top w:w="15" w:type="dxa"/>
              <w:left w:w="15" w:type="dxa"/>
              <w:bottom w:w="0" w:type="dxa"/>
              <w:right w:w="15" w:type="dxa"/>
            </w:tcMar>
            <w:vAlign w:val="center"/>
          </w:tcPr>
          <w:p w14:paraId="52F3290C" w14:textId="5AB2B3A0" w:rsidR="00B4411E" w:rsidRPr="00417332" w:rsidRDefault="00DC371B" w:rsidP="00ED02FD">
            <w:pPr>
              <w:ind w:right="38"/>
              <w:jc w:val="right"/>
              <w:rPr>
                <w:rFonts w:ascii="CAIXA Std Book" w:hAnsi="CAIXA Std Book" w:cs="Calibri"/>
                <w:color w:val="005CA9"/>
                <w:sz w:val="18"/>
                <w:szCs w:val="18"/>
              </w:rPr>
            </w:pPr>
            <w:r>
              <w:rPr>
                <w:rFonts w:ascii="CAIXA Std Book" w:hAnsi="CAIXA Std Book" w:cs="Calibri"/>
                <w:color w:val="005CA9"/>
                <w:sz w:val="18"/>
                <w:szCs w:val="18"/>
              </w:rPr>
              <w:t>55.459.159</w:t>
            </w:r>
          </w:p>
        </w:tc>
      </w:tr>
      <w:tr w:rsidR="00B4411E" w14:paraId="42E034C6" w14:textId="77777777" w:rsidTr="00E96052">
        <w:trPr>
          <w:trHeight w:val="283"/>
        </w:trPr>
        <w:tc>
          <w:tcPr>
            <w:tcW w:w="1658" w:type="pct"/>
            <w:tcBorders>
              <w:top w:val="nil"/>
              <w:left w:val="nil"/>
              <w:right w:val="nil"/>
            </w:tcBorders>
            <w:noWrap/>
            <w:tcMar>
              <w:top w:w="15" w:type="dxa"/>
              <w:left w:w="15" w:type="dxa"/>
              <w:bottom w:w="0" w:type="dxa"/>
              <w:right w:w="15" w:type="dxa"/>
            </w:tcMar>
            <w:vAlign w:val="center"/>
            <w:hideMark/>
          </w:tcPr>
          <w:p w14:paraId="5B5FFC7F" w14:textId="77777777" w:rsidR="00B4411E" w:rsidRDefault="00B4411E" w:rsidP="00B4411E">
            <w:pPr>
              <w:rPr>
                <w:rFonts w:ascii="CAIXA Std Book" w:hAnsi="CAIXA Std Book"/>
                <w:color w:val="005CA9"/>
                <w:sz w:val="18"/>
                <w:szCs w:val="18"/>
              </w:rPr>
            </w:pPr>
            <w:r>
              <w:rPr>
                <w:rFonts w:ascii="CAIXA Std Book" w:hAnsi="CAIXA Std Book"/>
                <w:color w:val="005CA9"/>
                <w:sz w:val="18"/>
                <w:szCs w:val="18"/>
              </w:rPr>
              <w:t>Financiamentos imobiliários (1)</w:t>
            </w:r>
          </w:p>
        </w:tc>
        <w:tc>
          <w:tcPr>
            <w:tcW w:w="557" w:type="pct"/>
            <w:tcBorders>
              <w:top w:val="nil"/>
              <w:left w:val="nil"/>
              <w:right w:val="nil"/>
            </w:tcBorders>
            <w:noWrap/>
            <w:tcMar>
              <w:top w:w="15" w:type="dxa"/>
              <w:left w:w="15" w:type="dxa"/>
              <w:bottom w:w="0" w:type="dxa"/>
              <w:right w:w="15" w:type="dxa"/>
            </w:tcMar>
            <w:vAlign w:val="center"/>
          </w:tcPr>
          <w:p w14:paraId="0C668009" w14:textId="2128FE18" w:rsidR="00B4411E" w:rsidRDefault="00F55497" w:rsidP="00B4411E">
            <w:pPr>
              <w:jc w:val="right"/>
              <w:rPr>
                <w:rFonts w:ascii="CAIXA Std Book" w:hAnsi="CAIXA Std Book"/>
                <w:color w:val="005CA9"/>
                <w:sz w:val="18"/>
                <w:szCs w:val="18"/>
              </w:rPr>
            </w:pPr>
            <w:r>
              <w:rPr>
                <w:rFonts w:ascii="CAIXA Std Book" w:hAnsi="CAIXA Std Book" w:cs="Calibri"/>
                <w:color w:val="005CA9"/>
                <w:sz w:val="18"/>
                <w:szCs w:val="18"/>
              </w:rPr>
              <w:t>958.363.248</w:t>
            </w:r>
          </w:p>
        </w:tc>
        <w:tc>
          <w:tcPr>
            <w:tcW w:w="557" w:type="pct"/>
            <w:tcBorders>
              <w:top w:val="nil"/>
              <w:left w:val="nil"/>
              <w:right w:val="nil"/>
            </w:tcBorders>
            <w:noWrap/>
            <w:tcMar>
              <w:top w:w="15" w:type="dxa"/>
              <w:left w:w="15" w:type="dxa"/>
              <w:bottom w:w="0" w:type="dxa"/>
              <w:right w:w="15" w:type="dxa"/>
            </w:tcMar>
            <w:vAlign w:val="center"/>
          </w:tcPr>
          <w:p w14:paraId="534AA253" w14:textId="2B730906" w:rsidR="00B4411E" w:rsidRPr="00F55497" w:rsidRDefault="00F55497" w:rsidP="00B4411E">
            <w:pPr>
              <w:jc w:val="right"/>
              <w:rPr>
                <w:rFonts w:ascii="CAIXA Std Book" w:hAnsi="CAIXA Std Book" w:cs="Calibri"/>
                <w:color w:val="005CA9"/>
                <w:sz w:val="18"/>
                <w:szCs w:val="18"/>
              </w:rPr>
            </w:pPr>
            <w:r w:rsidRPr="00F55497">
              <w:rPr>
                <w:rFonts w:ascii="CAIXA Std Book" w:hAnsi="CAIXA Std Book" w:cs="Calibri"/>
                <w:color w:val="005CA9"/>
                <w:sz w:val="18"/>
                <w:szCs w:val="18"/>
              </w:rPr>
              <w:t>(19.887.204)</w:t>
            </w:r>
          </w:p>
        </w:tc>
        <w:tc>
          <w:tcPr>
            <w:tcW w:w="557" w:type="pct"/>
            <w:tcBorders>
              <w:top w:val="nil"/>
              <w:left w:val="nil"/>
              <w:right w:val="nil"/>
            </w:tcBorders>
            <w:noWrap/>
            <w:tcMar>
              <w:top w:w="15" w:type="dxa"/>
              <w:left w:w="15" w:type="dxa"/>
              <w:bottom w:w="0" w:type="dxa"/>
              <w:right w:w="15" w:type="dxa"/>
            </w:tcMar>
            <w:vAlign w:val="center"/>
          </w:tcPr>
          <w:p w14:paraId="714227CF" w14:textId="3BA5E0F0" w:rsidR="00B4411E" w:rsidRPr="00F55497" w:rsidRDefault="00F55497" w:rsidP="00B4411E">
            <w:pPr>
              <w:jc w:val="right"/>
              <w:rPr>
                <w:rFonts w:ascii="CAIXA Std Book" w:hAnsi="CAIXA Std Book" w:cs="Calibri"/>
                <w:color w:val="005CA9"/>
                <w:sz w:val="18"/>
                <w:szCs w:val="18"/>
              </w:rPr>
            </w:pPr>
            <w:r>
              <w:rPr>
                <w:rFonts w:ascii="CAIXA Std Book" w:hAnsi="CAIXA Std Book" w:cs="Calibri"/>
                <w:color w:val="005CA9"/>
                <w:sz w:val="18"/>
                <w:szCs w:val="18"/>
              </w:rPr>
              <w:t>938.476.044</w:t>
            </w:r>
          </w:p>
        </w:tc>
        <w:tc>
          <w:tcPr>
            <w:tcW w:w="557" w:type="pct"/>
            <w:tcBorders>
              <w:top w:val="nil"/>
              <w:left w:val="nil"/>
              <w:right w:val="nil"/>
            </w:tcBorders>
            <w:noWrap/>
            <w:tcMar>
              <w:top w:w="15" w:type="dxa"/>
              <w:left w:w="15" w:type="dxa"/>
              <w:bottom w:w="0" w:type="dxa"/>
              <w:right w:w="15" w:type="dxa"/>
            </w:tcMar>
            <w:vAlign w:val="center"/>
          </w:tcPr>
          <w:p w14:paraId="11FE325A" w14:textId="24B7BEE0" w:rsidR="00B4411E" w:rsidRPr="006B4B37" w:rsidRDefault="00DC371B" w:rsidP="00B4411E">
            <w:pPr>
              <w:jc w:val="right"/>
              <w:rPr>
                <w:rFonts w:ascii="CAIXA Std Book" w:hAnsi="CAIXA Std Book" w:cs="Calibri"/>
                <w:color w:val="005CA9"/>
                <w:sz w:val="18"/>
                <w:szCs w:val="18"/>
              </w:rPr>
            </w:pPr>
            <w:r>
              <w:rPr>
                <w:rFonts w:ascii="CAIXA Std Book" w:hAnsi="CAIXA Std Book" w:cs="Calibri"/>
                <w:color w:val="005CA9"/>
                <w:sz w:val="18"/>
                <w:szCs w:val="18"/>
              </w:rPr>
              <w:t>930.687.442</w:t>
            </w:r>
          </w:p>
        </w:tc>
        <w:tc>
          <w:tcPr>
            <w:tcW w:w="557" w:type="pct"/>
            <w:tcBorders>
              <w:top w:val="nil"/>
              <w:left w:val="nil"/>
              <w:right w:val="nil"/>
            </w:tcBorders>
            <w:noWrap/>
            <w:tcMar>
              <w:top w:w="15" w:type="dxa"/>
              <w:left w:w="15" w:type="dxa"/>
              <w:bottom w:w="0" w:type="dxa"/>
              <w:right w:w="15" w:type="dxa"/>
            </w:tcMar>
            <w:vAlign w:val="center"/>
          </w:tcPr>
          <w:p w14:paraId="5FDE6DCD" w14:textId="187009EB" w:rsidR="00B4411E" w:rsidRPr="00417332" w:rsidRDefault="00DC371B" w:rsidP="00B4411E">
            <w:pPr>
              <w:jc w:val="right"/>
              <w:rPr>
                <w:rFonts w:ascii="CAIXA Std Book" w:hAnsi="CAIXA Std Book" w:cs="Calibri"/>
                <w:color w:val="005CA9"/>
                <w:sz w:val="18"/>
                <w:szCs w:val="18"/>
              </w:rPr>
            </w:pPr>
            <w:r>
              <w:rPr>
                <w:rFonts w:ascii="CAIXA Std Book" w:hAnsi="CAIXA Std Book" w:cs="Calibri"/>
                <w:color w:val="005CA9"/>
                <w:sz w:val="18"/>
                <w:szCs w:val="18"/>
              </w:rPr>
              <w:t>(18.111.147)</w:t>
            </w:r>
          </w:p>
        </w:tc>
        <w:tc>
          <w:tcPr>
            <w:tcW w:w="557" w:type="pct"/>
            <w:tcBorders>
              <w:top w:val="nil"/>
              <w:left w:val="nil"/>
              <w:right w:val="nil"/>
            </w:tcBorders>
            <w:noWrap/>
            <w:tcMar>
              <w:top w:w="15" w:type="dxa"/>
              <w:left w:w="15" w:type="dxa"/>
              <w:bottom w:w="0" w:type="dxa"/>
              <w:right w:w="15" w:type="dxa"/>
            </w:tcMar>
            <w:vAlign w:val="center"/>
          </w:tcPr>
          <w:p w14:paraId="732739C5" w14:textId="394BC2B5" w:rsidR="00B4411E" w:rsidRPr="00417332" w:rsidRDefault="00DC371B" w:rsidP="00ED02FD">
            <w:pPr>
              <w:ind w:right="38"/>
              <w:jc w:val="right"/>
              <w:rPr>
                <w:rFonts w:ascii="CAIXA Std Book" w:hAnsi="CAIXA Std Book" w:cs="Calibri"/>
                <w:color w:val="005CA9"/>
                <w:sz w:val="18"/>
                <w:szCs w:val="18"/>
              </w:rPr>
            </w:pPr>
            <w:r>
              <w:rPr>
                <w:rFonts w:ascii="CAIXA Std Book" w:hAnsi="CAIXA Std Book" w:cs="Calibri"/>
                <w:color w:val="005CA9"/>
                <w:sz w:val="18"/>
                <w:szCs w:val="18"/>
              </w:rPr>
              <w:t>912.576.295</w:t>
            </w:r>
          </w:p>
        </w:tc>
      </w:tr>
      <w:tr w:rsidR="00B4411E" w14:paraId="262ACF6B" w14:textId="77777777" w:rsidTr="00E96052">
        <w:trPr>
          <w:trHeight w:val="283"/>
        </w:trPr>
        <w:tc>
          <w:tcPr>
            <w:tcW w:w="1658" w:type="pct"/>
            <w:tcBorders>
              <w:top w:val="nil"/>
              <w:left w:val="nil"/>
              <w:right w:val="nil"/>
            </w:tcBorders>
            <w:noWrap/>
            <w:tcMar>
              <w:top w:w="15" w:type="dxa"/>
              <w:left w:w="15" w:type="dxa"/>
              <w:bottom w:w="0" w:type="dxa"/>
              <w:right w:w="15" w:type="dxa"/>
            </w:tcMar>
            <w:vAlign w:val="center"/>
            <w:hideMark/>
          </w:tcPr>
          <w:p w14:paraId="2E5573A9" w14:textId="77777777" w:rsidR="00B4411E" w:rsidRDefault="00B4411E" w:rsidP="00B4411E">
            <w:pPr>
              <w:rPr>
                <w:rFonts w:ascii="CAIXA Std Book" w:hAnsi="CAIXA Std Book"/>
                <w:color w:val="005CA9"/>
                <w:sz w:val="18"/>
                <w:szCs w:val="18"/>
              </w:rPr>
            </w:pPr>
            <w:r>
              <w:rPr>
                <w:rFonts w:ascii="CAIXA Std Book" w:hAnsi="CAIXA Std Book"/>
                <w:color w:val="005CA9"/>
                <w:sz w:val="18"/>
                <w:szCs w:val="18"/>
              </w:rPr>
              <w:t>Financiamentos de infraestrutura</w:t>
            </w:r>
          </w:p>
        </w:tc>
        <w:tc>
          <w:tcPr>
            <w:tcW w:w="557" w:type="pct"/>
            <w:tcBorders>
              <w:top w:val="nil"/>
              <w:left w:val="nil"/>
              <w:right w:val="nil"/>
            </w:tcBorders>
            <w:noWrap/>
            <w:tcMar>
              <w:top w:w="15" w:type="dxa"/>
              <w:left w:w="15" w:type="dxa"/>
              <w:bottom w:w="0" w:type="dxa"/>
              <w:right w:w="15" w:type="dxa"/>
            </w:tcMar>
            <w:vAlign w:val="center"/>
          </w:tcPr>
          <w:p w14:paraId="1F42EB2B" w14:textId="0EF5AFAC" w:rsidR="00B4411E" w:rsidRDefault="00F55497" w:rsidP="00B4411E">
            <w:pPr>
              <w:jc w:val="right"/>
              <w:rPr>
                <w:rFonts w:ascii="CAIXA Std Book" w:hAnsi="CAIXA Std Book"/>
                <w:color w:val="005CA9"/>
                <w:sz w:val="18"/>
                <w:szCs w:val="18"/>
              </w:rPr>
            </w:pPr>
            <w:r>
              <w:rPr>
                <w:rFonts w:ascii="CAIXA Std Book" w:hAnsi="CAIXA Std Book" w:cs="Calibri"/>
                <w:color w:val="005CA9"/>
                <w:sz w:val="18"/>
                <w:szCs w:val="18"/>
              </w:rPr>
              <w:t>109.733.553</w:t>
            </w:r>
          </w:p>
        </w:tc>
        <w:tc>
          <w:tcPr>
            <w:tcW w:w="557" w:type="pct"/>
            <w:tcBorders>
              <w:top w:val="nil"/>
              <w:left w:val="nil"/>
              <w:right w:val="nil"/>
            </w:tcBorders>
            <w:noWrap/>
            <w:tcMar>
              <w:top w:w="15" w:type="dxa"/>
              <w:left w:w="15" w:type="dxa"/>
              <w:bottom w:w="0" w:type="dxa"/>
              <w:right w:w="15" w:type="dxa"/>
            </w:tcMar>
            <w:vAlign w:val="center"/>
          </w:tcPr>
          <w:p w14:paraId="6544A31D" w14:textId="60C504D4" w:rsidR="00B4411E" w:rsidRDefault="00F55497" w:rsidP="00B4411E">
            <w:pPr>
              <w:jc w:val="right"/>
              <w:rPr>
                <w:rFonts w:ascii="CAIXA Std Book" w:hAnsi="CAIXA Std Book"/>
                <w:color w:val="005CA9"/>
                <w:sz w:val="18"/>
                <w:szCs w:val="18"/>
              </w:rPr>
            </w:pPr>
            <w:r>
              <w:rPr>
                <w:rFonts w:ascii="CAIXA Std Book" w:hAnsi="CAIXA Std Book" w:cs="Calibri"/>
                <w:color w:val="005CA9"/>
                <w:sz w:val="18"/>
                <w:szCs w:val="18"/>
              </w:rPr>
              <w:t>(4.692.423)</w:t>
            </w:r>
          </w:p>
        </w:tc>
        <w:tc>
          <w:tcPr>
            <w:tcW w:w="557" w:type="pct"/>
            <w:tcBorders>
              <w:top w:val="nil"/>
              <w:left w:val="nil"/>
              <w:right w:val="nil"/>
            </w:tcBorders>
            <w:noWrap/>
            <w:tcMar>
              <w:top w:w="15" w:type="dxa"/>
              <w:left w:w="15" w:type="dxa"/>
              <w:bottom w:w="0" w:type="dxa"/>
              <w:right w:w="15" w:type="dxa"/>
            </w:tcMar>
            <w:vAlign w:val="center"/>
          </w:tcPr>
          <w:p w14:paraId="15328F37" w14:textId="0943CD25" w:rsidR="00B4411E" w:rsidRDefault="00F55497" w:rsidP="00B4411E">
            <w:pPr>
              <w:jc w:val="right"/>
              <w:rPr>
                <w:rFonts w:ascii="CAIXA Std Book" w:hAnsi="CAIXA Std Book"/>
                <w:color w:val="005CA9"/>
                <w:sz w:val="18"/>
                <w:szCs w:val="18"/>
              </w:rPr>
            </w:pPr>
            <w:r>
              <w:rPr>
                <w:rFonts w:ascii="CAIXA Std Book" w:hAnsi="CAIXA Std Book" w:cs="Calibri"/>
                <w:color w:val="005CA9"/>
                <w:sz w:val="18"/>
                <w:szCs w:val="18"/>
              </w:rPr>
              <w:t>105.041.130</w:t>
            </w:r>
          </w:p>
        </w:tc>
        <w:tc>
          <w:tcPr>
            <w:tcW w:w="557" w:type="pct"/>
            <w:tcBorders>
              <w:top w:val="nil"/>
              <w:left w:val="nil"/>
              <w:right w:val="nil"/>
            </w:tcBorders>
            <w:noWrap/>
            <w:tcMar>
              <w:top w:w="15" w:type="dxa"/>
              <w:left w:w="15" w:type="dxa"/>
              <w:bottom w:w="0" w:type="dxa"/>
              <w:right w:w="15" w:type="dxa"/>
            </w:tcMar>
            <w:vAlign w:val="center"/>
          </w:tcPr>
          <w:p w14:paraId="4FACF83D" w14:textId="6D8B3030" w:rsidR="00B4411E" w:rsidRPr="006B4B37" w:rsidRDefault="00DC371B" w:rsidP="00B4411E">
            <w:pPr>
              <w:jc w:val="right"/>
              <w:rPr>
                <w:rFonts w:ascii="CAIXA Std Book" w:hAnsi="CAIXA Std Book" w:cs="Calibri"/>
                <w:color w:val="005CA9"/>
                <w:sz w:val="18"/>
                <w:szCs w:val="18"/>
              </w:rPr>
            </w:pPr>
            <w:r>
              <w:rPr>
                <w:rFonts w:ascii="CAIXA Std Book" w:hAnsi="CAIXA Std Book" w:cs="Calibri"/>
                <w:color w:val="005CA9"/>
                <w:sz w:val="18"/>
                <w:szCs w:val="18"/>
              </w:rPr>
              <w:t>110.146.098</w:t>
            </w:r>
          </w:p>
        </w:tc>
        <w:tc>
          <w:tcPr>
            <w:tcW w:w="557" w:type="pct"/>
            <w:tcBorders>
              <w:top w:val="nil"/>
              <w:left w:val="nil"/>
              <w:right w:val="nil"/>
            </w:tcBorders>
            <w:noWrap/>
            <w:tcMar>
              <w:top w:w="15" w:type="dxa"/>
              <w:left w:w="15" w:type="dxa"/>
              <w:bottom w:w="0" w:type="dxa"/>
              <w:right w:w="15" w:type="dxa"/>
            </w:tcMar>
            <w:vAlign w:val="center"/>
          </w:tcPr>
          <w:p w14:paraId="39BC0C09" w14:textId="04F1586F" w:rsidR="00B4411E" w:rsidRPr="00417332" w:rsidRDefault="00DC371B" w:rsidP="00B4411E">
            <w:pPr>
              <w:jc w:val="right"/>
              <w:rPr>
                <w:rFonts w:ascii="CAIXA Std Book" w:hAnsi="CAIXA Std Book" w:cs="Calibri"/>
                <w:color w:val="005CA9"/>
                <w:sz w:val="18"/>
                <w:szCs w:val="18"/>
              </w:rPr>
            </w:pPr>
            <w:r>
              <w:rPr>
                <w:rFonts w:ascii="CAIXA Std Book" w:hAnsi="CAIXA Std Book" w:cs="Calibri"/>
                <w:color w:val="005CA9"/>
                <w:sz w:val="18"/>
                <w:szCs w:val="18"/>
              </w:rPr>
              <w:t>(4.812.460)</w:t>
            </w:r>
          </w:p>
        </w:tc>
        <w:tc>
          <w:tcPr>
            <w:tcW w:w="557" w:type="pct"/>
            <w:tcBorders>
              <w:top w:val="nil"/>
              <w:left w:val="nil"/>
              <w:right w:val="nil"/>
            </w:tcBorders>
            <w:noWrap/>
            <w:tcMar>
              <w:top w:w="15" w:type="dxa"/>
              <w:left w:w="15" w:type="dxa"/>
              <w:bottom w:w="0" w:type="dxa"/>
              <w:right w:w="15" w:type="dxa"/>
            </w:tcMar>
            <w:vAlign w:val="center"/>
          </w:tcPr>
          <w:p w14:paraId="7E2680DE" w14:textId="07F2D71F" w:rsidR="00B4411E" w:rsidRPr="00417332" w:rsidRDefault="00DC371B" w:rsidP="00ED02FD">
            <w:pPr>
              <w:ind w:right="38"/>
              <w:jc w:val="right"/>
              <w:rPr>
                <w:rFonts w:ascii="CAIXA Std Book" w:hAnsi="CAIXA Std Book" w:cs="Calibri"/>
                <w:color w:val="005CA9"/>
                <w:sz w:val="18"/>
                <w:szCs w:val="18"/>
              </w:rPr>
            </w:pPr>
            <w:r>
              <w:rPr>
                <w:rFonts w:ascii="CAIXA Std Book" w:hAnsi="CAIXA Std Book" w:cs="Calibri"/>
                <w:color w:val="005CA9"/>
                <w:sz w:val="18"/>
                <w:szCs w:val="18"/>
              </w:rPr>
              <w:t>105.333.638</w:t>
            </w:r>
          </w:p>
        </w:tc>
      </w:tr>
      <w:tr w:rsidR="00B4411E" w14:paraId="45FD1318" w14:textId="77777777" w:rsidTr="00E96052">
        <w:trPr>
          <w:trHeight w:val="283"/>
        </w:trPr>
        <w:tc>
          <w:tcPr>
            <w:tcW w:w="1658" w:type="pct"/>
            <w:tcBorders>
              <w:top w:val="nil"/>
              <w:left w:val="nil"/>
              <w:right w:val="nil"/>
            </w:tcBorders>
            <w:noWrap/>
            <w:tcMar>
              <w:top w:w="15" w:type="dxa"/>
              <w:left w:w="15" w:type="dxa"/>
              <w:bottom w:w="0" w:type="dxa"/>
              <w:right w:w="15" w:type="dxa"/>
            </w:tcMar>
            <w:vAlign w:val="center"/>
            <w:hideMark/>
          </w:tcPr>
          <w:p w14:paraId="5363FEA2" w14:textId="77777777" w:rsidR="00B4411E" w:rsidRDefault="00B4411E" w:rsidP="00B4411E">
            <w:pPr>
              <w:rPr>
                <w:rFonts w:ascii="CAIXA Std Book" w:hAnsi="CAIXA Std Book"/>
                <w:color w:val="005CA9"/>
                <w:sz w:val="18"/>
                <w:szCs w:val="18"/>
              </w:rPr>
            </w:pPr>
            <w:r>
              <w:rPr>
                <w:rFonts w:ascii="CAIXA Std Book" w:hAnsi="CAIXA Std Book"/>
                <w:color w:val="005CA9"/>
                <w:sz w:val="18"/>
                <w:szCs w:val="18"/>
              </w:rPr>
              <w:t>Cessão de créditos</w:t>
            </w:r>
          </w:p>
        </w:tc>
        <w:tc>
          <w:tcPr>
            <w:tcW w:w="557" w:type="pct"/>
            <w:tcBorders>
              <w:top w:val="nil"/>
              <w:left w:val="nil"/>
              <w:right w:val="nil"/>
            </w:tcBorders>
            <w:noWrap/>
            <w:tcMar>
              <w:top w:w="15" w:type="dxa"/>
              <w:left w:w="15" w:type="dxa"/>
              <w:bottom w:w="0" w:type="dxa"/>
              <w:right w:w="15" w:type="dxa"/>
            </w:tcMar>
            <w:vAlign w:val="center"/>
          </w:tcPr>
          <w:p w14:paraId="3E2C609F" w14:textId="72E90B75" w:rsidR="00B4411E" w:rsidRDefault="00F55497" w:rsidP="00B4411E">
            <w:pPr>
              <w:jc w:val="right"/>
              <w:rPr>
                <w:rFonts w:ascii="CAIXA Std Book" w:hAnsi="CAIXA Std Book"/>
                <w:color w:val="005CA9"/>
                <w:sz w:val="18"/>
                <w:szCs w:val="18"/>
              </w:rPr>
            </w:pPr>
            <w:r>
              <w:rPr>
                <w:rFonts w:ascii="CAIXA Std Book" w:hAnsi="CAIXA Std Book" w:cs="Calibri"/>
                <w:color w:val="005CA9"/>
                <w:sz w:val="18"/>
                <w:szCs w:val="18"/>
              </w:rPr>
              <w:t>2.753.</w:t>
            </w:r>
            <w:r w:rsidR="00C30E7D">
              <w:rPr>
                <w:rFonts w:ascii="CAIXA Std Book" w:hAnsi="CAIXA Std Book" w:cs="Calibri"/>
                <w:color w:val="005CA9"/>
                <w:sz w:val="18"/>
                <w:szCs w:val="18"/>
              </w:rPr>
              <w:t>153</w:t>
            </w:r>
          </w:p>
        </w:tc>
        <w:tc>
          <w:tcPr>
            <w:tcW w:w="557" w:type="pct"/>
            <w:tcBorders>
              <w:top w:val="nil"/>
              <w:left w:val="nil"/>
              <w:right w:val="nil"/>
            </w:tcBorders>
            <w:noWrap/>
            <w:tcMar>
              <w:top w:w="15" w:type="dxa"/>
              <w:left w:w="15" w:type="dxa"/>
              <w:bottom w:w="0" w:type="dxa"/>
              <w:right w:w="15" w:type="dxa"/>
            </w:tcMar>
            <w:vAlign w:val="center"/>
          </w:tcPr>
          <w:p w14:paraId="47839073" w14:textId="7914D616" w:rsidR="00B4411E" w:rsidRDefault="00F55497" w:rsidP="00B4411E">
            <w:pPr>
              <w:jc w:val="right"/>
              <w:rPr>
                <w:rFonts w:ascii="CAIXA Std Book" w:hAnsi="CAIXA Std Book"/>
                <w:color w:val="005CA9"/>
                <w:sz w:val="18"/>
                <w:szCs w:val="18"/>
              </w:rPr>
            </w:pPr>
            <w:r>
              <w:rPr>
                <w:rFonts w:ascii="CAIXA Std Book" w:hAnsi="CAIXA Std Book" w:cs="Calibri"/>
                <w:color w:val="005CA9"/>
                <w:sz w:val="18"/>
                <w:szCs w:val="18"/>
              </w:rPr>
              <w:t>(26.894)</w:t>
            </w:r>
          </w:p>
        </w:tc>
        <w:tc>
          <w:tcPr>
            <w:tcW w:w="557" w:type="pct"/>
            <w:tcBorders>
              <w:top w:val="nil"/>
              <w:left w:val="nil"/>
              <w:right w:val="nil"/>
            </w:tcBorders>
            <w:noWrap/>
            <w:tcMar>
              <w:top w:w="15" w:type="dxa"/>
              <w:left w:w="15" w:type="dxa"/>
              <w:bottom w:w="0" w:type="dxa"/>
              <w:right w:w="15" w:type="dxa"/>
            </w:tcMar>
            <w:vAlign w:val="center"/>
          </w:tcPr>
          <w:p w14:paraId="1D4959B5" w14:textId="770F8403" w:rsidR="00B4411E" w:rsidRDefault="00F55497" w:rsidP="00B4411E">
            <w:pPr>
              <w:jc w:val="right"/>
              <w:rPr>
                <w:rFonts w:ascii="CAIXA Std Book" w:hAnsi="CAIXA Std Book"/>
                <w:color w:val="005CA9"/>
                <w:sz w:val="18"/>
                <w:szCs w:val="18"/>
              </w:rPr>
            </w:pPr>
            <w:r>
              <w:rPr>
                <w:rFonts w:ascii="CAIXA Std Book" w:hAnsi="CAIXA Std Book" w:cs="Calibri"/>
                <w:color w:val="005CA9"/>
                <w:sz w:val="18"/>
                <w:szCs w:val="18"/>
              </w:rPr>
              <w:t>2.726.</w:t>
            </w:r>
            <w:r w:rsidR="00C30E7D">
              <w:rPr>
                <w:rFonts w:ascii="CAIXA Std Book" w:hAnsi="CAIXA Std Book" w:cs="Calibri"/>
                <w:color w:val="005CA9"/>
                <w:sz w:val="18"/>
                <w:szCs w:val="18"/>
              </w:rPr>
              <w:t>259</w:t>
            </w:r>
          </w:p>
        </w:tc>
        <w:tc>
          <w:tcPr>
            <w:tcW w:w="557" w:type="pct"/>
            <w:tcBorders>
              <w:top w:val="nil"/>
              <w:left w:val="nil"/>
              <w:right w:val="nil"/>
            </w:tcBorders>
            <w:noWrap/>
            <w:tcMar>
              <w:top w:w="15" w:type="dxa"/>
              <w:left w:w="15" w:type="dxa"/>
              <w:bottom w:w="0" w:type="dxa"/>
              <w:right w:w="15" w:type="dxa"/>
            </w:tcMar>
            <w:vAlign w:val="center"/>
          </w:tcPr>
          <w:p w14:paraId="220324A3" w14:textId="5AE30C3B" w:rsidR="00B4411E" w:rsidRPr="006B4B37" w:rsidRDefault="00DC371B" w:rsidP="00B4411E">
            <w:pPr>
              <w:jc w:val="right"/>
              <w:rPr>
                <w:rFonts w:ascii="CAIXA Std Book" w:hAnsi="CAIXA Std Book" w:cs="Calibri"/>
                <w:color w:val="005CA9"/>
                <w:sz w:val="18"/>
                <w:szCs w:val="18"/>
              </w:rPr>
            </w:pPr>
            <w:r>
              <w:rPr>
                <w:rFonts w:ascii="CAIXA Std Book" w:hAnsi="CAIXA Std Book" w:cs="Calibri"/>
                <w:color w:val="005CA9"/>
                <w:sz w:val="18"/>
                <w:szCs w:val="18"/>
              </w:rPr>
              <w:t>2.870.790</w:t>
            </w:r>
          </w:p>
        </w:tc>
        <w:tc>
          <w:tcPr>
            <w:tcW w:w="557" w:type="pct"/>
            <w:tcBorders>
              <w:top w:val="nil"/>
              <w:left w:val="nil"/>
              <w:right w:val="nil"/>
            </w:tcBorders>
            <w:noWrap/>
            <w:tcMar>
              <w:top w:w="15" w:type="dxa"/>
              <w:left w:w="15" w:type="dxa"/>
              <w:bottom w:w="0" w:type="dxa"/>
              <w:right w:w="15" w:type="dxa"/>
            </w:tcMar>
            <w:vAlign w:val="center"/>
          </w:tcPr>
          <w:p w14:paraId="6DA13750" w14:textId="198D318C" w:rsidR="00B4411E" w:rsidRPr="00417332" w:rsidRDefault="00DC371B" w:rsidP="00B4411E">
            <w:pPr>
              <w:jc w:val="right"/>
              <w:rPr>
                <w:rFonts w:ascii="CAIXA Std Book" w:hAnsi="CAIXA Std Book" w:cs="Calibri"/>
                <w:color w:val="005CA9"/>
                <w:sz w:val="18"/>
                <w:szCs w:val="18"/>
              </w:rPr>
            </w:pPr>
            <w:r>
              <w:rPr>
                <w:rFonts w:ascii="CAIXA Std Book" w:hAnsi="CAIXA Std Book" w:cs="Calibri"/>
                <w:color w:val="005CA9"/>
                <w:sz w:val="18"/>
                <w:szCs w:val="18"/>
              </w:rPr>
              <w:t>(26.325)</w:t>
            </w:r>
          </w:p>
        </w:tc>
        <w:tc>
          <w:tcPr>
            <w:tcW w:w="557" w:type="pct"/>
            <w:tcBorders>
              <w:top w:val="nil"/>
              <w:left w:val="nil"/>
              <w:right w:val="nil"/>
            </w:tcBorders>
            <w:noWrap/>
            <w:tcMar>
              <w:top w:w="15" w:type="dxa"/>
              <w:left w:w="15" w:type="dxa"/>
              <w:bottom w:w="0" w:type="dxa"/>
              <w:right w:w="15" w:type="dxa"/>
            </w:tcMar>
            <w:vAlign w:val="center"/>
          </w:tcPr>
          <w:p w14:paraId="5CD3D772" w14:textId="51384F2A" w:rsidR="00B4411E" w:rsidRPr="00417332" w:rsidRDefault="00DC371B" w:rsidP="00ED02FD">
            <w:pPr>
              <w:ind w:right="38"/>
              <w:jc w:val="right"/>
              <w:rPr>
                <w:rFonts w:ascii="CAIXA Std Book" w:hAnsi="CAIXA Std Book" w:cs="Calibri"/>
                <w:color w:val="005CA9"/>
                <w:sz w:val="18"/>
                <w:szCs w:val="18"/>
              </w:rPr>
            </w:pPr>
            <w:r>
              <w:rPr>
                <w:rFonts w:ascii="CAIXA Std Book" w:hAnsi="CAIXA Std Book" w:cs="Calibri"/>
                <w:color w:val="005CA9"/>
                <w:sz w:val="18"/>
                <w:szCs w:val="18"/>
              </w:rPr>
              <w:t>2.844.465</w:t>
            </w:r>
          </w:p>
        </w:tc>
      </w:tr>
      <w:tr w:rsidR="00342445" w14:paraId="1D3FFB99" w14:textId="77777777" w:rsidTr="00E96052">
        <w:trPr>
          <w:trHeight w:val="283"/>
        </w:trPr>
        <w:tc>
          <w:tcPr>
            <w:tcW w:w="1658" w:type="pct"/>
            <w:tcBorders>
              <w:top w:val="nil"/>
              <w:left w:val="nil"/>
              <w:right w:val="nil"/>
            </w:tcBorders>
            <w:noWrap/>
            <w:tcMar>
              <w:top w:w="15" w:type="dxa"/>
              <w:left w:w="15" w:type="dxa"/>
              <w:bottom w:w="0" w:type="dxa"/>
              <w:right w:w="15" w:type="dxa"/>
            </w:tcMar>
            <w:vAlign w:val="center"/>
            <w:hideMark/>
          </w:tcPr>
          <w:p w14:paraId="18D26207" w14:textId="77777777" w:rsidR="00342445" w:rsidRDefault="00342445" w:rsidP="00342445">
            <w:pPr>
              <w:rPr>
                <w:rFonts w:ascii="CAIXA Std Book" w:hAnsi="CAIXA Std Book"/>
                <w:color w:val="005CA9"/>
                <w:sz w:val="18"/>
                <w:szCs w:val="18"/>
              </w:rPr>
            </w:pPr>
            <w:r>
              <w:rPr>
                <w:rFonts w:ascii="CAIXA Std Book" w:hAnsi="CAIXA Std Book"/>
                <w:color w:val="005CA9"/>
                <w:sz w:val="18"/>
                <w:szCs w:val="18"/>
              </w:rPr>
              <w:t>Outros ativos com características de concessão de crédito</w:t>
            </w:r>
          </w:p>
        </w:tc>
        <w:tc>
          <w:tcPr>
            <w:tcW w:w="557" w:type="pct"/>
            <w:tcBorders>
              <w:top w:val="nil"/>
              <w:left w:val="nil"/>
              <w:right w:val="nil"/>
            </w:tcBorders>
            <w:noWrap/>
            <w:tcMar>
              <w:top w:w="15" w:type="dxa"/>
              <w:left w:w="15" w:type="dxa"/>
              <w:bottom w:w="0" w:type="dxa"/>
              <w:right w:w="15" w:type="dxa"/>
            </w:tcMar>
            <w:vAlign w:val="center"/>
          </w:tcPr>
          <w:p w14:paraId="5A076602" w14:textId="12F792A4" w:rsidR="00342445" w:rsidRDefault="00F55497" w:rsidP="00342445">
            <w:pPr>
              <w:jc w:val="right"/>
              <w:rPr>
                <w:rFonts w:ascii="CAIXA Std Book" w:hAnsi="CAIXA Std Book"/>
                <w:color w:val="005CA9"/>
                <w:sz w:val="18"/>
                <w:szCs w:val="18"/>
              </w:rPr>
            </w:pPr>
            <w:r>
              <w:rPr>
                <w:rFonts w:ascii="CAIXA Std Book" w:hAnsi="CAIXA Std Book" w:cs="Calibri"/>
                <w:color w:val="005CA9"/>
                <w:sz w:val="18"/>
                <w:szCs w:val="18"/>
              </w:rPr>
              <w:t>20.022.</w:t>
            </w:r>
            <w:r w:rsidR="00C30E7D">
              <w:rPr>
                <w:rFonts w:ascii="CAIXA Std Book" w:hAnsi="CAIXA Std Book" w:cs="Calibri"/>
                <w:color w:val="005CA9"/>
                <w:sz w:val="18"/>
                <w:szCs w:val="18"/>
              </w:rPr>
              <w:t>449</w:t>
            </w:r>
          </w:p>
        </w:tc>
        <w:tc>
          <w:tcPr>
            <w:tcW w:w="557" w:type="pct"/>
            <w:tcBorders>
              <w:top w:val="nil"/>
              <w:left w:val="nil"/>
              <w:right w:val="nil"/>
            </w:tcBorders>
            <w:noWrap/>
            <w:tcMar>
              <w:top w:w="15" w:type="dxa"/>
              <w:left w:w="15" w:type="dxa"/>
              <w:bottom w:w="0" w:type="dxa"/>
              <w:right w:w="15" w:type="dxa"/>
            </w:tcMar>
            <w:vAlign w:val="center"/>
          </w:tcPr>
          <w:p w14:paraId="68E12ECB" w14:textId="1CE16EA2" w:rsidR="00342445" w:rsidRDefault="00F55497" w:rsidP="00342445">
            <w:pPr>
              <w:jc w:val="right"/>
              <w:rPr>
                <w:rFonts w:ascii="CAIXA Std Book" w:hAnsi="CAIXA Std Book"/>
                <w:color w:val="005CA9"/>
                <w:sz w:val="18"/>
                <w:szCs w:val="18"/>
              </w:rPr>
            </w:pPr>
            <w:r>
              <w:rPr>
                <w:rFonts w:ascii="CAIXA Std Book" w:hAnsi="CAIXA Std Book" w:cs="Calibri"/>
                <w:color w:val="005CA9"/>
                <w:sz w:val="18"/>
                <w:szCs w:val="18"/>
              </w:rPr>
              <w:t>(1.368.837)</w:t>
            </w:r>
          </w:p>
        </w:tc>
        <w:tc>
          <w:tcPr>
            <w:tcW w:w="557" w:type="pct"/>
            <w:tcBorders>
              <w:top w:val="nil"/>
              <w:left w:val="nil"/>
              <w:right w:val="nil"/>
            </w:tcBorders>
            <w:noWrap/>
            <w:tcMar>
              <w:top w:w="15" w:type="dxa"/>
              <w:left w:w="15" w:type="dxa"/>
              <w:bottom w:w="0" w:type="dxa"/>
              <w:right w:w="15" w:type="dxa"/>
            </w:tcMar>
            <w:vAlign w:val="center"/>
          </w:tcPr>
          <w:p w14:paraId="21CD1A4F" w14:textId="269C615B" w:rsidR="00342445" w:rsidRDefault="00F55497" w:rsidP="00342445">
            <w:pPr>
              <w:jc w:val="right"/>
              <w:rPr>
                <w:rFonts w:ascii="CAIXA Std Book" w:hAnsi="CAIXA Std Book"/>
                <w:color w:val="005CA9"/>
                <w:sz w:val="18"/>
                <w:szCs w:val="18"/>
              </w:rPr>
            </w:pPr>
            <w:r>
              <w:rPr>
                <w:rFonts w:ascii="CAIXA Std Book" w:hAnsi="CAIXA Std Book" w:cs="Calibri"/>
                <w:color w:val="005CA9"/>
                <w:sz w:val="18"/>
                <w:szCs w:val="18"/>
              </w:rPr>
              <w:t>18.653.</w:t>
            </w:r>
            <w:r w:rsidR="00C30E7D">
              <w:rPr>
                <w:rFonts w:ascii="CAIXA Std Book" w:hAnsi="CAIXA Std Book" w:cs="Calibri"/>
                <w:color w:val="005CA9"/>
                <w:sz w:val="18"/>
                <w:szCs w:val="18"/>
              </w:rPr>
              <w:t>612</w:t>
            </w:r>
          </w:p>
        </w:tc>
        <w:tc>
          <w:tcPr>
            <w:tcW w:w="557" w:type="pct"/>
            <w:tcBorders>
              <w:top w:val="nil"/>
              <w:left w:val="nil"/>
              <w:right w:val="nil"/>
            </w:tcBorders>
            <w:noWrap/>
            <w:tcMar>
              <w:top w:w="15" w:type="dxa"/>
              <w:left w:w="15" w:type="dxa"/>
              <w:bottom w:w="0" w:type="dxa"/>
              <w:right w:w="15" w:type="dxa"/>
            </w:tcMar>
            <w:vAlign w:val="center"/>
          </w:tcPr>
          <w:p w14:paraId="54770624" w14:textId="02656338" w:rsidR="00342445" w:rsidRPr="006B4B37" w:rsidRDefault="00DC371B" w:rsidP="00342445">
            <w:pPr>
              <w:jc w:val="right"/>
              <w:rPr>
                <w:rFonts w:ascii="CAIXA Std Book" w:hAnsi="CAIXA Std Book" w:cs="Calibri"/>
                <w:color w:val="005CA9"/>
                <w:sz w:val="18"/>
                <w:szCs w:val="18"/>
              </w:rPr>
            </w:pPr>
            <w:r w:rsidRPr="00417332">
              <w:rPr>
                <w:rFonts w:ascii="CAIXA Std Book" w:hAnsi="CAIXA Std Book" w:cs="Calibri"/>
                <w:color w:val="005CA9"/>
                <w:sz w:val="18"/>
                <w:szCs w:val="18"/>
              </w:rPr>
              <w:t>20.499.259</w:t>
            </w:r>
          </w:p>
        </w:tc>
        <w:tc>
          <w:tcPr>
            <w:tcW w:w="557" w:type="pct"/>
            <w:tcBorders>
              <w:top w:val="nil"/>
              <w:left w:val="nil"/>
              <w:right w:val="nil"/>
            </w:tcBorders>
            <w:noWrap/>
            <w:tcMar>
              <w:top w:w="15" w:type="dxa"/>
              <w:left w:w="15" w:type="dxa"/>
              <w:bottom w:w="0" w:type="dxa"/>
              <w:right w:w="15" w:type="dxa"/>
            </w:tcMar>
            <w:vAlign w:val="center"/>
          </w:tcPr>
          <w:p w14:paraId="75336AD1" w14:textId="2A47F31B" w:rsidR="00342445" w:rsidRPr="00417332" w:rsidRDefault="00342445" w:rsidP="00342445">
            <w:pPr>
              <w:jc w:val="right"/>
              <w:rPr>
                <w:rFonts w:ascii="CAIXA Std Book" w:hAnsi="CAIXA Std Book" w:cs="Calibri"/>
                <w:color w:val="005CA9"/>
                <w:sz w:val="18"/>
                <w:szCs w:val="18"/>
              </w:rPr>
            </w:pPr>
            <w:r>
              <w:rPr>
                <w:rFonts w:ascii="CAIXA Std Book" w:hAnsi="CAIXA Std Book" w:cs="Calibri"/>
                <w:color w:val="005CA9"/>
                <w:sz w:val="18"/>
                <w:szCs w:val="18"/>
              </w:rPr>
              <w:t>(1.</w:t>
            </w:r>
            <w:r w:rsidR="00DC371B" w:rsidRPr="00417332">
              <w:rPr>
                <w:rFonts w:ascii="CAIXA Std Book" w:hAnsi="CAIXA Std Book" w:cs="Calibri"/>
                <w:color w:val="005CA9"/>
                <w:sz w:val="18"/>
                <w:szCs w:val="18"/>
              </w:rPr>
              <w:t>571.784</w:t>
            </w:r>
            <w:r>
              <w:rPr>
                <w:rFonts w:ascii="CAIXA Std Book" w:hAnsi="CAIXA Std Book" w:cs="Calibri"/>
                <w:color w:val="005CA9"/>
                <w:sz w:val="18"/>
                <w:szCs w:val="18"/>
              </w:rPr>
              <w:t>)</w:t>
            </w:r>
          </w:p>
        </w:tc>
        <w:tc>
          <w:tcPr>
            <w:tcW w:w="557" w:type="pct"/>
            <w:tcBorders>
              <w:top w:val="nil"/>
              <w:left w:val="nil"/>
              <w:right w:val="nil"/>
            </w:tcBorders>
            <w:noWrap/>
            <w:tcMar>
              <w:top w:w="15" w:type="dxa"/>
              <w:left w:w="15" w:type="dxa"/>
              <w:bottom w:w="0" w:type="dxa"/>
              <w:right w:w="15" w:type="dxa"/>
            </w:tcMar>
            <w:vAlign w:val="center"/>
          </w:tcPr>
          <w:p w14:paraId="5095C8AA" w14:textId="0D375405" w:rsidR="00342445" w:rsidRPr="00417332" w:rsidRDefault="00DC371B" w:rsidP="00ED02FD">
            <w:pPr>
              <w:ind w:right="38"/>
              <w:jc w:val="right"/>
              <w:rPr>
                <w:rFonts w:ascii="CAIXA Std Book" w:hAnsi="CAIXA Std Book" w:cs="Calibri"/>
                <w:color w:val="005CA9"/>
                <w:sz w:val="18"/>
                <w:szCs w:val="18"/>
              </w:rPr>
            </w:pPr>
            <w:r>
              <w:rPr>
                <w:rFonts w:ascii="CAIXA Std Book" w:hAnsi="CAIXA Std Book" w:cs="Calibri"/>
                <w:color w:val="005CA9"/>
                <w:sz w:val="18"/>
                <w:szCs w:val="18"/>
              </w:rPr>
              <w:t>18.927.475</w:t>
            </w:r>
          </w:p>
        </w:tc>
      </w:tr>
      <w:tr w:rsidR="00342445" w14:paraId="520E67D9" w14:textId="77777777" w:rsidTr="00E96052">
        <w:trPr>
          <w:trHeight w:val="283"/>
        </w:trPr>
        <w:tc>
          <w:tcPr>
            <w:tcW w:w="1658" w:type="pct"/>
            <w:tcBorders>
              <w:left w:val="nil"/>
              <w:right w:val="nil"/>
            </w:tcBorders>
            <w:shd w:val="clear" w:color="auto" w:fill="005CA9"/>
            <w:noWrap/>
            <w:tcMar>
              <w:top w:w="15" w:type="dxa"/>
              <w:left w:w="15" w:type="dxa"/>
              <w:bottom w:w="0" w:type="dxa"/>
              <w:right w:w="15" w:type="dxa"/>
            </w:tcMar>
            <w:vAlign w:val="center"/>
            <w:hideMark/>
          </w:tcPr>
          <w:p w14:paraId="3AA3EE41" w14:textId="77777777" w:rsidR="00342445" w:rsidRDefault="00342445" w:rsidP="00342445">
            <w:pPr>
              <w:rPr>
                <w:rFonts w:ascii="CAIXA Std Book" w:hAnsi="CAIXA Std Book"/>
                <w:b/>
                <w:bCs/>
                <w:color w:val="FFFFFF"/>
                <w:sz w:val="18"/>
                <w:szCs w:val="18"/>
              </w:rPr>
            </w:pPr>
            <w:r>
              <w:rPr>
                <w:rFonts w:ascii="CAIXA Std Book" w:hAnsi="CAIXA Std Book"/>
                <w:b/>
                <w:bCs/>
                <w:color w:val="FFFFFF"/>
                <w:sz w:val="18"/>
                <w:szCs w:val="18"/>
              </w:rPr>
              <w:t>Total</w:t>
            </w:r>
          </w:p>
        </w:tc>
        <w:tc>
          <w:tcPr>
            <w:tcW w:w="557" w:type="pct"/>
            <w:tcBorders>
              <w:left w:val="nil"/>
              <w:bottom w:val="nil"/>
              <w:right w:val="nil"/>
            </w:tcBorders>
            <w:shd w:val="clear" w:color="auto" w:fill="005CA9"/>
            <w:noWrap/>
            <w:tcMar>
              <w:top w:w="15" w:type="dxa"/>
              <w:left w:w="15" w:type="dxa"/>
              <w:bottom w:w="0" w:type="dxa"/>
              <w:right w:w="15" w:type="dxa"/>
            </w:tcMar>
            <w:vAlign w:val="center"/>
          </w:tcPr>
          <w:p w14:paraId="3DF80D01" w14:textId="5238A8BA" w:rsidR="00342445" w:rsidRDefault="00F55497" w:rsidP="00342445">
            <w:pPr>
              <w:jc w:val="right"/>
              <w:rPr>
                <w:rFonts w:ascii="CAIXA Std Book" w:hAnsi="CAIXA Std Book"/>
                <w:b/>
                <w:bCs/>
                <w:color w:val="FFFFFF"/>
                <w:sz w:val="18"/>
                <w:szCs w:val="18"/>
              </w:rPr>
            </w:pPr>
            <w:r>
              <w:rPr>
                <w:rFonts w:ascii="CAIXA Std Book" w:hAnsi="CAIXA Std Book" w:cs="Calibri"/>
                <w:b/>
                <w:bCs/>
                <w:color w:val="FFFFFF"/>
                <w:sz w:val="18"/>
                <w:szCs w:val="18"/>
              </w:rPr>
              <w:t>1.410.089.614</w:t>
            </w:r>
          </w:p>
        </w:tc>
        <w:tc>
          <w:tcPr>
            <w:tcW w:w="557" w:type="pct"/>
            <w:tcBorders>
              <w:left w:val="nil"/>
              <w:bottom w:val="nil"/>
              <w:right w:val="nil"/>
            </w:tcBorders>
            <w:shd w:val="clear" w:color="auto" w:fill="005CA9"/>
            <w:noWrap/>
            <w:tcMar>
              <w:top w:w="15" w:type="dxa"/>
              <w:left w:w="15" w:type="dxa"/>
              <w:bottom w:w="0" w:type="dxa"/>
              <w:right w:w="15" w:type="dxa"/>
            </w:tcMar>
            <w:vAlign w:val="center"/>
          </w:tcPr>
          <w:p w14:paraId="7017AD96" w14:textId="3DA9C8E3" w:rsidR="00342445" w:rsidRDefault="00641016" w:rsidP="00342445">
            <w:pPr>
              <w:jc w:val="right"/>
              <w:rPr>
                <w:rFonts w:ascii="CAIXA Std Book" w:hAnsi="CAIXA Std Book"/>
                <w:b/>
                <w:bCs/>
                <w:color w:val="FFFFFF"/>
                <w:sz w:val="18"/>
                <w:szCs w:val="18"/>
              </w:rPr>
            </w:pPr>
            <w:r>
              <w:rPr>
                <w:rFonts w:ascii="CAIXA Std Book" w:hAnsi="CAIXA Std Book" w:cs="Calibri"/>
                <w:b/>
                <w:bCs/>
                <w:color w:val="FFFFFF"/>
                <w:sz w:val="18"/>
                <w:szCs w:val="18"/>
              </w:rPr>
              <w:t>(</w:t>
            </w:r>
            <w:r w:rsidR="00F55497">
              <w:rPr>
                <w:rFonts w:ascii="CAIXA Std Book" w:hAnsi="CAIXA Std Book" w:cs="Calibri"/>
                <w:b/>
                <w:bCs/>
                <w:color w:val="FFFFFF"/>
                <w:sz w:val="18"/>
                <w:szCs w:val="18"/>
              </w:rPr>
              <w:t>66.679.312</w:t>
            </w:r>
            <w:r w:rsidR="0046143C">
              <w:rPr>
                <w:rFonts w:ascii="CAIXA Std Book" w:hAnsi="CAIXA Std Book" w:cs="Calibri"/>
                <w:b/>
                <w:bCs/>
                <w:color w:val="FFFFFF"/>
                <w:sz w:val="18"/>
                <w:szCs w:val="18"/>
              </w:rPr>
              <w:t>)</w:t>
            </w:r>
          </w:p>
        </w:tc>
        <w:tc>
          <w:tcPr>
            <w:tcW w:w="557" w:type="pct"/>
            <w:tcBorders>
              <w:left w:val="nil"/>
              <w:bottom w:val="nil"/>
              <w:right w:val="nil"/>
            </w:tcBorders>
            <w:shd w:val="clear" w:color="auto" w:fill="005CA9"/>
            <w:noWrap/>
            <w:tcMar>
              <w:top w:w="15" w:type="dxa"/>
              <w:left w:w="15" w:type="dxa"/>
              <w:bottom w:w="0" w:type="dxa"/>
              <w:right w:w="15" w:type="dxa"/>
            </w:tcMar>
            <w:vAlign w:val="center"/>
          </w:tcPr>
          <w:p w14:paraId="576B459B" w14:textId="69824198" w:rsidR="00342445" w:rsidRDefault="00F55497" w:rsidP="00342445">
            <w:pPr>
              <w:jc w:val="right"/>
              <w:rPr>
                <w:rFonts w:ascii="CAIXA Std Book" w:hAnsi="CAIXA Std Book"/>
                <w:b/>
                <w:color w:val="FFFFFF"/>
                <w:sz w:val="18"/>
                <w:szCs w:val="18"/>
              </w:rPr>
            </w:pPr>
            <w:r>
              <w:rPr>
                <w:rFonts w:ascii="CAIXA Std Book" w:hAnsi="CAIXA Std Book" w:cs="Calibri"/>
                <w:b/>
                <w:bCs/>
                <w:color w:val="FFFFFF"/>
                <w:sz w:val="18"/>
                <w:szCs w:val="18"/>
              </w:rPr>
              <w:t>1.343.410.302</w:t>
            </w:r>
          </w:p>
        </w:tc>
        <w:tc>
          <w:tcPr>
            <w:tcW w:w="557" w:type="pct"/>
            <w:tcBorders>
              <w:left w:val="nil"/>
              <w:bottom w:val="nil"/>
              <w:right w:val="nil"/>
            </w:tcBorders>
            <w:shd w:val="clear" w:color="auto" w:fill="005CA9"/>
            <w:noWrap/>
            <w:tcMar>
              <w:top w:w="15" w:type="dxa"/>
              <w:left w:w="15" w:type="dxa"/>
              <w:bottom w:w="0" w:type="dxa"/>
              <w:right w:w="15" w:type="dxa"/>
            </w:tcMar>
            <w:vAlign w:val="center"/>
          </w:tcPr>
          <w:p w14:paraId="495A3DB9" w14:textId="44982F8C" w:rsidR="00342445" w:rsidRPr="00342445" w:rsidRDefault="00DC371B" w:rsidP="00342445">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1.377.893.253</w:t>
            </w:r>
          </w:p>
        </w:tc>
        <w:tc>
          <w:tcPr>
            <w:tcW w:w="557" w:type="pct"/>
            <w:tcBorders>
              <w:left w:val="nil"/>
              <w:bottom w:val="nil"/>
              <w:right w:val="nil"/>
            </w:tcBorders>
            <w:shd w:val="clear" w:color="auto" w:fill="005CA9"/>
            <w:noWrap/>
            <w:tcMar>
              <w:top w:w="15" w:type="dxa"/>
              <w:left w:w="15" w:type="dxa"/>
              <w:bottom w:w="0" w:type="dxa"/>
              <w:right w:w="15" w:type="dxa"/>
            </w:tcMar>
            <w:vAlign w:val="center"/>
          </w:tcPr>
          <w:p w14:paraId="25FECA0F" w14:textId="43C607F1" w:rsidR="00342445" w:rsidRPr="00342445" w:rsidRDefault="00DC371B" w:rsidP="00342445">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(62.708.883)</w:t>
            </w:r>
          </w:p>
        </w:tc>
        <w:tc>
          <w:tcPr>
            <w:tcW w:w="557" w:type="pct"/>
            <w:tcBorders>
              <w:left w:val="nil"/>
              <w:bottom w:val="nil"/>
              <w:right w:val="nil"/>
            </w:tcBorders>
            <w:shd w:val="clear" w:color="auto" w:fill="005CA9"/>
            <w:noWrap/>
            <w:tcMar>
              <w:top w:w="15" w:type="dxa"/>
              <w:left w:w="15" w:type="dxa"/>
              <w:bottom w:w="0" w:type="dxa"/>
              <w:right w:w="15" w:type="dxa"/>
            </w:tcMar>
            <w:vAlign w:val="center"/>
          </w:tcPr>
          <w:p w14:paraId="3A9A71D9" w14:textId="60956643" w:rsidR="00342445" w:rsidRPr="00342445" w:rsidRDefault="00DC371B" w:rsidP="00ED02FD">
            <w:pPr>
              <w:ind w:right="38"/>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1.315.184.370</w:t>
            </w:r>
          </w:p>
        </w:tc>
      </w:tr>
    </w:tbl>
    <w:p w14:paraId="04F819C2" w14:textId="01E0705E" w:rsidR="003457DC" w:rsidRPr="003457DC" w:rsidRDefault="003457DC" w:rsidP="00490EB7">
      <w:pPr>
        <w:jc w:val="both"/>
        <w:rPr>
          <w:rFonts w:ascii="CAIXA Std Book" w:hAnsi="CAIXA Std Book"/>
          <w:color w:val="005CA9"/>
          <w:sz w:val="16"/>
          <w:szCs w:val="16"/>
        </w:rPr>
      </w:pPr>
      <w:r w:rsidRPr="003457DC">
        <w:rPr>
          <w:rFonts w:ascii="CAIXA Std Book" w:hAnsi="CAIXA Std Book"/>
          <w:color w:val="005CA9"/>
          <w:sz w:val="16"/>
          <w:szCs w:val="16"/>
        </w:rPr>
        <w:t xml:space="preserve">(1) Contempla o </w:t>
      </w:r>
      <w:r w:rsidRPr="003457DC">
        <w:rPr>
          <w:rFonts w:ascii="CAIXA Std Book" w:hAnsi="CAIXA Std Book"/>
          <w:i/>
          <w:color w:val="005CA9"/>
          <w:sz w:val="16"/>
          <w:szCs w:val="16"/>
        </w:rPr>
        <w:t>hedge</w:t>
      </w:r>
      <w:r w:rsidRPr="003457DC">
        <w:rPr>
          <w:rFonts w:ascii="CAIXA Std Book" w:hAnsi="CAIXA Std Book"/>
          <w:color w:val="005CA9"/>
          <w:sz w:val="16"/>
          <w:szCs w:val="16"/>
        </w:rPr>
        <w:t xml:space="preserve"> em empréstimos e direitos creditórios descontados no montante </w:t>
      </w:r>
      <w:r w:rsidR="005E693E">
        <w:rPr>
          <w:rFonts w:ascii="CAIXA Std Book" w:hAnsi="CAIXA Std Book"/>
          <w:color w:val="005CA9"/>
          <w:sz w:val="16"/>
          <w:szCs w:val="16"/>
        </w:rPr>
        <w:t>207.575</w:t>
      </w:r>
      <w:r w:rsidRPr="003457DC">
        <w:rPr>
          <w:rFonts w:ascii="CAIXA Std Book" w:hAnsi="CAIXA Std Book"/>
          <w:color w:val="005CA9"/>
          <w:sz w:val="16"/>
          <w:szCs w:val="16"/>
        </w:rPr>
        <w:t xml:space="preserve"> (31/12/2025</w:t>
      </w:r>
      <w:r w:rsidR="006861CD">
        <w:rPr>
          <w:rFonts w:ascii="CAIXA Std Book" w:hAnsi="CAIXA Std Book"/>
          <w:color w:val="005CA9"/>
          <w:sz w:val="16"/>
          <w:szCs w:val="16"/>
        </w:rPr>
        <w:t xml:space="preserve"> - </w:t>
      </w:r>
      <w:r w:rsidRPr="003457DC">
        <w:rPr>
          <w:rFonts w:ascii="CAIXA Std Book" w:hAnsi="CAIXA Std Book"/>
          <w:color w:val="005CA9"/>
          <w:sz w:val="16"/>
          <w:szCs w:val="16"/>
        </w:rPr>
        <w:t xml:space="preserve">R$ 259.044) e em financiamentos imobiliários no montante de </w:t>
      </w:r>
      <w:r w:rsidRPr="001D663F">
        <w:rPr>
          <w:rFonts w:ascii="CAIXA Std Book" w:hAnsi="CAIXA Std Book"/>
          <w:color w:val="005CA9"/>
          <w:sz w:val="16"/>
          <w:szCs w:val="16"/>
        </w:rPr>
        <w:t xml:space="preserve">R$ </w:t>
      </w:r>
      <w:r w:rsidR="005E693E">
        <w:rPr>
          <w:rFonts w:ascii="CAIXA Std Book" w:hAnsi="CAIXA Std Book"/>
          <w:color w:val="005CA9"/>
          <w:sz w:val="16"/>
          <w:szCs w:val="16"/>
        </w:rPr>
        <w:t>11.659</w:t>
      </w:r>
      <w:r w:rsidRPr="003457DC">
        <w:rPr>
          <w:rFonts w:ascii="CAIXA Std Book" w:hAnsi="CAIXA Std Book"/>
          <w:color w:val="005CA9"/>
          <w:sz w:val="16"/>
          <w:szCs w:val="16"/>
        </w:rPr>
        <w:t xml:space="preserve"> (</w:t>
      </w:r>
      <w:r w:rsidR="00B35186">
        <w:rPr>
          <w:rFonts w:ascii="CAIXA Std Book" w:hAnsi="CAIXA Std Book"/>
          <w:color w:val="005CA9"/>
          <w:sz w:val="16"/>
          <w:szCs w:val="16"/>
        </w:rPr>
        <w:t xml:space="preserve">31/12/2025 - </w:t>
      </w:r>
      <w:r w:rsidRPr="003457DC">
        <w:rPr>
          <w:rFonts w:ascii="CAIXA Std Book" w:hAnsi="CAIXA Std Book"/>
          <w:color w:val="005CA9"/>
          <w:sz w:val="16"/>
          <w:szCs w:val="16"/>
        </w:rPr>
        <w:t>R$ 9.932).</w:t>
      </w:r>
    </w:p>
    <w:p w14:paraId="3D00D58F" w14:textId="107CE811" w:rsidR="003457DC" w:rsidRPr="003457DC" w:rsidRDefault="003457DC" w:rsidP="003457DC">
      <w:pPr>
        <w:rPr>
          <w:rFonts w:ascii="CAIXA Std Book" w:hAnsi="CAIXA Std Book"/>
          <w:color w:val="005CA9"/>
          <w:sz w:val="16"/>
          <w:szCs w:val="16"/>
        </w:rPr>
      </w:pPr>
      <w:r w:rsidRPr="003457DC">
        <w:rPr>
          <w:rFonts w:ascii="CAIXA Std Book" w:hAnsi="CAIXA Std Book"/>
          <w:color w:val="005CA9"/>
          <w:sz w:val="16"/>
          <w:szCs w:val="16"/>
        </w:rPr>
        <w:t xml:space="preserve">(2) </w:t>
      </w:r>
      <w:r w:rsidR="0063002B">
        <w:rPr>
          <w:rFonts w:ascii="CAIXA Std Book" w:hAnsi="CAIXA Std Book"/>
          <w:color w:val="005CA9"/>
          <w:sz w:val="16"/>
          <w:szCs w:val="16"/>
        </w:rPr>
        <w:t>Os</w:t>
      </w:r>
      <w:r w:rsidRPr="003457DC">
        <w:rPr>
          <w:rFonts w:ascii="CAIXA Std Book" w:hAnsi="CAIXA Std Book"/>
          <w:color w:val="005CA9"/>
          <w:sz w:val="16"/>
          <w:szCs w:val="16"/>
        </w:rPr>
        <w:t xml:space="preserve"> </w:t>
      </w:r>
      <w:r w:rsidRPr="003457DC">
        <w:rPr>
          <w:rFonts w:ascii="CAIXA Std Book" w:eastAsia="Times New Roman" w:hAnsi="CAIXA Std Book" w:cs="Arial"/>
          <w:color w:val="005CA9"/>
          <w:sz w:val="16"/>
          <w:szCs w:val="16"/>
        </w:rPr>
        <w:t>programas governamentais</w:t>
      </w:r>
      <w:r w:rsidRPr="003457DC">
        <w:rPr>
          <w:rFonts w:ascii="CAIXA Std Book" w:hAnsi="CAIXA Std Book"/>
          <w:color w:val="005CA9"/>
          <w:sz w:val="16"/>
          <w:szCs w:val="16"/>
        </w:rPr>
        <w:t xml:space="preserve"> (Giro CAIXA e microcrédito P</w:t>
      </w:r>
      <w:r w:rsidR="00926758">
        <w:rPr>
          <w:rFonts w:ascii="CAIXA Std Book" w:hAnsi="CAIXA Std Book"/>
          <w:color w:val="005CA9"/>
          <w:sz w:val="16"/>
          <w:szCs w:val="16"/>
        </w:rPr>
        <w:t>ronampe</w:t>
      </w:r>
      <w:r w:rsidRPr="003457DC">
        <w:rPr>
          <w:rFonts w:ascii="CAIXA Std Book" w:hAnsi="CAIXA Std Book"/>
          <w:color w:val="005CA9"/>
          <w:sz w:val="16"/>
          <w:szCs w:val="16"/>
        </w:rPr>
        <w:t>, Giro CAIXA FGI e P</w:t>
      </w:r>
      <w:r w:rsidR="00926758">
        <w:rPr>
          <w:rFonts w:ascii="CAIXA Std Book" w:hAnsi="CAIXA Std Book"/>
          <w:color w:val="005CA9"/>
          <w:sz w:val="16"/>
          <w:szCs w:val="16"/>
        </w:rPr>
        <w:t>rocred</w:t>
      </w:r>
      <w:r w:rsidRPr="003457DC">
        <w:rPr>
          <w:rFonts w:ascii="CAIXA Std Book" w:hAnsi="CAIXA Std Book"/>
          <w:color w:val="005CA9"/>
          <w:sz w:val="16"/>
          <w:szCs w:val="16"/>
        </w:rPr>
        <w:t xml:space="preserve">) totalizaram o montante de </w:t>
      </w:r>
      <w:r w:rsidR="002E379B" w:rsidRPr="00946A8C">
        <w:rPr>
          <w:rFonts w:ascii="CAIXA Std Book" w:hAnsi="CAIXA Std Book"/>
          <w:color w:val="005CA9"/>
          <w:sz w:val="16"/>
          <w:szCs w:val="16"/>
        </w:rPr>
        <w:t xml:space="preserve">R$ </w:t>
      </w:r>
      <w:r w:rsidR="002E379B">
        <w:rPr>
          <w:rFonts w:ascii="CAIXA Std Book" w:hAnsi="CAIXA Std Book"/>
          <w:color w:val="005CA9"/>
          <w:sz w:val="16"/>
          <w:szCs w:val="16"/>
        </w:rPr>
        <w:t>31.701.440</w:t>
      </w:r>
      <w:r w:rsidRPr="003457DC">
        <w:rPr>
          <w:rFonts w:ascii="CAIXA Std Book" w:hAnsi="CAIXA Std Book"/>
          <w:color w:val="005CA9"/>
          <w:sz w:val="16"/>
          <w:szCs w:val="16"/>
        </w:rPr>
        <w:t xml:space="preserve"> (</w:t>
      </w:r>
      <w:r w:rsidR="00DB36C4">
        <w:rPr>
          <w:rFonts w:ascii="CAIXA Std Book" w:hAnsi="CAIXA Std Book"/>
          <w:color w:val="005CA9"/>
          <w:sz w:val="16"/>
          <w:szCs w:val="16"/>
        </w:rPr>
        <w:t xml:space="preserve">31/12/2025 - </w:t>
      </w:r>
      <w:r w:rsidRPr="003457DC">
        <w:rPr>
          <w:rFonts w:ascii="CAIXA Std Book" w:hAnsi="CAIXA Std Book"/>
          <w:color w:val="005CA9"/>
          <w:sz w:val="16"/>
          <w:szCs w:val="16"/>
        </w:rPr>
        <w:t>R$ 31.702.837)</w:t>
      </w:r>
      <w:r w:rsidR="0063002B">
        <w:rPr>
          <w:rFonts w:ascii="CAIXA Std Book" w:hAnsi="CAIXA Std Book"/>
          <w:color w:val="005CA9"/>
          <w:sz w:val="16"/>
          <w:szCs w:val="16"/>
        </w:rPr>
        <w:t>.</w:t>
      </w:r>
    </w:p>
    <w:p w14:paraId="1D233C0F" w14:textId="5733D66A" w:rsidR="000B35A8" w:rsidRPr="000B35A8" w:rsidRDefault="00D64B32" w:rsidP="000B35A8">
      <w:pPr>
        <w:pStyle w:val="PargrafodaLista"/>
        <w:numPr>
          <w:ilvl w:val="4"/>
          <w:numId w:val="6"/>
        </w:numPr>
        <w:spacing w:before="240" w:after="120"/>
        <w:ind w:left="567" w:hanging="567"/>
        <w:contextualSpacing w:val="0"/>
        <w:rPr>
          <w:rFonts w:ascii="CAIXA Std Book" w:hAnsi="CAIXA Std Book"/>
          <w:b/>
          <w:color w:val="005CA9"/>
          <w:sz w:val="20"/>
          <w:szCs w:val="20"/>
        </w:rPr>
      </w:pPr>
      <w:r w:rsidRPr="000B35A8">
        <w:rPr>
          <w:rFonts w:ascii="CAIXA Std Book" w:hAnsi="CAIXA Std Book"/>
          <w:b/>
          <w:color w:val="005CA9"/>
          <w:sz w:val="20"/>
          <w:szCs w:val="20"/>
        </w:rPr>
        <w:t>Movimentação por estágios da carteira de crédito</w:t>
      </w:r>
    </w:p>
    <w:tbl>
      <w:tblPr>
        <w:tblW w:w="5000" w:type="pct"/>
        <w:tblCellMar>
          <w:left w:w="0" w:type="dxa"/>
          <w:right w:w="0" w:type="dxa"/>
        </w:tblCellMar>
        <w:tblLook w:val="04A0" w:firstRow="1" w:lastRow="0" w:firstColumn="1" w:lastColumn="0" w:noHBand="0" w:noVBand="1"/>
      </w:tblPr>
      <w:tblGrid>
        <w:gridCol w:w="5387"/>
        <w:gridCol w:w="1835"/>
        <w:gridCol w:w="1836"/>
        <w:gridCol w:w="1836"/>
        <w:gridCol w:w="1836"/>
        <w:gridCol w:w="1839"/>
      </w:tblGrid>
      <w:tr w:rsidR="00805005" w14:paraId="71ACF988" w14:textId="77777777" w:rsidTr="008F0CA8">
        <w:trPr>
          <w:trHeight w:val="283"/>
        </w:trPr>
        <w:tc>
          <w:tcPr>
            <w:tcW w:w="5000" w:type="pct"/>
            <w:gridSpan w:val="6"/>
            <w:tcBorders>
              <w:top w:val="nil"/>
              <w:left w:val="nil"/>
              <w:bottom w:val="single" w:sz="4" w:space="0" w:color="FFFFFF" w:themeColor="background1"/>
              <w:right w:val="nil"/>
            </w:tcBorders>
            <w:shd w:val="clear" w:color="auto" w:fill="005CA9"/>
            <w:vAlign w:val="center"/>
            <w:hideMark/>
          </w:tcPr>
          <w:p w14:paraId="1111C486" w14:textId="40CF9279" w:rsidR="001F56C4" w:rsidRPr="00817BD3" w:rsidRDefault="001F56C4">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Individual</w:t>
            </w:r>
          </w:p>
        </w:tc>
      </w:tr>
      <w:tr w:rsidR="0015386D" w14:paraId="7E793D2C" w14:textId="77777777" w:rsidTr="008F0CA8">
        <w:trPr>
          <w:trHeight w:val="283"/>
        </w:trPr>
        <w:tc>
          <w:tcPr>
            <w:tcW w:w="1849" w:type="pct"/>
            <w:tcBorders>
              <w:top w:val="single" w:sz="4" w:space="0" w:color="FFFFFF" w:themeColor="background1"/>
              <w:left w:val="nil"/>
              <w:bottom w:val="nil"/>
              <w:right w:val="nil"/>
            </w:tcBorders>
            <w:shd w:val="clear" w:color="auto" w:fill="005CA9"/>
            <w:vAlign w:val="center"/>
            <w:hideMark/>
          </w:tcPr>
          <w:p w14:paraId="13EDC0BC" w14:textId="7D7ADD66" w:rsidR="001F56C4" w:rsidRPr="00817BD3" w:rsidRDefault="001F56C4">
            <w:pPr>
              <w:jc w:val="center"/>
              <w:rPr>
                <w:rFonts w:ascii="CAIXA Std Book" w:hAnsi="CAIXA Std Book" w:cs="Calibri"/>
                <w:b/>
                <w:color w:val="FFFFFF"/>
                <w:sz w:val="18"/>
                <w:szCs w:val="18"/>
              </w:rPr>
            </w:pPr>
            <w:r w:rsidRPr="00817BD3">
              <w:rPr>
                <w:rFonts w:ascii="CAIXA Std Book" w:eastAsia="Times New Roman" w:hAnsi="CAIXA Std Book" w:cs="Calibri"/>
                <w:b/>
                <w:color w:val="FFFFFF"/>
                <w:sz w:val="18"/>
                <w:szCs w:val="18"/>
              </w:rPr>
              <w:t>Estágio</w:t>
            </w:r>
            <w:r w:rsidRPr="00817BD3">
              <w:rPr>
                <w:rFonts w:ascii="CAIXA Std Book" w:hAnsi="CAIXA Std Book" w:cs="Calibri"/>
                <w:b/>
                <w:color w:val="FFFFFF"/>
                <w:sz w:val="18"/>
                <w:szCs w:val="18"/>
              </w:rPr>
              <w:t xml:space="preserve"> 1</w:t>
            </w:r>
            <w:r w:rsidR="005363CE" w:rsidRPr="00817BD3">
              <w:rPr>
                <w:rFonts w:ascii="CAIXA Std Book" w:hAnsi="CAIXA Std Book" w:cs="Calibri"/>
                <w:b/>
                <w:color w:val="FFFFFF"/>
                <w:sz w:val="18"/>
                <w:szCs w:val="18"/>
              </w:rPr>
              <w:t xml:space="preserve"> </w:t>
            </w:r>
            <w:r w:rsidRPr="00817BD3">
              <w:rPr>
                <w:rFonts w:ascii="CAIXA Std Book" w:hAnsi="CAIXA Std Book" w:cs="Calibri"/>
                <w:b/>
                <w:color w:val="FFFFFF"/>
                <w:sz w:val="18"/>
                <w:szCs w:val="18"/>
              </w:rPr>
              <w:t>(1)</w:t>
            </w:r>
          </w:p>
        </w:tc>
        <w:tc>
          <w:tcPr>
            <w:tcW w:w="630" w:type="pct"/>
            <w:tcBorders>
              <w:top w:val="single" w:sz="4" w:space="0" w:color="FFFFFF" w:themeColor="background1"/>
              <w:left w:val="nil"/>
              <w:bottom w:val="nil"/>
              <w:right w:val="nil"/>
            </w:tcBorders>
            <w:shd w:val="clear" w:color="auto" w:fill="005CA9"/>
            <w:vAlign w:val="center"/>
            <w:hideMark/>
          </w:tcPr>
          <w:p w14:paraId="2307962F" w14:textId="54F3E8B0" w:rsidR="001F56C4" w:rsidRPr="00817BD3" w:rsidRDefault="001F56C4" w:rsidP="002632AD">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 xml:space="preserve">Saldo em </w:t>
            </w:r>
            <w:r w:rsidR="00E208F6">
              <w:rPr>
                <w:rFonts w:ascii="CAIXA Std Book" w:hAnsi="CAIXA Std Book" w:cs="Calibri"/>
                <w:b/>
                <w:color w:val="FFFFFF"/>
                <w:sz w:val="18"/>
                <w:szCs w:val="18"/>
              </w:rPr>
              <w:t>31/12/2025</w:t>
            </w:r>
          </w:p>
        </w:tc>
        <w:tc>
          <w:tcPr>
            <w:tcW w:w="630" w:type="pct"/>
            <w:tcBorders>
              <w:top w:val="single" w:sz="4" w:space="0" w:color="FFFFFF" w:themeColor="background1"/>
              <w:left w:val="nil"/>
              <w:bottom w:val="nil"/>
              <w:right w:val="nil"/>
            </w:tcBorders>
            <w:shd w:val="clear" w:color="auto" w:fill="005CA9"/>
            <w:vAlign w:val="center"/>
            <w:hideMark/>
          </w:tcPr>
          <w:p w14:paraId="75195127" w14:textId="083B8874" w:rsidR="001F56C4" w:rsidRPr="00817BD3" w:rsidRDefault="001F56C4" w:rsidP="002632AD">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Con</w:t>
            </w:r>
            <w:r w:rsidR="00EE2CB6">
              <w:rPr>
                <w:rFonts w:ascii="CAIXA Std Book" w:hAnsi="CAIXA Std Book" w:cs="Calibri"/>
                <w:b/>
                <w:color w:val="FFFFFF"/>
                <w:sz w:val="18"/>
                <w:szCs w:val="18"/>
              </w:rPr>
              <w:t>stituição</w:t>
            </w:r>
            <w:r w:rsidRPr="00817BD3">
              <w:rPr>
                <w:rFonts w:ascii="CAIXA Std Book" w:hAnsi="CAIXA Std Book" w:cs="Calibri"/>
                <w:b/>
                <w:color w:val="FFFFFF"/>
                <w:sz w:val="18"/>
                <w:szCs w:val="18"/>
              </w:rPr>
              <w:t xml:space="preserve">/ </w:t>
            </w:r>
            <w:r w:rsidR="00DF0CFA">
              <w:rPr>
                <w:rFonts w:ascii="CAIXA Std Book" w:hAnsi="CAIXA Std Book" w:cs="Calibri"/>
                <w:b/>
                <w:color w:val="FFFFFF"/>
                <w:sz w:val="18"/>
                <w:szCs w:val="18"/>
              </w:rPr>
              <w:t>(</w:t>
            </w:r>
            <w:r w:rsidRPr="00817BD3">
              <w:rPr>
                <w:rFonts w:ascii="CAIXA Std Book" w:hAnsi="CAIXA Std Book" w:cs="Calibri"/>
                <w:b/>
                <w:color w:val="FFFFFF"/>
                <w:sz w:val="18"/>
                <w:szCs w:val="18"/>
              </w:rPr>
              <w:t>liquidação</w:t>
            </w:r>
            <w:r w:rsidR="00DF0CFA">
              <w:rPr>
                <w:rFonts w:ascii="CAIXA Std Book" w:hAnsi="CAIXA Std Book" w:cs="Calibri"/>
                <w:b/>
                <w:color w:val="FFFFFF"/>
                <w:sz w:val="18"/>
                <w:szCs w:val="18"/>
              </w:rPr>
              <w:t>)</w:t>
            </w:r>
          </w:p>
        </w:tc>
        <w:tc>
          <w:tcPr>
            <w:tcW w:w="630" w:type="pct"/>
            <w:tcBorders>
              <w:top w:val="single" w:sz="4" w:space="0" w:color="FFFFFF" w:themeColor="background1"/>
              <w:left w:val="nil"/>
              <w:bottom w:val="nil"/>
              <w:right w:val="nil"/>
            </w:tcBorders>
            <w:shd w:val="clear" w:color="auto" w:fill="005CA9"/>
            <w:vAlign w:val="center"/>
            <w:hideMark/>
          </w:tcPr>
          <w:p w14:paraId="3C3A2005" w14:textId="77777777" w:rsidR="00693861" w:rsidRPr="00817BD3" w:rsidRDefault="001F56C4" w:rsidP="002632AD">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Transferência do/</w:t>
            </w:r>
          </w:p>
          <w:p w14:paraId="674B3B54" w14:textId="498CDE54" w:rsidR="001F56C4" w:rsidRPr="00817BD3" w:rsidRDefault="001F56C4" w:rsidP="002632AD">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para o estágio 2</w:t>
            </w:r>
          </w:p>
        </w:tc>
        <w:tc>
          <w:tcPr>
            <w:tcW w:w="630" w:type="pct"/>
            <w:tcBorders>
              <w:top w:val="single" w:sz="4" w:space="0" w:color="FFFFFF" w:themeColor="background1"/>
              <w:left w:val="nil"/>
              <w:bottom w:val="nil"/>
              <w:right w:val="nil"/>
            </w:tcBorders>
            <w:shd w:val="clear" w:color="auto" w:fill="005CA9"/>
            <w:vAlign w:val="center"/>
            <w:hideMark/>
          </w:tcPr>
          <w:p w14:paraId="3F3C2D89" w14:textId="77777777" w:rsidR="00693861" w:rsidRPr="00817BD3" w:rsidRDefault="001F56C4" w:rsidP="002632AD">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Transferência do/</w:t>
            </w:r>
          </w:p>
          <w:p w14:paraId="4C2FF096" w14:textId="0851A539" w:rsidR="001F56C4" w:rsidRPr="00817BD3" w:rsidRDefault="001F56C4" w:rsidP="002632AD">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para estágio 3</w:t>
            </w:r>
          </w:p>
        </w:tc>
        <w:tc>
          <w:tcPr>
            <w:tcW w:w="630" w:type="pct"/>
            <w:tcBorders>
              <w:top w:val="single" w:sz="4" w:space="0" w:color="FFFFFF" w:themeColor="background1"/>
              <w:left w:val="nil"/>
              <w:bottom w:val="nil"/>
              <w:right w:val="nil"/>
            </w:tcBorders>
            <w:shd w:val="clear" w:color="auto" w:fill="005CA9"/>
            <w:vAlign w:val="center"/>
            <w:hideMark/>
          </w:tcPr>
          <w:p w14:paraId="662D99FC" w14:textId="4D23559F" w:rsidR="001F56C4" w:rsidRPr="00817BD3" w:rsidRDefault="001F56C4" w:rsidP="002632AD">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 xml:space="preserve">Saldo em </w:t>
            </w:r>
            <w:r w:rsidR="001C7463">
              <w:rPr>
                <w:rFonts w:ascii="CAIXA Std Book" w:hAnsi="CAIXA Std Book" w:cs="Calibri"/>
                <w:b/>
                <w:color w:val="FFFFFF"/>
                <w:sz w:val="18"/>
                <w:szCs w:val="18"/>
              </w:rPr>
              <w:t>31</w:t>
            </w:r>
            <w:r w:rsidR="00596DAC">
              <w:rPr>
                <w:rFonts w:ascii="CAIXA Std Book" w:hAnsi="CAIXA Std Book" w:cs="Calibri"/>
                <w:b/>
                <w:color w:val="FFFFFF"/>
                <w:sz w:val="18"/>
                <w:szCs w:val="18"/>
              </w:rPr>
              <w:t>/</w:t>
            </w:r>
            <w:r w:rsidR="002C5672">
              <w:rPr>
                <w:rFonts w:ascii="CAIXA Std Book" w:hAnsi="CAIXA Std Book" w:cs="Calibri"/>
                <w:b/>
                <w:color w:val="FFFFFF"/>
                <w:sz w:val="18"/>
                <w:szCs w:val="18"/>
              </w:rPr>
              <w:t>03/2026</w:t>
            </w:r>
          </w:p>
        </w:tc>
      </w:tr>
      <w:tr w:rsidR="0015386D" w14:paraId="768BB2C4" w14:textId="77777777" w:rsidTr="00E42F21">
        <w:trPr>
          <w:trHeight w:val="283"/>
        </w:trPr>
        <w:tc>
          <w:tcPr>
            <w:tcW w:w="1849" w:type="pct"/>
            <w:tcBorders>
              <w:top w:val="nil"/>
              <w:left w:val="nil"/>
              <w:bottom w:val="nil"/>
              <w:right w:val="nil"/>
            </w:tcBorders>
            <w:noWrap/>
            <w:vAlign w:val="center"/>
            <w:hideMark/>
          </w:tcPr>
          <w:p w14:paraId="0C2CBF04" w14:textId="77777777" w:rsidR="00C466D7" w:rsidRPr="00817BD3" w:rsidRDefault="00C466D7" w:rsidP="00C466D7">
            <w:pPr>
              <w:rPr>
                <w:rFonts w:ascii="CAIXA Std Book" w:hAnsi="CAIXA Std Book" w:cs="Calibri"/>
                <w:color w:val="005CA9"/>
                <w:sz w:val="18"/>
                <w:szCs w:val="18"/>
              </w:rPr>
            </w:pPr>
            <w:r w:rsidRPr="00817BD3">
              <w:rPr>
                <w:rFonts w:ascii="CAIXA Std Book" w:hAnsi="CAIXA Std Book" w:cs="Calibri"/>
                <w:color w:val="005CA9"/>
                <w:sz w:val="18"/>
                <w:szCs w:val="18"/>
              </w:rPr>
              <w:t>Empréstimos e direitos creditórios descontados</w:t>
            </w:r>
          </w:p>
        </w:tc>
        <w:tc>
          <w:tcPr>
            <w:tcW w:w="630" w:type="pct"/>
            <w:tcBorders>
              <w:top w:val="nil"/>
              <w:left w:val="nil"/>
              <w:bottom w:val="nil"/>
              <w:right w:val="nil"/>
            </w:tcBorders>
            <w:noWrap/>
            <w:vAlign w:val="center"/>
            <w:hideMark/>
          </w:tcPr>
          <w:p w14:paraId="2BA8C403" w14:textId="6C4F70E4" w:rsidR="00C466D7" w:rsidRPr="00DD4F9E" w:rsidRDefault="003F1869" w:rsidP="00816FE4">
            <w:pPr>
              <w:jc w:val="right"/>
              <w:rPr>
                <w:rFonts w:ascii="CAIXA Std Book" w:hAnsi="CAIXA Std Book" w:cs="Calibri"/>
                <w:color w:val="005CA9"/>
                <w:sz w:val="18"/>
                <w:szCs w:val="18"/>
              </w:rPr>
            </w:pPr>
            <w:r>
              <w:rPr>
                <w:rFonts w:ascii="CAIXA Std Book" w:hAnsi="CAIXA Std Book" w:cs="Calibri"/>
                <w:color w:val="005CA9"/>
                <w:sz w:val="18"/>
                <w:szCs w:val="18"/>
              </w:rPr>
              <w:t>196.241.323</w:t>
            </w:r>
          </w:p>
        </w:tc>
        <w:tc>
          <w:tcPr>
            <w:tcW w:w="630" w:type="pct"/>
            <w:tcBorders>
              <w:top w:val="nil"/>
              <w:left w:val="nil"/>
              <w:bottom w:val="nil"/>
              <w:right w:val="nil"/>
            </w:tcBorders>
            <w:shd w:val="clear" w:color="000000" w:fill="FFFFFF"/>
            <w:vAlign w:val="center"/>
          </w:tcPr>
          <w:p w14:paraId="04746C7A" w14:textId="038B68E0" w:rsidR="00C466D7" w:rsidRPr="00DD4F9E" w:rsidRDefault="00120DD8" w:rsidP="00816FE4">
            <w:pPr>
              <w:jc w:val="right"/>
              <w:rPr>
                <w:rFonts w:ascii="CAIXA Std Book" w:hAnsi="CAIXA Std Book" w:cs="Calibri"/>
                <w:color w:val="005CA9"/>
                <w:sz w:val="18"/>
                <w:szCs w:val="18"/>
              </w:rPr>
            </w:pPr>
            <w:r w:rsidRPr="00120DD8">
              <w:rPr>
                <w:rFonts w:ascii="CAIXA Std Book" w:hAnsi="CAIXA Std Book" w:cs="Calibri"/>
                <w:color w:val="005CA9"/>
                <w:sz w:val="18"/>
                <w:szCs w:val="18"/>
              </w:rPr>
              <w:t>5.377.690</w:t>
            </w:r>
          </w:p>
        </w:tc>
        <w:tc>
          <w:tcPr>
            <w:tcW w:w="630" w:type="pct"/>
            <w:tcBorders>
              <w:top w:val="nil"/>
              <w:left w:val="nil"/>
              <w:bottom w:val="nil"/>
              <w:right w:val="nil"/>
            </w:tcBorders>
            <w:vAlign w:val="center"/>
          </w:tcPr>
          <w:p w14:paraId="01723F71" w14:textId="58120984" w:rsidR="00C466D7" w:rsidRPr="00DD4F9E" w:rsidRDefault="00BB23B9" w:rsidP="00816FE4">
            <w:pPr>
              <w:jc w:val="right"/>
              <w:rPr>
                <w:rFonts w:ascii="CAIXA Std Book" w:hAnsi="CAIXA Std Book" w:cs="Calibri"/>
                <w:color w:val="005CA9"/>
                <w:sz w:val="18"/>
                <w:szCs w:val="18"/>
              </w:rPr>
            </w:pPr>
            <w:r>
              <w:rPr>
                <w:rFonts w:ascii="CAIXA Std Book" w:hAnsi="CAIXA Std Book" w:cs="Calibri"/>
                <w:color w:val="005CA9"/>
                <w:sz w:val="18"/>
                <w:szCs w:val="18"/>
              </w:rPr>
              <w:t>(2.618.401)</w:t>
            </w:r>
          </w:p>
        </w:tc>
        <w:tc>
          <w:tcPr>
            <w:tcW w:w="630" w:type="pct"/>
            <w:tcBorders>
              <w:top w:val="nil"/>
              <w:left w:val="nil"/>
              <w:bottom w:val="nil"/>
              <w:right w:val="nil"/>
            </w:tcBorders>
            <w:noWrap/>
            <w:vAlign w:val="center"/>
          </w:tcPr>
          <w:p w14:paraId="16F89198" w14:textId="470404B0" w:rsidR="00C466D7" w:rsidRPr="00DD4F9E" w:rsidRDefault="00BB23B9" w:rsidP="00816FE4">
            <w:pPr>
              <w:jc w:val="right"/>
              <w:rPr>
                <w:rFonts w:ascii="CAIXA Std Book" w:hAnsi="CAIXA Std Book" w:cs="Calibri"/>
                <w:color w:val="005CA9"/>
                <w:sz w:val="18"/>
                <w:szCs w:val="18"/>
              </w:rPr>
            </w:pPr>
            <w:r>
              <w:rPr>
                <w:rFonts w:ascii="CAIXA Std Book" w:hAnsi="CAIXA Std Book" w:cs="Calibri"/>
                <w:color w:val="005CA9"/>
                <w:sz w:val="18"/>
                <w:szCs w:val="18"/>
              </w:rPr>
              <w:t>(1.499.807)</w:t>
            </w:r>
          </w:p>
        </w:tc>
        <w:tc>
          <w:tcPr>
            <w:tcW w:w="630" w:type="pct"/>
            <w:tcBorders>
              <w:top w:val="nil"/>
              <w:left w:val="nil"/>
              <w:bottom w:val="nil"/>
              <w:right w:val="nil"/>
            </w:tcBorders>
            <w:noWrap/>
            <w:vAlign w:val="center"/>
          </w:tcPr>
          <w:p w14:paraId="58F628E5" w14:textId="6DC30619" w:rsidR="00C466D7" w:rsidRPr="00DD4F9E" w:rsidRDefault="00BB23B9" w:rsidP="00ED02FD">
            <w:pPr>
              <w:ind w:right="68"/>
              <w:jc w:val="right"/>
              <w:rPr>
                <w:rFonts w:ascii="CAIXA Std Book" w:hAnsi="CAIXA Std Book" w:cs="Calibri"/>
                <w:color w:val="005CA9"/>
                <w:sz w:val="18"/>
                <w:szCs w:val="18"/>
              </w:rPr>
            </w:pPr>
            <w:r w:rsidRPr="00BB23B9">
              <w:rPr>
                <w:rFonts w:ascii="CAIXA Std Book" w:hAnsi="CAIXA Std Book" w:cs="Calibri"/>
                <w:color w:val="005CA9"/>
                <w:sz w:val="18"/>
                <w:szCs w:val="18"/>
              </w:rPr>
              <w:t>197.500.805</w:t>
            </w:r>
          </w:p>
        </w:tc>
      </w:tr>
      <w:tr w:rsidR="0015386D" w14:paraId="776417D3" w14:textId="77777777" w:rsidTr="00E42F21">
        <w:trPr>
          <w:trHeight w:val="283"/>
        </w:trPr>
        <w:tc>
          <w:tcPr>
            <w:tcW w:w="1849" w:type="pct"/>
            <w:tcBorders>
              <w:top w:val="nil"/>
              <w:left w:val="nil"/>
              <w:bottom w:val="nil"/>
              <w:right w:val="nil"/>
            </w:tcBorders>
            <w:noWrap/>
            <w:vAlign w:val="center"/>
            <w:hideMark/>
          </w:tcPr>
          <w:p w14:paraId="6855FBFE" w14:textId="77777777" w:rsidR="00C466D7" w:rsidRPr="00817BD3" w:rsidRDefault="00C466D7" w:rsidP="00C466D7">
            <w:pPr>
              <w:rPr>
                <w:rFonts w:ascii="CAIXA Std Book" w:hAnsi="CAIXA Std Book" w:cs="Calibri"/>
                <w:color w:val="005CA9"/>
                <w:sz w:val="18"/>
                <w:szCs w:val="18"/>
              </w:rPr>
            </w:pPr>
            <w:r w:rsidRPr="00817BD3">
              <w:rPr>
                <w:rFonts w:ascii="CAIXA Std Book" w:hAnsi="CAIXA Std Book" w:cs="Calibri"/>
                <w:color w:val="005CA9"/>
                <w:sz w:val="18"/>
                <w:szCs w:val="18"/>
              </w:rPr>
              <w:t>Financiamentos</w:t>
            </w:r>
          </w:p>
        </w:tc>
        <w:tc>
          <w:tcPr>
            <w:tcW w:w="630" w:type="pct"/>
            <w:tcBorders>
              <w:top w:val="nil"/>
              <w:left w:val="nil"/>
              <w:bottom w:val="nil"/>
              <w:right w:val="nil"/>
            </w:tcBorders>
            <w:noWrap/>
            <w:vAlign w:val="center"/>
            <w:hideMark/>
          </w:tcPr>
          <w:p w14:paraId="45B1239A" w14:textId="3EAACDB2" w:rsidR="00C466D7" w:rsidRPr="00DD4F9E" w:rsidRDefault="003F1869" w:rsidP="00816FE4">
            <w:pPr>
              <w:jc w:val="right"/>
              <w:rPr>
                <w:rFonts w:ascii="CAIXA Std Book" w:hAnsi="CAIXA Std Book" w:cs="Calibri"/>
                <w:color w:val="005CA9"/>
                <w:sz w:val="18"/>
                <w:szCs w:val="18"/>
              </w:rPr>
            </w:pPr>
            <w:r>
              <w:rPr>
                <w:rFonts w:ascii="CAIXA Std Book" w:hAnsi="CAIXA Std Book" w:cs="Calibri"/>
                <w:color w:val="005CA9"/>
                <w:sz w:val="18"/>
                <w:szCs w:val="18"/>
              </w:rPr>
              <w:t>11.373.312</w:t>
            </w:r>
          </w:p>
        </w:tc>
        <w:tc>
          <w:tcPr>
            <w:tcW w:w="630" w:type="pct"/>
            <w:tcBorders>
              <w:top w:val="nil"/>
              <w:left w:val="nil"/>
              <w:bottom w:val="nil"/>
              <w:right w:val="nil"/>
            </w:tcBorders>
            <w:shd w:val="clear" w:color="000000" w:fill="FFFFFF"/>
            <w:vAlign w:val="center"/>
          </w:tcPr>
          <w:p w14:paraId="37AFAD1A" w14:textId="25CF532E" w:rsidR="00C466D7" w:rsidRPr="00DD4F9E" w:rsidRDefault="00BB23B9" w:rsidP="00816FE4">
            <w:pPr>
              <w:jc w:val="right"/>
              <w:rPr>
                <w:rFonts w:ascii="CAIXA Std Book" w:hAnsi="CAIXA Std Book" w:cs="Calibri"/>
                <w:color w:val="005CA9"/>
                <w:sz w:val="18"/>
                <w:szCs w:val="18"/>
              </w:rPr>
            </w:pPr>
            <w:r>
              <w:rPr>
                <w:rFonts w:ascii="CAIXA Std Book" w:hAnsi="CAIXA Std Book" w:cs="Calibri"/>
                <w:color w:val="005CA9"/>
                <w:sz w:val="18"/>
                <w:szCs w:val="18"/>
              </w:rPr>
              <w:t>841.426</w:t>
            </w:r>
          </w:p>
        </w:tc>
        <w:tc>
          <w:tcPr>
            <w:tcW w:w="630" w:type="pct"/>
            <w:tcBorders>
              <w:top w:val="nil"/>
              <w:left w:val="nil"/>
              <w:bottom w:val="nil"/>
              <w:right w:val="nil"/>
            </w:tcBorders>
            <w:vAlign w:val="center"/>
          </w:tcPr>
          <w:p w14:paraId="69909656" w14:textId="26D15679" w:rsidR="00C466D7" w:rsidRPr="00DD4F9E" w:rsidRDefault="00BB23B9" w:rsidP="00816FE4">
            <w:pPr>
              <w:jc w:val="right"/>
              <w:rPr>
                <w:rFonts w:ascii="CAIXA Std Book" w:hAnsi="CAIXA Std Book" w:cs="Calibri"/>
                <w:color w:val="005CA9"/>
                <w:sz w:val="18"/>
                <w:szCs w:val="18"/>
              </w:rPr>
            </w:pPr>
            <w:r>
              <w:rPr>
                <w:rFonts w:ascii="CAIXA Std Book" w:hAnsi="CAIXA Std Book" w:cs="Calibri"/>
                <w:color w:val="005CA9"/>
                <w:sz w:val="18"/>
                <w:szCs w:val="18"/>
              </w:rPr>
              <w:t>(134.102)</w:t>
            </w:r>
          </w:p>
        </w:tc>
        <w:tc>
          <w:tcPr>
            <w:tcW w:w="630" w:type="pct"/>
            <w:tcBorders>
              <w:top w:val="nil"/>
              <w:left w:val="nil"/>
              <w:bottom w:val="nil"/>
              <w:right w:val="nil"/>
            </w:tcBorders>
            <w:noWrap/>
            <w:vAlign w:val="center"/>
          </w:tcPr>
          <w:p w14:paraId="6AE43D8D" w14:textId="47EF2208" w:rsidR="00C466D7" w:rsidRPr="00DD4F9E" w:rsidRDefault="00BB23B9" w:rsidP="00816FE4">
            <w:pPr>
              <w:jc w:val="right"/>
              <w:rPr>
                <w:rFonts w:ascii="CAIXA Std Book" w:hAnsi="CAIXA Std Book" w:cs="Calibri"/>
                <w:color w:val="005CA9"/>
                <w:sz w:val="18"/>
                <w:szCs w:val="18"/>
              </w:rPr>
            </w:pPr>
            <w:r>
              <w:rPr>
                <w:rFonts w:ascii="CAIXA Std Book" w:hAnsi="CAIXA Std Book" w:cs="Calibri"/>
                <w:color w:val="005CA9"/>
                <w:sz w:val="18"/>
                <w:szCs w:val="18"/>
              </w:rPr>
              <w:t>(48.543)</w:t>
            </w:r>
          </w:p>
        </w:tc>
        <w:tc>
          <w:tcPr>
            <w:tcW w:w="630" w:type="pct"/>
            <w:tcBorders>
              <w:top w:val="nil"/>
              <w:left w:val="nil"/>
              <w:bottom w:val="nil"/>
              <w:right w:val="nil"/>
            </w:tcBorders>
            <w:noWrap/>
            <w:vAlign w:val="center"/>
          </w:tcPr>
          <w:p w14:paraId="511A4208" w14:textId="0F9660F6" w:rsidR="00C466D7" w:rsidRPr="00DD4F9E" w:rsidRDefault="00BB23B9" w:rsidP="00ED02FD">
            <w:pPr>
              <w:ind w:right="68"/>
              <w:jc w:val="right"/>
              <w:rPr>
                <w:rFonts w:ascii="CAIXA Std Book" w:hAnsi="CAIXA Std Book" w:cs="Calibri"/>
                <w:color w:val="005CA9"/>
                <w:sz w:val="18"/>
                <w:szCs w:val="18"/>
              </w:rPr>
            </w:pPr>
            <w:r>
              <w:rPr>
                <w:rFonts w:ascii="CAIXA Std Book" w:hAnsi="CAIXA Std Book" w:cs="Calibri"/>
                <w:color w:val="005CA9"/>
                <w:sz w:val="18"/>
                <w:szCs w:val="18"/>
              </w:rPr>
              <w:t>12.032.093</w:t>
            </w:r>
          </w:p>
        </w:tc>
      </w:tr>
      <w:tr w:rsidR="0015386D" w14:paraId="647C346D" w14:textId="77777777" w:rsidTr="00E42F21">
        <w:trPr>
          <w:trHeight w:val="283"/>
        </w:trPr>
        <w:tc>
          <w:tcPr>
            <w:tcW w:w="1849" w:type="pct"/>
            <w:tcBorders>
              <w:top w:val="nil"/>
              <w:left w:val="nil"/>
              <w:bottom w:val="nil"/>
              <w:right w:val="nil"/>
            </w:tcBorders>
            <w:noWrap/>
            <w:vAlign w:val="center"/>
            <w:hideMark/>
          </w:tcPr>
          <w:p w14:paraId="55F30192" w14:textId="77777777" w:rsidR="00C466D7" w:rsidRPr="00817BD3" w:rsidRDefault="00C466D7" w:rsidP="00C466D7">
            <w:pPr>
              <w:rPr>
                <w:rFonts w:ascii="CAIXA Std Book" w:hAnsi="CAIXA Std Book" w:cs="Calibri"/>
                <w:color w:val="005CA9"/>
                <w:sz w:val="18"/>
                <w:szCs w:val="18"/>
              </w:rPr>
            </w:pPr>
            <w:r w:rsidRPr="00817BD3">
              <w:rPr>
                <w:rFonts w:ascii="CAIXA Std Book" w:hAnsi="CAIXA Std Book" w:cs="Calibri"/>
                <w:color w:val="005CA9"/>
                <w:sz w:val="18"/>
                <w:szCs w:val="18"/>
              </w:rPr>
              <w:t>Financiamentos rurais</w:t>
            </w:r>
          </w:p>
        </w:tc>
        <w:tc>
          <w:tcPr>
            <w:tcW w:w="630" w:type="pct"/>
            <w:tcBorders>
              <w:top w:val="nil"/>
              <w:left w:val="nil"/>
              <w:bottom w:val="nil"/>
              <w:right w:val="nil"/>
            </w:tcBorders>
            <w:noWrap/>
            <w:vAlign w:val="center"/>
            <w:hideMark/>
          </w:tcPr>
          <w:p w14:paraId="66902B0F" w14:textId="39A1EAAC" w:rsidR="00C466D7" w:rsidRPr="00DD4F9E" w:rsidRDefault="003F1869" w:rsidP="00816FE4">
            <w:pPr>
              <w:jc w:val="right"/>
              <w:rPr>
                <w:rFonts w:ascii="CAIXA Std Book" w:hAnsi="CAIXA Std Book" w:cs="Calibri"/>
                <w:color w:val="005CA9"/>
                <w:sz w:val="18"/>
                <w:szCs w:val="18"/>
              </w:rPr>
            </w:pPr>
            <w:r>
              <w:rPr>
                <w:rFonts w:ascii="CAIXA Std Book" w:hAnsi="CAIXA Std Book" w:cs="Calibri"/>
                <w:color w:val="005CA9"/>
                <w:sz w:val="18"/>
                <w:szCs w:val="18"/>
              </w:rPr>
              <w:t>48.270.809</w:t>
            </w:r>
          </w:p>
        </w:tc>
        <w:tc>
          <w:tcPr>
            <w:tcW w:w="630" w:type="pct"/>
            <w:tcBorders>
              <w:top w:val="nil"/>
              <w:left w:val="nil"/>
              <w:bottom w:val="nil"/>
              <w:right w:val="nil"/>
            </w:tcBorders>
            <w:shd w:val="clear" w:color="000000" w:fill="FFFFFF"/>
            <w:vAlign w:val="center"/>
          </w:tcPr>
          <w:p w14:paraId="43D0C34E" w14:textId="085294C9" w:rsidR="00C466D7" w:rsidRPr="00DD4F9E" w:rsidRDefault="00BB23B9" w:rsidP="00816FE4">
            <w:pPr>
              <w:jc w:val="right"/>
              <w:rPr>
                <w:rFonts w:ascii="CAIXA Std Book" w:hAnsi="CAIXA Std Book" w:cs="Calibri"/>
                <w:color w:val="005CA9"/>
                <w:sz w:val="18"/>
                <w:szCs w:val="18"/>
              </w:rPr>
            </w:pPr>
            <w:r>
              <w:rPr>
                <w:rFonts w:ascii="CAIXA Std Book" w:hAnsi="CAIXA Std Book" w:cs="Calibri"/>
                <w:color w:val="005CA9"/>
                <w:sz w:val="18"/>
                <w:szCs w:val="18"/>
              </w:rPr>
              <w:t>2.787.</w:t>
            </w:r>
            <w:r w:rsidR="00084219">
              <w:rPr>
                <w:rFonts w:ascii="CAIXA Std Book" w:hAnsi="CAIXA Std Book" w:cs="Calibri"/>
                <w:color w:val="005CA9"/>
                <w:sz w:val="18"/>
                <w:szCs w:val="18"/>
              </w:rPr>
              <w:t>524</w:t>
            </w:r>
          </w:p>
        </w:tc>
        <w:tc>
          <w:tcPr>
            <w:tcW w:w="630" w:type="pct"/>
            <w:tcBorders>
              <w:top w:val="nil"/>
              <w:left w:val="nil"/>
              <w:bottom w:val="nil"/>
              <w:right w:val="nil"/>
            </w:tcBorders>
            <w:vAlign w:val="center"/>
          </w:tcPr>
          <w:p w14:paraId="3AE14D8B" w14:textId="205B34DF" w:rsidR="00C466D7" w:rsidRPr="00DD4F9E" w:rsidRDefault="00BB23B9" w:rsidP="00816FE4">
            <w:pPr>
              <w:jc w:val="right"/>
              <w:rPr>
                <w:rFonts w:ascii="CAIXA Std Book" w:hAnsi="CAIXA Std Book" w:cs="Calibri"/>
                <w:color w:val="005CA9"/>
                <w:sz w:val="18"/>
                <w:szCs w:val="18"/>
              </w:rPr>
            </w:pPr>
            <w:r>
              <w:rPr>
                <w:rFonts w:ascii="CAIXA Std Book" w:hAnsi="CAIXA Std Book" w:cs="Calibri"/>
                <w:color w:val="005CA9"/>
                <w:sz w:val="18"/>
                <w:szCs w:val="18"/>
              </w:rPr>
              <w:t>(1.265.003)</w:t>
            </w:r>
          </w:p>
        </w:tc>
        <w:tc>
          <w:tcPr>
            <w:tcW w:w="630" w:type="pct"/>
            <w:tcBorders>
              <w:top w:val="nil"/>
              <w:left w:val="nil"/>
              <w:bottom w:val="nil"/>
              <w:right w:val="nil"/>
            </w:tcBorders>
            <w:noWrap/>
            <w:vAlign w:val="center"/>
          </w:tcPr>
          <w:p w14:paraId="7068AEE6" w14:textId="66080C00" w:rsidR="00C466D7" w:rsidRPr="00DD4F9E" w:rsidRDefault="00BB23B9" w:rsidP="00816FE4">
            <w:pPr>
              <w:jc w:val="right"/>
              <w:rPr>
                <w:rFonts w:ascii="CAIXA Std Book" w:hAnsi="CAIXA Std Book" w:cs="Calibri"/>
                <w:color w:val="005CA9"/>
                <w:sz w:val="18"/>
                <w:szCs w:val="18"/>
              </w:rPr>
            </w:pPr>
            <w:r>
              <w:rPr>
                <w:rFonts w:ascii="CAIXA Std Book" w:hAnsi="CAIXA Std Book" w:cs="Calibri"/>
                <w:color w:val="005CA9"/>
                <w:sz w:val="18"/>
                <w:szCs w:val="18"/>
              </w:rPr>
              <w:t>(1.017.236)</w:t>
            </w:r>
          </w:p>
        </w:tc>
        <w:tc>
          <w:tcPr>
            <w:tcW w:w="630" w:type="pct"/>
            <w:tcBorders>
              <w:top w:val="nil"/>
              <w:left w:val="nil"/>
              <w:bottom w:val="nil"/>
              <w:right w:val="nil"/>
            </w:tcBorders>
            <w:noWrap/>
            <w:vAlign w:val="center"/>
          </w:tcPr>
          <w:p w14:paraId="7B0AB2D9" w14:textId="38EA66DE" w:rsidR="00C466D7" w:rsidRPr="00DD4F9E" w:rsidRDefault="00BB23B9" w:rsidP="00ED02FD">
            <w:pPr>
              <w:ind w:right="68"/>
              <w:jc w:val="right"/>
              <w:rPr>
                <w:rFonts w:ascii="CAIXA Std Book" w:hAnsi="CAIXA Std Book" w:cs="Calibri"/>
                <w:color w:val="005CA9"/>
                <w:sz w:val="18"/>
                <w:szCs w:val="18"/>
              </w:rPr>
            </w:pPr>
            <w:r>
              <w:rPr>
                <w:rFonts w:ascii="CAIXA Std Book" w:hAnsi="CAIXA Std Book" w:cs="Calibri"/>
                <w:color w:val="005CA9"/>
                <w:sz w:val="18"/>
                <w:szCs w:val="18"/>
              </w:rPr>
              <w:t>48.776.</w:t>
            </w:r>
            <w:r w:rsidR="00084219">
              <w:rPr>
                <w:rFonts w:ascii="CAIXA Std Book" w:hAnsi="CAIXA Std Book" w:cs="Calibri"/>
                <w:color w:val="005CA9"/>
                <w:sz w:val="18"/>
                <w:szCs w:val="18"/>
              </w:rPr>
              <w:t>094</w:t>
            </w:r>
          </w:p>
        </w:tc>
      </w:tr>
      <w:tr w:rsidR="0015386D" w14:paraId="77A132C2" w14:textId="77777777" w:rsidTr="00E42F21">
        <w:trPr>
          <w:trHeight w:val="283"/>
        </w:trPr>
        <w:tc>
          <w:tcPr>
            <w:tcW w:w="1849" w:type="pct"/>
            <w:tcBorders>
              <w:top w:val="nil"/>
              <w:left w:val="nil"/>
              <w:bottom w:val="nil"/>
              <w:right w:val="nil"/>
            </w:tcBorders>
            <w:noWrap/>
            <w:vAlign w:val="center"/>
            <w:hideMark/>
          </w:tcPr>
          <w:p w14:paraId="0BF434B5" w14:textId="77777777" w:rsidR="00C466D7" w:rsidRPr="00817BD3" w:rsidRDefault="00C466D7" w:rsidP="00C466D7">
            <w:pPr>
              <w:rPr>
                <w:rFonts w:ascii="CAIXA Std Book" w:hAnsi="CAIXA Std Book" w:cs="Calibri"/>
                <w:color w:val="005CA9"/>
                <w:sz w:val="18"/>
                <w:szCs w:val="18"/>
              </w:rPr>
            </w:pPr>
            <w:r w:rsidRPr="00817BD3">
              <w:rPr>
                <w:rFonts w:ascii="CAIXA Std Book" w:hAnsi="CAIXA Std Book" w:cs="Calibri"/>
                <w:color w:val="005CA9"/>
                <w:sz w:val="18"/>
                <w:szCs w:val="18"/>
              </w:rPr>
              <w:t>Financiamentos imobiliários</w:t>
            </w:r>
          </w:p>
        </w:tc>
        <w:tc>
          <w:tcPr>
            <w:tcW w:w="630" w:type="pct"/>
            <w:tcBorders>
              <w:top w:val="nil"/>
              <w:left w:val="nil"/>
              <w:bottom w:val="nil"/>
              <w:right w:val="nil"/>
            </w:tcBorders>
            <w:noWrap/>
            <w:vAlign w:val="center"/>
            <w:hideMark/>
          </w:tcPr>
          <w:p w14:paraId="3296C7F1" w14:textId="13B4AD7E" w:rsidR="00C466D7" w:rsidRPr="00DD4F9E" w:rsidRDefault="003F1869" w:rsidP="00816FE4">
            <w:pPr>
              <w:jc w:val="right"/>
              <w:rPr>
                <w:rFonts w:ascii="CAIXA Std Book" w:hAnsi="CAIXA Std Book" w:cs="Calibri"/>
                <w:color w:val="005CA9"/>
                <w:sz w:val="18"/>
                <w:szCs w:val="18"/>
              </w:rPr>
            </w:pPr>
            <w:r>
              <w:rPr>
                <w:rFonts w:ascii="CAIXA Std Book" w:hAnsi="CAIXA Std Book" w:cs="Calibri"/>
                <w:color w:val="005CA9"/>
                <w:sz w:val="18"/>
                <w:szCs w:val="18"/>
              </w:rPr>
              <w:t>879.242.325</w:t>
            </w:r>
          </w:p>
        </w:tc>
        <w:tc>
          <w:tcPr>
            <w:tcW w:w="630" w:type="pct"/>
            <w:tcBorders>
              <w:top w:val="nil"/>
              <w:left w:val="nil"/>
              <w:bottom w:val="nil"/>
              <w:right w:val="nil"/>
            </w:tcBorders>
            <w:shd w:val="clear" w:color="000000" w:fill="FFFFFF"/>
            <w:vAlign w:val="center"/>
          </w:tcPr>
          <w:p w14:paraId="5D812744" w14:textId="3E9E72B5" w:rsidR="00C466D7" w:rsidRPr="00DD4F9E" w:rsidRDefault="00120DD8" w:rsidP="00816FE4">
            <w:pPr>
              <w:jc w:val="right"/>
              <w:rPr>
                <w:rFonts w:ascii="CAIXA Std Book" w:hAnsi="CAIXA Std Book" w:cs="Calibri"/>
                <w:color w:val="005CA9"/>
                <w:sz w:val="18"/>
                <w:szCs w:val="18"/>
              </w:rPr>
            </w:pPr>
            <w:r w:rsidRPr="00120DD8">
              <w:rPr>
                <w:rFonts w:ascii="CAIXA Std Book" w:hAnsi="CAIXA Std Book" w:cs="Calibri"/>
                <w:color w:val="005CA9"/>
                <w:sz w:val="18"/>
                <w:szCs w:val="18"/>
              </w:rPr>
              <w:t>29.088.</w:t>
            </w:r>
            <w:r w:rsidR="00084219">
              <w:rPr>
                <w:rFonts w:ascii="CAIXA Std Book" w:hAnsi="CAIXA Std Book" w:cs="Calibri"/>
                <w:color w:val="005CA9"/>
                <w:sz w:val="18"/>
                <w:szCs w:val="18"/>
              </w:rPr>
              <w:t>987</w:t>
            </w:r>
          </w:p>
        </w:tc>
        <w:tc>
          <w:tcPr>
            <w:tcW w:w="630" w:type="pct"/>
            <w:tcBorders>
              <w:top w:val="nil"/>
              <w:left w:val="nil"/>
              <w:bottom w:val="nil"/>
              <w:right w:val="nil"/>
            </w:tcBorders>
            <w:vAlign w:val="center"/>
          </w:tcPr>
          <w:p w14:paraId="3ECC36D1" w14:textId="2229B9CC" w:rsidR="00C466D7" w:rsidRPr="00DD4F9E" w:rsidRDefault="00BB23B9" w:rsidP="00816FE4">
            <w:pPr>
              <w:jc w:val="right"/>
              <w:rPr>
                <w:rFonts w:ascii="CAIXA Std Book" w:hAnsi="CAIXA Std Book" w:cs="Calibri"/>
                <w:color w:val="005CA9"/>
                <w:sz w:val="18"/>
                <w:szCs w:val="18"/>
              </w:rPr>
            </w:pPr>
            <w:r>
              <w:rPr>
                <w:rFonts w:ascii="CAIXA Std Book" w:hAnsi="CAIXA Std Book" w:cs="Calibri"/>
                <w:color w:val="005CA9"/>
                <w:sz w:val="18"/>
                <w:szCs w:val="18"/>
              </w:rPr>
              <w:t>(5.853.375)</w:t>
            </w:r>
          </w:p>
        </w:tc>
        <w:tc>
          <w:tcPr>
            <w:tcW w:w="630" w:type="pct"/>
            <w:tcBorders>
              <w:top w:val="nil"/>
              <w:left w:val="nil"/>
              <w:bottom w:val="nil"/>
              <w:right w:val="nil"/>
            </w:tcBorders>
            <w:noWrap/>
            <w:vAlign w:val="center"/>
          </w:tcPr>
          <w:p w14:paraId="3B5FC4F8" w14:textId="35C9799D" w:rsidR="00C466D7" w:rsidRPr="00DD4F9E" w:rsidRDefault="00BB23B9" w:rsidP="00816FE4">
            <w:pPr>
              <w:jc w:val="right"/>
              <w:rPr>
                <w:rFonts w:ascii="CAIXA Std Book" w:hAnsi="CAIXA Std Book" w:cs="Calibri"/>
                <w:color w:val="005CA9"/>
                <w:sz w:val="18"/>
                <w:szCs w:val="18"/>
              </w:rPr>
            </w:pPr>
            <w:r>
              <w:rPr>
                <w:rFonts w:ascii="CAIXA Std Book" w:hAnsi="CAIXA Std Book" w:cs="Calibri"/>
                <w:color w:val="005CA9"/>
                <w:sz w:val="18"/>
                <w:szCs w:val="18"/>
              </w:rPr>
              <w:t>(2.780.616)</w:t>
            </w:r>
          </w:p>
        </w:tc>
        <w:tc>
          <w:tcPr>
            <w:tcW w:w="630" w:type="pct"/>
            <w:tcBorders>
              <w:top w:val="nil"/>
              <w:left w:val="nil"/>
              <w:bottom w:val="nil"/>
              <w:right w:val="nil"/>
            </w:tcBorders>
            <w:noWrap/>
            <w:vAlign w:val="center"/>
          </w:tcPr>
          <w:p w14:paraId="64143E26" w14:textId="2839E547" w:rsidR="00C466D7" w:rsidRPr="00DD4F9E" w:rsidRDefault="00BB23B9" w:rsidP="00ED02FD">
            <w:pPr>
              <w:ind w:right="68"/>
              <w:jc w:val="right"/>
              <w:rPr>
                <w:rFonts w:ascii="CAIXA Std Book" w:hAnsi="CAIXA Std Book" w:cs="Calibri"/>
                <w:color w:val="005CA9"/>
                <w:sz w:val="18"/>
                <w:szCs w:val="18"/>
              </w:rPr>
            </w:pPr>
            <w:r w:rsidRPr="00BB23B9">
              <w:rPr>
                <w:rFonts w:ascii="CAIXA Std Book" w:hAnsi="CAIXA Std Book" w:cs="Calibri"/>
                <w:color w:val="005CA9"/>
                <w:sz w:val="18"/>
                <w:szCs w:val="18"/>
              </w:rPr>
              <w:t>899.697.</w:t>
            </w:r>
            <w:r w:rsidR="00084219">
              <w:rPr>
                <w:rFonts w:ascii="CAIXA Std Book" w:hAnsi="CAIXA Std Book" w:cs="Calibri"/>
                <w:color w:val="005CA9"/>
                <w:sz w:val="18"/>
                <w:szCs w:val="18"/>
              </w:rPr>
              <w:t>321</w:t>
            </w:r>
          </w:p>
        </w:tc>
      </w:tr>
      <w:tr w:rsidR="0015386D" w14:paraId="2F5CAC6B" w14:textId="77777777" w:rsidTr="00E42F21">
        <w:trPr>
          <w:trHeight w:val="283"/>
        </w:trPr>
        <w:tc>
          <w:tcPr>
            <w:tcW w:w="1849" w:type="pct"/>
            <w:tcBorders>
              <w:top w:val="nil"/>
              <w:left w:val="nil"/>
              <w:bottom w:val="nil"/>
              <w:right w:val="nil"/>
            </w:tcBorders>
            <w:noWrap/>
            <w:vAlign w:val="center"/>
            <w:hideMark/>
          </w:tcPr>
          <w:p w14:paraId="7E253F73" w14:textId="77777777" w:rsidR="00C466D7" w:rsidRPr="00817BD3" w:rsidRDefault="00C466D7" w:rsidP="00C466D7">
            <w:pPr>
              <w:rPr>
                <w:rFonts w:ascii="CAIXA Std Book" w:hAnsi="CAIXA Std Book" w:cs="Calibri"/>
                <w:color w:val="005CA9"/>
                <w:sz w:val="18"/>
                <w:szCs w:val="18"/>
              </w:rPr>
            </w:pPr>
            <w:r w:rsidRPr="00817BD3">
              <w:rPr>
                <w:rFonts w:ascii="CAIXA Std Book" w:hAnsi="CAIXA Std Book" w:cs="Calibri"/>
                <w:color w:val="005CA9"/>
                <w:sz w:val="18"/>
                <w:szCs w:val="18"/>
              </w:rPr>
              <w:t>Financiamentos de infraestrutura</w:t>
            </w:r>
          </w:p>
        </w:tc>
        <w:tc>
          <w:tcPr>
            <w:tcW w:w="630" w:type="pct"/>
            <w:tcBorders>
              <w:top w:val="nil"/>
              <w:left w:val="nil"/>
              <w:bottom w:val="nil"/>
              <w:right w:val="nil"/>
            </w:tcBorders>
            <w:noWrap/>
            <w:vAlign w:val="center"/>
            <w:hideMark/>
          </w:tcPr>
          <w:p w14:paraId="76000C18" w14:textId="1570688F" w:rsidR="00C466D7" w:rsidRPr="00DD4F9E" w:rsidRDefault="003F1869" w:rsidP="00816FE4">
            <w:pPr>
              <w:jc w:val="right"/>
              <w:rPr>
                <w:rFonts w:ascii="CAIXA Std Book" w:hAnsi="CAIXA Std Book" w:cs="Calibri"/>
                <w:color w:val="005CA9"/>
                <w:sz w:val="18"/>
                <w:szCs w:val="18"/>
              </w:rPr>
            </w:pPr>
            <w:r>
              <w:rPr>
                <w:rFonts w:ascii="CAIXA Std Book" w:hAnsi="CAIXA Std Book" w:cs="Calibri"/>
                <w:color w:val="005CA9"/>
                <w:sz w:val="18"/>
                <w:szCs w:val="18"/>
              </w:rPr>
              <w:t>104.004.050</w:t>
            </w:r>
          </w:p>
        </w:tc>
        <w:tc>
          <w:tcPr>
            <w:tcW w:w="630" w:type="pct"/>
            <w:tcBorders>
              <w:top w:val="nil"/>
              <w:left w:val="nil"/>
              <w:bottom w:val="nil"/>
              <w:right w:val="nil"/>
            </w:tcBorders>
            <w:shd w:val="clear" w:color="000000" w:fill="FFFFFF"/>
            <w:vAlign w:val="center"/>
          </w:tcPr>
          <w:p w14:paraId="7ADCF584" w14:textId="129E5125" w:rsidR="00C466D7" w:rsidRPr="00DD4F9E" w:rsidRDefault="00BB23B9" w:rsidP="00816FE4">
            <w:pPr>
              <w:jc w:val="right"/>
              <w:rPr>
                <w:rFonts w:ascii="CAIXA Std Book" w:hAnsi="CAIXA Std Book" w:cs="Calibri"/>
                <w:color w:val="005CA9"/>
                <w:sz w:val="18"/>
                <w:szCs w:val="18"/>
              </w:rPr>
            </w:pPr>
            <w:r>
              <w:rPr>
                <w:rFonts w:ascii="CAIXA Std Book" w:hAnsi="CAIXA Std Book" w:cs="Calibri"/>
                <w:color w:val="005CA9"/>
                <w:sz w:val="18"/>
                <w:szCs w:val="18"/>
              </w:rPr>
              <w:t>(145.</w:t>
            </w:r>
            <w:r w:rsidR="00084219">
              <w:rPr>
                <w:rFonts w:ascii="CAIXA Std Book" w:hAnsi="CAIXA Std Book" w:cs="Calibri"/>
                <w:color w:val="005CA9"/>
                <w:sz w:val="18"/>
                <w:szCs w:val="18"/>
              </w:rPr>
              <w:t>455</w:t>
            </w:r>
            <w:r>
              <w:rPr>
                <w:rFonts w:ascii="CAIXA Std Book" w:hAnsi="CAIXA Std Book" w:cs="Calibri"/>
                <w:color w:val="005CA9"/>
                <w:sz w:val="18"/>
                <w:szCs w:val="18"/>
              </w:rPr>
              <w:t>)</w:t>
            </w:r>
          </w:p>
        </w:tc>
        <w:tc>
          <w:tcPr>
            <w:tcW w:w="630" w:type="pct"/>
            <w:tcBorders>
              <w:top w:val="nil"/>
              <w:left w:val="nil"/>
              <w:bottom w:val="nil"/>
              <w:right w:val="nil"/>
            </w:tcBorders>
            <w:vAlign w:val="center"/>
          </w:tcPr>
          <w:p w14:paraId="09C3D273" w14:textId="31A3BDE5" w:rsidR="00C466D7" w:rsidRPr="00DD4F9E" w:rsidRDefault="00BB23B9" w:rsidP="00816FE4">
            <w:pPr>
              <w:jc w:val="right"/>
              <w:rPr>
                <w:rFonts w:ascii="CAIXA Std Book" w:hAnsi="CAIXA Std Book" w:cs="Calibri"/>
                <w:color w:val="005CA9"/>
                <w:sz w:val="18"/>
                <w:szCs w:val="18"/>
              </w:rPr>
            </w:pPr>
            <w:r>
              <w:rPr>
                <w:rFonts w:ascii="CAIXA Std Book" w:hAnsi="CAIXA Std Book" w:cs="Calibri"/>
                <w:color w:val="005CA9"/>
                <w:sz w:val="18"/>
                <w:szCs w:val="18"/>
              </w:rPr>
              <w:t>(6.645)</w:t>
            </w:r>
          </w:p>
        </w:tc>
        <w:tc>
          <w:tcPr>
            <w:tcW w:w="630" w:type="pct"/>
            <w:tcBorders>
              <w:top w:val="nil"/>
              <w:left w:val="nil"/>
              <w:bottom w:val="nil"/>
              <w:right w:val="nil"/>
            </w:tcBorders>
            <w:noWrap/>
            <w:vAlign w:val="center"/>
          </w:tcPr>
          <w:p w14:paraId="386D453E" w14:textId="71B8CD5C" w:rsidR="00C466D7" w:rsidRPr="00DD4F9E" w:rsidRDefault="00BB23B9" w:rsidP="00816FE4">
            <w:pPr>
              <w:jc w:val="right"/>
              <w:rPr>
                <w:rFonts w:ascii="CAIXA Std Book" w:hAnsi="CAIXA Std Book" w:cs="Calibri"/>
                <w:color w:val="005CA9"/>
                <w:sz w:val="18"/>
                <w:szCs w:val="18"/>
              </w:rPr>
            </w:pPr>
            <w:r>
              <w:rPr>
                <w:rFonts w:ascii="CAIXA Std Book" w:hAnsi="CAIXA Std Book" w:cs="Calibri"/>
                <w:color w:val="005CA9"/>
                <w:sz w:val="18"/>
                <w:szCs w:val="18"/>
              </w:rPr>
              <w:t>(100.376)</w:t>
            </w:r>
          </w:p>
        </w:tc>
        <w:tc>
          <w:tcPr>
            <w:tcW w:w="630" w:type="pct"/>
            <w:tcBorders>
              <w:top w:val="nil"/>
              <w:left w:val="nil"/>
              <w:bottom w:val="nil"/>
              <w:right w:val="nil"/>
            </w:tcBorders>
            <w:noWrap/>
            <w:vAlign w:val="center"/>
          </w:tcPr>
          <w:p w14:paraId="53062F98" w14:textId="1A5775D7" w:rsidR="00C466D7" w:rsidRPr="00DD4F9E" w:rsidRDefault="00BB23B9" w:rsidP="00ED02FD">
            <w:pPr>
              <w:ind w:right="68"/>
              <w:jc w:val="right"/>
              <w:rPr>
                <w:rFonts w:ascii="CAIXA Std Book" w:hAnsi="CAIXA Std Book" w:cs="Calibri"/>
                <w:color w:val="005CA9"/>
                <w:sz w:val="18"/>
                <w:szCs w:val="18"/>
              </w:rPr>
            </w:pPr>
            <w:r>
              <w:rPr>
                <w:rFonts w:ascii="CAIXA Std Book" w:hAnsi="CAIXA Std Book" w:cs="Calibri"/>
                <w:color w:val="005CA9"/>
                <w:sz w:val="18"/>
                <w:szCs w:val="18"/>
              </w:rPr>
              <w:t>103.751.</w:t>
            </w:r>
            <w:r w:rsidR="00084219">
              <w:rPr>
                <w:rFonts w:ascii="CAIXA Std Book" w:hAnsi="CAIXA Std Book" w:cs="Calibri"/>
                <w:color w:val="005CA9"/>
                <w:sz w:val="18"/>
                <w:szCs w:val="18"/>
              </w:rPr>
              <w:t>574</w:t>
            </w:r>
          </w:p>
        </w:tc>
      </w:tr>
      <w:tr w:rsidR="0015386D" w14:paraId="4CA3175F" w14:textId="77777777" w:rsidTr="00E42F21">
        <w:trPr>
          <w:trHeight w:val="283"/>
        </w:trPr>
        <w:tc>
          <w:tcPr>
            <w:tcW w:w="1849" w:type="pct"/>
            <w:tcBorders>
              <w:top w:val="nil"/>
              <w:left w:val="nil"/>
              <w:bottom w:val="nil"/>
              <w:right w:val="nil"/>
            </w:tcBorders>
            <w:noWrap/>
            <w:vAlign w:val="center"/>
            <w:hideMark/>
          </w:tcPr>
          <w:p w14:paraId="114F4251" w14:textId="77777777" w:rsidR="00C466D7" w:rsidRPr="00817BD3" w:rsidRDefault="00C466D7" w:rsidP="00C466D7">
            <w:pPr>
              <w:rPr>
                <w:rFonts w:ascii="CAIXA Std Book" w:hAnsi="CAIXA Std Book" w:cs="Calibri"/>
                <w:color w:val="005CA9"/>
                <w:sz w:val="18"/>
                <w:szCs w:val="18"/>
              </w:rPr>
            </w:pPr>
            <w:r w:rsidRPr="00817BD3">
              <w:rPr>
                <w:rFonts w:ascii="CAIXA Std Book" w:hAnsi="CAIXA Std Book" w:cs="Calibri"/>
                <w:color w:val="005CA9"/>
                <w:sz w:val="18"/>
                <w:szCs w:val="18"/>
              </w:rPr>
              <w:t>Cessão de crédito</w:t>
            </w:r>
          </w:p>
        </w:tc>
        <w:tc>
          <w:tcPr>
            <w:tcW w:w="630" w:type="pct"/>
            <w:tcBorders>
              <w:top w:val="nil"/>
              <w:left w:val="nil"/>
              <w:bottom w:val="nil"/>
              <w:right w:val="nil"/>
            </w:tcBorders>
            <w:noWrap/>
            <w:vAlign w:val="center"/>
            <w:hideMark/>
          </w:tcPr>
          <w:p w14:paraId="28AFCECE" w14:textId="1467E8C1" w:rsidR="00C466D7" w:rsidRPr="00DD4F9E" w:rsidRDefault="003F1869" w:rsidP="00816FE4">
            <w:pPr>
              <w:jc w:val="right"/>
              <w:rPr>
                <w:rFonts w:ascii="CAIXA Std Book" w:hAnsi="CAIXA Std Book" w:cs="Calibri"/>
                <w:color w:val="005CA9"/>
                <w:sz w:val="18"/>
                <w:szCs w:val="18"/>
              </w:rPr>
            </w:pPr>
            <w:r>
              <w:rPr>
                <w:rFonts w:ascii="CAIXA Std Book" w:hAnsi="CAIXA Std Book" w:cs="Calibri"/>
                <w:color w:val="005CA9"/>
                <w:sz w:val="18"/>
                <w:szCs w:val="18"/>
              </w:rPr>
              <w:t>2.739.658</w:t>
            </w:r>
          </w:p>
        </w:tc>
        <w:tc>
          <w:tcPr>
            <w:tcW w:w="630" w:type="pct"/>
            <w:tcBorders>
              <w:top w:val="nil"/>
              <w:left w:val="nil"/>
              <w:bottom w:val="nil"/>
              <w:right w:val="nil"/>
            </w:tcBorders>
            <w:shd w:val="clear" w:color="000000" w:fill="FFFFFF"/>
            <w:vAlign w:val="center"/>
          </w:tcPr>
          <w:p w14:paraId="7B9D8335" w14:textId="347F9070" w:rsidR="00C466D7" w:rsidRPr="00DD4F9E" w:rsidRDefault="00BB23B9" w:rsidP="00816FE4">
            <w:pPr>
              <w:jc w:val="right"/>
              <w:rPr>
                <w:rFonts w:ascii="CAIXA Std Book" w:hAnsi="CAIXA Std Book" w:cs="Calibri"/>
                <w:color w:val="005CA9"/>
                <w:sz w:val="18"/>
                <w:szCs w:val="18"/>
              </w:rPr>
            </w:pPr>
            <w:r>
              <w:rPr>
                <w:rFonts w:ascii="CAIXA Std Book" w:hAnsi="CAIXA Std Book" w:cs="Calibri"/>
                <w:color w:val="005CA9"/>
                <w:sz w:val="18"/>
                <w:szCs w:val="18"/>
              </w:rPr>
              <w:t>(113.</w:t>
            </w:r>
            <w:r w:rsidR="00120DD8">
              <w:rPr>
                <w:rFonts w:ascii="CAIXA Std Book" w:hAnsi="CAIXA Std Book" w:cs="Calibri"/>
                <w:color w:val="005CA9"/>
                <w:sz w:val="18"/>
                <w:szCs w:val="18"/>
              </w:rPr>
              <w:t>03</w:t>
            </w:r>
            <w:r w:rsidR="006C208B">
              <w:rPr>
                <w:rFonts w:ascii="CAIXA Std Book" w:hAnsi="CAIXA Std Book" w:cs="Calibri"/>
                <w:color w:val="005CA9"/>
                <w:sz w:val="18"/>
                <w:szCs w:val="18"/>
              </w:rPr>
              <w:t>7</w:t>
            </w:r>
            <w:r>
              <w:rPr>
                <w:rFonts w:ascii="CAIXA Std Book" w:hAnsi="CAIXA Std Book" w:cs="Calibri"/>
                <w:color w:val="005CA9"/>
                <w:sz w:val="18"/>
                <w:szCs w:val="18"/>
              </w:rPr>
              <w:t>)</w:t>
            </w:r>
          </w:p>
        </w:tc>
        <w:tc>
          <w:tcPr>
            <w:tcW w:w="630" w:type="pct"/>
            <w:tcBorders>
              <w:top w:val="nil"/>
              <w:left w:val="nil"/>
              <w:bottom w:val="nil"/>
              <w:right w:val="nil"/>
            </w:tcBorders>
            <w:vAlign w:val="center"/>
          </w:tcPr>
          <w:p w14:paraId="64BF884E" w14:textId="1FDB20A1" w:rsidR="00C466D7" w:rsidRPr="00DD4F9E" w:rsidRDefault="00BB23B9" w:rsidP="00816FE4">
            <w:pPr>
              <w:jc w:val="right"/>
              <w:rPr>
                <w:rFonts w:ascii="CAIXA Std Book" w:hAnsi="CAIXA Std Book" w:cs="Calibri"/>
                <w:color w:val="005CA9"/>
                <w:sz w:val="18"/>
                <w:szCs w:val="18"/>
              </w:rPr>
            </w:pPr>
            <w:r>
              <w:rPr>
                <w:rFonts w:ascii="CAIXA Std Book" w:hAnsi="CAIXA Std Book" w:cs="Calibri"/>
                <w:color w:val="005CA9"/>
                <w:sz w:val="18"/>
                <w:szCs w:val="18"/>
              </w:rPr>
              <w:t>(5.180)</w:t>
            </w:r>
          </w:p>
        </w:tc>
        <w:tc>
          <w:tcPr>
            <w:tcW w:w="630" w:type="pct"/>
            <w:tcBorders>
              <w:top w:val="nil"/>
              <w:left w:val="nil"/>
              <w:bottom w:val="nil"/>
              <w:right w:val="nil"/>
            </w:tcBorders>
            <w:noWrap/>
            <w:vAlign w:val="center"/>
          </w:tcPr>
          <w:p w14:paraId="22DD0283" w14:textId="3AE42B48" w:rsidR="00C466D7" w:rsidRPr="00DD4F9E" w:rsidRDefault="00BB23B9" w:rsidP="00816FE4">
            <w:pPr>
              <w:jc w:val="right"/>
              <w:rPr>
                <w:rFonts w:ascii="CAIXA Std Book" w:hAnsi="CAIXA Std Book" w:cs="Calibri"/>
                <w:color w:val="005CA9"/>
                <w:sz w:val="18"/>
                <w:szCs w:val="18"/>
              </w:rPr>
            </w:pPr>
            <w:r>
              <w:rPr>
                <w:rFonts w:ascii="CAIXA Std Book" w:hAnsi="CAIXA Std Book" w:cs="Calibri"/>
                <w:color w:val="005CA9"/>
                <w:sz w:val="18"/>
                <w:szCs w:val="18"/>
              </w:rPr>
              <w:t>226</w:t>
            </w:r>
          </w:p>
        </w:tc>
        <w:tc>
          <w:tcPr>
            <w:tcW w:w="630" w:type="pct"/>
            <w:tcBorders>
              <w:top w:val="nil"/>
              <w:left w:val="nil"/>
              <w:bottom w:val="nil"/>
              <w:right w:val="nil"/>
            </w:tcBorders>
            <w:noWrap/>
            <w:vAlign w:val="center"/>
          </w:tcPr>
          <w:p w14:paraId="13B61DD4" w14:textId="3416F720" w:rsidR="00C466D7" w:rsidRPr="00DD4F9E" w:rsidRDefault="00BB23B9" w:rsidP="00ED02FD">
            <w:pPr>
              <w:ind w:right="68"/>
              <w:jc w:val="right"/>
              <w:rPr>
                <w:rFonts w:ascii="CAIXA Std Book" w:hAnsi="CAIXA Std Book" w:cs="Calibri"/>
                <w:color w:val="005CA9"/>
                <w:sz w:val="18"/>
                <w:szCs w:val="18"/>
              </w:rPr>
            </w:pPr>
            <w:r>
              <w:rPr>
                <w:rFonts w:ascii="CAIXA Std Book" w:hAnsi="CAIXA Std Book" w:cs="Calibri"/>
                <w:color w:val="005CA9"/>
                <w:sz w:val="18"/>
                <w:szCs w:val="18"/>
              </w:rPr>
              <w:t>2.621.</w:t>
            </w:r>
            <w:r w:rsidR="00120DD8">
              <w:rPr>
                <w:rFonts w:ascii="CAIXA Std Book" w:hAnsi="CAIXA Std Book" w:cs="Calibri"/>
                <w:color w:val="005CA9"/>
                <w:sz w:val="18"/>
                <w:szCs w:val="18"/>
              </w:rPr>
              <w:t>66</w:t>
            </w:r>
            <w:r w:rsidR="00445AE7">
              <w:rPr>
                <w:rFonts w:ascii="CAIXA Std Book" w:hAnsi="CAIXA Std Book" w:cs="Calibri"/>
                <w:color w:val="005CA9"/>
                <w:sz w:val="18"/>
                <w:szCs w:val="18"/>
              </w:rPr>
              <w:t>7</w:t>
            </w:r>
          </w:p>
        </w:tc>
      </w:tr>
      <w:tr w:rsidR="0015386D" w14:paraId="7BA66C49" w14:textId="77777777" w:rsidTr="00E42F21">
        <w:trPr>
          <w:trHeight w:val="283"/>
        </w:trPr>
        <w:tc>
          <w:tcPr>
            <w:tcW w:w="1849" w:type="pct"/>
            <w:tcBorders>
              <w:top w:val="nil"/>
              <w:left w:val="nil"/>
              <w:bottom w:val="nil"/>
              <w:right w:val="nil"/>
            </w:tcBorders>
            <w:noWrap/>
            <w:vAlign w:val="center"/>
            <w:hideMark/>
          </w:tcPr>
          <w:p w14:paraId="27C46AAF" w14:textId="3C3A59E0" w:rsidR="00C466D7" w:rsidRPr="00817BD3" w:rsidRDefault="00C466D7" w:rsidP="00C466D7">
            <w:pPr>
              <w:rPr>
                <w:rFonts w:ascii="CAIXA Std Book" w:hAnsi="CAIXA Std Book" w:cs="Calibri"/>
                <w:color w:val="005CA9"/>
                <w:sz w:val="18"/>
                <w:szCs w:val="18"/>
              </w:rPr>
            </w:pPr>
            <w:r w:rsidRPr="00817BD3">
              <w:rPr>
                <w:rFonts w:ascii="CAIXA Std Book" w:hAnsi="CAIXA Std Book" w:cs="Calibri"/>
                <w:color w:val="005CA9"/>
                <w:sz w:val="18"/>
                <w:szCs w:val="18"/>
              </w:rPr>
              <w:t xml:space="preserve">Outros </w:t>
            </w:r>
            <w:r>
              <w:rPr>
                <w:rFonts w:ascii="CAIXA Std Book" w:hAnsi="CAIXA Std Book" w:cs="Calibri"/>
                <w:color w:val="005CA9"/>
                <w:sz w:val="18"/>
                <w:szCs w:val="18"/>
              </w:rPr>
              <w:t>ativos com características de concessão de crédito</w:t>
            </w:r>
          </w:p>
        </w:tc>
        <w:tc>
          <w:tcPr>
            <w:tcW w:w="630" w:type="pct"/>
            <w:tcBorders>
              <w:top w:val="nil"/>
              <w:left w:val="nil"/>
              <w:bottom w:val="nil"/>
              <w:right w:val="nil"/>
            </w:tcBorders>
            <w:noWrap/>
            <w:vAlign w:val="center"/>
            <w:hideMark/>
          </w:tcPr>
          <w:p w14:paraId="353D86E1" w14:textId="7158ED6E" w:rsidR="00C466D7" w:rsidRPr="00DD4F9E" w:rsidRDefault="003F1869" w:rsidP="00816FE4">
            <w:pPr>
              <w:jc w:val="right"/>
              <w:rPr>
                <w:rFonts w:ascii="CAIXA Std Book" w:hAnsi="CAIXA Std Book" w:cs="Calibri"/>
                <w:color w:val="005CA9"/>
                <w:sz w:val="18"/>
                <w:szCs w:val="18"/>
              </w:rPr>
            </w:pPr>
            <w:r>
              <w:rPr>
                <w:rFonts w:ascii="CAIXA Std Book" w:hAnsi="CAIXA Std Book" w:cs="Calibri"/>
                <w:color w:val="005CA9"/>
                <w:sz w:val="18"/>
                <w:szCs w:val="18"/>
              </w:rPr>
              <w:t>2.786.642</w:t>
            </w:r>
          </w:p>
        </w:tc>
        <w:tc>
          <w:tcPr>
            <w:tcW w:w="630" w:type="pct"/>
            <w:tcBorders>
              <w:top w:val="nil"/>
              <w:left w:val="nil"/>
              <w:bottom w:val="nil"/>
              <w:right w:val="nil"/>
            </w:tcBorders>
            <w:shd w:val="clear" w:color="000000" w:fill="FFFFFF"/>
            <w:vAlign w:val="center"/>
          </w:tcPr>
          <w:p w14:paraId="146C2E46" w14:textId="6BE12C79" w:rsidR="00C466D7" w:rsidRPr="00DD4F9E" w:rsidRDefault="00BB23B9" w:rsidP="00816FE4">
            <w:pPr>
              <w:jc w:val="right"/>
              <w:rPr>
                <w:rFonts w:ascii="CAIXA Std Book" w:hAnsi="CAIXA Std Book" w:cs="Calibri"/>
                <w:color w:val="005CA9"/>
                <w:sz w:val="18"/>
                <w:szCs w:val="18"/>
              </w:rPr>
            </w:pPr>
            <w:r>
              <w:rPr>
                <w:rFonts w:ascii="CAIXA Std Book" w:hAnsi="CAIXA Std Book" w:cs="Calibri"/>
                <w:color w:val="005CA9"/>
                <w:sz w:val="18"/>
                <w:szCs w:val="18"/>
              </w:rPr>
              <w:t>(102.</w:t>
            </w:r>
            <w:r w:rsidR="00084219">
              <w:rPr>
                <w:rFonts w:ascii="CAIXA Std Book" w:hAnsi="CAIXA Std Book" w:cs="Calibri"/>
                <w:color w:val="005CA9"/>
                <w:sz w:val="18"/>
                <w:szCs w:val="18"/>
              </w:rPr>
              <w:t>068</w:t>
            </w:r>
            <w:r>
              <w:rPr>
                <w:rFonts w:ascii="CAIXA Std Book" w:hAnsi="CAIXA Std Book" w:cs="Calibri"/>
                <w:color w:val="005CA9"/>
                <w:sz w:val="18"/>
                <w:szCs w:val="18"/>
              </w:rPr>
              <w:t>)</w:t>
            </w:r>
          </w:p>
        </w:tc>
        <w:tc>
          <w:tcPr>
            <w:tcW w:w="630" w:type="pct"/>
            <w:tcBorders>
              <w:top w:val="nil"/>
              <w:left w:val="nil"/>
              <w:bottom w:val="nil"/>
              <w:right w:val="nil"/>
            </w:tcBorders>
            <w:vAlign w:val="center"/>
          </w:tcPr>
          <w:p w14:paraId="1537E051" w14:textId="21C198B5" w:rsidR="00C466D7" w:rsidRPr="00DD4F9E" w:rsidRDefault="00BB23B9" w:rsidP="00816FE4">
            <w:pPr>
              <w:jc w:val="right"/>
              <w:rPr>
                <w:rFonts w:ascii="CAIXA Std Book" w:hAnsi="CAIXA Std Book" w:cs="Calibri"/>
                <w:color w:val="005CA9"/>
                <w:sz w:val="18"/>
                <w:szCs w:val="18"/>
              </w:rPr>
            </w:pPr>
            <w:r>
              <w:rPr>
                <w:rFonts w:ascii="CAIXA Std Book" w:hAnsi="CAIXA Std Book" w:cs="Calibri"/>
                <w:color w:val="005CA9"/>
                <w:sz w:val="18"/>
                <w:szCs w:val="18"/>
              </w:rPr>
              <w:t>8.686</w:t>
            </w:r>
          </w:p>
        </w:tc>
        <w:tc>
          <w:tcPr>
            <w:tcW w:w="630" w:type="pct"/>
            <w:tcBorders>
              <w:top w:val="nil"/>
              <w:left w:val="nil"/>
              <w:bottom w:val="nil"/>
              <w:right w:val="nil"/>
            </w:tcBorders>
            <w:noWrap/>
            <w:vAlign w:val="center"/>
          </w:tcPr>
          <w:p w14:paraId="1BA52F56" w14:textId="1B0C09CF" w:rsidR="00C466D7" w:rsidRPr="00DD4F9E" w:rsidRDefault="00BB23B9" w:rsidP="00816FE4">
            <w:pPr>
              <w:jc w:val="right"/>
              <w:rPr>
                <w:rFonts w:ascii="CAIXA Std Book" w:hAnsi="CAIXA Std Book" w:cs="Calibri"/>
                <w:color w:val="005CA9"/>
                <w:sz w:val="18"/>
                <w:szCs w:val="18"/>
              </w:rPr>
            </w:pPr>
            <w:r>
              <w:rPr>
                <w:rFonts w:ascii="CAIXA Std Book" w:hAnsi="CAIXA Std Book" w:cs="Calibri"/>
                <w:color w:val="005CA9"/>
                <w:sz w:val="18"/>
                <w:szCs w:val="18"/>
              </w:rPr>
              <w:t>(18.795)</w:t>
            </w:r>
          </w:p>
        </w:tc>
        <w:tc>
          <w:tcPr>
            <w:tcW w:w="630" w:type="pct"/>
            <w:tcBorders>
              <w:top w:val="nil"/>
              <w:left w:val="nil"/>
              <w:bottom w:val="nil"/>
              <w:right w:val="nil"/>
            </w:tcBorders>
            <w:noWrap/>
            <w:vAlign w:val="center"/>
          </w:tcPr>
          <w:p w14:paraId="2B15BAA7" w14:textId="2FC2256D" w:rsidR="00C466D7" w:rsidRPr="00DD4F9E" w:rsidRDefault="00BB23B9" w:rsidP="00ED02FD">
            <w:pPr>
              <w:ind w:right="68"/>
              <w:jc w:val="right"/>
              <w:rPr>
                <w:rFonts w:ascii="CAIXA Std Book" w:hAnsi="CAIXA Std Book" w:cs="Calibri"/>
                <w:color w:val="005CA9"/>
                <w:sz w:val="18"/>
                <w:szCs w:val="18"/>
              </w:rPr>
            </w:pPr>
            <w:r>
              <w:rPr>
                <w:rFonts w:ascii="CAIXA Std Book" w:hAnsi="CAIXA Std Book" w:cs="Calibri"/>
                <w:color w:val="005CA9"/>
                <w:sz w:val="18"/>
                <w:szCs w:val="18"/>
              </w:rPr>
              <w:t>2.674.</w:t>
            </w:r>
            <w:r w:rsidR="00084219">
              <w:rPr>
                <w:rFonts w:ascii="CAIXA Std Book" w:hAnsi="CAIXA Std Book" w:cs="Calibri"/>
                <w:color w:val="005CA9"/>
                <w:sz w:val="18"/>
                <w:szCs w:val="18"/>
              </w:rPr>
              <w:t>465</w:t>
            </w:r>
          </w:p>
        </w:tc>
      </w:tr>
      <w:tr w:rsidR="0015386D" w14:paraId="613EE26F" w14:textId="77777777" w:rsidTr="00E42F21">
        <w:trPr>
          <w:trHeight w:val="283"/>
        </w:trPr>
        <w:tc>
          <w:tcPr>
            <w:tcW w:w="1849" w:type="pct"/>
            <w:tcBorders>
              <w:top w:val="nil"/>
              <w:left w:val="nil"/>
              <w:bottom w:val="nil"/>
              <w:right w:val="nil"/>
            </w:tcBorders>
            <w:shd w:val="clear" w:color="auto" w:fill="005CA9"/>
            <w:noWrap/>
            <w:vAlign w:val="center"/>
            <w:hideMark/>
          </w:tcPr>
          <w:p w14:paraId="3A9521A2" w14:textId="77777777" w:rsidR="00C466D7" w:rsidRPr="00817BD3" w:rsidRDefault="00C466D7" w:rsidP="00C466D7">
            <w:pPr>
              <w:rPr>
                <w:rFonts w:ascii="CAIXA Std Book" w:hAnsi="CAIXA Std Book" w:cs="Calibri"/>
                <w:b/>
                <w:color w:val="FFFFFF"/>
                <w:sz w:val="18"/>
                <w:szCs w:val="18"/>
              </w:rPr>
            </w:pPr>
            <w:r w:rsidRPr="00817BD3">
              <w:rPr>
                <w:rFonts w:ascii="CAIXA Std Book" w:hAnsi="CAIXA Std Book" w:cs="Calibri"/>
                <w:b/>
                <w:color w:val="FFFFFF"/>
                <w:sz w:val="18"/>
                <w:szCs w:val="18"/>
              </w:rPr>
              <w:t>Total</w:t>
            </w:r>
            <w:r w:rsidRPr="00817BD3">
              <w:rPr>
                <w:rFonts w:ascii="CAIXA Std Book" w:hAnsi="CAIXA Std Book" w:cs="Calibri"/>
                <w:color w:val="005CA9"/>
                <w:sz w:val="18"/>
                <w:szCs w:val="18"/>
              </w:rPr>
              <w:t> </w:t>
            </w:r>
          </w:p>
        </w:tc>
        <w:tc>
          <w:tcPr>
            <w:tcW w:w="630" w:type="pct"/>
            <w:tcBorders>
              <w:top w:val="nil"/>
              <w:left w:val="nil"/>
              <w:bottom w:val="nil"/>
              <w:right w:val="nil"/>
            </w:tcBorders>
            <w:shd w:val="clear" w:color="auto" w:fill="005CA9"/>
            <w:noWrap/>
            <w:vAlign w:val="center"/>
          </w:tcPr>
          <w:p w14:paraId="06381A19" w14:textId="76FE5250" w:rsidR="00C466D7" w:rsidRPr="00DD4F9E" w:rsidRDefault="003F1869" w:rsidP="00816FE4">
            <w:pPr>
              <w:jc w:val="right"/>
              <w:rPr>
                <w:rFonts w:ascii="CAIXA Std Book" w:hAnsi="CAIXA Std Book" w:cs="Calibri"/>
                <w:b/>
                <w:color w:val="FFFFFF"/>
                <w:sz w:val="18"/>
                <w:szCs w:val="18"/>
              </w:rPr>
            </w:pPr>
            <w:r>
              <w:rPr>
                <w:rFonts w:ascii="CAIXA Std Book" w:hAnsi="CAIXA Std Book" w:cs="Calibri"/>
                <w:b/>
                <w:bCs/>
                <w:color w:val="FFFFFF"/>
                <w:sz w:val="18"/>
                <w:szCs w:val="18"/>
              </w:rPr>
              <w:t>1.244.658.119</w:t>
            </w:r>
          </w:p>
        </w:tc>
        <w:tc>
          <w:tcPr>
            <w:tcW w:w="630" w:type="pct"/>
            <w:tcBorders>
              <w:top w:val="nil"/>
              <w:left w:val="nil"/>
              <w:bottom w:val="nil"/>
              <w:right w:val="nil"/>
            </w:tcBorders>
            <w:shd w:val="clear" w:color="auto" w:fill="005CA9"/>
            <w:noWrap/>
            <w:vAlign w:val="center"/>
          </w:tcPr>
          <w:p w14:paraId="314DE72E" w14:textId="3B7779BB" w:rsidR="00C466D7" w:rsidRPr="00DD4F9E" w:rsidRDefault="00120DD8" w:rsidP="00816FE4">
            <w:pPr>
              <w:jc w:val="right"/>
              <w:rPr>
                <w:rFonts w:ascii="CAIXA Std Book" w:hAnsi="CAIXA Std Book" w:cs="Calibri"/>
                <w:b/>
                <w:color w:val="FFFFFF"/>
                <w:sz w:val="18"/>
                <w:szCs w:val="18"/>
              </w:rPr>
            </w:pPr>
            <w:r>
              <w:rPr>
                <w:rFonts w:ascii="CAIXA Std Book" w:hAnsi="CAIXA Std Book" w:cs="Calibri"/>
                <w:b/>
                <w:bCs/>
                <w:color w:val="FFFFFF"/>
                <w:sz w:val="18"/>
                <w:szCs w:val="18"/>
              </w:rPr>
              <w:t>37.735.067</w:t>
            </w:r>
          </w:p>
        </w:tc>
        <w:tc>
          <w:tcPr>
            <w:tcW w:w="630" w:type="pct"/>
            <w:tcBorders>
              <w:top w:val="nil"/>
              <w:left w:val="nil"/>
              <w:bottom w:val="nil"/>
              <w:right w:val="nil"/>
            </w:tcBorders>
            <w:shd w:val="clear" w:color="auto" w:fill="005CA9"/>
            <w:noWrap/>
            <w:vAlign w:val="center"/>
          </w:tcPr>
          <w:p w14:paraId="14AAAF19" w14:textId="200ED9AF" w:rsidR="00C466D7" w:rsidRPr="00DD4F9E" w:rsidRDefault="00672136" w:rsidP="004F59EC">
            <w:pPr>
              <w:jc w:val="right"/>
              <w:rPr>
                <w:rFonts w:ascii="CAIXA Std Book" w:hAnsi="CAIXA Std Book" w:cs="Calibri"/>
                <w:b/>
                <w:color w:val="FFFFFF"/>
                <w:sz w:val="18"/>
                <w:szCs w:val="18"/>
              </w:rPr>
            </w:pPr>
            <w:r>
              <w:rPr>
                <w:rFonts w:ascii="CAIXA Std Book" w:hAnsi="CAIXA Std Book" w:cs="Calibri"/>
                <w:b/>
                <w:bCs/>
                <w:color w:val="FFFFFF"/>
                <w:sz w:val="18"/>
                <w:szCs w:val="18"/>
              </w:rPr>
              <w:t>(9.874.</w:t>
            </w:r>
            <w:r w:rsidR="002226FF">
              <w:rPr>
                <w:rFonts w:ascii="CAIXA Std Book" w:hAnsi="CAIXA Std Book" w:cs="Calibri"/>
                <w:b/>
                <w:bCs/>
                <w:color w:val="FFFFFF"/>
                <w:sz w:val="18"/>
                <w:szCs w:val="18"/>
              </w:rPr>
              <w:t>0</w:t>
            </w:r>
            <w:r>
              <w:rPr>
                <w:rFonts w:ascii="CAIXA Std Book" w:hAnsi="CAIXA Std Book" w:cs="Calibri"/>
                <w:b/>
                <w:bCs/>
                <w:color w:val="FFFFFF"/>
                <w:sz w:val="18"/>
                <w:szCs w:val="18"/>
              </w:rPr>
              <w:t>20)</w:t>
            </w:r>
          </w:p>
        </w:tc>
        <w:tc>
          <w:tcPr>
            <w:tcW w:w="630" w:type="pct"/>
            <w:tcBorders>
              <w:top w:val="nil"/>
              <w:left w:val="nil"/>
              <w:bottom w:val="nil"/>
              <w:right w:val="nil"/>
            </w:tcBorders>
            <w:shd w:val="clear" w:color="auto" w:fill="005CA9"/>
            <w:noWrap/>
            <w:vAlign w:val="center"/>
          </w:tcPr>
          <w:p w14:paraId="730C0E52" w14:textId="17126960" w:rsidR="00C466D7" w:rsidRPr="00DD4F9E" w:rsidRDefault="0011190F" w:rsidP="004F59EC">
            <w:pPr>
              <w:jc w:val="right"/>
              <w:rPr>
                <w:rFonts w:ascii="CAIXA Std Book" w:hAnsi="CAIXA Std Book" w:cs="Calibri"/>
                <w:b/>
                <w:color w:val="FFFFFF"/>
                <w:sz w:val="18"/>
                <w:szCs w:val="18"/>
              </w:rPr>
            </w:pPr>
            <w:r>
              <w:rPr>
                <w:rFonts w:ascii="CAIXA Std Book" w:hAnsi="CAIXA Std Book" w:cs="Calibri"/>
                <w:b/>
                <w:bCs/>
                <w:color w:val="FFFFFF"/>
                <w:sz w:val="18"/>
                <w:szCs w:val="18"/>
              </w:rPr>
              <w:t>(5.465.147)</w:t>
            </w:r>
          </w:p>
        </w:tc>
        <w:tc>
          <w:tcPr>
            <w:tcW w:w="630" w:type="pct"/>
            <w:tcBorders>
              <w:top w:val="nil"/>
              <w:left w:val="nil"/>
              <w:bottom w:val="nil"/>
              <w:right w:val="nil"/>
            </w:tcBorders>
            <w:shd w:val="clear" w:color="auto" w:fill="005CA9"/>
            <w:noWrap/>
            <w:vAlign w:val="center"/>
          </w:tcPr>
          <w:p w14:paraId="308E617E" w14:textId="4B2DCE1A" w:rsidR="00C466D7" w:rsidRPr="00DD4F9E" w:rsidRDefault="00127116" w:rsidP="00ED02FD">
            <w:pPr>
              <w:ind w:right="68"/>
              <w:jc w:val="right"/>
              <w:rPr>
                <w:rFonts w:ascii="CAIXA Std Book" w:hAnsi="CAIXA Std Book" w:cs="Calibri"/>
                <w:b/>
                <w:color w:val="FFFFFF"/>
                <w:sz w:val="18"/>
                <w:szCs w:val="18"/>
              </w:rPr>
            </w:pPr>
            <w:r>
              <w:rPr>
                <w:rFonts w:ascii="CAIXA Std Book" w:hAnsi="CAIXA Std Book" w:cs="Calibri"/>
                <w:b/>
                <w:bCs/>
                <w:color w:val="FFFFFF"/>
                <w:sz w:val="18"/>
                <w:szCs w:val="18"/>
              </w:rPr>
              <w:t>1.267.054.019</w:t>
            </w:r>
          </w:p>
        </w:tc>
      </w:tr>
    </w:tbl>
    <w:p w14:paraId="0E43B010" w14:textId="173BE672" w:rsidR="00931683" w:rsidRDefault="005836E7">
      <w:pPr>
        <w:rPr>
          <w:rFonts w:ascii="CAIXA Std Book" w:eastAsia="Times New Roman" w:hAnsi="CAIXA Std Book" w:cs="Arial"/>
          <w:color w:val="005CA9"/>
          <w:sz w:val="16"/>
          <w:szCs w:val="16"/>
        </w:rPr>
      </w:pPr>
      <w:r w:rsidRPr="00B2408A">
        <w:rPr>
          <w:rFonts w:ascii="CAIXA Std Book" w:eastAsia="Times New Roman" w:hAnsi="CAIXA Std Book" w:cs="Arial"/>
          <w:color w:val="005CA9"/>
          <w:sz w:val="16"/>
          <w:szCs w:val="16"/>
        </w:rPr>
        <w:t>(</w:t>
      </w:r>
      <w:r>
        <w:rPr>
          <w:rFonts w:ascii="CAIXA Std Book" w:eastAsia="Times New Roman" w:hAnsi="CAIXA Std Book" w:cs="Arial"/>
          <w:color w:val="005CA9"/>
          <w:sz w:val="16"/>
          <w:szCs w:val="16"/>
        </w:rPr>
        <w:t>1</w:t>
      </w:r>
      <w:r w:rsidRPr="00B2408A">
        <w:rPr>
          <w:rFonts w:ascii="CAIXA Std Book" w:eastAsia="Times New Roman" w:hAnsi="CAIXA Std Book" w:cs="Arial"/>
          <w:color w:val="005CA9"/>
          <w:sz w:val="16"/>
          <w:szCs w:val="16"/>
        </w:rPr>
        <w:t xml:space="preserve">) Inclui o montante de </w:t>
      </w:r>
      <w:r w:rsidRPr="00B035E4">
        <w:rPr>
          <w:rFonts w:ascii="CAIXA Std Book" w:eastAsia="Times New Roman" w:hAnsi="CAIXA Std Book" w:cs="Arial"/>
          <w:color w:val="005CA9"/>
          <w:sz w:val="16"/>
          <w:szCs w:val="16"/>
        </w:rPr>
        <w:t xml:space="preserve">R$ </w:t>
      </w:r>
      <w:r w:rsidR="00713DB7">
        <w:rPr>
          <w:rFonts w:ascii="CAIXA Std Book" w:eastAsia="Times New Roman" w:hAnsi="CAIXA Std Book" w:cs="Arial"/>
          <w:color w:val="005CA9"/>
          <w:sz w:val="16"/>
          <w:szCs w:val="16"/>
        </w:rPr>
        <w:t>55.096.122</w:t>
      </w:r>
      <w:r w:rsidRPr="00B2408A">
        <w:rPr>
          <w:rFonts w:ascii="CAIXA Std Book" w:eastAsia="Times New Roman" w:hAnsi="CAIXA Std Book" w:cs="Arial"/>
          <w:color w:val="005CA9"/>
          <w:sz w:val="16"/>
          <w:szCs w:val="16"/>
        </w:rPr>
        <w:t xml:space="preserve"> referente aos contratos com mais de 30 dias de atraso</w:t>
      </w:r>
      <w:r>
        <w:rPr>
          <w:rFonts w:ascii="CAIXA Std Book" w:eastAsia="Times New Roman" w:hAnsi="CAIXA Std Book" w:cs="Arial"/>
          <w:color w:val="005CA9"/>
          <w:sz w:val="16"/>
          <w:szCs w:val="16"/>
        </w:rPr>
        <w:t xml:space="preserve">. </w:t>
      </w:r>
    </w:p>
    <w:p w14:paraId="58E87113" w14:textId="77777777" w:rsidR="009F6A79" w:rsidRDefault="009F6A79" w:rsidP="009F6A79">
      <w:pPr>
        <w:rPr>
          <w:rFonts w:ascii="CAIXA Std Book" w:eastAsia="Times New Roman" w:hAnsi="CAIXA Std Book" w:cs="Arial"/>
          <w:color w:val="005CA9"/>
          <w:sz w:val="16"/>
          <w:szCs w:val="16"/>
        </w:rPr>
      </w:pPr>
    </w:p>
    <w:tbl>
      <w:tblPr>
        <w:tblW w:w="5000" w:type="pct"/>
        <w:tblCellMar>
          <w:left w:w="70" w:type="dxa"/>
          <w:right w:w="70" w:type="dxa"/>
        </w:tblCellMar>
        <w:tblLook w:val="04A0" w:firstRow="1" w:lastRow="0" w:firstColumn="1" w:lastColumn="0" w:noHBand="0" w:noVBand="1"/>
      </w:tblPr>
      <w:tblGrid>
        <w:gridCol w:w="5387"/>
        <w:gridCol w:w="1835"/>
        <w:gridCol w:w="1836"/>
        <w:gridCol w:w="1836"/>
        <w:gridCol w:w="1836"/>
        <w:gridCol w:w="1839"/>
      </w:tblGrid>
      <w:tr w:rsidR="009F6A79" w:rsidRPr="009518F8" w14:paraId="7D816A54" w14:textId="77777777">
        <w:trPr>
          <w:trHeight w:val="283"/>
        </w:trPr>
        <w:tc>
          <w:tcPr>
            <w:tcW w:w="5000" w:type="pct"/>
            <w:gridSpan w:val="6"/>
            <w:tcBorders>
              <w:top w:val="nil"/>
              <w:left w:val="nil"/>
              <w:bottom w:val="single" w:sz="4" w:space="0" w:color="FFFFFF" w:themeColor="background1"/>
              <w:right w:val="nil"/>
            </w:tcBorders>
            <w:shd w:val="clear" w:color="auto" w:fill="005CA9"/>
            <w:vAlign w:val="center"/>
            <w:hideMark/>
          </w:tcPr>
          <w:p w14:paraId="6846C1B0" w14:textId="77777777" w:rsidR="009F6A79" w:rsidRPr="00817BD3" w:rsidRDefault="009F6A79">
            <w:pPr>
              <w:jc w:val="center"/>
              <w:rPr>
                <w:rFonts w:ascii="CAIXA Std Book" w:eastAsia="Times New Roman" w:hAnsi="CAIXA Std Book" w:cs="Calibri"/>
                <w:b/>
                <w:color w:val="FFFFFF"/>
                <w:sz w:val="18"/>
                <w:szCs w:val="18"/>
              </w:rPr>
            </w:pPr>
            <w:r w:rsidRPr="00817BD3">
              <w:rPr>
                <w:rFonts w:ascii="CAIXA Std Book" w:hAnsi="CAIXA Std Book"/>
                <w:sz w:val="18"/>
                <w:szCs w:val="18"/>
              </w:rPr>
              <w:br w:type="page"/>
            </w:r>
            <w:r w:rsidRPr="00817BD3">
              <w:rPr>
                <w:rFonts w:ascii="CAIXA Std Book" w:eastAsia="Times New Roman" w:hAnsi="CAIXA Std Book" w:cs="Calibri"/>
                <w:b/>
                <w:color w:val="FFFFFF"/>
                <w:sz w:val="18"/>
                <w:szCs w:val="18"/>
              </w:rPr>
              <w:t>Individual</w:t>
            </w:r>
          </w:p>
        </w:tc>
      </w:tr>
      <w:tr w:rsidR="009F6A79" w:rsidRPr="009518F8" w14:paraId="20D5F7B4" w14:textId="77777777">
        <w:trPr>
          <w:trHeight w:val="283"/>
        </w:trPr>
        <w:tc>
          <w:tcPr>
            <w:tcW w:w="1849" w:type="pct"/>
            <w:tcBorders>
              <w:top w:val="single" w:sz="4" w:space="0" w:color="FFFFFF" w:themeColor="background1"/>
              <w:left w:val="nil"/>
              <w:bottom w:val="nil"/>
              <w:right w:val="nil"/>
            </w:tcBorders>
            <w:shd w:val="clear" w:color="auto" w:fill="005CA9"/>
            <w:vAlign w:val="center"/>
            <w:hideMark/>
          </w:tcPr>
          <w:p w14:paraId="68D92035" w14:textId="77777777" w:rsidR="009F6A79" w:rsidRPr="00817BD3" w:rsidRDefault="009F6A79">
            <w:pPr>
              <w:jc w:val="center"/>
              <w:rPr>
                <w:rFonts w:ascii="CAIXA Std Book" w:eastAsia="Times New Roman" w:hAnsi="CAIXA Std Book" w:cs="Calibri"/>
                <w:b/>
                <w:color w:val="FFFFFF"/>
                <w:sz w:val="18"/>
                <w:szCs w:val="18"/>
              </w:rPr>
            </w:pPr>
            <w:r w:rsidRPr="00817BD3">
              <w:rPr>
                <w:rFonts w:ascii="CAIXA Std Book" w:eastAsia="Times New Roman" w:hAnsi="CAIXA Std Book" w:cs="Calibri"/>
                <w:b/>
                <w:color w:val="FFFFFF"/>
                <w:sz w:val="18"/>
                <w:szCs w:val="18"/>
              </w:rPr>
              <w:t>Estágio 2</w:t>
            </w:r>
            <w:r w:rsidRPr="00817BD3">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6CB58FA8" w14:textId="77777777" w:rsidR="009F6A79" w:rsidRPr="00817BD3" w:rsidRDefault="009F6A79">
            <w:pPr>
              <w:jc w:val="center"/>
              <w:rPr>
                <w:rFonts w:ascii="CAIXA Std Book" w:eastAsia="Times New Roman" w:hAnsi="CAIXA Std Book" w:cs="Calibri"/>
                <w:b/>
                <w:color w:val="FFFFFF"/>
                <w:sz w:val="18"/>
                <w:szCs w:val="18"/>
              </w:rPr>
            </w:pPr>
            <w:r w:rsidRPr="00817BD3">
              <w:rPr>
                <w:rFonts w:ascii="CAIXA Std Book" w:eastAsia="Times New Roman" w:hAnsi="CAIXA Std Book" w:cs="Calibri"/>
                <w:b/>
                <w:color w:val="FFFFFF"/>
                <w:sz w:val="18"/>
                <w:szCs w:val="18"/>
              </w:rPr>
              <w:t xml:space="preserve">Saldo em </w:t>
            </w:r>
            <w:r>
              <w:rPr>
                <w:rFonts w:ascii="CAIXA Std Book" w:eastAsia="Times New Roman" w:hAnsi="CAIXA Std Book" w:cs="Calibri"/>
                <w:b/>
                <w:color w:val="FFFFFF"/>
                <w:sz w:val="18"/>
                <w:szCs w:val="18"/>
              </w:rPr>
              <w:t>31/12/2025</w:t>
            </w:r>
          </w:p>
        </w:tc>
        <w:tc>
          <w:tcPr>
            <w:tcW w:w="630" w:type="pct"/>
            <w:tcBorders>
              <w:top w:val="single" w:sz="4" w:space="0" w:color="FFFFFF" w:themeColor="background1"/>
              <w:left w:val="nil"/>
              <w:bottom w:val="nil"/>
              <w:right w:val="nil"/>
            </w:tcBorders>
            <w:shd w:val="clear" w:color="auto" w:fill="005CA9"/>
            <w:vAlign w:val="center"/>
            <w:hideMark/>
          </w:tcPr>
          <w:p w14:paraId="0C550A48" w14:textId="77777777" w:rsidR="009F6A79" w:rsidRPr="00817BD3" w:rsidRDefault="009F6A79">
            <w:pPr>
              <w:jc w:val="center"/>
              <w:rPr>
                <w:rFonts w:ascii="CAIXA Std Book" w:eastAsia="Times New Roman" w:hAnsi="CAIXA Std Book" w:cs="Calibri"/>
                <w:b/>
                <w:color w:val="FFFFFF"/>
                <w:sz w:val="18"/>
                <w:szCs w:val="18"/>
              </w:rPr>
            </w:pPr>
            <w:r>
              <w:rPr>
                <w:rFonts w:ascii="CAIXA Std Book" w:eastAsia="Times New Roman" w:hAnsi="CAIXA Std Book" w:cs="Calibri"/>
                <w:b/>
                <w:color w:val="FFFFFF"/>
                <w:sz w:val="18"/>
                <w:szCs w:val="18"/>
              </w:rPr>
              <w:t>Constituição</w:t>
            </w:r>
            <w:r w:rsidRPr="00817BD3">
              <w:rPr>
                <w:rFonts w:ascii="CAIXA Std Book" w:eastAsia="Times New Roman" w:hAnsi="CAIXA Std Book" w:cs="Calibri"/>
                <w:b/>
                <w:color w:val="FFFFFF"/>
                <w:sz w:val="18"/>
                <w:szCs w:val="18"/>
              </w:rPr>
              <w:t xml:space="preserve">/ </w:t>
            </w:r>
            <w:r>
              <w:rPr>
                <w:rFonts w:ascii="CAIXA Std Book" w:eastAsia="Times New Roman" w:hAnsi="CAIXA Std Book" w:cs="Calibri"/>
                <w:b/>
                <w:color w:val="FFFFFF"/>
                <w:sz w:val="18"/>
                <w:szCs w:val="18"/>
              </w:rPr>
              <w:t>(</w:t>
            </w:r>
            <w:r w:rsidRPr="00817BD3">
              <w:rPr>
                <w:rFonts w:ascii="CAIXA Std Book" w:eastAsia="Times New Roman" w:hAnsi="CAIXA Std Book" w:cs="Calibri"/>
                <w:b/>
                <w:color w:val="FFFFFF"/>
                <w:sz w:val="18"/>
                <w:szCs w:val="18"/>
              </w:rPr>
              <w:t>liquidação</w:t>
            </w:r>
            <w:r>
              <w:rPr>
                <w:rFonts w:ascii="CAIXA Std Book" w:eastAsia="Times New Roman" w:hAnsi="CAIXA Std Book" w:cs="Calibri"/>
                <w:b/>
                <w:color w:val="FFFFFF"/>
                <w:sz w:val="18"/>
                <w:szCs w:val="18"/>
              </w:rPr>
              <w:t>)</w:t>
            </w:r>
          </w:p>
        </w:tc>
        <w:tc>
          <w:tcPr>
            <w:tcW w:w="630" w:type="pct"/>
            <w:tcBorders>
              <w:top w:val="single" w:sz="4" w:space="0" w:color="FFFFFF" w:themeColor="background1"/>
              <w:left w:val="nil"/>
              <w:bottom w:val="nil"/>
              <w:right w:val="nil"/>
            </w:tcBorders>
            <w:shd w:val="clear" w:color="auto" w:fill="005CA9"/>
            <w:vAlign w:val="center"/>
            <w:hideMark/>
          </w:tcPr>
          <w:p w14:paraId="35783583" w14:textId="77777777" w:rsidR="009F6A79" w:rsidRPr="00817BD3" w:rsidRDefault="009F6A79">
            <w:pPr>
              <w:jc w:val="center"/>
              <w:rPr>
                <w:rFonts w:ascii="CAIXA Std Book" w:eastAsia="Times New Roman" w:hAnsi="CAIXA Std Book" w:cs="Calibri"/>
                <w:b/>
                <w:color w:val="FFFFFF"/>
                <w:sz w:val="18"/>
                <w:szCs w:val="18"/>
              </w:rPr>
            </w:pPr>
            <w:r w:rsidRPr="00817BD3">
              <w:rPr>
                <w:rFonts w:ascii="CAIXA Std Book" w:eastAsia="Times New Roman" w:hAnsi="CAIXA Std Book" w:cs="Calibri"/>
                <w:b/>
                <w:color w:val="FFFFFF"/>
                <w:sz w:val="18"/>
                <w:szCs w:val="18"/>
              </w:rPr>
              <w:t>Transferência do/</w:t>
            </w:r>
          </w:p>
          <w:p w14:paraId="5FA9B5C2" w14:textId="77777777" w:rsidR="009F6A79" w:rsidRPr="00817BD3" w:rsidRDefault="009F6A79">
            <w:pPr>
              <w:jc w:val="center"/>
              <w:rPr>
                <w:rFonts w:ascii="CAIXA Std Book" w:eastAsia="Times New Roman" w:hAnsi="CAIXA Std Book" w:cs="Calibri"/>
                <w:b/>
                <w:color w:val="FFFFFF"/>
                <w:sz w:val="18"/>
                <w:szCs w:val="18"/>
              </w:rPr>
            </w:pPr>
            <w:r w:rsidRPr="00817BD3">
              <w:rPr>
                <w:rFonts w:ascii="CAIXA Std Book" w:eastAsia="Times New Roman" w:hAnsi="CAIXA Std Book" w:cs="Calibri"/>
                <w:b/>
                <w:color w:val="FFFFFF"/>
                <w:sz w:val="18"/>
                <w:szCs w:val="18"/>
              </w:rPr>
              <w:t>para estágio 1</w:t>
            </w:r>
            <w:r w:rsidRPr="00817BD3">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0CAEC525" w14:textId="77777777" w:rsidR="009F6A79" w:rsidRPr="00817BD3" w:rsidRDefault="009F6A79">
            <w:pPr>
              <w:jc w:val="center"/>
              <w:rPr>
                <w:rFonts w:ascii="CAIXA Std Book" w:eastAsia="Times New Roman" w:hAnsi="CAIXA Std Book" w:cs="Calibri"/>
                <w:b/>
                <w:color w:val="FFFFFF"/>
                <w:sz w:val="18"/>
                <w:szCs w:val="18"/>
              </w:rPr>
            </w:pPr>
            <w:r w:rsidRPr="00817BD3">
              <w:rPr>
                <w:rFonts w:ascii="CAIXA Std Book" w:eastAsia="Times New Roman" w:hAnsi="CAIXA Std Book" w:cs="Calibri"/>
                <w:b/>
                <w:color w:val="FFFFFF"/>
                <w:sz w:val="18"/>
                <w:szCs w:val="18"/>
              </w:rPr>
              <w:t>Transferência do/ para estágio 3</w:t>
            </w:r>
            <w:r w:rsidRPr="00817BD3">
              <w:rPr>
                <w:rFonts w:ascii="CAIXA Std Book" w:eastAsia="Times New Roman" w:hAnsi="CAIXA Std Book" w:cs="Calibri"/>
                <w:color w:val="005CA9"/>
                <w:sz w:val="18"/>
                <w:szCs w:val="18"/>
              </w:rPr>
              <w:t> </w:t>
            </w:r>
          </w:p>
        </w:tc>
        <w:tc>
          <w:tcPr>
            <w:tcW w:w="631" w:type="pct"/>
            <w:tcBorders>
              <w:top w:val="single" w:sz="4" w:space="0" w:color="FFFFFF" w:themeColor="background1"/>
              <w:left w:val="nil"/>
              <w:bottom w:val="nil"/>
              <w:right w:val="nil"/>
            </w:tcBorders>
            <w:shd w:val="clear" w:color="auto" w:fill="005CA9"/>
            <w:vAlign w:val="center"/>
            <w:hideMark/>
          </w:tcPr>
          <w:p w14:paraId="27CDE4F9" w14:textId="77777777" w:rsidR="009F6A79" w:rsidRPr="00817BD3" w:rsidRDefault="009F6A79">
            <w:pPr>
              <w:jc w:val="center"/>
              <w:rPr>
                <w:rFonts w:ascii="CAIXA Std Book" w:eastAsia="Times New Roman" w:hAnsi="CAIXA Std Book" w:cs="Calibri"/>
                <w:b/>
                <w:color w:val="FFFFFF"/>
                <w:sz w:val="18"/>
                <w:szCs w:val="18"/>
              </w:rPr>
            </w:pPr>
            <w:r w:rsidRPr="00817BD3">
              <w:rPr>
                <w:rFonts w:ascii="CAIXA Std Book" w:eastAsia="Times New Roman" w:hAnsi="CAIXA Std Book" w:cs="Calibri"/>
                <w:b/>
                <w:color w:val="FFFFFF"/>
                <w:sz w:val="18"/>
                <w:szCs w:val="18"/>
              </w:rPr>
              <w:t xml:space="preserve">Saldo em </w:t>
            </w:r>
            <w:r>
              <w:rPr>
                <w:rFonts w:ascii="CAIXA Std Book" w:eastAsia="Times New Roman" w:hAnsi="CAIXA Std Book" w:cs="Calibri"/>
                <w:b/>
                <w:color w:val="FFFFFF"/>
                <w:sz w:val="18"/>
                <w:szCs w:val="18"/>
              </w:rPr>
              <w:t>31/03/2026</w:t>
            </w:r>
            <w:r w:rsidRPr="00817BD3">
              <w:rPr>
                <w:rFonts w:ascii="CAIXA Std Book" w:eastAsia="Times New Roman" w:hAnsi="CAIXA Std Book" w:cs="Calibri"/>
                <w:color w:val="005CA9"/>
                <w:sz w:val="18"/>
                <w:szCs w:val="18"/>
              </w:rPr>
              <w:t> </w:t>
            </w:r>
          </w:p>
        </w:tc>
      </w:tr>
      <w:tr w:rsidR="00C13D4B" w:rsidRPr="009518F8" w14:paraId="19940C69" w14:textId="77777777">
        <w:trPr>
          <w:trHeight w:val="283"/>
        </w:trPr>
        <w:tc>
          <w:tcPr>
            <w:tcW w:w="1849" w:type="pct"/>
            <w:tcBorders>
              <w:top w:val="nil"/>
              <w:left w:val="nil"/>
              <w:bottom w:val="nil"/>
              <w:right w:val="nil"/>
            </w:tcBorders>
            <w:noWrap/>
            <w:vAlign w:val="center"/>
            <w:hideMark/>
          </w:tcPr>
          <w:p w14:paraId="4B8C86A9" w14:textId="77777777" w:rsidR="00C13D4B" w:rsidRPr="00817BD3" w:rsidRDefault="00C13D4B" w:rsidP="00C13D4B">
            <w:pPr>
              <w:rPr>
                <w:rFonts w:ascii="CAIXA Std Book" w:eastAsia="Times New Roman" w:hAnsi="CAIXA Std Book" w:cs="Calibri"/>
                <w:color w:val="005CA9"/>
                <w:sz w:val="18"/>
                <w:szCs w:val="18"/>
              </w:rPr>
            </w:pPr>
            <w:r w:rsidRPr="00817BD3">
              <w:rPr>
                <w:rFonts w:ascii="CAIXA Std Book" w:eastAsia="Times New Roman" w:hAnsi="CAIXA Std Book" w:cs="Calibri"/>
                <w:color w:val="005CA9"/>
                <w:sz w:val="18"/>
                <w:szCs w:val="18"/>
              </w:rPr>
              <w:t>Empréstimos e direitos creditórios descontados</w:t>
            </w:r>
          </w:p>
        </w:tc>
        <w:tc>
          <w:tcPr>
            <w:tcW w:w="630" w:type="pct"/>
            <w:tcBorders>
              <w:top w:val="nil"/>
              <w:left w:val="nil"/>
              <w:bottom w:val="nil"/>
              <w:right w:val="nil"/>
            </w:tcBorders>
            <w:noWrap/>
            <w:vAlign w:val="center"/>
          </w:tcPr>
          <w:p w14:paraId="6916EC2A" w14:textId="77777777" w:rsidR="00C13D4B" w:rsidRPr="000D76B8" w:rsidRDefault="00C13D4B" w:rsidP="00C13D4B">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9.701.287</w:t>
            </w:r>
          </w:p>
        </w:tc>
        <w:tc>
          <w:tcPr>
            <w:tcW w:w="630" w:type="pct"/>
            <w:tcBorders>
              <w:top w:val="nil"/>
              <w:left w:val="nil"/>
              <w:bottom w:val="nil"/>
              <w:right w:val="nil"/>
            </w:tcBorders>
            <w:vAlign w:val="center"/>
          </w:tcPr>
          <w:p w14:paraId="2F6F013E" w14:textId="060DC897"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275.</w:t>
            </w:r>
            <w:r w:rsidR="00C440CB">
              <w:rPr>
                <w:rFonts w:ascii="CAIXA Std Book" w:hAnsi="CAIXA Std Book" w:cs="Calibri"/>
                <w:color w:val="005CA9"/>
                <w:sz w:val="18"/>
                <w:szCs w:val="18"/>
              </w:rPr>
              <w:t>107</w:t>
            </w:r>
          </w:p>
        </w:tc>
        <w:tc>
          <w:tcPr>
            <w:tcW w:w="630" w:type="pct"/>
            <w:tcBorders>
              <w:top w:val="nil"/>
              <w:left w:val="nil"/>
              <w:bottom w:val="nil"/>
              <w:right w:val="nil"/>
            </w:tcBorders>
            <w:vAlign w:val="center"/>
          </w:tcPr>
          <w:p w14:paraId="508F7646" w14:textId="5B50A873"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2.618.401</w:t>
            </w:r>
          </w:p>
        </w:tc>
        <w:tc>
          <w:tcPr>
            <w:tcW w:w="630" w:type="pct"/>
            <w:tcBorders>
              <w:top w:val="nil"/>
              <w:left w:val="nil"/>
              <w:bottom w:val="nil"/>
              <w:right w:val="nil"/>
            </w:tcBorders>
            <w:noWrap/>
            <w:vAlign w:val="center"/>
          </w:tcPr>
          <w:p w14:paraId="2AB93199" w14:textId="405B2449"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(2.756.388)</w:t>
            </w:r>
          </w:p>
        </w:tc>
        <w:tc>
          <w:tcPr>
            <w:tcW w:w="631" w:type="pct"/>
            <w:tcBorders>
              <w:top w:val="nil"/>
              <w:left w:val="nil"/>
              <w:bottom w:val="nil"/>
              <w:right w:val="nil"/>
            </w:tcBorders>
            <w:noWrap/>
            <w:vAlign w:val="center"/>
          </w:tcPr>
          <w:p w14:paraId="1DB09014" w14:textId="11B1BAD2"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9.838.</w:t>
            </w:r>
            <w:r w:rsidR="00C03C8B">
              <w:rPr>
                <w:rFonts w:ascii="CAIXA Std Book" w:hAnsi="CAIXA Std Book" w:cs="Calibri"/>
                <w:color w:val="005CA9"/>
                <w:sz w:val="18"/>
                <w:szCs w:val="18"/>
              </w:rPr>
              <w:t>407</w:t>
            </w:r>
          </w:p>
        </w:tc>
      </w:tr>
      <w:tr w:rsidR="00C13D4B" w:rsidRPr="009518F8" w14:paraId="3FD60BF1" w14:textId="77777777">
        <w:trPr>
          <w:trHeight w:val="283"/>
        </w:trPr>
        <w:tc>
          <w:tcPr>
            <w:tcW w:w="1849" w:type="pct"/>
            <w:tcBorders>
              <w:top w:val="nil"/>
              <w:left w:val="nil"/>
              <w:bottom w:val="nil"/>
              <w:right w:val="nil"/>
            </w:tcBorders>
            <w:noWrap/>
            <w:vAlign w:val="center"/>
            <w:hideMark/>
          </w:tcPr>
          <w:p w14:paraId="5FACD403" w14:textId="77777777" w:rsidR="00C13D4B" w:rsidRPr="00817BD3" w:rsidRDefault="00C13D4B" w:rsidP="00C13D4B">
            <w:pPr>
              <w:rPr>
                <w:rFonts w:ascii="CAIXA Std Book" w:eastAsia="Times New Roman" w:hAnsi="CAIXA Std Book" w:cs="Calibri"/>
                <w:color w:val="005CA9"/>
                <w:sz w:val="18"/>
                <w:szCs w:val="18"/>
              </w:rPr>
            </w:pPr>
            <w:r w:rsidRPr="00817BD3">
              <w:rPr>
                <w:rFonts w:ascii="CAIXA Std Book" w:eastAsia="Times New Roman" w:hAnsi="CAIXA Std Book" w:cs="Calibri"/>
                <w:color w:val="005CA9"/>
                <w:sz w:val="18"/>
                <w:szCs w:val="18"/>
              </w:rPr>
              <w:t>Financiamentos</w:t>
            </w:r>
          </w:p>
        </w:tc>
        <w:tc>
          <w:tcPr>
            <w:tcW w:w="630" w:type="pct"/>
            <w:tcBorders>
              <w:top w:val="nil"/>
              <w:left w:val="nil"/>
              <w:bottom w:val="nil"/>
              <w:right w:val="nil"/>
            </w:tcBorders>
            <w:noWrap/>
            <w:vAlign w:val="center"/>
          </w:tcPr>
          <w:p w14:paraId="044E55F4" w14:textId="77777777" w:rsidR="00C13D4B" w:rsidRPr="000D76B8" w:rsidRDefault="00C13D4B" w:rsidP="00C13D4B">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517.360</w:t>
            </w:r>
          </w:p>
        </w:tc>
        <w:tc>
          <w:tcPr>
            <w:tcW w:w="630" w:type="pct"/>
            <w:tcBorders>
              <w:top w:val="nil"/>
              <w:left w:val="nil"/>
              <w:bottom w:val="nil"/>
              <w:right w:val="nil"/>
            </w:tcBorders>
            <w:vAlign w:val="center"/>
          </w:tcPr>
          <w:p w14:paraId="4C442378" w14:textId="2ACF4140"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128.</w:t>
            </w:r>
            <w:r w:rsidR="008E603A">
              <w:rPr>
                <w:rFonts w:ascii="CAIXA Std Book" w:hAnsi="CAIXA Std Book" w:cs="Calibri"/>
                <w:color w:val="005CA9"/>
                <w:sz w:val="18"/>
                <w:szCs w:val="18"/>
              </w:rPr>
              <w:t>520</w:t>
            </w:r>
          </w:p>
        </w:tc>
        <w:tc>
          <w:tcPr>
            <w:tcW w:w="630" w:type="pct"/>
            <w:tcBorders>
              <w:top w:val="nil"/>
              <w:left w:val="nil"/>
              <w:bottom w:val="nil"/>
              <w:right w:val="nil"/>
            </w:tcBorders>
            <w:vAlign w:val="center"/>
          </w:tcPr>
          <w:p w14:paraId="6D11846A" w14:textId="6480C7DD"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134.</w:t>
            </w:r>
            <w:r w:rsidR="008E603A">
              <w:rPr>
                <w:rFonts w:ascii="CAIXA Std Book" w:hAnsi="CAIXA Std Book" w:cs="Calibri"/>
                <w:color w:val="005CA9"/>
                <w:sz w:val="18"/>
                <w:szCs w:val="18"/>
              </w:rPr>
              <w:t>102</w:t>
            </w:r>
          </w:p>
        </w:tc>
        <w:tc>
          <w:tcPr>
            <w:tcW w:w="630" w:type="pct"/>
            <w:tcBorders>
              <w:top w:val="nil"/>
              <w:left w:val="nil"/>
              <w:bottom w:val="nil"/>
              <w:right w:val="nil"/>
            </w:tcBorders>
            <w:noWrap/>
            <w:vAlign w:val="center"/>
          </w:tcPr>
          <w:p w14:paraId="5411BDD5" w14:textId="744CEE87"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(132.691)</w:t>
            </w:r>
          </w:p>
        </w:tc>
        <w:tc>
          <w:tcPr>
            <w:tcW w:w="631" w:type="pct"/>
            <w:tcBorders>
              <w:top w:val="nil"/>
              <w:left w:val="nil"/>
              <w:bottom w:val="nil"/>
              <w:right w:val="nil"/>
            </w:tcBorders>
            <w:noWrap/>
            <w:vAlign w:val="center"/>
          </w:tcPr>
          <w:p w14:paraId="47AC80CD" w14:textId="4667AAF4"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647.291</w:t>
            </w:r>
          </w:p>
        </w:tc>
      </w:tr>
      <w:tr w:rsidR="00C13D4B" w:rsidRPr="009518F8" w14:paraId="31F1F381" w14:textId="77777777">
        <w:trPr>
          <w:trHeight w:val="283"/>
        </w:trPr>
        <w:tc>
          <w:tcPr>
            <w:tcW w:w="1849" w:type="pct"/>
            <w:tcBorders>
              <w:top w:val="nil"/>
              <w:left w:val="nil"/>
              <w:bottom w:val="nil"/>
              <w:right w:val="nil"/>
            </w:tcBorders>
            <w:noWrap/>
            <w:vAlign w:val="center"/>
            <w:hideMark/>
          </w:tcPr>
          <w:p w14:paraId="119503BB" w14:textId="77777777" w:rsidR="00C13D4B" w:rsidRPr="00817BD3" w:rsidRDefault="00C13D4B" w:rsidP="00C13D4B">
            <w:pPr>
              <w:rPr>
                <w:rFonts w:ascii="CAIXA Std Book" w:eastAsia="Times New Roman" w:hAnsi="CAIXA Std Book" w:cs="Calibri"/>
                <w:color w:val="005CA9"/>
                <w:sz w:val="18"/>
                <w:szCs w:val="18"/>
              </w:rPr>
            </w:pPr>
            <w:r w:rsidRPr="00817BD3">
              <w:rPr>
                <w:rFonts w:ascii="CAIXA Std Book" w:eastAsia="Times New Roman" w:hAnsi="CAIXA Std Book" w:cs="Calibri"/>
                <w:color w:val="005CA9"/>
                <w:sz w:val="18"/>
                <w:szCs w:val="18"/>
              </w:rPr>
              <w:t>Financiamentos rurais</w:t>
            </w:r>
          </w:p>
        </w:tc>
        <w:tc>
          <w:tcPr>
            <w:tcW w:w="630" w:type="pct"/>
            <w:tcBorders>
              <w:top w:val="nil"/>
              <w:left w:val="nil"/>
              <w:bottom w:val="nil"/>
              <w:right w:val="nil"/>
            </w:tcBorders>
            <w:noWrap/>
            <w:vAlign w:val="center"/>
          </w:tcPr>
          <w:p w14:paraId="1CBCD4FC" w14:textId="77777777" w:rsidR="00C13D4B" w:rsidRPr="000D76B8" w:rsidRDefault="00C13D4B" w:rsidP="00C13D4B">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3.066.314</w:t>
            </w:r>
          </w:p>
        </w:tc>
        <w:tc>
          <w:tcPr>
            <w:tcW w:w="630" w:type="pct"/>
            <w:tcBorders>
              <w:top w:val="nil"/>
              <w:left w:val="nil"/>
              <w:bottom w:val="nil"/>
              <w:right w:val="nil"/>
            </w:tcBorders>
            <w:vAlign w:val="center"/>
          </w:tcPr>
          <w:p w14:paraId="134375EE" w14:textId="12161A80"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(79.657)</w:t>
            </w:r>
          </w:p>
        </w:tc>
        <w:tc>
          <w:tcPr>
            <w:tcW w:w="630" w:type="pct"/>
            <w:tcBorders>
              <w:top w:val="nil"/>
              <w:left w:val="nil"/>
              <w:bottom w:val="nil"/>
              <w:right w:val="nil"/>
            </w:tcBorders>
            <w:vAlign w:val="center"/>
          </w:tcPr>
          <w:p w14:paraId="1E0FEFA6" w14:textId="75035B64"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1.265.003</w:t>
            </w:r>
          </w:p>
        </w:tc>
        <w:tc>
          <w:tcPr>
            <w:tcW w:w="630" w:type="pct"/>
            <w:tcBorders>
              <w:top w:val="nil"/>
              <w:left w:val="nil"/>
              <w:bottom w:val="nil"/>
              <w:right w:val="nil"/>
            </w:tcBorders>
            <w:noWrap/>
            <w:vAlign w:val="center"/>
          </w:tcPr>
          <w:p w14:paraId="64697205" w14:textId="1CD602B1"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(1.331.044)</w:t>
            </w:r>
          </w:p>
        </w:tc>
        <w:tc>
          <w:tcPr>
            <w:tcW w:w="631" w:type="pct"/>
            <w:tcBorders>
              <w:top w:val="nil"/>
              <w:left w:val="nil"/>
              <w:bottom w:val="nil"/>
              <w:right w:val="nil"/>
            </w:tcBorders>
            <w:noWrap/>
            <w:vAlign w:val="center"/>
          </w:tcPr>
          <w:p w14:paraId="3C4804EE" w14:textId="5932016A"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2.920.616</w:t>
            </w:r>
          </w:p>
        </w:tc>
      </w:tr>
      <w:tr w:rsidR="00C13D4B" w:rsidRPr="009518F8" w14:paraId="55FE2AA3" w14:textId="77777777">
        <w:trPr>
          <w:trHeight w:val="283"/>
        </w:trPr>
        <w:tc>
          <w:tcPr>
            <w:tcW w:w="1849" w:type="pct"/>
            <w:tcBorders>
              <w:top w:val="nil"/>
              <w:left w:val="nil"/>
              <w:bottom w:val="nil"/>
              <w:right w:val="nil"/>
            </w:tcBorders>
            <w:noWrap/>
            <w:vAlign w:val="center"/>
            <w:hideMark/>
          </w:tcPr>
          <w:p w14:paraId="2A177BEC" w14:textId="77777777" w:rsidR="00C13D4B" w:rsidRPr="00817BD3" w:rsidRDefault="00C13D4B" w:rsidP="00C13D4B">
            <w:pPr>
              <w:rPr>
                <w:rFonts w:ascii="CAIXA Std Book" w:eastAsia="Times New Roman" w:hAnsi="CAIXA Std Book" w:cs="Calibri"/>
                <w:color w:val="005CA9"/>
                <w:sz w:val="18"/>
                <w:szCs w:val="18"/>
              </w:rPr>
            </w:pPr>
            <w:r w:rsidRPr="00817BD3">
              <w:rPr>
                <w:rFonts w:ascii="CAIXA Std Book" w:eastAsia="Times New Roman" w:hAnsi="CAIXA Std Book" w:cs="Calibri"/>
                <w:color w:val="005CA9"/>
                <w:sz w:val="18"/>
                <w:szCs w:val="18"/>
              </w:rPr>
              <w:t>Financiamentos imobiliários</w:t>
            </w:r>
          </w:p>
        </w:tc>
        <w:tc>
          <w:tcPr>
            <w:tcW w:w="630" w:type="pct"/>
            <w:tcBorders>
              <w:top w:val="nil"/>
              <w:left w:val="nil"/>
              <w:bottom w:val="nil"/>
              <w:right w:val="nil"/>
            </w:tcBorders>
            <w:noWrap/>
            <w:vAlign w:val="center"/>
          </w:tcPr>
          <w:p w14:paraId="61F9E154" w14:textId="77777777" w:rsidR="00C13D4B" w:rsidRPr="000D76B8" w:rsidRDefault="00C13D4B" w:rsidP="00C13D4B">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11.498.421</w:t>
            </w:r>
          </w:p>
        </w:tc>
        <w:tc>
          <w:tcPr>
            <w:tcW w:w="630" w:type="pct"/>
            <w:tcBorders>
              <w:top w:val="nil"/>
              <w:left w:val="nil"/>
              <w:bottom w:val="nil"/>
              <w:right w:val="nil"/>
            </w:tcBorders>
            <w:vAlign w:val="center"/>
          </w:tcPr>
          <w:p w14:paraId="4A463020" w14:textId="6E6D136D"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44.066</w:t>
            </w:r>
          </w:p>
        </w:tc>
        <w:tc>
          <w:tcPr>
            <w:tcW w:w="630" w:type="pct"/>
            <w:tcBorders>
              <w:top w:val="nil"/>
              <w:left w:val="nil"/>
              <w:bottom w:val="nil"/>
              <w:right w:val="nil"/>
            </w:tcBorders>
            <w:vAlign w:val="center"/>
          </w:tcPr>
          <w:p w14:paraId="01B128F3" w14:textId="698F2738"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5.853.375</w:t>
            </w:r>
          </w:p>
        </w:tc>
        <w:tc>
          <w:tcPr>
            <w:tcW w:w="630" w:type="pct"/>
            <w:tcBorders>
              <w:top w:val="nil"/>
              <w:left w:val="nil"/>
              <w:bottom w:val="nil"/>
              <w:right w:val="nil"/>
            </w:tcBorders>
            <w:noWrap/>
            <w:vAlign w:val="center"/>
          </w:tcPr>
          <w:p w14:paraId="047CA648" w14:textId="33E07B77"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(5.173.735)</w:t>
            </w:r>
          </w:p>
        </w:tc>
        <w:tc>
          <w:tcPr>
            <w:tcW w:w="631" w:type="pct"/>
            <w:tcBorders>
              <w:top w:val="nil"/>
              <w:left w:val="nil"/>
              <w:bottom w:val="nil"/>
              <w:right w:val="nil"/>
            </w:tcBorders>
            <w:noWrap/>
            <w:vAlign w:val="center"/>
          </w:tcPr>
          <w:p w14:paraId="3D03CDE2" w14:textId="45ED6231"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12.222.127</w:t>
            </w:r>
          </w:p>
        </w:tc>
      </w:tr>
      <w:tr w:rsidR="00C13D4B" w:rsidRPr="009518F8" w14:paraId="00ED233F" w14:textId="77777777">
        <w:trPr>
          <w:trHeight w:val="283"/>
        </w:trPr>
        <w:tc>
          <w:tcPr>
            <w:tcW w:w="1849" w:type="pct"/>
            <w:tcBorders>
              <w:top w:val="nil"/>
              <w:left w:val="nil"/>
              <w:bottom w:val="nil"/>
              <w:right w:val="nil"/>
            </w:tcBorders>
            <w:noWrap/>
            <w:vAlign w:val="center"/>
            <w:hideMark/>
          </w:tcPr>
          <w:p w14:paraId="12B68E14" w14:textId="0E0EF443" w:rsidR="00C13D4B" w:rsidRPr="00817BD3" w:rsidRDefault="00C13D4B" w:rsidP="00C13D4B">
            <w:pPr>
              <w:rPr>
                <w:rFonts w:ascii="CAIXA Std Book" w:eastAsia="Times New Roman" w:hAnsi="CAIXA Std Book" w:cs="Calibri"/>
                <w:color w:val="005CA9"/>
                <w:sz w:val="18"/>
                <w:szCs w:val="18"/>
              </w:rPr>
            </w:pPr>
            <w:r w:rsidRPr="00817BD3">
              <w:rPr>
                <w:rFonts w:ascii="CAIXA Std Book" w:eastAsia="Times New Roman" w:hAnsi="CAIXA Std Book" w:cs="Calibri"/>
                <w:color w:val="005CA9"/>
                <w:sz w:val="18"/>
                <w:szCs w:val="18"/>
              </w:rPr>
              <w:t>Financiamentos de infraestrutura</w:t>
            </w:r>
          </w:p>
        </w:tc>
        <w:tc>
          <w:tcPr>
            <w:tcW w:w="630" w:type="pct"/>
            <w:tcBorders>
              <w:top w:val="nil"/>
              <w:left w:val="nil"/>
              <w:bottom w:val="nil"/>
              <w:right w:val="nil"/>
            </w:tcBorders>
            <w:noWrap/>
            <w:vAlign w:val="center"/>
          </w:tcPr>
          <w:p w14:paraId="00754719" w14:textId="77777777" w:rsidR="00C13D4B" w:rsidRPr="000D76B8" w:rsidRDefault="00C13D4B" w:rsidP="00C13D4B">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375.794</w:t>
            </w:r>
          </w:p>
        </w:tc>
        <w:tc>
          <w:tcPr>
            <w:tcW w:w="630" w:type="pct"/>
            <w:tcBorders>
              <w:top w:val="nil"/>
              <w:left w:val="nil"/>
              <w:bottom w:val="nil"/>
              <w:right w:val="nil"/>
            </w:tcBorders>
            <w:vAlign w:val="center"/>
          </w:tcPr>
          <w:p w14:paraId="2E35358B" w14:textId="3EDCC319"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(9.176)</w:t>
            </w:r>
          </w:p>
        </w:tc>
        <w:tc>
          <w:tcPr>
            <w:tcW w:w="630" w:type="pct"/>
            <w:tcBorders>
              <w:top w:val="nil"/>
              <w:left w:val="nil"/>
              <w:bottom w:val="nil"/>
              <w:right w:val="nil"/>
            </w:tcBorders>
            <w:vAlign w:val="center"/>
          </w:tcPr>
          <w:p w14:paraId="4A53D676" w14:textId="363572FE"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6.645</w:t>
            </w:r>
          </w:p>
        </w:tc>
        <w:tc>
          <w:tcPr>
            <w:tcW w:w="630" w:type="pct"/>
            <w:tcBorders>
              <w:top w:val="nil"/>
              <w:left w:val="nil"/>
              <w:bottom w:val="nil"/>
              <w:right w:val="nil"/>
            </w:tcBorders>
            <w:noWrap/>
            <w:vAlign w:val="center"/>
          </w:tcPr>
          <w:p w14:paraId="0D573E5B" w14:textId="3B895D1B"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(20.371)</w:t>
            </w:r>
          </w:p>
        </w:tc>
        <w:tc>
          <w:tcPr>
            <w:tcW w:w="631" w:type="pct"/>
            <w:tcBorders>
              <w:top w:val="nil"/>
              <w:left w:val="nil"/>
              <w:bottom w:val="nil"/>
              <w:right w:val="nil"/>
            </w:tcBorders>
            <w:noWrap/>
            <w:vAlign w:val="center"/>
          </w:tcPr>
          <w:p w14:paraId="66FFDDCE" w14:textId="1FC59EB1"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352.892</w:t>
            </w:r>
          </w:p>
        </w:tc>
      </w:tr>
      <w:tr w:rsidR="00C13D4B" w:rsidRPr="009518F8" w14:paraId="2868A93C" w14:textId="77777777">
        <w:trPr>
          <w:trHeight w:val="283"/>
        </w:trPr>
        <w:tc>
          <w:tcPr>
            <w:tcW w:w="1849" w:type="pct"/>
            <w:tcBorders>
              <w:top w:val="nil"/>
              <w:left w:val="nil"/>
              <w:bottom w:val="nil"/>
              <w:right w:val="nil"/>
            </w:tcBorders>
            <w:noWrap/>
            <w:vAlign w:val="center"/>
          </w:tcPr>
          <w:p w14:paraId="246DE195" w14:textId="77777777" w:rsidR="00C13D4B" w:rsidRPr="00817BD3" w:rsidRDefault="00C13D4B" w:rsidP="00C13D4B">
            <w:pPr>
              <w:rPr>
                <w:rFonts w:ascii="CAIXA Std Book" w:eastAsia="Times New Roman" w:hAnsi="CAIXA Std Book" w:cs="Calibri"/>
                <w:color w:val="005CA9"/>
                <w:sz w:val="18"/>
                <w:szCs w:val="18"/>
              </w:rPr>
            </w:pPr>
            <w:r w:rsidRPr="00817BD3">
              <w:rPr>
                <w:rFonts w:ascii="CAIXA Std Book" w:eastAsia="Times New Roman" w:hAnsi="CAIXA Std Book" w:cs="Calibri"/>
                <w:color w:val="005CA9"/>
                <w:sz w:val="18"/>
                <w:szCs w:val="18"/>
              </w:rPr>
              <w:t>Cessão de crédito</w:t>
            </w:r>
          </w:p>
        </w:tc>
        <w:tc>
          <w:tcPr>
            <w:tcW w:w="630" w:type="pct"/>
            <w:tcBorders>
              <w:top w:val="nil"/>
              <w:left w:val="nil"/>
              <w:bottom w:val="nil"/>
              <w:right w:val="nil"/>
            </w:tcBorders>
            <w:noWrap/>
            <w:vAlign w:val="center"/>
          </w:tcPr>
          <w:p w14:paraId="2673E5BA" w14:textId="77777777" w:rsidR="00C13D4B" w:rsidRPr="000D76B8" w:rsidRDefault="00C13D4B" w:rsidP="00C13D4B">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31.421</w:t>
            </w:r>
          </w:p>
        </w:tc>
        <w:tc>
          <w:tcPr>
            <w:tcW w:w="630" w:type="pct"/>
            <w:tcBorders>
              <w:top w:val="nil"/>
              <w:left w:val="nil"/>
              <w:bottom w:val="nil"/>
              <w:right w:val="nil"/>
            </w:tcBorders>
            <w:vAlign w:val="center"/>
          </w:tcPr>
          <w:p w14:paraId="4740D252" w14:textId="7B65A385"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(698)</w:t>
            </w:r>
          </w:p>
        </w:tc>
        <w:tc>
          <w:tcPr>
            <w:tcW w:w="630" w:type="pct"/>
            <w:tcBorders>
              <w:top w:val="nil"/>
              <w:left w:val="nil"/>
              <w:bottom w:val="nil"/>
              <w:right w:val="nil"/>
            </w:tcBorders>
            <w:vAlign w:val="center"/>
          </w:tcPr>
          <w:p w14:paraId="1CD16966" w14:textId="053F2081"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5.180</w:t>
            </w:r>
          </w:p>
        </w:tc>
        <w:tc>
          <w:tcPr>
            <w:tcW w:w="630" w:type="pct"/>
            <w:tcBorders>
              <w:top w:val="nil"/>
              <w:left w:val="nil"/>
              <w:bottom w:val="nil"/>
              <w:right w:val="nil"/>
            </w:tcBorders>
            <w:noWrap/>
            <w:vAlign w:val="center"/>
          </w:tcPr>
          <w:p w14:paraId="28C52282" w14:textId="61CE99A7"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(10.450)</w:t>
            </w:r>
          </w:p>
        </w:tc>
        <w:tc>
          <w:tcPr>
            <w:tcW w:w="631" w:type="pct"/>
            <w:tcBorders>
              <w:top w:val="nil"/>
              <w:left w:val="nil"/>
              <w:bottom w:val="nil"/>
              <w:right w:val="nil"/>
            </w:tcBorders>
            <w:noWrap/>
            <w:vAlign w:val="center"/>
          </w:tcPr>
          <w:p w14:paraId="2DC98E66" w14:textId="4DE97CA0"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25.453</w:t>
            </w:r>
          </w:p>
        </w:tc>
      </w:tr>
      <w:tr w:rsidR="00C13D4B" w:rsidRPr="009518F8" w14:paraId="5349D643" w14:textId="77777777">
        <w:trPr>
          <w:trHeight w:val="283"/>
        </w:trPr>
        <w:tc>
          <w:tcPr>
            <w:tcW w:w="1849" w:type="pct"/>
            <w:tcBorders>
              <w:top w:val="nil"/>
              <w:left w:val="nil"/>
              <w:bottom w:val="nil"/>
              <w:right w:val="nil"/>
            </w:tcBorders>
            <w:noWrap/>
            <w:vAlign w:val="center"/>
            <w:hideMark/>
          </w:tcPr>
          <w:p w14:paraId="523135E4" w14:textId="77777777" w:rsidR="00C13D4B" w:rsidRPr="00817BD3" w:rsidRDefault="00C13D4B" w:rsidP="00C13D4B">
            <w:pPr>
              <w:rPr>
                <w:rFonts w:ascii="CAIXA Std Book" w:eastAsia="Times New Roman" w:hAnsi="CAIXA Std Book" w:cs="Calibri"/>
                <w:color w:val="005CA9"/>
                <w:sz w:val="18"/>
                <w:szCs w:val="18"/>
              </w:rPr>
            </w:pPr>
            <w:r w:rsidRPr="001F2DBB">
              <w:rPr>
                <w:rFonts w:ascii="CAIXA Std Book" w:eastAsia="Times New Roman" w:hAnsi="CAIXA Std Book" w:cs="Calibri"/>
                <w:color w:val="005CA9"/>
                <w:sz w:val="18"/>
                <w:szCs w:val="18"/>
              </w:rPr>
              <w:t>Outros ativos com características de concessão de crédito</w:t>
            </w:r>
          </w:p>
        </w:tc>
        <w:tc>
          <w:tcPr>
            <w:tcW w:w="630" w:type="pct"/>
            <w:tcBorders>
              <w:top w:val="nil"/>
              <w:left w:val="nil"/>
              <w:bottom w:val="nil"/>
              <w:right w:val="nil"/>
            </w:tcBorders>
            <w:noWrap/>
            <w:vAlign w:val="center"/>
          </w:tcPr>
          <w:p w14:paraId="44ED5687" w14:textId="77777777" w:rsidR="00C13D4B" w:rsidRPr="000D76B8" w:rsidRDefault="00C13D4B" w:rsidP="00C13D4B">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20.132</w:t>
            </w:r>
          </w:p>
        </w:tc>
        <w:tc>
          <w:tcPr>
            <w:tcW w:w="630" w:type="pct"/>
            <w:tcBorders>
              <w:top w:val="nil"/>
              <w:left w:val="nil"/>
              <w:bottom w:val="nil"/>
              <w:right w:val="nil"/>
            </w:tcBorders>
            <w:vAlign w:val="center"/>
          </w:tcPr>
          <w:p w14:paraId="601D45B1" w14:textId="115EE19E"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(359)</w:t>
            </w:r>
          </w:p>
        </w:tc>
        <w:tc>
          <w:tcPr>
            <w:tcW w:w="630" w:type="pct"/>
            <w:tcBorders>
              <w:top w:val="nil"/>
              <w:left w:val="nil"/>
              <w:bottom w:val="nil"/>
              <w:right w:val="nil"/>
            </w:tcBorders>
            <w:vAlign w:val="center"/>
          </w:tcPr>
          <w:p w14:paraId="5E079089" w14:textId="00021590"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(8.686)</w:t>
            </w:r>
          </w:p>
        </w:tc>
        <w:tc>
          <w:tcPr>
            <w:tcW w:w="630" w:type="pct"/>
            <w:tcBorders>
              <w:top w:val="nil"/>
              <w:left w:val="nil"/>
              <w:bottom w:val="nil"/>
              <w:right w:val="nil"/>
            </w:tcBorders>
            <w:noWrap/>
            <w:vAlign w:val="center"/>
          </w:tcPr>
          <w:p w14:paraId="6340AD90" w14:textId="6B01DA66"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(8.662)</w:t>
            </w:r>
          </w:p>
        </w:tc>
        <w:tc>
          <w:tcPr>
            <w:tcW w:w="631" w:type="pct"/>
            <w:tcBorders>
              <w:top w:val="nil"/>
              <w:left w:val="nil"/>
              <w:bottom w:val="nil"/>
              <w:right w:val="nil"/>
            </w:tcBorders>
            <w:noWrap/>
            <w:vAlign w:val="center"/>
          </w:tcPr>
          <w:p w14:paraId="434F4654" w14:textId="412477E3" w:rsidR="00C13D4B" w:rsidRPr="00817BD3" w:rsidRDefault="00C13D4B" w:rsidP="00C13D4B">
            <w:pPr>
              <w:jc w:val="right"/>
              <w:rPr>
                <w:rFonts w:ascii="CAIXA Std Book" w:hAnsi="CAIXA Std Book" w:cs="Calibri"/>
                <w:color w:val="005CA9"/>
                <w:sz w:val="18"/>
                <w:szCs w:val="18"/>
              </w:rPr>
            </w:pPr>
            <w:r>
              <w:rPr>
                <w:rFonts w:ascii="CAIXA Std Book" w:hAnsi="CAIXA Std Book" w:cs="Calibri"/>
                <w:color w:val="005CA9"/>
                <w:sz w:val="18"/>
                <w:szCs w:val="18"/>
              </w:rPr>
              <w:t>2.425</w:t>
            </w:r>
          </w:p>
        </w:tc>
      </w:tr>
      <w:tr w:rsidR="00C13D4B" w:rsidRPr="009518F8" w14:paraId="10808C2E" w14:textId="77777777">
        <w:trPr>
          <w:trHeight w:val="283"/>
        </w:trPr>
        <w:tc>
          <w:tcPr>
            <w:tcW w:w="1849" w:type="pct"/>
            <w:tcBorders>
              <w:top w:val="nil"/>
              <w:left w:val="nil"/>
              <w:bottom w:val="nil"/>
              <w:right w:val="nil"/>
            </w:tcBorders>
            <w:shd w:val="clear" w:color="auto" w:fill="005CA9"/>
            <w:noWrap/>
            <w:vAlign w:val="center"/>
            <w:hideMark/>
          </w:tcPr>
          <w:p w14:paraId="52ADA8B2" w14:textId="77777777" w:rsidR="00C13D4B" w:rsidRPr="00817BD3" w:rsidRDefault="00C13D4B" w:rsidP="00C13D4B">
            <w:pPr>
              <w:rPr>
                <w:rFonts w:ascii="CAIXA Std Book" w:eastAsia="Times New Roman" w:hAnsi="CAIXA Std Book" w:cs="Calibri"/>
                <w:b/>
                <w:color w:val="FFFFFF"/>
                <w:sz w:val="18"/>
                <w:szCs w:val="18"/>
              </w:rPr>
            </w:pPr>
            <w:r w:rsidRPr="00817BD3">
              <w:rPr>
                <w:rFonts w:ascii="CAIXA Std Book" w:eastAsia="Times New Roman" w:hAnsi="CAIXA Std Book" w:cs="Calibri"/>
                <w:b/>
                <w:color w:val="FFFFFF"/>
                <w:sz w:val="18"/>
                <w:szCs w:val="18"/>
              </w:rPr>
              <w:t>Total</w:t>
            </w:r>
            <w:r w:rsidRPr="00817BD3">
              <w:rPr>
                <w:rFonts w:ascii="CAIXA Std Book" w:eastAsia="Times New Roman" w:hAnsi="CAIXA Std Book" w:cs="Calibri"/>
                <w:color w:val="005CA9"/>
                <w:sz w:val="18"/>
                <w:szCs w:val="18"/>
              </w:rPr>
              <w:t> </w:t>
            </w:r>
          </w:p>
        </w:tc>
        <w:tc>
          <w:tcPr>
            <w:tcW w:w="630" w:type="pct"/>
            <w:tcBorders>
              <w:top w:val="nil"/>
              <w:left w:val="nil"/>
              <w:bottom w:val="nil"/>
              <w:right w:val="nil"/>
            </w:tcBorders>
            <w:shd w:val="clear" w:color="auto" w:fill="005CA9"/>
            <w:noWrap/>
            <w:vAlign w:val="center"/>
          </w:tcPr>
          <w:p w14:paraId="6B2DA521" w14:textId="77777777" w:rsidR="00C13D4B" w:rsidRPr="000D76B8" w:rsidRDefault="00C13D4B" w:rsidP="00C13D4B">
            <w:pPr>
              <w:jc w:val="right"/>
              <w:rPr>
                <w:rFonts w:ascii="CAIXA Std Book" w:eastAsia="Times New Roman" w:hAnsi="CAIXA Std Book" w:cs="Calibri"/>
                <w:b/>
                <w:color w:val="FFFFFF"/>
                <w:sz w:val="18"/>
                <w:szCs w:val="18"/>
              </w:rPr>
            </w:pPr>
            <w:r>
              <w:rPr>
                <w:rFonts w:ascii="CAIXA Std Book" w:hAnsi="CAIXA Std Book" w:cs="Calibri"/>
                <w:b/>
                <w:bCs/>
                <w:color w:val="FFFFFF"/>
                <w:sz w:val="18"/>
                <w:szCs w:val="18"/>
              </w:rPr>
              <w:t>25.210.729</w:t>
            </w:r>
          </w:p>
        </w:tc>
        <w:tc>
          <w:tcPr>
            <w:tcW w:w="630" w:type="pct"/>
            <w:tcBorders>
              <w:top w:val="nil"/>
              <w:left w:val="nil"/>
              <w:bottom w:val="nil"/>
              <w:right w:val="nil"/>
            </w:tcBorders>
            <w:shd w:val="clear" w:color="auto" w:fill="005CA9"/>
            <w:noWrap/>
            <w:vAlign w:val="center"/>
          </w:tcPr>
          <w:p w14:paraId="5124D57A" w14:textId="15F7D51D" w:rsidR="00C13D4B" w:rsidRPr="00817BD3" w:rsidRDefault="00C13D4B" w:rsidP="00C13D4B">
            <w:pPr>
              <w:jc w:val="right"/>
              <w:rPr>
                <w:rFonts w:ascii="CAIXA Std Book" w:eastAsia="Times New Roman" w:hAnsi="CAIXA Std Book" w:cs="Calibri"/>
                <w:b/>
                <w:color w:val="FFFFFF"/>
                <w:sz w:val="18"/>
                <w:szCs w:val="18"/>
              </w:rPr>
            </w:pPr>
            <w:r>
              <w:rPr>
                <w:rFonts w:ascii="CAIXA Std Book" w:hAnsi="CAIXA Std Book" w:cs="Calibri"/>
                <w:b/>
                <w:bCs/>
                <w:color w:val="FFFFFF"/>
                <w:sz w:val="18"/>
                <w:szCs w:val="18"/>
              </w:rPr>
              <w:t>357.</w:t>
            </w:r>
            <w:r w:rsidR="00F04C00">
              <w:rPr>
                <w:rFonts w:ascii="CAIXA Std Book" w:hAnsi="CAIXA Std Book" w:cs="Calibri"/>
                <w:b/>
                <w:bCs/>
                <w:color w:val="FFFFFF"/>
                <w:sz w:val="18"/>
                <w:szCs w:val="18"/>
              </w:rPr>
              <w:t>803</w:t>
            </w:r>
          </w:p>
        </w:tc>
        <w:tc>
          <w:tcPr>
            <w:tcW w:w="630" w:type="pct"/>
            <w:tcBorders>
              <w:top w:val="nil"/>
              <w:left w:val="nil"/>
              <w:bottom w:val="nil"/>
              <w:right w:val="nil"/>
            </w:tcBorders>
            <w:shd w:val="clear" w:color="auto" w:fill="005CA9"/>
            <w:noWrap/>
            <w:vAlign w:val="center"/>
          </w:tcPr>
          <w:p w14:paraId="0D1E9825" w14:textId="1A20264D" w:rsidR="00C13D4B" w:rsidRPr="00817BD3" w:rsidRDefault="00C13D4B" w:rsidP="00C13D4B">
            <w:pPr>
              <w:jc w:val="right"/>
              <w:rPr>
                <w:rFonts w:ascii="CAIXA Std Book" w:eastAsia="Times New Roman" w:hAnsi="CAIXA Std Book" w:cs="Calibri"/>
                <w:b/>
                <w:color w:val="FFFFFF"/>
                <w:sz w:val="18"/>
                <w:szCs w:val="18"/>
              </w:rPr>
            </w:pPr>
            <w:r>
              <w:rPr>
                <w:rFonts w:ascii="CAIXA Std Book" w:hAnsi="CAIXA Std Book" w:cs="Calibri"/>
                <w:b/>
                <w:bCs/>
                <w:color w:val="FFFFFF"/>
                <w:sz w:val="18"/>
                <w:szCs w:val="18"/>
              </w:rPr>
              <w:t>9.874.</w:t>
            </w:r>
            <w:r w:rsidR="00F04C00">
              <w:rPr>
                <w:rFonts w:ascii="CAIXA Std Book" w:hAnsi="CAIXA Std Book" w:cs="Calibri"/>
                <w:b/>
                <w:bCs/>
                <w:color w:val="FFFFFF"/>
                <w:sz w:val="18"/>
                <w:szCs w:val="18"/>
              </w:rPr>
              <w:t>020</w:t>
            </w:r>
          </w:p>
        </w:tc>
        <w:tc>
          <w:tcPr>
            <w:tcW w:w="630" w:type="pct"/>
            <w:tcBorders>
              <w:top w:val="nil"/>
              <w:left w:val="nil"/>
              <w:bottom w:val="nil"/>
              <w:right w:val="nil"/>
            </w:tcBorders>
            <w:shd w:val="clear" w:color="auto" w:fill="005CA9"/>
            <w:noWrap/>
            <w:vAlign w:val="center"/>
          </w:tcPr>
          <w:p w14:paraId="69BF695A" w14:textId="56540A6D" w:rsidR="00C13D4B" w:rsidRPr="00817BD3" w:rsidRDefault="00C13D4B" w:rsidP="00C13D4B">
            <w:pPr>
              <w:jc w:val="right"/>
              <w:rPr>
                <w:rFonts w:ascii="CAIXA Std Book" w:eastAsia="Times New Roman" w:hAnsi="CAIXA Std Book" w:cs="Calibri"/>
                <w:b/>
                <w:color w:val="FFFFFF"/>
                <w:sz w:val="18"/>
                <w:szCs w:val="18"/>
              </w:rPr>
            </w:pPr>
            <w:r>
              <w:rPr>
                <w:rFonts w:ascii="CAIXA Std Book" w:hAnsi="CAIXA Std Book" w:cs="Calibri"/>
                <w:b/>
                <w:bCs/>
                <w:color w:val="FFFFFF"/>
                <w:sz w:val="18"/>
                <w:szCs w:val="18"/>
              </w:rPr>
              <w:t>(9.433.341)</w:t>
            </w:r>
          </w:p>
        </w:tc>
        <w:tc>
          <w:tcPr>
            <w:tcW w:w="631" w:type="pct"/>
            <w:tcBorders>
              <w:top w:val="nil"/>
              <w:left w:val="nil"/>
              <w:bottom w:val="nil"/>
              <w:right w:val="nil"/>
            </w:tcBorders>
            <w:shd w:val="clear" w:color="auto" w:fill="005CA9"/>
            <w:noWrap/>
            <w:vAlign w:val="center"/>
          </w:tcPr>
          <w:p w14:paraId="6F399E73" w14:textId="6F81B0FB" w:rsidR="00C13D4B" w:rsidRPr="00817BD3" w:rsidRDefault="00C13D4B" w:rsidP="00C13D4B">
            <w:pPr>
              <w:jc w:val="right"/>
              <w:rPr>
                <w:rFonts w:ascii="CAIXA Std Book" w:eastAsia="Times New Roman" w:hAnsi="CAIXA Std Book" w:cs="Calibri"/>
                <w:b/>
                <w:color w:val="FFFFFF"/>
                <w:sz w:val="18"/>
                <w:szCs w:val="18"/>
              </w:rPr>
            </w:pPr>
            <w:r>
              <w:rPr>
                <w:rFonts w:ascii="CAIXA Std Book" w:hAnsi="CAIXA Std Book" w:cs="Calibri"/>
                <w:b/>
                <w:bCs/>
                <w:color w:val="FFFFFF"/>
                <w:sz w:val="18"/>
                <w:szCs w:val="18"/>
              </w:rPr>
              <w:t>26.009.</w:t>
            </w:r>
            <w:r w:rsidR="00C03C8B">
              <w:rPr>
                <w:rFonts w:ascii="CAIXA Std Book" w:hAnsi="CAIXA Std Book" w:cs="Calibri"/>
                <w:b/>
                <w:bCs/>
                <w:color w:val="FFFFFF"/>
                <w:sz w:val="18"/>
                <w:szCs w:val="18"/>
              </w:rPr>
              <w:t>211</w:t>
            </w:r>
          </w:p>
        </w:tc>
      </w:tr>
    </w:tbl>
    <w:p w14:paraId="66B06048" w14:textId="77777777" w:rsidR="009F6A79" w:rsidRDefault="009F6A79"/>
    <w:tbl>
      <w:tblPr>
        <w:tblW w:w="5000" w:type="pct"/>
        <w:tblCellMar>
          <w:left w:w="70" w:type="dxa"/>
          <w:right w:w="70" w:type="dxa"/>
        </w:tblCellMar>
        <w:tblLook w:val="04A0" w:firstRow="1" w:lastRow="0" w:firstColumn="1" w:lastColumn="0" w:noHBand="0" w:noVBand="1"/>
      </w:tblPr>
      <w:tblGrid>
        <w:gridCol w:w="5387"/>
        <w:gridCol w:w="1835"/>
        <w:gridCol w:w="1836"/>
        <w:gridCol w:w="1836"/>
        <w:gridCol w:w="1836"/>
        <w:gridCol w:w="1839"/>
      </w:tblGrid>
      <w:tr w:rsidR="009F6A79" w:rsidRPr="009518F8" w14:paraId="29A4ABC4" w14:textId="77777777">
        <w:trPr>
          <w:trHeight w:val="283"/>
        </w:trPr>
        <w:tc>
          <w:tcPr>
            <w:tcW w:w="5000" w:type="pct"/>
            <w:gridSpan w:val="6"/>
            <w:tcBorders>
              <w:top w:val="nil"/>
              <w:left w:val="nil"/>
              <w:bottom w:val="single" w:sz="4" w:space="0" w:color="FFFFFF" w:themeColor="background1"/>
              <w:right w:val="nil"/>
            </w:tcBorders>
            <w:shd w:val="clear" w:color="auto" w:fill="005CA9"/>
            <w:vAlign w:val="center"/>
            <w:hideMark/>
          </w:tcPr>
          <w:p w14:paraId="2E8E717E" w14:textId="77777777" w:rsidR="009F6A79" w:rsidRPr="00817BD3" w:rsidRDefault="009F6A79">
            <w:pPr>
              <w:jc w:val="center"/>
              <w:rPr>
                <w:rFonts w:ascii="CAIXA Std Book" w:eastAsia="Times New Roman" w:hAnsi="CAIXA Std Book" w:cs="Calibri"/>
                <w:b/>
                <w:color w:val="FFFFFF"/>
                <w:sz w:val="18"/>
                <w:szCs w:val="18"/>
              </w:rPr>
            </w:pPr>
            <w:r w:rsidRPr="00817BD3">
              <w:rPr>
                <w:rFonts w:ascii="CAIXA Std Book" w:hAnsi="CAIXA Std Book"/>
                <w:b/>
                <w:color w:val="005CA9"/>
                <w:sz w:val="18"/>
                <w:szCs w:val="18"/>
              </w:rPr>
              <w:br w:type="page"/>
            </w:r>
            <w:r w:rsidRPr="00817BD3">
              <w:rPr>
                <w:rFonts w:ascii="CAIXA Std Book" w:eastAsia="Times New Roman" w:hAnsi="CAIXA Std Book" w:cs="Calibri"/>
                <w:b/>
                <w:color w:val="FFFFFF"/>
                <w:sz w:val="18"/>
                <w:szCs w:val="18"/>
              </w:rPr>
              <w:t>Individual</w:t>
            </w:r>
          </w:p>
        </w:tc>
      </w:tr>
      <w:tr w:rsidR="009F6A79" w:rsidRPr="009518F8" w14:paraId="76A1FE4D" w14:textId="77777777">
        <w:trPr>
          <w:trHeight w:val="283"/>
        </w:trPr>
        <w:tc>
          <w:tcPr>
            <w:tcW w:w="1849" w:type="pct"/>
            <w:tcBorders>
              <w:top w:val="single" w:sz="4" w:space="0" w:color="FFFFFF" w:themeColor="background1"/>
              <w:left w:val="nil"/>
              <w:bottom w:val="nil"/>
              <w:right w:val="nil"/>
            </w:tcBorders>
            <w:shd w:val="clear" w:color="auto" w:fill="005CA9"/>
            <w:vAlign w:val="center"/>
            <w:hideMark/>
          </w:tcPr>
          <w:p w14:paraId="2D5E5280" w14:textId="77777777" w:rsidR="009F6A79" w:rsidRPr="00817BD3" w:rsidRDefault="009F6A79">
            <w:pPr>
              <w:jc w:val="center"/>
              <w:rPr>
                <w:rFonts w:ascii="CAIXA Std Book" w:eastAsia="Times New Roman" w:hAnsi="CAIXA Std Book" w:cs="Calibri"/>
                <w:b/>
                <w:color w:val="FFFFFF"/>
                <w:sz w:val="18"/>
                <w:szCs w:val="18"/>
              </w:rPr>
            </w:pPr>
            <w:r w:rsidRPr="00817BD3">
              <w:rPr>
                <w:rFonts w:ascii="CAIXA Std Book" w:eastAsia="Times New Roman" w:hAnsi="CAIXA Std Book" w:cs="Calibri"/>
                <w:b/>
                <w:color w:val="FFFFFF"/>
                <w:sz w:val="18"/>
                <w:szCs w:val="18"/>
              </w:rPr>
              <w:t>Estágio 3</w:t>
            </w:r>
            <w:r w:rsidRPr="00817BD3">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168FB93E" w14:textId="77777777" w:rsidR="009F6A79" w:rsidRPr="00817BD3" w:rsidRDefault="009F6A79">
            <w:pPr>
              <w:jc w:val="center"/>
              <w:rPr>
                <w:rFonts w:ascii="CAIXA Std Book" w:eastAsia="Times New Roman" w:hAnsi="CAIXA Std Book" w:cs="Calibri"/>
                <w:b/>
                <w:color w:val="FFFFFF"/>
                <w:sz w:val="18"/>
                <w:szCs w:val="18"/>
              </w:rPr>
            </w:pPr>
            <w:r w:rsidRPr="00817BD3">
              <w:rPr>
                <w:rFonts w:ascii="CAIXA Std Book" w:eastAsia="Times New Roman" w:hAnsi="CAIXA Std Book" w:cs="Calibri"/>
                <w:b/>
                <w:color w:val="FFFFFF"/>
                <w:sz w:val="18"/>
                <w:szCs w:val="18"/>
              </w:rPr>
              <w:t xml:space="preserve">Saldo em </w:t>
            </w:r>
            <w:r>
              <w:rPr>
                <w:rFonts w:ascii="CAIXA Std Book" w:eastAsia="Times New Roman" w:hAnsi="CAIXA Std Book" w:cs="Calibri"/>
                <w:b/>
                <w:color w:val="FFFFFF"/>
                <w:sz w:val="18"/>
                <w:szCs w:val="18"/>
              </w:rPr>
              <w:t>31/12/2025</w:t>
            </w:r>
          </w:p>
        </w:tc>
        <w:tc>
          <w:tcPr>
            <w:tcW w:w="630" w:type="pct"/>
            <w:tcBorders>
              <w:top w:val="single" w:sz="4" w:space="0" w:color="FFFFFF" w:themeColor="background1"/>
              <w:left w:val="nil"/>
              <w:bottom w:val="nil"/>
              <w:right w:val="nil"/>
            </w:tcBorders>
            <w:shd w:val="clear" w:color="auto" w:fill="005CA9"/>
            <w:vAlign w:val="center"/>
            <w:hideMark/>
          </w:tcPr>
          <w:p w14:paraId="22C2309B" w14:textId="77777777" w:rsidR="009F6A79" w:rsidRPr="00817BD3" w:rsidRDefault="009F6A79">
            <w:pPr>
              <w:jc w:val="center"/>
              <w:rPr>
                <w:rFonts w:ascii="CAIXA Std Book" w:eastAsia="Times New Roman" w:hAnsi="CAIXA Std Book" w:cs="Calibri"/>
                <w:b/>
                <w:color w:val="FFFFFF"/>
                <w:sz w:val="18"/>
                <w:szCs w:val="18"/>
              </w:rPr>
            </w:pPr>
            <w:r w:rsidRPr="00817BD3">
              <w:rPr>
                <w:rFonts w:ascii="CAIXA Std Book" w:eastAsia="Times New Roman" w:hAnsi="CAIXA Std Book" w:cs="Calibri"/>
                <w:b/>
                <w:color w:val="FFFFFF"/>
                <w:sz w:val="18"/>
                <w:szCs w:val="18"/>
              </w:rPr>
              <w:t>C</w:t>
            </w:r>
            <w:r>
              <w:rPr>
                <w:rFonts w:ascii="CAIXA Std Book" w:eastAsia="Times New Roman" w:hAnsi="CAIXA Std Book" w:cs="Calibri"/>
                <w:b/>
                <w:color w:val="FFFFFF"/>
                <w:sz w:val="18"/>
                <w:szCs w:val="18"/>
              </w:rPr>
              <w:t>onstituição</w:t>
            </w:r>
            <w:r w:rsidRPr="00817BD3">
              <w:rPr>
                <w:rFonts w:ascii="CAIXA Std Book" w:eastAsia="Times New Roman" w:hAnsi="CAIXA Std Book" w:cs="Calibri"/>
                <w:b/>
                <w:color w:val="FFFFFF"/>
                <w:sz w:val="18"/>
                <w:szCs w:val="18"/>
              </w:rPr>
              <w:t xml:space="preserve">/ </w:t>
            </w:r>
            <w:r>
              <w:rPr>
                <w:rFonts w:ascii="CAIXA Std Book" w:eastAsia="Times New Roman" w:hAnsi="CAIXA Std Book" w:cs="Calibri"/>
                <w:b/>
                <w:color w:val="FFFFFF"/>
                <w:sz w:val="18"/>
                <w:szCs w:val="18"/>
              </w:rPr>
              <w:t>(</w:t>
            </w:r>
            <w:r w:rsidRPr="00817BD3">
              <w:rPr>
                <w:rFonts w:ascii="CAIXA Std Book" w:eastAsia="Times New Roman" w:hAnsi="CAIXA Std Book" w:cs="Calibri"/>
                <w:b/>
                <w:color w:val="FFFFFF"/>
                <w:sz w:val="18"/>
                <w:szCs w:val="18"/>
              </w:rPr>
              <w:t>liquidação</w:t>
            </w:r>
            <w:r>
              <w:rPr>
                <w:rFonts w:ascii="CAIXA Std Book" w:eastAsia="Times New Roman" w:hAnsi="CAIXA Std Book" w:cs="Calibri"/>
                <w:b/>
                <w:color w:val="FFFFFF"/>
                <w:sz w:val="18"/>
                <w:szCs w:val="18"/>
              </w:rPr>
              <w:t>)</w:t>
            </w:r>
            <w:r w:rsidRPr="00817BD3">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0ECF5CD0" w14:textId="77777777" w:rsidR="009F6A79" w:rsidRPr="00817BD3" w:rsidRDefault="009F6A79">
            <w:pPr>
              <w:jc w:val="center"/>
              <w:rPr>
                <w:rFonts w:ascii="CAIXA Std Book" w:eastAsia="Times New Roman" w:hAnsi="CAIXA Std Book" w:cs="Calibri"/>
                <w:b/>
                <w:color w:val="FFFFFF"/>
                <w:sz w:val="18"/>
                <w:szCs w:val="18"/>
              </w:rPr>
            </w:pPr>
            <w:r w:rsidRPr="00817BD3">
              <w:rPr>
                <w:rFonts w:ascii="CAIXA Std Book" w:eastAsia="Times New Roman" w:hAnsi="CAIXA Std Book" w:cs="Calibri"/>
                <w:b/>
                <w:color w:val="FFFFFF"/>
                <w:sz w:val="18"/>
                <w:szCs w:val="18"/>
              </w:rPr>
              <w:t>Transferência do/</w:t>
            </w:r>
          </w:p>
          <w:p w14:paraId="44285B5F" w14:textId="77777777" w:rsidR="009F6A79" w:rsidRPr="00817BD3" w:rsidRDefault="009F6A79">
            <w:pPr>
              <w:jc w:val="center"/>
              <w:rPr>
                <w:rFonts w:ascii="CAIXA Std Book" w:eastAsia="Times New Roman" w:hAnsi="CAIXA Std Book" w:cs="Calibri"/>
                <w:b/>
                <w:color w:val="FFFFFF"/>
                <w:sz w:val="18"/>
                <w:szCs w:val="18"/>
              </w:rPr>
            </w:pPr>
            <w:r w:rsidRPr="00817BD3">
              <w:rPr>
                <w:rFonts w:ascii="CAIXA Std Book" w:eastAsia="Times New Roman" w:hAnsi="CAIXA Std Book" w:cs="Calibri"/>
                <w:b/>
                <w:color w:val="FFFFFF"/>
                <w:sz w:val="18"/>
                <w:szCs w:val="18"/>
              </w:rPr>
              <w:t>para estágio 1</w:t>
            </w:r>
            <w:r w:rsidRPr="00817BD3">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5B46341C" w14:textId="77777777" w:rsidR="009F6A79" w:rsidRPr="00817BD3" w:rsidRDefault="009F6A79">
            <w:pPr>
              <w:jc w:val="center"/>
              <w:rPr>
                <w:rFonts w:ascii="CAIXA Std Book" w:eastAsia="Times New Roman" w:hAnsi="CAIXA Std Book" w:cs="Calibri"/>
                <w:b/>
                <w:color w:val="FFFFFF"/>
                <w:sz w:val="18"/>
                <w:szCs w:val="18"/>
              </w:rPr>
            </w:pPr>
            <w:r w:rsidRPr="00817BD3">
              <w:rPr>
                <w:rFonts w:ascii="CAIXA Std Book" w:eastAsia="Times New Roman" w:hAnsi="CAIXA Std Book" w:cs="Calibri"/>
                <w:b/>
                <w:color w:val="FFFFFF"/>
                <w:sz w:val="18"/>
                <w:szCs w:val="18"/>
              </w:rPr>
              <w:t>Transferência do/</w:t>
            </w:r>
          </w:p>
          <w:p w14:paraId="2F4A05E4" w14:textId="77777777" w:rsidR="009F6A79" w:rsidRPr="00817BD3" w:rsidRDefault="009F6A79">
            <w:pPr>
              <w:jc w:val="center"/>
              <w:rPr>
                <w:rFonts w:ascii="CAIXA Std Book" w:eastAsia="Times New Roman" w:hAnsi="CAIXA Std Book" w:cs="Calibri"/>
                <w:b/>
                <w:color w:val="FFFFFF"/>
                <w:sz w:val="18"/>
                <w:szCs w:val="18"/>
              </w:rPr>
            </w:pPr>
            <w:r w:rsidRPr="00817BD3">
              <w:rPr>
                <w:rFonts w:ascii="CAIXA Std Book" w:eastAsia="Times New Roman" w:hAnsi="CAIXA Std Book" w:cs="Calibri"/>
                <w:b/>
                <w:color w:val="FFFFFF"/>
                <w:sz w:val="18"/>
                <w:szCs w:val="18"/>
              </w:rPr>
              <w:t>para estágio 2</w:t>
            </w:r>
            <w:r w:rsidRPr="00817BD3">
              <w:rPr>
                <w:rFonts w:ascii="CAIXA Std Book" w:eastAsia="Times New Roman" w:hAnsi="CAIXA Std Book" w:cs="Calibri"/>
                <w:color w:val="005CA9"/>
                <w:sz w:val="18"/>
                <w:szCs w:val="18"/>
              </w:rPr>
              <w:t> </w:t>
            </w:r>
          </w:p>
        </w:tc>
        <w:tc>
          <w:tcPr>
            <w:tcW w:w="631" w:type="pct"/>
            <w:tcBorders>
              <w:top w:val="single" w:sz="4" w:space="0" w:color="FFFFFF" w:themeColor="background1"/>
              <w:left w:val="nil"/>
              <w:bottom w:val="nil"/>
              <w:right w:val="nil"/>
            </w:tcBorders>
            <w:shd w:val="clear" w:color="auto" w:fill="005CA9"/>
            <w:vAlign w:val="center"/>
            <w:hideMark/>
          </w:tcPr>
          <w:p w14:paraId="45D0CF00" w14:textId="77777777" w:rsidR="009F6A79" w:rsidRPr="00817BD3" w:rsidRDefault="009F6A79">
            <w:pPr>
              <w:jc w:val="center"/>
              <w:rPr>
                <w:rFonts w:ascii="CAIXA Std Book" w:eastAsia="Times New Roman" w:hAnsi="CAIXA Std Book" w:cs="Calibri"/>
                <w:b/>
                <w:color w:val="FFFFFF"/>
                <w:sz w:val="18"/>
                <w:szCs w:val="18"/>
              </w:rPr>
            </w:pPr>
            <w:r w:rsidRPr="00817BD3">
              <w:rPr>
                <w:rFonts w:ascii="CAIXA Std Book" w:eastAsia="Times New Roman" w:hAnsi="CAIXA Std Book" w:cs="Calibri"/>
                <w:b/>
                <w:color w:val="FFFFFF"/>
                <w:sz w:val="18"/>
                <w:szCs w:val="18"/>
              </w:rPr>
              <w:t xml:space="preserve">Saldo em </w:t>
            </w:r>
            <w:r>
              <w:rPr>
                <w:rFonts w:ascii="CAIXA Std Book" w:eastAsia="Times New Roman" w:hAnsi="CAIXA Std Book" w:cs="Calibri"/>
                <w:b/>
                <w:color w:val="FFFFFF"/>
                <w:sz w:val="18"/>
                <w:szCs w:val="18"/>
              </w:rPr>
              <w:t>31/03/2026</w:t>
            </w:r>
          </w:p>
        </w:tc>
      </w:tr>
      <w:tr w:rsidR="00BC56E5" w:rsidRPr="009518F8" w14:paraId="0FD088F7" w14:textId="77777777">
        <w:trPr>
          <w:trHeight w:val="283"/>
        </w:trPr>
        <w:tc>
          <w:tcPr>
            <w:tcW w:w="1849" w:type="pct"/>
            <w:tcBorders>
              <w:top w:val="nil"/>
              <w:left w:val="nil"/>
              <w:bottom w:val="nil"/>
              <w:right w:val="nil"/>
            </w:tcBorders>
            <w:noWrap/>
            <w:vAlign w:val="center"/>
            <w:hideMark/>
          </w:tcPr>
          <w:p w14:paraId="3FA5BEDE" w14:textId="77777777" w:rsidR="00BC56E5" w:rsidRPr="00817BD3" w:rsidRDefault="00BC56E5" w:rsidP="00BC56E5">
            <w:pPr>
              <w:rPr>
                <w:rFonts w:ascii="CAIXA Std Book" w:eastAsia="Times New Roman" w:hAnsi="CAIXA Std Book" w:cs="Calibri"/>
                <w:color w:val="005CA9"/>
                <w:sz w:val="18"/>
                <w:szCs w:val="18"/>
              </w:rPr>
            </w:pPr>
            <w:r w:rsidRPr="00817BD3">
              <w:rPr>
                <w:rFonts w:ascii="CAIXA Std Book" w:eastAsia="Times New Roman" w:hAnsi="CAIXA Std Book" w:cs="Calibri"/>
                <w:color w:val="005CA9"/>
                <w:sz w:val="18"/>
                <w:szCs w:val="18"/>
              </w:rPr>
              <w:t>Empréstimos e direitos creditórios descontados </w:t>
            </w:r>
          </w:p>
        </w:tc>
        <w:tc>
          <w:tcPr>
            <w:tcW w:w="630" w:type="pct"/>
            <w:tcBorders>
              <w:top w:val="nil"/>
              <w:left w:val="nil"/>
              <w:bottom w:val="nil"/>
              <w:right w:val="nil"/>
            </w:tcBorders>
            <w:noWrap/>
            <w:vAlign w:val="center"/>
          </w:tcPr>
          <w:p w14:paraId="54981DE5" w14:textId="77777777" w:rsidR="00BC56E5" w:rsidRPr="000D76B8" w:rsidRDefault="00BC56E5" w:rsidP="00BC56E5">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31.033.380</w:t>
            </w:r>
          </w:p>
        </w:tc>
        <w:tc>
          <w:tcPr>
            <w:tcW w:w="630" w:type="pct"/>
            <w:tcBorders>
              <w:top w:val="nil"/>
              <w:left w:val="nil"/>
              <w:bottom w:val="nil"/>
              <w:right w:val="nil"/>
            </w:tcBorders>
            <w:vAlign w:val="center"/>
          </w:tcPr>
          <w:p w14:paraId="6ABFAC76" w14:textId="7A310DBC"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(2.934.</w:t>
            </w:r>
            <w:r w:rsidR="008345AB">
              <w:rPr>
                <w:rFonts w:ascii="CAIXA Std Book" w:hAnsi="CAIXA Std Book" w:cs="Calibri"/>
                <w:color w:val="005CA9"/>
                <w:sz w:val="18"/>
                <w:szCs w:val="18"/>
              </w:rPr>
              <w:t>64</w:t>
            </w:r>
            <w:r w:rsidR="004156A1">
              <w:rPr>
                <w:rFonts w:ascii="CAIXA Std Book" w:hAnsi="CAIXA Std Book" w:cs="Calibri"/>
                <w:color w:val="005CA9"/>
                <w:sz w:val="18"/>
                <w:szCs w:val="18"/>
              </w:rPr>
              <w:t>2</w:t>
            </w:r>
            <w:r>
              <w:rPr>
                <w:rFonts w:ascii="CAIXA Std Book" w:hAnsi="CAIXA Std Book" w:cs="Calibri"/>
                <w:color w:val="005CA9"/>
                <w:sz w:val="18"/>
                <w:szCs w:val="18"/>
              </w:rPr>
              <w:t>)</w:t>
            </w:r>
          </w:p>
        </w:tc>
        <w:tc>
          <w:tcPr>
            <w:tcW w:w="630" w:type="pct"/>
            <w:tcBorders>
              <w:top w:val="nil"/>
              <w:left w:val="nil"/>
              <w:bottom w:val="nil"/>
              <w:right w:val="nil"/>
            </w:tcBorders>
            <w:vAlign w:val="center"/>
          </w:tcPr>
          <w:p w14:paraId="564815A4" w14:textId="77FC03B5"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1.499.807</w:t>
            </w:r>
          </w:p>
        </w:tc>
        <w:tc>
          <w:tcPr>
            <w:tcW w:w="630" w:type="pct"/>
            <w:tcBorders>
              <w:top w:val="nil"/>
              <w:left w:val="nil"/>
              <w:bottom w:val="nil"/>
              <w:right w:val="nil"/>
            </w:tcBorders>
            <w:noWrap/>
            <w:vAlign w:val="center"/>
          </w:tcPr>
          <w:p w14:paraId="26730833" w14:textId="23E4BF04"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2.756.38</w:t>
            </w:r>
            <w:r w:rsidR="00D22ACF">
              <w:rPr>
                <w:rFonts w:ascii="CAIXA Std Book" w:hAnsi="CAIXA Std Book" w:cs="Calibri"/>
                <w:color w:val="005CA9"/>
                <w:sz w:val="18"/>
                <w:szCs w:val="18"/>
              </w:rPr>
              <w:t>8</w:t>
            </w:r>
          </w:p>
        </w:tc>
        <w:tc>
          <w:tcPr>
            <w:tcW w:w="631" w:type="pct"/>
            <w:tcBorders>
              <w:top w:val="nil"/>
              <w:left w:val="nil"/>
              <w:bottom w:val="nil"/>
              <w:right w:val="nil"/>
            </w:tcBorders>
            <w:noWrap/>
            <w:vAlign w:val="center"/>
          </w:tcPr>
          <w:p w14:paraId="260E5B47" w14:textId="5E52FE2A"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32.354.</w:t>
            </w:r>
            <w:r w:rsidR="009F2C44">
              <w:rPr>
                <w:rFonts w:ascii="CAIXA Std Book" w:hAnsi="CAIXA Std Book" w:cs="Calibri"/>
                <w:color w:val="005CA9"/>
                <w:sz w:val="18"/>
                <w:szCs w:val="18"/>
              </w:rPr>
              <w:t>93</w:t>
            </w:r>
            <w:r>
              <w:rPr>
                <w:rFonts w:ascii="CAIXA Std Book" w:hAnsi="CAIXA Std Book" w:cs="Calibri"/>
                <w:color w:val="005CA9"/>
                <w:sz w:val="18"/>
                <w:szCs w:val="18"/>
              </w:rPr>
              <w:t>3</w:t>
            </w:r>
          </w:p>
        </w:tc>
      </w:tr>
      <w:tr w:rsidR="00BC56E5" w:rsidRPr="009518F8" w14:paraId="42FE6F3F" w14:textId="77777777">
        <w:trPr>
          <w:trHeight w:val="283"/>
        </w:trPr>
        <w:tc>
          <w:tcPr>
            <w:tcW w:w="1849" w:type="pct"/>
            <w:tcBorders>
              <w:top w:val="nil"/>
              <w:left w:val="nil"/>
              <w:bottom w:val="nil"/>
              <w:right w:val="nil"/>
            </w:tcBorders>
            <w:noWrap/>
            <w:vAlign w:val="center"/>
            <w:hideMark/>
          </w:tcPr>
          <w:p w14:paraId="4E231ADC" w14:textId="77777777" w:rsidR="00BC56E5" w:rsidRPr="00817BD3" w:rsidRDefault="00BC56E5" w:rsidP="00BC56E5">
            <w:pPr>
              <w:rPr>
                <w:rFonts w:ascii="CAIXA Std Book" w:eastAsia="Times New Roman" w:hAnsi="CAIXA Std Book" w:cs="Calibri"/>
                <w:color w:val="005CA9"/>
                <w:sz w:val="18"/>
                <w:szCs w:val="18"/>
              </w:rPr>
            </w:pPr>
            <w:r w:rsidRPr="00817BD3">
              <w:rPr>
                <w:rFonts w:ascii="CAIXA Std Book" w:eastAsia="Times New Roman" w:hAnsi="CAIXA Std Book" w:cs="Calibri"/>
                <w:color w:val="005CA9"/>
                <w:sz w:val="18"/>
                <w:szCs w:val="18"/>
              </w:rPr>
              <w:t>Financiamentos </w:t>
            </w:r>
          </w:p>
        </w:tc>
        <w:tc>
          <w:tcPr>
            <w:tcW w:w="630" w:type="pct"/>
            <w:tcBorders>
              <w:top w:val="nil"/>
              <w:left w:val="nil"/>
              <w:bottom w:val="nil"/>
              <w:right w:val="nil"/>
            </w:tcBorders>
            <w:noWrap/>
            <w:vAlign w:val="center"/>
          </w:tcPr>
          <w:p w14:paraId="33CA4D6D" w14:textId="77777777" w:rsidR="00BC56E5" w:rsidRPr="000D76B8" w:rsidRDefault="00BC56E5" w:rsidP="00BC56E5">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1.626.237</w:t>
            </w:r>
          </w:p>
        </w:tc>
        <w:tc>
          <w:tcPr>
            <w:tcW w:w="630" w:type="pct"/>
            <w:tcBorders>
              <w:top w:val="nil"/>
              <w:left w:val="nil"/>
              <w:bottom w:val="nil"/>
              <w:right w:val="nil"/>
            </w:tcBorders>
            <w:vAlign w:val="center"/>
          </w:tcPr>
          <w:p w14:paraId="730930D3" w14:textId="4D3F5133"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(118.542)</w:t>
            </w:r>
          </w:p>
        </w:tc>
        <w:tc>
          <w:tcPr>
            <w:tcW w:w="630" w:type="pct"/>
            <w:tcBorders>
              <w:top w:val="nil"/>
              <w:left w:val="nil"/>
              <w:bottom w:val="nil"/>
              <w:right w:val="nil"/>
            </w:tcBorders>
            <w:vAlign w:val="center"/>
          </w:tcPr>
          <w:p w14:paraId="42A313E0" w14:textId="111AFE40"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48.543</w:t>
            </w:r>
          </w:p>
        </w:tc>
        <w:tc>
          <w:tcPr>
            <w:tcW w:w="630" w:type="pct"/>
            <w:tcBorders>
              <w:top w:val="nil"/>
              <w:left w:val="nil"/>
              <w:bottom w:val="nil"/>
              <w:right w:val="nil"/>
            </w:tcBorders>
            <w:noWrap/>
            <w:vAlign w:val="center"/>
          </w:tcPr>
          <w:p w14:paraId="053E50B8" w14:textId="5398A63B"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132.691</w:t>
            </w:r>
          </w:p>
        </w:tc>
        <w:tc>
          <w:tcPr>
            <w:tcW w:w="631" w:type="pct"/>
            <w:tcBorders>
              <w:top w:val="nil"/>
              <w:left w:val="nil"/>
              <w:bottom w:val="nil"/>
              <w:right w:val="nil"/>
            </w:tcBorders>
            <w:noWrap/>
            <w:vAlign w:val="center"/>
          </w:tcPr>
          <w:p w14:paraId="42AB5C3D" w14:textId="222DFC21"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1.688.929</w:t>
            </w:r>
          </w:p>
        </w:tc>
      </w:tr>
      <w:tr w:rsidR="00BC56E5" w:rsidRPr="009518F8" w14:paraId="0105364F" w14:textId="77777777">
        <w:trPr>
          <w:trHeight w:val="283"/>
        </w:trPr>
        <w:tc>
          <w:tcPr>
            <w:tcW w:w="1849" w:type="pct"/>
            <w:tcBorders>
              <w:top w:val="nil"/>
              <w:left w:val="nil"/>
              <w:bottom w:val="nil"/>
              <w:right w:val="nil"/>
            </w:tcBorders>
            <w:noWrap/>
            <w:vAlign w:val="center"/>
            <w:hideMark/>
          </w:tcPr>
          <w:p w14:paraId="35FE8A9F" w14:textId="77777777" w:rsidR="00BC56E5" w:rsidRPr="00817BD3" w:rsidRDefault="00BC56E5" w:rsidP="00BC56E5">
            <w:pPr>
              <w:rPr>
                <w:rFonts w:ascii="CAIXA Std Book" w:eastAsia="Times New Roman" w:hAnsi="CAIXA Std Book" w:cs="Calibri"/>
                <w:color w:val="005CA9"/>
                <w:sz w:val="18"/>
                <w:szCs w:val="18"/>
              </w:rPr>
            </w:pPr>
            <w:r w:rsidRPr="00817BD3">
              <w:rPr>
                <w:rFonts w:ascii="CAIXA Std Book" w:eastAsia="Times New Roman" w:hAnsi="CAIXA Std Book" w:cs="Calibri"/>
                <w:color w:val="005CA9"/>
                <w:sz w:val="18"/>
                <w:szCs w:val="18"/>
              </w:rPr>
              <w:t>Financiamentos rurais  </w:t>
            </w:r>
          </w:p>
        </w:tc>
        <w:tc>
          <w:tcPr>
            <w:tcW w:w="630" w:type="pct"/>
            <w:tcBorders>
              <w:top w:val="nil"/>
              <w:left w:val="nil"/>
              <w:bottom w:val="nil"/>
              <w:right w:val="nil"/>
            </w:tcBorders>
            <w:noWrap/>
            <w:vAlign w:val="center"/>
          </w:tcPr>
          <w:p w14:paraId="0118BB39" w14:textId="77777777" w:rsidR="00BC56E5" w:rsidRPr="000D76B8" w:rsidRDefault="00BC56E5" w:rsidP="00BC56E5">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10.716.285</w:t>
            </w:r>
          </w:p>
        </w:tc>
        <w:tc>
          <w:tcPr>
            <w:tcW w:w="630" w:type="pct"/>
            <w:tcBorders>
              <w:top w:val="nil"/>
              <w:left w:val="nil"/>
              <w:bottom w:val="nil"/>
              <w:right w:val="nil"/>
            </w:tcBorders>
            <w:vAlign w:val="center"/>
          </w:tcPr>
          <w:p w14:paraId="2CD33BCC" w14:textId="592E3788"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(804.890)</w:t>
            </w:r>
          </w:p>
        </w:tc>
        <w:tc>
          <w:tcPr>
            <w:tcW w:w="630" w:type="pct"/>
            <w:tcBorders>
              <w:top w:val="nil"/>
              <w:left w:val="nil"/>
              <w:bottom w:val="nil"/>
              <w:right w:val="nil"/>
            </w:tcBorders>
            <w:vAlign w:val="center"/>
          </w:tcPr>
          <w:p w14:paraId="3EA9BC87" w14:textId="5D15496D"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1.017.236</w:t>
            </w:r>
          </w:p>
        </w:tc>
        <w:tc>
          <w:tcPr>
            <w:tcW w:w="630" w:type="pct"/>
            <w:tcBorders>
              <w:top w:val="nil"/>
              <w:left w:val="nil"/>
              <w:bottom w:val="nil"/>
              <w:right w:val="nil"/>
            </w:tcBorders>
            <w:noWrap/>
            <w:vAlign w:val="center"/>
          </w:tcPr>
          <w:p w14:paraId="10B26DF6" w14:textId="14AEBF74"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1.331.044</w:t>
            </w:r>
          </w:p>
        </w:tc>
        <w:tc>
          <w:tcPr>
            <w:tcW w:w="631" w:type="pct"/>
            <w:tcBorders>
              <w:top w:val="nil"/>
              <w:left w:val="nil"/>
              <w:bottom w:val="nil"/>
              <w:right w:val="nil"/>
            </w:tcBorders>
            <w:noWrap/>
            <w:vAlign w:val="center"/>
          </w:tcPr>
          <w:p w14:paraId="2831292C" w14:textId="0EF38B5A"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12.259.675</w:t>
            </w:r>
          </w:p>
        </w:tc>
      </w:tr>
      <w:tr w:rsidR="00BC56E5" w:rsidRPr="009518F8" w14:paraId="7F3BD87C" w14:textId="77777777">
        <w:trPr>
          <w:trHeight w:val="283"/>
        </w:trPr>
        <w:tc>
          <w:tcPr>
            <w:tcW w:w="1849" w:type="pct"/>
            <w:tcBorders>
              <w:top w:val="nil"/>
              <w:left w:val="nil"/>
              <w:bottom w:val="nil"/>
              <w:right w:val="nil"/>
            </w:tcBorders>
            <w:noWrap/>
            <w:vAlign w:val="center"/>
            <w:hideMark/>
          </w:tcPr>
          <w:p w14:paraId="40012674" w14:textId="77777777" w:rsidR="00BC56E5" w:rsidRPr="00817BD3" w:rsidRDefault="00BC56E5" w:rsidP="00BC56E5">
            <w:pPr>
              <w:rPr>
                <w:rFonts w:ascii="CAIXA Std Book" w:eastAsia="Times New Roman" w:hAnsi="CAIXA Std Book" w:cs="Calibri"/>
                <w:color w:val="005CA9"/>
                <w:sz w:val="18"/>
                <w:szCs w:val="18"/>
              </w:rPr>
            </w:pPr>
            <w:r w:rsidRPr="00817BD3">
              <w:rPr>
                <w:rFonts w:ascii="CAIXA Std Book" w:eastAsia="Times New Roman" w:hAnsi="CAIXA Std Book" w:cs="Calibri"/>
                <w:color w:val="005CA9"/>
                <w:sz w:val="18"/>
                <w:szCs w:val="18"/>
              </w:rPr>
              <w:t>Financiamentos imobiliários </w:t>
            </w:r>
          </w:p>
        </w:tc>
        <w:tc>
          <w:tcPr>
            <w:tcW w:w="630" w:type="pct"/>
            <w:tcBorders>
              <w:top w:val="nil"/>
              <w:left w:val="nil"/>
              <w:bottom w:val="nil"/>
              <w:right w:val="nil"/>
            </w:tcBorders>
            <w:noWrap/>
            <w:vAlign w:val="center"/>
          </w:tcPr>
          <w:p w14:paraId="072CFB00" w14:textId="77777777" w:rsidR="00BC56E5" w:rsidRPr="000D76B8" w:rsidRDefault="00BC56E5" w:rsidP="00BC56E5">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39.946.696</w:t>
            </w:r>
          </w:p>
        </w:tc>
        <w:tc>
          <w:tcPr>
            <w:tcW w:w="630" w:type="pct"/>
            <w:tcBorders>
              <w:top w:val="nil"/>
              <w:left w:val="nil"/>
              <w:bottom w:val="nil"/>
              <w:right w:val="nil"/>
            </w:tcBorders>
            <w:vAlign w:val="center"/>
          </w:tcPr>
          <w:p w14:paraId="63A5D92F" w14:textId="3035B6BD"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(1.457.247)</w:t>
            </w:r>
          </w:p>
        </w:tc>
        <w:tc>
          <w:tcPr>
            <w:tcW w:w="630" w:type="pct"/>
            <w:tcBorders>
              <w:top w:val="nil"/>
              <w:left w:val="nil"/>
              <w:bottom w:val="nil"/>
              <w:right w:val="nil"/>
            </w:tcBorders>
            <w:vAlign w:val="center"/>
          </w:tcPr>
          <w:p w14:paraId="6C89C407" w14:textId="17B04F99"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2.780.616</w:t>
            </w:r>
          </w:p>
        </w:tc>
        <w:tc>
          <w:tcPr>
            <w:tcW w:w="630" w:type="pct"/>
            <w:tcBorders>
              <w:top w:val="nil"/>
              <w:left w:val="nil"/>
              <w:bottom w:val="nil"/>
              <w:right w:val="nil"/>
            </w:tcBorders>
            <w:noWrap/>
            <w:vAlign w:val="center"/>
          </w:tcPr>
          <w:p w14:paraId="7C322638" w14:textId="61EA5960"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5.173.735</w:t>
            </w:r>
          </w:p>
        </w:tc>
        <w:tc>
          <w:tcPr>
            <w:tcW w:w="631" w:type="pct"/>
            <w:tcBorders>
              <w:top w:val="nil"/>
              <w:left w:val="nil"/>
              <w:bottom w:val="nil"/>
              <w:right w:val="nil"/>
            </w:tcBorders>
            <w:noWrap/>
            <w:vAlign w:val="center"/>
          </w:tcPr>
          <w:p w14:paraId="2AF11EEB" w14:textId="7673ABF0"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46.443.800</w:t>
            </w:r>
          </w:p>
        </w:tc>
      </w:tr>
      <w:tr w:rsidR="00BC56E5" w:rsidRPr="009518F8" w14:paraId="550A2C70" w14:textId="77777777">
        <w:trPr>
          <w:trHeight w:val="283"/>
        </w:trPr>
        <w:tc>
          <w:tcPr>
            <w:tcW w:w="1849" w:type="pct"/>
            <w:tcBorders>
              <w:top w:val="nil"/>
              <w:left w:val="nil"/>
              <w:bottom w:val="nil"/>
              <w:right w:val="nil"/>
            </w:tcBorders>
            <w:noWrap/>
            <w:vAlign w:val="center"/>
            <w:hideMark/>
          </w:tcPr>
          <w:p w14:paraId="35ED1950" w14:textId="77777777" w:rsidR="00BC56E5" w:rsidRPr="00817BD3" w:rsidRDefault="00BC56E5" w:rsidP="00BC56E5">
            <w:pPr>
              <w:rPr>
                <w:rFonts w:ascii="CAIXA Std Book" w:eastAsia="Times New Roman" w:hAnsi="CAIXA Std Book" w:cs="Calibri"/>
                <w:color w:val="005CA9"/>
                <w:sz w:val="18"/>
                <w:szCs w:val="18"/>
              </w:rPr>
            </w:pPr>
            <w:r w:rsidRPr="00817BD3">
              <w:rPr>
                <w:rFonts w:ascii="CAIXA Std Book" w:eastAsia="Times New Roman" w:hAnsi="CAIXA Std Book" w:cs="Calibri"/>
                <w:color w:val="005CA9"/>
                <w:sz w:val="18"/>
                <w:szCs w:val="18"/>
              </w:rPr>
              <w:t>Financiamentos de infraestrutura </w:t>
            </w:r>
          </w:p>
        </w:tc>
        <w:tc>
          <w:tcPr>
            <w:tcW w:w="630" w:type="pct"/>
            <w:tcBorders>
              <w:top w:val="nil"/>
              <w:left w:val="nil"/>
              <w:bottom w:val="nil"/>
              <w:right w:val="nil"/>
            </w:tcBorders>
            <w:noWrap/>
            <w:vAlign w:val="center"/>
          </w:tcPr>
          <w:p w14:paraId="63F0ED19" w14:textId="77777777" w:rsidR="00BC56E5" w:rsidRPr="000D76B8" w:rsidRDefault="00BC56E5" w:rsidP="00BC56E5">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5.766.254</w:t>
            </w:r>
          </w:p>
        </w:tc>
        <w:tc>
          <w:tcPr>
            <w:tcW w:w="630" w:type="pct"/>
            <w:tcBorders>
              <w:top w:val="nil"/>
              <w:left w:val="nil"/>
              <w:bottom w:val="nil"/>
              <w:right w:val="nil"/>
            </w:tcBorders>
            <w:vAlign w:val="center"/>
          </w:tcPr>
          <w:p w14:paraId="2CC4CC86" w14:textId="4E97FDE3"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(257.914)</w:t>
            </w:r>
          </w:p>
        </w:tc>
        <w:tc>
          <w:tcPr>
            <w:tcW w:w="630" w:type="pct"/>
            <w:tcBorders>
              <w:top w:val="nil"/>
              <w:left w:val="nil"/>
              <w:bottom w:val="nil"/>
              <w:right w:val="nil"/>
            </w:tcBorders>
            <w:vAlign w:val="center"/>
          </w:tcPr>
          <w:p w14:paraId="14E6EE80" w14:textId="37F3D64A"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100.376</w:t>
            </w:r>
          </w:p>
        </w:tc>
        <w:tc>
          <w:tcPr>
            <w:tcW w:w="630" w:type="pct"/>
            <w:tcBorders>
              <w:top w:val="nil"/>
              <w:left w:val="nil"/>
              <w:bottom w:val="nil"/>
              <w:right w:val="nil"/>
            </w:tcBorders>
            <w:noWrap/>
            <w:vAlign w:val="center"/>
          </w:tcPr>
          <w:p w14:paraId="7A58525A" w14:textId="2070B325"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20.371</w:t>
            </w:r>
          </w:p>
        </w:tc>
        <w:tc>
          <w:tcPr>
            <w:tcW w:w="631" w:type="pct"/>
            <w:tcBorders>
              <w:top w:val="nil"/>
              <w:left w:val="nil"/>
              <w:bottom w:val="nil"/>
              <w:right w:val="nil"/>
            </w:tcBorders>
            <w:noWrap/>
            <w:vAlign w:val="center"/>
          </w:tcPr>
          <w:p w14:paraId="295C4D31" w14:textId="1E955940"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5.629.087</w:t>
            </w:r>
          </w:p>
        </w:tc>
      </w:tr>
      <w:tr w:rsidR="00BC56E5" w:rsidRPr="009518F8" w14:paraId="0E36FD8B" w14:textId="77777777">
        <w:trPr>
          <w:trHeight w:val="283"/>
        </w:trPr>
        <w:tc>
          <w:tcPr>
            <w:tcW w:w="1849" w:type="pct"/>
            <w:tcBorders>
              <w:top w:val="nil"/>
              <w:left w:val="nil"/>
              <w:bottom w:val="nil"/>
              <w:right w:val="nil"/>
            </w:tcBorders>
            <w:noWrap/>
            <w:vAlign w:val="center"/>
          </w:tcPr>
          <w:p w14:paraId="0257A426" w14:textId="77777777" w:rsidR="00BC56E5" w:rsidRPr="00817BD3" w:rsidRDefault="00BC56E5" w:rsidP="00BC56E5">
            <w:pPr>
              <w:rPr>
                <w:rFonts w:ascii="CAIXA Std Book" w:eastAsia="Times New Roman" w:hAnsi="CAIXA Std Book" w:cs="Calibri"/>
                <w:color w:val="005CA9"/>
                <w:sz w:val="18"/>
                <w:szCs w:val="18"/>
              </w:rPr>
            </w:pPr>
            <w:r w:rsidRPr="00817BD3">
              <w:rPr>
                <w:rFonts w:ascii="CAIXA Std Book" w:eastAsia="Times New Roman" w:hAnsi="CAIXA Std Book" w:cs="Calibri"/>
                <w:color w:val="005CA9"/>
                <w:sz w:val="18"/>
                <w:szCs w:val="18"/>
              </w:rPr>
              <w:t>Cessão de crédito</w:t>
            </w:r>
          </w:p>
        </w:tc>
        <w:tc>
          <w:tcPr>
            <w:tcW w:w="630" w:type="pct"/>
            <w:tcBorders>
              <w:top w:val="nil"/>
              <w:left w:val="nil"/>
              <w:bottom w:val="nil"/>
              <w:right w:val="nil"/>
            </w:tcBorders>
            <w:noWrap/>
            <w:vAlign w:val="center"/>
          </w:tcPr>
          <w:p w14:paraId="77410903" w14:textId="77777777" w:rsidR="00BC56E5" w:rsidRPr="000D76B8" w:rsidRDefault="00BC56E5" w:rsidP="00BC56E5">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99.711</w:t>
            </w:r>
          </w:p>
        </w:tc>
        <w:tc>
          <w:tcPr>
            <w:tcW w:w="630" w:type="pct"/>
            <w:tcBorders>
              <w:top w:val="nil"/>
              <w:left w:val="nil"/>
              <w:bottom w:val="nil"/>
              <w:right w:val="nil"/>
            </w:tcBorders>
            <w:vAlign w:val="center"/>
          </w:tcPr>
          <w:p w14:paraId="1503B5AD" w14:textId="628DB8AD"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(3.902)</w:t>
            </w:r>
          </w:p>
        </w:tc>
        <w:tc>
          <w:tcPr>
            <w:tcW w:w="630" w:type="pct"/>
            <w:tcBorders>
              <w:top w:val="nil"/>
              <w:left w:val="nil"/>
              <w:bottom w:val="nil"/>
              <w:right w:val="nil"/>
            </w:tcBorders>
            <w:vAlign w:val="center"/>
          </w:tcPr>
          <w:p w14:paraId="4A5D6286" w14:textId="71F2A92D"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(226)</w:t>
            </w:r>
          </w:p>
        </w:tc>
        <w:tc>
          <w:tcPr>
            <w:tcW w:w="630" w:type="pct"/>
            <w:tcBorders>
              <w:top w:val="nil"/>
              <w:left w:val="nil"/>
              <w:bottom w:val="nil"/>
              <w:right w:val="nil"/>
            </w:tcBorders>
            <w:noWrap/>
            <w:vAlign w:val="center"/>
          </w:tcPr>
          <w:p w14:paraId="7B997CC0" w14:textId="05510582"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10.450</w:t>
            </w:r>
          </w:p>
        </w:tc>
        <w:tc>
          <w:tcPr>
            <w:tcW w:w="631" w:type="pct"/>
            <w:tcBorders>
              <w:top w:val="nil"/>
              <w:left w:val="nil"/>
              <w:bottom w:val="nil"/>
              <w:right w:val="nil"/>
            </w:tcBorders>
            <w:noWrap/>
            <w:vAlign w:val="center"/>
          </w:tcPr>
          <w:p w14:paraId="4A53DC4B" w14:textId="104CFDE8"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106.033</w:t>
            </w:r>
          </w:p>
        </w:tc>
      </w:tr>
      <w:tr w:rsidR="00BC56E5" w:rsidRPr="009518F8" w14:paraId="66D22336" w14:textId="77777777">
        <w:trPr>
          <w:trHeight w:val="283"/>
        </w:trPr>
        <w:tc>
          <w:tcPr>
            <w:tcW w:w="1849" w:type="pct"/>
            <w:tcBorders>
              <w:top w:val="nil"/>
              <w:left w:val="nil"/>
              <w:bottom w:val="nil"/>
              <w:right w:val="nil"/>
            </w:tcBorders>
            <w:noWrap/>
            <w:vAlign w:val="center"/>
            <w:hideMark/>
          </w:tcPr>
          <w:p w14:paraId="6EA97E3B" w14:textId="77777777" w:rsidR="00BC56E5" w:rsidRPr="00817BD3" w:rsidRDefault="00BC56E5" w:rsidP="00BC56E5">
            <w:pPr>
              <w:rPr>
                <w:rFonts w:ascii="CAIXA Std Book" w:eastAsia="Times New Roman" w:hAnsi="CAIXA Std Book" w:cs="Calibri"/>
                <w:color w:val="005CA9"/>
                <w:sz w:val="18"/>
                <w:szCs w:val="18"/>
              </w:rPr>
            </w:pPr>
            <w:r w:rsidRPr="001F2DBB">
              <w:rPr>
                <w:rFonts w:ascii="CAIXA Std Book" w:eastAsia="Times New Roman" w:hAnsi="CAIXA Std Book" w:cs="Calibri"/>
                <w:color w:val="005CA9"/>
                <w:sz w:val="18"/>
                <w:szCs w:val="18"/>
              </w:rPr>
              <w:t>Outros ativos com características de concessão de crédito</w:t>
            </w:r>
          </w:p>
        </w:tc>
        <w:tc>
          <w:tcPr>
            <w:tcW w:w="630" w:type="pct"/>
            <w:tcBorders>
              <w:top w:val="nil"/>
              <w:left w:val="nil"/>
              <w:bottom w:val="nil"/>
              <w:right w:val="nil"/>
            </w:tcBorders>
            <w:noWrap/>
            <w:vAlign w:val="center"/>
          </w:tcPr>
          <w:p w14:paraId="775C9B3C" w14:textId="77777777" w:rsidR="00BC56E5" w:rsidRPr="000D76B8" w:rsidRDefault="00BC56E5" w:rsidP="00BC56E5">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325.348</w:t>
            </w:r>
          </w:p>
        </w:tc>
        <w:tc>
          <w:tcPr>
            <w:tcW w:w="630" w:type="pct"/>
            <w:tcBorders>
              <w:top w:val="nil"/>
              <w:left w:val="nil"/>
              <w:bottom w:val="nil"/>
              <w:right w:val="nil"/>
            </w:tcBorders>
            <w:vAlign w:val="center"/>
          </w:tcPr>
          <w:p w14:paraId="36BC4C1A" w14:textId="0C0C7B68"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(83.18</w:t>
            </w:r>
            <w:r w:rsidR="001350EC">
              <w:rPr>
                <w:rFonts w:ascii="CAIXA Std Book" w:hAnsi="CAIXA Std Book" w:cs="Calibri"/>
                <w:color w:val="005CA9"/>
                <w:sz w:val="18"/>
                <w:szCs w:val="18"/>
              </w:rPr>
              <w:t>4</w:t>
            </w:r>
            <w:r>
              <w:rPr>
                <w:rFonts w:ascii="CAIXA Std Book" w:hAnsi="CAIXA Std Book" w:cs="Calibri"/>
                <w:color w:val="005CA9"/>
                <w:sz w:val="18"/>
                <w:szCs w:val="18"/>
              </w:rPr>
              <w:t>)</w:t>
            </w:r>
          </w:p>
        </w:tc>
        <w:tc>
          <w:tcPr>
            <w:tcW w:w="630" w:type="pct"/>
            <w:tcBorders>
              <w:top w:val="nil"/>
              <w:left w:val="nil"/>
              <w:bottom w:val="nil"/>
              <w:right w:val="nil"/>
            </w:tcBorders>
            <w:vAlign w:val="center"/>
          </w:tcPr>
          <w:p w14:paraId="70C04C4C" w14:textId="6FC347D3"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18.795</w:t>
            </w:r>
          </w:p>
        </w:tc>
        <w:tc>
          <w:tcPr>
            <w:tcW w:w="630" w:type="pct"/>
            <w:tcBorders>
              <w:top w:val="nil"/>
              <w:left w:val="nil"/>
              <w:bottom w:val="nil"/>
              <w:right w:val="nil"/>
            </w:tcBorders>
            <w:noWrap/>
            <w:vAlign w:val="center"/>
          </w:tcPr>
          <w:p w14:paraId="1C3BEB0F" w14:textId="31A75553"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8.662</w:t>
            </w:r>
          </w:p>
        </w:tc>
        <w:tc>
          <w:tcPr>
            <w:tcW w:w="631" w:type="pct"/>
            <w:tcBorders>
              <w:top w:val="nil"/>
              <w:left w:val="nil"/>
              <w:bottom w:val="nil"/>
              <w:right w:val="nil"/>
            </w:tcBorders>
            <w:noWrap/>
            <w:vAlign w:val="center"/>
          </w:tcPr>
          <w:p w14:paraId="41B56435" w14:textId="606E43DF" w:rsidR="00BC56E5" w:rsidRPr="000D76B8" w:rsidRDefault="00BC56E5" w:rsidP="00BC56E5">
            <w:pPr>
              <w:jc w:val="right"/>
              <w:rPr>
                <w:rFonts w:ascii="CAIXA Std Book" w:hAnsi="CAIXA Std Book" w:cs="Calibri"/>
                <w:color w:val="005CA9"/>
                <w:sz w:val="18"/>
                <w:szCs w:val="18"/>
              </w:rPr>
            </w:pPr>
            <w:r>
              <w:rPr>
                <w:rFonts w:ascii="CAIXA Std Book" w:hAnsi="CAIXA Std Book" w:cs="Calibri"/>
                <w:color w:val="005CA9"/>
                <w:sz w:val="18"/>
                <w:szCs w:val="18"/>
              </w:rPr>
              <w:t>269.62</w:t>
            </w:r>
            <w:r w:rsidR="008E5294">
              <w:rPr>
                <w:rFonts w:ascii="CAIXA Std Book" w:hAnsi="CAIXA Std Book" w:cs="Calibri"/>
                <w:color w:val="005CA9"/>
                <w:sz w:val="18"/>
                <w:szCs w:val="18"/>
              </w:rPr>
              <w:t>1</w:t>
            </w:r>
          </w:p>
        </w:tc>
      </w:tr>
      <w:tr w:rsidR="00BC56E5" w:rsidRPr="009518F8" w14:paraId="01B01CEE" w14:textId="77777777">
        <w:trPr>
          <w:trHeight w:val="283"/>
        </w:trPr>
        <w:tc>
          <w:tcPr>
            <w:tcW w:w="1849" w:type="pct"/>
            <w:tcBorders>
              <w:top w:val="nil"/>
              <w:left w:val="nil"/>
              <w:bottom w:val="nil"/>
              <w:right w:val="nil"/>
            </w:tcBorders>
            <w:shd w:val="clear" w:color="auto" w:fill="005CA9"/>
            <w:noWrap/>
            <w:vAlign w:val="center"/>
            <w:hideMark/>
          </w:tcPr>
          <w:p w14:paraId="269DC648" w14:textId="77777777" w:rsidR="00BC56E5" w:rsidRPr="00817BD3" w:rsidRDefault="00BC56E5" w:rsidP="00BC56E5">
            <w:pPr>
              <w:rPr>
                <w:rFonts w:ascii="CAIXA Std Book" w:eastAsia="Times New Roman" w:hAnsi="CAIXA Std Book" w:cs="Calibri"/>
                <w:b/>
                <w:color w:val="FFFFFF"/>
                <w:sz w:val="18"/>
                <w:szCs w:val="18"/>
              </w:rPr>
            </w:pPr>
            <w:r w:rsidRPr="00817BD3">
              <w:rPr>
                <w:rFonts w:ascii="CAIXA Std Book" w:eastAsia="Times New Roman" w:hAnsi="CAIXA Std Book" w:cs="Calibri"/>
                <w:b/>
                <w:color w:val="FFFFFF"/>
                <w:sz w:val="18"/>
                <w:szCs w:val="18"/>
              </w:rPr>
              <w:t>Total</w:t>
            </w:r>
            <w:r w:rsidRPr="00817BD3">
              <w:rPr>
                <w:rFonts w:ascii="CAIXA Std Book" w:eastAsia="Times New Roman" w:hAnsi="CAIXA Std Book" w:cs="Calibri"/>
                <w:color w:val="005CA9"/>
                <w:sz w:val="18"/>
                <w:szCs w:val="18"/>
              </w:rPr>
              <w:t> </w:t>
            </w:r>
          </w:p>
        </w:tc>
        <w:tc>
          <w:tcPr>
            <w:tcW w:w="630" w:type="pct"/>
            <w:tcBorders>
              <w:top w:val="nil"/>
              <w:left w:val="nil"/>
              <w:bottom w:val="nil"/>
              <w:right w:val="nil"/>
            </w:tcBorders>
            <w:shd w:val="clear" w:color="auto" w:fill="005CA9"/>
            <w:noWrap/>
            <w:vAlign w:val="center"/>
          </w:tcPr>
          <w:p w14:paraId="0DCC6EB5" w14:textId="77777777" w:rsidR="00BC56E5" w:rsidRPr="000D76B8" w:rsidRDefault="00BC56E5" w:rsidP="00BC56E5">
            <w:pPr>
              <w:jc w:val="right"/>
              <w:rPr>
                <w:rFonts w:ascii="CAIXA Std Book" w:eastAsia="Times New Roman" w:hAnsi="CAIXA Std Book" w:cs="Calibri"/>
                <w:b/>
                <w:color w:val="FFFFFF"/>
                <w:sz w:val="18"/>
                <w:szCs w:val="18"/>
              </w:rPr>
            </w:pPr>
            <w:r>
              <w:rPr>
                <w:rFonts w:ascii="CAIXA Std Book" w:hAnsi="CAIXA Std Book" w:cs="Calibri"/>
                <w:b/>
                <w:bCs/>
                <w:color w:val="FFFFFF"/>
                <w:sz w:val="18"/>
                <w:szCs w:val="18"/>
              </w:rPr>
              <w:t>89.513.911</w:t>
            </w:r>
          </w:p>
        </w:tc>
        <w:tc>
          <w:tcPr>
            <w:tcW w:w="630" w:type="pct"/>
            <w:tcBorders>
              <w:top w:val="nil"/>
              <w:left w:val="nil"/>
              <w:bottom w:val="nil"/>
              <w:right w:val="nil"/>
            </w:tcBorders>
            <w:shd w:val="clear" w:color="auto" w:fill="005CA9"/>
            <w:noWrap/>
            <w:vAlign w:val="center"/>
          </w:tcPr>
          <w:p w14:paraId="76BFD238" w14:textId="1A025FD0" w:rsidR="00BC56E5" w:rsidRPr="000D76B8" w:rsidRDefault="00BC56E5" w:rsidP="00BC56E5">
            <w:pPr>
              <w:jc w:val="right"/>
              <w:rPr>
                <w:rFonts w:ascii="CAIXA Std Book" w:eastAsia="Times New Roman" w:hAnsi="CAIXA Std Book" w:cs="Calibri"/>
                <w:b/>
                <w:color w:val="FFFFFF"/>
                <w:sz w:val="18"/>
                <w:szCs w:val="18"/>
              </w:rPr>
            </w:pPr>
            <w:r>
              <w:rPr>
                <w:rFonts w:ascii="CAIXA Std Book" w:hAnsi="CAIXA Std Book" w:cs="Calibri"/>
                <w:b/>
                <w:bCs/>
                <w:color w:val="FFFFFF"/>
                <w:sz w:val="18"/>
                <w:szCs w:val="18"/>
              </w:rPr>
              <w:t>(5.660.</w:t>
            </w:r>
            <w:r w:rsidR="009F2C44">
              <w:rPr>
                <w:rFonts w:ascii="CAIXA Std Book" w:hAnsi="CAIXA Std Book" w:cs="Calibri"/>
                <w:b/>
                <w:bCs/>
                <w:color w:val="FFFFFF"/>
                <w:sz w:val="18"/>
                <w:szCs w:val="18"/>
              </w:rPr>
              <w:t>32</w:t>
            </w:r>
            <w:r w:rsidR="001350EC">
              <w:rPr>
                <w:rFonts w:ascii="CAIXA Std Book" w:hAnsi="CAIXA Std Book" w:cs="Calibri"/>
                <w:b/>
                <w:bCs/>
                <w:color w:val="FFFFFF"/>
                <w:sz w:val="18"/>
                <w:szCs w:val="18"/>
              </w:rPr>
              <w:t>1</w:t>
            </w:r>
            <w:r>
              <w:rPr>
                <w:rFonts w:ascii="CAIXA Std Book" w:hAnsi="CAIXA Std Book" w:cs="Calibri"/>
                <w:b/>
                <w:bCs/>
                <w:color w:val="FFFFFF"/>
                <w:sz w:val="18"/>
                <w:szCs w:val="18"/>
              </w:rPr>
              <w:t>)</w:t>
            </w:r>
          </w:p>
        </w:tc>
        <w:tc>
          <w:tcPr>
            <w:tcW w:w="630" w:type="pct"/>
            <w:tcBorders>
              <w:top w:val="nil"/>
              <w:left w:val="nil"/>
              <w:bottom w:val="nil"/>
              <w:right w:val="nil"/>
            </w:tcBorders>
            <w:shd w:val="clear" w:color="auto" w:fill="005CA9"/>
            <w:noWrap/>
            <w:vAlign w:val="center"/>
          </w:tcPr>
          <w:p w14:paraId="37F09E96" w14:textId="033EF737" w:rsidR="00BC56E5" w:rsidRPr="000D76B8" w:rsidRDefault="00BC56E5" w:rsidP="00BC56E5">
            <w:pPr>
              <w:jc w:val="right"/>
              <w:rPr>
                <w:rFonts w:ascii="CAIXA Std Book" w:eastAsia="Times New Roman" w:hAnsi="CAIXA Std Book" w:cs="Calibri"/>
                <w:b/>
                <w:color w:val="FFFFFF"/>
                <w:sz w:val="18"/>
                <w:szCs w:val="18"/>
              </w:rPr>
            </w:pPr>
            <w:r>
              <w:rPr>
                <w:rFonts w:ascii="CAIXA Std Book" w:hAnsi="CAIXA Std Book" w:cs="Calibri"/>
                <w:b/>
                <w:bCs/>
                <w:color w:val="FFFFFF"/>
                <w:sz w:val="18"/>
                <w:szCs w:val="18"/>
              </w:rPr>
              <w:t>5.465.147</w:t>
            </w:r>
          </w:p>
        </w:tc>
        <w:tc>
          <w:tcPr>
            <w:tcW w:w="630" w:type="pct"/>
            <w:tcBorders>
              <w:top w:val="nil"/>
              <w:left w:val="nil"/>
              <w:bottom w:val="nil"/>
              <w:right w:val="nil"/>
            </w:tcBorders>
            <w:shd w:val="clear" w:color="auto" w:fill="005CA9"/>
            <w:noWrap/>
            <w:vAlign w:val="center"/>
          </w:tcPr>
          <w:p w14:paraId="2500BE3B" w14:textId="7D3F9D36" w:rsidR="00BC56E5" w:rsidRPr="000D76B8" w:rsidRDefault="00BC56E5" w:rsidP="00BC56E5">
            <w:pPr>
              <w:jc w:val="right"/>
              <w:rPr>
                <w:rFonts w:ascii="CAIXA Std Book" w:eastAsia="Times New Roman" w:hAnsi="CAIXA Std Book" w:cs="Calibri"/>
                <w:b/>
                <w:color w:val="FFFFFF"/>
                <w:sz w:val="18"/>
                <w:szCs w:val="18"/>
              </w:rPr>
            </w:pPr>
            <w:r>
              <w:rPr>
                <w:rFonts w:ascii="CAIXA Std Book" w:hAnsi="CAIXA Std Book" w:cs="Calibri"/>
                <w:b/>
                <w:bCs/>
                <w:color w:val="FFFFFF"/>
                <w:sz w:val="18"/>
                <w:szCs w:val="18"/>
              </w:rPr>
              <w:t>9.433.34</w:t>
            </w:r>
            <w:r w:rsidR="00D22ACF">
              <w:rPr>
                <w:rFonts w:ascii="CAIXA Std Book" w:hAnsi="CAIXA Std Book" w:cs="Calibri"/>
                <w:b/>
                <w:bCs/>
                <w:color w:val="FFFFFF"/>
                <w:sz w:val="18"/>
                <w:szCs w:val="18"/>
              </w:rPr>
              <w:t>1</w:t>
            </w:r>
          </w:p>
        </w:tc>
        <w:tc>
          <w:tcPr>
            <w:tcW w:w="631" w:type="pct"/>
            <w:tcBorders>
              <w:top w:val="nil"/>
              <w:left w:val="nil"/>
              <w:bottom w:val="nil"/>
              <w:right w:val="nil"/>
            </w:tcBorders>
            <w:shd w:val="clear" w:color="auto" w:fill="005CA9"/>
            <w:noWrap/>
            <w:vAlign w:val="center"/>
          </w:tcPr>
          <w:p w14:paraId="288E99D4" w14:textId="76E3CBEC" w:rsidR="00BC56E5" w:rsidRPr="000D76B8" w:rsidRDefault="00BC56E5" w:rsidP="00BC56E5">
            <w:pPr>
              <w:jc w:val="right"/>
              <w:rPr>
                <w:rFonts w:ascii="CAIXA Std Book" w:eastAsia="Times New Roman" w:hAnsi="CAIXA Std Book" w:cs="Calibri"/>
                <w:b/>
                <w:color w:val="FFFFFF"/>
                <w:sz w:val="18"/>
                <w:szCs w:val="18"/>
              </w:rPr>
            </w:pPr>
            <w:r>
              <w:rPr>
                <w:rFonts w:ascii="CAIXA Std Book" w:hAnsi="CAIXA Std Book" w:cs="Calibri"/>
                <w:b/>
                <w:bCs/>
                <w:color w:val="FFFFFF"/>
                <w:sz w:val="18"/>
                <w:szCs w:val="18"/>
              </w:rPr>
              <w:t>98.75</w:t>
            </w:r>
            <w:r w:rsidR="009F2C44">
              <w:rPr>
                <w:rFonts w:ascii="CAIXA Std Book" w:hAnsi="CAIXA Std Book" w:cs="Calibri"/>
                <w:b/>
                <w:bCs/>
                <w:color w:val="FFFFFF"/>
                <w:sz w:val="18"/>
                <w:szCs w:val="18"/>
              </w:rPr>
              <w:t>2.07</w:t>
            </w:r>
            <w:r w:rsidR="008E5294">
              <w:rPr>
                <w:rFonts w:ascii="CAIXA Std Book" w:hAnsi="CAIXA Std Book" w:cs="Calibri"/>
                <w:b/>
                <w:bCs/>
                <w:color w:val="FFFFFF"/>
                <w:sz w:val="18"/>
                <w:szCs w:val="18"/>
              </w:rPr>
              <w:t>8</w:t>
            </w:r>
          </w:p>
        </w:tc>
      </w:tr>
    </w:tbl>
    <w:p w14:paraId="189E88CD" w14:textId="6DA5AC67" w:rsidR="00702F34" w:rsidRDefault="00702F34">
      <w:pPr>
        <w:rPr>
          <w:rFonts w:ascii="CAIXA Std Book" w:eastAsia="Times New Roman" w:hAnsi="CAIXA Std Book" w:cs="Arial"/>
          <w:color w:val="005CA9"/>
          <w:sz w:val="16"/>
          <w:szCs w:val="16"/>
        </w:rPr>
      </w:pPr>
      <w:r>
        <w:rPr>
          <w:rFonts w:ascii="CAIXA Std Book" w:eastAsia="Times New Roman" w:hAnsi="CAIXA Std Book" w:cs="Arial"/>
          <w:color w:val="005CA9"/>
          <w:sz w:val="16"/>
          <w:szCs w:val="16"/>
        </w:rPr>
        <w:br w:type="page"/>
      </w:r>
    </w:p>
    <w:tbl>
      <w:tblPr>
        <w:tblW w:w="4983" w:type="pct"/>
        <w:tblInd w:w="-1" w:type="dxa"/>
        <w:tblCellMar>
          <w:left w:w="0" w:type="dxa"/>
          <w:right w:w="0" w:type="dxa"/>
        </w:tblCellMar>
        <w:tblLook w:val="04A0" w:firstRow="1" w:lastRow="0" w:firstColumn="1" w:lastColumn="0" w:noHBand="0" w:noVBand="1"/>
      </w:tblPr>
      <w:tblGrid>
        <w:gridCol w:w="5388"/>
        <w:gridCol w:w="1827"/>
        <w:gridCol w:w="1826"/>
        <w:gridCol w:w="1826"/>
        <w:gridCol w:w="1826"/>
        <w:gridCol w:w="1826"/>
      </w:tblGrid>
      <w:tr w:rsidR="009F6A79" w14:paraId="4657C0B9" w14:textId="77777777">
        <w:trPr>
          <w:trHeight w:val="283"/>
        </w:trPr>
        <w:tc>
          <w:tcPr>
            <w:tcW w:w="5000" w:type="pct"/>
            <w:gridSpan w:val="6"/>
            <w:tcBorders>
              <w:top w:val="nil"/>
              <w:left w:val="nil"/>
              <w:bottom w:val="single" w:sz="4" w:space="0" w:color="FFFFFF" w:themeColor="background1"/>
              <w:right w:val="nil"/>
            </w:tcBorders>
            <w:shd w:val="clear" w:color="auto" w:fill="005CA9"/>
            <w:vAlign w:val="center"/>
            <w:hideMark/>
          </w:tcPr>
          <w:p w14:paraId="17EBA64E" w14:textId="77777777" w:rsidR="009F6A79" w:rsidRPr="00817BD3" w:rsidRDefault="009F6A79">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Individual</w:t>
            </w:r>
          </w:p>
        </w:tc>
      </w:tr>
      <w:tr w:rsidR="009F6A79" w14:paraId="484F99D8" w14:textId="77777777">
        <w:trPr>
          <w:trHeight w:val="283"/>
        </w:trPr>
        <w:tc>
          <w:tcPr>
            <w:tcW w:w="1855" w:type="pct"/>
            <w:tcBorders>
              <w:top w:val="single" w:sz="4" w:space="0" w:color="FFFFFF" w:themeColor="background1"/>
              <w:left w:val="nil"/>
              <w:bottom w:val="nil"/>
              <w:right w:val="nil"/>
            </w:tcBorders>
            <w:shd w:val="clear" w:color="auto" w:fill="005CA9"/>
            <w:vAlign w:val="center"/>
            <w:hideMark/>
          </w:tcPr>
          <w:p w14:paraId="2F895080" w14:textId="77777777" w:rsidR="009F6A79" w:rsidRPr="00817BD3" w:rsidRDefault="009F6A79">
            <w:pPr>
              <w:jc w:val="center"/>
              <w:rPr>
                <w:rFonts w:ascii="CAIXA Std Book" w:hAnsi="CAIXA Std Book" w:cs="Calibri"/>
                <w:b/>
                <w:color w:val="FFFFFF"/>
                <w:sz w:val="18"/>
                <w:szCs w:val="18"/>
              </w:rPr>
            </w:pPr>
            <w:r w:rsidRPr="00817BD3">
              <w:rPr>
                <w:rFonts w:ascii="CAIXA Std Book" w:eastAsia="Times New Roman" w:hAnsi="CAIXA Std Book" w:cs="Calibri"/>
                <w:b/>
                <w:color w:val="FFFFFF"/>
                <w:sz w:val="18"/>
                <w:szCs w:val="18"/>
              </w:rPr>
              <w:t>Estágio</w:t>
            </w:r>
            <w:r w:rsidRPr="00817BD3">
              <w:rPr>
                <w:rFonts w:ascii="CAIXA Std Book" w:hAnsi="CAIXA Std Book" w:cs="Calibri"/>
                <w:b/>
                <w:color w:val="FFFFFF"/>
                <w:sz w:val="18"/>
                <w:szCs w:val="18"/>
              </w:rPr>
              <w:t xml:space="preserve"> 1 (1)</w:t>
            </w:r>
          </w:p>
        </w:tc>
        <w:tc>
          <w:tcPr>
            <w:tcW w:w="629" w:type="pct"/>
            <w:tcBorders>
              <w:top w:val="single" w:sz="4" w:space="0" w:color="FFFFFF" w:themeColor="background1"/>
              <w:left w:val="nil"/>
              <w:bottom w:val="nil"/>
              <w:right w:val="nil"/>
            </w:tcBorders>
            <w:shd w:val="clear" w:color="auto" w:fill="005CA9"/>
            <w:vAlign w:val="center"/>
            <w:hideMark/>
          </w:tcPr>
          <w:p w14:paraId="41E2096E" w14:textId="77777777" w:rsidR="009F6A79" w:rsidRPr="00817BD3" w:rsidRDefault="009F6A79">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Saldo em 01/01/2025</w:t>
            </w:r>
          </w:p>
        </w:tc>
        <w:tc>
          <w:tcPr>
            <w:tcW w:w="629" w:type="pct"/>
            <w:tcBorders>
              <w:top w:val="single" w:sz="4" w:space="0" w:color="FFFFFF" w:themeColor="background1"/>
              <w:left w:val="nil"/>
              <w:bottom w:val="nil"/>
              <w:right w:val="nil"/>
            </w:tcBorders>
            <w:shd w:val="clear" w:color="auto" w:fill="005CA9"/>
            <w:vAlign w:val="center"/>
            <w:hideMark/>
          </w:tcPr>
          <w:p w14:paraId="17908D04" w14:textId="77777777" w:rsidR="009F6A79" w:rsidRPr="00817BD3" w:rsidRDefault="009F6A79">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Con</w:t>
            </w:r>
            <w:r>
              <w:rPr>
                <w:rFonts w:ascii="CAIXA Std Book" w:hAnsi="CAIXA Std Book" w:cs="Calibri"/>
                <w:b/>
                <w:color w:val="FFFFFF"/>
                <w:sz w:val="18"/>
                <w:szCs w:val="18"/>
              </w:rPr>
              <w:t>stituição</w:t>
            </w:r>
            <w:r w:rsidRPr="00817BD3">
              <w:rPr>
                <w:rFonts w:ascii="CAIXA Std Book" w:hAnsi="CAIXA Std Book" w:cs="Calibri"/>
                <w:b/>
                <w:color w:val="FFFFFF"/>
                <w:sz w:val="18"/>
                <w:szCs w:val="18"/>
              </w:rPr>
              <w:t xml:space="preserve">/ </w:t>
            </w:r>
            <w:r>
              <w:rPr>
                <w:rFonts w:ascii="CAIXA Std Book" w:hAnsi="CAIXA Std Book" w:cs="Calibri"/>
                <w:b/>
                <w:color w:val="FFFFFF"/>
                <w:sz w:val="18"/>
                <w:szCs w:val="18"/>
              </w:rPr>
              <w:t>(</w:t>
            </w:r>
            <w:r w:rsidRPr="00817BD3">
              <w:rPr>
                <w:rFonts w:ascii="CAIXA Std Book" w:hAnsi="CAIXA Std Book" w:cs="Calibri"/>
                <w:b/>
                <w:color w:val="FFFFFF"/>
                <w:sz w:val="18"/>
                <w:szCs w:val="18"/>
              </w:rPr>
              <w:t>liquidação</w:t>
            </w:r>
            <w:r>
              <w:rPr>
                <w:rFonts w:ascii="CAIXA Std Book" w:hAnsi="CAIXA Std Book" w:cs="Calibri"/>
                <w:b/>
                <w:color w:val="FFFFFF"/>
                <w:sz w:val="18"/>
                <w:szCs w:val="18"/>
              </w:rPr>
              <w:t>)</w:t>
            </w:r>
          </w:p>
        </w:tc>
        <w:tc>
          <w:tcPr>
            <w:tcW w:w="629" w:type="pct"/>
            <w:tcBorders>
              <w:top w:val="single" w:sz="4" w:space="0" w:color="FFFFFF" w:themeColor="background1"/>
              <w:left w:val="nil"/>
              <w:bottom w:val="nil"/>
              <w:right w:val="nil"/>
            </w:tcBorders>
            <w:shd w:val="clear" w:color="auto" w:fill="005CA9"/>
            <w:vAlign w:val="center"/>
            <w:hideMark/>
          </w:tcPr>
          <w:p w14:paraId="1F7E93F1" w14:textId="77777777" w:rsidR="009F6A79" w:rsidRPr="00817BD3" w:rsidRDefault="009F6A79">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Transferência do/</w:t>
            </w:r>
          </w:p>
          <w:p w14:paraId="55FE54F3" w14:textId="77777777" w:rsidR="009F6A79" w:rsidRPr="00817BD3" w:rsidRDefault="009F6A79">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para o estágio 2</w:t>
            </w:r>
          </w:p>
        </w:tc>
        <w:tc>
          <w:tcPr>
            <w:tcW w:w="629" w:type="pct"/>
            <w:tcBorders>
              <w:top w:val="single" w:sz="4" w:space="0" w:color="FFFFFF" w:themeColor="background1"/>
              <w:left w:val="nil"/>
              <w:bottom w:val="nil"/>
              <w:right w:val="nil"/>
            </w:tcBorders>
            <w:shd w:val="clear" w:color="auto" w:fill="005CA9"/>
            <w:vAlign w:val="center"/>
            <w:hideMark/>
          </w:tcPr>
          <w:p w14:paraId="190DC44C" w14:textId="77777777" w:rsidR="009F6A79" w:rsidRPr="00817BD3" w:rsidRDefault="009F6A79">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Transferência do/</w:t>
            </w:r>
          </w:p>
          <w:p w14:paraId="40305F2B" w14:textId="77777777" w:rsidR="009F6A79" w:rsidRPr="00817BD3" w:rsidRDefault="009F6A79">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para estágio 3</w:t>
            </w:r>
          </w:p>
        </w:tc>
        <w:tc>
          <w:tcPr>
            <w:tcW w:w="629" w:type="pct"/>
            <w:tcBorders>
              <w:top w:val="single" w:sz="4" w:space="0" w:color="FFFFFF" w:themeColor="background1"/>
              <w:left w:val="nil"/>
              <w:bottom w:val="nil"/>
              <w:right w:val="nil"/>
            </w:tcBorders>
            <w:shd w:val="clear" w:color="auto" w:fill="005CA9"/>
            <w:vAlign w:val="center"/>
            <w:hideMark/>
          </w:tcPr>
          <w:p w14:paraId="1ABFBA02" w14:textId="77777777" w:rsidR="009F6A79" w:rsidRPr="00817BD3" w:rsidRDefault="009F6A79">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 xml:space="preserve">Saldo em </w:t>
            </w:r>
            <w:r>
              <w:rPr>
                <w:rFonts w:ascii="CAIXA Std Book" w:hAnsi="CAIXA Std Book" w:cs="Calibri"/>
                <w:b/>
                <w:color w:val="FFFFFF"/>
                <w:sz w:val="18"/>
                <w:szCs w:val="18"/>
              </w:rPr>
              <w:t>31/12/2025</w:t>
            </w:r>
          </w:p>
        </w:tc>
      </w:tr>
      <w:tr w:rsidR="009F6A79" w14:paraId="2CD41DD4" w14:textId="77777777">
        <w:trPr>
          <w:trHeight w:val="283"/>
        </w:trPr>
        <w:tc>
          <w:tcPr>
            <w:tcW w:w="1855" w:type="pct"/>
            <w:tcBorders>
              <w:top w:val="nil"/>
              <w:left w:val="nil"/>
              <w:bottom w:val="nil"/>
              <w:right w:val="nil"/>
            </w:tcBorders>
            <w:noWrap/>
            <w:vAlign w:val="center"/>
            <w:hideMark/>
          </w:tcPr>
          <w:p w14:paraId="30CDD95F" w14:textId="77777777" w:rsidR="009F6A79" w:rsidRPr="00817BD3" w:rsidRDefault="009F6A79">
            <w:pPr>
              <w:rPr>
                <w:rFonts w:ascii="CAIXA Std Book" w:hAnsi="CAIXA Std Book" w:cs="Calibri"/>
                <w:color w:val="005CA9"/>
                <w:sz w:val="18"/>
                <w:szCs w:val="18"/>
              </w:rPr>
            </w:pPr>
            <w:r w:rsidRPr="00817BD3">
              <w:rPr>
                <w:rFonts w:ascii="CAIXA Std Book" w:hAnsi="CAIXA Std Book" w:cs="Calibri"/>
                <w:color w:val="005CA9"/>
                <w:sz w:val="18"/>
                <w:szCs w:val="18"/>
              </w:rPr>
              <w:t>Empréstimos e direitos creditórios descontados</w:t>
            </w:r>
          </w:p>
        </w:tc>
        <w:tc>
          <w:tcPr>
            <w:tcW w:w="629" w:type="pct"/>
            <w:tcBorders>
              <w:top w:val="nil"/>
              <w:left w:val="nil"/>
              <w:bottom w:val="nil"/>
              <w:right w:val="nil"/>
            </w:tcBorders>
            <w:noWrap/>
            <w:vAlign w:val="center"/>
            <w:hideMark/>
          </w:tcPr>
          <w:p w14:paraId="6418EC8C" w14:textId="77777777" w:rsidR="009F6A79" w:rsidRPr="00DD4F9E" w:rsidRDefault="009F6A79">
            <w:pPr>
              <w:jc w:val="right"/>
              <w:rPr>
                <w:rFonts w:ascii="CAIXA Std Book" w:hAnsi="CAIXA Std Book" w:cs="Calibri"/>
                <w:color w:val="005CA9"/>
                <w:sz w:val="18"/>
                <w:szCs w:val="18"/>
              </w:rPr>
            </w:pPr>
            <w:r w:rsidRPr="00DD4F9E">
              <w:rPr>
                <w:rFonts w:ascii="CAIXA Std Book" w:hAnsi="CAIXA Std Book" w:cs="Calibri"/>
                <w:color w:val="005CA9"/>
                <w:sz w:val="18"/>
                <w:szCs w:val="18"/>
              </w:rPr>
              <w:t>168.993.688</w:t>
            </w:r>
          </w:p>
        </w:tc>
        <w:tc>
          <w:tcPr>
            <w:tcW w:w="629" w:type="pct"/>
            <w:tcBorders>
              <w:top w:val="nil"/>
              <w:left w:val="nil"/>
              <w:bottom w:val="nil"/>
              <w:right w:val="nil"/>
            </w:tcBorders>
            <w:shd w:val="clear" w:color="000000" w:fill="FFFFFF"/>
            <w:vAlign w:val="center"/>
          </w:tcPr>
          <w:p w14:paraId="2B37AB4D" w14:textId="3A8B6669" w:rsidR="009F6A79" w:rsidRPr="00DD4F9E" w:rsidRDefault="00014FDA">
            <w:pPr>
              <w:jc w:val="right"/>
              <w:rPr>
                <w:rFonts w:ascii="CAIXA Std Book" w:hAnsi="CAIXA Std Book" w:cs="Calibri"/>
                <w:color w:val="005CA9"/>
                <w:sz w:val="18"/>
                <w:szCs w:val="18"/>
              </w:rPr>
            </w:pPr>
            <w:r w:rsidRPr="002D5D88">
              <w:rPr>
                <w:rFonts w:ascii="CAIXA Std Book" w:hAnsi="CAIXA Std Book" w:cs="Calibri"/>
                <w:color w:val="005CA9"/>
                <w:sz w:val="18"/>
                <w:szCs w:val="18"/>
              </w:rPr>
              <w:t>24.746.</w:t>
            </w:r>
            <w:r>
              <w:rPr>
                <w:rFonts w:ascii="CAIXA Std Book" w:hAnsi="CAIXA Std Book" w:cs="Calibri"/>
                <w:color w:val="005CA9"/>
                <w:sz w:val="18"/>
                <w:szCs w:val="18"/>
              </w:rPr>
              <w:t>681</w:t>
            </w:r>
          </w:p>
        </w:tc>
        <w:tc>
          <w:tcPr>
            <w:tcW w:w="629" w:type="pct"/>
            <w:tcBorders>
              <w:top w:val="nil"/>
              <w:left w:val="nil"/>
              <w:bottom w:val="nil"/>
              <w:right w:val="nil"/>
            </w:tcBorders>
            <w:vAlign w:val="center"/>
          </w:tcPr>
          <w:p w14:paraId="11B366CB" w14:textId="2ED587D3" w:rsidR="009F6A79" w:rsidRPr="00DD4F9E" w:rsidRDefault="00014FDA">
            <w:pPr>
              <w:jc w:val="right"/>
              <w:rPr>
                <w:rFonts w:ascii="CAIXA Std Book" w:hAnsi="CAIXA Std Book" w:cs="Calibri"/>
                <w:color w:val="005CA9"/>
                <w:sz w:val="18"/>
                <w:szCs w:val="18"/>
              </w:rPr>
            </w:pPr>
            <w:r>
              <w:rPr>
                <w:rFonts w:ascii="CAIXA Std Book" w:hAnsi="CAIXA Std Book" w:cs="Calibri"/>
                <w:color w:val="005CA9"/>
                <w:sz w:val="18"/>
                <w:szCs w:val="18"/>
              </w:rPr>
              <w:t>9.259.105</w:t>
            </w:r>
          </w:p>
        </w:tc>
        <w:tc>
          <w:tcPr>
            <w:tcW w:w="629" w:type="pct"/>
            <w:tcBorders>
              <w:top w:val="nil"/>
              <w:left w:val="nil"/>
              <w:bottom w:val="nil"/>
              <w:right w:val="nil"/>
            </w:tcBorders>
            <w:noWrap/>
            <w:vAlign w:val="center"/>
          </w:tcPr>
          <w:p w14:paraId="2A7B279B" w14:textId="3397F66B" w:rsidR="009F6A79" w:rsidRPr="00DD4F9E" w:rsidRDefault="00014FDA">
            <w:pPr>
              <w:jc w:val="right"/>
              <w:rPr>
                <w:rFonts w:ascii="CAIXA Std Book" w:hAnsi="CAIXA Std Book" w:cs="Calibri"/>
                <w:color w:val="005CA9"/>
                <w:sz w:val="18"/>
                <w:szCs w:val="18"/>
              </w:rPr>
            </w:pPr>
            <w:r>
              <w:rPr>
                <w:rFonts w:ascii="CAIXA Std Book" w:hAnsi="CAIXA Std Book" w:cs="Calibri"/>
                <w:color w:val="005CA9"/>
                <w:sz w:val="18"/>
                <w:szCs w:val="18"/>
              </w:rPr>
              <w:t>(6.758.151)</w:t>
            </w:r>
          </w:p>
        </w:tc>
        <w:tc>
          <w:tcPr>
            <w:tcW w:w="629" w:type="pct"/>
            <w:tcBorders>
              <w:top w:val="nil"/>
              <w:left w:val="nil"/>
              <w:bottom w:val="nil"/>
              <w:right w:val="nil"/>
            </w:tcBorders>
            <w:noWrap/>
            <w:vAlign w:val="center"/>
          </w:tcPr>
          <w:p w14:paraId="51AB1F14" w14:textId="7851B81E" w:rsidR="009F6A79" w:rsidRPr="00DD4F9E" w:rsidRDefault="00014FDA">
            <w:pPr>
              <w:ind w:right="111"/>
              <w:jc w:val="right"/>
              <w:rPr>
                <w:rFonts w:ascii="CAIXA Std Book" w:hAnsi="CAIXA Std Book" w:cs="Calibri"/>
                <w:color w:val="005CA9"/>
                <w:sz w:val="18"/>
                <w:szCs w:val="18"/>
              </w:rPr>
            </w:pPr>
            <w:r>
              <w:rPr>
                <w:rFonts w:ascii="CAIXA Std Book" w:hAnsi="CAIXA Std Book" w:cs="Calibri"/>
                <w:color w:val="005CA9"/>
                <w:sz w:val="18"/>
                <w:szCs w:val="18"/>
              </w:rPr>
              <w:t>196.241.323</w:t>
            </w:r>
          </w:p>
        </w:tc>
      </w:tr>
      <w:tr w:rsidR="009F6A79" w14:paraId="1AEB59DB" w14:textId="77777777">
        <w:trPr>
          <w:trHeight w:val="283"/>
        </w:trPr>
        <w:tc>
          <w:tcPr>
            <w:tcW w:w="1855" w:type="pct"/>
            <w:tcBorders>
              <w:top w:val="nil"/>
              <w:left w:val="nil"/>
              <w:bottom w:val="nil"/>
              <w:right w:val="nil"/>
            </w:tcBorders>
            <w:noWrap/>
            <w:vAlign w:val="center"/>
            <w:hideMark/>
          </w:tcPr>
          <w:p w14:paraId="60892681" w14:textId="77777777" w:rsidR="009F6A79" w:rsidRPr="00817BD3" w:rsidRDefault="009F6A79">
            <w:pPr>
              <w:rPr>
                <w:rFonts w:ascii="CAIXA Std Book" w:hAnsi="CAIXA Std Book" w:cs="Calibri"/>
                <w:color w:val="005CA9"/>
                <w:sz w:val="18"/>
                <w:szCs w:val="18"/>
              </w:rPr>
            </w:pPr>
            <w:r w:rsidRPr="00817BD3">
              <w:rPr>
                <w:rFonts w:ascii="CAIXA Std Book" w:hAnsi="CAIXA Std Book" w:cs="Calibri"/>
                <w:color w:val="005CA9"/>
                <w:sz w:val="18"/>
                <w:szCs w:val="18"/>
              </w:rPr>
              <w:t>Financiamentos</w:t>
            </w:r>
          </w:p>
        </w:tc>
        <w:tc>
          <w:tcPr>
            <w:tcW w:w="629" w:type="pct"/>
            <w:tcBorders>
              <w:top w:val="nil"/>
              <w:left w:val="nil"/>
              <w:bottom w:val="nil"/>
              <w:right w:val="nil"/>
            </w:tcBorders>
            <w:noWrap/>
            <w:vAlign w:val="center"/>
            <w:hideMark/>
          </w:tcPr>
          <w:p w14:paraId="08971090" w14:textId="77777777" w:rsidR="009F6A79" w:rsidRPr="00DD4F9E" w:rsidRDefault="009F6A79">
            <w:pPr>
              <w:jc w:val="right"/>
              <w:rPr>
                <w:rFonts w:ascii="CAIXA Std Book" w:hAnsi="CAIXA Std Book" w:cs="Calibri"/>
                <w:color w:val="005CA9"/>
                <w:sz w:val="18"/>
                <w:szCs w:val="18"/>
              </w:rPr>
            </w:pPr>
            <w:r w:rsidRPr="00DD4F9E">
              <w:rPr>
                <w:rFonts w:ascii="CAIXA Std Book" w:hAnsi="CAIXA Std Book" w:cs="Calibri"/>
                <w:color w:val="005CA9"/>
                <w:sz w:val="18"/>
                <w:szCs w:val="18"/>
              </w:rPr>
              <w:t>7.910.356</w:t>
            </w:r>
          </w:p>
        </w:tc>
        <w:tc>
          <w:tcPr>
            <w:tcW w:w="629" w:type="pct"/>
            <w:tcBorders>
              <w:top w:val="nil"/>
              <w:left w:val="nil"/>
              <w:bottom w:val="nil"/>
              <w:right w:val="nil"/>
            </w:tcBorders>
            <w:shd w:val="clear" w:color="000000" w:fill="FFFFFF"/>
            <w:vAlign w:val="center"/>
          </w:tcPr>
          <w:p w14:paraId="266314CB" w14:textId="1D615C8A" w:rsidR="009F6A79" w:rsidRPr="00DD4F9E" w:rsidRDefault="00014FDA">
            <w:pPr>
              <w:jc w:val="right"/>
              <w:rPr>
                <w:rFonts w:ascii="CAIXA Std Book" w:hAnsi="CAIXA Std Book" w:cs="Calibri"/>
                <w:color w:val="005CA9"/>
                <w:sz w:val="18"/>
                <w:szCs w:val="18"/>
              </w:rPr>
            </w:pPr>
            <w:r>
              <w:rPr>
                <w:rFonts w:ascii="CAIXA Std Book" w:hAnsi="CAIXA Std Book" w:cs="Calibri"/>
                <w:color w:val="005CA9"/>
                <w:sz w:val="18"/>
                <w:szCs w:val="18"/>
              </w:rPr>
              <w:t>3.893.960</w:t>
            </w:r>
          </w:p>
        </w:tc>
        <w:tc>
          <w:tcPr>
            <w:tcW w:w="629" w:type="pct"/>
            <w:tcBorders>
              <w:top w:val="nil"/>
              <w:left w:val="nil"/>
              <w:bottom w:val="nil"/>
              <w:right w:val="nil"/>
            </w:tcBorders>
            <w:vAlign w:val="center"/>
          </w:tcPr>
          <w:p w14:paraId="4221773A" w14:textId="056E78A7" w:rsidR="009F6A79" w:rsidRPr="00DD4F9E" w:rsidRDefault="00014FDA">
            <w:pPr>
              <w:jc w:val="right"/>
              <w:rPr>
                <w:rFonts w:ascii="CAIXA Std Book" w:hAnsi="CAIXA Std Book" w:cs="Calibri"/>
                <w:color w:val="005CA9"/>
                <w:sz w:val="18"/>
                <w:szCs w:val="18"/>
              </w:rPr>
            </w:pPr>
            <w:r>
              <w:rPr>
                <w:rFonts w:ascii="CAIXA Std Book" w:hAnsi="CAIXA Std Book" w:cs="Calibri"/>
                <w:color w:val="005CA9"/>
                <w:sz w:val="18"/>
                <w:szCs w:val="18"/>
              </w:rPr>
              <w:t>(80.365)</w:t>
            </w:r>
          </w:p>
        </w:tc>
        <w:tc>
          <w:tcPr>
            <w:tcW w:w="629" w:type="pct"/>
            <w:tcBorders>
              <w:top w:val="nil"/>
              <w:left w:val="nil"/>
              <w:bottom w:val="nil"/>
              <w:right w:val="nil"/>
            </w:tcBorders>
            <w:noWrap/>
            <w:vAlign w:val="center"/>
          </w:tcPr>
          <w:p w14:paraId="18E7D0DA" w14:textId="6B04EF21" w:rsidR="009F6A79" w:rsidRPr="00DD4F9E" w:rsidRDefault="00014FDA">
            <w:pPr>
              <w:jc w:val="right"/>
              <w:rPr>
                <w:rFonts w:ascii="CAIXA Std Book" w:hAnsi="CAIXA Std Book" w:cs="Calibri"/>
                <w:color w:val="005CA9"/>
                <w:sz w:val="18"/>
                <w:szCs w:val="18"/>
              </w:rPr>
            </w:pPr>
            <w:r>
              <w:rPr>
                <w:rFonts w:ascii="CAIXA Std Book" w:hAnsi="CAIXA Std Book" w:cs="Calibri"/>
                <w:color w:val="005CA9"/>
                <w:sz w:val="18"/>
                <w:szCs w:val="18"/>
              </w:rPr>
              <w:t>(350.639)</w:t>
            </w:r>
          </w:p>
        </w:tc>
        <w:tc>
          <w:tcPr>
            <w:tcW w:w="629" w:type="pct"/>
            <w:tcBorders>
              <w:top w:val="nil"/>
              <w:left w:val="nil"/>
              <w:bottom w:val="nil"/>
              <w:right w:val="nil"/>
            </w:tcBorders>
            <w:noWrap/>
            <w:vAlign w:val="center"/>
          </w:tcPr>
          <w:p w14:paraId="1043FA70" w14:textId="14D251D4" w:rsidR="009F6A79" w:rsidRPr="00DD4F9E" w:rsidRDefault="00014FDA">
            <w:pPr>
              <w:ind w:right="111"/>
              <w:jc w:val="right"/>
              <w:rPr>
                <w:rFonts w:ascii="CAIXA Std Book" w:hAnsi="CAIXA Std Book" w:cs="Calibri"/>
                <w:color w:val="005CA9"/>
                <w:sz w:val="18"/>
                <w:szCs w:val="18"/>
              </w:rPr>
            </w:pPr>
            <w:r>
              <w:rPr>
                <w:rFonts w:ascii="CAIXA Std Book" w:hAnsi="CAIXA Std Book" w:cs="Calibri"/>
                <w:color w:val="005CA9"/>
                <w:sz w:val="18"/>
                <w:szCs w:val="18"/>
              </w:rPr>
              <w:t>11.373.312</w:t>
            </w:r>
          </w:p>
        </w:tc>
      </w:tr>
      <w:tr w:rsidR="009F6A79" w14:paraId="38E9ECEE" w14:textId="77777777">
        <w:trPr>
          <w:trHeight w:val="283"/>
        </w:trPr>
        <w:tc>
          <w:tcPr>
            <w:tcW w:w="1855" w:type="pct"/>
            <w:tcBorders>
              <w:top w:val="nil"/>
              <w:left w:val="nil"/>
              <w:bottom w:val="nil"/>
              <w:right w:val="nil"/>
            </w:tcBorders>
            <w:noWrap/>
            <w:vAlign w:val="center"/>
            <w:hideMark/>
          </w:tcPr>
          <w:p w14:paraId="51E2DEC1" w14:textId="77777777" w:rsidR="009F6A79" w:rsidRPr="00817BD3" w:rsidRDefault="009F6A79">
            <w:pPr>
              <w:rPr>
                <w:rFonts w:ascii="CAIXA Std Book" w:hAnsi="CAIXA Std Book" w:cs="Calibri"/>
                <w:color w:val="005CA9"/>
                <w:sz w:val="18"/>
                <w:szCs w:val="18"/>
              </w:rPr>
            </w:pPr>
            <w:r w:rsidRPr="00817BD3">
              <w:rPr>
                <w:rFonts w:ascii="CAIXA Std Book" w:hAnsi="CAIXA Std Book" w:cs="Calibri"/>
                <w:color w:val="005CA9"/>
                <w:sz w:val="18"/>
                <w:szCs w:val="18"/>
              </w:rPr>
              <w:t>Financiamentos rurais</w:t>
            </w:r>
          </w:p>
        </w:tc>
        <w:tc>
          <w:tcPr>
            <w:tcW w:w="629" w:type="pct"/>
            <w:tcBorders>
              <w:top w:val="nil"/>
              <w:left w:val="nil"/>
              <w:bottom w:val="nil"/>
              <w:right w:val="nil"/>
            </w:tcBorders>
            <w:noWrap/>
            <w:vAlign w:val="center"/>
            <w:hideMark/>
          </w:tcPr>
          <w:p w14:paraId="078874CC" w14:textId="77777777" w:rsidR="009F6A79" w:rsidRPr="00DD4F9E" w:rsidRDefault="009F6A79">
            <w:pPr>
              <w:jc w:val="right"/>
              <w:rPr>
                <w:rFonts w:ascii="CAIXA Std Book" w:hAnsi="CAIXA Std Book" w:cs="Calibri"/>
                <w:color w:val="005CA9"/>
                <w:sz w:val="18"/>
                <w:szCs w:val="18"/>
              </w:rPr>
            </w:pPr>
            <w:r w:rsidRPr="00DD4F9E">
              <w:rPr>
                <w:rFonts w:ascii="CAIXA Std Book" w:hAnsi="CAIXA Std Book" w:cs="Calibri"/>
                <w:color w:val="005CA9"/>
                <w:sz w:val="18"/>
                <w:szCs w:val="18"/>
              </w:rPr>
              <w:t>57.442.005</w:t>
            </w:r>
          </w:p>
        </w:tc>
        <w:tc>
          <w:tcPr>
            <w:tcW w:w="629" w:type="pct"/>
            <w:tcBorders>
              <w:top w:val="nil"/>
              <w:left w:val="nil"/>
              <w:bottom w:val="nil"/>
              <w:right w:val="nil"/>
            </w:tcBorders>
            <w:shd w:val="clear" w:color="000000" w:fill="FFFFFF"/>
            <w:vAlign w:val="center"/>
          </w:tcPr>
          <w:p w14:paraId="18F5720E" w14:textId="24EE62F4" w:rsidR="009F6A79" w:rsidRPr="00DD4F9E" w:rsidRDefault="00014FDA">
            <w:pPr>
              <w:jc w:val="right"/>
              <w:rPr>
                <w:rFonts w:ascii="CAIXA Std Book" w:hAnsi="CAIXA Std Book" w:cs="Calibri"/>
                <w:color w:val="005CA9"/>
                <w:sz w:val="18"/>
                <w:szCs w:val="18"/>
              </w:rPr>
            </w:pPr>
            <w:r>
              <w:rPr>
                <w:rFonts w:ascii="CAIXA Std Book" w:hAnsi="CAIXA Std Book" w:cs="Calibri"/>
                <w:color w:val="005CA9"/>
                <w:sz w:val="18"/>
                <w:szCs w:val="18"/>
              </w:rPr>
              <w:t>(584.814)</w:t>
            </w:r>
          </w:p>
        </w:tc>
        <w:tc>
          <w:tcPr>
            <w:tcW w:w="629" w:type="pct"/>
            <w:tcBorders>
              <w:top w:val="nil"/>
              <w:left w:val="nil"/>
              <w:bottom w:val="nil"/>
              <w:right w:val="nil"/>
            </w:tcBorders>
            <w:vAlign w:val="center"/>
          </w:tcPr>
          <w:p w14:paraId="1B25428E" w14:textId="68884B93" w:rsidR="009F6A79" w:rsidRPr="00DD4F9E" w:rsidRDefault="00014FDA">
            <w:pPr>
              <w:jc w:val="right"/>
              <w:rPr>
                <w:rFonts w:ascii="CAIXA Std Book" w:hAnsi="CAIXA Std Book" w:cs="Calibri"/>
                <w:color w:val="005CA9"/>
                <w:sz w:val="18"/>
                <w:szCs w:val="18"/>
              </w:rPr>
            </w:pPr>
            <w:r>
              <w:rPr>
                <w:rFonts w:ascii="CAIXA Std Book" w:hAnsi="CAIXA Std Book" w:cs="Calibri"/>
                <w:color w:val="005CA9"/>
                <w:sz w:val="18"/>
                <w:szCs w:val="18"/>
              </w:rPr>
              <w:t>(2.361.887)</w:t>
            </w:r>
          </w:p>
        </w:tc>
        <w:tc>
          <w:tcPr>
            <w:tcW w:w="629" w:type="pct"/>
            <w:tcBorders>
              <w:top w:val="nil"/>
              <w:left w:val="nil"/>
              <w:bottom w:val="nil"/>
              <w:right w:val="nil"/>
            </w:tcBorders>
            <w:noWrap/>
            <w:vAlign w:val="center"/>
          </w:tcPr>
          <w:p w14:paraId="7F76EF4A" w14:textId="5077A36C" w:rsidR="009F6A79" w:rsidRPr="00DD4F9E" w:rsidRDefault="00014FDA">
            <w:pPr>
              <w:jc w:val="right"/>
              <w:rPr>
                <w:rFonts w:ascii="CAIXA Std Book" w:hAnsi="CAIXA Std Book" w:cs="Calibri"/>
                <w:color w:val="005CA9"/>
                <w:sz w:val="18"/>
                <w:szCs w:val="18"/>
              </w:rPr>
            </w:pPr>
            <w:r>
              <w:rPr>
                <w:rFonts w:ascii="CAIXA Std Book" w:hAnsi="CAIXA Std Book" w:cs="Calibri"/>
                <w:color w:val="005CA9"/>
                <w:sz w:val="18"/>
                <w:szCs w:val="18"/>
              </w:rPr>
              <w:t>(6.224.495)</w:t>
            </w:r>
          </w:p>
        </w:tc>
        <w:tc>
          <w:tcPr>
            <w:tcW w:w="629" w:type="pct"/>
            <w:tcBorders>
              <w:top w:val="nil"/>
              <w:left w:val="nil"/>
              <w:bottom w:val="nil"/>
              <w:right w:val="nil"/>
            </w:tcBorders>
            <w:noWrap/>
            <w:vAlign w:val="center"/>
          </w:tcPr>
          <w:p w14:paraId="10C6E272" w14:textId="613DD5D3" w:rsidR="009F6A79" w:rsidRPr="00DD4F9E" w:rsidRDefault="00014FDA">
            <w:pPr>
              <w:ind w:right="111"/>
              <w:jc w:val="right"/>
              <w:rPr>
                <w:rFonts w:ascii="CAIXA Std Book" w:hAnsi="CAIXA Std Book" w:cs="Calibri"/>
                <w:color w:val="005CA9"/>
                <w:sz w:val="18"/>
                <w:szCs w:val="18"/>
              </w:rPr>
            </w:pPr>
            <w:r>
              <w:rPr>
                <w:rFonts w:ascii="CAIXA Std Book" w:hAnsi="CAIXA Std Book" w:cs="Calibri"/>
                <w:color w:val="005CA9"/>
                <w:sz w:val="18"/>
                <w:szCs w:val="18"/>
              </w:rPr>
              <w:t>48.270.809</w:t>
            </w:r>
          </w:p>
        </w:tc>
      </w:tr>
      <w:tr w:rsidR="009F6A79" w14:paraId="2C9950FF" w14:textId="77777777">
        <w:trPr>
          <w:trHeight w:val="283"/>
        </w:trPr>
        <w:tc>
          <w:tcPr>
            <w:tcW w:w="1855" w:type="pct"/>
            <w:tcBorders>
              <w:top w:val="nil"/>
              <w:left w:val="nil"/>
              <w:bottom w:val="nil"/>
              <w:right w:val="nil"/>
            </w:tcBorders>
            <w:noWrap/>
            <w:vAlign w:val="center"/>
            <w:hideMark/>
          </w:tcPr>
          <w:p w14:paraId="0133452D" w14:textId="77777777" w:rsidR="009F6A79" w:rsidRPr="00817BD3" w:rsidRDefault="009F6A79">
            <w:pPr>
              <w:rPr>
                <w:rFonts w:ascii="CAIXA Std Book" w:hAnsi="CAIXA Std Book" w:cs="Calibri"/>
                <w:color w:val="005CA9"/>
                <w:sz w:val="18"/>
                <w:szCs w:val="18"/>
              </w:rPr>
            </w:pPr>
            <w:r w:rsidRPr="00817BD3">
              <w:rPr>
                <w:rFonts w:ascii="CAIXA Std Book" w:hAnsi="CAIXA Std Book" w:cs="Calibri"/>
                <w:color w:val="005CA9"/>
                <w:sz w:val="18"/>
                <w:szCs w:val="18"/>
              </w:rPr>
              <w:t>Financiamentos imobiliários</w:t>
            </w:r>
          </w:p>
        </w:tc>
        <w:tc>
          <w:tcPr>
            <w:tcW w:w="629" w:type="pct"/>
            <w:tcBorders>
              <w:top w:val="nil"/>
              <w:left w:val="nil"/>
              <w:bottom w:val="nil"/>
              <w:right w:val="nil"/>
            </w:tcBorders>
            <w:noWrap/>
            <w:vAlign w:val="center"/>
            <w:hideMark/>
          </w:tcPr>
          <w:p w14:paraId="26F1733D" w14:textId="77777777" w:rsidR="009F6A79" w:rsidRPr="00DD4F9E" w:rsidRDefault="009F6A79">
            <w:pPr>
              <w:jc w:val="right"/>
              <w:rPr>
                <w:rFonts w:ascii="CAIXA Std Book" w:hAnsi="CAIXA Std Book" w:cs="Calibri"/>
                <w:color w:val="005CA9"/>
                <w:sz w:val="18"/>
                <w:szCs w:val="18"/>
              </w:rPr>
            </w:pPr>
            <w:r w:rsidRPr="00DD4F9E">
              <w:rPr>
                <w:rFonts w:ascii="CAIXA Std Book" w:hAnsi="CAIXA Std Book" w:cs="Calibri"/>
                <w:color w:val="005CA9"/>
                <w:sz w:val="18"/>
                <w:szCs w:val="18"/>
              </w:rPr>
              <w:t>786.474.231</w:t>
            </w:r>
          </w:p>
        </w:tc>
        <w:tc>
          <w:tcPr>
            <w:tcW w:w="629" w:type="pct"/>
            <w:tcBorders>
              <w:top w:val="nil"/>
              <w:left w:val="nil"/>
              <w:bottom w:val="nil"/>
              <w:right w:val="nil"/>
            </w:tcBorders>
            <w:shd w:val="clear" w:color="000000" w:fill="FFFFFF"/>
            <w:vAlign w:val="center"/>
          </w:tcPr>
          <w:p w14:paraId="17DEC53A" w14:textId="00D01256" w:rsidR="009F6A79" w:rsidRPr="00DD4F9E" w:rsidRDefault="00014FDA">
            <w:pPr>
              <w:jc w:val="right"/>
              <w:rPr>
                <w:rFonts w:ascii="CAIXA Std Book" w:hAnsi="CAIXA Std Book" w:cs="Calibri"/>
                <w:color w:val="005CA9"/>
                <w:sz w:val="18"/>
                <w:szCs w:val="18"/>
              </w:rPr>
            </w:pPr>
            <w:r w:rsidRPr="002D5D88">
              <w:rPr>
                <w:rFonts w:ascii="CAIXA Std Book" w:hAnsi="CAIXA Std Book" w:cs="Calibri"/>
                <w:color w:val="005CA9"/>
                <w:sz w:val="18"/>
                <w:szCs w:val="18"/>
              </w:rPr>
              <w:t>107.941.089</w:t>
            </w:r>
          </w:p>
        </w:tc>
        <w:tc>
          <w:tcPr>
            <w:tcW w:w="629" w:type="pct"/>
            <w:tcBorders>
              <w:top w:val="nil"/>
              <w:left w:val="nil"/>
              <w:bottom w:val="nil"/>
              <w:right w:val="nil"/>
            </w:tcBorders>
            <w:vAlign w:val="center"/>
          </w:tcPr>
          <w:p w14:paraId="58410DC9" w14:textId="6C2F7DBC" w:rsidR="009F6A79" w:rsidRPr="00DD4F9E" w:rsidRDefault="00014FDA">
            <w:pPr>
              <w:jc w:val="right"/>
              <w:rPr>
                <w:rFonts w:ascii="CAIXA Std Book" w:hAnsi="CAIXA Std Book" w:cs="Calibri"/>
                <w:color w:val="005CA9"/>
                <w:sz w:val="18"/>
                <w:szCs w:val="18"/>
              </w:rPr>
            </w:pPr>
            <w:r>
              <w:rPr>
                <w:rFonts w:ascii="CAIXA Std Book" w:hAnsi="CAIXA Std Book" w:cs="Calibri"/>
                <w:color w:val="005CA9"/>
                <w:sz w:val="18"/>
                <w:szCs w:val="18"/>
              </w:rPr>
              <w:t>(5.922.477)</w:t>
            </w:r>
          </w:p>
        </w:tc>
        <w:tc>
          <w:tcPr>
            <w:tcW w:w="629" w:type="pct"/>
            <w:tcBorders>
              <w:top w:val="nil"/>
              <w:left w:val="nil"/>
              <w:bottom w:val="nil"/>
              <w:right w:val="nil"/>
            </w:tcBorders>
            <w:noWrap/>
            <w:vAlign w:val="center"/>
          </w:tcPr>
          <w:p w14:paraId="52BAB3B2" w14:textId="54C853F1" w:rsidR="009F6A79" w:rsidRPr="00DD4F9E" w:rsidRDefault="00014FDA">
            <w:pPr>
              <w:jc w:val="right"/>
              <w:rPr>
                <w:rFonts w:ascii="CAIXA Std Book" w:hAnsi="CAIXA Std Book" w:cs="Calibri"/>
                <w:color w:val="005CA9"/>
                <w:sz w:val="18"/>
                <w:szCs w:val="18"/>
              </w:rPr>
            </w:pPr>
            <w:r>
              <w:rPr>
                <w:rFonts w:ascii="CAIXA Std Book" w:hAnsi="CAIXA Std Book" w:cs="Calibri"/>
                <w:color w:val="005CA9"/>
                <w:sz w:val="18"/>
                <w:szCs w:val="18"/>
              </w:rPr>
              <w:t>(9.250.518)</w:t>
            </w:r>
          </w:p>
        </w:tc>
        <w:tc>
          <w:tcPr>
            <w:tcW w:w="629" w:type="pct"/>
            <w:tcBorders>
              <w:top w:val="nil"/>
              <w:left w:val="nil"/>
              <w:bottom w:val="nil"/>
              <w:right w:val="nil"/>
            </w:tcBorders>
            <w:noWrap/>
            <w:vAlign w:val="center"/>
          </w:tcPr>
          <w:p w14:paraId="5F8C8363" w14:textId="25BDA161" w:rsidR="009F6A79" w:rsidRPr="00DD4F9E" w:rsidRDefault="00014FDA">
            <w:pPr>
              <w:ind w:right="111"/>
              <w:jc w:val="right"/>
              <w:rPr>
                <w:rFonts w:ascii="CAIXA Std Book" w:hAnsi="CAIXA Std Book" w:cs="Calibri"/>
                <w:color w:val="005CA9"/>
                <w:sz w:val="18"/>
                <w:szCs w:val="18"/>
              </w:rPr>
            </w:pPr>
            <w:r>
              <w:rPr>
                <w:rFonts w:ascii="CAIXA Std Book" w:hAnsi="CAIXA Std Book" w:cs="Calibri"/>
                <w:color w:val="005CA9"/>
                <w:sz w:val="18"/>
                <w:szCs w:val="18"/>
              </w:rPr>
              <w:t>879.242.325</w:t>
            </w:r>
          </w:p>
        </w:tc>
      </w:tr>
      <w:tr w:rsidR="009F6A79" w14:paraId="14B06BD9" w14:textId="77777777">
        <w:trPr>
          <w:trHeight w:val="283"/>
        </w:trPr>
        <w:tc>
          <w:tcPr>
            <w:tcW w:w="1855" w:type="pct"/>
            <w:tcBorders>
              <w:top w:val="nil"/>
              <w:left w:val="nil"/>
              <w:bottom w:val="nil"/>
              <w:right w:val="nil"/>
            </w:tcBorders>
            <w:noWrap/>
            <w:vAlign w:val="center"/>
            <w:hideMark/>
          </w:tcPr>
          <w:p w14:paraId="10C50CEC" w14:textId="77777777" w:rsidR="009F6A79" w:rsidRPr="00817BD3" w:rsidRDefault="009F6A79">
            <w:pPr>
              <w:rPr>
                <w:rFonts w:ascii="CAIXA Std Book" w:hAnsi="CAIXA Std Book" w:cs="Calibri"/>
                <w:color w:val="005CA9"/>
                <w:sz w:val="18"/>
                <w:szCs w:val="18"/>
              </w:rPr>
            </w:pPr>
            <w:r w:rsidRPr="00817BD3">
              <w:rPr>
                <w:rFonts w:ascii="CAIXA Std Book" w:hAnsi="CAIXA Std Book" w:cs="Calibri"/>
                <w:color w:val="005CA9"/>
                <w:sz w:val="18"/>
                <w:szCs w:val="18"/>
              </w:rPr>
              <w:t>Financiamentos de infraestrutura</w:t>
            </w:r>
          </w:p>
        </w:tc>
        <w:tc>
          <w:tcPr>
            <w:tcW w:w="629" w:type="pct"/>
            <w:tcBorders>
              <w:top w:val="nil"/>
              <w:left w:val="nil"/>
              <w:bottom w:val="nil"/>
              <w:right w:val="nil"/>
            </w:tcBorders>
            <w:noWrap/>
            <w:vAlign w:val="center"/>
            <w:hideMark/>
          </w:tcPr>
          <w:p w14:paraId="728D7BBE" w14:textId="77777777" w:rsidR="009F6A79" w:rsidRPr="00DD4F9E" w:rsidRDefault="009F6A79">
            <w:pPr>
              <w:jc w:val="right"/>
              <w:rPr>
                <w:rFonts w:ascii="CAIXA Std Book" w:hAnsi="CAIXA Std Book" w:cs="Calibri"/>
                <w:color w:val="005CA9"/>
                <w:sz w:val="18"/>
                <w:szCs w:val="18"/>
              </w:rPr>
            </w:pPr>
            <w:r w:rsidRPr="00DD4F9E">
              <w:rPr>
                <w:rFonts w:ascii="CAIXA Std Book" w:hAnsi="CAIXA Std Book" w:cs="Calibri"/>
                <w:color w:val="005CA9"/>
                <w:sz w:val="18"/>
                <w:szCs w:val="18"/>
              </w:rPr>
              <w:t>100.829.120</w:t>
            </w:r>
          </w:p>
        </w:tc>
        <w:tc>
          <w:tcPr>
            <w:tcW w:w="629" w:type="pct"/>
            <w:tcBorders>
              <w:top w:val="nil"/>
              <w:left w:val="nil"/>
              <w:bottom w:val="nil"/>
              <w:right w:val="nil"/>
            </w:tcBorders>
            <w:shd w:val="clear" w:color="000000" w:fill="FFFFFF"/>
            <w:vAlign w:val="center"/>
          </w:tcPr>
          <w:p w14:paraId="38D12933" w14:textId="42B210C0" w:rsidR="009F6A79" w:rsidRPr="00DD4F9E" w:rsidRDefault="00014FDA">
            <w:pPr>
              <w:jc w:val="right"/>
              <w:rPr>
                <w:rFonts w:ascii="CAIXA Std Book" w:hAnsi="CAIXA Std Book" w:cs="Calibri"/>
                <w:color w:val="005CA9"/>
                <w:sz w:val="18"/>
                <w:szCs w:val="18"/>
              </w:rPr>
            </w:pPr>
            <w:r>
              <w:rPr>
                <w:rFonts w:ascii="CAIXA Std Book" w:hAnsi="CAIXA Std Book" w:cs="Calibri"/>
                <w:color w:val="005CA9"/>
                <w:sz w:val="18"/>
                <w:szCs w:val="18"/>
              </w:rPr>
              <w:t>3.241.054</w:t>
            </w:r>
          </w:p>
        </w:tc>
        <w:tc>
          <w:tcPr>
            <w:tcW w:w="629" w:type="pct"/>
            <w:tcBorders>
              <w:top w:val="nil"/>
              <w:left w:val="nil"/>
              <w:bottom w:val="nil"/>
              <w:right w:val="nil"/>
            </w:tcBorders>
            <w:vAlign w:val="center"/>
          </w:tcPr>
          <w:p w14:paraId="4B266910" w14:textId="6CDC2A1C" w:rsidR="009F6A79" w:rsidRPr="00DD4F9E" w:rsidRDefault="00014FDA">
            <w:pPr>
              <w:jc w:val="right"/>
              <w:rPr>
                <w:rFonts w:ascii="CAIXA Std Book" w:hAnsi="CAIXA Std Book" w:cs="Calibri"/>
                <w:color w:val="005CA9"/>
                <w:sz w:val="18"/>
                <w:szCs w:val="18"/>
              </w:rPr>
            </w:pPr>
            <w:r>
              <w:rPr>
                <w:rFonts w:ascii="CAIXA Std Book" w:hAnsi="CAIXA Std Book" w:cs="Calibri"/>
                <w:color w:val="005CA9"/>
                <w:sz w:val="18"/>
                <w:szCs w:val="18"/>
              </w:rPr>
              <w:t>36.038</w:t>
            </w:r>
          </w:p>
        </w:tc>
        <w:tc>
          <w:tcPr>
            <w:tcW w:w="629" w:type="pct"/>
            <w:tcBorders>
              <w:top w:val="nil"/>
              <w:left w:val="nil"/>
              <w:bottom w:val="nil"/>
              <w:right w:val="nil"/>
            </w:tcBorders>
            <w:noWrap/>
            <w:vAlign w:val="center"/>
          </w:tcPr>
          <w:p w14:paraId="1B9954FE" w14:textId="5321CC9C" w:rsidR="009F6A79" w:rsidRPr="00DD4F9E" w:rsidRDefault="00014FDA" w:rsidP="008A797D">
            <w:pPr>
              <w:jc w:val="right"/>
              <w:rPr>
                <w:rFonts w:ascii="CAIXA Std Book" w:hAnsi="CAIXA Std Book" w:cs="Calibri"/>
                <w:color w:val="005CA9"/>
                <w:sz w:val="18"/>
                <w:szCs w:val="18"/>
              </w:rPr>
            </w:pPr>
            <w:r>
              <w:rPr>
                <w:rFonts w:ascii="CAIXA Std Book" w:hAnsi="CAIXA Std Book" w:cs="Calibri"/>
                <w:color w:val="005CA9"/>
                <w:sz w:val="18"/>
                <w:szCs w:val="18"/>
              </w:rPr>
              <w:t>(102.162)</w:t>
            </w:r>
          </w:p>
        </w:tc>
        <w:tc>
          <w:tcPr>
            <w:tcW w:w="629" w:type="pct"/>
            <w:tcBorders>
              <w:top w:val="nil"/>
              <w:left w:val="nil"/>
              <w:bottom w:val="nil"/>
              <w:right w:val="nil"/>
            </w:tcBorders>
            <w:noWrap/>
            <w:vAlign w:val="center"/>
          </w:tcPr>
          <w:p w14:paraId="645E675E" w14:textId="4712F9DB" w:rsidR="009F6A79" w:rsidRPr="00DD4F9E" w:rsidRDefault="00014FDA">
            <w:pPr>
              <w:ind w:right="111"/>
              <w:jc w:val="right"/>
              <w:rPr>
                <w:rFonts w:ascii="CAIXA Std Book" w:hAnsi="CAIXA Std Book" w:cs="Calibri"/>
                <w:color w:val="005CA9"/>
                <w:sz w:val="18"/>
                <w:szCs w:val="18"/>
              </w:rPr>
            </w:pPr>
            <w:r>
              <w:rPr>
                <w:rFonts w:ascii="CAIXA Std Book" w:hAnsi="CAIXA Std Book" w:cs="Calibri"/>
                <w:color w:val="005CA9"/>
                <w:sz w:val="18"/>
                <w:szCs w:val="18"/>
              </w:rPr>
              <w:t>104.004.050</w:t>
            </w:r>
          </w:p>
        </w:tc>
      </w:tr>
      <w:tr w:rsidR="009F6A79" w14:paraId="74C2B2DB" w14:textId="77777777">
        <w:trPr>
          <w:trHeight w:val="283"/>
        </w:trPr>
        <w:tc>
          <w:tcPr>
            <w:tcW w:w="1855" w:type="pct"/>
            <w:tcBorders>
              <w:top w:val="nil"/>
              <w:left w:val="nil"/>
              <w:bottom w:val="nil"/>
              <w:right w:val="nil"/>
            </w:tcBorders>
            <w:noWrap/>
            <w:vAlign w:val="center"/>
            <w:hideMark/>
          </w:tcPr>
          <w:p w14:paraId="4F26307C" w14:textId="77777777" w:rsidR="009F6A79" w:rsidRPr="00817BD3" w:rsidRDefault="009F6A79">
            <w:pPr>
              <w:rPr>
                <w:rFonts w:ascii="CAIXA Std Book" w:hAnsi="CAIXA Std Book" w:cs="Calibri"/>
                <w:color w:val="005CA9"/>
                <w:sz w:val="18"/>
                <w:szCs w:val="18"/>
              </w:rPr>
            </w:pPr>
            <w:r w:rsidRPr="00817BD3">
              <w:rPr>
                <w:rFonts w:ascii="CAIXA Std Book" w:hAnsi="CAIXA Std Book" w:cs="Calibri"/>
                <w:color w:val="005CA9"/>
                <w:sz w:val="18"/>
                <w:szCs w:val="18"/>
              </w:rPr>
              <w:t>Cessão de crédito</w:t>
            </w:r>
          </w:p>
        </w:tc>
        <w:tc>
          <w:tcPr>
            <w:tcW w:w="629" w:type="pct"/>
            <w:tcBorders>
              <w:top w:val="nil"/>
              <w:left w:val="nil"/>
              <w:bottom w:val="nil"/>
              <w:right w:val="nil"/>
            </w:tcBorders>
            <w:noWrap/>
            <w:vAlign w:val="center"/>
            <w:hideMark/>
          </w:tcPr>
          <w:p w14:paraId="071ED7EC" w14:textId="77777777" w:rsidR="009F6A79" w:rsidRPr="00DD4F9E" w:rsidRDefault="009F6A79">
            <w:pPr>
              <w:jc w:val="right"/>
              <w:rPr>
                <w:rFonts w:ascii="CAIXA Std Book" w:hAnsi="CAIXA Std Book" w:cs="Calibri"/>
                <w:color w:val="005CA9"/>
                <w:sz w:val="18"/>
                <w:szCs w:val="18"/>
              </w:rPr>
            </w:pPr>
            <w:r w:rsidRPr="00DD4F9E">
              <w:rPr>
                <w:rFonts w:ascii="CAIXA Std Book" w:hAnsi="CAIXA Std Book" w:cs="Calibri"/>
                <w:color w:val="005CA9"/>
                <w:sz w:val="18"/>
                <w:szCs w:val="18"/>
              </w:rPr>
              <w:t>3.293.659</w:t>
            </w:r>
          </w:p>
        </w:tc>
        <w:tc>
          <w:tcPr>
            <w:tcW w:w="629" w:type="pct"/>
            <w:tcBorders>
              <w:top w:val="nil"/>
              <w:left w:val="nil"/>
              <w:bottom w:val="nil"/>
              <w:right w:val="nil"/>
            </w:tcBorders>
            <w:shd w:val="clear" w:color="000000" w:fill="FFFFFF"/>
            <w:vAlign w:val="center"/>
          </w:tcPr>
          <w:p w14:paraId="454E282A" w14:textId="5631F8DC" w:rsidR="009F6A79" w:rsidRPr="00DD4F9E" w:rsidRDefault="00014FDA">
            <w:pPr>
              <w:jc w:val="right"/>
              <w:rPr>
                <w:rFonts w:ascii="CAIXA Std Book" w:hAnsi="CAIXA Std Book" w:cs="Calibri"/>
                <w:color w:val="005CA9"/>
                <w:sz w:val="18"/>
                <w:szCs w:val="18"/>
              </w:rPr>
            </w:pPr>
            <w:r>
              <w:rPr>
                <w:rFonts w:ascii="CAIXA Std Book" w:hAnsi="CAIXA Std Book" w:cs="Calibri"/>
                <w:color w:val="005CA9"/>
                <w:sz w:val="18"/>
                <w:szCs w:val="18"/>
              </w:rPr>
              <w:t>(512.086)</w:t>
            </w:r>
          </w:p>
        </w:tc>
        <w:tc>
          <w:tcPr>
            <w:tcW w:w="629" w:type="pct"/>
            <w:tcBorders>
              <w:top w:val="nil"/>
              <w:left w:val="nil"/>
              <w:bottom w:val="nil"/>
              <w:right w:val="nil"/>
            </w:tcBorders>
            <w:vAlign w:val="center"/>
          </w:tcPr>
          <w:p w14:paraId="6267AC45" w14:textId="61428E59" w:rsidR="009F6A79" w:rsidRPr="00DD4F9E" w:rsidRDefault="00014FDA">
            <w:pPr>
              <w:jc w:val="right"/>
              <w:rPr>
                <w:rFonts w:ascii="CAIXA Std Book" w:hAnsi="CAIXA Std Book" w:cs="Calibri"/>
                <w:color w:val="005CA9"/>
                <w:sz w:val="18"/>
                <w:szCs w:val="18"/>
              </w:rPr>
            </w:pPr>
            <w:r>
              <w:rPr>
                <w:rFonts w:ascii="CAIXA Std Book" w:hAnsi="CAIXA Std Book" w:cs="Calibri"/>
                <w:color w:val="005CA9"/>
                <w:sz w:val="18"/>
                <w:szCs w:val="18"/>
              </w:rPr>
              <w:t>(12.809)</w:t>
            </w:r>
          </w:p>
        </w:tc>
        <w:tc>
          <w:tcPr>
            <w:tcW w:w="629" w:type="pct"/>
            <w:tcBorders>
              <w:top w:val="nil"/>
              <w:left w:val="nil"/>
              <w:bottom w:val="nil"/>
              <w:right w:val="nil"/>
            </w:tcBorders>
            <w:noWrap/>
            <w:vAlign w:val="center"/>
          </w:tcPr>
          <w:p w14:paraId="3E48CB2D" w14:textId="48EDF63C" w:rsidR="009F6A79" w:rsidRPr="00DD4F9E" w:rsidRDefault="00014FDA">
            <w:pPr>
              <w:jc w:val="right"/>
              <w:rPr>
                <w:rFonts w:ascii="CAIXA Std Book" w:hAnsi="CAIXA Std Book" w:cs="Calibri"/>
                <w:color w:val="005CA9"/>
                <w:sz w:val="18"/>
                <w:szCs w:val="18"/>
              </w:rPr>
            </w:pPr>
            <w:r>
              <w:rPr>
                <w:rFonts w:ascii="CAIXA Std Book" w:hAnsi="CAIXA Std Book" w:cs="Calibri"/>
                <w:color w:val="005CA9"/>
                <w:sz w:val="18"/>
                <w:szCs w:val="18"/>
              </w:rPr>
              <w:t>(29.106)</w:t>
            </w:r>
          </w:p>
        </w:tc>
        <w:tc>
          <w:tcPr>
            <w:tcW w:w="629" w:type="pct"/>
            <w:tcBorders>
              <w:top w:val="nil"/>
              <w:left w:val="nil"/>
              <w:bottom w:val="nil"/>
              <w:right w:val="nil"/>
            </w:tcBorders>
            <w:noWrap/>
            <w:vAlign w:val="center"/>
          </w:tcPr>
          <w:p w14:paraId="09A75DB6" w14:textId="2A55ECB1" w:rsidR="009F6A79" w:rsidRPr="00DD4F9E" w:rsidRDefault="00014FDA">
            <w:pPr>
              <w:ind w:right="111"/>
              <w:jc w:val="right"/>
              <w:rPr>
                <w:rFonts w:ascii="CAIXA Std Book" w:hAnsi="CAIXA Std Book" w:cs="Calibri"/>
                <w:color w:val="005CA9"/>
                <w:sz w:val="18"/>
                <w:szCs w:val="18"/>
              </w:rPr>
            </w:pPr>
            <w:r>
              <w:rPr>
                <w:rFonts w:ascii="CAIXA Std Book" w:hAnsi="CAIXA Std Book" w:cs="Calibri"/>
                <w:color w:val="005CA9"/>
                <w:sz w:val="18"/>
                <w:szCs w:val="18"/>
              </w:rPr>
              <w:t>2.739.658</w:t>
            </w:r>
          </w:p>
        </w:tc>
      </w:tr>
      <w:tr w:rsidR="009F6A79" w14:paraId="23085999" w14:textId="77777777">
        <w:trPr>
          <w:trHeight w:val="283"/>
        </w:trPr>
        <w:tc>
          <w:tcPr>
            <w:tcW w:w="1855" w:type="pct"/>
            <w:tcBorders>
              <w:top w:val="nil"/>
              <w:left w:val="nil"/>
              <w:bottom w:val="nil"/>
              <w:right w:val="nil"/>
            </w:tcBorders>
            <w:noWrap/>
            <w:vAlign w:val="center"/>
            <w:hideMark/>
          </w:tcPr>
          <w:p w14:paraId="6C546E0C" w14:textId="77777777" w:rsidR="009F6A79" w:rsidRPr="00817BD3" w:rsidRDefault="009F6A79">
            <w:pPr>
              <w:rPr>
                <w:rFonts w:ascii="CAIXA Std Book" w:hAnsi="CAIXA Std Book" w:cs="Calibri"/>
                <w:color w:val="005CA9"/>
                <w:sz w:val="18"/>
                <w:szCs w:val="18"/>
              </w:rPr>
            </w:pPr>
            <w:r w:rsidRPr="00817BD3">
              <w:rPr>
                <w:rFonts w:ascii="CAIXA Std Book" w:hAnsi="CAIXA Std Book" w:cs="Calibri"/>
                <w:color w:val="005CA9"/>
                <w:sz w:val="18"/>
                <w:szCs w:val="18"/>
              </w:rPr>
              <w:t xml:space="preserve">Outros </w:t>
            </w:r>
            <w:r>
              <w:rPr>
                <w:rFonts w:ascii="CAIXA Std Book" w:hAnsi="CAIXA Std Book" w:cs="Calibri"/>
                <w:color w:val="005CA9"/>
                <w:sz w:val="18"/>
                <w:szCs w:val="18"/>
              </w:rPr>
              <w:t>ativos com características de concessão de crédito (2)</w:t>
            </w:r>
          </w:p>
        </w:tc>
        <w:tc>
          <w:tcPr>
            <w:tcW w:w="629" w:type="pct"/>
            <w:tcBorders>
              <w:top w:val="nil"/>
              <w:left w:val="nil"/>
              <w:bottom w:val="nil"/>
              <w:right w:val="nil"/>
            </w:tcBorders>
            <w:noWrap/>
            <w:vAlign w:val="center"/>
            <w:hideMark/>
          </w:tcPr>
          <w:p w14:paraId="7E0EB12D" w14:textId="77777777" w:rsidR="009F6A79" w:rsidRPr="00DD4F9E" w:rsidRDefault="009F6A79">
            <w:pPr>
              <w:jc w:val="right"/>
              <w:rPr>
                <w:rFonts w:ascii="CAIXA Std Book" w:hAnsi="CAIXA Std Book" w:cs="Calibri"/>
                <w:color w:val="005CA9"/>
                <w:sz w:val="18"/>
                <w:szCs w:val="18"/>
              </w:rPr>
            </w:pPr>
            <w:r w:rsidRPr="00DD4F9E">
              <w:rPr>
                <w:rFonts w:ascii="CAIXA Std Book" w:hAnsi="CAIXA Std Book" w:cs="Calibri"/>
                <w:color w:val="005CA9"/>
                <w:sz w:val="18"/>
                <w:szCs w:val="18"/>
              </w:rPr>
              <w:t>16.078.584</w:t>
            </w:r>
          </w:p>
        </w:tc>
        <w:tc>
          <w:tcPr>
            <w:tcW w:w="629" w:type="pct"/>
            <w:tcBorders>
              <w:top w:val="nil"/>
              <w:left w:val="nil"/>
              <w:bottom w:val="nil"/>
              <w:right w:val="nil"/>
            </w:tcBorders>
            <w:shd w:val="clear" w:color="000000" w:fill="FFFFFF"/>
            <w:vAlign w:val="center"/>
          </w:tcPr>
          <w:p w14:paraId="14AFFE11" w14:textId="0F2A7B95" w:rsidR="009F6A79" w:rsidRPr="00DD4F9E" w:rsidRDefault="00014FDA">
            <w:pPr>
              <w:jc w:val="right"/>
              <w:rPr>
                <w:rFonts w:ascii="CAIXA Std Book" w:hAnsi="CAIXA Std Book" w:cs="Calibri"/>
                <w:color w:val="005CA9"/>
                <w:sz w:val="18"/>
                <w:szCs w:val="18"/>
              </w:rPr>
            </w:pPr>
            <w:r>
              <w:rPr>
                <w:rFonts w:ascii="CAIXA Std Book" w:hAnsi="CAIXA Std Book" w:cs="Calibri"/>
                <w:color w:val="005CA9"/>
                <w:sz w:val="18"/>
                <w:szCs w:val="18"/>
              </w:rPr>
              <w:t>(13.060.167)</w:t>
            </w:r>
          </w:p>
        </w:tc>
        <w:tc>
          <w:tcPr>
            <w:tcW w:w="629" w:type="pct"/>
            <w:tcBorders>
              <w:top w:val="nil"/>
              <w:left w:val="nil"/>
              <w:bottom w:val="nil"/>
              <w:right w:val="nil"/>
            </w:tcBorders>
            <w:vAlign w:val="center"/>
          </w:tcPr>
          <w:p w14:paraId="3EB28940" w14:textId="3797C15F" w:rsidR="009F6A79" w:rsidRPr="00DD4F9E" w:rsidRDefault="00014FDA">
            <w:pPr>
              <w:jc w:val="right"/>
              <w:rPr>
                <w:rFonts w:ascii="CAIXA Std Book" w:hAnsi="CAIXA Std Book" w:cs="Calibri"/>
                <w:color w:val="005CA9"/>
                <w:sz w:val="18"/>
                <w:szCs w:val="18"/>
              </w:rPr>
            </w:pPr>
            <w:r>
              <w:rPr>
                <w:rFonts w:ascii="CAIXA Std Book" w:hAnsi="CAIXA Std Book" w:cs="Calibri"/>
                <w:color w:val="005CA9"/>
                <w:sz w:val="18"/>
                <w:szCs w:val="18"/>
              </w:rPr>
              <w:t>(16.739)</w:t>
            </w:r>
          </w:p>
        </w:tc>
        <w:tc>
          <w:tcPr>
            <w:tcW w:w="629" w:type="pct"/>
            <w:tcBorders>
              <w:top w:val="nil"/>
              <w:left w:val="nil"/>
              <w:bottom w:val="nil"/>
              <w:right w:val="nil"/>
            </w:tcBorders>
            <w:noWrap/>
            <w:vAlign w:val="center"/>
          </w:tcPr>
          <w:p w14:paraId="62482321" w14:textId="2954444C" w:rsidR="009F6A79" w:rsidRPr="00DD4F9E" w:rsidRDefault="00014FDA">
            <w:pPr>
              <w:jc w:val="right"/>
              <w:rPr>
                <w:rFonts w:ascii="CAIXA Std Book" w:hAnsi="CAIXA Std Book" w:cs="Calibri"/>
                <w:color w:val="005CA9"/>
                <w:sz w:val="18"/>
                <w:szCs w:val="18"/>
              </w:rPr>
            </w:pPr>
            <w:r>
              <w:rPr>
                <w:rFonts w:ascii="CAIXA Std Book" w:hAnsi="CAIXA Std Book" w:cs="Calibri"/>
                <w:color w:val="005CA9"/>
                <w:sz w:val="18"/>
                <w:szCs w:val="18"/>
              </w:rPr>
              <w:t>(215.036)</w:t>
            </w:r>
          </w:p>
        </w:tc>
        <w:tc>
          <w:tcPr>
            <w:tcW w:w="629" w:type="pct"/>
            <w:tcBorders>
              <w:top w:val="nil"/>
              <w:left w:val="nil"/>
              <w:bottom w:val="nil"/>
              <w:right w:val="nil"/>
            </w:tcBorders>
            <w:noWrap/>
            <w:vAlign w:val="center"/>
          </w:tcPr>
          <w:p w14:paraId="0478A2C0" w14:textId="703DE71F" w:rsidR="009F6A79" w:rsidRPr="00DD4F9E" w:rsidRDefault="00014FDA">
            <w:pPr>
              <w:ind w:right="111"/>
              <w:jc w:val="right"/>
              <w:rPr>
                <w:rFonts w:ascii="CAIXA Std Book" w:hAnsi="CAIXA Std Book" w:cs="Calibri"/>
                <w:color w:val="005CA9"/>
                <w:sz w:val="18"/>
                <w:szCs w:val="18"/>
              </w:rPr>
            </w:pPr>
            <w:r>
              <w:rPr>
                <w:rFonts w:ascii="CAIXA Std Book" w:hAnsi="CAIXA Std Book" w:cs="Calibri"/>
                <w:color w:val="005CA9"/>
                <w:sz w:val="18"/>
                <w:szCs w:val="18"/>
              </w:rPr>
              <w:t>2.786.642</w:t>
            </w:r>
          </w:p>
        </w:tc>
      </w:tr>
      <w:tr w:rsidR="009F6A79" w14:paraId="1E8251A1" w14:textId="77777777">
        <w:trPr>
          <w:trHeight w:val="283"/>
        </w:trPr>
        <w:tc>
          <w:tcPr>
            <w:tcW w:w="1855" w:type="pct"/>
            <w:tcBorders>
              <w:top w:val="nil"/>
              <w:left w:val="nil"/>
              <w:bottom w:val="nil"/>
              <w:right w:val="nil"/>
            </w:tcBorders>
            <w:shd w:val="clear" w:color="auto" w:fill="005CA9"/>
            <w:noWrap/>
            <w:vAlign w:val="center"/>
            <w:hideMark/>
          </w:tcPr>
          <w:p w14:paraId="1261FEC1" w14:textId="77777777" w:rsidR="009F6A79" w:rsidRPr="00817BD3" w:rsidRDefault="009F6A79">
            <w:pPr>
              <w:rPr>
                <w:rFonts w:ascii="CAIXA Std Book" w:hAnsi="CAIXA Std Book" w:cs="Calibri"/>
                <w:b/>
                <w:color w:val="FFFFFF"/>
                <w:sz w:val="18"/>
                <w:szCs w:val="18"/>
              </w:rPr>
            </w:pPr>
            <w:r w:rsidRPr="00817BD3">
              <w:rPr>
                <w:rFonts w:ascii="CAIXA Std Book" w:hAnsi="CAIXA Std Book" w:cs="Calibri"/>
                <w:b/>
                <w:color w:val="FFFFFF"/>
                <w:sz w:val="18"/>
                <w:szCs w:val="18"/>
              </w:rPr>
              <w:t>Total</w:t>
            </w:r>
            <w:r w:rsidRPr="00817BD3">
              <w:rPr>
                <w:rFonts w:ascii="CAIXA Std Book" w:hAnsi="CAIXA Std Book" w:cs="Calibri"/>
                <w:color w:val="005CA9"/>
                <w:sz w:val="18"/>
                <w:szCs w:val="18"/>
              </w:rPr>
              <w:t> </w:t>
            </w:r>
          </w:p>
        </w:tc>
        <w:tc>
          <w:tcPr>
            <w:tcW w:w="629" w:type="pct"/>
            <w:tcBorders>
              <w:top w:val="nil"/>
              <w:left w:val="nil"/>
              <w:bottom w:val="nil"/>
              <w:right w:val="nil"/>
            </w:tcBorders>
            <w:shd w:val="clear" w:color="auto" w:fill="005CA9"/>
            <w:noWrap/>
            <w:vAlign w:val="center"/>
            <w:hideMark/>
          </w:tcPr>
          <w:p w14:paraId="5476E01E" w14:textId="77777777" w:rsidR="009F6A79" w:rsidRPr="00DD4F9E" w:rsidRDefault="009F6A79">
            <w:pPr>
              <w:jc w:val="right"/>
              <w:rPr>
                <w:rFonts w:ascii="CAIXA Std Book" w:hAnsi="CAIXA Std Book" w:cs="Calibri"/>
                <w:b/>
                <w:color w:val="FFFFFF"/>
                <w:sz w:val="18"/>
                <w:szCs w:val="18"/>
              </w:rPr>
            </w:pPr>
            <w:r w:rsidRPr="00DD4F9E">
              <w:rPr>
                <w:rFonts w:ascii="CAIXA Std Book" w:hAnsi="CAIXA Std Book" w:cs="Calibri"/>
                <w:b/>
                <w:bCs/>
                <w:color w:val="FFFFFF"/>
                <w:sz w:val="18"/>
                <w:szCs w:val="18"/>
              </w:rPr>
              <w:t>1.141.021.643</w:t>
            </w:r>
          </w:p>
        </w:tc>
        <w:tc>
          <w:tcPr>
            <w:tcW w:w="629" w:type="pct"/>
            <w:tcBorders>
              <w:top w:val="nil"/>
              <w:left w:val="nil"/>
              <w:bottom w:val="nil"/>
              <w:right w:val="nil"/>
            </w:tcBorders>
            <w:shd w:val="clear" w:color="auto" w:fill="005CA9"/>
            <w:noWrap/>
            <w:vAlign w:val="center"/>
          </w:tcPr>
          <w:p w14:paraId="6F80CCF7" w14:textId="3962170D" w:rsidR="009F6A79" w:rsidRPr="00DD4F9E" w:rsidRDefault="00014FDA">
            <w:pPr>
              <w:jc w:val="right"/>
              <w:rPr>
                <w:rFonts w:ascii="CAIXA Std Book" w:hAnsi="CAIXA Std Book" w:cs="Calibri"/>
                <w:b/>
                <w:color w:val="FFFFFF"/>
                <w:sz w:val="18"/>
                <w:szCs w:val="18"/>
              </w:rPr>
            </w:pPr>
            <w:r>
              <w:rPr>
                <w:rFonts w:ascii="CAIXA Std Book" w:hAnsi="CAIXA Std Book" w:cs="Calibri"/>
                <w:b/>
                <w:bCs/>
                <w:color w:val="FFFFFF"/>
                <w:sz w:val="18"/>
                <w:szCs w:val="18"/>
              </w:rPr>
              <w:t>125.665.717</w:t>
            </w:r>
          </w:p>
        </w:tc>
        <w:tc>
          <w:tcPr>
            <w:tcW w:w="629" w:type="pct"/>
            <w:tcBorders>
              <w:top w:val="nil"/>
              <w:left w:val="nil"/>
              <w:bottom w:val="nil"/>
              <w:right w:val="nil"/>
            </w:tcBorders>
            <w:shd w:val="clear" w:color="auto" w:fill="005CA9"/>
            <w:noWrap/>
            <w:vAlign w:val="center"/>
          </w:tcPr>
          <w:p w14:paraId="3B44196A" w14:textId="42B2BD87" w:rsidR="009F6A79" w:rsidRPr="00DD4F9E" w:rsidRDefault="00014FDA">
            <w:pPr>
              <w:jc w:val="right"/>
              <w:rPr>
                <w:rFonts w:ascii="CAIXA Std Book" w:hAnsi="CAIXA Std Book" w:cs="Calibri"/>
                <w:b/>
                <w:color w:val="FFFFFF"/>
                <w:sz w:val="18"/>
                <w:szCs w:val="18"/>
              </w:rPr>
            </w:pPr>
            <w:r>
              <w:rPr>
                <w:rFonts w:ascii="CAIXA Std Book" w:hAnsi="CAIXA Std Book" w:cs="Calibri"/>
                <w:b/>
                <w:bCs/>
                <w:color w:val="FFFFFF"/>
                <w:sz w:val="18"/>
                <w:szCs w:val="18"/>
              </w:rPr>
              <w:t>900.866</w:t>
            </w:r>
          </w:p>
        </w:tc>
        <w:tc>
          <w:tcPr>
            <w:tcW w:w="629" w:type="pct"/>
            <w:tcBorders>
              <w:top w:val="nil"/>
              <w:left w:val="nil"/>
              <w:bottom w:val="nil"/>
              <w:right w:val="nil"/>
            </w:tcBorders>
            <w:shd w:val="clear" w:color="auto" w:fill="005CA9"/>
            <w:noWrap/>
            <w:vAlign w:val="center"/>
          </w:tcPr>
          <w:p w14:paraId="3E8FD0BF" w14:textId="386334C0" w:rsidR="009F6A79" w:rsidRPr="00DD4F9E" w:rsidRDefault="00014FDA">
            <w:pPr>
              <w:jc w:val="right"/>
              <w:rPr>
                <w:rFonts w:ascii="CAIXA Std Book" w:hAnsi="CAIXA Std Book" w:cs="Calibri"/>
                <w:b/>
                <w:color w:val="FFFFFF"/>
                <w:sz w:val="18"/>
                <w:szCs w:val="18"/>
              </w:rPr>
            </w:pPr>
            <w:r>
              <w:rPr>
                <w:rFonts w:ascii="CAIXA Std Book" w:hAnsi="CAIXA Std Book" w:cs="Calibri"/>
                <w:b/>
                <w:bCs/>
                <w:color w:val="FFFFFF"/>
                <w:sz w:val="18"/>
                <w:szCs w:val="18"/>
              </w:rPr>
              <w:t>(22.930.107)</w:t>
            </w:r>
          </w:p>
        </w:tc>
        <w:tc>
          <w:tcPr>
            <w:tcW w:w="629" w:type="pct"/>
            <w:tcBorders>
              <w:top w:val="nil"/>
              <w:left w:val="nil"/>
              <w:bottom w:val="nil"/>
              <w:right w:val="nil"/>
            </w:tcBorders>
            <w:shd w:val="clear" w:color="auto" w:fill="005CA9"/>
            <w:noWrap/>
            <w:vAlign w:val="center"/>
          </w:tcPr>
          <w:p w14:paraId="2E48160A" w14:textId="721EF7D3" w:rsidR="009F6A79" w:rsidRPr="00DD4F9E" w:rsidRDefault="00014FDA">
            <w:pPr>
              <w:ind w:right="111"/>
              <w:jc w:val="right"/>
              <w:rPr>
                <w:rFonts w:ascii="CAIXA Std Book" w:hAnsi="CAIXA Std Book" w:cs="Calibri"/>
                <w:b/>
                <w:color w:val="FFFFFF"/>
                <w:sz w:val="18"/>
                <w:szCs w:val="18"/>
              </w:rPr>
            </w:pPr>
            <w:r>
              <w:rPr>
                <w:rFonts w:ascii="CAIXA Std Book" w:hAnsi="CAIXA Std Book" w:cs="Calibri"/>
                <w:b/>
                <w:bCs/>
                <w:color w:val="FFFFFF"/>
                <w:sz w:val="18"/>
                <w:szCs w:val="18"/>
              </w:rPr>
              <w:t>1.244.658.119</w:t>
            </w:r>
          </w:p>
        </w:tc>
      </w:tr>
    </w:tbl>
    <w:p w14:paraId="0E9357FA" w14:textId="77777777" w:rsidR="007A44DE" w:rsidRDefault="007A44DE" w:rsidP="007A44DE">
      <w:pPr>
        <w:rPr>
          <w:rFonts w:ascii="CAIXA Std Book" w:eastAsia="Times New Roman" w:hAnsi="CAIXA Std Book" w:cs="Arial"/>
          <w:color w:val="005CA9"/>
          <w:sz w:val="16"/>
          <w:szCs w:val="16"/>
        </w:rPr>
      </w:pPr>
      <w:r w:rsidRPr="00B2408A">
        <w:rPr>
          <w:rFonts w:ascii="CAIXA Std Book" w:eastAsia="Times New Roman" w:hAnsi="CAIXA Std Book" w:cs="Arial"/>
          <w:color w:val="005CA9"/>
          <w:sz w:val="16"/>
          <w:szCs w:val="16"/>
        </w:rPr>
        <w:t>(</w:t>
      </w:r>
      <w:r>
        <w:rPr>
          <w:rFonts w:ascii="CAIXA Std Book" w:eastAsia="Times New Roman" w:hAnsi="CAIXA Std Book" w:cs="Arial"/>
          <w:color w:val="005CA9"/>
          <w:sz w:val="16"/>
          <w:szCs w:val="16"/>
        </w:rPr>
        <w:t>1</w:t>
      </w:r>
      <w:r w:rsidRPr="00B2408A">
        <w:rPr>
          <w:rFonts w:ascii="CAIXA Std Book" w:eastAsia="Times New Roman" w:hAnsi="CAIXA Std Book" w:cs="Arial"/>
          <w:color w:val="005CA9"/>
          <w:sz w:val="16"/>
          <w:szCs w:val="16"/>
        </w:rPr>
        <w:t xml:space="preserve">) Inclui o montante de </w:t>
      </w:r>
      <w:r w:rsidRPr="00B035E4">
        <w:rPr>
          <w:rFonts w:ascii="CAIXA Std Book" w:eastAsia="Times New Roman" w:hAnsi="CAIXA Std Book" w:cs="Arial"/>
          <w:color w:val="005CA9"/>
          <w:sz w:val="16"/>
          <w:szCs w:val="16"/>
        </w:rPr>
        <w:t xml:space="preserve">R$ </w:t>
      </w:r>
      <w:r>
        <w:rPr>
          <w:rFonts w:ascii="CAIXA Std Book" w:eastAsia="Times New Roman" w:hAnsi="CAIXA Std Book" w:cs="Arial"/>
          <w:color w:val="005CA9"/>
          <w:sz w:val="16"/>
          <w:szCs w:val="16"/>
        </w:rPr>
        <w:t>44.570.102</w:t>
      </w:r>
      <w:r w:rsidRPr="00B2408A">
        <w:rPr>
          <w:rFonts w:ascii="CAIXA Std Book" w:eastAsia="Times New Roman" w:hAnsi="CAIXA Std Book" w:cs="Arial"/>
          <w:color w:val="005CA9"/>
          <w:sz w:val="16"/>
          <w:szCs w:val="16"/>
        </w:rPr>
        <w:t xml:space="preserve"> referente aos contratos com mais de 30 dias de atraso</w:t>
      </w:r>
      <w:r>
        <w:rPr>
          <w:rFonts w:ascii="CAIXA Std Book" w:eastAsia="Times New Roman" w:hAnsi="CAIXA Std Book" w:cs="Arial"/>
          <w:color w:val="005CA9"/>
          <w:sz w:val="16"/>
          <w:szCs w:val="16"/>
        </w:rPr>
        <w:t xml:space="preserve">. </w:t>
      </w:r>
    </w:p>
    <w:p w14:paraId="46A39D41" w14:textId="3F4832AA" w:rsidR="007A44DE" w:rsidRDefault="007A44DE" w:rsidP="007A44DE">
      <w:pPr>
        <w:rPr>
          <w:rFonts w:ascii="CAIXA Std Book" w:eastAsia="Times New Roman" w:hAnsi="CAIXA Std Book" w:cs="Arial"/>
          <w:color w:val="005CA9"/>
          <w:sz w:val="16"/>
          <w:szCs w:val="16"/>
        </w:rPr>
      </w:pPr>
      <w:r>
        <w:rPr>
          <w:rFonts w:ascii="CAIXA Std Book" w:eastAsia="Times New Roman" w:hAnsi="CAIXA Std Book" w:cs="Arial"/>
          <w:color w:val="005CA9"/>
          <w:sz w:val="16"/>
          <w:szCs w:val="16"/>
        </w:rPr>
        <w:t>(2) Movimentação considera a migração das operações de cartão de débito e crédito para a Caixa Cartões ocorrida em abril de 2025.</w:t>
      </w:r>
    </w:p>
    <w:p w14:paraId="14627039" w14:textId="77777777" w:rsidR="00014FDA" w:rsidRDefault="00014FDA">
      <w:pPr>
        <w:rPr>
          <w:rFonts w:ascii="CAIXA Std Book" w:eastAsia="Times New Roman" w:hAnsi="CAIXA Std Book" w:cs="Arial"/>
          <w:color w:val="005CA9"/>
          <w:sz w:val="16"/>
          <w:szCs w:val="16"/>
        </w:rPr>
      </w:pPr>
    </w:p>
    <w:tbl>
      <w:tblPr>
        <w:tblW w:w="4996" w:type="pct"/>
        <w:tblInd w:w="-1" w:type="dxa"/>
        <w:tblCellMar>
          <w:left w:w="70" w:type="dxa"/>
          <w:right w:w="70" w:type="dxa"/>
        </w:tblCellMar>
        <w:tblLook w:val="04A0" w:firstRow="1" w:lastRow="0" w:firstColumn="1" w:lastColumn="0" w:noHBand="0" w:noVBand="1"/>
      </w:tblPr>
      <w:tblGrid>
        <w:gridCol w:w="5390"/>
        <w:gridCol w:w="1834"/>
        <w:gridCol w:w="1834"/>
        <w:gridCol w:w="1834"/>
        <w:gridCol w:w="1834"/>
        <w:gridCol w:w="1831"/>
      </w:tblGrid>
      <w:tr w:rsidR="000E1D03" w:rsidRPr="009518F8" w14:paraId="071E67AD" w14:textId="77777777">
        <w:trPr>
          <w:trHeight w:val="283"/>
        </w:trPr>
        <w:tc>
          <w:tcPr>
            <w:tcW w:w="5000" w:type="pct"/>
            <w:gridSpan w:val="6"/>
            <w:tcBorders>
              <w:top w:val="nil"/>
              <w:left w:val="nil"/>
              <w:bottom w:val="single" w:sz="4" w:space="0" w:color="FFFFFF" w:themeColor="background1"/>
              <w:right w:val="nil"/>
            </w:tcBorders>
            <w:shd w:val="clear" w:color="auto" w:fill="005CA9"/>
            <w:vAlign w:val="center"/>
            <w:hideMark/>
          </w:tcPr>
          <w:p w14:paraId="39302594" w14:textId="77777777" w:rsidR="000E1D03" w:rsidRPr="009518F8" w:rsidRDefault="000E1D03">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 xml:space="preserve">Individual </w:t>
            </w:r>
          </w:p>
        </w:tc>
      </w:tr>
      <w:tr w:rsidR="000E1D03" w:rsidRPr="009518F8" w14:paraId="4ED78798" w14:textId="77777777" w:rsidTr="009F6A79">
        <w:trPr>
          <w:trHeight w:val="283"/>
        </w:trPr>
        <w:tc>
          <w:tcPr>
            <w:tcW w:w="1851" w:type="pct"/>
            <w:tcBorders>
              <w:top w:val="single" w:sz="4" w:space="0" w:color="FFFFFF" w:themeColor="background1"/>
              <w:left w:val="nil"/>
              <w:bottom w:val="nil"/>
              <w:right w:val="nil"/>
            </w:tcBorders>
            <w:shd w:val="clear" w:color="auto" w:fill="005CA9"/>
            <w:vAlign w:val="center"/>
            <w:hideMark/>
          </w:tcPr>
          <w:p w14:paraId="347C0136" w14:textId="77777777" w:rsidR="000E1D03" w:rsidRPr="009518F8" w:rsidRDefault="000E1D03">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Estágio 2</w:t>
            </w:r>
            <w:r w:rsidRPr="009518F8">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14473249" w14:textId="77777777" w:rsidR="000E1D03" w:rsidRPr="009518F8" w:rsidRDefault="000E1D03">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Saldo em 01/01/2025</w:t>
            </w:r>
            <w:r w:rsidRPr="009518F8">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0A60E0CE" w14:textId="77777777" w:rsidR="000E1D03" w:rsidRPr="009518F8" w:rsidRDefault="000E1D03">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Contratação/ liquidação</w:t>
            </w:r>
            <w:r w:rsidRPr="009518F8">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419D00D9" w14:textId="77777777" w:rsidR="000E1D03" w:rsidRDefault="000E1D03">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Transferência do/</w:t>
            </w:r>
          </w:p>
          <w:p w14:paraId="3F365FA5" w14:textId="77777777" w:rsidR="000E1D03" w:rsidRPr="009518F8" w:rsidRDefault="000E1D03">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para estágio 1</w:t>
            </w:r>
            <w:r w:rsidRPr="009518F8">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24001C7A" w14:textId="66611334" w:rsidR="000E1D03" w:rsidRPr="009518F8" w:rsidRDefault="000E1D03">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Transferência do/ para estágio 3</w:t>
            </w:r>
            <w:r w:rsidRPr="009518F8">
              <w:rPr>
                <w:rFonts w:ascii="CAIXA Std Book" w:eastAsia="Times New Roman" w:hAnsi="CAIXA Std Book" w:cs="Calibri"/>
                <w:color w:val="005CA9"/>
                <w:sz w:val="18"/>
                <w:szCs w:val="18"/>
              </w:rPr>
              <w:t> </w:t>
            </w:r>
          </w:p>
        </w:tc>
        <w:tc>
          <w:tcPr>
            <w:tcW w:w="629" w:type="pct"/>
            <w:tcBorders>
              <w:top w:val="single" w:sz="4" w:space="0" w:color="FFFFFF" w:themeColor="background1"/>
              <w:left w:val="nil"/>
              <w:bottom w:val="nil"/>
              <w:right w:val="nil"/>
            </w:tcBorders>
            <w:shd w:val="clear" w:color="auto" w:fill="005CA9"/>
            <w:vAlign w:val="center"/>
            <w:hideMark/>
          </w:tcPr>
          <w:p w14:paraId="33513E80" w14:textId="60DC1374" w:rsidR="000E1D03" w:rsidRPr="009518F8" w:rsidRDefault="000E1D03">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Saldo em 31/</w:t>
            </w:r>
            <w:r w:rsidR="00292477">
              <w:rPr>
                <w:rFonts w:ascii="CAIXA Std Book" w:eastAsia="Times New Roman" w:hAnsi="CAIXA Std Book" w:cs="Calibri"/>
                <w:b/>
                <w:bCs/>
                <w:color w:val="FFFFFF"/>
                <w:sz w:val="18"/>
                <w:szCs w:val="18"/>
              </w:rPr>
              <w:t>12</w:t>
            </w:r>
            <w:r w:rsidRPr="009518F8">
              <w:rPr>
                <w:rFonts w:ascii="CAIXA Std Book" w:eastAsia="Times New Roman" w:hAnsi="CAIXA Std Book" w:cs="Calibri"/>
                <w:b/>
                <w:bCs/>
                <w:color w:val="FFFFFF"/>
                <w:sz w:val="18"/>
                <w:szCs w:val="18"/>
              </w:rPr>
              <w:t>/2025</w:t>
            </w:r>
            <w:r w:rsidRPr="009518F8">
              <w:rPr>
                <w:rFonts w:ascii="CAIXA Std Book" w:eastAsia="Times New Roman" w:hAnsi="CAIXA Std Book" w:cs="Calibri"/>
                <w:color w:val="005CA9"/>
                <w:sz w:val="18"/>
                <w:szCs w:val="18"/>
              </w:rPr>
              <w:t> </w:t>
            </w:r>
          </w:p>
        </w:tc>
      </w:tr>
      <w:tr w:rsidR="000E1D03" w:rsidRPr="009518F8" w14:paraId="3E312EA8" w14:textId="77777777" w:rsidTr="009F6A79">
        <w:trPr>
          <w:trHeight w:val="283"/>
        </w:trPr>
        <w:tc>
          <w:tcPr>
            <w:tcW w:w="1851" w:type="pct"/>
            <w:tcBorders>
              <w:top w:val="nil"/>
              <w:left w:val="nil"/>
              <w:bottom w:val="nil"/>
              <w:right w:val="nil"/>
            </w:tcBorders>
            <w:noWrap/>
            <w:vAlign w:val="center"/>
            <w:hideMark/>
          </w:tcPr>
          <w:p w14:paraId="3D79BCEB" w14:textId="77777777" w:rsidR="000E1D03" w:rsidRPr="009518F8" w:rsidRDefault="000E1D03">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Empréstimos e direitos creditórios descontados</w:t>
            </w:r>
          </w:p>
        </w:tc>
        <w:tc>
          <w:tcPr>
            <w:tcW w:w="630" w:type="pct"/>
            <w:tcBorders>
              <w:top w:val="nil"/>
              <w:left w:val="nil"/>
              <w:bottom w:val="nil"/>
              <w:right w:val="nil"/>
            </w:tcBorders>
            <w:noWrap/>
            <w:vAlign w:val="center"/>
            <w:hideMark/>
          </w:tcPr>
          <w:p w14:paraId="02515007" w14:textId="77777777" w:rsidR="000E1D03" w:rsidRPr="009518F8" w:rsidRDefault="000E1D0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21.288.406</w:t>
            </w:r>
          </w:p>
        </w:tc>
        <w:tc>
          <w:tcPr>
            <w:tcW w:w="630" w:type="pct"/>
            <w:tcBorders>
              <w:top w:val="nil"/>
              <w:left w:val="nil"/>
              <w:bottom w:val="nil"/>
              <w:right w:val="nil"/>
            </w:tcBorders>
            <w:vAlign w:val="center"/>
            <w:hideMark/>
          </w:tcPr>
          <w:p w14:paraId="0477C90E" w14:textId="01C51C34"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1.958.260</w:t>
            </w:r>
          </w:p>
        </w:tc>
        <w:tc>
          <w:tcPr>
            <w:tcW w:w="630" w:type="pct"/>
            <w:tcBorders>
              <w:top w:val="nil"/>
              <w:left w:val="nil"/>
              <w:bottom w:val="nil"/>
              <w:right w:val="nil"/>
            </w:tcBorders>
            <w:vAlign w:val="center"/>
            <w:hideMark/>
          </w:tcPr>
          <w:p w14:paraId="0268CD86" w14:textId="4A594231"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(9.259.105)</w:t>
            </w:r>
          </w:p>
        </w:tc>
        <w:tc>
          <w:tcPr>
            <w:tcW w:w="630" w:type="pct"/>
            <w:tcBorders>
              <w:top w:val="nil"/>
              <w:left w:val="nil"/>
              <w:bottom w:val="nil"/>
              <w:right w:val="nil"/>
            </w:tcBorders>
            <w:noWrap/>
            <w:vAlign w:val="center"/>
            <w:hideMark/>
          </w:tcPr>
          <w:p w14:paraId="09A130F7" w14:textId="75FFC5B0"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(4.286.274)</w:t>
            </w:r>
          </w:p>
        </w:tc>
        <w:tc>
          <w:tcPr>
            <w:tcW w:w="629" w:type="pct"/>
            <w:tcBorders>
              <w:top w:val="nil"/>
              <w:left w:val="nil"/>
              <w:bottom w:val="nil"/>
              <w:right w:val="nil"/>
            </w:tcBorders>
            <w:noWrap/>
            <w:vAlign w:val="center"/>
            <w:hideMark/>
          </w:tcPr>
          <w:p w14:paraId="07E02D29" w14:textId="443956F7"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9.701.287</w:t>
            </w:r>
          </w:p>
        </w:tc>
      </w:tr>
      <w:tr w:rsidR="000E1D03" w:rsidRPr="009518F8" w14:paraId="6077B6D5" w14:textId="77777777" w:rsidTr="009F6A79">
        <w:trPr>
          <w:trHeight w:val="283"/>
        </w:trPr>
        <w:tc>
          <w:tcPr>
            <w:tcW w:w="1851" w:type="pct"/>
            <w:tcBorders>
              <w:top w:val="nil"/>
              <w:left w:val="nil"/>
              <w:bottom w:val="nil"/>
              <w:right w:val="nil"/>
            </w:tcBorders>
            <w:noWrap/>
            <w:vAlign w:val="center"/>
            <w:hideMark/>
          </w:tcPr>
          <w:p w14:paraId="7FD7A7DE" w14:textId="77777777" w:rsidR="000E1D03" w:rsidRPr="009518F8" w:rsidRDefault="000E1D03">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w:t>
            </w:r>
          </w:p>
        </w:tc>
        <w:tc>
          <w:tcPr>
            <w:tcW w:w="630" w:type="pct"/>
            <w:tcBorders>
              <w:top w:val="nil"/>
              <w:left w:val="nil"/>
              <w:bottom w:val="nil"/>
              <w:right w:val="nil"/>
            </w:tcBorders>
            <w:noWrap/>
            <w:vAlign w:val="center"/>
            <w:hideMark/>
          </w:tcPr>
          <w:p w14:paraId="0F4FF4F3" w14:textId="77777777" w:rsidR="000E1D03" w:rsidRPr="009518F8" w:rsidRDefault="000E1D0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437.628</w:t>
            </w:r>
          </w:p>
        </w:tc>
        <w:tc>
          <w:tcPr>
            <w:tcW w:w="630" w:type="pct"/>
            <w:tcBorders>
              <w:top w:val="nil"/>
              <w:left w:val="nil"/>
              <w:bottom w:val="nil"/>
              <w:right w:val="nil"/>
            </w:tcBorders>
            <w:vAlign w:val="center"/>
            <w:hideMark/>
          </w:tcPr>
          <w:p w14:paraId="0974C727" w14:textId="72F7FD0D"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165.909</w:t>
            </w:r>
          </w:p>
        </w:tc>
        <w:tc>
          <w:tcPr>
            <w:tcW w:w="630" w:type="pct"/>
            <w:tcBorders>
              <w:top w:val="nil"/>
              <w:left w:val="nil"/>
              <w:bottom w:val="nil"/>
              <w:right w:val="nil"/>
            </w:tcBorders>
            <w:vAlign w:val="center"/>
            <w:hideMark/>
          </w:tcPr>
          <w:p w14:paraId="6008D179" w14:textId="45BB1CD4"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80.365</w:t>
            </w:r>
          </w:p>
        </w:tc>
        <w:tc>
          <w:tcPr>
            <w:tcW w:w="630" w:type="pct"/>
            <w:tcBorders>
              <w:top w:val="nil"/>
              <w:left w:val="nil"/>
              <w:bottom w:val="nil"/>
              <w:right w:val="nil"/>
            </w:tcBorders>
            <w:noWrap/>
            <w:vAlign w:val="center"/>
            <w:hideMark/>
          </w:tcPr>
          <w:p w14:paraId="4D58F289" w14:textId="5E9A85B1"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(166.542)</w:t>
            </w:r>
          </w:p>
        </w:tc>
        <w:tc>
          <w:tcPr>
            <w:tcW w:w="629" w:type="pct"/>
            <w:tcBorders>
              <w:top w:val="nil"/>
              <w:left w:val="nil"/>
              <w:bottom w:val="nil"/>
              <w:right w:val="nil"/>
            </w:tcBorders>
            <w:noWrap/>
            <w:vAlign w:val="center"/>
            <w:hideMark/>
          </w:tcPr>
          <w:p w14:paraId="685D5AF7" w14:textId="66DBA6FB"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517.360</w:t>
            </w:r>
          </w:p>
        </w:tc>
      </w:tr>
      <w:tr w:rsidR="000E1D03" w:rsidRPr="009518F8" w14:paraId="7EC6AD53" w14:textId="77777777" w:rsidTr="009F6A79">
        <w:trPr>
          <w:trHeight w:val="283"/>
        </w:trPr>
        <w:tc>
          <w:tcPr>
            <w:tcW w:w="1851" w:type="pct"/>
            <w:tcBorders>
              <w:top w:val="nil"/>
              <w:left w:val="nil"/>
              <w:bottom w:val="nil"/>
              <w:right w:val="nil"/>
            </w:tcBorders>
            <w:noWrap/>
            <w:vAlign w:val="center"/>
            <w:hideMark/>
          </w:tcPr>
          <w:p w14:paraId="6BADE1F1" w14:textId="77777777" w:rsidR="000E1D03" w:rsidRPr="009518F8" w:rsidRDefault="000E1D03">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 rurais</w:t>
            </w:r>
          </w:p>
        </w:tc>
        <w:tc>
          <w:tcPr>
            <w:tcW w:w="630" w:type="pct"/>
            <w:tcBorders>
              <w:top w:val="nil"/>
              <w:left w:val="nil"/>
              <w:bottom w:val="nil"/>
              <w:right w:val="nil"/>
            </w:tcBorders>
            <w:noWrap/>
            <w:vAlign w:val="center"/>
            <w:hideMark/>
          </w:tcPr>
          <w:p w14:paraId="08C1CF38" w14:textId="77777777" w:rsidR="000E1D03" w:rsidRPr="009518F8" w:rsidRDefault="000E1D0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850.510</w:t>
            </w:r>
          </w:p>
        </w:tc>
        <w:tc>
          <w:tcPr>
            <w:tcW w:w="630" w:type="pct"/>
            <w:tcBorders>
              <w:top w:val="nil"/>
              <w:left w:val="nil"/>
              <w:bottom w:val="nil"/>
              <w:right w:val="nil"/>
            </w:tcBorders>
            <w:vAlign w:val="center"/>
            <w:hideMark/>
          </w:tcPr>
          <w:p w14:paraId="0E3743C8" w14:textId="43EFFC3C"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155.378</w:t>
            </w:r>
          </w:p>
        </w:tc>
        <w:tc>
          <w:tcPr>
            <w:tcW w:w="630" w:type="pct"/>
            <w:tcBorders>
              <w:top w:val="nil"/>
              <w:left w:val="nil"/>
              <w:bottom w:val="nil"/>
              <w:right w:val="nil"/>
            </w:tcBorders>
            <w:vAlign w:val="center"/>
            <w:hideMark/>
          </w:tcPr>
          <w:p w14:paraId="792FF81D" w14:textId="380CDAAC"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2.361.887</w:t>
            </w:r>
          </w:p>
        </w:tc>
        <w:tc>
          <w:tcPr>
            <w:tcW w:w="630" w:type="pct"/>
            <w:tcBorders>
              <w:top w:val="nil"/>
              <w:left w:val="nil"/>
              <w:bottom w:val="nil"/>
              <w:right w:val="nil"/>
            </w:tcBorders>
            <w:noWrap/>
            <w:vAlign w:val="center"/>
            <w:hideMark/>
          </w:tcPr>
          <w:p w14:paraId="404E7409" w14:textId="58B3EE48"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(301.461)</w:t>
            </w:r>
          </w:p>
        </w:tc>
        <w:tc>
          <w:tcPr>
            <w:tcW w:w="629" w:type="pct"/>
            <w:tcBorders>
              <w:top w:val="nil"/>
              <w:left w:val="nil"/>
              <w:bottom w:val="nil"/>
              <w:right w:val="nil"/>
            </w:tcBorders>
            <w:noWrap/>
            <w:vAlign w:val="center"/>
            <w:hideMark/>
          </w:tcPr>
          <w:p w14:paraId="1CC64EB8" w14:textId="03223B5F"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3.066.314</w:t>
            </w:r>
          </w:p>
        </w:tc>
      </w:tr>
      <w:tr w:rsidR="000E1D03" w:rsidRPr="009518F8" w14:paraId="2CC4E696" w14:textId="77777777" w:rsidTr="009F6A79">
        <w:trPr>
          <w:trHeight w:val="283"/>
        </w:trPr>
        <w:tc>
          <w:tcPr>
            <w:tcW w:w="1851" w:type="pct"/>
            <w:tcBorders>
              <w:top w:val="nil"/>
              <w:left w:val="nil"/>
              <w:bottom w:val="nil"/>
              <w:right w:val="nil"/>
            </w:tcBorders>
            <w:noWrap/>
            <w:vAlign w:val="center"/>
            <w:hideMark/>
          </w:tcPr>
          <w:p w14:paraId="26F44A1B" w14:textId="77777777" w:rsidR="000E1D03" w:rsidRPr="009518F8" w:rsidRDefault="000E1D03">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 imobiliários</w:t>
            </w:r>
          </w:p>
        </w:tc>
        <w:tc>
          <w:tcPr>
            <w:tcW w:w="630" w:type="pct"/>
            <w:tcBorders>
              <w:top w:val="nil"/>
              <w:left w:val="nil"/>
              <w:bottom w:val="nil"/>
              <w:right w:val="nil"/>
            </w:tcBorders>
            <w:noWrap/>
            <w:vAlign w:val="center"/>
            <w:hideMark/>
          </w:tcPr>
          <w:p w14:paraId="04CBB884" w14:textId="77777777" w:rsidR="000E1D03" w:rsidRPr="009518F8" w:rsidRDefault="000E1D0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6.118.306</w:t>
            </w:r>
          </w:p>
        </w:tc>
        <w:tc>
          <w:tcPr>
            <w:tcW w:w="630" w:type="pct"/>
            <w:tcBorders>
              <w:top w:val="nil"/>
              <w:left w:val="nil"/>
              <w:bottom w:val="nil"/>
              <w:right w:val="nil"/>
            </w:tcBorders>
            <w:vAlign w:val="center"/>
            <w:hideMark/>
          </w:tcPr>
          <w:p w14:paraId="1672571A" w14:textId="360FA8A0"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684.978</w:t>
            </w:r>
          </w:p>
        </w:tc>
        <w:tc>
          <w:tcPr>
            <w:tcW w:w="630" w:type="pct"/>
            <w:tcBorders>
              <w:top w:val="nil"/>
              <w:left w:val="nil"/>
              <w:bottom w:val="nil"/>
              <w:right w:val="nil"/>
            </w:tcBorders>
            <w:vAlign w:val="center"/>
            <w:hideMark/>
          </w:tcPr>
          <w:p w14:paraId="3B844E4C" w14:textId="4762ADF9"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5.922.477</w:t>
            </w:r>
          </w:p>
        </w:tc>
        <w:tc>
          <w:tcPr>
            <w:tcW w:w="630" w:type="pct"/>
            <w:tcBorders>
              <w:top w:val="nil"/>
              <w:left w:val="nil"/>
              <w:bottom w:val="nil"/>
              <w:right w:val="nil"/>
            </w:tcBorders>
            <w:noWrap/>
            <w:vAlign w:val="center"/>
            <w:hideMark/>
          </w:tcPr>
          <w:p w14:paraId="5DBC88E2" w14:textId="6764506B"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(1.227.340)</w:t>
            </w:r>
          </w:p>
        </w:tc>
        <w:tc>
          <w:tcPr>
            <w:tcW w:w="629" w:type="pct"/>
            <w:tcBorders>
              <w:top w:val="nil"/>
              <w:left w:val="nil"/>
              <w:bottom w:val="nil"/>
              <w:right w:val="nil"/>
            </w:tcBorders>
            <w:noWrap/>
            <w:vAlign w:val="center"/>
            <w:hideMark/>
          </w:tcPr>
          <w:p w14:paraId="24DC26B0" w14:textId="2D77A599"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11.498.421</w:t>
            </w:r>
          </w:p>
        </w:tc>
      </w:tr>
      <w:tr w:rsidR="000E1D03" w:rsidRPr="009518F8" w14:paraId="31E2DCAB" w14:textId="77777777" w:rsidTr="009F6A79">
        <w:trPr>
          <w:trHeight w:val="283"/>
        </w:trPr>
        <w:tc>
          <w:tcPr>
            <w:tcW w:w="1851" w:type="pct"/>
            <w:tcBorders>
              <w:top w:val="nil"/>
              <w:left w:val="nil"/>
              <w:bottom w:val="nil"/>
              <w:right w:val="nil"/>
            </w:tcBorders>
            <w:noWrap/>
            <w:vAlign w:val="center"/>
            <w:hideMark/>
          </w:tcPr>
          <w:p w14:paraId="18CEC842" w14:textId="77777777" w:rsidR="000E1D03" w:rsidRPr="009518F8" w:rsidRDefault="000E1D03">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 de infraestrutura</w:t>
            </w:r>
          </w:p>
        </w:tc>
        <w:tc>
          <w:tcPr>
            <w:tcW w:w="630" w:type="pct"/>
            <w:tcBorders>
              <w:top w:val="nil"/>
              <w:left w:val="nil"/>
              <w:bottom w:val="nil"/>
              <w:right w:val="nil"/>
            </w:tcBorders>
            <w:noWrap/>
            <w:vAlign w:val="center"/>
            <w:hideMark/>
          </w:tcPr>
          <w:p w14:paraId="4FE5558E" w14:textId="77777777" w:rsidR="000E1D03" w:rsidRPr="009518F8" w:rsidRDefault="000E1D0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453.491</w:t>
            </w:r>
          </w:p>
        </w:tc>
        <w:tc>
          <w:tcPr>
            <w:tcW w:w="630" w:type="pct"/>
            <w:tcBorders>
              <w:top w:val="nil"/>
              <w:left w:val="nil"/>
              <w:bottom w:val="nil"/>
              <w:right w:val="nil"/>
            </w:tcBorders>
            <w:vAlign w:val="center"/>
            <w:hideMark/>
          </w:tcPr>
          <w:p w14:paraId="2C1010AA" w14:textId="66EF755B"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(37.280)</w:t>
            </w:r>
          </w:p>
        </w:tc>
        <w:tc>
          <w:tcPr>
            <w:tcW w:w="630" w:type="pct"/>
            <w:tcBorders>
              <w:top w:val="nil"/>
              <w:left w:val="nil"/>
              <w:bottom w:val="nil"/>
              <w:right w:val="nil"/>
            </w:tcBorders>
            <w:vAlign w:val="center"/>
            <w:hideMark/>
          </w:tcPr>
          <w:p w14:paraId="7F5C08B2" w14:textId="4C2C491A"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(36.038)</w:t>
            </w:r>
          </w:p>
        </w:tc>
        <w:tc>
          <w:tcPr>
            <w:tcW w:w="630" w:type="pct"/>
            <w:tcBorders>
              <w:top w:val="nil"/>
              <w:left w:val="nil"/>
              <w:bottom w:val="nil"/>
              <w:right w:val="nil"/>
            </w:tcBorders>
            <w:noWrap/>
            <w:vAlign w:val="center"/>
            <w:hideMark/>
          </w:tcPr>
          <w:p w14:paraId="08C684B0" w14:textId="63348192"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(4.379)</w:t>
            </w:r>
          </w:p>
        </w:tc>
        <w:tc>
          <w:tcPr>
            <w:tcW w:w="629" w:type="pct"/>
            <w:tcBorders>
              <w:top w:val="nil"/>
              <w:left w:val="nil"/>
              <w:bottom w:val="nil"/>
              <w:right w:val="nil"/>
            </w:tcBorders>
            <w:noWrap/>
            <w:vAlign w:val="center"/>
            <w:hideMark/>
          </w:tcPr>
          <w:p w14:paraId="42DCF654" w14:textId="07680730"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375.794</w:t>
            </w:r>
          </w:p>
        </w:tc>
      </w:tr>
      <w:tr w:rsidR="000E1D03" w:rsidRPr="009518F8" w14:paraId="33B78476" w14:textId="77777777" w:rsidTr="009F6A79">
        <w:trPr>
          <w:trHeight w:val="283"/>
        </w:trPr>
        <w:tc>
          <w:tcPr>
            <w:tcW w:w="1851" w:type="pct"/>
            <w:tcBorders>
              <w:top w:val="nil"/>
              <w:left w:val="nil"/>
              <w:bottom w:val="nil"/>
              <w:right w:val="nil"/>
            </w:tcBorders>
            <w:noWrap/>
            <w:vAlign w:val="center"/>
          </w:tcPr>
          <w:p w14:paraId="67385207" w14:textId="77777777" w:rsidR="000E1D03" w:rsidRPr="009518F8" w:rsidRDefault="000E1D03">
            <w:pP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Cessão de crédito</w:t>
            </w:r>
          </w:p>
        </w:tc>
        <w:tc>
          <w:tcPr>
            <w:tcW w:w="630" w:type="pct"/>
            <w:tcBorders>
              <w:top w:val="nil"/>
              <w:left w:val="nil"/>
              <w:bottom w:val="nil"/>
              <w:right w:val="nil"/>
            </w:tcBorders>
            <w:noWrap/>
            <w:vAlign w:val="center"/>
          </w:tcPr>
          <w:p w14:paraId="76AFC270" w14:textId="77777777" w:rsidR="000E1D03" w:rsidRPr="009518F8" w:rsidRDefault="000E1D0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26.741</w:t>
            </w:r>
          </w:p>
        </w:tc>
        <w:tc>
          <w:tcPr>
            <w:tcW w:w="630" w:type="pct"/>
            <w:tcBorders>
              <w:top w:val="nil"/>
              <w:left w:val="nil"/>
              <w:bottom w:val="nil"/>
              <w:right w:val="nil"/>
            </w:tcBorders>
            <w:vAlign w:val="center"/>
          </w:tcPr>
          <w:p w14:paraId="4FC3321B" w14:textId="3A70C8D2" w:rsidR="000E1D03" w:rsidRPr="009518F8" w:rsidRDefault="000E1D03">
            <w:pPr>
              <w:jc w:val="right"/>
              <w:rPr>
                <w:rFonts w:ascii="Times New Roman" w:eastAsia="Times New Roman" w:hAnsi="Times New Roman" w:cs="Times New Roman"/>
                <w:sz w:val="20"/>
                <w:szCs w:val="20"/>
              </w:rPr>
            </w:pPr>
            <w:r>
              <w:rPr>
                <w:rFonts w:ascii="CAIXA Std Book" w:hAnsi="CAIXA Std Book" w:cs="Calibri"/>
                <w:color w:val="005CA9"/>
                <w:sz w:val="18"/>
                <w:szCs w:val="18"/>
              </w:rPr>
              <w:t>(</w:t>
            </w:r>
            <w:r w:rsidR="008A797D">
              <w:rPr>
                <w:rFonts w:ascii="CAIXA Std Book" w:hAnsi="CAIXA Std Book" w:cs="Calibri"/>
                <w:color w:val="005CA9"/>
                <w:sz w:val="18"/>
                <w:szCs w:val="18"/>
              </w:rPr>
              <w:t>2.575</w:t>
            </w:r>
            <w:r>
              <w:rPr>
                <w:rFonts w:ascii="CAIXA Std Book" w:hAnsi="CAIXA Std Book" w:cs="Calibri"/>
                <w:color w:val="005CA9"/>
                <w:sz w:val="18"/>
                <w:szCs w:val="18"/>
              </w:rPr>
              <w:t>)</w:t>
            </w:r>
          </w:p>
        </w:tc>
        <w:tc>
          <w:tcPr>
            <w:tcW w:w="630" w:type="pct"/>
            <w:tcBorders>
              <w:top w:val="nil"/>
              <w:left w:val="nil"/>
              <w:bottom w:val="nil"/>
              <w:right w:val="nil"/>
            </w:tcBorders>
            <w:vAlign w:val="center"/>
          </w:tcPr>
          <w:p w14:paraId="0E66138C" w14:textId="6BE5DD29"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12.809</w:t>
            </w:r>
          </w:p>
        </w:tc>
        <w:tc>
          <w:tcPr>
            <w:tcW w:w="630" w:type="pct"/>
            <w:tcBorders>
              <w:top w:val="nil"/>
              <w:left w:val="nil"/>
              <w:bottom w:val="nil"/>
              <w:right w:val="nil"/>
            </w:tcBorders>
            <w:noWrap/>
            <w:vAlign w:val="center"/>
          </w:tcPr>
          <w:p w14:paraId="7D089E40" w14:textId="12A8BA90"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(5.554)</w:t>
            </w:r>
          </w:p>
        </w:tc>
        <w:tc>
          <w:tcPr>
            <w:tcW w:w="629" w:type="pct"/>
            <w:tcBorders>
              <w:top w:val="nil"/>
              <w:left w:val="nil"/>
              <w:bottom w:val="nil"/>
              <w:right w:val="nil"/>
            </w:tcBorders>
            <w:noWrap/>
            <w:vAlign w:val="center"/>
          </w:tcPr>
          <w:p w14:paraId="4EABE686" w14:textId="0BC3E2BF"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31.421</w:t>
            </w:r>
          </w:p>
        </w:tc>
      </w:tr>
      <w:tr w:rsidR="000E1D03" w:rsidRPr="009518F8" w14:paraId="49AE730E" w14:textId="77777777" w:rsidTr="009F6A79">
        <w:trPr>
          <w:trHeight w:val="283"/>
        </w:trPr>
        <w:tc>
          <w:tcPr>
            <w:tcW w:w="1851" w:type="pct"/>
            <w:tcBorders>
              <w:top w:val="nil"/>
              <w:left w:val="nil"/>
              <w:bottom w:val="nil"/>
              <w:right w:val="nil"/>
            </w:tcBorders>
            <w:noWrap/>
            <w:vAlign w:val="center"/>
            <w:hideMark/>
          </w:tcPr>
          <w:p w14:paraId="22617E48" w14:textId="77777777" w:rsidR="000E1D03" w:rsidRPr="009518F8" w:rsidRDefault="000E1D03">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 xml:space="preserve">Outros </w:t>
            </w:r>
            <w:r>
              <w:rPr>
                <w:rFonts w:ascii="CAIXA Std Book" w:eastAsia="Times New Roman" w:hAnsi="CAIXA Std Book" w:cs="Calibri"/>
                <w:color w:val="005CA9"/>
                <w:sz w:val="18"/>
                <w:szCs w:val="18"/>
              </w:rPr>
              <w:t>créditos</w:t>
            </w:r>
          </w:p>
        </w:tc>
        <w:tc>
          <w:tcPr>
            <w:tcW w:w="630" w:type="pct"/>
            <w:tcBorders>
              <w:top w:val="nil"/>
              <w:left w:val="nil"/>
              <w:bottom w:val="nil"/>
              <w:right w:val="nil"/>
            </w:tcBorders>
            <w:noWrap/>
            <w:vAlign w:val="center"/>
            <w:hideMark/>
          </w:tcPr>
          <w:p w14:paraId="11365AB7" w14:textId="77777777" w:rsidR="000E1D03" w:rsidRPr="009518F8" w:rsidRDefault="000E1D0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1.258.829</w:t>
            </w:r>
          </w:p>
        </w:tc>
        <w:tc>
          <w:tcPr>
            <w:tcW w:w="630" w:type="pct"/>
            <w:tcBorders>
              <w:top w:val="nil"/>
              <w:left w:val="nil"/>
              <w:bottom w:val="nil"/>
              <w:right w:val="nil"/>
            </w:tcBorders>
            <w:vAlign w:val="center"/>
            <w:hideMark/>
          </w:tcPr>
          <w:p w14:paraId="6D42C7B0" w14:textId="157E9AE4"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(1.254.264)</w:t>
            </w:r>
          </w:p>
        </w:tc>
        <w:tc>
          <w:tcPr>
            <w:tcW w:w="630" w:type="pct"/>
            <w:tcBorders>
              <w:top w:val="nil"/>
              <w:left w:val="nil"/>
              <w:bottom w:val="nil"/>
              <w:right w:val="nil"/>
            </w:tcBorders>
            <w:vAlign w:val="center"/>
            <w:hideMark/>
          </w:tcPr>
          <w:p w14:paraId="35F3A765" w14:textId="2D181E6D"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16.739</w:t>
            </w:r>
          </w:p>
        </w:tc>
        <w:tc>
          <w:tcPr>
            <w:tcW w:w="630" w:type="pct"/>
            <w:tcBorders>
              <w:top w:val="nil"/>
              <w:left w:val="nil"/>
              <w:bottom w:val="nil"/>
              <w:right w:val="nil"/>
            </w:tcBorders>
            <w:noWrap/>
            <w:vAlign w:val="center"/>
            <w:hideMark/>
          </w:tcPr>
          <w:p w14:paraId="5F699C4A" w14:textId="5DC229A8" w:rsidR="000E1D03" w:rsidRPr="009518F8" w:rsidRDefault="000E1D03">
            <w:pPr>
              <w:jc w:val="right"/>
              <w:rPr>
                <w:rFonts w:ascii="Times New Roman" w:eastAsia="Times New Roman" w:hAnsi="Times New Roman" w:cs="Times New Roman"/>
                <w:sz w:val="20"/>
                <w:szCs w:val="20"/>
              </w:rPr>
            </w:pPr>
            <w:r>
              <w:rPr>
                <w:rFonts w:ascii="CAIXA Std Book" w:hAnsi="CAIXA Std Book" w:cs="Calibri"/>
                <w:color w:val="005CA9"/>
                <w:sz w:val="18"/>
                <w:szCs w:val="18"/>
              </w:rPr>
              <w:t>(</w:t>
            </w:r>
            <w:r w:rsidR="008A797D">
              <w:rPr>
                <w:rFonts w:ascii="CAIXA Std Book" w:hAnsi="CAIXA Std Book" w:cs="Calibri"/>
                <w:color w:val="005CA9"/>
                <w:sz w:val="18"/>
                <w:szCs w:val="18"/>
              </w:rPr>
              <w:t>1.172</w:t>
            </w:r>
            <w:r>
              <w:rPr>
                <w:rFonts w:ascii="CAIXA Std Book" w:hAnsi="CAIXA Std Book" w:cs="Calibri"/>
                <w:color w:val="005CA9"/>
                <w:sz w:val="18"/>
                <w:szCs w:val="18"/>
              </w:rPr>
              <w:t>)</w:t>
            </w:r>
          </w:p>
        </w:tc>
        <w:tc>
          <w:tcPr>
            <w:tcW w:w="629" w:type="pct"/>
            <w:tcBorders>
              <w:top w:val="nil"/>
              <w:left w:val="nil"/>
              <w:bottom w:val="nil"/>
              <w:right w:val="nil"/>
            </w:tcBorders>
            <w:noWrap/>
            <w:vAlign w:val="center"/>
            <w:hideMark/>
          </w:tcPr>
          <w:p w14:paraId="719DB179" w14:textId="2C28FE33" w:rsidR="000E1D03" w:rsidRPr="009518F8" w:rsidRDefault="008A797D">
            <w:pPr>
              <w:jc w:val="right"/>
              <w:rPr>
                <w:rFonts w:ascii="Times New Roman" w:eastAsia="Times New Roman" w:hAnsi="Times New Roman" w:cs="Times New Roman"/>
                <w:sz w:val="20"/>
                <w:szCs w:val="20"/>
              </w:rPr>
            </w:pPr>
            <w:r>
              <w:rPr>
                <w:rFonts w:ascii="CAIXA Std Book" w:hAnsi="CAIXA Std Book" w:cs="Calibri"/>
                <w:color w:val="005CA9"/>
                <w:sz w:val="18"/>
                <w:szCs w:val="18"/>
              </w:rPr>
              <w:t>20.132</w:t>
            </w:r>
          </w:p>
        </w:tc>
      </w:tr>
      <w:tr w:rsidR="000E1D03" w:rsidRPr="009518F8" w14:paraId="1950D2ED" w14:textId="77777777" w:rsidTr="009F6A79">
        <w:trPr>
          <w:trHeight w:val="283"/>
        </w:trPr>
        <w:tc>
          <w:tcPr>
            <w:tcW w:w="1851" w:type="pct"/>
            <w:tcBorders>
              <w:top w:val="nil"/>
              <w:left w:val="nil"/>
              <w:bottom w:val="nil"/>
              <w:right w:val="nil"/>
            </w:tcBorders>
            <w:shd w:val="clear" w:color="auto" w:fill="005CA9"/>
            <w:noWrap/>
            <w:vAlign w:val="center"/>
            <w:hideMark/>
          </w:tcPr>
          <w:p w14:paraId="4480C2EB" w14:textId="77777777" w:rsidR="000E1D03" w:rsidRPr="009518F8" w:rsidRDefault="000E1D03">
            <w:pP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Total</w:t>
            </w:r>
            <w:r w:rsidRPr="009518F8">
              <w:rPr>
                <w:rFonts w:ascii="CAIXA Std Book" w:eastAsia="Times New Roman" w:hAnsi="CAIXA Std Book" w:cs="Calibri"/>
                <w:color w:val="005CA9"/>
                <w:sz w:val="18"/>
                <w:szCs w:val="18"/>
              </w:rPr>
              <w:t> </w:t>
            </w:r>
          </w:p>
        </w:tc>
        <w:tc>
          <w:tcPr>
            <w:tcW w:w="630" w:type="pct"/>
            <w:tcBorders>
              <w:top w:val="nil"/>
              <w:left w:val="nil"/>
              <w:bottom w:val="nil"/>
              <w:right w:val="nil"/>
            </w:tcBorders>
            <w:shd w:val="clear" w:color="auto" w:fill="005CA9"/>
            <w:noWrap/>
            <w:vAlign w:val="center"/>
            <w:hideMark/>
          </w:tcPr>
          <w:p w14:paraId="1AC27B41" w14:textId="77777777" w:rsidR="000E1D03" w:rsidRPr="009518F8" w:rsidRDefault="000E1D03">
            <w:pPr>
              <w:jc w:val="right"/>
              <w:rPr>
                <w:rFonts w:ascii="CAIXA Std Book" w:eastAsia="Times New Roman" w:hAnsi="CAIXA Std Book" w:cs="Calibri"/>
                <w:b/>
                <w:bCs/>
                <w:color w:val="FFFFFF"/>
                <w:sz w:val="18"/>
                <w:szCs w:val="18"/>
              </w:rPr>
            </w:pPr>
            <w:r w:rsidRPr="00617354">
              <w:rPr>
                <w:rFonts w:ascii="CAIXA Std Book" w:eastAsia="Times New Roman" w:hAnsi="CAIXA Std Book" w:cs="Calibri"/>
                <w:b/>
                <w:color w:val="FFFFFF"/>
                <w:sz w:val="18"/>
                <w:szCs w:val="18"/>
              </w:rPr>
              <w:t>30.433.911</w:t>
            </w:r>
          </w:p>
        </w:tc>
        <w:tc>
          <w:tcPr>
            <w:tcW w:w="630" w:type="pct"/>
            <w:tcBorders>
              <w:top w:val="nil"/>
              <w:left w:val="nil"/>
              <w:bottom w:val="nil"/>
              <w:right w:val="nil"/>
            </w:tcBorders>
            <w:shd w:val="clear" w:color="auto" w:fill="005CA9"/>
            <w:noWrap/>
            <w:vAlign w:val="center"/>
            <w:hideMark/>
          </w:tcPr>
          <w:p w14:paraId="31FF23D6" w14:textId="6B163CED" w:rsidR="000E1D03" w:rsidRPr="009518F8" w:rsidRDefault="008A797D">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1.670.406</w:t>
            </w:r>
          </w:p>
        </w:tc>
        <w:tc>
          <w:tcPr>
            <w:tcW w:w="630" w:type="pct"/>
            <w:tcBorders>
              <w:top w:val="nil"/>
              <w:left w:val="nil"/>
              <w:bottom w:val="nil"/>
              <w:right w:val="nil"/>
            </w:tcBorders>
            <w:shd w:val="clear" w:color="auto" w:fill="005CA9"/>
            <w:noWrap/>
            <w:vAlign w:val="center"/>
            <w:hideMark/>
          </w:tcPr>
          <w:p w14:paraId="240E9D90" w14:textId="6F204D9A" w:rsidR="000E1D03" w:rsidRPr="009518F8" w:rsidRDefault="008A797D">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(900.866)</w:t>
            </w:r>
          </w:p>
        </w:tc>
        <w:tc>
          <w:tcPr>
            <w:tcW w:w="630" w:type="pct"/>
            <w:tcBorders>
              <w:top w:val="nil"/>
              <w:left w:val="nil"/>
              <w:bottom w:val="nil"/>
              <w:right w:val="nil"/>
            </w:tcBorders>
            <w:shd w:val="clear" w:color="auto" w:fill="005CA9"/>
            <w:noWrap/>
            <w:vAlign w:val="center"/>
            <w:hideMark/>
          </w:tcPr>
          <w:p w14:paraId="5FBF6877" w14:textId="5A6A49DE" w:rsidR="000E1D03" w:rsidRPr="009518F8" w:rsidRDefault="008A797D">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(5.992.722)</w:t>
            </w:r>
          </w:p>
        </w:tc>
        <w:tc>
          <w:tcPr>
            <w:tcW w:w="629" w:type="pct"/>
            <w:tcBorders>
              <w:top w:val="nil"/>
              <w:left w:val="nil"/>
              <w:bottom w:val="nil"/>
              <w:right w:val="nil"/>
            </w:tcBorders>
            <w:shd w:val="clear" w:color="auto" w:fill="005CA9"/>
            <w:noWrap/>
            <w:vAlign w:val="center"/>
            <w:hideMark/>
          </w:tcPr>
          <w:p w14:paraId="4D177E30" w14:textId="43A9362C" w:rsidR="000E1D03" w:rsidRPr="009518F8" w:rsidRDefault="008A797D">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25.210.729</w:t>
            </w:r>
          </w:p>
        </w:tc>
      </w:tr>
    </w:tbl>
    <w:p w14:paraId="23C54D30" w14:textId="77777777" w:rsidR="00D363AF" w:rsidRDefault="00D363AF">
      <w:r>
        <w:br w:type="page"/>
      </w:r>
    </w:p>
    <w:tbl>
      <w:tblPr>
        <w:tblW w:w="5000" w:type="pct"/>
        <w:tblCellMar>
          <w:left w:w="70" w:type="dxa"/>
          <w:right w:w="70" w:type="dxa"/>
        </w:tblCellMar>
        <w:tblLook w:val="04A0" w:firstRow="1" w:lastRow="0" w:firstColumn="1" w:lastColumn="0" w:noHBand="0" w:noVBand="1"/>
      </w:tblPr>
      <w:tblGrid>
        <w:gridCol w:w="5387"/>
        <w:gridCol w:w="1835"/>
        <w:gridCol w:w="1836"/>
        <w:gridCol w:w="1836"/>
        <w:gridCol w:w="1836"/>
        <w:gridCol w:w="1839"/>
      </w:tblGrid>
      <w:tr w:rsidR="008123A9" w:rsidRPr="009518F8" w14:paraId="4EE67F79" w14:textId="77777777">
        <w:trPr>
          <w:trHeight w:val="283"/>
        </w:trPr>
        <w:tc>
          <w:tcPr>
            <w:tcW w:w="5000" w:type="pct"/>
            <w:gridSpan w:val="6"/>
            <w:tcBorders>
              <w:top w:val="nil"/>
              <w:left w:val="nil"/>
              <w:bottom w:val="single" w:sz="4" w:space="0" w:color="FFFFFF" w:themeColor="background1"/>
              <w:right w:val="nil"/>
            </w:tcBorders>
            <w:shd w:val="clear" w:color="auto" w:fill="005CA9"/>
            <w:vAlign w:val="center"/>
            <w:hideMark/>
          </w:tcPr>
          <w:p w14:paraId="3E1BE329" w14:textId="77777777" w:rsidR="008123A9" w:rsidRPr="009518F8" w:rsidRDefault="008123A9">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 xml:space="preserve">Individual </w:t>
            </w:r>
          </w:p>
        </w:tc>
      </w:tr>
      <w:tr w:rsidR="008123A9" w:rsidRPr="009518F8" w14:paraId="425B21B5" w14:textId="77777777">
        <w:trPr>
          <w:trHeight w:val="283"/>
        </w:trPr>
        <w:tc>
          <w:tcPr>
            <w:tcW w:w="1849" w:type="pct"/>
            <w:tcBorders>
              <w:top w:val="single" w:sz="4" w:space="0" w:color="FFFFFF" w:themeColor="background1"/>
              <w:left w:val="nil"/>
              <w:bottom w:val="nil"/>
              <w:right w:val="nil"/>
            </w:tcBorders>
            <w:shd w:val="clear" w:color="auto" w:fill="005CA9"/>
            <w:vAlign w:val="center"/>
            <w:hideMark/>
          </w:tcPr>
          <w:p w14:paraId="7BB52E27" w14:textId="77777777" w:rsidR="008123A9" w:rsidRPr="009518F8" w:rsidRDefault="008123A9">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Estágio 3</w:t>
            </w:r>
            <w:r w:rsidRPr="009518F8">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70B88F44" w14:textId="77777777" w:rsidR="008123A9" w:rsidRPr="009518F8" w:rsidRDefault="008123A9">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Saldo em 01/01/2025</w:t>
            </w:r>
            <w:r w:rsidRPr="009518F8">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735D22B4" w14:textId="77777777" w:rsidR="008123A9" w:rsidRPr="009518F8" w:rsidRDefault="008123A9">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Contratação/ liquidação</w:t>
            </w:r>
            <w:r w:rsidRPr="009518F8">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57094F19" w14:textId="77777777" w:rsidR="008123A9" w:rsidRDefault="008123A9">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Transferência do/</w:t>
            </w:r>
          </w:p>
          <w:p w14:paraId="1B2C47BA" w14:textId="77777777" w:rsidR="008123A9" w:rsidRPr="009518F8" w:rsidRDefault="008123A9">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para estágio 1</w:t>
            </w:r>
            <w:r w:rsidRPr="009518F8">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0CC875A7" w14:textId="77777777" w:rsidR="008123A9" w:rsidRDefault="008123A9">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Transferência do/</w:t>
            </w:r>
          </w:p>
          <w:p w14:paraId="01563B4C" w14:textId="77777777" w:rsidR="008123A9" w:rsidRPr="009518F8" w:rsidRDefault="008123A9">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para estágio 2</w:t>
            </w:r>
            <w:r w:rsidRPr="009518F8">
              <w:rPr>
                <w:rFonts w:ascii="CAIXA Std Book" w:eastAsia="Times New Roman" w:hAnsi="CAIXA Std Book" w:cs="Calibri"/>
                <w:color w:val="005CA9"/>
                <w:sz w:val="18"/>
                <w:szCs w:val="18"/>
              </w:rPr>
              <w:t> </w:t>
            </w:r>
          </w:p>
        </w:tc>
        <w:tc>
          <w:tcPr>
            <w:tcW w:w="631" w:type="pct"/>
            <w:tcBorders>
              <w:top w:val="single" w:sz="4" w:space="0" w:color="FFFFFF" w:themeColor="background1"/>
              <w:left w:val="nil"/>
              <w:bottom w:val="nil"/>
              <w:right w:val="nil"/>
            </w:tcBorders>
            <w:shd w:val="clear" w:color="auto" w:fill="005CA9"/>
            <w:vAlign w:val="center"/>
            <w:hideMark/>
          </w:tcPr>
          <w:p w14:paraId="642D8BDA" w14:textId="77777777" w:rsidR="008123A9" w:rsidRPr="009518F8" w:rsidRDefault="008123A9">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Saldo em 31/</w:t>
            </w:r>
            <w:r>
              <w:rPr>
                <w:rFonts w:ascii="CAIXA Std Book" w:eastAsia="Times New Roman" w:hAnsi="CAIXA Std Book" w:cs="Calibri"/>
                <w:b/>
                <w:bCs/>
                <w:color w:val="FFFFFF"/>
                <w:sz w:val="18"/>
                <w:szCs w:val="18"/>
              </w:rPr>
              <w:t>12</w:t>
            </w:r>
            <w:r w:rsidRPr="009518F8">
              <w:rPr>
                <w:rFonts w:ascii="CAIXA Std Book" w:eastAsia="Times New Roman" w:hAnsi="CAIXA Std Book" w:cs="Calibri"/>
                <w:b/>
                <w:bCs/>
                <w:color w:val="FFFFFF"/>
                <w:sz w:val="18"/>
                <w:szCs w:val="18"/>
              </w:rPr>
              <w:t>/2025</w:t>
            </w:r>
            <w:r w:rsidRPr="009518F8">
              <w:rPr>
                <w:rFonts w:ascii="CAIXA Std Book" w:eastAsia="Times New Roman" w:hAnsi="CAIXA Std Book" w:cs="Calibri"/>
                <w:color w:val="005CA9"/>
                <w:sz w:val="18"/>
                <w:szCs w:val="18"/>
              </w:rPr>
              <w:t> </w:t>
            </w:r>
          </w:p>
        </w:tc>
      </w:tr>
      <w:tr w:rsidR="008123A9" w:rsidRPr="009518F8" w14:paraId="02CCB555" w14:textId="77777777">
        <w:trPr>
          <w:trHeight w:val="283"/>
        </w:trPr>
        <w:tc>
          <w:tcPr>
            <w:tcW w:w="1849" w:type="pct"/>
            <w:tcBorders>
              <w:top w:val="nil"/>
              <w:left w:val="nil"/>
              <w:bottom w:val="nil"/>
              <w:right w:val="nil"/>
            </w:tcBorders>
            <w:noWrap/>
            <w:vAlign w:val="center"/>
            <w:hideMark/>
          </w:tcPr>
          <w:p w14:paraId="3D28F731" w14:textId="77777777" w:rsidR="008123A9" w:rsidRPr="009518F8" w:rsidRDefault="008123A9">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Empréstimos e direitos creditórios descontados </w:t>
            </w:r>
          </w:p>
        </w:tc>
        <w:tc>
          <w:tcPr>
            <w:tcW w:w="630" w:type="pct"/>
            <w:tcBorders>
              <w:top w:val="nil"/>
              <w:left w:val="nil"/>
              <w:bottom w:val="nil"/>
              <w:right w:val="nil"/>
            </w:tcBorders>
            <w:noWrap/>
            <w:vAlign w:val="center"/>
            <w:hideMark/>
          </w:tcPr>
          <w:p w14:paraId="679FF5DB" w14:textId="77777777" w:rsidR="008123A9" w:rsidRPr="009518F8" w:rsidRDefault="008123A9">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21.745.337</w:t>
            </w:r>
          </w:p>
        </w:tc>
        <w:tc>
          <w:tcPr>
            <w:tcW w:w="630" w:type="pct"/>
            <w:tcBorders>
              <w:top w:val="nil"/>
              <w:left w:val="nil"/>
              <w:bottom w:val="nil"/>
              <w:right w:val="nil"/>
            </w:tcBorders>
            <w:vAlign w:val="center"/>
            <w:hideMark/>
          </w:tcPr>
          <w:p w14:paraId="7EA7B157" w14:textId="4043A7D6" w:rsidR="008123A9" w:rsidRPr="007D23DE" w:rsidRDefault="00583B2B">
            <w:pPr>
              <w:jc w:val="right"/>
              <w:rPr>
                <w:rFonts w:ascii="CAIXA Std Book" w:hAnsi="CAIXA Std Book" w:cs="Calibri"/>
                <w:color w:val="005CA9"/>
                <w:sz w:val="18"/>
                <w:szCs w:val="18"/>
              </w:rPr>
            </w:pPr>
            <w:r w:rsidRPr="007D23DE">
              <w:rPr>
                <w:rFonts w:ascii="CAIXA Std Book" w:hAnsi="CAIXA Std Book" w:cs="Calibri"/>
                <w:color w:val="005CA9"/>
                <w:sz w:val="18"/>
                <w:szCs w:val="18"/>
              </w:rPr>
              <w:t>(1.756.382)</w:t>
            </w:r>
          </w:p>
        </w:tc>
        <w:tc>
          <w:tcPr>
            <w:tcW w:w="630" w:type="pct"/>
            <w:tcBorders>
              <w:top w:val="nil"/>
              <w:left w:val="nil"/>
              <w:bottom w:val="nil"/>
              <w:right w:val="nil"/>
            </w:tcBorders>
            <w:vAlign w:val="center"/>
            <w:hideMark/>
          </w:tcPr>
          <w:p w14:paraId="024B4E32" w14:textId="2685FAE1" w:rsidR="008123A9" w:rsidRPr="007D23DE" w:rsidRDefault="00583B2B">
            <w:pPr>
              <w:jc w:val="right"/>
              <w:rPr>
                <w:rFonts w:ascii="CAIXA Std Book" w:hAnsi="CAIXA Std Book" w:cs="Calibri"/>
                <w:color w:val="005CA9"/>
                <w:sz w:val="18"/>
                <w:szCs w:val="18"/>
              </w:rPr>
            </w:pPr>
            <w:r>
              <w:rPr>
                <w:rFonts w:ascii="CAIXA Std Book" w:hAnsi="CAIXA Std Book" w:cs="Calibri"/>
                <w:color w:val="005CA9"/>
                <w:sz w:val="18"/>
                <w:szCs w:val="18"/>
              </w:rPr>
              <w:t>6.758.151</w:t>
            </w:r>
          </w:p>
        </w:tc>
        <w:tc>
          <w:tcPr>
            <w:tcW w:w="630" w:type="pct"/>
            <w:tcBorders>
              <w:top w:val="nil"/>
              <w:left w:val="nil"/>
              <w:bottom w:val="nil"/>
              <w:right w:val="nil"/>
            </w:tcBorders>
            <w:noWrap/>
            <w:vAlign w:val="center"/>
            <w:hideMark/>
          </w:tcPr>
          <w:p w14:paraId="1E0383BF" w14:textId="10EA1260"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4.286.274</w:t>
            </w:r>
          </w:p>
        </w:tc>
        <w:tc>
          <w:tcPr>
            <w:tcW w:w="631" w:type="pct"/>
            <w:tcBorders>
              <w:top w:val="nil"/>
              <w:left w:val="nil"/>
              <w:bottom w:val="nil"/>
              <w:right w:val="nil"/>
            </w:tcBorders>
            <w:noWrap/>
            <w:vAlign w:val="center"/>
            <w:hideMark/>
          </w:tcPr>
          <w:p w14:paraId="07E1F6FB" w14:textId="7F66E16E"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31.033.380</w:t>
            </w:r>
          </w:p>
        </w:tc>
      </w:tr>
      <w:tr w:rsidR="008123A9" w:rsidRPr="009518F8" w14:paraId="4BAF29C9" w14:textId="77777777">
        <w:trPr>
          <w:trHeight w:val="283"/>
        </w:trPr>
        <w:tc>
          <w:tcPr>
            <w:tcW w:w="1849" w:type="pct"/>
            <w:tcBorders>
              <w:top w:val="nil"/>
              <w:left w:val="nil"/>
              <w:bottom w:val="nil"/>
              <w:right w:val="nil"/>
            </w:tcBorders>
            <w:noWrap/>
            <w:vAlign w:val="center"/>
            <w:hideMark/>
          </w:tcPr>
          <w:p w14:paraId="02552F8F" w14:textId="77777777" w:rsidR="008123A9" w:rsidRPr="009518F8" w:rsidRDefault="008123A9">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 </w:t>
            </w:r>
          </w:p>
        </w:tc>
        <w:tc>
          <w:tcPr>
            <w:tcW w:w="630" w:type="pct"/>
            <w:tcBorders>
              <w:top w:val="nil"/>
              <w:left w:val="nil"/>
              <w:bottom w:val="nil"/>
              <w:right w:val="nil"/>
            </w:tcBorders>
            <w:noWrap/>
            <w:vAlign w:val="center"/>
            <w:hideMark/>
          </w:tcPr>
          <w:p w14:paraId="190E44D7" w14:textId="77777777" w:rsidR="008123A9" w:rsidRPr="009518F8" w:rsidRDefault="008123A9">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578.823</w:t>
            </w:r>
          </w:p>
        </w:tc>
        <w:tc>
          <w:tcPr>
            <w:tcW w:w="630" w:type="pct"/>
            <w:tcBorders>
              <w:top w:val="nil"/>
              <w:left w:val="nil"/>
              <w:bottom w:val="nil"/>
              <w:right w:val="nil"/>
            </w:tcBorders>
            <w:vAlign w:val="center"/>
            <w:hideMark/>
          </w:tcPr>
          <w:p w14:paraId="5373A5F2" w14:textId="3184C174"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530.233</w:t>
            </w:r>
          </w:p>
        </w:tc>
        <w:tc>
          <w:tcPr>
            <w:tcW w:w="630" w:type="pct"/>
            <w:tcBorders>
              <w:top w:val="nil"/>
              <w:left w:val="nil"/>
              <w:bottom w:val="nil"/>
              <w:right w:val="nil"/>
            </w:tcBorders>
            <w:vAlign w:val="center"/>
            <w:hideMark/>
          </w:tcPr>
          <w:p w14:paraId="16B20FD3" w14:textId="5152AD44"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350.639</w:t>
            </w:r>
          </w:p>
        </w:tc>
        <w:tc>
          <w:tcPr>
            <w:tcW w:w="630" w:type="pct"/>
            <w:tcBorders>
              <w:top w:val="nil"/>
              <w:left w:val="nil"/>
              <w:bottom w:val="nil"/>
              <w:right w:val="nil"/>
            </w:tcBorders>
            <w:noWrap/>
            <w:vAlign w:val="center"/>
            <w:hideMark/>
          </w:tcPr>
          <w:p w14:paraId="4815C9EC" w14:textId="54010448"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166.542</w:t>
            </w:r>
          </w:p>
        </w:tc>
        <w:tc>
          <w:tcPr>
            <w:tcW w:w="631" w:type="pct"/>
            <w:tcBorders>
              <w:top w:val="nil"/>
              <w:left w:val="nil"/>
              <w:bottom w:val="nil"/>
              <w:right w:val="nil"/>
            </w:tcBorders>
            <w:noWrap/>
            <w:vAlign w:val="center"/>
            <w:hideMark/>
          </w:tcPr>
          <w:p w14:paraId="06F04C63" w14:textId="2525EA09"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1.626.237</w:t>
            </w:r>
          </w:p>
        </w:tc>
      </w:tr>
      <w:tr w:rsidR="008123A9" w:rsidRPr="009518F8" w14:paraId="6EE94C36" w14:textId="77777777">
        <w:trPr>
          <w:trHeight w:val="283"/>
        </w:trPr>
        <w:tc>
          <w:tcPr>
            <w:tcW w:w="1849" w:type="pct"/>
            <w:tcBorders>
              <w:top w:val="nil"/>
              <w:left w:val="nil"/>
              <w:bottom w:val="nil"/>
              <w:right w:val="nil"/>
            </w:tcBorders>
            <w:noWrap/>
            <w:vAlign w:val="center"/>
            <w:hideMark/>
          </w:tcPr>
          <w:p w14:paraId="19E2EA39" w14:textId="77777777" w:rsidR="008123A9" w:rsidRPr="009518F8" w:rsidRDefault="008123A9">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 rurais</w:t>
            </w:r>
          </w:p>
        </w:tc>
        <w:tc>
          <w:tcPr>
            <w:tcW w:w="630" w:type="pct"/>
            <w:tcBorders>
              <w:top w:val="nil"/>
              <w:left w:val="nil"/>
              <w:bottom w:val="nil"/>
              <w:right w:val="nil"/>
            </w:tcBorders>
            <w:noWrap/>
            <w:vAlign w:val="center"/>
            <w:hideMark/>
          </w:tcPr>
          <w:p w14:paraId="31405D42" w14:textId="77777777" w:rsidR="008123A9" w:rsidRPr="009518F8" w:rsidRDefault="008123A9">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4.008.564</w:t>
            </w:r>
          </w:p>
        </w:tc>
        <w:tc>
          <w:tcPr>
            <w:tcW w:w="630" w:type="pct"/>
            <w:tcBorders>
              <w:top w:val="nil"/>
              <w:left w:val="nil"/>
              <w:bottom w:val="nil"/>
              <w:right w:val="nil"/>
            </w:tcBorders>
            <w:vAlign w:val="center"/>
            <w:hideMark/>
          </w:tcPr>
          <w:p w14:paraId="0D466A92" w14:textId="46DFA109"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181.765</w:t>
            </w:r>
          </w:p>
        </w:tc>
        <w:tc>
          <w:tcPr>
            <w:tcW w:w="630" w:type="pct"/>
            <w:tcBorders>
              <w:top w:val="nil"/>
              <w:left w:val="nil"/>
              <w:bottom w:val="nil"/>
              <w:right w:val="nil"/>
            </w:tcBorders>
            <w:vAlign w:val="center"/>
            <w:hideMark/>
          </w:tcPr>
          <w:p w14:paraId="6173225A" w14:textId="6B93D8F1"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6.224.495</w:t>
            </w:r>
          </w:p>
        </w:tc>
        <w:tc>
          <w:tcPr>
            <w:tcW w:w="630" w:type="pct"/>
            <w:tcBorders>
              <w:top w:val="nil"/>
              <w:left w:val="nil"/>
              <w:bottom w:val="nil"/>
              <w:right w:val="nil"/>
            </w:tcBorders>
            <w:noWrap/>
            <w:vAlign w:val="center"/>
            <w:hideMark/>
          </w:tcPr>
          <w:p w14:paraId="18F9C332" w14:textId="09D0B667"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301.461</w:t>
            </w:r>
          </w:p>
        </w:tc>
        <w:tc>
          <w:tcPr>
            <w:tcW w:w="631" w:type="pct"/>
            <w:tcBorders>
              <w:top w:val="nil"/>
              <w:left w:val="nil"/>
              <w:bottom w:val="nil"/>
              <w:right w:val="nil"/>
            </w:tcBorders>
            <w:noWrap/>
            <w:vAlign w:val="center"/>
            <w:hideMark/>
          </w:tcPr>
          <w:p w14:paraId="40C2093D" w14:textId="3515555C"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10.716.285</w:t>
            </w:r>
          </w:p>
        </w:tc>
      </w:tr>
      <w:tr w:rsidR="008123A9" w:rsidRPr="009518F8" w14:paraId="47AE04DB" w14:textId="77777777">
        <w:trPr>
          <w:trHeight w:val="283"/>
        </w:trPr>
        <w:tc>
          <w:tcPr>
            <w:tcW w:w="1849" w:type="pct"/>
            <w:tcBorders>
              <w:top w:val="nil"/>
              <w:left w:val="nil"/>
              <w:bottom w:val="nil"/>
              <w:right w:val="nil"/>
            </w:tcBorders>
            <w:noWrap/>
            <w:vAlign w:val="center"/>
            <w:hideMark/>
          </w:tcPr>
          <w:p w14:paraId="071DB8C5" w14:textId="77777777" w:rsidR="008123A9" w:rsidRPr="009518F8" w:rsidRDefault="008123A9">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 imobiliários </w:t>
            </w:r>
          </w:p>
        </w:tc>
        <w:tc>
          <w:tcPr>
            <w:tcW w:w="630" w:type="pct"/>
            <w:tcBorders>
              <w:top w:val="nil"/>
              <w:left w:val="nil"/>
              <w:bottom w:val="nil"/>
              <w:right w:val="nil"/>
            </w:tcBorders>
            <w:noWrap/>
            <w:vAlign w:val="center"/>
            <w:hideMark/>
          </w:tcPr>
          <w:p w14:paraId="1A460881" w14:textId="77777777" w:rsidR="008123A9" w:rsidRPr="009518F8" w:rsidRDefault="008123A9">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32.603.630</w:t>
            </w:r>
          </w:p>
        </w:tc>
        <w:tc>
          <w:tcPr>
            <w:tcW w:w="630" w:type="pct"/>
            <w:tcBorders>
              <w:top w:val="nil"/>
              <w:left w:val="nil"/>
              <w:bottom w:val="nil"/>
              <w:right w:val="nil"/>
            </w:tcBorders>
            <w:vAlign w:val="center"/>
            <w:hideMark/>
          </w:tcPr>
          <w:p w14:paraId="0BC0F36A" w14:textId="3CB99B14"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(3.134.792)</w:t>
            </w:r>
          </w:p>
        </w:tc>
        <w:tc>
          <w:tcPr>
            <w:tcW w:w="630" w:type="pct"/>
            <w:tcBorders>
              <w:top w:val="nil"/>
              <w:left w:val="nil"/>
              <w:bottom w:val="nil"/>
              <w:right w:val="nil"/>
            </w:tcBorders>
            <w:vAlign w:val="center"/>
            <w:hideMark/>
          </w:tcPr>
          <w:p w14:paraId="0446E5FB" w14:textId="22D0D564"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9.250.518</w:t>
            </w:r>
          </w:p>
        </w:tc>
        <w:tc>
          <w:tcPr>
            <w:tcW w:w="630" w:type="pct"/>
            <w:tcBorders>
              <w:top w:val="nil"/>
              <w:left w:val="nil"/>
              <w:bottom w:val="nil"/>
              <w:right w:val="nil"/>
            </w:tcBorders>
            <w:noWrap/>
            <w:vAlign w:val="center"/>
            <w:hideMark/>
          </w:tcPr>
          <w:p w14:paraId="2EF171B3" w14:textId="7F94932F"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1.227.340</w:t>
            </w:r>
          </w:p>
        </w:tc>
        <w:tc>
          <w:tcPr>
            <w:tcW w:w="631" w:type="pct"/>
            <w:tcBorders>
              <w:top w:val="nil"/>
              <w:left w:val="nil"/>
              <w:bottom w:val="nil"/>
              <w:right w:val="nil"/>
            </w:tcBorders>
            <w:noWrap/>
            <w:vAlign w:val="center"/>
            <w:hideMark/>
          </w:tcPr>
          <w:p w14:paraId="7FA3BD9C" w14:textId="73BFC481"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39.946.696</w:t>
            </w:r>
          </w:p>
        </w:tc>
      </w:tr>
      <w:tr w:rsidR="008123A9" w:rsidRPr="009518F8" w14:paraId="19FD43C4" w14:textId="77777777">
        <w:trPr>
          <w:trHeight w:val="283"/>
        </w:trPr>
        <w:tc>
          <w:tcPr>
            <w:tcW w:w="1849" w:type="pct"/>
            <w:tcBorders>
              <w:top w:val="nil"/>
              <w:left w:val="nil"/>
              <w:bottom w:val="nil"/>
              <w:right w:val="nil"/>
            </w:tcBorders>
            <w:noWrap/>
            <w:vAlign w:val="center"/>
            <w:hideMark/>
          </w:tcPr>
          <w:p w14:paraId="79FD10B5" w14:textId="77777777" w:rsidR="008123A9" w:rsidRPr="009518F8" w:rsidRDefault="008123A9">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 de infraestrutura </w:t>
            </w:r>
          </w:p>
        </w:tc>
        <w:tc>
          <w:tcPr>
            <w:tcW w:w="630" w:type="pct"/>
            <w:tcBorders>
              <w:top w:val="nil"/>
              <w:left w:val="nil"/>
              <w:bottom w:val="nil"/>
              <w:right w:val="nil"/>
            </w:tcBorders>
            <w:noWrap/>
            <w:vAlign w:val="center"/>
            <w:hideMark/>
          </w:tcPr>
          <w:p w14:paraId="7C76F712" w14:textId="77777777" w:rsidR="008123A9" w:rsidRPr="009518F8" w:rsidRDefault="008123A9">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5.865.448</w:t>
            </w:r>
          </w:p>
        </w:tc>
        <w:tc>
          <w:tcPr>
            <w:tcW w:w="630" w:type="pct"/>
            <w:tcBorders>
              <w:top w:val="nil"/>
              <w:left w:val="nil"/>
              <w:bottom w:val="nil"/>
              <w:right w:val="nil"/>
            </w:tcBorders>
            <w:vAlign w:val="center"/>
            <w:hideMark/>
          </w:tcPr>
          <w:p w14:paraId="7AF16F89" w14:textId="74B6CE27"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(205.735)</w:t>
            </w:r>
          </w:p>
        </w:tc>
        <w:tc>
          <w:tcPr>
            <w:tcW w:w="630" w:type="pct"/>
            <w:tcBorders>
              <w:top w:val="nil"/>
              <w:left w:val="nil"/>
              <w:bottom w:val="nil"/>
              <w:right w:val="nil"/>
            </w:tcBorders>
            <w:vAlign w:val="center"/>
            <w:hideMark/>
          </w:tcPr>
          <w:p w14:paraId="1B50E0AB" w14:textId="098A19B6" w:rsidR="008123A9" w:rsidRPr="00FE1B3B" w:rsidRDefault="00583B2B" w:rsidP="00583B2B">
            <w:pPr>
              <w:jc w:val="right"/>
              <w:rPr>
                <w:rFonts w:ascii="CAIXA Std Book" w:hAnsi="CAIXA Std Book" w:cs="Calibri"/>
                <w:color w:val="005CA9"/>
                <w:sz w:val="18"/>
                <w:szCs w:val="18"/>
              </w:rPr>
            </w:pPr>
            <w:r>
              <w:rPr>
                <w:rFonts w:ascii="CAIXA Std Book" w:hAnsi="CAIXA Std Book" w:cs="Calibri"/>
                <w:color w:val="005CA9"/>
                <w:sz w:val="18"/>
                <w:szCs w:val="18"/>
              </w:rPr>
              <w:t>102.162</w:t>
            </w:r>
          </w:p>
        </w:tc>
        <w:tc>
          <w:tcPr>
            <w:tcW w:w="630" w:type="pct"/>
            <w:tcBorders>
              <w:top w:val="nil"/>
              <w:left w:val="nil"/>
              <w:bottom w:val="nil"/>
              <w:right w:val="nil"/>
            </w:tcBorders>
            <w:noWrap/>
            <w:vAlign w:val="center"/>
            <w:hideMark/>
          </w:tcPr>
          <w:p w14:paraId="08C7CA61" w14:textId="02283BE2"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4.379</w:t>
            </w:r>
          </w:p>
        </w:tc>
        <w:tc>
          <w:tcPr>
            <w:tcW w:w="631" w:type="pct"/>
            <w:tcBorders>
              <w:top w:val="nil"/>
              <w:left w:val="nil"/>
              <w:bottom w:val="nil"/>
              <w:right w:val="nil"/>
            </w:tcBorders>
            <w:noWrap/>
            <w:vAlign w:val="center"/>
            <w:hideMark/>
          </w:tcPr>
          <w:p w14:paraId="73AB9EF0" w14:textId="4FDB5261"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5.766.254</w:t>
            </w:r>
          </w:p>
        </w:tc>
      </w:tr>
      <w:tr w:rsidR="008123A9" w:rsidRPr="009518F8" w14:paraId="723B42D7" w14:textId="77777777">
        <w:trPr>
          <w:trHeight w:val="283"/>
        </w:trPr>
        <w:tc>
          <w:tcPr>
            <w:tcW w:w="1849" w:type="pct"/>
            <w:tcBorders>
              <w:top w:val="nil"/>
              <w:left w:val="nil"/>
              <w:bottom w:val="nil"/>
              <w:right w:val="nil"/>
            </w:tcBorders>
            <w:noWrap/>
            <w:vAlign w:val="center"/>
          </w:tcPr>
          <w:p w14:paraId="241D834E" w14:textId="77777777" w:rsidR="008123A9" w:rsidRPr="009518F8" w:rsidRDefault="008123A9">
            <w:pP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Cessão de crédito</w:t>
            </w:r>
          </w:p>
        </w:tc>
        <w:tc>
          <w:tcPr>
            <w:tcW w:w="630" w:type="pct"/>
            <w:tcBorders>
              <w:top w:val="nil"/>
              <w:left w:val="nil"/>
              <w:bottom w:val="nil"/>
              <w:right w:val="nil"/>
            </w:tcBorders>
            <w:noWrap/>
            <w:vAlign w:val="center"/>
          </w:tcPr>
          <w:p w14:paraId="1B431DA8" w14:textId="77777777" w:rsidR="008123A9" w:rsidRPr="009518F8" w:rsidRDefault="008123A9">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76.597</w:t>
            </w:r>
          </w:p>
        </w:tc>
        <w:tc>
          <w:tcPr>
            <w:tcW w:w="630" w:type="pct"/>
            <w:tcBorders>
              <w:top w:val="nil"/>
              <w:left w:val="nil"/>
              <w:bottom w:val="nil"/>
              <w:right w:val="nil"/>
            </w:tcBorders>
            <w:vAlign w:val="center"/>
          </w:tcPr>
          <w:p w14:paraId="78D57318" w14:textId="4FF0FB44"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(11.546)</w:t>
            </w:r>
          </w:p>
        </w:tc>
        <w:tc>
          <w:tcPr>
            <w:tcW w:w="630" w:type="pct"/>
            <w:tcBorders>
              <w:top w:val="nil"/>
              <w:left w:val="nil"/>
              <w:bottom w:val="nil"/>
              <w:right w:val="nil"/>
            </w:tcBorders>
            <w:vAlign w:val="center"/>
          </w:tcPr>
          <w:p w14:paraId="2FAD6159" w14:textId="52B3C1D2"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29.106</w:t>
            </w:r>
          </w:p>
        </w:tc>
        <w:tc>
          <w:tcPr>
            <w:tcW w:w="630" w:type="pct"/>
            <w:tcBorders>
              <w:top w:val="nil"/>
              <w:left w:val="nil"/>
              <w:bottom w:val="nil"/>
              <w:right w:val="nil"/>
            </w:tcBorders>
            <w:noWrap/>
            <w:vAlign w:val="center"/>
          </w:tcPr>
          <w:p w14:paraId="297C501A" w14:textId="319B1ACD"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5.554</w:t>
            </w:r>
          </w:p>
        </w:tc>
        <w:tc>
          <w:tcPr>
            <w:tcW w:w="631" w:type="pct"/>
            <w:tcBorders>
              <w:top w:val="nil"/>
              <w:left w:val="nil"/>
              <w:bottom w:val="nil"/>
              <w:right w:val="nil"/>
            </w:tcBorders>
            <w:noWrap/>
            <w:vAlign w:val="center"/>
          </w:tcPr>
          <w:p w14:paraId="2119B4D6" w14:textId="494528C2"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99.711</w:t>
            </w:r>
          </w:p>
        </w:tc>
      </w:tr>
      <w:tr w:rsidR="008123A9" w:rsidRPr="009518F8" w14:paraId="5573DAB3" w14:textId="77777777">
        <w:trPr>
          <w:trHeight w:val="283"/>
        </w:trPr>
        <w:tc>
          <w:tcPr>
            <w:tcW w:w="1849" w:type="pct"/>
            <w:tcBorders>
              <w:top w:val="nil"/>
              <w:left w:val="nil"/>
              <w:bottom w:val="nil"/>
              <w:right w:val="nil"/>
            </w:tcBorders>
            <w:noWrap/>
            <w:vAlign w:val="center"/>
            <w:hideMark/>
          </w:tcPr>
          <w:p w14:paraId="66802EC9" w14:textId="77777777" w:rsidR="008123A9" w:rsidRPr="009518F8" w:rsidRDefault="008123A9">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 xml:space="preserve">Outros </w:t>
            </w:r>
            <w:r>
              <w:rPr>
                <w:rFonts w:ascii="CAIXA Std Book" w:eastAsia="Times New Roman" w:hAnsi="CAIXA Std Book" w:cs="Calibri"/>
                <w:color w:val="005CA9"/>
                <w:sz w:val="18"/>
                <w:szCs w:val="18"/>
              </w:rPr>
              <w:t>créditos</w:t>
            </w:r>
          </w:p>
        </w:tc>
        <w:tc>
          <w:tcPr>
            <w:tcW w:w="630" w:type="pct"/>
            <w:tcBorders>
              <w:top w:val="nil"/>
              <w:left w:val="nil"/>
              <w:bottom w:val="nil"/>
              <w:right w:val="nil"/>
            </w:tcBorders>
            <w:noWrap/>
            <w:vAlign w:val="center"/>
            <w:hideMark/>
          </w:tcPr>
          <w:p w14:paraId="5E8FB873" w14:textId="77777777" w:rsidR="008123A9" w:rsidRPr="009518F8" w:rsidRDefault="008123A9">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523.548</w:t>
            </w:r>
          </w:p>
        </w:tc>
        <w:tc>
          <w:tcPr>
            <w:tcW w:w="630" w:type="pct"/>
            <w:tcBorders>
              <w:top w:val="nil"/>
              <w:left w:val="nil"/>
              <w:bottom w:val="nil"/>
              <w:right w:val="nil"/>
            </w:tcBorders>
            <w:vAlign w:val="center"/>
            <w:hideMark/>
          </w:tcPr>
          <w:p w14:paraId="4AA3EF0A" w14:textId="1DB7B58D"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(414.408)</w:t>
            </w:r>
          </w:p>
        </w:tc>
        <w:tc>
          <w:tcPr>
            <w:tcW w:w="630" w:type="pct"/>
            <w:tcBorders>
              <w:top w:val="nil"/>
              <w:left w:val="nil"/>
              <w:bottom w:val="nil"/>
              <w:right w:val="nil"/>
            </w:tcBorders>
            <w:vAlign w:val="center"/>
            <w:hideMark/>
          </w:tcPr>
          <w:p w14:paraId="0E16359E" w14:textId="005F9C52"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215.036</w:t>
            </w:r>
          </w:p>
        </w:tc>
        <w:tc>
          <w:tcPr>
            <w:tcW w:w="630" w:type="pct"/>
            <w:tcBorders>
              <w:top w:val="nil"/>
              <w:left w:val="nil"/>
              <w:bottom w:val="nil"/>
              <w:right w:val="nil"/>
            </w:tcBorders>
            <w:noWrap/>
            <w:vAlign w:val="center"/>
            <w:hideMark/>
          </w:tcPr>
          <w:p w14:paraId="05139FDB" w14:textId="6BBD40FB"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1.172</w:t>
            </w:r>
          </w:p>
        </w:tc>
        <w:tc>
          <w:tcPr>
            <w:tcW w:w="631" w:type="pct"/>
            <w:tcBorders>
              <w:top w:val="nil"/>
              <w:left w:val="nil"/>
              <w:bottom w:val="nil"/>
              <w:right w:val="nil"/>
            </w:tcBorders>
            <w:noWrap/>
            <w:vAlign w:val="center"/>
            <w:hideMark/>
          </w:tcPr>
          <w:p w14:paraId="5CE8438A" w14:textId="0D878907" w:rsidR="008123A9" w:rsidRPr="009518F8" w:rsidRDefault="00583B2B">
            <w:pPr>
              <w:jc w:val="right"/>
              <w:rPr>
                <w:rFonts w:ascii="Times New Roman" w:eastAsia="Times New Roman" w:hAnsi="Times New Roman" w:cs="Times New Roman"/>
                <w:sz w:val="20"/>
                <w:szCs w:val="20"/>
              </w:rPr>
            </w:pPr>
            <w:r>
              <w:rPr>
                <w:rFonts w:ascii="CAIXA Std Book" w:hAnsi="CAIXA Std Book" w:cs="Calibri"/>
                <w:color w:val="005CA9"/>
                <w:sz w:val="18"/>
                <w:szCs w:val="18"/>
              </w:rPr>
              <w:t>325.348</w:t>
            </w:r>
          </w:p>
        </w:tc>
      </w:tr>
      <w:tr w:rsidR="008123A9" w:rsidRPr="009518F8" w14:paraId="4542CE37" w14:textId="77777777">
        <w:trPr>
          <w:trHeight w:val="283"/>
        </w:trPr>
        <w:tc>
          <w:tcPr>
            <w:tcW w:w="1849" w:type="pct"/>
            <w:tcBorders>
              <w:top w:val="nil"/>
              <w:left w:val="nil"/>
              <w:bottom w:val="nil"/>
              <w:right w:val="nil"/>
            </w:tcBorders>
            <w:shd w:val="clear" w:color="auto" w:fill="005CA9"/>
            <w:noWrap/>
            <w:vAlign w:val="center"/>
            <w:hideMark/>
          </w:tcPr>
          <w:p w14:paraId="5899EF80" w14:textId="77777777" w:rsidR="008123A9" w:rsidRPr="009518F8" w:rsidRDefault="008123A9">
            <w:pP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Total</w:t>
            </w:r>
            <w:r w:rsidRPr="009518F8">
              <w:rPr>
                <w:rFonts w:ascii="CAIXA Std Book" w:eastAsia="Times New Roman" w:hAnsi="CAIXA Std Book" w:cs="Calibri"/>
                <w:color w:val="005CA9"/>
                <w:sz w:val="18"/>
                <w:szCs w:val="18"/>
              </w:rPr>
              <w:t> </w:t>
            </w:r>
          </w:p>
        </w:tc>
        <w:tc>
          <w:tcPr>
            <w:tcW w:w="630" w:type="pct"/>
            <w:tcBorders>
              <w:top w:val="nil"/>
              <w:left w:val="nil"/>
              <w:bottom w:val="nil"/>
              <w:right w:val="nil"/>
            </w:tcBorders>
            <w:shd w:val="clear" w:color="auto" w:fill="005CA9"/>
            <w:noWrap/>
            <w:vAlign w:val="center"/>
            <w:hideMark/>
          </w:tcPr>
          <w:p w14:paraId="2485DF9D" w14:textId="77777777" w:rsidR="008123A9" w:rsidRPr="009518F8" w:rsidRDefault="008123A9">
            <w:pPr>
              <w:jc w:val="right"/>
              <w:rPr>
                <w:rFonts w:ascii="CAIXA Std Book" w:eastAsia="Times New Roman" w:hAnsi="CAIXA Std Book" w:cs="Calibri"/>
                <w:b/>
                <w:bCs/>
                <w:color w:val="FFFFFF"/>
                <w:sz w:val="18"/>
                <w:szCs w:val="18"/>
              </w:rPr>
            </w:pPr>
            <w:r w:rsidRPr="00E86E4D">
              <w:rPr>
                <w:rFonts w:ascii="CAIXA Std Book" w:eastAsia="Times New Roman" w:hAnsi="CAIXA Std Book" w:cs="Calibri"/>
                <w:b/>
                <w:bCs/>
                <w:color w:val="FFFFFF"/>
                <w:sz w:val="18"/>
                <w:szCs w:val="18"/>
              </w:rPr>
              <w:t>65.401.947</w:t>
            </w:r>
          </w:p>
        </w:tc>
        <w:tc>
          <w:tcPr>
            <w:tcW w:w="630" w:type="pct"/>
            <w:tcBorders>
              <w:top w:val="nil"/>
              <w:left w:val="nil"/>
              <w:bottom w:val="nil"/>
              <w:right w:val="nil"/>
            </w:tcBorders>
            <w:shd w:val="clear" w:color="auto" w:fill="005CA9"/>
            <w:noWrap/>
            <w:vAlign w:val="center"/>
            <w:hideMark/>
          </w:tcPr>
          <w:p w14:paraId="3EE042E8" w14:textId="62356A4D" w:rsidR="008123A9" w:rsidRPr="009518F8" w:rsidRDefault="00583B2B">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(4.810.865)</w:t>
            </w:r>
          </w:p>
        </w:tc>
        <w:tc>
          <w:tcPr>
            <w:tcW w:w="630" w:type="pct"/>
            <w:tcBorders>
              <w:top w:val="nil"/>
              <w:left w:val="nil"/>
              <w:bottom w:val="nil"/>
              <w:right w:val="nil"/>
            </w:tcBorders>
            <w:shd w:val="clear" w:color="auto" w:fill="005CA9"/>
            <w:noWrap/>
            <w:vAlign w:val="center"/>
            <w:hideMark/>
          </w:tcPr>
          <w:p w14:paraId="3C7392F3" w14:textId="3819529E" w:rsidR="008123A9" w:rsidRPr="009518F8" w:rsidRDefault="00583B2B">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22.930.107</w:t>
            </w:r>
          </w:p>
        </w:tc>
        <w:tc>
          <w:tcPr>
            <w:tcW w:w="630" w:type="pct"/>
            <w:tcBorders>
              <w:top w:val="nil"/>
              <w:left w:val="nil"/>
              <w:bottom w:val="nil"/>
              <w:right w:val="nil"/>
            </w:tcBorders>
            <w:shd w:val="clear" w:color="auto" w:fill="005CA9"/>
            <w:noWrap/>
            <w:vAlign w:val="center"/>
            <w:hideMark/>
          </w:tcPr>
          <w:p w14:paraId="38D957DC" w14:textId="4BBFA623" w:rsidR="008123A9" w:rsidRPr="009518F8" w:rsidRDefault="00583B2B">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5.992.722</w:t>
            </w:r>
          </w:p>
        </w:tc>
        <w:tc>
          <w:tcPr>
            <w:tcW w:w="631" w:type="pct"/>
            <w:tcBorders>
              <w:top w:val="nil"/>
              <w:left w:val="nil"/>
              <w:bottom w:val="nil"/>
              <w:right w:val="nil"/>
            </w:tcBorders>
            <w:shd w:val="clear" w:color="auto" w:fill="005CA9"/>
            <w:noWrap/>
            <w:vAlign w:val="center"/>
            <w:hideMark/>
          </w:tcPr>
          <w:p w14:paraId="050C55C3" w14:textId="731AF26F" w:rsidR="008123A9" w:rsidRPr="009518F8" w:rsidRDefault="00583B2B">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89.513.911</w:t>
            </w:r>
          </w:p>
        </w:tc>
      </w:tr>
    </w:tbl>
    <w:p w14:paraId="78DFE977" w14:textId="77777777" w:rsidR="00AE6746" w:rsidRDefault="00AE6746">
      <w:pPr>
        <w:rPr>
          <w:rFonts w:ascii="CAIXA Std Book" w:eastAsia="Times New Roman" w:hAnsi="CAIXA Std Book" w:cs="Arial"/>
          <w:color w:val="005CA9"/>
          <w:sz w:val="16"/>
          <w:szCs w:val="16"/>
        </w:rPr>
      </w:pPr>
    </w:p>
    <w:p w14:paraId="0E9A7082" w14:textId="77777777" w:rsidR="00C56859" w:rsidRDefault="00C56859">
      <w:pPr>
        <w:rPr>
          <w:rFonts w:ascii="CAIXA Std Book" w:eastAsia="Times New Roman" w:hAnsi="CAIXA Std Book" w:cs="Arial"/>
          <w:color w:val="005CA9"/>
          <w:sz w:val="16"/>
          <w:szCs w:val="16"/>
        </w:rPr>
      </w:pPr>
    </w:p>
    <w:tbl>
      <w:tblPr>
        <w:tblW w:w="5000" w:type="pct"/>
        <w:tblCellMar>
          <w:left w:w="0" w:type="dxa"/>
          <w:right w:w="0" w:type="dxa"/>
        </w:tblCellMar>
        <w:tblLook w:val="04A0" w:firstRow="1" w:lastRow="0" w:firstColumn="1" w:lastColumn="0" w:noHBand="0" w:noVBand="1"/>
      </w:tblPr>
      <w:tblGrid>
        <w:gridCol w:w="5387"/>
        <w:gridCol w:w="1835"/>
        <w:gridCol w:w="1836"/>
        <w:gridCol w:w="1836"/>
        <w:gridCol w:w="1836"/>
        <w:gridCol w:w="1839"/>
      </w:tblGrid>
      <w:tr w:rsidR="00627127" w14:paraId="50D5288E" w14:textId="77777777" w:rsidTr="005C49DE">
        <w:trPr>
          <w:trHeight w:val="283"/>
        </w:trPr>
        <w:tc>
          <w:tcPr>
            <w:tcW w:w="5000" w:type="pct"/>
            <w:gridSpan w:val="6"/>
            <w:tcBorders>
              <w:top w:val="nil"/>
              <w:left w:val="nil"/>
              <w:bottom w:val="single" w:sz="4" w:space="0" w:color="FFFFFF" w:themeColor="background1"/>
              <w:right w:val="nil"/>
            </w:tcBorders>
            <w:shd w:val="clear" w:color="auto" w:fill="005CA9"/>
            <w:vAlign w:val="center"/>
            <w:hideMark/>
          </w:tcPr>
          <w:p w14:paraId="3C778925" w14:textId="77777777" w:rsidR="00627127" w:rsidRPr="00817BD3" w:rsidRDefault="00627127">
            <w:pPr>
              <w:jc w:val="center"/>
              <w:rPr>
                <w:rFonts w:ascii="CAIXA Std Book" w:hAnsi="CAIXA Std Book" w:cs="Calibri"/>
                <w:b/>
                <w:color w:val="FFFFFF"/>
                <w:sz w:val="18"/>
                <w:szCs w:val="18"/>
              </w:rPr>
            </w:pPr>
            <w:r>
              <w:rPr>
                <w:rFonts w:ascii="CAIXA Std Book" w:hAnsi="CAIXA Std Book" w:cs="Calibri"/>
                <w:b/>
                <w:color w:val="FFFFFF"/>
                <w:sz w:val="18"/>
                <w:szCs w:val="18"/>
              </w:rPr>
              <w:t>Consolidado</w:t>
            </w:r>
          </w:p>
        </w:tc>
      </w:tr>
      <w:tr w:rsidR="00627127" w14:paraId="10F3AB1B" w14:textId="77777777" w:rsidTr="00A65433">
        <w:trPr>
          <w:trHeight w:val="283"/>
        </w:trPr>
        <w:tc>
          <w:tcPr>
            <w:tcW w:w="1849" w:type="pct"/>
            <w:tcBorders>
              <w:top w:val="single" w:sz="4" w:space="0" w:color="FFFFFF" w:themeColor="background1"/>
              <w:left w:val="nil"/>
              <w:bottom w:val="nil"/>
              <w:right w:val="nil"/>
            </w:tcBorders>
            <w:shd w:val="clear" w:color="auto" w:fill="005CA9"/>
            <w:vAlign w:val="center"/>
            <w:hideMark/>
          </w:tcPr>
          <w:p w14:paraId="1C81C0CE" w14:textId="77777777" w:rsidR="00627127" w:rsidRPr="00817BD3" w:rsidRDefault="00627127">
            <w:pPr>
              <w:jc w:val="center"/>
              <w:rPr>
                <w:rFonts w:ascii="CAIXA Std Book" w:hAnsi="CAIXA Std Book" w:cs="Calibri"/>
                <w:b/>
                <w:color w:val="FFFFFF"/>
                <w:sz w:val="18"/>
                <w:szCs w:val="18"/>
              </w:rPr>
            </w:pPr>
            <w:r w:rsidRPr="00817BD3">
              <w:rPr>
                <w:rFonts w:ascii="CAIXA Std Book" w:eastAsia="Times New Roman" w:hAnsi="CAIXA Std Book" w:cs="Calibri"/>
                <w:b/>
                <w:color w:val="FFFFFF"/>
                <w:sz w:val="18"/>
                <w:szCs w:val="18"/>
              </w:rPr>
              <w:t>Estágio</w:t>
            </w:r>
            <w:r w:rsidRPr="00817BD3">
              <w:rPr>
                <w:rFonts w:ascii="CAIXA Std Book" w:hAnsi="CAIXA Std Book" w:cs="Calibri"/>
                <w:b/>
                <w:color w:val="FFFFFF"/>
                <w:sz w:val="18"/>
                <w:szCs w:val="18"/>
              </w:rPr>
              <w:t xml:space="preserve"> 1 (1)</w:t>
            </w:r>
          </w:p>
        </w:tc>
        <w:tc>
          <w:tcPr>
            <w:tcW w:w="630" w:type="pct"/>
            <w:tcBorders>
              <w:top w:val="single" w:sz="4" w:space="0" w:color="FFFFFF" w:themeColor="background1"/>
              <w:left w:val="nil"/>
              <w:bottom w:val="nil"/>
              <w:right w:val="nil"/>
            </w:tcBorders>
            <w:shd w:val="clear" w:color="auto" w:fill="005CA9"/>
            <w:vAlign w:val="center"/>
            <w:hideMark/>
          </w:tcPr>
          <w:p w14:paraId="38CE63EC" w14:textId="50A6CF22" w:rsidR="00627127" w:rsidRPr="00817BD3" w:rsidRDefault="00627127">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 xml:space="preserve">Saldo em </w:t>
            </w:r>
            <w:r w:rsidR="000111CF">
              <w:rPr>
                <w:rFonts w:ascii="CAIXA Std Book" w:hAnsi="CAIXA Std Book" w:cs="Calibri"/>
                <w:b/>
                <w:color w:val="FFFFFF"/>
                <w:sz w:val="18"/>
                <w:szCs w:val="18"/>
              </w:rPr>
              <w:t>31/12/2025</w:t>
            </w:r>
          </w:p>
        </w:tc>
        <w:tc>
          <w:tcPr>
            <w:tcW w:w="630" w:type="pct"/>
            <w:tcBorders>
              <w:top w:val="single" w:sz="4" w:space="0" w:color="FFFFFF" w:themeColor="background1"/>
              <w:left w:val="nil"/>
              <w:bottom w:val="nil"/>
              <w:right w:val="nil"/>
            </w:tcBorders>
            <w:shd w:val="clear" w:color="auto" w:fill="005CA9"/>
            <w:vAlign w:val="center"/>
            <w:hideMark/>
          </w:tcPr>
          <w:p w14:paraId="60DC1A57" w14:textId="77777777" w:rsidR="00627127" w:rsidRPr="00817BD3" w:rsidRDefault="00627127">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Con</w:t>
            </w:r>
            <w:r>
              <w:rPr>
                <w:rFonts w:ascii="CAIXA Std Book" w:hAnsi="CAIXA Std Book" w:cs="Calibri"/>
                <w:b/>
                <w:color w:val="FFFFFF"/>
                <w:sz w:val="18"/>
                <w:szCs w:val="18"/>
              </w:rPr>
              <w:t>stituição</w:t>
            </w:r>
            <w:r w:rsidRPr="00817BD3">
              <w:rPr>
                <w:rFonts w:ascii="CAIXA Std Book" w:hAnsi="CAIXA Std Book" w:cs="Calibri"/>
                <w:b/>
                <w:color w:val="FFFFFF"/>
                <w:sz w:val="18"/>
                <w:szCs w:val="18"/>
              </w:rPr>
              <w:t xml:space="preserve">/ </w:t>
            </w:r>
            <w:r>
              <w:rPr>
                <w:rFonts w:ascii="CAIXA Std Book" w:hAnsi="CAIXA Std Book" w:cs="Calibri"/>
                <w:b/>
                <w:color w:val="FFFFFF"/>
                <w:sz w:val="18"/>
                <w:szCs w:val="18"/>
              </w:rPr>
              <w:t>(</w:t>
            </w:r>
            <w:r w:rsidRPr="00817BD3">
              <w:rPr>
                <w:rFonts w:ascii="CAIXA Std Book" w:hAnsi="CAIXA Std Book" w:cs="Calibri"/>
                <w:b/>
                <w:color w:val="FFFFFF"/>
                <w:sz w:val="18"/>
                <w:szCs w:val="18"/>
              </w:rPr>
              <w:t>liquidação</w:t>
            </w:r>
            <w:r>
              <w:rPr>
                <w:rFonts w:ascii="CAIXA Std Book" w:hAnsi="CAIXA Std Book" w:cs="Calibri"/>
                <w:b/>
                <w:color w:val="FFFFFF"/>
                <w:sz w:val="18"/>
                <w:szCs w:val="18"/>
              </w:rPr>
              <w:t>)</w:t>
            </w:r>
          </w:p>
        </w:tc>
        <w:tc>
          <w:tcPr>
            <w:tcW w:w="630" w:type="pct"/>
            <w:tcBorders>
              <w:top w:val="single" w:sz="4" w:space="0" w:color="FFFFFF" w:themeColor="background1"/>
              <w:left w:val="nil"/>
              <w:bottom w:val="nil"/>
              <w:right w:val="nil"/>
            </w:tcBorders>
            <w:shd w:val="clear" w:color="auto" w:fill="005CA9"/>
            <w:vAlign w:val="center"/>
            <w:hideMark/>
          </w:tcPr>
          <w:p w14:paraId="76EB71FD" w14:textId="77777777" w:rsidR="00627127" w:rsidRPr="00817BD3" w:rsidRDefault="00627127">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Transferência do/</w:t>
            </w:r>
          </w:p>
          <w:p w14:paraId="4180F6D0" w14:textId="77777777" w:rsidR="00627127" w:rsidRPr="00817BD3" w:rsidRDefault="00627127">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para o estágio 2</w:t>
            </w:r>
          </w:p>
        </w:tc>
        <w:tc>
          <w:tcPr>
            <w:tcW w:w="630" w:type="pct"/>
            <w:tcBorders>
              <w:top w:val="single" w:sz="4" w:space="0" w:color="FFFFFF" w:themeColor="background1"/>
              <w:left w:val="nil"/>
              <w:bottom w:val="nil"/>
              <w:right w:val="nil"/>
            </w:tcBorders>
            <w:shd w:val="clear" w:color="auto" w:fill="005CA9"/>
            <w:vAlign w:val="center"/>
            <w:hideMark/>
          </w:tcPr>
          <w:p w14:paraId="0B8965CE" w14:textId="77777777" w:rsidR="00627127" w:rsidRPr="00817BD3" w:rsidRDefault="00627127">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Transferência do/</w:t>
            </w:r>
          </w:p>
          <w:p w14:paraId="311333F4" w14:textId="77777777" w:rsidR="00627127" w:rsidRPr="00817BD3" w:rsidRDefault="00627127">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para estágio 3</w:t>
            </w:r>
          </w:p>
        </w:tc>
        <w:tc>
          <w:tcPr>
            <w:tcW w:w="631" w:type="pct"/>
            <w:tcBorders>
              <w:top w:val="single" w:sz="4" w:space="0" w:color="FFFFFF" w:themeColor="background1"/>
              <w:left w:val="nil"/>
              <w:bottom w:val="nil"/>
              <w:right w:val="nil"/>
            </w:tcBorders>
            <w:shd w:val="clear" w:color="auto" w:fill="005CA9"/>
            <w:vAlign w:val="center"/>
            <w:hideMark/>
          </w:tcPr>
          <w:p w14:paraId="48BCE03F" w14:textId="10C73EF5" w:rsidR="00627127" w:rsidRPr="00817BD3" w:rsidRDefault="00627127">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 xml:space="preserve">Saldo em </w:t>
            </w:r>
            <w:r>
              <w:rPr>
                <w:rFonts w:ascii="CAIXA Std Book" w:hAnsi="CAIXA Std Book" w:cs="Calibri"/>
                <w:b/>
                <w:color w:val="FFFFFF"/>
                <w:sz w:val="18"/>
                <w:szCs w:val="18"/>
              </w:rPr>
              <w:t>31/03/202</w:t>
            </w:r>
            <w:r w:rsidR="00463349">
              <w:rPr>
                <w:rFonts w:ascii="CAIXA Std Book" w:hAnsi="CAIXA Std Book" w:cs="Calibri"/>
                <w:b/>
                <w:color w:val="FFFFFF"/>
                <w:sz w:val="18"/>
                <w:szCs w:val="18"/>
              </w:rPr>
              <w:t>6</w:t>
            </w:r>
          </w:p>
        </w:tc>
      </w:tr>
      <w:tr w:rsidR="00627127" w14:paraId="1B2CA405" w14:textId="77777777" w:rsidTr="00A65433">
        <w:trPr>
          <w:trHeight w:val="283"/>
        </w:trPr>
        <w:tc>
          <w:tcPr>
            <w:tcW w:w="1849" w:type="pct"/>
            <w:tcBorders>
              <w:top w:val="nil"/>
              <w:left w:val="nil"/>
              <w:bottom w:val="nil"/>
              <w:right w:val="nil"/>
            </w:tcBorders>
            <w:noWrap/>
            <w:vAlign w:val="center"/>
            <w:hideMark/>
          </w:tcPr>
          <w:p w14:paraId="6EF7D298" w14:textId="77777777" w:rsidR="00627127" w:rsidRPr="00817BD3" w:rsidRDefault="00627127">
            <w:pPr>
              <w:rPr>
                <w:rFonts w:ascii="CAIXA Std Book" w:hAnsi="CAIXA Std Book" w:cs="Calibri"/>
                <w:color w:val="005CA9"/>
                <w:sz w:val="18"/>
                <w:szCs w:val="18"/>
              </w:rPr>
            </w:pPr>
            <w:r w:rsidRPr="00817BD3">
              <w:rPr>
                <w:rFonts w:ascii="CAIXA Std Book" w:hAnsi="CAIXA Std Book" w:cs="Calibri"/>
                <w:color w:val="005CA9"/>
                <w:sz w:val="18"/>
                <w:szCs w:val="18"/>
              </w:rPr>
              <w:t>Empréstimos e direitos creditórios descontados</w:t>
            </w:r>
          </w:p>
        </w:tc>
        <w:tc>
          <w:tcPr>
            <w:tcW w:w="630" w:type="pct"/>
            <w:tcBorders>
              <w:top w:val="nil"/>
              <w:left w:val="nil"/>
              <w:bottom w:val="nil"/>
              <w:right w:val="nil"/>
            </w:tcBorders>
            <w:noWrap/>
            <w:vAlign w:val="center"/>
            <w:hideMark/>
          </w:tcPr>
          <w:p w14:paraId="3456FC5E" w14:textId="1F45D48F" w:rsidR="00627127" w:rsidRPr="00DD4F9E" w:rsidRDefault="00917C1A">
            <w:pPr>
              <w:jc w:val="right"/>
              <w:rPr>
                <w:rFonts w:ascii="CAIXA Std Book" w:hAnsi="CAIXA Std Book" w:cs="Calibri"/>
                <w:color w:val="005CA9"/>
                <w:sz w:val="18"/>
                <w:szCs w:val="18"/>
              </w:rPr>
            </w:pPr>
            <w:r>
              <w:rPr>
                <w:rFonts w:ascii="CAIXA Std Book" w:hAnsi="CAIXA Std Book" w:cs="Calibri"/>
                <w:color w:val="005CA9"/>
                <w:sz w:val="18"/>
                <w:szCs w:val="18"/>
              </w:rPr>
              <w:t>197</w:t>
            </w:r>
            <w:r w:rsidR="00687A5C">
              <w:rPr>
                <w:rFonts w:ascii="CAIXA Std Book" w:hAnsi="CAIXA Std Book" w:cs="Calibri"/>
                <w:color w:val="005CA9"/>
                <w:sz w:val="18"/>
                <w:szCs w:val="18"/>
              </w:rPr>
              <w:t>.384.718</w:t>
            </w:r>
          </w:p>
        </w:tc>
        <w:tc>
          <w:tcPr>
            <w:tcW w:w="630" w:type="pct"/>
            <w:tcBorders>
              <w:top w:val="nil"/>
              <w:left w:val="nil"/>
              <w:bottom w:val="nil"/>
              <w:right w:val="nil"/>
            </w:tcBorders>
            <w:shd w:val="clear" w:color="000000" w:fill="FFFFFF"/>
            <w:vAlign w:val="center"/>
          </w:tcPr>
          <w:p w14:paraId="081C7266" w14:textId="31E34ED7" w:rsidR="00627127" w:rsidRPr="00DD4F9E" w:rsidRDefault="00F87940">
            <w:pPr>
              <w:jc w:val="right"/>
              <w:rPr>
                <w:rFonts w:ascii="CAIXA Std Book" w:hAnsi="CAIXA Std Book" w:cs="Calibri"/>
                <w:color w:val="005CA9"/>
                <w:sz w:val="18"/>
                <w:szCs w:val="18"/>
              </w:rPr>
            </w:pPr>
            <w:r>
              <w:rPr>
                <w:rFonts w:ascii="CAIXA Std Book" w:hAnsi="CAIXA Std Book" w:cs="Calibri"/>
                <w:color w:val="005CA9"/>
                <w:sz w:val="18"/>
                <w:szCs w:val="18"/>
              </w:rPr>
              <w:t>5.432.663</w:t>
            </w:r>
          </w:p>
        </w:tc>
        <w:tc>
          <w:tcPr>
            <w:tcW w:w="630" w:type="pct"/>
            <w:tcBorders>
              <w:top w:val="nil"/>
              <w:left w:val="nil"/>
              <w:bottom w:val="nil"/>
              <w:right w:val="nil"/>
            </w:tcBorders>
            <w:vAlign w:val="center"/>
          </w:tcPr>
          <w:p w14:paraId="465D7B23" w14:textId="78546266" w:rsidR="00627127" w:rsidRPr="00DD4F9E" w:rsidRDefault="00F87940">
            <w:pPr>
              <w:jc w:val="right"/>
              <w:rPr>
                <w:rFonts w:ascii="CAIXA Std Book" w:hAnsi="CAIXA Std Book" w:cs="Calibri"/>
                <w:color w:val="005CA9"/>
                <w:sz w:val="18"/>
                <w:szCs w:val="18"/>
              </w:rPr>
            </w:pPr>
            <w:r>
              <w:rPr>
                <w:rFonts w:ascii="CAIXA Std Book" w:hAnsi="CAIXA Std Book" w:cs="Calibri"/>
                <w:color w:val="005CA9"/>
                <w:sz w:val="18"/>
                <w:szCs w:val="18"/>
              </w:rPr>
              <w:t>(2.618.401)</w:t>
            </w:r>
          </w:p>
        </w:tc>
        <w:tc>
          <w:tcPr>
            <w:tcW w:w="630" w:type="pct"/>
            <w:tcBorders>
              <w:top w:val="nil"/>
              <w:left w:val="nil"/>
              <w:bottom w:val="nil"/>
              <w:right w:val="nil"/>
            </w:tcBorders>
            <w:noWrap/>
            <w:vAlign w:val="center"/>
          </w:tcPr>
          <w:p w14:paraId="0B49BD84" w14:textId="584FCA28" w:rsidR="00627127" w:rsidRPr="00DD4F9E" w:rsidRDefault="00F87940">
            <w:pPr>
              <w:jc w:val="right"/>
              <w:rPr>
                <w:rFonts w:ascii="CAIXA Std Book" w:hAnsi="CAIXA Std Book" w:cs="Calibri"/>
                <w:color w:val="005CA9"/>
                <w:sz w:val="18"/>
                <w:szCs w:val="18"/>
              </w:rPr>
            </w:pPr>
            <w:r>
              <w:rPr>
                <w:rFonts w:ascii="CAIXA Std Book" w:hAnsi="CAIXA Std Book" w:cs="Calibri"/>
                <w:color w:val="005CA9"/>
                <w:sz w:val="18"/>
                <w:szCs w:val="18"/>
              </w:rPr>
              <w:t>(1.499.807)</w:t>
            </w:r>
          </w:p>
        </w:tc>
        <w:tc>
          <w:tcPr>
            <w:tcW w:w="631" w:type="pct"/>
            <w:tcBorders>
              <w:top w:val="nil"/>
              <w:left w:val="nil"/>
              <w:bottom w:val="nil"/>
              <w:right w:val="nil"/>
            </w:tcBorders>
            <w:noWrap/>
            <w:vAlign w:val="center"/>
          </w:tcPr>
          <w:p w14:paraId="26F83597" w14:textId="23EF1160" w:rsidR="00627127" w:rsidRPr="00DD4F9E" w:rsidRDefault="00F87940" w:rsidP="00ED02FD">
            <w:pPr>
              <w:ind w:right="111"/>
              <w:jc w:val="right"/>
              <w:rPr>
                <w:rFonts w:ascii="CAIXA Std Book" w:hAnsi="CAIXA Std Book" w:cs="Calibri"/>
                <w:color w:val="005CA9"/>
                <w:sz w:val="18"/>
                <w:szCs w:val="18"/>
              </w:rPr>
            </w:pPr>
            <w:r w:rsidRPr="00F87940">
              <w:rPr>
                <w:rFonts w:ascii="CAIXA Std Book" w:hAnsi="CAIXA Std Book" w:cs="Calibri"/>
                <w:color w:val="005CA9"/>
                <w:sz w:val="18"/>
                <w:szCs w:val="18"/>
              </w:rPr>
              <w:t>198.699.173</w:t>
            </w:r>
          </w:p>
        </w:tc>
      </w:tr>
      <w:tr w:rsidR="00627127" w14:paraId="162E0D4F" w14:textId="77777777" w:rsidTr="00A65433">
        <w:trPr>
          <w:trHeight w:val="283"/>
        </w:trPr>
        <w:tc>
          <w:tcPr>
            <w:tcW w:w="1849" w:type="pct"/>
            <w:tcBorders>
              <w:top w:val="nil"/>
              <w:left w:val="nil"/>
              <w:bottom w:val="nil"/>
              <w:right w:val="nil"/>
            </w:tcBorders>
            <w:noWrap/>
            <w:vAlign w:val="center"/>
            <w:hideMark/>
          </w:tcPr>
          <w:p w14:paraId="1A9D1635" w14:textId="77777777" w:rsidR="00627127" w:rsidRPr="00817BD3" w:rsidRDefault="00627127">
            <w:pPr>
              <w:rPr>
                <w:rFonts w:ascii="CAIXA Std Book" w:hAnsi="CAIXA Std Book" w:cs="Calibri"/>
                <w:color w:val="005CA9"/>
                <w:sz w:val="18"/>
                <w:szCs w:val="18"/>
              </w:rPr>
            </w:pPr>
            <w:r w:rsidRPr="00817BD3">
              <w:rPr>
                <w:rFonts w:ascii="CAIXA Std Book" w:hAnsi="CAIXA Std Book" w:cs="Calibri"/>
                <w:color w:val="005CA9"/>
                <w:sz w:val="18"/>
                <w:szCs w:val="18"/>
              </w:rPr>
              <w:t>Financiamentos</w:t>
            </w:r>
          </w:p>
        </w:tc>
        <w:tc>
          <w:tcPr>
            <w:tcW w:w="630" w:type="pct"/>
            <w:tcBorders>
              <w:top w:val="nil"/>
              <w:left w:val="nil"/>
              <w:bottom w:val="nil"/>
              <w:right w:val="nil"/>
            </w:tcBorders>
            <w:noWrap/>
            <w:vAlign w:val="center"/>
            <w:hideMark/>
          </w:tcPr>
          <w:p w14:paraId="1769A02F" w14:textId="270040B7" w:rsidR="00627127" w:rsidRPr="00DD4F9E" w:rsidRDefault="00687A5C">
            <w:pPr>
              <w:jc w:val="right"/>
              <w:rPr>
                <w:rFonts w:ascii="CAIXA Std Book" w:hAnsi="CAIXA Std Book" w:cs="Calibri"/>
                <w:color w:val="005CA9"/>
                <w:sz w:val="18"/>
                <w:szCs w:val="18"/>
              </w:rPr>
            </w:pPr>
            <w:r>
              <w:rPr>
                <w:rFonts w:ascii="CAIXA Std Book" w:hAnsi="CAIXA Std Book" w:cs="Calibri"/>
                <w:color w:val="005CA9"/>
                <w:sz w:val="18"/>
                <w:szCs w:val="18"/>
              </w:rPr>
              <w:t>11.373.312</w:t>
            </w:r>
          </w:p>
        </w:tc>
        <w:tc>
          <w:tcPr>
            <w:tcW w:w="630" w:type="pct"/>
            <w:tcBorders>
              <w:top w:val="nil"/>
              <w:left w:val="nil"/>
              <w:bottom w:val="nil"/>
              <w:right w:val="nil"/>
            </w:tcBorders>
            <w:shd w:val="clear" w:color="000000" w:fill="FFFFFF"/>
            <w:vAlign w:val="center"/>
          </w:tcPr>
          <w:p w14:paraId="4A32F601" w14:textId="316F2453" w:rsidR="00627127" w:rsidRPr="00DD4F9E" w:rsidRDefault="00F87940">
            <w:pPr>
              <w:jc w:val="right"/>
              <w:rPr>
                <w:rFonts w:ascii="CAIXA Std Book" w:hAnsi="CAIXA Std Book" w:cs="Calibri"/>
                <w:color w:val="005CA9"/>
                <w:sz w:val="18"/>
                <w:szCs w:val="18"/>
              </w:rPr>
            </w:pPr>
            <w:r>
              <w:rPr>
                <w:rFonts w:ascii="CAIXA Std Book" w:hAnsi="CAIXA Std Book" w:cs="Calibri"/>
                <w:color w:val="005CA9"/>
                <w:sz w:val="18"/>
                <w:szCs w:val="18"/>
              </w:rPr>
              <w:t>841.426</w:t>
            </w:r>
          </w:p>
        </w:tc>
        <w:tc>
          <w:tcPr>
            <w:tcW w:w="630" w:type="pct"/>
            <w:tcBorders>
              <w:top w:val="nil"/>
              <w:left w:val="nil"/>
              <w:bottom w:val="nil"/>
              <w:right w:val="nil"/>
            </w:tcBorders>
            <w:vAlign w:val="center"/>
          </w:tcPr>
          <w:p w14:paraId="2014506B" w14:textId="0FD147F7" w:rsidR="00627127" w:rsidRPr="00DD4F9E" w:rsidRDefault="00F87940">
            <w:pPr>
              <w:jc w:val="right"/>
              <w:rPr>
                <w:rFonts w:ascii="CAIXA Std Book" w:hAnsi="CAIXA Std Book" w:cs="Calibri"/>
                <w:color w:val="005CA9"/>
                <w:sz w:val="18"/>
                <w:szCs w:val="18"/>
              </w:rPr>
            </w:pPr>
            <w:r>
              <w:rPr>
                <w:rFonts w:ascii="CAIXA Std Book" w:hAnsi="CAIXA Std Book" w:cs="Calibri"/>
                <w:color w:val="005CA9"/>
                <w:sz w:val="18"/>
                <w:szCs w:val="18"/>
              </w:rPr>
              <w:t>(134.102)</w:t>
            </w:r>
          </w:p>
        </w:tc>
        <w:tc>
          <w:tcPr>
            <w:tcW w:w="630" w:type="pct"/>
            <w:tcBorders>
              <w:top w:val="nil"/>
              <w:left w:val="nil"/>
              <w:bottom w:val="nil"/>
              <w:right w:val="nil"/>
            </w:tcBorders>
            <w:noWrap/>
            <w:vAlign w:val="center"/>
          </w:tcPr>
          <w:p w14:paraId="465DDA5C" w14:textId="6AC290F7" w:rsidR="00627127" w:rsidRPr="00DD4F9E" w:rsidRDefault="00F87940">
            <w:pPr>
              <w:jc w:val="right"/>
              <w:rPr>
                <w:rFonts w:ascii="CAIXA Std Book" w:hAnsi="CAIXA Std Book" w:cs="Calibri"/>
                <w:color w:val="005CA9"/>
                <w:sz w:val="18"/>
                <w:szCs w:val="18"/>
              </w:rPr>
            </w:pPr>
            <w:r>
              <w:rPr>
                <w:rFonts w:ascii="CAIXA Std Book" w:hAnsi="CAIXA Std Book" w:cs="Calibri"/>
                <w:color w:val="005CA9"/>
                <w:sz w:val="18"/>
                <w:szCs w:val="18"/>
              </w:rPr>
              <w:t>(48.543)</w:t>
            </w:r>
          </w:p>
        </w:tc>
        <w:tc>
          <w:tcPr>
            <w:tcW w:w="631" w:type="pct"/>
            <w:tcBorders>
              <w:top w:val="nil"/>
              <w:left w:val="nil"/>
              <w:bottom w:val="nil"/>
              <w:right w:val="nil"/>
            </w:tcBorders>
            <w:noWrap/>
            <w:vAlign w:val="center"/>
          </w:tcPr>
          <w:p w14:paraId="198ECBD3" w14:textId="257A56AF" w:rsidR="00627127" w:rsidRPr="00DD4F9E" w:rsidRDefault="00F87940">
            <w:pPr>
              <w:ind w:right="111"/>
              <w:jc w:val="right"/>
              <w:rPr>
                <w:rFonts w:ascii="CAIXA Std Book" w:hAnsi="CAIXA Std Book" w:cs="Calibri"/>
                <w:color w:val="005CA9"/>
                <w:sz w:val="18"/>
                <w:szCs w:val="18"/>
              </w:rPr>
            </w:pPr>
            <w:r>
              <w:rPr>
                <w:rFonts w:ascii="CAIXA Std Book" w:hAnsi="CAIXA Std Book" w:cs="Calibri"/>
                <w:color w:val="005CA9"/>
                <w:sz w:val="18"/>
                <w:szCs w:val="18"/>
              </w:rPr>
              <w:t>12.032.093</w:t>
            </w:r>
          </w:p>
        </w:tc>
      </w:tr>
      <w:tr w:rsidR="00627127" w14:paraId="55A2FFC6" w14:textId="77777777" w:rsidTr="00A65433">
        <w:trPr>
          <w:trHeight w:val="283"/>
        </w:trPr>
        <w:tc>
          <w:tcPr>
            <w:tcW w:w="1849" w:type="pct"/>
            <w:tcBorders>
              <w:top w:val="nil"/>
              <w:left w:val="nil"/>
              <w:bottom w:val="nil"/>
              <w:right w:val="nil"/>
            </w:tcBorders>
            <w:noWrap/>
            <w:vAlign w:val="center"/>
            <w:hideMark/>
          </w:tcPr>
          <w:p w14:paraId="7FC15741" w14:textId="77777777" w:rsidR="00627127" w:rsidRPr="00817BD3" w:rsidRDefault="00627127">
            <w:pPr>
              <w:rPr>
                <w:rFonts w:ascii="CAIXA Std Book" w:hAnsi="CAIXA Std Book" w:cs="Calibri"/>
                <w:color w:val="005CA9"/>
                <w:sz w:val="18"/>
                <w:szCs w:val="18"/>
              </w:rPr>
            </w:pPr>
            <w:r w:rsidRPr="00817BD3">
              <w:rPr>
                <w:rFonts w:ascii="CAIXA Std Book" w:hAnsi="CAIXA Std Book" w:cs="Calibri"/>
                <w:color w:val="005CA9"/>
                <w:sz w:val="18"/>
                <w:szCs w:val="18"/>
              </w:rPr>
              <w:t>Financiamentos rurais</w:t>
            </w:r>
          </w:p>
        </w:tc>
        <w:tc>
          <w:tcPr>
            <w:tcW w:w="630" w:type="pct"/>
            <w:tcBorders>
              <w:top w:val="nil"/>
              <w:left w:val="nil"/>
              <w:bottom w:val="nil"/>
              <w:right w:val="nil"/>
            </w:tcBorders>
            <w:noWrap/>
            <w:vAlign w:val="center"/>
            <w:hideMark/>
          </w:tcPr>
          <w:p w14:paraId="373D445C" w14:textId="181BBE48" w:rsidR="00627127" w:rsidRPr="00DD4F9E" w:rsidRDefault="00687A5C">
            <w:pPr>
              <w:jc w:val="right"/>
              <w:rPr>
                <w:rFonts w:ascii="CAIXA Std Book" w:hAnsi="CAIXA Std Book" w:cs="Calibri"/>
                <w:color w:val="005CA9"/>
                <w:sz w:val="18"/>
                <w:szCs w:val="18"/>
              </w:rPr>
            </w:pPr>
            <w:r>
              <w:rPr>
                <w:rFonts w:ascii="CAIXA Std Book" w:hAnsi="CAIXA Std Book" w:cs="Calibri"/>
                <w:color w:val="005CA9"/>
                <w:sz w:val="18"/>
                <w:szCs w:val="18"/>
              </w:rPr>
              <w:t>48.270.809</w:t>
            </w:r>
          </w:p>
        </w:tc>
        <w:tc>
          <w:tcPr>
            <w:tcW w:w="630" w:type="pct"/>
            <w:tcBorders>
              <w:top w:val="nil"/>
              <w:left w:val="nil"/>
              <w:bottom w:val="nil"/>
              <w:right w:val="nil"/>
            </w:tcBorders>
            <w:shd w:val="clear" w:color="000000" w:fill="FFFFFF"/>
            <w:vAlign w:val="center"/>
          </w:tcPr>
          <w:p w14:paraId="44745F0E" w14:textId="6DCCB626" w:rsidR="00627127" w:rsidRPr="00DD4F9E" w:rsidRDefault="00F87940">
            <w:pPr>
              <w:jc w:val="right"/>
              <w:rPr>
                <w:rFonts w:ascii="CAIXA Std Book" w:hAnsi="CAIXA Std Book" w:cs="Calibri"/>
                <w:color w:val="005CA9"/>
                <w:sz w:val="18"/>
                <w:szCs w:val="18"/>
              </w:rPr>
            </w:pPr>
            <w:r>
              <w:rPr>
                <w:rFonts w:ascii="CAIXA Std Book" w:hAnsi="CAIXA Std Book" w:cs="Calibri"/>
                <w:color w:val="005CA9"/>
                <w:sz w:val="18"/>
                <w:szCs w:val="18"/>
              </w:rPr>
              <w:t>2.787.</w:t>
            </w:r>
            <w:r w:rsidR="008A426F">
              <w:rPr>
                <w:rFonts w:ascii="CAIXA Std Book" w:hAnsi="CAIXA Std Book" w:cs="Calibri"/>
                <w:color w:val="005CA9"/>
                <w:sz w:val="18"/>
                <w:szCs w:val="18"/>
              </w:rPr>
              <w:t>524</w:t>
            </w:r>
          </w:p>
        </w:tc>
        <w:tc>
          <w:tcPr>
            <w:tcW w:w="630" w:type="pct"/>
            <w:tcBorders>
              <w:top w:val="nil"/>
              <w:left w:val="nil"/>
              <w:bottom w:val="nil"/>
              <w:right w:val="nil"/>
            </w:tcBorders>
            <w:vAlign w:val="center"/>
          </w:tcPr>
          <w:p w14:paraId="3F6F6990" w14:textId="391BE695" w:rsidR="00627127" w:rsidRPr="00DD4F9E" w:rsidRDefault="00F87940">
            <w:pPr>
              <w:jc w:val="right"/>
              <w:rPr>
                <w:rFonts w:ascii="CAIXA Std Book" w:hAnsi="CAIXA Std Book" w:cs="Calibri"/>
                <w:color w:val="005CA9"/>
                <w:sz w:val="18"/>
                <w:szCs w:val="18"/>
              </w:rPr>
            </w:pPr>
            <w:r>
              <w:rPr>
                <w:rFonts w:ascii="CAIXA Std Book" w:hAnsi="CAIXA Std Book" w:cs="Calibri"/>
                <w:color w:val="005CA9"/>
                <w:sz w:val="18"/>
                <w:szCs w:val="18"/>
              </w:rPr>
              <w:t>(1.265.003)</w:t>
            </w:r>
          </w:p>
        </w:tc>
        <w:tc>
          <w:tcPr>
            <w:tcW w:w="630" w:type="pct"/>
            <w:tcBorders>
              <w:top w:val="nil"/>
              <w:left w:val="nil"/>
              <w:bottom w:val="nil"/>
              <w:right w:val="nil"/>
            </w:tcBorders>
            <w:noWrap/>
            <w:vAlign w:val="center"/>
          </w:tcPr>
          <w:p w14:paraId="30318C1C" w14:textId="7E69AAA8" w:rsidR="00627127" w:rsidRPr="00DD4F9E" w:rsidRDefault="00F87940">
            <w:pPr>
              <w:jc w:val="right"/>
              <w:rPr>
                <w:rFonts w:ascii="CAIXA Std Book" w:hAnsi="CAIXA Std Book" w:cs="Calibri"/>
                <w:color w:val="005CA9"/>
                <w:sz w:val="18"/>
                <w:szCs w:val="18"/>
              </w:rPr>
            </w:pPr>
            <w:r>
              <w:rPr>
                <w:rFonts w:ascii="CAIXA Std Book" w:hAnsi="CAIXA Std Book" w:cs="Calibri"/>
                <w:color w:val="005CA9"/>
                <w:sz w:val="18"/>
                <w:szCs w:val="18"/>
              </w:rPr>
              <w:t>(1.017.236)</w:t>
            </w:r>
          </w:p>
        </w:tc>
        <w:tc>
          <w:tcPr>
            <w:tcW w:w="631" w:type="pct"/>
            <w:tcBorders>
              <w:top w:val="nil"/>
              <w:left w:val="nil"/>
              <w:bottom w:val="nil"/>
              <w:right w:val="nil"/>
            </w:tcBorders>
            <w:noWrap/>
            <w:vAlign w:val="center"/>
          </w:tcPr>
          <w:p w14:paraId="77D8DCFE" w14:textId="2B258838" w:rsidR="00627127" w:rsidRPr="00DD4F9E" w:rsidRDefault="00F87940">
            <w:pPr>
              <w:ind w:right="111"/>
              <w:jc w:val="right"/>
              <w:rPr>
                <w:rFonts w:ascii="CAIXA Std Book" w:hAnsi="CAIXA Std Book" w:cs="Calibri"/>
                <w:color w:val="005CA9"/>
                <w:sz w:val="18"/>
                <w:szCs w:val="18"/>
              </w:rPr>
            </w:pPr>
            <w:r>
              <w:rPr>
                <w:rFonts w:ascii="CAIXA Std Book" w:hAnsi="CAIXA Std Book" w:cs="Calibri"/>
                <w:color w:val="005CA9"/>
                <w:sz w:val="18"/>
                <w:szCs w:val="18"/>
              </w:rPr>
              <w:t>48.776.</w:t>
            </w:r>
            <w:r w:rsidR="008A426F">
              <w:rPr>
                <w:rFonts w:ascii="CAIXA Std Book" w:hAnsi="CAIXA Std Book" w:cs="Calibri"/>
                <w:color w:val="005CA9"/>
                <w:sz w:val="18"/>
                <w:szCs w:val="18"/>
              </w:rPr>
              <w:t>094</w:t>
            </w:r>
          </w:p>
        </w:tc>
      </w:tr>
      <w:tr w:rsidR="00627127" w14:paraId="54FF0DA6" w14:textId="77777777" w:rsidTr="00A65433">
        <w:trPr>
          <w:trHeight w:val="283"/>
        </w:trPr>
        <w:tc>
          <w:tcPr>
            <w:tcW w:w="1849" w:type="pct"/>
            <w:tcBorders>
              <w:top w:val="nil"/>
              <w:left w:val="nil"/>
              <w:bottom w:val="nil"/>
              <w:right w:val="nil"/>
            </w:tcBorders>
            <w:noWrap/>
            <w:vAlign w:val="center"/>
            <w:hideMark/>
          </w:tcPr>
          <w:p w14:paraId="693B2060" w14:textId="77777777" w:rsidR="00627127" w:rsidRPr="00817BD3" w:rsidRDefault="00627127">
            <w:pPr>
              <w:rPr>
                <w:rFonts w:ascii="CAIXA Std Book" w:hAnsi="CAIXA Std Book" w:cs="Calibri"/>
                <w:color w:val="005CA9"/>
                <w:sz w:val="18"/>
                <w:szCs w:val="18"/>
              </w:rPr>
            </w:pPr>
            <w:r w:rsidRPr="00817BD3">
              <w:rPr>
                <w:rFonts w:ascii="CAIXA Std Book" w:hAnsi="CAIXA Std Book" w:cs="Calibri"/>
                <w:color w:val="005CA9"/>
                <w:sz w:val="18"/>
                <w:szCs w:val="18"/>
              </w:rPr>
              <w:t>Financiamentos imobiliários</w:t>
            </w:r>
          </w:p>
        </w:tc>
        <w:tc>
          <w:tcPr>
            <w:tcW w:w="630" w:type="pct"/>
            <w:tcBorders>
              <w:top w:val="nil"/>
              <w:left w:val="nil"/>
              <w:bottom w:val="nil"/>
              <w:right w:val="nil"/>
            </w:tcBorders>
            <w:noWrap/>
            <w:vAlign w:val="center"/>
            <w:hideMark/>
          </w:tcPr>
          <w:p w14:paraId="1C55EDBA" w14:textId="67CA631B" w:rsidR="00627127" w:rsidRPr="00DD4F9E" w:rsidRDefault="00687A5C">
            <w:pPr>
              <w:jc w:val="right"/>
              <w:rPr>
                <w:rFonts w:ascii="CAIXA Std Book" w:hAnsi="CAIXA Std Book" w:cs="Calibri"/>
                <w:color w:val="005CA9"/>
                <w:sz w:val="18"/>
                <w:szCs w:val="18"/>
              </w:rPr>
            </w:pPr>
            <w:r>
              <w:rPr>
                <w:rFonts w:ascii="CAIXA Std Book" w:hAnsi="CAIXA Std Book" w:cs="Calibri"/>
                <w:color w:val="005CA9"/>
                <w:sz w:val="18"/>
                <w:szCs w:val="18"/>
              </w:rPr>
              <w:t>879.242.325</w:t>
            </w:r>
          </w:p>
        </w:tc>
        <w:tc>
          <w:tcPr>
            <w:tcW w:w="630" w:type="pct"/>
            <w:tcBorders>
              <w:top w:val="nil"/>
              <w:left w:val="nil"/>
              <w:bottom w:val="nil"/>
              <w:right w:val="nil"/>
            </w:tcBorders>
            <w:shd w:val="clear" w:color="000000" w:fill="FFFFFF"/>
            <w:vAlign w:val="center"/>
          </w:tcPr>
          <w:p w14:paraId="278DACCC" w14:textId="090B3008" w:rsidR="00627127" w:rsidRPr="00DD4F9E" w:rsidRDefault="00F87940">
            <w:pPr>
              <w:jc w:val="right"/>
              <w:rPr>
                <w:rFonts w:ascii="CAIXA Std Book" w:hAnsi="CAIXA Std Book" w:cs="Calibri"/>
                <w:color w:val="005CA9"/>
                <w:sz w:val="18"/>
                <w:szCs w:val="18"/>
              </w:rPr>
            </w:pPr>
            <w:r>
              <w:rPr>
                <w:rFonts w:ascii="CAIXA Std Book" w:hAnsi="CAIXA Std Book" w:cs="Calibri"/>
                <w:color w:val="005CA9"/>
                <w:sz w:val="18"/>
                <w:szCs w:val="18"/>
              </w:rPr>
              <w:t>29.088.</w:t>
            </w:r>
            <w:r w:rsidR="008A426F">
              <w:rPr>
                <w:rFonts w:ascii="CAIXA Std Book" w:hAnsi="CAIXA Std Book" w:cs="Calibri"/>
                <w:color w:val="005CA9"/>
                <w:sz w:val="18"/>
                <w:szCs w:val="18"/>
              </w:rPr>
              <w:t>987</w:t>
            </w:r>
          </w:p>
        </w:tc>
        <w:tc>
          <w:tcPr>
            <w:tcW w:w="630" w:type="pct"/>
            <w:tcBorders>
              <w:top w:val="nil"/>
              <w:left w:val="nil"/>
              <w:bottom w:val="nil"/>
              <w:right w:val="nil"/>
            </w:tcBorders>
            <w:vAlign w:val="center"/>
          </w:tcPr>
          <w:p w14:paraId="012AD8BE" w14:textId="7CA62879" w:rsidR="00627127" w:rsidRPr="00DD4F9E" w:rsidRDefault="00F87940">
            <w:pPr>
              <w:jc w:val="right"/>
              <w:rPr>
                <w:rFonts w:ascii="CAIXA Std Book" w:hAnsi="CAIXA Std Book" w:cs="Calibri"/>
                <w:color w:val="005CA9"/>
                <w:sz w:val="18"/>
                <w:szCs w:val="18"/>
              </w:rPr>
            </w:pPr>
            <w:r>
              <w:rPr>
                <w:rFonts w:ascii="CAIXA Std Book" w:hAnsi="CAIXA Std Book" w:cs="Calibri"/>
                <w:color w:val="005CA9"/>
                <w:sz w:val="18"/>
                <w:szCs w:val="18"/>
              </w:rPr>
              <w:t>(5.853.375)</w:t>
            </w:r>
          </w:p>
        </w:tc>
        <w:tc>
          <w:tcPr>
            <w:tcW w:w="630" w:type="pct"/>
            <w:tcBorders>
              <w:top w:val="nil"/>
              <w:left w:val="nil"/>
              <w:bottom w:val="nil"/>
              <w:right w:val="nil"/>
            </w:tcBorders>
            <w:noWrap/>
            <w:vAlign w:val="center"/>
          </w:tcPr>
          <w:p w14:paraId="63C9A133" w14:textId="0D6B9FD3" w:rsidR="00627127" w:rsidRPr="00DD4F9E" w:rsidRDefault="00F87940">
            <w:pPr>
              <w:jc w:val="right"/>
              <w:rPr>
                <w:rFonts w:ascii="CAIXA Std Book" w:hAnsi="CAIXA Std Book" w:cs="Calibri"/>
                <w:color w:val="005CA9"/>
                <w:sz w:val="18"/>
                <w:szCs w:val="18"/>
              </w:rPr>
            </w:pPr>
            <w:r>
              <w:rPr>
                <w:rFonts w:ascii="CAIXA Std Book" w:hAnsi="CAIXA Std Book" w:cs="Calibri"/>
                <w:color w:val="005CA9"/>
                <w:sz w:val="18"/>
                <w:szCs w:val="18"/>
              </w:rPr>
              <w:t>(2.780.616)</w:t>
            </w:r>
          </w:p>
        </w:tc>
        <w:tc>
          <w:tcPr>
            <w:tcW w:w="631" w:type="pct"/>
            <w:tcBorders>
              <w:top w:val="nil"/>
              <w:left w:val="nil"/>
              <w:bottom w:val="nil"/>
              <w:right w:val="nil"/>
            </w:tcBorders>
            <w:noWrap/>
            <w:vAlign w:val="center"/>
          </w:tcPr>
          <w:p w14:paraId="493A19DD" w14:textId="7C617F3F" w:rsidR="00627127" w:rsidRPr="00DD4F9E" w:rsidRDefault="00F87940">
            <w:pPr>
              <w:ind w:right="111"/>
              <w:jc w:val="right"/>
              <w:rPr>
                <w:rFonts w:ascii="CAIXA Std Book" w:hAnsi="CAIXA Std Book" w:cs="Calibri"/>
                <w:color w:val="005CA9"/>
                <w:sz w:val="18"/>
                <w:szCs w:val="18"/>
              </w:rPr>
            </w:pPr>
            <w:r w:rsidRPr="00F87940">
              <w:rPr>
                <w:rFonts w:ascii="CAIXA Std Book" w:hAnsi="CAIXA Std Book" w:cs="Calibri"/>
                <w:color w:val="005CA9"/>
                <w:sz w:val="18"/>
                <w:szCs w:val="18"/>
              </w:rPr>
              <w:t>899.697.</w:t>
            </w:r>
            <w:r w:rsidR="008A426F">
              <w:rPr>
                <w:rFonts w:ascii="CAIXA Std Book" w:hAnsi="CAIXA Std Book" w:cs="Calibri"/>
                <w:color w:val="005CA9"/>
                <w:sz w:val="18"/>
                <w:szCs w:val="18"/>
              </w:rPr>
              <w:t>321</w:t>
            </w:r>
          </w:p>
        </w:tc>
      </w:tr>
      <w:tr w:rsidR="00627127" w14:paraId="4556DB7E" w14:textId="77777777" w:rsidTr="00A65433">
        <w:trPr>
          <w:trHeight w:val="283"/>
        </w:trPr>
        <w:tc>
          <w:tcPr>
            <w:tcW w:w="1849" w:type="pct"/>
            <w:tcBorders>
              <w:top w:val="nil"/>
              <w:left w:val="nil"/>
              <w:bottom w:val="nil"/>
              <w:right w:val="nil"/>
            </w:tcBorders>
            <w:noWrap/>
            <w:vAlign w:val="center"/>
            <w:hideMark/>
          </w:tcPr>
          <w:p w14:paraId="57BB7564" w14:textId="77777777" w:rsidR="00627127" w:rsidRPr="00817BD3" w:rsidRDefault="00627127">
            <w:pPr>
              <w:rPr>
                <w:rFonts w:ascii="CAIXA Std Book" w:hAnsi="CAIXA Std Book" w:cs="Calibri"/>
                <w:color w:val="005CA9"/>
                <w:sz w:val="18"/>
                <w:szCs w:val="18"/>
              </w:rPr>
            </w:pPr>
            <w:r w:rsidRPr="00817BD3">
              <w:rPr>
                <w:rFonts w:ascii="CAIXA Std Book" w:hAnsi="CAIXA Std Book" w:cs="Calibri"/>
                <w:color w:val="005CA9"/>
                <w:sz w:val="18"/>
                <w:szCs w:val="18"/>
              </w:rPr>
              <w:t>Financiamentos de infraestrutura</w:t>
            </w:r>
          </w:p>
        </w:tc>
        <w:tc>
          <w:tcPr>
            <w:tcW w:w="630" w:type="pct"/>
            <w:tcBorders>
              <w:top w:val="nil"/>
              <w:left w:val="nil"/>
              <w:bottom w:val="nil"/>
              <w:right w:val="nil"/>
            </w:tcBorders>
            <w:noWrap/>
            <w:vAlign w:val="center"/>
            <w:hideMark/>
          </w:tcPr>
          <w:p w14:paraId="4D93603C" w14:textId="6CFA7406" w:rsidR="00627127" w:rsidRPr="00DD4F9E" w:rsidRDefault="00687A5C">
            <w:pPr>
              <w:jc w:val="right"/>
              <w:rPr>
                <w:rFonts w:ascii="CAIXA Std Book" w:hAnsi="CAIXA Std Book" w:cs="Calibri"/>
                <w:color w:val="005CA9"/>
                <w:sz w:val="18"/>
                <w:szCs w:val="18"/>
              </w:rPr>
            </w:pPr>
            <w:r>
              <w:rPr>
                <w:rFonts w:ascii="CAIXA Std Book" w:hAnsi="CAIXA Std Book" w:cs="Calibri"/>
                <w:color w:val="005CA9"/>
                <w:sz w:val="18"/>
                <w:szCs w:val="18"/>
              </w:rPr>
              <w:t>104.004.050</w:t>
            </w:r>
          </w:p>
        </w:tc>
        <w:tc>
          <w:tcPr>
            <w:tcW w:w="630" w:type="pct"/>
            <w:tcBorders>
              <w:top w:val="nil"/>
              <w:left w:val="nil"/>
              <w:bottom w:val="nil"/>
              <w:right w:val="nil"/>
            </w:tcBorders>
            <w:shd w:val="clear" w:color="000000" w:fill="FFFFFF"/>
            <w:vAlign w:val="center"/>
          </w:tcPr>
          <w:p w14:paraId="29DFAEA5" w14:textId="23102DDC" w:rsidR="00627127" w:rsidRPr="00DD4F9E" w:rsidRDefault="001D5A06">
            <w:pPr>
              <w:jc w:val="right"/>
              <w:rPr>
                <w:rFonts w:ascii="CAIXA Std Book" w:hAnsi="CAIXA Std Book" w:cs="Calibri"/>
                <w:color w:val="005CA9"/>
                <w:sz w:val="18"/>
                <w:szCs w:val="18"/>
              </w:rPr>
            </w:pPr>
            <w:r>
              <w:rPr>
                <w:rFonts w:ascii="CAIXA Std Book" w:hAnsi="CAIXA Std Book" w:cs="Calibri"/>
                <w:color w:val="005CA9"/>
                <w:sz w:val="18"/>
                <w:szCs w:val="18"/>
              </w:rPr>
              <w:t>(</w:t>
            </w:r>
            <w:r w:rsidR="00610A4F">
              <w:rPr>
                <w:rFonts w:ascii="CAIXA Std Book" w:hAnsi="CAIXA Std Book" w:cs="Calibri"/>
                <w:color w:val="005CA9"/>
                <w:sz w:val="18"/>
                <w:szCs w:val="18"/>
              </w:rPr>
              <w:t>1</w:t>
            </w:r>
            <w:r w:rsidR="00F87940">
              <w:rPr>
                <w:rFonts w:ascii="CAIXA Std Book" w:hAnsi="CAIXA Std Book" w:cs="Calibri"/>
                <w:color w:val="005CA9"/>
                <w:sz w:val="18"/>
                <w:szCs w:val="18"/>
              </w:rPr>
              <w:t>45.</w:t>
            </w:r>
            <w:r w:rsidR="008A426F">
              <w:rPr>
                <w:rFonts w:ascii="CAIXA Std Book" w:hAnsi="CAIXA Std Book" w:cs="Calibri"/>
                <w:color w:val="005CA9"/>
                <w:sz w:val="18"/>
                <w:szCs w:val="18"/>
              </w:rPr>
              <w:t>455</w:t>
            </w:r>
            <w:r w:rsidR="00A37CDE">
              <w:rPr>
                <w:rFonts w:ascii="CAIXA Std Book" w:hAnsi="CAIXA Std Book" w:cs="Calibri"/>
                <w:color w:val="005CA9"/>
                <w:sz w:val="18"/>
                <w:szCs w:val="18"/>
              </w:rPr>
              <w:t>)</w:t>
            </w:r>
          </w:p>
        </w:tc>
        <w:tc>
          <w:tcPr>
            <w:tcW w:w="630" w:type="pct"/>
            <w:tcBorders>
              <w:top w:val="nil"/>
              <w:left w:val="nil"/>
              <w:bottom w:val="nil"/>
              <w:right w:val="nil"/>
            </w:tcBorders>
            <w:vAlign w:val="center"/>
          </w:tcPr>
          <w:p w14:paraId="053BC969" w14:textId="0925C450" w:rsidR="00627127" w:rsidRPr="00DD4F9E" w:rsidRDefault="00F87940">
            <w:pPr>
              <w:jc w:val="right"/>
              <w:rPr>
                <w:rFonts w:ascii="CAIXA Std Book" w:hAnsi="CAIXA Std Book" w:cs="Calibri"/>
                <w:color w:val="005CA9"/>
                <w:sz w:val="18"/>
                <w:szCs w:val="18"/>
              </w:rPr>
            </w:pPr>
            <w:r>
              <w:rPr>
                <w:rFonts w:ascii="CAIXA Std Book" w:hAnsi="CAIXA Std Book" w:cs="Calibri"/>
                <w:color w:val="005CA9"/>
                <w:sz w:val="18"/>
                <w:szCs w:val="18"/>
              </w:rPr>
              <w:t>(6.645)</w:t>
            </w:r>
          </w:p>
        </w:tc>
        <w:tc>
          <w:tcPr>
            <w:tcW w:w="630" w:type="pct"/>
            <w:tcBorders>
              <w:top w:val="nil"/>
              <w:left w:val="nil"/>
              <w:bottom w:val="nil"/>
              <w:right w:val="nil"/>
            </w:tcBorders>
            <w:noWrap/>
            <w:vAlign w:val="center"/>
          </w:tcPr>
          <w:p w14:paraId="61AA6FF9" w14:textId="08E8F075" w:rsidR="00627127" w:rsidRPr="00DD4F9E" w:rsidRDefault="00F87940" w:rsidP="00F87940">
            <w:pPr>
              <w:jc w:val="right"/>
              <w:rPr>
                <w:rFonts w:ascii="CAIXA Std Book" w:hAnsi="CAIXA Std Book" w:cs="Calibri"/>
                <w:color w:val="005CA9"/>
                <w:sz w:val="18"/>
                <w:szCs w:val="18"/>
              </w:rPr>
            </w:pPr>
            <w:r>
              <w:rPr>
                <w:rFonts w:ascii="CAIXA Std Book" w:hAnsi="CAIXA Std Book" w:cs="Calibri"/>
                <w:color w:val="005CA9"/>
                <w:sz w:val="18"/>
                <w:szCs w:val="18"/>
              </w:rPr>
              <w:t>(100.376)</w:t>
            </w:r>
          </w:p>
        </w:tc>
        <w:tc>
          <w:tcPr>
            <w:tcW w:w="631" w:type="pct"/>
            <w:tcBorders>
              <w:top w:val="nil"/>
              <w:left w:val="nil"/>
              <w:bottom w:val="nil"/>
              <w:right w:val="nil"/>
            </w:tcBorders>
            <w:noWrap/>
            <w:vAlign w:val="center"/>
          </w:tcPr>
          <w:p w14:paraId="62969173" w14:textId="4B98EF55" w:rsidR="00627127" w:rsidRPr="00DD4F9E" w:rsidRDefault="00F87940">
            <w:pPr>
              <w:ind w:right="111"/>
              <w:jc w:val="right"/>
              <w:rPr>
                <w:rFonts w:ascii="CAIXA Std Book" w:hAnsi="CAIXA Std Book" w:cs="Calibri"/>
                <w:color w:val="005CA9"/>
                <w:sz w:val="18"/>
                <w:szCs w:val="18"/>
              </w:rPr>
            </w:pPr>
            <w:r>
              <w:rPr>
                <w:rFonts w:ascii="CAIXA Std Book" w:hAnsi="CAIXA Std Book" w:cs="Calibri"/>
                <w:color w:val="005CA9"/>
                <w:sz w:val="18"/>
                <w:szCs w:val="18"/>
              </w:rPr>
              <w:t>103.751.</w:t>
            </w:r>
            <w:r w:rsidR="008A426F">
              <w:rPr>
                <w:rFonts w:ascii="CAIXA Std Book" w:hAnsi="CAIXA Std Book" w:cs="Calibri"/>
                <w:color w:val="005CA9"/>
                <w:sz w:val="18"/>
                <w:szCs w:val="18"/>
              </w:rPr>
              <w:t>574</w:t>
            </w:r>
          </w:p>
        </w:tc>
      </w:tr>
      <w:tr w:rsidR="00627127" w14:paraId="457128D6" w14:textId="77777777" w:rsidTr="00A65433">
        <w:trPr>
          <w:trHeight w:val="283"/>
        </w:trPr>
        <w:tc>
          <w:tcPr>
            <w:tcW w:w="1849" w:type="pct"/>
            <w:tcBorders>
              <w:top w:val="nil"/>
              <w:left w:val="nil"/>
              <w:bottom w:val="nil"/>
              <w:right w:val="nil"/>
            </w:tcBorders>
            <w:noWrap/>
            <w:vAlign w:val="center"/>
            <w:hideMark/>
          </w:tcPr>
          <w:p w14:paraId="302F4E23" w14:textId="77777777" w:rsidR="00627127" w:rsidRPr="00817BD3" w:rsidRDefault="00627127">
            <w:pPr>
              <w:rPr>
                <w:rFonts w:ascii="CAIXA Std Book" w:hAnsi="CAIXA Std Book" w:cs="Calibri"/>
                <w:color w:val="005CA9"/>
                <w:sz w:val="18"/>
                <w:szCs w:val="18"/>
              </w:rPr>
            </w:pPr>
            <w:r w:rsidRPr="00817BD3">
              <w:rPr>
                <w:rFonts w:ascii="CAIXA Std Book" w:hAnsi="CAIXA Std Book" w:cs="Calibri"/>
                <w:color w:val="005CA9"/>
                <w:sz w:val="18"/>
                <w:szCs w:val="18"/>
              </w:rPr>
              <w:t>Cessão de crédito</w:t>
            </w:r>
          </w:p>
        </w:tc>
        <w:tc>
          <w:tcPr>
            <w:tcW w:w="630" w:type="pct"/>
            <w:tcBorders>
              <w:top w:val="nil"/>
              <w:left w:val="nil"/>
              <w:bottom w:val="nil"/>
              <w:right w:val="nil"/>
            </w:tcBorders>
            <w:noWrap/>
            <w:vAlign w:val="center"/>
            <w:hideMark/>
          </w:tcPr>
          <w:p w14:paraId="21D554A1" w14:textId="3CB1511D" w:rsidR="00627127" w:rsidRPr="00DD4F9E" w:rsidRDefault="00687A5C">
            <w:pPr>
              <w:jc w:val="right"/>
              <w:rPr>
                <w:rFonts w:ascii="CAIXA Std Book" w:hAnsi="CAIXA Std Book" w:cs="Calibri"/>
                <w:color w:val="005CA9"/>
                <w:sz w:val="18"/>
                <w:szCs w:val="18"/>
              </w:rPr>
            </w:pPr>
            <w:r>
              <w:rPr>
                <w:rFonts w:ascii="CAIXA Std Book" w:hAnsi="CAIXA Std Book" w:cs="Calibri"/>
                <w:color w:val="005CA9"/>
                <w:sz w:val="18"/>
                <w:szCs w:val="18"/>
              </w:rPr>
              <w:t>2.73</w:t>
            </w:r>
            <w:r w:rsidR="003F2D49">
              <w:rPr>
                <w:rFonts w:ascii="CAIXA Std Book" w:hAnsi="CAIXA Std Book" w:cs="Calibri"/>
                <w:color w:val="005CA9"/>
                <w:sz w:val="18"/>
                <w:szCs w:val="18"/>
              </w:rPr>
              <w:t>9.658</w:t>
            </w:r>
          </w:p>
        </w:tc>
        <w:tc>
          <w:tcPr>
            <w:tcW w:w="630" w:type="pct"/>
            <w:tcBorders>
              <w:top w:val="nil"/>
              <w:left w:val="nil"/>
              <w:bottom w:val="nil"/>
              <w:right w:val="nil"/>
            </w:tcBorders>
            <w:shd w:val="clear" w:color="000000" w:fill="FFFFFF"/>
            <w:vAlign w:val="center"/>
          </w:tcPr>
          <w:p w14:paraId="101C7C02" w14:textId="635F8428" w:rsidR="00627127" w:rsidRPr="00DD4F9E" w:rsidRDefault="00A37CDE">
            <w:pPr>
              <w:jc w:val="right"/>
              <w:rPr>
                <w:rFonts w:ascii="CAIXA Std Book" w:hAnsi="CAIXA Std Book" w:cs="Calibri"/>
                <w:color w:val="005CA9"/>
                <w:sz w:val="18"/>
                <w:szCs w:val="18"/>
              </w:rPr>
            </w:pPr>
            <w:r>
              <w:rPr>
                <w:rFonts w:ascii="CAIXA Std Book" w:hAnsi="CAIXA Std Book" w:cs="Calibri"/>
                <w:color w:val="005CA9"/>
                <w:sz w:val="18"/>
                <w:szCs w:val="18"/>
              </w:rPr>
              <w:t>(</w:t>
            </w:r>
            <w:r w:rsidR="00F87940">
              <w:rPr>
                <w:rFonts w:ascii="CAIXA Std Book" w:hAnsi="CAIXA Std Book" w:cs="Calibri"/>
                <w:color w:val="005CA9"/>
                <w:sz w:val="18"/>
                <w:szCs w:val="18"/>
              </w:rPr>
              <w:t>113.</w:t>
            </w:r>
            <w:r w:rsidR="008A426F">
              <w:rPr>
                <w:rFonts w:ascii="CAIXA Std Book" w:hAnsi="CAIXA Std Book" w:cs="Calibri"/>
                <w:color w:val="005CA9"/>
                <w:sz w:val="18"/>
                <w:szCs w:val="18"/>
              </w:rPr>
              <w:t>037</w:t>
            </w:r>
            <w:r>
              <w:rPr>
                <w:rFonts w:ascii="CAIXA Std Book" w:hAnsi="CAIXA Std Book" w:cs="Calibri"/>
                <w:color w:val="005CA9"/>
                <w:sz w:val="18"/>
                <w:szCs w:val="18"/>
              </w:rPr>
              <w:t>)</w:t>
            </w:r>
          </w:p>
        </w:tc>
        <w:tc>
          <w:tcPr>
            <w:tcW w:w="630" w:type="pct"/>
            <w:tcBorders>
              <w:top w:val="nil"/>
              <w:left w:val="nil"/>
              <w:bottom w:val="nil"/>
              <w:right w:val="nil"/>
            </w:tcBorders>
            <w:vAlign w:val="center"/>
          </w:tcPr>
          <w:p w14:paraId="2FCE1233" w14:textId="57695289" w:rsidR="00627127" w:rsidRPr="00DD4F9E" w:rsidRDefault="00F87940">
            <w:pPr>
              <w:jc w:val="right"/>
              <w:rPr>
                <w:rFonts w:ascii="CAIXA Std Book" w:hAnsi="CAIXA Std Book" w:cs="Calibri"/>
                <w:color w:val="005CA9"/>
                <w:sz w:val="18"/>
                <w:szCs w:val="18"/>
              </w:rPr>
            </w:pPr>
            <w:r>
              <w:rPr>
                <w:rFonts w:ascii="CAIXA Std Book" w:hAnsi="CAIXA Std Book" w:cs="Calibri"/>
                <w:color w:val="005CA9"/>
                <w:sz w:val="18"/>
                <w:szCs w:val="18"/>
              </w:rPr>
              <w:t>(5.180)</w:t>
            </w:r>
          </w:p>
        </w:tc>
        <w:tc>
          <w:tcPr>
            <w:tcW w:w="630" w:type="pct"/>
            <w:tcBorders>
              <w:top w:val="nil"/>
              <w:left w:val="nil"/>
              <w:bottom w:val="nil"/>
              <w:right w:val="nil"/>
            </w:tcBorders>
            <w:noWrap/>
            <w:vAlign w:val="center"/>
          </w:tcPr>
          <w:p w14:paraId="0F9CEE38" w14:textId="7E902D1B" w:rsidR="00627127" w:rsidRPr="00DD4F9E" w:rsidRDefault="00F87940">
            <w:pPr>
              <w:jc w:val="right"/>
              <w:rPr>
                <w:rFonts w:ascii="CAIXA Std Book" w:hAnsi="CAIXA Std Book" w:cs="Calibri"/>
                <w:color w:val="005CA9"/>
                <w:sz w:val="18"/>
                <w:szCs w:val="18"/>
              </w:rPr>
            </w:pPr>
            <w:r>
              <w:rPr>
                <w:rFonts w:ascii="CAIXA Std Book" w:hAnsi="CAIXA Std Book" w:cs="Calibri"/>
                <w:color w:val="005CA9"/>
                <w:sz w:val="18"/>
                <w:szCs w:val="18"/>
              </w:rPr>
              <w:t>226</w:t>
            </w:r>
          </w:p>
        </w:tc>
        <w:tc>
          <w:tcPr>
            <w:tcW w:w="631" w:type="pct"/>
            <w:tcBorders>
              <w:top w:val="nil"/>
              <w:left w:val="nil"/>
              <w:bottom w:val="nil"/>
              <w:right w:val="nil"/>
            </w:tcBorders>
            <w:noWrap/>
            <w:vAlign w:val="center"/>
          </w:tcPr>
          <w:p w14:paraId="126B9CF5" w14:textId="5491A6BB" w:rsidR="00627127" w:rsidRPr="00DD4F9E" w:rsidRDefault="00F87940">
            <w:pPr>
              <w:ind w:right="111"/>
              <w:jc w:val="right"/>
              <w:rPr>
                <w:rFonts w:ascii="CAIXA Std Book" w:hAnsi="CAIXA Std Book" w:cs="Calibri"/>
                <w:color w:val="005CA9"/>
                <w:sz w:val="18"/>
                <w:szCs w:val="18"/>
              </w:rPr>
            </w:pPr>
            <w:r>
              <w:rPr>
                <w:rFonts w:ascii="CAIXA Std Book" w:hAnsi="CAIXA Std Book" w:cs="Calibri"/>
                <w:color w:val="005CA9"/>
                <w:sz w:val="18"/>
                <w:szCs w:val="18"/>
              </w:rPr>
              <w:t>2.621.</w:t>
            </w:r>
            <w:r w:rsidR="008A426F">
              <w:rPr>
                <w:rFonts w:ascii="CAIXA Std Book" w:hAnsi="CAIXA Std Book" w:cs="Calibri"/>
                <w:color w:val="005CA9"/>
                <w:sz w:val="18"/>
                <w:szCs w:val="18"/>
              </w:rPr>
              <w:t>667</w:t>
            </w:r>
          </w:p>
        </w:tc>
      </w:tr>
      <w:tr w:rsidR="00627127" w14:paraId="38A778A8" w14:textId="77777777" w:rsidTr="00A65433">
        <w:trPr>
          <w:trHeight w:val="283"/>
        </w:trPr>
        <w:tc>
          <w:tcPr>
            <w:tcW w:w="1849" w:type="pct"/>
            <w:tcBorders>
              <w:top w:val="nil"/>
              <w:left w:val="nil"/>
              <w:bottom w:val="nil"/>
              <w:right w:val="nil"/>
            </w:tcBorders>
            <w:noWrap/>
            <w:vAlign w:val="center"/>
            <w:hideMark/>
          </w:tcPr>
          <w:p w14:paraId="21387EAC" w14:textId="4BAC631D" w:rsidR="00627127" w:rsidRPr="00817BD3" w:rsidRDefault="00627127">
            <w:pPr>
              <w:rPr>
                <w:rFonts w:ascii="CAIXA Std Book" w:hAnsi="CAIXA Std Book" w:cs="Calibri"/>
                <w:color w:val="005CA9"/>
                <w:sz w:val="18"/>
                <w:szCs w:val="18"/>
              </w:rPr>
            </w:pPr>
            <w:r w:rsidRPr="00817BD3">
              <w:rPr>
                <w:rFonts w:ascii="CAIXA Std Book" w:hAnsi="CAIXA Std Book" w:cs="Calibri"/>
                <w:color w:val="005CA9"/>
                <w:sz w:val="18"/>
                <w:szCs w:val="18"/>
              </w:rPr>
              <w:t xml:space="preserve">Outros </w:t>
            </w:r>
            <w:r>
              <w:rPr>
                <w:rFonts w:ascii="CAIXA Std Book" w:hAnsi="CAIXA Std Book" w:cs="Calibri"/>
                <w:color w:val="005CA9"/>
                <w:sz w:val="18"/>
                <w:szCs w:val="18"/>
              </w:rPr>
              <w:t xml:space="preserve">ativos com características de concessão de crédito </w:t>
            </w:r>
          </w:p>
        </w:tc>
        <w:tc>
          <w:tcPr>
            <w:tcW w:w="630" w:type="pct"/>
            <w:tcBorders>
              <w:top w:val="nil"/>
              <w:left w:val="nil"/>
              <w:bottom w:val="nil"/>
              <w:right w:val="nil"/>
            </w:tcBorders>
            <w:noWrap/>
            <w:vAlign w:val="center"/>
            <w:hideMark/>
          </w:tcPr>
          <w:p w14:paraId="0F6059AA" w14:textId="7C566780" w:rsidR="00627127" w:rsidRPr="00DD4F9E" w:rsidRDefault="003F2D49">
            <w:pPr>
              <w:jc w:val="right"/>
              <w:rPr>
                <w:rFonts w:ascii="CAIXA Std Book" w:hAnsi="CAIXA Std Book" w:cs="Calibri"/>
                <w:color w:val="005CA9"/>
                <w:sz w:val="18"/>
                <w:szCs w:val="18"/>
              </w:rPr>
            </w:pPr>
            <w:r>
              <w:rPr>
                <w:rFonts w:ascii="CAIXA Std Book" w:hAnsi="CAIXA Std Book" w:cs="Calibri"/>
                <w:color w:val="005CA9"/>
                <w:sz w:val="18"/>
                <w:szCs w:val="18"/>
              </w:rPr>
              <w:t>17.985.214</w:t>
            </w:r>
          </w:p>
        </w:tc>
        <w:tc>
          <w:tcPr>
            <w:tcW w:w="630" w:type="pct"/>
            <w:tcBorders>
              <w:top w:val="nil"/>
              <w:left w:val="nil"/>
              <w:bottom w:val="nil"/>
              <w:right w:val="nil"/>
            </w:tcBorders>
            <w:shd w:val="clear" w:color="000000" w:fill="FFFFFF"/>
            <w:vAlign w:val="center"/>
          </w:tcPr>
          <w:p w14:paraId="7E5C85AD" w14:textId="6819EF53" w:rsidR="00627127" w:rsidRPr="00DD4F9E" w:rsidRDefault="00F87940">
            <w:pPr>
              <w:jc w:val="right"/>
              <w:rPr>
                <w:rFonts w:ascii="CAIXA Std Book" w:hAnsi="CAIXA Std Book" w:cs="Calibri"/>
                <w:color w:val="005CA9"/>
                <w:sz w:val="18"/>
                <w:szCs w:val="18"/>
              </w:rPr>
            </w:pPr>
            <w:r>
              <w:rPr>
                <w:rFonts w:ascii="CAIXA Std Book" w:hAnsi="CAIXA Std Book" w:cs="Calibri"/>
                <w:color w:val="005CA9"/>
                <w:sz w:val="18"/>
                <w:szCs w:val="18"/>
              </w:rPr>
              <w:t>115.</w:t>
            </w:r>
            <w:r w:rsidR="008A426F">
              <w:rPr>
                <w:rFonts w:ascii="CAIXA Std Book" w:hAnsi="CAIXA Std Book" w:cs="Calibri"/>
                <w:color w:val="005CA9"/>
                <w:sz w:val="18"/>
                <w:szCs w:val="18"/>
              </w:rPr>
              <w:t>603</w:t>
            </w:r>
          </w:p>
        </w:tc>
        <w:tc>
          <w:tcPr>
            <w:tcW w:w="630" w:type="pct"/>
            <w:tcBorders>
              <w:top w:val="nil"/>
              <w:left w:val="nil"/>
              <w:bottom w:val="nil"/>
              <w:right w:val="nil"/>
            </w:tcBorders>
            <w:vAlign w:val="center"/>
          </w:tcPr>
          <w:p w14:paraId="3E814385" w14:textId="749FF984" w:rsidR="00627127" w:rsidRPr="00DD4F9E" w:rsidRDefault="00F87940">
            <w:pPr>
              <w:jc w:val="right"/>
              <w:rPr>
                <w:rFonts w:ascii="CAIXA Std Book" w:hAnsi="CAIXA Std Book" w:cs="Calibri"/>
                <w:color w:val="005CA9"/>
                <w:sz w:val="18"/>
                <w:szCs w:val="18"/>
              </w:rPr>
            </w:pPr>
            <w:r w:rsidRPr="00F87940">
              <w:rPr>
                <w:rFonts w:ascii="CAIXA Std Book" w:hAnsi="CAIXA Std Book" w:cs="Calibri"/>
                <w:color w:val="005CA9"/>
                <w:sz w:val="18"/>
                <w:szCs w:val="18"/>
              </w:rPr>
              <w:t>(411.584)</w:t>
            </w:r>
          </w:p>
        </w:tc>
        <w:tc>
          <w:tcPr>
            <w:tcW w:w="630" w:type="pct"/>
            <w:tcBorders>
              <w:top w:val="nil"/>
              <w:left w:val="nil"/>
              <w:bottom w:val="nil"/>
              <w:right w:val="nil"/>
            </w:tcBorders>
            <w:noWrap/>
            <w:vAlign w:val="center"/>
          </w:tcPr>
          <w:p w14:paraId="000820F5" w14:textId="38343417" w:rsidR="00627127" w:rsidRPr="00DD4F9E" w:rsidRDefault="00F87940">
            <w:pPr>
              <w:jc w:val="right"/>
              <w:rPr>
                <w:rFonts w:ascii="CAIXA Std Book" w:hAnsi="CAIXA Std Book" w:cs="Calibri"/>
                <w:color w:val="005CA9"/>
                <w:sz w:val="18"/>
                <w:szCs w:val="18"/>
              </w:rPr>
            </w:pPr>
            <w:r w:rsidRPr="00F87940">
              <w:rPr>
                <w:rFonts w:ascii="CAIXA Std Book" w:hAnsi="CAIXA Std Book" w:cs="Calibri"/>
                <w:color w:val="005CA9"/>
                <w:sz w:val="18"/>
                <w:szCs w:val="18"/>
              </w:rPr>
              <w:t>(13.458)</w:t>
            </w:r>
          </w:p>
        </w:tc>
        <w:tc>
          <w:tcPr>
            <w:tcW w:w="631" w:type="pct"/>
            <w:tcBorders>
              <w:top w:val="nil"/>
              <w:left w:val="nil"/>
              <w:bottom w:val="nil"/>
              <w:right w:val="nil"/>
            </w:tcBorders>
            <w:noWrap/>
            <w:vAlign w:val="center"/>
          </w:tcPr>
          <w:p w14:paraId="52E51019" w14:textId="3B385F9F" w:rsidR="00627127" w:rsidRPr="00DD4F9E" w:rsidRDefault="00F87940">
            <w:pPr>
              <w:ind w:right="111"/>
              <w:jc w:val="right"/>
              <w:rPr>
                <w:rFonts w:ascii="CAIXA Std Book" w:hAnsi="CAIXA Std Book" w:cs="Calibri"/>
                <w:color w:val="005CA9"/>
                <w:sz w:val="18"/>
                <w:szCs w:val="18"/>
              </w:rPr>
            </w:pPr>
            <w:r>
              <w:rPr>
                <w:rFonts w:ascii="CAIXA Std Book" w:hAnsi="CAIXA Std Book" w:cs="Calibri"/>
                <w:color w:val="005CA9"/>
                <w:sz w:val="18"/>
                <w:szCs w:val="18"/>
              </w:rPr>
              <w:t>17.675.</w:t>
            </w:r>
            <w:r w:rsidR="008A426F">
              <w:rPr>
                <w:rFonts w:ascii="CAIXA Std Book" w:hAnsi="CAIXA Std Book" w:cs="Calibri"/>
                <w:color w:val="005CA9"/>
                <w:sz w:val="18"/>
                <w:szCs w:val="18"/>
              </w:rPr>
              <w:t>775</w:t>
            </w:r>
          </w:p>
        </w:tc>
      </w:tr>
      <w:tr w:rsidR="00627127" w14:paraId="7EA912B9" w14:textId="77777777" w:rsidTr="00A65433">
        <w:trPr>
          <w:trHeight w:val="283"/>
        </w:trPr>
        <w:tc>
          <w:tcPr>
            <w:tcW w:w="1849" w:type="pct"/>
            <w:tcBorders>
              <w:top w:val="nil"/>
              <w:left w:val="nil"/>
              <w:bottom w:val="nil"/>
              <w:right w:val="nil"/>
            </w:tcBorders>
            <w:shd w:val="clear" w:color="auto" w:fill="005CA9"/>
            <w:noWrap/>
            <w:vAlign w:val="center"/>
            <w:hideMark/>
          </w:tcPr>
          <w:p w14:paraId="0BCCA9E3" w14:textId="77777777" w:rsidR="00627127" w:rsidRPr="00817BD3" w:rsidRDefault="00627127">
            <w:pPr>
              <w:rPr>
                <w:rFonts w:ascii="CAIXA Std Book" w:hAnsi="CAIXA Std Book" w:cs="Calibri"/>
                <w:b/>
                <w:color w:val="FFFFFF"/>
                <w:sz w:val="18"/>
                <w:szCs w:val="18"/>
              </w:rPr>
            </w:pPr>
            <w:r w:rsidRPr="00817BD3">
              <w:rPr>
                <w:rFonts w:ascii="CAIXA Std Book" w:hAnsi="CAIXA Std Book" w:cs="Calibri"/>
                <w:b/>
                <w:color w:val="FFFFFF"/>
                <w:sz w:val="18"/>
                <w:szCs w:val="18"/>
              </w:rPr>
              <w:t>Total</w:t>
            </w:r>
            <w:r w:rsidRPr="00817BD3">
              <w:rPr>
                <w:rFonts w:ascii="CAIXA Std Book" w:hAnsi="CAIXA Std Book" w:cs="Calibri"/>
                <w:color w:val="005CA9"/>
                <w:sz w:val="18"/>
                <w:szCs w:val="18"/>
              </w:rPr>
              <w:t> </w:t>
            </w:r>
          </w:p>
        </w:tc>
        <w:tc>
          <w:tcPr>
            <w:tcW w:w="630" w:type="pct"/>
            <w:tcBorders>
              <w:top w:val="nil"/>
              <w:left w:val="nil"/>
              <w:bottom w:val="nil"/>
              <w:right w:val="nil"/>
            </w:tcBorders>
            <w:shd w:val="clear" w:color="auto" w:fill="005CA9"/>
            <w:noWrap/>
            <w:vAlign w:val="center"/>
          </w:tcPr>
          <w:p w14:paraId="459E2FAC" w14:textId="64E15F41" w:rsidR="00627127" w:rsidRPr="00DD4F9E" w:rsidRDefault="003F2D49">
            <w:pPr>
              <w:jc w:val="right"/>
              <w:rPr>
                <w:rFonts w:ascii="CAIXA Std Book" w:hAnsi="CAIXA Std Book" w:cs="Calibri"/>
                <w:b/>
                <w:color w:val="FFFFFF"/>
                <w:sz w:val="18"/>
                <w:szCs w:val="18"/>
              </w:rPr>
            </w:pPr>
            <w:r>
              <w:rPr>
                <w:rFonts w:ascii="CAIXA Std Book" w:hAnsi="CAIXA Std Book" w:cs="Calibri"/>
                <w:b/>
                <w:color w:val="FFFFFF"/>
                <w:sz w:val="18"/>
                <w:szCs w:val="18"/>
              </w:rPr>
              <w:t>1.261.000.086</w:t>
            </w:r>
          </w:p>
        </w:tc>
        <w:tc>
          <w:tcPr>
            <w:tcW w:w="630" w:type="pct"/>
            <w:tcBorders>
              <w:top w:val="nil"/>
              <w:left w:val="nil"/>
              <w:bottom w:val="nil"/>
              <w:right w:val="nil"/>
            </w:tcBorders>
            <w:shd w:val="clear" w:color="auto" w:fill="005CA9"/>
            <w:noWrap/>
            <w:vAlign w:val="center"/>
          </w:tcPr>
          <w:p w14:paraId="6097BAE4" w14:textId="49F17FAD" w:rsidR="00627127" w:rsidRPr="00897776" w:rsidRDefault="00F87940">
            <w:pPr>
              <w:jc w:val="right"/>
              <w:rPr>
                <w:rFonts w:ascii="CAIXA Std Book" w:hAnsi="CAIXA Std Book" w:cs="Calibri"/>
                <w:b/>
                <w:bCs/>
                <w:color w:val="005CA9"/>
                <w:sz w:val="18"/>
                <w:szCs w:val="18"/>
              </w:rPr>
            </w:pPr>
            <w:r>
              <w:rPr>
                <w:rFonts w:ascii="CAIXA Std Book" w:hAnsi="CAIXA Std Book" w:cs="Calibri"/>
                <w:b/>
                <w:bCs/>
                <w:color w:val="FFFFFF"/>
                <w:sz w:val="18"/>
                <w:szCs w:val="18"/>
              </w:rPr>
              <w:t>38.007.</w:t>
            </w:r>
            <w:r w:rsidR="008A426F">
              <w:rPr>
                <w:rFonts w:ascii="CAIXA Std Book" w:hAnsi="CAIXA Std Book" w:cs="Calibri"/>
                <w:b/>
                <w:bCs/>
                <w:color w:val="FFFFFF"/>
                <w:sz w:val="18"/>
                <w:szCs w:val="18"/>
              </w:rPr>
              <w:t>711</w:t>
            </w:r>
          </w:p>
        </w:tc>
        <w:tc>
          <w:tcPr>
            <w:tcW w:w="630" w:type="pct"/>
            <w:tcBorders>
              <w:top w:val="nil"/>
              <w:left w:val="nil"/>
              <w:bottom w:val="nil"/>
              <w:right w:val="nil"/>
            </w:tcBorders>
            <w:shd w:val="clear" w:color="auto" w:fill="005CA9"/>
            <w:noWrap/>
            <w:vAlign w:val="center"/>
          </w:tcPr>
          <w:p w14:paraId="37E99BC3" w14:textId="75C6FBB0" w:rsidR="00627127" w:rsidRPr="00DD4F9E" w:rsidRDefault="001D5A06">
            <w:pPr>
              <w:jc w:val="right"/>
              <w:rPr>
                <w:rFonts w:ascii="CAIXA Std Book" w:hAnsi="CAIXA Std Book" w:cs="Calibri"/>
                <w:b/>
                <w:color w:val="FFFFFF"/>
                <w:sz w:val="18"/>
                <w:szCs w:val="18"/>
              </w:rPr>
            </w:pPr>
            <w:r>
              <w:rPr>
                <w:rFonts w:ascii="CAIXA Std Book" w:hAnsi="CAIXA Std Book" w:cs="Calibri"/>
                <w:b/>
                <w:bCs/>
                <w:color w:val="FFFFFF"/>
                <w:sz w:val="18"/>
                <w:szCs w:val="18"/>
              </w:rPr>
              <w:t>(</w:t>
            </w:r>
            <w:r w:rsidR="00F87940">
              <w:rPr>
                <w:rFonts w:ascii="CAIXA Std Book" w:hAnsi="CAIXA Std Book" w:cs="Calibri"/>
                <w:b/>
                <w:bCs/>
                <w:color w:val="FFFFFF"/>
                <w:sz w:val="18"/>
                <w:szCs w:val="18"/>
              </w:rPr>
              <w:t>10.294.290</w:t>
            </w:r>
            <w:r w:rsidR="00D43D2C">
              <w:rPr>
                <w:rFonts w:ascii="CAIXA Std Book" w:hAnsi="CAIXA Std Book" w:cs="Calibri"/>
                <w:b/>
                <w:bCs/>
                <w:color w:val="FFFFFF"/>
                <w:sz w:val="18"/>
                <w:szCs w:val="18"/>
              </w:rPr>
              <w:t>)</w:t>
            </w:r>
          </w:p>
        </w:tc>
        <w:tc>
          <w:tcPr>
            <w:tcW w:w="630" w:type="pct"/>
            <w:tcBorders>
              <w:top w:val="nil"/>
              <w:left w:val="nil"/>
              <w:bottom w:val="nil"/>
              <w:right w:val="nil"/>
            </w:tcBorders>
            <w:shd w:val="clear" w:color="auto" w:fill="005CA9"/>
            <w:noWrap/>
            <w:vAlign w:val="center"/>
          </w:tcPr>
          <w:p w14:paraId="18096700" w14:textId="6FB8C882" w:rsidR="00627127" w:rsidRPr="00DD4F9E" w:rsidRDefault="001D5A06">
            <w:pPr>
              <w:jc w:val="right"/>
              <w:rPr>
                <w:rFonts w:ascii="CAIXA Std Book" w:hAnsi="CAIXA Std Book" w:cs="Calibri"/>
                <w:b/>
                <w:color w:val="FFFFFF"/>
                <w:sz w:val="18"/>
                <w:szCs w:val="18"/>
              </w:rPr>
            </w:pPr>
            <w:r>
              <w:rPr>
                <w:rFonts w:ascii="CAIXA Std Book" w:hAnsi="CAIXA Std Book" w:cs="Calibri"/>
                <w:b/>
                <w:bCs/>
                <w:color w:val="FFFFFF"/>
                <w:sz w:val="18"/>
                <w:szCs w:val="18"/>
              </w:rPr>
              <w:t>(</w:t>
            </w:r>
            <w:r w:rsidR="00F87940">
              <w:rPr>
                <w:rFonts w:ascii="CAIXA Std Book" w:hAnsi="CAIXA Std Book" w:cs="Calibri"/>
                <w:b/>
                <w:bCs/>
                <w:color w:val="FFFFFF"/>
                <w:sz w:val="18"/>
                <w:szCs w:val="18"/>
              </w:rPr>
              <w:t>5.459.810</w:t>
            </w:r>
            <w:r>
              <w:rPr>
                <w:rFonts w:ascii="CAIXA Std Book" w:hAnsi="CAIXA Std Book" w:cs="Calibri"/>
                <w:b/>
                <w:bCs/>
                <w:color w:val="FFFFFF"/>
                <w:sz w:val="18"/>
                <w:szCs w:val="18"/>
              </w:rPr>
              <w:t>)</w:t>
            </w:r>
          </w:p>
        </w:tc>
        <w:tc>
          <w:tcPr>
            <w:tcW w:w="631" w:type="pct"/>
            <w:tcBorders>
              <w:top w:val="nil"/>
              <w:left w:val="nil"/>
              <w:bottom w:val="nil"/>
              <w:right w:val="nil"/>
            </w:tcBorders>
            <w:shd w:val="clear" w:color="auto" w:fill="005CA9"/>
            <w:noWrap/>
            <w:vAlign w:val="center"/>
          </w:tcPr>
          <w:p w14:paraId="3BC138B4" w14:textId="6EE6DE16" w:rsidR="00627127" w:rsidRPr="00C64C35" w:rsidRDefault="00F87940" w:rsidP="00ED02FD">
            <w:pPr>
              <w:ind w:right="111"/>
              <w:jc w:val="right"/>
              <w:rPr>
                <w:rFonts w:ascii="CAIXA Std Book" w:hAnsi="CAIXA Std Book" w:cs="Calibri"/>
                <w:b/>
                <w:bCs/>
                <w:color w:val="FFFFFF"/>
                <w:sz w:val="18"/>
                <w:szCs w:val="18"/>
              </w:rPr>
            </w:pPr>
            <w:r>
              <w:rPr>
                <w:rFonts w:ascii="CAIXA Std Book" w:hAnsi="CAIXA Std Book" w:cs="Calibri"/>
                <w:b/>
                <w:bCs/>
                <w:color w:val="FFFFFF"/>
                <w:sz w:val="18"/>
                <w:szCs w:val="18"/>
              </w:rPr>
              <w:t>1.283.253.</w:t>
            </w:r>
            <w:r w:rsidR="008A426F">
              <w:rPr>
                <w:rFonts w:ascii="CAIXA Std Book" w:hAnsi="CAIXA Std Book" w:cs="Calibri"/>
                <w:b/>
                <w:bCs/>
                <w:color w:val="FFFFFF"/>
                <w:sz w:val="18"/>
                <w:szCs w:val="18"/>
              </w:rPr>
              <w:t>697</w:t>
            </w:r>
          </w:p>
        </w:tc>
      </w:tr>
    </w:tbl>
    <w:p w14:paraId="37405265" w14:textId="53882638" w:rsidR="00627127" w:rsidRDefault="00627127" w:rsidP="00627127">
      <w:pPr>
        <w:rPr>
          <w:rFonts w:ascii="CAIXA Std Book" w:eastAsia="Times New Roman" w:hAnsi="CAIXA Std Book" w:cs="Arial"/>
          <w:color w:val="005CA9"/>
          <w:sz w:val="16"/>
          <w:szCs w:val="16"/>
        </w:rPr>
      </w:pPr>
      <w:r w:rsidRPr="00B2408A">
        <w:rPr>
          <w:rFonts w:ascii="CAIXA Std Book" w:eastAsia="Times New Roman" w:hAnsi="CAIXA Std Book" w:cs="Arial"/>
          <w:color w:val="005CA9"/>
          <w:sz w:val="16"/>
          <w:szCs w:val="16"/>
        </w:rPr>
        <w:t>(</w:t>
      </w:r>
      <w:r>
        <w:rPr>
          <w:rFonts w:ascii="CAIXA Std Book" w:eastAsia="Times New Roman" w:hAnsi="CAIXA Std Book" w:cs="Arial"/>
          <w:color w:val="005CA9"/>
          <w:sz w:val="16"/>
          <w:szCs w:val="16"/>
        </w:rPr>
        <w:t>1</w:t>
      </w:r>
      <w:r w:rsidRPr="00B2408A">
        <w:rPr>
          <w:rFonts w:ascii="CAIXA Std Book" w:eastAsia="Times New Roman" w:hAnsi="CAIXA Std Book" w:cs="Arial"/>
          <w:color w:val="005CA9"/>
          <w:sz w:val="16"/>
          <w:szCs w:val="16"/>
        </w:rPr>
        <w:t xml:space="preserve">) Inclui o montante de </w:t>
      </w:r>
      <w:r w:rsidRPr="00B035E4">
        <w:rPr>
          <w:rFonts w:ascii="CAIXA Std Book" w:eastAsia="Times New Roman" w:hAnsi="CAIXA Std Book" w:cs="Arial"/>
          <w:color w:val="005CA9"/>
          <w:sz w:val="16"/>
          <w:szCs w:val="16"/>
        </w:rPr>
        <w:t xml:space="preserve">R$ </w:t>
      </w:r>
      <w:r w:rsidR="00524AF4">
        <w:rPr>
          <w:rFonts w:ascii="CAIXA Std Book" w:eastAsia="Times New Roman" w:hAnsi="CAIXA Std Book" w:cs="Arial"/>
          <w:color w:val="005CA9"/>
          <w:sz w:val="16"/>
          <w:szCs w:val="16"/>
        </w:rPr>
        <w:t>55.096.122</w:t>
      </w:r>
      <w:r w:rsidRPr="00B2408A">
        <w:rPr>
          <w:rFonts w:ascii="CAIXA Std Book" w:eastAsia="Times New Roman" w:hAnsi="CAIXA Std Book" w:cs="Arial"/>
          <w:color w:val="005CA9"/>
          <w:sz w:val="16"/>
          <w:szCs w:val="16"/>
        </w:rPr>
        <w:t xml:space="preserve"> referente aos contratos com mais de 30 dias de atraso</w:t>
      </w:r>
      <w:r>
        <w:rPr>
          <w:rFonts w:ascii="CAIXA Std Book" w:eastAsia="Times New Roman" w:hAnsi="CAIXA Std Book" w:cs="Arial"/>
          <w:color w:val="005CA9"/>
          <w:sz w:val="16"/>
          <w:szCs w:val="16"/>
        </w:rPr>
        <w:t xml:space="preserve">. </w:t>
      </w:r>
    </w:p>
    <w:p w14:paraId="115812CF" w14:textId="77777777" w:rsidR="00D43D2C" w:rsidRDefault="00D43D2C">
      <w:r>
        <w:br w:type="page"/>
      </w:r>
    </w:p>
    <w:tbl>
      <w:tblPr>
        <w:tblW w:w="4996" w:type="pct"/>
        <w:tblInd w:w="-1" w:type="dxa"/>
        <w:tblCellMar>
          <w:left w:w="70" w:type="dxa"/>
          <w:right w:w="70" w:type="dxa"/>
        </w:tblCellMar>
        <w:tblLook w:val="04A0" w:firstRow="1" w:lastRow="0" w:firstColumn="1" w:lastColumn="0" w:noHBand="0" w:noVBand="1"/>
      </w:tblPr>
      <w:tblGrid>
        <w:gridCol w:w="5390"/>
        <w:gridCol w:w="1834"/>
        <w:gridCol w:w="1834"/>
        <w:gridCol w:w="1834"/>
        <w:gridCol w:w="1834"/>
        <w:gridCol w:w="1831"/>
      </w:tblGrid>
      <w:tr w:rsidR="00102A42" w:rsidRPr="009518F8" w14:paraId="154A7045" w14:textId="77777777">
        <w:trPr>
          <w:trHeight w:val="283"/>
        </w:trPr>
        <w:tc>
          <w:tcPr>
            <w:tcW w:w="5000" w:type="pct"/>
            <w:gridSpan w:val="6"/>
            <w:tcBorders>
              <w:top w:val="nil"/>
              <w:left w:val="nil"/>
              <w:bottom w:val="single" w:sz="4" w:space="0" w:color="FFFFFF" w:themeColor="background1"/>
              <w:right w:val="nil"/>
            </w:tcBorders>
            <w:shd w:val="clear" w:color="auto" w:fill="005CA9"/>
            <w:vAlign w:val="center"/>
            <w:hideMark/>
          </w:tcPr>
          <w:p w14:paraId="74DE7564" w14:textId="77777777" w:rsidR="00102A42" w:rsidRPr="009518F8" w:rsidRDefault="00102A42">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Consolidado</w:t>
            </w:r>
          </w:p>
        </w:tc>
      </w:tr>
      <w:tr w:rsidR="00102A42" w:rsidRPr="009518F8" w14:paraId="05FAEE97" w14:textId="77777777">
        <w:trPr>
          <w:trHeight w:val="283"/>
        </w:trPr>
        <w:tc>
          <w:tcPr>
            <w:tcW w:w="1851" w:type="pct"/>
            <w:tcBorders>
              <w:top w:val="single" w:sz="4" w:space="0" w:color="FFFFFF" w:themeColor="background1"/>
              <w:left w:val="nil"/>
              <w:bottom w:val="nil"/>
              <w:right w:val="nil"/>
            </w:tcBorders>
            <w:shd w:val="clear" w:color="auto" w:fill="005CA9"/>
            <w:vAlign w:val="center"/>
            <w:hideMark/>
          </w:tcPr>
          <w:p w14:paraId="63C1D31E" w14:textId="77777777" w:rsidR="00102A42" w:rsidRPr="009518F8" w:rsidRDefault="00102A42">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Estágio 2</w:t>
            </w:r>
            <w:r w:rsidRPr="009518F8">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1DCD0DC0" w14:textId="77777777" w:rsidR="00102A42" w:rsidRPr="009518F8" w:rsidRDefault="00102A42">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 xml:space="preserve">Saldo em </w:t>
            </w:r>
            <w:r>
              <w:rPr>
                <w:rFonts w:ascii="CAIXA Std Book" w:eastAsia="Times New Roman" w:hAnsi="CAIXA Std Book" w:cs="Calibri"/>
                <w:b/>
                <w:bCs/>
                <w:color w:val="FFFFFF"/>
                <w:sz w:val="18"/>
                <w:szCs w:val="18"/>
              </w:rPr>
              <w:t>31/12/2025</w:t>
            </w:r>
            <w:r w:rsidRPr="009518F8">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5E954F26" w14:textId="77777777" w:rsidR="00102A42" w:rsidRPr="009518F8" w:rsidRDefault="00102A42">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Contratação/ liquidação</w:t>
            </w:r>
            <w:r w:rsidRPr="009518F8">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210A3AD3" w14:textId="77777777" w:rsidR="00102A42" w:rsidRDefault="00102A42">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Transferência do/</w:t>
            </w:r>
          </w:p>
          <w:p w14:paraId="207F7836" w14:textId="77777777" w:rsidR="00102A42" w:rsidRPr="009518F8" w:rsidRDefault="00102A42">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para estágio 1</w:t>
            </w:r>
            <w:r w:rsidRPr="009518F8">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55337500" w14:textId="78401EE8" w:rsidR="00102A42" w:rsidRPr="009518F8" w:rsidRDefault="00102A42">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Transferência do/ para estágio 3</w:t>
            </w:r>
            <w:r w:rsidRPr="009518F8">
              <w:rPr>
                <w:rFonts w:ascii="CAIXA Std Book" w:eastAsia="Times New Roman" w:hAnsi="CAIXA Std Book" w:cs="Calibri"/>
                <w:color w:val="005CA9"/>
                <w:sz w:val="18"/>
                <w:szCs w:val="18"/>
              </w:rPr>
              <w:t> </w:t>
            </w:r>
          </w:p>
        </w:tc>
        <w:tc>
          <w:tcPr>
            <w:tcW w:w="629" w:type="pct"/>
            <w:tcBorders>
              <w:top w:val="single" w:sz="4" w:space="0" w:color="FFFFFF" w:themeColor="background1"/>
              <w:left w:val="nil"/>
              <w:bottom w:val="nil"/>
              <w:right w:val="nil"/>
            </w:tcBorders>
            <w:shd w:val="clear" w:color="auto" w:fill="005CA9"/>
            <w:vAlign w:val="center"/>
            <w:hideMark/>
          </w:tcPr>
          <w:p w14:paraId="321C627C" w14:textId="77777777" w:rsidR="00102A42" w:rsidRPr="009518F8" w:rsidRDefault="00102A42">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Saldo em 31/03/202</w:t>
            </w:r>
            <w:r>
              <w:rPr>
                <w:rFonts w:ascii="CAIXA Std Book" w:eastAsia="Times New Roman" w:hAnsi="CAIXA Std Book" w:cs="Calibri"/>
                <w:b/>
                <w:bCs/>
                <w:color w:val="FFFFFF"/>
                <w:sz w:val="18"/>
                <w:szCs w:val="18"/>
              </w:rPr>
              <w:t>6</w:t>
            </w:r>
          </w:p>
        </w:tc>
      </w:tr>
      <w:tr w:rsidR="00102A42" w:rsidRPr="009518F8" w14:paraId="3147DD05" w14:textId="77777777">
        <w:trPr>
          <w:trHeight w:val="283"/>
        </w:trPr>
        <w:tc>
          <w:tcPr>
            <w:tcW w:w="1851" w:type="pct"/>
            <w:tcBorders>
              <w:top w:val="nil"/>
              <w:left w:val="nil"/>
              <w:bottom w:val="nil"/>
              <w:right w:val="nil"/>
            </w:tcBorders>
            <w:noWrap/>
            <w:vAlign w:val="center"/>
            <w:hideMark/>
          </w:tcPr>
          <w:p w14:paraId="069FCB89" w14:textId="77777777" w:rsidR="00102A42" w:rsidRPr="009518F8" w:rsidRDefault="00102A42">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Empréstimos e direitos creditórios descontados</w:t>
            </w:r>
          </w:p>
        </w:tc>
        <w:tc>
          <w:tcPr>
            <w:tcW w:w="630" w:type="pct"/>
            <w:tcBorders>
              <w:top w:val="nil"/>
              <w:left w:val="nil"/>
              <w:bottom w:val="nil"/>
              <w:right w:val="nil"/>
            </w:tcBorders>
            <w:noWrap/>
            <w:vAlign w:val="center"/>
            <w:hideMark/>
          </w:tcPr>
          <w:p w14:paraId="3B4FEE7B" w14:textId="77777777" w:rsidR="00102A42" w:rsidRPr="009518F8" w:rsidRDefault="00102A42">
            <w:pPr>
              <w:jc w:val="right"/>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9.701.287</w:t>
            </w:r>
          </w:p>
        </w:tc>
        <w:tc>
          <w:tcPr>
            <w:tcW w:w="630" w:type="pct"/>
            <w:tcBorders>
              <w:top w:val="nil"/>
              <w:left w:val="nil"/>
              <w:bottom w:val="nil"/>
              <w:right w:val="nil"/>
            </w:tcBorders>
            <w:vAlign w:val="center"/>
            <w:hideMark/>
          </w:tcPr>
          <w:p w14:paraId="047CC8DE" w14:textId="5B4B21BE"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275.237</w:t>
            </w:r>
          </w:p>
        </w:tc>
        <w:tc>
          <w:tcPr>
            <w:tcW w:w="630" w:type="pct"/>
            <w:tcBorders>
              <w:top w:val="nil"/>
              <w:left w:val="nil"/>
              <w:bottom w:val="nil"/>
              <w:right w:val="nil"/>
            </w:tcBorders>
            <w:vAlign w:val="center"/>
            <w:hideMark/>
          </w:tcPr>
          <w:p w14:paraId="42329A81" w14:textId="6C5A59FA"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2.618.401</w:t>
            </w:r>
          </w:p>
        </w:tc>
        <w:tc>
          <w:tcPr>
            <w:tcW w:w="630" w:type="pct"/>
            <w:tcBorders>
              <w:top w:val="nil"/>
              <w:left w:val="nil"/>
              <w:bottom w:val="nil"/>
              <w:right w:val="nil"/>
            </w:tcBorders>
            <w:noWrap/>
            <w:vAlign w:val="center"/>
            <w:hideMark/>
          </w:tcPr>
          <w:p w14:paraId="2A5E26FF" w14:textId="613AB17F"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(2.756.388)</w:t>
            </w:r>
          </w:p>
        </w:tc>
        <w:tc>
          <w:tcPr>
            <w:tcW w:w="629" w:type="pct"/>
            <w:tcBorders>
              <w:top w:val="nil"/>
              <w:left w:val="nil"/>
              <w:bottom w:val="nil"/>
              <w:right w:val="nil"/>
            </w:tcBorders>
            <w:noWrap/>
            <w:vAlign w:val="center"/>
            <w:hideMark/>
          </w:tcPr>
          <w:p w14:paraId="790AE032" w14:textId="23B841B6"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9.838.537</w:t>
            </w:r>
          </w:p>
        </w:tc>
      </w:tr>
      <w:tr w:rsidR="00102A42" w:rsidRPr="009518F8" w14:paraId="036F04A9" w14:textId="77777777">
        <w:trPr>
          <w:trHeight w:val="283"/>
        </w:trPr>
        <w:tc>
          <w:tcPr>
            <w:tcW w:w="1851" w:type="pct"/>
            <w:tcBorders>
              <w:top w:val="nil"/>
              <w:left w:val="nil"/>
              <w:bottom w:val="nil"/>
              <w:right w:val="nil"/>
            </w:tcBorders>
            <w:noWrap/>
            <w:vAlign w:val="center"/>
            <w:hideMark/>
          </w:tcPr>
          <w:p w14:paraId="2CF6D039" w14:textId="77777777" w:rsidR="00102A42" w:rsidRPr="009518F8" w:rsidRDefault="00102A42">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w:t>
            </w:r>
          </w:p>
        </w:tc>
        <w:tc>
          <w:tcPr>
            <w:tcW w:w="630" w:type="pct"/>
            <w:tcBorders>
              <w:top w:val="nil"/>
              <w:left w:val="nil"/>
              <w:bottom w:val="nil"/>
              <w:right w:val="nil"/>
            </w:tcBorders>
            <w:noWrap/>
            <w:vAlign w:val="center"/>
            <w:hideMark/>
          </w:tcPr>
          <w:p w14:paraId="139EF885" w14:textId="77777777" w:rsidR="00102A42" w:rsidRPr="009518F8" w:rsidRDefault="00102A42">
            <w:pPr>
              <w:jc w:val="right"/>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517.360</w:t>
            </w:r>
          </w:p>
        </w:tc>
        <w:tc>
          <w:tcPr>
            <w:tcW w:w="630" w:type="pct"/>
            <w:tcBorders>
              <w:top w:val="nil"/>
              <w:left w:val="nil"/>
              <w:bottom w:val="nil"/>
              <w:right w:val="nil"/>
            </w:tcBorders>
            <w:vAlign w:val="center"/>
            <w:hideMark/>
          </w:tcPr>
          <w:p w14:paraId="54B0C9AD" w14:textId="6EBD9E28"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128.520</w:t>
            </w:r>
          </w:p>
        </w:tc>
        <w:tc>
          <w:tcPr>
            <w:tcW w:w="630" w:type="pct"/>
            <w:tcBorders>
              <w:top w:val="nil"/>
              <w:left w:val="nil"/>
              <w:bottom w:val="nil"/>
              <w:right w:val="nil"/>
            </w:tcBorders>
            <w:vAlign w:val="center"/>
            <w:hideMark/>
          </w:tcPr>
          <w:p w14:paraId="1D35D701" w14:textId="7B6969D3"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134.102</w:t>
            </w:r>
          </w:p>
        </w:tc>
        <w:tc>
          <w:tcPr>
            <w:tcW w:w="630" w:type="pct"/>
            <w:tcBorders>
              <w:top w:val="nil"/>
              <w:left w:val="nil"/>
              <w:bottom w:val="nil"/>
              <w:right w:val="nil"/>
            </w:tcBorders>
            <w:noWrap/>
            <w:vAlign w:val="center"/>
            <w:hideMark/>
          </w:tcPr>
          <w:p w14:paraId="3585FD15" w14:textId="160DC941"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(132.691)</w:t>
            </w:r>
          </w:p>
        </w:tc>
        <w:tc>
          <w:tcPr>
            <w:tcW w:w="629" w:type="pct"/>
            <w:tcBorders>
              <w:top w:val="nil"/>
              <w:left w:val="nil"/>
              <w:bottom w:val="nil"/>
              <w:right w:val="nil"/>
            </w:tcBorders>
            <w:noWrap/>
            <w:vAlign w:val="center"/>
            <w:hideMark/>
          </w:tcPr>
          <w:p w14:paraId="704ADF8D" w14:textId="29EE70FF"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647.291</w:t>
            </w:r>
          </w:p>
        </w:tc>
      </w:tr>
      <w:tr w:rsidR="00102A42" w:rsidRPr="009518F8" w14:paraId="42EA261B" w14:textId="77777777">
        <w:trPr>
          <w:trHeight w:val="283"/>
        </w:trPr>
        <w:tc>
          <w:tcPr>
            <w:tcW w:w="1851" w:type="pct"/>
            <w:tcBorders>
              <w:top w:val="nil"/>
              <w:left w:val="nil"/>
              <w:bottom w:val="nil"/>
              <w:right w:val="nil"/>
            </w:tcBorders>
            <w:noWrap/>
            <w:vAlign w:val="center"/>
            <w:hideMark/>
          </w:tcPr>
          <w:p w14:paraId="5512722D" w14:textId="77777777" w:rsidR="00102A42" w:rsidRPr="009518F8" w:rsidRDefault="00102A42">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 rurais</w:t>
            </w:r>
          </w:p>
        </w:tc>
        <w:tc>
          <w:tcPr>
            <w:tcW w:w="630" w:type="pct"/>
            <w:tcBorders>
              <w:top w:val="nil"/>
              <w:left w:val="nil"/>
              <w:bottom w:val="nil"/>
              <w:right w:val="nil"/>
            </w:tcBorders>
            <w:noWrap/>
            <w:vAlign w:val="center"/>
            <w:hideMark/>
          </w:tcPr>
          <w:p w14:paraId="3FB31DB0" w14:textId="77777777" w:rsidR="00102A42" w:rsidRPr="009518F8" w:rsidRDefault="00102A42">
            <w:pPr>
              <w:jc w:val="right"/>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3.066.314</w:t>
            </w:r>
          </w:p>
        </w:tc>
        <w:tc>
          <w:tcPr>
            <w:tcW w:w="630" w:type="pct"/>
            <w:tcBorders>
              <w:top w:val="nil"/>
              <w:left w:val="nil"/>
              <w:bottom w:val="nil"/>
              <w:right w:val="nil"/>
            </w:tcBorders>
            <w:vAlign w:val="center"/>
            <w:hideMark/>
          </w:tcPr>
          <w:p w14:paraId="5586ADA5" w14:textId="3B71AAD2"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(79.657)</w:t>
            </w:r>
          </w:p>
        </w:tc>
        <w:tc>
          <w:tcPr>
            <w:tcW w:w="630" w:type="pct"/>
            <w:tcBorders>
              <w:top w:val="nil"/>
              <w:left w:val="nil"/>
              <w:bottom w:val="nil"/>
              <w:right w:val="nil"/>
            </w:tcBorders>
            <w:vAlign w:val="center"/>
            <w:hideMark/>
          </w:tcPr>
          <w:p w14:paraId="2AC08270" w14:textId="12B31F5F"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1.265.003</w:t>
            </w:r>
          </w:p>
        </w:tc>
        <w:tc>
          <w:tcPr>
            <w:tcW w:w="630" w:type="pct"/>
            <w:tcBorders>
              <w:top w:val="nil"/>
              <w:left w:val="nil"/>
              <w:bottom w:val="nil"/>
              <w:right w:val="nil"/>
            </w:tcBorders>
            <w:noWrap/>
            <w:vAlign w:val="center"/>
            <w:hideMark/>
          </w:tcPr>
          <w:p w14:paraId="3658C0F4" w14:textId="7CC73442"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(1.331.044)</w:t>
            </w:r>
          </w:p>
        </w:tc>
        <w:tc>
          <w:tcPr>
            <w:tcW w:w="629" w:type="pct"/>
            <w:tcBorders>
              <w:top w:val="nil"/>
              <w:left w:val="nil"/>
              <w:bottom w:val="nil"/>
              <w:right w:val="nil"/>
            </w:tcBorders>
            <w:noWrap/>
            <w:vAlign w:val="center"/>
            <w:hideMark/>
          </w:tcPr>
          <w:p w14:paraId="05EF2850" w14:textId="012CC363"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2.920.616</w:t>
            </w:r>
          </w:p>
        </w:tc>
      </w:tr>
      <w:tr w:rsidR="00102A42" w:rsidRPr="009518F8" w14:paraId="5C893BA4" w14:textId="77777777">
        <w:trPr>
          <w:trHeight w:val="283"/>
        </w:trPr>
        <w:tc>
          <w:tcPr>
            <w:tcW w:w="1851" w:type="pct"/>
            <w:tcBorders>
              <w:top w:val="nil"/>
              <w:left w:val="nil"/>
              <w:bottom w:val="nil"/>
              <w:right w:val="nil"/>
            </w:tcBorders>
            <w:noWrap/>
            <w:vAlign w:val="center"/>
            <w:hideMark/>
          </w:tcPr>
          <w:p w14:paraId="2BC4B79F" w14:textId="77777777" w:rsidR="00102A42" w:rsidRPr="009518F8" w:rsidRDefault="00102A42">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 imobiliários</w:t>
            </w:r>
          </w:p>
        </w:tc>
        <w:tc>
          <w:tcPr>
            <w:tcW w:w="630" w:type="pct"/>
            <w:tcBorders>
              <w:top w:val="nil"/>
              <w:left w:val="nil"/>
              <w:bottom w:val="nil"/>
              <w:right w:val="nil"/>
            </w:tcBorders>
            <w:noWrap/>
            <w:vAlign w:val="center"/>
            <w:hideMark/>
          </w:tcPr>
          <w:p w14:paraId="34C51220" w14:textId="77777777" w:rsidR="00102A42" w:rsidRPr="009518F8" w:rsidRDefault="00102A42">
            <w:pPr>
              <w:jc w:val="right"/>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11.498.421</w:t>
            </w:r>
          </w:p>
        </w:tc>
        <w:tc>
          <w:tcPr>
            <w:tcW w:w="630" w:type="pct"/>
            <w:tcBorders>
              <w:top w:val="nil"/>
              <w:left w:val="nil"/>
              <w:bottom w:val="nil"/>
              <w:right w:val="nil"/>
            </w:tcBorders>
            <w:vAlign w:val="center"/>
            <w:hideMark/>
          </w:tcPr>
          <w:p w14:paraId="0755146B" w14:textId="2D5066BC"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44.066</w:t>
            </w:r>
          </w:p>
        </w:tc>
        <w:tc>
          <w:tcPr>
            <w:tcW w:w="630" w:type="pct"/>
            <w:tcBorders>
              <w:top w:val="nil"/>
              <w:left w:val="nil"/>
              <w:bottom w:val="nil"/>
              <w:right w:val="nil"/>
            </w:tcBorders>
            <w:vAlign w:val="center"/>
            <w:hideMark/>
          </w:tcPr>
          <w:p w14:paraId="65FD0896" w14:textId="008215DD"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5.853.375</w:t>
            </w:r>
          </w:p>
        </w:tc>
        <w:tc>
          <w:tcPr>
            <w:tcW w:w="630" w:type="pct"/>
            <w:tcBorders>
              <w:top w:val="nil"/>
              <w:left w:val="nil"/>
              <w:bottom w:val="nil"/>
              <w:right w:val="nil"/>
            </w:tcBorders>
            <w:noWrap/>
            <w:vAlign w:val="center"/>
            <w:hideMark/>
          </w:tcPr>
          <w:p w14:paraId="373F59C7" w14:textId="198D7CEB"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(5.173.735)</w:t>
            </w:r>
          </w:p>
        </w:tc>
        <w:tc>
          <w:tcPr>
            <w:tcW w:w="629" w:type="pct"/>
            <w:tcBorders>
              <w:top w:val="nil"/>
              <w:left w:val="nil"/>
              <w:bottom w:val="nil"/>
              <w:right w:val="nil"/>
            </w:tcBorders>
            <w:noWrap/>
            <w:vAlign w:val="center"/>
            <w:hideMark/>
          </w:tcPr>
          <w:p w14:paraId="146407BB" w14:textId="63FDF2FD"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12.222.127</w:t>
            </w:r>
          </w:p>
        </w:tc>
      </w:tr>
      <w:tr w:rsidR="00102A42" w:rsidRPr="009518F8" w14:paraId="04A808E4" w14:textId="77777777">
        <w:trPr>
          <w:trHeight w:val="283"/>
        </w:trPr>
        <w:tc>
          <w:tcPr>
            <w:tcW w:w="1851" w:type="pct"/>
            <w:tcBorders>
              <w:top w:val="nil"/>
              <w:left w:val="nil"/>
              <w:bottom w:val="nil"/>
              <w:right w:val="nil"/>
            </w:tcBorders>
            <w:noWrap/>
            <w:vAlign w:val="center"/>
            <w:hideMark/>
          </w:tcPr>
          <w:p w14:paraId="17C1F0F3" w14:textId="77777777" w:rsidR="00102A42" w:rsidRPr="009518F8" w:rsidRDefault="00102A42">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 de infraestrutura</w:t>
            </w:r>
          </w:p>
        </w:tc>
        <w:tc>
          <w:tcPr>
            <w:tcW w:w="630" w:type="pct"/>
            <w:tcBorders>
              <w:top w:val="nil"/>
              <w:left w:val="nil"/>
              <w:bottom w:val="nil"/>
              <w:right w:val="nil"/>
            </w:tcBorders>
            <w:noWrap/>
            <w:vAlign w:val="center"/>
            <w:hideMark/>
          </w:tcPr>
          <w:p w14:paraId="0645631D" w14:textId="77777777" w:rsidR="00102A42" w:rsidRPr="009518F8" w:rsidRDefault="00102A42">
            <w:pPr>
              <w:jc w:val="right"/>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375.794</w:t>
            </w:r>
          </w:p>
        </w:tc>
        <w:tc>
          <w:tcPr>
            <w:tcW w:w="630" w:type="pct"/>
            <w:tcBorders>
              <w:top w:val="nil"/>
              <w:left w:val="nil"/>
              <w:bottom w:val="nil"/>
              <w:right w:val="nil"/>
            </w:tcBorders>
            <w:vAlign w:val="center"/>
            <w:hideMark/>
          </w:tcPr>
          <w:p w14:paraId="2EF7F1EE" w14:textId="205FB6AB"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(9.176)</w:t>
            </w:r>
          </w:p>
        </w:tc>
        <w:tc>
          <w:tcPr>
            <w:tcW w:w="630" w:type="pct"/>
            <w:tcBorders>
              <w:top w:val="nil"/>
              <w:left w:val="nil"/>
              <w:bottom w:val="nil"/>
              <w:right w:val="nil"/>
            </w:tcBorders>
            <w:vAlign w:val="center"/>
            <w:hideMark/>
          </w:tcPr>
          <w:p w14:paraId="7908F93F" w14:textId="12EF8109"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6.645</w:t>
            </w:r>
          </w:p>
        </w:tc>
        <w:tc>
          <w:tcPr>
            <w:tcW w:w="630" w:type="pct"/>
            <w:tcBorders>
              <w:top w:val="nil"/>
              <w:left w:val="nil"/>
              <w:bottom w:val="nil"/>
              <w:right w:val="nil"/>
            </w:tcBorders>
            <w:noWrap/>
            <w:vAlign w:val="center"/>
            <w:hideMark/>
          </w:tcPr>
          <w:p w14:paraId="684ED228" w14:textId="0935F19E"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(20.371)</w:t>
            </w:r>
          </w:p>
        </w:tc>
        <w:tc>
          <w:tcPr>
            <w:tcW w:w="629" w:type="pct"/>
            <w:tcBorders>
              <w:top w:val="nil"/>
              <w:left w:val="nil"/>
              <w:bottom w:val="nil"/>
              <w:right w:val="nil"/>
            </w:tcBorders>
            <w:noWrap/>
            <w:vAlign w:val="center"/>
            <w:hideMark/>
          </w:tcPr>
          <w:p w14:paraId="32E13481" w14:textId="7582E87A"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352.892</w:t>
            </w:r>
          </w:p>
        </w:tc>
      </w:tr>
      <w:tr w:rsidR="00102A42" w:rsidRPr="009518F8" w14:paraId="5E79C565" w14:textId="77777777">
        <w:trPr>
          <w:trHeight w:val="283"/>
        </w:trPr>
        <w:tc>
          <w:tcPr>
            <w:tcW w:w="1851" w:type="pct"/>
            <w:tcBorders>
              <w:top w:val="nil"/>
              <w:left w:val="nil"/>
              <w:bottom w:val="nil"/>
              <w:right w:val="nil"/>
            </w:tcBorders>
            <w:noWrap/>
            <w:vAlign w:val="center"/>
          </w:tcPr>
          <w:p w14:paraId="3D69C601" w14:textId="77777777" w:rsidR="00102A42" w:rsidRPr="009518F8" w:rsidRDefault="00102A42">
            <w:pP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Cessão de crédito</w:t>
            </w:r>
          </w:p>
        </w:tc>
        <w:tc>
          <w:tcPr>
            <w:tcW w:w="630" w:type="pct"/>
            <w:tcBorders>
              <w:top w:val="nil"/>
              <w:left w:val="nil"/>
              <w:bottom w:val="nil"/>
              <w:right w:val="nil"/>
            </w:tcBorders>
            <w:noWrap/>
            <w:vAlign w:val="center"/>
          </w:tcPr>
          <w:p w14:paraId="1DDDF087" w14:textId="77777777" w:rsidR="00102A42" w:rsidRPr="009518F8" w:rsidRDefault="00102A42">
            <w:pPr>
              <w:jc w:val="right"/>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31.421</w:t>
            </w:r>
          </w:p>
        </w:tc>
        <w:tc>
          <w:tcPr>
            <w:tcW w:w="630" w:type="pct"/>
            <w:tcBorders>
              <w:top w:val="nil"/>
              <w:left w:val="nil"/>
              <w:bottom w:val="nil"/>
              <w:right w:val="nil"/>
            </w:tcBorders>
            <w:vAlign w:val="center"/>
          </w:tcPr>
          <w:p w14:paraId="66612E8D" w14:textId="3A1D855C"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(698)</w:t>
            </w:r>
          </w:p>
        </w:tc>
        <w:tc>
          <w:tcPr>
            <w:tcW w:w="630" w:type="pct"/>
            <w:tcBorders>
              <w:top w:val="nil"/>
              <w:left w:val="nil"/>
              <w:bottom w:val="nil"/>
              <w:right w:val="nil"/>
            </w:tcBorders>
            <w:vAlign w:val="center"/>
          </w:tcPr>
          <w:p w14:paraId="3943CA50" w14:textId="1991E9C6" w:rsidR="00102A42" w:rsidRPr="001013B4" w:rsidRDefault="001013B4">
            <w:pPr>
              <w:jc w:val="right"/>
              <w:rPr>
                <w:rFonts w:ascii="CAIXA Std Book" w:hAnsi="CAIXA Std Book" w:cs="Calibri"/>
                <w:color w:val="005CA9"/>
                <w:sz w:val="18"/>
                <w:szCs w:val="18"/>
              </w:rPr>
            </w:pPr>
            <w:r>
              <w:rPr>
                <w:rFonts w:ascii="CAIXA Std Book" w:hAnsi="CAIXA Std Book" w:cs="Calibri"/>
                <w:color w:val="005CA9"/>
                <w:sz w:val="18"/>
                <w:szCs w:val="18"/>
              </w:rPr>
              <w:t>5.180</w:t>
            </w:r>
          </w:p>
        </w:tc>
        <w:tc>
          <w:tcPr>
            <w:tcW w:w="630" w:type="pct"/>
            <w:tcBorders>
              <w:top w:val="nil"/>
              <w:left w:val="nil"/>
              <w:bottom w:val="nil"/>
              <w:right w:val="nil"/>
            </w:tcBorders>
            <w:noWrap/>
            <w:vAlign w:val="center"/>
          </w:tcPr>
          <w:p w14:paraId="78B538E6" w14:textId="0DC2121F" w:rsidR="00102A42" w:rsidRPr="001013B4" w:rsidRDefault="001013B4">
            <w:pPr>
              <w:jc w:val="right"/>
              <w:rPr>
                <w:rFonts w:ascii="CAIXA Std Book" w:hAnsi="CAIXA Std Book" w:cs="Calibri"/>
                <w:color w:val="005CA9"/>
                <w:sz w:val="18"/>
                <w:szCs w:val="18"/>
              </w:rPr>
            </w:pPr>
            <w:r>
              <w:rPr>
                <w:rFonts w:ascii="CAIXA Std Book" w:hAnsi="CAIXA Std Book" w:cs="Calibri"/>
                <w:color w:val="005CA9"/>
                <w:sz w:val="18"/>
                <w:szCs w:val="18"/>
              </w:rPr>
              <w:t>(10.450)</w:t>
            </w:r>
          </w:p>
        </w:tc>
        <w:tc>
          <w:tcPr>
            <w:tcW w:w="629" w:type="pct"/>
            <w:tcBorders>
              <w:top w:val="nil"/>
              <w:left w:val="nil"/>
              <w:bottom w:val="nil"/>
              <w:right w:val="nil"/>
            </w:tcBorders>
            <w:noWrap/>
            <w:vAlign w:val="center"/>
          </w:tcPr>
          <w:p w14:paraId="5B54C797" w14:textId="693DE3C9"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25.453</w:t>
            </w:r>
          </w:p>
        </w:tc>
      </w:tr>
      <w:tr w:rsidR="00102A42" w:rsidRPr="009518F8" w14:paraId="16F14682" w14:textId="77777777">
        <w:trPr>
          <w:trHeight w:val="283"/>
        </w:trPr>
        <w:tc>
          <w:tcPr>
            <w:tcW w:w="1851" w:type="pct"/>
            <w:tcBorders>
              <w:top w:val="nil"/>
              <w:left w:val="nil"/>
              <w:bottom w:val="nil"/>
              <w:right w:val="nil"/>
            </w:tcBorders>
            <w:noWrap/>
            <w:vAlign w:val="center"/>
            <w:hideMark/>
          </w:tcPr>
          <w:p w14:paraId="00968FDB" w14:textId="77777777" w:rsidR="00102A42" w:rsidRPr="009518F8" w:rsidRDefault="00102A42">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 xml:space="preserve">Outros </w:t>
            </w:r>
            <w:r>
              <w:rPr>
                <w:rFonts w:ascii="CAIXA Std Book" w:eastAsia="Times New Roman" w:hAnsi="CAIXA Std Book" w:cs="Calibri"/>
                <w:color w:val="005CA9"/>
                <w:sz w:val="18"/>
                <w:szCs w:val="18"/>
              </w:rPr>
              <w:t>créditos</w:t>
            </w:r>
          </w:p>
        </w:tc>
        <w:tc>
          <w:tcPr>
            <w:tcW w:w="630" w:type="pct"/>
            <w:tcBorders>
              <w:top w:val="nil"/>
              <w:left w:val="nil"/>
              <w:bottom w:val="nil"/>
              <w:right w:val="nil"/>
            </w:tcBorders>
            <w:noWrap/>
            <w:vAlign w:val="center"/>
            <w:hideMark/>
          </w:tcPr>
          <w:p w14:paraId="2B198812" w14:textId="77777777" w:rsidR="00102A42" w:rsidRPr="009518F8" w:rsidRDefault="00102A42">
            <w:pPr>
              <w:jc w:val="right"/>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1.718.009</w:t>
            </w:r>
          </w:p>
        </w:tc>
        <w:tc>
          <w:tcPr>
            <w:tcW w:w="630" w:type="pct"/>
            <w:tcBorders>
              <w:top w:val="nil"/>
              <w:left w:val="nil"/>
              <w:bottom w:val="nil"/>
              <w:right w:val="nil"/>
            </w:tcBorders>
            <w:vAlign w:val="center"/>
            <w:hideMark/>
          </w:tcPr>
          <w:p w14:paraId="0D85E745" w14:textId="06587C86"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(409.038)</w:t>
            </w:r>
          </w:p>
        </w:tc>
        <w:tc>
          <w:tcPr>
            <w:tcW w:w="630" w:type="pct"/>
            <w:tcBorders>
              <w:top w:val="nil"/>
              <w:left w:val="nil"/>
              <w:bottom w:val="nil"/>
              <w:right w:val="nil"/>
            </w:tcBorders>
            <w:vAlign w:val="center"/>
            <w:hideMark/>
          </w:tcPr>
          <w:p w14:paraId="6506010B" w14:textId="0BADE6BE" w:rsidR="00102A42" w:rsidRPr="001013B4" w:rsidRDefault="001013B4">
            <w:pPr>
              <w:jc w:val="right"/>
              <w:rPr>
                <w:rFonts w:ascii="CAIXA Std Book" w:hAnsi="CAIXA Std Book" w:cs="Calibri"/>
                <w:color w:val="005CA9"/>
                <w:sz w:val="18"/>
                <w:szCs w:val="18"/>
              </w:rPr>
            </w:pPr>
            <w:r w:rsidRPr="001013B4">
              <w:rPr>
                <w:rFonts w:ascii="CAIXA Std Book" w:hAnsi="CAIXA Std Book" w:cs="Calibri"/>
                <w:color w:val="005CA9"/>
                <w:sz w:val="18"/>
                <w:szCs w:val="18"/>
              </w:rPr>
              <w:t>411.584</w:t>
            </w:r>
          </w:p>
        </w:tc>
        <w:tc>
          <w:tcPr>
            <w:tcW w:w="630" w:type="pct"/>
            <w:tcBorders>
              <w:top w:val="nil"/>
              <w:left w:val="nil"/>
              <w:bottom w:val="nil"/>
              <w:right w:val="nil"/>
            </w:tcBorders>
            <w:noWrap/>
            <w:vAlign w:val="center"/>
            <w:hideMark/>
          </w:tcPr>
          <w:p w14:paraId="3262E351" w14:textId="2979B422" w:rsidR="00102A42" w:rsidRPr="001013B4" w:rsidRDefault="001013B4">
            <w:pPr>
              <w:jc w:val="right"/>
              <w:rPr>
                <w:rFonts w:ascii="CAIXA Std Book" w:hAnsi="CAIXA Std Book" w:cs="Calibri"/>
                <w:color w:val="005CA9"/>
                <w:sz w:val="18"/>
                <w:szCs w:val="18"/>
              </w:rPr>
            </w:pPr>
            <w:r w:rsidRPr="001013B4">
              <w:rPr>
                <w:rFonts w:ascii="CAIXA Std Book" w:hAnsi="CAIXA Std Book" w:cs="Calibri"/>
                <w:color w:val="005CA9"/>
                <w:sz w:val="18"/>
                <w:szCs w:val="18"/>
              </w:rPr>
              <w:t>(43.954)</w:t>
            </w:r>
          </w:p>
        </w:tc>
        <w:tc>
          <w:tcPr>
            <w:tcW w:w="629" w:type="pct"/>
            <w:tcBorders>
              <w:top w:val="nil"/>
              <w:left w:val="nil"/>
              <w:bottom w:val="nil"/>
              <w:right w:val="nil"/>
            </w:tcBorders>
            <w:noWrap/>
            <w:vAlign w:val="center"/>
            <w:hideMark/>
          </w:tcPr>
          <w:p w14:paraId="16B77431" w14:textId="3D003D2A" w:rsidR="00102A42" w:rsidRPr="009518F8" w:rsidRDefault="001013B4">
            <w:pPr>
              <w:jc w:val="right"/>
              <w:rPr>
                <w:rFonts w:ascii="Times New Roman" w:eastAsia="Times New Roman" w:hAnsi="Times New Roman" w:cs="Times New Roman"/>
                <w:sz w:val="20"/>
                <w:szCs w:val="20"/>
              </w:rPr>
            </w:pPr>
            <w:r>
              <w:rPr>
                <w:rFonts w:ascii="CAIXA Std Book" w:hAnsi="CAIXA Std Book" w:cs="Calibri"/>
                <w:color w:val="005CA9"/>
                <w:sz w:val="18"/>
                <w:szCs w:val="18"/>
              </w:rPr>
              <w:t>1.676.601</w:t>
            </w:r>
          </w:p>
        </w:tc>
      </w:tr>
      <w:tr w:rsidR="00102A42" w:rsidRPr="009518F8" w14:paraId="7F11C747" w14:textId="77777777">
        <w:trPr>
          <w:trHeight w:val="283"/>
        </w:trPr>
        <w:tc>
          <w:tcPr>
            <w:tcW w:w="1851" w:type="pct"/>
            <w:tcBorders>
              <w:top w:val="nil"/>
              <w:left w:val="nil"/>
              <w:bottom w:val="nil"/>
              <w:right w:val="nil"/>
            </w:tcBorders>
            <w:shd w:val="clear" w:color="auto" w:fill="005CA9"/>
            <w:noWrap/>
            <w:vAlign w:val="center"/>
            <w:hideMark/>
          </w:tcPr>
          <w:p w14:paraId="412AA060" w14:textId="77777777" w:rsidR="00102A42" w:rsidRPr="009518F8" w:rsidRDefault="00102A42">
            <w:pP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Total</w:t>
            </w:r>
            <w:r w:rsidRPr="009518F8">
              <w:rPr>
                <w:rFonts w:ascii="CAIXA Std Book" w:eastAsia="Times New Roman" w:hAnsi="CAIXA Std Book" w:cs="Calibri"/>
                <w:color w:val="005CA9"/>
                <w:sz w:val="18"/>
                <w:szCs w:val="18"/>
              </w:rPr>
              <w:t> </w:t>
            </w:r>
          </w:p>
        </w:tc>
        <w:tc>
          <w:tcPr>
            <w:tcW w:w="630" w:type="pct"/>
            <w:tcBorders>
              <w:top w:val="nil"/>
              <w:left w:val="nil"/>
              <w:bottom w:val="nil"/>
              <w:right w:val="nil"/>
            </w:tcBorders>
            <w:shd w:val="clear" w:color="auto" w:fill="005CA9"/>
            <w:noWrap/>
            <w:vAlign w:val="center"/>
          </w:tcPr>
          <w:p w14:paraId="1B5750BA" w14:textId="77777777" w:rsidR="00102A42" w:rsidRPr="009518F8" w:rsidRDefault="00102A42">
            <w:pPr>
              <w:jc w:val="right"/>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26.908.606</w:t>
            </w:r>
          </w:p>
        </w:tc>
        <w:tc>
          <w:tcPr>
            <w:tcW w:w="630" w:type="pct"/>
            <w:tcBorders>
              <w:top w:val="nil"/>
              <w:left w:val="nil"/>
              <w:bottom w:val="nil"/>
              <w:right w:val="nil"/>
            </w:tcBorders>
            <w:shd w:val="clear" w:color="auto" w:fill="005CA9"/>
            <w:noWrap/>
            <w:vAlign w:val="center"/>
          </w:tcPr>
          <w:p w14:paraId="7FC0BED7" w14:textId="4D3752AB" w:rsidR="00102A42" w:rsidRPr="009518F8" w:rsidRDefault="001013B4">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(50.746)</w:t>
            </w:r>
          </w:p>
        </w:tc>
        <w:tc>
          <w:tcPr>
            <w:tcW w:w="630" w:type="pct"/>
            <w:tcBorders>
              <w:top w:val="nil"/>
              <w:left w:val="nil"/>
              <w:bottom w:val="nil"/>
              <w:right w:val="nil"/>
            </w:tcBorders>
            <w:shd w:val="clear" w:color="auto" w:fill="005CA9"/>
            <w:noWrap/>
            <w:vAlign w:val="center"/>
          </w:tcPr>
          <w:p w14:paraId="2066450E" w14:textId="5E6B3EDD" w:rsidR="00102A42" w:rsidRPr="009518F8" w:rsidRDefault="001013B4">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10.294.290</w:t>
            </w:r>
          </w:p>
        </w:tc>
        <w:tc>
          <w:tcPr>
            <w:tcW w:w="630" w:type="pct"/>
            <w:tcBorders>
              <w:top w:val="nil"/>
              <w:left w:val="nil"/>
              <w:bottom w:val="nil"/>
              <w:right w:val="nil"/>
            </w:tcBorders>
            <w:shd w:val="clear" w:color="auto" w:fill="005CA9"/>
            <w:noWrap/>
            <w:vAlign w:val="center"/>
          </w:tcPr>
          <w:p w14:paraId="0E73E2CF" w14:textId="53578ED5" w:rsidR="00102A42" w:rsidRPr="009518F8" w:rsidRDefault="001013B4">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(9.468.633)</w:t>
            </w:r>
          </w:p>
        </w:tc>
        <w:tc>
          <w:tcPr>
            <w:tcW w:w="629" w:type="pct"/>
            <w:tcBorders>
              <w:top w:val="nil"/>
              <w:left w:val="nil"/>
              <w:bottom w:val="nil"/>
              <w:right w:val="nil"/>
            </w:tcBorders>
            <w:shd w:val="clear" w:color="auto" w:fill="005CA9"/>
            <w:noWrap/>
            <w:vAlign w:val="center"/>
          </w:tcPr>
          <w:p w14:paraId="0ED0E5EF" w14:textId="610F6675" w:rsidR="00102A42" w:rsidRPr="009518F8" w:rsidRDefault="001013B4">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27.683.517</w:t>
            </w:r>
          </w:p>
        </w:tc>
      </w:tr>
    </w:tbl>
    <w:p w14:paraId="7BCA66D5" w14:textId="77777777" w:rsidR="00102A9F" w:rsidRDefault="00102A9F" w:rsidP="00627127">
      <w:pPr>
        <w:rPr>
          <w:rFonts w:ascii="CAIXA Std Book" w:eastAsia="Times New Roman" w:hAnsi="CAIXA Std Book" w:cs="Arial"/>
          <w:color w:val="005CA9"/>
          <w:sz w:val="16"/>
          <w:szCs w:val="16"/>
        </w:rPr>
      </w:pPr>
    </w:p>
    <w:p w14:paraId="72C6A1B3" w14:textId="77777777" w:rsidR="00021DD2" w:rsidRDefault="00021DD2" w:rsidP="00627127">
      <w:pPr>
        <w:rPr>
          <w:rFonts w:ascii="CAIXA Std Book" w:eastAsia="Times New Roman" w:hAnsi="CAIXA Std Book" w:cs="Arial"/>
          <w:color w:val="005CA9"/>
          <w:sz w:val="16"/>
          <w:szCs w:val="16"/>
        </w:rPr>
      </w:pPr>
    </w:p>
    <w:tbl>
      <w:tblPr>
        <w:tblW w:w="5000" w:type="pct"/>
        <w:tblCellMar>
          <w:left w:w="70" w:type="dxa"/>
          <w:right w:w="70" w:type="dxa"/>
        </w:tblCellMar>
        <w:tblLook w:val="04A0" w:firstRow="1" w:lastRow="0" w:firstColumn="1" w:lastColumn="0" w:noHBand="0" w:noVBand="1"/>
      </w:tblPr>
      <w:tblGrid>
        <w:gridCol w:w="5387"/>
        <w:gridCol w:w="1835"/>
        <w:gridCol w:w="1836"/>
        <w:gridCol w:w="1836"/>
        <w:gridCol w:w="1836"/>
        <w:gridCol w:w="1839"/>
      </w:tblGrid>
      <w:tr w:rsidR="00102A42" w:rsidRPr="009518F8" w14:paraId="18CB6232" w14:textId="77777777">
        <w:trPr>
          <w:trHeight w:val="283"/>
        </w:trPr>
        <w:tc>
          <w:tcPr>
            <w:tcW w:w="5000" w:type="pct"/>
            <w:gridSpan w:val="6"/>
            <w:tcBorders>
              <w:top w:val="nil"/>
              <w:left w:val="nil"/>
              <w:bottom w:val="single" w:sz="4" w:space="0" w:color="FFFFFF" w:themeColor="background1"/>
              <w:right w:val="nil"/>
            </w:tcBorders>
            <w:shd w:val="clear" w:color="auto" w:fill="005CA9"/>
            <w:vAlign w:val="center"/>
            <w:hideMark/>
          </w:tcPr>
          <w:p w14:paraId="1CC3A631" w14:textId="77777777" w:rsidR="00102A42" w:rsidRPr="009518F8" w:rsidRDefault="00102A42">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Consolidado</w:t>
            </w:r>
          </w:p>
        </w:tc>
      </w:tr>
      <w:tr w:rsidR="00102A42" w:rsidRPr="009518F8" w14:paraId="4BE700CA" w14:textId="77777777">
        <w:trPr>
          <w:trHeight w:val="283"/>
        </w:trPr>
        <w:tc>
          <w:tcPr>
            <w:tcW w:w="1849" w:type="pct"/>
            <w:tcBorders>
              <w:top w:val="single" w:sz="4" w:space="0" w:color="FFFFFF" w:themeColor="background1"/>
              <w:left w:val="nil"/>
              <w:bottom w:val="nil"/>
              <w:right w:val="nil"/>
            </w:tcBorders>
            <w:shd w:val="clear" w:color="auto" w:fill="005CA9"/>
            <w:vAlign w:val="center"/>
            <w:hideMark/>
          </w:tcPr>
          <w:p w14:paraId="4D82DB13" w14:textId="77777777" w:rsidR="00102A42" w:rsidRPr="009518F8" w:rsidRDefault="00102A42">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Estágio 3</w:t>
            </w:r>
            <w:r w:rsidRPr="009518F8">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301B499C" w14:textId="77777777" w:rsidR="00102A42" w:rsidRPr="009518F8" w:rsidRDefault="00102A42">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 xml:space="preserve">Saldo em </w:t>
            </w:r>
            <w:r>
              <w:rPr>
                <w:rFonts w:ascii="CAIXA Std Book" w:eastAsia="Times New Roman" w:hAnsi="CAIXA Std Book" w:cs="Calibri"/>
                <w:b/>
                <w:bCs/>
                <w:color w:val="FFFFFF"/>
                <w:sz w:val="18"/>
                <w:szCs w:val="18"/>
              </w:rPr>
              <w:t>31/12/2025</w:t>
            </w:r>
            <w:r w:rsidRPr="009518F8">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21E3BA1E" w14:textId="77777777" w:rsidR="00102A42" w:rsidRPr="009518F8" w:rsidRDefault="00102A42">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Contratação/ liquidação</w:t>
            </w:r>
            <w:r w:rsidRPr="009518F8">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3867DF93" w14:textId="77777777" w:rsidR="00102A42" w:rsidRDefault="00102A42">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Transferência do/</w:t>
            </w:r>
          </w:p>
          <w:p w14:paraId="03F8D99B" w14:textId="77777777" w:rsidR="00102A42" w:rsidRPr="009518F8" w:rsidRDefault="00102A42">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para estágio 1</w:t>
            </w:r>
            <w:r w:rsidRPr="009518F8">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7CC0C28E" w14:textId="77777777" w:rsidR="00102A42" w:rsidRDefault="00102A42">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Transferência do/</w:t>
            </w:r>
          </w:p>
          <w:p w14:paraId="09F4CB15" w14:textId="77777777" w:rsidR="00102A42" w:rsidRPr="009518F8" w:rsidRDefault="00102A42">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para estágio 2</w:t>
            </w:r>
            <w:r w:rsidRPr="009518F8">
              <w:rPr>
                <w:rFonts w:ascii="CAIXA Std Book" w:eastAsia="Times New Roman" w:hAnsi="CAIXA Std Book" w:cs="Calibri"/>
                <w:color w:val="005CA9"/>
                <w:sz w:val="18"/>
                <w:szCs w:val="18"/>
              </w:rPr>
              <w:t> </w:t>
            </w:r>
          </w:p>
        </w:tc>
        <w:tc>
          <w:tcPr>
            <w:tcW w:w="631" w:type="pct"/>
            <w:tcBorders>
              <w:top w:val="single" w:sz="4" w:space="0" w:color="FFFFFF" w:themeColor="background1"/>
              <w:left w:val="nil"/>
              <w:bottom w:val="nil"/>
              <w:right w:val="nil"/>
            </w:tcBorders>
            <w:shd w:val="clear" w:color="auto" w:fill="005CA9"/>
            <w:vAlign w:val="center"/>
            <w:hideMark/>
          </w:tcPr>
          <w:p w14:paraId="0F1FA419" w14:textId="77777777" w:rsidR="00102A42" w:rsidRPr="009518F8" w:rsidRDefault="00102A42">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Saldo em 31/03/202</w:t>
            </w:r>
            <w:r>
              <w:rPr>
                <w:rFonts w:ascii="CAIXA Std Book" w:eastAsia="Times New Roman" w:hAnsi="CAIXA Std Book" w:cs="Calibri"/>
                <w:b/>
                <w:bCs/>
                <w:color w:val="FFFFFF"/>
                <w:sz w:val="18"/>
                <w:szCs w:val="18"/>
              </w:rPr>
              <w:t>6</w:t>
            </w:r>
            <w:r w:rsidRPr="009518F8">
              <w:rPr>
                <w:rFonts w:ascii="CAIXA Std Book" w:eastAsia="Times New Roman" w:hAnsi="CAIXA Std Book" w:cs="Calibri"/>
                <w:color w:val="005CA9"/>
                <w:sz w:val="18"/>
                <w:szCs w:val="18"/>
              </w:rPr>
              <w:t> </w:t>
            </w:r>
          </w:p>
        </w:tc>
      </w:tr>
      <w:tr w:rsidR="00102A42" w:rsidRPr="009518F8" w14:paraId="266A3B62" w14:textId="77777777">
        <w:trPr>
          <w:trHeight w:val="283"/>
        </w:trPr>
        <w:tc>
          <w:tcPr>
            <w:tcW w:w="1849" w:type="pct"/>
            <w:tcBorders>
              <w:top w:val="nil"/>
              <w:left w:val="nil"/>
              <w:bottom w:val="nil"/>
              <w:right w:val="nil"/>
            </w:tcBorders>
            <w:noWrap/>
            <w:vAlign w:val="center"/>
            <w:hideMark/>
          </w:tcPr>
          <w:p w14:paraId="78161793" w14:textId="77777777" w:rsidR="00102A42" w:rsidRPr="009518F8" w:rsidRDefault="00102A42">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Empréstimos e direitos creditórios descontados </w:t>
            </w:r>
          </w:p>
        </w:tc>
        <w:tc>
          <w:tcPr>
            <w:tcW w:w="630" w:type="pct"/>
            <w:tcBorders>
              <w:top w:val="nil"/>
              <w:left w:val="nil"/>
              <w:bottom w:val="nil"/>
              <w:right w:val="nil"/>
            </w:tcBorders>
            <w:noWrap/>
            <w:vAlign w:val="center"/>
            <w:hideMark/>
          </w:tcPr>
          <w:p w14:paraId="02936C93" w14:textId="77777777" w:rsidR="00102A42" w:rsidRPr="009518F8" w:rsidRDefault="00102A42">
            <w:pPr>
              <w:jc w:val="right"/>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31.033.342</w:t>
            </w:r>
          </w:p>
        </w:tc>
        <w:tc>
          <w:tcPr>
            <w:tcW w:w="630" w:type="pct"/>
            <w:tcBorders>
              <w:top w:val="nil"/>
              <w:left w:val="nil"/>
              <w:bottom w:val="nil"/>
              <w:right w:val="nil"/>
            </w:tcBorders>
            <w:vAlign w:val="center"/>
            <w:hideMark/>
          </w:tcPr>
          <w:p w14:paraId="6CB8F4C7" w14:textId="31A5A5FB"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(2.934.734)</w:t>
            </w:r>
          </w:p>
        </w:tc>
        <w:tc>
          <w:tcPr>
            <w:tcW w:w="630" w:type="pct"/>
            <w:tcBorders>
              <w:top w:val="nil"/>
              <w:left w:val="nil"/>
              <w:bottom w:val="nil"/>
              <w:right w:val="nil"/>
            </w:tcBorders>
            <w:vAlign w:val="center"/>
            <w:hideMark/>
          </w:tcPr>
          <w:p w14:paraId="0E936B09" w14:textId="3ADD4CFA"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1.499.807</w:t>
            </w:r>
          </w:p>
        </w:tc>
        <w:tc>
          <w:tcPr>
            <w:tcW w:w="630" w:type="pct"/>
            <w:tcBorders>
              <w:top w:val="nil"/>
              <w:left w:val="nil"/>
              <w:bottom w:val="nil"/>
              <w:right w:val="nil"/>
            </w:tcBorders>
            <w:noWrap/>
            <w:vAlign w:val="center"/>
            <w:hideMark/>
          </w:tcPr>
          <w:p w14:paraId="487E02AC" w14:textId="56DEE58A"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2.756.388</w:t>
            </w:r>
          </w:p>
        </w:tc>
        <w:tc>
          <w:tcPr>
            <w:tcW w:w="631" w:type="pct"/>
            <w:tcBorders>
              <w:top w:val="nil"/>
              <w:left w:val="nil"/>
              <w:bottom w:val="nil"/>
              <w:right w:val="nil"/>
            </w:tcBorders>
            <w:noWrap/>
            <w:vAlign w:val="center"/>
            <w:hideMark/>
          </w:tcPr>
          <w:p w14:paraId="2539687D" w14:textId="4018CD5A"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32.354.803</w:t>
            </w:r>
          </w:p>
        </w:tc>
      </w:tr>
      <w:tr w:rsidR="00102A42" w:rsidRPr="009518F8" w14:paraId="2BC3426A" w14:textId="77777777">
        <w:trPr>
          <w:trHeight w:val="283"/>
        </w:trPr>
        <w:tc>
          <w:tcPr>
            <w:tcW w:w="1849" w:type="pct"/>
            <w:tcBorders>
              <w:top w:val="nil"/>
              <w:left w:val="nil"/>
              <w:bottom w:val="nil"/>
              <w:right w:val="nil"/>
            </w:tcBorders>
            <w:noWrap/>
            <w:vAlign w:val="center"/>
            <w:hideMark/>
          </w:tcPr>
          <w:p w14:paraId="5474EC60" w14:textId="77777777" w:rsidR="00102A42" w:rsidRPr="009518F8" w:rsidRDefault="00102A42">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 </w:t>
            </w:r>
          </w:p>
        </w:tc>
        <w:tc>
          <w:tcPr>
            <w:tcW w:w="630" w:type="pct"/>
            <w:tcBorders>
              <w:top w:val="nil"/>
              <w:left w:val="nil"/>
              <w:bottom w:val="nil"/>
              <w:right w:val="nil"/>
            </w:tcBorders>
            <w:noWrap/>
            <w:vAlign w:val="center"/>
            <w:hideMark/>
          </w:tcPr>
          <w:p w14:paraId="249D0D8C" w14:textId="77777777" w:rsidR="00102A42" w:rsidRPr="009518F8" w:rsidRDefault="00102A42">
            <w:pPr>
              <w:jc w:val="right"/>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1.626.237</w:t>
            </w:r>
          </w:p>
        </w:tc>
        <w:tc>
          <w:tcPr>
            <w:tcW w:w="630" w:type="pct"/>
            <w:tcBorders>
              <w:top w:val="nil"/>
              <w:left w:val="nil"/>
              <w:bottom w:val="nil"/>
              <w:right w:val="nil"/>
            </w:tcBorders>
            <w:vAlign w:val="center"/>
            <w:hideMark/>
          </w:tcPr>
          <w:p w14:paraId="381D7233" w14:textId="128AD6F5"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(118.542)</w:t>
            </w:r>
          </w:p>
        </w:tc>
        <w:tc>
          <w:tcPr>
            <w:tcW w:w="630" w:type="pct"/>
            <w:tcBorders>
              <w:top w:val="nil"/>
              <w:left w:val="nil"/>
              <w:bottom w:val="nil"/>
              <w:right w:val="nil"/>
            </w:tcBorders>
            <w:vAlign w:val="center"/>
            <w:hideMark/>
          </w:tcPr>
          <w:p w14:paraId="5CB2ED29" w14:textId="73651FA3"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48.543</w:t>
            </w:r>
          </w:p>
        </w:tc>
        <w:tc>
          <w:tcPr>
            <w:tcW w:w="630" w:type="pct"/>
            <w:tcBorders>
              <w:top w:val="nil"/>
              <w:left w:val="nil"/>
              <w:bottom w:val="nil"/>
              <w:right w:val="nil"/>
            </w:tcBorders>
            <w:noWrap/>
            <w:vAlign w:val="center"/>
            <w:hideMark/>
          </w:tcPr>
          <w:p w14:paraId="5741278B" w14:textId="097B979F"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132.691</w:t>
            </w:r>
          </w:p>
        </w:tc>
        <w:tc>
          <w:tcPr>
            <w:tcW w:w="631" w:type="pct"/>
            <w:tcBorders>
              <w:top w:val="nil"/>
              <w:left w:val="nil"/>
              <w:bottom w:val="nil"/>
              <w:right w:val="nil"/>
            </w:tcBorders>
            <w:noWrap/>
            <w:vAlign w:val="center"/>
            <w:hideMark/>
          </w:tcPr>
          <w:p w14:paraId="7996DDAE" w14:textId="65745559"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1.688.929</w:t>
            </w:r>
          </w:p>
        </w:tc>
      </w:tr>
      <w:tr w:rsidR="00102A42" w:rsidRPr="009518F8" w14:paraId="2A107C9E" w14:textId="77777777">
        <w:trPr>
          <w:trHeight w:val="283"/>
        </w:trPr>
        <w:tc>
          <w:tcPr>
            <w:tcW w:w="1849" w:type="pct"/>
            <w:tcBorders>
              <w:top w:val="nil"/>
              <w:left w:val="nil"/>
              <w:bottom w:val="nil"/>
              <w:right w:val="nil"/>
            </w:tcBorders>
            <w:noWrap/>
            <w:vAlign w:val="center"/>
            <w:hideMark/>
          </w:tcPr>
          <w:p w14:paraId="7CD7AD0D" w14:textId="77777777" w:rsidR="00102A42" w:rsidRPr="009518F8" w:rsidRDefault="00102A42">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 rurais  </w:t>
            </w:r>
          </w:p>
        </w:tc>
        <w:tc>
          <w:tcPr>
            <w:tcW w:w="630" w:type="pct"/>
            <w:tcBorders>
              <w:top w:val="nil"/>
              <w:left w:val="nil"/>
              <w:bottom w:val="nil"/>
              <w:right w:val="nil"/>
            </w:tcBorders>
            <w:noWrap/>
            <w:vAlign w:val="center"/>
            <w:hideMark/>
          </w:tcPr>
          <w:p w14:paraId="7916D60A" w14:textId="77777777" w:rsidR="00102A42" w:rsidRPr="009518F8" w:rsidRDefault="00102A42">
            <w:pPr>
              <w:jc w:val="right"/>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10.716.285</w:t>
            </w:r>
          </w:p>
        </w:tc>
        <w:tc>
          <w:tcPr>
            <w:tcW w:w="630" w:type="pct"/>
            <w:tcBorders>
              <w:top w:val="nil"/>
              <w:left w:val="nil"/>
              <w:bottom w:val="nil"/>
              <w:right w:val="nil"/>
            </w:tcBorders>
            <w:vAlign w:val="center"/>
            <w:hideMark/>
          </w:tcPr>
          <w:p w14:paraId="7C1E2375" w14:textId="3AFB2614"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(804.890)</w:t>
            </w:r>
          </w:p>
        </w:tc>
        <w:tc>
          <w:tcPr>
            <w:tcW w:w="630" w:type="pct"/>
            <w:tcBorders>
              <w:top w:val="nil"/>
              <w:left w:val="nil"/>
              <w:bottom w:val="nil"/>
              <w:right w:val="nil"/>
            </w:tcBorders>
            <w:vAlign w:val="center"/>
            <w:hideMark/>
          </w:tcPr>
          <w:p w14:paraId="2B433A03" w14:textId="4FF09293"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1.017.236</w:t>
            </w:r>
          </w:p>
        </w:tc>
        <w:tc>
          <w:tcPr>
            <w:tcW w:w="630" w:type="pct"/>
            <w:tcBorders>
              <w:top w:val="nil"/>
              <w:left w:val="nil"/>
              <w:bottom w:val="nil"/>
              <w:right w:val="nil"/>
            </w:tcBorders>
            <w:noWrap/>
            <w:vAlign w:val="center"/>
            <w:hideMark/>
          </w:tcPr>
          <w:p w14:paraId="4D155E54" w14:textId="5B33EBEA"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1.331.044</w:t>
            </w:r>
          </w:p>
        </w:tc>
        <w:tc>
          <w:tcPr>
            <w:tcW w:w="631" w:type="pct"/>
            <w:tcBorders>
              <w:top w:val="nil"/>
              <w:left w:val="nil"/>
              <w:bottom w:val="nil"/>
              <w:right w:val="nil"/>
            </w:tcBorders>
            <w:noWrap/>
            <w:vAlign w:val="center"/>
            <w:hideMark/>
          </w:tcPr>
          <w:p w14:paraId="47D0A32B" w14:textId="71EE5A07"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12.259.675</w:t>
            </w:r>
          </w:p>
        </w:tc>
      </w:tr>
      <w:tr w:rsidR="00102A42" w:rsidRPr="009518F8" w14:paraId="27C69B16" w14:textId="77777777">
        <w:trPr>
          <w:trHeight w:val="283"/>
        </w:trPr>
        <w:tc>
          <w:tcPr>
            <w:tcW w:w="1849" w:type="pct"/>
            <w:tcBorders>
              <w:top w:val="nil"/>
              <w:left w:val="nil"/>
              <w:bottom w:val="nil"/>
              <w:right w:val="nil"/>
            </w:tcBorders>
            <w:noWrap/>
            <w:vAlign w:val="center"/>
            <w:hideMark/>
          </w:tcPr>
          <w:p w14:paraId="558984A0" w14:textId="77777777" w:rsidR="00102A42" w:rsidRPr="009518F8" w:rsidRDefault="00102A42">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 imobiliários </w:t>
            </w:r>
          </w:p>
        </w:tc>
        <w:tc>
          <w:tcPr>
            <w:tcW w:w="630" w:type="pct"/>
            <w:tcBorders>
              <w:top w:val="nil"/>
              <w:left w:val="nil"/>
              <w:bottom w:val="nil"/>
              <w:right w:val="nil"/>
            </w:tcBorders>
            <w:noWrap/>
            <w:vAlign w:val="center"/>
            <w:hideMark/>
          </w:tcPr>
          <w:p w14:paraId="17B1D60E" w14:textId="77777777" w:rsidR="00102A42" w:rsidRPr="009518F8" w:rsidRDefault="00102A42">
            <w:pPr>
              <w:jc w:val="right"/>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39.946.696</w:t>
            </w:r>
          </w:p>
        </w:tc>
        <w:tc>
          <w:tcPr>
            <w:tcW w:w="630" w:type="pct"/>
            <w:tcBorders>
              <w:top w:val="nil"/>
              <w:left w:val="nil"/>
              <w:bottom w:val="nil"/>
              <w:right w:val="nil"/>
            </w:tcBorders>
            <w:vAlign w:val="center"/>
            <w:hideMark/>
          </w:tcPr>
          <w:p w14:paraId="1C6D8817" w14:textId="6000BF91"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(1.457.247)</w:t>
            </w:r>
          </w:p>
        </w:tc>
        <w:tc>
          <w:tcPr>
            <w:tcW w:w="630" w:type="pct"/>
            <w:tcBorders>
              <w:top w:val="nil"/>
              <w:left w:val="nil"/>
              <w:bottom w:val="nil"/>
              <w:right w:val="nil"/>
            </w:tcBorders>
            <w:vAlign w:val="center"/>
            <w:hideMark/>
          </w:tcPr>
          <w:p w14:paraId="310AAC41" w14:textId="17C215CA"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2.780.616</w:t>
            </w:r>
          </w:p>
        </w:tc>
        <w:tc>
          <w:tcPr>
            <w:tcW w:w="630" w:type="pct"/>
            <w:tcBorders>
              <w:top w:val="nil"/>
              <w:left w:val="nil"/>
              <w:bottom w:val="nil"/>
              <w:right w:val="nil"/>
            </w:tcBorders>
            <w:noWrap/>
            <w:vAlign w:val="center"/>
            <w:hideMark/>
          </w:tcPr>
          <w:p w14:paraId="017F018C" w14:textId="0BCAA061"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5.173.735</w:t>
            </w:r>
          </w:p>
        </w:tc>
        <w:tc>
          <w:tcPr>
            <w:tcW w:w="631" w:type="pct"/>
            <w:tcBorders>
              <w:top w:val="nil"/>
              <w:left w:val="nil"/>
              <w:bottom w:val="nil"/>
              <w:right w:val="nil"/>
            </w:tcBorders>
            <w:noWrap/>
            <w:vAlign w:val="center"/>
            <w:hideMark/>
          </w:tcPr>
          <w:p w14:paraId="006B19BA" w14:textId="77777357"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46.443.800</w:t>
            </w:r>
          </w:p>
        </w:tc>
      </w:tr>
      <w:tr w:rsidR="00102A42" w:rsidRPr="009518F8" w14:paraId="5C28A206" w14:textId="77777777">
        <w:trPr>
          <w:trHeight w:val="283"/>
        </w:trPr>
        <w:tc>
          <w:tcPr>
            <w:tcW w:w="1849" w:type="pct"/>
            <w:tcBorders>
              <w:top w:val="nil"/>
              <w:left w:val="nil"/>
              <w:bottom w:val="nil"/>
              <w:right w:val="nil"/>
            </w:tcBorders>
            <w:noWrap/>
            <w:vAlign w:val="center"/>
            <w:hideMark/>
          </w:tcPr>
          <w:p w14:paraId="093867E8" w14:textId="77777777" w:rsidR="00102A42" w:rsidRPr="009518F8" w:rsidRDefault="00102A42">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 de infraestrutura </w:t>
            </w:r>
          </w:p>
        </w:tc>
        <w:tc>
          <w:tcPr>
            <w:tcW w:w="630" w:type="pct"/>
            <w:tcBorders>
              <w:top w:val="nil"/>
              <w:left w:val="nil"/>
              <w:bottom w:val="nil"/>
              <w:right w:val="nil"/>
            </w:tcBorders>
            <w:noWrap/>
            <w:vAlign w:val="center"/>
            <w:hideMark/>
          </w:tcPr>
          <w:p w14:paraId="53F6F05B" w14:textId="77777777" w:rsidR="00102A42" w:rsidRPr="009518F8" w:rsidRDefault="00102A42">
            <w:pPr>
              <w:jc w:val="right"/>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5.766.254</w:t>
            </w:r>
          </w:p>
        </w:tc>
        <w:tc>
          <w:tcPr>
            <w:tcW w:w="630" w:type="pct"/>
            <w:tcBorders>
              <w:top w:val="nil"/>
              <w:left w:val="nil"/>
              <w:bottom w:val="nil"/>
              <w:right w:val="nil"/>
            </w:tcBorders>
            <w:vAlign w:val="center"/>
            <w:hideMark/>
          </w:tcPr>
          <w:p w14:paraId="436FB6AD" w14:textId="3C90C319"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(257.914)</w:t>
            </w:r>
          </w:p>
        </w:tc>
        <w:tc>
          <w:tcPr>
            <w:tcW w:w="630" w:type="pct"/>
            <w:tcBorders>
              <w:top w:val="nil"/>
              <w:left w:val="nil"/>
              <w:bottom w:val="nil"/>
              <w:right w:val="nil"/>
            </w:tcBorders>
            <w:vAlign w:val="center"/>
            <w:hideMark/>
          </w:tcPr>
          <w:p w14:paraId="2FBFE450" w14:textId="18995E8A" w:rsidR="00102A42" w:rsidRPr="00FE1B3B" w:rsidRDefault="00722FD3" w:rsidP="00722FD3">
            <w:pPr>
              <w:jc w:val="right"/>
              <w:rPr>
                <w:rFonts w:ascii="CAIXA Std Book" w:hAnsi="CAIXA Std Book" w:cs="Calibri"/>
                <w:color w:val="005CA9"/>
                <w:sz w:val="18"/>
                <w:szCs w:val="18"/>
              </w:rPr>
            </w:pPr>
            <w:r>
              <w:rPr>
                <w:rFonts w:ascii="CAIXA Std Book" w:hAnsi="CAIXA Std Book" w:cs="Calibri"/>
                <w:color w:val="005CA9"/>
                <w:sz w:val="18"/>
                <w:szCs w:val="18"/>
              </w:rPr>
              <w:t>100.376</w:t>
            </w:r>
          </w:p>
        </w:tc>
        <w:tc>
          <w:tcPr>
            <w:tcW w:w="630" w:type="pct"/>
            <w:tcBorders>
              <w:top w:val="nil"/>
              <w:left w:val="nil"/>
              <w:bottom w:val="nil"/>
              <w:right w:val="nil"/>
            </w:tcBorders>
            <w:noWrap/>
            <w:vAlign w:val="center"/>
            <w:hideMark/>
          </w:tcPr>
          <w:p w14:paraId="6FA6A641" w14:textId="4ECCA069"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20.371</w:t>
            </w:r>
          </w:p>
        </w:tc>
        <w:tc>
          <w:tcPr>
            <w:tcW w:w="631" w:type="pct"/>
            <w:tcBorders>
              <w:top w:val="nil"/>
              <w:left w:val="nil"/>
              <w:bottom w:val="nil"/>
              <w:right w:val="nil"/>
            </w:tcBorders>
            <w:noWrap/>
            <w:vAlign w:val="center"/>
            <w:hideMark/>
          </w:tcPr>
          <w:p w14:paraId="6744F99B" w14:textId="1B32B28A"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5.629.087</w:t>
            </w:r>
          </w:p>
        </w:tc>
      </w:tr>
      <w:tr w:rsidR="00102A42" w:rsidRPr="009518F8" w14:paraId="6CEA69FE" w14:textId="77777777">
        <w:trPr>
          <w:trHeight w:val="283"/>
        </w:trPr>
        <w:tc>
          <w:tcPr>
            <w:tcW w:w="1849" w:type="pct"/>
            <w:tcBorders>
              <w:top w:val="nil"/>
              <w:left w:val="nil"/>
              <w:bottom w:val="nil"/>
              <w:right w:val="nil"/>
            </w:tcBorders>
            <w:noWrap/>
            <w:vAlign w:val="center"/>
          </w:tcPr>
          <w:p w14:paraId="1DDC9D8B" w14:textId="77777777" w:rsidR="00102A42" w:rsidRPr="009518F8" w:rsidRDefault="00102A42">
            <w:pP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Cessão de crédito</w:t>
            </w:r>
          </w:p>
        </w:tc>
        <w:tc>
          <w:tcPr>
            <w:tcW w:w="630" w:type="pct"/>
            <w:tcBorders>
              <w:top w:val="nil"/>
              <w:left w:val="nil"/>
              <w:bottom w:val="nil"/>
              <w:right w:val="nil"/>
            </w:tcBorders>
            <w:noWrap/>
            <w:vAlign w:val="center"/>
          </w:tcPr>
          <w:p w14:paraId="33949D69" w14:textId="77777777" w:rsidR="00102A42" w:rsidRPr="009518F8" w:rsidRDefault="00102A42">
            <w:pPr>
              <w:jc w:val="right"/>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99.711</w:t>
            </w:r>
          </w:p>
        </w:tc>
        <w:tc>
          <w:tcPr>
            <w:tcW w:w="630" w:type="pct"/>
            <w:tcBorders>
              <w:top w:val="nil"/>
              <w:left w:val="nil"/>
              <w:bottom w:val="nil"/>
              <w:right w:val="nil"/>
            </w:tcBorders>
            <w:vAlign w:val="center"/>
          </w:tcPr>
          <w:p w14:paraId="67679CA9" w14:textId="02F81C2C"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(3.902)</w:t>
            </w:r>
          </w:p>
        </w:tc>
        <w:tc>
          <w:tcPr>
            <w:tcW w:w="630" w:type="pct"/>
            <w:tcBorders>
              <w:top w:val="nil"/>
              <w:left w:val="nil"/>
              <w:bottom w:val="nil"/>
              <w:right w:val="nil"/>
            </w:tcBorders>
            <w:vAlign w:val="center"/>
          </w:tcPr>
          <w:p w14:paraId="0CF1DF3B" w14:textId="035D74C4"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(226)</w:t>
            </w:r>
          </w:p>
        </w:tc>
        <w:tc>
          <w:tcPr>
            <w:tcW w:w="630" w:type="pct"/>
            <w:tcBorders>
              <w:top w:val="nil"/>
              <w:left w:val="nil"/>
              <w:bottom w:val="nil"/>
              <w:right w:val="nil"/>
            </w:tcBorders>
            <w:noWrap/>
            <w:vAlign w:val="center"/>
          </w:tcPr>
          <w:p w14:paraId="360D9A20" w14:textId="33554033"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10.450</w:t>
            </w:r>
          </w:p>
        </w:tc>
        <w:tc>
          <w:tcPr>
            <w:tcW w:w="631" w:type="pct"/>
            <w:tcBorders>
              <w:top w:val="nil"/>
              <w:left w:val="nil"/>
              <w:bottom w:val="nil"/>
              <w:right w:val="nil"/>
            </w:tcBorders>
            <w:noWrap/>
            <w:vAlign w:val="center"/>
          </w:tcPr>
          <w:p w14:paraId="42DE803D" w14:textId="688CA973"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106.033</w:t>
            </w:r>
          </w:p>
        </w:tc>
      </w:tr>
      <w:tr w:rsidR="00102A42" w:rsidRPr="009518F8" w14:paraId="2F08937E" w14:textId="77777777">
        <w:trPr>
          <w:trHeight w:val="283"/>
        </w:trPr>
        <w:tc>
          <w:tcPr>
            <w:tcW w:w="1849" w:type="pct"/>
            <w:tcBorders>
              <w:top w:val="nil"/>
              <w:left w:val="nil"/>
              <w:bottom w:val="nil"/>
              <w:right w:val="nil"/>
            </w:tcBorders>
            <w:noWrap/>
            <w:vAlign w:val="center"/>
            <w:hideMark/>
          </w:tcPr>
          <w:p w14:paraId="77F11A33" w14:textId="77777777" w:rsidR="00102A42" w:rsidRPr="009518F8" w:rsidRDefault="00102A42">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 xml:space="preserve">Outros </w:t>
            </w:r>
            <w:r>
              <w:rPr>
                <w:rFonts w:ascii="CAIXA Std Book" w:eastAsia="Times New Roman" w:hAnsi="CAIXA Std Book" w:cs="Calibri"/>
                <w:color w:val="005CA9"/>
                <w:sz w:val="18"/>
                <w:szCs w:val="18"/>
              </w:rPr>
              <w:t>créditos</w:t>
            </w:r>
          </w:p>
        </w:tc>
        <w:tc>
          <w:tcPr>
            <w:tcW w:w="630" w:type="pct"/>
            <w:tcBorders>
              <w:top w:val="nil"/>
              <w:left w:val="nil"/>
              <w:bottom w:val="nil"/>
              <w:right w:val="nil"/>
            </w:tcBorders>
            <w:noWrap/>
            <w:vAlign w:val="center"/>
            <w:hideMark/>
          </w:tcPr>
          <w:p w14:paraId="77870A23" w14:textId="77777777" w:rsidR="00102A42" w:rsidRPr="009518F8" w:rsidRDefault="00102A42">
            <w:pPr>
              <w:jc w:val="right"/>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796.036</w:t>
            </w:r>
          </w:p>
        </w:tc>
        <w:tc>
          <w:tcPr>
            <w:tcW w:w="630" w:type="pct"/>
            <w:tcBorders>
              <w:top w:val="nil"/>
              <w:left w:val="nil"/>
              <w:bottom w:val="nil"/>
              <w:right w:val="nil"/>
            </w:tcBorders>
            <w:vAlign w:val="center"/>
            <w:hideMark/>
          </w:tcPr>
          <w:p w14:paraId="129CEB69" w14:textId="774D95ED"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(183.375)</w:t>
            </w:r>
          </w:p>
        </w:tc>
        <w:tc>
          <w:tcPr>
            <w:tcW w:w="630" w:type="pct"/>
            <w:tcBorders>
              <w:top w:val="nil"/>
              <w:left w:val="nil"/>
              <w:bottom w:val="nil"/>
              <w:right w:val="nil"/>
            </w:tcBorders>
            <w:vAlign w:val="center"/>
            <w:hideMark/>
          </w:tcPr>
          <w:p w14:paraId="28FFD704" w14:textId="767D91E4" w:rsidR="00102A42" w:rsidRPr="00722FD3" w:rsidRDefault="00722FD3">
            <w:pPr>
              <w:jc w:val="right"/>
              <w:rPr>
                <w:rFonts w:ascii="CAIXA Std Book" w:hAnsi="CAIXA Std Book" w:cs="Calibri"/>
                <w:color w:val="005CA9"/>
                <w:sz w:val="18"/>
                <w:szCs w:val="18"/>
              </w:rPr>
            </w:pPr>
            <w:r w:rsidRPr="00722FD3">
              <w:rPr>
                <w:rFonts w:ascii="CAIXA Std Book" w:hAnsi="CAIXA Std Book" w:cs="Calibri"/>
                <w:color w:val="005CA9"/>
                <w:sz w:val="18"/>
                <w:szCs w:val="18"/>
              </w:rPr>
              <w:t>13.458</w:t>
            </w:r>
          </w:p>
        </w:tc>
        <w:tc>
          <w:tcPr>
            <w:tcW w:w="630" w:type="pct"/>
            <w:tcBorders>
              <w:top w:val="nil"/>
              <w:left w:val="nil"/>
              <w:bottom w:val="nil"/>
              <w:right w:val="nil"/>
            </w:tcBorders>
            <w:noWrap/>
            <w:vAlign w:val="center"/>
            <w:hideMark/>
          </w:tcPr>
          <w:p w14:paraId="79E86CF2" w14:textId="4A52CE24" w:rsidR="00102A42" w:rsidRPr="00722FD3" w:rsidRDefault="00722FD3">
            <w:pPr>
              <w:jc w:val="right"/>
              <w:rPr>
                <w:rFonts w:ascii="CAIXA Std Book" w:hAnsi="CAIXA Std Book" w:cs="Calibri"/>
                <w:color w:val="005CA9"/>
                <w:sz w:val="18"/>
                <w:szCs w:val="18"/>
              </w:rPr>
            </w:pPr>
            <w:r w:rsidRPr="00722FD3">
              <w:rPr>
                <w:rFonts w:ascii="CAIXA Std Book" w:hAnsi="CAIXA Std Book" w:cs="Calibri"/>
                <w:color w:val="005CA9"/>
                <w:sz w:val="18"/>
                <w:szCs w:val="18"/>
              </w:rPr>
              <w:t>43.954</w:t>
            </w:r>
          </w:p>
        </w:tc>
        <w:tc>
          <w:tcPr>
            <w:tcW w:w="631" w:type="pct"/>
            <w:tcBorders>
              <w:top w:val="nil"/>
              <w:left w:val="nil"/>
              <w:bottom w:val="nil"/>
              <w:right w:val="nil"/>
            </w:tcBorders>
            <w:noWrap/>
            <w:vAlign w:val="center"/>
            <w:hideMark/>
          </w:tcPr>
          <w:p w14:paraId="64A87E77" w14:textId="65BB0DB9" w:rsidR="00102A42" w:rsidRPr="009518F8" w:rsidRDefault="00722FD3">
            <w:pPr>
              <w:jc w:val="right"/>
              <w:rPr>
                <w:rFonts w:ascii="Times New Roman" w:eastAsia="Times New Roman" w:hAnsi="Times New Roman" w:cs="Times New Roman"/>
                <w:sz w:val="20"/>
                <w:szCs w:val="20"/>
              </w:rPr>
            </w:pPr>
            <w:r>
              <w:rPr>
                <w:rFonts w:ascii="CAIXA Std Book" w:hAnsi="CAIXA Std Book" w:cs="Calibri"/>
                <w:color w:val="005CA9"/>
                <w:sz w:val="18"/>
                <w:szCs w:val="18"/>
              </w:rPr>
              <w:t>670.073</w:t>
            </w:r>
          </w:p>
        </w:tc>
      </w:tr>
      <w:tr w:rsidR="00102A42" w:rsidRPr="009518F8" w14:paraId="2ACC3FD1" w14:textId="77777777">
        <w:trPr>
          <w:trHeight w:val="283"/>
        </w:trPr>
        <w:tc>
          <w:tcPr>
            <w:tcW w:w="1849" w:type="pct"/>
            <w:tcBorders>
              <w:top w:val="nil"/>
              <w:left w:val="nil"/>
              <w:bottom w:val="nil"/>
              <w:right w:val="nil"/>
            </w:tcBorders>
            <w:shd w:val="clear" w:color="auto" w:fill="005CA9"/>
            <w:noWrap/>
            <w:vAlign w:val="center"/>
            <w:hideMark/>
          </w:tcPr>
          <w:p w14:paraId="770F10B4" w14:textId="77777777" w:rsidR="00102A42" w:rsidRPr="009518F8" w:rsidRDefault="00102A42">
            <w:pP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Total</w:t>
            </w:r>
            <w:r w:rsidRPr="009518F8">
              <w:rPr>
                <w:rFonts w:ascii="CAIXA Std Book" w:eastAsia="Times New Roman" w:hAnsi="CAIXA Std Book" w:cs="Calibri"/>
                <w:color w:val="005CA9"/>
                <w:sz w:val="18"/>
                <w:szCs w:val="18"/>
              </w:rPr>
              <w:t> </w:t>
            </w:r>
          </w:p>
        </w:tc>
        <w:tc>
          <w:tcPr>
            <w:tcW w:w="630" w:type="pct"/>
            <w:tcBorders>
              <w:top w:val="nil"/>
              <w:left w:val="nil"/>
              <w:bottom w:val="nil"/>
              <w:right w:val="nil"/>
            </w:tcBorders>
            <w:shd w:val="clear" w:color="auto" w:fill="005CA9"/>
            <w:noWrap/>
            <w:vAlign w:val="center"/>
          </w:tcPr>
          <w:p w14:paraId="1800B19E" w14:textId="77777777" w:rsidR="00102A42" w:rsidRPr="009518F8" w:rsidRDefault="00102A42">
            <w:pPr>
              <w:jc w:val="right"/>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89.984.561</w:t>
            </w:r>
          </w:p>
        </w:tc>
        <w:tc>
          <w:tcPr>
            <w:tcW w:w="630" w:type="pct"/>
            <w:tcBorders>
              <w:top w:val="nil"/>
              <w:left w:val="nil"/>
              <w:bottom w:val="nil"/>
              <w:right w:val="nil"/>
            </w:tcBorders>
            <w:shd w:val="clear" w:color="auto" w:fill="005CA9"/>
            <w:noWrap/>
            <w:vAlign w:val="center"/>
          </w:tcPr>
          <w:p w14:paraId="6DAAC759" w14:textId="56F7EAC5" w:rsidR="00102A42" w:rsidRPr="009518F8" w:rsidRDefault="00D40A9A">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(5.760.604)</w:t>
            </w:r>
          </w:p>
        </w:tc>
        <w:tc>
          <w:tcPr>
            <w:tcW w:w="630" w:type="pct"/>
            <w:tcBorders>
              <w:top w:val="nil"/>
              <w:left w:val="nil"/>
              <w:bottom w:val="nil"/>
              <w:right w:val="nil"/>
            </w:tcBorders>
            <w:shd w:val="clear" w:color="auto" w:fill="005CA9"/>
            <w:noWrap/>
            <w:vAlign w:val="center"/>
          </w:tcPr>
          <w:p w14:paraId="4BAE9013" w14:textId="7FF67508" w:rsidR="00102A42" w:rsidRPr="009518F8" w:rsidRDefault="00D40A9A">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5.459.810</w:t>
            </w:r>
          </w:p>
        </w:tc>
        <w:tc>
          <w:tcPr>
            <w:tcW w:w="630" w:type="pct"/>
            <w:tcBorders>
              <w:top w:val="nil"/>
              <w:left w:val="nil"/>
              <w:bottom w:val="nil"/>
              <w:right w:val="nil"/>
            </w:tcBorders>
            <w:shd w:val="clear" w:color="auto" w:fill="005CA9"/>
            <w:noWrap/>
            <w:vAlign w:val="center"/>
          </w:tcPr>
          <w:p w14:paraId="02DA14BA" w14:textId="2CF4C292" w:rsidR="00102A42" w:rsidRPr="009518F8" w:rsidRDefault="00D40A9A">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9.468.633</w:t>
            </w:r>
          </w:p>
        </w:tc>
        <w:tc>
          <w:tcPr>
            <w:tcW w:w="631" w:type="pct"/>
            <w:tcBorders>
              <w:top w:val="nil"/>
              <w:left w:val="nil"/>
              <w:bottom w:val="nil"/>
              <w:right w:val="nil"/>
            </w:tcBorders>
            <w:shd w:val="clear" w:color="auto" w:fill="005CA9"/>
            <w:noWrap/>
            <w:vAlign w:val="center"/>
          </w:tcPr>
          <w:p w14:paraId="0359E5A9" w14:textId="44D92EE2" w:rsidR="00102A42" w:rsidRPr="009518F8" w:rsidRDefault="00D40A9A">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99.152.400</w:t>
            </w:r>
          </w:p>
        </w:tc>
      </w:tr>
    </w:tbl>
    <w:p w14:paraId="39636498" w14:textId="77777777" w:rsidR="00627127" w:rsidRDefault="005C49DE" w:rsidP="00627127">
      <w:r>
        <w:br w:type="page"/>
      </w:r>
    </w:p>
    <w:tbl>
      <w:tblPr>
        <w:tblW w:w="5000" w:type="pct"/>
        <w:tblLayout w:type="fixed"/>
        <w:tblCellMar>
          <w:left w:w="0" w:type="dxa"/>
          <w:right w:w="0" w:type="dxa"/>
        </w:tblCellMar>
        <w:tblLook w:val="04A0" w:firstRow="1" w:lastRow="0" w:firstColumn="1" w:lastColumn="0" w:noHBand="0" w:noVBand="1"/>
      </w:tblPr>
      <w:tblGrid>
        <w:gridCol w:w="5375"/>
        <w:gridCol w:w="1838"/>
        <w:gridCol w:w="1839"/>
        <w:gridCol w:w="1839"/>
        <w:gridCol w:w="1839"/>
        <w:gridCol w:w="1839"/>
      </w:tblGrid>
      <w:tr w:rsidR="00696D88" w14:paraId="248122B6" w14:textId="77777777" w:rsidTr="00DC02EC">
        <w:trPr>
          <w:trHeight w:val="283"/>
        </w:trPr>
        <w:tc>
          <w:tcPr>
            <w:tcW w:w="5000" w:type="pct"/>
            <w:gridSpan w:val="6"/>
            <w:tcBorders>
              <w:bottom w:val="single" w:sz="4" w:space="0" w:color="FFFFFF" w:themeColor="background1"/>
            </w:tcBorders>
            <w:shd w:val="clear" w:color="auto" w:fill="005CA9"/>
            <w:vAlign w:val="center"/>
            <w:hideMark/>
          </w:tcPr>
          <w:p w14:paraId="1876E6CE" w14:textId="77777777" w:rsidR="00696D88" w:rsidRPr="00817BD3" w:rsidRDefault="00696D88">
            <w:pPr>
              <w:jc w:val="center"/>
              <w:rPr>
                <w:rFonts w:ascii="CAIXA Std Book" w:hAnsi="CAIXA Std Book" w:cs="Calibri"/>
                <w:b/>
                <w:color w:val="FFFFFF"/>
                <w:sz w:val="18"/>
                <w:szCs w:val="18"/>
              </w:rPr>
            </w:pPr>
            <w:r>
              <w:rPr>
                <w:rFonts w:ascii="CAIXA Std Book" w:hAnsi="CAIXA Std Book" w:cs="Calibri"/>
                <w:b/>
                <w:color w:val="FFFFFF"/>
                <w:sz w:val="18"/>
                <w:szCs w:val="18"/>
              </w:rPr>
              <w:t>Consolidado</w:t>
            </w:r>
          </w:p>
        </w:tc>
      </w:tr>
      <w:tr w:rsidR="00696D88" w14:paraId="17442AF4" w14:textId="77777777" w:rsidTr="00DC02EC">
        <w:trPr>
          <w:trHeight w:val="283"/>
        </w:trPr>
        <w:tc>
          <w:tcPr>
            <w:tcW w:w="1845" w:type="pct"/>
            <w:tcBorders>
              <w:top w:val="single" w:sz="4" w:space="0" w:color="FFFFFF" w:themeColor="background1"/>
            </w:tcBorders>
            <w:shd w:val="clear" w:color="auto" w:fill="005CA9"/>
            <w:vAlign w:val="center"/>
            <w:hideMark/>
          </w:tcPr>
          <w:p w14:paraId="091D6A99" w14:textId="77777777" w:rsidR="00696D88" w:rsidRPr="00817BD3" w:rsidRDefault="00696D88">
            <w:pPr>
              <w:jc w:val="center"/>
              <w:rPr>
                <w:rFonts w:ascii="CAIXA Std Book" w:hAnsi="CAIXA Std Book" w:cs="Calibri"/>
                <w:b/>
                <w:color w:val="FFFFFF"/>
                <w:sz w:val="18"/>
                <w:szCs w:val="18"/>
              </w:rPr>
            </w:pPr>
            <w:r w:rsidRPr="00817BD3">
              <w:rPr>
                <w:rFonts w:ascii="CAIXA Std Book" w:eastAsia="Times New Roman" w:hAnsi="CAIXA Std Book" w:cs="Calibri"/>
                <w:b/>
                <w:color w:val="FFFFFF"/>
                <w:sz w:val="18"/>
                <w:szCs w:val="18"/>
              </w:rPr>
              <w:t>Estágio</w:t>
            </w:r>
            <w:r w:rsidRPr="00817BD3">
              <w:rPr>
                <w:rFonts w:ascii="CAIXA Std Book" w:hAnsi="CAIXA Std Book" w:cs="Calibri"/>
                <w:b/>
                <w:color w:val="FFFFFF"/>
                <w:sz w:val="18"/>
                <w:szCs w:val="18"/>
              </w:rPr>
              <w:t xml:space="preserve"> 1 (1)</w:t>
            </w:r>
          </w:p>
        </w:tc>
        <w:tc>
          <w:tcPr>
            <w:tcW w:w="631" w:type="pct"/>
            <w:tcBorders>
              <w:top w:val="single" w:sz="4" w:space="0" w:color="FFFFFF" w:themeColor="background1"/>
            </w:tcBorders>
            <w:shd w:val="clear" w:color="auto" w:fill="005CA9"/>
            <w:vAlign w:val="center"/>
            <w:hideMark/>
          </w:tcPr>
          <w:p w14:paraId="488F3830" w14:textId="77777777" w:rsidR="00696D88" w:rsidRPr="00817BD3" w:rsidRDefault="00696D88">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Saldo em 01/01/2025</w:t>
            </w:r>
          </w:p>
        </w:tc>
        <w:tc>
          <w:tcPr>
            <w:tcW w:w="631" w:type="pct"/>
            <w:tcBorders>
              <w:top w:val="single" w:sz="4" w:space="0" w:color="FFFFFF" w:themeColor="background1"/>
            </w:tcBorders>
            <w:shd w:val="clear" w:color="auto" w:fill="005CA9"/>
            <w:vAlign w:val="center"/>
            <w:hideMark/>
          </w:tcPr>
          <w:p w14:paraId="396B63A7" w14:textId="77777777" w:rsidR="00696D88" w:rsidRPr="00817BD3" w:rsidRDefault="00696D88">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Con</w:t>
            </w:r>
            <w:r>
              <w:rPr>
                <w:rFonts w:ascii="CAIXA Std Book" w:hAnsi="CAIXA Std Book" w:cs="Calibri"/>
                <w:b/>
                <w:color w:val="FFFFFF"/>
                <w:sz w:val="18"/>
                <w:szCs w:val="18"/>
              </w:rPr>
              <w:t>stituição</w:t>
            </w:r>
            <w:r w:rsidRPr="00817BD3">
              <w:rPr>
                <w:rFonts w:ascii="CAIXA Std Book" w:hAnsi="CAIXA Std Book" w:cs="Calibri"/>
                <w:b/>
                <w:color w:val="FFFFFF"/>
                <w:sz w:val="18"/>
                <w:szCs w:val="18"/>
              </w:rPr>
              <w:t xml:space="preserve">/ </w:t>
            </w:r>
            <w:r>
              <w:rPr>
                <w:rFonts w:ascii="CAIXA Std Book" w:hAnsi="CAIXA Std Book" w:cs="Calibri"/>
                <w:b/>
                <w:color w:val="FFFFFF"/>
                <w:sz w:val="18"/>
                <w:szCs w:val="18"/>
              </w:rPr>
              <w:t>(</w:t>
            </w:r>
            <w:r w:rsidRPr="00817BD3">
              <w:rPr>
                <w:rFonts w:ascii="CAIXA Std Book" w:hAnsi="CAIXA Std Book" w:cs="Calibri"/>
                <w:b/>
                <w:color w:val="FFFFFF"/>
                <w:sz w:val="18"/>
                <w:szCs w:val="18"/>
              </w:rPr>
              <w:t>liquidação</w:t>
            </w:r>
            <w:r>
              <w:rPr>
                <w:rFonts w:ascii="CAIXA Std Book" w:hAnsi="CAIXA Std Book" w:cs="Calibri"/>
                <w:b/>
                <w:color w:val="FFFFFF"/>
                <w:sz w:val="18"/>
                <w:szCs w:val="18"/>
              </w:rPr>
              <w:t>)</w:t>
            </w:r>
          </w:p>
        </w:tc>
        <w:tc>
          <w:tcPr>
            <w:tcW w:w="631" w:type="pct"/>
            <w:tcBorders>
              <w:top w:val="single" w:sz="4" w:space="0" w:color="FFFFFF" w:themeColor="background1"/>
            </w:tcBorders>
            <w:shd w:val="clear" w:color="auto" w:fill="005CA9"/>
            <w:vAlign w:val="center"/>
            <w:hideMark/>
          </w:tcPr>
          <w:p w14:paraId="67DACBD1" w14:textId="77777777" w:rsidR="00696D88" w:rsidRPr="00817BD3" w:rsidRDefault="00696D88">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Transferência do/</w:t>
            </w:r>
          </w:p>
          <w:p w14:paraId="4FC9FC13" w14:textId="77777777" w:rsidR="00696D88" w:rsidRPr="00817BD3" w:rsidRDefault="00696D88">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para o estágio 2</w:t>
            </w:r>
          </w:p>
        </w:tc>
        <w:tc>
          <w:tcPr>
            <w:tcW w:w="631" w:type="pct"/>
            <w:tcBorders>
              <w:top w:val="single" w:sz="4" w:space="0" w:color="FFFFFF" w:themeColor="background1"/>
            </w:tcBorders>
            <w:shd w:val="clear" w:color="auto" w:fill="005CA9"/>
            <w:vAlign w:val="center"/>
            <w:hideMark/>
          </w:tcPr>
          <w:p w14:paraId="12D83501" w14:textId="77777777" w:rsidR="00696D88" w:rsidRPr="00817BD3" w:rsidRDefault="00696D88">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Transferência do/</w:t>
            </w:r>
          </w:p>
          <w:p w14:paraId="0B762183" w14:textId="77777777" w:rsidR="00696D88" w:rsidRPr="00817BD3" w:rsidRDefault="00696D88">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para estágio 3</w:t>
            </w:r>
          </w:p>
        </w:tc>
        <w:tc>
          <w:tcPr>
            <w:tcW w:w="631" w:type="pct"/>
            <w:tcBorders>
              <w:top w:val="single" w:sz="4" w:space="0" w:color="FFFFFF" w:themeColor="background1"/>
            </w:tcBorders>
            <w:shd w:val="clear" w:color="auto" w:fill="005CA9"/>
            <w:vAlign w:val="center"/>
            <w:hideMark/>
          </w:tcPr>
          <w:p w14:paraId="4DF05044" w14:textId="1FA8296F" w:rsidR="00696D88" w:rsidRPr="00817BD3" w:rsidRDefault="00696D88">
            <w:pPr>
              <w:jc w:val="center"/>
              <w:rPr>
                <w:rFonts w:ascii="CAIXA Std Book" w:hAnsi="CAIXA Std Book" w:cs="Calibri"/>
                <w:b/>
                <w:color w:val="FFFFFF"/>
                <w:sz w:val="18"/>
                <w:szCs w:val="18"/>
              </w:rPr>
            </w:pPr>
            <w:r w:rsidRPr="00817BD3">
              <w:rPr>
                <w:rFonts w:ascii="CAIXA Std Book" w:hAnsi="CAIXA Std Book" w:cs="Calibri"/>
                <w:b/>
                <w:color w:val="FFFFFF"/>
                <w:sz w:val="18"/>
                <w:szCs w:val="18"/>
              </w:rPr>
              <w:t xml:space="preserve">Saldo em </w:t>
            </w:r>
            <w:r>
              <w:rPr>
                <w:rFonts w:ascii="CAIXA Std Book" w:hAnsi="CAIXA Std Book" w:cs="Calibri"/>
                <w:b/>
                <w:color w:val="FFFFFF"/>
                <w:sz w:val="18"/>
                <w:szCs w:val="18"/>
              </w:rPr>
              <w:t>31/</w:t>
            </w:r>
            <w:r w:rsidR="00E15BC9">
              <w:rPr>
                <w:rFonts w:ascii="CAIXA Std Book" w:hAnsi="CAIXA Std Book" w:cs="Calibri"/>
                <w:b/>
                <w:color w:val="FFFFFF"/>
                <w:sz w:val="18"/>
                <w:szCs w:val="18"/>
              </w:rPr>
              <w:t>12</w:t>
            </w:r>
            <w:r>
              <w:rPr>
                <w:rFonts w:ascii="CAIXA Std Book" w:hAnsi="CAIXA Std Book" w:cs="Calibri"/>
                <w:b/>
                <w:color w:val="FFFFFF"/>
                <w:sz w:val="18"/>
                <w:szCs w:val="18"/>
              </w:rPr>
              <w:t>/2025</w:t>
            </w:r>
          </w:p>
        </w:tc>
      </w:tr>
      <w:tr w:rsidR="00696D88" w14:paraId="05A02DF9" w14:textId="77777777" w:rsidTr="00DC02EC">
        <w:trPr>
          <w:trHeight w:val="283"/>
        </w:trPr>
        <w:tc>
          <w:tcPr>
            <w:tcW w:w="1845" w:type="pct"/>
            <w:noWrap/>
            <w:vAlign w:val="center"/>
            <w:hideMark/>
          </w:tcPr>
          <w:p w14:paraId="2D309BD9" w14:textId="77777777" w:rsidR="00696D88" w:rsidRPr="00817BD3" w:rsidRDefault="00696D88">
            <w:pPr>
              <w:rPr>
                <w:rFonts w:ascii="CAIXA Std Book" w:hAnsi="CAIXA Std Book" w:cs="Calibri"/>
                <w:color w:val="005CA9"/>
                <w:sz w:val="18"/>
                <w:szCs w:val="18"/>
              </w:rPr>
            </w:pPr>
            <w:r w:rsidRPr="00817BD3">
              <w:rPr>
                <w:rFonts w:ascii="CAIXA Std Book" w:hAnsi="CAIXA Std Book" w:cs="Calibri"/>
                <w:color w:val="005CA9"/>
                <w:sz w:val="18"/>
                <w:szCs w:val="18"/>
              </w:rPr>
              <w:t>Empréstimos e direitos creditórios descontados</w:t>
            </w:r>
          </w:p>
        </w:tc>
        <w:tc>
          <w:tcPr>
            <w:tcW w:w="631" w:type="pct"/>
            <w:noWrap/>
            <w:vAlign w:val="center"/>
            <w:hideMark/>
          </w:tcPr>
          <w:p w14:paraId="3CD79911" w14:textId="4602D562" w:rsidR="00696D88" w:rsidRPr="00DD4F9E" w:rsidRDefault="00715C8D">
            <w:pPr>
              <w:jc w:val="right"/>
              <w:rPr>
                <w:rFonts w:ascii="CAIXA Std Book" w:hAnsi="CAIXA Std Book" w:cs="Calibri"/>
                <w:color w:val="005CA9"/>
                <w:sz w:val="18"/>
                <w:szCs w:val="18"/>
              </w:rPr>
            </w:pPr>
            <w:r w:rsidRPr="000D76B8">
              <w:rPr>
                <w:rFonts w:ascii="CAIXA Std Book" w:hAnsi="CAIXA Std Book" w:cs="Calibri"/>
                <w:color w:val="005CA9"/>
                <w:sz w:val="18"/>
                <w:szCs w:val="18"/>
              </w:rPr>
              <w:t>170.043.830</w:t>
            </w:r>
          </w:p>
        </w:tc>
        <w:tc>
          <w:tcPr>
            <w:tcW w:w="631" w:type="pct"/>
            <w:shd w:val="clear" w:color="000000" w:fill="FFFFFF"/>
            <w:vAlign w:val="center"/>
          </w:tcPr>
          <w:p w14:paraId="3617F4B9" w14:textId="0256C09A" w:rsidR="00696D88" w:rsidRPr="00DD4F9E" w:rsidRDefault="00715C8D">
            <w:pPr>
              <w:jc w:val="right"/>
              <w:rPr>
                <w:rFonts w:ascii="CAIXA Std Book" w:hAnsi="CAIXA Std Book" w:cs="Calibri"/>
                <w:color w:val="005CA9"/>
                <w:sz w:val="18"/>
                <w:szCs w:val="18"/>
              </w:rPr>
            </w:pPr>
            <w:r w:rsidRPr="001277F0">
              <w:rPr>
                <w:rFonts w:ascii="CAIXA Std Book" w:hAnsi="CAIXA Std Book" w:cs="Calibri"/>
                <w:color w:val="005CA9"/>
                <w:sz w:val="18"/>
                <w:szCs w:val="18"/>
              </w:rPr>
              <w:t>24.839.934</w:t>
            </w:r>
          </w:p>
        </w:tc>
        <w:tc>
          <w:tcPr>
            <w:tcW w:w="631" w:type="pct"/>
            <w:vAlign w:val="center"/>
          </w:tcPr>
          <w:p w14:paraId="501424FD" w14:textId="676398D7" w:rsidR="00696D88" w:rsidRPr="00DD4F9E" w:rsidRDefault="00715C8D">
            <w:pPr>
              <w:jc w:val="right"/>
              <w:rPr>
                <w:rFonts w:ascii="CAIXA Std Book" w:hAnsi="CAIXA Std Book" w:cs="Calibri"/>
                <w:color w:val="005CA9"/>
                <w:sz w:val="18"/>
                <w:szCs w:val="18"/>
              </w:rPr>
            </w:pPr>
            <w:r>
              <w:rPr>
                <w:rFonts w:ascii="CAIXA Std Book" w:hAnsi="CAIXA Std Book" w:cs="Calibri"/>
                <w:color w:val="005CA9"/>
                <w:sz w:val="18"/>
                <w:szCs w:val="18"/>
              </w:rPr>
              <w:t>9.259.105</w:t>
            </w:r>
          </w:p>
        </w:tc>
        <w:tc>
          <w:tcPr>
            <w:tcW w:w="631" w:type="pct"/>
            <w:noWrap/>
            <w:vAlign w:val="center"/>
          </w:tcPr>
          <w:p w14:paraId="2FDBD833" w14:textId="496664BB" w:rsidR="00696D88" w:rsidRPr="00DD4F9E" w:rsidRDefault="00715C8D">
            <w:pPr>
              <w:jc w:val="right"/>
              <w:rPr>
                <w:rFonts w:ascii="CAIXA Std Book" w:hAnsi="CAIXA Std Book" w:cs="Calibri"/>
                <w:color w:val="005CA9"/>
                <w:sz w:val="18"/>
                <w:szCs w:val="18"/>
              </w:rPr>
            </w:pPr>
            <w:r>
              <w:rPr>
                <w:rFonts w:ascii="CAIXA Std Book" w:hAnsi="CAIXA Std Book" w:cs="Calibri"/>
                <w:color w:val="005CA9"/>
                <w:sz w:val="18"/>
                <w:szCs w:val="18"/>
              </w:rPr>
              <w:t>(6.758.151)</w:t>
            </w:r>
          </w:p>
        </w:tc>
        <w:tc>
          <w:tcPr>
            <w:tcW w:w="631" w:type="pct"/>
            <w:noWrap/>
            <w:vAlign w:val="center"/>
          </w:tcPr>
          <w:p w14:paraId="2001F1A6" w14:textId="5E648F77" w:rsidR="00696D88" w:rsidRPr="00DD4F9E" w:rsidRDefault="00715C8D" w:rsidP="00ED02FD">
            <w:pPr>
              <w:ind w:right="68"/>
              <w:jc w:val="right"/>
              <w:rPr>
                <w:rFonts w:ascii="CAIXA Std Book" w:hAnsi="CAIXA Std Book" w:cs="Calibri"/>
                <w:color w:val="005CA9"/>
                <w:sz w:val="18"/>
                <w:szCs w:val="18"/>
              </w:rPr>
            </w:pPr>
            <w:r>
              <w:rPr>
                <w:rFonts w:ascii="CAIXA Std Book" w:hAnsi="CAIXA Std Book" w:cs="Calibri"/>
                <w:color w:val="005CA9"/>
                <w:sz w:val="18"/>
                <w:szCs w:val="18"/>
              </w:rPr>
              <w:t>197.384.718</w:t>
            </w:r>
          </w:p>
        </w:tc>
      </w:tr>
      <w:tr w:rsidR="00696D88" w14:paraId="479B2F98" w14:textId="77777777" w:rsidTr="00DC02EC">
        <w:trPr>
          <w:trHeight w:val="283"/>
        </w:trPr>
        <w:tc>
          <w:tcPr>
            <w:tcW w:w="1845" w:type="pct"/>
            <w:noWrap/>
            <w:vAlign w:val="center"/>
            <w:hideMark/>
          </w:tcPr>
          <w:p w14:paraId="6D105390" w14:textId="77777777" w:rsidR="00696D88" w:rsidRPr="00817BD3" w:rsidRDefault="00696D88">
            <w:pPr>
              <w:rPr>
                <w:rFonts w:ascii="CAIXA Std Book" w:hAnsi="CAIXA Std Book" w:cs="Calibri"/>
                <w:color w:val="005CA9"/>
                <w:sz w:val="18"/>
                <w:szCs w:val="18"/>
              </w:rPr>
            </w:pPr>
            <w:r w:rsidRPr="00817BD3">
              <w:rPr>
                <w:rFonts w:ascii="CAIXA Std Book" w:hAnsi="CAIXA Std Book" w:cs="Calibri"/>
                <w:color w:val="005CA9"/>
                <w:sz w:val="18"/>
                <w:szCs w:val="18"/>
              </w:rPr>
              <w:t>Financiamentos</w:t>
            </w:r>
          </w:p>
        </w:tc>
        <w:tc>
          <w:tcPr>
            <w:tcW w:w="631" w:type="pct"/>
            <w:noWrap/>
            <w:vAlign w:val="center"/>
            <w:hideMark/>
          </w:tcPr>
          <w:p w14:paraId="2662BEAA" w14:textId="77777777" w:rsidR="00696D88" w:rsidRPr="00DD4F9E" w:rsidRDefault="00696D88">
            <w:pPr>
              <w:jc w:val="right"/>
              <w:rPr>
                <w:rFonts w:ascii="CAIXA Std Book" w:hAnsi="CAIXA Std Book" w:cs="Calibri"/>
                <w:color w:val="005CA9"/>
                <w:sz w:val="18"/>
                <w:szCs w:val="18"/>
              </w:rPr>
            </w:pPr>
            <w:r w:rsidRPr="00DD4F9E">
              <w:rPr>
                <w:rFonts w:ascii="CAIXA Std Book" w:hAnsi="CAIXA Std Book" w:cs="Calibri"/>
                <w:color w:val="005CA9"/>
                <w:sz w:val="18"/>
                <w:szCs w:val="18"/>
              </w:rPr>
              <w:t>7.910.356</w:t>
            </w:r>
          </w:p>
        </w:tc>
        <w:tc>
          <w:tcPr>
            <w:tcW w:w="631" w:type="pct"/>
            <w:shd w:val="clear" w:color="000000" w:fill="FFFFFF"/>
            <w:vAlign w:val="center"/>
          </w:tcPr>
          <w:p w14:paraId="35394345" w14:textId="7A66F792" w:rsidR="00696D88" w:rsidRPr="00DD4F9E" w:rsidRDefault="00715C8D">
            <w:pPr>
              <w:jc w:val="right"/>
              <w:rPr>
                <w:rFonts w:ascii="CAIXA Std Book" w:hAnsi="CAIXA Std Book" w:cs="Calibri"/>
                <w:color w:val="005CA9"/>
                <w:sz w:val="18"/>
                <w:szCs w:val="18"/>
              </w:rPr>
            </w:pPr>
            <w:r>
              <w:rPr>
                <w:rFonts w:ascii="CAIXA Std Book" w:hAnsi="CAIXA Std Book" w:cs="Calibri"/>
                <w:color w:val="005CA9"/>
                <w:sz w:val="18"/>
                <w:szCs w:val="18"/>
              </w:rPr>
              <w:t>3.893.960</w:t>
            </w:r>
          </w:p>
        </w:tc>
        <w:tc>
          <w:tcPr>
            <w:tcW w:w="631" w:type="pct"/>
            <w:vAlign w:val="center"/>
          </w:tcPr>
          <w:p w14:paraId="70D67ACA" w14:textId="0BC54F00" w:rsidR="00696D88" w:rsidRPr="00DD4F9E" w:rsidRDefault="00715C8D">
            <w:pPr>
              <w:jc w:val="right"/>
              <w:rPr>
                <w:rFonts w:ascii="CAIXA Std Book" w:hAnsi="CAIXA Std Book" w:cs="Calibri"/>
                <w:color w:val="005CA9"/>
                <w:sz w:val="18"/>
                <w:szCs w:val="18"/>
              </w:rPr>
            </w:pPr>
            <w:r>
              <w:rPr>
                <w:rFonts w:ascii="CAIXA Std Book" w:hAnsi="CAIXA Std Book" w:cs="Calibri"/>
                <w:color w:val="005CA9"/>
                <w:sz w:val="18"/>
                <w:szCs w:val="18"/>
              </w:rPr>
              <w:t>(80.365)</w:t>
            </w:r>
          </w:p>
        </w:tc>
        <w:tc>
          <w:tcPr>
            <w:tcW w:w="631" w:type="pct"/>
            <w:noWrap/>
            <w:vAlign w:val="center"/>
          </w:tcPr>
          <w:p w14:paraId="6F319795" w14:textId="2A24D829" w:rsidR="00696D88" w:rsidRPr="00DD4F9E" w:rsidRDefault="00715C8D">
            <w:pPr>
              <w:jc w:val="right"/>
              <w:rPr>
                <w:rFonts w:ascii="CAIXA Std Book" w:hAnsi="CAIXA Std Book" w:cs="Calibri"/>
                <w:color w:val="005CA9"/>
                <w:sz w:val="18"/>
                <w:szCs w:val="18"/>
              </w:rPr>
            </w:pPr>
            <w:r>
              <w:rPr>
                <w:rFonts w:ascii="CAIXA Std Book" w:hAnsi="CAIXA Std Book" w:cs="Calibri"/>
                <w:color w:val="005CA9"/>
                <w:sz w:val="18"/>
                <w:szCs w:val="18"/>
              </w:rPr>
              <w:t>(350.639)</w:t>
            </w:r>
          </w:p>
        </w:tc>
        <w:tc>
          <w:tcPr>
            <w:tcW w:w="631" w:type="pct"/>
            <w:noWrap/>
            <w:vAlign w:val="center"/>
          </w:tcPr>
          <w:p w14:paraId="5C91273D" w14:textId="31CD62A3" w:rsidR="00696D88" w:rsidRPr="00DD4F9E" w:rsidRDefault="00715C8D" w:rsidP="00ED02FD">
            <w:pPr>
              <w:ind w:right="68"/>
              <w:jc w:val="right"/>
              <w:rPr>
                <w:rFonts w:ascii="CAIXA Std Book" w:hAnsi="CAIXA Std Book" w:cs="Calibri"/>
                <w:color w:val="005CA9"/>
                <w:sz w:val="18"/>
                <w:szCs w:val="18"/>
              </w:rPr>
            </w:pPr>
            <w:r>
              <w:rPr>
                <w:rFonts w:ascii="CAIXA Std Book" w:hAnsi="CAIXA Std Book" w:cs="Calibri"/>
                <w:color w:val="005CA9"/>
                <w:sz w:val="18"/>
                <w:szCs w:val="18"/>
              </w:rPr>
              <w:t>11.373.312</w:t>
            </w:r>
          </w:p>
        </w:tc>
      </w:tr>
      <w:tr w:rsidR="00696D88" w14:paraId="68BABB61" w14:textId="77777777" w:rsidTr="00DC02EC">
        <w:trPr>
          <w:trHeight w:val="283"/>
        </w:trPr>
        <w:tc>
          <w:tcPr>
            <w:tcW w:w="1845" w:type="pct"/>
            <w:noWrap/>
            <w:vAlign w:val="center"/>
            <w:hideMark/>
          </w:tcPr>
          <w:p w14:paraId="277DAB4B" w14:textId="77777777" w:rsidR="00696D88" w:rsidRPr="00817BD3" w:rsidRDefault="00696D88">
            <w:pPr>
              <w:rPr>
                <w:rFonts w:ascii="CAIXA Std Book" w:hAnsi="CAIXA Std Book" w:cs="Calibri"/>
                <w:color w:val="005CA9"/>
                <w:sz w:val="18"/>
                <w:szCs w:val="18"/>
              </w:rPr>
            </w:pPr>
            <w:r w:rsidRPr="00817BD3">
              <w:rPr>
                <w:rFonts w:ascii="CAIXA Std Book" w:hAnsi="CAIXA Std Book" w:cs="Calibri"/>
                <w:color w:val="005CA9"/>
                <w:sz w:val="18"/>
                <w:szCs w:val="18"/>
              </w:rPr>
              <w:t>Financiamentos rurais</w:t>
            </w:r>
          </w:p>
        </w:tc>
        <w:tc>
          <w:tcPr>
            <w:tcW w:w="631" w:type="pct"/>
            <w:noWrap/>
            <w:vAlign w:val="center"/>
            <w:hideMark/>
          </w:tcPr>
          <w:p w14:paraId="1B212441" w14:textId="77777777" w:rsidR="00696D88" w:rsidRPr="00DD4F9E" w:rsidRDefault="00696D88">
            <w:pPr>
              <w:jc w:val="right"/>
              <w:rPr>
                <w:rFonts w:ascii="CAIXA Std Book" w:hAnsi="CAIXA Std Book" w:cs="Calibri"/>
                <w:color w:val="005CA9"/>
                <w:sz w:val="18"/>
                <w:szCs w:val="18"/>
              </w:rPr>
            </w:pPr>
            <w:r w:rsidRPr="00DD4F9E">
              <w:rPr>
                <w:rFonts w:ascii="CAIXA Std Book" w:hAnsi="CAIXA Std Book" w:cs="Calibri"/>
                <w:color w:val="005CA9"/>
                <w:sz w:val="18"/>
                <w:szCs w:val="18"/>
              </w:rPr>
              <w:t>57.442.005</w:t>
            </w:r>
          </w:p>
        </w:tc>
        <w:tc>
          <w:tcPr>
            <w:tcW w:w="631" w:type="pct"/>
            <w:shd w:val="clear" w:color="000000" w:fill="FFFFFF"/>
            <w:vAlign w:val="center"/>
          </w:tcPr>
          <w:p w14:paraId="61789A71" w14:textId="7674CC06" w:rsidR="00696D88" w:rsidRPr="00DD4F9E" w:rsidRDefault="00715C8D">
            <w:pPr>
              <w:jc w:val="right"/>
              <w:rPr>
                <w:rFonts w:ascii="CAIXA Std Book" w:hAnsi="CAIXA Std Book" w:cs="Calibri"/>
                <w:color w:val="005CA9"/>
                <w:sz w:val="18"/>
                <w:szCs w:val="18"/>
              </w:rPr>
            </w:pPr>
            <w:r>
              <w:rPr>
                <w:rFonts w:ascii="CAIXA Std Book" w:hAnsi="CAIXA Std Book" w:cs="Calibri"/>
                <w:color w:val="005CA9"/>
                <w:sz w:val="18"/>
                <w:szCs w:val="18"/>
              </w:rPr>
              <w:t>(584.814)</w:t>
            </w:r>
          </w:p>
        </w:tc>
        <w:tc>
          <w:tcPr>
            <w:tcW w:w="631" w:type="pct"/>
            <w:vAlign w:val="center"/>
          </w:tcPr>
          <w:p w14:paraId="6AC9D02B" w14:textId="6D37F6F8" w:rsidR="00696D88" w:rsidRPr="00DD4F9E" w:rsidRDefault="00715C8D">
            <w:pPr>
              <w:jc w:val="right"/>
              <w:rPr>
                <w:rFonts w:ascii="CAIXA Std Book" w:hAnsi="CAIXA Std Book" w:cs="Calibri"/>
                <w:color w:val="005CA9"/>
                <w:sz w:val="18"/>
                <w:szCs w:val="18"/>
              </w:rPr>
            </w:pPr>
            <w:r>
              <w:rPr>
                <w:rFonts w:ascii="CAIXA Std Book" w:hAnsi="CAIXA Std Book" w:cs="Calibri"/>
                <w:color w:val="005CA9"/>
                <w:sz w:val="18"/>
                <w:szCs w:val="18"/>
              </w:rPr>
              <w:t>(2.361.887)</w:t>
            </w:r>
          </w:p>
        </w:tc>
        <w:tc>
          <w:tcPr>
            <w:tcW w:w="631" w:type="pct"/>
            <w:noWrap/>
            <w:vAlign w:val="center"/>
          </w:tcPr>
          <w:p w14:paraId="5B43E9C5" w14:textId="05B4D00E" w:rsidR="00696D88" w:rsidRPr="00DD4F9E" w:rsidRDefault="00715C8D">
            <w:pPr>
              <w:jc w:val="right"/>
              <w:rPr>
                <w:rFonts w:ascii="CAIXA Std Book" w:hAnsi="CAIXA Std Book" w:cs="Calibri"/>
                <w:color w:val="005CA9"/>
                <w:sz w:val="18"/>
                <w:szCs w:val="18"/>
              </w:rPr>
            </w:pPr>
            <w:r>
              <w:rPr>
                <w:rFonts w:ascii="CAIXA Std Book" w:hAnsi="CAIXA Std Book" w:cs="Calibri"/>
                <w:color w:val="005CA9"/>
                <w:sz w:val="18"/>
                <w:szCs w:val="18"/>
              </w:rPr>
              <w:t>(6.224.495)</w:t>
            </w:r>
          </w:p>
        </w:tc>
        <w:tc>
          <w:tcPr>
            <w:tcW w:w="631" w:type="pct"/>
            <w:noWrap/>
            <w:vAlign w:val="center"/>
          </w:tcPr>
          <w:p w14:paraId="576C16FD" w14:textId="4BECDF7E" w:rsidR="00696D88" w:rsidRPr="00DD4F9E" w:rsidRDefault="00715C8D" w:rsidP="00ED02FD">
            <w:pPr>
              <w:ind w:right="68"/>
              <w:jc w:val="right"/>
              <w:rPr>
                <w:rFonts w:ascii="CAIXA Std Book" w:hAnsi="CAIXA Std Book" w:cs="Calibri"/>
                <w:color w:val="005CA9"/>
                <w:sz w:val="18"/>
                <w:szCs w:val="18"/>
              </w:rPr>
            </w:pPr>
            <w:r>
              <w:rPr>
                <w:rFonts w:ascii="CAIXA Std Book" w:hAnsi="CAIXA Std Book" w:cs="Calibri"/>
                <w:color w:val="005CA9"/>
                <w:sz w:val="18"/>
                <w:szCs w:val="18"/>
              </w:rPr>
              <w:t>48.270.809</w:t>
            </w:r>
          </w:p>
        </w:tc>
      </w:tr>
      <w:tr w:rsidR="00696D88" w14:paraId="46D7E7B1" w14:textId="77777777" w:rsidTr="00DC02EC">
        <w:trPr>
          <w:trHeight w:val="283"/>
        </w:trPr>
        <w:tc>
          <w:tcPr>
            <w:tcW w:w="1845" w:type="pct"/>
            <w:noWrap/>
            <w:vAlign w:val="center"/>
            <w:hideMark/>
          </w:tcPr>
          <w:p w14:paraId="5EB35F6A" w14:textId="77777777" w:rsidR="00696D88" w:rsidRPr="00817BD3" w:rsidRDefault="00696D88">
            <w:pPr>
              <w:rPr>
                <w:rFonts w:ascii="CAIXA Std Book" w:hAnsi="CAIXA Std Book" w:cs="Calibri"/>
                <w:color w:val="005CA9"/>
                <w:sz w:val="18"/>
                <w:szCs w:val="18"/>
              </w:rPr>
            </w:pPr>
            <w:r w:rsidRPr="00817BD3">
              <w:rPr>
                <w:rFonts w:ascii="CAIXA Std Book" w:hAnsi="CAIXA Std Book" w:cs="Calibri"/>
                <w:color w:val="005CA9"/>
                <w:sz w:val="18"/>
                <w:szCs w:val="18"/>
              </w:rPr>
              <w:t>Financiamentos imobiliários</w:t>
            </w:r>
          </w:p>
        </w:tc>
        <w:tc>
          <w:tcPr>
            <w:tcW w:w="631" w:type="pct"/>
            <w:noWrap/>
            <w:vAlign w:val="center"/>
            <w:hideMark/>
          </w:tcPr>
          <w:p w14:paraId="226043EB" w14:textId="77777777" w:rsidR="00696D88" w:rsidRPr="00DD4F9E" w:rsidRDefault="00696D88">
            <w:pPr>
              <w:jc w:val="right"/>
              <w:rPr>
                <w:rFonts w:ascii="CAIXA Std Book" w:hAnsi="CAIXA Std Book" w:cs="Calibri"/>
                <w:color w:val="005CA9"/>
                <w:sz w:val="18"/>
                <w:szCs w:val="18"/>
              </w:rPr>
            </w:pPr>
            <w:r w:rsidRPr="00DD4F9E">
              <w:rPr>
                <w:rFonts w:ascii="CAIXA Std Book" w:hAnsi="CAIXA Std Book" w:cs="Calibri"/>
                <w:color w:val="005CA9"/>
                <w:sz w:val="18"/>
                <w:szCs w:val="18"/>
              </w:rPr>
              <w:t>786.474.231</w:t>
            </w:r>
          </w:p>
        </w:tc>
        <w:tc>
          <w:tcPr>
            <w:tcW w:w="631" w:type="pct"/>
            <w:shd w:val="clear" w:color="000000" w:fill="FFFFFF"/>
            <w:vAlign w:val="center"/>
          </w:tcPr>
          <w:p w14:paraId="621A631D" w14:textId="5AF0C5F0" w:rsidR="00696D88" w:rsidRPr="00DD4F9E" w:rsidRDefault="00715C8D">
            <w:pPr>
              <w:jc w:val="right"/>
              <w:rPr>
                <w:rFonts w:ascii="CAIXA Std Book" w:hAnsi="CAIXA Std Book" w:cs="Calibri"/>
                <w:color w:val="005CA9"/>
                <w:sz w:val="18"/>
                <w:szCs w:val="18"/>
              </w:rPr>
            </w:pPr>
            <w:r w:rsidRPr="001277F0">
              <w:rPr>
                <w:rFonts w:ascii="CAIXA Std Book" w:hAnsi="CAIXA Std Book" w:cs="Calibri"/>
                <w:color w:val="005CA9"/>
                <w:sz w:val="18"/>
                <w:szCs w:val="18"/>
              </w:rPr>
              <w:t>107.941.089</w:t>
            </w:r>
          </w:p>
        </w:tc>
        <w:tc>
          <w:tcPr>
            <w:tcW w:w="631" w:type="pct"/>
            <w:vAlign w:val="center"/>
          </w:tcPr>
          <w:p w14:paraId="29593A16" w14:textId="5F3FCD38" w:rsidR="00696D88" w:rsidRPr="00DD4F9E" w:rsidRDefault="00715C8D">
            <w:pPr>
              <w:jc w:val="right"/>
              <w:rPr>
                <w:rFonts w:ascii="CAIXA Std Book" w:hAnsi="CAIXA Std Book" w:cs="Calibri"/>
                <w:color w:val="005CA9"/>
                <w:sz w:val="18"/>
                <w:szCs w:val="18"/>
              </w:rPr>
            </w:pPr>
            <w:r>
              <w:rPr>
                <w:rFonts w:ascii="CAIXA Std Book" w:hAnsi="CAIXA Std Book" w:cs="Calibri"/>
                <w:color w:val="005CA9"/>
                <w:sz w:val="18"/>
                <w:szCs w:val="18"/>
              </w:rPr>
              <w:t>(5.922.477)</w:t>
            </w:r>
          </w:p>
        </w:tc>
        <w:tc>
          <w:tcPr>
            <w:tcW w:w="631" w:type="pct"/>
            <w:noWrap/>
            <w:vAlign w:val="center"/>
          </w:tcPr>
          <w:p w14:paraId="5F161CB5" w14:textId="745E3EF8" w:rsidR="00696D88" w:rsidRPr="00DD4F9E" w:rsidRDefault="00715C8D">
            <w:pPr>
              <w:jc w:val="right"/>
              <w:rPr>
                <w:rFonts w:ascii="CAIXA Std Book" w:hAnsi="CAIXA Std Book" w:cs="Calibri"/>
                <w:color w:val="005CA9"/>
                <w:sz w:val="18"/>
                <w:szCs w:val="18"/>
              </w:rPr>
            </w:pPr>
            <w:r>
              <w:rPr>
                <w:rFonts w:ascii="CAIXA Std Book" w:hAnsi="CAIXA Std Book" w:cs="Calibri"/>
                <w:color w:val="005CA9"/>
                <w:sz w:val="18"/>
                <w:szCs w:val="18"/>
              </w:rPr>
              <w:t>(9.250.518)</w:t>
            </w:r>
          </w:p>
        </w:tc>
        <w:tc>
          <w:tcPr>
            <w:tcW w:w="631" w:type="pct"/>
            <w:noWrap/>
            <w:vAlign w:val="center"/>
          </w:tcPr>
          <w:p w14:paraId="6E5826DD" w14:textId="21581089" w:rsidR="00696D88" w:rsidRPr="00DD4F9E" w:rsidRDefault="00715C8D" w:rsidP="00ED02FD">
            <w:pPr>
              <w:ind w:right="68"/>
              <w:jc w:val="right"/>
              <w:rPr>
                <w:rFonts w:ascii="CAIXA Std Book" w:hAnsi="CAIXA Std Book" w:cs="Calibri"/>
                <w:color w:val="005CA9"/>
                <w:sz w:val="18"/>
                <w:szCs w:val="18"/>
              </w:rPr>
            </w:pPr>
            <w:r>
              <w:rPr>
                <w:rFonts w:ascii="CAIXA Std Book" w:hAnsi="CAIXA Std Book" w:cs="Calibri"/>
                <w:color w:val="005CA9"/>
                <w:sz w:val="18"/>
                <w:szCs w:val="18"/>
              </w:rPr>
              <w:t>879.242.325</w:t>
            </w:r>
          </w:p>
        </w:tc>
      </w:tr>
      <w:tr w:rsidR="00696D88" w14:paraId="464AABE3" w14:textId="77777777" w:rsidTr="00DC02EC">
        <w:trPr>
          <w:trHeight w:val="283"/>
        </w:trPr>
        <w:tc>
          <w:tcPr>
            <w:tcW w:w="1845" w:type="pct"/>
            <w:noWrap/>
            <w:vAlign w:val="center"/>
            <w:hideMark/>
          </w:tcPr>
          <w:p w14:paraId="63E0516F" w14:textId="77777777" w:rsidR="00696D88" w:rsidRPr="00817BD3" w:rsidRDefault="00696D88">
            <w:pPr>
              <w:rPr>
                <w:rFonts w:ascii="CAIXA Std Book" w:hAnsi="CAIXA Std Book" w:cs="Calibri"/>
                <w:color w:val="005CA9"/>
                <w:sz w:val="18"/>
                <w:szCs w:val="18"/>
              </w:rPr>
            </w:pPr>
            <w:r w:rsidRPr="00817BD3">
              <w:rPr>
                <w:rFonts w:ascii="CAIXA Std Book" w:hAnsi="CAIXA Std Book" w:cs="Calibri"/>
                <w:color w:val="005CA9"/>
                <w:sz w:val="18"/>
                <w:szCs w:val="18"/>
              </w:rPr>
              <w:t>Financiamentos de infraestrutura</w:t>
            </w:r>
          </w:p>
        </w:tc>
        <w:tc>
          <w:tcPr>
            <w:tcW w:w="631" w:type="pct"/>
            <w:noWrap/>
            <w:vAlign w:val="center"/>
            <w:hideMark/>
          </w:tcPr>
          <w:p w14:paraId="2FA0EAE3" w14:textId="77777777" w:rsidR="00696D88" w:rsidRPr="00DD4F9E" w:rsidRDefault="00696D88">
            <w:pPr>
              <w:jc w:val="right"/>
              <w:rPr>
                <w:rFonts w:ascii="CAIXA Std Book" w:hAnsi="CAIXA Std Book" w:cs="Calibri"/>
                <w:color w:val="005CA9"/>
                <w:sz w:val="18"/>
                <w:szCs w:val="18"/>
              </w:rPr>
            </w:pPr>
            <w:r w:rsidRPr="00DD4F9E">
              <w:rPr>
                <w:rFonts w:ascii="CAIXA Std Book" w:hAnsi="CAIXA Std Book" w:cs="Calibri"/>
                <w:color w:val="005CA9"/>
                <w:sz w:val="18"/>
                <w:szCs w:val="18"/>
              </w:rPr>
              <w:t>100.829.120</w:t>
            </w:r>
          </w:p>
        </w:tc>
        <w:tc>
          <w:tcPr>
            <w:tcW w:w="631" w:type="pct"/>
            <w:shd w:val="clear" w:color="000000" w:fill="FFFFFF"/>
            <w:vAlign w:val="center"/>
          </w:tcPr>
          <w:p w14:paraId="4B5FDEF4" w14:textId="78583E80" w:rsidR="00696D88" w:rsidRPr="00DD4F9E" w:rsidRDefault="00715C8D">
            <w:pPr>
              <w:jc w:val="right"/>
              <w:rPr>
                <w:rFonts w:ascii="CAIXA Std Book" w:hAnsi="CAIXA Std Book" w:cs="Calibri"/>
                <w:color w:val="005CA9"/>
                <w:sz w:val="18"/>
                <w:szCs w:val="18"/>
              </w:rPr>
            </w:pPr>
            <w:r>
              <w:rPr>
                <w:rFonts w:ascii="CAIXA Std Book" w:hAnsi="CAIXA Std Book" w:cs="Calibri"/>
                <w:color w:val="005CA9"/>
                <w:sz w:val="18"/>
                <w:szCs w:val="18"/>
              </w:rPr>
              <w:t>3.241.054</w:t>
            </w:r>
          </w:p>
        </w:tc>
        <w:tc>
          <w:tcPr>
            <w:tcW w:w="631" w:type="pct"/>
            <w:vAlign w:val="center"/>
          </w:tcPr>
          <w:p w14:paraId="37F92456" w14:textId="215C537B" w:rsidR="00696D88" w:rsidRPr="00DD4F9E" w:rsidRDefault="00715C8D">
            <w:pPr>
              <w:jc w:val="right"/>
              <w:rPr>
                <w:rFonts w:ascii="CAIXA Std Book" w:hAnsi="CAIXA Std Book" w:cs="Calibri"/>
                <w:color w:val="005CA9"/>
                <w:sz w:val="18"/>
                <w:szCs w:val="18"/>
              </w:rPr>
            </w:pPr>
            <w:r>
              <w:rPr>
                <w:rFonts w:ascii="CAIXA Std Book" w:hAnsi="CAIXA Std Book" w:cs="Calibri"/>
                <w:color w:val="005CA9"/>
                <w:sz w:val="18"/>
                <w:szCs w:val="18"/>
              </w:rPr>
              <w:t>36.038</w:t>
            </w:r>
          </w:p>
        </w:tc>
        <w:tc>
          <w:tcPr>
            <w:tcW w:w="631" w:type="pct"/>
            <w:noWrap/>
            <w:vAlign w:val="center"/>
          </w:tcPr>
          <w:p w14:paraId="6BF3CE15" w14:textId="615CC013" w:rsidR="00696D88" w:rsidRPr="00DD4F9E" w:rsidRDefault="00715C8D" w:rsidP="00715C8D">
            <w:pPr>
              <w:jc w:val="right"/>
              <w:rPr>
                <w:rFonts w:ascii="CAIXA Std Book" w:hAnsi="CAIXA Std Book" w:cs="Calibri"/>
                <w:color w:val="005CA9"/>
                <w:sz w:val="18"/>
                <w:szCs w:val="18"/>
              </w:rPr>
            </w:pPr>
            <w:r>
              <w:rPr>
                <w:rFonts w:ascii="CAIXA Std Book" w:hAnsi="CAIXA Std Book" w:cs="Calibri"/>
                <w:color w:val="005CA9"/>
                <w:sz w:val="18"/>
                <w:szCs w:val="18"/>
              </w:rPr>
              <w:t>(102.162)</w:t>
            </w:r>
          </w:p>
        </w:tc>
        <w:tc>
          <w:tcPr>
            <w:tcW w:w="631" w:type="pct"/>
            <w:noWrap/>
            <w:vAlign w:val="center"/>
          </w:tcPr>
          <w:p w14:paraId="0335E97A" w14:textId="732E8E69" w:rsidR="00696D88" w:rsidRPr="00DD4F9E" w:rsidRDefault="00715C8D" w:rsidP="00ED02FD">
            <w:pPr>
              <w:ind w:right="68"/>
              <w:jc w:val="right"/>
              <w:rPr>
                <w:rFonts w:ascii="CAIXA Std Book" w:hAnsi="CAIXA Std Book" w:cs="Calibri"/>
                <w:color w:val="005CA9"/>
                <w:sz w:val="18"/>
                <w:szCs w:val="18"/>
              </w:rPr>
            </w:pPr>
            <w:r>
              <w:rPr>
                <w:rFonts w:ascii="CAIXA Std Book" w:hAnsi="CAIXA Std Book" w:cs="Calibri"/>
                <w:color w:val="005CA9"/>
                <w:sz w:val="18"/>
                <w:szCs w:val="18"/>
              </w:rPr>
              <w:t>104.004.050</w:t>
            </w:r>
          </w:p>
        </w:tc>
      </w:tr>
      <w:tr w:rsidR="00696D88" w14:paraId="6F608709" w14:textId="77777777" w:rsidTr="00DC02EC">
        <w:trPr>
          <w:trHeight w:val="283"/>
        </w:trPr>
        <w:tc>
          <w:tcPr>
            <w:tcW w:w="1845" w:type="pct"/>
            <w:noWrap/>
            <w:vAlign w:val="center"/>
            <w:hideMark/>
          </w:tcPr>
          <w:p w14:paraId="39B0F0A5" w14:textId="77777777" w:rsidR="00696D88" w:rsidRPr="00817BD3" w:rsidRDefault="00696D88">
            <w:pPr>
              <w:rPr>
                <w:rFonts w:ascii="CAIXA Std Book" w:hAnsi="CAIXA Std Book" w:cs="Calibri"/>
                <w:color w:val="005CA9"/>
                <w:sz w:val="18"/>
                <w:szCs w:val="18"/>
              </w:rPr>
            </w:pPr>
            <w:r w:rsidRPr="00817BD3">
              <w:rPr>
                <w:rFonts w:ascii="CAIXA Std Book" w:hAnsi="CAIXA Std Book" w:cs="Calibri"/>
                <w:color w:val="005CA9"/>
                <w:sz w:val="18"/>
                <w:szCs w:val="18"/>
              </w:rPr>
              <w:t>Cessão de crédito</w:t>
            </w:r>
          </w:p>
        </w:tc>
        <w:tc>
          <w:tcPr>
            <w:tcW w:w="631" w:type="pct"/>
            <w:noWrap/>
            <w:vAlign w:val="center"/>
            <w:hideMark/>
          </w:tcPr>
          <w:p w14:paraId="540CB7DE" w14:textId="77777777" w:rsidR="00696D88" w:rsidRPr="00DD4F9E" w:rsidRDefault="00696D88">
            <w:pPr>
              <w:jc w:val="right"/>
              <w:rPr>
                <w:rFonts w:ascii="CAIXA Std Book" w:hAnsi="CAIXA Std Book" w:cs="Calibri"/>
                <w:color w:val="005CA9"/>
                <w:sz w:val="18"/>
                <w:szCs w:val="18"/>
              </w:rPr>
            </w:pPr>
            <w:r w:rsidRPr="00DD4F9E">
              <w:rPr>
                <w:rFonts w:ascii="CAIXA Std Book" w:hAnsi="CAIXA Std Book" w:cs="Calibri"/>
                <w:color w:val="005CA9"/>
                <w:sz w:val="18"/>
                <w:szCs w:val="18"/>
              </w:rPr>
              <w:t>3.293.659</w:t>
            </w:r>
          </w:p>
        </w:tc>
        <w:tc>
          <w:tcPr>
            <w:tcW w:w="631" w:type="pct"/>
            <w:shd w:val="clear" w:color="000000" w:fill="FFFFFF"/>
            <w:vAlign w:val="center"/>
          </w:tcPr>
          <w:p w14:paraId="06F695E5" w14:textId="6FDE7D19" w:rsidR="00696D88" w:rsidRPr="00DD4F9E" w:rsidRDefault="00715C8D">
            <w:pPr>
              <w:jc w:val="right"/>
              <w:rPr>
                <w:rFonts w:ascii="CAIXA Std Book" w:hAnsi="CAIXA Std Book" w:cs="Calibri"/>
                <w:color w:val="005CA9"/>
                <w:sz w:val="18"/>
                <w:szCs w:val="18"/>
              </w:rPr>
            </w:pPr>
            <w:r>
              <w:rPr>
                <w:rFonts w:ascii="CAIXA Std Book" w:hAnsi="CAIXA Std Book" w:cs="Calibri"/>
                <w:color w:val="005CA9"/>
                <w:sz w:val="18"/>
                <w:szCs w:val="18"/>
              </w:rPr>
              <w:t>(512.086)</w:t>
            </w:r>
          </w:p>
        </w:tc>
        <w:tc>
          <w:tcPr>
            <w:tcW w:w="631" w:type="pct"/>
            <w:vAlign w:val="center"/>
          </w:tcPr>
          <w:p w14:paraId="3CE1284A" w14:textId="457AE18C" w:rsidR="00696D88" w:rsidRPr="00DD4F9E" w:rsidRDefault="00715C8D">
            <w:pPr>
              <w:jc w:val="right"/>
              <w:rPr>
                <w:rFonts w:ascii="CAIXA Std Book" w:hAnsi="CAIXA Std Book" w:cs="Calibri"/>
                <w:color w:val="005CA9"/>
                <w:sz w:val="18"/>
                <w:szCs w:val="18"/>
              </w:rPr>
            </w:pPr>
            <w:r>
              <w:rPr>
                <w:rFonts w:ascii="CAIXA Std Book" w:hAnsi="CAIXA Std Book" w:cs="Calibri"/>
                <w:color w:val="005CA9"/>
                <w:sz w:val="18"/>
                <w:szCs w:val="18"/>
              </w:rPr>
              <w:t>(12.809)</w:t>
            </w:r>
          </w:p>
        </w:tc>
        <w:tc>
          <w:tcPr>
            <w:tcW w:w="631" w:type="pct"/>
            <w:noWrap/>
            <w:vAlign w:val="center"/>
          </w:tcPr>
          <w:p w14:paraId="24D37E45" w14:textId="1DAA126C" w:rsidR="00696D88" w:rsidRPr="00DD4F9E" w:rsidRDefault="00715C8D">
            <w:pPr>
              <w:jc w:val="right"/>
              <w:rPr>
                <w:rFonts w:ascii="CAIXA Std Book" w:hAnsi="CAIXA Std Book" w:cs="Calibri"/>
                <w:color w:val="005CA9"/>
                <w:sz w:val="18"/>
                <w:szCs w:val="18"/>
              </w:rPr>
            </w:pPr>
            <w:r>
              <w:rPr>
                <w:rFonts w:ascii="CAIXA Std Book" w:hAnsi="CAIXA Std Book" w:cs="Calibri"/>
                <w:color w:val="005CA9"/>
                <w:sz w:val="18"/>
                <w:szCs w:val="18"/>
              </w:rPr>
              <w:t>(29.106)</w:t>
            </w:r>
          </w:p>
        </w:tc>
        <w:tc>
          <w:tcPr>
            <w:tcW w:w="631" w:type="pct"/>
            <w:noWrap/>
            <w:vAlign w:val="center"/>
          </w:tcPr>
          <w:p w14:paraId="609FD94F" w14:textId="06F8A8CD" w:rsidR="00696D88" w:rsidRPr="00DD4F9E" w:rsidRDefault="00715C8D" w:rsidP="00ED02FD">
            <w:pPr>
              <w:ind w:right="68"/>
              <w:jc w:val="right"/>
              <w:rPr>
                <w:rFonts w:ascii="CAIXA Std Book" w:hAnsi="CAIXA Std Book" w:cs="Calibri"/>
                <w:color w:val="005CA9"/>
                <w:sz w:val="18"/>
                <w:szCs w:val="18"/>
              </w:rPr>
            </w:pPr>
            <w:r>
              <w:rPr>
                <w:rFonts w:ascii="CAIXA Std Book" w:hAnsi="CAIXA Std Book" w:cs="Calibri"/>
                <w:color w:val="005CA9"/>
                <w:sz w:val="18"/>
                <w:szCs w:val="18"/>
              </w:rPr>
              <w:t>2.739.658</w:t>
            </w:r>
          </w:p>
        </w:tc>
      </w:tr>
      <w:tr w:rsidR="00696D88" w14:paraId="19AF6069" w14:textId="77777777" w:rsidTr="00DC02EC">
        <w:trPr>
          <w:trHeight w:val="283"/>
        </w:trPr>
        <w:tc>
          <w:tcPr>
            <w:tcW w:w="1845" w:type="pct"/>
            <w:noWrap/>
            <w:vAlign w:val="center"/>
            <w:hideMark/>
          </w:tcPr>
          <w:p w14:paraId="65294E37" w14:textId="77777777" w:rsidR="00696D88" w:rsidRPr="00817BD3" w:rsidRDefault="00696D88">
            <w:pPr>
              <w:rPr>
                <w:rFonts w:ascii="CAIXA Std Book" w:hAnsi="CAIXA Std Book" w:cs="Calibri"/>
                <w:color w:val="005CA9"/>
                <w:sz w:val="18"/>
                <w:szCs w:val="18"/>
              </w:rPr>
            </w:pPr>
            <w:r w:rsidRPr="00817BD3">
              <w:rPr>
                <w:rFonts w:ascii="CAIXA Std Book" w:hAnsi="CAIXA Std Book" w:cs="Calibri"/>
                <w:color w:val="005CA9"/>
                <w:sz w:val="18"/>
                <w:szCs w:val="18"/>
              </w:rPr>
              <w:t xml:space="preserve">Outros </w:t>
            </w:r>
            <w:r>
              <w:rPr>
                <w:rFonts w:ascii="CAIXA Std Book" w:hAnsi="CAIXA Std Book" w:cs="Calibri"/>
                <w:color w:val="005CA9"/>
                <w:sz w:val="18"/>
                <w:szCs w:val="18"/>
              </w:rPr>
              <w:t>ativos com características de concessão de crédito (2)</w:t>
            </w:r>
          </w:p>
        </w:tc>
        <w:tc>
          <w:tcPr>
            <w:tcW w:w="631" w:type="pct"/>
            <w:noWrap/>
            <w:vAlign w:val="center"/>
            <w:hideMark/>
          </w:tcPr>
          <w:p w14:paraId="7CAA8E2F" w14:textId="77777777" w:rsidR="00696D88" w:rsidRPr="00DD4F9E" w:rsidRDefault="00696D88">
            <w:pPr>
              <w:jc w:val="right"/>
              <w:rPr>
                <w:rFonts w:ascii="CAIXA Std Book" w:hAnsi="CAIXA Std Book" w:cs="Calibri"/>
                <w:color w:val="005CA9"/>
                <w:sz w:val="18"/>
                <w:szCs w:val="18"/>
              </w:rPr>
            </w:pPr>
            <w:r w:rsidRPr="00DD4F9E">
              <w:rPr>
                <w:rFonts w:ascii="CAIXA Std Book" w:hAnsi="CAIXA Std Book" w:cs="Calibri"/>
                <w:color w:val="005CA9"/>
                <w:sz w:val="18"/>
                <w:szCs w:val="18"/>
              </w:rPr>
              <w:t>16.078.584</w:t>
            </w:r>
          </w:p>
        </w:tc>
        <w:tc>
          <w:tcPr>
            <w:tcW w:w="631" w:type="pct"/>
            <w:shd w:val="clear" w:color="000000" w:fill="FFFFFF"/>
            <w:vAlign w:val="center"/>
          </w:tcPr>
          <w:p w14:paraId="361DAB18" w14:textId="737B788B" w:rsidR="00696D88" w:rsidRPr="00DD4F9E" w:rsidRDefault="00715C8D">
            <w:pPr>
              <w:jc w:val="right"/>
              <w:rPr>
                <w:rFonts w:ascii="CAIXA Std Book" w:hAnsi="CAIXA Std Book" w:cs="Calibri"/>
                <w:color w:val="005CA9"/>
                <w:sz w:val="18"/>
                <w:szCs w:val="18"/>
              </w:rPr>
            </w:pPr>
            <w:r w:rsidRPr="001277F0">
              <w:rPr>
                <w:rFonts w:ascii="CAIXA Std Book" w:hAnsi="CAIXA Std Book" w:cs="Calibri"/>
                <w:color w:val="005CA9"/>
                <w:sz w:val="18"/>
                <w:szCs w:val="18"/>
              </w:rPr>
              <w:t>2.581.174</w:t>
            </w:r>
          </w:p>
        </w:tc>
        <w:tc>
          <w:tcPr>
            <w:tcW w:w="631" w:type="pct"/>
            <w:vAlign w:val="center"/>
          </w:tcPr>
          <w:p w14:paraId="2B3981AD" w14:textId="53A18CBE" w:rsidR="00696D88" w:rsidRPr="00DD4F9E" w:rsidRDefault="00715C8D">
            <w:pPr>
              <w:jc w:val="right"/>
              <w:rPr>
                <w:rFonts w:ascii="CAIXA Std Book" w:hAnsi="CAIXA Std Book" w:cs="Calibri"/>
                <w:color w:val="005CA9"/>
                <w:sz w:val="18"/>
                <w:szCs w:val="18"/>
              </w:rPr>
            </w:pPr>
            <w:r w:rsidRPr="001277F0">
              <w:rPr>
                <w:rFonts w:ascii="CAIXA Std Book" w:hAnsi="CAIXA Std Book" w:cs="Calibri"/>
                <w:color w:val="005CA9"/>
                <w:sz w:val="18"/>
                <w:szCs w:val="18"/>
              </w:rPr>
              <w:t>(357.492)</w:t>
            </w:r>
          </w:p>
        </w:tc>
        <w:tc>
          <w:tcPr>
            <w:tcW w:w="631" w:type="pct"/>
            <w:noWrap/>
            <w:vAlign w:val="center"/>
          </w:tcPr>
          <w:p w14:paraId="58308809" w14:textId="018C180D" w:rsidR="00696D88" w:rsidRPr="00DD4F9E" w:rsidRDefault="00715C8D">
            <w:pPr>
              <w:jc w:val="right"/>
              <w:rPr>
                <w:rFonts w:ascii="CAIXA Std Book" w:hAnsi="CAIXA Std Book" w:cs="Calibri"/>
                <w:color w:val="005CA9"/>
                <w:sz w:val="18"/>
                <w:szCs w:val="18"/>
              </w:rPr>
            </w:pPr>
            <w:r w:rsidRPr="001277F0">
              <w:rPr>
                <w:rFonts w:ascii="CAIXA Std Book" w:hAnsi="CAIXA Std Book" w:cs="Calibri"/>
                <w:color w:val="005CA9"/>
                <w:sz w:val="18"/>
                <w:szCs w:val="18"/>
              </w:rPr>
              <w:t>(317.052)</w:t>
            </w:r>
          </w:p>
        </w:tc>
        <w:tc>
          <w:tcPr>
            <w:tcW w:w="631" w:type="pct"/>
            <w:noWrap/>
            <w:vAlign w:val="center"/>
          </w:tcPr>
          <w:p w14:paraId="58DFB854" w14:textId="27ECE5C6" w:rsidR="00696D88" w:rsidRPr="00DD4F9E" w:rsidRDefault="00715C8D" w:rsidP="00ED02FD">
            <w:pPr>
              <w:ind w:right="68"/>
              <w:jc w:val="right"/>
              <w:rPr>
                <w:rFonts w:ascii="CAIXA Std Book" w:hAnsi="CAIXA Std Book" w:cs="Calibri"/>
                <w:color w:val="005CA9"/>
                <w:sz w:val="18"/>
                <w:szCs w:val="18"/>
              </w:rPr>
            </w:pPr>
            <w:r>
              <w:rPr>
                <w:rFonts w:ascii="CAIXA Std Book" w:hAnsi="CAIXA Std Book" w:cs="Calibri"/>
                <w:color w:val="005CA9"/>
                <w:sz w:val="18"/>
                <w:szCs w:val="18"/>
              </w:rPr>
              <w:t>17.985.214</w:t>
            </w:r>
          </w:p>
        </w:tc>
      </w:tr>
      <w:tr w:rsidR="00696D88" w14:paraId="7C5B0520" w14:textId="77777777" w:rsidTr="00DC02EC">
        <w:trPr>
          <w:trHeight w:val="283"/>
        </w:trPr>
        <w:tc>
          <w:tcPr>
            <w:tcW w:w="1845" w:type="pct"/>
            <w:shd w:val="clear" w:color="auto" w:fill="005CA9"/>
            <w:noWrap/>
            <w:vAlign w:val="center"/>
            <w:hideMark/>
          </w:tcPr>
          <w:p w14:paraId="78125337" w14:textId="77777777" w:rsidR="00696D88" w:rsidRPr="00817BD3" w:rsidRDefault="00696D88">
            <w:pPr>
              <w:rPr>
                <w:rFonts w:ascii="CAIXA Std Book" w:hAnsi="CAIXA Std Book" w:cs="Calibri"/>
                <w:b/>
                <w:color w:val="FFFFFF"/>
                <w:sz w:val="18"/>
                <w:szCs w:val="18"/>
              </w:rPr>
            </w:pPr>
            <w:r w:rsidRPr="00817BD3">
              <w:rPr>
                <w:rFonts w:ascii="CAIXA Std Book" w:hAnsi="CAIXA Std Book" w:cs="Calibri"/>
                <w:b/>
                <w:color w:val="FFFFFF"/>
                <w:sz w:val="18"/>
                <w:szCs w:val="18"/>
              </w:rPr>
              <w:t>Total</w:t>
            </w:r>
            <w:r w:rsidRPr="00817BD3">
              <w:rPr>
                <w:rFonts w:ascii="CAIXA Std Book" w:hAnsi="CAIXA Std Book" w:cs="Calibri"/>
                <w:color w:val="005CA9"/>
                <w:sz w:val="18"/>
                <w:szCs w:val="18"/>
              </w:rPr>
              <w:t> </w:t>
            </w:r>
          </w:p>
        </w:tc>
        <w:tc>
          <w:tcPr>
            <w:tcW w:w="631" w:type="pct"/>
            <w:shd w:val="clear" w:color="auto" w:fill="005CA9"/>
            <w:noWrap/>
            <w:vAlign w:val="center"/>
            <w:hideMark/>
          </w:tcPr>
          <w:p w14:paraId="720F5239" w14:textId="5E0A67AC" w:rsidR="00696D88" w:rsidRPr="00DD4F9E" w:rsidRDefault="00715C8D">
            <w:pPr>
              <w:jc w:val="right"/>
              <w:rPr>
                <w:rFonts w:ascii="CAIXA Std Book" w:hAnsi="CAIXA Std Book" w:cs="Calibri"/>
                <w:b/>
                <w:color w:val="FFFFFF"/>
                <w:sz w:val="18"/>
                <w:szCs w:val="18"/>
              </w:rPr>
            </w:pPr>
            <w:r w:rsidRPr="000D76B8">
              <w:rPr>
                <w:rFonts w:ascii="CAIXA Std Book" w:hAnsi="CAIXA Std Book" w:cs="Calibri"/>
                <w:b/>
                <w:bCs/>
                <w:color w:val="FFFFFF"/>
                <w:sz w:val="18"/>
                <w:szCs w:val="18"/>
              </w:rPr>
              <w:t>1.142.071.785</w:t>
            </w:r>
          </w:p>
        </w:tc>
        <w:tc>
          <w:tcPr>
            <w:tcW w:w="631" w:type="pct"/>
            <w:shd w:val="clear" w:color="auto" w:fill="005CA9"/>
            <w:noWrap/>
            <w:vAlign w:val="center"/>
          </w:tcPr>
          <w:p w14:paraId="50D24E9D" w14:textId="162A865F" w:rsidR="00696D88" w:rsidRPr="00897776" w:rsidRDefault="00715C8D">
            <w:pPr>
              <w:jc w:val="right"/>
              <w:rPr>
                <w:rFonts w:ascii="CAIXA Std Book" w:hAnsi="CAIXA Std Book" w:cs="Calibri"/>
                <w:b/>
                <w:bCs/>
                <w:color w:val="005CA9"/>
                <w:sz w:val="18"/>
                <w:szCs w:val="18"/>
              </w:rPr>
            </w:pPr>
            <w:r>
              <w:rPr>
                <w:rFonts w:ascii="CAIXA Std Book" w:hAnsi="CAIXA Std Book" w:cs="Calibri"/>
                <w:b/>
                <w:bCs/>
                <w:color w:val="FFFFFF"/>
                <w:sz w:val="18"/>
                <w:szCs w:val="18"/>
              </w:rPr>
              <w:t>141.400.311</w:t>
            </w:r>
          </w:p>
        </w:tc>
        <w:tc>
          <w:tcPr>
            <w:tcW w:w="631" w:type="pct"/>
            <w:shd w:val="clear" w:color="auto" w:fill="005CA9"/>
            <w:noWrap/>
            <w:vAlign w:val="center"/>
          </w:tcPr>
          <w:p w14:paraId="2F1ECB42" w14:textId="3C44E7DF" w:rsidR="00696D88" w:rsidRPr="00DD4F9E" w:rsidRDefault="00715C8D">
            <w:pPr>
              <w:jc w:val="right"/>
              <w:rPr>
                <w:rFonts w:ascii="CAIXA Std Book" w:hAnsi="CAIXA Std Book" w:cs="Calibri"/>
                <w:b/>
                <w:color w:val="FFFFFF"/>
                <w:sz w:val="18"/>
                <w:szCs w:val="18"/>
              </w:rPr>
            </w:pPr>
            <w:r>
              <w:rPr>
                <w:rFonts w:ascii="CAIXA Std Book" w:hAnsi="CAIXA Std Book" w:cs="Calibri"/>
                <w:b/>
                <w:bCs/>
                <w:color w:val="FFFFFF"/>
                <w:sz w:val="18"/>
                <w:szCs w:val="18"/>
              </w:rPr>
              <w:t>560.113</w:t>
            </w:r>
          </w:p>
        </w:tc>
        <w:tc>
          <w:tcPr>
            <w:tcW w:w="631" w:type="pct"/>
            <w:shd w:val="clear" w:color="auto" w:fill="005CA9"/>
            <w:noWrap/>
            <w:vAlign w:val="center"/>
          </w:tcPr>
          <w:p w14:paraId="4B685DDF" w14:textId="6387868E" w:rsidR="00696D88" w:rsidRPr="00DD4F9E" w:rsidRDefault="00715C8D">
            <w:pPr>
              <w:jc w:val="right"/>
              <w:rPr>
                <w:rFonts w:ascii="CAIXA Std Book" w:hAnsi="CAIXA Std Book" w:cs="Calibri"/>
                <w:b/>
                <w:color w:val="FFFFFF"/>
                <w:sz w:val="18"/>
                <w:szCs w:val="18"/>
              </w:rPr>
            </w:pPr>
            <w:r>
              <w:rPr>
                <w:rFonts w:ascii="CAIXA Std Book" w:hAnsi="CAIXA Std Book" w:cs="Calibri"/>
                <w:b/>
                <w:bCs/>
                <w:color w:val="FFFFFF"/>
                <w:sz w:val="18"/>
                <w:szCs w:val="18"/>
              </w:rPr>
              <w:t>(23.032.123)</w:t>
            </w:r>
          </w:p>
        </w:tc>
        <w:tc>
          <w:tcPr>
            <w:tcW w:w="631" w:type="pct"/>
            <w:shd w:val="clear" w:color="auto" w:fill="005CA9"/>
            <w:noWrap/>
            <w:vAlign w:val="center"/>
          </w:tcPr>
          <w:p w14:paraId="7DE60501" w14:textId="36350975" w:rsidR="00696D88" w:rsidRPr="00C64C35" w:rsidRDefault="00715C8D" w:rsidP="00ED02FD">
            <w:pPr>
              <w:ind w:right="68"/>
              <w:jc w:val="right"/>
              <w:rPr>
                <w:rFonts w:ascii="CAIXA Std Book" w:hAnsi="CAIXA Std Book" w:cs="Calibri"/>
                <w:b/>
                <w:bCs/>
                <w:color w:val="FFFFFF"/>
                <w:sz w:val="18"/>
                <w:szCs w:val="18"/>
              </w:rPr>
            </w:pPr>
            <w:r>
              <w:rPr>
                <w:rFonts w:ascii="CAIXA Std Book" w:hAnsi="CAIXA Std Book" w:cs="Calibri"/>
                <w:b/>
                <w:bCs/>
                <w:color w:val="FFFFFF"/>
                <w:sz w:val="18"/>
                <w:szCs w:val="18"/>
              </w:rPr>
              <w:t>1.261.000.086</w:t>
            </w:r>
          </w:p>
        </w:tc>
      </w:tr>
    </w:tbl>
    <w:p w14:paraId="3DCD6632" w14:textId="0161C043" w:rsidR="001C5033" w:rsidRPr="00974E62" w:rsidRDefault="00974E62" w:rsidP="00974E62">
      <w:pPr>
        <w:rPr>
          <w:rFonts w:ascii="CAIXA Std Book" w:eastAsia="Times New Roman" w:hAnsi="CAIXA Std Book" w:cs="Arial"/>
          <w:color w:val="005CA9"/>
          <w:sz w:val="16"/>
          <w:szCs w:val="16"/>
        </w:rPr>
      </w:pPr>
      <w:r>
        <w:rPr>
          <w:rFonts w:ascii="CAIXA Std Book" w:eastAsia="Times New Roman" w:hAnsi="CAIXA Std Book" w:cs="Arial"/>
          <w:color w:val="005CA9"/>
          <w:sz w:val="16"/>
          <w:szCs w:val="16"/>
        </w:rPr>
        <w:t>(1)</w:t>
      </w:r>
      <w:r w:rsidRPr="00974E62">
        <w:rPr>
          <w:rFonts w:ascii="CAIXA Std Book" w:eastAsia="Times New Roman" w:hAnsi="CAIXA Std Book" w:cs="Arial"/>
          <w:color w:val="005CA9"/>
          <w:sz w:val="16"/>
          <w:szCs w:val="16"/>
        </w:rPr>
        <w:t xml:space="preserve"> Inclui</w:t>
      </w:r>
      <w:r w:rsidR="003D692A" w:rsidRPr="00974E62">
        <w:rPr>
          <w:rFonts w:ascii="CAIXA Std Book" w:eastAsia="Times New Roman" w:hAnsi="CAIXA Std Book" w:cs="Arial"/>
          <w:color w:val="005CA9"/>
          <w:sz w:val="16"/>
          <w:szCs w:val="16"/>
        </w:rPr>
        <w:t xml:space="preserve"> o montante de R$ 44.570.102 referente aos contratos com mais de 30 dias de atraso.</w:t>
      </w:r>
    </w:p>
    <w:p w14:paraId="13043ED9" w14:textId="77777777" w:rsidR="001C5033" w:rsidRPr="001C5033" w:rsidRDefault="001C5033" w:rsidP="001C5033">
      <w:pPr>
        <w:rPr>
          <w:rFonts w:ascii="CAIXA Std Book" w:eastAsia="Times New Roman" w:hAnsi="CAIXA Std Book" w:cs="Arial"/>
          <w:color w:val="005CA9"/>
          <w:sz w:val="16"/>
          <w:szCs w:val="16"/>
        </w:rPr>
      </w:pPr>
      <w:r w:rsidRPr="001C5033">
        <w:rPr>
          <w:rFonts w:ascii="CAIXA Std Book" w:eastAsia="Times New Roman" w:hAnsi="CAIXA Std Book" w:cs="Arial"/>
          <w:color w:val="005CA9"/>
          <w:sz w:val="16"/>
          <w:szCs w:val="16"/>
        </w:rPr>
        <w:t>(2) Movimentação considera a migração das operações de cartão de débito e crédito para a Caixa Cartões ocorrida em abril de 2025.</w:t>
      </w:r>
    </w:p>
    <w:p w14:paraId="1AED0C79" w14:textId="77777777" w:rsidR="001C5033" w:rsidRPr="001C5033" w:rsidRDefault="001C5033" w:rsidP="001C5033">
      <w:pPr>
        <w:rPr>
          <w:rFonts w:ascii="CAIXA Std Book" w:eastAsia="Times New Roman" w:hAnsi="CAIXA Std Book" w:cs="Arial"/>
          <w:color w:val="005CA9"/>
          <w:sz w:val="16"/>
          <w:szCs w:val="16"/>
        </w:rPr>
      </w:pPr>
    </w:p>
    <w:p w14:paraId="63D9F851" w14:textId="77777777" w:rsidR="001C5033" w:rsidRDefault="001C5033" w:rsidP="003D692A">
      <w:pPr>
        <w:rPr>
          <w:rFonts w:ascii="CAIXA Std Book" w:eastAsia="Times New Roman" w:hAnsi="CAIXA Std Book" w:cs="Arial"/>
          <w:color w:val="005CA9"/>
          <w:sz w:val="16"/>
          <w:szCs w:val="16"/>
        </w:rPr>
      </w:pPr>
    </w:p>
    <w:p w14:paraId="28D5D109" w14:textId="77777777" w:rsidR="00696D88" w:rsidRDefault="00696D88" w:rsidP="00627127">
      <w:pPr>
        <w:rPr>
          <w:rFonts w:ascii="CAIXA Std Book" w:eastAsia="Times New Roman" w:hAnsi="CAIXA Std Book" w:cs="Arial"/>
          <w:color w:val="005CA9"/>
          <w:sz w:val="16"/>
          <w:szCs w:val="16"/>
        </w:rPr>
      </w:pPr>
    </w:p>
    <w:tbl>
      <w:tblPr>
        <w:tblW w:w="4996" w:type="pct"/>
        <w:tblInd w:w="-1" w:type="dxa"/>
        <w:tblCellMar>
          <w:left w:w="70" w:type="dxa"/>
          <w:right w:w="70" w:type="dxa"/>
        </w:tblCellMar>
        <w:tblLook w:val="04A0" w:firstRow="1" w:lastRow="0" w:firstColumn="1" w:lastColumn="0" w:noHBand="0" w:noVBand="1"/>
      </w:tblPr>
      <w:tblGrid>
        <w:gridCol w:w="5390"/>
        <w:gridCol w:w="1834"/>
        <w:gridCol w:w="1834"/>
        <w:gridCol w:w="1834"/>
        <w:gridCol w:w="1834"/>
        <w:gridCol w:w="1831"/>
      </w:tblGrid>
      <w:tr w:rsidR="00744707" w:rsidRPr="009518F8" w14:paraId="1A9791B7" w14:textId="77777777">
        <w:trPr>
          <w:trHeight w:val="283"/>
        </w:trPr>
        <w:tc>
          <w:tcPr>
            <w:tcW w:w="5000" w:type="pct"/>
            <w:gridSpan w:val="6"/>
            <w:tcBorders>
              <w:top w:val="nil"/>
              <w:left w:val="nil"/>
              <w:bottom w:val="single" w:sz="4" w:space="0" w:color="FFFFFF" w:themeColor="background1"/>
              <w:right w:val="nil"/>
            </w:tcBorders>
            <w:shd w:val="clear" w:color="auto" w:fill="005CA9"/>
            <w:vAlign w:val="center"/>
            <w:hideMark/>
          </w:tcPr>
          <w:p w14:paraId="2A33A6ED" w14:textId="77777777" w:rsidR="00744707" w:rsidRPr="009518F8" w:rsidRDefault="00744707">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Consolidado</w:t>
            </w:r>
          </w:p>
        </w:tc>
      </w:tr>
      <w:tr w:rsidR="00744707" w:rsidRPr="009518F8" w14:paraId="27EE3920" w14:textId="77777777" w:rsidTr="00102A42">
        <w:trPr>
          <w:trHeight w:val="283"/>
        </w:trPr>
        <w:tc>
          <w:tcPr>
            <w:tcW w:w="1851" w:type="pct"/>
            <w:tcBorders>
              <w:top w:val="single" w:sz="4" w:space="0" w:color="FFFFFF" w:themeColor="background1"/>
              <w:left w:val="nil"/>
              <w:bottom w:val="nil"/>
              <w:right w:val="nil"/>
            </w:tcBorders>
            <w:shd w:val="clear" w:color="auto" w:fill="005CA9"/>
            <w:vAlign w:val="center"/>
            <w:hideMark/>
          </w:tcPr>
          <w:p w14:paraId="43BDD520" w14:textId="77777777" w:rsidR="00744707" w:rsidRPr="009518F8" w:rsidRDefault="00744707">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Estágio 2</w:t>
            </w:r>
            <w:r w:rsidRPr="009518F8">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64A5F694" w14:textId="77777777" w:rsidR="00744707" w:rsidRPr="009518F8" w:rsidRDefault="00744707">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Saldo em 01/01/2025</w:t>
            </w:r>
            <w:r w:rsidRPr="009518F8">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4DF17052" w14:textId="77777777" w:rsidR="00744707" w:rsidRPr="009518F8" w:rsidRDefault="00744707">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Contratação/ liquidação</w:t>
            </w:r>
            <w:r w:rsidRPr="009518F8">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426ECA7D" w14:textId="77777777" w:rsidR="00744707" w:rsidRDefault="00744707">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Transferência do/</w:t>
            </w:r>
          </w:p>
          <w:p w14:paraId="2F5AE8F0" w14:textId="77777777" w:rsidR="00744707" w:rsidRPr="009518F8" w:rsidRDefault="00744707">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para estágio 1</w:t>
            </w:r>
            <w:r w:rsidRPr="009518F8">
              <w:rPr>
                <w:rFonts w:ascii="CAIXA Std Book" w:eastAsia="Times New Roman" w:hAnsi="CAIXA Std Book" w:cs="Calibri"/>
                <w:color w:val="005CA9"/>
                <w:sz w:val="18"/>
                <w:szCs w:val="18"/>
              </w:rPr>
              <w:t> </w:t>
            </w:r>
          </w:p>
        </w:tc>
        <w:tc>
          <w:tcPr>
            <w:tcW w:w="630" w:type="pct"/>
            <w:tcBorders>
              <w:top w:val="single" w:sz="4" w:space="0" w:color="FFFFFF" w:themeColor="background1"/>
              <w:left w:val="nil"/>
              <w:bottom w:val="nil"/>
              <w:right w:val="nil"/>
            </w:tcBorders>
            <w:shd w:val="clear" w:color="auto" w:fill="005CA9"/>
            <w:vAlign w:val="center"/>
            <w:hideMark/>
          </w:tcPr>
          <w:p w14:paraId="4DA71C9F" w14:textId="53C5620E" w:rsidR="00744707" w:rsidRPr="009518F8" w:rsidRDefault="00744707">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Transferência do/ para estágio 3</w:t>
            </w:r>
            <w:r w:rsidRPr="009518F8">
              <w:rPr>
                <w:rFonts w:ascii="CAIXA Std Book" w:eastAsia="Times New Roman" w:hAnsi="CAIXA Std Book" w:cs="Calibri"/>
                <w:color w:val="005CA9"/>
                <w:sz w:val="18"/>
                <w:szCs w:val="18"/>
              </w:rPr>
              <w:t> </w:t>
            </w:r>
          </w:p>
        </w:tc>
        <w:tc>
          <w:tcPr>
            <w:tcW w:w="629" w:type="pct"/>
            <w:tcBorders>
              <w:top w:val="single" w:sz="4" w:space="0" w:color="FFFFFF" w:themeColor="background1"/>
              <w:left w:val="nil"/>
              <w:bottom w:val="nil"/>
              <w:right w:val="nil"/>
            </w:tcBorders>
            <w:shd w:val="clear" w:color="auto" w:fill="005CA9"/>
            <w:vAlign w:val="center"/>
            <w:hideMark/>
          </w:tcPr>
          <w:p w14:paraId="1F01ED02" w14:textId="18DE998F" w:rsidR="00744707" w:rsidRPr="009518F8" w:rsidRDefault="00744707">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Saldo em 31/</w:t>
            </w:r>
            <w:r w:rsidR="00F61912">
              <w:rPr>
                <w:rFonts w:ascii="CAIXA Std Book" w:eastAsia="Times New Roman" w:hAnsi="CAIXA Std Book" w:cs="Calibri"/>
                <w:b/>
                <w:bCs/>
                <w:color w:val="FFFFFF"/>
                <w:sz w:val="18"/>
                <w:szCs w:val="18"/>
              </w:rPr>
              <w:t>12</w:t>
            </w:r>
            <w:r w:rsidRPr="009518F8">
              <w:rPr>
                <w:rFonts w:ascii="CAIXA Std Book" w:eastAsia="Times New Roman" w:hAnsi="CAIXA Std Book" w:cs="Calibri"/>
                <w:b/>
                <w:bCs/>
                <w:color w:val="FFFFFF"/>
                <w:sz w:val="18"/>
                <w:szCs w:val="18"/>
              </w:rPr>
              <w:t>/2025</w:t>
            </w:r>
            <w:r w:rsidRPr="009518F8">
              <w:rPr>
                <w:rFonts w:ascii="CAIXA Std Book" w:eastAsia="Times New Roman" w:hAnsi="CAIXA Std Book" w:cs="Calibri"/>
                <w:color w:val="005CA9"/>
                <w:sz w:val="18"/>
                <w:szCs w:val="18"/>
              </w:rPr>
              <w:t> </w:t>
            </w:r>
          </w:p>
        </w:tc>
      </w:tr>
      <w:tr w:rsidR="00744707" w:rsidRPr="009518F8" w14:paraId="76F5E348" w14:textId="77777777" w:rsidTr="00102A42">
        <w:trPr>
          <w:trHeight w:val="283"/>
        </w:trPr>
        <w:tc>
          <w:tcPr>
            <w:tcW w:w="1851" w:type="pct"/>
            <w:tcBorders>
              <w:top w:val="nil"/>
              <w:left w:val="nil"/>
              <w:bottom w:val="nil"/>
              <w:right w:val="nil"/>
            </w:tcBorders>
            <w:noWrap/>
            <w:vAlign w:val="center"/>
            <w:hideMark/>
          </w:tcPr>
          <w:p w14:paraId="79123A77" w14:textId="77777777" w:rsidR="00744707" w:rsidRPr="009518F8" w:rsidRDefault="00744707">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Empréstimos e direitos creditórios descontados</w:t>
            </w:r>
          </w:p>
        </w:tc>
        <w:tc>
          <w:tcPr>
            <w:tcW w:w="630" w:type="pct"/>
            <w:tcBorders>
              <w:top w:val="nil"/>
              <w:left w:val="nil"/>
              <w:bottom w:val="nil"/>
              <w:right w:val="nil"/>
            </w:tcBorders>
            <w:noWrap/>
            <w:vAlign w:val="center"/>
            <w:hideMark/>
          </w:tcPr>
          <w:p w14:paraId="4B59F020" w14:textId="77777777" w:rsidR="00744707" w:rsidRPr="009518F8" w:rsidRDefault="0074470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21.288.406</w:t>
            </w:r>
          </w:p>
        </w:tc>
        <w:tc>
          <w:tcPr>
            <w:tcW w:w="630" w:type="pct"/>
            <w:tcBorders>
              <w:top w:val="nil"/>
              <w:left w:val="nil"/>
              <w:bottom w:val="nil"/>
              <w:right w:val="nil"/>
            </w:tcBorders>
            <w:vAlign w:val="center"/>
            <w:hideMark/>
          </w:tcPr>
          <w:p w14:paraId="545DD011" w14:textId="5EC33128"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1.958.260</w:t>
            </w:r>
          </w:p>
        </w:tc>
        <w:tc>
          <w:tcPr>
            <w:tcW w:w="630" w:type="pct"/>
            <w:tcBorders>
              <w:top w:val="nil"/>
              <w:left w:val="nil"/>
              <w:bottom w:val="nil"/>
              <w:right w:val="nil"/>
            </w:tcBorders>
            <w:vAlign w:val="center"/>
            <w:hideMark/>
          </w:tcPr>
          <w:p w14:paraId="2E041137" w14:textId="518B5B7D"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(9.259.105)</w:t>
            </w:r>
          </w:p>
        </w:tc>
        <w:tc>
          <w:tcPr>
            <w:tcW w:w="630" w:type="pct"/>
            <w:tcBorders>
              <w:top w:val="nil"/>
              <w:left w:val="nil"/>
              <w:bottom w:val="nil"/>
              <w:right w:val="nil"/>
            </w:tcBorders>
            <w:noWrap/>
            <w:vAlign w:val="center"/>
            <w:hideMark/>
          </w:tcPr>
          <w:p w14:paraId="6D153A2D" w14:textId="753B31E1"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(4.286.274)</w:t>
            </w:r>
          </w:p>
        </w:tc>
        <w:tc>
          <w:tcPr>
            <w:tcW w:w="629" w:type="pct"/>
            <w:tcBorders>
              <w:top w:val="nil"/>
              <w:left w:val="nil"/>
              <w:bottom w:val="nil"/>
              <w:right w:val="nil"/>
            </w:tcBorders>
            <w:noWrap/>
            <w:vAlign w:val="center"/>
            <w:hideMark/>
          </w:tcPr>
          <w:p w14:paraId="6265D053" w14:textId="387B3D67"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9.701.287</w:t>
            </w:r>
          </w:p>
        </w:tc>
      </w:tr>
      <w:tr w:rsidR="00744707" w:rsidRPr="009518F8" w14:paraId="13C4B986" w14:textId="77777777" w:rsidTr="00102A42">
        <w:trPr>
          <w:trHeight w:val="283"/>
        </w:trPr>
        <w:tc>
          <w:tcPr>
            <w:tcW w:w="1851" w:type="pct"/>
            <w:tcBorders>
              <w:top w:val="nil"/>
              <w:left w:val="nil"/>
              <w:bottom w:val="nil"/>
              <w:right w:val="nil"/>
            </w:tcBorders>
            <w:noWrap/>
            <w:vAlign w:val="center"/>
            <w:hideMark/>
          </w:tcPr>
          <w:p w14:paraId="521D26E8" w14:textId="77777777" w:rsidR="00744707" w:rsidRPr="009518F8" w:rsidRDefault="00744707">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w:t>
            </w:r>
          </w:p>
        </w:tc>
        <w:tc>
          <w:tcPr>
            <w:tcW w:w="630" w:type="pct"/>
            <w:tcBorders>
              <w:top w:val="nil"/>
              <w:left w:val="nil"/>
              <w:bottom w:val="nil"/>
              <w:right w:val="nil"/>
            </w:tcBorders>
            <w:noWrap/>
            <w:vAlign w:val="center"/>
            <w:hideMark/>
          </w:tcPr>
          <w:p w14:paraId="436A85E5" w14:textId="77777777" w:rsidR="00744707" w:rsidRPr="009518F8" w:rsidRDefault="0074470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437.628</w:t>
            </w:r>
          </w:p>
        </w:tc>
        <w:tc>
          <w:tcPr>
            <w:tcW w:w="630" w:type="pct"/>
            <w:tcBorders>
              <w:top w:val="nil"/>
              <w:left w:val="nil"/>
              <w:bottom w:val="nil"/>
              <w:right w:val="nil"/>
            </w:tcBorders>
            <w:vAlign w:val="center"/>
            <w:hideMark/>
          </w:tcPr>
          <w:p w14:paraId="689F8671" w14:textId="4A62D6ED"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165.909</w:t>
            </w:r>
          </w:p>
        </w:tc>
        <w:tc>
          <w:tcPr>
            <w:tcW w:w="630" w:type="pct"/>
            <w:tcBorders>
              <w:top w:val="nil"/>
              <w:left w:val="nil"/>
              <w:bottom w:val="nil"/>
              <w:right w:val="nil"/>
            </w:tcBorders>
            <w:vAlign w:val="center"/>
            <w:hideMark/>
          </w:tcPr>
          <w:p w14:paraId="4AF59E9A" w14:textId="34A126EB"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80.365</w:t>
            </w:r>
          </w:p>
        </w:tc>
        <w:tc>
          <w:tcPr>
            <w:tcW w:w="630" w:type="pct"/>
            <w:tcBorders>
              <w:top w:val="nil"/>
              <w:left w:val="nil"/>
              <w:bottom w:val="nil"/>
              <w:right w:val="nil"/>
            </w:tcBorders>
            <w:noWrap/>
            <w:vAlign w:val="center"/>
            <w:hideMark/>
          </w:tcPr>
          <w:p w14:paraId="4BD255F5" w14:textId="432A51DA"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(166.542)</w:t>
            </w:r>
          </w:p>
        </w:tc>
        <w:tc>
          <w:tcPr>
            <w:tcW w:w="629" w:type="pct"/>
            <w:tcBorders>
              <w:top w:val="nil"/>
              <w:left w:val="nil"/>
              <w:bottom w:val="nil"/>
              <w:right w:val="nil"/>
            </w:tcBorders>
            <w:noWrap/>
            <w:vAlign w:val="center"/>
            <w:hideMark/>
          </w:tcPr>
          <w:p w14:paraId="5F3873F0" w14:textId="231A4EF0"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517.360</w:t>
            </w:r>
          </w:p>
        </w:tc>
      </w:tr>
      <w:tr w:rsidR="00744707" w:rsidRPr="009518F8" w14:paraId="56D9BF9B" w14:textId="77777777" w:rsidTr="00102A42">
        <w:trPr>
          <w:trHeight w:val="283"/>
        </w:trPr>
        <w:tc>
          <w:tcPr>
            <w:tcW w:w="1851" w:type="pct"/>
            <w:tcBorders>
              <w:top w:val="nil"/>
              <w:left w:val="nil"/>
              <w:bottom w:val="nil"/>
              <w:right w:val="nil"/>
            </w:tcBorders>
            <w:noWrap/>
            <w:vAlign w:val="center"/>
            <w:hideMark/>
          </w:tcPr>
          <w:p w14:paraId="7D0DFC67" w14:textId="77777777" w:rsidR="00744707" w:rsidRPr="009518F8" w:rsidRDefault="00744707">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 rurais</w:t>
            </w:r>
          </w:p>
        </w:tc>
        <w:tc>
          <w:tcPr>
            <w:tcW w:w="630" w:type="pct"/>
            <w:tcBorders>
              <w:top w:val="nil"/>
              <w:left w:val="nil"/>
              <w:bottom w:val="nil"/>
              <w:right w:val="nil"/>
            </w:tcBorders>
            <w:noWrap/>
            <w:vAlign w:val="center"/>
            <w:hideMark/>
          </w:tcPr>
          <w:p w14:paraId="1C98FA80" w14:textId="77777777" w:rsidR="00744707" w:rsidRPr="009518F8" w:rsidRDefault="0074470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850.510</w:t>
            </w:r>
          </w:p>
        </w:tc>
        <w:tc>
          <w:tcPr>
            <w:tcW w:w="630" w:type="pct"/>
            <w:tcBorders>
              <w:top w:val="nil"/>
              <w:left w:val="nil"/>
              <w:bottom w:val="nil"/>
              <w:right w:val="nil"/>
            </w:tcBorders>
            <w:vAlign w:val="center"/>
            <w:hideMark/>
          </w:tcPr>
          <w:p w14:paraId="33CEB660" w14:textId="56F81B24"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155.378</w:t>
            </w:r>
          </w:p>
        </w:tc>
        <w:tc>
          <w:tcPr>
            <w:tcW w:w="630" w:type="pct"/>
            <w:tcBorders>
              <w:top w:val="nil"/>
              <w:left w:val="nil"/>
              <w:bottom w:val="nil"/>
              <w:right w:val="nil"/>
            </w:tcBorders>
            <w:vAlign w:val="center"/>
            <w:hideMark/>
          </w:tcPr>
          <w:p w14:paraId="1C374B5B" w14:textId="41E0099A"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2.361.887</w:t>
            </w:r>
          </w:p>
        </w:tc>
        <w:tc>
          <w:tcPr>
            <w:tcW w:w="630" w:type="pct"/>
            <w:tcBorders>
              <w:top w:val="nil"/>
              <w:left w:val="nil"/>
              <w:bottom w:val="nil"/>
              <w:right w:val="nil"/>
            </w:tcBorders>
            <w:noWrap/>
            <w:vAlign w:val="center"/>
            <w:hideMark/>
          </w:tcPr>
          <w:p w14:paraId="1052AAAB" w14:textId="21234F84"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(301.461)</w:t>
            </w:r>
          </w:p>
        </w:tc>
        <w:tc>
          <w:tcPr>
            <w:tcW w:w="629" w:type="pct"/>
            <w:tcBorders>
              <w:top w:val="nil"/>
              <w:left w:val="nil"/>
              <w:bottom w:val="nil"/>
              <w:right w:val="nil"/>
            </w:tcBorders>
            <w:noWrap/>
            <w:vAlign w:val="center"/>
            <w:hideMark/>
          </w:tcPr>
          <w:p w14:paraId="4E6A15F9" w14:textId="50D8D0E1"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3.066.314</w:t>
            </w:r>
          </w:p>
        </w:tc>
      </w:tr>
      <w:tr w:rsidR="00744707" w:rsidRPr="009518F8" w14:paraId="4A9DC628" w14:textId="77777777" w:rsidTr="00102A42">
        <w:trPr>
          <w:trHeight w:val="283"/>
        </w:trPr>
        <w:tc>
          <w:tcPr>
            <w:tcW w:w="1851" w:type="pct"/>
            <w:tcBorders>
              <w:top w:val="nil"/>
              <w:left w:val="nil"/>
              <w:bottom w:val="nil"/>
              <w:right w:val="nil"/>
            </w:tcBorders>
            <w:noWrap/>
            <w:vAlign w:val="center"/>
            <w:hideMark/>
          </w:tcPr>
          <w:p w14:paraId="7A988874" w14:textId="77777777" w:rsidR="00744707" w:rsidRPr="009518F8" w:rsidRDefault="00744707">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 imobiliários</w:t>
            </w:r>
          </w:p>
        </w:tc>
        <w:tc>
          <w:tcPr>
            <w:tcW w:w="630" w:type="pct"/>
            <w:tcBorders>
              <w:top w:val="nil"/>
              <w:left w:val="nil"/>
              <w:bottom w:val="nil"/>
              <w:right w:val="nil"/>
            </w:tcBorders>
            <w:noWrap/>
            <w:vAlign w:val="center"/>
            <w:hideMark/>
          </w:tcPr>
          <w:p w14:paraId="48B7C09A" w14:textId="77777777" w:rsidR="00744707" w:rsidRPr="009518F8" w:rsidRDefault="0074470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6.118.306</w:t>
            </w:r>
          </w:p>
        </w:tc>
        <w:tc>
          <w:tcPr>
            <w:tcW w:w="630" w:type="pct"/>
            <w:tcBorders>
              <w:top w:val="nil"/>
              <w:left w:val="nil"/>
              <w:bottom w:val="nil"/>
              <w:right w:val="nil"/>
            </w:tcBorders>
            <w:vAlign w:val="center"/>
            <w:hideMark/>
          </w:tcPr>
          <w:p w14:paraId="4C64B487" w14:textId="21659E47"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684.978</w:t>
            </w:r>
          </w:p>
        </w:tc>
        <w:tc>
          <w:tcPr>
            <w:tcW w:w="630" w:type="pct"/>
            <w:tcBorders>
              <w:top w:val="nil"/>
              <w:left w:val="nil"/>
              <w:bottom w:val="nil"/>
              <w:right w:val="nil"/>
            </w:tcBorders>
            <w:vAlign w:val="center"/>
            <w:hideMark/>
          </w:tcPr>
          <w:p w14:paraId="4E6E7E0D" w14:textId="0B6EE048"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5.922.477</w:t>
            </w:r>
          </w:p>
        </w:tc>
        <w:tc>
          <w:tcPr>
            <w:tcW w:w="630" w:type="pct"/>
            <w:tcBorders>
              <w:top w:val="nil"/>
              <w:left w:val="nil"/>
              <w:bottom w:val="nil"/>
              <w:right w:val="nil"/>
            </w:tcBorders>
            <w:noWrap/>
            <w:vAlign w:val="center"/>
            <w:hideMark/>
          </w:tcPr>
          <w:p w14:paraId="7FE69ED9" w14:textId="67752152"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(1.227.340)</w:t>
            </w:r>
          </w:p>
        </w:tc>
        <w:tc>
          <w:tcPr>
            <w:tcW w:w="629" w:type="pct"/>
            <w:tcBorders>
              <w:top w:val="nil"/>
              <w:left w:val="nil"/>
              <w:bottom w:val="nil"/>
              <w:right w:val="nil"/>
            </w:tcBorders>
            <w:noWrap/>
            <w:vAlign w:val="center"/>
            <w:hideMark/>
          </w:tcPr>
          <w:p w14:paraId="4D68DAC6" w14:textId="032E2242"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11.498.421</w:t>
            </w:r>
          </w:p>
        </w:tc>
      </w:tr>
      <w:tr w:rsidR="00744707" w:rsidRPr="009518F8" w14:paraId="5FD7BCE0" w14:textId="77777777" w:rsidTr="00102A42">
        <w:trPr>
          <w:trHeight w:val="283"/>
        </w:trPr>
        <w:tc>
          <w:tcPr>
            <w:tcW w:w="1851" w:type="pct"/>
            <w:tcBorders>
              <w:top w:val="nil"/>
              <w:left w:val="nil"/>
              <w:bottom w:val="nil"/>
              <w:right w:val="nil"/>
            </w:tcBorders>
            <w:noWrap/>
            <w:vAlign w:val="center"/>
            <w:hideMark/>
          </w:tcPr>
          <w:p w14:paraId="21C7B969" w14:textId="77777777" w:rsidR="00744707" w:rsidRPr="009518F8" w:rsidRDefault="00744707">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 de infraestrutura</w:t>
            </w:r>
          </w:p>
        </w:tc>
        <w:tc>
          <w:tcPr>
            <w:tcW w:w="630" w:type="pct"/>
            <w:tcBorders>
              <w:top w:val="nil"/>
              <w:left w:val="nil"/>
              <w:bottom w:val="nil"/>
              <w:right w:val="nil"/>
            </w:tcBorders>
            <w:noWrap/>
            <w:vAlign w:val="center"/>
            <w:hideMark/>
          </w:tcPr>
          <w:p w14:paraId="0620B290" w14:textId="77777777" w:rsidR="00744707" w:rsidRPr="009518F8" w:rsidRDefault="0074470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453.491</w:t>
            </w:r>
          </w:p>
        </w:tc>
        <w:tc>
          <w:tcPr>
            <w:tcW w:w="630" w:type="pct"/>
            <w:tcBorders>
              <w:top w:val="nil"/>
              <w:left w:val="nil"/>
              <w:bottom w:val="nil"/>
              <w:right w:val="nil"/>
            </w:tcBorders>
            <w:vAlign w:val="center"/>
            <w:hideMark/>
          </w:tcPr>
          <w:p w14:paraId="2F6EE161" w14:textId="390F03D8"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(37.280)</w:t>
            </w:r>
          </w:p>
        </w:tc>
        <w:tc>
          <w:tcPr>
            <w:tcW w:w="630" w:type="pct"/>
            <w:tcBorders>
              <w:top w:val="nil"/>
              <w:left w:val="nil"/>
              <w:bottom w:val="nil"/>
              <w:right w:val="nil"/>
            </w:tcBorders>
            <w:vAlign w:val="center"/>
            <w:hideMark/>
          </w:tcPr>
          <w:p w14:paraId="4BC92060" w14:textId="510CCD67"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(36.038)</w:t>
            </w:r>
          </w:p>
        </w:tc>
        <w:tc>
          <w:tcPr>
            <w:tcW w:w="630" w:type="pct"/>
            <w:tcBorders>
              <w:top w:val="nil"/>
              <w:left w:val="nil"/>
              <w:bottom w:val="nil"/>
              <w:right w:val="nil"/>
            </w:tcBorders>
            <w:noWrap/>
            <w:vAlign w:val="center"/>
            <w:hideMark/>
          </w:tcPr>
          <w:p w14:paraId="7DEBF06B" w14:textId="32D2560B"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(4.379)</w:t>
            </w:r>
          </w:p>
        </w:tc>
        <w:tc>
          <w:tcPr>
            <w:tcW w:w="629" w:type="pct"/>
            <w:tcBorders>
              <w:top w:val="nil"/>
              <w:left w:val="nil"/>
              <w:bottom w:val="nil"/>
              <w:right w:val="nil"/>
            </w:tcBorders>
            <w:noWrap/>
            <w:vAlign w:val="center"/>
            <w:hideMark/>
          </w:tcPr>
          <w:p w14:paraId="5F732823" w14:textId="6F509F09"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375.794</w:t>
            </w:r>
          </w:p>
        </w:tc>
      </w:tr>
      <w:tr w:rsidR="00744707" w:rsidRPr="009518F8" w14:paraId="21F2575C" w14:textId="77777777" w:rsidTr="00102A42">
        <w:trPr>
          <w:trHeight w:val="283"/>
        </w:trPr>
        <w:tc>
          <w:tcPr>
            <w:tcW w:w="1851" w:type="pct"/>
            <w:tcBorders>
              <w:top w:val="nil"/>
              <w:left w:val="nil"/>
              <w:bottom w:val="nil"/>
              <w:right w:val="nil"/>
            </w:tcBorders>
            <w:noWrap/>
            <w:vAlign w:val="center"/>
          </w:tcPr>
          <w:p w14:paraId="7275C85F" w14:textId="77777777" w:rsidR="00744707" w:rsidRPr="009518F8" w:rsidRDefault="00744707">
            <w:pP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Cessão de crédito</w:t>
            </w:r>
          </w:p>
        </w:tc>
        <w:tc>
          <w:tcPr>
            <w:tcW w:w="630" w:type="pct"/>
            <w:tcBorders>
              <w:top w:val="nil"/>
              <w:left w:val="nil"/>
              <w:bottom w:val="nil"/>
              <w:right w:val="nil"/>
            </w:tcBorders>
            <w:noWrap/>
            <w:vAlign w:val="center"/>
          </w:tcPr>
          <w:p w14:paraId="2B94CD0A" w14:textId="77777777" w:rsidR="00744707" w:rsidRPr="009518F8" w:rsidRDefault="0074470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26.741</w:t>
            </w:r>
          </w:p>
        </w:tc>
        <w:tc>
          <w:tcPr>
            <w:tcW w:w="630" w:type="pct"/>
            <w:tcBorders>
              <w:top w:val="nil"/>
              <w:left w:val="nil"/>
              <w:bottom w:val="nil"/>
              <w:right w:val="nil"/>
            </w:tcBorders>
            <w:vAlign w:val="center"/>
          </w:tcPr>
          <w:p w14:paraId="068ABB19" w14:textId="0848BA7E" w:rsidR="00744707" w:rsidRPr="009518F8" w:rsidRDefault="00744707">
            <w:pPr>
              <w:jc w:val="right"/>
              <w:rPr>
                <w:rFonts w:ascii="Times New Roman" w:eastAsia="Times New Roman" w:hAnsi="Times New Roman" w:cs="Times New Roman"/>
                <w:sz w:val="20"/>
                <w:szCs w:val="20"/>
              </w:rPr>
            </w:pPr>
            <w:r>
              <w:rPr>
                <w:rFonts w:ascii="CAIXA Std Book" w:hAnsi="CAIXA Std Book" w:cs="Calibri"/>
                <w:color w:val="005CA9"/>
                <w:sz w:val="18"/>
                <w:szCs w:val="18"/>
              </w:rPr>
              <w:t>(</w:t>
            </w:r>
            <w:r w:rsidR="00291B83">
              <w:rPr>
                <w:rFonts w:ascii="CAIXA Std Book" w:hAnsi="CAIXA Std Book" w:cs="Calibri"/>
                <w:color w:val="005CA9"/>
                <w:sz w:val="18"/>
                <w:szCs w:val="18"/>
              </w:rPr>
              <w:t>2.575</w:t>
            </w:r>
            <w:r>
              <w:rPr>
                <w:rFonts w:ascii="CAIXA Std Book" w:hAnsi="CAIXA Std Book" w:cs="Calibri"/>
                <w:color w:val="005CA9"/>
                <w:sz w:val="18"/>
                <w:szCs w:val="18"/>
              </w:rPr>
              <w:t>)</w:t>
            </w:r>
          </w:p>
        </w:tc>
        <w:tc>
          <w:tcPr>
            <w:tcW w:w="630" w:type="pct"/>
            <w:tcBorders>
              <w:top w:val="nil"/>
              <w:left w:val="nil"/>
              <w:bottom w:val="nil"/>
              <w:right w:val="nil"/>
            </w:tcBorders>
            <w:vAlign w:val="center"/>
          </w:tcPr>
          <w:p w14:paraId="133865FB" w14:textId="1DAC58D7"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12.809</w:t>
            </w:r>
          </w:p>
        </w:tc>
        <w:tc>
          <w:tcPr>
            <w:tcW w:w="630" w:type="pct"/>
            <w:tcBorders>
              <w:top w:val="nil"/>
              <w:left w:val="nil"/>
              <w:bottom w:val="nil"/>
              <w:right w:val="nil"/>
            </w:tcBorders>
            <w:noWrap/>
            <w:vAlign w:val="center"/>
          </w:tcPr>
          <w:p w14:paraId="75AD14FD" w14:textId="57071825"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(5.554)</w:t>
            </w:r>
          </w:p>
        </w:tc>
        <w:tc>
          <w:tcPr>
            <w:tcW w:w="629" w:type="pct"/>
            <w:tcBorders>
              <w:top w:val="nil"/>
              <w:left w:val="nil"/>
              <w:bottom w:val="nil"/>
              <w:right w:val="nil"/>
            </w:tcBorders>
            <w:noWrap/>
            <w:vAlign w:val="center"/>
          </w:tcPr>
          <w:p w14:paraId="0C0B20B4" w14:textId="25C61C8E"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31.421</w:t>
            </w:r>
          </w:p>
        </w:tc>
      </w:tr>
      <w:tr w:rsidR="00744707" w:rsidRPr="009518F8" w14:paraId="721B8EEC" w14:textId="77777777" w:rsidTr="00102A42">
        <w:trPr>
          <w:trHeight w:val="283"/>
        </w:trPr>
        <w:tc>
          <w:tcPr>
            <w:tcW w:w="1851" w:type="pct"/>
            <w:tcBorders>
              <w:top w:val="nil"/>
              <w:left w:val="nil"/>
              <w:bottom w:val="nil"/>
              <w:right w:val="nil"/>
            </w:tcBorders>
            <w:noWrap/>
            <w:vAlign w:val="center"/>
            <w:hideMark/>
          </w:tcPr>
          <w:p w14:paraId="690E2036" w14:textId="77777777" w:rsidR="00744707" w:rsidRPr="009518F8" w:rsidRDefault="00744707">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 xml:space="preserve">Outros </w:t>
            </w:r>
            <w:r>
              <w:rPr>
                <w:rFonts w:ascii="CAIXA Std Book" w:eastAsia="Times New Roman" w:hAnsi="CAIXA Std Book" w:cs="Calibri"/>
                <w:color w:val="005CA9"/>
                <w:sz w:val="18"/>
                <w:szCs w:val="18"/>
              </w:rPr>
              <w:t>créditos</w:t>
            </w:r>
          </w:p>
        </w:tc>
        <w:tc>
          <w:tcPr>
            <w:tcW w:w="630" w:type="pct"/>
            <w:tcBorders>
              <w:top w:val="nil"/>
              <w:left w:val="nil"/>
              <w:bottom w:val="nil"/>
              <w:right w:val="nil"/>
            </w:tcBorders>
            <w:noWrap/>
            <w:vAlign w:val="center"/>
            <w:hideMark/>
          </w:tcPr>
          <w:p w14:paraId="5DF6B5DF" w14:textId="77777777" w:rsidR="00744707" w:rsidRPr="009518F8" w:rsidRDefault="0074470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1.258.829</w:t>
            </w:r>
          </w:p>
        </w:tc>
        <w:tc>
          <w:tcPr>
            <w:tcW w:w="630" w:type="pct"/>
            <w:tcBorders>
              <w:top w:val="nil"/>
              <w:left w:val="nil"/>
              <w:bottom w:val="nil"/>
              <w:right w:val="nil"/>
            </w:tcBorders>
            <w:vAlign w:val="center"/>
            <w:hideMark/>
          </w:tcPr>
          <w:p w14:paraId="5CAC0852" w14:textId="6376AAAC" w:rsidR="00744707" w:rsidRPr="009518F8" w:rsidRDefault="00291B83">
            <w:pPr>
              <w:jc w:val="right"/>
              <w:rPr>
                <w:rFonts w:ascii="Times New Roman" w:eastAsia="Times New Roman" w:hAnsi="Times New Roman" w:cs="Times New Roman"/>
                <w:sz w:val="20"/>
                <w:szCs w:val="20"/>
              </w:rPr>
            </w:pPr>
            <w:r w:rsidRPr="00BD6F56">
              <w:rPr>
                <w:rFonts w:ascii="CAIXA Std Book" w:hAnsi="CAIXA Std Book" w:cs="Calibri"/>
                <w:color w:val="005CA9"/>
                <w:sz w:val="18"/>
                <w:szCs w:val="18"/>
              </w:rPr>
              <w:t>1</w:t>
            </w:r>
            <w:r>
              <w:rPr>
                <w:rFonts w:ascii="CAIXA Std Book" w:hAnsi="CAIXA Std Book" w:cs="Calibri"/>
                <w:color w:val="005CA9"/>
                <w:sz w:val="18"/>
                <w:szCs w:val="18"/>
              </w:rPr>
              <w:t>5</w:t>
            </w:r>
            <w:r w:rsidRPr="00BD6F56">
              <w:rPr>
                <w:rFonts w:ascii="CAIXA Std Book" w:hAnsi="CAIXA Std Book" w:cs="Calibri"/>
                <w:color w:val="005CA9"/>
                <w:sz w:val="18"/>
                <w:szCs w:val="18"/>
              </w:rPr>
              <w:t>5.536</w:t>
            </w:r>
          </w:p>
        </w:tc>
        <w:tc>
          <w:tcPr>
            <w:tcW w:w="630" w:type="pct"/>
            <w:tcBorders>
              <w:top w:val="nil"/>
              <w:left w:val="nil"/>
              <w:bottom w:val="nil"/>
              <w:right w:val="nil"/>
            </w:tcBorders>
            <w:vAlign w:val="center"/>
            <w:hideMark/>
          </w:tcPr>
          <w:p w14:paraId="4EC82999" w14:textId="3F5AC722" w:rsidR="00744707" w:rsidRPr="009518F8" w:rsidRDefault="00291B83">
            <w:pPr>
              <w:jc w:val="right"/>
              <w:rPr>
                <w:rFonts w:ascii="Times New Roman" w:eastAsia="Times New Roman" w:hAnsi="Times New Roman" w:cs="Times New Roman"/>
                <w:sz w:val="20"/>
                <w:szCs w:val="20"/>
              </w:rPr>
            </w:pPr>
            <w:r w:rsidRPr="00BD6F56">
              <w:rPr>
                <w:rFonts w:ascii="CAIXA Std Book" w:hAnsi="CAIXA Std Book" w:cs="Calibri"/>
                <w:color w:val="005CA9"/>
                <w:sz w:val="18"/>
                <w:szCs w:val="18"/>
              </w:rPr>
              <w:t>357.492</w:t>
            </w:r>
          </w:p>
        </w:tc>
        <w:tc>
          <w:tcPr>
            <w:tcW w:w="630" w:type="pct"/>
            <w:tcBorders>
              <w:top w:val="nil"/>
              <w:left w:val="nil"/>
              <w:bottom w:val="nil"/>
              <w:right w:val="nil"/>
            </w:tcBorders>
            <w:noWrap/>
            <w:vAlign w:val="center"/>
            <w:hideMark/>
          </w:tcPr>
          <w:p w14:paraId="6FF0BD6D" w14:textId="55911FAA" w:rsidR="00744707" w:rsidRPr="009518F8" w:rsidRDefault="00291B83">
            <w:pPr>
              <w:jc w:val="right"/>
              <w:rPr>
                <w:rFonts w:ascii="Times New Roman" w:eastAsia="Times New Roman" w:hAnsi="Times New Roman" w:cs="Times New Roman"/>
                <w:sz w:val="20"/>
                <w:szCs w:val="20"/>
              </w:rPr>
            </w:pPr>
            <w:r w:rsidRPr="00BD6F56">
              <w:rPr>
                <w:rFonts w:ascii="CAIXA Std Book" w:hAnsi="CAIXA Std Book" w:cs="Calibri"/>
                <w:color w:val="005CA9"/>
                <w:sz w:val="18"/>
                <w:szCs w:val="18"/>
              </w:rPr>
              <w:t>(</w:t>
            </w:r>
            <w:r>
              <w:rPr>
                <w:rFonts w:ascii="CAIXA Std Book" w:hAnsi="CAIXA Std Book" w:cs="Calibri"/>
                <w:color w:val="005CA9"/>
                <w:sz w:val="18"/>
                <w:szCs w:val="18"/>
              </w:rPr>
              <w:t>5</w:t>
            </w:r>
            <w:r w:rsidRPr="00BD6F56">
              <w:rPr>
                <w:rFonts w:ascii="CAIXA Std Book" w:hAnsi="CAIXA Std Book" w:cs="Calibri"/>
                <w:color w:val="005CA9"/>
                <w:sz w:val="18"/>
                <w:szCs w:val="18"/>
              </w:rPr>
              <w:t>3.848)</w:t>
            </w:r>
          </w:p>
        </w:tc>
        <w:tc>
          <w:tcPr>
            <w:tcW w:w="629" w:type="pct"/>
            <w:tcBorders>
              <w:top w:val="nil"/>
              <w:left w:val="nil"/>
              <w:bottom w:val="nil"/>
              <w:right w:val="nil"/>
            </w:tcBorders>
            <w:noWrap/>
            <w:vAlign w:val="center"/>
            <w:hideMark/>
          </w:tcPr>
          <w:p w14:paraId="019FFF8E" w14:textId="1BE5C0E1" w:rsidR="00744707" w:rsidRPr="009518F8" w:rsidRDefault="00291B83">
            <w:pPr>
              <w:jc w:val="right"/>
              <w:rPr>
                <w:rFonts w:ascii="Times New Roman" w:eastAsia="Times New Roman" w:hAnsi="Times New Roman" w:cs="Times New Roman"/>
                <w:sz w:val="20"/>
                <w:szCs w:val="20"/>
              </w:rPr>
            </w:pPr>
            <w:r>
              <w:rPr>
                <w:rFonts w:ascii="CAIXA Std Book" w:hAnsi="CAIXA Std Book" w:cs="Calibri"/>
                <w:color w:val="005CA9"/>
                <w:sz w:val="18"/>
                <w:szCs w:val="18"/>
              </w:rPr>
              <w:t>1.718.009</w:t>
            </w:r>
          </w:p>
        </w:tc>
      </w:tr>
      <w:tr w:rsidR="00744707" w:rsidRPr="009518F8" w14:paraId="2720E1D8" w14:textId="77777777" w:rsidTr="00102A42">
        <w:trPr>
          <w:trHeight w:val="283"/>
        </w:trPr>
        <w:tc>
          <w:tcPr>
            <w:tcW w:w="1851" w:type="pct"/>
            <w:tcBorders>
              <w:top w:val="nil"/>
              <w:left w:val="nil"/>
              <w:bottom w:val="nil"/>
              <w:right w:val="nil"/>
            </w:tcBorders>
            <w:shd w:val="clear" w:color="auto" w:fill="005CA9"/>
            <w:noWrap/>
            <w:vAlign w:val="center"/>
            <w:hideMark/>
          </w:tcPr>
          <w:p w14:paraId="2646F79C" w14:textId="77777777" w:rsidR="00744707" w:rsidRPr="009518F8" w:rsidRDefault="00744707">
            <w:pP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Total</w:t>
            </w:r>
            <w:r w:rsidRPr="009518F8">
              <w:rPr>
                <w:rFonts w:ascii="CAIXA Std Book" w:eastAsia="Times New Roman" w:hAnsi="CAIXA Std Book" w:cs="Calibri"/>
                <w:color w:val="005CA9"/>
                <w:sz w:val="18"/>
                <w:szCs w:val="18"/>
              </w:rPr>
              <w:t> </w:t>
            </w:r>
          </w:p>
        </w:tc>
        <w:tc>
          <w:tcPr>
            <w:tcW w:w="630" w:type="pct"/>
            <w:tcBorders>
              <w:top w:val="nil"/>
              <w:left w:val="nil"/>
              <w:bottom w:val="nil"/>
              <w:right w:val="nil"/>
            </w:tcBorders>
            <w:shd w:val="clear" w:color="auto" w:fill="005CA9"/>
            <w:noWrap/>
            <w:vAlign w:val="center"/>
            <w:hideMark/>
          </w:tcPr>
          <w:p w14:paraId="0B95F511" w14:textId="77777777" w:rsidR="00744707" w:rsidRPr="009518F8" w:rsidRDefault="00744707">
            <w:pPr>
              <w:jc w:val="right"/>
              <w:rPr>
                <w:rFonts w:ascii="CAIXA Std Book" w:eastAsia="Times New Roman" w:hAnsi="CAIXA Std Book" w:cs="Calibri"/>
                <w:b/>
                <w:bCs/>
                <w:color w:val="FFFFFF"/>
                <w:sz w:val="18"/>
                <w:szCs w:val="18"/>
              </w:rPr>
            </w:pPr>
            <w:r w:rsidRPr="00617354">
              <w:rPr>
                <w:rFonts w:ascii="CAIXA Std Book" w:eastAsia="Times New Roman" w:hAnsi="CAIXA Std Book" w:cs="Calibri"/>
                <w:b/>
                <w:color w:val="FFFFFF"/>
                <w:sz w:val="18"/>
                <w:szCs w:val="18"/>
              </w:rPr>
              <w:t>30.433.911</w:t>
            </w:r>
          </w:p>
        </w:tc>
        <w:tc>
          <w:tcPr>
            <w:tcW w:w="630" w:type="pct"/>
            <w:tcBorders>
              <w:top w:val="nil"/>
              <w:left w:val="nil"/>
              <w:bottom w:val="nil"/>
              <w:right w:val="nil"/>
            </w:tcBorders>
            <w:shd w:val="clear" w:color="auto" w:fill="005CA9"/>
            <w:noWrap/>
            <w:vAlign w:val="center"/>
            <w:hideMark/>
          </w:tcPr>
          <w:p w14:paraId="12E7350A" w14:textId="44666B45" w:rsidR="00744707" w:rsidRPr="009518F8" w:rsidRDefault="00291B83">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3.080.206</w:t>
            </w:r>
          </w:p>
        </w:tc>
        <w:tc>
          <w:tcPr>
            <w:tcW w:w="630" w:type="pct"/>
            <w:tcBorders>
              <w:top w:val="nil"/>
              <w:left w:val="nil"/>
              <w:bottom w:val="nil"/>
              <w:right w:val="nil"/>
            </w:tcBorders>
            <w:shd w:val="clear" w:color="auto" w:fill="005CA9"/>
            <w:noWrap/>
            <w:vAlign w:val="center"/>
            <w:hideMark/>
          </w:tcPr>
          <w:p w14:paraId="4AEA8C63" w14:textId="091C94DB" w:rsidR="00744707" w:rsidRPr="009518F8" w:rsidRDefault="00291B83">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(560.113)</w:t>
            </w:r>
          </w:p>
        </w:tc>
        <w:tc>
          <w:tcPr>
            <w:tcW w:w="630" w:type="pct"/>
            <w:tcBorders>
              <w:top w:val="nil"/>
              <w:left w:val="nil"/>
              <w:bottom w:val="nil"/>
              <w:right w:val="nil"/>
            </w:tcBorders>
            <w:shd w:val="clear" w:color="auto" w:fill="005CA9"/>
            <w:noWrap/>
            <w:vAlign w:val="center"/>
            <w:hideMark/>
          </w:tcPr>
          <w:p w14:paraId="23187DF2" w14:textId="684BF87A" w:rsidR="00744707" w:rsidRPr="009518F8" w:rsidRDefault="00744707">
            <w:pPr>
              <w:jc w:val="right"/>
              <w:rPr>
                <w:rFonts w:ascii="CAIXA Std Book" w:eastAsia="Times New Roman" w:hAnsi="CAIXA Std Book" w:cs="Calibri"/>
                <w:b/>
                <w:bCs/>
                <w:color w:val="FFFFFF"/>
                <w:sz w:val="18"/>
                <w:szCs w:val="18"/>
              </w:rPr>
            </w:pPr>
            <w:r>
              <w:rPr>
                <w:rFonts w:ascii="CAIXA Std Book" w:eastAsia="Times New Roman" w:hAnsi="CAIXA Std Book" w:cs="Calibri"/>
                <w:b/>
                <w:color w:val="FFFFFF"/>
                <w:sz w:val="18"/>
                <w:szCs w:val="18"/>
              </w:rPr>
              <w:t>(</w:t>
            </w:r>
            <w:r w:rsidRPr="00617354">
              <w:rPr>
                <w:rFonts w:ascii="CAIXA Std Book" w:eastAsia="Times New Roman" w:hAnsi="CAIXA Std Book" w:cs="Calibri"/>
                <w:b/>
                <w:color w:val="FFFFFF"/>
                <w:sz w:val="18"/>
                <w:szCs w:val="18"/>
              </w:rPr>
              <w:t>6.</w:t>
            </w:r>
            <w:r w:rsidR="00291B83">
              <w:rPr>
                <w:rFonts w:ascii="CAIXA Std Book" w:hAnsi="CAIXA Std Book" w:cs="Calibri"/>
                <w:b/>
                <w:bCs/>
                <w:color w:val="FFFFFF"/>
                <w:sz w:val="18"/>
                <w:szCs w:val="18"/>
              </w:rPr>
              <w:t>045.398</w:t>
            </w:r>
            <w:r>
              <w:rPr>
                <w:rFonts w:ascii="CAIXA Std Book" w:eastAsia="Times New Roman" w:hAnsi="CAIXA Std Book" w:cs="Calibri"/>
                <w:b/>
                <w:color w:val="FFFFFF"/>
                <w:sz w:val="18"/>
                <w:szCs w:val="18"/>
              </w:rPr>
              <w:t>)</w:t>
            </w:r>
          </w:p>
        </w:tc>
        <w:tc>
          <w:tcPr>
            <w:tcW w:w="629" w:type="pct"/>
            <w:tcBorders>
              <w:top w:val="nil"/>
              <w:left w:val="nil"/>
              <w:bottom w:val="nil"/>
              <w:right w:val="nil"/>
            </w:tcBorders>
            <w:shd w:val="clear" w:color="auto" w:fill="005CA9"/>
            <w:noWrap/>
            <w:vAlign w:val="center"/>
            <w:hideMark/>
          </w:tcPr>
          <w:p w14:paraId="7DA4676E" w14:textId="169F0365" w:rsidR="00744707" w:rsidRPr="009518F8" w:rsidRDefault="00291B83">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26.908.606</w:t>
            </w:r>
          </w:p>
        </w:tc>
      </w:tr>
    </w:tbl>
    <w:p w14:paraId="189132B4" w14:textId="77777777" w:rsidR="00FD7BFB" w:rsidRDefault="00FD7BFB">
      <w:r>
        <w:br w:type="page"/>
      </w:r>
    </w:p>
    <w:tbl>
      <w:tblPr>
        <w:tblW w:w="5027" w:type="pct"/>
        <w:tblCellMar>
          <w:left w:w="70" w:type="dxa"/>
          <w:right w:w="70" w:type="dxa"/>
        </w:tblCellMar>
        <w:tblLook w:val="04A0" w:firstRow="1" w:lastRow="0" w:firstColumn="1" w:lastColumn="0" w:noHBand="0" w:noVBand="1"/>
      </w:tblPr>
      <w:tblGrid>
        <w:gridCol w:w="5389"/>
        <w:gridCol w:w="1992"/>
        <w:gridCol w:w="1816"/>
        <w:gridCol w:w="1816"/>
        <w:gridCol w:w="1816"/>
        <w:gridCol w:w="1819"/>
      </w:tblGrid>
      <w:tr w:rsidR="008A2633" w:rsidRPr="009518F8" w14:paraId="7B1A58E8" w14:textId="77777777" w:rsidTr="00702F34">
        <w:trPr>
          <w:trHeight w:val="283"/>
        </w:trPr>
        <w:tc>
          <w:tcPr>
            <w:tcW w:w="5000" w:type="pct"/>
            <w:gridSpan w:val="6"/>
            <w:tcBorders>
              <w:top w:val="nil"/>
              <w:left w:val="nil"/>
              <w:bottom w:val="single" w:sz="4" w:space="0" w:color="FFFFFF" w:themeColor="background1"/>
              <w:right w:val="nil"/>
            </w:tcBorders>
            <w:shd w:val="clear" w:color="auto" w:fill="005CA9"/>
            <w:vAlign w:val="center"/>
            <w:hideMark/>
          </w:tcPr>
          <w:p w14:paraId="4F07D8F0" w14:textId="4CBDACA7" w:rsidR="008A2633" w:rsidRPr="009518F8" w:rsidRDefault="008A2633">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Consolidado</w:t>
            </w:r>
          </w:p>
        </w:tc>
      </w:tr>
      <w:tr w:rsidR="008A2633" w:rsidRPr="009518F8" w14:paraId="2501D3CE" w14:textId="77777777" w:rsidTr="00865D5B">
        <w:trPr>
          <w:trHeight w:val="283"/>
        </w:trPr>
        <w:tc>
          <w:tcPr>
            <w:tcW w:w="1839" w:type="pct"/>
            <w:tcBorders>
              <w:top w:val="single" w:sz="4" w:space="0" w:color="FFFFFF" w:themeColor="background1"/>
              <w:left w:val="nil"/>
              <w:bottom w:val="nil"/>
              <w:right w:val="nil"/>
            </w:tcBorders>
            <w:shd w:val="clear" w:color="auto" w:fill="005CA9"/>
            <w:vAlign w:val="center"/>
            <w:hideMark/>
          </w:tcPr>
          <w:p w14:paraId="3CD1C7CC" w14:textId="77777777" w:rsidR="008A2633" w:rsidRPr="009518F8" w:rsidRDefault="008A2633">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Estágio 3</w:t>
            </w:r>
            <w:r w:rsidRPr="009518F8">
              <w:rPr>
                <w:rFonts w:ascii="CAIXA Std Book" w:eastAsia="Times New Roman" w:hAnsi="CAIXA Std Book" w:cs="Calibri"/>
                <w:color w:val="005CA9"/>
                <w:sz w:val="18"/>
                <w:szCs w:val="18"/>
              </w:rPr>
              <w:t> </w:t>
            </w:r>
          </w:p>
        </w:tc>
        <w:tc>
          <w:tcPr>
            <w:tcW w:w="680" w:type="pct"/>
            <w:tcBorders>
              <w:top w:val="single" w:sz="4" w:space="0" w:color="FFFFFF" w:themeColor="background1"/>
              <w:left w:val="nil"/>
              <w:bottom w:val="nil"/>
              <w:right w:val="nil"/>
            </w:tcBorders>
            <w:shd w:val="clear" w:color="auto" w:fill="005CA9"/>
            <w:vAlign w:val="center"/>
            <w:hideMark/>
          </w:tcPr>
          <w:p w14:paraId="56EABF57" w14:textId="77777777" w:rsidR="008A2633" w:rsidRPr="009518F8" w:rsidRDefault="008A2633">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Saldo em 01/01/2025</w:t>
            </w:r>
            <w:r w:rsidRPr="009518F8">
              <w:rPr>
                <w:rFonts w:ascii="CAIXA Std Book" w:eastAsia="Times New Roman" w:hAnsi="CAIXA Std Book" w:cs="Calibri"/>
                <w:color w:val="005CA9"/>
                <w:sz w:val="18"/>
                <w:szCs w:val="18"/>
              </w:rPr>
              <w:t> </w:t>
            </w:r>
          </w:p>
        </w:tc>
        <w:tc>
          <w:tcPr>
            <w:tcW w:w="620" w:type="pct"/>
            <w:tcBorders>
              <w:top w:val="single" w:sz="4" w:space="0" w:color="FFFFFF" w:themeColor="background1"/>
              <w:left w:val="nil"/>
              <w:bottom w:val="nil"/>
              <w:right w:val="nil"/>
            </w:tcBorders>
            <w:shd w:val="clear" w:color="auto" w:fill="005CA9"/>
            <w:vAlign w:val="center"/>
            <w:hideMark/>
          </w:tcPr>
          <w:p w14:paraId="06BB4B78" w14:textId="77777777" w:rsidR="008A2633" w:rsidRPr="009518F8" w:rsidRDefault="008A2633">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Contratação/ liquidação</w:t>
            </w:r>
            <w:r w:rsidRPr="009518F8">
              <w:rPr>
                <w:rFonts w:ascii="CAIXA Std Book" w:eastAsia="Times New Roman" w:hAnsi="CAIXA Std Book" w:cs="Calibri"/>
                <w:color w:val="005CA9"/>
                <w:sz w:val="18"/>
                <w:szCs w:val="18"/>
              </w:rPr>
              <w:t> </w:t>
            </w:r>
          </w:p>
        </w:tc>
        <w:tc>
          <w:tcPr>
            <w:tcW w:w="620" w:type="pct"/>
            <w:tcBorders>
              <w:top w:val="single" w:sz="4" w:space="0" w:color="FFFFFF" w:themeColor="background1"/>
              <w:left w:val="nil"/>
              <w:bottom w:val="nil"/>
              <w:right w:val="nil"/>
            </w:tcBorders>
            <w:shd w:val="clear" w:color="auto" w:fill="005CA9"/>
            <w:vAlign w:val="center"/>
            <w:hideMark/>
          </w:tcPr>
          <w:p w14:paraId="5A4AEC6B" w14:textId="77777777" w:rsidR="008A2633" w:rsidRDefault="008A2633">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Transferência do/</w:t>
            </w:r>
          </w:p>
          <w:p w14:paraId="075CBD0F" w14:textId="77777777" w:rsidR="008A2633" w:rsidRPr="009518F8" w:rsidRDefault="008A2633">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para estágio 1</w:t>
            </w:r>
            <w:r w:rsidRPr="009518F8">
              <w:rPr>
                <w:rFonts w:ascii="CAIXA Std Book" w:eastAsia="Times New Roman" w:hAnsi="CAIXA Std Book" w:cs="Calibri"/>
                <w:color w:val="005CA9"/>
                <w:sz w:val="18"/>
                <w:szCs w:val="18"/>
              </w:rPr>
              <w:t> </w:t>
            </w:r>
          </w:p>
        </w:tc>
        <w:tc>
          <w:tcPr>
            <w:tcW w:w="620" w:type="pct"/>
            <w:tcBorders>
              <w:top w:val="single" w:sz="4" w:space="0" w:color="FFFFFF" w:themeColor="background1"/>
              <w:left w:val="nil"/>
              <w:bottom w:val="nil"/>
              <w:right w:val="nil"/>
            </w:tcBorders>
            <w:shd w:val="clear" w:color="auto" w:fill="005CA9"/>
            <w:vAlign w:val="center"/>
            <w:hideMark/>
          </w:tcPr>
          <w:p w14:paraId="0BCDA96A" w14:textId="77777777" w:rsidR="008A2633" w:rsidRDefault="008A2633">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Transferência do/</w:t>
            </w:r>
          </w:p>
          <w:p w14:paraId="6BE90D7D" w14:textId="77777777" w:rsidR="008A2633" w:rsidRPr="009518F8" w:rsidRDefault="008A2633">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para estágio 2</w:t>
            </w:r>
            <w:r w:rsidRPr="009518F8">
              <w:rPr>
                <w:rFonts w:ascii="CAIXA Std Book" w:eastAsia="Times New Roman" w:hAnsi="CAIXA Std Book" w:cs="Calibri"/>
                <w:color w:val="005CA9"/>
                <w:sz w:val="18"/>
                <w:szCs w:val="18"/>
              </w:rPr>
              <w:t> </w:t>
            </w:r>
          </w:p>
        </w:tc>
        <w:tc>
          <w:tcPr>
            <w:tcW w:w="622" w:type="pct"/>
            <w:tcBorders>
              <w:top w:val="single" w:sz="4" w:space="0" w:color="FFFFFF" w:themeColor="background1"/>
              <w:left w:val="nil"/>
              <w:bottom w:val="nil"/>
              <w:right w:val="nil"/>
            </w:tcBorders>
            <w:shd w:val="clear" w:color="auto" w:fill="005CA9"/>
            <w:vAlign w:val="center"/>
            <w:hideMark/>
          </w:tcPr>
          <w:p w14:paraId="66B76746" w14:textId="039FB5A2" w:rsidR="008A2633" w:rsidRPr="009518F8" w:rsidRDefault="008A2633">
            <w:pPr>
              <w:jc w:val="cente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Saldo em 31/</w:t>
            </w:r>
            <w:r w:rsidR="00291B83">
              <w:rPr>
                <w:rFonts w:ascii="CAIXA Std Book" w:eastAsia="Times New Roman" w:hAnsi="CAIXA Std Book" w:cs="Calibri"/>
                <w:b/>
                <w:bCs/>
                <w:color w:val="FFFFFF"/>
                <w:sz w:val="18"/>
                <w:szCs w:val="18"/>
              </w:rPr>
              <w:t>12</w:t>
            </w:r>
            <w:r w:rsidRPr="009518F8">
              <w:rPr>
                <w:rFonts w:ascii="CAIXA Std Book" w:eastAsia="Times New Roman" w:hAnsi="CAIXA Std Book" w:cs="Calibri"/>
                <w:b/>
                <w:bCs/>
                <w:color w:val="FFFFFF"/>
                <w:sz w:val="18"/>
                <w:szCs w:val="18"/>
              </w:rPr>
              <w:t>/2025</w:t>
            </w:r>
            <w:r w:rsidRPr="009518F8">
              <w:rPr>
                <w:rFonts w:ascii="CAIXA Std Book" w:eastAsia="Times New Roman" w:hAnsi="CAIXA Std Book" w:cs="Calibri"/>
                <w:color w:val="005CA9"/>
                <w:sz w:val="18"/>
                <w:szCs w:val="18"/>
              </w:rPr>
              <w:t> </w:t>
            </w:r>
          </w:p>
        </w:tc>
      </w:tr>
      <w:tr w:rsidR="008A2633" w:rsidRPr="009518F8" w14:paraId="39DC7813" w14:textId="77777777" w:rsidTr="00865D5B">
        <w:trPr>
          <w:trHeight w:val="283"/>
        </w:trPr>
        <w:tc>
          <w:tcPr>
            <w:tcW w:w="1839" w:type="pct"/>
            <w:tcBorders>
              <w:top w:val="nil"/>
              <w:left w:val="nil"/>
              <w:bottom w:val="nil"/>
              <w:right w:val="nil"/>
            </w:tcBorders>
            <w:noWrap/>
            <w:vAlign w:val="center"/>
            <w:hideMark/>
          </w:tcPr>
          <w:p w14:paraId="5227447A" w14:textId="77777777" w:rsidR="008A2633" w:rsidRPr="009518F8" w:rsidRDefault="008A2633">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Empréstimos e direitos creditórios descontados </w:t>
            </w:r>
          </w:p>
        </w:tc>
        <w:tc>
          <w:tcPr>
            <w:tcW w:w="680" w:type="pct"/>
            <w:tcBorders>
              <w:top w:val="nil"/>
              <w:left w:val="nil"/>
              <w:bottom w:val="nil"/>
              <w:right w:val="nil"/>
            </w:tcBorders>
            <w:noWrap/>
            <w:vAlign w:val="center"/>
            <w:hideMark/>
          </w:tcPr>
          <w:p w14:paraId="477AD077" w14:textId="77777777" w:rsidR="008A2633" w:rsidRPr="009518F8" w:rsidRDefault="008A263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21.745.337</w:t>
            </w:r>
          </w:p>
        </w:tc>
        <w:tc>
          <w:tcPr>
            <w:tcW w:w="620" w:type="pct"/>
            <w:tcBorders>
              <w:top w:val="nil"/>
              <w:left w:val="nil"/>
              <w:bottom w:val="nil"/>
              <w:right w:val="nil"/>
            </w:tcBorders>
            <w:vAlign w:val="center"/>
            <w:hideMark/>
          </w:tcPr>
          <w:p w14:paraId="4D9C3E65" w14:textId="0AE583A8"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(1.756.420)</w:t>
            </w:r>
          </w:p>
        </w:tc>
        <w:tc>
          <w:tcPr>
            <w:tcW w:w="620" w:type="pct"/>
            <w:tcBorders>
              <w:top w:val="nil"/>
              <w:left w:val="nil"/>
              <w:bottom w:val="nil"/>
              <w:right w:val="nil"/>
            </w:tcBorders>
            <w:vAlign w:val="center"/>
            <w:hideMark/>
          </w:tcPr>
          <w:p w14:paraId="7E12885F" w14:textId="54B44066"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6.758.151</w:t>
            </w:r>
          </w:p>
        </w:tc>
        <w:tc>
          <w:tcPr>
            <w:tcW w:w="620" w:type="pct"/>
            <w:tcBorders>
              <w:top w:val="nil"/>
              <w:left w:val="nil"/>
              <w:bottom w:val="nil"/>
              <w:right w:val="nil"/>
            </w:tcBorders>
            <w:noWrap/>
            <w:vAlign w:val="center"/>
            <w:hideMark/>
          </w:tcPr>
          <w:p w14:paraId="2806A2FE" w14:textId="74D54CE6"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4.286.274</w:t>
            </w:r>
          </w:p>
        </w:tc>
        <w:tc>
          <w:tcPr>
            <w:tcW w:w="622" w:type="pct"/>
            <w:tcBorders>
              <w:top w:val="nil"/>
              <w:left w:val="nil"/>
              <w:bottom w:val="nil"/>
              <w:right w:val="nil"/>
            </w:tcBorders>
            <w:noWrap/>
            <w:vAlign w:val="center"/>
            <w:hideMark/>
          </w:tcPr>
          <w:p w14:paraId="21A7B521" w14:textId="6BAD3901"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31.033.342</w:t>
            </w:r>
          </w:p>
        </w:tc>
      </w:tr>
      <w:tr w:rsidR="008A2633" w:rsidRPr="009518F8" w14:paraId="51D35B4D" w14:textId="77777777" w:rsidTr="00865D5B">
        <w:trPr>
          <w:trHeight w:val="283"/>
        </w:trPr>
        <w:tc>
          <w:tcPr>
            <w:tcW w:w="1839" w:type="pct"/>
            <w:tcBorders>
              <w:top w:val="nil"/>
              <w:left w:val="nil"/>
              <w:bottom w:val="nil"/>
              <w:right w:val="nil"/>
            </w:tcBorders>
            <w:noWrap/>
            <w:vAlign w:val="center"/>
            <w:hideMark/>
          </w:tcPr>
          <w:p w14:paraId="59F73682" w14:textId="77777777" w:rsidR="008A2633" w:rsidRPr="009518F8" w:rsidRDefault="008A2633">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 </w:t>
            </w:r>
          </w:p>
        </w:tc>
        <w:tc>
          <w:tcPr>
            <w:tcW w:w="680" w:type="pct"/>
            <w:tcBorders>
              <w:top w:val="nil"/>
              <w:left w:val="nil"/>
              <w:bottom w:val="nil"/>
              <w:right w:val="nil"/>
            </w:tcBorders>
            <w:noWrap/>
            <w:vAlign w:val="center"/>
            <w:hideMark/>
          </w:tcPr>
          <w:p w14:paraId="7BF30F9C" w14:textId="77777777" w:rsidR="008A2633" w:rsidRPr="009518F8" w:rsidRDefault="008A263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578.823</w:t>
            </w:r>
          </w:p>
        </w:tc>
        <w:tc>
          <w:tcPr>
            <w:tcW w:w="620" w:type="pct"/>
            <w:tcBorders>
              <w:top w:val="nil"/>
              <w:left w:val="nil"/>
              <w:bottom w:val="nil"/>
              <w:right w:val="nil"/>
            </w:tcBorders>
            <w:vAlign w:val="center"/>
            <w:hideMark/>
          </w:tcPr>
          <w:p w14:paraId="36AAD393" w14:textId="27EBE9F8"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530.233</w:t>
            </w:r>
          </w:p>
        </w:tc>
        <w:tc>
          <w:tcPr>
            <w:tcW w:w="620" w:type="pct"/>
            <w:tcBorders>
              <w:top w:val="nil"/>
              <w:left w:val="nil"/>
              <w:bottom w:val="nil"/>
              <w:right w:val="nil"/>
            </w:tcBorders>
            <w:vAlign w:val="center"/>
            <w:hideMark/>
          </w:tcPr>
          <w:p w14:paraId="52838AA3" w14:textId="3EC29BE6"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350.639</w:t>
            </w:r>
          </w:p>
        </w:tc>
        <w:tc>
          <w:tcPr>
            <w:tcW w:w="620" w:type="pct"/>
            <w:tcBorders>
              <w:top w:val="nil"/>
              <w:left w:val="nil"/>
              <w:bottom w:val="nil"/>
              <w:right w:val="nil"/>
            </w:tcBorders>
            <w:noWrap/>
            <w:vAlign w:val="center"/>
            <w:hideMark/>
          </w:tcPr>
          <w:p w14:paraId="1B6A800F" w14:textId="19AF92D0"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166.542</w:t>
            </w:r>
          </w:p>
        </w:tc>
        <w:tc>
          <w:tcPr>
            <w:tcW w:w="622" w:type="pct"/>
            <w:tcBorders>
              <w:top w:val="nil"/>
              <w:left w:val="nil"/>
              <w:bottom w:val="nil"/>
              <w:right w:val="nil"/>
            </w:tcBorders>
            <w:noWrap/>
            <w:vAlign w:val="center"/>
            <w:hideMark/>
          </w:tcPr>
          <w:p w14:paraId="5FBF880E" w14:textId="38C10802"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1.626.237</w:t>
            </w:r>
          </w:p>
        </w:tc>
      </w:tr>
      <w:tr w:rsidR="008A2633" w:rsidRPr="009518F8" w14:paraId="2C242677" w14:textId="77777777" w:rsidTr="00865D5B">
        <w:trPr>
          <w:trHeight w:val="283"/>
        </w:trPr>
        <w:tc>
          <w:tcPr>
            <w:tcW w:w="1839" w:type="pct"/>
            <w:tcBorders>
              <w:top w:val="nil"/>
              <w:left w:val="nil"/>
              <w:bottom w:val="nil"/>
              <w:right w:val="nil"/>
            </w:tcBorders>
            <w:noWrap/>
            <w:vAlign w:val="center"/>
            <w:hideMark/>
          </w:tcPr>
          <w:p w14:paraId="34626720" w14:textId="77777777" w:rsidR="008A2633" w:rsidRPr="009518F8" w:rsidRDefault="008A2633">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 rurais  </w:t>
            </w:r>
          </w:p>
        </w:tc>
        <w:tc>
          <w:tcPr>
            <w:tcW w:w="680" w:type="pct"/>
            <w:tcBorders>
              <w:top w:val="nil"/>
              <w:left w:val="nil"/>
              <w:bottom w:val="nil"/>
              <w:right w:val="nil"/>
            </w:tcBorders>
            <w:noWrap/>
            <w:vAlign w:val="center"/>
            <w:hideMark/>
          </w:tcPr>
          <w:p w14:paraId="3E1AFB69" w14:textId="77777777" w:rsidR="008A2633" w:rsidRPr="009518F8" w:rsidRDefault="008A263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4.008.564</w:t>
            </w:r>
          </w:p>
        </w:tc>
        <w:tc>
          <w:tcPr>
            <w:tcW w:w="620" w:type="pct"/>
            <w:tcBorders>
              <w:top w:val="nil"/>
              <w:left w:val="nil"/>
              <w:bottom w:val="nil"/>
              <w:right w:val="nil"/>
            </w:tcBorders>
            <w:vAlign w:val="center"/>
            <w:hideMark/>
          </w:tcPr>
          <w:p w14:paraId="2C2BBB3F" w14:textId="21579BC5"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181.765</w:t>
            </w:r>
          </w:p>
        </w:tc>
        <w:tc>
          <w:tcPr>
            <w:tcW w:w="620" w:type="pct"/>
            <w:tcBorders>
              <w:top w:val="nil"/>
              <w:left w:val="nil"/>
              <w:bottom w:val="nil"/>
              <w:right w:val="nil"/>
            </w:tcBorders>
            <w:vAlign w:val="center"/>
            <w:hideMark/>
          </w:tcPr>
          <w:p w14:paraId="24BB1A08" w14:textId="41E433B3"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6.224.495</w:t>
            </w:r>
          </w:p>
        </w:tc>
        <w:tc>
          <w:tcPr>
            <w:tcW w:w="620" w:type="pct"/>
            <w:tcBorders>
              <w:top w:val="nil"/>
              <w:left w:val="nil"/>
              <w:bottom w:val="nil"/>
              <w:right w:val="nil"/>
            </w:tcBorders>
            <w:noWrap/>
            <w:vAlign w:val="center"/>
            <w:hideMark/>
          </w:tcPr>
          <w:p w14:paraId="38E27CF3" w14:textId="1BDF00C2"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301.461</w:t>
            </w:r>
          </w:p>
        </w:tc>
        <w:tc>
          <w:tcPr>
            <w:tcW w:w="622" w:type="pct"/>
            <w:tcBorders>
              <w:top w:val="nil"/>
              <w:left w:val="nil"/>
              <w:bottom w:val="nil"/>
              <w:right w:val="nil"/>
            </w:tcBorders>
            <w:noWrap/>
            <w:vAlign w:val="center"/>
            <w:hideMark/>
          </w:tcPr>
          <w:p w14:paraId="63E03A29" w14:textId="341FD761"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10.716.285</w:t>
            </w:r>
          </w:p>
        </w:tc>
      </w:tr>
      <w:tr w:rsidR="008A2633" w:rsidRPr="009518F8" w14:paraId="1055A2C8" w14:textId="77777777" w:rsidTr="00865D5B">
        <w:trPr>
          <w:trHeight w:val="283"/>
        </w:trPr>
        <w:tc>
          <w:tcPr>
            <w:tcW w:w="1839" w:type="pct"/>
            <w:tcBorders>
              <w:top w:val="nil"/>
              <w:left w:val="nil"/>
              <w:bottom w:val="nil"/>
              <w:right w:val="nil"/>
            </w:tcBorders>
            <w:noWrap/>
            <w:vAlign w:val="center"/>
            <w:hideMark/>
          </w:tcPr>
          <w:p w14:paraId="01E46878" w14:textId="77777777" w:rsidR="008A2633" w:rsidRPr="009518F8" w:rsidRDefault="008A2633">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 imobiliários </w:t>
            </w:r>
          </w:p>
        </w:tc>
        <w:tc>
          <w:tcPr>
            <w:tcW w:w="680" w:type="pct"/>
            <w:tcBorders>
              <w:top w:val="nil"/>
              <w:left w:val="nil"/>
              <w:bottom w:val="nil"/>
              <w:right w:val="nil"/>
            </w:tcBorders>
            <w:noWrap/>
            <w:vAlign w:val="center"/>
            <w:hideMark/>
          </w:tcPr>
          <w:p w14:paraId="328870C7" w14:textId="77777777" w:rsidR="008A2633" w:rsidRPr="009518F8" w:rsidRDefault="008A263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32.603.630</w:t>
            </w:r>
          </w:p>
        </w:tc>
        <w:tc>
          <w:tcPr>
            <w:tcW w:w="620" w:type="pct"/>
            <w:tcBorders>
              <w:top w:val="nil"/>
              <w:left w:val="nil"/>
              <w:bottom w:val="nil"/>
              <w:right w:val="nil"/>
            </w:tcBorders>
            <w:vAlign w:val="center"/>
            <w:hideMark/>
          </w:tcPr>
          <w:p w14:paraId="375B4A14" w14:textId="2F4EDBB0"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(3.134.792)</w:t>
            </w:r>
          </w:p>
        </w:tc>
        <w:tc>
          <w:tcPr>
            <w:tcW w:w="620" w:type="pct"/>
            <w:tcBorders>
              <w:top w:val="nil"/>
              <w:left w:val="nil"/>
              <w:bottom w:val="nil"/>
              <w:right w:val="nil"/>
            </w:tcBorders>
            <w:vAlign w:val="center"/>
            <w:hideMark/>
          </w:tcPr>
          <w:p w14:paraId="4435AC32" w14:textId="0AEC9DD1"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9.250.518</w:t>
            </w:r>
          </w:p>
        </w:tc>
        <w:tc>
          <w:tcPr>
            <w:tcW w:w="620" w:type="pct"/>
            <w:tcBorders>
              <w:top w:val="nil"/>
              <w:left w:val="nil"/>
              <w:bottom w:val="nil"/>
              <w:right w:val="nil"/>
            </w:tcBorders>
            <w:noWrap/>
            <w:vAlign w:val="center"/>
            <w:hideMark/>
          </w:tcPr>
          <w:p w14:paraId="5A1BC637" w14:textId="68746381"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1.227.340</w:t>
            </w:r>
          </w:p>
        </w:tc>
        <w:tc>
          <w:tcPr>
            <w:tcW w:w="622" w:type="pct"/>
            <w:tcBorders>
              <w:top w:val="nil"/>
              <w:left w:val="nil"/>
              <w:bottom w:val="nil"/>
              <w:right w:val="nil"/>
            </w:tcBorders>
            <w:noWrap/>
            <w:vAlign w:val="center"/>
            <w:hideMark/>
          </w:tcPr>
          <w:p w14:paraId="769013D4" w14:textId="0BDFE826"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39.946.696</w:t>
            </w:r>
          </w:p>
        </w:tc>
      </w:tr>
      <w:tr w:rsidR="008A2633" w:rsidRPr="009518F8" w14:paraId="1B070DA0" w14:textId="77777777" w:rsidTr="00865D5B">
        <w:trPr>
          <w:trHeight w:val="283"/>
        </w:trPr>
        <w:tc>
          <w:tcPr>
            <w:tcW w:w="1839" w:type="pct"/>
            <w:tcBorders>
              <w:top w:val="nil"/>
              <w:left w:val="nil"/>
              <w:bottom w:val="nil"/>
              <w:right w:val="nil"/>
            </w:tcBorders>
            <w:noWrap/>
            <w:vAlign w:val="center"/>
            <w:hideMark/>
          </w:tcPr>
          <w:p w14:paraId="40528263" w14:textId="77777777" w:rsidR="008A2633" w:rsidRPr="009518F8" w:rsidRDefault="008A2633">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Financiamentos de infraestrutura </w:t>
            </w:r>
          </w:p>
        </w:tc>
        <w:tc>
          <w:tcPr>
            <w:tcW w:w="680" w:type="pct"/>
            <w:tcBorders>
              <w:top w:val="nil"/>
              <w:left w:val="nil"/>
              <w:bottom w:val="nil"/>
              <w:right w:val="nil"/>
            </w:tcBorders>
            <w:noWrap/>
            <w:vAlign w:val="center"/>
            <w:hideMark/>
          </w:tcPr>
          <w:p w14:paraId="3860DE7E" w14:textId="77777777" w:rsidR="008A2633" w:rsidRPr="009518F8" w:rsidRDefault="008A263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5.865.448</w:t>
            </w:r>
          </w:p>
        </w:tc>
        <w:tc>
          <w:tcPr>
            <w:tcW w:w="620" w:type="pct"/>
            <w:tcBorders>
              <w:top w:val="nil"/>
              <w:left w:val="nil"/>
              <w:bottom w:val="nil"/>
              <w:right w:val="nil"/>
            </w:tcBorders>
            <w:vAlign w:val="center"/>
            <w:hideMark/>
          </w:tcPr>
          <w:p w14:paraId="77444908" w14:textId="4F1D4C3D"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(205.735)</w:t>
            </w:r>
          </w:p>
        </w:tc>
        <w:tc>
          <w:tcPr>
            <w:tcW w:w="620" w:type="pct"/>
            <w:tcBorders>
              <w:top w:val="nil"/>
              <w:left w:val="nil"/>
              <w:bottom w:val="nil"/>
              <w:right w:val="nil"/>
            </w:tcBorders>
            <w:vAlign w:val="center"/>
            <w:hideMark/>
          </w:tcPr>
          <w:p w14:paraId="11B2C021" w14:textId="2725D755" w:rsidR="008A2633" w:rsidRPr="00FE1B3B" w:rsidRDefault="00BA7FF3" w:rsidP="00E014D6">
            <w:pPr>
              <w:jc w:val="right"/>
              <w:rPr>
                <w:rFonts w:ascii="CAIXA Std Book" w:hAnsi="CAIXA Std Book" w:cs="Calibri"/>
                <w:color w:val="005CA9"/>
                <w:sz w:val="18"/>
                <w:szCs w:val="18"/>
              </w:rPr>
            </w:pPr>
            <w:r>
              <w:rPr>
                <w:rFonts w:ascii="CAIXA Std Book" w:hAnsi="CAIXA Std Book" w:cs="Calibri"/>
                <w:color w:val="005CA9"/>
                <w:sz w:val="18"/>
                <w:szCs w:val="18"/>
              </w:rPr>
              <w:t>102.162</w:t>
            </w:r>
          </w:p>
        </w:tc>
        <w:tc>
          <w:tcPr>
            <w:tcW w:w="620" w:type="pct"/>
            <w:tcBorders>
              <w:top w:val="nil"/>
              <w:left w:val="nil"/>
              <w:bottom w:val="nil"/>
              <w:right w:val="nil"/>
            </w:tcBorders>
            <w:noWrap/>
            <w:vAlign w:val="center"/>
            <w:hideMark/>
          </w:tcPr>
          <w:p w14:paraId="11816E29" w14:textId="513A9EC7"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4.379</w:t>
            </w:r>
          </w:p>
        </w:tc>
        <w:tc>
          <w:tcPr>
            <w:tcW w:w="622" w:type="pct"/>
            <w:tcBorders>
              <w:top w:val="nil"/>
              <w:left w:val="nil"/>
              <w:bottom w:val="nil"/>
              <w:right w:val="nil"/>
            </w:tcBorders>
            <w:noWrap/>
            <w:vAlign w:val="center"/>
            <w:hideMark/>
          </w:tcPr>
          <w:p w14:paraId="2D6BC8E7" w14:textId="4224CD3A"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5.766.254</w:t>
            </w:r>
          </w:p>
        </w:tc>
      </w:tr>
      <w:tr w:rsidR="008A2633" w:rsidRPr="009518F8" w14:paraId="4922064C" w14:textId="77777777" w:rsidTr="00865D5B">
        <w:trPr>
          <w:trHeight w:val="283"/>
        </w:trPr>
        <w:tc>
          <w:tcPr>
            <w:tcW w:w="1839" w:type="pct"/>
            <w:tcBorders>
              <w:top w:val="nil"/>
              <w:left w:val="nil"/>
              <w:bottom w:val="nil"/>
              <w:right w:val="nil"/>
            </w:tcBorders>
            <w:noWrap/>
            <w:vAlign w:val="center"/>
          </w:tcPr>
          <w:p w14:paraId="78A28671" w14:textId="77777777" w:rsidR="008A2633" w:rsidRPr="009518F8" w:rsidRDefault="008A2633">
            <w:pP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Cessão de crédito</w:t>
            </w:r>
          </w:p>
        </w:tc>
        <w:tc>
          <w:tcPr>
            <w:tcW w:w="680" w:type="pct"/>
            <w:tcBorders>
              <w:top w:val="nil"/>
              <w:left w:val="nil"/>
              <w:bottom w:val="nil"/>
              <w:right w:val="nil"/>
            </w:tcBorders>
            <w:noWrap/>
            <w:vAlign w:val="center"/>
          </w:tcPr>
          <w:p w14:paraId="0E0C9CA8" w14:textId="77777777" w:rsidR="008A2633" w:rsidRPr="009518F8" w:rsidRDefault="008A263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76.597</w:t>
            </w:r>
          </w:p>
        </w:tc>
        <w:tc>
          <w:tcPr>
            <w:tcW w:w="620" w:type="pct"/>
            <w:tcBorders>
              <w:top w:val="nil"/>
              <w:left w:val="nil"/>
              <w:bottom w:val="nil"/>
              <w:right w:val="nil"/>
            </w:tcBorders>
            <w:vAlign w:val="center"/>
          </w:tcPr>
          <w:p w14:paraId="14E29966" w14:textId="78521E69"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(11.546)</w:t>
            </w:r>
          </w:p>
        </w:tc>
        <w:tc>
          <w:tcPr>
            <w:tcW w:w="620" w:type="pct"/>
            <w:tcBorders>
              <w:top w:val="nil"/>
              <w:left w:val="nil"/>
              <w:bottom w:val="nil"/>
              <w:right w:val="nil"/>
            </w:tcBorders>
            <w:vAlign w:val="center"/>
          </w:tcPr>
          <w:p w14:paraId="542392A7" w14:textId="321ACD34"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29.106</w:t>
            </w:r>
          </w:p>
        </w:tc>
        <w:tc>
          <w:tcPr>
            <w:tcW w:w="620" w:type="pct"/>
            <w:tcBorders>
              <w:top w:val="nil"/>
              <w:left w:val="nil"/>
              <w:bottom w:val="nil"/>
              <w:right w:val="nil"/>
            </w:tcBorders>
            <w:noWrap/>
            <w:vAlign w:val="center"/>
          </w:tcPr>
          <w:p w14:paraId="73BDFE23" w14:textId="11FD734C"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5.554</w:t>
            </w:r>
          </w:p>
        </w:tc>
        <w:tc>
          <w:tcPr>
            <w:tcW w:w="622" w:type="pct"/>
            <w:tcBorders>
              <w:top w:val="nil"/>
              <w:left w:val="nil"/>
              <w:bottom w:val="nil"/>
              <w:right w:val="nil"/>
            </w:tcBorders>
            <w:noWrap/>
            <w:vAlign w:val="center"/>
          </w:tcPr>
          <w:p w14:paraId="5ACB6D04" w14:textId="10AAE8F8"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99.711</w:t>
            </w:r>
          </w:p>
        </w:tc>
      </w:tr>
      <w:tr w:rsidR="008A2633" w:rsidRPr="009518F8" w14:paraId="7D66B499" w14:textId="77777777" w:rsidTr="00865D5B">
        <w:trPr>
          <w:trHeight w:val="283"/>
        </w:trPr>
        <w:tc>
          <w:tcPr>
            <w:tcW w:w="1839" w:type="pct"/>
            <w:tcBorders>
              <w:top w:val="nil"/>
              <w:left w:val="nil"/>
              <w:bottom w:val="nil"/>
              <w:right w:val="nil"/>
            </w:tcBorders>
            <w:noWrap/>
            <w:vAlign w:val="center"/>
            <w:hideMark/>
          </w:tcPr>
          <w:p w14:paraId="39587544" w14:textId="77777777" w:rsidR="008A2633" w:rsidRPr="009518F8" w:rsidRDefault="008A2633">
            <w:pPr>
              <w:rPr>
                <w:rFonts w:ascii="CAIXA Std Book" w:eastAsia="Times New Roman" w:hAnsi="CAIXA Std Book" w:cs="Calibri"/>
                <w:color w:val="005CA9"/>
                <w:sz w:val="18"/>
                <w:szCs w:val="18"/>
              </w:rPr>
            </w:pPr>
            <w:r w:rsidRPr="009518F8">
              <w:rPr>
                <w:rFonts w:ascii="CAIXA Std Book" w:eastAsia="Times New Roman" w:hAnsi="CAIXA Std Book" w:cs="Calibri"/>
                <w:color w:val="005CA9"/>
                <w:sz w:val="18"/>
                <w:szCs w:val="18"/>
              </w:rPr>
              <w:t xml:space="preserve">Outros </w:t>
            </w:r>
            <w:r>
              <w:rPr>
                <w:rFonts w:ascii="CAIXA Std Book" w:eastAsia="Times New Roman" w:hAnsi="CAIXA Std Book" w:cs="Calibri"/>
                <w:color w:val="005CA9"/>
                <w:sz w:val="18"/>
                <w:szCs w:val="18"/>
              </w:rPr>
              <w:t>créditos</w:t>
            </w:r>
          </w:p>
        </w:tc>
        <w:tc>
          <w:tcPr>
            <w:tcW w:w="680" w:type="pct"/>
            <w:tcBorders>
              <w:top w:val="nil"/>
              <w:left w:val="nil"/>
              <w:bottom w:val="nil"/>
              <w:right w:val="nil"/>
            </w:tcBorders>
            <w:noWrap/>
            <w:vAlign w:val="center"/>
            <w:hideMark/>
          </w:tcPr>
          <w:p w14:paraId="11977B83" w14:textId="77777777" w:rsidR="008A2633" w:rsidRPr="009518F8" w:rsidRDefault="008A263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523.548</w:t>
            </w:r>
          </w:p>
        </w:tc>
        <w:tc>
          <w:tcPr>
            <w:tcW w:w="620" w:type="pct"/>
            <w:tcBorders>
              <w:top w:val="nil"/>
              <w:left w:val="nil"/>
              <w:bottom w:val="nil"/>
              <w:right w:val="nil"/>
            </w:tcBorders>
            <w:vAlign w:val="center"/>
            <w:hideMark/>
          </w:tcPr>
          <w:p w14:paraId="7B6A00D7" w14:textId="40610035" w:rsidR="008A2633" w:rsidRPr="009518F8" w:rsidRDefault="00BA7FF3">
            <w:pPr>
              <w:jc w:val="right"/>
              <w:rPr>
                <w:rFonts w:ascii="Times New Roman" w:eastAsia="Times New Roman" w:hAnsi="Times New Roman" w:cs="Times New Roman"/>
                <w:sz w:val="20"/>
                <w:szCs w:val="20"/>
              </w:rPr>
            </w:pPr>
            <w:r w:rsidRPr="00A65A4A">
              <w:rPr>
                <w:rFonts w:ascii="CAIXA Std Book" w:hAnsi="CAIXA Std Book" w:cs="Calibri"/>
                <w:color w:val="005CA9"/>
                <w:sz w:val="18"/>
                <w:szCs w:val="18"/>
              </w:rPr>
              <w:t>(98.412)</w:t>
            </w:r>
          </w:p>
        </w:tc>
        <w:tc>
          <w:tcPr>
            <w:tcW w:w="620" w:type="pct"/>
            <w:tcBorders>
              <w:top w:val="nil"/>
              <w:left w:val="nil"/>
              <w:bottom w:val="nil"/>
              <w:right w:val="nil"/>
            </w:tcBorders>
            <w:vAlign w:val="center"/>
            <w:hideMark/>
          </w:tcPr>
          <w:p w14:paraId="2CAF3769" w14:textId="31F47D5D" w:rsidR="008A2633" w:rsidRPr="009518F8" w:rsidRDefault="00BA7FF3">
            <w:pPr>
              <w:jc w:val="right"/>
              <w:rPr>
                <w:rFonts w:ascii="Times New Roman" w:eastAsia="Times New Roman" w:hAnsi="Times New Roman" w:cs="Times New Roman"/>
                <w:sz w:val="20"/>
                <w:szCs w:val="20"/>
              </w:rPr>
            </w:pPr>
            <w:r w:rsidRPr="00A65A4A">
              <w:rPr>
                <w:rFonts w:ascii="CAIXA Std Book" w:hAnsi="CAIXA Std Book" w:cs="Calibri"/>
                <w:color w:val="005CA9"/>
                <w:sz w:val="18"/>
                <w:szCs w:val="18"/>
              </w:rPr>
              <w:t>317.052</w:t>
            </w:r>
          </w:p>
        </w:tc>
        <w:tc>
          <w:tcPr>
            <w:tcW w:w="620" w:type="pct"/>
            <w:tcBorders>
              <w:top w:val="nil"/>
              <w:left w:val="nil"/>
              <w:bottom w:val="nil"/>
              <w:right w:val="nil"/>
            </w:tcBorders>
            <w:noWrap/>
            <w:vAlign w:val="center"/>
            <w:hideMark/>
          </w:tcPr>
          <w:p w14:paraId="58ED81FF" w14:textId="69F215ED" w:rsidR="008A2633" w:rsidRPr="009518F8" w:rsidRDefault="00BA7FF3">
            <w:pPr>
              <w:jc w:val="right"/>
              <w:rPr>
                <w:rFonts w:ascii="Times New Roman" w:eastAsia="Times New Roman" w:hAnsi="Times New Roman" w:cs="Times New Roman"/>
                <w:sz w:val="20"/>
                <w:szCs w:val="20"/>
              </w:rPr>
            </w:pPr>
            <w:r w:rsidRPr="00A65A4A">
              <w:rPr>
                <w:rFonts w:ascii="CAIXA Std Book" w:hAnsi="CAIXA Std Book" w:cs="Calibri"/>
                <w:color w:val="005CA9"/>
                <w:sz w:val="18"/>
                <w:szCs w:val="18"/>
              </w:rPr>
              <w:t>53.848</w:t>
            </w:r>
          </w:p>
        </w:tc>
        <w:tc>
          <w:tcPr>
            <w:tcW w:w="622" w:type="pct"/>
            <w:tcBorders>
              <w:top w:val="nil"/>
              <w:left w:val="nil"/>
              <w:bottom w:val="nil"/>
              <w:right w:val="nil"/>
            </w:tcBorders>
            <w:noWrap/>
            <w:vAlign w:val="center"/>
            <w:hideMark/>
          </w:tcPr>
          <w:p w14:paraId="2AA0FF16" w14:textId="3DB0E886" w:rsidR="008A2633" w:rsidRPr="009518F8" w:rsidRDefault="00BA7FF3">
            <w:pPr>
              <w:jc w:val="right"/>
              <w:rPr>
                <w:rFonts w:ascii="Times New Roman" w:eastAsia="Times New Roman" w:hAnsi="Times New Roman" w:cs="Times New Roman"/>
                <w:sz w:val="20"/>
                <w:szCs w:val="20"/>
              </w:rPr>
            </w:pPr>
            <w:r>
              <w:rPr>
                <w:rFonts w:ascii="CAIXA Std Book" w:hAnsi="CAIXA Std Book" w:cs="Calibri"/>
                <w:color w:val="005CA9"/>
                <w:sz w:val="18"/>
                <w:szCs w:val="18"/>
              </w:rPr>
              <w:t>796.036</w:t>
            </w:r>
          </w:p>
        </w:tc>
      </w:tr>
      <w:tr w:rsidR="008A2633" w:rsidRPr="009518F8" w14:paraId="385000A4" w14:textId="77777777" w:rsidTr="00865D5B">
        <w:trPr>
          <w:trHeight w:val="283"/>
        </w:trPr>
        <w:tc>
          <w:tcPr>
            <w:tcW w:w="1839" w:type="pct"/>
            <w:tcBorders>
              <w:top w:val="nil"/>
              <w:left w:val="nil"/>
              <w:bottom w:val="nil"/>
              <w:right w:val="nil"/>
            </w:tcBorders>
            <w:shd w:val="clear" w:color="auto" w:fill="005CA9"/>
            <w:noWrap/>
            <w:vAlign w:val="center"/>
            <w:hideMark/>
          </w:tcPr>
          <w:p w14:paraId="682B47F7" w14:textId="77777777" w:rsidR="008A2633" w:rsidRPr="009518F8" w:rsidRDefault="008A2633">
            <w:pPr>
              <w:rPr>
                <w:rFonts w:ascii="CAIXA Std Book" w:eastAsia="Times New Roman" w:hAnsi="CAIXA Std Book" w:cs="Calibri"/>
                <w:b/>
                <w:bCs/>
                <w:color w:val="FFFFFF"/>
                <w:sz w:val="18"/>
                <w:szCs w:val="18"/>
              </w:rPr>
            </w:pPr>
            <w:r w:rsidRPr="009518F8">
              <w:rPr>
                <w:rFonts w:ascii="CAIXA Std Book" w:eastAsia="Times New Roman" w:hAnsi="CAIXA Std Book" w:cs="Calibri"/>
                <w:b/>
                <w:bCs/>
                <w:color w:val="FFFFFF"/>
                <w:sz w:val="18"/>
                <w:szCs w:val="18"/>
              </w:rPr>
              <w:t>Total</w:t>
            </w:r>
            <w:r w:rsidRPr="009518F8">
              <w:rPr>
                <w:rFonts w:ascii="CAIXA Std Book" w:eastAsia="Times New Roman" w:hAnsi="CAIXA Std Book" w:cs="Calibri"/>
                <w:color w:val="005CA9"/>
                <w:sz w:val="18"/>
                <w:szCs w:val="18"/>
              </w:rPr>
              <w:t> </w:t>
            </w:r>
          </w:p>
        </w:tc>
        <w:tc>
          <w:tcPr>
            <w:tcW w:w="680" w:type="pct"/>
            <w:tcBorders>
              <w:top w:val="nil"/>
              <w:left w:val="nil"/>
              <w:bottom w:val="nil"/>
              <w:right w:val="nil"/>
            </w:tcBorders>
            <w:shd w:val="clear" w:color="auto" w:fill="005CA9"/>
            <w:noWrap/>
            <w:vAlign w:val="center"/>
            <w:hideMark/>
          </w:tcPr>
          <w:p w14:paraId="5F74CEA2" w14:textId="77777777" w:rsidR="008A2633" w:rsidRPr="009518F8" w:rsidRDefault="008A2633">
            <w:pPr>
              <w:jc w:val="right"/>
              <w:rPr>
                <w:rFonts w:ascii="CAIXA Std Book" w:eastAsia="Times New Roman" w:hAnsi="CAIXA Std Book" w:cs="Calibri"/>
                <w:b/>
                <w:bCs/>
                <w:color w:val="FFFFFF"/>
                <w:sz w:val="18"/>
                <w:szCs w:val="18"/>
              </w:rPr>
            </w:pPr>
            <w:r w:rsidRPr="00E86E4D">
              <w:rPr>
                <w:rFonts w:ascii="CAIXA Std Book" w:eastAsia="Times New Roman" w:hAnsi="CAIXA Std Book" w:cs="Calibri"/>
                <w:b/>
                <w:bCs/>
                <w:color w:val="FFFFFF"/>
                <w:sz w:val="18"/>
                <w:szCs w:val="18"/>
              </w:rPr>
              <w:t>65.401.947</w:t>
            </w:r>
          </w:p>
        </w:tc>
        <w:tc>
          <w:tcPr>
            <w:tcW w:w="620" w:type="pct"/>
            <w:tcBorders>
              <w:top w:val="nil"/>
              <w:left w:val="nil"/>
              <w:bottom w:val="nil"/>
              <w:right w:val="nil"/>
            </w:tcBorders>
            <w:shd w:val="clear" w:color="auto" w:fill="005CA9"/>
            <w:noWrap/>
            <w:vAlign w:val="center"/>
            <w:hideMark/>
          </w:tcPr>
          <w:p w14:paraId="1F27F904" w14:textId="2586079C" w:rsidR="008A2633" w:rsidRPr="009518F8" w:rsidRDefault="00BA7FF3">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(4.494.907)</w:t>
            </w:r>
          </w:p>
        </w:tc>
        <w:tc>
          <w:tcPr>
            <w:tcW w:w="620" w:type="pct"/>
            <w:tcBorders>
              <w:top w:val="nil"/>
              <w:left w:val="nil"/>
              <w:bottom w:val="nil"/>
              <w:right w:val="nil"/>
            </w:tcBorders>
            <w:shd w:val="clear" w:color="auto" w:fill="005CA9"/>
            <w:noWrap/>
            <w:vAlign w:val="center"/>
            <w:hideMark/>
          </w:tcPr>
          <w:p w14:paraId="5B88D1F6" w14:textId="77DC4053" w:rsidR="008A2633" w:rsidRPr="009518F8" w:rsidRDefault="00BA7FF3">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23.032.123</w:t>
            </w:r>
          </w:p>
        </w:tc>
        <w:tc>
          <w:tcPr>
            <w:tcW w:w="620" w:type="pct"/>
            <w:tcBorders>
              <w:top w:val="nil"/>
              <w:left w:val="nil"/>
              <w:bottom w:val="nil"/>
              <w:right w:val="nil"/>
            </w:tcBorders>
            <w:shd w:val="clear" w:color="auto" w:fill="005CA9"/>
            <w:noWrap/>
            <w:vAlign w:val="center"/>
            <w:hideMark/>
          </w:tcPr>
          <w:p w14:paraId="2AEBBD75" w14:textId="2D1E7329" w:rsidR="008A2633" w:rsidRPr="009518F8" w:rsidRDefault="00BA7FF3">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6.045.398</w:t>
            </w:r>
          </w:p>
        </w:tc>
        <w:tc>
          <w:tcPr>
            <w:tcW w:w="622" w:type="pct"/>
            <w:tcBorders>
              <w:top w:val="nil"/>
              <w:left w:val="nil"/>
              <w:bottom w:val="nil"/>
              <w:right w:val="nil"/>
            </w:tcBorders>
            <w:shd w:val="clear" w:color="auto" w:fill="005CA9"/>
            <w:noWrap/>
            <w:vAlign w:val="center"/>
            <w:hideMark/>
          </w:tcPr>
          <w:p w14:paraId="30D00B58" w14:textId="75004C95" w:rsidR="008A2633" w:rsidRPr="009518F8" w:rsidRDefault="00BA7FF3">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89.984.561</w:t>
            </w:r>
          </w:p>
        </w:tc>
      </w:tr>
    </w:tbl>
    <w:p w14:paraId="405D7F92" w14:textId="77777777" w:rsidR="008373B1" w:rsidRDefault="008373B1" w:rsidP="008A2633">
      <w:pPr>
        <w:rPr>
          <w:rFonts w:ascii="CAIXA Std Book" w:eastAsia="Times New Roman" w:hAnsi="CAIXA Std Book" w:cs="Arial"/>
          <w:color w:val="005CA9"/>
          <w:sz w:val="20"/>
          <w:szCs w:val="20"/>
        </w:rPr>
      </w:pPr>
    </w:p>
    <w:p w14:paraId="7FA6CC1A" w14:textId="7DFCDB49" w:rsidR="00817BD3" w:rsidRPr="005B4116" w:rsidRDefault="0053784B" w:rsidP="00E61428">
      <w:pPr>
        <w:pStyle w:val="PargrafodaLista"/>
        <w:numPr>
          <w:ilvl w:val="0"/>
          <w:numId w:val="6"/>
        </w:numPr>
      </w:pPr>
      <w:r w:rsidRPr="00DE06DF">
        <w:rPr>
          <w:rFonts w:ascii="CAIXA Std Book" w:hAnsi="CAIXA Std Book"/>
          <w:b/>
          <w:color w:val="005CA9"/>
          <w:sz w:val="20"/>
          <w:szCs w:val="20"/>
        </w:rPr>
        <w:t xml:space="preserve">Composição </w:t>
      </w:r>
      <w:r w:rsidR="000B7684" w:rsidRPr="00DE06DF">
        <w:rPr>
          <w:rFonts w:ascii="CAIXA Std Book" w:hAnsi="CAIXA Std Book"/>
          <w:b/>
          <w:color w:val="005CA9"/>
          <w:sz w:val="20"/>
          <w:szCs w:val="20"/>
        </w:rPr>
        <w:t xml:space="preserve">da carteira </w:t>
      </w:r>
      <w:r w:rsidR="00DE06DF" w:rsidRPr="00DE06DF">
        <w:rPr>
          <w:rFonts w:ascii="CAIXA Std Book" w:hAnsi="CAIXA Std Book"/>
          <w:b/>
          <w:color w:val="005CA9"/>
          <w:sz w:val="20"/>
          <w:szCs w:val="20"/>
        </w:rPr>
        <w:t>por faixa de atraso</w:t>
      </w:r>
    </w:p>
    <w:p w14:paraId="6DD5BDD3" w14:textId="77777777" w:rsidR="00DE06DF" w:rsidRDefault="00DE06DF" w:rsidP="00DE06DF"/>
    <w:tbl>
      <w:tblPr>
        <w:tblW w:w="5000" w:type="pct"/>
        <w:tblCellMar>
          <w:left w:w="70" w:type="dxa"/>
          <w:right w:w="70" w:type="dxa"/>
        </w:tblCellMar>
        <w:tblLook w:val="04A0" w:firstRow="1" w:lastRow="0" w:firstColumn="1" w:lastColumn="0" w:noHBand="0" w:noVBand="1"/>
      </w:tblPr>
      <w:tblGrid>
        <w:gridCol w:w="3566"/>
        <w:gridCol w:w="1798"/>
        <w:gridCol w:w="1798"/>
        <w:gridCol w:w="1798"/>
        <w:gridCol w:w="1798"/>
        <w:gridCol w:w="1798"/>
        <w:gridCol w:w="2013"/>
      </w:tblGrid>
      <w:tr w:rsidR="00805005" w:rsidRPr="00C17CC5" w14:paraId="2AD6B464" w14:textId="77777777" w:rsidTr="00E42F21">
        <w:trPr>
          <w:trHeight w:val="283"/>
        </w:trPr>
        <w:tc>
          <w:tcPr>
            <w:tcW w:w="5000" w:type="pct"/>
            <w:gridSpan w:val="7"/>
            <w:tcBorders>
              <w:bottom w:val="single" w:sz="4" w:space="0" w:color="FFFFFF" w:themeColor="background1"/>
            </w:tcBorders>
            <w:shd w:val="clear" w:color="000000" w:fill="005CA9"/>
            <w:noWrap/>
            <w:vAlign w:val="center"/>
            <w:hideMark/>
          </w:tcPr>
          <w:p w14:paraId="6B976A52" w14:textId="1E8B628C" w:rsidR="00F6239A" w:rsidRPr="00C17CC5" w:rsidRDefault="00F6239A" w:rsidP="00D932AE">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Individual</w:t>
            </w:r>
          </w:p>
        </w:tc>
      </w:tr>
      <w:tr w:rsidR="000C1815" w:rsidRPr="00C17CC5" w14:paraId="7730F7B0" w14:textId="77777777" w:rsidTr="00E42F21">
        <w:trPr>
          <w:trHeight w:val="283"/>
        </w:trPr>
        <w:tc>
          <w:tcPr>
            <w:tcW w:w="1224" w:type="pct"/>
            <w:vMerge w:val="restart"/>
            <w:tcBorders>
              <w:top w:val="single" w:sz="4" w:space="0" w:color="FFFFFF" w:themeColor="background1"/>
            </w:tcBorders>
            <w:shd w:val="clear" w:color="000000" w:fill="005CA9"/>
            <w:noWrap/>
            <w:vAlign w:val="center"/>
            <w:hideMark/>
          </w:tcPr>
          <w:p w14:paraId="09D329B0" w14:textId="77777777" w:rsidR="00F6239A" w:rsidRPr="00C17CC5" w:rsidRDefault="00F6239A" w:rsidP="00D932AE">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Descrição</w:t>
            </w:r>
            <w:r w:rsidRPr="00C17CC5">
              <w:rPr>
                <w:rFonts w:ascii="CAIXA Std Book" w:eastAsia="Times New Roman" w:hAnsi="CAIXA Std Book" w:cs="Calibri"/>
                <w:color w:val="FFFFFF"/>
                <w:sz w:val="18"/>
                <w:szCs w:val="18"/>
              </w:rPr>
              <w:t> </w:t>
            </w:r>
          </w:p>
        </w:tc>
        <w:tc>
          <w:tcPr>
            <w:tcW w:w="3776" w:type="pct"/>
            <w:gridSpan w:val="6"/>
            <w:tcBorders>
              <w:top w:val="single" w:sz="4" w:space="0" w:color="FFFFFF" w:themeColor="background1"/>
              <w:bottom w:val="single" w:sz="4" w:space="0" w:color="FFFFFF" w:themeColor="background1"/>
            </w:tcBorders>
            <w:shd w:val="clear" w:color="000000" w:fill="005CA9"/>
            <w:noWrap/>
            <w:vAlign w:val="center"/>
            <w:hideMark/>
          </w:tcPr>
          <w:p w14:paraId="04F2F1C0" w14:textId="18AB2C25" w:rsidR="00F6239A" w:rsidRPr="00C17CC5" w:rsidRDefault="00F6239A" w:rsidP="00D932AE">
            <w:pPr>
              <w:jc w:val="center"/>
              <w:rPr>
                <w:rFonts w:ascii="CAIXA Std Book" w:eastAsia="Times New Roman" w:hAnsi="CAIXA Std Book" w:cs="Calibri"/>
                <w:b/>
                <w:bCs/>
                <w:color w:val="FFFFFF"/>
                <w:sz w:val="18"/>
                <w:szCs w:val="18"/>
              </w:rPr>
            </w:pPr>
            <w:r>
              <w:rPr>
                <w:rFonts w:ascii="CAIXA Std Book" w:eastAsia="Times New Roman" w:hAnsi="CAIXA Std Book" w:cs="Calibri"/>
                <w:b/>
                <w:color w:val="FFFFFF"/>
                <w:sz w:val="18"/>
                <w:szCs w:val="18"/>
              </w:rPr>
              <w:t>31/</w:t>
            </w:r>
            <w:r w:rsidR="00CB7870">
              <w:rPr>
                <w:rFonts w:ascii="CAIXA Std Book" w:eastAsia="Times New Roman" w:hAnsi="CAIXA Std Book" w:cs="Calibri"/>
                <w:b/>
                <w:color w:val="FFFFFF"/>
                <w:sz w:val="18"/>
                <w:szCs w:val="18"/>
              </w:rPr>
              <w:t>03/2026</w:t>
            </w:r>
          </w:p>
        </w:tc>
      </w:tr>
      <w:tr w:rsidR="00165917" w:rsidRPr="00C17CC5" w14:paraId="7AE47A1E" w14:textId="77777777" w:rsidTr="00E42F21">
        <w:trPr>
          <w:trHeight w:val="283"/>
        </w:trPr>
        <w:tc>
          <w:tcPr>
            <w:tcW w:w="1224" w:type="pct"/>
            <w:vMerge/>
            <w:tcBorders>
              <w:top w:val="single" w:sz="4" w:space="0" w:color="FFFFFF" w:themeColor="background1"/>
            </w:tcBorders>
            <w:vAlign w:val="center"/>
            <w:hideMark/>
          </w:tcPr>
          <w:p w14:paraId="2C9B09D5" w14:textId="77777777" w:rsidR="00F6239A" w:rsidRPr="00C17CC5" w:rsidRDefault="00F6239A" w:rsidP="00D932AE">
            <w:pPr>
              <w:rPr>
                <w:rFonts w:ascii="CAIXA Std Book" w:eastAsia="Times New Roman" w:hAnsi="CAIXA Std Book" w:cs="Calibri"/>
                <w:b/>
                <w:bCs/>
                <w:color w:val="FFFFFF"/>
                <w:sz w:val="18"/>
                <w:szCs w:val="18"/>
              </w:rPr>
            </w:pPr>
          </w:p>
        </w:tc>
        <w:tc>
          <w:tcPr>
            <w:tcW w:w="617" w:type="pct"/>
            <w:tcBorders>
              <w:top w:val="single" w:sz="4" w:space="0" w:color="FFFFFF" w:themeColor="background1"/>
            </w:tcBorders>
            <w:shd w:val="clear" w:color="000000" w:fill="005CA9"/>
            <w:noWrap/>
            <w:vAlign w:val="center"/>
            <w:hideMark/>
          </w:tcPr>
          <w:p w14:paraId="52D503A0" w14:textId="77777777" w:rsidR="00F6239A" w:rsidRPr="00C17CC5" w:rsidRDefault="00F6239A" w:rsidP="00D932AE">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Carteira C 1</w:t>
            </w:r>
            <w:r w:rsidRPr="00C17CC5">
              <w:rPr>
                <w:rFonts w:ascii="CAIXA Std Book" w:eastAsia="Times New Roman" w:hAnsi="CAIXA Std Book" w:cs="Calibri"/>
                <w:color w:val="FFFFFF"/>
                <w:sz w:val="18"/>
                <w:szCs w:val="18"/>
              </w:rPr>
              <w:t> </w:t>
            </w:r>
          </w:p>
        </w:tc>
        <w:tc>
          <w:tcPr>
            <w:tcW w:w="617" w:type="pct"/>
            <w:tcBorders>
              <w:top w:val="single" w:sz="4" w:space="0" w:color="FFFFFF" w:themeColor="background1"/>
            </w:tcBorders>
            <w:shd w:val="clear" w:color="000000" w:fill="005CA9"/>
            <w:noWrap/>
            <w:vAlign w:val="center"/>
            <w:hideMark/>
          </w:tcPr>
          <w:p w14:paraId="50F8E365" w14:textId="77777777" w:rsidR="00F6239A" w:rsidRPr="00C17CC5" w:rsidRDefault="00F6239A" w:rsidP="00D932AE">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Carteira C 2</w:t>
            </w:r>
            <w:r w:rsidRPr="00C17CC5">
              <w:rPr>
                <w:rFonts w:ascii="CAIXA Std Book" w:eastAsia="Times New Roman" w:hAnsi="CAIXA Std Book" w:cs="Calibri"/>
                <w:color w:val="FFFFFF"/>
                <w:sz w:val="18"/>
                <w:szCs w:val="18"/>
              </w:rPr>
              <w:t> </w:t>
            </w:r>
          </w:p>
        </w:tc>
        <w:tc>
          <w:tcPr>
            <w:tcW w:w="617" w:type="pct"/>
            <w:tcBorders>
              <w:top w:val="single" w:sz="4" w:space="0" w:color="FFFFFF" w:themeColor="background1"/>
            </w:tcBorders>
            <w:shd w:val="clear" w:color="000000" w:fill="005CA9"/>
            <w:noWrap/>
            <w:vAlign w:val="center"/>
            <w:hideMark/>
          </w:tcPr>
          <w:p w14:paraId="77388476" w14:textId="77777777" w:rsidR="00F6239A" w:rsidRPr="00C17CC5" w:rsidRDefault="00F6239A" w:rsidP="00D932AE">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Carteira C 3</w:t>
            </w:r>
            <w:r w:rsidRPr="00C17CC5">
              <w:rPr>
                <w:rFonts w:ascii="CAIXA Std Book" w:eastAsia="Times New Roman" w:hAnsi="CAIXA Std Book" w:cs="Calibri"/>
                <w:color w:val="FFFFFF"/>
                <w:sz w:val="18"/>
                <w:szCs w:val="18"/>
              </w:rPr>
              <w:t> </w:t>
            </w:r>
          </w:p>
        </w:tc>
        <w:tc>
          <w:tcPr>
            <w:tcW w:w="617" w:type="pct"/>
            <w:tcBorders>
              <w:top w:val="single" w:sz="4" w:space="0" w:color="FFFFFF" w:themeColor="background1"/>
            </w:tcBorders>
            <w:shd w:val="clear" w:color="000000" w:fill="005CA9"/>
            <w:noWrap/>
            <w:vAlign w:val="center"/>
            <w:hideMark/>
          </w:tcPr>
          <w:p w14:paraId="4E3E9CDA" w14:textId="77777777" w:rsidR="00F6239A" w:rsidRPr="00C17CC5" w:rsidRDefault="00F6239A" w:rsidP="006B4B51">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Carteira C 4</w:t>
            </w:r>
            <w:r w:rsidRPr="00C17CC5">
              <w:rPr>
                <w:rFonts w:ascii="CAIXA Std Book" w:eastAsia="Times New Roman" w:hAnsi="CAIXA Std Book" w:cs="Calibri"/>
                <w:color w:val="FFFFFF"/>
                <w:sz w:val="18"/>
                <w:szCs w:val="18"/>
              </w:rPr>
              <w:t> </w:t>
            </w:r>
          </w:p>
        </w:tc>
        <w:tc>
          <w:tcPr>
            <w:tcW w:w="617" w:type="pct"/>
            <w:tcBorders>
              <w:top w:val="single" w:sz="4" w:space="0" w:color="FFFFFF" w:themeColor="background1"/>
            </w:tcBorders>
            <w:shd w:val="clear" w:color="000000" w:fill="005CA9"/>
            <w:noWrap/>
            <w:vAlign w:val="center"/>
            <w:hideMark/>
          </w:tcPr>
          <w:p w14:paraId="531425F2" w14:textId="77777777" w:rsidR="00F6239A" w:rsidRPr="00C17CC5" w:rsidRDefault="00F6239A" w:rsidP="006B4B51">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Carteira C 5</w:t>
            </w:r>
            <w:r w:rsidRPr="00C17CC5">
              <w:rPr>
                <w:rFonts w:ascii="CAIXA Std Book" w:eastAsia="Times New Roman" w:hAnsi="CAIXA Std Book" w:cs="Calibri"/>
                <w:color w:val="FFFFFF"/>
                <w:sz w:val="18"/>
                <w:szCs w:val="18"/>
              </w:rPr>
              <w:t> </w:t>
            </w:r>
          </w:p>
        </w:tc>
        <w:tc>
          <w:tcPr>
            <w:tcW w:w="689" w:type="pct"/>
            <w:tcBorders>
              <w:top w:val="single" w:sz="4" w:space="0" w:color="FFFFFF" w:themeColor="background1"/>
            </w:tcBorders>
            <w:shd w:val="clear" w:color="000000" w:fill="005CA9"/>
            <w:noWrap/>
            <w:vAlign w:val="center"/>
            <w:hideMark/>
          </w:tcPr>
          <w:p w14:paraId="47008B15" w14:textId="77777777" w:rsidR="00F6239A" w:rsidRPr="00C17CC5" w:rsidRDefault="00F6239A" w:rsidP="00D932AE">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Total</w:t>
            </w:r>
          </w:p>
        </w:tc>
      </w:tr>
      <w:tr w:rsidR="00165917" w:rsidRPr="00C17CC5" w14:paraId="7D225D7C" w14:textId="77777777" w:rsidTr="00E42F21">
        <w:trPr>
          <w:trHeight w:val="283"/>
        </w:trPr>
        <w:tc>
          <w:tcPr>
            <w:tcW w:w="1224" w:type="pct"/>
            <w:shd w:val="clear" w:color="000000" w:fill="D0E0E3"/>
            <w:vAlign w:val="center"/>
            <w:hideMark/>
          </w:tcPr>
          <w:p w14:paraId="2A2DDAC5" w14:textId="77777777" w:rsidR="00F6239A" w:rsidRPr="00C17CC5" w:rsidRDefault="00F6239A" w:rsidP="00F6239A">
            <w:pPr>
              <w:rPr>
                <w:rFonts w:ascii="CAIXA Std Book" w:eastAsia="Times New Roman" w:hAnsi="CAIXA Std Book" w:cs="Calibri"/>
                <w:b/>
                <w:bCs/>
                <w:color w:val="005CA9"/>
                <w:sz w:val="18"/>
                <w:szCs w:val="18"/>
              </w:rPr>
            </w:pPr>
            <w:r w:rsidRPr="00C17CC5">
              <w:rPr>
                <w:rFonts w:ascii="CAIXA Std Book" w:eastAsia="Times New Roman" w:hAnsi="CAIXA Std Book" w:cs="Calibri"/>
                <w:b/>
                <w:bCs/>
                <w:color w:val="005CA9"/>
                <w:sz w:val="18"/>
                <w:szCs w:val="18"/>
              </w:rPr>
              <w:t>Não problemáticos</w:t>
            </w:r>
          </w:p>
        </w:tc>
        <w:tc>
          <w:tcPr>
            <w:tcW w:w="617" w:type="pct"/>
            <w:shd w:val="clear" w:color="000000" w:fill="D0E0E3"/>
            <w:noWrap/>
            <w:vAlign w:val="center"/>
            <w:hideMark/>
          </w:tcPr>
          <w:p w14:paraId="3C2E736F" w14:textId="5C3B1B52" w:rsidR="00F6239A" w:rsidRPr="00C17CC5" w:rsidRDefault="00831621" w:rsidP="00F6239A">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938.879.125</w:t>
            </w:r>
          </w:p>
        </w:tc>
        <w:tc>
          <w:tcPr>
            <w:tcW w:w="617" w:type="pct"/>
            <w:shd w:val="clear" w:color="000000" w:fill="D0E0E3"/>
            <w:noWrap/>
            <w:vAlign w:val="center"/>
            <w:hideMark/>
          </w:tcPr>
          <w:p w14:paraId="5D0F482F" w14:textId="6173B4C9" w:rsidR="00F6239A" w:rsidRPr="00C17CC5" w:rsidRDefault="00831621" w:rsidP="00F6239A">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75.615.952</w:t>
            </w:r>
          </w:p>
        </w:tc>
        <w:tc>
          <w:tcPr>
            <w:tcW w:w="617" w:type="pct"/>
            <w:shd w:val="clear" w:color="000000" w:fill="D0E0E3"/>
            <w:noWrap/>
            <w:vAlign w:val="center"/>
            <w:hideMark/>
          </w:tcPr>
          <w:p w14:paraId="2E510B44" w14:textId="1B4F9C4E" w:rsidR="00F6239A" w:rsidRPr="00C17CC5" w:rsidRDefault="00831621" w:rsidP="00F6239A">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156.601.50</w:t>
            </w:r>
            <w:r w:rsidR="00B32149">
              <w:rPr>
                <w:rFonts w:ascii="CAIXA Std Book" w:hAnsi="CAIXA Std Book" w:cs="Calibri"/>
                <w:b/>
                <w:bCs/>
                <w:color w:val="005CA9"/>
                <w:sz w:val="18"/>
                <w:szCs w:val="18"/>
              </w:rPr>
              <w:t>0</w:t>
            </w:r>
          </w:p>
        </w:tc>
        <w:tc>
          <w:tcPr>
            <w:tcW w:w="617" w:type="pct"/>
            <w:shd w:val="clear" w:color="000000" w:fill="D0E0E3"/>
            <w:noWrap/>
            <w:vAlign w:val="center"/>
            <w:hideMark/>
          </w:tcPr>
          <w:p w14:paraId="762A0186" w14:textId="2FB4B5B9" w:rsidR="00F6239A" w:rsidRPr="006B4B51" w:rsidRDefault="00831621" w:rsidP="005035CF">
            <w:pPr>
              <w:jc w:val="right"/>
              <w:rPr>
                <w:rFonts w:ascii="CAIXA Std Book" w:eastAsia="Times New Roman" w:hAnsi="CAIXA Std Book" w:cs="Calibri"/>
                <w:b/>
                <w:color w:val="005CA9"/>
                <w:sz w:val="18"/>
                <w:szCs w:val="18"/>
              </w:rPr>
            </w:pPr>
            <w:r>
              <w:rPr>
                <w:rFonts w:ascii="CAIXA Std Book" w:hAnsi="CAIXA Std Book" w:cs="Calibri"/>
                <w:b/>
                <w:bCs/>
                <w:color w:val="005CA9"/>
                <w:sz w:val="18"/>
                <w:szCs w:val="18"/>
              </w:rPr>
              <w:t>1.226.06</w:t>
            </w:r>
            <w:r w:rsidR="00962AA3">
              <w:rPr>
                <w:rFonts w:ascii="CAIXA Std Book" w:hAnsi="CAIXA Std Book" w:cs="Calibri"/>
                <w:b/>
                <w:bCs/>
                <w:color w:val="005CA9"/>
                <w:sz w:val="18"/>
                <w:szCs w:val="18"/>
              </w:rPr>
              <w:t>5</w:t>
            </w:r>
          </w:p>
        </w:tc>
        <w:tc>
          <w:tcPr>
            <w:tcW w:w="617" w:type="pct"/>
            <w:shd w:val="clear" w:color="000000" w:fill="D0E0E3"/>
            <w:noWrap/>
            <w:vAlign w:val="center"/>
            <w:hideMark/>
          </w:tcPr>
          <w:p w14:paraId="44895901" w14:textId="67F0443A" w:rsidR="00F6239A" w:rsidRPr="00C17CC5" w:rsidRDefault="00831621" w:rsidP="00F6239A">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120.740.717</w:t>
            </w:r>
          </w:p>
        </w:tc>
        <w:tc>
          <w:tcPr>
            <w:tcW w:w="689" w:type="pct"/>
            <w:shd w:val="clear" w:color="000000" w:fill="D0E0E3"/>
            <w:noWrap/>
            <w:vAlign w:val="center"/>
            <w:hideMark/>
          </w:tcPr>
          <w:p w14:paraId="642867C8" w14:textId="6306EC63" w:rsidR="00F6239A" w:rsidRPr="00C17CC5" w:rsidRDefault="003B29C7" w:rsidP="00F6239A">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1.293.063.359</w:t>
            </w:r>
          </w:p>
        </w:tc>
      </w:tr>
      <w:tr w:rsidR="00165917" w:rsidRPr="00C17CC5" w14:paraId="64A5A51F" w14:textId="77777777" w:rsidTr="00E42F21">
        <w:trPr>
          <w:trHeight w:val="283"/>
        </w:trPr>
        <w:tc>
          <w:tcPr>
            <w:tcW w:w="1224" w:type="pct"/>
            <w:vAlign w:val="center"/>
            <w:hideMark/>
          </w:tcPr>
          <w:p w14:paraId="2A696B97" w14:textId="77777777" w:rsidR="00F6239A" w:rsidRPr="00C17CC5" w:rsidRDefault="00F6239A" w:rsidP="00F6239A">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01 a 30 dias </w:t>
            </w:r>
          </w:p>
        </w:tc>
        <w:tc>
          <w:tcPr>
            <w:tcW w:w="617" w:type="pct"/>
            <w:noWrap/>
            <w:vAlign w:val="center"/>
            <w:hideMark/>
          </w:tcPr>
          <w:p w14:paraId="295137FA" w14:textId="01FC22B5"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873.129.628</w:t>
            </w:r>
          </w:p>
        </w:tc>
        <w:tc>
          <w:tcPr>
            <w:tcW w:w="617" w:type="pct"/>
            <w:noWrap/>
            <w:vAlign w:val="center"/>
            <w:hideMark/>
          </w:tcPr>
          <w:p w14:paraId="2BDD4D89" w14:textId="75F84AB2"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72.554.536</w:t>
            </w:r>
          </w:p>
        </w:tc>
        <w:tc>
          <w:tcPr>
            <w:tcW w:w="617" w:type="pct"/>
            <w:noWrap/>
            <w:vAlign w:val="center"/>
            <w:hideMark/>
          </w:tcPr>
          <w:p w14:paraId="63F440D5" w14:textId="018862D4"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154.406.664</w:t>
            </w:r>
          </w:p>
        </w:tc>
        <w:tc>
          <w:tcPr>
            <w:tcW w:w="617" w:type="pct"/>
            <w:vAlign w:val="center"/>
            <w:hideMark/>
          </w:tcPr>
          <w:p w14:paraId="2C6810D5" w14:textId="17CB0ED6" w:rsidR="00F6239A" w:rsidRPr="00516B6F" w:rsidRDefault="00831621" w:rsidP="005035CF">
            <w:pPr>
              <w:jc w:val="right"/>
              <w:rPr>
                <w:rFonts w:ascii="CAIXA Std Book" w:hAnsi="CAIXA Std Book" w:cs="Calibri"/>
                <w:color w:val="005CA9"/>
                <w:sz w:val="18"/>
                <w:szCs w:val="18"/>
              </w:rPr>
            </w:pPr>
            <w:r>
              <w:rPr>
                <w:rFonts w:ascii="CAIXA Std Book" w:hAnsi="CAIXA Std Book" w:cs="Calibri"/>
                <w:color w:val="005CA9"/>
                <w:sz w:val="18"/>
                <w:szCs w:val="18"/>
              </w:rPr>
              <w:t>1.195.489</w:t>
            </w:r>
          </w:p>
        </w:tc>
        <w:tc>
          <w:tcPr>
            <w:tcW w:w="617" w:type="pct"/>
            <w:noWrap/>
            <w:vAlign w:val="center"/>
            <w:hideMark/>
          </w:tcPr>
          <w:p w14:paraId="2F5A92F9" w14:textId="2A353B30" w:rsidR="00F6239A" w:rsidRPr="00516B6F" w:rsidRDefault="00831621" w:rsidP="00F6239A">
            <w:pPr>
              <w:jc w:val="right"/>
              <w:rPr>
                <w:rFonts w:ascii="CAIXA Std Book" w:hAnsi="CAIXA Std Book" w:cs="Calibri"/>
                <w:color w:val="005CA9"/>
                <w:sz w:val="18"/>
                <w:szCs w:val="18"/>
              </w:rPr>
            </w:pPr>
            <w:r>
              <w:rPr>
                <w:rFonts w:ascii="CAIXA Std Book" w:hAnsi="CAIXA Std Book" w:cs="Calibri"/>
                <w:color w:val="005CA9"/>
                <w:sz w:val="18"/>
                <w:szCs w:val="18"/>
              </w:rPr>
              <w:t>118.074.689</w:t>
            </w:r>
          </w:p>
        </w:tc>
        <w:tc>
          <w:tcPr>
            <w:tcW w:w="689" w:type="pct"/>
            <w:noWrap/>
            <w:vAlign w:val="center"/>
            <w:hideMark/>
          </w:tcPr>
          <w:p w14:paraId="40C51AE5" w14:textId="5F59131A" w:rsidR="00F6239A" w:rsidRPr="00516B6F" w:rsidRDefault="003B29C7" w:rsidP="00F6239A">
            <w:pPr>
              <w:jc w:val="right"/>
              <w:rPr>
                <w:rFonts w:ascii="CAIXA Std Book" w:hAnsi="CAIXA Std Book" w:cs="Calibri"/>
                <w:color w:val="005CA9"/>
                <w:sz w:val="18"/>
                <w:szCs w:val="18"/>
              </w:rPr>
            </w:pPr>
            <w:r>
              <w:rPr>
                <w:rFonts w:ascii="CAIXA Std Book" w:hAnsi="CAIXA Std Book" w:cs="Calibri"/>
                <w:color w:val="005CA9"/>
                <w:sz w:val="18"/>
                <w:szCs w:val="18"/>
              </w:rPr>
              <w:t>1.219.361.006</w:t>
            </w:r>
          </w:p>
        </w:tc>
      </w:tr>
      <w:tr w:rsidR="00165917" w:rsidRPr="00C17CC5" w14:paraId="4DAD1891" w14:textId="77777777" w:rsidTr="00E42F21">
        <w:trPr>
          <w:trHeight w:val="283"/>
        </w:trPr>
        <w:tc>
          <w:tcPr>
            <w:tcW w:w="1224" w:type="pct"/>
            <w:vAlign w:val="center"/>
            <w:hideMark/>
          </w:tcPr>
          <w:p w14:paraId="41BC7F9C" w14:textId="77777777" w:rsidR="00F6239A" w:rsidRPr="00C17CC5" w:rsidRDefault="00F6239A" w:rsidP="00F6239A">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31 a 60 dias </w:t>
            </w:r>
          </w:p>
        </w:tc>
        <w:tc>
          <w:tcPr>
            <w:tcW w:w="617" w:type="pct"/>
            <w:noWrap/>
            <w:vAlign w:val="center"/>
            <w:hideMark/>
          </w:tcPr>
          <w:p w14:paraId="77786C58" w14:textId="3D43E4BD"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54.474.575</w:t>
            </w:r>
          </w:p>
        </w:tc>
        <w:tc>
          <w:tcPr>
            <w:tcW w:w="617" w:type="pct"/>
            <w:noWrap/>
            <w:vAlign w:val="center"/>
            <w:hideMark/>
          </w:tcPr>
          <w:p w14:paraId="61E162A7" w14:textId="6AA986E5"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2.002.134</w:t>
            </w:r>
          </w:p>
        </w:tc>
        <w:tc>
          <w:tcPr>
            <w:tcW w:w="617" w:type="pct"/>
            <w:noWrap/>
            <w:vAlign w:val="center"/>
            <w:hideMark/>
          </w:tcPr>
          <w:p w14:paraId="1E929615" w14:textId="5FEDB34C"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1.470.395</w:t>
            </w:r>
          </w:p>
        </w:tc>
        <w:tc>
          <w:tcPr>
            <w:tcW w:w="617" w:type="pct"/>
            <w:vAlign w:val="center"/>
            <w:hideMark/>
          </w:tcPr>
          <w:p w14:paraId="78946F4E" w14:textId="68DC74C6" w:rsidR="00F6239A" w:rsidRPr="00C17CC5" w:rsidRDefault="00831621" w:rsidP="005035CF">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21.552</w:t>
            </w:r>
          </w:p>
        </w:tc>
        <w:tc>
          <w:tcPr>
            <w:tcW w:w="617" w:type="pct"/>
            <w:noWrap/>
            <w:vAlign w:val="center"/>
            <w:hideMark/>
          </w:tcPr>
          <w:p w14:paraId="717EEEB5" w14:textId="6EBC1DB7"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1.703.</w:t>
            </w:r>
            <w:r w:rsidR="003E0DEC">
              <w:rPr>
                <w:rFonts w:ascii="CAIXA Std Book" w:hAnsi="CAIXA Std Book" w:cs="Calibri"/>
                <w:color w:val="005CA9"/>
                <w:sz w:val="18"/>
                <w:szCs w:val="18"/>
              </w:rPr>
              <w:t>627</w:t>
            </w:r>
          </w:p>
        </w:tc>
        <w:tc>
          <w:tcPr>
            <w:tcW w:w="689" w:type="pct"/>
            <w:noWrap/>
            <w:vAlign w:val="center"/>
            <w:hideMark/>
          </w:tcPr>
          <w:p w14:paraId="2D987AD5" w14:textId="6CE9241D" w:rsidR="00F6239A" w:rsidRPr="00C17CC5" w:rsidRDefault="003B29C7"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59.672.283</w:t>
            </w:r>
          </w:p>
        </w:tc>
      </w:tr>
      <w:tr w:rsidR="00165917" w:rsidRPr="00C17CC5" w14:paraId="6480A6DF" w14:textId="77777777" w:rsidTr="00E42F21">
        <w:trPr>
          <w:trHeight w:val="283"/>
        </w:trPr>
        <w:tc>
          <w:tcPr>
            <w:tcW w:w="1224" w:type="pct"/>
            <w:vAlign w:val="center"/>
            <w:hideMark/>
          </w:tcPr>
          <w:p w14:paraId="04944EB1" w14:textId="77777777" w:rsidR="00F6239A" w:rsidRPr="00C17CC5" w:rsidRDefault="00F6239A" w:rsidP="00F6239A">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61 a 90 dias </w:t>
            </w:r>
          </w:p>
        </w:tc>
        <w:tc>
          <w:tcPr>
            <w:tcW w:w="617" w:type="pct"/>
            <w:noWrap/>
            <w:vAlign w:val="center"/>
            <w:hideMark/>
          </w:tcPr>
          <w:p w14:paraId="489B91E0" w14:textId="01C884C1"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11.274.922</w:t>
            </w:r>
          </w:p>
        </w:tc>
        <w:tc>
          <w:tcPr>
            <w:tcW w:w="617" w:type="pct"/>
            <w:noWrap/>
            <w:vAlign w:val="center"/>
            <w:hideMark/>
          </w:tcPr>
          <w:p w14:paraId="13381359" w14:textId="12278063"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1.059.282</w:t>
            </w:r>
          </w:p>
        </w:tc>
        <w:tc>
          <w:tcPr>
            <w:tcW w:w="617" w:type="pct"/>
            <w:noWrap/>
            <w:vAlign w:val="center"/>
            <w:hideMark/>
          </w:tcPr>
          <w:p w14:paraId="694AF00E" w14:textId="7695971F"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724.441</w:t>
            </w:r>
          </w:p>
        </w:tc>
        <w:tc>
          <w:tcPr>
            <w:tcW w:w="617" w:type="pct"/>
            <w:vAlign w:val="center"/>
            <w:hideMark/>
          </w:tcPr>
          <w:p w14:paraId="7AE84829" w14:textId="44461341" w:rsidR="00F6239A" w:rsidRPr="00C17CC5" w:rsidRDefault="00831621" w:rsidP="005035CF">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9.024</w:t>
            </w:r>
          </w:p>
        </w:tc>
        <w:tc>
          <w:tcPr>
            <w:tcW w:w="617" w:type="pct"/>
            <w:noWrap/>
            <w:vAlign w:val="center"/>
            <w:hideMark/>
          </w:tcPr>
          <w:p w14:paraId="3C254F7F" w14:textId="50E2D8A6"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962.401</w:t>
            </w:r>
          </w:p>
        </w:tc>
        <w:tc>
          <w:tcPr>
            <w:tcW w:w="689" w:type="pct"/>
            <w:noWrap/>
            <w:vAlign w:val="center"/>
            <w:hideMark/>
          </w:tcPr>
          <w:p w14:paraId="7E6785B0" w14:textId="351625B1" w:rsidR="00F6239A" w:rsidRPr="00C17CC5" w:rsidRDefault="003B29C7"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14.030.070</w:t>
            </w:r>
          </w:p>
        </w:tc>
      </w:tr>
      <w:tr w:rsidR="00165917" w:rsidRPr="00C17CC5" w14:paraId="365CEBAF" w14:textId="77777777" w:rsidTr="00E42F21">
        <w:trPr>
          <w:trHeight w:val="283"/>
        </w:trPr>
        <w:tc>
          <w:tcPr>
            <w:tcW w:w="1224" w:type="pct"/>
            <w:shd w:val="clear" w:color="000000" w:fill="D0E0E3"/>
            <w:vAlign w:val="center"/>
            <w:hideMark/>
          </w:tcPr>
          <w:p w14:paraId="368EB59E" w14:textId="77777777" w:rsidR="00F6239A" w:rsidRPr="00C17CC5" w:rsidRDefault="00F6239A" w:rsidP="00F6239A">
            <w:pPr>
              <w:rPr>
                <w:rFonts w:ascii="CAIXA Std Book" w:eastAsia="Times New Roman" w:hAnsi="CAIXA Std Book" w:cs="Calibri"/>
                <w:b/>
                <w:bCs/>
                <w:color w:val="005CA9"/>
                <w:sz w:val="18"/>
                <w:szCs w:val="18"/>
              </w:rPr>
            </w:pPr>
            <w:r w:rsidRPr="00C17CC5">
              <w:rPr>
                <w:rFonts w:ascii="CAIXA Std Book" w:eastAsia="Times New Roman" w:hAnsi="CAIXA Std Book" w:cs="Calibri"/>
                <w:b/>
                <w:bCs/>
                <w:color w:val="005CA9"/>
                <w:sz w:val="18"/>
                <w:szCs w:val="18"/>
              </w:rPr>
              <w:t>Problemáticos adimplidos</w:t>
            </w:r>
            <w:r w:rsidRPr="006B4B51">
              <w:rPr>
                <w:rFonts w:ascii="CAIXA Std Book" w:eastAsia="Times New Roman" w:hAnsi="CAIXA Std Book" w:cs="Calibri"/>
                <w:b/>
                <w:color w:val="005CA9"/>
                <w:sz w:val="18"/>
                <w:szCs w:val="18"/>
              </w:rPr>
              <w:t> </w:t>
            </w:r>
          </w:p>
        </w:tc>
        <w:tc>
          <w:tcPr>
            <w:tcW w:w="617" w:type="pct"/>
            <w:shd w:val="clear" w:color="000000" w:fill="D0E0E3"/>
            <w:noWrap/>
            <w:vAlign w:val="center"/>
            <w:hideMark/>
          </w:tcPr>
          <w:p w14:paraId="1BDA4ADD" w14:textId="7237908D" w:rsidR="00F6239A" w:rsidRPr="00C17CC5" w:rsidRDefault="00831621" w:rsidP="00F6239A">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32.363.190</w:t>
            </w:r>
          </w:p>
        </w:tc>
        <w:tc>
          <w:tcPr>
            <w:tcW w:w="617" w:type="pct"/>
            <w:shd w:val="clear" w:color="000000" w:fill="D0E0E3"/>
            <w:noWrap/>
            <w:vAlign w:val="center"/>
            <w:hideMark/>
          </w:tcPr>
          <w:p w14:paraId="2076B94F" w14:textId="282E6D62" w:rsidR="00F6239A" w:rsidRPr="00C17CC5" w:rsidRDefault="00831621" w:rsidP="00F6239A">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7.186.329</w:t>
            </w:r>
          </w:p>
        </w:tc>
        <w:tc>
          <w:tcPr>
            <w:tcW w:w="617" w:type="pct"/>
            <w:shd w:val="clear" w:color="000000" w:fill="D0E0E3"/>
            <w:noWrap/>
            <w:vAlign w:val="center"/>
            <w:hideMark/>
          </w:tcPr>
          <w:p w14:paraId="05AFC7F2" w14:textId="2B1CF761" w:rsidR="00F6239A" w:rsidRPr="00C17CC5" w:rsidRDefault="00831621" w:rsidP="00F6239A">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3.576.804</w:t>
            </w:r>
          </w:p>
        </w:tc>
        <w:tc>
          <w:tcPr>
            <w:tcW w:w="617" w:type="pct"/>
            <w:shd w:val="clear" w:color="000000" w:fill="D0E0E3"/>
            <w:noWrap/>
            <w:vAlign w:val="center"/>
            <w:hideMark/>
          </w:tcPr>
          <w:p w14:paraId="439643E3" w14:textId="062D40B7" w:rsidR="00F6239A" w:rsidRPr="006B4B51" w:rsidRDefault="00831621" w:rsidP="005035CF">
            <w:pPr>
              <w:jc w:val="right"/>
              <w:rPr>
                <w:rFonts w:ascii="CAIXA Std Book" w:eastAsia="Times New Roman" w:hAnsi="CAIXA Std Book" w:cs="Calibri"/>
                <w:b/>
                <w:color w:val="005CA9"/>
                <w:sz w:val="18"/>
                <w:szCs w:val="18"/>
              </w:rPr>
            </w:pPr>
            <w:r>
              <w:rPr>
                <w:rFonts w:ascii="CAIXA Std Book" w:hAnsi="CAIXA Std Book" w:cs="Calibri"/>
                <w:b/>
                <w:bCs/>
                <w:color w:val="005CA9"/>
                <w:sz w:val="18"/>
                <w:szCs w:val="18"/>
              </w:rPr>
              <w:t>302.260</w:t>
            </w:r>
          </w:p>
        </w:tc>
        <w:tc>
          <w:tcPr>
            <w:tcW w:w="617" w:type="pct"/>
            <w:shd w:val="clear" w:color="000000" w:fill="D0E0E3"/>
            <w:noWrap/>
            <w:vAlign w:val="center"/>
            <w:hideMark/>
          </w:tcPr>
          <w:p w14:paraId="76B74569" w14:textId="6D57407F" w:rsidR="00F6239A" w:rsidRPr="00C17CC5" w:rsidRDefault="00831621" w:rsidP="00F6239A">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3.044.286</w:t>
            </w:r>
          </w:p>
        </w:tc>
        <w:tc>
          <w:tcPr>
            <w:tcW w:w="689" w:type="pct"/>
            <w:shd w:val="clear" w:color="000000" w:fill="D0E0E3"/>
            <w:noWrap/>
            <w:vAlign w:val="center"/>
            <w:hideMark/>
          </w:tcPr>
          <w:p w14:paraId="6FEEC733" w14:textId="368F12BE" w:rsidR="00F6239A" w:rsidRPr="00C17CC5" w:rsidRDefault="003B29C7" w:rsidP="00F6239A">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46.472.869</w:t>
            </w:r>
          </w:p>
        </w:tc>
      </w:tr>
      <w:tr w:rsidR="00165917" w:rsidRPr="00C17CC5" w14:paraId="2D3D84DF" w14:textId="77777777" w:rsidTr="00E42F21">
        <w:trPr>
          <w:trHeight w:val="283"/>
        </w:trPr>
        <w:tc>
          <w:tcPr>
            <w:tcW w:w="1224" w:type="pct"/>
            <w:vAlign w:val="center"/>
            <w:hideMark/>
          </w:tcPr>
          <w:p w14:paraId="25CA71AA" w14:textId="77777777" w:rsidR="00F6239A" w:rsidRPr="00C17CC5" w:rsidRDefault="00F6239A" w:rsidP="00F6239A">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01 a 90 dias </w:t>
            </w:r>
          </w:p>
        </w:tc>
        <w:tc>
          <w:tcPr>
            <w:tcW w:w="617" w:type="pct"/>
            <w:noWrap/>
            <w:vAlign w:val="center"/>
            <w:hideMark/>
          </w:tcPr>
          <w:p w14:paraId="62775F79" w14:textId="7C9AA2E1"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32.363.190</w:t>
            </w:r>
          </w:p>
        </w:tc>
        <w:tc>
          <w:tcPr>
            <w:tcW w:w="617" w:type="pct"/>
            <w:noWrap/>
            <w:vAlign w:val="center"/>
            <w:hideMark/>
          </w:tcPr>
          <w:p w14:paraId="18968132" w14:textId="4930E6E2"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7.186.329</w:t>
            </w:r>
          </w:p>
        </w:tc>
        <w:tc>
          <w:tcPr>
            <w:tcW w:w="617" w:type="pct"/>
            <w:noWrap/>
            <w:vAlign w:val="center"/>
            <w:hideMark/>
          </w:tcPr>
          <w:p w14:paraId="60E725A4" w14:textId="170A0EC4"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3.576.804</w:t>
            </w:r>
          </w:p>
        </w:tc>
        <w:tc>
          <w:tcPr>
            <w:tcW w:w="617" w:type="pct"/>
            <w:vAlign w:val="center"/>
            <w:hideMark/>
          </w:tcPr>
          <w:p w14:paraId="1E9BF38D" w14:textId="30250C8D" w:rsidR="00F6239A" w:rsidRPr="00C17CC5" w:rsidRDefault="00831621" w:rsidP="005035CF">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302.260</w:t>
            </w:r>
          </w:p>
        </w:tc>
        <w:tc>
          <w:tcPr>
            <w:tcW w:w="617" w:type="pct"/>
            <w:noWrap/>
            <w:vAlign w:val="center"/>
            <w:hideMark/>
          </w:tcPr>
          <w:p w14:paraId="5FDB1C12" w14:textId="1D5F49B1"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3.044.286</w:t>
            </w:r>
          </w:p>
        </w:tc>
        <w:tc>
          <w:tcPr>
            <w:tcW w:w="689" w:type="pct"/>
            <w:noWrap/>
            <w:vAlign w:val="center"/>
            <w:hideMark/>
          </w:tcPr>
          <w:p w14:paraId="73D0D30D" w14:textId="2E83BCB4" w:rsidR="00F6239A" w:rsidRPr="00C17CC5" w:rsidRDefault="003B29C7"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46.472.869</w:t>
            </w:r>
          </w:p>
        </w:tc>
      </w:tr>
      <w:tr w:rsidR="00165917" w:rsidRPr="00C17CC5" w14:paraId="6A34A734" w14:textId="77777777" w:rsidTr="00E42F21">
        <w:trPr>
          <w:trHeight w:val="283"/>
        </w:trPr>
        <w:tc>
          <w:tcPr>
            <w:tcW w:w="1224" w:type="pct"/>
            <w:shd w:val="clear" w:color="000000" w:fill="D0E0E3"/>
            <w:vAlign w:val="center"/>
            <w:hideMark/>
          </w:tcPr>
          <w:p w14:paraId="2C1F2F43" w14:textId="77777777" w:rsidR="00F6239A" w:rsidRPr="00C17CC5" w:rsidRDefault="00F6239A" w:rsidP="00F6239A">
            <w:pPr>
              <w:rPr>
                <w:rFonts w:ascii="CAIXA Std Book" w:eastAsia="Times New Roman" w:hAnsi="CAIXA Std Book" w:cs="Calibri"/>
                <w:b/>
                <w:bCs/>
                <w:color w:val="005CA9"/>
                <w:sz w:val="18"/>
                <w:szCs w:val="18"/>
              </w:rPr>
            </w:pPr>
            <w:r w:rsidRPr="00C17CC5">
              <w:rPr>
                <w:rFonts w:ascii="CAIXA Std Book" w:eastAsia="Times New Roman" w:hAnsi="CAIXA Std Book" w:cs="Calibri"/>
                <w:b/>
                <w:bCs/>
                <w:color w:val="005CA9"/>
                <w:sz w:val="18"/>
                <w:szCs w:val="18"/>
              </w:rPr>
              <w:t>Problemáticos inadimplidos</w:t>
            </w:r>
            <w:r w:rsidRPr="006B4B51">
              <w:rPr>
                <w:rFonts w:ascii="CAIXA Std Book" w:eastAsia="Times New Roman" w:hAnsi="CAIXA Std Book" w:cs="Calibri"/>
                <w:b/>
                <w:color w:val="005CA9"/>
                <w:sz w:val="18"/>
                <w:szCs w:val="18"/>
              </w:rPr>
              <w:t> </w:t>
            </w:r>
          </w:p>
        </w:tc>
        <w:tc>
          <w:tcPr>
            <w:tcW w:w="617" w:type="pct"/>
            <w:shd w:val="clear" w:color="000000" w:fill="D0E0E3"/>
            <w:noWrap/>
            <w:vAlign w:val="center"/>
            <w:hideMark/>
          </w:tcPr>
          <w:p w14:paraId="4364E56C" w14:textId="69991474" w:rsidR="00F6239A" w:rsidRPr="00C17CC5" w:rsidRDefault="00831621" w:rsidP="00F6239A">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15.984.264</w:t>
            </w:r>
          </w:p>
        </w:tc>
        <w:tc>
          <w:tcPr>
            <w:tcW w:w="617" w:type="pct"/>
            <w:shd w:val="clear" w:color="000000" w:fill="D0E0E3"/>
            <w:noWrap/>
            <w:vAlign w:val="center"/>
            <w:hideMark/>
          </w:tcPr>
          <w:p w14:paraId="10C23009" w14:textId="4DCA307D" w:rsidR="00F6239A" w:rsidRPr="00C17CC5" w:rsidRDefault="00831621" w:rsidP="00F6239A">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15.980.92</w:t>
            </w:r>
            <w:r w:rsidR="009307F8">
              <w:rPr>
                <w:rFonts w:ascii="CAIXA Std Book" w:hAnsi="CAIXA Std Book" w:cs="Calibri"/>
                <w:b/>
                <w:bCs/>
                <w:color w:val="005CA9"/>
                <w:sz w:val="18"/>
                <w:szCs w:val="18"/>
              </w:rPr>
              <w:t>1</w:t>
            </w:r>
          </w:p>
        </w:tc>
        <w:tc>
          <w:tcPr>
            <w:tcW w:w="617" w:type="pct"/>
            <w:shd w:val="clear" w:color="000000" w:fill="D0E0E3"/>
            <w:noWrap/>
            <w:vAlign w:val="center"/>
            <w:hideMark/>
          </w:tcPr>
          <w:p w14:paraId="04B98DE8" w14:textId="506FA7D1" w:rsidR="00F6239A" w:rsidRPr="00C17CC5" w:rsidRDefault="00831621" w:rsidP="00F6239A">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9.280.377</w:t>
            </w:r>
          </w:p>
        </w:tc>
        <w:tc>
          <w:tcPr>
            <w:tcW w:w="617" w:type="pct"/>
            <w:shd w:val="clear" w:color="000000" w:fill="D0E0E3"/>
            <w:noWrap/>
            <w:vAlign w:val="center"/>
            <w:hideMark/>
          </w:tcPr>
          <w:p w14:paraId="5D85BF71" w14:textId="3742323D" w:rsidR="00F6239A" w:rsidRPr="00AD22B2" w:rsidRDefault="00831621" w:rsidP="005035CF">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167.88</w:t>
            </w:r>
            <w:r w:rsidR="00EA23F9">
              <w:rPr>
                <w:rFonts w:ascii="CAIXA Std Book" w:hAnsi="CAIXA Std Book" w:cs="Calibri"/>
                <w:b/>
                <w:bCs/>
                <w:color w:val="005CA9"/>
                <w:sz w:val="18"/>
                <w:szCs w:val="18"/>
              </w:rPr>
              <w:t>8</w:t>
            </w:r>
          </w:p>
        </w:tc>
        <w:tc>
          <w:tcPr>
            <w:tcW w:w="617" w:type="pct"/>
            <w:shd w:val="clear" w:color="000000" w:fill="D0E0E3"/>
            <w:noWrap/>
            <w:vAlign w:val="center"/>
            <w:hideMark/>
          </w:tcPr>
          <w:p w14:paraId="6F0E3ACC" w14:textId="445F6828" w:rsidR="00F6239A" w:rsidRPr="00C17CC5" w:rsidRDefault="00831621" w:rsidP="00F6239A">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10.865.6</w:t>
            </w:r>
            <w:r w:rsidR="00B46D15">
              <w:rPr>
                <w:rFonts w:ascii="CAIXA Std Book" w:hAnsi="CAIXA Std Book" w:cs="Calibri"/>
                <w:b/>
                <w:bCs/>
                <w:color w:val="005CA9"/>
                <w:sz w:val="18"/>
                <w:szCs w:val="18"/>
              </w:rPr>
              <w:t>30</w:t>
            </w:r>
          </w:p>
        </w:tc>
        <w:tc>
          <w:tcPr>
            <w:tcW w:w="689" w:type="pct"/>
            <w:shd w:val="clear" w:color="000000" w:fill="D0E0E3"/>
            <w:noWrap/>
            <w:vAlign w:val="center"/>
            <w:hideMark/>
          </w:tcPr>
          <w:p w14:paraId="0FF2A1C4" w14:textId="73D0F85A" w:rsidR="00F6239A" w:rsidRPr="00C17CC5" w:rsidRDefault="003B29C7" w:rsidP="00F6239A">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52.279.0</w:t>
            </w:r>
            <w:r w:rsidR="00B46D15">
              <w:rPr>
                <w:rFonts w:ascii="CAIXA Std Book" w:hAnsi="CAIXA Std Book" w:cs="Calibri"/>
                <w:b/>
                <w:bCs/>
                <w:color w:val="005CA9"/>
                <w:sz w:val="18"/>
                <w:szCs w:val="18"/>
              </w:rPr>
              <w:t>80</w:t>
            </w:r>
          </w:p>
        </w:tc>
      </w:tr>
      <w:tr w:rsidR="00165917" w:rsidRPr="00C17CC5" w14:paraId="6FE484E7" w14:textId="77777777" w:rsidTr="00E42F21">
        <w:trPr>
          <w:trHeight w:val="283"/>
        </w:trPr>
        <w:tc>
          <w:tcPr>
            <w:tcW w:w="1224" w:type="pct"/>
            <w:vAlign w:val="center"/>
            <w:hideMark/>
          </w:tcPr>
          <w:p w14:paraId="00FF6F47" w14:textId="77777777" w:rsidR="00F6239A" w:rsidRPr="00C17CC5" w:rsidRDefault="00F6239A" w:rsidP="00F6239A">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91 a 180 dias </w:t>
            </w:r>
          </w:p>
        </w:tc>
        <w:tc>
          <w:tcPr>
            <w:tcW w:w="617" w:type="pct"/>
            <w:noWrap/>
            <w:vAlign w:val="center"/>
            <w:hideMark/>
          </w:tcPr>
          <w:p w14:paraId="625CB428" w14:textId="1EAF00C2"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12.493.</w:t>
            </w:r>
            <w:r w:rsidR="003E0DEC">
              <w:rPr>
                <w:rFonts w:ascii="CAIXA Std Book" w:hAnsi="CAIXA Std Book" w:cs="Calibri"/>
                <w:color w:val="005CA9"/>
                <w:sz w:val="18"/>
                <w:szCs w:val="18"/>
              </w:rPr>
              <w:t>205</w:t>
            </w:r>
          </w:p>
        </w:tc>
        <w:tc>
          <w:tcPr>
            <w:tcW w:w="617" w:type="pct"/>
            <w:noWrap/>
            <w:vAlign w:val="center"/>
            <w:hideMark/>
          </w:tcPr>
          <w:p w14:paraId="197859AC" w14:textId="78368579"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6.808.091</w:t>
            </w:r>
          </w:p>
        </w:tc>
        <w:tc>
          <w:tcPr>
            <w:tcW w:w="617" w:type="pct"/>
            <w:noWrap/>
            <w:vAlign w:val="center"/>
            <w:hideMark/>
          </w:tcPr>
          <w:p w14:paraId="3914D315" w14:textId="6F853F0F"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4.734.537</w:t>
            </w:r>
          </w:p>
        </w:tc>
        <w:tc>
          <w:tcPr>
            <w:tcW w:w="617" w:type="pct"/>
            <w:vAlign w:val="center"/>
            <w:hideMark/>
          </w:tcPr>
          <w:p w14:paraId="6EF29DEC" w14:textId="22145F09" w:rsidR="00F6239A" w:rsidRPr="00C17CC5" w:rsidRDefault="00831621" w:rsidP="005035CF">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98.641</w:t>
            </w:r>
          </w:p>
        </w:tc>
        <w:tc>
          <w:tcPr>
            <w:tcW w:w="617" w:type="pct"/>
            <w:noWrap/>
            <w:vAlign w:val="center"/>
            <w:hideMark/>
          </w:tcPr>
          <w:p w14:paraId="6CA16A02" w14:textId="369CD0FA"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4.781.400</w:t>
            </w:r>
          </w:p>
        </w:tc>
        <w:tc>
          <w:tcPr>
            <w:tcW w:w="689" w:type="pct"/>
            <w:noWrap/>
            <w:vAlign w:val="center"/>
            <w:hideMark/>
          </w:tcPr>
          <w:p w14:paraId="076CB190" w14:textId="4870196D" w:rsidR="00F6239A" w:rsidRPr="00C17CC5" w:rsidRDefault="003B29C7"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28.915.</w:t>
            </w:r>
            <w:r w:rsidR="003E0DEC">
              <w:rPr>
                <w:rFonts w:ascii="CAIXA Std Book" w:hAnsi="CAIXA Std Book" w:cs="Calibri"/>
                <w:color w:val="005CA9"/>
                <w:sz w:val="18"/>
                <w:szCs w:val="18"/>
              </w:rPr>
              <w:t>874</w:t>
            </w:r>
          </w:p>
        </w:tc>
      </w:tr>
      <w:tr w:rsidR="00165917" w:rsidRPr="00C17CC5" w14:paraId="27184AD6" w14:textId="77777777" w:rsidTr="00E42F21">
        <w:trPr>
          <w:trHeight w:val="283"/>
        </w:trPr>
        <w:tc>
          <w:tcPr>
            <w:tcW w:w="1224" w:type="pct"/>
            <w:vAlign w:val="center"/>
            <w:hideMark/>
          </w:tcPr>
          <w:p w14:paraId="2CCB7679" w14:textId="77777777" w:rsidR="00F6239A" w:rsidRPr="00C17CC5" w:rsidRDefault="00F6239A" w:rsidP="00F6239A">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181 a 360 dias </w:t>
            </w:r>
          </w:p>
        </w:tc>
        <w:tc>
          <w:tcPr>
            <w:tcW w:w="617" w:type="pct"/>
            <w:noWrap/>
            <w:vAlign w:val="center"/>
            <w:hideMark/>
          </w:tcPr>
          <w:p w14:paraId="148CD0CF" w14:textId="13F3854F"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2.119.172</w:t>
            </w:r>
          </w:p>
        </w:tc>
        <w:tc>
          <w:tcPr>
            <w:tcW w:w="617" w:type="pct"/>
            <w:noWrap/>
            <w:vAlign w:val="center"/>
            <w:hideMark/>
          </w:tcPr>
          <w:p w14:paraId="7933484C" w14:textId="488FFFFB"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5.070.863</w:t>
            </w:r>
          </w:p>
        </w:tc>
        <w:tc>
          <w:tcPr>
            <w:tcW w:w="617" w:type="pct"/>
            <w:noWrap/>
            <w:vAlign w:val="center"/>
            <w:hideMark/>
          </w:tcPr>
          <w:p w14:paraId="3F69872B" w14:textId="048FEA88"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2.887.508</w:t>
            </w:r>
          </w:p>
        </w:tc>
        <w:tc>
          <w:tcPr>
            <w:tcW w:w="617" w:type="pct"/>
            <w:vAlign w:val="center"/>
            <w:hideMark/>
          </w:tcPr>
          <w:p w14:paraId="4E734454" w14:textId="4CA90E38" w:rsidR="00F6239A" w:rsidRPr="00C17CC5" w:rsidRDefault="00831621" w:rsidP="005035CF">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43.068</w:t>
            </w:r>
          </w:p>
        </w:tc>
        <w:tc>
          <w:tcPr>
            <w:tcW w:w="617" w:type="pct"/>
            <w:noWrap/>
            <w:vAlign w:val="center"/>
            <w:hideMark/>
          </w:tcPr>
          <w:p w14:paraId="37111DD6" w14:textId="09C9AF7E"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3.866.079</w:t>
            </w:r>
          </w:p>
        </w:tc>
        <w:tc>
          <w:tcPr>
            <w:tcW w:w="689" w:type="pct"/>
            <w:noWrap/>
            <w:vAlign w:val="center"/>
            <w:hideMark/>
          </w:tcPr>
          <w:p w14:paraId="26B273FC" w14:textId="4D93E167" w:rsidR="00F6239A" w:rsidRPr="00C17CC5" w:rsidRDefault="003B29C7"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13.986.690</w:t>
            </w:r>
          </w:p>
        </w:tc>
      </w:tr>
      <w:tr w:rsidR="00165917" w:rsidRPr="00C17CC5" w14:paraId="0F632D00" w14:textId="77777777" w:rsidTr="00E42F21">
        <w:trPr>
          <w:trHeight w:val="283"/>
        </w:trPr>
        <w:tc>
          <w:tcPr>
            <w:tcW w:w="1224" w:type="pct"/>
            <w:vAlign w:val="center"/>
            <w:hideMark/>
          </w:tcPr>
          <w:p w14:paraId="69FBC7BC" w14:textId="77777777" w:rsidR="00F6239A" w:rsidRPr="00C17CC5" w:rsidRDefault="00F6239A" w:rsidP="00F6239A">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Acima de 360 dias</w:t>
            </w:r>
          </w:p>
        </w:tc>
        <w:tc>
          <w:tcPr>
            <w:tcW w:w="617" w:type="pct"/>
            <w:noWrap/>
            <w:vAlign w:val="center"/>
            <w:hideMark/>
          </w:tcPr>
          <w:p w14:paraId="7B2A68E3" w14:textId="1CFB9D2F"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1.371.887</w:t>
            </w:r>
          </w:p>
        </w:tc>
        <w:tc>
          <w:tcPr>
            <w:tcW w:w="617" w:type="pct"/>
            <w:noWrap/>
            <w:vAlign w:val="center"/>
            <w:hideMark/>
          </w:tcPr>
          <w:p w14:paraId="2506B464" w14:textId="0A859508"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4.101.967</w:t>
            </w:r>
          </w:p>
        </w:tc>
        <w:tc>
          <w:tcPr>
            <w:tcW w:w="617" w:type="pct"/>
            <w:noWrap/>
            <w:vAlign w:val="center"/>
            <w:hideMark/>
          </w:tcPr>
          <w:p w14:paraId="0D4337C6" w14:textId="0C74092C" w:rsidR="00F6239A" w:rsidRPr="00C17CC5" w:rsidRDefault="00831621" w:rsidP="00F6239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1.658.332</w:t>
            </w:r>
          </w:p>
        </w:tc>
        <w:tc>
          <w:tcPr>
            <w:tcW w:w="617" w:type="pct"/>
            <w:vAlign w:val="center"/>
            <w:hideMark/>
          </w:tcPr>
          <w:p w14:paraId="66BF596E" w14:textId="795E7561" w:rsidR="00F6239A" w:rsidRPr="00C17CC5" w:rsidRDefault="00831621" w:rsidP="005035CF">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26.179</w:t>
            </w:r>
          </w:p>
        </w:tc>
        <w:tc>
          <w:tcPr>
            <w:tcW w:w="617" w:type="pct"/>
            <w:noWrap/>
            <w:vAlign w:val="center"/>
            <w:hideMark/>
          </w:tcPr>
          <w:p w14:paraId="55D6BB22" w14:textId="59B8088F" w:rsidR="00F6239A" w:rsidRPr="00516B6F" w:rsidRDefault="00831621" w:rsidP="00F6239A">
            <w:pPr>
              <w:jc w:val="right"/>
              <w:rPr>
                <w:rFonts w:ascii="CAIXA Std Book" w:hAnsi="CAIXA Std Book" w:cs="Calibri"/>
                <w:color w:val="005CA9"/>
                <w:sz w:val="18"/>
                <w:szCs w:val="18"/>
              </w:rPr>
            </w:pPr>
            <w:r>
              <w:rPr>
                <w:rFonts w:ascii="CAIXA Std Book" w:hAnsi="CAIXA Std Book" w:cs="Calibri"/>
                <w:color w:val="005CA9"/>
                <w:sz w:val="18"/>
                <w:szCs w:val="18"/>
              </w:rPr>
              <w:t>2.218.</w:t>
            </w:r>
            <w:r w:rsidR="003E0DEC">
              <w:rPr>
                <w:rFonts w:ascii="CAIXA Std Book" w:hAnsi="CAIXA Std Book" w:cs="Calibri"/>
                <w:color w:val="005CA9"/>
                <w:sz w:val="18"/>
                <w:szCs w:val="18"/>
              </w:rPr>
              <w:t>151</w:t>
            </w:r>
          </w:p>
        </w:tc>
        <w:tc>
          <w:tcPr>
            <w:tcW w:w="689" w:type="pct"/>
            <w:noWrap/>
            <w:vAlign w:val="center"/>
            <w:hideMark/>
          </w:tcPr>
          <w:p w14:paraId="29D5EFF4" w14:textId="57A5A67D" w:rsidR="00F6239A" w:rsidRPr="00516B6F" w:rsidRDefault="003B29C7" w:rsidP="00F6239A">
            <w:pPr>
              <w:jc w:val="right"/>
              <w:rPr>
                <w:rFonts w:ascii="CAIXA Std Book" w:hAnsi="CAIXA Std Book" w:cs="Calibri"/>
                <w:color w:val="005CA9"/>
                <w:sz w:val="18"/>
                <w:szCs w:val="18"/>
              </w:rPr>
            </w:pPr>
            <w:r>
              <w:rPr>
                <w:rFonts w:ascii="CAIXA Std Book" w:hAnsi="CAIXA Std Book" w:cs="Calibri"/>
                <w:color w:val="005CA9"/>
                <w:sz w:val="18"/>
                <w:szCs w:val="18"/>
              </w:rPr>
              <w:t>9.376.51</w:t>
            </w:r>
            <w:r w:rsidR="00B46D15">
              <w:rPr>
                <w:rFonts w:ascii="CAIXA Std Book" w:hAnsi="CAIXA Std Book" w:cs="Calibri"/>
                <w:color w:val="005CA9"/>
                <w:sz w:val="18"/>
                <w:szCs w:val="18"/>
              </w:rPr>
              <w:t>6</w:t>
            </w:r>
          </w:p>
        </w:tc>
      </w:tr>
      <w:tr w:rsidR="00165917" w:rsidRPr="00C17CC5" w14:paraId="2C41BB42" w14:textId="77777777" w:rsidTr="00E42F21">
        <w:trPr>
          <w:trHeight w:val="283"/>
        </w:trPr>
        <w:tc>
          <w:tcPr>
            <w:tcW w:w="1224" w:type="pct"/>
            <w:shd w:val="clear" w:color="000000" w:fill="005CA9"/>
            <w:noWrap/>
            <w:vAlign w:val="center"/>
            <w:hideMark/>
          </w:tcPr>
          <w:p w14:paraId="6AC205CE" w14:textId="77777777" w:rsidR="00F6239A" w:rsidRPr="00C17CC5" w:rsidRDefault="00F6239A" w:rsidP="00F6239A">
            <w:pP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Total</w:t>
            </w:r>
            <w:r w:rsidRPr="006B4B51">
              <w:rPr>
                <w:rFonts w:ascii="CAIXA Std Book" w:eastAsia="Times New Roman" w:hAnsi="CAIXA Std Book" w:cs="Calibri"/>
                <w:b/>
                <w:color w:val="FFFFFF"/>
                <w:sz w:val="18"/>
                <w:szCs w:val="18"/>
              </w:rPr>
              <w:t> </w:t>
            </w:r>
          </w:p>
        </w:tc>
        <w:tc>
          <w:tcPr>
            <w:tcW w:w="617" w:type="pct"/>
            <w:shd w:val="clear" w:color="000000" w:fill="005CA9"/>
            <w:noWrap/>
            <w:vAlign w:val="center"/>
            <w:hideMark/>
          </w:tcPr>
          <w:p w14:paraId="3065A181" w14:textId="1EDD224F" w:rsidR="00F6239A" w:rsidRPr="00C17CC5" w:rsidRDefault="00831621" w:rsidP="00F6239A">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987.226.579</w:t>
            </w:r>
          </w:p>
        </w:tc>
        <w:tc>
          <w:tcPr>
            <w:tcW w:w="617" w:type="pct"/>
            <w:shd w:val="clear" w:color="000000" w:fill="005CA9"/>
            <w:noWrap/>
            <w:vAlign w:val="center"/>
            <w:hideMark/>
          </w:tcPr>
          <w:p w14:paraId="45F19A65" w14:textId="756F6A48" w:rsidR="00F6239A" w:rsidRPr="00C17CC5" w:rsidRDefault="00831621" w:rsidP="00F6239A">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98.783.20</w:t>
            </w:r>
            <w:r w:rsidR="009307F8">
              <w:rPr>
                <w:rFonts w:ascii="CAIXA Std Book" w:hAnsi="CAIXA Std Book" w:cs="Calibri"/>
                <w:b/>
                <w:bCs/>
                <w:color w:val="FFFFFF"/>
                <w:sz w:val="18"/>
                <w:szCs w:val="18"/>
              </w:rPr>
              <w:t>2</w:t>
            </w:r>
          </w:p>
        </w:tc>
        <w:tc>
          <w:tcPr>
            <w:tcW w:w="617" w:type="pct"/>
            <w:shd w:val="clear" w:color="000000" w:fill="005CA9"/>
            <w:noWrap/>
            <w:vAlign w:val="center"/>
            <w:hideMark/>
          </w:tcPr>
          <w:p w14:paraId="60BCE7EF" w14:textId="043B30D5" w:rsidR="00F6239A" w:rsidRPr="00C17CC5" w:rsidRDefault="00831621" w:rsidP="00F6239A">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169.458.68</w:t>
            </w:r>
            <w:r w:rsidR="00B32149">
              <w:rPr>
                <w:rFonts w:ascii="CAIXA Std Book" w:hAnsi="CAIXA Std Book" w:cs="Calibri"/>
                <w:b/>
                <w:bCs/>
                <w:color w:val="FFFFFF"/>
                <w:sz w:val="18"/>
                <w:szCs w:val="18"/>
              </w:rPr>
              <w:t>1</w:t>
            </w:r>
          </w:p>
        </w:tc>
        <w:tc>
          <w:tcPr>
            <w:tcW w:w="617" w:type="pct"/>
            <w:shd w:val="clear" w:color="000000" w:fill="005CA9"/>
            <w:noWrap/>
            <w:vAlign w:val="center"/>
            <w:hideMark/>
          </w:tcPr>
          <w:p w14:paraId="4A1AB475" w14:textId="70D9410B" w:rsidR="00F6239A" w:rsidRPr="00C17CC5" w:rsidRDefault="00831621" w:rsidP="005035CF">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1.696.213</w:t>
            </w:r>
          </w:p>
        </w:tc>
        <w:tc>
          <w:tcPr>
            <w:tcW w:w="617" w:type="pct"/>
            <w:shd w:val="clear" w:color="000000" w:fill="005CA9"/>
            <w:noWrap/>
            <w:vAlign w:val="center"/>
            <w:hideMark/>
          </w:tcPr>
          <w:p w14:paraId="7D89D746" w14:textId="1A0C13BE" w:rsidR="00F6239A" w:rsidRPr="00C17CC5" w:rsidRDefault="00831621" w:rsidP="00F6239A">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134.650.63</w:t>
            </w:r>
            <w:r w:rsidR="00B46D15">
              <w:rPr>
                <w:rFonts w:ascii="CAIXA Std Book" w:hAnsi="CAIXA Std Book" w:cs="Calibri"/>
                <w:b/>
                <w:bCs/>
                <w:color w:val="FFFFFF"/>
                <w:sz w:val="18"/>
                <w:szCs w:val="18"/>
              </w:rPr>
              <w:t>3</w:t>
            </w:r>
          </w:p>
        </w:tc>
        <w:tc>
          <w:tcPr>
            <w:tcW w:w="689" w:type="pct"/>
            <w:shd w:val="clear" w:color="000000" w:fill="005CA9"/>
            <w:noWrap/>
            <w:vAlign w:val="center"/>
            <w:hideMark/>
          </w:tcPr>
          <w:p w14:paraId="2C14926A" w14:textId="233B235A" w:rsidR="00F6239A" w:rsidRPr="00C17CC5" w:rsidRDefault="003B29C7" w:rsidP="00F6239A">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1.391.815.30</w:t>
            </w:r>
            <w:r w:rsidR="00B46D15">
              <w:rPr>
                <w:rFonts w:ascii="CAIXA Std Book" w:hAnsi="CAIXA Std Book" w:cs="Calibri"/>
                <w:b/>
                <w:bCs/>
                <w:color w:val="FFFFFF"/>
                <w:sz w:val="18"/>
                <w:szCs w:val="18"/>
              </w:rPr>
              <w:t>8</w:t>
            </w:r>
          </w:p>
        </w:tc>
      </w:tr>
    </w:tbl>
    <w:p w14:paraId="37608C76" w14:textId="77777777" w:rsidR="005C49DE" w:rsidRDefault="005C49DE">
      <w:r>
        <w:br w:type="page"/>
      </w:r>
    </w:p>
    <w:tbl>
      <w:tblPr>
        <w:tblW w:w="5000" w:type="pct"/>
        <w:tblCellMar>
          <w:left w:w="70" w:type="dxa"/>
          <w:right w:w="70" w:type="dxa"/>
        </w:tblCellMar>
        <w:tblLook w:val="04A0" w:firstRow="1" w:lastRow="0" w:firstColumn="1" w:lastColumn="0" w:noHBand="0" w:noVBand="1"/>
      </w:tblPr>
      <w:tblGrid>
        <w:gridCol w:w="3566"/>
        <w:gridCol w:w="1798"/>
        <w:gridCol w:w="1798"/>
        <w:gridCol w:w="1798"/>
        <w:gridCol w:w="1798"/>
        <w:gridCol w:w="1798"/>
        <w:gridCol w:w="2013"/>
      </w:tblGrid>
      <w:tr w:rsidR="00324E9C" w:rsidRPr="00C17CC5" w14:paraId="4C930B68" w14:textId="77777777" w:rsidTr="00E42F21">
        <w:trPr>
          <w:trHeight w:val="283"/>
        </w:trPr>
        <w:tc>
          <w:tcPr>
            <w:tcW w:w="5000" w:type="pct"/>
            <w:gridSpan w:val="7"/>
            <w:tcBorders>
              <w:bottom w:val="single" w:sz="4" w:space="0" w:color="FFFFFF" w:themeColor="background1"/>
            </w:tcBorders>
            <w:shd w:val="clear" w:color="000000" w:fill="005CA9"/>
            <w:noWrap/>
            <w:vAlign w:val="center"/>
            <w:hideMark/>
          </w:tcPr>
          <w:p w14:paraId="355D04EF" w14:textId="77777777" w:rsidR="00324E9C" w:rsidRPr="00C17CC5" w:rsidRDefault="00324E9C">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Individual</w:t>
            </w:r>
          </w:p>
        </w:tc>
      </w:tr>
      <w:tr w:rsidR="00324E9C" w:rsidRPr="00C17CC5" w14:paraId="338320D0" w14:textId="77777777" w:rsidTr="00E42F21">
        <w:trPr>
          <w:trHeight w:val="283"/>
        </w:trPr>
        <w:tc>
          <w:tcPr>
            <w:tcW w:w="1224" w:type="pct"/>
            <w:vMerge w:val="restart"/>
            <w:tcBorders>
              <w:top w:val="single" w:sz="4" w:space="0" w:color="FFFFFF" w:themeColor="background1"/>
            </w:tcBorders>
            <w:shd w:val="clear" w:color="000000" w:fill="005CA9"/>
            <w:noWrap/>
            <w:vAlign w:val="center"/>
            <w:hideMark/>
          </w:tcPr>
          <w:p w14:paraId="402972AB" w14:textId="77777777" w:rsidR="00324E9C" w:rsidRPr="00C17CC5" w:rsidRDefault="00324E9C">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Descrição</w:t>
            </w:r>
            <w:r w:rsidRPr="00C17CC5">
              <w:rPr>
                <w:rFonts w:ascii="CAIXA Std Book" w:eastAsia="Times New Roman" w:hAnsi="CAIXA Std Book" w:cs="Calibri"/>
                <w:color w:val="FFFFFF"/>
                <w:sz w:val="18"/>
                <w:szCs w:val="18"/>
              </w:rPr>
              <w:t> </w:t>
            </w:r>
          </w:p>
        </w:tc>
        <w:tc>
          <w:tcPr>
            <w:tcW w:w="3776" w:type="pct"/>
            <w:gridSpan w:val="6"/>
            <w:tcBorders>
              <w:top w:val="single" w:sz="4" w:space="0" w:color="FFFFFF" w:themeColor="background1"/>
              <w:bottom w:val="single" w:sz="4" w:space="0" w:color="FFFFFF" w:themeColor="background1"/>
            </w:tcBorders>
            <w:shd w:val="clear" w:color="000000" w:fill="005CA9"/>
            <w:noWrap/>
            <w:vAlign w:val="center"/>
            <w:hideMark/>
          </w:tcPr>
          <w:p w14:paraId="1120D474" w14:textId="49F6C860" w:rsidR="00324E9C" w:rsidRPr="00C17CC5" w:rsidRDefault="00324E9C">
            <w:pPr>
              <w:jc w:val="center"/>
              <w:rPr>
                <w:rFonts w:ascii="CAIXA Std Book" w:eastAsia="Times New Roman" w:hAnsi="CAIXA Std Book" w:cs="Calibri"/>
                <w:b/>
                <w:bCs/>
                <w:color w:val="FFFFFF"/>
                <w:sz w:val="18"/>
                <w:szCs w:val="18"/>
              </w:rPr>
            </w:pPr>
            <w:r>
              <w:rPr>
                <w:rFonts w:ascii="CAIXA Std Book" w:eastAsia="Times New Roman" w:hAnsi="CAIXA Std Book" w:cs="Calibri"/>
                <w:b/>
                <w:color w:val="FFFFFF"/>
                <w:sz w:val="18"/>
                <w:szCs w:val="18"/>
              </w:rPr>
              <w:t>31/</w:t>
            </w:r>
            <w:r w:rsidR="003E4ED7">
              <w:rPr>
                <w:rFonts w:ascii="CAIXA Std Book" w:eastAsia="Times New Roman" w:hAnsi="CAIXA Std Book" w:cs="Calibri"/>
                <w:b/>
                <w:color w:val="FFFFFF"/>
                <w:sz w:val="18"/>
                <w:szCs w:val="18"/>
              </w:rPr>
              <w:t>12</w:t>
            </w:r>
            <w:r w:rsidR="00CB7870">
              <w:rPr>
                <w:rFonts w:ascii="CAIXA Std Book" w:eastAsia="Times New Roman" w:hAnsi="CAIXA Std Book" w:cs="Calibri"/>
                <w:b/>
                <w:color w:val="FFFFFF"/>
                <w:sz w:val="18"/>
                <w:szCs w:val="18"/>
              </w:rPr>
              <w:t>/2</w:t>
            </w:r>
            <w:r w:rsidR="00453462">
              <w:rPr>
                <w:rFonts w:ascii="CAIXA Std Book" w:eastAsia="Times New Roman" w:hAnsi="CAIXA Std Book" w:cs="Calibri"/>
                <w:b/>
                <w:color w:val="FFFFFF"/>
                <w:sz w:val="18"/>
                <w:szCs w:val="18"/>
              </w:rPr>
              <w:t>025</w:t>
            </w:r>
          </w:p>
        </w:tc>
      </w:tr>
      <w:tr w:rsidR="00324E9C" w:rsidRPr="00C17CC5" w14:paraId="1DDF7463" w14:textId="77777777" w:rsidTr="00DA3FEE">
        <w:trPr>
          <w:trHeight w:val="283"/>
        </w:trPr>
        <w:tc>
          <w:tcPr>
            <w:tcW w:w="1224" w:type="pct"/>
            <w:vMerge/>
            <w:tcBorders>
              <w:top w:val="single" w:sz="4" w:space="0" w:color="FFFFFF" w:themeColor="background1"/>
            </w:tcBorders>
            <w:vAlign w:val="center"/>
            <w:hideMark/>
          </w:tcPr>
          <w:p w14:paraId="488E87A8" w14:textId="77777777" w:rsidR="00324E9C" w:rsidRPr="00C17CC5" w:rsidRDefault="00324E9C">
            <w:pPr>
              <w:rPr>
                <w:rFonts w:ascii="CAIXA Std Book" w:eastAsia="Times New Roman" w:hAnsi="CAIXA Std Book" w:cs="Calibri"/>
                <w:b/>
                <w:bCs/>
                <w:color w:val="FFFFFF"/>
                <w:sz w:val="18"/>
                <w:szCs w:val="18"/>
              </w:rPr>
            </w:pPr>
          </w:p>
        </w:tc>
        <w:tc>
          <w:tcPr>
            <w:tcW w:w="617" w:type="pct"/>
            <w:tcBorders>
              <w:top w:val="single" w:sz="4" w:space="0" w:color="FFFFFF" w:themeColor="background1"/>
            </w:tcBorders>
            <w:shd w:val="clear" w:color="000000" w:fill="005CA9"/>
            <w:noWrap/>
            <w:vAlign w:val="center"/>
            <w:hideMark/>
          </w:tcPr>
          <w:p w14:paraId="1EF7056F" w14:textId="77777777" w:rsidR="00324E9C" w:rsidRPr="00C17CC5" w:rsidRDefault="00324E9C">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Carteira C 1</w:t>
            </w:r>
            <w:r w:rsidRPr="00C17CC5">
              <w:rPr>
                <w:rFonts w:ascii="CAIXA Std Book" w:eastAsia="Times New Roman" w:hAnsi="CAIXA Std Book" w:cs="Calibri"/>
                <w:color w:val="FFFFFF"/>
                <w:sz w:val="18"/>
                <w:szCs w:val="18"/>
              </w:rPr>
              <w:t> </w:t>
            </w:r>
          </w:p>
        </w:tc>
        <w:tc>
          <w:tcPr>
            <w:tcW w:w="617" w:type="pct"/>
            <w:tcBorders>
              <w:top w:val="single" w:sz="4" w:space="0" w:color="FFFFFF" w:themeColor="background1"/>
            </w:tcBorders>
            <w:shd w:val="clear" w:color="000000" w:fill="005CA9"/>
            <w:noWrap/>
            <w:vAlign w:val="center"/>
            <w:hideMark/>
          </w:tcPr>
          <w:p w14:paraId="05983F28" w14:textId="77777777" w:rsidR="00324E9C" w:rsidRPr="00C17CC5" w:rsidRDefault="00324E9C">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Carteira C 2</w:t>
            </w:r>
            <w:r w:rsidRPr="00C17CC5">
              <w:rPr>
                <w:rFonts w:ascii="CAIXA Std Book" w:eastAsia="Times New Roman" w:hAnsi="CAIXA Std Book" w:cs="Calibri"/>
                <w:color w:val="FFFFFF"/>
                <w:sz w:val="18"/>
                <w:szCs w:val="18"/>
              </w:rPr>
              <w:t> </w:t>
            </w:r>
          </w:p>
        </w:tc>
        <w:tc>
          <w:tcPr>
            <w:tcW w:w="617" w:type="pct"/>
            <w:tcBorders>
              <w:top w:val="single" w:sz="4" w:space="0" w:color="FFFFFF" w:themeColor="background1"/>
            </w:tcBorders>
            <w:shd w:val="clear" w:color="000000" w:fill="005CA9"/>
            <w:noWrap/>
            <w:vAlign w:val="center"/>
            <w:hideMark/>
          </w:tcPr>
          <w:p w14:paraId="3CBB8E1D" w14:textId="77777777" w:rsidR="00324E9C" w:rsidRPr="00C17CC5" w:rsidRDefault="00324E9C">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Carteira C 3</w:t>
            </w:r>
            <w:r w:rsidRPr="00C17CC5">
              <w:rPr>
                <w:rFonts w:ascii="CAIXA Std Book" w:eastAsia="Times New Roman" w:hAnsi="CAIXA Std Book" w:cs="Calibri"/>
                <w:color w:val="FFFFFF"/>
                <w:sz w:val="18"/>
                <w:szCs w:val="18"/>
              </w:rPr>
              <w:t> </w:t>
            </w:r>
          </w:p>
        </w:tc>
        <w:tc>
          <w:tcPr>
            <w:tcW w:w="617" w:type="pct"/>
            <w:tcBorders>
              <w:top w:val="single" w:sz="4" w:space="0" w:color="FFFFFF" w:themeColor="background1"/>
            </w:tcBorders>
            <w:shd w:val="clear" w:color="000000" w:fill="005CA9"/>
            <w:noWrap/>
            <w:vAlign w:val="center"/>
            <w:hideMark/>
          </w:tcPr>
          <w:p w14:paraId="0247CB4D" w14:textId="77777777" w:rsidR="00324E9C" w:rsidRPr="00C17CC5" w:rsidRDefault="00324E9C" w:rsidP="002E5E5F">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Carteira C 4</w:t>
            </w:r>
            <w:r w:rsidRPr="00C17CC5">
              <w:rPr>
                <w:rFonts w:ascii="CAIXA Std Book" w:eastAsia="Times New Roman" w:hAnsi="CAIXA Std Book" w:cs="Calibri"/>
                <w:color w:val="FFFFFF"/>
                <w:sz w:val="18"/>
                <w:szCs w:val="18"/>
              </w:rPr>
              <w:t> </w:t>
            </w:r>
          </w:p>
        </w:tc>
        <w:tc>
          <w:tcPr>
            <w:tcW w:w="617" w:type="pct"/>
            <w:tcBorders>
              <w:top w:val="single" w:sz="4" w:space="0" w:color="FFFFFF" w:themeColor="background1"/>
            </w:tcBorders>
            <w:shd w:val="clear" w:color="000000" w:fill="005CA9"/>
            <w:noWrap/>
            <w:vAlign w:val="center"/>
            <w:hideMark/>
          </w:tcPr>
          <w:p w14:paraId="174EF782" w14:textId="77777777" w:rsidR="00324E9C" w:rsidRPr="00C17CC5" w:rsidRDefault="00324E9C" w:rsidP="002E5E5F">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Carteira C 5</w:t>
            </w:r>
            <w:r w:rsidRPr="00C17CC5">
              <w:rPr>
                <w:rFonts w:ascii="CAIXA Std Book" w:eastAsia="Times New Roman" w:hAnsi="CAIXA Std Book" w:cs="Calibri"/>
                <w:color w:val="FFFFFF"/>
                <w:sz w:val="18"/>
                <w:szCs w:val="18"/>
              </w:rPr>
              <w:t> </w:t>
            </w:r>
          </w:p>
        </w:tc>
        <w:tc>
          <w:tcPr>
            <w:tcW w:w="691" w:type="pct"/>
            <w:tcBorders>
              <w:top w:val="single" w:sz="4" w:space="0" w:color="FFFFFF" w:themeColor="background1"/>
            </w:tcBorders>
            <w:shd w:val="clear" w:color="000000" w:fill="005CA9"/>
            <w:noWrap/>
            <w:vAlign w:val="center"/>
            <w:hideMark/>
          </w:tcPr>
          <w:p w14:paraId="4B79E1FD" w14:textId="77777777" w:rsidR="00324E9C" w:rsidRPr="00C17CC5" w:rsidRDefault="00324E9C">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Total</w:t>
            </w:r>
          </w:p>
        </w:tc>
      </w:tr>
      <w:tr w:rsidR="007140C3" w:rsidRPr="00C17CC5" w14:paraId="1B1CA089" w14:textId="77777777" w:rsidTr="00DA3FEE">
        <w:trPr>
          <w:trHeight w:val="283"/>
        </w:trPr>
        <w:tc>
          <w:tcPr>
            <w:tcW w:w="1224" w:type="pct"/>
            <w:shd w:val="clear" w:color="000000" w:fill="D0E0E3"/>
            <w:vAlign w:val="center"/>
            <w:hideMark/>
          </w:tcPr>
          <w:p w14:paraId="2080CCC3" w14:textId="77777777" w:rsidR="007140C3" w:rsidRPr="00C17CC5" w:rsidRDefault="007140C3" w:rsidP="007140C3">
            <w:pPr>
              <w:rPr>
                <w:rFonts w:ascii="CAIXA Std Book" w:eastAsia="Times New Roman" w:hAnsi="CAIXA Std Book" w:cs="Calibri"/>
                <w:b/>
                <w:bCs/>
                <w:color w:val="005CA9"/>
                <w:sz w:val="18"/>
                <w:szCs w:val="18"/>
              </w:rPr>
            </w:pPr>
            <w:r w:rsidRPr="00C17CC5">
              <w:rPr>
                <w:rFonts w:ascii="CAIXA Std Book" w:eastAsia="Times New Roman" w:hAnsi="CAIXA Std Book" w:cs="Calibri"/>
                <w:b/>
                <w:bCs/>
                <w:color w:val="005CA9"/>
                <w:sz w:val="18"/>
                <w:szCs w:val="18"/>
              </w:rPr>
              <w:t>Não problemáticos</w:t>
            </w:r>
          </w:p>
        </w:tc>
        <w:tc>
          <w:tcPr>
            <w:tcW w:w="617" w:type="pct"/>
            <w:shd w:val="clear" w:color="000000" w:fill="D0E0E3"/>
            <w:noWrap/>
            <w:vAlign w:val="center"/>
            <w:hideMark/>
          </w:tcPr>
          <w:p w14:paraId="083C23AB" w14:textId="0B07FA66" w:rsidR="007140C3" w:rsidRPr="00C17CC5" w:rsidRDefault="00C610D5" w:rsidP="007140C3">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913.830.227</w:t>
            </w:r>
          </w:p>
        </w:tc>
        <w:tc>
          <w:tcPr>
            <w:tcW w:w="617" w:type="pct"/>
            <w:shd w:val="clear" w:color="000000" w:fill="D0E0E3"/>
            <w:noWrap/>
            <w:vAlign w:val="center"/>
            <w:hideMark/>
          </w:tcPr>
          <w:p w14:paraId="06310DE6" w14:textId="4C1DDC2B" w:rsidR="007140C3" w:rsidRPr="00C17CC5" w:rsidRDefault="00C610D5" w:rsidP="007140C3">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81.708.975</w:t>
            </w:r>
          </w:p>
        </w:tc>
        <w:tc>
          <w:tcPr>
            <w:tcW w:w="617" w:type="pct"/>
            <w:shd w:val="clear" w:color="000000" w:fill="D0E0E3"/>
            <w:noWrap/>
            <w:vAlign w:val="center"/>
            <w:hideMark/>
          </w:tcPr>
          <w:p w14:paraId="22EEDB91" w14:textId="3094318B" w:rsidR="007140C3" w:rsidRPr="00C17CC5" w:rsidRDefault="00C610D5" w:rsidP="007140C3">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155.806.790</w:t>
            </w:r>
          </w:p>
        </w:tc>
        <w:tc>
          <w:tcPr>
            <w:tcW w:w="617" w:type="pct"/>
            <w:shd w:val="clear" w:color="000000" w:fill="D0E0E3"/>
            <w:noWrap/>
            <w:vAlign w:val="center"/>
            <w:hideMark/>
          </w:tcPr>
          <w:p w14:paraId="406A0731" w14:textId="403D65C2" w:rsidR="007140C3" w:rsidRPr="002E5E5F" w:rsidRDefault="00C610D5" w:rsidP="007140C3">
            <w:pPr>
              <w:jc w:val="right"/>
              <w:rPr>
                <w:rFonts w:ascii="CAIXA Std Book" w:eastAsia="Times New Roman" w:hAnsi="CAIXA Std Book" w:cs="Calibri"/>
                <w:b/>
                <w:color w:val="005CA9"/>
                <w:sz w:val="18"/>
                <w:szCs w:val="18"/>
              </w:rPr>
            </w:pPr>
            <w:r>
              <w:rPr>
                <w:rFonts w:ascii="CAIXA Std Book" w:hAnsi="CAIXA Std Book" w:cs="Calibri"/>
                <w:b/>
                <w:bCs/>
                <w:color w:val="005CA9"/>
                <w:sz w:val="18"/>
                <w:szCs w:val="18"/>
              </w:rPr>
              <w:t>1.174.242</w:t>
            </w:r>
          </w:p>
        </w:tc>
        <w:tc>
          <w:tcPr>
            <w:tcW w:w="617" w:type="pct"/>
            <w:shd w:val="clear" w:color="000000" w:fill="D0E0E3"/>
            <w:noWrap/>
            <w:vAlign w:val="center"/>
            <w:hideMark/>
          </w:tcPr>
          <w:p w14:paraId="3EA2C183" w14:textId="0E75892A" w:rsidR="007140C3" w:rsidRPr="00C17CC5" w:rsidRDefault="00C610D5" w:rsidP="007140C3">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117.348.654</w:t>
            </w:r>
          </w:p>
        </w:tc>
        <w:tc>
          <w:tcPr>
            <w:tcW w:w="691" w:type="pct"/>
            <w:shd w:val="clear" w:color="000000" w:fill="D0E0E3"/>
            <w:noWrap/>
            <w:vAlign w:val="center"/>
            <w:hideMark/>
          </w:tcPr>
          <w:p w14:paraId="04E688D9" w14:textId="4E1BC0E3" w:rsidR="007140C3" w:rsidRPr="00C17CC5" w:rsidRDefault="00C610D5" w:rsidP="007140C3">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1.269.868.888</w:t>
            </w:r>
          </w:p>
        </w:tc>
      </w:tr>
      <w:tr w:rsidR="007140C3" w:rsidRPr="00C17CC5" w14:paraId="26225965" w14:textId="77777777" w:rsidTr="00DA3FEE">
        <w:trPr>
          <w:trHeight w:val="283"/>
        </w:trPr>
        <w:tc>
          <w:tcPr>
            <w:tcW w:w="1224" w:type="pct"/>
            <w:vAlign w:val="center"/>
            <w:hideMark/>
          </w:tcPr>
          <w:p w14:paraId="344767FC" w14:textId="77777777" w:rsidR="007140C3" w:rsidRPr="00C17CC5" w:rsidRDefault="007140C3" w:rsidP="007140C3">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01 a 30 dias </w:t>
            </w:r>
          </w:p>
        </w:tc>
        <w:tc>
          <w:tcPr>
            <w:tcW w:w="617" w:type="pct"/>
            <w:noWrap/>
            <w:vAlign w:val="center"/>
            <w:hideMark/>
          </w:tcPr>
          <w:p w14:paraId="326CFB93" w14:textId="19C399E3"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859.216.348</w:t>
            </w:r>
          </w:p>
        </w:tc>
        <w:tc>
          <w:tcPr>
            <w:tcW w:w="617" w:type="pct"/>
            <w:noWrap/>
            <w:vAlign w:val="center"/>
            <w:hideMark/>
          </w:tcPr>
          <w:p w14:paraId="19FC05C1" w14:textId="7FF34FA2"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80.133.359</w:t>
            </w:r>
          </w:p>
        </w:tc>
        <w:tc>
          <w:tcPr>
            <w:tcW w:w="617" w:type="pct"/>
            <w:noWrap/>
            <w:vAlign w:val="center"/>
            <w:hideMark/>
          </w:tcPr>
          <w:p w14:paraId="74757E4C" w14:textId="34430691"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154.302.549</w:t>
            </w:r>
          </w:p>
        </w:tc>
        <w:tc>
          <w:tcPr>
            <w:tcW w:w="617" w:type="pct"/>
            <w:vAlign w:val="center"/>
            <w:hideMark/>
          </w:tcPr>
          <w:p w14:paraId="5A7B2ADC" w14:textId="0A5FC750" w:rsidR="007140C3" w:rsidRPr="00516B6F" w:rsidRDefault="00C610D5" w:rsidP="007140C3">
            <w:pPr>
              <w:jc w:val="right"/>
              <w:rPr>
                <w:rFonts w:ascii="CAIXA Std Book" w:hAnsi="CAIXA Std Book" w:cs="Calibri"/>
                <w:color w:val="005CA9"/>
                <w:sz w:val="18"/>
                <w:szCs w:val="18"/>
              </w:rPr>
            </w:pPr>
            <w:r>
              <w:rPr>
                <w:rFonts w:ascii="CAIXA Std Book" w:hAnsi="CAIXA Std Book" w:cs="Calibri"/>
                <w:color w:val="005CA9"/>
                <w:sz w:val="18"/>
                <w:szCs w:val="18"/>
              </w:rPr>
              <w:t>1.151.017</w:t>
            </w:r>
          </w:p>
        </w:tc>
        <w:tc>
          <w:tcPr>
            <w:tcW w:w="617" w:type="pct"/>
            <w:noWrap/>
            <w:vAlign w:val="center"/>
            <w:hideMark/>
          </w:tcPr>
          <w:p w14:paraId="42282080" w14:textId="176E0B5A" w:rsidR="007140C3" w:rsidRPr="008D27B5" w:rsidRDefault="00C610D5" w:rsidP="007140C3">
            <w:pPr>
              <w:jc w:val="right"/>
              <w:rPr>
                <w:rFonts w:ascii="CAIXA Std Book" w:hAnsi="CAIXA Std Book" w:cs="Calibri"/>
                <w:color w:val="005CA9"/>
                <w:sz w:val="18"/>
                <w:szCs w:val="18"/>
              </w:rPr>
            </w:pPr>
            <w:r w:rsidRPr="00DE3663">
              <w:rPr>
                <w:rFonts w:ascii="CAIXA Std Book" w:hAnsi="CAIXA Std Book" w:cs="Calibri"/>
                <w:color w:val="005CA9"/>
                <w:sz w:val="18"/>
                <w:szCs w:val="18"/>
              </w:rPr>
              <w:t>115.040.333</w:t>
            </w:r>
          </w:p>
        </w:tc>
        <w:tc>
          <w:tcPr>
            <w:tcW w:w="691" w:type="pct"/>
            <w:noWrap/>
            <w:vAlign w:val="center"/>
            <w:hideMark/>
          </w:tcPr>
          <w:p w14:paraId="18739B87" w14:textId="73B63384" w:rsidR="007140C3" w:rsidRPr="00516B6F" w:rsidRDefault="00C610D5" w:rsidP="007140C3">
            <w:pPr>
              <w:jc w:val="right"/>
              <w:rPr>
                <w:rFonts w:ascii="CAIXA Std Book" w:hAnsi="CAIXA Std Book" w:cs="Calibri"/>
                <w:color w:val="005CA9"/>
                <w:sz w:val="18"/>
                <w:szCs w:val="18"/>
              </w:rPr>
            </w:pPr>
            <w:r>
              <w:rPr>
                <w:rFonts w:ascii="CAIXA Std Book" w:hAnsi="CAIXA Std Book" w:cs="Calibri"/>
                <w:color w:val="005CA9"/>
                <w:sz w:val="18"/>
                <w:szCs w:val="18"/>
              </w:rPr>
              <w:t>1.209.843.606</w:t>
            </w:r>
          </w:p>
        </w:tc>
      </w:tr>
      <w:tr w:rsidR="007140C3" w:rsidRPr="00C17CC5" w14:paraId="32B699DD" w14:textId="77777777" w:rsidTr="00DA3FEE">
        <w:trPr>
          <w:trHeight w:val="283"/>
        </w:trPr>
        <w:tc>
          <w:tcPr>
            <w:tcW w:w="1224" w:type="pct"/>
            <w:vAlign w:val="center"/>
            <w:hideMark/>
          </w:tcPr>
          <w:p w14:paraId="0ECC38E2" w14:textId="77777777" w:rsidR="007140C3" w:rsidRPr="00C17CC5" w:rsidRDefault="007140C3" w:rsidP="007140C3">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31 a 60 dias </w:t>
            </w:r>
          </w:p>
        </w:tc>
        <w:tc>
          <w:tcPr>
            <w:tcW w:w="617" w:type="pct"/>
            <w:noWrap/>
            <w:vAlign w:val="center"/>
            <w:hideMark/>
          </w:tcPr>
          <w:p w14:paraId="4BAEEAA0" w14:textId="2FE33528"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43.895.744</w:t>
            </w:r>
          </w:p>
        </w:tc>
        <w:tc>
          <w:tcPr>
            <w:tcW w:w="617" w:type="pct"/>
            <w:noWrap/>
            <w:vAlign w:val="center"/>
            <w:hideMark/>
          </w:tcPr>
          <w:p w14:paraId="106BE2A1" w14:textId="3A7B1014"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973.593</w:t>
            </w:r>
          </w:p>
        </w:tc>
        <w:tc>
          <w:tcPr>
            <w:tcW w:w="617" w:type="pct"/>
            <w:noWrap/>
            <w:vAlign w:val="center"/>
            <w:hideMark/>
          </w:tcPr>
          <w:p w14:paraId="15E2008D" w14:textId="1E24B339"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1.117.842</w:t>
            </w:r>
          </w:p>
        </w:tc>
        <w:tc>
          <w:tcPr>
            <w:tcW w:w="617" w:type="pct"/>
            <w:vAlign w:val="center"/>
            <w:hideMark/>
          </w:tcPr>
          <w:p w14:paraId="1A3BCE55" w14:textId="00FC5107"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7.116</w:t>
            </w:r>
          </w:p>
        </w:tc>
        <w:tc>
          <w:tcPr>
            <w:tcW w:w="617" w:type="pct"/>
            <w:noWrap/>
            <w:vAlign w:val="center"/>
            <w:hideMark/>
          </w:tcPr>
          <w:p w14:paraId="036753B2" w14:textId="6ABD194F"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1.632.065</w:t>
            </w:r>
          </w:p>
        </w:tc>
        <w:tc>
          <w:tcPr>
            <w:tcW w:w="691" w:type="pct"/>
            <w:noWrap/>
            <w:vAlign w:val="center"/>
            <w:hideMark/>
          </w:tcPr>
          <w:p w14:paraId="2E028BB6" w14:textId="7380EC80"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47.626.360</w:t>
            </w:r>
          </w:p>
        </w:tc>
      </w:tr>
      <w:tr w:rsidR="007140C3" w:rsidRPr="00C17CC5" w14:paraId="5E864A20" w14:textId="77777777" w:rsidTr="00DA3FEE">
        <w:trPr>
          <w:trHeight w:val="283"/>
        </w:trPr>
        <w:tc>
          <w:tcPr>
            <w:tcW w:w="1224" w:type="pct"/>
            <w:vAlign w:val="center"/>
            <w:hideMark/>
          </w:tcPr>
          <w:p w14:paraId="22397779" w14:textId="77777777" w:rsidR="007140C3" w:rsidRPr="00C17CC5" w:rsidRDefault="007140C3" w:rsidP="007140C3">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61 a 90 dias </w:t>
            </w:r>
          </w:p>
        </w:tc>
        <w:tc>
          <w:tcPr>
            <w:tcW w:w="617" w:type="pct"/>
            <w:noWrap/>
            <w:vAlign w:val="center"/>
            <w:hideMark/>
          </w:tcPr>
          <w:p w14:paraId="11A91BAD" w14:textId="33FDD905"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10.718.135</w:t>
            </w:r>
          </w:p>
        </w:tc>
        <w:tc>
          <w:tcPr>
            <w:tcW w:w="617" w:type="pct"/>
            <w:noWrap/>
            <w:vAlign w:val="center"/>
            <w:hideMark/>
          </w:tcPr>
          <w:p w14:paraId="1F977099" w14:textId="2C7B6BA9"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602.023</w:t>
            </w:r>
          </w:p>
        </w:tc>
        <w:tc>
          <w:tcPr>
            <w:tcW w:w="617" w:type="pct"/>
            <w:noWrap/>
            <w:vAlign w:val="center"/>
            <w:hideMark/>
          </w:tcPr>
          <w:p w14:paraId="0FC772A1" w14:textId="15DDF9E1"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386.399</w:t>
            </w:r>
          </w:p>
        </w:tc>
        <w:tc>
          <w:tcPr>
            <w:tcW w:w="617" w:type="pct"/>
            <w:vAlign w:val="center"/>
            <w:hideMark/>
          </w:tcPr>
          <w:p w14:paraId="7185442E" w14:textId="7FC7EB26"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16.109</w:t>
            </w:r>
          </w:p>
        </w:tc>
        <w:tc>
          <w:tcPr>
            <w:tcW w:w="617" w:type="pct"/>
            <w:noWrap/>
            <w:vAlign w:val="center"/>
            <w:hideMark/>
          </w:tcPr>
          <w:p w14:paraId="209593AC" w14:textId="33951CC6"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676.256</w:t>
            </w:r>
          </w:p>
        </w:tc>
        <w:tc>
          <w:tcPr>
            <w:tcW w:w="691" w:type="pct"/>
            <w:noWrap/>
            <w:vAlign w:val="center"/>
            <w:hideMark/>
          </w:tcPr>
          <w:p w14:paraId="254EE3CF" w14:textId="7A7D9717"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12.398.922</w:t>
            </w:r>
          </w:p>
        </w:tc>
      </w:tr>
      <w:tr w:rsidR="007140C3" w:rsidRPr="00C17CC5" w14:paraId="252D00C0" w14:textId="77777777" w:rsidTr="00DA3FEE">
        <w:trPr>
          <w:trHeight w:val="283"/>
        </w:trPr>
        <w:tc>
          <w:tcPr>
            <w:tcW w:w="1224" w:type="pct"/>
            <w:shd w:val="clear" w:color="000000" w:fill="D0E0E3"/>
            <w:vAlign w:val="center"/>
            <w:hideMark/>
          </w:tcPr>
          <w:p w14:paraId="60D683DE" w14:textId="77777777" w:rsidR="007140C3" w:rsidRPr="00C17CC5" w:rsidRDefault="007140C3" w:rsidP="007140C3">
            <w:pPr>
              <w:rPr>
                <w:rFonts w:ascii="CAIXA Std Book" w:eastAsia="Times New Roman" w:hAnsi="CAIXA Std Book" w:cs="Calibri"/>
                <w:b/>
                <w:bCs/>
                <w:color w:val="005CA9"/>
                <w:sz w:val="18"/>
                <w:szCs w:val="18"/>
              </w:rPr>
            </w:pPr>
            <w:r w:rsidRPr="00C17CC5">
              <w:rPr>
                <w:rFonts w:ascii="CAIXA Std Book" w:eastAsia="Times New Roman" w:hAnsi="CAIXA Std Book" w:cs="Calibri"/>
                <w:b/>
                <w:bCs/>
                <w:color w:val="005CA9"/>
                <w:sz w:val="18"/>
                <w:szCs w:val="18"/>
              </w:rPr>
              <w:t>Problemáticos adimplidos</w:t>
            </w:r>
            <w:r w:rsidRPr="002E5E5F">
              <w:rPr>
                <w:rFonts w:ascii="CAIXA Std Book" w:eastAsia="Times New Roman" w:hAnsi="CAIXA Std Book" w:cs="Calibri"/>
                <w:b/>
                <w:color w:val="005CA9"/>
                <w:sz w:val="18"/>
                <w:szCs w:val="18"/>
              </w:rPr>
              <w:t> </w:t>
            </w:r>
          </w:p>
        </w:tc>
        <w:tc>
          <w:tcPr>
            <w:tcW w:w="617" w:type="pct"/>
            <w:shd w:val="clear" w:color="000000" w:fill="D0E0E3"/>
            <w:noWrap/>
            <w:vAlign w:val="center"/>
            <w:hideMark/>
          </w:tcPr>
          <w:p w14:paraId="208DB81D" w14:textId="3F1A5247" w:rsidR="007140C3" w:rsidRPr="00C17CC5" w:rsidRDefault="00C610D5" w:rsidP="007140C3">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30.422.686</w:t>
            </w:r>
          </w:p>
        </w:tc>
        <w:tc>
          <w:tcPr>
            <w:tcW w:w="617" w:type="pct"/>
            <w:shd w:val="clear" w:color="000000" w:fill="D0E0E3"/>
            <w:noWrap/>
            <w:vAlign w:val="center"/>
            <w:hideMark/>
          </w:tcPr>
          <w:p w14:paraId="77DCE98D" w14:textId="6FD3509F" w:rsidR="007140C3" w:rsidRPr="00C17CC5" w:rsidRDefault="00C610D5" w:rsidP="007140C3">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10.357.449</w:t>
            </w:r>
          </w:p>
        </w:tc>
        <w:tc>
          <w:tcPr>
            <w:tcW w:w="617" w:type="pct"/>
            <w:shd w:val="clear" w:color="000000" w:fill="D0E0E3"/>
            <w:noWrap/>
            <w:vAlign w:val="center"/>
            <w:hideMark/>
          </w:tcPr>
          <w:p w14:paraId="70F8CF30" w14:textId="18C8D402" w:rsidR="007140C3" w:rsidRPr="00C17CC5" w:rsidRDefault="00C610D5" w:rsidP="007140C3">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4.262.952</w:t>
            </w:r>
          </w:p>
        </w:tc>
        <w:tc>
          <w:tcPr>
            <w:tcW w:w="617" w:type="pct"/>
            <w:shd w:val="clear" w:color="000000" w:fill="D0E0E3"/>
            <w:noWrap/>
            <w:vAlign w:val="center"/>
            <w:hideMark/>
          </w:tcPr>
          <w:p w14:paraId="14316624" w14:textId="6B7A0819" w:rsidR="007140C3" w:rsidRPr="002E5E5F" w:rsidRDefault="00C610D5" w:rsidP="007140C3">
            <w:pPr>
              <w:jc w:val="right"/>
              <w:rPr>
                <w:rFonts w:ascii="CAIXA Std Book" w:eastAsia="Times New Roman" w:hAnsi="CAIXA Std Book" w:cs="Calibri"/>
                <w:b/>
                <w:color w:val="005CA9"/>
                <w:sz w:val="18"/>
                <w:szCs w:val="18"/>
              </w:rPr>
            </w:pPr>
            <w:r>
              <w:rPr>
                <w:rFonts w:ascii="CAIXA Std Book" w:hAnsi="CAIXA Std Book" w:cs="Calibri"/>
                <w:b/>
                <w:bCs/>
                <w:color w:val="005CA9"/>
                <w:sz w:val="18"/>
                <w:szCs w:val="18"/>
              </w:rPr>
              <w:t>305.476</w:t>
            </w:r>
          </w:p>
        </w:tc>
        <w:tc>
          <w:tcPr>
            <w:tcW w:w="617" w:type="pct"/>
            <w:shd w:val="clear" w:color="000000" w:fill="D0E0E3"/>
            <w:noWrap/>
            <w:vAlign w:val="center"/>
            <w:hideMark/>
          </w:tcPr>
          <w:p w14:paraId="462836BD" w14:textId="439589D6" w:rsidR="007140C3" w:rsidRPr="00C17CC5" w:rsidRDefault="00C610D5" w:rsidP="007140C3">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1.957.709</w:t>
            </w:r>
          </w:p>
        </w:tc>
        <w:tc>
          <w:tcPr>
            <w:tcW w:w="691" w:type="pct"/>
            <w:shd w:val="clear" w:color="000000" w:fill="D0E0E3"/>
            <w:noWrap/>
            <w:vAlign w:val="center"/>
            <w:hideMark/>
          </w:tcPr>
          <w:p w14:paraId="0FC8CB54" w14:textId="5AD5C02A" w:rsidR="007140C3" w:rsidRPr="00C17CC5" w:rsidRDefault="00C610D5" w:rsidP="007140C3">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47.306.272</w:t>
            </w:r>
          </w:p>
        </w:tc>
      </w:tr>
      <w:tr w:rsidR="007140C3" w:rsidRPr="00C17CC5" w14:paraId="3956FE68" w14:textId="77777777" w:rsidTr="00DA3FEE">
        <w:trPr>
          <w:trHeight w:val="283"/>
        </w:trPr>
        <w:tc>
          <w:tcPr>
            <w:tcW w:w="1224" w:type="pct"/>
            <w:vAlign w:val="center"/>
            <w:hideMark/>
          </w:tcPr>
          <w:p w14:paraId="4A82982C" w14:textId="77777777" w:rsidR="007140C3" w:rsidRPr="00C17CC5" w:rsidRDefault="007140C3" w:rsidP="007140C3">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01 a 90 dias </w:t>
            </w:r>
          </w:p>
        </w:tc>
        <w:tc>
          <w:tcPr>
            <w:tcW w:w="617" w:type="pct"/>
            <w:noWrap/>
            <w:vAlign w:val="center"/>
            <w:hideMark/>
          </w:tcPr>
          <w:p w14:paraId="0F14A255" w14:textId="5539FAE6"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30.422.686</w:t>
            </w:r>
          </w:p>
        </w:tc>
        <w:tc>
          <w:tcPr>
            <w:tcW w:w="617" w:type="pct"/>
            <w:noWrap/>
            <w:vAlign w:val="center"/>
            <w:hideMark/>
          </w:tcPr>
          <w:p w14:paraId="25A46242" w14:textId="2C5B3C1F"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10.357.449</w:t>
            </w:r>
          </w:p>
        </w:tc>
        <w:tc>
          <w:tcPr>
            <w:tcW w:w="617" w:type="pct"/>
            <w:noWrap/>
            <w:vAlign w:val="center"/>
            <w:hideMark/>
          </w:tcPr>
          <w:p w14:paraId="2E5A4D7A" w14:textId="431E40B0"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4.262.952</w:t>
            </w:r>
          </w:p>
        </w:tc>
        <w:tc>
          <w:tcPr>
            <w:tcW w:w="617" w:type="pct"/>
            <w:vAlign w:val="center"/>
            <w:hideMark/>
          </w:tcPr>
          <w:p w14:paraId="595B1072" w14:textId="7AA46817"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305.476</w:t>
            </w:r>
          </w:p>
        </w:tc>
        <w:tc>
          <w:tcPr>
            <w:tcW w:w="617" w:type="pct"/>
            <w:noWrap/>
            <w:vAlign w:val="center"/>
            <w:hideMark/>
          </w:tcPr>
          <w:p w14:paraId="1592B810" w14:textId="103A377D"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1.957.709</w:t>
            </w:r>
          </w:p>
        </w:tc>
        <w:tc>
          <w:tcPr>
            <w:tcW w:w="691" w:type="pct"/>
            <w:noWrap/>
            <w:vAlign w:val="center"/>
            <w:hideMark/>
          </w:tcPr>
          <w:p w14:paraId="38ABFEB4" w14:textId="246F7713"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47.306.272</w:t>
            </w:r>
          </w:p>
        </w:tc>
      </w:tr>
      <w:tr w:rsidR="007140C3" w:rsidRPr="00C17CC5" w14:paraId="64430DD9" w14:textId="77777777" w:rsidTr="00DA3FEE">
        <w:trPr>
          <w:trHeight w:val="283"/>
        </w:trPr>
        <w:tc>
          <w:tcPr>
            <w:tcW w:w="1224" w:type="pct"/>
            <w:shd w:val="clear" w:color="000000" w:fill="D0E0E3"/>
            <w:vAlign w:val="center"/>
            <w:hideMark/>
          </w:tcPr>
          <w:p w14:paraId="596AAC67" w14:textId="77777777" w:rsidR="007140C3" w:rsidRPr="00C17CC5" w:rsidRDefault="007140C3" w:rsidP="007140C3">
            <w:pPr>
              <w:rPr>
                <w:rFonts w:ascii="CAIXA Std Book" w:eastAsia="Times New Roman" w:hAnsi="CAIXA Std Book" w:cs="Calibri"/>
                <w:b/>
                <w:bCs/>
                <w:color w:val="005CA9"/>
                <w:sz w:val="18"/>
                <w:szCs w:val="18"/>
              </w:rPr>
            </w:pPr>
            <w:r w:rsidRPr="00C17CC5">
              <w:rPr>
                <w:rFonts w:ascii="CAIXA Std Book" w:eastAsia="Times New Roman" w:hAnsi="CAIXA Std Book" w:cs="Calibri"/>
                <w:b/>
                <w:bCs/>
                <w:color w:val="005CA9"/>
                <w:sz w:val="18"/>
                <w:szCs w:val="18"/>
              </w:rPr>
              <w:t>Problemáticos inadimplidos</w:t>
            </w:r>
            <w:r w:rsidRPr="002E5E5F">
              <w:rPr>
                <w:rFonts w:ascii="CAIXA Std Book" w:eastAsia="Times New Roman" w:hAnsi="CAIXA Std Book" w:cs="Calibri"/>
                <w:b/>
                <w:color w:val="005CA9"/>
                <w:sz w:val="18"/>
                <w:szCs w:val="18"/>
              </w:rPr>
              <w:t> </w:t>
            </w:r>
          </w:p>
        </w:tc>
        <w:tc>
          <w:tcPr>
            <w:tcW w:w="617" w:type="pct"/>
            <w:shd w:val="clear" w:color="000000" w:fill="D0E0E3"/>
            <w:noWrap/>
            <w:vAlign w:val="center"/>
            <w:hideMark/>
          </w:tcPr>
          <w:p w14:paraId="6C64D657" w14:textId="6337E460" w:rsidR="007140C3" w:rsidRPr="00C17CC5" w:rsidRDefault="00C610D5" w:rsidP="007140C3">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11.531.127</w:t>
            </w:r>
          </w:p>
        </w:tc>
        <w:tc>
          <w:tcPr>
            <w:tcW w:w="617" w:type="pct"/>
            <w:shd w:val="clear" w:color="000000" w:fill="D0E0E3"/>
            <w:noWrap/>
            <w:vAlign w:val="center"/>
            <w:hideMark/>
          </w:tcPr>
          <w:p w14:paraId="737FA929" w14:textId="724113DC" w:rsidR="007140C3" w:rsidRPr="00C17CC5" w:rsidRDefault="00C610D5" w:rsidP="007140C3">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12.128.319</w:t>
            </w:r>
          </w:p>
        </w:tc>
        <w:tc>
          <w:tcPr>
            <w:tcW w:w="617" w:type="pct"/>
            <w:shd w:val="clear" w:color="000000" w:fill="D0E0E3"/>
            <w:noWrap/>
            <w:vAlign w:val="center"/>
            <w:hideMark/>
          </w:tcPr>
          <w:p w14:paraId="038976EB" w14:textId="45A3C8B8" w:rsidR="007140C3" w:rsidRPr="00C17CC5" w:rsidRDefault="00C610D5" w:rsidP="007140C3">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7.895.847</w:t>
            </w:r>
          </w:p>
        </w:tc>
        <w:tc>
          <w:tcPr>
            <w:tcW w:w="617" w:type="pct"/>
            <w:shd w:val="clear" w:color="000000" w:fill="D0E0E3"/>
            <w:noWrap/>
            <w:vAlign w:val="center"/>
            <w:hideMark/>
          </w:tcPr>
          <w:p w14:paraId="4BA3D3F0" w14:textId="375826F7" w:rsidR="007140C3" w:rsidRPr="00AD22B2" w:rsidRDefault="00C610D5" w:rsidP="007140C3">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310.973</w:t>
            </w:r>
          </w:p>
        </w:tc>
        <w:tc>
          <w:tcPr>
            <w:tcW w:w="617" w:type="pct"/>
            <w:shd w:val="clear" w:color="000000" w:fill="D0E0E3"/>
            <w:noWrap/>
            <w:vAlign w:val="center"/>
            <w:hideMark/>
          </w:tcPr>
          <w:p w14:paraId="67066B5D" w14:textId="4BDBAFB1" w:rsidR="007140C3" w:rsidRPr="00C17CC5" w:rsidRDefault="00C610D5" w:rsidP="007140C3">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10.341.333</w:t>
            </w:r>
          </w:p>
        </w:tc>
        <w:tc>
          <w:tcPr>
            <w:tcW w:w="691" w:type="pct"/>
            <w:shd w:val="clear" w:color="000000" w:fill="D0E0E3"/>
            <w:noWrap/>
            <w:vAlign w:val="center"/>
            <w:hideMark/>
          </w:tcPr>
          <w:p w14:paraId="7C51AC11" w14:textId="45EFEA99" w:rsidR="007140C3" w:rsidRPr="00C17CC5" w:rsidRDefault="00C610D5" w:rsidP="007140C3">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42.207.599</w:t>
            </w:r>
          </w:p>
        </w:tc>
      </w:tr>
      <w:tr w:rsidR="007140C3" w:rsidRPr="00C17CC5" w14:paraId="3747EE7C" w14:textId="77777777" w:rsidTr="00DA3FEE">
        <w:trPr>
          <w:trHeight w:val="283"/>
        </w:trPr>
        <w:tc>
          <w:tcPr>
            <w:tcW w:w="1224" w:type="pct"/>
            <w:vAlign w:val="center"/>
            <w:hideMark/>
          </w:tcPr>
          <w:p w14:paraId="7B771977" w14:textId="77777777" w:rsidR="007140C3" w:rsidRPr="00C17CC5" w:rsidRDefault="007140C3" w:rsidP="007140C3">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91 a 180 dias </w:t>
            </w:r>
          </w:p>
        </w:tc>
        <w:tc>
          <w:tcPr>
            <w:tcW w:w="617" w:type="pct"/>
            <w:noWrap/>
            <w:vAlign w:val="center"/>
            <w:hideMark/>
          </w:tcPr>
          <w:p w14:paraId="2318F00E" w14:textId="2007CC7F"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7.959.894</w:t>
            </w:r>
          </w:p>
        </w:tc>
        <w:tc>
          <w:tcPr>
            <w:tcW w:w="617" w:type="pct"/>
            <w:noWrap/>
            <w:vAlign w:val="center"/>
            <w:hideMark/>
          </w:tcPr>
          <w:p w14:paraId="0EBE0C73" w14:textId="663CE09A"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5.756.446</w:t>
            </w:r>
          </w:p>
        </w:tc>
        <w:tc>
          <w:tcPr>
            <w:tcW w:w="617" w:type="pct"/>
            <w:noWrap/>
            <w:vAlign w:val="center"/>
            <w:hideMark/>
          </w:tcPr>
          <w:p w14:paraId="2BF05692" w14:textId="48816430"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3.704.735</w:t>
            </w:r>
          </w:p>
        </w:tc>
        <w:tc>
          <w:tcPr>
            <w:tcW w:w="617" w:type="pct"/>
            <w:vAlign w:val="center"/>
            <w:hideMark/>
          </w:tcPr>
          <w:p w14:paraId="3E35DAC2" w14:textId="26ED6306"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195.254</w:t>
            </w:r>
          </w:p>
        </w:tc>
        <w:tc>
          <w:tcPr>
            <w:tcW w:w="617" w:type="pct"/>
            <w:noWrap/>
            <w:vAlign w:val="center"/>
            <w:hideMark/>
          </w:tcPr>
          <w:p w14:paraId="33161566" w14:textId="7BFCB1FF"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4.567.730</w:t>
            </w:r>
          </w:p>
        </w:tc>
        <w:tc>
          <w:tcPr>
            <w:tcW w:w="691" w:type="pct"/>
            <w:noWrap/>
            <w:vAlign w:val="center"/>
            <w:hideMark/>
          </w:tcPr>
          <w:p w14:paraId="713FCA7C" w14:textId="28457528"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22.184.059</w:t>
            </w:r>
          </w:p>
        </w:tc>
      </w:tr>
      <w:tr w:rsidR="007140C3" w:rsidRPr="00C17CC5" w14:paraId="13D5972D" w14:textId="77777777" w:rsidTr="00DA3FEE">
        <w:trPr>
          <w:trHeight w:val="283"/>
        </w:trPr>
        <w:tc>
          <w:tcPr>
            <w:tcW w:w="1224" w:type="pct"/>
            <w:vAlign w:val="center"/>
            <w:hideMark/>
          </w:tcPr>
          <w:p w14:paraId="5D94D334" w14:textId="77777777" w:rsidR="007140C3" w:rsidRPr="00C17CC5" w:rsidRDefault="007140C3" w:rsidP="007140C3">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181 a 360 dias </w:t>
            </w:r>
          </w:p>
        </w:tc>
        <w:tc>
          <w:tcPr>
            <w:tcW w:w="617" w:type="pct"/>
            <w:noWrap/>
            <w:vAlign w:val="center"/>
            <w:hideMark/>
          </w:tcPr>
          <w:p w14:paraId="317748A9" w14:textId="0BAC3A34"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2.130.074</w:t>
            </w:r>
          </w:p>
        </w:tc>
        <w:tc>
          <w:tcPr>
            <w:tcW w:w="617" w:type="pct"/>
            <w:noWrap/>
            <w:vAlign w:val="center"/>
            <w:hideMark/>
          </w:tcPr>
          <w:p w14:paraId="482B3BE8" w14:textId="694198FB"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3.482.807</w:t>
            </w:r>
          </w:p>
        </w:tc>
        <w:tc>
          <w:tcPr>
            <w:tcW w:w="617" w:type="pct"/>
            <w:noWrap/>
            <w:vAlign w:val="center"/>
            <w:hideMark/>
          </w:tcPr>
          <w:p w14:paraId="3DA61C2E" w14:textId="1496C8F3"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2.826.898</w:t>
            </w:r>
          </w:p>
        </w:tc>
        <w:tc>
          <w:tcPr>
            <w:tcW w:w="617" w:type="pct"/>
            <w:vAlign w:val="center"/>
            <w:hideMark/>
          </w:tcPr>
          <w:p w14:paraId="2893F5F1" w14:textId="77A7DE1A"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32.620</w:t>
            </w:r>
          </w:p>
        </w:tc>
        <w:tc>
          <w:tcPr>
            <w:tcW w:w="617" w:type="pct"/>
            <w:noWrap/>
            <w:vAlign w:val="center"/>
            <w:hideMark/>
          </w:tcPr>
          <w:p w14:paraId="4F4EE13D" w14:textId="7E0084C0"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3.725.128</w:t>
            </w:r>
          </w:p>
        </w:tc>
        <w:tc>
          <w:tcPr>
            <w:tcW w:w="691" w:type="pct"/>
            <w:noWrap/>
            <w:vAlign w:val="center"/>
            <w:hideMark/>
          </w:tcPr>
          <w:p w14:paraId="2023ADF7" w14:textId="74F1BCF2"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12.197.527</w:t>
            </w:r>
          </w:p>
        </w:tc>
      </w:tr>
      <w:tr w:rsidR="007140C3" w:rsidRPr="00C17CC5" w14:paraId="0033A909" w14:textId="77777777" w:rsidTr="00DA3FEE">
        <w:trPr>
          <w:trHeight w:val="283"/>
        </w:trPr>
        <w:tc>
          <w:tcPr>
            <w:tcW w:w="1224" w:type="pct"/>
            <w:vAlign w:val="center"/>
            <w:hideMark/>
          </w:tcPr>
          <w:p w14:paraId="041566E7" w14:textId="77777777" w:rsidR="007140C3" w:rsidRPr="00C17CC5" w:rsidRDefault="007140C3" w:rsidP="007140C3">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Acima de 360 dias</w:t>
            </w:r>
          </w:p>
        </w:tc>
        <w:tc>
          <w:tcPr>
            <w:tcW w:w="617" w:type="pct"/>
            <w:noWrap/>
            <w:vAlign w:val="center"/>
            <w:hideMark/>
          </w:tcPr>
          <w:p w14:paraId="44195F52" w14:textId="78EA9236"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1.441.159</w:t>
            </w:r>
          </w:p>
        </w:tc>
        <w:tc>
          <w:tcPr>
            <w:tcW w:w="617" w:type="pct"/>
            <w:noWrap/>
            <w:vAlign w:val="center"/>
            <w:hideMark/>
          </w:tcPr>
          <w:p w14:paraId="1C6A977F" w14:textId="59F81D06"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2.889.066</w:t>
            </w:r>
          </w:p>
        </w:tc>
        <w:tc>
          <w:tcPr>
            <w:tcW w:w="617" w:type="pct"/>
            <w:noWrap/>
            <w:vAlign w:val="center"/>
            <w:hideMark/>
          </w:tcPr>
          <w:p w14:paraId="40429A49" w14:textId="1E7E4F51"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1.364.214</w:t>
            </w:r>
          </w:p>
        </w:tc>
        <w:tc>
          <w:tcPr>
            <w:tcW w:w="617" w:type="pct"/>
            <w:vAlign w:val="center"/>
            <w:hideMark/>
          </w:tcPr>
          <w:p w14:paraId="5625B05E" w14:textId="6EB58B9F" w:rsidR="007140C3" w:rsidRPr="00C17CC5" w:rsidRDefault="00C610D5" w:rsidP="007140C3">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83.099</w:t>
            </w:r>
          </w:p>
        </w:tc>
        <w:tc>
          <w:tcPr>
            <w:tcW w:w="617" w:type="pct"/>
            <w:noWrap/>
            <w:vAlign w:val="center"/>
            <w:hideMark/>
          </w:tcPr>
          <w:p w14:paraId="7EEBFBC8" w14:textId="45BA519E" w:rsidR="007140C3" w:rsidRPr="00516B6F" w:rsidRDefault="00C610D5" w:rsidP="007140C3">
            <w:pPr>
              <w:jc w:val="right"/>
              <w:rPr>
                <w:rFonts w:ascii="CAIXA Std Book" w:hAnsi="CAIXA Std Book" w:cs="Calibri"/>
                <w:color w:val="005CA9"/>
                <w:sz w:val="18"/>
                <w:szCs w:val="18"/>
              </w:rPr>
            </w:pPr>
            <w:r>
              <w:rPr>
                <w:rFonts w:ascii="CAIXA Std Book" w:hAnsi="CAIXA Std Book" w:cs="Calibri"/>
                <w:color w:val="005CA9"/>
                <w:sz w:val="18"/>
                <w:szCs w:val="18"/>
              </w:rPr>
              <w:t>2.048.475</w:t>
            </w:r>
          </w:p>
        </w:tc>
        <w:tc>
          <w:tcPr>
            <w:tcW w:w="691" w:type="pct"/>
            <w:noWrap/>
            <w:vAlign w:val="center"/>
            <w:hideMark/>
          </w:tcPr>
          <w:p w14:paraId="3E272E9A" w14:textId="17D9E1CF" w:rsidR="007140C3" w:rsidRPr="00516B6F" w:rsidRDefault="00C610D5" w:rsidP="007140C3">
            <w:pPr>
              <w:jc w:val="right"/>
              <w:rPr>
                <w:rFonts w:ascii="CAIXA Std Book" w:hAnsi="CAIXA Std Book" w:cs="Calibri"/>
                <w:color w:val="005CA9"/>
                <w:sz w:val="18"/>
                <w:szCs w:val="18"/>
              </w:rPr>
            </w:pPr>
            <w:r>
              <w:rPr>
                <w:rFonts w:ascii="CAIXA Std Book" w:hAnsi="CAIXA Std Book" w:cs="Calibri"/>
                <w:color w:val="005CA9"/>
                <w:sz w:val="18"/>
                <w:szCs w:val="18"/>
              </w:rPr>
              <w:t>7.826.013</w:t>
            </w:r>
          </w:p>
        </w:tc>
      </w:tr>
      <w:tr w:rsidR="007140C3" w:rsidRPr="00C44926" w14:paraId="7DEA4FDE" w14:textId="77777777" w:rsidTr="00DA3FEE">
        <w:trPr>
          <w:trHeight w:val="283"/>
        </w:trPr>
        <w:tc>
          <w:tcPr>
            <w:tcW w:w="1224" w:type="pct"/>
            <w:shd w:val="clear" w:color="000000" w:fill="005CA9"/>
            <w:noWrap/>
            <w:vAlign w:val="center"/>
            <w:hideMark/>
          </w:tcPr>
          <w:p w14:paraId="58E85EA3" w14:textId="77777777" w:rsidR="007140C3" w:rsidRPr="00C17CC5" w:rsidRDefault="007140C3" w:rsidP="007140C3">
            <w:pP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Total</w:t>
            </w:r>
            <w:r w:rsidRPr="002E5E5F">
              <w:rPr>
                <w:rFonts w:ascii="CAIXA Std Book" w:eastAsia="Times New Roman" w:hAnsi="CAIXA Std Book" w:cs="Calibri"/>
                <w:b/>
                <w:color w:val="FFFFFF"/>
                <w:sz w:val="18"/>
                <w:szCs w:val="18"/>
              </w:rPr>
              <w:t> </w:t>
            </w:r>
          </w:p>
        </w:tc>
        <w:tc>
          <w:tcPr>
            <w:tcW w:w="617" w:type="pct"/>
            <w:shd w:val="clear" w:color="000000" w:fill="005CA9"/>
            <w:noWrap/>
            <w:vAlign w:val="center"/>
            <w:hideMark/>
          </w:tcPr>
          <w:p w14:paraId="65837F09" w14:textId="1CB879A6" w:rsidR="007140C3" w:rsidRPr="00C17CC5" w:rsidRDefault="00C610D5" w:rsidP="007140C3">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955.784.040</w:t>
            </w:r>
          </w:p>
        </w:tc>
        <w:tc>
          <w:tcPr>
            <w:tcW w:w="617" w:type="pct"/>
            <w:shd w:val="clear" w:color="000000" w:fill="005CA9"/>
            <w:noWrap/>
            <w:vAlign w:val="center"/>
            <w:hideMark/>
          </w:tcPr>
          <w:p w14:paraId="00AD731C" w14:textId="6C1F98AA" w:rsidR="007140C3" w:rsidRPr="00C17CC5" w:rsidRDefault="00C610D5" w:rsidP="007140C3">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104.194.743</w:t>
            </w:r>
          </w:p>
        </w:tc>
        <w:tc>
          <w:tcPr>
            <w:tcW w:w="617" w:type="pct"/>
            <w:shd w:val="clear" w:color="000000" w:fill="005CA9"/>
            <w:noWrap/>
            <w:vAlign w:val="center"/>
            <w:hideMark/>
          </w:tcPr>
          <w:p w14:paraId="1925AFCC" w14:textId="133096EA" w:rsidR="007140C3" w:rsidRPr="00C17CC5" w:rsidRDefault="00C610D5" w:rsidP="007140C3">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167.965.589</w:t>
            </w:r>
          </w:p>
        </w:tc>
        <w:tc>
          <w:tcPr>
            <w:tcW w:w="617" w:type="pct"/>
            <w:shd w:val="clear" w:color="000000" w:fill="005CA9"/>
            <w:noWrap/>
            <w:vAlign w:val="center"/>
            <w:hideMark/>
          </w:tcPr>
          <w:p w14:paraId="55D5E88C" w14:textId="4A1A4AE0" w:rsidR="007140C3" w:rsidRPr="00C17CC5" w:rsidRDefault="00C610D5" w:rsidP="007140C3">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1.790.691</w:t>
            </w:r>
          </w:p>
        </w:tc>
        <w:tc>
          <w:tcPr>
            <w:tcW w:w="617" w:type="pct"/>
            <w:shd w:val="clear" w:color="000000" w:fill="005CA9"/>
            <w:noWrap/>
            <w:vAlign w:val="center"/>
            <w:hideMark/>
          </w:tcPr>
          <w:p w14:paraId="0A47141F" w14:textId="6DB7523B" w:rsidR="007140C3" w:rsidRPr="002E5E5F" w:rsidRDefault="00C610D5" w:rsidP="007140C3">
            <w:pPr>
              <w:jc w:val="right"/>
              <w:rPr>
                <w:rFonts w:ascii="CAIXA Std Book" w:eastAsia="Times New Roman" w:hAnsi="CAIXA Std Book" w:cs="Calibri"/>
                <w:b/>
                <w:color w:val="FFFFFF"/>
                <w:sz w:val="18"/>
                <w:szCs w:val="18"/>
              </w:rPr>
            </w:pPr>
            <w:r>
              <w:rPr>
                <w:rFonts w:ascii="CAIXA Std Book" w:hAnsi="CAIXA Std Book" w:cs="Calibri"/>
                <w:b/>
                <w:bCs/>
                <w:color w:val="FFFFFF"/>
                <w:sz w:val="18"/>
                <w:szCs w:val="18"/>
              </w:rPr>
              <w:t>129.647.696</w:t>
            </w:r>
          </w:p>
        </w:tc>
        <w:tc>
          <w:tcPr>
            <w:tcW w:w="691" w:type="pct"/>
            <w:shd w:val="clear" w:color="000000" w:fill="005CA9"/>
            <w:noWrap/>
            <w:vAlign w:val="center"/>
            <w:hideMark/>
          </w:tcPr>
          <w:p w14:paraId="63DBAF8B" w14:textId="2CDA9FFD" w:rsidR="007140C3" w:rsidRPr="00C44926" w:rsidRDefault="00C610D5" w:rsidP="007140C3">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1.359.382.759</w:t>
            </w:r>
          </w:p>
        </w:tc>
      </w:tr>
    </w:tbl>
    <w:p w14:paraId="30944B21" w14:textId="432B40B7" w:rsidR="00F236FA" w:rsidRDefault="00F236FA">
      <w:pPr>
        <w:rPr>
          <w:rFonts w:ascii="CAIXA Std Book" w:hAnsi="CAIXA Std Book"/>
          <w:b/>
          <w:color w:val="005CA9"/>
          <w:sz w:val="20"/>
          <w:szCs w:val="20"/>
        </w:rPr>
      </w:pPr>
    </w:p>
    <w:tbl>
      <w:tblPr>
        <w:tblW w:w="5000" w:type="pct"/>
        <w:tblCellMar>
          <w:left w:w="70" w:type="dxa"/>
          <w:right w:w="70" w:type="dxa"/>
        </w:tblCellMar>
        <w:tblLook w:val="04A0" w:firstRow="1" w:lastRow="0" w:firstColumn="1" w:lastColumn="0" w:noHBand="0" w:noVBand="1"/>
      </w:tblPr>
      <w:tblGrid>
        <w:gridCol w:w="3566"/>
        <w:gridCol w:w="1798"/>
        <w:gridCol w:w="1798"/>
        <w:gridCol w:w="1798"/>
        <w:gridCol w:w="1798"/>
        <w:gridCol w:w="1798"/>
        <w:gridCol w:w="2013"/>
      </w:tblGrid>
      <w:tr w:rsidR="00805005" w:rsidRPr="00C17CC5" w14:paraId="75F69F67" w14:textId="77777777" w:rsidTr="00E42F21">
        <w:trPr>
          <w:trHeight w:val="283"/>
        </w:trPr>
        <w:tc>
          <w:tcPr>
            <w:tcW w:w="5000" w:type="pct"/>
            <w:gridSpan w:val="7"/>
            <w:tcBorders>
              <w:bottom w:val="single" w:sz="4" w:space="0" w:color="FFFFFF" w:themeColor="background1"/>
            </w:tcBorders>
            <w:shd w:val="clear" w:color="000000" w:fill="005CA9"/>
            <w:noWrap/>
            <w:vAlign w:val="center"/>
            <w:hideMark/>
          </w:tcPr>
          <w:p w14:paraId="1D26D644" w14:textId="62F5AA38" w:rsidR="00826AD9" w:rsidRPr="00C17CC5" w:rsidRDefault="00826AD9">
            <w:pPr>
              <w:jc w:val="center"/>
              <w:rPr>
                <w:rFonts w:ascii="CAIXA Std Book" w:eastAsia="Times New Roman" w:hAnsi="CAIXA Std Book" w:cs="Calibri"/>
                <w:b/>
                <w:bCs/>
                <w:color w:val="FFFFFF"/>
                <w:sz w:val="18"/>
                <w:szCs w:val="18"/>
              </w:rPr>
            </w:pPr>
            <w:r w:rsidRPr="00826AD9">
              <w:rPr>
                <w:rFonts w:ascii="CAIXA Std Book" w:eastAsia="Times New Roman" w:hAnsi="CAIXA Std Book" w:cs="Calibri"/>
                <w:b/>
                <w:bCs/>
                <w:color w:val="FFFFFF"/>
                <w:sz w:val="18"/>
                <w:szCs w:val="18"/>
              </w:rPr>
              <w:t>Consolidado</w:t>
            </w:r>
          </w:p>
        </w:tc>
      </w:tr>
      <w:tr w:rsidR="000C1815" w:rsidRPr="00C17CC5" w14:paraId="2C979EDE" w14:textId="77777777" w:rsidTr="00E42F21">
        <w:trPr>
          <w:trHeight w:val="283"/>
        </w:trPr>
        <w:tc>
          <w:tcPr>
            <w:tcW w:w="1224" w:type="pct"/>
            <w:vMerge w:val="restart"/>
            <w:tcBorders>
              <w:top w:val="single" w:sz="4" w:space="0" w:color="FFFFFF" w:themeColor="background1"/>
            </w:tcBorders>
            <w:shd w:val="clear" w:color="000000" w:fill="005CA9"/>
            <w:noWrap/>
            <w:vAlign w:val="center"/>
            <w:hideMark/>
          </w:tcPr>
          <w:p w14:paraId="114E352C" w14:textId="77777777" w:rsidR="00826AD9" w:rsidRPr="00C17CC5" w:rsidRDefault="00826AD9">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Descrição</w:t>
            </w:r>
            <w:r w:rsidRPr="00C17CC5">
              <w:rPr>
                <w:rFonts w:ascii="CAIXA Std Book" w:eastAsia="Times New Roman" w:hAnsi="CAIXA Std Book" w:cs="Calibri"/>
                <w:color w:val="FFFFFF"/>
                <w:sz w:val="18"/>
                <w:szCs w:val="18"/>
              </w:rPr>
              <w:t> </w:t>
            </w:r>
          </w:p>
        </w:tc>
        <w:tc>
          <w:tcPr>
            <w:tcW w:w="3776" w:type="pct"/>
            <w:gridSpan w:val="6"/>
            <w:tcBorders>
              <w:top w:val="single" w:sz="4" w:space="0" w:color="FFFFFF" w:themeColor="background1"/>
              <w:bottom w:val="single" w:sz="4" w:space="0" w:color="FFFFFF" w:themeColor="background1"/>
            </w:tcBorders>
            <w:shd w:val="clear" w:color="000000" w:fill="005CA9"/>
            <w:noWrap/>
            <w:vAlign w:val="center"/>
            <w:hideMark/>
          </w:tcPr>
          <w:p w14:paraId="005A8B1E" w14:textId="7C9570A6" w:rsidR="00826AD9" w:rsidRPr="00C17CC5" w:rsidRDefault="001D5416">
            <w:pPr>
              <w:jc w:val="center"/>
              <w:rPr>
                <w:rFonts w:ascii="CAIXA Std Book" w:eastAsia="Times New Roman" w:hAnsi="CAIXA Std Book" w:cs="Calibri"/>
                <w:b/>
                <w:bCs/>
                <w:color w:val="FFFFFF"/>
                <w:sz w:val="18"/>
                <w:szCs w:val="18"/>
              </w:rPr>
            </w:pPr>
            <w:r>
              <w:rPr>
                <w:rFonts w:ascii="CAIXA Std Book" w:eastAsia="Times New Roman" w:hAnsi="CAIXA Std Book" w:cs="Calibri"/>
                <w:b/>
                <w:color w:val="FFFFFF"/>
                <w:sz w:val="18"/>
                <w:szCs w:val="18"/>
              </w:rPr>
              <w:t>31/</w:t>
            </w:r>
            <w:r w:rsidR="00D60229">
              <w:rPr>
                <w:rFonts w:ascii="CAIXA Std Book" w:eastAsia="Times New Roman" w:hAnsi="CAIXA Std Book" w:cs="Calibri"/>
                <w:b/>
                <w:color w:val="FFFFFF"/>
                <w:sz w:val="18"/>
                <w:szCs w:val="18"/>
              </w:rPr>
              <w:t>03/2026</w:t>
            </w:r>
          </w:p>
        </w:tc>
      </w:tr>
      <w:tr w:rsidR="00165917" w:rsidRPr="00C17CC5" w14:paraId="0F68B765" w14:textId="77777777" w:rsidTr="00E42F21">
        <w:trPr>
          <w:trHeight w:val="283"/>
        </w:trPr>
        <w:tc>
          <w:tcPr>
            <w:tcW w:w="1224" w:type="pct"/>
            <w:vMerge/>
            <w:tcBorders>
              <w:top w:val="single" w:sz="4" w:space="0" w:color="FFFFFF" w:themeColor="background1"/>
            </w:tcBorders>
            <w:vAlign w:val="center"/>
            <w:hideMark/>
          </w:tcPr>
          <w:p w14:paraId="4FB6817E" w14:textId="77777777" w:rsidR="00826AD9" w:rsidRPr="00C17CC5" w:rsidRDefault="00826AD9">
            <w:pPr>
              <w:rPr>
                <w:rFonts w:ascii="CAIXA Std Book" w:eastAsia="Times New Roman" w:hAnsi="CAIXA Std Book" w:cs="Calibri"/>
                <w:b/>
                <w:bCs/>
                <w:color w:val="FFFFFF"/>
                <w:sz w:val="18"/>
                <w:szCs w:val="18"/>
              </w:rPr>
            </w:pPr>
          </w:p>
        </w:tc>
        <w:tc>
          <w:tcPr>
            <w:tcW w:w="617" w:type="pct"/>
            <w:tcBorders>
              <w:top w:val="single" w:sz="4" w:space="0" w:color="FFFFFF" w:themeColor="background1"/>
            </w:tcBorders>
            <w:shd w:val="clear" w:color="000000" w:fill="005CA9"/>
            <w:noWrap/>
            <w:vAlign w:val="center"/>
            <w:hideMark/>
          </w:tcPr>
          <w:p w14:paraId="279294A5" w14:textId="77777777" w:rsidR="00826AD9" w:rsidRPr="00C17CC5" w:rsidRDefault="00826AD9">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Carteira C 1</w:t>
            </w:r>
            <w:r w:rsidRPr="00C17CC5">
              <w:rPr>
                <w:rFonts w:ascii="CAIXA Std Book" w:eastAsia="Times New Roman" w:hAnsi="CAIXA Std Book" w:cs="Calibri"/>
                <w:color w:val="FFFFFF"/>
                <w:sz w:val="18"/>
                <w:szCs w:val="18"/>
              </w:rPr>
              <w:t> </w:t>
            </w:r>
          </w:p>
        </w:tc>
        <w:tc>
          <w:tcPr>
            <w:tcW w:w="617" w:type="pct"/>
            <w:tcBorders>
              <w:top w:val="single" w:sz="4" w:space="0" w:color="FFFFFF" w:themeColor="background1"/>
            </w:tcBorders>
            <w:shd w:val="clear" w:color="000000" w:fill="005CA9"/>
            <w:noWrap/>
            <w:vAlign w:val="center"/>
            <w:hideMark/>
          </w:tcPr>
          <w:p w14:paraId="3D5D3790" w14:textId="77777777" w:rsidR="00826AD9" w:rsidRPr="00C17CC5" w:rsidRDefault="00826AD9">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Carteira C 2</w:t>
            </w:r>
            <w:r w:rsidRPr="00C17CC5">
              <w:rPr>
                <w:rFonts w:ascii="CAIXA Std Book" w:eastAsia="Times New Roman" w:hAnsi="CAIXA Std Book" w:cs="Calibri"/>
                <w:color w:val="FFFFFF"/>
                <w:sz w:val="18"/>
                <w:szCs w:val="18"/>
              </w:rPr>
              <w:t> </w:t>
            </w:r>
          </w:p>
        </w:tc>
        <w:tc>
          <w:tcPr>
            <w:tcW w:w="617" w:type="pct"/>
            <w:tcBorders>
              <w:top w:val="single" w:sz="4" w:space="0" w:color="FFFFFF" w:themeColor="background1"/>
            </w:tcBorders>
            <w:shd w:val="clear" w:color="000000" w:fill="005CA9"/>
            <w:noWrap/>
            <w:vAlign w:val="center"/>
            <w:hideMark/>
          </w:tcPr>
          <w:p w14:paraId="3C295CF0" w14:textId="77777777" w:rsidR="00826AD9" w:rsidRPr="00C17CC5" w:rsidRDefault="00826AD9">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Carteira C 3</w:t>
            </w:r>
            <w:r w:rsidRPr="00C17CC5">
              <w:rPr>
                <w:rFonts w:ascii="CAIXA Std Book" w:eastAsia="Times New Roman" w:hAnsi="CAIXA Std Book" w:cs="Calibri"/>
                <w:color w:val="FFFFFF"/>
                <w:sz w:val="18"/>
                <w:szCs w:val="18"/>
              </w:rPr>
              <w:t> </w:t>
            </w:r>
          </w:p>
        </w:tc>
        <w:tc>
          <w:tcPr>
            <w:tcW w:w="617" w:type="pct"/>
            <w:tcBorders>
              <w:top w:val="single" w:sz="4" w:space="0" w:color="FFFFFF" w:themeColor="background1"/>
            </w:tcBorders>
            <w:shd w:val="clear" w:color="000000" w:fill="005CA9"/>
            <w:noWrap/>
            <w:vAlign w:val="center"/>
            <w:hideMark/>
          </w:tcPr>
          <w:p w14:paraId="19DF43EC" w14:textId="77777777" w:rsidR="00826AD9" w:rsidRPr="00C17CC5" w:rsidRDefault="00826AD9">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Carteira C 4</w:t>
            </w:r>
            <w:r w:rsidRPr="00C17CC5">
              <w:rPr>
                <w:rFonts w:ascii="CAIXA Std Book" w:eastAsia="Times New Roman" w:hAnsi="CAIXA Std Book" w:cs="Calibri"/>
                <w:color w:val="FFFFFF"/>
                <w:sz w:val="18"/>
                <w:szCs w:val="18"/>
              </w:rPr>
              <w:t> </w:t>
            </w:r>
          </w:p>
        </w:tc>
        <w:tc>
          <w:tcPr>
            <w:tcW w:w="617" w:type="pct"/>
            <w:tcBorders>
              <w:top w:val="single" w:sz="4" w:space="0" w:color="FFFFFF" w:themeColor="background1"/>
            </w:tcBorders>
            <w:shd w:val="clear" w:color="000000" w:fill="005CA9"/>
            <w:noWrap/>
            <w:vAlign w:val="center"/>
            <w:hideMark/>
          </w:tcPr>
          <w:p w14:paraId="253D7B52" w14:textId="77777777" w:rsidR="00826AD9" w:rsidRPr="00C17CC5" w:rsidRDefault="00826AD9">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Carteira C 5</w:t>
            </w:r>
            <w:r w:rsidRPr="00C17CC5">
              <w:rPr>
                <w:rFonts w:ascii="CAIXA Std Book" w:eastAsia="Times New Roman" w:hAnsi="CAIXA Std Book" w:cs="Calibri"/>
                <w:color w:val="FFFFFF"/>
                <w:sz w:val="18"/>
                <w:szCs w:val="18"/>
              </w:rPr>
              <w:t> </w:t>
            </w:r>
          </w:p>
        </w:tc>
        <w:tc>
          <w:tcPr>
            <w:tcW w:w="691" w:type="pct"/>
            <w:tcBorders>
              <w:top w:val="single" w:sz="4" w:space="0" w:color="FFFFFF" w:themeColor="background1"/>
            </w:tcBorders>
            <w:shd w:val="clear" w:color="000000" w:fill="005CA9"/>
            <w:noWrap/>
            <w:vAlign w:val="center"/>
            <w:hideMark/>
          </w:tcPr>
          <w:p w14:paraId="42B0B050" w14:textId="77777777" w:rsidR="00826AD9" w:rsidRPr="00C17CC5" w:rsidRDefault="00826AD9">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Total</w:t>
            </w:r>
          </w:p>
        </w:tc>
      </w:tr>
      <w:tr w:rsidR="00165917" w:rsidRPr="00C17CC5" w14:paraId="613A5D71" w14:textId="77777777" w:rsidTr="00E42F21">
        <w:trPr>
          <w:trHeight w:val="283"/>
        </w:trPr>
        <w:tc>
          <w:tcPr>
            <w:tcW w:w="1224" w:type="pct"/>
            <w:shd w:val="clear" w:color="000000" w:fill="D0E0E3"/>
            <w:vAlign w:val="center"/>
            <w:hideMark/>
          </w:tcPr>
          <w:p w14:paraId="3F50585C" w14:textId="77777777" w:rsidR="00826AD9" w:rsidRPr="00C17CC5" w:rsidRDefault="00826AD9">
            <w:pPr>
              <w:rPr>
                <w:rFonts w:ascii="CAIXA Std Book" w:eastAsia="Times New Roman" w:hAnsi="CAIXA Std Book" w:cs="Calibri"/>
                <w:b/>
                <w:bCs/>
                <w:color w:val="005CA9"/>
                <w:sz w:val="18"/>
                <w:szCs w:val="18"/>
              </w:rPr>
            </w:pPr>
            <w:r w:rsidRPr="00C17CC5">
              <w:rPr>
                <w:rFonts w:ascii="CAIXA Std Book" w:eastAsia="Times New Roman" w:hAnsi="CAIXA Std Book" w:cs="Calibri"/>
                <w:b/>
                <w:bCs/>
                <w:color w:val="005CA9"/>
                <w:sz w:val="18"/>
                <w:szCs w:val="18"/>
              </w:rPr>
              <w:t>Não problemáticos</w:t>
            </w:r>
          </w:p>
        </w:tc>
        <w:tc>
          <w:tcPr>
            <w:tcW w:w="617" w:type="pct"/>
            <w:shd w:val="clear" w:color="000000" w:fill="D0E0E3"/>
            <w:noWrap/>
            <w:vAlign w:val="center"/>
            <w:hideMark/>
          </w:tcPr>
          <w:p w14:paraId="085AA3E2" w14:textId="68ACBD2C" w:rsidR="00826AD9" w:rsidRPr="00C17CC5" w:rsidRDefault="004F1EF1">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938.879.125</w:t>
            </w:r>
          </w:p>
        </w:tc>
        <w:tc>
          <w:tcPr>
            <w:tcW w:w="617" w:type="pct"/>
            <w:shd w:val="clear" w:color="000000" w:fill="D0E0E3"/>
            <w:noWrap/>
            <w:vAlign w:val="center"/>
            <w:hideMark/>
          </w:tcPr>
          <w:p w14:paraId="184DBC24" w14:textId="126D5150" w:rsidR="00826AD9" w:rsidRPr="00C17CC5" w:rsidRDefault="004F1EF1">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75.615.952</w:t>
            </w:r>
          </w:p>
        </w:tc>
        <w:tc>
          <w:tcPr>
            <w:tcW w:w="617" w:type="pct"/>
            <w:shd w:val="clear" w:color="000000" w:fill="D0E0E3"/>
            <w:noWrap/>
            <w:vAlign w:val="center"/>
            <w:hideMark/>
          </w:tcPr>
          <w:p w14:paraId="79377CE7" w14:textId="3A705692" w:rsidR="00826AD9" w:rsidRPr="00C17CC5" w:rsidRDefault="004F1EF1">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156.601.</w:t>
            </w:r>
            <w:r w:rsidR="00CB1D65">
              <w:rPr>
                <w:rFonts w:ascii="CAIXA Std Book" w:hAnsi="CAIXA Std Book" w:cs="Calibri"/>
                <w:b/>
                <w:bCs/>
                <w:color w:val="005CA9"/>
                <w:sz w:val="18"/>
                <w:szCs w:val="18"/>
              </w:rPr>
              <w:t>500</w:t>
            </w:r>
          </w:p>
        </w:tc>
        <w:tc>
          <w:tcPr>
            <w:tcW w:w="617" w:type="pct"/>
            <w:shd w:val="clear" w:color="000000" w:fill="D0E0E3"/>
            <w:noWrap/>
            <w:vAlign w:val="center"/>
            <w:hideMark/>
          </w:tcPr>
          <w:p w14:paraId="60BFA33A" w14:textId="1930CBE3" w:rsidR="00826AD9" w:rsidRPr="00591B6D" w:rsidRDefault="004F1EF1" w:rsidP="000E4F5A">
            <w:pPr>
              <w:jc w:val="right"/>
              <w:rPr>
                <w:rFonts w:ascii="CAIXA Std Book" w:eastAsia="Times New Roman" w:hAnsi="CAIXA Std Book" w:cs="Calibri"/>
                <w:b/>
                <w:color w:val="005CA9"/>
                <w:sz w:val="18"/>
                <w:szCs w:val="18"/>
              </w:rPr>
            </w:pPr>
            <w:r>
              <w:rPr>
                <w:rFonts w:ascii="CAIXA Std Book" w:hAnsi="CAIXA Std Book" w:cs="Calibri"/>
                <w:b/>
                <w:bCs/>
                <w:color w:val="005CA9"/>
                <w:sz w:val="18"/>
                <w:szCs w:val="18"/>
              </w:rPr>
              <w:t>1.226.</w:t>
            </w:r>
            <w:r w:rsidR="00CB1D65">
              <w:rPr>
                <w:rFonts w:ascii="CAIXA Std Book" w:hAnsi="CAIXA Std Book" w:cs="Calibri"/>
                <w:b/>
                <w:bCs/>
                <w:color w:val="005CA9"/>
                <w:sz w:val="18"/>
                <w:szCs w:val="18"/>
              </w:rPr>
              <w:t>065</w:t>
            </w:r>
          </w:p>
        </w:tc>
        <w:tc>
          <w:tcPr>
            <w:tcW w:w="617" w:type="pct"/>
            <w:shd w:val="clear" w:color="000000" w:fill="D0E0E3"/>
            <w:noWrap/>
            <w:vAlign w:val="center"/>
            <w:hideMark/>
          </w:tcPr>
          <w:p w14:paraId="32E5C4E8" w14:textId="30789693" w:rsidR="00826AD9" w:rsidRPr="00C17CC5" w:rsidRDefault="004F1EF1">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139.015.023</w:t>
            </w:r>
          </w:p>
        </w:tc>
        <w:tc>
          <w:tcPr>
            <w:tcW w:w="691" w:type="pct"/>
            <w:shd w:val="clear" w:color="000000" w:fill="D0E0E3"/>
            <w:noWrap/>
            <w:vAlign w:val="center"/>
            <w:hideMark/>
          </w:tcPr>
          <w:p w14:paraId="33BFD425" w14:textId="229C77F5" w:rsidR="00826AD9" w:rsidRPr="00C17CC5" w:rsidRDefault="004F1EF1">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1.311.337.665</w:t>
            </w:r>
          </w:p>
        </w:tc>
      </w:tr>
      <w:tr w:rsidR="00165917" w:rsidRPr="00C17CC5" w14:paraId="16E3809E" w14:textId="77777777" w:rsidTr="00E42F21">
        <w:trPr>
          <w:trHeight w:val="283"/>
        </w:trPr>
        <w:tc>
          <w:tcPr>
            <w:tcW w:w="1224" w:type="pct"/>
            <w:vAlign w:val="center"/>
            <w:hideMark/>
          </w:tcPr>
          <w:p w14:paraId="171F9544" w14:textId="77777777" w:rsidR="00826AD9" w:rsidRPr="00C17CC5" w:rsidRDefault="00826AD9">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01 a 30 dias </w:t>
            </w:r>
          </w:p>
        </w:tc>
        <w:tc>
          <w:tcPr>
            <w:tcW w:w="617" w:type="pct"/>
            <w:noWrap/>
            <w:vAlign w:val="center"/>
            <w:hideMark/>
          </w:tcPr>
          <w:p w14:paraId="31AE03AE" w14:textId="4D26DE79"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873.129.628</w:t>
            </w:r>
          </w:p>
        </w:tc>
        <w:tc>
          <w:tcPr>
            <w:tcW w:w="617" w:type="pct"/>
            <w:noWrap/>
            <w:vAlign w:val="center"/>
            <w:hideMark/>
          </w:tcPr>
          <w:p w14:paraId="7BD009F7" w14:textId="77D94C9A"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72.554.536</w:t>
            </w:r>
          </w:p>
        </w:tc>
        <w:tc>
          <w:tcPr>
            <w:tcW w:w="617" w:type="pct"/>
            <w:noWrap/>
            <w:vAlign w:val="center"/>
            <w:hideMark/>
          </w:tcPr>
          <w:p w14:paraId="771B4E2D" w14:textId="3211A36C"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154.406.</w:t>
            </w:r>
            <w:r w:rsidR="0059409A">
              <w:rPr>
                <w:rFonts w:ascii="CAIXA Std Book" w:hAnsi="CAIXA Std Book" w:cs="Calibri"/>
                <w:color w:val="005CA9"/>
                <w:sz w:val="18"/>
                <w:szCs w:val="18"/>
              </w:rPr>
              <w:t>664</w:t>
            </w:r>
          </w:p>
        </w:tc>
        <w:tc>
          <w:tcPr>
            <w:tcW w:w="617" w:type="pct"/>
            <w:vAlign w:val="center"/>
            <w:hideMark/>
          </w:tcPr>
          <w:p w14:paraId="6D930184" w14:textId="2A5FBE29" w:rsidR="00826AD9" w:rsidRPr="00516B6F" w:rsidRDefault="004F1EF1" w:rsidP="000E4F5A">
            <w:pPr>
              <w:jc w:val="right"/>
              <w:rPr>
                <w:rFonts w:ascii="CAIXA Std Book" w:hAnsi="CAIXA Std Book" w:cs="Calibri"/>
                <w:color w:val="005CA9"/>
                <w:sz w:val="18"/>
                <w:szCs w:val="18"/>
              </w:rPr>
            </w:pPr>
            <w:r>
              <w:rPr>
                <w:rFonts w:ascii="CAIXA Std Book" w:hAnsi="CAIXA Std Book" w:cs="Calibri"/>
                <w:color w:val="005CA9"/>
                <w:sz w:val="18"/>
                <w:szCs w:val="18"/>
              </w:rPr>
              <w:t>1.195.489</w:t>
            </w:r>
          </w:p>
        </w:tc>
        <w:tc>
          <w:tcPr>
            <w:tcW w:w="617" w:type="pct"/>
            <w:noWrap/>
            <w:vAlign w:val="center"/>
            <w:hideMark/>
          </w:tcPr>
          <w:p w14:paraId="3BAE17D2" w14:textId="5CCFF534" w:rsidR="00826AD9" w:rsidRPr="00516B6F" w:rsidRDefault="004F1EF1">
            <w:pPr>
              <w:jc w:val="right"/>
              <w:rPr>
                <w:rFonts w:ascii="CAIXA Std Book" w:hAnsi="CAIXA Std Book" w:cs="Calibri"/>
                <w:color w:val="005CA9"/>
                <w:sz w:val="18"/>
                <w:szCs w:val="18"/>
              </w:rPr>
            </w:pPr>
            <w:r>
              <w:rPr>
                <w:rFonts w:ascii="CAIXA Std Book" w:hAnsi="CAIXA Std Book" w:cs="Calibri"/>
                <w:color w:val="005CA9"/>
                <w:sz w:val="18"/>
                <w:szCs w:val="18"/>
              </w:rPr>
              <w:t>136.348.</w:t>
            </w:r>
            <w:r w:rsidR="0059409A">
              <w:rPr>
                <w:rFonts w:ascii="CAIXA Std Book" w:hAnsi="CAIXA Std Book" w:cs="Calibri"/>
                <w:color w:val="005CA9"/>
                <w:sz w:val="18"/>
                <w:szCs w:val="18"/>
              </w:rPr>
              <w:t>995</w:t>
            </w:r>
          </w:p>
        </w:tc>
        <w:tc>
          <w:tcPr>
            <w:tcW w:w="691" w:type="pct"/>
            <w:noWrap/>
            <w:vAlign w:val="center"/>
            <w:hideMark/>
          </w:tcPr>
          <w:p w14:paraId="20D4984D" w14:textId="1734CF9B" w:rsidR="00826AD9" w:rsidRPr="00516B6F" w:rsidRDefault="004F1EF1">
            <w:pPr>
              <w:jc w:val="right"/>
              <w:rPr>
                <w:rFonts w:ascii="CAIXA Std Book" w:hAnsi="CAIXA Std Book" w:cs="Calibri"/>
                <w:color w:val="005CA9"/>
                <w:sz w:val="18"/>
                <w:szCs w:val="18"/>
              </w:rPr>
            </w:pPr>
            <w:r>
              <w:rPr>
                <w:rFonts w:ascii="CAIXA Std Book" w:hAnsi="CAIXA Std Book" w:cs="Calibri"/>
                <w:color w:val="005CA9"/>
                <w:sz w:val="18"/>
                <w:szCs w:val="18"/>
              </w:rPr>
              <w:t>1.237.635.312</w:t>
            </w:r>
          </w:p>
        </w:tc>
      </w:tr>
      <w:tr w:rsidR="00165917" w:rsidRPr="00C17CC5" w14:paraId="2E3D69A1" w14:textId="77777777" w:rsidTr="00E42F21">
        <w:trPr>
          <w:trHeight w:val="283"/>
        </w:trPr>
        <w:tc>
          <w:tcPr>
            <w:tcW w:w="1224" w:type="pct"/>
            <w:vAlign w:val="center"/>
            <w:hideMark/>
          </w:tcPr>
          <w:p w14:paraId="30C9DB2E" w14:textId="77777777" w:rsidR="00826AD9" w:rsidRPr="00C17CC5" w:rsidRDefault="00826AD9">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31 a 60 dias </w:t>
            </w:r>
          </w:p>
        </w:tc>
        <w:tc>
          <w:tcPr>
            <w:tcW w:w="617" w:type="pct"/>
            <w:noWrap/>
            <w:vAlign w:val="center"/>
            <w:hideMark/>
          </w:tcPr>
          <w:p w14:paraId="4AEA4CE0" w14:textId="75C60D20"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54.474.575</w:t>
            </w:r>
          </w:p>
        </w:tc>
        <w:tc>
          <w:tcPr>
            <w:tcW w:w="617" w:type="pct"/>
            <w:noWrap/>
            <w:vAlign w:val="center"/>
            <w:hideMark/>
          </w:tcPr>
          <w:p w14:paraId="19940D10" w14:textId="74B10F49"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2.002.134</w:t>
            </w:r>
          </w:p>
        </w:tc>
        <w:tc>
          <w:tcPr>
            <w:tcW w:w="617" w:type="pct"/>
            <w:noWrap/>
            <w:vAlign w:val="center"/>
            <w:hideMark/>
          </w:tcPr>
          <w:p w14:paraId="5FC5D090" w14:textId="2C8E3BFD"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1.470.</w:t>
            </w:r>
            <w:r w:rsidR="0059409A">
              <w:rPr>
                <w:rFonts w:ascii="CAIXA Std Book" w:hAnsi="CAIXA Std Book" w:cs="Calibri"/>
                <w:color w:val="005CA9"/>
                <w:sz w:val="18"/>
                <w:szCs w:val="18"/>
              </w:rPr>
              <w:t>395</w:t>
            </w:r>
          </w:p>
        </w:tc>
        <w:tc>
          <w:tcPr>
            <w:tcW w:w="617" w:type="pct"/>
            <w:vAlign w:val="center"/>
            <w:hideMark/>
          </w:tcPr>
          <w:p w14:paraId="42DF1588" w14:textId="5C057A87" w:rsidR="00826AD9" w:rsidRPr="00C17CC5" w:rsidRDefault="004F1EF1" w:rsidP="000E4F5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21.552</w:t>
            </w:r>
          </w:p>
        </w:tc>
        <w:tc>
          <w:tcPr>
            <w:tcW w:w="617" w:type="pct"/>
            <w:noWrap/>
            <w:vAlign w:val="center"/>
            <w:hideMark/>
          </w:tcPr>
          <w:p w14:paraId="0349C77F" w14:textId="56F3C989"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1.703.</w:t>
            </w:r>
            <w:r w:rsidR="0059409A">
              <w:rPr>
                <w:rFonts w:ascii="CAIXA Std Book" w:hAnsi="CAIXA Std Book" w:cs="Calibri"/>
                <w:color w:val="005CA9"/>
                <w:sz w:val="18"/>
                <w:szCs w:val="18"/>
              </w:rPr>
              <w:t>627</w:t>
            </w:r>
          </w:p>
        </w:tc>
        <w:tc>
          <w:tcPr>
            <w:tcW w:w="691" w:type="pct"/>
            <w:noWrap/>
            <w:vAlign w:val="center"/>
            <w:hideMark/>
          </w:tcPr>
          <w:p w14:paraId="4076F262" w14:textId="22B185F6"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59.672.283</w:t>
            </w:r>
          </w:p>
        </w:tc>
      </w:tr>
      <w:tr w:rsidR="00165917" w:rsidRPr="00C17CC5" w14:paraId="39A37E5E" w14:textId="77777777" w:rsidTr="00E42F21">
        <w:trPr>
          <w:trHeight w:val="283"/>
        </w:trPr>
        <w:tc>
          <w:tcPr>
            <w:tcW w:w="1224" w:type="pct"/>
            <w:vAlign w:val="center"/>
            <w:hideMark/>
          </w:tcPr>
          <w:p w14:paraId="050A0FAC" w14:textId="77777777" w:rsidR="00826AD9" w:rsidRPr="00C17CC5" w:rsidRDefault="00826AD9">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61 a 90 dias </w:t>
            </w:r>
          </w:p>
        </w:tc>
        <w:tc>
          <w:tcPr>
            <w:tcW w:w="617" w:type="pct"/>
            <w:noWrap/>
            <w:vAlign w:val="center"/>
            <w:hideMark/>
          </w:tcPr>
          <w:p w14:paraId="6E07E637" w14:textId="6248A8CC"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11.274.922</w:t>
            </w:r>
          </w:p>
        </w:tc>
        <w:tc>
          <w:tcPr>
            <w:tcW w:w="617" w:type="pct"/>
            <w:noWrap/>
            <w:vAlign w:val="center"/>
            <w:hideMark/>
          </w:tcPr>
          <w:p w14:paraId="4017B6AE" w14:textId="178A6DCD"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1.059.282</w:t>
            </w:r>
          </w:p>
        </w:tc>
        <w:tc>
          <w:tcPr>
            <w:tcW w:w="617" w:type="pct"/>
            <w:noWrap/>
            <w:vAlign w:val="center"/>
            <w:hideMark/>
          </w:tcPr>
          <w:p w14:paraId="68C7FDDC" w14:textId="6C131AAE"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724.441</w:t>
            </w:r>
          </w:p>
        </w:tc>
        <w:tc>
          <w:tcPr>
            <w:tcW w:w="617" w:type="pct"/>
            <w:vAlign w:val="center"/>
            <w:hideMark/>
          </w:tcPr>
          <w:p w14:paraId="5B62DA28" w14:textId="1FC52BAB" w:rsidR="00826AD9" w:rsidRPr="00C17CC5" w:rsidRDefault="004F1EF1" w:rsidP="000E4F5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9.024</w:t>
            </w:r>
          </w:p>
        </w:tc>
        <w:tc>
          <w:tcPr>
            <w:tcW w:w="617" w:type="pct"/>
            <w:noWrap/>
            <w:vAlign w:val="center"/>
            <w:hideMark/>
          </w:tcPr>
          <w:p w14:paraId="7A580652" w14:textId="43792084"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962.401</w:t>
            </w:r>
          </w:p>
        </w:tc>
        <w:tc>
          <w:tcPr>
            <w:tcW w:w="691" w:type="pct"/>
            <w:noWrap/>
            <w:vAlign w:val="center"/>
            <w:hideMark/>
          </w:tcPr>
          <w:p w14:paraId="1DF7772B" w14:textId="15833076"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14.030.070</w:t>
            </w:r>
          </w:p>
        </w:tc>
      </w:tr>
      <w:tr w:rsidR="00165917" w:rsidRPr="00C17CC5" w14:paraId="692AF278" w14:textId="77777777" w:rsidTr="00E42F21">
        <w:trPr>
          <w:trHeight w:val="283"/>
        </w:trPr>
        <w:tc>
          <w:tcPr>
            <w:tcW w:w="1224" w:type="pct"/>
            <w:shd w:val="clear" w:color="000000" w:fill="D0E0E3"/>
            <w:vAlign w:val="center"/>
            <w:hideMark/>
          </w:tcPr>
          <w:p w14:paraId="5033BC81" w14:textId="77777777" w:rsidR="00826AD9" w:rsidRPr="00C17CC5" w:rsidRDefault="00826AD9">
            <w:pPr>
              <w:rPr>
                <w:rFonts w:ascii="CAIXA Std Book" w:eastAsia="Times New Roman" w:hAnsi="CAIXA Std Book" w:cs="Calibri"/>
                <w:b/>
                <w:bCs/>
                <w:color w:val="005CA9"/>
                <w:sz w:val="18"/>
                <w:szCs w:val="18"/>
              </w:rPr>
            </w:pPr>
            <w:r w:rsidRPr="00C17CC5">
              <w:rPr>
                <w:rFonts w:ascii="CAIXA Std Book" w:eastAsia="Times New Roman" w:hAnsi="CAIXA Std Book" w:cs="Calibri"/>
                <w:b/>
                <w:bCs/>
                <w:color w:val="005CA9"/>
                <w:sz w:val="18"/>
                <w:szCs w:val="18"/>
              </w:rPr>
              <w:t>Problemáticos adimplidos</w:t>
            </w:r>
            <w:r w:rsidRPr="00591B6D">
              <w:rPr>
                <w:rFonts w:ascii="CAIXA Std Book" w:eastAsia="Times New Roman" w:hAnsi="CAIXA Std Book" w:cs="Calibri"/>
                <w:b/>
                <w:color w:val="005CA9"/>
                <w:sz w:val="18"/>
                <w:szCs w:val="18"/>
              </w:rPr>
              <w:t> </w:t>
            </w:r>
          </w:p>
        </w:tc>
        <w:tc>
          <w:tcPr>
            <w:tcW w:w="617" w:type="pct"/>
            <w:shd w:val="clear" w:color="000000" w:fill="D0E0E3"/>
            <w:noWrap/>
            <w:vAlign w:val="center"/>
            <w:hideMark/>
          </w:tcPr>
          <w:p w14:paraId="6BD39154" w14:textId="0A3F3C2E" w:rsidR="00826AD9" w:rsidRPr="00C17CC5" w:rsidRDefault="004F1EF1">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32.363.190</w:t>
            </w:r>
          </w:p>
        </w:tc>
        <w:tc>
          <w:tcPr>
            <w:tcW w:w="617" w:type="pct"/>
            <w:shd w:val="clear" w:color="000000" w:fill="D0E0E3"/>
            <w:noWrap/>
            <w:vAlign w:val="center"/>
            <w:hideMark/>
          </w:tcPr>
          <w:p w14:paraId="2E7B3602" w14:textId="5BF311BC" w:rsidR="00826AD9" w:rsidRPr="00C17CC5" w:rsidRDefault="004F1EF1">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7.186.329</w:t>
            </w:r>
          </w:p>
        </w:tc>
        <w:tc>
          <w:tcPr>
            <w:tcW w:w="617" w:type="pct"/>
            <w:shd w:val="clear" w:color="000000" w:fill="D0E0E3"/>
            <w:noWrap/>
            <w:vAlign w:val="center"/>
            <w:hideMark/>
          </w:tcPr>
          <w:p w14:paraId="47D3B32F" w14:textId="63EF3B23" w:rsidR="00826AD9" w:rsidRPr="00C17CC5" w:rsidRDefault="004F1EF1">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3.576.804</w:t>
            </w:r>
          </w:p>
        </w:tc>
        <w:tc>
          <w:tcPr>
            <w:tcW w:w="617" w:type="pct"/>
            <w:shd w:val="clear" w:color="000000" w:fill="D0E0E3"/>
            <w:noWrap/>
            <w:vAlign w:val="center"/>
            <w:hideMark/>
          </w:tcPr>
          <w:p w14:paraId="1F8DDE5B" w14:textId="3B417D67" w:rsidR="00826AD9" w:rsidRPr="00591B6D" w:rsidRDefault="004F1EF1" w:rsidP="000E4F5A">
            <w:pPr>
              <w:jc w:val="right"/>
              <w:rPr>
                <w:rFonts w:ascii="CAIXA Std Book" w:eastAsia="Times New Roman" w:hAnsi="CAIXA Std Book" w:cs="Calibri"/>
                <w:b/>
                <w:color w:val="005CA9"/>
                <w:sz w:val="18"/>
                <w:szCs w:val="18"/>
              </w:rPr>
            </w:pPr>
            <w:r>
              <w:rPr>
                <w:rFonts w:ascii="CAIXA Std Book" w:hAnsi="CAIXA Std Book" w:cs="Calibri"/>
                <w:b/>
                <w:bCs/>
                <w:color w:val="005CA9"/>
                <w:sz w:val="18"/>
                <w:szCs w:val="18"/>
              </w:rPr>
              <w:t>302.260</w:t>
            </w:r>
          </w:p>
        </w:tc>
        <w:tc>
          <w:tcPr>
            <w:tcW w:w="617" w:type="pct"/>
            <w:shd w:val="clear" w:color="000000" w:fill="D0E0E3"/>
            <w:noWrap/>
            <w:vAlign w:val="center"/>
            <w:hideMark/>
          </w:tcPr>
          <w:p w14:paraId="2097F917" w14:textId="4B9C4BFE" w:rsidR="00826AD9" w:rsidRPr="00C17CC5" w:rsidRDefault="004F1EF1">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3.044.286</w:t>
            </w:r>
          </w:p>
        </w:tc>
        <w:tc>
          <w:tcPr>
            <w:tcW w:w="691" w:type="pct"/>
            <w:shd w:val="clear" w:color="000000" w:fill="D0E0E3"/>
            <w:noWrap/>
            <w:vAlign w:val="center"/>
            <w:hideMark/>
          </w:tcPr>
          <w:p w14:paraId="013BAB65" w14:textId="3F6DE5B6" w:rsidR="00826AD9" w:rsidRPr="00C17CC5" w:rsidRDefault="004F1EF1">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46.472.869</w:t>
            </w:r>
          </w:p>
        </w:tc>
      </w:tr>
      <w:tr w:rsidR="00165917" w:rsidRPr="00C17CC5" w14:paraId="65EDFF86" w14:textId="77777777" w:rsidTr="00E42F21">
        <w:trPr>
          <w:trHeight w:val="283"/>
        </w:trPr>
        <w:tc>
          <w:tcPr>
            <w:tcW w:w="1224" w:type="pct"/>
            <w:vAlign w:val="center"/>
            <w:hideMark/>
          </w:tcPr>
          <w:p w14:paraId="2FA4C8F3" w14:textId="77777777" w:rsidR="00826AD9" w:rsidRPr="00C17CC5" w:rsidRDefault="00826AD9">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01 a 90 dias </w:t>
            </w:r>
          </w:p>
        </w:tc>
        <w:tc>
          <w:tcPr>
            <w:tcW w:w="617" w:type="pct"/>
            <w:noWrap/>
            <w:vAlign w:val="center"/>
            <w:hideMark/>
          </w:tcPr>
          <w:p w14:paraId="5FBDF209" w14:textId="35E12DE3"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32.363.190</w:t>
            </w:r>
          </w:p>
        </w:tc>
        <w:tc>
          <w:tcPr>
            <w:tcW w:w="617" w:type="pct"/>
            <w:noWrap/>
            <w:vAlign w:val="center"/>
            <w:hideMark/>
          </w:tcPr>
          <w:p w14:paraId="14FB225B" w14:textId="0CD996E0"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7.186.329</w:t>
            </w:r>
          </w:p>
        </w:tc>
        <w:tc>
          <w:tcPr>
            <w:tcW w:w="617" w:type="pct"/>
            <w:noWrap/>
            <w:vAlign w:val="center"/>
            <w:hideMark/>
          </w:tcPr>
          <w:p w14:paraId="0161C3CC" w14:textId="00609793"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3.576.804</w:t>
            </w:r>
          </w:p>
        </w:tc>
        <w:tc>
          <w:tcPr>
            <w:tcW w:w="617" w:type="pct"/>
            <w:vAlign w:val="center"/>
            <w:hideMark/>
          </w:tcPr>
          <w:p w14:paraId="1EA10835" w14:textId="62AE2AED" w:rsidR="00826AD9" w:rsidRPr="00C17CC5" w:rsidRDefault="004F1EF1" w:rsidP="000E4F5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302.260</w:t>
            </w:r>
          </w:p>
        </w:tc>
        <w:tc>
          <w:tcPr>
            <w:tcW w:w="617" w:type="pct"/>
            <w:noWrap/>
            <w:vAlign w:val="center"/>
            <w:hideMark/>
          </w:tcPr>
          <w:p w14:paraId="22C49B58" w14:textId="13DFDF68"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3.044.286</w:t>
            </w:r>
          </w:p>
        </w:tc>
        <w:tc>
          <w:tcPr>
            <w:tcW w:w="691" w:type="pct"/>
            <w:noWrap/>
            <w:vAlign w:val="center"/>
            <w:hideMark/>
          </w:tcPr>
          <w:p w14:paraId="6B8845E3" w14:textId="6D2E9408"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46.472.869</w:t>
            </w:r>
          </w:p>
        </w:tc>
      </w:tr>
      <w:tr w:rsidR="00165917" w:rsidRPr="00C17CC5" w14:paraId="6ECE422B" w14:textId="77777777" w:rsidTr="00E42F21">
        <w:trPr>
          <w:trHeight w:val="283"/>
        </w:trPr>
        <w:tc>
          <w:tcPr>
            <w:tcW w:w="1224" w:type="pct"/>
            <w:shd w:val="clear" w:color="000000" w:fill="D0E0E3"/>
            <w:vAlign w:val="center"/>
            <w:hideMark/>
          </w:tcPr>
          <w:p w14:paraId="7670A90B" w14:textId="77777777" w:rsidR="00826AD9" w:rsidRPr="00C17CC5" w:rsidRDefault="00826AD9">
            <w:pPr>
              <w:rPr>
                <w:rFonts w:ascii="CAIXA Std Book" w:eastAsia="Times New Roman" w:hAnsi="CAIXA Std Book" w:cs="Calibri"/>
                <w:b/>
                <w:bCs/>
                <w:color w:val="005CA9"/>
                <w:sz w:val="18"/>
                <w:szCs w:val="18"/>
              </w:rPr>
            </w:pPr>
            <w:r w:rsidRPr="00C17CC5">
              <w:rPr>
                <w:rFonts w:ascii="CAIXA Std Book" w:eastAsia="Times New Roman" w:hAnsi="CAIXA Std Book" w:cs="Calibri"/>
                <w:b/>
                <w:bCs/>
                <w:color w:val="005CA9"/>
                <w:sz w:val="18"/>
                <w:szCs w:val="18"/>
              </w:rPr>
              <w:t>Problemáticos inadimplidos</w:t>
            </w:r>
            <w:r w:rsidRPr="00591B6D">
              <w:rPr>
                <w:rFonts w:ascii="CAIXA Std Book" w:eastAsia="Times New Roman" w:hAnsi="CAIXA Std Book" w:cs="Calibri"/>
                <w:b/>
                <w:color w:val="005CA9"/>
                <w:sz w:val="18"/>
                <w:szCs w:val="18"/>
              </w:rPr>
              <w:t> </w:t>
            </w:r>
          </w:p>
        </w:tc>
        <w:tc>
          <w:tcPr>
            <w:tcW w:w="617" w:type="pct"/>
            <w:shd w:val="clear" w:color="000000" w:fill="D0E0E3"/>
            <w:noWrap/>
            <w:vAlign w:val="center"/>
            <w:hideMark/>
          </w:tcPr>
          <w:p w14:paraId="5B120461" w14:textId="101E077A" w:rsidR="00826AD9" w:rsidRPr="00C17CC5" w:rsidRDefault="004F1EF1">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15.984.264</w:t>
            </w:r>
          </w:p>
        </w:tc>
        <w:tc>
          <w:tcPr>
            <w:tcW w:w="617" w:type="pct"/>
            <w:shd w:val="clear" w:color="000000" w:fill="D0E0E3"/>
            <w:noWrap/>
            <w:vAlign w:val="center"/>
            <w:hideMark/>
          </w:tcPr>
          <w:p w14:paraId="5D3EE0F7" w14:textId="4C776FA8" w:rsidR="00826AD9" w:rsidRPr="00C17CC5" w:rsidRDefault="004F1EF1">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15.980.</w:t>
            </w:r>
            <w:r w:rsidR="0059409A">
              <w:rPr>
                <w:rFonts w:ascii="CAIXA Std Book" w:hAnsi="CAIXA Std Book" w:cs="Calibri"/>
                <w:b/>
                <w:bCs/>
                <w:color w:val="005CA9"/>
                <w:sz w:val="18"/>
                <w:szCs w:val="18"/>
              </w:rPr>
              <w:t>921</w:t>
            </w:r>
          </w:p>
        </w:tc>
        <w:tc>
          <w:tcPr>
            <w:tcW w:w="617" w:type="pct"/>
            <w:shd w:val="clear" w:color="000000" w:fill="D0E0E3"/>
            <w:noWrap/>
            <w:vAlign w:val="center"/>
            <w:hideMark/>
          </w:tcPr>
          <w:p w14:paraId="50495ADE" w14:textId="1E1B0AD2" w:rsidR="00826AD9" w:rsidRPr="00C17CC5" w:rsidRDefault="004F1EF1">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9.280.377</w:t>
            </w:r>
          </w:p>
        </w:tc>
        <w:tc>
          <w:tcPr>
            <w:tcW w:w="617" w:type="pct"/>
            <w:shd w:val="clear" w:color="000000" w:fill="D0E0E3"/>
            <w:noWrap/>
            <w:vAlign w:val="center"/>
            <w:hideMark/>
          </w:tcPr>
          <w:p w14:paraId="292FC925" w14:textId="232C2DB7" w:rsidR="00826AD9" w:rsidRPr="00AD22B2" w:rsidRDefault="004F1EF1" w:rsidP="000E4F5A">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167.</w:t>
            </w:r>
            <w:r w:rsidR="0059409A">
              <w:rPr>
                <w:rFonts w:ascii="CAIXA Std Book" w:hAnsi="CAIXA Std Book" w:cs="Calibri"/>
                <w:b/>
                <w:bCs/>
                <w:color w:val="005CA9"/>
                <w:sz w:val="18"/>
                <w:szCs w:val="18"/>
              </w:rPr>
              <w:t>888</w:t>
            </w:r>
          </w:p>
        </w:tc>
        <w:tc>
          <w:tcPr>
            <w:tcW w:w="617" w:type="pct"/>
            <w:shd w:val="clear" w:color="000000" w:fill="D0E0E3"/>
            <w:noWrap/>
            <w:vAlign w:val="center"/>
            <w:hideMark/>
          </w:tcPr>
          <w:p w14:paraId="294469C2" w14:textId="1593AB0D" w:rsidR="00826AD9" w:rsidRPr="00C17CC5" w:rsidRDefault="004F1EF1">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10.865.630</w:t>
            </w:r>
          </w:p>
        </w:tc>
        <w:tc>
          <w:tcPr>
            <w:tcW w:w="691" w:type="pct"/>
            <w:shd w:val="clear" w:color="000000" w:fill="D0E0E3"/>
            <w:noWrap/>
            <w:vAlign w:val="center"/>
            <w:hideMark/>
          </w:tcPr>
          <w:p w14:paraId="4099FEBC" w14:textId="59C4031D" w:rsidR="00826AD9" w:rsidRPr="00C17CC5" w:rsidRDefault="004F1EF1">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52.279.</w:t>
            </w:r>
            <w:r w:rsidR="0059409A">
              <w:rPr>
                <w:rFonts w:ascii="CAIXA Std Book" w:hAnsi="CAIXA Std Book" w:cs="Calibri"/>
                <w:b/>
                <w:bCs/>
                <w:color w:val="005CA9"/>
                <w:sz w:val="18"/>
                <w:szCs w:val="18"/>
              </w:rPr>
              <w:t>080</w:t>
            </w:r>
          </w:p>
        </w:tc>
      </w:tr>
      <w:tr w:rsidR="00165917" w:rsidRPr="00C17CC5" w14:paraId="6CAF3846" w14:textId="77777777" w:rsidTr="00E42F21">
        <w:trPr>
          <w:trHeight w:val="283"/>
        </w:trPr>
        <w:tc>
          <w:tcPr>
            <w:tcW w:w="1224" w:type="pct"/>
            <w:vAlign w:val="center"/>
            <w:hideMark/>
          </w:tcPr>
          <w:p w14:paraId="79CD5D95" w14:textId="77777777" w:rsidR="00826AD9" w:rsidRPr="00C17CC5" w:rsidRDefault="00826AD9">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91 a 180 dias </w:t>
            </w:r>
          </w:p>
        </w:tc>
        <w:tc>
          <w:tcPr>
            <w:tcW w:w="617" w:type="pct"/>
            <w:noWrap/>
            <w:vAlign w:val="center"/>
            <w:hideMark/>
          </w:tcPr>
          <w:p w14:paraId="568C27F8" w14:textId="1C0B1E30"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12.493.</w:t>
            </w:r>
            <w:r w:rsidR="00CB1D65">
              <w:rPr>
                <w:rFonts w:ascii="CAIXA Std Book" w:hAnsi="CAIXA Std Book" w:cs="Calibri"/>
                <w:color w:val="005CA9"/>
                <w:sz w:val="18"/>
                <w:szCs w:val="18"/>
              </w:rPr>
              <w:t>205</w:t>
            </w:r>
          </w:p>
        </w:tc>
        <w:tc>
          <w:tcPr>
            <w:tcW w:w="617" w:type="pct"/>
            <w:noWrap/>
            <w:vAlign w:val="center"/>
            <w:hideMark/>
          </w:tcPr>
          <w:p w14:paraId="59E64543" w14:textId="446FC955"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6.808.</w:t>
            </w:r>
            <w:r w:rsidR="0059409A">
              <w:rPr>
                <w:rFonts w:ascii="CAIXA Std Book" w:hAnsi="CAIXA Std Book" w:cs="Calibri"/>
                <w:color w:val="005CA9"/>
                <w:sz w:val="18"/>
                <w:szCs w:val="18"/>
              </w:rPr>
              <w:t>091</w:t>
            </w:r>
          </w:p>
        </w:tc>
        <w:tc>
          <w:tcPr>
            <w:tcW w:w="617" w:type="pct"/>
            <w:noWrap/>
            <w:vAlign w:val="center"/>
            <w:hideMark/>
          </w:tcPr>
          <w:p w14:paraId="71FBF1F4" w14:textId="3072812D"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4.734.537</w:t>
            </w:r>
          </w:p>
        </w:tc>
        <w:tc>
          <w:tcPr>
            <w:tcW w:w="617" w:type="pct"/>
            <w:vAlign w:val="center"/>
            <w:hideMark/>
          </w:tcPr>
          <w:p w14:paraId="697E1CF1" w14:textId="2A9EDE5B" w:rsidR="00826AD9" w:rsidRPr="00C17CC5" w:rsidRDefault="004F1EF1" w:rsidP="000E4F5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98.641</w:t>
            </w:r>
          </w:p>
        </w:tc>
        <w:tc>
          <w:tcPr>
            <w:tcW w:w="617" w:type="pct"/>
            <w:noWrap/>
            <w:vAlign w:val="center"/>
            <w:hideMark/>
          </w:tcPr>
          <w:p w14:paraId="26293AC5" w14:textId="42A3CCA4"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4.781.400</w:t>
            </w:r>
          </w:p>
        </w:tc>
        <w:tc>
          <w:tcPr>
            <w:tcW w:w="691" w:type="pct"/>
            <w:noWrap/>
            <w:vAlign w:val="center"/>
            <w:hideMark/>
          </w:tcPr>
          <w:p w14:paraId="16C05CA7" w14:textId="61315C52"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28.915.</w:t>
            </w:r>
            <w:r w:rsidR="0059409A">
              <w:rPr>
                <w:rFonts w:ascii="CAIXA Std Book" w:hAnsi="CAIXA Std Book" w:cs="Calibri"/>
                <w:color w:val="005CA9"/>
                <w:sz w:val="18"/>
                <w:szCs w:val="18"/>
              </w:rPr>
              <w:t>874</w:t>
            </w:r>
          </w:p>
        </w:tc>
      </w:tr>
      <w:tr w:rsidR="00165917" w:rsidRPr="00C17CC5" w14:paraId="560F34C4" w14:textId="77777777" w:rsidTr="00E42F21">
        <w:trPr>
          <w:trHeight w:val="283"/>
        </w:trPr>
        <w:tc>
          <w:tcPr>
            <w:tcW w:w="1224" w:type="pct"/>
            <w:vAlign w:val="center"/>
            <w:hideMark/>
          </w:tcPr>
          <w:p w14:paraId="190ECBD2" w14:textId="77777777" w:rsidR="00826AD9" w:rsidRPr="00C17CC5" w:rsidRDefault="00826AD9">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181 a 360 dias </w:t>
            </w:r>
          </w:p>
        </w:tc>
        <w:tc>
          <w:tcPr>
            <w:tcW w:w="617" w:type="pct"/>
            <w:noWrap/>
            <w:vAlign w:val="center"/>
            <w:hideMark/>
          </w:tcPr>
          <w:p w14:paraId="67ADEA77" w14:textId="6B7705D6"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2.119.172</w:t>
            </w:r>
          </w:p>
        </w:tc>
        <w:tc>
          <w:tcPr>
            <w:tcW w:w="617" w:type="pct"/>
            <w:noWrap/>
            <w:vAlign w:val="center"/>
            <w:hideMark/>
          </w:tcPr>
          <w:p w14:paraId="1608B365" w14:textId="23F27E68"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5.070.863</w:t>
            </w:r>
          </w:p>
        </w:tc>
        <w:tc>
          <w:tcPr>
            <w:tcW w:w="617" w:type="pct"/>
            <w:noWrap/>
            <w:vAlign w:val="center"/>
            <w:hideMark/>
          </w:tcPr>
          <w:p w14:paraId="66D6ED33" w14:textId="6C026D1A"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2.887.508</w:t>
            </w:r>
          </w:p>
        </w:tc>
        <w:tc>
          <w:tcPr>
            <w:tcW w:w="617" w:type="pct"/>
            <w:vAlign w:val="center"/>
            <w:hideMark/>
          </w:tcPr>
          <w:p w14:paraId="5E56B09E" w14:textId="5885D33A" w:rsidR="00826AD9" w:rsidRPr="00C17CC5" w:rsidRDefault="004F1EF1" w:rsidP="000E4F5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43.068</w:t>
            </w:r>
          </w:p>
        </w:tc>
        <w:tc>
          <w:tcPr>
            <w:tcW w:w="617" w:type="pct"/>
            <w:noWrap/>
            <w:vAlign w:val="center"/>
            <w:hideMark/>
          </w:tcPr>
          <w:p w14:paraId="3EC2773D" w14:textId="61E50BF5"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3.866.079</w:t>
            </w:r>
          </w:p>
        </w:tc>
        <w:tc>
          <w:tcPr>
            <w:tcW w:w="691" w:type="pct"/>
            <w:noWrap/>
            <w:vAlign w:val="center"/>
            <w:hideMark/>
          </w:tcPr>
          <w:p w14:paraId="456530D5" w14:textId="05FB5B2F"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13.986.690</w:t>
            </w:r>
          </w:p>
        </w:tc>
      </w:tr>
      <w:tr w:rsidR="00165917" w:rsidRPr="00C17CC5" w14:paraId="18CD19DC" w14:textId="77777777" w:rsidTr="00E42F21">
        <w:trPr>
          <w:trHeight w:val="283"/>
        </w:trPr>
        <w:tc>
          <w:tcPr>
            <w:tcW w:w="1224" w:type="pct"/>
            <w:vAlign w:val="center"/>
            <w:hideMark/>
          </w:tcPr>
          <w:p w14:paraId="206837CB" w14:textId="77777777" w:rsidR="00826AD9" w:rsidRPr="00C17CC5" w:rsidRDefault="00826AD9">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Acima de 360 dias</w:t>
            </w:r>
          </w:p>
        </w:tc>
        <w:tc>
          <w:tcPr>
            <w:tcW w:w="617" w:type="pct"/>
            <w:noWrap/>
            <w:vAlign w:val="center"/>
            <w:hideMark/>
          </w:tcPr>
          <w:p w14:paraId="5931327F" w14:textId="07DD997A"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1.371.887</w:t>
            </w:r>
          </w:p>
        </w:tc>
        <w:tc>
          <w:tcPr>
            <w:tcW w:w="617" w:type="pct"/>
            <w:noWrap/>
            <w:vAlign w:val="center"/>
            <w:hideMark/>
          </w:tcPr>
          <w:p w14:paraId="4F6B247A" w14:textId="4EC8637E"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4.101.</w:t>
            </w:r>
            <w:r w:rsidR="0059409A">
              <w:rPr>
                <w:rFonts w:ascii="CAIXA Std Book" w:hAnsi="CAIXA Std Book" w:cs="Calibri"/>
                <w:color w:val="005CA9"/>
                <w:sz w:val="18"/>
                <w:szCs w:val="18"/>
              </w:rPr>
              <w:t>967</w:t>
            </w:r>
          </w:p>
        </w:tc>
        <w:tc>
          <w:tcPr>
            <w:tcW w:w="617" w:type="pct"/>
            <w:noWrap/>
            <w:vAlign w:val="center"/>
            <w:hideMark/>
          </w:tcPr>
          <w:p w14:paraId="5C633D34" w14:textId="23F35B84" w:rsidR="00826AD9" w:rsidRPr="00C17CC5" w:rsidRDefault="004F1EF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1.658.332</w:t>
            </w:r>
          </w:p>
        </w:tc>
        <w:tc>
          <w:tcPr>
            <w:tcW w:w="617" w:type="pct"/>
            <w:vAlign w:val="center"/>
            <w:hideMark/>
          </w:tcPr>
          <w:p w14:paraId="662FC868" w14:textId="6D10E01C" w:rsidR="00826AD9" w:rsidRPr="00C17CC5" w:rsidRDefault="004F1EF1" w:rsidP="000E4F5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26.</w:t>
            </w:r>
            <w:r w:rsidR="0059409A">
              <w:rPr>
                <w:rFonts w:ascii="CAIXA Std Book" w:hAnsi="CAIXA Std Book" w:cs="Calibri"/>
                <w:color w:val="005CA9"/>
                <w:sz w:val="18"/>
                <w:szCs w:val="18"/>
              </w:rPr>
              <w:t>179</w:t>
            </w:r>
          </w:p>
        </w:tc>
        <w:tc>
          <w:tcPr>
            <w:tcW w:w="617" w:type="pct"/>
            <w:noWrap/>
            <w:vAlign w:val="center"/>
            <w:hideMark/>
          </w:tcPr>
          <w:p w14:paraId="522839C9" w14:textId="0A493B59" w:rsidR="00826AD9" w:rsidRPr="00516B6F" w:rsidRDefault="004F1EF1">
            <w:pPr>
              <w:jc w:val="right"/>
              <w:rPr>
                <w:rFonts w:ascii="CAIXA Std Book" w:hAnsi="CAIXA Std Book" w:cs="Calibri"/>
                <w:color w:val="005CA9"/>
                <w:sz w:val="18"/>
                <w:szCs w:val="18"/>
              </w:rPr>
            </w:pPr>
            <w:r>
              <w:rPr>
                <w:rFonts w:ascii="CAIXA Std Book" w:hAnsi="CAIXA Std Book" w:cs="Calibri"/>
                <w:color w:val="005CA9"/>
                <w:sz w:val="18"/>
                <w:szCs w:val="18"/>
              </w:rPr>
              <w:t>2.218.</w:t>
            </w:r>
            <w:r w:rsidR="00CB1D65">
              <w:rPr>
                <w:rFonts w:ascii="CAIXA Std Book" w:hAnsi="CAIXA Std Book" w:cs="Calibri"/>
                <w:color w:val="005CA9"/>
                <w:sz w:val="18"/>
                <w:szCs w:val="18"/>
              </w:rPr>
              <w:t>151</w:t>
            </w:r>
          </w:p>
        </w:tc>
        <w:tc>
          <w:tcPr>
            <w:tcW w:w="691" w:type="pct"/>
            <w:noWrap/>
            <w:vAlign w:val="center"/>
            <w:hideMark/>
          </w:tcPr>
          <w:p w14:paraId="6C3DC575" w14:textId="796D15B9" w:rsidR="00826AD9" w:rsidRPr="00516B6F" w:rsidRDefault="00CB1D65">
            <w:pPr>
              <w:jc w:val="right"/>
              <w:rPr>
                <w:rFonts w:ascii="CAIXA Std Book" w:hAnsi="CAIXA Std Book" w:cs="Calibri"/>
                <w:color w:val="005CA9"/>
                <w:sz w:val="18"/>
                <w:szCs w:val="18"/>
              </w:rPr>
            </w:pPr>
            <w:r>
              <w:rPr>
                <w:rFonts w:ascii="CAIXA Std Book" w:hAnsi="CAIXA Std Book" w:cs="Calibri"/>
                <w:color w:val="005CA9"/>
                <w:sz w:val="18"/>
                <w:szCs w:val="18"/>
              </w:rPr>
              <w:t>9.376.516</w:t>
            </w:r>
          </w:p>
        </w:tc>
      </w:tr>
      <w:tr w:rsidR="00165917" w:rsidRPr="00C17CC5" w14:paraId="59B86989" w14:textId="77777777" w:rsidTr="00E42F21">
        <w:trPr>
          <w:trHeight w:val="283"/>
        </w:trPr>
        <w:tc>
          <w:tcPr>
            <w:tcW w:w="1224" w:type="pct"/>
            <w:shd w:val="clear" w:color="000000" w:fill="005CA9"/>
            <w:noWrap/>
            <w:vAlign w:val="center"/>
            <w:hideMark/>
          </w:tcPr>
          <w:p w14:paraId="0F65C63F" w14:textId="77777777" w:rsidR="00826AD9" w:rsidRPr="00C17CC5" w:rsidRDefault="00826AD9">
            <w:pP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Total</w:t>
            </w:r>
            <w:r w:rsidRPr="00591B6D">
              <w:rPr>
                <w:rFonts w:ascii="CAIXA Std Book" w:eastAsia="Times New Roman" w:hAnsi="CAIXA Std Book" w:cs="Calibri"/>
                <w:b/>
                <w:color w:val="FFFFFF"/>
                <w:sz w:val="18"/>
                <w:szCs w:val="18"/>
              </w:rPr>
              <w:t> </w:t>
            </w:r>
          </w:p>
        </w:tc>
        <w:tc>
          <w:tcPr>
            <w:tcW w:w="617" w:type="pct"/>
            <w:shd w:val="clear" w:color="000000" w:fill="005CA9"/>
            <w:noWrap/>
            <w:vAlign w:val="center"/>
            <w:hideMark/>
          </w:tcPr>
          <w:p w14:paraId="4E7310A3" w14:textId="0CAFB4E6" w:rsidR="00826AD9" w:rsidRPr="00C17CC5" w:rsidRDefault="004F1EF1">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987.226.579</w:t>
            </w:r>
          </w:p>
        </w:tc>
        <w:tc>
          <w:tcPr>
            <w:tcW w:w="617" w:type="pct"/>
            <w:shd w:val="clear" w:color="000000" w:fill="005CA9"/>
            <w:noWrap/>
            <w:vAlign w:val="center"/>
            <w:hideMark/>
          </w:tcPr>
          <w:p w14:paraId="2F522E6F" w14:textId="435D0CF9" w:rsidR="00826AD9" w:rsidRPr="00C17CC5" w:rsidRDefault="004F1EF1">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98.783.</w:t>
            </w:r>
            <w:r w:rsidR="0059409A">
              <w:rPr>
                <w:rFonts w:ascii="CAIXA Std Book" w:hAnsi="CAIXA Std Book" w:cs="Calibri"/>
                <w:b/>
                <w:bCs/>
                <w:color w:val="FFFFFF"/>
                <w:sz w:val="18"/>
                <w:szCs w:val="18"/>
              </w:rPr>
              <w:t>202</w:t>
            </w:r>
          </w:p>
        </w:tc>
        <w:tc>
          <w:tcPr>
            <w:tcW w:w="617" w:type="pct"/>
            <w:shd w:val="clear" w:color="000000" w:fill="005CA9"/>
            <w:noWrap/>
            <w:vAlign w:val="center"/>
            <w:hideMark/>
          </w:tcPr>
          <w:p w14:paraId="7ECC1D68" w14:textId="65312A76" w:rsidR="00826AD9" w:rsidRPr="00C17CC5" w:rsidRDefault="004F1EF1">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169.458.</w:t>
            </w:r>
            <w:r w:rsidR="00CB1D65">
              <w:rPr>
                <w:rFonts w:ascii="CAIXA Std Book" w:hAnsi="CAIXA Std Book" w:cs="Calibri"/>
                <w:b/>
                <w:bCs/>
                <w:color w:val="FFFFFF"/>
                <w:sz w:val="18"/>
                <w:szCs w:val="18"/>
              </w:rPr>
              <w:t>681</w:t>
            </w:r>
          </w:p>
        </w:tc>
        <w:tc>
          <w:tcPr>
            <w:tcW w:w="617" w:type="pct"/>
            <w:shd w:val="clear" w:color="000000" w:fill="005CA9"/>
            <w:noWrap/>
            <w:vAlign w:val="center"/>
            <w:hideMark/>
          </w:tcPr>
          <w:p w14:paraId="77910AC0" w14:textId="5B651A09" w:rsidR="00826AD9" w:rsidRPr="00C17CC5" w:rsidRDefault="004F1EF1" w:rsidP="005035CF">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1.696.</w:t>
            </w:r>
            <w:r w:rsidR="0059409A">
              <w:rPr>
                <w:rFonts w:ascii="CAIXA Std Book" w:hAnsi="CAIXA Std Book" w:cs="Calibri"/>
                <w:b/>
                <w:bCs/>
                <w:color w:val="FFFFFF"/>
                <w:sz w:val="18"/>
                <w:szCs w:val="18"/>
              </w:rPr>
              <w:t>213</w:t>
            </w:r>
          </w:p>
        </w:tc>
        <w:tc>
          <w:tcPr>
            <w:tcW w:w="617" w:type="pct"/>
            <w:shd w:val="clear" w:color="000000" w:fill="005CA9"/>
            <w:noWrap/>
            <w:vAlign w:val="center"/>
            <w:hideMark/>
          </w:tcPr>
          <w:p w14:paraId="12565E37" w14:textId="055FF0A9" w:rsidR="00826AD9" w:rsidRPr="00C17CC5" w:rsidRDefault="004F1EF1">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152.924.939</w:t>
            </w:r>
          </w:p>
        </w:tc>
        <w:tc>
          <w:tcPr>
            <w:tcW w:w="691" w:type="pct"/>
            <w:shd w:val="clear" w:color="000000" w:fill="005CA9"/>
            <w:noWrap/>
            <w:vAlign w:val="center"/>
            <w:hideMark/>
          </w:tcPr>
          <w:p w14:paraId="16691E34" w14:textId="6279A3C3" w:rsidR="00826AD9" w:rsidRPr="00C17CC5" w:rsidRDefault="004F1EF1">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1.410.089.</w:t>
            </w:r>
            <w:r w:rsidR="0059409A">
              <w:rPr>
                <w:rFonts w:ascii="CAIXA Std Book" w:hAnsi="CAIXA Std Book" w:cs="Calibri"/>
                <w:b/>
                <w:bCs/>
                <w:color w:val="FFFFFF"/>
                <w:sz w:val="18"/>
                <w:szCs w:val="18"/>
              </w:rPr>
              <w:t>614</w:t>
            </w:r>
          </w:p>
        </w:tc>
      </w:tr>
      <w:tr w:rsidR="00453462" w:rsidRPr="00C17CC5" w14:paraId="64E40215" w14:textId="77777777" w:rsidTr="00E42F21">
        <w:trPr>
          <w:trHeight w:val="283"/>
        </w:trPr>
        <w:tc>
          <w:tcPr>
            <w:tcW w:w="5000" w:type="pct"/>
            <w:gridSpan w:val="7"/>
            <w:tcBorders>
              <w:bottom w:val="single" w:sz="4" w:space="0" w:color="FFFFFF" w:themeColor="background1"/>
            </w:tcBorders>
            <w:shd w:val="clear" w:color="000000" w:fill="005CA9"/>
            <w:noWrap/>
            <w:vAlign w:val="center"/>
            <w:hideMark/>
          </w:tcPr>
          <w:p w14:paraId="1A73BB45" w14:textId="77777777" w:rsidR="00453462" w:rsidRPr="00C17CC5" w:rsidRDefault="00453462">
            <w:pPr>
              <w:jc w:val="center"/>
              <w:rPr>
                <w:rFonts w:ascii="CAIXA Std Book" w:eastAsia="Times New Roman" w:hAnsi="CAIXA Std Book" w:cs="Calibri"/>
                <w:b/>
                <w:bCs/>
                <w:color w:val="FFFFFF"/>
                <w:sz w:val="18"/>
                <w:szCs w:val="18"/>
              </w:rPr>
            </w:pPr>
            <w:r w:rsidRPr="00826AD9">
              <w:rPr>
                <w:rFonts w:ascii="CAIXA Std Book" w:eastAsia="Times New Roman" w:hAnsi="CAIXA Std Book" w:cs="Calibri"/>
                <w:b/>
                <w:bCs/>
                <w:color w:val="FFFFFF"/>
                <w:sz w:val="18"/>
                <w:szCs w:val="18"/>
              </w:rPr>
              <w:t>Consolidado</w:t>
            </w:r>
          </w:p>
        </w:tc>
      </w:tr>
      <w:tr w:rsidR="00453462" w:rsidRPr="00C17CC5" w14:paraId="13226A6F" w14:textId="77777777" w:rsidTr="00E42F21">
        <w:trPr>
          <w:trHeight w:val="283"/>
        </w:trPr>
        <w:tc>
          <w:tcPr>
            <w:tcW w:w="1224" w:type="pct"/>
            <w:vMerge w:val="restart"/>
            <w:tcBorders>
              <w:top w:val="single" w:sz="4" w:space="0" w:color="FFFFFF" w:themeColor="background1"/>
            </w:tcBorders>
            <w:shd w:val="clear" w:color="000000" w:fill="005CA9"/>
            <w:noWrap/>
            <w:vAlign w:val="center"/>
            <w:hideMark/>
          </w:tcPr>
          <w:p w14:paraId="1A30CC6D" w14:textId="77777777" w:rsidR="00453462" w:rsidRPr="00C17CC5" w:rsidRDefault="00453462">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Descrição</w:t>
            </w:r>
            <w:r w:rsidRPr="00C17CC5">
              <w:rPr>
                <w:rFonts w:ascii="CAIXA Std Book" w:eastAsia="Times New Roman" w:hAnsi="CAIXA Std Book" w:cs="Calibri"/>
                <w:color w:val="FFFFFF"/>
                <w:sz w:val="18"/>
                <w:szCs w:val="18"/>
              </w:rPr>
              <w:t> </w:t>
            </w:r>
          </w:p>
        </w:tc>
        <w:tc>
          <w:tcPr>
            <w:tcW w:w="3776" w:type="pct"/>
            <w:gridSpan w:val="6"/>
            <w:tcBorders>
              <w:top w:val="single" w:sz="4" w:space="0" w:color="FFFFFF" w:themeColor="background1"/>
              <w:bottom w:val="single" w:sz="4" w:space="0" w:color="FFFFFF" w:themeColor="background1"/>
            </w:tcBorders>
            <w:shd w:val="clear" w:color="000000" w:fill="005CA9"/>
            <w:noWrap/>
            <w:vAlign w:val="center"/>
            <w:hideMark/>
          </w:tcPr>
          <w:p w14:paraId="5D1F418B" w14:textId="078ABE1A" w:rsidR="00453462" w:rsidRPr="00C17CC5" w:rsidRDefault="00453462">
            <w:pPr>
              <w:jc w:val="center"/>
              <w:rPr>
                <w:rFonts w:ascii="CAIXA Std Book" w:eastAsia="Times New Roman" w:hAnsi="CAIXA Std Book" w:cs="Calibri"/>
                <w:b/>
                <w:bCs/>
                <w:color w:val="FFFFFF"/>
                <w:sz w:val="18"/>
                <w:szCs w:val="18"/>
              </w:rPr>
            </w:pPr>
            <w:r>
              <w:rPr>
                <w:rFonts w:ascii="CAIXA Std Book" w:eastAsia="Times New Roman" w:hAnsi="CAIXA Std Book" w:cs="Calibri"/>
                <w:b/>
                <w:color w:val="FFFFFF"/>
                <w:sz w:val="18"/>
                <w:szCs w:val="18"/>
              </w:rPr>
              <w:t>31/</w:t>
            </w:r>
            <w:r w:rsidR="00235777">
              <w:rPr>
                <w:rFonts w:ascii="CAIXA Std Book" w:eastAsia="Times New Roman" w:hAnsi="CAIXA Std Book" w:cs="Calibri"/>
                <w:b/>
                <w:color w:val="FFFFFF"/>
                <w:sz w:val="18"/>
                <w:szCs w:val="18"/>
              </w:rPr>
              <w:t>12</w:t>
            </w:r>
            <w:r w:rsidR="00D60229">
              <w:rPr>
                <w:rFonts w:ascii="CAIXA Std Book" w:eastAsia="Times New Roman" w:hAnsi="CAIXA Std Book" w:cs="Calibri"/>
                <w:b/>
                <w:color w:val="FFFFFF"/>
                <w:sz w:val="18"/>
                <w:szCs w:val="18"/>
              </w:rPr>
              <w:t>/2025</w:t>
            </w:r>
          </w:p>
        </w:tc>
      </w:tr>
      <w:tr w:rsidR="00453462" w:rsidRPr="00C17CC5" w14:paraId="748A45E7" w14:textId="77777777" w:rsidTr="00E42F21">
        <w:trPr>
          <w:trHeight w:val="283"/>
        </w:trPr>
        <w:tc>
          <w:tcPr>
            <w:tcW w:w="1224" w:type="pct"/>
            <w:vMerge/>
            <w:tcBorders>
              <w:top w:val="single" w:sz="4" w:space="0" w:color="FFFFFF" w:themeColor="background1"/>
            </w:tcBorders>
            <w:vAlign w:val="center"/>
            <w:hideMark/>
          </w:tcPr>
          <w:p w14:paraId="2A59DE3F" w14:textId="77777777" w:rsidR="00453462" w:rsidRPr="00C17CC5" w:rsidRDefault="00453462">
            <w:pPr>
              <w:rPr>
                <w:rFonts w:ascii="CAIXA Std Book" w:eastAsia="Times New Roman" w:hAnsi="CAIXA Std Book" w:cs="Calibri"/>
                <w:b/>
                <w:bCs/>
                <w:color w:val="FFFFFF"/>
                <w:sz w:val="18"/>
                <w:szCs w:val="18"/>
              </w:rPr>
            </w:pPr>
          </w:p>
        </w:tc>
        <w:tc>
          <w:tcPr>
            <w:tcW w:w="617" w:type="pct"/>
            <w:tcBorders>
              <w:top w:val="single" w:sz="4" w:space="0" w:color="FFFFFF" w:themeColor="background1"/>
            </w:tcBorders>
            <w:shd w:val="clear" w:color="000000" w:fill="005CA9"/>
            <w:noWrap/>
            <w:vAlign w:val="center"/>
            <w:hideMark/>
          </w:tcPr>
          <w:p w14:paraId="54AFDA06" w14:textId="77777777" w:rsidR="00453462" w:rsidRPr="00C17CC5" w:rsidRDefault="00453462">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Carteira C 1</w:t>
            </w:r>
            <w:r w:rsidRPr="00C17CC5">
              <w:rPr>
                <w:rFonts w:ascii="CAIXA Std Book" w:eastAsia="Times New Roman" w:hAnsi="CAIXA Std Book" w:cs="Calibri"/>
                <w:color w:val="FFFFFF"/>
                <w:sz w:val="18"/>
                <w:szCs w:val="18"/>
              </w:rPr>
              <w:t> </w:t>
            </w:r>
          </w:p>
        </w:tc>
        <w:tc>
          <w:tcPr>
            <w:tcW w:w="617" w:type="pct"/>
            <w:tcBorders>
              <w:top w:val="single" w:sz="4" w:space="0" w:color="FFFFFF" w:themeColor="background1"/>
            </w:tcBorders>
            <w:shd w:val="clear" w:color="000000" w:fill="005CA9"/>
            <w:noWrap/>
            <w:vAlign w:val="center"/>
            <w:hideMark/>
          </w:tcPr>
          <w:p w14:paraId="794BE86D" w14:textId="77777777" w:rsidR="00453462" w:rsidRPr="00C17CC5" w:rsidRDefault="00453462">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Carteira C 2</w:t>
            </w:r>
            <w:r w:rsidRPr="00C17CC5">
              <w:rPr>
                <w:rFonts w:ascii="CAIXA Std Book" w:eastAsia="Times New Roman" w:hAnsi="CAIXA Std Book" w:cs="Calibri"/>
                <w:color w:val="FFFFFF"/>
                <w:sz w:val="18"/>
                <w:szCs w:val="18"/>
              </w:rPr>
              <w:t> </w:t>
            </w:r>
          </w:p>
        </w:tc>
        <w:tc>
          <w:tcPr>
            <w:tcW w:w="617" w:type="pct"/>
            <w:tcBorders>
              <w:top w:val="single" w:sz="4" w:space="0" w:color="FFFFFF" w:themeColor="background1"/>
            </w:tcBorders>
            <w:shd w:val="clear" w:color="000000" w:fill="005CA9"/>
            <w:noWrap/>
            <w:vAlign w:val="center"/>
            <w:hideMark/>
          </w:tcPr>
          <w:p w14:paraId="70208C0A" w14:textId="77777777" w:rsidR="00453462" w:rsidRPr="00C17CC5" w:rsidRDefault="00453462">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Carteira C 3</w:t>
            </w:r>
            <w:r w:rsidRPr="00C17CC5">
              <w:rPr>
                <w:rFonts w:ascii="CAIXA Std Book" w:eastAsia="Times New Roman" w:hAnsi="CAIXA Std Book" w:cs="Calibri"/>
                <w:color w:val="FFFFFF"/>
                <w:sz w:val="18"/>
                <w:szCs w:val="18"/>
              </w:rPr>
              <w:t> </w:t>
            </w:r>
          </w:p>
        </w:tc>
        <w:tc>
          <w:tcPr>
            <w:tcW w:w="617" w:type="pct"/>
            <w:tcBorders>
              <w:top w:val="single" w:sz="4" w:space="0" w:color="FFFFFF" w:themeColor="background1"/>
            </w:tcBorders>
            <w:shd w:val="clear" w:color="000000" w:fill="005CA9"/>
            <w:noWrap/>
            <w:vAlign w:val="center"/>
            <w:hideMark/>
          </w:tcPr>
          <w:p w14:paraId="2BA951F2" w14:textId="77777777" w:rsidR="00453462" w:rsidRPr="00C17CC5" w:rsidRDefault="00453462">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Carteira C 4</w:t>
            </w:r>
            <w:r w:rsidRPr="00C17CC5">
              <w:rPr>
                <w:rFonts w:ascii="CAIXA Std Book" w:eastAsia="Times New Roman" w:hAnsi="CAIXA Std Book" w:cs="Calibri"/>
                <w:color w:val="FFFFFF"/>
                <w:sz w:val="18"/>
                <w:szCs w:val="18"/>
              </w:rPr>
              <w:t> </w:t>
            </w:r>
          </w:p>
        </w:tc>
        <w:tc>
          <w:tcPr>
            <w:tcW w:w="617" w:type="pct"/>
            <w:tcBorders>
              <w:top w:val="single" w:sz="4" w:space="0" w:color="FFFFFF" w:themeColor="background1"/>
            </w:tcBorders>
            <w:shd w:val="clear" w:color="000000" w:fill="005CA9"/>
            <w:noWrap/>
            <w:vAlign w:val="center"/>
            <w:hideMark/>
          </w:tcPr>
          <w:p w14:paraId="19B98390" w14:textId="77777777" w:rsidR="00453462" w:rsidRPr="00C17CC5" w:rsidRDefault="00453462">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Carteira C 5</w:t>
            </w:r>
            <w:r w:rsidRPr="00C17CC5">
              <w:rPr>
                <w:rFonts w:ascii="CAIXA Std Book" w:eastAsia="Times New Roman" w:hAnsi="CAIXA Std Book" w:cs="Calibri"/>
                <w:color w:val="FFFFFF"/>
                <w:sz w:val="18"/>
                <w:szCs w:val="18"/>
              </w:rPr>
              <w:t> </w:t>
            </w:r>
          </w:p>
        </w:tc>
        <w:tc>
          <w:tcPr>
            <w:tcW w:w="691" w:type="pct"/>
            <w:tcBorders>
              <w:top w:val="single" w:sz="4" w:space="0" w:color="FFFFFF" w:themeColor="background1"/>
            </w:tcBorders>
            <w:shd w:val="clear" w:color="000000" w:fill="005CA9"/>
            <w:noWrap/>
            <w:vAlign w:val="center"/>
            <w:hideMark/>
          </w:tcPr>
          <w:p w14:paraId="7CF8EC32" w14:textId="77777777" w:rsidR="00453462" w:rsidRPr="00C17CC5" w:rsidRDefault="00453462">
            <w:pPr>
              <w:jc w:val="cente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Total</w:t>
            </w:r>
          </w:p>
        </w:tc>
      </w:tr>
      <w:tr w:rsidR="009B6F17" w:rsidRPr="00C17CC5" w14:paraId="3D53B677" w14:textId="77777777" w:rsidTr="00E42F21">
        <w:trPr>
          <w:trHeight w:val="283"/>
        </w:trPr>
        <w:tc>
          <w:tcPr>
            <w:tcW w:w="1224" w:type="pct"/>
            <w:shd w:val="clear" w:color="000000" w:fill="D0E0E3"/>
            <w:vAlign w:val="center"/>
            <w:hideMark/>
          </w:tcPr>
          <w:p w14:paraId="77A8A5FA" w14:textId="77777777" w:rsidR="009B6F17" w:rsidRPr="00C17CC5" w:rsidRDefault="009B6F17" w:rsidP="009B6F17">
            <w:pPr>
              <w:rPr>
                <w:rFonts w:ascii="CAIXA Std Book" w:eastAsia="Times New Roman" w:hAnsi="CAIXA Std Book" w:cs="Calibri"/>
                <w:b/>
                <w:bCs/>
                <w:color w:val="005CA9"/>
                <w:sz w:val="18"/>
                <w:szCs w:val="18"/>
              </w:rPr>
            </w:pPr>
            <w:r w:rsidRPr="00C17CC5">
              <w:rPr>
                <w:rFonts w:ascii="CAIXA Std Book" w:eastAsia="Times New Roman" w:hAnsi="CAIXA Std Book" w:cs="Calibri"/>
                <w:b/>
                <w:bCs/>
                <w:color w:val="005CA9"/>
                <w:sz w:val="18"/>
                <w:szCs w:val="18"/>
              </w:rPr>
              <w:t>Não problemáticos</w:t>
            </w:r>
          </w:p>
        </w:tc>
        <w:tc>
          <w:tcPr>
            <w:tcW w:w="617" w:type="pct"/>
            <w:shd w:val="clear" w:color="000000" w:fill="D0E0E3"/>
            <w:vAlign w:val="center"/>
            <w:hideMark/>
          </w:tcPr>
          <w:p w14:paraId="1BF459CA" w14:textId="37F08F2A" w:rsidR="009B6F17" w:rsidRPr="00C17CC5" w:rsidRDefault="00755BAF" w:rsidP="009B6F17">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913.830.227</w:t>
            </w:r>
          </w:p>
        </w:tc>
        <w:tc>
          <w:tcPr>
            <w:tcW w:w="617" w:type="pct"/>
            <w:shd w:val="clear" w:color="000000" w:fill="D0E0E3"/>
            <w:vAlign w:val="center"/>
            <w:hideMark/>
          </w:tcPr>
          <w:p w14:paraId="08255881" w14:textId="22B1151A" w:rsidR="009B6F17" w:rsidRPr="00C17CC5" w:rsidRDefault="00755BAF" w:rsidP="009B6F17">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81.708.975</w:t>
            </w:r>
          </w:p>
        </w:tc>
        <w:tc>
          <w:tcPr>
            <w:tcW w:w="617" w:type="pct"/>
            <w:shd w:val="clear" w:color="000000" w:fill="D0E0E3"/>
            <w:vAlign w:val="center"/>
            <w:hideMark/>
          </w:tcPr>
          <w:p w14:paraId="1BC0F03B" w14:textId="7E834DEC" w:rsidR="009B6F17" w:rsidRPr="00C17CC5" w:rsidRDefault="00755BAF" w:rsidP="009B6F17">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155.806.790</w:t>
            </w:r>
          </w:p>
        </w:tc>
        <w:tc>
          <w:tcPr>
            <w:tcW w:w="617" w:type="pct"/>
            <w:shd w:val="clear" w:color="000000" w:fill="D0E0E3"/>
            <w:vAlign w:val="center"/>
            <w:hideMark/>
          </w:tcPr>
          <w:p w14:paraId="53CCD715" w14:textId="0E5161E1" w:rsidR="009B6F17" w:rsidRPr="00D63EFE" w:rsidRDefault="00755BAF" w:rsidP="009B6F17">
            <w:pPr>
              <w:jc w:val="right"/>
              <w:rPr>
                <w:rFonts w:ascii="CAIXA Std Book" w:eastAsia="Times New Roman" w:hAnsi="CAIXA Std Book" w:cs="Calibri"/>
                <w:b/>
                <w:color w:val="005CA9"/>
                <w:sz w:val="18"/>
                <w:szCs w:val="18"/>
              </w:rPr>
            </w:pPr>
            <w:r>
              <w:rPr>
                <w:rFonts w:ascii="CAIXA Std Book" w:hAnsi="CAIXA Std Book" w:cs="Calibri"/>
                <w:b/>
                <w:bCs/>
                <w:color w:val="005CA9"/>
                <w:sz w:val="18"/>
                <w:szCs w:val="18"/>
              </w:rPr>
              <w:t>1.174.242</w:t>
            </w:r>
          </w:p>
        </w:tc>
        <w:tc>
          <w:tcPr>
            <w:tcW w:w="617" w:type="pct"/>
            <w:shd w:val="clear" w:color="000000" w:fill="D0E0E3"/>
            <w:vAlign w:val="center"/>
            <w:hideMark/>
          </w:tcPr>
          <w:p w14:paraId="74641DB0" w14:textId="6324B40D" w:rsidR="009B6F17" w:rsidRPr="00C17CC5" w:rsidRDefault="00755BAF" w:rsidP="009B6F17">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135.859.148</w:t>
            </w:r>
          </w:p>
        </w:tc>
        <w:tc>
          <w:tcPr>
            <w:tcW w:w="691" w:type="pct"/>
            <w:shd w:val="clear" w:color="000000" w:fill="D0E0E3"/>
            <w:vAlign w:val="center"/>
            <w:hideMark/>
          </w:tcPr>
          <w:p w14:paraId="3FD3D9B4" w14:textId="121C4339" w:rsidR="009B6F17" w:rsidRPr="00C17CC5" w:rsidRDefault="00755BAF" w:rsidP="009B6F17">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1.288.379.382</w:t>
            </w:r>
          </w:p>
        </w:tc>
      </w:tr>
      <w:tr w:rsidR="009B6F17" w:rsidRPr="00C17CC5" w14:paraId="4C0EE71E" w14:textId="77777777" w:rsidTr="00E42F21">
        <w:trPr>
          <w:trHeight w:val="283"/>
        </w:trPr>
        <w:tc>
          <w:tcPr>
            <w:tcW w:w="1224" w:type="pct"/>
            <w:vAlign w:val="center"/>
            <w:hideMark/>
          </w:tcPr>
          <w:p w14:paraId="4F8BD888" w14:textId="77777777" w:rsidR="009B6F17" w:rsidRPr="00C17CC5" w:rsidRDefault="009B6F17" w:rsidP="009B6F17">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01 a 30 dias </w:t>
            </w:r>
          </w:p>
        </w:tc>
        <w:tc>
          <w:tcPr>
            <w:tcW w:w="617" w:type="pct"/>
            <w:noWrap/>
            <w:vAlign w:val="center"/>
            <w:hideMark/>
          </w:tcPr>
          <w:p w14:paraId="42FEC96D" w14:textId="614B95C8"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859.216.348</w:t>
            </w:r>
          </w:p>
        </w:tc>
        <w:tc>
          <w:tcPr>
            <w:tcW w:w="617" w:type="pct"/>
            <w:noWrap/>
            <w:vAlign w:val="center"/>
            <w:hideMark/>
          </w:tcPr>
          <w:p w14:paraId="43822347" w14:textId="2BBDFCB7"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80.133.359</w:t>
            </w:r>
          </w:p>
        </w:tc>
        <w:tc>
          <w:tcPr>
            <w:tcW w:w="617" w:type="pct"/>
            <w:noWrap/>
            <w:vAlign w:val="center"/>
            <w:hideMark/>
          </w:tcPr>
          <w:p w14:paraId="72903BF9" w14:textId="3294B0E7"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154.302.549</w:t>
            </w:r>
          </w:p>
        </w:tc>
        <w:tc>
          <w:tcPr>
            <w:tcW w:w="617" w:type="pct"/>
            <w:vAlign w:val="center"/>
            <w:hideMark/>
          </w:tcPr>
          <w:p w14:paraId="2259AFDA" w14:textId="0D535F25" w:rsidR="009B6F17" w:rsidRPr="00516B6F" w:rsidRDefault="00755BAF" w:rsidP="009B6F17">
            <w:pPr>
              <w:jc w:val="right"/>
              <w:rPr>
                <w:rFonts w:ascii="CAIXA Std Book" w:hAnsi="CAIXA Std Book" w:cs="Calibri"/>
                <w:color w:val="005CA9"/>
                <w:sz w:val="18"/>
                <w:szCs w:val="18"/>
              </w:rPr>
            </w:pPr>
            <w:r>
              <w:rPr>
                <w:rFonts w:ascii="CAIXA Std Book" w:hAnsi="CAIXA Std Book" w:cs="Calibri"/>
                <w:color w:val="005CA9"/>
                <w:sz w:val="18"/>
                <w:szCs w:val="18"/>
              </w:rPr>
              <w:t>1.151.017</w:t>
            </w:r>
          </w:p>
        </w:tc>
        <w:tc>
          <w:tcPr>
            <w:tcW w:w="617" w:type="pct"/>
            <w:noWrap/>
            <w:vAlign w:val="center"/>
            <w:hideMark/>
          </w:tcPr>
          <w:p w14:paraId="65BC035A" w14:textId="5275BE05" w:rsidR="009B6F17" w:rsidRPr="00516B6F" w:rsidRDefault="00755BAF" w:rsidP="009B6F17">
            <w:pPr>
              <w:jc w:val="right"/>
              <w:rPr>
                <w:rFonts w:ascii="CAIXA Std Book" w:hAnsi="CAIXA Std Book" w:cs="Calibri"/>
                <w:color w:val="005CA9"/>
                <w:sz w:val="18"/>
                <w:szCs w:val="18"/>
              </w:rPr>
            </w:pPr>
            <w:r w:rsidRPr="00FA5F23">
              <w:rPr>
                <w:rFonts w:ascii="CAIXA Std Book" w:hAnsi="CAIXA Std Book" w:cs="Calibri"/>
                <w:color w:val="005CA9"/>
                <w:sz w:val="18"/>
                <w:szCs w:val="18"/>
              </w:rPr>
              <w:t>133.550.827</w:t>
            </w:r>
          </w:p>
        </w:tc>
        <w:tc>
          <w:tcPr>
            <w:tcW w:w="691" w:type="pct"/>
            <w:noWrap/>
            <w:vAlign w:val="center"/>
            <w:hideMark/>
          </w:tcPr>
          <w:p w14:paraId="78D986A2" w14:textId="0A07ACC6" w:rsidR="009B6F17" w:rsidRPr="00516B6F" w:rsidRDefault="00755BAF" w:rsidP="009B6F17">
            <w:pPr>
              <w:jc w:val="right"/>
              <w:rPr>
                <w:rFonts w:ascii="CAIXA Std Book" w:hAnsi="CAIXA Std Book" w:cs="Calibri"/>
                <w:color w:val="005CA9"/>
                <w:sz w:val="18"/>
                <w:szCs w:val="18"/>
              </w:rPr>
            </w:pPr>
            <w:r>
              <w:rPr>
                <w:rFonts w:ascii="CAIXA Std Book" w:hAnsi="CAIXA Std Book" w:cs="Calibri"/>
                <w:color w:val="005CA9"/>
                <w:sz w:val="18"/>
                <w:szCs w:val="18"/>
              </w:rPr>
              <w:t>1.228.354.100</w:t>
            </w:r>
          </w:p>
        </w:tc>
      </w:tr>
      <w:tr w:rsidR="009B6F17" w:rsidRPr="00C17CC5" w14:paraId="5DA568C1" w14:textId="77777777" w:rsidTr="00E42F21">
        <w:trPr>
          <w:trHeight w:val="283"/>
        </w:trPr>
        <w:tc>
          <w:tcPr>
            <w:tcW w:w="1224" w:type="pct"/>
            <w:vAlign w:val="center"/>
            <w:hideMark/>
          </w:tcPr>
          <w:p w14:paraId="72C543E2" w14:textId="77777777" w:rsidR="009B6F17" w:rsidRPr="00C17CC5" w:rsidRDefault="009B6F17" w:rsidP="009B6F17">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31 a 60 dias </w:t>
            </w:r>
          </w:p>
        </w:tc>
        <w:tc>
          <w:tcPr>
            <w:tcW w:w="617" w:type="pct"/>
            <w:noWrap/>
            <w:vAlign w:val="center"/>
            <w:hideMark/>
          </w:tcPr>
          <w:p w14:paraId="14CA3B14" w14:textId="637BCB12"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43.895.744</w:t>
            </w:r>
          </w:p>
        </w:tc>
        <w:tc>
          <w:tcPr>
            <w:tcW w:w="617" w:type="pct"/>
            <w:noWrap/>
            <w:vAlign w:val="center"/>
            <w:hideMark/>
          </w:tcPr>
          <w:p w14:paraId="2D49190D" w14:textId="1F2A52A6"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973.593</w:t>
            </w:r>
          </w:p>
        </w:tc>
        <w:tc>
          <w:tcPr>
            <w:tcW w:w="617" w:type="pct"/>
            <w:noWrap/>
            <w:vAlign w:val="center"/>
            <w:hideMark/>
          </w:tcPr>
          <w:p w14:paraId="6852D6B2" w14:textId="35B16D5E"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1.117.842</w:t>
            </w:r>
          </w:p>
        </w:tc>
        <w:tc>
          <w:tcPr>
            <w:tcW w:w="617" w:type="pct"/>
            <w:vAlign w:val="center"/>
            <w:hideMark/>
          </w:tcPr>
          <w:p w14:paraId="4D0355BC" w14:textId="72BD786D"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7.116</w:t>
            </w:r>
          </w:p>
        </w:tc>
        <w:tc>
          <w:tcPr>
            <w:tcW w:w="617" w:type="pct"/>
            <w:noWrap/>
            <w:vAlign w:val="center"/>
            <w:hideMark/>
          </w:tcPr>
          <w:p w14:paraId="13FCFCCB" w14:textId="69C1E029"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1.632.065</w:t>
            </w:r>
          </w:p>
        </w:tc>
        <w:tc>
          <w:tcPr>
            <w:tcW w:w="691" w:type="pct"/>
            <w:noWrap/>
            <w:vAlign w:val="center"/>
            <w:hideMark/>
          </w:tcPr>
          <w:p w14:paraId="6B7AB602" w14:textId="4DC17AC2"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47.626.360</w:t>
            </w:r>
          </w:p>
        </w:tc>
      </w:tr>
      <w:tr w:rsidR="009B6F17" w:rsidRPr="00C17CC5" w14:paraId="3E46DD21" w14:textId="77777777" w:rsidTr="00E42F21">
        <w:trPr>
          <w:trHeight w:val="283"/>
        </w:trPr>
        <w:tc>
          <w:tcPr>
            <w:tcW w:w="1224" w:type="pct"/>
            <w:vAlign w:val="center"/>
            <w:hideMark/>
          </w:tcPr>
          <w:p w14:paraId="2DB0A209" w14:textId="77777777" w:rsidR="009B6F17" w:rsidRPr="00C17CC5" w:rsidRDefault="009B6F17" w:rsidP="009B6F17">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61 a 90 dias </w:t>
            </w:r>
          </w:p>
        </w:tc>
        <w:tc>
          <w:tcPr>
            <w:tcW w:w="617" w:type="pct"/>
            <w:noWrap/>
            <w:vAlign w:val="center"/>
            <w:hideMark/>
          </w:tcPr>
          <w:p w14:paraId="6C44F8A7" w14:textId="128F339B"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10.718.135</w:t>
            </w:r>
          </w:p>
        </w:tc>
        <w:tc>
          <w:tcPr>
            <w:tcW w:w="617" w:type="pct"/>
            <w:noWrap/>
            <w:vAlign w:val="center"/>
            <w:hideMark/>
          </w:tcPr>
          <w:p w14:paraId="2D040027" w14:textId="1ABB6D98"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602.023</w:t>
            </w:r>
          </w:p>
        </w:tc>
        <w:tc>
          <w:tcPr>
            <w:tcW w:w="617" w:type="pct"/>
            <w:noWrap/>
            <w:vAlign w:val="center"/>
            <w:hideMark/>
          </w:tcPr>
          <w:p w14:paraId="0D8697C9" w14:textId="2368211C"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386.399</w:t>
            </w:r>
          </w:p>
        </w:tc>
        <w:tc>
          <w:tcPr>
            <w:tcW w:w="617" w:type="pct"/>
            <w:vAlign w:val="center"/>
            <w:hideMark/>
          </w:tcPr>
          <w:p w14:paraId="7F79B5A9" w14:textId="6CCAEE2F"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16.109</w:t>
            </w:r>
          </w:p>
        </w:tc>
        <w:tc>
          <w:tcPr>
            <w:tcW w:w="617" w:type="pct"/>
            <w:noWrap/>
            <w:vAlign w:val="center"/>
            <w:hideMark/>
          </w:tcPr>
          <w:p w14:paraId="7B3B04B5" w14:textId="40207810"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676.256</w:t>
            </w:r>
          </w:p>
        </w:tc>
        <w:tc>
          <w:tcPr>
            <w:tcW w:w="691" w:type="pct"/>
            <w:noWrap/>
            <w:vAlign w:val="center"/>
            <w:hideMark/>
          </w:tcPr>
          <w:p w14:paraId="22309EBF" w14:textId="38AAC25F"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12.398.922</w:t>
            </w:r>
          </w:p>
        </w:tc>
      </w:tr>
      <w:tr w:rsidR="009B6F17" w:rsidRPr="00C17CC5" w14:paraId="5BF6F58F" w14:textId="77777777" w:rsidTr="00E42F21">
        <w:trPr>
          <w:trHeight w:val="283"/>
        </w:trPr>
        <w:tc>
          <w:tcPr>
            <w:tcW w:w="1224" w:type="pct"/>
            <w:shd w:val="clear" w:color="000000" w:fill="D0E0E3"/>
            <w:vAlign w:val="center"/>
            <w:hideMark/>
          </w:tcPr>
          <w:p w14:paraId="3F9E095D" w14:textId="77777777" w:rsidR="009B6F17" w:rsidRPr="00C17CC5" w:rsidRDefault="009B6F17" w:rsidP="009B6F17">
            <w:pPr>
              <w:rPr>
                <w:rFonts w:ascii="CAIXA Std Book" w:eastAsia="Times New Roman" w:hAnsi="CAIXA Std Book" w:cs="Calibri"/>
                <w:b/>
                <w:bCs/>
                <w:color w:val="005CA9"/>
                <w:sz w:val="18"/>
                <w:szCs w:val="18"/>
              </w:rPr>
            </w:pPr>
            <w:r w:rsidRPr="00C17CC5">
              <w:rPr>
                <w:rFonts w:ascii="CAIXA Std Book" w:eastAsia="Times New Roman" w:hAnsi="CAIXA Std Book" w:cs="Calibri"/>
                <w:b/>
                <w:bCs/>
                <w:color w:val="005CA9"/>
                <w:sz w:val="18"/>
                <w:szCs w:val="18"/>
              </w:rPr>
              <w:t>Problemáticos adimplidos</w:t>
            </w:r>
            <w:r w:rsidRPr="00D63EFE">
              <w:rPr>
                <w:rFonts w:ascii="CAIXA Std Book" w:eastAsia="Times New Roman" w:hAnsi="CAIXA Std Book" w:cs="Calibri"/>
                <w:b/>
                <w:color w:val="005CA9"/>
                <w:sz w:val="18"/>
                <w:szCs w:val="18"/>
              </w:rPr>
              <w:t> </w:t>
            </w:r>
          </w:p>
        </w:tc>
        <w:tc>
          <w:tcPr>
            <w:tcW w:w="617" w:type="pct"/>
            <w:shd w:val="clear" w:color="000000" w:fill="D0E0E3"/>
            <w:vAlign w:val="center"/>
            <w:hideMark/>
          </w:tcPr>
          <w:p w14:paraId="2CDA0E7A" w14:textId="09EF9812" w:rsidR="009B6F17" w:rsidRPr="00C17CC5" w:rsidRDefault="00755BAF" w:rsidP="009B6F17">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30.422.686</w:t>
            </w:r>
          </w:p>
        </w:tc>
        <w:tc>
          <w:tcPr>
            <w:tcW w:w="617" w:type="pct"/>
            <w:shd w:val="clear" w:color="000000" w:fill="D0E0E3"/>
            <w:vAlign w:val="center"/>
            <w:hideMark/>
          </w:tcPr>
          <w:p w14:paraId="446A220E" w14:textId="47A9B10C" w:rsidR="009B6F17" w:rsidRPr="00C17CC5" w:rsidRDefault="00755BAF" w:rsidP="009B6F17">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10.357.449</w:t>
            </w:r>
          </w:p>
        </w:tc>
        <w:tc>
          <w:tcPr>
            <w:tcW w:w="617" w:type="pct"/>
            <w:shd w:val="clear" w:color="000000" w:fill="D0E0E3"/>
            <w:vAlign w:val="center"/>
            <w:hideMark/>
          </w:tcPr>
          <w:p w14:paraId="36A954B8" w14:textId="53F9F046" w:rsidR="009B6F17" w:rsidRPr="00C17CC5" w:rsidRDefault="00755BAF" w:rsidP="009B6F17">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4.262.952</w:t>
            </w:r>
          </w:p>
        </w:tc>
        <w:tc>
          <w:tcPr>
            <w:tcW w:w="617" w:type="pct"/>
            <w:shd w:val="clear" w:color="000000" w:fill="D0E0E3"/>
            <w:vAlign w:val="center"/>
            <w:hideMark/>
          </w:tcPr>
          <w:p w14:paraId="1923E453" w14:textId="3683A23E" w:rsidR="009B6F17" w:rsidRPr="00D63EFE" w:rsidRDefault="00755BAF" w:rsidP="009B6F17">
            <w:pPr>
              <w:jc w:val="right"/>
              <w:rPr>
                <w:rFonts w:ascii="CAIXA Std Book" w:eastAsia="Times New Roman" w:hAnsi="CAIXA Std Book" w:cs="Calibri"/>
                <w:b/>
                <w:color w:val="005CA9"/>
                <w:sz w:val="18"/>
                <w:szCs w:val="18"/>
              </w:rPr>
            </w:pPr>
            <w:r>
              <w:rPr>
                <w:rFonts w:ascii="CAIXA Std Book" w:hAnsi="CAIXA Std Book" w:cs="Calibri"/>
                <w:b/>
                <w:bCs/>
                <w:color w:val="005CA9"/>
                <w:sz w:val="18"/>
                <w:szCs w:val="18"/>
              </w:rPr>
              <w:t>305.476</w:t>
            </w:r>
          </w:p>
        </w:tc>
        <w:tc>
          <w:tcPr>
            <w:tcW w:w="617" w:type="pct"/>
            <w:shd w:val="clear" w:color="000000" w:fill="D0E0E3"/>
            <w:vAlign w:val="center"/>
            <w:hideMark/>
          </w:tcPr>
          <w:p w14:paraId="10FAF097" w14:textId="72F4052E" w:rsidR="009B6F17" w:rsidRPr="00C17CC5" w:rsidRDefault="00755BAF" w:rsidP="009B6F17">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1.957.709</w:t>
            </w:r>
          </w:p>
        </w:tc>
        <w:tc>
          <w:tcPr>
            <w:tcW w:w="691" w:type="pct"/>
            <w:shd w:val="clear" w:color="000000" w:fill="D0E0E3"/>
            <w:vAlign w:val="center"/>
            <w:hideMark/>
          </w:tcPr>
          <w:p w14:paraId="05EC7952" w14:textId="16779BB1" w:rsidR="009B6F17" w:rsidRPr="00C17CC5" w:rsidRDefault="00755BAF" w:rsidP="009B6F17">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47.306.272</w:t>
            </w:r>
          </w:p>
        </w:tc>
      </w:tr>
      <w:tr w:rsidR="009B6F17" w:rsidRPr="00C17CC5" w14:paraId="37F0BA64" w14:textId="77777777" w:rsidTr="00E42F21">
        <w:trPr>
          <w:trHeight w:val="283"/>
        </w:trPr>
        <w:tc>
          <w:tcPr>
            <w:tcW w:w="1224" w:type="pct"/>
            <w:vAlign w:val="center"/>
            <w:hideMark/>
          </w:tcPr>
          <w:p w14:paraId="2C3766B0" w14:textId="77777777" w:rsidR="009B6F17" w:rsidRPr="00C17CC5" w:rsidRDefault="009B6F17" w:rsidP="009B6F17">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01 a 90 dias </w:t>
            </w:r>
          </w:p>
        </w:tc>
        <w:tc>
          <w:tcPr>
            <w:tcW w:w="617" w:type="pct"/>
            <w:noWrap/>
            <w:vAlign w:val="center"/>
            <w:hideMark/>
          </w:tcPr>
          <w:p w14:paraId="646B2B74" w14:textId="059C9106"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30.422.686</w:t>
            </w:r>
          </w:p>
        </w:tc>
        <w:tc>
          <w:tcPr>
            <w:tcW w:w="617" w:type="pct"/>
            <w:noWrap/>
            <w:vAlign w:val="center"/>
            <w:hideMark/>
          </w:tcPr>
          <w:p w14:paraId="7E6EDFD9" w14:textId="62743DBD"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10.357.449</w:t>
            </w:r>
          </w:p>
        </w:tc>
        <w:tc>
          <w:tcPr>
            <w:tcW w:w="617" w:type="pct"/>
            <w:noWrap/>
            <w:vAlign w:val="center"/>
            <w:hideMark/>
          </w:tcPr>
          <w:p w14:paraId="7E8E7872" w14:textId="20715C18"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4.262.952</w:t>
            </w:r>
          </w:p>
        </w:tc>
        <w:tc>
          <w:tcPr>
            <w:tcW w:w="617" w:type="pct"/>
            <w:vAlign w:val="center"/>
            <w:hideMark/>
          </w:tcPr>
          <w:p w14:paraId="3AAFADEB" w14:textId="37E6D5CB"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305.476</w:t>
            </w:r>
          </w:p>
        </w:tc>
        <w:tc>
          <w:tcPr>
            <w:tcW w:w="617" w:type="pct"/>
            <w:noWrap/>
            <w:vAlign w:val="center"/>
            <w:hideMark/>
          </w:tcPr>
          <w:p w14:paraId="00AFD7A2" w14:textId="2DA494C1"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1.957.709</w:t>
            </w:r>
          </w:p>
        </w:tc>
        <w:tc>
          <w:tcPr>
            <w:tcW w:w="691" w:type="pct"/>
            <w:noWrap/>
            <w:vAlign w:val="center"/>
            <w:hideMark/>
          </w:tcPr>
          <w:p w14:paraId="74F00B5C" w14:textId="1DEB78F2"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47.306.272</w:t>
            </w:r>
          </w:p>
        </w:tc>
      </w:tr>
      <w:tr w:rsidR="009B6F17" w:rsidRPr="00C17CC5" w14:paraId="498BEE10" w14:textId="77777777" w:rsidTr="00E42F21">
        <w:trPr>
          <w:trHeight w:val="283"/>
        </w:trPr>
        <w:tc>
          <w:tcPr>
            <w:tcW w:w="1224" w:type="pct"/>
            <w:shd w:val="clear" w:color="000000" w:fill="D0E0E3"/>
            <w:vAlign w:val="center"/>
            <w:hideMark/>
          </w:tcPr>
          <w:p w14:paraId="292B57FC" w14:textId="77777777" w:rsidR="009B6F17" w:rsidRPr="00C17CC5" w:rsidRDefault="009B6F17" w:rsidP="009B6F17">
            <w:pPr>
              <w:rPr>
                <w:rFonts w:ascii="CAIXA Std Book" w:eastAsia="Times New Roman" w:hAnsi="CAIXA Std Book" w:cs="Calibri"/>
                <w:b/>
                <w:bCs/>
                <w:color w:val="005CA9"/>
                <w:sz w:val="18"/>
                <w:szCs w:val="18"/>
              </w:rPr>
            </w:pPr>
            <w:r w:rsidRPr="00C17CC5">
              <w:rPr>
                <w:rFonts w:ascii="CAIXA Std Book" w:eastAsia="Times New Roman" w:hAnsi="CAIXA Std Book" w:cs="Calibri"/>
                <w:b/>
                <w:bCs/>
                <w:color w:val="005CA9"/>
                <w:sz w:val="18"/>
                <w:szCs w:val="18"/>
              </w:rPr>
              <w:t>Problemáticos inadimplidos</w:t>
            </w:r>
            <w:r w:rsidRPr="00D63EFE">
              <w:rPr>
                <w:rFonts w:ascii="CAIXA Std Book" w:eastAsia="Times New Roman" w:hAnsi="CAIXA Std Book" w:cs="Calibri"/>
                <w:b/>
                <w:color w:val="005CA9"/>
                <w:sz w:val="18"/>
                <w:szCs w:val="18"/>
              </w:rPr>
              <w:t> </w:t>
            </w:r>
          </w:p>
        </w:tc>
        <w:tc>
          <w:tcPr>
            <w:tcW w:w="617" w:type="pct"/>
            <w:shd w:val="clear" w:color="000000" w:fill="D0E0E3"/>
            <w:vAlign w:val="center"/>
            <w:hideMark/>
          </w:tcPr>
          <w:p w14:paraId="7EDB2739" w14:textId="6D8BA4AB" w:rsidR="009B6F17" w:rsidRPr="00C17CC5" w:rsidRDefault="00755BAF" w:rsidP="009B6F17">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11.531.127</w:t>
            </w:r>
          </w:p>
        </w:tc>
        <w:tc>
          <w:tcPr>
            <w:tcW w:w="617" w:type="pct"/>
            <w:shd w:val="clear" w:color="000000" w:fill="D0E0E3"/>
            <w:vAlign w:val="center"/>
            <w:hideMark/>
          </w:tcPr>
          <w:p w14:paraId="387CBD41" w14:textId="21391C46" w:rsidR="009B6F17" w:rsidRPr="00C17CC5" w:rsidRDefault="00755BAF" w:rsidP="009B6F17">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12.128.319</w:t>
            </w:r>
          </w:p>
        </w:tc>
        <w:tc>
          <w:tcPr>
            <w:tcW w:w="617" w:type="pct"/>
            <w:shd w:val="clear" w:color="000000" w:fill="D0E0E3"/>
            <w:vAlign w:val="center"/>
            <w:hideMark/>
          </w:tcPr>
          <w:p w14:paraId="247530B8" w14:textId="26FE6F7D" w:rsidR="009B6F17" w:rsidRPr="00C17CC5" w:rsidRDefault="00755BAF" w:rsidP="009B6F17">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7.895.847</w:t>
            </w:r>
          </w:p>
        </w:tc>
        <w:tc>
          <w:tcPr>
            <w:tcW w:w="617" w:type="pct"/>
            <w:shd w:val="clear" w:color="000000" w:fill="D0E0E3"/>
            <w:vAlign w:val="center"/>
            <w:hideMark/>
          </w:tcPr>
          <w:p w14:paraId="3EDACEF9" w14:textId="0A07E1E2" w:rsidR="009B6F17" w:rsidRPr="00AD22B2" w:rsidRDefault="00755BAF" w:rsidP="009B6F17">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310.973</w:t>
            </w:r>
          </w:p>
        </w:tc>
        <w:tc>
          <w:tcPr>
            <w:tcW w:w="617" w:type="pct"/>
            <w:shd w:val="clear" w:color="000000" w:fill="D0E0E3"/>
            <w:vAlign w:val="center"/>
            <w:hideMark/>
          </w:tcPr>
          <w:p w14:paraId="6B42EEE9" w14:textId="6B715BEA" w:rsidR="009B6F17" w:rsidRPr="00C17CC5" w:rsidRDefault="00755BAF" w:rsidP="009B6F17">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10.341.333</w:t>
            </w:r>
          </w:p>
        </w:tc>
        <w:tc>
          <w:tcPr>
            <w:tcW w:w="691" w:type="pct"/>
            <w:shd w:val="clear" w:color="000000" w:fill="D0E0E3"/>
            <w:vAlign w:val="center"/>
            <w:hideMark/>
          </w:tcPr>
          <w:p w14:paraId="01D4534A" w14:textId="76DFFE6A" w:rsidR="009B6F17" w:rsidRPr="00C17CC5" w:rsidRDefault="00755BAF" w:rsidP="009B6F17">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42.207.599</w:t>
            </w:r>
          </w:p>
        </w:tc>
      </w:tr>
      <w:tr w:rsidR="009B6F17" w:rsidRPr="00C17CC5" w14:paraId="399A1F99" w14:textId="77777777" w:rsidTr="00E42F21">
        <w:trPr>
          <w:trHeight w:val="283"/>
        </w:trPr>
        <w:tc>
          <w:tcPr>
            <w:tcW w:w="1224" w:type="pct"/>
            <w:vAlign w:val="center"/>
            <w:hideMark/>
          </w:tcPr>
          <w:p w14:paraId="1838ADCA" w14:textId="77777777" w:rsidR="009B6F17" w:rsidRPr="00C17CC5" w:rsidRDefault="009B6F17" w:rsidP="009B6F17">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91 a 180 dias </w:t>
            </w:r>
          </w:p>
        </w:tc>
        <w:tc>
          <w:tcPr>
            <w:tcW w:w="617" w:type="pct"/>
            <w:noWrap/>
            <w:vAlign w:val="center"/>
            <w:hideMark/>
          </w:tcPr>
          <w:p w14:paraId="516FDDEC" w14:textId="0A30239E"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7.959.894</w:t>
            </w:r>
          </w:p>
        </w:tc>
        <w:tc>
          <w:tcPr>
            <w:tcW w:w="617" w:type="pct"/>
            <w:noWrap/>
            <w:vAlign w:val="center"/>
            <w:hideMark/>
          </w:tcPr>
          <w:p w14:paraId="4BA181C6" w14:textId="73D328A8"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5.756.446</w:t>
            </w:r>
          </w:p>
        </w:tc>
        <w:tc>
          <w:tcPr>
            <w:tcW w:w="617" w:type="pct"/>
            <w:noWrap/>
            <w:vAlign w:val="center"/>
            <w:hideMark/>
          </w:tcPr>
          <w:p w14:paraId="0DFC5702" w14:textId="06CBA115"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3.704.735</w:t>
            </w:r>
          </w:p>
        </w:tc>
        <w:tc>
          <w:tcPr>
            <w:tcW w:w="617" w:type="pct"/>
            <w:vAlign w:val="center"/>
            <w:hideMark/>
          </w:tcPr>
          <w:p w14:paraId="24A2A58B" w14:textId="4CEF5368"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195.254</w:t>
            </w:r>
          </w:p>
        </w:tc>
        <w:tc>
          <w:tcPr>
            <w:tcW w:w="617" w:type="pct"/>
            <w:noWrap/>
            <w:vAlign w:val="center"/>
            <w:hideMark/>
          </w:tcPr>
          <w:p w14:paraId="0EB599B8" w14:textId="145FA024"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4.567.730</w:t>
            </w:r>
          </w:p>
        </w:tc>
        <w:tc>
          <w:tcPr>
            <w:tcW w:w="691" w:type="pct"/>
            <w:noWrap/>
            <w:vAlign w:val="center"/>
            <w:hideMark/>
          </w:tcPr>
          <w:p w14:paraId="67D6E19D" w14:textId="338F3303"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22.184.059</w:t>
            </w:r>
          </w:p>
        </w:tc>
      </w:tr>
      <w:tr w:rsidR="009B6F17" w:rsidRPr="00C17CC5" w14:paraId="52AB9D8A" w14:textId="77777777" w:rsidTr="00E42F21">
        <w:trPr>
          <w:trHeight w:val="283"/>
        </w:trPr>
        <w:tc>
          <w:tcPr>
            <w:tcW w:w="1224" w:type="pct"/>
            <w:vAlign w:val="center"/>
            <w:hideMark/>
          </w:tcPr>
          <w:p w14:paraId="68BB0912" w14:textId="77777777" w:rsidR="009B6F17" w:rsidRPr="00C17CC5" w:rsidRDefault="009B6F17" w:rsidP="009B6F17">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181 a 360 dias </w:t>
            </w:r>
          </w:p>
        </w:tc>
        <w:tc>
          <w:tcPr>
            <w:tcW w:w="617" w:type="pct"/>
            <w:noWrap/>
            <w:vAlign w:val="center"/>
            <w:hideMark/>
          </w:tcPr>
          <w:p w14:paraId="6A57E53B" w14:textId="17A4BAD5"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2.130.074</w:t>
            </w:r>
          </w:p>
        </w:tc>
        <w:tc>
          <w:tcPr>
            <w:tcW w:w="617" w:type="pct"/>
            <w:noWrap/>
            <w:vAlign w:val="center"/>
            <w:hideMark/>
          </w:tcPr>
          <w:p w14:paraId="490205A3" w14:textId="25A02E75"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3.482.807</w:t>
            </w:r>
          </w:p>
        </w:tc>
        <w:tc>
          <w:tcPr>
            <w:tcW w:w="617" w:type="pct"/>
            <w:noWrap/>
            <w:vAlign w:val="center"/>
            <w:hideMark/>
          </w:tcPr>
          <w:p w14:paraId="6D9F2C0F" w14:textId="0D23175F"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2.826.898</w:t>
            </w:r>
          </w:p>
        </w:tc>
        <w:tc>
          <w:tcPr>
            <w:tcW w:w="617" w:type="pct"/>
            <w:vAlign w:val="center"/>
            <w:hideMark/>
          </w:tcPr>
          <w:p w14:paraId="0E6A203B" w14:textId="16445B53"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32.620</w:t>
            </w:r>
          </w:p>
        </w:tc>
        <w:tc>
          <w:tcPr>
            <w:tcW w:w="617" w:type="pct"/>
            <w:noWrap/>
            <w:vAlign w:val="center"/>
            <w:hideMark/>
          </w:tcPr>
          <w:p w14:paraId="186336C0" w14:textId="57704163"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3.725.128</w:t>
            </w:r>
          </w:p>
        </w:tc>
        <w:tc>
          <w:tcPr>
            <w:tcW w:w="691" w:type="pct"/>
            <w:noWrap/>
            <w:vAlign w:val="center"/>
            <w:hideMark/>
          </w:tcPr>
          <w:p w14:paraId="313829E2" w14:textId="088962B0"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12.197.527</w:t>
            </w:r>
          </w:p>
        </w:tc>
      </w:tr>
      <w:tr w:rsidR="009B6F17" w:rsidRPr="00C17CC5" w14:paraId="3A13FE60" w14:textId="77777777" w:rsidTr="00E42F21">
        <w:trPr>
          <w:trHeight w:val="283"/>
        </w:trPr>
        <w:tc>
          <w:tcPr>
            <w:tcW w:w="1224" w:type="pct"/>
            <w:vAlign w:val="center"/>
            <w:hideMark/>
          </w:tcPr>
          <w:p w14:paraId="1CC79A31" w14:textId="77777777" w:rsidR="009B6F17" w:rsidRPr="00C17CC5" w:rsidRDefault="009B6F17" w:rsidP="009B6F17">
            <w:pPr>
              <w:rPr>
                <w:rFonts w:ascii="CAIXA Std Book" w:eastAsia="Times New Roman" w:hAnsi="CAIXA Std Book" w:cs="Calibri"/>
                <w:color w:val="005CA9"/>
                <w:sz w:val="18"/>
                <w:szCs w:val="18"/>
              </w:rPr>
            </w:pPr>
            <w:r w:rsidRPr="00C17CC5">
              <w:rPr>
                <w:rFonts w:ascii="CAIXA Std Book" w:eastAsia="Times New Roman" w:hAnsi="CAIXA Std Book" w:cs="Calibri"/>
                <w:color w:val="005CA9"/>
                <w:sz w:val="18"/>
                <w:szCs w:val="18"/>
              </w:rPr>
              <w:t>Acima de 360 dias</w:t>
            </w:r>
          </w:p>
        </w:tc>
        <w:tc>
          <w:tcPr>
            <w:tcW w:w="617" w:type="pct"/>
            <w:noWrap/>
            <w:vAlign w:val="center"/>
            <w:hideMark/>
          </w:tcPr>
          <w:p w14:paraId="30730239" w14:textId="199BA6BF"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1.441.159</w:t>
            </w:r>
          </w:p>
        </w:tc>
        <w:tc>
          <w:tcPr>
            <w:tcW w:w="617" w:type="pct"/>
            <w:noWrap/>
            <w:vAlign w:val="center"/>
            <w:hideMark/>
          </w:tcPr>
          <w:p w14:paraId="472915EE" w14:textId="0358B8B2"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2.889.066</w:t>
            </w:r>
          </w:p>
        </w:tc>
        <w:tc>
          <w:tcPr>
            <w:tcW w:w="617" w:type="pct"/>
            <w:noWrap/>
            <w:vAlign w:val="center"/>
            <w:hideMark/>
          </w:tcPr>
          <w:p w14:paraId="0E3B2168" w14:textId="7DB226D4"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1.364.214</w:t>
            </w:r>
          </w:p>
        </w:tc>
        <w:tc>
          <w:tcPr>
            <w:tcW w:w="617" w:type="pct"/>
            <w:vAlign w:val="center"/>
            <w:hideMark/>
          </w:tcPr>
          <w:p w14:paraId="0D7D535F" w14:textId="36888CA0" w:rsidR="009B6F17" w:rsidRPr="00C17CC5" w:rsidRDefault="00755BAF" w:rsidP="009B6F1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83.099</w:t>
            </w:r>
          </w:p>
        </w:tc>
        <w:tc>
          <w:tcPr>
            <w:tcW w:w="617" w:type="pct"/>
            <w:noWrap/>
            <w:vAlign w:val="center"/>
            <w:hideMark/>
          </w:tcPr>
          <w:p w14:paraId="1BF42D05" w14:textId="2F87A879" w:rsidR="009B6F17" w:rsidRPr="00516B6F" w:rsidRDefault="00755BAF" w:rsidP="009B6F17">
            <w:pPr>
              <w:jc w:val="right"/>
              <w:rPr>
                <w:rFonts w:ascii="CAIXA Std Book" w:hAnsi="CAIXA Std Book" w:cs="Calibri"/>
                <w:color w:val="005CA9"/>
                <w:sz w:val="18"/>
                <w:szCs w:val="18"/>
              </w:rPr>
            </w:pPr>
            <w:r>
              <w:rPr>
                <w:rFonts w:ascii="CAIXA Std Book" w:hAnsi="CAIXA Std Book" w:cs="Calibri"/>
                <w:color w:val="005CA9"/>
                <w:sz w:val="18"/>
                <w:szCs w:val="18"/>
              </w:rPr>
              <w:t>2.048.475</w:t>
            </w:r>
          </w:p>
        </w:tc>
        <w:tc>
          <w:tcPr>
            <w:tcW w:w="691" w:type="pct"/>
            <w:noWrap/>
            <w:vAlign w:val="center"/>
            <w:hideMark/>
          </w:tcPr>
          <w:p w14:paraId="016FD390" w14:textId="0256F557" w:rsidR="009B6F17" w:rsidRPr="00516B6F" w:rsidRDefault="00755BAF" w:rsidP="009B6F17">
            <w:pPr>
              <w:jc w:val="right"/>
              <w:rPr>
                <w:rFonts w:ascii="CAIXA Std Book" w:hAnsi="CAIXA Std Book" w:cs="Calibri"/>
                <w:color w:val="005CA9"/>
                <w:sz w:val="18"/>
                <w:szCs w:val="18"/>
              </w:rPr>
            </w:pPr>
            <w:r>
              <w:rPr>
                <w:rFonts w:ascii="CAIXA Std Book" w:hAnsi="CAIXA Std Book" w:cs="Calibri"/>
                <w:color w:val="005CA9"/>
                <w:sz w:val="18"/>
                <w:szCs w:val="18"/>
              </w:rPr>
              <w:t>7.826.013</w:t>
            </w:r>
          </w:p>
        </w:tc>
      </w:tr>
      <w:tr w:rsidR="009B6F17" w:rsidRPr="00C17CC5" w14:paraId="1B29EF0C" w14:textId="77777777" w:rsidTr="00E42F21">
        <w:trPr>
          <w:trHeight w:val="283"/>
        </w:trPr>
        <w:tc>
          <w:tcPr>
            <w:tcW w:w="1224" w:type="pct"/>
            <w:shd w:val="clear" w:color="000000" w:fill="005CA9"/>
            <w:noWrap/>
            <w:vAlign w:val="center"/>
            <w:hideMark/>
          </w:tcPr>
          <w:p w14:paraId="2C127228" w14:textId="77777777" w:rsidR="009B6F17" w:rsidRPr="00C17CC5" w:rsidRDefault="009B6F17" w:rsidP="009B6F17">
            <w:pPr>
              <w:rPr>
                <w:rFonts w:ascii="CAIXA Std Book" w:eastAsia="Times New Roman" w:hAnsi="CAIXA Std Book" w:cs="Calibri"/>
                <w:b/>
                <w:bCs/>
                <w:color w:val="FFFFFF"/>
                <w:sz w:val="18"/>
                <w:szCs w:val="18"/>
              </w:rPr>
            </w:pPr>
            <w:r w:rsidRPr="00C17CC5">
              <w:rPr>
                <w:rFonts w:ascii="CAIXA Std Book" w:eastAsia="Times New Roman" w:hAnsi="CAIXA Std Book" w:cs="Calibri"/>
                <w:b/>
                <w:bCs/>
                <w:color w:val="FFFFFF"/>
                <w:sz w:val="18"/>
                <w:szCs w:val="18"/>
              </w:rPr>
              <w:t>Total</w:t>
            </w:r>
            <w:r w:rsidRPr="00D63EFE">
              <w:rPr>
                <w:rFonts w:ascii="CAIXA Std Book" w:eastAsia="Times New Roman" w:hAnsi="CAIXA Std Book" w:cs="Calibri"/>
                <w:b/>
                <w:color w:val="FFFFFF"/>
                <w:sz w:val="18"/>
                <w:szCs w:val="18"/>
              </w:rPr>
              <w:t> </w:t>
            </w:r>
          </w:p>
        </w:tc>
        <w:tc>
          <w:tcPr>
            <w:tcW w:w="617" w:type="pct"/>
            <w:shd w:val="clear" w:color="000000" w:fill="005CA9"/>
            <w:noWrap/>
            <w:vAlign w:val="center"/>
            <w:hideMark/>
          </w:tcPr>
          <w:p w14:paraId="5AB24032" w14:textId="5D0EB3BD" w:rsidR="009B6F17" w:rsidRPr="00C17CC5" w:rsidRDefault="00755BAF" w:rsidP="009B6F17">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955.784.040</w:t>
            </w:r>
          </w:p>
        </w:tc>
        <w:tc>
          <w:tcPr>
            <w:tcW w:w="617" w:type="pct"/>
            <w:shd w:val="clear" w:color="000000" w:fill="005CA9"/>
            <w:noWrap/>
            <w:vAlign w:val="center"/>
            <w:hideMark/>
          </w:tcPr>
          <w:p w14:paraId="0355ABF0" w14:textId="18124F27" w:rsidR="009B6F17" w:rsidRPr="00C17CC5" w:rsidRDefault="00755BAF" w:rsidP="009B6F17">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104.194.743</w:t>
            </w:r>
          </w:p>
        </w:tc>
        <w:tc>
          <w:tcPr>
            <w:tcW w:w="617" w:type="pct"/>
            <w:shd w:val="clear" w:color="000000" w:fill="005CA9"/>
            <w:noWrap/>
            <w:vAlign w:val="center"/>
            <w:hideMark/>
          </w:tcPr>
          <w:p w14:paraId="08B1CDA3" w14:textId="11734E75" w:rsidR="009B6F17" w:rsidRPr="00C17CC5" w:rsidRDefault="00755BAF" w:rsidP="009B6F17">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167.965.589</w:t>
            </w:r>
          </w:p>
        </w:tc>
        <w:tc>
          <w:tcPr>
            <w:tcW w:w="617" w:type="pct"/>
            <w:shd w:val="clear" w:color="000000" w:fill="005CA9"/>
            <w:noWrap/>
            <w:vAlign w:val="center"/>
            <w:hideMark/>
          </w:tcPr>
          <w:p w14:paraId="282AA994" w14:textId="0F959654" w:rsidR="009B6F17" w:rsidRPr="00C17CC5" w:rsidRDefault="00755BAF" w:rsidP="009B6F17">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1.790.691</w:t>
            </w:r>
          </w:p>
        </w:tc>
        <w:tc>
          <w:tcPr>
            <w:tcW w:w="617" w:type="pct"/>
            <w:shd w:val="clear" w:color="000000" w:fill="005CA9"/>
            <w:noWrap/>
            <w:vAlign w:val="center"/>
            <w:hideMark/>
          </w:tcPr>
          <w:p w14:paraId="07B8518F" w14:textId="78B4D45A" w:rsidR="009B6F17" w:rsidRPr="00C17CC5" w:rsidRDefault="00755BAF" w:rsidP="009B6F17">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148.158.190</w:t>
            </w:r>
          </w:p>
        </w:tc>
        <w:tc>
          <w:tcPr>
            <w:tcW w:w="691" w:type="pct"/>
            <w:shd w:val="clear" w:color="000000" w:fill="005CA9"/>
            <w:noWrap/>
            <w:vAlign w:val="center"/>
            <w:hideMark/>
          </w:tcPr>
          <w:p w14:paraId="451D96AB" w14:textId="4C43779B" w:rsidR="009B6F17" w:rsidRPr="00C17CC5" w:rsidRDefault="00755BAF" w:rsidP="009B6F17">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1.377.893.253</w:t>
            </w:r>
          </w:p>
        </w:tc>
      </w:tr>
    </w:tbl>
    <w:p w14:paraId="728D3BB7" w14:textId="77777777" w:rsidR="00453462" w:rsidRDefault="00453462">
      <w:pPr>
        <w:rPr>
          <w:rFonts w:ascii="CAIXA Std Book" w:hAnsi="CAIXA Std Book"/>
          <w:b/>
          <w:color w:val="005CA9"/>
          <w:sz w:val="20"/>
          <w:szCs w:val="20"/>
        </w:rPr>
      </w:pPr>
    </w:p>
    <w:p w14:paraId="20B0BEED" w14:textId="3D06710F" w:rsidR="00F50292" w:rsidRPr="003053CD" w:rsidRDefault="00EE7DBB" w:rsidP="00D55BFD">
      <w:pPr>
        <w:jc w:val="both"/>
        <w:rPr>
          <w:rFonts w:ascii="CAIXA Std Book" w:eastAsia="Times New Roman" w:hAnsi="CAIXA Std Book" w:cs="Arial"/>
          <w:color w:val="005CA9"/>
          <w:sz w:val="20"/>
          <w:szCs w:val="20"/>
        </w:rPr>
      </w:pPr>
      <w:r w:rsidRPr="003053CD">
        <w:rPr>
          <w:rFonts w:ascii="CAIXA Std Book" w:eastAsia="Times New Roman" w:hAnsi="CAIXA Std Book" w:cs="Arial"/>
          <w:color w:val="005CA9"/>
          <w:sz w:val="20"/>
          <w:szCs w:val="20"/>
        </w:rPr>
        <w:t>O artigo 81</w:t>
      </w:r>
      <w:r w:rsidR="00014C32" w:rsidRPr="003053CD">
        <w:rPr>
          <w:rFonts w:ascii="CAIXA Std Book" w:eastAsia="Times New Roman" w:hAnsi="CAIXA Std Book" w:cs="Arial"/>
          <w:color w:val="005CA9"/>
          <w:sz w:val="20"/>
          <w:szCs w:val="20"/>
        </w:rPr>
        <w:t xml:space="preserve"> </w:t>
      </w:r>
      <w:r w:rsidRPr="003053CD">
        <w:rPr>
          <w:rFonts w:ascii="CAIXA Std Book" w:eastAsia="Times New Roman" w:hAnsi="CAIXA Std Book" w:cs="Arial"/>
          <w:color w:val="005CA9"/>
          <w:sz w:val="20"/>
          <w:szCs w:val="20"/>
        </w:rPr>
        <w:t xml:space="preserve">da </w:t>
      </w:r>
      <w:r w:rsidR="00501D0B" w:rsidRPr="003053CD">
        <w:rPr>
          <w:rFonts w:ascii="CAIXA Std Book" w:eastAsia="Times New Roman" w:hAnsi="CAIXA Std Book" w:cs="Arial"/>
          <w:color w:val="005CA9"/>
          <w:sz w:val="20"/>
          <w:szCs w:val="20"/>
        </w:rPr>
        <w:t xml:space="preserve">Resolução BCB </w:t>
      </w:r>
      <w:r w:rsidR="00F50292" w:rsidRPr="003053CD">
        <w:rPr>
          <w:rFonts w:ascii="CAIXA Std Book" w:eastAsia="Times New Roman" w:hAnsi="CAIXA Std Book" w:cs="Arial"/>
          <w:color w:val="005CA9"/>
          <w:sz w:val="20"/>
          <w:szCs w:val="20"/>
        </w:rPr>
        <w:t>nº 352/</w:t>
      </w:r>
      <w:r w:rsidR="000E3719" w:rsidRPr="003053CD">
        <w:rPr>
          <w:rFonts w:ascii="CAIXA Std Book" w:eastAsia="Times New Roman" w:hAnsi="CAIXA Std Book" w:cs="Arial"/>
          <w:color w:val="005CA9"/>
          <w:sz w:val="20"/>
          <w:szCs w:val="20"/>
        </w:rPr>
        <w:t>20</w:t>
      </w:r>
      <w:r w:rsidR="00F50292" w:rsidRPr="003053CD">
        <w:rPr>
          <w:rFonts w:ascii="CAIXA Std Book" w:eastAsia="Times New Roman" w:hAnsi="CAIXA Std Book" w:cs="Arial"/>
          <w:color w:val="005CA9"/>
          <w:sz w:val="20"/>
          <w:szCs w:val="20"/>
        </w:rPr>
        <w:t>23</w:t>
      </w:r>
      <w:r w:rsidRPr="003053CD">
        <w:rPr>
          <w:rFonts w:ascii="CAIXA Std Book" w:eastAsia="Times New Roman" w:hAnsi="CAIXA Std Book" w:cs="Arial"/>
          <w:color w:val="005CA9"/>
          <w:sz w:val="20"/>
          <w:szCs w:val="20"/>
        </w:rPr>
        <w:t xml:space="preserve"> determina que, para calcular as provisões de perdas esperadas por risco de crédito, as instituições financeiras devem classificar seus ativos financeiros em cinco carteiras, conforme o tipo de garantia ou a ausência dela</w:t>
      </w:r>
      <w:r w:rsidR="00354F8D" w:rsidRPr="003053CD">
        <w:rPr>
          <w:rFonts w:ascii="CAIXA Std Book" w:eastAsia="Times New Roman" w:hAnsi="CAIXA Std Book" w:cs="Arial"/>
          <w:color w:val="005CA9"/>
          <w:sz w:val="20"/>
          <w:szCs w:val="20"/>
        </w:rPr>
        <w:t>:</w:t>
      </w:r>
    </w:p>
    <w:p w14:paraId="053EA2E7" w14:textId="694BE132" w:rsidR="007965A2" w:rsidRPr="003053CD" w:rsidRDefault="00EE7DBB" w:rsidP="00295657">
      <w:pPr>
        <w:pStyle w:val="PargrafodaLista"/>
        <w:numPr>
          <w:ilvl w:val="0"/>
          <w:numId w:val="34"/>
        </w:numPr>
        <w:spacing w:before="120" w:after="120"/>
        <w:ind w:left="357" w:hanging="357"/>
        <w:contextualSpacing w:val="0"/>
        <w:jc w:val="both"/>
        <w:rPr>
          <w:rFonts w:ascii="CAIXA Std Book" w:eastAsia="Times New Roman" w:hAnsi="CAIXA Std Book" w:cs="Arial"/>
          <w:color w:val="005CA9"/>
          <w:sz w:val="20"/>
          <w:szCs w:val="20"/>
        </w:rPr>
      </w:pPr>
      <w:r w:rsidRPr="003053CD">
        <w:rPr>
          <w:rFonts w:ascii="CAIXA Std Book" w:eastAsia="Times New Roman" w:hAnsi="CAIXA Std Book" w:cs="Arial"/>
          <w:b/>
          <w:color w:val="005CA9"/>
          <w:sz w:val="20"/>
          <w:szCs w:val="20"/>
        </w:rPr>
        <w:t>Carteira 1</w:t>
      </w:r>
      <w:r w:rsidR="007965A2" w:rsidRPr="003053CD">
        <w:rPr>
          <w:rFonts w:ascii="CAIXA Std Book" w:eastAsia="Times New Roman" w:hAnsi="CAIXA Std Book" w:cs="Arial"/>
          <w:color w:val="005CA9"/>
          <w:sz w:val="20"/>
          <w:szCs w:val="20"/>
        </w:rPr>
        <w:t>:</w:t>
      </w:r>
      <w:r w:rsidRPr="003053CD">
        <w:rPr>
          <w:rFonts w:ascii="CAIXA Std Book" w:eastAsia="Times New Roman" w:hAnsi="CAIXA Std Book" w:cs="Arial"/>
          <w:color w:val="005CA9"/>
          <w:sz w:val="20"/>
          <w:szCs w:val="20"/>
        </w:rPr>
        <w:t xml:space="preserve"> </w:t>
      </w:r>
      <w:r w:rsidR="00DC563D" w:rsidRPr="003053CD">
        <w:rPr>
          <w:rFonts w:ascii="CAIXA Std Book" w:eastAsia="Times New Roman" w:hAnsi="CAIXA Std Book" w:cs="Arial"/>
          <w:color w:val="005CA9"/>
          <w:sz w:val="20"/>
          <w:szCs w:val="20"/>
        </w:rPr>
        <w:t>C</w:t>
      </w:r>
      <w:r w:rsidRPr="003053CD">
        <w:rPr>
          <w:rFonts w:ascii="CAIXA Std Book" w:eastAsia="Times New Roman" w:hAnsi="CAIXA Std Book" w:cs="Arial"/>
          <w:color w:val="005CA9"/>
          <w:sz w:val="20"/>
          <w:szCs w:val="20"/>
        </w:rPr>
        <w:t xml:space="preserve">réditos com garantias sólidas, como imóveis em alienação fiduciária ou garantias da União e de organismos internacionais. </w:t>
      </w:r>
    </w:p>
    <w:p w14:paraId="253B2B2D" w14:textId="6EF242F2" w:rsidR="007965A2" w:rsidRPr="003053CD" w:rsidRDefault="00EE7DBB" w:rsidP="00295657">
      <w:pPr>
        <w:pStyle w:val="PargrafodaLista"/>
        <w:numPr>
          <w:ilvl w:val="0"/>
          <w:numId w:val="34"/>
        </w:numPr>
        <w:spacing w:before="120" w:after="120"/>
        <w:ind w:left="357" w:hanging="357"/>
        <w:contextualSpacing w:val="0"/>
        <w:jc w:val="both"/>
        <w:rPr>
          <w:rFonts w:ascii="CAIXA Std Book" w:eastAsia="Times New Roman" w:hAnsi="CAIXA Std Book" w:cs="Arial"/>
          <w:color w:val="005CA9"/>
          <w:sz w:val="20"/>
          <w:szCs w:val="20"/>
        </w:rPr>
      </w:pPr>
      <w:r w:rsidRPr="003053CD">
        <w:rPr>
          <w:rFonts w:ascii="CAIXA Std Book" w:eastAsia="Times New Roman" w:hAnsi="CAIXA Std Book" w:cs="Arial"/>
          <w:b/>
          <w:color w:val="005CA9"/>
          <w:sz w:val="20"/>
          <w:szCs w:val="20"/>
        </w:rPr>
        <w:t>Carteira 2</w:t>
      </w:r>
      <w:r w:rsidR="007965A2" w:rsidRPr="003053CD">
        <w:rPr>
          <w:rFonts w:ascii="CAIXA Std Book" w:eastAsia="Times New Roman" w:hAnsi="CAIXA Std Book" w:cs="Arial"/>
          <w:color w:val="005CA9"/>
          <w:sz w:val="20"/>
          <w:szCs w:val="20"/>
        </w:rPr>
        <w:t>:</w:t>
      </w:r>
      <w:r w:rsidRPr="003053CD">
        <w:rPr>
          <w:rFonts w:ascii="CAIXA Std Book" w:eastAsia="Times New Roman" w:hAnsi="CAIXA Std Book" w:cs="Arial"/>
          <w:color w:val="005CA9"/>
          <w:sz w:val="20"/>
          <w:szCs w:val="20"/>
        </w:rPr>
        <w:t xml:space="preserve"> </w:t>
      </w:r>
      <w:r w:rsidR="00DC563D" w:rsidRPr="003053CD">
        <w:rPr>
          <w:rFonts w:ascii="CAIXA Std Book" w:eastAsia="Times New Roman" w:hAnsi="CAIXA Std Book" w:cs="Arial"/>
          <w:color w:val="005CA9"/>
          <w:sz w:val="20"/>
          <w:szCs w:val="20"/>
        </w:rPr>
        <w:t>C</w:t>
      </w:r>
      <w:r w:rsidRPr="003053CD">
        <w:rPr>
          <w:rFonts w:ascii="CAIXA Std Book" w:eastAsia="Times New Roman" w:hAnsi="CAIXA Std Book" w:cs="Arial"/>
          <w:color w:val="005CA9"/>
          <w:sz w:val="20"/>
          <w:szCs w:val="20"/>
        </w:rPr>
        <w:t xml:space="preserve">réditos com garantias como </w:t>
      </w:r>
      <w:r w:rsidR="00371BC3" w:rsidRPr="003053CD">
        <w:rPr>
          <w:rFonts w:ascii="CAIXA Std Book" w:eastAsia="Times New Roman" w:hAnsi="CAIXA Std Book" w:cs="Arial"/>
          <w:color w:val="005CA9"/>
          <w:sz w:val="20"/>
          <w:szCs w:val="20"/>
        </w:rPr>
        <w:t>arrendamento mercantil</w:t>
      </w:r>
      <w:r w:rsidRPr="003053CD">
        <w:rPr>
          <w:rFonts w:ascii="CAIXA Std Book" w:eastAsia="Times New Roman" w:hAnsi="CAIXA Std Book" w:cs="Arial"/>
          <w:color w:val="005CA9"/>
          <w:sz w:val="20"/>
          <w:szCs w:val="20"/>
        </w:rPr>
        <w:t>, hipotecas de primeiro grau, penhor, alienação fiduciária de bens móveis, depósitos bancários, garantias de instituições autorizadas pelo Banco Central e seguros de crédito de entidades não relacionadas.</w:t>
      </w:r>
    </w:p>
    <w:p w14:paraId="534B7D85" w14:textId="0071FD10" w:rsidR="00730935" w:rsidRPr="003053CD" w:rsidRDefault="00EE7DBB" w:rsidP="00295657">
      <w:pPr>
        <w:pStyle w:val="PargrafodaLista"/>
        <w:numPr>
          <w:ilvl w:val="0"/>
          <w:numId w:val="34"/>
        </w:numPr>
        <w:spacing w:before="120" w:after="120"/>
        <w:ind w:left="357" w:hanging="357"/>
        <w:contextualSpacing w:val="0"/>
        <w:jc w:val="both"/>
        <w:rPr>
          <w:rFonts w:ascii="CAIXA Std Book" w:eastAsia="Times New Roman" w:hAnsi="CAIXA Std Book" w:cs="Arial"/>
          <w:color w:val="005CA9"/>
          <w:sz w:val="20"/>
          <w:szCs w:val="20"/>
        </w:rPr>
      </w:pPr>
      <w:r w:rsidRPr="003053CD">
        <w:rPr>
          <w:rFonts w:ascii="CAIXA Std Book" w:eastAsia="Times New Roman" w:hAnsi="CAIXA Std Book" w:cs="Arial"/>
          <w:b/>
          <w:color w:val="005CA9"/>
          <w:sz w:val="20"/>
          <w:szCs w:val="20"/>
        </w:rPr>
        <w:t>Carteira 3</w:t>
      </w:r>
      <w:r w:rsidR="007965A2" w:rsidRPr="003053CD">
        <w:rPr>
          <w:rFonts w:ascii="CAIXA Std Book" w:eastAsia="Times New Roman" w:hAnsi="CAIXA Std Book" w:cs="Arial"/>
          <w:color w:val="005CA9"/>
          <w:sz w:val="20"/>
          <w:szCs w:val="20"/>
        </w:rPr>
        <w:t>:</w:t>
      </w:r>
      <w:r w:rsidRPr="003053CD">
        <w:rPr>
          <w:rFonts w:ascii="CAIXA Std Book" w:eastAsia="Times New Roman" w:hAnsi="CAIXA Std Book" w:cs="Arial"/>
          <w:color w:val="005CA9"/>
          <w:sz w:val="20"/>
          <w:szCs w:val="20"/>
        </w:rPr>
        <w:t xml:space="preserve"> </w:t>
      </w:r>
      <w:r w:rsidR="00DC563D" w:rsidRPr="003053CD">
        <w:rPr>
          <w:rFonts w:ascii="CAIXA Std Book" w:eastAsia="Times New Roman" w:hAnsi="CAIXA Std Book" w:cs="Arial"/>
          <w:color w:val="005CA9"/>
          <w:sz w:val="20"/>
          <w:szCs w:val="20"/>
        </w:rPr>
        <w:t>C</w:t>
      </w:r>
      <w:r w:rsidRPr="003053CD">
        <w:rPr>
          <w:rFonts w:ascii="CAIXA Std Book" w:eastAsia="Times New Roman" w:hAnsi="CAIXA Std Book" w:cs="Arial"/>
          <w:color w:val="005CA9"/>
          <w:sz w:val="20"/>
          <w:szCs w:val="20"/>
        </w:rPr>
        <w:t>réditos ligados a recebíveis, como operações de desconto ou garantias por cessão fiduciária, caução ou penhor de direitos creditórios, além de outras garantias não previstas nas carteiras anteriores.</w:t>
      </w:r>
    </w:p>
    <w:p w14:paraId="365315B4" w14:textId="45438A04" w:rsidR="00730935" w:rsidRPr="003053CD" w:rsidRDefault="00EE7DBB" w:rsidP="00295657">
      <w:pPr>
        <w:pStyle w:val="PargrafodaLista"/>
        <w:numPr>
          <w:ilvl w:val="0"/>
          <w:numId w:val="34"/>
        </w:numPr>
        <w:spacing w:before="120" w:after="120"/>
        <w:ind w:left="357" w:hanging="357"/>
        <w:contextualSpacing w:val="0"/>
        <w:jc w:val="both"/>
        <w:rPr>
          <w:rFonts w:ascii="CAIXA Std Book" w:eastAsia="Times New Roman" w:hAnsi="CAIXA Std Book" w:cs="Arial"/>
          <w:color w:val="005CA9"/>
          <w:sz w:val="20"/>
          <w:szCs w:val="20"/>
        </w:rPr>
      </w:pPr>
      <w:r w:rsidRPr="003053CD">
        <w:rPr>
          <w:rFonts w:ascii="CAIXA Std Book" w:eastAsia="Times New Roman" w:hAnsi="CAIXA Std Book" w:cs="Arial"/>
          <w:b/>
          <w:color w:val="005CA9"/>
          <w:sz w:val="20"/>
          <w:szCs w:val="20"/>
        </w:rPr>
        <w:t>Carteira 4</w:t>
      </w:r>
      <w:r w:rsidR="00730935" w:rsidRPr="003053CD">
        <w:rPr>
          <w:rFonts w:ascii="CAIXA Std Book" w:eastAsia="Times New Roman" w:hAnsi="CAIXA Std Book" w:cs="Arial"/>
          <w:color w:val="005CA9"/>
          <w:sz w:val="20"/>
          <w:szCs w:val="20"/>
        </w:rPr>
        <w:t>:</w:t>
      </w:r>
      <w:r w:rsidRPr="003053CD">
        <w:rPr>
          <w:rFonts w:ascii="CAIXA Std Book" w:eastAsia="Times New Roman" w:hAnsi="CAIXA Std Book" w:cs="Arial"/>
          <w:color w:val="005CA9"/>
          <w:sz w:val="20"/>
          <w:szCs w:val="20"/>
        </w:rPr>
        <w:t xml:space="preserve"> </w:t>
      </w:r>
      <w:r w:rsidR="00DC563D" w:rsidRPr="003053CD">
        <w:rPr>
          <w:rFonts w:ascii="CAIXA Std Book" w:eastAsia="Times New Roman" w:hAnsi="CAIXA Std Book" w:cs="Arial"/>
          <w:color w:val="005CA9"/>
          <w:sz w:val="20"/>
          <w:szCs w:val="20"/>
        </w:rPr>
        <w:t>O</w:t>
      </w:r>
      <w:r w:rsidRPr="003053CD">
        <w:rPr>
          <w:rFonts w:ascii="CAIXA Std Book" w:eastAsia="Times New Roman" w:hAnsi="CAIXA Std Book" w:cs="Arial"/>
          <w:color w:val="005CA9"/>
          <w:sz w:val="20"/>
          <w:szCs w:val="20"/>
        </w:rPr>
        <w:t xml:space="preserve">perações sem garantias, como capital de giro, adiantamentos de câmbio, debêntures e crédito rural para investimento. </w:t>
      </w:r>
    </w:p>
    <w:p w14:paraId="53B45305" w14:textId="398895AF" w:rsidR="007A28F7" w:rsidRPr="003053CD" w:rsidRDefault="00EE7DBB" w:rsidP="00295657">
      <w:pPr>
        <w:pStyle w:val="PargrafodaLista"/>
        <w:numPr>
          <w:ilvl w:val="0"/>
          <w:numId w:val="34"/>
        </w:numPr>
        <w:spacing w:before="120" w:after="120"/>
        <w:ind w:left="357" w:hanging="357"/>
        <w:contextualSpacing w:val="0"/>
        <w:jc w:val="both"/>
        <w:rPr>
          <w:rFonts w:ascii="CAIXA Std Book" w:eastAsia="Times New Roman" w:hAnsi="CAIXA Std Book" w:cs="Arial"/>
          <w:color w:val="005CA9"/>
          <w:sz w:val="20"/>
          <w:szCs w:val="20"/>
        </w:rPr>
        <w:sectPr w:rsidR="007A28F7" w:rsidRPr="003053CD" w:rsidSect="006907F6">
          <w:headerReference w:type="default" r:id="rId50"/>
          <w:footerReference w:type="even" r:id="rId51"/>
          <w:footerReference w:type="default" r:id="rId52"/>
          <w:footerReference w:type="first" r:id="rId53"/>
          <w:pgSz w:w="16838" w:h="11906" w:orient="landscape" w:code="9"/>
          <w:pgMar w:top="1985" w:right="851" w:bottom="1418" w:left="1418" w:header="1134" w:footer="709" w:gutter="0"/>
          <w:cols w:space="708"/>
          <w:docGrid w:linePitch="360"/>
        </w:sectPr>
      </w:pPr>
      <w:r w:rsidRPr="003053CD">
        <w:rPr>
          <w:rFonts w:ascii="CAIXA Std Book" w:eastAsia="Times New Roman" w:hAnsi="CAIXA Std Book" w:cs="Arial"/>
          <w:b/>
          <w:color w:val="005CA9"/>
          <w:sz w:val="20"/>
          <w:szCs w:val="20"/>
        </w:rPr>
        <w:t xml:space="preserve">Carteira </w:t>
      </w:r>
      <w:r w:rsidR="00014C32" w:rsidRPr="003053CD">
        <w:rPr>
          <w:rFonts w:ascii="CAIXA Std Book" w:eastAsia="Times New Roman" w:hAnsi="CAIXA Std Book" w:cs="Arial"/>
          <w:b/>
          <w:color w:val="005CA9"/>
          <w:sz w:val="20"/>
          <w:szCs w:val="20"/>
        </w:rPr>
        <w:t>5</w:t>
      </w:r>
      <w:r w:rsidR="00730935" w:rsidRPr="003053CD">
        <w:rPr>
          <w:rFonts w:ascii="CAIXA Std Book" w:eastAsia="Times New Roman" w:hAnsi="CAIXA Std Book" w:cs="Arial"/>
          <w:color w:val="005CA9"/>
          <w:sz w:val="20"/>
          <w:szCs w:val="20"/>
        </w:rPr>
        <w:t>:</w:t>
      </w:r>
      <w:r w:rsidRPr="003053CD">
        <w:rPr>
          <w:rFonts w:ascii="CAIXA Std Book" w:eastAsia="Times New Roman" w:hAnsi="CAIXA Std Book" w:cs="Arial"/>
          <w:color w:val="005CA9"/>
          <w:sz w:val="20"/>
          <w:szCs w:val="20"/>
        </w:rPr>
        <w:t xml:space="preserve"> </w:t>
      </w:r>
      <w:r w:rsidR="00DC563D" w:rsidRPr="003053CD">
        <w:rPr>
          <w:rFonts w:ascii="CAIXA Std Book" w:eastAsia="Times New Roman" w:hAnsi="CAIXA Std Book" w:cs="Arial"/>
          <w:color w:val="005CA9"/>
          <w:sz w:val="20"/>
          <w:szCs w:val="20"/>
        </w:rPr>
        <w:t>C</w:t>
      </w:r>
      <w:r w:rsidRPr="003053CD">
        <w:rPr>
          <w:rFonts w:ascii="CAIXA Std Book" w:eastAsia="Times New Roman" w:hAnsi="CAIXA Std Book" w:cs="Arial"/>
          <w:color w:val="005CA9"/>
          <w:sz w:val="20"/>
          <w:szCs w:val="20"/>
        </w:rPr>
        <w:t>réditos de maior risco, como crédito pessoal</w:t>
      </w:r>
      <w:r w:rsidR="006C504E" w:rsidRPr="003053CD">
        <w:rPr>
          <w:rFonts w:ascii="CAIXA Std Book" w:eastAsia="Times New Roman" w:hAnsi="CAIXA Std Book" w:cs="Arial"/>
          <w:color w:val="005CA9"/>
          <w:sz w:val="20"/>
          <w:szCs w:val="20"/>
        </w:rPr>
        <w:t xml:space="preserve"> </w:t>
      </w:r>
      <w:r w:rsidR="00FD29BD" w:rsidRPr="003053CD">
        <w:rPr>
          <w:rFonts w:ascii="CAIXA Std Book" w:eastAsia="Times New Roman" w:hAnsi="CAIXA Std Book" w:cs="Arial"/>
          <w:color w:val="005CA9"/>
          <w:sz w:val="20"/>
          <w:szCs w:val="20"/>
        </w:rPr>
        <w:t xml:space="preserve">com ou sem </w:t>
      </w:r>
      <w:r w:rsidRPr="003053CD">
        <w:rPr>
          <w:rFonts w:ascii="CAIXA Std Book" w:eastAsia="Times New Roman" w:hAnsi="CAIXA Std Book" w:cs="Arial"/>
          <w:color w:val="005CA9"/>
          <w:sz w:val="20"/>
          <w:szCs w:val="20"/>
        </w:rPr>
        <w:t>consigna</w:t>
      </w:r>
      <w:r w:rsidR="00FD29BD" w:rsidRPr="003053CD">
        <w:rPr>
          <w:rFonts w:ascii="CAIXA Std Book" w:eastAsia="Times New Roman" w:hAnsi="CAIXA Std Book" w:cs="Arial"/>
          <w:color w:val="005CA9"/>
          <w:sz w:val="20"/>
          <w:szCs w:val="20"/>
        </w:rPr>
        <w:t>ção</w:t>
      </w:r>
      <w:r w:rsidRPr="003053CD">
        <w:rPr>
          <w:rFonts w:ascii="CAIXA Std Book" w:eastAsia="Times New Roman" w:hAnsi="CAIXA Std Book" w:cs="Arial"/>
          <w:color w:val="005CA9"/>
          <w:sz w:val="20"/>
          <w:szCs w:val="20"/>
        </w:rPr>
        <w:t>, crédito rotativo e rural sem garantias, além de outras operações comerciais com características de crédito também sem garantias.</w:t>
      </w:r>
    </w:p>
    <w:p w14:paraId="5FC397E9" w14:textId="5AD96862" w:rsidR="00F032F2" w:rsidRPr="00193A41" w:rsidRDefault="00F032F2" w:rsidP="002D3AC9">
      <w:pPr>
        <w:pStyle w:val="PargrafodaLista"/>
        <w:numPr>
          <w:ilvl w:val="0"/>
          <w:numId w:val="6"/>
        </w:numPr>
        <w:spacing w:line="360" w:lineRule="auto"/>
        <w:rPr>
          <w:rFonts w:ascii="CAIXA Std Book" w:hAnsi="CAIXA Std Book"/>
          <w:b/>
          <w:color w:val="005CA9"/>
          <w:sz w:val="20"/>
          <w:szCs w:val="20"/>
        </w:rPr>
      </w:pPr>
      <w:r w:rsidRPr="00193A41">
        <w:rPr>
          <w:rFonts w:ascii="CAIXA Std Book" w:hAnsi="CAIXA Std Book"/>
          <w:b/>
          <w:color w:val="005CA9"/>
          <w:sz w:val="20"/>
          <w:szCs w:val="20"/>
        </w:rPr>
        <w:t>Renegociadas</w:t>
      </w:r>
    </w:p>
    <w:tbl>
      <w:tblPr>
        <w:tblW w:w="5000" w:type="pct"/>
        <w:tblCellMar>
          <w:left w:w="70" w:type="dxa"/>
          <w:right w:w="70" w:type="dxa"/>
        </w:tblCellMar>
        <w:tblLook w:val="04A0" w:firstRow="1" w:lastRow="0" w:firstColumn="1" w:lastColumn="0" w:noHBand="0" w:noVBand="1"/>
      </w:tblPr>
      <w:tblGrid>
        <w:gridCol w:w="5765"/>
        <w:gridCol w:w="1931"/>
        <w:gridCol w:w="1941"/>
      </w:tblGrid>
      <w:tr w:rsidR="00805005" w:rsidRPr="00230444" w14:paraId="30626E63" w14:textId="72A0206A" w:rsidTr="002F66C5">
        <w:trPr>
          <w:trHeight w:val="283"/>
        </w:trPr>
        <w:tc>
          <w:tcPr>
            <w:tcW w:w="5000" w:type="pct"/>
            <w:gridSpan w:val="3"/>
            <w:tcBorders>
              <w:bottom w:val="single" w:sz="4" w:space="0" w:color="FFFFFF" w:themeColor="background1"/>
            </w:tcBorders>
            <w:shd w:val="clear" w:color="auto" w:fill="005CA9"/>
            <w:vAlign w:val="center"/>
          </w:tcPr>
          <w:p w14:paraId="13876866" w14:textId="75ECDE9F" w:rsidR="00B350FA" w:rsidRDefault="002F66C5" w:rsidP="00A7040F">
            <w:pPr>
              <w:pStyle w:val="PargrafodaLista"/>
              <w:numPr>
                <w:ilvl w:val="0"/>
                <w:numId w:val="7"/>
              </w:numPr>
              <w:jc w:val="center"/>
              <w:rPr>
                <w:rFonts w:ascii="CAIXA Std Book" w:eastAsia="Times New Roman" w:hAnsi="CAIXA Std Book" w:cs="Calibri"/>
                <w:b/>
                <w:bCs/>
                <w:color w:val="FFFFFF" w:themeColor="background1"/>
                <w:sz w:val="18"/>
                <w:szCs w:val="18"/>
              </w:rPr>
            </w:pPr>
            <w:r>
              <w:rPr>
                <w:rFonts w:ascii="CAIXA Std Book" w:eastAsia="Times New Roman" w:hAnsi="CAIXA Std Book" w:cs="Calibri"/>
                <w:b/>
                <w:bCs/>
                <w:color w:val="FFFFFF" w:themeColor="background1"/>
                <w:sz w:val="18"/>
                <w:szCs w:val="18"/>
              </w:rPr>
              <w:t>Individual / Consolidado</w:t>
            </w:r>
          </w:p>
        </w:tc>
      </w:tr>
      <w:tr w:rsidR="00642681" w:rsidRPr="00230444" w14:paraId="1C0C2A71" w14:textId="62AE61C0" w:rsidTr="004E1C69">
        <w:trPr>
          <w:trHeight w:val="283"/>
        </w:trPr>
        <w:tc>
          <w:tcPr>
            <w:tcW w:w="2991" w:type="pct"/>
            <w:tcBorders>
              <w:top w:val="single" w:sz="4" w:space="0" w:color="FFFFFF" w:themeColor="background1"/>
            </w:tcBorders>
            <w:shd w:val="clear" w:color="auto" w:fill="005CA9"/>
            <w:vAlign w:val="center"/>
            <w:hideMark/>
          </w:tcPr>
          <w:p w14:paraId="2A58FA12" w14:textId="77777777" w:rsidR="004044ED" w:rsidRPr="00230444" w:rsidRDefault="004044ED" w:rsidP="00A7040F">
            <w:pPr>
              <w:pStyle w:val="PargrafodaLista"/>
              <w:numPr>
                <w:ilvl w:val="0"/>
                <w:numId w:val="7"/>
              </w:numPr>
              <w:jc w:val="center"/>
              <w:rPr>
                <w:rFonts w:ascii="CAIXA Std Book" w:eastAsia="Times New Roman" w:hAnsi="CAIXA Std Book" w:cs="Calibri"/>
                <w:b/>
                <w:bCs/>
                <w:color w:val="FFFFFF" w:themeColor="background1"/>
                <w:sz w:val="18"/>
                <w:szCs w:val="18"/>
              </w:rPr>
            </w:pPr>
            <w:r w:rsidRPr="00230444">
              <w:rPr>
                <w:rFonts w:ascii="CAIXA Std Book" w:eastAsia="Times New Roman" w:hAnsi="CAIXA Std Book" w:cs="Calibri"/>
                <w:b/>
                <w:bCs/>
                <w:color w:val="FFFFFF" w:themeColor="background1"/>
                <w:sz w:val="18"/>
                <w:szCs w:val="18"/>
              </w:rPr>
              <w:t>Descrição</w:t>
            </w:r>
          </w:p>
        </w:tc>
        <w:tc>
          <w:tcPr>
            <w:tcW w:w="1002" w:type="pct"/>
            <w:tcBorders>
              <w:top w:val="single" w:sz="4" w:space="0" w:color="FFFFFF" w:themeColor="background1"/>
            </w:tcBorders>
            <w:shd w:val="clear" w:color="auto" w:fill="005CA9"/>
            <w:vAlign w:val="center"/>
            <w:hideMark/>
          </w:tcPr>
          <w:p w14:paraId="327E5CBB" w14:textId="00E8C65C" w:rsidR="004044ED" w:rsidRPr="00230444" w:rsidRDefault="001D5416" w:rsidP="004E1C69">
            <w:pPr>
              <w:jc w:val="center"/>
              <w:rPr>
                <w:rFonts w:ascii="CAIXA Std Book" w:eastAsia="Times New Roman" w:hAnsi="CAIXA Std Book" w:cs="Calibri"/>
                <w:b/>
                <w:bCs/>
                <w:color w:val="FFFFFF" w:themeColor="background1"/>
                <w:sz w:val="18"/>
                <w:szCs w:val="18"/>
              </w:rPr>
            </w:pPr>
            <w:r>
              <w:rPr>
                <w:rFonts w:ascii="CAIXA Std Book" w:eastAsia="Times New Roman" w:hAnsi="CAIXA Std Book" w:cs="Calibri"/>
                <w:b/>
                <w:color w:val="FFFFFF"/>
                <w:sz w:val="18"/>
                <w:szCs w:val="18"/>
              </w:rPr>
              <w:t>31/</w:t>
            </w:r>
            <w:r w:rsidR="00B350FA">
              <w:rPr>
                <w:rFonts w:ascii="CAIXA Std Book" w:eastAsia="Times New Roman" w:hAnsi="CAIXA Std Book" w:cs="Calibri"/>
                <w:b/>
                <w:color w:val="FFFFFF"/>
                <w:sz w:val="18"/>
                <w:szCs w:val="18"/>
              </w:rPr>
              <w:t>03/2026</w:t>
            </w:r>
          </w:p>
        </w:tc>
        <w:tc>
          <w:tcPr>
            <w:tcW w:w="1007" w:type="pct"/>
            <w:tcBorders>
              <w:top w:val="single" w:sz="4" w:space="0" w:color="FFFFFF" w:themeColor="background1"/>
            </w:tcBorders>
            <w:shd w:val="clear" w:color="auto" w:fill="005CA9"/>
            <w:vAlign w:val="center"/>
          </w:tcPr>
          <w:p w14:paraId="71D71DAA" w14:textId="70385CA5" w:rsidR="00B350FA" w:rsidRDefault="00B350FA" w:rsidP="004E1C69">
            <w:pPr>
              <w:jc w:val="center"/>
              <w:rPr>
                <w:rFonts w:ascii="CAIXA Std Book" w:eastAsia="Times New Roman" w:hAnsi="CAIXA Std Book" w:cs="Calibri"/>
                <w:b/>
                <w:color w:val="FFFFFF"/>
                <w:sz w:val="18"/>
                <w:szCs w:val="18"/>
              </w:rPr>
            </w:pPr>
            <w:r>
              <w:rPr>
                <w:rFonts w:ascii="CAIXA Std Book" w:eastAsia="Times New Roman" w:hAnsi="CAIXA Std Book" w:cs="Calibri"/>
                <w:b/>
                <w:color w:val="FFFFFF"/>
                <w:sz w:val="18"/>
                <w:szCs w:val="18"/>
              </w:rPr>
              <w:t>31/</w:t>
            </w:r>
            <w:r w:rsidR="00E93701">
              <w:rPr>
                <w:rFonts w:ascii="CAIXA Std Book" w:eastAsia="Times New Roman" w:hAnsi="CAIXA Std Book" w:cs="Calibri"/>
                <w:b/>
                <w:color w:val="FFFFFF"/>
                <w:sz w:val="18"/>
                <w:szCs w:val="18"/>
              </w:rPr>
              <w:t>12</w:t>
            </w:r>
            <w:r>
              <w:rPr>
                <w:rFonts w:ascii="CAIXA Std Book" w:eastAsia="Times New Roman" w:hAnsi="CAIXA Std Book" w:cs="Calibri"/>
                <w:b/>
                <w:color w:val="FFFFFF"/>
                <w:sz w:val="18"/>
                <w:szCs w:val="18"/>
              </w:rPr>
              <w:t>/2025</w:t>
            </w:r>
          </w:p>
        </w:tc>
      </w:tr>
      <w:tr w:rsidR="00642681" w:rsidRPr="004044ED" w14:paraId="07758C53" w14:textId="0CE11231" w:rsidTr="0077776B">
        <w:trPr>
          <w:trHeight w:val="283"/>
        </w:trPr>
        <w:tc>
          <w:tcPr>
            <w:tcW w:w="2991" w:type="pct"/>
            <w:vAlign w:val="center"/>
            <w:hideMark/>
          </w:tcPr>
          <w:p w14:paraId="19C4F709" w14:textId="1C0A649A" w:rsidR="004044ED" w:rsidRPr="004044ED" w:rsidRDefault="00505508" w:rsidP="004044ED">
            <w:pP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Renegociações</w:t>
            </w:r>
            <w:r w:rsidR="00F755F7">
              <w:rPr>
                <w:rFonts w:ascii="CAIXA Std Book" w:eastAsia="Times New Roman" w:hAnsi="CAIXA Std Book" w:cs="Calibri"/>
                <w:color w:val="005CA9"/>
                <w:sz w:val="18"/>
                <w:szCs w:val="18"/>
              </w:rPr>
              <w:t xml:space="preserve"> </w:t>
            </w:r>
            <w:r w:rsidR="00CD763A">
              <w:rPr>
                <w:rFonts w:ascii="CAIXA Std Book" w:eastAsia="Times New Roman" w:hAnsi="CAIXA Std Book" w:cs="Calibri"/>
                <w:color w:val="005CA9"/>
                <w:sz w:val="18"/>
                <w:szCs w:val="18"/>
              </w:rPr>
              <w:t>(1)</w:t>
            </w:r>
          </w:p>
        </w:tc>
        <w:tc>
          <w:tcPr>
            <w:tcW w:w="1002" w:type="pct"/>
            <w:vAlign w:val="center"/>
          </w:tcPr>
          <w:p w14:paraId="3445E0C6" w14:textId="4271301E" w:rsidR="004044ED" w:rsidRPr="00721E51" w:rsidRDefault="009A0E00" w:rsidP="00237A37">
            <w:pPr>
              <w:jc w:val="right"/>
              <w:rPr>
                <w:rFonts w:ascii="CAIXA Std Book" w:hAnsi="CAIXA Std Book" w:cs="Calibri"/>
                <w:color w:val="005CA9"/>
                <w:sz w:val="18"/>
                <w:szCs w:val="18"/>
              </w:rPr>
            </w:pPr>
            <w:r>
              <w:rPr>
                <w:rFonts w:ascii="CAIXA Std Book" w:hAnsi="CAIXA Std Book" w:cs="Calibri"/>
                <w:color w:val="005CA9"/>
                <w:sz w:val="18"/>
                <w:szCs w:val="18"/>
              </w:rPr>
              <w:t>416.940.544</w:t>
            </w:r>
          </w:p>
        </w:tc>
        <w:tc>
          <w:tcPr>
            <w:tcW w:w="1007" w:type="pct"/>
            <w:vAlign w:val="center"/>
          </w:tcPr>
          <w:p w14:paraId="4C95E920" w14:textId="6901E433" w:rsidR="00615149" w:rsidRDefault="006636DA" w:rsidP="006636DA">
            <w:pPr>
              <w:jc w:val="right"/>
              <w:rPr>
                <w:rFonts w:ascii="CAIXA Std Book" w:hAnsi="CAIXA Std Book" w:cs="Calibri"/>
                <w:color w:val="005CA9"/>
                <w:sz w:val="18"/>
                <w:szCs w:val="18"/>
              </w:rPr>
            </w:pPr>
            <w:r>
              <w:rPr>
                <w:rFonts w:ascii="CAIXA Std Book" w:hAnsi="CAIXA Std Book" w:cs="Calibri"/>
                <w:color w:val="005CA9"/>
                <w:sz w:val="18"/>
                <w:szCs w:val="18"/>
              </w:rPr>
              <w:t>393.001.415</w:t>
            </w:r>
          </w:p>
        </w:tc>
      </w:tr>
      <w:tr w:rsidR="00642681" w:rsidRPr="004044ED" w14:paraId="0B88BDB1" w14:textId="00AA64EB" w:rsidTr="0077776B">
        <w:trPr>
          <w:trHeight w:val="283"/>
        </w:trPr>
        <w:tc>
          <w:tcPr>
            <w:tcW w:w="2991" w:type="pct"/>
            <w:tcBorders>
              <w:bottom w:val="single" w:sz="4" w:space="0" w:color="005CA9"/>
            </w:tcBorders>
            <w:vAlign w:val="center"/>
            <w:hideMark/>
          </w:tcPr>
          <w:p w14:paraId="4394FE21" w14:textId="62846027" w:rsidR="004044ED" w:rsidRPr="004044ED" w:rsidRDefault="004044ED" w:rsidP="004044ED">
            <w:pPr>
              <w:rPr>
                <w:rFonts w:ascii="CAIXA Std Book" w:eastAsia="Times New Roman" w:hAnsi="CAIXA Std Book" w:cs="Calibri"/>
                <w:color w:val="005CA9"/>
                <w:sz w:val="18"/>
                <w:szCs w:val="18"/>
              </w:rPr>
            </w:pPr>
            <w:r w:rsidRPr="004044ED">
              <w:rPr>
                <w:rFonts w:ascii="CAIXA Std Book" w:eastAsia="Times New Roman" w:hAnsi="CAIXA Std Book" w:cs="Calibri"/>
                <w:color w:val="005CA9"/>
                <w:sz w:val="18"/>
                <w:szCs w:val="18"/>
              </w:rPr>
              <w:t>Baixas p</w:t>
            </w:r>
            <w:r w:rsidR="00720A83">
              <w:rPr>
                <w:rFonts w:ascii="CAIXA Std Book" w:eastAsia="Times New Roman" w:hAnsi="CAIXA Std Book" w:cs="Calibri"/>
                <w:color w:val="005CA9"/>
                <w:sz w:val="18"/>
                <w:szCs w:val="18"/>
              </w:rPr>
              <w:t>ara</w:t>
            </w:r>
            <w:r w:rsidRPr="004044ED">
              <w:rPr>
                <w:rFonts w:ascii="CAIXA Std Book" w:eastAsia="Times New Roman" w:hAnsi="CAIXA Std Book" w:cs="Calibri"/>
                <w:color w:val="005CA9"/>
                <w:sz w:val="18"/>
                <w:szCs w:val="18"/>
              </w:rPr>
              <w:t xml:space="preserve"> prejuízo</w:t>
            </w:r>
          </w:p>
        </w:tc>
        <w:tc>
          <w:tcPr>
            <w:tcW w:w="1002" w:type="pct"/>
            <w:tcBorders>
              <w:bottom w:val="single" w:sz="4" w:space="0" w:color="005CA9"/>
            </w:tcBorders>
            <w:vAlign w:val="center"/>
          </w:tcPr>
          <w:p w14:paraId="45E617BF" w14:textId="542ACB9A" w:rsidR="004044ED" w:rsidRPr="00EE5983" w:rsidRDefault="00EE5983" w:rsidP="0053788F">
            <w:pPr>
              <w:pStyle w:val="PargrafodaLista"/>
              <w:ind w:left="709"/>
              <w:jc w:val="right"/>
              <w:rPr>
                <w:rFonts w:ascii="CAIXA Std Book" w:hAnsi="CAIXA Std Book" w:cs="Calibri"/>
                <w:color w:val="005CA9"/>
                <w:sz w:val="18"/>
                <w:szCs w:val="18"/>
              </w:rPr>
            </w:pPr>
            <w:r w:rsidRPr="00EE5983">
              <w:rPr>
                <w:rFonts w:ascii="CAIXA Std Book" w:hAnsi="CAIXA Std Book" w:cs="Calibri"/>
                <w:color w:val="005CA9"/>
                <w:sz w:val="18"/>
                <w:szCs w:val="18"/>
              </w:rPr>
              <w:t>(601.475)</w:t>
            </w:r>
          </w:p>
        </w:tc>
        <w:tc>
          <w:tcPr>
            <w:tcW w:w="1007" w:type="pct"/>
            <w:tcBorders>
              <w:bottom w:val="single" w:sz="4" w:space="0" w:color="005CA9"/>
            </w:tcBorders>
            <w:vAlign w:val="center"/>
          </w:tcPr>
          <w:p w14:paraId="27E0C04C" w14:textId="1B546F13" w:rsidR="00615149" w:rsidRDefault="00C83634" w:rsidP="0053788F">
            <w:pPr>
              <w:pStyle w:val="PargrafodaLista"/>
              <w:ind w:left="709"/>
              <w:jc w:val="right"/>
              <w:rPr>
                <w:rFonts w:ascii="CAIXA Std Book" w:hAnsi="CAIXA Std Book" w:cs="Calibri"/>
                <w:color w:val="005CA9"/>
                <w:sz w:val="18"/>
                <w:szCs w:val="18"/>
              </w:rPr>
            </w:pPr>
            <w:r>
              <w:rPr>
                <w:rFonts w:ascii="CAIXA Std Book" w:hAnsi="CAIXA Std Book" w:cs="Calibri"/>
                <w:color w:val="005CA9"/>
                <w:sz w:val="18"/>
                <w:szCs w:val="18"/>
              </w:rPr>
              <w:t>(</w:t>
            </w:r>
            <w:r w:rsidRPr="00152A26">
              <w:rPr>
                <w:rFonts w:ascii="CAIXA Std Book" w:hAnsi="CAIXA Std Book" w:cs="Calibri"/>
                <w:color w:val="005CA9"/>
                <w:sz w:val="18"/>
                <w:szCs w:val="18"/>
              </w:rPr>
              <w:t>1.230.78</w:t>
            </w:r>
            <w:r>
              <w:rPr>
                <w:rFonts w:ascii="CAIXA Std Book" w:hAnsi="CAIXA Std Book" w:cs="Calibri"/>
                <w:color w:val="005CA9"/>
                <w:sz w:val="18"/>
                <w:szCs w:val="18"/>
              </w:rPr>
              <w:t>7)</w:t>
            </w:r>
          </w:p>
        </w:tc>
      </w:tr>
    </w:tbl>
    <w:p w14:paraId="67363741" w14:textId="03495F92" w:rsidR="00285A7C" w:rsidRPr="00764B1D" w:rsidRDefault="00D74267" w:rsidP="00285A7C">
      <w:pPr>
        <w:rPr>
          <w:rFonts w:ascii="CAIXA Std Book" w:eastAsia="Times New Roman" w:hAnsi="CAIXA Std Book" w:cs="Calibri"/>
          <w:color w:val="005CA9"/>
          <w:sz w:val="16"/>
          <w:szCs w:val="16"/>
        </w:rPr>
      </w:pPr>
      <w:r w:rsidRPr="00764B1D">
        <w:rPr>
          <w:rFonts w:ascii="CAIXA Std Book" w:eastAsia="Times New Roman" w:hAnsi="CAIXA Std Book" w:cs="Calibri"/>
          <w:color w:val="005CA9"/>
          <w:sz w:val="16"/>
          <w:szCs w:val="16"/>
        </w:rPr>
        <w:t xml:space="preserve">(1) </w:t>
      </w:r>
      <w:r w:rsidR="00F525C1" w:rsidRPr="00764B1D">
        <w:rPr>
          <w:rFonts w:ascii="CAIXA Std Book" w:eastAsia="Times New Roman" w:hAnsi="CAIXA Std Book" w:cs="Calibri"/>
          <w:color w:val="005CA9"/>
          <w:sz w:val="16"/>
          <w:szCs w:val="16"/>
        </w:rPr>
        <w:t xml:space="preserve">Montante </w:t>
      </w:r>
      <w:r w:rsidR="00265654" w:rsidRPr="00764B1D">
        <w:rPr>
          <w:rFonts w:ascii="CAIXA Std Book" w:eastAsia="Times New Roman" w:hAnsi="CAIXA Std Book" w:cs="Calibri"/>
          <w:color w:val="005CA9"/>
          <w:sz w:val="16"/>
          <w:szCs w:val="16"/>
        </w:rPr>
        <w:t xml:space="preserve">das renegociações não caracterizadas </w:t>
      </w:r>
      <w:r w:rsidR="00CD5304" w:rsidRPr="00764B1D">
        <w:rPr>
          <w:rFonts w:ascii="CAIXA Std Book" w:eastAsia="Times New Roman" w:hAnsi="CAIXA Std Book" w:cs="Calibri"/>
          <w:color w:val="005CA9"/>
          <w:sz w:val="16"/>
          <w:szCs w:val="16"/>
        </w:rPr>
        <w:t>como reestruturações</w:t>
      </w:r>
      <w:r w:rsidR="00C10398">
        <w:rPr>
          <w:rFonts w:ascii="CAIXA Std Book" w:eastAsia="Times New Roman" w:hAnsi="CAIXA Std Book" w:cs="Calibri"/>
          <w:color w:val="005CA9"/>
          <w:sz w:val="16"/>
          <w:szCs w:val="16"/>
        </w:rPr>
        <w:t>.</w:t>
      </w:r>
    </w:p>
    <w:p w14:paraId="66198CFC" w14:textId="4DE0FE1D" w:rsidR="00D64B32" w:rsidRPr="000260FD" w:rsidRDefault="00F032F2" w:rsidP="00F032F2">
      <w:pPr>
        <w:spacing w:before="240" w:after="120"/>
        <w:rPr>
          <w:rFonts w:ascii="CAIXA Std Book" w:hAnsi="CAIXA Std Book"/>
          <w:b/>
          <w:color w:val="005CA9"/>
          <w:sz w:val="20"/>
          <w:szCs w:val="20"/>
        </w:rPr>
      </w:pPr>
      <w:r>
        <w:rPr>
          <w:rFonts w:ascii="CAIXA Std Book" w:hAnsi="CAIXA Std Book"/>
          <w:b/>
          <w:color w:val="005CA9"/>
          <w:sz w:val="20"/>
          <w:szCs w:val="20"/>
        </w:rPr>
        <w:t>(e)</w:t>
      </w:r>
      <w:r>
        <w:rPr>
          <w:rFonts w:ascii="CAIXA Std Book" w:hAnsi="CAIXA Std Book"/>
          <w:b/>
          <w:color w:val="005CA9"/>
          <w:sz w:val="20"/>
          <w:szCs w:val="20"/>
        </w:rPr>
        <w:tab/>
      </w:r>
      <w:r w:rsidR="00883AB5">
        <w:rPr>
          <w:rFonts w:ascii="CAIXA Std Book" w:hAnsi="CAIXA Std Book"/>
          <w:b/>
          <w:color w:val="005CA9"/>
          <w:sz w:val="20"/>
          <w:szCs w:val="20"/>
        </w:rPr>
        <w:t>Instrumentos financeiros com problema de recuperação de crédito (ativo problemático)</w:t>
      </w:r>
    </w:p>
    <w:p w14:paraId="3CB221C9" w14:textId="12C39C67" w:rsidR="00054880" w:rsidRPr="000260FD" w:rsidRDefault="00856C02" w:rsidP="007544A3">
      <w:pPr>
        <w:spacing w:before="120" w:after="120"/>
        <w:jc w:val="both"/>
        <w:rPr>
          <w:rFonts w:ascii="CAIXA Std Book" w:hAnsi="CAIXA Std Book"/>
          <w:color w:val="005CA9"/>
          <w:sz w:val="20"/>
          <w:szCs w:val="20"/>
        </w:rPr>
      </w:pPr>
      <w:r w:rsidRPr="000260FD">
        <w:rPr>
          <w:rFonts w:ascii="CAIXA Std Book" w:hAnsi="CAIXA Std Book"/>
          <w:color w:val="005CA9"/>
          <w:sz w:val="20"/>
          <w:szCs w:val="20"/>
        </w:rPr>
        <w:t xml:space="preserve">Em </w:t>
      </w:r>
      <w:r w:rsidR="001C26F4">
        <w:rPr>
          <w:rFonts w:ascii="CAIXA Std Book" w:hAnsi="CAIXA Std Book"/>
          <w:color w:val="005CA9"/>
          <w:sz w:val="20"/>
          <w:szCs w:val="20"/>
        </w:rPr>
        <w:t>março</w:t>
      </w:r>
      <w:r w:rsidR="00E63760" w:rsidRPr="000260FD">
        <w:rPr>
          <w:rFonts w:ascii="CAIXA Std Book" w:hAnsi="CAIXA Std Book"/>
          <w:color w:val="005CA9"/>
          <w:sz w:val="20"/>
          <w:szCs w:val="20"/>
        </w:rPr>
        <w:t xml:space="preserve"> de </w:t>
      </w:r>
      <w:r w:rsidRPr="000260FD">
        <w:rPr>
          <w:rFonts w:ascii="CAIXA Std Book" w:hAnsi="CAIXA Std Book"/>
          <w:color w:val="005CA9"/>
          <w:sz w:val="20"/>
          <w:szCs w:val="20"/>
        </w:rPr>
        <w:t>202</w:t>
      </w:r>
      <w:r w:rsidR="001C26F4">
        <w:rPr>
          <w:rFonts w:ascii="CAIXA Std Book" w:hAnsi="CAIXA Std Book"/>
          <w:color w:val="005CA9"/>
          <w:sz w:val="20"/>
          <w:szCs w:val="20"/>
        </w:rPr>
        <w:t>6</w:t>
      </w:r>
      <w:r w:rsidRPr="000260FD">
        <w:rPr>
          <w:rFonts w:ascii="CAIXA Std Book" w:hAnsi="CAIXA Std Book"/>
          <w:color w:val="005CA9"/>
          <w:sz w:val="20"/>
          <w:szCs w:val="20"/>
        </w:rPr>
        <w:t xml:space="preserve">, o percentual dos ativos financeiros reestruturados em relação ao total de instrumentos financeiros renegociados </w:t>
      </w:r>
      <w:r w:rsidRPr="00311D1C">
        <w:rPr>
          <w:rFonts w:ascii="CAIXA Std Book" w:hAnsi="CAIXA Std Book"/>
          <w:color w:val="005CA9"/>
          <w:sz w:val="20"/>
          <w:szCs w:val="20"/>
        </w:rPr>
        <w:t xml:space="preserve">foi de </w:t>
      </w:r>
      <w:r w:rsidR="00CF1DAE">
        <w:rPr>
          <w:rFonts w:ascii="CAIXA Std Book" w:hAnsi="CAIXA Std Book"/>
          <w:color w:val="005CA9"/>
          <w:sz w:val="20"/>
          <w:szCs w:val="20"/>
        </w:rPr>
        <w:t>5,80</w:t>
      </w:r>
      <w:r w:rsidRPr="00311D1C">
        <w:rPr>
          <w:rFonts w:ascii="CAIXA Std Book" w:hAnsi="CAIXA Std Book"/>
          <w:color w:val="005CA9"/>
          <w:sz w:val="20"/>
          <w:szCs w:val="20"/>
        </w:rPr>
        <w:t>%</w:t>
      </w:r>
      <w:r w:rsidR="006C05DD">
        <w:rPr>
          <w:rFonts w:ascii="CAIXA Std Book" w:hAnsi="CAIXA Std Book"/>
          <w:color w:val="005CA9"/>
          <w:sz w:val="20"/>
          <w:szCs w:val="20"/>
        </w:rPr>
        <w:t xml:space="preserve"> (5,54% em 31/12/2025)</w:t>
      </w:r>
      <w:r w:rsidRPr="00311D1C">
        <w:rPr>
          <w:rFonts w:ascii="CAIXA Std Book" w:hAnsi="CAIXA Std Book"/>
          <w:color w:val="005CA9"/>
          <w:sz w:val="20"/>
          <w:szCs w:val="20"/>
        </w:rPr>
        <w:t xml:space="preserve">, </w:t>
      </w:r>
      <w:r w:rsidR="00B47BE5" w:rsidRPr="00E7728B">
        <w:rPr>
          <w:rFonts w:ascii="CAIXA Std Book" w:hAnsi="CAIXA Std Book"/>
          <w:color w:val="005CA9"/>
          <w:sz w:val="20"/>
          <w:szCs w:val="20"/>
        </w:rPr>
        <w:t>totalizando</w:t>
      </w:r>
      <w:r w:rsidRPr="00E7728B">
        <w:rPr>
          <w:rFonts w:ascii="CAIXA Std Book" w:hAnsi="CAIXA Std Book"/>
          <w:color w:val="005CA9"/>
          <w:sz w:val="20"/>
          <w:szCs w:val="20"/>
        </w:rPr>
        <w:t xml:space="preserve"> R$ </w:t>
      </w:r>
      <w:r w:rsidR="00FA0E72">
        <w:rPr>
          <w:rFonts w:ascii="CAIXA Std Book" w:hAnsi="CAIXA Std Book"/>
          <w:color w:val="005CA9"/>
          <w:sz w:val="20"/>
          <w:szCs w:val="20"/>
        </w:rPr>
        <w:t>25.672.381</w:t>
      </w:r>
      <w:r w:rsidR="006C05DD">
        <w:rPr>
          <w:rFonts w:ascii="CAIXA Std Book" w:hAnsi="CAIXA Std Book"/>
          <w:color w:val="005CA9"/>
          <w:sz w:val="20"/>
          <w:szCs w:val="20"/>
        </w:rPr>
        <w:t xml:space="preserve"> (</w:t>
      </w:r>
      <w:r w:rsidR="008C0053">
        <w:rPr>
          <w:rFonts w:ascii="CAIXA Std Book" w:hAnsi="CAIXA Std Book"/>
          <w:color w:val="005CA9"/>
          <w:sz w:val="20"/>
          <w:szCs w:val="20"/>
        </w:rPr>
        <w:t>31/12/2025</w:t>
      </w:r>
      <w:r w:rsidR="0090424F">
        <w:rPr>
          <w:rFonts w:ascii="CAIXA Std Book" w:hAnsi="CAIXA Std Book"/>
          <w:color w:val="005CA9"/>
          <w:sz w:val="20"/>
          <w:szCs w:val="20"/>
        </w:rPr>
        <w:t xml:space="preserve"> - </w:t>
      </w:r>
      <w:r w:rsidR="006C05DD">
        <w:rPr>
          <w:rFonts w:ascii="CAIXA Std Book" w:hAnsi="CAIXA Std Book"/>
          <w:color w:val="005CA9"/>
          <w:sz w:val="20"/>
          <w:szCs w:val="20"/>
        </w:rPr>
        <w:t>24.491.686)</w:t>
      </w:r>
      <w:r w:rsidRPr="00E7728B">
        <w:rPr>
          <w:rFonts w:ascii="CAIXA Std Book" w:hAnsi="CAIXA Std Book"/>
          <w:color w:val="005CA9"/>
          <w:sz w:val="20"/>
          <w:szCs w:val="20"/>
        </w:rPr>
        <w:t>.</w:t>
      </w:r>
    </w:p>
    <w:p w14:paraId="6961A7A2" w14:textId="433122A4" w:rsidR="00A71847" w:rsidRPr="000260FD" w:rsidRDefault="00A71847" w:rsidP="007544A3">
      <w:pPr>
        <w:spacing w:before="120" w:after="120"/>
        <w:jc w:val="both"/>
        <w:rPr>
          <w:rFonts w:ascii="CAIXA Std Book" w:hAnsi="CAIXA Std Book"/>
          <w:color w:val="005CA9"/>
          <w:sz w:val="20"/>
          <w:szCs w:val="20"/>
        </w:rPr>
      </w:pPr>
      <w:r>
        <w:rPr>
          <w:rFonts w:ascii="CAIXA Std Book" w:hAnsi="CAIXA Std Book"/>
          <w:color w:val="005CA9"/>
          <w:sz w:val="20"/>
          <w:szCs w:val="20"/>
        </w:rPr>
        <w:t>A carteira de crédito</w:t>
      </w:r>
      <w:r w:rsidR="00431BD3">
        <w:rPr>
          <w:rFonts w:ascii="CAIXA Std Book" w:hAnsi="CAIXA Std Book"/>
          <w:color w:val="005CA9"/>
          <w:sz w:val="20"/>
          <w:szCs w:val="20"/>
        </w:rPr>
        <w:t xml:space="preserve"> CAIXA total classificada como Ativo Probl</w:t>
      </w:r>
      <w:r w:rsidR="00871BC4">
        <w:rPr>
          <w:rFonts w:ascii="CAIXA Std Book" w:hAnsi="CAIXA Std Book"/>
          <w:color w:val="005CA9"/>
          <w:sz w:val="20"/>
          <w:szCs w:val="20"/>
        </w:rPr>
        <w:t>emático, ou seja, Estágio 3, alcançou</w:t>
      </w:r>
      <w:r w:rsidR="00603CDC">
        <w:rPr>
          <w:rFonts w:ascii="CAIXA Std Book" w:hAnsi="CAIXA Std Book"/>
          <w:color w:val="005CA9"/>
          <w:sz w:val="20"/>
          <w:szCs w:val="20"/>
        </w:rPr>
        <w:t xml:space="preserve"> o montante de R$ </w:t>
      </w:r>
      <w:r w:rsidR="001C2236">
        <w:rPr>
          <w:rFonts w:ascii="CAIXA Std Book" w:hAnsi="CAIXA Std Book"/>
          <w:color w:val="005CA9"/>
          <w:sz w:val="20"/>
          <w:szCs w:val="20"/>
        </w:rPr>
        <w:t>98.752.07</w:t>
      </w:r>
      <w:r w:rsidR="00EE593C">
        <w:rPr>
          <w:rFonts w:ascii="CAIXA Std Book" w:hAnsi="CAIXA Std Book"/>
          <w:color w:val="005CA9"/>
          <w:sz w:val="20"/>
          <w:szCs w:val="20"/>
        </w:rPr>
        <w:t>8</w:t>
      </w:r>
      <w:r w:rsidR="00592208">
        <w:rPr>
          <w:rFonts w:ascii="CAIXA Std Book" w:hAnsi="CAIXA Std Book"/>
          <w:color w:val="005CA9"/>
          <w:sz w:val="20"/>
          <w:szCs w:val="20"/>
        </w:rPr>
        <w:t xml:space="preserve"> (</w:t>
      </w:r>
      <w:r w:rsidR="0090424F">
        <w:rPr>
          <w:rFonts w:ascii="CAIXA Std Book" w:hAnsi="CAIXA Std Book"/>
          <w:color w:val="005CA9"/>
          <w:sz w:val="20"/>
          <w:szCs w:val="20"/>
        </w:rPr>
        <w:t xml:space="preserve">31/12/2025 - </w:t>
      </w:r>
      <w:r w:rsidR="00592208">
        <w:rPr>
          <w:rFonts w:ascii="CAIXA Std Book" w:hAnsi="CAIXA Std Book"/>
          <w:color w:val="005CA9"/>
          <w:sz w:val="20"/>
          <w:szCs w:val="20"/>
        </w:rPr>
        <w:t xml:space="preserve">R$ </w:t>
      </w:r>
      <w:r w:rsidR="00F7110B">
        <w:rPr>
          <w:rFonts w:ascii="CAIXA Std Book" w:hAnsi="CAIXA Std Book"/>
          <w:color w:val="005CA9"/>
          <w:sz w:val="20"/>
          <w:szCs w:val="20"/>
        </w:rPr>
        <w:t>89.513.911</w:t>
      </w:r>
      <w:r w:rsidR="00AD18CD">
        <w:rPr>
          <w:rFonts w:ascii="CAIXA Std Book" w:hAnsi="CAIXA Std Book"/>
          <w:color w:val="005CA9"/>
          <w:sz w:val="20"/>
          <w:szCs w:val="20"/>
        </w:rPr>
        <w:t>)</w:t>
      </w:r>
      <w:r w:rsidR="00603CDC">
        <w:rPr>
          <w:rFonts w:ascii="CAIXA Std Book" w:hAnsi="CAIXA Std Book"/>
          <w:color w:val="005CA9"/>
          <w:sz w:val="20"/>
          <w:szCs w:val="20"/>
        </w:rPr>
        <w:t xml:space="preserve">, sendo constituída provisão no montante de </w:t>
      </w:r>
      <w:r w:rsidR="00DA4B47" w:rsidRPr="00DE4C42">
        <w:rPr>
          <w:rFonts w:ascii="CAIXA Std Book" w:hAnsi="CAIXA Std Book"/>
          <w:color w:val="005CA9"/>
          <w:sz w:val="20"/>
          <w:szCs w:val="20"/>
        </w:rPr>
        <w:t xml:space="preserve">R$ </w:t>
      </w:r>
      <w:r w:rsidR="003D5C25">
        <w:rPr>
          <w:rFonts w:ascii="CAIXA Std Book" w:hAnsi="CAIXA Std Book"/>
          <w:color w:val="005CA9"/>
          <w:sz w:val="20"/>
          <w:szCs w:val="20"/>
        </w:rPr>
        <w:t>5</w:t>
      </w:r>
      <w:r w:rsidR="001001F2">
        <w:rPr>
          <w:rFonts w:ascii="CAIXA Std Book" w:hAnsi="CAIXA Std Book"/>
          <w:color w:val="005CA9"/>
          <w:sz w:val="20"/>
          <w:szCs w:val="20"/>
        </w:rPr>
        <w:t>0.660.191</w:t>
      </w:r>
      <w:r w:rsidR="00AD18CD">
        <w:rPr>
          <w:rFonts w:ascii="CAIXA Std Book" w:hAnsi="CAIXA Std Book"/>
          <w:color w:val="005CA9"/>
          <w:sz w:val="20"/>
          <w:szCs w:val="20"/>
        </w:rPr>
        <w:t xml:space="preserve"> (</w:t>
      </w:r>
      <w:r w:rsidR="0090424F">
        <w:rPr>
          <w:rFonts w:ascii="CAIXA Std Book" w:hAnsi="CAIXA Std Book"/>
          <w:color w:val="005CA9"/>
          <w:sz w:val="20"/>
          <w:szCs w:val="20"/>
        </w:rPr>
        <w:t xml:space="preserve">31/12/2025 - </w:t>
      </w:r>
      <w:r w:rsidR="00AD18CD">
        <w:rPr>
          <w:rFonts w:ascii="CAIXA Std Book" w:hAnsi="CAIXA Std Book"/>
          <w:color w:val="005CA9"/>
          <w:sz w:val="20"/>
          <w:szCs w:val="20"/>
        </w:rPr>
        <w:t>R$ 46.445.828</w:t>
      </w:r>
      <w:r w:rsidR="00130245">
        <w:rPr>
          <w:rFonts w:ascii="CAIXA Std Book" w:hAnsi="CAIXA Std Book"/>
          <w:color w:val="005CA9"/>
          <w:sz w:val="20"/>
          <w:szCs w:val="20"/>
        </w:rPr>
        <w:t>)</w:t>
      </w:r>
      <w:r w:rsidR="00DA4B47">
        <w:rPr>
          <w:rFonts w:ascii="CAIXA Std Book" w:hAnsi="CAIXA Std Book"/>
          <w:color w:val="005CA9"/>
          <w:sz w:val="20"/>
          <w:szCs w:val="20"/>
        </w:rPr>
        <w:t xml:space="preserve"> para a referida carteira</w:t>
      </w:r>
      <w:r w:rsidR="0062419E">
        <w:rPr>
          <w:rFonts w:ascii="CAIXA Std Book" w:hAnsi="CAIXA Std Book"/>
          <w:color w:val="005CA9"/>
          <w:sz w:val="20"/>
          <w:szCs w:val="20"/>
        </w:rPr>
        <w:t>.</w:t>
      </w:r>
    </w:p>
    <w:p w14:paraId="51D73688" w14:textId="25E2BD06" w:rsidR="00D5670C" w:rsidRPr="00607CD0" w:rsidRDefault="00D64B32" w:rsidP="007544A3">
      <w:pPr>
        <w:spacing w:before="120" w:after="120"/>
        <w:jc w:val="both"/>
        <w:rPr>
          <w:rFonts w:ascii="CAIXA Std Book" w:hAnsi="CAIXA Std Book"/>
          <w:color w:val="005CA9"/>
          <w:sz w:val="20"/>
          <w:szCs w:val="20"/>
        </w:rPr>
      </w:pPr>
      <w:r w:rsidRPr="00607CD0">
        <w:rPr>
          <w:rFonts w:ascii="CAIXA Std Book" w:hAnsi="CAIXA Std Book"/>
          <w:color w:val="005CA9"/>
          <w:sz w:val="20"/>
          <w:szCs w:val="20"/>
        </w:rPr>
        <w:t>O</w:t>
      </w:r>
      <w:r w:rsidR="00CA57C9">
        <w:rPr>
          <w:rFonts w:ascii="CAIXA Std Book" w:hAnsi="CAIXA Std Book"/>
          <w:color w:val="005CA9"/>
          <w:sz w:val="20"/>
          <w:szCs w:val="20"/>
        </w:rPr>
        <w:t>s</w:t>
      </w:r>
      <w:r w:rsidRPr="00607CD0">
        <w:rPr>
          <w:rFonts w:ascii="CAIXA Std Book" w:hAnsi="CAIXA Std Book"/>
          <w:color w:val="005CA9"/>
          <w:sz w:val="20"/>
          <w:szCs w:val="20"/>
        </w:rPr>
        <w:t xml:space="preserve"> componente</w:t>
      </w:r>
      <w:r w:rsidR="00CA57C9">
        <w:rPr>
          <w:rFonts w:ascii="CAIXA Std Book" w:hAnsi="CAIXA Std Book"/>
          <w:color w:val="005CA9"/>
          <w:sz w:val="20"/>
          <w:szCs w:val="20"/>
        </w:rPr>
        <w:t>s</w:t>
      </w:r>
      <w:r w:rsidRPr="00607CD0">
        <w:rPr>
          <w:rFonts w:ascii="CAIXA Std Book" w:hAnsi="CAIXA Std Book"/>
          <w:color w:val="005CA9"/>
          <w:sz w:val="20"/>
          <w:szCs w:val="20"/>
        </w:rPr>
        <w:t xml:space="preserve"> de maior relevância na carteira classificada como problemática decorre da </w:t>
      </w:r>
      <w:r w:rsidR="0083538D" w:rsidRPr="00607CD0">
        <w:rPr>
          <w:rFonts w:ascii="CAIXA Std Book" w:hAnsi="CAIXA Std Book"/>
          <w:color w:val="005CA9"/>
          <w:sz w:val="20"/>
          <w:szCs w:val="20"/>
        </w:rPr>
        <w:t>ina</w:t>
      </w:r>
      <w:r w:rsidR="009350A2" w:rsidRPr="00607CD0">
        <w:rPr>
          <w:rFonts w:ascii="CAIXA Std Book" w:hAnsi="CAIXA Std Book"/>
          <w:color w:val="005CA9"/>
          <w:sz w:val="20"/>
          <w:szCs w:val="20"/>
        </w:rPr>
        <w:t>dimplência e r</w:t>
      </w:r>
      <w:r w:rsidRPr="00607CD0">
        <w:rPr>
          <w:rFonts w:ascii="CAIXA Std Book" w:hAnsi="CAIXA Std Book"/>
          <w:color w:val="005CA9"/>
          <w:sz w:val="20"/>
          <w:szCs w:val="20"/>
        </w:rPr>
        <w:t>eestruturação, que responde</w:t>
      </w:r>
      <w:r w:rsidR="000869DB" w:rsidRPr="00607CD0">
        <w:rPr>
          <w:rFonts w:ascii="CAIXA Std Book" w:hAnsi="CAIXA Std Book"/>
          <w:color w:val="005CA9"/>
          <w:sz w:val="20"/>
          <w:szCs w:val="20"/>
        </w:rPr>
        <w:t>m</w:t>
      </w:r>
      <w:r w:rsidRPr="00607CD0">
        <w:rPr>
          <w:rFonts w:ascii="CAIXA Std Book" w:hAnsi="CAIXA Std Book"/>
          <w:color w:val="005CA9"/>
          <w:sz w:val="20"/>
          <w:szCs w:val="20"/>
        </w:rPr>
        <w:t xml:space="preserve"> por </w:t>
      </w:r>
      <w:r w:rsidR="004A39DA">
        <w:rPr>
          <w:rFonts w:ascii="CAIXA Std Book" w:hAnsi="CAIXA Std Book"/>
          <w:color w:val="005CA9"/>
          <w:sz w:val="20"/>
          <w:szCs w:val="20"/>
        </w:rPr>
        <w:t>78,29</w:t>
      </w:r>
      <w:r w:rsidRPr="00CA57C9">
        <w:rPr>
          <w:rFonts w:ascii="CAIXA Std Book" w:hAnsi="CAIXA Std Book"/>
          <w:color w:val="005CA9"/>
          <w:sz w:val="20"/>
          <w:szCs w:val="20"/>
        </w:rPr>
        <w:t xml:space="preserve">% </w:t>
      </w:r>
      <w:r w:rsidR="009350A2" w:rsidRPr="00CA57C9">
        <w:rPr>
          <w:rFonts w:ascii="CAIXA Std Book" w:hAnsi="CAIXA Std Book"/>
          <w:color w:val="005CA9"/>
          <w:sz w:val="20"/>
          <w:szCs w:val="20"/>
        </w:rPr>
        <w:t xml:space="preserve">e </w:t>
      </w:r>
      <w:r w:rsidR="004A39DA">
        <w:rPr>
          <w:rFonts w:ascii="CAIXA Std Book" w:hAnsi="CAIXA Std Book"/>
          <w:color w:val="005CA9"/>
          <w:sz w:val="20"/>
          <w:szCs w:val="20"/>
        </w:rPr>
        <w:t>10,21</w:t>
      </w:r>
      <w:r w:rsidR="00F12931" w:rsidRPr="00CA57C9">
        <w:rPr>
          <w:rFonts w:ascii="CAIXA Std Book" w:hAnsi="CAIXA Std Book"/>
          <w:color w:val="005CA9"/>
          <w:sz w:val="20"/>
          <w:szCs w:val="20"/>
        </w:rPr>
        <w:t>%</w:t>
      </w:r>
      <w:r w:rsidR="00250C4E">
        <w:rPr>
          <w:rFonts w:ascii="CAIXA Std Book" w:hAnsi="CAIXA Std Book"/>
          <w:color w:val="005CA9"/>
          <w:sz w:val="20"/>
          <w:szCs w:val="20"/>
        </w:rPr>
        <w:t xml:space="preserve"> (</w:t>
      </w:r>
      <w:r w:rsidR="001737E5">
        <w:rPr>
          <w:rFonts w:ascii="CAIXA Std Book" w:hAnsi="CAIXA Std Book"/>
          <w:color w:val="005CA9"/>
          <w:sz w:val="20"/>
          <w:szCs w:val="20"/>
        </w:rPr>
        <w:t xml:space="preserve">31/12/2025 - </w:t>
      </w:r>
      <w:r w:rsidR="00250C4E">
        <w:rPr>
          <w:rFonts w:ascii="CAIXA Std Book" w:hAnsi="CAIXA Std Book"/>
          <w:color w:val="005CA9"/>
          <w:sz w:val="20"/>
          <w:szCs w:val="20"/>
        </w:rPr>
        <w:t>72,87% e 13,94%)</w:t>
      </w:r>
      <w:r w:rsidR="00F12931" w:rsidRPr="00CA57C9">
        <w:rPr>
          <w:rFonts w:ascii="CAIXA Std Book" w:hAnsi="CAIXA Std Book"/>
          <w:color w:val="005CA9"/>
          <w:sz w:val="20"/>
          <w:szCs w:val="20"/>
        </w:rPr>
        <w:t xml:space="preserve">, </w:t>
      </w:r>
      <w:r w:rsidR="000869DB" w:rsidRPr="00CA57C9">
        <w:rPr>
          <w:rFonts w:ascii="CAIXA Std Book" w:hAnsi="CAIXA Std Book"/>
          <w:color w:val="005CA9"/>
          <w:sz w:val="20"/>
          <w:szCs w:val="20"/>
        </w:rPr>
        <w:t>totalizando</w:t>
      </w:r>
      <w:r w:rsidR="00FF01C8" w:rsidRPr="00CA57C9">
        <w:rPr>
          <w:rFonts w:ascii="CAIXA Std Book" w:hAnsi="CAIXA Std Book"/>
          <w:color w:val="005CA9"/>
          <w:sz w:val="20"/>
          <w:szCs w:val="20"/>
        </w:rPr>
        <w:t xml:space="preserve"> R$ </w:t>
      </w:r>
      <w:r w:rsidR="00F73A5A">
        <w:rPr>
          <w:rFonts w:ascii="CAIXA Std Book" w:hAnsi="CAIXA Std Book"/>
          <w:color w:val="005CA9"/>
          <w:sz w:val="20"/>
          <w:szCs w:val="20"/>
        </w:rPr>
        <w:t>77.314.019</w:t>
      </w:r>
      <w:r w:rsidR="00837ABB" w:rsidRPr="00CA57C9">
        <w:rPr>
          <w:rFonts w:ascii="CAIXA Std Book" w:hAnsi="CAIXA Std Book"/>
          <w:color w:val="005CA9"/>
          <w:sz w:val="20"/>
          <w:szCs w:val="20"/>
        </w:rPr>
        <w:t xml:space="preserve"> </w:t>
      </w:r>
      <w:r w:rsidR="00096D73" w:rsidRPr="00CA57C9">
        <w:rPr>
          <w:rFonts w:ascii="CAIXA Std Book" w:hAnsi="CAIXA Std Book"/>
          <w:color w:val="005CA9"/>
          <w:sz w:val="20"/>
          <w:szCs w:val="20"/>
        </w:rPr>
        <w:t xml:space="preserve">e R$ </w:t>
      </w:r>
      <w:r w:rsidR="00F73A5A">
        <w:rPr>
          <w:rFonts w:ascii="CAIXA Std Book" w:hAnsi="CAIXA Std Book"/>
          <w:color w:val="005CA9"/>
          <w:sz w:val="20"/>
          <w:szCs w:val="20"/>
        </w:rPr>
        <w:t>10.084.</w:t>
      </w:r>
      <w:r w:rsidR="00553BD1">
        <w:rPr>
          <w:rFonts w:ascii="CAIXA Std Book" w:hAnsi="CAIXA Std Book"/>
          <w:color w:val="005CA9"/>
          <w:sz w:val="20"/>
          <w:szCs w:val="20"/>
        </w:rPr>
        <w:t>966</w:t>
      </w:r>
      <w:r w:rsidR="00250C4E">
        <w:rPr>
          <w:rFonts w:ascii="CAIXA Std Book" w:hAnsi="CAIXA Std Book"/>
          <w:color w:val="005CA9"/>
          <w:sz w:val="20"/>
          <w:szCs w:val="20"/>
        </w:rPr>
        <w:t xml:space="preserve"> </w:t>
      </w:r>
      <w:r w:rsidR="00FF033F">
        <w:rPr>
          <w:rFonts w:ascii="CAIXA Std Book" w:hAnsi="CAIXA Std Book"/>
          <w:color w:val="005CA9"/>
          <w:sz w:val="20"/>
          <w:szCs w:val="20"/>
        </w:rPr>
        <w:t>(</w:t>
      </w:r>
      <w:r w:rsidR="001737E5">
        <w:rPr>
          <w:rFonts w:ascii="CAIXA Std Book" w:hAnsi="CAIXA Std Book"/>
          <w:color w:val="005CA9"/>
          <w:sz w:val="20"/>
          <w:szCs w:val="20"/>
        </w:rPr>
        <w:t xml:space="preserve">31/12/2025 - </w:t>
      </w:r>
      <w:r w:rsidR="00250C4E">
        <w:rPr>
          <w:rFonts w:ascii="CAIXA Std Book" w:hAnsi="CAIXA Std Book"/>
          <w:color w:val="005CA9"/>
          <w:sz w:val="20"/>
          <w:szCs w:val="20"/>
        </w:rPr>
        <w:t>R$ 65.227.140 e R$12.474.891</w:t>
      </w:r>
      <w:r w:rsidR="00FF033F">
        <w:rPr>
          <w:rFonts w:ascii="CAIXA Std Book" w:hAnsi="CAIXA Std Book"/>
          <w:color w:val="005CA9"/>
          <w:sz w:val="20"/>
          <w:szCs w:val="20"/>
        </w:rPr>
        <w:t>)</w:t>
      </w:r>
      <w:r w:rsidR="00A12B79" w:rsidRPr="00607CD0">
        <w:rPr>
          <w:rFonts w:ascii="CAIXA Std Book" w:hAnsi="CAIXA Std Book"/>
          <w:color w:val="005CA9"/>
          <w:sz w:val="20"/>
          <w:szCs w:val="20"/>
        </w:rPr>
        <w:t>, respectivamente.</w:t>
      </w:r>
    </w:p>
    <w:p w14:paraId="3F4FC3DE" w14:textId="7C3893DD" w:rsidR="007544A3" w:rsidRPr="00757540" w:rsidRDefault="00177293" w:rsidP="007544A3">
      <w:pPr>
        <w:spacing w:before="120" w:after="120"/>
        <w:jc w:val="both"/>
        <w:rPr>
          <w:rFonts w:ascii="CAIXA Std Book" w:hAnsi="CAIXA Std Book"/>
          <w:color w:val="005CA9"/>
          <w:sz w:val="20"/>
          <w:szCs w:val="20"/>
        </w:rPr>
      </w:pPr>
      <w:r w:rsidRPr="00757540">
        <w:rPr>
          <w:rFonts w:ascii="CAIXA Std Book" w:hAnsi="CAIXA Std Book"/>
          <w:color w:val="005CA9"/>
          <w:sz w:val="20"/>
          <w:szCs w:val="20"/>
        </w:rPr>
        <w:t xml:space="preserve">Considerando a marcação em ativo problemático por segmento, destaca-se o segmento habitacional (PF e PJ), que responde por </w:t>
      </w:r>
      <w:r w:rsidR="00C70AB6">
        <w:rPr>
          <w:rFonts w:ascii="CAIXA Std Book" w:hAnsi="CAIXA Std Book"/>
          <w:color w:val="005CA9"/>
          <w:sz w:val="20"/>
          <w:szCs w:val="20"/>
        </w:rPr>
        <w:t>4</w:t>
      </w:r>
      <w:r w:rsidR="004B6BB4">
        <w:rPr>
          <w:rFonts w:ascii="CAIXA Std Book" w:hAnsi="CAIXA Std Book"/>
          <w:color w:val="005CA9"/>
          <w:sz w:val="20"/>
          <w:szCs w:val="20"/>
        </w:rPr>
        <w:t>7,71</w:t>
      </w:r>
      <w:r w:rsidRPr="004F7489">
        <w:rPr>
          <w:rFonts w:ascii="CAIXA Std Book" w:hAnsi="CAIXA Std Book"/>
          <w:color w:val="005CA9"/>
          <w:sz w:val="20"/>
          <w:szCs w:val="20"/>
        </w:rPr>
        <w:t xml:space="preserve">% (R$ </w:t>
      </w:r>
      <w:r w:rsidR="000C285B">
        <w:rPr>
          <w:rFonts w:ascii="CAIXA Std Book" w:hAnsi="CAIXA Std Book"/>
          <w:color w:val="005CA9"/>
          <w:sz w:val="20"/>
          <w:szCs w:val="20"/>
        </w:rPr>
        <w:t>47.119.418</w:t>
      </w:r>
      <w:r w:rsidRPr="004F7489">
        <w:rPr>
          <w:rFonts w:ascii="CAIXA Std Book" w:hAnsi="CAIXA Std Book"/>
          <w:color w:val="005CA9"/>
          <w:sz w:val="20"/>
          <w:szCs w:val="20"/>
        </w:rPr>
        <w:t>)</w:t>
      </w:r>
      <w:r w:rsidR="00802F3C">
        <w:rPr>
          <w:rFonts w:ascii="CAIXA Std Book" w:hAnsi="CAIXA Std Book"/>
          <w:color w:val="005CA9"/>
          <w:sz w:val="20"/>
          <w:szCs w:val="20"/>
        </w:rPr>
        <w:t>,</w:t>
      </w:r>
      <w:r w:rsidR="00292C97">
        <w:rPr>
          <w:rFonts w:ascii="CAIXA Std Book" w:hAnsi="CAIXA Std Book"/>
          <w:color w:val="005CA9"/>
          <w:sz w:val="20"/>
          <w:szCs w:val="20"/>
        </w:rPr>
        <w:t xml:space="preserve"> </w:t>
      </w:r>
      <w:r w:rsidR="000922DD">
        <w:rPr>
          <w:rFonts w:ascii="CAIXA Std Book" w:hAnsi="CAIXA Std Book"/>
          <w:color w:val="005CA9"/>
          <w:sz w:val="20"/>
          <w:szCs w:val="20"/>
        </w:rPr>
        <w:t>(</w:t>
      </w:r>
      <w:r w:rsidR="001737E5">
        <w:rPr>
          <w:rFonts w:ascii="CAIXA Std Book" w:hAnsi="CAIXA Std Book"/>
          <w:color w:val="005CA9"/>
          <w:sz w:val="20"/>
          <w:szCs w:val="20"/>
        </w:rPr>
        <w:t xml:space="preserve">31/12/2025 - </w:t>
      </w:r>
      <w:r w:rsidR="00292C97">
        <w:rPr>
          <w:rFonts w:ascii="CAIXA Std Book" w:hAnsi="CAIXA Std Book"/>
          <w:color w:val="005CA9"/>
          <w:sz w:val="20"/>
          <w:szCs w:val="20"/>
        </w:rPr>
        <w:t>45,32%</w:t>
      </w:r>
      <w:r w:rsidR="005749B9">
        <w:rPr>
          <w:rFonts w:ascii="CAIXA Std Book" w:hAnsi="CAIXA Std Book"/>
          <w:color w:val="005CA9"/>
          <w:sz w:val="20"/>
          <w:szCs w:val="20"/>
        </w:rPr>
        <w:t xml:space="preserve"> </w:t>
      </w:r>
      <w:r w:rsidR="001737E5">
        <w:rPr>
          <w:rFonts w:ascii="CAIXA Std Book" w:hAnsi="CAIXA Std Book"/>
          <w:color w:val="005CA9"/>
          <w:sz w:val="20"/>
          <w:szCs w:val="20"/>
        </w:rPr>
        <w:t>(</w:t>
      </w:r>
      <w:r w:rsidR="004B7309">
        <w:rPr>
          <w:rFonts w:ascii="CAIXA Std Book" w:hAnsi="CAIXA Std Book"/>
          <w:color w:val="005CA9"/>
          <w:sz w:val="20"/>
          <w:szCs w:val="20"/>
        </w:rPr>
        <w:t>R$</w:t>
      </w:r>
      <w:r w:rsidR="008D27F0">
        <w:rPr>
          <w:rFonts w:ascii="CAIXA Std Book" w:hAnsi="CAIXA Std Book"/>
          <w:color w:val="005CA9"/>
          <w:sz w:val="20"/>
          <w:szCs w:val="20"/>
        </w:rPr>
        <w:t>40.564.065</w:t>
      </w:r>
      <w:r w:rsidR="001737E5">
        <w:rPr>
          <w:rFonts w:ascii="CAIXA Std Book" w:hAnsi="CAIXA Std Book"/>
          <w:color w:val="005CA9"/>
          <w:sz w:val="20"/>
          <w:szCs w:val="20"/>
        </w:rPr>
        <w:t>))</w:t>
      </w:r>
      <w:r w:rsidRPr="004F7489">
        <w:rPr>
          <w:rFonts w:ascii="CAIXA Std Book" w:hAnsi="CAIXA Std Book"/>
          <w:color w:val="005CA9"/>
          <w:sz w:val="20"/>
          <w:szCs w:val="20"/>
        </w:rPr>
        <w:t xml:space="preserve"> do total do</w:t>
      </w:r>
      <w:r w:rsidR="001A168D" w:rsidRPr="004F7489">
        <w:rPr>
          <w:rFonts w:ascii="CAIXA Std Book" w:hAnsi="CAIXA Std Book"/>
          <w:color w:val="005CA9"/>
          <w:sz w:val="20"/>
          <w:szCs w:val="20"/>
        </w:rPr>
        <w:t>s</w:t>
      </w:r>
      <w:r w:rsidR="00D5670C" w:rsidRPr="004F7489">
        <w:rPr>
          <w:rFonts w:ascii="CAIXA Std Book" w:hAnsi="CAIXA Std Book"/>
          <w:color w:val="005CA9"/>
          <w:sz w:val="20"/>
          <w:szCs w:val="20"/>
        </w:rPr>
        <w:t xml:space="preserve"> ativos problemáticos</w:t>
      </w:r>
      <w:r w:rsidR="00B72C50" w:rsidRPr="004F7489">
        <w:rPr>
          <w:rFonts w:ascii="CAIXA Std Book" w:hAnsi="CAIXA Std Book"/>
          <w:color w:val="005CA9"/>
          <w:sz w:val="20"/>
          <w:szCs w:val="20"/>
        </w:rPr>
        <w:t>,</w:t>
      </w:r>
      <w:r w:rsidR="000F0F79" w:rsidRPr="004F7489">
        <w:rPr>
          <w:rFonts w:ascii="CAIXA Std Book" w:hAnsi="CAIXA Std Book"/>
          <w:color w:val="005CA9"/>
          <w:sz w:val="20"/>
          <w:szCs w:val="20"/>
        </w:rPr>
        <w:t xml:space="preserve"> sendo predominante</w:t>
      </w:r>
      <w:r w:rsidR="008C52E7" w:rsidRPr="004F7489">
        <w:rPr>
          <w:rFonts w:ascii="CAIXA Std Book" w:hAnsi="CAIXA Std Book"/>
          <w:color w:val="005CA9"/>
          <w:sz w:val="20"/>
          <w:szCs w:val="20"/>
        </w:rPr>
        <w:t xml:space="preserve"> a marcação pelos motivadores</w:t>
      </w:r>
      <w:r w:rsidR="0053127D" w:rsidRPr="004F7489">
        <w:rPr>
          <w:rFonts w:ascii="CAIXA Std Book" w:hAnsi="CAIXA Std Book"/>
          <w:color w:val="005CA9"/>
          <w:sz w:val="20"/>
          <w:szCs w:val="20"/>
        </w:rPr>
        <w:t xml:space="preserve"> de inadimplência com </w:t>
      </w:r>
      <w:r w:rsidR="00A66F48">
        <w:rPr>
          <w:rFonts w:ascii="CAIXA Std Book" w:hAnsi="CAIXA Std Book"/>
          <w:color w:val="005CA9"/>
          <w:sz w:val="20"/>
          <w:szCs w:val="20"/>
        </w:rPr>
        <w:t>79,77</w:t>
      </w:r>
      <w:r w:rsidR="0053127D" w:rsidRPr="004F7489">
        <w:rPr>
          <w:rFonts w:ascii="CAIXA Std Book" w:hAnsi="CAIXA Std Book"/>
          <w:color w:val="005CA9"/>
          <w:sz w:val="20"/>
          <w:szCs w:val="20"/>
        </w:rPr>
        <w:t>% (R$</w:t>
      </w:r>
      <w:r w:rsidR="4A8E9F87" w:rsidRPr="004F7489">
        <w:rPr>
          <w:rFonts w:ascii="CAIXA Std Book" w:hAnsi="CAIXA Std Book"/>
          <w:color w:val="005CA9"/>
          <w:sz w:val="20"/>
          <w:szCs w:val="20"/>
        </w:rPr>
        <w:t xml:space="preserve"> </w:t>
      </w:r>
      <w:r w:rsidR="00A66F48">
        <w:rPr>
          <w:rFonts w:ascii="CAIXA Std Book" w:hAnsi="CAIXA Std Book"/>
          <w:color w:val="005CA9"/>
          <w:sz w:val="20"/>
          <w:szCs w:val="20"/>
        </w:rPr>
        <w:t>37.589.223</w:t>
      </w:r>
      <w:r w:rsidR="0053127D" w:rsidRPr="004F7489">
        <w:rPr>
          <w:rFonts w:ascii="CAIXA Std Book" w:hAnsi="CAIXA Std Book"/>
          <w:color w:val="005CA9"/>
          <w:sz w:val="20"/>
          <w:szCs w:val="20"/>
        </w:rPr>
        <w:t>)</w:t>
      </w:r>
      <w:r w:rsidR="00802F3C">
        <w:rPr>
          <w:rFonts w:ascii="CAIXA Std Book" w:hAnsi="CAIXA Std Book"/>
          <w:color w:val="005CA9"/>
          <w:sz w:val="20"/>
          <w:szCs w:val="20"/>
        </w:rPr>
        <w:t>, (</w:t>
      </w:r>
      <w:r w:rsidR="00D16D57">
        <w:rPr>
          <w:rFonts w:ascii="CAIXA Std Book" w:hAnsi="CAIXA Std Book"/>
          <w:color w:val="005CA9"/>
          <w:sz w:val="20"/>
          <w:szCs w:val="20"/>
        </w:rPr>
        <w:t>31/12/2025</w:t>
      </w:r>
      <w:r w:rsidR="0021636E">
        <w:rPr>
          <w:rFonts w:ascii="CAIXA Std Book" w:hAnsi="CAIXA Std Book"/>
          <w:color w:val="005CA9"/>
          <w:sz w:val="20"/>
          <w:szCs w:val="20"/>
        </w:rPr>
        <w:t xml:space="preserve"> - </w:t>
      </w:r>
      <w:r w:rsidR="00375678">
        <w:rPr>
          <w:rFonts w:ascii="CAIXA Std Book" w:hAnsi="CAIXA Std Book"/>
          <w:color w:val="005CA9"/>
          <w:sz w:val="20"/>
          <w:szCs w:val="20"/>
        </w:rPr>
        <w:t xml:space="preserve">71,94% </w:t>
      </w:r>
      <w:r w:rsidR="0021636E">
        <w:rPr>
          <w:rFonts w:ascii="CAIXA Std Book" w:hAnsi="CAIXA Std Book"/>
          <w:color w:val="005CA9"/>
          <w:sz w:val="20"/>
          <w:szCs w:val="20"/>
        </w:rPr>
        <w:t>(</w:t>
      </w:r>
      <w:r w:rsidR="00375678">
        <w:rPr>
          <w:rFonts w:ascii="CAIXA Std Book" w:hAnsi="CAIXA Std Book"/>
          <w:color w:val="005CA9"/>
          <w:sz w:val="20"/>
          <w:szCs w:val="20"/>
        </w:rPr>
        <w:t>R$ 29.180.871</w:t>
      </w:r>
      <w:r w:rsidR="0021636E">
        <w:rPr>
          <w:rFonts w:ascii="CAIXA Std Book" w:hAnsi="CAIXA Std Book"/>
          <w:color w:val="005CA9"/>
          <w:sz w:val="20"/>
          <w:szCs w:val="20"/>
        </w:rPr>
        <w:t>)</w:t>
      </w:r>
      <w:r w:rsidR="007E73BE">
        <w:rPr>
          <w:rFonts w:ascii="CAIXA Std Book" w:hAnsi="CAIXA Std Book"/>
          <w:color w:val="005CA9"/>
          <w:sz w:val="20"/>
          <w:szCs w:val="20"/>
        </w:rPr>
        <w:t>)</w:t>
      </w:r>
      <w:r w:rsidR="0053127D" w:rsidRPr="004F7489">
        <w:rPr>
          <w:rFonts w:ascii="CAIXA Std Book" w:hAnsi="CAIXA Std Book"/>
          <w:color w:val="005CA9"/>
          <w:sz w:val="20"/>
          <w:szCs w:val="20"/>
        </w:rPr>
        <w:t xml:space="preserve"> e reestruturação com </w:t>
      </w:r>
      <w:r w:rsidR="00082DB1">
        <w:rPr>
          <w:rFonts w:ascii="CAIXA Std Book" w:hAnsi="CAIXA Std Book"/>
          <w:color w:val="005CA9"/>
          <w:sz w:val="20"/>
          <w:szCs w:val="20"/>
        </w:rPr>
        <w:t>18,70</w:t>
      </w:r>
      <w:r w:rsidR="0053127D" w:rsidRPr="004F7489">
        <w:rPr>
          <w:rFonts w:ascii="CAIXA Std Book" w:hAnsi="CAIXA Std Book"/>
          <w:color w:val="005CA9"/>
          <w:sz w:val="20"/>
          <w:szCs w:val="20"/>
        </w:rPr>
        <w:t>%</w:t>
      </w:r>
      <w:r w:rsidR="001F3115" w:rsidRPr="004F7489">
        <w:rPr>
          <w:rFonts w:ascii="CAIXA Std Book" w:hAnsi="CAIXA Std Book"/>
          <w:color w:val="005CA9"/>
          <w:sz w:val="20"/>
          <w:szCs w:val="20"/>
        </w:rPr>
        <w:t xml:space="preserve"> (R$ </w:t>
      </w:r>
      <w:r w:rsidR="005956F8">
        <w:rPr>
          <w:rFonts w:ascii="CAIXA Std Book" w:hAnsi="CAIXA Std Book"/>
          <w:color w:val="005CA9"/>
          <w:sz w:val="20"/>
          <w:szCs w:val="20"/>
        </w:rPr>
        <w:t>8.811.031</w:t>
      </w:r>
      <w:r w:rsidR="001F3115" w:rsidRPr="004F7489">
        <w:rPr>
          <w:rFonts w:ascii="CAIXA Std Book" w:hAnsi="CAIXA Std Book"/>
          <w:color w:val="005CA9"/>
          <w:sz w:val="20"/>
          <w:szCs w:val="20"/>
        </w:rPr>
        <w:t>)</w:t>
      </w:r>
      <w:r w:rsidR="007E73BE">
        <w:rPr>
          <w:rFonts w:ascii="CAIXA Std Book" w:hAnsi="CAIXA Std Book"/>
          <w:color w:val="005CA9"/>
          <w:sz w:val="20"/>
          <w:szCs w:val="20"/>
        </w:rPr>
        <w:t>, (</w:t>
      </w:r>
      <w:r w:rsidR="0021636E">
        <w:rPr>
          <w:rFonts w:ascii="CAIXA Std Book" w:hAnsi="CAIXA Std Book"/>
          <w:color w:val="005CA9"/>
          <w:sz w:val="20"/>
          <w:szCs w:val="20"/>
        </w:rPr>
        <w:t>31/12/2025</w:t>
      </w:r>
      <w:r w:rsidR="00B56CF6">
        <w:rPr>
          <w:rFonts w:ascii="CAIXA Std Book" w:hAnsi="CAIXA Std Book"/>
          <w:color w:val="005CA9"/>
          <w:sz w:val="20"/>
          <w:szCs w:val="20"/>
        </w:rPr>
        <w:t xml:space="preserve"> </w:t>
      </w:r>
      <w:r w:rsidR="00DA7805">
        <w:rPr>
          <w:rFonts w:ascii="CAIXA Std Book" w:hAnsi="CAIXA Std Book"/>
          <w:color w:val="005CA9"/>
          <w:sz w:val="20"/>
          <w:szCs w:val="20"/>
        </w:rPr>
        <w:t xml:space="preserve">- </w:t>
      </w:r>
      <w:r w:rsidR="00464A4B">
        <w:rPr>
          <w:rFonts w:ascii="CAIXA Std Book" w:hAnsi="CAIXA Std Book"/>
          <w:color w:val="005CA9"/>
          <w:sz w:val="20"/>
          <w:szCs w:val="20"/>
        </w:rPr>
        <w:t xml:space="preserve">26% </w:t>
      </w:r>
      <w:r w:rsidR="00DA7805">
        <w:rPr>
          <w:rFonts w:ascii="CAIXA Std Book" w:hAnsi="CAIXA Std Book"/>
          <w:color w:val="005CA9"/>
          <w:sz w:val="20"/>
          <w:szCs w:val="20"/>
        </w:rPr>
        <w:t>(</w:t>
      </w:r>
      <w:r w:rsidR="00464A4B">
        <w:rPr>
          <w:rFonts w:ascii="CAIXA Std Book" w:hAnsi="CAIXA Std Book"/>
          <w:color w:val="005CA9"/>
          <w:sz w:val="20"/>
          <w:szCs w:val="20"/>
        </w:rPr>
        <w:t>R$ 10.546.569</w:t>
      </w:r>
      <w:r w:rsidR="00DA7805">
        <w:rPr>
          <w:rFonts w:ascii="CAIXA Std Book" w:hAnsi="CAIXA Std Book"/>
          <w:color w:val="005CA9"/>
          <w:sz w:val="20"/>
          <w:szCs w:val="20"/>
        </w:rPr>
        <w:t>)</w:t>
      </w:r>
      <w:r w:rsidR="00464A4B">
        <w:rPr>
          <w:rFonts w:ascii="CAIXA Std Book" w:hAnsi="CAIXA Std Book"/>
          <w:color w:val="005CA9"/>
          <w:sz w:val="20"/>
          <w:szCs w:val="20"/>
        </w:rPr>
        <w:t>)</w:t>
      </w:r>
      <w:r w:rsidRPr="004F7489">
        <w:rPr>
          <w:rFonts w:ascii="CAIXA Std Book" w:hAnsi="CAIXA Std Book"/>
          <w:color w:val="005CA9"/>
          <w:sz w:val="20"/>
          <w:szCs w:val="20"/>
        </w:rPr>
        <w:t>.</w:t>
      </w:r>
      <w:r w:rsidRPr="00757540">
        <w:rPr>
          <w:rFonts w:ascii="CAIXA Std Book" w:hAnsi="CAIXA Std Book"/>
          <w:color w:val="005CA9"/>
          <w:sz w:val="20"/>
          <w:szCs w:val="20"/>
        </w:rPr>
        <w:t xml:space="preserve"> </w:t>
      </w:r>
    </w:p>
    <w:p w14:paraId="641BEADD" w14:textId="32FC1099" w:rsidR="00D64B32" w:rsidRPr="00482895" w:rsidRDefault="000F149F" w:rsidP="00626132">
      <w:pPr>
        <w:spacing w:before="120" w:after="120"/>
        <w:jc w:val="both"/>
        <w:rPr>
          <w:rFonts w:ascii="CAIXA Std Book" w:hAnsi="CAIXA Std Book"/>
          <w:color w:val="005CA9"/>
          <w:sz w:val="20"/>
          <w:szCs w:val="20"/>
        </w:rPr>
      </w:pPr>
      <w:r w:rsidRPr="00482895">
        <w:rPr>
          <w:rFonts w:ascii="CAIXA Std Book" w:hAnsi="CAIXA Std Book"/>
          <w:color w:val="005CA9"/>
          <w:sz w:val="20"/>
          <w:szCs w:val="20"/>
        </w:rPr>
        <w:t>A e</w:t>
      </w:r>
      <w:r w:rsidR="00D64B32" w:rsidRPr="00482895">
        <w:rPr>
          <w:rFonts w:ascii="CAIXA Std Book" w:hAnsi="CAIXA Std Book"/>
          <w:color w:val="005CA9"/>
          <w:sz w:val="20"/>
          <w:szCs w:val="20"/>
        </w:rPr>
        <w:t>xpectativa de recuperação dos instrumentos financeiros com problema de recuperação de crédito</w:t>
      </w:r>
      <w:r w:rsidR="007410D2" w:rsidRPr="00482895">
        <w:rPr>
          <w:rFonts w:ascii="CAIXA Std Book" w:hAnsi="CAIXA Std Book"/>
          <w:color w:val="005CA9"/>
          <w:sz w:val="20"/>
          <w:szCs w:val="20"/>
        </w:rPr>
        <w:t xml:space="preserve"> em </w:t>
      </w:r>
      <w:r w:rsidR="00044F97" w:rsidRPr="00482895">
        <w:rPr>
          <w:rFonts w:ascii="CAIXA Std Book" w:hAnsi="CAIXA Std Book"/>
          <w:color w:val="005CA9"/>
          <w:sz w:val="20"/>
          <w:szCs w:val="20"/>
        </w:rPr>
        <w:t>março</w:t>
      </w:r>
      <w:r w:rsidR="00D02450" w:rsidRPr="00482895">
        <w:rPr>
          <w:rFonts w:ascii="CAIXA Std Book" w:hAnsi="CAIXA Std Book"/>
          <w:color w:val="005CA9"/>
          <w:sz w:val="20"/>
          <w:szCs w:val="20"/>
        </w:rPr>
        <w:t xml:space="preserve"> de </w:t>
      </w:r>
      <w:r w:rsidR="007410D2" w:rsidRPr="00482895">
        <w:rPr>
          <w:rFonts w:ascii="CAIXA Std Book" w:hAnsi="CAIXA Std Book"/>
          <w:color w:val="005CA9"/>
          <w:sz w:val="20"/>
          <w:szCs w:val="20"/>
        </w:rPr>
        <w:t>202</w:t>
      </w:r>
      <w:r w:rsidR="00044F97" w:rsidRPr="00482895">
        <w:rPr>
          <w:rFonts w:ascii="CAIXA Std Book" w:hAnsi="CAIXA Std Book"/>
          <w:color w:val="005CA9"/>
          <w:sz w:val="20"/>
          <w:szCs w:val="20"/>
        </w:rPr>
        <w:t>6</w:t>
      </w:r>
      <w:r w:rsidR="007410D2" w:rsidRPr="00482895">
        <w:rPr>
          <w:rFonts w:ascii="CAIXA Std Book" w:hAnsi="CAIXA Std Book"/>
          <w:color w:val="005CA9"/>
          <w:sz w:val="20"/>
          <w:szCs w:val="20"/>
        </w:rPr>
        <w:t xml:space="preserve"> totaliza o montante de R$ </w:t>
      </w:r>
      <w:r w:rsidR="00682EF7" w:rsidRPr="00482895">
        <w:rPr>
          <w:rFonts w:ascii="CAIXA Std Book" w:hAnsi="CAIXA Std Book"/>
          <w:color w:val="005CA9"/>
          <w:sz w:val="20"/>
          <w:szCs w:val="20"/>
        </w:rPr>
        <w:t>98.</w:t>
      </w:r>
      <w:r w:rsidR="00504904" w:rsidRPr="00482895">
        <w:rPr>
          <w:rFonts w:ascii="CAIXA Std Book" w:hAnsi="CAIXA Std Book"/>
          <w:color w:val="005CA9"/>
          <w:sz w:val="20"/>
          <w:szCs w:val="20"/>
        </w:rPr>
        <w:t>300.663</w:t>
      </w:r>
      <w:r w:rsidR="00B30A36" w:rsidRPr="00482895">
        <w:rPr>
          <w:rFonts w:ascii="CAIXA Std Book" w:hAnsi="CAIXA Std Book"/>
          <w:color w:val="005CA9"/>
          <w:sz w:val="20"/>
          <w:szCs w:val="20"/>
        </w:rPr>
        <w:t xml:space="preserve"> (</w:t>
      </w:r>
      <w:r w:rsidR="00DA7805" w:rsidRPr="00482895">
        <w:rPr>
          <w:rFonts w:ascii="CAIXA Std Book" w:hAnsi="CAIXA Std Book"/>
          <w:color w:val="005CA9"/>
          <w:sz w:val="20"/>
          <w:szCs w:val="20"/>
        </w:rPr>
        <w:t>31/12/2025</w:t>
      </w:r>
      <w:r w:rsidR="00703B19" w:rsidRPr="00482895">
        <w:rPr>
          <w:rFonts w:ascii="CAIXA Std Book" w:hAnsi="CAIXA Std Book"/>
          <w:color w:val="005CA9"/>
          <w:sz w:val="20"/>
          <w:szCs w:val="20"/>
        </w:rPr>
        <w:t xml:space="preserve"> - </w:t>
      </w:r>
      <w:r w:rsidR="00B30A36" w:rsidRPr="00482895">
        <w:rPr>
          <w:rFonts w:ascii="CAIXA Std Book" w:hAnsi="CAIXA Std Book"/>
          <w:color w:val="005CA9"/>
          <w:sz w:val="20"/>
          <w:szCs w:val="20"/>
        </w:rPr>
        <w:t>R$ 89.091.304)</w:t>
      </w:r>
      <w:r w:rsidR="00044F97" w:rsidRPr="00482895">
        <w:rPr>
          <w:rFonts w:ascii="CAIXA Std Book" w:hAnsi="CAIXA Std Book"/>
          <w:color w:val="005CA9"/>
          <w:sz w:val="20"/>
          <w:szCs w:val="20"/>
        </w:rPr>
        <w:t>.</w:t>
      </w:r>
    </w:p>
    <w:p w14:paraId="1D3ECCC4" w14:textId="6022112D" w:rsidR="001D6A12" w:rsidRPr="00E00931" w:rsidRDefault="00357BB9" w:rsidP="001A1FB1">
      <w:pPr>
        <w:jc w:val="both"/>
        <w:rPr>
          <w:rFonts w:ascii="CAIXA Std Book" w:hAnsi="CAIXA Std Book"/>
          <w:color w:val="005CA9"/>
          <w:sz w:val="20"/>
          <w:szCs w:val="20"/>
        </w:rPr>
      </w:pPr>
      <w:r>
        <w:rPr>
          <w:rFonts w:ascii="CAIXA Std Book" w:hAnsi="CAIXA Std Book"/>
          <w:color w:val="005CA9"/>
          <w:sz w:val="20"/>
          <w:szCs w:val="20"/>
        </w:rPr>
        <w:t xml:space="preserve">No 1º trimestre de </w:t>
      </w:r>
      <w:r w:rsidR="00044F97" w:rsidRPr="002D5FE8">
        <w:rPr>
          <w:rFonts w:ascii="CAIXA Std Book" w:hAnsi="CAIXA Std Book"/>
          <w:color w:val="005CA9"/>
          <w:sz w:val="20"/>
          <w:szCs w:val="20"/>
        </w:rPr>
        <w:t>2026</w:t>
      </w:r>
      <w:r w:rsidR="00706C0B" w:rsidRPr="00E00931">
        <w:rPr>
          <w:rFonts w:ascii="CAIXA Std Book" w:hAnsi="CAIXA Std Book"/>
          <w:color w:val="005CA9"/>
          <w:sz w:val="20"/>
          <w:szCs w:val="20"/>
        </w:rPr>
        <w:t xml:space="preserve"> a</w:t>
      </w:r>
      <w:r w:rsidR="000F149F" w:rsidRPr="00E00931">
        <w:rPr>
          <w:rFonts w:ascii="CAIXA Std Book" w:hAnsi="CAIXA Std Book"/>
          <w:color w:val="005CA9"/>
          <w:sz w:val="20"/>
          <w:szCs w:val="20"/>
        </w:rPr>
        <w:t>s r</w:t>
      </w:r>
      <w:r w:rsidR="00D64B32" w:rsidRPr="00E00931">
        <w:rPr>
          <w:rFonts w:ascii="CAIXA Std Book" w:hAnsi="CAIXA Std Book"/>
          <w:color w:val="005CA9"/>
          <w:sz w:val="20"/>
          <w:szCs w:val="20"/>
        </w:rPr>
        <w:t>eceitas não reconhecidas em função do ativo ser caracterizado com problema de recuperação de crédito</w:t>
      </w:r>
      <w:r w:rsidR="007A098B" w:rsidRPr="00E00931">
        <w:rPr>
          <w:rFonts w:ascii="CAIXA Std Book" w:hAnsi="CAIXA Std Book"/>
          <w:color w:val="005CA9"/>
          <w:sz w:val="20"/>
          <w:szCs w:val="20"/>
        </w:rPr>
        <w:t xml:space="preserve"> totalizaram o montante de R$ </w:t>
      </w:r>
      <w:r w:rsidR="00407295">
        <w:rPr>
          <w:rFonts w:ascii="CAIXA Std Book" w:hAnsi="CAIXA Std Book"/>
          <w:color w:val="005CA9"/>
          <w:sz w:val="20"/>
          <w:szCs w:val="20"/>
        </w:rPr>
        <w:t>1.</w:t>
      </w:r>
      <w:r w:rsidR="000E7AC2">
        <w:rPr>
          <w:rFonts w:ascii="CAIXA Std Book" w:hAnsi="CAIXA Std Book"/>
          <w:color w:val="005CA9"/>
          <w:sz w:val="20"/>
          <w:szCs w:val="20"/>
        </w:rPr>
        <w:t>925.202</w:t>
      </w:r>
      <w:r w:rsidR="00BE5248" w:rsidRPr="008C7F64">
        <w:rPr>
          <w:rFonts w:ascii="CAIXA Std Book" w:hAnsi="CAIXA Std Book"/>
          <w:color w:val="005CA9"/>
          <w:sz w:val="20"/>
          <w:szCs w:val="20"/>
        </w:rPr>
        <w:t xml:space="preserve"> (</w:t>
      </w:r>
      <w:r w:rsidR="008C1A02" w:rsidRPr="00357BB9">
        <w:rPr>
          <w:rFonts w:ascii="CAIXA Std Book" w:hAnsi="CAIXA Std Book"/>
          <w:color w:val="005CA9"/>
          <w:sz w:val="20"/>
          <w:szCs w:val="20"/>
        </w:rPr>
        <w:t>1º trimestre</w:t>
      </w:r>
      <w:r w:rsidR="001D5A51" w:rsidRPr="00357BB9">
        <w:rPr>
          <w:rFonts w:ascii="CAIXA Std Book" w:hAnsi="CAIXA Std Book"/>
          <w:color w:val="005CA9"/>
          <w:sz w:val="20"/>
          <w:szCs w:val="20"/>
        </w:rPr>
        <w:t xml:space="preserve"> </w:t>
      </w:r>
      <w:r w:rsidR="00703B19" w:rsidRPr="00407295">
        <w:rPr>
          <w:rFonts w:ascii="CAIXA Std Book" w:hAnsi="CAIXA Std Book"/>
          <w:color w:val="005CA9"/>
          <w:sz w:val="20"/>
          <w:szCs w:val="20"/>
        </w:rPr>
        <w:t xml:space="preserve">2025 - </w:t>
      </w:r>
      <w:r w:rsidR="00BE5248" w:rsidRPr="00407295">
        <w:rPr>
          <w:rFonts w:ascii="CAIXA Std Book" w:hAnsi="CAIXA Std Book"/>
          <w:color w:val="005CA9"/>
          <w:sz w:val="20"/>
          <w:szCs w:val="20"/>
        </w:rPr>
        <w:t xml:space="preserve">R$ </w:t>
      </w:r>
      <w:r w:rsidR="00F36C97" w:rsidRPr="00357BB9">
        <w:rPr>
          <w:rFonts w:ascii="CAIXA Std Book" w:hAnsi="CAIXA Std Book"/>
          <w:color w:val="005CA9"/>
          <w:sz w:val="20"/>
          <w:szCs w:val="20"/>
        </w:rPr>
        <w:t>5.880.689</w:t>
      </w:r>
      <w:r w:rsidR="00B30A36" w:rsidRPr="00407295">
        <w:rPr>
          <w:rFonts w:ascii="CAIXA Std Book" w:hAnsi="CAIXA Std Book"/>
          <w:color w:val="005CA9"/>
          <w:sz w:val="20"/>
          <w:szCs w:val="20"/>
        </w:rPr>
        <w:t>).</w:t>
      </w:r>
    </w:p>
    <w:p w14:paraId="18013340" w14:textId="5B770511" w:rsidR="00DC600E" w:rsidRPr="00E95E29" w:rsidRDefault="00DC600E" w:rsidP="00B735D2">
      <w:pPr>
        <w:pStyle w:val="Ttulo1"/>
      </w:pPr>
      <w:bookmarkStart w:id="95" w:name="_Toc217914330"/>
      <w:bookmarkStart w:id="96" w:name="_Toc229588480"/>
      <w:r w:rsidRPr="00E95E29">
        <w:t xml:space="preserve">Nota   </w:t>
      </w:r>
      <w:r>
        <w:t>8</w:t>
      </w:r>
      <w:r w:rsidRPr="00E95E29">
        <w:t>.</w:t>
      </w:r>
      <w:r>
        <w:t>5</w:t>
      </w:r>
      <w:r w:rsidRPr="00E95E29">
        <w:t xml:space="preserve"> – Outros ativos financeiros </w:t>
      </w:r>
      <w:r>
        <w:t>ao custo amortizado</w:t>
      </w:r>
      <w:bookmarkEnd w:id="95"/>
      <w:bookmarkEnd w:id="96"/>
    </w:p>
    <w:p w14:paraId="008F3A57" w14:textId="0117EE21" w:rsidR="00A10D04" w:rsidRDefault="00DC600E" w:rsidP="00DC600E">
      <w:pPr>
        <w:pStyle w:val="PargrafodaLista"/>
        <w:numPr>
          <w:ilvl w:val="0"/>
          <w:numId w:val="5"/>
        </w:numPr>
        <w:spacing w:before="240" w:after="240"/>
        <w:ind w:left="556" w:hanging="567"/>
        <w:rPr>
          <w:rFonts w:ascii="CAIXA Std Book" w:hAnsi="CAIXA Std Book"/>
          <w:b/>
          <w:color w:val="005CA9"/>
          <w:sz w:val="20"/>
          <w:szCs w:val="20"/>
        </w:rPr>
      </w:pPr>
      <w:r w:rsidRPr="00B04D8D">
        <w:rPr>
          <w:rFonts w:ascii="CAIXA Std Book" w:eastAsia="Times New Roman" w:hAnsi="CAIXA Std Book" w:cs="Arial"/>
          <w:b/>
          <w:bCs/>
          <w:color w:val="005CA9"/>
          <w:sz w:val="20"/>
          <w:szCs w:val="20"/>
        </w:rPr>
        <w:t>Composição</w:t>
      </w:r>
    </w:p>
    <w:tbl>
      <w:tblPr>
        <w:tblW w:w="5031" w:type="pct"/>
        <w:tblCellMar>
          <w:left w:w="0" w:type="dxa"/>
          <w:right w:w="0" w:type="dxa"/>
        </w:tblCellMar>
        <w:tblLook w:val="04A0" w:firstRow="1" w:lastRow="0" w:firstColumn="1" w:lastColumn="0" w:noHBand="0" w:noVBand="1"/>
      </w:tblPr>
      <w:tblGrid>
        <w:gridCol w:w="4419"/>
        <w:gridCol w:w="1319"/>
        <w:gridCol w:w="1319"/>
        <w:gridCol w:w="1319"/>
        <w:gridCol w:w="1321"/>
      </w:tblGrid>
      <w:tr w:rsidR="002837CF" w14:paraId="02028D7E" w14:textId="77777777" w:rsidTr="0051526A">
        <w:trPr>
          <w:trHeight w:val="195"/>
        </w:trPr>
        <w:tc>
          <w:tcPr>
            <w:tcW w:w="2279" w:type="pct"/>
            <w:vMerge w:val="restart"/>
            <w:tcBorders>
              <w:top w:val="nil"/>
              <w:left w:val="nil"/>
              <w:bottom w:val="nil"/>
              <w:right w:val="nil"/>
            </w:tcBorders>
            <w:shd w:val="clear" w:color="000000" w:fill="005CA9"/>
            <w:tcMar>
              <w:top w:w="15" w:type="dxa"/>
              <w:left w:w="15" w:type="dxa"/>
              <w:bottom w:w="0" w:type="dxa"/>
              <w:right w:w="15" w:type="dxa"/>
            </w:tcMar>
            <w:vAlign w:val="center"/>
            <w:hideMark/>
          </w:tcPr>
          <w:p w14:paraId="2AB1E7B1" w14:textId="77777777" w:rsidR="002837CF" w:rsidRPr="005C49DE" w:rsidRDefault="002837CF">
            <w:pPr>
              <w:jc w:val="center"/>
              <w:rPr>
                <w:rFonts w:ascii="CAIXA Std Book" w:hAnsi="CAIXA Std Book"/>
                <w:b/>
                <w:color w:val="FFFFFF"/>
                <w:sz w:val="18"/>
                <w:szCs w:val="18"/>
              </w:rPr>
            </w:pPr>
            <w:r w:rsidRPr="005C49DE">
              <w:rPr>
                <w:rFonts w:ascii="CAIXA Std Book" w:hAnsi="CAIXA Std Book"/>
                <w:b/>
                <w:color w:val="FFFFFF"/>
                <w:sz w:val="18"/>
                <w:szCs w:val="18"/>
              </w:rPr>
              <w:t>Descrição</w:t>
            </w:r>
          </w:p>
        </w:tc>
        <w:tc>
          <w:tcPr>
            <w:tcW w:w="2721" w:type="pct"/>
            <w:gridSpan w:val="4"/>
            <w:tcBorders>
              <w:top w:val="nil"/>
              <w:left w:val="nil"/>
              <w:bottom w:val="single" w:sz="4" w:space="0" w:color="FFFFFF"/>
              <w:right w:val="nil"/>
            </w:tcBorders>
            <w:shd w:val="clear" w:color="000000" w:fill="005CA9"/>
            <w:noWrap/>
            <w:tcMar>
              <w:top w:w="15" w:type="dxa"/>
              <w:left w:w="15" w:type="dxa"/>
              <w:bottom w:w="0" w:type="dxa"/>
              <w:right w:w="15" w:type="dxa"/>
            </w:tcMar>
            <w:vAlign w:val="center"/>
            <w:hideMark/>
          </w:tcPr>
          <w:p w14:paraId="06122AD9" w14:textId="7CD4B975" w:rsidR="002837CF" w:rsidRPr="005C49DE" w:rsidRDefault="002837CF">
            <w:pPr>
              <w:jc w:val="center"/>
              <w:rPr>
                <w:rFonts w:ascii="CAIXA Std Book" w:hAnsi="CAIXA Std Book"/>
                <w:b/>
                <w:color w:val="FFFFFF"/>
                <w:sz w:val="18"/>
                <w:szCs w:val="18"/>
              </w:rPr>
            </w:pPr>
            <w:r w:rsidRPr="005C49DE">
              <w:rPr>
                <w:rFonts w:ascii="CAIXA Std Book" w:hAnsi="CAIXA Std Book"/>
                <w:b/>
                <w:color w:val="FFFFFF"/>
                <w:sz w:val="18"/>
                <w:szCs w:val="18"/>
              </w:rPr>
              <w:t>Individual</w:t>
            </w:r>
          </w:p>
        </w:tc>
      </w:tr>
      <w:tr w:rsidR="002837CF" w14:paraId="4139C8F4" w14:textId="77777777" w:rsidTr="0051526A">
        <w:trPr>
          <w:trHeight w:val="195"/>
        </w:trPr>
        <w:tc>
          <w:tcPr>
            <w:tcW w:w="2279" w:type="pct"/>
            <w:vMerge/>
            <w:tcBorders>
              <w:top w:val="nil"/>
              <w:left w:val="nil"/>
              <w:bottom w:val="nil"/>
              <w:right w:val="nil"/>
            </w:tcBorders>
            <w:vAlign w:val="center"/>
            <w:hideMark/>
          </w:tcPr>
          <w:p w14:paraId="36FAD944" w14:textId="77777777" w:rsidR="002837CF" w:rsidRPr="005C49DE" w:rsidRDefault="002837CF" w:rsidP="00D310A8">
            <w:pPr>
              <w:jc w:val="center"/>
              <w:rPr>
                <w:rFonts w:ascii="CAIXA Std Book" w:hAnsi="CAIXA Std Book"/>
                <w:b/>
                <w:color w:val="FFFFFF"/>
                <w:sz w:val="18"/>
                <w:szCs w:val="18"/>
              </w:rPr>
            </w:pPr>
          </w:p>
        </w:tc>
        <w:tc>
          <w:tcPr>
            <w:tcW w:w="1360" w:type="pct"/>
            <w:gridSpan w:val="2"/>
            <w:tcBorders>
              <w:top w:val="nil"/>
              <w:left w:val="nil"/>
              <w:bottom w:val="single" w:sz="4" w:space="0" w:color="FFFFFF"/>
              <w:right w:val="nil"/>
            </w:tcBorders>
            <w:shd w:val="clear" w:color="000000" w:fill="005CA9"/>
            <w:noWrap/>
            <w:tcMar>
              <w:top w:w="15" w:type="dxa"/>
              <w:left w:w="15" w:type="dxa"/>
              <w:bottom w:w="0" w:type="dxa"/>
              <w:right w:w="15" w:type="dxa"/>
            </w:tcMar>
            <w:vAlign w:val="center"/>
            <w:hideMark/>
          </w:tcPr>
          <w:p w14:paraId="506DCBEA" w14:textId="77777777" w:rsidR="002837CF" w:rsidRPr="005C49DE" w:rsidRDefault="002837CF">
            <w:pPr>
              <w:jc w:val="center"/>
              <w:rPr>
                <w:rFonts w:ascii="CAIXA Std Book" w:hAnsi="CAIXA Std Book"/>
                <w:b/>
                <w:color w:val="FFFFFF"/>
                <w:sz w:val="18"/>
                <w:szCs w:val="18"/>
              </w:rPr>
            </w:pPr>
            <w:r w:rsidRPr="005C49DE">
              <w:rPr>
                <w:rFonts w:ascii="CAIXA Std Book" w:hAnsi="CAIXA Std Book"/>
                <w:b/>
                <w:color w:val="FFFFFF"/>
                <w:sz w:val="18"/>
                <w:szCs w:val="18"/>
              </w:rPr>
              <w:t>31/03/2026</w:t>
            </w:r>
          </w:p>
        </w:tc>
        <w:tc>
          <w:tcPr>
            <w:tcW w:w="1361" w:type="pct"/>
            <w:gridSpan w:val="2"/>
            <w:tcBorders>
              <w:top w:val="nil"/>
              <w:left w:val="nil"/>
              <w:bottom w:val="single" w:sz="4" w:space="0" w:color="FFFFFF"/>
              <w:right w:val="nil"/>
            </w:tcBorders>
            <w:shd w:val="clear" w:color="000000" w:fill="005CA9"/>
            <w:noWrap/>
            <w:tcMar>
              <w:top w:w="15" w:type="dxa"/>
              <w:left w:w="15" w:type="dxa"/>
              <w:bottom w:w="0" w:type="dxa"/>
              <w:right w:w="15" w:type="dxa"/>
            </w:tcMar>
            <w:vAlign w:val="center"/>
            <w:hideMark/>
          </w:tcPr>
          <w:p w14:paraId="1F34A20E" w14:textId="77777777" w:rsidR="002837CF" w:rsidRPr="005C49DE" w:rsidRDefault="002837CF">
            <w:pPr>
              <w:jc w:val="center"/>
              <w:rPr>
                <w:rFonts w:ascii="CAIXA Std Book" w:hAnsi="CAIXA Std Book"/>
                <w:b/>
                <w:color w:val="FFFFFF"/>
                <w:sz w:val="18"/>
                <w:szCs w:val="18"/>
              </w:rPr>
            </w:pPr>
            <w:r w:rsidRPr="005C49DE">
              <w:rPr>
                <w:rFonts w:ascii="CAIXA Std Book" w:hAnsi="CAIXA Std Book"/>
                <w:b/>
                <w:color w:val="FFFFFF"/>
                <w:sz w:val="18"/>
                <w:szCs w:val="18"/>
              </w:rPr>
              <w:t>31/12/2025</w:t>
            </w:r>
          </w:p>
        </w:tc>
      </w:tr>
      <w:tr w:rsidR="002837CF" w14:paraId="58CDD334" w14:textId="77777777" w:rsidTr="0051526A">
        <w:trPr>
          <w:trHeight w:val="195"/>
        </w:trPr>
        <w:tc>
          <w:tcPr>
            <w:tcW w:w="2279" w:type="pct"/>
            <w:vMerge/>
            <w:tcBorders>
              <w:top w:val="nil"/>
              <w:left w:val="nil"/>
              <w:bottom w:val="nil"/>
              <w:right w:val="nil"/>
            </w:tcBorders>
            <w:vAlign w:val="center"/>
            <w:hideMark/>
          </w:tcPr>
          <w:p w14:paraId="60DF189F" w14:textId="77777777" w:rsidR="002837CF" w:rsidRPr="005C49DE" w:rsidRDefault="002837CF" w:rsidP="00D310A8">
            <w:pPr>
              <w:jc w:val="center"/>
              <w:rPr>
                <w:rFonts w:ascii="CAIXA Std Book" w:hAnsi="CAIXA Std Book"/>
                <w:b/>
                <w:color w:val="FFFFFF"/>
                <w:sz w:val="18"/>
                <w:szCs w:val="18"/>
              </w:rPr>
            </w:pPr>
          </w:p>
        </w:tc>
        <w:tc>
          <w:tcPr>
            <w:tcW w:w="680" w:type="pct"/>
            <w:tcBorders>
              <w:top w:val="nil"/>
              <w:left w:val="nil"/>
              <w:bottom w:val="nil"/>
              <w:right w:val="nil"/>
            </w:tcBorders>
            <w:shd w:val="clear" w:color="000000" w:fill="005CA9"/>
            <w:tcMar>
              <w:top w:w="15" w:type="dxa"/>
              <w:left w:w="15" w:type="dxa"/>
              <w:bottom w:w="0" w:type="dxa"/>
              <w:right w:w="15" w:type="dxa"/>
            </w:tcMar>
            <w:vAlign w:val="center"/>
            <w:hideMark/>
          </w:tcPr>
          <w:p w14:paraId="58909CEE" w14:textId="77777777" w:rsidR="002A7418" w:rsidRDefault="002837CF">
            <w:pPr>
              <w:jc w:val="center"/>
              <w:rPr>
                <w:rFonts w:ascii="CAIXA Std Book" w:hAnsi="CAIXA Std Book"/>
                <w:b/>
                <w:color w:val="FFFFFF"/>
                <w:sz w:val="18"/>
                <w:szCs w:val="18"/>
              </w:rPr>
            </w:pPr>
            <w:r w:rsidRPr="005C49DE">
              <w:rPr>
                <w:rFonts w:ascii="CAIXA Std Book" w:hAnsi="CAIXA Std Book"/>
                <w:b/>
                <w:color w:val="FFFFFF"/>
                <w:sz w:val="18"/>
                <w:szCs w:val="18"/>
              </w:rPr>
              <w:t>Valor</w:t>
            </w:r>
          </w:p>
          <w:p w14:paraId="69C07FC0" w14:textId="2804BB42" w:rsidR="002837CF" w:rsidRPr="005C49DE" w:rsidRDefault="002837CF">
            <w:pPr>
              <w:jc w:val="center"/>
              <w:rPr>
                <w:rFonts w:ascii="CAIXA Std Book" w:hAnsi="CAIXA Std Book"/>
                <w:b/>
                <w:color w:val="FFFFFF"/>
                <w:sz w:val="18"/>
                <w:szCs w:val="18"/>
              </w:rPr>
            </w:pPr>
            <w:r w:rsidRPr="005C49DE">
              <w:rPr>
                <w:rFonts w:ascii="CAIXA Std Book" w:hAnsi="CAIXA Std Book"/>
                <w:b/>
                <w:color w:val="FFFFFF"/>
                <w:sz w:val="18"/>
                <w:szCs w:val="18"/>
              </w:rPr>
              <w:t>contábil</w:t>
            </w:r>
          </w:p>
        </w:tc>
        <w:tc>
          <w:tcPr>
            <w:tcW w:w="680" w:type="pct"/>
            <w:tcBorders>
              <w:top w:val="nil"/>
              <w:left w:val="nil"/>
              <w:bottom w:val="nil"/>
              <w:right w:val="nil"/>
            </w:tcBorders>
            <w:shd w:val="clear" w:color="000000" w:fill="005CA9"/>
            <w:tcMar>
              <w:top w:w="15" w:type="dxa"/>
              <w:left w:w="15" w:type="dxa"/>
              <w:bottom w:w="0" w:type="dxa"/>
              <w:right w:w="15" w:type="dxa"/>
            </w:tcMar>
            <w:vAlign w:val="center"/>
            <w:hideMark/>
          </w:tcPr>
          <w:p w14:paraId="18F1C97C" w14:textId="10D4DBA2" w:rsidR="002837CF" w:rsidRPr="005C49DE" w:rsidRDefault="002837CF">
            <w:pPr>
              <w:jc w:val="center"/>
              <w:rPr>
                <w:rFonts w:ascii="CAIXA Std Book" w:hAnsi="CAIXA Std Book"/>
                <w:b/>
                <w:color w:val="FFFFFF"/>
                <w:sz w:val="18"/>
                <w:szCs w:val="18"/>
              </w:rPr>
            </w:pPr>
            <w:r w:rsidRPr="005C49DE">
              <w:rPr>
                <w:rFonts w:ascii="CAIXA Std Book" w:hAnsi="CAIXA Std Book"/>
                <w:b/>
                <w:color w:val="FFFFFF"/>
                <w:sz w:val="18"/>
                <w:szCs w:val="18"/>
              </w:rPr>
              <w:t xml:space="preserve">Valor </w:t>
            </w:r>
            <w:r w:rsidR="00D22494">
              <w:rPr>
                <w:rFonts w:ascii="CAIXA Std Book" w:hAnsi="CAIXA Std Book"/>
                <w:b/>
                <w:color w:val="FFFFFF"/>
                <w:sz w:val="18"/>
                <w:szCs w:val="18"/>
              </w:rPr>
              <w:t>c</w:t>
            </w:r>
            <w:r w:rsidRPr="005C49DE">
              <w:rPr>
                <w:rFonts w:ascii="CAIXA Std Book" w:hAnsi="CAIXA Std Book"/>
                <w:b/>
                <w:color w:val="FFFFFF"/>
                <w:sz w:val="18"/>
                <w:szCs w:val="18"/>
              </w:rPr>
              <w:t xml:space="preserve">ontábil </w:t>
            </w:r>
            <w:r w:rsidR="00D22494">
              <w:rPr>
                <w:rFonts w:ascii="CAIXA Std Book" w:hAnsi="CAIXA Std Book"/>
                <w:b/>
                <w:color w:val="FFFFFF"/>
                <w:sz w:val="18"/>
                <w:szCs w:val="18"/>
              </w:rPr>
              <w:t>l</w:t>
            </w:r>
            <w:r w:rsidRPr="005C49DE">
              <w:rPr>
                <w:rFonts w:ascii="CAIXA Std Book" w:hAnsi="CAIXA Std Book"/>
                <w:b/>
                <w:color w:val="FFFFFF"/>
                <w:sz w:val="18"/>
                <w:szCs w:val="18"/>
              </w:rPr>
              <w:t xml:space="preserve">íquido de </w:t>
            </w:r>
            <w:r w:rsidR="00D22494">
              <w:rPr>
                <w:rFonts w:ascii="CAIXA Std Book" w:hAnsi="CAIXA Std Book"/>
                <w:b/>
                <w:color w:val="FFFFFF"/>
                <w:sz w:val="18"/>
                <w:szCs w:val="18"/>
              </w:rPr>
              <w:t>p</w:t>
            </w:r>
            <w:r w:rsidRPr="005C49DE">
              <w:rPr>
                <w:rFonts w:ascii="CAIXA Std Book" w:hAnsi="CAIXA Std Book"/>
                <w:b/>
                <w:color w:val="FFFFFF"/>
                <w:sz w:val="18"/>
                <w:szCs w:val="18"/>
              </w:rPr>
              <w:t>erdas</w:t>
            </w:r>
          </w:p>
        </w:tc>
        <w:tc>
          <w:tcPr>
            <w:tcW w:w="680" w:type="pct"/>
            <w:tcBorders>
              <w:top w:val="nil"/>
              <w:left w:val="nil"/>
              <w:bottom w:val="nil"/>
              <w:right w:val="nil"/>
            </w:tcBorders>
            <w:shd w:val="clear" w:color="000000" w:fill="005CA9"/>
            <w:tcMar>
              <w:top w:w="15" w:type="dxa"/>
              <w:left w:w="15" w:type="dxa"/>
              <w:bottom w:w="0" w:type="dxa"/>
              <w:right w:w="15" w:type="dxa"/>
            </w:tcMar>
            <w:vAlign w:val="center"/>
            <w:hideMark/>
          </w:tcPr>
          <w:p w14:paraId="191478B3" w14:textId="77777777" w:rsidR="002A7418" w:rsidRDefault="002837CF">
            <w:pPr>
              <w:jc w:val="center"/>
              <w:rPr>
                <w:rFonts w:ascii="CAIXA Std Book" w:hAnsi="CAIXA Std Book"/>
                <w:b/>
                <w:color w:val="FFFFFF"/>
                <w:sz w:val="18"/>
                <w:szCs w:val="18"/>
              </w:rPr>
            </w:pPr>
            <w:r w:rsidRPr="005C49DE">
              <w:rPr>
                <w:rFonts w:ascii="CAIXA Std Book" w:hAnsi="CAIXA Std Book"/>
                <w:b/>
                <w:color w:val="FFFFFF"/>
                <w:sz w:val="18"/>
                <w:szCs w:val="18"/>
              </w:rPr>
              <w:t>Valor</w:t>
            </w:r>
          </w:p>
          <w:p w14:paraId="0ECB60A2" w14:textId="61A1D926" w:rsidR="002837CF" w:rsidRPr="005C49DE" w:rsidRDefault="002A7418">
            <w:pPr>
              <w:jc w:val="center"/>
              <w:rPr>
                <w:rFonts w:ascii="CAIXA Std Book" w:hAnsi="CAIXA Std Book"/>
                <w:b/>
                <w:color w:val="FFFFFF"/>
                <w:sz w:val="18"/>
                <w:szCs w:val="18"/>
              </w:rPr>
            </w:pPr>
            <w:r>
              <w:rPr>
                <w:rFonts w:ascii="CAIXA Std Book" w:hAnsi="CAIXA Std Book"/>
                <w:b/>
                <w:color w:val="FFFFFF"/>
                <w:sz w:val="18"/>
                <w:szCs w:val="18"/>
              </w:rPr>
              <w:t>c</w:t>
            </w:r>
            <w:r w:rsidR="002837CF" w:rsidRPr="005C49DE">
              <w:rPr>
                <w:rFonts w:ascii="CAIXA Std Book" w:hAnsi="CAIXA Std Book"/>
                <w:b/>
                <w:color w:val="FFFFFF"/>
                <w:sz w:val="18"/>
                <w:szCs w:val="18"/>
              </w:rPr>
              <w:t>ontábil</w:t>
            </w:r>
          </w:p>
        </w:tc>
        <w:tc>
          <w:tcPr>
            <w:tcW w:w="681" w:type="pct"/>
            <w:tcBorders>
              <w:top w:val="nil"/>
              <w:left w:val="nil"/>
              <w:bottom w:val="nil"/>
              <w:right w:val="nil"/>
            </w:tcBorders>
            <w:shd w:val="clear" w:color="000000" w:fill="005CA9"/>
            <w:tcMar>
              <w:top w:w="15" w:type="dxa"/>
              <w:left w:w="15" w:type="dxa"/>
              <w:bottom w:w="0" w:type="dxa"/>
              <w:right w:w="15" w:type="dxa"/>
            </w:tcMar>
            <w:vAlign w:val="center"/>
            <w:hideMark/>
          </w:tcPr>
          <w:p w14:paraId="2B46DE60" w14:textId="2C8870EE" w:rsidR="002837CF" w:rsidRPr="005C49DE" w:rsidRDefault="002837CF">
            <w:pPr>
              <w:jc w:val="center"/>
              <w:rPr>
                <w:rFonts w:ascii="CAIXA Std Book" w:hAnsi="CAIXA Std Book"/>
                <w:b/>
                <w:color w:val="FFFFFF"/>
                <w:sz w:val="18"/>
                <w:szCs w:val="18"/>
              </w:rPr>
            </w:pPr>
            <w:r w:rsidRPr="005C49DE">
              <w:rPr>
                <w:rFonts w:ascii="CAIXA Std Book" w:hAnsi="CAIXA Std Book"/>
                <w:b/>
                <w:color w:val="FFFFFF"/>
                <w:sz w:val="18"/>
                <w:szCs w:val="18"/>
              </w:rPr>
              <w:t xml:space="preserve">Valor </w:t>
            </w:r>
            <w:r w:rsidR="00D22494">
              <w:rPr>
                <w:rFonts w:ascii="CAIXA Std Book" w:hAnsi="CAIXA Std Book"/>
                <w:b/>
                <w:color w:val="FFFFFF"/>
                <w:sz w:val="18"/>
                <w:szCs w:val="18"/>
              </w:rPr>
              <w:t>c</w:t>
            </w:r>
            <w:r w:rsidRPr="005C49DE">
              <w:rPr>
                <w:rFonts w:ascii="CAIXA Std Book" w:hAnsi="CAIXA Std Book"/>
                <w:b/>
                <w:color w:val="FFFFFF"/>
                <w:sz w:val="18"/>
                <w:szCs w:val="18"/>
              </w:rPr>
              <w:t xml:space="preserve">ontábil </w:t>
            </w:r>
            <w:r w:rsidR="00D22494">
              <w:rPr>
                <w:rFonts w:ascii="CAIXA Std Book" w:hAnsi="CAIXA Std Book"/>
                <w:b/>
                <w:color w:val="FFFFFF"/>
                <w:sz w:val="18"/>
                <w:szCs w:val="18"/>
              </w:rPr>
              <w:t>l</w:t>
            </w:r>
            <w:r w:rsidRPr="005C49DE">
              <w:rPr>
                <w:rFonts w:ascii="CAIXA Std Book" w:hAnsi="CAIXA Std Book"/>
                <w:b/>
                <w:color w:val="FFFFFF"/>
                <w:sz w:val="18"/>
                <w:szCs w:val="18"/>
              </w:rPr>
              <w:t xml:space="preserve">íquido de </w:t>
            </w:r>
            <w:r w:rsidR="00D22494">
              <w:rPr>
                <w:rFonts w:ascii="CAIXA Std Book" w:hAnsi="CAIXA Std Book"/>
                <w:b/>
                <w:color w:val="FFFFFF"/>
                <w:sz w:val="18"/>
                <w:szCs w:val="18"/>
              </w:rPr>
              <w:t>p</w:t>
            </w:r>
            <w:r w:rsidRPr="005C49DE">
              <w:rPr>
                <w:rFonts w:ascii="CAIXA Std Book" w:hAnsi="CAIXA Std Book"/>
                <w:b/>
                <w:color w:val="FFFFFF"/>
                <w:sz w:val="18"/>
                <w:szCs w:val="18"/>
              </w:rPr>
              <w:t>erdas</w:t>
            </w:r>
          </w:p>
        </w:tc>
      </w:tr>
      <w:tr w:rsidR="002837CF" w14:paraId="3E071CA0" w14:textId="77777777" w:rsidTr="0051526A">
        <w:trPr>
          <w:trHeight w:val="195"/>
        </w:trPr>
        <w:tc>
          <w:tcPr>
            <w:tcW w:w="2279" w:type="pct"/>
            <w:tcBorders>
              <w:top w:val="nil"/>
              <w:left w:val="nil"/>
              <w:bottom w:val="nil"/>
              <w:right w:val="nil"/>
            </w:tcBorders>
            <w:shd w:val="clear" w:color="000000" w:fill="FFFFFF"/>
            <w:noWrap/>
            <w:tcMar>
              <w:top w:w="15" w:type="dxa"/>
              <w:left w:w="15" w:type="dxa"/>
              <w:bottom w:w="0" w:type="dxa"/>
              <w:right w:w="15" w:type="dxa"/>
            </w:tcMar>
            <w:vAlign w:val="center"/>
            <w:hideMark/>
          </w:tcPr>
          <w:p w14:paraId="6B2C52EC" w14:textId="2F7E01D2" w:rsidR="002837CF" w:rsidRPr="005C49DE" w:rsidRDefault="002837CF">
            <w:pPr>
              <w:rPr>
                <w:rFonts w:ascii="CAIXA Std Book" w:hAnsi="CAIXA Std Book"/>
                <w:color w:val="005CA9"/>
                <w:sz w:val="18"/>
                <w:szCs w:val="18"/>
              </w:rPr>
            </w:pPr>
            <w:r>
              <w:rPr>
                <w:rFonts w:ascii="CAIXA Std Book" w:hAnsi="CAIXA Std Book" w:cs="Calibri"/>
                <w:color w:val="005CA9"/>
                <w:sz w:val="18"/>
                <w:szCs w:val="18"/>
              </w:rPr>
              <w:t>Créditos vinculados ao SFH (b)</w:t>
            </w:r>
          </w:p>
        </w:tc>
        <w:tc>
          <w:tcPr>
            <w:tcW w:w="680" w:type="pct"/>
            <w:tcBorders>
              <w:top w:val="nil"/>
              <w:left w:val="nil"/>
              <w:bottom w:val="nil"/>
              <w:right w:val="nil"/>
            </w:tcBorders>
            <w:noWrap/>
            <w:tcMar>
              <w:top w:w="15" w:type="dxa"/>
              <w:left w:w="15" w:type="dxa"/>
              <w:bottom w:w="0" w:type="dxa"/>
              <w:right w:w="15" w:type="dxa"/>
            </w:tcMar>
            <w:vAlign w:val="center"/>
            <w:hideMark/>
          </w:tcPr>
          <w:p w14:paraId="1E760A31" w14:textId="17CC3792" w:rsidR="002837CF" w:rsidRPr="005C49DE" w:rsidRDefault="00D310A8" w:rsidP="00D310A8">
            <w:pPr>
              <w:jc w:val="right"/>
              <w:rPr>
                <w:rFonts w:ascii="CAIXA Std Book" w:hAnsi="CAIXA Std Book"/>
                <w:color w:val="005CA9"/>
                <w:sz w:val="18"/>
                <w:szCs w:val="18"/>
              </w:rPr>
            </w:pPr>
            <w:r>
              <w:rPr>
                <w:rFonts w:ascii="CAIXA Std Book" w:hAnsi="CAIXA Std Book" w:cs="Calibri"/>
                <w:color w:val="005CA9"/>
                <w:sz w:val="18"/>
                <w:szCs w:val="18"/>
              </w:rPr>
              <w:t>22.346.043</w:t>
            </w:r>
          </w:p>
        </w:tc>
        <w:tc>
          <w:tcPr>
            <w:tcW w:w="680" w:type="pct"/>
            <w:tcBorders>
              <w:top w:val="nil"/>
              <w:left w:val="nil"/>
              <w:bottom w:val="nil"/>
              <w:right w:val="nil"/>
            </w:tcBorders>
            <w:shd w:val="clear" w:color="000000" w:fill="FFFFFF"/>
            <w:noWrap/>
            <w:tcMar>
              <w:top w:w="15" w:type="dxa"/>
              <w:left w:w="15" w:type="dxa"/>
              <w:bottom w:w="0" w:type="dxa"/>
              <w:right w:w="15" w:type="dxa"/>
            </w:tcMar>
            <w:vAlign w:val="center"/>
            <w:hideMark/>
          </w:tcPr>
          <w:p w14:paraId="3171C75A" w14:textId="173E39BF" w:rsidR="002837CF" w:rsidRPr="005C49DE" w:rsidRDefault="00D310A8" w:rsidP="00D310A8">
            <w:pPr>
              <w:jc w:val="right"/>
              <w:rPr>
                <w:color w:val="005CA9"/>
                <w:sz w:val="18"/>
                <w:szCs w:val="18"/>
              </w:rPr>
            </w:pPr>
            <w:r>
              <w:rPr>
                <w:rFonts w:ascii="CAIXA Std Book" w:hAnsi="CAIXA Std Book" w:cs="Calibri"/>
                <w:color w:val="005CA9"/>
                <w:sz w:val="18"/>
                <w:szCs w:val="18"/>
              </w:rPr>
              <w:t>19.213.008</w:t>
            </w:r>
          </w:p>
        </w:tc>
        <w:tc>
          <w:tcPr>
            <w:tcW w:w="680" w:type="pct"/>
            <w:tcBorders>
              <w:top w:val="nil"/>
              <w:left w:val="nil"/>
              <w:bottom w:val="nil"/>
              <w:right w:val="nil"/>
            </w:tcBorders>
            <w:noWrap/>
            <w:tcMar>
              <w:top w:w="15" w:type="dxa"/>
              <w:left w:w="15" w:type="dxa"/>
              <w:bottom w:w="0" w:type="dxa"/>
              <w:right w:w="15" w:type="dxa"/>
            </w:tcMar>
            <w:vAlign w:val="center"/>
            <w:hideMark/>
          </w:tcPr>
          <w:p w14:paraId="74F9A175" w14:textId="5C7D28B3" w:rsidR="002837CF" w:rsidRPr="005C49DE" w:rsidRDefault="002837CF">
            <w:pPr>
              <w:jc w:val="right"/>
              <w:rPr>
                <w:rFonts w:ascii="CAIXA Std Book" w:eastAsia="Times New Roman" w:hAnsi="CAIXA Std Book"/>
                <w:color w:val="005CA9"/>
                <w:sz w:val="18"/>
                <w:szCs w:val="18"/>
              </w:rPr>
            </w:pPr>
            <w:r>
              <w:rPr>
                <w:rFonts w:ascii="CAIXA Std Book" w:hAnsi="CAIXA Std Book" w:cs="Calibri"/>
                <w:color w:val="005CA9"/>
                <w:sz w:val="18"/>
                <w:szCs w:val="18"/>
              </w:rPr>
              <w:t>22.544.916</w:t>
            </w:r>
          </w:p>
        </w:tc>
        <w:tc>
          <w:tcPr>
            <w:tcW w:w="681" w:type="pct"/>
            <w:tcBorders>
              <w:top w:val="nil"/>
              <w:left w:val="nil"/>
              <w:bottom w:val="nil"/>
              <w:right w:val="nil"/>
            </w:tcBorders>
            <w:noWrap/>
            <w:tcMar>
              <w:top w:w="15" w:type="dxa"/>
              <w:left w:w="15" w:type="dxa"/>
              <w:bottom w:w="0" w:type="dxa"/>
              <w:right w:w="15" w:type="dxa"/>
            </w:tcMar>
            <w:vAlign w:val="center"/>
            <w:hideMark/>
          </w:tcPr>
          <w:p w14:paraId="27B3F693" w14:textId="3ACC04B9" w:rsidR="002837CF" w:rsidRPr="005C49DE" w:rsidRDefault="002837CF">
            <w:pPr>
              <w:jc w:val="right"/>
              <w:rPr>
                <w:rFonts w:ascii="CAIXA Std Book" w:hAnsi="CAIXA Std Book"/>
                <w:color w:val="005CA9"/>
                <w:sz w:val="18"/>
                <w:szCs w:val="18"/>
              </w:rPr>
            </w:pPr>
            <w:r>
              <w:rPr>
                <w:rFonts w:ascii="CAIXA Std Book" w:hAnsi="CAIXA Std Book" w:cs="Calibri"/>
                <w:color w:val="005CA9"/>
                <w:sz w:val="18"/>
                <w:szCs w:val="18"/>
              </w:rPr>
              <w:t>19.141.390</w:t>
            </w:r>
          </w:p>
        </w:tc>
      </w:tr>
      <w:tr w:rsidR="002837CF" w14:paraId="41ADCDF1" w14:textId="77777777" w:rsidTr="0051526A">
        <w:trPr>
          <w:trHeight w:val="195"/>
        </w:trPr>
        <w:tc>
          <w:tcPr>
            <w:tcW w:w="2279" w:type="pct"/>
            <w:tcBorders>
              <w:top w:val="nil"/>
              <w:left w:val="nil"/>
              <w:bottom w:val="nil"/>
              <w:right w:val="nil"/>
            </w:tcBorders>
            <w:shd w:val="clear" w:color="000000" w:fill="FFFFFF"/>
            <w:noWrap/>
            <w:tcMar>
              <w:top w:w="15" w:type="dxa"/>
              <w:left w:w="15" w:type="dxa"/>
              <w:bottom w:w="0" w:type="dxa"/>
              <w:right w:w="15" w:type="dxa"/>
            </w:tcMar>
            <w:vAlign w:val="center"/>
            <w:hideMark/>
          </w:tcPr>
          <w:p w14:paraId="31E1FAF2" w14:textId="440905CC" w:rsidR="002837CF" w:rsidRPr="005C49DE" w:rsidRDefault="002837CF">
            <w:pPr>
              <w:rPr>
                <w:rFonts w:ascii="CAIXA Std Book" w:hAnsi="CAIXA Std Book"/>
                <w:color w:val="005CA9"/>
                <w:sz w:val="18"/>
                <w:szCs w:val="18"/>
              </w:rPr>
            </w:pPr>
            <w:r>
              <w:rPr>
                <w:rFonts w:ascii="CAIXA Std Book" w:hAnsi="CAIXA Std Book" w:cs="Calibri"/>
                <w:color w:val="005CA9"/>
                <w:sz w:val="18"/>
                <w:szCs w:val="18"/>
              </w:rPr>
              <w:t>Devedores por depósitos em garantia (Nota 16 (e))</w:t>
            </w:r>
          </w:p>
        </w:tc>
        <w:tc>
          <w:tcPr>
            <w:tcW w:w="680" w:type="pct"/>
            <w:tcBorders>
              <w:top w:val="nil"/>
              <w:left w:val="nil"/>
              <w:bottom w:val="nil"/>
              <w:right w:val="nil"/>
            </w:tcBorders>
            <w:noWrap/>
            <w:tcMar>
              <w:top w:w="15" w:type="dxa"/>
              <w:left w:w="15" w:type="dxa"/>
              <w:bottom w:w="0" w:type="dxa"/>
              <w:right w:w="15" w:type="dxa"/>
            </w:tcMar>
            <w:vAlign w:val="center"/>
            <w:hideMark/>
          </w:tcPr>
          <w:p w14:paraId="4564E111" w14:textId="540CE6C8" w:rsidR="002837CF" w:rsidRPr="005C49DE" w:rsidRDefault="00D310A8" w:rsidP="00D310A8">
            <w:pPr>
              <w:jc w:val="right"/>
              <w:rPr>
                <w:rFonts w:ascii="CAIXA Std Book" w:hAnsi="CAIXA Std Book"/>
                <w:color w:val="005CA9"/>
                <w:sz w:val="18"/>
                <w:szCs w:val="18"/>
              </w:rPr>
            </w:pPr>
            <w:r>
              <w:rPr>
                <w:rFonts w:ascii="CAIXA Std Book" w:hAnsi="CAIXA Std Book" w:cs="Calibri"/>
                <w:color w:val="005CA9"/>
                <w:sz w:val="18"/>
                <w:szCs w:val="18"/>
              </w:rPr>
              <w:t>22.869.504</w:t>
            </w:r>
          </w:p>
        </w:tc>
        <w:tc>
          <w:tcPr>
            <w:tcW w:w="680" w:type="pct"/>
            <w:tcBorders>
              <w:top w:val="nil"/>
              <w:left w:val="nil"/>
              <w:bottom w:val="nil"/>
              <w:right w:val="nil"/>
            </w:tcBorders>
            <w:shd w:val="clear" w:color="000000" w:fill="FFFFFF"/>
            <w:noWrap/>
            <w:tcMar>
              <w:top w:w="15" w:type="dxa"/>
              <w:left w:w="15" w:type="dxa"/>
              <w:bottom w:w="0" w:type="dxa"/>
              <w:right w:w="15" w:type="dxa"/>
            </w:tcMar>
            <w:vAlign w:val="center"/>
            <w:hideMark/>
          </w:tcPr>
          <w:p w14:paraId="4A1B2A22" w14:textId="741BEA8C" w:rsidR="002837CF" w:rsidRPr="005C49DE" w:rsidRDefault="00D310A8" w:rsidP="00D310A8">
            <w:pPr>
              <w:jc w:val="right"/>
              <w:rPr>
                <w:color w:val="005CA9"/>
                <w:sz w:val="18"/>
                <w:szCs w:val="18"/>
              </w:rPr>
            </w:pPr>
            <w:r>
              <w:rPr>
                <w:rFonts w:ascii="CAIXA Std Book" w:hAnsi="CAIXA Std Book" w:cs="Calibri"/>
                <w:color w:val="005CA9"/>
                <w:sz w:val="18"/>
                <w:szCs w:val="18"/>
              </w:rPr>
              <w:t>22.869.504</w:t>
            </w:r>
          </w:p>
        </w:tc>
        <w:tc>
          <w:tcPr>
            <w:tcW w:w="680" w:type="pct"/>
            <w:tcBorders>
              <w:top w:val="nil"/>
              <w:left w:val="nil"/>
              <w:bottom w:val="nil"/>
              <w:right w:val="nil"/>
            </w:tcBorders>
            <w:shd w:val="clear" w:color="000000" w:fill="FFFFFF"/>
            <w:noWrap/>
            <w:tcMar>
              <w:top w:w="15" w:type="dxa"/>
              <w:left w:w="15" w:type="dxa"/>
              <w:bottom w:w="0" w:type="dxa"/>
              <w:right w:w="15" w:type="dxa"/>
            </w:tcMar>
            <w:vAlign w:val="center"/>
            <w:hideMark/>
          </w:tcPr>
          <w:p w14:paraId="0F2C35D8" w14:textId="7339D3C6" w:rsidR="002837CF" w:rsidRPr="005C49DE" w:rsidRDefault="002837CF">
            <w:pPr>
              <w:jc w:val="right"/>
              <w:rPr>
                <w:rFonts w:ascii="CAIXA Std Book" w:eastAsia="Times New Roman" w:hAnsi="CAIXA Std Book"/>
                <w:color w:val="005CA9"/>
                <w:sz w:val="18"/>
                <w:szCs w:val="18"/>
              </w:rPr>
            </w:pPr>
            <w:r>
              <w:rPr>
                <w:rFonts w:ascii="CAIXA Std Book" w:hAnsi="CAIXA Std Book" w:cs="Calibri"/>
                <w:color w:val="005CA9"/>
                <w:sz w:val="18"/>
                <w:szCs w:val="18"/>
              </w:rPr>
              <w:t>22.468.788</w:t>
            </w:r>
          </w:p>
        </w:tc>
        <w:tc>
          <w:tcPr>
            <w:tcW w:w="681" w:type="pct"/>
            <w:tcBorders>
              <w:top w:val="nil"/>
              <w:left w:val="nil"/>
              <w:bottom w:val="nil"/>
              <w:right w:val="nil"/>
            </w:tcBorders>
            <w:noWrap/>
            <w:tcMar>
              <w:top w:w="15" w:type="dxa"/>
              <w:left w:w="15" w:type="dxa"/>
              <w:bottom w:w="0" w:type="dxa"/>
              <w:right w:w="15" w:type="dxa"/>
            </w:tcMar>
            <w:vAlign w:val="center"/>
            <w:hideMark/>
          </w:tcPr>
          <w:p w14:paraId="2E1A4AA1" w14:textId="61DB589E" w:rsidR="002837CF" w:rsidRPr="005C49DE" w:rsidRDefault="002837CF">
            <w:pPr>
              <w:jc w:val="right"/>
              <w:rPr>
                <w:rFonts w:ascii="CAIXA Std Book" w:hAnsi="CAIXA Std Book"/>
                <w:color w:val="005CA9"/>
                <w:sz w:val="18"/>
                <w:szCs w:val="18"/>
              </w:rPr>
            </w:pPr>
            <w:r>
              <w:rPr>
                <w:rFonts w:ascii="CAIXA Std Book" w:hAnsi="CAIXA Std Book" w:cs="Calibri"/>
                <w:color w:val="005CA9"/>
                <w:sz w:val="18"/>
                <w:szCs w:val="18"/>
              </w:rPr>
              <w:t>22.468.788</w:t>
            </w:r>
          </w:p>
        </w:tc>
      </w:tr>
      <w:tr w:rsidR="002837CF" w14:paraId="70E5C5CB" w14:textId="77777777" w:rsidTr="0051526A">
        <w:trPr>
          <w:trHeight w:val="195"/>
        </w:trPr>
        <w:tc>
          <w:tcPr>
            <w:tcW w:w="2279" w:type="pct"/>
            <w:tcBorders>
              <w:top w:val="nil"/>
              <w:left w:val="nil"/>
              <w:bottom w:val="nil"/>
              <w:right w:val="nil"/>
            </w:tcBorders>
            <w:shd w:val="clear" w:color="000000" w:fill="FFFFFF"/>
            <w:noWrap/>
            <w:tcMar>
              <w:top w:w="15" w:type="dxa"/>
              <w:left w:w="15" w:type="dxa"/>
              <w:bottom w:w="0" w:type="dxa"/>
              <w:right w:w="15" w:type="dxa"/>
            </w:tcMar>
            <w:vAlign w:val="center"/>
            <w:hideMark/>
          </w:tcPr>
          <w:p w14:paraId="43C26D05" w14:textId="513EB133" w:rsidR="002837CF" w:rsidRPr="005C49DE" w:rsidRDefault="002837CF">
            <w:pPr>
              <w:rPr>
                <w:rFonts w:ascii="CAIXA Std Book" w:hAnsi="CAIXA Std Book"/>
                <w:color w:val="005CA9"/>
                <w:sz w:val="18"/>
                <w:szCs w:val="18"/>
              </w:rPr>
            </w:pPr>
            <w:r>
              <w:rPr>
                <w:rFonts w:ascii="CAIXA Std Book" w:hAnsi="CAIXA Std Book" w:cs="Calibri"/>
                <w:color w:val="005CA9"/>
                <w:sz w:val="18"/>
                <w:szCs w:val="18"/>
              </w:rPr>
              <w:t>Rendas a receber do setor público (1)</w:t>
            </w:r>
          </w:p>
        </w:tc>
        <w:tc>
          <w:tcPr>
            <w:tcW w:w="680" w:type="pct"/>
            <w:tcBorders>
              <w:top w:val="nil"/>
              <w:left w:val="nil"/>
              <w:bottom w:val="nil"/>
              <w:right w:val="nil"/>
            </w:tcBorders>
            <w:noWrap/>
            <w:tcMar>
              <w:top w:w="15" w:type="dxa"/>
              <w:left w:w="15" w:type="dxa"/>
              <w:bottom w:w="0" w:type="dxa"/>
              <w:right w:w="15" w:type="dxa"/>
            </w:tcMar>
            <w:vAlign w:val="center"/>
            <w:hideMark/>
          </w:tcPr>
          <w:p w14:paraId="14DD23D3" w14:textId="59624E15" w:rsidR="002837CF" w:rsidRPr="005C49DE" w:rsidRDefault="00D310A8" w:rsidP="00D310A8">
            <w:pPr>
              <w:jc w:val="right"/>
              <w:rPr>
                <w:rFonts w:ascii="CAIXA Std Book" w:hAnsi="CAIXA Std Book"/>
                <w:color w:val="005CA9"/>
                <w:sz w:val="18"/>
                <w:szCs w:val="18"/>
              </w:rPr>
            </w:pPr>
            <w:r>
              <w:rPr>
                <w:rFonts w:ascii="CAIXA Std Book" w:hAnsi="CAIXA Std Book" w:cs="Calibri"/>
                <w:color w:val="005CA9"/>
                <w:sz w:val="18"/>
                <w:szCs w:val="18"/>
              </w:rPr>
              <w:t>1.926.</w:t>
            </w:r>
            <w:r w:rsidR="003805B6">
              <w:rPr>
                <w:rFonts w:ascii="CAIXA Std Book" w:hAnsi="CAIXA Std Book" w:cs="Calibri"/>
                <w:color w:val="005CA9"/>
                <w:sz w:val="18"/>
                <w:szCs w:val="18"/>
              </w:rPr>
              <w:t>880</w:t>
            </w:r>
          </w:p>
        </w:tc>
        <w:tc>
          <w:tcPr>
            <w:tcW w:w="680" w:type="pct"/>
            <w:tcBorders>
              <w:top w:val="nil"/>
              <w:left w:val="nil"/>
              <w:bottom w:val="nil"/>
              <w:right w:val="nil"/>
            </w:tcBorders>
            <w:shd w:val="clear" w:color="000000" w:fill="FFFFFF"/>
            <w:noWrap/>
            <w:tcMar>
              <w:top w:w="15" w:type="dxa"/>
              <w:left w:w="15" w:type="dxa"/>
              <w:bottom w:w="0" w:type="dxa"/>
              <w:right w:w="15" w:type="dxa"/>
            </w:tcMar>
            <w:vAlign w:val="center"/>
            <w:hideMark/>
          </w:tcPr>
          <w:p w14:paraId="02B40250" w14:textId="4376AF4D" w:rsidR="002837CF" w:rsidRPr="005C49DE" w:rsidRDefault="00D310A8" w:rsidP="00D310A8">
            <w:pPr>
              <w:jc w:val="right"/>
              <w:rPr>
                <w:color w:val="005CA9"/>
                <w:sz w:val="18"/>
                <w:szCs w:val="18"/>
              </w:rPr>
            </w:pPr>
            <w:r>
              <w:rPr>
                <w:rFonts w:ascii="CAIXA Std Book" w:hAnsi="CAIXA Std Book" w:cs="Calibri"/>
                <w:color w:val="005CA9"/>
                <w:sz w:val="18"/>
                <w:szCs w:val="18"/>
              </w:rPr>
              <w:t>1.926.</w:t>
            </w:r>
            <w:r w:rsidR="003805B6">
              <w:rPr>
                <w:rFonts w:ascii="CAIXA Std Book" w:hAnsi="CAIXA Std Book" w:cs="Calibri"/>
                <w:color w:val="005CA9"/>
                <w:sz w:val="18"/>
                <w:szCs w:val="18"/>
              </w:rPr>
              <w:t>761</w:t>
            </w:r>
          </w:p>
        </w:tc>
        <w:tc>
          <w:tcPr>
            <w:tcW w:w="680" w:type="pct"/>
            <w:tcBorders>
              <w:top w:val="nil"/>
              <w:left w:val="nil"/>
              <w:bottom w:val="nil"/>
              <w:right w:val="nil"/>
            </w:tcBorders>
            <w:shd w:val="clear" w:color="000000" w:fill="FFFFFF"/>
            <w:noWrap/>
            <w:tcMar>
              <w:top w:w="15" w:type="dxa"/>
              <w:left w:w="15" w:type="dxa"/>
              <w:bottom w:w="0" w:type="dxa"/>
              <w:right w:w="15" w:type="dxa"/>
            </w:tcMar>
            <w:vAlign w:val="center"/>
            <w:hideMark/>
          </w:tcPr>
          <w:p w14:paraId="4EC9746E" w14:textId="6773D7D3" w:rsidR="002837CF" w:rsidRPr="005C49DE" w:rsidRDefault="002837CF">
            <w:pPr>
              <w:jc w:val="right"/>
              <w:rPr>
                <w:rFonts w:ascii="CAIXA Std Book" w:eastAsia="Times New Roman" w:hAnsi="CAIXA Std Book"/>
                <w:color w:val="005CA9"/>
                <w:sz w:val="18"/>
                <w:szCs w:val="18"/>
              </w:rPr>
            </w:pPr>
            <w:r>
              <w:rPr>
                <w:rFonts w:ascii="CAIXA Std Book" w:hAnsi="CAIXA Std Book" w:cs="Calibri"/>
                <w:color w:val="005CA9"/>
                <w:sz w:val="18"/>
                <w:szCs w:val="18"/>
              </w:rPr>
              <w:t>1.714.142</w:t>
            </w:r>
          </w:p>
        </w:tc>
        <w:tc>
          <w:tcPr>
            <w:tcW w:w="681" w:type="pct"/>
            <w:tcBorders>
              <w:top w:val="nil"/>
              <w:left w:val="nil"/>
              <w:bottom w:val="nil"/>
              <w:right w:val="nil"/>
            </w:tcBorders>
            <w:noWrap/>
            <w:tcMar>
              <w:top w:w="15" w:type="dxa"/>
              <w:left w:w="15" w:type="dxa"/>
              <w:bottom w:w="0" w:type="dxa"/>
              <w:right w:w="15" w:type="dxa"/>
            </w:tcMar>
            <w:vAlign w:val="center"/>
            <w:hideMark/>
          </w:tcPr>
          <w:p w14:paraId="218470BD" w14:textId="42469B13" w:rsidR="002837CF" w:rsidRPr="005C49DE" w:rsidRDefault="002837CF">
            <w:pPr>
              <w:jc w:val="right"/>
              <w:rPr>
                <w:rFonts w:ascii="CAIXA Std Book" w:hAnsi="CAIXA Std Book"/>
                <w:color w:val="005CA9"/>
                <w:sz w:val="18"/>
                <w:szCs w:val="18"/>
              </w:rPr>
            </w:pPr>
            <w:r>
              <w:rPr>
                <w:rFonts w:ascii="CAIXA Std Book" w:hAnsi="CAIXA Std Book" w:cs="Calibri"/>
                <w:color w:val="005CA9"/>
                <w:sz w:val="18"/>
                <w:szCs w:val="18"/>
              </w:rPr>
              <w:t>1.713.238</w:t>
            </w:r>
          </w:p>
        </w:tc>
      </w:tr>
      <w:tr w:rsidR="002837CF" w14:paraId="5D01D92F" w14:textId="77777777" w:rsidTr="0051526A">
        <w:trPr>
          <w:trHeight w:val="195"/>
        </w:trPr>
        <w:tc>
          <w:tcPr>
            <w:tcW w:w="2279" w:type="pct"/>
            <w:tcBorders>
              <w:top w:val="nil"/>
              <w:left w:val="nil"/>
              <w:bottom w:val="nil"/>
              <w:right w:val="nil"/>
            </w:tcBorders>
            <w:shd w:val="clear" w:color="000000" w:fill="FFFFFF"/>
            <w:noWrap/>
            <w:tcMar>
              <w:top w:w="15" w:type="dxa"/>
              <w:left w:w="15" w:type="dxa"/>
              <w:bottom w:w="0" w:type="dxa"/>
              <w:right w:w="15" w:type="dxa"/>
            </w:tcMar>
            <w:vAlign w:val="center"/>
            <w:hideMark/>
          </w:tcPr>
          <w:p w14:paraId="39E1F35C" w14:textId="152D106B" w:rsidR="002837CF" w:rsidRPr="005C49DE" w:rsidRDefault="002837CF">
            <w:pPr>
              <w:rPr>
                <w:rFonts w:ascii="CAIXA Std Book" w:hAnsi="CAIXA Std Book"/>
                <w:color w:val="005CA9"/>
                <w:sz w:val="18"/>
                <w:szCs w:val="18"/>
              </w:rPr>
            </w:pPr>
            <w:r>
              <w:rPr>
                <w:rFonts w:ascii="CAIXA Std Book" w:hAnsi="CAIXA Std Book" w:cs="Calibri"/>
                <w:color w:val="005CA9"/>
                <w:sz w:val="18"/>
                <w:szCs w:val="18"/>
              </w:rPr>
              <w:t>Rendas a receber do setor privado (1)</w:t>
            </w:r>
          </w:p>
        </w:tc>
        <w:tc>
          <w:tcPr>
            <w:tcW w:w="680" w:type="pct"/>
            <w:tcBorders>
              <w:top w:val="nil"/>
              <w:left w:val="nil"/>
              <w:bottom w:val="nil"/>
              <w:right w:val="nil"/>
            </w:tcBorders>
            <w:noWrap/>
            <w:tcMar>
              <w:top w:w="15" w:type="dxa"/>
              <w:left w:w="15" w:type="dxa"/>
              <w:bottom w:w="0" w:type="dxa"/>
              <w:right w:w="15" w:type="dxa"/>
            </w:tcMar>
            <w:vAlign w:val="center"/>
            <w:hideMark/>
          </w:tcPr>
          <w:p w14:paraId="2C41D894" w14:textId="393C2553" w:rsidR="002837CF" w:rsidRPr="005C49DE" w:rsidRDefault="00D310A8" w:rsidP="00D310A8">
            <w:pPr>
              <w:jc w:val="right"/>
              <w:rPr>
                <w:rFonts w:ascii="CAIXA Std Book" w:hAnsi="CAIXA Std Book"/>
                <w:color w:val="005CA9"/>
                <w:sz w:val="18"/>
                <w:szCs w:val="18"/>
              </w:rPr>
            </w:pPr>
            <w:r>
              <w:rPr>
                <w:rFonts w:ascii="CAIXA Std Book" w:hAnsi="CAIXA Std Book" w:cs="Calibri"/>
                <w:color w:val="005CA9"/>
                <w:sz w:val="18"/>
                <w:szCs w:val="18"/>
              </w:rPr>
              <w:t>281.680</w:t>
            </w:r>
          </w:p>
        </w:tc>
        <w:tc>
          <w:tcPr>
            <w:tcW w:w="680" w:type="pct"/>
            <w:tcBorders>
              <w:top w:val="nil"/>
              <w:left w:val="nil"/>
              <w:bottom w:val="nil"/>
              <w:right w:val="nil"/>
            </w:tcBorders>
            <w:shd w:val="clear" w:color="000000" w:fill="FFFFFF"/>
            <w:noWrap/>
            <w:tcMar>
              <w:top w:w="15" w:type="dxa"/>
              <w:left w:w="15" w:type="dxa"/>
              <w:bottom w:w="0" w:type="dxa"/>
              <w:right w:w="15" w:type="dxa"/>
            </w:tcMar>
            <w:vAlign w:val="center"/>
            <w:hideMark/>
          </w:tcPr>
          <w:p w14:paraId="751E7C88" w14:textId="231F1DD9" w:rsidR="002837CF" w:rsidRPr="005C49DE" w:rsidRDefault="00D310A8" w:rsidP="00D310A8">
            <w:pPr>
              <w:jc w:val="right"/>
              <w:rPr>
                <w:color w:val="005CA9"/>
                <w:sz w:val="18"/>
                <w:szCs w:val="18"/>
              </w:rPr>
            </w:pPr>
            <w:r>
              <w:rPr>
                <w:rFonts w:ascii="CAIXA Std Book" w:hAnsi="CAIXA Std Book" w:cs="Calibri"/>
                <w:color w:val="005CA9"/>
                <w:sz w:val="18"/>
                <w:szCs w:val="18"/>
              </w:rPr>
              <w:t>279.610</w:t>
            </w:r>
          </w:p>
        </w:tc>
        <w:tc>
          <w:tcPr>
            <w:tcW w:w="680" w:type="pct"/>
            <w:tcBorders>
              <w:top w:val="nil"/>
              <w:left w:val="nil"/>
              <w:bottom w:val="nil"/>
              <w:right w:val="nil"/>
            </w:tcBorders>
            <w:shd w:val="clear" w:color="000000" w:fill="FFFFFF"/>
            <w:noWrap/>
            <w:tcMar>
              <w:top w:w="15" w:type="dxa"/>
              <w:left w:w="15" w:type="dxa"/>
              <w:bottom w:w="0" w:type="dxa"/>
              <w:right w:w="15" w:type="dxa"/>
            </w:tcMar>
            <w:vAlign w:val="center"/>
            <w:hideMark/>
          </w:tcPr>
          <w:p w14:paraId="2D9C5449" w14:textId="35A01041" w:rsidR="002837CF" w:rsidRPr="005C49DE" w:rsidRDefault="00D2424B">
            <w:pPr>
              <w:jc w:val="right"/>
              <w:rPr>
                <w:rFonts w:ascii="CAIXA Std Book" w:eastAsia="Times New Roman" w:hAnsi="CAIXA Std Book"/>
                <w:color w:val="005CA9"/>
                <w:sz w:val="18"/>
                <w:szCs w:val="18"/>
              </w:rPr>
            </w:pPr>
            <w:r w:rsidRPr="00D2424B">
              <w:rPr>
                <w:rFonts w:ascii="CAIXA Std Book" w:hAnsi="CAIXA Std Book" w:cs="Calibri"/>
                <w:color w:val="005CA9"/>
                <w:sz w:val="18"/>
                <w:szCs w:val="18"/>
              </w:rPr>
              <w:t>255.250</w:t>
            </w:r>
          </w:p>
        </w:tc>
        <w:tc>
          <w:tcPr>
            <w:tcW w:w="681" w:type="pct"/>
            <w:tcBorders>
              <w:top w:val="nil"/>
              <w:left w:val="nil"/>
              <w:bottom w:val="nil"/>
              <w:right w:val="nil"/>
            </w:tcBorders>
            <w:noWrap/>
            <w:tcMar>
              <w:top w:w="15" w:type="dxa"/>
              <w:left w:w="15" w:type="dxa"/>
              <w:bottom w:w="0" w:type="dxa"/>
              <w:right w:w="15" w:type="dxa"/>
            </w:tcMar>
            <w:vAlign w:val="center"/>
            <w:hideMark/>
          </w:tcPr>
          <w:p w14:paraId="615A3721" w14:textId="2929070F" w:rsidR="002837CF" w:rsidRPr="005C49DE" w:rsidRDefault="00D2424B">
            <w:pPr>
              <w:jc w:val="right"/>
              <w:rPr>
                <w:rFonts w:ascii="CAIXA Std Book" w:hAnsi="CAIXA Std Book"/>
                <w:color w:val="005CA9"/>
                <w:sz w:val="18"/>
                <w:szCs w:val="18"/>
              </w:rPr>
            </w:pPr>
            <w:r w:rsidRPr="00D2424B">
              <w:rPr>
                <w:rFonts w:ascii="CAIXA Std Book" w:hAnsi="CAIXA Std Book" w:cs="Calibri"/>
                <w:color w:val="005CA9"/>
                <w:sz w:val="18"/>
                <w:szCs w:val="18"/>
              </w:rPr>
              <w:t>254.705</w:t>
            </w:r>
          </w:p>
        </w:tc>
      </w:tr>
      <w:tr w:rsidR="002837CF" w14:paraId="398BAFCB" w14:textId="77777777" w:rsidTr="0051526A">
        <w:trPr>
          <w:trHeight w:val="195"/>
        </w:trPr>
        <w:tc>
          <w:tcPr>
            <w:tcW w:w="2279" w:type="pct"/>
            <w:tcBorders>
              <w:top w:val="nil"/>
              <w:left w:val="nil"/>
              <w:bottom w:val="nil"/>
              <w:right w:val="nil"/>
            </w:tcBorders>
            <w:shd w:val="clear" w:color="000000" w:fill="FFFFFF"/>
            <w:noWrap/>
            <w:tcMar>
              <w:top w:w="15" w:type="dxa"/>
              <w:left w:w="15" w:type="dxa"/>
              <w:bottom w:w="0" w:type="dxa"/>
              <w:right w:w="15" w:type="dxa"/>
            </w:tcMar>
            <w:vAlign w:val="center"/>
            <w:hideMark/>
          </w:tcPr>
          <w:p w14:paraId="2AF5C501" w14:textId="227C2DEA" w:rsidR="002837CF" w:rsidRPr="005C49DE" w:rsidRDefault="002837CF">
            <w:pPr>
              <w:rPr>
                <w:rFonts w:ascii="CAIXA Std Book" w:hAnsi="CAIXA Std Book"/>
                <w:color w:val="005CA9"/>
                <w:sz w:val="18"/>
                <w:szCs w:val="18"/>
              </w:rPr>
            </w:pPr>
            <w:r>
              <w:rPr>
                <w:rFonts w:ascii="CAIXA Std Book" w:hAnsi="CAIXA Std Book" w:cs="Calibri"/>
                <w:color w:val="005CA9"/>
                <w:sz w:val="18"/>
                <w:szCs w:val="18"/>
              </w:rPr>
              <w:t>Cartão de crédito</w:t>
            </w:r>
          </w:p>
        </w:tc>
        <w:tc>
          <w:tcPr>
            <w:tcW w:w="680" w:type="pct"/>
            <w:tcBorders>
              <w:top w:val="nil"/>
              <w:left w:val="nil"/>
              <w:bottom w:val="nil"/>
              <w:right w:val="nil"/>
            </w:tcBorders>
            <w:noWrap/>
            <w:tcMar>
              <w:top w:w="15" w:type="dxa"/>
              <w:left w:w="15" w:type="dxa"/>
              <w:bottom w:w="0" w:type="dxa"/>
              <w:right w:w="15" w:type="dxa"/>
            </w:tcMar>
            <w:vAlign w:val="center"/>
            <w:hideMark/>
          </w:tcPr>
          <w:p w14:paraId="3193848A" w14:textId="643BD0DD" w:rsidR="002837CF" w:rsidRPr="005C49DE" w:rsidRDefault="00D310A8" w:rsidP="00D310A8">
            <w:pPr>
              <w:jc w:val="right"/>
              <w:rPr>
                <w:rFonts w:ascii="CAIXA Std Book" w:hAnsi="CAIXA Std Book"/>
                <w:color w:val="005CA9"/>
                <w:sz w:val="18"/>
                <w:szCs w:val="18"/>
              </w:rPr>
            </w:pPr>
            <w:r>
              <w:rPr>
                <w:rFonts w:ascii="CAIXA Std Book" w:hAnsi="CAIXA Std Book" w:cs="Calibri"/>
                <w:color w:val="005CA9"/>
                <w:sz w:val="18"/>
                <w:szCs w:val="18"/>
              </w:rPr>
              <w:t>19.628</w:t>
            </w:r>
          </w:p>
        </w:tc>
        <w:tc>
          <w:tcPr>
            <w:tcW w:w="680" w:type="pct"/>
            <w:tcBorders>
              <w:top w:val="nil"/>
              <w:left w:val="nil"/>
              <w:bottom w:val="nil"/>
              <w:right w:val="nil"/>
            </w:tcBorders>
            <w:shd w:val="clear" w:color="000000" w:fill="FFFFFF"/>
            <w:noWrap/>
            <w:tcMar>
              <w:top w:w="15" w:type="dxa"/>
              <w:left w:w="15" w:type="dxa"/>
              <w:bottom w:w="0" w:type="dxa"/>
              <w:right w:w="15" w:type="dxa"/>
            </w:tcMar>
            <w:vAlign w:val="center"/>
            <w:hideMark/>
          </w:tcPr>
          <w:p w14:paraId="03507F6C" w14:textId="5B42EC77" w:rsidR="002837CF" w:rsidRPr="005C49DE" w:rsidRDefault="00D310A8" w:rsidP="00D310A8">
            <w:pPr>
              <w:jc w:val="right"/>
              <w:rPr>
                <w:color w:val="005CA9"/>
                <w:sz w:val="18"/>
                <w:szCs w:val="18"/>
              </w:rPr>
            </w:pPr>
            <w:r>
              <w:rPr>
                <w:rFonts w:ascii="CAIXA Std Book" w:hAnsi="CAIXA Std Book" w:cs="Calibri"/>
                <w:color w:val="005CA9"/>
                <w:sz w:val="18"/>
                <w:szCs w:val="18"/>
              </w:rPr>
              <w:t>19.628</w:t>
            </w:r>
          </w:p>
        </w:tc>
        <w:tc>
          <w:tcPr>
            <w:tcW w:w="680" w:type="pct"/>
            <w:tcBorders>
              <w:top w:val="nil"/>
              <w:left w:val="nil"/>
              <w:bottom w:val="nil"/>
              <w:right w:val="nil"/>
            </w:tcBorders>
            <w:shd w:val="clear" w:color="000000" w:fill="FFFFFF"/>
            <w:noWrap/>
            <w:tcMar>
              <w:top w:w="15" w:type="dxa"/>
              <w:left w:w="15" w:type="dxa"/>
              <w:bottom w:w="0" w:type="dxa"/>
              <w:right w:w="15" w:type="dxa"/>
            </w:tcMar>
            <w:vAlign w:val="center"/>
            <w:hideMark/>
          </w:tcPr>
          <w:p w14:paraId="42350B2E" w14:textId="522FF2A8" w:rsidR="002837CF" w:rsidRPr="005C49DE" w:rsidRDefault="00D2424B">
            <w:pPr>
              <w:jc w:val="right"/>
              <w:rPr>
                <w:rFonts w:ascii="CAIXA Std Book" w:eastAsia="Times New Roman" w:hAnsi="CAIXA Std Book"/>
                <w:color w:val="005CA9"/>
                <w:sz w:val="18"/>
                <w:szCs w:val="18"/>
              </w:rPr>
            </w:pPr>
            <w:r w:rsidRPr="00D2424B">
              <w:rPr>
                <w:rFonts w:ascii="CAIXA Std Book" w:hAnsi="CAIXA Std Book" w:cs="Calibri"/>
                <w:color w:val="005CA9"/>
                <w:sz w:val="18"/>
                <w:szCs w:val="18"/>
              </w:rPr>
              <w:t>882.989</w:t>
            </w:r>
          </w:p>
        </w:tc>
        <w:tc>
          <w:tcPr>
            <w:tcW w:w="681" w:type="pct"/>
            <w:tcBorders>
              <w:top w:val="nil"/>
              <w:left w:val="nil"/>
              <w:bottom w:val="nil"/>
              <w:right w:val="nil"/>
            </w:tcBorders>
            <w:noWrap/>
            <w:tcMar>
              <w:top w:w="15" w:type="dxa"/>
              <w:left w:w="15" w:type="dxa"/>
              <w:bottom w:w="0" w:type="dxa"/>
              <w:right w:w="15" w:type="dxa"/>
            </w:tcMar>
            <w:vAlign w:val="center"/>
            <w:hideMark/>
          </w:tcPr>
          <w:p w14:paraId="07FABF5B" w14:textId="21F2B129" w:rsidR="002837CF" w:rsidRPr="005C49DE" w:rsidRDefault="0093310E">
            <w:pPr>
              <w:jc w:val="right"/>
              <w:rPr>
                <w:rFonts w:ascii="CAIXA Std Book" w:hAnsi="CAIXA Std Book"/>
                <w:color w:val="005CA9"/>
                <w:sz w:val="18"/>
                <w:szCs w:val="18"/>
              </w:rPr>
            </w:pPr>
            <w:r w:rsidRPr="0093310E">
              <w:rPr>
                <w:rFonts w:ascii="CAIXA Std Book" w:hAnsi="CAIXA Std Book" w:cs="Calibri"/>
                <w:color w:val="005CA9"/>
                <w:sz w:val="18"/>
                <w:szCs w:val="18"/>
              </w:rPr>
              <w:t>882.989</w:t>
            </w:r>
          </w:p>
        </w:tc>
      </w:tr>
      <w:tr w:rsidR="002837CF" w14:paraId="60DAE28B" w14:textId="77777777" w:rsidTr="0051526A">
        <w:trPr>
          <w:trHeight w:val="195"/>
        </w:trPr>
        <w:tc>
          <w:tcPr>
            <w:tcW w:w="2279" w:type="pct"/>
            <w:tcBorders>
              <w:top w:val="nil"/>
              <w:left w:val="nil"/>
              <w:bottom w:val="nil"/>
              <w:right w:val="nil"/>
            </w:tcBorders>
            <w:shd w:val="clear" w:color="000000" w:fill="FFFFFF"/>
            <w:noWrap/>
            <w:tcMar>
              <w:top w:w="15" w:type="dxa"/>
              <w:left w:w="15" w:type="dxa"/>
              <w:bottom w:w="0" w:type="dxa"/>
              <w:right w:w="15" w:type="dxa"/>
            </w:tcMar>
            <w:vAlign w:val="center"/>
            <w:hideMark/>
          </w:tcPr>
          <w:p w14:paraId="3EE3DF41" w14:textId="4DA696EC" w:rsidR="002837CF" w:rsidRPr="005C49DE" w:rsidRDefault="002837CF">
            <w:pPr>
              <w:rPr>
                <w:rFonts w:ascii="CAIXA Std Book" w:hAnsi="CAIXA Std Book"/>
                <w:color w:val="005CA9"/>
                <w:sz w:val="18"/>
                <w:szCs w:val="18"/>
              </w:rPr>
            </w:pPr>
            <w:r>
              <w:rPr>
                <w:rFonts w:ascii="CAIXA Std Book" w:hAnsi="CAIXA Std Book" w:cs="Calibri"/>
                <w:color w:val="005CA9"/>
                <w:sz w:val="18"/>
                <w:szCs w:val="18"/>
              </w:rPr>
              <w:t>Demais</w:t>
            </w:r>
          </w:p>
        </w:tc>
        <w:tc>
          <w:tcPr>
            <w:tcW w:w="680" w:type="pct"/>
            <w:tcBorders>
              <w:top w:val="nil"/>
              <w:left w:val="nil"/>
              <w:bottom w:val="nil"/>
              <w:right w:val="nil"/>
            </w:tcBorders>
            <w:noWrap/>
            <w:tcMar>
              <w:top w:w="15" w:type="dxa"/>
              <w:left w:w="15" w:type="dxa"/>
              <w:bottom w:w="0" w:type="dxa"/>
              <w:right w:w="15" w:type="dxa"/>
            </w:tcMar>
            <w:vAlign w:val="center"/>
            <w:hideMark/>
          </w:tcPr>
          <w:p w14:paraId="46F898A7" w14:textId="290D0B28" w:rsidR="002837CF" w:rsidRPr="005C49DE" w:rsidRDefault="00D310A8" w:rsidP="00D310A8">
            <w:pPr>
              <w:jc w:val="right"/>
              <w:rPr>
                <w:rFonts w:ascii="CAIXA Std Book" w:hAnsi="CAIXA Std Book"/>
                <w:color w:val="005CA9"/>
                <w:sz w:val="18"/>
                <w:szCs w:val="18"/>
              </w:rPr>
            </w:pPr>
            <w:r>
              <w:rPr>
                <w:rFonts w:ascii="CAIXA Std Book" w:hAnsi="CAIXA Std Book" w:cs="Calibri"/>
                <w:color w:val="005CA9"/>
                <w:sz w:val="18"/>
                <w:szCs w:val="18"/>
              </w:rPr>
              <w:t>158.</w:t>
            </w:r>
            <w:r w:rsidR="00546FDA">
              <w:rPr>
                <w:rFonts w:ascii="CAIXA Std Book" w:hAnsi="CAIXA Std Book" w:cs="Calibri"/>
                <w:color w:val="005CA9"/>
                <w:sz w:val="18"/>
                <w:szCs w:val="18"/>
              </w:rPr>
              <w:t>439</w:t>
            </w:r>
          </w:p>
        </w:tc>
        <w:tc>
          <w:tcPr>
            <w:tcW w:w="680" w:type="pct"/>
            <w:tcBorders>
              <w:top w:val="nil"/>
              <w:left w:val="nil"/>
              <w:bottom w:val="nil"/>
              <w:right w:val="nil"/>
            </w:tcBorders>
            <w:shd w:val="clear" w:color="000000" w:fill="FFFFFF"/>
            <w:noWrap/>
            <w:tcMar>
              <w:top w:w="15" w:type="dxa"/>
              <w:left w:w="15" w:type="dxa"/>
              <w:bottom w:w="0" w:type="dxa"/>
              <w:right w:w="15" w:type="dxa"/>
            </w:tcMar>
            <w:vAlign w:val="center"/>
            <w:hideMark/>
          </w:tcPr>
          <w:p w14:paraId="4A0528EA" w14:textId="4E6BA8AA" w:rsidR="002837CF" w:rsidRPr="005C49DE" w:rsidRDefault="00D310A8" w:rsidP="00D310A8">
            <w:pPr>
              <w:jc w:val="right"/>
              <w:rPr>
                <w:color w:val="005CA9"/>
                <w:sz w:val="18"/>
                <w:szCs w:val="18"/>
              </w:rPr>
            </w:pPr>
            <w:r>
              <w:rPr>
                <w:rFonts w:ascii="CAIXA Std Book" w:hAnsi="CAIXA Std Book" w:cs="Calibri"/>
                <w:color w:val="005CA9"/>
                <w:sz w:val="18"/>
                <w:szCs w:val="18"/>
              </w:rPr>
              <w:t>158.</w:t>
            </w:r>
            <w:r w:rsidR="00ED7E55">
              <w:rPr>
                <w:rFonts w:ascii="CAIXA Std Book" w:hAnsi="CAIXA Std Book" w:cs="Calibri"/>
                <w:color w:val="005CA9"/>
                <w:sz w:val="18"/>
                <w:szCs w:val="18"/>
              </w:rPr>
              <w:t>439</w:t>
            </w:r>
          </w:p>
        </w:tc>
        <w:tc>
          <w:tcPr>
            <w:tcW w:w="680" w:type="pct"/>
            <w:tcBorders>
              <w:top w:val="nil"/>
              <w:left w:val="nil"/>
              <w:bottom w:val="nil"/>
              <w:right w:val="nil"/>
            </w:tcBorders>
            <w:shd w:val="clear" w:color="000000" w:fill="FFFFFF"/>
            <w:noWrap/>
            <w:tcMar>
              <w:top w:w="15" w:type="dxa"/>
              <w:left w:w="15" w:type="dxa"/>
              <w:bottom w:w="0" w:type="dxa"/>
              <w:right w:w="15" w:type="dxa"/>
            </w:tcMar>
            <w:vAlign w:val="center"/>
            <w:hideMark/>
          </w:tcPr>
          <w:p w14:paraId="42FF8894" w14:textId="61B46EE2" w:rsidR="002837CF" w:rsidRPr="005C49DE" w:rsidRDefault="002837CF">
            <w:pPr>
              <w:jc w:val="right"/>
              <w:rPr>
                <w:rFonts w:ascii="CAIXA Std Book" w:eastAsia="Times New Roman" w:hAnsi="CAIXA Std Book"/>
                <w:color w:val="005CA9"/>
                <w:sz w:val="18"/>
                <w:szCs w:val="18"/>
              </w:rPr>
            </w:pPr>
            <w:r>
              <w:rPr>
                <w:rFonts w:ascii="CAIXA Std Book" w:hAnsi="CAIXA Std Book" w:cs="Calibri"/>
                <w:color w:val="005CA9"/>
                <w:sz w:val="18"/>
                <w:szCs w:val="18"/>
              </w:rPr>
              <w:t>159.675</w:t>
            </w:r>
          </w:p>
        </w:tc>
        <w:tc>
          <w:tcPr>
            <w:tcW w:w="681" w:type="pct"/>
            <w:tcBorders>
              <w:top w:val="nil"/>
              <w:left w:val="nil"/>
              <w:bottom w:val="nil"/>
              <w:right w:val="nil"/>
            </w:tcBorders>
            <w:noWrap/>
            <w:tcMar>
              <w:top w:w="15" w:type="dxa"/>
              <w:left w:w="15" w:type="dxa"/>
              <w:bottom w:w="0" w:type="dxa"/>
              <w:right w:w="15" w:type="dxa"/>
            </w:tcMar>
            <w:vAlign w:val="center"/>
            <w:hideMark/>
          </w:tcPr>
          <w:p w14:paraId="60275AFF" w14:textId="69AC5747" w:rsidR="002837CF" w:rsidRPr="005C49DE" w:rsidRDefault="002837CF">
            <w:pPr>
              <w:jc w:val="right"/>
              <w:rPr>
                <w:rFonts w:ascii="CAIXA Std Book" w:hAnsi="CAIXA Std Book"/>
                <w:color w:val="005CA9"/>
                <w:sz w:val="18"/>
                <w:szCs w:val="18"/>
              </w:rPr>
            </w:pPr>
            <w:r>
              <w:rPr>
                <w:rFonts w:ascii="CAIXA Std Book" w:hAnsi="CAIXA Std Book" w:cs="Calibri"/>
                <w:color w:val="005CA9"/>
                <w:sz w:val="18"/>
                <w:szCs w:val="18"/>
              </w:rPr>
              <w:t>159.675</w:t>
            </w:r>
          </w:p>
        </w:tc>
      </w:tr>
      <w:tr w:rsidR="002837CF" w14:paraId="67466844" w14:textId="77777777" w:rsidTr="0051526A">
        <w:trPr>
          <w:trHeight w:val="195"/>
        </w:trPr>
        <w:tc>
          <w:tcPr>
            <w:tcW w:w="2279" w:type="pct"/>
            <w:tcBorders>
              <w:top w:val="nil"/>
              <w:left w:val="nil"/>
              <w:bottom w:val="nil"/>
              <w:right w:val="nil"/>
            </w:tcBorders>
            <w:shd w:val="clear" w:color="000000" w:fill="005CA9"/>
            <w:noWrap/>
            <w:tcMar>
              <w:top w:w="15" w:type="dxa"/>
              <w:left w:w="15" w:type="dxa"/>
              <w:bottom w:w="0" w:type="dxa"/>
              <w:right w:w="15" w:type="dxa"/>
            </w:tcMar>
            <w:vAlign w:val="center"/>
            <w:hideMark/>
          </w:tcPr>
          <w:p w14:paraId="4831DCA4" w14:textId="120AF3DF" w:rsidR="002837CF" w:rsidRPr="005C49DE" w:rsidRDefault="002837CF">
            <w:pPr>
              <w:rPr>
                <w:rFonts w:ascii="CAIXA Std Book" w:hAnsi="CAIXA Std Book"/>
                <w:b/>
                <w:color w:val="FFFFFF"/>
                <w:sz w:val="18"/>
                <w:szCs w:val="18"/>
              </w:rPr>
            </w:pPr>
            <w:r>
              <w:rPr>
                <w:rFonts w:ascii="CAIXA Std Book" w:hAnsi="CAIXA Std Book" w:cs="Calibri"/>
                <w:b/>
                <w:color w:val="FFFFFF"/>
                <w:sz w:val="18"/>
                <w:szCs w:val="18"/>
              </w:rPr>
              <w:t>Total</w:t>
            </w:r>
          </w:p>
        </w:tc>
        <w:tc>
          <w:tcPr>
            <w:tcW w:w="680" w:type="pct"/>
            <w:tcBorders>
              <w:top w:val="nil"/>
              <w:left w:val="nil"/>
              <w:bottom w:val="nil"/>
              <w:right w:val="nil"/>
            </w:tcBorders>
            <w:shd w:val="clear" w:color="000000" w:fill="005CA9"/>
            <w:noWrap/>
            <w:tcMar>
              <w:top w:w="15" w:type="dxa"/>
              <w:left w:w="15" w:type="dxa"/>
              <w:bottom w:w="0" w:type="dxa"/>
              <w:right w:w="15" w:type="dxa"/>
            </w:tcMar>
            <w:vAlign w:val="center"/>
            <w:hideMark/>
          </w:tcPr>
          <w:p w14:paraId="3BEA59DE" w14:textId="112CA903" w:rsidR="002837CF" w:rsidRPr="005C49DE" w:rsidRDefault="00D310A8" w:rsidP="00D310A8">
            <w:pPr>
              <w:jc w:val="right"/>
              <w:rPr>
                <w:color w:val="000000"/>
                <w:sz w:val="18"/>
                <w:szCs w:val="18"/>
              </w:rPr>
            </w:pPr>
            <w:r>
              <w:rPr>
                <w:rFonts w:ascii="CAIXA Std Book" w:hAnsi="CAIXA Std Book" w:cs="Calibri"/>
                <w:b/>
                <w:bCs/>
                <w:color w:val="FFFFFF"/>
                <w:sz w:val="18"/>
                <w:szCs w:val="18"/>
              </w:rPr>
              <w:t>47.602.174</w:t>
            </w:r>
          </w:p>
        </w:tc>
        <w:tc>
          <w:tcPr>
            <w:tcW w:w="680" w:type="pct"/>
            <w:tcBorders>
              <w:top w:val="nil"/>
              <w:left w:val="nil"/>
              <w:bottom w:val="nil"/>
              <w:right w:val="nil"/>
            </w:tcBorders>
            <w:shd w:val="clear" w:color="000000" w:fill="005CA9"/>
            <w:noWrap/>
            <w:tcMar>
              <w:top w:w="15" w:type="dxa"/>
              <w:left w:w="15" w:type="dxa"/>
              <w:bottom w:w="0" w:type="dxa"/>
              <w:right w:w="15" w:type="dxa"/>
            </w:tcMar>
            <w:vAlign w:val="center"/>
            <w:hideMark/>
          </w:tcPr>
          <w:p w14:paraId="28866EC5" w14:textId="6EADC7FC" w:rsidR="002837CF" w:rsidRPr="005C49DE" w:rsidRDefault="00D310A8" w:rsidP="00D310A8">
            <w:pPr>
              <w:jc w:val="right"/>
              <w:rPr>
                <w:color w:val="000000"/>
                <w:sz w:val="18"/>
                <w:szCs w:val="18"/>
              </w:rPr>
            </w:pPr>
            <w:r>
              <w:rPr>
                <w:rFonts w:ascii="CAIXA Std Book" w:hAnsi="CAIXA Std Book" w:cs="Calibri"/>
                <w:b/>
                <w:bCs/>
                <w:color w:val="FFFFFF"/>
                <w:sz w:val="18"/>
                <w:szCs w:val="18"/>
              </w:rPr>
              <w:t>44.466.950</w:t>
            </w:r>
          </w:p>
        </w:tc>
        <w:tc>
          <w:tcPr>
            <w:tcW w:w="680" w:type="pct"/>
            <w:tcBorders>
              <w:top w:val="nil"/>
              <w:left w:val="nil"/>
              <w:bottom w:val="nil"/>
              <w:right w:val="nil"/>
            </w:tcBorders>
            <w:shd w:val="clear" w:color="000000" w:fill="005CA9"/>
            <w:noWrap/>
            <w:tcMar>
              <w:top w:w="15" w:type="dxa"/>
              <w:left w:w="15" w:type="dxa"/>
              <w:bottom w:w="0" w:type="dxa"/>
              <w:right w:w="15" w:type="dxa"/>
            </w:tcMar>
            <w:vAlign w:val="center"/>
            <w:hideMark/>
          </w:tcPr>
          <w:p w14:paraId="48543C3B" w14:textId="2A419273" w:rsidR="002837CF" w:rsidRPr="005C49DE" w:rsidRDefault="002837CF">
            <w:pPr>
              <w:jc w:val="right"/>
              <w:rPr>
                <w:rFonts w:ascii="CAIXA Std Book" w:eastAsia="Times New Roman" w:hAnsi="CAIXA Std Book"/>
                <w:b/>
                <w:color w:val="FFFFFF"/>
                <w:sz w:val="18"/>
                <w:szCs w:val="18"/>
              </w:rPr>
            </w:pPr>
            <w:r w:rsidRPr="005C49DE">
              <w:rPr>
                <w:rFonts w:ascii="CAIXA Std Book" w:hAnsi="CAIXA Std Book" w:cs="Calibri"/>
                <w:b/>
                <w:color w:val="FFFFFF"/>
                <w:sz w:val="18"/>
                <w:szCs w:val="18"/>
              </w:rPr>
              <w:t>48.025.760</w:t>
            </w:r>
          </w:p>
        </w:tc>
        <w:tc>
          <w:tcPr>
            <w:tcW w:w="681" w:type="pct"/>
            <w:tcBorders>
              <w:top w:val="nil"/>
              <w:left w:val="nil"/>
              <w:bottom w:val="nil"/>
              <w:right w:val="nil"/>
            </w:tcBorders>
            <w:shd w:val="clear" w:color="000000" w:fill="005CA9"/>
            <w:noWrap/>
            <w:tcMar>
              <w:top w:w="15" w:type="dxa"/>
              <w:left w:w="15" w:type="dxa"/>
              <w:bottom w:w="0" w:type="dxa"/>
              <w:right w:w="15" w:type="dxa"/>
            </w:tcMar>
            <w:vAlign w:val="center"/>
            <w:hideMark/>
          </w:tcPr>
          <w:p w14:paraId="629773E8" w14:textId="6E259CB5" w:rsidR="002837CF" w:rsidRPr="005C49DE" w:rsidRDefault="002837CF">
            <w:pPr>
              <w:jc w:val="right"/>
              <w:rPr>
                <w:rFonts w:ascii="CAIXA Std Book" w:hAnsi="CAIXA Std Book"/>
                <w:b/>
                <w:color w:val="FFFFFF"/>
                <w:sz w:val="18"/>
                <w:szCs w:val="18"/>
              </w:rPr>
            </w:pPr>
            <w:r w:rsidRPr="005C49DE">
              <w:rPr>
                <w:rFonts w:ascii="CAIXA Std Book" w:hAnsi="CAIXA Std Book" w:cs="Calibri"/>
                <w:b/>
                <w:color w:val="FFFFFF"/>
                <w:sz w:val="18"/>
                <w:szCs w:val="18"/>
              </w:rPr>
              <w:t>44.620.785</w:t>
            </w:r>
          </w:p>
        </w:tc>
      </w:tr>
    </w:tbl>
    <w:p w14:paraId="32044CE3" w14:textId="77777777" w:rsidR="005C49DE" w:rsidRDefault="005C49DE">
      <w:pPr>
        <w:rPr>
          <w:rFonts w:ascii="CAIXA Std Book" w:eastAsia="Times New Roman" w:hAnsi="CAIXA Std Book" w:cs="Arial"/>
          <w:color w:val="005CA9"/>
          <w:sz w:val="16"/>
          <w:szCs w:val="16"/>
        </w:rPr>
      </w:pPr>
      <w:r>
        <w:rPr>
          <w:rFonts w:ascii="CAIXA Std Book" w:eastAsia="Times New Roman" w:hAnsi="CAIXA Std Book" w:cs="Arial"/>
          <w:color w:val="005CA9"/>
          <w:sz w:val="16"/>
          <w:szCs w:val="16"/>
        </w:rPr>
        <w:br w:type="page"/>
      </w:r>
    </w:p>
    <w:tbl>
      <w:tblPr>
        <w:tblW w:w="5000" w:type="pct"/>
        <w:tblCellMar>
          <w:left w:w="70" w:type="dxa"/>
          <w:right w:w="70" w:type="dxa"/>
        </w:tblCellMar>
        <w:tblLook w:val="04A0" w:firstRow="1" w:lastRow="0" w:firstColumn="1" w:lastColumn="0" w:noHBand="0" w:noVBand="1"/>
      </w:tblPr>
      <w:tblGrid>
        <w:gridCol w:w="4368"/>
        <w:gridCol w:w="1317"/>
        <w:gridCol w:w="1318"/>
        <w:gridCol w:w="1316"/>
        <w:gridCol w:w="1318"/>
      </w:tblGrid>
      <w:tr w:rsidR="005C3EB6" w:rsidRPr="005C3EB6" w14:paraId="046EF0A0" w14:textId="77777777" w:rsidTr="002F66C5">
        <w:trPr>
          <w:trHeight w:val="283"/>
        </w:trPr>
        <w:tc>
          <w:tcPr>
            <w:tcW w:w="2266" w:type="pct"/>
            <w:vMerge w:val="restart"/>
            <w:tcBorders>
              <w:top w:val="nil"/>
              <w:left w:val="nil"/>
              <w:bottom w:val="nil"/>
              <w:right w:val="nil"/>
            </w:tcBorders>
            <w:shd w:val="clear" w:color="000000" w:fill="005CA9"/>
            <w:vAlign w:val="center"/>
            <w:hideMark/>
          </w:tcPr>
          <w:p w14:paraId="64A7F37F" w14:textId="77777777" w:rsidR="005C3EB6" w:rsidRPr="005C49DE" w:rsidRDefault="005C3EB6" w:rsidP="005C3EB6">
            <w:pPr>
              <w:jc w:val="center"/>
              <w:rPr>
                <w:rFonts w:ascii="CAIXA Std Book" w:eastAsia="Times New Roman" w:hAnsi="CAIXA Std Book" w:cs="Times New Roman"/>
                <w:b/>
                <w:color w:val="FFFFFF"/>
                <w:sz w:val="18"/>
                <w:szCs w:val="18"/>
              </w:rPr>
            </w:pPr>
            <w:r w:rsidRPr="005C49DE">
              <w:rPr>
                <w:rFonts w:ascii="CAIXA Std Book" w:eastAsia="Times New Roman" w:hAnsi="CAIXA Std Book" w:cs="Times New Roman"/>
                <w:b/>
                <w:color w:val="FFFFFF"/>
                <w:sz w:val="18"/>
                <w:szCs w:val="18"/>
              </w:rPr>
              <w:t>Descrição</w:t>
            </w:r>
          </w:p>
        </w:tc>
        <w:tc>
          <w:tcPr>
            <w:tcW w:w="2734" w:type="pct"/>
            <w:gridSpan w:val="4"/>
            <w:tcBorders>
              <w:top w:val="nil"/>
              <w:left w:val="nil"/>
              <w:bottom w:val="single" w:sz="4" w:space="0" w:color="FFFFFF"/>
              <w:right w:val="nil"/>
            </w:tcBorders>
            <w:shd w:val="clear" w:color="000000" w:fill="005CA9"/>
            <w:noWrap/>
            <w:vAlign w:val="center"/>
            <w:hideMark/>
          </w:tcPr>
          <w:p w14:paraId="1A3528E7" w14:textId="77777777" w:rsidR="005C3EB6" w:rsidRPr="005C49DE" w:rsidRDefault="005C3EB6" w:rsidP="005C3EB6">
            <w:pPr>
              <w:jc w:val="center"/>
              <w:rPr>
                <w:rFonts w:ascii="CAIXA Std Book" w:eastAsia="Times New Roman" w:hAnsi="CAIXA Std Book" w:cs="Times New Roman"/>
                <w:b/>
                <w:color w:val="FFFFFF"/>
                <w:sz w:val="18"/>
                <w:szCs w:val="18"/>
              </w:rPr>
            </w:pPr>
            <w:r w:rsidRPr="005C49DE">
              <w:rPr>
                <w:rFonts w:ascii="CAIXA Std Book" w:eastAsia="Times New Roman" w:hAnsi="CAIXA Std Book" w:cs="Times New Roman"/>
                <w:b/>
                <w:color w:val="FFFFFF"/>
                <w:sz w:val="18"/>
                <w:szCs w:val="18"/>
              </w:rPr>
              <w:t xml:space="preserve"> Consolidado</w:t>
            </w:r>
          </w:p>
        </w:tc>
      </w:tr>
      <w:tr w:rsidR="005C3EB6" w:rsidRPr="005C3EB6" w14:paraId="3630398B" w14:textId="77777777" w:rsidTr="002F66C5">
        <w:trPr>
          <w:trHeight w:val="283"/>
        </w:trPr>
        <w:tc>
          <w:tcPr>
            <w:tcW w:w="2266" w:type="pct"/>
            <w:vMerge/>
            <w:tcBorders>
              <w:top w:val="nil"/>
              <w:left w:val="nil"/>
              <w:bottom w:val="nil"/>
              <w:right w:val="nil"/>
            </w:tcBorders>
            <w:vAlign w:val="center"/>
            <w:hideMark/>
          </w:tcPr>
          <w:p w14:paraId="2F11E146" w14:textId="77777777" w:rsidR="005C3EB6" w:rsidRPr="005C49DE" w:rsidRDefault="005C3EB6" w:rsidP="005C3EB6">
            <w:pPr>
              <w:rPr>
                <w:rFonts w:ascii="CAIXA Std Book" w:eastAsia="Times New Roman" w:hAnsi="CAIXA Std Book" w:cs="Times New Roman"/>
                <w:b/>
                <w:color w:val="FFFFFF"/>
                <w:sz w:val="18"/>
                <w:szCs w:val="18"/>
              </w:rPr>
            </w:pPr>
          </w:p>
        </w:tc>
        <w:tc>
          <w:tcPr>
            <w:tcW w:w="1367" w:type="pct"/>
            <w:gridSpan w:val="2"/>
            <w:tcBorders>
              <w:top w:val="single" w:sz="4" w:space="0" w:color="FFFFFF"/>
              <w:left w:val="nil"/>
              <w:bottom w:val="single" w:sz="4" w:space="0" w:color="FFFFFF" w:themeColor="background1"/>
              <w:right w:val="nil"/>
            </w:tcBorders>
            <w:shd w:val="clear" w:color="000000" w:fill="005CA9"/>
            <w:noWrap/>
            <w:vAlign w:val="center"/>
            <w:hideMark/>
          </w:tcPr>
          <w:p w14:paraId="5BFC0847" w14:textId="77777777" w:rsidR="005C3EB6" w:rsidRPr="005C49DE" w:rsidRDefault="005C3EB6" w:rsidP="005C3EB6">
            <w:pPr>
              <w:jc w:val="center"/>
              <w:rPr>
                <w:rFonts w:ascii="CAIXA Std Book" w:eastAsia="Times New Roman" w:hAnsi="CAIXA Std Book" w:cs="Times New Roman"/>
                <w:b/>
                <w:color w:val="FFFFFF"/>
                <w:sz w:val="18"/>
                <w:szCs w:val="18"/>
              </w:rPr>
            </w:pPr>
            <w:r w:rsidRPr="005C49DE">
              <w:rPr>
                <w:rFonts w:ascii="CAIXA Std Book" w:eastAsia="Times New Roman" w:hAnsi="CAIXA Std Book" w:cs="Times New Roman"/>
                <w:b/>
                <w:color w:val="FFFFFF"/>
                <w:sz w:val="18"/>
                <w:szCs w:val="18"/>
              </w:rPr>
              <w:t>31/03/2026</w:t>
            </w:r>
          </w:p>
        </w:tc>
        <w:tc>
          <w:tcPr>
            <w:tcW w:w="1367" w:type="pct"/>
            <w:gridSpan w:val="2"/>
            <w:tcBorders>
              <w:top w:val="single" w:sz="4" w:space="0" w:color="FFFFFF"/>
              <w:left w:val="nil"/>
              <w:bottom w:val="single" w:sz="4" w:space="0" w:color="FFFFFF" w:themeColor="background1"/>
              <w:right w:val="nil"/>
            </w:tcBorders>
            <w:shd w:val="clear" w:color="000000" w:fill="005CA9"/>
            <w:noWrap/>
            <w:vAlign w:val="center"/>
            <w:hideMark/>
          </w:tcPr>
          <w:p w14:paraId="6ED6816E" w14:textId="77777777" w:rsidR="005C3EB6" w:rsidRPr="005C49DE" w:rsidRDefault="005C3EB6" w:rsidP="005C3EB6">
            <w:pPr>
              <w:jc w:val="center"/>
              <w:rPr>
                <w:rFonts w:ascii="CAIXA Std Book" w:eastAsia="Times New Roman" w:hAnsi="CAIXA Std Book" w:cs="Times New Roman"/>
                <w:b/>
                <w:color w:val="FFFFFF"/>
                <w:sz w:val="18"/>
                <w:szCs w:val="18"/>
              </w:rPr>
            </w:pPr>
            <w:r w:rsidRPr="005C49DE">
              <w:rPr>
                <w:rFonts w:ascii="CAIXA Std Book" w:eastAsia="Times New Roman" w:hAnsi="CAIXA Std Book" w:cs="Times New Roman"/>
                <w:b/>
                <w:color w:val="FFFFFF"/>
                <w:sz w:val="18"/>
                <w:szCs w:val="18"/>
              </w:rPr>
              <w:t>31/12/2025</w:t>
            </w:r>
          </w:p>
        </w:tc>
      </w:tr>
      <w:tr w:rsidR="005C3EB6" w:rsidRPr="005C3EB6" w14:paraId="6E015F12" w14:textId="77777777" w:rsidTr="00A57AEE">
        <w:trPr>
          <w:trHeight w:val="283"/>
        </w:trPr>
        <w:tc>
          <w:tcPr>
            <w:tcW w:w="2266" w:type="pct"/>
            <w:vMerge/>
            <w:tcBorders>
              <w:top w:val="nil"/>
              <w:left w:val="nil"/>
              <w:right w:val="nil"/>
            </w:tcBorders>
            <w:vAlign w:val="center"/>
            <w:hideMark/>
          </w:tcPr>
          <w:p w14:paraId="731C6894" w14:textId="77777777" w:rsidR="005C3EB6" w:rsidRPr="005C49DE" w:rsidRDefault="005C3EB6" w:rsidP="005C3EB6">
            <w:pPr>
              <w:rPr>
                <w:rFonts w:ascii="CAIXA Std Book" w:eastAsia="Times New Roman" w:hAnsi="CAIXA Std Book" w:cs="Times New Roman"/>
                <w:b/>
                <w:color w:val="FFFFFF"/>
                <w:sz w:val="18"/>
                <w:szCs w:val="18"/>
              </w:rPr>
            </w:pPr>
          </w:p>
        </w:tc>
        <w:tc>
          <w:tcPr>
            <w:tcW w:w="683" w:type="pct"/>
            <w:tcBorders>
              <w:top w:val="single" w:sz="4" w:space="0" w:color="FFFFFF" w:themeColor="background1"/>
              <w:left w:val="nil"/>
              <w:right w:val="nil"/>
            </w:tcBorders>
            <w:shd w:val="clear" w:color="000000" w:fill="005CA9"/>
            <w:vAlign w:val="center"/>
            <w:hideMark/>
          </w:tcPr>
          <w:p w14:paraId="20EE3789" w14:textId="77777777" w:rsidR="002A7418" w:rsidRDefault="005C3EB6" w:rsidP="005C3EB6">
            <w:pPr>
              <w:jc w:val="center"/>
              <w:rPr>
                <w:rFonts w:ascii="CAIXA Std Book" w:eastAsia="Times New Roman" w:hAnsi="CAIXA Std Book" w:cs="Times New Roman"/>
                <w:b/>
                <w:color w:val="FFFFFF"/>
                <w:sz w:val="18"/>
                <w:szCs w:val="18"/>
              </w:rPr>
            </w:pPr>
            <w:r w:rsidRPr="005C49DE">
              <w:rPr>
                <w:rFonts w:ascii="CAIXA Std Book" w:eastAsia="Times New Roman" w:hAnsi="CAIXA Std Book" w:cs="Times New Roman"/>
                <w:b/>
                <w:color w:val="FFFFFF"/>
                <w:sz w:val="18"/>
                <w:szCs w:val="18"/>
              </w:rPr>
              <w:t>Valor</w:t>
            </w:r>
          </w:p>
          <w:p w14:paraId="23E4E2DD" w14:textId="5968B4D5" w:rsidR="005C3EB6" w:rsidRPr="005C49DE" w:rsidRDefault="005C3EB6" w:rsidP="005C3EB6">
            <w:pPr>
              <w:jc w:val="center"/>
              <w:rPr>
                <w:rFonts w:ascii="CAIXA Std Book" w:eastAsia="Times New Roman" w:hAnsi="CAIXA Std Book" w:cs="Times New Roman"/>
                <w:b/>
                <w:color w:val="FFFFFF"/>
                <w:sz w:val="18"/>
                <w:szCs w:val="18"/>
              </w:rPr>
            </w:pPr>
            <w:r w:rsidRPr="005C49DE">
              <w:rPr>
                <w:rFonts w:ascii="CAIXA Std Book" w:eastAsia="Times New Roman" w:hAnsi="CAIXA Std Book" w:cs="Times New Roman"/>
                <w:b/>
                <w:color w:val="FFFFFF"/>
                <w:sz w:val="18"/>
                <w:szCs w:val="18"/>
              </w:rPr>
              <w:t>contábil</w:t>
            </w:r>
          </w:p>
        </w:tc>
        <w:tc>
          <w:tcPr>
            <w:tcW w:w="684" w:type="pct"/>
            <w:tcBorders>
              <w:top w:val="single" w:sz="4" w:space="0" w:color="FFFFFF" w:themeColor="background1"/>
              <w:left w:val="nil"/>
              <w:right w:val="nil"/>
            </w:tcBorders>
            <w:shd w:val="clear" w:color="000000" w:fill="005CA9"/>
            <w:vAlign w:val="center"/>
            <w:hideMark/>
          </w:tcPr>
          <w:p w14:paraId="1EDFFDBF" w14:textId="376B71A3" w:rsidR="005C3EB6" w:rsidRPr="005C49DE" w:rsidRDefault="005C3EB6" w:rsidP="005C3EB6">
            <w:pPr>
              <w:jc w:val="center"/>
              <w:rPr>
                <w:rFonts w:ascii="CAIXA Std Book" w:eastAsia="Times New Roman" w:hAnsi="CAIXA Std Book" w:cs="Times New Roman"/>
                <w:b/>
                <w:color w:val="FFFFFF"/>
                <w:sz w:val="18"/>
                <w:szCs w:val="18"/>
              </w:rPr>
            </w:pPr>
            <w:r w:rsidRPr="005C49DE">
              <w:rPr>
                <w:rFonts w:ascii="CAIXA Std Book" w:eastAsia="Times New Roman" w:hAnsi="CAIXA Std Book" w:cs="Times New Roman"/>
                <w:b/>
                <w:color w:val="FFFFFF"/>
                <w:sz w:val="18"/>
                <w:szCs w:val="18"/>
              </w:rPr>
              <w:t xml:space="preserve">Valor </w:t>
            </w:r>
            <w:r w:rsidR="00600442">
              <w:rPr>
                <w:rFonts w:ascii="CAIXA Std Book" w:eastAsia="Times New Roman" w:hAnsi="CAIXA Std Book" w:cs="Times New Roman"/>
                <w:b/>
                <w:color w:val="FFFFFF"/>
                <w:sz w:val="18"/>
                <w:szCs w:val="18"/>
              </w:rPr>
              <w:t>c</w:t>
            </w:r>
            <w:r w:rsidRPr="005C49DE">
              <w:rPr>
                <w:rFonts w:ascii="CAIXA Std Book" w:eastAsia="Times New Roman" w:hAnsi="CAIXA Std Book" w:cs="Times New Roman"/>
                <w:b/>
                <w:color w:val="FFFFFF"/>
                <w:sz w:val="18"/>
                <w:szCs w:val="18"/>
              </w:rPr>
              <w:t xml:space="preserve">ontábil </w:t>
            </w:r>
            <w:r w:rsidR="00600442">
              <w:rPr>
                <w:rFonts w:ascii="CAIXA Std Book" w:eastAsia="Times New Roman" w:hAnsi="CAIXA Std Book" w:cs="Times New Roman"/>
                <w:b/>
                <w:color w:val="FFFFFF"/>
                <w:sz w:val="18"/>
                <w:szCs w:val="18"/>
              </w:rPr>
              <w:t>l</w:t>
            </w:r>
            <w:r w:rsidRPr="005C49DE">
              <w:rPr>
                <w:rFonts w:ascii="CAIXA Std Book" w:eastAsia="Times New Roman" w:hAnsi="CAIXA Std Book" w:cs="Times New Roman"/>
                <w:b/>
                <w:color w:val="FFFFFF"/>
                <w:sz w:val="18"/>
                <w:szCs w:val="18"/>
              </w:rPr>
              <w:t xml:space="preserve">íquido de </w:t>
            </w:r>
            <w:r w:rsidR="00600442">
              <w:rPr>
                <w:rFonts w:ascii="CAIXA Std Book" w:eastAsia="Times New Roman" w:hAnsi="CAIXA Std Book" w:cs="Times New Roman"/>
                <w:b/>
                <w:color w:val="FFFFFF"/>
                <w:sz w:val="18"/>
                <w:szCs w:val="18"/>
              </w:rPr>
              <w:t>p</w:t>
            </w:r>
            <w:r w:rsidRPr="005C49DE">
              <w:rPr>
                <w:rFonts w:ascii="CAIXA Std Book" w:eastAsia="Times New Roman" w:hAnsi="CAIXA Std Book" w:cs="Times New Roman"/>
                <w:b/>
                <w:color w:val="FFFFFF"/>
                <w:sz w:val="18"/>
                <w:szCs w:val="18"/>
              </w:rPr>
              <w:t>erdas</w:t>
            </w:r>
          </w:p>
        </w:tc>
        <w:tc>
          <w:tcPr>
            <w:tcW w:w="683" w:type="pct"/>
            <w:tcBorders>
              <w:top w:val="single" w:sz="4" w:space="0" w:color="FFFFFF" w:themeColor="background1"/>
              <w:left w:val="nil"/>
              <w:right w:val="nil"/>
            </w:tcBorders>
            <w:shd w:val="clear" w:color="000000" w:fill="005CA9"/>
            <w:vAlign w:val="center"/>
            <w:hideMark/>
          </w:tcPr>
          <w:p w14:paraId="12164A7A" w14:textId="3E4BF09B" w:rsidR="005C3EB6" w:rsidRPr="005C49DE" w:rsidRDefault="005C3EB6" w:rsidP="005C3EB6">
            <w:pPr>
              <w:jc w:val="center"/>
              <w:rPr>
                <w:rFonts w:ascii="CAIXA Std Book" w:eastAsia="Times New Roman" w:hAnsi="CAIXA Std Book" w:cs="Times New Roman"/>
                <w:b/>
                <w:color w:val="FFFFFF"/>
                <w:sz w:val="18"/>
                <w:szCs w:val="18"/>
              </w:rPr>
            </w:pPr>
            <w:r w:rsidRPr="005C49DE">
              <w:rPr>
                <w:rFonts w:ascii="CAIXA Std Book" w:eastAsia="Times New Roman" w:hAnsi="CAIXA Std Book" w:cs="Times New Roman"/>
                <w:b/>
                <w:color w:val="FFFFFF"/>
                <w:sz w:val="18"/>
                <w:szCs w:val="18"/>
              </w:rPr>
              <w:t xml:space="preserve">Valor </w:t>
            </w:r>
            <w:r w:rsidR="002A7418">
              <w:rPr>
                <w:rFonts w:ascii="CAIXA Std Book" w:eastAsia="Times New Roman" w:hAnsi="CAIXA Std Book" w:cs="Times New Roman"/>
                <w:b/>
                <w:color w:val="FFFFFF"/>
                <w:sz w:val="18"/>
                <w:szCs w:val="18"/>
              </w:rPr>
              <w:t>c</w:t>
            </w:r>
            <w:r w:rsidRPr="005C49DE">
              <w:rPr>
                <w:rFonts w:ascii="CAIXA Std Book" w:eastAsia="Times New Roman" w:hAnsi="CAIXA Std Book" w:cs="Times New Roman"/>
                <w:b/>
                <w:color w:val="FFFFFF"/>
                <w:sz w:val="18"/>
                <w:szCs w:val="18"/>
              </w:rPr>
              <w:t>ontábil</w:t>
            </w:r>
          </w:p>
        </w:tc>
        <w:tc>
          <w:tcPr>
            <w:tcW w:w="684" w:type="pct"/>
            <w:tcBorders>
              <w:top w:val="single" w:sz="4" w:space="0" w:color="FFFFFF" w:themeColor="background1"/>
              <w:left w:val="nil"/>
              <w:right w:val="nil"/>
            </w:tcBorders>
            <w:shd w:val="clear" w:color="000000" w:fill="005CA9"/>
            <w:vAlign w:val="center"/>
            <w:hideMark/>
          </w:tcPr>
          <w:p w14:paraId="7C33E5BC" w14:textId="74AA0345" w:rsidR="005C3EB6" w:rsidRPr="005C49DE" w:rsidRDefault="005C3EB6" w:rsidP="005C3EB6">
            <w:pPr>
              <w:jc w:val="center"/>
              <w:rPr>
                <w:rFonts w:ascii="CAIXA Std Book" w:eastAsia="Times New Roman" w:hAnsi="CAIXA Std Book" w:cs="Times New Roman"/>
                <w:b/>
                <w:color w:val="FFFFFF"/>
                <w:sz w:val="18"/>
                <w:szCs w:val="18"/>
              </w:rPr>
            </w:pPr>
            <w:r w:rsidRPr="005C49DE">
              <w:rPr>
                <w:rFonts w:ascii="CAIXA Std Book" w:eastAsia="Times New Roman" w:hAnsi="CAIXA Std Book" w:cs="Times New Roman"/>
                <w:b/>
                <w:color w:val="FFFFFF"/>
                <w:sz w:val="18"/>
                <w:szCs w:val="18"/>
              </w:rPr>
              <w:t xml:space="preserve">Valor </w:t>
            </w:r>
            <w:r w:rsidR="00600442">
              <w:rPr>
                <w:rFonts w:ascii="CAIXA Std Book" w:eastAsia="Times New Roman" w:hAnsi="CAIXA Std Book" w:cs="Times New Roman"/>
                <w:b/>
                <w:color w:val="FFFFFF"/>
                <w:sz w:val="18"/>
                <w:szCs w:val="18"/>
              </w:rPr>
              <w:t>c</w:t>
            </w:r>
            <w:r w:rsidRPr="005C49DE">
              <w:rPr>
                <w:rFonts w:ascii="CAIXA Std Book" w:eastAsia="Times New Roman" w:hAnsi="CAIXA Std Book" w:cs="Times New Roman"/>
                <w:b/>
                <w:color w:val="FFFFFF"/>
                <w:sz w:val="18"/>
                <w:szCs w:val="18"/>
              </w:rPr>
              <w:t xml:space="preserve">ontábil </w:t>
            </w:r>
            <w:r w:rsidR="00600442">
              <w:rPr>
                <w:rFonts w:ascii="CAIXA Std Book" w:eastAsia="Times New Roman" w:hAnsi="CAIXA Std Book" w:cs="Times New Roman"/>
                <w:b/>
                <w:color w:val="FFFFFF"/>
                <w:sz w:val="18"/>
                <w:szCs w:val="18"/>
              </w:rPr>
              <w:t>l</w:t>
            </w:r>
            <w:r w:rsidRPr="005C49DE">
              <w:rPr>
                <w:rFonts w:ascii="CAIXA Std Book" w:eastAsia="Times New Roman" w:hAnsi="CAIXA Std Book" w:cs="Times New Roman"/>
                <w:b/>
                <w:color w:val="FFFFFF"/>
                <w:sz w:val="18"/>
                <w:szCs w:val="18"/>
              </w:rPr>
              <w:t xml:space="preserve">íquido de </w:t>
            </w:r>
            <w:r w:rsidR="00600442">
              <w:rPr>
                <w:rFonts w:ascii="CAIXA Std Book" w:eastAsia="Times New Roman" w:hAnsi="CAIXA Std Book" w:cs="Times New Roman"/>
                <w:b/>
                <w:color w:val="FFFFFF"/>
                <w:sz w:val="18"/>
                <w:szCs w:val="18"/>
              </w:rPr>
              <w:t>p</w:t>
            </w:r>
            <w:r w:rsidRPr="005C49DE">
              <w:rPr>
                <w:rFonts w:ascii="CAIXA Std Book" w:eastAsia="Times New Roman" w:hAnsi="CAIXA Std Book" w:cs="Times New Roman"/>
                <w:b/>
                <w:color w:val="FFFFFF"/>
                <w:sz w:val="18"/>
                <w:szCs w:val="18"/>
              </w:rPr>
              <w:t>erdas</w:t>
            </w:r>
          </w:p>
        </w:tc>
      </w:tr>
      <w:tr w:rsidR="00A55023" w:rsidRPr="005C3EB6" w14:paraId="38C1C45C" w14:textId="77777777" w:rsidTr="00A55023">
        <w:trPr>
          <w:trHeight w:val="283"/>
        </w:trPr>
        <w:tc>
          <w:tcPr>
            <w:tcW w:w="2266" w:type="pct"/>
            <w:tcBorders>
              <w:top w:val="nil"/>
              <w:left w:val="nil"/>
              <w:bottom w:val="nil"/>
              <w:right w:val="nil"/>
            </w:tcBorders>
            <w:shd w:val="clear" w:color="000000" w:fill="FFFFFF"/>
            <w:noWrap/>
            <w:vAlign w:val="center"/>
            <w:hideMark/>
          </w:tcPr>
          <w:p w14:paraId="45A92675" w14:textId="77777777" w:rsidR="00A55023" w:rsidRPr="005C49DE" w:rsidRDefault="00A55023" w:rsidP="00A55023">
            <w:pPr>
              <w:rPr>
                <w:rFonts w:ascii="CAIXA Std Book" w:eastAsia="Times New Roman" w:hAnsi="CAIXA Std Book" w:cs="Times New Roman"/>
                <w:color w:val="005CA9"/>
                <w:sz w:val="18"/>
                <w:szCs w:val="18"/>
              </w:rPr>
            </w:pPr>
            <w:r w:rsidRPr="005C49DE">
              <w:rPr>
                <w:rFonts w:ascii="CAIXA Std Book" w:eastAsia="Times New Roman" w:hAnsi="CAIXA Std Book" w:cs="Times New Roman"/>
                <w:color w:val="005CA9"/>
                <w:sz w:val="18"/>
                <w:szCs w:val="18"/>
              </w:rPr>
              <w:t>Créditos vinculados ao SFH (b)</w:t>
            </w:r>
          </w:p>
        </w:tc>
        <w:tc>
          <w:tcPr>
            <w:tcW w:w="683" w:type="pct"/>
            <w:tcBorders>
              <w:top w:val="nil"/>
              <w:left w:val="nil"/>
              <w:bottom w:val="nil"/>
              <w:right w:val="nil"/>
            </w:tcBorders>
            <w:noWrap/>
            <w:vAlign w:val="center"/>
            <w:hideMark/>
          </w:tcPr>
          <w:p w14:paraId="05352628" w14:textId="76A772A8" w:rsidR="00A55023" w:rsidRPr="005C49DE" w:rsidRDefault="00A55023" w:rsidP="00A55023">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22.346.043</w:t>
            </w:r>
          </w:p>
        </w:tc>
        <w:tc>
          <w:tcPr>
            <w:tcW w:w="684" w:type="pct"/>
            <w:tcBorders>
              <w:top w:val="nil"/>
              <w:left w:val="nil"/>
              <w:bottom w:val="nil"/>
              <w:right w:val="nil"/>
            </w:tcBorders>
            <w:shd w:val="clear" w:color="000000" w:fill="FFFFFF"/>
            <w:noWrap/>
            <w:vAlign w:val="center"/>
            <w:hideMark/>
          </w:tcPr>
          <w:p w14:paraId="6305833A" w14:textId="791F4C4C" w:rsidR="00A55023" w:rsidRPr="005C49DE" w:rsidRDefault="00A55023" w:rsidP="00A55023">
            <w:pPr>
              <w:jc w:val="right"/>
              <w:rPr>
                <w:rFonts w:cs="Times New Roman"/>
                <w:color w:val="005CA9"/>
                <w:sz w:val="18"/>
                <w:szCs w:val="18"/>
              </w:rPr>
            </w:pPr>
            <w:r>
              <w:rPr>
                <w:rFonts w:ascii="CAIXA Std Book" w:hAnsi="CAIXA Std Book" w:cs="Calibri"/>
                <w:color w:val="005CA9"/>
                <w:sz w:val="18"/>
                <w:szCs w:val="18"/>
              </w:rPr>
              <w:t>19.213.008</w:t>
            </w:r>
          </w:p>
        </w:tc>
        <w:tc>
          <w:tcPr>
            <w:tcW w:w="683" w:type="pct"/>
            <w:tcBorders>
              <w:top w:val="nil"/>
              <w:left w:val="nil"/>
              <w:bottom w:val="nil"/>
              <w:right w:val="nil"/>
            </w:tcBorders>
            <w:noWrap/>
            <w:vAlign w:val="center"/>
            <w:hideMark/>
          </w:tcPr>
          <w:p w14:paraId="658838D6" w14:textId="347FAB5D" w:rsidR="00A55023" w:rsidRPr="005C49DE" w:rsidRDefault="00A55023" w:rsidP="00A55023">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22.544.916</w:t>
            </w:r>
          </w:p>
        </w:tc>
        <w:tc>
          <w:tcPr>
            <w:tcW w:w="684" w:type="pct"/>
            <w:tcBorders>
              <w:top w:val="nil"/>
              <w:left w:val="nil"/>
              <w:bottom w:val="nil"/>
              <w:right w:val="nil"/>
            </w:tcBorders>
            <w:noWrap/>
            <w:vAlign w:val="center"/>
            <w:hideMark/>
          </w:tcPr>
          <w:p w14:paraId="35F951BE" w14:textId="77777777" w:rsidR="00A55023" w:rsidRPr="005C49DE" w:rsidRDefault="00A55023" w:rsidP="00A55023">
            <w:pPr>
              <w:jc w:val="right"/>
              <w:rPr>
                <w:rFonts w:ascii="CAIXA Std Book" w:eastAsia="Times New Roman" w:hAnsi="CAIXA Std Book" w:cs="Times New Roman"/>
                <w:color w:val="005CA9"/>
                <w:sz w:val="18"/>
                <w:szCs w:val="18"/>
              </w:rPr>
            </w:pPr>
            <w:r w:rsidRPr="005C49DE">
              <w:rPr>
                <w:rFonts w:ascii="CAIXA Std Book" w:eastAsia="Times New Roman" w:hAnsi="CAIXA Std Book" w:cs="Times New Roman"/>
                <w:color w:val="005CA9"/>
                <w:sz w:val="18"/>
                <w:szCs w:val="18"/>
              </w:rPr>
              <w:t>19.141.390</w:t>
            </w:r>
          </w:p>
        </w:tc>
      </w:tr>
      <w:tr w:rsidR="00A55023" w:rsidRPr="005C3EB6" w14:paraId="489CAE4C" w14:textId="77777777" w:rsidTr="00A55023">
        <w:trPr>
          <w:trHeight w:val="283"/>
        </w:trPr>
        <w:tc>
          <w:tcPr>
            <w:tcW w:w="2266" w:type="pct"/>
            <w:tcBorders>
              <w:top w:val="nil"/>
              <w:left w:val="nil"/>
              <w:bottom w:val="nil"/>
              <w:right w:val="nil"/>
            </w:tcBorders>
            <w:shd w:val="clear" w:color="000000" w:fill="FFFFFF"/>
            <w:noWrap/>
            <w:vAlign w:val="center"/>
            <w:hideMark/>
          </w:tcPr>
          <w:p w14:paraId="7C96CB32" w14:textId="77777777" w:rsidR="00A55023" w:rsidRPr="005C49DE" w:rsidRDefault="00A55023" w:rsidP="00A55023">
            <w:pPr>
              <w:rPr>
                <w:rFonts w:ascii="CAIXA Std Book" w:eastAsia="Times New Roman" w:hAnsi="CAIXA Std Book" w:cs="Times New Roman"/>
                <w:color w:val="005CA9"/>
                <w:sz w:val="18"/>
                <w:szCs w:val="18"/>
              </w:rPr>
            </w:pPr>
            <w:r w:rsidRPr="005C49DE">
              <w:rPr>
                <w:rFonts w:ascii="CAIXA Std Book" w:eastAsia="Times New Roman" w:hAnsi="CAIXA Std Book" w:cs="Times New Roman"/>
                <w:color w:val="005CA9"/>
                <w:sz w:val="18"/>
                <w:szCs w:val="18"/>
              </w:rPr>
              <w:t>Devedores por depósitos em garantia (Nota 16 (e))</w:t>
            </w:r>
          </w:p>
        </w:tc>
        <w:tc>
          <w:tcPr>
            <w:tcW w:w="683" w:type="pct"/>
            <w:tcBorders>
              <w:top w:val="nil"/>
              <w:left w:val="nil"/>
              <w:bottom w:val="nil"/>
              <w:right w:val="nil"/>
            </w:tcBorders>
            <w:noWrap/>
            <w:vAlign w:val="center"/>
            <w:hideMark/>
          </w:tcPr>
          <w:p w14:paraId="3FFE2BD5" w14:textId="64A49DC7" w:rsidR="00A55023" w:rsidRPr="005C49DE" w:rsidRDefault="00A55023" w:rsidP="00A55023">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22.869.50</w:t>
            </w:r>
            <w:r w:rsidR="00EE4DB3">
              <w:rPr>
                <w:rFonts w:ascii="CAIXA Std Book" w:hAnsi="CAIXA Std Book" w:cs="Calibri"/>
                <w:color w:val="005CA9"/>
                <w:sz w:val="18"/>
                <w:szCs w:val="18"/>
              </w:rPr>
              <w:t>4</w:t>
            </w:r>
          </w:p>
        </w:tc>
        <w:tc>
          <w:tcPr>
            <w:tcW w:w="684" w:type="pct"/>
            <w:tcBorders>
              <w:top w:val="nil"/>
              <w:left w:val="nil"/>
              <w:bottom w:val="nil"/>
              <w:right w:val="nil"/>
            </w:tcBorders>
            <w:shd w:val="clear" w:color="000000" w:fill="FFFFFF"/>
            <w:noWrap/>
            <w:vAlign w:val="center"/>
            <w:hideMark/>
          </w:tcPr>
          <w:p w14:paraId="14E46F29" w14:textId="751AF1EA" w:rsidR="00A55023" w:rsidRPr="005C49DE" w:rsidRDefault="00A55023" w:rsidP="00A55023">
            <w:pPr>
              <w:jc w:val="right"/>
              <w:rPr>
                <w:rFonts w:cs="Times New Roman"/>
                <w:color w:val="005CA9"/>
                <w:sz w:val="18"/>
                <w:szCs w:val="18"/>
              </w:rPr>
            </w:pPr>
            <w:r>
              <w:rPr>
                <w:rFonts w:ascii="CAIXA Std Book" w:hAnsi="CAIXA Std Book" w:cs="Calibri"/>
                <w:color w:val="005CA9"/>
                <w:sz w:val="18"/>
                <w:szCs w:val="18"/>
              </w:rPr>
              <w:t>22.869.50</w:t>
            </w:r>
            <w:r w:rsidR="0040391E">
              <w:rPr>
                <w:rFonts w:ascii="CAIXA Std Book" w:hAnsi="CAIXA Std Book" w:cs="Calibri"/>
                <w:color w:val="005CA9"/>
                <w:sz w:val="18"/>
                <w:szCs w:val="18"/>
              </w:rPr>
              <w:t>4</w:t>
            </w:r>
          </w:p>
        </w:tc>
        <w:tc>
          <w:tcPr>
            <w:tcW w:w="683" w:type="pct"/>
            <w:tcBorders>
              <w:top w:val="nil"/>
              <w:left w:val="nil"/>
              <w:bottom w:val="nil"/>
              <w:right w:val="nil"/>
            </w:tcBorders>
            <w:shd w:val="clear" w:color="000000" w:fill="FFFFFF"/>
            <w:noWrap/>
            <w:vAlign w:val="center"/>
            <w:hideMark/>
          </w:tcPr>
          <w:p w14:paraId="1A893723" w14:textId="7CD8E34C" w:rsidR="00A55023" w:rsidRPr="005C49DE" w:rsidRDefault="00A55023" w:rsidP="00A55023">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22.468.788</w:t>
            </w:r>
          </w:p>
        </w:tc>
        <w:tc>
          <w:tcPr>
            <w:tcW w:w="684" w:type="pct"/>
            <w:tcBorders>
              <w:top w:val="nil"/>
              <w:left w:val="nil"/>
              <w:bottom w:val="nil"/>
              <w:right w:val="nil"/>
            </w:tcBorders>
            <w:noWrap/>
            <w:vAlign w:val="center"/>
            <w:hideMark/>
          </w:tcPr>
          <w:p w14:paraId="1D14F8E2" w14:textId="77777777" w:rsidR="00A55023" w:rsidRPr="005C49DE" w:rsidRDefault="00A55023" w:rsidP="00A55023">
            <w:pPr>
              <w:jc w:val="right"/>
              <w:rPr>
                <w:rFonts w:ascii="CAIXA Std Book" w:eastAsia="Times New Roman" w:hAnsi="CAIXA Std Book" w:cs="Times New Roman"/>
                <w:color w:val="005CA9"/>
                <w:sz w:val="18"/>
                <w:szCs w:val="18"/>
              </w:rPr>
            </w:pPr>
            <w:r w:rsidRPr="005C49DE">
              <w:rPr>
                <w:rFonts w:ascii="CAIXA Std Book" w:eastAsia="Times New Roman" w:hAnsi="CAIXA Std Book" w:cs="Times New Roman"/>
                <w:color w:val="005CA9"/>
                <w:sz w:val="18"/>
                <w:szCs w:val="18"/>
              </w:rPr>
              <w:t>22.468.788</w:t>
            </w:r>
          </w:p>
        </w:tc>
      </w:tr>
      <w:tr w:rsidR="00A55023" w:rsidRPr="005C3EB6" w14:paraId="60E72181" w14:textId="77777777" w:rsidTr="00A55023">
        <w:trPr>
          <w:trHeight w:val="283"/>
        </w:trPr>
        <w:tc>
          <w:tcPr>
            <w:tcW w:w="2266" w:type="pct"/>
            <w:tcBorders>
              <w:top w:val="nil"/>
              <w:left w:val="nil"/>
              <w:bottom w:val="nil"/>
              <w:right w:val="nil"/>
            </w:tcBorders>
            <w:shd w:val="clear" w:color="000000" w:fill="FFFFFF"/>
            <w:noWrap/>
            <w:vAlign w:val="center"/>
            <w:hideMark/>
          </w:tcPr>
          <w:p w14:paraId="3DD77C4A" w14:textId="77777777" w:rsidR="00A55023" w:rsidRPr="005C49DE" w:rsidRDefault="00A55023" w:rsidP="00A55023">
            <w:pPr>
              <w:rPr>
                <w:rFonts w:ascii="CAIXA Std Book" w:eastAsia="Times New Roman" w:hAnsi="CAIXA Std Book" w:cs="Times New Roman"/>
                <w:color w:val="005CA9"/>
                <w:sz w:val="18"/>
                <w:szCs w:val="18"/>
              </w:rPr>
            </w:pPr>
            <w:r w:rsidRPr="005C49DE">
              <w:rPr>
                <w:rFonts w:ascii="CAIXA Std Book" w:eastAsia="Times New Roman" w:hAnsi="CAIXA Std Book" w:cs="Times New Roman"/>
                <w:color w:val="005CA9"/>
                <w:sz w:val="18"/>
                <w:szCs w:val="18"/>
              </w:rPr>
              <w:t>Rendas a receber do setor público (1)</w:t>
            </w:r>
          </w:p>
        </w:tc>
        <w:tc>
          <w:tcPr>
            <w:tcW w:w="683" w:type="pct"/>
            <w:tcBorders>
              <w:top w:val="nil"/>
              <w:left w:val="nil"/>
              <w:bottom w:val="nil"/>
              <w:right w:val="nil"/>
            </w:tcBorders>
            <w:noWrap/>
            <w:vAlign w:val="center"/>
            <w:hideMark/>
          </w:tcPr>
          <w:p w14:paraId="0EC80531" w14:textId="0140346F" w:rsidR="00A55023" w:rsidRPr="005C49DE" w:rsidRDefault="00A55023" w:rsidP="00A55023">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1.926.8</w:t>
            </w:r>
            <w:r w:rsidR="00EE4DB3">
              <w:rPr>
                <w:rFonts w:ascii="CAIXA Std Book" w:hAnsi="CAIXA Std Book" w:cs="Calibri"/>
                <w:color w:val="005CA9"/>
                <w:sz w:val="18"/>
                <w:szCs w:val="18"/>
              </w:rPr>
              <w:t>80</w:t>
            </w:r>
          </w:p>
        </w:tc>
        <w:tc>
          <w:tcPr>
            <w:tcW w:w="684" w:type="pct"/>
            <w:tcBorders>
              <w:top w:val="nil"/>
              <w:left w:val="nil"/>
              <w:bottom w:val="nil"/>
              <w:right w:val="nil"/>
            </w:tcBorders>
            <w:shd w:val="clear" w:color="000000" w:fill="FFFFFF"/>
            <w:noWrap/>
            <w:vAlign w:val="center"/>
            <w:hideMark/>
          </w:tcPr>
          <w:p w14:paraId="2A7BE844" w14:textId="4039F0FD" w:rsidR="00A55023" w:rsidRPr="005C49DE" w:rsidRDefault="00A55023" w:rsidP="00A55023">
            <w:pPr>
              <w:jc w:val="right"/>
              <w:rPr>
                <w:rFonts w:cs="Times New Roman"/>
                <w:color w:val="005CA9"/>
                <w:sz w:val="18"/>
                <w:szCs w:val="18"/>
              </w:rPr>
            </w:pPr>
            <w:r>
              <w:rPr>
                <w:rFonts w:ascii="CAIXA Std Book" w:hAnsi="CAIXA Std Book" w:cs="Calibri"/>
                <w:color w:val="005CA9"/>
                <w:sz w:val="18"/>
                <w:szCs w:val="18"/>
              </w:rPr>
              <w:t>1.926.76</w:t>
            </w:r>
            <w:r w:rsidR="0040391E">
              <w:rPr>
                <w:rFonts w:ascii="CAIXA Std Book" w:hAnsi="CAIXA Std Book" w:cs="Calibri"/>
                <w:color w:val="005CA9"/>
                <w:sz w:val="18"/>
                <w:szCs w:val="18"/>
              </w:rPr>
              <w:t>1</w:t>
            </w:r>
          </w:p>
        </w:tc>
        <w:tc>
          <w:tcPr>
            <w:tcW w:w="683" w:type="pct"/>
            <w:tcBorders>
              <w:top w:val="nil"/>
              <w:left w:val="nil"/>
              <w:bottom w:val="nil"/>
              <w:right w:val="nil"/>
            </w:tcBorders>
            <w:shd w:val="clear" w:color="000000" w:fill="FFFFFF"/>
            <w:noWrap/>
            <w:vAlign w:val="center"/>
            <w:hideMark/>
          </w:tcPr>
          <w:p w14:paraId="6E8A4CC5" w14:textId="11DAEF12" w:rsidR="00A55023" w:rsidRPr="005C49DE" w:rsidRDefault="00A55023" w:rsidP="00A55023">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1.714.142</w:t>
            </w:r>
          </w:p>
        </w:tc>
        <w:tc>
          <w:tcPr>
            <w:tcW w:w="684" w:type="pct"/>
            <w:tcBorders>
              <w:top w:val="nil"/>
              <w:left w:val="nil"/>
              <w:bottom w:val="nil"/>
              <w:right w:val="nil"/>
            </w:tcBorders>
            <w:noWrap/>
            <w:vAlign w:val="center"/>
            <w:hideMark/>
          </w:tcPr>
          <w:p w14:paraId="4AB01A20" w14:textId="77777777" w:rsidR="00A55023" w:rsidRPr="005C49DE" w:rsidRDefault="00A55023" w:rsidP="00A55023">
            <w:pPr>
              <w:jc w:val="right"/>
              <w:rPr>
                <w:rFonts w:ascii="CAIXA Std Book" w:eastAsia="Times New Roman" w:hAnsi="CAIXA Std Book" w:cs="Times New Roman"/>
                <w:color w:val="005CA9"/>
                <w:sz w:val="18"/>
                <w:szCs w:val="18"/>
              </w:rPr>
            </w:pPr>
            <w:r w:rsidRPr="005C49DE">
              <w:rPr>
                <w:rFonts w:ascii="CAIXA Std Book" w:eastAsia="Times New Roman" w:hAnsi="CAIXA Std Book" w:cs="Times New Roman"/>
                <w:color w:val="005CA9"/>
                <w:sz w:val="18"/>
                <w:szCs w:val="18"/>
              </w:rPr>
              <w:t>1.713.238</w:t>
            </w:r>
          </w:p>
        </w:tc>
      </w:tr>
      <w:tr w:rsidR="00A55023" w:rsidRPr="005C3EB6" w14:paraId="57249791" w14:textId="77777777" w:rsidTr="00A55023">
        <w:trPr>
          <w:trHeight w:val="283"/>
        </w:trPr>
        <w:tc>
          <w:tcPr>
            <w:tcW w:w="2266" w:type="pct"/>
            <w:tcBorders>
              <w:top w:val="nil"/>
              <w:left w:val="nil"/>
              <w:bottom w:val="nil"/>
              <w:right w:val="nil"/>
            </w:tcBorders>
            <w:shd w:val="clear" w:color="000000" w:fill="FFFFFF"/>
            <w:noWrap/>
            <w:vAlign w:val="center"/>
            <w:hideMark/>
          </w:tcPr>
          <w:p w14:paraId="1DFD3093" w14:textId="77777777" w:rsidR="00A55023" w:rsidRPr="005C49DE" w:rsidRDefault="00A55023" w:rsidP="00A55023">
            <w:pPr>
              <w:rPr>
                <w:rFonts w:ascii="CAIXA Std Book" w:eastAsia="Times New Roman" w:hAnsi="CAIXA Std Book" w:cs="Times New Roman"/>
                <w:color w:val="005CA9"/>
                <w:sz w:val="18"/>
                <w:szCs w:val="18"/>
              </w:rPr>
            </w:pPr>
            <w:r w:rsidRPr="005C49DE">
              <w:rPr>
                <w:rFonts w:ascii="CAIXA Std Book" w:eastAsia="Times New Roman" w:hAnsi="CAIXA Std Book" w:cs="Times New Roman"/>
                <w:color w:val="005CA9"/>
                <w:sz w:val="18"/>
                <w:szCs w:val="18"/>
              </w:rPr>
              <w:t>Rendas a receber do setor privado (1)</w:t>
            </w:r>
          </w:p>
        </w:tc>
        <w:tc>
          <w:tcPr>
            <w:tcW w:w="683" w:type="pct"/>
            <w:tcBorders>
              <w:top w:val="nil"/>
              <w:left w:val="nil"/>
              <w:bottom w:val="nil"/>
              <w:right w:val="nil"/>
            </w:tcBorders>
            <w:noWrap/>
            <w:vAlign w:val="center"/>
            <w:hideMark/>
          </w:tcPr>
          <w:p w14:paraId="153D41A9" w14:textId="30906D59" w:rsidR="00A55023" w:rsidRPr="005C49DE" w:rsidRDefault="00A55023" w:rsidP="00A55023">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483.088</w:t>
            </w:r>
          </w:p>
        </w:tc>
        <w:tc>
          <w:tcPr>
            <w:tcW w:w="684" w:type="pct"/>
            <w:tcBorders>
              <w:top w:val="nil"/>
              <w:left w:val="nil"/>
              <w:bottom w:val="nil"/>
              <w:right w:val="nil"/>
            </w:tcBorders>
            <w:shd w:val="clear" w:color="000000" w:fill="FFFFFF"/>
            <w:noWrap/>
            <w:vAlign w:val="center"/>
            <w:hideMark/>
          </w:tcPr>
          <w:p w14:paraId="6A0CA418" w14:textId="6C3F0706" w:rsidR="00A55023" w:rsidRPr="005C49DE" w:rsidRDefault="00A55023" w:rsidP="00A55023">
            <w:pPr>
              <w:jc w:val="right"/>
              <w:rPr>
                <w:rFonts w:cs="Times New Roman"/>
                <w:color w:val="005CA9"/>
                <w:sz w:val="18"/>
                <w:szCs w:val="18"/>
              </w:rPr>
            </w:pPr>
            <w:r>
              <w:rPr>
                <w:rFonts w:ascii="CAIXA Std Book" w:hAnsi="CAIXA Std Book" w:cs="Calibri"/>
                <w:color w:val="005CA9"/>
                <w:sz w:val="18"/>
                <w:szCs w:val="18"/>
              </w:rPr>
              <w:t>481.018</w:t>
            </w:r>
          </w:p>
        </w:tc>
        <w:tc>
          <w:tcPr>
            <w:tcW w:w="683" w:type="pct"/>
            <w:tcBorders>
              <w:top w:val="nil"/>
              <w:left w:val="nil"/>
              <w:bottom w:val="nil"/>
              <w:right w:val="nil"/>
            </w:tcBorders>
            <w:shd w:val="clear" w:color="000000" w:fill="FFFFFF"/>
            <w:noWrap/>
            <w:vAlign w:val="center"/>
            <w:hideMark/>
          </w:tcPr>
          <w:p w14:paraId="0200134D" w14:textId="34FC13C4" w:rsidR="00A55023" w:rsidRPr="005C49DE" w:rsidRDefault="00A55023" w:rsidP="00A55023">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495.581</w:t>
            </w:r>
          </w:p>
        </w:tc>
        <w:tc>
          <w:tcPr>
            <w:tcW w:w="684" w:type="pct"/>
            <w:tcBorders>
              <w:top w:val="nil"/>
              <w:left w:val="nil"/>
              <w:bottom w:val="nil"/>
              <w:right w:val="nil"/>
            </w:tcBorders>
            <w:noWrap/>
            <w:vAlign w:val="center"/>
            <w:hideMark/>
          </w:tcPr>
          <w:p w14:paraId="57F117A2" w14:textId="3BF1056C" w:rsidR="00A55023" w:rsidRPr="005C49DE" w:rsidRDefault="00A55023" w:rsidP="00A55023">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495.036</w:t>
            </w:r>
          </w:p>
        </w:tc>
      </w:tr>
      <w:tr w:rsidR="00A55023" w:rsidRPr="005C3EB6" w14:paraId="4EA16257" w14:textId="77777777" w:rsidTr="00A55023">
        <w:trPr>
          <w:trHeight w:val="283"/>
        </w:trPr>
        <w:tc>
          <w:tcPr>
            <w:tcW w:w="2266" w:type="pct"/>
            <w:tcBorders>
              <w:top w:val="nil"/>
              <w:left w:val="nil"/>
              <w:bottom w:val="nil"/>
              <w:right w:val="nil"/>
            </w:tcBorders>
            <w:shd w:val="clear" w:color="000000" w:fill="FFFFFF"/>
            <w:noWrap/>
            <w:vAlign w:val="center"/>
            <w:hideMark/>
          </w:tcPr>
          <w:p w14:paraId="31D76DDE" w14:textId="77777777" w:rsidR="00A55023" w:rsidRPr="005C49DE" w:rsidRDefault="00A55023" w:rsidP="00A55023">
            <w:pPr>
              <w:rPr>
                <w:rFonts w:ascii="CAIXA Std Book" w:eastAsia="Times New Roman" w:hAnsi="CAIXA Std Book" w:cs="Times New Roman"/>
                <w:color w:val="005CA9"/>
                <w:sz w:val="18"/>
                <w:szCs w:val="18"/>
              </w:rPr>
            </w:pPr>
            <w:r w:rsidRPr="005C49DE">
              <w:rPr>
                <w:rFonts w:ascii="CAIXA Std Book" w:eastAsia="Times New Roman" w:hAnsi="CAIXA Std Book" w:cs="Times New Roman"/>
                <w:color w:val="005CA9"/>
                <w:sz w:val="18"/>
                <w:szCs w:val="18"/>
              </w:rPr>
              <w:t>Cartão de crédito</w:t>
            </w:r>
          </w:p>
        </w:tc>
        <w:tc>
          <w:tcPr>
            <w:tcW w:w="683" w:type="pct"/>
            <w:tcBorders>
              <w:top w:val="nil"/>
              <w:left w:val="nil"/>
              <w:bottom w:val="nil"/>
              <w:right w:val="nil"/>
            </w:tcBorders>
            <w:noWrap/>
            <w:vAlign w:val="center"/>
            <w:hideMark/>
          </w:tcPr>
          <w:p w14:paraId="309EAF79" w14:textId="011EEE39" w:rsidR="00A55023" w:rsidRPr="005C49DE" w:rsidRDefault="00A55023" w:rsidP="00A55023">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294.434</w:t>
            </w:r>
          </w:p>
        </w:tc>
        <w:tc>
          <w:tcPr>
            <w:tcW w:w="684" w:type="pct"/>
            <w:tcBorders>
              <w:top w:val="nil"/>
              <w:left w:val="nil"/>
              <w:bottom w:val="nil"/>
              <w:right w:val="nil"/>
            </w:tcBorders>
            <w:shd w:val="clear" w:color="000000" w:fill="FFFFFF"/>
            <w:noWrap/>
            <w:vAlign w:val="center"/>
            <w:hideMark/>
          </w:tcPr>
          <w:p w14:paraId="52BE75EB" w14:textId="625D1C7A" w:rsidR="00A55023" w:rsidRPr="005C49DE" w:rsidRDefault="00A55023" w:rsidP="00A55023">
            <w:pPr>
              <w:jc w:val="right"/>
              <w:rPr>
                <w:rFonts w:cs="Times New Roman"/>
                <w:color w:val="005CA9"/>
                <w:sz w:val="18"/>
                <w:szCs w:val="18"/>
              </w:rPr>
            </w:pPr>
            <w:r>
              <w:rPr>
                <w:rFonts w:ascii="CAIXA Std Book" w:hAnsi="CAIXA Std Book" w:cs="Calibri"/>
                <w:color w:val="005CA9"/>
                <w:sz w:val="18"/>
                <w:szCs w:val="18"/>
              </w:rPr>
              <w:t>294.434</w:t>
            </w:r>
          </w:p>
        </w:tc>
        <w:tc>
          <w:tcPr>
            <w:tcW w:w="683" w:type="pct"/>
            <w:tcBorders>
              <w:top w:val="nil"/>
              <w:left w:val="nil"/>
              <w:bottom w:val="nil"/>
              <w:right w:val="nil"/>
            </w:tcBorders>
            <w:shd w:val="clear" w:color="000000" w:fill="FFFFFF"/>
            <w:noWrap/>
            <w:vAlign w:val="center"/>
            <w:hideMark/>
          </w:tcPr>
          <w:p w14:paraId="6FBEA4B7" w14:textId="1F9EEE3B" w:rsidR="00A55023" w:rsidRPr="005C49DE" w:rsidRDefault="00A55023" w:rsidP="00A55023">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1.162.931</w:t>
            </w:r>
          </w:p>
        </w:tc>
        <w:tc>
          <w:tcPr>
            <w:tcW w:w="684" w:type="pct"/>
            <w:tcBorders>
              <w:top w:val="nil"/>
              <w:left w:val="nil"/>
              <w:bottom w:val="nil"/>
              <w:right w:val="nil"/>
            </w:tcBorders>
            <w:noWrap/>
            <w:vAlign w:val="center"/>
            <w:hideMark/>
          </w:tcPr>
          <w:p w14:paraId="7FC1F358" w14:textId="757B0B51" w:rsidR="00A55023" w:rsidRPr="005C49DE" w:rsidRDefault="00A55023" w:rsidP="00A55023">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1.162.931</w:t>
            </w:r>
          </w:p>
        </w:tc>
      </w:tr>
      <w:tr w:rsidR="00A55023" w:rsidRPr="005C3EB6" w14:paraId="24250383" w14:textId="77777777" w:rsidTr="00A55023">
        <w:trPr>
          <w:trHeight w:val="283"/>
        </w:trPr>
        <w:tc>
          <w:tcPr>
            <w:tcW w:w="2266" w:type="pct"/>
            <w:tcBorders>
              <w:top w:val="nil"/>
              <w:left w:val="nil"/>
              <w:bottom w:val="nil"/>
              <w:right w:val="nil"/>
            </w:tcBorders>
            <w:shd w:val="clear" w:color="000000" w:fill="FFFFFF"/>
            <w:noWrap/>
            <w:vAlign w:val="center"/>
            <w:hideMark/>
          </w:tcPr>
          <w:p w14:paraId="204688B0" w14:textId="77777777" w:rsidR="00A55023" w:rsidRPr="005C49DE" w:rsidRDefault="00A55023" w:rsidP="00A55023">
            <w:pPr>
              <w:rPr>
                <w:rFonts w:ascii="CAIXA Std Book" w:eastAsia="Times New Roman" w:hAnsi="CAIXA Std Book" w:cs="Times New Roman"/>
                <w:color w:val="005CA9"/>
                <w:sz w:val="18"/>
                <w:szCs w:val="18"/>
              </w:rPr>
            </w:pPr>
            <w:r w:rsidRPr="005C49DE">
              <w:rPr>
                <w:rFonts w:ascii="CAIXA Std Book" w:eastAsia="Times New Roman" w:hAnsi="CAIXA Std Book" w:cs="Times New Roman"/>
                <w:color w:val="005CA9"/>
                <w:sz w:val="18"/>
                <w:szCs w:val="18"/>
              </w:rPr>
              <w:t>Demais</w:t>
            </w:r>
          </w:p>
        </w:tc>
        <w:tc>
          <w:tcPr>
            <w:tcW w:w="683" w:type="pct"/>
            <w:tcBorders>
              <w:top w:val="nil"/>
              <w:left w:val="nil"/>
              <w:bottom w:val="nil"/>
              <w:right w:val="nil"/>
            </w:tcBorders>
            <w:noWrap/>
            <w:vAlign w:val="center"/>
            <w:hideMark/>
          </w:tcPr>
          <w:p w14:paraId="4CF67CB0" w14:textId="7855CAAE" w:rsidR="00A55023" w:rsidRPr="005C49DE" w:rsidRDefault="00A55023" w:rsidP="00A55023">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158.505</w:t>
            </w:r>
          </w:p>
        </w:tc>
        <w:tc>
          <w:tcPr>
            <w:tcW w:w="684" w:type="pct"/>
            <w:tcBorders>
              <w:top w:val="nil"/>
              <w:left w:val="nil"/>
              <w:bottom w:val="nil"/>
              <w:right w:val="nil"/>
            </w:tcBorders>
            <w:shd w:val="clear" w:color="000000" w:fill="FFFFFF"/>
            <w:noWrap/>
            <w:vAlign w:val="center"/>
            <w:hideMark/>
          </w:tcPr>
          <w:p w14:paraId="271A40FC" w14:textId="4BEEDD38" w:rsidR="00A55023" w:rsidRPr="005C49DE" w:rsidRDefault="00A55023" w:rsidP="00A55023">
            <w:pPr>
              <w:jc w:val="right"/>
              <w:rPr>
                <w:rFonts w:cs="Times New Roman"/>
                <w:color w:val="005CA9"/>
                <w:sz w:val="18"/>
                <w:szCs w:val="18"/>
              </w:rPr>
            </w:pPr>
            <w:r>
              <w:rPr>
                <w:rFonts w:ascii="CAIXA Std Book" w:hAnsi="CAIXA Std Book" w:cs="Calibri"/>
                <w:color w:val="005CA9"/>
                <w:sz w:val="18"/>
                <w:szCs w:val="18"/>
              </w:rPr>
              <w:t>158.505</w:t>
            </w:r>
          </w:p>
        </w:tc>
        <w:tc>
          <w:tcPr>
            <w:tcW w:w="683" w:type="pct"/>
            <w:tcBorders>
              <w:top w:val="nil"/>
              <w:left w:val="nil"/>
              <w:bottom w:val="nil"/>
              <w:right w:val="nil"/>
            </w:tcBorders>
            <w:shd w:val="clear" w:color="000000" w:fill="FFFFFF"/>
            <w:noWrap/>
            <w:vAlign w:val="center"/>
            <w:hideMark/>
          </w:tcPr>
          <w:p w14:paraId="353BBD3E" w14:textId="60D5529E" w:rsidR="00A55023" w:rsidRPr="005C49DE" w:rsidRDefault="00A55023" w:rsidP="00A55023">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159.675</w:t>
            </w:r>
          </w:p>
        </w:tc>
        <w:tc>
          <w:tcPr>
            <w:tcW w:w="684" w:type="pct"/>
            <w:tcBorders>
              <w:top w:val="nil"/>
              <w:left w:val="nil"/>
              <w:bottom w:val="nil"/>
              <w:right w:val="nil"/>
            </w:tcBorders>
            <w:noWrap/>
            <w:vAlign w:val="center"/>
            <w:hideMark/>
          </w:tcPr>
          <w:p w14:paraId="4FD7C81E" w14:textId="77777777" w:rsidR="00A55023" w:rsidRPr="005C49DE" w:rsidRDefault="00A55023" w:rsidP="00A55023">
            <w:pPr>
              <w:jc w:val="right"/>
              <w:rPr>
                <w:rFonts w:ascii="CAIXA Std Book" w:eastAsia="Times New Roman" w:hAnsi="CAIXA Std Book" w:cs="Times New Roman"/>
                <w:color w:val="005CA9"/>
                <w:sz w:val="18"/>
                <w:szCs w:val="18"/>
              </w:rPr>
            </w:pPr>
            <w:r w:rsidRPr="005C49DE">
              <w:rPr>
                <w:rFonts w:ascii="CAIXA Std Book" w:eastAsia="Times New Roman" w:hAnsi="CAIXA Std Book" w:cs="Times New Roman"/>
                <w:color w:val="005CA9"/>
                <w:sz w:val="18"/>
                <w:szCs w:val="18"/>
              </w:rPr>
              <w:t>159.675</w:t>
            </w:r>
          </w:p>
        </w:tc>
      </w:tr>
      <w:tr w:rsidR="00A55023" w:rsidRPr="005C3EB6" w14:paraId="0C3A706C" w14:textId="77777777" w:rsidTr="00A55023">
        <w:trPr>
          <w:trHeight w:val="283"/>
        </w:trPr>
        <w:tc>
          <w:tcPr>
            <w:tcW w:w="2266" w:type="pct"/>
            <w:tcBorders>
              <w:top w:val="nil"/>
              <w:left w:val="nil"/>
              <w:bottom w:val="nil"/>
              <w:right w:val="nil"/>
            </w:tcBorders>
            <w:shd w:val="clear" w:color="000000" w:fill="005CA9"/>
            <w:noWrap/>
            <w:vAlign w:val="center"/>
            <w:hideMark/>
          </w:tcPr>
          <w:p w14:paraId="3B047F8C" w14:textId="77777777" w:rsidR="00A55023" w:rsidRPr="005C49DE" w:rsidRDefault="00A55023" w:rsidP="00A55023">
            <w:pPr>
              <w:rPr>
                <w:rFonts w:ascii="CAIXA Std Book" w:eastAsia="Times New Roman" w:hAnsi="CAIXA Std Book" w:cs="Times New Roman"/>
                <w:b/>
                <w:color w:val="FFFFFF"/>
                <w:sz w:val="18"/>
                <w:szCs w:val="18"/>
              </w:rPr>
            </w:pPr>
            <w:r w:rsidRPr="005C49DE">
              <w:rPr>
                <w:rFonts w:ascii="CAIXA Std Book" w:eastAsia="Times New Roman" w:hAnsi="CAIXA Std Book" w:cs="Times New Roman"/>
                <w:b/>
                <w:color w:val="FFFFFF"/>
                <w:sz w:val="18"/>
                <w:szCs w:val="18"/>
              </w:rPr>
              <w:t>Total</w:t>
            </w:r>
          </w:p>
        </w:tc>
        <w:tc>
          <w:tcPr>
            <w:tcW w:w="683" w:type="pct"/>
            <w:tcBorders>
              <w:top w:val="nil"/>
              <w:left w:val="nil"/>
              <w:bottom w:val="nil"/>
              <w:right w:val="nil"/>
            </w:tcBorders>
            <w:shd w:val="clear" w:color="000000" w:fill="005CA9"/>
            <w:noWrap/>
            <w:vAlign w:val="center"/>
            <w:hideMark/>
          </w:tcPr>
          <w:p w14:paraId="369DF839" w14:textId="023B3D96" w:rsidR="00A55023" w:rsidRPr="005C49DE" w:rsidRDefault="00A55023" w:rsidP="00A55023">
            <w:pPr>
              <w:jc w:val="right"/>
              <w:rPr>
                <w:rFonts w:cs="Times New Roman"/>
                <w:color w:val="000000"/>
                <w:sz w:val="18"/>
                <w:szCs w:val="18"/>
              </w:rPr>
            </w:pPr>
            <w:r>
              <w:rPr>
                <w:rFonts w:ascii="CAIXA Std Book" w:hAnsi="CAIXA Std Book" w:cs="Calibri"/>
                <w:b/>
                <w:bCs/>
                <w:color w:val="FFFFFF"/>
                <w:sz w:val="18"/>
                <w:szCs w:val="18"/>
              </w:rPr>
              <w:t>48.078.454</w:t>
            </w:r>
          </w:p>
        </w:tc>
        <w:tc>
          <w:tcPr>
            <w:tcW w:w="684" w:type="pct"/>
            <w:tcBorders>
              <w:top w:val="nil"/>
              <w:left w:val="nil"/>
              <w:bottom w:val="nil"/>
              <w:right w:val="nil"/>
            </w:tcBorders>
            <w:shd w:val="clear" w:color="000000" w:fill="005CA9"/>
            <w:noWrap/>
            <w:vAlign w:val="center"/>
            <w:hideMark/>
          </w:tcPr>
          <w:p w14:paraId="65487ECB" w14:textId="2FF3D11B" w:rsidR="00A55023" w:rsidRPr="005C49DE" w:rsidRDefault="00A55023" w:rsidP="00A55023">
            <w:pPr>
              <w:jc w:val="right"/>
              <w:rPr>
                <w:rFonts w:cs="Times New Roman"/>
                <w:color w:val="000000"/>
                <w:sz w:val="18"/>
                <w:szCs w:val="18"/>
              </w:rPr>
            </w:pPr>
            <w:r>
              <w:rPr>
                <w:rFonts w:ascii="CAIXA Std Book" w:hAnsi="CAIXA Std Book" w:cs="Calibri"/>
                <w:b/>
                <w:bCs/>
                <w:color w:val="FFFFFF"/>
                <w:sz w:val="18"/>
                <w:szCs w:val="18"/>
              </w:rPr>
              <w:t>44.943.230</w:t>
            </w:r>
          </w:p>
        </w:tc>
        <w:tc>
          <w:tcPr>
            <w:tcW w:w="683" w:type="pct"/>
            <w:tcBorders>
              <w:top w:val="nil"/>
              <w:left w:val="nil"/>
              <w:bottom w:val="nil"/>
              <w:right w:val="nil"/>
            </w:tcBorders>
            <w:shd w:val="clear" w:color="000000" w:fill="005CA9"/>
            <w:noWrap/>
            <w:vAlign w:val="center"/>
            <w:hideMark/>
          </w:tcPr>
          <w:p w14:paraId="293514A7" w14:textId="1607C75C" w:rsidR="00A55023" w:rsidRPr="005C49DE" w:rsidRDefault="00A55023" w:rsidP="00A55023">
            <w:pPr>
              <w:jc w:val="right"/>
              <w:rPr>
                <w:rFonts w:ascii="CAIXA Std Book" w:eastAsia="Times New Roman" w:hAnsi="CAIXA Std Book" w:cs="Times New Roman"/>
                <w:b/>
                <w:color w:val="FFFFFF"/>
                <w:sz w:val="18"/>
                <w:szCs w:val="18"/>
              </w:rPr>
            </w:pPr>
            <w:r>
              <w:rPr>
                <w:rFonts w:ascii="CAIXA Std Book" w:hAnsi="CAIXA Std Book" w:cs="Calibri"/>
                <w:b/>
                <w:color w:val="FFFFFF"/>
                <w:sz w:val="18"/>
                <w:szCs w:val="18"/>
              </w:rPr>
              <w:t>48.546.033</w:t>
            </w:r>
          </w:p>
        </w:tc>
        <w:tc>
          <w:tcPr>
            <w:tcW w:w="684" w:type="pct"/>
            <w:tcBorders>
              <w:top w:val="nil"/>
              <w:left w:val="nil"/>
              <w:bottom w:val="nil"/>
              <w:right w:val="nil"/>
            </w:tcBorders>
            <w:shd w:val="clear" w:color="000000" w:fill="005CA9"/>
            <w:noWrap/>
            <w:vAlign w:val="center"/>
            <w:hideMark/>
          </w:tcPr>
          <w:p w14:paraId="74661B83" w14:textId="77777777" w:rsidR="00A55023" w:rsidRPr="005C49DE" w:rsidRDefault="00A55023" w:rsidP="00A55023">
            <w:pPr>
              <w:jc w:val="right"/>
              <w:rPr>
                <w:rFonts w:ascii="CAIXA Std Book" w:eastAsia="Times New Roman" w:hAnsi="CAIXA Std Book" w:cs="Times New Roman"/>
                <w:b/>
                <w:color w:val="FFFFFF"/>
                <w:sz w:val="18"/>
                <w:szCs w:val="18"/>
              </w:rPr>
            </w:pPr>
            <w:r w:rsidRPr="005C49DE">
              <w:rPr>
                <w:rFonts w:ascii="CAIXA Std Book" w:eastAsia="Times New Roman" w:hAnsi="CAIXA Std Book" w:cs="Calibri"/>
                <w:b/>
                <w:color w:val="FFFFFF"/>
                <w:sz w:val="18"/>
                <w:szCs w:val="18"/>
              </w:rPr>
              <w:t>45.141.058</w:t>
            </w:r>
          </w:p>
        </w:tc>
      </w:tr>
    </w:tbl>
    <w:p w14:paraId="28636640" w14:textId="6F19805D" w:rsidR="00DD7548" w:rsidRDefault="00DC600E" w:rsidP="007660CA">
      <w:pPr>
        <w:jc w:val="both"/>
        <w:rPr>
          <w:rFonts w:ascii="CAIXA Std Book" w:eastAsia="Times New Roman" w:hAnsi="CAIXA Std Book" w:cs="Arial"/>
          <w:color w:val="005CA9"/>
          <w:sz w:val="16"/>
          <w:szCs w:val="16"/>
        </w:rPr>
      </w:pPr>
      <w:r w:rsidRPr="00F40F8E">
        <w:rPr>
          <w:rFonts w:ascii="CAIXA Std Book" w:eastAsia="Times New Roman" w:hAnsi="CAIXA Std Book" w:cs="Arial"/>
          <w:color w:val="005CA9"/>
          <w:sz w:val="16"/>
          <w:szCs w:val="16"/>
        </w:rPr>
        <w:t>(</w:t>
      </w:r>
      <w:r w:rsidR="00723677">
        <w:rPr>
          <w:rFonts w:ascii="CAIXA Std Book" w:eastAsia="Times New Roman" w:hAnsi="CAIXA Std Book" w:cs="Arial"/>
          <w:color w:val="005CA9"/>
          <w:sz w:val="16"/>
          <w:szCs w:val="16"/>
        </w:rPr>
        <w:t>1</w:t>
      </w:r>
      <w:r w:rsidRPr="00F40F8E">
        <w:rPr>
          <w:rFonts w:ascii="CAIXA Std Book" w:eastAsia="Times New Roman" w:hAnsi="CAIXA Std Book" w:cs="Arial"/>
          <w:color w:val="005CA9"/>
          <w:sz w:val="16"/>
          <w:szCs w:val="16"/>
        </w:rPr>
        <w:t xml:space="preserve">) A Resolução </w:t>
      </w:r>
      <w:r w:rsidRPr="00255775">
        <w:rPr>
          <w:rFonts w:ascii="CAIXA Std Book" w:eastAsia="Times New Roman" w:hAnsi="CAIXA Std Book" w:cs="Arial"/>
          <w:color w:val="005CA9"/>
          <w:sz w:val="16"/>
          <w:szCs w:val="16"/>
        </w:rPr>
        <w:t>CMN nª 4.966/2021</w:t>
      </w:r>
      <w:r w:rsidRPr="00F40F8E">
        <w:rPr>
          <w:rFonts w:ascii="CAIXA Std Book" w:eastAsia="Times New Roman" w:hAnsi="CAIXA Std Book" w:cs="Arial"/>
          <w:color w:val="005CA9"/>
          <w:sz w:val="16"/>
          <w:szCs w:val="16"/>
        </w:rPr>
        <w:t>, em seu artigo 1º, § 2º, inciso II, especifica os critérios contábeis que não são aplicados aos ativos provenientes de contratos da instituição com clientes</w:t>
      </w:r>
      <w:r w:rsidR="00110FDA">
        <w:rPr>
          <w:rFonts w:ascii="CAIXA Std Book" w:eastAsia="Times New Roman" w:hAnsi="CAIXA Std Book" w:cs="Arial"/>
          <w:color w:val="005CA9"/>
          <w:sz w:val="16"/>
          <w:szCs w:val="16"/>
        </w:rPr>
        <w:t>,</w:t>
      </w:r>
      <w:r>
        <w:rPr>
          <w:rFonts w:ascii="CAIXA Std Book" w:eastAsia="Times New Roman" w:hAnsi="CAIXA Std Book" w:cs="Arial"/>
          <w:color w:val="005CA9"/>
          <w:sz w:val="16"/>
          <w:szCs w:val="16"/>
        </w:rPr>
        <w:t xml:space="preserve"> os quais r</w:t>
      </w:r>
      <w:r w:rsidRPr="00F40F8E">
        <w:rPr>
          <w:rFonts w:ascii="CAIXA Std Book" w:eastAsia="Times New Roman" w:hAnsi="CAIXA Std Book" w:cs="Arial"/>
          <w:color w:val="005CA9"/>
          <w:sz w:val="16"/>
          <w:szCs w:val="16"/>
        </w:rPr>
        <w:t xml:space="preserve">epresentam valores a receber que são recepcionados pelo </w:t>
      </w:r>
      <w:r w:rsidRPr="00937388">
        <w:rPr>
          <w:rFonts w:ascii="CAIXA Std Book" w:eastAsia="Times New Roman" w:hAnsi="CAIXA Std Book" w:cs="Arial"/>
          <w:color w:val="005CA9"/>
          <w:sz w:val="16"/>
          <w:szCs w:val="16"/>
        </w:rPr>
        <w:t>CPC 47 – Receita de Contrato com Cliente</w:t>
      </w:r>
      <w:r>
        <w:rPr>
          <w:rFonts w:ascii="CAIXA Std Book" w:eastAsia="Times New Roman" w:hAnsi="CAIXA Std Book" w:cs="Arial"/>
          <w:color w:val="005CA9"/>
          <w:sz w:val="16"/>
          <w:szCs w:val="16"/>
        </w:rPr>
        <w:t>.</w:t>
      </w:r>
    </w:p>
    <w:p w14:paraId="26379511" w14:textId="46AEDFB2" w:rsidR="00AE5C30" w:rsidRPr="00234375" w:rsidRDefault="00AE5C30" w:rsidP="00234375">
      <w:pPr>
        <w:pStyle w:val="PargrafodaLista"/>
        <w:numPr>
          <w:ilvl w:val="0"/>
          <w:numId w:val="5"/>
        </w:numPr>
        <w:spacing w:before="240" w:after="120"/>
        <w:ind w:left="567" w:hanging="567"/>
        <w:contextualSpacing w:val="0"/>
        <w:rPr>
          <w:rStyle w:val="Nmerodepgina"/>
          <w:rFonts w:ascii="CAIXA Std Book" w:hAnsi="CAIXA Std Book" w:cs="Yu Mincho Light"/>
          <w:color w:val="005CA9"/>
          <w:sz w:val="20"/>
          <w:szCs w:val="20"/>
        </w:rPr>
      </w:pPr>
      <w:r w:rsidRPr="00234375">
        <w:rPr>
          <w:rFonts w:ascii="CAIXA Std Book" w:hAnsi="CAIXA Std Book"/>
          <w:b/>
          <w:color w:val="005CA9"/>
          <w:sz w:val="20"/>
          <w:szCs w:val="20"/>
        </w:rPr>
        <w:t>Créditos Vinculados - Sistema Financeiro da Habitação (SFH)</w:t>
      </w:r>
    </w:p>
    <w:p w14:paraId="63439A5D" w14:textId="77777777" w:rsidR="00AE5C30" w:rsidRPr="00B04D8D" w:rsidRDefault="00AE5C30" w:rsidP="00AE5C30">
      <w:pPr>
        <w:spacing w:before="120" w:after="120"/>
        <w:jc w:val="both"/>
        <w:rPr>
          <w:rFonts w:ascii="CAIXA Std Book" w:hAnsi="CAIXA Std Book"/>
          <w:color w:val="005CA9"/>
          <w:sz w:val="20"/>
          <w:szCs w:val="20"/>
        </w:rPr>
      </w:pPr>
      <w:r w:rsidRPr="00B04D8D">
        <w:rPr>
          <w:rFonts w:ascii="CAIXA Std Book" w:hAnsi="CAIXA Std Book"/>
          <w:color w:val="005CA9"/>
          <w:sz w:val="20"/>
          <w:szCs w:val="20"/>
        </w:rPr>
        <w:t>O FCVS é um fundo público de natureza contábil e financeira, criado no âmbito do Sistema Financeiro da Habitação (SFH) pela Resolução nº 25 de 1967 do Conselho de Administração do BNH (Banco Nacional de Habitação).</w:t>
      </w:r>
    </w:p>
    <w:p w14:paraId="69FC2956" w14:textId="77777777" w:rsidR="00AE5C30" w:rsidRPr="00B04D8D" w:rsidRDefault="00AE5C30" w:rsidP="00AE5C30">
      <w:pPr>
        <w:spacing w:before="120" w:after="120"/>
        <w:jc w:val="both"/>
        <w:rPr>
          <w:rFonts w:ascii="CAIXA Std Book" w:hAnsi="CAIXA Std Book"/>
          <w:color w:val="005CA9"/>
          <w:sz w:val="20"/>
          <w:szCs w:val="20"/>
        </w:rPr>
      </w:pPr>
      <w:r w:rsidRPr="00B04D8D">
        <w:rPr>
          <w:rFonts w:ascii="CAIXA Std Book" w:hAnsi="CAIXA Std Book"/>
          <w:color w:val="005CA9"/>
          <w:sz w:val="20"/>
          <w:szCs w:val="20"/>
        </w:rPr>
        <w:t xml:space="preserve">A responsabilidade institucional do FCVS apresenta-se nas seguintes finalidades: </w:t>
      </w:r>
    </w:p>
    <w:p w14:paraId="09CAB651" w14:textId="77777777" w:rsidR="00523A22" w:rsidRPr="00AF1902" w:rsidRDefault="00AE5C30" w:rsidP="00953A2F">
      <w:pPr>
        <w:spacing w:before="120" w:after="120"/>
        <w:jc w:val="both"/>
        <w:rPr>
          <w:rFonts w:ascii="CAIXA Std Book" w:hAnsi="CAIXA Std Book"/>
          <w:color w:val="005CA9"/>
          <w:sz w:val="20"/>
          <w:szCs w:val="20"/>
        </w:rPr>
      </w:pPr>
      <w:r w:rsidRPr="00AF1902">
        <w:rPr>
          <w:rFonts w:ascii="CAIXA Std Book" w:hAnsi="CAIXA Std Book"/>
          <w:color w:val="005CA9"/>
          <w:sz w:val="20"/>
          <w:szCs w:val="20"/>
        </w:rPr>
        <w:t>Garantir o limite de prazo para a amortização dos financiamentos habitacionais, contraídos pelos mutuários no âmbito do SFH, assumindo, em nome do mutuário, o saldo devedor residual no decurso do prazo de financiamento contratado;</w:t>
      </w:r>
    </w:p>
    <w:p w14:paraId="40C0EE62" w14:textId="77777777" w:rsidR="00523A22" w:rsidRPr="00AF1902" w:rsidRDefault="00AE5C30" w:rsidP="00953A2F">
      <w:pPr>
        <w:spacing w:before="120" w:after="120"/>
        <w:jc w:val="both"/>
        <w:rPr>
          <w:rFonts w:ascii="CAIXA Std Book" w:hAnsi="CAIXA Std Book"/>
          <w:color w:val="005CA9"/>
          <w:sz w:val="20"/>
          <w:szCs w:val="20"/>
        </w:rPr>
      </w:pPr>
      <w:r w:rsidRPr="00AF1902">
        <w:rPr>
          <w:rFonts w:ascii="CAIXA Std Book" w:hAnsi="CAIXA Std Book"/>
          <w:color w:val="005CA9"/>
          <w:sz w:val="20"/>
          <w:szCs w:val="20"/>
        </w:rPr>
        <w:t>Assumir, em nome do mutuário, os descontos concedidos nas liquidações antecipadas, nas renegociações e nas transferências de contratos de financiamento habitacional, observada a legislação de regência;</w:t>
      </w:r>
    </w:p>
    <w:p w14:paraId="638E64C1" w14:textId="3CF203BE" w:rsidR="00AE5C30" w:rsidRPr="00523A22" w:rsidRDefault="00AE5C30" w:rsidP="00953A2F">
      <w:pPr>
        <w:pStyle w:val="PargrafodaLista"/>
        <w:spacing w:before="120" w:after="120"/>
        <w:contextualSpacing w:val="0"/>
        <w:jc w:val="both"/>
        <w:rPr>
          <w:rFonts w:ascii="CAIXA Std Book" w:hAnsi="CAIXA Std Book"/>
          <w:color w:val="005CA9"/>
          <w:sz w:val="20"/>
          <w:szCs w:val="20"/>
        </w:rPr>
      </w:pPr>
      <w:r w:rsidRPr="00523A22">
        <w:rPr>
          <w:rFonts w:ascii="CAIXA Std Book" w:hAnsi="CAIXA Std Book"/>
          <w:color w:val="005CA9"/>
          <w:sz w:val="20"/>
          <w:szCs w:val="20"/>
        </w:rPr>
        <w:t>Assumir, em razão da Lei nº 12.409, de 2011, o saldo devedor de financiamento habitacional, total ou parcial, em caso de morte ou invalidez permanente, e assumir, também, as despesas de recuperação ou indenização decorrentes de Danos Físicos do Imóvel e as perdas de Responsabilidade Civil do Construtor; e</w:t>
      </w:r>
      <w:r w:rsidR="00AB0A88">
        <w:rPr>
          <w:rFonts w:ascii="CAIXA Std Book" w:hAnsi="CAIXA Std Book"/>
          <w:color w:val="005CA9"/>
          <w:sz w:val="20"/>
          <w:szCs w:val="20"/>
        </w:rPr>
        <w:t xml:space="preserve"> l</w:t>
      </w:r>
      <w:r w:rsidRPr="00523A22">
        <w:rPr>
          <w:rFonts w:ascii="CAIXA Std Book" w:hAnsi="CAIXA Std Book"/>
          <w:color w:val="005CA9"/>
          <w:sz w:val="20"/>
          <w:szCs w:val="20"/>
        </w:rPr>
        <w:t xml:space="preserve">iquidar as operações remanescentes do extinto Seguro de Crédito </w:t>
      </w:r>
      <w:r w:rsidR="00967C5B" w:rsidRPr="002512B1">
        <w:rPr>
          <w:rFonts w:ascii="CAIXA Std Book" w:hAnsi="CAIXA Std Book"/>
          <w:color w:val="005CA9"/>
          <w:sz w:val="20"/>
          <w:szCs w:val="20"/>
        </w:rPr>
        <w:t>do SFH</w:t>
      </w:r>
      <w:r w:rsidRPr="00523A22">
        <w:rPr>
          <w:rFonts w:ascii="CAIXA Std Book" w:hAnsi="CAIXA Std Book"/>
          <w:color w:val="005CA9"/>
          <w:sz w:val="20"/>
          <w:szCs w:val="20"/>
        </w:rPr>
        <w:t>.</w:t>
      </w:r>
    </w:p>
    <w:p w14:paraId="68BC3A78" w14:textId="450B080F" w:rsidR="00AE5C30" w:rsidRPr="00B04D8D" w:rsidRDefault="00AE5C30" w:rsidP="00AE5C30">
      <w:pPr>
        <w:spacing w:before="120" w:after="120"/>
        <w:jc w:val="both"/>
        <w:rPr>
          <w:rFonts w:ascii="CAIXA Std Book" w:hAnsi="CAIXA Std Book"/>
          <w:color w:val="005CA9"/>
          <w:sz w:val="20"/>
          <w:szCs w:val="20"/>
        </w:rPr>
      </w:pPr>
      <w:r w:rsidRPr="00B04D8D">
        <w:rPr>
          <w:rFonts w:ascii="CAIXA Std Book" w:hAnsi="CAIXA Std Book"/>
          <w:color w:val="005CA9"/>
          <w:sz w:val="20"/>
          <w:szCs w:val="20"/>
        </w:rPr>
        <w:t>Destaca-se que o FCVS se relaciona exclusivamente com o agente financeiro, visto que a habilitação somente ocorre após cessada a relação do mutuário com a instituição financiadora do contrato. Assim, eventuais inconformidades relacionadas a um contrato habitacional com cobertura do FCVS, tais como a inobservância da legislação pertinente ou inconformidades identificadas na concessão ou manutenção do contrato, pelo agente financeiro, podem acarretar negativas de cobertura pelo agente operador do FCVS, o que implica em perdas para o agente financeiro.</w:t>
      </w:r>
    </w:p>
    <w:p w14:paraId="55019B65" w14:textId="5E4545ED" w:rsidR="002C5546" w:rsidRPr="002C5546" w:rsidRDefault="00AD7DDD" w:rsidP="002C5546">
      <w:pPr>
        <w:tabs>
          <w:tab w:val="left" w:pos="1650"/>
        </w:tabs>
        <w:spacing w:before="120" w:after="120"/>
        <w:jc w:val="both"/>
        <w:rPr>
          <w:rFonts w:ascii="CAIXA Std Book" w:hAnsi="CAIXA Std Book"/>
          <w:color w:val="005CA9"/>
          <w:sz w:val="20"/>
          <w:szCs w:val="20"/>
        </w:rPr>
      </w:pPr>
      <w:r w:rsidRPr="00AD7DDD">
        <w:rPr>
          <w:rFonts w:ascii="CAIXA Std Book" w:hAnsi="CAIXA Std Book"/>
          <w:color w:val="005CA9"/>
          <w:sz w:val="20"/>
          <w:szCs w:val="20"/>
        </w:rPr>
        <w:t>A segregação dos</w:t>
      </w:r>
      <w:r w:rsidR="002C5546" w:rsidRPr="002C5546">
        <w:rPr>
          <w:rFonts w:ascii="CAIXA Std Book" w:hAnsi="CAIXA Std Book"/>
          <w:color w:val="005CA9"/>
          <w:sz w:val="20"/>
          <w:szCs w:val="20"/>
        </w:rPr>
        <w:t xml:space="preserve"> créditos </w:t>
      </w:r>
      <w:r w:rsidR="002C5546">
        <w:rPr>
          <w:rFonts w:ascii="CAIXA Std Book" w:hAnsi="CAIXA Std Book"/>
          <w:color w:val="005CA9"/>
          <w:sz w:val="20"/>
          <w:szCs w:val="20"/>
        </w:rPr>
        <w:t xml:space="preserve">do </w:t>
      </w:r>
      <w:r w:rsidR="002C5546" w:rsidRPr="002C5546">
        <w:rPr>
          <w:rFonts w:ascii="CAIXA Std Book" w:hAnsi="CAIXA Std Book"/>
          <w:color w:val="005CA9"/>
          <w:sz w:val="20"/>
          <w:szCs w:val="20"/>
        </w:rPr>
        <w:t xml:space="preserve">FCVS </w:t>
      </w:r>
      <w:r w:rsidRPr="00AD7DDD">
        <w:rPr>
          <w:rFonts w:ascii="CAIXA Std Book" w:hAnsi="CAIXA Std Book"/>
          <w:color w:val="005CA9"/>
          <w:sz w:val="20"/>
          <w:szCs w:val="20"/>
        </w:rPr>
        <w:t>é realizada com base</w:t>
      </w:r>
      <w:r w:rsidR="002C5546" w:rsidRPr="002C5546">
        <w:rPr>
          <w:rFonts w:ascii="CAIXA Std Book" w:hAnsi="CAIXA Std Book"/>
          <w:color w:val="005CA9"/>
          <w:sz w:val="20"/>
          <w:szCs w:val="20"/>
        </w:rPr>
        <w:t xml:space="preserve"> nos seguintes status:</w:t>
      </w:r>
    </w:p>
    <w:p w14:paraId="05199601" w14:textId="7C45B019" w:rsidR="00AE5C30" w:rsidRPr="001909B1" w:rsidRDefault="00AE5C30" w:rsidP="001909B1">
      <w:pPr>
        <w:pStyle w:val="PargrafodaLista"/>
        <w:numPr>
          <w:ilvl w:val="0"/>
          <w:numId w:val="56"/>
        </w:numPr>
        <w:spacing w:after="120"/>
        <w:jc w:val="both"/>
        <w:rPr>
          <w:rFonts w:ascii="CAIXA Std Book" w:hAnsi="CAIXA Std Book"/>
          <w:color w:val="005CA9"/>
          <w:sz w:val="20"/>
          <w:szCs w:val="20"/>
        </w:rPr>
      </w:pPr>
      <w:r w:rsidRPr="001909B1">
        <w:rPr>
          <w:rFonts w:ascii="CAIXA Std Book" w:hAnsi="CAIXA Std Book"/>
          <w:color w:val="005CA9"/>
          <w:sz w:val="20"/>
          <w:szCs w:val="20"/>
        </w:rPr>
        <w:t xml:space="preserve">Habilitado - Cadastro do contrato pela CAIXA </w:t>
      </w:r>
      <w:r w:rsidR="007835AD" w:rsidRPr="001909B1">
        <w:rPr>
          <w:rFonts w:ascii="CAIXA Std Book" w:hAnsi="CAIXA Std Book"/>
          <w:color w:val="005CA9"/>
          <w:sz w:val="20"/>
          <w:szCs w:val="20"/>
        </w:rPr>
        <w:t>A</w:t>
      </w:r>
      <w:r w:rsidRPr="001909B1">
        <w:rPr>
          <w:rFonts w:ascii="CAIXA Std Book" w:hAnsi="CAIXA Std Book"/>
          <w:color w:val="005CA9"/>
          <w:sz w:val="20"/>
          <w:szCs w:val="20"/>
        </w:rPr>
        <w:t xml:space="preserve">gente </w:t>
      </w:r>
      <w:r w:rsidR="007835AD" w:rsidRPr="001909B1">
        <w:rPr>
          <w:rFonts w:ascii="CAIXA Std Book" w:hAnsi="CAIXA Std Book"/>
          <w:color w:val="005CA9"/>
          <w:sz w:val="20"/>
          <w:szCs w:val="20"/>
        </w:rPr>
        <w:t>F</w:t>
      </w:r>
      <w:r w:rsidRPr="001909B1">
        <w:rPr>
          <w:rFonts w:ascii="CAIXA Std Book" w:hAnsi="CAIXA Std Book"/>
          <w:color w:val="005CA9"/>
          <w:sz w:val="20"/>
          <w:szCs w:val="20"/>
        </w:rPr>
        <w:t>inanceiro junto ao sistema do FCVS (CAIXA Agente Operador);</w:t>
      </w:r>
    </w:p>
    <w:p w14:paraId="419C555E" w14:textId="77777777" w:rsidR="00AE5C30" w:rsidRPr="00B04D8D" w:rsidRDefault="00AE5C30" w:rsidP="001909B1">
      <w:pPr>
        <w:pStyle w:val="PargrafodaLista"/>
        <w:numPr>
          <w:ilvl w:val="0"/>
          <w:numId w:val="56"/>
        </w:numPr>
        <w:tabs>
          <w:tab w:val="left" w:pos="1650"/>
        </w:tabs>
        <w:spacing w:before="120" w:after="120"/>
        <w:contextualSpacing w:val="0"/>
        <w:jc w:val="both"/>
        <w:rPr>
          <w:rFonts w:ascii="CAIXA Std Book" w:eastAsiaTheme="minorEastAsia" w:hAnsi="CAIXA Std Book" w:cstheme="minorBidi"/>
          <w:color w:val="005CA9"/>
          <w:sz w:val="20"/>
          <w:szCs w:val="20"/>
          <w:lang w:eastAsia="en-US"/>
        </w:rPr>
      </w:pPr>
      <w:r w:rsidRPr="00B04D8D">
        <w:rPr>
          <w:rFonts w:ascii="CAIXA Std Book" w:eastAsiaTheme="minorEastAsia" w:hAnsi="CAIXA Std Book" w:cstheme="minorBidi"/>
          <w:color w:val="005CA9"/>
          <w:sz w:val="20"/>
          <w:szCs w:val="20"/>
          <w:lang w:eastAsia="en-US"/>
        </w:rPr>
        <w:t>Não habilitado – Contratos em análise pela CAIXA Agente Financeiro para os procedimentos de habilitação junto ao FCVS;</w:t>
      </w:r>
    </w:p>
    <w:p w14:paraId="074AFD5D" w14:textId="77777777" w:rsidR="008930FD" w:rsidRDefault="00AE5C30" w:rsidP="001909B1">
      <w:pPr>
        <w:pStyle w:val="PargrafodaLista"/>
        <w:numPr>
          <w:ilvl w:val="0"/>
          <w:numId w:val="56"/>
        </w:numPr>
        <w:tabs>
          <w:tab w:val="left" w:pos="1650"/>
        </w:tabs>
        <w:spacing w:before="120" w:after="120"/>
        <w:contextualSpacing w:val="0"/>
        <w:jc w:val="both"/>
        <w:rPr>
          <w:rFonts w:ascii="CAIXA Std Book" w:eastAsiaTheme="minorEastAsia" w:hAnsi="CAIXA Std Book" w:cstheme="minorBidi"/>
          <w:color w:val="005CA9"/>
          <w:sz w:val="20"/>
          <w:szCs w:val="20"/>
          <w:lang w:eastAsia="en-US"/>
        </w:rPr>
        <w:sectPr w:rsidR="008930FD" w:rsidSect="006907F6">
          <w:headerReference w:type="default" r:id="rId54"/>
          <w:footerReference w:type="default" r:id="rId55"/>
          <w:pgSz w:w="11906" w:h="16838" w:code="9"/>
          <w:pgMar w:top="1985" w:right="851" w:bottom="1418" w:left="1418" w:header="1134" w:footer="709" w:gutter="0"/>
          <w:cols w:space="708"/>
          <w:docGrid w:linePitch="360"/>
        </w:sectPr>
      </w:pPr>
      <w:r w:rsidRPr="00B04D8D">
        <w:rPr>
          <w:rFonts w:ascii="CAIXA Std Book" w:eastAsiaTheme="minorEastAsia" w:hAnsi="CAIXA Std Book" w:cstheme="minorBidi"/>
          <w:color w:val="005CA9"/>
          <w:sz w:val="20"/>
          <w:szCs w:val="20"/>
          <w:lang w:eastAsia="en-US"/>
        </w:rPr>
        <w:t>Habilitado e não homologado – Contratos habilitados e ainda não analisados pelo FCVS;</w:t>
      </w:r>
    </w:p>
    <w:p w14:paraId="4BC4994A" w14:textId="77777777" w:rsidR="00AE5C30" w:rsidRPr="00B04D8D" w:rsidRDefault="00AE5C30" w:rsidP="001909B1">
      <w:pPr>
        <w:pStyle w:val="PargrafodaLista"/>
        <w:numPr>
          <w:ilvl w:val="0"/>
          <w:numId w:val="56"/>
        </w:numPr>
        <w:tabs>
          <w:tab w:val="left" w:pos="1650"/>
        </w:tabs>
        <w:spacing w:before="120" w:after="120"/>
        <w:contextualSpacing w:val="0"/>
        <w:jc w:val="both"/>
        <w:rPr>
          <w:rFonts w:ascii="CAIXA Std Book" w:eastAsiaTheme="minorEastAsia" w:hAnsi="CAIXA Std Book" w:cstheme="minorBidi"/>
          <w:color w:val="005CA9"/>
          <w:sz w:val="20"/>
          <w:szCs w:val="20"/>
          <w:lang w:eastAsia="en-US"/>
        </w:rPr>
      </w:pPr>
      <w:r w:rsidRPr="00B04D8D">
        <w:rPr>
          <w:rFonts w:ascii="CAIXA Std Book" w:eastAsiaTheme="minorEastAsia" w:hAnsi="CAIXA Std Book" w:cstheme="minorBidi"/>
          <w:color w:val="005CA9"/>
          <w:sz w:val="20"/>
          <w:szCs w:val="20"/>
          <w:lang w:eastAsia="en-US"/>
        </w:rPr>
        <w:t>Homologado com recurso – Contratos com recurso emitido pela CAIXA agente financeiro e ainda não analisados pelo FCVS, com divergência de valores;</w:t>
      </w:r>
    </w:p>
    <w:p w14:paraId="5039941B" w14:textId="39F845AB" w:rsidR="00AE5C30" w:rsidRPr="00B04D8D" w:rsidRDefault="00AE5C30" w:rsidP="001909B1">
      <w:pPr>
        <w:pStyle w:val="PargrafodaLista"/>
        <w:numPr>
          <w:ilvl w:val="0"/>
          <w:numId w:val="56"/>
        </w:numPr>
        <w:tabs>
          <w:tab w:val="left" w:pos="1650"/>
        </w:tabs>
        <w:spacing w:before="120" w:after="120"/>
        <w:contextualSpacing w:val="0"/>
        <w:jc w:val="both"/>
        <w:rPr>
          <w:rFonts w:ascii="CAIXA Std Book" w:eastAsiaTheme="minorEastAsia" w:hAnsi="CAIXA Std Book" w:cstheme="minorBidi"/>
          <w:color w:val="005CA9"/>
          <w:sz w:val="20"/>
          <w:szCs w:val="20"/>
          <w:lang w:eastAsia="en-US"/>
        </w:rPr>
      </w:pPr>
      <w:r w:rsidRPr="00B04D8D">
        <w:rPr>
          <w:rFonts w:ascii="CAIXA Std Book" w:eastAsiaTheme="minorEastAsia" w:hAnsi="CAIXA Std Book" w:cstheme="minorBidi"/>
          <w:color w:val="005CA9"/>
          <w:sz w:val="20"/>
          <w:szCs w:val="20"/>
          <w:lang w:eastAsia="en-US"/>
        </w:rPr>
        <w:t>Homologado sem recurso – Contratos em análise pela CAIXA agente financeiro para validação junto ao FCVS, para emissão ou não de recurso;</w:t>
      </w:r>
      <w:r>
        <w:rPr>
          <w:rFonts w:ascii="CAIXA Std Book" w:eastAsiaTheme="minorEastAsia" w:hAnsi="CAIXA Std Book" w:cstheme="minorBidi"/>
          <w:color w:val="005CA9"/>
          <w:sz w:val="20"/>
          <w:szCs w:val="20"/>
          <w:lang w:eastAsia="en-US"/>
        </w:rPr>
        <w:t xml:space="preserve"> </w:t>
      </w:r>
    </w:p>
    <w:p w14:paraId="4BF3C30C" w14:textId="27B64895" w:rsidR="00DD7578" w:rsidRDefault="00AE5C30" w:rsidP="00DB0967">
      <w:pPr>
        <w:pStyle w:val="PargrafodaLista"/>
        <w:numPr>
          <w:ilvl w:val="0"/>
          <w:numId w:val="56"/>
        </w:numPr>
        <w:tabs>
          <w:tab w:val="left" w:pos="1650"/>
        </w:tabs>
        <w:spacing w:before="120" w:after="120"/>
        <w:contextualSpacing w:val="0"/>
        <w:jc w:val="both"/>
        <w:rPr>
          <w:rFonts w:ascii="CAIXA Std Book" w:hAnsi="CAIXA Std Book"/>
          <w:color w:val="005CA9"/>
          <w:sz w:val="20"/>
          <w:szCs w:val="20"/>
        </w:rPr>
      </w:pPr>
      <w:r w:rsidRPr="00B04D8D">
        <w:rPr>
          <w:rFonts w:ascii="CAIXA Std Book" w:eastAsiaTheme="minorEastAsia" w:hAnsi="CAIXA Std Book" w:cstheme="minorBidi"/>
          <w:color w:val="005CA9"/>
          <w:sz w:val="20"/>
          <w:szCs w:val="20"/>
          <w:lang w:eastAsia="en-US"/>
        </w:rPr>
        <w:t>Negativa</w:t>
      </w:r>
      <w:r w:rsidRPr="00B04D8D">
        <w:rPr>
          <w:rFonts w:ascii="CAIXA Std Book" w:hAnsi="CAIXA Std Book"/>
          <w:color w:val="005CA9"/>
          <w:sz w:val="20"/>
          <w:szCs w:val="20"/>
        </w:rPr>
        <w:t xml:space="preserve"> de cobertura – Contempla contratos com negativa de cobertura com e sem recurso, e contratos que não cabem recurso pelo esgotamento das possibilidades de reversão da negativa, </w:t>
      </w:r>
      <w:r w:rsidR="00B37814" w:rsidRPr="001D54D3">
        <w:rPr>
          <w:rFonts w:ascii="CAIXA Std Book" w:hAnsi="CAIXA Std Book"/>
          <w:color w:val="005CA9"/>
          <w:sz w:val="20"/>
          <w:szCs w:val="20"/>
        </w:rPr>
        <w:t>junto ao</w:t>
      </w:r>
      <w:r w:rsidRPr="00B04D8D">
        <w:rPr>
          <w:rFonts w:ascii="CAIXA Std Book" w:hAnsi="CAIXA Std Book"/>
          <w:color w:val="005CA9"/>
          <w:sz w:val="20"/>
          <w:szCs w:val="20"/>
        </w:rPr>
        <w:t xml:space="preserve"> FCVS</w:t>
      </w:r>
      <w:r w:rsidR="002641E8">
        <w:rPr>
          <w:rFonts w:ascii="CAIXA Std Book" w:hAnsi="CAIXA Std Book"/>
          <w:color w:val="005CA9"/>
          <w:sz w:val="20"/>
          <w:szCs w:val="20"/>
        </w:rPr>
        <w:t>; e</w:t>
      </w:r>
    </w:p>
    <w:p w14:paraId="6776F651" w14:textId="31643A7E" w:rsidR="00067FF3" w:rsidRDefault="0022462B" w:rsidP="00DB0967">
      <w:pPr>
        <w:pStyle w:val="PargrafodaLista"/>
        <w:numPr>
          <w:ilvl w:val="0"/>
          <w:numId w:val="56"/>
        </w:numPr>
        <w:tabs>
          <w:tab w:val="left" w:pos="1650"/>
        </w:tabs>
        <w:spacing w:before="120" w:after="120"/>
        <w:contextualSpacing w:val="0"/>
        <w:jc w:val="both"/>
        <w:rPr>
          <w:rFonts w:ascii="CAIXA Std Book" w:hAnsi="CAIXA Std Book"/>
          <w:color w:val="005CA9"/>
          <w:sz w:val="20"/>
          <w:szCs w:val="20"/>
        </w:rPr>
      </w:pPr>
      <w:r>
        <w:rPr>
          <w:rFonts w:ascii="CAIXA Std Book" w:hAnsi="CAIXA Std Book"/>
          <w:color w:val="005CA9"/>
          <w:sz w:val="20"/>
          <w:szCs w:val="20"/>
        </w:rPr>
        <w:t xml:space="preserve">Impedimento </w:t>
      </w:r>
      <w:r w:rsidR="00A24211">
        <w:rPr>
          <w:rFonts w:ascii="CAIXA Std Book" w:hAnsi="CAIXA Std Book"/>
          <w:color w:val="005CA9"/>
          <w:sz w:val="20"/>
          <w:szCs w:val="20"/>
        </w:rPr>
        <w:t>f</w:t>
      </w:r>
      <w:r>
        <w:rPr>
          <w:rFonts w:ascii="CAIXA Std Book" w:hAnsi="CAIXA Std Book"/>
          <w:color w:val="005CA9"/>
          <w:sz w:val="20"/>
          <w:szCs w:val="20"/>
        </w:rPr>
        <w:t>inanceiro</w:t>
      </w:r>
      <w:r w:rsidR="00AC6FB0">
        <w:rPr>
          <w:rFonts w:ascii="CAIXA Std Book" w:hAnsi="CAIXA Std Book"/>
          <w:color w:val="005CA9"/>
          <w:sz w:val="20"/>
          <w:szCs w:val="20"/>
        </w:rPr>
        <w:t xml:space="preserve"> – Risco de crédito</w:t>
      </w:r>
      <w:r>
        <w:rPr>
          <w:rFonts w:ascii="CAIXA Std Book" w:hAnsi="CAIXA Std Book"/>
          <w:color w:val="005CA9"/>
          <w:sz w:val="20"/>
          <w:szCs w:val="20"/>
        </w:rPr>
        <w:t xml:space="preserve"> </w:t>
      </w:r>
      <w:r w:rsidR="00F91110">
        <w:rPr>
          <w:rFonts w:ascii="CAIXA Std Book" w:hAnsi="CAIXA Std Book"/>
          <w:color w:val="005CA9"/>
          <w:sz w:val="20"/>
          <w:szCs w:val="20"/>
        </w:rPr>
        <w:t>–</w:t>
      </w:r>
      <w:r w:rsidR="00832C20" w:rsidRPr="00832C20">
        <w:t xml:space="preserve"> </w:t>
      </w:r>
      <w:r w:rsidR="00F91110" w:rsidRPr="00F91110">
        <w:rPr>
          <w:rFonts w:ascii="CAIXA Std Book" w:hAnsi="CAIXA Std Book"/>
          <w:color w:val="005CA9"/>
          <w:sz w:val="20"/>
          <w:szCs w:val="20"/>
        </w:rPr>
        <w:t xml:space="preserve">Contempla os </w:t>
      </w:r>
      <w:r w:rsidR="00F91110">
        <w:rPr>
          <w:rFonts w:ascii="CAIXA Std Book" w:hAnsi="CAIXA Std Book"/>
          <w:color w:val="005CA9"/>
          <w:sz w:val="20"/>
          <w:szCs w:val="20"/>
        </w:rPr>
        <w:t>i</w:t>
      </w:r>
      <w:r w:rsidR="00832C20" w:rsidRPr="00832C20">
        <w:rPr>
          <w:rFonts w:ascii="CAIXA Std Book" w:hAnsi="CAIXA Std Book"/>
          <w:color w:val="005CA9"/>
          <w:sz w:val="20"/>
          <w:szCs w:val="20"/>
        </w:rPr>
        <w:t xml:space="preserve">nstrumentos financeiros vinculados aos contratos do FCVS homologados e com impedimentos financeiros, em razão de dívidas com o FGTS, </w:t>
      </w:r>
      <w:r w:rsidR="00CC267F">
        <w:rPr>
          <w:rFonts w:ascii="CAIXA Std Book" w:hAnsi="CAIXA Std Book"/>
          <w:color w:val="005CA9"/>
          <w:sz w:val="20"/>
          <w:szCs w:val="20"/>
        </w:rPr>
        <w:t xml:space="preserve">que </w:t>
      </w:r>
      <w:r w:rsidR="00832C20" w:rsidRPr="00832C20">
        <w:rPr>
          <w:rFonts w:ascii="CAIXA Std Book" w:hAnsi="CAIXA Std Book"/>
          <w:color w:val="005CA9"/>
          <w:sz w:val="20"/>
          <w:szCs w:val="20"/>
        </w:rPr>
        <w:t>estão sujeitos ao risco de crédito, caracterizados como ativos problemáticos, à luz das definições da Resolução CMN 4.966/2021, atribuindo a eles perda esperada igual a 100% e alocando-os no estágio 3</w:t>
      </w:r>
      <w:r w:rsidR="00420317">
        <w:rPr>
          <w:rFonts w:ascii="CAIXA Std Book" w:hAnsi="CAIXA Std Book"/>
          <w:color w:val="005CA9"/>
          <w:sz w:val="20"/>
          <w:szCs w:val="20"/>
        </w:rPr>
        <w:t>.</w:t>
      </w:r>
    </w:p>
    <w:tbl>
      <w:tblPr>
        <w:tblW w:w="5000" w:type="pct"/>
        <w:tblLayout w:type="fixed"/>
        <w:tblCellMar>
          <w:left w:w="70" w:type="dxa"/>
          <w:right w:w="70" w:type="dxa"/>
        </w:tblCellMar>
        <w:tblLook w:val="04A0" w:firstRow="1" w:lastRow="0" w:firstColumn="1" w:lastColumn="0" w:noHBand="0" w:noVBand="1"/>
      </w:tblPr>
      <w:tblGrid>
        <w:gridCol w:w="2834"/>
        <w:gridCol w:w="1134"/>
        <w:gridCol w:w="1133"/>
        <w:gridCol w:w="1135"/>
        <w:gridCol w:w="1133"/>
        <w:gridCol w:w="1133"/>
        <w:gridCol w:w="1135"/>
      </w:tblGrid>
      <w:tr w:rsidR="00FC4856" w:rsidRPr="00D27959" w14:paraId="1B35ED24" w14:textId="77777777" w:rsidTr="003B2D8E">
        <w:trPr>
          <w:trHeight w:val="283"/>
        </w:trPr>
        <w:tc>
          <w:tcPr>
            <w:tcW w:w="1470" w:type="pct"/>
            <w:vMerge w:val="restart"/>
            <w:tcBorders>
              <w:top w:val="nil"/>
              <w:left w:val="nil"/>
              <w:bottom w:val="nil"/>
              <w:right w:val="nil"/>
            </w:tcBorders>
            <w:shd w:val="clear" w:color="000000" w:fill="005CA9"/>
            <w:vAlign w:val="center"/>
            <w:hideMark/>
          </w:tcPr>
          <w:p w14:paraId="5054AFBC" w14:textId="77777777" w:rsidR="00FC4856" w:rsidRPr="00FC4856" w:rsidRDefault="00FC4856" w:rsidP="00FC4856">
            <w:pPr>
              <w:jc w:val="center"/>
              <w:rPr>
                <w:rFonts w:ascii="CAIXA Std Book" w:eastAsia="Times New Roman" w:hAnsi="CAIXA Std Book" w:cs="Times New Roman"/>
                <w:b/>
                <w:bCs/>
                <w:color w:val="FFFFFF"/>
                <w:sz w:val="16"/>
                <w:szCs w:val="16"/>
              </w:rPr>
            </w:pPr>
            <w:r w:rsidRPr="00FC4856">
              <w:rPr>
                <w:rFonts w:ascii="CAIXA Std Book" w:eastAsia="Times New Roman" w:hAnsi="CAIXA Std Book" w:cs="Times New Roman"/>
                <w:b/>
                <w:bCs/>
                <w:color w:val="FFFFFF"/>
                <w:sz w:val="16"/>
                <w:szCs w:val="16"/>
              </w:rPr>
              <w:t>Descrição</w:t>
            </w:r>
          </w:p>
        </w:tc>
        <w:tc>
          <w:tcPr>
            <w:tcW w:w="1765" w:type="pct"/>
            <w:gridSpan w:val="3"/>
            <w:tcBorders>
              <w:top w:val="nil"/>
              <w:left w:val="nil"/>
              <w:bottom w:val="single" w:sz="8" w:space="0" w:color="FFFFFF"/>
              <w:right w:val="nil"/>
            </w:tcBorders>
            <w:shd w:val="clear" w:color="000000" w:fill="005CA9"/>
            <w:noWrap/>
            <w:vAlign w:val="center"/>
            <w:hideMark/>
          </w:tcPr>
          <w:p w14:paraId="5BE69E14" w14:textId="77777777" w:rsidR="00FC4856" w:rsidRPr="00FC4856" w:rsidRDefault="00FC4856" w:rsidP="00FC4856">
            <w:pPr>
              <w:jc w:val="center"/>
              <w:rPr>
                <w:rFonts w:ascii="CAIXA Std Book" w:eastAsia="Times New Roman" w:hAnsi="CAIXA Std Book" w:cs="Times New Roman"/>
                <w:b/>
                <w:bCs/>
                <w:color w:val="FFFFFF"/>
                <w:sz w:val="16"/>
                <w:szCs w:val="16"/>
              </w:rPr>
            </w:pPr>
            <w:r w:rsidRPr="00FC4856">
              <w:rPr>
                <w:rFonts w:ascii="CAIXA Std Book" w:eastAsia="Times New Roman" w:hAnsi="CAIXA Std Book" w:cs="Times New Roman"/>
                <w:b/>
                <w:bCs/>
                <w:color w:val="FFFFFF"/>
                <w:sz w:val="16"/>
                <w:szCs w:val="16"/>
              </w:rPr>
              <w:t>31/03/2026</w:t>
            </w:r>
          </w:p>
        </w:tc>
        <w:tc>
          <w:tcPr>
            <w:tcW w:w="1765" w:type="pct"/>
            <w:gridSpan w:val="3"/>
            <w:tcBorders>
              <w:top w:val="nil"/>
              <w:left w:val="nil"/>
              <w:bottom w:val="single" w:sz="8" w:space="0" w:color="FFFFFF"/>
              <w:right w:val="nil"/>
            </w:tcBorders>
            <w:shd w:val="clear" w:color="000000" w:fill="005CA9"/>
            <w:noWrap/>
            <w:vAlign w:val="center"/>
            <w:hideMark/>
          </w:tcPr>
          <w:p w14:paraId="394B5CDA" w14:textId="77777777" w:rsidR="00FC4856" w:rsidRPr="00FC4856" w:rsidRDefault="00FC4856" w:rsidP="00FC4856">
            <w:pPr>
              <w:jc w:val="center"/>
              <w:rPr>
                <w:rFonts w:ascii="CAIXA Std Book" w:eastAsia="Times New Roman" w:hAnsi="CAIXA Std Book" w:cs="Times New Roman"/>
                <w:b/>
                <w:bCs/>
                <w:color w:val="FFFFFF"/>
                <w:sz w:val="16"/>
                <w:szCs w:val="16"/>
              </w:rPr>
            </w:pPr>
            <w:r w:rsidRPr="00FC4856">
              <w:rPr>
                <w:rFonts w:ascii="CAIXA Std Book" w:eastAsia="Times New Roman" w:hAnsi="CAIXA Std Book" w:cs="Times New Roman"/>
                <w:b/>
                <w:bCs/>
                <w:color w:val="FFFFFF"/>
                <w:sz w:val="16"/>
                <w:szCs w:val="16"/>
              </w:rPr>
              <w:t>31/12/2025</w:t>
            </w:r>
          </w:p>
        </w:tc>
      </w:tr>
      <w:tr w:rsidR="00FC4856" w:rsidRPr="00D27959" w14:paraId="46FF9F82" w14:textId="77777777" w:rsidTr="0026519E">
        <w:trPr>
          <w:trHeight w:val="283"/>
        </w:trPr>
        <w:tc>
          <w:tcPr>
            <w:tcW w:w="1470" w:type="pct"/>
            <w:vMerge/>
            <w:tcBorders>
              <w:top w:val="nil"/>
              <w:left w:val="nil"/>
              <w:bottom w:val="single" w:sz="4" w:space="0" w:color="FFFFFF" w:themeColor="background1"/>
              <w:right w:val="nil"/>
            </w:tcBorders>
            <w:vAlign w:val="center"/>
            <w:hideMark/>
          </w:tcPr>
          <w:p w14:paraId="7ED73EAA" w14:textId="77777777" w:rsidR="00FC4856" w:rsidRPr="00FC4856" w:rsidRDefault="00FC4856" w:rsidP="00FC4856">
            <w:pPr>
              <w:rPr>
                <w:rFonts w:ascii="CAIXA Std Book" w:eastAsia="Times New Roman" w:hAnsi="CAIXA Std Book" w:cs="Times New Roman"/>
                <w:b/>
                <w:bCs/>
                <w:color w:val="FFFFFF"/>
                <w:sz w:val="16"/>
                <w:szCs w:val="16"/>
              </w:rPr>
            </w:pPr>
          </w:p>
        </w:tc>
        <w:tc>
          <w:tcPr>
            <w:tcW w:w="588" w:type="pct"/>
            <w:tcBorders>
              <w:top w:val="nil"/>
              <w:left w:val="nil"/>
              <w:bottom w:val="single" w:sz="4" w:space="0" w:color="FFFFFF" w:themeColor="background1"/>
              <w:right w:val="nil"/>
            </w:tcBorders>
            <w:shd w:val="clear" w:color="000000" w:fill="005CA9"/>
            <w:noWrap/>
            <w:vAlign w:val="center"/>
            <w:hideMark/>
          </w:tcPr>
          <w:p w14:paraId="228BEFA1" w14:textId="66A7C628" w:rsidR="00FC4856" w:rsidRPr="00FC4856" w:rsidRDefault="00FC4856" w:rsidP="00FC4856">
            <w:pPr>
              <w:jc w:val="center"/>
              <w:rPr>
                <w:rFonts w:ascii="CAIXA Std Book" w:eastAsia="Times New Roman" w:hAnsi="CAIXA Std Book" w:cs="Times New Roman"/>
                <w:b/>
                <w:bCs/>
                <w:color w:val="FFFFFF"/>
                <w:sz w:val="16"/>
                <w:szCs w:val="16"/>
              </w:rPr>
            </w:pPr>
            <w:r w:rsidRPr="00FC4856">
              <w:rPr>
                <w:rFonts w:ascii="CAIXA Std Book" w:eastAsia="Times New Roman" w:hAnsi="CAIXA Std Book" w:cs="Times New Roman"/>
                <w:b/>
                <w:bCs/>
                <w:color w:val="FFFFFF"/>
                <w:sz w:val="16"/>
                <w:szCs w:val="16"/>
              </w:rPr>
              <w:t xml:space="preserve">Saldo </w:t>
            </w:r>
            <w:r w:rsidR="0042188F">
              <w:rPr>
                <w:rFonts w:ascii="CAIXA Std Book" w:eastAsia="Times New Roman" w:hAnsi="CAIXA Std Book" w:cs="Times New Roman"/>
                <w:b/>
                <w:bCs/>
                <w:color w:val="FFFFFF"/>
                <w:sz w:val="16"/>
                <w:szCs w:val="16"/>
              </w:rPr>
              <w:t>b</w:t>
            </w:r>
            <w:r w:rsidRPr="00FC4856">
              <w:rPr>
                <w:rFonts w:ascii="CAIXA Std Book" w:eastAsia="Times New Roman" w:hAnsi="CAIXA Std Book" w:cs="Times New Roman"/>
                <w:b/>
                <w:bCs/>
                <w:color w:val="FFFFFF"/>
                <w:sz w:val="16"/>
                <w:szCs w:val="16"/>
              </w:rPr>
              <w:t>ase</w:t>
            </w:r>
          </w:p>
        </w:tc>
        <w:tc>
          <w:tcPr>
            <w:tcW w:w="588" w:type="pct"/>
            <w:tcBorders>
              <w:top w:val="nil"/>
              <w:left w:val="nil"/>
              <w:bottom w:val="single" w:sz="4" w:space="0" w:color="FFFFFF" w:themeColor="background1"/>
              <w:right w:val="nil"/>
            </w:tcBorders>
            <w:shd w:val="clear" w:color="000000" w:fill="005CA9"/>
            <w:noWrap/>
            <w:vAlign w:val="center"/>
            <w:hideMark/>
          </w:tcPr>
          <w:p w14:paraId="6D74AE4E" w14:textId="72080CD9" w:rsidR="00FC4856" w:rsidRPr="00FC4856" w:rsidRDefault="00FC4856" w:rsidP="00FC4856">
            <w:pPr>
              <w:jc w:val="center"/>
              <w:rPr>
                <w:rFonts w:ascii="CAIXA Std Book" w:eastAsia="Times New Roman" w:hAnsi="CAIXA Std Book" w:cs="Times New Roman"/>
                <w:b/>
                <w:bCs/>
                <w:color w:val="FFFFFF"/>
                <w:sz w:val="16"/>
                <w:szCs w:val="16"/>
              </w:rPr>
            </w:pPr>
            <w:r w:rsidRPr="00FC4856">
              <w:rPr>
                <w:rFonts w:ascii="CAIXA Std Book" w:eastAsia="Times New Roman" w:hAnsi="CAIXA Std Book" w:cs="Times New Roman"/>
                <w:b/>
                <w:bCs/>
                <w:color w:val="FFFFFF"/>
                <w:sz w:val="16"/>
                <w:szCs w:val="16"/>
              </w:rPr>
              <w:t xml:space="preserve">Saldo </w:t>
            </w:r>
            <w:r w:rsidR="0042188F">
              <w:rPr>
                <w:rFonts w:ascii="CAIXA Std Book" w:eastAsia="Times New Roman" w:hAnsi="CAIXA Std Book" w:cs="Times New Roman"/>
                <w:b/>
                <w:bCs/>
                <w:color w:val="FFFFFF"/>
                <w:sz w:val="16"/>
                <w:szCs w:val="16"/>
              </w:rPr>
              <w:t>p</w:t>
            </w:r>
            <w:r w:rsidRPr="00FC4856">
              <w:rPr>
                <w:rFonts w:ascii="CAIXA Std Book" w:eastAsia="Times New Roman" w:hAnsi="CAIXA Std Book" w:cs="Times New Roman"/>
                <w:b/>
                <w:bCs/>
                <w:color w:val="FFFFFF"/>
                <w:sz w:val="16"/>
                <w:szCs w:val="16"/>
              </w:rPr>
              <w:t>rovisão</w:t>
            </w:r>
          </w:p>
        </w:tc>
        <w:tc>
          <w:tcPr>
            <w:tcW w:w="589" w:type="pct"/>
            <w:tcBorders>
              <w:top w:val="nil"/>
              <w:left w:val="nil"/>
              <w:bottom w:val="single" w:sz="4" w:space="0" w:color="FFFFFF" w:themeColor="background1"/>
              <w:right w:val="nil"/>
            </w:tcBorders>
            <w:shd w:val="clear" w:color="000000" w:fill="005CA9"/>
            <w:noWrap/>
            <w:vAlign w:val="center"/>
            <w:hideMark/>
          </w:tcPr>
          <w:p w14:paraId="304FD6BB" w14:textId="279FFDBF" w:rsidR="00FC4856" w:rsidRPr="00FC4856" w:rsidRDefault="00FC4856" w:rsidP="00FC4856">
            <w:pPr>
              <w:jc w:val="center"/>
              <w:rPr>
                <w:rFonts w:ascii="CAIXA Std Book" w:eastAsia="Times New Roman" w:hAnsi="CAIXA Std Book" w:cs="Times New Roman"/>
                <w:b/>
                <w:bCs/>
                <w:color w:val="FFFFFF"/>
                <w:sz w:val="16"/>
                <w:szCs w:val="16"/>
              </w:rPr>
            </w:pPr>
            <w:r w:rsidRPr="00FC4856">
              <w:rPr>
                <w:rFonts w:ascii="CAIXA Std Book" w:eastAsia="Times New Roman" w:hAnsi="CAIXA Std Book" w:cs="Times New Roman"/>
                <w:b/>
                <w:bCs/>
                <w:color w:val="FFFFFF"/>
                <w:sz w:val="16"/>
                <w:szCs w:val="16"/>
              </w:rPr>
              <w:t xml:space="preserve">Saldo </w:t>
            </w:r>
            <w:r w:rsidR="0042188F">
              <w:rPr>
                <w:rFonts w:ascii="CAIXA Std Book" w:eastAsia="Times New Roman" w:hAnsi="CAIXA Std Book" w:cs="Times New Roman"/>
                <w:b/>
                <w:bCs/>
                <w:color w:val="FFFFFF"/>
                <w:sz w:val="16"/>
                <w:szCs w:val="16"/>
              </w:rPr>
              <w:t>l</w:t>
            </w:r>
            <w:r w:rsidRPr="00FC4856">
              <w:rPr>
                <w:rFonts w:ascii="CAIXA Std Book" w:eastAsia="Times New Roman" w:hAnsi="CAIXA Std Book" w:cs="Times New Roman"/>
                <w:b/>
                <w:bCs/>
                <w:color w:val="FFFFFF"/>
                <w:sz w:val="16"/>
                <w:szCs w:val="16"/>
              </w:rPr>
              <w:t>íquido</w:t>
            </w:r>
          </w:p>
        </w:tc>
        <w:tc>
          <w:tcPr>
            <w:tcW w:w="588" w:type="pct"/>
            <w:tcBorders>
              <w:top w:val="nil"/>
              <w:left w:val="nil"/>
              <w:bottom w:val="single" w:sz="4" w:space="0" w:color="FFFFFF" w:themeColor="background1"/>
              <w:right w:val="nil"/>
            </w:tcBorders>
            <w:shd w:val="clear" w:color="000000" w:fill="005CA9"/>
            <w:noWrap/>
            <w:vAlign w:val="center"/>
            <w:hideMark/>
          </w:tcPr>
          <w:p w14:paraId="01ED8919" w14:textId="1A02709B" w:rsidR="00FC4856" w:rsidRPr="00FC4856" w:rsidRDefault="00FC4856" w:rsidP="00FC4856">
            <w:pPr>
              <w:jc w:val="center"/>
              <w:rPr>
                <w:rFonts w:ascii="CAIXA Std Book" w:eastAsia="Times New Roman" w:hAnsi="CAIXA Std Book" w:cs="Times New Roman"/>
                <w:b/>
                <w:bCs/>
                <w:color w:val="FFFFFF"/>
                <w:sz w:val="16"/>
                <w:szCs w:val="16"/>
              </w:rPr>
            </w:pPr>
            <w:r w:rsidRPr="00FC4856">
              <w:rPr>
                <w:rFonts w:ascii="CAIXA Std Book" w:eastAsia="Times New Roman" w:hAnsi="CAIXA Std Book" w:cs="Times New Roman"/>
                <w:b/>
                <w:bCs/>
                <w:color w:val="FFFFFF"/>
                <w:sz w:val="16"/>
                <w:szCs w:val="16"/>
              </w:rPr>
              <w:t xml:space="preserve">Saldo </w:t>
            </w:r>
            <w:r w:rsidR="0042188F">
              <w:rPr>
                <w:rFonts w:ascii="CAIXA Std Book" w:eastAsia="Times New Roman" w:hAnsi="CAIXA Std Book" w:cs="Times New Roman"/>
                <w:b/>
                <w:bCs/>
                <w:color w:val="FFFFFF"/>
                <w:sz w:val="16"/>
                <w:szCs w:val="16"/>
              </w:rPr>
              <w:t>b</w:t>
            </w:r>
            <w:r w:rsidRPr="00FC4856">
              <w:rPr>
                <w:rFonts w:ascii="CAIXA Std Book" w:eastAsia="Times New Roman" w:hAnsi="CAIXA Std Book" w:cs="Times New Roman"/>
                <w:b/>
                <w:bCs/>
                <w:color w:val="FFFFFF"/>
                <w:sz w:val="16"/>
                <w:szCs w:val="16"/>
              </w:rPr>
              <w:t>ase</w:t>
            </w:r>
          </w:p>
        </w:tc>
        <w:tc>
          <w:tcPr>
            <w:tcW w:w="588" w:type="pct"/>
            <w:tcBorders>
              <w:top w:val="nil"/>
              <w:left w:val="nil"/>
              <w:bottom w:val="single" w:sz="4" w:space="0" w:color="FFFFFF" w:themeColor="background1"/>
              <w:right w:val="nil"/>
            </w:tcBorders>
            <w:shd w:val="clear" w:color="000000" w:fill="005CA9"/>
            <w:noWrap/>
            <w:vAlign w:val="center"/>
            <w:hideMark/>
          </w:tcPr>
          <w:p w14:paraId="10B12A4C" w14:textId="155ED56D" w:rsidR="00FC4856" w:rsidRPr="00FC4856" w:rsidRDefault="00FC4856" w:rsidP="00FC4856">
            <w:pPr>
              <w:jc w:val="center"/>
              <w:rPr>
                <w:rFonts w:ascii="CAIXA Std Book" w:eastAsia="Times New Roman" w:hAnsi="CAIXA Std Book" w:cs="Times New Roman"/>
                <w:b/>
                <w:bCs/>
                <w:color w:val="FFFFFF"/>
                <w:sz w:val="16"/>
                <w:szCs w:val="16"/>
              </w:rPr>
            </w:pPr>
            <w:r w:rsidRPr="00FC4856">
              <w:rPr>
                <w:rFonts w:ascii="CAIXA Std Book" w:eastAsia="Times New Roman" w:hAnsi="CAIXA Std Book" w:cs="Times New Roman"/>
                <w:b/>
                <w:bCs/>
                <w:color w:val="FFFFFF"/>
                <w:sz w:val="16"/>
                <w:szCs w:val="16"/>
              </w:rPr>
              <w:t xml:space="preserve">Saldo </w:t>
            </w:r>
            <w:r w:rsidR="0042188F">
              <w:rPr>
                <w:rFonts w:ascii="CAIXA Std Book" w:eastAsia="Times New Roman" w:hAnsi="CAIXA Std Book" w:cs="Times New Roman"/>
                <w:b/>
                <w:bCs/>
                <w:color w:val="FFFFFF"/>
                <w:sz w:val="16"/>
                <w:szCs w:val="16"/>
              </w:rPr>
              <w:t>p</w:t>
            </w:r>
            <w:r w:rsidRPr="00FC4856">
              <w:rPr>
                <w:rFonts w:ascii="CAIXA Std Book" w:eastAsia="Times New Roman" w:hAnsi="CAIXA Std Book" w:cs="Times New Roman"/>
                <w:b/>
                <w:bCs/>
                <w:color w:val="FFFFFF"/>
                <w:sz w:val="16"/>
                <w:szCs w:val="16"/>
              </w:rPr>
              <w:t>rovisão</w:t>
            </w:r>
          </w:p>
        </w:tc>
        <w:tc>
          <w:tcPr>
            <w:tcW w:w="589" w:type="pct"/>
            <w:tcBorders>
              <w:top w:val="nil"/>
              <w:left w:val="nil"/>
              <w:bottom w:val="single" w:sz="4" w:space="0" w:color="FFFFFF" w:themeColor="background1"/>
              <w:right w:val="nil"/>
            </w:tcBorders>
            <w:shd w:val="clear" w:color="000000" w:fill="005CA9"/>
            <w:noWrap/>
            <w:vAlign w:val="center"/>
            <w:hideMark/>
          </w:tcPr>
          <w:p w14:paraId="77B07183" w14:textId="7C34AF37" w:rsidR="00FC4856" w:rsidRPr="00FC4856" w:rsidRDefault="00FC4856" w:rsidP="00FC4856">
            <w:pPr>
              <w:jc w:val="center"/>
              <w:rPr>
                <w:rFonts w:ascii="CAIXA Std Book" w:eastAsia="Times New Roman" w:hAnsi="CAIXA Std Book" w:cs="Times New Roman"/>
                <w:b/>
                <w:bCs/>
                <w:color w:val="FFFFFF"/>
                <w:sz w:val="16"/>
                <w:szCs w:val="16"/>
              </w:rPr>
            </w:pPr>
            <w:r w:rsidRPr="00FC4856">
              <w:rPr>
                <w:rFonts w:ascii="CAIXA Std Book" w:eastAsia="Times New Roman" w:hAnsi="CAIXA Std Book" w:cs="Times New Roman"/>
                <w:b/>
                <w:bCs/>
                <w:color w:val="FFFFFF"/>
                <w:sz w:val="16"/>
                <w:szCs w:val="16"/>
              </w:rPr>
              <w:t xml:space="preserve">Saldo </w:t>
            </w:r>
            <w:r w:rsidR="0042188F">
              <w:rPr>
                <w:rFonts w:ascii="CAIXA Std Book" w:eastAsia="Times New Roman" w:hAnsi="CAIXA Std Book" w:cs="Times New Roman"/>
                <w:b/>
                <w:bCs/>
                <w:color w:val="FFFFFF"/>
                <w:sz w:val="16"/>
                <w:szCs w:val="16"/>
              </w:rPr>
              <w:t>l</w:t>
            </w:r>
            <w:r w:rsidRPr="00FC4856">
              <w:rPr>
                <w:rFonts w:ascii="CAIXA Std Book" w:eastAsia="Times New Roman" w:hAnsi="CAIXA Std Book" w:cs="Times New Roman"/>
                <w:b/>
                <w:bCs/>
                <w:color w:val="FFFFFF"/>
                <w:sz w:val="16"/>
                <w:szCs w:val="16"/>
              </w:rPr>
              <w:t>íquido</w:t>
            </w:r>
          </w:p>
        </w:tc>
      </w:tr>
      <w:tr w:rsidR="00FC4856" w:rsidRPr="00D27959" w14:paraId="7934F225" w14:textId="77777777" w:rsidTr="0026519E">
        <w:trPr>
          <w:trHeight w:val="283"/>
        </w:trPr>
        <w:tc>
          <w:tcPr>
            <w:tcW w:w="1470" w:type="pct"/>
            <w:tcBorders>
              <w:top w:val="single" w:sz="4" w:space="0" w:color="FFFFFF" w:themeColor="background1"/>
              <w:left w:val="nil"/>
              <w:bottom w:val="nil"/>
              <w:right w:val="nil"/>
            </w:tcBorders>
            <w:shd w:val="clear" w:color="000000" w:fill="D0E0E3"/>
            <w:noWrap/>
            <w:vAlign w:val="center"/>
            <w:hideMark/>
          </w:tcPr>
          <w:p w14:paraId="57970DE0" w14:textId="77777777" w:rsidR="00FC4856" w:rsidRPr="00FC4856" w:rsidRDefault="00FC4856" w:rsidP="00FC4856">
            <w:pPr>
              <w:rPr>
                <w:rFonts w:ascii="CAIXA Std Book" w:eastAsia="Times New Roman" w:hAnsi="CAIXA Std Book" w:cs="Times New Roman"/>
                <w:b/>
                <w:bCs/>
                <w:color w:val="005CA9"/>
                <w:sz w:val="16"/>
                <w:szCs w:val="16"/>
              </w:rPr>
            </w:pPr>
            <w:r w:rsidRPr="00FC4856">
              <w:rPr>
                <w:rFonts w:ascii="CAIXA Std Book" w:eastAsia="Times New Roman" w:hAnsi="CAIXA Std Book" w:cs="Times New Roman"/>
                <w:b/>
                <w:bCs/>
                <w:color w:val="005CA9"/>
                <w:sz w:val="16"/>
                <w:szCs w:val="16"/>
              </w:rPr>
              <w:t>FCVS a receber</w:t>
            </w:r>
          </w:p>
        </w:tc>
        <w:tc>
          <w:tcPr>
            <w:tcW w:w="588" w:type="pct"/>
            <w:tcBorders>
              <w:top w:val="single" w:sz="4" w:space="0" w:color="FFFFFF" w:themeColor="background1"/>
              <w:left w:val="nil"/>
              <w:bottom w:val="nil"/>
              <w:right w:val="nil"/>
            </w:tcBorders>
            <w:shd w:val="clear" w:color="000000" w:fill="D0E0E3"/>
            <w:noWrap/>
            <w:vAlign w:val="center"/>
            <w:hideMark/>
          </w:tcPr>
          <w:p w14:paraId="58FC276F" w14:textId="48A3CDCE" w:rsidR="00FC4856" w:rsidRPr="00FC4856" w:rsidRDefault="00D27959" w:rsidP="00D27959">
            <w:pPr>
              <w:jc w:val="right"/>
              <w:rPr>
                <w:rFonts w:ascii="CAIXA Std Book" w:hAnsi="CAIXA Std Book" w:cs="Times New Roman"/>
                <w:color w:val="005CA9"/>
                <w:sz w:val="16"/>
                <w:szCs w:val="16"/>
              </w:rPr>
            </w:pPr>
            <w:r w:rsidRPr="00D27959">
              <w:rPr>
                <w:rFonts w:ascii="CAIXA Std Book" w:hAnsi="CAIXA Std Book" w:cs="Calibri"/>
                <w:b/>
                <w:bCs/>
                <w:color w:val="005CA9"/>
                <w:sz w:val="16"/>
                <w:szCs w:val="16"/>
              </w:rPr>
              <w:t>31.087.</w:t>
            </w:r>
            <w:r w:rsidR="0026519E" w:rsidRPr="0026519E">
              <w:rPr>
                <w:rFonts w:ascii="CAIXA Std Book" w:hAnsi="CAIXA Std Book" w:cs="Calibri"/>
                <w:b/>
                <w:bCs/>
                <w:color w:val="005CA9"/>
                <w:sz w:val="16"/>
                <w:szCs w:val="16"/>
              </w:rPr>
              <w:t>558</w:t>
            </w:r>
          </w:p>
        </w:tc>
        <w:tc>
          <w:tcPr>
            <w:tcW w:w="588" w:type="pct"/>
            <w:tcBorders>
              <w:top w:val="single" w:sz="4" w:space="0" w:color="FFFFFF" w:themeColor="background1"/>
              <w:left w:val="nil"/>
              <w:bottom w:val="nil"/>
              <w:right w:val="nil"/>
            </w:tcBorders>
            <w:shd w:val="clear" w:color="000000" w:fill="D0E0E3"/>
            <w:noWrap/>
            <w:vAlign w:val="center"/>
            <w:hideMark/>
          </w:tcPr>
          <w:p w14:paraId="5C81BE17" w14:textId="74752BE7" w:rsidR="00FC4856" w:rsidRPr="00FC4856" w:rsidRDefault="00D27959" w:rsidP="00D27959">
            <w:pPr>
              <w:jc w:val="right"/>
              <w:rPr>
                <w:rFonts w:ascii="CAIXA Std Book" w:hAnsi="CAIXA Std Book" w:cs="Times New Roman"/>
                <w:color w:val="005CA9"/>
                <w:sz w:val="16"/>
                <w:szCs w:val="16"/>
              </w:rPr>
            </w:pPr>
            <w:r w:rsidRPr="00D27959">
              <w:rPr>
                <w:rFonts w:ascii="CAIXA Std Book" w:hAnsi="CAIXA Std Book" w:cs="Calibri"/>
                <w:b/>
                <w:bCs/>
                <w:color w:val="005CA9"/>
                <w:sz w:val="16"/>
                <w:szCs w:val="16"/>
              </w:rPr>
              <w:t>(11.907.498)</w:t>
            </w:r>
          </w:p>
        </w:tc>
        <w:tc>
          <w:tcPr>
            <w:tcW w:w="589" w:type="pct"/>
            <w:tcBorders>
              <w:top w:val="single" w:sz="4" w:space="0" w:color="FFFFFF" w:themeColor="background1"/>
              <w:left w:val="nil"/>
              <w:bottom w:val="nil"/>
              <w:right w:val="nil"/>
            </w:tcBorders>
            <w:shd w:val="clear" w:color="000000" w:fill="D0E0E3"/>
            <w:noWrap/>
            <w:vAlign w:val="center"/>
            <w:hideMark/>
          </w:tcPr>
          <w:p w14:paraId="7866605A" w14:textId="11BAE995" w:rsidR="00FC4856" w:rsidRPr="00FC4856" w:rsidRDefault="00D27959" w:rsidP="00D27959">
            <w:pPr>
              <w:jc w:val="right"/>
              <w:rPr>
                <w:rFonts w:ascii="CAIXA Std Book" w:hAnsi="CAIXA Std Book" w:cs="Times New Roman"/>
                <w:color w:val="005CA9"/>
                <w:sz w:val="16"/>
                <w:szCs w:val="16"/>
              </w:rPr>
            </w:pPr>
            <w:r w:rsidRPr="00D27959">
              <w:rPr>
                <w:rFonts w:ascii="CAIXA Std Book" w:hAnsi="CAIXA Std Book" w:cs="Calibri"/>
                <w:b/>
                <w:bCs/>
                <w:color w:val="005CA9"/>
                <w:sz w:val="16"/>
                <w:szCs w:val="16"/>
              </w:rPr>
              <w:t>19.180.060</w:t>
            </w:r>
          </w:p>
        </w:tc>
        <w:tc>
          <w:tcPr>
            <w:tcW w:w="588" w:type="pct"/>
            <w:tcBorders>
              <w:top w:val="single" w:sz="4" w:space="0" w:color="FFFFFF" w:themeColor="background1"/>
              <w:left w:val="nil"/>
              <w:bottom w:val="nil"/>
              <w:right w:val="nil"/>
            </w:tcBorders>
            <w:shd w:val="clear" w:color="000000" w:fill="D0E0E3"/>
            <w:noWrap/>
            <w:vAlign w:val="center"/>
            <w:hideMark/>
          </w:tcPr>
          <w:p w14:paraId="0A8B6166" w14:textId="17808022" w:rsidR="00FC4856" w:rsidRPr="00FC4856" w:rsidRDefault="00FC4856" w:rsidP="00FC4856">
            <w:pPr>
              <w:jc w:val="right"/>
              <w:rPr>
                <w:rFonts w:ascii="CAIXA Std Book" w:eastAsia="Times New Roman" w:hAnsi="CAIXA Std Book" w:cs="Times New Roman"/>
                <w:b/>
                <w:bCs/>
                <w:color w:val="005CA9"/>
                <w:sz w:val="16"/>
                <w:szCs w:val="16"/>
              </w:rPr>
            </w:pPr>
            <w:r w:rsidRPr="006F4C06">
              <w:rPr>
                <w:rFonts w:ascii="CAIXA Std Book" w:hAnsi="CAIXA Std Book" w:cs="Calibri"/>
                <w:b/>
                <w:color w:val="005CA9"/>
                <w:sz w:val="16"/>
                <w:szCs w:val="16"/>
              </w:rPr>
              <w:t>31.402.290</w:t>
            </w:r>
          </w:p>
        </w:tc>
        <w:tc>
          <w:tcPr>
            <w:tcW w:w="588" w:type="pct"/>
            <w:tcBorders>
              <w:top w:val="single" w:sz="4" w:space="0" w:color="FFFFFF" w:themeColor="background1"/>
              <w:left w:val="nil"/>
              <w:bottom w:val="nil"/>
              <w:right w:val="nil"/>
            </w:tcBorders>
            <w:shd w:val="clear" w:color="000000" w:fill="D0E0E3"/>
            <w:noWrap/>
            <w:vAlign w:val="center"/>
            <w:hideMark/>
          </w:tcPr>
          <w:p w14:paraId="20242D8B" w14:textId="37C0447C" w:rsidR="00FC4856" w:rsidRPr="00FC4856" w:rsidRDefault="00FC4856" w:rsidP="00FC4856">
            <w:pPr>
              <w:jc w:val="right"/>
              <w:rPr>
                <w:rFonts w:ascii="CAIXA Std Book" w:eastAsia="Times New Roman" w:hAnsi="CAIXA Std Book" w:cs="Times New Roman"/>
                <w:b/>
                <w:bCs/>
                <w:color w:val="005CA9"/>
                <w:sz w:val="16"/>
                <w:szCs w:val="16"/>
              </w:rPr>
            </w:pPr>
            <w:r w:rsidRPr="006F4C06">
              <w:rPr>
                <w:rFonts w:ascii="CAIXA Std Book" w:hAnsi="CAIXA Std Book" w:cs="Calibri"/>
                <w:b/>
                <w:color w:val="005CA9"/>
                <w:sz w:val="16"/>
                <w:szCs w:val="16"/>
              </w:rPr>
              <w:t>(12.278.326)</w:t>
            </w:r>
          </w:p>
        </w:tc>
        <w:tc>
          <w:tcPr>
            <w:tcW w:w="589" w:type="pct"/>
            <w:tcBorders>
              <w:top w:val="single" w:sz="4" w:space="0" w:color="FFFFFF" w:themeColor="background1"/>
              <w:left w:val="nil"/>
              <w:bottom w:val="nil"/>
              <w:right w:val="nil"/>
            </w:tcBorders>
            <w:shd w:val="clear" w:color="000000" w:fill="D0E0E3"/>
            <w:noWrap/>
            <w:vAlign w:val="center"/>
            <w:hideMark/>
          </w:tcPr>
          <w:p w14:paraId="26F3FCC6" w14:textId="1403110C" w:rsidR="00FC4856" w:rsidRPr="00FC4856" w:rsidRDefault="00FC4856" w:rsidP="00FC4856">
            <w:pPr>
              <w:jc w:val="right"/>
              <w:rPr>
                <w:rFonts w:ascii="CAIXA Std Book" w:eastAsia="Times New Roman" w:hAnsi="CAIXA Std Book" w:cs="Times New Roman"/>
                <w:b/>
                <w:bCs/>
                <w:color w:val="005CA9"/>
                <w:sz w:val="16"/>
                <w:szCs w:val="16"/>
              </w:rPr>
            </w:pPr>
            <w:r w:rsidRPr="006F4C06">
              <w:rPr>
                <w:rFonts w:ascii="CAIXA Std Book" w:hAnsi="CAIXA Std Book" w:cs="Calibri"/>
                <w:b/>
                <w:color w:val="005CA9"/>
                <w:sz w:val="16"/>
                <w:szCs w:val="16"/>
              </w:rPr>
              <w:t>19.123.964</w:t>
            </w:r>
          </w:p>
        </w:tc>
      </w:tr>
      <w:tr w:rsidR="00FC4856" w:rsidRPr="00D27959" w14:paraId="516A44BB" w14:textId="77777777" w:rsidTr="0026519E">
        <w:trPr>
          <w:trHeight w:val="283"/>
        </w:trPr>
        <w:tc>
          <w:tcPr>
            <w:tcW w:w="1470" w:type="pct"/>
            <w:tcBorders>
              <w:top w:val="nil"/>
              <w:left w:val="nil"/>
              <w:bottom w:val="nil"/>
              <w:right w:val="nil"/>
            </w:tcBorders>
            <w:shd w:val="clear" w:color="000000" w:fill="FFFFFF"/>
            <w:noWrap/>
            <w:vAlign w:val="center"/>
            <w:hideMark/>
          </w:tcPr>
          <w:p w14:paraId="7F3A7ACF" w14:textId="77777777" w:rsidR="00FC4856" w:rsidRPr="00FC4856" w:rsidRDefault="00FC4856" w:rsidP="00FC4856">
            <w:pPr>
              <w:rPr>
                <w:rFonts w:ascii="CAIXA Std Book" w:eastAsia="Times New Roman" w:hAnsi="CAIXA Std Book" w:cs="Times New Roman"/>
                <w:color w:val="005CA9"/>
                <w:sz w:val="16"/>
                <w:szCs w:val="16"/>
              </w:rPr>
            </w:pPr>
            <w:r w:rsidRPr="00FC4856">
              <w:rPr>
                <w:rFonts w:ascii="CAIXA Std Book" w:eastAsia="Times New Roman" w:hAnsi="CAIXA Std Book" w:cs="Times New Roman"/>
                <w:color w:val="005CA9"/>
                <w:sz w:val="16"/>
                <w:szCs w:val="16"/>
              </w:rPr>
              <w:t>Não habilitado</w:t>
            </w:r>
          </w:p>
        </w:tc>
        <w:tc>
          <w:tcPr>
            <w:tcW w:w="588" w:type="pct"/>
            <w:tcBorders>
              <w:top w:val="nil"/>
              <w:left w:val="nil"/>
              <w:bottom w:val="nil"/>
              <w:right w:val="nil"/>
            </w:tcBorders>
            <w:shd w:val="clear" w:color="000000" w:fill="FFFFFF"/>
            <w:noWrap/>
            <w:vAlign w:val="center"/>
            <w:hideMark/>
          </w:tcPr>
          <w:p w14:paraId="018663B2" w14:textId="6B5CE017" w:rsidR="00FC4856" w:rsidRPr="00FC4856" w:rsidRDefault="00D27959" w:rsidP="00D27959">
            <w:pPr>
              <w:jc w:val="right"/>
              <w:rPr>
                <w:rFonts w:ascii="CAIXA Std Book" w:hAnsi="CAIXA Std Book" w:cs="Times New Roman"/>
                <w:color w:val="005CA9"/>
                <w:sz w:val="16"/>
                <w:szCs w:val="16"/>
              </w:rPr>
            </w:pPr>
            <w:r w:rsidRPr="00D27959">
              <w:rPr>
                <w:rFonts w:ascii="CAIXA Std Book" w:hAnsi="CAIXA Std Book" w:cs="Calibri"/>
                <w:color w:val="005CA9"/>
                <w:sz w:val="16"/>
                <w:szCs w:val="16"/>
              </w:rPr>
              <w:t>37.483</w:t>
            </w:r>
          </w:p>
        </w:tc>
        <w:tc>
          <w:tcPr>
            <w:tcW w:w="588" w:type="pct"/>
            <w:tcBorders>
              <w:top w:val="nil"/>
              <w:left w:val="nil"/>
              <w:bottom w:val="nil"/>
              <w:right w:val="nil"/>
            </w:tcBorders>
            <w:shd w:val="clear" w:color="000000" w:fill="FFFFFF"/>
            <w:noWrap/>
            <w:vAlign w:val="center"/>
            <w:hideMark/>
          </w:tcPr>
          <w:p w14:paraId="1BAB46F5" w14:textId="650DBCE7" w:rsidR="00FC4856" w:rsidRPr="00FC4856" w:rsidRDefault="00D27959" w:rsidP="00D27959">
            <w:pPr>
              <w:jc w:val="right"/>
              <w:rPr>
                <w:rFonts w:ascii="CAIXA Std Book" w:hAnsi="CAIXA Std Book" w:cs="Times New Roman"/>
                <w:color w:val="005CA9"/>
                <w:sz w:val="16"/>
                <w:szCs w:val="16"/>
              </w:rPr>
            </w:pPr>
            <w:r w:rsidRPr="00D27959">
              <w:rPr>
                <w:rFonts w:ascii="CAIXA Std Book" w:hAnsi="CAIXA Std Book" w:cs="Calibri"/>
                <w:color w:val="005CA9"/>
                <w:sz w:val="16"/>
                <w:szCs w:val="16"/>
              </w:rPr>
              <w:t>(28.606)</w:t>
            </w:r>
          </w:p>
        </w:tc>
        <w:tc>
          <w:tcPr>
            <w:tcW w:w="589" w:type="pct"/>
            <w:tcBorders>
              <w:top w:val="nil"/>
              <w:left w:val="nil"/>
              <w:bottom w:val="nil"/>
              <w:right w:val="nil"/>
            </w:tcBorders>
            <w:shd w:val="clear" w:color="000000" w:fill="FFFFFF"/>
            <w:noWrap/>
            <w:vAlign w:val="center"/>
            <w:hideMark/>
          </w:tcPr>
          <w:p w14:paraId="14CDEDB0" w14:textId="1DD59BE9" w:rsidR="00FC4856" w:rsidRPr="00FC4856" w:rsidRDefault="00D27959" w:rsidP="00D27959">
            <w:pPr>
              <w:jc w:val="right"/>
              <w:rPr>
                <w:rFonts w:ascii="CAIXA Std Book" w:hAnsi="CAIXA Std Book" w:cs="Times New Roman"/>
                <w:color w:val="005CA9"/>
                <w:sz w:val="16"/>
                <w:szCs w:val="16"/>
              </w:rPr>
            </w:pPr>
            <w:r w:rsidRPr="00D27959">
              <w:rPr>
                <w:rFonts w:ascii="CAIXA Std Book" w:hAnsi="CAIXA Std Book" w:cs="Calibri"/>
                <w:color w:val="005CA9"/>
                <w:sz w:val="16"/>
                <w:szCs w:val="16"/>
              </w:rPr>
              <w:t>8.</w:t>
            </w:r>
            <w:r w:rsidR="0026519E" w:rsidRPr="0026519E">
              <w:rPr>
                <w:rFonts w:ascii="CAIXA Std Book" w:hAnsi="CAIXA Std Book" w:cs="Calibri"/>
                <w:color w:val="005CA9"/>
                <w:sz w:val="16"/>
                <w:szCs w:val="16"/>
              </w:rPr>
              <w:t>877</w:t>
            </w:r>
          </w:p>
        </w:tc>
        <w:tc>
          <w:tcPr>
            <w:tcW w:w="588" w:type="pct"/>
            <w:tcBorders>
              <w:top w:val="nil"/>
              <w:left w:val="nil"/>
              <w:bottom w:val="nil"/>
              <w:right w:val="nil"/>
            </w:tcBorders>
            <w:noWrap/>
            <w:vAlign w:val="center"/>
            <w:hideMark/>
          </w:tcPr>
          <w:p w14:paraId="3B243F42" w14:textId="3DC2109D" w:rsidR="00FC4856" w:rsidRPr="00FC4856" w:rsidRDefault="00FC4856" w:rsidP="00FC4856">
            <w:pPr>
              <w:jc w:val="right"/>
              <w:rPr>
                <w:rFonts w:ascii="CAIXA Std Book" w:eastAsia="Times New Roman" w:hAnsi="CAIXA Std Book" w:cs="Times New Roman"/>
                <w:color w:val="005CA9"/>
                <w:sz w:val="16"/>
                <w:szCs w:val="16"/>
              </w:rPr>
            </w:pPr>
            <w:r w:rsidRPr="006F4C06">
              <w:rPr>
                <w:rFonts w:ascii="CAIXA Std Book" w:hAnsi="CAIXA Std Book" w:cs="Calibri"/>
                <w:color w:val="005CA9"/>
                <w:sz w:val="16"/>
                <w:szCs w:val="16"/>
              </w:rPr>
              <w:t>38.959</w:t>
            </w:r>
          </w:p>
        </w:tc>
        <w:tc>
          <w:tcPr>
            <w:tcW w:w="588" w:type="pct"/>
            <w:tcBorders>
              <w:top w:val="nil"/>
              <w:left w:val="nil"/>
              <w:bottom w:val="nil"/>
              <w:right w:val="nil"/>
            </w:tcBorders>
            <w:noWrap/>
            <w:vAlign w:val="center"/>
            <w:hideMark/>
          </w:tcPr>
          <w:p w14:paraId="789B9FA7" w14:textId="59043B70" w:rsidR="00FC4856" w:rsidRPr="00FC4856" w:rsidRDefault="00FC4856" w:rsidP="00FC4856">
            <w:pPr>
              <w:jc w:val="right"/>
              <w:rPr>
                <w:rFonts w:ascii="CAIXA Std Book" w:eastAsia="Times New Roman" w:hAnsi="CAIXA Std Book" w:cs="Times New Roman"/>
                <w:color w:val="005CA9"/>
                <w:sz w:val="16"/>
                <w:szCs w:val="16"/>
              </w:rPr>
            </w:pPr>
            <w:r w:rsidRPr="006F4C06">
              <w:rPr>
                <w:rFonts w:ascii="CAIXA Std Book" w:hAnsi="CAIXA Std Book" w:cs="Calibri"/>
                <w:color w:val="005CA9"/>
                <w:sz w:val="16"/>
                <w:szCs w:val="16"/>
              </w:rPr>
              <w:t>(27.749)</w:t>
            </w:r>
          </w:p>
        </w:tc>
        <w:tc>
          <w:tcPr>
            <w:tcW w:w="589" w:type="pct"/>
            <w:tcBorders>
              <w:top w:val="nil"/>
              <w:left w:val="nil"/>
              <w:bottom w:val="nil"/>
              <w:right w:val="nil"/>
            </w:tcBorders>
            <w:noWrap/>
            <w:vAlign w:val="center"/>
            <w:hideMark/>
          </w:tcPr>
          <w:p w14:paraId="0548B592" w14:textId="661C9F55" w:rsidR="00FC4856" w:rsidRPr="00FC4856" w:rsidRDefault="00FC4856" w:rsidP="00FC4856">
            <w:pPr>
              <w:jc w:val="right"/>
              <w:rPr>
                <w:rFonts w:ascii="CAIXA Std Book" w:eastAsia="Times New Roman" w:hAnsi="CAIXA Std Book" w:cs="Times New Roman"/>
                <w:color w:val="005CA9"/>
                <w:sz w:val="16"/>
                <w:szCs w:val="16"/>
              </w:rPr>
            </w:pPr>
            <w:r w:rsidRPr="006F4C06">
              <w:rPr>
                <w:rFonts w:ascii="CAIXA Std Book" w:hAnsi="CAIXA Std Book" w:cs="Calibri"/>
                <w:color w:val="005CA9"/>
                <w:sz w:val="16"/>
                <w:szCs w:val="16"/>
              </w:rPr>
              <w:t>11.210</w:t>
            </w:r>
          </w:p>
        </w:tc>
      </w:tr>
      <w:tr w:rsidR="00FC4856" w:rsidRPr="00D27959" w14:paraId="08131CB6" w14:textId="77777777" w:rsidTr="0026519E">
        <w:trPr>
          <w:trHeight w:val="283"/>
        </w:trPr>
        <w:tc>
          <w:tcPr>
            <w:tcW w:w="1470" w:type="pct"/>
            <w:tcBorders>
              <w:top w:val="nil"/>
              <w:left w:val="nil"/>
              <w:bottom w:val="nil"/>
              <w:right w:val="nil"/>
            </w:tcBorders>
            <w:shd w:val="clear" w:color="000000" w:fill="FFFFFF"/>
            <w:noWrap/>
            <w:vAlign w:val="center"/>
            <w:hideMark/>
          </w:tcPr>
          <w:p w14:paraId="74DB9797" w14:textId="77777777" w:rsidR="00FC4856" w:rsidRPr="00FC4856" w:rsidRDefault="00FC4856" w:rsidP="00FC4856">
            <w:pPr>
              <w:rPr>
                <w:rFonts w:ascii="CAIXA Std Book" w:eastAsia="Times New Roman" w:hAnsi="CAIXA Std Book" w:cs="Times New Roman"/>
                <w:color w:val="005CA9"/>
                <w:sz w:val="16"/>
                <w:szCs w:val="16"/>
              </w:rPr>
            </w:pPr>
            <w:r w:rsidRPr="00FC4856">
              <w:rPr>
                <w:rFonts w:ascii="CAIXA Std Book" w:eastAsia="Times New Roman" w:hAnsi="CAIXA Std Book" w:cs="Times New Roman"/>
                <w:color w:val="005CA9"/>
                <w:sz w:val="16"/>
                <w:szCs w:val="16"/>
              </w:rPr>
              <w:t>Habilitado e não homologado</w:t>
            </w:r>
          </w:p>
        </w:tc>
        <w:tc>
          <w:tcPr>
            <w:tcW w:w="588" w:type="pct"/>
            <w:tcBorders>
              <w:top w:val="nil"/>
              <w:left w:val="nil"/>
              <w:bottom w:val="nil"/>
              <w:right w:val="nil"/>
            </w:tcBorders>
            <w:shd w:val="clear" w:color="000000" w:fill="FFFFFF"/>
            <w:noWrap/>
            <w:vAlign w:val="center"/>
            <w:hideMark/>
          </w:tcPr>
          <w:p w14:paraId="27537E02" w14:textId="3CBA3D36" w:rsidR="00FC4856" w:rsidRPr="00FC4856" w:rsidRDefault="00D27959" w:rsidP="00D27959">
            <w:pPr>
              <w:jc w:val="right"/>
              <w:rPr>
                <w:rFonts w:ascii="CAIXA Std Book" w:hAnsi="CAIXA Std Book" w:cs="Times New Roman"/>
                <w:color w:val="005CA9"/>
                <w:sz w:val="16"/>
                <w:szCs w:val="16"/>
              </w:rPr>
            </w:pPr>
            <w:r w:rsidRPr="00D27959">
              <w:rPr>
                <w:rFonts w:ascii="CAIXA Std Book" w:hAnsi="CAIXA Std Book" w:cs="Calibri"/>
                <w:color w:val="005CA9"/>
                <w:sz w:val="16"/>
                <w:szCs w:val="16"/>
              </w:rPr>
              <w:t>76.258</w:t>
            </w:r>
          </w:p>
        </w:tc>
        <w:tc>
          <w:tcPr>
            <w:tcW w:w="588" w:type="pct"/>
            <w:tcBorders>
              <w:top w:val="nil"/>
              <w:left w:val="nil"/>
              <w:bottom w:val="nil"/>
              <w:right w:val="nil"/>
            </w:tcBorders>
            <w:shd w:val="clear" w:color="000000" w:fill="FFFFFF"/>
            <w:noWrap/>
            <w:vAlign w:val="center"/>
            <w:hideMark/>
          </w:tcPr>
          <w:p w14:paraId="4915D9D5" w14:textId="4FCB0E2B" w:rsidR="00FC4856" w:rsidRPr="00FC4856" w:rsidRDefault="00D27959" w:rsidP="00D27959">
            <w:pPr>
              <w:jc w:val="right"/>
              <w:rPr>
                <w:rFonts w:ascii="CAIXA Std Book" w:hAnsi="CAIXA Std Book" w:cs="Times New Roman"/>
                <w:color w:val="005CA9"/>
                <w:sz w:val="16"/>
                <w:szCs w:val="16"/>
              </w:rPr>
            </w:pPr>
            <w:r w:rsidRPr="00D27959">
              <w:rPr>
                <w:rFonts w:ascii="CAIXA Std Book" w:hAnsi="CAIXA Std Book" w:cs="Calibri"/>
                <w:color w:val="005CA9"/>
                <w:sz w:val="16"/>
                <w:szCs w:val="16"/>
              </w:rPr>
              <w:t>(46.210)</w:t>
            </w:r>
          </w:p>
        </w:tc>
        <w:tc>
          <w:tcPr>
            <w:tcW w:w="589" w:type="pct"/>
            <w:tcBorders>
              <w:top w:val="nil"/>
              <w:left w:val="nil"/>
              <w:bottom w:val="nil"/>
              <w:right w:val="nil"/>
            </w:tcBorders>
            <w:shd w:val="clear" w:color="000000" w:fill="FFFFFF"/>
            <w:noWrap/>
            <w:vAlign w:val="center"/>
            <w:hideMark/>
          </w:tcPr>
          <w:p w14:paraId="6652A8AD" w14:textId="5003DDAB" w:rsidR="00FC4856" w:rsidRPr="00FC4856" w:rsidRDefault="00D27959" w:rsidP="00D27959">
            <w:pPr>
              <w:jc w:val="right"/>
              <w:rPr>
                <w:rFonts w:ascii="CAIXA Std Book" w:hAnsi="CAIXA Std Book" w:cs="Times New Roman"/>
                <w:color w:val="005CA9"/>
                <w:sz w:val="16"/>
                <w:szCs w:val="16"/>
              </w:rPr>
            </w:pPr>
            <w:r w:rsidRPr="00D27959">
              <w:rPr>
                <w:rFonts w:ascii="CAIXA Std Book" w:hAnsi="CAIXA Std Book" w:cs="Calibri"/>
                <w:color w:val="005CA9"/>
                <w:sz w:val="16"/>
                <w:szCs w:val="16"/>
              </w:rPr>
              <w:t>30.048</w:t>
            </w:r>
          </w:p>
        </w:tc>
        <w:tc>
          <w:tcPr>
            <w:tcW w:w="588" w:type="pct"/>
            <w:tcBorders>
              <w:top w:val="nil"/>
              <w:left w:val="nil"/>
              <w:bottom w:val="nil"/>
              <w:right w:val="nil"/>
            </w:tcBorders>
            <w:noWrap/>
            <w:vAlign w:val="center"/>
            <w:hideMark/>
          </w:tcPr>
          <w:p w14:paraId="0C1DEF0F" w14:textId="2F00F49A" w:rsidR="00FC4856" w:rsidRPr="00FC4856" w:rsidRDefault="00FC4856" w:rsidP="00FC4856">
            <w:pPr>
              <w:jc w:val="right"/>
              <w:rPr>
                <w:rFonts w:ascii="CAIXA Std Book" w:eastAsia="Times New Roman" w:hAnsi="CAIXA Std Book" w:cs="Times New Roman"/>
                <w:color w:val="005CA9"/>
                <w:sz w:val="16"/>
                <w:szCs w:val="16"/>
              </w:rPr>
            </w:pPr>
            <w:r w:rsidRPr="006F4C06">
              <w:rPr>
                <w:rFonts w:ascii="CAIXA Std Book" w:hAnsi="CAIXA Std Book" w:cs="Calibri"/>
                <w:color w:val="005CA9"/>
                <w:sz w:val="16"/>
                <w:szCs w:val="16"/>
              </w:rPr>
              <w:t>83.362</w:t>
            </w:r>
          </w:p>
        </w:tc>
        <w:tc>
          <w:tcPr>
            <w:tcW w:w="588" w:type="pct"/>
            <w:tcBorders>
              <w:top w:val="nil"/>
              <w:left w:val="nil"/>
              <w:bottom w:val="nil"/>
              <w:right w:val="nil"/>
            </w:tcBorders>
            <w:noWrap/>
            <w:vAlign w:val="center"/>
            <w:hideMark/>
          </w:tcPr>
          <w:p w14:paraId="7368CFBD" w14:textId="52B48E30" w:rsidR="00FC4856" w:rsidRPr="00FC4856" w:rsidRDefault="00FC4856" w:rsidP="00FC4856">
            <w:pPr>
              <w:jc w:val="right"/>
              <w:rPr>
                <w:rFonts w:ascii="CAIXA Std Book" w:eastAsia="Times New Roman" w:hAnsi="CAIXA Std Book" w:cs="Times New Roman"/>
                <w:color w:val="005CA9"/>
                <w:sz w:val="16"/>
                <w:szCs w:val="16"/>
              </w:rPr>
            </w:pPr>
            <w:r w:rsidRPr="006F4C06">
              <w:rPr>
                <w:rFonts w:ascii="CAIXA Std Book" w:hAnsi="CAIXA Std Book" w:cs="Calibri"/>
                <w:color w:val="005CA9"/>
                <w:sz w:val="16"/>
                <w:szCs w:val="16"/>
              </w:rPr>
              <w:t>(50.390)</w:t>
            </w:r>
          </w:p>
        </w:tc>
        <w:tc>
          <w:tcPr>
            <w:tcW w:w="589" w:type="pct"/>
            <w:tcBorders>
              <w:top w:val="nil"/>
              <w:left w:val="nil"/>
              <w:bottom w:val="nil"/>
              <w:right w:val="nil"/>
            </w:tcBorders>
            <w:noWrap/>
            <w:vAlign w:val="center"/>
            <w:hideMark/>
          </w:tcPr>
          <w:p w14:paraId="16F675D5" w14:textId="19FF8DF1" w:rsidR="00FC4856" w:rsidRPr="00FC4856" w:rsidRDefault="00FC4856" w:rsidP="00FC4856">
            <w:pPr>
              <w:jc w:val="right"/>
              <w:rPr>
                <w:rFonts w:ascii="CAIXA Std Book" w:eastAsia="Times New Roman" w:hAnsi="CAIXA Std Book" w:cs="Times New Roman"/>
                <w:color w:val="005CA9"/>
                <w:sz w:val="16"/>
                <w:szCs w:val="16"/>
              </w:rPr>
            </w:pPr>
            <w:r w:rsidRPr="006F4C06">
              <w:rPr>
                <w:rFonts w:ascii="CAIXA Std Book" w:hAnsi="CAIXA Std Book" w:cs="Calibri"/>
                <w:color w:val="005CA9"/>
                <w:sz w:val="16"/>
                <w:szCs w:val="16"/>
              </w:rPr>
              <w:t>32.972</w:t>
            </w:r>
          </w:p>
        </w:tc>
      </w:tr>
      <w:tr w:rsidR="00FC4856" w:rsidRPr="00D27959" w14:paraId="3DD7E1A5" w14:textId="77777777" w:rsidTr="0026519E">
        <w:trPr>
          <w:trHeight w:val="283"/>
        </w:trPr>
        <w:tc>
          <w:tcPr>
            <w:tcW w:w="1470" w:type="pct"/>
            <w:tcBorders>
              <w:top w:val="nil"/>
              <w:left w:val="nil"/>
              <w:bottom w:val="nil"/>
              <w:right w:val="nil"/>
            </w:tcBorders>
            <w:shd w:val="clear" w:color="000000" w:fill="FFFFFF"/>
            <w:noWrap/>
            <w:vAlign w:val="center"/>
            <w:hideMark/>
          </w:tcPr>
          <w:p w14:paraId="60412BA9" w14:textId="77777777" w:rsidR="00FC4856" w:rsidRPr="00FC4856" w:rsidRDefault="00FC4856" w:rsidP="00FC4856">
            <w:pPr>
              <w:rPr>
                <w:rFonts w:ascii="CAIXA Std Book" w:eastAsia="Times New Roman" w:hAnsi="CAIXA Std Book" w:cs="Times New Roman"/>
                <w:color w:val="005CA9"/>
                <w:sz w:val="16"/>
                <w:szCs w:val="16"/>
              </w:rPr>
            </w:pPr>
            <w:r w:rsidRPr="00FC4856">
              <w:rPr>
                <w:rFonts w:ascii="CAIXA Std Book" w:eastAsia="Times New Roman" w:hAnsi="CAIXA Std Book" w:cs="Times New Roman"/>
                <w:color w:val="005CA9"/>
                <w:sz w:val="16"/>
                <w:szCs w:val="16"/>
              </w:rPr>
              <w:t>Homologado com/sem recurso ou manifestação</w:t>
            </w:r>
          </w:p>
        </w:tc>
        <w:tc>
          <w:tcPr>
            <w:tcW w:w="588" w:type="pct"/>
            <w:tcBorders>
              <w:top w:val="nil"/>
              <w:left w:val="nil"/>
              <w:bottom w:val="nil"/>
              <w:right w:val="nil"/>
            </w:tcBorders>
            <w:shd w:val="clear" w:color="000000" w:fill="FFFFFF"/>
            <w:noWrap/>
            <w:vAlign w:val="center"/>
            <w:hideMark/>
          </w:tcPr>
          <w:p w14:paraId="3F34DF6A" w14:textId="65C051BC" w:rsidR="00FC4856" w:rsidRPr="00FC4856" w:rsidRDefault="00D27959" w:rsidP="00D27959">
            <w:pPr>
              <w:jc w:val="right"/>
              <w:rPr>
                <w:rFonts w:ascii="CAIXA Std Book" w:hAnsi="CAIXA Std Book" w:cs="Times New Roman"/>
                <w:color w:val="005CA9"/>
                <w:sz w:val="16"/>
                <w:szCs w:val="16"/>
              </w:rPr>
            </w:pPr>
            <w:r w:rsidRPr="00D27959">
              <w:rPr>
                <w:rFonts w:ascii="CAIXA Std Book" w:hAnsi="CAIXA Std Book" w:cs="Calibri"/>
                <w:color w:val="005CA9"/>
                <w:sz w:val="16"/>
                <w:szCs w:val="16"/>
              </w:rPr>
              <w:t>7.641.</w:t>
            </w:r>
            <w:r w:rsidR="0026519E" w:rsidRPr="0026519E">
              <w:rPr>
                <w:rFonts w:ascii="CAIXA Std Book" w:hAnsi="CAIXA Std Book" w:cs="Calibri"/>
                <w:color w:val="005CA9"/>
                <w:sz w:val="16"/>
                <w:szCs w:val="16"/>
              </w:rPr>
              <w:t>844</w:t>
            </w:r>
          </w:p>
        </w:tc>
        <w:tc>
          <w:tcPr>
            <w:tcW w:w="588" w:type="pct"/>
            <w:tcBorders>
              <w:top w:val="nil"/>
              <w:left w:val="nil"/>
              <w:bottom w:val="nil"/>
              <w:right w:val="nil"/>
            </w:tcBorders>
            <w:shd w:val="clear" w:color="000000" w:fill="FFFFFF"/>
            <w:noWrap/>
            <w:vAlign w:val="center"/>
            <w:hideMark/>
          </w:tcPr>
          <w:p w14:paraId="6A6BCA5C" w14:textId="32D482AA" w:rsidR="00FC4856" w:rsidRPr="00FC4856" w:rsidRDefault="00D27959" w:rsidP="00D27959">
            <w:pPr>
              <w:jc w:val="right"/>
              <w:rPr>
                <w:rFonts w:ascii="CAIXA Std Book" w:hAnsi="CAIXA Std Book" w:cs="Times New Roman"/>
                <w:color w:val="005CA9"/>
                <w:sz w:val="16"/>
                <w:szCs w:val="16"/>
              </w:rPr>
            </w:pPr>
            <w:r w:rsidRPr="00D27959">
              <w:rPr>
                <w:rFonts w:ascii="CAIXA Std Book" w:hAnsi="CAIXA Std Book" w:cs="Calibri"/>
                <w:color w:val="005CA9"/>
                <w:sz w:val="16"/>
                <w:szCs w:val="16"/>
              </w:rPr>
              <w:t>(2.547.441)</w:t>
            </w:r>
          </w:p>
        </w:tc>
        <w:tc>
          <w:tcPr>
            <w:tcW w:w="589" w:type="pct"/>
            <w:tcBorders>
              <w:top w:val="nil"/>
              <w:left w:val="nil"/>
              <w:bottom w:val="nil"/>
              <w:right w:val="nil"/>
            </w:tcBorders>
            <w:shd w:val="clear" w:color="000000" w:fill="FFFFFF"/>
            <w:noWrap/>
            <w:vAlign w:val="center"/>
            <w:hideMark/>
          </w:tcPr>
          <w:p w14:paraId="443F17FE" w14:textId="0521971D" w:rsidR="00FC4856" w:rsidRPr="00FC4856" w:rsidRDefault="00D27959" w:rsidP="00D27959">
            <w:pPr>
              <w:jc w:val="right"/>
              <w:rPr>
                <w:rFonts w:ascii="CAIXA Std Book" w:hAnsi="CAIXA Std Book" w:cs="Times New Roman"/>
                <w:color w:val="005CA9"/>
                <w:sz w:val="16"/>
                <w:szCs w:val="16"/>
              </w:rPr>
            </w:pPr>
            <w:r w:rsidRPr="00D27959">
              <w:rPr>
                <w:rFonts w:ascii="CAIXA Std Book" w:hAnsi="CAIXA Std Book" w:cs="Calibri"/>
                <w:color w:val="005CA9"/>
                <w:sz w:val="16"/>
                <w:szCs w:val="16"/>
              </w:rPr>
              <w:t>5.094.</w:t>
            </w:r>
            <w:r w:rsidR="0026519E" w:rsidRPr="0026519E">
              <w:rPr>
                <w:rFonts w:ascii="CAIXA Std Book" w:hAnsi="CAIXA Std Book" w:cs="Calibri"/>
                <w:color w:val="005CA9"/>
                <w:sz w:val="16"/>
                <w:szCs w:val="16"/>
              </w:rPr>
              <w:t>403</w:t>
            </w:r>
          </w:p>
        </w:tc>
        <w:tc>
          <w:tcPr>
            <w:tcW w:w="588" w:type="pct"/>
            <w:tcBorders>
              <w:top w:val="nil"/>
              <w:left w:val="nil"/>
              <w:bottom w:val="nil"/>
              <w:right w:val="nil"/>
            </w:tcBorders>
            <w:noWrap/>
            <w:vAlign w:val="center"/>
            <w:hideMark/>
          </w:tcPr>
          <w:p w14:paraId="43884CAE" w14:textId="03E1B0F5" w:rsidR="00FC4856" w:rsidRPr="00FC4856" w:rsidRDefault="00FC4856" w:rsidP="00FC4856">
            <w:pPr>
              <w:jc w:val="right"/>
              <w:rPr>
                <w:rFonts w:ascii="CAIXA Std Book" w:eastAsia="Times New Roman" w:hAnsi="CAIXA Std Book" w:cs="Times New Roman"/>
                <w:color w:val="005CA9"/>
                <w:sz w:val="16"/>
                <w:szCs w:val="16"/>
              </w:rPr>
            </w:pPr>
            <w:r w:rsidRPr="006F4C06">
              <w:rPr>
                <w:rFonts w:ascii="CAIXA Std Book" w:hAnsi="CAIXA Std Book" w:cs="Calibri"/>
                <w:color w:val="005CA9"/>
                <w:sz w:val="16"/>
                <w:szCs w:val="16"/>
              </w:rPr>
              <w:t>6.356.839</w:t>
            </w:r>
          </w:p>
        </w:tc>
        <w:tc>
          <w:tcPr>
            <w:tcW w:w="588" w:type="pct"/>
            <w:tcBorders>
              <w:top w:val="nil"/>
              <w:left w:val="nil"/>
              <w:bottom w:val="nil"/>
              <w:right w:val="nil"/>
            </w:tcBorders>
            <w:noWrap/>
            <w:vAlign w:val="center"/>
            <w:hideMark/>
          </w:tcPr>
          <w:p w14:paraId="5EF28E25" w14:textId="044E6679" w:rsidR="00FC4856" w:rsidRPr="00FC4856" w:rsidRDefault="00FC4856" w:rsidP="00FC4856">
            <w:pPr>
              <w:jc w:val="right"/>
              <w:rPr>
                <w:rFonts w:ascii="CAIXA Std Book" w:eastAsia="Times New Roman" w:hAnsi="CAIXA Std Book" w:cs="Times New Roman"/>
                <w:color w:val="005CA9"/>
                <w:sz w:val="16"/>
                <w:szCs w:val="16"/>
              </w:rPr>
            </w:pPr>
            <w:r w:rsidRPr="006F4C06">
              <w:rPr>
                <w:rFonts w:ascii="CAIXA Std Book" w:hAnsi="CAIXA Std Book" w:cs="Calibri"/>
                <w:color w:val="005CA9"/>
                <w:sz w:val="16"/>
                <w:szCs w:val="16"/>
              </w:rPr>
              <w:t>(2.175.340)</w:t>
            </w:r>
          </w:p>
        </w:tc>
        <w:tc>
          <w:tcPr>
            <w:tcW w:w="589" w:type="pct"/>
            <w:tcBorders>
              <w:top w:val="nil"/>
              <w:left w:val="nil"/>
              <w:bottom w:val="nil"/>
              <w:right w:val="nil"/>
            </w:tcBorders>
            <w:noWrap/>
            <w:vAlign w:val="center"/>
            <w:hideMark/>
          </w:tcPr>
          <w:p w14:paraId="1A44009A" w14:textId="64ED94F4" w:rsidR="00FC4856" w:rsidRPr="00FC4856" w:rsidRDefault="00FC4856" w:rsidP="00FC4856">
            <w:pPr>
              <w:jc w:val="right"/>
              <w:rPr>
                <w:rFonts w:ascii="CAIXA Std Book" w:eastAsia="Times New Roman" w:hAnsi="CAIXA Std Book" w:cs="Times New Roman"/>
                <w:color w:val="005CA9"/>
                <w:sz w:val="16"/>
                <w:szCs w:val="16"/>
              </w:rPr>
            </w:pPr>
            <w:r w:rsidRPr="006F4C06">
              <w:rPr>
                <w:rFonts w:ascii="CAIXA Std Book" w:hAnsi="CAIXA Std Book" w:cs="Calibri"/>
                <w:color w:val="005CA9"/>
                <w:sz w:val="16"/>
                <w:szCs w:val="16"/>
              </w:rPr>
              <w:t>4.181.499</w:t>
            </w:r>
          </w:p>
        </w:tc>
      </w:tr>
      <w:tr w:rsidR="00FC4856" w:rsidRPr="00D27959" w14:paraId="1A907CBD" w14:textId="77777777" w:rsidTr="0026519E">
        <w:trPr>
          <w:trHeight w:val="283"/>
        </w:trPr>
        <w:tc>
          <w:tcPr>
            <w:tcW w:w="1470" w:type="pct"/>
            <w:tcBorders>
              <w:top w:val="nil"/>
              <w:left w:val="nil"/>
              <w:bottom w:val="nil"/>
              <w:right w:val="nil"/>
            </w:tcBorders>
            <w:shd w:val="clear" w:color="000000" w:fill="FFFFFF"/>
            <w:noWrap/>
            <w:vAlign w:val="center"/>
            <w:hideMark/>
          </w:tcPr>
          <w:p w14:paraId="1DF85EA5" w14:textId="77777777" w:rsidR="00FC4856" w:rsidRPr="00FC4856" w:rsidRDefault="00FC4856" w:rsidP="00FC4856">
            <w:pPr>
              <w:rPr>
                <w:rFonts w:ascii="CAIXA Std Book" w:eastAsia="Times New Roman" w:hAnsi="CAIXA Std Book" w:cs="Times New Roman"/>
                <w:color w:val="005CA9"/>
                <w:sz w:val="16"/>
                <w:szCs w:val="16"/>
              </w:rPr>
            </w:pPr>
            <w:r w:rsidRPr="00FC4856">
              <w:rPr>
                <w:rFonts w:ascii="CAIXA Std Book" w:eastAsia="Times New Roman" w:hAnsi="CAIXA Std Book" w:cs="Times New Roman"/>
                <w:color w:val="005CA9"/>
                <w:sz w:val="16"/>
                <w:szCs w:val="16"/>
              </w:rPr>
              <w:t>Homologados validados e em novação</w:t>
            </w:r>
          </w:p>
        </w:tc>
        <w:tc>
          <w:tcPr>
            <w:tcW w:w="588" w:type="pct"/>
            <w:tcBorders>
              <w:top w:val="nil"/>
              <w:left w:val="nil"/>
              <w:bottom w:val="nil"/>
              <w:right w:val="nil"/>
            </w:tcBorders>
            <w:shd w:val="clear" w:color="000000" w:fill="FFFFFF"/>
            <w:noWrap/>
            <w:vAlign w:val="center"/>
            <w:hideMark/>
          </w:tcPr>
          <w:p w14:paraId="5C53A267" w14:textId="4AF7B9E9" w:rsidR="00FC4856" w:rsidRPr="00FC4856" w:rsidRDefault="00D27959" w:rsidP="00D27959">
            <w:pPr>
              <w:jc w:val="right"/>
              <w:rPr>
                <w:rFonts w:ascii="CAIXA Std Book" w:hAnsi="CAIXA Std Book" w:cs="Times New Roman"/>
                <w:color w:val="005CA9"/>
                <w:sz w:val="16"/>
                <w:szCs w:val="16"/>
              </w:rPr>
            </w:pPr>
            <w:r w:rsidRPr="00D27959">
              <w:rPr>
                <w:rFonts w:ascii="CAIXA Std Book" w:hAnsi="CAIXA Std Book" w:cs="Calibri"/>
                <w:color w:val="005CA9"/>
                <w:sz w:val="16"/>
                <w:szCs w:val="16"/>
              </w:rPr>
              <w:t>8.495.243</w:t>
            </w:r>
          </w:p>
        </w:tc>
        <w:tc>
          <w:tcPr>
            <w:tcW w:w="588" w:type="pct"/>
            <w:tcBorders>
              <w:top w:val="nil"/>
              <w:left w:val="nil"/>
              <w:bottom w:val="nil"/>
              <w:right w:val="nil"/>
            </w:tcBorders>
            <w:shd w:val="clear" w:color="000000" w:fill="FFFFFF"/>
            <w:noWrap/>
            <w:vAlign w:val="center"/>
            <w:hideMark/>
          </w:tcPr>
          <w:p w14:paraId="0F8A27AE" w14:textId="1CA40EB1" w:rsidR="00FC4856" w:rsidRPr="00FC4856" w:rsidRDefault="00D27959" w:rsidP="00D27959">
            <w:pPr>
              <w:jc w:val="right"/>
              <w:rPr>
                <w:rFonts w:ascii="CAIXA Std Book" w:hAnsi="CAIXA Std Book" w:cs="Times New Roman"/>
                <w:color w:val="005CA9"/>
                <w:sz w:val="16"/>
                <w:szCs w:val="16"/>
              </w:rPr>
            </w:pPr>
            <w:r w:rsidRPr="00D27959">
              <w:rPr>
                <w:rFonts w:ascii="CAIXA Std Book" w:hAnsi="CAIXA Std Book" w:cs="Calibri"/>
                <w:color w:val="005CA9"/>
                <w:sz w:val="16"/>
                <w:szCs w:val="16"/>
              </w:rPr>
              <w:t>(102.702)</w:t>
            </w:r>
          </w:p>
        </w:tc>
        <w:tc>
          <w:tcPr>
            <w:tcW w:w="589" w:type="pct"/>
            <w:tcBorders>
              <w:top w:val="nil"/>
              <w:left w:val="nil"/>
              <w:bottom w:val="nil"/>
              <w:right w:val="nil"/>
            </w:tcBorders>
            <w:shd w:val="clear" w:color="000000" w:fill="FFFFFF"/>
            <w:noWrap/>
            <w:vAlign w:val="center"/>
            <w:hideMark/>
          </w:tcPr>
          <w:p w14:paraId="42210505" w14:textId="591F0A4A" w:rsidR="00FC4856" w:rsidRPr="00FC4856" w:rsidRDefault="00D27959" w:rsidP="00D27959">
            <w:pPr>
              <w:jc w:val="right"/>
              <w:rPr>
                <w:rFonts w:ascii="CAIXA Std Book" w:hAnsi="CAIXA Std Book" w:cs="Times New Roman"/>
                <w:color w:val="005CA9"/>
                <w:sz w:val="16"/>
                <w:szCs w:val="16"/>
              </w:rPr>
            </w:pPr>
            <w:r w:rsidRPr="00D27959">
              <w:rPr>
                <w:rFonts w:ascii="CAIXA Std Book" w:hAnsi="CAIXA Std Book" w:cs="Calibri"/>
                <w:color w:val="005CA9"/>
                <w:sz w:val="16"/>
                <w:szCs w:val="16"/>
              </w:rPr>
              <w:t>8.392.541</w:t>
            </w:r>
          </w:p>
        </w:tc>
        <w:tc>
          <w:tcPr>
            <w:tcW w:w="588" w:type="pct"/>
            <w:tcBorders>
              <w:top w:val="nil"/>
              <w:left w:val="nil"/>
              <w:bottom w:val="nil"/>
              <w:right w:val="nil"/>
            </w:tcBorders>
            <w:noWrap/>
            <w:vAlign w:val="center"/>
            <w:hideMark/>
          </w:tcPr>
          <w:p w14:paraId="07CA5D3F" w14:textId="641A4527" w:rsidR="00FC4856" w:rsidRPr="00FC4856" w:rsidRDefault="00FC4856" w:rsidP="00FC4856">
            <w:pPr>
              <w:jc w:val="right"/>
              <w:rPr>
                <w:rFonts w:ascii="CAIXA Std Book" w:eastAsia="Times New Roman" w:hAnsi="CAIXA Std Book" w:cs="Times New Roman"/>
                <w:color w:val="005CA9"/>
                <w:sz w:val="16"/>
                <w:szCs w:val="16"/>
              </w:rPr>
            </w:pPr>
            <w:r w:rsidRPr="006F4C06">
              <w:rPr>
                <w:rFonts w:ascii="CAIXA Std Book" w:hAnsi="CAIXA Std Book" w:cs="Calibri"/>
                <w:color w:val="005CA9"/>
                <w:sz w:val="16"/>
                <w:szCs w:val="16"/>
              </w:rPr>
              <w:t>9.350.513</w:t>
            </w:r>
          </w:p>
        </w:tc>
        <w:tc>
          <w:tcPr>
            <w:tcW w:w="588" w:type="pct"/>
            <w:tcBorders>
              <w:top w:val="nil"/>
              <w:left w:val="nil"/>
              <w:bottom w:val="nil"/>
              <w:right w:val="nil"/>
            </w:tcBorders>
            <w:noWrap/>
            <w:vAlign w:val="center"/>
            <w:hideMark/>
          </w:tcPr>
          <w:p w14:paraId="7967F7D9" w14:textId="5EDBDDE8" w:rsidR="00FC4856" w:rsidRPr="00FC4856" w:rsidRDefault="00FC4856" w:rsidP="00FC4856">
            <w:pPr>
              <w:jc w:val="right"/>
              <w:rPr>
                <w:rFonts w:ascii="CAIXA Std Book" w:eastAsia="Times New Roman" w:hAnsi="CAIXA Std Book" w:cs="Times New Roman"/>
                <w:color w:val="005CA9"/>
                <w:sz w:val="16"/>
                <w:szCs w:val="16"/>
              </w:rPr>
            </w:pPr>
            <w:r w:rsidRPr="006F4C06">
              <w:rPr>
                <w:rFonts w:ascii="CAIXA Std Book" w:hAnsi="CAIXA Std Book" w:cs="Calibri"/>
                <w:color w:val="005CA9"/>
                <w:sz w:val="16"/>
                <w:szCs w:val="16"/>
              </w:rPr>
              <w:t>(107.093)</w:t>
            </w:r>
          </w:p>
        </w:tc>
        <w:tc>
          <w:tcPr>
            <w:tcW w:w="589" w:type="pct"/>
            <w:tcBorders>
              <w:top w:val="nil"/>
              <w:left w:val="nil"/>
              <w:bottom w:val="nil"/>
              <w:right w:val="nil"/>
            </w:tcBorders>
            <w:noWrap/>
            <w:vAlign w:val="center"/>
            <w:hideMark/>
          </w:tcPr>
          <w:p w14:paraId="249C485A" w14:textId="3C95A231" w:rsidR="00FC4856" w:rsidRPr="00FC4856" w:rsidRDefault="00FC4856" w:rsidP="00FC4856">
            <w:pPr>
              <w:jc w:val="right"/>
              <w:rPr>
                <w:rFonts w:ascii="CAIXA Std Book" w:eastAsia="Times New Roman" w:hAnsi="CAIXA Std Book" w:cs="Times New Roman"/>
                <w:color w:val="005CA9"/>
                <w:sz w:val="16"/>
                <w:szCs w:val="16"/>
              </w:rPr>
            </w:pPr>
            <w:r w:rsidRPr="006F4C06">
              <w:rPr>
                <w:rFonts w:ascii="CAIXA Std Book" w:hAnsi="CAIXA Std Book" w:cs="Calibri"/>
                <w:color w:val="005CA9"/>
                <w:sz w:val="16"/>
                <w:szCs w:val="16"/>
              </w:rPr>
              <w:t>9.243.420</w:t>
            </w:r>
          </w:p>
        </w:tc>
      </w:tr>
      <w:tr w:rsidR="00FC4856" w:rsidRPr="00D27959" w14:paraId="5999656F" w14:textId="77777777" w:rsidTr="0026519E">
        <w:trPr>
          <w:trHeight w:val="283"/>
        </w:trPr>
        <w:tc>
          <w:tcPr>
            <w:tcW w:w="1470" w:type="pct"/>
            <w:tcBorders>
              <w:top w:val="nil"/>
              <w:left w:val="nil"/>
              <w:bottom w:val="nil"/>
              <w:right w:val="nil"/>
            </w:tcBorders>
            <w:shd w:val="clear" w:color="000000" w:fill="FFFFFF"/>
            <w:noWrap/>
            <w:vAlign w:val="center"/>
            <w:hideMark/>
          </w:tcPr>
          <w:p w14:paraId="340E228C" w14:textId="77777777" w:rsidR="00FC4856" w:rsidRPr="00FC4856" w:rsidRDefault="00FC4856" w:rsidP="00FC4856">
            <w:pPr>
              <w:rPr>
                <w:rFonts w:ascii="CAIXA Std Book" w:eastAsia="Times New Roman" w:hAnsi="CAIXA Std Book" w:cs="Times New Roman"/>
                <w:color w:val="005CA9"/>
                <w:sz w:val="16"/>
                <w:szCs w:val="16"/>
              </w:rPr>
            </w:pPr>
            <w:r w:rsidRPr="00FC4856">
              <w:rPr>
                <w:rFonts w:ascii="CAIXA Std Book" w:eastAsia="Times New Roman" w:hAnsi="CAIXA Std Book" w:cs="Times New Roman"/>
                <w:color w:val="005CA9"/>
                <w:sz w:val="16"/>
                <w:szCs w:val="16"/>
              </w:rPr>
              <w:t>Negativa de cobertura (1)</w:t>
            </w:r>
          </w:p>
        </w:tc>
        <w:tc>
          <w:tcPr>
            <w:tcW w:w="588" w:type="pct"/>
            <w:tcBorders>
              <w:top w:val="nil"/>
              <w:left w:val="nil"/>
              <w:bottom w:val="nil"/>
              <w:right w:val="nil"/>
            </w:tcBorders>
            <w:shd w:val="clear" w:color="000000" w:fill="FFFFFF"/>
            <w:noWrap/>
            <w:vAlign w:val="center"/>
            <w:hideMark/>
          </w:tcPr>
          <w:p w14:paraId="1D501E11" w14:textId="5CE1F65B" w:rsidR="00FC4856" w:rsidRPr="00FC4856" w:rsidRDefault="00D27959" w:rsidP="00D27959">
            <w:pPr>
              <w:jc w:val="right"/>
              <w:rPr>
                <w:rFonts w:ascii="CAIXA Std Book" w:hAnsi="CAIXA Std Book" w:cs="Times New Roman"/>
                <w:color w:val="005CA9"/>
                <w:sz w:val="16"/>
                <w:szCs w:val="16"/>
              </w:rPr>
            </w:pPr>
            <w:r w:rsidRPr="00D27959">
              <w:rPr>
                <w:rFonts w:ascii="CAIXA Std Book" w:hAnsi="CAIXA Std Book" w:cs="Calibri"/>
                <w:color w:val="005CA9"/>
                <w:sz w:val="16"/>
                <w:szCs w:val="16"/>
              </w:rPr>
              <w:t>11.703.695</w:t>
            </w:r>
          </w:p>
        </w:tc>
        <w:tc>
          <w:tcPr>
            <w:tcW w:w="588" w:type="pct"/>
            <w:tcBorders>
              <w:top w:val="nil"/>
              <w:left w:val="nil"/>
              <w:bottom w:val="nil"/>
              <w:right w:val="nil"/>
            </w:tcBorders>
            <w:shd w:val="clear" w:color="000000" w:fill="FFFFFF"/>
            <w:noWrap/>
            <w:vAlign w:val="center"/>
            <w:hideMark/>
          </w:tcPr>
          <w:p w14:paraId="259E3769" w14:textId="63B4F353" w:rsidR="00FC4856" w:rsidRPr="00FC4856" w:rsidRDefault="00D27959" w:rsidP="00D27959">
            <w:pPr>
              <w:jc w:val="right"/>
              <w:rPr>
                <w:rFonts w:ascii="CAIXA Std Book" w:hAnsi="CAIXA Std Book" w:cs="Times New Roman"/>
                <w:color w:val="005CA9"/>
                <w:sz w:val="16"/>
                <w:szCs w:val="16"/>
              </w:rPr>
            </w:pPr>
            <w:r w:rsidRPr="00D27959">
              <w:rPr>
                <w:rFonts w:ascii="CAIXA Std Book" w:hAnsi="CAIXA Std Book" w:cs="Calibri"/>
                <w:color w:val="005CA9"/>
                <w:sz w:val="16"/>
                <w:szCs w:val="16"/>
              </w:rPr>
              <w:t>(6.049.504)</w:t>
            </w:r>
          </w:p>
        </w:tc>
        <w:tc>
          <w:tcPr>
            <w:tcW w:w="589" w:type="pct"/>
            <w:tcBorders>
              <w:top w:val="nil"/>
              <w:left w:val="nil"/>
              <w:bottom w:val="nil"/>
              <w:right w:val="nil"/>
            </w:tcBorders>
            <w:shd w:val="clear" w:color="000000" w:fill="FFFFFF"/>
            <w:noWrap/>
            <w:vAlign w:val="center"/>
            <w:hideMark/>
          </w:tcPr>
          <w:p w14:paraId="41C08AB1" w14:textId="61B511D0" w:rsidR="00FC4856" w:rsidRPr="00FC4856" w:rsidRDefault="00D27959" w:rsidP="00D27959">
            <w:pPr>
              <w:jc w:val="right"/>
              <w:rPr>
                <w:rFonts w:ascii="CAIXA Std Book" w:hAnsi="CAIXA Std Book" w:cs="Times New Roman"/>
                <w:color w:val="005CA9"/>
                <w:sz w:val="16"/>
                <w:szCs w:val="16"/>
              </w:rPr>
            </w:pPr>
            <w:r w:rsidRPr="00D27959">
              <w:rPr>
                <w:rFonts w:ascii="CAIXA Std Book" w:hAnsi="CAIXA Std Book" w:cs="Calibri"/>
                <w:color w:val="005CA9"/>
                <w:sz w:val="16"/>
                <w:szCs w:val="16"/>
              </w:rPr>
              <w:t>5.654.191</w:t>
            </w:r>
          </w:p>
        </w:tc>
        <w:tc>
          <w:tcPr>
            <w:tcW w:w="588" w:type="pct"/>
            <w:tcBorders>
              <w:top w:val="nil"/>
              <w:left w:val="nil"/>
              <w:bottom w:val="nil"/>
              <w:right w:val="nil"/>
            </w:tcBorders>
            <w:noWrap/>
            <w:vAlign w:val="center"/>
            <w:hideMark/>
          </w:tcPr>
          <w:p w14:paraId="12957016" w14:textId="5A0256CC" w:rsidR="00FC4856" w:rsidRPr="00FC4856" w:rsidRDefault="00FC4856" w:rsidP="00FC4856">
            <w:pPr>
              <w:jc w:val="right"/>
              <w:rPr>
                <w:rFonts w:ascii="CAIXA Std Book" w:eastAsia="Times New Roman" w:hAnsi="CAIXA Std Book" w:cs="Times New Roman"/>
                <w:color w:val="005CA9"/>
                <w:sz w:val="16"/>
                <w:szCs w:val="16"/>
              </w:rPr>
            </w:pPr>
            <w:r w:rsidRPr="006F4C06">
              <w:rPr>
                <w:rFonts w:ascii="CAIXA Std Book" w:hAnsi="CAIXA Std Book" w:cs="Calibri"/>
                <w:color w:val="005CA9"/>
                <w:sz w:val="16"/>
                <w:szCs w:val="16"/>
              </w:rPr>
              <w:t>12.169.091</w:t>
            </w:r>
          </w:p>
        </w:tc>
        <w:tc>
          <w:tcPr>
            <w:tcW w:w="588" w:type="pct"/>
            <w:tcBorders>
              <w:top w:val="nil"/>
              <w:left w:val="nil"/>
              <w:bottom w:val="nil"/>
              <w:right w:val="nil"/>
            </w:tcBorders>
            <w:noWrap/>
            <w:vAlign w:val="center"/>
            <w:hideMark/>
          </w:tcPr>
          <w:p w14:paraId="09F9AFEC" w14:textId="26C8C945" w:rsidR="00FC4856" w:rsidRPr="00FC4856" w:rsidRDefault="00FC4856" w:rsidP="00FC4856">
            <w:pPr>
              <w:jc w:val="right"/>
              <w:rPr>
                <w:rFonts w:ascii="CAIXA Std Book" w:eastAsia="Times New Roman" w:hAnsi="CAIXA Std Book" w:cs="Times New Roman"/>
                <w:color w:val="005CA9"/>
                <w:sz w:val="16"/>
                <w:szCs w:val="16"/>
              </w:rPr>
            </w:pPr>
            <w:r w:rsidRPr="006F4C06">
              <w:rPr>
                <w:rFonts w:ascii="CAIXA Std Book" w:hAnsi="CAIXA Std Book" w:cs="Calibri"/>
                <w:color w:val="005CA9"/>
                <w:sz w:val="16"/>
                <w:szCs w:val="16"/>
              </w:rPr>
              <w:t>(6.514.228)</w:t>
            </w:r>
          </w:p>
        </w:tc>
        <w:tc>
          <w:tcPr>
            <w:tcW w:w="589" w:type="pct"/>
            <w:tcBorders>
              <w:top w:val="nil"/>
              <w:left w:val="nil"/>
              <w:bottom w:val="nil"/>
              <w:right w:val="nil"/>
            </w:tcBorders>
            <w:noWrap/>
            <w:vAlign w:val="center"/>
            <w:hideMark/>
          </w:tcPr>
          <w:p w14:paraId="4ADE9F7D" w14:textId="092049F8" w:rsidR="00FC4856" w:rsidRPr="00FC4856" w:rsidRDefault="00FC4856" w:rsidP="00FC4856">
            <w:pPr>
              <w:jc w:val="right"/>
              <w:rPr>
                <w:rFonts w:ascii="CAIXA Std Book" w:eastAsia="Times New Roman" w:hAnsi="CAIXA Std Book" w:cs="Times New Roman"/>
                <w:color w:val="005CA9"/>
                <w:sz w:val="16"/>
                <w:szCs w:val="16"/>
              </w:rPr>
            </w:pPr>
            <w:r w:rsidRPr="006F4C06">
              <w:rPr>
                <w:rFonts w:ascii="CAIXA Std Book" w:hAnsi="CAIXA Std Book" w:cs="Calibri"/>
                <w:color w:val="005CA9"/>
                <w:sz w:val="16"/>
                <w:szCs w:val="16"/>
              </w:rPr>
              <w:t>5.654.863</w:t>
            </w:r>
          </w:p>
        </w:tc>
      </w:tr>
      <w:tr w:rsidR="00FC4856" w:rsidRPr="00D27959" w14:paraId="20758413" w14:textId="77777777" w:rsidTr="0026519E">
        <w:trPr>
          <w:trHeight w:val="283"/>
        </w:trPr>
        <w:tc>
          <w:tcPr>
            <w:tcW w:w="1470" w:type="pct"/>
            <w:tcBorders>
              <w:top w:val="nil"/>
              <w:left w:val="nil"/>
              <w:bottom w:val="nil"/>
              <w:right w:val="nil"/>
            </w:tcBorders>
            <w:shd w:val="clear" w:color="000000" w:fill="FFFFFF"/>
            <w:noWrap/>
            <w:vAlign w:val="center"/>
            <w:hideMark/>
          </w:tcPr>
          <w:p w14:paraId="6CD54A28" w14:textId="6741C1C9" w:rsidR="00FC4856" w:rsidRPr="00FC4856" w:rsidRDefault="00FC4856" w:rsidP="00FC4856">
            <w:pPr>
              <w:rPr>
                <w:rFonts w:ascii="CAIXA Std Book" w:eastAsia="Times New Roman" w:hAnsi="CAIXA Std Book" w:cs="Times New Roman"/>
                <w:color w:val="005CA9"/>
                <w:sz w:val="16"/>
                <w:szCs w:val="16"/>
              </w:rPr>
            </w:pPr>
            <w:r w:rsidRPr="00FC4856">
              <w:rPr>
                <w:rFonts w:ascii="CAIXA Std Book" w:eastAsia="Times New Roman" w:hAnsi="CAIXA Std Book" w:cs="Times New Roman"/>
                <w:color w:val="005CA9"/>
                <w:sz w:val="16"/>
                <w:szCs w:val="16"/>
              </w:rPr>
              <w:t>Impedimento Financeiro – Risco de crédito (Estágio 3)</w:t>
            </w:r>
            <w:r w:rsidR="00E22B8C">
              <w:rPr>
                <w:rFonts w:ascii="CAIXA Std Book" w:eastAsia="Times New Roman" w:hAnsi="CAIXA Std Book" w:cs="Times New Roman"/>
                <w:color w:val="005CA9"/>
                <w:sz w:val="16"/>
                <w:szCs w:val="16"/>
              </w:rPr>
              <w:t xml:space="preserve"> (2)</w:t>
            </w:r>
          </w:p>
        </w:tc>
        <w:tc>
          <w:tcPr>
            <w:tcW w:w="588" w:type="pct"/>
            <w:tcBorders>
              <w:top w:val="nil"/>
              <w:left w:val="nil"/>
              <w:bottom w:val="nil"/>
              <w:right w:val="nil"/>
            </w:tcBorders>
            <w:shd w:val="clear" w:color="000000" w:fill="FFFFFF"/>
            <w:noWrap/>
            <w:vAlign w:val="center"/>
            <w:hideMark/>
          </w:tcPr>
          <w:p w14:paraId="4D8AE3E1" w14:textId="1B9FD0C4" w:rsidR="00FC4856" w:rsidRPr="00FC4856" w:rsidRDefault="00D27959" w:rsidP="00D27959">
            <w:pPr>
              <w:jc w:val="right"/>
              <w:rPr>
                <w:rFonts w:ascii="CAIXA Std Book" w:hAnsi="CAIXA Std Book" w:cs="Times New Roman"/>
                <w:color w:val="005CA9"/>
                <w:sz w:val="16"/>
                <w:szCs w:val="16"/>
              </w:rPr>
            </w:pPr>
            <w:r w:rsidRPr="00D27959">
              <w:rPr>
                <w:rFonts w:ascii="CAIXA Std Book" w:hAnsi="CAIXA Std Book" w:cs="Calibri"/>
                <w:color w:val="005CA9"/>
                <w:sz w:val="16"/>
                <w:szCs w:val="16"/>
              </w:rPr>
              <w:t>3.133.035</w:t>
            </w:r>
          </w:p>
        </w:tc>
        <w:tc>
          <w:tcPr>
            <w:tcW w:w="588" w:type="pct"/>
            <w:tcBorders>
              <w:top w:val="nil"/>
              <w:left w:val="nil"/>
              <w:bottom w:val="nil"/>
              <w:right w:val="nil"/>
            </w:tcBorders>
            <w:shd w:val="clear" w:color="000000" w:fill="FFFFFF"/>
            <w:noWrap/>
            <w:vAlign w:val="center"/>
            <w:hideMark/>
          </w:tcPr>
          <w:p w14:paraId="6455189C" w14:textId="5D18B782" w:rsidR="00FC4856" w:rsidRPr="00FC4856" w:rsidRDefault="00D27959" w:rsidP="00D27959">
            <w:pPr>
              <w:jc w:val="right"/>
              <w:rPr>
                <w:rFonts w:ascii="CAIXA Std Book" w:hAnsi="CAIXA Std Book" w:cs="Times New Roman"/>
                <w:color w:val="005CA9"/>
                <w:sz w:val="16"/>
                <w:szCs w:val="16"/>
              </w:rPr>
            </w:pPr>
            <w:r w:rsidRPr="00D27959">
              <w:rPr>
                <w:rFonts w:ascii="CAIXA Std Book" w:hAnsi="CAIXA Std Book" w:cs="Calibri"/>
                <w:color w:val="005CA9"/>
                <w:sz w:val="16"/>
                <w:szCs w:val="16"/>
              </w:rPr>
              <w:t>(3.133.035)</w:t>
            </w:r>
          </w:p>
        </w:tc>
        <w:tc>
          <w:tcPr>
            <w:tcW w:w="589" w:type="pct"/>
            <w:tcBorders>
              <w:top w:val="nil"/>
              <w:left w:val="nil"/>
              <w:bottom w:val="nil"/>
              <w:right w:val="nil"/>
            </w:tcBorders>
            <w:shd w:val="clear" w:color="000000" w:fill="FFFFFF"/>
            <w:noWrap/>
            <w:vAlign w:val="center"/>
            <w:hideMark/>
          </w:tcPr>
          <w:p w14:paraId="2F9E0BC3" w14:textId="248FBB19" w:rsidR="00FC4856" w:rsidRPr="00FC4856" w:rsidRDefault="00D27959" w:rsidP="00D27959">
            <w:pPr>
              <w:jc w:val="center"/>
              <w:rPr>
                <w:rFonts w:ascii="CAIXA Std Book" w:hAnsi="CAIXA Std Book" w:cs="Times New Roman"/>
                <w:color w:val="005CA9"/>
                <w:sz w:val="16"/>
                <w:szCs w:val="16"/>
              </w:rPr>
            </w:pPr>
            <w:r w:rsidRPr="00D27959">
              <w:rPr>
                <w:rFonts w:ascii="CAIXA Std Book" w:hAnsi="CAIXA Std Book" w:cs="Calibri"/>
                <w:color w:val="005CA9"/>
                <w:sz w:val="16"/>
                <w:szCs w:val="16"/>
              </w:rPr>
              <w:t>-</w:t>
            </w:r>
          </w:p>
        </w:tc>
        <w:tc>
          <w:tcPr>
            <w:tcW w:w="588" w:type="pct"/>
            <w:tcBorders>
              <w:top w:val="nil"/>
              <w:left w:val="nil"/>
              <w:bottom w:val="nil"/>
              <w:right w:val="nil"/>
            </w:tcBorders>
            <w:noWrap/>
            <w:vAlign w:val="center"/>
            <w:hideMark/>
          </w:tcPr>
          <w:p w14:paraId="5D3611AD" w14:textId="590A5B32" w:rsidR="00FC4856" w:rsidRPr="00FC4856" w:rsidRDefault="00FC4856" w:rsidP="00FC4856">
            <w:pPr>
              <w:jc w:val="right"/>
              <w:rPr>
                <w:rFonts w:ascii="CAIXA Std Book" w:eastAsia="Times New Roman" w:hAnsi="CAIXA Std Book" w:cs="Times New Roman"/>
                <w:color w:val="005CA9"/>
                <w:sz w:val="16"/>
                <w:szCs w:val="16"/>
              </w:rPr>
            </w:pPr>
            <w:r w:rsidRPr="006F4C06">
              <w:rPr>
                <w:rFonts w:ascii="CAIXA Std Book" w:hAnsi="CAIXA Std Book" w:cs="Calibri"/>
                <w:color w:val="005CA9"/>
                <w:sz w:val="16"/>
                <w:szCs w:val="16"/>
              </w:rPr>
              <w:t>3.403.526</w:t>
            </w:r>
          </w:p>
        </w:tc>
        <w:tc>
          <w:tcPr>
            <w:tcW w:w="588" w:type="pct"/>
            <w:tcBorders>
              <w:top w:val="nil"/>
              <w:left w:val="nil"/>
              <w:bottom w:val="nil"/>
              <w:right w:val="nil"/>
            </w:tcBorders>
            <w:noWrap/>
            <w:vAlign w:val="center"/>
            <w:hideMark/>
          </w:tcPr>
          <w:p w14:paraId="7E5111E1" w14:textId="7D5967C0" w:rsidR="00FC4856" w:rsidRPr="00FC4856" w:rsidRDefault="00FC4856" w:rsidP="00FC4856">
            <w:pPr>
              <w:jc w:val="right"/>
              <w:rPr>
                <w:rFonts w:ascii="CAIXA Std Book" w:eastAsia="Times New Roman" w:hAnsi="CAIXA Std Book" w:cs="Times New Roman"/>
                <w:color w:val="005CA9"/>
                <w:sz w:val="16"/>
                <w:szCs w:val="16"/>
              </w:rPr>
            </w:pPr>
            <w:r w:rsidRPr="006F4C06">
              <w:rPr>
                <w:rFonts w:ascii="CAIXA Std Book" w:hAnsi="CAIXA Std Book" w:cs="Calibri"/>
                <w:color w:val="005CA9"/>
                <w:sz w:val="16"/>
                <w:szCs w:val="16"/>
              </w:rPr>
              <w:t>(3.403.526)</w:t>
            </w:r>
          </w:p>
        </w:tc>
        <w:tc>
          <w:tcPr>
            <w:tcW w:w="589" w:type="pct"/>
            <w:tcBorders>
              <w:top w:val="nil"/>
              <w:left w:val="nil"/>
              <w:bottom w:val="nil"/>
              <w:right w:val="nil"/>
            </w:tcBorders>
            <w:noWrap/>
            <w:vAlign w:val="center"/>
            <w:hideMark/>
          </w:tcPr>
          <w:p w14:paraId="0727E47F" w14:textId="6F914C90" w:rsidR="00FC4856" w:rsidRPr="00FC4856" w:rsidRDefault="00FC4856" w:rsidP="00FC4856">
            <w:pPr>
              <w:jc w:val="center"/>
              <w:rPr>
                <w:rFonts w:ascii="CAIXA Std Book" w:eastAsia="Times New Roman" w:hAnsi="CAIXA Std Book" w:cs="Times New Roman"/>
                <w:color w:val="005CA9"/>
                <w:sz w:val="16"/>
                <w:szCs w:val="16"/>
              </w:rPr>
            </w:pPr>
            <w:r w:rsidRPr="006F4C06">
              <w:rPr>
                <w:rFonts w:ascii="CAIXA Std Book" w:hAnsi="CAIXA Std Book" w:cs="Calibri"/>
                <w:color w:val="005CA9"/>
                <w:sz w:val="16"/>
                <w:szCs w:val="16"/>
              </w:rPr>
              <w:t>-</w:t>
            </w:r>
          </w:p>
        </w:tc>
      </w:tr>
      <w:tr w:rsidR="00FC4856" w:rsidRPr="00D27959" w14:paraId="5F1B0009" w14:textId="77777777" w:rsidTr="0026519E">
        <w:trPr>
          <w:trHeight w:val="283"/>
        </w:trPr>
        <w:tc>
          <w:tcPr>
            <w:tcW w:w="1470" w:type="pct"/>
            <w:tcBorders>
              <w:top w:val="nil"/>
              <w:left w:val="nil"/>
              <w:bottom w:val="nil"/>
              <w:right w:val="nil"/>
            </w:tcBorders>
            <w:shd w:val="clear" w:color="000000" w:fill="D0E0E3"/>
            <w:noWrap/>
            <w:vAlign w:val="center"/>
            <w:hideMark/>
          </w:tcPr>
          <w:p w14:paraId="57589F9F" w14:textId="77777777" w:rsidR="00FC4856" w:rsidRPr="00FC4856" w:rsidRDefault="00FC4856" w:rsidP="00FC4856">
            <w:pPr>
              <w:rPr>
                <w:rFonts w:ascii="CAIXA Std Book" w:eastAsia="Times New Roman" w:hAnsi="CAIXA Std Book" w:cs="Times New Roman"/>
                <w:b/>
                <w:bCs/>
                <w:color w:val="005CA9"/>
                <w:sz w:val="16"/>
                <w:szCs w:val="16"/>
              </w:rPr>
            </w:pPr>
            <w:r w:rsidRPr="00FC4856">
              <w:rPr>
                <w:rFonts w:ascii="CAIXA Std Book" w:eastAsia="Times New Roman" w:hAnsi="CAIXA Std Book" w:cs="Times New Roman"/>
                <w:b/>
                <w:bCs/>
                <w:color w:val="005CA9"/>
                <w:sz w:val="16"/>
                <w:szCs w:val="16"/>
              </w:rPr>
              <w:t>FGTS a ressarcir</w:t>
            </w:r>
          </w:p>
        </w:tc>
        <w:tc>
          <w:tcPr>
            <w:tcW w:w="588" w:type="pct"/>
            <w:tcBorders>
              <w:top w:val="nil"/>
              <w:left w:val="nil"/>
              <w:bottom w:val="nil"/>
              <w:right w:val="nil"/>
            </w:tcBorders>
            <w:shd w:val="clear" w:color="000000" w:fill="D0E0E3"/>
            <w:noWrap/>
            <w:vAlign w:val="center"/>
            <w:hideMark/>
          </w:tcPr>
          <w:p w14:paraId="7DF084FA" w14:textId="3A4F0155" w:rsidR="00FC4856" w:rsidRPr="00FC4856" w:rsidRDefault="00D27959" w:rsidP="00D27959">
            <w:pPr>
              <w:jc w:val="right"/>
              <w:rPr>
                <w:rFonts w:ascii="CAIXA Std Book" w:hAnsi="CAIXA Std Book" w:cs="Times New Roman"/>
                <w:color w:val="005CA9"/>
                <w:sz w:val="16"/>
                <w:szCs w:val="16"/>
              </w:rPr>
            </w:pPr>
            <w:r w:rsidRPr="00D27959">
              <w:rPr>
                <w:rFonts w:ascii="CAIXA Std Book" w:hAnsi="CAIXA Std Book" w:cs="Calibri"/>
                <w:b/>
                <w:bCs/>
                <w:color w:val="005CA9"/>
                <w:sz w:val="16"/>
                <w:szCs w:val="16"/>
              </w:rPr>
              <w:t>32.948</w:t>
            </w:r>
          </w:p>
        </w:tc>
        <w:tc>
          <w:tcPr>
            <w:tcW w:w="588" w:type="pct"/>
            <w:tcBorders>
              <w:top w:val="nil"/>
              <w:left w:val="nil"/>
              <w:bottom w:val="nil"/>
              <w:right w:val="nil"/>
            </w:tcBorders>
            <w:shd w:val="clear" w:color="000000" w:fill="D0E0E3"/>
            <w:noWrap/>
            <w:vAlign w:val="center"/>
            <w:hideMark/>
          </w:tcPr>
          <w:p w14:paraId="0F2A7272" w14:textId="1C56F62E" w:rsidR="00FC4856" w:rsidRPr="00FC4856" w:rsidRDefault="00D27959" w:rsidP="00D27959">
            <w:pPr>
              <w:jc w:val="center"/>
              <w:rPr>
                <w:rFonts w:ascii="CAIXA Std Book" w:hAnsi="CAIXA Std Book" w:cs="Times New Roman"/>
                <w:color w:val="005CA9"/>
                <w:sz w:val="16"/>
                <w:szCs w:val="16"/>
              </w:rPr>
            </w:pPr>
            <w:r w:rsidRPr="00D27959">
              <w:rPr>
                <w:rFonts w:ascii="CAIXA Std Book" w:hAnsi="CAIXA Std Book" w:cs="Calibri"/>
                <w:b/>
                <w:bCs/>
                <w:color w:val="005CA9"/>
                <w:sz w:val="16"/>
                <w:szCs w:val="16"/>
              </w:rPr>
              <w:t>-</w:t>
            </w:r>
          </w:p>
        </w:tc>
        <w:tc>
          <w:tcPr>
            <w:tcW w:w="589" w:type="pct"/>
            <w:tcBorders>
              <w:top w:val="nil"/>
              <w:left w:val="nil"/>
              <w:bottom w:val="nil"/>
              <w:right w:val="nil"/>
            </w:tcBorders>
            <w:shd w:val="clear" w:color="000000" w:fill="D0E0E3"/>
            <w:noWrap/>
            <w:vAlign w:val="center"/>
            <w:hideMark/>
          </w:tcPr>
          <w:p w14:paraId="6A752A32" w14:textId="592B6FA6" w:rsidR="00FC4856" w:rsidRPr="00FC4856" w:rsidRDefault="00D27959" w:rsidP="00D27959">
            <w:pPr>
              <w:jc w:val="right"/>
              <w:rPr>
                <w:rFonts w:ascii="CAIXA Std Book" w:hAnsi="CAIXA Std Book" w:cs="Times New Roman"/>
                <w:color w:val="005CA9"/>
                <w:sz w:val="16"/>
                <w:szCs w:val="16"/>
              </w:rPr>
            </w:pPr>
            <w:r w:rsidRPr="00D27959">
              <w:rPr>
                <w:rFonts w:ascii="CAIXA Std Book" w:hAnsi="CAIXA Std Book" w:cs="Calibri"/>
                <w:b/>
                <w:bCs/>
                <w:color w:val="005CA9"/>
                <w:sz w:val="16"/>
                <w:szCs w:val="16"/>
              </w:rPr>
              <w:t>32.948</w:t>
            </w:r>
          </w:p>
        </w:tc>
        <w:tc>
          <w:tcPr>
            <w:tcW w:w="588" w:type="pct"/>
            <w:tcBorders>
              <w:top w:val="nil"/>
              <w:left w:val="nil"/>
              <w:bottom w:val="nil"/>
              <w:right w:val="nil"/>
            </w:tcBorders>
            <w:shd w:val="clear" w:color="000000" w:fill="D0E0E3"/>
            <w:noWrap/>
            <w:vAlign w:val="center"/>
            <w:hideMark/>
          </w:tcPr>
          <w:p w14:paraId="2BE0B581" w14:textId="29AB375B" w:rsidR="00FC4856" w:rsidRPr="00FC4856" w:rsidRDefault="00FC4856" w:rsidP="00FC4856">
            <w:pPr>
              <w:jc w:val="right"/>
              <w:rPr>
                <w:rFonts w:ascii="CAIXA Std Book" w:eastAsia="Times New Roman" w:hAnsi="CAIXA Std Book" w:cs="Times New Roman"/>
                <w:b/>
                <w:bCs/>
                <w:color w:val="005CA9"/>
                <w:sz w:val="16"/>
                <w:szCs w:val="16"/>
              </w:rPr>
            </w:pPr>
            <w:r w:rsidRPr="006F4C06">
              <w:rPr>
                <w:rFonts w:ascii="CAIXA Std Book" w:hAnsi="CAIXA Std Book" w:cs="Calibri"/>
                <w:b/>
                <w:color w:val="005CA9"/>
                <w:sz w:val="16"/>
                <w:szCs w:val="16"/>
              </w:rPr>
              <w:t>17.426</w:t>
            </w:r>
          </w:p>
        </w:tc>
        <w:tc>
          <w:tcPr>
            <w:tcW w:w="588" w:type="pct"/>
            <w:tcBorders>
              <w:top w:val="nil"/>
              <w:left w:val="nil"/>
              <w:bottom w:val="nil"/>
              <w:right w:val="nil"/>
            </w:tcBorders>
            <w:shd w:val="clear" w:color="000000" w:fill="D0E0E3"/>
            <w:noWrap/>
            <w:vAlign w:val="center"/>
            <w:hideMark/>
          </w:tcPr>
          <w:p w14:paraId="669FDA92" w14:textId="08203CAC" w:rsidR="00FC4856" w:rsidRPr="00FC4856" w:rsidRDefault="00FC4856" w:rsidP="00FC4856">
            <w:pPr>
              <w:jc w:val="center"/>
              <w:rPr>
                <w:rFonts w:ascii="CAIXA Std Book" w:eastAsia="Times New Roman" w:hAnsi="CAIXA Std Book" w:cs="Times New Roman"/>
                <w:b/>
                <w:bCs/>
                <w:color w:val="005CA9"/>
                <w:sz w:val="16"/>
                <w:szCs w:val="16"/>
              </w:rPr>
            </w:pPr>
            <w:r w:rsidRPr="006F4C06">
              <w:rPr>
                <w:rFonts w:ascii="CAIXA Std Book" w:hAnsi="CAIXA Std Book" w:cs="Calibri"/>
                <w:b/>
                <w:color w:val="005CA9"/>
                <w:sz w:val="16"/>
                <w:szCs w:val="16"/>
              </w:rPr>
              <w:t>-</w:t>
            </w:r>
          </w:p>
        </w:tc>
        <w:tc>
          <w:tcPr>
            <w:tcW w:w="589" w:type="pct"/>
            <w:tcBorders>
              <w:top w:val="nil"/>
              <w:left w:val="nil"/>
              <w:bottom w:val="nil"/>
              <w:right w:val="nil"/>
            </w:tcBorders>
            <w:shd w:val="clear" w:color="000000" w:fill="D0E0E3"/>
            <w:noWrap/>
            <w:vAlign w:val="center"/>
            <w:hideMark/>
          </w:tcPr>
          <w:p w14:paraId="1D910289" w14:textId="21690CC6" w:rsidR="00FC4856" w:rsidRPr="00FC4856" w:rsidRDefault="00FC4856" w:rsidP="00FC4856">
            <w:pPr>
              <w:jc w:val="right"/>
              <w:rPr>
                <w:rFonts w:ascii="CAIXA Std Book" w:eastAsia="Times New Roman" w:hAnsi="CAIXA Std Book" w:cs="Times New Roman"/>
                <w:b/>
                <w:bCs/>
                <w:color w:val="005CA9"/>
                <w:sz w:val="16"/>
                <w:szCs w:val="16"/>
              </w:rPr>
            </w:pPr>
            <w:r w:rsidRPr="006F4C06">
              <w:rPr>
                <w:rFonts w:ascii="CAIXA Std Book" w:hAnsi="CAIXA Std Book" w:cs="Calibri"/>
                <w:b/>
                <w:color w:val="005CA9"/>
                <w:sz w:val="16"/>
                <w:szCs w:val="16"/>
              </w:rPr>
              <w:t>17.426</w:t>
            </w:r>
          </w:p>
        </w:tc>
      </w:tr>
      <w:tr w:rsidR="00FC4856" w:rsidRPr="00D27959" w14:paraId="15146BF0" w14:textId="77777777" w:rsidTr="0026519E">
        <w:trPr>
          <w:trHeight w:val="283"/>
        </w:trPr>
        <w:tc>
          <w:tcPr>
            <w:tcW w:w="1470" w:type="pct"/>
            <w:tcBorders>
              <w:top w:val="nil"/>
              <w:left w:val="single" w:sz="8" w:space="0" w:color="FFFFFF"/>
              <w:bottom w:val="nil"/>
              <w:right w:val="nil"/>
            </w:tcBorders>
            <w:shd w:val="clear" w:color="000000" w:fill="005CA9"/>
            <w:noWrap/>
            <w:vAlign w:val="center"/>
            <w:hideMark/>
          </w:tcPr>
          <w:p w14:paraId="29DD30F0" w14:textId="77777777" w:rsidR="00FC4856" w:rsidRPr="00FC4856" w:rsidRDefault="00FC4856" w:rsidP="00FC4856">
            <w:pPr>
              <w:rPr>
                <w:rFonts w:ascii="CAIXA Std Book" w:eastAsia="Times New Roman" w:hAnsi="CAIXA Std Book" w:cs="Times New Roman"/>
                <w:b/>
                <w:bCs/>
                <w:color w:val="FFFFFF"/>
                <w:sz w:val="16"/>
                <w:szCs w:val="16"/>
              </w:rPr>
            </w:pPr>
            <w:r w:rsidRPr="00FC4856">
              <w:rPr>
                <w:rFonts w:ascii="CAIXA Std Book" w:eastAsia="Times New Roman" w:hAnsi="CAIXA Std Book" w:cs="Times New Roman"/>
                <w:b/>
                <w:bCs/>
                <w:color w:val="FFFFFF"/>
                <w:sz w:val="16"/>
                <w:szCs w:val="16"/>
              </w:rPr>
              <w:t>Total (líquido de provisão)</w:t>
            </w:r>
          </w:p>
        </w:tc>
        <w:tc>
          <w:tcPr>
            <w:tcW w:w="588" w:type="pct"/>
            <w:tcBorders>
              <w:top w:val="nil"/>
              <w:left w:val="nil"/>
              <w:bottom w:val="nil"/>
              <w:right w:val="nil"/>
            </w:tcBorders>
            <w:shd w:val="clear" w:color="000000" w:fill="005CA9"/>
            <w:noWrap/>
            <w:vAlign w:val="center"/>
            <w:hideMark/>
          </w:tcPr>
          <w:p w14:paraId="25AB2E99" w14:textId="1FCE3146" w:rsidR="00FC4856" w:rsidRPr="00FC4856" w:rsidRDefault="00D27959" w:rsidP="00D27959">
            <w:pPr>
              <w:jc w:val="right"/>
              <w:rPr>
                <w:rFonts w:ascii="CAIXA Std Book" w:hAnsi="CAIXA Std Book" w:cs="Times New Roman"/>
                <w:color w:val="000000"/>
                <w:sz w:val="16"/>
                <w:szCs w:val="16"/>
              </w:rPr>
            </w:pPr>
            <w:r w:rsidRPr="00D27959">
              <w:rPr>
                <w:rFonts w:ascii="CAIXA Std Book" w:hAnsi="CAIXA Std Book" w:cs="Calibri"/>
                <w:b/>
                <w:bCs/>
                <w:color w:val="FFFFFF"/>
                <w:sz w:val="16"/>
                <w:szCs w:val="16"/>
              </w:rPr>
              <w:t>31.120.</w:t>
            </w:r>
            <w:r w:rsidR="0026519E" w:rsidRPr="0026519E">
              <w:rPr>
                <w:rFonts w:ascii="CAIXA Std Book" w:hAnsi="CAIXA Std Book" w:cs="Calibri"/>
                <w:b/>
                <w:bCs/>
                <w:color w:val="FFFFFF"/>
                <w:sz w:val="16"/>
                <w:szCs w:val="16"/>
              </w:rPr>
              <w:t>506</w:t>
            </w:r>
          </w:p>
        </w:tc>
        <w:tc>
          <w:tcPr>
            <w:tcW w:w="588" w:type="pct"/>
            <w:tcBorders>
              <w:top w:val="nil"/>
              <w:left w:val="nil"/>
              <w:bottom w:val="nil"/>
              <w:right w:val="nil"/>
            </w:tcBorders>
            <w:shd w:val="clear" w:color="000000" w:fill="005CA9"/>
            <w:noWrap/>
            <w:vAlign w:val="center"/>
            <w:hideMark/>
          </w:tcPr>
          <w:p w14:paraId="33275B08" w14:textId="078A2EC7" w:rsidR="00FC4856" w:rsidRPr="00FC4856" w:rsidRDefault="00D27959" w:rsidP="00D27959">
            <w:pPr>
              <w:jc w:val="right"/>
              <w:rPr>
                <w:rFonts w:ascii="CAIXA Std Book" w:hAnsi="CAIXA Std Book" w:cs="Times New Roman"/>
                <w:color w:val="000000"/>
                <w:sz w:val="16"/>
                <w:szCs w:val="16"/>
              </w:rPr>
            </w:pPr>
            <w:r w:rsidRPr="00D27959">
              <w:rPr>
                <w:rFonts w:ascii="CAIXA Std Book" w:hAnsi="CAIXA Std Book" w:cs="Calibri"/>
                <w:b/>
                <w:bCs/>
                <w:color w:val="FFFFFF"/>
                <w:sz w:val="16"/>
                <w:szCs w:val="16"/>
              </w:rPr>
              <w:t>(11.907.498)</w:t>
            </w:r>
          </w:p>
        </w:tc>
        <w:tc>
          <w:tcPr>
            <w:tcW w:w="589" w:type="pct"/>
            <w:tcBorders>
              <w:top w:val="nil"/>
              <w:left w:val="nil"/>
              <w:bottom w:val="nil"/>
              <w:right w:val="nil"/>
            </w:tcBorders>
            <w:shd w:val="clear" w:color="000000" w:fill="005CA9"/>
            <w:noWrap/>
            <w:vAlign w:val="center"/>
            <w:hideMark/>
          </w:tcPr>
          <w:p w14:paraId="07DC0545" w14:textId="0C9AB18D" w:rsidR="00FC4856" w:rsidRPr="00FC4856" w:rsidRDefault="00D27959" w:rsidP="00D27959">
            <w:pPr>
              <w:jc w:val="right"/>
              <w:rPr>
                <w:rFonts w:ascii="CAIXA Std Book" w:hAnsi="CAIXA Std Book" w:cs="Times New Roman"/>
                <w:color w:val="000000"/>
                <w:sz w:val="16"/>
                <w:szCs w:val="16"/>
              </w:rPr>
            </w:pPr>
            <w:r w:rsidRPr="00D27959">
              <w:rPr>
                <w:rFonts w:ascii="CAIXA Std Book" w:hAnsi="CAIXA Std Book" w:cs="Calibri"/>
                <w:b/>
                <w:bCs/>
                <w:color w:val="FFFFFF"/>
                <w:sz w:val="16"/>
                <w:szCs w:val="16"/>
              </w:rPr>
              <w:t>19.213.008</w:t>
            </w:r>
          </w:p>
        </w:tc>
        <w:tc>
          <w:tcPr>
            <w:tcW w:w="588" w:type="pct"/>
            <w:tcBorders>
              <w:top w:val="nil"/>
              <w:left w:val="nil"/>
              <w:bottom w:val="nil"/>
              <w:right w:val="nil"/>
            </w:tcBorders>
            <w:shd w:val="clear" w:color="000000" w:fill="005CA9"/>
            <w:noWrap/>
            <w:vAlign w:val="center"/>
            <w:hideMark/>
          </w:tcPr>
          <w:p w14:paraId="1EC2E6DC" w14:textId="00D7779F" w:rsidR="00FC4856" w:rsidRPr="00FC4856" w:rsidRDefault="00FC4856" w:rsidP="00FC4856">
            <w:pPr>
              <w:jc w:val="right"/>
              <w:rPr>
                <w:rFonts w:ascii="CAIXA Std Book" w:eastAsia="Times New Roman" w:hAnsi="CAIXA Std Book" w:cs="Times New Roman"/>
                <w:b/>
                <w:bCs/>
                <w:color w:val="FFFFFF"/>
                <w:sz w:val="16"/>
                <w:szCs w:val="16"/>
              </w:rPr>
            </w:pPr>
            <w:r w:rsidRPr="006F4C06">
              <w:rPr>
                <w:rFonts w:ascii="CAIXA Std Book" w:hAnsi="CAIXA Std Book" w:cs="Calibri"/>
                <w:b/>
                <w:color w:val="FFFFFF"/>
                <w:sz w:val="16"/>
                <w:szCs w:val="16"/>
              </w:rPr>
              <w:t>31.419.716</w:t>
            </w:r>
          </w:p>
        </w:tc>
        <w:tc>
          <w:tcPr>
            <w:tcW w:w="588" w:type="pct"/>
            <w:tcBorders>
              <w:top w:val="nil"/>
              <w:left w:val="nil"/>
              <w:bottom w:val="nil"/>
              <w:right w:val="nil"/>
            </w:tcBorders>
            <w:shd w:val="clear" w:color="000000" w:fill="005CA9"/>
            <w:noWrap/>
            <w:vAlign w:val="center"/>
            <w:hideMark/>
          </w:tcPr>
          <w:p w14:paraId="361F41A4" w14:textId="6514C083" w:rsidR="00FC4856" w:rsidRPr="00FC4856" w:rsidRDefault="006F4C06" w:rsidP="00FC4856">
            <w:pPr>
              <w:jc w:val="right"/>
              <w:rPr>
                <w:rFonts w:ascii="CAIXA Std Book" w:eastAsia="Times New Roman" w:hAnsi="CAIXA Std Book" w:cs="Times New Roman"/>
                <w:b/>
                <w:bCs/>
                <w:color w:val="FFFFFF"/>
                <w:sz w:val="16"/>
                <w:szCs w:val="16"/>
              </w:rPr>
            </w:pPr>
            <w:r w:rsidRPr="006F4C06">
              <w:rPr>
                <w:rFonts w:ascii="CAIXA Std Book" w:hAnsi="CAIXA Std Book" w:cs="Calibri"/>
                <w:b/>
                <w:bCs/>
                <w:color w:val="FFFFFF"/>
                <w:sz w:val="16"/>
                <w:szCs w:val="16"/>
              </w:rPr>
              <w:t>(</w:t>
            </w:r>
            <w:r w:rsidR="00FC4856" w:rsidRPr="006F4C06">
              <w:rPr>
                <w:rFonts w:ascii="CAIXA Std Book" w:hAnsi="CAIXA Std Book" w:cs="Calibri"/>
                <w:b/>
                <w:color w:val="FFFFFF"/>
                <w:sz w:val="16"/>
                <w:szCs w:val="16"/>
              </w:rPr>
              <w:t>12.278.326</w:t>
            </w:r>
            <w:r w:rsidRPr="006F4C06">
              <w:rPr>
                <w:rFonts w:ascii="CAIXA Std Book" w:hAnsi="CAIXA Std Book" w:cs="Calibri"/>
                <w:b/>
                <w:bCs/>
                <w:color w:val="FFFFFF"/>
                <w:sz w:val="16"/>
                <w:szCs w:val="16"/>
              </w:rPr>
              <w:t>)</w:t>
            </w:r>
          </w:p>
        </w:tc>
        <w:tc>
          <w:tcPr>
            <w:tcW w:w="589" w:type="pct"/>
            <w:tcBorders>
              <w:top w:val="nil"/>
              <w:left w:val="nil"/>
              <w:bottom w:val="nil"/>
              <w:right w:val="nil"/>
            </w:tcBorders>
            <w:shd w:val="clear" w:color="000000" w:fill="005CA9"/>
            <w:noWrap/>
            <w:vAlign w:val="center"/>
            <w:hideMark/>
          </w:tcPr>
          <w:p w14:paraId="68260180" w14:textId="3AB79FBF" w:rsidR="00FC4856" w:rsidRPr="00FC4856" w:rsidRDefault="00FC4856" w:rsidP="00FC4856">
            <w:pPr>
              <w:jc w:val="right"/>
              <w:rPr>
                <w:rFonts w:ascii="CAIXA Std Book" w:eastAsia="Times New Roman" w:hAnsi="CAIXA Std Book" w:cs="Times New Roman"/>
                <w:b/>
                <w:bCs/>
                <w:color w:val="FFFFFF"/>
                <w:sz w:val="16"/>
                <w:szCs w:val="16"/>
              </w:rPr>
            </w:pPr>
            <w:r w:rsidRPr="006F4C06">
              <w:rPr>
                <w:rFonts w:ascii="CAIXA Std Book" w:hAnsi="CAIXA Std Book" w:cs="Calibri"/>
                <w:b/>
                <w:color w:val="FFFFFF"/>
                <w:sz w:val="16"/>
                <w:szCs w:val="16"/>
              </w:rPr>
              <w:t>19.141.390</w:t>
            </w:r>
          </w:p>
        </w:tc>
      </w:tr>
    </w:tbl>
    <w:p w14:paraId="02B11A9F" w14:textId="150AED39" w:rsidR="00AE5C30" w:rsidRDefault="00AE5C30" w:rsidP="002176AB">
      <w:pPr>
        <w:jc w:val="both"/>
        <w:rPr>
          <w:rFonts w:ascii="CAIXA Std Book" w:hAnsi="CAIXA Std Book"/>
          <w:color w:val="005CA9"/>
          <w:sz w:val="16"/>
          <w:szCs w:val="16"/>
        </w:rPr>
      </w:pPr>
      <w:r w:rsidRPr="00044373">
        <w:rPr>
          <w:rFonts w:ascii="CAIXA Std Book" w:hAnsi="CAIXA Std Book"/>
          <w:color w:val="005CA9"/>
          <w:sz w:val="16"/>
          <w:szCs w:val="16"/>
        </w:rPr>
        <w:t xml:space="preserve">(1) Inclui o valor de negativa por multiplicidade de CADMUT no montante de </w:t>
      </w:r>
      <w:r w:rsidRPr="00A75592">
        <w:rPr>
          <w:rFonts w:ascii="CAIXA Std Book" w:hAnsi="CAIXA Std Book"/>
          <w:color w:val="005CA9"/>
          <w:sz w:val="16"/>
          <w:szCs w:val="16"/>
        </w:rPr>
        <w:t xml:space="preserve">R$ </w:t>
      </w:r>
      <w:r w:rsidR="00CD378B" w:rsidRPr="00A75592">
        <w:rPr>
          <w:rFonts w:ascii="CAIXA Std Book" w:hAnsi="CAIXA Std Book"/>
          <w:color w:val="005CA9"/>
          <w:sz w:val="16"/>
          <w:szCs w:val="16"/>
        </w:rPr>
        <w:t>4.</w:t>
      </w:r>
      <w:r w:rsidR="00E55EEF" w:rsidRPr="00E55EEF">
        <w:rPr>
          <w:rFonts w:ascii="CAIXA Std Book" w:hAnsi="CAIXA Std Book"/>
          <w:color w:val="005CA9"/>
          <w:sz w:val="16"/>
          <w:szCs w:val="16"/>
        </w:rPr>
        <w:t>764.570</w:t>
      </w:r>
      <w:r w:rsidR="00CD378B" w:rsidRPr="009B0279">
        <w:rPr>
          <w:rFonts w:ascii="CAIXA Std Book" w:hAnsi="CAIXA Std Book"/>
          <w:color w:val="005CA9"/>
          <w:sz w:val="16"/>
          <w:szCs w:val="16"/>
        </w:rPr>
        <w:t xml:space="preserve"> </w:t>
      </w:r>
      <w:r w:rsidR="00913BC8" w:rsidRPr="009B0279">
        <w:rPr>
          <w:rFonts w:ascii="CAIXA Std Book" w:hAnsi="CAIXA Std Book"/>
          <w:color w:val="005CA9"/>
          <w:sz w:val="16"/>
          <w:szCs w:val="16"/>
        </w:rPr>
        <w:t>(</w:t>
      </w:r>
      <w:r w:rsidR="00BB6425" w:rsidRPr="009B0279">
        <w:rPr>
          <w:rFonts w:ascii="CAIXA Std Book" w:hAnsi="CAIXA Std Book"/>
          <w:color w:val="005CA9"/>
          <w:sz w:val="16"/>
          <w:szCs w:val="16"/>
        </w:rPr>
        <w:t>31</w:t>
      </w:r>
      <w:r w:rsidR="00BB6425">
        <w:rPr>
          <w:rFonts w:ascii="CAIXA Std Book" w:hAnsi="CAIXA Std Book"/>
          <w:color w:val="005CA9"/>
          <w:sz w:val="16"/>
          <w:szCs w:val="16"/>
        </w:rPr>
        <w:t xml:space="preserve">/12/2025 - </w:t>
      </w:r>
      <w:r w:rsidR="00D06C93">
        <w:rPr>
          <w:rFonts w:ascii="CAIXA Std Book" w:hAnsi="CAIXA Std Book"/>
          <w:color w:val="005CA9"/>
          <w:sz w:val="16"/>
          <w:szCs w:val="16"/>
        </w:rPr>
        <w:t xml:space="preserve">R$ </w:t>
      </w:r>
      <w:r w:rsidR="0011563C" w:rsidRPr="00A75592">
        <w:rPr>
          <w:rFonts w:ascii="CAIXA Std Book" w:hAnsi="CAIXA Std Book"/>
          <w:color w:val="005CA9"/>
          <w:sz w:val="16"/>
          <w:szCs w:val="16"/>
        </w:rPr>
        <w:t>4.661.557</w:t>
      </w:r>
      <w:r w:rsidR="0011563C">
        <w:rPr>
          <w:rFonts w:ascii="CAIXA Std Book" w:hAnsi="CAIXA Std Book"/>
          <w:color w:val="005CA9"/>
          <w:sz w:val="16"/>
          <w:szCs w:val="16"/>
        </w:rPr>
        <w:t>)</w:t>
      </w:r>
      <w:r w:rsidR="00CD378B" w:rsidRPr="00E55EEF">
        <w:rPr>
          <w:rFonts w:ascii="CAIXA Std Book" w:eastAsia="Times New Roman" w:hAnsi="CAIXA Std Book" w:cs="Calibri"/>
          <w:color w:val="005CA9"/>
          <w:sz w:val="18"/>
          <w:szCs w:val="18"/>
        </w:rPr>
        <w:t xml:space="preserve"> </w:t>
      </w:r>
      <w:r w:rsidRPr="00A75592">
        <w:rPr>
          <w:rFonts w:ascii="CAIXA Std Book" w:hAnsi="CAIXA Std Book"/>
          <w:color w:val="005CA9"/>
          <w:sz w:val="16"/>
          <w:szCs w:val="16"/>
        </w:rPr>
        <w:t>líquido</w:t>
      </w:r>
      <w:r w:rsidRPr="00044373">
        <w:rPr>
          <w:rFonts w:ascii="CAIXA Std Book" w:hAnsi="CAIXA Std Book"/>
          <w:color w:val="005CA9"/>
          <w:sz w:val="16"/>
          <w:szCs w:val="16"/>
        </w:rPr>
        <w:t xml:space="preserve"> de provisão</w:t>
      </w:r>
      <w:r w:rsidR="009C3065">
        <w:rPr>
          <w:rFonts w:ascii="CAIXA Std Book" w:hAnsi="CAIXA Std Book"/>
          <w:color w:val="005CA9"/>
          <w:sz w:val="16"/>
          <w:szCs w:val="16"/>
        </w:rPr>
        <w:t xml:space="preserve"> </w:t>
      </w:r>
      <w:r w:rsidR="00A64CF7">
        <w:rPr>
          <w:rFonts w:ascii="CAIXA Std Book" w:hAnsi="CAIXA Std Book"/>
          <w:color w:val="005CA9"/>
          <w:sz w:val="16"/>
          <w:szCs w:val="16"/>
        </w:rPr>
        <w:t xml:space="preserve">para perdas </w:t>
      </w:r>
      <w:r w:rsidR="00753F1A">
        <w:rPr>
          <w:rFonts w:ascii="CAIXA Std Book" w:hAnsi="CAIXA Std Book"/>
          <w:color w:val="005CA9"/>
          <w:sz w:val="16"/>
          <w:szCs w:val="16"/>
        </w:rPr>
        <w:t>esperadas</w:t>
      </w:r>
      <w:r w:rsidRPr="00044373">
        <w:rPr>
          <w:rFonts w:ascii="CAIXA Std Book" w:hAnsi="CAIXA Std Book"/>
          <w:color w:val="005CA9"/>
          <w:sz w:val="16"/>
          <w:szCs w:val="16"/>
        </w:rPr>
        <w:t xml:space="preserve">. O CADMUT é o cadastro para registro das informações dos contratos de financiamento habitacional, ativos e inativos, firmados no âmbito do Sistema Financeiro da Habitação </w:t>
      </w:r>
      <w:r w:rsidR="007F4892">
        <w:rPr>
          <w:rFonts w:ascii="CAIXA Std Book" w:hAnsi="CAIXA Std Book"/>
          <w:color w:val="005CA9"/>
          <w:sz w:val="16"/>
          <w:szCs w:val="16"/>
        </w:rPr>
        <w:t>–</w:t>
      </w:r>
      <w:r w:rsidRPr="00044373">
        <w:rPr>
          <w:rFonts w:ascii="CAIXA Std Book" w:hAnsi="CAIXA Std Book"/>
          <w:color w:val="005CA9"/>
          <w:sz w:val="16"/>
          <w:szCs w:val="16"/>
        </w:rPr>
        <w:t xml:space="preserve"> SFH e dos programas habitacionais e sociais do governo federal, conforme disposto na Lei nº 10.150 de 21/12/2000</w:t>
      </w:r>
      <w:r w:rsidRPr="00B04D8D">
        <w:rPr>
          <w:rFonts w:ascii="CAIXA Std Book" w:hAnsi="CAIXA Std Book"/>
          <w:color w:val="005CA9"/>
          <w:sz w:val="16"/>
          <w:szCs w:val="16"/>
        </w:rPr>
        <w:t>.</w:t>
      </w:r>
    </w:p>
    <w:p w14:paraId="4B9C1936" w14:textId="5A28BCCF" w:rsidR="00F452F7" w:rsidRDefault="00F452F7" w:rsidP="002176AB">
      <w:pPr>
        <w:jc w:val="both"/>
        <w:rPr>
          <w:rFonts w:ascii="CAIXA Std Book" w:hAnsi="CAIXA Std Book"/>
          <w:color w:val="005CA9"/>
          <w:sz w:val="16"/>
          <w:szCs w:val="16"/>
        </w:rPr>
      </w:pPr>
      <w:r>
        <w:rPr>
          <w:rFonts w:ascii="CAIXA Std Book" w:hAnsi="CAIXA Std Book"/>
          <w:color w:val="005CA9"/>
          <w:sz w:val="16"/>
          <w:szCs w:val="16"/>
        </w:rPr>
        <w:t xml:space="preserve">(2) </w:t>
      </w:r>
      <w:r w:rsidR="00616EF1">
        <w:rPr>
          <w:rFonts w:ascii="CAIXA Std Book" w:hAnsi="CAIXA Std Book"/>
          <w:color w:val="005CA9"/>
          <w:sz w:val="16"/>
          <w:szCs w:val="16"/>
        </w:rPr>
        <w:t>A totalidade dos</w:t>
      </w:r>
      <w:r w:rsidR="00A1489B">
        <w:rPr>
          <w:rFonts w:ascii="CAIXA Std Book" w:hAnsi="CAIXA Std Book"/>
          <w:color w:val="005CA9"/>
          <w:sz w:val="16"/>
          <w:szCs w:val="16"/>
        </w:rPr>
        <w:t xml:space="preserve"> contratos com impedimento financeiro </w:t>
      </w:r>
      <w:r w:rsidR="00616EF1">
        <w:rPr>
          <w:rFonts w:ascii="CAIXA Std Book" w:hAnsi="CAIXA Std Book"/>
          <w:color w:val="005CA9"/>
          <w:sz w:val="16"/>
          <w:szCs w:val="16"/>
        </w:rPr>
        <w:t>estão classificados no estágio 3</w:t>
      </w:r>
      <w:r w:rsidR="008A30E9">
        <w:rPr>
          <w:rFonts w:ascii="CAIXA Std Book" w:hAnsi="CAIXA Std Book"/>
          <w:color w:val="005CA9"/>
          <w:sz w:val="16"/>
          <w:szCs w:val="16"/>
        </w:rPr>
        <w:t>.</w:t>
      </w:r>
    </w:p>
    <w:p w14:paraId="23EB5A33" w14:textId="77777777" w:rsidR="00AE5C30" w:rsidRDefault="00AE5C30" w:rsidP="00CD5387">
      <w:pPr>
        <w:autoSpaceDE w:val="0"/>
        <w:autoSpaceDN w:val="0"/>
        <w:adjustRightInd w:val="0"/>
        <w:spacing w:before="120" w:after="120"/>
        <w:jc w:val="both"/>
        <w:rPr>
          <w:rFonts w:ascii="CAIXA Std Book" w:hAnsi="CAIXA Std Book"/>
          <w:color w:val="005CA9"/>
          <w:sz w:val="20"/>
          <w:szCs w:val="20"/>
        </w:rPr>
      </w:pPr>
      <w:r w:rsidRPr="00B04D8D">
        <w:rPr>
          <w:rFonts w:ascii="CAIXA Std Book" w:hAnsi="CAIXA Std Book"/>
          <w:color w:val="005CA9"/>
          <w:sz w:val="20"/>
          <w:szCs w:val="20"/>
        </w:rPr>
        <w:t>Os contratos a serem ressarcidos pelo FCVS rendem juros de até 6,17% ao ano e são atualizados monetariamente de acordo com a variação da Taxa Referencial de Juros (TR) de acordo com a Lei nº 10.150, de 21 de dezembro de 2000, alterada pela Lei nº 13.932, de 11 de dezembro de 2019. A efetiva realização desses créditos depende da aderência a um conjunto de normas e procedimentos definidos em regulamentação emitida pelo FCVS.</w:t>
      </w:r>
    </w:p>
    <w:p w14:paraId="01C99F1C" w14:textId="0014F39F" w:rsidR="00041A77" w:rsidRPr="00420317" w:rsidRDefault="001838AD" w:rsidP="00420317">
      <w:pPr>
        <w:autoSpaceDE w:val="0"/>
        <w:autoSpaceDN w:val="0"/>
        <w:adjustRightInd w:val="0"/>
        <w:spacing w:before="120" w:after="120"/>
        <w:jc w:val="both"/>
        <w:rPr>
          <w:rFonts w:ascii="CAIXA Std Book" w:hAnsi="CAIXA Std Book"/>
          <w:color w:val="005CA9"/>
          <w:sz w:val="20"/>
          <w:szCs w:val="20"/>
        </w:rPr>
        <w:sectPr w:rsidR="00041A77" w:rsidRPr="00420317" w:rsidSect="006907F6">
          <w:footerReference w:type="default" r:id="rId56"/>
          <w:pgSz w:w="11906" w:h="16838" w:code="9"/>
          <w:pgMar w:top="1985" w:right="851" w:bottom="1418" w:left="1418" w:header="1134" w:footer="709" w:gutter="0"/>
          <w:cols w:space="708"/>
          <w:docGrid w:linePitch="360"/>
        </w:sectPr>
      </w:pPr>
      <w:r w:rsidRPr="001838AD">
        <w:rPr>
          <w:rFonts w:ascii="CAIXA Std Book" w:hAnsi="CAIXA Std Book"/>
          <w:color w:val="005CA9"/>
          <w:sz w:val="20"/>
          <w:szCs w:val="20"/>
        </w:rPr>
        <w:t>A apuração da provisão para o ativo do FCVS é realizada por um conjunto de regras, metodologia estatística e baseada em conceitos de risco operacional; uma vez que a novação dos créditos depende da documentação dos contratos, não há processo de crédito envolvido, ou seja, a constituição da provisão é para fazer frente às perdas esperadas decorrentes do processo de novação dos contratos cobertos pelo FCVS.</w:t>
      </w:r>
    </w:p>
    <w:p w14:paraId="632807DB" w14:textId="01DEEFED" w:rsidR="00807D87" w:rsidRDefault="00807D87" w:rsidP="00B735D2">
      <w:pPr>
        <w:pStyle w:val="Ttulo1"/>
      </w:pPr>
      <w:bookmarkStart w:id="97" w:name="_Toc217914331"/>
      <w:bookmarkStart w:id="98" w:name="_Toc229588481"/>
      <w:r w:rsidRPr="00E95E29">
        <w:t xml:space="preserve">Nota   </w:t>
      </w:r>
      <w:r w:rsidR="005464C5">
        <w:t xml:space="preserve">9 </w:t>
      </w:r>
      <w:r w:rsidRPr="00E95E29">
        <w:t xml:space="preserve">– </w:t>
      </w:r>
      <w:r w:rsidRPr="009D58B5">
        <w:t>Provisão para perdas esperadas associ</w:t>
      </w:r>
      <w:r w:rsidR="00C55B3D" w:rsidRPr="009D58B5">
        <w:t>adas aos instrumentos financeiros</w:t>
      </w:r>
      <w:bookmarkEnd w:id="97"/>
      <w:bookmarkEnd w:id="98"/>
    </w:p>
    <w:p w14:paraId="06711FF4" w14:textId="4783A6D9" w:rsidR="0018055D" w:rsidRDefault="0018055D" w:rsidP="00295657">
      <w:pPr>
        <w:pStyle w:val="PargrafodaLista"/>
        <w:numPr>
          <w:ilvl w:val="0"/>
          <w:numId w:val="29"/>
        </w:numPr>
        <w:spacing w:before="240" w:after="120"/>
        <w:ind w:left="567" w:hanging="567"/>
        <w:contextualSpacing w:val="0"/>
        <w:rPr>
          <w:rFonts w:ascii="CAIXA Std Book" w:hAnsi="CAIXA Std Book"/>
          <w:b/>
          <w:color w:val="005CA9"/>
          <w:sz w:val="20"/>
          <w:szCs w:val="20"/>
        </w:rPr>
      </w:pPr>
      <w:r w:rsidRPr="001B3F52">
        <w:rPr>
          <w:rFonts w:ascii="CAIXA Std Book" w:hAnsi="CAIXA Std Book"/>
          <w:b/>
          <w:color w:val="005CA9"/>
          <w:sz w:val="20"/>
          <w:szCs w:val="20"/>
        </w:rPr>
        <w:t xml:space="preserve">Perdas </w:t>
      </w:r>
      <w:r>
        <w:rPr>
          <w:rFonts w:ascii="CAIXA Std Book" w:hAnsi="CAIXA Std Book"/>
          <w:b/>
          <w:color w:val="005CA9"/>
          <w:sz w:val="20"/>
          <w:szCs w:val="20"/>
        </w:rPr>
        <w:t xml:space="preserve">esperadas </w:t>
      </w:r>
      <w:r w:rsidRPr="001B3F52">
        <w:rPr>
          <w:rFonts w:ascii="CAIXA Std Book" w:hAnsi="CAIXA Std Book"/>
          <w:b/>
          <w:color w:val="005CA9"/>
          <w:sz w:val="20"/>
          <w:szCs w:val="20"/>
        </w:rPr>
        <w:t>por classe</w:t>
      </w:r>
    </w:p>
    <w:tbl>
      <w:tblPr>
        <w:tblW w:w="5000" w:type="pct"/>
        <w:tblCellMar>
          <w:left w:w="70" w:type="dxa"/>
          <w:right w:w="70" w:type="dxa"/>
        </w:tblCellMar>
        <w:tblLook w:val="04A0" w:firstRow="1" w:lastRow="0" w:firstColumn="1" w:lastColumn="0" w:noHBand="0" w:noVBand="1"/>
      </w:tblPr>
      <w:tblGrid>
        <w:gridCol w:w="5526"/>
        <w:gridCol w:w="1507"/>
        <w:gridCol w:w="1506"/>
        <w:gridCol w:w="1509"/>
        <w:gridCol w:w="1506"/>
        <w:gridCol w:w="1506"/>
        <w:gridCol w:w="1509"/>
      </w:tblGrid>
      <w:tr w:rsidR="003B077A" w:rsidRPr="00B761B5" w14:paraId="58BF11A2" w14:textId="2BEA3FD0" w:rsidTr="00D91FED">
        <w:trPr>
          <w:trHeight w:val="283"/>
        </w:trPr>
        <w:tc>
          <w:tcPr>
            <w:tcW w:w="1896" w:type="pct"/>
            <w:vMerge w:val="restart"/>
            <w:shd w:val="clear" w:color="auto" w:fill="005CA9"/>
            <w:vAlign w:val="center"/>
            <w:hideMark/>
          </w:tcPr>
          <w:p w14:paraId="71E64013" w14:textId="01FEC5DD" w:rsidR="00951257" w:rsidRPr="00B761B5" w:rsidRDefault="00951257" w:rsidP="00B761B5">
            <w:pPr>
              <w:jc w:val="center"/>
              <w:rPr>
                <w:rFonts w:ascii="CAIXA Std Book" w:eastAsia="Times New Roman" w:hAnsi="CAIXA Std Book" w:cs="Calibri"/>
                <w:b/>
                <w:bCs/>
                <w:color w:val="FFFFFF"/>
                <w:sz w:val="18"/>
                <w:szCs w:val="18"/>
              </w:rPr>
            </w:pPr>
            <w:r w:rsidRPr="00B761B5">
              <w:rPr>
                <w:rFonts w:ascii="CAIXA Std Book" w:eastAsia="Times New Roman" w:hAnsi="CAIXA Std Book" w:cs="Calibri"/>
                <w:b/>
                <w:bCs/>
                <w:color w:val="FFFFFF"/>
                <w:sz w:val="18"/>
                <w:szCs w:val="18"/>
              </w:rPr>
              <w:t>Descrição</w:t>
            </w:r>
          </w:p>
        </w:tc>
        <w:tc>
          <w:tcPr>
            <w:tcW w:w="3104" w:type="pct"/>
            <w:gridSpan w:val="6"/>
            <w:tcBorders>
              <w:bottom w:val="single" w:sz="4" w:space="0" w:color="FFFFFF" w:themeColor="background1"/>
            </w:tcBorders>
            <w:shd w:val="clear" w:color="auto" w:fill="005CA9"/>
            <w:vAlign w:val="center"/>
          </w:tcPr>
          <w:p w14:paraId="549ED25F" w14:textId="211154CC" w:rsidR="00951257" w:rsidRPr="00B761B5" w:rsidRDefault="00B82473" w:rsidP="00B761B5">
            <w:pPr>
              <w:jc w:val="center"/>
              <w:rPr>
                <w:rFonts w:ascii="CAIXA Std Book" w:eastAsia="Times New Roman" w:hAnsi="CAIXA Std Book" w:cs="Calibri"/>
                <w:b/>
                <w:bCs/>
                <w:color w:val="FFFFFF"/>
                <w:sz w:val="18"/>
                <w:szCs w:val="18"/>
              </w:rPr>
            </w:pPr>
            <w:r w:rsidRPr="00B761B5">
              <w:rPr>
                <w:rFonts w:ascii="CAIXA Std Book" w:eastAsia="Times New Roman" w:hAnsi="CAIXA Std Book" w:cs="Calibri"/>
                <w:b/>
                <w:bCs/>
                <w:color w:val="FFFFFF"/>
                <w:sz w:val="18"/>
                <w:szCs w:val="18"/>
              </w:rPr>
              <w:t>Individual</w:t>
            </w:r>
          </w:p>
        </w:tc>
      </w:tr>
      <w:tr w:rsidR="003B077A" w:rsidRPr="00B761B5" w14:paraId="1B6A15C6" w14:textId="3A192213" w:rsidTr="00D91FED">
        <w:trPr>
          <w:trHeight w:val="283"/>
        </w:trPr>
        <w:tc>
          <w:tcPr>
            <w:tcW w:w="1896" w:type="pct"/>
            <w:vMerge/>
            <w:shd w:val="clear" w:color="auto" w:fill="005CA9"/>
            <w:vAlign w:val="center"/>
            <w:hideMark/>
          </w:tcPr>
          <w:p w14:paraId="35144F1D" w14:textId="3B83CED8" w:rsidR="00951257" w:rsidRPr="00B761B5" w:rsidRDefault="00951257" w:rsidP="00B761B5">
            <w:pPr>
              <w:jc w:val="center"/>
              <w:rPr>
                <w:rFonts w:ascii="CAIXA Std Book" w:eastAsia="Times New Roman" w:hAnsi="CAIXA Std Book" w:cs="Calibri"/>
                <w:b/>
                <w:bCs/>
                <w:color w:val="FFFFFF"/>
                <w:sz w:val="18"/>
                <w:szCs w:val="18"/>
              </w:rPr>
            </w:pPr>
          </w:p>
        </w:tc>
        <w:tc>
          <w:tcPr>
            <w:tcW w:w="1552" w:type="pct"/>
            <w:gridSpan w:val="3"/>
            <w:tcBorders>
              <w:top w:val="single" w:sz="4" w:space="0" w:color="FFFFFF" w:themeColor="background1"/>
              <w:bottom w:val="single" w:sz="4" w:space="0" w:color="FFFFFF" w:themeColor="background1"/>
            </w:tcBorders>
            <w:shd w:val="clear" w:color="auto" w:fill="005CA9"/>
            <w:vAlign w:val="center"/>
            <w:hideMark/>
          </w:tcPr>
          <w:p w14:paraId="1F0E8311" w14:textId="5E3247C9" w:rsidR="00841603" w:rsidRPr="00B761B5" w:rsidRDefault="00841603" w:rsidP="00B761B5">
            <w:pPr>
              <w:jc w:val="center"/>
              <w:rPr>
                <w:rFonts w:ascii="CAIXA Std Book" w:eastAsia="Times New Roman" w:hAnsi="CAIXA Std Book" w:cs="Calibri"/>
                <w:b/>
                <w:bCs/>
                <w:color w:val="FFFFFF"/>
                <w:sz w:val="18"/>
                <w:szCs w:val="18"/>
              </w:rPr>
            </w:pPr>
            <w:r w:rsidRPr="00B761B5">
              <w:rPr>
                <w:rFonts w:ascii="CAIXA Std Book" w:eastAsia="Times New Roman" w:hAnsi="CAIXA Std Book" w:cs="Calibri"/>
                <w:b/>
                <w:bCs/>
                <w:color w:val="FFFFFF"/>
                <w:sz w:val="18"/>
                <w:szCs w:val="18"/>
              </w:rPr>
              <w:t>3</w:t>
            </w:r>
            <w:r w:rsidR="00153683">
              <w:rPr>
                <w:rFonts w:ascii="CAIXA Std Book" w:eastAsia="Times New Roman" w:hAnsi="CAIXA Std Book" w:cs="Calibri"/>
                <w:b/>
                <w:bCs/>
                <w:color w:val="FFFFFF"/>
                <w:sz w:val="18"/>
                <w:szCs w:val="18"/>
              </w:rPr>
              <w:t>1</w:t>
            </w:r>
            <w:r w:rsidRPr="00B761B5">
              <w:rPr>
                <w:rFonts w:ascii="CAIXA Std Book" w:eastAsia="Times New Roman" w:hAnsi="CAIXA Std Book" w:cs="Calibri"/>
                <w:b/>
                <w:bCs/>
                <w:color w:val="FFFFFF"/>
                <w:sz w:val="18"/>
                <w:szCs w:val="18"/>
              </w:rPr>
              <w:t>/</w:t>
            </w:r>
            <w:r w:rsidR="00FA742C">
              <w:rPr>
                <w:rFonts w:ascii="CAIXA Std Book" w:eastAsia="Times New Roman" w:hAnsi="CAIXA Std Book" w:cs="Calibri"/>
                <w:b/>
                <w:bCs/>
                <w:color w:val="FFFFFF"/>
                <w:sz w:val="18"/>
                <w:szCs w:val="18"/>
              </w:rPr>
              <w:t>03/2026</w:t>
            </w:r>
          </w:p>
        </w:tc>
        <w:tc>
          <w:tcPr>
            <w:tcW w:w="1552" w:type="pct"/>
            <w:gridSpan w:val="3"/>
            <w:tcBorders>
              <w:top w:val="single" w:sz="4" w:space="0" w:color="FFFFFF" w:themeColor="background1"/>
              <w:bottom w:val="single" w:sz="4" w:space="0" w:color="FFFFFF" w:themeColor="background1"/>
            </w:tcBorders>
            <w:shd w:val="clear" w:color="auto" w:fill="005CA9"/>
            <w:vAlign w:val="center"/>
          </w:tcPr>
          <w:p w14:paraId="713D052C" w14:textId="5F5ADBDE" w:rsidR="00951257" w:rsidRPr="00B761B5" w:rsidRDefault="00951257" w:rsidP="00B761B5">
            <w:pPr>
              <w:jc w:val="center"/>
              <w:rPr>
                <w:rFonts w:ascii="CAIXA Std Book" w:eastAsia="Times New Roman" w:hAnsi="CAIXA Std Book" w:cs="Calibri"/>
                <w:b/>
                <w:bCs/>
                <w:color w:val="FFFFFF"/>
                <w:sz w:val="18"/>
                <w:szCs w:val="18"/>
              </w:rPr>
            </w:pPr>
            <w:r w:rsidRPr="00B761B5">
              <w:rPr>
                <w:rFonts w:ascii="CAIXA Std Book" w:eastAsia="Times New Roman" w:hAnsi="CAIXA Std Book" w:cs="Calibri"/>
                <w:b/>
                <w:bCs/>
                <w:color w:val="FFFFFF"/>
                <w:sz w:val="18"/>
                <w:szCs w:val="18"/>
              </w:rPr>
              <w:t>3</w:t>
            </w:r>
            <w:r w:rsidR="00153683">
              <w:rPr>
                <w:rFonts w:ascii="CAIXA Std Book" w:eastAsia="Times New Roman" w:hAnsi="CAIXA Std Book" w:cs="Calibri"/>
                <w:b/>
                <w:bCs/>
                <w:color w:val="FFFFFF"/>
                <w:sz w:val="18"/>
                <w:szCs w:val="18"/>
              </w:rPr>
              <w:t>1</w:t>
            </w:r>
            <w:r w:rsidRPr="00B761B5">
              <w:rPr>
                <w:rFonts w:ascii="CAIXA Std Book" w:eastAsia="Times New Roman" w:hAnsi="CAIXA Std Book" w:cs="Calibri"/>
                <w:b/>
                <w:bCs/>
                <w:color w:val="FFFFFF"/>
                <w:sz w:val="18"/>
                <w:szCs w:val="18"/>
              </w:rPr>
              <w:t>/</w:t>
            </w:r>
            <w:r w:rsidR="005776BB">
              <w:rPr>
                <w:rFonts w:ascii="CAIXA Std Book" w:eastAsia="Times New Roman" w:hAnsi="CAIXA Std Book" w:cs="Calibri"/>
                <w:b/>
                <w:bCs/>
                <w:color w:val="FFFFFF"/>
                <w:sz w:val="18"/>
                <w:szCs w:val="18"/>
              </w:rPr>
              <w:t>12</w:t>
            </w:r>
            <w:r w:rsidRPr="00B761B5">
              <w:rPr>
                <w:rFonts w:ascii="CAIXA Std Book" w:eastAsia="Times New Roman" w:hAnsi="CAIXA Std Book" w:cs="Calibri"/>
                <w:b/>
                <w:bCs/>
                <w:color w:val="FFFFFF"/>
                <w:sz w:val="18"/>
                <w:szCs w:val="18"/>
              </w:rPr>
              <w:t>/2025</w:t>
            </w:r>
          </w:p>
        </w:tc>
      </w:tr>
      <w:tr w:rsidR="0015386D" w:rsidRPr="00B761B5" w14:paraId="3C3E0177" w14:textId="59D426B3" w:rsidTr="00D91FED">
        <w:trPr>
          <w:trHeight w:val="283"/>
        </w:trPr>
        <w:tc>
          <w:tcPr>
            <w:tcW w:w="1896" w:type="pct"/>
            <w:vMerge/>
            <w:shd w:val="clear" w:color="auto" w:fill="005CA9"/>
            <w:vAlign w:val="center"/>
            <w:hideMark/>
          </w:tcPr>
          <w:p w14:paraId="4FD1FBE9" w14:textId="77777777" w:rsidR="00951257" w:rsidRPr="00B761B5" w:rsidRDefault="00951257" w:rsidP="00951257">
            <w:pPr>
              <w:rPr>
                <w:rFonts w:ascii="CAIXA Std Book" w:eastAsia="Times New Roman" w:hAnsi="CAIXA Std Book" w:cs="Calibri"/>
                <w:b/>
                <w:bCs/>
                <w:color w:val="FFFFFF"/>
                <w:sz w:val="18"/>
                <w:szCs w:val="18"/>
              </w:rPr>
            </w:pPr>
          </w:p>
        </w:tc>
        <w:tc>
          <w:tcPr>
            <w:tcW w:w="517" w:type="pct"/>
            <w:tcBorders>
              <w:top w:val="single" w:sz="4" w:space="0" w:color="FFFFFF" w:themeColor="background1"/>
            </w:tcBorders>
            <w:shd w:val="clear" w:color="auto" w:fill="005CA9"/>
            <w:vAlign w:val="center"/>
            <w:hideMark/>
          </w:tcPr>
          <w:p w14:paraId="45B9EF36" w14:textId="77777777" w:rsidR="00951257" w:rsidRPr="00B761B5" w:rsidRDefault="00951257" w:rsidP="00AF4C33">
            <w:pPr>
              <w:jc w:val="center"/>
              <w:rPr>
                <w:rFonts w:ascii="CAIXA Std Book" w:eastAsia="Times New Roman" w:hAnsi="CAIXA Std Book" w:cs="Calibri"/>
                <w:b/>
                <w:bCs/>
                <w:color w:val="FFFFFF"/>
                <w:sz w:val="18"/>
                <w:szCs w:val="18"/>
              </w:rPr>
            </w:pPr>
            <w:r w:rsidRPr="00B761B5">
              <w:rPr>
                <w:rFonts w:ascii="CAIXA Std Book" w:eastAsia="Times New Roman" w:hAnsi="CAIXA Std Book" w:cs="Calibri"/>
                <w:b/>
                <w:bCs/>
                <w:color w:val="FFFFFF"/>
                <w:sz w:val="18"/>
                <w:szCs w:val="18"/>
              </w:rPr>
              <w:t>Perda incorrida</w:t>
            </w:r>
          </w:p>
        </w:tc>
        <w:tc>
          <w:tcPr>
            <w:tcW w:w="517" w:type="pct"/>
            <w:tcBorders>
              <w:top w:val="single" w:sz="4" w:space="0" w:color="FFFFFF" w:themeColor="background1"/>
            </w:tcBorders>
            <w:shd w:val="clear" w:color="auto" w:fill="005CA9"/>
            <w:vAlign w:val="center"/>
            <w:hideMark/>
          </w:tcPr>
          <w:p w14:paraId="091AD518" w14:textId="77777777" w:rsidR="00951257" w:rsidRPr="00B761B5" w:rsidRDefault="00951257" w:rsidP="00AF4C33">
            <w:pPr>
              <w:jc w:val="center"/>
              <w:rPr>
                <w:rFonts w:ascii="CAIXA Std Book" w:eastAsia="Times New Roman" w:hAnsi="CAIXA Std Book" w:cs="Calibri"/>
                <w:b/>
                <w:bCs/>
                <w:color w:val="FFFFFF"/>
                <w:sz w:val="18"/>
                <w:szCs w:val="18"/>
              </w:rPr>
            </w:pPr>
            <w:r w:rsidRPr="00B761B5">
              <w:rPr>
                <w:rFonts w:ascii="CAIXA Std Book" w:eastAsia="Times New Roman" w:hAnsi="CAIXA Std Book" w:cs="Calibri"/>
                <w:b/>
                <w:bCs/>
                <w:color w:val="FFFFFF"/>
                <w:sz w:val="18"/>
                <w:szCs w:val="18"/>
              </w:rPr>
              <w:t>Perda esperada</w:t>
            </w:r>
          </w:p>
        </w:tc>
        <w:tc>
          <w:tcPr>
            <w:tcW w:w="518" w:type="pct"/>
            <w:tcBorders>
              <w:top w:val="single" w:sz="4" w:space="0" w:color="FFFFFF" w:themeColor="background1"/>
            </w:tcBorders>
            <w:shd w:val="clear" w:color="auto" w:fill="005CA9"/>
            <w:vAlign w:val="center"/>
            <w:hideMark/>
          </w:tcPr>
          <w:p w14:paraId="656DB177" w14:textId="77777777" w:rsidR="00951257" w:rsidRPr="00B761B5" w:rsidRDefault="00951257" w:rsidP="00AF4C33">
            <w:pPr>
              <w:jc w:val="center"/>
              <w:rPr>
                <w:rFonts w:ascii="CAIXA Std Book" w:eastAsia="Times New Roman" w:hAnsi="CAIXA Std Book" w:cs="Calibri"/>
                <w:b/>
                <w:bCs/>
                <w:color w:val="FFFFFF"/>
                <w:sz w:val="18"/>
                <w:szCs w:val="18"/>
              </w:rPr>
            </w:pPr>
            <w:r w:rsidRPr="00B761B5">
              <w:rPr>
                <w:rFonts w:ascii="CAIXA Std Book" w:eastAsia="Times New Roman" w:hAnsi="CAIXA Std Book" w:cs="Calibri"/>
                <w:b/>
                <w:bCs/>
                <w:color w:val="FFFFFF"/>
                <w:sz w:val="18"/>
                <w:szCs w:val="18"/>
              </w:rPr>
              <w:t>Total</w:t>
            </w:r>
          </w:p>
        </w:tc>
        <w:tc>
          <w:tcPr>
            <w:tcW w:w="517" w:type="pct"/>
            <w:tcBorders>
              <w:top w:val="single" w:sz="4" w:space="0" w:color="FFFFFF" w:themeColor="background1"/>
            </w:tcBorders>
            <w:shd w:val="clear" w:color="auto" w:fill="005CA9"/>
            <w:vAlign w:val="center"/>
          </w:tcPr>
          <w:p w14:paraId="4A888B2A" w14:textId="3F375B17" w:rsidR="00951257" w:rsidRPr="00B761B5" w:rsidRDefault="00951257" w:rsidP="00AF4C33">
            <w:pPr>
              <w:jc w:val="center"/>
              <w:rPr>
                <w:rFonts w:ascii="CAIXA Std Book" w:eastAsia="Times New Roman" w:hAnsi="CAIXA Std Book" w:cs="Calibri"/>
                <w:b/>
                <w:bCs/>
                <w:color w:val="FFFFFF"/>
                <w:sz w:val="18"/>
                <w:szCs w:val="18"/>
              </w:rPr>
            </w:pPr>
            <w:r w:rsidRPr="00B761B5">
              <w:rPr>
                <w:rFonts w:ascii="CAIXA Std Book" w:eastAsia="Times New Roman" w:hAnsi="CAIXA Std Book" w:cs="Calibri"/>
                <w:b/>
                <w:bCs/>
                <w:color w:val="FFFFFF"/>
                <w:sz w:val="18"/>
                <w:szCs w:val="18"/>
              </w:rPr>
              <w:t>Perda incorrida</w:t>
            </w:r>
          </w:p>
        </w:tc>
        <w:tc>
          <w:tcPr>
            <w:tcW w:w="517" w:type="pct"/>
            <w:tcBorders>
              <w:top w:val="single" w:sz="4" w:space="0" w:color="FFFFFF" w:themeColor="background1"/>
            </w:tcBorders>
            <w:shd w:val="clear" w:color="auto" w:fill="005CA9"/>
            <w:vAlign w:val="center"/>
          </w:tcPr>
          <w:p w14:paraId="18DD3468" w14:textId="49AE5C65" w:rsidR="00951257" w:rsidRPr="00B761B5" w:rsidRDefault="00951257" w:rsidP="00AF4C33">
            <w:pPr>
              <w:jc w:val="center"/>
              <w:rPr>
                <w:rFonts w:ascii="CAIXA Std Book" w:eastAsia="Times New Roman" w:hAnsi="CAIXA Std Book" w:cs="Calibri"/>
                <w:b/>
                <w:bCs/>
                <w:color w:val="FFFFFF"/>
                <w:sz w:val="18"/>
                <w:szCs w:val="18"/>
              </w:rPr>
            </w:pPr>
            <w:r w:rsidRPr="00B761B5">
              <w:rPr>
                <w:rFonts w:ascii="CAIXA Std Book" w:eastAsia="Times New Roman" w:hAnsi="CAIXA Std Book" w:cs="Calibri"/>
                <w:b/>
                <w:bCs/>
                <w:color w:val="FFFFFF"/>
                <w:sz w:val="18"/>
                <w:szCs w:val="18"/>
              </w:rPr>
              <w:t>Perda esperada</w:t>
            </w:r>
          </w:p>
        </w:tc>
        <w:tc>
          <w:tcPr>
            <w:tcW w:w="518" w:type="pct"/>
            <w:tcBorders>
              <w:top w:val="single" w:sz="4" w:space="0" w:color="FFFFFF" w:themeColor="background1"/>
            </w:tcBorders>
            <w:shd w:val="clear" w:color="auto" w:fill="005CA9"/>
            <w:vAlign w:val="center"/>
          </w:tcPr>
          <w:p w14:paraId="3ADD9970" w14:textId="411B5CC4" w:rsidR="00951257" w:rsidRPr="00B761B5" w:rsidRDefault="00951257" w:rsidP="00AF4C33">
            <w:pPr>
              <w:jc w:val="center"/>
              <w:rPr>
                <w:rFonts w:ascii="CAIXA Std Book" w:eastAsia="Times New Roman" w:hAnsi="CAIXA Std Book" w:cs="Calibri"/>
                <w:b/>
                <w:bCs/>
                <w:color w:val="FFFFFF"/>
                <w:sz w:val="18"/>
                <w:szCs w:val="18"/>
              </w:rPr>
            </w:pPr>
            <w:r w:rsidRPr="00B761B5">
              <w:rPr>
                <w:rFonts w:ascii="CAIXA Std Book" w:eastAsia="Times New Roman" w:hAnsi="CAIXA Std Book" w:cs="Calibri"/>
                <w:b/>
                <w:bCs/>
                <w:color w:val="FFFFFF"/>
                <w:sz w:val="18"/>
                <w:szCs w:val="18"/>
              </w:rPr>
              <w:t>Total</w:t>
            </w:r>
          </w:p>
        </w:tc>
      </w:tr>
      <w:tr w:rsidR="0015386D" w:rsidRPr="00B761B5" w14:paraId="6ADA5B01" w14:textId="7317E4A9" w:rsidTr="00D91FED">
        <w:trPr>
          <w:trHeight w:val="283"/>
        </w:trPr>
        <w:tc>
          <w:tcPr>
            <w:tcW w:w="1896" w:type="pct"/>
            <w:shd w:val="clear" w:color="auto" w:fill="D0E0E3"/>
            <w:noWrap/>
            <w:vAlign w:val="center"/>
            <w:hideMark/>
          </w:tcPr>
          <w:p w14:paraId="31CB06E7" w14:textId="77777777" w:rsidR="00637A30" w:rsidRPr="00B761B5" w:rsidRDefault="00637A30" w:rsidP="00637A30">
            <w:pPr>
              <w:rPr>
                <w:rFonts w:ascii="CAIXA Std Book" w:eastAsia="Times New Roman" w:hAnsi="CAIXA Std Book" w:cs="Calibri"/>
                <w:b/>
                <w:bCs/>
                <w:color w:val="005CA9"/>
                <w:sz w:val="18"/>
                <w:szCs w:val="18"/>
              </w:rPr>
            </w:pPr>
            <w:r w:rsidRPr="00B761B5">
              <w:rPr>
                <w:rFonts w:ascii="CAIXA Std Book" w:eastAsia="Times New Roman" w:hAnsi="CAIXA Std Book" w:cs="Calibri"/>
                <w:b/>
                <w:bCs/>
                <w:color w:val="005CA9"/>
                <w:sz w:val="18"/>
                <w:szCs w:val="18"/>
              </w:rPr>
              <w:t>Ativos financeiros</w:t>
            </w:r>
          </w:p>
        </w:tc>
        <w:tc>
          <w:tcPr>
            <w:tcW w:w="517" w:type="pct"/>
            <w:shd w:val="clear" w:color="000000" w:fill="D0E0E3"/>
            <w:noWrap/>
            <w:vAlign w:val="center"/>
          </w:tcPr>
          <w:p w14:paraId="54D48922" w14:textId="233FA253" w:rsidR="00637A30" w:rsidRPr="00B761B5" w:rsidRDefault="004C600A" w:rsidP="00637A30">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(29.854.</w:t>
            </w:r>
            <w:r w:rsidR="006441A0">
              <w:rPr>
                <w:rFonts w:ascii="CAIXA Std Book" w:hAnsi="CAIXA Std Book" w:cs="Calibri"/>
                <w:b/>
                <w:bCs/>
                <w:color w:val="005CA9"/>
                <w:sz w:val="18"/>
                <w:szCs w:val="18"/>
              </w:rPr>
              <w:t>220</w:t>
            </w:r>
            <w:r>
              <w:rPr>
                <w:rFonts w:ascii="CAIXA Std Book" w:hAnsi="CAIXA Std Book" w:cs="Calibri"/>
                <w:b/>
                <w:bCs/>
                <w:color w:val="005CA9"/>
                <w:sz w:val="18"/>
                <w:szCs w:val="18"/>
              </w:rPr>
              <w:t>)</w:t>
            </w:r>
          </w:p>
        </w:tc>
        <w:tc>
          <w:tcPr>
            <w:tcW w:w="517" w:type="pct"/>
            <w:shd w:val="clear" w:color="000000" w:fill="D0E0E3"/>
            <w:noWrap/>
            <w:vAlign w:val="center"/>
          </w:tcPr>
          <w:p w14:paraId="789DC68C" w14:textId="33EF07D4" w:rsidR="00637A30" w:rsidRPr="00B761B5" w:rsidRDefault="004C600A" w:rsidP="00637A30">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(39.259.246)</w:t>
            </w:r>
          </w:p>
        </w:tc>
        <w:tc>
          <w:tcPr>
            <w:tcW w:w="518" w:type="pct"/>
            <w:shd w:val="clear" w:color="000000" w:fill="D0E0E3"/>
            <w:noWrap/>
            <w:vAlign w:val="center"/>
          </w:tcPr>
          <w:p w14:paraId="57D6E9F6" w14:textId="0DE01413" w:rsidR="00637A30" w:rsidRPr="00B761B5" w:rsidRDefault="004C600A" w:rsidP="00637A30">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(69.113.</w:t>
            </w:r>
            <w:r w:rsidR="006441A0">
              <w:rPr>
                <w:rFonts w:ascii="CAIXA Std Book" w:hAnsi="CAIXA Std Book" w:cs="Calibri"/>
                <w:b/>
                <w:bCs/>
                <w:color w:val="005CA9"/>
                <w:sz w:val="18"/>
                <w:szCs w:val="18"/>
              </w:rPr>
              <w:t>466</w:t>
            </w:r>
            <w:r>
              <w:rPr>
                <w:rFonts w:ascii="CAIXA Std Book" w:hAnsi="CAIXA Std Book" w:cs="Calibri"/>
                <w:b/>
                <w:bCs/>
                <w:color w:val="005CA9"/>
                <w:sz w:val="18"/>
                <w:szCs w:val="18"/>
              </w:rPr>
              <w:t>)</w:t>
            </w:r>
          </w:p>
        </w:tc>
        <w:tc>
          <w:tcPr>
            <w:tcW w:w="517" w:type="pct"/>
            <w:shd w:val="clear" w:color="000000" w:fill="D0E0E3"/>
            <w:vAlign w:val="center"/>
          </w:tcPr>
          <w:p w14:paraId="4686FFB8" w14:textId="0092D004" w:rsidR="00637A30" w:rsidRPr="00B761B5" w:rsidRDefault="00165042" w:rsidP="00033701">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(26.074.767)</w:t>
            </w:r>
          </w:p>
        </w:tc>
        <w:tc>
          <w:tcPr>
            <w:tcW w:w="517" w:type="pct"/>
            <w:shd w:val="clear" w:color="000000" w:fill="D0E0E3"/>
            <w:vAlign w:val="center"/>
          </w:tcPr>
          <w:p w14:paraId="4D34E61C" w14:textId="6D173FAB" w:rsidR="00637A30" w:rsidRPr="00B761B5" w:rsidRDefault="002F1958" w:rsidP="00033701">
            <w:pPr>
              <w:jc w:val="right"/>
              <w:rPr>
                <w:rFonts w:ascii="CAIXA Std Book" w:eastAsia="Times New Roman" w:hAnsi="CAIXA Std Book" w:cs="Calibri"/>
                <w:b/>
                <w:bCs/>
                <w:color w:val="005CA9"/>
                <w:sz w:val="18"/>
                <w:szCs w:val="18"/>
              </w:rPr>
            </w:pPr>
            <w:r>
              <w:rPr>
                <w:rFonts w:ascii="CAIXA Std Book" w:hAnsi="CAIXA Std Book" w:cs="Calibri"/>
                <w:b/>
                <w:color w:val="005CA9"/>
                <w:sz w:val="18"/>
                <w:szCs w:val="18"/>
              </w:rPr>
              <w:t>(39.</w:t>
            </w:r>
            <w:r w:rsidR="00165042">
              <w:rPr>
                <w:rFonts w:ascii="CAIXA Std Book" w:hAnsi="CAIXA Std Book" w:cs="Calibri"/>
                <w:b/>
                <w:bCs/>
                <w:color w:val="005CA9"/>
                <w:sz w:val="18"/>
                <w:szCs w:val="18"/>
              </w:rPr>
              <w:t>316.627</w:t>
            </w:r>
            <w:r>
              <w:rPr>
                <w:rFonts w:ascii="CAIXA Std Book" w:hAnsi="CAIXA Std Book" w:cs="Calibri"/>
                <w:b/>
                <w:color w:val="005CA9"/>
                <w:sz w:val="18"/>
                <w:szCs w:val="18"/>
              </w:rPr>
              <w:t>)</w:t>
            </w:r>
          </w:p>
        </w:tc>
        <w:tc>
          <w:tcPr>
            <w:tcW w:w="518" w:type="pct"/>
            <w:shd w:val="clear" w:color="000000" w:fill="D0E0E3"/>
            <w:vAlign w:val="center"/>
          </w:tcPr>
          <w:p w14:paraId="76AC2E7D" w14:textId="04B7B39C" w:rsidR="00637A30" w:rsidRPr="00DC7E09" w:rsidRDefault="00165042" w:rsidP="00DE2A08">
            <w:pPr>
              <w:jc w:val="right"/>
              <w:rPr>
                <w:rFonts w:ascii="CAIXA Std Book" w:hAnsi="CAIXA Std Book"/>
                <w:b/>
                <w:color w:val="005CA9"/>
                <w:sz w:val="18"/>
                <w:szCs w:val="18"/>
              </w:rPr>
            </w:pPr>
            <w:r>
              <w:rPr>
                <w:rFonts w:ascii="CAIXA Std Book" w:hAnsi="CAIXA Std Book" w:cs="Calibri"/>
                <w:b/>
                <w:bCs/>
                <w:color w:val="005CA9"/>
                <w:sz w:val="18"/>
                <w:szCs w:val="18"/>
              </w:rPr>
              <w:t>(65.391.394)</w:t>
            </w:r>
          </w:p>
        </w:tc>
      </w:tr>
      <w:tr w:rsidR="0015386D" w:rsidRPr="00B761B5" w14:paraId="4674AFF9" w14:textId="134AA602" w:rsidTr="00D91FED">
        <w:trPr>
          <w:trHeight w:val="283"/>
        </w:trPr>
        <w:tc>
          <w:tcPr>
            <w:tcW w:w="1896" w:type="pct"/>
            <w:shd w:val="clear" w:color="000000" w:fill="FFFFFF"/>
            <w:noWrap/>
            <w:vAlign w:val="center"/>
            <w:hideMark/>
          </w:tcPr>
          <w:p w14:paraId="55E230FE" w14:textId="77777777" w:rsidR="009C45ED" w:rsidRPr="00B761B5" w:rsidRDefault="009C45ED" w:rsidP="009C45ED">
            <w:pPr>
              <w:ind w:firstLineChars="100" w:firstLine="180"/>
              <w:rPr>
                <w:rFonts w:ascii="CAIXA Std Book" w:eastAsia="Times New Roman" w:hAnsi="CAIXA Std Book" w:cs="Calibri"/>
                <w:color w:val="005CA9"/>
                <w:sz w:val="18"/>
                <w:szCs w:val="18"/>
              </w:rPr>
            </w:pPr>
            <w:r w:rsidRPr="00B761B5">
              <w:rPr>
                <w:rFonts w:ascii="CAIXA Std Book" w:eastAsia="Times New Roman" w:hAnsi="CAIXA Std Book" w:cs="Calibri"/>
                <w:color w:val="005CA9"/>
                <w:sz w:val="18"/>
                <w:szCs w:val="18"/>
              </w:rPr>
              <w:t>Títulos e valores mobiliários</w:t>
            </w:r>
          </w:p>
        </w:tc>
        <w:tc>
          <w:tcPr>
            <w:tcW w:w="517" w:type="pct"/>
            <w:shd w:val="clear" w:color="000000" w:fill="FFFFFF"/>
            <w:noWrap/>
            <w:vAlign w:val="center"/>
          </w:tcPr>
          <w:p w14:paraId="617E7562" w14:textId="131B5866" w:rsidR="009C45ED" w:rsidRPr="00126560" w:rsidRDefault="00126560" w:rsidP="00126560">
            <w:pPr>
              <w:jc w:val="center"/>
              <w:rPr>
                <w:rFonts w:ascii="CAIXA Std Book" w:hAnsi="CAIXA Std Book" w:cs="Calibri"/>
                <w:color w:val="005CA9"/>
                <w:sz w:val="18"/>
                <w:szCs w:val="18"/>
              </w:rPr>
            </w:pPr>
            <w:r w:rsidRPr="00126560">
              <w:rPr>
                <w:rFonts w:ascii="CAIXA Std Book" w:hAnsi="CAIXA Std Book" w:cs="Calibri"/>
                <w:color w:val="005CA9"/>
                <w:sz w:val="18"/>
                <w:szCs w:val="18"/>
              </w:rPr>
              <w:t>-</w:t>
            </w:r>
          </w:p>
        </w:tc>
        <w:tc>
          <w:tcPr>
            <w:tcW w:w="517" w:type="pct"/>
            <w:shd w:val="clear" w:color="000000" w:fill="FFFFFF"/>
            <w:noWrap/>
            <w:vAlign w:val="center"/>
          </w:tcPr>
          <w:p w14:paraId="4B6A2D22" w14:textId="63B7301D" w:rsidR="009C45ED" w:rsidRPr="00126560" w:rsidRDefault="00126560" w:rsidP="00126560">
            <w:pPr>
              <w:jc w:val="right"/>
              <w:rPr>
                <w:rFonts w:ascii="CAIXA Std Book" w:hAnsi="CAIXA Std Book" w:cs="Calibri"/>
                <w:color w:val="005CA9"/>
                <w:sz w:val="18"/>
                <w:szCs w:val="18"/>
              </w:rPr>
            </w:pPr>
            <w:r w:rsidRPr="00126560">
              <w:rPr>
                <w:rFonts w:ascii="CAIXA Std Book" w:hAnsi="CAIXA Std Book" w:cs="Calibri"/>
                <w:color w:val="005CA9"/>
                <w:sz w:val="18"/>
                <w:szCs w:val="18"/>
              </w:rPr>
              <w:t>(499.344</w:t>
            </w:r>
            <w:r>
              <w:rPr>
                <w:rFonts w:ascii="CAIXA Std Book" w:hAnsi="CAIXA Std Book" w:cs="Calibri"/>
                <w:color w:val="005CA9"/>
                <w:sz w:val="18"/>
                <w:szCs w:val="18"/>
              </w:rPr>
              <w:t>)</w:t>
            </w:r>
          </w:p>
        </w:tc>
        <w:tc>
          <w:tcPr>
            <w:tcW w:w="518" w:type="pct"/>
            <w:shd w:val="clear" w:color="000000" w:fill="FFFFFF"/>
            <w:noWrap/>
            <w:vAlign w:val="center"/>
          </w:tcPr>
          <w:p w14:paraId="435246D8" w14:textId="5BED764A" w:rsidR="009C45ED" w:rsidRPr="00126560" w:rsidRDefault="00126560" w:rsidP="00126560">
            <w:pPr>
              <w:jc w:val="right"/>
              <w:rPr>
                <w:rFonts w:ascii="CAIXA Std Book" w:hAnsi="CAIXA Std Book" w:cs="Calibri"/>
                <w:color w:val="005CA9"/>
                <w:sz w:val="18"/>
                <w:szCs w:val="18"/>
              </w:rPr>
            </w:pPr>
            <w:r w:rsidRPr="00126560">
              <w:rPr>
                <w:rFonts w:ascii="CAIXA Std Book" w:hAnsi="CAIXA Std Book" w:cs="Calibri"/>
                <w:color w:val="005CA9"/>
                <w:sz w:val="18"/>
                <w:szCs w:val="18"/>
              </w:rPr>
              <w:t>(499.344)</w:t>
            </w:r>
          </w:p>
        </w:tc>
        <w:tc>
          <w:tcPr>
            <w:tcW w:w="517" w:type="pct"/>
            <w:shd w:val="clear" w:color="000000" w:fill="FFFFFF"/>
            <w:vAlign w:val="center"/>
          </w:tcPr>
          <w:p w14:paraId="5AD95F37" w14:textId="7648DE60" w:rsidR="009C45ED" w:rsidRPr="00B761B5" w:rsidRDefault="00165042" w:rsidP="00126560">
            <w:pPr>
              <w:jc w:val="center"/>
              <w:rPr>
                <w:rFonts w:ascii="CAIXA Std Book" w:eastAsia="Times New Roman" w:hAnsi="CAIXA Std Book" w:cs="Calibri"/>
                <w:color w:val="005CA9"/>
                <w:sz w:val="18"/>
                <w:szCs w:val="18"/>
              </w:rPr>
            </w:pPr>
            <w:r>
              <w:rPr>
                <w:rFonts w:ascii="CAIXA Std Book" w:hAnsi="CAIXA Std Book" w:cs="Calibri"/>
                <w:color w:val="005CA9"/>
                <w:sz w:val="18"/>
                <w:szCs w:val="18"/>
              </w:rPr>
              <w:t>-</w:t>
            </w:r>
          </w:p>
        </w:tc>
        <w:tc>
          <w:tcPr>
            <w:tcW w:w="517" w:type="pct"/>
            <w:shd w:val="clear" w:color="000000" w:fill="FFFFFF"/>
            <w:vAlign w:val="center"/>
          </w:tcPr>
          <w:p w14:paraId="7D70FBE2" w14:textId="342D782F" w:rsidR="009C45ED" w:rsidRPr="00B761B5" w:rsidRDefault="00165042" w:rsidP="00033701">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w:t>
            </w:r>
            <w:r w:rsidRPr="00B54F82">
              <w:rPr>
                <w:rFonts w:ascii="CAIXA Std Book" w:hAnsi="CAIXA Std Book" w:cs="Calibri"/>
                <w:color w:val="005CA9"/>
                <w:sz w:val="18"/>
                <w:szCs w:val="18"/>
              </w:rPr>
              <w:t>579.4</w:t>
            </w:r>
            <w:r>
              <w:rPr>
                <w:rFonts w:ascii="CAIXA Std Book" w:hAnsi="CAIXA Std Book" w:cs="Calibri"/>
                <w:color w:val="005CA9"/>
                <w:sz w:val="18"/>
                <w:szCs w:val="18"/>
              </w:rPr>
              <w:t>50)</w:t>
            </w:r>
          </w:p>
        </w:tc>
        <w:tc>
          <w:tcPr>
            <w:tcW w:w="518" w:type="pct"/>
            <w:shd w:val="clear" w:color="000000" w:fill="FFFFFF"/>
            <w:vAlign w:val="center"/>
          </w:tcPr>
          <w:p w14:paraId="31CF51A6" w14:textId="733CF4D4" w:rsidR="009C45ED" w:rsidRPr="00B761B5" w:rsidRDefault="00165042" w:rsidP="009C45ED">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w:t>
            </w:r>
            <w:r w:rsidRPr="00B54F82">
              <w:rPr>
                <w:rFonts w:ascii="CAIXA Std Book" w:hAnsi="CAIXA Std Book" w:cs="Calibri"/>
                <w:color w:val="005CA9"/>
                <w:sz w:val="18"/>
                <w:szCs w:val="18"/>
              </w:rPr>
              <w:t>579.4</w:t>
            </w:r>
            <w:r>
              <w:rPr>
                <w:rFonts w:ascii="CAIXA Std Book" w:hAnsi="CAIXA Std Book" w:cs="Calibri"/>
                <w:color w:val="005CA9"/>
                <w:sz w:val="18"/>
                <w:szCs w:val="18"/>
              </w:rPr>
              <w:t>50)</w:t>
            </w:r>
          </w:p>
        </w:tc>
      </w:tr>
      <w:tr w:rsidR="0015386D" w:rsidRPr="00B761B5" w14:paraId="55B886F1" w14:textId="40E4CC05" w:rsidTr="00D91FED">
        <w:trPr>
          <w:trHeight w:val="283"/>
        </w:trPr>
        <w:tc>
          <w:tcPr>
            <w:tcW w:w="1896" w:type="pct"/>
            <w:shd w:val="clear" w:color="000000" w:fill="FFFFFF"/>
            <w:noWrap/>
            <w:vAlign w:val="center"/>
            <w:hideMark/>
          </w:tcPr>
          <w:p w14:paraId="058FC5B1" w14:textId="77777777" w:rsidR="000713DF" w:rsidRPr="00B761B5" w:rsidRDefault="000713DF" w:rsidP="00B761B5">
            <w:pPr>
              <w:ind w:firstLineChars="100" w:firstLine="180"/>
              <w:rPr>
                <w:rFonts w:ascii="CAIXA Std Book" w:eastAsia="Times New Roman" w:hAnsi="CAIXA Std Book" w:cs="Calibri"/>
                <w:color w:val="005CA9"/>
                <w:sz w:val="18"/>
                <w:szCs w:val="18"/>
              </w:rPr>
            </w:pPr>
            <w:r w:rsidRPr="00B761B5">
              <w:rPr>
                <w:rFonts w:ascii="CAIXA Std Book" w:eastAsia="Times New Roman" w:hAnsi="CAIXA Std Book" w:cs="Calibri"/>
                <w:color w:val="005CA9"/>
                <w:sz w:val="18"/>
                <w:szCs w:val="18"/>
              </w:rPr>
              <w:t>Carteira de crédito</w:t>
            </w:r>
          </w:p>
        </w:tc>
        <w:tc>
          <w:tcPr>
            <w:tcW w:w="517" w:type="pct"/>
            <w:shd w:val="clear" w:color="000000" w:fill="FFFFFF"/>
            <w:noWrap/>
            <w:vAlign w:val="center"/>
          </w:tcPr>
          <w:p w14:paraId="779FCFCB" w14:textId="24BC1082" w:rsidR="000713DF" w:rsidRPr="00B761B5" w:rsidRDefault="00D04910" w:rsidP="00B761B5">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(26.718.996)</w:t>
            </w:r>
          </w:p>
        </w:tc>
        <w:tc>
          <w:tcPr>
            <w:tcW w:w="517" w:type="pct"/>
            <w:shd w:val="clear" w:color="000000" w:fill="FFFFFF"/>
            <w:noWrap/>
            <w:vAlign w:val="center"/>
          </w:tcPr>
          <w:p w14:paraId="48F39D4D" w14:textId="5C952C04" w:rsidR="000713DF" w:rsidRPr="00A27472" w:rsidRDefault="00D04910" w:rsidP="00B761B5">
            <w:pPr>
              <w:jc w:val="right"/>
              <w:rPr>
                <w:rFonts w:ascii="CAIXA Std Book" w:hAnsi="CAIXA Std Book" w:cs="Calibri"/>
                <w:color w:val="005CA9"/>
                <w:sz w:val="18"/>
                <w:szCs w:val="18"/>
              </w:rPr>
            </w:pPr>
            <w:r>
              <w:rPr>
                <w:rFonts w:ascii="CAIXA Std Book" w:hAnsi="CAIXA Std Book" w:cs="Calibri"/>
                <w:color w:val="005CA9"/>
                <w:sz w:val="18"/>
                <w:szCs w:val="18"/>
              </w:rPr>
              <w:t>(38.759.902)</w:t>
            </w:r>
          </w:p>
        </w:tc>
        <w:tc>
          <w:tcPr>
            <w:tcW w:w="518" w:type="pct"/>
            <w:shd w:val="clear" w:color="000000" w:fill="FFFFFF"/>
            <w:noWrap/>
            <w:vAlign w:val="center"/>
          </w:tcPr>
          <w:p w14:paraId="44E664DF" w14:textId="19400D07" w:rsidR="000713DF" w:rsidRPr="00B761B5" w:rsidRDefault="008147DB" w:rsidP="00B761B5">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(65.478.898)</w:t>
            </w:r>
          </w:p>
        </w:tc>
        <w:tc>
          <w:tcPr>
            <w:tcW w:w="517" w:type="pct"/>
            <w:shd w:val="clear" w:color="000000" w:fill="FFFFFF"/>
            <w:vAlign w:val="center"/>
          </w:tcPr>
          <w:p w14:paraId="0E2ABCB1" w14:textId="49BD22FF" w:rsidR="000713DF" w:rsidRDefault="00165042" w:rsidP="00033701">
            <w:pPr>
              <w:jc w:val="right"/>
              <w:rPr>
                <w:rFonts w:ascii="CAIXA Std Book" w:hAnsi="CAIXA Std Book" w:cs="Calibri"/>
                <w:color w:val="005CA9"/>
                <w:sz w:val="18"/>
                <w:szCs w:val="18"/>
              </w:rPr>
            </w:pPr>
            <w:r>
              <w:rPr>
                <w:rFonts w:ascii="CAIXA Std Book" w:hAnsi="CAIXA Std Book" w:cs="Calibri"/>
                <w:color w:val="005CA9"/>
                <w:sz w:val="18"/>
                <w:szCs w:val="18"/>
              </w:rPr>
              <w:t>(22.669.792)</w:t>
            </w:r>
          </w:p>
        </w:tc>
        <w:tc>
          <w:tcPr>
            <w:tcW w:w="517" w:type="pct"/>
            <w:shd w:val="clear" w:color="000000" w:fill="FFFFFF"/>
            <w:vAlign w:val="center"/>
          </w:tcPr>
          <w:p w14:paraId="13AB37ED" w14:textId="7726F62B" w:rsidR="000713DF" w:rsidRDefault="002F1958" w:rsidP="00033701">
            <w:pPr>
              <w:jc w:val="right"/>
              <w:rPr>
                <w:rFonts w:ascii="CAIXA Std Book" w:hAnsi="CAIXA Std Book" w:cs="Calibri"/>
                <w:color w:val="005CA9"/>
                <w:sz w:val="18"/>
                <w:szCs w:val="18"/>
              </w:rPr>
            </w:pPr>
            <w:r>
              <w:rPr>
                <w:rFonts w:ascii="CAIXA Std Book" w:hAnsi="CAIXA Std Book" w:cs="Calibri"/>
                <w:color w:val="005CA9"/>
                <w:sz w:val="18"/>
                <w:szCs w:val="18"/>
              </w:rPr>
              <w:t>(38.</w:t>
            </w:r>
            <w:r w:rsidR="00165042">
              <w:rPr>
                <w:rFonts w:ascii="CAIXA Std Book" w:hAnsi="CAIXA Std Book" w:cs="Calibri"/>
                <w:color w:val="005CA9"/>
                <w:sz w:val="18"/>
                <w:szCs w:val="18"/>
              </w:rPr>
              <w:t>737.177</w:t>
            </w:r>
            <w:r>
              <w:rPr>
                <w:rFonts w:ascii="CAIXA Std Book" w:hAnsi="CAIXA Std Book" w:cs="Calibri"/>
                <w:color w:val="005CA9"/>
                <w:sz w:val="18"/>
                <w:szCs w:val="18"/>
              </w:rPr>
              <w:t>)</w:t>
            </w:r>
          </w:p>
        </w:tc>
        <w:tc>
          <w:tcPr>
            <w:tcW w:w="518" w:type="pct"/>
            <w:shd w:val="clear" w:color="000000" w:fill="FFFFFF"/>
            <w:vAlign w:val="center"/>
          </w:tcPr>
          <w:p w14:paraId="2473A5FF" w14:textId="301D990E" w:rsidR="000713DF" w:rsidRDefault="00165042" w:rsidP="00447C24">
            <w:pPr>
              <w:jc w:val="right"/>
              <w:rPr>
                <w:rFonts w:ascii="CAIXA Std Book" w:hAnsi="CAIXA Std Book" w:cs="Calibri"/>
                <w:color w:val="005CA9"/>
                <w:sz w:val="18"/>
                <w:szCs w:val="18"/>
              </w:rPr>
            </w:pPr>
            <w:r>
              <w:rPr>
                <w:rFonts w:ascii="CAIXA Std Book" w:hAnsi="CAIXA Std Book" w:cs="Calibri"/>
                <w:color w:val="005CA9"/>
                <w:sz w:val="18"/>
                <w:szCs w:val="18"/>
              </w:rPr>
              <w:t>(61.406.969)</w:t>
            </w:r>
          </w:p>
        </w:tc>
      </w:tr>
      <w:tr w:rsidR="0015386D" w:rsidRPr="00B761B5" w14:paraId="7035182F" w14:textId="5A858D80" w:rsidTr="00D91FED">
        <w:trPr>
          <w:trHeight w:val="283"/>
        </w:trPr>
        <w:tc>
          <w:tcPr>
            <w:tcW w:w="1896" w:type="pct"/>
            <w:shd w:val="clear" w:color="000000" w:fill="FFFFFF"/>
            <w:noWrap/>
            <w:vAlign w:val="center"/>
            <w:hideMark/>
          </w:tcPr>
          <w:p w14:paraId="231DB3C7" w14:textId="77777777" w:rsidR="000713DF" w:rsidRPr="00B761B5" w:rsidRDefault="000713DF" w:rsidP="00B761B5">
            <w:pPr>
              <w:ind w:firstLineChars="100" w:firstLine="180"/>
              <w:rPr>
                <w:rFonts w:ascii="CAIXA Std Book" w:eastAsia="Times New Roman" w:hAnsi="CAIXA Std Book" w:cs="Calibri"/>
                <w:color w:val="005CA9"/>
                <w:sz w:val="18"/>
                <w:szCs w:val="18"/>
              </w:rPr>
            </w:pPr>
            <w:r w:rsidRPr="00B761B5">
              <w:rPr>
                <w:rFonts w:ascii="CAIXA Std Book" w:eastAsia="Times New Roman" w:hAnsi="CAIXA Std Book" w:cs="Calibri"/>
                <w:color w:val="005CA9"/>
                <w:sz w:val="18"/>
                <w:szCs w:val="18"/>
              </w:rPr>
              <w:t>Outros ativos financeiros</w:t>
            </w:r>
          </w:p>
        </w:tc>
        <w:tc>
          <w:tcPr>
            <w:tcW w:w="517" w:type="pct"/>
            <w:shd w:val="clear" w:color="000000" w:fill="FFFFFF"/>
            <w:noWrap/>
            <w:vAlign w:val="center"/>
          </w:tcPr>
          <w:p w14:paraId="4586A62B" w14:textId="6D4C9CD5" w:rsidR="000713DF" w:rsidRPr="00B765F1" w:rsidRDefault="006610B3" w:rsidP="00B761B5">
            <w:pPr>
              <w:jc w:val="right"/>
              <w:rPr>
                <w:rFonts w:ascii="CAIXA Std Book" w:hAnsi="CAIXA Std Book" w:cs="Calibri"/>
                <w:color w:val="005CA9"/>
                <w:sz w:val="18"/>
                <w:szCs w:val="18"/>
              </w:rPr>
            </w:pPr>
            <w:r w:rsidRPr="006610B3">
              <w:rPr>
                <w:rFonts w:ascii="CAIXA Std Book" w:hAnsi="CAIXA Std Book" w:cs="Calibri"/>
                <w:color w:val="005CA9"/>
                <w:sz w:val="18"/>
                <w:szCs w:val="18"/>
              </w:rPr>
              <w:t>(3.135.</w:t>
            </w:r>
            <w:r w:rsidR="006441A0">
              <w:rPr>
                <w:rFonts w:ascii="CAIXA Std Book" w:hAnsi="CAIXA Std Book" w:cs="Calibri"/>
                <w:color w:val="005CA9"/>
                <w:sz w:val="18"/>
                <w:szCs w:val="18"/>
              </w:rPr>
              <w:t>224</w:t>
            </w:r>
            <w:r w:rsidRPr="006610B3">
              <w:rPr>
                <w:rFonts w:ascii="CAIXA Std Book" w:hAnsi="CAIXA Std Book" w:cs="Calibri"/>
                <w:color w:val="005CA9"/>
                <w:sz w:val="18"/>
                <w:szCs w:val="18"/>
              </w:rPr>
              <w:t>)</w:t>
            </w:r>
          </w:p>
        </w:tc>
        <w:tc>
          <w:tcPr>
            <w:tcW w:w="517" w:type="pct"/>
            <w:shd w:val="clear" w:color="000000" w:fill="FFFFFF"/>
            <w:noWrap/>
            <w:vAlign w:val="center"/>
          </w:tcPr>
          <w:p w14:paraId="59A1A765" w14:textId="7528C3FF" w:rsidR="000713DF" w:rsidRPr="00B761B5" w:rsidRDefault="006610B3" w:rsidP="00045348">
            <w:pPr>
              <w:jc w:val="cente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w:t>
            </w:r>
          </w:p>
        </w:tc>
        <w:tc>
          <w:tcPr>
            <w:tcW w:w="518" w:type="pct"/>
            <w:shd w:val="clear" w:color="000000" w:fill="FFFFFF"/>
            <w:noWrap/>
            <w:vAlign w:val="center"/>
          </w:tcPr>
          <w:p w14:paraId="299FBD7C" w14:textId="7DC6DACF" w:rsidR="000713DF" w:rsidRPr="00B761B5" w:rsidRDefault="006610B3" w:rsidP="00B761B5">
            <w:pPr>
              <w:jc w:val="right"/>
              <w:rPr>
                <w:rFonts w:ascii="CAIXA Std Book" w:eastAsia="Times New Roman" w:hAnsi="CAIXA Std Book" w:cs="Calibri"/>
                <w:color w:val="005CA9"/>
                <w:sz w:val="18"/>
                <w:szCs w:val="18"/>
              </w:rPr>
            </w:pPr>
            <w:r w:rsidRPr="006610B3">
              <w:rPr>
                <w:rFonts w:ascii="CAIXA Std Book" w:hAnsi="CAIXA Std Book" w:cs="Calibri"/>
                <w:color w:val="005CA9"/>
                <w:sz w:val="18"/>
                <w:szCs w:val="18"/>
              </w:rPr>
              <w:t>(3.135.</w:t>
            </w:r>
            <w:r w:rsidR="006441A0">
              <w:rPr>
                <w:rFonts w:ascii="CAIXA Std Book" w:hAnsi="CAIXA Std Book" w:cs="Calibri"/>
                <w:color w:val="005CA9"/>
                <w:sz w:val="18"/>
                <w:szCs w:val="18"/>
              </w:rPr>
              <w:t>224</w:t>
            </w:r>
            <w:r w:rsidRPr="006610B3">
              <w:rPr>
                <w:rFonts w:ascii="CAIXA Std Book" w:hAnsi="CAIXA Std Book" w:cs="Calibri"/>
                <w:color w:val="005CA9"/>
                <w:sz w:val="18"/>
                <w:szCs w:val="18"/>
              </w:rPr>
              <w:t>)</w:t>
            </w:r>
          </w:p>
        </w:tc>
        <w:tc>
          <w:tcPr>
            <w:tcW w:w="517" w:type="pct"/>
            <w:shd w:val="clear" w:color="000000" w:fill="FFFFFF"/>
            <w:vAlign w:val="center"/>
          </w:tcPr>
          <w:p w14:paraId="5ADCE254" w14:textId="3613FCF6" w:rsidR="000713DF" w:rsidRDefault="003C5914" w:rsidP="00B761B5">
            <w:pPr>
              <w:jc w:val="right"/>
              <w:rPr>
                <w:rFonts w:ascii="CAIXA Std Book" w:eastAsia="Times New Roman" w:hAnsi="CAIXA Std Book" w:cs="Calibri"/>
                <w:color w:val="005CA9"/>
                <w:sz w:val="18"/>
                <w:szCs w:val="18"/>
              </w:rPr>
            </w:pPr>
            <w:r w:rsidRPr="00B765F1">
              <w:rPr>
                <w:rFonts w:ascii="CAIXA Std Book" w:hAnsi="CAIXA Std Book" w:cs="Calibri"/>
                <w:color w:val="005CA9"/>
                <w:sz w:val="18"/>
                <w:szCs w:val="18"/>
              </w:rPr>
              <w:t>(3.</w:t>
            </w:r>
            <w:r w:rsidR="00165042" w:rsidRPr="00B765F1">
              <w:rPr>
                <w:rFonts w:ascii="CAIXA Std Book" w:hAnsi="CAIXA Std Book" w:cs="Calibri"/>
                <w:color w:val="005CA9"/>
                <w:sz w:val="18"/>
                <w:szCs w:val="18"/>
              </w:rPr>
              <w:t>40</w:t>
            </w:r>
            <w:r w:rsidR="00165042">
              <w:rPr>
                <w:rFonts w:ascii="CAIXA Std Book" w:hAnsi="CAIXA Std Book" w:cs="Calibri"/>
                <w:color w:val="005CA9"/>
                <w:sz w:val="18"/>
                <w:szCs w:val="18"/>
              </w:rPr>
              <w:t>4.975</w:t>
            </w:r>
            <w:r w:rsidRPr="00B765F1">
              <w:rPr>
                <w:rFonts w:ascii="CAIXA Std Book" w:hAnsi="CAIXA Std Book" w:cs="Calibri"/>
                <w:color w:val="005CA9"/>
                <w:sz w:val="18"/>
                <w:szCs w:val="18"/>
              </w:rPr>
              <w:t>)</w:t>
            </w:r>
          </w:p>
        </w:tc>
        <w:tc>
          <w:tcPr>
            <w:tcW w:w="517" w:type="pct"/>
            <w:shd w:val="clear" w:color="000000" w:fill="FFFFFF"/>
            <w:vAlign w:val="center"/>
          </w:tcPr>
          <w:p w14:paraId="426013B7" w14:textId="4A8B5756" w:rsidR="000713DF" w:rsidRDefault="003C5914" w:rsidP="00045348">
            <w:pPr>
              <w:jc w:val="center"/>
              <w:rPr>
                <w:rFonts w:ascii="CAIXA Std Book" w:eastAsia="Times New Roman" w:hAnsi="CAIXA Std Book" w:cs="Calibri"/>
                <w:color w:val="005CA9"/>
                <w:sz w:val="18"/>
                <w:szCs w:val="18"/>
              </w:rPr>
            </w:pPr>
            <w:r>
              <w:rPr>
                <w:rFonts w:ascii="CAIXA Std Book" w:hAnsi="CAIXA Std Book" w:cs="Calibri"/>
                <w:color w:val="005CA9"/>
                <w:sz w:val="18"/>
                <w:szCs w:val="18"/>
              </w:rPr>
              <w:t>-</w:t>
            </w:r>
          </w:p>
        </w:tc>
        <w:tc>
          <w:tcPr>
            <w:tcW w:w="518" w:type="pct"/>
            <w:shd w:val="clear" w:color="000000" w:fill="FFFFFF"/>
            <w:vAlign w:val="center"/>
          </w:tcPr>
          <w:p w14:paraId="509260BC" w14:textId="47D372C5" w:rsidR="000713DF" w:rsidRDefault="003C5914" w:rsidP="00B761B5">
            <w:pPr>
              <w:jc w:val="right"/>
              <w:rPr>
                <w:rFonts w:ascii="CAIXA Std Book" w:eastAsia="Times New Roman" w:hAnsi="CAIXA Std Book" w:cs="Calibri"/>
                <w:color w:val="005CA9"/>
                <w:sz w:val="18"/>
                <w:szCs w:val="18"/>
              </w:rPr>
            </w:pPr>
            <w:r w:rsidRPr="00B765F1">
              <w:rPr>
                <w:rFonts w:ascii="CAIXA Std Book" w:hAnsi="CAIXA Std Book" w:cs="Calibri"/>
                <w:color w:val="005CA9"/>
                <w:sz w:val="18"/>
                <w:szCs w:val="18"/>
              </w:rPr>
              <w:t>(3.</w:t>
            </w:r>
            <w:r w:rsidR="00165042" w:rsidRPr="00B765F1">
              <w:rPr>
                <w:rFonts w:ascii="CAIXA Std Book" w:hAnsi="CAIXA Std Book" w:cs="Calibri"/>
                <w:color w:val="005CA9"/>
                <w:sz w:val="18"/>
                <w:szCs w:val="18"/>
              </w:rPr>
              <w:t>40</w:t>
            </w:r>
            <w:r w:rsidR="00165042">
              <w:rPr>
                <w:rFonts w:ascii="CAIXA Std Book" w:hAnsi="CAIXA Std Book" w:cs="Calibri"/>
                <w:color w:val="005CA9"/>
                <w:sz w:val="18"/>
                <w:szCs w:val="18"/>
              </w:rPr>
              <w:t>4.975</w:t>
            </w:r>
            <w:r w:rsidRPr="00B765F1">
              <w:rPr>
                <w:rFonts w:ascii="CAIXA Std Book" w:hAnsi="CAIXA Std Book" w:cs="Calibri"/>
                <w:color w:val="005CA9"/>
                <w:sz w:val="18"/>
                <w:szCs w:val="18"/>
              </w:rPr>
              <w:t>)</w:t>
            </w:r>
          </w:p>
        </w:tc>
      </w:tr>
      <w:tr w:rsidR="0015386D" w:rsidRPr="00B761B5" w14:paraId="43897230" w14:textId="00B0BF43" w:rsidTr="00D91FED">
        <w:trPr>
          <w:trHeight w:val="283"/>
        </w:trPr>
        <w:tc>
          <w:tcPr>
            <w:tcW w:w="1896" w:type="pct"/>
            <w:shd w:val="clear" w:color="auto" w:fill="D0E0E3"/>
            <w:noWrap/>
            <w:vAlign w:val="center"/>
            <w:hideMark/>
          </w:tcPr>
          <w:p w14:paraId="3FEDB09F" w14:textId="77777777" w:rsidR="000713DF" w:rsidRPr="00B761B5" w:rsidRDefault="000713DF" w:rsidP="00CA6D94">
            <w:pPr>
              <w:rPr>
                <w:rFonts w:ascii="CAIXA Std Book" w:eastAsia="Times New Roman" w:hAnsi="CAIXA Std Book" w:cs="Calibri"/>
                <w:b/>
                <w:bCs/>
                <w:color w:val="005CA9"/>
                <w:sz w:val="18"/>
                <w:szCs w:val="18"/>
              </w:rPr>
            </w:pPr>
            <w:r w:rsidRPr="00B761B5">
              <w:rPr>
                <w:rFonts w:ascii="CAIXA Std Book" w:eastAsia="Times New Roman" w:hAnsi="CAIXA Std Book" w:cs="Calibri"/>
                <w:b/>
                <w:bCs/>
                <w:color w:val="005CA9"/>
                <w:sz w:val="18"/>
                <w:szCs w:val="18"/>
              </w:rPr>
              <w:t>Passivos financeiros</w:t>
            </w:r>
          </w:p>
        </w:tc>
        <w:tc>
          <w:tcPr>
            <w:tcW w:w="517" w:type="pct"/>
            <w:shd w:val="clear" w:color="000000" w:fill="D0E0E3"/>
            <w:noWrap/>
            <w:vAlign w:val="center"/>
          </w:tcPr>
          <w:p w14:paraId="1C9D8CD2" w14:textId="4EC618FC" w:rsidR="000713DF" w:rsidRPr="0092201D" w:rsidRDefault="006441A0" w:rsidP="006441A0">
            <w:pPr>
              <w:jc w:val="center"/>
              <w:rPr>
                <w:rFonts w:ascii="CAIXA Std Book" w:eastAsia="Times New Roman" w:hAnsi="CAIXA Std Book" w:cs="Calibri"/>
                <w:b/>
                <w:color w:val="005CA9"/>
                <w:sz w:val="18"/>
                <w:szCs w:val="18"/>
              </w:rPr>
            </w:pPr>
            <w:r>
              <w:rPr>
                <w:rFonts w:ascii="CAIXA Std Book" w:hAnsi="CAIXA Std Book" w:cs="Calibri"/>
                <w:b/>
                <w:bCs/>
                <w:color w:val="005CA9"/>
                <w:sz w:val="18"/>
                <w:szCs w:val="18"/>
              </w:rPr>
              <w:t>-</w:t>
            </w:r>
          </w:p>
        </w:tc>
        <w:tc>
          <w:tcPr>
            <w:tcW w:w="517" w:type="pct"/>
            <w:shd w:val="clear" w:color="000000" w:fill="D0E0E3"/>
            <w:noWrap/>
            <w:vAlign w:val="center"/>
          </w:tcPr>
          <w:p w14:paraId="63300B96" w14:textId="557D4149" w:rsidR="000713DF" w:rsidRPr="0092201D" w:rsidRDefault="006441A0" w:rsidP="00CA6D94">
            <w:pPr>
              <w:jc w:val="right"/>
              <w:rPr>
                <w:rFonts w:ascii="CAIXA Std Book" w:eastAsia="Times New Roman" w:hAnsi="CAIXA Std Book" w:cs="Calibri"/>
                <w:b/>
                <w:color w:val="005CA9"/>
                <w:sz w:val="18"/>
                <w:szCs w:val="18"/>
              </w:rPr>
            </w:pPr>
            <w:r>
              <w:rPr>
                <w:rFonts w:ascii="CAIXA Std Book" w:hAnsi="CAIXA Std Book" w:cs="Calibri"/>
                <w:b/>
                <w:bCs/>
                <w:color w:val="005CA9"/>
                <w:sz w:val="18"/>
                <w:szCs w:val="18"/>
              </w:rPr>
              <w:t>(2.508.858)</w:t>
            </w:r>
          </w:p>
        </w:tc>
        <w:tc>
          <w:tcPr>
            <w:tcW w:w="518" w:type="pct"/>
            <w:shd w:val="clear" w:color="000000" w:fill="D0E0E3"/>
            <w:noWrap/>
            <w:vAlign w:val="center"/>
          </w:tcPr>
          <w:p w14:paraId="45395548" w14:textId="12AE1EFC" w:rsidR="000713DF" w:rsidRPr="0092201D" w:rsidRDefault="00A03581" w:rsidP="00CA6D94">
            <w:pPr>
              <w:jc w:val="right"/>
              <w:rPr>
                <w:rFonts w:ascii="CAIXA Std Book" w:eastAsia="Times New Roman" w:hAnsi="CAIXA Std Book" w:cs="Calibri"/>
                <w:b/>
                <w:color w:val="005CA9"/>
                <w:sz w:val="18"/>
                <w:szCs w:val="18"/>
              </w:rPr>
            </w:pPr>
            <w:r>
              <w:rPr>
                <w:rFonts w:ascii="CAIXA Std Book" w:hAnsi="CAIXA Std Book" w:cs="Calibri"/>
                <w:b/>
                <w:color w:val="005CA9"/>
                <w:sz w:val="18"/>
                <w:szCs w:val="18"/>
              </w:rPr>
              <w:t>(2.508.</w:t>
            </w:r>
            <w:r w:rsidR="006441A0">
              <w:rPr>
                <w:rFonts w:ascii="CAIXA Std Book" w:hAnsi="CAIXA Std Book" w:cs="Calibri"/>
                <w:b/>
                <w:bCs/>
                <w:color w:val="005CA9"/>
                <w:sz w:val="18"/>
                <w:szCs w:val="18"/>
              </w:rPr>
              <w:t>858</w:t>
            </w:r>
            <w:r>
              <w:rPr>
                <w:rFonts w:ascii="CAIXA Std Book" w:hAnsi="CAIXA Std Book" w:cs="Calibri"/>
                <w:b/>
                <w:color w:val="005CA9"/>
                <w:sz w:val="18"/>
                <w:szCs w:val="18"/>
              </w:rPr>
              <w:t>)</w:t>
            </w:r>
          </w:p>
        </w:tc>
        <w:tc>
          <w:tcPr>
            <w:tcW w:w="517" w:type="pct"/>
            <w:shd w:val="clear" w:color="000000" w:fill="D0E0E3"/>
            <w:vAlign w:val="center"/>
          </w:tcPr>
          <w:p w14:paraId="126000F7" w14:textId="01A0220C" w:rsidR="000713DF" w:rsidRDefault="00FB43F0" w:rsidP="004C3FA4">
            <w:pPr>
              <w:jc w:val="center"/>
              <w:rPr>
                <w:rFonts w:ascii="CAIXA Std Book" w:hAnsi="CAIXA Std Book"/>
                <w:b/>
                <w:bCs/>
                <w:color w:val="005CA9"/>
                <w:sz w:val="18"/>
                <w:szCs w:val="18"/>
              </w:rPr>
            </w:pPr>
            <w:r>
              <w:rPr>
                <w:rFonts w:ascii="CAIXA Std Book" w:hAnsi="CAIXA Std Book" w:cs="Calibri"/>
                <w:b/>
                <w:color w:val="005CA9"/>
                <w:sz w:val="18"/>
                <w:szCs w:val="18"/>
              </w:rPr>
              <w:t>-</w:t>
            </w:r>
          </w:p>
        </w:tc>
        <w:tc>
          <w:tcPr>
            <w:tcW w:w="517" w:type="pct"/>
            <w:shd w:val="clear" w:color="000000" w:fill="D0E0E3"/>
            <w:vAlign w:val="center"/>
          </w:tcPr>
          <w:p w14:paraId="6FA13EF9" w14:textId="42899508" w:rsidR="000713DF" w:rsidRDefault="00165042" w:rsidP="00C33C0B">
            <w:pPr>
              <w:jc w:val="right"/>
              <w:rPr>
                <w:rFonts w:ascii="CAIXA Std Book" w:hAnsi="CAIXA Std Book"/>
                <w:b/>
                <w:bCs/>
                <w:color w:val="005CA9"/>
                <w:sz w:val="18"/>
                <w:szCs w:val="18"/>
              </w:rPr>
            </w:pPr>
            <w:r>
              <w:rPr>
                <w:rFonts w:ascii="CAIXA Std Book" w:hAnsi="CAIXA Std Book" w:cs="Calibri"/>
                <w:b/>
                <w:color w:val="005CA9"/>
                <w:sz w:val="18"/>
                <w:szCs w:val="18"/>
              </w:rPr>
              <w:t>(3.065.</w:t>
            </w:r>
            <w:r>
              <w:rPr>
                <w:rFonts w:ascii="CAIXA Std Book" w:hAnsi="CAIXA Std Book" w:cs="Calibri"/>
                <w:b/>
                <w:bCs/>
                <w:color w:val="005CA9"/>
                <w:sz w:val="18"/>
                <w:szCs w:val="18"/>
              </w:rPr>
              <w:t>343</w:t>
            </w:r>
            <w:r>
              <w:rPr>
                <w:rFonts w:ascii="CAIXA Std Book" w:hAnsi="CAIXA Std Book" w:cs="Calibri"/>
                <w:b/>
                <w:color w:val="005CA9"/>
                <w:sz w:val="18"/>
                <w:szCs w:val="18"/>
              </w:rPr>
              <w:t>)</w:t>
            </w:r>
          </w:p>
        </w:tc>
        <w:tc>
          <w:tcPr>
            <w:tcW w:w="518" w:type="pct"/>
            <w:shd w:val="clear" w:color="000000" w:fill="D0E0E3"/>
            <w:vAlign w:val="center"/>
          </w:tcPr>
          <w:p w14:paraId="17A62757" w14:textId="005232BA" w:rsidR="000713DF" w:rsidRDefault="00165042" w:rsidP="00CA6D94">
            <w:pPr>
              <w:jc w:val="right"/>
              <w:rPr>
                <w:rFonts w:ascii="CAIXA Std Book" w:hAnsi="CAIXA Std Book"/>
                <w:b/>
                <w:bCs/>
                <w:color w:val="005CA9"/>
                <w:sz w:val="18"/>
                <w:szCs w:val="18"/>
              </w:rPr>
            </w:pPr>
            <w:r>
              <w:rPr>
                <w:rFonts w:ascii="CAIXA Std Book" w:hAnsi="CAIXA Std Book" w:cs="Calibri"/>
                <w:b/>
                <w:color w:val="005CA9"/>
                <w:sz w:val="18"/>
                <w:szCs w:val="18"/>
              </w:rPr>
              <w:t>(3.065.</w:t>
            </w:r>
            <w:r>
              <w:rPr>
                <w:rFonts w:ascii="CAIXA Std Book" w:hAnsi="CAIXA Std Book" w:cs="Calibri"/>
                <w:b/>
                <w:bCs/>
                <w:color w:val="005CA9"/>
                <w:sz w:val="18"/>
                <w:szCs w:val="18"/>
              </w:rPr>
              <w:t>343</w:t>
            </w:r>
            <w:r>
              <w:rPr>
                <w:rFonts w:ascii="CAIXA Std Book" w:hAnsi="CAIXA Std Book" w:cs="Calibri"/>
                <w:b/>
                <w:color w:val="005CA9"/>
                <w:sz w:val="18"/>
                <w:szCs w:val="18"/>
              </w:rPr>
              <w:t>)</w:t>
            </w:r>
          </w:p>
        </w:tc>
      </w:tr>
      <w:tr w:rsidR="0015386D" w:rsidRPr="00B761B5" w14:paraId="09689F83" w14:textId="4314F100" w:rsidTr="00D91FED">
        <w:trPr>
          <w:trHeight w:val="283"/>
        </w:trPr>
        <w:tc>
          <w:tcPr>
            <w:tcW w:w="1896" w:type="pct"/>
            <w:shd w:val="clear" w:color="000000" w:fill="FFFFFF"/>
            <w:noWrap/>
            <w:vAlign w:val="center"/>
            <w:hideMark/>
          </w:tcPr>
          <w:p w14:paraId="0AEE7CC6" w14:textId="77777777" w:rsidR="000713DF" w:rsidRPr="00B761B5" w:rsidRDefault="000713DF" w:rsidP="00CA6D94">
            <w:pPr>
              <w:ind w:firstLineChars="100" w:firstLine="180"/>
              <w:rPr>
                <w:rFonts w:ascii="CAIXA Std Book" w:eastAsia="Times New Roman" w:hAnsi="CAIXA Std Book" w:cs="Calibri"/>
                <w:color w:val="005CA9"/>
                <w:sz w:val="18"/>
                <w:szCs w:val="18"/>
              </w:rPr>
            </w:pPr>
            <w:r w:rsidRPr="00B761B5">
              <w:rPr>
                <w:rFonts w:ascii="CAIXA Std Book" w:eastAsia="Times New Roman" w:hAnsi="CAIXA Std Book" w:cs="Calibri"/>
                <w:color w:val="005CA9"/>
                <w:sz w:val="18"/>
                <w:szCs w:val="18"/>
              </w:rPr>
              <w:t>Compromissos de empréstimos e créditos a liberar</w:t>
            </w:r>
          </w:p>
        </w:tc>
        <w:tc>
          <w:tcPr>
            <w:tcW w:w="517" w:type="pct"/>
            <w:shd w:val="clear" w:color="000000" w:fill="FFFFFF"/>
            <w:noWrap/>
            <w:vAlign w:val="center"/>
          </w:tcPr>
          <w:p w14:paraId="7A356987" w14:textId="714E38E0" w:rsidR="000713DF" w:rsidRPr="00B761B5" w:rsidRDefault="006441A0" w:rsidP="006441A0">
            <w:pPr>
              <w:jc w:val="center"/>
              <w:rPr>
                <w:rFonts w:ascii="CAIXA Std Book" w:eastAsia="Times New Roman" w:hAnsi="CAIXA Std Book" w:cs="Calibri"/>
                <w:color w:val="005CA9"/>
                <w:sz w:val="18"/>
                <w:szCs w:val="18"/>
              </w:rPr>
            </w:pPr>
            <w:r>
              <w:rPr>
                <w:rFonts w:ascii="CAIXA Std Book" w:hAnsi="CAIXA Std Book" w:cs="Calibri"/>
                <w:color w:val="005CA9"/>
                <w:sz w:val="18"/>
                <w:szCs w:val="18"/>
              </w:rPr>
              <w:t>-</w:t>
            </w:r>
          </w:p>
        </w:tc>
        <w:tc>
          <w:tcPr>
            <w:tcW w:w="517" w:type="pct"/>
            <w:shd w:val="clear" w:color="000000" w:fill="FFFFFF"/>
            <w:noWrap/>
            <w:vAlign w:val="center"/>
          </w:tcPr>
          <w:p w14:paraId="6E1E69AF" w14:textId="2472D724" w:rsidR="000713DF" w:rsidRPr="00B761B5" w:rsidRDefault="006441A0" w:rsidP="006441A0">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(1.258.866)</w:t>
            </w:r>
          </w:p>
        </w:tc>
        <w:tc>
          <w:tcPr>
            <w:tcW w:w="518" w:type="pct"/>
            <w:shd w:val="clear" w:color="000000" w:fill="FFFFFF"/>
            <w:noWrap/>
            <w:vAlign w:val="center"/>
          </w:tcPr>
          <w:p w14:paraId="1FC95257" w14:textId="7133145B" w:rsidR="000713DF" w:rsidRPr="00B761B5" w:rsidRDefault="007F76CD" w:rsidP="00CA6D94">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(1.258.866)</w:t>
            </w:r>
          </w:p>
        </w:tc>
        <w:tc>
          <w:tcPr>
            <w:tcW w:w="517" w:type="pct"/>
            <w:shd w:val="clear" w:color="000000" w:fill="FFFFFF"/>
            <w:vAlign w:val="center"/>
          </w:tcPr>
          <w:p w14:paraId="08307209" w14:textId="5E0B95EA" w:rsidR="000713DF" w:rsidRDefault="00F17868" w:rsidP="004C3FA4">
            <w:pPr>
              <w:jc w:val="center"/>
              <w:rPr>
                <w:rFonts w:ascii="CAIXA Std Book" w:hAnsi="CAIXA Std Book"/>
                <w:color w:val="005CA9"/>
                <w:sz w:val="18"/>
                <w:szCs w:val="18"/>
              </w:rPr>
            </w:pPr>
            <w:r>
              <w:rPr>
                <w:rFonts w:ascii="CAIXA Std Book" w:hAnsi="CAIXA Std Book" w:cs="Calibri"/>
                <w:color w:val="005CA9"/>
                <w:sz w:val="18"/>
                <w:szCs w:val="18"/>
              </w:rPr>
              <w:t>-</w:t>
            </w:r>
          </w:p>
        </w:tc>
        <w:tc>
          <w:tcPr>
            <w:tcW w:w="517" w:type="pct"/>
            <w:shd w:val="clear" w:color="000000" w:fill="FFFFFF"/>
            <w:vAlign w:val="center"/>
          </w:tcPr>
          <w:p w14:paraId="569CE060" w14:textId="79966CBF" w:rsidR="000713DF" w:rsidRDefault="00EC5DC4" w:rsidP="00EC5DC4">
            <w:pPr>
              <w:jc w:val="right"/>
              <w:rPr>
                <w:rFonts w:ascii="CAIXA Std Book" w:hAnsi="CAIXA Std Book"/>
                <w:color w:val="005CA9"/>
                <w:sz w:val="18"/>
                <w:szCs w:val="18"/>
              </w:rPr>
            </w:pPr>
            <w:r>
              <w:rPr>
                <w:rFonts w:ascii="CAIXA Std Book" w:hAnsi="CAIXA Std Book" w:cs="Calibri"/>
                <w:color w:val="005CA9"/>
                <w:sz w:val="18"/>
                <w:szCs w:val="18"/>
              </w:rPr>
              <w:t>(1.</w:t>
            </w:r>
            <w:r w:rsidR="00165042">
              <w:rPr>
                <w:rFonts w:ascii="CAIXA Std Book" w:hAnsi="CAIXA Std Book" w:cs="Calibri"/>
                <w:color w:val="005CA9"/>
                <w:sz w:val="18"/>
                <w:szCs w:val="18"/>
              </w:rPr>
              <w:t>712.733</w:t>
            </w:r>
            <w:r>
              <w:rPr>
                <w:rFonts w:ascii="CAIXA Std Book" w:hAnsi="CAIXA Std Book" w:cs="Calibri"/>
                <w:color w:val="005CA9"/>
                <w:sz w:val="18"/>
                <w:szCs w:val="18"/>
              </w:rPr>
              <w:t>)</w:t>
            </w:r>
          </w:p>
        </w:tc>
        <w:tc>
          <w:tcPr>
            <w:tcW w:w="518" w:type="pct"/>
            <w:shd w:val="clear" w:color="000000" w:fill="FFFFFF"/>
            <w:vAlign w:val="center"/>
          </w:tcPr>
          <w:p w14:paraId="156E6B0A" w14:textId="3DE43680" w:rsidR="000713DF" w:rsidRDefault="00F17868" w:rsidP="00CA6D94">
            <w:pPr>
              <w:jc w:val="right"/>
              <w:rPr>
                <w:rFonts w:ascii="CAIXA Std Book" w:hAnsi="CAIXA Std Book"/>
                <w:color w:val="005CA9"/>
                <w:sz w:val="18"/>
                <w:szCs w:val="18"/>
              </w:rPr>
            </w:pPr>
            <w:r>
              <w:rPr>
                <w:rFonts w:ascii="CAIXA Std Book" w:hAnsi="CAIXA Std Book" w:cs="Calibri"/>
                <w:color w:val="005CA9"/>
                <w:sz w:val="18"/>
                <w:szCs w:val="18"/>
              </w:rPr>
              <w:t>(1.</w:t>
            </w:r>
            <w:r w:rsidR="00165042">
              <w:rPr>
                <w:rFonts w:ascii="CAIXA Std Book" w:hAnsi="CAIXA Std Book" w:cs="Calibri"/>
                <w:color w:val="005CA9"/>
                <w:sz w:val="18"/>
                <w:szCs w:val="18"/>
              </w:rPr>
              <w:t>712.733</w:t>
            </w:r>
            <w:r>
              <w:rPr>
                <w:rFonts w:ascii="CAIXA Std Book" w:hAnsi="CAIXA Std Book" w:cs="Calibri"/>
                <w:color w:val="005CA9"/>
                <w:sz w:val="18"/>
                <w:szCs w:val="18"/>
              </w:rPr>
              <w:t>)</w:t>
            </w:r>
          </w:p>
        </w:tc>
      </w:tr>
      <w:tr w:rsidR="0015386D" w:rsidRPr="00B761B5" w14:paraId="2DD3A2F2" w14:textId="1193C128" w:rsidTr="00D91FED">
        <w:trPr>
          <w:trHeight w:val="283"/>
        </w:trPr>
        <w:tc>
          <w:tcPr>
            <w:tcW w:w="1896" w:type="pct"/>
            <w:shd w:val="clear" w:color="000000" w:fill="FFFFFF"/>
            <w:noWrap/>
            <w:vAlign w:val="center"/>
            <w:hideMark/>
          </w:tcPr>
          <w:p w14:paraId="0DBC1825" w14:textId="77777777" w:rsidR="000713DF" w:rsidRPr="00B761B5" w:rsidRDefault="000713DF" w:rsidP="00CA6D94">
            <w:pPr>
              <w:ind w:firstLineChars="100" w:firstLine="180"/>
              <w:rPr>
                <w:rFonts w:ascii="CAIXA Std Book" w:eastAsia="Times New Roman" w:hAnsi="CAIXA Std Book" w:cs="Calibri"/>
                <w:color w:val="005CA9"/>
                <w:sz w:val="18"/>
                <w:szCs w:val="18"/>
              </w:rPr>
            </w:pPr>
            <w:r w:rsidRPr="00B761B5">
              <w:rPr>
                <w:rFonts w:ascii="CAIXA Std Book" w:eastAsia="Times New Roman" w:hAnsi="CAIXA Std Book" w:cs="Calibri"/>
                <w:color w:val="005CA9"/>
                <w:sz w:val="18"/>
                <w:szCs w:val="18"/>
              </w:rPr>
              <w:t>Garantias financeiras prestadas</w:t>
            </w:r>
          </w:p>
        </w:tc>
        <w:tc>
          <w:tcPr>
            <w:tcW w:w="517" w:type="pct"/>
            <w:shd w:val="clear" w:color="000000" w:fill="FFFFFF"/>
            <w:noWrap/>
            <w:vAlign w:val="center"/>
          </w:tcPr>
          <w:p w14:paraId="03F6F5B9" w14:textId="2822CA19" w:rsidR="000713DF" w:rsidRPr="00B761B5" w:rsidRDefault="00432FF9" w:rsidP="00045348">
            <w:pPr>
              <w:jc w:val="center"/>
              <w:rPr>
                <w:rFonts w:ascii="CAIXA Std Book" w:eastAsia="Times New Roman" w:hAnsi="CAIXA Std Book" w:cs="Calibri"/>
                <w:color w:val="005CA9"/>
                <w:sz w:val="18"/>
                <w:szCs w:val="18"/>
              </w:rPr>
            </w:pPr>
            <w:r>
              <w:rPr>
                <w:rFonts w:ascii="CAIXA Std Book" w:hAnsi="CAIXA Std Book" w:cs="Calibri"/>
                <w:color w:val="005CA9"/>
                <w:sz w:val="18"/>
                <w:szCs w:val="18"/>
              </w:rPr>
              <w:t>-</w:t>
            </w:r>
          </w:p>
        </w:tc>
        <w:tc>
          <w:tcPr>
            <w:tcW w:w="517" w:type="pct"/>
            <w:shd w:val="clear" w:color="000000" w:fill="FFFFFF"/>
            <w:noWrap/>
            <w:vAlign w:val="center"/>
          </w:tcPr>
          <w:p w14:paraId="343D691D" w14:textId="1C1E9E79" w:rsidR="000713DF" w:rsidRPr="00B761B5" w:rsidRDefault="00DB7164" w:rsidP="00CA6D94">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(1.249.99</w:t>
            </w:r>
            <w:r w:rsidR="003D2479">
              <w:rPr>
                <w:rFonts w:ascii="CAIXA Std Book" w:hAnsi="CAIXA Std Book" w:cs="Calibri"/>
                <w:color w:val="005CA9"/>
                <w:sz w:val="18"/>
                <w:szCs w:val="18"/>
              </w:rPr>
              <w:t>2</w:t>
            </w:r>
            <w:r>
              <w:rPr>
                <w:rFonts w:ascii="CAIXA Std Book" w:hAnsi="CAIXA Std Book" w:cs="Calibri"/>
                <w:color w:val="005CA9"/>
                <w:sz w:val="18"/>
                <w:szCs w:val="18"/>
              </w:rPr>
              <w:t>)</w:t>
            </w:r>
          </w:p>
        </w:tc>
        <w:tc>
          <w:tcPr>
            <w:tcW w:w="518" w:type="pct"/>
            <w:shd w:val="clear" w:color="000000" w:fill="FFFFFF"/>
            <w:noWrap/>
            <w:vAlign w:val="center"/>
          </w:tcPr>
          <w:p w14:paraId="32F64C23" w14:textId="1A6DD9B0" w:rsidR="000713DF" w:rsidRPr="00B761B5" w:rsidRDefault="00DB7164" w:rsidP="00CA6D94">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(1.249.</w:t>
            </w:r>
            <w:r w:rsidR="006441A0">
              <w:rPr>
                <w:rFonts w:ascii="CAIXA Std Book" w:hAnsi="CAIXA Std Book" w:cs="Calibri"/>
                <w:color w:val="005CA9"/>
                <w:sz w:val="18"/>
                <w:szCs w:val="18"/>
              </w:rPr>
              <w:t>992</w:t>
            </w:r>
            <w:r>
              <w:rPr>
                <w:rFonts w:ascii="CAIXA Std Book" w:hAnsi="CAIXA Std Book" w:cs="Calibri"/>
                <w:color w:val="005CA9"/>
                <w:sz w:val="18"/>
                <w:szCs w:val="18"/>
              </w:rPr>
              <w:t>)</w:t>
            </w:r>
          </w:p>
        </w:tc>
        <w:tc>
          <w:tcPr>
            <w:tcW w:w="517" w:type="pct"/>
            <w:shd w:val="clear" w:color="000000" w:fill="FFFFFF"/>
            <w:vAlign w:val="center"/>
          </w:tcPr>
          <w:p w14:paraId="0410199C" w14:textId="289827ED" w:rsidR="000713DF" w:rsidRDefault="00F17868" w:rsidP="004C3FA4">
            <w:pPr>
              <w:jc w:val="center"/>
              <w:rPr>
                <w:rFonts w:ascii="CAIXA Std Book" w:hAnsi="CAIXA Std Book"/>
                <w:color w:val="005CA9"/>
                <w:sz w:val="18"/>
                <w:szCs w:val="18"/>
              </w:rPr>
            </w:pPr>
            <w:r>
              <w:rPr>
                <w:rFonts w:ascii="CAIXA Std Book" w:hAnsi="CAIXA Std Book" w:cs="Calibri"/>
                <w:color w:val="005CA9"/>
                <w:sz w:val="18"/>
                <w:szCs w:val="18"/>
              </w:rPr>
              <w:t>-</w:t>
            </w:r>
          </w:p>
        </w:tc>
        <w:tc>
          <w:tcPr>
            <w:tcW w:w="517" w:type="pct"/>
            <w:shd w:val="clear" w:color="000000" w:fill="FFFFFF"/>
            <w:vAlign w:val="center"/>
          </w:tcPr>
          <w:p w14:paraId="535EAE3C" w14:textId="70376705" w:rsidR="000713DF" w:rsidRDefault="00165042" w:rsidP="00EC5DC4">
            <w:pPr>
              <w:jc w:val="right"/>
              <w:rPr>
                <w:rFonts w:ascii="CAIXA Std Book" w:hAnsi="CAIXA Std Book"/>
                <w:color w:val="005CA9"/>
                <w:sz w:val="18"/>
                <w:szCs w:val="18"/>
              </w:rPr>
            </w:pPr>
            <w:r>
              <w:rPr>
                <w:rFonts w:ascii="CAIXA Std Book" w:hAnsi="CAIXA Std Book" w:cs="Calibri"/>
                <w:color w:val="005CA9"/>
                <w:sz w:val="18"/>
                <w:szCs w:val="18"/>
              </w:rPr>
              <w:t>(1.352.610)</w:t>
            </w:r>
          </w:p>
        </w:tc>
        <w:tc>
          <w:tcPr>
            <w:tcW w:w="518" w:type="pct"/>
            <w:shd w:val="clear" w:color="000000" w:fill="FFFFFF"/>
            <w:vAlign w:val="center"/>
          </w:tcPr>
          <w:p w14:paraId="6C65E1E3" w14:textId="55760C38" w:rsidR="000713DF" w:rsidRDefault="00165042" w:rsidP="00CA6D94">
            <w:pPr>
              <w:jc w:val="right"/>
              <w:rPr>
                <w:rFonts w:ascii="CAIXA Std Book" w:hAnsi="CAIXA Std Book"/>
                <w:color w:val="005CA9"/>
                <w:sz w:val="18"/>
                <w:szCs w:val="18"/>
              </w:rPr>
            </w:pPr>
            <w:r>
              <w:rPr>
                <w:rFonts w:ascii="CAIXA Std Book" w:hAnsi="CAIXA Std Book" w:cs="Calibri"/>
                <w:color w:val="005CA9"/>
                <w:sz w:val="18"/>
                <w:szCs w:val="18"/>
              </w:rPr>
              <w:t>(1.352.610)</w:t>
            </w:r>
          </w:p>
        </w:tc>
      </w:tr>
      <w:tr w:rsidR="0015386D" w:rsidRPr="00B761B5" w14:paraId="1396F974" w14:textId="73AE897A" w:rsidTr="00D91FED">
        <w:trPr>
          <w:trHeight w:val="283"/>
        </w:trPr>
        <w:tc>
          <w:tcPr>
            <w:tcW w:w="1896" w:type="pct"/>
            <w:shd w:val="clear" w:color="auto" w:fill="005CA9"/>
            <w:noWrap/>
            <w:vAlign w:val="center"/>
            <w:hideMark/>
          </w:tcPr>
          <w:p w14:paraId="2B1EFBA7" w14:textId="77777777" w:rsidR="004A7267" w:rsidRPr="00B761B5" w:rsidRDefault="004A7267" w:rsidP="004A7267">
            <w:pPr>
              <w:rPr>
                <w:rFonts w:ascii="CAIXA Std Book" w:eastAsia="Times New Roman" w:hAnsi="CAIXA Std Book" w:cs="Calibri"/>
                <w:b/>
                <w:bCs/>
                <w:color w:val="FFFFFF"/>
                <w:sz w:val="18"/>
                <w:szCs w:val="18"/>
              </w:rPr>
            </w:pPr>
            <w:r w:rsidRPr="00B761B5">
              <w:rPr>
                <w:rFonts w:ascii="CAIXA Std Book" w:eastAsia="Times New Roman" w:hAnsi="CAIXA Std Book" w:cs="Calibri"/>
                <w:b/>
                <w:bCs/>
                <w:color w:val="FFFFFF"/>
                <w:sz w:val="18"/>
                <w:szCs w:val="18"/>
              </w:rPr>
              <w:t>Total</w:t>
            </w:r>
          </w:p>
        </w:tc>
        <w:tc>
          <w:tcPr>
            <w:tcW w:w="517" w:type="pct"/>
            <w:shd w:val="clear" w:color="000000" w:fill="005CA9"/>
            <w:vAlign w:val="center"/>
          </w:tcPr>
          <w:p w14:paraId="5EA8F20F" w14:textId="50175163" w:rsidR="004A7267" w:rsidRPr="00B761B5" w:rsidRDefault="006441A0" w:rsidP="004A7267">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(29.854.220)</w:t>
            </w:r>
          </w:p>
        </w:tc>
        <w:tc>
          <w:tcPr>
            <w:tcW w:w="517" w:type="pct"/>
            <w:shd w:val="clear" w:color="000000" w:fill="005CA9"/>
            <w:vAlign w:val="center"/>
          </w:tcPr>
          <w:p w14:paraId="125B12BA" w14:textId="1BC8148C" w:rsidR="004A7267" w:rsidRPr="00C61E14" w:rsidRDefault="006441A0" w:rsidP="004A7267">
            <w:pPr>
              <w:jc w:val="right"/>
              <w:rPr>
                <w:rFonts w:ascii="CAIXA Std Book" w:hAnsi="CAIXA Std Book" w:cs="Calibri"/>
                <w:b/>
                <w:color w:val="FFFFFF"/>
                <w:sz w:val="18"/>
                <w:szCs w:val="18"/>
              </w:rPr>
            </w:pPr>
            <w:r>
              <w:rPr>
                <w:rFonts w:ascii="CAIXA Std Book" w:hAnsi="CAIXA Std Book" w:cs="Calibri"/>
                <w:b/>
                <w:bCs/>
                <w:color w:val="FFFFFF"/>
                <w:sz w:val="18"/>
                <w:szCs w:val="18"/>
              </w:rPr>
              <w:t>(41.768.104)</w:t>
            </w:r>
          </w:p>
        </w:tc>
        <w:tc>
          <w:tcPr>
            <w:tcW w:w="518" w:type="pct"/>
            <w:shd w:val="clear" w:color="000000" w:fill="005CA9"/>
            <w:vAlign w:val="center"/>
          </w:tcPr>
          <w:p w14:paraId="4AEA24EA" w14:textId="6D978A47" w:rsidR="004A7267" w:rsidRPr="00FF7BDA" w:rsidRDefault="00FF7BDA" w:rsidP="004A7267">
            <w:pPr>
              <w:jc w:val="right"/>
              <w:rPr>
                <w:rFonts w:ascii="CAIXA Std Book" w:hAnsi="CAIXA Std Book" w:cs="Calibri"/>
                <w:b/>
                <w:color w:val="FFFFFF"/>
                <w:sz w:val="18"/>
                <w:szCs w:val="18"/>
              </w:rPr>
            </w:pPr>
            <w:r>
              <w:rPr>
                <w:rFonts w:ascii="CAIXA Std Book" w:hAnsi="CAIXA Std Book" w:cs="Calibri"/>
                <w:b/>
                <w:bCs/>
                <w:color w:val="FFFFFF"/>
                <w:sz w:val="18"/>
                <w:szCs w:val="18"/>
              </w:rPr>
              <w:t>(71.622.</w:t>
            </w:r>
            <w:r w:rsidR="006441A0">
              <w:rPr>
                <w:rFonts w:ascii="CAIXA Std Book" w:hAnsi="CAIXA Std Book" w:cs="Calibri"/>
                <w:b/>
                <w:bCs/>
                <w:color w:val="FFFFFF"/>
                <w:sz w:val="18"/>
                <w:szCs w:val="18"/>
              </w:rPr>
              <w:t>324</w:t>
            </w:r>
            <w:r w:rsidR="008B48BF">
              <w:rPr>
                <w:rFonts w:ascii="CAIXA Std Book" w:hAnsi="CAIXA Std Book" w:cs="Calibri"/>
                <w:b/>
                <w:bCs/>
                <w:color w:val="FFFFFF"/>
                <w:sz w:val="18"/>
                <w:szCs w:val="18"/>
              </w:rPr>
              <w:t>)</w:t>
            </w:r>
          </w:p>
        </w:tc>
        <w:tc>
          <w:tcPr>
            <w:tcW w:w="517" w:type="pct"/>
            <w:shd w:val="clear" w:color="000000" w:fill="005CA9"/>
            <w:vAlign w:val="center"/>
          </w:tcPr>
          <w:p w14:paraId="59532820" w14:textId="53A2A9CE" w:rsidR="004A7267" w:rsidRPr="005644EE" w:rsidRDefault="00165042" w:rsidP="006441A0">
            <w:pPr>
              <w:jc w:val="center"/>
              <w:rPr>
                <w:rFonts w:ascii="CAIXA Std Book" w:hAnsi="CAIXA Std Book" w:cs="Calibri"/>
                <w:b/>
                <w:color w:val="FFFFFF"/>
                <w:sz w:val="18"/>
                <w:szCs w:val="18"/>
              </w:rPr>
            </w:pPr>
            <w:r>
              <w:rPr>
                <w:rFonts w:ascii="CAIXA Std Book" w:hAnsi="CAIXA Std Book" w:cs="Calibri"/>
                <w:b/>
                <w:bCs/>
                <w:color w:val="FFFFFF"/>
                <w:sz w:val="18"/>
                <w:szCs w:val="18"/>
              </w:rPr>
              <w:t>(26.074.767)</w:t>
            </w:r>
          </w:p>
        </w:tc>
        <w:tc>
          <w:tcPr>
            <w:tcW w:w="517" w:type="pct"/>
            <w:shd w:val="clear" w:color="000000" w:fill="005CA9"/>
            <w:vAlign w:val="center"/>
          </w:tcPr>
          <w:p w14:paraId="0AB06C5C" w14:textId="5163D58B" w:rsidR="004A7267" w:rsidRPr="005644EE" w:rsidRDefault="00165042" w:rsidP="00033701">
            <w:pPr>
              <w:jc w:val="right"/>
              <w:rPr>
                <w:rFonts w:ascii="CAIXA Std Book" w:hAnsi="CAIXA Std Book" w:cs="Calibri"/>
                <w:b/>
                <w:color w:val="FFFFFF"/>
                <w:sz w:val="18"/>
                <w:szCs w:val="18"/>
              </w:rPr>
            </w:pPr>
            <w:r>
              <w:rPr>
                <w:rFonts w:ascii="CAIXA Std Book" w:hAnsi="CAIXA Std Book" w:cs="Calibri"/>
                <w:b/>
                <w:bCs/>
                <w:color w:val="FFFFFF"/>
                <w:sz w:val="18"/>
                <w:szCs w:val="18"/>
              </w:rPr>
              <w:t>(42.381.970)</w:t>
            </w:r>
          </w:p>
        </w:tc>
        <w:tc>
          <w:tcPr>
            <w:tcW w:w="518" w:type="pct"/>
            <w:shd w:val="clear" w:color="000000" w:fill="005CA9"/>
            <w:vAlign w:val="center"/>
          </w:tcPr>
          <w:p w14:paraId="09DCF21A" w14:textId="7D208429" w:rsidR="004A7267" w:rsidRPr="00CD04F5" w:rsidRDefault="00165042" w:rsidP="004A7267">
            <w:pPr>
              <w:jc w:val="right"/>
              <w:rPr>
                <w:rFonts w:ascii="CAIXA Std Book" w:hAnsi="CAIXA Std Book"/>
                <w:b/>
                <w:color w:val="FFFFFF"/>
                <w:sz w:val="18"/>
                <w:szCs w:val="18"/>
              </w:rPr>
            </w:pPr>
            <w:r>
              <w:rPr>
                <w:rFonts w:ascii="CAIXA Std Book" w:hAnsi="CAIXA Std Book" w:cs="Calibri"/>
                <w:b/>
                <w:bCs/>
                <w:color w:val="FFFFFF"/>
                <w:sz w:val="18"/>
                <w:szCs w:val="18"/>
              </w:rPr>
              <w:t>(68.456.737)</w:t>
            </w:r>
          </w:p>
        </w:tc>
      </w:tr>
    </w:tbl>
    <w:p w14:paraId="7924EC48" w14:textId="747F69D0" w:rsidR="0034140C" w:rsidRDefault="0034140C" w:rsidP="005C44A7">
      <w:pPr>
        <w:rPr>
          <w:rFonts w:ascii="CAIXA Std Book" w:hAnsi="CAIXA Std Book"/>
          <w:b/>
          <w:color w:val="005CA9"/>
          <w:sz w:val="20"/>
          <w:szCs w:val="20"/>
        </w:rPr>
      </w:pPr>
    </w:p>
    <w:tbl>
      <w:tblPr>
        <w:tblW w:w="5000" w:type="pct"/>
        <w:tblCellMar>
          <w:left w:w="70" w:type="dxa"/>
          <w:right w:w="70" w:type="dxa"/>
        </w:tblCellMar>
        <w:tblLook w:val="04A0" w:firstRow="1" w:lastRow="0" w:firstColumn="1" w:lastColumn="0" w:noHBand="0" w:noVBand="1"/>
      </w:tblPr>
      <w:tblGrid>
        <w:gridCol w:w="5521"/>
        <w:gridCol w:w="1497"/>
        <w:gridCol w:w="1527"/>
        <w:gridCol w:w="1527"/>
        <w:gridCol w:w="1498"/>
        <w:gridCol w:w="1498"/>
        <w:gridCol w:w="1501"/>
      </w:tblGrid>
      <w:tr w:rsidR="006A0C0B" w:rsidRPr="00B761B5" w14:paraId="3C3F6D19" w14:textId="77777777" w:rsidTr="00D91FED">
        <w:trPr>
          <w:trHeight w:val="283"/>
        </w:trPr>
        <w:tc>
          <w:tcPr>
            <w:tcW w:w="1895" w:type="pct"/>
            <w:vMerge w:val="restart"/>
            <w:shd w:val="clear" w:color="auto" w:fill="005CA9"/>
            <w:vAlign w:val="center"/>
            <w:hideMark/>
          </w:tcPr>
          <w:p w14:paraId="3B57AEA7" w14:textId="77777777" w:rsidR="006A0C0B" w:rsidRPr="00B761B5" w:rsidRDefault="006A0C0B">
            <w:pPr>
              <w:jc w:val="center"/>
              <w:rPr>
                <w:rFonts w:ascii="CAIXA Std Book" w:eastAsia="Times New Roman" w:hAnsi="CAIXA Std Book" w:cs="Calibri"/>
                <w:b/>
                <w:bCs/>
                <w:color w:val="FFFFFF"/>
                <w:sz w:val="18"/>
                <w:szCs w:val="18"/>
              </w:rPr>
            </w:pPr>
            <w:r w:rsidRPr="00B761B5">
              <w:rPr>
                <w:rFonts w:ascii="CAIXA Std Book" w:eastAsia="Times New Roman" w:hAnsi="CAIXA Std Book" w:cs="Calibri"/>
                <w:b/>
                <w:bCs/>
                <w:color w:val="FFFFFF"/>
                <w:sz w:val="18"/>
                <w:szCs w:val="18"/>
              </w:rPr>
              <w:t>Descrição</w:t>
            </w:r>
          </w:p>
        </w:tc>
        <w:tc>
          <w:tcPr>
            <w:tcW w:w="3105" w:type="pct"/>
            <w:gridSpan w:val="6"/>
            <w:tcBorders>
              <w:bottom w:val="single" w:sz="4" w:space="0" w:color="FFFFFF" w:themeColor="background1"/>
            </w:tcBorders>
            <w:shd w:val="clear" w:color="auto" w:fill="005CA9"/>
            <w:vAlign w:val="center"/>
          </w:tcPr>
          <w:p w14:paraId="2DD4153C" w14:textId="7DC58D18" w:rsidR="006A0C0B" w:rsidRPr="00B761B5" w:rsidRDefault="006A0C0B">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Consolidado</w:t>
            </w:r>
          </w:p>
        </w:tc>
      </w:tr>
      <w:tr w:rsidR="006A0C0B" w:rsidRPr="00B761B5" w14:paraId="0ACDD1F3" w14:textId="77777777" w:rsidTr="00D91FED">
        <w:trPr>
          <w:trHeight w:val="283"/>
        </w:trPr>
        <w:tc>
          <w:tcPr>
            <w:tcW w:w="1895" w:type="pct"/>
            <w:vMerge/>
            <w:shd w:val="clear" w:color="auto" w:fill="005CA9"/>
            <w:vAlign w:val="center"/>
            <w:hideMark/>
          </w:tcPr>
          <w:p w14:paraId="68492ACD" w14:textId="77777777" w:rsidR="006A0C0B" w:rsidRPr="00B761B5" w:rsidRDefault="006A0C0B">
            <w:pPr>
              <w:jc w:val="center"/>
              <w:rPr>
                <w:rFonts w:ascii="CAIXA Std Book" w:eastAsia="Times New Roman" w:hAnsi="CAIXA Std Book" w:cs="Calibri"/>
                <w:b/>
                <w:bCs/>
                <w:color w:val="FFFFFF"/>
                <w:sz w:val="18"/>
                <w:szCs w:val="18"/>
              </w:rPr>
            </w:pPr>
          </w:p>
        </w:tc>
        <w:tc>
          <w:tcPr>
            <w:tcW w:w="1562" w:type="pct"/>
            <w:gridSpan w:val="3"/>
            <w:tcBorders>
              <w:top w:val="single" w:sz="4" w:space="0" w:color="FFFFFF" w:themeColor="background1"/>
              <w:bottom w:val="single" w:sz="4" w:space="0" w:color="FFFFFF" w:themeColor="background1"/>
            </w:tcBorders>
            <w:shd w:val="clear" w:color="auto" w:fill="005CA9"/>
            <w:vAlign w:val="center"/>
            <w:hideMark/>
          </w:tcPr>
          <w:p w14:paraId="59FBE8B1" w14:textId="77777777" w:rsidR="006A0C0B" w:rsidRPr="00B761B5" w:rsidRDefault="006A0C0B">
            <w:pPr>
              <w:jc w:val="center"/>
              <w:rPr>
                <w:rFonts w:ascii="CAIXA Std Book" w:eastAsia="Times New Roman" w:hAnsi="CAIXA Std Book" w:cs="Calibri"/>
                <w:b/>
                <w:bCs/>
                <w:color w:val="FFFFFF"/>
                <w:sz w:val="18"/>
                <w:szCs w:val="18"/>
              </w:rPr>
            </w:pPr>
            <w:r w:rsidRPr="00B761B5">
              <w:rPr>
                <w:rFonts w:ascii="CAIXA Std Book" w:eastAsia="Times New Roman" w:hAnsi="CAIXA Std Book" w:cs="Calibri"/>
                <w:b/>
                <w:bCs/>
                <w:color w:val="FFFFFF"/>
                <w:sz w:val="18"/>
                <w:szCs w:val="18"/>
              </w:rPr>
              <w:t>3</w:t>
            </w:r>
            <w:r>
              <w:rPr>
                <w:rFonts w:ascii="CAIXA Std Book" w:eastAsia="Times New Roman" w:hAnsi="CAIXA Std Book" w:cs="Calibri"/>
                <w:b/>
                <w:bCs/>
                <w:color w:val="FFFFFF"/>
                <w:sz w:val="18"/>
                <w:szCs w:val="18"/>
              </w:rPr>
              <w:t>1</w:t>
            </w:r>
            <w:r w:rsidRPr="00B761B5">
              <w:rPr>
                <w:rFonts w:ascii="CAIXA Std Book" w:eastAsia="Times New Roman" w:hAnsi="CAIXA Std Book" w:cs="Calibri"/>
                <w:b/>
                <w:bCs/>
                <w:color w:val="FFFFFF"/>
                <w:sz w:val="18"/>
                <w:szCs w:val="18"/>
              </w:rPr>
              <w:t>/</w:t>
            </w:r>
            <w:r>
              <w:rPr>
                <w:rFonts w:ascii="CAIXA Std Book" w:eastAsia="Times New Roman" w:hAnsi="CAIXA Std Book" w:cs="Calibri"/>
                <w:b/>
                <w:bCs/>
                <w:color w:val="FFFFFF"/>
                <w:sz w:val="18"/>
                <w:szCs w:val="18"/>
              </w:rPr>
              <w:t>03/2026</w:t>
            </w:r>
          </w:p>
        </w:tc>
        <w:tc>
          <w:tcPr>
            <w:tcW w:w="1543" w:type="pct"/>
            <w:gridSpan w:val="3"/>
            <w:tcBorders>
              <w:top w:val="single" w:sz="4" w:space="0" w:color="FFFFFF" w:themeColor="background1"/>
              <w:bottom w:val="single" w:sz="4" w:space="0" w:color="FFFFFF" w:themeColor="background1"/>
            </w:tcBorders>
            <w:shd w:val="clear" w:color="auto" w:fill="005CA9"/>
            <w:vAlign w:val="center"/>
          </w:tcPr>
          <w:p w14:paraId="301AAF8F" w14:textId="0D27AD21" w:rsidR="006A0C0B" w:rsidRPr="00B761B5" w:rsidRDefault="006A0C0B">
            <w:pPr>
              <w:jc w:val="center"/>
              <w:rPr>
                <w:rFonts w:ascii="CAIXA Std Book" w:eastAsia="Times New Roman" w:hAnsi="CAIXA Std Book" w:cs="Calibri"/>
                <w:b/>
                <w:bCs/>
                <w:color w:val="FFFFFF"/>
                <w:sz w:val="18"/>
                <w:szCs w:val="18"/>
              </w:rPr>
            </w:pPr>
            <w:r w:rsidRPr="00B761B5">
              <w:rPr>
                <w:rFonts w:ascii="CAIXA Std Book" w:eastAsia="Times New Roman" w:hAnsi="CAIXA Std Book" w:cs="Calibri"/>
                <w:b/>
                <w:bCs/>
                <w:color w:val="FFFFFF"/>
                <w:sz w:val="18"/>
                <w:szCs w:val="18"/>
              </w:rPr>
              <w:t>3</w:t>
            </w:r>
            <w:r>
              <w:rPr>
                <w:rFonts w:ascii="CAIXA Std Book" w:eastAsia="Times New Roman" w:hAnsi="CAIXA Std Book" w:cs="Calibri"/>
                <w:b/>
                <w:bCs/>
                <w:color w:val="FFFFFF"/>
                <w:sz w:val="18"/>
                <w:szCs w:val="18"/>
              </w:rPr>
              <w:t>1</w:t>
            </w:r>
            <w:r w:rsidRPr="00B761B5">
              <w:rPr>
                <w:rFonts w:ascii="CAIXA Std Book" w:eastAsia="Times New Roman" w:hAnsi="CAIXA Std Book" w:cs="Calibri"/>
                <w:b/>
                <w:bCs/>
                <w:color w:val="FFFFFF"/>
                <w:sz w:val="18"/>
                <w:szCs w:val="18"/>
              </w:rPr>
              <w:t>/</w:t>
            </w:r>
            <w:r w:rsidR="005776BB">
              <w:rPr>
                <w:rFonts w:ascii="CAIXA Std Book" w:eastAsia="Times New Roman" w:hAnsi="CAIXA Std Book" w:cs="Calibri"/>
                <w:b/>
                <w:bCs/>
                <w:color w:val="FFFFFF"/>
                <w:sz w:val="18"/>
                <w:szCs w:val="18"/>
              </w:rPr>
              <w:t>12</w:t>
            </w:r>
            <w:r>
              <w:rPr>
                <w:rFonts w:ascii="CAIXA Std Book" w:eastAsia="Times New Roman" w:hAnsi="CAIXA Std Book" w:cs="Calibri"/>
                <w:b/>
                <w:bCs/>
                <w:color w:val="FFFFFF"/>
                <w:sz w:val="18"/>
                <w:szCs w:val="18"/>
              </w:rPr>
              <w:t>/2025</w:t>
            </w:r>
          </w:p>
        </w:tc>
      </w:tr>
      <w:tr w:rsidR="006A0C0B" w:rsidRPr="00B761B5" w14:paraId="3583E152" w14:textId="77777777" w:rsidTr="00D91FED">
        <w:trPr>
          <w:trHeight w:val="283"/>
        </w:trPr>
        <w:tc>
          <w:tcPr>
            <w:tcW w:w="1895" w:type="pct"/>
            <w:vMerge/>
            <w:shd w:val="clear" w:color="auto" w:fill="005CA9"/>
            <w:vAlign w:val="center"/>
            <w:hideMark/>
          </w:tcPr>
          <w:p w14:paraId="14FC1851" w14:textId="77777777" w:rsidR="006A0C0B" w:rsidRPr="00B761B5" w:rsidRDefault="006A0C0B">
            <w:pPr>
              <w:rPr>
                <w:rFonts w:ascii="CAIXA Std Book" w:eastAsia="Times New Roman" w:hAnsi="CAIXA Std Book" w:cs="Calibri"/>
                <w:b/>
                <w:bCs/>
                <w:color w:val="FFFFFF"/>
                <w:sz w:val="18"/>
                <w:szCs w:val="18"/>
              </w:rPr>
            </w:pPr>
          </w:p>
        </w:tc>
        <w:tc>
          <w:tcPr>
            <w:tcW w:w="514" w:type="pct"/>
            <w:tcBorders>
              <w:top w:val="single" w:sz="4" w:space="0" w:color="FFFFFF" w:themeColor="background1"/>
            </w:tcBorders>
            <w:shd w:val="clear" w:color="auto" w:fill="005CA9"/>
            <w:vAlign w:val="center"/>
            <w:hideMark/>
          </w:tcPr>
          <w:p w14:paraId="263DA861" w14:textId="77777777" w:rsidR="006A0C0B" w:rsidRPr="00B761B5" w:rsidRDefault="006A0C0B">
            <w:pPr>
              <w:jc w:val="center"/>
              <w:rPr>
                <w:rFonts w:ascii="CAIXA Std Book" w:eastAsia="Times New Roman" w:hAnsi="CAIXA Std Book" w:cs="Calibri"/>
                <w:b/>
                <w:bCs/>
                <w:color w:val="FFFFFF"/>
                <w:sz w:val="18"/>
                <w:szCs w:val="18"/>
              </w:rPr>
            </w:pPr>
            <w:r w:rsidRPr="00B761B5">
              <w:rPr>
                <w:rFonts w:ascii="CAIXA Std Book" w:eastAsia="Times New Roman" w:hAnsi="CAIXA Std Book" w:cs="Calibri"/>
                <w:b/>
                <w:bCs/>
                <w:color w:val="FFFFFF"/>
                <w:sz w:val="18"/>
                <w:szCs w:val="18"/>
              </w:rPr>
              <w:t>Perda incorrida</w:t>
            </w:r>
          </w:p>
        </w:tc>
        <w:tc>
          <w:tcPr>
            <w:tcW w:w="524" w:type="pct"/>
            <w:tcBorders>
              <w:top w:val="single" w:sz="4" w:space="0" w:color="FFFFFF" w:themeColor="background1"/>
            </w:tcBorders>
            <w:shd w:val="clear" w:color="auto" w:fill="005CA9"/>
            <w:vAlign w:val="center"/>
            <w:hideMark/>
          </w:tcPr>
          <w:p w14:paraId="2671599F" w14:textId="77777777" w:rsidR="006A0C0B" w:rsidRPr="00B761B5" w:rsidRDefault="006A0C0B">
            <w:pPr>
              <w:jc w:val="center"/>
              <w:rPr>
                <w:rFonts w:ascii="CAIXA Std Book" w:eastAsia="Times New Roman" w:hAnsi="CAIXA Std Book" w:cs="Calibri"/>
                <w:b/>
                <w:bCs/>
                <w:color w:val="FFFFFF"/>
                <w:sz w:val="18"/>
                <w:szCs w:val="18"/>
              </w:rPr>
            </w:pPr>
            <w:r w:rsidRPr="00B761B5">
              <w:rPr>
                <w:rFonts w:ascii="CAIXA Std Book" w:eastAsia="Times New Roman" w:hAnsi="CAIXA Std Book" w:cs="Calibri"/>
                <w:b/>
                <w:bCs/>
                <w:color w:val="FFFFFF"/>
                <w:sz w:val="18"/>
                <w:szCs w:val="18"/>
              </w:rPr>
              <w:t>Perda esperada</w:t>
            </w:r>
          </w:p>
        </w:tc>
        <w:tc>
          <w:tcPr>
            <w:tcW w:w="524" w:type="pct"/>
            <w:tcBorders>
              <w:top w:val="single" w:sz="4" w:space="0" w:color="FFFFFF" w:themeColor="background1"/>
            </w:tcBorders>
            <w:shd w:val="clear" w:color="auto" w:fill="005CA9"/>
            <w:vAlign w:val="center"/>
            <w:hideMark/>
          </w:tcPr>
          <w:p w14:paraId="6587EE12" w14:textId="77777777" w:rsidR="006A0C0B" w:rsidRPr="00B761B5" w:rsidRDefault="006A0C0B">
            <w:pPr>
              <w:jc w:val="center"/>
              <w:rPr>
                <w:rFonts w:ascii="CAIXA Std Book" w:eastAsia="Times New Roman" w:hAnsi="CAIXA Std Book" w:cs="Calibri"/>
                <w:b/>
                <w:bCs/>
                <w:color w:val="FFFFFF"/>
                <w:sz w:val="18"/>
                <w:szCs w:val="18"/>
              </w:rPr>
            </w:pPr>
            <w:r w:rsidRPr="00B761B5">
              <w:rPr>
                <w:rFonts w:ascii="CAIXA Std Book" w:eastAsia="Times New Roman" w:hAnsi="CAIXA Std Book" w:cs="Calibri"/>
                <w:b/>
                <w:bCs/>
                <w:color w:val="FFFFFF"/>
                <w:sz w:val="18"/>
                <w:szCs w:val="18"/>
              </w:rPr>
              <w:t>Total</w:t>
            </w:r>
          </w:p>
        </w:tc>
        <w:tc>
          <w:tcPr>
            <w:tcW w:w="514" w:type="pct"/>
            <w:tcBorders>
              <w:top w:val="single" w:sz="4" w:space="0" w:color="FFFFFF" w:themeColor="background1"/>
            </w:tcBorders>
            <w:shd w:val="clear" w:color="auto" w:fill="005CA9"/>
            <w:vAlign w:val="center"/>
          </w:tcPr>
          <w:p w14:paraId="2AC5030E" w14:textId="77777777" w:rsidR="006A0C0B" w:rsidRPr="00B761B5" w:rsidRDefault="006A0C0B">
            <w:pPr>
              <w:jc w:val="center"/>
              <w:rPr>
                <w:rFonts w:ascii="CAIXA Std Book" w:eastAsia="Times New Roman" w:hAnsi="CAIXA Std Book" w:cs="Calibri"/>
                <w:b/>
                <w:bCs/>
                <w:color w:val="FFFFFF"/>
                <w:sz w:val="18"/>
                <w:szCs w:val="18"/>
              </w:rPr>
            </w:pPr>
            <w:r w:rsidRPr="00B761B5">
              <w:rPr>
                <w:rFonts w:ascii="CAIXA Std Book" w:eastAsia="Times New Roman" w:hAnsi="CAIXA Std Book" w:cs="Calibri"/>
                <w:b/>
                <w:bCs/>
                <w:color w:val="FFFFFF"/>
                <w:sz w:val="18"/>
                <w:szCs w:val="18"/>
              </w:rPr>
              <w:t>Perda incorrida</w:t>
            </w:r>
          </w:p>
        </w:tc>
        <w:tc>
          <w:tcPr>
            <w:tcW w:w="514" w:type="pct"/>
            <w:tcBorders>
              <w:top w:val="single" w:sz="4" w:space="0" w:color="FFFFFF" w:themeColor="background1"/>
            </w:tcBorders>
            <w:shd w:val="clear" w:color="auto" w:fill="005CA9"/>
            <w:vAlign w:val="center"/>
          </w:tcPr>
          <w:p w14:paraId="6312F3BF" w14:textId="77777777" w:rsidR="006A0C0B" w:rsidRPr="00B761B5" w:rsidRDefault="006A0C0B">
            <w:pPr>
              <w:jc w:val="center"/>
              <w:rPr>
                <w:rFonts w:ascii="CAIXA Std Book" w:eastAsia="Times New Roman" w:hAnsi="CAIXA Std Book" w:cs="Calibri"/>
                <w:b/>
                <w:bCs/>
                <w:color w:val="FFFFFF"/>
                <w:sz w:val="18"/>
                <w:szCs w:val="18"/>
              </w:rPr>
            </w:pPr>
            <w:r w:rsidRPr="00B761B5">
              <w:rPr>
                <w:rFonts w:ascii="CAIXA Std Book" w:eastAsia="Times New Roman" w:hAnsi="CAIXA Std Book" w:cs="Calibri"/>
                <w:b/>
                <w:bCs/>
                <w:color w:val="FFFFFF"/>
                <w:sz w:val="18"/>
                <w:szCs w:val="18"/>
              </w:rPr>
              <w:t>Perda esperada</w:t>
            </w:r>
          </w:p>
        </w:tc>
        <w:tc>
          <w:tcPr>
            <w:tcW w:w="515" w:type="pct"/>
            <w:tcBorders>
              <w:top w:val="single" w:sz="4" w:space="0" w:color="FFFFFF" w:themeColor="background1"/>
            </w:tcBorders>
            <w:shd w:val="clear" w:color="auto" w:fill="005CA9"/>
            <w:vAlign w:val="center"/>
          </w:tcPr>
          <w:p w14:paraId="691DC10C" w14:textId="77777777" w:rsidR="006A0C0B" w:rsidRPr="00B761B5" w:rsidRDefault="006A0C0B">
            <w:pPr>
              <w:jc w:val="center"/>
              <w:rPr>
                <w:rFonts w:ascii="CAIXA Std Book" w:eastAsia="Times New Roman" w:hAnsi="CAIXA Std Book" w:cs="Calibri"/>
                <w:b/>
                <w:bCs/>
                <w:color w:val="FFFFFF"/>
                <w:sz w:val="18"/>
                <w:szCs w:val="18"/>
              </w:rPr>
            </w:pPr>
            <w:r w:rsidRPr="00B761B5">
              <w:rPr>
                <w:rFonts w:ascii="CAIXA Std Book" w:eastAsia="Times New Roman" w:hAnsi="CAIXA Std Book" w:cs="Calibri"/>
                <w:b/>
                <w:bCs/>
                <w:color w:val="FFFFFF"/>
                <w:sz w:val="18"/>
                <w:szCs w:val="18"/>
              </w:rPr>
              <w:t>Total</w:t>
            </w:r>
          </w:p>
        </w:tc>
      </w:tr>
      <w:tr w:rsidR="006A0C0B" w:rsidRPr="00B761B5" w14:paraId="1B7BF8D6" w14:textId="77777777" w:rsidTr="00D91FED">
        <w:trPr>
          <w:trHeight w:val="283"/>
        </w:trPr>
        <w:tc>
          <w:tcPr>
            <w:tcW w:w="1895" w:type="pct"/>
            <w:shd w:val="clear" w:color="auto" w:fill="D0E0E3"/>
            <w:noWrap/>
            <w:vAlign w:val="center"/>
            <w:hideMark/>
          </w:tcPr>
          <w:p w14:paraId="1F67D936" w14:textId="77777777" w:rsidR="006A0C0B" w:rsidRPr="00B761B5" w:rsidRDefault="006A0C0B">
            <w:pPr>
              <w:rPr>
                <w:rFonts w:ascii="CAIXA Std Book" w:eastAsia="Times New Roman" w:hAnsi="CAIXA Std Book" w:cs="Calibri"/>
                <w:b/>
                <w:bCs/>
                <w:color w:val="005CA9"/>
                <w:sz w:val="18"/>
                <w:szCs w:val="18"/>
              </w:rPr>
            </w:pPr>
            <w:r w:rsidRPr="00B761B5">
              <w:rPr>
                <w:rFonts w:ascii="CAIXA Std Book" w:eastAsia="Times New Roman" w:hAnsi="CAIXA Std Book" w:cs="Calibri"/>
                <w:b/>
                <w:bCs/>
                <w:color w:val="005CA9"/>
                <w:sz w:val="18"/>
                <w:szCs w:val="18"/>
              </w:rPr>
              <w:t>Ativos financeiros</w:t>
            </w:r>
          </w:p>
        </w:tc>
        <w:tc>
          <w:tcPr>
            <w:tcW w:w="514" w:type="pct"/>
            <w:shd w:val="clear" w:color="000000" w:fill="D0E0E3"/>
            <w:noWrap/>
            <w:vAlign w:val="center"/>
          </w:tcPr>
          <w:p w14:paraId="6E04BEF6" w14:textId="3A2BE400" w:rsidR="006A0C0B" w:rsidRPr="00B761B5" w:rsidRDefault="00400DF0">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(29.854.220)</w:t>
            </w:r>
          </w:p>
        </w:tc>
        <w:tc>
          <w:tcPr>
            <w:tcW w:w="524" w:type="pct"/>
            <w:shd w:val="clear" w:color="000000" w:fill="D0E0E3"/>
            <w:noWrap/>
            <w:vAlign w:val="center"/>
          </w:tcPr>
          <w:p w14:paraId="471ED51C" w14:textId="0314EE1B" w:rsidR="006A0C0B" w:rsidRPr="00B761B5" w:rsidRDefault="00400DF0">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(40.459.660)</w:t>
            </w:r>
          </w:p>
        </w:tc>
        <w:tc>
          <w:tcPr>
            <w:tcW w:w="524" w:type="pct"/>
            <w:shd w:val="clear" w:color="000000" w:fill="D0E0E3"/>
            <w:noWrap/>
            <w:vAlign w:val="center"/>
          </w:tcPr>
          <w:p w14:paraId="04E262D3" w14:textId="5D86A4E0" w:rsidR="006A0C0B" w:rsidRPr="00B761B5" w:rsidRDefault="00400DF0">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(70.313.880)</w:t>
            </w:r>
          </w:p>
        </w:tc>
        <w:tc>
          <w:tcPr>
            <w:tcW w:w="514" w:type="pct"/>
            <w:shd w:val="clear" w:color="000000" w:fill="D0E0E3"/>
            <w:vAlign w:val="center"/>
          </w:tcPr>
          <w:p w14:paraId="7BF5EF59" w14:textId="1087B3B1" w:rsidR="006A0C0B" w:rsidRPr="00B761B5" w:rsidRDefault="005776BB">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(26.074.767)</w:t>
            </w:r>
          </w:p>
        </w:tc>
        <w:tc>
          <w:tcPr>
            <w:tcW w:w="514" w:type="pct"/>
            <w:shd w:val="clear" w:color="000000" w:fill="D0E0E3"/>
            <w:vAlign w:val="center"/>
          </w:tcPr>
          <w:p w14:paraId="24EC1A1A" w14:textId="00B2AE0E" w:rsidR="006A0C0B" w:rsidRPr="00B761B5" w:rsidRDefault="005776BB">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(40.618.541)</w:t>
            </w:r>
          </w:p>
        </w:tc>
        <w:tc>
          <w:tcPr>
            <w:tcW w:w="515" w:type="pct"/>
            <w:shd w:val="clear" w:color="000000" w:fill="D0E0E3"/>
            <w:vAlign w:val="center"/>
          </w:tcPr>
          <w:p w14:paraId="10B21929" w14:textId="6CA787AB" w:rsidR="006A0C0B" w:rsidRPr="00DC7E09" w:rsidRDefault="005776BB">
            <w:pPr>
              <w:jc w:val="right"/>
              <w:rPr>
                <w:rFonts w:ascii="CAIXA Std Book" w:hAnsi="CAIXA Std Book"/>
                <w:b/>
                <w:bCs/>
                <w:color w:val="005CA9"/>
                <w:sz w:val="18"/>
                <w:szCs w:val="18"/>
              </w:rPr>
            </w:pPr>
            <w:r>
              <w:rPr>
                <w:rFonts w:ascii="CAIXA Std Book" w:hAnsi="CAIXA Std Book" w:cs="Calibri"/>
                <w:b/>
                <w:bCs/>
                <w:color w:val="005CA9"/>
                <w:sz w:val="18"/>
                <w:szCs w:val="18"/>
              </w:rPr>
              <w:t>(66.693.308)</w:t>
            </w:r>
          </w:p>
        </w:tc>
      </w:tr>
      <w:tr w:rsidR="006A0C0B" w:rsidRPr="00B761B5" w14:paraId="6E9C120C" w14:textId="77777777" w:rsidTr="00D91FED">
        <w:trPr>
          <w:trHeight w:val="283"/>
        </w:trPr>
        <w:tc>
          <w:tcPr>
            <w:tcW w:w="1895" w:type="pct"/>
            <w:shd w:val="clear" w:color="000000" w:fill="FFFFFF"/>
            <w:noWrap/>
            <w:vAlign w:val="center"/>
            <w:hideMark/>
          </w:tcPr>
          <w:p w14:paraId="7E05F365" w14:textId="77777777" w:rsidR="006A0C0B" w:rsidRPr="00CE618A" w:rsidRDefault="006A0C0B">
            <w:pPr>
              <w:ind w:firstLineChars="100" w:firstLine="180"/>
              <w:rPr>
                <w:rFonts w:ascii="CAIXA Std Book" w:eastAsia="Times New Roman" w:hAnsi="CAIXA Std Book" w:cs="Calibri"/>
                <w:color w:val="EE0000"/>
                <w:sz w:val="18"/>
                <w:szCs w:val="18"/>
              </w:rPr>
            </w:pPr>
            <w:r w:rsidRPr="00B761B5">
              <w:rPr>
                <w:rFonts w:ascii="CAIXA Std Book" w:eastAsia="Times New Roman" w:hAnsi="CAIXA Std Book" w:cs="Calibri"/>
                <w:color w:val="005CA9"/>
                <w:sz w:val="18"/>
                <w:szCs w:val="18"/>
              </w:rPr>
              <w:t>Títulos e valores mobiliários</w:t>
            </w:r>
          </w:p>
        </w:tc>
        <w:tc>
          <w:tcPr>
            <w:tcW w:w="514" w:type="pct"/>
            <w:shd w:val="clear" w:color="000000" w:fill="FFFFFF"/>
            <w:noWrap/>
            <w:vAlign w:val="center"/>
          </w:tcPr>
          <w:p w14:paraId="455758BC" w14:textId="6B9C7AE5" w:rsidR="006A0C0B" w:rsidRPr="00E23C6D" w:rsidRDefault="00400DF0">
            <w:pPr>
              <w:jc w:val="center"/>
              <w:rPr>
                <w:rFonts w:ascii="CAIXA Std Book" w:hAnsi="CAIXA Std Book" w:cs="Calibri"/>
                <w:color w:val="005CA9"/>
                <w:sz w:val="18"/>
                <w:szCs w:val="18"/>
              </w:rPr>
            </w:pPr>
            <w:r>
              <w:rPr>
                <w:rFonts w:ascii="CAIXA Std Book" w:hAnsi="CAIXA Std Book" w:cs="Calibri"/>
                <w:color w:val="005CA9"/>
                <w:sz w:val="18"/>
                <w:szCs w:val="18"/>
              </w:rPr>
              <w:t>-</w:t>
            </w:r>
          </w:p>
        </w:tc>
        <w:tc>
          <w:tcPr>
            <w:tcW w:w="524" w:type="pct"/>
            <w:shd w:val="clear" w:color="000000" w:fill="FFFFFF"/>
            <w:noWrap/>
            <w:vAlign w:val="center"/>
          </w:tcPr>
          <w:p w14:paraId="42F405A1" w14:textId="0740D97B" w:rsidR="006A0C0B" w:rsidRPr="006714F7" w:rsidRDefault="00400DF0">
            <w:pPr>
              <w:jc w:val="right"/>
              <w:rPr>
                <w:rFonts w:ascii="CAIXA Std Book" w:hAnsi="CAIXA Std Book" w:cs="Calibri"/>
                <w:color w:val="005CA9"/>
                <w:sz w:val="18"/>
                <w:szCs w:val="18"/>
              </w:rPr>
            </w:pPr>
            <w:r>
              <w:rPr>
                <w:rFonts w:ascii="CAIXA Std Book" w:hAnsi="CAIXA Std Book" w:cs="Calibri"/>
                <w:color w:val="005CA9"/>
                <w:sz w:val="18"/>
                <w:szCs w:val="18"/>
              </w:rPr>
              <w:t>(499.344)</w:t>
            </w:r>
          </w:p>
        </w:tc>
        <w:tc>
          <w:tcPr>
            <w:tcW w:w="524" w:type="pct"/>
            <w:shd w:val="clear" w:color="000000" w:fill="FFFFFF"/>
            <w:noWrap/>
            <w:vAlign w:val="center"/>
          </w:tcPr>
          <w:p w14:paraId="2688C975" w14:textId="0FEF1627" w:rsidR="006A0C0B" w:rsidRPr="006714F7" w:rsidRDefault="00400DF0">
            <w:pPr>
              <w:jc w:val="right"/>
              <w:rPr>
                <w:rFonts w:ascii="CAIXA Std Book" w:hAnsi="CAIXA Std Book" w:cs="Calibri"/>
                <w:color w:val="005CA9"/>
                <w:sz w:val="18"/>
                <w:szCs w:val="18"/>
              </w:rPr>
            </w:pPr>
            <w:r>
              <w:rPr>
                <w:rFonts w:ascii="CAIXA Std Book" w:hAnsi="CAIXA Std Book" w:cs="Calibri"/>
                <w:color w:val="005CA9"/>
                <w:sz w:val="18"/>
                <w:szCs w:val="18"/>
              </w:rPr>
              <w:t>(499.344)</w:t>
            </w:r>
          </w:p>
        </w:tc>
        <w:tc>
          <w:tcPr>
            <w:tcW w:w="514" w:type="pct"/>
            <w:shd w:val="clear" w:color="000000" w:fill="FFFFFF"/>
            <w:vAlign w:val="center"/>
          </w:tcPr>
          <w:p w14:paraId="68A54A6B" w14:textId="22B68264" w:rsidR="006A0C0B" w:rsidRPr="006714F7" w:rsidRDefault="005776BB" w:rsidP="00334394">
            <w:pPr>
              <w:jc w:val="center"/>
              <w:rPr>
                <w:rFonts w:ascii="CAIXA Std Book" w:hAnsi="CAIXA Std Book" w:cs="Calibri"/>
                <w:color w:val="005CA9"/>
                <w:sz w:val="18"/>
                <w:szCs w:val="18"/>
              </w:rPr>
            </w:pPr>
            <w:r>
              <w:rPr>
                <w:rFonts w:ascii="CAIXA Std Book" w:hAnsi="CAIXA Std Book" w:cs="Calibri"/>
                <w:color w:val="005CA9"/>
                <w:sz w:val="18"/>
                <w:szCs w:val="18"/>
              </w:rPr>
              <w:t>-</w:t>
            </w:r>
          </w:p>
        </w:tc>
        <w:tc>
          <w:tcPr>
            <w:tcW w:w="514" w:type="pct"/>
            <w:shd w:val="clear" w:color="000000" w:fill="FFFFFF"/>
            <w:vAlign w:val="center"/>
          </w:tcPr>
          <w:p w14:paraId="2824DE90" w14:textId="0E774A21" w:rsidR="006A0C0B" w:rsidRPr="006714F7" w:rsidRDefault="005776BB">
            <w:pPr>
              <w:jc w:val="right"/>
              <w:rPr>
                <w:rFonts w:ascii="CAIXA Std Book" w:hAnsi="CAIXA Std Book" w:cs="Calibri"/>
                <w:color w:val="005CA9"/>
                <w:sz w:val="18"/>
                <w:szCs w:val="18"/>
              </w:rPr>
            </w:pPr>
            <w:r>
              <w:rPr>
                <w:rFonts w:ascii="CAIXA Std Book" w:hAnsi="CAIXA Std Book" w:cs="Calibri"/>
                <w:color w:val="005CA9"/>
                <w:sz w:val="18"/>
                <w:szCs w:val="18"/>
              </w:rPr>
              <w:t>(579.450)</w:t>
            </w:r>
          </w:p>
        </w:tc>
        <w:tc>
          <w:tcPr>
            <w:tcW w:w="515" w:type="pct"/>
            <w:shd w:val="clear" w:color="000000" w:fill="FFFFFF"/>
            <w:vAlign w:val="center"/>
          </w:tcPr>
          <w:p w14:paraId="297AFF2C" w14:textId="35644E78" w:rsidR="006A0C0B" w:rsidRPr="00B761B5" w:rsidRDefault="005776BB">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(579.450)</w:t>
            </w:r>
          </w:p>
        </w:tc>
      </w:tr>
      <w:tr w:rsidR="006A0C0B" w:rsidRPr="00B761B5" w14:paraId="26751BB5" w14:textId="77777777" w:rsidTr="00D91FED">
        <w:trPr>
          <w:trHeight w:val="283"/>
        </w:trPr>
        <w:tc>
          <w:tcPr>
            <w:tcW w:w="1895" w:type="pct"/>
            <w:shd w:val="clear" w:color="000000" w:fill="FFFFFF"/>
            <w:noWrap/>
            <w:vAlign w:val="center"/>
            <w:hideMark/>
          </w:tcPr>
          <w:p w14:paraId="746D591B" w14:textId="77777777" w:rsidR="006A0C0B" w:rsidRPr="00B761B5" w:rsidRDefault="006A0C0B">
            <w:pPr>
              <w:ind w:firstLineChars="100" w:firstLine="180"/>
              <w:rPr>
                <w:rFonts w:ascii="CAIXA Std Book" w:eastAsia="Times New Roman" w:hAnsi="CAIXA Std Book" w:cs="Calibri"/>
                <w:color w:val="005CA9"/>
                <w:sz w:val="18"/>
                <w:szCs w:val="18"/>
              </w:rPr>
            </w:pPr>
            <w:r w:rsidRPr="00B761B5">
              <w:rPr>
                <w:rFonts w:ascii="CAIXA Std Book" w:eastAsia="Times New Roman" w:hAnsi="CAIXA Std Book" w:cs="Calibri"/>
                <w:color w:val="005CA9"/>
                <w:sz w:val="18"/>
                <w:szCs w:val="18"/>
              </w:rPr>
              <w:t>Carteira de crédito</w:t>
            </w:r>
          </w:p>
        </w:tc>
        <w:tc>
          <w:tcPr>
            <w:tcW w:w="514" w:type="pct"/>
            <w:shd w:val="clear" w:color="000000" w:fill="FFFFFF"/>
            <w:noWrap/>
            <w:vAlign w:val="center"/>
          </w:tcPr>
          <w:p w14:paraId="22005FAA" w14:textId="31B6B07C" w:rsidR="006A0C0B" w:rsidRPr="00DA0D20" w:rsidRDefault="00400DF0">
            <w:pPr>
              <w:jc w:val="right"/>
              <w:rPr>
                <w:rFonts w:ascii="CAIXA Std Book" w:hAnsi="CAIXA Std Book" w:cs="Calibri"/>
                <w:color w:val="005CA9"/>
                <w:sz w:val="18"/>
                <w:szCs w:val="18"/>
              </w:rPr>
            </w:pPr>
            <w:r>
              <w:rPr>
                <w:rFonts w:ascii="CAIXA Std Book" w:hAnsi="CAIXA Std Book" w:cs="Calibri"/>
                <w:color w:val="005CA9"/>
                <w:sz w:val="18"/>
                <w:szCs w:val="18"/>
              </w:rPr>
              <w:t>(26.718.996)</w:t>
            </w:r>
          </w:p>
        </w:tc>
        <w:tc>
          <w:tcPr>
            <w:tcW w:w="524" w:type="pct"/>
            <w:shd w:val="clear" w:color="000000" w:fill="FFFFFF"/>
            <w:noWrap/>
            <w:vAlign w:val="center"/>
          </w:tcPr>
          <w:p w14:paraId="0362C42B" w14:textId="55515E89" w:rsidR="006A0C0B" w:rsidRPr="00DA0D20" w:rsidRDefault="00400DF0">
            <w:pPr>
              <w:jc w:val="right"/>
              <w:rPr>
                <w:rFonts w:ascii="CAIXA Std Book" w:hAnsi="CAIXA Std Book" w:cs="Calibri"/>
                <w:color w:val="005CA9"/>
                <w:sz w:val="18"/>
                <w:szCs w:val="18"/>
              </w:rPr>
            </w:pPr>
            <w:r>
              <w:rPr>
                <w:rFonts w:ascii="CAIXA Std Book" w:hAnsi="CAIXA Std Book" w:cs="Calibri"/>
                <w:color w:val="005CA9"/>
                <w:sz w:val="18"/>
                <w:szCs w:val="18"/>
              </w:rPr>
              <w:t>(39.960.316)</w:t>
            </w:r>
          </w:p>
        </w:tc>
        <w:tc>
          <w:tcPr>
            <w:tcW w:w="524" w:type="pct"/>
            <w:shd w:val="clear" w:color="000000" w:fill="FFFFFF"/>
            <w:noWrap/>
            <w:vAlign w:val="center"/>
          </w:tcPr>
          <w:p w14:paraId="7F0C5D11" w14:textId="1F2F181A" w:rsidR="006A0C0B" w:rsidRPr="00DA0D20" w:rsidRDefault="00400DF0">
            <w:pPr>
              <w:jc w:val="right"/>
              <w:rPr>
                <w:rFonts w:ascii="CAIXA Std Book" w:hAnsi="CAIXA Std Book" w:cs="Calibri"/>
                <w:color w:val="005CA9"/>
                <w:sz w:val="18"/>
                <w:szCs w:val="18"/>
              </w:rPr>
            </w:pPr>
            <w:r>
              <w:rPr>
                <w:rFonts w:ascii="CAIXA Std Book" w:hAnsi="CAIXA Std Book" w:cs="Calibri"/>
                <w:color w:val="005CA9"/>
                <w:sz w:val="18"/>
                <w:szCs w:val="18"/>
              </w:rPr>
              <w:t>(66.679.312)</w:t>
            </w:r>
          </w:p>
        </w:tc>
        <w:tc>
          <w:tcPr>
            <w:tcW w:w="514" w:type="pct"/>
            <w:shd w:val="clear" w:color="000000" w:fill="FFFFFF"/>
            <w:vAlign w:val="center"/>
          </w:tcPr>
          <w:p w14:paraId="185B3EE7" w14:textId="0FC3FC0C" w:rsidR="006A0C0B" w:rsidRDefault="005776BB">
            <w:pPr>
              <w:jc w:val="right"/>
              <w:rPr>
                <w:rFonts w:ascii="CAIXA Std Book" w:hAnsi="CAIXA Std Book" w:cs="Calibri"/>
                <w:color w:val="005CA9"/>
                <w:sz w:val="18"/>
                <w:szCs w:val="18"/>
              </w:rPr>
            </w:pPr>
            <w:r>
              <w:rPr>
                <w:rFonts w:ascii="CAIXA Std Book" w:hAnsi="CAIXA Std Book" w:cs="Calibri"/>
                <w:color w:val="005CA9"/>
                <w:sz w:val="18"/>
                <w:szCs w:val="18"/>
              </w:rPr>
              <w:t>(22.669.792)</w:t>
            </w:r>
          </w:p>
        </w:tc>
        <w:tc>
          <w:tcPr>
            <w:tcW w:w="514" w:type="pct"/>
            <w:shd w:val="clear" w:color="000000" w:fill="FFFFFF"/>
            <w:vAlign w:val="center"/>
          </w:tcPr>
          <w:p w14:paraId="7F88E2C7" w14:textId="2D57557C" w:rsidR="006A0C0B" w:rsidRDefault="005776BB">
            <w:pPr>
              <w:jc w:val="right"/>
              <w:rPr>
                <w:rFonts w:ascii="CAIXA Std Book" w:hAnsi="CAIXA Std Book" w:cs="Calibri"/>
                <w:color w:val="005CA9"/>
                <w:sz w:val="18"/>
                <w:szCs w:val="18"/>
              </w:rPr>
            </w:pPr>
            <w:r>
              <w:rPr>
                <w:rFonts w:ascii="CAIXA Std Book" w:hAnsi="CAIXA Std Book" w:cs="Calibri"/>
                <w:color w:val="005CA9"/>
                <w:sz w:val="18"/>
                <w:szCs w:val="18"/>
              </w:rPr>
              <w:t>(</w:t>
            </w:r>
            <w:r w:rsidRPr="00447C24">
              <w:rPr>
                <w:rFonts w:ascii="CAIXA Std Book" w:hAnsi="CAIXA Std Book" w:cs="Calibri"/>
                <w:color w:val="005CA9"/>
                <w:sz w:val="18"/>
                <w:szCs w:val="18"/>
              </w:rPr>
              <w:t>40.039.091</w:t>
            </w:r>
            <w:r>
              <w:rPr>
                <w:rFonts w:ascii="CAIXA Std Book" w:hAnsi="CAIXA Std Book" w:cs="Calibri"/>
                <w:color w:val="005CA9"/>
                <w:sz w:val="18"/>
                <w:szCs w:val="18"/>
              </w:rPr>
              <w:t>)</w:t>
            </w:r>
          </w:p>
        </w:tc>
        <w:tc>
          <w:tcPr>
            <w:tcW w:w="515" w:type="pct"/>
            <w:shd w:val="clear" w:color="000000" w:fill="FFFFFF"/>
            <w:vAlign w:val="center"/>
          </w:tcPr>
          <w:p w14:paraId="4170FBB5" w14:textId="19F0BACD" w:rsidR="006A0C0B" w:rsidRDefault="005776BB">
            <w:pPr>
              <w:jc w:val="right"/>
              <w:rPr>
                <w:rFonts w:ascii="CAIXA Std Book" w:hAnsi="CAIXA Std Book" w:cs="Calibri"/>
                <w:color w:val="005CA9"/>
                <w:sz w:val="18"/>
                <w:szCs w:val="18"/>
              </w:rPr>
            </w:pPr>
            <w:r>
              <w:rPr>
                <w:rFonts w:ascii="CAIXA Std Book" w:hAnsi="CAIXA Std Book" w:cs="Calibri"/>
                <w:color w:val="005CA9"/>
                <w:sz w:val="18"/>
                <w:szCs w:val="18"/>
              </w:rPr>
              <w:t>(</w:t>
            </w:r>
            <w:r w:rsidRPr="00447C24">
              <w:rPr>
                <w:rFonts w:ascii="CAIXA Std Book" w:hAnsi="CAIXA Std Book" w:cs="Calibri"/>
                <w:color w:val="005CA9"/>
                <w:sz w:val="18"/>
                <w:szCs w:val="18"/>
              </w:rPr>
              <w:t>62.708.883</w:t>
            </w:r>
            <w:r>
              <w:rPr>
                <w:rFonts w:ascii="CAIXA Std Book" w:hAnsi="CAIXA Std Book" w:cs="Calibri"/>
                <w:color w:val="005CA9"/>
                <w:sz w:val="18"/>
                <w:szCs w:val="18"/>
              </w:rPr>
              <w:t>)</w:t>
            </w:r>
          </w:p>
        </w:tc>
      </w:tr>
      <w:tr w:rsidR="006A0C0B" w:rsidRPr="00B761B5" w14:paraId="66D32970" w14:textId="77777777" w:rsidTr="00D91FED">
        <w:trPr>
          <w:trHeight w:val="283"/>
        </w:trPr>
        <w:tc>
          <w:tcPr>
            <w:tcW w:w="1895" w:type="pct"/>
            <w:shd w:val="clear" w:color="000000" w:fill="FFFFFF"/>
            <w:noWrap/>
            <w:vAlign w:val="center"/>
            <w:hideMark/>
          </w:tcPr>
          <w:p w14:paraId="75B4B722" w14:textId="77777777" w:rsidR="006A0C0B" w:rsidRPr="00B761B5" w:rsidRDefault="006A0C0B">
            <w:pPr>
              <w:ind w:firstLineChars="100" w:firstLine="180"/>
              <w:rPr>
                <w:rFonts w:ascii="CAIXA Std Book" w:eastAsia="Times New Roman" w:hAnsi="CAIXA Std Book" w:cs="Calibri"/>
                <w:color w:val="005CA9"/>
                <w:sz w:val="18"/>
                <w:szCs w:val="18"/>
              </w:rPr>
            </w:pPr>
            <w:r w:rsidRPr="00B761B5">
              <w:rPr>
                <w:rFonts w:ascii="CAIXA Std Book" w:eastAsia="Times New Roman" w:hAnsi="CAIXA Std Book" w:cs="Calibri"/>
                <w:color w:val="005CA9"/>
                <w:sz w:val="18"/>
                <w:szCs w:val="18"/>
              </w:rPr>
              <w:t>Outros ativos financeiros</w:t>
            </w:r>
          </w:p>
        </w:tc>
        <w:tc>
          <w:tcPr>
            <w:tcW w:w="514" w:type="pct"/>
            <w:shd w:val="clear" w:color="000000" w:fill="FFFFFF"/>
            <w:noWrap/>
            <w:vAlign w:val="center"/>
          </w:tcPr>
          <w:p w14:paraId="30E27F06" w14:textId="4A8BD52C" w:rsidR="006A0C0B" w:rsidRPr="00B765F1" w:rsidRDefault="00400DF0">
            <w:pPr>
              <w:jc w:val="right"/>
              <w:rPr>
                <w:rFonts w:ascii="CAIXA Std Book" w:hAnsi="CAIXA Std Book" w:cs="Calibri"/>
                <w:color w:val="005CA9"/>
                <w:sz w:val="18"/>
                <w:szCs w:val="18"/>
              </w:rPr>
            </w:pPr>
            <w:r>
              <w:rPr>
                <w:rFonts w:ascii="CAIXA Std Book" w:hAnsi="CAIXA Std Book" w:cs="Calibri"/>
                <w:color w:val="005CA9"/>
                <w:sz w:val="18"/>
                <w:szCs w:val="18"/>
              </w:rPr>
              <w:t>(3.135.224)</w:t>
            </w:r>
          </w:p>
        </w:tc>
        <w:tc>
          <w:tcPr>
            <w:tcW w:w="524" w:type="pct"/>
            <w:shd w:val="clear" w:color="000000" w:fill="FFFFFF"/>
            <w:noWrap/>
            <w:vAlign w:val="center"/>
          </w:tcPr>
          <w:p w14:paraId="7C2FE3C4" w14:textId="02614216" w:rsidR="006A0C0B" w:rsidRPr="00B761B5" w:rsidRDefault="00400DF0">
            <w:pPr>
              <w:jc w:val="center"/>
              <w:rPr>
                <w:rFonts w:ascii="CAIXA Std Book" w:eastAsia="Times New Roman" w:hAnsi="CAIXA Std Book" w:cs="Calibri"/>
                <w:color w:val="005CA9"/>
                <w:sz w:val="18"/>
                <w:szCs w:val="18"/>
              </w:rPr>
            </w:pPr>
            <w:r>
              <w:rPr>
                <w:rFonts w:ascii="CAIXA Std Book" w:hAnsi="CAIXA Std Book" w:cs="Calibri"/>
                <w:color w:val="005CA9"/>
                <w:sz w:val="18"/>
                <w:szCs w:val="18"/>
              </w:rPr>
              <w:t>-</w:t>
            </w:r>
          </w:p>
        </w:tc>
        <w:tc>
          <w:tcPr>
            <w:tcW w:w="524" w:type="pct"/>
            <w:shd w:val="clear" w:color="000000" w:fill="FFFFFF"/>
            <w:noWrap/>
            <w:vAlign w:val="center"/>
          </w:tcPr>
          <w:p w14:paraId="5441C732" w14:textId="3C63254D" w:rsidR="006A0C0B" w:rsidRPr="00B761B5" w:rsidRDefault="00400DF0">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(3.135.224)</w:t>
            </w:r>
          </w:p>
        </w:tc>
        <w:tc>
          <w:tcPr>
            <w:tcW w:w="514" w:type="pct"/>
            <w:shd w:val="clear" w:color="000000" w:fill="FFFFFF"/>
            <w:vAlign w:val="center"/>
          </w:tcPr>
          <w:p w14:paraId="7A839FB4" w14:textId="462880A9" w:rsidR="006A0C0B" w:rsidRDefault="006A0C0B">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w:t>
            </w:r>
            <w:r w:rsidR="005776BB" w:rsidRPr="00B765F1">
              <w:rPr>
                <w:rFonts w:ascii="CAIXA Std Book" w:hAnsi="CAIXA Std Book" w:cs="Calibri"/>
                <w:color w:val="005CA9"/>
                <w:sz w:val="18"/>
                <w:szCs w:val="18"/>
              </w:rPr>
              <w:t>40</w:t>
            </w:r>
            <w:r w:rsidR="005776BB">
              <w:rPr>
                <w:rFonts w:ascii="CAIXA Std Book" w:hAnsi="CAIXA Std Book" w:cs="Calibri"/>
                <w:color w:val="005CA9"/>
                <w:sz w:val="18"/>
                <w:szCs w:val="18"/>
              </w:rPr>
              <w:t>4.975</w:t>
            </w:r>
            <w:r>
              <w:rPr>
                <w:rFonts w:ascii="CAIXA Std Book" w:hAnsi="CAIXA Std Book" w:cs="Calibri"/>
                <w:color w:val="005CA9"/>
                <w:sz w:val="18"/>
                <w:szCs w:val="18"/>
              </w:rPr>
              <w:t>)</w:t>
            </w:r>
          </w:p>
        </w:tc>
        <w:tc>
          <w:tcPr>
            <w:tcW w:w="514" w:type="pct"/>
            <w:shd w:val="clear" w:color="000000" w:fill="FFFFFF"/>
            <w:vAlign w:val="center"/>
          </w:tcPr>
          <w:p w14:paraId="2692B4BA" w14:textId="1F75C265" w:rsidR="006A0C0B" w:rsidRDefault="006A0C0B">
            <w:pPr>
              <w:jc w:val="center"/>
              <w:rPr>
                <w:rFonts w:ascii="CAIXA Std Book" w:eastAsia="Times New Roman" w:hAnsi="CAIXA Std Book" w:cs="Calibri"/>
                <w:color w:val="005CA9"/>
                <w:sz w:val="18"/>
                <w:szCs w:val="18"/>
              </w:rPr>
            </w:pPr>
            <w:r>
              <w:rPr>
                <w:rFonts w:ascii="CAIXA Std Book" w:hAnsi="CAIXA Std Book" w:cs="Calibri"/>
                <w:color w:val="005CA9"/>
                <w:sz w:val="18"/>
                <w:szCs w:val="18"/>
              </w:rPr>
              <w:t>-</w:t>
            </w:r>
          </w:p>
        </w:tc>
        <w:tc>
          <w:tcPr>
            <w:tcW w:w="515" w:type="pct"/>
            <w:shd w:val="clear" w:color="000000" w:fill="FFFFFF"/>
            <w:vAlign w:val="center"/>
          </w:tcPr>
          <w:p w14:paraId="652C129E" w14:textId="774A374D" w:rsidR="006A0C0B" w:rsidRDefault="006A0C0B">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w:t>
            </w:r>
            <w:r w:rsidR="005776BB" w:rsidRPr="00B765F1">
              <w:rPr>
                <w:rFonts w:ascii="CAIXA Std Book" w:hAnsi="CAIXA Std Book" w:cs="Calibri"/>
                <w:color w:val="005CA9"/>
                <w:sz w:val="18"/>
                <w:szCs w:val="18"/>
              </w:rPr>
              <w:t>40</w:t>
            </w:r>
            <w:r w:rsidR="005776BB">
              <w:rPr>
                <w:rFonts w:ascii="CAIXA Std Book" w:hAnsi="CAIXA Std Book" w:cs="Calibri"/>
                <w:color w:val="005CA9"/>
                <w:sz w:val="18"/>
                <w:szCs w:val="18"/>
              </w:rPr>
              <w:t>4.975</w:t>
            </w:r>
            <w:r>
              <w:rPr>
                <w:rFonts w:ascii="CAIXA Std Book" w:hAnsi="CAIXA Std Book" w:cs="Calibri"/>
                <w:color w:val="005CA9"/>
                <w:sz w:val="18"/>
                <w:szCs w:val="18"/>
              </w:rPr>
              <w:t>)</w:t>
            </w:r>
          </w:p>
        </w:tc>
      </w:tr>
      <w:tr w:rsidR="006A0C0B" w:rsidRPr="00B761B5" w14:paraId="5457A4E4" w14:textId="77777777" w:rsidTr="00D91FED">
        <w:trPr>
          <w:trHeight w:val="283"/>
        </w:trPr>
        <w:tc>
          <w:tcPr>
            <w:tcW w:w="1895" w:type="pct"/>
            <w:shd w:val="clear" w:color="auto" w:fill="D0E0E3"/>
            <w:noWrap/>
            <w:vAlign w:val="center"/>
            <w:hideMark/>
          </w:tcPr>
          <w:p w14:paraId="4DE9990F" w14:textId="77777777" w:rsidR="006A0C0B" w:rsidRPr="00B761B5" w:rsidRDefault="006A0C0B">
            <w:pPr>
              <w:rPr>
                <w:rFonts w:ascii="CAIXA Std Book" w:eastAsia="Times New Roman" w:hAnsi="CAIXA Std Book" w:cs="Calibri"/>
                <w:b/>
                <w:bCs/>
                <w:color w:val="005CA9"/>
                <w:sz w:val="18"/>
                <w:szCs w:val="18"/>
              </w:rPr>
            </w:pPr>
            <w:r w:rsidRPr="00B761B5">
              <w:rPr>
                <w:rFonts w:ascii="CAIXA Std Book" w:eastAsia="Times New Roman" w:hAnsi="CAIXA Std Book" w:cs="Calibri"/>
                <w:b/>
                <w:bCs/>
                <w:color w:val="005CA9"/>
                <w:sz w:val="18"/>
                <w:szCs w:val="18"/>
              </w:rPr>
              <w:t>Passivos financeiros</w:t>
            </w:r>
          </w:p>
        </w:tc>
        <w:tc>
          <w:tcPr>
            <w:tcW w:w="514" w:type="pct"/>
            <w:shd w:val="clear" w:color="000000" w:fill="D0E0E3"/>
            <w:noWrap/>
            <w:vAlign w:val="center"/>
          </w:tcPr>
          <w:p w14:paraId="15A1B975" w14:textId="106EAE4F" w:rsidR="006A0C0B" w:rsidRPr="0092201D" w:rsidRDefault="00400DF0">
            <w:pPr>
              <w:jc w:val="center"/>
              <w:rPr>
                <w:rFonts w:ascii="CAIXA Std Book" w:eastAsia="Times New Roman" w:hAnsi="CAIXA Std Book" w:cs="Calibri"/>
                <w:b/>
                <w:color w:val="005CA9"/>
                <w:sz w:val="18"/>
                <w:szCs w:val="18"/>
              </w:rPr>
            </w:pPr>
            <w:r>
              <w:rPr>
                <w:rFonts w:ascii="CAIXA Std Book" w:hAnsi="CAIXA Std Book" w:cs="Calibri"/>
                <w:b/>
                <w:bCs/>
                <w:color w:val="005CA9"/>
                <w:sz w:val="18"/>
                <w:szCs w:val="18"/>
              </w:rPr>
              <w:t>-</w:t>
            </w:r>
          </w:p>
        </w:tc>
        <w:tc>
          <w:tcPr>
            <w:tcW w:w="524" w:type="pct"/>
            <w:shd w:val="clear" w:color="000000" w:fill="D0E0E3"/>
            <w:noWrap/>
            <w:vAlign w:val="center"/>
          </w:tcPr>
          <w:p w14:paraId="78546B48" w14:textId="05F05A5F" w:rsidR="006A0C0B" w:rsidRPr="0092201D" w:rsidRDefault="00400DF0">
            <w:pPr>
              <w:jc w:val="right"/>
              <w:rPr>
                <w:rFonts w:ascii="CAIXA Std Book" w:eastAsia="Times New Roman" w:hAnsi="CAIXA Std Book" w:cs="Calibri"/>
                <w:b/>
                <w:color w:val="005CA9"/>
                <w:sz w:val="18"/>
                <w:szCs w:val="18"/>
              </w:rPr>
            </w:pPr>
            <w:r>
              <w:rPr>
                <w:rFonts w:ascii="CAIXA Std Book" w:hAnsi="CAIXA Std Book" w:cs="Calibri"/>
                <w:b/>
                <w:bCs/>
                <w:color w:val="005CA9"/>
                <w:sz w:val="18"/>
                <w:szCs w:val="18"/>
              </w:rPr>
              <w:t>(1.308.444)</w:t>
            </w:r>
          </w:p>
        </w:tc>
        <w:tc>
          <w:tcPr>
            <w:tcW w:w="524" w:type="pct"/>
            <w:shd w:val="clear" w:color="000000" w:fill="D0E0E3"/>
            <w:noWrap/>
            <w:vAlign w:val="center"/>
          </w:tcPr>
          <w:p w14:paraId="59A4A8AF" w14:textId="33371FC1" w:rsidR="006A0C0B" w:rsidRPr="0092201D" w:rsidRDefault="00400DF0">
            <w:pPr>
              <w:jc w:val="right"/>
              <w:rPr>
                <w:rFonts w:ascii="CAIXA Std Book" w:eastAsia="Times New Roman" w:hAnsi="CAIXA Std Book" w:cs="Calibri"/>
                <w:b/>
                <w:color w:val="005CA9"/>
                <w:sz w:val="18"/>
                <w:szCs w:val="18"/>
              </w:rPr>
            </w:pPr>
            <w:r>
              <w:rPr>
                <w:rFonts w:ascii="CAIXA Std Book" w:hAnsi="CAIXA Std Book" w:cs="Calibri"/>
                <w:b/>
                <w:bCs/>
                <w:color w:val="005CA9"/>
                <w:sz w:val="18"/>
                <w:szCs w:val="18"/>
              </w:rPr>
              <w:t>(1.308.444)</w:t>
            </w:r>
          </w:p>
        </w:tc>
        <w:tc>
          <w:tcPr>
            <w:tcW w:w="514" w:type="pct"/>
            <w:shd w:val="clear" w:color="000000" w:fill="D0E0E3"/>
            <w:vAlign w:val="center"/>
          </w:tcPr>
          <w:p w14:paraId="1CE82169" w14:textId="36B1FFB5" w:rsidR="006A0C0B" w:rsidRDefault="006A0C0B">
            <w:pPr>
              <w:jc w:val="center"/>
              <w:rPr>
                <w:rFonts w:ascii="CAIXA Std Book" w:hAnsi="CAIXA Std Book"/>
                <w:b/>
                <w:bCs/>
                <w:color w:val="005CA9"/>
                <w:sz w:val="18"/>
                <w:szCs w:val="18"/>
              </w:rPr>
            </w:pPr>
            <w:r>
              <w:rPr>
                <w:rFonts w:ascii="CAIXA Std Book" w:hAnsi="CAIXA Std Book" w:cs="Calibri"/>
                <w:b/>
                <w:color w:val="005CA9"/>
                <w:sz w:val="18"/>
                <w:szCs w:val="18"/>
              </w:rPr>
              <w:t>-</w:t>
            </w:r>
          </w:p>
        </w:tc>
        <w:tc>
          <w:tcPr>
            <w:tcW w:w="514" w:type="pct"/>
            <w:shd w:val="clear" w:color="000000" w:fill="D0E0E3"/>
            <w:vAlign w:val="center"/>
          </w:tcPr>
          <w:p w14:paraId="105678D6" w14:textId="04ABB8FF" w:rsidR="006A0C0B" w:rsidRDefault="006A0C0B">
            <w:pPr>
              <w:jc w:val="right"/>
              <w:rPr>
                <w:rFonts w:ascii="CAIXA Std Book" w:hAnsi="CAIXA Std Book"/>
                <w:b/>
                <w:bCs/>
                <w:color w:val="005CA9"/>
                <w:sz w:val="18"/>
                <w:szCs w:val="18"/>
              </w:rPr>
            </w:pPr>
            <w:r>
              <w:rPr>
                <w:rFonts w:ascii="CAIXA Std Book" w:hAnsi="CAIXA Std Book" w:cs="Calibri"/>
                <w:b/>
                <w:bCs/>
                <w:color w:val="005CA9"/>
                <w:sz w:val="18"/>
                <w:szCs w:val="18"/>
              </w:rPr>
              <w:t>(1.</w:t>
            </w:r>
            <w:r w:rsidR="005776BB">
              <w:rPr>
                <w:rFonts w:ascii="CAIXA Std Book" w:hAnsi="CAIXA Std Book" w:cs="Calibri"/>
                <w:b/>
                <w:bCs/>
                <w:color w:val="005CA9"/>
                <w:sz w:val="18"/>
                <w:szCs w:val="18"/>
              </w:rPr>
              <w:t>763.429</w:t>
            </w:r>
            <w:r>
              <w:rPr>
                <w:rFonts w:ascii="CAIXA Std Book" w:hAnsi="CAIXA Std Book" w:cs="Calibri"/>
                <w:b/>
                <w:bCs/>
                <w:color w:val="005CA9"/>
                <w:sz w:val="18"/>
                <w:szCs w:val="18"/>
              </w:rPr>
              <w:t>)</w:t>
            </w:r>
          </w:p>
        </w:tc>
        <w:tc>
          <w:tcPr>
            <w:tcW w:w="515" w:type="pct"/>
            <w:shd w:val="clear" w:color="000000" w:fill="D0E0E3"/>
            <w:vAlign w:val="center"/>
          </w:tcPr>
          <w:p w14:paraId="60666C5A" w14:textId="4592DD39" w:rsidR="006A0C0B" w:rsidRDefault="006A0C0B">
            <w:pPr>
              <w:jc w:val="right"/>
              <w:rPr>
                <w:rFonts w:ascii="CAIXA Std Book" w:hAnsi="CAIXA Std Book"/>
                <w:b/>
                <w:bCs/>
                <w:color w:val="005CA9"/>
                <w:sz w:val="18"/>
                <w:szCs w:val="18"/>
              </w:rPr>
            </w:pPr>
            <w:r>
              <w:rPr>
                <w:rFonts w:ascii="CAIXA Std Book" w:hAnsi="CAIXA Std Book" w:cs="Calibri"/>
                <w:b/>
                <w:color w:val="005CA9"/>
                <w:sz w:val="18"/>
                <w:szCs w:val="18"/>
              </w:rPr>
              <w:t>(1.</w:t>
            </w:r>
            <w:r w:rsidR="005776BB">
              <w:rPr>
                <w:rFonts w:ascii="CAIXA Std Book" w:hAnsi="CAIXA Std Book" w:cs="Calibri"/>
                <w:b/>
                <w:bCs/>
                <w:color w:val="005CA9"/>
                <w:sz w:val="18"/>
                <w:szCs w:val="18"/>
              </w:rPr>
              <w:t>763.429</w:t>
            </w:r>
            <w:r>
              <w:rPr>
                <w:rFonts w:ascii="CAIXA Std Book" w:hAnsi="CAIXA Std Book" w:cs="Calibri"/>
                <w:b/>
                <w:color w:val="005CA9"/>
                <w:sz w:val="18"/>
                <w:szCs w:val="18"/>
              </w:rPr>
              <w:t>)</w:t>
            </w:r>
          </w:p>
        </w:tc>
      </w:tr>
      <w:tr w:rsidR="006A0C0B" w:rsidRPr="00B761B5" w14:paraId="2493BAD1" w14:textId="77777777" w:rsidTr="00D91FED">
        <w:trPr>
          <w:trHeight w:val="283"/>
        </w:trPr>
        <w:tc>
          <w:tcPr>
            <w:tcW w:w="1895" w:type="pct"/>
            <w:shd w:val="clear" w:color="000000" w:fill="FFFFFF"/>
            <w:noWrap/>
            <w:vAlign w:val="center"/>
            <w:hideMark/>
          </w:tcPr>
          <w:p w14:paraId="415DA3C2" w14:textId="77777777" w:rsidR="006A0C0B" w:rsidRPr="00B761B5" w:rsidRDefault="006A0C0B">
            <w:pPr>
              <w:ind w:firstLineChars="100" w:firstLine="180"/>
              <w:rPr>
                <w:rFonts w:ascii="CAIXA Std Book" w:eastAsia="Times New Roman" w:hAnsi="CAIXA Std Book" w:cs="Calibri"/>
                <w:color w:val="005CA9"/>
                <w:sz w:val="18"/>
                <w:szCs w:val="18"/>
              </w:rPr>
            </w:pPr>
            <w:r w:rsidRPr="00B761B5">
              <w:rPr>
                <w:rFonts w:ascii="CAIXA Std Book" w:eastAsia="Times New Roman" w:hAnsi="CAIXA Std Book" w:cs="Calibri"/>
                <w:color w:val="005CA9"/>
                <w:sz w:val="18"/>
                <w:szCs w:val="18"/>
              </w:rPr>
              <w:t>Compromissos de empréstimos e créditos a liberar</w:t>
            </w:r>
          </w:p>
        </w:tc>
        <w:tc>
          <w:tcPr>
            <w:tcW w:w="514" w:type="pct"/>
            <w:shd w:val="clear" w:color="000000" w:fill="FFFFFF"/>
            <w:noWrap/>
            <w:vAlign w:val="center"/>
          </w:tcPr>
          <w:p w14:paraId="406016A7" w14:textId="104B991F" w:rsidR="006A0C0B" w:rsidRPr="00B761B5" w:rsidRDefault="00400DF0">
            <w:pPr>
              <w:jc w:val="center"/>
              <w:rPr>
                <w:rFonts w:ascii="CAIXA Std Book" w:eastAsia="Times New Roman" w:hAnsi="CAIXA Std Book" w:cs="Calibri"/>
                <w:color w:val="005CA9"/>
                <w:sz w:val="18"/>
                <w:szCs w:val="18"/>
              </w:rPr>
            </w:pPr>
            <w:r>
              <w:rPr>
                <w:rFonts w:ascii="CAIXA Std Book" w:hAnsi="CAIXA Std Book" w:cs="Calibri"/>
                <w:color w:val="005CA9"/>
                <w:sz w:val="18"/>
                <w:szCs w:val="18"/>
              </w:rPr>
              <w:t>-</w:t>
            </w:r>
          </w:p>
        </w:tc>
        <w:tc>
          <w:tcPr>
            <w:tcW w:w="524" w:type="pct"/>
            <w:shd w:val="clear" w:color="000000" w:fill="FFFFFF"/>
            <w:noWrap/>
            <w:vAlign w:val="center"/>
          </w:tcPr>
          <w:p w14:paraId="4151E1F4" w14:textId="43F912CD" w:rsidR="006A0C0B" w:rsidRPr="00B761B5" w:rsidRDefault="00400DF0">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(1.258.866)</w:t>
            </w:r>
          </w:p>
        </w:tc>
        <w:tc>
          <w:tcPr>
            <w:tcW w:w="524" w:type="pct"/>
            <w:shd w:val="clear" w:color="000000" w:fill="FFFFFF"/>
            <w:noWrap/>
            <w:vAlign w:val="center"/>
          </w:tcPr>
          <w:p w14:paraId="7D562CF2" w14:textId="1F6986A2" w:rsidR="006A0C0B" w:rsidRPr="00B761B5" w:rsidRDefault="00400DF0">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(1.258.866)</w:t>
            </w:r>
          </w:p>
        </w:tc>
        <w:tc>
          <w:tcPr>
            <w:tcW w:w="514" w:type="pct"/>
            <w:shd w:val="clear" w:color="000000" w:fill="FFFFFF"/>
            <w:vAlign w:val="center"/>
          </w:tcPr>
          <w:p w14:paraId="6E0741EA" w14:textId="056E7683" w:rsidR="006A0C0B" w:rsidRDefault="006A0C0B">
            <w:pPr>
              <w:jc w:val="center"/>
              <w:rPr>
                <w:rFonts w:ascii="CAIXA Std Book" w:hAnsi="CAIXA Std Book"/>
                <w:color w:val="005CA9"/>
                <w:sz w:val="18"/>
                <w:szCs w:val="18"/>
              </w:rPr>
            </w:pPr>
            <w:r>
              <w:rPr>
                <w:rFonts w:ascii="CAIXA Std Book" w:hAnsi="CAIXA Std Book" w:cs="Calibri"/>
                <w:color w:val="005CA9"/>
                <w:sz w:val="18"/>
                <w:szCs w:val="18"/>
              </w:rPr>
              <w:t>-</w:t>
            </w:r>
          </w:p>
        </w:tc>
        <w:tc>
          <w:tcPr>
            <w:tcW w:w="514" w:type="pct"/>
            <w:shd w:val="clear" w:color="000000" w:fill="FFFFFF"/>
            <w:vAlign w:val="center"/>
          </w:tcPr>
          <w:p w14:paraId="27788D8B" w14:textId="1DB7DFAD" w:rsidR="006A0C0B" w:rsidRDefault="006A0C0B">
            <w:pPr>
              <w:jc w:val="right"/>
              <w:rPr>
                <w:rFonts w:ascii="CAIXA Std Book" w:hAnsi="CAIXA Std Book"/>
                <w:color w:val="005CA9"/>
                <w:sz w:val="18"/>
                <w:szCs w:val="18"/>
              </w:rPr>
            </w:pPr>
            <w:r>
              <w:rPr>
                <w:rFonts w:ascii="CAIXA Std Book" w:hAnsi="CAIXA Std Book" w:cs="Calibri"/>
                <w:color w:val="005CA9"/>
                <w:sz w:val="18"/>
                <w:szCs w:val="18"/>
              </w:rPr>
              <w:t>(1.</w:t>
            </w:r>
            <w:r w:rsidR="005776BB">
              <w:rPr>
                <w:rFonts w:ascii="CAIXA Std Book" w:hAnsi="CAIXA Std Book" w:cs="Calibri"/>
                <w:color w:val="005CA9"/>
                <w:sz w:val="18"/>
                <w:szCs w:val="18"/>
              </w:rPr>
              <w:t>712.733</w:t>
            </w:r>
            <w:r>
              <w:rPr>
                <w:rFonts w:ascii="CAIXA Std Book" w:hAnsi="CAIXA Std Book" w:cs="Calibri"/>
                <w:color w:val="005CA9"/>
                <w:sz w:val="18"/>
                <w:szCs w:val="18"/>
              </w:rPr>
              <w:t>)</w:t>
            </w:r>
          </w:p>
        </w:tc>
        <w:tc>
          <w:tcPr>
            <w:tcW w:w="515" w:type="pct"/>
            <w:shd w:val="clear" w:color="000000" w:fill="FFFFFF"/>
            <w:vAlign w:val="center"/>
          </w:tcPr>
          <w:p w14:paraId="56DAD7C0" w14:textId="2DE1CAC9" w:rsidR="006A0C0B" w:rsidRDefault="006A0C0B">
            <w:pPr>
              <w:jc w:val="right"/>
              <w:rPr>
                <w:rFonts w:ascii="CAIXA Std Book" w:hAnsi="CAIXA Std Book"/>
                <w:color w:val="005CA9"/>
                <w:sz w:val="18"/>
                <w:szCs w:val="18"/>
              </w:rPr>
            </w:pPr>
            <w:r>
              <w:rPr>
                <w:rFonts w:ascii="CAIXA Std Book" w:hAnsi="CAIXA Std Book" w:cs="Calibri"/>
                <w:color w:val="005CA9"/>
                <w:sz w:val="18"/>
                <w:szCs w:val="18"/>
              </w:rPr>
              <w:t>(1.</w:t>
            </w:r>
            <w:r w:rsidR="005776BB">
              <w:rPr>
                <w:rFonts w:ascii="CAIXA Std Book" w:hAnsi="CAIXA Std Book" w:cs="Calibri"/>
                <w:color w:val="005CA9"/>
                <w:sz w:val="18"/>
                <w:szCs w:val="18"/>
              </w:rPr>
              <w:t>712.733</w:t>
            </w:r>
            <w:r>
              <w:rPr>
                <w:rFonts w:ascii="CAIXA Std Book" w:hAnsi="CAIXA Std Book" w:cs="Calibri"/>
                <w:color w:val="005CA9"/>
                <w:sz w:val="18"/>
                <w:szCs w:val="18"/>
              </w:rPr>
              <w:t>)</w:t>
            </w:r>
          </w:p>
        </w:tc>
      </w:tr>
      <w:tr w:rsidR="006A0C0B" w:rsidRPr="00B761B5" w14:paraId="04F836DD" w14:textId="77777777" w:rsidTr="00D91FED">
        <w:trPr>
          <w:trHeight w:val="283"/>
        </w:trPr>
        <w:tc>
          <w:tcPr>
            <w:tcW w:w="1895" w:type="pct"/>
            <w:shd w:val="clear" w:color="000000" w:fill="FFFFFF"/>
            <w:noWrap/>
            <w:vAlign w:val="center"/>
            <w:hideMark/>
          </w:tcPr>
          <w:p w14:paraId="5272A423" w14:textId="77777777" w:rsidR="006A0C0B" w:rsidRPr="00B761B5" w:rsidRDefault="006A0C0B">
            <w:pPr>
              <w:ind w:firstLineChars="100" w:firstLine="180"/>
              <w:rPr>
                <w:rFonts w:ascii="CAIXA Std Book" w:eastAsia="Times New Roman" w:hAnsi="CAIXA Std Book" w:cs="Calibri"/>
                <w:color w:val="005CA9"/>
                <w:sz w:val="18"/>
                <w:szCs w:val="18"/>
              </w:rPr>
            </w:pPr>
            <w:r w:rsidRPr="00B761B5">
              <w:rPr>
                <w:rFonts w:ascii="CAIXA Std Book" w:eastAsia="Times New Roman" w:hAnsi="CAIXA Std Book" w:cs="Calibri"/>
                <w:color w:val="005CA9"/>
                <w:sz w:val="18"/>
                <w:szCs w:val="18"/>
              </w:rPr>
              <w:t>Garantias financeiras prestadas</w:t>
            </w:r>
          </w:p>
        </w:tc>
        <w:tc>
          <w:tcPr>
            <w:tcW w:w="514" w:type="pct"/>
            <w:shd w:val="clear" w:color="000000" w:fill="FFFFFF"/>
            <w:noWrap/>
            <w:vAlign w:val="center"/>
          </w:tcPr>
          <w:p w14:paraId="130FC61C" w14:textId="478DCC68" w:rsidR="006A0C0B" w:rsidRPr="00B761B5" w:rsidRDefault="00400DF0">
            <w:pPr>
              <w:jc w:val="center"/>
              <w:rPr>
                <w:rFonts w:ascii="CAIXA Std Book" w:eastAsia="Times New Roman" w:hAnsi="CAIXA Std Book" w:cs="Calibri"/>
                <w:color w:val="005CA9"/>
                <w:sz w:val="18"/>
                <w:szCs w:val="18"/>
              </w:rPr>
            </w:pPr>
            <w:r>
              <w:rPr>
                <w:rFonts w:ascii="CAIXA Std Book" w:hAnsi="CAIXA Std Book" w:cs="Calibri"/>
                <w:color w:val="005CA9"/>
                <w:sz w:val="18"/>
                <w:szCs w:val="18"/>
              </w:rPr>
              <w:t>-</w:t>
            </w:r>
          </w:p>
        </w:tc>
        <w:tc>
          <w:tcPr>
            <w:tcW w:w="524" w:type="pct"/>
            <w:shd w:val="clear" w:color="000000" w:fill="FFFFFF"/>
            <w:noWrap/>
            <w:vAlign w:val="center"/>
          </w:tcPr>
          <w:p w14:paraId="5F2FC928" w14:textId="3E9F278A" w:rsidR="006A0C0B" w:rsidRPr="00B761B5" w:rsidRDefault="00400DF0">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(49.578)</w:t>
            </w:r>
          </w:p>
        </w:tc>
        <w:tc>
          <w:tcPr>
            <w:tcW w:w="524" w:type="pct"/>
            <w:shd w:val="clear" w:color="000000" w:fill="FFFFFF"/>
            <w:noWrap/>
            <w:vAlign w:val="center"/>
          </w:tcPr>
          <w:p w14:paraId="4744EB15" w14:textId="31ACA8D7" w:rsidR="006A0C0B" w:rsidRPr="00B761B5" w:rsidRDefault="00400DF0">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(49.578)</w:t>
            </w:r>
          </w:p>
        </w:tc>
        <w:tc>
          <w:tcPr>
            <w:tcW w:w="514" w:type="pct"/>
            <w:shd w:val="clear" w:color="000000" w:fill="FFFFFF"/>
            <w:vAlign w:val="center"/>
          </w:tcPr>
          <w:p w14:paraId="39FB5F85" w14:textId="7ABCB572" w:rsidR="006A0C0B" w:rsidRDefault="006A0C0B">
            <w:pPr>
              <w:jc w:val="center"/>
              <w:rPr>
                <w:rFonts w:ascii="CAIXA Std Book" w:hAnsi="CAIXA Std Book"/>
                <w:color w:val="005CA9"/>
                <w:sz w:val="18"/>
                <w:szCs w:val="18"/>
              </w:rPr>
            </w:pPr>
            <w:r>
              <w:rPr>
                <w:rFonts w:ascii="CAIXA Std Book" w:hAnsi="CAIXA Std Book" w:cs="Calibri"/>
                <w:color w:val="005CA9"/>
                <w:sz w:val="18"/>
                <w:szCs w:val="18"/>
              </w:rPr>
              <w:t>-</w:t>
            </w:r>
          </w:p>
        </w:tc>
        <w:tc>
          <w:tcPr>
            <w:tcW w:w="514" w:type="pct"/>
            <w:shd w:val="clear" w:color="000000" w:fill="FFFFFF"/>
            <w:vAlign w:val="center"/>
          </w:tcPr>
          <w:p w14:paraId="7B8C3174" w14:textId="270C7C5F" w:rsidR="006A0C0B" w:rsidRDefault="005776BB">
            <w:pPr>
              <w:jc w:val="right"/>
              <w:rPr>
                <w:rFonts w:ascii="CAIXA Std Book" w:hAnsi="CAIXA Std Book"/>
                <w:color w:val="005CA9"/>
                <w:sz w:val="18"/>
                <w:szCs w:val="18"/>
              </w:rPr>
            </w:pPr>
            <w:r>
              <w:rPr>
                <w:rFonts w:ascii="CAIXA Std Book" w:hAnsi="CAIXA Std Book" w:cs="Calibri"/>
                <w:color w:val="005CA9"/>
                <w:sz w:val="18"/>
                <w:szCs w:val="18"/>
              </w:rPr>
              <w:t>(50.696)</w:t>
            </w:r>
          </w:p>
        </w:tc>
        <w:tc>
          <w:tcPr>
            <w:tcW w:w="515" w:type="pct"/>
            <w:shd w:val="clear" w:color="000000" w:fill="FFFFFF"/>
            <w:vAlign w:val="center"/>
          </w:tcPr>
          <w:p w14:paraId="4C521B90" w14:textId="5AD427CB" w:rsidR="006A0C0B" w:rsidRDefault="005776BB">
            <w:pPr>
              <w:jc w:val="right"/>
              <w:rPr>
                <w:rFonts w:ascii="CAIXA Std Book" w:hAnsi="CAIXA Std Book"/>
                <w:color w:val="005CA9"/>
                <w:sz w:val="18"/>
                <w:szCs w:val="18"/>
              </w:rPr>
            </w:pPr>
            <w:r>
              <w:rPr>
                <w:rFonts w:ascii="CAIXA Std Book" w:hAnsi="CAIXA Std Book" w:cs="Calibri"/>
                <w:color w:val="005CA9"/>
                <w:sz w:val="18"/>
                <w:szCs w:val="18"/>
              </w:rPr>
              <w:t>(50.696)</w:t>
            </w:r>
          </w:p>
        </w:tc>
      </w:tr>
      <w:tr w:rsidR="006A0C0B" w:rsidRPr="00B761B5" w14:paraId="7ED89ACD" w14:textId="77777777" w:rsidTr="00D91FED">
        <w:trPr>
          <w:trHeight w:val="283"/>
        </w:trPr>
        <w:tc>
          <w:tcPr>
            <w:tcW w:w="1895" w:type="pct"/>
            <w:shd w:val="clear" w:color="auto" w:fill="005CA9"/>
            <w:noWrap/>
            <w:vAlign w:val="center"/>
            <w:hideMark/>
          </w:tcPr>
          <w:p w14:paraId="415D5DB4" w14:textId="77777777" w:rsidR="006A0C0B" w:rsidRPr="00B761B5" w:rsidRDefault="006A0C0B">
            <w:pPr>
              <w:rPr>
                <w:rFonts w:ascii="CAIXA Std Book" w:eastAsia="Times New Roman" w:hAnsi="CAIXA Std Book" w:cs="Calibri"/>
                <w:b/>
                <w:bCs/>
                <w:color w:val="FFFFFF"/>
                <w:sz w:val="18"/>
                <w:szCs w:val="18"/>
              </w:rPr>
            </w:pPr>
            <w:r w:rsidRPr="00B761B5">
              <w:rPr>
                <w:rFonts w:ascii="CAIXA Std Book" w:eastAsia="Times New Roman" w:hAnsi="CAIXA Std Book" w:cs="Calibri"/>
                <w:b/>
                <w:bCs/>
                <w:color w:val="FFFFFF"/>
                <w:sz w:val="18"/>
                <w:szCs w:val="18"/>
              </w:rPr>
              <w:t>Total</w:t>
            </w:r>
          </w:p>
        </w:tc>
        <w:tc>
          <w:tcPr>
            <w:tcW w:w="514" w:type="pct"/>
            <w:shd w:val="clear" w:color="000000" w:fill="005CA9"/>
            <w:vAlign w:val="center"/>
          </w:tcPr>
          <w:p w14:paraId="35E09CAE" w14:textId="70FE1615" w:rsidR="006A0C0B" w:rsidRPr="00B761B5" w:rsidRDefault="00400DF0">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(29.854.220)</w:t>
            </w:r>
          </w:p>
        </w:tc>
        <w:tc>
          <w:tcPr>
            <w:tcW w:w="524" w:type="pct"/>
            <w:shd w:val="clear" w:color="000000" w:fill="005CA9"/>
            <w:vAlign w:val="center"/>
          </w:tcPr>
          <w:p w14:paraId="04E79455" w14:textId="0CEC5810" w:rsidR="006A0C0B" w:rsidRPr="00B761B5" w:rsidRDefault="00400DF0">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(41.768.104)</w:t>
            </w:r>
          </w:p>
        </w:tc>
        <w:tc>
          <w:tcPr>
            <w:tcW w:w="524" w:type="pct"/>
            <w:shd w:val="clear" w:color="000000" w:fill="005CA9"/>
            <w:vAlign w:val="center"/>
          </w:tcPr>
          <w:p w14:paraId="4332418B" w14:textId="79A7A079" w:rsidR="006A0C0B" w:rsidRPr="00B761B5" w:rsidRDefault="00400DF0">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(71.622.324)</w:t>
            </w:r>
          </w:p>
        </w:tc>
        <w:tc>
          <w:tcPr>
            <w:tcW w:w="514" w:type="pct"/>
            <w:shd w:val="clear" w:color="000000" w:fill="005CA9"/>
            <w:vAlign w:val="center"/>
          </w:tcPr>
          <w:p w14:paraId="7A0941F7" w14:textId="372B7319" w:rsidR="006A0C0B" w:rsidRPr="005644EE" w:rsidRDefault="005776BB">
            <w:pPr>
              <w:jc w:val="right"/>
              <w:rPr>
                <w:rFonts w:ascii="CAIXA Std Book" w:hAnsi="CAIXA Std Book" w:cs="Calibri"/>
                <w:b/>
                <w:color w:val="FFFFFF"/>
                <w:sz w:val="18"/>
                <w:szCs w:val="18"/>
              </w:rPr>
            </w:pPr>
            <w:r>
              <w:rPr>
                <w:rFonts w:ascii="CAIXA Std Book" w:hAnsi="CAIXA Std Book" w:cs="Calibri"/>
                <w:b/>
                <w:bCs/>
                <w:color w:val="FFFFFF"/>
                <w:sz w:val="18"/>
                <w:szCs w:val="18"/>
              </w:rPr>
              <w:t>(26.074.767)</w:t>
            </w:r>
          </w:p>
        </w:tc>
        <w:tc>
          <w:tcPr>
            <w:tcW w:w="514" w:type="pct"/>
            <w:shd w:val="clear" w:color="000000" w:fill="005CA9"/>
            <w:vAlign w:val="center"/>
          </w:tcPr>
          <w:p w14:paraId="5034A414" w14:textId="16E5E844" w:rsidR="006A0C0B" w:rsidRPr="005644EE" w:rsidRDefault="005776BB">
            <w:pPr>
              <w:jc w:val="right"/>
              <w:rPr>
                <w:rFonts w:ascii="CAIXA Std Book" w:hAnsi="CAIXA Std Book" w:cs="Calibri"/>
                <w:b/>
                <w:color w:val="FFFFFF"/>
                <w:sz w:val="18"/>
                <w:szCs w:val="18"/>
              </w:rPr>
            </w:pPr>
            <w:r>
              <w:rPr>
                <w:rFonts w:ascii="CAIXA Std Book" w:hAnsi="CAIXA Std Book" w:cs="Calibri"/>
                <w:b/>
                <w:bCs/>
                <w:color w:val="FFFFFF"/>
                <w:sz w:val="18"/>
                <w:szCs w:val="18"/>
              </w:rPr>
              <w:t>(42.381.970)</w:t>
            </w:r>
          </w:p>
        </w:tc>
        <w:tc>
          <w:tcPr>
            <w:tcW w:w="515" w:type="pct"/>
            <w:shd w:val="clear" w:color="000000" w:fill="005CA9"/>
            <w:vAlign w:val="center"/>
          </w:tcPr>
          <w:p w14:paraId="0E877D25" w14:textId="27D988F2" w:rsidR="006A0C0B" w:rsidRPr="00CD04F5" w:rsidRDefault="005776BB">
            <w:pPr>
              <w:jc w:val="right"/>
              <w:rPr>
                <w:rFonts w:ascii="CAIXA Std Book" w:hAnsi="CAIXA Std Book"/>
                <w:b/>
                <w:bCs/>
                <w:color w:val="FFFFFF"/>
                <w:sz w:val="18"/>
                <w:szCs w:val="18"/>
              </w:rPr>
            </w:pPr>
            <w:r>
              <w:rPr>
                <w:rFonts w:ascii="CAIXA Std Book" w:hAnsi="CAIXA Std Book" w:cs="Calibri"/>
                <w:b/>
                <w:bCs/>
                <w:color w:val="FFFFFF"/>
                <w:sz w:val="18"/>
                <w:szCs w:val="18"/>
              </w:rPr>
              <w:t>(68.456.737)</w:t>
            </w:r>
          </w:p>
        </w:tc>
      </w:tr>
    </w:tbl>
    <w:p w14:paraId="727EF4E2" w14:textId="77777777" w:rsidR="005C44A7" w:rsidRDefault="005C44A7">
      <w:pPr>
        <w:rPr>
          <w:rFonts w:ascii="CAIXA Std Book" w:hAnsi="CAIXA Std Book"/>
          <w:b/>
          <w:color w:val="005CA9"/>
          <w:sz w:val="20"/>
          <w:szCs w:val="20"/>
        </w:rPr>
      </w:pPr>
      <w:r>
        <w:rPr>
          <w:rFonts w:ascii="CAIXA Std Book" w:hAnsi="CAIXA Std Book"/>
          <w:b/>
          <w:color w:val="005CA9"/>
          <w:sz w:val="20"/>
          <w:szCs w:val="20"/>
        </w:rPr>
        <w:br w:type="page"/>
      </w:r>
    </w:p>
    <w:p w14:paraId="26C3AA93" w14:textId="024BA7BD" w:rsidR="008D1FAD" w:rsidRPr="006A0C0B" w:rsidRDefault="008D1FAD" w:rsidP="00295657">
      <w:pPr>
        <w:pStyle w:val="PargrafodaLista"/>
        <w:numPr>
          <w:ilvl w:val="0"/>
          <w:numId w:val="29"/>
        </w:numPr>
        <w:spacing w:before="240" w:after="120"/>
        <w:ind w:left="567" w:hanging="567"/>
        <w:contextualSpacing w:val="0"/>
        <w:rPr>
          <w:rFonts w:ascii="CAIXA Std Book" w:hAnsi="CAIXA Std Book"/>
          <w:b/>
          <w:color w:val="005CA9"/>
          <w:sz w:val="20"/>
          <w:szCs w:val="20"/>
        </w:rPr>
      </w:pPr>
      <w:r w:rsidRPr="0037534A">
        <w:rPr>
          <w:rFonts w:ascii="CAIXA Std Book" w:hAnsi="CAIXA Std Book"/>
          <w:b/>
          <w:color w:val="005CA9"/>
          <w:sz w:val="20"/>
          <w:szCs w:val="20"/>
        </w:rPr>
        <w:t>Movimentação da provisão para perdas esperadas p</w:t>
      </w:r>
      <w:r>
        <w:rPr>
          <w:rFonts w:ascii="CAIXA Std Book" w:hAnsi="CAIXA Std Book"/>
          <w:b/>
          <w:color w:val="005CA9"/>
          <w:sz w:val="20"/>
          <w:szCs w:val="20"/>
        </w:rPr>
        <w:t>or instrumento financeiro e estágio</w:t>
      </w:r>
      <w:r w:rsidRPr="0037534A">
        <w:rPr>
          <w:rFonts w:ascii="CAIXA Std Book" w:hAnsi="CAIXA Std Book"/>
          <w:b/>
          <w:color w:val="005CA9"/>
          <w:sz w:val="20"/>
          <w:szCs w:val="20"/>
        </w:rPr>
        <w:t xml:space="preserve"> </w:t>
      </w:r>
    </w:p>
    <w:tbl>
      <w:tblPr>
        <w:tblW w:w="5001" w:type="pct"/>
        <w:tblCellMar>
          <w:left w:w="70" w:type="dxa"/>
          <w:right w:w="70" w:type="dxa"/>
        </w:tblCellMar>
        <w:tblLook w:val="04A0" w:firstRow="1" w:lastRow="0" w:firstColumn="1" w:lastColumn="0" w:noHBand="0" w:noVBand="1"/>
      </w:tblPr>
      <w:tblGrid>
        <w:gridCol w:w="5540"/>
        <w:gridCol w:w="1807"/>
        <w:gridCol w:w="1807"/>
        <w:gridCol w:w="1807"/>
        <w:gridCol w:w="1807"/>
        <w:gridCol w:w="1804"/>
      </w:tblGrid>
      <w:tr w:rsidR="00805005" w:rsidRPr="006F29B4" w14:paraId="3DC3E218" w14:textId="77777777" w:rsidTr="00D91FED">
        <w:trPr>
          <w:trHeight w:val="283"/>
        </w:trPr>
        <w:tc>
          <w:tcPr>
            <w:tcW w:w="5000" w:type="pct"/>
            <w:gridSpan w:val="6"/>
            <w:tcBorders>
              <w:bottom w:val="single" w:sz="4" w:space="0" w:color="FFFFFF" w:themeColor="background1"/>
            </w:tcBorders>
            <w:shd w:val="clear" w:color="auto" w:fill="005CA9"/>
            <w:noWrap/>
            <w:vAlign w:val="center"/>
            <w:hideMark/>
          </w:tcPr>
          <w:p w14:paraId="02C43F7A" w14:textId="42792A5B" w:rsidR="00DC72B3" w:rsidRPr="00DC72B3" w:rsidRDefault="00913FBC" w:rsidP="00DC72B3">
            <w:pPr>
              <w:jc w:val="center"/>
              <w:rPr>
                <w:rFonts w:ascii="CAIXA Std Book" w:eastAsia="Times New Roman" w:hAnsi="CAIXA Std Book" w:cs="Arial"/>
                <w:b/>
                <w:bCs/>
                <w:color w:val="FFFFFF"/>
                <w:sz w:val="18"/>
                <w:szCs w:val="18"/>
              </w:rPr>
            </w:pPr>
            <w:bookmarkStart w:id="99" w:name="_Hlk198121544"/>
            <w:r w:rsidRPr="00DC72B3">
              <w:rPr>
                <w:rFonts w:ascii="CAIXA Std Book" w:eastAsia="Times New Roman" w:hAnsi="CAIXA Std Book" w:cs="Arial"/>
                <w:b/>
                <w:color w:val="FFFFFF"/>
                <w:sz w:val="18"/>
                <w:szCs w:val="18"/>
              </w:rPr>
              <w:t>I</w:t>
            </w:r>
            <w:r>
              <w:rPr>
                <w:rFonts w:ascii="CAIXA Std Book" w:eastAsia="Times New Roman" w:hAnsi="CAIXA Std Book" w:cs="Arial"/>
                <w:b/>
                <w:color w:val="FFFFFF"/>
                <w:sz w:val="18"/>
                <w:szCs w:val="18"/>
              </w:rPr>
              <w:t>ndividual</w:t>
            </w:r>
          </w:p>
        </w:tc>
      </w:tr>
      <w:tr w:rsidR="0015386D" w:rsidRPr="006F29B4" w14:paraId="28165D09" w14:textId="77777777" w:rsidTr="00D91FED">
        <w:trPr>
          <w:trHeight w:val="283"/>
        </w:trPr>
        <w:tc>
          <w:tcPr>
            <w:tcW w:w="1901" w:type="pct"/>
            <w:tcBorders>
              <w:top w:val="single" w:sz="4" w:space="0" w:color="FFFFFF" w:themeColor="background1"/>
            </w:tcBorders>
            <w:shd w:val="clear" w:color="auto" w:fill="005CA9"/>
            <w:vAlign w:val="center"/>
            <w:hideMark/>
          </w:tcPr>
          <w:p w14:paraId="1EC58418" w14:textId="77777777" w:rsidR="00DC72B3" w:rsidRPr="006F29B4" w:rsidRDefault="00DC72B3" w:rsidP="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Estágio 1</w:t>
            </w:r>
          </w:p>
        </w:tc>
        <w:tc>
          <w:tcPr>
            <w:tcW w:w="620" w:type="pct"/>
            <w:tcBorders>
              <w:top w:val="single" w:sz="4" w:space="0" w:color="FFFFFF" w:themeColor="background1"/>
            </w:tcBorders>
            <w:shd w:val="clear" w:color="auto" w:fill="005CA9"/>
            <w:vAlign w:val="center"/>
            <w:hideMark/>
          </w:tcPr>
          <w:p w14:paraId="0C3A4A9E" w14:textId="77777777" w:rsidR="00366EDD" w:rsidRDefault="00DC72B3" w:rsidP="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Saldo em</w:t>
            </w:r>
          </w:p>
          <w:p w14:paraId="1A69613E" w14:textId="503BF197" w:rsidR="00DC72B3" w:rsidRPr="006F29B4" w:rsidRDefault="00154A03" w:rsidP="00DC72B3">
            <w:pPr>
              <w:jc w:val="center"/>
              <w:rPr>
                <w:rFonts w:ascii="CAIXA Std Book" w:eastAsia="Times New Roman" w:hAnsi="CAIXA Std Book" w:cs="Arial"/>
                <w:b/>
                <w:color w:val="FFFFFF"/>
                <w:sz w:val="18"/>
                <w:szCs w:val="18"/>
              </w:rPr>
            </w:pPr>
            <w:r>
              <w:rPr>
                <w:rFonts w:ascii="CAIXA Std Book" w:eastAsia="Times New Roman" w:hAnsi="CAIXA Std Book" w:cs="Arial"/>
                <w:b/>
                <w:color w:val="FFFFFF"/>
                <w:sz w:val="18"/>
                <w:szCs w:val="18"/>
              </w:rPr>
              <w:t>31/12/2025</w:t>
            </w:r>
          </w:p>
        </w:tc>
        <w:tc>
          <w:tcPr>
            <w:tcW w:w="620" w:type="pct"/>
            <w:tcBorders>
              <w:top w:val="single" w:sz="4" w:space="0" w:color="FFFFFF" w:themeColor="background1"/>
            </w:tcBorders>
            <w:shd w:val="clear" w:color="auto" w:fill="005CA9"/>
            <w:vAlign w:val="center"/>
            <w:hideMark/>
          </w:tcPr>
          <w:p w14:paraId="23557D47" w14:textId="77777777" w:rsidR="00AC12BC" w:rsidRDefault="00DC72B3" w:rsidP="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Constituição/</w:t>
            </w:r>
          </w:p>
          <w:p w14:paraId="57C436CD" w14:textId="412E2BDC" w:rsidR="00DC72B3" w:rsidRPr="006F29B4" w:rsidRDefault="00DC72B3" w:rsidP="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reversão</w:t>
            </w:r>
          </w:p>
        </w:tc>
        <w:tc>
          <w:tcPr>
            <w:tcW w:w="620" w:type="pct"/>
            <w:tcBorders>
              <w:top w:val="single" w:sz="4" w:space="0" w:color="FFFFFF" w:themeColor="background1"/>
            </w:tcBorders>
            <w:shd w:val="clear" w:color="auto" w:fill="005CA9"/>
            <w:vAlign w:val="center"/>
            <w:hideMark/>
          </w:tcPr>
          <w:p w14:paraId="496C5FA9" w14:textId="77777777" w:rsidR="001B254B" w:rsidRDefault="00DC72B3" w:rsidP="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Transferência do/</w:t>
            </w:r>
          </w:p>
          <w:p w14:paraId="1D7747EB" w14:textId="045EF1BC" w:rsidR="00DC72B3" w:rsidRPr="006F29B4" w:rsidRDefault="006404CE" w:rsidP="00DC72B3">
            <w:pPr>
              <w:jc w:val="center"/>
              <w:rPr>
                <w:rFonts w:ascii="CAIXA Std Book" w:eastAsia="Times New Roman" w:hAnsi="CAIXA Std Book" w:cs="Arial"/>
                <w:b/>
                <w:color w:val="FFFFFF"/>
                <w:sz w:val="18"/>
                <w:szCs w:val="18"/>
              </w:rPr>
            </w:pPr>
            <w:r>
              <w:rPr>
                <w:rFonts w:ascii="CAIXA Std Book" w:eastAsia="Times New Roman" w:hAnsi="CAIXA Std Book" w:cs="Arial"/>
                <w:b/>
                <w:color w:val="FFFFFF"/>
                <w:sz w:val="18"/>
                <w:szCs w:val="18"/>
              </w:rPr>
              <w:t xml:space="preserve"> </w:t>
            </w:r>
            <w:r w:rsidR="00DC72B3" w:rsidRPr="006F29B4">
              <w:rPr>
                <w:rFonts w:ascii="CAIXA Std Book" w:eastAsia="Times New Roman" w:hAnsi="CAIXA Std Book" w:cs="Arial"/>
                <w:b/>
                <w:color w:val="FFFFFF"/>
                <w:sz w:val="18"/>
                <w:szCs w:val="18"/>
              </w:rPr>
              <w:t>para estágio 2</w:t>
            </w:r>
          </w:p>
        </w:tc>
        <w:tc>
          <w:tcPr>
            <w:tcW w:w="620" w:type="pct"/>
            <w:tcBorders>
              <w:top w:val="single" w:sz="4" w:space="0" w:color="FFFFFF" w:themeColor="background1"/>
            </w:tcBorders>
            <w:shd w:val="clear" w:color="auto" w:fill="005CA9"/>
            <w:vAlign w:val="center"/>
            <w:hideMark/>
          </w:tcPr>
          <w:p w14:paraId="0A716111" w14:textId="0ECAB854" w:rsidR="00382B71" w:rsidRDefault="00DC72B3" w:rsidP="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Transferência do/</w:t>
            </w:r>
          </w:p>
          <w:p w14:paraId="040EB600" w14:textId="69E7017D" w:rsidR="00DC72B3" w:rsidRPr="006F29B4" w:rsidRDefault="00DC72B3" w:rsidP="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para estágio 3</w:t>
            </w:r>
          </w:p>
        </w:tc>
        <w:tc>
          <w:tcPr>
            <w:tcW w:w="620" w:type="pct"/>
            <w:tcBorders>
              <w:top w:val="single" w:sz="4" w:space="0" w:color="FFFFFF" w:themeColor="background1"/>
            </w:tcBorders>
            <w:shd w:val="clear" w:color="auto" w:fill="005CA9"/>
            <w:vAlign w:val="center"/>
            <w:hideMark/>
          </w:tcPr>
          <w:p w14:paraId="72D1380B" w14:textId="77777777" w:rsidR="00366EDD" w:rsidRDefault="00DC72B3" w:rsidP="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Saldo em</w:t>
            </w:r>
          </w:p>
          <w:p w14:paraId="4368D73F" w14:textId="6B584A06" w:rsidR="00DC72B3" w:rsidRPr="006F29B4" w:rsidRDefault="005C3877" w:rsidP="00DC72B3">
            <w:pPr>
              <w:jc w:val="center"/>
              <w:rPr>
                <w:rFonts w:ascii="CAIXA Std Book" w:eastAsia="Times New Roman" w:hAnsi="CAIXA Std Book" w:cs="Arial"/>
                <w:b/>
                <w:color w:val="FFFFFF"/>
                <w:sz w:val="18"/>
                <w:szCs w:val="18"/>
              </w:rPr>
            </w:pPr>
            <w:r>
              <w:rPr>
                <w:rFonts w:ascii="CAIXA Std Book" w:eastAsia="Times New Roman" w:hAnsi="CAIXA Std Book" w:cs="Arial"/>
                <w:b/>
                <w:color w:val="FFFFFF"/>
                <w:sz w:val="18"/>
                <w:szCs w:val="18"/>
              </w:rPr>
              <w:t>31/03/2026</w:t>
            </w:r>
          </w:p>
        </w:tc>
      </w:tr>
      <w:tr w:rsidR="0015386D" w:rsidRPr="006F29B4" w14:paraId="37B1681A" w14:textId="77777777" w:rsidTr="00D91FED">
        <w:trPr>
          <w:trHeight w:val="283"/>
        </w:trPr>
        <w:tc>
          <w:tcPr>
            <w:tcW w:w="1901" w:type="pct"/>
            <w:shd w:val="clear" w:color="auto" w:fill="D0E0E3"/>
            <w:noWrap/>
            <w:vAlign w:val="center"/>
            <w:hideMark/>
          </w:tcPr>
          <w:p w14:paraId="7CFBF13E" w14:textId="05845EA6" w:rsidR="00077512" w:rsidRPr="006F29B4" w:rsidRDefault="00077512" w:rsidP="00077512">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 xml:space="preserve">Ativos </w:t>
            </w:r>
            <w:r>
              <w:rPr>
                <w:rFonts w:ascii="CAIXA Std Book" w:eastAsia="Times New Roman" w:hAnsi="CAIXA Std Book" w:cs="Arial"/>
                <w:b/>
                <w:color w:val="005CA9"/>
                <w:sz w:val="18"/>
                <w:szCs w:val="18"/>
              </w:rPr>
              <w:t>f</w:t>
            </w:r>
            <w:r w:rsidRPr="006F29B4">
              <w:rPr>
                <w:rFonts w:ascii="CAIXA Std Book" w:eastAsia="Times New Roman" w:hAnsi="CAIXA Std Book" w:cs="Arial"/>
                <w:b/>
                <w:color w:val="005CA9"/>
                <w:sz w:val="18"/>
                <w:szCs w:val="18"/>
              </w:rPr>
              <w:t>inanceiros</w:t>
            </w:r>
          </w:p>
        </w:tc>
        <w:tc>
          <w:tcPr>
            <w:tcW w:w="620" w:type="pct"/>
            <w:shd w:val="clear" w:color="000000" w:fill="D0E0E3"/>
            <w:noWrap/>
            <w:vAlign w:val="center"/>
          </w:tcPr>
          <w:p w14:paraId="6862C298" w14:textId="75452ED3" w:rsidR="00077512" w:rsidRPr="006F29B4" w:rsidRDefault="00F13344" w:rsidP="00077512">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(10.782.596)</w:t>
            </w:r>
          </w:p>
        </w:tc>
        <w:tc>
          <w:tcPr>
            <w:tcW w:w="620" w:type="pct"/>
            <w:shd w:val="clear" w:color="000000" w:fill="D0E0E3"/>
            <w:noWrap/>
            <w:vAlign w:val="center"/>
          </w:tcPr>
          <w:p w14:paraId="2FD030CA" w14:textId="12CA9F8D" w:rsidR="00077512" w:rsidRPr="0047755B" w:rsidRDefault="00F13344" w:rsidP="00077512">
            <w:pPr>
              <w:jc w:val="right"/>
              <w:rPr>
                <w:rFonts w:ascii="CAIXA Std Book" w:hAnsi="CAIXA Std Book" w:cs="Calibri"/>
                <w:b/>
                <w:color w:val="005CA9"/>
                <w:sz w:val="18"/>
                <w:szCs w:val="18"/>
              </w:rPr>
            </w:pPr>
            <w:r>
              <w:rPr>
                <w:rFonts w:ascii="CAIXA Std Book" w:hAnsi="CAIXA Std Book" w:cs="Calibri"/>
                <w:b/>
                <w:bCs/>
                <w:color w:val="005CA9"/>
                <w:sz w:val="18"/>
                <w:szCs w:val="18"/>
              </w:rPr>
              <w:t>1.896.374</w:t>
            </w:r>
          </w:p>
        </w:tc>
        <w:tc>
          <w:tcPr>
            <w:tcW w:w="620" w:type="pct"/>
            <w:shd w:val="clear" w:color="000000" w:fill="D0E0E3"/>
            <w:noWrap/>
            <w:vAlign w:val="center"/>
          </w:tcPr>
          <w:p w14:paraId="60EC7A9D" w14:textId="705F0D78" w:rsidR="00077512" w:rsidRPr="00941348" w:rsidRDefault="00F13344" w:rsidP="00077512">
            <w:pPr>
              <w:jc w:val="right"/>
              <w:rPr>
                <w:rFonts w:ascii="CAIXA Std Book" w:hAnsi="CAIXA Std Book" w:cs="Calibri"/>
                <w:b/>
                <w:color w:val="005CA9"/>
                <w:sz w:val="18"/>
                <w:szCs w:val="18"/>
              </w:rPr>
            </w:pPr>
            <w:r>
              <w:rPr>
                <w:rFonts w:ascii="CAIXA Std Book" w:hAnsi="CAIXA Std Book" w:cs="Calibri"/>
                <w:b/>
                <w:bCs/>
                <w:color w:val="005CA9"/>
                <w:sz w:val="18"/>
                <w:szCs w:val="18"/>
              </w:rPr>
              <w:t>(410.186)</w:t>
            </w:r>
          </w:p>
        </w:tc>
        <w:tc>
          <w:tcPr>
            <w:tcW w:w="620" w:type="pct"/>
            <w:shd w:val="clear" w:color="000000" w:fill="D0E0E3"/>
            <w:noWrap/>
            <w:vAlign w:val="center"/>
          </w:tcPr>
          <w:p w14:paraId="6B28D2F1" w14:textId="09949E8C" w:rsidR="00077512" w:rsidRPr="006F29B4" w:rsidRDefault="00F13344" w:rsidP="00077512">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(1.177.353)</w:t>
            </w:r>
          </w:p>
        </w:tc>
        <w:tc>
          <w:tcPr>
            <w:tcW w:w="620" w:type="pct"/>
            <w:shd w:val="clear" w:color="000000" w:fill="D0E0E3"/>
            <w:noWrap/>
            <w:vAlign w:val="center"/>
          </w:tcPr>
          <w:p w14:paraId="183155B3" w14:textId="25930E58" w:rsidR="00077512" w:rsidRPr="000F2E6D" w:rsidRDefault="00F13344" w:rsidP="00077512">
            <w:pPr>
              <w:jc w:val="right"/>
              <w:rPr>
                <w:rFonts w:ascii="CAIXA Std Book" w:hAnsi="CAIXA Std Book" w:cs="Calibri"/>
                <w:b/>
                <w:color w:val="005CA9"/>
                <w:sz w:val="18"/>
                <w:szCs w:val="18"/>
              </w:rPr>
            </w:pPr>
            <w:r>
              <w:rPr>
                <w:rFonts w:ascii="CAIXA Std Book" w:hAnsi="CAIXA Std Book" w:cs="Calibri"/>
                <w:b/>
                <w:bCs/>
                <w:color w:val="005CA9"/>
                <w:sz w:val="18"/>
                <w:szCs w:val="18"/>
              </w:rPr>
              <w:t>(10.473.761)</w:t>
            </w:r>
          </w:p>
        </w:tc>
      </w:tr>
      <w:tr w:rsidR="004A4C74" w:rsidRPr="006F29B4" w14:paraId="14C09E70" w14:textId="77777777" w:rsidTr="00D91FED">
        <w:trPr>
          <w:trHeight w:val="283"/>
        </w:trPr>
        <w:tc>
          <w:tcPr>
            <w:tcW w:w="1901" w:type="pct"/>
            <w:noWrap/>
            <w:vAlign w:val="center"/>
            <w:hideMark/>
          </w:tcPr>
          <w:p w14:paraId="73449D07" w14:textId="06A240F9" w:rsidR="004A4C74" w:rsidRPr="006F29B4" w:rsidRDefault="004A4C74" w:rsidP="004A4C74">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Títulos e </w:t>
            </w:r>
            <w:r>
              <w:rPr>
                <w:rFonts w:ascii="CAIXA Std Book" w:eastAsia="Times New Roman" w:hAnsi="CAIXA Std Book" w:cs="Arial"/>
                <w:color w:val="005CA9"/>
                <w:sz w:val="18"/>
                <w:szCs w:val="18"/>
              </w:rPr>
              <w:t>v</w:t>
            </w:r>
            <w:r w:rsidRPr="006F29B4">
              <w:rPr>
                <w:rFonts w:ascii="CAIXA Std Book" w:eastAsia="Times New Roman" w:hAnsi="CAIXA Std Book" w:cs="Arial"/>
                <w:color w:val="005CA9"/>
                <w:sz w:val="18"/>
                <w:szCs w:val="18"/>
              </w:rPr>
              <w:t xml:space="preserve">alores </w:t>
            </w:r>
            <w:r>
              <w:rPr>
                <w:rFonts w:ascii="CAIXA Std Book" w:eastAsia="Times New Roman" w:hAnsi="CAIXA Std Book" w:cs="Arial"/>
                <w:color w:val="005CA9"/>
                <w:sz w:val="18"/>
                <w:szCs w:val="18"/>
              </w:rPr>
              <w:t>m</w:t>
            </w:r>
            <w:r w:rsidRPr="006F29B4">
              <w:rPr>
                <w:rFonts w:ascii="CAIXA Std Book" w:eastAsia="Times New Roman" w:hAnsi="CAIXA Std Book" w:cs="Arial"/>
                <w:color w:val="005CA9"/>
                <w:sz w:val="18"/>
                <w:szCs w:val="18"/>
              </w:rPr>
              <w:t>obiliários</w:t>
            </w:r>
          </w:p>
        </w:tc>
        <w:tc>
          <w:tcPr>
            <w:tcW w:w="620" w:type="pct"/>
            <w:noWrap/>
            <w:vAlign w:val="center"/>
            <w:hideMark/>
          </w:tcPr>
          <w:p w14:paraId="2A49020A" w14:textId="6F3444B6" w:rsidR="004A4C74" w:rsidRPr="000742B4" w:rsidRDefault="004A4C74" w:rsidP="004A4C74">
            <w:pPr>
              <w:jc w:val="right"/>
              <w:rPr>
                <w:rFonts w:ascii="CAIXA Std Book" w:hAnsi="CAIXA Std Book"/>
                <w:color w:val="005CA9"/>
                <w:sz w:val="18"/>
                <w:szCs w:val="18"/>
              </w:rPr>
            </w:pPr>
            <w:r>
              <w:rPr>
                <w:rFonts w:ascii="CAIXA Std Book" w:hAnsi="CAIXA Std Book" w:cs="Arial"/>
                <w:color w:val="005CA9"/>
                <w:sz w:val="18"/>
                <w:szCs w:val="18"/>
              </w:rPr>
              <w:t>(108.160)</w:t>
            </w:r>
          </w:p>
        </w:tc>
        <w:tc>
          <w:tcPr>
            <w:tcW w:w="620" w:type="pct"/>
            <w:noWrap/>
            <w:vAlign w:val="center"/>
          </w:tcPr>
          <w:p w14:paraId="4DE01412" w14:textId="507BEB25" w:rsidR="004A4C74" w:rsidRPr="000742B4" w:rsidRDefault="004A4C74" w:rsidP="004A4C74">
            <w:pPr>
              <w:jc w:val="right"/>
              <w:rPr>
                <w:rFonts w:ascii="CAIXA Std Book" w:hAnsi="CAIXA Std Book"/>
                <w:color w:val="005CA9"/>
                <w:sz w:val="18"/>
                <w:szCs w:val="18"/>
              </w:rPr>
            </w:pPr>
            <w:r>
              <w:rPr>
                <w:rFonts w:ascii="CAIXA Std Book" w:hAnsi="CAIXA Std Book" w:cs="Calibri"/>
                <w:color w:val="005CA9"/>
                <w:sz w:val="18"/>
                <w:szCs w:val="18"/>
              </w:rPr>
              <w:t>(17.889)</w:t>
            </w:r>
          </w:p>
        </w:tc>
        <w:tc>
          <w:tcPr>
            <w:tcW w:w="620" w:type="pct"/>
            <w:noWrap/>
            <w:vAlign w:val="center"/>
          </w:tcPr>
          <w:p w14:paraId="286ED999" w14:textId="11093F68" w:rsidR="004A4C74" w:rsidRPr="000742B4" w:rsidRDefault="004A4C74" w:rsidP="00334394">
            <w:pPr>
              <w:jc w:val="center"/>
              <w:rPr>
                <w:rFonts w:ascii="CAIXA Std Book" w:hAnsi="CAIXA Std Book"/>
                <w:color w:val="005CA9"/>
                <w:sz w:val="18"/>
                <w:szCs w:val="18"/>
              </w:rPr>
            </w:pPr>
            <w:r>
              <w:rPr>
                <w:rFonts w:ascii="CAIXA Std Book" w:hAnsi="CAIXA Std Book" w:cs="Calibri"/>
                <w:color w:val="005CA9"/>
                <w:sz w:val="18"/>
                <w:szCs w:val="18"/>
              </w:rPr>
              <w:t>-</w:t>
            </w:r>
          </w:p>
        </w:tc>
        <w:tc>
          <w:tcPr>
            <w:tcW w:w="620" w:type="pct"/>
            <w:noWrap/>
            <w:vAlign w:val="center"/>
          </w:tcPr>
          <w:p w14:paraId="3F9E7B01" w14:textId="06891814" w:rsidR="004A4C74" w:rsidRPr="000742B4" w:rsidRDefault="004A4C74" w:rsidP="00334394">
            <w:pPr>
              <w:jc w:val="center"/>
              <w:rPr>
                <w:rFonts w:ascii="CAIXA Std Book" w:hAnsi="CAIXA Std Book"/>
                <w:color w:val="005CA9"/>
                <w:sz w:val="18"/>
                <w:szCs w:val="18"/>
              </w:rPr>
            </w:pPr>
            <w:r>
              <w:rPr>
                <w:rFonts w:ascii="CAIXA Std Book" w:hAnsi="CAIXA Std Book" w:cs="Calibri"/>
                <w:color w:val="005CA9"/>
                <w:sz w:val="18"/>
                <w:szCs w:val="18"/>
              </w:rPr>
              <w:t>-</w:t>
            </w:r>
          </w:p>
        </w:tc>
        <w:tc>
          <w:tcPr>
            <w:tcW w:w="620" w:type="pct"/>
            <w:noWrap/>
            <w:vAlign w:val="center"/>
          </w:tcPr>
          <w:p w14:paraId="3DE1A696" w14:textId="4E61589D" w:rsidR="004A4C74" w:rsidRPr="000742B4" w:rsidRDefault="004A4C74" w:rsidP="004A4C74">
            <w:pPr>
              <w:jc w:val="right"/>
              <w:rPr>
                <w:rFonts w:ascii="CAIXA Std Book" w:hAnsi="CAIXA Std Book"/>
                <w:color w:val="005CA9"/>
                <w:sz w:val="18"/>
                <w:szCs w:val="18"/>
              </w:rPr>
            </w:pPr>
            <w:r>
              <w:rPr>
                <w:rFonts w:ascii="CAIXA Std Book" w:hAnsi="CAIXA Std Book" w:cs="Calibri"/>
                <w:color w:val="005CA9"/>
                <w:sz w:val="18"/>
                <w:szCs w:val="18"/>
              </w:rPr>
              <w:t>(126.049)</w:t>
            </w:r>
          </w:p>
        </w:tc>
      </w:tr>
      <w:tr w:rsidR="0015386D" w:rsidRPr="006F29B4" w14:paraId="08269961" w14:textId="77777777" w:rsidTr="00D91FED">
        <w:trPr>
          <w:trHeight w:val="283"/>
        </w:trPr>
        <w:tc>
          <w:tcPr>
            <w:tcW w:w="1901" w:type="pct"/>
            <w:noWrap/>
            <w:vAlign w:val="center"/>
            <w:hideMark/>
          </w:tcPr>
          <w:p w14:paraId="3C8AEF47" w14:textId="26BCE1A5" w:rsidR="00077512" w:rsidRPr="006F29B4" w:rsidRDefault="00077512" w:rsidP="00077512">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Carteira de </w:t>
            </w:r>
            <w:r>
              <w:rPr>
                <w:rFonts w:ascii="CAIXA Std Book" w:eastAsia="Times New Roman" w:hAnsi="CAIXA Std Book" w:cs="Arial"/>
                <w:color w:val="005CA9"/>
                <w:sz w:val="18"/>
                <w:szCs w:val="18"/>
              </w:rPr>
              <w:t>c</w:t>
            </w:r>
            <w:r w:rsidRPr="006F29B4">
              <w:rPr>
                <w:rFonts w:ascii="CAIXA Std Book" w:eastAsia="Times New Roman" w:hAnsi="CAIXA Std Book" w:cs="Arial"/>
                <w:color w:val="005CA9"/>
                <w:sz w:val="18"/>
                <w:szCs w:val="18"/>
              </w:rPr>
              <w:t>rédito</w:t>
            </w:r>
          </w:p>
        </w:tc>
        <w:tc>
          <w:tcPr>
            <w:tcW w:w="620" w:type="pct"/>
            <w:noWrap/>
            <w:vAlign w:val="center"/>
            <w:hideMark/>
          </w:tcPr>
          <w:p w14:paraId="390A404C" w14:textId="5A4C64EB" w:rsidR="00077512" w:rsidRPr="00C879C8" w:rsidRDefault="00F13344" w:rsidP="00077512">
            <w:pPr>
              <w:jc w:val="right"/>
              <w:rPr>
                <w:rFonts w:ascii="CAIXA Std Book" w:hAnsi="CAIXA Std Book"/>
                <w:color w:val="005CA9"/>
                <w:sz w:val="18"/>
                <w:szCs w:val="18"/>
              </w:rPr>
            </w:pPr>
            <w:r>
              <w:rPr>
                <w:rFonts w:ascii="CAIXA Std Book" w:hAnsi="CAIXA Std Book" w:cs="Calibri"/>
                <w:color w:val="005CA9"/>
                <w:sz w:val="18"/>
                <w:szCs w:val="18"/>
              </w:rPr>
              <w:t>(10.674.436)</w:t>
            </w:r>
          </w:p>
        </w:tc>
        <w:tc>
          <w:tcPr>
            <w:tcW w:w="620" w:type="pct"/>
            <w:noWrap/>
            <w:vAlign w:val="center"/>
          </w:tcPr>
          <w:p w14:paraId="595184B7" w14:textId="05D6FAAE" w:rsidR="00077512" w:rsidRPr="00C879C8" w:rsidRDefault="00F13344" w:rsidP="00077512">
            <w:pPr>
              <w:jc w:val="right"/>
              <w:rPr>
                <w:rFonts w:ascii="CAIXA Std Book" w:hAnsi="CAIXA Std Book"/>
                <w:color w:val="005CA9"/>
                <w:sz w:val="18"/>
                <w:szCs w:val="18"/>
              </w:rPr>
            </w:pPr>
            <w:r>
              <w:rPr>
                <w:rFonts w:ascii="CAIXA Std Book" w:hAnsi="CAIXA Std Book" w:cs="Calibri"/>
                <w:color w:val="005CA9"/>
                <w:sz w:val="18"/>
                <w:szCs w:val="18"/>
              </w:rPr>
              <w:t>1.914.263</w:t>
            </w:r>
          </w:p>
        </w:tc>
        <w:tc>
          <w:tcPr>
            <w:tcW w:w="620" w:type="pct"/>
            <w:noWrap/>
            <w:vAlign w:val="center"/>
          </w:tcPr>
          <w:p w14:paraId="275D49E8" w14:textId="09885C7A" w:rsidR="00077512" w:rsidRPr="00C879C8" w:rsidRDefault="00F13344" w:rsidP="00077512">
            <w:pPr>
              <w:jc w:val="right"/>
              <w:rPr>
                <w:rFonts w:ascii="CAIXA Std Book" w:hAnsi="CAIXA Std Book"/>
                <w:color w:val="005CA9"/>
                <w:sz w:val="18"/>
                <w:szCs w:val="18"/>
              </w:rPr>
            </w:pPr>
            <w:r>
              <w:rPr>
                <w:rFonts w:ascii="CAIXA Std Book" w:hAnsi="CAIXA Std Book" w:cs="Calibri"/>
                <w:color w:val="005CA9"/>
                <w:sz w:val="18"/>
                <w:szCs w:val="18"/>
              </w:rPr>
              <w:t>(410.186)</w:t>
            </w:r>
          </w:p>
        </w:tc>
        <w:tc>
          <w:tcPr>
            <w:tcW w:w="620" w:type="pct"/>
            <w:noWrap/>
            <w:vAlign w:val="center"/>
          </w:tcPr>
          <w:p w14:paraId="40E91290" w14:textId="4F507342" w:rsidR="00077512" w:rsidRPr="00C879C8" w:rsidRDefault="00F13344" w:rsidP="00077512">
            <w:pPr>
              <w:jc w:val="right"/>
              <w:rPr>
                <w:rFonts w:ascii="CAIXA Std Book" w:hAnsi="CAIXA Std Book"/>
                <w:color w:val="005CA9"/>
                <w:sz w:val="18"/>
                <w:szCs w:val="18"/>
              </w:rPr>
            </w:pPr>
            <w:r>
              <w:rPr>
                <w:rFonts w:ascii="CAIXA Std Book" w:hAnsi="CAIXA Std Book" w:cs="Calibri"/>
                <w:color w:val="005CA9"/>
                <w:sz w:val="18"/>
                <w:szCs w:val="18"/>
              </w:rPr>
              <w:t>(1.177.353)</w:t>
            </w:r>
          </w:p>
        </w:tc>
        <w:tc>
          <w:tcPr>
            <w:tcW w:w="620" w:type="pct"/>
            <w:noWrap/>
            <w:vAlign w:val="center"/>
          </w:tcPr>
          <w:p w14:paraId="4879EA84" w14:textId="5C629AFE" w:rsidR="00077512" w:rsidRPr="00C879C8" w:rsidRDefault="00F13344" w:rsidP="00077512">
            <w:pPr>
              <w:jc w:val="right"/>
              <w:rPr>
                <w:rFonts w:ascii="CAIXA Std Book" w:hAnsi="CAIXA Std Book"/>
                <w:color w:val="005CA9"/>
                <w:sz w:val="18"/>
                <w:szCs w:val="18"/>
              </w:rPr>
            </w:pPr>
            <w:r>
              <w:rPr>
                <w:rFonts w:ascii="CAIXA Std Book" w:hAnsi="CAIXA Std Book" w:cs="Calibri"/>
                <w:color w:val="005CA9"/>
                <w:sz w:val="18"/>
                <w:szCs w:val="18"/>
              </w:rPr>
              <w:t>(10.347.712)</w:t>
            </w:r>
          </w:p>
        </w:tc>
      </w:tr>
      <w:tr w:rsidR="0015386D" w:rsidRPr="006F29B4" w14:paraId="18A45DC0" w14:textId="77777777" w:rsidTr="00D91FED">
        <w:trPr>
          <w:trHeight w:val="283"/>
        </w:trPr>
        <w:tc>
          <w:tcPr>
            <w:tcW w:w="1901" w:type="pct"/>
            <w:shd w:val="clear" w:color="auto" w:fill="D0E0E3"/>
            <w:noWrap/>
            <w:vAlign w:val="center"/>
            <w:hideMark/>
          </w:tcPr>
          <w:p w14:paraId="4BD6E665" w14:textId="45A58A7E" w:rsidR="00B66692" w:rsidRPr="006F29B4" w:rsidRDefault="00B66692" w:rsidP="00B66692">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 xml:space="preserve">Passivos </w:t>
            </w:r>
            <w:r>
              <w:rPr>
                <w:rFonts w:ascii="CAIXA Std Book" w:eastAsia="Times New Roman" w:hAnsi="CAIXA Std Book" w:cs="Arial"/>
                <w:b/>
                <w:color w:val="005CA9"/>
                <w:sz w:val="18"/>
                <w:szCs w:val="18"/>
              </w:rPr>
              <w:t>f</w:t>
            </w:r>
            <w:r w:rsidRPr="006F29B4">
              <w:rPr>
                <w:rFonts w:ascii="CAIXA Std Book" w:eastAsia="Times New Roman" w:hAnsi="CAIXA Std Book" w:cs="Arial"/>
                <w:b/>
                <w:color w:val="005CA9"/>
                <w:sz w:val="18"/>
                <w:szCs w:val="18"/>
              </w:rPr>
              <w:t>inanceiros</w:t>
            </w:r>
          </w:p>
        </w:tc>
        <w:tc>
          <w:tcPr>
            <w:tcW w:w="620" w:type="pct"/>
            <w:shd w:val="clear" w:color="000000" w:fill="D0E0E3"/>
            <w:noWrap/>
            <w:vAlign w:val="center"/>
          </w:tcPr>
          <w:p w14:paraId="0E518776" w14:textId="02DE6700" w:rsidR="00B66692" w:rsidRPr="006F29B4" w:rsidRDefault="00480318" w:rsidP="00B66692">
            <w:pPr>
              <w:jc w:val="right"/>
              <w:rPr>
                <w:rFonts w:ascii="CAIXA Std Book" w:eastAsia="Times New Roman" w:hAnsi="CAIXA Std Book" w:cs="Arial"/>
                <w:b/>
                <w:color w:val="005CA9"/>
                <w:sz w:val="18"/>
                <w:szCs w:val="18"/>
              </w:rPr>
            </w:pPr>
            <w:r w:rsidRPr="00480318">
              <w:rPr>
                <w:rFonts w:ascii="CAIXA Std Book" w:eastAsia="Times New Roman" w:hAnsi="CAIXA Std Book" w:cs="Arial"/>
                <w:b/>
                <w:color w:val="005CA9"/>
                <w:sz w:val="18"/>
                <w:szCs w:val="18"/>
              </w:rPr>
              <w:t>(1.134.089)</w:t>
            </w:r>
          </w:p>
        </w:tc>
        <w:tc>
          <w:tcPr>
            <w:tcW w:w="620" w:type="pct"/>
            <w:shd w:val="clear" w:color="000000" w:fill="D0E0E3"/>
            <w:noWrap/>
            <w:vAlign w:val="center"/>
          </w:tcPr>
          <w:p w14:paraId="68C67A61" w14:textId="227F56D2" w:rsidR="00B66692" w:rsidRPr="006F29B4" w:rsidRDefault="008B40D3" w:rsidP="00B66692">
            <w:pPr>
              <w:jc w:val="right"/>
              <w:rPr>
                <w:rFonts w:ascii="CAIXA Std Book" w:eastAsia="Times New Roman" w:hAnsi="CAIXA Std Book" w:cs="Arial"/>
                <w:b/>
                <w:color w:val="005CA9"/>
                <w:sz w:val="18"/>
                <w:szCs w:val="18"/>
              </w:rPr>
            </w:pPr>
            <w:r w:rsidRPr="008B40D3">
              <w:rPr>
                <w:rFonts w:ascii="CAIXA Std Book" w:eastAsia="Times New Roman" w:hAnsi="CAIXA Std Book" w:cs="Arial"/>
                <w:b/>
                <w:color w:val="005CA9"/>
                <w:sz w:val="18"/>
                <w:szCs w:val="18"/>
              </w:rPr>
              <w:t>365.605</w:t>
            </w:r>
          </w:p>
        </w:tc>
        <w:tc>
          <w:tcPr>
            <w:tcW w:w="620" w:type="pct"/>
            <w:shd w:val="clear" w:color="000000" w:fill="D0E0E3"/>
            <w:noWrap/>
            <w:vAlign w:val="center"/>
          </w:tcPr>
          <w:p w14:paraId="2151C424" w14:textId="74CBD98C" w:rsidR="00B66692" w:rsidRPr="006F29B4" w:rsidRDefault="00EF1ABB" w:rsidP="00B66692">
            <w:pPr>
              <w:jc w:val="right"/>
              <w:rPr>
                <w:rFonts w:ascii="CAIXA Std Book" w:eastAsia="Times New Roman" w:hAnsi="CAIXA Std Book" w:cs="Arial"/>
                <w:b/>
                <w:color w:val="005CA9"/>
                <w:sz w:val="18"/>
                <w:szCs w:val="18"/>
              </w:rPr>
            </w:pPr>
            <w:r>
              <w:rPr>
                <w:rFonts w:ascii="CAIXA Std Book" w:hAnsi="CAIXA Std Book" w:cs="Calibri"/>
                <w:b/>
                <w:color w:val="005CA9"/>
                <w:sz w:val="18"/>
                <w:szCs w:val="18"/>
              </w:rPr>
              <w:t>(95.693)</w:t>
            </w:r>
          </w:p>
        </w:tc>
        <w:tc>
          <w:tcPr>
            <w:tcW w:w="620" w:type="pct"/>
            <w:shd w:val="clear" w:color="000000" w:fill="D0E0E3"/>
            <w:noWrap/>
            <w:vAlign w:val="center"/>
          </w:tcPr>
          <w:p w14:paraId="58DE57F1" w14:textId="4B65C2CD" w:rsidR="00B66692" w:rsidRPr="006F29B4" w:rsidRDefault="00EF1ABB" w:rsidP="00B66692">
            <w:pPr>
              <w:jc w:val="right"/>
              <w:rPr>
                <w:rFonts w:ascii="CAIXA Std Book" w:eastAsia="Times New Roman" w:hAnsi="CAIXA Std Book" w:cs="Arial"/>
                <w:b/>
                <w:color w:val="005CA9"/>
                <w:sz w:val="18"/>
                <w:szCs w:val="18"/>
              </w:rPr>
            </w:pPr>
            <w:r>
              <w:rPr>
                <w:rFonts w:ascii="CAIXA Std Book" w:hAnsi="CAIXA Std Book" w:cs="Calibri"/>
                <w:b/>
                <w:color w:val="005CA9"/>
                <w:sz w:val="18"/>
                <w:szCs w:val="18"/>
              </w:rPr>
              <w:t>(127.763)</w:t>
            </w:r>
          </w:p>
        </w:tc>
        <w:tc>
          <w:tcPr>
            <w:tcW w:w="620" w:type="pct"/>
            <w:shd w:val="clear" w:color="000000" w:fill="D0E0E3"/>
            <w:noWrap/>
            <w:vAlign w:val="center"/>
          </w:tcPr>
          <w:p w14:paraId="64E0A199" w14:textId="19EEFE87" w:rsidR="00B66692" w:rsidRPr="00CD4005" w:rsidRDefault="00EF1ABB" w:rsidP="00B66692">
            <w:pPr>
              <w:jc w:val="right"/>
              <w:rPr>
                <w:rFonts w:ascii="CAIXA Std Book" w:hAnsi="CAIXA Std Book" w:cs="Calibri"/>
                <w:b/>
                <w:color w:val="005CA9"/>
                <w:sz w:val="18"/>
                <w:szCs w:val="18"/>
              </w:rPr>
            </w:pPr>
            <w:r w:rsidRPr="00EF1ABB">
              <w:rPr>
                <w:rFonts w:ascii="CAIXA Std Book" w:hAnsi="CAIXA Std Book" w:cs="Calibri"/>
                <w:b/>
                <w:color w:val="005CA9"/>
                <w:sz w:val="18"/>
                <w:szCs w:val="18"/>
              </w:rPr>
              <w:t>(991.940)</w:t>
            </w:r>
          </w:p>
        </w:tc>
      </w:tr>
      <w:tr w:rsidR="0015386D" w:rsidRPr="006F29B4" w14:paraId="1069F94C" w14:textId="77777777" w:rsidTr="00D91FED">
        <w:trPr>
          <w:trHeight w:val="283"/>
        </w:trPr>
        <w:tc>
          <w:tcPr>
            <w:tcW w:w="1901" w:type="pct"/>
            <w:noWrap/>
            <w:vAlign w:val="center"/>
            <w:hideMark/>
          </w:tcPr>
          <w:p w14:paraId="74AD4931" w14:textId="03C68FA7" w:rsidR="00B66692" w:rsidRPr="006F29B4" w:rsidRDefault="00B66692" w:rsidP="00B66692">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Compromisso de </w:t>
            </w:r>
            <w:r>
              <w:rPr>
                <w:rFonts w:ascii="CAIXA Std Book" w:eastAsia="Times New Roman" w:hAnsi="CAIXA Std Book" w:cs="Arial"/>
                <w:color w:val="005CA9"/>
                <w:sz w:val="18"/>
                <w:szCs w:val="18"/>
              </w:rPr>
              <w:t>empréstimos e c</w:t>
            </w:r>
            <w:r w:rsidRPr="006F29B4">
              <w:rPr>
                <w:rFonts w:ascii="CAIXA Std Book" w:eastAsia="Times New Roman" w:hAnsi="CAIXA Std Book" w:cs="Arial"/>
                <w:color w:val="005CA9"/>
                <w:sz w:val="18"/>
                <w:szCs w:val="18"/>
              </w:rPr>
              <w:t>rédito</w:t>
            </w:r>
            <w:r>
              <w:rPr>
                <w:rFonts w:ascii="CAIXA Std Book" w:eastAsia="Times New Roman" w:hAnsi="CAIXA Std Book" w:cs="Arial"/>
                <w:color w:val="005CA9"/>
                <w:sz w:val="18"/>
                <w:szCs w:val="18"/>
              </w:rPr>
              <w:t>s</w:t>
            </w:r>
            <w:r w:rsidRPr="006F29B4">
              <w:rPr>
                <w:rFonts w:ascii="CAIXA Std Book" w:eastAsia="Times New Roman" w:hAnsi="CAIXA Std Book" w:cs="Arial"/>
                <w:color w:val="005CA9"/>
                <w:sz w:val="18"/>
                <w:szCs w:val="18"/>
              </w:rPr>
              <w:t xml:space="preserve"> a </w:t>
            </w:r>
            <w:r>
              <w:rPr>
                <w:rFonts w:ascii="CAIXA Std Book" w:eastAsia="Times New Roman" w:hAnsi="CAIXA Std Book" w:cs="Arial"/>
                <w:color w:val="005CA9"/>
                <w:sz w:val="18"/>
                <w:szCs w:val="18"/>
              </w:rPr>
              <w:t>l</w:t>
            </w:r>
            <w:r w:rsidRPr="006F29B4">
              <w:rPr>
                <w:rFonts w:ascii="CAIXA Std Book" w:eastAsia="Times New Roman" w:hAnsi="CAIXA Std Book" w:cs="Arial"/>
                <w:color w:val="005CA9"/>
                <w:sz w:val="18"/>
                <w:szCs w:val="18"/>
              </w:rPr>
              <w:t>iberar</w:t>
            </w:r>
          </w:p>
        </w:tc>
        <w:tc>
          <w:tcPr>
            <w:tcW w:w="620" w:type="pct"/>
            <w:noWrap/>
            <w:vAlign w:val="center"/>
            <w:hideMark/>
          </w:tcPr>
          <w:p w14:paraId="36DDD0B7" w14:textId="701C1586" w:rsidR="00B66692" w:rsidRPr="006F29B4" w:rsidRDefault="00480318" w:rsidP="00B66692">
            <w:pPr>
              <w:jc w:val="right"/>
              <w:rPr>
                <w:rFonts w:ascii="CAIXA Std Book" w:eastAsia="Times New Roman" w:hAnsi="CAIXA Std Book" w:cs="Arial"/>
                <w:color w:val="005CA9"/>
                <w:sz w:val="18"/>
                <w:szCs w:val="18"/>
              </w:rPr>
            </w:pPr>
            <w:r w:rsidRPr="00480318">
              <w:rPr>
                <w:rFonts w:ascii="CAIXA Std Book" w:eastAsia="Times New Roman" w:hAnsi="CAIXA Std Book" w:cs="Arial"/>
                <w:color w:val="005CA9"/>
                <w:sz w:val="18"/>
                <w:szCs w:val="18"/>
              </w:rPr>
              <w:t>(734.746)</w:t>
            </w:r>
          </w:p>
        </w:tc>
        <w:tc>
          <w:tcPr>
            <w:tcW w:w="620" w:type="pct"/>
            <w:noWrap/>
            <w:vAlign w:val="center"/>
          </w:tcPr>
          <w:p w14:paraId="769CD651" w14:textId="4E9EA8C4" w:rsidR="00B66692" w:rsidRPr="006F29B4" w:rsidRDefault="00C76FB5" w:rsidP="00B66692">
            <w:pPr>
              <w:jc w:val="right"/>
              <w:rPr>
                <w:rFonts w:ascii="CAIXA Std Book" w:eastAsia="Times New Roman" w:hAnsi="CAIXA Std Book" w:cs="Arial"/>
                <w:color w:val="005CA9"/>
                <w:sz w:val="18"/>
                <w:szCs w:val="18"/>
              </w:rPr>
            </w:pPr>
            <w:r w:rsidRPr="00C76FB5">
              <w:rPr>
                <w:rFonts w:ascii="CAIXA Std Book" w:eastAsia="Times New Roman" w:hAnsi="CAIXA Std Book" w:cs="Arial"/>
                <w:color w:val="005CA9"/>
                <w:sz w:val="18"/>
                <w:szCs w:val="18"/>
              </w:rPr>
              <w:t>262.079</w:t>
            </w:r>
          </w:p>
        </w:tc>
        <w:tc>
          <w:tcPr>
            <w:tcW w:w="620" w:type="pct"/>
            <w:noWrap/>
            <w:vAlign w:val="center"/>
          </w:tcPr>
          <w:p w14:paraId="79D6D975" w14:textId="68D6CB9D" w:rsidR="00B66692" w:rsidRPr="006F29B4" w:rsidRDefault="008B40D3" w:rsidP="00B66692">
            <w:pPr>
              <w:jc w:val="right"/>
              <w:rPr>
                <w:rFonts w:ascii="CAIXA Std Book" w:eastAsia="Times New Roman" w:hAnsi="CAIXA Std Book" w:cs="Arial"/>
                <w:color w:val="005CA9"/>
                <w:sz w:val="18"/>
                <w:szCs w:val="18"/>
              </w:rPr>
            </w:pPr>
            <w:r>
              <w:rPr>
                <w:rFonts w:ascii="CAIXA Std Book" w:hAnsi="CAIXA Std Book" w:cs="Calibri"/>
                <w:color w:val="005CA9"/>
                <w:sz w:val="18"/>
                <w:szCs w:val="18"/>
              </w:rPr>
              <w:t>(62.297)</w:t>
            </w:r>
          </w:p>
        </w:tc>
        <w:tc>
          <w:tcPr>
            <w:tcW w:w="620" w:type="pct"/>
            <w:noWrap/>
            <w:vAlign w:val="center"/>
          </w:tcPr>
          <w:p w14:paraId="42615D68" w14:textId="134E406F" w:rsidR="00B66692" w:rsidRPr="006F29B4" w:rsidRDefault="00EF1ABB" w:rsidP="00B66692">
            <w:pPr>
              <w:jc w:val="right"/>
              <w:rPr>
                <w:rFonts w:ascii="CAIXA Std Book" w:eastAsia="Times New Roman" w:hAnsi="CAIXA Std Book" w:cs="Arial"/>
                <w:color w:val="005CA9"/>
                <w:sz w:val="18"/>
                <w:szCs w:val="18"/>
              </w:rPr>
            </w:pPr>
            <w:r>
              <w:rPr>
                <w:rFonts w:ascii="CAIXA Std Book" w:hAnsi="CAIXA Std Book" w:cs="Calibri"/>
                <w:color w:val="005CA9"/>
                <w:sz w:val="18"/>
                <w:szCs w:val="18"/>
              </w:rPr>
              <w:t>(84.383)</w:t>
            </w:r>
          </w:p>
        </w:tc>
        <w:tc>
          <w:tcPr>
            <w:tcW w:w="620" w:type="pct"/>
            <w:noWrap/>
            <w:vAlign w:val="center"/>
          </w:tcPr>
          <w:p w14:paraId="2C493B05" w14:textId="3C0A9DD1" w:rsidR="00B66692" w:rsidRPr="006F29B4" w:rsidRDefault="00775322" w:rsidP="00B66692">
            <w:pPr>
              <w:jc w:val="right"/>
              <w:rPr>
                <w:rFonts w:ascii="CAIXA Std Book" w:eastAsia="Times New Roman" w:hAnsi="CAIXA Std Book" w:cs="Arial"/>
                <w:color w:val="005CA9"/>
                <w:sz w:val="18"/>
                <w:szCs w:val="18"/>
              </w:rPr>
            </w:pPr>
            <w:r>
              <w:rPr>
                <w:rFonts w:ascii="CAIXA Std Book" w:hAnsi="CAIXA Std Book" w:cs="Calibri"/>
                <w:color w:val="005CA9"/>
                <w:sz w:val="18"/>
                <w:szCs w:val="18"/>
              </w:rPr>
              <w:t>(619.347)</w:t>
            </w:r>
          </w:p>
        </w:tc>
      </w:tr>
      <w:tr w:rsidR="0015386D" w:rsidRPr="006F29B4" w14:paraId="0F0D923B" w14:textId="77777777" w:rsidTr="00D91FED">
        <w:trPr>
          <w:trHeight w:val="283"/>
        </w:trPr>
        <w:tc>
          <w:tcPr>
            <w:tcW w:w="1901" w:type="pct"/>
            <w:noWrap/>
            <w:vAlign w:val="center"/>
            <w:hideMark/>
          </w:tcPr>
          <w:p w14:paraId="4C8DA137" w14:textId="01ECF1D1" w:rsidR="00B66692" w:rsidRPr="006F29B4" w:rsidRDefault="00B66692" w:rsidP="00B66692">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Garantias </w:t>
            </w:r>
            <w:r>
              <w:rPr>
                <w:rFonts w:ascii="CAIXA Std Book" w:eastAsia="Times New Roman" w:hAnsi="CAIXA Std Book" w:cs="Arial"/>
                <w:color w:val="005CA9"/>
                <w:sz w:val="18"/>
                <w:szCs w:val="18"/>
              </w:rPr>
              <w:t>f</w:t>
            </w:r>
            <w:r w:rsidRPr="006F29B4">
              <w:rPr>
                <w:rFonts w:ascii="CAIXA Std Book" w:eastAsia="Times New Roman" w:hAnsi="CAIXA Std Book" w:cs="Arial"/>
                <w:color w:val="005CA9"/>
                <w:sz w:val="18"/>
                <w:szCs w:val="18"/>
              </w:rPr>
              <w:t xml:space="preserve">inanceiras </w:t>
            </w:r>
            <w:r>
              <w:rPr>
                <w:rFonts w:ascii="CAIXA Std Book" w:eastAsia="Times New Roman" w:hAnsi="CAIXA Std Book" w:cs="Arial"/>
                <w:color w:val="005CA9"/>
                <w:sz w:val="18"/>
                <w:szCs w:val="18"/>
              </w:rPr>
              <w:t>p</w:t>
            </w:r>
            <w:r w:rsidRPr="006F29B4">
              <w:rPr>
                <w:rFonts w:ascii="CAIXA Std Book" w:eastAsia="Times New Roman" w:hAnsi="CAIXA Std Book" w:cs="Arial"/>
                <w:color w:val="005CA9"/>
                <w:sz w:val="18"/>
                <w:szCs w:val="18"/>
              </w:rPr>
              <w:t>restadas</w:t>
            </w:r>
          </w:p>
        </w:tc>
        <w:tc>
          <w:tcPr>
            <w:tcW w:w="620" w:type="pct"/>
            <w:noWrap/>
            <w:vAlign w:val="center"/>
            <w:hideMark/>
          </w:tcPr>
          <w:p w14:paraId="706E9531" w14:textId="1B4D973F" w:rsidR="00B66692" w:rsidRPr="0062688D" w:rsidRDefault="00480318" w:rsidP="00B66692">
            <w:pPr>
              <w:ind w:firstLineChars="100" w:firstLine="180"/>
              <w:jc w:val="right"/>
              <w:rPr>
                <w:rFonts w:ascii="CAIXA Std Book" w:eastAsia="Times New Roman" w:hAnsi="CAIXA Std Book" w:cs="Arial"/>
                <w:color w:val="005CA9"/>
                <w:sz w:val="18"/>
                <w:szCs w:val="18"/>
                <w:highlight w:val="yellow"/>
              </w:rPr>
            </w:pPr>
            <w:r w:rsidRPr="00480318">
              <w:rPr>
                <w:rFonts w:ascii="CAIXA Std Book" w:eastAsia="Times New Roman" w:hAnsi="CAIXA Std Book" w:cs="Arial"/>
                <w:color w:val="005CA9"/>
                <w:sz w:val="18"/>
                <w:szCs w:val="18"/>
              </w:rPr>
              <w:t>(399.343)</w:t>
            </w:r>
          </w:p>
        </w:tc>
        <w:tc>
          <w:tcPr>
            <w:tcW w:w="620" w:type="pct"/>
            <w:noWrap/>
            <w:vAlign w:val="center"/>
          </w:tcPr>
          <w:p w14:paraId="5D5E6D50" w14:textId="04FC91CC" w:rsidR="00B66692" w:rsidRPr="00296584" w:rsidRDefault="00C76FB5" w:rsidP="00B66692">
            <w:pPr>
              <w:ind w:firstLineChars="100" w:firstLine="180"/>
              <w:jc w:val="right"/>
              <w:rPr>
                <w:rFonts w:ascii="CAIXA Std Book" w:eastAsia="Times New Roman" w:hAnsi="CAIXA Std Book" w:cs="Arial"/>
                <w:color w:val="005CA9"/>
                <w:sz w:val="18"/>
                <w:szCs w:val="18"/>
                <w:highlight w:val="yellow"/>
              </w:rPr>
            </w:pPr>
            <w:r w:rsidRPr="00C76FB5">
              <w:rPr>
                <w:rFonts w:ascii="CAIXA Std Book" w:eastAsia="Times New Roman" w:hAnsi="CAIXA Std Book" w:cs="Arial"/>
                <w:color w:val="005CA9"/>
                <w:sz w:val="18"/>
                <w:szCs w:val="18"/>
              </w:rPr>
              <w:t>103.526</w:t>
            </w:r>
          </w:p>
        </w:tc>
        <w:tc>
          <w:tcPr>
            <w:tcW w:w="620" w:type="pct"/>
            <w:noWrap/>
            <w:vAlign w:val="center"/>
          </w:tcPr>
          <w:p w14:paraId="0A94814A" w14:textId="04981A8C" w:rsidR="00B66692" w:rsidRPr="00296584" w:rsidRDefault="008B40D3" w:rsidP="00B66692">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(33.396)</w:t>
            </w:r>
          </w:p>
        </w:tc>
        <w:tc>
          <w:tcPr>
            <w:tcW w:w="620" w:type="pct"/>
            <w:noWrap/>
            <w:vAlign w:val="center"/>
          </w:tcPr>
          <w:p w14:paraId="7E30A495" w14:textId="5A3F26C7" w:rsidR="00B66692" w:rsidRPr="00296584" w:rsidRDefault="00EF1ABB" w:rsidP="00B66692">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(43.380)</w:t>
            </w:r>
          </w:p>
        </w:tc>
        <w:tc>
          <w:tcPr>
            <w:tcW w:w="620" w:type="pct"/>
            <w:noWrap/>
            <w:vAlign w:val="center"/>
          </w:tcPr>
          <w:p w14:paraId="2B26EAE1" w14:textId="43BF89CB" w:rsidR="00B66692" w:rsidRPr="00296584" w:rsidRDefault="00775322" w:rsidP="00B66692">
            <w:pPr>
              <w:jc w:val="right"/>
              <w:rPr>
                <w:rFonts w:ascii="CAIXA Std Book" w:eastAsia="Times New Roman" w:hAnsi="CAIXA Std Book" w:cs="Arial"/>
                <w:color w:val="005CA9"/>
                <w:sz w:val="18"/>
                <w:szCs w:val="18"/>
              </w:rPr>
            </w:pPr>
            <w:r>
              <w:rPr>
                <w:rFonts w:ascii="CAIXA Std Book" w:hAnsi="CAIXA Std Book" w:cs="Calibri"/>
                <w:color w:val="005CA9"/>
                <w:sz w:val="18"/>
                <w:szCs w:val="18"/>
              </w:rPr>
              <w:t>(372.593)</w:t>
            </w:r>
          </w:p>
        </w:tc>
      </w:tr>
      <w:tr w:rsidR="0015386D" w:rsidRPr="006F29B4" w14:paraId="04166C57" w14:textId="77777777" w:rsidTr="00D91FED">
        <w:trPr>
          <w:trHeight w:val="283"/>
        </w:trPr>
        <w:tc>
          <w:tcPr>
            <w:tcW w:w="1901" w:type="pct"/>
            <w:shd w:val="clear" w:color="auto" w:fill="005CA9"/>
            <w:noWrap/>
            <w:vAlign w:val="center"/>
            <w:hideMark/>
          </w:tcPr>
          <w:p w14:paraId="16AFA8C5" w14:textId="77777777" w:rsidR="00B66692" w:rsidRPr="006F29B4" w:rsidRDefault="00B66692" w:rsidP="00B66692">
            <w:pP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Total</w:t>
            </w:r>
          </w:p>
        </w:tc>
        <w:tc>
          <w:tcPr>
            <w:tcW w:w="620" w:type="pct"/>
            <w:shd w:val="clear" w:color="000000" w:fill="005CA9"/>
            <w:noWrap/>
            <w:vAlign w:val="center"/>
          </w:tcPr>
          <w:p w14:paraId="6BEA3E0B" w14:textId="3BB68747" w:rsidR="00B66692" w:rsidRPr="006F29B4" w:rsidRDefault="00F13344" w:rsidP="00B66692">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(11.916.685)</w:t>
            </w:r>
          </w:p>
        </w:tc>
        <w:tc>
          <w:tcPr>
            <w:tcW w:w="620" w:type="pct"/>
            <w:shd w:val="clear" w:color="000000" w:fill="005CA9"/>
            <w:vAlign w:val="center"/>
          </w:tcPr>
          <w:p w14:paraId="145B19D8" w14:textId="4C6D1E11" w:rsidR="00B66692" w:rsidRPr="00570607" w:rsidRDefault="00F13344" w:rsidP="00B66692">
            <w:pPr>
              <w:jc w:val="right"/>
              <w:rPr>
                <w:rFonts w:ascii="CAIXA Std Book" w:hAnsi="CAIXA Std Book" w:cs="Calibri"/>
                <w:b/>
                <w:bCs/>
                <w:color w:val="FFFFFF"/>
                <w:sz w:val="18"/>
                <w:szCs w:val="18"/>
              </w:rPr>
            </w:pPr>
            <w:r>
              <w:rPr>
                <w:rFonts w:ascii="CAIXA Std Book" w:hAnsi="CAIXA Std Book" w:cs="Calibri"/>
                <w:b/>
                <w:bCs/>
                <w:color w:val="FFFFFF"/>
                <w:sz w:val="18"/>
                <w:szCs w:val="18"/>
              </w:rPr>
              <w:t>2.261.979</w:t>
            </w:r>
          </w:p>
        </w:tc>
        <w:tc>
          <w:tcPr>
            <w:tcW w:w="620" w:type="pct"/>
            <w:shd w:val="clear" w:color="000000" w:fill="005CA9"/>
            <w:vAlign w:val="center"/>
          </w:tcPr>
          <w:p w14:paraId="05FB320A" w14:textId="112749FF" w:rsidR="00B66692" w:rsidRPr="00C32E49" w:rsidRDefault="00F13344" w:rsidP="00B66692">
            <w:pPr>
              <w:jc w:val="right"/>
              <w:rPr>
                <w:rFonts w:ascii="CAIXA Std Book" w:hAnsi="CAIXA Std Book" w:cs="Calibri"/>
                <w:b/>
                <w:color w:val="FFFFFF"/>
                <w:sz w:val="18"/>
                <w:szCs w:val="18"/>
              </w:rPr>
            </w:pPr>
            <w:r>
              <w:rPr>
                <w:rFonts w:ascii="CAIXA Std Book" w:hAnsi="CAIXA Std Book" w:cs="Calibri"/>
                <w:b/>
                <w:bCs/>
                <w:color w:val="FFFFFF"/>
                <w:sz w:val="18"/>
                <w:szCs w:val="18"/>
              </w:rPr>
              <w:t>(505.879)</w:t>
            </w:r>
          </w:p>
        </w:tc>
        <w:tc>
          <w:tcPr>
            <w:tcW w:w="620" w:type="pct"/>
            <w:shd w:val="clear" w:color="000000" w:fill="005CA9"/>
            <w:vAlign w:val="center"/>
          </w:tcPr>
          <w:p w14:paraId="10BB5073" w14:textId="2B4E6A9E" w:rsidR="00B66692" w:rsidRPr="00E2008A" w:rsidRDefault="00F13344" w:rsidP="00B66692">
            <w:pPr>
              <w:jc w:val="right"/>
              <w:rPr>
                <w:rFonts w:ascii="CAIXA Std Book" w:hAnsi="CAIXA Std Book" w:cs="Calibri"/>
                <w:b/>
                <w:color w:val="FFFFFF"/>
                <w:sz w:val="18"/>
                <w:szCs w:val="18"/>
              </w:rPr>
            </w:pPr>
            <w:r>
              <w:rPr>
                <w:rFonts w:ascii="CAIXA Std Book" w:hAnsi="CAIXA Std Book" w:cs="Calibri"/>
                <w:b/>
                <w:bCs/>
                <w:color w:val="FFFFFF"/>
                <w:sz w:val="18"/>
                <w:szCs w:val="18"/>
              </w:rPr>
              <w:t>(1.305.116)</w:t>
            </w:r>
          </w:p>
        </w:tc>
        <w:tc>
          <w:tcPr>
            <w:tcW w:w="620" w:type="pct"/>
            <w:shd w:val="clear" w:color="000000" w:fill="005CA9"/>
            <w:vAlign w:val="center"/>
          </w:tcPr>
          <w:p w14:paraId="7D0A02B2" w14:textId="7A5D04F7" w:rsidR="00B66692" w:rsidRPr="00CD4005" w:rsidRDefault="00F13344" w:rsidP="00B66692">
            <w:pPr>
              <w:jc w:val="right"/>
              <w:rPr>
                <w:rFonts w:ascii="CAIXA Std Book" w:hAnsi="CAIXA Std Book" w:cs="Calibri"/>
                <w:b/>
                <w:color w:val="FFFFFF"/>
                <w:sz w:val="18"/>
                <w:szCs w:val="18"/>
              </w:rPr>
            </w:pPr>
            <w:r>
              <w:rPr>
                <w:rFonts w:ascii="CAIXA Std Book" w:hAnsi="CAIXA Std Book" w:cs="Calibri"/>
                <w:b/>
                <w:bCs/>
                <w:color w:val="FFFFFF"/>
                <w:sz w:val="18"/>
                <w:szCs w:val="18"/>
              </w:rPr>
              <w:t>(11.465.701)</w:t>
            </w:r>
          </w:p>
        </w:tc>
      </w:tr>
      <w:bookmarkEnd w:id="99"/>
    </w:tbl>
    <w:p w14:paraId="179832C2" w14:textId="77777777" w:rsidR="005C3877" w:rsidRDefault="005C3877">
      <w:pPr>
        <w:rPr>
          <w:rFonts w:ascii="CAIXA Std Book" w:hAnsi="CAIXA Std Book"/>
          <w:b/>
          <w:color w:val="005CA9"/>
          <w:sz w:val="20"/>
          <w:szCs w:val="20"/>
        </w:rPr>
      </w:pPr>
    </w:p>
    <w:tbl>
      <w:tblPr>
        <w:tblW w:w="5001" w:type="pct"/>
        <w:tblCellMar>
          <w:left w:w="70" w:type="dxa"/>
          <w:right w:w="70" w:type="dxa"/>
        </w:tblCellMar>
        <w:tblLook w:val="04A0" w:firstRow="1" w:lastRow="0" w:firstColumn="1" w:lastColumn="0" w:noHBand="0" w:noVBand="1"/>
      </w:tblPr>
      <w:tblGrid>
        <w:gridCol w:w="5518"/>
        <w:gridCol w:w="1795"/>
        <w:gridCol w:w="1795"/>
        <w:gridCol w:w="1798"/>
        <w:gridCol w:w="1795"/>
        <w:gridCol w:w="1871"/>
      </w:tblGrid>
      <w:tr w:rsidR="00805005" w:rsidRPr="006F29B4" w14:paraId="5B67E0EB" w14:textId="77777777" w:rsidTr="00D91FED">
        <w:trPr>
          <w:trHeight w:val="283"/>
        </w:trPr>
        <w:tc>
          <w:tcPr>
            <w:tcW w:w="5000" w:type="pct"/>
            <w:gridSpan w:val="6"/>
            <w:tcBorders>
              <w:bottom w:val="single" w:sz="4" w:space="0" w:color="FFFFFF" w:themeColor="background1"/>
            </w:tcBorders>
            <w:shd w:val="clear" w:color="auto" w:fill="005CA9"/>
            <w:noWrap/>
            <w:vAlign w:val="center"/>
            <w:hideMark/>
          </w:tcPr>
          <w:p w14:paraId="1E8B271A" w14:textId="58D0706F" w:rsidR="00DC72B3" w:rsidRPr="00DC72B3" w:rsidRDefault="00913FBC">
            <w:pPr>
              <w:jc w:val="center"/>
              <w:rPr>
                <w:rFonts w:ascii="CAIXA Std Book" w:eastAsia="Times New Roman" w:hAnsi="CAIXA Std Book" w:cs="Arial"/>
                <w:b/>
                <w:bCs/>
                <w:color w:val="FFFFFF"/>
                <w:sz w:val="18"/>
                <w:szCs w:val="18"/>
              </w:rPr>
            </w:pPr>
            <w:r w:rsidRPr="00DC72B3">
              <w:rPr>
                <w:rFonts w:ascii="CAIXA Std Book" w:eastAsia="Times New Roman" w:hAnsi="CAIXA Std Book" w:cs="Arial"/>
                <w:b/>
                <w:color w:val="FFFFFF"/>
                <w:sz w:val="18"/>
                <w:szCs w:val="18"/>
              </w:rPr>
              <w:t>I</w:t>
            </w:r>
            <w:r>
              <w:rPr>
                <w:rFonts w:ascii="CAIXA Std Book" w:eastAsia="Times New Roman" w:hAnsi="CAIXA Std Book" w:cs="Arial"/>
                <w:b/>
                <w:color w:val="FFFFFF"/>
                <w:sz w:val="18"/>
                <w:szCs w:val="18"/>
              </w:rPr>
              <w:t>ndividual</w:t>
            </w:r>
          </w:p>
        </w:tc>
      </w:tr>
      <w:tr w:rsidR="0015386D" w:rsidRPr="006F29B4" w14:paraId="199B7D02" w14:textId="77777777" w:rsidTr="00D91FED">
        <w:trPr>
          <w:trHeight w:val="283"/>
        </w:trPr>
        <w:tc>
          <w:tcPr>
            <w:tcW w:w="1893" w:type="pct"/>
            <w:tcBorders>
              <w:top w:val="single" w:sz="4" w:space="0" w:color="FFFFFF" w:themeColor="background1"/>
            </w:tcBorders>
            <w:shd w:val="clear" w:color="auto" w:fill="005CA9"/>
            <w:vAlign w:val="center"/>
            <w:hideMark/>
          </w:tcPr>
          <w:p w14:paraId="3B2C745C" w14:textId="1D945CAF" w:rsidR="00DC72B3" w:rsidRPr="006F29B4" w:rsidRDefault="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Estágio 2</w:t>
            </w:r>
          </w:p>
        </w:tc>
        <w:tc>
          <w:tcPr>
            <w:tcW w:w="616" w:type="pct"/>
            <w:tcBorders>
              <w:top w:val="single" w:sz="4" w:space="0" w:color="FFFFFF" w:themeColor="background1"/>
            </w:tcBorders>
            <w:shd w:val="clear" w:color="auto" w:fill="005CA9"/>
            <w:vAlign w:val="center"/>
            <w:hideMark/>
          </w:tcPr>
          <w:p w14:paraId="3378B0DC" w14:textId="3DA79333" w:rsidR="00DC72B3" w:rsidRPr="006F29B4" w:rsidRDefault="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Saldo em </w:t>
            </w:r>
            <w:r w:rsidR="00154A03">
              <w:rPr>
                <w:rFonts w:ascii="CAIXA Std Book" w:eastAsia="Times New Roman" w:hAnsi="CAIXA Std Book" w:cs="Arial"/>
                <w:b/>
                <w:color w:val="FFFFFF"/>
                <w:sz w:val="18"/>
                <w:szCs w:val="18"/>
              </w:rPr>
              <w:t>31/12/2025</w:t>
            </w:r>
          </w:p>
        </w:tc>
        <w:tc>
          <w:tcPr>
            <w:tcW w:w="616" w:type="pct"/>
            <w:tcBorders>
              <w:top w:val="single" w:sz="4" w:space="0" w:color="FFFFFF" w:themeColor="background1"/>
            </w:tcBorders>
            <w:shd w:val="clear" w:color="auto" w:fill="005CA9"/>
            <w:vAlign w:val="center"/>
            <w:hideMark/>
          </w:tcPr>
          <w:p w14:paraId="3825ADAE" w14:textId="77777777" w:rsidR="00DC72B3" w:rsidRPr="006F29B4" w:rsidRDefault="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Constituição/ reversão</w:t>
            </w:r>
          </w:p>
        </w:tc>
        <w:tc>
          <w:tcPr>
            <w:tcW w:w="617" w:type="pct"/>
            <w:tcBorders>
              <w:top w:val="single" w:sz="4" w:space="0" w:color="FFFFFF" w:themeColor="background1"/>
            </w:tcBorders>
            <w:shd w:val="clear" w:color="auto" w:fill="005CA9"/>
            <w:vAlign w:val="center"/>
            <w:hideMark/>
          </w:tcPr>
          <w:p w14:paraId="6B67EB3F" w14:textId="77777777" w:rsidR="001B254B" w:rsidRDefault="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Transferência do/ </w:t>
            </w:r>
          </w:p>
          <w:p w14:paraId="1884CA2C" w14:textId="5D784E7D" w:rsidR="00DC72B3" w:rsidRPr="006F29B4" w:rsidRDefault="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para estágio </w:t>
            </w:r>
            <w:r w:rsidR="006E7E31">
              <w:rPr>
                <w:rFonts w:ascii="CAIXA Std Book" w:eastAsia="Times New Roman" w:hAnsi="CAIXA Std Book" w:cs="Arial"/>
                <w:b/>
                <w:color w:val="FFFFFF"/>
                <w:sz w:val="18"/>
                <w:szCs w:val="18"/>
              </w:rPr>
              <w:t>1</w:t>
            </w:r>
          </w:p>
        </w:tc>
        <w:tc>
          <w:tcPr>
            <w:tcW w:w="616" w:type="pct"/>
            <w:tcBorders>
              <w:top w:val="single" w:sz="4" w:space="0" w:color="FFFFFF" w:themeColor="background1"/>
            </w:tcBorders>
            <w:shd w:val="clear" w:color="auto" w:fill="005CA9"/>
            <w:vAlign w:val="center"/>
            <w:hideMark/>
          </w:tcPr>
          <w:p w14:paraId="42559086" w14:textId="77777777" w:rsidR="00A579EA" w:rsidRDefault="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Transferência do/</w:t>
            </w:r>
          </w:p>
          <w:p w14:paraId="394CCB48" w14:textId="2C7030F4" w:rsidR="00DC72B3" w:rsidRPr="006F29B4" w:rsidRDefault="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para estágio 3</w:t>
            </w:r>
          </w:p>
        </w:tc>
        <w:tc>
          <w:tcPr>
            <w:tcW w:w="642" w:type="pct"/>
            <w:tcBorders>
              <w:top w:val="single" w:sz="4" w:space="0" w:color="FFFFFF" w:themeColor="background1"/>
            </w:tcBorders>
            <w:shd w:val="clear" w:color="auto" w:fill="005CA9"/>
            <w:vAlign w:val="center"/>
            <w:hideMark/>
          </w:tcPr>
          <w:p w14:paraId="4D741877" w14:textId="77777777" w:rsidR="00DE4042" w:rsidRDefault="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Saldo em</w:t>
            </w:r>
          </w:p>
          <w:p w14:paraId="521F6611" w14:textId="3C87C642" w:rsidR="00DC72B3" w:rsidRPr="006F29B4" w:rsidRDefault="000872F7">
            <w:pPr>
              <w:jc w:val="center"/>
              <w:rPr>
                <w:rFonts w:ascii="CAIXA Std Book" w:eastAsia="Times New Roman" w:hAnsi="CAIXA Std Book" w:cs="Arial"/>
                <w:b/>
                <w:color w:val="FFFFFF"/>
                <w:sz w:val="18"/>
                <w:szCs w:val="18"/>
              </w:rPr>
            </w:pPr>
            <w:r>
              <w:rPr>
                <w:rFonts w:ascii="CAIXA Std Book" w:eastAsia="Times New Roman" w:hAnsi="CAIXA Std Book" w:cs="Arial"/>
                <w:b/>
                <w:color w:val="FFFFFF"/>
                <w:sz w:val="18"/>
                <w:szCs w:val="18"/>
              </w:rPr>
              <w:t>3</w:t>
            </w:r>
            <w:r w:rsidR="00312C72">
              <w:rPr>
                <w:rFonts w:ascii="CAIXA Std Book" w:eastAsia="Times New Roman" w:hAnsi="CAIXA Std Book" w:cs="Arial"/>
                <w:b/>
                <w:color w:val="FFFFFF"/>
                <w:sz w:val="18"/>
                <w:szCs w:val="18"/>
              </w:rPr>
              <w:t>1</w:t>
            </w:r>
            <w:r>
              <w:rPr>
                <w:rFonts w:ascii="CAIXA Std Book" w:eastAsia="Times New Roman" w:hAnsi="CAIXA Std Book" w:cs="Arial"/>
                <w:b/>
                <w:color w:val="FFFFFF"/>
                <w:sz w:val="18"/>
                <w:szCs w:val="18"/>
              </w:rPr>
              <w:t>/</w:t>
            </w:r>
            <w:r w:rsidR="005C3877">
              <w:rPr>
                <w:rFonts w:ascii="CAIXA Std Book" w:eastAsia="Times New Roman" w:hAnsi="CAIXA Std Book" w:cs="Arial"/>
                <w:b/>
                <w:color w:val="FFFFFF"/>
                <w:sz w:val="18"/>
                <w:szCs w:val="18"/>
              </w:rPr>
              <w:t>03/2026</w:t>
            </w:r>
          </w:p>
        </w:tc>
      </w:tr>
      <w:tr w:rsidR="0015386D" w:rsidRPr="006F29B4" w14:paraId="4877D406" w14:textId="77777777" w:rsidTr="00D91FED">
        <w:trPr>
          <w:trHeight w:val="283"/>
        </w:trPr>
        <w:tc>
          <w:tcPr>
            <w:tcW w:w="1893" w:type="pct"/>
            <w:shd w:val="clear" w:color="auto" w:fill="D0E0E3"/>
            <w:noWrap/>
            <w:vAlign w:val="center"/>
            <w:hideMark/>
          </w:tcPr>
          <w:p w14:paraId="7D177F9A" w14:textId="77777777" w:rsidR="00EB469E" w:rsidRPr="006F29B4" w:rsidRDefault="00EB469E" w:rsidP="00EB469E">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Ativos Financeiros</w:t>
            </w:r>
          </w:p>
        </w:tc>
        <w:tc>
          <w:tcPr>
            <w:tcW w:w="616" w:type="pct"/>
            <w:shd w:val="clear" w:color="000000" w:fill="D0E0E3"/>
            <w:noWrap/>
            <w:vAlign w:val="center"/>
          </w:tcPr>
          <w:p w14:paraId="09873AE6" w14:textId="2F0CC441" w:rsidR="00EB469E" w:rsidRPr="006F29B4" w:rsidRDefault="00584ADC" w:rsidP="004E188D">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(4.385.429)</w:t>
            </w:r>
          </w:p>
        </w:tc>
        <w:tc>
          <w:tcPr>
            <w:tcW w:w="616" w:type="pct"/>
            <w:shd w:val="clear" w:color="000000" w:fill="D0E0E3"/>
            <w:noWrap/>
            <w:vAlign w:val="center"/>
          </w:tcPr>
          <w:p w14:paraId="23EB3816" w14:textId="17D1B6DA" w:rsidR="00EB469E" w:rsidRPr="00BA72CB" w:rsidRDefault="00584ADC" w:rsidP="004E188D">
            <w:pPr>
              <w:jc w:val="right"/>
              <w:rPr>
                <w:rFonts w:ascii="CAIXA Std Book" w:hAnsi="CAIXA Std Book" w:cs="Calibri"/>
                <w:b/>
                <w:bCs/>
                <w:color w:val="005CA9"/>
                <w:sz w:val="18"/>
                <w:szCs w:val="18"/>
              </w:rPr>
            </w:pPr>
            <w:r>
              <w:rPr>
                <w:rFonts w:ascii="CAIXA Std Book" w:hAnsi="CAIXA Std Book" w:cs="Calibri"/>
                <w:b/>
                <w:bCs/>
                <w:color w:val="005CA9"/>
                <w:sz w:val="18"/>
                <w:szCs w:val="18"/>
              </w:rPr>
              <w:t>(1.973.977)</w:t>
            </w:r>
          </w:p>
        </w:tc>
        <w:tc>
          <w:tcPr>
            <w:tcW w:w="617" w:type="pct"/>
            <w:shd w:val="clear" w:color="000000" w:fill="D0E0E3"/>
            <w:noWrap/>
            <w:vAlign w:val="center"/>
          </w:tcPr>
          <w:p w14:paraId="11D3761E" w14:textId="06AA2F06" w:rsidR="00EB469E" w:rsidRPr="006F29B4" w:rsidRDefault="00584ADC" w:rsidP="004E188D">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410.186</w:t>
            </w:r>
          </w:p>
        </w:tc>
        <w:tc>
          <w:tcPr>
            <w:tcW w:w="616" w:type="pct"/>
            <w:shd w:val="clear" w:color="000000" w:fill="D0E0E3"/>
            <w:noWrap/>
            <w:vAlign w:val="center"/>
          </w:tcPr>
          <w:p w14:paraId="7867135E" w14:textId="652FB9ED" w:rsidR="00EB469E" w:rsidRPr="006F29B4" w:rsidRDefault="00584ADC" w:rsidP="004E188D">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1.478.225</w:t>
            </w:r>
          </w:p>
        </w:tc>
        <w:tc>
          <w:tcPr>
            <w:tcW w:w="642" w:type="pct"/>
            <w:shd w:val="clear" w:color="000000" w:fill="D0E0E3"/>
            <w:noWrap/>
            <w:vAlign w:val="center"/>
          </w:tcPr>
          <w:p w14:paraId="255EFF60" w14:textId="72FCA01F" w:rsidR="00EB469E" w:rsidRPr="006F29B4" w:rsidRDefault="00584ADC" w:rsidP="004E188D">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(4.470.995)</w:t>
            </w:r>
          </w:p>
        </w:tc>
      </w:tr>
      <w:tr w:rsidR="00B52745" w:rsidRPr="006F29B4" w14:paraId="131B4BDA" w14:textId="77777777" w:rsidTr="00D91FED">
        <w:trPr>
          <w:trHeight w:val="283"/>
        </w:trPr>
        <w:tc>
          <w:tcPr>
            <w:tcW w:w="1893" w:type="pct"/>
            <w:noWrap/>
            <w:vAlign w:val="center"/>
          </w:tcPr>
          <w:p w14:paraId="68B5707C" w14:textId="55A43BA7" w:rsidR="00B52745" w:rsidRPr="006F29B4" w:rsidRDefault="00B52745" w:rsidP="00B52745">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Títulos e </w:t>
            </w:r>
            <w:r>
              <w:rPr>
                <w:rFonts w:ascii="CAIXA Std Book" w:eastAsia="Times New Roman" w:hAnsi="CAIXA Std Book" w:cs="Arial"/>
                <w:color w:val="005CA9"/>
                <w:sz w:val="18"/>
                <w:szCs w:val="18"/>
              </w:rPr>
              <w:t>v</w:t>
            </w:r>
            <w:r w:rsidRPr="006F29B4">
              <w:rPr>
                <w:rFonts w:ascii="CAIXA Std Book" w:eastAsia="Times New Roman" w:hAnsi="CAIXA Std Book" w:cs="Arial"/>
                <w:color w:val="005CA9"/>
                <w:sz w:val="18"/>
                <w:szCs w:val="18"/>
              </w:rPr>
              <w:t xml:space="preserve">alores </w:t>
            </w:r>
            <w:r>
              <w:rPr>
                <w:rFonts w:ascii="CAIXA Std Book" w:eastAsia="Times New Roman" w:hAnsi="CAIXA Std Book" w:cs="Arial"/>
                <w:color w:val="005CA9"/>
                <w:sz w:val="18"/>
                <w:szCs w:val="18"/>
              </w:rPr>
              <w:t>m</w:t>
            </w:r>
            <w:r w:rsidRPr="006F29B4">
              <w:rPr>
                <w:rFonts w:ascii="CAIXA Std Book" w:eastAsia="Times New Roman" w:hAnsi="CAIXA Std Book" w:cs="Arial"/>
                <w:color w:val="005CA9"/>
                <w:sz w:val="18"/>
                <w:szCs w:val="18"/>
              </w:rPr>
              <w:t>obiliários</w:t>
            </w:r>
          </w:p>
        </w:tc>
        <w:tc>
          <w:tcPr>
            <w:tcW w:w="616" w:type="pct"/>
            <w:noWrap/>
            <w:vAlign w:val="center"/>
          </w:tcPr>
          <w:p w14:paraId="13A93990" w14:textId="18ECC64A" w:rsidR="00B52745" w:rsidRPr="00227395" w:rsidRDefault="00B52745" w:rsidP="00334394">
            <w:pPr>
              <w:jc w:val="right"/>
              <w:rPr>
                <w:rFonts w:ascii="CAIXA Std Book" w:hAnsi="CAIXA Std Book"/>
                <w:color w:val="005CA9"/>
                <w:sz w:val="18"/>
                <w:szCs w:val="18"/>
              </w:rPr>
            </w:pPr>
            <w:r>
              <w:rPr>
                <w:rFonts w:ascii="CAIXA Std Book" w:hAnsi="CAIXA Std Book" w:cs="Arial"/>
                <w:color w:val="005CA9"/>
                <w:sz w:val="18"/>
                <w:szCs w:val="18"/>
              </w:rPr>
              <w:t>(98.724)</w:t>
            </w:r>
          </w:p>
        </w:tc>
        <w:tc>
          <w:tcPr>
            <w:tcW w:w="616" w:type="pct"/>
            <w:noWrap/>
            <w:vAlign w:val="center"/>
          </w:tcPr>
          <w:p w14:paraId="5E120E18" w14:textId="1790B369" w:rsidR="00B52745" w:rsidRPr="004B530D" w:rsidRDefault="00B52745" w:rsidP="00B52745">
            <w:pPr>
              <w:jc w:val="right"/>
              <w:rPr>
                <w:rFonts w:ascii="CAIXA Std Book" w:hAnsi="CAIXA Std Book"/>
                <w:color w:val="005CA9"/>
                <w:sz w:val="18"/>
                <w:szCs w:val="18"/>
              </w:rPr>
            </w:pPr>
            <w:r>
              <w:rPr>
                <w:rFonts w:ascii="CAIXA Std Book" w:hAnsi="CAIXA Std Book" w:cs="Arial"/>
                <w:color w:val="005CA9"/>
                <w:sz w:val="18"/>
                <w:szCs w:val="18"/>
              </w:rPr>
              <w:t>98.724</w:t>
            </w:r>
          </w:p>
        </w:tc>
        <w:tc>
          <w:tcPr>
            <w:tcW w:w="617" w:type="pct"/>
            <w:noWrap/>
            <w:vAlign w:val="center"/>
          </w:tcPr>
          <w:p w14:paraId="75B3A52D" w14:textId="02C85CFB" w:rsidR="00B52745" w:rsidRPr="004B530D" w:rsidRDefault="00B52745" w:rsidP="00B52745">
            <w:pPr>
              <w:jc w:val="center"/>
              <w:rPr>
                <w:rFonts w:ascii="CAIXA Std Book" w:hAnsi="CAIXA Std Book"/>
                <w:color w:val="005CA9"/>
                <w:sz w:val="18"/>
                <w:szCs w:val="18"/>
              </w:rPr>
            </w:pPr>
            <w:r>
              <w:rPr>
                <w:rFonts w:ascii="CAIXA Std Book" w:hAnsi="CAIXA Std Book" w:cs="Arial"/>
                <w:color w:val="005CA9"/>
                <w:sz w:val="18"/>
                <w:szCs w:val="18"/>
              </w:rPr>
              <w:t>-</w:t>
            </w:r>
          </w:p>
        </w:tc>
        <w:tc>
          <w:tcPr>
            <w:tcW w:w="616" w:type="pct"/>
            <w:noWrap/>
            <w:vAlign w:val="center"/>
          </w:tcPr>
          <w:p w14:paraId="07D4B639" w14:textId="32084266" w:rsidR="00B52745" w:rsidRPr="004B530D" w:rsidRDefault="00B52745" w:rsidP="00B52745">
            <w:pPr>
              <w:jc w:val="center"/>
              <w:rPr>
                <w:rFonts w:ascii="CAIXA Std Book" w:hAnsi="CAIXA Std Book"/>
                <w:color w:val="005CA9"/>
                <w:sz w:val="18"/>
                <w:szCs w:val="18"/>
              </w:rPr>
            </w:pPr>
            <w:r>
              <w:rPr>
                <w:rFonts w:ascii="CAIXA Std Book" w:hAnsi="CAIXA Std Book" w:cs="Arial"/>
                <w:color w:val="005CA9"/>
                <w:sz w:val="18"/>
                <w:szCs w:val="18"/>
              </w:rPr>
              <w:t>-</w:t>
            </w:r>
          </w:p>
        </w:tc>
        <w:tc>
          <w:tcPr>
            <w:tcW w:w="642" w:type="pct"/>
            <w:noWrap/>
            <w:vAlign w:val="center"/>
          </w:tcPr>
          <w:p w14:paraId="065F5A63" w14:textId="408F7007" w:rsidR="00B52745" w:rsidRPr="004B530D" w:rsidRDefault="00B52745" w:rsidP="00584ADC">
            <w:pPr>
              <w:jc w:val="center"/>
              <w:rPr>
                <w:rFonts w:ascii="CAIXA Std Book" w:hAnsi="CAIXA Std Book"/>
                <w:color w:val="005CA9"/>
                <w:sz w:val="18"/>
                <w:szCs w:val="18"/>
              </w:rPr>
            </w:pPr>
            <w:r>
              <w:rPr>
                <w:rFonts w:ascii="CAIXA Std Book" w:hAnsi="CAIXA Std Book" w:cs="Arial"/>
                <w:color w:val="005CA9"/>
                <w:sz w:val="18"/>
                <w:szCs w:val="18"/>
              </w:rPr>
              <w:t>-</w:t>
            </w:r>
          </w:p>
        </w:tc>
      </w:tr>
      <w:tr w:rsidR="0015386D" w:rsidRPr="006F29B4" w14:paraId="48577796" w14:textId="77777777" w:rsidTr="00D91FED">
        <w:trPr>
          <w:trHeight w:val="283"/>
        </w:trPr>
        <w:tc>
          <w:tcPr>
            <w:tcW w:w="1893" w:type="pct"/>
            <w:noWrap/>
            <w:vAlign w:val="center"/>
            <w:hideMark/>
          </w:tcPr>
          <w:p w14:paraId="7443931D" w14:textId="07D40040" w:rsidR="00EB469E" w:rsidRPr="006F29B4" w:rsidRDefault="00EB469E" w:rsidP="00EB469E">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Carteira de </w:t>
            </w:r>
            <w:r>
              <w:rPr>
                <w:rFonts w:ascii="CAIXA Std Book" w:eastAsia="Times New Roman" w:hAnsi="CAIXA Std Book" w:cs="Arial"/>
                <w:color w:val="005CA9"/>
                <w:sz w:val="18"/>
                <w:szCs w:val="18"/>
              </w:rPr>
              <w:t>c</w:t>
            </w:r>
            <w:r w:rsidRPr="006F29B4">
              <w:rPr>
                <w:rFonts w:ascii="CAIXA Std Book" w:eastAsia="Times New Roman" w:hAnsi="CAIXA Std Book" w:cs="Arial"/>
                <w:color w:val="005CA9"/>
                <w:sz w:val="18"/>
                <w:szCs w:val="18"/>
              </w:rPr>
              <w:t>rédito</w:t>
            </w:r>
          </w:p>
        </w:tc>
        <w:tc>
          <w:tcPr>
            <w:tcW w:w="616" w:type="pct"/>
            <w:noWrap/>
            <w:vAlign w:val="center"/>
          </w:tcPr>
          <w:p w14:paraId="5F6FBB8A" w14:textId="6097BC19" w:rsidR="00EB469E" w:rsidRPr="006F29B4" w:rsidRDefault="00584ADC" w:rsidP="004E188D">
            <w:pPr>
              <w:jc w:val="right"/>
              <w:rPr>
                <w:rFonts w:ascii="CAIXA Std Book" w:eastAsia="Times New Roman" w:hAnsi="CAIXA Std Book" w:cs="Arial"/>
                <w:color w:val="005CA9"/>
                <w:sz w:val="18"/>
                <w:szCs w:val="18"/>
              </w:rPr>
            </w:pPr>
            <w:r>
              <w:rPr>
                <w:rFonts w:ascii="CAIXA Std Book" w:hAnsi="CAIXA Std Book" w:cs="Calibri"/>
                <w:color w:val="005CA9"/>
                <w:sz w:val="18"/>
                <w:szCs w:val="18"/>
              </w:rPr>
              <w:t>(4.286.705)</w:t>
            </w:r>
          </w:p>
        </w:tc>
        <w:tc>
          <w:tcPr>
            <w:tcW w:w="616" w:type="pct"/>
            <w:noWrap/>
            <w:vAlign w:val="center"/>
          </w:tcPr>
          <w:p w14:paraId="5C7A8EA6" w14:textId="3817E838" w:rsidR="00EB469E" w:rsidRPr="006F29B4" w:rsidRDefault="00584ADC" w:rsidP="004E188D">
            <w:pPr>
              <w:jc w:val="right"/>
              <w:rPr>
                <w:rFonts w:ascii="CAIXA Std Book" w:eastAsia="Times New Roman" w:hAnsi="CAIXA Std Book" w:cs="Arial"/>
                <w:color w:val="005CA9"/>
                <w:sz w:val="18"/>
                <w:szCs w:val="18"/>
              </w:rPr>
            </w:pPr>
            <w:r>
              <w:rPr>
                <w:rFonts w:ascii="CAIXA Std Book" w:hAnsi="CAIXA Std Book" w:cs="Calibri"/>
                <w:color w:val="005CA9"/>
                <w:sz w:val="18"/>
                <w:szCs w:val="18"/>
              </w:rPr>
              <w:t>(2.072.701)</w:t>
            </w:r>
          </w:p>
        </w:tc>
        <w:tc>
          <w:tcPr>
            <w:tcW w:w="617" w:type="pct"/>
            <w:noWrap/>
            <w:vAlign w:val="center"/>
          </w:tcPr>
          <w:p w14:paraId="64BF5743" w14:textId="60C7B95C" w:rsidR="00EB469E" w:rsidRPr="006F29B4" w:rsidRDefault="00584ADC" w:rsidP="004E188D">
            <w:pPr>
              <w:jc w:val="right"/>
              <w:rPr>
                <w:rFonts w:ascii="CAIXA Std Book" w:eastAsia="Times New Roman" w:hAnsi="CAIXA Std Book" w:cs="Arial"/>
                <w:color w:val="005CA9"/>
                <w:sz w:val="18"/>
                <w:szCs w:val="18"/>
              </w:rPr>
            </w:pPr>
            <w:r>
              <w:rPr>
                <w:rFonts w:ascii="CAIXA Std Book" w:hAnsi="CAIXA Std Book" w:cs="Calibri"/>
                <w:color w:val="005CA9"/>
                <w:sz w:val="18"/>
                <w:szCs w:val="18"/>
              </w:rPr>
              <w:t>410.186</w:t>
            </w:r>
          </w:p>
        </w:tc>
        <w:tc>
          <w:tcPr>
            <w:tcW w:w="616" w:type="pct"/>
            <w:noWrap/>
            <w:vAlign w:val="center"/>
          </w:tcPr>
          <w:p w14:paraId="1B8380D4" w14:textId="60162B9B" w:rsidR="00EB469E" w:rsidRPr="006F29B4" w:rsidRDefault="00584ADC" w:rsidP="004E188D">
            <w:pPr>
              <w:jc w:val="right"/>
              <w:rPr>
                <w:rFonts w:ascii="CAIXA Std Book" w:eastAsia="Times New Roman" w:hAnsi="CAIXA Std Book" w:cs="Arial"/>
                <w:color w:val="005CA9"/>
                <w:sz w:val="18"/>
                <w:szCs w:val="18"/>
              </w:rPr>
            </w:pPr>
            <w:r>
              <w:rPr>
                <w:rFonts w:ascii="CAIXA Std Book" w:hAnsi="CAIXA Std Book" w:cs="Calibri"/>
                <w:color w:val="005CA9"/>
                <w:sz w:val="18"/>
                <w:szCs w:val="18"/>
              </w:rPr>
              <w:t>1.478.225</w:t>
            </w:r>
          </w:p>
        </w:tc>
        <w:tc>
          <w:tcPr>
            <w:tcW w:w="642" w:type="pct"/>
            <w:noWrap/>
            <w:vAlign w:val="center"/>
          </w:tcPr>
          <w:p w14:paraId="1EF2168A" w14:textId="4D93B35F" w:rsidR="00EB469E" w:rsidRPr="006F29B4" w:rsidRDefault="00584ADC" w:rsidP="004E188D">
            <w:pPr>
              <w:jc w:val="right"/>
              <w:rPr>
                <w:rFonts w:ascii="CAIXA Std Book" w:eastAsia="Times New Roman" w:hAnsi="CAIXA Std Book" w:cs="Arial"/>
                <w:color w:val="005CA9"/>
                <w:sz w:val="18"/>
                <w:szCs w:val="18"/>
              </w:rPr>
            </w:pPr>
            <w:r>
              <w:rPr>
                <w:rFonts w:ascii="CAIXA Std Book" w:hAnsi="CAIXA Std Book" w:cs="Calibri"/>
                <w:color w:val="005CA9"/>
                <w:sz w:val="18"/>
                <w:szCs w:val="18"/>
              </w:rPr>
              <w:t>(4.470.995)</w:t>
            </w:r>
          </w:p>
        </w:tc>
      </w:tr>
      <w:tr w:rsidR="0015386D" w:rsidRPr="006F29B4" w14:paraId="5D346799" w14:textId="77777777" w:rsidTr="00D91FED">
        <w:trPr>
          <w:trHeight w:val="283"/>
        </w:trPr>
        <w:tc>
          <w:tcPr>
            <w:tcW w:w="1893" w:type="pct"/>
            <w:shd w:val="clear" w:color="auto" w:fill="D0E0E3"/>
            <w:noWrap/>
            <w:vAlign w:val="center"/>
            <w:hideMark/>
          </w:tcPr>
          <w:p w14:paraId="5E938BF5" w14:textId="6C2182B0" w:rsidR="00EF1634" w:rsidRPr="006F29B4" w:rsidRDefault="00EF1634" w:rsidP="00EF1634">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 xml:space="preserve">Passivos </w:t>
            </w:r>
            <w:r>
              <w:rPr>
                <w:rFonts w:ascii="CAIXA Std Book" w:eastAsia="Times New Roman" w:hAnsi="CAIXA Std Book" w:cs="Arial"/>
                <w:b/>
                <w:color w:val="005CA9"/>
                <w:sz w:val="18"/>
                <w:szCs w:val="18"/>
              </w:rPr>
              <w:t>f</w:t>
            </w:r>
            <w:r w:rsidRPr="006F29B4">
              <w:rPr>
                <w:rFonts w:ascii="CAIXA Std Book" w:eastAsia="Times New Roman" w:hAnsi="CAIXA Std Book" w:cs="Arial"/>
                <w:b/>
                <w:color w:val="005CA9"/>
                <w:sz w:val="18"/>
                <w:szCs w:val="18"/>
              </w:rPr>
              <w:t>inanceiros</w:t>
            </w:r>
          </w:p>
        </w:tc>
        <w:tc>
          <w:tcPr>
            <w:tcW w:w="616" w:type="pct"/>
            <w:shd w:val="clear" w:color="000000" w:fill="D0E0E3"/>
            <w:noWrap/>
            <w:vAlign w:val="center"/>
          </w:tcPr>
          <w:p w14:paraId="5D6D275E" w14:textId="25444B24" w:rsidR="00EF1634" w:rsidRPr="006F29B4" w:rsidRDefault="00EF18A8" w:rsidP="004E188D">
            <w:pPr>
              <w:jc w:val="right"/>
              <w:rPr>
                <w:rFonts w:ascii="CAIXA Std Book" w:eastAsia="Times New Roman" w:hAnsi="CAIXA Std Book" w:cs="Arial"/>
                <w:b/>
                <w:color w:val="005CA9"/>
                <w:sz w:val="18"/>
                <w:szCs w:val="18"/>
              </w:rPr>
            </w:pPr>
            <w:r w:rsidRPr="00EF18A8">
              <w:rPr>
                <w:rFonts w:ascii="CAIXA Std Book" w:eastAsia="Times New Roman" w:hAnsi="CAIXA Std Book" w:cs="Arial"/>
                <w:b/>
                <w:color w:val="005CA9"/>
                <w:sz w:val="18"/>
                <w:szCs w:val="18"/>
              </w:rPr>
              <w:t>(751.514)</w:t>
            </w:r>
          </w:p>
        </w:tc>
        <w:tc>
          <w:tcPr>
            <w:tcW w:w="616" w:type="pct"/>
            <w:shd w:val="clear" w:color="000000" w:fill="D0E0E3"/>
            <w:noWrap/>
            <w:vAlign w:val="center"/>
          </w:tcPr>
          <w:p w14:paraId="3F8C3A88" w14:textId="2790A647" w:rsidR="00EF1634" w:rsidRPr="006F29B4" w:rsidRDefault="00EF18A8" w:rsidP="004E188D">
            <w:pPr>
              <w:jc w:val="right"/>
              <w:rPr>
                <w:rFonts w:ascii="CAIXA Std Book" w:eastAsia="Times New Roman" w:hAnsi="CAIXA Std Book" w:cs="Arial"/>
                <w:b/>
                <w:color w:val="005CA9"/>
                <w:sz w:val="18"/>
                <w:szCs w:val="18"/>
              </w:rPr>
            </w:pPr>
            <w:r w:rsidRPr="00EF18A8">
              <w:rPr>
                <w:rFonts w:ascii="CAIXA Std Book" w:eastAsia="Times New Roman" w:hAnsi="CAIXA Std Book" w:cs="Arial"/>
                <w:b/>
                <w:color w:val="005CA9"/>
                <w:sz w:val="18"/>
                <w:szCs w:val="18"/>
              </w:rPr>
              <w:t>78.743</w:t>
            </w:r>
          </w:p>
        </w:tc>
        <w:tc>
          <w:tcPr>
            <w:tcW w:w="617" w:type="pct"/>
            <w:shd w:val="clear" w:color="000000" w:fill="D0E0E3"/>
            <w:noWrap/>
            <w:vAlign w:val="center"/>
          </w:tcPr>
          <w:p w14:paraId="01AE5724" w14:textId="1ADF5AC6" w:rsidR="00EF1634" w:rsidRPr="006F29B4" w:rsidRDefault="00B557B1" w:rsidP="004E188D">
            <w:pPr>
              <w:jc w:val="right"/>
              <w:rPr>
                <w:rFonts w:ascii="CAIXA Std Book" w:eastAsia="Times New Roman" w:hAnsi="CAIXA Std Book" w:cs="Arial"/>
                <w:b/>
                <w:color w:val="005CA9"/>
                <w:sz w:val="18"/>
                <w:szCs w:val="18"/>
              </w:rPr>
            </w:pPr>
            <w:r w:rsidRPr="00B557B1">
              <w:rPr>
                <w:rFonts w:ascii="CAIXA Std Book" w:eastAsia="Times New Roman" w:hAnsi="CAIXA Std Book" w:cs="Arial"/>
                <w:b/>
                <w:color w:val="005CA9"/>
                <w:sz w:val="18"/>
                <w:szCs w:val="18"/>
              </w:rPr>
              <w:t>95.693</w:t>
            </w:r>
          </w:p>
        </w:tc>
        <w:tc>
          <w:tcPr>
            <w:tcW w:w="616" w:type="pct"/>
            <w:shd w:val="clear" w:color="000000" w:fill="D0E0E3"/>
            <w:noWrap/>
            <w:vAlign w:val="center"/>
          </w:tcPr>
          <w:p w14:paraId="1851AA7E" w14:textId="7D84E660" w:rsidR="00EF1634" w:rsidRPr="006F29B4" w:rsidRDefault="002644C5" w:rsidP="004E188D">
            <w:pPr>
              <w:jc w:val="right"/>
              <w:rPr>
                <w:rFonts w:ascii="CAIXA Std Book" w:eastAsia="Times New Roman" w:hAnsi="CAIXA Std Book" w:cs="Arial"/>
                <w:b/>
                <w:color w:val="005CA9"/>
                <w:sz w:val="18"/>
                <w:szCs w:val="18"/>
              </w:rPr>
            </w:pPr>
            <w:r w:rsidRPr="002644C5">
              <w:rPr>
                <w:rFonts w:ascii="CAIXA Std Book" w:eastAsia="Times New Roman" w:hAnsi="CAIXA Std Book" w:cs="Arial"/>
                <w:b/>
                <w:color w:val="005CA9"/>
                <w:sz w:val="18"/>
                <w:szCs w:val="18"/>
              </w:rPr>
              <w:t>1.262</w:t>
            </w:r>
          </w:p>
        </w:tc>
        <w:tc>
          <w:tcPr>
            <w:tcW w:w="642" w:type="pct"/>
            <w:shd w:val="clear" w:color="000000" w:fill="D0E0E3"/>
            <w:noWrap/>
            <w:vAlign w:val="center"/>
          </w:tcPr>
          <w:p w14:paraId="10064FE9" w14:textId="386335F1" w:rsidR="00EF1634" w:rsidRPr="006F29B4" w:rsidRDefault="002644C5" w:rsidP="004E188D">
            <w:pPr>
              <w:jc w:val="right"/>
              <w:rPr>
                <w:rFonts w:ascii="CAIXA Std Book" w:eastAsia="Times New Roman" w:hAnsi="CAIXA Std Book" w:cs="Arial"/>
                <w:b/>
                <w:color w:val="005CA9"/>
                <w:sz w:val="18"/>
                <w:szCs w:val="18"/>
              </w:rPr>
            </w:pPr>
            <w:r w:rsidRPr="002644C5">
              <w:rPr>
                <w:rFonts w:ascii="CAIXA Std Book" w:eastAsia="Times New Roman" w:hAnsi="CAIXA Std Book" w:cs="Arial"/>
                <w:b/>
                <w:color w:val="005CA9"/>
                <w:sz w:val="18"/>
                <w:szCs w:val="18"/>
              </w:rPr>
              <w:t>(575.816)</w:t>
            </w:r>
          </w:p>
        </w:tc>
      </w:tr>
      <w:tr w:rsidR="0015386D" w:rsidRPr="006F29B4" w14:paraId="21220AF5" w14:textId="77777777" w:rsidTr="00D91FED">
        <w:trPr>
          <w:trHeight w:val="283"/>
        </w:trPr>
        <w:tc>
          <w:tcPr>
            <w:tcW w:w="1893" w:type="pct"/>
            <w:noWrap/>
            <w:vAlign w:val="center"/>
            <w:hideMark/>
          </w:tcPr>
          <w:p w14:paraId="3E773D23" w14:textId="274C8E4C" w:rsidR="00EF1634" w:rsidRPr="006F29B4" w:rsidRDefault="00EF1634" w:rsidP="00EF1634">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Compromisso de </w:t>
            </w:r>
            <w:r>
              <w:rPr>
                <w:rFonts w:ascii="CAIXA Std Book" w:eastAsia="Times New Roman" w:hAnsi="CAIXA Std Book" w:cs="Arial"/>
                <w:color w:val="005CA9"/>
                <w:sz w:val="18"/>
                <w:szCs w:val="18"/>
              </w:rPr>
              <w:t>empréstimos e c</w:t>
            </w:r>
            <w:r w:rsidRPr="006F29B4">
              <w:rPr>
                <w:rFonts w:ascii="CAIXA Std Book" w:eastAsia="Times New Roman" w:hAnsi="CAIXA Std Book" w:cs="Arial"/>
                <w:color w:val="005CA9"/>
                <w:sz w:val="18"/>
                <w:szCs w:val="18"/>
              </w:rPr>
              <w:t>rédito</w:t>
            </w:r>
            <w:r>
              <w:rPr>
                <w:rFonts w:ascii="CAIXA Std Book" w:eastAsia="Times New Roman" w:hAnsi="CAIXA Std Book" w:cs="Arial"/>
                <w:color w:val="005CA9"/>
                <w:sz w:val="18"/>
                <w:szCs w:val="18"/>
              </w:rPr>
              <w:t>s</w:t>
            </w:r>
            <w:r w:rsidRPr="006F29B4">
              <w:rPr>
                <w:rFonts w:ascii="CAIXA Std Book" w:eastAsia="Times New Roman" w:hAnsi="CAIXA Std Book" w:cs="Arial"/>
                <w:color w:val="005CA9"/>
                <w:sz w:val="18"/>
                <w:szCs w:val="18"/>
              </w:rPr>
              <w:t xml:space="preserve"> a </w:t>
            </w:r>
            <w:r>
              <w:rPr>
                <w:rFonts w:ascii="CAIXA Std Book" w:eastAsia="Times New Roman" w:hAnsi="CAIXA Std Book" w:cs="Arial"/>
                <w:color w:val="005CA9"/>
                <w:sz w:val="18"/>
                <w:szCs w:val="18"/>
              </w:rPr>
              <w:t>l</w:t>
            </w:r>
            <w:r w:rsidRPr="006F29B4">
              <w:rPr>
                <w:rFonts w:ascii="CAIXA Std Book" w:eastAsia="Times New Roman" w:hAnsi="CAIXA Std Book" w:cs="Arial"/>
                <w:color w:val="005CA9"/>
                <w:sz w:val="18"/>
                <w:szCs w:val="18"/>
              </w:rPr>
              <w:t>iberar</w:t>
            </w:r>
          </w:p>
        </w:tc>
        <w:tc>
          <w:tcPr>
            <w:tcW w:w="616" w:type="pct"/>
            <w:noWrap/>
            <w:vAlign w:val="center"/>
            <w:hideMark/>
          </w:tcPr>
          <w:p w14:paraId="7F713869" w14:textId="74C53506" w:rsidR="00EF1634" w:rsidRPr="006F29B4" w:rsidRDefault="00EF18A8" w:rsidP="004E188D">
            <w:pPr>
              <w:jc w:val="right"/>
              <w:rPr>
                <w:rFonts w:ascii="CAIXA Std Book" w:eastAsia="Times New Roman" w:hAnsi="CAIXA Std Book" w:cs="Arial"/>
                <w:color w:val="005CA9"/>
                <w:sz w:val="18"/>
                <w:szCs w:val="18"/>
              </w:rPr>
            </w:pPr>
            <w:r w:rsidRPr="00EF18A8">
              <w:rPr>
                <w:rFonts w:ascii="CAIXA Std Book" w:eastAsia="Times New Roman" w:hAnsi="CAIXA Std Book" w:cs="Arial"/>
                <w:color w:val="005CA9"/>
                <w:sz w:val="18"/>
                <w:szCs w:val="18"/>
              </w:rPr>
              <w:t>(281.405)</w:t>
            </w:r>
          </w:p>
        </w:tc>
        <w:tc>
          <w:tcPr>
            <w:tcW w:w="616" w:type="pct"/>
            <w:noWrap/>
            <w:vAlign w:val="center"/>
          </w:tcPr>
          <w:p w14:paraId="358E0609" w14:textId="197DF344" w:rsidR="00EF1634" w:rsidRPr="006F29B4" w:rsidRDefault="00B557B1" w:rsidP="004E188D">
            <w:pPr>
              <w:jc w:val="right"/>
              <w:rPr>
                <w:rFonts w:ascii="CAIXA Std Book" w:eastAsia="Times New Roman" w:hAnsi="CAIXA Std Book" w:cs="Arial"/>
                <w:color w:val="005CA9"/>
                <w:sz w:val="18"/>
                <w:szCs w:val="18"/>
              </w:rPr>
            </w:pPr>
            <w:r w:rsidRPr="00B557B1">
              <w:rPr>
                <w:rFonts w:ascii="CAIXA Std Book" w:eastAsia="Times New Roman" w:hAnsi="CAIXA Std Book" w:cs="Arial"/>
                <w:color w:val="005CA9"/>
                <w:sz w:val="18"/>
                <w:szCs w:val="18"/>
              </w:rPr>
              <w:t>100.115</w:t>
            </w:r>
          </w:p>
        </w:tc>
        <w:tc>
          <w:tcPr>
            <w:tcW w:w="617" w:type="pct"/>
            <w:noWrap/>
            <w:vAlign w:val="center"/>
          </w:tcPr>
          <w:p w14:paraId="248A64B5" w14:textId="1DA63E84" w:rsidR="00EF1634" w:rsidRPr="006F29B4" w:rsidRDefault="00B557B1" w:rsidP="004E188D">
            <w:pPr>
              <w:ind w:firstLineChars="100" w:firstLine="180"/>
              <w:jc w:val="right"/>
              <w:rPr>
                <w:rFonts w:ascii="CAIXA Std Book" w:eastAsia="Times New Roman" w:hAnsi="CAIXA Std Book" w:cs="Arial"/>
                <w:color w:val="005CA9"/>
                <w:sz w:val="18"/>
                <w:szCs w:val="18"/>
              </w:rPr>
            </w:pPr>
            <w:r w:rsidRPr="00B557B1">
              <w:rPr>
                <w:rFonts w:ascii="CAIXA Std Book" w:eastAsia="Times New Roman" w:hAnsi="CAIXA Std Book" w:cs="Arial"/>
                <w:color w:val="005CA9"/>
                <w:sz w:val="18"/>
                <w:szCs w:val="18"/>
              </w:rPr>
              <w:t>62.297</w:t>
            </w:r>
          </w:p>
        </w:tc>
        <w:tc>
          <w:tcPr>
            <w:tcW w:w="616" w:type="pct"/>
            <w:noWrap/>
            <w:vAlign w:val="center"/>
          </w:tcPr>
          <w:p w14:paraId="6C463AA2" w14:textId="11454EE7" w:rsidR="00EF1634" w:rsidRPr="006F29B4" w:rsidRDefault="002644C5" w:rsidP="004E188D">
            <w:pPr>
              <w:jc w:val="right"/>
              <w:rPr>
                <w:rFonts w:ascii="CAIXA Std Book" w:eastAsia="Times New Roman" w:hAnsi="CAIXA Std Book" w:cs="Arial"/>
                <w:color w:val="005CA9"/>
                <w:sz w:val="18"/>
                <w:szCs w:val="18"/>
              </w:rPr>
            </w:pPr>
            <w:r w:rsidRPr="002644C5">
              <w:rPr>
                <w:rFonts w:ascii="CAIXA Std Book" w:eastAsia="Times New Roman" w:hAnsi="CAIXA Std Book" w:cs="Arial"/>
                <w:color w:val="005CA9"/>
                <w:sz w:val="18"/>
                <w:szCs w:val="18"/>
              </w:rPr>
              <w:t>2.331</w:t>
            </w:r>
          </w:p>
        </w:tc>
        <w:tc>
          <w:tcPr>
            <w:tcW w:w="642" w:type="pct"/>
            <w:noWrap/>
            <w:vAlign w:val="center"/>
          </w:tcPr>
          <w:p w14:paraId="5D44529C" w14:textId="14E9417C" w:rsidR="00EF1634" w:rsidRPr="006F29B4" w:rsidRDefault="00877154" w:rsidP="004E188D">
            <w:pPr>
              <w:jc w:val="right"/>
              <w:rPr>
                <w:rFonts w:ascii="CAIXA Std Book" w:eastAsia="Times New Roman" w:hAnsi="CAIXA Std Book" w:cs="Arial"/>
                <w:color w:val="005CA9"/>
                <w:sz w:val="18"/>
                <w:szCs w:val="18"/>
              </w:rPr>
            </w:pPr>
            <w:r w:rsidRPr="00877154">
              <w:rPr>
                <w:rFonts w:ascii="CAIXA Std Book" w:eastAsia="Times New Roman" w:hAnsi="CAIXA Std Book" w:cs="Arial"/>
                <w:color w:val="005CA9"/>
                <w:sz w:val="18"/>
                <w:szCs w:val="18"/>
              </w:rPr>
              <w:t>(116.662)</w:t>
            </w:r>
          </w:p>
        </w:tc>
      </w:tr>
      <w:tr w:rsidR="0015386D" w:rsidRPr="006F29B4" w14:paraId="0B7BB0F3" w14:textId="77777777" w:rsidTr="00D91FED">
        <w:trPr>
          <w:trHeight w:val="283"/>
        </w:trPr>
        <w:tc>
          <w:tcPr>
            <w:tcW w:w="1893" w:type="pct"/>
            <w:noWrap/>
            <w:vAlign w:val="center"/>
            <w:hideMark/>
          </w:tcPr>
          <w:p w14:paraId="320B1C24" w14:textId="538A7F7E" w:rsidR="00EF1634" w:rsidRPr="006F29B4" w:rsidRDefault="00EF1634" w:rsidP="00EF1634">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Garantias </w:t>
            </w:r>
            <w:r>
              <w:rPr>
                <w:rFonts w:ascii="CAIXA Std Book" w:eastAsia="Times New Roman" w:hAnsi="CAIXA Std Book" w:cs="Arial"/>
                <w:color w:val="005CA9"/>
                <w:sz w:val="18"/>
                <w:szCs w:val="18"/>
              </w:rPr>
              <w:t>f</w:t>
            </w:r>
            <w:r w:rsidRPr="006F29B4">
              <w:rPr>
                <w:rFonts w:ascii="CAIXA Std Book" w:eastAsia="Times New Roman" w:hAnsi="CAIXA Std Book" w:cs="Arial"/>
                <w:color w:val="005CA9"/>
                <w:sz w:val="18"/>
                <w:szCs w:val="18"/>
              </w:rPr>
              <w:t xml:space="preserve">inanceiras </w:t>
            </w:r>
            <w:r>
              <w:rPr>
                <w:rFonts w:ascii="CAIXA Std Book" w:eastAsia="Times New Roman" w:hAnsi="CAIXA Std Book" w:cs="Arial"/>
                <w:color w:val="005CA9"/>
                <w:sz w:val="18"/>
                <w:szCs w:val="18"/>
              </w:rPr>
              <w:t>p</w:t>
            </w:r>
            <w:r w:rsidRPr="006F29B4">
              <w:rPr>
                <w:rFonts w:ascii="CAIXA Std Book" w:eastAsia="Times New Roman" w:hAnsi="CAIXA Std Book" w:cs="Arial"/>
                <w:color w:val="005CA9"/>
                <w:sz w:val="18"/>
                <w:szCs w:val="18"/>
              </w:rPr>
              <w:t>restadas</w:t>
            </w:r>
          </w:p>
        </w:tc>
        <w:tc>
          <w:tcPr>
            <w:tcW w:w="616" w:type="pct"/>
            <w:noWrap/>
            <w:vAlign w:val="center"/>
            <w:hideMark/>
          </w:tcPr>
          <w:p w14:paraId="6F436153" w14:textId="44C41D54" w:rsidR="00EF1634" w:rsidRPr="006F29B4" w:rsidRDefault="00EF18A8" w:rsidP="004E188D">
            <w:pPr>
              <w:ind w:firstLineChars="100" w:firstLine="180"/>
              <w:jc w:val="right"/>
              <w:rPr>
                <w:rFonts w:ascii="CAIXA Std Book" w:eastAsia="Times New Roman" w:hAnsi="CAIXA Std Book" w:cs="Arial"/>
                <w:color w:val="005CA9"/>
                <w:sz w:val="18"/>
                <w:szCs w:val="18"/>
              </w:rPr>
            </w:pPr>
            <w:r w:rsidRPr="00EF18A8">
              <w:rPr>
                <w:rFonts w:ascii="CAIXA Std Book" w:eastAsia="Times New Roman" w:hAnsi="CAIXA Std Book" w:cs="Arial"/>
                <w:color w:val="005CA9"/>
                <w:sz w:val="18"/>
                <w:szCs w:val="18"/>
              </w:rPr>
              <w:t>(470.109)</w:t>
            </w:r>
          </w:p>
        </w:tc>
        <w:tc>
          <w:tcPr>
            <w:tcW w:w="616" w:type="pct"/>
            <w:noWrap/>
            <w:vAlign w:val="center"/>
          </w:tcPr>
          <w:p w14:paraId="06F99B9A" w14:textId="11C7393C" w:rsidR="00EF1634" w:rsidRPr="00360C4C" w:rsidRDefault="00B557B1" w:rsidP="004E188D">
            <w:pPr>
              <w:ind w:firstLineChars="100" w:firstLine="180"/>
              <w:jc w:val="right"/>
              <w:rPr>
                <w:rFonts w:ascii="CAIXA Std Book" w:eastAsia="Times New Roman" w:hAnsi="CAIXA Std Book" w:cs="Arial"/>
                <w:color w:val="005CA9"/>
                <w:sz w:val="18"/>
                <w:szCs w:val="18"/>
              </w:rPr>
            </w:pPr>
            <w:r w:rsidRPr="00B557B1">
              <w:rPr>
                <w:rFonts w:ascii="CAIXA Std Book" w:eastAsia="Times New Roman" w:hAnsi="CAIXA Std Book" w:cs="Arial"/>
                <w:color w:val="005CA9"/>
                <w:sz w:val="18"/>
                <w:szCs w:val="18"/>
              </w:rPr>
              <w:t>(21.372)</w:t>
            </w:r>
          </w:p>
        </w:tc>
        <w:tc>
          <w:tcPr>
            <w:tcW w:w="617" w:type="pct"/>
            <w:noWrap/>
            <w:vAlign w:val="center"/>
          </w:tcPr>
          <w:p w14:paraId="30D30C88" w14:textId="65B0E8FB" w:rsidR="00EF1634" w:rsidRPr="00360C4C" w:rsidRDefault="00B557B1" w:rsidP="004E188D">
            <w:pPr>
              <w:jc w:val="right"/>
              <w:rPr>
                <w:rFonts w:ascii="CAIXA Std Book" w:eastAsia="Times New Roman" w:hAnsi="CAIXA Std Book" w:cs="Arial"/>
                <w:color w:val="005CA9"/>
                <w:sz w:val="18"/>
                <w:szCs w:val="18"/>
                <w:highlight w:val="yellow"/>
              </w:rPr>
            </w:pPr>
            <w:r w:rsidRPr="00B557B1">
              <w:rPr>
                <w:rFonts w:ascii="CAIXA Std Book" w:eastAsia="Times New Roman" w:hAnsi="CAIXA Std Book" w:cs="Arial"/>
                <w:color w:val="005CA9"/>
                <w:sz w:val="18"/>
                <w:szCs w:val="18"/>
              </w:rPr>
              <w:t>33.396</w:t>
            </w:r>
          </w:p>
        </w:tc>
        <w:tc>
          <w:tcPr>
            <w:tcW w:w="616" w:type="pct"/>
            <w:noWrap/>
            <w:vAlign w:val="center"/>
          </w:tcPr>
          <w:p w14:paraId="2B948FFB" w14:textId="56069AC8" w:rsidR="00EF1634" w:rsidRPr="00360C4C" w:rsidRDefault="002644C5" w:rsidP="004E188D">
            <w:pPr>
              <w:ind w:firstLineChars="100" w:firstLine="180"/>
              <w:jc w:val="right"/>
              <w:rPr>
                <w:rFonts w:ascii="CAIXA Std Book" w:eastAsia="Times New Roman" w:hAnsi="CAIXA Std Book" w:cs="Arial"/>
                <w:color w:val="005CA9"/>
                <w:sz w:val="18"/>
                <w:szCs w:val="18"/>
                <w:highlight w:val="yellow"/>
              </w:rPr>
            </w:pPr>
            <w:r w:rsidRPr="002644C5">
              <w:rPr>
                <w:rFonts w:ascii="CAIXA Std Book" w:eastAsia="Times New Roman" w:hAnsi="CAIXA Std Book" w:cs="Arial"/>
                <w:color w:val="005CA9"/>
                <w:sz w:val="18"/>
                <w:szCs w:val="18"/>
              </w:rPr>
              <w:t>(1.069)</w:t>
            </w:r>
          </w:p>
        </w:tc>
        <w:tc>
          <w:tcPr>
            <w:tcW w:w="642" w:type="pct"/>
            <w:noWrap/>
            <w:vAlign w:val="center"/>
          </w:tcPr>
          <w:p w14:paraId="7D644A1A" w14:textId="3859EDED" w:rsidR="00EF1634" w:rsidRPr="00360C4C" w:rsidRDefault="00877154" w:rsidP="004E188D">
            <w:pPr>
              <w:ind w:firstLineChars="100" w:firstLine="180"/>
              <w:jc w:val="right"/>
              <w:rPr>
                <w:rFonts w:ascii="CAIXA Std Book" w:eastAsia="Times New Roman" w:hAnsi="CAIXA Std Book" w:cs="Arial"/>
                <w:color w:val="005CA9"/>
                <w:sz w:val="18"/>
                <w:szCs w:val="18"/>
              </w:rPr>
            </w:pPr>
            <w:r w:rsidRPr="00877154">
              <w:rPr>
                <w:rFonts w:ascii="CAIXA Std Book" w:eastAsia="Times New Roman" w:hAnsi="CAIXA Std Book" w:cs="Arial"/>
                <w:color w:val="005CA9"/>
                <w:sz w:val="18"/>
                <w:szCs w:val="18"/>
              </w:rPr>
              <w:t>(459.154)</w:t>
            </w:r>
          </w:p>
        </w:tc>
      </w:tr>
      <w:tr w:rsidR="0015386D" w:rsidRPr="006F29B4" w14:paraId="0F261C53" w14:textId="77777777" w:rsidTr="00D91FED">
        <w:trPr>
          <w:trHeight w:val="283"/>
        </w:trPr>
        <w:tc>
          <w:tcPr>
            <w:tcW w:w="1893" w:type="pct"/>
            <w:shd w:val="clear" w:color="auto" w:fill="005CA9"/>
            <w:noWrap/>
            <w:vAlign w:val="center"/>
            <w:hideMark/>
          </w:tcPr>
          <w:p w14:paraId="2340042A" w14:textId="77777777" w:rsidR="00EF1634" w:rsidRPr="006F29B4" w:rsidRDefault="00EF1634" w:rsidP="00EF1634">
            <w:pP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Total</w:t>
            </w:r>
          </w:p>
        </w:tc>
        <w:tc>
          <w:tcPr>
            <w:tcW w:w="616" w:type="pct"/>
            <w:shd w:val="clear" w:color="000000" w:fill="005CA9"/>
            <w:noWrap/>
            <w:vAlign w:val="center"/>
          </w:tcPr>
          <w:p w14:paraId="69EC8756" w14:textId="36552A17" w:rsidR="00EF1634" w:rsidRPr="006F29B4" w:rsidRDefault="00584ADC" w:rsidP="004E188D">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(5.136.943)</w:t>
            </w:r>
          </w:p>
        </w:tc>
        <w:tc>
          <w:tcPr>
            <w:tcW w:w="616" w:type="pct"/>
            <w:shd w:val="clear" w:color="000000" w:fill="005CA9"/>
            <w:vAlign w:val="center"/>
          </w:tcPr>
          <w:p w14:paraId="3210E468" w14:textId="7C3C8161" w:rsidR="00EF1634" w:rsidRPr="006F29B4" w:rsidRDefault="00584ADC" w:rsidP="004E188D">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(1.895.234)</w:t>
            </w:r>
          </w:p>
        </w:tc>
        <w:tc>
          <w:tcPr>
            <w:tcW w:w="617" w:type="pct"/>
            <w:shd w:val="clear" w:color="000000" w:fill="005CA9"/>
            <w:vAlign w:val="center"/>
          </w:tcPr>
          <w:p w14:paraId="4D172E6A" w14:textId="7EA060E6" w:rsidR="00EF1634" w:rsidRPr="006F29B4" w:rsidRDefault="00584ADC" w:rsidP="004E188D">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505.879</w:t>
            </w:r>
          </w:p>
        </w:tc>
        <w:tc>
          <w:tcPr>
            <w:tcW w:w="616" w:type="pct"/>
            <w:shd w:val="clear" w:color="000000" w:fill="005CA9"/>
            <w:vAlign w:val="center"/>
          </w:tcPr>
          <w:p w14:paraId="0D5C8109" w14:textId="7B111175" w:rsidR="00EF1634" w:rsidRPr="006F29B4" w:rsidRDefault="00584ADC" w:rsidP="004E188D">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1.479.487</w:t>
            </w:r>
          </w:p>
        </w:tc>
        <w:tc>
          <w:tcPr>
            <w:tcW w:w="642" w:type="pct"/>
            <w:shd w:val="clear" w:color="000000" w:fill="005CA9"/>
            <w:vAlign w:val="center"/>
          </w:tcPr>
          <w:p w14:paraId="30CEF8A8" w14:textId="58D7B03C" w:rsidR="00EF1634" w:rsidRPr="006F29B4" w:rsidRDefault="00584ADC" w:rsidP="004E188D">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(5.046.811)</w:t>
            </w:r>
          </w:p>
        </w:tc>
      </w:tr>
    </w:tbl>
    <w:p w14:paraId="15C5E001" w14:textId="46CFEC44" w:rsidR="005C3877" w:rsidRPr="00D05CC2" w:rsidRDefault="005C44A7" w:rsidP="004776C5">
      <w:pPr>
        <w:rPr>
          <w:rFonts w:ascii="CAIXA Std Book" w:hAnsi="CAIXA Std Book"/>
          <w:b/>
          <w:color w:val="005CA9"/>
          <w:sz w:val="20"/>
          <w:szCs w:val="20"/>
        </w:rPr>
      </w:pPr>
      <w:r>
        <w:rPr>
          <w:rFonts w:ascii="CAIXA Std Book" w:hAnsi="CAIXA Std Book"/>
          <w:b/>
          <w:color w:val="005CA9"/>
          <w:sz w:val="20"/>
          <w:szCs w:val="20"/>
        </w:rPr>
        <w:br w:type="page"/>
      </w:r>
    </w:p>
    <w:tbl>
      <w:tblPr>
        <w:tblW w:w="5001" w:type="pct"/>
        <w:tblCellMar>
          <w:left w:w="70" w:type="dxa"/>
          <w:right w:w="70" w:type="dxa"/>
        </w:tblCellMar>
        <w:tblLook w:val="04A0" w:firstRow="1" w:lastRow="0" w:firstColumn="1" w:lastColumn="0" w:noHBand="0" w:noVBand="1"/>
      </w:tblPr>
      <w:tblGrid>
        <w:gridCol w:w="5513"/>
        <w:gridCol w:w="1810"/>
        <w:gridCol w:w="1810"/>
        <w:gridCol w:w="1813"/>
        <w:gridCol w:w="1810"/>
        <w:gridCol w:w="1816"/>
      </w:tblGrid>
      <w:tr w:rsidR="00805005" w:rsidRPr="006F29B4" w14:paraId="7A28D017" w14:textId="77777777" w:rsidTr="00D91FED">
        <w:trPr>
          <w:trHeight w:val="283"/>
        </w:trPr>
        <w:tc>
          <w:tcPr>
            <w:tcW w:w="5000" w:type="pct"/>
            <w:gridSpan w:val="6"/>
            <w:tcBorders>
              <w:bottom w:val="single" w:sz="4" w:space="0" w:color="FFFFFF" w:themeColor="background1"/>
            </w:tcBorders>
            <w:shd w:val="clear" w:color="auto" w:fill="005CA9"/>
            <w:noWrap/>
            <w:vAlign w:val="center"/>
            <w:hideMark/>
          </w:tcPr>
          <w:p w14:paraId="07238EC5" w14:textId="70FD2C29" w:rsidR="00DC72B3" w:rsidRPr="00DC72B3" w:rsidRDefault="00913FBC">
            <w:pPr>
              <w:jc w:val="center"/>
              <w:rPr>
                <w:rFonts w:ascii="CAIXA Std Book" w:eastAsia="Times New Roman" w:hAnsi="CAIXA Std Book" w:cs="Arial"/>
                <w:b/>
                <w:bCs/>
                <w:color w:val="FFFFFF"/>
                <w:sz w:val="18"/>
                <w:szCs w:val="18"/>
              </w:rPr>
            </w:pPr>
            <w:r w:rsidRPr="00DC72B3">
              <w:rPr>
                <w:rFonts w:ascii="CAIXA Std Book" w:eastAsia="Times New Roman" w:hAnsi="CAIXA Std Book" w:cs="Arial"/>
                <w:b/>
                <w:color w:val="FFFFFF"/>
                <w:sz w:val="18"/>
                <w:szCs w:val="18"/>
              </w:rPr>
              <w:t>I</w:t>
            </w:r>
            <w:r>
              <w:rPr>
                <w:rFonts w:ascii="CAIXA Std Book" w:eastAsia="Times New Roman" w:hAnsi="CAIXA Std Book" w:cs="Arial"/>
                <w:b/>
                <w:color w:val="FFFFFF"/>
                <w:sz w:val="18"/>
                <w:szCs w:val="18"/>
              </w:rPr>
              <w:t>ndividual</w:t>
            </w:r>
          </w:p>
        </w:tc>
      </w:tr>
      <w:tr w:rsidR="0015386D" w:rsidRPr="006F29B4" w14:paraId="48CF6D1F" w14:textId="77777777" w:rsidTr="00D91FED">
        <w:trPr>
          <w:trHeight w:val="283"/>
        </w:trPr>
        <w:tc>
          <w:tcPr>
            <w:tcW w:w="1892" w:type="pct"/>
            <w:tcBorders>
              <w:top w:val="single" w:sz="4" w:space="0" w:color="FFFFFF" w:themeColor="background1"/>
            </w:tcBorders>
            <w:shd w:val="clear" w:color="auto" w:fill="005CA9"/>
            <w:vAlign w:val="center"/>
            <w:hideMark/>
          </w:tcPr>
          <w:p w14:paraId="0AC3E8DC" w14:textId="416D8C38" w:rsidR="00DC72B3" w:rsidRPr="006F29B4" w:rsidRDefault="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Estágio 3</w:t>
            </w:r>
          </w:p>
        </w:tc>
        <w:tc>
          <w:tcPr>
            <w:tcW w:w="621" w:type="pct"/>
            <w:tcBorders>
              <w:top w:val="single" w:sz="4" w:space="0" w:color="FFFFFF" w:themeColor="background1"/>
            </w:tcBorders>
            <w:shd w:val="clear" w:color="auto" w:fill="005CA9"/>
            <w:vAlign w:val="center"/>
            <w:hideMark/>
          </w:tcPr>
          <w:p w14:paraId="18C905FC" w14:textId="1066AB01" w:rsidR="00DC72B3" w:rsidRPr="006F29B4" w:rsidRDefault="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Saldo em </w:t>
            </w:r>
            <w:r w:rsidR="00154A03">
              <w:rPr>
                <w:rFonts w:ascii="CAIXA Std Book" w:eastAsia="Times New Roman" w:hAnsi="CAIXA Std Book" w:cs="Arial"/>
                <w:b/>
                <w:color w:val="FFFFFF"/>
                <w:sz w:val="18"/>
                <w:szCs w:val="18"/>
              </w:rPr>
              <w:t>31/12/2025</w:t>
            </w:r>
          </w:p>
        </w:tc>
        <w:tc>
          <w:tcPr>
            <w:tcW w:w="621" w:type="pct"/>
            <w:tcBorders>
              <w:top w:val="single" w:sz="4" w:space="0" w:color="FFFFFF" w:themeColor="background1"/>
            </w:tcBorders>
            <w:shd w:val="clear" w:color="auto" w:fill="005CA9"/>
            <w:vAlign w:val="center"/>
            <w:hideMark/>
          </w:tcPr>
          <w:p w14:paraId="72F741A7" w14:textId="77777777" w:rsidR="00DC72B3" w:rsidRPr="006F29B4" w:rsidRDefault="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Constituição/ reversão</w:t>
            </w:r>
          </w:p>
        </w:tc>
        <w:tc>
          <w:tcPr>
            <w:tcW w:w="622" w:type="pct"/>
            <w:tcBorders>
              <w:top w:val="single" w:sz="4" w:space="0" w:color="FFFFFF" w:themeColor="background1"/>
            </w:tcBorders>
            <w:shd w:val="clear" w:color="auto" w:fill="005CA9"/>
            <w:vAlign w:val="center"/>
            <w:hideMark/>
          </w:tcPr>
          <w:p w14:paraId="27DA8247" w14:textId="77777777" w:rsidR="001B254B" w:rsidRDefault="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Transferência do/ </w:t>
            </w:r>
          </w:p>
          <w:p w14:paraId="129E8AD9" w14:textId="0CB8C7ED" w:rsidR="00DC72B3" w:rsidRPr="006F29B4" w:rsidRDefault="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para estágio </w:t>
            </w:r>
            <w:r w:rsidR="006E7E31">
              <w:rPr>
                <w:rFonts w:ascii="CAIXA Std Book" w:eastAsia="Times New Roman" w:hAnsi="CAIXA Std Book" w:cs="Arial"/>
                <w:b/>
                <w:color w:val="FFFFFF"/>
                <w:sz w:val="18"/>
                <w:szCs w:val="18"/>
              </w:rPr>
              <w:t>1</w:t>
            </w:r>
          </w:p>
        </w:tc>
        <w:tc>
          <w:tcPr>
            <w:tcW w:w="621" w:type="pct"/>
            <w:tcBorders>
              <w:top w:val="single" w:sz="4" w:space="0" w:color="FFFFFF" w:themeColor="background1"/>
            </w:tcBorders>
            <w:shd w:val="clear" w:color="auto" w:fill="005CA9"/>
            <w:vAlign w:val="center"/>
            <w:hideMark/>
          </w:tcPr>
          <w:p w14:paraId="0A7EBF44" w14:textId="77777777" w:rsidR="00A579EA" w:rsidRDefault="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Transferência do/</w:t>
            </w:r>
          </w:p>
          <w:p w14:paraId="67415EF4" w14:textId="0A2063F1" w:rsidR="00DC72B3" w:rsidRPr="006F29B4" w:rsidRDefault="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para estágio </w:t>
            </w:r>
            <w:r w:rsidR="00BB0F77">
              <w:rPr>
                <w:rFonts w:ascii="CAIXA Std Book" w:eastAsia="Times New Roman" w:hAnsi="CAIXA Std Book" w:cs="Arial"/>
                <w:b/>
                <w:color w:val="FFFFFF"/>
                <w:sz w:val="18"/>
                <w:szCs w:val="18"/>
              </w:rPr>
              <w:t>2</w:t>
            </w:r>
          </w:p>
        </w:tc>
        <w:tc>
          <w:tcPr>
            <w:tcW w:w="623" w:type="pct"/>
            <w:tcBorders>
              <w:top w:val="single" w:sz="4" w:space="0" w:color="FFFFFF" w:themeColor="background1"/>
            </w:tcBorders>
            <w:shd w:val="clear" w:color="auto" w:fill="005CA9"/>
            <w:vAlign w:val="center"/>
            <w:hideMark/>
          </w:tcPr>
          <w:p w14:paraId="51E4925A" w14:textId="070EE6D1" w:rsidR="00DC72B3" w:rsidRPr="006F29B4" w:rsidRDefault="00DC72B3">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Saldo em </w:t>
            </w:r>
            <w:r w:rsidR="000872F7">
              <w:rPr>
                <w:rFonts w:ascii="CAIXA Std Book" w:eastAsia="Times New Roman" w:hAnsi="CAIXA Std Book" w:cs="Arial"/>
                <w:b/>
                <w:color w:val="FFFFFF"/>
                <w:sz w:val="18"/>
                <w:szCs w:val="18"/>
              </w:rPr>
              <w:t>3</w:t>
            </w:r>
            <w:r w:rsidR="00312C72">
              <w:rPr>
                <w:rFonts w:ascii="CAIXA Std Book" w:eastAsia="Times New Roman" w:hAnsi="CAIXA Std Book" w:cs="Arial"/>
                <w:b/>
                <w:color w:val="FFFFFF"/>
                <w:sz w:val="18"/>
                <w:szCs w:val="18"/>
              </w:rPr>
              <w:t>1</w:t>
            </w:r>
            <w:r w:rsidR="000872F7">
              <w:rPr>
                <w:rFonts w:ascii="CAIXA Std Book" w:eastAsia="Times New Roman" w:hAnsi="CAIXA Std Book" w:cs="Arial"/>
                <w:b/>
                <w:color w:val="FFFFFF"/>
                <w:sz w:val="18"/>
                <w:szCs w:val="18"/>
              </w:rPr>
              <w:t>/</w:t>
            </w:r>
            <w:r w:rsidR="00DD32A3">
              <w:rPr>
                <w:rFonts w:ascii="CAIXA Std Book" w:eastAsia="Times New Roman" w:hAnsi="CAIXA Std Book" w:cs="Arial"/>
                <w:b/>
                <w:color w:val="FFFFFF"/>
                <w:sz w:val="18"/>
                <w:szCs w:val="18"/>
              </w:rPr>
              <w:t>03/2026</w:t>
            </w:r>
          </w:p>
        </w:tc>
      </w:tr>
      <w:tr w:rsidR="0015386D" w:rsidRPr="006F29B4" w14:paraId="37CD44C4" w14:textId="77777777" w:rsidTr="00BE0067">
        <w:trPr>
          <w:trHeight w:val="283"/>
        </w:trPr>
        <w:tc>
          <w:tcPr>
            <w:tcW w:w="1892" w:type="pct"/>
            <w:shd w:val="clear" w:color="auto" w:fill="D0E0E3"/>
            <w:noWrap/>
            <w:vAlign w:val="center"/>
            <w:hideMark/>
          </w:tcPr>
          <w:p w14:paraId="589A23B7" w14:textId="59444C92" w:rsidR="00C9765C" w:rsidRPr="006F29B4" w:rsidRDefault="00C9765C" w:rsidP="00C9765C">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 xml:space="preserve">Ativos </w:t>
            </w:r>
            <w:r>
              <w:rPr>
                <w:rFonts w:ascii="CAIXA Std Book" w:eastAsia="Times New Roman" w:hAnsi="CAIXA Std Book" w:cs="Arial"/>
                <w:b/>
                <w:color w:val="005CA9"/>
                <w:sz w:val="18"/>
                <w:szCs w:val="18"/>
              </w:rPr>
              <w:t>f</w:t>
            </w:r>
            <w:r w:rsidRPr="006F29B4">
              <w:rPr>
                <w:rFonts w:ascii="CAIXA Std Book" w:eastAsia="Times New Roman" w:hAnsi="CAIXA Std Book" w:cs="Arial"/>
                <w:b/>
                <w:color w:val="005CA9"/>
                <w:sz w:val="18"/>
                <w:szCs w:val="18"/>
              </w:rPr>
              <w:t>inanceiros</w:t>
            </w:r>
          </w:p>
        </w:tc>
        <w:tc>
          <w:tcPr>
            <w:tcW w:w="621" w:type="pct"/>
            <w:shd w:val="clear" w:color="000000" w:fill="D0E0E3"/>
            <w:noWrap/>
            <w:vAlign w:val="center"/>
          </w:tcPr>
          <w:p w14:paraId="2C58FB13" w14:textId="58582684" w:rsidR="00C9765C" w:rsidRPr="006F29B4" w:rsidRDefault="009925D5" w:rsidP="004E188D">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(50.223.369)</w:t>
            </w:r>
          </w:p>
        </w:tc>
        <w:tc>
          <w:tcPr>
            <w:tcW w:w="621" w:type="pct"/>
            <w:shd w:val="clear" w:color="000000" w:fill="D0E0E3"/>
            <w:noWrap/>
            <w:vAlign w:val="center"/>
          </w:tcPr>
          <w:p w14:paraId="6CA4C857" w14:textId="11D2CA19" w:rsidR="00C9765C" w:rsidRPr="006F29B4" w:rsidRDefault="009925D5" w:rsidP="004E188D">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(3.644.470)</w:t>
            </w:r>
          </w:p>
        </w:tc>
        <w:tc>
          <w:tcPr>
            <w:tcW w:w="622" w:type="pct"/>
            <w:shd w:val="clear" w:color="000000" w:fill="D0E0E3"/>
            <w:noWrap/>
            <w:vAlign w:val="center"/>
          </w:tcPr>
          <w:p w14:paraId="08A6938A" w14:textId="681D78F5" w:rsidR="00C9765C" w:rsidRPr="006F29B4" w:rsidRDefault="009925D5" w:rsidP="004E188D">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1.177.353</w:t>
            </w:r>
          </w:p>
        </w:tc>
        <w:tc>
          <w:tcPr>
            <w:tcW w:w="621" w:type="pct"/>
            <w:shd w:val="clear" w:color="000000" w:fill="D0E0E3"/>
            <w:noWrap/>
            <w:vAlign w:val="center"/>
          </w:tcPr>
          <w:p w14:paraId="7976D831" w14:textId="4DB62F70" w:rsidR="00C9765C" w:rsidRPr="006F29B4" w:rsidRDefault="009925D5" w:rsidP="004E188D">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(1.478.225)</w:t>
            </w:r>
          </w:p>
        </w:tc>
        <w:tc>
          <w:tcPr>
            <w:tcW w:w="623" w:type="pct"/>
            <w:shd w:val="clear" w:color="000000" w:fill="D0E0E3"/>
            <w:noWrap/>
            <w:vAlign w:val="center"/>
          </w:tcPr>
          <w:p w14:paraId="5F50BF71" w14:textId="164AEF6A" w:rsidR="001F2A41" w:rsidRPr="006F29B4" w:rsidRDefault="009925D5" w:rsidP="004E188D">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(54.168.711)</w:t>
            </w:r>
          </w:p>
        </w:tc>
      </w:tr>
      <w:tr w:rsidR="00B52745" w:rsidRPr="006F29B4" w14:paraId="2C9A163E" w14:textId="77777777" w:rsidTr="00BE0067">
        <w:trPr>
          <w:trHeight w:val="283"/>
        </w:trPr>
        <w:tc>
          <w:tcPr>
            <w:tcW w:w="1892" w:type="pct"/>
            <w:noWrap/>
            <w:vAlign w:val="center"/>
            <w:hideMark/>
          </w:tcPr>
          <w:p w14:paraId="19D9C3B2" w14:textId="5DDD405A" w:rsidR="00B52745" w:rsidRPr="006F29B4" w:rsidRDefault="00B52745" w:rsidP="00B52745">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Títulos e </w:t>
            </w:r>
            <w:r>
              <w:rPr>
                <w:rFonts w:ascii="CAIXA Std Book" w:eastAsia="Times New Roman" w:hAnsi="CAIXA Std Book" w:cs="Arial"/>
                <w:color w:val="005CA9"/>
                <w:sz w:val="18"/>
                <w:szCs w:val="18"/>
              </w:rPr>
              <w:t>v</w:t>
            </w:r>
            <w:r w:rsidRPr="006F29B4">
              <w:rPr>
                <w:rFonts w:ascii="CAIXA Std Book" w:eastAsia="Times New Roman" w:hAnsi="CAIXA Std Book" w:cs="Arial"/>
                <w:color w:val="005CA9"/>
                <w:sz w:val="18"/>
                <w:szCs w:val="18"/>
              </w:rPr>
              <w:t xml:space="preserve">alores </w:t>
            </w:r>
            <w:r>
              <w:rPr>
                <w:rFonts w:ascii="CAIXA Std Book" w:eastAsia="Times New Roman" w:hAnsi="CAIXA Std Book" w:cs="Arial"/>
                <w:color w:val="005CA9"/>
                <w:sz w:val="18"/>
                <w:szCs w:val="18"/>
              </w:rPr>
              <w:t>m</w:t>
            </w:r>
            <w:r w:rsidRPr="006F29B4">
              <w:rPr>
                <w:rFonts w:ascii="CAIXA Std Book" w:eastAsia="Times New Roman" w:hAnsi="CAIXA Std Book" w:cs="Arial"/>
                <w:color w:val="005CA9"/>
                <w:sz w:val="18"/>
                <w:szCs w:val="18"/>
              </w:rPr>
              <w:t>obiliários</w:t>
            </w:r>
          </w:p>
        </w:tc>
        <w:tc>
          <w:tcPr>
            <w:tcW w:w="621" w:type="pct"/>
            <w:noWrap/>
            <w:vAlign w:val="center"/>
          </w:tcPr>
          <w:p w14:paraId="523550D7" w14:textId="53CF84DB" w:rsidR="00B52745" w:rsidRPr="00687B71" w:rsidRDefault="00B52745" w:rsidP="00B52745">
            <w:pPr>
              <w:jc w:val="right"/>
              <w:rPr>
                <w:rFonts w:ascii="CAIXA Std Book" w:hAnsi="CAIXA Std Book" w:cs="Calibri"/>
                <w:color w:val="005CA9"/>
                <w:sz w:val="18"/>
                <w:szCs w:val="18"/>
              </w:rPr>
            </w:pPr>
            <w:r>
              <w:rPr>
                <w:rFonts w:ascii="CAIXA Std Book" w:hAnsi="CAIXA Std Book" w:cs="Arial"/>
                <w:color w:val="005CA9"/>
                <w:sz w:val="18"/>
                <w:szCs w:val="18"/>
              </w:rPr>
              <w:t>(372.</w:t>
            </w:r>
            <w:r w:rsidR="009925D5">
              <w:rPr>
                <w:rFonts w:ascii="CAIXA Std Book" w:hAnsi="CAIXA Std Book" w:cs="Calibri"/>
                <w:color w:val="005CA9"/>
                <w:sz w:val="18"/>
                <w:szCs w:val="18"/>
              </w:rPr>
              <w:t>566</w:t>
            </w:r>
            <w:r>
              <w:rPr>
                <w:rFonts w:ascii="CAIXA Std Book" w:hAnsi="CAIXA Std Book" w:cs="Arial"/>
                <w:color w:val="005CA9"/>
                <w:sz w:val="18"/>
                <w:szCs w:val="18"/>
              </w:rPr>
              <w:t>)</w:t>
            </w:r>
          </w:p>
        </w:tc>
        <w:tc>
          <w:tcPr>
            <w:tcW w:w="621" w:type="pct"/>
            <w:noWrap/>
            <w:vAlign w:val="center"/>
          </w:tcPr>
          <w:p w14:paraId="626B2564" w14:textId="361168D6" w:rsidR="00B52745" w:rsidRPr="00687B71" w:rsidRDefault="00B52745" w:rsidP="00B52745">
            <w:pPr>
              <w:jc w:val="right"/>
              <w:rPr>
                <w:rFonts w:ascii="CAIXA Std Book" w:hAnsi="CAIXA Std Book" w:cs="Calibri"/>
                <w:color w:val="005CA9"/>
                <w:sz w:val="18"/>
                <w:szCs w:val="18"/>
              </w:rPr>
            </w:pPr>
            <w:r>
              <w:rPr>
                <w:rFonts w:ascii="CAIXA Std Book" w:hAnsi="CAIXA Std Book" w:cs="Arial"/>
                <w:color w:val="005CA9"/>
                <w:sz w:val="18"/>
                <w:szCs w:val="18"/>
              </w:rPr>
              <w:t>(730)</w:t>
            </w:r>
          </w:p>
        </w:tc>
        <w:tc>
          <w:tcPr>
            <w:tcW w:w="622" w:type="pct"/>
            <w:noWrap/>
            <w:vAlign w:val="center"/>
          </w:tcPr>
          <w:p w14:paraId="43864CA3" w14:textId="23077693" w:rsidR="00B52745" w:rsidRPr="00687B71" w:rsidRDefault="00B52745" w:rsidP="00B52745">
            <w:pPr>
              <w:jc w:val="center"/>
              <w:rPr>
                <w:rFonts w:ascii="CAIXA Std Book" w:hAnsi="CAIXA Std Book" w:cs="Calibri"/>
                <w:color w:val="005CA9"/>
                <w:sz w:val="18"/>
                <w:szCs w:val="18"/>
              </w:rPr>
            </w:pPr>
            <w:r>
              <w:rPr>
                <w:rFonts w:ascii="CAIXA Std Book" w:hAnsi="CAIXA Std Book" w:cs="Calibri"/>
                <w:color w:val="005CA9"/>
                <w:sz w:val="18"/>
                <w:szCs w:val="18"/>
              </w:rPr>
              <w:t>-</w:t>
            </w:r>
          </w:p>
        </w:tc>
        <w:tc>
          <w:tcPr>
            <w:tcW w:w="621" w:type="pct"/>
            <w:noWrap/>
            <w:vAlign w:val="center"/>
          </w:tcPr>
          <w:p w14:paraId="1236E4DB" w14:textId="736E3ABD" w:rsidR="00B52745" w:rsidRPr="00687B71" w:rsidRDefault="00B52745" w:rsidP="00B52745">
            <w:pPr>
              <w:jc w:val="center"/>
              <w:rPr>
                <w:rFonts w:ascii="CAIXA Std Book" w:hAnsi="CAIXA Std Book" w:cs="Calibri"/>
                <w:color w:val="005CA9"/>
                <w:sz w:val="18"/>
                <w:szCs w:val="18"/>
              </w:rPr>
            </w:pPr>
            <w:r>
              <w:rPr>
                <w:rFonts w:ascii="CAIXA Std Book" w:hAnsi="CAIXA Std Book" w:cs="Calibri"/>
                <w:color w:val="005CA9"/>
                <w:sz w:val="18"/>
                <w:szCs w:val="18"/>
              </w:rPr>
              <w:t>-</w:t>
            </w:r>
          </w:p>
        </w:tc>
        <w:tc>
          <w:tcPr>
            <w:tcW w:w="623" w:type="pct"/>
            <w:noWrap/>
            <w:vAlign w:val="center"/>
          </w:tcPr>
          <w:p w14:paraId="5EF65EA7" w14:textId="15744251" w:rsidR="00B52745" w:rsidRPr="00687B71" w:rsidRDefault="00B52745" w:rsidP="00B52745">
            <w:pPr>
              <w:jc w:val="right"/>
              <w:rPr>
                <w:rFonts w:ascii="CAIXA Std Book" w:hAnsi="CAIXA Std Book" w:cs="Calibri"/>
                <w:color w:val="005CA9"/>
                <w:sz w:val="18"/>
                <w:szCs w:val="18"/>
              </w:rPr>
            </w:pPr>
            <w:r>
              <w:rPr>
                <w:rFonts w:ascii="CAIXA Std Book" w:hAnsi="CAIXA Std Book" w:cs="Calibri"/>
                <w:color w:val="005CA9"/>
                <w:sz w:val="18"/>
                <w:szCs w:val="18"/>
              </w:rPr>
              <w:t>(373.296)</w:t>
            </w:r>
          </w:p>
        </w:tc>
      </w:tr>
      <w:tr w:rsidR="0015386D" w:rsidRPr="006F29B4" w14:paraId="37094E54" w14:textId="77777777" w:rsidTr="00BE0067">
        <w:trPr>
          <w:trHeight w:val="283"/>
        </w:trPr>
        <w:tc>
          <w:tcPr>
            <w:tcW w:w="1892" w:type="pct"/>
            <w:noWrap/>
            <w:vAlign w:val="center"/>
            <w:hideMark/>
          </w:tcPr>
          <w:p w14:paraId="2E541FBE" w14:textId="27009C5C" w:rsidR="00832ED9" w:rsidRPr="006F29B4" w:rsidRDefault="00832ED9" w:rsidP="00832ED9">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Carteira de </w:t>
            </w:r>
            <w:r>
              <w:rPr>
                <w:rFonts w:ascii="CAIXA Std Book" w:eastAsia="Times New Roman" w:hAnsi="CAIXA Std Book" w:cs="Arial"/>
                <w:color w:val="005CA9"/>
                <w:sz w:val="18"/>
                <w:szCs w:val="18"/>
              </w:rPr>
              <w:t>c</w:t>
            </w:r>
            <w:r w:rsidRPr="006F29B4">
              <w:rPr>
                <w:rFonts w:ascii="CAIXA Std Book" w:eastAsia="Times New Roman" w:hAnsi="CAIXA Std Book" w:cs="Arial"/>
                <w:color w:val="005CA9"/>
                <w:sz w:val="18"/>
                <w:szCs w:val="18"/>
              </w:rPr>
              <w:t>rédito</w:t>
            </w:r>
          </w:p>
        </w:tc>
        <w:tc>
          <w:tcPr>
            <w:tcW w:w="621" w:type="pct"/>
            <w:noWrap/>
            <w:vAlign w:val="center"/>
          </w:tcPr>
          <w:p w14:paraId="6C527FFB" w14:textId="0B30A826" w:rsidR="00832ED9" w:rsidRPr="006F29B4" w:rsidRDefault="009925D5" w:rsidP="004E188D">
            <w:pPr>
              <w:jc w:val="right"/>
              <w:rPr>
                <w:rFonts w:ascii="CAIXA Std Book" w:eastAsia="Times New Roman" w:hAnsi="CAIXA Std Book" w:cs="Arial"/>
                <w:color w:val="005CA9"/>
                <w:sz w:val="18"/>
                <w:szCs w:val="18"/>
              </w:rPr>
            </w:pPr>
            <w:r>
              <w:rPr>
                <w:rFonts w:ascii="CAIXA Std Book" w:hAnsi="CAIXA Std Book" w:cs="Calibri"/>
                <w:color w:val="005CA9"/>
                <w:sz w:val="18"/>
                <w:szCs w:val="18"/>
              </w:rPr>
              <w:t>(46.445.828)</w:t>
            </w:r>
          </w:p>
        </w:tc>
        <w:tc>
          <w:tcPr>
            <w:tcW w:w="621" w:type="pct"/>
            <w:noWrap/>
            <w:vAlign w:val="center"/>
          </w:tcPr>
          <w:p w14:paraId="3404B6B9" w14:textId="64AF71ED" w:rsidR="00832ED9" w:rsidRPr="006F29B4" w:rsidRDefault="009925D5" w:rsidP="004E188D">
            <w:pPr>
              <w:jc w:val="right"/>
              <w:rPr>
                <w:rFonts w:ascii="CAIXA Std Book" w:eastAsia="Times New Roman" w:hAnsi="CAIXA Std Book" w:cs="Arial"/>
                <w:color w:val="005CA9"/>
                <w:sz w:val="18"/>
                <w:szCs w:val="18"/>
              </w:rPr>
            </w:pPr>
            <w:r>
              <w:rPr>
                <w:rFonts w:ascii="CAIXA Std Book" w:hAnsi="CAIXA Std Book" w:cs="Calibri"/>
                <w:color w:val="005CA9"/>
                <w:sz w:val="18"/>
                <w:szCs w:val="18"/>
              </w:rPr>
              <w:t>(3.913.491)</w:t>
            </w:r>
          </w:p>
        </w:tc>
        <w:tc>
          <w:tcPr>
            <w:tcW w:w="622" w:type="pct"/>
            <w:noWrap/>
            <w:vAlign w:val="center"/>
          </w:tcPr>
          <w:p w14:paraId="33E29878" w14:textId="0D0527A1" w:rsidR="00832ED9" w:rsidRPr="006F29B4" w:rsidRDefault="009925D5" w:rsidP="004E188D">
            <w:pPr>
              <w:jc w:val="right"/>
              <w:rPr>
                <w:rFonts w:ascii="CAIXA Std Book" w:eastAsia="Times New Roman" w:hAnsi="CAIXA Std Book" w:cs="Arial"/>
                <w:color w:val="005CA9"/>
                <w:sz w:val="18"/>
                <w:szCs w:val="18"/>
              </w:rPr>
            </w:pPr>
            <w:r>
              <w:rPr>
                <w:rFonts w:ascii="CAIXA Std Book" w:hAnsi="CAIXA Std Book" w:cs="Calibri"/>
                <w:color w:val="005CA9"/>
                <w:sz w:val="18"/>
                <w:szCs w:val="18"/>
              </w:rPr>
              <w:t>1.177.353</w:t>
            </w:r>
          </w:p>
        </w:tc>
        <w:tc>
          <w:tcPr>
            <w:tcW w:w="621" w:type="pct"/>
            <w:noWrap/>
            <w:vAlign w:val="center"/>
          </w:tcPr>
          <w:p w14:paraId="17001574" w14:textId="19CE0A95" w:rsidR="00832ED9" w:rsidRPr="006F29B4" w:rsidRDefault="009925D5" w:rsidP="004E188D">
            <w:pPr>
              <w:jc w:val="right"/>
              <w:rPr>
                <w:rFonts w:ascii="CAIXA Std Book" w:eastAsia="Times New Roman" w:hAnsi="CAIXA Std Book" w:cs="Arial"/>
                <w:color w:val="005CA9"/>
                <w:sz w:val="18"/>
                <w:szCs w:val="18"/>
              </w:rPr>
            </w:pPr>
            <w:r>
              <w:rPr>
                <w:rFonts w:ascii="CAIXA Std Book" w:hAnsi="CAIXA Std Book" w:cs="Calibri"/>
                <w:color w:val="005CA9"/>
                <w:sz w:val="18"/>
                <w:szCs w:val="18"/>
              </w:rPr>
              <w:t>(1.478.225)</w:t>
            </w:r>
          </w:p>
        </w:tc>
        <w:tc>
          <w:tcPr>
            <w:tcW w:w="623" w:type="pct"/>
            <w:noWrap/>
            <w:vAlign w:val="center"/>
          </w:tcPr>
          <w:p w14:paraId="7943BF28" w14:textId="1078A75C" w:rsidR="00832ED9" w:rsidRPr="006F29B4" w:rsidRDefault="009925D5" w:rsidP="004E188D">
            <w:pPr>
              <w:jc w:val="right"/>
              <w:rPr>
                <w:rFonts w:ascii="CAIXA Std Book" w:eastAsia="Times New Roman" w:hAnsi="CAIXA Std Book" w:cs="Arial"/>
                <w:color w:val="005CA9"/>
                <w:sz w:val="18"/>
                <w:szCs w:val="18"/>
              </w:rPr>
            </w:pPr>
            <w:r>
              <w:rPr>
                <w:rFonts w:ascii="CAIXA Std Book" w:hAnsi="CAIXA Std Book" w:cs="Calibri"/>
                <w:color w:val="005CA9"/>
                <w:sz w:val="18"/>
                <w:szCs w:val="18"/>
              </w:rPr>
              <w:t>(50.660.191)</w:t>
            </w:r>
          </w:p>
        </w:tc>
      </w:tr>
      <w:tr w:rsidR="0015386D" w:rsidRPr="006F29B4" w14:paraId="15C50E85" w14:textId="77777777" w:rsidTr="00BE0067">
        <w:trPr>
          <w:trHeight w:val="283"/>
        </w:trPr>
        <w:tc>
          <w:tcPr>
            <w:tcW w:w="1892" w:type="pct"/>
            <w:noWrap/>
            <w:vAlign w:val="center"/>
          </w:tcPr>
          <w:p w14:paraId="0C5B80CA" w14:textId="7C4388E1" w:rsidR="00C9765C" w:rsidRPr="006F29B4" w:rsidRDefault="00C9765C" w:rsidP="00C9765C">
            <w:pPr>
              <w:ind w:firstLineChars="100" w:firstLine="180"/>
              <w:rPr>
                <w:rFonts w:ascii="CAIXA Std Book" w:eastAsia="Times New Roman" w:hAnsi="CAIXA Std Book" w:cs="Arial"/>
                <w:color w:val="005CA9"/>
                <w:sz w:val="18"/>
                <w:szCs w:val="18"/>
              </w:rPr>
            </w:pPr>
            <w:r w:rsidRPr="00C9765C">
              <w:rPr>
                <w:rFonts w:ascii="CAIXA Std Book" w:eastAsia="Times New Roman" w:hAnsi="CAIXA Std Book" w:cs="Arial"/>
                <w:color w:val="005CA9"/>
                <w:sz w:val="18"/>
                <w:szCs w:val="18"/>
              </w:rPr>
              <w:t>Outros ativos financeiros</w:t>
            </w:r>
          </w:p>
        </w:tc>
        <w:tc>
          <w:tcPr>
            <w:tcW w:w="621" w:type="pct"/>
            <w:noWrap/>
            <w:vAlign w:val="center"/>
          </w:tcPr>
          <w:p w14:paraId="2D687830" w14:textId="5C1ED86D" w:rsidR="00C9765C" w:rsidRDefault="009925D5" w:rsidP="004E188D">
            <w:pPr>
              <w:jc w:val="right"/>
              <w:rPr>
                <w:rFonts w:ascii="CAIXA Std Book" w:hAnsi="CAIXA Std Book" w:cs="Calibri"/>
                <w:color w:val="005CA9"/>
                <w:sz w:val="18"/>
                <w:szCs w:val="18"/>
              </w:rPr>
            </w:pPr>
            <w:r>
              <w:rPr>
                <w:rFonts w:ascii="CAIXA Std Book" w:hAnsi="CAIXA Std Book" w:cs="Calibri"/>
                <w:color w:val="005CA9"/>
                <w:sz w:val="18"/>
                <w:szCs w:val="18"/>
              </w:rPr>
              <w:t>(3.404.975)</w:t>
            </w:r>
          </w:p>
        </w:tc>
        <w:tc>
          <w:tcPr>
            <w:tcW w:w="621" w:type="pct"/>
            <w:noWrap/>
            <w:vAlign w:val="center"/>
          </w:tcPr>
          <w:p w14:paraId="1BD782C3" w14:textId="146C7EF7" w:rsidR="00C9765C" w:rsidRDefault="009925D5" w:rsidP="004E188D">
            <w:pPr>
              <w:jc w:val="right"/>
              <w:rPr>
                <w:rFonts w:ascii="CAIXA Std Book" w:hAnsi="CAIXA Std Book" w:cs="Calibri"/>
                <w:color w:val="005CA9"/>
                <w:sz w:val="18"/>
                <w:szCs w:val="18"/>
              </w:rPr>
            </w:pPr>
            <w:r>
              <w:rPr>
                <w:rFonts w:ascii="CAIXA Std Book" w:hAnsi="CAIXA Std Book" w:cs="Calibri"/>
                <w:color w:val="005CA9"/>
                <w:sz w:val="18"/>
                <w:szCs w:val="18"/>
              </w:rPr>
              <w:t>269.751</w:t>
            </w:r>
          </w:p>
        </w:tc>
        <w:tc>
          <w:tcPr>
            <w:tcW w:w="622" w:type="pct"/>
            <w:noWrap/>
            <w:vAlign w:val="center"/>
          </w:tcPr>
          <w:p w14:paraId="35C02498" w14:textId="4EC3D000" w:rsidR="00C9765C" w:rsidRDefault="009925D5" w:rsidP="00045348">
            <w:pPr>
              <w:jc w:val="center"/>
              <w:rPr>
                <w:rFonts w:ascii="CAIXA Std Book" w:hAnsi="CAIXA Std Book" w:cs="Calibri"/>
                <w:color w:val="005CA9"/>
                <w:sz w:val="18"/>
                <w:szCs w:val="18"/>
              </w:rPr>
            </w:pPr>
            <w:r>
              <w:rPr>
                <w:rFonts w:ascii="CAIXA Std Book" w:hAnsi="CAIXA Std Book" w:cs="Calibri"/>
                <w:color w:val="005CA9"/>
                <w:sz w:val="18"/>
                <w:szCs w:val="18"/>
              </w:rPr>
              <w:t>-</w:t>
            </w:r>
          </w:p>
        </w:tc>
        <w:tc>
          <w:tcPr>
            <w:tcW w:w="621" w:type="pct"/>
            <w:noWrap/>
            <w:vAlign w:val="center"/>
          </w:tcPr>
          <w:p w14:paraId="2748A613" w14:textId="490F633F" w:rsidR="00C9765C" w:rsidRDefault="009925D5" w:rsidP="00045348">
            <w:pPr>
              <w:jc w:val="center"/>
              <w:rPr>
                <w:rFonts w:ascii="CAIXA Std Book" w:hAnsi="CAIXA Std Book" w:cs="Calibri"/>
                <w:color w:val="005CA9"/>
                <w:sz w:val="18"/>
                <w:szCs w:val="18"/>
              </w:rPr>
            </w:pPr>
            <w:r>
              <w:rPr>
                <w:rFonts w:ascii="CAIXA Std Book" w:hAnsi="CAIXA Std Book" w:cs="Calibri"/>
                <w:color w:val="005CA9"/>
                <w:sz w:val="18"/>
                <w:szCs w:val="18"/>
              </w:rPr>
              <w:t>-</w:t>
            </w:r>
          </w:p>
        </w:tc>
        <w:tc>
          <w:tcPr>
            <w:tcW w:w="623" w:type="pct"/>
            <w:noWrap/>
            <w:vAlign w:val="center"/>
          </w:tcPr>
          <w:p w14:paraId="2917EBFD" w14:textId="115E43A9" w:rsidR="00C9765C" w:rsidRDefault="009925D5" w:rsidP="004E188D">
            <w:pPr>
              <w:jc w:val="right"/>
              <w:rPr>
                <w:rFonts w:ascii="CAIXA Std Book" w:hAnsi="CAIXA Std Book" w:cs="Calibri"/>
                <w:color w:val="005CA9"/>
                <w:sz w:val="18"/>
                <w:szCs w:val="18"/>
              </w:rPr>
            </w:pPr>
            <w:r>
              <w:rPr>
                <w:rFonts w:ascii="CAIXA Std Book" w:hAnsi="CAIXA Std Book" w:cs="Calibri"/>
                <w:color w:val="005CA9"/>
                <w:sz w:val="18"/>
                <w:szCs w:val="18"/>
              </w:rPr>
              <w:t>(3.135.224)</w:t>
            </w:r>
          </w:p>
        </w:tc>
      </w:tr>
      <w:tr w:rsidR="0015386D" w:rsidRPr="006F29B4" w14:paraId="5C9041C2" w14:textId="77777777" w:rsidTr="00BE0067">
        <w:trPr>
          <w:trHeight w:val="283"/>
        </w:trPr>
        <w:tc>
          <w:tcPr>
            <w:tcW w:w="1892" w:type="pct"/>
            <w:shd w:val="clear" w:color="auto" w:fill="D0E0E3"/>
            <w:noWrap/>
            <w:vAlign w:val="center"/>
            <w:hideMark/>
          </w:tcPr>
          <w:p w14:paraId="7B0EBC76" w14:textId="55D5FF64" w:rsidR="00EF1634" w:rsidRPr="006F29B4" w:rsidRDefault="00EF1634" w:rsidP="00EF1634">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 xml:space="preserve">Passivos </w:t>
            </w:r>
            <w:r>
              <w:rPr>
                <w:rFonts w:ascii="CAIXA Std Book" w:eastAsia="Times New Roman" w:hAnsi="CAIXA Std Book" w:cs="Arial"/>
                <w:b/>
                <w:color w:val="005CA9"/>
                <w:sz w:val="18"/>
                <w:szCs w:val="18"/>
              </w:rPr>
              <w:t>f</w:t>
            </w:r>
            <w:r w:rsidRPr="006F29B4">
              <w:rPr>
                <w:rFonts w:ascii="CAIXA Std Book" w:eastAsia="Times New Roman" w:hAnsi="CAIXA Std Book" w:cs="Arial"/>
                <w:b/>
                <w:color w:val="005CA9"/>
                <w:sz w:val="18"/>
                <w:szCs w:val="18"/>
              </w:rPr>
              <w:t>inanceiros</w:t>
            </w:r>
          </w:p>
        </w:tc>
        <w:tc>
          <w:tcPr>
            <w:tcW w:w="621" w:type="pct"/>
            <w:shd w:val="clear" w:color="000000" w:fill="D0E0E3"/>
            <w:noWrap/>
            <w:vAlign w:val="center"/>
          </w:tcPr>
          <w:p w14:paraId="7F60F3CC" w14:textId="368EB39C" w:rsidR="00EF1634" w:rsidRPr="006F29B4" w:rsidRDefault="00877154" w:rsidP="004E188D">
            <w:pPr>
              <w:jc w:val="right"/>
              <w:rPr>
                <w:rFonts w:ascii="CAIXA Std Book" w:eastAsia="Times New Roman" w:hAnsi="CAIXA Std Book" w:cs="Arial"/>
                <w:b/>
                <w:color w:val="005CA9"/>
                <w:sz w:val="18"/>
                <w:szCs w:val="18"/>
              </w:rPr>
            </w:pPr>
            <w:r w:rsidRPr="00877154">
              <w:rPr>
                <w:rFonts w:ascii="CAIXA Std Book" w:eastAsia="Times New Roman" w:hAnsi="CAIXA Std Book" w:cs="Arial"/>
                <w:b/>
                <w:color w:val="005CA9"/>
                <w:sz w:val="18"/>
                <w:szCs w:val="18"/>
              </w:rPr>
              <w:t>(1.179.740)</w:t>
            </w:r>
          </w:p>
        </w:tc>
        <w:tc>
          <w:tcPr>
            <w:tcW w:w="621" w:type="pct"/>
            <w:shd w:val="clear" w:color="000000" w:fill="D0E0E3"/>
            <w:noWrap/>
            <w:vAlign w:val="center"/>
          </w:tcPr>
          <w:p w14:paraId="4575DFE8" w14:textId="3EC54FAB" w:rsidR="00EF1634" w:rsidRPr="006F29B4" w:rsidRDefault="003F1206" w:rsidP="004E188D">
            <w:pPr>
              <w:jc w:val="right"/>
              <w:rPr>
                <w:rFonts w:ascii="CAIXA Std Book" w:eastAsia="Times New Roman" w:hAnsi="CAIXA Std Book" w:cs="Arial"/>
                <w:b/>
                <w:color w:val="005CA9"/>
                <w:sz w:val="18"/>
                <w:szCs w:val="18"/>
              </w:rPr>
            </w:pPr>
            <w:r w:rsidRPr="003F1206">
              <w:rPr>
                <w:rFonts w:ascii="CAIXA Std Book" w:eastAsia="Times New Roman" w:hAnsi="CAIXA Std Book" w:cs="Arial"/>
                <w:b/>
                <w:color w:val="005CA9"/>
                <w:sz w:val="18"/>
                <w:szCs w:val="18"/>
              </w:rPr>
              <w:t>112.</w:t>
            </w:r>
            <w:r w:rsidR="009925D5">
              <w:rPr>
                <w:rFonts w:ascii="CAIXA Std Book" w:hAnsi="CAIXA Std Book" w:cs="Calibri"/>
                <w:b/>
                <w:bCs/>
                <w:color w:val="005CA9"/>
                <w:sz w:val="18"/>
                <w:szCs w:val="18"/>
              </w:rPr>
              <w:t>137</w:t>
            </w:r>
          </w:p>
        </w:tc>
        <w:tc>
          <w:tcPr>
            <w:tcW w:w="622" w:type="pct"/>
            <w:shd w:val="clear" w:color="000000" w:fill="D0E0E3"/>
            <w:noWrap/>
            <w:vAlign w:val="center"/>
          </w:tcPr>
          <w:p w14:paraId="561B986D" w14:textId="286C4638" w:rsidR="00EF1634" w:rsidRPr="006F29B4" w:rsidRDefault="00F87640" w:rsidP="004E188D">
            <w:pPr>
              <w:jc w:val="right"/>
              <w:rPr>
                <w:rFonts w:ascii="CAIXA Std Book" w:eastAsia="Times New Roman" w:hAnsi="CAIXA Std Book" w:cs="Arial"/>
                <w:b/>
                <w:color w:val="005CA9"/>
                <w:sz w:val="18"/>
                <w:szCs w:val="18"/>
              </w:rPr>
            </w:pPr>
            <w:r w:rsidRPr="00F87640">
              <w:rPr>
                <w:rFonts w:ascii="CAIXA Std Book" w:eastAsia="Times New Roman" w:hAnsi="CAIXA Std Book" w:cs="Arial"/>
                <w:b/>
                <w:color w:val="005CA9"/>
                <w:sz w:val="18"/>
                <w:szCs w:val="18"/>
              </w:rPr>
              <w:t>127.763</w:t>
            </w:r>
          </w:p>
        </w:tc>
        <w:tc>
          <w:tcPr>
            <w:tcW w:w="621" w:type="pct"/>
            <w:shd w:val="clear" w:color="000000" w:fill="D0E0E3"/>
            <w:noWrap/>
            <w:vAlign w:val="center"/>
          </w:tcPr>
          <w:p w14:paraId="7BB382EF" w14:textId="239070F2" w:rsidR="00EF1634" w:rsidRPr="006F29B4" w:rsidRDefault="00F87640" w:rsidP="004E188D">
            <w:pPr>
              <w:jc w:val="right"/>
              <w:rPr>
                <w:rFonts w:ascii="CAIXA Std Book" w:eastAsia="Times New Roman" w:hAnsi="CAIXA Std Book" w:cs="Arial"/>
                <w:b/>
                <w:color w:val="005CA9"/>
                <w:sz w:val="18"/>
                <w:szCs w:val="18"/>
              </w:rPr>
            </w:pPr>
            <w:r w:rsidRPr="00F87640">
              <w:rPr>
                <w:rFonts w:ascii="CAIXA Std Book" w:eastAsia="Times New Roman" w:hAnsi="CAIXA Std Book" w:cs="Arial"/>
                <w:b/>
                <w:color w:val="005CA9"/>
                <w:sz w:val="18"/>
                <w:szCs w:val="18"/>
              </w:rPr>
              <w:t>(1.262)</w:t>
            </w:r>
          </w:p>
        </w:tc>
        <w:tc>
          <w:tcPr>
            <w:tcW w:w="623" w:type="pct"/>
            <w:shd w:val="clear" w:color="000000" w:fill="D0E0E3"/>
            <w:noWrap/>
            <w:vAlign w:val="center"/>
          </w:tcPr>
          <w:p w14:paraId="30B2F5E6" w14:textId="3B7720E9" w:rsidR="00EF1634" w:rsidRPr="006F29B4" w:rsidRDefault="00C07250" w:rsidP="004E188D">
            <w:pPr>
              <w:jc w:val="right"/>
              <w:rPr>
                <w:rFonts w:ascii="CAIXA Std Book" w:eastAsia="Times New Roman" w:hAnsi="CAIXA Std Book" w:cs="Arial"/>
                <w:b/>
                <w:color w:val="005CA9"/>
                <w:sz w:val="18"/>
                <w:szCs w:val="18"/>
              </w:rPr>
            </w:pPr>
            <w:r w:rsidRPr="00C07250">
              <w:rPr>
                <w:rFonts w:ascii="CAIXA Std Book" w:eastAsia="Times New Roman" w:hAnsi="CAIXA Std Book" w:cs="Arial"/>
                <w:b/>
                <w:color w:val="005CA9"/>
                <w:sz w:val="18"/>
                <w:szCs w:val="18"/>
              </w:rPr>
              <w:t>(941.</w:t>
            </w:r>
            <w:r w:rsidR="009925D5">
              <w:rPr>
                <w:rFonts w:ascii="CAIXA Std Book" w:hAnsi="CAIXA Std Book" w:cs="Calibri"/>
                <w:b/>
                <w:bCs/>
                <w:color w:val="005CA9"/>
                <w:sz w:val="18"/>
                <w:szCs w:val="18"/>
              </w:rPr>
              <w:t>102</w:t>
            </w:r>
            <w:r w:rsidRPr="00C07250">
              <w:rPr>
                <w:rFonts w:ascii="CAIXA Std Book" w:eastAsia="Times New Roman" w:hAnsi="CAIXA Std Book" w:cs="Arial"/>
                <w:b/>
                <w:color w:val="005CA9"/>
                <w:sz w:val="18"/>
                <w:szCs w:val="18"/>
              </w:rPr>
              <w:t>)</w:t>
            </w:r>
          </w:p>
        </w:tc>
      </w:tr>
      <w:tr w:rsidR="0015386D" w:rsidRPr="006F29B4" w14:paraId="431C25C3" w14:textId="77777777" w:rsidTr="00BE0067">
        <w:trPr>
          <w:trHeight w:val="283"/>
        </w:trPr>
        <w:tc>
          <w:tcPr>
            <w:tcW w:w="1892" w:type="pct"/>
            <w:noWrap/>
            <w:vAlign w:val="center"/>
            <w:hideMark/>
          </w:tcPr>
          <w:p w14:paraId="25379B13" w14:textId="5873D36E" w:rsidR="00EF1634" w:rsidRPr="006F29B4" w:rsidRDefault="00EF1634" w:rsidP="00EF1634">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Compromisso de </w:t>
            </w:r>
            <w:r>
              <w:rPr>
                <w:rFonts w:ascii="CAIXA Std Book" w:eastAsia="Times New Roman" w:hAnsi="CAIXA Std Book" w:cs="Arial"/>
                <w:color w:val="005CA9"/>
                <w:sz w:val="18"/>
                <w:szCs w:val="18"/>
              </w:rPr>
              <w:t>empréstimos e c</w:t>
            </w:r>
            <w:r w:rsidRPr="006F29B4">
              <w:rPr>
                <w:rFonts w:ascii="CAIXA Std Book" w:eastAsia="Times New Roman" w:hAnsi="CAIXA Std Book" w:cs="Arial"/>
                <w:color w:val="005CA9"/>
                <w:sz w:val="18"/>
                <w:szCs w:val="18"/>
              </w:rPr>
              <w:t>rédito</w:t>
            </w:r>
            <w:r>
              <w:rPr>
                <w:rFonts w:ascii="CAIXA Std Book" w:eastAsia="Times New Roman" w:hAnsi="CAIXA Std Book" w:cs="Arial"/>
                <w:color w:val="005CA9"/>
                <w:sz w:val="18"/>
                <w:szCs w:val="18"/>
              </w:rPr>
              <w:t>s</w:t>
            </w:r>
            <w:r w:rsidRPr="006F29B4">
              <w:rPr>
                <w:rFonts w:ascii="CAIXA Std Book" w:eastAsia="Times New Roman" w:hAnsi="CAIXA Std Book" w:cs="Arial"/>
                <w:color w:val="005CA9"/>
                <w:sz w:val="18"/>
                <w:szCs w:val="18"/>
              </w:rPr>
              <w:t xml:space="preserve"> a </w:t>
            </w:r>
            <w:r>
              <w:rPr>
                <w:rFonts w:ascii="CAIXA Std Book" w:eastAsia="Times New Roman" w:hAnsi="CAIXA Std Book" w:cs="Arial"/>
                <w:color w:val="005CA9"/>
                <w:sz w:val="18"/>
                <w:szCs w:val="18"/>
              </w:rPr>
              <w:t>l</w:t>
            </w:r>
            <w:r w:rsidRPr="006F29B4">
              <w:rPr>
                <w:rFonts w:ascii="CAIXA Std Book" w:eastAsia="Times New Roman" w:hAnsi="CAIXA Std Book" w:cs="Arial"/>
                <w:color w:val="005CA9"/>
                <w:sz w:val="18"/>
                <w:szCs w:val="18"/>
              </w:rPr>
              <w:t>iberar</w:t>
            </w:r>
          </w:p>
        </w:tc>
        <w:tc>
          <w:tcPr>
            <w:tcW w:w="621" w:type="pct"/>
            <w:noWrap/>
            <w:vAlign w:val="center"/>
            <w:hideMark/>
          </w:tcPr>
          <w:p w14:paraId="6144FB72" w14:textId="35C99DA1" w:rsidR="00EF1634" w:rsidRPr="006F29B4" w:rsidRDefault="003F1206" w:rsidP="004E188D">
            <w:pPr>
              <w:jc w:val="right"/>
              <w:rPr>
                <w:rFonts w:ascii="CAIXA Std Book" w:eastAsia="Times New Roman" w:hAnsi="CAIXA Std Book" w:cs="Arial"/>
                <w:color w:val="005CA9"/>
                <w:sz w:val="18"/>
                <w:szCs w:val="18"/>
              </w:rPr>
            </w:pPr>
            <w:r w:rsidRPr="003F1206">
              <w:rPr>
                <w:rFonts w:ascii="CAIXA Std Book" w:eastAsia="Times New Roman" w:hAnsi="CAIXA Std Book" w:cs="Arial"/>
                <w:color w:val="005CA9"/>
                <w:sz w:val="18"/>
                <w:szCs w:val="18"/>
              </w:rPr>
              <w:t>(696.582)</w:t>
            </w:r>
          </w:p>
        </w:tc>
        <w:tc>
          <w:tcPr>
            <w:tcW w:w="621" w:type="pct"/>
            <w:noWrap/>
            <w:vAlign w:val="center"/>
          </w:tcPr>
          <w:p w14:paraId="2E6F328F" w14:textId="51AA48CA" w:rsidR="00EF1634" w:rsidRPr="006F29B4" w:rsidRDefault="003F1206" w:rsidP="004E188D">
            <w:pPr>
              <w:ind w:firstLineChars="100" w:firstLine="180"/>
              <w:jc w:val="right"/>
              <w:rPr>
                <w:rFonts w:ascii="CAIXA Std Book" w:eastAsia="Times New Roman" w:hAnsi="CAIXA Std Book" w:cs="Arial"/>
                <w:color w:val="005CA9"/>
                <w:sz w:val="18"/>
                <w:szCs w:val="18"/>
              </w:rPr>
            </w:pPr>
            <w:r w:rsidRPr="003F1206">
              <w:rPr>
                <w:rFonts w:ascii="CAIXA Std Book" w:eastAsia="Times New Roman" w:hAnsi="CAIXA Std Book" w:cs="Arial"/>
                <w:color w:val="005CA9"/>
                <w:sz w:val="18"/>
                <w:szCs w:val="18"/>
              </w:rPr>
              <w:t>91.673</w:t>
            </w:r>
          </w:p>
        </w:tc>
        <w:tc>
          <w:tcPr>
            <w:tcW w:w="622" w:type="pct"/>
            <w:noWrap/>
            <w:vAlign w:val="center"/>
          </w:tcPr>
          <w:p w14:paraId="7AF3723C" w14:textId="722B84C8" w:rsidR="00EF1634" w:rsidRPr="006F29B4" w:rsidRDefault="00F87640" w:rsidP="004E188D">
            <w:pPr>
              <w:ind w:firstLineChars="100" w:firstLine="180"/>
              <w:jc w:val="right"/>
              <w:rPr>
                <w:rFonts w:ascii="CAIXA Std Book" w:eastAsia="Times New Roman" w:hAnsi="CAIXA Std Book" w:cs="Arial"/>
                <w:color w:val="005CA9"/>
                <w:sz w:val="18"/>
                <w:szCs w:val="18"/>
              </w:rPr>
            </w:pPr>
            <w:r w:rsidRPr="00F87640">
              <w:rPr>
                <w:rFonts w:ascii="CAIXA Std Book" w:eastAsia="Times New Roman" w:hAnsi="CAIXA Std Book" w:cs="Arial"/>
                <w:color w:val="005CA9"/>
                <w:sz w:val="18"/>
                <w:szCs w:val="18"/>
              </w:rPr>
              <w:t>84.383</w:t>
            </w:r>
          </w:p>
        </w:tc>
        <w:tc>
          <w:tcPr>
            <w:tcW w:w="621" w:type="pct"/>
            <w:noWrap/>
            <w:vAlign w:val="center"/>
          </w:tcPr>
          <w:p w14:paraId="68726347" w14:textId="05AC2CE5" w:rsidR="00EF1634" w:rsidRPr="006F29B4" w:rsidRDefault="00F87640" w:rsidP="004E188D">
            <w:pPr>
              <w:ind w:firstLineChars="100" w:firstLine="180"/>
              <w:jc w:val="right"/>
              <w:rPr>
                <w:rFonts w:ascii="CAIXA Std Book" w:eastAsia="Times New Roman" w:hAnsi="CAIXA Std Book" w:cs="Arial"/>
                <w:color w:val="005CA9"/>
                <w:sz w:val="18"/>
                <w:szCs w:val="18"/>
              </w:rPr>
            </w:pPr>
            <w:r w:rsidRPr="00F87640">
              <w:rPr>
                <w:rFonts w:ascii="CAIXA Std Book" w:eastAsia="Times New Roman" w:hAnsi="CAIXA Std Book" w:cs="Arial"/>
                <w:color w:val="005CA9"/>
                <w:sz w:val="18"/>
                <w:szCs w:val="18"/>
              </w:rPr>
              <w:t>(2.331)</w:t>
            </w:r>
          </w:p>
        </w:tc>
        <w:tc>
          <w:tcPr>
            <w:tcW w:w="623" w:type="pct"/>
            <w:noWrap/>
            <w:vAlign w:val="center"/>
          </w:tcPr>
          <w:p w14:paraId="075781D3" w14:textId="68A41035" w:rsidR="00EF1634" w:rsidRPr="006F29B4" w:rsidRDefault="00C07250" w:rsidP="004E188D">
            <w:pPr>
              <w:jc w:val="right"/>
              <w:rPr>
                <w:rFonts w:ascii="CAIXA Std Book" w:eastAsia="Times New Roman" w:hAnsi="CAIXA Std Book" w:cs="Arial"/>
                <w:color w:val="005CA9"/>
                <w:sz w:val="18"/>
                <w:szCs w:val="18"/>
              </w:rPr>
            </w:pPr>
            <w:r w:rsidRPr="00C07250">
              <w:rPr>
                <w:rFonts w:ascii="CAIXA Std Book" w:eastAsia="Times New Roman" w:hAnsi="CAIXA Std Book" w:cs="Arial"/>
                <w:color w:val="005CA9"/>
                <w:sz w:val="18"/>
                <w:szCs w:val="18"/>
              </w:rPr>
              <w:t>(522.857)</w:t>
            </w:r>
          </w:p>
        </w:tc>
      </w:tr>
      <w:tr w:rsidR="0015386D" w:rsidRPr="006F29B4" w14:paraId="1D309E82" w14:textId="77777777" w:rsidTr="00BE0067">
        <w:trPr>
          <w:trHeight w:val="283"/>
        </w:trPr>
        <w:tc>
          <w:tcPr>
            <w:tcW w:w="1892" w:type="pct"/>
            <w:noWrap/>
            <w:vAlign w:val="center"/>
            <w:hideMark/>
          </w:tcPr>
          <w:p w14:paraId="29E186D4" w14:textId="16D6DE04" w:rsidR="00EF1634" w:rsidRPr="006F29B4" w:rsidRDefault="00EF1634" w:rsidP="00EF1634">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Garantias </w:t>
            </w:r>
            <w:r>
              <w:rPr>
                <w:rFonts w:ascii="CAIXA Std Book" w:eastAsia="Times New Roman" w:hAnsi="CAIXA Std Book" w:cs="Arial"/>
                <w:color w:val="005CA9"/>
                <w:sz w:val="18"/>
                <w:szCs w:val="18"/>
              </w:rPr>
              <w:t>f</w:t>
            </w:r>
            <w:r w:rsidRPr="006F29B4">
              <w:rPr>
                <w:rFonts w:ascii="CAIXA Std Book" w:eastAsia="Times New Roman" w:hAnsi="CAIXA Std Book" w:cs="Arial"/>
                <w:color w:val="005CA9"/>
                <w:sz w:val="18"/>
                <w:szCs w:val="18"/>
              </w:rPr>
              <w:t xml:space="preserve">inanceiras </w:t>
            </w:r>
            <w:r>
              <w:rPr>
                <w:rFonts w:ascii="CAIXA Std Book" w:eastAsia="Times New Roman" w:hAnsi="CAIXA Std Book" w:cs="Arial"/>
                <w:color w:val="005CA9"/>
                <w:sz w:val="18"/>
                <w:szCs w:val="18"/>
              </w:rPr>
              <w:t>p</w:t>
            </w:r>
            <w:r w:rsidRPr="006F29B4">
              <w:rPr>
                <w:rFonts w:ascii="CAIXA Std Book" w:eastAsia="Times New Roman" w:hAnsi="CAIXA Std Book" w:cs="Arial"/>
                <w:color w:val="005CA9"/>
                <w:sz w:val="18"/>
                <w:szCs w:val="18"/>
              </w:rPr>
              <w:t>restadas</w:t>
            </w:r>
          </w:p>
        </w:tc>
        <w:tc>
          <w:tcPr>
            <w:tcW w:w="621" w:type="pct"/>
            <w:noWrap/>
            <w:vAlign w:val="center"/>
            <w:hideMark/>
          </w:tcPr>
          <w:p w14:paraId="4BFE3673" w14:textId="46D1B466" w:rsidR="00EF1634" w:rsidRPr="00170D64" w:rsidRDefault="003F1206" w:rsidP="004E188D">
            <w:pPr>
              <w:ind w:firstLineChars="100" w:firstLine="180"/>
              <w:jc w:val="right"/>
              <w:rPr>
                <w:rFonts w:ascii="CAIXA Std Book" w:eastAsia="Times New Roman" w:hAnsi="CAIXA Std Book" w:cs="Arial"/>
                <w:color w:val="005CA9"/>
                <w:sz w:val="18"/>
                <w:szCs w:val="18"/>
                <w:highlight w:val="yellow"/>
              </w:rPr>
            </w:pPr>
            <w:r w:rsidRPr="003F1206">
              <w:rPr>
                <w:rFonts w:ascii="CAIXA Std Book" w:eastAsia="Times New Roman" w:hAnsi="CAIXA Std Book" w:cs="Arial"/>
                <w:color w:val="005CA9"/>
                <w:sz w:val="18"/>
                <w:szCs w:val="18"/>
              </w:rPr>
              <w:t>(483.158)</w:t>
            </w:r>
          </w:p>
        </w:tc>
        <w:tc>
          <w:tcPr>
            <w:tcW w:w="621" w:type="pct"/>
            <w:noWrap/>
            <w:vAlign w:val="center"/>
          </w:tcPr>
          <w:p w14:paraId="727BC5E5" w14:textId="62E870D4" w:rsidR="00EF1634" w:rsidRPr="00F97F05" w:rsidRDefault="003F1206" w:rsidP="004E188D">
            <w:pPr>
              <w:ind w:firstLineChars="100" w:firstLine="180"/>
              <w:jc w:val="right"/>
              <w:rPr>
                <w:rFonts w:ascii="CAIXA Std Book" w:eastAsia="Times New Roman" w:hAnsi="CAIXA Std Book" w:cs="Arial"/>
                <w:color w:val="005CA9"/>
                <w:sz w:val="18"/>
                <w:szCs w:val="18"/>
                <w:highlight w:val="yellow"/>
              </w:rPr>
            </w:pPr>
            <w:r w:rsidRPr="003F1206">
              <w:rPr>
                <w:rFonts w:ascii="CAIXA Std Book" w:eastAsia="Times New Roman" w:hAnsi="CAIXA Std Book" w:cs="Arial"/>
                <w:color w:val="005CA9"/>
                <w:sz w:val="18"/>
                <w:szCs w:val="18"/>
              </w:rPr>
              <w:t>20.</w:t>
            </w:r>
            <w:r w:rsidR="009925D5">
              <w:rPr>
                <w:rFonts w:ascii="CAIXA Std Book" w:hAnsi="CAIXA Std Book" w:cs="Calibri"/>
                <w:color w:val="005CA9"/>
                <w:sz w:val="18"/>
                <w:szCs w:val="18"/>
              </w:rPr>
              <w:t>464</w:t>
            </w:r>
          </w:p>
        </w:tc>
        <w:tc>
          <w:tcPr>
            <w:tcW w:w="622" w:type="pct"/>
            <w:noWrap/>
            <w:vAlign w:val="center"/>
          </w:tcPr>
          <w:p w14:paraId="1163E685" w14:textId="068115A5" w:rsidR="00EF1634" w:rsidRPr="00F97F05" w:rsidRDefault="00F87640" w:rsidP="004E188D">
            <w:pPr>
              <w:ind w:firstLineChars="100" w:firstLine="180"/>
              <w:jc w:val="right"/>
              <w:rPr>
                <w:rFonts w:ascii="CAIXA Std Book" w:eastAsia="Times New Roman" w:hAnsi="CAIXA Std Book" w:cs="Arial"/>
                <w:color w:val="005CA9"/>
                <w:sz w:val="18"/>
                <w:szCs w:val="18"/>
                <w:highlight w:val="yellow"/>
              </w:rPr>
            </w:pPr>
            <w:r w:rsidRPr="00F87640">
              <w:rPr>
                <w:rFonts w:ascii="CAIXA Std Book" w:eastAsia="Times New Roman" w:hAnsi="CAIXA Std Book" w:cs="Arial"/>
                <w:color w:val="005CA9"/>
                <w:sz w:val="18"/>
                <w:szCs w:val="18"/>
              </w:rPr>
              <w:t>43.380</w:t>
            </w:r>
          </w:p>
        </w:tc>
        <w:tc>
          <w:tcPr>
            <w:tcW w:w="621" w:type="pct"/>
            <w:noWrap/>
            <w:vAlign w:val="center"/>
          </w:tcPr>
          <w:p w14:paraId="408F2767" w14:textId="351D87CD" w:rsidR="00EF1634" w:rsidRPr="00F97F05" w:rsidRDefault="00C07250" w:rsidP="004E188D">
            <w:pPr>
              <w:ind w:firstLineChars="100" w:firstLine="180"/>
              <w:jc w:val="right"/>
              <w:rPr>
                <w:rFonts w:ascii="CAIXA Std Book" w:eastAsia="Times New Roman" w:hAnsi="CAIXA Std Book" w:cs="Arial"/>
                <w:color w:val="005CA9"/>
                <w:sz w:val="18"/>
                <w:szCs w:val="18"/>
              </w:rPr>
            </w:pPr>
            <w:r w:rsidRPr="00C07250">
              <w:rPr>
                <w:rFonts w:ascii="CAIXA Std Book" w:eastAsia="Times New Roman" w:hAnsi="CAIXA Std Book" w:cs="Arial"/>
                <w:color w:val="005CA9"/>
                <w:sz w:val="18"/>
                <w:szCs w:val="18"/>
              </w:rPr>
              <w:t>1.069</w:t>
            </w:r>
          </w:p>
        </w:tc>
        <w:tc>
          <w:tcPr>
            <w:tcW w:w="623" w:type="pct"/>
            <w:noWrap/>
            <w:vAlign w:val="center"/>
          </w:tcPr>
          <w:p w14:paraId="4EE75EE7" w14:textId="237AF6FE" w:rsidR="00EF1634" w:rsidRPr="000805C0" w:rsidRDefault="00C07250" w:rsidP="004E188D">
            <w:pPr>
              <w:jc w:val="right"/>
              <w:rPr>
                <w:rFonts w:ascii="CAIXA Std Book" w:hAnsi="CAIXA Std Book"/>
                <w:color w:val="005CA9"/>
                <w:sz w:val="18"/>
                <w:szCs w:val="18"/>
              </w:rPr>
            </w:pPr>
            <w:r w:rsidRPr="00C07250">
              <w:rPr>
                <w:rFonts w:ascii="CAIXA Std Book" w:hAnsi="CAIXA Std Book"/>
                <w:color w:val="005CA9"/>
                <w:sz w:val="18"/>
                <w:szCs w:val="18"/>
              </w:rPr>
              <w:t>(418.</w:t>
            </w:r>
            <w:r w:rsidR="009925D5">
              <w:rPr>
                <w:rFonts w:ascii="CAIXA Std Book" w:hAnsi="CAIXA Std Book" w:cs="Calibri"/>
                <w:color w:val="005CA9"/>
                <w:sz w:val="18"/>
                <w:szCs w:val="18"/>
              </w:rPr>
              <w:t>245</w:t>
            </w:r>
            <w:r w:rsidRPr="00C07250">
              <w:rPr>
                <w:rFonts w:ascii="CAIXA Std Book" w:hAnsi="CAIXA Std Book"/>
                <w:color w:val="005CA9"/>
                <w:sz w:val="18"/>
                <w:szCs w:val="18"/>
              </w:rPr>
              <w:t>)</w:t>
            </w:r>
          </w:p>
        </w:tc>
      </w:tr>
      <w:tr w:rsidR="0015386D" w:rsidRPr="006F29B4" w14:paraId="2B25E520" w14:textId="77777777" w:rsidTr="00BE0067">
        <w:trPr>
          <w:trHeight w:val="283"/>
        </w:trPr>
        <w:tc>
          <w:tcPr>
            <w:tcW w:w="1892" w:type="pct"/>
            <w:shd w:val="clear" w:color="auto" w:fill="005CA9"/>
            <w:noWrap/>
            <w:vAlign w:val="center"/>
            <w:hideMark/>
          </w:tcPr>
          <w:p w14:paraId="6D3DABDA" w14:textId="77777777" w:rsidR="00D358E1" w:rsidRPr="006F29B4" w:rsidRDefault="00D358E1" w:rsidP="00D358E1">
            <w:pP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Total</w:t>
            </w:r>
          </w:p>
        </w:tc>
        <w:tc>
          <w:tcPr>
            <w:tcW w:w="621" w:type="pct"/>
            <w:shd w:val="clear" w:color="000000" w:fill="005CA9"/>
            <w:noWrap/>
            <w:vAlign w:val="center"/>
          </w:tcPr>
          <w:p w14:paraId="71F6C719" w14:textId="6329F50F" w:rsidR="00D358E1" w:rsidRPr="006F29B4" w:rsidRDefault="009925D5" w:rsidP="004E188D">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(51.403.109)</w:t>
            </w:r>
          </w:p>
        </w:tc>
        <w:tc>
          <w:tcPr>
            <w:tcW w:w="621" w:type="pct"/>
            <w:shd w:val="clear" w:color="000000" w:fill="005CA9"/>
            <w:vAlign w:val="center"/>
          </w:tcPr>
          <w:p w14:paraId="2341027E" w14:textId="13176BB5" w:rsidR="00D358E1" w:rsidRPr="00D7239E" w:rsidRDefault="009925D5" w:rsidP="004E188D">
            <w:pPr>
              <w:jc w:val="right"/>
              <w:rPr>
                <w:rFonts w:ascii="CAIXA Std Book" w:hAnsi="CAIXA Std Book" w:cs="Calibri"/>
                <w:b/>
                <w:color w:val="FFFFFF"/>
                <w:sz w:val="18"/>
                <w:szCs w:val="18"/>
              </w:rPr>
            </w:pPr>
            <w:r>
              <w:rPr>
                <w:rFonts w:ascii="CAIXA Std Book" w:hAnsi="CAIXA Std Book" w:cs="Calibri"/>
                <w:b/>
                <w:bCs/>
                <w:color w:val="FFFFFF"/>
                <w:sz w:val="18"/>
                <w:szCs w:val="18"/>
              </w:rPr>
              <w:t>(3.532.333)</w:t>
            </w:r>
          </w:p>
        </w:tc>
        <w:tc>
          <w:tcPr>
            <w:tcW w:w="622" w:type="pct"/>
            <w:shd w:val="clear" w:color="000000" w:fill="005CA9"/>
            <w:vAlign w:val="center"/>
          </w:tcPr>
          <w:p w14:paraId="100971B8" w14:textId="12F564BE" w:rsidR="00D358E1" w:rsidRPr="00D7239E" w:rsidRDefault="009925D5" w:rsidP="004E188D">
            <w:pPr>
              <w:jc w:val="right"/>
              <w:rPr>
                <w:rFonts w:ascii="CAIXA Std Book" w:hAnsi="CAIXA Std Book" w:cs="Calibri"/>
                <w:b/>
                <w:color w:val="FFFFFF"/>
                <w:sz w:val="18"/>
                <w:szCs w:val="18"/>
              </w:rPr>
            </w:pPr>
            <w:r>
              <w:rPr>
                <w:rFonts w:ascii="CAIXA Std Book" w:hAnsi="CAIXA Std Book" w:cs="Calibri"/>
                <w:b/>
                <w:bCs/>
                <w:color w:val="FFFFFF"/>
                <w:sz w:val="18"/>
                <w:szCs w:val="18"/>
              </w:rPr>
              <w:t>1.305.116</w:t>
            </w:r>
          </w:p>
        </w:tc>
        <w:tc>
          <w:tcPr>
            <w:tcW w:w="621" w:type="pct"/>
            <w:shd w:val="clear" w:color="000000" w:fill="005CA9"/>
            <w:vAlign w:val="center"/>
          </w:tcPr>
          <w:p w14:paraId="555C606E" w14:textId="6B2692EE" w:rsidR="00D358E1" w:rsidRPr="00D7239E" w:rsidRDefault="009925D5" w:rsidP="004E188D">
            <w:pPr>
              <w:jc w:val="right"/>
              <w:rPr>
                <w:rFonts w:ascii="CAIXA Std Book" w:hAnsi="CAIXA Std Book" w:cs="Calibri"/>
                <w:b/>
                <w:color w:val="FFFFFF"/>
                <w:sz w:val="18"/>
                <w:szCs w:val="18"/>
              </w:rPr>
            </w:pPr>
            <w:r>
              <w:rPr>
                <w:rFonts w:ascii="CAIXA Std Book" w:hAnsi="CAIXA Std Book" w:cs="Calibri"/>
                <w:b/>
                <w:bCs/>
                <w:color w:val="FFFFFF"/>
                <w:sz w:val="18"/>
                <w:szCs w:val="18"/>
              </w:rPr>
              <w:t>(1.479.487)</w:t>
            </w:r>
          </w:p>
        </w:tc>
        <w:tc>
          <w:tcPr>
            <w:tcW w:w="623" w:type="pct"/>
            <w:shd w:val="clear" w:color="000000" w:fill="005CA9"/>
            <w:vAlign w:val="center"/>
          </w:tcPr>
          <w:p w14:paraId="53EC4BD4" w14:textId="0899DA44" w:rsidR="00D358E1" w:rsidRPr="00D7239E" w:rsidRDefault="009925D5" w:rsidP="004E188D">
            <w:pPr>
              <w:jc w:val="right"/>
              <w:rPr>
                <w:rFonts w:ascii="CAIXA Std Book" w:hAnsi="CAIXA Std Book" w:cs="Calibri"/>
                <w:b/>
                <w:color w:val="FFFFFF"/>
                <w:sz w:val="18"/>
                <w:szCs w:val="18"/>
              </w:rPr>
            </w:pPr>
            <w:r>
              <w:rPr>
                <w:rFonts w:ascii="CAIXA Std Book" w:hAnsi="CAIXA Std Book" w:cs="Calibri"/>
                <w:b/>
                <w:bCs/>
                <w:color w:val="FFFFFF"/>
                <w:sz w:val="18"/>
                <w:szCs w:val="18"/>
              </w:rPr>
              <w:t>(55.109.813)</w:t>
            </w:r>
          </w:p>
        </w:tc>
      </w:tr>
    </w:tbl>
    <w:p w14:paraId="2759237A" w14:textId="77777777" w:rsidR="000B7132" w:rsidRDefault="000B7132">
      <w:pPr>
        <w:rPr>
          <w:rFonts w:ascii="CAIXA Std Book" w:hAnsi="CAIXA Std Book"/>
          <w:b/>
          <w:color w:val="005CA9"/>
          <w:sz w:val="20"/>
          <w:szCs w:val="20"/>
        </w:rPr>
      </w:pPr>
    </w:p>
    <w:tbl>
      <w:tblPr>
        <w:tblW w:w="5000" w:type="pct"/>
        <w:tblCellMar>
          <w:left w:w="70" w:type="dxa"/>
          <w:right w:w="70" w:type="dxa"/>
        </w:tblCellMar>
        <w:tblLook w:val="04A0" w:firstRow="1" w:lastRow="0" w:firstColumn="1" w:lastColumn="0" w:noHBand="0" w:noVBand="1"/>
      </w:tblPr>
      <w:tblGrid>
        <w:gridCol w:w="5529"/>
        <w:gridCol w:w="1807"/>
        <w:gridCol w:w="1807"/>
        <w:gridCol w:w="1807"/>
        <w:gridCol w:w="1807"/>
        <w:gridCol w:w="1812"/>
      </w:tblGrid>
      <w:tr w:rsidR="00E85EE7" w:rsidRPr="006F29B4" w14:paraId="0A90F73D" w14:textId="77777777" w:rsidTr="00D91FED">
        <w:trPr>
          <w:trHeight w:val="283"/>
        </w:trPr>
        <w:tc>
          <w:tcPr>
            <w:tcW w:w="5000" w:type="pct"/>
            <w:gridSpan w:val="6"/>
            <w:tcBorders>
              <w:bottom w:val="single" w:sz="4" w:space="0" w:color="FFFFFF" w:themeColor="background1"/>
            </w:tcBorders>
            <w:shd w:val="clear" w:color="auto" w:fill="005CA9"/>
            <w:noWrap/>
            <w:vAlign w:val="center"/>
            <w:hideMark/>
          </w:tcPr>
          <w:p w14:paraId="7D1E32D4" w14:textId="510EC7EF" w:rsidR="00E85EE7" w:rsidRPr="00DC72B3" w:rsidRDefault="00E85EE7">
            <w:pPr>
              <w:jc w:val="center"/>
              <w:rPr>
                <w:rFonts w:ascii="CAIXA Std Book" w:eastAsia="Times New Roman" w:hAnsi="CAIXA Std Book" w:cs="Arial"/>
                <w:b/>
                <w:bCs/>
                <w:color w:val="FFFFFF"/>
                <w:sz w:val="18"/>
                <w:szCs w:val="18"/>
              </w:rPr>
            </w:pPr>
            <w:r w:rsidRPr="00DC72B3">
              <w:rPr>
                <w:rFonts w:ascii="CAIXA Std Book" w:eastAsia="Times New Roman" w:hAnsi="CAIXA Std Book" w:cs="Arial"/>
                <w:b/>
                <w:color w:val="FFFFFF"/>
                <w:sz w:val="18"/>
                <w:szCs w:val="18"/>
              </w:rPr>
              <w:t>I</w:t>
            </w:r>
            <w:r>
              <w:rPr>
                <w:rFonts w:ascii="CAIXA Std Book" w:eastAsia="Times New Roman" w:hAnsi="CAIXA Std Book" w:cs="Arial"/>
                <w:b/>
                <w:color w:val="FFFFFF"/>
                <w:sz w:val="18"/>
                <w:szCs w:val="18"/>
              </w:rPr>
              <w:t>ndividual</w:t>
            </w:r>
            <w:r>
              <w:rPr>
                <w:rFonts w:ascii="CAIXA Std Book" w:eastAsia="Times New Roman" w:hAnsi="CAIXA Std Book" w:cs="Calibri"/>
                <w:b/>
                <w:color w:val="FFFFFF"/>
                <w:sz w:val="18"/>
                <w:szCs w:val="18"/>
              </w:rPr>
              <w:t xml:space="preserve"> </w:t>
            </w:r>
          </w:p>
        </w:tc>
      </w:tr>
      <w:tr w:rsidR="00E85EE7" w:rsidRPr="006F29B4" w14:paraId="254062AC" w14:textId="77777777" w:rsidTr="00D91FED">
        <w:trPr>
          <w:trHeight w:val="283"/>
        </w:trPr>
        <w:tc>
          <w:tcPr>
            <w:tcW w:w="1898" w:type="pct"/>
            <w:tcBorders>
              <w:top w:val="single" w:sz="4" w:space="0" w:color="FFFFFF" w:themeColor="background1"/>
            </w:tcBorders>
            <w:shd w:val="clear" w:color="auto" w:fill="005CA9"/>
            <w:vAlign w:val="center"/>
            <w:hideMark/>
          </w:tcPr>
          <w:p w14:paraId="76699B53" w14:textId="77777777" w:rsidR="00E85EE7" w:rsidRPr="006F29B4" w:rsidRDefault="00E85EE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Estágio 1</w:t>
            </w:r>
          </w:p>
        </w:tc>
        <w:tc>
          <w:tcPr>
            <w:tcW w:w="620" w:type="pct"/>
            <w:tcBorders>
              <w:top w:val="single" w:sz="4" w:space="0" w:color="FFFFFF" w:themeColor="background1"/>
            </w:tcBorders>
            <w:shd w:val="clear" w:color="auto" w:fill="005CA9"/>
            <w:vAlign w:val="center"/>
            <w:hideMark/>
          </w:tcPr>
          <w:p w14:paraId="4C78B9E2" w14:textId="005C48D5" w:rsidR="00E85EE7" w:rsidRPr="006F29B4" w:rsidRDefault="00E85EE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Saldo em 01/01/2025</w:t>
            </w:r>
          </w:p>
        </w:tc>
        <w:tc>
          <w:tcPr>
            <w:tcW w:w="620" w:type="pct"/>
            <w:tcBorders>
              <w:top w:val="single" w:sz="4" w:space="0" w:color="FFFFFF" w:themeColor="background1"/>
            </w:tcBorders>
            <w:shd w:val="clear" w:color="auto" w:fill="005CA9"/>
            <w:vAlign w:val="center"/>
            <w:hideMark/>
          </w:tcPr>
          <w:p w14:paraId="4E800152" w14:textId="77777777" w:rsidR="00E85EE7" w:rsidRPr="006F29B4" w:rsidRDefault="00E85EE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Constituição/ reversão</w:t>
            </w:r>
          </w:p>
        </w:tc>
        <w:tc>
          <w:tcPr>
            <w:tcW w:w="620" w:type="pct"/>
            <w:tcBorders>
              <w:top w:val="single" w:sz="4" w:space="0" w:color="FFFFFF" w:themeColor="background1"/>
            </w:tcBorders>
            <w:shd w:val="clear" w:color="auto" w:fill="005CA9"/>
            <w:vAlign w:val="center"/>
            <w:hideMark/>
          </w:tcPr>
          <w:p w14:paraId="1FBF880C" w14:textId="77777777" w:rsidR="00E85EE7" w:rsidRPr="006F29B4" w:rsidRDefault="00E85EE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Transferência do/ para estágio 2</w:t>
            </w:r>
          </w:p>
        </w:tc>
        <w:tc>
          <w:tcPr>
            <w:tcW w:w="620" w:type="pct"/>
            <w:tcBorders>
              <w:top w:val="single" w:sz="4" w:space="0" w:color="FFFFFF" w:themeColor="background1"/>
            </w:tcBorders>
            <w:shd w:val="clear" w:color="auto" w:fill="005CA9"/>
            <w:vAlign w:val="center"/>
            <w:hideMark/>
          </w:tcPr>
          <w:p w14:paraId="11D3055C" w14:textId="77777777" w:rsidR="00E85EE7" w:rsidRDefault="00E85EE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Transferência do/</w:t>
            </w:r>
          </w:p>
          <w:p w14:paraId="67815B75" w14:textId="77777777" w:rsidR="00E85EE7" w:rsidRPr="006F29B4" w:rsidRDefault="00E85EE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para estágio 3 </w:t>
            </w:r>
          </w:p>
        </w:tc>
        <w:tc>
          <w:tcPr>
            <w:tcW w:w="622" w:type="pct"/>
            <w:tcBorders>
              <w:top w:val="single" w:sz="4" w:space="0" w:color="FFFFFF" w:themeColor="background1"/>
            </w:tcBorders>
            <w:shd w:val="clear" w:color="auto" w:fill="005CA9"/>
            <w:vAlign w:val="center"/>
            <w:hideMark/>
          </w:tcPr>
          <w:p w14:paraId="689E8AD1" w14:textId="142CA9F9" w:rsidR="00E85EE7" w:rsidRPr="006F29B4" w:rsidRDefault="00E85EE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Saldo em 31/</w:t>
            </w:r>
            <w:r w:rsidR="0067638B">
              <w:rPr>
                <w:rFonts w:ascii="CAIXA Std Book" w:eastAsia="Times New Roman" w:hAnsi="CAIXA Std Book" w:cs="Arial"/>
                <w:b/>
                <w:color w:val="FFFFFF"/>
                <w:sz w:val="18"/>
                <w:szCs w:val="18"/>
              </w:rPr>
              <w:t>12</w:t>
            </w:r>
            <w:r w:rsidRPr="006F29B4">
              <w:rPr>
                <w:rFonts w:ascii="CAIXA Std Book" w:eastAsia="Times New Roman" w:hAnsi="CAIXA Std Book" w:cs="Arial"/>
                <w:b/>
                <w:color w:val="FFFFFF"/>
                <w:sz w:val="18"/>
                <w:szCs w:val="18"/>
              </w:rPr>
              <w:t>/2025</w:t>
            </w:r>
          </w:p>
        </w:tc>
      </w:tr>
      <w:tr w:rsidR="00E85EE7" w:rsidRPr="006F29B4" w14:paraId="544B8007" w14:textId="77777777" w:rsidTr="00D91FED">
        <w:trPr>
          <w:trHeight w:val="283"/>
        </w:trPr>
        <w:tc>
          <w:tcPr>
            <w:tcW w:w="1898" w:type="pct"/>
            <w:shd w:val="clear" w:color="auto" w:fill="D0E0E3"/>
            <w:noWrap/>
            <w:vAlign w:val="center"/>
            <w:hideMark/>
          </w:tcPr>
          <w:p w14:paraId="321625CB" w14:textId="77777777" w:rsidR="00E85EE7" w:rsidRPr="006F29B4" w:rsidRDefault="00E85EE7">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 xml:space="preserve">Ativos </w:t>
            </w:r>
            <w:r>
              <w:rPr>
                <w:rFonts w:ascii="CAIXA Std Book" w:eastAsia="Times New Roman" w:hAnsi="CAIXA Std Book" w:cs="Arial"/>
                <w:b/>
                <w:color w:val="005CA9"/>
                <w:sz w:val="18"/>
                <w:szCs w:val="18"/>
              </w:rPr>
              <w:t>f</w:t>
            </w:r>
            <w:r w:rsidRPr="006F29B4">
              <w:rPr>
                <w:rFonts w:ascii="CAIXA Std Book" w:eastAsia="Times New Roman" w:hAnsi="CAIXA Std Book" w:cs="Arial"/>
                <w:b/>
                <w:color w:val="005CA9"/>
                <w:sz w:val="18"/>
                <w:szCs w:val="18"/>
              </w:rPr>
              <w:t>inanceiros</w:t>
            </w:r>
          </w:p>
        </w:tc>
        <w:tc>
          <w:tcPr>
            <w:tcW w:w="620" w:type="pct"/>
            <w:shd w:val="clear" w:color="000000" w:fill="D0E0E3"/>
            <w:noWrap/>
            <w:vAlign w:val="center"/>
            <w:hideMark/>
          </w:tcPr>
          <w:p w14:paraId="16B4B743" w14:textId="77777777" w:rsidR="00E85EE7" w:rsidRPr="006F29B4" w:rsidRDefault="00E85EE7">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(11.317.223)</w:t>
            </w:r>
          </w:p>
        </w:tc>
        <w:tc>
          <w:tcPr>
            <w:tcW w:w="620" w:type="pct"/>
            <w:shd w:val="clear" w:color="000000" w:fill="D0E0E3"/>
            <w:noWrap/>
            <w:vAlign w:val="center"/>
            <w:hideMark/>
          </w:tcPr>
          <w:p w14:paraId="2DE74900" w14:textId="4ABF2ECD" w:rsidR="00E85EE7" w:rsidRPr="006F29B4" w:rsidRDefault="00C33A8B">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7.588.131</w:t>
            </w:r>
          </w:p>
        </w:tc>
        <w:tc>
          <w:tcPr>
            <w:tcW w:w="620" w:type="pct"/>
            <w:shd w:val="clear" w:color="000000" w:fill="D0E0E3"/>
            <w:noWrap/>
            <w:vAlign w:val="center"/>
            <w:hideMark/>
          </w:tcPr>
          <w:p w14:paraId="1CE85FAA" w14:textId="23735B58" w:rsidR="00E85EE7" w:rsidRPr="006F29B4" w:rsidRDefault="00C33A8B">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(3.598.233)</w:t>
            </w:r>
          </w:p>
        </w:tc>
        <w:tc>
          <w:tcPr>
            <w:tcW w:w="620" w:type="pct"/>
            <w:shd w:val="clear" w:color="000000" w:fill="D0E0E3"/>
            <w:noWrap/>
            <w:vAlign w:val="center"/>
            <w:hideMark/>
          </w:tcPr>
          <w:p w14:paraId="19AACE5B" w14:textId="1B8415E3" w:rsidR="00E85EE7" w:rsidRPr="006F29B4" w:rsidRDefault="00C33A8B">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(3.455.271)</w:t>
            </w:r>
          </w:p>
        </w:tc>
        <w:tc>
          <w:tcPr>
            <w:tcW w:w="622" w:type="pct"/>
            <w:shd w:val="clear" w:color="000000" w:fill="D0E0E3"/>
            <w:noWrap/>
            <w:vAlign w:val="center"/>
            <w:hideMark/>
          </w:tcPr>
          <w:p w14:paraId="48BB4B7B" w14:textId="354873EA" w:rsidR="00E85EE7" w:rsidRPr="006F29B4" w:rsidRDefault="00C33A8B">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(10.782.596)</w:t>
            </w:r>
          </w:p>
        </w:tc>
      </w:tr>
      <w:tr w:rsidR="00E85EE7" w:rsidRPr="006F29B4" w14:paraId="03C257AB" w14:textId="77777777" w:rsidTr="00D91FED">
        <w:trPr>
          <w:trHeight w:val="283"/>
        </w:trPr>
        <w:tc>
          <w:tcPr>
            <w:tcW w:w="1898" w:type="pct"/>
            <w:noWrap/>
            <w:vAlign w:val="center"/>
            <w:hideMark/>
          </w:tcPr>
          <w:p w14:paraId="6F7B7E48" w14:textId="77777777" w:rsidR="00E85EE7" w:rsidRPr="006F29B4" w:rsidRDefault="00E85EE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Títulos e </w:t>
            </w:r>
            <w:r>
              <w:rPr>
                <w:rFonts w:ascii="CAIXA Std Book" w:eastAsia="Times New Roman" w:hAnsi="CAIXA Std Book" w:cs="Arial"/>
                <w:color w:val="005CA9"/>
                <w:sz w:val="18"/>
                <w:szCs w:val="18"/>
              </w:rPr>
              <w:t>v</w:t>
            </w:r>
            <w:r w:rsidRPr="006F29B4">
              <w:rPr>
                <w:rFonts w:ascii="CAIXA Std Book" w:eastAsia="Times New Roman" w:hAnsi="CAIXA Std Book" w:cs="Arial"/>
                <w:color w:val="005CA9"/>
                <w:sz w:val="18"/>
                <w:szCs w:val="18"/>
              </w:rPr>
              <w:t xml:space="preserve">alores </w:t>
            </w:r>
            <w:r>
              <w:rPr>
                <w:rFonts w:ascii="CAIXA Std Book" w:eastAsia="Times New Roman" w:hAnsi="CAIXA Std Book" w:cs="Arial"/>
                <w:color w:val="005CA9"/>
                <w:sz w:val="18"/>
                <w:szCs w:val="18"/>
              </w:rPr>
              <w:t>m</w:t>
            </w:r>
            <w:r w:rsidRPr="006F29B4">
              <w:rPr>
                <w:rFonts w:ascii="CAIXA Std Book" w:eastAsia="Times New Roman" w:hAnsi="CAIXA Std Book" w:cs="Arial"/>
                <w:color w:val="005CA9"/>
                <w:sz w:val="18"/>
                <w:szCs w:val="18"/>
              </w:rPr>
              <w:t>obiliários</w:t>
            </w:r>
          </w:p>
        </w:tc>
        <w:tc>
          <w:tcPr>
            <w:tcW w:w="620" w:type="pct"/>
            <w:noWrap/>
            <w:vAlign w:val="center"/>
            <w:hideMark/>
          </w:tcPr>
          <w:p w14:paraId="6FA88604" w14:textId="77777777" w:rsidR="00E85EE7" w:rsidRPr="006F29B4" w:rsidRDefault="00E85EE7">
            <w:pPr>
              <w:ind w:firstLineChars="100" w:firstLine="180"/>
              <w:jc w:val="right"/>
              <w:rPr>
                <w:rFonts w:ascii="CAIXA Std Book" w:eastAsia="Times New Roman" w:hAnsi="CAIXA Std Book" w:cs="Arial"/>
                <w:color w:val="005CA9"/>
                <w:sz w:val="18"/>
                <w:szCs w:val="18"/>
              </w:rPr>
            </w:pPr>
            <w:r>
              <w:rPr>
                <w:rFonts w:ascii="CAIXA Std Book" w:eastAsia="Times New Roman" w:hAnsi="CAIXA Std Book" w:cs="Arial"/>
                <w:color w:val="005CA9"/>
                <w:sz w:val="18"/>
                <w:szCs w:val="18"/>
              </w:rPr>
              <w:t>(</w:t>
            </w:r>
            <w:r w:rsidRPr="00EB0020">
              <w:rPr>
                <w:rFonts w:ascii="CAIXA Std Book" w:eastAsia="Times New Roman" w:hAnsi="CAIXA Std Book" w:cs="Arial"/>
                <w:color w:val="005CA9"/>
                <w:sz w:val="18"/>
                <w:szCs w:val="18"/>
              </w:rPr>
              <w:t>139.813</w:t>
            </w:r>
            <w:r>
              <w:rPr>
                <w:rFonts w:ascii="CAIXA Std Book" w:eastAsia="Times New Roman" w:hAnsi="CAIXA Std Book" w:cs="Arial"/>
                <w:color w:val="005CA9"/>
                <w:sz w:val="18"/>
                <w:szCs w:val="18"/>
              </w:rPr>
              <w:t>)</w:t>
            </w:r>
          </w:p>
        </w:tc>
        <w:tc>
          <w:tcPr>
            <w:tcW w:w="620" w:type="pct"/>
            <w:noWrap/>
            <w:vAlign w:val="center"/>
            <w:hideMark/>
          </w:tcPr>
          <w:p w14:paraId="2F2A3D04" w14:textId="3793B8AB" w:rsidR="00E85EE7" w:rsidRPr="006F29B4" w:rsidRDefault="00C33A8B">
            <w:pPr>
              <w:ind w:firstLineChars="100" w:firstLine="180"/>
              <w:jc w:val="right"/>
              <w:rPr>
                <w:rFonts w:ascii="CAIXA Std Book" w:eastAsia="Times New Roman" w:hAnsi="CAIXA Std Book" w:cs="Arial"/>
                <w:color w:val="005CA9"/>
                <w:sz w:val="18"/>
                <w:szCs w:val="18"/>
              </w:rPr>
            </w:pPr>
            <w:r>
              <w:rPr>
                <w:rFonts w:ascii="CAIXA Std Book" w:hAnsi="CAIXA Std Book" w:cs="Arial"/>
                <w:color w:val="005CA9"/>
                <w:sz w:val="18"/>
                <w:szCs w:val="18"/>
              </w:rPr>
              <w:t>39.172</w:t>
            </w:r>
          </w:p>
        </w:tc>
        <w:tc>
          <w:tcPr>
            <w:tcW w:w="620" w:type="pct"/>
            <w:noWrap/>
            <w:vAlign w:val="center"/>
            <w:hideMark/>
          </w:tcPr>
          <w:p w14:paraId="02739C25" w14:textId="392037BC" w:rsidR="00E85EE7" w:rsidRPr="006F29B4" w:rsidRDefault="00C33A8B" w:rsidP="00565502">
            <w:pPr>
              <w:ind w:firstLineChars="100" w:firstLine="180"/>
              <w:jc w:val="right"/>
              <w:rPr>
                <w:rFonts w:ascii="CAIXA Std Book" w:eastAsia="Times New Roman" w:hAnsi="CAIXA Std Book" w:cs="Arial"/>
                <w:color w:val="005CA9"/>
                <w:sz w:val="18"/>
                <w:szCs w:val="18"/>
              </w:rPr>
            </w:pPr>
            <w:r>
              <w:rPr>
                <w:rFonts w:ascii="CAIXA Std Book" w:hAnsi="CAIXA Std Book" w:cs="Arial"/>
                <w:color w:val="005CA9"/>
                <w:sz w:val="18"/>
                <w:szCs w:val="18"/>
              </w:rPr>
              <w:t>2.878</w:t>
            </w:r>
          </w:p>
        </w:tc>
        <w:tc>
          <w:tcPr>
            <w:tcW w:w="620" w:type="pct"/>
            <w:noWrap/>
            <w:vAlign w:val="center"/>
            <w:hideMark/>
          </w:tcPr>
          <w:p w14:paraId="2839FB2E" w14:textId="2407094E" w:rsidR="00E85EE7" w:rsidRPr="006F29B4" w:rsidRDefault="00C33A8B" w:rsidP="004243D6">
            <w:pPr>
              <w:ind w:firstLineChars="100" w:firstLine="180"/>
              <w:jc w:val="right"/>
              <w:rPr>
                <w:rFonts w:ascii="CAIXA Std Book" w:eastAsia="Times New Roman" w:hAnsi="CAIXA Std Book" w:cs="Arial"/>
                <w:color w:val="005CA9"/>
                <w:sz w:val="18"/>
                <w:szCs w:val="18"/>
              </w:rPr>
            </w:pPr>
            <w:r>
              <w:rPr>
                <w:rFonts w:ascii="CAIXA Std Book" w:hAnsi="CAIXA Std Book" w:cs="Arial"/>
                <w:color w:val="005CA9"/>
                <w:sz w:val="18"/>
                <w:szCs w:val="18"/>
              </w:rPr>
              <w:t>(10.397)</w:t>
            </w:r>
          </w:p>
        </w:tc>
        <w:tc>
          <w:tcPr>
            <w:tcW w:w="622" w:type="pct"/>
            <w:noWrap/>
            <w:vAlign w:val="center"/>
            <w:hideMark/>
          </w:tcPr>
          <w:p w14:paraId="5365CEFB" w14:textId="3CFCBF4A" w:rsidR="00E85EE7" w:rsidRPr="006F29B4" w:rsidRDefault="00C33A8B">
            <w:pPr>
              <w:ind w:firstLineChars="100" w:firstLine="180"/>
              <w:jc w:val="right"/>
              <w:rPr>
                <w:rFonts w:ascii="CAIXA Std Book" w:eastAsia="Times New Roman" w:hAnsi="CAIXA Std Book" w:cs="Arial"/>
                <w:color w:val="005CA9"/>
                <w:sz w:val="18"/>
                <w:szCs w:val="18"/>
              </w:rPr>
            </w:pPr>
            <w:r>
              <w:rPr>
                <w:rFonts w:ascii="CAIXA Std Book" w:hAnsi="CAIXA Std Book" w:cs="Arial"/>
                <w:color w:val="005CA9"/>
                <w:sz w:val="18"/>
                <w:szCs w:val="18"/>
              </w:rPr>
              <w:t>(108.160)</w:t>
            </w:r>
          </w:p>
        </w:tc>
      </w:tr>
      <w:tr w:rsidR="00E85EE7" w:rsidRPr="006F29B4" w14:paraId="40EFE462" w14:textId="77777777" w:rsidTr="00D91FED">
        <w:trPr>
          <w:trHeight w:val="283"/>
        </w:trPr>
        <w:tc>
          <w:tcPr>
            <w:tcW w:w="1898" w:type="pct"/>
            <w:noWrap/>
            <w:vAlign w:val="center"/>
            <w:hideMark/>
          </w:tcPr>
          <w:p w14:paraId="51A9DE7D" w14:textId="77777777" w:rsidR="00E85EE7" w:rsidRPr="006F29B4" w:rsidRDefault="00E85EE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Carteira de </w:t>
            </w:r>
            <w:r>
              <w:rPr>
                <w:rFonts w:ascii="CAIXA Std Book" w:eastAsia="Times New Roman" w:hAnsi="CAIXA Std Book" w:cs="Arial"/>
                <w:color w:val="005CA9"/>
                <w:sz w:val="18"/>
                <w:szCs w:val="18"/>
              </w:rPr>
              <w:t>c</w:t>
            </w:r>
            <w:r w:rsidRPr="006F29B4">
              <w:rPr>
                <w:rFonts w:ascii="CAIXA Std Book" w:eastAsia="Times New Roman" w:hAnsi="CAIXA Std Book" w:cs="Arial"/>
                <w:color w:val="005CA9"/>
                <w:sz w:val="18"/>
                <w:szCs w:val="18"/>
              </w:rPr>
              <w:t>rédito</w:t>
            </w:r>
          </w:p>
        </w:tc>
        <w:tc>
          <w:tcPr>
            <w:tcW w:w="620" w:type="pct"/>
            <w:noWrap/>
            <w:vAlign w:val="center"/>
            <w:hideMark/>
          </w:tcPr>
          <w:p w14:paraId="7CC9310E" w14:textId="77777777" w:rsidR="00E85EE7" w:rsidRPr="00C879C8" w:rsidRDefault="00E85EE7">
            <w:pPr>
              <w:jc w:val="right"/>
              <w:rPr>
                <w:rFonts w:ascii="CAIXA Std Book" w:hAnsi="CAIXA Std Book"/>
                <w:color w:val="005CA9"/>
                <w:sz w:val="18"/>
                <w:szCs w:val="18"/>
              </w:rPr>
            </w:pPr>
            <w:r w:rsidRPr="00C879C8">
              <w:rPr>
                <w:rFonts w:ascii="CAIXA Std Book" w:hAnsi="CAIXA Std Book"/>
                <w:color w:val="005CA9"/>
                <w:sz w:val="18"/>
                <w:szCs w:val="18"/>
              </w:rPr>
              <w:t>(11.177.410)</w:t>
            </w:r>
          </w:p>
        </w:tc>
        <w:tc>
          <w:tcPr>
            <w:tcW w:w="620" w:type="pct"/>
            <w:noWrap/>
            <w:vAlign w:val="center"/>
            <w:hideMark/>
          </w:tcPr>
          <w:p w14:paraId="4D6BE982" w14:textId="47435E70" w:rsidR="00E85EE7" w:rsidRPr="00C879C8" w:rsidRDefault="00C33A8B">
            <w:pPr>
              <w:jc w:val="right"/>
              <w:rPr>
                <w:rFonts w:ascii="CAIXA Std Book" w:hAnsi="CAIXA Std Book"/>
                <w:color w:val="005CA9"/>
                <w:sz w:val="18"/>
                <w:szCs w:val="18"/>
              </w:rPr>
            </w:pPr>
            <w:r>
              <w:rPr>
                <w:rFonts w:ascii="CAIXA Std Book" w:hAnsi="CAIXA Std Book" w:cs="Calibri"/>
                <w:color w:val="005CA9"/>
                <w:sz w:val="18"/>
                <w:szCs w:val="18"/>
              </w:rPr>
              <w:t>7.548.959</w:t>
            </w:r>
          </w:p>
        </w:tc>
        <w:tc>
          <w:tcPr>
            <w:tcW w:w="620" w:type="pct"/>
            <w:noWrap/>
            <w:vAlign w:val="center"/>
            <w:hideMark/>
          </w:tcPr>
          <w:p w14:paraId="3FEA1125" w14:textId="7E8ABF62" w:rsidR="00E85EE7" w:rsidRPr="00C879C8" w:rsidRDefault="00C33A8B">
            <w:pPr>
              <w:jc w:val="right"/>
              <w:rPr>
                <w:rFonts w:ascii="CAIXA Std Book" w:hAnsi="CAIXA Std Book"/>
                <w:color w:val="005CA9"/>
                <w:sz w:val="18"/>
                <w:szCs w:val="18"/>
              </w:rPr>
            </w:pPr>
            <w:r>
              <w:rPr>
                <w:rFonts w:ascii="CAIXA Std Book" w:hAnsi="CAIXA Std Book" w:cs="Calibri"/>
                <w:color w:val="005CA9"/>
                <w:sz w:val="18"/>
                <w:szCs w:val="18"/>
              </w:rPr>
              <w:t>(3.601.111)</w:t>
            </w:r>
          </w:p>
        </w:tc>
        <w:tc>
          <w:tcPr>
            <w:tcW w:w="620" w:type="pct"/>
            <w:noWrap/>
            <w:vAlign w:val="center"/>
            <w:hideMark/>
          </w:tcPr>
          <w:p w14:paraId="11A08805" w14:textId="2BDD047E" w:rsidR="00E85EE7" w:rsidRPr="00C879C8" w:rsidRDefault="00C33A8B">
            <w:pPr>
              <w:jc w:val="right"/>
              <w:rPr>
                <w:rFonts w:ascii="CAIXA Std Book" w:hAnsi="CAIXA Std Book"/>
                <w:color w:val="005CA9"/>
                <w:sz w:val="18"/>
                <w:szCs w:val="18"/>
              </w:rPr>
            </w:pPr>
            <w:r>
              <w:rPr>
                <w:rFonts w:ascii="CAIXA Std Book" w:hAnsi="CAIXA Std Book" w:cs="Calibri"/>
                <w:color w:val="005CA9"/>
                <w:sz w:val="18"/>
                <w:szCs w:val="18"/>
              </w:rPr>
              <w:t>(3.444.874)</w:t>
            </w:r>
          </w:p>
        </w:tc>
        <w:tc>
          <w:tcPr>
            <w:tcW w:w="622" w:type="pct"/>
            <w:noWrap/>
            <w:vAlign w:val="center"/>
            <w:hideMark/>
          </w:tcPr>
          <w:p w14:paraId="568ED78B" w14:textId="59023335" w:rsidR="00E85EE7" w:rsidRPr="00C879C8" w:rsidRDefault="00C33A8B">
            <w:pPr>
              <w:jc w:val="right"/>
              <w:rPr>
                <w:rFonts w:ascii="CAIXA Std Book" w:hAnsi="CAIXA Std Book"/>
                <w:color w:val="005CA9"/>
                <w:sz w:val="18"/>
                <w:szCs w:val="18"/>
              </w:rPr>
            </w:pPr>
            <w:r>
              <w:rPr>
                <w:rFonts w:ascii="CAIXA Std Book" w:hAnsi="CAIXA Std Book" w:cs="Calibri"/>
                <w:color w:val="005CA9"/>
                <w:sz w:val="18"/>
                <w:szCs w:val="18"/>
              </w:rPr>
              <w:t>(10.674.436)</w:t>
            </w:r>
          </w:p>
        </w:tc>
      </w:tr>
      <w:tr w:rsidR="00E85EE7" w:rsidRPr="006F29B4" w14:paraId="76D814B3" w14:textId="77777777" w:rsidTr="00D91FED">
        <w:trPr>
          <w:trHeight w:val="283"/>
        </w:trPr>
        <w:tc>
          <w:tcPr>
            <w:tcW w:w="1898" w:type="pct"/>
            <w:shd w:val="clear" w:color="auto" w:fill="D0E0E3"/>
            <w:noWrap/>
            <w:vAlign w:val="center"/>
            <w:hideMark/>
          </w:tcPr>
          <w:p w14:paraId="4E196B3A" w14:textId="77777777" w:rsidR="00E85EE7" w:rsidRPr="006F29B4" w:rsidRDefault="00E85EE7">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 xml:space="preserve">Passivos </w:t>
            </w:r>
            <w:r>
              <w:rPr>
                <w:rFonts w:ascii="CAIXA Std Book" w:eastAsia="Times New Roman" w:hAnsi="CAIXA Std Book" w:cs="Arial"/>
                <w:b/>
                <w:color w:val="005CA9"/>
                <w:sz w:val="18"/>
                <w:szCs w:val="18"/>
              </w:rPr>
              <w:t>f</w:t>
            </w:r>
            <w:r w:rsidRPr="006F29B4">
              <w:rPr>
                <w:rFonts w:ascii="CAIXA Std Book" w:eastAsia="Times New Roman" w:hAnsi="CAIXA Std Book" w:cs="Arial"/>
                <w:b/>
                <w:color w:val="005CA9"/>
                <w:sz w:val="18"/>
                <w:szCs w:val="18"/>
              </w:rPr>
              <w:t>inanceiros</w:t>
            </w:r>
          </w:p>
        </w:tc>
        <w:tc>
          <w:tcPr>
            <w:tcW w:w="620" w:type="pct"/>
            <w:shd w:val="clear" w:color="000000" w:fill="D0E0E3"/>
            <w:noWrap/>
            <w:vAlign w:val="center"/>
            <w:hideMark/>
          </w:tcPr>
          <w:p w14:paraId="403371ED" w14:textId="77777777" w:rsidR="00E85EE7" w:rsidRPr="006F29B4" w:rsidRDefault="00E85EE7">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(898.057)</w:t>
            </w:r>
          </w:p>
        </w:tc>
        <w:tc>
          <w:tcPr>
            <w:tcW w:w="620" w:type="pct"/>
            <w:shd w:val="clear" w:color="000000" w:fill="D0E0E3"/>
            <w:noWrap/>
            <w:vAlign w:val="center"/>
            <w:hideMark/>
          </w:tcPr>
          <w:p w14:paraId="10A6737B" w14:textId="44736580" w:rsidR="00E85EE7" w:rsidRPr="006F29B4" w:rsidRDefault="00C33A8B">
            <w:pPr>
              <w:jc w:val="right"/>
              <w:rPr>
                <w:rFonts w:ascii="CAIXA Std Book" w:eastAsia="Times New Roman" w:hAnsi="CAIXA Std Book" w:cs="Arial"/>
                <w:b/>
                <w:color w:val="005CA9"/>
                <w:sz w:val="18"/>
                <w:szCs w:val="18"/>
              </w:rPr>
            </w:pPr>
            <w:r>
              <w:rPr>
                <w:rFonts w:ascii="CAIXA Std Book" w:hAnsi="CAIXA Std Book"/>
                <w:b/>
                <w:bCs/>
                <w:color w:val="005CA9"/>
                <w:sz w:val="18"/>
                <w:szCs w:val="18"/>
              </w:rPr>
              <w:t>(124.097)</w:t>
            </w:r>
          </w:p>
        </w:tc>
        <w:tc>
          <w:tcPr>
            <w:tcW w:w="620" w:type="pct"/>
            <w:shd w:val="clear" w:color="000000" w:fill="D0E0E3"/>
            <w:noWrap/>
            <w:vAlign w:val="center"/>
            <w:hideMark/>
          </w:tcPr>
          <w:p w14:paraId="5CA8FC1D" w14:textId="1A09B2E6" w:rsidR="00E85EE7" w:rsidRPr="006F29B4" w:rsidRDefault="00C33A8B">
            <w:pPr>
              <w:jc w:val="right"/>
              <w:rPr>
                <w:rFonts w:ascii="CAIXA Std Book" w:eastAsia="Times New Roman" w:hAnsi="CAIXA Std Book" w:cs="Arial"/>
                <w:b/>
                <w:color w:val="005CA9"/>
                <w:sz w:val="18"/>
                <w:szCs w:val="18"/>
              </w:rPr>
            </w:pPr>
            <w:r>
              <w:rPr>
                <w:rFonts w:ascii="CAIXA Std Book" w:hAnsi="CAIXA Std Book"/>
                <w:b/>
                <w:bCs/>
                <w:color w:val="005CA9"/>
                <w:sz w:val="18"/>
                <w:szCs w:val="18"/>
              </w:rPr>
              <w:t>(44.637)</w:t>
            </w:r>
          </w:p>
        </w:tc>
        <w:tc>
          <w:tcPr>
            <w:tcW w:w="620" w:type="pct"/>
            <w:shd w:val="clear" w:color="000000" w:fill="D0E0E3"/>
            <w:noWrap/>
            <w:vAlign w:val="center"/>
            <w:hideMark/>
          </w:tcPr>
          <w:p w14:paraId="59DCDAD8" w14:textId="0120DB67" w:rsidR="00E85EE7" w:rsidRPr="006F29B4" w:rsidRDefault="00C33A8B">
            <w:pPr>
              <w:jc w:val="right"/>
              <w:rPr>
                <w:rFonts w:ascii="CAIXA Std Book" w:eastAsia="Times New Roman" w:hAnsi="CAIXA Std Book" w:cs="Arial"/>
                <w:b/>
                <w:color w:val="005CA9"/>
                <w:sz w:val="18"/>
                <w:szCs w:val="18"/>
              </w:rPr>
            </w:pPr>
            <w:r>
              <w:rPr>
                <w:rFonts w:ascii="CAIXA Std Book" w:hAnsi="CAIXA Std Book"/>
                <w:b/>
                <w:bCs/>
                <w:color w:val="005CA9"/>
                <w:sz w:val="18"/>
                <w:szCs w:val="18"/>
              </w:rPr>
              <w:t>(67.298)</w:t>
            </w:r>
          </w:p>
        </w:tc>
        <w:tc>
          <w:tcPr>
            <w:tcW w:w="622" w:type="pct"/>
            <w:shd w:val="clear" w:color="000000" w:fill="D0E0E3"/>
            <w:noWrap/>
            <w:vAlign w:val="center"/>
            <w:hideMark/>
          </w:tcPr>
          <w:p w14:paraId="08C48968" w14:textId="648DBA95" w:rsidR="00E85EE7" w:rsidRPr="006F29B4" w:rsidRDefault="00E85EE7">
            <w:pPr>
              <w:jc w:val="right"/>
              <w:rPr>
                <w:rFonts w:ascii="CAIXA Std Book" w:eastAsia="Times New Roman" w:hAnsi="CAIXA Std Book" w:cs="Arial"/>
                <w:b/>
                <w:color w:val="005CA9"/>
                <w:sz w:val="18"/>
                <w:szCs w:val="18"/>
              </w:rPr>
            </w:pPr>
            <w:r>
              <w:rPr>
                <w:rFonts w:ascii="CAIXA Std Book" w:hAnsi="CAIXA Std Book"/>
                <w:b/>
                <w:color w:val="005CA9"/>
                <w:sz w:val="18"/>
                <w:szCs w:val="18"/>
              </w:rPr>
              <w:t>(1.</w:t>
            </w:r>
            <w:r w:rsidR="00C33A8B">
              <w:rPr>
                <w:rFonts w:ascii="CAIXA Std Book" w:hAnsi="CAIXA Std Book"/>
                <w:b/>
                <w:bCs/>
                <w:color w:val="005CA9"/>
                <w:sz w:val="18"/>
                <w:szCs w:val="18"/>
              </w:rPr>
              <w:t>134.089</w:t>
            </w:r>
            <w:r>
              <w:rPr>
                <w:rFonts w:ascii="CAIXA Std Book" w:hAnsi="CAIXA Std Book"/>
                <w:b/>
                <w:color w:val="005CA9"/>
                <w:sz w:val="18"/>
                <w:szCs w:val="18"/>
              </w:rPr>
              <w:t>)</w:t>
            </w:r>
          </w:p>
        </w:tc>
      </w:tr>
      <w:tr w:rsidR="00E85EE7" w:rsidRPr="006F29B4" w14:paraId="3053CE35" w14:textId="77777777" w:rsidTr="00D91FED">
        <w:trPr>
          <w:trHeight w:val="283"/>
        </w:trPr>
        <w:tc>
          <w:tcPr>
            <w:tcW w:w="1898" w:type="pct"/>
            <w:noWrap/>
            <w:vAlign w:val="center"/>
            <w:hideMark/>
          </w:tcPr>
          <w:p w14:paraId="5A9F0086" w14:textId="77777777" w:rsidR="00E85EE7" w:rsidRPr="006F29B4" w:rsidRDefault="00E85EE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Compromisso de </w:t>
            </w:r>
            <w:r>
              <w:rPr>
                <w:rFonts w:ascii="CAIXA Std Book" w:eastAsia="Times New Roman" w:hAnsi="CAIXA Std Book" w:cs="Arial"/>
                <w:color w:val="005CA9"/>
                <w:sz w:val="18"/>
                <w:szCs w:val="18"/>
              </w:rPr>
              <w:t>empréstimos e c</w:t>
            </w:r>
            <w:r w:rsidRPr="006F29B4">
              <w:rPr>
                <w:rFonts w:ascii="CAIXA Std Book" w:eastAsia="Times New Roman" w:hAnsi="CAIXA Std Book" w:cs="Arial"/>
                <w:color w:val="005CA9"/>
                <w:sz w:val="18"/>
                <w:szCs w:val="18"/>
              </w:rPr>
              <w:t>rédito</w:t>
            </w:r>
            <w:r>
              <w:rPr>
                <w:rFonts w:ascii="CAIXA Std Book" w:eastAsia="Times New Roman" w:hAnsi="CAIXA Std Book" w:cs="Arial"/>
                <w:color w:val="005CA9"/>
                <w:sz w:val="18"/>
                <w:szCs w:val="18"/>
              </w:rPr>
              <w:t>s</w:t>
            </w:r>
            <w:r w:rsidRPr="006F29B4">
              <w:rPr>
                <w:rFonts w:ascii="CAIXA Std Book" w:eastAsia="Times New Roman" w:hAnsi="CAIXA Std Book" w:cs="Arial"/>
                <w:color w:val="005CA9"/>
                <w:sz w:val="18"/>
                <w:szCs w:val="18"/>
              </w:rPr>
              <w:t xml:space="preserve"> a </w:t>
            </w:r>
            <w:r>
              <w:rPr>
                <w:rFonts w:ascii="CAIXA Std Book" w:eastAsia="Times New Roman" w:hAnsi="CAIXA Std Book" w:cs="Arial"/>
                <w:color w:val="005CA9"/>
                <w:sz w:val="18"/>
                <w:szCs w:val="18"/>
              </w:rPr>
              <w:t>l</w:t>
            </w:r>
            <w:r w:rsidRPr="006F29B4">
              <w:rPr>
                <w:rFonts w:ascii="CAIXA Std Book" w:eastAsia="Times New Roman" w:hAnsi="CAIXA Std Book" w:cs="Arial"/>
                <w:color w:val="005CA9"/>
                <w:sz w:val="18"/>
                <w:szCs w:val="18"/>
              </w:rPr>
              <w:t>iberar</w:t>
            </w:r>
          </w:p>
        </w:tc>
        <w:tc>
          <w:tcPr>
            <w:tcW w:w="620" w:type="pct"/>
            <w:noWrap/>
            <w:vAlign w:val="center"/>
            <w:hideMark/>
          </w:tcPr>
          <w:p w14:paraId="20E40B4B" w14:textId="77777777" w:rsidR="00E85EE7" w:rsidRPr="006F29B4" w:rsidRDefault="00E85EE7">
            <w:pPr>
              <w:jc w:val="right"/>
              <w:rPr>
                <w:rFonts w:ascii="CAIXA Std Book" w:eastAsia="Times New Roman" w:hAnsi="CAIXA Std Book" w:cs="Arial"/>
                <w:color w:val="005CA9"/>
                <w:sz w:val="18"/>
                <w:szCs w:val="18"/>
              </w:rPr>
            </w:pPr>
            <w:r>
              <w:rPr>
                <w:rFonts w:ascii="CAIXA Std Book" w:hAnsi="CAIXA Std Book"/>
                <w:color w:val="005CA9"/>
                <w:sz w:val="18"/>
                <w:szCs w:val="18"/>
              </w:rPr>
              <w:t>(878.405)</w:t>
            </w:r>
          </w:p>
        </w:tc>
        <w:tc>
          <w:tcPr>
            <w:tcW w:w="620" w:type="pct"/>
            <w:noWrap/>
            <w:vAlign w:val="center"/>
            <w:hideMark/>
          </w:tcPr>
          <w:p w14:paraId="67920453" w14:textId="2C3BE0DD" w:rsidR="00E85EE7" w:rsidRPr="006F29B4" w:rsidRDefault="00C33A8B">
            <w:pPr>
              <w:jc w:val="right"/>
              <w:rPr>
                <w:rFonts w:ascii="CAIXA Std Book" w:eastAsia="Times New Roman" w:hAnsi="CAIXA Std Book" w:cs="Arial"/>
                <w:color w:val="005CA9"/>
                <w:sz w:val="18"/>
                <w:szCs w:val="18"/>
              </w:rPr>
            </w:pPr>
            <w:r>
              <w:rPr>
                <w:rFonts w:ascii="CAIXA Std Book" w:hAnsi="CAIXA Std Book"/>
                <w:color w:val="005CA9"/>
                <w:sz w:val="18"/>
                <w:szCs w:val="18"/>
              </w:rPr>
              <w:t>165.711</w:t>
            </w:r>
          </w:p>
        </w:tc>
        <w:tc>
          <w:tcPr>
            <w:tcW w:w="620" w:type="pct"/>
            <w:noWrap/>
            <w:vAlign w:val="center"/>
            <w:hideMark/>
          </w:tcPr>
          <w:p w14:paraId="67BCDA50" w14:textId="102E5175" w:rsidR="00E85EE7" w:rsidRPr="006F29B4" w:rsidRDefault="00C33A8B">
            <w:pPr>
              <w:jc w:val="right"/>
              <w:rPr>
                <w:rFonts w:ascii="CAIXA Std Book" w:eastAsia="Times New Roman" w:hAnsi="CAIXA Std Book" w:cs="Arial"/>
                <w:color w:val="005CA9"/>
                <w:sz w:val="18"/>
                <w:szCs w:val="18"/>
              </w:rPr>
            </w:pPr>
            <w:r>
              <w:rPr>
                <w:rFonts w:ascii="CAIXA Std Book" w:hAnsi="CAIXA Std Book"/>
                <w:color w:val="005CA9"/>
                <w:sz w:val="18"/>
                <w:szCs w:val="18"/>
              </w:rPr>
              <w:t>(10.413)</w:t>
            </w:r>
          </w:p>
        </w:tc>
        <w:tc>
          <w:tcPr>
            <w:tcW w:w="620" w:type="pct"/>
            <w:noWrap/>
            <w:vAlign w:val="center"/>
            <w:hideMark/>
          </w:tcPr>
          <w:p w14:paraId="53101A0F" w14:textId="5BF7C0CE" w:rsidR="00E85EE7" w:rsidRPr="006F29B4" w:rsidRDefault="00C33A8B">
            <w:pPr>
              <w:jc w:val="right"/>
              <w:rPr>
                <w:rFonts w:ascii="CAIXA Std Book" w:eastAsia="Times New Roman" w:hAnsi="CAIXA Std Book" w:cs="Arial"/>
                <w:color w:val="005CA9"/>
                <w:sz w:val="18"/>
                <w:szCs w:val="18"/>
              </w:rPr>
            </w:pPr>
            <w:r>
              <w:rPr>
                <w:rFonts w:ascii="CAIXA Std Book" w:hAnsi="CAIXA Std Book"/>
                <w:color w:val="005CA9"/>
                <w:sz w:val="18"/>
                <w:szCs w:val="18"/>
              </w:rPr>
              <w:t>(11.639)</w:t>
            </w:r>
          </w:p>
        </w:tc>
        <w:tc>
          <w:tcPr>
            <w:tcW w:w="622" w:type="pct"/>
            <w:noWrap/>
            <w:vAlign w:val="center"/>
            <w:hideMark/>
          </w:tcPr>
          <w:p w14:paraId="2BC499FA" w14:textId="4AAC8DBB" w:rsidR="00E85EE7" w:rsidRPr="006F29B4" w:rsidRDefault="00C33A8B">
            <w:pPr>
              <w:jc w:val="right"/>
              <w:rPr>
                <w:rFonts w:ascii="CAIXA Std Book" w:eastAsia="Times New Roman" w:hAnsi="CAIXA Std Book" w:cs="Arial"/>
                <w:color w:val="005CA9"/>
                <w:sz w:val="18"/>
                <w:szCs w:val="18"/>
              </w:rPr>
            </w:pPr>
            <w:r>
              <w:rPr>
                <w:rFonts w:ascii="CAIXA Std Book" w:hAnsi="CAIXA Std Book"/>
                <w:color w:val="005CA9"/>
                <w:sz w:val="18"/>
                <w:szCs w:val="18"/>
              </w:rPr>
              <w:t>(734.746)</w:t>
            </w:r>
          </w:p>
        </w:tc>
      </w:tr>
      <w:tr w:rsidR="00E85EE7" w:rsidRPr="006F29B4" w14:paraId="55BFFA7C" w14:textId="77777777" w:rsidTr="00D91FED">
        <w:trPr>
          <w:trHeight w:val="283"/>
        </w:trPr>
        <w:tc>
          <w:tcPr>
            <w:tcW w:w="1898" w:type="pct"/>
            <w:noWrap/>
            <w:vAlign w:val="center"/>
            <w:hideMark/>
          </w:tcPr>
          <w:p w14:paraId="1A1A9E8C" w14:textId="77777777" w:rsidR="00E85EE7" w:rsidRPr="006F29B4" w:rsidRDefault="00E85EE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Garantias </w:t>
            </w:r>
            <w:r>
              <w:rPr>
                <w:rFonts w:ascii="CAIXA Std Book" w:eastAsia="Times New Roman" w:hAnsi="CAIXA Std Book" w:cs="Arial"/>
                <w:color w:val="005CA9"/>
                <w:sz w:val="18"/>
                <w:szCs w:val="18"/>
              </w:rPr>
              <w:t>f</w:t>
            </w:r>
            <w:r w:rsidRPr="006F29B4">
              <w:rPr>
                <w:rFonts w:ascii="CAIXA Std Book" w:eastAsia="Times New Roman" w:hAnsi="CAIXA Std Book" w:cs="Arial"/>
                <w:color w:val="005CA9"/>
                <w:sz w:val="18"/>
                <w:szCs w:val="18"/>
              </w:rPr>
              <w:t xml:space="preserve">inanceiras </w:t>
            </w:r>
            <w:r>
              <w:rPr>
                <w:rFonts w:ascii="CAIXA Std Book" w:eastAsia="Times New Roman" w:hAnsi="CAIXA Std Book" w:cs="Arial"/>
                <w:color w:val="005CA9"/>
                <w:sz w:val="18"/>
                <w:szCs w:val="18"/>
              </w:rPr>
              <w:t>p</w:t>
            </w:r>
            <w:r w:rsidRPr="006F29B4">
              <w:rPr>
                <w:rFonts w:ascii="CAIXA Std Book" w:eastAsia="Times New Roman" w:hAnsi="CAIXA Std Book" w:cs="Arial"/>
                <w:color w:val="005CA9"/>
                <w:sz w:val="18"/>
                <w:szCs w:val="18"/>
              </w:rPr>
              <w:t>restadas</w:t>
            </w:r>
          </w:p>
        </w:tc>
        <w:tc>
          <w:tcPr>
            <w:tcW w:w="620" w:type="pct"/>
            <w:noWrap/>
            <w:vAlign w:val="center"/>
            <w:hideMark/>
          </w:tcPr>
          <w:p w14:paraId="0A412BCB" w14:textId="77777777" w:rsidR="00E85EE7" w:rsidRPr="0062688D" w:rsidRDefault="00E85EE7">
            <w:pPr>
              <w:ind w:firstLineChars="100" w:firstLine="180"/>
              <w:jc w:val="right"/>
              <w:rPr>
                <w:rFonts w:ascii="CAIXA Std Book" w:eastAsia="Times New Roman" w:hAnsi="CAIXA Std Book" w:cs="Arial"/>
                <w:color w:val="005CA9"/>
                <w:sz w:val="18"/>
                <w:szCs w:val="18"/>
                <w:highlight w:val="yellow"/>
              </w:rPr>
            </w:pPr>
            <w:r>
              <w:rPr>
                <w:rFonts w:ascii="CAIXA Std Book" w:hAnsi="CAIXA Std Book"/>
                <w:color w:val="005CA9"/>
                <w:sz w:val="18"/>
                <w:szCs w:val="18"/>
              </w:rPr>
              <w:t>(19.652)</w:t>
            </w:r>
          </w:p>
        </w:tc>
        <w:tc>
          <w:tcPr>
            <w:tcW w:w="620" w:type="pct"/>
            <w:noWrap/>
            <w:vAlign w:val="center"/>
            <w:hideMark/>
          </w:tcPr>
          <w:p w14:paraId="0139B070" w14:textId="58C6122E" w:rsidR="00E85EE7" w:rsidRPr="0062688D" w:rsidRDefault="00C33A8B">
            <w:pPr>
              <w:ind w:firstLineChars="100" w:firstLine="180"/>
              <w:jc w:val="right"/>
              <w:rPr>
                <w:rFonts w:ascii="CAIXA Std Book" w:eastAsia="Times New Roman" w:hAnsi="CAIXA Std Book" w:cs="Arial"/>
                <w:color w:val="005CA9"/>
                <w:sz w:val="18"/>
                <w:szCs w:val="18"/>
                <w:highlight w:val="yellow"/>
              </w:rPr>
            </w:pPr>
            <w:r>
              <w:rPr>
                <w:rFonts w:ascii="CAIXA Std Book" w:hAnsi="CAIXA Std Book"/>
                <w:color w:val="005CA9"/>
                <w:sz w:val="18"/>
                <w:szCs w:val="18"/>
              </w:rPr>
              <w:t>(289.808)</w:t>
            </w:r>
          </w:p>
        </w:tc>
        <w:tc>
          <w:tcPr>
            <w:tcW w:w="620" w:type="pct"/>
            <w:noWrap/>
            <w:vAlign w:val="center"/>
            <w:hideMark/>
          </w:tcPr>
          <w:p w14:paraId="1D327A2D" w14:textId="41B440FC" w:rsidR="00E85EE7" w:rsidRPr="006F29B4" w:rsidRDefault="00C33A8B">
            <w:pPr>
              <w:ind w:firstLineChars="100" w:firstLine="180"/>
              <w:jc w:val="right"/>
              <w:rPr>
                <w:rFonts w:ascii="CAIXA Std Book" w:eastAsia="Times New Roman" w:hAnsi="CAIXA Std Book" w:cs="Arial"/>
                <w:color w:val="005CA9"/>
                <w:sz w:val="18"/>
                <w:szCs w:val="18"/>
              </w:rPr>
            </w:pPr>
            <w:r>
              <w:rPr>
                <w:rFonts w:ascii="CAIXA Std Book" w:hAnsi="CAIXA Std Book"/>
                <w:color w:val="005CA9"/>
                <w:sz w:val="18"/>
                <w:szCs w:val="18"/>
              </w:rPr>
              <w:t>(34.224)</w:t>
            </w:r>
          </w:p>
        </w:tc>
        <w:tc>
          <w:tcPr>
            <w:tcW w:w="620" w:type="pct"/>
            <w:noWrap/>
            <w:vAlign w:val="center"/>
            <w:hideMark/>
          </w:tcPr>
          <w:p w14:paraId="3485E0BF" w14:textId="3B2DC7F5" w:rsidR="00E85EE7" w:rsidRPr="006F29B4" w:rsidRDefault="00C33A8B">
            <w:pPr>
              <w:ind w:firstLineChars="100" w:firstLine="180"/>
              <w:jc w:val="right"/>
              <w:rPr>
                <w:rFonts w:ascii="CAIXA Std Book" w:eastAsia="Times New Roman" w:hAnsi="CAIXA Std Book" w:cs="Arial"/>
                <w:color w:val="005CA9"/>
                <w:sz w:val="18"/>
                <w:szCs w:val="18"/>
              </w:rPr>
            </w:pPr>
            <w:r>
              <w:rPr>
                <w:rFonts w:ascii="CAIXA Std Book" w:hAnsi="CAIXA Std Book"/>
                <w:color w:val="005CA9"/>
                <w:sz w:val="18"/>
                <w:szCs w:val="18"/>
              </w:rPr>
              <w:t>(55.659)</w:t>
            </w:r>
          </w:p>
        </w:tc>
        <w:tc>
          <w:tcPr>
            <w:tcW w:w="622" w:type="pct"/>
            <w:noWrap/>
            <w:vAlign w:val="center"/>
            <w:hideMark/>
          </w:tcPr>
          <w:p w14:paraId="0F0BE0E9" w14:textId="665CD59F" w:rsidR="00E85EE7" w:rsidRPr="006F29B4" w:rsidRDefault="00C33A8B">
            <w:pPr>
              <w:ind w:firstLineChars="100" w:firstLine="180"/>
              <w:jc w:val="right"/>
              <w:rPr>
                <w:rFonts w:ascii="CAIXA Std Book" w:eastAsia="Times New Roman" w:hAnsi="CAIXA Std Book" w:cs="Arial"/>
                <w:color w:val="005CA9"/>
                <w:sz w:val="18"/>
                <w:szCs w:val="18"/>
              </w:rPr>
            </w:pPr>
            <w:r>
              <w:rPr>
                <w:rFonts w:ascii="CAIXA Std Book" w:hAnsi="CAIXA Std Book"/>
                <w:color w:val="005CA9"/>
                <w:sz w:val="18"/>
                <w:szCs w:val="18"/>
              </w:rPr>
              <w:t>(399.343)</w:t>
            </w:r>
          </w:p>
        </w:tc>
      </w:tr>
      <w:tr w:rsidR="00E85EE7" w:rsidRPr="006F29B4" w14:paraId="0BF032BB" w14:textId="77777777" w:rsidTr="00D91FED">
        <w:trPr>
          <w:trHeight w:val="283"/>
        </w:trPr>
        <w:tc>
          <w:tcPr>
            <w:tcW w:w="1898" w:type="pct"/>
            <w:shd w:val="clear" w:color="auto" w:fill="005CA9"/>
            <w:noWrap/>
            <w:vAlign w:val="center"/>
            <w:hideMark/>
          </w:tcPr>
          <w:p w14:paraId="40F95335" w14:textId="77777777" w:rsidR="00E85EE7" w:rsidRPr="006F29B4" w:rsidRDefault="00E85EE7">
            <w:pP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Total</w:t>
            </w:r>
          </w:p>
        </w:tc>
        <w:tc>
          <w:tcPr>
            <w:tcW w:w="620" w:type="pct"/>
            <w:shd w:val="clear" w:color="000000" w:fill="005CA9"/>
            <w:noWrap/>
            <w:vAlign w:val="center"/>
            <w:hideMark/>
          </w:tcPr>
          <w:p w14:paraId="37F9E67B" w14:textId="77777777" w:rsidR="00E85EE7" w:rsidRPr="006F29B4" w:rsidRDefault="00E85EE7">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(12.215.280)</w:t>
            </w:r>
          </w:p>
        </w:tc>
        <w:tc>
          <w:tcPr>
            <w:tcW w:w="620" w:type="pct"/>
            <w:shd w:val="clear" w:color="000000" w:fill="005CA9"/>
            <w:vAlign w:val="center"/>
            <w:hideMark/>
          </w:tcPr>
          <w:p w14:paraId="090BC871" w14:textId="127C29E1" w:rsidR="00E85EE7" w:rsidRPr="006F29B4" w:rsidRDefault="00C33A8B">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7.464.034</w:t>
            </w:r>
          </w:p>
        </w:tc>
        <w:tc>
          <w:tcPr>
            <w:tcW w:w="620" w:type="pct"/>
            <w:shd w:val="clear" w:color="000000" w:fill="005CA9"/>
            <w:vAlign w:val="center"/>
            <w:hideMark/>
          </w:tcPr>
          <w:p w14:paraId="24153CAB" w14:textId="405F4C8B" w:rsidR="00E85EE7" w:rsidRPr="006F29B4" w:rsidRDefault="00C33A8B">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(3.642.870)</w:t>
            </w:r>
          </w:p>
        </w:tc>
        <w:tc>
          <w:tcPr>
            <w:tcW w:w="620" w:type="pct"/>
            <w:shd w:val="clear" w:color="000000" w:fill="005CA9"/>
            <w:vAlign w:val="center"/>
            <w:hideMark/>
          </w:tcPr>
          <w:p w14:paraId="5DC526A3" w14:textId="230845FE" w:rsidR="00E85EE7" w:rsidRPr="006F29B4" w:rsidRDefault="00C33A8B">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(3.522.569)</w:t>
            </w:r>
          </w:p>
        </w:tc>
        <w:tc>
          <w:tcPr>
            <w:tcW w:w="622" w:type="pct"/>
            <w:shd w:val="clear" w:color="000000" w:fill="005CA9"/>
            <w:vAlign w:val="center"/>
            <w:hideMark/>
          </w:tcPr>
          <w:p w14:paraId="6F683618" w14:textId="0F71DE6B" w:rsidR="00E85EE7" w:rsidRPr="006F29B4" w:rsidRDefault="00C33A8B">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(11.916.685)</w:t>
            </w:r>
          </w:p>
        </w:tc>
      </w:tr>
    </w:tbl>
    <w:p w14:paraId="18D6D4BA" w14:textId="77777777" w:rsidR="00E85EE7" w:rsidRDefault="00E85EE7" w:rsidP="00E85EE7">
      <w:pPr>
        <w:rPr>
          <w:rFonts w:ascii="CAIXA Std Book" w:hAnsi="CAIXA Std Book"/>
          <w:b/>
          <w:color w:val="005CA9"/>
          <w:sz w:val="20"/>
          <w:szCs w:val="20"/>
        </w:rPr>
      </w:pPr>
      <w:r>
        <w:rPr>
          <w:rFonts w:ascii="CAIXA Std Book" w:hAnsi="CAIXA Std Book"/>
          <w:b/>
          <w:color w:val="005CA9"/>
          <w:sz w:val="20"/>
          <w:szCs w:val="20"/>
        </w:rPr>
        <w:br w:type="page"/>
      </w:r>
    </w:p>
    <w:tbl>
      <w:tblPr>
        <w:tblW w:w="5000" w:type="pct"/>
        <w:tblCellMar>
          <w:left w:w="70" w:type="dxa"/>
          <w:right w:w="70" w:type="dxa"/>
        </w:tblCellMar>
        <w:tblLook w:val="04A0" w:firstRow="1" w:lastRow="0" w:firstColumn="1" w:lastColumn="0" w:noHBand="0" w:noVBand="1"/>
      </w:tblPr>
      <w:tblGrid>
        <w:gridCol w:w="5496"/>
        <w:gridCol w:w="1816"/>
        <w:gridCol w:w="1815"/>
        <w:gridCol w:w="1815"/>
        <w:gridCol w:w="1815"/>
        <w:gridCol w:w="1812"/>
      </w:tblGrid>
      <w:tr w:rsidR="00E85EE7" w:rsidRPr="006F29B4" w14:paraId="46DF8CBF" w14:textId="77777777" w:rsidTr="00D91FED">
        <w:trPr>
          <w:trHeight w:val="283"/>
        </w:trPr>
        <w:tc>
          <w:tcPr>
            <w:tcW w:w="5000" w:type="pct"/>
            <w:gridSpan w:val="6"/>
            <w:tcBorders>
              <w:bottom w:val="single" w:sz="4" w:space="0" w:color="FFFFFF" w:themeColor="background1"/>
            </w:tcBorders>
            <w:shd w:val="clear" w:color="auto" w:fill="005CA9"/>
            <w:noWrap/>
            <w:vAlign w:val="center"/>
            <w:hideMark/>
          </w:tcPr>
          <w:p w14:paraId="04AB9E2B" w14:textId="5CF1F1F2" w:rsidR="00E85EE7" w:rsidRPr="00DC72B3" w:rsidRDefault="00E85EE7">
            <w:pPr>
              <w:jc w:val="center"/>
              <w:rPr>
                <w:rFonts w:ascii="CAIXA Std Book" w:eastAsia="Times New Roman" w:hAnsi="CAIXA Std Book" w:cs="Arial"/>
                <w:b/>
                <w:bCs/>
                <w:color w:val="FFFFFF"/>
                <w:sz w:val="18"/>
                <w:szCs w:val="18"/>
              </w:rPr>
            </w:pPr>
            <w:r w:rsidRPr="00DC72B3">
              <w:rPr>
                <w:rFonts w:ascii="CAIXA Std Book" w:eastAsia="Times New Roman" w:hAnsi="CAIXA Std Book" w:cs="Arial"/>
                <w:b/>
                <w:color w:val="FFFFFF"/>
                <w:sz w:val="18"/>
                <w:szCs w:val="18"/>
              </w:rPr>
              <w:t>I</w:t>
            </w:r>
            <w:r>
              <w:rPr>
                <w:rFonts w:ascii="CAIXA Std Book" w:eastAsia="Times New Roman" w:hAnsi="CAIXA Std Book" w:cs="Arial"/>
                <w:b/>
                <w:color w:val="FFFFFF"/>
                <w:sz w:val="18"/>
                <w:szCs w:val="18"/>
              </w:rPr>
              <w:t>ndividual</w:t>
            </w:r>
            <w:r>
              <w:rPr>
                <w:rFonts w:ascii="CAIXA Std Book" w:eastAsia="Times New Roman" w:hAnsi="CAIXA Std Book" w:cs="Calibri"/>
                <w:b/>
                <w:color w:val="FFFFFF"/>
                <w:sz w:val="18"/>
                <w:szCs w:val="18"/>
              </w:rPr>
              <w:t xml:space="preserve"> </w:t>
            </w:r>
          </w:p>
        </w:tc>
      </w:tr>
      <w:tr w:rsidR="00E85EE7" w:rsidRPr="006F29B4" w14:paraId="1BF766FB" w14:textId="77777777" w:rsidTr="00D91FED">
        <w:trPr>
          <w:trHeight w:val="283"/>
        </w:trPr>
        <w:tc>
          <w:tcPr>
            <w:tcW w:w="1886" w:type="pct"/>
            <w:tcBorders>
              <w:top w:val="single" w:sz="4" w:space="0" w:color="FFFFFF" w:themeColor="background1"/>
            </w:tcBorders>
            <w:shd w:val="clear" w:color="auto" w:fill="005CA9"/>
            <w:vAlign w:val="center"/>
            <w:hideMark/>
          </w:tcPr>
          <w:p w14:paraId="09274CEA" w14:textId="77777777" w:rsidR="00E85EE7" w:rsidRPr="006F29B4" w:rsidRDefault="00E85EE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Estágio 2</w:t>
            </w:r>
          </w:p>
        </w:tc>
        <w:tc>
          <w:tcPr>
            <w:tcW w:w="623" w:type="pct"/>
            <w:tcBorders>
              <w:top w:val="single" w:sz="4" w:space="0" w:color="FFFFFF" w:themeColor="background1"/>
            </w:tcBorders>
            <w:shd w:val="clear" w:color="auto" w:fill="005CA9"/>
            <w:vAlign w:val="center"/>
            <w:hideMark/>
          </w:tcPr>
          <w:p w14:paraId="43BE5219" w14:textId="77777777" w:rsidR="00E85EE7" w:rsidRPr="006F29B4" w:rsidRDefault="00E85EE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Saldo em 01/01/2025</w:t>
            </w:r>
          </w:p>
        </w:tc>
        <w:tc>
          <w:tcPr>
            <w:tcW w:w="623" w:type="pct"/>
            <w:tcBorders>
              <w:top w:val="single" w:sz="4" w:space="0" w:color="FFFFFF" w:themeColor="background1"/>
            </w:tcBorders>
            <w:shd w:val="clear" w:color="auto" w:fill="005CA9"/>
            <w:vAlign w:val="center"/>
            <w:hideMark/>
          </w:tcPr>
          <w:p w14:paraId="77605F8C" w14:textId="77777777" w:rsidR="00E85EE7" w:rsidRPr="006F29B4" w:rsidRDefault="00E85EE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Constituição/ reversão</w:t>
            </w:r>
          </w:p>
        </w:tc>
        <w:tc>
          <w:tcPr>
            <w:tcW w:w="623" w:type="pct"/>
            <w:tcBorders>
              <w:top w:val="single" w:sz="4" w:space="0" w:color="FFFFFF" w:themeColor="background1"/>
            </w:tcBorders>
            <w:shd w:val="clear" w:color="auto" w:fill="005CA9"/>
            <w:vAlign w:val="center"/>
            <w:hideMark/>
          </w:tcPr>
          <w:p w14:paraId="473E6F3A" w14:textId="77777777" w:rsidR="00E85EE7" w:rsidRPr="006F29B4" w:rsidRDefault="00E85EE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Transferência do/ para estágio </w:t>
            </w:r>
            <w:r>
              <w:rPr>
                <w:rFonts w:ascii="CAIXA Std Book" w:eastAsia="Times New Roman" w:hAnsi="CAIXA Std Book" w:cs="Arial"/>
                <w:b/>
                <w:color w:val="FFFFFF"/>
                <w:sz w:val="18"/>
                <w:szCs w:val="18"/>
              </w:rPr>
              <w:t>1</w:t>
            </w:r>
          </w:p>
        </w:tc>
        <w:tc>
          <w:tcPr>
            <w:tcW w:w="623" w:type="pct"/>
            <w:tcBorders>
              <w:top w:val="single" w:sz="4" w:space="0" w:color="FFFFFF" w:themeColor="background1"/>
            </w:tcBorders>
            <w:shd w:val="clear" w:color="auto" w:fill="005CA9"/>
            <w:vAlign w:val="center"/>
            <w:hideMark/>
          </w:tcPr>
          <w:p w14:paraId="413DD72B" w14:textId="77777777" w:rsidR="00E85EE7" w:rsidRDefault="00E85EE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Transferência do/</w:t>
            </w:r>
          </w:p>
          <w:p w14:paraId="7C7450F4" w14:textId="77777777" w:rsidR="00E85EE7" w:rsidRPr="006F29B4" w:rsidRDefault="00E85EE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para estágio 3 </w:t>
            </w:r>
          </w:p>
        </w:tc>
        <w:tc>
          <w:tcPr>
            <w:tcW w:w="622" w:type="pct"/>
            <w:tcBorders>
              <w:top w:val="single" w:sz="4" w:space="0" w:color="FFFFFF" w:themeColor="background1"/>
            </w:tcBorders>
            <w:shd w:val="clear" w:color="auto" w:fill="005CA9"/>
            <w:vAlign w:val="center"/>
            <w:hideMark/>
          </w:tcPr>
          <w:p w14:paraId="155293A9" w14:textId="360FEE40" w:rsidR="00E85EE7" w:rsidRPr="006F29B4" w:rsidRDefault="00E85EE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Saldo em 31/</w:t>
            </w:r>
            <w:r w:rsidR="0067638B">
              <w:rPr>
                <w:rFonts w:ascii="CAIXA Std Book" w:eastAsia="Times New Roman" w:hAnsi="CAIXA Std Book" w:cs="Arial"/>
                <w:b/>
                <w:color w:val="FFFFFF"/>
                <w:sz w:val="18"/>
                <w:szCs w:val="18"/>
              </w:rPr>
              <w:t>12</w:t>
            </w:r>
            <w:r w:rsidRPr="006F29B4">
              <w:rPr>
                <w:rFonts w:ascii="CAIXA Std Book" w:eastAsia="Times New Roman" w:hAnsi="CAIXA Std Book" w:cs="Arial"/>
                <w:b/>
                <w:color w:val="FFFFFF"/>
                <w:sz w:val="18"/>
                <w:szCs w:val="18"/>
              </w:rPr>
              <w:t>/2025</w:t>
            </w:r>
          </w:p>
        </w:tc>
      </w:tr>
      <w:tr w:rsidR="00E85EE7" w:rsidRPr="006F29B4" w14:paraId="37152C71" w14:textId="77777777" w:rsidTr="00D91FED">
        <w:trPr>
          <w:trHeight w:val="283"/>
        </w:trPr>
        <w:tc>
          <w:tcPr>
            <w:tcW w:w="1886" w:type="pct"/>
            <w:shd w:val="clear" w:color="auto" w:fill="D0E0E3"/>
            <w:noWrap/>
            <w:vAlign w:val="center"/>
            <w:hideMark/>
          </w:tcPr>
          <w:p w14:paraId="7D366194" w14:textId="77777777" w:rsidR="00E85EE7" w:rsidRPr="006F29B4" w:rsidRDefault="00E85EE7">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Ativos Financeiros</w:t>
            </w:r>
          </w:p>
        </w:tc>
        <w:tc>
          <w:tcPr>
            <w:tcW w:w="623" w:type="pct"/>
            <w:shd w:val="clear" w:color="000000" w:fill="D0E0E3"/>
            <w:noWrap/>
            <w:vAlign w:val="center"/>
          </w:tcPr>
          <w:p w14:paraId="2A4A6606" w14:textId="20A5CB34" w:rsidR="00E85EE7" w:rsidRPr="006F29B4" w:rsidRDefault="00E85EE7">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(7.465.777)</w:t>
            </w:r>
          </w:p>
        </w:tc>
        <w:tc>
          <w:tcPr>
            <w:tcW w:w="623" w:type="pct"/>
            <w:shd w:val="clear" w:color="000000" w:fill="D0E0E3"/>
            <w:noWrap/>
            <w:vAlign w:val="center"/>
          </w:tcPr>
          <w:p w14:paraId="0338C661" w14:textId="7B6B83E2" w:rsidR="00E85EE7" w:rsidRPr="006F29B4" w:rsidRDefault="004243D6">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(1.802.629)</w:t>
            </w:r>
          </w:p>
        </w:tc>
        <w:tc>
          <w:tcPr>
            <w:tcW w:w="623" w:type="pct"/>
            <w:shd w:val="clear" w:color="000000" w:fill="D0E0E3"/>
            <w:noWrap/>
            <w:vAlign w:val="center"/>
          </w:tcPr>
          <w:p w14:paraId="341F34AE" w14:textId="759E32C9" w:rsidR="00E85EE7" w:rsidRPr="006F29B4" w:rsidRDefault="004243D6">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3.598.233</w:t>
            </w:r>
          </w:p>
        </w:tc>
        <w:tc>
          <w:tcPr>
            <w:tcW w:w="623" w:type="pct"/>
            <w:shd w:val="clear" w:color="000000" w:fill="D0E0E3"/>
            <w:noWrap/>
            <w:vAlign w:val="center"/>
          </w:tcPr>
          <w:p w14:paraId="2C34CEF5" w14:textId="505F5990" w:rsidR="00E85EE7" w:rsidRPr="006F29B4" w:rsidRDefault="004243D6">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1.284.744</w:t>
            </w:r>
          </w:p>
        </w:tc>
        <w:tc>
          <w:tcPr>
            <w:tcW w:w="622" w:type="pct"/>
            <w:shd w:val="clear" w:color="000000" w:fill="D0E0E3"/>
            <w:noWrap/>
            <w:vAlign w:val="center"/>
          </w:tcPr>
          <w:p w14:paraId="00F44C06" w14:textId="79EA9BCB" w:rsidR="00E85EE7" w:rsidRPr="006F29B4" w:rsidRDefault="004243D6">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(4.385.429)</w:t>
            </w:r>
          </w:p>
        </w:tc>
      </w:tr>
      <w:tr w:rsidR="00E85EE7" w:rsidRPr="006F29B4" w14:paraId="5C8B8F84" w14:textId="77777777" w:rsidTr="00D91FED">
        <w:trPr>
          <w:trHeight w:val="283"/>
        </w:trPr>
        <w:tc>
          <w:tcPr>
            <w:tcW w:w="1886" w:type="pct"/>
            <w:noWrap/>
            <w:vAlign w:val="center"/>
            <w:hideMark/>
          </w:tcPr>
          <w:p w14:paraId="4256AF9D" w14:textId="17988AB2" w:rsidR="00E85EE7" w:rsidRPr="006F29B4" w:rsidRDefault="006732B1">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Títulos e </w:t>
            </w:r>
            <w:r>
              <w:rPr>
                <w:rFonts w:ascii="CAIXA Std Book" w:eastAsia="Times New Roman" w:hAnsi="CAIXA Std Book" w:cs="Arial"/>
                <w:color w:val="005CA9"/>
                <w:sz w:val="18"/>
                <w:szCs w:val="18"/>
              </w:rPr>
              <w:t>v</w:t>
            </w:r>
            <w:r w:rsidRPr="006F29B4">
              <w:rPr>
                <w:rFonts w:ascii="CAIXA Std Book" w:eastAsia="Times New Roman" w:hAnsi="CAIXA Std Book" w:cs="Arial"/>
                <w:color w:val="005CA9"/>
                <w:sz w:val="18"/>
                <w:szCs w:val="18"/>
              </w:rPr>
              <w:t xml:space="preserve">alores </w:t>
            </w:r>
            <w:r>
              <w:rPr>
                <w:rFonts w:ascii="CAIXA Std Book" w:eastAsia="Times New Roman" w:hAnsi="CAIXA Std Book" w:cs="Arial"/>
                <w:color w:val="005CA9"/>
                <w:sz w:val="18"/>
                <w:szCs w:val="18"/>
              </w:rPr>
              <w:t>m</w:t>
            </w:r>
            <w:r w:rsidRPr="006F29B4">
              <w:rPr>
                <w:rFonts w:ascii="CAIXA Std Book" w:eastAsia="Times New Roman" w:hAnsi="CAIXA Std Book" w:cs="Arial"/>
                <w:color w:val="005CA9"/>
                <w:sz w:val="18"/>
                <w:szCs w:val="18"/>
              </w:rPr>
              <w:t>obiliários</w:t>
            </w:r>
          </w:p>
        </w:tc>
        <w:tc>
          <w:tcPr>
            <w:tcW w:w="623" w:type="pct"/>
            <w:noWrap/>
            <w:vAlign w:val="center"/>
          </w:tcPr>
          <w:p w14:paraId="129BE0B2" w14:textId="7D569B36" w:rsidR="00E85EE7" w:rsidRPr="006F29B4" w:rsidRDefault="006732B1" w:rsidP="006732B1">
            <w:pPr>
              <w:jc w:val="center"/>
              <w:rPr>
                <w:rFonts w:ascii="CAIXA Std Book" w:eastAsia="Times New Roman" w:hAnsi="CAIXA Std Book" w:cs="Arial"/>
                <w:color w:val="005CA9"/>
                <w:sz w:val="18"/>
                <w:szCs w:val="18"/>
              </w:rPr>
            </w:pPr>
            <w:r>
              <w:rPr>
                <w:rFonts w:ascii="CAIXA Std Book" w:hAnsi="CAIXA Std Book" w:cs="Calibri"/>
                <w:color w:val="005CA9"/>
                <w:sz w:val="18"/>
                <w:szCs w:val="18"/>
              </w:rPr>
              <w:t>-</w:t>
            </w:r>
          </w:p>
        </w:tc>
        <w:tc>
          <w:tcPr>
            <w:tcW w:w="623" w:type="pct"/>
            <w:noWrap/>
            <w:vAlign w:val="center"/>
          </w:tcPr>
          <w:p w14:paraId="0107CB29" w14:textId="12692F8F" w:rsidR="00E85EE7" w:rsidRPr="006F29B4" w:rsidRDefault="004243D6">
            <w:pPr>
              <w:jc w:val="right"/>
              <w:rPr>
                <w:rFonts w:ascii="CAIXA Std Book" w:eastAsia="Times New Roman" w:hAnsi="CAIXA Std Book" w:cs="Arial"/>
                <w:color w:val="005CA9"/>
                <w:sz w:val="18"/>
                <w:szCs w:val="18"/>
              </w:rPr>
            </w:pPr>
            <w:r>
              <w:rPr>
                <w:rFonts w:ascii="CAIXA Std Book" w:hAnsi="CAIXA Std Book" w:cs="Arial"/>
                <w:color w:val="005CA9"/>
                <w:sz w:val="18"/>
                <w:szCs w:val="18"/>
              </w:rPr>
              <w:t>(95.846)</w:t>
            </w:r>
          </w:p>
        </w:tc>
        <w:tc>
          <w:tcPr>
            <w:tcW w:w="623" w:type="pct"/>
            <w:noWrap/>
            <w:vAlign w:val="center"/>
          </w:tcPr>
          <w:p w14:paraId="230983BE" w14:textId="34BD8AC1" w:rsidR="00E85EE7" w:rsidRPr="006F29B4" w:rsidRDefault="004243D6">
            <w:pPr>
              <w:jc w:val="right"/>
              <w:rPr>
                <w:rFonts w:ascii="CAIXA Std Book" w:eastAsia="Times New Roman" w:hAnsi="CAIXA Std Book" w:cs="Arial"/>
                <w:color w:val="005CA9"/>
                <w:sz w:val="18"/>
                <w:szCs w:val="18"/>
              </w:rPr>
            </w:pPr>
            <w:r>
              <w:rPr>
                <w:rFonts w:ascii="CAIXA Std Book" w:hAnsi="CAIXA Std Book" w:cs="Arial"/>
                <w:color w:val="005CA9"/>
                <w:sz w:val="18"/>
                <w:szCs w:val="18"/>
              </w:rPr>
              <w:t>(2.878)</w:t>
            </w:r>
          </w:p>
        </w:tc>
        <w:tc>
          <w:tcPr>
            <w:tcW w:w="623" w:type="pct"/>
            <w:noWrap/>
            <w:vAlign w:val="center"/>
          </w:tcPr>
          <w:p w14:paraId="3F0FCB12" w14:textId="77C5AA89" w:rsidR="00E85EE7" w:rsidRPr="006F29B4" w:rsidRDefault="004243D6" w:rsidP="004243D6">
            <w:pPr>
              <w:jc w:val="center"/>
              <w:rPr>
                <w:rFonts w:ascii="CAIXA Std Book" w:eastAsia="Times New Roman" w:hAnsi="CAIXA Std Book" w:cs="Arial"/>
                <w:color w:val="005CA9"/>
                <w:sz w:val="18"/>
                <w:szCs w:val="18"/>
              </w:rPr>
            </w:pPr>
            <w:r>
              <w:rPr>
                <w:rFonts w:ascii="CAIXA Std Book" w:hAnsi="CAIXA Std Book" w:cs="Arial"/>
                <w:color w:val="005CA9"/>
                <w:sz w:val="18"/>
                <w:szCs w:val="18"/>
              </w:rPr>
              <w:t>-</w:t>
            </w:r>
          </w:p>
        </w:tc>
        <w:tc>
          <w:tcPr>
            <w:tcW w:w="622" w:type="pct"/>
            <w:noWrap/>
            <w:vAlign w:val="center"/>
          </w:tcPr>
          <w:p w14:paraId="5BEE359C" w14:textId="40A5959E" w:rsidR="00E85EE7" w:rsidRPr="006F29B4" w:rsidRDefault="004243D6">
            <w:pPr>
              <w:jc w:val="right"/>
              <w:rPr>
                <w:rFonts w:ascii="CAIXA Std Book" w:eastAsia="Times New Roman" w:hAnsi="CAIXA Std Book" w:cs="Arial"/>
                <w:color w:val="005CA9"/>
                <w:sz w:val="18"/>
                <w:szCs w:val="18"/>
              </w:rPr>
            </w:pPr>
            <w:r>
              <w:rPr>
                <w:rFonts w:ascii="CAIXA Std Book" w:hAnsi="CAIXA Std Book" w:cs="Arial"/>
                <w:color w:val="005CA9"/>
                <w:sz w:val="18"/>
                <w:szCs w:val="18"/>
              </w:rPr>
              <w:t>(98.724)</w:t>
            </w:r>
          </w:p>
        </w:tc>
      </w:tr>
      <w:tr w:rsidR="006732B1" w:rsidRPr="006F29B4" w14:paraId="5682CEB8" w14:textId="77777777" w:rsidTr="00D91FED">
        <w:trPr>
          <w:trHeight w:val="283"/>
        </w:trPr>
        <w:tc>
          <w:tcPr>
            <w:tcW w:w="1886" w:type="pct"/>
            <w:noWrap/>
            <w:vAlign w:val="center"/>
          </w:tcPr>
          <w:p w14:paraId="1D7D3EA8" w14:textId="204B3843" w:rsidR="006732B1" w:rsidRPr="00F22601" w:rsidRDefault="006732B1" w:rsidP="009F19ED">
            <w:pPr>
              <w:ind w:firstLineChars="100" w:firstLine="180"/>
              <w:rPr>
                <w:rFonts w:ascii="CAIXA Std Book" w:eastAsia="Times New Roman" w:hAnsi="CAIXA Std Book" w:cs="Arial"/>
                <w:b/>
                <w:color w:val="FFFFFF" w:themeColor="background1"/>
                <w:sz w:val="18"/>
                <w:szCs w:val="18"/>
              </w:rPr>
            </w:pPr>
            <w:r w:rsidRPr="006F29B4">
              <w:rPr>
                <w:rFonts w:ascii="CAIXA Std Book" w:eastAsia="Times New Roman" w:hAnsi="CAIXA Std Book" w:cs="Arial"/>
                <w:color w:val="005CA9"/>
                <w:sz w:val="18"/>
                <w:szCs w:val="18"/>
              </w:rPr>
              <w:t xml:space="preserve">Carteira de </w:t>
            </w:r>
            <w:r>
              <w:rPr>
                <w:rFonts w:ascii="CAIXA Std Book" w:eastAsia="Times New Roman" w:hAnsi="CAIXA Std Book" w:cs="Arial"/>
                <w:color w:val="005CA9"/>
                <w:sz w:val="18"/>
                <w:szCs w:val="18"/>
              </w:rPr>
              <w:t>c</w:t>
            </w:r>
            <w:r w:rsidRPr="006F29B4">
              <w:rPr>
                <w:rFonts w:ascii="CAIXA Std Book" w:eastAsia="Times New Roman" w:hAnsi="CAIXA Std Book" w:cs="Arial"/>
                <w:color w:val="005CA9"/>
                <w:sz w:val="18"/>
                <w:szCs w:val="18"/>
              </w:rPr>
              <w:t>rédito</w:t>
            </w:r>
          </w:p>
        </w:tc>
        <w:tc>
          <w:tcPr>
            <w:tcW w:w="623" w:type="pct"/>
            <w:noWrap/>
            <w:vAlign w:val="center"/>
          </w:tcPr>
          <w:p w14:paraId="68D96A40" w14:textId="2B699775" w:rsidR="006732B1" w:rsidRPr="00F22601" w:rsidRDefault="006732B1" w:rsidP="006732B1">
            <w:pPr>
              <w:jc w:val="right"/>
              <w:rPr>
                <w:rFonts w:ascii="CAIXA Std Book" w:hAnsi="CAIXA Std Book" w:cs="Calibri"/>
                <w:b/>
                <w:bCs/>
                <w:color w:val="FFFFFF" w:themeColor="background1"/>
                <w:sz w:val="18"/>
                <w:szCs w:val="18"/>
              </w:rPr>
            </w:pPr>
            <w:r>
              <w:rPr>
                <w:rFonts w:ascii="CAIXA Std Book" w:hAnsi="CAIXA Std Book" w:cs="Calibri"/>
                <w:color w:val="005CA9"/>
                <w:sz w:val="18"/>
                <w:szCs w:val="18"/>
              </w:rPr>
              <w:t>(7.465.777)</w:t>
            </w:r>
          </w:p>
        </w:tc>
        <w:tc>
          <w:tcPr>
            <w:tcW w:w="623" w:type="pct"/>
            <w:noWrap/>
            <w:vAlign w:val="center"/>
          </w:tcPr>
          <w:p w14:paraId="77CE146E" w14:textId="0CE41ACE" w:rsidR="006732B1" w:rsidRPr="00F22601" w:rsidRDefault="006732B1" w:rsidP="006732B1">
            <w:pPr>
              <w:jc w:val="right"/>
              <w:rPr>
                <w:rFonts w:ascii="CAIXA Std Book" w:hAnsi="CAIXA Std Book" w:cs="Calibri"/>
                <w:color w:val="FFFFFF" w:themeColor="background1"/>
                <w:sz w:val="18"/>
                <w:szCs w:val="18"/>
              </w:rPr>
            </w:pPr>
            <w:r>
              <w:rPr>
                <w:rFonts w:ascii="CAIXA Std Book" w:hAnsi="CAIXA Std Book" w:cs="Calibri"/>
                <w:color w:val="005CA9"/>
                <w:sz w:val="18"/>
                <w:szCs w:val="18"/>
              </w:rPr>
              <w:t>(1.706.783)</w:t>
            </w:r>
          </w:p>
        </w:tc>
        <w:tc>
          <w:tcPr>
            <w:tcW w:w="623" w:type="pct"/>
            <w:noWrap/>
            <w:vAlign w:val="center"/>
          </w:tcPr>
          <w:p w14:paraId="37F2B17A" w14:textId="25E50643" w:rsidR="006732B1" w:rsidRPr="00F22601" w:rsidRDefault="006732B1" w:rsidP="006732B1">
            <w:pPr>
              <w:jc w:val="right"/>
              <w:rPr>
                <w:rFonts w:ascii="CAIXA Std Book" w:hAnsi="CAIXA Std Book" w:cs="Calibri"/>
                <w:color w:val="FFFFFF" w:themeColor="background1"/>
                <w:sz w:val="18"/>
                <w:szCs w:val="18"/>
              </w:rPr>
            </w:pPr>
            <w:r>
              <w:rPr>
                <w:rFonts w:ascii="CAIXA Std Book" w:hAnsi="CAIXA Std Book" w:cs="Calibri"/>
                <w:color w:val="005CA9"/>
                <w:sz w:val="18"/>
                <w:szCs w:val="18"/>
              </w:rPr>
              <w:t>3.601.111</w:t>
            </w:r>
          </w:p>
        </w:tc>
        <w:tc>
          <w:tcPr>
            <w:tcW w:w="623" w:type="pct"/>
            <w:noWrap/>
            <w:vAlign w:val="center"/>
          </w:tcPr>
          <w:p w14:paraId="748F7659" w14:textId="5E2DFF5F" w:rsidR="006732B1" w:rsidRPr="00F22601" w:rsidRDefault="006732B1" w:rsidP="006732B1">
            <w:pPr>
              <w:jc w:val="right"/>
              <w:rPr>
                <w:rFonts w:ascii="CAIXA Std Book" w:hAnsi="CAIXA Std Book" w:cs="Calibri"/>
                <w:color w:val="FFFFFF" w:themeColor="background1"/>
                <w:sz w:val="18"/>
                <w:szCs w:val="18"/>
              </w:rPr>
            </w:pPr>
            <w:r>
              <w:rPr>
                <w:rFonts w:ascii="CAIXA Std Book" w:hAnsi="CAIXA Std Book" w:cs="Calibri"/>
                <w:color w:val="005CA9"/>
                <w:sz w:val="18"/>
                <w:szCs w:val="18"/>
              </w:rPr>
              <w:t>1.284.744</w:t>
            </w:r>
          </w:p>
        </w:tc>
        <w:tc>
          <w:tcPr>
            <w:tcW w:w="622" w:type="pct"/>
            <w:noWrap/>
            <w:vAlign w:val="center"/>
          </w:tcPr>
          <w:p w14:paraId="3EBC3D27" w14:textId="25AAC0D8" w:rsidR="006732B1" w:rsidRPr="00F22601" w:rsidRDefault="006732B1" w:rsidP="006732B1">
            <w:pPr>
              <w:jc w:val="right"/>
              <w:rPr>
                <w:rFonts w:ascii="CAIXA Std Book" w:hAnsi="CAIXA Std Book" w:cs="Calibri"/>
                <w:color w:val="FFFFFF" w:themeColor="background1"/>
                <w:sz w:val="18"/>
                <w:szCs w:val="18"/>
              </w:rPr>
            </w:pPr>
            <w:r>
              <w:rPr>
                <w:rFonts w:ascii="CAIXA Std Book" w:hAnsi="CAIXA Std Book" w:cs="Calibri"/>
                <w:color w:val="005CA9"/>
                <w:sz w:val="18"/>
                <w:szCs w:val="18"/>
              </w:rPr>
              <w:t>(4.286.705)</w:t>
            </w:r>
          </w:p>
        </w:tc>
      </w:tr>
      <w:tr w:rsidR="00E85EE7" w:rsidRPr="006F29B4" w14:paraId="5EE4EA66" w14:textId="77777777" w:rsidTr="00D91FED">
        <w:trPr>
          <w:trHeight w:val="283"/>
        </w:trPr>
        <w:tc>
          <w:tcPr>
            <w:tcW w:w="1886" w:type="pct"/>
            <w:shd w:val="clear" w:color="auto" w:fill="D0E0E3"/>
            <w:noWrap/>
            <w:vAlign w:val="center"/>
            <w:hideMark/>
          </w:tcPr>
          <w:p w14:paraId="710D9FBB" w14:textId="77777777" w:rsidR="00E85EE7" w:rsidRPr="006F29B4" w:rsidRDefault="00E85EE7">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 xml:space="preserve">Passivos </w:t>
            </w:r>
            <w:r>
              <w:rPr>
                <w:rFonts w:ascii="CAIXA Std Book" w:eastAsia="Times New Roman" w:hAnsi="CAIXA Std Book" w:cs="Arial"/>
                <w:b/>
                <w:color w:val="005CA9"/>
                <w:sz w:val="18"/>
                <w:szCs w:val="18"/>
              </w:rPr>
              <w:t>f</w:t>
            </w:r>
            <w:r w:rsidRPr="006F29B4">
              <w:rPr>
                <w:rFonts w:ascii="CAIXA Std Book" w:eastAsia="Times New Roman" w:hAnsi="CAIXA Std Book" w:cs="Arial"/>
                <w:b/>
                <w:color w:val="005CA9"/>
                <w:sz w:val="18"/>
                <w:szCs w:val="18"/>
              </w:rPr>
              <w:t>inanceiros</w:t>
            </w:r>
          </w:p>
        </w:tc>
        <w:tc>
          <w:tcPr>
            <w:tcW w:w="623" w:type="pct"/>
            <w:shd w:val="clear" w:color="000000" w:fill="D0E0E3"/>
            <w:noWrap/>
            <w:vAlign w:val="center"/>
          </w:tcPr>
          <w:p w14:paraId="32B5AE8A" w14:textId="135EE39B" w:rsidR="00E85EE7" w:rsidRPr="006F29B4" w:rsidRDefault="00E85EE7">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(139.701)</w:t>
            </w:r>
          </w:p>
        </w:tc>
        <w:tc>
          <w:tcPr>
            <w:tcW w:w="623" w:type="pct"/>
            <w:shd w:val="clear" w:color="000000" w:fill="D0E0E3"/>
            <w:noWrap/>
            <w:vAlign w:val="center"/>
          </w:tcPr>
          <w:p w14:paraId="7EF5A34B" w14:textId="705CF812" w:rsidR="00E85EE7" w:rsidRPr="006F29B4" w:rsidRDefault="009853C8">
            <w:pPr>
              <w:jc w:val="right"/>
              <w:rPr>
                <w:rFonts w:ascii="CAIXA Std Book" w:eastAsia="Times New Roman" w:hAnsi="CAIXA Std Book" w:cs="Arial"/>
                <w:b/>
                <w:color w:val="005CA9"/>
                <w:sz w:val="18"/>
                <w:szCs w:val="18"/>
              </w:rPr>
            </w:pPr>
            <w:r>
              <w:rPr>
                <w:rFonts w:ascii="CAIXA Std Book" w:hAnsi="CAIXA Std Book" w:cs="Calibri"/>
                <w:b/>
                <w:color w:val="005CA9"/>
                <w:sz w:val="18"/>
                <w:szCs w:val="18"/>
              </w:rPr>
              <w:t>(656.</w:t>
            </w:r>
            <w:r>
              <w:rPr>
                <w:rFonts w:ascii="CAIXA Std Book" w:hAnsi="CAIXA Std Book" w:cs="Calibri"/>
                <w:b/>
                <w:bCs/>
                <w:color w:val="005CA9"/>
                <w:sz w:val="18"/>
                <w:szCs w:val="18"/>
              </w:rPr>
              <w:t>957</w:t>
            </w:r>
            <w:r>
              <w:rPr>
                <w:rFonts w:ascii="CAIXA Std Book" w:hAnsi="CAIXA Std Book" w:cs="Calibri"/>
                <w:b/>
                <w:color w:val="005CA9"/>
                <w:sz w:val="18"/>
                <w:szCs w:val="18"/>
              </w:rPr>
              <w:t>)</w:t>
            </w:r>
          </w:p>
        </w:tc>
        <w:tc>
          <w:tcPr>
            <w:tcW w:w="623" w:type="pct"/>
            <w:shd w:val="clear" w:color="000000" w:fill="D0E0E3"/>
            <w:noWrap/>
            <w:vAlign w:val="center"/>
          </w:tcPr>
          <w:p w14:paraId="3086792C" w14:textId="27F551A2" w:rsidR="00E85EE7" w:rsidRPr="006F29B4" w:rsidRDefault="009853C8">
            <w:pPr>
              <w:jc w:val="right"/>
              <w:rPr>
                <w:rFonts w:ascii="CAIXA Std Book" w:eastAsia="Times New Roman" w:hAnsi="CAIXA Std Book" w:cs="Arial"/>
                <w:b/>
                <w:color w:val="005CA9"/>
                <w:sz w:val="18"/>
                <w:szCs w:val="18"/>
              </w:rPr>
            </w:pPr>
            <w:r>
              <w:rPr>
                <w:rFonts w:ascii="CAIXA Std Book" w:hAnsi="CAIXA Std Book" w:cs="Calibri"/>
                <w:b/>
                <w:color w:val="005CA9"/>
                <w:sz w:val="18"/>
                <w:szCs w:val="18"/>
              </w:rPr>
              <w:t>44.637</w:t>
            </w:r>
          </w:p>
        </w:tc>
        <w:tc>
          <w:tcPr>
            <w:tcW w:w="623" w:type="pct"/>
            <w:shd w:val="clear" w:color="000000" w:fill="D0E0E3"/>
            <w:noWrap/>
            <w:vAlign w:val="center"/>
          </w:tcPr>
          <w:p w14:paraId="31E34974" w14:textId="61EDDD97" w:rsidR="00E85EE7" w:rsidRPr="006F29B4" w:rsidRDefault="009853C8">
            <w:pPr>
              <w:jc w:val="right"/>
              <w:rPr>
                <w:rFonts w:ascii="CAIXA Std Book" w:eastAsia="Times New Roman" w:hAnsi="CAIXA Std Book" w:cs="Arial"/>
                <w:b/>
                <w:color w:val="005CA9"/>
                <w:sz w:val="18"/>
                <w:szCs w:val="18"/>
              </w:rPr>
            </w:pPr>
            <w:r>
              <w:rPr>
                <w:rFonts w:ascii="CAIXA Std Book" w:hAnsi="CAIXA Std Book" w:cs="Calibri"/>
                <w:b/>
                <w:color w:val="005CA9"/>
                <w:sz w:val="18"/>
                <w:szCs w:val="18"/>
              </w:rPr>
              <w:t>507</w:t>
            </w:r>
          </w:p>
        </w:tc>
        <w:tc>
          <w:tcPr>
            <w:tcW w:w="622" w:type="pct"/>
            <w:shd w:val="clear" w:color="000000" w:fill="D0E0E3"/>
            <w:noWrap/>
            <w:vAlign w:val="center"/>
          </w:tcPr>
          <w:p w14:paraId="7785B104" w14:textId="1E5A321B" w:rsidR="00E85EE7" w:rsidRPr="006F29B4" w:rsidRDefault="009853C8">
            <w:pPr>
              <w:jc w:val="right"/>
              <w:rPr>
                <w:rFonts w:ascii="CAIXA Std Book" w:eastAsia="Times New Roman" w:hAnsi="CAIXA Std Book" w:cs="Arial"/>
                <w:b/>
                <w:color w:val="005CA9"/>
                <w:sz w:val="18"/>
                <w:szCs w:val="18"/>
              </w:rPr>
            </w:pPr>
            <w:r>
              <w:rPr>
                <w:rFonts w:ascii="CAIXA Std Book" w:hAnsi="CAIXA Std Book" w:cs="Calibri"/>
                <w:b/>
                <w:color w:val="005CA9"/>
                <w:sz w:val="18"/>
                <w:szCs w:val="18"/>
              </w:rPr>
              <w:t>(751.</w:t>
            </w:r>
            <w:r>
              <w:rPr>
                <w:rFonts w:ascii="CAIXA Std Book" w:hAnsi="CAIXA Std Book" w:cs="Calibri"/>
                <w:b/>
                <w:bCs/>
                <w:color w:val="005CA9"/>
                <w:sz w:val="18"/>
                <w:szCs w:val="18"/>
              </w:rPr>
              <w:t>514</w:t>
            </w:r>
            <w:r>
              <w:rPr>
                <w:rFonts w:ascii="CAIXA Std Book" w:hAnsi="CAIXA Std Book" w:cs="Calibri"/>
                <w:b/>
                <w:color w:val="005CA9"/>
                <w:sz w:val="18"/>
                <w:szCs w:val="18"/>
              </w:rPr>
              <w:t>)</w:t>
            </w:r>
          </w:p>
        </w:tc>
      </w:tr>
      <w:tr w:rsidR="00E85EE7" w:rsidRPr="006F29B4" w14:paraId="26097780" w14:textId="77777777" w:rsidTr="00D91FED">
        <w:trPr>
          <w:trHeight w:val="283"/>
        </w:trPr>
        <w:tc>
          <w:tcPr>
            <w:tcW w:w="1886" w:type="pct"/>
            <w:noWrap/>
            <w:vAlign w:val="center"/>
            <w:hideMark/>
          </w:tcPr>
          <w:p w14:paraId="0F014651" w14:textId="77777777" w:rsidR="00E85EE7" w:rsidRPr="006F29B4" w:rsidRDefault="00E85EE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Compromisso de </w:t>
            </w:r>
            <w:r>
              <w:rPr>
                <w:rFonts w:ascii="CAIXA Std Book" w:eastAsia="Times New Roman" w:hAnsi="CAIXA Std Book" w:cs="Arial"/>
                <w:color w:val="005CA9"/>
                <w:sz w:val="18"/>
                <w:szCs w:val="18"/>
              </w:rPr>
              <w:t>empréstimos e c</w:t>
            </w:r>
            <w:r w:rsidRPr="006F29B4">
              <w:rPr>
                <w:rFonts w:ascii="CAIXA Std Book" w:eastAsia="Times New Roman" w:hAnsi="CAIXA Std Book" w:cs="Arial"/>
                <w:color w:val="005CA9"/>
                <w:sz w:val="18"/>
                <w:szCs w:val="18"/>
              </w:rPr>
              <w:t>rédito</w:t>
            </w:r>
            <w:r>
              <w:rPr>
                <w:rFonts w:ascii="CAIXA Std Book" w:eastAsia="Times New Roman" w:hAnsi="CAIXA Std Book" w:cs="Arial"/>
                <w:color w:val="005CA9"/>
                <w:sz w:val="18"/>
                <w:szCs w:val="18"/>
              </w:rPr>
              <w:t>s</w:t>
            </w:r>
            <w:r w:rsidRPr="006F29B4">
              <w:rPr>
                <w:rFonts w:ascii="CAIXA Std Book" w:eastAsia="Times New Roman" w:hAnsi="CAIXA Std Book" w:cs="Arial"/>
                <w:color w:val="005CA9"/>
                <w:sz w:val="18"/>
                <w:szCs w:val="18"/>
              </w:rPr>
              <w:t xml:space="preserve"> a </w:t>
            </w:r>
            <w:r>
              <w:rPr>
                <w:rFonts w:ascii="CAIXA Std Book" w:eastAsia="Times New Roman" w:hAnsi="CAIXA Std Book" w:cs="Arial"/>
                <w:color w:val="005CA9"/>
                <w:sz w:val="18"/>
                <w:szCs w:val="18"/>
              </w:rPr>
              <w:t>l</w:t>
            </w:r>
            <w:r w:rsidRPr="006F29B4">
              <w:rPr>
                <w:rFonts w:ascii="CAIXA Std Book" w:eastAsia="Times New Roman" w:hAnsi="CAIXA Std Book" w:cs="Arial"/>
                <w:color w:val="005CA9"/>
                <w:sz w:val="18"/>
                <w:szCs w:val="18"/>
              </w:rPr>
              <w:t>iberar</w:t>
            </w:r>
          </w:p>
        </w:tc>
        <w:tc>
          <w:tcPr>
            <w:tcW w:w="623" w:type="pct"/>
            <w:noWrap/>
            <w:vAlign w:val="center"/>
            <w:hideMark/>
          </w:tcPr>
          <w:p w14:paraId="3EF33D2F" w14:textId="2802D305" w:rsidR="00E85EE7" w:rsidRPr="006F29B4" w:rsidRDefault="00E85EE7">
            <w:pPr>
              <w:jc w:val="right"/>
              <w:rPr>
                <w:rFonts w:ascii="CAIXA Std Book" w:eastAsia="Times New Roman" w:hAnsi="CAIXA Std Book" w:cs="Arial"/>
                <w:color w:val="005CA9"/>
                <w:sz w:val="18"/>
                <w:szCs w:val="18"/>
              </w:rPr>
            </w:pPr>
            <w:r>
              <w:rPr>
                <w:rFonts w:ascii="CAIXA Std Book" w:hAnsi="CAIXA Std Book" w:cs="Calibri"/>
                <w:color w:val="005CA9"/>
                <w:sz w:val="18"/>
                <w:szCs w:val="18"/>
              </w:rPr>
              <w:t>(139.699)</w:t>
            </w:r>
          </w:p>
        </w:tc>
        <w:tc>
          <w:tcPr>
            <w:tcW w:w="623" w:type="pct"/>
            <w:noWrap/>
            <w:vAlign w:val="center"/>
            <w:hideMark/>
          </w:tcPr>
          <w:p w14:paraId="147F10EA" w14:textId="5C5EB1A8" w:rsidR="00E85EE7" w:rsidRPr="006F29B4" w:rsidRDefault="009853C8">
            <w:pPr>
              <w:jc w:val="right"/>
              <w:rPr>
                <w:rFonts w:ascii="CAIXA Std Book" w:eastAsia="Times New Roman" w:hAnsi="CAIXA Std Book" w:cs="Arial"/>
                <w:color w:val="005CA9"/>
                <w:sz w:val="18"/>
                <w:szCs w:val="18"/>
              </w:rPr>
            </w:pPr>
            <w:r>
              <w:rPr>
                <w:rFonts w:ascii="CAIXA Std Book" w:hAnsi="CAIXA Std Book" w:cs="Calibri"/>
                <w:color w:val="005CA9"/>
                <w:sz w:val="18"/>
                <w:szCs w:val="18"/>
              </w:rPr>
              <w:t>(151.887)</w:t>
            </w:r>
          </w:p>
        </w:tc>
        <w:tc>
          <w:tcPr>
            <w:tcW w:w="623" w:type="pct"/>
            <w:noWrap/>
            <w:vAlign w:val="center"/>
            <w:hideMark/>
          </w:tcPr>
          <w:p w14:paraId="69B89681" w14:textId="1CB44EFE" w:rsidR="00E85EE7" w:rsidRPr="006F29B4" w:rsidRDefault="009853C8">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10.413</w:t>
            </w:r>
          </w:p>
        </w:tc>
        <w:tc>
          <w:tcPr>
            <w:tcW w:w="623" w:type="pct"/>
            <w:noWrap/>
            <w:vAlign w:val="center"/>
            <w:hideMark/>
          </w:tcPr>
          <w:p w14:paraId="6972C73A" w14:textId="634E3765" w:rsidR="00E85EE7" w:rsidRPr="006F29B4" w:rsidRDefault="00E85EE7">
            <w:pPr>
              <w:jc w:val="right"/>
              <w:rPr>
                <w:rFonts w:ascii="CAIXA Std Book" w:eastAsia="Times New Roman" w:hAnsi="CAIXA Std Book" w:cs="Arial"/>
                <w:color w:val="005CA9"/>
                <w:sz w:val="18"/>
                <w:szCs w:val="18"/>
              </w:rPr>
            </w:pPr>
            <w:r>
              <w:rPr>
                <w:rFonts w:ascii="CAIXA Std Book" w:hAnsi="CAIXA Std Book" w:cs="Calibri"/>
                <w:color w:val="005CA9"/>
                <w:sz w:val="18"/>
                <w:szCs w:val="18"/>
              </w:rPr>
              <w:t>(</w:t>
            </w:r>
            <w:r w:rsidR="009853C8">
              <w:rPr>
                <w:rFonts w:ascii="CAIXA Std Book" w:hAnsi="CAIXA Std Book" w:cs="Calibri"/>
                <w:color w:val="005CA9"/>
                <w:sz w:val="18"/>
                <w:szCs w:val="18"/>
              </w:rPr>
              <w:t>232</w:t>
            </w:r>
            <w:r>
              <w:rPr>
                <w:rFonts w:ascii="CAIXA Std Book" w:hAnsi="CAIXA Std Book" w:cs="Calibri"/>
                <w:color w:val="005CA9"/>
                <w:sz w:val="18"/>
                <w:szCs w:val="18"/>
              </w:rPr>
              <w:t>)</w:t>
            </w:r>
          </w:p>
        </w:tc>
        <w:tc>
          <w:tcPr>
            <w:tcW w:w="622" w:type="pct"/>
            <w:noWrap/>
            <w:vAlign w:val="center"/>
            <w:hideMark/>
          </w:tcPr>
          <w:p w14:paraId="7351D947" w14:textId="61272F7C" w:rsidR="00E85EE7" w:rsidRPr="006F29B4" w:rsidRDefault="009853C8">
            <w:pPr>
              <w:jc w:val="right"/>
              <w:rPr>
                <w:rFonts w:ascii="CAIXA Std Book" w:eastAsia="Times New Roman" w:hAnsi="CAIXA Std Book" w:cs="Arial"/>
                <w:color w:val="005CA9"/>
                <w:sz w:val="18"/>
                <w:szCs w:val="18"/>
              </w:rPr>
            </w:pPr>
            <w:r>
              <w:rPr>
                <w:rFonts w:ascii="CAIXA Std Book" w:hAnsi="CAIXA Std Book" w:cs="Calibri"/>
                <w:color w:val="005CA9"/>
                <w:sz w:val="18"/>
                <w:szCs w:val="18"/>
              </w:rPr>
              <w:t>(281.405)</w:t>
            </w:r>
          </w:p>
        </w:tc>
      </w:tr>
      <w:tr w:rsidR="00E85EE7" w:rsidRPr="006F29B4" w14:paraId="59690904" w14:textId="77777777" w:rsidTr="00D91FED">
        <w:trPr>
          <w:trHeight w:val="283"/>
        </w:trPr>
        <w:tc>
          <w:tcPr>
            <w:tcW w:w="1886" w:type="pct"/>
            <w:noWrap/>
            <w:vAlign w:val="center"/>
            <w:hideMark/>
          </w:tcPr>
          <w:p w14:paraId="543A22F8" w14:textId="77777777" w:rsidR="00E85EE7" w:rsidRPr="006F29B4" w:rsidRDefault="00E85EE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Garantias </w:t>
            </w:r>
            <w:r>
              <w:rPr>
                <w:rFonts w:ascii="CAIXA Std Book" w:eastAsia="Times New Roman" w:hAnsi="CAIXA Std Book" w:cs="Arial"/>
                <w:color w:val="005CA9"/>
                <w:sz w:val="18"/>
                <w:szCs w:val="18"/>
              </w:rPr>
              <w:t>f</w:t>
            </w:r>
            <w:r w:rsidRPr="006F29B4">
              <w:rPr>
                <w:rFonts w:ascii="CAIXA Std Book" w:eastAsia="Times New Roman" w:hAnsi="CAIXA Std Book" w:cs="Arial"/>
                <w:color w:val="005CA9"/>
                <w:sz w:val="18"/>
                <w:szCs w:val="18"/>
              </w:rPr>
              <w:t xml:space="preserve">inanceiras </w:t>
            </w:r>
            <w:r>
              <w:rPr>
                <w:rFonts w:ascii="CAIXA Std Book" w:eastAsia="Times New Roman" w:hAnsi="CAIXA Std Book" w:cs="Arial"/>
                <w:color w:val="005CA9"/>
                <w:sz w:val="18"/>
                <w:szCs w:val="18"/>
              </w:rPr>
              <w:t>p</w:t>
            </w:r>
            <w:r w:rsidRPr="006F29B4">
              <w:rPr>
                <w:rFonts w:ascii="CAIXA Std Book" w:eastAsia="Times New Roman" w:hAnsi="CAIXA Std Book" w:cs="Arial"/>
                <w:color w:val="005CA9"/>
                <w:sz w:val="18"/>
                <w:szCs w:val="18"/>
              </w:rPr>
              <w:t>restadas</w:t>
            </w:r>
          </w:p>
        </w:tc>
        <w:tc>
          <w:tcPr>
            <w:tcW w:w="623" w:type="pct"/>
            <w:noWrap/>
            <w:vAlign w:val="center"/>
            <w:hideMark/>
          </w:tcPr>
          <w:p w14:paraId="555C6A25" w14:textId="665EF365" w:rsidR="00E85EE7" w:rsidRPr="006F29B4" w:rsidRDefault="00E85EE7">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(2)</w:t>
            </w:r>
          </w:p>
        </w:tc>
        <w:tc>
          <w:tcPr>
            <w:tcW w:w="623" w:type="pct"/>
            <w:noWrap/>
            <w:vAlign w:val="center"/>
            <w:hideMark/>
          </w:tcPr>
          <w:p w14:paraId="5560F66A" w14:textId="63D27CA0" w:rsidR="00E85EE7" w:rsidRPr="006F29B4" w:rsidRDefault="009853C8">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(505.070)</w:t>
            </w:r>
          </w:p>
        </w:tc>
        <w:tc>
          <w:tcPr>
            <w:tcW w:w="623" w:type="pct"/>
            <w:noWrap/>
            <w:vAlign w:val="center"/>
            <w:hideMark/>
          </w:tcPr>
          <w:p w14:paraId="03DA2CB5" w14:textId="3D656258" w:rsidR="00E85EE7" w:rsidRPr="003627E6" w:rsidRDefault="009853C8">
            <w:pPr>
              <w:jc w:val="right"/>
              <w:rPr>
                <w:rFonts w:ascii="CAIXA Std Book" w:eastAsia="Times New Roman" w:hAnsi="CAIXA Std Book" w:cs="Arial"/>
                <w:color w:val="005CA9"/>
                <w:sz w:val="18"/>
                <w:szCs w:val="18"/>
                <w:highlight w:val="yellow"/>
              </w:rPr>
            </w:pPr>
            <w:r>
              <w:rPr>
                <w:rFonts w:ascii="CAIXA Std Book" w:hAnsi="CAIXA Std Book" w:cs="Calibri"/>
                <w:color w:val="005CA9"/>
                <w:sz w:val="18"/>
                <w:szCs w:val="18"/>
              </w:rPr>
              <w:t>34.224</w:t>
            </w:r>
          </w:p>
        </w:tc>
        <w:tc>
          <w:tcPr>
            <w:tcW w:w="623" w:type="pct"/>
            <w:noWrap/>
            <w:vAlign w:val="center"/>
            <w:hideMark/>
          </w:tcPr>
          <w:p w14:paraId="63F1DA51" w14:textId="7D69882D" w:rsidR="00E85EE7" w:rsidRPr="00BA2A08" w:rsidRDefault="009853C8">
            <w:pPr>
              <w:ind w:firstLineChars="100" w:firstLine="180"/>
              <w:jc w:val="right"/>
              <w:rPr>
                <w:rFonts w:ascii="CAIXA Std Book" w:eastAsia="Times New Roman" w:hAnsi="CAIXA Std Book" w:cs="Arial"/>
                <w:color w:val="005CA9"/>
                <w:sz w:val="18"/>
                <w:szCs w:val="18"/>
                <w:highlight w:val="yellow"/>
              </w:rPr>
            </w:pPr>
            <w:r>
              <w:rPr>
                <w:rFonts w:ascii="CAIXA Std Book" w:hAnsi="CAIXA Std Book" w:cs="Calibri"/>
                <w:color w:val="005CA9"/>
                <w:sz w:val="18"/>
                <w:szCs w:val="18"/>
              </w:rPr>
              <w:t>739</w:t>
            </w:r>
          </w:p>
        </w:tc>
        <w:tc>
          <w:tcPr>
            <w:tcW w:w="622" w:type="pct"/>
            <w:noWrap/>
            <w:vAlign w:val="center"/>
            <w:hideMark/>
          </w:tcPr>
          <w:p w14:paraId="505148F7" w14:textId="3A4CAF62" w:rsidR="00E85EE7" w:rsidRPr="006F29B4" w:rsidRDefault="009853C8">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(470.109)</w:t>
            </w:r>
          </w:p>
        </w:tc>
      </w:tr>
      <w:tr w:rsidR="00E85EE7" w:rsidRPr="006F29B4" w14:paraId="4016C2D8" w14:textId="77777777" w:rsidTr="00D91FED">
        <w:trPr>
          <w:trHeight w:val="283"/>
        </w:trPr>
        <w:tc>
          <w:tcPr>
            <w:tcW w:w="1886" w:type="pct"/>
            <w:shd w:val="clear" w:color="auto" w:fill="005CA9"/>
            <w:noWrap/>
            <w:vAlign w:val="center"/>
            <w:hideMark/>
          </w:tcPr>
          <w:p w14:paraId="2D8BBDC3" w14:textId="77777777" w:rsidR="00E85EE7" w:rsidRPr="006F29B4" w:rsidRDefault="00E85EE7">
            <w:pP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Total</w:t>
            </w:r>
          </w:p>
        </w:tc>
        <w:tc>
          <w:tcPr>
            <w:tcW w:w="623" w:type="pct"/>
            <w:shd w:val="clear" w:color="000000" w:fill="005CA9"/>
            <w:noWrap/>
            <w:vAlign w:val="center"/>
            <w:hideMark/>
          </w:tcPr>
          <w:p w14:paraId="64FBBD7A" w14:textId="7C5629D1" w:rsidR="00E85EE7" w:rsidRPr="006F29B4" w:rsidRDefault="00E85EE7">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(7.605.478)</w:t>
            </w:r>
          </w:p>
        </w:tc>
        <w:tc>
          <w:tcPr>
            <w:tcW w:w="623" w:type="pct"/>
            <w:shd w:val="clear" w:color="000000" w:fill="005CA9"/>
            <w:vAlign w:val="center"/>
            <w:hideMark/>
          </w:tcPr>
          <w:p w14:paraId="28A0D0C8" w14:textId="622B942F" w:rsidR="00E85EE7" w:rsidRPr="006F29B4" w:rsidRDefault="00E85EE7">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(2.</w:t>
            </w:r>
            <w:r w:rsidR="009853C8">
              <w:rPr>
                <w:rFonts w:ascii="CAIXA Std Book" w:hAnsi="CAIXA Std Book" w:cs="Calibri"/>
                <w:b/>
                <w:bCs/>
                <w:color w:val="FFFFFF"/>
                <w:sz w:val="18"/>
                <w:szCs w:val="18"/>
              </w:rPr>
              <w:t>459.586</w:t>
            </w:r>
            <w:r>
              <w:rPr>
                <w:rFonts w:ascii="CAIXA Std Book" w:hAnsi="CAIXA Std Book" w:cs="Calibri"/>
                <w:b/>
                <w:bCs/>
                <w:color w:val="FFFFFF"/>
                <w:sz w:val="18"/>
                <w:szCs w:val="18"/>
              </w:rPr>
              <w:t>)</w:t>
            </w:r>
          </w:p>
        </w:tc>
        <w:tc>
          <w:tcPr>
            <w:tcW w:w="623" w:type="pct"/>
            <w:shd w:val="clear" w:color="000000" w:fill="005CA9"/>
            <w:vAlign w:val="center"/>
            <w:hideMark/>
          </w:tcPr>
          <w:p w14:paraId="3C764BDE" w14:textId="136377AC" w:rsidR="00E85EE7" w:rsidRPr="006F29B4" w:rsidRDefault="009853C8">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3.642.870</w:t>
            </w:r>
          </w:p>
        </w:tc>
        <w:tc>
          <w:tcPr>
            <w:tcW w:w="623" w:type="pct"/>
            <w:shd w:val="clear" w:color="000000" w:fill="005CA9"/>
            <w:vAlign w:val="center"/>
            <w:hideMark/>
          </w:tcPr>
          <w:p w14:paraId="21495ADE" w14:textId="203765FB" w:rsidR="00E85EE7" w:rsidRPr="006F29B4" w:rsidRDefault="009853C8">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1.285.251</w:t>
            </w:r>
          </w:p>
        </w:tc>
        <w:tc>
          <w:tcPr>
            <w:tcW w:w="622" w:type="pct"/>
            <w:shd w:val="clear" w:color="000000" w:fill="005CA9"/>
            <w:vAlign w:val="center"/>
            <w:hideMark/>
          </w:tcPr>
          <w:p w14:paraId="162FBA9C" w14:textId="012898E3" w:rsidR="00E85EE7" w:rsidRPr="006F29B4" w:rsidRDefault="009853C8">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(5.136.943)</w:t>
            </w:r>
          </w:p>
        </w:tc>
      </w:tr>
    </w:tbl>
    <w:p w14:paraId="443DBFF2" w14:textId="77777777" w:rsidR="00E85EE7" w:rsidRPr="00D05CC2" w:rsidRDefault="00E85EE7" w:rsidP="00E85EE7">
      <w:pPr>
        <w:rPr>
          <w:rFonts w:ascii="CAIXA Std Book" w:hAnsi="CAIXA Std Book"/>
          <w:b/>
          <w:color w:val="005CA9"/>
          <w:sz w:val="20"/>
          <w:szCs w:val="20"/>
        </w:rPr>
      </w:pPr>
    </w:p>
    <w:tbl>
      <w:tblPr>
        <w:tblW w:w="5000" w:type="pct"/>
        <w:tblCellMar>
          <w:left w:w="70" w:type="dxa"/>
          <w:right w:w="70" w:type="dxa"/>
        </w:tblCellMar>
        <w:tblLook w:val="04A0" w:firstRow="1" w:lastRow="0" w:firstColumn="1" w:lastColumn="0" w:noHBand="0" w:noVBand="1"/>
      </w:tblPr>
      <w:tblGrid>
        <w:gridCol w:w="5496"/>
        <w:gridCol w:w="1816"/>
        <w:gridCol w:w="1815"/>
        <w:gridCol w:w="1815"/>
        <w:gridCol w:w="1815"/>
        <w:gridCol w:w="1812"/>
      </w:tblGrid>
      <w:tr w:rsidR="00E85EE7" w:rsidRPr="006F29B4" w14:paraId="70EA2800" w14:textId="77777777" w:rsidTr="00D91FED">
        <w:trPr>
          <w:trHeight w:val="283"/>
        </w:trPr>
        <w:tc>
          <w:tcPr>
            <w:tcW w:w="5000" w:type="pct"/>
            <w:gridSpan w:val="6"/>
            <w:tcBorders>
              <w:bottom w:val="single" w:sz="4" w:space="0" w:color="FFFFFF" w:themeColor="background1"/>
            </w:tcBorders>
            <w:shd w:val="clear" w:color="auto" w:fill="005CA9"/>
            <w:noWrap/>
            <w:vAlign w:val="center"/>
            <w:hideMark/>
          </w:tcPr>
          <w:p w14:paraId="0FF97AD6" w14:textId="2149A573" w:rsidR="00E85EE7" w:rsidRPr="00DC72B3" w:rsidRDefault="00E85EE7">
            <w:pPr>
              <w:jc w:val="center"/>
              <w:rPr>
                <w:rFonts w:ascii="CAIXA Std Book" w:eastAsia="Times New Roman" w:hAnsi="CAIXA Std Book" w:cs="Arial"/>
                <w:b/>
                <w:bCs/>
                <w:color w:val="FFFFFF"/>
                <w:sz w:val="18"/>
                <w:szCs w:val="18"/>
              </w:rPr>
            </w:pPr>
            <w:r w:rsidRPr="00DC72B3">
              <w:rPr>
                <w:rFonts w:ascii="CAIXA Std Book" w:eastAsia="Times New Roman" w:hAnsi="CAIXA Std Book" w:cs="Arial"/>
                <w:b/>
                <w:color w:val="FFFFFF"/>
                <w:sz w:val="18"/>
                <w:szCs w:val="18"/>
              </w:rPr>
              <w:t>I</w:t>
            </w:r>
            <w:r>
              <w:rPr>
                <w:rFonts w:ascii="CAIXA Std Book" w:eastAsia="Times New Roman" w:hAnsi="CAIXA Std Book" w:cs="Arial"/>
                <w:b/>
                <w:color w:val="FFFFFF"/>
                <w:sz w:val="18"/>
                <w:szCs w:val="18"/>
              </w:rPr>
              <w:t>ndividual</w:t>
            </w:r>
            <w:r>
              <w:rPr>
                <w:rFonts w:ascii="CAIXA Std Book" w:eastAsia="Times New Roman" w:hAnsi="CAIXA Std Book" w:cs="Calibri"/>
                <w:b/>
                <w:color w:val="FFFFFF"/>
                <w:sz w:val="18"/>
                <w:szCs w:val="18"/>
              </w:rPr>
              <w:t xml:space="preserve"> </w:t>
            </w:r>
          </w:p>
        </w:tc>
      </w:tr>
      <w:tr w:rsidR="00E85EE7" w:rsidRPr="006F29B4" w14:paraId="16C531AB" w14:textId="77777777" w:rsidTr="00D91FED">
        <w:trPr>
          <w:trHeight w:val="283"/>
        </w:trPr>
        <w:tc>
          <w:tcPr>
            <w:tcW w:w="1886" w:type="pct"/>
            <w:tcBorders>
              <w:top w:val="single" w:sz="4" w:space="0" w:color="FFFFFF" w:themeColor="background1"/>
            </w:tcBorders>
            <w:shd w:val="clear" w:color="auto" w:fill="005CA9"/>
            <w:vAlign w:val="center"/>
            <w:hideMark/>
          </w:tcPr>
          <w:p w14:paraId="620D740B" w14:textId="77777777" w:rsidR="00E85EE7" w:rsidRPr="006F29B4" w:rsidRDefault="00E85EE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Estágio 3</w:t>
            </w:r>
          </w:p>
        </w:tc>
        <w:tc>
          <w:tcPr>
            <w:tcW w:w="623" w:type="pct"/>
            <w:tcBorders>
              <w:top w:val="single" w:sz="4" w:space="0" w:color="FFFFFF" w:themeColor="background1"/>
            </w:tcBorders>
            <w:shd w:val="clear" w:color="auto" w:fill="005CA9"/>
            <w:vAlign w:val="center"/>
            <w:hideMark/>
          </w:tcPr>
          <w:p w14:paraId="3929C780" w14:textId="77777777" w:rsidR="00E85EE7" w:rsidRPr="006F29B4" w:rsidRDefault="00E85EE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Saldo em 01/01/2025</w:t>
            </w:r>
          </w:p>
        </w:tc>
        <w:tc>
          <w:tcPr>
            <w:tcW w:w="623" w:type="pct"/>
            <w:tcBorders>
              <w:top w:val="single" w:sz="4" w:space="0" w:color="FFFFFF" w:themeColor="background1"/>
            </w:tcBorders>
            <w:shd w:val="clear" w:color="auto" w:fill="005CA9"/>
            <w:vAlign w:val="center"/>
            <w:hideMark/>
          </w:tcPr>
          <w:p w14:paraId="12D75CDC" w14:textId="77777777" w:rsidR="00E85EE7" w:rsidRPr="006F29B4" w:rsidRDefault="00E85EE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Constituição/ reversão</w:t>
            </w:r>
          </w:p>
        </w:tc>
        <w:tc>
          <w:tcPr>
            <w:tcW w:w="623" w:type="pct"/>
            <w:tcBorders>
              <w:top w:val="single" w:sz="4" w:space="0" w:color="FFFFFF" w:themeColor="background1"/>
            </w:tcBorders>
            <w:shd w:val="clear" w:color="auto" w:fill="005CA9"/>
            <w:vAlign w:val="center"/>
            <w:hideMark/>
          </w:tcPr>
          <w:p w14:paraId="6B1211DA" w14:textId="77777777" w:rsidR="00E85EE7" w:rsidRPr="006F29B4" w:rsidRDefault="00E85EE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Transferência do/ para estágio </w:t>
            </w:r>
            <w:r>
              <w:rPr>
                <w:rFonts w:ascii="CAIXA Std Book" w:eastAsia="Times New Roman" w:hAnsi="CAIXA Std Book" w:cs="Arial"/>
                <w:b/>
                <w:color w:val="FFFFFF"/>
                <w:sz w:val="18"/>
                <w:szCs w:val="18"/>
              </w:rPr>
              <w:t>1</w:t>
            </w:r>
          </w:p>
        </w:tc>
        <w:tc>
          <w:tcPr>
            <w:tcW w:w="623" w:type="pct"/>
            <w:tcBorders>
              <w:top w:val="single" w:sz="4" w:space="0" w:color="FFFFFF" w:themeColor="background1"/>
            </w:tcBorders>
            <w:shd w:val="clear" w:color="auto" w:fill="005CA9"/>
            <w:vAlign w:val="center"/>
            <w:hideMark/>
          </w:tcPr>
          <w:p w14:paraId="2F43BF4C" w14:textId="77777777" w:rsidR="00E85EE7" w:rsidRDefault="00E85EE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Transferência do/</w:t>
            </w:r>
          </w:p>
          <w:p w14:paraId="550E9E0D" w14:textId="77777777" w:rsidR="00E85EE7" w:rsidRPr="006F29B4" w:rsidRDefault="00E85EE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para estágio </w:t>
            </w:r>
            <w:r>
              <w:rPr>
                <w:rFonts w:ascii="CAIXA Std Book" w:eastAsia="Times New Roman" w:hAnsi="CAIXA Std Book" w:cs="Arial"/>
                <w:b/>
                <w:color w:val="FFFFFF"/>
                <w:sz w:val="18"/>
                <w:szCs w:val="18"/>
              </w:rPr>
              <w:t>2</w:t>
            </w:r>
            <w:r w:rsidRPr="006F29B4">
              <w:rPr>
                <w:rFonts w:ascii="CAIXA Std Book" w:eastAsia="Times New Roman" w:hAnsi="CAIXA Std Book" w:cs="Arial"/>
                <w:b/>
                <w:color w:val="FFFFFF"/>
                <w:sz w:val="18"/>
                <w:szCs w:val="18"/>
              </w:rPr>
              <w:t xml:space="preserve"> </w:t>
            </w:r>
          </w:p>
        </w:tc>
        <w:tc>
          <w:tcPr>
            <w:tcW w:w="622" w:type="pct"/>
            <w:tcBorders>
              <w:top w:val="single" w:sz="4" w:space="0" w:color="FFFFFF" w:themeColor="background1"/>
            </w:tcBorders>
            <w:shd w:val="clear" w:color="auto" w:fill="005CA9"/>
            <w:vAlign w:val="center"/>
            <w:hideMark/>
          </w:tcPr>
          <w:p w14:paraId="2CD23197" w14:textId="057F7038" w:rsidR="00E85EE7" w:rsidRPr="006F29B4" w:rsidRDefault="00E85EE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Saldo em 31/</w:t>
            </w:r>
            <w:r w:rsidR="0067638B">
              <w:rPr>
                <w:rFonts w:ascii="CAIXA Std Book" w:eastAsia="Times New Roman" w:hAnsi="CAIXA Std Book" w:cs="Arial"/>
                <w:b/>
                <w:color w:val="FFFFFF"/>
                <w:sz w:val="18"/>
                <w:szCs w:val="18"/>
              </w:rPr>
              <w:t>12</w:t>
            </w:r>
            <w:r w:rsidRPr="006F29B4">
              <w:rPr>
                <w:rFonts w:ascii="CAIXA Std Book" w:eastAsia="Times New Roman" w:hAnsi="CAIXA Std Book" w:cs="Arial"/>
                <w:b/>
                <w:color w:val="FFFFFF"/>
                <w:sz w:val="18"/>
                <w:szCs w:val="18"/>
              </w:rPr>
              <w:t>/2025</w:t>
            </w:r>
          </w:p>
        </w:tc>
      </w:tr>
      <w:tr w:rsidR="00E85EE7" w:rsidRPr="006F29B4" w14:paraId="403E659E" w14:textId="77777777" w:rsidTr="00D91FED">
        <w:trPr>
          <w:trHeight w:val="283"/>
        </w:trPr>
        <w:tc>
          <w:tcPr>
            <w:tcW w:w="1886" w:type="pct"/>
            <w:shd w:val="clear" w:color="auto" w:fill="D0E0E3"/>
            <w:noWrap/>
            <w:vAlign w:val="center"/>
            <w:hideMark/>
          </w:tcPr>
          <w:p w14:paraId="260F2F5C" w14:textId="77777777" w:rsidR="00E85EE7" w:rsidRPr="006F29B4" w:rsidRDefault="00E85EE7">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 xml:space="preserve">Ativos </w:t>
            </w:r>
            <w:r>
              <w:rPr>
                <w:rFonts w:ascii="CAIXA Std Book" w:eastAsia="Times New Roman" w:hAnsi="CAIXA Std Book" w:cs="Arial"/>
                <w:b/>
                <w:color w:val="005CA9"/>
                <w:sz w:val="18"/>
                <w:szCs w:val="18"/>
              </w:rPr>
              <w:t>f</w:t>
            </w:r>
            <w:r w:rsidRPr="006F29B4">
              <w:rPr>
                <w:rFonts w:ascii="CAIXA Std Book" w:eastAsia="Times New Roman" w:hAnsi="CAIXA Std Book" w:cs="Arial"/>
                <w:b/>
                <w:color w:val="005CA9"/>
                <w:sz w:val="18"/>
                <w:szCs w:val="18"/>
              </w:rPr>
              <w:t>inanceiros</w:t>
            </w:r>
          </w:p>
        </w:tc>
        <w:tc>
          <w:tcPr>
            <w:tcW w:w="623" w:type="pct"/>
            <w:shd w:val="clear" w:color="000000" w:fill="D0E0E3"/>
            <w:noWrap/>
            <w:vAlign w:val="center"/>
          </w:tcPr>
          <w:p w14:paraId="2F98A5C7" w14:textId="77777777" w:rsidR="00E85EE7" w:rsidRPr="006F29B4" w:rsidRDefault="00E85EE7">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(36.045.891)</w:t>
            </w:r>
          </w:p>
        </w:tc>
        <w:tc>
          <w:tcPr>
            <w:tcW w:w="623" w:type="pct"/>
            <w:shd w:val="clear" w:color="000000" w:fill="D0E0E3"/>
            <w:noWrap/>
            <w:vAlign w:val="center"/>
          </w:tcPr>
          <w:p w14:paraId="0E1C9677" w14:textId="3C6698E1" w:rsidR="00E85EE7" w:rsidRPr="006F29B4" w:rsidRDefault="00B57EBA">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(16.348.005)</w:t>
            </w:r>
          </w:p>
        </w:tc>
        <w:tc>
          <w:tcPr>
            <w:tcW w:w="623" w:type="pct"/>
            <w:shd w:val="clear" w:color="000000" w:fill="D0E0E3"/>
            <w:noWrap/>
            <w:vAlign w:val="center"/>
          </w:tcPr>
          <w:p w14:paraId="79C51E88" w14:textId="4703CCE0" w:rsidR="00E85EE7" w:rsidRPr="006F29B4" w:rsidRDefault="00B57EBA">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3.455.271</w:t>
            </w:r>
          </w:p>
        </w:tc>
        <w:tc>
          <w:tcPr>
            <w:tcW w:w="623" w:type="pct"/>
            <w:shd w:val="clear" w:color="000000" w:fill="D0E0E3"/>
            <w:noWrap/>
            <w:vAlign w:val="center"/>
          </w:tcPr>
          <w:p w14:paraId="1A31364E" w14:textId="77D77EBE" w:rsidR="00E85EE7" w:rsidRPr="006F29B4" w:rsidRDefault="00B57EBA">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(1.284.744)</w:t>
            </w:r>
          </w:p>
        </w:tc>
        <w:tc>
          <w:tcPr>
            <w:tcW w:w="622" w:type="pct"/>
            <w:shd w:val="clear" w:color="000000" w:fill="D0E0E3"/>
            <w:noWrap/>
            <w:vAlign w:val="center"/>
          </w:tcPr>
          <w:p w14:paraId="6CFCFB37" w14:textId="21264945" w:rsidR="00E85EE7" w:rsidRPr="006F29B4" w:rsidRDefault="00B57EBA">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(50.223.369)</w:t>
            </w:r>
          </w:p>
        </w:tc>
      </w:tr>
      <w:tr w:rsidR="00E85EE7" w:rsidRPr="006F29B4" w14:paraId="5A3AEA56" w14:textId="77777777" w:rsidTr="00D91FED">
        <w:trPr>
          <w:trHeight w:val="283"/>
        </w:trPr>
        <w:tc>
          <w:tcPr>
            <w:tcW w:w="1886" w:type="pct"/>
            <w:noWrap/>
            <w:vAlign w:val="center"/>
            <w:hideMark/>
          </w:tcPr>
          <w:p w14:paraId="34CD22F5" w14:textId="77777777" w:rsidR="00E85EE7" w:rsidRPr="006F29B4" w:rsidRDefault="00E85EE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Títulos e </w:t>
            </w:r>
            <w:r>
              <w:rPr>
                <w:rFonts w:ascii="CAIXA Std Book" w:eastAsia="Times New Roman" w:hAnsi="CAIXA Std Book" w:cs="Arial"/>
                <w:color w:val="005CA9"/>
                <w:sz w:val="18"/>
                <w:szCs w:val="18"/>
              </w:rPr>
              <w:t>v</w:t>
            </w:r>
            <w:r w:rsidRPr="006F29B4">
              <w:rPr>
                <w:rFonts w:ascii="CAIXA Std Book" w:eastAsia="Times New Roman" w:hAnsi="CAIXA Std Book" w:cs="Arial"/>
                <w:color w:val="005CA9"/>
                <w:sz w:val="18"/>
                <w:szCs w:val="18"/>
              </w:rPr>
              <w:t xml:space="preserve">alores </w:t>
            </w:r>
            <w:r>
              <w:rPr>
                <w:rFonts w:ascii="CAIXA Std Book" w:eastAsia="Times New Roman" w:hAnsi="CAIXA Std Book" w:cs="Arial"/>
                <w:color w:val="005CA9"/>
                <w:sz w:val="18"/>
                <w:szCs w:val="18"/>
              </w:rPr>
              <w:t>m</w:t>
            </w:r>
            <w:r w:rsidRPr="006F29B4">
              <w:rPr>
                <w:rFonts w:ascii="CAIXA Std Book" w:eastAsia="Times New Roman" w:hAnsi="CAIXA Std Book" w:cs="Arial"/>
                <w:color w:val="005CA9"/>
                <w:sz w:val="18"/>
                <w:szCs w:val="18"/>
              </w:rPr>
              <w:t>obiliários</w:t>
            </w:r>
          </w:p>
        </w:tc>
        <w:tc>
          <w:tcPr>
            <w:tcW w:w="623" w:type="pct"/>
            <w:noWrap/>
            <w:vAlign w:val="center"/>
          </w:tcPr>
          <w:p w14:paraId="3CC2F290" w14:textId="77777777" w:rsidR="00E85EE7" w:rsidRPr="006F29B4" w:rsidRDefault="00E85EE7">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(43.599)</w:t>
            </w:r>
          </w:p>
        </w:tc>
        <w:tc>
          <w:tcPr>
            <w:tcW w:w="623" w:type="pct"/>
            <w:noWrap/>
            <w:vAlign w:val="center"/>
          </w:tcPr>
          <w:p w14:paraId="1DE044D3" w14:textId="54D5947D" w:rsidR="00E85EE7" w:rsidRPr="006F29B4" w:rsidRDefault="00B57EBA">
            <w:pPr>
              <w:ind w:firstLineChars="100" w:firstLine="180"/>
              <w:jc w:val="right"/>
              <w:rPr>
                <w:rFonts w:ascii="CAIXA Std Book" w:eastAsia="Times New Roman" w:hAnsi="CAIXA Std Book" w:cs="Arial"/>
                <w:color w:val="005CA9"/>
                <w:sz w:val="18"/>
                <w:szCs w:val="18"/>
              </w:rPr>
            </w:pPr>
            <w:r>
              <w:rPr>
                <w:rFonts w:ascii="CAIXA Std Book" w:hAnsi="CAIXA Std Book" w:cs="Arial"/>
                <w:color w:val="005CA9"/>
                <w:sz w:val="18"/>
                <w:szCs w:val="18"/>
              </w:rPr>
              <w:t>(339.364)</w:t>
            </w:r>
          </w:p>
        </w:tc>
        <w:tc>
          <w:tcPr>
            <w:tcW w:w="623" w:type="pct"/>
            <w:noWrap/>
            <w:vAlign w:val="center"/>
          </w:tcPr>
          <w:p w14:paraId="3FBD0335" w14:textId="20AE50A2" w:rsidR="00E85EE7" w:rsidRPr="006F29B4" w:rsidRDefault="00B57EBA" w:rsidP="00B57EBA">
            <w:pPr>
              <w:ind w:firstLineChars="100" w:firstLine="180"/>
              <w:jc w:val="right"/>
              <w:rPr>
                <w:rFonts w:ascii="CAIXA Std Book" w:eastAsia="Times New Roman" w:hAnsi="CAIXA Std Book" w:cs="Arial"/>
                <w:color w:val="005CA9"/>
                <w:sz w:val="18"/>
                <w:szCs w:val="18"/>
              </w:rPr>
            </w:pPr>
            <w:r>
              <w:rPr>
                <w:rFonts w:ascii="CAIXA Std Book" w:hAnsi="CAIXA Std Book" w:cs="Arial"/>
                <w:color w:val="005CA9"/>
                <w:sz w:val="18"/>
                <w:szCs w:val="18"/>
              </w:rPr>
              <w:t>10.397</w:t>
            </w:r>
          </w:p>
        </w:tc>
        <w:tc>
          <w:tcPr>
            <w:tcW w:w="623" w:type="pct"/>
            <w:noWrap/>
            <w:vAlign w:val="center"/>
          </w:tcPr>
          <w:p w14:paraId="5130D6B4" w14:textId="5A582CCB" w:rsidR="00E85EE7" w:rsidRPr="006F29B4" w:rsidRDefault="00E85EE7" w:rsidP="009F19ED">
            <w:pPr>
              <w:jc w:val="center"/>
              <w:rPr>
                <w:rFonts w:ascii="CAIXA Std Book" w:eastAsia="Times New Roman" w:hAnsi="CAIXA Std Book" w:cs="Arial"/>
                <w:color w:val="005CA9"/>
                <w:sz w:val="18"/>
                <w:szCs w:val="18"/>
              </w:rPr>
            </w:pPr>
            <w:r>
              <w:rPr>
                <w:rFonts w:ascii="CAIXA Std Book" w:hAnsi="CAIXA Std Book" w:cs="Arial"/>
                <w:color w:val="005CA9"/>
                <w:sz w:val="18"/>
                <w:szCs w:val="18"/>
              </w:rPr>
              <w:t>-</w:t>
            </w:r>
          </w:p>
        </w:tc>
        <w:tc>
          <w:tcPr>
            <w:tcW w:w="622" w:type="pct"/>
            <w:noWrap/>
            <w:vAlign w:val="center"/>
          </w:tcPr>
          <w:p w14:paraId="59A9980C" w14:textId="03BB4EB4" w:rsidR="00E85EE7" w:rsidRPr="006F29B4" w:rsidRDefault="00B57EBA">
            <w:pPr>
              <w:jc w:val="right"/>
              <w:rPr>
                <w:rFonts w:ascii="CAIXA Std Book" w:eastAsia="Times New Roman" w:hAnsi="CAIXA Std Book" w:cs="Arial"/>
                <w:color w:val="005CA9"/>
                <w:sz w:val="18"/>
                <w:szCs w:val="18"/>
              </w:rPr>
            </w:pPr>
            <w:r>
              <w:rPr>
                <w:rFonts w:ascii="CAIXA Std Book" w:hAnsi="CAIXA Std Book" w:cs="Arial"/>
                <w:color w:val="005CA9"/>
                <w:sz w:val="18"/>
                <w:szCs w:val="18"/>
              </w:rPr>
              <w:t>(372.566)</w:t>
            </w:r>
          </w:p>
        </w:tc>
      </w:tr>
      <w:tr w:rsidR="00E85EE7" w:rsidRPr="006F29B4" w14:paraId="2FC19235" w14:textId="77777777" w:rsidTr="00D91FED">
        <w:trPr>
          <w:trHeight w:val="283"/>
        </w:trPr>
        <w:tc>
          <w:tcPr>
            <w:tcW w:w="1886" w:type="pct"/>
            <w:noWrap/>
            <w:vAlign w:val="center"/>
            <w:hideMark/>
          </w:tcPr>
          <w:p w14:paraId="213CC740" w14:textId="77777777" w:rsidR="00E85EE7" w:rsidRPr="006F29B4" w:rsidRDefault="00E85EE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Carteira de </w:t>
            </w:r>
            <w:r>
              <w:rPr>
                <w:rFonts w:ascii="CAIXA Std Book" w:eastAsia="Times New Roman" w:hAnsi="CAIXA Std Book" w:cs="Arial"/>
                <w:color w:val="005CA9"/>
                <w:sz w:val="18"/>
                <w:szCs w:val="18"/>
              </w:rPr>
              <w:t>c</w:t>
            </w:r>
            <w:r w:rsidRPr="006F29B4">
              <w:rPr>
                <w:rFonts w:ascii="CAIXA Std Book" w:eastAsia="Times New Roman" w:hAnsi="CAIXA Std Book" w:cs="Arial"/>
                <w:color w:val="005CA9"/>
                <w:sz w:val="18"/>
                <w:szCs w:val="18"/>
              </w:rPr>
              <w:t>rédito</w:t>
            </w:r>
          </w:p>
        </w:tc>
        <w:tc>
          <w:tcPr>
            <w:tcW w:w="623" w:type="pct"/>
            <w:noWrap/>
            <w:vAlign w:val="center"/>
          </w:tcPr>
          <w:p w14:paraId="33B4AC35" w14:textId="77777777" w:rsidR="00E85EE7" w:rsidRPr="006F29B4" w:rsidRDefault="00E85EE7">
            <w:pPr>
              <w:jc w:val="right"/>
              <w:rPr>
                <w:rFonts w:ascii="CAIXA Std Book" w:eastAsia="Times New Roman" w:hAnsi="CAIXA Std Book" w:cs="Arial"/>
                <w:color w:val="005CA9"/>
                <w:sz w:val="18"/>
                <w:szCs w:val="18"/>
              </w:rPr>
            </w:pPr>
            <w:r>
              <w:rPr>
                <w:rFonts w:ascii="CAIXA Std Book" w:hAnsi="CAIXA Std Book" w:cs="Calibri"/>
                <w:color w:val="005CA9"/>
                <w:sz w:val="18"/>
                <w:szCs w:val="18"/>
              </w:rPr>
              <w:t>(32.305.678)</w:t>
            </w:r>
          </w:p>
        </w:tc>
        <w:tc>
          <w:tcPr>
            <w:tcW w:w="623" w:type="pct"/>
            <w:noWrap/>
            <w:vAlign w:val="center"/>
          </w:tcPr>
          <w:p w14:paraId="353F2B72" w14:textId="43C6F288" w:rsidR="00E85EE7" w:rsidRPr="006F29B4" w:rsidRDefault="00B57EBA">
            <w:pPr>
              <w:jc w:val="right"/>
              <w:rPr>
                <w:rFonts w:ascii="CAIXA Std Book" w:eastAsia="Times New Roman" w:hAnsi="CAIXA Std Book" w:cs="Arial"/>
                <w:color w:val="005CA9"/>
                <w:sz w:val="18"/>
                <w:szCs w:val="18"/>
              </w:rPr>
            </w:pPr>
            <w:r>
              <w:rPr>
                <w:rFonts w:ascii="CAIXA Std Book" w:hAnsi="CAIXA Std Book" w:cs="Calibri"/>
                <w:color w:val="005CA9"/>
                <w:sz w:val="18"/>
                <w:szCs w:val="18"/>
              </w:rPr>
              <w:t>(16.300.280)</w:t>
            </w:r>
          </w:p>
        </w:tc>
        <w:tc>
          <w:tcPr>
            <w:tcW w:w="623" w:type="pct"/>
            <w:noWrap/>
            <w:vAlign w:val="center"/>
          </w:tcPr>
          <w:p w14:paraId="5372851C" w14:textId="42532C83" w:rsidR="00E85EE7" w:rsidRPr="006F29B4" w:rsidRDefault="00B57EBA">
            <w:pPr>
              <w:jc w:val="right"/>
              <w:rPr>
                <w:rFonts w:ascii="CAIXA Std Book" w:eastAsia="Times New Roman" w:hAnsi="CAIXA Std Book" w:cs="Arial"/>
                <w:color w:val="005CA9"/>
                <w:sz w:val="18"/>
                <w:szCs w:val="18"/>
              </w:rPr>
            </w:pPr>
            <w:r>
              <w:rPr>
                <w:rFonts w:ascii="CAIXA Std Book" w:hAnsi="CAIXA Std Book" w:cs="Calibri"/>
                <w:color w:val="005CA9"/>
                <w:sz w:val="18"/>
                <w:szCs w:val="18"/>
              </w:rPr>
              <w:t>3.444.874</w:t>
            </w:r>
          </w:p>
        </w:tc>
        <w:tc>
          <w:tcPr>
            <w:tcW w:w="623" w:type="pct"/>
            <w:noWrap/>
            <w:vAlign w:val="center"/>
          </w:tcPr>
          <w:p w14:paraId="6B697510" w14:textId="0BDF8704" w:rsidR="00E85EE7" w:rsidRPr="006F29B4" w:rsidRDefault="00B57EBA">
            <w:pPr>
              <w:jc w:val="right"/>
              <w:rPr>
                <w:rFonts w:ascii="CAIXA Std Book" w:eastAsia="Times New Roman" w:hAnsi="CAIXA Std Book" w:cs="Arial"/>
                <w:color w:val="005CA9"/>
                <w:sz w:val="18"/>
                <w:szCs w:val="18"/>
              </w:rPr>
            </w:pPr>
            <w:r>
              <w:rPr>
                <w:rFonts w:ascii="CAIXA Std Book" w:hAnsi="CAIXA Std Book" w:cs="Calibri"/>
                <w:color w:val="005CA9"/>
                <w:sz w:val="18"/>
                <w:szCs w:val="18"/>
              </w:rPr>
              <w:t>(1.284.744)</w:t>
            </w:r>
          </w:p>
        </w:tc>
        <w:tc>
          <w:tcPr>
            <w:tcW w:w="622" w:type="pct"/>
            <w:noWrap/>
            <w:vAlign w:val="center"/>
          </w:tcPr>
          <w:p w14:paraId="47BCC43F" w14:textId="194B6DBC" w:rsidR="00E85EE7" w:rsidRPr="006F29B4" w:rsidRDefault="00B57EBA">
            <w:pPr>
              <w:jc w:val="right"/>
              <w:rPr>
                <w:rFonts w:ascii="CAIXA Std Book" w:eastAsia="Times New Roman" w:hAnsi="CAIXA Std Book" w:cs="Arial"/>
                <w:color w:val="005CA9"/>
                <w:sz w:val="18"/>
                <w:szCs w:val="18"/>
              </w:rPr>
            </w:pPr>
            <w:r>
              <w:rPr>
                <w:rFonts w:ascii="CAIXA Std Book" w:hAnsi="CAIXA Std Book" w:cs="Calibri"/>
                <w:color w:val="005CA9"/>
                <w:sz w:val="18"/>
                <w:szCs w:val="18"/>
              </w:rPr>
              <w:t>(46.445.828)</w:t>
            </w:r>
          </w:p>
        </w:tc>
      </w:tr>
      <w:tr w:rsidR="00E85EE7" w:rsidRPr="006F29B4" w14:paraId="4C1D0290" w14:textId="77777777" w:rsidTr="00D91FED">
        <w:trPr>
          <w:trHeight w:val="283"/>
        </w:trPr>
        <w:tc>
          <w:tcPr>
            <w:tcW w:w="1886" w:type="pct"/>
            <w:noWrap/>
            <w:vAlign w:val="center"/>
          </w:tcPr>
          <w:p w14:paraId="3012D59E" w14:textId="77777777" w:rsidR="00E85EE7" w:rsidRPr="006F29B4" w:rsidRDefault="00E85EE7">
            <w:pPr>
              <w:ind w:firstLineChars="100" w:firstLine="180"/>
              <w:rPr>
                <w:rFonts w:ascii="CAIXA Std Book" w:eastAsia="Times New Roman" w:hAnsi="CAIXA Std Book" w:cs="Arial"/>
                <w:color w:val="005CA9"/>
                <w:sz w:val="18"/>
                <w:szCs w:val="18"/>
              </w:rPr>
            </w:pPr>
            <w:r>
              <w:rPr>
                <w:rFonts w:ascii="CAIXA Std Book" w:eastAsia="Times New Roman" w:hAnsi="CAIXA Std Book" w:cs="Arial"/>
                <w:color w:val="005CA9"/>
                <w:sz w:val="18"/>
                <w:szCs w:val="18"/>
              </w:rPr>
              <w:t>Outros ativos financeiros</w:t>
            </w:r>
          </w:p>
        </w:tc>
        <w:tc>
          <w:tcPr>
            <w:tcW w:w="623" w:type="pct"/>
            <w:noWrap/>
            <w:vAlign w:val="center"/>
          </w:tcPr>
          <w:p w14:paraId="5D99EA7C" w14:textId="77777777" w:rsidR="00E85EE7" w:rsidRDefault="00E85EE7">
            <w:pPr>
              <w:jc w:val="right"/>
              <w:rPr>
                <w:rFonts w:ascii="CAIXA Std Book" w:hAnsi="CAIXA Std Book" w:cs="Calibri"/>
                <w:color w:val="005CA9"/>
                <w:sz w:val="18"/>
                <w:szCs w:val="18"/>
              </w:rPr>
            </w:pPr>
            <w:r>
              <w:rPr>
                <w:rFonts w:ascii="CAIXA Std Book" w:hAnsi="CAIXA Std Book" w:cs="Calibri"/>
                <w:color w:val="005CA9"/>
                <w:sz w:val="18"/>
                <w:szCs w:val="18"/>
              </w:rPr>
              <w:t>(3.696.614)</w:t>
            </w:r>
          </w:p>
        </w:tc>
        <w:tc>
          <w:tcPr>
            <w:tcW w:w="623" w:type="pct"/>
            <w:noWrap/>
            <w:vAlign w:val="center"/>
          </w:tcPr>
          <w:p w14:paraId="74C579F3" w14:textId="7DBD917F" w:rsidR="00E85EE7" w:rsidRDefault="00B57EBA">
            <w:pPr>
              <w:jc w:val="right"/>
              <w:rPr>
                <w:rFonts w:ascii="CAIXA Std Book" w:hAnsi="CAIXA Std Book" w:cs="Calibri"/>
                <w:color w:val="005CA9"/>
                <w:sz w:val="18"/>
                <w:szCs w:val="18"/>
              </w:rPr>
            </w:pPr>
            <w:r>
              <w:rPr>
                <w:rFonts w:ascii="CAIXA Std Book" w:hAnsi="CAIXA Std Book" w:cs="Calibri"/>
                <w:color w:val="005CA9"/>
                <w:sz w:val="18"/>
                <w:szCs w:val="18"/>
              </w:rPr>
              <w:t>291.639</w:t>
            </w:r>
          </w:p>
        </w:tc>
        <w:tc>
          <w:tcPr>
            <w:tcW w:w="623" w:type="pct"/>
            <w:noWrap/>
            <w:vAlign w:val="center"/>
          </w:tcPr>
          <w:p w14:paraId="56E4567D" w14:textId="6C83AAEC" w:rsidR="00E85EE7" w:rsidRDefault="00E85EE7">
            <w:pPr>
              <w:jc w:val="center"/>
              <w:rPr>
                <w:rFonts w:ascii="CAIXA Std Book" w:hAnsi="CAIXA Std Book" w:cs="Calibri"/>
                <w:color w:val="005CA9"/>
                <w:sz w:val="18"/>
                <w:szCs w:val="18"/>
              </w:rPr>
            </w:pPr>
            <w:r>
              <w:rPr>
                <w:rFonts w:ascii="CAIXA Std Book" w:hAnsi="CAIXA Std Book" w:cs="Calibri"/>
                <w:color w:val="005CA9"/>
                <w:sz w:val="18"/>
                <w:szCs w:val="18"/>
              </w:rPr>
              <w:t>-</w:t>
            </w:r>
          </w:p>
        </w:tc>
        <w:tc>
          <w:tcPr>
            <w:tcW w:w="623" w:type="pct"/>
            <w:noWrap/>
            <w:vAlign w:val="center"/>
          </w:tcPr>
          <w:p w14:paraId="10D6D2F4" w14:textId="12410E42" w:rsidR="00E85EE7" w:rsidRDefault="00E85EE7">
            <w:pPr>
              <w:jc w:val="center"/>
              <w:rPr>
                <w:rFonts w:ascii="CAIXA Std Book" w:hAnsi="CAIXA Std Book" w:cs="Calibri"/>
                <w:color w:val="005CA9"/>
                <w:sz w:val="18"/>
                <w:szCs w:val="18"/>
              </w:rPr>
            </w:pPr>
            <w:r>
              <w:rPr>
                <w:rFonts w:ascii="CAIXA Std Book" w:hAnsi="CAIXA Std Book" w:cs="Calibri"/>
                <w:color w:val="005CA9"/>
                <w:sz w:val="18"/>
                <w:szCs w:val="18"/>
              </w:rPr>
              <w:t>-</w:t>
            </w:r>
          </w:p>
        </w:tc>
        <w:tc>
          <w:tcPr>
            <w:tcW w:w="622" w:type="pct"/>
            <w:noWrap/>
            <w:vAlign w:val="center"/>
          </w:tcPr>
          <w:p w14:paraId="1C679071" w14:textId="64CCAA74" w:rsidR="00E85EE7" w:rsidRDefault="00E85EE7">
            <w:pPr>
              <w:jc w:val="right"/>
              <w:rPr>
                <w:rFonts w:ascii="CAIXA Std Book" w:hAnsi="CAIXA Std Book" w:cs="Calibri"/>
                <w:color w:val="005CA9"/>
                <w:sz w:val="18"/>
                <w:szCs w:val="18"/>
              </w:rPr>
            </w:pPr>
            <w:r>
              <w:rPr>
                <w:rFonts w:ascii="CAIXA Std Book" w:hAnsi="CAIXA Std Book" w:cs="Calibri"/>
                <w:color w:val="005CA9"/>
                <w:sz w:val="18"/>
                <w:szCs w:val="18"/>
              </w:rPr>
              <w:t>(3.</w:t>
            </w:r>
            <w:r w:rsidR="00B57EBA">
              <w:rPr>
                <w:rFonts w:ascii="CAIXA Std Book" w:hAnsi="CAIXA Std Book" w:cs="Calibri"/>
                <w:color w:val="005CA9"/>
                <w:sz w:val="18"/>
                <w:szCs w:val="18"/>
              </w:rPr>
              <w:t>404.975</w:t>
            </w:r>
            <w:r>
              <w:rPr>
                <w:rFonts w:ascii="CAIXA Std Book" w:hAnsi="CAIXA Std Book" w:cs="Calibri"/>
                <w:color w:val="005CA9"/>
                <w:sz w:val="18"/>
                <w:szCs w:val="18"/>
              </w:rPr>
              <w:t>)</w:t>
            </w:r>
          </w:p>
        </w:tc>
      </w:tr>
      <w:tr w:rsidR="00E85EE7" w:rsidRPr="006F29B4" w14:paraId="1708B2EB" w14:textId="77777777" w:rsidTr="00D91FED">
        <w:trPr>
          <w:trHeight w:val="283"/>
        </w:trPr>
        <w:tc>
          <w:tcPr>
            <w:tcW w:w="1886" w:type="pct"/>
            <w:shd w:val="clear" w:color="auto" w:fill="D0E0E3"/>
            <w:noWrap/>
            <w:vAlign w:val="center"/>
            <w:hideMark/>
          </w:tcPr>
          <w:p w14:paraId="0FF81B0B" w14:textId="77777777" w:rsidR="00E85EE7" w:rsidRPr="006F29B4" w:rsidRDefault="00E85EE7">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 xml:space="preserve">Passivos </w:t>
            </w:r>
            <w:r>
              <w:rPr>
                <w:rFonts w:ascii="CAIXA Std Book" w:eastAsia="Times New Roman" w:hAnsi="CAIXA Std Book" w:cs="Arial"/>
                <w:b/>
                <w:color w:val="005CA9"/>
                <w:sz w:val="18"/>
                <w:szCs w:val="18"/>
              </w:rPr>
              <w:t>f</w:t>
            </w:r>
            <w:r w:rsidRPr="006F29B4">
              <w:rPr>
                <w:rFonts w:ascii="CAIXA Std Book" w:eastAsia="Times New Roman" w:hAnsi="CAIXA Std Book" w:cs="Arial"/>
                <w:b/>
                <w:color w:val="005CA9"/>
                <w:sz w:val="18"/>
                <w:szCs w:val="18"/>
              </w:rPr>
              <w:t>inanceiros</w:t>
            </w:r>
          </w:p>
        </w:tc>
        <w:tc>
          <w:tcPr>
            <w:tcW w:w="623" w:type="pct"/>
            <w:shd w:val="clear" w:color="000000" w:fill="D0E0E3"/>
            <w:noWrap/>
            <w:vAlign w:val="center"/>
          </w:tcPr>
          <w:p w14:paraId="3C322879" w14:textId="77777777" w:rsidR="00E85EE7" w:rsidRPr="006F29B4" w:rsidRDefault="00E85EE7">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(520.462)</w:t>
            </w:r>
          </w:p>
        </w:tc>
        <w:tc>
          <w:tcPr>
            <w:tcW w:w="623" w:type="pct"/>
            <w:shd w:val="clear" w:color="000000" w:fill="D0E0E3"/>
            <w:noWrap/>
            <w:vAlign w:val="center"/>
          </w:tcPr>
          <w:p w14:paraId="6B477BA0" w14:textId="1AB411FD" w:rsidR="00E85EE7" w:rsidRPr="006F29B4" w:rsidRDefault="00B57EBA">
            <w:pPr>
              <w:jc w:val="right"/>
              <w:rPr>
                <w:rFonts w:ascii="CAIXA Std Book" w:eastAsia="Times New Roman" w:hAnsi="CAIXA Std Book" w:cs="Arial"/>
                <w:b/>
                <w:color w:val="005CA9"/>
                <w:sz w:val="18"/>
                <w:szCs w:val="18"/>
              </w:rPr>
            </w:pPr>
            <w:r>
              <w:rPr>
                <w:rFonts w:ascii="CAIXA Std Book" w:hAnsi="CAIXA Std Book" w:cs="Calibri"/>
                <w:b/>
                <w:color w:val="005CA9"/>
                <w:sz w:val="18"/>
                <w:szCs w:val="18"/>
              </w:rPr>
              <w:t>(726.069)</w:t>
            </w:r>
          </w:p>
        </w:tc>
        <w:tc>
          <w:tcPr>
            <w:tcW w:w="623" w:type="pct"/>
            <w:shd w:val="clear" w:color="000000" w:fill="D0E0E3"/>
            <w:noWrap/>
            <w:vAlign w:val="center"/>
          </w:tcPr>
          <w:p w14:paraId="305EA8E1" w14:textId="0922D554" w:rsidR="00E85EE7" w:rsidRPr="006F29B4" w:rsidRDefault="00B57EBA">
            <w:pPr>
              <w:jc w:val="right"/>
              <w:rPr>
                <w:rFonts w:ascii="CAIXA Std Book" w:eastAsia="Times New Roman" w:hAnsi="CAIXA Std Book" w:cs="Arial"/>
                <w:b/>
                <w:color w:val="005CA9"/>
                <w:sz w:val="18"/>
                <w:szCs w:val="18"/>
              </w:rPr>
            </w:pPr>
            <w:r>
              <w:rPr>
                <w:rFonts w:ascii="CAIXA Std Book" w:hAnsi="CAIXA Std Book" w:cs="Calibri"/>
                <w:b/>
                <w:color w:val="005CA9"/>
                <w:sz w:val="18"/>
                <w:szCs w:val="18"/>
              </w:rPr>
              <w:t>67.298</w:t>
            </w:r>
          </w:p>
        </w:tc>
        <w:tc>
          <w:tcPr>
            <w:tcW w:w="623" w:type="pct"/>
            <w:shd w:val="clear" w:color="000000" w:fill="D0E0E3"/>
            <w:noWrap/>
            <w:vAlign w:val="center"/>
          </w:tcPr>
          <w:p w14:paraId="3A818E0A" w14:textId="185EB6C2" w:rsidR="00E85EE7" w:rsidRPr="006F29B4" w:rsidRDefault="00B57EBA">
            <w:pPr>
              <w:jc w:val="right"/>
              <w:rPr>
                <w:rFonts w:ascii="CAIXA Std Book" w:eastAsia="Times New Roman" w:hAnsi="CAIXA Std Book" w:cs="Arial"/>
                <w:b/>
                <w:color w:val="005CA9"/>
                <w:sz w:val="18"/>
                <w:szCs w:val="18"/>
              </w:rPr>
            </w:pPr>
            <w:r>
              <w:rPr>
                <w:rFonts w:ascii="CAIXA Std Book" w:hAnsi="CAIXA Std Book" w:cs="Calibri"/>
                <w:b/>
                <w:color w:val="005CA9"/>
                <w:sz w:val="18"/>
                <w:szCs w:val="18"/>
              </w:rPr>
              <w:t>(507)</w:t>
            </w:r>
          </w:p>
        </w:tc>
        <w:tc>
          <w:tcPr>
            <w:tcW w:w="622" w:type="pct"/>
            <w:shd w:val="clear" w:color="000000" w:fill="D0E0E3"/>
            <w:noWrap/>
            <w:vAlign w:val="center"/>
          </w:tcPr>
          <w:p w14:paraId="1732E85B" w14:textId="0495EFA5" w:rsidR="00E85EE7" w:rsidRPr="006F29B4" w:rsidRDefault="00B57EBA">
            <w:pPr>
              <w:jc w:val="right"/>
              <w:rPr>
                <w:rFonts w:ascii="CAIXA Std Book" w:eastAsia="Times New Roman" w:hAnsi="CAIXA Std Book" w:cs="Arial"/>
                <w:b/>
                <w:color w:val="005CA9"/>
                <w:sz w:val="18"/>
                <w:szCs w:val="18"/>
              </w:rPr>
            </w:pPr>
            <w:r>
              <w:rPr>
                <w:rFonts w:ascii="CAIXA Std Book" w:hAnsi="CAIXA Std Book" w:cs="Calibri"/>
                <w:b/>
                <w:color w:val="005CA9"/>
                <w:sz w:val="18"/>
                <w:szCs w:val="18"/>
              </w:rPr>
              <w:t>(1.179.740)</w:t>
            </w:r>
          </w:p>
        </w:tc>
      </w:tr>
      <w:tr w:rsidR="00E85EE7" w:rsidRPr="006F29B4" w14:paraId="5CB930CD" w14:textId="77777777" w:rsidTr="00D91FED">
        <w:trPr>
          <w:trHeight w:val="283"/>
        </w:trPr>
        <w:tc>
          <w:tcPr>
            <w:tcW w:w="1886" w:type="pct"/>
            <w:noWrap/>
            <w:vAlign w:val="center"/>
            <w:hideMark/>
          </w:tcPr>
          <w:p w14:paraId="43C49C44" w14:textId="77777777" w:rsidR="00E85EE7" w:rsidRPr="006F29B4" w:rsidRDefault="00E85EE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Compromisso de </w:t>
            </w:r>
            <w:r>
              <w:rPr>
                <w:rFonts w:ascii="CAIXA Std Book" w:eastAsia="Times New Roman" w:hAnsi="CAIXA Std Book" w:cs="Arial"/>
                <w:color w:val="005CA9"/>
                <w:sz w:val="18"/>
                <w:szCs w:val="18"/>
              </w:rPr>
              <w:t>empréstimos e c</w:t>
            </w:r>
            <w:r w:rsidRPr="006F29B4">
              <w:rPr>
                <w:rFonts w:ascii="CAIXA Std Book" w:eastAsia="Times New Roman" w:hAnsi="CAIXA Std Book" w:cs="Arial"/>
                <w:color w:val="005CA9"/>
                <w:sz w:val="18"/>
                <w:szCs w:val="18"/>
              </w:rPr>
              <w:t>rédito</w:t>
            </w:r>
            <w:r>
              <w:rPr>
                <w:rFonts w:ascii="CAIXA Std Book" w:eastAsia="Times New Roman" w:hAnsi="CAIXA Std Book" w:cs="Arial"/>
                <w:color w:val="005CA9"/>
                <w:sz w:val="18"/>
                <w:szCs w:val="18"/>
              </w:rPr>
              <w:t>s</w:t>
            </w:r>
            <w:r w:rsidRPr="006F29B4">
              <w:rPr>
                <w:rFonts w:ascii="CAIXA Std Book" w:eastAsia="Times New Roman" w:hAnsi="CAIXA Std Book" w:cs="Arial"/>
                <w:color w:val="005CA9"/>
                <w:sz w:val="18"/>
                <w:szCs w:val="18"/>
              </w:rPr>
              <w:t xml:space="preserve"> a </w:t>
            </w:r>
            <w:r>
              <w:rPr>
                <w:rFonts w:ascii="CAIXA Std Book" w:eastAsia="Times New Roman" w:hAnsi="CAIXA Std Book" w:cs="Arial"/>
                <w:color w:val="005CA9"/>
                <w:sz w:val="18"/>
                <w:szCs w:val="18"/>
              </w:rPr>
              <w:t>l</w:t>
            </w:r>
            <w:r w:rsidRPr="006F29B4">
              <w:rPr>
                <w:rFonts w:ascii="CAIXA Std Book" w:eastAsia="Times New Roman" w:hAnsi="CAIXA Std Book" w:cs="Arial"/>
                <w:color w:val="005CA9"/>
                <w:sz w:val="18"/>
                <w:szCs w:val="18"/>
              </w:rPr>
              <w:t>iberar</w:t>
            </w:r>
          </w:p>
        </w:tc>
        <w:tc>
          <w:tcPr>
            <w:tcW w:w="623" w:type="pct"/>
            <w:noWrap/>
            <w:vAlign w:val="center"/>
            <w:hideMark/>
          </w:tcPr>
          <w:p w14:paraId="68ABADB3" w14:textId="77777777" w:rsidR="00E85EE7" w:rsidRPr="006F29B4" w:rsidRDefault="00E85EE7">
            <w:pPr>
              <w:jc w:val="right"/>
              <w:rPr>
                <w:rFonts w:ascii="CAIXA Std Book" w:eastAsia="Times New Roman" w:hAnsi="CAIXA Std Book" w:cs="Arial"/>
                <w:color w:val="005CA9"/>
                <w:sz w:val="18"/>
                <w:szCs w:val="18"/>
              </w:rPr>
            </w:pPr>
            <w:r>
              <w:rPr>
                <w:rFonts w:ascii="CAIXA Std Book" w:hAnsi="CAIXA Std Book" w:cs="Calibri"/>
                <w:color w:val="005CA9"/>
                <w:sz w:val="18"/>
                <w:szCs w:val="18"/>
              </w:rPr>
              <w:t>(460.240)</w:t>
            </w:r>
          </w:p>
        </w:tc>
        <w:tc>
          <w:tcPr>
            <w:tcW w:w="623" w:type="pct"/>
            <w:noWrap/>
            <w:vAlign w:val="center"/>
            <w:hideMark/>
          </w:tcPr>
          <w:p w14:paraId="1D33936E" w14:textId="07174524" w:rsidR="00E85EE7" w:rsidRPr="006F29B4" w:rsidRDefault="00B57EBA">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(248.213)</w:t>
            </w:r>
          </w:p>
        </w:tc>
        <w:tc>
          <w:tcPr>
            <w:tcW w:w="623" w:type="pct"/>
            <w:noWrap/>
            <w:vAlign w:val="center"/>
            <w:hideMark/>
          </w:tcPr>
          <w:p w14:paraId="5EABAFE9" w14:textId="22C43266" w:rsidR="00E85EE7" w:rsidRPr="006F29B4" w:rsidRDefault="00B57EBA">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11.639</w:t>
            </w:r>
          </w:p>
        </w:tc>
        <w:tc>
          <w:tcPr>
            <w:tcW w:w="623" w:type="pct"/>
            <w:noWrap/>
            <w:vAlign w:val="center"/>
            <w:hideMark/>
          </w:tcPr>
          <w:p w14:paraId="7B886C63" w14:textId="5BCE2EFF" w:rsidR="00E85EE7" w:rsidRPr="006F29B4" w:rsidRDefault="00B57EBA">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232</w:t>
            </w:r>
          </w:p>
        </w:tc>
        <w:tc>
          <w:tcPr>
            <w:tcW w:w="622" w:type="pct"/>
            <w:noWrap/>
            <w:vAlign w:val="center"/>
            <w:hideMark/>
          </w:tcPr>
          <w:p w14:paraId="3BB2FDA3" w14:textId="0FEDD278" w:rsidR="00E85EE7" w:rsidRPr="006F29B4" w:rsidRDefault="00B57EBA">
            <w:pPr>
              <w:jc w:val="right"/>
              <w:rPr>
                <w:rFonts w:ascii="CAIXA Std Book" w:eastAsia="Times New Roman" w:hAnsi="CAIXA Std Book" w:cs="Arial"/>
                <w:color w:val="005CA9"/>
                <w:sz w:val="18"/>
                <w:szCs w:val="18"/>
              </w:rPr>
            </w:pPr>
            <w:r>
              <w:rPr>
                <w:rFonts w:ascii="CAIXA Std Book" w:hAnsi="CAIXA Std Book" w:cs="Calibri"/>
                <w:color w:val="005CA9"/>
                <w:sz w:val="18"/>
                <w:szCs w:val="18"/>
              </w:rPr>
              <w:t>(696.582)</w:t>
            </w:r>
          </w:p>
        </w:tc>
      </w:tr>
      <w:tr w:rsidR="00E85EE7" w:rsidRPr="006F29B4" w14:paraId="4E9231C9" w14:textId="77777777" w:rsidTr="00D91FED">
        <w:trPr>
          <w:trHeight w:val="283"/>
        </w:trPr>
        <w:tc>
          <w:tcPr>
            <w:tcW w:w="1886" w:type="pct"/>
            <w:noWrap/>
            <w:vAlign w:val="center"/>
            <w:hideMark/>
          </w:tcPr>
          <w:p w14:paraId="47921977" w14:textId="77777777" w:rsidR="00E85EE7" w:rsidRPr="006F29B4" w:rsidRDefault="00E85EE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Garantias </w:t>
            </w:r>
            <w:r>
              <w:rPr>
                <w:rFonts w:ascii="CAIXA Std Book" w:eastAsia="Times New Roman" w:hAnsi="CAIXA Std Book" w:cs="Arial"/>
                <w:color w:val="005CA9"/>
                <w:sz w:val="18"/>
                <w:szCs w:val="18"/>
              </w:rPr>
              <w:t>f</w:t>
            </w:r>
            <w:r w:rsidRPr="006F29B4">
              <w:rPr>
                <w:rFonts w:ascii="CAIXA Std Book" w:eastAsia="Times New Roman" w:hAnsi="CAIXA Std Book" w:cs="Arial"/>
                <w:color w:val="005CA9"/>
                <w:sz w:val="18"/>
                <w:szCs w:val="18"/>
              </w:rPr>
              <w:t xml:space="preserve">inanceiras </w:t>
            </w:r>
            <w:r>
              <w:rPr>
                <w:rFonts w:ascii="CAIXA Std Book" w:eastAsia="Times New Roman" w:hAnsi="CAIXA Std Book" w:cs="Arial"/>
                <w:color w:val="005CA9"/>
                <w:sz w:val="18"/>
                <w:szCs w:val="18"/>
              </w:rPr>
              <w:t>p</w:t>
            </w:r>
            <w:r w:rsidRPr="006F29B4">
              <w:rPr>
                <w:rFonts w:ascii="CAIXA Std Book" w:eastAsia="Times New Roman" w:hAnsi="CAIXA Std Book" w:cs="Arial"/>
                <w:color w:val="005CA9"/>
                <w:sz w:val="18"/>
                <w:szCs w:val="18"/>
              </w:rPr>
              <w:t>restadas</w:t>
            </w:r>
          </w:p>
        </w:tc>
        <w:tc>
          <w:tcPr>
            <w:tcW w:w="623" w:type="pct"/>
            <w:noWrap/>
            <w:vAlign w:val="center"/>
            <w:hideMark/>
          </w:tcPr>
          <w:p w14:paraId="4AE7C0C6" w14:textId="77777777" w:rsidR="00E85EE7" w:rsidRPr="00170D64" w:rsidRDefault="00E85EE7">
            <w:pPr>
              <w:ind w:firstLineChars="100" w:firstLine="180"/>
              <w:jc w:val="right"/>
              <w:rPr>
                <w:rFonts w:ascii="CAIXA Std Book" w:eastAsia="Times New Roman" w:hAnsi="CAIXA Std Book" w:cs="Arial"/>
                <w:color w:val="005CA9"/>
                <w:sz w:val="18"/>
                <w:szCs w:val="18"/>
                <w:highlight w:val="yellow"/>
              </w:rPr>
            </w:pPr>
            <w:r>
              <w:rPr>
                <w:rFonts w:ascii="CAIXA Std Book" w:hAnsi="CAIXA Std Book" w:cs="Calibri"/>
                <w:color w:val="005CA9"/>
                <w:sz w:val="18"/>
                <w:szCs w:val="18"/>
              </w:rPr>
              <w:t>(</w:t>
            </w:r>
            <w:r w:rsidRPr="004F798D">
              <w:rPr>
                <w:rFonts w:ascii="CAIXA Std Book" w:hAnsi="CAIXA Std Book" w:cs="Calibri"/>
                <w:color w:val="005CA9"/>
                <w:sz w:val="18"/>
                <w:szCs w:val="18"/>
              </w:rPr>
              <w:t>60.222</w:t>
            </w:r>
            <w:r>
              <w:rPr>
                <w:rFonts w:ascii="CAIXA Std Book" w:hAnsi="CAIXA Std Book" w:cs="Calibri"/>
                <w:color w:val="005CA9"/>
                <w:sz w:val="18"/>
                <w:szCs w:val="18"/>
              </w:rPr>
              <w:t>)</w:t>
            </w:r>
          </w:p>
        </w:tc>
        <w:tc>
          <w:tcPr>
            <w:tcW w:w="623" w:type="pct"/>
            <w:noWrap/>
            <w:vAlign w:val="center"/>
            <w:hideMark/>
          </w:tcPr>
          <w:p w14:paraId="37DB3DE7" w14:textId="31AFF34D" w:rsidR="00E85EE7" w:rsidRPr="00170D64" w:rsidRDefault="00B57EBA">
            <w:pPr>
              <w:ind w:firstLineChars="100" w:firstLine="180"/>
              <w:jc w:val="right"/>
              <w:rPr>
                <w:rFonts w:ascii="CAIXA Std Book" w:eastAsia="Times New Roman" w:hAnsi="CAIXA Std Book" w:cs="Arial"/>
                <w:color w:val="005CA9"/>
                <w:sz w:val="18"/>
                <w:szCs w:val="18"/>
                <w:highlight w:val="yellow"/>
              </w:rPr>
            </w:pPr>
            <w:r>
              <w:rPr>
                <w:rFonts w:ascii="CAIXA Std Book" w:hAnsi="CAIXA Std Book" w:cs="Calibri"/>
                <w:color w:val="005CA9"/>
                <w:sz w:val="18"/>
                <w:szCs w:val="18"/>
              </w:rPr>
              <w:t>(477.856)</w:t>
            </w:r>
          </w:p>
        </w:tc>
        <w:tc>
          <w:tcPr>
            <w:tcW w:w="623" w:type="pct"/>
            <w:noWrap/>
            <w:vAlign w:val="center"/>
            <w:hideMark/>
          </w:tcPr>
          <w:p w14:paraId="70E295D1" w14:textId="4615A32B" w:rsidR="00E85EE7" w:rsidRPr="00170D64" w:rsidRDefault="00B57EBA">
            <w:pPr>
              <w:ind w:firstLineChars="100" w:firstLine="180"/>
              <w:jc w:val="right"/>
              <w:rPr>
                <w:rFonts w:ascii="CAIXA Std Book" w:eastAsia="Times New Roman" w:hAnsi="CAIXA Std Book" w:cs="Arial"/>
                <w:color w:val="005CA9"/>
                <w:sz w:val="18"/>
                <w:szCs w:val="18"/>
                <w:highlight w:val="yellow"/>
              </w:rPr>
            </w:pPr>
            <w:r>
              <w:rPr>
                <w:rFonts w:ascii="CAIXA Std Book" w:hAnsi="CAIXA Std Book" w:cs="Calibri"/>
                <w:color w:val="005CA9"/>
                <w:sz w:val="18"/>
                <w:szCs w:val="18"/>
              </w:rPr>
              <w:t>55.659</w:t>
            </w:r>
          </w:p>
        </w:tc>
        <w:tc>
          <w:tcPr>
            <w:tcW w:w="623" w:type="pct"/>
            <w:noWrap/>
            <w:vAlign w:val="center"/>
            <w:hideMark/>
          </w:tcPr>
          <w:p w14:paraId="3F9A5708" w14:textId="47218C6D" w:rsidR="00E85EE7" w:rsidRPr="006F29B4" w:rsidRDefault="00B57EBA">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(739)</w:t>
            </w:r>
          </w:p>
        </w:tc>
        <w:tc>
          <w:tcPr>
            <w:tcW w:w="622" w:type="pct"/>
            <w:noWrap/>
            <w:vAlign w:val="center"/>
            <w:hideMark/>
          </w:tcPr>
          <w:p w14:paraId="1F099B29" w14:textId="6D150956" w:rsidR="00E85EE7" w:rsidRPr="006F29B4" w:rsidRDefault="00B57EBA">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(483.158)</w:t>
            </w:r>
          </w:p>
        </w:tc>
      </w:tr>
      <w:tr w:rsidR="00E85EE7" w:rsidRPr="006F29B4" w14:paraId="0E169D83" w14:textId="77777777" w:rsidTr="00D91FED">
        <w:trPr>
          <w:trHeight w:val="283"/>
        </w:trPr>
        <w:tc>
          <w:tcPr>
            <w:tcW w:w="1886" w:type="pct"/>
            <w:shd w:val="clear" w:color="auto" w:fill="005CA9"/>
            <w:noWrap/>
            <w:vAlign w:val="center"/>
            <w:hideMark/>
          </w:tcPr>
          <w:p w14:paraId="598CC735" w14:textId="77777777" w:rsidR="00E85EE7" w:rsidRPr="006F29B4" w:rsidRDefault="00E85EE7">
            <w:pP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Total</w:t>
            </w:r>
          </w:p>
        </w:tc>
        <w:tc>
          <w:tcPr>
            <w:tcW w:w="623" w:type="pct"/>
            <w:shd w:val="clear" w:color="000000" w:fill="005CA9"/>
            <w:noWrap/>
            <w:vAlign w:val="center"/>
            <w:hideMark/>
          </w:tcPr>
          <w:p w14:paraId="08C31845" w14:textId="77777777" w:rsidR="00E85EE7" w:rsidRPr="006F29B4" w:rsidRDefault="00E85EE7">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(36.566.353)</w:t>
            </w:r>
          </w:p>
        </w:tc>
        <w:tc>
          <w:tcPr>
            <w:tcW w:w="623" w:type="pct"/>
            <w:shd w:val="clear" w:color="000000" w:fill="005CA9"/>
            <w:vAlign w:val="center"/>
            <w:hideMark/>
          </w:tcPr>
          <w:p w14:paraId="3F86C4A4" w14:textId="5B141CFB" w:rsidR="00E85EE7" w:rsidRPr="006F29B4" w:rsidRDefault="00B57EBA">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(17.074.074)</w:t>
            </w:r>
          </w:p>
        </w:tc>
        <w:tc>
          <w:tcPr>
            <w:tcW w:w="623" w:type="pct"/>
            <w:shd w:val="clear" w:color="000000" w:fill="005CA9"/>
            <w:vAlign w:val="center"/>
            <w:hideMark/>
          </w:tcPr>
          <w:p w14:paraId="30329C8C" w14:textId="2DA8A306" w:rsidR="00E85EE7" w:rsidRPr="006F29B4" w:rsidRDefault="00B57EBA">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3.522.569</w:t>
            </w:r>
          </w:p>
        </w:tc>
        <w:tc>
          <w:tcPr>
            <w:tcW w:w="623" w:type="pct"/>
            <w:shd w:val="clear" w:color="000000" w:fill="005CA9"/>
            <w:vAlign w:val="center"/>
            <w:hideMark/>
          </w:tcPr>
          <w:p w14:paraId="20AC7FF4" w14:textId="3982EEDA" w:rsidR="00E85EE7" w:rsidRPr="006F29B4" w:rsidRDefault="00B57EBA">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(1.285.251)</w:t>
            </w:r>
          </w:p>
        </w:tc>
        <w:tc>
          <w:tcPr>
            <w:tcW w:w="622" w:type="pct"/>
            <w:shd w:val="clear" w:color="000000" w:fill="005CA9"/>
            <w:vAlign w:val="center"/>
            <w:hideMark/>
          </w:tcPr>
          <w:p w14:paraId="14B565FF" w14:textId="6F11FA95" w:rsidR="00E85EE7" w:rsidRPr="006F29B4" w:rsidRDefault="00B57EBA">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(51.403.109)</w:t>
            </w:r>
          </w:p>
        </w:tc>
      </w:tr>
    </w:tbl>
    <w:p w14:paraId="769CB989" w14:textId="689E98CF" w:rsidR="00951257" w:rsidRDefault="00951257">
      <w:pPr>
        <w:rPr>
          <w:rFonts w:ascii="CAIXA Std Book" w:hAnsi="CAIXA Std Book"/>
          <w:b/>
          <w:color w:val="005CA9"/>
          <w:sz w:val="20"/>
          <w:szCs w:val="20"/>
        </w:rPr>
      </w:pPr>
      <w:r>
        <w:rPr>
          <w:rFonts w:ascii="CAIXA Std Book" w:hAnsi="CAIXA Std Book"/>
          <w:b/>
          <w:color w:val="005CA9"/>
          <w:sz w:val="20"/>
          <w:szCs w:val="20"/>
        </w:rPr>
        <w:br w:type="page"/>
      </w:r>
    </w:p>
    <w:tbl>
      <w:tblPr>
        <w:tblW w:w="5000" w:type="pct"/>
        <w:tblCellMar>
          <w:left w:w="70" w:type="dxa"/>
          <w:right w:w="70" w:type="dxa"/>
        </w:tblCellMar>
        <w:tblLook w:val="04A0" w:firstRow="1" w:lastRow="0" w:firstColumn="1" w:lastColumn="0" w:noHBand="0" w:noVBand="1"/>
      </w:tblPr>
      <w:tblGrid>
        <w:gridCol w:w="5102"/>
        <w:gridCol w:w="1894"/>
        <w:gridCol w:w="1894"/>
        <w:gridCol w:w="1894"/>
        <w:gridCol w:w="1894"/>
        <w:gridCol w:w="1891"/>
      </w:tblGrid>
      <w:tr w:rsidR="007E0534" w:rsidRPr="006F29B4" w14:paraId="0F45349B" w14:textId="77777777" w:rsidTr="00D91FED">
        <w:trPr>
          <w:trHeight w:val="283"/>
        </w:trPr>
        <w:tc>
          <w:tcPr>
            <w:tcW w:w="5000" w:type="pct"/>
            <w:gridSpan w:val="6"/>
            <w:tcBorders>
              <w:bottom w:val="single" w:sz="4" w:space="0" w:color="FFFFFF" w:themeColor="background1"/>
            </w:tcBorders>
            <w:shd w:val="clear" w:color="auto" w:fill="005CA9"/>
            <w:noWrap/>
            <w:vAlign w:val="center"/>
            <w:hideMark/>
          </w:tcPr>
          <w:p w14:paraId="77B5A9EF" w14:textId="371EAF39" w:rsidR="00951257" w:rsidRPr="00DC72B3" w:rsidRDefault="00951257">
            <w:pPr>
              <w:jc w:val="center"/>
              <w:rPr>
                <w:rFonts w:ascii="CAIXA Std Book" w:eastAsia="Times New Roman" w:hAnsi="CAIXA Std Book" w:cs="Arial"/>
                <w:b/>
                <w:bCs/>
                <w:color w:val="FFFFFF"/>
                <w:sz w:val="18"/>
                <w:szCs w:val="18"/>
              </w:rPr>
            </w:pPr>
            <w:r>
              <w:rPr>
                <w:rFonts w:ascii="CAIXA Std Book" w:eastAsia="Times New Roman" w:hAnsi="CAIXA Std Book" w:cs="Calibri"/>
                <w:b/>
                <w:color w:val="FFFFFF"/>
                <w:sz w:val="18"/>
                <w:szCs w:val="18"/>
              </w:rPr>
              <w:t>Consolidado</w:t>
            </w:r>
          </w:p>
        </w:tc>
      </w:tr>
      <w:tr w:rsidR="00F50332" w:rsidRPr="006F29B4" w14:paraId="517E1E8E" w14:textId="77777777" w:rsidTr="00D91FED">
        <w:trPr>
          <w:trHeight w:val="283"/>
        </w:trPr>
        <w:tc>
          <w:tcPr>
            <w:tcW w:w="1751" w:type="pct"/>
            <w:tcBorders>
              <w:top w:val="single" w:sz="4" w:space="0" w:color="FFFFFF" w:themeColor="background1"/>
            </w:tcBorders>
            <w:shd w:val="clear" w:color="auto" w:fill="005CA9"/>
            <w:vAlign w:val="center"/>
            <w:hideMark/>
          </w:tcPr>
          <w:p w14:paraId="6CFFDEAB" w14:textId="77777777" w:rsidR="00951257" w:rsidRPr="006F29B4" w:rsidRDefault="0095125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Estágio 1</w:t>
            </w:r>
          </w:p>
        </w:tc>
        <w:tc>
          <w:tcPr>
            <w:tcW w:w="650" w:type="pct"/>
            <w:tcBorders>
              <w:top w:val="single" w:sz="4" w:space="0" w:color="FFFFFF" w:themeColor="background1"/>
            </w:tcBorders>
            <w:shd w:val="clear" w:color="auto" w:fill="005CA9"/>
            <w:vAlign w:val="center"/>
            <w:hideMark/>
          </w:tcPr>
          <w:p w14:paraId="2F0E4773" w14:textId="1EC24655" w:rsidR="00951257" w:rsidRPr="006F29B4" w:rsidRDefault="0095125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Saldo em </w:t>
            </w:r>
            <w:r w:rsidR="0067638B">
              <w:rPr>
                <w:rFonts w:ascii="CAIXA Std Book" w:eastAsia="Times New Roman" w:hAnsi="CAIXA Std Book" w:cs="Arial"/>
                <w:b/>
                <w:color w:val="FFFFFF"/>
                <w:sz w:val="18"/>
                <w:szCs w:val="18"/>
              </w:rPr>
              <w:t>31/12/2025</w:t>
            </w:r>
          </w:p>
        </w:tc>
        <w:tc>
          <w:tcPr>
            <w:tcW w:w="650" w:type="pct"/>
            <w:tcBorders>
              <w:top w:val="single" w:sz="4" w:space="0" w:color="FFFFFF" w:themeColor="background1"/>
            </w:tcBorders>
            <w:shd w:val="clear" w:color="auto" w:fill="005CA9"/>
            <w:vAlign w:val="center"/>
            <w:hideMark/>
          </w:tcPr>
          <w:p w14:paraId="51D7CE09" w14:textId="77777777" w:rsidR="00951257" w:rsidRPr="006F29B4" w:rsidRDefault="0095125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Constituição/ reversão</w:t>
            </w:r>
          </w:p>
        </w:tc>
        <w:tc>
          <w:tcPr>
            <w:tcW w:w="650" w:type="pct"/>
            <w:tcBorders>
              <w:top w:val="single" w:sz="4" w:space="0" w:color="FFFFFF" w:themeColor="background1"/>
            </w:tcBorders>
            <w:shd w:val="clear" w:color="auto" w:fill="005CA9"/>
            <w:vAlign w:val="center"/>
            <w:hideMark/>
          </w:tcPr>
          <w:p w14:paraId="5F07FF24" w14:textId="77777777" w:rsidR="00951257" w:rsidRPr="006F29B4" w:rsidRDefault="0095125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Transferência do/ para estágio 2</w:t>
            </w:r>
          </w:p>
        </w:tc>
        <w:tc>
          <w:tcPr>
            <w:tcW w:w="650" w:type="pct"/>
            <w:tcBorders>
              <w:top w:val="single" w:sz="4" w:space="0" w:color="FFFFFF" w:themeColor="background1"/>
            </w:tcBorders>
            <w:shd w:val="clear" w:color="auto" w:fill="005CA9"/>
            <w:vAlign w:val="center"/>
            <w:hideMark/>
          </w:tcPr>
          <w:p w14:paraId="50D3FA0B" w14:textId="77777777" w:rsidR="00951257" w:rsidRDefault="0095125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Transferência do/</w:t>
            </w:r>
          </w:p>
          <w:p w14:paraId="6F2C5C66" w14:textId="77777777" w:rsidR="00951257" w:rsidRPr="006F29B4" w:rsidRDefault="0095125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para estágio 3</w:t>
            </w:r>
          </w:p>
        </w:tc>
        <w:tc>
          <w:tcPr>
            <w:tcW w:w="649" w:type="pct"/>
            <w:tcBorders>
              <w:top w:val="single" w:sz="4" w:space="0" w:color="FFFFFF" w:themeColor="background1"/>
            </w:tcBorders>
            <w:shd w:val="clear" w:color="auto" w:fill="005CA9"/>
            <w:vAlign w:val="center"/>
            <w:hideMark/>
          </w:tcPr>
          <w:p w14:paraId="13E19E2F" w14:textId="0D0B4A5E" w:rsidR="00951257" w:rsidRPr="006F29B4" w:rsidRDefault="0095125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Saldo em </w:t>
            </w:r>
            <w:r>
              <w:rPr>
                <w:rFonts w:ascii="CAIXA Std Book" w:eastAsia="Times New Roman" w:hAnsi="CAIXA Std Book" w:cs="Arial"/>
                <w:b/>
                <w:color w:val="FFFFFF"/>
                <w:sz w:val="18"/>
                <w:szCs w:val="18"/>
              </w:rPr>
              <w:t>3</w:t>
            </w:r>
            <w:r w:rsidR="00312C72">
              <w:rPr>
                <w:rFonts w:ascii="CAIXA Std Book" w:eastAsia="Times New Roman" w:hAnsi="CAIXA Std Book" w:cs="Arial"/>
                <w:b/>
                <w:color w:val="FFFFFF"/>
                <w:sz w:val="18"/>
                <w:szCs w:val="18"/>
              </w:rPr>
              <w:t>1</w:t>
            </w:r>
            <w:r>
              <w:rPr>
                <w:rFonts w:ascii="CAIXA Std Book" w:eastAsia="Times New Roman" w:hAnsi="CAIXA Std Book" w:cs="Arial"/>
                <w:b/>
                <w:color w:val="FFFFFF"/>
                <w:sz w:val="18"/>
                <w:szCs w:val="18"/>
              </w:rPr>
              <w:t>/</w:t>
            </w:r>
            <w:r w:rsidR="00FB077C">
              <w:rPr>
                <w:rFonts w:ascii="CAIXA Std Book" w:eastAsia="Times New Roman" w:hAnsi="CAIXA Std Book" w:cs="Arial"/>
                <w:b/>
                <w:color w:val="FFFFFF"/>
                <w:sz w:val="18"/>
                <w:szCs w:val="18"/>
              </w:rPr>
              <w:t>03/2026</w:t>
            </w:r>
          </w:p>
        </w:tc>
      </w:tr>
      <w:tr w:rsidR="0067438D" w:rsidRPr="006F29B4" w14:paraId="223C79EE" w14:textId="77777777" w:rsidTr="00D91FED">
        <w:trPr>
          <w:trHeight w:val="283"/>
        </w:trPr>
        <w:tc>
          <w:tcPr>
            <w:tcW w:w="1751" w:type="pct"/>
            <w:shd w:val="clear" w:color="auto" w:fill="D0E0E3"/>
            <w:noWrap/>
            <w:vAlign w:val="center"/>
            <w:hideMark/>
          </w:tcPr>
          <w:p w14:paraId="6E67113D" w14:textId="77777777" w:rsidR="006349E4" w:rsidRPr="006F29B4" w:rsidRDefault="006349E4" w:rsidP="006349E4">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 xml:space="preserve">Ativos </w:t>
            </w:r>
            <w:r>
              <w:rPr>
                <w:rFonts w:ascii="CAIXA Std Book" w:eastAsia="Times New Roman" w:hAnsi="CAIXA Std Book" w:cs="Arial"/>
                <w:b/>
                <w:color w:val="005CA9"/>
                <w:sz w:val="18"/>
                <w:szCs w:val="18"/>
              </w:rPr>
              <w:t>f</w:t>
            </w:r>
            <w:r w:rsidRPr="006F29B4">
              <w:rPr>
                <w:rFonts w:ascii="CAIXA Std Book" w:eastAsia="Times New Roman" w:hAnsi="CAIXA Std Book" w:cs="Arial"/>
                <w:b/>
                <w:color w:val="005CA9"/>
                <w:sz w:val="18"/>
                <w:szCs w:val="18"/>
              </w:rPr>
              <w:t>inanceiros</w:t>
            </w:r>
          </w:p>
        </w:tc>
        <w:tc>
          <w:tcPr>
            <w:tcW w:w="650" w:type="pct"/>
            <w:shd w:val="clear" w:color="000000" w:fill="D0E0E3"/>
            <w:noWrap/>
            <w:vAlign w:val="center"/>
          </w:tcPr>
          <w:p w14:paraId="030D4155" w14:textId="14975BB4" w:rsidR="006349E4" w:rsidRPr="006F29B4" w:rsidRDefault="00180324" w:rsidP="006349E4">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(11.180.523)</w:t>
            </w:r>
          </w:p>
        </w:tc>
        <w:tc>
          <w:tcPr>
            <w:tcW w:w="650" w:type="pct"/>
            <w:shd w:val="clear" w:color="000000" w:fill="D0E0E3"/>
            <w:noWrap/>
            <w:vAlign w:val="center"/>
          </w:tcPr>
          <w:p w14:paraId="2E900A36" w14:textId="2A89A0CC" w:rsidR="006349E4" w:rsidRPr="0047755B" w:rsidRDefault="00180324" w:rsidP="006349E4">
            <w:pPr>
              <w:jc w:val="right"/>
              <w:rPr>
                <w:rFonts w:ascii="CAIXA Std Book" w:hAnsi="CAIXA Std Book" w:cs="Calibri"/>
                <w:b/>
                <w:color w:val="005CA9"/>
                <w:sz w:val="18"/>
                <w:szCs w:val="18"/>
              </w:rPr>
            </w:pPr>
            <w:r>
              <w:rPr>
                <w:rFonts w:ascii="CAIXA Std Book" w:hAnsi="CAIXA Std Book" w:cs="Calibri"/>
                <w:b/>
                <w:bCs/>
                <w:color w:val="005CA9"/>
                <w:sz w:val="18"/>
                <w:szCs w:val="18"/>
              </w:rPr>
              <w:t>1.999.291</w:t>
            </w:r>
          </w:p>
        </w:tc>
        <w:tc>
          <w:tcPr>
            <w:tcW w:w="650" w:type="pct"/>
            <w:shd w:val="clear" w:color="000000" w:fill="D0E0E3"/>
            <w:noWrap/>
            <w:vAlign w:val="center"/>
          </w:tcPr>
          <w:p w14:paraId="66E4732A" w14:textId="48984E08" w:rsidR="006349E4" w:rsidRPr="006F29B4" w:rsidRDefault="00180324" w:rsidP="006349E4">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(443.396)</w:t>
            </w:r>
          </w:p>
        </w:tc>
        <w:tc>
          <w:tcPr>
            <w:tcW w:w="650" w:type="pct"/>
            <w:shd w:val="clear" w:color="000000" w:fill="D0E0E3"/>
            <w:noWrap/>
            <w:vAlign w:val="center"/>
          </w:tcPr>
          <w:p w14:paraId="6522EFEB" w14:textId="2AA3EF20" w:rsidR="006349E4" w:rsidRPr="006F29B4" w:rsidRDefault="00180324" w:rsidP="006349E4">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(1.220.485)</w:t>
            </w:r>
          </w:p>
        </w:tc>
        <w:tc>
          <w:tcPr>
            <w:tcW w:w="649" w:type="pct"/>
            <w:shd w:val="clear" w:color="000000" w:fill="D0E0E3"/>
            <w:noWrap/>
            <w:vAlign w:val="center"/>
          </w:tcPr>
          <w:p w14:paraId="085AE629" w14:textId="60F30D20" w:rsidR="006349E4" w:rsidRPr="000F2E6D" w:rsidRDefault="00180324" w:rsidP="006349E4">
            <w:pPr>
              <w:jc w:val="right"/>
              <w:rPr>
                <w:rFonts w:ascii="CAIXA Std Book" w:hAnsi="CAIXA Std Book" w:cs="Calibri"/>
                <w:b/>
                <w:color w:val="005CA9"/>
                <w:sz w:val="18"/>
                <w:szCs w:val="18"/>
              </w:rPr>
            </w:pPr>
            <w:r>
              <w:rPr>
                <w:rFonts w:ascii="CAIXA Std Book" w:hAnsi="CAIXA Std Book" w:cs="Calibri"/>
                <w:b/>
                <w:bCs/>
                <w:color w:val="005CA9"/>
                <w:sz w:val="18"/>
                <w:szCs w:val="18"/>
              </w:rPr>
              <w:t>(10.845.113)</w:t>
            </w:r>
          </w:p>
        </w:tc>
      </w:tr>
      <w:tr w:rsidR="0067438D" w:rsidRPr="006F29B4" w14:paraId="3D438168" w14:textId="77777777" w:rsidTr="00D91FED">
        <w:trPr>
          <w:trHeight w:val="283"/>
        </w:trPr>
        <w:tc>
          <w:tcPr>
            <w:tcW w:w="1751" w:type="pct"/>
            <w:noWrap/>
            <w:vAlign w:val="center"/>
            <w:hideMark/>
          </w:tcPr>
          <w:p w14:paraId="051E5A6F" w14:textId="77777777" w:rsidR="00951257" w:rsidRPr="006F29B4" w:rsidRDefault="0095125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Títulos e </w:t>
            </w:r>
            <w:r>
              <w:rPr>
                <w:rFonts w:ascii="CAIXA Std Book" w:eastAsia="Times New Roman" w:hAnsi="CAIXA Std Book" w:cs="Arial"/>
                <w:color w:val="005CA9"/>
                <w:sz w:val="18"/>
                <w:szCs w:val="18"/>
              </w:rPr>
              <w:t>v</w:t>
            </w:r>
            <w:r w:rsidRPr="006F29B4">
              <w:rPr>
                <w:rFonts w:ascii="CAIXA Std Book" w:eastAsia="Times New Roman" w:hAnsi="CAIXA Std Book" w:cs="Arial"/>
                <w:color w:val="005CA9"/>
                <w:sz w:val="18"/>
                <w:szCs w:val="18"/>
              </w:rPr>
              <w:t xml:space="preserve">alores </w:t>
            </w:r>
            <w:r>
              <w:rPr>
                <w:rFonts w:ascii="CAIXA Std Book" w:eastAsia="Times New Roman" w:hAnsi="CAIXA Std Book" w:cs="Arial"/>
                <w:color w:val="005CA9"/>
                <w:sz w:val="18"/>
                <w:szCs w:val="18"/>
              </w:rPr>
              <w:t>m</w:t>
            </w:r>
            <w:r w:rsidRPr="006F29B4">
              <w:rPr>
                <w:rFonts w:ascii="CAIXA Std Book" w:eastAsia="Times New Roman" w:hAnsi="CAIXA Std Book" w:cs="Arial"/>
                <w:color w:val="005CA9"/>
                <w:sz w:val="18"/>
                <w:szCs w:val="18"/>
              </w:rPr>
              <w:t>obiliários</w:t>
            </w:r>
          </w:p>
        </w:tc>
        <w:tc>
          <w:tcPr>
            <w:tcW w:w="650" w:type="pct"/>
            <w:noWrap/>
            <w:vAlign w:val="center"/>
          </w:tcPr>
          <w:p w14:paraId="788005EC" w14:textId="5614179E" w:rsidR="00951257" w:rsidRPr="000742B4" w:rsidRDefault="00180324" w:rsidP="0005560B">
            <w:pPr>
              <w:jc w:val="right"/>
              <w:rPr>
                <w:rFonts w:ascii="CAIXA Std Book" w:hAnsi="CAIXA Std Book"/>
                <w:color w:val="005CA9"/>
                <w:sz w:val="18"/>
                <w:szCs w:val="18"/>
              </w:rPr>
            </w:pPr>
            <w:r>
              <w:rPr>
                <w:rFonts w:ascii="CAIXA Std Book" w:hAnsi="CAIXA Std Book" w:cs="Calibri"/>
                <w:color w:val="005CA9"/>
                <w:sz w:val="18"/>
                <w:szCs w:val="18"/>
              </w:rPr>
              <w:t>(108.160)</w:t>
            </w:r>
          </w:p>
        </w:tc>
        <w:tc>
          <w:tcPr>
            <w:tcW w:w="650" w:type="pct"/>
            <w:noWrap/>
            <w:vAlign w:val="center"/>
          </w:tcPr>
          <w:p w14:paraId="62703860" w14:textId="7B591F76" w:rsidR="00951257" w:rsidRPr="000742B4" w:rsidRDefault="00180324" w:rsidP="0005560B">
            <w:pPr>
              <w:jc w:val="right"/>
              <w:rPr>
                <w:rFonts w:ascii="CAIXA Std Book" w:hAnsi="CAIXA Std Book"/>
                <w:color w:val="005CA9"/>
                <w:sz w:val="18"/>
                <w:szCs w:val="18"/>
              </w:rPr>
            </w:pPr>
            <w:r>
              <w:rPr>
                <w:rFonts w:ascii="CAIXA Std Book" w:hAnsi="CAIXA Std Book" w:cs="Calibri"/>
                <w:color w:val="005CA9"/>
                <w:sz w:val="18"/>
                <w:szCs w:val="18"/>
              </w:rPr>
              <w:t>(17.889)</w:t>
            </w:r>
          </w:p>
        </w:tc>
        <w:tc>
          <w:tcPr>
            <w:tcW w:w="650" w:type="pct"/>
            <w:noWrap/>
            <w:vAlign w:val="center"/>
          </w:tcPr>
          <w:p w14:paraId="062FAEA5" w14:textId="47F77AB3" w:rsidR="00951257" w:rsidRPr="000742B4" w:rsidRDefault="00180324" w:rsidP="00180324">
            <w:pPr>
              <w:jc w:val="center"/>
              <w:rPr>
                <w:rFonts w:ascii="CAIXA Std Book" w:hAnsi="CAIXA Std Book"/>
                <w:color w:val="005CA9"/>
                <w:sz w:val="18"/>
                <w:szCs w:val="18"/>
              </w:rPr>
            </w:pPr>
            <w:r>
              <w:rPr>
                <w:rFonts w:ascii="CAIXA Std Book" w:hAnsi="CAIXA Std Book" w:cs="Calibri"/>
                <w:color w:val="005CA9"/>
                <w:sz w:val="18"/>
                <w:szCs w:val="18"/>
              </w:rPr>
              <w:t>-</w:t>
            </w:r>
          </w:p>
        </w:tc>
        <w:tc>
          <w:tcPr>
            <w:tcW w:w="650" w:type="pct"/>
            <w:noWrap/>
            <w:vAlign w:val="center"/>
          </w:tcPr>
          <w:p w14:paraId="6E4B9567" w14:textId="1B465C61" w:rsidR="00951257" w:rsidRPr="000742B4" w:rsidRDefault="00180324" w:rsidP="00180324">
            <w:pPr>
              <w:jc w:val="center"/>
              <w:rPr>
                <w:rFonts w:ascii="CAIXA Std Book" w:hAnsi="CAIXA Std Book"/>
                <w:color w:val="005CA9"/>
                <w:sz w:val="18"/>
                <w:szCs w:val="18"/>
              </w:rPr>
            </w:pPr>
            <w:r>
              <w:rPr>
                <w:rFonts w:ascii="CAIXA Std Book" w:hAnsi="CAIXA Std Book" w:cs="Calibri"/>
                <w:color w:val="005CA9"/>
                <w:sz w:val="18"/>
                <w:szCs w:val="18"/>
              </w:rPr>
              <w:t>-</w:t>
            </w:r>
          </w:p>
        </w:tc>
        <w:tc>
          <w:tcPr>
            <w:tcW w:w="649" w:type="pct"/>
            <w:noWrap/>
            <w:vAlign w:val="center"/>
          </w:tcPr>
          <w:p w14:paraId="64AF89BA" w14:textId="01BFE7E5" w:rsidR="00951257" w:rsidRPr="000742B4" w:rsidRDefault="00180324" w:rsidP="0005560B">
            <w:pPr>
              <w:jc w:val="right"/>
              <w:rPr>
                <w:rFonts w:ascii="CAIXA Std Book" w:hAnsi="CAIXA Std Book"/>
                <w:color w:val="005CA9"/>
                <w:sz w:val="18"/>
                <w:szCs w:val="18"/>
              </w:rPr>
            </w:pPr>
            <w:r>
              <w:rPr>
                <w:rFonts w:ascii="CAIXA Std Book" w:hAnsi="CAIXA Std Book" w:cs="Calibri"/>
                <w:color w:val="005CA9"/>
                <w:sz w:val="18"/>
                <w:szCs w:val="18"/>
              </w:rPr>
              <w:t>(126.049)</w:t>
            </w:r>
          </w:p>
        </w:tc>
      </w:tr>
      <w:tr w:rsidR="00ED05AF" w:rsidRPr="006F29B4" w14:paraId="746EF7F1" w14:textId="77777777" w:rsidTr="00D91FED">
        <w:trPr>
          <w:trHeight w:val="283"/>
        </w:trPr>
        <w:tc>
          <w:tcPr>
            <w:tcW w:w="1751" w:type="pct"/>
            <w:noWrap/>
            <w:vAlign w:val="center"/>
            <w:hideMark/>
          </w:tcPr>
          <w:p w14:paraId="61C84EA4" w14:textId="77777777" w:rsidR="004A3FE9" w:rsidRPr="006F29B4" w:rsidRDefault="004A3FE9" w:rsidP="004A3FE9">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Carteira de </w:t>
            </w:r>
            <w:r>
              <w:rPr>
                <w:rFonts w:ascii="CAIXA Std Book" w:eastAsia="Times New Roman" w:hAnsi="CAIXA Std Book" w:cs="Arial"/>
                <w:color w:val="005CA9"/>
                <w:sz w:val="18"/>
                <w:szCs w:val="18"/>
              </w:rPr>
              <w:t>c</w:t>
            </w:r>
            <w:r w:rsidRPr="006F29B4">
              <w:rPr>
                <w:rFonts w:ascii="CAIXA Std Book" w:eastAsia="Times New Roman" w:hAnsi="CAIXA Std Book" w:cs="Arial"/>
                <w:color w:val="005CA9"/>
                <w:sz w:val="18"/>
                <w:szCs w:val="18"/>
              </w:rPr>
              <w:t>rédito</w:t>
            </w:r>
          </w:p>
        </w:tc>
        <w:tc>
          <w:tcPr>
            <w:tcW w:w="650" w:type="pct"/>
            <w:noWrap/>
            <w:vAlign w:val="center"/>
          </w:tcPr>
          <w:p w14:paraId="5C7DDDF1" w14:textId="5B2FCE9F" w:rsidR="004A3FE9" w:rsidRPr="00831B27" w:rsidRDefault="00180324" w:rsidP="004A3FE9">
            <w:pPr>
              <w:jc w:val="right"/>
              <w:rPr>
                <w:rFonts w:ascii="CAIXA Std Book" w:hAnsi="CAIXA Std Book" w:cs="Calibri"/>
                <w:color w:val="005CA9"/>
                <w:sz w:val="18"/>
                <w:szCs w:val="18"/>
              </w:rPr>
            </w:pPr>
            <w:r>
              <w:rPr>
                <w:rFonts w:ascii="CAIXA Std Book" w:hAnsi="CAIXA Std Book" w:cs="Calibri"/>
                <w:color w:val="005CA9"/>
                <w:sz w:val="18"/>
                <w:szCs w:val="18"/>
              </w:rPr>
              <w:t>(11.072.363)</w:t>
            </w:r>
          </w:p>
        </w:tc>
        <w:tc>
          <w:tcPr>
            <w:tcW w:w="650" w:type="pct"/>
            <w:noWrap/>
            <w:vAlign w:val="center"/>
          </w:tcPr>
          <w:p w14:paraId="63B843C2" w14:textId="03162AD5" w:rsidR="004A3FE9" w:rsidRPr="00831B27" w:rsidRDefault="00180324" w:rsidP="004A3FE9">
            <w:pPr>
              <w:jc w:val="right"/>
              <w:rPr>
                <w:rFonts w:ascii="CAIXA Std Book" w:hAnsi="CAIXA Std Book" w:cs="Calibri"/>
                <w:color w:val="005CA9"/>
                <w:sz w:val="18"/>
                <w:szCs w:val="18"/>
              </w:rPr>
            </w:pPr>
            <w:r>
              <w:rPr>
                <w:rFonts w:ascii="CAIXA Std Book" w:hAnsi="CAIXA Std Book" w:cs="Calibri"/>
                <w:color w:val="005CA9"/>
                <w:sz w:val="18"/>
                <w:szCs w:val="18"/>
              </w:rPr>
              <w:t>2.017.180</w:t>
            </w:r>
          </w:p>
        </w:tc>
        <w:tc>
          <w:tcPr>
            <w:tcW w:w="650" w:type="pct"/>
            <w:noWrap/>
            <w:vAlign w:val="center"/>
          </w:tcPr>
          <w:p w14:paraId="2F0C682F" w14:textId="3720BBAD" w:rsidR="004A3FE9" w:rsidRPr="00831B27" w:rsidRDefault="00180324" w:rsidP="004A3FE9">
            <w:pPr>
              <w:jc w:val="right"/>
              <w:rPr>
                <w:rFonts w:ascii="CAIXA Std Book" w:hAnsi="CAIXA Std Book" w:cs="Calibri"/>
                <w:color w:val="005CA9"/>
                <w:sz w:val="18"/>
                <w:szCs w:val="18"/>
              </w:rPr>
            </w:pPr>
            <w:r>
              <w:rPr>
                <w:rFonts w:ascii="CAIXA Std Book" w:hAnsi="CAIXA Std Book" w:cs="Calibri"/>
                <w:color w:val="005CA9"/>
                <w:sz w:val="18"/>
                <w:szCs w:val="18"/>
              </w:rPr>
              <w:t>(443.396)</w:t>
            </w:r>
          </w:p>
        </w:tc>
        <w:tc>
          <w:tcPr>
            <w:tcW w:w="650" w:type="pct"/>
            <w:noWrap/>
            <w:vAlign w:val="center"/>
          </w:tcPr>
          <w:p w14:paraId="0A058C79" w14:textId="30C19DD7" w:rsidR="004A3FE9" w:rsidRPr="00831B27" w:rsidRDefault="00180324" w:rsidP="004A3FE9">
            <w:pPr>
              <w:jc w:val="right"/>
              <w:rPr>
                <w:rFonts w:ascii="CAIXA Std Book" w:hAnsi="CAIXA Std Book" w:cs="Calibri"/>
                <w:color w:val="005CA9"/>
                <w:sz w:val="18"/>
                <w:szCs w:val="18"/>
              </w:rPr>
            </w:pPr>
            <w:r>
              <w:rPr>
                <w:rFonts w:ascii="CAIXA Std Book" w:hAnsi="CAIXA Std Book" w:cs="Calibri"/>
                <w:color w:val="005CA9"/>
                <w:sz w:val="18"/>
                <w:szCs w:val="18"/>
              </w:rPr>
              <w:t>(1.220.485)</w:t>
            </w:r>
          </w:p>
        </w:tc>
        <w:tc>
          <w:tcPr>
            <w:tcW w:w="649" w:type="pct"/>
            <w:noWrap/>
            <w:vAlign w:val="center"/>
          </w:tcPr>
          <w:p w14:paraId="11EAB6AE" w14:textId="06BE8AB2" w:rsidR="004A3FE9" w:rsidRPr="00C879C8" w:rsidRDefault="00180324" w:rsidP="004A3FE9">
            <w:pPr>
              <w:jc w:val="right"/>
              <w:rPr>
                <w:rFonts w:ascii="CAIXA Std Book" w:hAnsi="CAIXA Std Book"/>
                <w:color w:val="005CA9"/>
                <w:sz w:val="18"/>
                <w:szCs w:val="18"/>
              </w:rPr>
            </w:pPr>
            <w:r>
              <w:rPr>
                <w:rFonts w:ascii="CAIXA Std Book" w:hAnsi="CAIXA Std Book" w:cs="Calibri"/>
                <w:color w:val="005CA9"/>
                <w:sz w:val="18"/>
                <w:szCs w:val="18"/>
              </w:rPr>
              <w:t>(10.719.064)</w:t>
            </w:r>
          </w:p>
        </w:tc>
      </w:tr>
      <w:tr w:rsidR="00F50332" w:rsidRPr="006F29B4" w14:paraId="4ABE1BFD" w14:textId="77777777" w:rsidTr="00D91FED">
        <w:trPr>
          <w:trHeight w:val="283"/>
        </w:trPr>
        <w:tc>
          <w:tcPr>
            <w:tcW w:w="1751" w:type="pct"/>
            <w:shd w:val="clear" w:color="auto" w:fill="D0E0E3"/>
            <w:noWrap/>
            <w:vAlign w:val="center"/>
            <w:hideMark/>
          </w:tcPr>
          <w:p w14:paraId="602AC45F" w14:textId="77777777" w:rsidR="00951257" w:rsidRPr="006F29B4" w:rsidRDefault="00951257">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 xml:space="preserve">Passivos </w:t>
            </w:r>
            <w:r>
              <w:rPr>
                <w:rFonts w:ascii="CAIXA Std Book" w:eastAsia="Times New Roman" w:hAnsi="CAIXA Std Book" w:cs="Arial"/>
                <w:b/>
                <w:color w:val="005CA9"/>
                <w:sz w:val="18"/>
                <w:szCs w:val="18"/>
              </w:rPr>
              <w:t>f</w:t>
            </w:r>
            <w:r w:rsidRPr="006F29B4">
              <w:rPr>
                <w:rFonts w:ascii="CAIXA Std Book" w:eastAsia="Times New Roman" w:hAnsi="CAIXA Std Book" w:cs="Arial"/>
                <w:b/>
                <w:color w:val="005CA9"/>
                <w:sz w:val="18"/>
                <w:szCs w:val="18"/>
              </w:rPr>
              <w:t>inanceiros</w:t>
            </w:r>
          </w:p>
        </w:tc>
        <w:tc>
          <w:tcPr>
            <w:tcW w:w="650" w:type="pct"/>
            <w:shd w:val="clear" w:color="000000" w:fill="D0E0E3"/>
            <w:noWrap/>
            <w:vAlign w:val="center"/>
          </w:tcPr>
          <w:p w14:paraId="63BC5909" w14:textId="3B9E4D76" w:rsidR="00951257" w:rsidRPr="006F29B4" w:rsidRDefault="00180324" w:rsidP="0005560B">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(736.162)</w:t>
            </w:r>
          </w:p>
        </w:tc>
        <w:tc>
          <w:tcPr>
            <w:tcW w:w="650" w:type="pct"/>
            <w:shd w:val="clear" w:color="000000" w:fill="D0E0E3"/>
            <w:noWrap/>
            <w:vAlign w:val="center"/>
          </w:tcPr>
          <w:p w14:paraId="4BB09705" w14:textId="1DA1594B" w:rsidR="00951257" w:rsidRPr="006F29B4" w:rsidRDefault="00180324" w:rsidP="0005560B">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262.688</w:t>
            </w:r>
          </w:p>
        </w:tc>
        <w:tc>
          <w:tcPr>
            <w:tcW w:w="650" w:type="pct"/>
            <w:shd w:val="clear" w:color="000000" w:fill="D0E0E3"/>
            <w:noWrap/>
            <w:vAlign w:val="center"/>
          </w:tcPr>
          <w:p w14:paraId="509E721B" w14:textId="49EFDB1A" w:rsidR="00951257" w:rsidRPr="006F29B4" w:rsidRDefault="00180324" w:rsidP="0005560B">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(62.483)</w:t>
            </w:r>
          </w:p>
        </w:tc>
        <w:tc>
          <w:tcPr>
            <w:tcW w:w="650" w:type="pct"/>
            <w:shd w:val="clear" w:color="000000" w:fill="D0E0E3"/>
            <w:noWrap/>
            <w:vAlign w:val="center"/>
          </w:tcPr>
          <w:p w14:paraId="698C6719" w14:textId="7583016D" w:rsidR="00951257" w:rsidRPr="006F29B4" w:rsidRDefault="00180324" w:rsidP="0005560B">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(84.631)</w:t>
            </w:r>
          </w:p>
        </w:tc>
        <w:tc>
          <w:tcPr>
            <w:tcW w:w="649" w:type="pct"/>
            <w:shd w:val="clear" w:color="000000" w:fill="D0E0E3"/>
            <w:noWrap/>
            <w:vAlign w:val="center"/>
          </w:tcPr>
          <w:p w14:paraId="4A5C1C7F" w14:textId="0A82EECB" w:rsidR="00951257" w:rsidRPr="00CD4005" w:rsidRDefault="00180324" w:rsidP="0005560B">
            <w:pPr>
              <w:jc w:val="right"/>
              <w:rPr>
                <w:rFonts w:ascii="CAIXA Std Book" w:hAnsi="CAIXA Std Book" w:cs="Calibri"/>
                <w:b/>
                <w:color w:val="005CA9"/>
                <w:sz w:val="18"/>
                <w:szCs w:val="18"/>
              </w:rPr>
            </w:pPr>
            <w:r>
              <w:rPr>
                <w:rFonts w:ascii="CAIXA Std Book" w:hAnsi="CAIXA Std Book" w:cs="Calibri"/>
                <w:b/>
                <w:bCs/>
                <w:color w:val="005CA9"/>
                <w:sz w:val="18"/>
                <w:szCs w:val="18"/>
              </w:rPr>
              <w:t>(620.588)</w:t>
            </w:r>
          </w:p>
        </w:tc>
      </w:tr>
      <w:tr w:rsidR="0067438D" w:rsidRPr="006F29B4" w14:paraId="59D79D77" w14:textId="77777777" w:rsidTr="00D91FED">
        <w:trPr>
          <w:trHeight w:val="283"/>
        </w:trPr>
        <w:tc>
          <w:tcPr>
            <w:tcW w:w="1751" w:type="pct"/>
            <w:noWrap/>
            <w:vAlign w:val="center"/>
            <w:hideMark/>
          </w:tcPr>
          <w:p w14:paraId="7A44894E" w14:textId="77777777" w:rsidR="00951257" w:rsidRPr="006F29B4" w:rsidRDefault="0095125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Compromisso de </w:t>
            </w:r>
            <w:r>
              <w:rPr>
                <w:rFonts w:ascii="CAIXA Std Book" w:eastAsia="Times New Roman" w:hAnsi="CAIXA Std Book" w:cs="Arial"/>
                <w:color w:val="005CA9"/>
                <w:sz w:val="18"/>
                <w:szCs w:val="18"/>
              </w:rPr>
              <w:t>empréstimos e c</w:t>
            </w:r>
            <w:r w:rsidRPr="006F29B4">
              <w:rPr>
                <w:rFonts w:ascii="CAIXA Std Book" w:eastAsia="Times New Roman" w:hAnsi="CAIXA Std Book" w:cs="Arial"/>
                <w:color w:val="005CA9"/>
                <w:sz w:val="18"/>
                <w:szCs w:val="18"/>
              </w:rPr>
              <w:t>rédito</w:t>
            </w:r>
            <w:r>
              <w:rPr>
                <w:rFonts w:ascii="CAIXA Std Book" w:eastAsia="Times New Roman" w:hAnsi="CAIXA Std Book" w:cs="Arial"/>
                <w:color w:val="005CA9"/>
                <w:sz w:val="18"/>
                <w:szCs w:val="18"/>
              </w:rPr>
              <w:t>s</w:t>
            </w:r>
            <w:r w:rsidRPr="006F29B4">
              <w:rPr>
                <w:rFonts w:ascii="CAIXA Std Book" w:eastAsia="Times New Roman" w:hAnsi="CAIXA Std Book" w:cs="Arial"/>
                <w:color w:val="005CA9"/>
                <w:sz w:val="18"/>
                <w:szCs w:val="18"/>
              </w:rPr>
              <w:t xml:space="preserve"> a </w:t>
            </w:r>
            <w:r>
              <w:rPr>
                <w:rFonts w:ascii="CAIXA Std Book" w:eastAsia="Times New Roman" w:hAnsi="CAIXA Std Book" w:cs="Arial"/>
                <w:color w:val="005CA9"/>
                <w:sz w:val="18"/>
                <w:szCs w:val="18"/>
              </w:rPr>
              <w:t>l</w:t>
            </w:r>
            <w:r w:rsidRPr="006F29B4">
              <w:rPr>
                <w:rFonts w:ascii="CAIXA Std Book" w:eastAsia="Times New Roman" w:hAnsi="CAIXA Std Book" w:cs="Arial"/>
                <w:color w:val="005CA9"/>
                <w:sz w:val="18"/>
                <w:szCs w:val="18"/>
              </w:rPr>
              <w:t>iberar</w:t>
            </w:r>
          </w:p>
        </w:tc>
        <w:tc>
          <w:tcPr>
            <w:tcW w:w="650" w:type="pct"/>
            <w:noWrap/>
            <w:vAlign w:val="center"/>
          </w:tcPr>
          <w:p w14:paraId="325471B8" w14:textId="5AE57402" w:rsidR="00951257" w:rsidRPr="006F29B4" w:rsidRDefault="00180324" w:rsidP="0005560B">
            <w:pPr>
              <w:jc w:val="right"/>
              <w:rPr>
                <w:rFonts w:ascii="CAIXA Std Book" w:eastAsia="Times New Roman" w:hAnsi="CAIXA Std Book" w:cs="Arial"/>
                <w:color w:val="005CA9"/>
                <w:sz w:val="18"/>
                <w:szCs w:val="18"/>
              </w:rPr>
            </w:pPr>
            <w:r>
              <w:rPr>
                <w:rFonts w:ascii="CAIXA Std Book" w:hAnsi="CAIXA Std Book" w:cs="Calibri"/>
                <w:color w:val="005CA9"/>
                <w:sz w:val="18"/>
                <w:szCs w:val="18"/>
              </w:rPr>
              <w:t>(734.746)</w:t>
            </w:r>
          </w:p>
        </w:tc>
        <w:tc>
          <w:tcPr>
            <w:tcW w:w="650" w:type="pct"/>
            <w:noWrap/>
            <w:vAlign w:val="center"/>
          </w:tcPr>
          <w:p w14:paraId="6C9B6766" w14:textId="37DFDA3B" w:rsidR="00951257" w:rsidRPr="006F29B4" w:rsidRDefault="00180324" w:rsidP="0005560B">
            <w:pPr>
              <w:jc w:val="right"/>
              <w:rPr>
                <w:rFonts w:ascii="CAIXA Std Book" w:eastAsia="Times New Roman" w:hAnsi="CAIXA Std Book" w:cs="Arial"/>
                <w:color w:val="005CA9"/>
                <w:sz w:val="18"/>
                <w:szCs w:val="18"/>
              </w:rPr>
            </w:pPr>
            <w:r>
              <w:rPr>
                <w:rFonts w:ascii="CAIXA Std Book" w:hAnsi="CAIXA Std Book" w:cs="Calibri"/>
                <w:color w:val="005CA9"/>
                <w:sz w:val="18"/>
                <w:szCs w:val="18"/>
              </w:rPr>
              <w:t>262.079</w:t>
            </w:r>
          </w:p>
        </w:tc>
        <w:tc>
          <w:tcPr>
            <w:tcW w:w="650" w:type="pct"/>
            <w:noWrap/>
            <w:vAlign w:val="center"/>
          </w:tcPr>
          <w:p w14:paraId="20DA9FCE" w14:textId="71353A25" w:rsidR="00951257" w:rsidRPr="006F29B4" w:rsidRDefault="00180324" w:rsidP="0005560B">
            <w:pPr>
              <w:jc w:val="right"/>
              <w:rPr>
                <w:rFonts w:ascii="CAIXA Std Book" w:eastAsia="Times New Roman" w:hAnsi="CAIXA Std Book" w:cs="Arial"/>
                <w:color w:val="005CA9"/>
                <w:sz w:val="18"/>
                <w:szCs w:val="18"/>
              </w:rPr>
            </w:pPr>
            <w:r>
              <w:rPr>
                <w:rFonts w:ascii="CAIXA Std Book" w:hAnsi="CAIXA Std Book" w:cs="Calibri"/>
                <w:color w:val="005CA9"/>
                <w:sz w:val="18"/>
                <w:szCs w:val="18"/>
              </w:rPr>
              <w:t>(62.297)</w:t>
            </w:r>
          </w:p>
        </w:tc>
        <w:tc>
          <w:tcPr>
            <w:tcW w:w="650" w:type="pct"/>
            <w:noWrap/>
            <w:vAlign w:val="center"/>
          </w:tcPr>
          <w:p w14:paraId="7E315D1A" w14:textId="240CCCB1" w:rsidR="00951257" w:rsidRPr="006F29B4" w:rsidRDefault="00180324" w:rsidP="0005560B">
            <w:pPr>
              <w:jc w:val="right"/>
              <w:rPr>
                <w:rFonts w:ascii="CAIXA Std Book" w:eastAsia="Times New Roman" w:hAnsi="CAIXA Std Book" w:cs="Arial"/>
                <w:color w:val="005CA9"/>
                <w:sz w:val="18"/>
                <w:szCs w:val="18"/>
              </w:rPr>
            </w:pPr>
            <w:r>
              <w:rPr>
                <w:rFonts w:ascii="CAIXA Std Book" w:hAnsi="CAIXA Std Book" w:cs="Calibri"/>
                <w:color w:val="005CA9"/>
                <w:sz w:val="18"/>
                <w:szCs w:val="18"/>
              </w:rPr>
              <w:t>(84.383)</w:t>
            </w:r>
          </w:p>
        </w:tc>
        <w:tc>
          <w:tcPr>
            <w:tcW w:w="649" w:type="pct"/>
            <w:noWrap/>
            <w:vAlign w:val="center"/>
          </w:tcPr>
          <w:p w14:paraId="46CDA249" w14:textId="40D31618" w:rsidR="00951257" w:rsidRPr="006F29B4" w:rsidRDefault="00180324" w:rsidP="0005560B">
            <w:pPr>
              <w:jc w:val="right"/>
              <w:rPr>
                <w:rFonts w:ascii="CAIXA Std Book" w:eastAsia="Times New Roman" w:hAnsi="CAIXA Std Book" w:cs="Arial"/>
                <w:color w:val="005CA9"/>
                <w:sz w:val="18"/>
                <w:szCs w:val="18"/>
              </w:rPr>
            </w:pPr>
            <w:r>
              <w:rPr>
                <w:rFonts w:ascii="CAIXA Std Book" w:hAnsi="CAIXA Std Book" w:cs="Calibri"/>
                <w:color w:val="005CA9"/>
                <w:sz w:val="18"/>
                <w:szCs w:val="18"/>
              </w:rPr>
              <w:t>(619.347)</w:t>
            </w:r>
          </w:p>
        </w:tc>
      </w:tr>
      <w:tr w:rsidR="0067438D" w:rsidRPr="006F29B4" w14:paraId="34B6E81A" w14:textId="77777777" w:rsidTr="00D91FED">
        <w:trPr>
          <w:trHeight w:val="283"/>
        </w:trPr>
        <w:tc>
          <w:tcPr>
            <w:tcW w:w="1751" w:type="pct"/>
            <w:noWrap/>
            <w:vAlign w:val="center"/>
            <w:hideMark/>
          </w:tcPr>
          <w:p w14:paraId="3FC0BAFE" w14:textId="77777777" w:rsidR="00951257" w:rsidRPr="006F29B4" w:rsidRDefault="0095125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Garantias </w:t>
            </w:r>
            <w:r>
              <w:rPr>
                <w:rFonts w:ascii="CAIXA Std Book" w:eastAsia="Times New Roman" w:hAnsi="CAIXA Std Book" w:cs="Arial"/>
                <w:color w:val="005CA9"/>
                <w:sz w:val="18"/>
                <w:szCs w:val="18"/>
              </w:rPr>
              <w:t>f</w:t>
            </w:r>
            <w:r w:rsidRPr="006F29B4">
              <w:rPr>
                <w:rFonts w:ascii="CAIXA Std Book" w:eastAsia="Times New Roman" w:hAnsi="CAIXA Std Book" w:cs="Arial"/>
                <w:color w:val="005CA9"/>
                <w:sz w:val="18"/>
                <w:szCs w:val="18"/>
              </w:rPr>
              <w:t xml:space="preserve">inanceiras </w:t>
            </w:r>
            <w:r>
              <w:rPr>
                <w:rFonts w:ascii="CAIXA Std Book" w:eastAsia="Times New Roman" w:hAnsi="CAIXA Std Book" w:cs="Arial"/>
                <w:color w:val="005CA9"/>
                <w:sz w:val="18"/>
                <w:szCs w:val="18"/>
              </w:rPr>
              <w:t>p</w:t>
            </w:r>
            <w:r w:rsidRPr="006F29B4">
              <w:rPr>
                <w:rFonts w:ascii="CAIXA Std Book" w:eastAsia="Times New Roman" w:hAnsi="CAIXA Std Book" w:cs="Arial"/>
                <w:color w:val="005CA9"/>
                <w:sz w:val="18"/>
                <w:szCs w:val="18"/>
              </w:rPr>
              <w:t>restadas</w:t>
            </w:r>
          </w:p>
        </w:tc>
        <w:tc>
          <w:tcPr>
            <w:tcW w:w="650" w:type="pct"/>
            <w:noWrap/>
            <w:vAlign w:val="center"/>
          </w:tcPr>
          <w:p w14:paraId="5FD2772A" w14:textId="05E867CF" w:rsidR="00951257" w:rsidRPr="00AB7390" w:rsidRDefault="00180324" w:rsidP="00180324">
            <w:pPr>
              <w:jc w:val="right"/>
              <w:rPr>
                <w:rFonts w:ascii="CAIXA Std Book" w:hAnsi="CAIXA Std Book" w:cs="Calibri"/>
                <w:color w:val="005CA9"/>
                <w:sz w:val="18"/>
                <w:szCs w:val="18"/>
              </w:rPr>
            </w:pPr>
            <w:r>
              <w:rPr>
                <w:rFonts w:ascii="CAIXA Std Book" w:hAnsi="CAIXA Std Book" w:cs="Calibri"/>
                <w:color w:val="005CA9"/>
                <w:sz w:val="18"/>
                <w:szCs w:val="18"/>
              </w:rPr>
              <w:t>(1.416)</w:t>
            </w:r>
          </w:p>
        </w:tc>
        <w:tc>
          <w:tcPr>
            <w:tcW w:w="650" w:type="pct"/>
            <w:noWrap/>
            <w:vAlign w:val="center"/>
          </w:tcPr>
          <w:p w14:paraId="28327EBF" w14:textId="084F705A" w:rsidR="00951257" w:rsidRPr="00AB7390" w:rsidRDefault="00180324" w:rsidP="00180324">
            <w:pPr>
              <w:jc w:val="right"/>
              <w:rPr>
                <w:rFonts w:ascii="CAIXA Std Book" w:hAnsi="CAIXA Std Book" w:cs="Calibri"/>
                <w:color w:val="005CA9"/>
                <w:sz w:val="18"/>
                <w:szCs w:val="18"/>
              </w:rPr>
            </w:pPr>
            <w:r>
              <w:rPr>
                <w:rFonts w:ascii="CAIXA Std Book" w:hAnsi="CAIXA Std Book" w:cs="Calibri"/>
                <w:color w:val="005CA9"/>
                <w:sz w:val="18"/>
                <w:szCs w:val="18"/>
              </w:rPr>
              <w:t>609</w:t>
            </w:r>
          </w:p>
        </w:tc>
        <w:tc>
          <w:tcPr>
            <w:tcW w:w="650" w:type="pct"/>
            <w:noWrap/>
            <w:vAlign w:val="center"/>
          </w:tcPr>
          <w:p w14:paraId="34351BDC" w14:textId="10FF9E18" w:rsidR="00951257" w:rsidRPr="00296584" w:rsidRDefault="00180324" w:rsidP="00180324">
            <w:pPr>
              <w:jc w:val="right"/>
              <w:rPr>
                <w:rFonts w:ascii="CAIXA Std Book" w:eastAsia="Times New Roman" w:hAnsi="CAIXA Std Book" w:cs="Arial"/>
                <w:color w:val="005CA9"/>
                <w:sz w:val="18"/>
                <w:szCs w:val="18"/>
              </w:rPr>
            </w:pPr>
            <w:r>
              <w:rPr>
                <w:rFonts w:ascii="CAIXA Std Book" w:hAnsi="CAIXA Std Book" w:cs="Calibri"/>
                <w:color w:val="005CA9"/>
                <w:sz w:val="18"/>
                <w:szCs w:val="18"/>
              </w:rPr>
              <w:t>(186)</w:t>
            </w:r>
          </w:p>
        </w:tc>
        <w:tc>
          <w:tcPr>
            <w:tcW w:w="650" w:type="pct"/>
            <w:noWrap/>
            <w:vAlign w:val="center"/>
          </w:tcPr>
          <w:p w14:paraId="747AA2C8" w14:textId="4D677C6C" w:rsidR="00951257" w:rsidRPr="00296584" w:rsidRDefault="00180324" w:rsidP="00180324">
            <w:pPr>
              <w:jc w:val="right"/>
              <w:rPr>
                <w:rFonts w:ascii="CAIXA Std Book" w:eastAsia="Times New Roman" w:hAnsi="CAIXA Std Book" w:cs="Arial"/>
                <w:color w:val="005CA9"/>
                <w:sz w:val="18"/>
                <w:szCs w:val="18"/>
              </w:rPr>
            </w:pPr>
            <w:r>
              <w:rPr>
                <w:rFonts w:ascii="CAIXA Std Book" w:hAnsi="CAIXA Std Book" w:cs="Calibri"/>
                <w:color w:val="005CA9"/>
                <w:sz w:val="18"/>
                <w:szCs w:val="18"/>
              </w:rPr>
              <w:t>(248)</w:t>
            </w:r>
          </w:p>
        </w:tc>
        <w:tc>
          <w:tcPr>
            <w:tcW w:w="649" w:type="pct"/>
            <w:noWrap/>
            <w:vAlign w:val="center"/>
          </w:tcPr>
          <w:p w14:paraId="1FC3C706" w14:textId="75878285" w:rsidR="00951257" w:rsidRPr="00296584" w:rsidRDefault="00180324" w:rsidP="0005560B">
            <w:pPr>
              <w:jc w:val="right"/>
              <w:rPr>
                <w:rFonts w:ascii="CAIXA Std Book" w:eastAsia="Times New Roman" w:hAnsi="CAIXA Std Book" w:cs="Arial"/>
                <w:color w:val="005CA9"/>
                <w:sz w:val="18"/>
                <w:szCs w:val="18"/>
              </w:rPr>
            </w:pPr>
            <w:r>
              <w:rPr>
                <w:rFonts w:ascii="CAIXA Std Book" w:hAnsi="CAIXA Std Book" w:cs="Calibri"/>
                <w:color w:val="005CA9"/>
                <w:sz w:val="18"/>
                <w:szCs w:val="18"/>
              </w:rPr>
              <w:t>(1.241)</w:t>
            </w:r>
          </w:p>
        </w:tc>
      </w:tr>
      <w:tr w:rsidR="00F50332" w:rsidRPr="006F29B4" w14:paraId="5CEA7A0E" w14:textId="77777777" w:rsidTr="00D91FED">
        <w:trPr>
          <w:trHeight w:val="283"/>
        </w:trPr>
        <w:tc>
          <w:tcPr>
            <w:tcW w:w="1751" w:type="pct"/>
            <w:shd w:val="clear" w:color="auto" w:fill="005CA9"/>
            <w:noWrap/>
            <w:vAlign w:val="center"/>
            <w:hideMark/>
          </w:tcPr>
          <w:p w14:paraId="67F30CC1" w14:textId="77777777" w:rsidR="00951257" w:rsidRPr="006F29B4" w:rsidRDefault="00951257">
            <w:pP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Total</w:t>
            </w:r>
          </w:p>
        </w:tc>
        <w:tc>
          <w:tcPr>
            <w:tcW w:w="650" w:type="pct"/>
            <w:shd w:val="clear" w:color="000000" w:fill="005CA9"/>
            <w:noWrap/>
            <w:vAlign w:val="center"/>
          </w:tcPr>
          <w:p w14:paraId="723D23BF" w14:textId="26BC6B3E" w:rsidR="00951257" w:rsidRPr="006F29B4" w:rsidRDefault="00180324" w:rsidP="0005560B">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(11.916.685)</w:t>
            </w:r>
          </w:p>
        </w:tc>
        <w:tc>
          <w:tcPr>
            <w:tcW w:w="650" w:type="pct"/>
            <w:shd w:val="clear" w:color="000000" w:fill="005CA9"/>
            <w:vAlign w:val="center"/>
          </w:tcPr>
          <w:p w14:paraId="2E915C36" w14:textId="11E920F0" w:rsidR="00951257" w:rsidRPr="00570607" w:rsidRDefault="00180324" w:rsidP="0005560B">
            <w:pPr>
              <w:jc w:val="right"/>
              <w:rPr>
                <w:rFonts w:ascii="CAIXA Std Book" w:hAnsi="CAIXA Std Book" w:cs="Calibri"/>
                <w:b/>
                <w:bCs/>
                <w:color w:val="FFFFFF"/>
                <w:sz w:val="18"/>
                <w:szCs w:val="18"/>
              </w:rPr>
            </w:pPr>
            <w:r>
              <w:rPr>
                <w:rFonts w:ascii="CAIXA Std Book" w:hAnsi="CAIXA Std Book" w:cs="Calibri"/>
                <w:b/>
                <w:bCs/>
                <w:color w:val="FFFFFF"/>
                <w:sz w:val="18"/>
                <w:szCs w:val="18"/>
              </w:rPr>
              <w:t>2.261.979</w:t>
            </w:r>
          </w:p>
        </w:tc>
        <w:tc>
          <w:tcPr>
            <w:tcW w:w="650" w:type="pct"/>
            <w:shd w:val="clear" w:color="000000" w:fill="005CA9"/>
            <w:vAlign w:val="center"/>
          </w:tcPr>
          <w:p w14:paraId="198B46FB" w14:textId="453DE4F3" w:rsidR="00951257" w:rsidRPr="00C32E49" w:rsidRDefault="00180324" w:rsidP="0005560B">
            <w:pPr>
              <w:jc w:val="right"/>
              <w:rPr>
                <w:rFonts w:ascii="CAIXA Std Book" w:hAnsi="CAIXA Std Book" w:cs="Calibri"/>
                <w:b/>
                <w:color w:val="FFFFFF"/>
                <w:sz w:val="18"/>
                <w:szCs w:val="18"/>
              </w:rPr>
            </w:pPr>
            <w:r>
              <w:rPr>
                <w:rFonts w:ascii="CAIXA Std Book" w:hAnsi="CAIXA Std Book" w:cs="Calibri"/>
                <w:b/>
                <w:bCs/>
                <w:color w:val="FFFFFF"/>
                <w:sz w:val="18"/>
                <w:szCs w:val="18"/>
              </w:rPr>
              <w:t>(505.879)</w:t>
            </w:r>
          </w:p>
        </w:tc>
        <w:tc>
          <w:tcPr>
            <w:tcW w:w="650" w:type="pct"/>
            <w:shd w:val="clear" w:color="000000" w:fill="005CA9"/>
            <w:vAlign w:val="center"/>
          </w:tcPr>
          <w:p w14:paraId="0F2EC9FA" w14:textId="79149062" w:rsidR="00951257" w:rsidRPr="00E2008A" w:rsidRDefault="00180324" w:rsidP="0005560B">
            <w:pPr>
              <w:jc w:val="right"/>
              <w:rPr>
                <w:rFonts w:ascii="CAIXA Std Book" w:hAnsi="CAIXA Std Book" w:cs="Calibri"/>
                <w:b/>
                <w:color w:val="FFFFFF"/>
                <w:sz w:val="18"/>
                <w:szCs w:val="18"/>
              </w:rPr>
            </w:pPr>
            <w:r>
              <w:rPr>
                <w:rFonts w:ascii="CAIXA Std Book" w:hAnsi="CAIXA Std Book" w:cs="Calibri"/>
                <w:b/>
                <w:bCs/>
                <w:color w:val="FFFFFF"/>
                <w:sz w:val="18"/>
                <w:szCs w:val="18"/>
              </w:rPr>
              <w:t>(1.305.116)</w:t>
            </w:r>
          </w:p>
        </w:tc>
        <w:tc>
          <w:tcPr>
            <w:tcW w:w="649" w:type="pct"/>
            <w:shd w:val="clear" w:color="000000" w:fill="005CA9"/>
            <w:vAlign w:val="center"/>
          </w:tcPr>
          <w:p w14:paraId="1107378B" w14:textId="3F199A0D" w:rsidR="00951257" w:rsidRPr="00CD4005" w:rsidRDefault="00180324" w:rsidP="0005560B">
            <w:pPr>
              <w:jc w:val="right"/>
              <w:rPr>
                <w:rFonts w:ascii="CAIXA Std Book" w:hAnsi="CAIXA Std Book" w:cs="Calibri"/>
                <w:b/>
                <w:color w:val="FFFFFF"/>
                <w:sz w:val="18"/>
                <w:szCs w:val="18"/>
              </w:rPr>
            </w:pPr>
            <w:r>
              <w:rPr>
                <w:rFonts w:ascii="CAIXA Std Book" w:hAnsi="CAIXA Std Book" w:cs="Calibri"/>
                <w:b/>
                <w:bCs/>
                <w:color w:val="FFFFFF"/>
                <w:sz w:val="18"/>
                <w:szCs w:val="18"/>
              </w:rPr>
              <w:t>(11.465.701)</w:t>
            </w:r>
          </w:p>
        </w:tc>
      </w:tr>
    </w:tbl>
    <w:p w14:paraId="3154CD0F" w14:textId="77777777" w:rsidR="00951257" w:rsidRDefault="00951257" w:rsidP="00951257">
      <w:pPr>
        <w:rPr>
          <w:rFonts w:ascii="CAIXA Std Book" w:hAnsi="CAIXA Std Book"/>
          <w:b/>
          <w:color w:val="005CA9"/>
          <w:sz w:val="20"/>
          <w:szCs w:val="20"/>
        </w:rPr>
      </w:pPr>
    </w:p>
    <w:tbl>
      <w:tblPr>
        <w:tblW w:w="5001" w:type="pct"/>
        <w:tblCellMar>
          <w:left w:w="70" w:type="dxa"/>
          <w:right w:w="70" w:type="dxa"/>
        </w:tblCellMar>
        <w:tblLook w:val="04A0" w:firstRow="1" w:lastRow="0" w:firstColumn="1" w:lastColumn="0" w:noHBand="0" w:noVBand="1"/>
      </w:tblPr>
      <w:tblGrid>
        <w:gridCol w:w="5104"/>
        <w:gridCol w:w="1895"/>
        <w:gridCol w:w="1894"/>
        <w:gridCol w:w="1894"/>
        <w:gridCol w:w="1894"/>
        <w:gridCol w:w="1891"/>
      </w:tblGrid>
      <w:tr w:rsidR="00805005" w:rsidRPr="006F29B4" w14:paraId="0847CCFE" w14:textId="77777777" w:rsidTr="00D91FED">
        <w:trPr>
          <w:trHeight w:val="283"/>
        </w:trPr>
        <w:tc>
          <w:tcPr>
            <w:tcW w:w="5000" w:type="pct"/>
            <w:gridSpan w:val="6"/>
            <w:tcBorders>
              <w:bottom w:val="single" w:sz="4" w:space="0" w:color="FFFFFF" w:themeColor="background1"/>
            </w:tcBorders>
            <w:shd w:val="clear" w:color="auto" w:fill="005CA9"/>
            <w:noWrap/>
            <w:vAlign w:val="center"/>
            <w:hideMark/>
          </w:tcPr>
          <w:p w14:paraId="32A1E7D6" w14:textId="7AC1341E" w:rsidR="00951257" w:rsidRPr="00DC72B3" w:rsidRDefault="00951257">
            <w:pPr>
              <w:jc w:val="center"/>
              <w:rPr>
                <w:rFonts w:ascii="CAIXA Std Book" w:eastAsia="Times New Roman" w:hAnsi="CAIXA Std Book" w:cs="Arial"/>
                <w:b/>
                <w:bCs/>
                <w:color w:val="FFFFFF"/>
                <w:sz w:val="18"/>
                <w:szCs w:val="18"/>
              </w:rPr>
            </w:pPr>
            <w:r>
              <w:rPr>
                <w:rFonts w:ascii="CAIXA Std Book" w:eastAsia="Times New Roman" w:hAnsi="CAIXA Std Book" w:cs="Calibri"/>
                <w:b/>
                <w:color w:val="FFFFFF"/>
                <w:sz w:val="18"/>
                <w:szCs w:val="18"/>
              </w:rPr>
              <w:t>Consolidado</w:t>
            </w:r>
          </w:p>
        </w:tc>
      </w:tr>
      <w:tr w:rsidR="0015386D" w:rsidRPr="006F29B4" w14:paraId="36A08A03" w14:textId="77777777" w:rsidTr="00D91FED">
        <w:trPr>
          <w:trHeight w:val="283"/>
        </w:trPr>
        <w:tc>
          <w:tcPr>
            <w:tcW w:w="1751" w:type="pct"/>
            <w:tcBorders>
              <w:top w:val="single" w:sz="4" w:space="0" w:color="FFFFFF" w:themeColor="background1"/>
            </w:tcBorders>
            <w:shd w:val="clear" w:color="auto" w:fill="005CA9"/>
            <w:vAlign w:val="center"/>
            <w:hideMark/>
          </w:tcPr>
          <w:p w14:paraId="458FF45B" w14:textId="77777777" w:rsidR="00951257" w:rsidRPr="006F29B4" w:rsidRDefault="0095125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Estágio 2</w:t>
            </w:r>
          </w:p>
        </w:tc>
        <w:tc>
          <w:tcPr>
            <w:tcW w:w="650" w:type="pct"/>
            <w:tcBorders>
              <w:top w:val="single" w:sz="4" w:space="0" w:color="FFFFFF" w:themeColor="background1"/>
            </w:tcBorders>
            <w:shd w:val="clear" w:color="auto" w:fill="005CA9"/>
            <w:vAlign w:val="center"/>
            <w:hideMark/>
          </w:tcPr>
          <w:p w14:paraId="3E9E16DC" w14:textId="23011BB0" w:rsidR="00951257" w:rsidRPr="006F29B4" w:rsidRDefault="0095125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Saldo em </w:t>
            </w:r>
            <w:r w:rsidR="0067638B">
              <w:rPr>
                <w:rFonts w:ascii="CAIXA Std Book" w:eastAsia="Times New Roman" w:hAnsi="CAIXA Std Book" w:cs="Arial"/>
                <w:b/>
                <w:color w:val="FFFFFF"/>
                <w:sz w:val="18"/>
                <w:szCs w:val="18"/>
              </w:rPr>
              <w:t>31/12/2025</w:t>
            </w:r>
          </w:p>
        </w:tc>
        <w:tc>
          <w:tcPr>
            <w:tcW w:w="650" w:type="pct"/>
            <w:tcBorders>
              <w:top w:val="single" w:sz="4" w:space="0" w:color="FFFFFF" w:themeColor="background1"/>
            </w:tcBorders>
            <w:shd w:val="clear" w:color="auto" w:fill="005CA9"/>
            <w:vAlign w:val="center"/>
            <w:hideMark/>
          </w:tcPr>
          <w:p w14:paraId="51DFBA8E" w14:textId="77777777" w:rsidR="00951257" w:rsidRPr="006F29B4" w:rsidRDefault="0095125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Constituição/ reversão</w:t>
            </w:r>
          </w:p>
        </w:tc>
        <w:tc>
          <w:tcPr>
            <w:tcW w:w="650" w:type="pct"/>
            <w:tcBorders>
              <w:top w:val="single" w:sz="4" w:space="0" w:color="FFFFFF" w:themeColor="background1"/>
            </w:tcBorders>
            <w:shd w:val="clear" w:color="auto" w:fill="005CA9"/>
            <w:vAlign w:val="center"/>
            <w:hideMark/>
          </w:tcPr>
          <w:p w14:paraId="0F04C21D" w14:textId="77777777" w:rsidR="00951257" w:rsidRPr="006F29B4" w:rsidRDefault="0095125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Transferência do/ para estágio </w:t>
            </w:r>
            <w:r>
              <w:rPr>
                <w:rFonts w:ascii="CAIXA Std Book" w:eastAsia="Times New Roman" w:hAnsi="CAIXA Std Book" w:cs="Arial"/>
                <w:b/>
                <w:color w:val="FFFFFF"/>
                <w:sz w:val="18"/>
                <w:szCs w:val="18"/>
              </w:rPr>
              <w:t>1</w:t>
            </w:r>
          </w:p>
        </w:tc>
        <w:tc>
          <w:tcPr>
            <w:tcW w:w="650" w:type="pct"/>
            <w:tcBorders>
              <w:top w:val="single" w:sz="4" w:space="0" w:color="FFFFFF" w:themeColor="background1"/>
            </w:tcBorders>
            <w:shd w:val="clear" w:color="auto" w:fill="005CA9"/>
            <w:vAlign w:val="center"/>
            <w:hideMark/>
          </w:tcPr>
          <w:p w14:paraId="449794EC" w14:textId="77777777" w:rsidR="00951257" w:rsidRDefault="0095125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Transferência do/</w:t>
            </w:r>
          </w:p>
          <w:p w14:paraId="0638F908" w14:textId="77777777" w:rsidR="00951257" w:rsidRPr="006F29B4" w:rsidRDefault="0095125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para estágio 3</w:t>
            </w:r>
          </w:p>
        </w:tc>
        <w:tc>
          <w:tcPr>
            <w:tcW w:w="649" w:type="pct"/>
            <w:tcBorders>
              <w:top w:val="single" w:sz="4" w:space="0" w:color="FFFFFF" w:themeColor="background1"/>
            </w:tcBorders>
            <w:shd w:val="clear" w:color="auto" w:fill="005CA9"/>
            <w:vAlign w:val="center"/>
            <w:hideMark/>
          </w:tcPr>
          <w:p w14:paraId="52B64C78" w14:textId="4EEF973A" w:rsidR="00951257" w:rsidRPr="006F29B4" w:rsidRDefault="0095125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Saldo em </w:t>
            </w:r>
            <w:r>
              <w:rPr>
                <w:rFonts w:ascii="CAIXA Std Book" w:eastAsia="Times New Roman" w:hAnsi="CAIXA Std Book" w:cs="Arial"/>
                <w:b/>
                <w:color w:val="FFFFFF"/>
                <w:sz w:val="18"/>
                <w:szCs w:val="18"/>
              </w:rPr>
              <w:t>3</w:t>
            </w:r>
            <w:r w:rsidR="00312C72">
              <w:rPr>
                <w:rFonts w:ascii="CAIXA Std Book" w:eastAsia="Times New Roman" w:hAnsi="CAIXA Std Book" w:cs="Arial"/>
                <w:b/>
                <w:color w:val="FFFFFF"/>
                <w:sz w:val="18"/>
                <w:szCs w:val="18"/>
              </w:rPr>
              <w:t>1</w:t>
            </w:r>
            <w:r>
              <w:rPr>
                <w:rFonts w:ascii="CAIXA Std Book" w:eastAsia="Times New Roman" w:hAnsi="CAIXA Std Book" w:cs="Arial"/>
                <w:b/>
                <w:color w:val="FFFFFF"/>
                <w:sz w:val="18"/>
                <w:szCs w:val="18"/>
              </w:rPr>
              <w:t>/</w:t>
            </w:r>
            <w:r w:rsidR="00FB077C">
              <w:rPr>
                <w:rFonts w:ascii="CAIXA Std Book" w:eastAsia="Times New Roman" w:hAnsi="CAIXA Std Book" w:cs="Arial"/>
                <w:b/>
                <w:color w:val="FFFFFF"/>
                <w:sz w:val="18"/>
                <w:szCs w:val="18"/>
              </w:rPr>
              <w:t>03/2026</w:t>
            </w:r>
          </w:p>
        </w:tc>
      </w:tr>
      <w:tr w:rsidR="0015386D" w:rsidRPr="006F29B4" w14:paraId="02B04B4B" w14:textId="77777777" w:rsidTr="00D91FED">
        <w:trPr>
          <w:trHeight w:val="283"/>
        </w:trPr>
        <w:tc>
          <w:tcPr>
            <w:tcW w:w="1751" w:type="pct"/>
            <w:shd w:val="clear" w:color="auto" w:fill="D0E0E3"/>
            <w:noWrap/>
            <w:vAlign w:val="center"/>
            <w:hideMark/>
          </w:tcPr>
          <w:p w14:paraId="47DB5694" w14:textId="77777777" w:rsidR="00F355C8" w:rsidRPr="006F29B4" w:rsidRDefault="00F355C8" w:rsidP="00F355C8">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Ativos Financeiros</w:t>
            </w:r>
          </w:p>
        </w:tc>
        <w:tc>
          <w:tcPr>
            <w:tcW w:w="650" w:type="pct"/>
            <w:shd w:val="clear" w:color="000000" w:fill="D0E0E3"/>
            <w:noWrap/>
            <w:vAlign w:val="center"/>
          </w:tcPr>
          <w:p w14:paraId="44953C2A" w14:textId="7A6C8DA6" w:rsidR="00F355C8" w:rsidRPr="006F29B4" w:rsidRDefault="00180324" w:rsidP="00F355C8">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(4.854.475)</w:t>
            </w:r>
          </w:p>
        </w:tc>
        <w:tc>
          <w:tcPr>
            <w:tcW w:w="650" w:type="pct"/>
            <w:shd w:val="clear" w:color="000000" w:fill="D0E0E3"/>
            <w:noWrap/>
            <w:vAlign w:val="center"/>
          </w:tcPr>
          <w:p w14:paraId="2C31ED47" w14:textId="31830368" w:rsidR="00F355C8" w:rsidRPr="00BA72CB" w:rsidRDefault="00180324" w:rsidP="00F355C8">
            <w:pPr>
              <w:jc w:val="right"/>
              <w:rPr>
                <w:rFonts w:ascii="CAIXA Std Book" w:hAnsi="CAIXA Std Book" w:cs="Calibri"/>
                <w:b/>
                <w:bCs/>
                <w:color w:val="005CA9"/>
                <w:sz w:val="18"/>
                <w:szCs w:val="18"/>
              </w:rPr>
            </w:pPr>
            <w:r>
              <w:rPr>
                <w:rFonts w:ascii="CAIXA Std Book" w:hAnsi="CAIXA Std Book" w:cs="Calibri"/>
                <w:b/>
                <w:bCs/>
                <w:color w:val="005CA9"/>
                <w:sz w:val="18"/>
                <w:szCs w:val="18"/>
              </w:rPr>
              <w:t>(1.995.129)</w:t>
            </w:r>
          </w:p>
        </w:tc>
        <w:tc>
          <w:tcPr>
            <w:tcW w:w="650" w:type="pct"/>
            <w:shd w:val="clear" w:color="000000" w:fill="D0E0E3"/>
            <w:noWrap/>
            <w:vAlign w:val="center"/>
          </w:tcPr>
          <w:p w14:paraId="1268845A" w14:textId="7E728832" w:rsidR="00F355C8" w:rsidRPr="006F29B4" w:rsidRDefault="00180324" w:rsidP="00F355C8">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443.396</w:t>
            </w:r>
          </w:p>
        </w:tc>
        <w:tc>
          <w:tcPr>
            <w:tcW w:w="650" w:type="pct"/>
            <w:shd w:val="clear" w:color="000000" w:fill="D0E0E3"/>
            <w:noWrap/>
            <w:vAlign w:val="center"/>
          </w:tcPr>
          <w:p w14:paraId="4EAA3614" w14:textId="4987420D" w:rsidR="00F355C8" w:rsidRPr="006F29B4" w:rsidRDefault="00180324" w:rsidP="00F355C8">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1.477.099</w:t>
            </w:r>
          </w:p>
        </w:tc>
        <w:tc>
          <w:tcPr>
            <w:tcW w:w="649" w:type="pct"/>
            <w:shd w:val="clear" w:color="000000" w:fill="D0E0E3"/>
            <w:noWrap/>
            <w:vAlign w:val="center"/>
          </w:tcPr>
          <w:p w14:paraId="72E97EBF" w14:textId="64FDD0D3" w:rsidR="00F355C8" w:rsidRPr="006F29B4" w:rsidRDefault="00180324" w:rsidP="001D74C8">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(4.929.109)</w:t>
            </w:r>
          </w:p>
        </w:tc>
      </w:tr>
      <w:tr w:rsidR="0015386D" w:rsidRPr="006F29B4" w14:paraId="72ECB3F4" w14:textId="77777777" w:rsidTr="00D91FED">
        <w:trPr>
          <w:trHeight w:val="283"/>
        </w:trPr>
        <w:tc>
          <w:tcPr>
            <w:tcW w:w="1751" w:type="pct"/>
            <w:noWrap/>
            <w:vAlign w:val="center"/>
          </w:tcPr>
          <w:p w14:paraId="404530EC" w14:textId="77777777" w:rsidR="00951257" w:rsidRPr="006F29B4" w:rsidRDefault="0095125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Títulos e </w:t>
            </w:r>
            <w:r>
              <w:rPr>
                <w:rFonts w:ascii="CAIXA Std Book" w:eastAsia="Times New Roman" w:hAnsi="CAIXA Std Book" w:cs="Arial"/>
                <w:color w:val="005CA9"/>
                <w:sz w:val="18"/>
                <w:szCs w:val="18"/>
              </w:rPr>
              <w:t>v</w:t>
            </w:r>
            <w:r w:rsidRPr="006F29B4">
              <w:rPr>
                <w:rFonts w:ascii="CAIXA Std Book" w:eastAsia="Times New Roman" w:hAnsi="CAIXA Std Book" w:cs="Arial"/>
                <w:color w:val="005CA9"/>
                <w:sz w:val="18"/>
                <w:szCs w:val="18"/>
              </w:rPr>
              <w:t xml:space="preserve">alores </w:t>
            </w:r>
            <w:r>
              <w:rPr>
                <w:rFonts w:ascii="CAIXA Std Book" w:eastAsia="Times New Roman" w:hAnsi="CAIXA Std Book" w:cs="Arial"/>
                <w:color w:val="005CA9"/>
                <w:sz w:val="18"/>
                <w:szCs w:val="18"/>
              </w:rPr>
              <w:t>m</w:t>
            </w:r>
            <w:r w:rsidRPr="006F29B4">
              <w:rPr>
                <w:rFonts w:ascii="CAIXA Std Book" w:eastAsia="Times New Roman" w:hAnsi="CAIXA Std Book" w:cs="Arial"/>
                <w:color w:val="005CA9"/>
                <w:sz w:val="18"/>
                <w:szCs w:val="18"/>
              </w:rPr>
              <w:t>obiliários</w:t>
            </w:r>
          </w:p>
        </w:tc>
        <w:tc>
          <w:tcPr>
            <w:tcW w:w="650" w:type="pct"/>
            <w:noWrap/>
            <w:vAlign w:val="center"/>
          </w:tcPr>
          <w:p w14:paraId="39729BD0" w14:textId="78412243" w:rsidR="00951257" w:rsidRPr="00227395" w:rsidRDefault="00180324" w:rsidP="00180324">
            <w:pPr>
              <w:jc w:val="right"/>
              <w:rPr>
                <w:rFonts w:ascii="CAIXA Std Book" w:hAnsi="CAIXA Std Book"/>
                <w:color w:val="005CA9"/>
                <w:sz w:val="18"/>
                <w:szCs w:val="18"/>
              </w:rPr>
            </w:pPr>
            <w:r>
              <w:rPr>
                <w:rFonts w:ascii="CAIXA Std Book" w:hAnsi="CAIXA Std Book" w:cs="Calibri"/>
                <w:color w:val="005CA9"/>
                <w:sz w:val="18"/>
                <w:szCs w:val="18"/>
              </w:rPr>
              <w:t>(98.724)</w:t>
            </w:r>
          </w:p>
        </w:tc>
        <w:tc>
          <w:tcPr>
            <w:tcW w:w="650" w:type="pct"/>
            <w:noWrap/>
            <w:vAlign w:val="center"/>
          </w:tcPr>
          <w:p w14:paraId="7CD04F61" w14:textId="3EC98858" w:rsidR="00951257" w:rsidRPr="004B530D" w:rsidRDefault="00180324" w:rsidP="0005560B">
            <w:pPr>
              <w:jc w:val="right"/>
              <w:rPr>
                <w:rFonts w:ascii="CAIXA Std Book" w:hAnsi="CAIXA Std Book"/>
                <w:color w:val="005CA9"/>
                <w:sz w:val="18"/>
                <w:szCs w:val="18"/>
              </w:rPr>
            </w:pPr>
            <w:r>
              <w:rPr>
                <w:rFonts w:ascii="CAIXA Std Book" w:hAnsi="CAIXA Std Book" w:cs="Calibri"/>
                <w:color w:val="005CA9"/>
                <w:sz w:val="18"/>
                <w:szCs w:val="18"/>
              </w:rPr>
              <w:t>98.724</w:t>
            </w:r>
          </w:p>
        </w:tc>
        <w:tc>
          <w:tcPr>
            <w:tcW w:w="650" w:type="pct"/>
            <w:noWrap/>
            <w:vAlign w:val="center"/>
          </w:tcPr>
          <w:p w14:paraId="5E822DC1" w14:textId="2124C3BA" w:rsidR="00951257" w:rsidRPr="004B530D" w:rsidRDefault="00180324" w:rsidP="00180324">
            <w:pPr>
              <w:jc w:val="center"/>
              <w:rPr>
                <w:rFonts w:ascii="CAIXA Std Book" w:hAnsi="CAIXA Std Book"/>
                <w:color w:val="005CA9"/>
                <w:sz w:val="18"/>
                <w:szCs w:val="18"/>
              </w:rPr>
            </w:pPr>
            <w:r>
              <w:rPr>
                <w:rFonts w:ascii="CAIXA Std Book" w:hAnsi="CAIXA Std Book"/>
                <w:color w:val="005CA9"/>
                <w:sz w:val="18"/>
                <w:szCs w:val="18"/>
              </w:rPr>
              <w:t>-</w:t>
            </w:r>
          </w:p>
        </w:tc>
        <w:tc>
          <w:tcPr>
            <w:tcW w:w="650" w:type="pct"/>
            <w:noWrap/>
            <w:vAlign w:val="center"/>
          </w:tcPr>
          <w:p w14:paraId="43222625" w14:textId="1A7571B1" w:rsidR="00951257" w:rsidRPr="004B530D" w:rsidRDefault="00180324" w:rsidP="00045348">
            <w:pPr>
              <w:jc w:val="center"/>
              <w:rPr>
                <w:rFonts w:ascii="CAIXA Std Book" w:hAnsi="CAIXA Std Book"/>
                <w:color w:val="005CA9"/>
                <w:sz w:val="18"/>
                <w:szCs w:val="18"/>
              </w:rPr>
            </w:pPr>
            <w:r>
              <w:rPr>
                <w:rFonts w:ascii="CAIXA Std Book" w:hAnsi="CAIXA Std Book"/>
                <w:color w:val="005CA9"/>
                <w:sz w:val="18"/>
                <w:szCs w:val="18"/>
              </w:rPr>
              <w:t>-</w:t>
            </w:r>
          </w:p>
        </w:tc>
        <w:tc>
          <w:tcPr>
            <w:tcW w:w="649" w:type="pct"/>
            <w:noWrap/>
            <w:vAlign w:val="center"/>
          </w:tcPr>
          <w:p w14:paraId="101E3BE7" w14:textId="1651DD25" w:rsidR="00951257" w:rsidRPr="004B530D" w:rsidRDefault="00180324" w:rsidP="00180324">
            <w:pPr>
              <w:jc w:val="center"/>
              <w:rPr>
                <w:rFonts w:ascii="CAIXA Std Book" w:hAnsi="CAIXA Std Book"/>
                <w:color w:val="005CA9"/>
                <w:sz w:val="18"/>
                <w:szCs w:val="18"/>
              </w:rPr>
            </w:pPr>
            <w:r>
              <w:rPr>
                <w:rFonts w:ascii="CAIXA Std Book" w:hAnsi="CAIXA Std Book" w:cs="Calibri"/>
                <w:color w:val="005CA9"/>
                <w:sz w:val="18"/>
                <w:szCs w:val="18"/>
              </w:rPr>
              <w:t>-</w:t>
            </w:r>
          </w:p>
        </w:tc>
      </w:tr>
      <w:tr w:rsidR="0015386D" w:rsidRPr="006F29B4" w14:paraId="10B1D6D4" w14:textId="77777777" w:rsidTr="00D91FED">
        <w:trPr>
          <w:trHeight w:val="283"/>
        </w:trPr>
        <w:tc>
          <w:tcPr>
            <w:tcW w:w="1751" w:type="pct"/>
            <w:noWrap/>
            <w:vAlign w:val="center"/>
            <w:hideMark/>
          </w:tcPr>
          <w:p w14:paraId="7DC089D4" w14:textId="77777777" w:rsidR="002A5FEE" w:rsidRPr="006F29B4" w:rsidRDefault="002A5FEE" w:rsidP="002A5FEE">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Carteira de </w:t>
            </w:r>
            <w:r>
              <w:rPr>
                <w:rFonts w:ascii="CAIXA Std Book" w:eastAsia="Times New Roman" w:hAnsi="CAIXA Std Book" w:cs="Arial"/>
                <w:color w:val="005CA9"/>
                <w:sz w:val="18"/>
                <w:szCs w:val="18"/>
              </w:rPr>
              <w:t>c</w:t>
            </w:r>
            <w:r w:rsidRPr="006F29B4">
              <w:rPr>
                <w:rFonts w:ascii="CAIXA Std Book" w:eastAsia="Times New Roman" w:hAnsi="CAIXA Std Book" w:cs="Arial"/>
                <w:color w:val="005CA9"/>
                <w:sz w:val="18"/>
                <w:szCs w:val="18"/>
              </w:rPr>
              <w:t>rédito</w:t>
            </w:r>
          </w:p>
        </w:tc>
        <w:tc>
          <w:tcPr>
            <w:tcW w:w="650" w:type="pct"/>
            <w:noWrap/>
            <w:vAlign w:val="center"/>
          </w:tcPr>
          <w:p w14:paraId="5E748353" w14:textId="54805BA1" w:rsidR="002A5FEE" w:rsidRPr="006F29B4" w:rsidRDefault="00180324" w:rsidP="002A5FEE">
            <w:pPr>
              <w:jc w:val="right"/>
              <w:rPr>
                <w:rFonts w:ascii="CAIXA Std Book" w:eastAsia="Times New Roman" w:hAnsi="CAIXA Std Book" w:cs="Arial"/>
                <w:color w:val="005CA9"/>
                <w:sz w:val="18"/>
                <w:szCs w:val="18"/>
              </w:rPr>
            </w:pPr>
            <w:r>
              <w:rPr>
                <w:rFonts w:ascii="CAIXA Std Book" w:hAnsi="CAIXA Std Book" w:cs="Calibri"/>
                <w:color w:val="005CA9"/>
                <w:sz w:val="18"/>
                <w:szCs w:val="18"/>
              </w:rPr>
              <w:t>(4.755.751)</w:t>
            </w:r>
          </w:p>
        </w:tc>
        <w:tc>
          <w:tcPr>
            <w:tcW w:w="650" w:type="pct"/>
            <w:noWrap/>
            <w:vAlign w:val="center"/>
          </w:tcPr>
          <w:p w14:paraId="36DEE3FD" w14:textId="5B480A26" w:rsidR="002A5FEE" w:rsidRPr="006F29B4" w:rsidRDefault="00180324" w:rsidP="002A5FEE">
            <w:pPr>
              <w:jc w:val="right"/>
              <w:rPr>
                <w:rFonts w:ascii="CAIXA Std Book" w:eastAsia="Times New Roman" w:hAnsi="CAIXA Std Book" w:cs="Arial"/>
                <w:color w:val="005CA9"/>
                <w:sz w:val="18"/>
                <w:szCs w:val="18"/>
              </w:rPr>
            </w:pPr>
            <w:r>
              <w:rPr>
                <w:rFonts w:ascii="CAIXA Std Book" w:hAnsi="CAIXA Std Book" w:cs="Calibri"/>
                <w:color w:val="005CA9"/>
                <w:sz w:val="18"/>
                <w:szCs w:val="18"/>
              </w:rPr>
              <w:t>(2.093.853)</w:t>
            </w:r>
          </w:p>
        </w:tc>
        <w:tc>
          <w:tcPr>
            <w:tcW w:w="650" w:type="pct"/>
            <w:noWrap/>
            <w:vAlign w:val="center"/>
          </w:tcPr>
          <w:p w14:paraId="1FDD3CC6" w14:textId="06F970A1" w:rsidR="002A5FEE" w:rsidRPr="006F29B4" w:rsidRDefault="00180324" w:rsidP="002A5FEE">
            <w:pPr>
              <w:jc w:val="right"/>
              <w:rPr>
                <w:rFonts w:ascii="CAIXA Std Book" w:eastAsia="Times New Roman" w:hAnsi="CAIXA Std Book" w:cs="Arial"/>
                <w:color w:val="005CA9"/>
                <w:sz w:val="18"/>
                <w:szCs w:val="18"/>
              </w:rPr>
            </w:pPr>
            <w:r>
              <w:rPr>
                <w:rFonts w:ascii="CAIXA Std Book" w:hAnsi="CAIXA Std Book" w:cs="Calibri"/>
                <w:color w:val="005CA9"/>
                <w:sz w:val="18"/>
                <w:szCs w:val="18"/>
              </w:rPr>
              <w:t>443.396</w:t>
            </w:r>
          </w:p>
        </w:tc>
        <w:tc>
          <w:tcPr>
            <w:tcW w:w="650" w:type="pct"/>
            <w:noWrap/>
            <w:vAlign w:val="center"/>
          </w:tcPr>
          <w:p w14:paraId="057145EF" w14:textId="1F4DF956" w:rsidR="002A5FEE" w:rsidRPr="006F29B4" w:rsidRDefault="00180324" w:rsidP="002A5FEE">
            <w:pPr>
              <w:jc w:val="right"/>
              <w:rPr>
                <w:rFonts w:ascii="CAIXA Std Book" w:eastAsia="Times New Roman" w:hAnsi="CAIXA Std Book" w:cs="Arial"/>
                <w:color w:val="005CA9"/>
                <w:sz w:val="18"/>
                <w:szCs w:val="18"/>
              </w:rPr>
            </w:pPr>
            <w:r>
              <w:rPr>
                <w:rFonts w:ascii="CAIXA Std Book" w:hAnsi="CAIXA Std Book" w:cs="Calibri"/>
                <w:color w:val="005CA9"/>
                <w:sz w:val="18"/>
                <w:szCs w:val="18"/>
              </w:rPr>
              <w:t>1.477.099</w:t>
            </w:r>
          </w:p>
        </w:tc>
        <w:tc>
          <w:tcPr>
            <w:tcW w:w="649" w:type="pct"/>
            <w:noWrap/>
            <w:vAlign w:val="center"/>
          </w:tcPr>
          <w:p w14:paraId="659498AB" w14:textId="0D6327BF" w:rsidR="002A5FEE" w:rsidRPr="006F29B4" w:rsidRDefault="00180324" w:rsidP="002A5FEE">
            <w:pPr>
              <w:jc w:val="right"/>
              <w:rPr>
                <w:rFonts w:ascii="CAIXA Std Book" w:eastAsia="Times New Roman" w:hAnsi="CAIXA Std Book" w:cs="Arial"/>
                <w:color w:val="005CA9"/>
                <w:sz w:val="18"/>
                <w:szCs w:val="18"/>
              </w:rPr>
            </w:pPr>
            <w:r>
              <w:rPr>
                <w:rFonts w:ascii="CAIXA Std Book" w:hAnsi="CAIXA Std Book" w:cs="Calibri"/>
                <w:color w:val="005CA9"/>
                <w:sz w:val="18"/>
                <w:szCs w:val="18"/>
              </w:rPr>
              <w:t>(4.929.109)</w:t>
            </w:r>
          </w:p>
        </w:tc>
      </w:tr>
      <w:tr w:rsidR="0015386D" w:rsidRPr="006F29B4" w14:paraId="318F06C1" w14:textId="77777777" w:rsidTr="00D91FED">
        <w:trPr>
          <w:trHeight w:val="283"/>
        </w:trPr>
        <w:tc>
          <w:tcPr>
            <w:tcW w:w="1751" w:type="pct"/>
            <w:shd w:val="clear" w:color="auto" w:fill="D0E0E3"/>
            <w:noWrap/>
            <w:vAlign w:val="center"/>
            <w:hideMark/>
          </w:tcPr>
          <w:p w14:paraId="118B3C6A" w14:textId="77777777" w:rsidR="00951257" w:rsidRPr="006F29B4" w:rsidRDefault="00951257">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 xml:space="preserve">Passivos </w:t>
            </w:r>
            <w:r>
              <w:rPr>
                <w:rFonts w:ascii="CAIXA Std Book" w:eastAsia="Times New Roman" w:hAnsi="CAIXA Std Book" w:cs="Arial"/>
                <w:b/>
                <w:color w:val="005CA9"/>
                <w:sz w:val="18"/>
                <w:szCs w:val="18"/>
              </w:rPr>
              <w:t>f</w:t>
            </w:r>
            <w:r w:rsidRPr="006F29B4">
              <w:rPr>
                <w:rFonts w:ascii="CAIXA Std Book" w:eastAsia="Times New Roman" w:hAnsi="CAIXA Std Book" w:cs="Arial"/>
                <w:b/>
                <w:color w:val="005CA9"/>
                <w:sz w:val="18"/>
                <w:szCs w:val="18"/>
              </w:rPr>
              <w:t>inanceiros</w:t>
            </w:r>
          </w:p>
        </w:tc>
        <w:tc>
          <w:tcPr>
            <w:tcW w:w="650" w:type="pct"/>
            <w:shd w:val="clear" w:color="000000" w:fill="D0E0E3"/>
            <w:noWrap/>
            <w:vAlign w:val="center"/>
          </w:tcPr>
          <w:p w14:paraId="2599673B" w14:textId="13553B01" w:rsidR="00951257" w:rsidRPr="006F29B4" w:rsidRDefault="00180324" w:rsidP="0005560B">
            <w:pPr>
              <w:jc w:val="right"/>
              <w:rPr>
                <w:rFonts w:ascii="CAIXA Std Book" w:eastAsia="Times New Roman" w:hAnsi="CAIXA Std Book" w:cs="Arial"/>
                <w:b/>
                <w:color w:val="005CA9"/>
                <w:sz w:val="18"/>
                <w:szCs w:val="18"/>
              </w:rPr>
            </w:pPr>
            <w:r w:rsidRPr="0007092C">
              <w:rPr>
                <w:rFonts w:ascii="CAIXA Std Book" w:eastAsia="Times New Roman" w:hAnsi="CAIXA Std Book" w:cs="Arial"/>
                <w:b/>
                <w:color w:val="005CA9"/>
                <w:sz w:val="18"/>
                <w:szCs w:val="18"/>
              </w:rPr>
              <w:t>(282.468)</w:t>
            </w:r>
          </w:p>
        </w:tc>
        <w:tc>
          <w:tcPr>
            <w:tcW w:w="650" w:type="pct"/>
            <w:shd w:val="clear" w:color="000000" w:fill="D0E0E3"/>
            <w:noWrap/>
            <w:vAlign w:val="center"/>
          </w:tcPr>
          <w:p w14:paraId="091A092B" w14:textId="44F6E96C" w:rsidR="00951257" w:rsidRPr="006F29B4" w:rsidRDefault="00180324" w:rsidP="0005560B">
            <w:pPr>
              <w:jc w:val="right"/>
              <w:rPr>
                <w:rFonts w:ascii="CAIXA Std Book" w:eastAsia="Times New Roman" w:hAnsi="CAIXA Std Book" w:cs="Arial"/>
                <w:b/>
                <w:color w:val="005CA9"/>
                <w:sz w:val="18"/>
                <w:szCs w:val="18"/>
              </w:rPr>
            </w:pPr>
            <w:r w:rsidRPr="00A073B2">
              <w:rPr>
                <w:rFonts w:ascii="CAIXA Std Book" w:eastAsia="Times New Roman" w:hAnsi="CAIXA Std Book" w:cs="Arial"/>
                <w:b/>
                <w:color w:val="005CA9"/>
                <w:sz w:val="18"/>
                <w:szCs w:val="18"/>
              </w:rPr>
              <w:t>99.</w:t>
            </w:r>
            <w:r>
              <w:rPr>
                <w:rFonts w:ascii="CAIXA Std Book" w:hAnsi="CAIXA Std Book" w:cs="Calibri"/>
                <w:b/>
                <w:bCs/>
                <w:color w:val="005CA9"/>
                <w:sz w:val="18"/>
                <w:szCs w:val="18"/>
              </w:rPr>
              <w:t>895</w:t>
            </w:r>
          </w:p>
        </w:tc>
        <w:tc>
          <w:tcPr>
            <w:tcW w:w="650" w:type="pct"/>
            <w:shd w:val="clear" w:color="000000" w:fill="D0E0E3"/>
            <w:noWrap/>
            <w:vAlign w:val="center"/>
          </w:tcPr>
          <w:p w14:paraId="46DE7C14" w14:textId="660A0CEA" w:rsidR="00951257" w:rsidRPr="006F29B4" w:rsidRDefault="00180324" w:rsidP="0005560B">
            <w:pPr>
              <w:jc w:val="right"/>
              <w:rPr>
                <w:rFonts w:ascii="CAIXA Std Book" w:eastAsia="Times New Roman" w:hAnsi="CAIXA Std Book" w:cs="Arial"/>
                <w:b/>
                <w:color w:val="005CA9"/>
                <w:sz w:val="18"/>
                <w:szCs w:val="18"/>
              </w:rPr>
            </w:pPr>
            <w:r w:rsidRPr="00A073B2">
              <w:rPr>
                <w:rFonts w:ascii="CAIXA Std Book" w:eastAsia="Times New Roman" w:hAnsi="CAIXA Std Book" w:cs="Arial"/>
                <w:b/>
                <w:color w:val="005CA9"/>
                <w:sz w:val="18"/>
                <w:szCs w:val="18"/>
              </w:rPr>
              <w:t>62.483</w:t>
            </w:r>
          </w:p>
        </w:tc>
        <w:tc>
          <w:tcPr>
            <w:tcW w:w="650" w:type="pct"/>
            <w:shd w:val="clear" w:color="000000" w:fill="D0E0E3"/>
            <w:noWrap/>
            <w:vAlign w:val="center"/>
          </w:tcPr>
          <w:p w14:paraId="604AF3B7" w14:textId="30A6414F" w:rsidR="00951257" w:rsidRPr="006F29B4" w:rsidRDefault="00180324" w:rsidP="0005560B">
            <w:pPr>
              <w:jc w:val="right"/>
              <w:rPr>
                <w:rFonts w:ascii="CAIXA Std Book" w:eastAsia="Times New Roman" w:hAnsi="CAIXA Std Book" w:cs="Arial"/>
                <w:b/>
                <w:color w:val="005CA9"/>
                <w:sz w:val="18"/>
                <w:szCs w:val="18"/>
              </w:rPr>
            </w:pPr>
            <w:r w:rsidRPr="00463AD8">
              <w:rPr>
                <w:rFonts w:ascii="CAIXA Std Book" w:eastAsia="Times New Roman" w:hAnsi="CAIXA Std Book" w:cs="Arial"/>
                <w:b/>
                <w:color w:val="005CA9"/>
                <w:sz w:val="18"/>
                <w:szCs w:val="18"/>
              </w:rPr>
              <w:t>2.</w:t>
            </w:r>
            <w:r>
              <w:rPr>
                <w:rFonts w:ascii="CAIXA Std Book" w:hAnsi="CAIXA Std Book" w:cs="Calibri"/>
                <w:b/>
                <w:bCs/>
                <w:color w:val="005CA9"/>
                <w:sz w:val="18"/>
                <w:szCs w:val="18"/>
              </w:rPr>
              <w:t>388</w:t>
            </w:r>
          </w:p>
        </w:tc>
        <w:tc>
          <w:tcPr>
            <w:tcW w:w="649" w:type="pct"/>
            <w:shd w:val="clear" w:color="000000" w:fill="D0E0E3"/>
            <w:noWrap/>
            <w:vAlign w:val="center"/>
          </w:tcPr>
          <w:p w14:paraId="36749543" w14:textId="3AD7B954" w:rsidR="00951257" w:rsidRPr="006F29B4" w:rsidRDefault="00180324" w:rsidP="0005560B">
            <w:pPr>
              <w:jc w:val="right"/>
              <w:rPr>
                <w:rFonts w:ascii="CAIXA Std Book" w:eastAsia="Times New Roman" w:hAnsi="CAIXA Std Book" w:cs="Arial"/>
                <w:b/>
                <w:color w:val="005CA9"/>
                <w:sz w:val="18"/>
                <w:szCs w:val="18"/>
              </w:rPr>
            </w:pPr>
            <w:r w:rsidRPr="00463AD8">
              <w:rPr>
                <w:rFonts w:ascii="CAIXA Std Book" w:eastAsia="Times New Roman" w:hAnsi="CAIXA Std Book" w:cs="Arial"/>
                <w:b/>
                <w:color w:val="005CA9"/>
                <w:sz w:val="18"/>
                <w:szCs w:val="18"/>
              </w:rPr>
              <w:t>(117.702)</w:t>
            </w:r>
          </w:p>
        </w:tc>
      </w:tr>
      <w:tr w:rsidR="0015386D" w:rsidRPr="006F29B4" w14:paraId="2A8DFB91" w14:textId="77777777" w:rsidTr="00D91FED">
        <w:trPr>
          <w:trHeight w:val="283"/>
        </w:trPr>
        <w:tc>
          <w:tcPr>
            <w:tcW w:w="1751" w:type="pct"/>
            <w:noWrap/>
            <w:vAlign w:val="center"/>
            <w:hideMark/>
          </w:tcPr>
          <w:p w14:paraId="5702E4AA" w14:textId="77777777" w:rsidR="00951257" w:rsidRPr="006F29B4" w:rsidRDefault="0095125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Compromisso de </w:t>
            </w:r>
            <w:r>
              <w:rPr>
                <w:rFonts w:ascii="CAIXA Std Book" w:eastAsia="Times New Roman" w:hAnsi="CAIXA Std Book" w:cs="Arial"/>
                <w:color w:val="005CA9"/>
                <w:sz w:val="18"/>
                <w:szCs w:val="18"/>
              </w:rPr>
              <w:t>empréstimos e c</w:t>
            </w:r>
            <w:r w:rsidRPr="006F29B4">
              <w:rPr>
                <w:rFonts w:ascii="CAIXA Std Book" w:eastAsia="Times New Roman" w:hAnsi="CAIXA Std Book" w:cs="Arial"/>
                <w:color w:val="005CA9"/>
                <w:sz w:val="18"/>
                <w:szCs w:val="18"/>
              </w:rPr>
              <w:t>rédito</w:t>
            </w:r>
            <w:r>
              <w:rPr>
                <w:rFonts w:ascii="CAIXA Std Book" w:eastAsia="Times New Roman" w:hAnsi="CAIXA Std Book" w:cs="Arial"/>
                <w:color w:val="005CA9"/>
                <w:sz w:val="18"/>
                <w:szCs w:val="18"/>
              </w:rPr>
              <w:t>s</w:t>
            </w:r>
            <w:r w:rsidRPr="006F29B4">
              <w:rPr>
                <w:rFonts w:ascii="CAIXA Std Book" w:eastAsia="Times New Roman" w:hAnsi="CAIXA Std Book" w:cs="Arial"/>
                <w:color w:val="005CA9"/>
                <w:sz w:val="18"/>
                <w:szCs w:val="18"/>
              </w:rPr>
              <w:t xml:space="preserve"> a </w:t>
            </w:r>
            <w:r>
              <w:rPr>
                <w:rFonts w:ascii="CAIXA Std Book" w:eastAsia="Times New Roman" w:hAnsi="CAIXA Std Book" w:cs="Arial"/>
                <w:color w:val="005CA9"/>
                <w:sz w:val="18"/>
                <w:szCs w:val="18"/>
              </w:rPr>
              <w:t>l</w:t>
            </w:r>
            <w:r w:rsidRPr="006F29B4">
              <w:rPr>
                <w:rFonts w:ascii="CAIXA Std Book" w:eastAsia="Times New Roman" w:hAnsi="CAIXA Std Book" w:cs="Arial"/>
                <w:color w:val="005CA9"/>
                <w:sz w:val="18"/>
                <w:szCs w:val="18"/>
              </w:rPr>
              <w:t>iberar</w:t>
            </w:r>
          </w:p>
        </w:tc>
        <w:tc>
          <w:tcPr>
            <w:tcW w:w="650" w:type="pct"/>
            <w:noWrap/>
            <w:vAlign w:val="center"/>
          </w:tcPr>
          <w:p w14:paraId="250B43B2" w14:textId="4B084C81" w:rsidR="00951257" w:rsidRPr="006F29B4" w:rsidRDefault="00180324" w:rsidP="0005560B">
            <w:pPr>
              <w:jc w:val="right"/>
              <w:rPr>
                <w:rFonts w:ascii="CAIXA Std Book" w:eastAsia="Times New Roman" w:hAnsi="CAIXA Std Book" w:cs="Arial"/>
                <w:color w:val="005CA9"/>
                <w:sz w:val="18"/>
                <w:szCs w:val="18"/>
              </w:rPr>
            </w:pPr>
            <w:r>
              <w:rPr>
                <w:rFonts w:ascii="CAIXA Std Book" w:hAnsi="CAIXA Std Book"/>
                <w:color w:val="005CA9"/>
                <w:sz w:val="18"/>
                <w:szCs w:val="18"/>
              </w:rPr>
              <w:t>(281.405)</w:t>
            </w:r>
          </w:p>
        </w:tc>
        <w:tc>
          <w:tcPr>
            <w:tcW w:w="650" w:type="pct"/>
            <w:noWrap/>
            <w:vAlign w:val="center"/>
          </w:tcPr>
          <w:p w14:paraId="3C30D9C2" w14:textId="7C2C3776" w:rsidR="00951257" w:rsidRPr="006F29B4" w:rsidRDefault="00180324" w:rsidP="0005560B">
            <w:pPr>
              <w:jc w:val="right"/>
              <w:rPr>
                <w:rFonts w:ascii="CAIXA Std Book" w:eastAsia="Times New Roman" w:hAnsi="CAIXA Std Book" w:cs="Arial"/>
                <w:color w:val="005CA9"/>
                <w:sz w:val="18"/>
                <w:szCs w:val="18"/>
              </w:rPr>
            </w:pPr>
            <w:r>
              <w:rPr>
                <w:rFonts w:ascii="CAIXA Std Book" w:hAnsi="CAIXA Std Book"/>
                <w:color w:val="005CA9"/>
                <w:sz w:val="18"/>
                <w:szCs w:val="18"/>
              </w:rPr>
              <w:t>100.115</w:t>
            </w:r>
          </w:p>
        </w:tc>
        <w:tc>
          <w:tcPr>
            <w:tcW w:w="650" w:type="pct"/>
            <w:noWrap/>
            <w:vAlign w:val="center"/>
          </w:tcPr>
          <w:p w14:paraId="391EB601" w14:textId="2FC922FB" w:rsidR="00951257" w:rsidRPr="006F29B4" w:rsidRDefault="00180324" w:rsidP="0005560B">
            <w:pPr>
              <w:ind w:firstLineChars="100" w:firstLine="180"/>
              <w:jc w:val="right"/>
              <w:rPr>
                <w:rFonts w:ascii="CAIXA Std Book" w:eastAsia="Times New Roman" w:hAnsi="CAIXA Std Book" w:cs="Arial"/>
                <w:color w:val="005CA9"/>
                <w:sz w:val="18"/>
                <w:szCs w:val="18"/>
              </w:rPr>
            </w:pPr>
            <w:r>
              <w:rPr>
                <w:rFonts w:ascii="CAIXA Std Book" w:hAnsi="CAIXA Std Book"/>
                <w:color w:val="005CA9"/>
                <w:sz w:val="18"/>
                <w:szCs w:val="18"/>
              </w:rPr>
              <w:t>62.297</w:t>
            </w:r>
          </w:p>
        </w:tc>
        <w:tc>
          <w:tcPr>
            <w:tcW w:w="650" w:type="pct"/>
            <w:noWrap/>
            <w:vAlign w:val="center"/>
          </w:tcPr>
          <w:p w14:paraId="6A3905A0" w14:textId="57107305" w:rsidR="00951257" w:rsidRPr="006F29B4" w:rsidRDefault="00180324" w:rsidP="0005560B">
            <w:pPr>
              <w:jc w:val="right"/>
              <w:rPr>
                <w:rFonts w:ascii="CAIXA Std Book" w:eastAsia="Times New Roman" w:hAnsi="CAIXA Std Book" w:cs="Arial"/>
                <w:color w:val="005CA9"/>
                <w:sz w:val="18"/>
                <w:szCs w:val="18"/>
              </w:rPr>
            </w:pPr>
            <w:r>
              <w:rPr>
                <w:rFonts w:ascii="CAIXA Std Book" w:hAnsi="CAIXA Std Book"/>
                <w:color w:val="005CA9"/>
                <w:sz w:val="18"/>
                <w:szCs w:val="18"/>
              </w:rPr>
              <w:t>2.331</w:t>
            </w:r>
          </w:p>
        </w:tc>
        <w:tc>
          <w:tcPr>
            <w:tcW w:w="649" w:type="pct"/>
            <w:noWrap/>
            <w:vAlign w:val="center"/>
          </w:tcPr>
          <w:p w14:paraId="2899ACFC" w14:textId="2D196D9F" w:rsidR="00951257" w:rsidRPr="006F29B4" w:rsidRDefault="00180324" w:rsidP="0005560B">
            <w:pPr>
              <w:jc w:val="right"/>
              <w:rPr>
                <w:rFonts w:ascii="CAIXA Std Book" w:eastAsia="Times New Roman" w:hAnsi="CAIXA Std Book" w:cs="Arial"/>
                <w:color w:val="005CA9"/>
                <w:sz w:val="18"/>
                <w:szCs w:val="18"/>
              </w:rPr>
            </w:pPr>
            <w:r>
              <w:rPr>
                <w:rFonts w:ascii="CAIXA Std Book" w:hAnsi="CAIXA Std Book"/>
                <w:color w:val="005CA9"/>
                <w:sz w:val="18"/>
                <w:szCs w:val="18"/>
              </w:rPr>
              <w:t>(116.662)</w:t>
            </w:r>
          </w:p>
        </w:tc>
      </w:tr>
      <w:tr w:rsidR="0015386D" w:rsidRPr="006F29B4" w14:paraId="0B8EF836" w14:textId="77777777" w:rsidTr="00D91FED">
        <w:trPr>
          <w:trHeight w:val="283"/>
        </w:trPr>
        <w:tc>
          <w:tcPr>
            <w:tcW w:w="1751" w:type="pct"/>
            <w:noWrap/>
            <w:vAlign w:val="center"/>
            <w:hideMark/>
          </w:tcPr>
          <w:p w14:paraId="23F8B01C" w14:textId="77777777" w:rsidR="00951257" w:rsidRPr="006F29B4" w:rsidRDefault="0095125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Garantias </w:t>
            </w:r>
            <w:r>
              <w:rPr>
                <w:rFonts w:ascii="CAIXA Std Book" w:eastAsia="Times New Roman" w:hAnsi="CAIXA Std Book" w:cs="Arial"/>
                <w:color w:val="005CA9"/>
                <w:sz w:val="18"/>
                <w:szCs w:val="18"/>
              </w:rPr>
              <w:t>f</w:t>
            </w:r>
            <w:r w:rsidRPr="006F29B4">
              <w:rPr>
                <w:rFonts w:ascii="CAIXA Std Book" w:eastAsia="Times New Roman" w:hAnsi="CAIXA Std Book" w:cs="Arial"/>
                <w:color w:val="005CA9"/>
                <w:sz w:val="18"/>
                <w:szCs w:val="18"/>
              </w:rPr>
              <w:t xml:space="preserve">inanceiras </w:t>
            </w:r>
            <w:r>
              <w:rPr>
                <w:rFonts w:ascii="CAIXA Std Book" w:eastAsia="Times New Roman" w:hAnsi="CAIXA Std Book" w:cs="Arial"/>
                <w:color w:val="005CA9"/>
                <w:sz w:val="18"/>
                <w:szCs w:val="18"/>
              </w:rPr>
              <w:t>p</w:t>
            </w:r>
            <w:r w:rsidRPr="006F29B4">
              <w:rPr>
                <w:rFonts w:ascii="CAIXA Std Book" w:eastAsia="Times New Roman" w:hAnsi="CAIXA Std Book" w:cs="Arial"/>
                <w:color w:val="005CA9"/>
                <w:sz w:val="18"/>
                <w:szCs w:val="18"/>
              </w:rPr>
              <w:t>restadas</w:t>
            </w:r>
          </w:p>
        </w:tc>
        <w:tc>
          <w:tcPr>
            <w:tcW w:w="650" w:type="pct"/>
            <w:noWrap/>
            <w:vAlign w:val="center"/>
          </w:tcPr>
          <w:p w14:paraId="1688F220" w14:textId="438F2854" w:rsidR="00951257" w:rsidRPr="006F29B4" w:rsidRDefault="00180324" w:rsidP="0005560B">
            <w:pPr>
              <w:ind w:firstLineChars="100" w:firstLine="180"/>
              <w:jc w:val="right"/>
              <w:rPr>
                <w:rFonts w:ascii="CAIXA Std Book" w:eastAsia="Times New Roman" w:hAnsi="CAIXA Std Book" w:cs="Arial"/>
                <w:color w:val="005CA9"/>
                <w:sz w:val="18"/>
                <w:szCs w:val="18"/>
              </w:rPr>
            </w:pPr>
            <w:r>
              <w:rPr>
                <w:rFonts w:ascii="CAIXA Std Book" w:hAnsi="CAIXA Std Book"/>
                <w:color w:val="005CA9"/>
                <w:sz w:val="18"/>
                <w:szCs w:val="18"/>
              </w:rPr>
              <w:t>(1.063)</w:t>
            </w:r>
          </w:p>
        </w:tc>
        <w:tc>
          <w:tcPr>
            <w:tcW w:w="650" w:type="pct"/>
            <w:noWrap/>
            <w:vAlign w:val="center"/>
          </w:tcPr>
          <w:p w14:paraId="1EBD61D6" w14:textId="52A7D797" w:rsidR="00951257" w:rsidRPr="00360C4C" w:rsidRDefault="00180324" w:rsidP="0005560B">
            <w:pPr>
              <w:ind w:firstLineChars="100" w:firstLine="180"/>
              <w:jc w:val="right"/>
              <w:rPr>
                <w:rFonts w:ascii="CAIXA Std Book" w:eastAsia="Times New Roman" w:hAnsi="CAIXA Std Book" w:cs="Arial"/>
                <w:color w:val="005CA9"/>
                <w:sz w:val="18"/>
                <w:szCs w:val="18"/>
              </w:rPr>
            </w:pPr>
            <w:r>
              <w:rPr>
                <w:rFonts w:ascii="CAIXA Std Book" w:hAnsi="CAIXA Std Book"/>
                <w:color w:val="005CA9"/>
                <w:sz w:val="18"/>
                <w:szCs w:val="18"/>
              </w:rPr>
              <w:t>(</w:t>
            </w:r>
            <w:r>
              <w:rPr>
                <w:rFonts w:ascii="CAIXA Std Book" w:hAnsi="CAIXA Std Book" w:cs="Calibri"/>
                <w:color w:val="005CA9"/>
                <w:sz w:val="18"/>
                <w:szCs w:val="18"/>
              </w:rPr>
              <w:t>220</w:t>
            </w:r>
            <w:r>
              <w:rPr>
                <w:rFonts w:ascii="CAIXA Std Book" w:hAnsi="CAIXA Std Book"/>
                <w:color w:val="005CA9"/>
                <w:sz w:val="18"/>
                <w:szCs w:val="18"/>
              </w:rPr>
              <w:t>)</w:t>
            </w:r>
          </w:p>
        </w:tc>
        <w:tc>
          <w:tcPr>
            <w:tcW w:w="650" w:type="pct"/>
            <w:noWrap/>
            <w:vAlign w:val="center"/>
          </w:tcPr>
          <w:p w14:paraId="625F08A9" w14:textId="4BA15AB1" w:rsidR="00951257" w:rsidRPr="00360C4C" w:rsidRDefault="00180324" w:rsidP="0005560B">
            <w:pPr>
              <w:jc w:val="right"/>
              <w:rPr>
                <w:rFonts w:ascii="CAIXA Std Book" w:eastAsia="Times New Roman" w:hAnsi="CAIXA Std Book" w:cs="Arial"/>
                <w:color w:val="005CA9"/>
                <w:sz w:val="18"/>
                <w:szCs w:val="18"/>
                <w:highlight w:val="yellow"/>
              </w:rPr>
            </w:pPr>
            <w:r>
              <w:rPr>
                <w:rFonts w:ascii="CAIXA Std Book" w:hAnsi="CAIXA Std Book"/>
                <w:color w:val="005CA9"/>
                <w:sz w:val="18"/>
                <w:szCs w:val="18"/>
              </w:rPr>
              <w:t>186</w:t>
            </w:r>
          </w:p>
        </w:tc>
        <w:tc>
          <w:tcPr>
            <w:tcW w:w="650" w:type="pct"/>
            <w:noWrap/>
            <w:vAlign w:val="center"/>
          </w:tcPr>
          <w:p w14:paraId="72DC24E4" w14:textId="7CE80925" w:rsidR="00951257" w:rsidRPr="00360C4C" w:rsidRDefault="00180324" w:rsidP="0005560B">
            <w:pPr>
              <w:ind w:firstLineChars="100" w:firstLine="180"/>
              <w:jc w:val="right"/>
              <w:rPr>
                <w:rFonts w:ascii="CAIXA Std Book" w:eastAsia="Times New Roman" w:hAnsi="CAIXA Std Book" w:cs="Arial"/>
                <w:color w:val="005CA9"/>
                <w:sz w:val="18"/>
                <w:szCs w:val="18"/>
                <w:highlight w:val="yellow"/>
              </w:rPr>
            </w:pPr>
            <w:r>
              <w:rPr>
                <w:rFonts w:ascii="CAIXA Std Book" w:hAnsi="CAIXA Std Book" w:cs="Calibri"/>
                <w:color w:val="005CA9"/>
                <w:sz w:val="18"/>
                <w:szCs w:val="18"/>
              </w:rPr>
              <w:t>57</w:t>
            </w:r>
          </w:p>
        </w:tc>
        <w:tc>
          <w:tcPr>
            <w:tcW w:w="649" w:type="pct"/>
            <w:noWrap/>
            <w:vAlign w:val="center"/>
          </w:tcPr>
          <w:p w14:paraId="02803572" w14:textId="5770CEE2" w:rsidR="00951257" w:rsidRPr="00360C4C" w:rsidRDefault="00180324" w:rsidP="0005560B">
            <w:pPr>
              <w:ind w:firstLineChars="100" w:firstLine="180"/>
              <w:jc w:val="right"/>
              <w:rPr>
                <w:rFonts w:ascii="CAIXA Std Book" w:eastAsia="Times New Roman" w:hAnsi="CAIXA Std Book" w:cs="Arial"/>
                <w:color w:val="005CA9"/>
                <w:sz w:val="18"/>
                <w:szCs w:val="18"/>
              </w:rPr>
            </w:pPr>
            <w:r>
              <w:rPr>
                <w:rFonts w:ascii="CAIXA Std Book" w:hAnsi="CAIXA Std Book"/>
                <w:color w:val="005CA9"/>
                <w:sz w:val="18"/>
                <w:szCs w:val="18"/>
              </w:rPr>
              <w:t>(1.040)</w:t>
            </w:r>
          </w:p>
        </w:tc>
      </w:tr>
      <w:tr w:rsidR="0015386D" w:rsidRPr="006F29B4" w14:paraId="2E44ED33" w14:textId="77777777" w:rsidTr="00D91FED">
        <w:trPr>
          <w:trHeight w:val="283"/>
        </w:trPr>
        <w:tc>
          <w:tcPr>
            <w:tcW w:w="1751" w:type="pct"/>
            <w:shd w:val="clear" w:color="auto" w:fill="005CA9"/>
            <w:noWrap/>
            <w:vAlign w:val="center"/>
            <w:hideMark/>
          </w:tcPr>
          <w:p w14:paraId="06D4E007" w14:textId="77777777" w:rsidR="00951257" w:rsidRPr="006F29B4" w:rsidRDefault="00951257">
            <w:pP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Total</w:t>
            </w:r>
          </w:p>
        </w:tc>
        <w:tc>
          <w:tcPr>
            <w:tcW w:w="650" w:type="pct"/>
            <w:shd w:val="clear" w:color="000000" w:fill="005CA9"/>
            <w:noWrap/>
            <w:vAlign w:val="center"/>
          </w:tcPr>
          <w:p w14:paraId="2FA31DB0" w14:textId="2FF87326" w:rsidR="00951257" w:rsidRPr="006F29B4" w:rsidRDefault="00180324" w:rsidP="0005560B">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(5.136.943)</w:t>
            </w:r>
          </w:p>
        </w:tc>
        <w:tc>
          <w:tcPr>
            <w:tcW w:w="650" w:type="pct"/>
            <w:shd w:val="clear" w:color="000000" w:fill="005CA9"/>
            <w:vAlign w:val="center"/>
          </w:tcPr>
          <w:p w14:paraId="1FB6B984" w14:textId="3C3C2C1E" w:rsidR="00951257" w:rsidRPr="006F29B4" w:rsidRDefault="00180324" w:rsidP="0005560B">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(1.895.234)</w:t>
            </w:r>
          </w:p>
        </w:tc>
        <w:tc>
          <w:tcPr>
            <w:tcW w:w="650" w:type="pct"/>
            <w:shd w:val="clear" w:color="000000" w:fill="005CA9"/>
            <w:vAlign w:val="center"/>
          </w:tcPr>
          <w:p w14:paraId="3FF7C1F6" w14:textId="29E28BEC" w:rsidR="00951257" w:rsidRPr="006F29B4" w:rsidRDefault="00180324" w:rsidP="0005560B">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505.879</w:t>
            </w:r>
          </w:p>
        </w:tc>
        <w:tc>
          <w:tcPr>
            <w:tcW w:w="650" w:type="pct"/>
            <w:shd w:val="clear" w:color="000000" w:fill="005CA9"/>
            <w:vAlign w:val="center"/>
          </w:tcPr>
          <w:p w14:paraId="1ED8DF5F" w14:textId="1BFCB820" w:rsidR="00951257" w:rsidRPr="006F29B4" w:rsidRDefault="00180324" w:rsidP="0005560B">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1.479.487</w:t>
            </w:r>
          </w:p>
        </w:tc>
        <w:tc>
          <w:tcPr>
            <w:tcW w:w="649" w:type="pct"/>
            <w:shd w:val="clear" w:color="000000" w:fill="005CA9"/>
            <w:vAlign w:val="center"/>
          </w:tcPr>
          <w:p w14:paraId="00FE13A9" w14:textId="00948CD2" w:rsidR="00951257" w:rsidRPr="006F29B4" w:rsidRDefault="00180324" w:rsidP="0005560B">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(5.046.811)</w:t>
            </w:r>
          </w:p>
        </w:tc>
      </w:tr>
    </w:tbl>
    <w:p w14:paraId="4DAFA3E7" w14:textId="77777777" w:rsidR="001373FB" w:rsidRDefault="001373FB">
      <w:pPr>
        <w:rPr>
          <w:rFonts w:ascii="CAIXA Std Book" w:hAnsi="CAIXA Std Book"/>
          <w:b/>
          <w:color w:val="005CA9"/>
          <w:sz w:val="20"/>
          <w:szCs w:val="20"/>
        </w:rPr>
      </w:pPr>
      <w:r>
        <w:rPr>
          <w:rFonts w:ascii="CAIXA Std Book" w:hAnsi="CAIXA Std Book"/>
          <w:b/>
          <w:color w:val="005CA9"/>
          <w:sz w:val="20"/>
          <w:szCs w:val="20"/>
        </w:rPr>
        <w:br w:type="page"/>
      </w:r>
    </w:p>
    <w:tbl>
      <w:tblPr>
        <w:tblW w:w="5001" w:type="pct"/>
        <w:tblCellMar>
          <w:left w:w="70" w:type="dxa"/>
          <w:right w:w="70" w:type="dxa"/>
        </w:tblCellMar>
        <w:tblLook w:val="04A0" w:firstRow="1" w:lastRow="0" w:firstColumn="1" w:lastColumn="0" w:noHBand="0" w:noVBand="1"/>
      </w:tblPr>
      <w:tblGrid>
        <w:gridCol w:w="5101"/>
        <w:gridCol w:w="1895"/>
        <w:gridCol w:w="1894"/>
        <w:gridCol w:w="1894"/>
        <w:gridCol w:w="1894"/>
        <w:gridCol w:w="1894"/>
      </w:tblGrid>
      <w:tr w:rsidR="00805005" w:rsidRPr="006F29B4" w14:paraId="61DD1D1F" w14:textId="77777777" w:rsidTr="00D91FED">
        <w:trPr>
          <w:trHeight w:val="283"/>
        </w:trPr>
        <w:tc>
          <w:tcPr>
            <w:tcW w:w="5000" w:type="pct"/>
            <w:gridSpan w:val="6"/>
            <w:tcBorders>
              <w:bottom w:val="single" w:sz="4" w:space="0" w:color="FFFFFF" w:themeColor="background1"/>
            </w:tcBorders>
            <w:shd w:val="clear" w:color="auto" w:fill="005CA9"/>
            <w:noWrap/>
            <w:vAlign w:val="center"/>
            <w:hideMark/>
          </w:tcPr>
          <w:p w14:paraId="7CEE6D1E" w14:textId="51202804" w:rsidR="00536653" w:rsidRPr="00DC72B3" w:rsidRDefault="00536653">
            <w:pPr>
              <w:jc w:val="center"/>
              <w:rPr>
                <w:rFonts w:ascii="CAIXA Std Book" w:eastAsia="Times New Roman" w:hAnsi="CAIXA Std Book" w:cs="Arial"/>
                <w:b/>
                <w:bCs/>
                <w:color w:val="FFFFFF"/>
                <w:sz w:val="18"/>
                <w:szCs w:val="18"/>
              </w:rPr>
            </w:pPr>
            <w:r>
              <w:rPr>
                <w:rFonts w:ascii="CAIXA Std Book" w:eastAsia="Times New Roman" w:hAnsi="CAIXA Std Book" w:cs="Calibri"/>
                <w:b/>
                <w:color w:val="FFFFFF"/>
                <w:sz w:val="18"/>
                <w:szCs w:val="18"/>
              </w:rPr>
              <w:t>Consolidado</w:t>
            </w:r>
          </w:p>
        </w:tc>
      </w:tr>
      <w:tr w:rsidR="00165917" w:rsidRPr="006F29B4" w14:paraId="14B2E0E4" w14:textId="77777777" w:rsidTr="00D91FED">
        <w:trPr>
          <w:trHeight w:val="283"/>
        </w:trPr>
        <w:tc>
          <w:tcPr>
            <w:tcW w:w="1750" w:type="pct"/>
            <w:tcBorders>
              <w:top w:val="single" w:sz="4" w:space="0" w:color="FFFFFF" w:themeColor="background1"/>
            </w:tcBorders>
            <w:shd w:val="clear" w:color="auto" w:fill="005CA9"/>
            <w:vAlign w:val="center"/>
            <w:hideMark/>
          </w:tcPr>
          <w:p w14:paraId="7AB30699" w14:textId="77777777" w:rsidR="00951257" w:rsidRPr="006F29B4" w:rsidRDefault="0095125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Estágio 3</w:t>
            </w:r>
          </w:p>
        </w:tc>
        <w:tc>
          <w:tcPr>
            <w:tcW w:w="650" w:type="pct"/>
            <w:tcBorders>
              <w:top w:val="single" w:sz="4" w:space="0" w:color="FFFFFF" w:themeColor="background1"/>
            </w:tcBorders>
            <w:shd w:val="clear" w:color="auto" w:fill="005CA9"/>
            <w:vAlign w:val="center"/>
            <w:hideMark/>
          </w:tcPr>
          <w:p w14:paraId="411121B4" w14:textId="37AE6584" w:rsidR="00951257" w:rsidRPr="006F29B4" w:rsidRDefault="0095125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Saldo em </w:t>
            </w:r>
            <w:r w:rsidR="0067638B">
              <w:rPr>
                <w:rFonts w:ascii="CAIXA Std Book" w:eastAsia="Times New Roman" w:hAnsi="CAIXA Std Book" w:cs="Arial"/>
                <w:b/>
                <w:color w:val="FFFFFF"/>
                <w:sz w:val="18"/>
                <w:szCs w:val="18"/>
              </w:rPr>
              <w:t>31/12/2025</w:t>
            </w:r>
          </w:p>
        </w:tc>
        <w:tc>
          <w:tcPr>
            <w:tcW w:w="650" w:type="pct"/>
            <w:tcBorders>
              <w:top w:val="single" w:sz="4" w:space="0" w:color="FFFFFF" w:themeColor="background1"/>
            </w:tcBorders>
            <w:shd w:val="clear" w:color="auto" w:fill="005CA9"/>
            <w:vAlign w:val="center"/>
            <w:hideMark/>
          </w:tcPr>
          <w:p w14:paraId="4946D5A0" w14:textId="77777777" w:rsidR="00951257" w:rsidRPr="006F29B4" w:rsidRDefault="0095125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Constituição/ reversão</w:t>
            </w:r>
          </w:p>
        </w:tc>
        <w:tc>
          <w:tcPr>
            <w:tcW w:w="650" w:type="pct"/>
            <w:tcBorders>
              <w:top w:val="single" w:sz="4" w:space="0" w:color="FFFFFF" w:themeColor="background1"/>
            </w:tcBorders>
            <w:shd w:val="clear" w:color="auto" w:fill="005CA9"/>
            <w:vAlign w:val="center"/>
            <w:hideMark/>
          </w:tcPr>
          <w:p w14:paraId="3D7E2FCB" w14:textId="77777777" w:rsidR="00951257" w:rsidRPr="006F29B4" w:rsidRDefault="0095125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Transferência do/ para estágio </w:t>
            </w:r>
            <w:r>
              <w:rPr>
                <w:rFonts w:ascii="CAIXA Std Book" w:eastAsia="Times New Roman" w:hAnsi="CAIXA Std Book" w:cs="Arial"/>
                <w:b/>
                <w:color w:val="FFFFFF"/>
                <w:sz w:val="18"/>
                <w:szCs w:val="18"/>
              </w:rPr>
              <w:t>1</w:t>
            </w:r>
          </w:p>
        </w:tc>
        <w:tc>
          <w:tcPr>
            <w:tcW w:w="650" w:type="pct"/>
            <w:tcBorders>
              <w:top w:val="single" w:sz="4" w:space="0" w:color="FFFFFF" w:themeColor="background1"/>
            </w:tcBorders>
            <w:shd w:val="clear" w:color="auto" w:fill="005CA9"/>
            <w:vAlign w:val="center"/>
            <w:hideMark/>
          </w:tcPr>
          <w:p w14:paraId="2CFC6254" w14:textId="77777777" w:rsidR="00951257" w:rsidRDefault="0095125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Transferência do/</w:t>
            </w:r>
          </w:p>
          <w:p w14:paraId="6954F359" w14:textId="77777777" w:rsidR="00951257" w:rsidRPr="006F29B4" w:rsidRDefault="0095125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para estágio </w:t>
            </w:r>
            <w:r>
              <w:rPr>
                <w:rFonts w:ascii="CAIXA Std Book" w:eastAsia="Times New Roman" w:hAnsi="CAIXA Std Book" w:cs="Arial"/>
                <w:b/>
                <w:color w:val="FFFFFF"/>
                <w:sz w:val="18"/>
                <w:szCs w:val="18"/>
              </w:rPr>
              <w:t>2</w:t>
            </w:r>
          </w:p>
        </w:tc>
        <w:tc>
          <w:tcPr>
            <w:tcW w:w="650" w:type="pct"/>
            <w:tcBorders>
              <w:top w:val="single" w:sz="4" w:space="0" w:color="FFFFFF" w:themeColor="background1"/>
            </w:tcBorders>
            <w:shd w:val="clear" w:color="auto" w:fill="005CA9"/>
            <w:vAlign w:val="center"/>
            <w:hideMark/>
          </w:tcPr>
          <w:p w14:paraId="7B089E6E" w14:textId="2AE15FB2" w:rsidR="00951257" w:rsidRPr="006F29B4" w:rsidRDefault="0095125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Saldo em </w:t>
            </w:r>
            <w:r>
              <w:rPr>
                <w:rFonts w:ascii="CAIXA Std Book" w:eastAsia="Times New Roman" w:hAnsi="CAIXA Std Book" w:cs="Arial"/>
                <w:b/>
                <w:color w:val="FFFFFF"/>
                <w:sz w:val="18"/>
                <w:szCs w:val="18"/>
              </w:rPr>
              <w:t>3</w:t>
            </w:r>
            <w:r w:rsidR="00312C72">
              <w:rPr>
                <w:rFonts w:ascii="CAIXA Std Book" w:eastAsia="Times New Roman" w:hAnsi="CAIXA Std Book" w:cs="Arial"/>
                <w:b/>
                <w:color w:val="FFFFFF"/>
                <w:sz w:val="18"/>
                <w:szCs w:val="18"/>
              </w:rPr>
              <w:t>1</w:t>
            </w:r>
            <w:r>
              <w:rPr>
                <w:rFonts w:ascii="CAIXA Std Book" w:eastAsia="Times New Roman" w:hAnsi="CAIXA Std Book" w:cs="Arial"/>
                <w:b/>
                <w:color w:val="FFFFFF"/>
                <w:sz w:val="18"/>
                <w:szCs w:val="18"/>
              </w:rPr>
              <w:t>/</w:t>
            </w:r>
            <w:r w:rsidR="00FB077C">
              <w:rPr>
                <w:rFonts w:ascii="CAIXA Std Book" w:eastAsia="Times New Roman" w:hAnsi="CAIXA Std Book" w:cs="Arial"/>
                <w:b/>
                <w:color w:val="FFFFFF"/>
                <w:sz w:val="18"/>
                <w:szCs w:val="18"/>
              </w:rPr>
              <w:t>03/2026</w:t>
            </w:r>
          </w:p>
        </w:tc>
      </w:tr>
      <w:tr w:rsidR="00165917" w:rsidRPr="006F29B4" w14:paraId="0986B579" w14:textId="77777777" w:rsidTr="00D91FED">
        <w:trPr>
          <w:trHeight w:val="283"/>
        </w:trPr>
        <w:tc>
          <w:tcPr>
            <w:tcW w:w="1750" w:type="pct"/>
            <w:shd w:val="clear" w:color="auto" w:fill="D0E0E3"/>
            <w:noWrap/>
            <w:vAlign w:val="center"/>
            <w:hideMark/>
          </w:tcPr>
          <w:p w14:paraId="2D6A5948" w14:textId="77777777" w:rsidR="000A7FDC" w:rsidRPr="006F29B4" w:rsidRDefault="000A7FDC" w:rsidP="000A7FDC">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 xml:space="preserve">Ativos </w:t>
            </w:r>
            <w:r>
              <w:rPr>
                <w:rFonts w:ascii="CAIXA Std Book" w:eastAsia="Times New Roman" w:hAnsi="CAIXA Std Book" w:cs="Arial"/>
                <w:b/>
                <w:color w:val="005CA9"/>
                <w:sz w:val="18"/>
                <w:szCs w:val="18"/>
              </w:rPr>
              <w:t>f</w:t>
            </w:r>
            <w:r w:rsidRPr="006F29B4">
              <w:rPr>
                <w:rFonts w:ascii="CAIXA Std Book" w:eastAsia="Times New Roman" w:hAnsi="CAIXA Std Book" w:cs="Arial"/>
                <w:b/>
                <w:color w:val="005CA9"/>
                <w:sz w:val="18"/>
                <w:szCs w:val="18"/>
              </w:rPr>
              <w:t>inanceiros</w:t>
            </w:r>
          </w:p>
        </w:tc>
        <w:tc>
          <w:tcPr>
            <w:tcW w:w="650" w:type="pct"/>
            <w:shd w:val="clear" w:color="000000" w:fill="D0E0E3"/>
            <w:noWrap/>
            <w:vAlign w:val="center"/>
          </w:tcPr>
          <w:p w14:paraId="63EFD973" w14:textId="5141F7B0" w:rsidR="000A7FDC" w:rsidRPr="006F29B4" w:rsidRDefault="007078D3" w:rsidP="000A7FDC">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(50.658.309)</w:t>
            </w:r>
          </w:p>
        </w:tc>
        <w:tc>
          <w:tcPr>
            <w:tcW w:w="650" w:type="pct"/>
            <w:shd w:val="clear" w:color="000000" w:fill="D0E0E3"/>
            <w:noWrap/>
            <w:vAlign w:val="center"/>
          </w:tcPr>
          <w:p w14:paraId="0375F6C2" w14:textId="6A7CD972" w:rsidR="000A7FDC" w:rsidRPr="006F29B4" w:rsidRDefault="007078D3" w:rsidP="000A7FDC">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(3.624.736)</w:t>
            </w:r>
          </w:p>
        </w:tc>
        <w:tc>
          <w:tcPr>
            <w:tcW w:w="650" w:type="pct"/>
            <w:shd w:val="clear" w:color="000000" w:fill="D0E0E3"/>
            <w:noWrap/>
            <w:vAlign w:val="center"/>
          </w:tcPr>
          <w:p w14:paraId="5F882C1E" w14:textId="5F75B96B" w:rsidR="000A7FDC" w:rsidRPr="006F29B4" w:rsidRDefault="007078D3" w:rsidP="000A7FDC">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1.220.485</w:t>
            </w:r>
          </w:p>
        </w:tc>
        <w:tc>
          <w:tcPr>
            <w:tcW w:w="650" w:type="pct"/>
            <w:shd w:val="clear" w:color="000000" w:fill="D0E0E3"/>
            <w:noWrap/>
            <w:vAlign w:val="center"/>
          </w:tcPr>
          <w:p w14:paraId="06116B38" w14:textId="42572738" w:rsidR="000A7FDC" w:rsidRPr="006F29B4" w:rsidRDefault="007078D3" w:rsidP="000A7FDC">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(1.477.099)</w:t>
            </w:r>
          </w:p>
        </w:tc>
        <w:tc>
          <w:tcPr>
            <w:tcW w:w="650" w:type="pct"/>
            <w:shd w:val="clear" w:color="000000" w:fill="D0E0E3"/>
            <w:noWrap/>
            <w:vAlign w:val="center"/>
          </w:tcPr>
          <w:p w14:paraId="654B0188" w14:textId="2E71633B" w:rsidR="000A7FDC" w:rsidRPr="006F29B4" w:rsidRDefault="007078D3" w:rsidP="000A7FDC">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(54.539.659)</w:t>
            </w:r>
          </w:p>
        </w:tc>
      </w:tr>
      <w:tr w:rsidR="00165917" w:rsidRPr="006F29B4" w14:paraId="7026F697" w14:textId="77777777" w:rsidTr="00D91FED">
        <w:trPr>
          <w:trHeight w:val="283"/>
        </w:trPr>
        <w:tc>
          <w:tcPr>
            <w:tcW w:w="1750" w:type="pct"/>
            <w:noWrap/>
            <w:vAlign w:val="center"/>
            <w:hideMark/>
          </w:tcPr>
          <w:p w14:paraId="0FEC8820" w14:textId="77777777" w:rsidR="006E5C4E" w:rsidRPr="006F29B4" w:rsidRDefault="006E5C4E" w:rsidP="006E5C4E">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Títulos e </w:t>
            </w:r>
            <w:r>
              <w:rPr>
                <w:rFonts w:ascii="CAIXA Std Book" w:eastAsia="Times New Roman" w:hAnsi="CAIXA Std Book" w:cs="Arial"/>
                <w:color w:val="005CA9"/>
                <w:sz w:val="18"/>
                <w:szCs w:val="18"/>
              </w:rPr>
              <w:t>v</w:t>
            </w:r>
            <w:r w:rsidRPr="006F29B4">
              <w:rPr>
                <w:rFonts w:ascii="CAIXA Std Book" w:eastAsia="Times New Roman" w:hAnsi="CAIXA Std Book" w:cs="Arial"/>
                <w:color w:val="005CA9"/>
                <w:sz w:val="18"/>
                <w:szCs w:val="18"/>
              </w:rPr>
              <w:t xml:space="preserve">alores </w:t>
            </w:r>
            <w:r>
              <w:rPr>
                <w:rFonts w:ascii="CAIXA Std Book" w:eastAsia="Times New Roman" w:hAnsi="CAIXA Std Book" w:cs="Arial"/>
                <w:color w:val="005CA9"/>
                <w:sz w:val="18"/>
                <w:szCs w:val="18"/>
              </w:rPr>
              <w:t>m</w:t>
            </w:r>
            <w:r w:rsidRPr="006F29B4">
              <w:rPr>
                <w:rFonts w:ascii="CAIXA Std Book" w:eastAsia="Times New Roman" w:hAnsi="CAIXA Std Book" w:cs="Arial"/>
                <w:color w:val="005CA9"/>
                <w:sz w:val="18"/>
                <w:szCs w:val="18"/>
              </w:rPr>
              <w:t>obiliários</w:t>
            </w:r>
          </w:p>
        </w:tc>
        <w:tc>
          <w:tcPr>
            <w:tcW w:w="650" w:type="pct"/>
            <w:noWrap/>
            <w:vAlign w:val="center"/>
          </w:tcPr>
          <w:p w14:paraId="002EEAB4" w14:textId="4EF8A55A" w:rsidR="006E5C4E" w:rsidRPr="00687B71" w:rsidRDefault="007078D3" w:rsidP="006E5C4E">
            <w:pPr>
              <w:jc w:val="right"/>
              <w:rPr>
                <w:rFonts w:ascii="CAIXA Std Book" w:hAnsi="CAIXA Std Book" w:cs="Calibri"/>
                <w:color w:val="005CA9"/>
                <w:sz w:val="18"/>
                <w:szCs w:val="18"/>
              </w:rPr>
            </w:pPr>
            <w:r>
              <w:rPr>
                <w:rFonts w:ascii="CAIXA Std Book" w:hAnsi="CAIXA Std Book" w:cs="Calibri"/>
                <w:color w:val="005CA9"/>
                <w:sz w:val="18"/>
                <w:szCs w:val="18"/>
              </w:rPr>
              <w:t>(372.566)</w:t>
            </w:r>
          </w:p>
        </w:tc>
        <w:tc>
          <w:tcPr>
            <w:tcW w:w="650" w:type="pct"/>
            <w:noWrap/>
            <w:vAlign w:val="center"/>
          </w:tcPr>
          <w:p w14:paraId="22EE9BE9" w14:textId="6A1DBC20" w:rsidR="006E5C4E" w:rsidRPr="00687B71" w:rsidRDefault="007078D3" w:rsidP="006E5C4E">
            <w:pPr>
              <w:jc w:val="right"/>
              <w:rPr>
                <w:rFonts w:ascii="CAIXA Std Book" w:hAnsi="CAIXA Std Book" w:cs="Calibri"/>
                <w:color w:val="005CA9"/>
                <w:sz w:val="18"/>
                <w:szCs w:val="18"/>
              </w:rPr>
            </w:pPr>
            <w:r>
              <w:rPr>
                <w:rFonts w:ascii="CAIXA Std Book" w:hAnsi="CAIXA Std Book" w:cs="Calibri"/>
                <w:color w:val="005CA9"/>
                <w:sz w:val="18"/>
                <w:szCs w:val="18"/>
              </w:rPr>
              <w:t>(730)</w:t>
            </w:r>
          </w:p>
        </w:tc>
        <w:tc>
          <w:tcPr>
            <w:tcW w:w="650" w:type="pct"/>
            <w:noWrap/>
            <w:vAlign w:val="center"/>
          </w:tcPr>
          <w:p w14:paraId="36E00D0B" w14:textId="0B39C07A" w:rsidR="006E5C4E" w:rsidRPr="00687B71" w:rsidRDefault="007078D3" w:rsidP="007078D3">
            <w:pPr>
              <w:jc w:val="center"/>
              <w:rPr>
                <w:rFonts w:ascii="CAIXA Std Book" w:hAnsi="CAIXA Std Book" w:cs="Calibri"/>
                <w:color w:val="005CA9"/>
                <w:sz w:val="18"/>
                <w:szCs w:val="18"/>
              </w:rPr>
            </w:pPr>
            <w:r>
              <w:rPr>
                <w:rFonts w:ascii="CAIXA Std Book" w:hAnsi="CAIXA Std Book" w:cs="Calibri"/>
                <w:color w:val="005CA9"/>
                <w:sz w:val="18"/>
                <w:szCs w:val="18"/>
              </w:rPr>
              <w:t>-</w:t>
            </w:r>
          </w:p>
        </w:tc>
        <w:tc>
          <w:tcPr>
            <w:tcW w:w="650" w:type="pct"/>
            <w:noWrap/>
            <w:vAlign w:val="center"/>
          </w:tcPr>
          <w:p w14:paraId="4C61273A" w14:textId="4199CC0E" w:rsidR="006E5C4E" w:rsidRPr="00687B71" w:rsidRDefault="007078D3" w:rsidP="00045348">
            <w:pPr>
              <w:jc w:val="center"/>
              <w:rPr>
                <w:rFonts w:ascii="CAIXA Std Book" w:hAnsi="CAIXA Std Book" w:cs="Calibri"/>
                <w:color w:val="005CA9"/>
                <w:sz w:val="18"/>
                <w:szCs w:val="18"/>
              </w:rPr>
            </w:pPr>
            <w:r>
              <w:rPr>
                <w:rFonts w:ascii="CAIXA Std Book" w:hAnsi="CAIXA Std Book" w:cs="Calibri"/>
                <w:color w:val="005CA9"/>
                <w:sz w:val="18"/>
                <w:szCs w:val="18"/>
              </w:rPr>
              <w:t>-</w:t>
            </w:r>
          </w:p>
        </w:tc>
        <w:tc>
          <w:tcPr>
            <w:tcW w:w="650" w:type="pct"/>
            <w:noWrap/>
            <w:vAlign w:val="center"/>
          </w:tcPr>
          <w:p w14:paraId="462AB9CE" w14:textId="5F09110E" w:rsidR="006E5C4E" w:rsidRPr="00687B71" w:rsidRDefault="007078D3" w:rsidP="006E5C4E">
            <w:pPr>
              <w:jc w:val="right"/>
              <w:rPr>
                <w:rFonts w:ascii="CAIXA Std Book" w:hAnsi="CAIXA Std Book" w:cs="Calibri"/>
                <w:color w:val="005CA9"/>
                <w:sz w:val="18"/>
                <w:szCs w:val="18"/>
              </w:rPr>
            </w:pPr>
            <w:r>
              <w:rPr>
                <w:rFonts w:ascii="CAIXA Std Book" w:hAnsi="CAIXA Std Book" w:cs="Calibri"/>
                <w:color w:val="005CA9"/>
                <w:sz w:val="18"/>
                <w:szCs w:val="18"/>
              </w:rPr>
              <w:t>(373.296)</w:t>
            </w:r>
          </w:p>
        </w:tc>
      </w:tr>
      <w:tr w:rsidR="00165917" w:rsidRPr="006F29B4" w14:paraId="36F01E65" w14:textId="77777777" w:rsidTr="00D91FED">
        <w:trPr>
          <w:trHeight w:val="283"/>
        </w:trPr>
        <w:tc>
          <w:tcPr>
            <w:tcW w:w="1750" w:type="pct"/>
            <w:noWrap/>
            <w:vAlign w:val="center"/>
            <w:hideMark/>
          </w:tcPr>
          <w:p w14:paraId="21CEE822" w14:textId="77777777" w:rsidR="006E5C4E" w:rsidRPr="006F29B4" w:rsidRDefault="006E5C4E" w:rsidP="006E5C4E">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Carteira de </w:t>
            </w:r>
            <w:r>
              <w:rPr>
                <w:rFonts w:ascii="CAIXA Std Book" w:eastAsia="Times New Roman" w:hAnsi="CAIXA Std Book" w:cs="Arial"/>
                <w:color w:val="005CA9"/>
                <w:sz w:val="18"/>
                <w:szCs w:val="18"/>
              </w:rPr>
              <w:t>c</w:t>
            </w:r>
            <w:r w:rsidRPr="006F29B4">
              <w:rPr>
                <w:rFonts w:ascii="CAIXA Std Book" w:eastAsia="Times New Roman" w:hAnsi="CAIXA Std Book" w:cs="Arial"/>
                <w:color w:val="005CA9"/>
                <w:sz w:val="18"/>
                <w:szCs w:val="18"/>
              </w:rPr>
              <w:t>rédito</w:t>
            </w:r>
          </w:p>
        </w:tc>
        <w:tc>
          <w:tcPr>
            <w:tcW w:w="650" w:type="pct"/>
            <w:noWrap/>
            <w:vAlign w:val="center"/>
          </w:tcPr>
          <w:p w14:paraId="19AC1BC6" w14:textId="1BCAAA22" w:rsidR="006E5C4E" w:rsidRPr="006F29B4" w:rsidRDefault="007078D3" w:rsidP="006E5C4E">
            <w:pPr>
              <w:jc w:val="right"/>
              <w:rPr>
                <w:rFonts w:ascii="CAIXA Std Book" w:eastAsia="Times New Roman" w:hAnsi="CAIXA Std Book" w:cs="Arial"/>
                <w:color w:val="005CA9"/>
                <w:sz w:val="18"/>
                <w:szCs w:val="18"/>
              </w:rPr>
            </w:pPr>
            <w:r>
              <w:rPr>
                <w:rFonts w:ascii="CAIXA Std Book" w:hAnsi="CAIXA Std Book" w:cs="Calibri"/>
                <w:color w:val="005CA9"/>
                <w:sz w:val="18"/>
                <w:szCs w:val="18"/>
              </w:rPr>
              <w:t>(46.880.768)</w:t>
            </w:r>
          </w:p>
        </w:tc>
        <w:tc>
          <w:tcPr>
            <w:tcW w:w="650" w:type="pct"/>
            <w:noWrap/>
            <w:vAlign w:val="center"/>
          </w:tcPr>
          <w:p w14:paraId="7AB22FFA" w14:textId="48ED98FE" w:rsidR="006E5C4E" w:rsidRPr="006F29B4" w:rsidRDefault="007078D3" w:rsidP="006E5C4E">
            <w:pPr>
              <w:jc w:val="right"/>
              <w:rPr>
                <w:rFonts w:ascii="CAIXA Std Book" w:eastAsia="Times New Roman" w:hAnsi="CAIXA Std Book" w:cs="Arial"/>
                <w:color w:val="005CA9"/>
                <w:sz w:val="18"/>
                <w:szCs w:val="18"/>
              </w:rPr>
            </w:pPr>
            <w:r>
              <w:rPr>
                <w:rFonts w:ascii="CAIXA Std Book" w:hAnsi="CAIXA Std Book" w:cs="Calibri"/>
                <w:color w:val="005CA9"/>
                <w:sz w:val="18"/>
                <w:szCs w:val="18"/>
              </w:rPr>
              <w:t>(3.893.757)</w:t>
            </w:r>
          </w:p>
        </w:tc>
        <w:tc>
          <w:tcPr>
            <w:tcW w:w="650" w:type="pct"/>
            <w:noWrap/>
            <w:vAlign w:val="center"/>
          </w:tcPr>
          <w:p w14:paraId="20E77ABD" w14:textId="1E360E0A" w:rsidR="006E5C4E" w:rsidRPr="006F29B4" w:rsidRDefault="007078D3" w:rsidP="006E5C4E">
            <w:pPr>
              <w:jc w:val="right"/>
              <w:rPr>
                <w:rFonts w:ascii="CAIXA Std Book" w:eastAsia="Times New Roman" w:hAnsi="CAIXA Std Book" w:cs="Arial"/>
                <w:color w:val="005CA9"/>
                <w:sz w:val="18"/>
                <w:szCs w:val="18"/>
              </w:rPr>
            </w:pPr>
            <w:r>
              <w:rPr>
                <w:rFonts w:ascii="CAIXA Std Book" w:hAnsi="CAIXA Std Book" w:cs="Calibri"/>
                <w:color w:val="005CA9"/>
                <w:sz w:val="18"/>
                <w:szCs w:val="18"/>
              </w:rPr>
              <w:t>1.220.485</w:t>
            </w:r>
          </w:p>
        </w:tc>
        <w:tc>
          <w:tcPr>
            <w:tcW w:w="650" w:type="pct"/>
            <w:noWrap/>
            <w:vAlign w:val="center"/>
          </w:tcPr>
          <w:p w14:paraId="6B5C744E" w14:textId="1AC54EF5" w:rsidR="006E5C4E" w:rsidRPr="006F29B4" w:rsidRDefault="007078D3" w:rsidP="006E5C4E">
            <w:pPr>
              <w:jc w:val="right"/>
              <w:rPr>
                <w:rFonts w:ascii="CAIXA Std Book" w:eastAsia="Times New Roman" w:hAnsi="CAIXA Std Book" w:cs="Arial"/>
                <w:color w:val="005CA9"/>
                <w:sz w:val="18"/>
                <w:szCs w:val="18"/>
              </w:rPr>
            </w:pPr>
            <w:r>
              <w:rPr>
                <w:rFonts w:ascii="CAIXA Std Book" w:hAnsi="CAIXA Std Book" w:cs="Calibri"/>
                <w:color w:val="005CA9"/>
                <w:sz w:val="18"/>
                <w:szCs w:val="18"/>
              </w:rPr>
              <w:t>(1.477.099)</w:t>
            </w:r>
          </w:p>
        </w:tc>
        <w:tc>
          <w:tcPr>
            <w:tcW w:w="650" w:type="pct"/>
            <w:noWrap/>
            <w:vAlign w:val="center"/>
          </w:tcPr>
          <w:p w14:paraId="54E6D7C2" w14:textId="1E72BEC2" w:rsidR="006E5C4E" w:rsidRPr="006E5C4E" w:rsidRDefault="007078D3" w:rsidP="006E5C4E">
            <w:pPr>
              <w:jc w:val="right"/>
              <w:rPr>
                <w:rFonts w:ascii="CAIXA Std Book" w:hAnsi="CAIXA Std Book" w:cs="Calibri"/>
                <w:color w:val="005CA9"/>
                <w:sz w:val="18"/>
                <w:szCs w:val="18"/>
              </w:rPr>
            </w:pPr>
            <w:r>
              <w:rPr>
                <w:rFonts w:ascii="CAIXA Std Book" w:hAnsi="CAIXA Std Book" w:cs="Calibri"/>
                <w:color w:val="005CA9"/>
                <w:sz w:val="18"/>
                <w:szCs w:val="18"/>
              </w:rPr>
              <w:t>(51.031.139)</w:t>
            </w:r>
          </w:p>
        </w:tc>
      </w:tr>
      <w:tr w:rsidR="00165917" w:rsidRPr="006F29B4" w14:paraId="5E3ED25D" w14:textId="77777777" w:rsidTr="00D91FED">
        <w:trPr>
          <w:trHeight w:val="283"/>
        </w:trPr>
        <w:tc>
          <w:tcPr>
            <w:tcW w:w="1750" w:type="pct"/>
            <w:noWrap/>
            <w:vAlign w:val="center"/>
          </w:tcPr>
          <w:p w14:paraId="34CAD844" w14:textId="77777777" w:rsidR="006E5C4E" w:rsidRPr="006F29B4" w:rsidRDefault="006E5C4E" w:rsidP="006E5C4E">
            <w:pPr>
              <w:ind w:firstLineChars="100" w:firstLine="180"/>
              <w:rPr>
                <w:rFonts w:ascii="CAIXA Std Book" w:eastAsia="Times New Roman" w:hAnsi="CAIXA Std Book" w:cs="Arial"/>
                <w:color w:val="005CA9"/>
                <w:sz w:val="18"/>
                <w:szCs w:val="18"/>
              </w:rPr>
            </w:pPr>
            <w:r>
              <w:rPr>
                <w:rFonts w:ascii="CAIXA Std Book" w:eastAsia="Times New Roman" w:hAnsi="CAIXA Std Book" w:cs="Arial"/>
                <w:color w:val="005CA9"/>
                <w:sz w:val="18"/>
                <w:szCs w:val="18"/>
              </w:rPr>
              <w:t>Outros ativos financeiros</w:t>
            </w:r>
          </w:p>
        </w:tc>
        <w:tc>
          <w:tcPr>
            <w:tcW w:w="650" w:type="pct"/>
            <w:noWrap/>
            <w:vAlign w:val="center"/>
          </w:tcPr>
          <w:p w14:paraId="64D77ECB" w14:textId="330CE355" w:rsidR="006E5C4E" w:rsidRDefault="007078D3" w:rsidP="006E5C4E">
            <w:pPr>
              <w:jc w:val="right"/>
              <w:rPr>
                <w:rFonts w:ascii="CAIXA Std Book" w:hAnsi="CAIXA Std Book" w:cs="Calibri"/>
                <w:color w:val="005CA9"/>
                <w:sz w:val="18"/>
                <w:szCs w:val="18"/>
              </w:rPr>
            </w:pPr>
            <w:r>
              <w:rPr>
                <w:rFonts w:ascii="CAIXA Std Book" w:hAnsi="CAIXA Std Book" w:cs="Calibri"/>
                <w:color w:val="005CA9"/>
                <w:sz w:val="18"/>
                <w:szCs w:val="18"/>
              </w:rPr>
              <w:t>(3.404.975)</w:t>
            </w:r>
          </w:p>
        </w:tc>
        <w:tc>
          <w:tcPr>
            <w:tcW w:w="650" w:type="pct"/>
            <w:noWrap/>
            <w:vAlign w:val="center"/>
          </w:tcPr>
          <w:p w14:paraId="3A2826A3" w14:textId="5A9AFF4B" w:rsidR="006E5C4E" w:rsidRDefault="007078D3" w:rsidP="006E5C4E">
            <w:pPr>
              <w:jc w:val="right"/>
              <w:rPr>
                <w:rFonts w:ascii="CAIXA Std Book" w:hAnsi="CAIXA Std Book" w:cs="Calibri"/>
                <w:color w:val="005CA9"/>
                <w:sz w:val="18"/>
                <w:szCs w:val="18"/>
              </w:rPr>
            </w:pPr>
            <w:r>
              <w:rPr>
                <w:rFonts w:ascii="CAIXA Std Book" w:hAnsi="CAIXA Std Book" w:cs="Calibri"/>
                <w:color w:val="005CA9"/>
                <w:sz w:val="18"/>
                <w:szCs w:val="18"/>
              </w:rPr>
              <w:t>269.751</w:t>
            </w:r>
          </w:p>
        </w:tc>
        <w:tc>
          <w:tcPr>
            <w:tcW w:w="650" w:type="pct"/>
            <w:noWrap/>
            <w:vAlign w:val="center"/>
          </w:tcPr>
          <w:p w14:paraId="315EFC7B" w14:textId="63E196A1" w:rsidR="006E5C4E" w:rsidRDefault="007078D3" w:rsidP="00045348">
            <w:pPr>
              <w:jc w:val="center"/>
              <w:rPr>
                <w:rFonts w:ascii="CAIXA Std Book" w:hAnsi="CAIXA Std Book" w:cs="Calibri"/>
                <w:color w:val="005CA9"/>
                <w:sz w:val="18"/>
                <w:szCs w:val="18"/>
              </w:rPr>
            </w:pPr>
            <w:r>
              <w:rPr>
                <w:rFonts w:ascii="CAIXA Std Book" w:hAnsi="CAIXA Std Book" w:cs="Calibri"/>
                <w:color w:val="005CA9"/>
                <w:sz w:val="18"/>
                <w:szCs w:val="18"/>
              </w:rPr>
              <w:t>-</w:t>
            </w:r>
          </w:p>
        </w:tc>
        <w:tc>
          <w:tcPr>
            <w:tcW w:w="650" w:type="pct"/>
            <w:noWrap/>
            <w:vAlign w:val="center"/>
          </w:tcPr>
          <w:p w14:paraId="2408B62E" w14:textId="5DB94295" w:rsidR="006E5C4E" w:rsidRDefault="007078D3" w:rsidP="00045348">
            <w:pPr>
              <w:jc w:val="center"/>
              <w:rPr>
                <w:rFonts w:ascii="CAIXA Std Book" w:hAnsi="CAIXA Std Book" w:cs="Calibri"/>
                <w:color w:val="005CA9"/>
                <w:sz w:val="18"/>
                <w:szCs w:val="18"/>
              </w:rPr>
            </w:pPr>
            <w:r>
              <w:rPr>
                <w:rFonts w:ascii="CAIXA Std Book" w:hAnsi="CAIXA Std Book" w:cs="Calibri"/>
                <w:color w:val="005CA9"/>
                <w:sz w:val="18"/>
                <w:szCs w:val="18"/>
              </w:rPr>
              <w:t>-</w:t>
            </w:r>
          </w:p>
        </w:tc>
        <w:tc>
          <w:tcPr>
            <w:tcW w:w="650" w:type="pct"/>
            <w:noWrap/>
            <w:vAlign w:val="center"/>
          </w:tcPr>
          <w:p w14:paraId="7D41BEBA" w14:textId="5081140E" w:rsidR="006E5C4E" w:rsidRDefault="007078D3" w:rsidP="006E5C4E">
            <w:pPr>
              <w:jc w:val="right"/>
              <w:rPr>
                <w:rFonts w:ascii="CAIXA Std Book" w:hAnsi="CAIXA Std Book" w:cs="Calibri"/>
                <w:color w:val="005CA9"/>
                <w:sz w:val="18"/>
                <w:szCs w:val="18"/>
              </w:rPr>
            </w:pPr>
            <w:r>
              <w:rPr>
                <w:rFonts w:ascii="CAIXA Std Book" w:hAnsi="CAIXA Std Book" w:cs="Calibri"/>
                <w:color w:val="005CA9"/>
                <w:sz w:val="18"/>
                <w:szCs w:val="18"/>
              </w:rPr>
              <w:t>(3.135.224)</w:t>
            </w:r>
          </w:p>
        </w:tc>
      </w:tr>
      <w:tr w:rsidR="00165917" w:rsidRPr="006F29B4" w14:paraId="5AF49892" w14:textId="77777777" w:rsidTr="00D91FED">
        <w:trPr>
          <w:trHeight w:val="283"/>
        </w:trPr>
        <w:tc>
          <w:tcPr>
            <w:tcW w:w="1750" w:type="pct"/>
            <w:shd w:val="clear" w:color="auto" w:fill="D0E0E3"/>
            <w:noWrap/>
            <w:vAlign w:val="center"/>
            <w:hideMark/>
          </w:tcPr>
          <w:p w14:paraId="2B193019" w14:textId="77777777" w:rsidR="00951257" w:rsidRPr="006F29B4" w:rsidRDefault="00951257">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 xml:space="preserve">Passivos </w:t>
            </w:r>
            <w:r>
              <w:rPr>
                <w:rFonts w:ascii="CAIXA Std Book" w:eastAsia="Times New Roman" w:hAnsi="CAIXA Std Book" w:cs="Arial"/>
                <w:b/>
                <w:color w:val="005CA9"/>
                <w:sz w:val="18"/>
                <w:szCs w:val="18"/>
              </w:rPr>
              <w:t>f</w:t>
            </w:r>
            <w:r w:rsidRPr="006F29B4">
              <w:rPr>
                <w:rFonts w:ascii="CAIXA Std Book" w:eastAsia="Times New Roman" w:hAnsi="CAIXA Std Book" w:cs="Arial"/>
                <w:b/>
                <w:color w:val="005CA9"/>
                <w:sz w:val="18"/>
                <w:szCs w:val="18"/>
              </w:rPr>
              <w:t>inanceiros</w:t>
            </w:r>
          </w:p>
        </w:tc>
        <w:tc>
          <w:tcPr>
            <w:tcW w:w="650" w:type="pct"/>
            <w:shd w:val="clear" w:color="000000" w:fill="D0E0E3"/>
            <w:noWrap/>
            <w:vAlign w:val="center"/>
          </w:tcPr>
          <w:p w14:paraId="005701A8" w14:textId="0CF93406" w:rsidR="00951257" w:rsidRPr="006F29B4" w:rsidRDefault="007078D3" w:rsidP="0005560B">
            <w:pPr>
              <w:jc w:val="right"/>
              <w:rPr>
                <w:rFonts w:ascii="CAIXA Std Book" w:eastAsia="Times New Roman" w:hAnsi="CAIXA Std Book" w:cs="Arial"/>
                <w:b/>
                <w:color w:val="005CA9"/>
                <w:sz w:val="18"/>
                <w:szCs w:val="18"/>
              </w:rPr>
            </w:pPr>
            <w:r w:rsidRPr="000D5F5C">
              <w:rPr>
                <w:rFonts w:ascii="CAIXA Std Book" w:eastAsia="Times New Roman" w:hAnsi="CAIXA Std Book" w:cs="Arial"/>
                <w:b/>
                <w:color w:val="005CA9"/>
                <w:sz w:val="18"/>
                <w:szCs w:val="18"/>
              </w:rPr>
              <w:t>(744.</w:t>
            </w:r>
            <w:r>
              <w:rPr>
                <w:rFonts w:ascii="CAIXA Std Book" w:hAnsi="CAIXA Std Book" w:cs="Calibri"/>
                <w:b/>
                <w:bCs/>
                <w:color w:val="005CA9"/>
                <w:sz w:val="18"/>
                <w:szCs w:val="18"/>
              </w:rPr>
              <w:t>799</w:t>
            </w:r>
            <w:r w:rsidRPr="000D5F5C">
              <w:rPr>
                <w:rFonts w:ascii="CAIXA Std Book" w:eastAsia="Times New Roman" w:hAnsi="CAIXA Std Book" w:cs="Arial"/>
                <w:b/>
                <w:color w:val="005CA9"/>
                <w:sz w:val="18"/>
                <w:szCs w:val="18"/>
              </w:rPr>
              <w:t>)</w:t>
            </w:r>
          </w:p>
        </w:tc>
        <w:tc>
          <w:tcPr>
            <w:tcW w:w="650" w:type="pct"/>
            <w:shd w:val="clear" w:color="000000" w:fill="D0E0E3"/>
            <w:noWrap/>
            <w:vAlign w:val="center"/>
          </w:tcPr>
          <w:p w14:paraId="24E743F4" w14:textId="69C3943F" w:rsidR="00951257" w:rsidRPr="006F29B4" w:rsidRDefault="007078D3" w:rsidP="0005560B">
            <w:pPr>
              <w:jc w:val="right"/>
              <w:rPr>
                <w:rFonts w:ascii="CAIXA Std Book" w:eastAsia="Times New Roman" w:hAnsi="CAIXA Std Book" w:cs="Arial"/>
                <w:b/>
                <w:color w:val="005CA9"/>
                <w:sz w:val="18"/>
                <w:szCs w:val="18"/>
              </w:rPr>
            </w:pPr>
            <w:r>
              <w:rPr>
                <w:rFonts w:ascii="CAIXA Std Book" w:hAnsi="CAIXA Std Book"/>
                <w:b/>
                <w:color w:val="005CA9"/>
                <w:sz w:val="18"/>
                <w:szCs w:val="18"/>
              </w:rPr>
              <w:t>92.</w:t>
            </w:r>
            <w:r>
              <w:rPr>
                <w:rFonts w:ascii="CAIXA Std Book" w:hAnsi="CAIXA Std Book" w:cs="Calibri"/>
                <w:b/>
                <w:bCs/>
                <w:color w:val="005CA9"/>
                <w:sz w:val="18"/>
                <w:szCs w:val="18"/>
              </w:rPr>
              <w:t>402</w:t>
            </w:r>
          </w:p>
        </w:tc>
        <w:tc>
          <w:tcPr>
            <w:tcW w:w="650" w:type="pct"/>
            <w:shd w:val="clear" w:color="000000" w:fill="D0E0E3"/>
            <w:noWrap/>
            <w:vAlign w:val="center"/>
          </w:tcPr>
          <w:p w14:paraId="5726AAC7" w14:textId="52A79324" w:rsidR="00951257" w:rsidRPr="006F29B4" w:rsidRDefault="007078D3" w:rsidP="0005560B">
            <w:pPr>
              <w:jc w:val="right"/>
              <w:rPr>
                <w:rFonts w:ascii="CAIXA Std Book" w:eastAsia="Times New Roman" w:hAnsi="CAIXA Std Book" w:cs="Arial"/>
                <w:b/>
                <w:color w:val="005CA9"/>
                <w:sz w:val="18"/>
                <w:szCs w:val="18"/>
              </w:rPr>
            </w:pPr>
            <w:r w:rsidRPr="00041AFA">
              <w:rPr>
                <w:rFonts w:ascii="CAIXA Std Book" w:eastAsia="Times New Roman" w:hAnsi="CAIXA Std Book" w:cs="Arial"/>
                <w:b/>
                <w:color w:val="005CA9"/>
                <w:sz w:val="18"/>
                <w:szCs w:val="18"/>
              </w:rPr>
              <w:t>84.</w:t>
            </w:r>
            <w:r>
              <w:rPr>
                <w:rFonts w:ascii="CAIXA Std Book" w:hAnsi="CAIXA Std Book" w:cs="Calibri"/>
                <w:b/>
                <w:bCs/>
                <w:color w:val="005CA9"/>
                <w:sz w:val="18"/>
                <w:szCs w:val="18"/>
              </w:rPr>
              <w:t>631</w:t>
            </w:r>
          </w:p>
        </w:tc>
        <w:tc>
          <w:tcPr>
            <w:tcW w:w="650" w:type="pct"/>
            <w:shd w:val="clear" w:color="000000" w:fill="D0E0E3"/>
            <w:noWrap/>
            <w:vAlign w:val="center"/>
          </w:tcPr>
          <w:p w14:paraId="017272EE" w14:textId="724BA0F3" w:rsidR="00951257" w:rsidRPr="006F29B4" w:rsidRDefault="007078D3" w:rsidP="0005560B">
            <w:pPr>
              <w:jc w:val="right"/>
              <w:rPr>
                <w:rFonts w:ascii="CAIXA Std Book" w:eastAsia="Times New Roman" w:hAnsi="CAIXA Std Book" w:cs="Arial"/>
                <w:b/>
                <w:color w:val="005CA9"/>
                <w:sz w:val="18"/>
                <w:szCs w:val="18"/>
              </w:rPr>
            </w:pPr>
            <w:r w:rsidRPr="0020194D">
              <w:rPr>
                <w:rFonts w:ascii="CAIXA Std Book" w:eastAsia="Times New Roman" w:hAnsi="CAIXA Std Book" w:cs="Arial"/>
                <w:b/>
                <w:color w:val="005CA9"/>
                <w:sz w:val="18"/>
                <w:szCs w:val="18"/>
              </w:rPr>
              <w:t>(2.</w:t>
            </w:r>
            <w:r>
              <w:rPr>
                <w:rFonts w:ascii="CAIXA Std Book" w:hAnsi="CAIXA Std Book" w:cs="Calibri"/>
                <w:b/>
                <w:bCs/>
                <w:color w:val="005CA9"/>
                <w:sz w:val="18"/>
                <w:szCs w:val="18"/>
              </w:rPr>
              <w:t>388</w:t>
            </w:r>
            <w:r w:rsidRPr="0020194D">
              <w:rPr>
                <w:rFonts w:ascii="CAIXA Std Book" w:eastAsia="Times New Roman" w:hAnsi="CAIXA Std Book" w:cs="Arial"/>
                <w:b/>
                <w:color w:val="005CA9"/>
                <w:sz w:val="18"/>
                <w:szCs w:val="18"/>
              </w:rPr>
              <w:t>)</w:t>
            </w:r>
          </w:p>
        </w:tc>
        <w:tc>
          <w:tcPr>
            <w:tcW w:w="650" w:type="pct"/>
            <w:shd w:val="clear" w:color="000000" w:fill="D0E0E3"/>
            <w:noWrap/>
            <w:vAlign w:val="center"/>
          </w:tcPr>
          <w:p w14:paraId="1EAFD7C0" w14:textId="6820E7E3" w:rsidR="00951257" w:rsidRPr="006F29B4" w:rsidRDefault="007078D3" w:rsidP="0005560B">
            <w:pPr>
              <w:jc w:val="right"/>
              <w:rPr>
                <w:rFonts w:ascii="CAIXA Std Book" w:eastAsia="Times New Roman" w:hAnsi="CAIXA Std Book" w:cs="Arial"/>
                <w:b/>
                <w:color w:val="005CA9"/>
                <w:sz w:val="18"/>
                <w:szCs w:val="18"/>
              </w:rPr>
            </w:pPr>
            <w:r w:rsidRPr="0020194D">
              <w:rPr>
                <w:rFonts w:ascii="CAIXA Std Book" w:eastAsia="Times New Roman" w:hAnsi="CAIXA Std Book" w:cs="Arial"/>
                <w:b/>
                <w:color w:val="005CA9"/>
                <w:sz w:val="18"/>
                <w:szCs w:val="18"/>
              </w:rPr>
              <w:t>(570.</w:t>
            </w:r>
            <w:r>
              <w:rPr>
                <w:rFonts w:ascii="CAIXA Std Book" w:hAnsi="CAIXA Std Book" w:cs="Calibri"/>
                <w:b/>
                <w:bCs/>
                <w:color w:val="005CA9"/>
                <w:sz w:val="18"/>
                <w:szCs w:val="18"/>
              </w:rPr>
              <w:t>154</w:t>
            </w:r>
            <w:r w:rsidRPr="0020194D">
              <w:rPr>
                <w:rFonts w:ascii="CAIXA Std Book" w:eastAsia="Times New Roman" w:hAnsi="CAIXA Std Book" w:cs="Arial"/>
                <w:b/>
                <w:color w:val="005CA9"/>
                <w:sz w:val="18"/>
                <w:szCs w:val="18"/>
              </w:rPr>
              <w:t>)</w:t>
            </w:r>
          </w:p>
        </w:tc>
      </w:tr>
      <w:tr w:rsidR="00165917" w:rsidRPr="006F29B4" w14:paraId="44D8027B" w14:textId="77777777" w:rsidTr="00D91FED">
        <w:trPr>
          <w:trHeight w:val="283"/>
        </w:trPr>
        <w:tc>
          <w:tcPr>
            <w:tcW w:w="1750" w:type="pct"/>
            <w:noWrap/>
            <w:vAlign w:val="center"/>
            <w:hideMark/>
          </w:tcPr>
          <w:p w14:paraId="748E0ABD" w14:textId="77777777" w:rsidR="00951257" w:rsidRPr="006F29B4" w:rsidRDefault="0095125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Compromisso de </w:t>
            </w:r>
            <w:r>
              <w:rPr>
                <w:rFonts w:ascii="CAIXA Std Book" w:eastAsia="Times New Roman" w:hAnsi="CAIXA Std Book" w:cs="Arial"/>
                <w:color w:val="005CA9"/>
                <w:sz w:val="18"/>
                <w:szCs w:val="18"/>
              </w:rPr>
              <w:t>empréstimos e c</w:t>
            </w:r>
            <w:r w:rsidRPr="006F29B4">
              <w:rPr>
                <w:rFonts w:ascii="CAIXA Std Book" w:eastAsia="Times New Roman" w:hAnsi="CAIXA Std Book" w:cs="Arial"/>
                <w:color w:val="005CA9"/>
                <w:sz w:val="18"/>
                <w:szCs w:val="18"/>
              </w:rPr>
              <w:t>rédito</w:t>
            </w:r>
            <w:r>
              <w:rPr>
                <w:rFonts w:ascii="CAIXA Std Book" w:eastAsia="Times New Roman" w:hAnsi="CAIXA Std Book" w:cs="Arial"/>
                <w:color w:val="005CA9"/>
                <w:sz w:val="18"/>
                <w:szCs w:val="18"/>
              </w:rPr>
              <w:t>s</w:t>
            </w:r>
            <w:r w:rsidRPr="006F29B4">
              <w:rPr>
                <w:rFonts w:ascii="CAIXA Std Book" w:eastAsia="Times New Roman" w:hAnsi="CAIXA Std Book" w:cs="Arial"/>
                <w:color w:val="005CA9"/>
                <w:sz w:val="18"/>
                <w:szCs w:val="18"/>
              </w:rPr>
              <w:t xml:space="preserve"> a </w:t>
            </w:r>
            <w:r>
              <w:rPr>
                <w:rFonts w:ascii="CAIXA Std Book" w:eastAsia="Times New Roman" w:hAnsi="CAIXA Std Book" w:cs="Arial"/>
                <w:color w:val="005CA9"/>
                <w:sz w:val="18"/>
                <w:szCs w:val="18"/>
              </w:rPr>
              <w:t>l</w:t>
            </w:r>
            <w:r w:rsidRPr="006F29B4">
              <w:rPr>
                <w:rFonts w:ascii="CAIXA Std Book" w:eastAsia="Times New Roman" w:hAnsi="CAIXA Std Book" w:cs="Arial"/>
                <w:color w:val="005CA9"/>
                <w:sz w:val="18"/>
                <w:szCs w:val="18"/>
              </w:rPr>
              <w:t>iberar</w:t>
            </w:r>
          </w:p>
        </w:tc>
        <w:tc>
          <w:tcPr>
            <w:tcW w:w="650" w:type="pct"/>
            <w:noWrap/>
            <w:vAlign w:val="center"/>
          </w:tcPr>
          <w:p w14:paraId="083EFA30" w14:textId="719C4390" w:rsidR="00951257" w:rsidRPr="006F29B4" w:rsidRDefault="007078D3" w:rsidP="0005560B">
            <w:pPr>
              <w:jc w:val="right"/>
              <w:rPr>
                <w:rFonts w:ascii="CAIXA Std Book" w:eastAsia="Times New Roman" w:hAnsi="CAIXA Std Book" w:cs="Arial"/>
                <w:color w:val="005CA9"/>
                <w:sz w:val="18"/>
                <w:szCs w:val="18"/>
              </w:rPr>
            </w:pPr>
            <w:r>
              <w:rPr>
                <w:rFonts w:ascii="CAIXA Std Book" w:hAnsi="CAIXA Std Book"/>
                <w:color w:val="005CA9"/>
                <w:sz w:val="18"/>
                <w:szCs w:val="18"/>
              </w:rPr>
              <w:t>(696.582)</w:t>
            </w:r>
          </w:p>
        </w:tc>
        <w:tc>
          <w:tcPr>
            <w:tcW w:w="650" w:type="pct"/>
            <w:noWrap/>
            <w:vAlign w:val="center"/>
          </w:tcPr>
          <w:p w14:paraId="7310AAEC" w14:textId="23941DF3" w:rsidR="00951257" w:rsidRPr="006F29B4" w:rsidRDefault="007078D3" w:rsidP="0005560B">
            <w:pPr>
              <w:ind w:firstLineChars="100" w:firstLine="180"/>
              <w:jc w:val="right"/>
              <w:rPr>
                <w:rFonts w:ascii="CAIXA Std Book" w:eastAsia="Times New Roman" w:hAnsi="CAIXA Std Book" w:cs="Arial"/>
                <w:color w:val="005CA9"/>
                <w:sz w:val="18"/>
                <w:szCs w:val="18"/>
              </w:rPr>
            </w:pPr>
            <w:r>
              <w:rPr>
                <w:rFonts w:ascii="CAIXA Std Book" w:hAnsi="CAIXA Std Book"/>
                <w:color w:val="005CA9"/>
                <w:sz w:val="18"/>
                <w:szCs w:val="18"/>
              </w:rPr>
              <w:t>91.673</w:t>
            </w:r>
          </w:p>
        </w:tc>
        <w:tc>
          <w:tcPr>
            <w:tcW w:w="650" w:type="pct"/>
            <w:noWrap/>
            <w:vAlign w:val="center"/>
          </w:tcPr>
          <w:p w14:paraId="617A155F" w14:textId="32A124AC" w:rsidR="00951257" w:rsidRPr="006F29B4" w:rsidRDefault="007078D3" w:rsidP="0005560B">
            <w:pPr>
              <w:ind w:firstLineChars="100" w:firstLine="180"/>
              <w:jc w:val="right"/>
              <w:rPr>
                <w:rFonts w:ascii="CAIXA Std Book" w:eastAsia="Times New Roman" w:hAnsi="CAIXA Std Book" w:cs="Arial"/>
                <w:color w:val="005CA9"/>
                <w:sz w:val="18"/>
                <w:szCs w:val="18"/>
              </w:rPr>
            </w:pPr>
            <w:r>
              <w:rPr>
                <w:rFonts w:ascii="CAIXA Std Book" w:hAnsi="CAIXA Std Book"/>
                <w:color w:val="005CA9"/>
                <w:sz w:val="18"/>
                <w:szCs w:val="18"/>
              </w:rPr>
              <w:t>84.383</w:t>
            </w:r>
          </w:p>
        </w:tc>
        <w:tc>
          <w:tcPr>
            <w:tcW w:w="650" w:type="pct"/>
            <w:noWrap/>
            <w:vAlign w:val="center"/>
          </w:tcPr>
          <w:p w14:paraId="2392BE3F" w14:textId="6B08B765" w:rsidR="00951257" w:rsidRPr="006F29B4" w:rsidRDefault="007078D3" w:rsidP="0005560B">
            <w:pPr>
              <w:ind w:firstLineChars="100" w:firstLine="180"/>
              <w:jc w:val="right"/>
              <w:rPr>
                <w:rFonts w:ascii="CAIXA Std Book" w:eastAsia="Times New Roman" w:hAnsi="CAIXA Std Book" w:cs="Arial"/>
                <w:color w:val="005CA9"/>
                <w:sz w:val="18"/>
                <w:szCs w:val="18"/>
              </w:rPr>
            </w:pPr>
            <w:r>
              <w:rPr>
                <w:rFonts w:ascii="CAIXA Std Book" w:hAnsi="CAIXA Std Book"/>
                <w:color w:val="005CA9"/>
                <w:sz w:val="18"/>
                <w:szCs w:val="18"/>
              </w:rPr>
              <w:t>(2.331)</w:t>
            </w:r>
          </w:p>
        </w:tc>
        <w:tc>
          <w:tcPr>
            <w:tcW w:w="650" w:type="pct"/>
            <w:noWrap/>
            <w:vAlign w:val="center"/>
          </w:tcPr>
          <w:p w14:paraId="4F993D78" w14:textId="48708086" w:rsidR="00951257" w:rsidRPr="006F29B4" w:rsidRDefault="007078D3" w:rsidP="0005560B">
            <w:pPr>
              <w:jc w:val="right"/>
              <w:rPr>
                <w:rFonts w:ascii="CAIXA Std Book" w:eastAsia="Times New Roman" w:hAnsi="CAIXA Std Book" w:cs="Arial"/>
                <w:color w:val="005CA9"/>
                <w:sz w:val="18"/>
                <w:szCs w:val="18"/>
              </w:rPr>
            </w:pPr>
            <w:r>
              <w:rPr>
                <w:rFonts w:ascii="CAIXA Std Book" w:hAnsi="CAIXA Std Book"/>
                <w:color w:val="005CA9"/>
                <w:sz w:val="18"/>
                <w:szCs w:val="18"/>
              </w:rPr>
              <w:t>(522.857)</w:t>
            </w:r>
          </w:p>
        </w:tc>
      </w:tr>
      <w:tr w:rsidR="00165917" w:rsidRPr="006F29B4" w14:paraId="7AFAC75B" w14:textId="77777777" w:rsidTr="00D91FED">
        <w:trPr>
          <w:trHeight w:val="283"/>
        </w:trPr>
        <w:tc>
          <w:tcPr>
            <w:tcW w:w="1750" w:type="pct"/>
            <w:noWrap/>
            <w:vAlign w:val="center"/>
            <w:hideMark/>
          </w:tcPr>
          <w:p w14:paraId="2DE3F304" w14:textId="77777777" w:rsidR="00951257" w:rsidRPr="006F29B4" w:rsidRDefault="0095125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Garantias </w:t>
            </w:r>
            <w:r>
              <w:rPr>
                <w:rFonts w:ascii="CAIXA Std Book" w:eastAsia="Times New Roman" w:hAnsi="CAIXA Std Book" w:cs="Arial"/>
                <w:color w:val="005CA9"/>
                <w:sz w:val="18"/>
                <w:szCs w:val="18"/>
              </w:rPr>
              <w:t>f</w:t>
            </w:r>
            <w:r w:rsidRPr="006F29B4">
              <w:rPr>
                <w:rFonts w:ascii="CAIXA Std Book" w:eastAsia="Times New Roman" w:hAnsi="CAIXA Std Book" w:cs="Arial"/>
                <w:color w:val="005CA9"/>
                <w:sz w:val="18"/>
                <w:szCs w:val="18"/>
              </w:rPr>
              <w:t xml:space="preserve">inanceiras </w:t>
            </w:r>
            <w:r>
              <w:rPr>
                <w:rFonts w:ascii="CAIXA Std Book" w:eastAsia="Times New Roman" w:hAnsi="CAIXA Std Book" w:cs="Arial"/>
                <w:color w:val="005CA9"/>
                <w:sz w:val="18"/>
                <w:szCs w:val="18"/>
              </w:rPr>
              <w:t>p</w:t>
            </w:r>
            <w:r w:rsidRPr="006F29B4">
              <w:rPr>
                <w:rFonts w:ascii="CAIXA Std Book" w:eastAsia="Times New Roman" w:hAnsi="CAIXA Std Book" w:cs="Arial"/>
                <w:color w:val="005CA9"/>
                <w:sz w:val="18"/>
                <w:szCs w:val="18"/>
              </w:rPr>
              <w:t>restadas</w:t>
            </w:r>
          </w:p>
        </w:tc>
        <w:tc>
          <w:tcPr>
            <w:tcW w:w="650" w:type="pct"/>
            <w:noWrap/>
            <w:vAlign w:val="center"/>
          </w:tcPr>
          <w:p w14:paraId="1CEE9B20" w14:textId="2D1415D2" w:rsidR="00951257" w:rsidRPr="00170D64" w:rsidRDefault="007078D3" w:rsidP="0005560B">
            <w:pPr>
              <w:ind w:firstLineChars="100" w:firstLine="180"/>
              <w:jc w:val="right"/>
              <w:rPr>
                <w:rFonts w:ascii="CAIXA Std Book" w:eastAsia="Times New Roman" w:hAnsi="CAIXA Std Book" w:cs="Arial"/>
                <w:color w:val="005CA9"/>
                <w:sz w:val="18"/>
                <w:szCs w:val="18"/>
                <w:highlight w:val="yellow"/>
              </w:rPr>
            </w:pPr>
            <w:r>
              <w:rPr>
                <w:rFonts w:ascii="CAIXA Std Book" w:hAnsi="CAIXA Std Book"/>
                <w:color w:val="005CA9"/>
                <w:sz w:val="18"/>
                <w:szCs w:val="18"/>
              </w:rPr>
              <w:t>(48.</w:t>
            </w:r>
            <w:r>
              <w:rPr>
                <w:rFonts w:ascii="CAIXA Std Book" w:hAnsi="CAIXA Std Book" w:cs="Calibri"/>
                <w:color w:val="005CA9"/>
                <w:sz w:val="18"/>
                <w:szCs w:val="18"/>
              </w:rPr>
              <w:t>217</w:t>
            </w:r>
            <w:r>
              <w:rPr>
                <w:rFonts w:ascii="CAIXA Std Book" w:hAnsi="CAIXA Std Book"/>
                <w:color w:val="005CA9"/>
                <w:sz w:val="18"/>
                <w:szCs w:val="18"/>
              </w:rPr>
              <w:t>)</w:t>
            </w:r>
          </w:p>
        </w:tc>
        <w:tc>
          <w:tcPr>
            <w:tcW w:w="650" w:type="pct"/>
            <w:noWrap/>
            <w:vAlign w:val="center"/>
          </w:tcPr>
          <w:p w14:paraId="08C1D6B9" w14:textId="718EAB4E" w:rsidR="00951257" w:rsidRPr="00F97F05" w:rsidRDefault="007078D3" w:rsidP="0005560B">
            <w:pPr>
              <w:ind w:firstLineChars="100" w:firstLine="180"/>
              <w:jc w:val="right"/>
              <w:rPr>
                <w:rFonts w:ascii="CAIXA Std Book" w:eastAsia="Times New Roman" w:hAnsi="CAIXA Std Book" w:cs="Arial"/>
                <w:color w:val="005CA9"/>
                <w:sz w:val="18"/>
                <w:szCs w:val="18"/>
                <w:highlight w:val="yellow"/>
              </w:rPr>
            </w:pPr>
            <w:r>
              <w:rPr>
                <w:rFonts w:ascii="CAIXA Std Book" w:hAnsi="CAIXA Std Book" w:cs="Calibri"/>
                <w:color w:val="005CA9"/>
                <w:sz w:val="18"/>
                <w:szCs w:val="18"/>
              </w:rPr>
              <w:t>729</w:t>
            </w:r>
          </w:p>
        </w:tc>
        <w:tc>
          <w:tcPr>
            <w:tcW w:w="650" w:type="pct"/>
            <w:noWrap/>
            <w:vAlign w:val="center"/>
          </w:tcPr>
          <w:p w14:paraId="0F571E3F" w14:textId="4C7DABC2" w:rsidR="00951257" w:rsidRPr="00F97F05" w:rsidRDefault="007078D3" w:rsidP="0005560B">
            <w:pPr>
              <w:ind w:firstLineChars="100" w:firstLine="180"/>
              <w:jc w:val="right"/>
              <w:rPr>
                <w:rFonts w:ascii="CAIXA Std Book" w:eastAsia="Times New Roman" w:hAnsi="CAIXA Std Book" w:cs="Arial"/>
                <w:color w:val="005CA9"/>
                <w:sz w:val="18"/>
                <w:szCs w:val="18"/>
                <w:highlight w:val="yellow"/>
              </w:rPr>
            </w:pPr>
            <w:r>
              <w:rPr>
                <w:rFonts w:ascii="CAIXA Std Book" w:hAnsi="CAIXA Std Book" w:cs="Calibri"/>
                <w:color w:val="005CA9"/>
                <w:sz w:val="18"/>
                <w:szCs w:val="18"/>
              </w:rPr>
              <w:t>248</w:t>
            </w:r>
          </w:p>
        </w:tc>
        <w:tc>
          <w:tcPr>
            <w:tcW w:w="650" w:type="pct"/>
            <w:noWrap/>
            <w:vAlign w:val="center"/>
          </w:tcPr>
          <w:p w14:paraId="1C3022B7" w14:textId="2031527A" w:rsidR="00951257" w:rsidRPr="00F97F05" w:rsidRDefault="007078D3" w:rsidP="0005560B">
            <w:pPr>
              <w:ind w:firstLineChars="100" w:firstLine="180"/>
              <w:jc w:val="right"/>
              <w:rPr>
                <w:rFonts w:ascii="CAIXA Std Book" w:eastAsia="Times New Roman" w:hAnsi="CAIXA Std Book" w:cs="Arial"/>
                <w:color w:val="005CA9"/>
                <w:sz w:val="18"/>
                <w:szCs w:val="18"/>
              </w:rPr>
            </w:pPr>
            <w:r>
              <w:rPr>
                <w:rFonts w:ascii="CAIXA Std Book" w:hAnsi="CAIXA Std Book"/>
                <w:color w:val="005CA9"/>
                <w:sz w:val="18"/>
                <w:szCs w:val="18"/>
              </w:rPr>
              <w:t>(</w:t>
            </w:r>
            <w:r>
              <w:rPr>
                <w:rFonts w:ascii="CAIXA Std Book" w:hAnsi="CAIXA Std Book" w:cs="Calibri"/>
                <w:color w:val="005CA9"/>
                <w:sz w:val="18"/>
                <w:szCs w:val="18"/>
              </w:rPr>
              <w:t>57</w:t>
            </w:r>
            <w:r>
              <w:rPr>
                <w:rFonts w:ascii="CAIXA Std Book" w:hAnsi="CAIXA Std Book"/>
                <w:color w:val="005CA9"/>
                <w:sz w:val="18"/>
                <w:szCs w:val="18"/>
              </w:rPr>
              <w:t>)</w:t>
            </w:r>
          </w:p>
        </w:tc>
        <w:tc>
          <w:tcPr>
            <w:tcW w:w="650" w:type="pct"/>
            <w:noWrap/>
            <w:vAlign w:val="center"/>
          </w:tcPr>
          <w:p w14:paraId="7DB0996C" w14:textId="16D0E558" w:rsidR="00951257" w:rsidRPr="00F97F05" w:rsidRDefault="007078D3" w:rsidP="007078D3">
            <w:pPr>
              <w:jc w:val="right"/>
              <w:rPr>
                <w:rFonts w:ascii="CAIXA Std Book" w:eastAsia="Times New Roman" w:hAnsi="CAIXA Std Book" w:cs="Arial"/>
                <w:color w:val="005CA9"/>
                <w:sz w:val="18"/>
                <w:szCs w:val="18"/>
              </w:rPr>
            </w:pPr>
            <w:r w:rsidRPr="00E40EAF">
              <w:rPr>
                <w:rFonts w:ascii="CAIXA Std Book" w:hAnsi="CAIXA Std Book"/>
                <w:color w:val="005CA9"/>
                <w:sz w:val="18"/>
                <w:szCs w:val="18"/>
              </w:rPr>
              <w:t>(47.</w:t>
            </w:r>
            <w:r>
              <w:rPr>
                <w:rFonts w:ascii="CAIXA Std Book" w:hAnsi="CAIXA Std Book" w:cs="Calibri"/>
                <w:color w:val="005CA9"/>
                <w:sz w:val="18"/>
                <w:szCs w:val="18"/>
              </w:rPr>
              <w:t>297</w:t>
            </w:r>
            <w:r w:rsidRPr="00E40EAF">
              <w:rPr>
                <w:rFonts w:ascii="CAIXA Std Book" w:hAnsi="CAIXA Std Book"/>
                <w:color w:val="005CA9"/>
                <w:sz w:val="18"/>
                <w:szCs w:val="18"/>
              </w:rPr>
              <w:t>)</w:t>
            </w:r>
          </w:p>
        </w:tc>
      </w:tr>
      <w:tr w:rsidR="00165917" w:rsidRPr="006F29B4" w14:paraId="1D982436" w14:textId="77777777" w:rsidTr="00D91FED">
        <w:trPr>
          <w:trHeight w:val="283"/>
        </w:trPr>
        <w:tc>
          <w:tcPr>
            <w:tcW w:w="1750" w:type="pct"/>
            <w:shd w:val="clear" w:color="auto" w:fill="005CA9"/>
            <w:noWrap/>
            <w:vAlign w:val="center"/>
            <w:hideMark/>
          </w:tcPr>
          <w:p w14:paraId="01BEE978" w14:textId="77777777" w:rsidR="00951257" w:rsidRPr="006F29B4" w:rsidRDefault="00951257">
            <w:pP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Total</w:t>
            </w:r>
          </w:p>
        </w:tc>
        <w:tc>
          <w:tcPr>
            <w:tcW w:w="650" w:type="pct"/>
            <w:shd w:val="clear" w:color="000000" w:fill="005CA9"/>
            <w:noWrap/>
            <w:vAlign w:val="center"/>
          </w:tcPr>
          <w:p w14:paraId="140F5A5E" w14:textId="567580B4" w:rsidR="00951257" w:rsidRPr="006F29B4" w:rsidRDefault="007078D3" w:rsidP="0005560B">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(51.403.108)</w:t>
            </w:r>
          </w:p>
        </w:tc>
        <w:tc>
          <w:tcPr>
            <w:tcW w:w="650" w:type="pct"/>
            <w:shd w:val="clear" w:color="000000" w:fill="005CA9"/>
            <w:vAlign w:val="center"/>
          </w:tcPr>
          <w:p w14:paraId="2C0A7D5A" w14:textId="0B7D07ED" w:rsidR="00951257" w:rsidRPr="006F29B4" w:rsidRDefault="007078D3" w:rsidP="0005560B">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(3.532.334)</w:t>
            </w:r>
          </w:p>
        </w:tc>
        <w:tc>
          <w:tcPr>
            <w:tcW w:w="650" w:type="pct"/>
            <w:shd w:val="clear" w:color="000000" w:fill="005CA9"/>
            <w:vAlign w:val="center"/>
          </w:tcPr>
          <w:p w14:paraId="2977AED4" w14:textId="426749FC" w:rsidR="00951257" w:rsidRPr="006F29B4" w:rsidRDefault="007078D3" w:rsidP="0005560B">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1.305.116</w:t>
            </w:r>
          </w:p>
        </w:tc>
        <w:tc>
          <w:tcPr>
            <w:tcW w:w="650" w:type="pct"/>
            <w:shd w:val="clear" w:color="000000" w:fill="005CA9"/>
            <w:vAlign w:val="center"/>
          </w:tcPr>
          <w:p w14:paraId="6F7AB947" w14:textId="59AD6E70" w:rsidR="00951257" w:rsidRPr="006F29B4" w:rsidRDefault="007078D3" w:rsidP="0005560B">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(1.479.487)</w:t>
            </w:r>
          </w:p>
        </w:tc>
        <w:tc>
          <w:tcPr>
            <w:tcW w:w="650" w:type="pct"/>
            <w:shd w:val="clear" w:color="000000" w:fill="005CA9"/>
            <w:vAlign w:val="center"/>
          </w:tcPr>
          <w:p w14:paraId="5222D6D2" w14:textId="1118E48C" w:rsidR="00951257" w:rsidRPr="006F29B4" w:rsidRDefault="007078D3" w:rsidP="0005560B">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(55.109.813)</w:t>
            </w:r>
          </w:p>
        </w:tc>
      </w:tr>
    </w:tbl>
    <w:p w14:paraId="1096B5D1" w14:textId="77777777" w:rsidR="00E85EE7" w:rsidRDefault="00E85EE7" w:rsidP="00586789">
      <w:pPr>
        <w:rPr>
          <w:rFonts w:ascii="CAIXA Std Book" w:hAnsi="CAIXA Std Book"/>
          <w:b/>
          <w:color w:val="005CA9"/>
          <w:sz w:val="20"/>
          <w:szCs w:val="20"/>
        </w:rPr>
      </w:pPr>
    </w:p>
    <w:tbl>
      <w:tblPr>
        <w:tblW w:w="5000" w:type="pct"/>
        <w:tblCellMar>
          <w:left w:w="70" w:type="dxa"/>
          <w:right w:w="70" w:type="dxa"/>
        </w:tblCellMar>
        <w:tblLook w:val="04A0" w:firstRow="1" w:lastRow="0" w:firstColumn="1" w:lastColumn="0" w:noHBand="0" w:noVBand="1"/>
      </w:tblPr>
      <w:tblGrid>
        <w:gridCol w:w="5102"/>
        <w:gridCol w:w="1894"/>
        <w:gridCol w:w="1894"/>
        <w:gridCol w:w="1894"/>
        <w:gridCol w:w="1894"/>
        <w:gridCol w:w="1891"/>
      </w:tblGrid>
      <w:tr w:rsidR="00C02397" w:rsidRPr="006F29B4" w14:paraId="76572B9E" w14:textId="77777777" w:rsidTr="00D91FED">
        <w:trPr>
          <w:trHeight w:val="283"/>
        </w:trPr>
        <w:tc>
          <w:tcPr>
            <w:tcW w:w="5000" w:type="pct"/>
            <w:gridSpan w:val="6"/>
            <w:tcBorders>
              <w:bottom w:val="single" w:sz="4" w:space="0" w:color="FFFFFF" w:themeColor="background1"/>
            </w:tcBorders>
            <w:shd w:val="clear" w:color="auto" w:fill="005CA9"/>
            <w:noWrap/>
            <w:vAlign w:val="center"/>
            <w:hideMark/>
          </w:tcPr>
          <w:p w14:paraId="074828F0" w14:textId="4073591E" w:rsidR="00C02397" w:rsidRPr="000D6FB9" w:rsidRDefault="00C02397" w:rsidP="000D6FB9">
            <w:pPr>
              <w:jc w:val="center"/>
              <w:rPr>
                <w:rFonts w:ascii="CAIXA Std Book" w:hAnsi="CAIXA Std Book"/>
                <w:b/>
                <w:color w:val="005CA9"/>
                <w:sz w:val="18"/>
                <w:szCs w:val="18"/>
              </w:rPr>
            </w:pPr>
            <w:r>
              <w:rPr>
                <w:rFonts w:ascii="CAIXA Std Book" w:eastAsia="Times New Roman" w:hAnsi="CAIXA Std Book" w:cs="Calibri"/>
                <w:b/>
                <w:color w:val="FFFFFF"/>
                <w:sz w:val="18"/>
                <w:szCs w:val="18"/>
              </w:rPr>
              <w:t>Consolidado</w:t>
            </w:r>
          </w:p>
        </w:tc>
      </w:tr>
      <w:tr w:rsidR="00C02397" w:rsidRPr="006F29B4" w14:paraId="2EA19037" w14:textId="77777777" w:rsidTr="00D91FED">
        <w:trPr>
          <w:trHeight w:val="283"/>
        </w:trPr>
        <w:tc>
          <w:tcPr>
            <w:tcW w:w="1751" w:type="pct"/>
            <w:tcBorders>
              <w:top w:val="single" w:sz="4" w:space="0" w:color="FFFFFF" w:themeColor="background1"/>
            </w:tcBorders>
            <w:shd w:val="clear" w:color="auto" w:fill="005CA9"/>
            <w:vAlign w:val="center"/>
            <w:hideMark/>
          </w:tcPr>
          <w:p w14:paraId="09314197" w14:textId="09FF3537" w:rsidR="00C02397" w:rsidRPr="000D6FB9" w:rsidRDefault="00C02397" w:rsidP="000D6FB9">
            <w:pPr>
              <w:jc w:val="center"/>
              <w:rPr>
                <w:rFonts w:ascii="CAIXA Std Book" w:hAnsi="CAIXA Std Book"/>
                <w:b/>
                <w:color w:val="005CA9"/>
                <w:sz w:val="18"/>
                <w:szCs w:val="18"/>
              </w:rPr>
            </w:pPr>
            <w:r w:rsidRPr="006F29B4">
              <w:rPr>
                <w:rFonts w:ascii="CAIXA Std Book" w:eastAsia="Times New Roman" w:hAnsi="CAIXA Std Book" w:cs="Arial"/>
                <w:b/>
                <w:color w:val="FFFFFF"/>
                <w:sz w:val="18"/>
                <w:szCs w:val="18"/>
              </w:rPr>
              <w:t xml:space="preserve">Estágio </w:t>
            </w:r>
            <w:r>
              <w:rPr>
                <w:rFonts w:ascii="CAIXA Std Book" w:eastAsia="Times New Roman" w:hAnsi="CAIXA Std Book" w:cs="Arial"/>
                <w:b/>
                <w:color w:val="FFFFFF"/>
                <w:sz w:val="18"/>
                <w:szCs w:val="18"/>
              </w:rPr>
              <w:t>1</w:t>
            </w:r>
          </w:p>
        </w:tc>
        <w:tc>
          <w:tcPr>
            <w:tcW w:w="650" w:type="pct"/>
            <w:tcBorders>
              <w:top w:val="single" w:sz="4" w:space="0" w:color="FFFFFF" w:themeColor="background1"/>
            </w:tcBorders>
            <w:shd w:val="clear" w:color="auto" w:fill="005CA9"/>
            <w:vAlign w:val="center"/>
            <w:hideMark/>
          </w:tcPr>
          <w:p w14:paraId="41ADF4A1" w14:textId="77777777" w:rsidR="00C02397" w:rsidRPr="006F29B4" w:rsidRDefault="00C0239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Saldo em 01/01/2025</w:t>
            </w:r>
          </w:p>
        </w:tc>
        <w:tc>
          <w:tcPr>
            <w:tcW w:w="650" w:type="pct"/>
            <w:tcBorders>
              <w:top w:val="single" w:sz="4" w:space="0" w:color="FFFFFF" w:themeColor="background1"/>
            </w:tcBorders>
            <w:shd w:val="clear" w:color="auto" w:fill="005CA9"/>
            <w:vAlign w:val="center"/>
            <w:hideMark/>
          </w:tcPr>
          <w:p w14:paraId="498E95DC" w14:textId="77777777" w:rsidR="00C02397" w:rsidRPr="006F29B4" w:rsidRDefault="00C0239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Constituição/ reversão</w:t>
            </w:r>
          </w:p>
        </w:tc>
        <w:tc>
          <w:tcPr>
            <w:tcW w:w="650" w:type="pct"/>
            <w:tcBorders>
              <w:top w:val="single" w:sz="4" w:space="0" w:color="FFFFFF" w:themeColor="background1"/>
            </w:tcBorders>
            <w:shd w:val="clear" w:color="auto" w:fill="005CA9"/>
            <w:vAlign w:val="center"/>
            <w:hideMark/>
          </w:tcPr>
          <w:p w14:paraId="7E17FCCC" w14:textId="77777777" w:rsidR="00C02397" w:rsidRPr="006F29B4" w:rsidRDefault="00C0239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Transferência do/ para estágio 2</w:t>
            </w:r>
          </w:p>
        </w:tc>
        <w:tc>
          <w:tcPr>
            <w:tcW w:w="650" w:type="pct"/>
            <w:tcBorders>
              <w:top w:val="single" w:sz="4" w:space="0" w:color="FFFFFF" w:themeColor="background1"/>
            </w:tcBorders>
            <w:shd w:val="clear" w:color="auto" w:fill="005CA9"/>
            <w:vAlign w:val="center"/>
            <w:hideMark/>
          </w:tcPr>
          <w:p w14:paraId="794A232E" w14:textId="77777777" w:rsidR="00C02397" w:rsidRDefault="00C0239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Transferência do/</w:t>
            </w:r>
          </w:p>
          <w:p w14:paraId="2C348C54" w14:textId="77777777" w:rsidR="00C02397" w:rsidRPr="006F29B4" w:rsidRDefault="00C0239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para estágio 3 </w:t>
            </w:r>
          </w:p>
        </w:tc>
        <w:tc>
          <w:tcPr>
            <w:tcW w:w="649" w:type="pct"/>
            <w:tcBorders>
              <w:top w:val="single" w:sz="4" w:space="0" w:color="FFFFFF" w:themeColor="background1"/>
            </w:tcBorders>
            <w:shd w:val="clear" w:color="auto" w:fill="005CA9"/>
            <w:vAlign w:val="center"/>
            <w:hideMark/>
          </w:tcPr>
          <w:p w14:paraId="76F84CA7" w14:textId="06EDB113" w:rsidR="00C02397" w:rsidRPr="006F29B4" w:rsidRDefault="00C0239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Saldo em 31/</w:t>
            </w:r>
            <w:r w:rsidR="0067638B">
              <w:rPr>
                <w:rFonts w:ascii="CAIXA Std Book" w:eastAsia="Times New Roman" w:hAnsi="CAIXA Std Book" w:cs="Arial"/>
                <w:b/>
                <w:color w:val="FFFFFF"/>
                <w:sz w:val="18"/>
                <w:szCs w:val="18"/>
              </w:rPr>
              <w:t>12</w:t>
            </w:r>
            <w:r w:rsidRPr="006F29B4">
              <w:rPr>
                <w:rFonts w:ascii="CAIXA Std Book" w:eastAsia="Times New Roman" w:hAnsi="CAIXA Std Book" w:cs="Arial"/>
                <w:b/>
                <w:color w:val="FFFFFF"/>
                <w:sz w:val="18"/>
                <w:szCs w:val="18"/>
              </w:rPr>
              <w:t>/2025</w:t>
            </w:r>
          </w:p>
        </w:tc>
      </w:tr>
      <w:tr w:rsidR="00C02397" w:rsidRPr="006F29B4" w14:paraId="28DFC029" w14:textId="77777777" w:rsidTr="00D91FED">
        <w:trPr>
          <w:trHeight w:val="283"/>
        </w:trPr>
        <w:tc>
          <w:tcPr>
            <w:tcW w:w="1751" w:type="pct"/>
            <w:shd w:val="clear" w:color="auto" w:fill="D0E0E3"/>
            <w:noWrap/>
            <w:vAlign w:val="center"/>
            <w:hideMark/>
          </w:tcPr>
          <w:p w14:paraId="0726570A" w14:textId="77777777" w:rsidR="00C02397" w:rsidRPr="006F29B4" w:rsidRDefault="00C02397">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 xml:space="preserve">Ativos </w:t>
            </w:r>
            <w:r>
              <w:rPr>
                <w:rFonts w:ascii="CAIXA Std Book" w:eastAsia="Times New Roman" w:hAnsi="CAIXA Std Book" w:cs="Arial"/>
                <w:b/>
                <w:color w:val="005CA9"/>
                <w:sz w:val="18"/>
                <w:szCs w:val="18"/>
              </w:rPr>
              <w:t>f</w:t>
            </w:r>
            <w:r w:rsidRPr="006F29B4">
              <w:rPr>
                <w:rFonts w:ascii="CAIXA Std Book" w:eastAsia="Times New Roman" w:hAnsi="CAIXA Std Book" w:cs="Arial"/>
                <w:b/>
                <w:color w:val="005CA9"/>
                <w:sz w:val="18"/>
                <w:szCs w:val="18"/>
              </w:rPr>
              <w:t>inanceiros</w:t>
            </w:r>
          </w:p>
        </w:tc>
        <w:tc>
          <w:tcPr>
            <w:tcW w:w="650" w:type="pct"/>
            <w:shd w:val="clear" w:color="000000" w:fill="D0E0E3"/>
            <w:noWrap/>
            <w:vAlign w:val="center"/>
            <w:hideMark/>
          </w:tcPr>
          <w:p w14:paraId="64E5D1EE" w14:textId="6CB0BC0D" w:rsidR="00C02397" w:rsidRPr="006F29B4" w:rsidRDefault="00C02397">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(11.317.223)</w:t>
            </w:r>
          </w:p>
        </w:tc>
        <w:tc>
          <w:tcPr>
            <w:tcW w:w="650" w:type="pct"/>
            <w:shd w:val="clear" w:color="000000" w:fill="D0E0E3"/>
            <w:noWrap/>
            <w:vAlign w:val="center"/>
            <w:hideMark/>
          </w:tcPr>
          <w:p w14:paraId="5FB3733F" w14:textId="3876B155" w:rsidR="00C02397" w:rsidRPr="006F29B4" w:rsidRDefault="00100385">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7.279.565</w:t>
            </w:r>
          </w:p>
        </w:tc>
        <w:tc>
          <w:tcPr>
            <w:tcW w:w="650" w:type="pct"/>
            <w:shd w:val="clear" w:color="000000" w:fill="D0E0E3"/>
            <w:noWrap/>
            <w:vAlign w:val="center"/>
            <w:hideMark/>
          </w:tcPr>
          <w:p w14:paraId="02592549" w14:textId="42F50E45" w:rsidR="00C02397" w:rsidRPr="006F29B4" w:rsidRDefault="00100385">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(3.632.797)</w:t>
            </w:r>
          </w:p>
        </w:tc>
        <w:tc>
          <w:tcPr>
            <w:tcW w:w="650" w:type="pct"/>
            <w:shd w:val="clear" w:color="000000" w:fill="D0E0E3"/>
            <w:noWrap/>
            <w:vAlign w:val="center"/>
            <w:hideMark/>
          </w:tcPr>
          <w:p w14:paraId="30F81C7D" w14:textId="50F900CB" w:rsidR="00C02397" w:rsidRPr="006F29B4" w:rsidRDefault="00100385">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(3.510.068)</w:t>
            </w:r>
          </w:p>
        </w:tc>
        <w:tc>
          <w:tcPr>
            <w:tcW w:w="649" w:type="pct"/>
            <w:shd w:val="clear" w:color="000000" w:fill="D0E0E3"/>
            <w:noWrap/>
            <w:vAlign w:val="center"/>
            <w:hideMark/>
          </w:tcPr>
          <w:p w14:paraId="3969BF61" w14:textId="4E4700EA" w:rsidR="00C02397" w:rsidRPr="006F29B4" w:rsidRDefault="00C02397">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(11.</w:t>
            </w:r>
            <w:r w:rsidR="00100385">
              <w:rPr>
                <w:rFonts w:ascii="CAIXA Std Book" w:hAnsi="CAIXA Std Book" w:cs="Calibri"/>
                <w:b/>
                <w:bCs/>
                <w:color w:val="005CA9"/>
                <w:sz w:val="18"/>
                <w:szCs w:val="18"/>
              </w:rPr>
              <w:t>180.523</w:t>
            </w:r>
            <w:r>
              <w:rPr>
                <w:rFonts w:ascii="CAIXA Std Book" w:hAnsi="CAIXA Std Book" w:cs="Calibri"/>
                <w:b/>
                <w:bCs/>
                <w:color w:val="005CA9"/>
                <w:sz w:val="18"/>
                <w:szCs w:val="18"/>
              </w:rPr>
              <w:t>)</w:t>
            </w:r>
          </w:p>
        </w:tc>
      </w:tr>
      <w:tr w:rsidR="00C02397" w:rsidRPr="006F29B4" w14:paraId="56953C1F" w14:textId="77777777" w:rsidTr="00D91FED">
        <w:trPr>
          <w:trHeight w:val="283"/>
        </w:trPr>
        <w:tc>
          <w:tcPr>
            <w:tcW w:w="1751" w:type="pct"/>
            <w:noWrap/>
            <w:vAlign w:val="center"/>
            <w:hideMark/>
          </w:tcPr>
          <w:p w14:paraId="2ADBA928" w14:textId="77777777" w:rsidR="00C02397" w:rsidRPr="006F29B4" w:rsidRDefault="00C0239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Títulos e </w:t>
            </w:r>
            <w:r>
              <w:rPr>
                <w:rFonts w:ascii="CAIXA Std Book" w:eastAsia="Times New Roman" w:hAnsi="CAIXA Std Book" w:cs="Arial"/>
                <w:color w:val="005CA9"/>
                <w:sz w:val="18"/>
                <w:szCs w:val="18"/>
              </w:rPr>
              <w:t>v</w:t>
            </w:r>
            <w:r w:rsidRPr="006F29B4">
              <w:rPr>
                <w:rFonts w:ascii="CAIXA Std Book" w:eastAsia="Times New Roman" w:hAnsi="CAIXA Std Book" w:cs="Arial"/>
                <w:color w:val="005CA9"/>
                <w:sz w:val="18"/>
                <w:szCs w:val="18"/>
              </w:rPr>
              <w:t xml:space="preserve">alores </w:t>
            </w:r>
            <w:r>
              <w:rPr>
                <w:rFonts w:ascii="CAIXA Std Book" w:eastAsia="Times New Roman" w:hAnsi="CAIXA Std Book" w:cs="Arial"/>
                <w:color w:val="005CA9"/>
                <w:sz w:val="18"/>
                <w:szCs w:val="18"/>
              </w:rPr>
              <w:t>m</w:t>
            </w:r>
            <w:r w:rsidRPr="006F29B4">
              <w:rPr>
                <w:rFonts w:ascii="CAIXA Std Book" w:eastAsia="Times New Roman" w:hAnsi="CAIXA Std Book" w:cs="Arial"/>
                <w:color w:val="005CA9"/>
                <w:sz w:val="18"/>
                <w:szCs w:val="18"/>
              </w:rPr>
              <w:t>obiliários</w:t>
            </w:r>
          </w:p>
        </w:tc>
        <w:tc>
          <w:tcPr>
            <w:tcW w:w="650" w:type="pct"/>
            <w:noWrap/>
            <w:vAlign w:val="center"/>
            <w:hideMark/>
          </w:tcPr>
          <w:p w14:paraId="47F52937" w14:textId="79AB9184" w:rsidR="00C02397" w:rsidRPr="006F29B4" w:rsidRDefault="00C02397">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(139.813)</w:t>
            </w:r>
          </w:p>
        </w:tc>
        <w:tc>
          <w:tcPr>
            <w:tcW w:w="650" w:type="pct"/>
            <w:noWrap/>
            <w:vAlign w:val="center"/>
            <w:hideMark/>
          </w:tcPr>
          <w:p w14:paraId="233AF9F9" w14:textId="358144DD" w:rsidR="00C02397" w:rsidRPr="006F29B4" w:rsidRDefault="00100385">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39.172</w:t>
            </w:r>
          </w:p>
        </w:tc>
        <w:tc>
          <w:tcPr>
            <w:tcW w:w="650" w:type="pct"/>
            <w:noWrap/>
            <w:vAlign w:val="center"/>
            <w:hideMark/>
          </w:tcPr>
          <w:p w14:paraId="28949AE1" w14:textId="7A7542BC" w:rsidR="00C02397" w:rsidRPr="006F29B4" w:rsidRDefault="00100385" w:rsidP="00B92F78">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2.878</w:t>
            </w:r>
          </w:p>
        </w:tc>
        <w:tc>
          <w:tcPr>
            <w:tcW w:w="650" w:type="pct"/>
            <w:noWrap/>
            <w:vAlign w:val="center"/>
            <w:hideMark/>
          </w:tcPr>
          <w:p w14:paraId="68065FE9" w14:textId="0A6DB96D" w:rsidR="00C02397" w:rsidRPr="006F29B4" w:rsidRDefault="00100385" w:rsidP="00B92F78">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(10.397)</w:t>
            </w:r>
          </w:p>
        </w:tc>
        <w:tc>
          <w:tcPr>
            <w:tcW w:w="649" w:type="pct"/>
            <w:noWrap/>
            <w:vAlign w:val="center"/>
            <w:hideMark/>
          </w:tcPr>
          <w:p w14:paraId="579A53FF" w14:textId="7E9B9A54" w:rsidR="00C02397" w:rsidRPr="006F29B4" w:rsidRDefault="00100385">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(108.160)</w:t>
            </w:r>
          </w:p>
        </w:tc>
      </w:tr>
      <w:tr w:rsidR="00C02397" w:rsidRPr="006F29B4" w14:paraId="7BB0E20C" w14:textId="77777777" w:rsidTr="00D91FED">
        <w:trPr>
          <w:trHeight w:val="283"/>
        </w:trPr>
        <w:tc>
          <w:tcPr>
            <w:tcW w:w="1751" w:type="pct"/>
            <w:noWrap/>
            <w:vAlign w:val="center"/>
            <w:hideMark/>
          </w:tcPr>
          <w:p w14:paraId="36304CFA" w14:textId="77777777" w:rsidR="00C02397" w:rsidRPr="006F29B4" w:rsidRDefault="00C0239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Carteira de </w:t>
            </w:r>
            <w:r>
              <w:rPr>
                <w:rFonts w:ascii="CAIXA Std Book" w:eastAsia="Times New Roman" w:hAnsi="CAIXA Std Book" w:cs="Arial"/>
                <w:color w:val="005CA9"/>
                <w:sz w:val="18"/>
                <w:szCs w:val="18"/>
              </w:rPr>
              <w:t>c</w:t>
            </w:r>
            <w:r w:rsidRPr="006F29B4">
              <w:rPr>
                <w:rFonts w:ascii="CAIXA Std Book" w:eastAsia="Times New Roman" w:hAnsi="CAIXA Std Book" w:cs="Arial"/>
                <w:color w:val="005CA9"/>
                <w:sz w:val="18"/>
                <w:szCs w:val="18"/>
              </w:rPr>
              <w:t>rédito</w:t>
            </w:r>
          </w:p>
        </w:tc>
        <w:tc>
          <w:tcPr>
            <w:tcW w:w="650" w:type="pct"/>
            <w:noWrap/>
            <w:vAlign w:val="center"/>
            <w:hideMark/>
          </w:tcPr>
          <w:p w14:paraId="7605D2E2" w14:textId="6BC72CEB" w:rsidR="00C02397" w:rsidRPr="00C879C8" w:rsidRDefault="00C02397">
            <w:pPr>
              <w:jc w:val="right"/>
              <w:rPr>
                <w:rFonts w:ascii="CAIXA Std Book" w:hAnsi="CAIXA Std Book"/>
                <w:color w:val="005CA9"/>
                <w:sz w:val="18"/>
                <w:szCs w:val="18"/>
              </w:rPr>
            </w:pPr>
            <w:r>
              <w:rPr>
                <w:rFonts w:ascii="CAIXA Std Book" w:hAnsi="CAIXA Std Book" w:cs="Calibri"/>
                <w:color w:val="005CA9"/>
                <w:sz w:val="18"/>
                <w:szCs w:val="18"/>
              </w:rPr>
              <w:t>(11.177.410)</w:t>
            </w:r>
          </w:p>
        </w:tc>
        <w:tc>
          <w:tcPr>
            <w:tcW w:w="650" w:type="pct"/>
            <w:noWrap/>
            <w:vAlign w:val="center"/>
            <w:hideMark/>
          </w:tcPr>
          <w:p w14:paraId="58780D8E" w14:textId="22D3BE65" w:rsidR="00C02397" w:rsidRPr="00C879C8" w:rsidRDefault="00100385">
            <w:pPr>
              <w:jc w:val="right"/>
              <w:rPr>
                <w:rFonts w:ascii="CAIXA Std Book" w:hAnsi="CAIXA Std Book"/>
                <w:color w:val="005CA9"/>
                <w:sz w:val="18"/>
                <w:szCs w:val="18"/>
              </w:rPr>
            </w:pPr>
            <w:r>
              <w:rPr>
                <w:rFonts w:ascii="CAIXA Std Book" w:hAnsi="CAIXA Std Book" w:cs="Calibri"/>
                <w:color w:val="005CA9"/>
                <w:sz w:val="18"/>
                <w:szCs w:val="18"/>
              </w:rPr>
              <w:t>7.240.393</w:t>
            </w:r>
          </w:p>
        </w:tc>
        <w:tc>
          <w:tcPr>
            <w:tcW w:w="650" w:type="pct"/>
            <w:noWrap/>
            <w:vAlign w:val="center"/>
            <w:hideMark/>
          </w:tcPr>
          <w:p w14:paraId="10ACD855" w14:textId="06E1281C" w:rsidR="00C02397" w:rsidRPr="00C879C8" w:rsidRDefault="00100385">
            <w:pPr>
              <w:jc w:val="right"/>
              <w:rPr>
                <w:rFonts w:ascii="CAIXA Std Book" w:hAnsi="CAIXA Std Book"/>
                <w:color w:val="005CA9"/>
                <w:sz w:val="18"/>
                <w:szCs w:val="18"/>
              </w:rPr>
            </w:pPr>
            <w:r>
              <w:rPr>
                <w:rFonts w:ascii="CAIXA Std Book" w:hAnsi="CAIXA Std Book" w:cs="Calibri"/>
                <w:color w:val="005CA9"/>
                <w:sz w:val="18"/>
                <w:szCs w:val="18"/>
              </w:rPr>
              <w:t>(3.635.675)</w:t>
            </w:r>
          </w:p>
        </w:tc>
        <w:tc>
          <w:tcPr>
            <w:tcW w:w="650" w:type="pct"/>
            <w:noWrap/>
            <w:vAlign w:val="center"/>
            <w:hideMark/>
          </w:tcPr>
          <w:p w14:paraId="51F3DCE4" w14:textId="6E1E0DE0" w:rsidR="00C02397" w:rsidRPr="00C879C8" w:rsidRDefault="00100385">
            <w:pPr>
              <w:jc w:val="right"/>
              <w:rPr>
                <w:rFonts w:ascii="CAIXA Std Book" w:hAnsi="CAIXA Std Book"/>
                <w:color w:val="005CA9"/>
                <w:sz w:val="18"/>
                <w:szCs w:val="18"/>
              </w:rPr>
            </w:pPr>
            <w:r>
              <w:rPr>
                <w:rFonts w:ascii="CAIXA Std Book" w:hAnsi="CAIXA Std Book" w:cs="Calibri"/>
                <w:color w:val="005CA9"/>
                <w:sz w:val="18"/>
                <w:szCs w:val="18"/>
              </w:rPr>
              <w:t>(3.499.671)</w:t>
            </w:r>
          </w:p>
        </w:tc>
        <w:tc>
          <w:tcPr>
            <w:tcW w:w="649" w:type="pct"/>
            <w:noWrap/>
            <w:vAlign w:val="center"/>
            <w:hideMark/>
          </w:tcPr>
          <w:p w14:paraId="136DF085" w14:textId="3BB98D9D" w:rsidR="00C02397" w:rsidRPr="00C879C8" w:rsidRDefault="00C02397">
            <w:pPr>
              <w:jc w:val="right"/>
              <w:rPr>
                <w:rFonts w:ascii="CAIXA Std Book" w:hAnsi="CAIXA Std Book"/>
                <w:color w:val="005CA9"/>
                <w:sz w:val="18"/>
                <w:szCs w:val="18"/>
              </w:rPr>
            </w:pPr>
            <w:r>
              <w:rPr>
                <w:rFonts w:ascii="CAIXA Std Book" w:hAnsi="CAIXA Std Book" w:cs="Calibri"/>
                <w:color w:val="005CA9"/>
                <w:sz w:val="18"/>
                <w:szCs w:val="18"/>
              </w:rPr>
              <w:t>(11.</w:t>
            </w:r>
            <w:r w:rsidR="00100385">
              <w:rPr>
                <w:rFonts w:ascii="CAIXA Std Book" w:hAnsi="CAIXA Std Book" w:cs="Calibri"/>
                <w:color w:val="005CA9"/>
                <w:sz w:val="18"/>
                <w:szCs w:val="18"/>
              </w:rPr>
              <w:t>072.363</w:t>
            </w:r>
            <w:r>
              <w:rPr>
                <w:rFonts w:ascii="CAIXA Std Book" w:hAnsi="CAIXA Std Book" w:cs="Calibri"/>
                <w:color w:val="005CA9"/>
                <w:sz w:val="18"/>
                <w:szCs w:val="18"/>
              </w:rPr>
              <w:t>)</w:t>
            </w:r>
          </w:p>
        </w:tc>
      </w:tr>
      <w:tr w:rsidR="00C02397" w:rsidRPr="006F29B4" w14:paraId="67FD3F6C" w14:textId="77777777" w:rsidTr="00D91FED">
        <w:trPr>
          <w:trHeight w:val="283"/>
        </w:trPr>
        <w:tc>
          <w:tcPr>
            <w:tcW w:w="1751" w:type="pct"/>
            <w:shd w:val="clear" w:color="auto" w:fill="D0E0E3"/>
            <w:noWrap/>
            <w:vAlign w:val="center"/>
            <w:hideMark/>
          </w:tcPr>
          <w:p w14:paraId="4BDCEE5B" w14:textId="77777777" w:rsidR="00C02397" w:rsidRPr="006F29B4" w:rsidRDefault="00C02397">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 xml:space="preserve">Passivos </w:t>
            </w:r>
            <w:r>
              <w:rPr>
                <w:rFonts w:ascii="CAIXA Std Book" w:eastAsia="Times New Roman" w:hAnsi="CAIXA Std Book" w:cs="Arial"/>
                <w:b/>
                <w:color w:val="005CA9"/>
                <w:sz w:val="18"/>
                <w:szCs w:val="18"/>
              </w:rPr>
              <w:t>f</w:t>
            </w:r>
            <w:r w:rsidRPr="006F29B4">
              <w:rPr>
                <w:rFonts w:ascii="CAIXA Std Book" w:eastAsia="Times New Roman" w:hAnsi="CAIXA Std Book" w:cs="Arial"/>
                <w:b/>
                <w:color w:val="005CA9"/>
                <w:sz w:val="18"/>
                <w:szCs w:val="18"/>
              </w:rPr>
              <w:t>inanceiros</w:t>
            </w:r>
          </w:p>
        </w:tc>
        <w:tc>
          <w:tcPr>
            <w:tcW w:w="650" w:type="pct"/>
            <w:shd w:val="clear" w:color="000000" w:fill="D0E0E3"/>
            <w:noWrap/>
            <w:vAlign w:val="center"/>
            <w:hideMark/>
          </w:tcPr>
          <w:p w14:paraId="75B0E69B" w14:textId="74650169" w:rsidR="00C02397" w:rsidRPr="006F29B4" w:rsidRDefault="00C02397">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(898.057)</w:t>
            </w:r>
          </w:p>
        </w:tc>
        <w:tc>
          <w:tcPr>
            <w:tcW w:w="650" w:type="pct"/>
            <w:shd w:val="clear" w:color="000000" w:fill="D0E0E3"/>
            <w:noWrap/>
            <w:vAlign w:val="center"/>
            <w:hideMark/>
          </w:tcPr>
          <w:p w14:paraId="1E8BC870" w14:textId="6D941075" w:rsidR="00C02397" w:rsidRPr="006F29B4" w:rsidRDefault="00100385">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184.469</w:t>
            </w:r>
          </w:p>
        </w:tc>
        <w:tc>
          <w:tcPr>
            <w:tcW w:w="650" w:type="pct"/>
            <w:shd w:val="clear" w:color="000000" w:fill="D0E0E3"/>
            <w:noWrap/>
            <w:vAlign w:val="center"/>
            <w:hideMark/>
          </w:tcPr>
          <w:p w14:paraId="73953B8A" w14:textId="4404A628" w:rsidR="00C02397" w:rsidRPr="006F29B4" w:rsidRDefault="00100385">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w:t>
            </w:r>
            <w:r>
              <w:rPr>
                <w:rFonts w:ascii="CAIXA Std Book" w:hAnsi="CAIXA Std Book" w:cs="Calibri"/>
                <w:b/>
                <w:color w:val="005CA9"/>
                <w:sz w:val="18"/>
                <w:szCs w:val="18"/>
              </w:rPr>
              <w:t>10.073</w:t>
            </w:r>
            <w:r>
              <w:rPr>
                <w:rFonts w:ascii="CAIXA Std Book" w:hAnsi="CAIXA Std Book" w:cs="Calibri"/>
                <w:b/>
                <w:bCs/>
                <w:color w:val="005CA9"/>
                <w:sz w:val="18"/>
                <w:szCs w:val="18"/>
              </w:rPr>
              <w:t>)</w:t>
            </w:r>
          </w:p>
        </w:tc>
        <w:tc>
          <w:tcPr>
            <w:tcW w:w="650" w:type="pct"/>
            <w:shd w:val="clear" w:color="000000" w:fill="D0E0E3"/>
            <w:noWrap/>
            <w:vAlign w:val="center"/>
            <w:hideMark/>
          </w:tcPr>
          <w:p w14:paraId="3F1A0895" w14:textId="6DBEF61A" w:rsidR="00C02397" w:rsidRPr="006F29B4" w:rsidRDefault="00100385">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(12.501)</w:t>
            </w:r>
          </w:p>
        </w:tc>
        <w:tc>
          <w:tcPr>
            <w:tcW w:w="649" w:type="pct"/>
            <w:shd w:val="clear" w:color="000000" w:fill="D0E0E3"/>
            <w:noWrap/>
            <w:vAlign w:val="center"/>
            <w:hideMark/>
          </w:tcPr>
          <w:p w14:paraId="64C801E3" w14:textId="227AF887" w:rsidR="00C02397" w:rsidRPr="006F29B4" w:rsidRDefault="00100385">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(736.162)</w:t>
            </w:r>
          </w:p>
        </w:tc>
      </w:tr>
      <w:tr w:rsidR="00C02397" w:rsidRPr="006F29B4" w14:paraId="28EE175C" w14:textId="77777777" w:rsidTr="00D91FED">
        <w:trPr>
          <w:trHeight w:val="283"/>
        </w:trPr>
        <w:tc>
          <w:tcPr>
            <w:tcW w:w="1751" w:type="pct"/>
            <w:noWrap/>
            <w:vAlign w:val="center"/>
            <w:hideMark/>
          </w:tcPr>
          <w:p w14:paraId="797709E4" w14:textId="77777777" w:rsidR="00C02397" w:rsidRPr="006F29B4" w:rsidRDefault="00C0239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Compromisso de </w:t>
            </w:r>
            <w:r>
              <w:rPr>
                <w:rFonts w:ascii="CAIXA Std Book" w:eastAsia="Times New Roman" w:hAnsi="CAIXA Std Book" w:cs="Arial"/>
                <w:color w:val="005CA9"/>
                <w:sz w:val="18"/>
                <w:szCs w:val="18"/>
              </w:rPr>
              <w:t>empréstimos e c</w:t>
            </w:r>
            <w:r w:rsidRPr="006F29B4">
              <w:rPr>
                <w:rFonts w:ascii="CAIXA Std Book" w:eastAsia="Times New Roman" w:hAnsi="CAIXA Std Book" w:cs="Arial"/>
                <w:color w:val="005CA9"/>
                <w:sz w:val="18"/>
                <w:szCs w:val="18"/>
              </w:rPr>
              <w:t>rédito</w:t>
            </w:r>
            <w:r>
              <w:rPr>
                <w:rFonts w:ascii="CAIXA Std Book" w:eastAsia="Times New Roman" w:hAnsi="CAIXA Std Book" w:cs="Arial"/>
                <w:color w:val="005CA9"/>
                <w:sz w:val="18"/>
                <w:szCs w:val="18"/>
              </w:rPr>
              <w:t>s</w:t>
            </w:r>
            <w:r w:rsidRPr="006F29B4">
              <w:rPr>
                <w:rFonts w:ascii="CAIXA Std Book" w:eastAsia="Times New Roman" w:hAnsi="CAIXA Std Book" w:cs="Arial"/>
                <w:color w:val="005CA9"/>
                <w:sz w:val="18"/>
                <w:szCs w:val="18"/>
              </w:rPr>
              <w:t xml:space="preserve"> a </w:t>
            </w:r>
            <w:r>
              <w:rPr>
                <w:rFonts w:ascii="CAIXA Std Book" w:eastAsia="Times New Roman" w:hAnsi="CAIXA Std Book" w:cs="Arial"/>
                <w:color w:val="005CA9"/>
                <w:sz w:val="18"/>
                <w:szCs w:val="18"/>
              </w:rPr>
              <w:t>l</w:t>
            </w:r>
            <w:r w:rsidRPr="006F29B4">
              <w:rPr>
                <w:rFonts w:ascii="CAIXA Std Book" w:eastAsia="Times New Roman" w:hAnsi="CAIXA Std Book" w:cs="Arial"/>
                <w:color w:val="005CA9"/>
                <w:sz w:val="18"/>
                <w:szCs w:val="18"/>
              </w:rPr>
              <w:t>iberar</w:t>
            </w:r>
          </w:p>
        </w:tc>
        <w:tc>
          <w:tcPr>
            <w:tcW w:w="650" w:type="pct"/>
            <w:noWrap/>
            <w:vAlign w:val="center"/>
          </w:tcPr>
          <w:p w14:paraId="66C3731A" w14:textId="3EBC3AB8" w:rsidR="00C02397" w:rsidRPr="006F29B4" w:rsidRDefault="00C02397">
            <w:pPr>
              <w:jc w:val="right"/>
              <w:rPr>
                <w:rFonts w:ascii="CAIXA Std Book" w:eastAsia="Times New Roman" w:hAnsi="CAIXA Std Book" w:cs="Arial"/>
                <w:color w:val="005CA9"/>
                <w:sz w:val="18"/>
                <w:szCs w:val="18"/>
              </w:rPr>
            </w:pPr>
            <w:r>
              <w:rPr>
                <w:rFonts w:ascii="CAIXA Std Book" w:hAnsi="CAIXA Std Book" w:cs="Calibri"/>
                <w:color w:val="005CA9"/>
                <w:sz w:val="18"/>
                <w:szCs w:val="18"/>
              </w:rPr>
              <w:t>(878.405)</w:t>
            </w:r>
          </w:p>
        </w:tc>
        <w:tc>
          <w:tcPr>
            <w:tcW w:w="650" w:type="pct"/>
            <w:noWrap/>
            <w:vAlign w:val="center"/>
          </w:tcPr>
          <w:p w14:paraId="73238F46" w14:textId="775FF268" w:rsidR="00C02397" w:rsidRPr="006F29B4" w:rsidRDefault="00100385">
            <w:pPr>
              <w:jc w:val="right"/>
              <w:rPr>
                <w:rFonts w:ascii="CAIXA Std Book" w:eastAsia="Times New Roman" w:hAnsi="CAIXA Std Book" w:cs="Arial"/>
                <w:color w:val="005CA9"/>
                <w:sz w:val="18"/>
                <w:szCs w:val="18"/>
              </w:rPr>
            </w:pPr>
            <w:r>
              <w:rPr>
                <w:rFonts w:ascii="CAIXA Std Book" w:hAnsi="CAIXA Std Book" w:cs="Calibri"/>
                <w:color w:val="005CA9"/>
                <w:sz w:val="18"/>
                <w:szCs w:val="18"/>
              </w:rPr>
              <w:t>165.711</w:t>
            </w:r>
          </w:p>
        </w:tc>
        <w:tc>
          <w:tcPr>
            <w:tcW w:w="650" w:type="pct"/>
            <w:noWrap/>
            <w:vAlign w:val="center"/>
          </w:tcPr>
          <w:p w14:paraId="363C60AC" w14:textId="506F9B31" w:rsidR="00C02397" w:rsidRPr="006F29B4" w:rsidRDefault="00100385">
            <w:pPr>
              <w:jc w:val="right"/>
              <w:rPr>
                <w:rFonts w:ascii="CAIXA Std Book" w:eastAsia="Times New Roman" w:hAnsi="CAIXA Std Book" w:cs="Arial"/>
                <w:color w:val="005CA9"/>
                <w:sz w:val="18"/>
                <w:szCs w:val="18"/>
              </w:rPr>
            </w:pPr>
            <w:r>
              <w:rPr>
                <w:rFonts w:ascii="CAIXA Std Book" w:hAnsi="CAIXA Std Book" w:cs="Calibri"/>
                <w:color w:val="005CA9"/>
                <w:sz w:val="18"/>
                <w:szCs w:val="18"/>
              </w:rPr>
              <w:t>(10.413)</w:t>
            </w:r>
          </w:p>
        </w:tc>
        <w:tc>
          <w:tcPr>
            <w:tcW w:w="650" w:type="pct"/>
            <w:noWrap/>
            <w:vAlign w:val="center"/>
          </w:tcPr>
          <w:p w14:paraId="45558438" w14:textId="257466DC" w:rsidR="00C02397" w:rsidRPr="006F29B4" w:rsidRDefault="00100385">
            <w:pPr>
              <w:jc w:val="right"/>
              <w:rPr>
                <w:rFonts w:ascii="CAIXA Std Book" w:eastAsia="Times New Roman" w:hAnsi="CAIXA Std Book" w:cs="Arial"/>
                <w:color w:val="005CA9"/>
                <w:sz w:val="18"/>
                <w:szCs w:val="18"/>
              </w:rPr>
            </w:pPr>
            <w:r>
              <w:rPr>
                <w:rFonts w:ascii="CAIXA Std Book" w:hAnsi="CAIXA Std Book" w:cs="Calibri"/>
                <w:color w:val="005CA9"/>
                <w:sz w:val="18"/>
                <w:szCs w:val="18"/>
              </w:rPr>
              <w:t>(11.639)</w:t>
            </w:r>
          </w:p>
        </w:tc>
        <w:tc>
          <w:tcPr>
            <w:tcW w:w="649" w:type="pct"/>
            <w:noWrap/>
            <w:vAlign w:val="center"/>
          </w:tcPr>
          <w:p w14:paraId="7CBE3B19" w14:textId="380E7E74" w:rsidR="00C02397" w:rsidRPr="006F29B4" w:rsidRDefault="00100385">
            <w:pPr>
              <w:jc w:val="right"/>
              <w:rPr>
                <w:rFonts w:ascii="CAIXA Std Book" w:eastAsia="Times New Roman" w:hAnsi="CAIXA Std Book" w:cs="Arial"/>
                <w:color w:val="005CA9"/>
                <w:sz w:val="18"/>
                <w:szCs w:val="18"/>
              </w:rPr>
            </w:pPr>
            <w:r>
              <w:rPr>
                <w:rFonts w:ascii="CAIXA Std Book" w:hAnsi="CAIXA Std Book" w:cs="Calibri"/>
                <w:color w:val="005CA9"/>
                <w:sz w:val="18"/>
                <w:szCs w:val="18"/>
              </w:rPr>
              <w:t>(734.746)</w:t>
            </w:r>
          </w:p>
        </w:tc>
      </w:tr>
      <w:tr w:rsidR="00C02397" w:rsidRPr="006F29B4" w14:paraId="50E6DE48" w14:textId="77777777" w:rsidTr="00D91FED">
        <w:trPr>
          <w:trHeight w:val="283"/>
        </w:trPr>
        <w:tc>
          <w:tcPr>
            <w:tcW w:w="1751" w:type="pct"/>
            <w:noWrap/>
            <w:vAlign w:val="center"/>
            <w:hideMark/>
          </w:tcPr>
          <w:p w14:paraId="5102DFD7" w14:textId="77777777" w:rsidR="00C02397" w:rsidRPr="006F29B4" w:rsidRDefault="00C0239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Garantias </w:t>
            </w:r>
            <w:r>
              <w:rPr>
                <w:rFonts w:ascii="CAIXA Std Book" w:eastAsia="Times New Roman" w:hAnsi="CAIXA Std Book" w:cs="Arial"/>
                <w:color w:val="005CA9"/>
                <w:sz w:val="18"/>
                <w:szCs w:val="18"/>
              </w:rPr>
              <w:t>f</w:t>
            </w:r>
            <w:r w:rsidRPr="006F29B4">
              <w:rPr>
                <w:rFonts w:ascii="CAIXA Std Book" w:eastAsia="Times New Roman" w:hAnsi="CAIXA Std Book" w:cs="Arial"/>
                <w:color w:val="005CA9"/>
                <w:sz w:val="18"/>
                <w:szCs w:val="18"/>
              </w:rPr>
              <w:t xml:space="preserve">inanceiras </w:t>
            </w:r>
            <w:r>
              <w:rPr>
                <w:rFonts w:ascii="CAIXA Std Book" w:eastAsia="Times New Roman" w:hAnsi="CAIXA Std Book" w:cs="Arial"/>
                <w:color w:val="005CA9"/>
                <w:sz w:val="18"/>
                <w:szCs w:val="18"/>
              </w:rPr>
              <w:t>p</w:t>
            </w:r>
            <w:r w:rsidRPr="006F29B4">
              <w:rPr>
                <w:rFonts w:ascii="CAIXA Std Book" w:eastAsia="Times New Roman" w:hAnsi="CAIXA Std Book" w:cs="Arial"/>
                <w:color w:val="005CA9"/>
                <w:sz w:val="18"/>
                <w:szCs w:val="18"/>
              </w:rPr>
              <w:t>restadas</w:t>
            </w:r>
          </w:p>
        </w:tc>
        <w:tc>
          <w:tcPr>
            <w:tcW w:w="650" w:type="pct"/>
            <w:noWrap/>
            <w:vAlign w:val="center"/>
          </w:tcPr>
          <w:p w14:paraId="76521684" w14:textId="2AB2C7B8" w:rsidR="00C02397" w:rsidRPr="0062688D" w:rsidRDefault="00C02397">
            <w:pPr>
              <w:ind w:firstLineChars="100" w:firstLine="180"/>
              <w:jc w:val="right"/>
              <w:rPr>
                <w:rFonts w:ascii="CAIXA Std Book" w:eastAsia="Times New Roman" w:hAnsi="CAIXA Std Book" w:cs="Arial"/>
                <w:color w:val="005CA9"/>
                <w:sz w:val="18"/>
                <w:szCs w:val="18"/>
                <w:highlight w:val="yellow"/>
              </w:rPr>
            </w:pPr>
            <w:r>
              <w:rPr>
                <w:rFonts w:ascii="CAIXA Std Book" w:hAnsi="CAIXA Std Book" w:cs="Calibri"/>
                <w:color w:val="005CA9"/>
                <w:sz w:val="18"/>
                <w:szCs w:val="18"/>
              </w:rPr>
              <w:t>(19.652)</w:t>
            </w:r>
          </w:p>
        </w:tc>
        <w:tc>
          <w:tcPr>
            <w:tcW w:w="650" w:type="pct"/>
            <w:noWrap/>
            <w:vAlign w:val="center"/>
          </w:tcPr>
          <w:p w14:paraId="4636B6DF" w14:textId="729263FD" w:rsidR="00C02397" w:rsidRPr="0062688D" w:rsidRDefault="00100385">
            <w:pPr>
              <w:ind w:firstLineChars="100" w:firstLine="180"/>
              <w:jc w:val="right"/>
              <w:rPr>
                <w:rFonts w:ascii="CAIXA Std Book" w:eastAsia="Times New Roman" w:hAnsi="CAIXA Std Book" w:cs="Arial"/>
                <w:color w:val="005CA9"/>
                <w:sz w:val="18"/>
                <w:szCs w:val="18"/>
                <w:highlight w:val="yellow"/>
              </w:rPr>
            </w:pPr>
            <w:r>
              <w:rPr>
                <w:rFonts w:ascii="CAIXA Std Book" w:hAnsi="CAIXA Std Book" w:cs="Calibri"/>
                <w:color w:val="005CA9"/>
                <w:sz w:val="18"/>
                <w:szCs w:val="18"/>
              </w:rPr>
              <w:t>18.758</w:t>
            </w:r>
          </w:p>
        </w:tc>
        <w:tc>
          <w:tcPr>
            <w:tcW w:w="650" w:type="pct"/>
            <w:noWrap/>
            <w:vAlign w:val="center"/>
          </w:tcPr>
          <w:p w14:paraId="3C1258A9" w14:textId="6E927B74" w:rsidR="00C02397" w:rsidRPr="006F29B4" w:rsidRDefault="00100385">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340</w:t>
            </w:r>
          </w:p>
        </w:tc>
        <w:tc>
          <w:tcPr>
            <w:tcW w:w="650" w:type="pct"/>
            <w:noWrap/>
            <w:vAlign w:val="center"/>
          </w:tcPr>
          <w:p w14:paraId="26E02875" w14:textId="3219B35F" w:rsidR="00C02397" w:rsidRPr="006F29B4" w:rsidRDefault="00100385">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(862)</w:t>
            </w:r>
          </w:p>
        </w:tc>
        <w:tc>
          <w:tcPr>
            <w:tcW w:w="649" w:type="pct"/>
            <w:noWrap/>
            <w:vAlign w:val="center"/>
          </w:tcPr>
          <w:p w14:paraId="007CDAE9" w14:textId="55C074E9" w:rsidR="00C02397" w:rsidRPr="006F29B4" w:rsidRDefault="00100385">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(1.416)</w:t>
            </w:r>
          </w:p>
        </w:tc>
      </w:tr>
      <w:tr w:rsidR="00C02397" w:rsidRPr="006F29B4" w14:paraId="6D497819" w14:textId="77777777" w:rsidTr="00D91FED">
        <w:trPr>
          <w:trHeight w:val="283"/>
        </w:trPr>
        <w:tc>
          <w:tcPr>
            <w:tcW w:w="1751" w:type="pct"/>
            <w:shd w:val="clear" w:color="auto" w:fill="005CA9"/>
            <w:noWrap/>
            <w:vAlign w:val="center"/>
            <w:hideMark/>
          </w:tcPr>
          <w:p w14:paraId="43EA4E7E" w14:textId="77777777" w:rsidR="00C02397" w:rsidRPr="006F29B4" w:rsidRDefault="00C02397">
            <w:pP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Total</w:t>
            </w:r>
          </w:p>
        </w:tc>
        <w:tc>
          <w:tcPr>
            <w:tcW w:w="650" w:type="pct"/>
            <w:shd w:val="clear" w:color="000000" w:fill="005CA9"/>
            <w:noWrap/>
            <w:vAlign w:val="center"/>
            <w:hideMark/>
          </w:tcPr>
          <w:p w14:paraId="0ED21104" w14:textId="08031237" w:rsidR="00C02397" w:rsidRPr="006F29B4" w:rsidRDefault="00C02397">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(12.215.280)</w:t>
            </w:r>
          </w:p>
        </w:tc>
        <w:tc>
          <w:tcPr>
            <w:tcW w:w="650" w:type="pct"/>
            <w:shd w:val="clear" w:color="000000" w:fill="005CA9"/>
            <w:vAlign w:val="center"/>
            <w:hideMark/>
          </w:tcPr>
          <w:p w14:paraId="2BE386BE" w14:textId="098F308D" w:rsidR="00C02397" w:rsidRPr="006F29B4" w:rsidRDefault="00100385">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7.464.034</w:t>
            </w:r>
          </w:p>
        </w:tc>
        <w:tc>
          <w:tcPr>
            <w:tcW w:w="650" w:type="pct"/>
            <w:shd w:val="clear" w:color="000000" w:fill="005CA9"/>
            <w:vAlign w:val="center"/>
            <w:hideMark/>
          </w:tcPr>
          <w:p w14:paraId="52B4FB04" w14:textId="046D1134" w:rsidR="00C02397" w:rsidRPr="006F29B4" w:rsidRDefault="00100385">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(3.642.870)</w:t>
            </w:r>
          </w:p>
        </w:tc>
        <w:tc>
          <w:tcPr>
            <w:tcW w:w="650" w:type="pct"/>
            <w:shd w:val="clear" w:color="000000" w:fill="005CA9"/>
            <w:vAlign w:val="center"/>
            <w:hideMark/>
          </w:tcPr>
          <w:p w14:paraId="040EBA0C" w14:textId="290B96DC" w:rsidR="00C02397" w:rsidRPr="006F29B4" w:rsidRDefault="00100385">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(3.522.569)</w:t>
            </w:r>
          </w:p>
        </w:tc>
        <w:tc>
          <w:tcPr>
            <w:tcW w:w="649" w:type="pct"/>
            <w:shd w:val="clear" w:color="000000" w:fill="005CA9"/>
            <w:vAlign w:val="center"/>
            <w:hideMark/>
          </w:tcPr>
          <w:p w14:paraId="44041FEC" w14:textId="75B22B4A" w:rsidR="00C02397" w:rsidRPr="006F29B4" w:rsidRDefault="00100385">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(11.916.685)</w:t>
            </w:r>
          </w:p>
        </w:tc>
      </w:tr>
    </w:tbl>
    <w:p w14:paraId="36914F58" w14:textId="77777777" w:rsidR="00C02397" w:rsidRDefault="00C02397" w:rsidP="00C02397">
      <w:pPr>
        <w:rPr>
          <w:rFonts w:ascii="CAIXA Std Book" w:hAnsi="CAIXA Std Book"/>
          <w:b/>
          <w:color w:val="005CA9"/>
          <w:sz w:val="20"/>
          <w:szCs w:val="20"/>
        </w:rPr>
      </w:pPr>
      <w:r>
        <w:rPr>
          <w:rFonts w:ascii="CAIXA Std Book" w:hAnsi="CAIXA Std Book"/>
          <w:b/>
          <w:color w:val="005CA9"/>
          <w:sz w:val="20"/>
          <w:szCs w:val="20"/>
        </w:rPr>
        <w:br w:type="page"/>
      </w:r>
    </w:p>
    <w:tbl>
      <w:tblPr>
        <w:tblW w:w="5000" w:type="pct"/>
        <w:tblCellMar>
          <w:left w:w="70" w:type="dxa"/>
          <w:right w:w="70" w:type="dxa"/>
        </w:tblCellMar>
        <w:tblLook w:val="04A0" w:firstRow="1" w:lastRow="0" w:firstColumn="1" w:lastColumn="0" w:noHBand="0" w:noVBand="1"/>
      </w:tblPr>
      <w:tblGrid>
        <w:gridCol w:w="5496"/>
        <w:gridCol w:w="1816"/>
        <w:gridCol w:w="1815"/>
        <w:gridCol w:w="1815"/>
        <w:gridCol w:w="1815"/>
        <w:gridCol w:w="1812"/>
      </w:tblGrid>
      <w:tr w:rsidR="00C02397" w:rsidRPr="006F29B4" w14:paraId="5EB501A6" w14:textId="77777777" w:rsidTr="00D91FED">
        <w:trPr>
          <w:trHeight w:val="283"/>
        </w:trPr>
        <w:tc>
          <w:tcPr>
            <w:tcW w:w="5000" w:type="pct"/>
            <w:gridSpan w:val="6"/>
            <w:tcBorders>
              <w:bottom w:val="single" w:sz="4" w:space="0" w:color="FFFFFF" w:themeColor="background1"/>
            </w:tcBorders>
            <w:shd w:val="clear" w:color="auto" w:fill="005CA9"/>
            <w:noWrap/>
            <w:vAlign w:val="center"/>
            <w:hideMark/>
          </w:tcPr>
          <w:p w14:paraId="7F9DAAF9" w14:textId="2F00B76F" w:rsidR="00C02397" w:rsidRPr="00DC72B3" w:rsidRDefault="00C02397">
            <w:pPr>
              <w:jc w:val="center"/>
              <w:rPr>
                <w:rFonts w:ascii="CAIXA Std Book" w:eastAsia="Times New Roman" w:hAnsi="CAIXA Std Book" w:cs="Arial"/>
                <w:b/>
                <w:bCs/>
                <w:color w:val="FFFFFF"/>
                <w:sz w:val="18"/>
                <w:szCs w:val="18"/>
              </w:rPr>
            </w:pPr>
            <w:r>
              <w:rPr>
                <w:rFonts w:ascii="CAIXA Std Book" w:eastAsia="Times New Roman" w:hAnsi="CAIXA Std Book" w:cs="Calibri"/>
                <w:b/>
                <w:color w:val="FFFFFF"/>
                <w:sz w:val="18"/>
                <w:szCs w:val="18"/>
              </w:rPr>
              <w:t>Consolidado</w:t>
            </w:r>
          </w:p>
        </w:tc>
      </w:tr>
      <w:tr w:rsidR="00C02397" w:rsidRPr="006F29B4" w14:paraId="0D51BE7F" w14:textId="77777777" w:rsidTr="00D91FED">
        <w:trPr>
          <w:trHeight w:val="283"/>
        </w:trPr>
        <w:tc>
          <w:tcPr>
            <w:tcW w:w="1886" w:type="pct"/>
            <w:tcBorders>
              <w:top w:val="single" w:sz="4" w:space="0" w:color="FFFFFF" w:themeColor="background1"/>
            </w:tcBorders>
            <w:shd w:val="clear" w:color="auto" w:fill="005CA9"/>
            <w:vAlign w:val="center"/>
            <w:hideMark/>
          </w:tcPr>
          <w:p w14:paraId="610D2C6C" w14:textId="77777777" w:rsidR="00C02397" w:rsidRPr="006F29B4" w:rsidRDefault="00C0239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Estágio 2</w:t>
            </w:r>
          </w:p>
        </w:tc>
        <w:tc>
          <w:tcPr>
            <w:tcW w:w="623" w:type="pct"/>
            <w:tcBorders>
              <w:top w:val="single" w:sz="4" w:space="0" w:color="FFFFFF" w:themeColor="background1"/>
            </w:tcBorders>
            <w:shd w:val="clear" w:color="auto" w:fill="005CA9"/>
            <w:vAlign w:val="center"/>
            <w:hideMark/>
          </w:tcPr>
          <w:p w14:paraId="516E1362" w14:textId="77777777" w:rsidR="00C02397" w:rsidRPr="006F29B4" w:rsidRDefault="00C0239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Saldo em 01/01/2025</w:t>
            </w:r>
          </w:p>
        </w:tc>
        <w:tc>
          <w:tcPr>
            <w:tcW w:w="623" w:type="pct"/>
            <w:tcBorders>
              <w:top w:val="single" w:sz="4" w:space="0" w:color="FFFFFF" w:themeColor="background1"/>
            </w:tcBorders>
            <w:shd w:val="clear" w:color="auto" w:fill="005CA9"/>
            <w:vAlign w:val="center"/>
            <w:hideMark/>
          </w:tcPr>
          <w:p w14:paraId="06EA82E0" w14:textId="77777777" w:rsidR="00C02397" w:rsidRPr="006F29B4" w:rsidRDefault="00C0239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Constituição/ reversão</w:t>
            </w:r>
          </w:p>
        </w:tc>
        <w:tc>
          <w:tcPr>
            <w:tcW w:w="623" w:type="pct"/>
            <w:tcBorders>
              <w:top w:val="single" w:sz="4" w:space="0" w:color="FFFFFF" w:themeColor="background1"/>
            </w:tcBorders>
            <w:shd w:val="clear" w:color="auto" w:fill="005CA9"/>
            <w:vAlign w:val="center"/>
            <w:hideMark/>
          </w:tcPr>
          <w:p w14:paraId="6DAB90E8" w14:textId="77777777" w:rsidR="00C02397" w:rsidRPr="006F29B4" w:rsidRDefault="00C0239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Transferência do/ para estágio </w:t>
            </w:r>
            <w:r>
              <w:rPr>
                <w:rFonts w:ascii="CAIXA Std Book" w:eastAsia="Times New Roman" w:hAnsi="CAIXA Std Book" w:cs="Arial"/>
                <w:b/>
                <w:color w:val="FFFFFF"/>
                <w:sz w:val="18"/>
                <w:szCs w:val="18"/>
              </w:rPr>
              <w:t>1</w:t>
            </w:r>
          </w:p>
        </w:tc>
        <w:tc>
          <w:tcPr>
            <w:tcW w:w="623" w:type="pct"/>
            <w:tcBorders>
              <w:top w:val="single" w:sz="4" w:space="0" w:color="FFFFFF" w:themeColor="background1"/>
            </w:tcBorders>
            <w:shd w:val="clear" w:color="auto" w:fill="005CA9"/>
            <w:vAlign w:val="center"/>
            <w:hideMark/>
          </w:tcPr>
          <w:p w14:paraId="69E303B3" w14:textId="77777777" w:rsidR="00C02397" w:rsidRDefault="00C0239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Transferência do/</w:t>
            </w:r>
          </w:p>
          <w:p w14:paraId="4511C7C3" w14:textId="77777777" w:rsidR="00C02397" w:rsidRPr="006F29B4" w:rsidRDefault="00C0239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para estágio 3 </w:t>
            </w:r>
          </w:p>
        </w:tc>
        <w:tc>
          <w:tcPr>
            <w:tcW w:w="622" w:type="pct"/>
            <w:tcBorders>
              <w:top w:val="single" w:sz="4" w:space="0" w:color="FFFFFF" w:themeColor="background1"/>
            </w:tcBorders>
            <w:shd w:val="clear" w:color="auto" w:fill="005CA9"/>
            <w:vAlign w:val="center"/>
            <w:hideMark/>
          </w:tcPr>
          <w:p w14:paraId="56296698" w14:textId="1E932F88" w:rsidR="00C02397" w:rsidRPr="006F29B4" w:rsidRDefault="00C0239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Saldo em 31/</w:t>
            </w:r>
            <w:r w:rsidR="0067638B">
              <w:rPr>
                <w:rFonts w:ascii="CAIXA Std Book" w:eastAsia="Times New Roman" w:hAnsi="CAIXA Std Book" w:cs="Arial"/>
                <w:b/>
                <w:color w:val="FFFFFF"/>
                <w:sz w:val="18"/>
                <w:szCs w:val="18"/>
              </w:rPr>
              <w:t>12</w:t>
            </w:r>
            <w:r w:rsidRPr="006F29B4">
              <w:rPr>
                <w:rFonts w:ascii="CAIXA Std Book" w:eastAsia="Times New Roman" w:hAnsi="CAIXA Std Book" w:cs="Arial"/>
                <w:b/>
                <w:color w:val="FFFFFF"/>
                <w:sz w:val="18"/>
                <w:szCs w:val="18"/>
              </w:rPr>
              <w:t>/2025</w:t>
            </w:r>
          </w:p>
        </w:tc>
      </w:tr>
      <w:tr w:rsidR="00C02397" w:rsidRPr="006F29B4" w14:paraId="7BC650CB" w14:textId="77777777" w:rsidTr="00D91FED">
        <w:trPr>
          <w:trHeight w:val="283"/>
        </w:trPr>
        <w:tc>
          <w:tcPr>
            <w:tcW w:w="1886" w:type="pct"/>
            <w:shd w:val="clear" w:color="auto" w:fill="D0E0E3"/>
            <w:noWrap/>
            <w:vAlign w:val="center"/>
            <w:hideMark/>
          </w:tcPr>
          <w:p w14:paraId="1405C97C" w14:textId="77777777" w:rsidR="00C02397" w:rsidRPr="006F29B4" w:rsidRDefault="00C02397">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Ativos Financeiros</w:t>
            </w:r>
          </w:p>
        </w:tc>
        <w:tc>
          <w:tcPr>
            <w:tcW w:w="623" w:type="pct"/>
            <w:shd w:val="clear" w:color="000000" w:fill="D0E0E3"/>
            <w:noWrap/>
            <w:vAlign w:val="center"/>
          </w:tcPr>
          <w:p w14:paraId="3D0F4821" w14:textId="77777777" w:rsidR="00C02397" w:rsidRPr="006F29B4" w:rsidRDefault="00C02397">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(7.465.777)</w:t>
            </w:r>
          </w:p>
        </w:tc>
        <w:tc>
          <w:tcPr>
            <w:tcW w:w="623" w:type="pct"/>
            <w:shd w:val="clear" w:color="000000" w:fill="D0E0E3"/>
            <w:noWrap/>
            <w:vAlign w:val="center"/>
          </w:tcPr>
          <w:p w14:paraId="0E4EE8AB" w14:textId="53D74897" w:rsidR="00C02397" w:rsidRPr="006F29B4" w:rsidRDefault="00C02397">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(2.</w:t>
            </w:r>
            <w:r w:rsidR="00440324">
              <w:rPr>
                <w:rFonts w:ascii="CAIXA Std Book" w:hAnsi="CAIXA Std Book" w:cs="Calibri"/>
                <w:b/>
                <w:bCs/>
                <w:color w:val="005CA9"/>
                <w:sz w:val="18"/>
                <w:szCs w:val="18"/>
              </w:rPr>
              <w:t>307.314</w:t>
            </w:r>
            <w:r>
              <w:rPr>
                <w:rFonts w:ascii="CAIXA Std Book" w:hAnsi="CAIXA Std Book" w:cs="Calibri"/>
                <w:b/>
                <w:bCs/>
                <w:color w:val="005CA9"/>
                <w:sz w:val="18"/>
                <w:szCs w:val="18"/>
              </w:rPr>
              <w:t>)</w:t>
            </w:r>
          </w:p>
        </w:tc>
        <w:tc>
          <w:tcPr>
            <w:tcW w:w="623" w:type="pct"/>
            <w:shd w:val="clear" w:color="000000" w:fill="D0E0E3"/>
            <w:noWrap/>
            <w:vAlign w:val="center"/>
          </w:tcPr>
          <w:p w14:paraId="044090F6" w14:textId="0508A266" w:rsidR="00C02397" w:rsidRPr="006F29B4" w:rsidRDefault="00440324">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3.632.797</w:t>
            </w:r>
          </w:p>
        </w:tc>
        <w:tc>
          <w:tcPr>
            <w:tcW w:w="623" w:type="pct"/>
            <w:shd w:val="clear" w:color="000000" w:fill="D0E0E3"/>
            <w:noWrap/>
            <w:vAlign w:val="center"/>
          </w:tcPr>
          <w:p w14:paraId="3C05E09E" w14:textId="374AD8DB" w:rsidR="00C02397" w:rsidRPr="006F29B4" w:rsidRDefault="00440324">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1.285.819</w:t>
            </w:r>
          </w:p>
        </w:tc>
        <w:tc>
          <w:tcPr>
            <w:tcW w:w="622" w:type="pct"/>
            <w:shd w:val="clear" w:color="000000" w:fill="D0E0E3"/>
            <w:noWrap/>
            <w:vAlign w:val="center"/>
          </w:tcPr>
          <w:p w14:paraId="4886F087" w14:textId="4D6E0D12" w:rsidR="00C02397" w:rsidRPr="006F29B4" w:rsidRDefault="00440324">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(4.854.475)</w:t>
            </w:r>
          </w:p>
        </w:tc>
      </w:tr>
      <w:tr w:rsidR="00440324" w:rsidRPr="006F29B4" w14:paraId="6CCC01DE" w14:textId="77777777" w:rsidTr="00D91FED">
        <w:trPr>
          <w:trHeight w:val="283"/>
        </w:trPr>
        <w:tc>
          <w:tcPr>
            <w:tcW w:w="1886" w:type="pct"/>
            <w:noWrap/>
            <w:vAlign w:val="center"/>
          </w:tcPr>
          <w:p w14:paraId="3EB5B233" w14:textId="10D05615" w:rsidR="00440324" w:rsidRPr="006F29B4" w:rsidRDefault="00440324" w:rsidP="00440324">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Títulos e </w:t>
            </w:r>
            <w:r>
              <w:rPr>
                <w:rFonts w:ascii="CAIXA Std Book" w:eastAsia="Times New Roman" w:hAnsi="CAIXA Std Book" w:cs="Arial"/>
                <w:color w:val="005CA9"/>
                <w:sz w:val="18"/>
                <w:szCs w:val="18"/>
              </w:rPr>
              <w:t>v</w:t>
            </w:r>
            <w:r w:rsidRPr="006F29B4">
              <w:rPr>
                <w:rFonts w:ascii="CAIXA Std Book" w:eastAsia="Times New Roman" w:hAnsi="CAIXA Std Book" w:cs="Arial"/>
                <w:color w:val="005CA9"/>
                <w:sz w:val="18"/>
                <w:szCs w:val="18"/>
              </w:rPr>
              <w:t xml:space="preserve">alores </w:t>
            </w:r>
            <w:r>
              <w:rPr>
                <w:rFonts w:ascii="CAIXA Std Book" w:eastAsia="Times New Roman" w:hAnsi="CAIXA Std Book" w:cs="Arial"/>
                <w:color w:val="005CA9"/>
                <w:sz w:val="18"/>
                <w:szCs w:val="18"/>
              </w:rPr>
              <w:t>m</w:t>
            </w:r>
            <w:r w:rsidRPr="006F29B4">
              <w:rPr>
                <w:rFonts w:ascii="CAIXA Std Book" w:eastAsia="Times New Roman" w:hAnsi="CAIXA Std Book" w:cs="Arial"/>
                <w:color w:val="005CA9"/>
                <w:sz w:val="18"/>
                <w:szCs w:val="18"/>
              </w:rPr>
              <w:t>obiliários</w:t>
            </w:r>
          </w:p>
        </w:tc>
        <w:tc>
          <w:tcPr>
            <w:tcW w:w="623" w:type="pct"/>
            <w:noWrap/>
            <w:vAlign w:val="center"/>
          </w:tcPr>
          <w:p w14:paraId="5B8227B1" w14:textId="11F83845" w:rsidR="00440324" w:rsidRPr="00227395" w:rsidRDefault="00440324" w:rsidP="003873D8">
            <w:pPr>
              <w:jc w:val="center"/>
              <w:rPr>
                <w:rFonts w:ascii="CAIXA Std Book" w:hAnsi="CAIXA Std Book"/>
                <w:color w:val="005CA9"/>
                <w:sz w:val="18"/>
                <w:szCs w:val="18"/>
              </w:rPr>
            </w:pPr>
            <w:r>
              <w:rPr>
                <w:rFonts w:ascii="CAIXA Std Book" w:hAnsi="CAIXA Std Book" w:cs="Calibri"/>
                <w:color w:val="005CA9"/>
                <w:sz w:val="18"/>
                <w:szCs w:val="18"/>
              </w:rPr>
              <w:t>-</w:t>
            </w:r>
          </w:p>
        </w:tc>
        <w:tc>
          <w:tcPr>
            <w:tcW w:w="623" w:type="pct"/>
            <w:noWrap/>
            <w:vAlign w:val="center"/>
          </w:tcPr>
          <w:p w14:paraId="2B3990FC" w14:textId="7A93628A" w:rsidR="00440324" w:rsidRPr="006F29B4" w:rsidRDefault="00440324" w:rsidP="00440324">
            <w:pPr>
              <w:jc w:val="right"/>
              <w:rPr>
                <w:rFonts w:ascii="CAIXA Std Book" w:eastAsia="Times New Roman" w:hAnsi="CAIXA Std Book" w:cs="Arial"/>
                <w:color w:val="005CA9"/>
                <w:sz w:val="18"/>
                <w:szCs w:val="18"/>
              </w:rPr>
            </w:pPr>
            <w:r>
              <w:rPr>
                <w:rFonts w:ascii="CAIXA Std Book" w:hAnsi="CAIXA Std Book" w:cs="Arial"/>
                <w:color w:val="005CA9"/>
                <w:sz w:val="18"/>
                <w:szCs w:val="18"/>
              </w:rPr>
              <w:t>(95.846)</w:t>
            </w:r>
          </w:p>
        </w:tc>
        <w:tc>
          <w:tcPr>
            <w:tcW w:w="623" w:type="pct"/>
            <w:noWrap/>
            <w:vAlign w:val="center"/>
          </w:tcPr>
          <w:p w14:paraId="5A7BEBA9" w14:textId="0338402C" w:rsidR="00440324" w:rsidRPr="006F29B4" w:rsidRDefault="00440324" w:rsidP="00440324">
            <w:pPr>
              <w:jc w:val="right"/>
              <w:rPr>
                <w:rFonts w:ascii="CAIXA Std Book" w:eastAsia="Times New Roman" w:hAnsi="CAIXA Std Book" w:cs="Arial"/>
                <w:color w:val="005CA9"/>
                <w:sz w:val="18"/>
                <w:szCs w:val="18"/>
              </w:rPr>
            </w:pPr>
            <w:r>
              <w:rPr>
                <w:rFonts w:ascii="CAIXA Std Book" w:hAnsi="CAIXA Std Book" w:cs="Arial"/>
                <w:color w:val="005CA9"/>
                <w:sz w:val="18"/>
                <w:szCs w:val="18"/>
              </w:rPr>
              <w:t>(2.878)</w:t>
            </w:r>
          </w:p>
        </w:tc>
        <w:tc>
          <w:tcPr>
            <w:tcW w:w="623" w:type="pct"/>
            <w:noWrap/>
            <w:vAlign w:val="center"/>
          </w:tcPr>
          <w:p w14:paraId="5F0CA39C" w14:textId="20028B2A" w:rsidR="00440324" w:rsidRPr="006F29B4" w:rsidRDefault="00440324" w:rsidP="00E023AE">
            <w:pPr>
              <w:jc w:val="center"/>
              <w:rPr>
                <w:rFonts w:ascii="CAIXA Std Book" w:eastAsia="Times New Roman" w:hAnsi="CAIXA Std Book" w:cs="Arial"/>
                <w:color w:val="005CA9"/>
                <w:sz w:val="18"/>
                <w:szCs w:val="18"/>
              </w:rPr>
            </w:pPr>
            <w:r>
              <w:rPr>
                <w:rFonts w:ascii="CAIXA Std Book" w:hAnsi="CAIXA Std Book" w:cs="Arial"/>
                <w:color w:val="005CA9"/>
                <w:sz w:val="18"/>
                <w:szCs w:val="18"/>
              </w:rPr>
              <w:t>-</w:t>
            </w:r>
          </w:p>
        </w:tc>
        <w:tc>
          <w:tcPr>
            <w:tcW w:w="622" w:type="pct"/>
            <w:noWrap/>
            <w:vAlign w:val="center"/>
          </w:tcPr>
          <w:p w14:paraId="02ED8320" w14:textId="1CA18010" w:rsidR="00440324" w:rsidRPr="006F29B4" w:rsidRDefault="00440324" w:rsidP="00440324">
            <w:pPr>
              <w:jc w:val="right"/>
              <w:rPr>
                <w:rFonts w:ascii="CAIXA Std Book" w:eastAsia="Times New Roman" w:hAnsi="CAIXA Std Book" w:cs="Arial"/>
                <w:color w:val="005CA9"/>
                <w:sz w:val="18"/>
                <w:szCs w:val="18"/>
              </w:rPr>
            </w:pPr>
            <w:r>
              <w:rPr>
                <w:rFonts w:ascii="CAIXA Std Book" w:hAnsi="CAIXA Std Book" w:cs="Arial"/>
                <w:color w:val="005CA9"/>
                <w:sz w:val="18"/>
                <w:szCs w:val="18"/>
              </w:rPr>
              <w:t>(98.724)</w:t>
            </w:r>
          </w:p>
        </w:tc>
      </w:tr>
      <w:tr w:rsidR="00C02397" w:rsidRPr="006F29B4" w14:paraId="2F1C69E0" w14:textId="77777777" w:rsidTr="00D91FED">
        <w:trPr>
          <w:trHeight w:val="283"/>
        </w:trPr>
        <w:tc>
          <w:tcPr>
            <w:tcW w:w="1886" w:type="pct"/>
            <w:noWrap/>
            <w:vAlign w:val="center"/>
            <w:hideMark/>
          </w:tcPr>
          <w:p w14:paraId="02166F37" w14:textId="77777777" w:rsidR="00C02397" w:rsidRPr="006F29B4" w:rsidRDefault="00C0239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Carteira de </w:t>
            </w:r>
            <w:r>
              <w:rPr>
                <w:rFonts w:ascii="CAIXA Std Book" w:eastAsia="Times New Roman" w:hAnsi="CAIXA Std Book" w:cs="Arial"/>
                <w:color w:val="005CA9"/>
                <w:sz w:val="18"/>
                <w:szCs w:val="18"/>
              </w:rPr>
              <w:t>c</w:t>
            </w:r>
            <w:r w:rsidRPr="006F29B4">
              <w:rPr>
                <w:rFonts w:ascii="CAIXA Std Book" w:eastAsia="Times New Roman" w:hAnsi="CAIXA Std Book" w:cs="Arial"/>
                <w:color w:val="005CA9"/>
                <w:sz w:val="18"/>
                <w:szCs w:val="18"/>
              </w:rPr>
              <w:t>rédito</w:t>
            </w:r>
          </w:p>
        </w:tc>
        <w:tc>
          <w:tcPr>
            <w:tcW w:w="623" w:type="pct"/>
            <w:noWrap/>
            <w:vAlign w:val="center"/>
          </w:tcPr>
          <w:p w14:paraId="31B54103" w14:textId="77777777" w:rsidR="00C02397" w:rsidRPr="006F29B4" w:rsidRDefault="00C02397">
            <w:pPr>
              <w:jc w:val="right"/>
              <w:rPr>
                <w:rFonts w:ascii="CAIXA Std Book" w:eastAsia="Times New Roman" w:hAnsi="CAIXA Std Book" w:cs="Arial"/>
                <w:color w:val="005CA9"/>
                <w:sz w:val="18"/>
                <w:szCs w:val="18"/>
              </w:rPr>
            </w:pPr>
            <w:r w:rsidRPr="00227395">
              <w:rPr>
                <w:rFonts w:ascii="CAIXA Std Book" w:hAnsi="CAIXA Std Book"/>
                <w:color w:val="005CA9"/>
                <w:sz w:val="18"/>
                <w:szCs w:val="18"/>
              </w:rPr>
              <w:t>(7.465.777)</w:t>
            </w:r>
          </w:p>
        </w:tc>
        <w:tc>
          <w:tcPr>
            <w:tcW w:w="623" w:type="pct"/>
            <w:noWrap/>
            <w:vAlign w:val="center"/>
          </w:tcPr>
          <w:p w14:paraId="118BD421" w14:textId="26324311" w:rsidR="00C02397" w:rsidRPr="006F29B4" w:rsidRDefault="00C02397">
            <w:pPr>
              <w:jc w:val="right"/>
              <w:rPr>
                <w:rFonts w:ascii="CAIXA Std Book" w:eastAsia="Times New Roman" w:hAnsi="CAIXA Std Book" w:cs="Arial"/>
                <w:color w:val="005CA9"/>
                <w:sz w:val="18"/>
                <w:szCs w:val="18"/>
              </w:rPr>
            </w:pPr>
            <w:r w:rsidRPr="002A5FEE">
              <w:rPr>
                <w:rFonts w:ascii="CAIXA Std Book" w:hAnsi="CAIXA Std Book" w:cs="Calibri"/>
                <w:color w:val="005CA9"/>
                <w:sz w:val="18"/>
                <w:szCs w:val="18"/>
              </w:rPr>
              <w:t>(2.</w:t>
            </w:r>
            <w:r w:rsidR="00440324" w:rsidRPr="002A5FEE">
              <w:rPr>
                <w:rFonts w:ascii="CAIXA Std Book" w:hAnsi="CAIXA Std Book" w:cs="Calibri"/>
                <w:color w:val="005CA9"/>
                <w:sz w:val="18"/>
                <w:szCs w:val="18"/>
              </w:rPr>
              <w:t>211.</w:t>
            </w:r>
            <w:r w:rsidR="00440324">
              <w:rPr>
                <w:rFonts w:ascii="CAIXA Std Book" w:hAnsi="CAIXA Std Book" w:cs="Calibri"/>
                <w:color w:val="005CA9"/>
                <w:sz w:val="18"/>
                <w:szCs w:val="18"/>
              </w:rPr>
              <w:t>468</w:t>
            </w:r>
            <w:r w:rsidRPr="002A5FEE">
              <w:rPr>
                <w:rFonts w:ascii="CAIXA Std Book" w:hAnsi="CAIXA Std Book" w:cs="Calibri"/>
                <w:color w:val="005CA9"/>
                <w:sz w:val="18"/>
                <w:szCs w:val="18"/>
              </w:rPr>
              <w:t>)</w:t>
            </w:r>
          </w:p>
        </w:tc>
        <w:tc>
          <w:tcPr>
            <w:tcW w:w="623" w:type="pct"/>
            <w:noWrap/>
            <w:vAlign w:val="center"/>
          </w:tcPr>
          <w:p w14:paraId="3C55BDC5" w14:textId="7143BBBD" w:rsidR="00C02397" w:rsidRPr="006F29B4" w:rsidRDefault="00440324">
            <w:pPr>
              <w:jc w:val="right"/>
              <w:rPr>
                <w:rFonts w:ascii="CAIXA Std Book" w:eastAsia="Times New Roman" w:hAnsi="CAIXA Std Book" w:cs="Arial"/>
                <w:color w:val="005CA9"/>
                <w:sz w:val="18"/>
                <w:szCs w:val="18"/>
              </w:rPr>
            </w:pPr>
            <w:r w:rsidRPr="002A5FEE">
              <w:rPr>
                <w:rFonts w:ascii="CAIXA Std Book" w:hAnsi="CAIXA Std Book" w:cs="Calibri"/>
                <w:color w:val="005CA9"/>
                <w:sz w:val="18"/>
                <w:szCs w:val="18"/>
              </w:rPr>
              <w:t>3.635.675</w:t>
            </w:r>
          </w:p>
        </w:tc>
        <w:tc>
          <w:tcPr>
            <w:tcW w:w="623" w:type="pct"/>
            <w:noWrap/>
            <w:vAlign w:val="center"/>
          </w:tcPr>
          <w:p w14:paraId="405E08DB" w14:textId="4E863653" w:rsidR="00C02397" w:rsidRPr="006F29B4" w:rsidRDefault="00440324">
            <w:pPr>
              <w:jc w:val="right"/>
              <w:rPr>
                <w:rFonts w:ascii="CAIXA Std Book" w:eastAsia="Times New Roman" w:hAnsi="CAIXA Std Book" w:cs="Arial"/>
                <w:color w:val="005CA9"/>
                <w:sz w:val="18"/>
                <w:szCs w:val="18"/>
              </w:rPr>
            </w:pPr>
            <w:r>
              <w:rPr>
                <w:rFonts w:ascii="CAIXA Std Book" w:hAnsi="CAIXA Std Book" w:cs="Calibri"/>
                <w:color w:val="005CA9"/>
                <w:sz w:val="18"/>
                <w:szCs w:val="18"/>
              </w:rPr>
              <w:t>1.285.819</w:t>
            </w:r>
          </w:p>
        </w:tc>
        <w:tc>
          <w:tcPr>
            <w:tcW w:w="622" w:type="pct"/>
            <w:noWrap/>
            <w:vAlign w:val="center"/>
          </w:tcPr>
          <w:p w14:paraId="72868EAD" w14:textId="0DDEE0F4" w:rsidR="00C02397" w:rsidRPr="006F29B4" w:rsidRDefault="00440324">
            <w:pPr>
              <w:jc w:val="right"/>
              <w:rPr>
                <w:rFonts w:ascii="CAIXA Std Book" w:eastAsia="Times New Roman" w:hAnsi="CAIXA Std Book" w:cs="Arial"/>
                <w:color w:val="005CA9"/>
                <w:sz w:val="18"/>
                <w:szCs w:val="18"/>
              </w:rPr>
            </w:pPr>
            <w:r w:rsidRPr="002A5FEE">
              <w:rPr>
                <w:rFonts w:ascii="CAIXA Std Book" w:hAnsi="CAIXA Std Book" w:cs="Calibri"/>
                <w:color w:val="005CA9"/>
                <w:sz w:val="18"/>
                <w:szCs w:val="18"/>
              </w:rPr>
              <w:t>(4.755.</w:t>
            </w:r>
            <w:r>
              <w:rPr>
                <w:rFonts w:ascii="CAIXA Std Book" w:hAnsi="CAIXA Std Book" w:cs="Calibri"/>
                <w:color w:val="005CA9"/>
                <w:sz w:val="18"/>
                <w:szCs w:val="18"/>
              </w:rPr>
              <w:t>751</w:t>
            </w:r>
            <w:r w:rsidRPr="002A5FEE">
              <w:rPr>
                <w:rFonts w:ascii="CAIXA Std Book" w:hAnsi="CAIXA Std Book" w:cs="Calibri"/>
                <w:color w:val="005CA9"/>
                <w:sz w:val="18"/>
                <w:szCs w:val="18"/>
              </w:rPr>
              <w:t>)</w:t>
            </w:r>
          </w:p>
        </w:tc>
      </w:tr>
      <w:tr w:rsidR="00C02397" w:rsidRPr="006F29B4" w14:paraId="22FE4913" w14:textId="77777777" w:rsidTr="00D91FED">
        <w:trPr>
          <w:trHeight w:val="283"/>
        </w:trPr>
        <w:tc>
          <w:tcPr>
            <w:tcW w:w="1886" w:type="pct"/>
            <w:shd w:val="clear" w:color="auto" w:fill="D0E0E3"/>
            <w:noWrap/>
            <w:vAlign w:val="center"/>
            <w:hideMark/>
          </w:tcPr>
          <w:p w14:paraId="701686EC" w14:textId="77777777" w:rsidR="00C02397" w:rsidRPr="006F29B4" w:rsidRDefault="00C02397">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 xml:space="preserve">Passivos </w:t>
            </w:r>
            <w:r>
              <w:rPr>
                <w:rFonts w:ascii="CAIXA Std Book" w:eastAsia="Times New Roman" w:hAnsi="CAIXA Std Book" w:cs="Arial"/>
                <w:b/>
                <w:color w:val="005CA9"/>
                <w:sz w:val="18"/>
                <w:szCs w:val="18"/>
              </w:rPr>
              <w:t>f</w:t>
            </w:r>
            <w:r w:rsidRPr="006F29B4">
              <w:rPr>
                <w:rFonts w:ascii="CAIXA Std Book" w:eastAsia="Times New Roman" w:hAnsi="CAIXA Std Book" w:cs="Arial"/>
                <w:b/>
                <w:color w:val="005CA9"/>
                <w:sz w:val="18"/>
                <w:szCs w:val="18"/>
              </w:rPr>
              <w:t>inanceiros</w:t>
            </w:r>
          </w:p>
        </w:tc>
        <w:tc>
          <w:tcPr>
            <w:tcW w:w="623" w:type="pct"/>
            <w:shd w:val="clear" w:color="000000" w:fill="D0E0E3"/>
            <w:noWrap/>
            <w:vAlign w:val="center"/>
          </w:tcPr>
          <w:p w14:paraId="2B42EFB1" w14:textId="77777777" w:rsidR="00C02397" w:rsidRPr="006F29B4" w:rsidRDefault="00C02397">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(139.701)</w:t>
            </w:r>
          </w:p>
        </w:tc>
        <w:tc>
          <w:tcPr>
            <w:tcW w:w="623" w:type="pct"/>
            <w:shd w:val="clear" w:color="000000" w:fill="D0E0E3"/>
            <w:noWrap/>
            <w:vAlign w:val="center"/>
          </w:tcPr>
          <w:p w14:paraId="41F218C4" w14:textId="291AC081" w:rsidR="00C02397" w:rsidRPr="006F29B4" w:rsidRDefault="00440324">
            <w:pPr>
              <w:jc w:val="right"/>
              <w:rPr>
                <w:rFonts w:ascii="CAIXA Std Book" w:eastAsia="Times New Roman" w:hAnsi="CAIXA Std Book" w:cs="Arial"/>
                <w:b/>
                <w:color w:val="005CA9"/>
                <w:sz w:val="18"/>
                <w:szCs w:val="18"/>
              </w:rPr>
            </w:pPr>
            <w:r>
              <w:rPr>
                <w:rFonts w:ascii="CAIXA Std Book" w:hAnsi="CAIXA Std Book" w:cs="Calibri"/>
                <w:b/>
                <w:color w:val="005CA9"/>
                <w:sz w:val="18"/>
                <w:szCs w:val="18"/>
              </w:rPr>
              <w:t>(152.</w:t>
            </w:r>
            <w:r>
              <w:rPr>
                <w:rFonts w:ascii="CAIXA Std Book" w:hAnsi="CAIXA Std Book" w:cs="Calibri"/>
                <w:b/>
                <w:bCs/>
                <w:color w:val="005CA9"/>
                <w:sz w:val="18"/>
                <w:szCs w:val="18"/>
              </w:rPr>
              <w:t>272</w:t>
            </w:r>
            <w:r>
              <w:rPr>
                <w:rFonts w:ascii="CAIXA Std Book" w:hAnsi="CAIXA Std Book" w:cs="Calibri"/>
                <w:b/>
                <w:color w:val="005CA9"/>
                <w:sz w:val="18"/>
                <w:szCs w:val="18"/>
              </w:rPr>
              <w:t>)</w:t>
            </w:r>
          </w:p>
        </w:tc>
        <w:tc>
          <w:tcPr>
            <w:tcW w:w="623" w:type="pct"/>
            <w:shd w:val="clear" w:color="000000" w:fill="D0E0E3"/>
            <w:noWrap/>
            <w:vAlign w:val="center"/>
          </w:tcPr>
          <w:p w14:paraId="7FACEB45" w14:textId="0257D262" w:rsidR="00C02397" w:rsidRPr="006F29B4" w:rsidRDefault="00440324">
            <w:pPr>
              <w:jc w:val="right"/>
              <w:rPr>
                <w:rFonts w:ascii="CAIXA Std Book" w:eastAsia="Times New Roman" w:hAnsi="CAIXA Std Book" w:cs="Arial"/>
                <w:b/>
                <w:color w:val="005CA9"/>
                <w:sz w:val="18"/>
                <w:szCs w:val="18"/>
              </w:rPr>
            </w:pPr>
            <w:r>
              <w:rPr>
                <w:rFonts w:ascii="CAIXA Std Book" w:hAnsi="CAIXA Std Book" w:cs="Calibri"/>
                <w:b/>
                <w:color w:val="005CA9"/>
                <w:sz w:val="18"/>
                <w:szCs w:val="18"/>
              </w:rPr>
              <w:t>10.073</w:t>
            </w:r>
          </w:p>
        </w:tc>
        <w:tc>
          <w:tcPr>
            <w:tcW w:w="623" w:type="pct"/>
            <w:shd w:val="clear" w:color="000000" w:fill="D0E0E3"/>
            <w:noWrap/>
            <w:vAlign w:val="center"/>
          </w:tcPr>
          <w:p w14:paraId="27CAAEA1" w14:textId="7E2EB1F2" w:rsidR="00C02397" w:rsidRPr="006F29B4" w:rsidRDefault="00C02397">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w:t>
            </w:r>
            <w:r w:rsidR="00440324">
              <w:rPr>
                <w:rFonts w:ascii="CAIXA Std Book" w:hAnsi="CAIXA Std Book" w:cs="Calibri"/>
                <w:b/>
                <w:color w:val="005CA9"/>
                <w:sz w:val="18"/>
                <w:szCs w:val="18"/>
              </w:rPr>
              <w:t>568</w:t>
            </w:r>
            <w:r>
              <w:rPr>
                <w:rFonts w:ascii="CAIXA Std Book" w:hAnsi="CAIXA Std Book" w:cs="Calibri"/>
                <w:b/>
                <w:bCs/>
                <w:color w:val="005CA9"/>
                <w:sz w:val="18"/>
                <w:szCs w:val="18"/>
              </w:rPr>
              <w:t>)</w:t>
            </w:r>
          </w:p>
        </w:tc>
        <w:tc>
          <w:tcPr>
            <w:tcW w:w="622" w:type="pct"/>
            <w:shd w:val="clear" w:color="000000" w:fill="D0E0E3"/>
            <w:noWrap/>
            <w:vAlign w:val="center"/>
          </w:tcPr>
          <w:p w14:paraId="259A1402" w14:textId="606D8188" w:rsidR="00C02397" w:rsidRPr="006F29B4" w:rsidRDefault="00440324">
            <w:pPr>
              <w:jc w:val="right"/>
              <w:rPr>
                <w:rFonts w:ascii="CAIXA Std Book" w:eastAsia="Times New Roman" w:hAnsi="CAIXA Std Book" w:cs="Arial"/>
                <w:b/>
                <w:color w:val="005CA9"/>
                <w:sz w:val="18"/>
                <w:szCs w:val="18"/>
              </w:rPr>
            </w:pPr>
            <w:r>
              <w:rPr>
                <w:rFonts w:ascii="CAIXA Std Book" w:hAnsi="CAIXA Std Book" w:cs="Calibri"/>
                <w:b/>
                <w:color w:val="005CA9"/>
                <w:sz w:val="18"/>
                <w:szCs w:val="18"/>
              </w:rPr>
              <w:t>(282.</w:t>
            </w:r>
            <w:r>
              <w:rPr>
                <w:rFonts w:ascii="CAIXA Std Book" w:hAnsi="CAIXA Std Book" w:cs="Calibri"/>
                <w:b/>
                <w:bCs/>
                <w:color w:val="005CA9"/>
                <w:sz w:val="18"/>
                <w:szCs w:val="18"/>
              </w:rPr>
              <w:t>468</w:t>
            </w:r>
            <w:r>
              <w:rPr>
                <w:rFonts w:ascii="CAIXA Std Book" w:hAnsi="CAIXA Std Book" w:cs="Calibri"/>
                <w:b/>
                <w:color w:val="005CA9"/>
                <w:sz w:val="18"/>
                <w:szCs w:val="18"/>
              </w:rPr>
              <w:t>)</w:t>
            </w:r>
          </w:p>
        </w:tc>
      </w:tr>
      <w:tr w:rsidR="00C02397" w:rsidRPr="006F29B4" w14:paraId="301F09F4" w14:textId="77777777" w:rsidTr="00D91FED">
        <w:trPr>
          <w:trHeight w:val="283"/>
        </w:trPr>
        <w:tc>
          <w:tcPr>
            <w:tcW w:w="1886" w:type="pct"/>
            <w:noWrap/>
            <w:vAlign w:val="center"/>
            <w:hideMark/>
          </w:tcPr>
          <w:p w14:paraId="10462829" w14:textId="77777777" w:rsidR="00C02397" w:rsidRPr="006F29B4" w:rsidRDefault="00C0239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Compromisso de </w:t>
            </w:r>
            <w:r>
              <w:rPr>
                <w:rFonts w:ascii="CAIXA Std Book" w:eastAsia="Times New Roman" w:hAnsi="CAIXA Std Book" w:cs="Arial"/>
                <w:color w:val="005CA9"/>
                <w:sz w:val="18"/>
                <w:szCs w:val="18"/>
              </w:rPr>
              <w:t>empréstimos e c</w:t>
            </w:r>
            <w:r w:rsidRPr="006F29B4">
              <w:rPr>
                <w:rFonts w:ascii="CAIXA Std Book" w:eastAsia="Times New Roman" w:hAnsi="CAIXA Std Book" w:cs="Arial"/>
                <w:color w:val="005CA9"/>
                <w:sz w:val="18"/>
                <w:szCs w:val="18"/>
              </w:rPr>
              <w:t>rédito</w:t>
            </w:r>
            <w:r>
              <w:rPr>
                <w:rFonts w:ascii="CAIXA Std Book" w:eastAsia="Times New Roman" w:hAnsi="CAIXA Std Book" w:cs="Arial"/>
                <w:color w:val="005CA9"/>
                <w:sz w:val="18"/>
                <w:szCs w:val="18"/>
              </w:rPr>
              <w:t>s</w:t>
            </w:r>
            <w:r w:rsidRPr="006F29B4">
              <w:rPr>
                <w:rFonts w:ascii="CAIXA Std Book" w:eastAsia="Times New Roman" w:hAnsi="CAIXA Std Book" w:cs="Arial"/>
                <w:color w:val="005CA9"/>
                <w:sz w:val="18"/>
                <w:szCs w:val="18"/>
              </w:rPr>
              <w:t xml:space="preserve"> a </w:t>
            </w:r>
            <w:r>
              <w:rPr>
                <w:rFonts w:ascii="CAIXA Std Book" w:eastAsia="Times New Roman" w:hAnsi="CAIXA Std Book" w:cs="Arial"/>
                <w:color w:val="005CA9"/>
                <w:sz w:val="18"/>
                <w:szCs w:val="18"/>
              </w:rPr>
              <w:t>l</w:t>
            </w:r>
            <w:r w:rsidRPr="006F29B4">
              <w:rPr>
                <w:rFonts w:ascii="CAIXA Std Book" w:eastAsia="Times New Roman" w:hAnsi="CAIXA Std Book" w:cs="Arial"/>
                <w:color w:val="005CA9"/>
                <w:sz w:val="18"/>
                <w:szCs w:val="18"/>
              </w:rPr>
              <w:t>iberar</w:t>
            </w:r>
          </w:p>
        </w:tc>
        <w:tc>
          <w:tcPr>
            <w:tcW w:w="623" w:type="pct"/>
            <w:noWrap/>
            <w:vAlign w:val="center"/>
            <w:hideMark/>
          </w:tcPr>
          <w:p w14:paraId="6E7F6098" w14:textId="77777777" w:rsidR="00C02397" w:rsidRPr="006F29B4" w:rsidRDefault="00C02397">
            <w:pPr>
              <w:jc w:val="right"/>
              <w:rPr>
                <w:rFonts w:ascii="CAIXA Std Book" w:eastAsia="Times New Roman" w:hAnsi="CAIXA Std Book" w:cs="Arial"/>
                <w:color w:val="005CA9"/>
                <w:sz w:val="18"/>
                <w:szCs w:val="18"/>
              </w:rPr>
            </w:pPr>
            <w:r>
              <w:rPr>
                <w:rFonts w:ascii="CAIXA Std Book" w:hAnsi="CAIXA Std Book"/>
                <w:color w:val="005CA9"/>
                <w:sz w:val="18"/>
                <w:szCs w:val="18"/>
              </w:rPr>
              <w:t>(139.699)</w:t>
            </w:r>
          </w:p>
        </w:tc>
        <w:tc>
          <w:tcPr>
            <w:tcW w:w="623" w:type="pct"/>
            <w:noWrap/>
            <w:vAlign w:val="center"/>
            <w:hideMark/>
          </w:tcPr>
          <w:p w14:paraId="27A98DCC" w14:textId="65DA5371" w:rsidR="00C02397" w:rsidRPr="006F29B4" w:rsidRDefault="00440324">
            <w:pPr>
              <w:jc w:val="right"/>
              <w:rPr>
                <w:rFonts w:ascii="CAIXA Std Book" w:eastAsia="Times New Roman" w:hAnsi="CAIXA Std Book" w:cs="Arial"/>
                <w:color w:val="005CA9"/>
                <w:sz w:val="18"/>
                <w:szCs w:val="18"/>
              </w:rPr>
            </w:pPr>
            <w:r>
              <w:rPr>
                <w:rFonts w:ascii="CAIXA Std Book" w:hAnsi="CAIXA Std Book" w:cs="Calibri"/>
                <w:color w:val="005CA9"/>
                <w:sz w:val="18"/>
                <w:szCs w:val="18"/>
              </w:rPr>
              <w:t>(151.887)</w:t>
            </w:r>
          </w:p>
        </w:tc>
        <w:tc>
          <w:tcPr>
            <w:tcW w:w="623" w:type="pct"/>
            <w:noWrap/>
            <w:vAlign w:val="center"/>
            <w:hideMark/>
          </w:tcPr>
          <w:p w14:paraId="2EB19836" w14:textId="03C00BB1" w:rsidR="00C02397" w:rsidRPr="006F29B4" w:rsidRDefault="00440324">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10.413</w:t>
            </w:r>
          </w:p>
        </w:tc>
        <w:tc>
          <w:tcPr>
            <w:tcW w:w="623" w:type="pct"/>
            <w:noWrap/>
            <w:vAlign w:val="center"/>
            <w:hideMark/>
          </w:tcPr>
          <w:p w14:paraId="6E2925EF" w14:textId="798D3F84" w:rsidR="00C02397" w:rsidRPr="006F29B4" w:rsidRDefault="00C02397">
            <w:pPr>
              <w:jc w:val="right"/>
              <w:rPr>
                <w:rFonts w:ascii="CAIXA Std Book" w:eastAsia="Times New Roman" w:hAnsi="CAIXA Std Book" w:cs="Arial"/>
                <w:color w:val="005CA9"/>
                <w:sz w:val="18"/>
                <w:szCs w:val="18"/>
              </w:rPr>
            </w:pPr>
            <w:r>
              <w:rPr>
                <w:rFonts w:ascii="CAIXA Std Book" w:hAnsi="CAIXA Std Book" w:cs="Calibri"/>
                <w:color w:val="005CA9"/>
                <w:sz w:val="18"/>
                <w:szCs w:val="18"/>
              </w:rPr>
              <w:t>(</w:t>
            </w:r>
            <w:r w:rsidR="00440324">
              <w:rPr>
                <w:rFonts w:ascii="CAIXA Std Book" w:hAnsi="CAIXA Std Book" w:cs="Calibri"/>
                <w:color w:val="005CA9"/>
                <w:sz w:val="18"/>
                <w:szCs w:val="18"/>
              </w:rPr>
              <w:t>232</w:t>
            </w:r>
            <w:r>
              <w:rPr>
                <w:rFonts w:ascii="CAIXA Std Book" w:hAnsi="CAIXA Std Book" w:cs="Calibri"/>
                <w:color w:val="005CA9"/>
                <w:sz w:val="18"/>
                <w:szCs w:val="18"/>
              </w:rPr>
              <w:t>)</w:t>
            </w:r>
          </w:p>
        </w:tc>
        <w:tc>
          <w:tcPr>
            <w:tcW w:w="622" w:type="pct"/>
            <w:noWrap/>
            <w:vAlign w:val="center"/>
            <w:hideMark/>
          </w:tcPr>
          <w:p w14:paraId="3BA12541" w14:textId="3ACAB053" w:rsidR="00C02397" w:rsidRPr="006F29B4" w:rsidRDefault="00440324">
            <w:pPr>
              <w:jc w:val="right"/>
              <w:rPr>
                <w:rFonts w:ascii="CAIXA Std Book" w:eastAsia="Times New Roman" w:hAnsi="CAIXA Std Book" w:cs="Arial"/>
                <w:color w:val="005CA9"/>
                <w:sz w:val="18"/>
                <w:szCs w:val="18"/>
              </w:rPr>
            </w:pPr>
            <w:r>
              <w:rPr>
                <w:rFonts w:ascii="CAIXA Std Book" w:hAnsi="CAIXA Std Book" w:cs="Calibri"/>
                <w:color w:val="005CA9"/>
                <w:sz w:val="18"/>
                <w:szCs w:val="18"/>
              </w:rPr>
              <w:t>(281.405)</w:t>
            </w:r>
          </w:p>
        </w:tc>
      </w:tr>
      <w:tr w:rsidR="00C02397" w:rsidRPr="006F29B4" w14:paraId="0B512D63" w14:textId="77777777" w:rsidTr="00D91FED">
        <w:trPr>
          <w:trHeight w:val="283"/>
        </w:trPr>
        <w:tc>
          <w:tcPr>
            <w:tcW w:w="1886" w:type="pct"/>
            <w:noWrap/>
            <w:vAlign w:val="center"/>
            <w:hideMark/>
          </w:tcPr>
          <w:p w14:paraId="31CD993A" w14:textId="77777777" w:rsidR="00C02397" w:rsidRPr="006F29B4" w:rsidRDefault="00C0239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Garantias </w:t>
            </w:r>
            <w:r>
              <w:rPr>
                <w:rFonts w:ascii="CAIXA Std Book" w:eastAsia="Times New Roman" w:hAnsi="CAIXA Std Book" w:cs="Arial"/>
                <w:color w:val="005CA9"/>
                <w:sz w:val="18"/>
                <w:szCs w:val="18"/>
              </w:rPr>
              <w:t>f</w:t>
            </w:r>
            <w:r w:rsidRPr="006F29B4">
              <w:rPr>
                <w:rFonts w:ascii="CAIXA Std Book" w:eastAsia="Times New Roman" w:hAnsi="CAIXA Std Book" w:cs="Arial"/>
                <w:color w:val="005CA9"/>
                <w:sz w:val="18"/>
                <w:szCs w:val="18"/>
              </w:rPr>
              <w:t xml:space="preserve">inanceiras </w:t>
            </w:r>
            <w:r>
              <w:rPr>
                <w:rFonts w:ascii="CAIXA Std Book" w:eastAsia="Times New Roman" w:hAnsi="CAIXA Std Book" w:cs="Arial"/>
                <w:color w:val="005CA9"/>
                <w:sz w:val="18"/>
                <w:szCs w:val="18"/>
              </w:rPr>
              <w:t>p</w:t>
            </w:r>
            <w:r w:rsidRPr="006F29B4">
              <w:rPr>
                <w:rFonts w:ascii="CAIXA Std Book" w:eastAsia="Times New Roman" w:hAnsi="CAIXA Std Book" w:cs="Arial"/>
                <w:color w:val="005CA9"/>
                <w:sz w:val="18"/>
                <w:szCs w:val="18"/>
              </w:rPr>
              <w:t>restadas</w:t>
            </w:r>
          </w:p>
        </w:tc>
        <w:tc>
          <w:tcPr>
            <w:tcW w:w="623" w:type="pct"/>
            <w:noWrap/>
            <w:vAlign w:val="center"/>
            <w:hideMark/>
          </w:tcPr>
          <w:p w14:paraId="377C19C4" w14:textId="77777777" w:rsidR="00C02397" w:rsidRPr="006F29B4" w:rsidRDefault="00C02397">
            <w:pPr>
              <w:ind w:firstLineChars="100" w:firstLine="180"/>
              <w:jc w:val="right"/>
              <w:rPr>
                <w:rFonts w:ascii="CAIXA Std Book" w:eastAsia="Times New Roman" w:hAnsi="CAIXA Std Book" w:cs="Arial"/>
                <w:color w:val="005CA9"/>
                <w:sz w:val="18"/>
                <w:szCs w:val="18"/>
              </w:rPr>
            </w:pPr>
            <w:r>
              <w:rPr>
                <w:rFonts w:ascii="CAIXA Std Book" w:hAnsi="CAIXA Std Book"/>
                <w:color w:val="005CA9"/>
                <w:sz w:val="18"/>
                <w:szCs w:val="18"/>
              </w:rPr>
              <w:t>(2)</w:t>
            </w:r>
          </w:p>
        </w:tc>
        <w:tc>
          <w:tcPr>
            <w:tcW w:w="623" w:type="pct"/>
            <w:noWrap/>
            <w:vAlign w:val="center"/>
            <w:hideMark/>
          </w:tcPr>
          <w:p w14:paraId="2EF549EC" w14:textId="27637160" w:rsidR="00C02397" w:rsidRPr="006F29B4" w:rsidRDefault="00C02397">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w:t>
            </w:r>
            <w:r w:rsidR="00440324">
              <w:rPr>
                <w:rFonts w:ascii="CAIXA Std Book" w:hAnsi="CAIXA Std Book" w:cs="Calibri"/>
                <w:color w:val="005CA9"/>
                <w:sz w:val="18"/>
                <w:szCs w:val="18"/>
              </w:rPr>
              <w:t>385</w:t>
            </w:r>
            <w:r>
              <w:rPr>
                <w:rFonts w:ascii="CAIXA Std Book" w:hAnsi="CAIXA Std Book" w:cs="Calibri"/>
                <w:color w:val="005CA9"/>
                <w:sz w:val="18"/>
                <w:szCs w:val="18"/>
              </w:rPr>
              <w:t>)</w:t>
            </w:r>
          </w:p>
        </w:tc>
        <w:tc>
          <w:tcPr>
            <w:tcW w:w="623" w:type="pct"/>
            <w:noWrap/>
            <w:vAlign w:val="center"/>
            <w:hideMark/>
          </w:tcPr>
          <w:p w14:paraId="1321B4C9" w14:textId="2D012ED1" w:rsidR="00C02397" w:rsidRPr="003627E6" w:rsidRDefault="00C02397">
            <w:pPr>
              <w:jc w:val="right"/>
              <w:rPr>
                <w:rFonts w:ascii="CAIXA Std Book" w:eastAsia="Times New Roman" w:hAnsi="CAIXA Std Book" w:cs="Arial"/>
                <w:color w:val="005CA9"/>
                <w:sz w:val="18"/>
                <w:szCs w:val="18"/>
                <w:highlight w:val="yellow"/>
              </w:rPr>
            </w:pPr>
            <w:r>
              <w:rPr>
                <w:rFonts w:ascii="CAIXA Std Book" w:hAnsi="CAIXA Std Book" w:cs="Calibri"/>
                <w:color w:val="005CA9"/>
                <w:sz w:val="18"/>
                <w:szCs w:val="18"/>
              </w:rPr>
              <w:t>(</w:t>
            </w:r>
            <w:r w:rsidR="00440324">
              <w:rPr>
                <w:rFonts w:ascii="CAIXA Std Book" w:hAnsi="CAIXA Std Book" w:cs="Calibri"/>
                <w:color w:val="005CA9"/>
                <w:sz w:val="18"/>
                <w:szCs w:val="18"/>
              </w:rPr>
              <w:t>340</w:t>
            </w:r>
            <w:r>
              <w:rPr>
                <w:rFonts w:ascii="CAIXA Std Book" w:hAnsi="CAIXA Std Book" w:cs="Calibri"/>
                <w:color w:val="005CA9"/>
                <w:sz w:val="18"/>
                <w:szCs w:val="18"/>
              </w:rPr>
              <w:t>)</w:t>
            </w:r>
          </w:p>
        </w:tc>
        <w:tc>
          <w:tcPr>
            <w:tcW w:w="623" w:type="pct"/>
            <w:noWrap/>
            <w:vAlign w:val="center"/>
            <w:hideMark/>
          </w:tcPr>
          <w:p w14:paraId="0F213287" w14:textId="216DD195" w:rsidR="00C02397" w:rsidRPr="00BA2A08" w:rsidRDefault="00C02397">
            <w:pPr>
              <w:ind w:firstLineChars="100" w:firstLine="180"/>
              <w:jc w:val="right"/>
              <w:rPr>
                <w:rFonts w:ascii="CAIXA Std Book" w:eastAsia="Times New Roman" w:hAnsi="CAIXA Std Book" w:cs="Arial"/>
                <w:color w:val="005CA9"/>
                <w:sz w:val="18"/>
                <w:szCs w:val="18"/>
                <w:highlight w:val="yellow"/>
              </w:rPr>
            </w:pPr>
            <w:r>
              <w:rPr>
                <w:rFonts w:ascii="CAIXA Std Book" w:hAnsi="CAIXA Std Book" w:cs="Calibri"/>
                <w:color w:val="005CA9"/>
                <w:sz w:val="18"/>
                <w:szCs w:val="18"/>
              </w:rPr>
              <w:t>(</w:t>
            </w:r>
            <w:r w:rsidR="00440324">
              <w:rPr>
                <w:rFonts w:ascii="CAIXA Std Book" w:hAnsi="CAIXA Std Book" w:cs="Calibri"/>
                <w:color w:val="005CA9"/>
                <w:sz w:val="18"/>
                <w:szCs w:val="18"/>
              </w:rPr>
              <w:t>336</w:t>
            </w:r>
            <w:r>
              <w:rPr>
                <w:rFonts w:ascii="CAIXA Std Book" w:hAnsi="CAIXA Std Book" w:cs="Calibri"/>
                <w:color w:val="005CA9"/>
                <w:sz w:val="18"/>
                <w:szCs w:val="18"/>
              </w:rPr>
              <w:t>)</w:t>
            </w:r>
          </w:p>
        </w:tc>
        <w:tc>
          <w:tcPr>
            <w:tcW w:w="622" w:type="pct"/>
            <w:noWrap/>
            <w:vAlign w:val="center"/>
            <w:hideMark/>
          </w:tcPr>
          <w:p w14:paraId="079C1EAB" w14:textId="0D0E09D0" w:rsidR="00C02397" w:rsidRPr="006F29B4" w:rsidRDefault="00C02397">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w:t>
            </w:r>
            <w:r w:rsidR="00440324">
              <w:rPr>
                <w:rFonts w:ascii="CAIXA Std Book" w:hAnsi="CAIXA Std Book" w:cs="Calibri"/>
                <w:color w:val="005CA9"/>
                <w:sz w:val="18"/>
                <w:szCs w:val="18"/>
              </w:rPr>
              <w:t>1.063</w:t>
            </w:r>
            <w:r>
              <w:rPr>
                <w:rFonts w:ascii="CAIXA Std Book" w:hAnsi="CAIXA Std Book" w:cs="Calibri"/>
                <w:color w:val="005CA9"/>
                <w:sz w:val="18"/>
                <w:szCs w:val="18"/>
              </w:rPr>
              <w:t>)</w:t>
            </w:r>
          </w:p>
        </w:tc>
      </w:tr>
      <w:tr w:rsidR="00C02397" w:rsidRPr="006F29B4" w14:paraId="5E3153B1" w14:textId="77777777" w:rsidTr="00D91FED">
        <w:trPr>
          <w:trHeight w:val="283"/>
        </w:trPr>
        <w:tc>
          <w:tcPr>
            <w:tcW w:w="1886" w:type="pct"/>
            <w:shd w:val="clear" w:color="auto" w:fill="005CA9"/>
            <w:noWrap/>
            <w:vAlign w:val="center"/>
            <w:hideMark/>
          </w:tcPr>
          <w:p w14:paraId="4446E956" w14:textId="77777777" w:rsidR="00C02397" w:rsidRPr="006F29B4" w:rsidRDefault="00C02397">
            <w:pP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Total</w:t>
            </w:r>
          </w:p>
        </w:tc>
        <w:tc>
          <w:tcPr>
            <w:tcW w:w="623" w:type="pct"/>
            <w:shd w:val="clear" w:color="000000" w:fill="005CA9"/>
            <w:noWrap/>
            <w:vAlign w:val="center"/>
            <w:hideMark/>
          </w:tcPr>
          <w:p w14:paraId="6F724ED2" w14:textId="77777777" w:rsidR="00C02397" w:rsidRPr="006F29B4" w:rsidRDefault="00C02397">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(7.605.478)</w:t>
            </w:r>
          </w:p>
        </w:tc>
        <w:tc>
          <w:tcPr>
            <w:tcW w:w="623" w:type="pct"/>
            <w:shd w:val="clear" w:color="000000" w:fill="005CA9"/>
            <w:vAlign w:val="center"/>
            <w:hideMark/>
          </w:tcPr>
          <w:p w14:paraId="0F46D28A" w14:textId="03A9C404" w:rsidR="00C02397" w:rsidRPr="006F29B4" w:rsidRDefault="00C02397">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(2.</w:t>
            </w:r>
            <w:r w:rsidR="00440324">
              <w:rPr>
                <w:rFonts w:ascii="CAIXA Std Book" w:hAnsi="CAIXA Std Book" w:cs="Calibri"/>
                <w:b/>
                <w:bCs/>
                <w:color w:val="FFFFFF"/>
                <w:sz w:val="18"/>
                <w:szCs w:val="18"/>
              </w:rPr>
              <w:t>459.586</w:t>
            </w:r>
            <w:r>
              <w:rPr>
                <w:rFonts w:ascii="CAIXA Std Book" w:hAnsi="CAIXA Std Book" w:cs="Calibri"/>
                <w:b/>
                <w:bCs/>
                <w:color w:val="FFFFFF"/>
                <w:sz w:val="18"/>
                <w:szCs w:val="18"/>
              </w:rPr>
              <w:t>)</w:t>
            </w:r>
          </w:p>
        </w:tc>
        <w:tc>
          <w:tcPr>
            <w:tcW w:w="623" w:type="pct"/>
            <w:shd w:val="clear" w:color="000000" w:fill="005CA9"/>
            <w:vAlign w:val="center"/>
            <w:hideMark/>
          </w:tcPr>
          <w:p w14:paraId="2B07C28A" w14:textId="22D173AB" w:rsidR="00C02397" w:rsidRPr="006F29B4" w:rsidRDefault="00440324">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3.642.870</w:t>
            </w:r>
          </w:p>
        </w:tc>
        <w:tc>
          <w:tcPr>
            <w:tcW w:w="623" w:type="pct"/>
            <w:shd w:val="clear" w:color="000000" w:fill="005CA9"/>
            <w:vAlign w:val="center"/>
            <w:hideMark/>
          </w:tcPr>
          <w:p w14:paraId="63BEE9C5" w14:textId="584F3306" w:rsidR="00C02397" w:rsidRPr="006F29B4" w:rsidRDefault="00440324">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1.285.251</w:t>
            </w:r>
          </w:p>
        </w:tc>
        <w:tc>
          <w:tcPr>
            <w:tcW w:w="622" w:type="pct"/>
            <w:shd w:val="clear" w:color="000000" w:fill="005CA9"/>
            <w:vAlign w:val="center"/>
            <w:hideMark/>
          </w:tcPr>
          <w:p w14:paraId="2E1B08E7" w14:textId="71654717" w:rsidR="00C02397" w:rsidRPr="006F29B4" w:rsidRDefault="00440324">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(5.136.943)</w:t>
            </w:r>
          </w:p>
        </w:tc>
      </w:tr>
    </w:tbl>
    <w:p w14:paraId="25649BF9" w14:textId="77777777" w:rsidR="00C02397" w:rsidRPr="00D05CC2" w:rsidRDefault="00C02397" w:rsidP="00C02397">
      <w:pPr>
        <w:rPr>
          <w:rFonts w:ascii="CAIXA Std Book" w:hAnsi="CAIXA Std Book"/>
          <w:b/>
          <w:color w:val="005CA9"/>
          <w:sz w:val="20"/>
          <w:szCs w:val="20"/>
        </w:rPr>
      </w:pPr>
    </w:p>
    <w:tbl>
      <w:tblPr>
        <w:tblW w:w="5000" w:type="pct"/>
        <w:tblCellMar>
          <w:left w:w="70" w:type="dxa"/>
          <w:right w:w="70" w:type="dxa"/>
        </w:tblCellMar>
        <w:tblLook w:val="04A0" w:firstRow="1" w:lastRow="0" w:firstColumn="1" w:lastColumn="0" w:noHBand="0" w:noVBand="1"/>
      </w:tblPr>
      <w:tblGrid>
        <w:gridCol w:w="5496"/>
        <w:gridCol w:w="1816"/>
        <w:gridCol w:w="1815"/>
        <w:gridCol w:w="1815"/>
        <w:gridCol w:w="1815"/>
        <w:gridCol w:w="1812"/>
      </w:tblGrid>
      <w:tr w:rsidR="00C02397" w:rsidRPr="006F29B4" w14:paraId="31DB39BF" w14:textId="77777777" w:rsidTr="00D91FED">
        <w:trPr>
          <w:trHeight w:val="283"/>
        </w:trPr>
        <w:tc>
          <w:tcPr>
            <w:tcW w:w="5000" w:type="pct"/>
            <w:gridSpan w:val="6"/>
            <w:tcBorders>
              <w:bottom w:val="single" w:sz="4" w:space="0" w:color="FFFFFF" w:themeColor="background1"/>
            </w:tcBorders>
            <w:shd w:val="clear" w:color="auto" w:fill="005CA9"/>
            <w:noWrap/>
            <w:vAlign w:val="center"/>
            <w:hideMark/>
          </w:tcPr>
          <w:p w14:paraId="1FC05DCD" w14:textId="05FC9C9F" w:rsidR="00C02397" w:rsidRPr="00DC72B3" w:rsidRDefault="00C02397">
            <w:pPr>
              <w:jc w:val="center"/>
              <w:rPr>
                <w:rFonts w:ascii="CAIXA Std Book" w:eastAsia="Times New Roman" w:hAnsi="CAIXA Std Book" w:cs="Arial"/>
                <w:b/>
                <w:bCs/>
                <w:color w:val="FFFFFF"/>
                <w:sz w:val="18"/>
                <w:szCs w:val="18"/>
              </w:rPr>
            </w:pPr>
            <w:r>
              <w:rPr>
                <w:rFonts w:ascii="CAIXA Std Book" w:eastAsia="Times New Roman" w:hAnsi="CAIXA Std Book" w:cs="Calibri"/>
                <w:b/>
                <w:color w:val="FFFFFF"/>
                <w:sz w:val="18"/>
                <w:szCs w:val="18"/>
              </w:rPr>
              <w:t xml:space="preserve"> Consolidado</w:t>
            </w:r>
          </w:p>
        </w:tc>
      </w:tr>
      <w:tr w:rsidR="00C02397" w:rsidRPr="006F29B4" w14:paraId="2D94DC84" w14:textId="77777777" w:rsidTr="00D91FED">
        <w:trPr>
          <w:trHeight w:val="283"/>
        </w:trPr>
        <w:tc>
          <w:tcPr>
            <w:tcW w:w="1886" w:type="pct"/>
            <w:tcBorders>
              <w:top w:val="single" w:sz="4" w:space="0" w:color="FFFFFF" w:themeColor="background1"/>
            </w:tcBorders>
            <w:shd w:val="clear" w:color="auto" w:fill="005CA9"/>
            <w:vAlign w:val="center"/>
            <w:hideMark/>
          </w:tcPr>
          <w:p w14:paraId="424317AC" w14:textId="77777777" w:rsidR="00C02397" w:rsidRPr="006F29B4" w:rsidRDefault="00C0239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Estágio 3</w:t>
            </w:r>
          </w:p>
        </w:tc>
        <w:tc>
          <w:tcPr>
            <w:tcW w:w="623" w:type="pct"/>
            <w:tcBorders>
              <w:top w:val="single" w:sz="4" w:space="0" w:color="FFFFFF" w:themeColor="background1"/>
            </w:tcBorders>
            <w:shd w:val="clear" w:color="auto" w:fill="005CA9"/>
            <w:vAlign w:val="center"/>
            <w:hideMark/>
          </w:tcPr>
          <w:p w14:paraId="22EFFFAC" w14:textId="77777777" w:rsidR="00C02397" w:rsidRPr="006F29B4" w:rsidRDefault="00C0239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Saldo em 01/01/2025</w:t>
            </w:r>
          </w:p>
        </w:tc>
        <w:tc>
          <w:tcPr>
            <w:tcW w:w="623" w:type="pct"/>
            <w:tcBorders>
              <w:top w:val="single" w:sz="4" w:space="0" w:color="FFFFFF" w:themeColor="background1"/>
            </w:tcBorders>
            <w:shd w:val="clear" w:color="auto" w:fill="005CA9"/>
            <w:vAlign w:val="center"/>
            <w:hideMark/>
          </w:tcPr>
          <w:p w14:paraId="6C302952" w14:textId="77777777" w:rsidR="00C02397" w:rsidRPr="006F29B4" w:rsidRDefault="00C0239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Constituição/ reversão</w:t>
            </w:r>
          </w:p>
        </w:tc>
        <w:tc>
          <w:tcPr>
            <w:tcW w:w="623" w:type="pct"/>
            <w:tcBorders>
              <w:top w:val="single" w:sz="4" w:space="0" w:color="FFFFFF" w:themeColor="background1"/>
            </w:tcBorders>
            <w:shd w:val="clear" w:color="auto" w:fill="005CA9"/>
            <w:vAlign w:val="center"/>
            <w:hideMark/>
          </w:tcPr>
          <w:p w14:paraId="0EAE25B4" w14:textId="77777777" w:rsidR="00C02397" w:rsidRPr="006F29B4" w:rsidRDefault="00C0239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Transferência do/ para estágio </w:t>
            </w:r>
            <w:r>
              <w:rPr>
                <w:rFonts w:ascii="CAIXA Std Book" w:eastAsia="Times New Roman" w:hAnsi="CAIXA Std Book" w:cs="Arial"/>
                <w:b/>
                <w:color w:val="FFFFFF"/>
                <w:sz w:val="18"/>
                <w:szCs w:val="18"/>
              </w:rPr>
              <w:t>1</w:t>
            </w:r>
          </w:p>
        </w:tc>
        <w:tc>
          <w:tcPr>
            <w:tcW w:w="623" w:type="pct"/>
            <w:tcBorders>
              <w:top w:val="single" w:sz="4" w:space="0" w:color="FFFFFF" w:themeColor="background1"/>
            </w:tcBorders>
            <w:shd w:val="clear" w:color="auto" w:fill="005CA9"/>
            <w:vAlign w:val="center"/>
            <w:hideMark/>
          </w:tcPr>
          <w:p w14:paraId="49E9280E" w14:textId="77777777" w:rsidR="00C02397" w:rsidRDefault="00C0239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Transferência do/</w:t>
            </w:r>
          </w:p>
          <w:p w14:paraId="10B28DBC" w14:textId="77777777" w:rsidR="00C02397" w:rsidRPr="006F29B4" w:rsidRDefault="00C0239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 xml:space="preserve">para estágio </w:t>
            </w:r>
            <w:r>
              <w:rPr>
                <w:rFonts w:ascii="CAIXA Std Book" w:eastAsia="Times New Roman" w:hAnsi="CAIXA Std Book" w:cs="Arial"/>
                <w:b/>
                <w:color w:val="FFFFFF"/>
                <w:sz w:val="18"/>
                <w:szCs w:val="18"/>
              </w:rPr>
              <w:t>2</w:t>
            </w:r>
            <w:r w:rsidRPr="006F29B4">
              <w:rPr>
                <w:rFonts w:ascii="CAIXA Std Book" w:eastAsia="Times New Roman" w:hAnsi="CAIXA Std Book" w:cs="Arial"/>
                <w:b/>
                <w:color w:val="FFFFFF"/>
                <w:sz w:val="18"/>
                <w:szCs w:val="18"/>
              </w:rPr>
              <w:t xml:space="preserve"> </w:t>
            </w:r>
          </w:p>
        </w:tc>
        <w:tc>
          <w:tcPr>
            <w:tcW w:w="622" w:type="pct"/>
            <w:tcBorders>
              <w:top w:val="single" w:sz="4" w:space="0" w:color="FFFFFF" w:themeColor="background1"/>
            </w:tcBorders>
            <w:shd w:val="clear" w:color="auto" w:fill="005CA9"/>
            <w:vAlign w:val="center"/>
            <w:hideMark/>
          </w:tcPr>
          <w:p w14:paraId="2CF4274F" w14:textId="0194AC20" w:rsidR="00C02397" w:rsidRPr="006F29B4" w:rsidRDefault="00C02397">
            <w:pPr>
              <w:jc w:val="cente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Saldo em 31/</w:t>
            </w:r>
            <w:r w:rsidR="0067638B">
              <w:rPr>
                <w:rFonts w:ascii="CAIXA Std Book" w:eastAsia="Times New Roman" w:hAnsi="CAIXA Std Book" w:cs="Arial"/>
                <w:b/>
                <w:color w:val="FFFFFF"/>
                <w:sz w:val="18"/>
                <w:szCs w:val="18"/>
              </w:rPr>
              <w:t>12</w:t>
            </w:r>
            <w:r w:rsidRPr="006F29B4">
              <w:rPr>
                <w:rFonts w:ascii="CAIXA Std Book" w:eastAsia="Times New Roman" w:hAnsi="CAIXA Std Book" w:cs="Arial"/>
                <w:b/>
                <w:color w:val="FFFFFF"/>
                <w:sz w:val="18"/>
                <w:szCs w:val="18"/>
              </w:rPr>
              <w:t>/2025</w:t>
            </w:r>
          </w:p>
        </w:tc>
      </w:tr>
      <w:tr w:rsidR="00C02397" w:rsidRPr="006F29B4" w14:paraId="35B18DBA" w14:textId="77777777" w:rsidTr="00D91FED">
        <w:trPr>
          <w:trHeight w:val="283"/>
        </w:trPr>
        <w:tc>
          <w:tcPr>
            <w:tcW w:w="1886" w:type="pct"/>
            <w:shd w:val="clear" w:color="auto" w:fill="D0E0E3"/>
            <w:noWrap/>
            <w:vAlign w:val="center"/>
            <w:hideMark/>
          </w:tcPr>
          <w:p w14:paraId="42DC6D20" w14:textId="77777777" w:rsidR="00C02397" w:rsidRPr="006F29B4" w:rsidRDefault="00C02397">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 xml:space="preserve">Ativos </w:t>
            </w:r>
            <w:r>
              <w:rPr>
                <w:rFonts w:ascii="CAIXA Std Book" w:eastAsia="Times New Roman" w:hAnsi="CAIXA Std Book" w:cs="Arial"/>
                <w:b/>
                <w:color w:val="005CA9"/>
                <w:sz w:val="18"/>
                <w:szCs w:val="18"/>
              </w:rPr>
              <w:t>f</w:t>
            </w:r>
            <w:r w:rsidRPr="006F29B4">
              <w:rPr>
                <w:rFonts w:ascii="CAIXA Std Book" w:eastAsia="Times New Roman" w:hAnsi="CAIXA Std Book" w:cs="Arial"/>
                <w:b/>
                <w:color w:val="005CA9"/>
                <w:sz w:val="18"/>
                <w:szCs w:val="18"/>
              </w:rPr>
              <w:t>inanceiros</w:t>
            </w:r>
          </w:p>
        </w:tc>
        <w:tc>
          <w:tcPr>
            <w:tcW w:w="623" w:type="pct"/>
            <w:shd w:val="clear" w:color="000000" w:fill="D0E0E3"/>
            <w:noWrap/>
            <w:vAlign w:val="center"/>
          </w:tcPr>
          <w:p w14:paraId="1D532ECE" w14:textId="77777777" w:rsidR="00C02397" w:rsidRPr="006F29B4" w:rsidRDefault="00C02397">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(36.045.891)</w:t>
            </w:r>
          </w:p>
        </w:tc>
        <w:tc>
          <w:tcPr>
            <w:tcW w:w="623" w:type="pct"/>
            <w:shd w:val="clear" w:color="000000" w:fill="D0E0E3"/>
            <w:noWrap/>
            <w:vAlign w:val="center"/>
          </w:tcPr>
          <w:p w14:paraId="1B3767EF" w14:textId="705059FA" w:rsidR="00C02397" w:rsidRPr="006F29B4" w:rsidRDefault="00850DA2">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(16.836.667)</w:t>
            </w:r>
          </w:p>
        </w:tc>
        <w:tc>
          <w:tcPr>
            <w:tcW w:w="623" w:type="pct"/>
            <w:shd w:val="clear" w:color="000000" w:fill="D0E0E3"/>
            <w:noWrap/>
            <w:vAlign w:val="center"/>
          </w:tcPr>
          <w:p w14:paraId="379B0029" w14:textId="5598B026" w:rsidR="00C02397" w:rsidRPr="006F29B4" w:rsidRDefault="00850DA2">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3.510.068</w:t>
            </w:r>
          </w:p>
        </w:tc>
        <w:tc>
          <w:tcPr>
            <w:tcW w:w="623" w:type="pct"/>
            <w:shd w:val="clear" w:color="000000" w:fill="D0E0E3"/>
            <w:noWrap/>
            <w:vAlign w:val="center"/>
          </w:tcPr>
          <w:p w14:paraId="5061F18C" w14:textId="5DAA8409" w:rsidR="00C02397" w:rsidRPr="006F29B4" w:rsidRDefault="00850DA2">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(1.285.819)</w:t>
            </w:r>
          </w:p>
        </w:tc>
        <w:tc>
          <w:tcPr>
            <w:tcW w:w="622" w:type="pct"/>
            <w:shd w:val="clear" w:color="000000" w:fill="D0E0E3"/>
            <w:noWrap/>
            <w:vAlign w:val="center"/>
          </w:tcPr>
          <w:p w14:paraId="587C5ABB" w14:textId="71982C20" w:rsidR="00C02397" w:rsidRPr="006F29B4" w:rsidRDefault="00850DA2">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(50.658.309)</w:t>
            </w:r>
          </w:p>
        </w:tc>
      </w:tr>
      <w:tr w:rsidR="00C02397" w:rsidRPr="006F29B4" w14:paraId="5B1BEA72" w14:textId="77777777" w:rsidTr="00D91FED">
        <w:trPr>
          <w:trHeight w:val="283"/>
        </w:trPr>
        <w:tc>
          <w:tcPr>
            <w:tcW w:w="1886" w:type="pct"/>
            <w:noWrap/>
            <w:vAlign w:val="center"/>
            <w:hideMark/>
          </w:tcPr>
          <w:p w14:paraId="7796F195" w14:textId="77777777" w:rsidR="00C02397" w:rsidRPr="006F29B4" w:rsidRDefault="00C0239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Títulos e </w:t>
            </w:r>
            <w:r>
              <w:rPr>
                <w:rFonts w:ascii="CAIXA Std Book" w:eastAsia="Times New Roman" w:hAnsi="CAIXA Std Book" w:cs="Arial"/>
                <w:color w:val="005CA9"/>
                <w:sz w:val="18"/>
                <w:szCs w:val="18"/>
              </w:rPr>
              <w:t>v</w:t>
            </w:r>
            <w:r w:rsidRPr="006F29B4">
              <w:rPr>
                <w:rFonts w:ascii="CAIXA Std Book" w:eastAsia="Times New Roman" w:hAnsi="CAIXA Std Book" w:cs="Arial"/>
                <w:color w:val="005CA9"/>
                <w:sz w:val="18"/>
                <w:szCs w:val="18"/>
              </w:rPr>
              <w:t xml:space="preserve">alores </w:t>
            </w:r>
            <w:r>
              <w:rPr>
                <w:rFonts w:ascii="CAIXA Std Book" w:eastAsia="Times New Roman" w:hAnsi="CAIXA Std Book" w:cs="Arial"/>
                <w:color w:val="005CA9"/>
                <w:sz w:val="18"/>
                <w:szCs w:val="18"/>
              </w:rPr>
              <w:t>m</w:t>
            </w:r>
            <w:r w:rsidRPr="006F29B4">
              <w:rPr>
                <w:rFonts w:ascii="CAIXA Std Book" w:eastAsia="Times New Roman" w:hAnsi="CAIXA Std Book" w:cs="Arial"/>
                <w:color w:val="005CA9"/>
                <w:sz w:val="18"/>
                <w:szCs w:val="18"/>
              </w:rPr>
              <w:t>obiliários</w:t>
            </w:r>
          </w:p>
        </w:tc>
        <w:tc>
          <w:tcPr>
            <w:tcW w:w="623" w:type="pct"/>
            <w:noWrap/>
            <w:vAlign w:val="center"/>
          </w:tcPr>
          <w:p w14:paraId="74BED93C" w14:textId="607C65EF" w:rsidR="00C02397" w:rsidRPr="006F29B4" w:rsidRDefault="00C02397">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(43.</w:t>
            </w:r>
            <w:r w:rsidR="00B92F78">
              <w:rPr>
                <w:rFonts w:ascii="CAIXA Std Book" w:hAnsi="CAIXA Std Book" w:cs="Calibri"/>
                <w:color w:val="005CA9"/>
                <w:sz w:val="18"/>
                <w:szCs w:val="18"/>
              </w:rPr>
              <w:t>599</w:t>
            </w:r>
            <w:r>
              <w:rPr>
                <w:rFonts w:ascii="CAIXA Std Book" w:hAnsi="CAIXA Std Book" w:cs="Calibri"/>
                <w:color w:val="005CA9"/>
                <w:sz w:val="18"/>
                <w:szCs w:val="18"/>
              </w:rPr>
              <w:t>)</w:t>
            </w:r>
          </w:p>
        </w:tc>
        <w:tc>
          <w:tcPr>
            <w:tcW w:w="623" w:type="pct"/>
            <w:noWrap/>
            <w:vAlign w:val="center"/>
          </w:tcPr>
          <w:p w14:paraId="58A0D997" w14:textId="75E1C62D" w:rsidR="00C02397" w:rsidRPr="006F29B4" w:rsidRDefault="00850DA2">
            <w:pPr>
              <w:ind w:firstLineChars="100" w:firstLine="180"/>
              <w:jc w:val="right"/>
              <w:rPr>
                <w:rFonts w:ascii="CAIXA Std Book" w:eastAsia="Times New Roman" w:hAnsi="CAIXA Std Book" w:cs="Arial"/>
                <w:color w:val="005CA9"/>
                <w:sz w:val="18"/>
                <w:szCs w:val="18"/>
              </w:rPr>
            </w:pPr>
            <w:r>
              <w:rPr>
                <w:rFonts w:ascii="CAIXA Std Book" w:hAnsi="CAIXA Std Book" w:cs="Arial"/>
                <w:color w:val="005CA9"/>
                <w:sz w:val="18"/>
                <w:szCs w:val="18"/>
              </w:rPr>
              <w:t>(339.364)</w:t>
            </w:r>
          </w:p>
        </w:tc>
        <w:tc>
          <w:tcPr>
            <w:tcW w:w="623" w:type="pct"/>
            <w:noWrap/>
            <w:vAlign w:val="center"/>
          </w:tcPr>
          <w:p w14:paraId="2DC86D5E" w14:textId="717CA49B" w:rsidR="00C02397" w:rsidRPr="006F29B4" w:rsidRDefault="00850DA2" w:rsidP="00850DA2">
            <w:pPr>
              <w:ind w:firstLineChars="100" w:firstLine="180"/>
              <w:jc w:val="right"/>
              <w:rPr>
                <w:rFonts w:ascii="CAIXA Std Book" w:eastAsia="Times New Roman" w:hAnsi="CAIXA Std Book" w:cs="Arial"/>
                <w:color w:val="005CA9"/>
                <w:sz w:val="18"/>
                <w:szCs w:val="18"/>
              </w:rPr>
            </w:pPr>
            <w:r>
              <w:rPr>
                <w:rFonts w:ascii="CAIXA Std Book" w:hAnsi="CAIXA Std Book" w:cs="Arial"/>
                <w:color w:val="005CA9"/>
                <w:sz w:val="18"/>
                <w:szCs w:val="18"/>
              </w:rPr>
              <w:t>10.397</w:t>
            </w:r>
          </w:p>
        </w:tc>
        <w:tc>
          <w:tcPr>
            <w:tcW w:w="623" w:type="pct"/>
            <w:noWrap/>
            <w:vAlign w:val="center"/>
          </w:tcPr>
          <w:p w14:paraId="7D187E1F" w14:textId="55C3BCAD" w:rsidR="00C02397" w:rsidRPr="006F29B4" w:rsidRDefault="00C02397">
            <w:pPr>
              <w:ind w:firstLineChars="100" w:firstLine="180"/>
              <w:jc w:val="center"/>
              <w:rPr>
                <w:rFonts w:ascii="CAIXA Std Book" w:eastAsia="Times New Roman" w:hAnsi="CAIXA Std Book" w:cs="Arial"/>
                <w:color w:val="005CA9"/>
                <w:sz w:val="18"/>
                <w:szCs w:val="18"/>
              </w:rPr>
            </w:pPr>
            <w:r>
              <w:rPr>
                <w:rFonts w:ascii="CAIXA Std Book" w:hAnsi="CAIXA Std Book" w:cs="Arial"/>
                <w:color w:val="005CA9"/>
                <w:sz w:val="18"/>
                <w:szCs w:val="18"/>
              </w:rPr>
              <w:t>-</w:t>
            </w:r>
          </w:p>
        </w:tc>
        <w:tc>
          <w:tcPr>
            <w:tcW w:w="622" w:type="pct"/>
            <w:noWrap/>
            <w:vAlign w:val="center"/>
          </w:tcPr>
          <w:p w14:paraId="2FAB5656" w14:textId="512A281E" w:rsidR="00C02397" w:rsidRPr="006F29B4" w:rsidRDefault="00850DA2">
            <w:pPr>
              <w:jc w:val="right"/>
              <w:rPr>
                <w:rFonts w:ascii="CAIXA Std Book" w:eastAsia="Times New Roman" w:hAnsi="CAIXA Std Book" w:cs="Arial"/>
                <w:color w:val="005CA9"/>
                <w:sz w:val="18"/>
                <w:szCs w:val="18"/>
              </w:rPr>
            </w:pPr>
            <w:r>
              <w:rPr>
                <w:rFonts w:ascii="CAIXA Std Book" w:hAnsi="CAIXA Std Book" w:cs="Calibri"/>
                <w:color w:val="005CA9"/>
                <w:sz w:val="18"/>
                <w:szCs w:val="18"/>
              </w:rPr>
              <w:t>(372.566)</w:t>
            </w:r>
          </w:p>
        </w:tc>
      </w:tr>
      <w:tr w:rsidR="00C02397" w:rsidRPr="006F29B4" w14:paraId="459F4C46" w14:textId="77777777" w:rsidTr="00D91FED">
        <w:trPr>
          <w:trHeight w:val="283"/>
        </w:trPr>
        <w:tc>
          <w:tcPr>
            <w:tcW w:w="1886" w:type="pct"/>
            <w:noWrap/>
            <w:vAlign w:val="center"/>
            <w:hideMark/>
          </w:tcPr>
          <w:p w14:paraId="58FE0303" w14:textId="77777777" w:rsidR="00C02397" w:rsidRPr="006F29B4" w:rsidRDefault="00C0239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Carteira de </w:t>
            </w:r>
            <w:r>
              <w:rPr>
                <w:rFonts w:ascii="CAIXA Std Book" w:eastAsia="Times New Roman" w:hAnsi="CAIXA Std Book" w:cs="Arial"/>
                <w:color w:val="005CA9"/>
                <w:sz w:val="18"/>
                <w:szCs w:val="18"/>
              </w:rPr>
              <w:t>c</w:t>
            </w:r>
            <w:r w:rsidRPr="006F29B4">
              <w:rPr>
                <w:rFonts w:ascii="CAIXA Std Book" w:eastAsia="Times New Roman" w:hAnsi="CAIXA Std Book" w:cs="Arial"/>
                <w:color w:val="005CA9"/>
                <w:sz w:val="18"/>
                <w:szCs w:val="18"/>
              </w:rPr>
              <w:t>rédito</w:t>
            </w:r>
          </w:p>
        </w:tc>
        <w:tc>
          <w:tcPr>
            <w:tcW w:w="623" w:type="pct"/>
            <w:noWrap/>
            <w:vAlign w:val="center"/>
          </w:tcPr>
          <w:p w14:paraId="23C65DA3" w14:textId="77777777" w:rsidR="00C02397" w:rsidRPr="006F29B4" w:rsidRDefault="00C02397">
            <w:pPr>
              <w:jc w:val="right"/>
              <w:rPr>
                <w:rFonts w:ascii="CAIXA Std Book" w:eastAsia="Times New Roman" w:hAnsi="CAIXA Std Book" w:cs="Arial"/>
                <w:color w:val="005CA9"/>
                <w:sz w:val="18"/>
                <w:szCs w:val="18"/>
              </w:rPr>
            </w:pPr>
            <w:r>
              <w:rPr>
                <w:rFonts w:ascii="CAIXA Std Book" w:hAnsi="CAIXA Std Book" w:cs="Calibri"/>
                <w:color w:val="005CA9"/>
                <w:sz w:val="18"/>
                <w:szCs w:val="18"/>
              </w:rPr>
              <w:t>(32.305.678)</w:t>
            </w:r>
          </w:p>
        </w:tc>
        <w:tc>
          <w:tcPr>
            <w:tcW w:w="623" w:type="pct"/>
            <w:noWrap/>
            <w:vAlign w:val="center"/>
          </w:tcPr>
          <w:p w14:paraId="0C02FE00" w14:textId="5951D69F" w:rsidR="00C02397" w:rsidRPr="006F29B4" w:rsidRDefault="00850DA2">
            <w:pPr>
              <w:jc w:val="right"/>
              <w:rPr>
                <w:rFonts w:ascii="CAIXA Std Book" w:eastAsia="Times New Roman" w:hAnsi="CAIXA Std Book" w:cs="Arial"/>
                <w:color w:val="005CA9"/>
                <w:sz w:val="18"/>
                <w:szCs w:val="18"/>
              </w:rPr>
            </w:pPr>
            <w:r w:rsidRPr="00AE441E">
              <w:rPr>
                <w:rFonts w:ascii="CAIXA Std Book" w:hAnsi="CAIXA Std Book" w:cs="Calibri"/>
                <w:color w:val="005CA9"/>
                <w:sz w:val="18"/>
                <w:szCs w:val="18"/>
              </w:rPr>
              <w:t>(16.788.942)</w:t>
            </w:r>
          </w:p>
        </w:tc>
        <w:tc>
          <w:tcPr>
            <w:tcW w:w="623" w:type="pct"/>
            <w:noWrap/>
            <w:vAlign w:val="center"/>
          </w:tcPr>
          <w:p w14:paraId="69D6F9EC" w14:textId="33A375CB" w:rsidR="00C02397" w:rsidRPr="006F29B4" w:rsidRDefault="00850DA2">
            <w:pPr>
              <w:jc w:val="right"/>
              <w:rPr>
                <w:rFonts w:ascii="CAIXA Std Book" w:eastAsia="Times New Roman" w:hAnsi="CAIXA Std Book" w:cs="Arial"/>
                <w:color w:val="005CA9"/>
                <w:sz w:val="18"/>
                <w:szCs w:val="18"/>
              </w:rPr>
            </w:pPr>
            <w:r w:rsidRPr="00AE441E">
              <w:rPr>
                <w:rFonts w:ascii="CAIXA Std Book" w:hAnsi="CAIXA Std Book" w:cs="Calibri"/>
                <w:color w:val="005CA9"/>
                <w:sz w:val="18"/>
                <w:szCs w:val="18"/>
              </w:rPr>
              <w:t>3.499.671</w:t>
            </w:r>
          </w:p>
        </w:tc>
        <w:tc>
          <w:tcPr>
            <w:tcW w:w="623" w:type="pct"/>
            <w:noWrap/>
            <w:vAlign w:val="center"/>
          </w:tcPr>
          <w:p w14:paraId="773ECE37" w14:textId="20EAB308" w:rsidR="00C02397" w:rsidRPr="006F29B4" w:rsidRDefault="00850DA2">
            <w:pPr>
              <w:jc w:val="right"/>
              <w:rPr>
                <w:rFonts w:ascii="CAIXA Std Book" w:eastAsia="Times New Roman" w:hAnsi="CAIXA Std Book" w:cs="Arial"/>
                <w:color w:val="005CA9"/>
                <w:sz w:val="18"/>
                <w:szCs w:val="18"/>
              </w:rPr>
            </w:pPr>
            <w:r w:rsidRPr="00AE441E">
              <w:rPr>
                <w:rFonts w:ascii="CAIXA Std Book" w:hAnsi="CAIXA Std Book" w:cs="Calibri"/>
                <w:color w:val="005CA9"/>
                <w:sz w:val="18"/>
                <w:szCs w:val="18"/>
              </w:rPr>
              <w:t>(1.285.819)</w:t>
            </w:r>
          </w:p>
        </w:tc>
        <w:tc>
          <w:tcPr>
            <w:tcW w:w="622" w:type="pct"/>
            <w:noWrap/>
            <w:vAlign w:val="center"/>
          </w:tcPr>
          <w:p w14:paraId="3F79FB02" w14:textId="66E2FBEB" w:rsidR="00C02397" w:rsidRPr="006F29B4" w:rsidRDefault="00850DA2">
            <w:pPr>
              <w:jc w:val="right"/>
              <w:rPr>
                <w:rFonts w:ascii="CAIXA Std Book" w:eastAsia="Times New Roman" w:hAnsi="CAIXA Std Book" w:cs="Arial"/>
                <w:color w:val="005CA9"/>
                <w:sz w:val="18"/>
                <w:szCs w:val="18"/>
              </w:rPr>
            </w:pPr>
            <w:r w:rsidRPr="006E5C4E">
              <w:rPr>
                <w:rFonts w:ascii="CAIXA Std Book" w:hAnsi="CAIXA Std Book" w:cs="Calibri"/>
                <w:color w:val="005CA9"/>
                <w:sz w:val="18"/>
                <w:szCs w:val="18"/>
              </w:rPr>
              <w:t>(46.880.768)</w:t>
            </w:r>
          </w:p>
        </w:tc>
      </w:tr>
      <w:tr w:rsidR="00C02397" w:rsidRPr="006F29B4" w14:paraId="6157EE93" w14:textId="77777777" w:rsidTr="00D91FED">
        <w:trPr>
          <w:trHeight w:val="283"/>
        </w:trPr>
        <w:tc>
          <w:tcPr>
            <w:tcW w:w="1886" w:type="pct"/>
            <w:noWrap/>
            <w:vAlign w:val="center"/>
          </w:tcPr>
          <w:p w14:paraId="0B3DFD63" w14:textId="77777777" w:rsidR="00C02397" w:rsidRPr="006F29B4" w:rsidRDefault="00C02397">
            <w:pPr>
              <w:ind w:firstLineChars="100" w:firstLine="180"/>
              <w:rPr>
                <w:rFonts w:ascii="CAIXA Std Book" w:eastAsia="Times New Roman" w:hAnsi="CAIXA Std Book" w:cs="Arial"/>
                <w:color w:val="005CA9"/>
                <w:sz w:val="18"/>
                <w:szCs w:val="18"/>
              </w:rPr>
            </w:pPr>
            <w:r>
              <w:rPr>
                <w:rFonts w:ascii="CAIXA Std Book" w:eastAsia="Times New Roman" w:hAnsi="CAIXA Std Book" w:cs="Arial"/>
                <w:color w:val="005CA9"/>
                <w:sz w:val="18"/>
                <w:szCs w:val="18"/>
              </w:rPr>
              <w:t>Outros ativos financeiros</w:t>
            </w:r>
          </w:p>
        </w:tc>
        <w:tc>
          <w:tcPr>
            <w:tcW w:w="623" w:type="pct"/>
            <w:noWrap/>
            <w:vAlign w:val="center"/>
          </w:tcPr>
          <w:p w14:paraId="642E7E47" w14:textId="77777777" w:rsidR="00C02397" w:rsidRDefault="00C02397">
            <w:pPr>
              <w:jc w:val="right"/>
              <w:rPr>
                <w:rFonts w:ascii="CAIXA Std Book" w:hAnsi="CAIXA Std Book" w:cs="Calibri"/>
                <w:color w:val="005CA9"/>
                <w:sz w:val="18"/>
                <w:szCs w:val="18"/>
              </w:rPr>
            </w:pPr>
            <w:r>
              <w:rPr>
                <w:rFonts w:ascii="CAIXA Std Book" w:hAnsi="CAIXA Std Book" w:cs="Calibri"/>
                <w:color w:val="005CA9"/>
                <w:sz w:val="18"/>
                <w:szCs w:val="18"/>
              </w:rPr>
              <w:t>(3.696.614)</w:t>
            </w:r>
          </w:p>
        </w:tc>
        <w:tc>
          <w:tcPr>
            <w:tcW w:w="623" w:type="pct"/>
            <w:noWrap/>
            <w:vAlign w:val="center"/>
          </w:tcPr>
          <w:p w14:paraId="66AF5649" w14:textId="2CE74130" w:rsidR="00C02397" w:rsidRDefault="00850DA2">
            <w:pPr>
              <w:jc w:val="right"/>
              <w:rPr>
                <w:rFonts w:ascii="CAIXA Std Book" w:hAnsi="CAIXA Std Book" w:cs="Calibri"/>
                <w:color w:val="005CA9"/>
                <w:sz w:val="18"/>
                <w:szCs w:val="18"/>
              </w:rPr>
            </w:pPr>
            <w:r>
              <w:rPr>
                <w:rFonts w:ascii="CAIXA Std Book" w:hAnsi="CAIXA Std Book" w:cs="Calibri"/>
                <w:color w:val="005CA9"/>
                <w:sz w:val="18"/>
                <w:szCs w:val="18"/>
              </w:rPr>
              <w:t>291.639</w:t>
            </w:r>
          </w:p>
        </w:tc>
        <w:tc>
          <w:tcPr>
            <w:tcW w:w="623" w:type="pct"/>
            <w:noWrap/>
            <w:vAlign w:val="center"/>
          </w:tcPr>
          <w:p w14:paraId="6F8E2F52" w14:textId="3EBC879C" w:rsidR="00C02397" w:rsidRDefault="00C02397">
            <w:pPr>
              <w:jc w:val="center"/>
              <w:rPr>
                <w:rFonts w:ascii="CAIXA Std Book" w:hAnsi="CAIXA Std Book" w:cs="Calibri"/>
                <w:color w:val="005CA9"/>
                <w:sz w:val="18"/>
                <w:szCs w:val="18"/>
              </w:rPr>
            </w:pPr>
            <w:r>
              <w:rPr>
                <w:rFonts w:ascii="CAIXA Std Book" w:hAnsi="CAIXA Std Book" w:cs="Calibri"/>
                <w:color w:val="005CA9"/>
                <w:sz w:val="18"/>
                <w:szCs w:val="18"/>
              </w:rPr>
              <w:t>-</w:t>
            </w:r>
          </w:p>
        </w:tc>
        <w:tc>
          <w:tcPr>
            <w:tcW w:w="623" w:type="pct"/>
            <w:noWrap/>
            <w:vAlign w:val="center"/>
          </w:tcPr>
          <w:p w14:paraId="3CBA3FD8" w14:textId="61AB35D9" w:rsidR="00C02397" w:rsidRDefault="00C02397">
            <w:pPr>
              <w:jc w:val="center"/>
              <w:rPr>
                <w:rFonts w:ascii="CAIXA Std Book" w:hAnsi="CAIXA Std Book" w:cs="Calibri"/>
                <w:color w:val="005CA9"/>
                <w:sz w:val="18"/>
                <w:szCs w:val="18"/>
              </w:rPr>
            </w:pPr>
            <w:r>
              <w:rPr>
                <w:rFonts w:ascii="CAIXA Std Book" w:hAnsi="CAIXA Std Book" w:cs="Calibri"/>
                <w:color w:val="005CA9"/>
                <w:sz w:val="18"/>
                <w:szCs w:val="18"/>
              </w:rPr>
              <w:t>-</w:t>
            </w:r>
          </w:p>
        </w:tc>
        <w:tc>
          <w:tcPr>
            <w:tcW w:w="622" w:type="pct"/>
            <w:noWrap/>
            <w:vAlign w:val="center"/>
          </w:tcPr>
          <w:p w14:paraId="50302067" w14:textId="003DBF4C" w:rsidR="00C02397" w:rsidRDefault="00C02397">
            <w:pPr>
              <w:jc w:val="right"/>
              <w:rPr>
                <w:rFonts w:ascii="CAIXA Std Book" w:hAnsi="CAIXA Std Book" w:cs="Calibri"/>
                <w:color w:val="005CA9"/>
                <w:sz w:val="18"/>
                <w:szCs w:val="18"/>
              </w:rPr>
            </w:pPr>
            <w:r>
              <w:rPr>
                <w:rFonts w:ascii="CAIXA Std Book" w:hAnsi="CAIXA Std Book" w:cs="Calibri"/>
                <w:color w:val="005CA9"/>
                <w:sz w:val="18"/>
                <w:szCs w:val="18"/>
              </w:rPr>
              <w:t>(3.</w:t>
            </w:r>
            <w:r w:rsidR="00850DA2">
              <w:rPr>
                <w:rFonts w:ascii="CAIXA Std Book" w:hAnsi="CAIXA Std Book" w:cs="Calibri"/>
                <w:color w:val="005CA9"/>
                <w:sz w:val="18"/>
                <w:szCs w:val="18"/>
              </w:rPr>
              <w:t>404.975</w:t>
            </w:r>
            <w:r>
              <w:rPr>
                <w:rFonts w:ascii="CAIXA Std Book" w:hAnsi="CAIXA Std Book" w:cs="Calibri"/>
                <w:color w:val="005CA9"/>
                <w:sz w:val="18"/>
                <w:szCs w:val="18"/>
              </w:rPr>
              <w:t>)</w:t>
            </w:r>
          </w:p>
        </w:tc>
      </w:tr>
      <w:tr w:rsidR="00C02397" w:rsidRPr="006F29B4" w14:paraId="7B7AA35B" w14:textId="77777777" w:rsidTr="00D91FED">
        <w:trPr>
          <w:trHeight w:val="283"/>
        </w:trPr>
        <w:tc>
          <w:tcPr>
            <w:tcW w:w="1886" w:type="pct"/>
            <w:shd w:val="clear" w:color="auto" w:fill="D0E0E3"/>
            <w:noWrap/>
            <w:vAlign w:val="center"/>
            <w:hideMark/>
          </w:tcPr>
          <w:p w14:paraId="05687178" w14:textId="77777777" w:rsidR="00C02397" w:rsidRPr="006F29B4" w:rsidRDefault="00C02397">
            <w:pPr>
              <w:rPr>
                <w:rFonts w:ascii="CAIXA Std Book" w:eastAsia="Times New Roman" w:hAnsi="CAIXA Std Book" w:cs="Arial"/>
                <w:b/>
                <w:color w:val="005CA9"/>
                <w:sz w:val="18"/>
                <w:szCs w:val="18"/>
              </w:rPr>
            </w:pPr>
            <w:r w:rsidRPr="006F29B4">
              <w:rPr>
                <w:rFonts w:ascii="CAIXA Std Book" w:eastAsia="Times New Roman" w:hAnsi="CAIXA Std Book" w:cs="Arial"/>
                <w:b/>
                <w:color w:val="005CA9"/>
                <w:sz w:val="18"/>
                <w:szCs w:val="18"/>
              </w:rPr>
              <w:t xml:space="preserve">Passivos </w:t>
            </w:r>
            <w:r>
              <w:rPr>
                <w:rFonts w:ascii="CAIXA Std Book" w:eastAsia="Times New Roman" w:hAnsi="CAIXA Std Book" w:cs="Arial"/>
                <w:b/>
                <w:color w:val="005CA9"/>
                <w:sz w:val="18"/>
                <w:szCs w:val="18"/>
              </w:rPr>
              <w:t>f</w:t>
            </w:r>
            <w:r w:rsidRPr="006F29B4">
              <w:rPr>
                <w:rFonts w:ascii="CAIXA Std Book" w:eastAsia="Times New Roman" w:hAnsi="CAIXA Std Book" w:cs="Arial"/>
                <w:b/>
                <w:color w:val="005CA9"/>
                <w:sz w:val="18"/>
                <w:szCs w:val="18"/>
              </w:rPr>
              <w:t>inanceiros</w:t>
            </w:r>
          </w:p>
        </w:tc>
        <w:tc>
          <w:tcPr>
            <w:tcW w:w="623" w:type="pct"/>
            <w:shd w:val="clear" w:color="000000" w:fill="D0E0E3"/>
            <w:noWrap/>
            <w:vAlign w:val="center"/>
          </w:tcPr>
          <w:p w14:paraId="12D5C9EF" w14:textId="77777777" w:rsidR="00C02397" w:rsidRPr="006F29B4" w:rsidRDefault="00C02397">
            <w:pPr>
              <w:jc w:val="right"/>
              <w:rPr>
                <w:rFonts w:ascii="CAIXA Std Book" w:eastAsia="Times New Roman" w:hAnsi="CAIXA Std Book" w:cs="Arial"/>
                <w:b/>
                <w:color w:val="005CA9"/>
                <w:sz w:val="18"/>
                <w:szCs w:val="18"/>
              </w:rPr>
            </w:pPr>
            <w:r>
              <w:rPr>
                <w:rFonts w:ascii="CAIXA Std Book" w:hAnsi="CAIXA Std Book" w:cs="Calibri"/>
                <w:b/>
                <w:bCs/>
                <w:color w:val="005CA9"/>
                <w:sz w:val="18"/>
                <w:szCs w:val="18"/>
              </w:rPr>
              <w:t>(520.462)</w:t>
            </w:r>
          </w:p>
        </w:tc>
        <w:tc>
          <w:tcPr>
            <w:tcW w:w="623" w:type="pct"/>
            <w:shd w:val="clear" w:color="000000" w:fill="D0E0E3"/>
            <w:noWrap/>
            <w:vAlign w:val="center"/>
          </w:tcPr>
          <w:p w14:paraId="2EB09849" w14:textId="5BE06494" w:rsidR="00C02397" w:rsidRPr="006F29B4" w:rsidRDefault="00850DA2">
            <w:pPr>
              <w:jc w:val="right"/>
              <w:rPr>
                <w:rFonts w:ascii="CAIXA Std Book" w:eastAsia="Times New Roman" w:hAnsi="CAIXA Std Book" w:cs="Arial"/>
                <w:b/>
                <w:color w:val="005CA9"/>
                <w:sz w:val="18"/>
                <w:szCs w:val="18"/>
              </w:rPr>
            </w:pPr>
            <w:r>
              <w:rPr>
                <w:rFonts w:ascii="CAIXA Std Book" w:hAnsi="CAIXA Std Book" w:cs="Calibri"/>
                <w:b/>
                <w:color w:val="005CA9"/>
                <w:sz w:val="18"/>
                <w:szCs w:val="18"/>
              </w:rPr>
              <w:t>(237.407)</w:t>
            </w:r>
          </w:p>
        </w:tc>
        <w:tc>
          <w:tcPr>
            <w:tcW w:w="623" w:type="pct"/>
            <w:shd w:val="clear" w:color="000000" w:fill="D0E0E3"/>
            <w:noWrap/>
            <w:vAlign w:val="center"/>
          </w:tcPr>
          <w:p w14:paraId="47CF06C7" w14:textId="77555EF6" w:rsidR="00C02397" w:rsidRPr="006F29B4" w:rsidRDefault="00850DA2">
            <w:pPr>
              <w:jc w:val="right"/>
              <w:rPr>
                <w:rFonts w:ascii="CAIXA Std Book" w:eastAsia="Times New Roman" w:hAnsi="CAIXA Std Book" w:cs="Arial"/>
                <w:b/>
                <w:color w:val="005CA9"/>
                <w:sz w:val="18"/>
                <w:szCs w:val="18"/>
              </w:rPr>
            </w:pPr>
            <w:r>
              <w:rPr>
                <w:rFonts w:ascii="CAIXA Std Book" w:hAnsi="CAIXA Std Book" w:cs="Calibri"/>
                <w:b/>
                <w:color w:val="005CA9"/>
                <w:sz w:val="18"/>
                <w:szCs w:val="18"/>
              </w:rPr>
              <w:t>12.</w:t>
            </w:r>
            <w:r w:rsidR="00B92F78">
              <w:rPr>
                <w:rFonts w:ascii="CAIXA Std Book" w:hAnsi="CAIXA Std Book" w:cs="Calibri"/>
                <w:b/>
                <w:bCs/>
                <w:color w:val="005CA9"/>
                <w:sz w:val="18"/>
                <w:szCs w:val="18"/>
              </w:rPr>
              <w:t>501</w:t>
            </w:r>
          </w:p>
        </w:tc>
        <w:tc>
          <w:tcPr>
            <w:tcW w:w="623" w:type="pct"/>
            <w:shd w:val="clear" w:color="000000" w:fill="D0E0E3"/>
            <w:noWrap/>
            <w:vAlign w:val="center"/>
          </w:tcPr>
          <w:p w14:paraId="6C43ED76" w14:textId="16AFFDEB" w:rsidR="00C02397" w:rsidRPr="006F29B4" w:rsidRDefault="00850DA2">
            <w:pPr>
              <w:jc w:val="right"/>
              <w:rPr>
                <w:rFonts w:ascii="CAIXA Std Book" w:eastAsia="Times New Roman" w:hAnsi="CAIXA Std Book" w:cs="Arial"/>
                <w:b/>
                <w:color w:val="005CA9"/>
                <w:sz w:val="18"/>
                <w:szCs w:val="18"/>
              </w:rPr>
            </w:pPr>
            <w:r>
              <w:rPr>
                <w:rFonts w:ascii="CAIXA Std Book" w:hAnsi="CAIXA Std Book" w:cs="Calibri"/>
                <w:b/>
                <w:color w:val="005CA9"/>
                <w:sz w:val="18"/>
                <w:szCs w:val="18"/>
              </w:rPr>
              <w:t>568</w:t>
            </w:r>
          </w:p>
        </w:tc>
        <w:tc>
          <w:tcPr>
            <w:tcW w:w="622" w:type="pct"/>
            <w:shd w:val="clear" w:color="000000" w:fill="D0E0E3"/>
            <w:noWrap/>
            <w:vAlign w:val="center"/>
          </w:tcPr>
          <w:p w14:paraId="04F9BAA9" w14:textId="200D52E4" w:rsidR="00C02397" w:rsidRPr="006F29B4" w:rsidRDefault="00850DA2">
            <w:pPr>
              <w:jc w:val="right"/>
              <w:rPr>
                <w:rFonts w:ascii="CAIXA Std Book" w:eastAsia="Times New Roman" w:hAnsi="CAIXA Std Book" w:cs="Arial"/>
                <w:b/>
                <w:color w:val="005CA9"/>
                <w:sz w:val="18"/>
                <w:szCs w:val="18"/>
              </w:rPr>
            </w:pPr>
            <w:r>
              <w:rPr>
                <w:rFonts w:ascii="CAIXA Std Book" w:hAnsi="CAIXA Std Book" w:cs="Calibri"/>
                <w:b/>
                <w:color w:val="005CA9"/>
                <w:sz w:val="18"/>
                <w:szCs w:val="18"/>
              </w:rPr>
              <w:t>(744.</w:t>
            </w:r>
            <w:r w:rsidR="00B92F78">
              <w:rPr>
                <w:rFonts w:ascii="CAIXA Std Book" w:hAnsi="CAIXA Std Book" w:cs="Calibri"/>
                <w:b/>
                <w:bCs/>
                <w:color w:val="005CA9"/>
                <w:sz w:val="18"/>
                <w:szCs w:val="18"/>
              </w:rPr>
              <w:t>800</w:t>
            </w:r>
            <w:r>
              <w:rPr>
                <w:rFonts w:ascii="CAIXA Std Book" w:hAnsi="CAIXA Std Book" w:cs="Calibri"/>
                <w:b/>
                <w:color w:val="005CA9"/>
                <w:sz w:val="18"/>
                <w:szCs w:val="18"/>
              </w:rPr>
              <w:t>)</w:t>
            </w:r>
          </w:p>
        </w:tc>
      </w:tr>
      <w:tr w:rsidR="00C02397" w:rsidRPr="006F29B4" w14:paraId="140A9FC0" w14:textId="77777777" w:rsidTr="00D91FED">
        <w:trPr>
          <w:trHeight w:val="283"/>
        </w:trPr>
        <w:tc>
          <w:tcPr>
            <w:tcW w:w="1886" w:type="pct"/>
            <w:noWrap/>
            <w:vAlign w:val="center"/>
            <w:hideMark/>
          </w:tcPr>
          <w:p w14:paraId="2AD9E294" w14:textId="77777777" w:rsidR="00C02397" w:rsidRPr="006F29B4" w:rsidRDefault="00C0239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Compromisso de </w:t>
            </w:r>
            <w:r>
              <w:rPr>
                <w:rFonts w:ascii="CAIXA Std Book" w:eastAsia="Times New Roman" w:hAnsi="CAIXA Std Book" w:cs="Arial"/>
                <w:color w:val="005CA9"/>
                <w:sz w:val="18"/>
                <w:szCs w:val="18"/>
              </w:rPr>
              <w:t>empréstimos e c</w:t>
            </w:r>
            <w:r w:rsidRPr="006F29B4">
              <w:rPr>
                <w:rFonts w:ascii="CAIXA Std Book" w:eastAsia="Times New Roman" w:hAnsi="CAIXA Std Book" w:cs="Arial"/>
                <w:color w:val="005CA9"/>
                <w:sz w:val="18"/>
                <w:szCs w:val="18"/>
              </w:rPr>
              <w:t>rédito</w:t>
            </w:r>
            <w:r>
              <w:rPr>
                <w:rFonts w:ascii="CAIXA Std Book" w:eastAsia="Times New Roman" w:hAnsi="CAIXA Std Book" w:cs="Arial"/>
                <w:color w:val="005CA9"/>
                <w:sz w:val="18"/>
                <w:szCs w:val="18"/>
              </w:rPr>
              <w:t>s</w:t>
            </w:r>
            <w:r w:rsidRPr="006F29B4">
              <w:rPr>
                <w:rFonts w:ascii="CAIXA Std Book" w:eastAsia="Times New Roman" w:hAnsi="CAIXA Std Book" w:cs="Arial"/>
                <w:color w:val="005CA9"/>
                <w:sz w:val="18"/>
                <w:szCs w:val="18"/>
              </w:rPr>
              <w:t xml:space="preserve"> a </w:t>
            </w:r>
            <w:r>
              <w:rPr>
                <w:rFonts w:ascii="CAIXA Std Book" w:eastAsia="Times New Roman" w:hAnsi="CAIXA Std Book" w:cs="Arial"/>
                <w:color w:val="005CA9"/>
                <w:sz w:val="18"/>
                <w:szCs w:val="18"/>
              </w:rPr>
              <w:t>l</w:t>
            </w:r>
            <w:r w:rsidRPr="006F29B4">
              <w:rPr>
                <w:rFonts w:ascii="CAIXA Std Book" w:eastAsia="Times New Roman" w:hAnsi="CAIXA Std Book" w:cs="Arial"/>
                <w:color w:val="005CA9"/>
                <w:sz w:val="18"/>
                <w:szCs w:val="18"/>
              </w:rPr>
              <w:t>iberar</w:t>
            </w:r>
          </w:p>
        </w:tc>
        <w:tc>
          <w:tcPr>
            <w:tcW w:w="623" w:type="pct"/>
            <w:noWrap/>
            <w:vAlign w:val="center"/>
            <w:hideMark/>
          </w:tcPr>
          <w:p w14:paraId="03D61FCF" w14:textId="77777777" w:rsidR="00C02397" w:rsidRPr="006F29B4" w:rsidRDefault="00C02397">
            <w:pPr>
              <w:jc w:val="right"/>
              <w:rPr>
                <w:rFonts w:ascii="CAIXA Std Book" w:eastAsia="Times New Roman" w:hAnsi="CAIXA Std Book" w:cs="Arial"/>
                <w:color w:val="005CA9"/>
                <w:sz w:val="18"/>
                <w:szCs w:val="18"/>
              </w:rPr>
            </w:pPr>
            <w:r>
              <w:rPr>
                <w:rFonts w:ascii="CAIXA Std Book" w:hAnsi="CAIXA Std Book" w:cs="Calibri"/>
                <w:color w:val="005CA9"/>
                <w:sz w:val="18"/>
                <w:szCs w:val="18"/>
              </w:rPr>
              <w:t>(460.240)</w:t>
            </w:r>
          </w:p>
        </w:tc>
        <w:tc>
          <w:tcPr>
            <w:tcW w:w="623" w:type="pct"/>
            <w:noWrap/>
            <w:vAlign w:val="center"/>
            <w:hideMark/>
          </w:tcPr>
          <w:p w14:paraId="488F0C16" w14:textId="17F4CCC4" w:rsidR="00C02397" w:rsidRPr="006F29B4" w:rsidRDefault="00850DA2">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(248.213)</w:t>
            </w:r>
          </w:p>
        </w:tc>
        <w:tc>
          <w:tcPr>
            <w:tcW w:w="623" w:type="pct"/>
            <w:noWrap/>
            <w:vAlign w:val="center"/>
            <w:hideMark/>
          </w:tcPr>
          <w:p w14:paraId="32CF7133" w14:textId="25604828" w:rsidR="00C02397" w:rsidRPr="006F29B4" w:rsidRDefault="00850DA2">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11.639</w:t>
            </w:r>
          </w:p>
        </w:tc>
        <w:tc>
          <w:tcPr>
            <w:tcW w:w="623" w:type="pct"/>
            <w:noWrap/>
            <w:vAlign w:val="center"/>
            <w:hideMark/>
          </w:tcPr>
          <w:p w14:paraId="5B3676C2" w14:textId="79BCEEE9" w:rsidR="00C02397" w:rsidRPr="006F29B4" w:rsidRDefault="00850DA2">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232</w:t>
            </w:r>
          </w:p>
        </w:tc>
        <w:tc>
          <w:tcPr>
            <w:tcW w:w="622" w:type="pct"/>
            <w:noWrap/>
            <w:vAlign w:val="center"/>
            <w:hideMark/>
          </w:tcPr>
          <w:p w14:paraId="5376EA62" w14:textId="60264C51" w:rsidR="00C02397" w:rsidRPr="006F29B4" w:rsidRDefault="00850DA2">
            <w:pPr>
              <w:jc w:val="right"/>
              <w:rPr>
                <w:rFonts w:ascii="CAIXA Std Book" w:eastAsia="Times New Roman" w:hAnsi="CAIXA Std Book" w:cs="Arial"/>
                <w:color w:val="005CA9"/>
                <w:sz w:val="18"/>
                <w:szCs w:val="18"/>
              </w:rPr>
            </w:pPr>
            <w:r>
              <w:rPr>
                <w:rFonts w:ascii="CAIXA Std Book" w:hAnsi="CAIXA Std Book" w:cs="Calibri"/>
                <w:color w:val="005CA9"/>
                <w:sz w:val="18"/>
                <w:szCs w:val="18"/>
              </w:rPr>
              <w:t>(696.582)</w:t>
            </w:r>
          </w:p>
        </w:tc>
      </w:tr>
      <w:tr w:rsidR="00C02397" w:rsidRPr="006F29B4" w14:paraId="06F06AB6" w14:textId="77777777" w:rsidTr="00D91FED">
        <w:trPr>
          <w:trHeight w:val="283"/>
        </w:trPr>
        <w:tc>
          <w:tcPr>
            <w:tcW w:w="1886" w:type="pct"/>
            <w:noWrap/>
            <w:vAlign w:val="center"/>
            <w:hideMark/>
          </w:tcPr>
          <w:p w14:paraId="769F3CAC" w14:textId="77777777" w:rsidR="00C02397" w:rsidRPr="006F29B4" w:rsidRDefault="00C02397">
            <w:pPr>
              <w:ind w:firstLineChars="100" w:firstLine="180"/>
              <w:rPr>
                <w:rFonts w:ascii="CAIXA Std Book" w:eastAsia="Times New Roman" w:hAnsi="CAIXA Std Book" w:cs="Arial"/>
                <w:color w:val="005CA9"/>
                <w:sz w:val="18"/>
                <w:szCs w:val="18"/>
              </w:rPr>
            </w:pPr>
            <w:r w:rsidRPr="006F29B4">
              <w:rPr>
                <w:rFonts w:ascii="CAIXA Std Book" w:eastAsia="Times New Roman" w:hAnsi="CAIXA Std Book" w:cs="Arial"/>
                <w:color w:val="005CA9"/>
                <w:sz w:val="18"/>
                <w:szCs w:val="18"/>
              </w:rPr>
              <w:t xml:space="preserve">Garantias </w:t>
            </w:r>
            <w:r>
              <w:rPr>
                <w:rFonts w:ascii="CAIXA Std Book" w:eastAsia="Times New Roman" w:hAnsi="CAIXA Std Book" w:cs="Arial"/>
                <w:color w:val="005CA9"/>
                <w:sz w:val="18"/>
                <w:szCs w:val="18"/>
              </w:rPr>
              <w:t>f</w:t>
            </w:r>
            <w:r w:rsidRPr="006F29B4">
              <w:rPr>
                <w:rFonts w:ascii="CAIXA Std Book" w:eastAsia="Times New Roman" w:hAnsi="CAIXA Std Book" w:cs="Arial"/>
                <w:color w:val="005CA9"/>
                <w:sz w:val="18"/>
                <w:szCs w:val="18"/>
              </w:rPr>
              <w:t xml:space="preserve">inanceiras </w:t>
            </w:r>
            <w:r>
              <w:rPr>
                <w:rFonts w:ascii="CAIXA Std Book" w:eastAsia="Times New Roman" w:hAnsi="CAIXA Std Book" w:cs="Arial"/>
                <w:color w:val="005CA9"/>
                <w:sz w:val="18"/>
                <w:szCs w:val="18"/>
              </w:rPr>
              <w:t>p</w:t>
            </w:r>
            <w:r w:rsidRPr="006F29B4">
              <w:rPr>
                <w:rFonts w:ascii="CAIXA Std Book" w:eastAsia="Times New Roman" w:hAnsi="CAIXA Std Book" w:cs="Arial"/>
                <w:color w:val="005CA9"/>
                <w:sz w:val="18"/>
                <w:szCs w:val="18"/>
              </w:rPr>
              <w:t>restadas</w:t>
            </w:r>
          </w:p>
        </w:tc>
        <w:tc>
          <w:tcPr>
            <w:tcW w:w="623" w:type="pct"/>
            <w:noWrap/>
            <w:vAlign w:val="center"/>
            <w:hideMark/>
          </w:tcPr>
          <w:p w14:paraId="55E78DF7" w14:textId="77777777" w:rsidR="00C02397" w:rsidRPr="00170D64" w:rsidRDefault="00C02397">
            <w:pPr>
              <w:ind w:firstLineChars="100" w:firstLine="180"/>
              <w:jc w:val="right"/>
              <w:rPr>
                <w:rFonts w:ascii="CAIXA Std Book" w:eastAsia="Times New Roman" w:hAnsi="CAIXA Std Book" w:cs="Arial"/>
                <w:color w:val="005CA9"/>
                <w:sz w:val="18"/>
                <w:szCs w:val="18"/>
                <w:highlight w:val="yellow"/>
              </w:rPr>
            </w:pPr>
            <w:r>
              <w:rPr>
                <w:rFonts w:ascii="CAIXA Std Book" w:hAnsi="CAIXA Std Book" w:cs="Calibri"/>
                <w:color w:val="005CA9"/>
                <w:sz w:val="18"/>
                <w:szCs w:val="18"/>
              </w:rPr>
              <w:t>(</w:t>
            </w:r>
            <w:r w:rsidRPr="004F798D">
              <w:rPr>
                <w:rFonts w:ascii="CAIXA Std Book" w:hAnsi="CAIXA Std Book" w:cs="Calibri"/>
                <w:color w:val="005CA9"/>
                <w:sz w:val="18"/>
                <w:szCs w:val="18"/>
              </w:rPr>
              <w:t>60.222</w:t>
            </w:r>
            <w:r>
              <w:rPr>
                <w:rFonts w:ascii="CAIXA Std Book" w:hAnsi="CAIXA Std Book" w:cs="Calibri"/>
                <w:color w:val="005CA9"/>
                <w:sz w:val="18"/>
                <w:szCs w:val="18"/>
              </w:rPr>
              <w:t>)</w:t>
            </w:r>
          </w:p>
        </w:tc>
        <w:tc>
          <w:tcPr>
            <w:tcW w:w="623" w:type="pct"/>
            <w:noWrap/>
            <w:vAlign w:val="center"/>
            <w:hideMark/>
          </w:tcPr>
          <w:p w14:paraId="2F3E23C2" w14:textId="384A9A04" w:rsidR="00C02397" w:rsidRPr="00170D64" w:rsidRDefault="00850DA2">
            <w:pPr>
              <w:ind w:firstLineChars="100" w:firstLine="180"/>
              <w:jc w:val="right"/>
              <w:rPr>
                <w:rFonts w:ascii="CAIXA Std Book" w:eastAsia="Times New Roman" w:hAnsi="CAIXA Std Book" w:cs="Arial"/>
                <w:color w:val="005CA9"/>
                <w:sz w:val="18"/>
                <w:szCs w:val="18"/>
                <w:highlight w:val="yellow"/>
              </w:rPr>
            </w:pPr>
            <w:r>
              <w:rPr>
                <w:rFonts w:ascii="CAIXA Std Book" w:hAnsi="CAIXA Std Book" w:cs="Calibri"/>
                <w:color w:val="005CA9"/>
                <w:sz w:val="18"/>
                <w:szCs w:val="18"/>
              </w:rPr>
              <w:t>10.806</w:t>
            </w:r>
          </w:p>
        </w:tc>
        <w:tc>
          <w:tcPr>
            <w:tcW w:w="623" w:type="pct"/>
            <w:noWrap/>
            <w:vAlign w:val="center"/>
            <w:hideMark/>
          </w:tcPr>
          <w:p w14:paraId="7DEE99F2" w14:textId="766B63C4" w:rsidR="00C02397" w:rsidRPr="00170D64" w:rsidRDefault="00B92F78">
            <w:pPr>
              <w:ind w:firstLineChars="100" w:firstLine="180"/>
              <w:jc w:val="right"/>
              <w:rPr>
                <w:rFonts w:ascii="CAIXA Std Book" w:eastAsia="Times New Roman" w:hAnsi="CAIXA Std Book" w:cs="Arial"/>
                <w:color w:val="005CA9"/>
                <w:sz w:val="18"/>
                <w:szCs w:val="18"/>
                <w:highlight w:val="yellow"/>
              </w:rPr>
            </w:pPr>
            <w:r>
              <w:rPr>
                <w:rFonts w:ascii="CAIXA Std Book" w:hAnsi="CAIXA Std Book" w:cs="Calibri"/>
                <w:color w:val="005CA9"/>
                <w:sz w:val="18"/>
                <w:szCs w:val="18"/>
              </w:rPr>
              <w:t>862</w:t>
            </w:r>
          </w:p>
        </w:tc>
        <w:tc>
          <w:tcPr>
            <w:tcW w:w="623" w:type="pct"/>
            <w:noWrap/>
            <w:vAlign w:val="center"/>
            <w:hideMark/>
          </w:tcPr>
          <w:p w14:paraId="4594DC43" w14:textId="180A3A2D" w:rsidR="00C02397" w:rsidRPr="006F29B4" w:rsidRDefault="00850DA2">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336</w:t>
            </w:r>
          </w:p>
        </w:tc>
        <w:tc>
          <w:tcPr>
            <w:tcW w:w="622" w:type="pct"/>
            <w:noWrap/>
            <w:vAlign w:val="center"/>
            <w:hideMark/>
          </w:tcPr>
          <w:p w14:paraId="7AD2E036" w14:textId="550D6B27" w:rsidR="00C02397" w:rsidRPr="006F29B4" w:rsidRDefault="00850DA2">
            <w:pPr>
              <w:ind w:firstLineChars="100" w:firstLine="180"/>
              <w:jc w:val="right"/>
              <w:rPr>
                <w:rFonts w:ascii="CAIXA Std Book" w:eastAsia="Times New Roman" w:hAnsi="CAIXA Std Book" w:cs="Arial"/>
                <w:color w:val="005CA9"/>
                <w:sz w:val="18"/>
                <w:szCs w:val="18"/>
              </w:rPr>
            </w:pPr>
            <w:r>
              <w:rPr>
                <w:rFonts w:ascii="CAIXA Std Book" w:hAnsi="CAIXA Std Book" w:cs="Calibri"/>
                <w:color w:val="005CA9"/>
                <w:sz w:val="18"/>
                <w:szCs w:val="18"/>
              </w:rPr>
              <w:t>(48.</w:t>
            </w:r>
            <w:r w:rsidR="00B92F78">
              <w:rPr>
                <w:rFonts w:ascii="CAIXA Std Book" w:hAnsi="CAIXA Std Book" w:cs="Calibri"/>
                <w:color w:val="005CA9"/>
                <w:sz w:val="18"/>
                <w:szCs w:val="18"/>
              </w:rPr>
              <w:t>218</w:t>
            </w:r>
            <w:r>
              <w:rPr>
                <w:rFonts w:ascii="CAIXA Std Book" w:hAnsi="CAIXA Std Book" w:cs="Calibri"/>
                <w:color w:val="005CA9"/>
                <w:sz w:val="18"/>
                <w:szCs w:val="18"/>
              </w:rPr>
              <w:t>)</w:t>
            </w:r>
          </w:p>
        </w:tc>
      </w:tr>
      <w:tr w:rsidR="00C02397" w:rsidRPr="006F29B4" w14:paraId="5F38EA4A" w14:textId="77777777" w:rsidTr="00D91FED">
        <w:trPr>
          <w:trHeight w:val="283"/>
        </w:trPr>
        <w:tc>
          <w:tcPr>
            <w:tcW w:w="1886" w:type="pct"/>
            <w:shd w:val="clear" w:color="auto" w:fill="005CA9"/>
            <w:noWrap/>
            <w:vAlign w:val="center"/>
            <w:hideMark/>
          </w:tcPr>
          <w:p w14:paraId="503A7B98" w14:textId="77777777" w:rsidR="00C02397" w:rsidRPr="006F29B4" w:rsidRDefault="00C02397">
            <w:pPr>
              <w:rPr>
                <w:rFonts w:ascii="CAIXA Std Book" w:eastAsia="Times New Roman" w:hAnsi="CAIXA Std Book" w:cs="Arial"/>
                <w:b/>
                <w:color w:val="FFFFFF"/>
                <w:sz w:val="18"/>
                <w:szCs w:val="18"/>
              </w:rPr>
            </w:pPr>
            <w:r w:rsidRPr="006F29B4">
              <w:rPr>
                <w:rFonts w:ascii="CAIXA Std Book" w:eastAsia="Times New Roman" w:hAnsi="CAIXA Std Book" w:cs="Arial"/>
                <w:b/>
                <w:color w:val="FFFFFF"/>
                <w:sz w:val="18"/>
                <w:szCs w:val="18"/>
              </w:rPr>
              <w:t>Total</w:t>
            </w:r>
          </w:p>
        </w:tc>
        <w:tc>
          <w:tcPr>
            <w:tcW w:w="623" w:type="pct"/>
            <w:shd w:val="clear" w:color="000000" w:fill="005CA9"/>
            <w:noWrap/>
            <w:vAlign w:val="center"/>
            <w:hideMark/>
          </w:tcPr>
          <w:p w14:paraId="6EA447E3" w14:textId="77777777" w:rsidR="00C02397" w:rsidRPr="006F29B4" w:rsidRDefault="00C02397">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(36.566.353)</w:t>
            </w:r>
          </w:p>
        </w:tc>
        <w:tc>
          <w:tcPr>
            <w:tcW w:w="623" w:type="pct"/>
            <w:shd w:val="clear" w:color="000000" w:fill="005CA9"/>
            <w:vAlign w:val="center"/>
            <w:hideMark/>
          </w:tcPr>
          <w:p w14:paraId="2F66CF38" w14:textId="05AE34E8" w:rsidR="00C02397" w:rsidRPr="006F29B4" w:rsidRDefault="00850DA2">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(17.074.074)</w:t>
            </w:r>
          </w:p>
        </w:tc>
        <w:tc>
          <w:tcPr>
            <w:tcW w:w="623" w:type="pct"/>
            <w:shd w:val="clear" w:color="000000" w:fill="005CA9"/>
            <w:vAlign w:val="center"/>
            <w:hideMark/>
          </w:tcPr>
          <w:p w14:paraId="162865A6" w14:textId="3B0F4DB8" w:rsidR="00C02397" w:rsidRPr="006F29B4" w:rsidRDefault="00850DA2">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3.522.</w:t>
            </w:r>
            <w:r w:rsidR="00B92F78">
              <w:rPr>
                <w:rFonts w:ascii="CAIXA Std Book" w:hAnsi="CAIXA Std Book" w:cs="Calibri"/>
                <w:b/>
                <w:bCs/>
                <w:color w:val="FFFFFF"/>
                <w:sz w:val="18"/>
                <w:szCs w:val="18"/>
              </w:rPr>
              <w:t>569</w:t>
            </w:r>
          </w:p>
        </w:tc>
        <w:tc>
          <w:tcPr>
            <w:tcW w:w="623" w:type="pct"/>
            <w:shd w:val="clear" w:color="000000" w:fill="005CA9"/>
            <w:vAlign w:val="center"/>
            <w:hideMark/>
          </w:tcPr>
          <w:p w14:paraId="26D03DAA" w14:textId="66C6C16E" w:rsidR="00C02397" w:rsidRPr="006F29B4" w:rsidRDefault="00850DA2">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(1.285.251)</w:t>
            </w:r>
          </w:p>
        </w:tc>
        <w:tc>
          <w:tcPr>
            <w:tcW w:w="622" w:type="pct"/>
            <w:shd w:val="clear" w:color="000000" w:fill="005CA9"/>
            <w:vAlign w:val="center"/>
            <w:hideMark/>
          </w:tcPr>
          <w:p w14:paraId="1DDA6A9E" w14:textId="0F40DE24" w:rsidR="00C02397" w:rsidRPr="006F29B4" w:rsidRDefault="00850DA2">
            <w:pPr>
              <w:jc w:val="right"/>
              <w:rPr>
                <w:rFonts w:ascii="CAIXA Std Book" w:eastAsia="Times New Roman" w:hAnsi="CAIXA Std Book" w:cs="Arial"/>
                <w:b/>
                <w:color w:val="FFFFFF"/>
                <w:sz w:val="18"/>
                <w:szCs w:val="18"/>
              </w:rPr>
            </w:pPr>
            <w:r>
              <w:rPr>
                <w:rFonts w:ascii="CAIXA Std Book" w:hAnsi="CAIXA Std Book" w:cs="Calibri"/>
                <w:b/>
                <w:bCs/>
                <w:color w:val="FFFFFF"/>
                <w:sz w:val="18"/>
                <w:szCs w:val="18"/>
              </w:rPr>
              <w:t>(51.403.</w:t>
            </w:r>
            <w:r w:rsidR="00B92F78">
              <w:rPr>
                <w:rFonts w:ascii="CAIXA Std Book" w:hAnsi="CAIXA Std Book" w:cs="Calibri"/>
                <w:b/>
                <w:bCs/>
                <w:color w:val="FFFFFF"/>
                <w:sz w:val="18"/>
                <w:szCs w:val="18"/>
              </w:rPr>
              <w:t>109</w:t>
            </w:r>
            <w:r>
              <w:rPr>
                <w:rFonts w:ascii="CAIXA Std Book" w:hAnsi="CAIXA Std Book" w:cs="Calibri"/>
                <w:b/>
                <w:bCs/>
                <w:color w:val="FFFFFF"/>
                <w:sz w:val="18"/>
                <w:szCs w:val="18"/>
              </w:rPr>
              <w:t>)</w:t>
            </w:r>
          </w:p>
        </w:tc>
      </w:tr>
    </w:tbl>
    <w:p w14:paraId="17AFC047" w14:textId="77777777" w:rsidR="005C44A7" w:rsidRDefault="005C44A7">
      <w:pPr>
        <w:rPr>
          <w:rFonts w:ascii="CAIXA Std Book" w:hAnsi="CAIXA Std Book"/>
          <w:b/>
          <w:color w:val="005CA9"/>
          <w:sz w:val="20"/>
          <w:szCs w:val="20"/>
        </w:rPr>
      </w:pPr>
      <w:r>
        <w:rPr>
          <w:rFonts w:ascii="CAIXA Std Book" w:hAnsi="CAIXA Std Book"/>
          <w:b/>
          <w:color w:val="005CA9"/>
          <w:sz w:val="20"/>
          <w:szCs w:val="20"/>
        </w:rPr>
        <w:br w:type="page"/>
      </w:r>
    </w:p>
    <w:p w14:paraId="1814279F" w14:textId="6A9FD40C" w:rsidR="003F5230" w:rsidRDefault="003F5230" w:rsidP="00295657">
      <w:pPr>
        <w:pStyle w:val="PargrafodaLista"/>
        <w:numPr>
          <w:ilvl w:val="0"/>
          <w:numId w:val="29"/>
        </w:numPr>
        <w:spacing w:before="240" w:after="120"/>
        <w:ind w:left="567" w:hanging="567"/>
        <w:contextualSpacing w:val="0"/>
        <w:rPr>
          <w:rFonts w:ascii="CAIXA Std Book" w:hAnsi="CAIXA Std Book"/>
          <w:b/>
          <w:color w:val="005CA9"/>
          <w:sz w:val="20"/>
          <w:szCs w:val="20"/>
        </w:rPr>
      </w:pPr>
      <w:r>
        <w:rPr>
          <w:rFonts w:ascii="CAIXA Std Book" w:hAnsi="CAIXA Std Book"/>
          <w:b/>
          <w:color w:val="005CA9"/>
          <w:sz w:val="20"/>
          <w:szCs w:val="20"/>
        </w:rPr>
        <w:t>Movimentação da provisão para perdas esperadas por classe</w:t>
      </w:r>
    </w:p>
    <w:tbl>
      <w:tblPr>
        <w:tblW w:w="5000" w:type="pct"/>
        <w:tblCellMar>
          <w:left w:w="70" w:type="dxa"/>
          <w:right w:w="70" w:type="dxa"/>
        </w:tblCellMar>
        <w:tblLook w:val="04A0" w:firstRow="1" w:lastRow="0" w:firstColumn="1" w:lastColumn="0" w:noHBand="0" w:noVBand="1"/>
      </w:tblPr>
      <w:tblGrid>
        <w:gridCol w:w="3518"/>
        <w:gridCol w:w="1580"/>
        <w:gridCol w:w="1579"/>
        <w:gridCol w:w="1579"/>
        <w:gridCol w:w="1579"/>
        <w:gridCol w:w="1579"/>
        <w:gridCol w:w="1579"/>
        <w:gridCol w:w="1576"/>
      </w:tblGrid>
      <w:tr w:rsidR="00805005" w:rsidRPr="001373FB" w14:paraId="3D485199" w14:textId="77777777" w:rsidTr="00D91FED">
        <w:trPr>
          <w:trHeight w:val="283"/>
        </w:trPr>
        <w:tc>
          <w:tcPr>
            <w:tcW w:w="5000" w:type="pct"/>
            <w:gridSpan w:val="8"/>
            <w:tcBorders>
              <w:bottom w:val="single" w:sz="4" w:space="0" w:color="FFFFFF" w:themeColor="background1"/>
            </w:tcBorders>
            <w:shd w:val="clear" w:color="auto" w:fill="005CA9"/>
            <w:vAlign w:val="center"/>
            <w:hideMark/>
          </w:tcPr>
          <w:p w14:paraId="51E4456D" w14:textId="61937E5D" w:rsidR="00CB7655" w:rsidRPr="005C44A7" w:rsidRDefault="001373FB" w:rsidP="000C06A9">
            <w:pPr>
              <w:jc w:val="center"/>
              <w:rPr>
                <w:rFonts w:ascii="CAIXA Std Book" w:hAnsi="CAIXA Std Book"/>
                <w:b/>
                <w:color w:val="005CA9"/>
                <w:sz w:val="20"/>
                <w:szCs w:val="20"/>
              </w:rPr>
            </w:pPr>
            <w:r w:rsidRPr="005C44A7">
              <w:rPr>
                <w:rFonts w:ascii="CAIXA Std Book" w:hAnsi="CAIXA Std Book"/>
                <w:b/>
                <w:color w:val="005CA9"/>
                <w:sz w:val="20"/>
                <w:szCs w:val="20"/>
              </w:rPr>
              <w:t xml:space="preserve">Individual </w:t>
            </w:r>
            <w:r w:rsidR="000C06A9">
              <w:rPr>
                <w:rFonts w:ascii="CAIXA Std Book" w:hAnsi="CAIXA Std Book"/>
                <w:b/>
                <w:color w:val="005CA9"/>
                <w:sz w:val="20"/>
                <w:szCs w:val="20"/>
              </w:rPr>
              <w:t>Individua</w:t>
            </w:r>
            <w:r w:rsidR="000C06A9" w:rsidRPr="00E8652A">
              <w:rPr>
                <w:rFonts w:ascii="CAIXA Std Book" w:eastAsia="Times New Roman" w:hAnsi="CAIXA Std Book" w:cs="Calibri"/>
                <w:b/>
                <w:bCs/>
                <w:color w:val="FFFFFF"/>
                <w:sz w:val="18"/>
                <w:szCs w:val="18"/>
              </w:rPr>
              <w:t xml:space="preserve"> Individual</w:t>
            </w:r>
          </w:p>
        </w:tc>
      </w:tr>
      <w:tr w:rsidR="000C1815" w:rsidRPr="001373FB" w14:paraId="4A81BC39" w14:textId="77777777" w:rsidTr="00D91FED">
        <w:trPr>
          <w:trHeight w:val="283"/>
        </w:trPr>
        <w:tc>
          <w:tcPr>
            <w:tcW w:w="1207" w:type="pct"/>
            <w:vMerge w:val="restart"/>
            <w:tcBorders>
              <w:top w:val="single" w:sz="4" w:space="0" w:color="FFFFFF" w:themeColor="background1"/>
            </w:tcBorders>
            <w:shd w:val="clear" w:color="auto" w:fill="005CA9"/>
            <w:vAlign w:val="center"/>
            <w:hideMark/>
          </w:tcPr>
          <w:p w14:paraId="1A6F1CBF" w14:textId="77777777" w:rsidR="001373FB" w:rsidRPr="001373FB" w:rsidRDefault="001373FB">
            <w:pPr>
              <w:jc w:val="center"/>
              <w:rPr>
                <w:rFonts w:ascii="CAIXA Std Book" w:eastAsia="Times New Roman" w:hAnsi="CAIXA Std Book" w:cs="Calibri"/>
                <w:b/>
                <w:bCs/>
                <w:color w:val="FFFFFF"/>
                <w:sz w:val="18"/>
                <w:szCs w:val="18"/>
              </w:rPr>
            </w:pPr>
            <w:r w:rsidRPr="001373FB">
              <w:rPr>
                <w:rFonts w:ascii="CAIXA Std Book" w:eastAsia="Times New Roman" w:hAnsi="CAIXA Std Book" w:cs="Calibri"/>
                <w:b/>
                <w:bCs/>
                <w:color w:val="FFFFFF"/>
                <w:sz w:val="18"/>
                <w:szCs w:val="18"/>
              </w:rPr>
              <w:t>Descrição</w:t>
            </w:r>
          </w:p>
        </w:tc>
        <w:tc>
          <w:tcPr>
            <w:tcW w:w="3793" w:type="pct"/>
            <w:gridSpan w:val="7"/>
            <w:tcBorders>
              <w:top w:val="single" w:sz="4" w:space="0" w:color="FFFFFF" w:themeColor="background1"/>
              <w:bottom w:val="single" w:sz="4" w:space="0" w:color="FFFFFF" w:themeColor="background1"/>
            </w:tcBorders>
            <w:shd w:val="clear" w:color="auto" w:fill="005CA9"/>
            <w:noWrap/>
            <w:vAlign w:val="center"/>
            <w:hideMark/>
          </w:tcPr>
          <w:p w14:paraId="33AE8DC6" w14:textId="0650A509" w:rsidR="001373FB" w:rsidRPr="001373FB" w:rsidRDefault="00967D4F">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1º trimestre de 202</w:t>
            </w:r>
            <w:r>
              <w:rPr>
                <w:rFonts w:ascii="CAIXA Std Book" w:eastAsia="Times New Roman" w:hAnsi="CAIXA Std Book" w:cs="Calibri"/>
                <w:b/>
                <w:bCs/>
                <w:color w:val="FFFFFF"/>
                <w:sz w:val="18"/>
                <w:szCs w:val="18"/>
              </w:rPr>
              <w:t>6</w:t>
            </w:r>
          </w:p>
        </w:tc>
      </w:tr>
      <w:tr w:rsidR="007D6CEB" w:rsidRPr="001373FB" w14:paraId="48C91A97" w14:textId="77777777" w:rsidTr="00D91FED">
        <w:trPr>
          <w:trHeight w:val="401"/>
        </w:trPr>
        <w:tc>
          <w:tcPr>
            <w:tcW w:w="1207" w:type="pct"/>
            <w:vMerge/>
            <w:tcBorders>
              <w:top w:val="single" w:sz="4" w:space="0" w:color="FFFFFF" w:themeColor="background1"/>
            </w:tcBorders>
            <w:shd w:val="clear" w:color="auto" w:fill="005CA9"/>
            <w:vAlign w:val="center"/>
            <w:hideMark/>
          </w:tcPr>
          <w:p w14:paraId="6E1EA1A2" w14:textId="77777777" w:rsidR="001373FB" w:rsidRPr="001373FB" w:rsidRDefault="001373FB">
            <w:pPr>
              <w:rPr>
                <w:rFonts w:ascii="CAIXA Std Book" w:eastAsia="Times New Roman" w:hAnsi="CAIXA Std Book" w:cs="Calibri"/>
                <w:b/>
                <w:color w:val="FFFFFF"/>
                <w:sz w:val="18"/>
                <w:szCs w:val="18"/>
              </w:rPr>
            </w:pPr>
          </w:p>
        </w:tc>
        <w:tc>
          <w:tcPr>
            <w:tcW w:w="542" w:type="pct"/>
            <w:vMerge w:val="restart"/>
            <w:tcBorders>
              <w:top w:val="single" w:sz="4" w:space="0" w:color="FFFFFF" w:themeColor="background1"/>
            </w:tcBorders>
            <w:shd w:val="clear" w:color="auto" w:fill="005CA9"/>
            <w:vAlign w:val="center"/>
            <w:hideMark/>
          </w:tcPr>
          <w:p w14:paraId="282BB645" w14:textId="77777777" w:rsidR="001373FB" w:rsidRPr="001373FB" w:rsidRDefault="001373FB">
            <w:pPr>
              <w:jc w:val="center"/>
              <w:rPr>
                <w:rFonts w:ascii="CAIXA Std Book" w:eastAsia="Times New Roman" w:hAnsi="CAIXA Std Book" w:cs="Calibri"/>
                <w:b/>
                <w:bCs/>
                <w:color w:val="FFFFFF"/>
                <w:sz w:val="18"/>
                <w:szCs w:val="18"/>
              </w:rPr>
            </w:pPr>
            <w:r w:rsidRPr="001373FB">
              <w:rPr>
                <w:rFonts w:ascii="CAIXA Std Book" w:eastAsia="Times New Roman" w:hAnsi="CAIXA Std Book" w:cs="Calibri"/>
                <w:b/>
                <w:bCs/>
                <w:color w:val="FFFFFF"/>
                <w:sz w:val="18"/>
                <w:szCs w:val="18"/>
              </w:rPr>
              <w:t>Aplicações interfinanceiras de liquidez</w:t>
            </w:r>
          </w:p>
        </w:tc>
        <w:tc>
          <w:tcPr>
            <w:tcW w:w="542" w:type="pct"/>
            <w:vMerge w:val="restart"/>
            <w:tcBorders>
              <w:top w:val="single" w:sz="4" w:space="0" w:color="FFFFFF" w:themeColor="background1"/>
            </w:tcBorders>
            <w:shd w:val="clear" w:color="auto" w:fill="005CA9"/>
            <w:vAlign w:val="center"/>
            <w:hideMark/>
          </w:tcPr>
          <w:p w14:paraId="2FFC36A1" w14:textId="77777777" w:rsidR="001373FB" w:rsidRPr="001373FB" w:rsidRDefault="001373FB">
            <w:pPr>
              <w:jc w:val="center"/>
              <w:rPr>
                <w:rFonts w:ascii="CAIXA Std Book" w:eastAsia="Times New Roman" w:hAnsi="CAIXA Std Book" w:cs="Calibri"/>
                <w:b/>
                <w:bCs/>
                <w:color w:val="FFFFFF"/>
                <w:sz w:val="18"/>
                <w:szCs w:val="18"/>
              </w:rPr>
            </w:pPr>
            <w:r w:rsidRPr="001373FB">
              <w:rPr>
                <w:rFonts w:ascii="CAIXA Std Book" w:eastAsia="Times New Roman" w:hAnsi="CAIXA Std Book" w:cs="Calibri"/>
                <w:b/>
                <w:bCs/>
                <w:color w:val="FFFFFF"/>
                <w:sz w:val="18"/>
                <w:szCs w:val="18"/>
              </w:rPr>
              <w:t>Títulos e valores mobiliários</w:t>
            </w:r>
          </w:p>
        </w:tc>
        <w:tc>
          <w:tcPr>
            <w:tcW w:w="542" w:type="pct"/>
            <w:vMerge w:val="restart"/>
            <w:tcBorders>
              <w:top w:val="single" w:sz="4" w:space="0" w:color="FFFFFF" w:themeColor="background1"/>
            </w:tcBorders>
            <w:shd w:val="clear" w:color="auto" w:fill="005CA9"/>
            <w:vAlign w:val="center"/>
            <w:hideMark/>
          </w:tcPr>
          <w:p w14:paraId="79C895DA" w14:textId="77777777" w:rsidR="001373FB" w:rsidRPr="001373FB" w:rsidRDefault="001373FB">
            <w:pPr>
              <w:jc w:val="center"/>
              <w:rPr>
                <w:rFonts w:ascii="CAIXA Std Book" w:eastAsia="Times New Roman" w:hAnsi="CAIXA Std Book" w:cs="Calibri"/>
                <w:b/>
                <w:bCs/>
                <w:color w:val="FFFFFF"/>
                <w:sz w:val="18"/>
                <w:szCs w:val="18"/>
              </w:rPr>
            </w:pPr>
            <w:r w:rsidRPr="001373FB">
              <w:rPr>
                <w:rFonts w:ascii="CAIXA Std Book" w:eastAsia="Times New Roman" w:hAnsi="CAIXA Std Book" w:cs="Calibri"/>
                <w:b/>
                <w:bCs/>
                <w:color w:val="FFFFFF"/>
                <w:sz w:val="18"/>
                <w:szCs w:val="18"/>
              </w:rPr>
              <w:t>Carteira de crédito</w:t>
            </w:r>
          </w:p>
        </w:tc>
        <w:tc>
          <w:tcPr>
            <w:tcW w:w="542" w:type="pct"/>
            <w:vMerge w:val="restart"/>
            <w:tcBorders>
              <w:top w:val="single" w:sz="4" w:space="0" w:color="FFFFFF" w:themeColor="background1"/>
            </w:tcBorders>
            <w:shd w:val="clear" w:color="auto" w:fill="005CA9"/>
            <w:vAlign w:val="center"/>
            <w:hideMark/>
          </w:tcPr>
          <w:p w14:paraId="1F29C475" w14:textId="0C150372" w:rsidR="001373FB" w:rsidRPr="001373FB" w:rsidRDefault="001373FB">
            <w:pPr>
              <w:jc w:val="center"/>
              <w:rPr>
                <w:rFonts w:ascii="CAIXA Std Book" w:eastAsia="Times New Roman" w:hAnsi="CAIXA Std Book" w:cs="Calibri"/>
                <w:b/>
                <w:bCs/>
                <w:color w:val="FFFFFF"/>
                <w:sz w:val="18"/>
                <w:szCs w:val="18"/>
              </w:rPr>
            </w:pPr>
            <w:r w:rsidRPr="001373FB">
              <w:rPr>
                <w:rFonts w:ascii="CAIXA Std Book" w:eastAsia="Times New Roman" w:hAnsi="CAIXA Std Book" w:cs="Calibri"/>
                <w:b/>
                <w:bCs/>
                <w:color w:val="FFFFFF"/>
                <w:sz w:val="18"/>
                <w:szCs w:val="18"/>
              </w:rPr>
              <w:t>Outros ativos</w:t>
            </w:r>
            <w:r w:rsidR="00982247">
              <w:rPr>
                <w:rFonts w:ascii="CAIXA Std Book" w:eastAsia="Times New Roman" w:hAnsi="CAIXA Std Book" w:cs="Calibri"/>
                <w:b/>
                <w:bCs/>
                <w:color w:val="FFFFFF"/>
                <w:sz w:val="18"/>
                <w:szCs w:val="18"/>
              </w:rPr>
              <w:t xml:space="preserve"> financeiros</w:t>
            </w:r>
          </w:p>
        </w:tc>
        <w:tc>
          <w:tcPr>
            <w:tcW w:w="542" w:type="pct"/>
            <w:vMerge w:val="restart"/>
            <w:tcBorders>
              <w:top w:val="single" w:sz="4" w:space="0" w:color="FFFFFF" w:themeColor="background1"/>
            </w:tcBorders>
            <w:shd w:val="clear" w:color="auto" w:fill="005CA9"/>
            <w:vAlign w:val="center"/>
            <w:hideMark/>
          </w:tcPr>
          <w:p w14:paraId="20628483" w14:textId="77777777" w:rsidR="001373FB" w:rsidRPr="001373FB" w:rsidRDefault="001373FB">
            <w:pPr>
              <w:jc w:val="center"/>
              <w:rPr>
                <w:rFonts w:ascii="CAIXA Std Book" w:eastAsia="Times New Roman" w:hAnsi="CAIXA Std Book" w:cs="Calibri"/>
                <w:b/>
                <w:bCs/>
                <w:color w:val="FFFFFF"/>
                <w:sz w:val="18"/>
                <w:szCs w:val="18"/>
              </w:rPr>
            </w:pPr>
            <w:r w:rsidRPr="001373FB">
              <w:rPr>
                <w:rFonts w:ascii="CAIXA Std Book" w:eastAsia="Times New Roman" w:hAnsi="CAIXA Std Book" w:cs="Calibri"/>
                <w:b/>
                <w:bCs/>
                <w:color w:val="FFFFFF"/>
                <w:sz w:val="18"/>
                <w:szCs w:val="18"/>
              </w:rPr>
              <w:t>Comp. de crédito/</w:t>
            </w:r>
          </w:p>
          <w:p w14:paraId="7E825E6B" w14:textId="77777777" w:rsidR="001373FB" w:rsidRPr="001373FB" w:rsidRDefault="001373FB">
            <w:pPr>
              <w:jc w:val="center"/>
              <w:rPr>
                <w:rFonts w:ascii="CAIXA Std Book" w:eastAsia="Times New Roman" w:hAnsi="CAIXA Std Book" w:cs="Calibri"/>
                <w:b/>
                <w:bCs/>
                <w:color w:val="FFFFFF"/>
                <w:sz w:val="18"/>
                <w:szCs w:val="18"/>
              </w:rPr>
            </w:pPr>
            <w:r w:rsidRPr="001373FB">
              <w:rPr>
                <w:rFonts w:ascii="CAIXA Std Book" w:eastAsia="Times New Roman" w:hAnsi="CAIXA Std Book" w:cs="Calibri"/>
                <w:b/>
                <w:bCs/>
                <w:color w:val="FFFFFF"/>
                <w:sz w:val="18"/>
                <w:szCs w:val="18"/>
              </w:rPr>
              <w:t>créd. a liberar</w:t>
            </w:r>
          </w:p>
        </w:tc>
        <w:tc>
          <w:tcPr>
            <w:tcW w:w="542" w:type="pct"/>
            <w:vMerge w:val="restart"/>
            <w:tcBorders>
              <w:top w:val="single" w:sz="4" w:space="0" w:color="FFFFFF" w:themeColor="background1"/>
            </w:tcBorders>
            <w:shd w:val="clear" w:color="auto" w:fill="005CA9"/>
            <w:vAlign w:val="center"/>
            <w:hideMark/>
          </w:tcPr>
          <w:p w14:paraId="6A6D1DFD" w14:textId="77777777" w:rsidR="001373FB" w:rsidRPr="001373FB" w:rsidRDefault="001373FB">
            <w:pPr>
              <w:jc w:val="center"/>
              <w:rPr>
                <w:rFonts w:ascii="CAIXA Std Book" w:eastAsia="Times New Roman" w:hAnsi="CAIXA Std Book" w:cs="Calibri"/>
                <w:b/>
                <w:bCs/>
                <w:color w:val="FFFFFF"/>
                <w:sz w:val="18"/>
                <w:szCs w:val="18"/>
              </w:rPr>
            </w:pPr>
            <w:r w:rsidRPr="001373FB">
              <w:rPr>
                <w:rFonts w:ascii="CAIXA Std Book" w:eastAsia="Times New Roman" w:hAnsi="CAIXA Std Book" w:cs="Calibri"/>
                <w:b/>
                <w:bCs/>
                <w:color w:val="FFFFFF"/>
                <w:sz w:val="18"/>
                <w:szCs w:val="18"/>
              </w:rPr>
              <w:t>Garantias financeiras prestadas</w:t>
            </w:r>
          </w:p>
        </w:tc>
        <w:tc>
          <w:tcPr>
            <w:tcW w:w="542" w:type="pct"/>
            <w:vMerge w:val="restart"/>
            <w:tcBorders>
              <w:top w:val="single" w:sz="4" w:space="0" w:color="FFFFFF" w:themeColor="background1"/>
            </w:tcBorders>
            <w:shd w:val="clear" w:color="auto" w:fill="005CA9"/>
            <w:vAlign w:val="center"/>
            <w:hideMark/>
          </w:tcPr>
          <w:p w14:paraId="77245B22" w14:textId="77777777" w:rsidR="001373FB" w:rsidRPr="001373FB" w:rsidRDefault="001373FB">
            <w:pPr>
              <w:jc w:val="center"/>
              <w:rPr>
                <w:rFonts w:ascii="CAIXA Std Book" w:eastAsia="Times New Roman" w:hAnsi="CAIXA Std Book" w:cs="Calibri"/>
                <w:b/>
                <w:bCs/>
                <w:color w:val="FFFFFF"/>
                <w:sz w:val="18"/>
                <w:szCs w:val="18"/>
              </w:rPr>
            </w:pPr>
            <w:r w:rsidRPr="001373FB">
              <w:rPr>
                <w:rFonts w:ascii="CAIXA Std Book" w:eastAsia="Times New Roman" w:hAnsi="CAIXA Std Book" w:cs="Calibri"/>
                <w:b/>
                <w:bCs/>
                <w:color w:val="FFFFFF"/>
                <w:sz w:val="18"/>
                <w:szCs w:val="18"/>
              </w:rPr>
              <w:t>Total</w:t>
            </w:r>
          </w:p>
        </w:tc>
      </w:tr>
      <w:tr w:rsidR="007D6CEB" w:rsidRPr="001373FB" w14:paraId="189D925D" w14:textId="77777777" w:rsidTr="00D91FED">
        <w:trPr>
          <w:trHeight w:val="401"/>
        </w:trPr>
        <w:tc>
          <w:tcPr>
            <w:tcW w:w="1207" w:type="pct"/>
            <w:vMerge/>
            <w:shd w:val="clear" w:color="auto" w:fill="005CA9"/>
            <w:vAlign w:val="center"/>
            <w:hideMark/>
          </w:tcPr>
          <w:p w14:paraId="660DFAC7" w14:textId="77777777" w:rsidR="001373FB" w:rsidRPr="001373FB" w:rsidRDefault="001373FB">
            <w:pPr>
              <w:rPr>
                <w:rFonts w:ascii="CAIXA Std Book" w:eastAsia="Times New Roman" w:hAnsi="CAIXA Std Book" w:cs="Calibri"/>
                <w:b/>
                <w:color w:val="FFFFFF"/>
                <w:sz w:val="18"/>
                <w:szCs w:val="18"/>
              </w:rPr>
            </w:pPr>
          </w:p>
        </w:tc>
        <w:tc>
          <w:tcPr>
            <w:tcW w:w="542" w:type="pct"/>
            <w:vMerge/>
            <w:shd w:val="clear" w:color="auto" w:fill="005CA9"/>
            <w:vAlign w:val="center"/>
            <w:hideMark/>
          </w:tcPr>
          <w:p w14:paraId="415AA206" w14:textId="77777777" w:rsidR="001373FB" w:rsidRPr="001373FB" w:rsidRDefault="001373FB">
            <w:pPr>
              <w:rPr>
                <w:rFonts w:ascii="CAIXA Std Book" w:eastAsia="Times New Roman" w:hAnsi="CAIXA Std Book" w:cs="Calibri"/>
                <w:b/>
                <w:bCs/>
                <w:color w:val="FFFFFF"/>
                <w:sz w:val="18"/>
                <w:szCs w:val="18"/>
              </w:rPr>
            </w:pPr>
          </w:p>
        </w:tc>
        <w:tc>
          <w:tcPr>
            <w:tcW w:w="542" w:type="pct"/>
            <w:vMerge/>
            <w:shd w:val="clear" w:color="auto" w:fill="005CA9"/>
            <w:vAlign w:val="center"/>
            <w:hideMark/>
          </w:tcPr>
          <w:p w14:paraId="4D069213" w14:textId="77777777" w:rsidR="001373FB" w:rsidRPr="001373FB" w:rsidRDefault="001373FB">
            <w:pPr>
              <w:rPr>
                <w:rFonts w:ascii="CAIXA Std Book" w:eastAsia="Times New Roman" w:hAnsi="CAIXA Std Book" w:cs="Calibri"/>
                <w:b/>
                <w:bCs/>
                <w:color w:val="FFFFFF"/>
                <w:sz w:val="18"/>
                <w:szCs w:val="18"/>
              </w:rPr>
            </w:pPr>
          </w:p>
        </w:tc>
        <w:tc>
          <w:tcPr>
            <w:tcW w:w="542" w:type="pct"/>
            <w:vMerge/>
            <w:shd w:val="clear" w:color="auto" w:fill="005CA9"/>
            <w:vAlign w:val="center"/>
            <w:hideMark/>
          </w:tcPr>
          <w:p w14:paraId="101ED133" w14:textId="77777777" w:rsidR="001373FB" w:rsidRPr="001373FB" w:rsidRDefault="001373FB">
            <w:pPr>
              <w:rPr>
                <w:rFonts w:ascii="CAIXA Std Book" w:eastAsia="Times New Roman" w:hAnsi="CAIXA Std Book" w:cs="Calibri"/>
                <w:b/>
                <w:bCs/>
                <w:color w:val="FFFFFF"/>
                <w:sz w:val="18"/>
                <w:szCs w:val="18"/>
              </w:rPr>
            </w:pPr>
          </w:p>
        </w:tc>
        <w:tc>
          <w:tcPr>
            <w:tcW w:w="542" w:type="pct"/>
            <w:vMerge/>
            <w:shd w:val="clear" w:color="auto" w:fill="005CA9"/>
            <w:vAlign w:val="center"/>
            <w:hideMark/>
          </w:tcPr>
          <w:p w14:paraId="094C5365" w14:textId="77777777" w:rsidR="001373FB" w:rsidRPr="001373FB" w:rsidRDefault="001373FB">
            <w:pPr>
              <w:rPr>
                <w:rFonts w:ascii="CAIXA Std Book" w:eastAsia="Times New Roman" w:hAnsi="CAIXA Std Book" w:cs="Calibri"/>
                <w:b/>
                <w:bCs/>
                <w:color w:val="FFFFFF"/>
                <w:sz w:val="18"/>
                <w:szCs w:val="18"/>
              </w:rPr>
            </w:pPr>
          </w:p>
        </w:tc>
        <w:tc>
          <w:tcPr>
            <w:tcW w:w="542" w:type="pct"/>
            <w:vMerge/>
            <w:shd w:val="clear" w:color="auto" w:fill="005CA9"/>
            <w:vAlign w:val="center"/>
            <w:hideMark/>
          </w:tcPr>
          <w:p w14:paraId="5027F034" w14:textId="77777777" w:rsidR="001373FB" w:rsidRPr="001373FB" w:rsidRDefault="001373FB">
            <w:pPr>
              <w:rPr>
                <w:rFonts w:ascii="CAIXA Std Book" w:eastAsia="Times New Roman" w:hAnsi="CAIXA Std Book" w:cs="Calibri"/>
                <w:b/>
                <w:bCs/>
                <w:color w:val="FFFFFF"/>
                <w:sz w:val="18"/>
                <w:szCs w:val="18"/>
              </w:rPr>
            </w:pPr>
          </w:p>
        </w:tc>
        <w:tc>
          <w:tcPr>
            <w:tcW w:w="542" w:type="pct"/>
            <w:vMerge/>
            <w:shd w:val="clear" w:color="auto" w:fill="005CA9"/>
            <w:vAlign w:val="center"/>
            <w:hideMark/>
          </w:tcPr>
          <w:p w14:paraId="2736E2AB" w14:textId="77777777" w:rsidR="001373FB" w:rsidRPr="001373FB" w:rsidRDefault="001373FB">
            <w:pPr>
              <w:rPr>
                <w:rFonts w:ascii="CAIXA Std Book" w:eastAsia="Times New Roman" w:hAnsi="CAIXA Std Book" w:cs="Calibri"/>
                <w:b/>
                <w:bCs/>
                <w:color w:val="FFFFFF"/>
                <w:sz w:val="18"/>
                <w:szCs w:val="18"/>
              </w:rPr>
            </w:pPr>
          </w:p>
        </w:tc>
        <w:tc>
          <w:tcPr>
            <w:tcW w:w="542" w:type="pct"/>
            <w:vMerge/>
            <w:shd w:val="clear" w:color="auto" w:fill="005CA9"/>
            <w:vAlign w:val="center"/>
            <w:hideMark/>
          </w:tcPr>
          <w:p w14:paraId="7FA2838C" w14:textId="77777777" w:rsidR="001373FB" w:rsidRPr="001373FB" w:rsidRDefault="001373FB">
            <w:pPr>
              <w:rPr>
                <w:rFonts w:ascii="CAIXA Std Book" w:eastAsia="Times New Roman" w:hAnsi="CAIXA Std Book" w:cs="Calibri"/>
                <w:b/>
                <w:bCs/>
                <w:color w:val="FFFFFF"/>
                <w:sz w:val="18"/>
                <w:szCs w:val="18"/>
              </w:rPr>
            </w:pPr>
          </w:p>
        </w:tc>
      </w:tr>
      <w:tr w:rsidR="007D6CEB" w:rsidRPr="001373FB" w14:paraId="04BBACB2" w14:textId="77777777" w:rsidTr="00D91FED">
        <w:trPr>
          <w:trHeight w:val="283"/>
        </w:trPr>
        <w:tc>
          <w:tcPr>
            <w:tcW w:w="1207" w:type="pct"/>
            <w:shd w:val="clear" w:color="000000" w:fill="FFFFFF"/>
            <w:noWrap/>
            <w:vAlign w:val="center"/>
            <w:hideMark/>
          </w:tcPr>
          <w:p w14:paraId="7004C10A" w14:textId="77777777" w:rsidR="001373FB" w:rsidRPr="001373FB" w:rsidRDefault="001373FB">
            <w:pPr>
              <w:rPr>
                <w:rFonts w:ascii="CAIXA Std Book" w:eastAsia="Times New Roman" w:hAnsi="CAIXA Std Book" w:cs="Calibri"/>
                <w:color w:val="005CA9"/>
                <w:sz w:val="18"/>
                <w:szCs w:val="18"/>
              </w:rPr>
            </w:pPr>
            <w:r w:rsidRPr="001373FB">
              <w:rPr>
                <w:rFonts w:ascii="CAIXA Std Book" w:eastAsia="Times New Roman" w:hAnsi="CAIXA Std Book" w:cs="Calibri"/>
                <w:color w:val="005CA9"/>
                <w:sz w:val="18"/>
                <w:szCs w:val="18"/>
              </w:rPr>
              <w:t xml:space="preserve">Constituição </w:t>
            </w:r>
          </w:p>
        </w:tc>
        <w:tc>
          <w:tcPr>
            <w:tcW w:w="542" w:type="pct"/>
            <w:shd w:val="clear" w:color="000000" w:fill="FFFFFF"/>
            <w:noWrap/>
            <w:vAlign w:val="center"/>
          </w:tcPr>
          <w:p w14:paraId="016E92E0" w14:textId="04561CF8" w:rsidR="001373FB" w:rsidRPr="001373FB" w:rsidRDefault="0049444A" w:rsidP="00252809">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(566)</w:t>
            </w:r>
          </w:p>
        </w:tc>
        <w:tc>
          <w:tcPr>
            <w:tcW w:w="542" w:type="pct"/>
            <w:shd w:val="clear" w:color="000000" w:fill="FFFFFF"/>
            <w:noWrap/>
            <w:vAlign w:val="center"/>
          </w:tcPr>
          <w:p w14:paraId="0A0540C5" w14:textId="76A1FABB" w:rsidR="001373FB" w:rsidRPr="001373FB" w:rsidRDefault="0049444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(7.471)</w:t>
            </w:r>
          </w:p>
        </w:tc>
        <w:tc>
          <w:tcPr>
            <w:tcW w:w="542" w:type="pct"/>
            <w:shd w:val="clear" w:color="000000" w:fill="FFFFFF"/>
            <w:noWrap/>
            <w:vAlign w:val="center"/>
          </w:tcPr>
          <w:p w14:paraId="06926B2F" w14:textId="3F1CD151" w:rsidR="001373FB" w:rsidRPr="001373FB" w:rsidRDefault="0049444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(7.517.391)</w:t>
            </w:r>
          </w:p>
        </w:tc>
        <w:tc>
          <w:tcPr>
            <w:tcW w:w="542" w:type="pct"/>
            <w:shd w:val="clear" w:color="000000" w:fill="FFFFFF"/>
            <w:noWrap/>
            <w:vAlign w:val="center"/>
          </w:tcPr>
          <w:p w14:paraId="3A26B018" w14:textId="570E51E8" w:rsidR="001373FB" w:rsidRPr="001373FB" w:rsidRDefault="0049444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(12.36</w:t>
            </w:r>
            <w:r w:rsidR="00870A60">
              <w:rPr>
                <w:rFonts w:ascii="CAIXA Std Book" w:hAnsi="CAIXA Std Book" w:cs="Calibri"/>
                <w:color w:val="005CA9"/>
                <w:sz w:val="18"/>
                <w:szCs w:val="18"/>
              </w:rPr>
              <w:t>0</w:t>
            </w:r>
            <w:r>
              <w:rPr>
                <w:rFonts w:ascii="CAIXA Std Book" w:hAnsi="CAIXA Std Book" w:cs="Calibri"/>
                <w:color w:val="005CA9"/>
                <w:sz w:val="18"/>
                <w:szCs w:val="18"/>
              </w:rPr>
              <w:t>)</w:t>
            </w:r>
          </w:p>
        </w:tc>
        <w:tc>
          <w:tcPr>
            <w:tcW w:w="542" w:type="pct"/>
            <w:shd w:val="clear" w:color="000000" w:fill="FFFFFF"/>
            <w:noWrap/>
            <w:vAlign w:val="center"/>
          </w:tcPr>
          <w:p w14:paraId="793E6BE2" w14:textId="6D21734D" w:rsidR="001373FB" w:rsidRPr="001373FB" w:rsidRDefault="0049444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(151.403)</w:t>
            </w:r>
          </w:p>
        </w:tc>
        <w:tc>
          <w:tcPr>
            <w:tcW w:w="542" w:type="pct"/>
            <w:shd w:val="clear" w:color="000000" w:fill="FFFFFF"/>
            <w:noWrap/>
            <w:vAlign w:val="center"/>
          </w:tcPr>
          <w:p w14:paraId="6ABDB97B" w14:textId="375149D5" w:rsidR="001373FB" w:rsidRPr="001373FB" w:rsidRDefault="0049444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(25.701)</w:t>
            </w:r>
          </w:p>
        </w:tc>
        <w:tc>
          <w:tcPr>
            <w:tcW w:w="542" w:type="pct"/>
            <w:shd w:val="clear" w:color="000000" w:fill="FFFFFF"/>
            <w:noWrap/>
            <w:vAlign w:val="center"/>
          </w:tcPr>
          <w:p w14:paraId="0B81919B" w14:textId="448A49C5" w:rsidR="001373FB" w:rsidRPr="0005560B" w:rsidRDefault="0049444A">
            <w:pPr>
              <w:jc w:val="right"/>
              <w:rPr>
                <w:rFonts w:ascii="CAIXA Std Book" w:eastAsia="Times New Roman" w:hAnsi="CAIXA Std Book" w:cs="Calibri"/>
                <w:b/>
                <w:bCs/>
                <w:color w:val="005CA9"/>
                <w:sz w:val="18"/>
                <w:szCs w:val="18"/>
              </w:rPr>
            </w:pPr>
            <w:r w:rsidRPr="00A91757">
              <w:rPr>
                <w:rFonts w:ascii="CAIXA Std Book" w:hAnsi="CAIXA Std Book" w:cs="Calibri"/>
                <w:b/>
                <w:color w:val="005CA9"/>
                <w:sz w:val="18"/>
                <w:szCs w:val="18"/>
              </w:rPr>
              <w:t>(7.714.892)</w:t>
            </w:r>
          </w:p>
        </w:tc>
      </w:tr>
      <w:tr w:rsidR="007D6CEB" w:rsidRPr="001373FB" w14:paraId="229D695A" w14:textId="77777777" w:rsidTr="00D91FED">
        <w:trPr>
          <w:trHeight w:val="283"/>
        </w:trPr>
        <w:tc>
          <w:tcPr>
            <w:tcW w:w="1207" w:type="pct"/>
            <w:shd w:val="clear" w:color="000000" w:fill="FFFFFF"/>
            <w:noWrap/>
            <w:vAlign w:val="center"/>
            <w:hideMark/>
          </w:tcPr>
          <w:p w14:paraId="2EDCE3C9" w14:textId="77777777" w:rsidR="001373FB" w:rsidRPr="001373FB" w:rsidRDefault="001373FB">
            <w:pPr>
              <w:rPr>
                <w:rFonts w:ascii="CAIXA Std Book" w:eastAsia="Times New Roman" w:hAnsi="CAIXA Std Book" w:cs="Calibri"/>
                <w:color w:val="005CA9"/>
                <w:sz w:val="18"/>
                <w:szCs w:val="18"/>
              </w:rPr>
            </w:pPr>
            <w:r w:rsidRPr="001373FB">
              <w:rPr>
                <w:rFonts w:ascii="CAIXA Std Book" w:eastAsia="Times New Roman" w:hAnsi="CAIXA Std Book" w:cs="Calibri"/>
                <w:color w:val="005CA9"/>
                <w:sz w:val="18"/>
                <w:szCs w:val="18"/>
              </w:rPr>
              <w:t xml:space="preserve">Reversão </w:t>
            </w:r>
          </w:p>
        </w:tc>
        <w:tc>
          <w:tcPr>
            <w:tcW w:w="542" w:type="pct"/>
            <w:shd w:val="clear" w:color="000000" w:fill="FFFFFF"/>
            <w:noWrap/>
            <w:vAlign w:val="center"/>
          </w:tcPr>
          <w:p w14:paraId="6B1B558E" w14:textId="06BA7B30" w:rsidR="001373FB" w:rsidRPr="001373FB" w:rsidRDefault="0049444A" w:rsidP="0049444A">
            <w:pPr>
              <w:jc w:val="cente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w:t>
            </w:r>
          </w:p>
        </w:tc>
        <w:tc>
          <w:tcPr>
            <w:tcW w:w="542" w:type="pct"/>
            <w:shd w:val="clear" w:color="000000" w:fill="FFFFFF"/>
            <w:noWrap/>
            <w:vAlign w:val="center"/>
          </w:tcPr>
          <w:p w14:paraId="12AE29FD" w14:textId="42053504" w:rsidR="001373FB" w:rsidRPr="001373FB" w:rsidRDefault="0049444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87.576</w:t>
            </w:r>
          </w:p>
        </w:tc>
        <w:tc>
          <w:tcPr>
            <w:tcW w:w="542" w:type="pct"/>
            <w:shd w:val="clear" w:color="000000" w:fill="FFFFFF"/>
            <w:noWrap/>
            <w:vAlign w:val="center"/>
          </w:tcPr>
          <w:p w14:paraId="3E8D9D10" w14:textId="5CCFB291" w:rsidR="001373FB" w:rsidRPr="001373FB" w:rsidRDefault="0049444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93.317</w:t>
            </w:r>
          </w:p>
        </w:tc>
        <w:tc>
          <w:tcPr>
            <w:tcW w:w="542" w:type="pct"/>
            <w:shd w:val="clear" w:color="000000" w:fill="FFFFFF"/>
            <w:noWrap/>
            <w:vAlign w:val="center"/>
          </w:tcPr>
          <w:p w14:paraId="59CF3398" w14:textId="270255E5" w:rsidR="001373FB" w:rsidRPr="001373FB" w:rsidRDefault="0049444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282.111</w:t>
            </w:r>
          </w:p>
        </w:tc>
        <w:tc>
          <w:tcPr>
            <w:tcW w:w="542" w:type="pct"/>
            <w:shd w:val="clear" w:color="000000" w:fill="FFFFFF"/>
            <w:noWrap/>
            <w:vAlign w:val="center"/>
          </w:tcPr>
          <w:p w14:paraId="7CFB44AD" w14:textId="1FA5F747" w:rsidR="001373FB" w:rsidRPr="001373FB" w:rsidRDefault="0049444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605.269</w:t>
            </w:r>
          </w:p>
        </w:tc>
        <w:tc>
          <w:tcPr>
            <w:tcW w:w="542" w:type="pct"/>
            <w:shd w:val="clear" w:color="000000" w:fill="FFFFFF"/>
            <w:noWrap/>
            <w:vAlign w:val="center"/>
          </w:tcPr>
          <w:p w14:paraId="4E86A7B8" w14:textId="3D0C2467" w:rsidR="001373FB" w:rsidRPr="001373FB" w:rsidRDefault="0049444A">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128.320</w:t>
            </w:r>
          </w:p>
        </w:tc>
        <w:tc>
          <w:tcPr>
            <w:tcW w:w="542" w:type="pct"/>
            <w:shd w:val="clear" w:color="000000" w:fill="FFFFFF"/>
            <w:noWrap/>
            <w:vAlign w:val="center"/>
          </w:tcPr>
          <w:p w14:paraId="1EDD15E3" w14:textId="2155AF80" w:rsidR="001373FB" w:rsidRPr="0005560B" w:rsidRDefault="0049444A">
            <w:pPr>
              <w:jc w:val="right"/>
              <w:rPr>
                <w:rFonts w:ascii="CAIXA Std Book" w:eastAsia="Times New Roman" w:hAnsi="CAIXA Std Book" w:cs="Calibri"/>
                <w:b/>
                <w:bCs/>
                <w:color w:val="005CA9"/>
                <w:sz w:val="18"/>
                <w:szCs w:val="18"/>
              </w:rPr>
            </w:pPr>
            <w:r w:rsidRPr="00A91757">
              <w:rPr>
                <w:rFonts w:ascii="CAIXA Std Book" w:hAnsi="CAIXA Std Book" w:cs="Calibri"/>
                <w:b/>
                <w:color w:val="005CA9"/>
                <w:sz w:val="18"/>
                <w:szCs w:val="18"/>
              </w:rPr>
              <w:t>1.196.593</w:t>
            </w:r>
          </w:p>
        </w:tc>
      </w:tr>
      <w:tr w:rsidR="007D6CEB" w:rsidRPr="001373FB" w14:paraId="5EE7A656" w14:textId="77777777" w:rsidTr="00D91FED">
        <w:trPr>
          <w:trHeight w:val="283"/>
        </w:trPr>
        <w:tc>
          <w:tcPr>
            <w:tcW w:w="1207" w:type="pct"/>
            <w:shd w:val="clear" w:color="auto" w:fill="005CA9"/>
            <w:noWrap/>
            <w:vAlign w:val="center"/>
            <w:hideMark/>
          </w:tcPr>
          <w:p w14:paraId="0BDF6AE7" w14:textId="77777777" w:rsidR="001373FB" w:rsidRPr="001373FB" w:rsidRDefault="001373FB">
            <w:pPr>
              <w:rPr>
                <w:rFonts w:ascii="CAIXA Std Book" w:eastAsia="Times New Roman" w:hAnsi="CAIXA Std Book" w:cs="Calibri"/>
                <w:b/>
                <w:bCs/>
                <w:color w:val="FFFFFF"/>
                <w:sz w:val="18"/>
                <w:szCs w:val="18"/>
              </w:rPr>
            </w:pPr>
            <w:r w:rsidRPr="001373FB">
              <w:rPr>
                <w:rFonts w:ascii="CAIXA Std Book" w:eastAsia="Times New Roman" w:hAnsi="CAIXA Std Book" w:cs="Calibri"/>
                <w:b/>
                <w:bCs/>
                <w:color w:val="FFFFFF"/>
                <w:sz w:val="18"/>
                <w:szCs w:val="18"/>
              </w:rPr>
              <w:t>Saldo final</w:t>
            </w:r>
          </w:p>
        </w:tc>
        <w:tc>
          <w:tcPr>
            <w:tcW w:w="542" w:type="pct"/>
            <w:shd w:val="clear" w:color="auto" w:fill="005CA9"/>
            <w:noWrap/>
            <w:vAlign w:val="center"/>
          </w:tcPr>
          <w:p w14:paraId="1514E528" w14:textId="6F3A8D7A" w:rsidR="001373FB" w:rsidRPr="001373FB" w:rsidRDefault="0049444A">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(566)</w:t>
            </w:r>
          </w:p>
        </w:tc>
        <w:tc>
          <w:tcPr>
            <w:tcW w:w="542" w:type="pct"/>
            <w:shd w:val="clear" w:color="auto" w:fill="005CA9"/>
            <w:noWrap/>
            <w:vAlign w:val="center"/>
          </w:tcPr>
          <w:p w14:paraId="5DA7DCB6" w14:textId="578E397C" w:rsidR="001373FB" w:rsidRPr="001373FB" w:rsidRDefault="0049444A">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80.105</w:t>
            </w:r>
          </w:p>
        </w:tc>
        <w:tc>
          <w:tcPr>
            <w:tcW w:w="542" w:type="pct"/>
            <w:shd w:val="clear" w:color="auto" w:fill="005CA9"/>
            <w:noWrap/>
            <w:vAlign w:val="center"/>
          </w:tcPr>
          <w:p w14:paraId="0BCB2044" w14:textId="064026A9" w:rsidR="001373FB" w:rsidRPr="001373FB" w:rsidRDefault="0049444A">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(7.424.074)</w:t>
            </w:r>
          </w:p>
        </w:tc>
        <w:tc>
          <w:tcPr>
            <w:tcW w:w="542" w:type="pct"/>
            <w:shd w:val="clear" w:color="auto" w:fill="005CA9"/>
            <w:noWrap/>
            <w:vAlign w:val="center"/>
          </w:tcPr>
          <w:p w14:paraId="0AA184A2" w14:textId="3E399F0F" w:rsidR="001373FB" w:rsidRPr="001373FB" w:rsidRDefault="0049444A">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269.751</w:t>
            </w:r>
          </w:p>
        </w:tc>
        <w:tc>
          <w:tcPr>
            <w:tcW w:w="542" w:type="pct"/>
            <w:shd w:val="clear" w:color="auto" w:fill="005CA9"/>
            <w:noWrap/>
            <w:vAlign w:val="center"/>
          </w:tcPr>
          <w:p w14:paraId="7169E99B" w14:textId="344110AD" w:rsidR="001373FB" w:rsidRPr="001373FB" w:rsidRDefault="0049444A">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453.866</w:t>
            </w:r>
          </w:p>
        </w:tc>
        <w:tc>
          <w:tcPr>
            <w:tcW w:w="542" w:type="pct"/>
            <w:shd w:val="clear" w:color="auto" w:fill="005CA9"/>
            <w:noWrap/>
            <w:vAlign w:val="center"/>
          </w:tcPr>
          <w:p w14:paraId="0733C657" w14:textId="382DBF21" w:rsidR="001373FB" w:rsidRPr="001373FB" w:rsidRDefault="0049444A">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102.619</w:t>
            </w:r>
          </w:p>
        </w:tc>
        <w:tc>
          <w:tcPr>
            <w:tcW w:w="542" w:type="pct"/>
            <w:shd w:val="clear" w:color="auto" w:fill="005CA9"/>
            <w:noWrap/>
            <w:vAlign w:val="center"/>
          </w:tcPr>
          <w:p w14:paraId="684CA1CA" w14:textId="4E0A2A2E" w:rsidR="001373FB" w:rsidRPr="0005560B" w:rsidRDefault="0049444A">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(6.518.299)</w:t>
            </w:r>
          </w:p>
        </w:tc>
      </w:tr>
    </w:tbl>
    <w:p w14:paraId="62DBB180" w14:textId="77777777" w:rsidR="00C91D53" w:rsidRDefault="00C91D53" w:rsidP="001373FB">
      <w:pPr>
        <w:rPr>
          <w:rFonts w:ascii="CAIXA Std Book" w:hAnsi="CAIXA Std Book"/>
          <w:b/>
          <w:color w:val="005CA9"/>
          <w:sz w:val="20"/>
          <w:szCs w:val="20"/>
        </w:rPr>
      </w:pPr>
    </w:p>
    <w:tbl>
      <w:tblPr>
        <w:tblW w:w="5000" w:type="pct"/>
        <w:tblLayout w:type="fixed"/>
        <w:tblCellMar>
          <w:left w:w="70" w:type="dxa"/>
          <w:right w:w="70" w:type="dxa"/>
        </w:tblCellMar>
        <w:tblLook w:val="04A0" w:firstRow="1" w:lastRow="0" w:firstColumn="1" w:lastColumn="0" w:noHBand="0" w:noVBand="1"/>
      </w:tblPr>
      <w:tblGrid>
        <w:gridCol w:w="3535"/>
        <w:gridCol w:w="1577"/>
        <w:gridCol w:w="1577"/>
        <w:gridCol w:w="1576"/>
        <w:gridCol w:w="1576"/>
        <w:gridCol w:w="1576"/>
        <w:gridCol w:w="1576"/>
        <w:gridCol w:w="1576"/>
      </w:tblGrid>
      <w:tr w:rsidR="005B4728" w:rsidRPr="00E8652A" w14:paraId="144B892B" w14:textId="77777777" w:rsidTr="00D91FED">
        <w:trPr>
          <w:trHeight w:val="283"/>
        </w:trPr>
        <w:tc>
          <w:tcPr>
            <w:tcW w:w="5000" w:type="pct"/>
            <w:gridSpan w:val="8"/>
            <w:tcBorders>
              <w:bottom w:val="single" w:sz="4" w:space="0" w:color="FFFFFF" w:themeColor="background1"/>
            </w:tcBorders>
            <w:shd w:val="clear" w:color="auto" w:fill="005CA9"/>
            <w:vAlign w:val="center"/>
            <w:hideMark/>
          </w:tcPr>
          <w:p w14:paraId="14DA4310" w14:textId="21159954" w:rsidR="005B4728" w:rsidRPr="00E8652A" w:rsidRDefault="005B4728">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 xml:space="preserve">Individual </w:t>
            </w:r>
          </w:p>
        </w:tc>
      </w:tr>
      <w:tr w:rsidR="005B4728" w:rsidRPr="00E8652A" w14:paraId="7756405C" w14:textId="77777777" w:rsidTr="00D91FED">
        <w:trPr>
          <w:trHeight w:val="283"/>
        </w:trPr>
        <w:tc>
          <w:tcPr>
            <w:tcW w:w="1213" w:type="pct"/>
            <w:vMerge w:val="restart"/>
            <w:tcBorders>
              <w:top w:val="single" w:sz="4" w:space="0" w:color="FFFFFF" w:themeColor="background1"/>
            </w:tcBorders>
            <w:shd w:val="clear" w:color="auto" w:fill="005CA9"/>
            <w:vAlign w:val="center"/>
            <w:hideMark/>
          </w:tcPr>
          <w:p w14:paraId="30D9ED9F" w14:textId="77777777" w:rsidR="005B4728" w:rsidRPr="005C44A7" w:rsidRDefault="005B4728">
            <w:pPr>
              <w:jc w:val="center"/>
              <w:rPr>
                <w:rFonts w:ascii="CAIXA Std Book" w:eastAsia="Times New Roman" w:hAnsi="CAIXA Std Book" w:cs="Calibri"/>
                <w:b/>
                <w:color w:val="FFFFFF"/>
                <w:sz w:val="18"/>
                <w:szCs w:val="18"/>
              </w:rPr>
            </w:pPr>
            <w:r w:rsidRPr="005C44A7">
              <w:rPr>
                <w:rFonts w:ascii="CAIXA Std Book" w:eastAsia="Times New Roman" w:hAnsi="CAIXA Std Book" w:cs="Calibri"/>
                <w:b/>
                <w:color w:val="FFFFFF"/>
                <w:sz w:val="18"/>
                <w:szCs w:val="18"/>
              </w:rPr>
              <w:t>Descrição</w:t>
            </w:r>
          </w:p>
        </w:tc>
        <w:tc>
          <w:tcPr>
            <w:tcW w:w="3787" w:type="pct"/>
            <w:gridSpan w:val="7"/>
            <w:tcBorders>
              <w:top w:val="single" w:sz="4" w:space="0" w:color="FFFFFF" w:themeColor="background1"/>
              <w:bottom w:val="single" w:sz="4" w:space="0" w:color="FFFFFF" w:themeColor="background1"/>
            </w:tcBorders>
            <w:shd w:val="clear" w:color="auto" w:fill="005CA9"/>
            <w:noWrap/>
            <w:vAlign w:val="center"/>
            <w:hideMark/>
          </w:tcPr>
          <w:p w14:paraId="337DACAD" w14:textId="77777777" w:rsidR="005B4728" w:rsidRPr="00E8652A" w:rsidRDefault="005B4728">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1º trimestre de 2025</w:t>
            </w:r>
          </w:p>
        </w:tc>
      </w:tr>
      <w:tr w:rsidR="005B4728" w:rsidRPr="00E8652A" w14:paraId="638C6D98" w14:textId="77777777" w:rsidTr="00D91FED">
        <w:trPr>
          <w:trHeight w:val="401"/>
        </w:trPr>
        <w:tc>
          <w:tcPr>
            <w:tcW w:w="1213" w:type="pct"/>
            <w:vMerge/>
            <w:tcBorders>
              <w:top w:val="single" w:sz="4" w:space="0" w:color="FFFFFF" w:themeColor="background1"/>
            </w:tcBorders>
            <w:shd w:val="clear" w:color="auto" w:fill="005CA9"/>
            <w:vAlign w:val="center"/>
            <w:hideMark/>
          </w:tcPr>
          <w:p w14:paraId="42F00F9E" w14:textId="77777777" w:rsidR="005B4728" w:rsidRPr="005C44A7" w:rsidRDefault="005B4728">
            <w:pPr>
              <w:rPr>
                <w:rFonts w:ascii="CAIXA Std Book" w:eastAsia="Times New Roman" w:hAnsi="CAIXA Std Book" w:cs="Calibri"/>
                <w:b/>
                <w:color w:val="FFFFFF"/>
                <w:sz w:val="18"/>
                <w:szCs w:val="18"/>
              </w:rPr>
            </w:pPr>
          </w:p>
        </w:tc>
        <w:tc>
          <w:tcPr>
            <w:tcW w:w="541" w:type="pct"/>
            <w:vMerge w:val="restart"/>
            <w:tcBorders>
              <w:top w:val="single" w:sz="4" w:space="0" w:color="FFFFFF" w:themeColor="background1"/>
            </w:tcBorders>
            <w:shd w:val="clear" w:color="auto" w:fill="005CA9"/>
            <w:vAlign w:val="center"/>
            <w:hideMark/>
          </w:tcPr>
          <w:p w14:paraId="0E940687" w14:textId="77777777" w:rsidR="005B4728" w:rsidRPr="00E8652A" w:rsidRDefault="005B4728">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Aplicações interfinanceiras de liquidez</w:t>
            </w:r>
          </w:p>
        </w:tc>
        <w:tc>
          <w:tcPr>
            <w:tcW w:w="541" w:type="pct"/>
            <w:vMerge w:val="restart"/>
            <w:tcBorders>
              <w:top w:val="single" w:sz="4" w:space="0" w:color="FFFFFF" w:themeColor="background1"/>
            </w:tcBorders>
            <w:shd w:val="clear" w:color="auto" w:fill="005CA9"/>
            <w:vAlign w:val="center"/>
            <w:hideMark/>
          </w:tcPr>
          <w:p w14:paraId="5FCB329F" w14:textId="77777777" w:rsidR="005B4728" w:rsidRPr="00E8652A" w:rsidRDefault="005B4728">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Títulos e valores mobiliários</w:t>
            </w:r>
          </w:p>
        </w:tc>
        <w:tc>
          <w:tcPr>
            <w:tcW w:w="541" w:type="pct"/>
            <w:vMerge w:val="restart"/>
            <w:tcBorders>
              <w:top w:val="single" w:sz="4" w:space="0" w:color="FFFFFF" w:themeColor="background1"/>
            </w:tcBorders>
            <w:shd w:val="clear" w:color="auto" w:fill="005CA9"/>
            <w:vAlign w:val="center"/>
            <w:hideMark/>
          </w:tcPr>
          <w:p w14:paraId="1161E5D7" w14:textId="77777777" w:rsidR="005B4728" w:rsidRPr="00E8652A" w:rsidRDefault="005B4728">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Carteira de crédito</w:t>
            </w:r>
          </w:p>
        </w:tc>
        <w:tc>
          <w:tcPr>
            <w:tcW w:w="541" w:type="pct"/>
            <w:vMerge w:val="restart"/>
            <w:tcBorders>
              <w:top w:val="single" w:sz="4" w:space="0" w:color="FFFFFF" w:themeColor="background1"/>
            </w:tcBorders>
            <w:shd w:val="clear" w:color="auto" w:fill="005CA9"/>
            <w:vAlign w:val="center"/>
            <w:hideMark/>
          </w:tcPr>
          <w:p w14:paraId="73BB280B" w14:textId="77777777" w:rsidR="005B4728" w:rsidRPr="00E8652A" w:rsidRDefault="005B4728">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Outros</w:t>
            </w:r>
          </w:p>
        </w:tc>
        <w:tc>
          <w:tcPr>
            <w:tcW w:w="541" w:type="pct"/>
            <w:vMerge w:val="restart"/>
            <w:tcBorders>
              <w:top w:val="single" w:sz="4" w:space="0" w:color="FFFFFF" w:themeColor="background1"/>
            </w:tcBorders>
            <w:shd w:val="clear" w:color="auto" w:fill="005CA9"/>
            <w:vAlign w:val="center"/>
            <w:hideMark/>
          </w:tcPr>
          <w:p w14:paraId="6DFC1E03" w14:textId="77777777" w:rsidR="005B4728" w:rsidRDefault="005B4728">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Comp. de crédito</w:t>
            </w:r>
            <w:r>
              <w:rPr>
                <w:rFonts w:ascii="CAIXA Std Book" w:eastAsia="Times New Roman" w:hAnsi="CAIXA Std Book" w:cs="Calibri"/>
                <w:b/>
                <w:bCs/>
                <w:color w:val="FFFFFF"/>
                <w:sz w:val="18"/>
                <w:szCs w:val="18"/>
              </w:rPr>
              <w:t>/</w:t>
            </w:r>
          </w:p>
          <w:p w14:paraId="7C184835" w14:textId="0DAB24BC" w:rsidR="005B4728" w:rsidRPr="00E8652A" w:rsidRDefault="005B4728">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 xml:space="preserve">Cred. </w:t>
            </w:r>
            <w:r w:rsidR="001808FD">
              <w:rPr>
                <w:rFonts w:ascii="CAIXA Std Book" w:eastAsia="Times New Roman" w:hAnsi="CAIXA Std Book" w:cs="Calibri"/>
                <w:b/>
                <w:bCs/>
                <w:color w:val="FFFFFF"/>
                <w:sz w:val="18"/>
                <w:szCs w:val="18"/>
              </w:rPr>
              <w:t>a</w:t>
            </w:r>
            <w:r w:rsidRPr="00E8652A">
              <w:rPr>
                <w:rFonts w:ascii="CAIXA Std Book" w:eastAsia="Times New Roman" w:hAnsi="CAIXA Std Book" w:cs="Calibri"/>
                <w:b/>
                <w:bCs/>
                <w:color w:val="FFFFFF"/>
                <w:sz w:val="18"/>
                <w:szCs w:val="18"/>
              </w:rPr>
              <w:t xml:space="preserve"> liberar</w:t>
            </w:r>
          </w:p>
        </w:tc>
        <w:tc>
          <w:tcPr>
            <w:tcW w:w="541" w:type="pct"/>
            <w:vMerge w:val="restart"/>
            <w:tcBorders>
              <w:top w:val="single" w:sz="4" w:space="0" w:color="FFFFFF" w:themeColor="background1"/>
            </w:tcBorders>
            <w:shd w:val="clear" w:color="auto" w:fill="005CA9"/>
            <w:vAlign w:val="center"/>
            <w:hideMark/>
          </w:tcPr>
          <w:p w14:paraId="4A97017B" w14:textId="77777777" w:rsidR="005B4728" w:rsidRPr="00E8652A" w:rsidRDefault="005B4728">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Garantias financeiras prestadas</w:t>
            </w:r>
          </w:p>
        </w:tc>
        <w:tc>
          <w:tcPr>
            <w:tcW w:w="541" w:type="pct"/>
            <w:vMerge w:val="restart"/>
            <w:tcBorders>
              <w:top w:val="single" w:sz="4" w:space="0" w:color="FFFFFF" w:themeColor="background1"/>
            </w:tcBorders>
            <w:shd w:val="clear" w:color="auto" w:fill="005CA9"/>
            <w:vAlign w:val="center"/>
            <w:hideMark/>
          </w:tcPr>
          <w:p w14:paraId="1E2098A3" w14:textId="77777777" w:rsidR="005B4728" w:rsidRPr="00E8652A" w:rsidRDefault="005B4728">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Total</w:t>
            </w:r>
          </w:p>
        </w:tc>
      </w:tr>
      <w:tr w:rsidR="005B4728" w:rsidRPr="00E8652A" w14:paraId="3F3CAE04" w14:textId="77777777" w:rsidTr="00D91FED">
        <w:trPr>
          <w:trHeight w:val="401"/>
        </w:trPr>
        <w:tc>
          <w:tcPr>
            <w:tcW w:w="1213" w:type="pct"/>
            <w:vMerge/>
            <w:shd w:val="clear" w:color="auto" w:fill="005CA9"/>
            <w:vAlign w:val="center"/>
            <w:hideMark/>
          </w:tcPr>
          <w:p w14:paraId="1D554BE5" w14:textId="77777777" w:rsidR="005B4728" w:rsidRPr="005C44A7" w:rsidRDefault="005B4728">
            <w:pPr>
              <w:rPr>
                <w:rFonts w:ascii="CAIXA Std Book" w:eastAsia="Times New Roman" w:hAnsi="CAIXA Std Book" w:cs="Calibri"/>
                <w:b/>
                <w:color w:val="FFFFFF"/>
                <w:sz w:val="18"/>
                <w:szCs w:val="18"/>
              </w:rPr>
            </w:pPr>
          </w:p>
        </w:tc>
        <w:tc>
          <w:tcPr>
            <w:tcW w:w="541" w:type="pct"/>
            <w:vMerge/>
            <w:shd w:val="clear" w:color="auto" w:fill="005CA9"/>
            <w:vAlign w:val="center"/>
            <w:hideMark/>
          </w:tcPr>
          <w:p w14:paraId="6C4D4457" w14:textId="77777777" w:rsidR="005B4728" w:rsidRPr="00E8652A" w:rsidRDefault="005B4728">
            <w:pPr>
              <w:rPr>
                <w:rFonts w:ascii="CAIXA Std Book" w:eastAsia="Times New Roman" w:hAnsi="CAIXA Std Book" w:cs="Calibri"/>
                <w:b/>
                <w:bCs/>
                <w:color w:val="FFFFFF"/>
                <w:sz w:val="18"/>
                <w:szCs w:val="18"/>
              </w:rPr>
            </w:pPr>
          </w:p>
        </w:tc>
        <w:tc>
          <w:tcPr>
            <w:tcW w:w="541" w:type="pct"/>
            <w:vMerge/>
            <w:shd w:val="clear" w:color="auto" w:fill="005CA9"/>
            <w:vAlign w:val="center"/>
            <w:hideMark/>
          </w:tcPr>
          <w:p w14:paraId="6B43A7A0" w14:textId="77777777" w:rsidR="005B4728" w:rsidRPr="00E8652A" w:rsidRDefault="005B4728">
            <w:pPr>
              <w:rPr>
                <w:rFonts w:ascii="CAIXA Std Book" w:eastAsia="Times New Roman" w:hAnsi="CAIXA Std Book" w:cs="Calibri"/>
                <w:b/>
                <w:bCs/>
                <w:color w:val="FFFFFF"/>
                <w:sz w:val="18"/>
                <w:szCs w:val="18"/>
              </w:rPr>
            </w:pPr>
          </w:p>
        </w:tc>
        <w:tc>
          <w:tcPr>
            <w:tcW w:w="541" w:type="pct"/>
            <w:vMerge/>
            <w:shd w:val="clear" w:color="auto" w:fill="005CA9"/>
            <w:vAlign w:val="center"/>
            <w:hideMark/>
          </w:tcPr>
          <w:p w14:paraId="1D82A63B" w14:textId="77777777" w:rsidR="005B4728" w:rsidRPr="00E8652A" w:rsidRDefault="005B4728">
            <w:pPr>
              <w:rPr>
                <w:rFonts w:ascii="CAIXA Std Book" w:eastAsia="Times New Roman" w:hAnsi="CAIXA Std Book" w:cs="Calibri"/>
                <w:b/>
                <w:bCs/>
                <w:color w:val="FFFFFF"/>
                <w:sz w:val="18"/>
                <w:szCs w:val="18"/>
              </w:rPr>
            </w:pPr>
          </w:p>
        </w:tc>
        <w:tc>
          <w:tcPr>
            <w:tcW w:w="541" w:type="pct"/>
            <w:vMerge/>
            <w:shd w:val="clear" w:color="auto" w:fill="005CA9"/>
            <w:vAlign w:val="center"/>
            <w:hideMark/>
          </w:tcPr>
          <w:p w14:paraId="382FD7B6" w14:textId="77777777" w:rsidR="005B4728" w:rsidRPr="00E8652A" w:rsidRDefault="005B4728">
            <w:pPr>
              <w:rPr>
                <w:rFonts w:ascii="CAIXA Std Book" w:eastAsia="Times New Roman" w:hAnsi="CAIXA Std Book" w:cs="Calibri"/>
                <w:b/>
                <w:bCs/>
                <w:color w:val="FFFFFF"/>
                <w:sz w:val="18"/>
                <w:szCs w:val="18"/>
              </w:rPr>
            </w:pPr>
          </w:p>
        </w:tc>
        <w:tc>
          <w:tcPr>
            <w:tcW w:w="541" w:type="pct"/>
            <w:vMerge/>
            <w:shd w:val="clear" w:color="auto" w:fill="005CA9"/>
            <w:vAlign w:val="center"/>
            <w:hideMark/>
          </w:tcPr>
          <w:p w14:paraId="1E733663" w14:textId="77777777" w:rsidR="005B4728" w:rsidRPr="00E8652A" w:rsidRDefault="005B4728">
            <w:pPr>
              <w:rPr>
                <w:rFonts w:ascii="CAIXA Std Book" w:eastAsia="Times New Roman" w:hAnsi="CAIXA Std Book" w:cs="Calibri"/>
                <w:b/>
                <w:bCs/>
                <w:color w:val="FFFFFF"/>
                <w:sz w:val="18"/>
                <w:szCs w:val="18"/>
              </w:rPr>
            </w:pPr>
          </w:p>
        </w:tc>
        <w:tc>
          <w:tcPr>
            <w:tcW w:w="541" w:type="pct"/>
            <w:vMerge/>
            <w:shd w:val="clear" w:color="auto" w:fill="005CA9"/>
            <w:vAlign w:val="center"/>
            <w:hideMark/>
          </w:tcPr>
          <w:p w14:paraId="44FA4291" w14:textId="77777777" w:rsidR="005B4728" w:rsidRPr="00E8652A" w:rsidRDefault="005B4728">
            <w:pPr>
              <w:rPr>
                <w:rFonts w:ascii="CAIXA Std Book" w:eastAsia="Times New Roman" w:hAnsi="CAIXA Std Book" w:cs="Calibri"/>
                <w:b/>
                <w:bCs/>
                <w:color w:val="FFFFFF"/>
                <w:sz w:val="18"/>
                <w:szCs w:val="18"/>
              </w:rPr>
            </w:pPr>
          </w:p>
        </w:tc>
        <w:tc>
          <w:tcPr>
            <w:tcW w:w="541" w:type="pct"/>
            <w:vMerge/>
            <w:shd w:val="clear" w:color="auto" w:fill="005CA9"/>
            <w:vAlign w:val="center"/>
            <w:hideMark/>
          </w:tcPr>
          <w:p w14:paraId="4FD87CE8" w14:textId="77777777" w:rsidR="005B4728" w:rsidRPr="00E8652A" w:rsidRDefault="005B4728">
            <w:pPr>
              <w:rPr>
                <w:rFonts w:ascii="CAIXA Std Book" w:eastAsia="Times New Roman" w:hAnsi="CAIXA Std Book" w:cs="Calibri"/>
                <w:b/>
                <w:bCs/>
                <w:color w:val="FFFFFF"/>
                <w:sz w:val="18"/>
                <w:szCs w:val="18"/>
              </w:rPr>
            </w:pPr>
          </w:p>
        </w:tc>
      </w:tr>
      <w:tr w:rsidR="005B4728" w:rsidRPr="00E8652A" w14:paraId="29FA5689" w14:textId="77777777" w:rsidTr="00D91FED">
        <w:trPr>
          <w:trHeight w:val="283"/>
        </w:trPr>
        <w:tc>
          <w:tcPr>
            <w:tcW w:w="1213" w:type="pct"/>
            <w:shd w:val="clear" w:color="000000" w:fill="FFFFFF"/>
            <w:noWrap/>
            <w:vAlign w:val="center"/>
            <w:hideMark/>
          </w:tcPr>
          <w:p w14:paraId="15ECB236" w14:textId="77777777" w:rsidR="005B4728" w:rsidRPr="00E8652A" w:rsidRDefault="005B4728">
            <w:pPr>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 xml:space="preserve">Constituição </w:t>
            </w:r>
          </w:p>
        </w:tc>
        <w:tc>
          <w:tcPr>
            <w:tcW w:w="541" w:type="pct"/>
            <w:shd w:val="clear" w:color="000000" w:fill="FFFFFF"/>
            <w:noWrap/>
            <w:vAlign w:val="center"/>
            <w:hideMark/>
          </w:tcPr>
          <w:p w14:paraId="347D8487" w14:textId="77777777" w:rsidR="005B4728" w:rsidRPr="00E8652A" w:rsidRDefault="005B4728">
            <w:pPr>
              <w:jc w:val="center"/>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w:t>
            </w:r>
          </w:p>
        </w:tc>
        <w:tc>
          <w:tcPr>
            <w:tcW w:w="541" w:type="pct"/>
            <w:shd w:val="clear" w:color="000000" w:fill="FFFFFF"/>
            <w:noWrap/>
            <w:vAlign w:val="center"/>
            <w:hideMark/>
          </w:tcPr>
          <w:p w14:paraId="4E5210C0" w14:textId="77777777" w:rsidR="005B4728" w:rsidRPr="00E8652A" w:rsidRDefault="005B4728">
            <w:pPr>
              <w:jc w:val="right"/>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(112.799)</w:t>
            </w:r>
          </w:p>
        </w:tc>
        <w:tc>
          <w:tcPr>
            <w:tcW w:w="541" w:type="pct"/>
            <w:shd w:val="clear" w:color="000000" w:fill="FFFFFF"/>
            <w:noWrap/>
            <w:vAlign w:val="center"/>
            <w:hideMark/>
          </w:tcPr>
          <w:p w14:paraId="3D596A32" w14:textId="77777777" w:rsidR="005B4728" w:rsidRPr="00E8652A" w:rsidRDefault="005B4728">
            <w:pPr>
              <w:jc w:val="right"/>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(2.145.406)</w:t>
            </w:r>
          </w:p>
        </w:tc>
        <w:tc>
          <w:tcPr>
            <w:tcW w:w="541" w:type="pct"/>
            <w:shd w:val="clear" w:color="000000" w:fill="FFFFFF"/>
            <w:noWrap/>
            <w:vAlign w:val="center"/>
            <w:hideMark/>
          </w:tcPr>
          <w:p w14:paraId="2A4BCED7" w14:textId="77777777" w:rsidR="005B4728" w:rsidRPr="00E8652A" w:rsidRDefault="005B4728">
            <w:pPr>
              <w:jc w:val="right"/>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(43.540)</w:t>
            </w:r>
          </w:p>
        </w:tc>
        <w:tc>
          <w:tcPr>
            <w:tcW w:w="541" w:type="pct"/>
            <w:shd w:val="clear" w:color="000000" w:fill="FFFFFF"/>
            <w:noWrap/>
            <w:vAlign w:val="center"/>
            <w:hideMark/>
          </w:tcPr>
          <w:p w14:paraId="394ADD4E" w14:textId="77777777" w:rsidR="005B4728" w:rsidRPr="00E8652A" w:rsidRDefault="005B4728">
            <w:pPr>
              <w:jc w:val="right"/>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(339.522)</w:t>
            </w:r>
          </w:p>
        </w:tc>
        <w:tc>
          <w:tcPr>
            <w:tcW w:w="541" w:type="pct"/>
            <w:shd w:val="clear" w:color="000000" w:fill="FFFFFF"/>
            <w:noWrap/>
            <w:vAlign w:val="center"/>
            <w:hideMark/>
          </w:tcPr>
          <w:p w14:paraId="0818D2F4" w14:textId="77777777" w:rsidR="005B4728" w:rsidRPr="00E8652A" w:rsidRDefault="005B4728">
            <w:pPr>
              <w:jc w:val="right"/>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(7.667)</w:t>
            </w:r>
          </w:p>
        </w:tc>
        <w:tc>
          <w:tcPr>
            <w:tcW w:w="541" w:type="pct"/>
            <w:shd w:val="clear" w:color="000000" w:fill="FFFFFF"/>
            <w:noWrap/>
            <w:vAlign w:val="center"/>
            <w:hideMark/>
          </w:tcPr>
          <w:p w14:paraId="3B619768" w14:textId="77777777" w:rsidR="005B4728" w:rsidRPr="00E8652A" w:rsidRDefault="005B4728">
            <w:pPr>
              <w:jc w:val="right"/>
              <w:rPr>
                <w:rFonts w:ascii="CAIXA Std Book" w:eastAsia="Times New Roman" w:hAnsi="CAIXA Std Book" w:cs="Calibri"/>
                <w:b/>
                <w:bCs/>
                <w:color w:val="005CA9"/>
                <w:sz w:val="18"/>
                <w:szCs w:val="18"/>
              </w:rPr>
            </w:pPr>
            <w:r w:rsidRPr="00E8652A">
              <w:rPr>
                <w:rFonts w:ascii="CAIXA Std Book" w:eastAsia="Times New Roman" w:hAnsi="CAIXA Std Book" w:cs="Calibri"/>
                <w:b/>
                <w:bCs/>
                <w:color w:val="005CA9"/>
                <w:sz w:val="18"/>
                <w:szCs w:val="18"/>
              </w:rPr>
              <w:t>(2.648.934)</w:t>
            </w:r>
          </w:p>
        </w:tc>
      </w:tr>
      <w:tr w:rsidR="005B4728" w:rsidRPr="00E8652A" w14:paraId="223C2C0E" w14:textId="77777777" w:rsidTr="00D91FED">
        <w:trPr>
          <w:trHeight w:val="283"/>
        </w:trPr>
        <w:tc>
          <w:tcPr>
            <w:tcW w:w="1213" w:type="pct"/>
            <w:shd w:val="clear" w:color="000000" w:fill="FFFFFF"/>
            <w:noWrap/>
            <w:vAlign w:val="center"/>
            <w:hideMark/>
          </w:tcPr>
          <w:p w14:paraId="03D692E0" w14:textId="77777777" w:rsidR="005B4728" w:rsidRPr="00E8652A" w:rsidRDefault="005B4728">
            <w:pPr>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 xml:space="preserve">Reversão </w:t>
            </w:r>
          </w:p>
        </w:tc>
        <w:tc>
          <w:tcPr>
            <w:tcW w:w="541" w:type="pct"/>
            <w:shd w:val="clear" w:color="000000" w:fill="FFFFFF"/>
            <w:noWrap/>
            <w:vAlign w:val="center"/>
            <w:hideMark/>
          </w:tcPr>
          <w:p w14:paraId="59CD4B54" w14:textId="77777777" w:rsidR="005B4728" w:rsidRPr="00E8652A" w:rsidRDefault="005B4728">
            <w:pPr>
              <w:jc w:val="right"/>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7.316</w:t>
            </w:r>
          </w:p>
        </w:tc>
        <w:tc>
          <w:tcPr>
            <w:tcW w:w="541" w:type="pct"/>
            <w:shd w:val="clear" w:color="000000" w:fill="FFFFFF"/>
            <w:noWrap/>
            <w:vAlign w:val="center"/>
            <w:hideMark/>
          </w:tcPr>
          <w:p w14:paraId="33CFB8F2" w14:textId="77777777" w:rsidR="005B4728" w:rsidRPr="00E8652A" w:rsidRDefault="005B4728">
            <w:pPr>
              <w:jc w:val="center"/>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w:t>
            </w:r>
          </w:p>
        </w:tc>
        <w:tc>
          <w:tcPr>
            <w:tcW w:w="541" w:type="pct"/>
            <w:shd w:val="clear" w:color="000000" w:fill="FFFFFF"/>
            <w:noWrap/>
            <w:vAlign w:val="center"/>
            <w:hideMark/>
          </w:tcPr>
          <w:p w14:paraId="42F6F72D" w14:textId="77777777" w:rsidR="005B4728" w:rsidRPr="00E8652A" w:rsidRDefault="005B4728">
            <w:pPr>
              <w:jc w:val="right"/>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22.625</w:t>
            </w:r>
          </w:p>
        </w:tc>
        <w:tc>
          <w:tcPr>
            <w:tcW w:w="541" w:type="pct"/>
            <w:shd w:val="clear" w:color="000000" w:fill="FFFFFF"/>
            <w:noWrap/>
            <w:vAlign w:val="center"/>
            <w:hideMark/>
          </w:tcPr>
          <w:p w14:paraId="17755C55" w14:textId="77777777" w:rsidR="005B4728" w:rsidRPr="00E8652A" w:rsidRDefault="005B4728">
            <w:pPr>
              <w:jc w:val="right"/>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78.047</w:t>
            </w:r>
          </w:p>
        </w:tc>
        <w:tc>
          <w:tcPr>
            <w:tcW w:w="541" w:type="pct"/>
            <w:shd w:val="clear" w:color="000000" w:fill="FFFFFF"/>
            <w:noWrap/>
            <w:vAlign w:val="center"/>
            <w:hideMark/>
          </w:tcPr>
          <w:p w14:paraId="0C63DA56" w14:textId="77777777" w:rsidR="005B4728" w:rsidRPr="00E8652A" w:rsidRDefault="005B4728">
            <w:pPr>
              <w:jc w:val="right"/>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447.789</w:t>
            </w:r>
          </w:p>
        </w:tc>
        <w:tc>
          <w:tcPr>
            <w:tcW w:w="541" w:type="pct"/>
            <w:shd w:val="clear" w:color="000000" w:fill="FFFFFF"/>
            <w:noWrap/>
            <w:vAlign w:val="center"/>
            <w:hideMark/>
          </w:tcPr>
          <w:p w14:paraId="6DBBC438" w14:textId="77777777" w:rsidR="005B4728" w:rsidRPr="00E8652A" w:rsidRDefault="005B4728">
            <w:pPr>
              <w:jc w:val="right"/>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570</w:t>
            </w:r>
          </w:p>
        </w:tc>
        <w:tc>
          <w:tcPr>
            <w:tcW w:w="541" w:type="pct"/>
            <w:shd w:val="clear" w:color="000000" w:fill="FFFFFF"/>
            <w:noWrap/>
            <w:vAlign w:val="center"/>
            <w:hideMark/>
          </w:tcPr>
          <w:p w14:paraId="57639446" w14:textId="77777777" w:rsidR="005B4728" w:rsidRPr="00E8652A" w:rsidRDefault="005B4728">
            <w:pPr>
              <w:jc w:val="right"/>
              <w:rPr>
                <w:rFonts w:ascii="CAIXA Std Book" w:eastAsia="Times New Roman" w:hAnsi="CAIXA Std Book" w:cs="Calibri"/>
                <w:b/>
                <w:bCs/>
                <w:color w:val="005CA9"/>
                <w:sz w:val="18"/>
                <w:szCs w:val="18"/>
              </w:rPr>
            </w:pPr>
            <w:r w:rsidRPr="00E8652A">
              <w:rPr>
                <w:rFonts w:ascii="CAIXA Std Book" w:eastAsia="Times New Roman" w:hAnsi="CAIXA Std Book" w:cs="Calibri"/>
                <w:b/>
                <w:bCs/>
                <w:color w:val="005CA9"/>
                <w:sz w:val="18"/>
                <w:szCs w:val="18"/>
              </w:rPr>
              <w:t>556.347</w:t>
            </w:r>
          </w:p>
        </w:tc>
      </w:tr>
      <w:tr w:rsidR="005B4728" w:rsidRPr="00E8652A" w14:paraId="6DC74803" w14:textId="77777777" w:rsidTr="00D91FED">
        <w:trPr>
          <w:trHeight w:val="283"/>
        </w:trPr>
        <w:tc>
          <w:tcPr>
            <w:tcW w:w="1213" w:type="pct"/>
            <w:shd w:val="clear" w:color="auto" w:fill="005CA9"/>
            <w:noWrap/>
            <w:vAlign w:val="center"/>
            <w:hideMark/>
          </w:tcPr>
          <w:p w14:paraId="7972DAC4" w14:textId="77777777" w:rsidR="005B4728" w:rsidRPr="00E8652A" w:rsidRDefault="005B4728">
            <w:pP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Saldo final</w:t>
            </w:r>
          </w:p>
        </w:tc>
        <w:tc>
          <w:tcPr>
            <w:tcW w:w="541" w:type="pct"/>
            <w:shd w:val="clear" w:color="auto" w:fill="005CA9"/>
            <w:noWrap/>
            <w:vAlign w:val="center"/>
            <w:hideMark/>
          </w:tcPr>
          <w:p w14:paraId="463F8E8F" w14:textId="44439B4D" w:rsidR="005B4728" w:rsidRPr="00E8652A" w:rsidRDefault="005B4728">
            <w:pPr>
              <w:jc w:val="right"/>
              <w:rPr>
                <w:rFonts w:ascii="CAIXA Std Book" w:eastAsia="Times New Roman" w:hAnsi="CAIXA Std Book" w:cs="Calibri"/>
                <w:b/>
                <w:bCs/>
                <w:color w:val="FFFFFF"/>
                <w:sz w:val="18"/>
                <w:szCs w:val="18"/>
              </w:rPr>
            </w:pPr>
            <w:r w:rsidRPr="005C44A7">
              <w:rPr>
                <w:rFonts w:ascii="CAIXA Std Book" w:eastAsia="Times New Roman" w:hAnsi="CAIXA Std Book" w:cs="Calibri"/>
                <w:b/>
                <w:bCs/>
                <w:color w:val="FFFFFF"/>
                <w:sz w:val="18"/>
                <w:szCs w:val="18"/>
              </w:rPr>
              <w:t>7.316</w:t>
            </w:r>
          </w:p>
        </w:tc>
        <w:tc>
          <w:tcPr>
            <w:tcW w:w="541" w:type="pct"/>
            <w:shd w:val="clear" w:color="auto" w:fill="005CA9"/>
            <w:noWrap/>
            <w:vAlign w:val="center"/>
            <w:hideMark/>
          </w:tcPr>
          <w:p w14:paraId="0F4CD972" w14:textId="70A9AF4A" w:rsidR="005B4728" w:rsidRPr="00E8652A" w:rsidRDefault="005B4728">
            <w:pPr>
              <w:jc w:val="right"/>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(112.799)</w:t>
            </w:r>
          </w:p>
        </w:tc>
        <w:tc>
          <w:tcPr>
            <w:tcW w:w="541" w:type="pct"/>
            <w:shd w:val="clear" w:color="auto" w:fill="005CA9"/>
            <w:noWrap/>
            <w:vAlign w:val="center"/>
            <w:hideMark/>
          </w:tcPr>
          <w:p w14:paraId="123EA78F" w14:textId="38B68D50" w:rsidR="005B4728" w:rsidRPr="00E8652A" w:rsidRDefault="005B4728">
            <w:pPr>
              <w:jc w:val="right"/>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(2.122.781)</w:t>
            </w:r>
          </w:p>
        </w:tc>
        <w:tc>
          <w:tcPr>
            <w:tcW w:w="541" w:type="pct"/>
            <w:shd w:val="clear" w:color="auto" w:fill="005CA9"/>
            <w:noWrap/>
            <w:vAlign w:val="center"/>
            <w:hideMark/>
          </w:tcPr>
          <w:p w14:paraId="08AED4D2" w14:textId="23A06001" w:rsidR="005B4728" w:rsidRPr="00E8652A" w:rsidRDefault="005B4728">
            <w:pPr>
              <w:jc w:val="right"/>
              <w:rPr>
                <w:rFonts w:ascii="CAIXA Std Book" w:eastAsia="Times New Roman" w:hAnsi="CAIXA Std Book" w:cs="Calibri"/>
                <w:b/>
                <w:bCs/>
                <w:color w:val="FFFFFF"/>
                <w:sz w:val="18"/>
                <w:szCs w:val="18"/>
              </w:rPr>
            </w:pPr>
            <w:r w:rsidRPr="005C44A7">
              <w:rPr>
                <w:rFonts w:ascii="CAIXA Std Book" w:eastAsia="Times New Roman" w:hAnsi="CAIXA Std Book" w:cs="Calibri"/>
                <w:b/>
                <w:bCs/>
                <w:color w:val="FFFFFF"/>
                <w:sz w:val="18"/>
                <w:szCs w:val="18"/>
              </w:rPr>
              <w:t>34.507</w:t>
            </w:r>
          </w:p>
        </w:tc>
        <w:tc>
          <w:tcPr>
            <w:tcW w:w="541" w:type="pct"/>
            <w:shd w:val="clear" w:color="auto" w:fill="005CA9"/>
            <w:noWrap/>
            <w:vAlign w:val="center"/>
            <w:hideMark/>
          </w:tcPr>
          <w:p w14:paraId="362734C9" w14:textId="5BAD472A" w:rsidR="005B4728" w:rsidRPr="00E8652A" w:rsidRDefault="005B4728">
            <w:pPr>
              <w:jc w:val="right"/>
              <w:rPr>
                <w:rFonts w:ascii="CAIXA Std Book" w:eastAsia="Times New Roman" w:hAnsi="CAIXA Std Book" w:cs="Calibri"/>
                <w:b/>
                <w:bCs/>
                <w:color w:val="FFFFFF"/>
                <w:sz w:val="18"/>
                <w:szCs w:val="18"/>
              </w:rPr>
            </w:pPr>
            <w:r w:rsidRPr="005C44A7">
              <w:rPr>
                <w:rFonts w:ascii="CAIXA Std Book" w:eastAsia="Times New Roman" w:hAnsi="CAIXA Std Book" w:cs="Calibri"/>
                <w:b/>
                <w:bCs/>
                <w:color w:val="FFFFFF"/>
                <w:sz w:val="18"/>
                <w:szCs w:val="18"/>
              </w:rPr>
              <w:t>108.267</w:t>
            </w:r>
          </w:p>
        </w:tc>
        <w:tc>
          <w:tcPr>
            <w:tcW w:w="541" w:type="pct"/>
            <w:shd w:val="clear" w:color="auto" w:fill="005CA9"/>
            <w:noWrap/>
            <w:vAlign w:val="center"/>
            <w:hideMark/>
          </w:tcPr>
          <w:p w14:paraId="1920DB36" w14:textId="21900EAB" w:rsidR="005B4728" w:rsidRPr="00E8652A" w:rsidRDefault="005B4728">
            <w:pPr>
              <w:jc w:val="right"/>
              <w:rPr>
                <w:rFonts w:ascii="CAIXA Std Book" w:eastAsia="Times New Roman" w:hAnsi="CAIXA Std Book" w:cs="Calibri"/>
                <w:b/>
                <w:bCs/>
                <w:color w:val="FFFFFF"/>
                <w:sz w:val="18"/>
                <w:szCs w:val="18"/>
              </w:rPr>
            </w:pPr>
            <w:r w:rsidRPr="005C44A7">
              <w:rPr>
                <w:rFonts w:ascii="CAIXA Std Book" w:eastAsia="Times New Roman" w:hAnsi="CAIXA Std Book" w:cs="Calibri"/>
                <w:b/>
                <w:bCs/>
                <w:color w:val="FFFFFF"/>
                <w:sz w:val="18"/>
                <w:szCs w:val="18"/>
              </w:rPr>
              <w:t>(7.097)</w:t>
            </w:r>
          </w:p>
        </w:tc>
        <w:tc>
          <w:tcPr>
            <w:tcW w:w="541" w:type="pct"/>
            <w:shd w:val="clear" w:color="auto" w:fill="005CA9"/>
            <w:noWrap/>
            <w:vAlign w:val="center"/>
            <w:hideMark/>
          </w:tcPr>
          <w:p w14:paraId="1C867871" w14:textId="2E8F8BFE" w:rsidR="005B4728" w:rsidRPr="00E8652A" w:rsidRDefault="005B4728">
            <w:pPr>
              <w:jc w:val="right"/>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(2.092.587)</w:t>
            </w:r>
          </w:p>
        </w:tc>
      </w:tr>
    </w:tbl>
    <w:p w14:paraId="64F07604" w14:textId="77777777" w:rsidR="009C31E2" w:rsidRDefault="009C31E2">
      <w:pPr>
        <w:rPr>
          <w:rFonts w:ascii="CAIXA Std Book" w:hAnsi="CAIXA Std Book"/>
          <w:b/>
          <w:color w:val="005CA9"/>
          <w:sz w:val="20"/>
          <w:szCs w:val="20"/>
        </w:rPr>
      </w:pPr>
      <w:r>
        <w:rPr>
          <w:rFonts w:ascii="CAIXA Std Book" w:hAnsi="CAIXA Std Book"/>
          <w:b/>
          <w:color w:val="005CA9"/>
          <w:sz w:val="20"/>
          <w:szCs w:val="20"/>
        </w:rPr>
        <w:br w:type="page"/>
      </w:r>
    </w:p>
    <w:p w14:paraId="6DD488DC" w14:textId="77777777" w:rsidR="00C91D53" w:rsidRDefault="00C91D53" w:rsidP="001373FB">
      <w:pPr>
        <w:rPr>
          <w:rFonts w:ascii="CAIXA Std Book" w:hAnsi="CAIXA Std Book"/>
          <w:b/>
          <w:color w:val="005CA9"/>
          <w:sz w:val="20"/>
          <w:szCs w:val="20"/>
        </w:rPr>
      </w:pPr>
    </w:p>
    <w:tbl>
      <w:tblPr>
        <w:tblW w:w="5000" w:type="pct"/>
        <w:tblLayout w:type="fixed"/>
        <w:tblCellMar>
          <w:left w:w="70" w:type="dxa"/>
          <w:right w:w="70" w:type="dxa"/>
        </w:tblCellMar>
        <w:tblLook w:val="04A0" w:firstRow="1" w:lastRow="0" w:firstColumn="1" w:lastColumn="0" w:noHBand="0" w:noVBand="1"/>
      </w:tblPr>
      <w:tblGrid>
        <w:gridCol w:w="3544"/>
        <w:gridCol w:w="1577"/>
        <w:gridCol w:w="1576"/>
        <w:gridCol w:w="1576"/>
        <w:gridCol w:w="1576"/>
        <w:gridCol w:w="1576"/>
        <w:gridCol w:w="1576"/>
        <w:gridCol w:w="1568"/>
      </w:tblGrid>
      <w:tr w:rsidR="00FA5C0C" w:rsidRPr="001373FB" w14:paraId="0AF48FD7" w14:textId="77777777" w:rsidTr="00D91FED">
        <w:trPr>
          <w:trHeight w:val="283"/>
        </w:trPr>
        <w:tc>
          <w:tcPr>
            <w:tcW w:w="5000" w:type="pct"/>
            <w:gridSpan w:val="8"/>
            <w:tcBorders>
              <w:bottom w:val="single" w:sz="4" w:space="0" w:color="FFFFFF" w:themeColor="background1"/>
            </w:tcBorders>
            <w:shd w:val="clear" w:color="auto" w:fill="005CA9"/>
            <w:vAlign w:val="center"/>
            <w:hideMark/>
          </w:tcPr>
          <w:p w14:paraId="7823A818" w14:textId="316FBCCB" w:rsidR="00951257" w:rsidRPr="001373FB" w:rsidRDefault="00951257">
            <w:pPr>
              <w:jc w:val="center"/>
              <w:rPr>
                <w:rFonts w:ascii="CAIXA Std Book" w:eastAsia="Times New Roman" w:hAnsi="CAIXA Std Book" w:cs="Calibri"/>
                <w:b/>
                <w:bCs/>
                <w:color w:val="FFFFFF"/>
                <w:sz w:val="18"/>
                <w:szCs w:val="18"/>
              </w:rPr>
            </w:pPr>
            <w:r w:rsidRPr="001373FB">
              <w:rPr>
                <w:rFonts w:ascii="CAIXA Std Book" w:eastAsia="Times New Roman" w:hAnsi="CAIXA Std Book" w:cs="Calibri"/>
                <w:b/>
                <w:bCs/>
                <w:color w:val="FFFFFF"/>
                <w:sz w:val="18"/>
                <w:szCs w:val="18"/>
              </w:rPr>
              <w:t>Consolidado</w:t>
            </w:r>
          </w:p>
        </w:tc>
      </w:tr>
      <w:tr w:rsidR="00714016" w:rsidRPr="001373FB" w14:paraId="5B7FBBDE" w14:textId="77777777" w:rsidTr="00D91FED">
        <w:trPr>
          <w:trHeight w:val="283"/>
        </w:trPr>
        <w:tc>
          <w:tcPr>
            <w:tcW w:w="1216" w:type="pct"/>
            <w:vMerge w:val="restart"/>
            <w:tcBorders>
              <w:top w:val="single" w:sz="4" w:space="0" w:color="FFFFFF" w:themeColor="background1"/>
            </w:tcBorders>
            <w:shd w:val="clear" w:color="auto" w:fill="005CA9"/>
            <w:vAlign w:val="center"/>
            <w:hideMark/>
          </w:tcPr>
          <w:p w14:paraId="633EECF7" w14:textId="77777777" w:rsidR="00951257" w:rsidRPr="001373FB" w:rsidRDefault="00951257">
            <w:pPr>
              <w:jc w:val="center"/>
              <w:rPr>
                <w:rFonts w:ascii="CAIXA Std Book" w:eastAsia="Times New Roman" w:hAnsi="CAIXA Std Book" w:cs="Calibri"/>
                <w:b/>
                <w:bCs/>
                <w:color w:val="FFFFFF"/>
                <w:sz w:val="18"/>
                <w:szCs w:val="18"/>
              </w:rPr>
            </w:pPr>
            <w:r w:rsidRPr="001373FB">
              <w:rPr>
                <w:rFonts w:ascii="CAIXA Std Book" w:eastAsia="Times New Roman" w:hAnsi="CAIXA Std Book" w:cs="Calibri"/>
                <w:b/>
                <w:bCs/>
                <w:color w:val="FFFFFF"/>
                <w:sz w:val="18"/>
                <w:szCs w:val="18"/>
              </w:rPr>
              <w:t>Descrição</w:t>
            </w:r>
          </w:p>
        </w:tc>
        <w:tc>
          <w:tcPr>
            <w:tcW w:w="3784" w:type="pct"/>
            <w:gridSpan w:val="7"/>
            <w:tcBorders>
              <w:top w:val="single" w:sz="4" w:space="0" w:color="FFFFFF" w:themeColor="background1"/>
              <w:bottom w:val="single" w:sz="4" w:space="0" w:color="FFFFFF" w:themeColor="background1"/>
            </w:tcBorders>
            <w:shd w:val="clear" w:color="auto" w:fill="005CA9"/>
            <w:noWrap/>
            <w:vAlign w:val="center"/>
            <w:hideMark/>
          </w:tcPr>
          <w:p w14:paraId="0015B2F9" w14:textId="326C38CD" w:rsidR="00951257" w:rsidRPr="001373FB" w:rsidRDefault="005B4728">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1º trimestre de 202</w:t>
            </w:r>
            <w:r>
              <w:rPr>
                <w:rFonts w:ascii="CAIXA Std Book" w:eastAsia="Times New Roman" w:hAnsi="CAIXA Std Book" w:cs="Calibri"/>
                <w:b/>
                <w:bCs/>
                <w:color w:val="FFFFFF"/>
                <w:sz w:val="18"/>
                <w:szCs w:val="18"/>
              </w:rPr>
              <w:t>6</w:t>
            </w:r>
          </w:p>
        </w:tc>
      </w:tr>
      <w:tr w:rsidR="00CB2D4E" w:rsidRPr="001373FB" w14:paraId="025DA038" w14:textId="77777777" w:rsidTr="00D91FED">
        <w:trPr>
          <w:trHeight w:val="401"/>
        </w:trPr>
        <w:tc>
          <w:tcPr>
            <w:tcW w:w="1216" w:type="pct"/>
            <w:vMerge/>
            <w:tcBorders>
              <w:top w:val="single" w:sz="4" w:space="0" w:color="FFFFFF" w:themeColor="background1"/>
            </w:tcBorders>
            <w:shd w:val="clear" w:color="auto" w:fill="005CA9"/>
            <w:vAlign w:val="center"/>
            <w:hideMark/>
          </w:tcPr>
          <w:p w14:paraId="4E572371" w14:textId="77777777" w:rsidR="00951257" w:rsidRPr="001373FB" w:rsidRDefault="00951257">
            <w:pPr>
              <w:rPr>
                <w:rFonts w:ascii="CAIXA Std Book" w:eastAsia="Times New Roman" w:hAnsi="CAIXA Std Book" w:cs="Calibri"/>
                <w:b/>
                <w:color w:val="FFFFFF"/>
                <w:sz w:val="18"/>
                <w:szCs w:val="18"/>
              </w:rPr>
            </w:pPr>
          </w:p>
        </w:tc>
        <w:tc>
          <w:tcPr>
            <w:tcW w:w="541" w:type="pct"/>
            <w:vMerge w:val="restart"/>
            <w:tcBorders>
              <w:top w:val="single" w:sz="4" w:space="0" w:color="FFFFFF" w:themeColor="background1"/>
            </w:tcBorders>
            <w:shd w:val="clear" w:color="auto" w:fill="005CA9"/>
            <w:vAlign w:val="center"/>
            <w:hideMark/>
          </w:tcPr>
          <w:p w14:paraId="7FF78DD3" w14:textId="77777777" w:rsidR="00951257" w:rsidRPr="001373FB" w:rsidRDefault="00951257">
            <w:pPr>
              <w:jc w:val="center"/>
              <w:rPr>
                <w:rFonts w:ascii="CAIXA Std Book" w:eastAsia="Times New Roman" w:hAnsi="CAIXA Std Book" w:cs="Calibri"/>
                <w:b/>
                <w:bCs/>
                <w:color w:val="FFFFFF"/>
                <w:sz w:val="18"/>
                <w:szCs w:val="18"/>
              </w:rPr>
            </w:pPr>
            <w:r w:rsidRPr="001373FB">
              <w:rPr>
                <w:rFonts w:ascii="CAIXA Std Book" w:eastAsia="Times New Roman" w:hAnsi="CAIXA Std Book" w:cs="Calibri"/>
                <w:b/>
                <w:bCs/>
                <w:color w:val="FFFFFF"/>
                <w:sz w:val="18"/>
                <w:szCs w:val="18"/>
              </w:rPr>
              <w:t>Aplicações interfinanceiras de liquidez</w:t>
            </w:r>
          </w:p>
        </w:tc>
        <w:tc>
          <w:tcPr>
            <w:tcW w:w="541" w:type="pct"/>
            <w:vMerge w:val="restart"/>
            <w:tcBorders>
              <w:top w:val="single" w:sz="4" w:space="0" w:color="FFFFFF" w:themeColor="background1"/>
            </w:tcBorders>
            <w:shd w:val="clear" w:color="auto" w:fill="005CA9"/>
            <w:vAlign w:val="center"/>
            <w:hideMark/>
          </w:tcPr>
          <w:p w14:paraId="5708C772" w14:textId="77777777" w:rsidR="00951257" w:rsidRPr="001373FB" w:rsidRDefault="00951257">
            <w:pPr>
              <w:jc w:val="center"/>
              <w:rPr>
                <w:rFonts w:ascii="CAIXA Std Book" w:eastAsia="Times New Roman" w:hAnsi="CAIXA Std Book" w:cs="Calibri"/>
                <w:b/>
                <w:bCs/>
                <w:color w:val="FFFFFF"/>
                <w:sz w:val="18"/>
                <w:szCs w:val="18"/>
              </w:rPr>
            </w:pPr>
            <w:r w:rsidRPr="001373FB">
              <w:rPr>
                <w:rFonts w:ascii="CAIXA Std Book" w:eastAsia="Times New Roman" w:hAnsi="CAIXA Std Book" w:cs="Calibri"/>
                <w:b/>
                <w:bCs/>
                <w:color w:val="FFFFFF"/>
                <w:sz w:val="18"/>
                <w:szCs w:val="18"/>
              </w:rPr>
              <w:t>Títulos e valores mobiliários</w:t>
            </w:r>
          </w:p>
        </w:tc>
        <w:tc>
          <w:tcPr>
            <w:tcW w:w="541" w:type="pct"/>
            <w:vMerge w:val="restart"/>
            <w:tcBorders>
              <w:top w:val="single" w:sz="4" w:space="0" w:color="FFFFFF" w:themeColor="background1"/>
            </w:tcBorders>
            <w:shd w:val="clear" w:color="auto" w:fill="005CA9"/>
            <w:vAlign w:val="center"/>
            <w:hideMark/>
          </w:tcPr>
          <w:p w14:paraId="06D83A8E" w14:textId="77777777" w:rsidR="00951257" w:rsidRPr="001373FB" w:rsidRDefault="00951257">
            <w:pPr>
              <w:jc w:val="center"/>
              <w:rPr>
                <w:rFonts w:ascii="CAIXA Std Book" w:eastAsia="Times New Roman" w:hAnsi="CAIXA Std Book" w:cs="Calibri"/>
                <w:b/>
                <w:bCs/>
                <w:color w:val="FFFFFF"/>
                <w:sz w:val="18"/>
                <w:szCs w:val="18"/>
              </w:rPr>
            </w:pPr>
            <w:r w:rsidRPr="001373FB">
              <w:rPr>
                <w:rFonts w:ascii="CAIXA Std Book" w:eastAsia="Times New Roman" w:hAnsi="CAIXA Std Book" w:cs="Calibri"/>
                <w:b/>
                <w:bCs/>
                <w:color w:val="FFFFFF"/>
                <w:sz w:val="18"/>
                <w:szCs w:val="18"/>
              </w:rPr>
              <w:t>Carteira de crédito</w:t>
            </w:r>
          </w:p>
        </w:tc>
        <w:tc>
          <w:tcPr>
            <w:tcW w:w="541" w:type="pct"/>
            <w:vMerge w:val="restart"/>
            <w:tcBorders>
              <w:top w:val="single" w:sz="4" w:space="0" w:color="FFFFFF" w:themeColor="background1"/>
            </w:tcBorders>
            <w:shd w:val="clear" w:color="auto" w:fill="005CA9"/>
            <w:vAlign w:val="center"/>
            <w:hideMark/>
          </w:tcPr>
          <w:p w14:paraId="304B20C5" w14:textId="128B6CED" w:rsidR="00951257" w:rsidRPr="001373FB" w:rsidRDefault="00951257">
            <w:pPr>
              <w:jc w:val="center"/>
              <w:rPr>
                <w:rFonts w:ascii="CAIXA Std Book" w:eastAsia="Times New Roman" w:hAnsi="CAIXA Std Book" w:cs="Calibri"/>
                <w:b/>
                <w:bCs/>
                <w:color w:val="FFFFFF"/>
                <w:sz w:val="18"/>
                <w:szCs w:val="18"/>
              </w:rPr>
            </w:pPr>
            <w:r w:rsidRPr="001373FB">
              <w:rPr>
                <w:rFonts w:ascii="CAIXA Std Book" w:eastAsia="Times New Roman" w:hAnsi="CAIXA Std Book" w:cs="Calibri"/>
                <w:b/>
                <w:bCs/>
                <w:color w:val="FFFFFF"/>
                <w:sz w:val="18"/>
                <w:szCs w:val="18"/>
              </w:rPr>
              <w:t>Outros ativos</w:t>
            </w:r>
            <w:r w:rsidR="00902754">
              <w:rPr>
                <w:rFonts w:ascii="CAIXA Std Book" w:eastAsia="Times New Roman" w:hAnsi="CAIXA Std Book" w:cs="Calibri"/>
                <w:b/>
                <w:bCs/>
                <w:color w:val="FFFFFF"/>
                <w:sz w:val="18"/>
                <w:szCs w:val="18"/>
              </w:rPr>
              <w:t xml:space="preserve"> financeiros</w:t>
            </w:r>
          </w:p>
        </w:tc>
        <w:tc>
          <w:tcPr>
            <w:tcW w:w="541" w:type="pct"/>
            <w:vMerge w:val="restart"/>
            <w:tcBorders>
              <w:top w:val="single" w:sz="4" w:space="0" w:color="FFFFFF" w:themeColor="background1"/>
            </w:tcBorders>
            <w:shd w:val="clear" w:color="auto" w:fill="005CA9"/>
            <w:vAlign w:val="center"/>
            <w:hideMark/>
          </w:tcPr>
          <w:p w14:paraId="4D34EE79" w14:textId="77777777" w:rsidR="00951257" w:rsidRPr="001373FB" w:rsidRDefault="00951257">
            <w:pPr>
              <w:jc w:val="center"/>
              <w:rPr>
                <w:rFonts w:ascii="CAIXA Std Book" w:eastAsia="Times New Roman" w:hAnsi="CAIXA Std Book" w:cs="Calibri"/>
                <w:b/>
                <w:bCs/>
                <w:color w:val="FFFFFF"/>
                <w:sz w:val="18"/>
                <w:szCs w:val="18"/>
              </w:rPr>
            </w:pPr>
            <w:r w:rsidRPr="001373FB">
              <w:rPr>
                <w:rFonts w:ascii="CAIXA Std Book" w:eastAsia="Times New Roman" w:hAnsi="CAIXA Std Book" w:cs="Calibri"/>
                <w:b/>
                <w:bCs/>
                <w:color w:val="FFFFFF"/>
                <w:sz w:val="18"/>
                <w:szCs w:val="18"/>
              </w:rPr>
              <w:t>Comp. de crédito/</w:t>
            </w:r>
          </w:p>
          <w:p w14:paraId="02AD67AF" w14:textId="77777777" w:rsidR="00951257" w:rsidRPr="001373FB" w:rsidRDefault="00951257">
            <w:pPr>
              <w:jc w:val="center"/>
              <w:rPr>
                <w:rFonts w:ascii="CAIXA Std Book" w:eastAsia="Times New Roman" w:hAnsi="CAIXA Std Book" w:cs="Calibri"/>
                <w:b/>
                <w:bCs/>
                <w:color w:val="FFFFFF"/>
                <w:sz w:val="18"/>
                <w:szCs w:val="18"/>
              </w:rPr>
            </w:pPr>
            <w:r w:rsidRPr="001373FB">
              <w:rPr>
                <w:rFonts w:ascii="CAIXA Std Book" w:eastAsia="Times New Roman" w:hAnsi="CAIXA Std Book" w:cs="Calibri"/>
                <w:b/>
                <w:bCs/>
                <w:color w:val="FFFFFF"/>
                <w:sz w:val="18"/>
                <w:szCs w:val="18"/>
              </w:rPr>
              <w:t>créd. a liberar</w:t>
            </w:r>
          </w:p>
        </w:tc>
        <w:tc>
          <w:tcPr>
            <w:tcW w:w="541" w:type="pct"/>
            <w:vMerge w:val="restart"/>
            <w:tcBorders>
              <w:top w:val="single" w:sz="4" w:space="0" w:color="FFFFFF" w:themeColor="background1"/>
            </w:tcBorders>
            <w:shd w:val="clear" w:color="auto" w:fill="005CA9"/>
            <w:vAlign w:val="center"/>
            <w:hideMark/>
          </w:tcPr>
          <w:p w14:paraId="516F623D" w14:textId="77777777" w:rsidR="00951257" w:rsidRPr="001373FB" w:rsidRDefault="00951257">
            <w:pPr>
              <w:jc w:val="center"/>
              <w:rPr>
                <w:rFonts w:ascii="CAIXA Std Book" w:eastAsia="Times New Roman" w:hAnsi="CAIXA Std Book" w:cs="Calibri"/>
                <w:b/>
                <w:bCs/>
                <w:color w:val="FFFFFF"/>
                <w:sz w:val="18"/>
                <w:szCs w:val="18"/>
              </w:rPr>
            </w:pPr>
            <w:r w:rsidRPr="001373FB">
              <w:rPr>
                <w:rFonts w:ascii="CAIXA Std Book" w:eastAsia="Times New Roman" w:hAnsi="CAIXA Std Book" w:cs="Calibri"/>
                <w:b/>
                <w:bCs/>
                <w:color w:val="FFFFFF"/>
                <w:sz w:val="18"/>
                <w:szCs w:val="18"/>
              </w:rPr>
              <w:t>Garantias financeiras prestadas</w:t>
            </w:r>
          </w:p>
        </w:tc>
        <w:tc>
          <w:tcPr>
            <w:tcW w:w="541" w:type="pct"/>
            <w:vMerge w:val="restart"/>
            <w:tcBorders>
              <w:top w:val="single" w:sz="4" w:space="0" w:color="FFFFFF" w:themeColor="background1"/>
            </w:tcBorders>
            <w:shd w:val="clear" w:color="auto" w:fill="005CA9"/>
            <w:vAlign w:val="center"/>
            <w:hideMark/>
          </w:tcPr>
          <w:p w14:paraId="3918AACF" w14:textId="77777777" w:rsidR="00951257" w:rsidRPr="001373FB" w:rsidRDefault="00951257">
            <w:pPr>
              <w:jc w:val="center"/>
              <w:rPr>
                <w:rFonts w:ascii="CAIXA Std Book" w:eastAsia="Times New Roman" w:hAnsi="CAIXA Std Book" w:cs="Calibri"/>
                <w:b/>
                <w:bCs/>
                <w:color w:val="FFFFFF"/>
                <w:sz w:val="18"/>
                <w:szCs w:val="18"/>
              </w:rPr>
            </w:pPr>
            <w:r w:rsidRPr="001373FB">
              <w:rPr>
                <w:rFonts w:ascii="CAIXA Std Book" w:eastAsia="Times New Roman" w:hAnsi="CAIXA Std Book" w:cs="Calibri"/>
                <w:b/>
                <w:bCs/>
                <w:color w:val="FFFFFF"/>
                <w:sz w:val="18"/>
                <w:szCs w:val="18"/>
              </w:rPr>
              <w:t>Total</w:t>
            </w:r>
          </w:p>
        </w:tc>
      </w:tr>
      <w:tr w:rsidR="00CB2D4E" w:rsidRPr="001373FB" w14:paraId="5818F6A3" w14:textId="77777777" w:rsidTr="00D91FED">
        <w:trPr>
          <w:trHeight w:val="401"/>
        </w:trPr>
        <w:tc>
          <w:tcPr>
            <w:tcW w:w="1216" w:type="pct"/>
            <w:vMerge/>
            <w:shd w:val="clear" w:color="auto" w:fill="005CA9"/>
            <w:vAlign w:val="center"/>
            <w:hideMark/>
          </w:tcPr>
          <w:p w14:paraId="5CD82FBA" w14:textId="77777777" w:rsidR="00951257" w:rsidRPr="001373FB" w:rsidRDefault="00951257">
            <w:pPr>
              <w:rPr>
                <w:rFonts w:ascii="CAIXA Std Book" w:eastAsia="Times New Roman" w:hAnsi="CAIXA Std Book" w:cs="Calibri"/>
                <w:b/>
                <w:color w:val="FFFFFF"/>
                <w:sz w:val="18"/>
                <w:szCs w:val="18"/>
              </w:rPr>
            </w:pPr>
          </w:p>
        </w:tc>
        <w:tc>
          <w:tcPr>
            <w:tcW w:w="541" w:type="pct"/>
            <w:vMerge/>
            <w:shd w:val="clear" w:color="auto" w:fill="005CA9"/>
            <w:vAlign w:val="center"/>
            <w:hideMark/>
          </w:tcPr>
          <w:p w14:paraId="6CABD2EE" w14:textId="77777777" w:rsidR="00951257" w:rsidRPr="001373FB" w:rsidRDefault="00951257">
            <w:pPr>
              <w:rPr>
                <w:rFonts w:ascii="CAIXA Std Book" w:eastAsia="Times New Roman" w:hAnsi="CAIXA Std Book" w:cs="Calibri"/>
                <w:b/>
                <w:bCs/>
                <w:color w:val="FFFFFF"/>
                <w:sz w:val="18"/>
                <w:szCs w:val="18"/>
              </w:rPr>
            </w:pPr>
          </w:p>
        </w:tc>
        <w:tc>
          <w:tcPr>
            <w:tcW w:w="541" w:type="pct"/>
            <w:vMerge/>
            <w:shd w:val="clear" w:color="auto" w:fill="005CA9"/>
            <w:vAlign w:val="center"/>
            <w:hideMark/>
          </w:tcPr>
          <w:p w14:paraId="16C7D592" w14:textId="77777777" w:rsidR="00951257" w:rsidRPr="001373FB" w:rsidRDefault="00951257">
            <w:pPr>
              <w:rPr>
                <w:rFonts w:ascii="CAIXA Std Book" w:eastAsia="Times New Roman" w:hAnsi="CAIXA Std Book" w:cs="Calibri"/>
                <w:b/>
                <w:bCs/>
                <w:color w:val="FFFFFF"/>
                <w:sz w:val="18"/>
                <w:szCs w:val="18"/>
              </w:rPr>
            </w:pPr>
          </w:p>
        </w:tc>
        <w:tc>
          <w:tcPr>
            <w:tcW w:w="541" w:type="pct"/>
            <w:vMerge/>
            <w:shd w:val="clear" w:color="auto" w:fill="005CA9"/>
            <w:vAlign w:val="center"/>
            <w:hideMark/>
          </w:tcPr>
          <w:p w14:paraId="0B59051A" w14:textId="77777777" w:rsidR="00951257" w:rsidRPr="001373FB" w:rsidRDefault="00951257">
            <w:pPr>
              <w:rPr>
                <w:rFonts w:ascii="CAIXA Std Book" w:eastAsia="Times New Roman" w:hAnsi="CAIXA Std Book" w:cs="Calibri"/>
                <w:b/>
                <w:bCs/>
                <w:color w:val="FFFFFF"/>
                <w:sz w:val="18"/>
                <w:szCs w:val="18"/>
              </w:rPr>
            </w:pPr>
          </w:p>
        </w:tc>
        <w:tc>
          <w:tcPr>
            <w:tcW w:w="541" w:type="pct"/>
            <w:vMerge/>
            <w:shd w:val="clear" w:color="auto" w:fill="005CA9"/>
            <w:vAlign w:val="center"/>
            <w:hideMark/>
          </w:tcPr>
          <w:p w14:paraId="71257FB9" w14:textId="77777777" w:rsidR="00951257" w:rsidRPr="001373FB" w:rsidRDefault="00951257">
            <w:pPr>
              <w:rPr>
                <w:rFonts w:ascii="CAIXA Std Book" w:eastAsia="Times New Roman" w:hAnsi="CAIXA Std Book" w:cs="Calibri"/>
                <w:b/>
                <w:bCs/>
                <w:color w:val="FFFFFF"/>
                <w:sz w:val="18"/>
                <w:szCs w:val="18"/>
              </w:rPr>
            </w:pPr>
          </w:p>
        </w:tc>
        <w:tc>
          <w:tcPr>
            <w:tcW w:w="541" w:type="pct"/>
            <w:vMerge/>
            <w:shd w:val="clear" w:color="auto" w:fill="005CA9"/>
            <w:vAlign w:val="center"/>
            <w:hideMark/>
          </w:tcPr>
          <w:p w14:paraId="46A1CEC6" w14:textId="77777777" w:rsidR="00951257" w:rsidRPr="001373FB" w:rsidRDefault="00951257">
            <w:pPr>
              <w:rPr>
                <w:rFonts w:ascii="CAIXA Std Book" w:eastAsia="Times New Roman" w:hAnsi="CAIXA Std Book" w:cs="Calibri"/>
                <w:b/>
                <w:bCs/>
                <w:color w:val="FFFFFF"/>
                <w:sz w:val="18"/>
                <w:szCs w:val="18"/>
              </w:rPr>
            </w:pPr>
          </w:p>
        </w:tc>
        <w:tc>
          <w:tcPr>
            <w:tcW w:w="541" w:type="pct"/>
            <w:vMerge/>
            <w:shd w:val="clear" w:color="auto" w:fill="005CA9"/>
            <w:vAlign w:val="center"/>
            <w:hideMark/>
          </w:tcPr>
          <w:p w14:paraId="4886516E" w14:textId="77777777" w:rsidR="00951257" w:rsidRPr="001373FB" w:rsidRDefault="00951257">
            <w:pPr>
              <w:rPr>
                <w:rFonts w:ascii="CAIXA Std Book" w:eastAsia="Times New Roman" w:hAnsi="CAIXA Std Book" w:cs="Calibri"/>
                <w:b/>
                <w:bCs/>
                <w:color w:val="FFFFFF"/>
                <w:sz w:val="18"/>
                <w:szCs w:val="18"/>
              </w:rPr>
            </w:pPr>
          </w:p>
        </w:tc>
        <w:tc>
          <w:tcPr>
            <w:tcW w:w="541" w:type="pct"/>
            <w:vMerge/>
            <w:shd w:val="clear" w:color="auto" w:fill="005CA9"/>
            <w:vAlign w:val="center"/>
            <w:hideMark/>
          </w:tcPr>
          <w:p w14:paraId="63EEB815" w14:textId="77777777" w:rsidR="00951257" w:rsidRPr="001373FB" w:rsidRDefault="00951257">
            <w:pPr>
              <w:rPr>
                <w:rFonts w:ascii="CAIXA Std Book" w:eastAsia="Times New Roman" w:hAnsi="CAIXA Std Book" w:cs="Calibri"/>
                <w:b/>
                <w:bCs/>
                <w:color w:val="FFFFFF"/>
                <w:sz w:val="18"/>
                <w:szCs w:val="18"/>
              </w:rPr>
            </w:pPr>
          </w:p>
        </w:tc>
      </w:tr>
      <w:tr w:rsidR="00CB2D4E" w:rsidRPr="001373FB" w14:paraId="4B83100A" w14:textId="77777777" w:rsidTr="00D91FED">
        <w:trPr>
          <w:trHeight w:val="283"/>
        </w:trPr>
        <w:tc>
          <w:tcPr>
            <w:tcW w:w="1216" w:type="pct"/>
            <w:shd w:val="clear" w:color="000000" w:fill="FFFFFF"/>
            <w:noWrap/>
            <w:vAlign w:val="center"/>
            <w:hideMark/>
          </w:tcPr>
          <w:p w14:paraId="50BAB277" w14:textId="77777777" w:rsidR="00005695" w:rsidRPr="001373FB" w:rsidRDefault="00005695" w:rsidP="00005695">
            <w:pPr>
              <w:rPr>
                <w:rFonts w:ascii="CAIXA Std Book" w:eastAsia="Times New Roman" w:hAnsi="CAIXA Std Book" w:cs="Calibri"/>
                <w:color w:val="005CA9"/>
                <w:sz w:val="18"/>
                <w:szCs w:val="18"/>
              </w:rPr>
            </w:pPr>
            <w:r w:rsidRPr="001373FB">
              <w:rPr>
                <w:rFonts w:ascii="CAIXA Std Book" w:eastAsia="Times New Roman" w:hAnsi="CAIXA Std Book" w:cs="Calibri"/>
                <w:color w:val="005CA9"/>
                <w:sz w:val="18"/>
                <w:szCs w:val="18"/>
              </w:rPr>
              <w:t xml:space="preserve">Constituição </w:t>
            </w:r>
          </w:p>
        </w:tc>
        <w:tc>
          <w:tcPr>
            <w:tcW w:w="541" w:type="pct"/>
            <w:shd w:val="clear" w:color="000000" w:fill="FFFFFF"/>
            <w:noWrap/>
            <w:vAlign w:val="center"/>
          </w:tcPr>
          <w:p w14:paraId="255D649C" w14:textId="19133332" w:rsidR="00005695" w:rsidRPr="001373FB" w:rsidRDefault="00E23917" w:rsidP="00013B47">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(566)</w:t>
            </w:r>
          </w:p>
        </w:tc>
        <w:tc>
          <w:tcPr>
            <w:tcW w:w="541" w:type="pct"/>
            <w:shd w:val="clear" w:color="000000" w:fill="FFFFFF"/>
            <w:noWrap/>
            <w:vAlign w:val="center"/>
          </w:tcPr>
          <w:p w14:paraId="0AE9854C" w14:textId="109FBA37" w:rsidR="00005695" w:rsidRPr="001373FB" w:rsidRDefault="00E23917" w:rsidP="00005695">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(7.471)</w:t>
            </w:r>
          </w:p>
        </w:tc>
        <w:tc>
          <w:tcPr>
            <w:tcW w:w="541" w:type="pct"/>
            <w:shd w:val="clear" w:color="000000" w:fill="FFFFFF"/>
            <w:noWrap/>
            <w:vAlign w:val="center"/>
          </w:tcPr>
          <w:p w14:paraId="3BAB792B" w14:textId="46F850F0" w:rsidR="00005695" w:rsidRPr="00952086" w:rsidRDefault="00106DC8" w:rsidP="00005695">
            <w:pPr>
              <w:jc w:val="right"/>
              <w:rPr>
                <w:rFonts w:ascii="CAIXA Std Book" w:hAnsi="CAIXA Std Book" w:cs="Calibri"/>
                <w:color w:val="005CA9"/>
                <w:sz w:val="18"/>
                <w:szCs w:val="18"/>
              </w:rPr>
            </w:pPr>
            <w:r w:rsidRPr="00106DC8">
              <w:rPr>
                <w:rFonts w:ascii="CAIXA Std Book" w:hAnsi="CAIXA Std Book" w:cs="Calibri"/>
                <w:color w:val="005CA9"/>
                <w:sz w:val="18"/>
                <w:szCs w:val="18"/>
              </w:rPr>
              <w:t>(7.520.876)</w:t>
            </w:r>
          </w:p>
        </w:tc>
        <w:tc>
          <w:tcPr>
            <w:tcW w:w="541" w:type="pct"/>
            <w:shd w:val="clear" w:color="000000" w:fill="FFFFFF"/>
            <w:noWrap/>
            <w:vAlign w:val="center"/>
          </w:tcPr>
          <w:p w14:paraId="3C54482E" w14:textId="641A255D" w:rsidR="00005695" w:rsidRPr="001373FB" w:rsidRDefault="00E23917" w:rsidP="00005695">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(12.36</w:t>
            </w:r>
            <w:r w:rsidR="0046546F">
              <w:rPr>
                <w:rFonts w:ascii="CAIXA Std Book" w:hAnsi="CAIXA Std Book" w:cs="Calibri"/>
                <w:color w:val="005CA9"/>
                <w:sz w:val="18"/>
                <w:szCs w:val="18"/>
              </w:rPr>
              <w:t>0</w:t>
            </w:r>
            <w:r>
              <w:rPr>
                <w:rFonts w:ascii="CAIXA Std Book" w:hAnsi="CAIXA Std Book" w:cs="Calibri"/>
                <w:color w:val="005CA9"/>
                <w:sz w:val="18"/>
                <w:szCs w:val="18"/>
              </w:rPr>
              <w:t>)</w:t>
            </w:r>
          </w:p>
        </w:tc>
        <w:tc>
          <w:tcPr>
            <w:tcW w:w="541" w:type="pct"/>
            <w:shd w:val="clear" w:color="000000" w:fill="FFFFFF"/>
            <w:noWrap/>
            <w:vAlign w:val="center"/>
          </w:tcPr>
          <w:p w14:paraId="0861D339" w14:textId="15FA8B10" w:rsidR="00005695" w:rsidRPr="001373FB" w:rsidRDefault="00E23917" w:rsidP="00005695">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(151.403)</w:t>
            </w:r>
          </w:p>
        </w:tc>
        <w:tc>
          <w:tcPr>
            <w:tcW w:w="541" w:type="pct"/>
            <w:shd w:val="clear" w:color="000000" w:fill="FFFFFF"/>
            <w:noWrap/>
            <w:vAlign w:val="center"/>
          </w:tcPr>
          <w:p w14:paraId="2BF0E243" w14:textId="1F74D5F7" w:rsidR="00005695" w:rsidRPr="001373FB" w:rsidRDefault="00106DC8" w:rsidP="00005695">
            <w:pPr>
              <w:jc w:val="right"/>
              <w:rPr>
                <w:rFonts w:ascii="CAIXA Std Book" w:eastAsia="Times New Roman" w:hAnsi="CAIXA Std Book" w:cs="Calibri"/>
                <w:color w:val="005CA9"/>
                <w:sz w:val="18"/>
                <w:szCs w:val="18"/>
              </w:rPr>
            </w:pPr>
            <w:r w:rsidRPr="00106DC8">
              <w:rPr>
                <w:rFonts w:ascii="CAIXA Std Book" w:hAnsi="CAIXA Std Book" w:cs="Calibri"/>
                <w:color w:val="005CA9"/>
                <w:sz w:val="18"/>
                <w:szCs w:val="18"/>
              </w:rPr>
              <w:t>(22.216)</w:t>
            </w:r>
          </w:p>
        </w:tc>
        <w:tc>
          <w:tcPr>
            <w:tcW w:w="541" w:type="pct"/>
            <w:shd w:val="clear" w:color="000000" w:fill="FFFFFF"/>
            <w:noWrap/>
            <w:vAlign w:val="center"/>
          </w:tcPr>
          <w:p w14:paraId="5324F2CA" w14:textId="20ADD1DF" w:rsidR="00005695" w:rsidRPr="0005560B" w:rsidRDefault="00E23917" w:rsidP="00005695">
            <w:pPr>
              <w:jc w:val="right"/>
              <w:rPr>
                <w:rFonts w:ascii="CAIXA Std Book" w:eastAsia="Times New Roman" w:hAnsi="CAIXA Std Book" w:cs="Calibri"/>
                <w:b/>
                <w:bCs/>
                <w:color w:val="005CA9"/>
                <w:sz w:val="18"/>
                <w:szCs w:val="18"/>
              </w:rPr>
            </w:pPr>
            <w:r w:rsidRPr="002A67D8">
              <w:rPr>
                <w:rFonts w:ascii="CAIXA Std Book" w:hAnsi="CAIXA Std Book" w:cs="Calibri"/>
                <w:b/>
                <w:color w:val="005CA9"/>
                <w:sz w:val="18"/>
                <w:szCs w:val="18"/>
              </w:rPr>
              <w:t>(7.714.892)</w:t>
            </w:r>
          </w:p>
        </w:tc>
      </w:tr>
      <w:tr w:rsidR="00CB2D4E" w:rsidRPr="001373FB" w14:paraId="0C7DF6BD" w14:textId="77777777" w:rsidTr="00D91FED">
        <w:trPr>
          <w:trHeight w:val="283"/>
        </w:trPr>
        <w:tc>
          <w:tcPr>
            <w:tcW w:w="1216" w:type="pct"/>
            <w:shd w:val="clear" w:color="000000" w:fill="FFFFFF"/>
            <w:noWrap/>
            <w:vAlign w:val="center"/>
            <w:hideMark/>
          </w:tcPr>
          <w:p w14:paraId="7E0B359B" w14:textId="77777777" w:rsidR="00005695" w:rsidRPr="001373FB" w:rsidRDefault="00005695" w:rsidP="00005695">
            <w:pPr>
              <w:rPr>
                <w:rFonts w:ascii="CAIXA Std Book" w:eastAsia="Times New Roman" w:hAnsi="CAIXA Std Book" w:cs="Calibri"/>
                <w:color w:val="005CA9"/>
                <w:sz w:val="18"/>
                <w:szCs w:val="18"/>
              </w:rPr>
            </w:pPr>
            <w:r w:rsidRPr="001373FB">
              <w:rPr>
                <w:rFonts w:ascii="CAIXA Std Book" w:eastAsia="Times New Roman" w:hAnsi="CAIXA Std Book" w:cs="Calibri"/>
                <w:color w:val="005CA9"/>
                <w:sz w:val="18"/>
                <w:szCs w:val="18"/>
              </w:rPr>
              <w:t xml:space="preserve">Reversão </w:t>
            </w:r>
          </w:p>
        </w:tc>
        <w:tc>
          <w:tcPr>
            <w:tcW w:w="541" w:type="pct"/>
            <w:shd w:val="clear" w:color="000000" w:fill="FFFFFF"/>
            <w:noWrap/>
            <w:vAlign w:val="center"/>
          </w:tcPr>
          <w:p w14:paraId="0F1483AE" w14:textId="47591381" w:rsidR="00005695" w:rsidRPr="001373FB" w:rsidRDefault="00E23917" w:rsidP="003818F6">
            <w:pPr>
              <w:jc w:val="cente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w:t>
            </w:r>
          </w:p>
        </w:tc>
        <w:tc>
          <w:tcPr>
            <w:tcW w:w="541" w:type="pct"/>
            <w:shd w:val="clear" w:color="000000" w:fill="FFFFFF"/>
            <w:noWrap/>
            <w:vAlign w:val="center"/>
          </w:tcPr>
          <w:p w14:paraId="210C742B" w14:textId="3F4E1E3F" w:rsidR="00005695" w:rsidRPr="001373FB" w:rsidRDefault="00E23917" w:rsidP="00005695">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87.576</w:t>
            </w:r>
          </w:p>
        </w:tc>
        <w:tc>
          <w:tcPr>
            <w:tcW w:w="541" w:type="pct"/>
            <w:shd w:val="clear" w:color="000000" w:fill="FFFFFF"/>
            <w:noWrap/>
            <w:vAlign w:val="center"/>
          </w:tcPr>
          <w:p w14:paraId="75D153CF" w14:textId="7581BD9A" w:rsidR="00005695" w:rsidRPr="00952086" w:rsidRDefault="00106DC8" w:rsidP="00005695">
            <w:pPr>
              <w:jc w:val="right"/>
              <w:rPr>
                <w:rFonts w:ascii="CAIXA Std Book" w:hAnsi="CAIXA Std Book" w:cs="Calibri"/>
                <w:color w:val="005CA9"/>
                <w:sz w:val="18"/>
                <w:szCs w:val="18"/>
              </w:rPr>
            </w:pPr>
            <w:r w:rsidRPr="00106DC8">
              <w:rPr>
                <w:rFonts w:ascii="CAIXA Std Book" w:hAnsi="CAIXA Std Book" w:cs="Calibri"/>
                <w:color w:val="005CA9"/>
                <w:sz w:val="18"/>
                <w:szCs w:val="18"/>
              </w:rPr>
              <w:t>593.155</w:t>
            </w:r>
          </w:p>
        </w:tc>
        <w:tc>
          <w:tcPr>
            <w:tcW w:w="541" w:type="pct"/>
            <w:shd w:val="clear" w:color="000000" w:fill="FFFFFF"/>
            <w:noWrap/>
            <w:vAlign w:val="center"/>
          </w:tcPr>
          <w:p w14:paraId="7A892342" w14:textId="00D0A2BE" w:rsidR="00005695" w:rsidRPr="001373FB" w:rsidRDefault="00E23917" w:rsidP="00005695">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282.111</w:t>
            </w:r>
          </w:p>
        </w:tc>
        <w:tc>
          <w:tcPr>
            <w:tcW w:w="541" w:type="pct"/>
            <w:shd w:val="clear" w:color="000000" w:fill="FFFFFF"/>
            <w:noWrap/>
            <w:vAlign w:val="center"/>
          </w:tcPr>
          <w:p w14:paraId="7A1A8CF0" w14:textId="5EFFFF3B" w:rsidR="00005695" w:rsidRPr="001373FB" w:rsidRDefault="00E23917" w:rsidP="00005695">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605.269</w:t>
            </w:r>
          </w:p>
        </w:tc>
        <w:tc>
          <w:tcPr>
            <w:tcW w:w="541" w:type="pct"/>
            <w:shd w:val="clear" w:color="000000" w:fill="FFFFFF"/>
            <w:noWrap/>
            <w:vAlign w:val="center"/>
          </w:tcPr>
          <w:p w14:paraId="679DDE07" w14:textId="0A6C15E4" w:rsidR="00005695" w:rsidRPr="001373FB" w:rsidRDefault="00106DC8" w:rsidP="00005695">
            <w:pPr>
              <w:jc w:val="right"/>
              <w:rPr>
                <w:rFonts w:ascii="CAIXA Std Book" w:eastAsia="Times New Roman" w:hAnsi="CAIXA Std Book" w:cs="Calibri"/>
                <w:color w:val="005CA9"/>
                <w:sz w:val="18"/>
                <w:szCs w:val="18"/>
              </w:rPr>
            </w:pPr>
            <w:r w:rsidRPr="00106DC8">
              <w:rPr>
                <w:rFonts w:ascii="CAIXA Std Book" w:hAnsi="CAIXA Std Book" w:cs="Calibri"/>
                <w:color w:val="005CA9"/>
                <w:sz w:val="18"/>
                <w:szCs w:val="18"/>
              </w:rPr>
              <w:t>(371.518)</w:t>
            </w:r>
          </w:p>
        </w:tc>
        <w:tc>
          <w:tcPr>
            <w:tcW w:w="541" w:type="pct"/>
            <w:shd w:val="clear" w:color="000000" w:fill="FFFFFF"/>
            <w:noWrap/>
            <w:vAlign w:val="center"/>
          </w:tcPr>
          <w:p w14:paraId="2E5BA2B6" w14:textId="02781373" w:rsidR="00005695" w:rsidRPr="0005560B" w:rsidRDefault="00E23917" w:rsidP="00005695">
            <w:pPr>
              <w:jc w:val="right"/>
              <w:rPr>
                <w:rFonts w:ascii="CAIXA Std Book" w:eastAsia="Times New Roman" w:hAnsi="CAIXA Std Book" w:cs="Calibri"/>
                <w:b/>
                <w:bCs/>
                <w:color w:val="005CA9"/>
                <w:sz w:val="18"/>
                <w:szCs w:val="18"/>
              </w:rPr>
            </w:pPr>
            <w:r w:rsidRPr="002A67D8">
              <w:rPr>
                <w:rFonts w:ascii="CAIXA Std Book" w:hAnsi="CAIXA Std Book" w:cs="Calibri"/>
                <w:b/>
                <w:color w:val="005CA9"/>
                <w:sz w:val="18"/>
                <w:szCs w:val="18"/>
              </w:rPr>
              <w:t>1.196.593</w:t>
            </w:r>
          </w:p>
        </w:tc>
      </w:tr>
      <w:tr w:rsidR="00CB2D4E" w:rsidRPr="001373FB" w14:paraId="506680DD" w14:textId="77777777" w:rsidTr="00D91FED">
        <w:trPr>
          <w:trHeight w:val="283"/>
        </w:trPr>
        <w:tc>
          <w:tcPr>
            <w:tcW w:w="1216" w:type="pct"/>
            <w:shd w:val="clear" w:color="auto" w:fill="005CA9"/>
            <w:noWrap/>
            <w:vAlign w:val="center"/>
            <w:hideMark/>
          </w:tcPr>
          <w:p w14:paraId="576F633C" w14:textId="77777777" w:rsidR="00005695" w:rsidRPr="001373FB" w:rsidRDefault="00005695" w:rsidP="00005695">
            <w:pPr>
              <w:rPr>
                <w:rFonts w:ascii="CAIXA Std Book" w:eastAsia="Times New Roman" w:hAnsi="CAIXA Std Book" w:cs="Calibri"/>
                <w:b/>
                <w:bCs/>
                <w:color w:val="FFFFFF"/>
                <w:sz w:val="18"/>
                <w:szCs w:val="18"/>
              </w:rPr>
            </w:pPr>
            <w:r w:rsidRPr="001373FB">
              <w:rPr>
                <w:rFonts w:ascii="CAIXA Std Book" w:eastAsia="Times New Roman" w:hAnsi="CAIXA Std Book" w:cs="Calibri"/>
                <w:b/>
                <w:bCs/>
                <w:color w:val="FFFFFF"/>
                <w:sz w:val="18"/>
                <w:szCs w:val="18"/>
              </w:rPr>
              <w:t>Saldo final</w:t>
            </w:r>
          </w:p>
        </w:tc>
        <w:tc>
          <w:tcPr>
            <w:tcW w:w="541" w:type="pct"/>
            <w:shd w:val="clear" w:color="auto" w:fill="005CA9"/>
            <w:noWrap/>
            <w:vAlign w:val="center"/>
          </w:tcPr>
          <w:p w14:paraId="673EE5F0" w14:textId="538EC4A5" w:rsidR="00005695" w:rsidRPr="001373FB" w:rsidRDefault="00E23917" w:rsidP="00005695">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(566)</w:t>
            </w:r>
          </w:p>
        </w:tc>
        <w:tc>
          <w:tcPr>
            <w:tcW w:w="541" w:type="pct"/>
            <w:shd w:val="clear" w:color="auto" w:fill="005CA9"/>
            <w:noWrap/>
            <w:vAlign w:val="center"/>
          </w:tcPr>
          <w:p w14:paraId="73080CAA" w14:textId="271ACBAE" w:rsidR="00005695" w:rsidRPr="001373FB" w:rsidRDefault="00E23917" w:rsidP="00005695">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80.105</w:t>
            </w:r>
          </w:p>
        </w:tc>
        <w:tc>
          <w:tcPr>
            <w:tcW w:w="541" w:type="pct"/>
            <w:shd w:val="clear" w:color="auto" w:fill="005CA9"/>
            <w:noWrap/>
            <w:vAlign w:val="center"/>
          </w:tcPr>
          <w:p w14:paraId="16DAC5DA" w14:textId="3F45D2F1" w:rsidR="00005695" w:rsidRPr="001373FB" w:rsidRDefault="00106DC8" w:rsidP="00005695">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(6.927.721)</w:t>
            </w:r>
          </w:p>
        </w:tc>
        <w:tc>
          <w:tcPr>
            <w:tcW w:w="541" w:type="pct"/>
            <w:shd w:val="clear" w:color="auto" w:fill="005CA9"/>
            <w:noWrap/>
            <w:vAlign w:val="center"/>
          </w:tcPr>
          <w:p w14:paraId="61E50BD8" w14:textId="2F520B85" w:rsidR="00005695" w:rsidRPr="001373FB" w:rsidRDefault="00E23917" w:rsidP="00005695">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269.751</w:t>
            </w:r>
          </w:p>
        </w:tc>
        <w:tc>
          <w:tcPr>
            <w:tcW w:w="541" w:type="pct"/>
            <w:shd w:val="clear" w:color="auto" w:fill="005CA9"/>
            <w:noWrap/>
            <w:vAlign w:val="center"/>
          </w:tcPr>
          <w:p w14:paraId="2B043A88" w14:textId="7990A97B" w:rsidR="00005695" w:rsidRPr="001373FB" w:rsidRDefault="00E23917" w:rsidP="00005695">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453.866</w:t>
            </w:r>
          </w:p>
        </w:tc>
        <w:tc>
          <w:tcPr>
            <w:tcW w:w="541" w:type="pct"/>
            <w:shd w:val="clear" w:color="auto" w:fill="005CA9"/>
            <w:noWrap/>
            <w:vAlign w:val="center"/>
          </w:tcPr>
          <w:p w14:paraId="5C463DCF" w14:textId="21CAB2BC" w:rsidR="00005695" w:rsidRPr="001373FB" w:rsidRDefault="00106DC8" w:rsidP="00005695">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(393.734)</w:t>
            </w:r>
          </w:p>
        </w:tc>
        <w:tc>
          <w:tcPr>
            <w:tcW w:w="541" w:type="pct"/>
            <w:shd w:val="clear" w:color="auto" w:fill="005CA9"/>
            <w:noWrap/>
            <w:vAlign w:val="center"/>
          </w:tcPr>
          <w:p w14:paraId="0DBE1634" w14:textId="7575A6B9" w:rsidR="00005695" w:rsidRPr="0005560B" w:rsidRDefault="00E23917" w:rsidP="00005695">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(6.518.299)</w:t>
            </w:r>
          </w:p>
        </w:tc>
      </w:tr>
    </w:tbl>
    <w:p w14:paraId="65E02CAD" w14:textId="77777777" w:rsidR="00951257" w:rsidRDefault="00951257" w:rsidP="005C44A7">
      <w:pPr>
        <w:rPr>
          <w:rFonts w:ascii="CAIXA Std Book" w:hAnsi="CAIXA Std Book"/>
          <w:b/>
          <w:color w:val="005CA9"/>
          <w:sz w:val="20"/>
          <w:szCs w:val="20"/>
        </w:rPr>
      </w:pPr>
    </w:p>
    <w:tbl>
      <w:tblPr>
        <w:tblW w:w="5000" w:type="pct"/>
        <w:tblCellMar>
          <w:left w:w="70" w:type="dxa"/>
          <w:right w:w="70" w:type="dxa"/>
        </w:tblCellMar>
        <w:tblLook w:val="04A0" w:firstRow="1" w:lastRow="0" w:firstColumn="1" w:lastColumn="0" w:noHBand="0" w:noVBand="1"/>
      </w:tblPr>
      <w:tblGrid>
        <w:gridCol w:w="3534"/>
        <w:gridCol w:w="1588"/>
        <w:gridCol w:w="1640"/>
        <w:gridCol w:w="1748"/>
        <w:gridCol w:w="1463"/>
        <w:gridCol w:w="1623"/>
        <w:gridCol w:w="1367"/>
        <w:gridCol w:w="1606"/>
      </w:tblGrid>
      <w:tr w:rsidR="00C16D2C" w:rsidRPr="00E8652A" w14:paraId="2CCAFFE8" w14:textId="77777777" w:rsidTr="00D91FED">
        <w:trPr>
          <w:trHeight w:val="283"/>
        </w:trPr>
        <w:tc>
          <w:tcPr>
            <w:tcW w:w="5000" w:type="pct"/>
            <w:gridSpan w:val="8"/>
            <w:tcBorders>
              <w:bottom w:val="single" w:sz="4" w:space="0" w:color="FFFFFF" w:themeColor="background1"/>
            </w:tcBorders>
            <w:shd w:val="clear" w:color="auto" w:fill="005CA9"/>
            <w:vAlign w:val="center"/>
            <w:hideMark/>
          </w:tcPr>
          <w:p w14:paraId="7AAF2929" w14:textId="41CE217A" w:rsidR="00C16D2C" w:rsidRPr="00E8652A" w:rsidRDefault="00C16D2C">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Consolidado</w:t>
            </w:r>
          </w:p>
        </w:tc>
      </w:tr>
      <w:tr w:rsidR="00C16D2C" w:rsidRPr="00E8652A" w14:paraId="025EC469" w14:textId="77777777" w:rsidTr="00D91FED">
        <w:trPr>
          <w:trHeight w:val="283"/>
        </w:trPr>
        <w:tc>
          <w:tcPr>
            <w:tcW w:w="1213" w:type="pct"/>
            <w:vMerge w:val="restart"/>
            <w:tcBorders>
              <w:top w:val="single" w:sz="4" w:space="0" w:color="FFFFFF" w:themeColor="background1"/>
            </w:tcBorders>
            <w:shd w:val="clear" w:color="auto" w:fill="005CA9"/>
            <w:vAlign w:val="center"/>
            <w:hideMark/>
          </w:tcPr>
          <w:p w14:paraId="02C8446C" w14:textId="77777777" w:rsidR="00C16D2C" w:rsidRPr="00E8652A" w:rsidRDefault="00C16D2C">
            <w:pPr>
              <w:jc w:val="center"/>
              <w:rPr>
                <w:rFonts w:ascii="CAIXA Std Book" w:eastAsia="Times New Roman" w:hAnsi="CAIXA Std Book" w:cs="Calibri"/>
                <w:b/>
                <w:bCs/>
                <w:color w:val="FFFFFF"/>
                <w:sz w:val="16"/>
                <w:szCs w:val="16"/>
              </w:rPr>
            </w:pPr>
            <w:r w:rsidRPr="00E8652A">
              <w:rPr>
                <w:rFonts w:ascii="CAIXA Std Book" w:eastAsia="Times New Roman" w:hAnsi="CAIXA Std Book" w:cs="Calibri"/>
                <w:b/>
                <w:bCs/>
                <w:color w:val="FFFFFF"/>
                <w:sz w:val="16"/>
                <w:szCs w:val="16"/>
              </w:rPr>
              <w:t>Descrição</w:t>
            </w:r>
          </w:p>
        </w:tc>
        <w:tc>
          <w:tcPr>
            <w:tcW w:w="3787" w:type="pct"/>
            <w:gridSpan w:val="7"/>
            <w:tcBorders>
              <w:top w:val="single" w:sz="4" w:space="0" w:color="FFFFFF" w:themeColor="background1"/>
              <w:bottom w:val="single" w:sz="4" w:space="0" w:color="FFFFFF" w:themeColor="background1"/>
            </w:tcBorders>
            <w:shd w:val="clear" w:color="auto" w:fill="005CA9"/>
            <w:noWrap/>
            <w:vAlign w:val="center"/>
            <w:hideMark/>
          </w:tcPr>
          <w:p w14:paraId="57F58E3E" w14:textId="77777777" w:rsidR="00C16D2C" w:rsidRPr="00E8652A" w:rsidRDefault="00C16D2C">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1º trimestre de 2025</w:t>
            </w:r>
          </w:p>
        </w:tc>
      </w:tr>
      <w:tr w:rsidR="00C16D2C" w:rsidRPr="00E8652A" w14:paraId="07A1C0AE" w14:textId="77777777" w:rsidTr="00D91FED">
        <w:trPr>
          <w:trHeight w:val="401"/>
        </w:trPr>
        <w:tc>
          <w:tcPr>
            <w:tcW w:w="1213" w:type="pct"/>
            <w:vMerge/>
            <w:tcBorders>
              <w:top w:val="single" w:sz="4" w:space="0" w:color="FFFFFF" w:themeColor="background1"/>
            </w:tcBorders>
            <w:shd w:val="clear" w:color="auto" w:fill="005CA9"/>
            <w:vAlign w:val="center"/>
            <w:hideMark/>
          </w:tcPr>
          <w:p w14:paraId="08A19922" w14:textId="77777777" w:rsidR="00C16D2C" w:rsidRPr="00E8652A" w:rsidRDefault="00C16D2C">
            <w:pPr>
              <w:rPr>
                <w:rFonts w:ascii="CAIXA Std Book" w:eastAsia="Times New Roman" w:hAnsi="CAIXA Std Book" w:cs="Calibri"/>
                <w:b/>
                <w:bCs/>
                <w:color w:val="FFFFFF"/>
                <w:sz w:val="16"/>
                <w:szCs w:val="16"/>
              </w:rPr>
            </w:pPr>
          </w:p>
        </w:tc>
        <w:tc>
          <w:tcPr>
            <w:tcW w:w="545" w:type="pct"/>
            <w:vMerge w:val="restart"/>
            <w:tcBorders>
              <w:top w:val="single" w:sz="4" w:space="0" w:color="FFFFFF" w:themeColor="background1"/>
            </w:tcBorders>
            <w:shd w:val="clear" w:color="auto" w:fill="005CA9"/>
            <w:vAlign w:val="center"/>
            <w:hideMark/>
          </w:tcPr>
          <w:p w14:paraId="3A7C6E8B" w14:textId="77777777" w:rsidR="00C16D2C" w:rsidRPr="00E8652A" w:rsidRDefault="00C16D2C">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Aplicações interfinanceiras de liquidez</w:t>
            </w:r>
          </w:p>
        </w:tc>
        <w:tc>
          <w:tcPr>
            <w:tcW w:w="563" w:type="pct"/>
            <w:vMerge w:val="restart"/>
            <w:tcBorders>
              <w:top w:val="single" w:sz="4" w:space="0" w:color="FFFFFF" w:themeColor="background1"/>
            </w:tcBorders>
            <w:shd w:val="clear" w:color="auto" w:fill="005CA9"/>
            <w:vAlign w:val="center"/>
            <w:hideMark/>
          </w:tcPr>
          <w:p w14:paraId="52A99603" w14:textId="77777777" w:rsidR="00C16D2C" w:rsidRPr="00E8652A" w:rsidRDefault="00C16D2C">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Títulos e valores mobiliários</w:t>
            </w:r>
          </w:p>
        </w:tc>
        <w:tc>
          <w:tcPr>
            <w:tcW w:w="600" w:type="pct"/>
            <w:vMerge w:val="restart"/>
            <w:tcBorders>
              <w:top w:val="single" w:sz="4" w:space="0" w:color="FFFFFF" w:themeColor="background1"/>
            </w:tcBorders>
            <w:shd w:val="clear" w:color="auto" w:fill="005CA9"/>
            <w:vAlign w:val="center"/>
            <w:hideMark/>
          </w:tcPr>
          <w:p w14:paraId="03194A18" w14:textId="77777777" w:rsidR="00883FCC" w:rsidRDefault="00C16D2C">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Carteira de</w:t>
            </w:r>
          </w:p>
          <w:p w14:paraId="4EECE59A" w14:textId="46E2BA7E" w:rsidR="00C16D2C" w:rsidRPr="00E8652A" w:rsidRDefault="00C16D2C">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crédito</w:t>
            </w:r>
          </w:p>
        </w:tc>
        <w:tc>
          <w:tcPr>
            <w:tcW w:w="502" w:type="pct"/>
            <w:vMerge w:val="restart"/>
            <w:tcBorders>
              <w:top w:val="single" w:sz="4" w:space="0" w:color="FFFFFF" w:themeColor="background1"/>
            </w:tcBorders>
            <w:shd w:val="clear" w:color="auto" w:fill="005CA9"/>
            <w:vAlign w:val="center"/>
            <w:hideMark/>
          </w:tcPr>
          <w:p w14:paraId="71313017" w14:textId="77777777" w:rsidR="00C16D2C" w:rsidRPr="00E8652A" w:rsidRDefault="00C16D2C">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Outros</w:t>
            </w:r>
          </w:p>
        </w:tc>
        <w:tc>
          <w:tcPr>
            <w:tcW w:w="557" w:type="pct"/>
            <w:vMerge w:val="restart"/>
            <w:tcBorders>
              <w:top w:val="single" w:sz="4" w:space="0" w:color="FFFFFF" w:themeColor="background1"/>
            </w:tcBorders>
            <w:shd w:val="clear" w:color="auto" w:fill="005CA9"/>
            <w:vAlign w:val="center"/>
            <w:hideMark/>
          </w:tcPr>
          <w:p w14:paraId="070ED8D2" w14:textId="77777777" w:rsidR="00C16D2C" w:rsidRDefault="00C16D2C">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Comp. de crédito</w:t>
            </w:r>
            <w:r>
              <w:rPr>
                <w:rFonts w:ascii="CAIXA Std Book" w:eastAsia="Times New Roman" w:hAnsi="CAIXA Std Book" w:cs="Calibri"/>
                <w:b/>
                <w:bCs/>
                <w:color w:val="FFFFFF"/>
                <w:sz w:val="18"/>
                <w:szCs w:val="18"/>
              </w:rPr>
              <w:t>/</w:t>
            </w:r>
          </w:p>
          <w:p w14:paraId="5FA0AA82" w14:textId="5548224F" w:rsidR="00C16D2C" w:rsidRPr="00E8652A" w:rsidRDefault="00C16D2C">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 xml:space="preserve">Cred. </w:t>
            </w:r>
            <w:r w:rsidR="00712BEF">
              <w:rPr>
                <w:rFonts w:ascii="CAIXA Std Book" w:eastAsia="Times New Roman" w:hAnsi="CAIXA Std Book" w:cs="Calibri"/>
                <w:b/>
                <w:bCs/>
                <w:color w:val="FFFFFF"/>
                <w:sz w:val="18"/>
                <w:szCs w:val="18"/>
              </w:rPr>
              <w:t>a</w:t>
            </w:r>
            <w:r w:rsidRPr="00E8652A">
              <w:rPr>
                <w:rFonts w:ascii="CAIXA Std Book" w:eastAsia="Times New Roman" w:hAnsi="CAIXA Std Book" w:cs="Calibri"/>
                <w:b/>
                <w:bCs/>
                <w:color w:val="FFFFFF"/>
                <w:sz w:val="18"/>
                <w:szCs w:val="18"/>
              </w:rPr>
              <w:t xml:space="preserve"> liberar</w:t>
            </w:r>
          </w:p>
        </w:tc>
        <w:tc>
          <w:tcPr>
            <w:tcW w:w="469" w:type="pct"/>
            <w:vMerge w:val="restart"/>
            <w:tcBorders>
              <w:top w:val="single" w:sz="4" w:space="0" w:color="FFFFFF" w:themeColor="background1"/>
            </w:tcBorders>
            <w:shd w:val="clear" w:color="auto" w:fill="005CA9"/>
            <w:vAlign w:val="center"/>
            <w:hideMark/>
          </w:tcPr>
          <w:p w14:paraId="31BA1C3D" w14:textId="77777777" w:rsidR="00C16D2C" w:rsidRPr="00E8652A" w:rsidRDefault="00C16D2C">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Garantias financeiras prestadas</w:t>
            </w:r>
          </w:p>
        </w:tc>
        <w:tc>
          <w:tcPr>
            <w:tcW w:w="551" w:type="pct"/>
            <w:vMerge w:val="restart"/>
            <w:tcBorders>
              <w:top w:val="single" w:sz="4" w:space="0" w:color="FFFFFF" w:themeColor="background1"/>
            </w:tcBorders>
            <w:shd w:val="clear" w:color="auto" w:fill="005CA9"/>
            <w:vAlign w:val="center"/>
            <w:hideMark/>
          </w:tcPr>
          <w:p w14:paraId="4BDA0FEC" w14:textId="77777777" w:rsidR="00C16D2C" w:rsidRPr="00E8652A" w:rsidRDefault="00C16D2C">
            <w:pPr>
              <w:jc w:val="cente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Total</w:t>
            </w:r>
          </w:p>
        </w:tc>
      </w:tr>
      <w:tr w:rsidR="00C16D2C" w:rsidRPr="00E8652A" w14:paraId="387BD6E7" w14:textId="77777777" w:rsidTr="00D91FED">
        <w:trPr>
          <w:trHeight w:val="401"/>
        </w:trPr>
        <w:tc>
          <w:tcPr>
            <w:tcW w:w="1213" w:type="pct"/>
            <w:vMerge/>
            <w:shd w:val="clear" w:color="auto" w:fill="005CA9"/>
            <w:vAlign w:val="center"/>
            <w:hideMark/>
          </w:tcPr>
          <w:p w14:paraId="636994EC" w14:textId="77777777" w:rsidR="00C16D2C" w:rsidRPr="00E8652A" w:rsidRDefault="00C16D2C">
            <w:pPr>
              <w:rPr>
                <w:rFonts w:ascii="CAIXA Std Book" w:eastAsia="Times New Roman" w:hAnsi="CAIXA Std Book" w:cs="Calibri"/>
                <w:b/>
                <w:bCs/>
                <w:color w:val="FFFFFF"/>
                <w:sz w:val="16"/>
                <w:szCs w:val="16"/>
              </w:rPr>
            </w:pPr>
          </w:p>
        </w:tc>
        <w:tc>
          <w:tcPr>
            <w:tcW w:w="545" w:type="pct"/>
            <w:vMerge/>
            <w:shd w:val="clear" w:color="auto" w:fill="005CA9"/>
            <w:vAlign w:val="center"/>
            <w:hideMark/>
          </w:tcPr>
          <w:p w14:paraId="64830709" w14:textId="77777777" w:rsidR="00C16D2C" w:rsidRPr="00E8652A" w:rsidRDefault="00C16D2C">
            <w:pPr>
              <w:rPr>
                <w:rFonts w:ascii="CAIXA Std Book" w:eastAsia="Times New Roman" w:hAnsi="CAIXA Std Book" w:cs="Calibri"/>
                <w:b/>
                <w:bCs/>
                <w:color w:val="FFFFFF"/>
                <w:sz w:val="18"/>
                <w:szCs w:val="18"/>
              </w:rPr>
            </w:pPr>
          </w:p>
        </w:tc>
        <w:tc>
          <w:tcPr>
            <w:tcW w:w="563" w:type="pct"/>
            <w:vMerge/>
            <w:shd w:val="clear" w:color="auto" w:fill="005CA9"/>
            <w:vAlign w:val="center"/>
            <w:hideMark/>
          </w:tcPr>
          <w:p w14:paraId="11B1D44A" w14:textId="77777777" w:rsidR="00C16D2C" w:rsidRPr="00E8652A" w:rsidRDefault="00C16D2C">
            <w:pPr>
              <w:rPr>
                <w:rFonts w:ascii="CAIXA Std Book" w:eastAsia="Times New Roman" w:hAnsi="CAIXA Std Book" w:cs="Calibri"/>
                <w:b/>
                <w:bCs/>
                <w:color w:val="FFFFFF"/>
                <w:sz w:val="18"/>
                <w:szCs w:val="18"/>
              </w:rPr>
            </w:pPr>
          </w:p>
        </w:tc>
        <w:tc>
          <w:tcPr>
            <w:tcW w:w="600" w:type="pct"/>
            <w:vMerge/>
            <w:shd w:val="clear" w:color="auto" w:fill="005CA9"/>
            <w:vAlign w:val="center"/>
            <w:hideMark/>
          </w:tcPr>
          <w:p w14:paraId="6E29E390" w14:textId="77777777" w:rsidR="00C16D2C" w:rsidRPr="00E8652A" w:rsidRDefault="00C16D2C">
            <w:pPr>
              <w:rPr>
                <w:rFonts w:ascii="CAIXA Std Book" w:eastAsia="Times New Roman" w:hAnsi="CAIXA Std Book" w:cs="Calibri"/>
                <w:b/>
                <w:bCs/>
                <w:color w:val="FFFFFF"/>
                <w:sz w:val="18"/>
                <w:szCs w:val="18"/>
              </w:rPr>
            </w:pPr>
          </w:p>
        </w:tc>
        <w:tc>
          <w:tcPr>
            <w:tcW w:w="502" w:type="pct"/>
            <w:vMerge/>
            <w:shd w:val="clear" w:color="auto" w:fill="005CA9"/>
            <w:vAlign w:val="center"/>
            <w:hideMark/>
          </w:tcPr>
          <w:p w14:paraId="580BEC7E" w14:textId="77777777" w:rsidR="00C16D2C" w:rsidRPr="00E8652A" w:rsidRDefault="00C16D2C">
            <w:pPr>
              <w:rPr>
                <w:rFonts w:ascii="CAIXA Std Book" w:eastAsia="Times New Roman" w:hAnsi="CAIXA Std Book" w:cs="Calibri"/>
                <w:b/>
                <w:bCs/>
                <w:color w:val="FFFFFF"/>
                <w:sz w:val="18"/>
                <w:szCs w:val="18"/>
              </w:rPr>
            </w:pPr>
          </w:p>
        </w:tc>
        <w:tc>
          <w:tcPr>
            <w:tcW w:w="557" w:type="pct"/>
            <w:vMerge/>
            <w:shd w:val="clear" w:color="auto" w:fill="005CA9"/>
            <w:vAlign w:val="center"/>
            <w:hideMark/>
          </w:tcPr>
          <w:p w14:paraId="5C7C8E3D" w14:textId="77777777" w:rsidR="00C16D2C" w:rsidRPr="00E8652A" w:rsidRDefault="00C16D2C">
            <w:pPr>
              <w:rPr>
                <w:rFonts w:ascii="CAIXA Std Book" w:eastAsia="Times New Roman" w:hAnsi="CAIXA Std Book" w:cs="Calibri"/>
                <w:b/>
                <w:bCs/>
                <w:color w:val="FFFFFF"/>
                <w:sz w:val="18"/>
                <w:szCs w:val="18"/>
              </w:rPr>
            </w:pPr>
          </w:p>
        </w:tc>
        <w:tc>
          <w:tcPr>
            <w:tcW w:w="469" w:type="pct"/>
            <w:vMerge/>
            <w:shd w:val="clear" w:color="auto" w:fill="005CA9"/>
            <w:vAlign w:val="center"/>
            <w:hideMark/>
          </w:tcPr>
          <w:p w14:paraId="3169ACA7" w14:textId="77777777" w:rsidR="00C16D2C" w:rsidRPr="00E8652A" w:rsidRDefault="00C16D2C">
            <w:pPr>
              <w:rPr>
                <w:rFonts w:ascii="CAIXA Std Book" w:eastAsia="Times New Roman" w:hAnsi="CAIXA Std Book" w:cs="Calibri"/>
                <w:b/>
                <w:bCs/>
                <w:color w:val="FFFFFF"/>
                <w:sz w:val="18"/>
                <w:szCs w:val="18"/>
              </w:rPr>
            </w:pPr>
          </w:p>
        </w:tc>
        <w:tc>
          <w:tcPr>
            <w:tcW w:w="551" w:type="pct"/>
            <w:vMerge/>
            <w:shd w:val="clear" w:color="auto" w:fill="005CA9"/>
            <w:vAlign w:val="center"/>
            <w:hideMark/>
          </w:tcPr>
          <w:p w14:paraId="3E114B20" w14:textId="77777777" w:rsidR="00C16D2C" w:rsidRPr="00E8652A" w:rsidRDefault="00C16D2C">
            <w:pPr>
              <w:rPr>
                <w:rFonts w:ascii="CAIXA Std Book" w:eastAsia="Times New Roman" w:hAnsi="CAIXA Std Book" w:cs="Calibri"/>
                <w:b/>
                <w:bCs/>
                <w:color w:val="FFFFFF"/>
                <w:sz w:val="18"/>
                <w:szCs w:val="18"/>
              </w:rPr>
            </w:pPr>
          </w:p>
        </w:tc>
      </w:tr>
      <w:tr w:rsidR="00C16D2C" w:rsidRPr="00E8652A" w14:paraId="62219EE6" w14:textId="77777777" w:rsidTr="00D91FED">
        <w:trPr>
          <w:trHeight w:val="283"/>
        </w:trPr>
        <w:tc>
          <w:tcPr>
            <w:tcW w:w="1213" w:type="pct"/>
            <w:shd w:val="clear" w:color="000000" w:fill="FFFFFF"/>
            <w:noWrap/>
            <w:vAlign w:val="center"/>
            <w:hideMark/>
          </w:tcPr>
          <w:p w14:paraId="01F03250" w14:textId="77777777" w:rsidR="00C16D2C" w:rsidRPr="00E8652A" w:rsidRDefault="00C16D2C">
            <w:pPr>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 xml:space="preserve">Constituição </w:t>
            </w:r>
          </w:p>
        </w:tc>
        <w:tc>
          <w:tcPr>
            <w:tcW w:w="545" w:type="pct"/>
            <w:shd w:val="clear" w:color="000000" w:fill="FFFFFF"/>
            <w:noWrap/>
            <w:vAlign w:val="center"/>
            <w:hideMark/>
          </w:tcPr>
          <w:p w14:paraId="76C6EB18" w14:textId="77777777" w:rsidR="00C16D2C" w:rsidRPr="00E8652A" w:rsidRDefault="00C16D2C">
            <w:pPr>
              <w:jc w:val="center"/>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w:t>
            </w:r>
          </w:p>
        </w:tc>
        <w:tc>
          <w:tcPr>
            <w:tcW w:w="563" w:type="pct"/>
            <w:shd w:val="clear" w:color="000000" w:fill="FFFFFF"/>
            <w:noWrap/>
            <w:vAlign w:val="center"/>
            <w:hideMark/>
          </w:tcPr>
          <w:p w14:paraId="4835F53A" w14:textId="77777777" w:rsidR="00C16D2C" w:rsidRPr="00E8652A" w:rsidRDefault="00C16D2C">
            <w:pPr>
              <w:jc w:val="right"/>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(112.799)</w:t>
            </w:r>
          </w:p>
        </w:tc>
        <w:tc>
          <w:tcPr>
            <w:tcW w:w="600" w:type="pct"/>
            <w:shd w:val="clear" w:color="000000" w:fill="FFFFFF"/>
            <w:noWrap/>
            <w:vAlign w:val="center"/>
            <w:hideMark/>
          </w:tcPr>
          <w:p w14:paraId="590D8610" w14:textId="77777777" w:rsidR="00C16D2C" w:rsidRPr="00E8652A" w:rsidRDefault="00C16D2C">
            <w:pPr>
              <w:jc w:val="right"/>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(2.145.406)</w:t>
            </w:r>
          </w:p>
        </w:tc>
        <w:tc>
          <w:tcPr>
            <w:tcW w:w="502" w:type="pct"/>
            <w:shd w:val="clear" w:color="000000" w:fill="FFFFFF"/>
            <w:noWrap/>
            <w:vAlign w:val="center"/>
            <w:hideMark/>
          </w:tcPr>
          <w:p w14:paraId="76DD0567" w14:textId="77777777" w:rsidR="00C16D2C" w:rsidRPr="00E8652A" w:rsidRDefault="00C16D2C">
            <w:pPr>
              <w:jc w:val="right"/>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(43.540)</w:t>
            </w:r>
          </w:p>
        </w:tc>
        <w:tc>
          <w:tcPr>
            <w:tcW w:w="557" w:type="pct"/>
            <w:shd w:val="clear" w:color="000000" w:fill="FFFFFF"/>
            <w:noWrap/>
            <w:vAlign w:val="center"/>
            <w:hideMark/>
          </w:tcPr>
          <w:p w14:paraId="18252859" w14:textId="77777777" w:rsidR="00C16D2C" w:rsidRPr="00E8652A" w:rsidRDefault="00C16D2C">
            <w:pPr>
              <w:jc w:val="right"/>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(339.522)</w:t>
            </w:r>
          </w:p>
        </w:tc>
        <w:tc>
          <w:tcPr>
            <w:tcW w:w="469" w:type="pct"/>
            <w:shd w:val="clear" w:color="000000" w:fill="FFFFFF"/>
            <w:noWrap/>
            <w:vAlign w:val="center"/>
            <w:hideMark/>
          </w:tcPr>
          <w:p w14:paraId="64898F68" w14:textId="77777777" w:rsidR="00C16D2C" w:rsidRPr="00E8652A" w:rsidRDefault="00C16D2C">
            <w:pPr>
              <w:jc w:val="right"/>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(7.667)</w:t>
            </w:r>
          </w:p>
        </w:tc>
        <w:tc>
          <w:tcPr>
            <w:tcW w:w="551" w:type="pct"/>
            <w:shd w:val="clear" w:color="000000" w:fill="FFFFFF"/>
            <w:noWrap/>
            <w:vAlign w:val="center"/>
            <w:hideMark/>
          </w:tcPr>
          <w:p w14:paraId="0C4F8803" w14:textId="77777777" w:rsidR="00C16D2C" w:rsidRPr="00E8652A" w:rsidRDefault="00C16D2C">
            <w:pPr>
              <w:jc w:val="right"/>
              <w:rPr>
                <w:rFonts w:ascii="CAIXA Std Book" w:eastAsia="Times New Roman" w:hAnsi="CAIXA Std Book" w:cs="Calibri"/>
                <w:b/>
                <w:bCs/>
                <w:color w:val="005CA9"/>
                <w:sz w:val="18"/>
                <w:szCs w:val="18"/>
              </w:rPr>
            </w:pPr>
            <w:r w:rsidRPr="00E8652A">
              <w:rPr>
                <w:rFonts w:ascii="CAIXA Std Book" w:eastAsia="Times New Roman" w:hAnsi="CAIXA Std Book" w:cs="Calibri"/>
                <w:b/>
                <w:bCs/>
                <w:color w:val="005CA9"/>
                <w:sz w:val="18"/>
                <w:szCs w:val="18"/>
              </w:rPr>
              <w:t>(2.648.934)</w:t>
            </w:r>
          </w:p>
        </w:tc>
      </w:tr>
      <w:tr w:rsidR="00C16D2C" w:rsidRPr="00E8652A" w14:paraId="6453E8DB" w14:textId="77777777" w:rsidTr="00D91FED">
        <w:trPr>
          <w:trHeight w:val="283"/>
        </w:trPr>
        <w:tc>
          <w:tcPr>
            <w:tcW w:w="1213" w:type="pct"/>
            <w:shd w:val="clear" w:color="000000" w:fill="FFFFFF"/>
            <w:noWrap/>
            <w:vAlign w:val="center"/>
            <w:hideMark/>
          </w:tcPr>
          <w:p w14:paraId="3ED9C628" w14:textId="77777777" w:rsidR="00C16D2C" w:rsidRPr="00E8652A" w:rsidRDefault="00C16D2C">
            <w:pPr>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 xml:space="preserve">Reversão </w:t>
            </w:r>
          </w:p>
        </w:tc>
        <w:tc>
          <w:tcPr>
            <w:tcW w:w="545" w:type="pct"/>
            <w:shd w:val="clear" w:color="000000" w:fill="FFFFFF"/>
            <w:noWrap/>
            <w:vAlign w:val="center"/>
            <w:hideMark/>
          </w:tcPr>
          <w:p w14:paraId="4393B5E3" w14:textId="77777777" w:rsidR="00C16D2C" w:rsidRPr="00E8652A" w:rsidRDefault="00C16D2C">
            <w:pPr>
              <w:jc w:val="right"/>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7.316</w:t>
            </w:r>
          </w:p>
        </w:tc>
        <w:tc>
          <w:tcPr>
            <w:tcW w:w="563" w:type="pct"/>
            <w:shd w:val="clear" w:color="000000" w:fill="FFFFFF"/>
            <w:noWrap/>
            <w:vAlign w:val="center"/>
            <w:hideMark/>
          </w:tcPr>
          <w:p w14:paraId="14B598A3" w14:textId="77777777" w:rsidR="00C16D2C" w:rsidRPr="00E8652A" w:rsidRDefault="00C16D2C">
            <w:pPr>
              <w:jc w:val="center"/>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w:t>
            </w:r>
          </w:p>
        </w:tc>
        <w:tc>
          <w:tcPr>
            <w:tcW w:w="600" w:type="pct"/>
            <w:shd w:val="clear" w:color="000000" w:fill="FFFFFF"/>
            <w:noWrap/>
            <w:vAlign w:val="center"/>
            <w:hideMark/>
          </w:tcPr>
          <w:p w14:paraId="15AD7085" w14:textId="77777777" w:rsidR="00C16D2C" w:rsidRPr="00E8652A" w:rsidRDefault="00C16D2C">
            <w:pPr>
              <w:jc w:val="right"/>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22.625</w:t>
            </w:r>
          </w:p>
        </w:tc>
        <w:tc>
          <w:tcPr>
            <w:tcW w:w="502" w:type="pct"/>
            <w:shd w:val="clear" w:color="000000" w:fill="FFFFFF"/>
            <w:noWrap/>
            <w:vAlign w:val="center"/>
            <w:hideMark/>
          </w:tcPr>
          <w:p w14:paraId="39C266D9" w14:textId="77777777" w:rsidR="00C16D2C" w:rsidRPr="00E8652A" w:rsidRDefault="00C16D2C">
            <w:pPr>
              <w:jc w:val="right"/>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78.047</w:t>
            </w:r>
          </w:p>
        </w:tc>
        <w:tc>
          <w:tcPr>
            <w:tcW w:w="557" w:type="pct"/>
            <w:shd w:val="clear" w:color="000000" w:fill="FFFFFF"/>
            <w:noWrap/>
            <w:vAlign w:val="center"/>
            <w:hideMark/>
          </w:tcPr>
          <w:p w14:paraId="71F06613" w14:textId="77777777" w:rsidR="00C16D2C" w:rsidRPr="00E8652A" w:rsidRDefault="00C16D2C">
            <w:pPr>
              <w:jc w:val="right"/>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447.789</w:t>
            </w:r>
          </w:p>
        </w:tc>
        <w:tc>
          <w:tcPr>
            <w:tcW w:w="469" w:type="pct"/>
            <w:shd w:val="clear" w:color="000000" w:fill="FFFFFF"/>
            <w:noWrap/>
            <w:vAlign w:val="center"/>
            <w:hideMark/>
          </w:tcPr>
          <w:p w14:paraId="2E88DF8A" w14:textId="77777777" w:rsidR="00C16D2C" w:rsidRPr="00E8652A" w:rsidRDefault="00C16D2C">
            <w:pPr>
              <w:jc w:val="right"/>
              <w:rPr>
                <w:rFonts w:ascii="CAIXA Std Book" w:eastAsia="Times New Roman" w:hAnsi="CAIXA Std Book" w:cs="Calibri"/>
                <w:color w:val="005CA9"/>
                <w:sz w:val="18"/>
                <w:szCs w:val="18"/>
              </w:rPr>
            </w:pPr>
            <w:r w:rsidRPr="00E8652A">
              <w:rPr>
                <w:rFonts w:ascii="CAIXA Std Book" w:eastAsia="Times New Roman" w:hAnsi="CAIXA Std Book" w:cs="Calibri"/>
                <w:color w:val="005CA9"/>
                <w:sz w:val="18"/>
                <w:szCs w:val="18"/>
              </w:rPr>
              <w:t>570</w:t>
            </w:r>
          </w:p>
        </w:tc>
        <w:tc>
          <w:tcPr>
            <w:tcW w:w="551" w:type="pct"/>
            <w:shd w:val="clear" w:color="000000" w:fill="FFFFFF"/>
            <w:noWrap/>
            <w:vAlign w:val="center"/>
            <w:hideMark/>
          </w:tcPr>
          <w:p w14:paraId="53F475B1" w14:textId="77777777" w:rsidR="00C16D2C" w:rsidRPr="00E8652A" w:rsidRDefault="00C16D2C">
            <w:pPr>
              <w:jc w:val="right"/>
              <w:rPr>
                <w:rFonts w:ascii="CAIXA Std Book" w:eastAsia="Times New Roman" w:hAnsi="CAIXA Std Book" w:cs="Calibri"/>
                <w:b/>
                <w:bCs/>
                <w:color w:val="005CA9"/>
                <w:sz w:val="18"/>
                <w:szCs w:val="18"/>
              </w:rPr>
            </w:pPr>
            <w:r w:rsidRPr="00E8652A">
              <w:rPr>
                <w:rFonts w:ascii="CAIXA Std Book" w:eastAsia="Times New Roman" w:hAnsi="CAIXA Std Book" w:cs="Calibri"/>
                <w:b/>
                <w:bCs/>
                <w:color w:val="005CA9"/>
                <w:sz w:val="18"/>
                <w:szCs w:val="18"/>
              </w:rPr>
              <w:t>556.347</w:t>
            </w:r>
          </w:p>
        </w:tc>
      </w:tr>
      <w:tr w:rsidR="00C16D2C" w:rsidRPr="00E8652A" w14:paraId="445E2493" w14:textId="77777777" w:rsidTr="00D91FED">
        <w:trPr>
          <w:trHeight w:val="283"/>
        </w:trPr>
        <w:tc>
          <w:tcPr>
            <w:tcW w:w="1213" w:type="pct"/>
            <w:shd w:val="clear" w:color="auto" w:fill="005CA9"/>
            <w:noWrap/>
            <w:vAlign w:val="center"/>
            <w:hideMark/>
          </w:tcPr>
          <w:p w14:paraId="0219066F" w14:textId="77777777" w:rsidR="00C16D2C" w:rsidRPr="00E8652A" w:rsidRDefault="00C16D2C">
            <w:pPr>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Saldo final</w:t>
            </w:r>
          </w:p>
        </w:tc>
        <w:tc>
          <w:tcPr>
            <w:tcW w:w="545" w:type="pct"/>
            <w:shd w:val="clear" w:color="auto" w:fill="005CA9"/>
            <w:noWrap/>
            <w:vAlign w:val="center"/>
            <w:hideMark/>
          </w:tcPr>
          <w:p w14:paraId="151880E1" w14:textId="43CB46D1" w:rsidR="00C16D2C" w:rsidRPr="00E8652A" w:rsidRDefault="00C16D2C">
            <w:pPr>
              <w:jc w:val="right"/>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7.316</w:t>
            </w:r>
          </w:p>
        </w:tc>
        <w:tc>
          <w:tcPr>
            <w:tcW w:w="563" w:type="pct"/>
            <w:shd w:val="clear" w:color="auto" w:fill="005CA9"/>
            <w:noWrap/>
            <w:vAlign w:val="center"/>
            <w:hideMark/>
          </w:tcPr>
          <w:p w14:paraId="68150630" w14:textId="6868A0A8" w:rsidR="00C16D2C" w:rsidRPr="00E8652A" w:rsidRDefault="00C16D2C">
            <w:pPr>
              <w:jc w:val="right"/>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(112.799)</w:t>
            </w:r>
          </w:p>
        </w:tc>
        <w:tc>
          <w:tcPr>
            <w:tcW w:w="600" w:type="pct"/>
            <w:shd w:val="clear" w:color="auto" w:fill="005CA9"/>
            <w:noWrap/>
            <w:vAlign w:val="center"/>
            <w:hideMark/>
          </w:tcPr>
          <w:p w14:paraId="099B571A" w14:textId="10E839FB" w:rsidR="00C16D2C" w:rsidRPr="00E8652A" w:rsidRDefault="00C16D2C">
            <w:pPr>
              <w:jc w:val="right"/>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(2.122.781)</w:t>
            </w:r>
          </w:p>
        </w:tc>
        <w:tc>
          <w:tcPr>
            <w:tcW w:w="502" w:type="pct"/>
            <w:shd w:val="clear" w:color="auto" w:fill="005CA9"/>
            <w:noWrap/>
            <w:vAlign w:val="center"/>
            <w:hideMark/>
          </w:tcPr>
          <w:p w14:paraId="276936FF" w14:textId="34522F15" w:rsidR="00C16D2C" w:rsidRPr="00E8652A" w:rsidRDefault="00C16D2C">
            <w:pPr>
              <w:jc w:val="right"/>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34.507</w:t>
            </w:r>
          </w:p>
        </w:tc>
        <w:tc>
          <w:tcPr>
            <w:tcW w:w="557" w:type="pct"/>
            <w:shd w:val="clear" w:color="auto" w:fill="005CA9"/>
            <w:noWrap/>
            <w:vAlign w:val="center"/>
            <w:hideMark/>
          </w:tcPr>
          <w:p w14:paraId="0A6F911C" w14:textId="23164ADA" w:rsidR="00C16D2C" w:rsidRPr="00E8652A" w:rsidRDefault="00C16D2C">
            <w:pPr>
              <w:jc w:val="right"/>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108.267</w:t>
            </w:r>
          </w:p>
        </w:tc>
        <w:tc>
          <w:tcPr>
            <w:tcW w:w="469" w:type="pct"/>
            <w:shd w:val="clear" w:color="auto" w:fill="005CA9"/>
            <w:noWrap/>
            <w:vAlign w:val="center"/>
            <w:hideMark/>
          </w:tcPr>
          <w:p w14:paraId="751E82AF" w14:textId="29425A99" w:rsidR="00C16D2C" w:rsidRPr="00E8652A" w:rsidRDefault="00C16D2C">
            <w:pPr>
              <w:jc w:val="right"/>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(7.097)</w:t>
            </w:r>
          </w:p>
        </w:tc>
        <w:tc>
          <w:tcPr>
            <w:tcW w:w="551" w:type="pct"/>
            <w:shd w:val="clear" w:color="auto" w:fill="005CA9"/>
            <w:noWrap/>
            <w:vAlign w:val="center"/>
            <w:hideMark/>
          </w:tcPr>
          <w:p w14:paraId="2E887786" w14:textId="719A6B68" w:rsidR="00C16D2C" w:rsidRPr="00E8652A" w:rsidRDefault="00C16D2C">
            <w:pPr>
              <w:jc w:val="right"/>
              <w:rPr>
                <w:rFonts w:ascii="CAIXA Std Book" w:eastAsia="Times New Roman" w:hAnsi="CAIXA Std Book" w:cs="Calibri"/>
                <w:b/>
                <w:bCs/>
                <w:color w:val="FFFFFF"/>
                <w:sz w:val="18"/>
                <w:szCs w:val="18"/>
              </w:rPr>
            </w:pPr>
            <w:r w:rsidRPr="00E8652A">
              <w:rPr>
                <w:rFonts w:ascii="CAIXA Std Book" w:eastAsia="Times New Roman" w:hAnsi="CAIXA Std Book" w:cs="Calibri"/>
                <w:b/>
                <w:bCs/>
                <w:color w:val="FFFFFF"/>
                <w:sz w:val="18"/>
                <w:szCs w:val="18"/>
              </w:rPr>
              <w:t>(2.092.587)</w:t>
            </w:r>
          </w:p>
        </w:tc>
      </w:tr>
    </w:tbl>
    <w:p w14:paraId="6536DB2C" w14:textId="77777777" w:rsidR="00951257" w:rsidRDefault="00951257" w:rsidP="00807D87">
      <w:pPr>
        <w:spacing w:before="240" w:after="240"/>
        <w:rPr>
          <w:rFonts w:ascii="CAIXA Std Book" w:hAnsi="CAIXA Std Book"/>
          <w:b/>
          <w:color w:val="005CA9"/>
          <w:sz w:val="20"/>
          <w:szCs w:val="20"/>
        </w:rPr>
        <w:sectPr w:rsidR="00951257" w:rsidSect="00851D3E">
          <w:headerReference w:type="default" r:id="rId57"/>
          <w:footerReference w:type="even" r:id="rId58"/>
          <w:footerReference w:type="default" r:id="rId59"/>
          <w:footerReference w:type="first" r:id="rId60"/>
          <w:pgSz w:w="16838" w:h="11906" w:orient="landscape"/>
          <w:pgMar w:top="1985" w:right="851" w:bottom="1418" w:left="1418" w:header="1134" w:footer="709" w:gutter="0"/>
          <w:cols w:space="708"/>
          <w:docGrid w:linePitch="360"/>
        </w:sectPr>
      </w:pPr>
    </w:p>
    <w:p w14:paraId="4E025E70" w14:textId="06FFAD39" w:rsidR="00ED7729" w:rsidRPr="00E95E29" w:rsidRDefault="00ED7729" w:rsidP="00B735D2">
      <w:pPr>
        <w:pStyle w:val="Ttulo1"/>
      </w:pPr>
      <w:bookmarkStart w:id="100" w:name="_Toc217914332"/>
      <w:bookmarkStart w:id="101" w:name="_Toc229588482"/>
      <w:r w:rsidRPr="00E95E29">
        <w:t xml:space="preserve">Nota   </w:t>
      </w:r>
      <w:r w:rsidR="005464C5">
        <w:t>10</w:t>
      </w:r>
      <w:r w:rsidRPr="00E95E29">
        <w:t xml:space="preserve"> – Ativos </w:t>
      </w:r>
      <w:r>
        <w:t xml:space="preserve">e </w:t>
      </w:r>
      <w:r w:rsidR="00BC16E7">
        <w:t>p</w:t>
      </w:r>
      <w:r>
        <w:t xml:space="preserve">assivos </w:t>
      </w:r>
      <w:r w:rsidR="00BC16E7">
        <w:t>f</w:t>
      </w:r>
      <w:r w:rsidRPr="00E95E29">
        <w:t>i</w:t>
      </w:r>
      <w:r w:rsidR="00B97A57">
        <w:t>s</w:t>
      </w:r>
      <w:r w:rsidRPr="00E95E29">
        <w:t>cais</w:t>
      </w:r>
      <w:bookmarkEnd w:id="100"/>
      <w:bookmarkEnd w:id="101"/>
    </w:p>
    <w:p w14:paraId="6C14E4FC" w14:textId="77777777" w:rsidR="00ED7729" w:rsidRDefault="00ED7729" w:rsidP="00AB4D07">
      <w:pPr>
        <w:keepNext/>
        <w:numPr>
          <w:ilvl w:val="0"/>
          <w:numId w:val="14"/>
        </w:numPr>
        <w:spacing w:before="240" w:after="120"/>
        <w:ind w:left="567" w:hanging="567"/>
        <w:jc w:val="both"/>
        <w:rPr>
          <w:rFonts w:ascii="CAIXA Std Book" w:hAnsi="CAIXA Std Book"/>
          <w:b/>
          <w:color w:val="005CA9"/>
          <w:sz w:val="20"/>
          <w:szCs w:val="20"/>
        </w:rPr>
      </w:pPr>
      <w:r w:rsidRPr="00E20D21">
        <w:rPr>
          <w:rFonts w:ascii="CAIXA Std Book" w:hAnsi="CAIXA Std Book"/>
          <w:b/>
          <w:color w:val="005CA9"/>
          <w:sz w:val="20"/>
          <w:szCs w:val="20"/>
        </w:rPr>
        <w:t>Demonstração da despesa de IRPJ e CSLL</w:t>
      </w:r>
    </w:p>
    <w:tbl>
      <w:tblPr>
        <w:tblW w:w="5000" w:type="pct"/>
        <w:tblCellMar>
          <w:left w:w="70" w:type="dxa"/>
          <w:right w:w="70" w:type="dxa"/>
        </w:tblCellMar>
        <w:tblLook w:val="04A0" w:firstRow="1" w:lastRow="0" w:firstColumn="1" w:lastColumn="0" w:noHBand="0" w:noVBand="1"/>
      </w:tblPr>
      <w:tblGrid>
        <w:gridCol w:w="4651"/>
        <w:gridCol w:w="1245"/>
        <w:gridCol w:w="1247"/>
        <w:gridCol w:w="1247"/>
        <w:gridCol w:w="1247"/>
      </w:tblGrid>
      <w:tr w:rsidR="00774540" w:rsidRPr="0019581C" w14:paraId="50B8C8C0" w14:textId="36614430" w:rsidTr="000C4033">
        <w:trPr>
          <w:trHeight w:val="283"/>
        </w:trPr>
        <w:tc>
          <w:tcPr>
            <w:tcW w:w="2413" w:type="pct"/>
            <w:vMerge w:val="restart"/>
            <w:tcBorders>
              <w:top w:val="nil"/>
              <w:left w:val="nil"/>
              <w:right w:val="nil"/>
            </w:tcBorders>
            <w:shd w:val="clear" w:color="auto" w:fill="005CA9"/>
            <w:vAlign w:val="center"/>
            <w:hideMark/>
          </w:tcPr>
          <w:p w14:paraId="737C047A" w14:textId="77777777" w:rsidR="00774540" w:rsidRPr="0019581C" w:rsidRDefault="00774540" w:rsidP="0019581C">
            <w:pPr>
              <w:jc w:val="center"/>
              <w:rPr>
                <w:rFonts w:ascii="CAIXA Std Book" w:eastAsia="Times New Roman" w:hAnsi="CAIXA Std Book" w:cs="Times New Roman"/>
                <w:b/>
                <w:bCs/>
                <w:color w:val="FFFFFF"/>
                <w:sz w:val="18"/>
                <w:szCs w:val="18"/>
              </w:rPr>
            </w:pPr>
            <w:r w:rsidRPr="0019581C">
              <w:rPr>
                <w:rFonts w:ascii="CAIXA Std Book" w:eastAsia="Times New Roman" w:hAnsi="CAIXA Std Book" w:cs="Times New Roman"/>
                <w:b/>
                <w:bCs/>
                <w:color w:val="FFFFFF"/>
                <w:sz w:val="18"/>
                <w:szCs w:val="18"/>
              </w:rPr>
              <w:t>Descrição</w:t>
            </w:r>
          </w:p>
        </w:tc>
        <w:tc>
          <w:tcPr>
            <w:tcW w:w="1293" w:type="pct"/>
            <w:gridSpan w:val="2"/>
            <w:tcBorders>
              <w:top w:val="nil"/>
              <w:left w:val="nil"/>
              <w:bottom w:val="single" w:sz="4" w:space="0" w:color="FFFFFF" w:themeColor="background1"/>
              <w:right w:val="nil"/>
            </w:tcBorders>
            <w:shd w:val="clear" w:color="auto" w:fill="005CA9"/>
            <w:vAlign w:val="center"/>
          </w:tcPr>
          <w:p w14:paraId="51D76E8C" w14:textId="517A95B5" w:rsidR="00774540" w:rsidRPr="0019581C" w:rsidRDefault="00774540" w:rsidP="0019581C">
            <w:pPr>
              <w:jc w:val="center"/>
              <w:rPr>
                <w:rFonts w:ascii="CAIXA Std Book" w:eastAsia="Times New Roman" w:hAnsi="CAIXA Std Book" w:cs="Times New Roman"/>
                <w:b/>
                <w:bCs/>
                <w:color w:val="FFFFFF"/>
                <w:sz w:val="18"/>
                <w:szCs w:val="18"/>
              </w:rPr>
            </w:pPr>
            <w:r w:rsidRPr="0019581C">
              <w:rPr>
                <w:rFonts w:ascii="CAIXA Std Book" w:eastAsia="Times New Roman" w:hAnsi="CAIXA Std Book" w:cs="Times New Roman"/>
                <w:b/>
                <w:bCs/>
                <w:color w:val="FFFFFF"/>
                <w:sz w:val="18"/>
                <w:szCs w:val="18"/>
              </w:rPr>
              <w:t>Individual</w:t>
            </w:r>
          </w:p>
        </w:tc>
        <w:tc>
          <w:tcPr>
            <w:tcW w:w="1294" w:type="pct"/>
            <w:gridSpan w:val="2"/>
            <w:tcBorders>
              <w:top w:val="nil"/>
              <w:left w:val="nil"/>
              <w:bottom w:val="single" w:sz="4" w:space="0" w:color="FFFFFF" w:themeColor="background1"/>
              <w:right w:val="nil"/>
            </w:tcBorders>
            <w:shd w:val="clear" w:color="auto" w:fill="005CA9"/>
            <w:vAlign w:val="center"/>
          </w:tcPr>
          <w:p w14:paraId="4C81C4E5" w14:textId="7C054623" w:rsidR="00774540" w:rsidRPr="0019581C" w:rsidRDefault="00774540" w:rsidP="00DE412E">
            <w:pPr>
              <w:jc w:val="center"/>
              <w:rPr>
                <w:rFonts w:ascii="CAIXA Std Book" w:eastAsia="Times New Roman" w:hAnsi="CAIXA Std Book" w:cs="Times New Roman"/>
                <w:b/>
                <w:bCs/>
                <w:color w:val="FFFFFF"/>
                <w:sz w:val="18"/>
                <w:szCs w:val="18"/>
              </w:rPr>
            </w:pPr>
            <w:r w:rsidRPr="0019581C">
              <w:rPr>
                <w:rFonts w:ascii="CAIXA Std Book" w:eastAsia="Times New Roman" w:hAnsi="CAIXA Std Book" w:cs="Times New Roman"/>
                <w:b/>
                <w:bCs/>
                <w:color w:val="FFFFFF"/>
                <w:sz w:val="18"/>
                <w:szCs w:val="18"/>
              </w:rPr>
              <w:t>Consolidado</w:t>
            </w:r>
          </w:p>
        </w:tc>
      </w:tr>
      <w:tr w:rsidR="00774540" w:rsidRPr="0019581C" w14:paraId="2C49F03E" w14:textId="2505EF32" w:rsidTr="000C4033">
        <w:trPr>
          <w:trHeight w:val="283"/>
        </w:trPr>
        <w:tc>
          <w:tcPr>
            <w:tcW w:w="2413" w:type="pct"/>
            <w:vMerge/>
            <w:tcBorders>
              <w:left w:val="nil"/>
              <w:right w:val="nil"/>
            </w:tcBorders>
            <w:shd w:val="clear" w:color="auto" w:fill="005CA9"/>
            <w:vAlign w:val="center"/>
            <w:hideMark/>
          </w:tcPr>
          <w:p w14:paraId="243A5814" w14:textId="47600AB4" w:rsidR="00774540" w:rsidRDefault="00774540" w:rsidP="00E22300">
            <w:pPr>
              <w:jc w:val="center"/>
              <w:rPr>
                <w:rFonts w:ascii="CAIXA Std Book" w:eastAsia="Times New Roman" w:hAnsi="CAIXA Std Book" w:cs="Times New Roman"/>
                <w:b/>
                <w:bCs/>
                <w:color w:val="FFFFFF"/>
                <w:sz w:val="18"/>
                <w:szCs w:val="18"/>
              </w:rPr>
            </w:pPr>
          </w:p>
        </w:tc>
        <w:tc>
          <w:tcPr>
            <w:tcW w:w="646" w:type="pct"/>
            <w:tcBorders>
              <w:top w:val="single" w:sz="4" w:space="0" w:color="FFFFFF" w:themeColor="background1"/>
              <w:left w:val="nil"/>
              <w:bottom w:val="single" w:sz="4" w:space="0" w:color="FFFFFF" w:themeColor="background1"/>
              <w:right w:val="nil"/>
            </w:tcBorders>
            <w:shd w:val="clear" w:color="auto" w:fill="005CA9"/>
            <w:vAlign w:val="center"/>
          </w:tcPr>
          <w:p w14:paraId="67EDE3D2" w14:textId="481DB2A6" w:rsidR="00774540" w:rsidRPr="0019581C" w:rsidRDefault="000C4033" w:rsidP="00E22300">
            <w:pPr>
              <w:jc w:val="center"/>
              <w:rPr>
                <w:rFonts w:ascii="CAIXA Std Book" w:eastAsia="Times New Roman" w:hAnsi="CAIXA Std Book" w:cs="Times New Roman"/>
                <w:b/>
                <w:bCs/>
                <w:color w:val="FFFFFF"/>
                <w:sz w:val="18"/>
                <w:szCs w:val="18"/>
              </w:rPr>
            </w:pPr>
            <w:r>
              <w:rPr>
                <w:rFonts w:ascii="CAIXA Std Book" w:eastAsia="Times New Roman" w:hAnsi="CAIXA Std Book" w:cs="Times New Roman"/>
                <w:b/>
                <w:bCs/>
                <w:color w:val="FFFFFF"/>
                <w:sz w:val="18"/>
                <w:szCs w:val="18"/>
              </w:rPr>
              <w:t>2026</w:t>
            </w:r>
          </w:p>
        </w:tc>
        <w:tc>
          <w:tcPr>
            <w:tcW w:w="647" w:type="pct"/>
            <w:tcBorders>
              <w:top w:val="single" w:sz="4" w:space="0" w:color="FFFFFF" w:themeColor="background1"/>
              <w:left w:val="nil"/>
              <w:bottom w:val="single" w:sz="4" w:space="0" w:color="FFFFFF" w:themeColor="background1"/>
              <w:right w:val="nil"/>
            </w:tcBorders>
            <w:shd w:val="clear" w:color="auto" w:fill="005CA9"/>
            <w:vAlign w:val="center"/>
          </w:tcPr>
          <w:p w14:paraId="2FF7067F" w14:textId="77777777" w:rsidR="00774540" w:rsidRDefault="00774540" w:rsidP="00E22300">
            <w:pPr>
              <w:jc w:val="center"/>
              <w:rPr>
                <w:rFonts w:ascii="CAIXA Std Book" w:eastAsia="Times New Roman" w:hAnsi="CAIXA Std Book" w:cs="Times New Roman"/>
                <w:b/>
                <w:bCs/>
                <w:color w:val="FFFFFF"/>
                <w:sz w:val="18"/>
                <w:szCs w:val="18"/>
              </w:rPr>
            </w:pPr>
            <w:r>
              <w:rPr>
                <w:rFonts w:ascii="CAIXA Std Book" w:eastAsia="Times New Roman" w:hAnsi="CAIXA Std Book" w:cs="Times New Roman"/>
                <w:b/>
                <w:bCs/>
                <w:color w:val="FFFFFF"/>
                <w:sz w:val="18"/>
                <w:szCs w:val="18"/>
              </w:rPr>
              <w:t>2025</w:t>
            </w:r>
          </w:p>
        </w:tc>
        <w:tc>
          <w:tcPr>
            <w:tcW w:w="647" w:type="pct"/>
            <w:tcBorders>
              <w:top w:val="single" w:sz="4" w:space="0" w:color="FFFFFF" w:themeColor="background1"/>
              <w:left w:val="nil"/>
              <w:bottom w:val="single" w:sz="4" w:space="0" w:color="FFFFFF" w:themeColor="background1"/>
              <w:right w:val="nil"/>
            </w:tcBorders>
            <w:shd w:val="clear" w:color="auto" w:fill="005CA9"/>
            <w:vAlign w:val="center"/>
          </w:tcPr>
          <w:p w14:paraId="194B3B2D" w14:textId="1502F43B" w:rsidR="000C4033" w:rsidRPr="0019581C" w:rsidRDefault="002B79C3" w:rsidP="00E22300">
            <w:pPr>
              <w:jc w:val="center"/>
              <w:rPr>
                <w:rFonts w:ascii="CAIXA Std Book" w:eastAsia="Times New Roman" w:hAnsi="CAIXA Std Book" w:cs="Times New Roman"/>
                <w:b/>
                <w:bCs/>
                <w:color w:val="FFFFFF"/>
                <w:sz w:val="18"/>
                <w:szCs w:val="18"/>
              </w:rPr>
            </w:pPr>
            <w:r>
              <w:rPr>
                <w:rFonts w:ascii="CAIXA Std Book" w:eastAsia="Times New Roman" w:hAnsi="CAIXA Std Book" w:cs="Times New Roman"/>
                <w:b/>
                <w:bCs/>
                <w:color w:val="FFFFFF"/>
                <w:sz w:val="18"/>
                <w:szCs w:val="18"/>
              </w:rPr>
              <w:t>2026</w:t>
            </w:r>
          </w:p>
        </w:tc>
        <w:tc>
          <w:tcPr>
            <w:tcW w:w="647" w:type="pct"/>
            <w:tcBorders>
              <w:top w:val="single" w:sz="4" w:space="0" w:color="FFFFFF" w:themeColor="background1"/>
              <w:left w:val="nil"/>
              <w:bottom w:val="single" w:sz="4" w:space="0" w:color="FFFFFF" w:themeColor="background1"/>
              <w:right w:val="nil"/>
            </w:tcBorders>
            <w:shd w:val="clear" w:color="auto" w:fill="005CA9"/>
            <w:vAlign w:val="center"/>
          </w:tcPr>
          <w:p w14:paraId="6FB62156" w14:textId="3E505CAB" w:rsidR="00774540" w:rsidRPr="0019581C" w:rsidRDefault="006C5B72" w:rsidP="00E22300">
            <w:pPr>
              <w:jc w:val="center"/>
              <w:rPr>
                <w:rFonts w:ascii="CAIXA Std Book" w:eastAsia="Times New Roman" w:hAnsi="CAIXA Std Book" w:cs="Times New Roman"/>
                <w:b/>
                <w:bCs/>
                <w:color w:val="FFFFFF"/>
                <w:sz w:val="18"/>
                <w:szCs w:val="18"/>
              </w:rPr>
            </w:pPr>
            <w:r>
              <w:rPr>
                <w:rFonts w:ascii="CAIXA Std Book" w:eastAsia="Times New Roman" w:hAnsi="CAIXA Std Book" w:cs="Times New Roman"/>
                <w:b/>
                <w:bCs/>
                <w:color w:val="FFFFFF"/>
                <w:sz w:val="18"/>
                <w:szCs w:val="18"/>
              </w:rPr>
              <w:t>2025</w:t>
            </w:r>
          </w:p>
        </w:tc>
      </w:tr>
      <w:tr w:rsidR="00774540" w:rsidRPr="0019581C" w14:paraId="59EEDF02" w14:textId="2AB65056" w:rsidTr="000C4033">
        <w:trPr>
          <w:trHeight w:val="283"/>
        </w:trPr>
        <w:tc>
          <w:tcPr>
            <w:tcW w:w="2413" w:type="pct"/>
            <w:vMerge/>
            <w:tcBorders>
              <w:left w:val="nil"/>
              <w:right w:val="nil"/>
            </w:tcBorders>
            <w:shd w:val="clear" w:color="auto" w:fill="005CA9"/>
            <w:vAlign w:val="center"/>
          </w:tcPr>
          <w:p w14:paraId="1D857FA9" w14:textId="77777777" w:rsidR="00774540" w:rsidRPr="0019581C" w:rsidRDefault="00774540" w:rsidP="00DE412E">
            <w:pPr>
              <w:rPr>
                <w:rFonts w:ascii="CAIXA Std Book" w:eastAsia="Times New Roman" w:hAnsi="CAIXA Std Book" w:cs="Times New Roman"/>
                <w:b/>
                <w:bCs/>
                <w:color w:val="FFFFFF"/>
                <w:sz w:val="18"/>
                <w:szCs w:val="18"/>
              </w:rPr>
            </w:pPr>
          </w:p>
        </w:tc>
        <w:tc>
          <w:tcPr>
            <w:tcW w:w="646" w:type="pct"/>
            <w:tcBorders>
              <w:top w:val="single" w:sz="4" w:space="0" w:color="FFFFFF" w:themeColor="background1"/>
              <w:left w:val="nil"/>
              <w:right w:val="nil"/>
            </w:tcBorders>
            <w:shd w:val="clear" w:color="auto" w:fill="005CA9"/>
            <w:vAlign w:val="center"/>
          </w:tcPr>
          <w:p w14:paraId="257F4333" w14:textId="4A3A4ABE" w:rsidR="00774540" w:rsidRDefault="00774540" w:rsidP="00E22300">
            <w:pPr>
              <w:jc w:val="center"/>
              <w:rPr>
                <w:rFonts w:ascii="CAIXA Std Book" w:eastAsia="Times New Roman" w:hAnsi="CAIXA Std Book" w:cs="Times New Roman"/>
                <w:b/>
                <w:bCs/>
                <w:color w:val="FFFFFF"/>
                <w:sz w:val="18"/>
                <w:szCs w:val="18"/>
              </w:rPr>
            </w:pPr>
            <w:r>
              <w:rPr>
                <w:rFonts w:ascii="CAIXA Std Book" w:eastAsia="Times New Roman" w:hAnsi="CAIXA Std Book" w:cs="Times New Roman"/>
                <w:b/>
                <w:bCs/>
                <w:color w:val="FFFFFF"/>
                <w:sz w:val="18"/>
                <w:szCs w:val="18"/>
              </w:rPr>
              <w:t>1</w:t>
            </w:r>
            <w:r w:rsidRPr="008B450A">
              <w:rPr>
                <w:rFonts w:ascii="CAIXA Std Book" w:eastAsia="Times New Roman" w:hAnsi="CAIXA Std Book" w:cs="Times New Roman"/>
                <w:b/>
                <w:bCs/>
                <w:color w:val="FFFFFF"/>
                <w:sz w:val="18"/>
                <w:szCs w:val="18"/>
              </w:rPr>
              <w:t xml:space="preserve">º </w:t>
            </w:r>
            <w:r>
              <w:rPr>
                <w:rFonts w:ascii="CAIXA Std Book" w:eastAsia="Times New Roman" w:hAnsi="CAIXA Std Book" w:cs="Times New Roman"/>
                <w:b/>
                <w:bCs/>
                <w:color w:val="FFFFFF"/>
                <w:sz w:val="18"/>
                <w:szCs w:val="18"/>
              </w:rPr>
              <w:t>trimestre</w:t>
            </w:r>
          </w:p>
        </w:tc>
        <w:tc>
          <w:tcPr>
            <w:tcW w:w="647" w:type="pct"/>
            <w:tcBorders>
              <w:top w:val="single" w:sz="4" w:space="0" w:color="FFFFFF" w:themeColor="background1"/>
              <w:left w:val="nil"/>
              <w:right w:val="nil"/>
            </w:tcBorders>
            <w:shd w:val="clear" w:color="auto" w:fill="005CA9"/>
            <w:vAlign w:val="center"/>
          </w:tcPr>
          <w:p w14:paraId="1E41B5F9" w14:textId="24F77F13" w:rsidR="00774540" w:rsidRPr="0019581C" w:rsidRDefault="00774540" w:rsidP="00E22300">
            <w:pPr>
              <w:jc w:val="center"/>
              <w:rPr>
                <w:rFonts w:ascii="CAIXA Std Book" w:eastAsia="Times New Roman" w:hAnsi="CAIXA Std Book" w:cs="Times New Roman"/>
                <w:b/>
                <w:bCs/>
                <w:color w:val="FFFFFF"/>
                <w:sz w:val="18"/>
                <w:szCs w:val="18"/>
              </w:rPr>
            </w:pPr>
            <w:r>
              <w:rPr>
                <w:rFonts w:ascii="CAIXA Std Book" w:eastAsia="Times New Roman" w:hAnsi="CAIXA Std Book" w:cs="Times New Roman"/>
                <w:b/>
                <w:bCs/>
                <w:color w:val="FFFFFF"/>
                <w:sz w:val="18"/>
                <w:szCs w:val="18"/>
              </w:rPr>
              <w:t>1</w:t>
            </w:r>
            <w:r w:rsidRPr="008B450A">
              <w:rPr>
                <w:rFonts w:ascii="CAIXA Std Book" w:eastAsia="Times New Roman" w:hAnsi="CAIXA Std Book" w:cs="Times New Roman"/>
                <w:b/>
                <w:bCs/>
                <w:color w:val="FFFFFF"/>
                <w:sz w:val="18"/>
                <w:szCs w:val="18"/>
              </w:rPr>
              <w:t xml:space="preserve">º </w:t>
            </w:r>
            <w:r>
              <w:rPr>
                <w:rFonts w:ascii="CAIXA Std Book" w:eastAsia="Times New Roman" w:hAnsi="CAIXA Std Book" w:cs="Times New Roman"/>
                <w:b/>
                <w:bCs/>
                <w:color w:val="FFFFFF"/>
                <w:sz w:val="18"/>
                <w:szCs w:val="18"/>
              </w:rPr>
              <w:t>trimestre</w:t>
            </w:r>
          </w:p>
        </w:tc>
        <w:tc>
          <w:tcPr>
            <w:tcW w:w="647" w:type="pct"/>
            <w:tcBorders>
              <w:top w:val="single" w:sz="4" w:space="0" w:color="FFFFFF" w:themeColor="background1"/>
              <w:left w:val="nil"/>
              <w:right w:val="nil"/>
            </w:tcBorders>
            <w:shd w:val="clear" w:color="auto" w:fill="005CA9"/>
            <w:vAlign w:val="center"/>
          </w:tcPr>
          <w:p w14:paraId="11956489" w14:textId="40FA92C1" w:rsidR="00774540" w:rsidRPr="0019581C" w:rsidRDefault="00774540" w:rsidP="00E22300">
            <w:pPr>
              <w:jc w:val="center"/>
              <w:rPr>
                <w:rFonts w:ascii="CAIXA Std Book" w:eastAsia="Times New Roman" w:hAnsi="CAIXA Std Book" w:cs="Times New Roman"/>
                <w:b/>
                <w:bCs/>
                <w:color w:val="FFFFFF"/>
                <w:sz w:val="18"/>
                <w:szCs w:val="18"/>
              </w:rPr>
            </w:pPr>
            <w:r>
              <w:rPr>
                <w:rFonts w:ascii="CAIXA Std Book" w:eastAsia="Times New Roman" w:hAnsi="CAIXA Std Book" w:cs="Times New Roman"/>
                <w:b/>
                <w:bCs/>
                <w:color w:val="FFFFFF"/>
                <w:sz w:val="18"/>
                <w:szCs w:val="18"/>
              </w:rPr>
              <w:t>1</w:t>
            </w:r>
            <w:r w:rsidRPr="008B450A">
              <w:rPr>
                <w:rFonts w:ascii="CAIXA Std Book" w:eastAsia="Times New Roman" w:hAnsi="CAIXA Std Book" w:cs="Times New Roman"/>
                <w:b/>
                <w:bCs/>
                <w:color w:val="FFFFFF"/>
                <w:sz w:val="18"/>
                <w:szCs w:val="18"/>
              </w:rPr>
              <w:t xml:space="preserve">º </w:t>
            </w:r>
            <w:r>
              <w:rPr>
                <w:rFonts w:ascii="CAIXA Std Book" w:eastAsia="Times New Roman" w:hAnsi="CAIXA Std Book" w:cs="Times New Roman"/>
                <w:b/>
                <w:bCs/>
                <w:color w:val="FFFFFF"/>
                <w:sz w:val="18"/>
                <w:szCs w:val="18"/>
              </w:rPr>
              <w:t>trimestre</w:t>
            </w:r>
          </w:p>
        </w:tc>
        <w:tc>
          <w:tcPr>
            <w:tcW w:w="647" w:type="pct"/>
            <w:tcBorders>
              <w:top w:val="single" w:sz="4" w:space="0" w:color="FFFFFF" w:themeColor="background1"/>
              <w:left w:val="nil"/>
              <w:right w:val="nil"/>
            </w:tcBorders>
            <w:shd w:val="clear" w:color="auto" w:fill="005CA9"/>
            <w:vAlign w:val="center"/>
          </w:tcPr>
          <w:p w14:paraId="2F34B4CE" w14:textId="19DB3B14" w:rsidR="00774540" w:rsidRPr="0019581C" w:rsidRDefault="00774540" w:rsidP="00E22300">
            <w:pPr>
              <w:jc w:val="center"/>
              <w:rPr>
                <w:rFonts w:ascii="CAIXA Std Book" w:eastAsia="Times New Roman" w:hAnsi="CAIXA Std Book" w:cs="Times New Roman"/>
                <w:b/>
                <w:bCs/>
                <w:color w:val="FFFFFF"/>
                <w:sz w:val="18"/>
                <w:szCs w:val="18"/>
              </w:rPr>
            </w:pPr>
            <w:r>
              <w:rPr>
                <w:rFonts w:ascii="CAIXA Std Book" w:eastAsia="Times New Roman" w:hAnsi="CAIXA Std Book" w:cs="Times New Roman"/>
                <w:b/>
                <w:bCs/>
                <w:color w:val="FFFFFF"/>
                <w:sz w:val="18"/>
                <w:szCs w:val="18"/>
              </w:rPr>
              <w:t>1</w:t>
            </w:r>
            <w:r w:rsidRPr="008B450A">
              <w:rPr>
                <w:rFonts w:ascii="CAIXA Std Book" w:eastAsia="Times New Roman" w:hAnsi="CAIXA Std Book" w:cs="Times New Roman"/>
                <w:b/>
                <w:bCs/>
                <w:color w:val="FFFFFF"/>
                <w:sz w:val="18"/>
                <w:szCs w:val="18"/>
              </w:rPr>
              <w:t xml:space="preserve">º </w:t>
            </w:r>
            <w:r>
              <w:rPr>
                <w:rFonts w:ascii="CAIXA Std Book" w:eastAsia="Times New Roman" w:hAnsi="CAIXA Std Book" w:cs="Times New Roman"/>
                <w:b/>
                <w:bCs/>
                <w:color w:val="FFFFFF"/>
                <w:sz w:val="18"/>
                <w:szCs w:val="18"/>
              </w:rPr>
              <w:t>trimestre</w:t>
            </w:r>
          </w:p>
        </w:tc>
      </w:tr>
      <w:tr w:rsidR="00E54693" w:rsidRPr="0019581C" w14:paraId="1595E064" w14:textId="5A272350" w:rsidTr="000C4033">
        <w:trPr>
          <w:trHeight w:val="283"/>
        </w:trPr>
        <w:tc>
          <w:tcPr>
            <w:tcW w:w="2413" w:type="pct"/>
            <w:tcBorders>
              <w:top w:val="nil"/>
              <w:left w:val="nil"/>
              <w:bottom w:val="single" w:sz="4" w:space="0" w:color="FFFFFF" w:themeColor="background1"/>
              <w:right w:val="nil"/>
            </w:tcBorders>
            <w:shd w:val="clear" w:color="auto" w:fill="D0E0E3"/>
            <w:vAlign w:val="center"/>
            <w:hideMark/>
          </w:tcPr>
          <w:p w14:paraId="288575F9" w14:textId="77777777" w:rsidR="00566BDB" w:rsidRPr="0019581C" w:rsidRDefault="00566BDB" w:rsidP="004E325A">
            <w:pPr>
              <w:rPr>
                <w:rFonts w:ascii="CAIXA Std Book" w:eastAsia="Times New Roman" w:hAnsi="CAIXA Std Book" w:cs="Times New Roman"/>
                <w:b/>
                <w:bCs/>
                <w:color w:val="005CA9"/>
                <w:sz w:val="18"/>
                <w:szCs w:val="18"/>
              </w:rPr>
            </w:pPr>
            <w:r w:rsidRPr="0019581C">
              <w:rPr>
                <w:rFonts w:ascii="CAIXA Std Book" w:eastAsia="Times New Roman" w:hAnsi="CAIXA Std Book" w:cs="Times New Roman"/>
                <w:b/>
                <w:bCs/>
                <w:color w:val="005CA9"/>
                <w:sz w:val="18"/>
                <w:szCs w:val="18"/>
              </w:rPr>
              <w:t>Tributos correntes</w:t>
            </w:r>
          </w:p>
        </w:tc>
        <w:tc>
          <w:tcPr>
            <w:tcW w:w="646" w:type="pct"/>
            <w:tcBorders>
              <w:top w:val="nil"/>
              <w:left w:val="nil"/>
              <w:bottom w:val="single" w:sz="4" w:space="0" w:color="FFFFFF" w:themeColor="background1"/>
              <w:right w:val="nil"/>
            </w:tcBorders>
            <w:shd w:val="clear" w:color="auto" w:fill="D0E0E3"/>
            <w:vAlign w:val="center"/>
          </w:tcPr>
          <w:p w14:paraId="11EB11F5" w14:textId="5ED37D14" w:rsidR="00566BDB" w:rsidRPr="0019581C" w:rsidRDefault="000339FC" w:rsidP="004E325A">
            <w:pPr>
              <w:jc w:val="center"/>
              <w:rPr>
                <w:rFonts w:ascii="CAIXA Std Book" w:eastAsia="Times New Roman" w:hAnsi="CAIXA Std Book" w:cs="Times New Roman"/>
                <w:b/>
                <w:bCs/>
                <w:color w:val="005CA9"/>
                <w:sz w:val="18"/>
                <w:szCs w:val="18"/>
              </w:rPr>
            </w:pPr>
            <w:r>
              <w:rPr>
                <w:rFonts w:ascii="CAIXA Std Book" w:hAnsi="CAIXA Std Book" w:cs="Arial"/>
                <w:b/>
                <w:bCs/>
                <w:color w:val="005CA9"/>
                <w:sz w:val="18"/>
                <w:szCs w:val="18"/>
              </w:rPr>
              <w:t>-</w:t>
            </w:r>
          </w:p>
        </w:tc>
        <w:tc>
          <w:tcPr>
            <w:tcW w:w="647" w:type="pct"/>
            <w:tcBorders>
              <w:top w:val="nil"/>
              <w:left w:val="nil"/>
              <w:bottom w:val="single" w:sz="4" w:space="0" w:color="FFFFFF" w:themeColor="background1"/>
              <w:right w:val="nil"/>
            </w:tcBorders>
            <w:shd w:val="clear" w:color="auto" w:fill="D0E0E3"/>
            <w:vAlign w:val="center"/>
          </w:tcPr>
          <w:p w14:paraId="021C9995" w14:textId="454C9E75" w:rsidR="00566BDB" w:rsidRPr="0019581C" w:rsidRDefault="00B97F9A" w:rsidP="001275AB">
            <w:pPr>
              <w:jc w:val="right"/>
              <w:rPr>
                <w:rFonts w:ascii="CAIXA Std Book" w:eastAsia="Times New Roman" w:hAnsi="CAIXA Std Book" w:cs="Times New Roman"/>
                <w:b/>
                <w:bCs/>
                <w:color w:val="005CA9"/>
                <w:sz w:val="18"/>
                <w:szCs w:val="18"/>
              </w:rPr>
            </w:pPr>
            <w:r w:rsidRPr="00BE55F0">
              <w:rPr>
                <w:rFonts w:ascii="CAIXA Std Book" w:eastAsia="Times New Roman" w:hAnsi="CAIXA Std Book" w:cs="Arial"/>
                <w:b/>
                <w:bCs/>
                <w:color w:val="005CA9"/>
                <w:sz w:val="18"/>
                <w:szCs w:val="18"/>
              </w:rPr>
              <w:t>(198.923)</w:t>
            </w:r>
          </w:p>
        </w:tc>
        <w:tc>
          <w:tcPr>
            <w:tcW w:w="647" w:type="pct"/>
            <w:tcBorders>
              <w:top w:val="nil"/>
              <w:left w:val="nil"/>
              <w:bottom w:val="single" w:sz="4" w:space="0" w:color="FFFFFF" w:themeColor="background1"/>
              <w:right w:val="nil"/>
            </w:tcBorders>
            <w:shd w:val="clear" w:color="auto" w:fill="D0E0E3"/>
            <w:vAlign w:val="center"/>
          </w:tcPr>
          <w:p w14:paraId="6B7D44BB" w14:textId="30D20B84" w:rsidR="00566BDB" w:rsidRPr="0019581C" w:rsidRDefault="000339FC" w:rsidP="004E325A">
            <w:pPr>
              <w:jc w:val="right"/>
              <w:rPr>
                <w:rFonts w:ascii="CAIXA Std Book" w:eastAsia="Times New Roman" w:hAnsi="CAIXA Std Book" w:cs="Times New Roman"/>
                <w:b/>
                <w:bCs/>
                <w:color w:val="005CA9"/>
                <w:sz w:val="18"/>
                <w:szCs w:val="18"/>
              </w:rPr>
            </w:pPr>
            <w:r>
              <w:rPr>
                <w:rFonts w:ascii="CAIXA Std Book" w:hAnsi="CAIXA Std Book" w:cs="Arial"/>
                <w:b/>
                <w:bCs/>
                <w:color w:val="005CA9"/>
                <w:sz w:val="18"/>
                <w:szCs w:val="18"/>
              </w:rPr>
              <w:t>(539.886)</w:t>
            </w:r>
          </w:p>
        </w:tc>
        <w:tc>
          <w:tcPr>
            <w:tcW w:w="647" w:type="pct"/>
            <w:tcBorders>
              <w:top w:val="nil"/>
              <w:left w:val="nil"/>
              <w:bottom w:val="single" w:sz="4" w:space="0" w:color="FFFFFF" w:themeColor="background1"/>
              <w:right w:val="nil"/>
            </w:tcBorders>
            <w:shd w:val="clear" w:color="auto" w:fill="D0E0E3"/>
            <w:vAlign w:val="center"/>
          </w:tcPr>
          <w:p w14:paraId="2A829C4A" w14:textId="0980A742" w:rsidR="00566BDB" w:rsidRPr="0019581C" w:rsidRDefault="00EB2C1D" w:rsidP="004E325A">
            <w:pPr>
              <w:jc w:val="right"/>
              <w:rPr>
                <w:rFonts w:ascii="CAIXA Std Book" w:eastAsia="Times New Roman" w:hAnsi="CAIXA Std Book" w:cs="Times New Roman"/>
                <w:b/>
                <w:bCs/>
                <w:color w:val="005CA9"/>
                <w:sz w:val="18"/>
                <w:szCs w:val="18"/>
              </w:rPr>
            </w:pPr>
            <w:r w:rsidRPr="00BE55F0">
              <w:rPr>
                <w:rFonts w:ascii="CAIXA Std Book" w:eastAsia="Times New Roman" w:hAnsi="CAIXA Std Book" w:cs="Arial"/>
                <w:b/>
                <w:bCs/>
                <w:color w:val="005CA9"/>
                <w:sz w:val="18"/>
                <w:szCs w:val="18"/>
              </w:rPr>
              <w:t>(508.884)</w:t>
            </w:r>
          </w:p>
        </w:tc>
      </w:tr>
      <w:tr w:rsidR="00E54693" w:rsidRPr="0019581C" w14:paraId="6D642F65" w14:textId="6C37A01E" w:rsidTr="000C4033">
        <w:trPr>
          <w:trHeight w:val="283"/>
        </w:trPr>
        <w:tc>
          <w:tcPr>
            <w:tcW w:w="2413" w:type="pct"/>
            <w:tcBorders>
              <w:top w:val="single" w:sz="4" w:space="0" w:color="FFFFFF" w:themeColor="background1"/>
              <w:left w:val="nil"/>
              <w:bottom w:val="single" w:sz="4" w:space="0" w:color="FFFFFF" w:themeColor="background1"/>
              <w:right w:val="nil"/>
            </w:tcBorders>
            <w:shd w:val="clear" w:color="auto" w:fill="D0E0E3"/>
            <w:vAlign w:val="center"/>
            <w:hideMark/>
          </w:tcPr>
          <w:p w14:paraId="31CE25AF" w14:textId="77777777" w:rsidR="00566BDB" w:rsidRPr="0019581C" w:rsidRDefault="00566BDB" w:rsidP="004E325A">
            <w:pPr>
              <w:rPr>
                <w:rFonts w:ascii="CAIXA Std Book" w:eastAsia="Times New Roman" w:hAnsi="CAIXA Std Book" w:cs="Times New Roman"/>
                <w:b/>
                <w:bCs/>
                <w:color w:val="005CA9"/>
                <w:sz w:val="18"/>
                <w:szCs w:val="18"/>
              </w:rPr>
            </w:pPr>
            <w:r w:rsidRPr="0019581C">
              <w:rPr>
                <w:rFonts w:ascii="CAIXA Std Book" w:eastAsia="Times New Roman" w:hAnsi="CAIXA Std Book" w:cs="Times New Roman"/>
                <w:b/>
                <w:bCs/>
                <w:color w:val="005CA9"/>
                <w:sz w:val="18"/>
                <w:szCs w:val="18"/>
              </w:rPr>
              <w:t>Tributos diferidos</w:t>
            </w:r>
          </w:p>
        </w:tc>
        <w:tc>
          <w:tcPr>
            <w:tcW w:w="646" w:type="pct"/>
            <w:tcBorders>
              <w:top w:val="single" w:sz="4" w:space="0" w:color="FFFFFF" w:themeColor="background1"/>
              <w:left w:val="nil"/>
              <w:bottom w:val="single" w:sz="4" w:space="0" w:color="FFFFFF" w:themeColor="background1"/>
              <w:right w:val="nil"/>
            </w:tcBorders>
            <w:shd w:val="clear" w:color="auto" w:fill="D0E0E3"/>
            <w:vAlign w:val="center"/>
          </w:tcPr>
          <w:p w14:paraId="2B4CD3B1" w14:textId="7272541F" w:rsidR="00566BDB" w:rsidRPr="0019581C" w:rsidRDefault="000339FC" w:rsidP="004E325A">
            <w:pPr>
              <w:jc w:val="right"/>
              <w:rPr>
                <w:rFonts w:ascii="CAIXA Std Book" w:eastAsia="Times New Roman" w:hAnsi="CAIXA Std Book" w:cs="Times New Roman"/>
                <w:b/>
                <w:bCs/>
                <w:color w:val="005CA9"/>
                <w:sz w:val="18"/>
                <w:szCs w:val="18"/>
              </w:rPr>
            </w:pPr>
            <w:r>
              <w:rPr>
                <w:rFonts w:ascii="CAIXA Std Book" w:hAnsi="CAIXA Std Book" w:cs="Arial"/>
                <w:b/>
                <w:bCs/>
                <w:color w:val="005CA9"/>
                <w:sz w:val="18"/>
                <w:szCs w:val="18"/>
              </w:rPr>
              <w:t>2.184.058</w:t>
            </w:r>
          </w:p>
        </w:tc>
        <w:tc>
          <w:tcPr>
            <w:tcW w:w="647" w:type="pct"/>
            <w:tcBorders>
              <w:top w:val="single" w:sz="4" w:space="0" w:color="FFFFFF" w:themeColor="background1"/>
              <w:left w:val="nil"/>
              <w:bottom w:val="single" w:sz="4" w:space="0" w:color="FFFFFF" w:themeColor="background1"/>
              <w:right w:val="nil"/>
            </w:tcBorders>
            <w:shd w:val="clear" w:color="auto" w:fill="D0E0E3"/>
            <w:vAlign w:val="center"/>
          </w:tcPr>
          <w:p w14:paraId="3D61F5D5" w14:textId="2767C546" w:rsidR="00566BDB" w:rsidRPr="0019581C" w:rsidRDefault="00B97F9A" w:rsidP="004E325A">
            <w:pPr>
              <w:jc w:val="right"/>
              <w:rPr>
                <w:rFonts w:ascii="CAIXA Std Book" w:eastAsia="Times New Roman" w:hAnsi="CAIXA Std Book" w:cs="Times New Roman"/>
                <w:b/>
                <w:bCs/>
                <w:color w:val="005CA9"/>
                <w:sz w:val="18"/>
                <w:szCs w:val="18"/>
              </w:rPr>
            </w:pPr>
            <w:r w:rsidRPr="00BE55F0">
              <w:rPr>
                <w:rFonts w:ascii="CAIXA Std Book" w:eastAsia="Times New Roman" w:hAnsi="CAIXA Std Book" w:cs="Arial"/>
                <w:b/>
                <w:bCs/>
                <w:color w:val="005CA9"/>
                <w:sz w:val="18"/>
                <w:szCs w:val="18"/>
              </w:rPr>
              <w:t>(294.845)</w:t>
            </w:r>
          </w:p>
        </w:tc>
        <w:tc>
          <w:tcPr>
            <w:tcW w:w="647" w:type="pct"/>
            <w:tcBorders>
              <w:top w:val="single" w:sz="4" w:space="0" w:color="FFFFFF" w:themeColor="background1"/>
              <w:left w:val="nil"/>
              <w:bottom w:val="single" w:sz="4" w:space="0" w:color="FFFFFF" w:themeColor="background1"/>
              <w:right w:val="nil"/>
            </w:tcBorders>
            <w:shd w:val="clear" w:color="auto" w:fill="D0E0E3"/>
            <w:vAlign w:val="center"/>
          </w:tcPr>
          <w:p w14:paraId="3CCA58E0" w14:textId="05109841" w:rsidR="00566BDB" w:rsidRPr="0019581C" w:rsidRDefault="000339FC" w:rsidP="004E325A">
            <w:pPr>
              <w:jc w:val="right"/>
              <w:rPr>
                <w:rFonts w:ascii="CAIXA Std Book" w:eastAsia="Times New Roman" w:hAnsi="CAIXA Std Book" w:cs="Times New Roman"/>
                <w:b/>
                <w:bCs/>
                <w:color w:val="005CA9"/>
                <w:sz w:val="18"/>
                <w:szCs w:val="18"/>
              </w:rPr>
            </w:pPr>
            <w:r>
              <w:rPr>
                <w:rFonts w:ascii="CAIXA Std Book" w:hAnsi="CAIXA Std Book" w:cs="Arial"/>
                <w:b/>
                <w:bCs/>
                <w:color w:val="005CA9"/>
                <w:sz w:val="18"/>
                <w:szCs w:val="18"/>
              </w:rPr>
              <w:t>2.159.407</w:t>
            </w:r>
          </w:p>
        </w:tc>
        <w:tc>
          <w:tcPr>
            <w:tcW w:w="647" w:type="pct"/>
            <w:tcBorders>
              <w:top w:val="single" w:sz="4" w:space="0" w:color="FFFFFF" w:themeColor="background1"/>
              <w:left w:val="nil"/>
              <w:bottom w:val="single" w:sz="4" w:space="0" w:color="FFFFFF" w:themeColor="background1"/>
              <w:right w:val="nil"/>
            </w:tcBorders>
            <w:shd w:val="clear" w:color="auto" w:fill="D0E0E3"/>
            <w:vAlign w:val="center"/>
          </w:tcPr>
          <w:p w14:paraId="2D068002" w14:textId="279D45E7" w:rsidR="00566BDB" w:rsidRPr="0019581C" w:rsidRDefault="00EB2C1D" w:rsidP="004E325A">
            <w:pPr>
              <w:jc w:val="right"/>
              <w:rPr>
                <w:rFonts w:ascii="CAIXA Std Book" w:eastAsia="Times New Roman" w:hAnsi="CAIXA Std Book" w:cs="Times New Roman"/>
                <w:b/>
                <w:bCs/>
                <w:color w:val="005CA9"/>
                <w:sz w:val="18"/>
                <w:szCs w:val="18"/>
              </w:rPr>
            </w:pPr>
            <w:r w:rsidRPr="00BE55F0">
              <w:rPr>
                <w:rFonts w:ascii="CAIXA Std Book" w:eastAsia="Times New Roman" w:hAnsi="CAIXA Std Book" w:cs="Arial"/>
                <w:b/>
                <w:bCs/>
                <w:color w:val="005CA9"/>
                <w:sz w:val="18"/>
                <w:szCs w:val="18"/>
              </w:rPr>
              <w:t>(297.154)</w:t>
            </w:r>
          </w:p>
        </w:tc>
      </w:tr>
      <w:tr w:rsidR="00E54693" w:rsidRPr="0019581C" w14:paraId="31D5A3F3" w14:textId="6552A31C" w:rsidTr="000C4033">
        <w:trPr>
          <w:trHeight w:val="283"/>
        </w:trPr>
        <w:tc>
          <w:tcPr>
            <w:tcW w:w="2413" w:type="pct"/>
            <w:tcBorders>
              <w:top w:val="single" w:sz="4" w:space="0" w:color="FFFFFF" w:themeColor="background1"/>
              <w:left w:val="nil"/>
              <w:bottom w:val="nil"/>
              <w:right w:val="nil"/>
            </w:tcBorders>
            <w:shd w:val="clear" w:color="auto" w:fill="D0E0E3"/>
            <w:vAlign w:val="center"/>
            <w:hideMark/>
          </w:tcPr>
          <w:p w14:paraId="377B209D" w14:textId="77777777" w:rsidR="00566BDB" w:rsidRPr="0019581C" w:rsidRDefault="00566BDB" w:rsidP="004E325A">
            <w:pPr>
              <w:ind w:firstLineChars="100" w:firstLine="181"/>
              <w:rPr>
                <w:rFonts w:ascii="CAIXA Std Book" w:eastAsia="Times New Roman" w:hAnsi="CAIXA Std Book" w:cs="Times New Roman"/>
                <w:b/>
                <w:bCs/>
                <w:color w:val="005CA9"/>
                <w:sz w:val="18"/>
                <w:szCs w:val="18"/>
              </w:rPr>
            </w:pPr>
            <w:r w:rsidRPr="0019581C">
              <w:rPr>
                <w:rFonts w:ascii="CAIXA Std Book" w:eastAsia="Times New Roman" w:hAnsi="CAIXA Std Book" w:cs="Times New Roman"/>
                <w:b/>
                <w:bCs/>
                <w:color w:val="005CA9"/>
                <w:sz w:val="18"/>
                <w:szCs w:val="18"/>
              </w:rPr>
              <w:t xml:space="preserve">Passivo fiscal diferido </w:t>
            </w:r>
          </w:p>
        </w:tc>
        <w:tc>
          <w:tcPr>
            <w:tcW w:w="646" w:type="pct"/>
            <w:tcBorders>
              <w:top w:val="single" w:sz="4" w:space="0" w:color="FFFFFF" w:themeColor="background1"/>
              <w:left w:val="nil"/>
              <w:bottom w:val="nil"/>
              <w:right w:val="nil"/>
            </w:tcBorders>
            <w:shd w:val="clear" w:color="auto" w:fill="D0E0E3"/>
            <w:vAlign w:val="center"/>
          </w:tcPr>
          <w:p w14:paraId="351C5599" w14:textId="27122858" w:rsidR="00566BDB" w:rsidRPr="0019581C" w:rsidRDefault="000339FC" w:rsidP="004E325A">
            <w:pPr>
              <w:jc w:val="right"/>
              <w:rPr>
                <w:rFonts w:ascii="CAIXA Std Book" w:eastAsia="Times New Roman" w:hAnsi="CAIXA Std Book" w:cs="Times New Roman"/>
                <w:b/>
                <w:bCs/>
                <w:color w:val="005CA9"/>
                <w:sz w:val="18"/>
                <w:szCs w:val="18"/>
              </w:rPr>
            </w:pPr>
            <w:r>
              <w:rPr>
                <w:rFonts w:ascii="CAIXA Std Book" w:hAnsi="CAIXA Std Book" w:cs="Arial"/>
                <w:b/>
                <w:bCs/>
                <w:color w:val="005CA9"/>
                <w:sz w:val="18"/>
                <w:szCs w:val="18"/>
              </w:rPr>
              <w:t>(363.069)</w:t>
            </w:r>
          </w:p>
        </w:tc>
        <w:tc>
          <w:tcPr>
            <w:tcW w:w="647" w:type="pct"/>
            <w:tcBorders>
              <w:top w:val="single" w:sz="4" w:space="0" w:color="FFFFFF" w:themeColor="background1"/>
              <w:left w:val="nil"/>
              <w:bottom w:val="nil"/>
              <w:right w:val="nil"/>
            </w:tcBorders>
            <w:shd w:val="clear" w:color="auto" w:fill="D0E0E3"/>
            <w:vAlign w:val="center"/>
          </w:tcPr>
          <w:p w14:paraId="1B0CA161" w14:textId="5307CEF1" w:rsidR="00566BDB" w:rsidRPr="0019581C" w:rsidRDefault="00B97F9A" w:rsidP="004E325A">
            <w:pPr>
              <w:jc w:val="right"/>
              <w:rPr>
                <w:rFonts w:ascii="CAIXA Std Book" w:eastAsia="Times New Roman" w:hAnsi="CAIXA Std Book" w:cs="Times New Roman"/>
                <w:b/>
                <w:bCs/>
                <w:color w:val="005CA9"/>
                <w:sz w:val="18"/>
                <w:szCs w:val="18"/>
              </w:rPr>
            </w:pPr>
            <w:r w:rsidRPr="00BE55F0">
              <w:rPr>
                <w:rFonts w:ascii="CAIXA Std Book" w:eastAsia="Times New Roman" w:hAnsi="CAIXA Std Book" w:cs="Arial"/>
                <w:b/>
                <w:bCs/>
                <w:color w:val="005CA9"/>
                <w:sz w:val="18"/>
                <w:szCs w:val="18"/>
              </w:rPr>
              <w:t>834.079</w:t>
            </w:r>
          </w:p>
        </w:tc>
        <w:tc>
          <w:tcPr>
            <w:tcW w:w="647" w:type="pct"/>
            <w:tcBorders>
              <w:top w:val="single" w:sz="4" w:space="0" w:color="FFFFFF" w:themeColor="background1"/>
              <w:left w:val="nil"/>
              <w:bottom w:val="nil"/>
              <w:right w:val="nil"/>
            </w:tcBorders>
            <w:shd w:val="clear" w:color="auto" w:fill="D0E0E3"/>
            <w:vAlign w:val="center"/>
          </w:tcPr>
          <w:p w14:paraId="45BAAE33" w14:textId="68ADAC29" w:rsidR="00566BDB" w:rsidRPr="0019581C" w:rsidRDefault="000339FC" w:rsidP="004E325A">
            <w:pPr>
              <w:jc w:val="right"/>
              <w:rPr>
                <w:rFonts w:ascii="CAIXA Std Book" w:eastAsia="Times New Roman" w:hAnsi="CAIXA Std Book" w:cs="Times New Roman"/>
                <w:b/>
                <w:bCs/>
                <w:color w:val="005CA9"/>
                <w:sz w:val="18"/>
                <w:szCs w:val="18"/>
              </w:rPr>
            </w:pPr>
            <w:r>
              <w:rPr>
                <w:rFonts w:ascii="CAIXA Std Book" w:hAnsi="CAIXA Std Book" w:cs="Arial"/>
                <w:b/>
                <w:bCs/>
                <w:color w:val="005CA9"/>
                <w:sz w:val="18"/>
                <w:szCs w:val="18"/>
              </w:rPr>
              <w:t>(366.072)</w:t>
            </w:r>
          </w:p>
        </w:tc>
        <w:tc>
          <w:tcPr>
            <w:tcW w:w="647" w:type="pct"/>
            <w:tcBorders>
              <w:top w:val="single" w:sz="4" w:space="0" w:color="FFFFFF" w:themeColor="background1"/>
              <w:left w:val="nil"/>
              <w:bottom w:val="nil"/>
              <w:right w:val="nil"/>
            </w:tcBorders>
            <w:shd w:val="clear" w:color="auto" w:fill="D0E0E3"/>
            <w:vAlign w:val="center"/>
          </w:tcPr>
          <w:p w14:paraId="2E484689" w14:textId="578F67DD" w:rsidR="00566BDB" w:rsidRPr="0019581C" w:rsidRDefault="00EB2C1D" w:rsidP="004E325A">
            <w:pPr>
              <w:jc w:val="right"/>
              <w:rPr>
                <w:rFonts w:ascii="CAIXA Std Book" w:eastAsia="Times New Roman" w:hAnsi="CAIXA Std Book" w:cs="Times New Roman"/>
                <w:b/>
                <w:bCs/>
                <w:color w:val="005CA9"/>
                <w:sz w:val="18"/>
                <w:szCs w:val="18"/>
              </w:rPr>
            </w:pPr>
            <w:r w:rsidRPr="00BE55F0">
              <w:rPr>
                <w:rFonts w:ascii="CAIXA Std Book" w:eastAsia="Times New Roman" w:hAnsi="CAIXA Std Book" w:cs="Arial"/>
                <w:b/>
                <w:bCs/>
                <w:color w:val="005CA9"/>
                <w:sz w:val="18"/>
                <w:szCs w:val="18"/>
              </w:rPr>
              <w:t>831.420</w:t>
            </w:r>
          </w:p>
        </w:tc>
      </w:tr>
      <w:tr w:rsidR="00E54693" w:rsidRPr="0019581C" w14:paraId="51D7BFA1" w14:textId="2C6C9C31" w:rsidTr="000C4033">
        <w:trPr>
          <w:trHeight w:val="283"/>
        </w:trPr>
        <w:tc>
          <w:tcPr>
            <w:tcW w:w="2413" w:type="pct"/>
            <w:tcBorders>
              <w:top w:val="nil"/>
              <w:left w:val="nil"/>
              <w:bottom w:val="nil"/>
              <w:right w:val="nil"/>
            </w:tcBorders>
            <w:vAlign w:val="center"/>
            <w:hideMark/>
          </w:tcPr>
          <w:p w14:paraId="6BFF72A6" w14:textId="77777777" w:rsidR="00566BDB" w:rsidRPr="0019581C" w:rsidRDefault="00566BDB" w:rsidP="004E325A">
            <w:pPr>
              <w:ind w:firstLineChars="200" w:firstLine="360"/>
              <w:rPr>
                <w:rFonts w:ascii="CAIXA Std Book" w:eastAsia="Times New Roman" w:hAnsi="CAIXA Std Book" w:cs="Times New Roman"/>
                <w:color w:val="005CA9"/>
                <w:sz w:val="18"/>
                <w:szCs w:val="18"/>
              </w:rPr>
            </w:pPr>
            <w:r w:rsidRPr="0019581C">
              <w:rPr>
                <w:rFonts w:ascii="CAIXA Std Book" w:eastAsia="Times New Roman" w:hAnsi="CAIXA Std Book" w:cs="Times New Roman"/>
                <w:color w:val="005CA9"/>
                <w:sz w:val="18"/>
                <w:szCs w:val="18"/>
              </w:rPr>
              <w:t xml:space="preserve">Títulos VJR/Objeto de </w:t>
            </w:r>
            <w:r w:rsidRPr="0019581C">
              <w:rPr>
                <w:rFonts w:ascii="CAIXA Std Book" w:eastAsia="Times New Roman" w:hAnsi="CAIXA Std Book" w:cs="Times New Roman"/>
                <w:i/>
                <w:iCs/>
                <w:color w:val="005CA9"/>
                <w:sz w:val="18"/>
                <w:szCs w:val="18"/>
              </w:rPr>
              <w:t>hedge</w:t>
            </w:r>
          </w:p>
        </w:tc>
        <w:tc>
          <w:tcPr>
            <w:tcW w:w="646" w:type="pct"/>
            <w:tcBorders>
              <w:top w:val="nil"/>
              <w:left w:val="nil"/>
              <w:bottom w:val="nil"/>
              <w:right w:val="nil"/>
            </w:tcBorders>
            <w:vAlign w:val="center"/>
          </w:tcPr>
          <w:p w14:paraId="039E9FDD" w14:textId="7EA26DD7" w:rsidR="00566BDB" w:rsidRPr="0019581C" w:rsidRDefault="000339FC" w:rsidP="004E325A">
            <w:pPr>
              <w:jc w:val="right"/>
              <w:rPr>
                <w:rFonts w:ascii="Times New Roman" w:eastAsia="Times New Roman" w:hAnsi="Times New Roman" w:cs="Times New Roman"/>
                <w:sz w:val="20"/>
                <w:szCs w:val="20"/>
              </w:rPr>
            </w:pPr>
            <w:r>
              <w:rPr>
                <w:rFonts w:ascii="CAIXA Std Book" w:hAnsi="CAIXA Std Book" w:cs="Arial"/>
                <w:color w:val="005CA9"/>
                <w:sz w:val="18"/>
                <w:szCs w:val="18"/>
              </w:rPr>
              <w:t>(447.914)</w:t>
            </w:r>
          </w:p>
        </w:tc>
        <w:tc>
          <w:tcPr>
            <w:tcW w:w="647" w:type="pct"/>
            <w:tcBorders>
              <w:top w:val="nil"/>
              <w:left w:val="nil"/>
              <w:bottom w:val="nil"/>
              <w:right w:val="nil"/>
            </w:tcBorders>
            <w:vAlign w:val="center"/>
          </w:tcPr>
          <w:p w14:paraId="77678C24" w14:textId="6D9ADC73" w:rsidR="00566BDB" w:rsidRPr="0019581C" w:rsidRDefault="00B97F9A" w:rsidP="004E325A">
            <w:pPr>
              <w:jc w:val="right"/>
              <w:rPr>
                <w:rFonts w:ascii="Times New Roman" w:eastAsia="Times New Roman" w:hAnsi="Times New Roman" w:cs="Times New Roman"/>
                <w:sz w:val="20"/>
                <w:szCs w:val="20"/>
              </w:rPr>
            </w:pPr>
            <w:r w:rsidRPr="00BE55F0">
              <w:rPr>
                <w:rFonts w:ascii="CAIXA Std Book" w:eastAsia="Times New Roman" w:hAnsi="CAIXA Std Book" w:cs="Arial"/>
                <w:color w:val="005CA9"/>
                <w:sz w:val="18"/>
                <w:szCs w:val="18"/>
              </w:rPr>
              <w:t>759.032</w:t>
            </w:r>
          </w:p>
        </w:tc>
        <w:tc>
          <w:tcPr>
            <w:tcW w:w="647" w:type="pct"/>
            <w:tcBorders>
              <w:top w:val="nil"/>
              <w:left w:val="nil"/>
              <w:bottom w:val="nil"/>
              <w:right w:val="nil"/>
            </w:tcBorders>
            <w:vAlign w:val="center"/>
          </w:tcPr>
          <w:p w14:paraId="752F0CFE" w14:textId="69B283B9" w:rsidR="00566BDB" w:rsidRPr="0019581C" w:rsidRDefault="000339FC" w:rsidP="004E325A">
            <w:pPr>
              <w:jc w:val="right"/>
              <w:rPr>
                <w:rFonts w:ascii="Times New Roman" w:eastAsia="Times New Roman" w:hAnsi="Times New Roman" w:cs="Times New Roman"/>
                <w:sz w:val="20"/>
                <w:szCs w:val="20"/>
              </w:rPr>
            </w:pPr>
            <w:r>
              <w:rPr>
                <w:rFonts w:ascii="CAIXA Std Book" w:hAnsi="CAIXA Std Book" w:cs="Arial"/>
                <w:color w:val="005CA9"/>
                <w:sz w:val="18"/>
                <w:szCs w:val="18"/>
              </w:rPr>
              <w:t>(447.913)</w:t>
            </w:r>
          </w:p>
        </w:tc>
        <w:tc>
          <w:tcPr>
            <w:tcW w:w="647" w:type="pct"/>
            <w:tcBorders>
              <w:top w:val="nil"/>
              <w:left w:val="nil"/>
              <w:bottom w:val="nil"/>
              <w:right w:val="nil"/>
            </w:tcBorders>
            <w:vAlign w:val="center"/>
          </w:tcPr>
          <w:p w14:paraId="5DB0C37D" w14:textId="339064EC" w:rsidR="00566BDB" w:rsidRPr="0019581C" w:rsidRDefault="00EB2C1D" w:rsidP="004E325A">
            <w:pPr>
              <w:jc w:val="right"/>
              <w:rPr>
                <w:rFonts w:ascii="Times New Roman" w:eastAsia="Times New Roman" w:hAnsi="Times New Roman" w:cs="Times New Roman"/>
                <w:sz w:val="20"/>
                <w:szCs w:val="20"/>
              </w:rPr>
            </w:pPr>
            <w:r w:rsidRPr="00BE55F0">
              <w:rPr>
                <w:rFonts w:ascii="CAIXA Std Book" w:eastAsia="Times New Roman" w:hAnsi="CAIXA Std Book" w:cs="Arial"/>
                <w:color w:val="005CA9"/>
                <w:sz w:val="18"/>
                <w:szCs w:val="18"/>
              </w:rPr>
              <w:t>759.032</w:t>
            </w:r>
          </w:p>
        </w:tc>
      </w:tr>
      <w:tr w:rsidR="00E54693" w:rsidRPr="0019581C" w14:paraId="49D86077" w14:textId="36EC590A" w:rsidTr="000C4033">
        <w:trPr>
          <w:trHeight w:val="283"/>
        </w:trPr>
        <w:tc>
          <w:tcPr>
            <w:tcW w:w="2413" w:type="pct"/>
            <w:tcBorders>
              <w:top w:val="nil"/>
              <w:left w:val="nil"/>
              <w:bottom w:val="nil"/>
              <w:right w:val="nil"/>
            </w:tcBorders>
            <w:vAlign w:val="center"/>
            <w:hideMark/>
          </w:tcPr>
          <w:p w14:paraId="5CDF53F6" w14:textId="77777777" w:rsidR="00566BDB" w:rsidRPr="0019581C" w:rsidRDefault="00566BDB" w:rsidP="004E325A">
            <w:pPr>
              <w:ind w:firstLineChars="200" w:firstLine="360"/>
              <w:rPr>
                <w:rFonts w:ascii="CAIXA Std Book" w:eastAsia="Times New Roman" w:hAnsi="CAIXA Std Book" w:cs="Times New Roman"/>
                <w:color w:val="005CA9"/>
                <w:sz w:val="18"/>
                <w:szCs w:val="18"/>
              </w:rPr>
            </w:pPr>
            <w:r w:rsidRPr="0019581C">
              <w:rPr>
                <w:rFonts w:ascii="CAIXA Std Book" w:eastAsia="Times New Roman" w:hAnsi="CAIXA Std Book" w:cs="Times New Roman"/>
                <w:color w:val="005CA9"/>
                <w:sz w:val="18"/>
                <w:szCs w:val="18"/>
              </w:rPr>
              <w:t>Depósito em garantia</w:t>
            </w:r>
          </w:p>
        </w:tc>
        <w:tc>
          <w:tcPr>
            <w:tcW w:w="646" w:type="pct"/>
            <w:tcBorders>
              <w:top w:val="nil"/>
              <w:left w:val="nil"/>
              <w:bottom w:val="nil"/>
              <w:right w:val="nil"/>
            </w:tcBorders>
            <w:vAlign w:val="center"/>
          </w:tcPr>
          <w:p w14:paraId="1666237F" w14:textId="385CC1F3" w:rsidR="00566BDB" w:rsidRPr="0019581C" w:rsidRDefault="000339FC" w:rsidP="004E325A">
            <w:pPr>
              <w:jc w:val="right"/>
              <w:rPr>
                <w:rFonts w:ascii="Times New Roman" w:eastAsia="Times New Roman" w:hAnsi="Times New Roman" w:cs="Times New Roman"/>
                <w:sz w:val="20"/>
                <w:szCs w:val="20"/>
              </w:rPr>
            </w:pPr>
            <w:r>
              <w:rPr>
                <w:rFonts w:ascii="CAIXA Std Book" w:hAnsi="CAIXA Std Book" w:cs="Arial"/>
                <w:color w:val="005CA9"/>
                <w:sz w:val="18"/>
                <w:szCs w:val="18"/>
              </w:rPr>
              <w:t>84.845</w:t>
            </w:r>
          </w:p>
        </w:tc>
        <w:tc>
          <w:tcPr>
            <w:tcW w:w="647" w:type="pct"/>
            <w:tcBorders>
              <w:top w:val="nil"/>
              <w:left w:val="nil"/>
              <w:bottom w:val="nil"/>
              <w:right w:val="nil"/>
            </w:tcBorders>
            <w:vAlign w:val="center"/>
          </w:tcPr>
          <w:p w14:paraId="676C84E5" w14:textId="69080D01" w:rsidR="00566BDB" w:rsidRPr="0019581C" w:rsidRDefault="00B97F9A" w:rsidP="004E325A">
            <w:pPr>
              <w:jc w:val="right"/>
              <w:rPr>
                <w:rFonts w:ascii="Times New Roman" w:eastAsia="Times New Roman" w:hAnsi="Times New Roman" w:cs="Times New Roman"/>
                <w:sz w:val="20"/>
                <w:szCs w:val="20"/>
              </w:rPr>
            </w:pPr>
            <w:r w:rsidRPr="00BE55F0">
              <w:rPr>
                <w:rFonts w:ascii="CAIXA Std Book" w:eastAsia="Times New Roman" w:hAnsi="CAIXA Std Book" w:cs="Arial"/>
                <w:color w:val="005CA9"/>
                <w:sz w:val="18"/>
                <w:szCs w:val="18"/>
              </w:rPr>
              <w:t>75.047</w:t>
            </w:r>
          </w:p>
        </w:tc>
        <w:tc>
          <w:tcPr>
            <w:tcW w:w="647" w:type="pct"/>
            <w:tcBorders>
              <w:top w:val="nil"/>
              <w:left w:val="nil"/>
              <w:bottom w:val="nil"/>
              <w:right w:val="nil"/>
            </w:tcBorders>
            <w:vAlign w:val="center"/>
          </w:tcPr>
          <w:p w14:paraId="34527BBC" w14:textId="00744074" w:rsidR="00566BDB" w:rsidRPr="0019581C" w:rsidRDefault="000339FC" w:rsidP="004E325A">
            <w:pPr>
              <w:jc w:val="right"/>
              <w:rPr>
                <w:rFonts w:ascii="Times New Roman" w:eastAsia="Times New Roman" w:hAnsi="Times New Roman" w:cs="Times New Roman"/>
                <w:sz w:val="20"/>
                <w:szCs w:val="20"/>
              </w:rPr>
            </w:pPr>
            <w:r>
              <w:rPr>
                <w:rFonts w:ascii="CAIXA Std Book" w:hAnsi="CAIXA Std Book" w:cs="Arial"/>
                <w:color w:val="005CA9"/>
                <w:sz w:val="18"/>
                <w:szCs w:val="18"/>
              </w:rPr>
              <w:t>84.845</w:t>
            </w:r>
          </w:p>
        </w:tc>
        <w:tc>
          <w:tcPr>
            <w:tcW w:w="647" w:type="pct"/>
            <w:tcBorders>
              <w:top w:val="nil"/>
              <w:left w:val="nil"/>
              <w:bottom w:val="nil"/>
              <w:right w:val="nil"/>
            </w:tcBorders>
            <w:vAlign w:val="center"/>
          </w:tcPr>
          <w:p w14:paraId="2420A1D0" w14:textId="457C9131" w:rsidR="00566BDB" w:rsidRPr="0019581C" w:rsidRDefault="00EB2C1D" w:rsidP="004E325A">
            <w:pPr>
              <w:jc w:val="right"/>
              <w:rPr>
                <w:rFonts w:ascii="Times New Roman" w:eastAsia="Times New Roman" w:hAnsi="Times New Roman" w:cs="Times New Roman"/>
                <w:sz w:val="20"/>
                <w:szCs w:val="20"/>
              </w:rPr>
            </w:pPr>
            <w:r w:rsidRPr="00BE55F0">
              <w:rPr>
                <w:rFonts w:ascii="CAIXA Std Book" w:eastAsia="Times New Roman" w:hAnsi="CAIXA Std Book" w:cs="Arial"/>
                <w:color w:val="005CA9"/>
                <w:sz w:val="18"/>
                <w:szCs w:val="18"/>
              </w:rPr>
              <w:t>75.047</w:t>
            </w:r>
          </w:p>
        </w:tc>
      </w:tr>
      <w:tr w:rsidR="00E54693" w:rsidRPr="0019581C" w14:paraId="0E1357D6" w14:textId="5F7939B2" w:rsidTr="000C4033">
        <w:trPr>
          <w:trHeight w:val="283"/>
        </w:trPr>
        <w:tc>
          <w:tcPr>
            <w:tcW w:w="2413" w:type="pct"/>
            <w:tcBorders>
              <w:top w:val="nil"/>
              <w:left w:val="nil"/>
              <w:bottom w:val="nil"/>
              <w:right w:val="nil"/>
            </w:tcBorders>
            <w:vAlign w:val="center"/>
            <w:hideMark/>
          </w:tcPr>
          <w:p w14:paraId="0CF99225" w14:textId="77777777" w:rsidR="00566BDB" w:rsidRPr="0019581C" w:rsidRDefault="00566BDB" w:rsidP="004E325A">
            <w:pPr>
              <w:ind w:firstLineChars="200" w:firstLine="360"/>
              <w:rPr>
                <w:rFonts w:ascii="CAIXA Std Book" w:eastAsia="Times New Roman" w:hAnsi="CAIXA Std Book" w:cs="Times New Roman"/>
                <w:color w:val="005CA9"/>
                <w:sz w:val="18"/>
                <w:szCs w:val="18"/>
              </w:rPr>
            </w:pPr>
            <w:r w:rsidRPr="0019581C">
              <w:rPr>
                <w:rFonts w:ascii="CAIXA Std Book" w:eastAsia="Times New Roman" w:hAnsi="CAIXA Std Book" w:cs="Times New Roman"/>
                <w:color w:val="005CA9"/>
                <w:sz w:val="18"/>
                <w:szCs w:val="18"/>
              </w:rPr>
              <w:t>Outros</w:t>
            </w:r>
          </w:p>
        </w:tc>
        <w:tc>
          <w:tcPr>
            <w:tcW w:w="646" w:type="pct"/>
            <w:tcBorders>
              <w:top w:val="nil"/>
              <w:left w:val="nil"/>
              <w:bottom w:val="nil"/>
              <w:right w:val="nil"/>
            </w:tcBorders>
            <w:vAlign w:val="center"/>
          </w:tcPr>
          <w:p w14:paraId="061B2187" w14:textId="59895008" w:rsidR="00566BDB" w:rsidRPr="003E6129" w:rsidRDefault="000339FC" w:rsidP="003E6129">
            <w:pPr>
              <w:jc w:val="center"/>
              <w:rPr>
                <w:rFonts w:ascii="CAIXA Std Book" w:hAnsi="CAIXA Std Book" w:cs="Arial"/>
                <w:color w:val="005CA9"/>
                <w:sz w:val="18"/>
                <w:szCs w:val="18"/>
              </w:rPr>
            </w:pPr>
            <w:r>
              <w:rPr>
                <w:rFonts w:ascii="CAIXA Std Book" w:hAnsi="CAIXA Std Book" w:cs="Arial"/>
                <w:color w:val="005CA9"/>
                <w:sz w:val="18"/>
                <w:szCs w:val="18"/>
              </w:rPr>
              <w:t>-</w:t>
            </w:r>
          </w:p>
        </w:tc>
        <w:tc>
          <w:tcPr>
            <w:tcW w:w="647" w:type="pct"/>
            <w:tcBorders>
              <w:top w:val="nil"/>
              <w:left w:val="nil"/>
              <w:bottom w:val="nil"/>
              <w:right w:val="nil"/>
            </w:tcBorders>
            <w:vAlign w:val="center"/>
          </w:tcPr>
          <w:p w14:paraId="59E1EF44" w14:textId="74E7C87C" w:rsidR="00566BDB" w:rsidRPr="003E6129" w:rsidRDefault="00B97F9A" w:rsidP="003E6129">
            <w:pPr>
              <w:jc w:val="center"/>
              <w:rPr>
                <w:rFonts w:ascii="CAIXA Std Book" w:hAnsi="CAIXA Std Book" w:cs="Arial"/>
                <w:color w:val="005CA9"/>
                <w:sz w:val="18"/>
                <w:szCs w:val="18"/>
              </w:rPr>
            </w:pPr>
            <w:r>
              <w:rPr>
                <w:rFonts w:ascii="CAIXA Std Book" w:eastAsia="Times New Roman" w:hAnsi="CAIXA Std Book" w:cs="Arial"/>
                <w:color w:val="005CA9"/>
                <w:sz w:val="18"/>
                <w:szCs w:val="18"/>
              </w:rPr>
              <w:t>-</w:t>
            </w:r>
          </w:p>
        </w:tc>
        <w:tc>
          <w:tcPr>
            <w:tcW w:w="647" w:type="pct"/>
            <w:tcBorders>
              <w:top w:val="nil"/>
              <w:left w:val="nil"/>
              <w:bottom w:val="nil"/>
              <w:right w:val="nil"/>
            </w:tcBorders>
            <w:vAlign w:val="center"/>
          </w:tcPr>
          <w:p w14:paraId="2B205A06" w14:textId="06D9595E" w:rsidR="00566BDB" w:rsidRPr="0019581C" w:rsidRDefault="000339FC" w:rsidP="004E325A">
            <w:pPr>
              <w:jc w:val="right"/>
              <w:rPr>
                <w:rFonts w:ascii="Times New Roman" w:eastAsia="Times New Roman" w:hAnsi="Times New Roman" w:cs="Times New Roman"/>
                <w:sz w:val="20"/>
                <w:szCs w:val="20"/>
              </w:rPr>
            </w:pPr>
            <w:r>
              <w:rPr>
                <w:rFonts w:ascii="CAIXA Std Book" w:hAnsi="CAIXA Std Book" w:cs="Arial"/>
                <w:color w:val="005CA9"/>
                <w:sz w:val="18"/>
                <w:szCs w:val="18"/>
              </w:rPr>
              <w:t>(3.004)</w:t>
            </w:r>
          </w:p>
        </w:tc>
        <w:tc>
          <w:tcPr>
            <w:tcW w:w="647" w:type="pct"/>
            <w:tcBorders>
              <w:top w:val="nil"/>
              <w:left w:val="nil"/>
              <w:bottom w:val="nil"/>
              <w:right w:val="nil"/>
            </w:tcBorders>
            <w:vAlign w:val="center"/>
          </w:tcPr>
          <w:p w14:paraId="48A7411F" w14:textId="56DAEE60" w:rsidR="00566BDB" w:rsidRPr="0019581C" w:rsidRDefault="00EB2C1D" w:rsidP="004E325A">
            <w:pPr>
              <w:jc w:val="right"/>
              <w:rPr>
                <w:rFonts w:ascii="Times New Roman" w:eastAsia="Times New Roman" w:hAnsi="Times New Roman" w:cs="Times New Roman"/>
                <w:sz w:val="20"/>
                <w:szCs w:val="20"/>
              </w:rPr>
            </w:pPr>
            <w:r w:rsidRPr="00BE55F0">
              <w:rPr>
                <w:rFonts w:ascii="CAIXA Std Book" w:eastAsia="Times New Roman" w:hAnsi="CAIXA Std Book" w:cs="Arial"/>
                <w:color w:val="005CA9"/>
                <w:sz w:val="18"/>
                <w:szCs w:val="18"/>
              </w:rPr>
              <w:t>(2.659)</w:t>
            </w:r>
          </w:p>
        </w:tc>
      </w:tr>
      <w:tr w:rsidR="00E54693" w:rsidRPr="0019581C" w14:paraId="523CDCD5" w14:textId="769CAC53" w:rsidTr="000C4033">
        <w:trPr>
          <w:trHeight w:val="283"/>
        </w:trPr>
        <w:tc>
          <w:tcPr>
            <w:tcW w:w="2413" w:type="pct"/>
            <w:tcBorders>
              <w:top w:val="nil"/>
              <w:left w:val="nil"/>
              <w:bottom w:val="nil"/>
              <w:right w:val="nil"/>
            </w:tcBorders>
            <w:shd w:val="clear" w:color="auto" w:fill="D0E0E3"/>
            <w:vAlign w:val="center"/>
            <w:hideMark/>
          </w:tcPr>
          <w:p w14:paraId="171D6757" w14:textId="0E8A2B2F" w:rsidR="00566BDB" w:rsidRPr="0019581C" w:rsidRDefault="00566BDB" w:rsidP="004E325A">
            <w:pPr>
              <w:ind w:firstLineChars="100" w:firstLine="181"/>
              <w:rPr>
                <w:rFonts w:ascii="CAIXA Std Book" w:eastAsia="Times New Roman" w:hAnsi="CAIXA Std Book" w:cs="Times New Roman"/>
                <w:b/>
                <w:bCs/>
                <w:color w:val="005CA9"/>
                <w:sz w:val="18"/>
                <w:szCs w:val="18"/>
              </w:rPr>
            </w:pPr>
            <w:r w:rsidRPr="0019581C">
              <w:rPr>
                <w:rFonts w:ascii="CAIXA Std Book" w:eastAsia="Times New Roman" w:hAnsi="CAIXA Std Book" w:cs="Times New Roman"/>
                <w:b/>
                <w:bCs/>
                <w:color w:val="005CA9"/>
                <w:sz w:val="18"/>
                <w:szCs w:val="18"/>
              </w:rPr>
              <w:t xml:space="preserve">Ativo </w:t>
            </w:r>
            <w:r w:rsidR="00B80489">
              <w:rPr>
                <w:rFonts w:ascii="CAIXA Std Book" w:eastAsia="Times New Roman" w:hAnsi="CAIXA Std Book" w:cs="Times New Roman"/>
                <w:b/>
                <w:bCs/>
                <w:color w:val="005CA9"/>
                <w:sz w:val="18"/>
                <w:szCs w:val="18"/>
              </w:rPr>
              <w:t>f</w:t>
            </w:r>
            <w:r w:rsidRPr="0019581C">
              <w:rPr>
                <w:rFonts w:ascii="CAIXA Std Book" w:eastAsia="Times New Roman" w:hAnsi="CAIXA Std Book" w:cs="Times New Roman"/>
                <w:b/>
                <w:bCs/>
                <w:color w:val="005CA9"/>
                <w:sz w:val="18"/>
                <w:szCs w:val="18"/>
              </w:rPr>
              <w:t xml:space="preserve">iscal </w:t>
            </w:r>
            <w:r w:rsidR="00B80489">
              <w:rPr>
                <w:rFonts w:ascii="CAIXA Std Book" w:eastAsia="Times New Roman" w:hAnsi="CAIXA Std Book" w:cs="Times New Roman"/>
                <w:b/>
                <w:bCs/>
                <w:color w:val="005CA9"/>
                <w:sz w:val="18"/>
                <w:szCs w:val="18"/>
              </w:rPr>
              <w:t>d</w:t>
            </w:r>
            <w:r w:rsidRPr="0019581C">
              <w:rPr>
                <w:rFonts w:ascii="CAIXA Std Book" w:eastAsia="Times New Roman" w:hAnsi="CAIXA Std Book" w:cs="Times New Roman"/>
                <w:b/>
                <w:bCs/>
                <w:color w:val="005CA9"/>
                <w:sz w:val="18"/>
                <w:szCs w:val="18"/>
              </w:rPr>
              <w:t xml:space="preserve">iferido </w:t>
            </w:r>
          </w:p>
        </w:tc>
        <w:tc>
          <w:tcPr>
            <w:tcW w:w="646" w:type="pct"/>
            <w:tcBorders>
              <w:top w:val="nil"/>
              <w:left w:val="nil"/>
              <w:bottom w:val="nil"/>
              <w:right w:val="nil"/>
            </w:tcBorders>
            <w:shd w:val="clear" w:color="auto" w:fill="D0E0E3"/>
            <w:vAlign w:val="center"/>
          </w:tcPr>
          <w:p w14:paraId="79D7BC74" w14:textId="03D02B10" w:rsidR="00566BDB" w:rsidRPr="0019581C" w:rsidRDefault="000339FC" w:rsidP="004E325A">
            <w:pPr>
              <w:jc w:val="right"/>
              <w:rPr>
                <w:rFonts w:ascii="CAIXA Std Book" w:eastAsia="Times New Roman" w:hAnsi="CAIXA Std Book" w:cs="Times New Roman"/>
                <w:b/>
                <w:bCs/>
                <w:color w:val="005CA9"/>
                <w:sz w:val="18"/>
                <w:szCs w:val="18"/>
              </w:rPr>
            </w:pPr>
            <w:r>
              <w:rPr>
                <w:rFonts w:ascii="CAIXA Std Book" w:hAnsi="CAIXA Std Book" w:cs="Arial"/>
                <w:b/>
                <w:bCs/>
                <w:color w:val="005CA9"/>
                <w:sz w:val="18"/>
                <w:szCs w:val="18"/>
              </w:rPr>
              <w:t>2.547.127</w:t>
            </w:r>
          </w:p>
        </w:tc>
        <w:tc>
          <w:tcPr>
            <w:tcW w:w="647" w:type="pct"/>
            <w:tcBorders>
              <w:top w:val="nil"/>
              <w:left w:val="nil"/>
              <w:bottom w:val="nil"/>
              <w:right w:val="nil"/>
            </w:tcBorders>
            <w:shd w:val="clear" w:color="auto" w:fill="D0E0E3"/>
            <w:vAlign w:val="center"/>
          </w:tcPr>
          <w:p w14:paraId="64659FF4" w14:textId="7B03372D" w:rsidR="00566BDB" w:rsidRPr="0019581C" w:rsidRDefault="00B97F9A" w:rsidP="004E325A">
            <w:pPr>
              <w:jc w:val="right"/>
              <w:rPr>
                <w:rFonts w:ascii="CAIXA Std Book" w:eastAsia="Times New Roman" w:hAnsi="CAIXA Std Book" w:cs="Times New Roman"/>
                <w:b/>
                <w:bCs/>
                <w:color w:val="005CA9"/>
                <w:sz w:val="18"/>
                <w:szCs w:val="18"/>
              </w:rPr>
            </w:pPr>
            <w:r w:rsidRPr="00BE55F0">
              <w:rPr>
                <w:rFonts w:ascii="CAIXA Std Book" w:eastAsia="Times New Roman" w:hAnsi="CAIXA Std Book" w:cs="Arial"/>
                <w:b/>
                <w:bCs/>
                <w:color w:val="005CA9"/>
                <w:sz w:val="18"/>
                <w:szCs w:val="18"/>
              </w:rPr>
              <w:t>(1.128.924)</w:t>
            </w:r>
          </w:p>
        </w:tc>
        <w:tc>
          <w:tcPr>
            <w:tcW w:w="647" w:type="pct"/>
            <w:tcBorders>
              <w:top w:val="nil"/>
              <w:left w:val="nil"/>
              <w:bottom w:val="nil"/>
              <w:right w:val="nil"/>
            </w:tcBorders>
            <w:shd w:val="clear" w:color="auto" w:fill="D0E0E3"/>
            <w:vAlign w:val="center"/>
          </w:tcPr>
          <w:p w14:paraId="5188AA95" w14:textId="5B46199B" w:rsidR="00566BDB" w:rsidRPr="0019581C" w:rsidRDefault="000339FC" w:rsidP="004E325A">
            <w:pPr>
              <w:jc w:val="right"/>
              <w:rPr>
                <w:rFonts w:ascii="CAIXA Std Book" w:eastAsia="Times New Roman" w:hAnsi="CAIXA Std Book" w:cs="Times New Roman"/>
                <w:b/>
                <w:bCs/>
                <w:color w:val="005CA9"/>
                <w:sz w:val="18"/>
                <w:szCs w:val="18"/>
              </w:rPr>
            </w:pPr>
            <w:r>
              <w:rPr>
                <w:rFonts w:ascii="CAIXA Std Book" w:hAnsi="CAIXA Std Book" w:cs="Arial"/>
                <w:b/>
                <w:bCs/>
                <w:color w:val="005CA9"/>
                <w:sz w:val="18"/>
                <w:szCs w:val="18"/>
              </w:rPr>
              <w:t>2.525.479</w:t>
            </w:r>
          </w:p>
        </w:tc>
        <w:tc>
          <w:tcPr>
            <w:tcW w:w="647" w:type="pct"/>
            <w:tcBorders>
              <w:top w:val="nil"/>
              <w:left w:val="nil"/>
              <w:bottom w:val="nil"/>
              <w:right w:val="nil"/>
            </w:tcBorders>
            <w:shd w:val="clear" w:color="auto" w:fill="D0E0E3"/>
            <w:vAlign w:val="center"/>
          </w:tcPr>
          <w:p w14:paraId="738BE2B0" w14:textId="27F7B018" w:rsidR="00566BDB" w:rsidRPr="0019581C" w:rsidRDefault="00EB2C1D" w:rsidP="004E325A">
            <w:pPr>
              <w:jc w:val="right"/>
              <w:rPr>
                <w:rFonts w:ascii="CAIXA Std Book" w:eastAsia="Times New Roman" w:hAnsi="CAIXA Std Book" w:cs="Times New Roman"/>
                <w:b/>
                <w:bCs/>
                <w:color w:val="005CA9"/>
                <w:sz w:val="18"/>
                <w:szCs w:val="18"/>
              </w:rPr>
            </w:pPr>
            <w:r w:rsidRPr="00BE55F0">
              <w:rPr>
                <w:rFonts w:ascii="CAIXA Std Book" w:eastAsia="Times New Roman" w:hAnsi="CAIXA Std Book" w:cs="Arial"/>
                <w:b/>
                <w:bCs/>
                <w:color w:val="005CA9"/>
                <w:sz w:val="18"/>
                <w:szCs w:val="18"/>
              </w:rPr>
              <w:t>(1.128.574)</w:t>
            </w:r>
          </w:p>
        </w:tc>
      </w:tr>
      <w:tr w:rsidR="00E54693" w:rsidRPr="0019581C" w14:paraId="2712FD83" w14:textId="2EAC3AE0" w:rsidTr="000C4033">
        <w:trPr>
          <w:trHeight w:val="283"/>
        </w:trPr>
        <w:tc>
          <w:tcPr>
            <w:tcW w:w="2413" w:type="pct"/>
            <w:tcBorders>
              <w:top w:val="nil"/>
              <w:left w:val="nil"/>
              <w:bottom w:val="nil"/>
              <w:right w:val="nil"/>
            </w:tcBorders>
            <w:vAlign w:val="center"/>
            <w:hideMark/>
          </w:tcPr>
          <w:p w14:paraId="03F0A648" w14:textId="77777777" w:rsidR="00566BDB" w:rsidRPr="0019581C" w:rsidRDefault="00566BDB" w:rsidP="004E325A">
            <w:pPr>
              <w:ind w:firstLineChars="200" w:firstLine="360"/>
              <w:rPr>
                <w:rFonts w:ascii="CAIXA Std Book" w:eastAsia="Times New Roman" w:hAnsi="CAIXA Std Book" w:cs="Times New Roman"/>
                <w:color w:val="005CA9"/>
                <w:sz w:val="18"/>
                <w:szCs w:val="18"/>
              </w:rPr>
            </w:pPr>
            <w:r w:rsidRPr="0019581C">
              <w:rPr>
                <w:rFonts w:ascii="CAIXA Std Book" w:eastAsia="Times New Roman" w:hAnsi="CAIXA Std Book" w:cs="Times New Roman"/>
                <w:color w:val="005CA9"/>
                <w:sz w:val="18"/>
                <w:szCs w:val="18"/>
              </w:rPr>
              <w:t>Diferenças temporárias – constituição/realização</w:t>
            </w:r>
          </w:p>
        </w:tc>
        <w:tc>
          <w:tcPr>
            <w:tcW w:w="646" w:type="pct"/>
            <w:tcBorders>
              <w:top w:val="nil"/>
              <w:left w:val="nil"/>
              <w:bottom w:val="nil"/>
              <w:right w:val="nil"/>
            </w:tcBorders>
            <w:vAlign w:val="center"/>
          </w:tcPr>
          <w:p w14:paraId="0D45A5CF" w14:textId="6410A45B" w:rsidR="00566BDB" w:rsidRPr="0019581C" w:rsidRDefault="000339FC" w:rsidP="004E325A">
            <w:pPr>
              <w:jc w:val="right"/>
              <w:rPr>
                <w:rFonts w:ascii="Times New Roman" w:eastAsia="Times New Roman" w:hAnsi="Times New Roman" w:cs="Times New Roman"/>
                <w:sz w:val="20"/>
                <w:szCs w:val="20"/>
              </w:rPr>
            </w:pPr>
            <w:r>
              <w:rPr>
                <w:rFonts w:ascii="CAIXA Std Book" w:hAnsi="CAIXA Std Book" w:cs="Arial"/>
                <w:color w:val="005CA9"/>
                <w:sz w:val="18"/>
                <w:szCs w:val="18"/>
              </w:rPr>
              <w:t>(496.938)</w:t>
            </w:r>
          </w:p>
        </w:tc>
        <w:tc>
          <w:tcPr>
            <w:tcW w:w="647" w:type="pct"/>
            <w:tcBorders>
              <w:top w:val="nil"/>
              <w:left w:val="nil"/>
              <w:bottom w:val="nil"/>
              <w:right w:val="nil"/>
            </w:tcBorders>
            <w:vAlign w:val="center"/>
          </w:tcPr>
          <w:p w14:paraId="43F6B417" w14:textId="4568BC8C" w:rsidR="00566BDB" w:rsidRPr="0019581C" w:rsidRDefault="00B97F9A" w:rsidP="004E325A">
            <w:pPr>
              <w:jc w:val="right"/>
              <w:rPr>
                <w:rFonts w:ascii="Times New Roman" w:eastAsia="Times New Roman" w:hAnsi="Times New Roman" w:cs="Times New Roman"/>
                <w:sz w:val="20"/>
                <w:szCs w:val="20"/>
              </w:rPr>
            </w:pPr>
            <w:r w:rsidRPr="00BE55F0">
              <w:rPr>
                <w:rFonts w:ascii="CAIXA Std Book" w:eastAsia="Times New Roman" w:hAnsi="CAIXA Std Book" w:cs="Arial"/>
                <w:color w:val="005CA9"/>
                <w:sz w:val="18"/>
                <w:szCs w:val="18"/>
              </w:rPr>
              <w:t>(1.037.896)</w:t>
            </w:r>
          </w:p>
        </w:tc>
        <w:tc>
          <w:tcPr>
            <w:tcW w:w="647" w:type="pct"/>
            <w:tcBorders>
              <w:top w:val="nil"/>
              <w:left w:val="nil"/>
              <w:bottom w:val="nil"/>
              <w:right w:val="nil"/>
            </w:tcBorders>
            <w:vAlign w:val="center"/>
          </w:tcPr>
          <w:p w14:paraId="47D69459" w14:textId="2B5125F7" w:rsidR="00566BDB" w:rsidRPr="0019581C" w:rsidRDefault="000339FC" w:rsidP="004E325A">
            <w:pPr>
              <w:jc w:val="right"/>
              <w:rPr>
                <w:rFonts w:ascii="Times New Roman" w:eastAsia="Times New Roman" w:hAnsi="Times New Roman" w:cs="Times New Roman"/>
                <w:sz w:val="20"/>
                <w:szCs w:val="20"/>
              </w:rPr>
            </w:pPr>
            <w:r>
              <w:rPr>
                <w:rFonts w:ascii="CAIXA Std Book" w:hAnsi="CAIXA Std Book" w:cs="Arial"/>
                <w:color w:val="005CA9"/>
                <w:sz w:val="18"/>
                <w:szCs w:val="18"/>
              </w:rPr>
              <w:t>(518.585)</w:t>
            </w:r>
          </w:p>
        </w:tc>
        <w:tc>
          <w:tcPr>
            <w:tcW w:w="647" w:type="pct"/>
            <w:tcBorders>
              <w:top w:val="nil"/>
              <w:left w:val="nil"/>
              <w:bottom w:val="nil"/>
              <w:right w:val="nil"/>
            </w:tcBorders>
            <w:vAlign w:val="center"/>
          </w:tcPr>
          <w:p w14:paraId="205B65B0" w14:textId="642B4CAD" w:rsidR="00566BDB" w:rsidRPr="0019581C" w:rsidRDefault="00EB2C1D" w:rsidP="004E325A">
            <w:pPr>
              <w:jc w:val="right"/>
              <w:rPr>
                <w:rFonts w:ascii="Times New Roman" w:eastAsia="Times New Roman" w:hAnsi="Times New Roman" w:cs="Times New Roman"/>
                <w:sz w:val="20"/>
                <w:szCs w:val="20"/>
              </w:rPr>
            </w:pPr>
            <w:r w:rsidRPr="00BE55F0">
              <w:rPr>
                <w:rFonts w:ascii="CAIXA Std Book" w:eastAsia="Times New Roman" w:hAnsi="CAIXA Std Book" w:cs="Arial"/>
                <w:color w:val="005CA9"/>
                <w:sz w:val="18"/>
                <w:szCs w:val="18"/>
              </w:rPr>
              <w:t>(1.037.546)</w:t>
            </w:r>
          </w:p>
        </w:tc>
      </w:tr>
      <w:tr w:rsidR="00E54693" w:rsidRPr="0019581C" w14:paraId="31F76454" w14:textId="2E844615" w:rsidTr="000C4033">
        <w:trPr>
          <w:trHeight w:val="283"/>
        </w:trPr>
        <w:tc>
          <w:tcPr>
            <w:tcW w:w="2413" w:type="pct"/>
            <w:tcBorders>
              <w:top w:val="nil"/>
              <w:left w:val="nil"/>
              <w:bottom w:val="nil"/>
              <w:right w:val="nil"/>
            </w:tcBorders>
            <w:vAlign w:val="center"/>
          </w:tcPr>
          <w:p w14:paraId="7A5EDF98" w14:textId="47A688DD" w:rsidR="00566BDB" w:rsidRPr="0019581C" w:rsidRDefault="00566BDB" w:rsidP="004E325A">
            <w:pPr>
              <w:ind w:firstLineChars="200" w:firstLine="360"/>
              <w:rPr>
                <w:rFonts w:ascii="CAIXA Std Book" w:eastAsia="Times New Roman" w:hAnsi="CAIXA Std Book" w:cs="Times New Roman"/>
                <w:color w:val="005CA9"/>
                <w:sz w:val="18"/>
                <w:szCs w:val="18"/>
              </w:rPr>
            </w:pPr>
            <w:r w:rsidRPr="004E325A">
              <w:rPr>
                <w:rFonts w:ascii="CAIXA Std Book" w:eastAsia="Times New Roman" w:hAnsi="CAIXA Std Book" w:cs="Times New Roman"/>
                <w:color w:val="005CA9"/>
                <w:sz w:val="18"/>
                <w:szCs w:val="18"/>
              </w:rPr>
              <w:t>Prejuízo fiscal/Base negativa</w:t>
            </w:r>
          </w:p>
        </w:tc>
        <w:tc>
          <w:tcPr>
            <w:tcW w:w="646" w:type="pct"/>
            <w:tcBorders>
              <w:top w:val="nil"/>
              <w:left w:val="nil"/>
              <w:bottom w:val="nil"/>
              <w:right w:val="nil"/>
            </w:tcBorders>
            <w:vAlign w:val="center"/>
          </w:tcPr>
          <w:p w14:paraId="24B4CF5E" w14:textId="6D7E22F4" w:rsidR="00566BDB" w:rsidRDefault="000339FC" w:rsidP="004E325A">
            <w:pPr>
              <w:jc w:val="right"/>
              <w:rPr>
                <w:rFonts w:ascii="CAIXA Std Book" w:hAnsi="CAIXA Std Book" w:cs="Calibri"/>
                <w:color w:val="005CA9"/>
                <w:sz w:val="18"/>
                <w:szCs w:val="18"/>
              </w:rPr>
            </w:pPr>
            <w:r>
              <w:rPr>
                <w:rFonts w:ascii="CAIXA Std Book" w:hAnsi="CAIXA Std Book" w:cs="Arial"/>
                <w:color w:val="005CA9"/>
                <w:sz w:val="18"/>
                <w:szCs w:val="18"/>
              </w:rPr>
              <w:t>3.044.065</w:t>
            </w:r>
          </w:p>
        </w:tc>
        <w:tc>
          <w:tcPr>
            <w:tcW w:w="647" w:type="pct"/>
            <w:tcBorders>
              <w:top w:val="nil"/>
              <w:left w:val="nil"/>
              <w:bottom w:val="nil"/>
              <w:right w:val="nil"/>
            </w:tcBorders>
            <w:vAlign w:val="center"/>
          </w:tcPr>
          <w:p w14:paraId="47841A72" w14:textId="5E1622CB" w:rsidR="00566BDB" w:rsidRDefault="00B97F9A" w:rsidP="004E325A">
            <w:pPr>
              <w:jc w:val="right"/>
              <w:rPr>
                <w:rFonts w:ascii="CAIXA Std Book" w:hAnsi="CAIXA Std Book" w:cs="Calibri"/>
                <w:color w:val="005CA9"/>
                <w:sz w:val="18"/>
                <w:szCs w:val="18"/>
              </w:rPr>
            </w:pPr>
            <w:r w:rsidRPr="00BE55F0">
              <w:rPr>
                <w:rFonts w:ascii="CAIXA Std Book" w:eastAsia="Times New Roman" w:hAnsi="CAIXA Std Book" w:cs="Arial"/>
                <w:color w:val="005CA9"/>
                <w:sz w:val="18"/>
                <w:szCs w:val="18"/>
              </w:rPr>
              <w:t>(91.028)</w:t>
            </w:r>
          </w:p>
        </w:tc>
        <w:tc>
          <w:tcPr>
            <w:tcW w:w="647" w:type="pct"/>
            <w:tcBorders>
              <w:top w:val="nil"/>
              <w:left w:val="nil"/>
              <w:bottom w:val="nil"/>
              <w:right w:val="nil"/>
            </w:tcBorders>
            <w:vAlign w:val="center"/>
          </w:tcPr>
          <w:p w14:paraId="707596B5" w14:textId="632A3E02" w:rsidR="00566BDB" w:rsidRDefault="000339FC" w:rsidP="004E325A">
            <w:pPr>
              <w:jc w:val="right"/>
              <w:rPr>
                <w:rFonts w:ascii="CAIXA Std Book" w:hAnsi="CAIXA Std Book" w:cs="Calibri"/>
                <w:color w:val="005CA9"/>
                <w:sz w:val="18"/>
                <w:szCs w:val="18"/>
              </w:rPr>
            </w:pPr>
            <w:r>
              <w:rPr>
                <w:rFonts w:ascii="CAIXA Std Book" w:hAnsi="CAIXA Std Book" w:cs="Arial"/>
                <w:color w:val="005CA9"/>
                <w:sz w:val="18"/>
                <w:szCs w:val="18"/>
              </w:rPr>
              <w:t>3.044.064</w:t>
            </w:r>
          </w:p>
        </w:tc>
        <w:tc>
          <w:tcPr>
            <w:tcW w:w="647" w:type="pct"/>
            <w:tcBorders>
              <w:top w:val="nil"/>
              <w:left w:val="nil"/>
              <w:bottom w:val="nil"/>
              <w:right w:val="nil"/>
            </w:tcBorders>
            <w:vAlign w:val="center"/>
          </w:tcPr>
          <w:p w14:paraId="23815F9C" w14:textId="6C297F62" w:rsidR="00566BDB" w:rsidRDefault="00EB2C1D" w:rsidP="004E325A">
            <w:pPr>
              <w:jc w:val="right"/>
              <w:rPr>
                <w:rFonts w:ascii="CAIXA Std Book" w:hAnsi="CAIXA Std Book" w:cs="Calibri"/>
                <w:color w:val="005CA9"/>
                <w:sz w:val="18"/>
                <w:szCs w:val="18"/>
              </w:rPr>
            </w:pPr>
            <w:r w:rsidRPr="00BE55F0">
              <w:rPr>
                <w:rFonts w:ascii="CAIXA Std Book" w:eastAsia="Times New Roman" w:hAnsi="CAIXA Std Book" w:cs="Arial"/>
                <w:color w:val="005CA9"/>
                <w:sz w:val="18"/>
                <w:szCs w:val="18"/>
              </w:rPr>
              <w:t>(91.028)</w:t>
            </w:r>
          </w:p>
        </w:tc>
      </w:tr>
      <w:tr w:rsidR="00E54693" w:rsidRPr="0019581C" w14:paraId="75EB381F" w14:textId="1CFC296F" w:rsidTr="000C4033">
        <w:trPr>
          <w:trHeight w:val="283"/>
        </w:trPr>
        <w:tc>
          <w:tcPr>
            <w:tcW w:w="2413" w:type="pct"/>
            <w:tcBorders>
              <w:top w:val="nil"/>
              <w:left w:val="nil"/>
              <w:bottom w:val="nil"/>
              <w:right w:val="nil"/>
            </w:tcBorders>
            <w:shd w:val="clear" w:color="auto" w:fill="005CA9"/>
            <w:noWrap/>
            <w:vAlign w:val="center"/>
            <w:hideMark/>
          </w:tcPr>
          <w:p w14:paraId="1E94402A" w14:textId="77777777" w:rsidR="00566BDB" w:rsidRPr="0019581C" w:rsidRDefault="00566BDB" w:rsidP="004E325A">
            <w:pPr>
              <w:rPr>
                <w:rFonts w:ascii="CAIXA Std Book" w:eastAsia="Times New Roman" w:hAnsi="CAIXA Std Book" w:cs="Times New Roman"/>
                <w:b/>
                <w:bCs/>
                <w:color w:val="FFFFFF"/>
                <w:sz w:val="18"/>
                <w:szCs w:val="18"/>
              </w:rPr>
            </w:pPr>
            <w:r w:rsidRPr="0019581C">
              <w:rPr>
                <w:rFonts w:ascii="CAIXA Std Book" w:eastAsia="Times New Roman" w:hAnsi="CAIXA Std Book" w:cs="Times New Roman"/>
                <w:b/>
                <w:bCs/>
                <w:color w:val="FFFFFF"/>
                <w:sz w:val="18"/>
                <w:szCs w:val="18"/>
              </w:rPr>
              <w:t>Imposto de renda e contribuição social do período</w:t>
            </w:r>
          </w:p>
        </w:tc>
        <w:tc>
          <w:tcPr>
            <w:tcW w:w="646" w:type="pct"/>
            <w:tcBorders>
              <w:top w:val="nil"/>
              <w:left w:val="nil"/>
              <w:bottom w:val="nil"/>
              <w:right w:val="nil"/>
            </w:tcBorders>
            <w:shd w:val="clear" w:color="auto" w:fill="005CA9"/>
            <w:noWrap/>
            <w:vAlign w:val="center"/>
          </w:tcPr>
          <w:p w14:paraId="7D6E6A28" w14:textId="1B0FDA10" w:rsidR="00566BDB" w:rsidRPr="0019581C" w:rsidRDefault="000339FC" w:rsidP="004E325A">
            <w:pPr>
              <w:jc w:val="right"/>
              <w:rPr>
                <w:rFonts w:ascii="CAIXA Std Book" w:eastAsia="Times New Roman" w:hAnsi="CAIXA Std Book" w:cs="Times New Roman"/>
                <w:b/>
                <w:bCs/>
                <w:color w:val="FFFFFF"/>
                <w:sz w:val="18"/>
                <w:szCs w:val="18"/>
              </w:rPr>
            </w:pPr>
            <w:r>
              <w:rPr>
                <w:rFonts w:ascii="CAIXA Std Book" w:hAnsi="CAIXA Std Book" w:cs="Arial"/>
                <w:b/>
                <w:bCs/>
                <w:color w:val="FFFFFF"/>
                <w:sz w:val="18"/>
                <w:szCs w:val="18"/>
              </w:rPr>
              <w:t>2.184.058</w:t>
            </w:r>
          </w:p>
        </w:tc>
        <w:tc>
          <w:tcPr>
            <w:tcW w:w="647" w:type="pct"/>
            <w:tcBorders>
              <w:top w:val="nil"/>
              <w:left w:val="nil"/>
              <w:bottom w:val="nil"/>
              <w:right w:val="nil"/>
            </w:tcBorders>
            <w:shd w:val="clear" w:color="auto" w:fill="005CA9"/>
            <w:noWrap/>
            <w:vAlign w:val="center"/>
          </w:tcPr>
          <w:p w14:paraId="0FEB7F9D" w14:textId="1241C115" w:rsidR="00566BDB" w:rsidRPr="0019581C" w:rsidRDefault="00B97F9A" w:rsidP="004E325A">
            <w:pPr>
              <w:jc w:val="right"/>
              <w:rPr>
                <w:rFonts w:ascii="CAIXA Std Book" w:eastAsia="Times New Roman" w:hAnsi="CAIXA Std Book" w:cs="Times New Roman"/>
                <w:b/>
                <w:bCs/>
                <w:color w:val="FFFFFF"/>
                <w:sz w:val="18"/>
                <w:szCs w:val="18"/>
              </w:rPr>
            </w:pPr>
            <w:r w:rsidRPr="00BE55F0">
              <w:rPr>
                <w:rFonts w:ascii="CAIXA Std Book" w:eastAsia="Times New Roman" w:hAnsi="CAIXA Std Book" w:cs="Arial"/>
                <w:b/>
                <w:bCs/>
                <w:color w:val="FFFFFF"/>
                <w:sz w:val="18"/>
                <w:szCs w:val="18"/>
              </w:rPr>
              <w:t>(493.768)</w:t>
            </w:r>
          </w:p>
        </w:tc>
        <w:tc>
          <w:tcPr>
            <w:tcW w:w="647" w:type="pct"/>
            <w:tcBorders>
              <w:top w:val="nil"/>
              <w:left w:val="nil"/>
              <w:bottom w:val="nil"/>
              <w:right w:val="nil"/>
            </w:tcBorders>
            <w:shd w:val="clear" w:color="auto" w:fill="005CA9"/>
            <w:vAlign w:val="center"/>
          </w:tcPr>
          <w:p w14:paraId="3BFFFFEE" w14:textId="6699C54A" w:rsidR="00566BDB" w:rsidRPr="0019581C" w:rsidRDefault="000339FC" w:rsidP="004E325A">
            <w:pPr>
              <w:jc w:val="right"/>
              <w:rPr>
                <w:rFonts w:ascii="CAIXA Std Book" w:eastAsia="Times New Roman" w:hAnsi="CAIXA Std Book" w:cs="Times New Roman"/>
                <w:b/>
                <w:bCs/>
                <w:color w:val="FFFFFF"/>
                <w:sz w:val="18"/>
                <w:szCs w:val="18"/>
              </w:rPr>
            </w:pPr>
            <w:r>
              <w:rPr>
                <w:rFonts w:ascii="CAIXA Std Book" w:hAnsi="CAIXA Std Book" w:cs="Arial"/>
                <w:b/>
                <w:bCs/>
                <w:color w:val="FFFFFF"/>
                <w:sz w:val="18"/>
                <w:szCs w:val="18"/>
              </w:rPr>
              <w:t>1.619.521</w:t>
            </w:r>
          </w:p>
        </w:tc>
        <w:tc>
          <w:tcPr>
            <w:tcW w:w="647" w:type="pct"/>
            <w:tcBorders>
              <w:top w:val="nil"/>
              <w:left w:val="nil"/>
              <w:bottom w:val="nil"/>
              <w:right w:val="nil"/>
            </w:tcBorders>
            <w:shd w:val="clear" w:color="auto" w:fill="005CA9"/>
            <w:vAlign w:val="center"/>
          </w:tcPr>
          <w:p w14:paraId="10CE5268" w14:textId="0F08BA15" w:rsidR="00566BDB" w:rsidRPr="0019581C" w:rsidRDefault="00EB2C1D" w:rsidP="004E325A">
            <w:pPr>
              <w:jc w:val="right"/>
              <w:rPr>
                <w:rFonts w:ascii="CAIXA Std Book" w:eastAsia="Times New Roman" w:hAnsi="CAIXA Std Book" w:cs="Times New Roman"/>
                <w:b/>
                <w:bCs/>
                <w:color w:val="FFFFFF"/>
                <w:sz w:val="18"/>
                <w:szCs w:val="18"/>
              </w:rPr>
            </w:pPr>
            <w:r w:rsidRPr="00BE55F0">
              <w:rPr>
                <w:rFonts w:ascii="CAIXA Std Book" w:eastAsia="Times New Roman" w:hAnsi="CAIXA Std Book" w:cs="Arial"/>
                <w:b/>
                <w:bCs/>
                <w:color w:val="FFFFFF"/>
                <w:sz w:val="18"/>
                <w:szCs w:val="18"/>
              </w:rPr>
              <w:t>(806.038)</w:t>
            </w:r>
          </w:p>
        </w:tc>
      </w:tr>
    </w:tbl>
    <w:p w14:paraId="5B072AAB" w14:textId="77777777" w:rsidR="00ED7729" w:rsidRDefault="00ED7729" w:rsidP="00AB4D07">
      <w:pPr>
        <w:keepNext/>
        <w:numPr>
          <w:ilvl w:val="0"/>
          <w:numId w:val="14"/>
        </w:numPr>
        <w:spacing w:before="240" w:after="120"/>
        <w:ind w:left="567" w:hanging="567"/>
        <w:jc w:val="both"/>
        <w:rPr>
          <w:rFonts w:ascii="CAIXA Std Book" w:hAnsi="CAIXA Std Book"/>
          <w:b/>
          <w:color w:val="005CA9"/>
          <w:sz w:val="20"/>
          <w:szCs w:val="20"/>
        </w:rPr>
      </w:pPr>
      <w:r w:rsidRPr="00FF4346">
        <w:rPr>
          <w:rFonts w:ascii="CAIXA Std Book" w:hAnsi="CAIXA Std Book"/>
          <w:b/>
          <w:color w:val="005CA9"/>
          <w:sz w:val="20"/>
          <w:szCs w:val="20"/>
        </w:rPr>
        <w:t>Demonstração do cálculo dos encargos com IRPJ e CSLL</w:t>
      </w:r>
    </w:p>
    <w:tbl>
      <w:tblPr>
        <w:tblW w:w="5000" w:type="pct"/>
        <w:tblCellMar>
          <w:left w:w="70" w:type="dxa"/>
          <w:right w:w="70" w:type="dxa"/>
        </w:tblCellMar>
        <w:tblLook w:val="04A0" w:firstRow="1" w:lastRow="0" w:firstColumn="1" w:lastColumn="0" w:noHBand="0" w:noVBand="1"/>
      </w:tblPr>
      <w:tblGrid>
        <w:gridCol w:w="4684"/>
        <w:gridCol w:w="1239"/>
        <w:gridCol w:w="1241"/>
        <w:gridCol w:w="1239"/>
        <w:gridCol w:w="1234"/>
      </w:tblGrid>
      <w:tr w:rsidR="003B077A" w:rsidRPr="008B450A" w14:paraId="20C451AB" w14:textId="77777777" w:rsidTr="00954498">
        <w:trPr>
          <w:trHeight w:val="283"/>
        </w:trPr>
        <w:tc>
          <w:tcPr>
            <w:tcW w:w="2430" w:type="pct"/>
            <w:vMerge w:val="restart"/>
            <w:tcBorders>
              <w:top w:val="nil"/>
              <w:left w:val="nil"/>
              <w:bottom w:val="nil"/>
              <w:right w:val="nil"/>
            </w:tcBorders>
            <w:shd w:val="clear" w:color="auto" w:fill="005CA9"/>
            <w:vAlign w:val="center"/>
            <w:hideMark/>
          </w:tcPr>
          <w:p w14:paraId="049A7FCA" w14:textId="77777777" w:rsidR="008B450A" w:rsidRPr="008B450A" w:rsidRDefault="008B450A" w:rsidP="008B450A">
            <w:pPr>
              <w:jc w:val="center"/>
              <w:rPr>
                <w:rFonts w:ascii="CAIXA Std Book" w:eastAsia="Times New Roman" w:hAnsi="CAIXA Std Book" w:cs="Times New Roman"/>
                <w:b/>
                <w:bCs/>
                <w:color w:val="FFFFFF"/>
                <w:sz w:val="18"/>
                <w:szCs w:val="18"/>
              </w:rPr>
            </w:pPr>
            <w:r w:rsidRPr="008B450A">
              <w:rPr>
                <w:rFonts w:ascii="CAIXA Std Book" w:eastAsia="Times New Roman" w:hAnsi="CAIXA Std Book" w:cs="Times New Roman"/>
                <w:b/>
                <w:bCs/>
                <w:color w:val="FFFFFF"/>
                <w:sz w:val="18"/>
                <w:szCs w:val="18"/>
              </w:rPr>
              <w:t>Descrição</w:t>
            </w:r>
          </w:p>
        </w:tc>
        <w:tc>
          <w:tcPr>
            <w:tcW w:w="1287" w:type="pct"/>
            <w:gridSpan w:val="2"/>
            <w:tcBorders>
              <w:top w:val="nil"/>
              <w:left w:val="nil"/>
              <w:bottom w:val="single" w:sz="4" w:space="0" w:color="FFFFFF" w:themeColor="background1"/>
              <w:right w:val="nil"/>
            </w:tcBorders>
            <w:shd w:val="clear" w:color="auto" w:fill="005CA9"/>
            <w:vAlign w:val="center"/>
            <w:hideMark/>
          </w:tcPr>
          <w:p w14:paraId="3625102C" w14:textId="77777777" w:rsidR="008B450A" w:rsidRPr="008B450A" w:rsidRDefault="008B450A" w:rsidP="008B450A">
            <w:pPr>
              <w:jc w:val="center"/>
              <w:rPr>
                <w:rFonts w:ascii="CAIXA Std Book" w:eastAsia="Times New Roman" w:hAnsi="CAIXA Std Book" w:cs="Times New Roman"/>
                <w:b/>
                <w:bCs/>
                <w:color w:val="FFFFFF"/>
                <w:sz w:val="18"/>
                <w:szCs w:val="18"/>
              </w:rPr>
            </w:pPr>
            <w:r w:rsidRPr="008B450A">
              <w:rPr>
                <w:rFonts w:ascii="CAIXA Std Book" w:eastAsia="Times New Roman" w:hAnsi="CAIXA Std Book" w:cs="Times New Roman"/>
                <w:b/>
                <w:bCs/>
                <w:color w:val="FFFFFF"/>
                <w:sz w:val="18"/>
                <w:szCs w:val="18"/>
              </w:rPr>
              <w:t>Individual</w:t>
            </w:r>
          </w:p>
        </w:tc>
        <w:tc>
          <w:tcPr>
            <w:tcW w:w="1283" w:type="pct"/>
            <w:gridSpan w:val="2"/>
            <w:tcBorders>
              <w:top w:val="nil"/>
              <w:left w:val="nil"/>
              <w:bottom w:val="single" w:sz="4" w:space="0" w:color="FFFFFF" w:themeColor="background1"/>
              <w:right w:val="nil"/>
            </w:tcBorders>
            <w:shd w:val="clear" w:color="auto" w:fill="005CA9"/>
            <w:vAlign w:val="center"/>
            <w:hideMark/>
          </w:tcPr>
          <w:p w14:paraId="46EA2CC5" w14:textId="77777777" w:rsidR="008B450A" w:rsidRPr="008B450A" w:rsidRDefault="008B450A" w:rsidP="008B450A">
            <w:pPr>
              <w:jc w:val="center"/>
              <w:rPr>
                <w:rFonts w:ascii="CAIXA Std Book" w:eastAsia="Times New Roman" w:hAnsi="CAIXA Std Book" w:cs="Times New Roman"/>
                <w:b/>
                <w:bCs/>
                <w:color w:val="FFFFFF"/>
                <w:sz w:val="18"/>
                <w:szCs w:val="18"/>
              </w:rPr>
            </w:pPr>
            <w:r w:rsidRPr="008B450A">
              <w:rPr>
                <w:rFonts w:ascii="CAIXA Std Book" w:eastAsia="Times New Roman" w:hAnsi="CAIXA Std Book" w:cs="Times New Roman"/>
                <w:b/>
                <w:bCs/>
                <w:color w:val="FFFFFF"/>
                <w:sz w:val="18"/>
                <w:szCs w:val="18"/>
              </w:rPr>
              <w:t>Consolidado</w:t>
            </w:r>
          </w:p>
        </w:tc>
      </w:tr>
      <w:tr w:rsidR="003B077A" w:rsidRPr="008B450A" w14:paraId="64BC68A2" w14:textId="77777777" w:rsidTr="00954498">
        <w:trPr>
          <w:trHeight w:val="283"/>
        </w:trPr>
        <w:tc>
          <w:tcPr>
            <w:tcW w:w="2430" w:type="pct"/>
            <w:vMerge/>
            <w:tcBorders>
              <w:top w:val="nil"/>
              <w:left w:val="nil"/>
              <w:bottom w:val="nil"/>
              <w:right w:val="nil"/>
            </w:tcBorders>
            <w:shd w:val="clear" w:color="auto" w:fill="005CA9"/>
            <w:vAlign w:val="center"/>
            <w:hideMark/>
          </w:tcPr>
          <w:p w14:paraId="267DC744" w14:textId="77777777" w:rsidR="008B450A" w:rsidRPr="008B450A" w:rsidRDefault="008B450A" w:rsidP="008B450A">
            <w:pPr>
              <w:rPr>
                <w:rFonts w:ascii="CAIXA Std Book" w:eastAsia="Times New Roman" w:hAnsi="CAIXA Std Book" w:cs="Times New Roman"/>
                <w:b/>
                <w:bCs/>
                <w:color w:val="FFFFFF"/>
                <w:sz w:val="18"/>
                <w:szCs w:val="18"/>
              </w:rPr>
            </w:pPr>
          </w:p>
        </w:tc>
        <w:tc>
          <w:tcPr>
            <w:tcW w:w="643" w:type="pct"/>
            <w:tcBorders>
              <w:top w:val="single" w:sz="4" w:space="0" w:color="FFFFFF" w:themeColor="background1"/>
              <w:left w:val="nil"/>
              <w:bottom w:val="single" w:sz="4" w:space="0" w:color="FFFFFF" w:themeColor="background1"/>
              <w:right w:val="nil"/>
            </w:tcBorders>
            <w:shd w:val="clear" w:color="auto" w:fill="005CA9"/>
            <w:vAlign w:val="center"/>
            <w:hideMark/>
          </w:tcPr>
          <w:p w14:paraId="6A90D74C" w14:textId="77777777" w:rsidR="00BE0C85" w:rsidRPr="008B450A" w:rsidRDefault="00BE0C85" w:rsidP="008B450A">
            <w:pPr>
              <w:jc w:val="center"/>
              <w:rPr>
                <w:rFonts w:ascii="CAIXA Std Book" w:eastAsia="Times New Roman" w:hAnsi="CAIXA Std Book" w:cs="Times New Roman"/>
                <w:b/>
                <w:bCs/>
                <w:color w:val="FFFFFF"/>
                <w:sz w:val="18"/>
                <w:szCs w:val="18"/>
              </w:rPr>
            </w:pPr>
            <w:r w:rsidRPr="008B450A">
              <w:rPr>
                <w:rFonts w:ascii="CAIXA Std Book" w:eastAsia="Times New Roman" w:hAnsi="CAIXA Std Book" w:cs="Times New Roman"/>
                <w:b/>
                <w:bCs/>
                <w:color w:val="FFFFFF"/>
                <w:sz w:val="18"/>
                <w:szCs w:val="18"/>
              </w:rPr>
              <w:t>202</w:t>
            </w:r>
            <w:r>
              <w:rPr>
                <w:rFonts w:ascii="CAIXA Std Book" w:eastAsia="Times New Roman" w:hAnsi="CAIXA Std Book" w:cs="Times New Roman"/>
                <w:b/>
                <w:bCs/>
                <w:color w:val="FFFFFF"/>
                <w:sz w:val="18"/>
                <w:szCs w:val="18"/>
              </w:rPr>
              <w:t>6</w:t>
            </w:r>
          </w:p>
        </w:tc>
        <w:tc>
          <w:tcPr>
            <w:tcW w:w="644" w:type="pct"/>
            <w:tcBorders>
              <w:top w:val="single" w:sz="4" w:space="0" w:color="FFFFFF" w:themeColor="background1"/>
              <w:left w:val="nil"/>
              <w:bottom w:val="single" w:sz="4" w:space="0" w:color="FFFFFF" w:themeColor="background1"/>
              <w:right w:val="nil"/>
            </w:tcBorders>
            <w:shd w:val="clear" w:color="auto" w:fill="005CA9"/>
            <w:vAlign w:val="center"/>
          </w:tcPr>
          <w:p w14:paraId="425253BE" w14:textId="6F75DC3D" w:rsidR="008B450A" w:rsidRPr="008B450A" w:rsidRDefault="008B450A" w:rsidP="008B450A">
            <w:pPr>
              <w:jc w:val="center"/>
              <w:rPr>
                <w:rFonts w:ascii="CAIXA Std Book" w:eastAsia="Times New Roman" w:hAnsi="CAIXA Std Book" w:cs="Times New Roman"/>
                <w:b/>
                <w:bCs/>
                <w:color w:val="FFFFFF"/>
                <w:sz w:val="18"/>
                <w:szCs w:val="18"/>
              </w:rPr>
            </w:pPr>
            <w:r w:rsidRPr="008B450A">
              <w:rPr>
                <w:rFonts w:ascii="CAIXA Std Book" w:eastAsia="Times New Roman" w:hAnsi="CAIXA Std Book" w:cs="Times New Roman"/>
                <w:b/>
                <w:bCs/>
                <w:color w:val="FFFFFF"/>
                <w:sz w:val="18"/>
                <w:szCs w:val="18"/>
              </w:rPr>
              <w:t>2025</w:t>
            </w:r>
          </w:p>
        </w:tc>
        <w:tc>
          <w:tcPr>
            <w:tcW w:w="643" w:type="pct"/>
            <w:tcBorders>
              <w:top w:val="single" w:sz="4" w:space="0" w:color="FFFFFF" w:themeColor="background1"/>
              <w:left w:val="nil"/>
              <w:bottom w:val="single" w:sz="4" w:space="0" w:color="FFFFFF" w:themeColor="background1"/>
              <w:right w:val="nil"/>
            </w:tcBorders>
            <w:shd w:val="clear" w:color="auto" w:fill="005CA9"/>
            <w:vAlign w:val="center"/>
            <w:hideMark/>
          </w:tcPr>
          <w:p w14:paraId="68735A47" w14:textId="65821C65" w:rsidR="00BE0C85" w:rsidRPr="008B450A" w:rsidRDefault="00BE0C85" w:rsidP="008B450A">
            <w:pPr>
              <w:jc w:val="center"/>
              <w:rPr>
                <w:rFonts w:ascii="CAIXA Std Book" w:eastAsia="Times New Roman" w:hAnsi="CAIXA Std Book" w:cs="Times New Roman"/>
                <w:b/>
                <w:bCs/>
                <w:color w:val="FFFFFF"/>
                <w:sz w:val="18"/>
                <w:szCs w:val="18"/>
              </w:rPr>
            </w:pPr>
            <w:r w:rsidRPr="008B450A">
              <w:rPr>
                <w:rFonts w:ascii="CAIXA Std Book" w:eastAsia="Times New Roman" w:hAnsi="CAIXA Std Book" w:cs="Times New Roman"/>
                <w:b/>
                <w:bCs/>
                <w:color w:val="FFFFFF"/>
                <w:sz w:val="18"/>
                <w:szCs w:val="18"/>
              </w:rPr>
              <w:t>202</w:t>
            </w:r>
            <w:r>
              <w:rPr>
                <w:rFonts w:ascii="CAIXA Std Book" w:eastAsia="Times New Roman" w:hAnsi="CAIXA Std Book" w:cs="Times New Roman"/>
                <w:b/>
                <w:bCs/>
                <w:color w:val="FFFFFF"/>
                <w:sz w:val="18"/>
                <w:szCs w:val="18"/>
              </w:rPr>
              <w:t>6</w:t>
            </w:r>
          </w:p>
        </w:tc>
        <w:tc>
          <w:tcPr>
            <w:tcW w:w="640" w:type="pct"/>
            <w:tcBorders>
              <w:top w:val="single" w:sz="4" w:space="0" w:color="FFFFFF" w:themeColor="background1"/>
              <w:left w:val="nil"/>
              <w:bottom w:val="single" w:sz="4" w:space="0" w:color="FFFFFF" w:themeColor="background1"/>
              <w:right w:val="nil"/>
            </w:tcBorders>
            <w:shd w:val="clear" w:color="auto" w:fill="005CA9"/>
            <w:vAlign w:val="center"/>
          </w:tcPr>
          <w:p w14:paraId="6B638A45" w14:textId="77777777" w:rsidR="008B450A" w:rsidRPr="008B450A" w:rsidRDefault="008B450A" w:rsidP="008B450A">
            <w:pPr>
              <w:jc w:val="center"/>
              <w:rPr>
                <w:rFonts w:ascii="CAIXA Std Book" w:eastAsia="Times New Roman" w:hAnsi="CAIXA Std Book" w:cs="Times New Roman"/>
                <w:b/>
                <w:bCs/>
                <w:color w:val="FFFFFF"/>
                <w:sz w:val="18"/>
                <w:szCs w:val="18"/>
              </w:rPr>
            </w:pPr>
            <w:r w:rsidRPr="008B450A">
              <w:rPr>
                <w:rFonts w:ascii="CAIXA Std Book" w:eastAsia="Times New Roman" w:hAnsi="CAIXA Std Book" w:cs="Times New Roman"/>
                <w:b/>
                <w:bCs/>
                <w:color w:val="FFFFFF"/>
                <w:sz w:val="18"/>
                <w:szCs w:val="18"/>
              </w:rPr>
              <w:t>2025</w:t>
            </w:r>
          </w:p>
        </w:tc>
      </w:tr>
      <w:tr w:rsidR="0015386D" w:rsidRPr="008B450A" w14:paraId="2E03909A" w14:textId="77777777" w:rsidTr="00954498">
        <w:trPr>
          <w:trHeight w:val="283"/>
        </w:trPr>
        <w:tc>
          <w:tcPr>
            <w:tcW w:w="2430" w:type="pct"/>
            <w:vMerge/>
            <w:tcBorders>
              <w:top w:val="nil"/>
              <w:left w:val="nil"/>
              <w:bottom w:val="nil"/>
              <w:right w:val="nil"/>
            </w:tcBorders>
            <w:shd w:val="clear" w:color="auto" w:fill="005CA9"/>
            <w:vAlign w:val="center"/>
            <w:hideMark/>
          </w:tcPr>
          <w:p w14:paraId="2B06FA86" w14:textId="77777777" w:rsidR="008B450A" w:rsidRPr="008B450A" w:rsidRDefault="008B450A" w:rsidP="008B450A">
            <w:pPr>
              <w:rPr>
                <w:rFonts w:ascii="CAIXA Std Book" w:eastAsia="Times New Roman" w:hAnsi="CAIXA Std Book" w:cs="Times New Roman"/>
                <w:b/>
                <w:bCs/>
                <w:color w:val="FFFFFF"/>
                <w:sz w:val="18"/>
                <w:szCs w:val="18"/>
              </w:rPr>
            </w:pPr>
          </w:p>
        </w:tc>
        <w:tc>
          <w:tcPr>
            <w:tcW w:w="643" w:type="pct"/>
            <w:tcBorders>
              <w:top w:val="single" w:sz="4" w:space="0" w:color="FFFFFF" w:themeColor="background1"/>
              <w:left w:val="nil"/>
              <w:bottom w:val="nil"/>
              <w:right w:val="nil"/>
            </w:tcBorders>
            <w:shd w:val="clear" w:color="auto" w:fill="005CA9"/>
            <w:vAlign w:val="center"/>
            <w:hideMark/>
          </w:tcPr>
          <w:p w14:paraId="45C5C131" w14:textId="0766DC9C" w:rsidR="008B450A" w:rsidRPr="008B450A" w:rsidRDefault="00C32F2A" w:rsidP="008B450A">
            <w:pPr>
              <w:jc w:val="center"/>
              <w:rPr>
                <w:rFonts w:ascii="CAIXA Std Book" w:eastAsia="Times New Roman" w:hAnsi="CAIXA Std Book" w:cs="Times New Roman"/>
                <w:b/>
                <w:bCs/>
                <w:color w:val="FFFFFF"/>
                <w:sz w:val="18"/>
                <w:szCs w:val="18"/>
              </w:rPr>
            </w:pPr>
            <w:r>
              <w:rPr>
                <w:rFonts w:ascii="CAIXA Std Book" w:eastAsia="Times New Roman" w:hAnsi="CAIXA Std Book" w:cs="Times New Roman"/>
                <w:b/>
                <w:bCs/>
                <w:color w:val="FFFFFF"/>
                <w:sz w:val="18"/>
                <w:szCs w:val="18"/>
              </w:rPr>
              <w:t>1</w:t>
            </w:r>
            <w:r w:rsidR="008B450A" w:rsidRPr="008B450A">
              <w:rPr>
                <w:rFonts w:ascii="CAIXA Std Book" w:eastAsia="Times New Roman" w:hAnsi="CAIXA Std Book" w:cs="Times New Roman"/>
                <w:b/>
                <w:bCs/>
                <w:color w:val="FFFFFF"/>
                <w:sz w:val="18"/>
                <w:szCs w:val="18"/>
              </w:rPr>
              <w:t xml:space="preserve">º </w:t>
            </w:r>
            <w:r>
              <w:rPr>
                <w:rFonts w:ascii="CAIXA Std Book" w:eastAsia="Times New Roman" w:hAnsi="CAIXA Std Book" w:cs="Times New Roman"/>
                <w:b/>
                <w:bCs/>
                <w:color w:val="FFFFFF"/>
                <w:sz w:val="18"/>
                <w:szCs w:val="18"/>
              </w:rPr>
              <w:t>trimestre</w:t>
            </w:r>
          </w:p>
        </w:tc>
        <w:tc>
          <w:tcPr>
            <w:tcW w:w="644" w:type="pct"/>
            <w:tcBorders>
              <w:top w:val="single" w:sz="4" w:space="0" w:color="FFFFFF" w:themeColor="background1"/>
              <w:left w:val="nil"/>
              <w:bottom w:val="nil"/>
              <w:right w:val="nil"/>
            </w:tcBorders>
            <w:shd w:val="clear" w:color="auto" w:fill="005CA9"/>
            <w:vAlign w:val="center"/>
            <w:hideMark/>
          </w:tcPr>
          <w:p w14:paraId="4E915ED3" w14:textId="494D7CEB" w:rsidR="008B450A" w:rsidRPr="008B450A" w:rsidRDefault="00C47E0C" w:rsidP="008B450A">
            <w:pPr>
              <w:jc w:val="center"/>
              <w:rPr>
                <w:rFonts w:ascii="CAIXA Std Book" w:eastAsia="Times New Roman" w:hAnsi="CAIXA Std Book" w:cs="Times New Roman"/>
                <w:b/>
                <w:bCs/>
                <w:color w:val="FFFFFF"/>
                <w:sz w:val="18"/>
                <w:szCs w:val="18"/>
              </w:rPr>
            </w:pPr>
            <w:r>
              <w:rPr>
                <w:rFonts w:ascii="CAIXA Std Book" w:eastAsia="Times New Roman" w:hAnsi="CAIXA Std Book" w:cs="Times New Roman"/>
                <w:b/>
                <w:bCs/>
                <w:color w:val="FFFFFF"/>
                <w:sz w:val="18"/>
                <w:szCs w:val="18"/>
              </w:rPr>
              <w:t>1</w:t>
            </w:r>
            <w:r w:rsidRPr="008B450A">
              <w:rPr>
                <w:rFonts w:ascii="CAIXA Std Book" w:eastAsia="Times New Roman" w:hAnsi="CAIXA Std Book" w:cs="Times New Roman"/>
                <w:b/>
                <w:bCs/>
                <w:color w:val="FFFFFF"/>
                <w:sz w:val="18"/>
                <w:szCs w:val="18"/>
              </w:rPr>
              <w:t xml:space="preserve">º </w:t>
            </w:r>
            <w:r>
              <w:rPr>
                <w:rFonts w:ascii="CAIXA Std Book" w:eastAsia="Times New Roman" w:hAnsi="CAIXA Std Book" w:cs="Times New Roman"/>
                <w:b/>
                <w:bCs/>
                <w:color w:val="FFFFFF"/>
                <w:sz w:val="18"/>
                <w:szCs w:val="18"/>
              </w:rPr>
              <w:t>trimestre</w:t>
            </w:r>
          </w:p>
        </w:tc>
        <w:tc>
          <w:tcPr>
            <w:tcW w:w="643" w:type="pct"/>
            <w:tcBorders>
              <w:top w:val="single" w:sz="4" w:space="0" w:color="FFFFFF" w:themeColor="background1"/>
              <w:left w:val="nil"/>
              <w:bottom w:val="nil"/>
              <w:right w:val="nil"/>
            </w:tcBorders>
            <w:shd w:val="clear" w:color="auto" w:fill="005CA9"/>
            <w:vAlign w:val="center"/>
            <w:hideMark/>
          </w:tcPr>
          <w:p w14:paraId="39EF9F51" w14:textId="31A9493B" w:rsidR="008B450A" w:rsidRPr="008B450A" w:rsidRDefault="00C47E0C" w:rsidP="008B450A">
            <w:pPr>
              <w:jc w:val="center"/>
              <w:rPr>
                <w:rFonts w:ascii="CAIXA Std Book" w:eastAsia="Times New Roman" w:hAnsi="CAIXA Std Book" w:cs="Times New Roman"/>
                <w:b/>
                <w:bCs/>
                <w:color w:val="FFFFFF"/>
                <w:sz w:val="18"/>
                <w:szCs w:val="18"/>
              </w:rPr>
            </w:pPr>
            <w:r>
              <w:rPr>
                <w:rFonts w:ascii="CAIXA Std Book" w:eastAsia="Times New Roman" w:hAnsi="CAIXA Std Book" w:cs="Times New Roman"/>
                <w:b/>
                <w:bCs/>
                <w:color w:val="FFFFFF"/>
                <w:sz w:val="18"/>
                <w:szCs w:val="18"/>
              </w:rPr>
              <w:t>1</w:t>
            </w:r>
            <w:r w:rsidRPr="008B450A">
              <w:rPr>
                <w:rFonts w:ascii="CAIXA Std Book" w:eastAsia="Times New Roman" w:hAnsi="CAIXA Std Book" w:cs="Times New Roman"/>
                <w:b/>
                <w:bCs/>
                <w:color w:val="FFFFFF"/>
                <w:sz w:val="18"/>
                <w:szCs w:val="18"/>
              </w:rPr>
              <w:t xml:space="preserve">º </w:t>
            </w:r>
            <w:r>
              <w:rPr>
                <w:rFonts w:ascii="CAIXA Std Book" w:eastAsia="Times New Roman" w:hAnsi="CAIXA Std Book" w:cs="Times New Roman"/>
                <w:b/>
                <w:bCs/>
                <w:color w:val="FFFFFF"/>
                <w:sz w:val="18"/>
                <w:szCs w:val="18"/>
              </w:rPr>
              <w:t>trimestre</w:t>
            </w:r>
          </w:p>
        </w:tc>
        <w:tc>
          <w:tcPr>
            <w:tcW w:w="640" w:type="pct"/>
            <w:tcBorders>
              <w:top w:val="single" w:sz="4" w:space="0" w:color="FFFFFF" w:themeColor="background1"/>
              <w:left w:val="nil"/>
              <w:bottom w:val="nil"/>
              <w:right w:val="nil"/>
            </w:tcBorders>
            <w:shd w:val="clear" w:color="auto" w:fill="005CA9"/>
            <w:vAlign w:val="center"/>
            <w:hideMark/>
          </w:tcPr>
          <w:p w14:paraId="38BFB806" w14:textId="18983DEB" w:rsidR="008B450A" w:rsidRPr="008B450A" w:rsidRDefault="00C47E0C" w:rsidP="008B450A">
            <w:pPr>
              <w:jc w:val="center"/>
              <w:rPr>
                <w:rFonts w:ascii="CAIXA Std Book" w:eastAsia="Times New Roman" w:hAnsi="CAIXA Std Book" w:cs="Times New Roman"/>
                <w:b/>
                <w:bCs/>
                <w:color w:val="FFFFFF"/>
                <w:sz w:val="18"/>
                <w:szCs w:val="18"/>
              </w:rPr>
            </w:pPr>
            <w:r>
              <w:rPr>
                <w:rFonts w:ascii="CAIXA Std Book" w:eastAsia="Times New Roman" w:hAnsi="CAIXA Std Book" w:cs="Times New Roman"/>
                <w:b/>
                <w:bCs/>
                <w:color w:val="FFFFFF"/>
                <w:sz w:val="18"/>
                <w:szCs w:val="18"/>
              </w:rPr>
              <w:t>1</w:t>
            </w:r>
            <w:r w:rsidRPr="008B450A">
              <w:rPr>
                <w:rFonts w:ascii="CAIXA Std Book" w:eastAsia="Times New Roman" w:hAnsi="CAIXA Std Book" w:cs="Times New Roman"/>
                <w:b/>
                <w:bCs/>
                <w:color w:val="FFFFFF"/>
                <w:sz w:val="18"/>
                <w:szCs w:val="18"/>
              </w:rPr>
              <w:t xml:space="preserve">º </w:t>
            </w:r>
            <w:r>
              <w:rPr>
                <w:rFonts w:ascii="CAIXA Std Book" w:eastAsia="Times New Roman" w:hAnsi="CAIXA Std Book" w:cs="Times New Roman"/>
                <w:b/>
                <w:bCs/>
                <w:color w:val="FFFFFF"/>
                <w:sz w:val="18"/>
                <w:szCs w:val="18"/>
              </w:rPr>
              <w:t>trimestre</w:t>
            </w:r>
          </w:p>
        </w:tc>
      </w:tr>
      <w:tr w:rsidR="0015386D" w:rsidRPr="008B450A" w14:paraId="618A0B55" w14:textId="77777777" w:rsidTr="00954498">
        <w:trPr>
          <w:trHeight w:val="283"/>
        </w:trPr>
        <w:tc>
          <w:tcPr>
            <w:tcW w:w="2430" w:type="pct"/>
            <w:tcBorders>
              <w:top w:val="nil"/>
              <w:left w:val="nil"/>
              <w:bottom w:val="nil"/>
              <w:right w:val="nil"/>
            </w:tcBorders>
            <w:shd w:val="clear" w:color="auto" w:fill="D0E0E3"/>
            <w:vAlign w:val="center"/>
            <w:hideMark/>
          </w:tcPr>
          <w:p w14:paraId="59CF364A" w14:textId="77777777" w:rsidR="008B450A" w:rsidRPr="008B450A" w:rsidRDefault="008B450A" w:rsidP="008B450A">
            <w:pPr>
              <w:rPr>
                <w:rFonts w:ascii="CAIXA Std Book" w:eastAsia="Times New Roman" w:hAnsi="CAIXA Std Book" w:cs="Times New Roman"/>
                <w:b/>
                <w:bCs/>
                <w:color w:val="005CA9"/>
                <w:sz w:val="18"/>
                <w:szCs w:val="18"/>
              </w:rPr>
            </w:pPr>
            <w:r w:rsidRPr="008B450A">
              <w:rPr>
                <w:rFonts w:ascii="CAIXA Std Book" w:eastAsia="Times New Roman" w:hAnsi="CAIXA Std Book" w:cs="Times New Roman"/>
                <w:b/>
                <w:bCs/>
                <w:color w:val="005CA9"/>
                <w:sz w:val="18"/>
                <w:szCs w:val="18"/>
              </w:rPr>
              <w:t>Resultado antes dos tributos e participações</w:t>
            </w:r>
          </w:p>
        </w:tc>
        <w:tc>
          <w:tcPr>
            <w:tcW w:w="643" w:type="pct"/>
            <w:tcBorders>
              <w:top w:val="nil"/>
              <w:left w:val="nil"/>
              <w:bottom w:val="nil"/>
              <w:right w:val="nil"/>
            </w:tcBorders>
            <w:shd w:val="clear" w:color="auto" w:fill="D0E0E3"/>
            <w:noWrap/>
            <w:vAlign w:val="center"/>
          </w:tcPr>
          <w:p w14:paraId="7D62A69F" w14:textId="03336E64" w:rsidR="008B450A" w:rsidRPr="00B53071" w:rsidRDefault="00F30436" w:rsidP="008B450A">
            <w:pPr>
              <w:jc w:val="right"/>
              <w:rPr>
                <w:rFonts w:ascii="CAIXA Std Book" w:hAnsi="CAIXA Std Book" w:cs="Arial"/>
                <w:b/>
                <w:color w:val="005CA9"/>
                <w:sz w:val="18"/>
                <w:szCs w:val="18"/>
              </w:rPr>
            </w:pPr>
            <w:r w:rsidRPr="00F30436">
              <w:rPr>
                <w:rFonts w:ascii="CAIXA Std Book" w:hAnsi="CAIXA Std Book" w:cs="Arial"/>
                <w:b/>
                <w:bCs/>
                <w:color w:val="005CA9"/>
                <w:sz w:val="18"/>
                <w:szCs w:val="18"/>
              </w:rPr>
              <w:t>1.407.614</w:t>
            </w:r>
          </w:p>
        </w:tc>
        <w:tc>
          <w:tcPr>
            <w:tcW w:w="644" w:type="pct"/>
            <w:tcBorders>
              <w:top w:val="nil"/>
              <w:left w:val="nil"/>
              <w:bottom w:val="nil"/>
              <w:right w:val="nil"/>
            </w:tcBorders>
            <w:shd w:val="clear" w:color="auto" w:fill="D0E0E3"/>
            <w:noWrap/>
            <w:vAlign w:val="center"/>
          </w:tcPr>
          <w:p w14:paraId="4C9F17A0" w14:textId="404AD48F" w:rsidR="008B450A" w:rsidRPr="00B53071" w:rsidRDefault="00954498" w:rsidP="008B450A">
            <w:pPr>
              <w:jc w:val="right"/>
              <w:rPr>
                <w:rFonts w:ascii="CAIXA Std Book" w:hAnsi="CAIXA Std Book" w:cs="Arial"/>
                <w:b/>
                <w:color w:val="005CA9"/>
                <w:sz w:val="18"/>
                <w:szCs w:val="18"/>
              </w:rPr>
            </w:pPr>
            <w:r>
              <w:rPr>
                <w:rFonts w:ascii="CAIXA Std Book" w:hAnsi="CAIXA Std Book" w:cs="Arial"/>
                <w:b/>
                <w:color w:val="005CA9"/>
                <w:sz w:val="18"/>
                <w:szCs w:val="18"/>
              </w:rPr>
              <w:t>6.615.496</w:t>
            </w:r>
          </w:p>
        </w:tc>
        <w:tc>
          <w:tcPr>
            <w:tcW w:w="643" w:type="pct"/>
            <w:tcBorders>
              <w:top w:val="nil"/>
              <w:left w:val="nil"/>
              <w:bottom w:val="nil"/>
              <w:right w:val="nil"/>
            </w:tcBorders>
            <w:shd w:val="clear" w:color="auto" w:fill="D0E0E3"/>
            <w:vAlign w:val="center"/>
          </w:tcPr>
          <w:p w14:paraId="0E5A2454" w14:textId="54AE5A38" w:rsidR="008B450A" w:rsidRPr="00B53071" w:rsidRDefault="00996491" w:rsidP="008B450A">
            <w:pPr>
              <w:jc w:val="right"/>
              <w:rPr>
                <w:rFonts w:ascii="CAIXA Std Book" w:hAnsi="CAIXA Std Book" w:cs="Arial"/>
                <w:b/>
                <w:color w:val="005CA9"/>
                <w:sz w:val="18"/>
                <w:szCs w:val="18"/>
              </w:rPr>
            </w:pPr>
            <w:r>
              <w:rPr>
                <w:rFonts w:ascii="CAIXA Std Book" w:hAnsi="CAIXA Std Book" w:cs="Arial"/>
                <w:b/>
                <w:bCs/>
                <w:color w:val="005CA9"/>
                <w:sz w:val="18"/>
                <w:szCs w:val="18"/>
              </w:rPr>
              <w:t>2.589.993</w:t>
            </w:r>
          </w:p>
        </w:tc>
        <w:tc>
          <w:tcPr>
            <w:tcW w:w="640" w:type="pct"/>
            <w:tcBorders>
              <w:top w:val="nil"/>
              <w:left w:val="nil"/>
              <w:bottom w:val="nil"/>
              <w:right w:val="nil"/>
            </w:tcBorders>
            <w:shd w:val="clear" w:color="auto" w:fill="D0E0E3"/>
            <w:vAlign w:val="center"/>
          </w:tcPr>
          <w:p w14:paraId="33305DC5" w14:textId="1B3700E3" w:rsidR="008B450A" w:rsidRPr="00B53071" w:rsidRDefault="00787EF7" w:rsidP="008B450A">
            <w:pPr>
              <w:jc w:val="right"/>
              <w:rPr>
                <w:rFonts w:ascii="CAIXA Std Book" w:hAnsi="CAIXA Std Book" w:cs="Arial"/>
                <w:b/>
                <w:color w:val="005CA9"/>
                <w:sz w:val="18"/>
                <w:szCs w:val="18"/>
              </w:rPr>
            </w:pPr>
            <w:r>
              <w:rPr>
                <w:rFonts w:ascii="CAIXA Std Book" w:hAnsi="CAIXA Std Book" w:cs="Arial"/>
                <w:b/>
                <w:bCs/>
                <w:color w:val="005CA9"/>
                <w:sz w:val="18"/>
                <w:szCs w:val="18"/>
              </w:rPr>
              <w:t>7.839.100</w:t>
            </w:r>
          </w:p>
        </w:tc>
      </w:tr>
      <w:tr w:rsidR="0015386D" w:rsidRPr="008B450A" w14:paraId="45BA3E79" w14:textId="77777777" w:rsidTr="00954498">
        <w:trPr>
          <w:trHeight w:val="283"/>
        </w:trPr>
        <w:tc>
          <w:tcPr>
            <w:tcW w:w="2430" w:type="pct"/>
            <w:tcBorders>
              <w:top w:val="nil"/>
              <w:left w:val="nil"/>
              <w:bottom w:val="nil"/>
              <w:right w:val="nil"/>
            </w:tcBorders>
            <w:vAlign w:val="center"/>
            <w:hideMark/>
          </w:tcPr>
          <w:p w14:paraId="07E1A1A3" w14:textId="77777777" w:rsidR="008B450A" w:rsidRPr="008B450A" w:rsidRDefault="008B450A" w:rsidP="008B450A">
            <w:pPr>
              <w:rPr>
                <w:rFonts w:ascii="CAIXA Std Book" w:eastAsia="Times New Roman" w:hAnsi="CAIXA Std Book" w:cs="Times New Roman"/>
                <w:color w:val="005CA9"/>
                <w:sz w:val="18"/>
                <w:szCs w:val="18"/>
              </w:rPr>
            </w:pPr>
            <w:r w:rsidRPr="008B450A">
              <w:rPr>
                <w:rFonts w:ascii="CAIXA Std Book" w:eastAsia="Times New Roman" w:hAnsi="CAIXA Std Book" w:cs="Times New Roman"/>
                <w:color w:val="005CA9"/>
                <w:sz w:val="18"/>
                <w:szCs w:val="18"/>
              </w:rPr>
              <w:t>Encargos de IRPJ e CSLL</w:t>
            </w:r>
          </w:p>
        </w:tc>
        <w:tc>
          <w:tcPr>
            <w:tcW w:w="643" w:type="pct"/>
            <w:tcBorders>
              <w:top w:val="nil"/>
              <w:left w:val="nil"/>
              <w:bottom w:val="single" w:sz="8" w:space="0" w:color="FFFFFF"/>
              <w:right w:val="nil"/>
            </w:tcBorders>
            <w:shd w:val="clear" w:color="000000" w:fill="FFFFFF"/>
            <w:vAlign w:val="center"/>
          </w:tcPr>
          <w:p w14:paraId="760290F3" w14:textId="22181B89" w:rsidR="008B450A" w:rsidRPr="008B450A" w:rsidRDefault="00505CFE" w:rsidP="00505CFE">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(633.426)</w:t>
            </w:r>
          </w:p>
        </w:tc>
        <w:tc>
          <w:tcPr>
            <w:tcW w:w="644" w:type="pct"/>
            <w:tcBorders>
              <w:top w:val="nil"/>
              <w:left w:val="nil"/>
              <w:bottom w:val="single" w:sz="8" w:space="0" w:color="FFFFFF"/>
              <w:right w:val="nil"/>
            </w:tcBorders>
            <w:shd w:val="clear" w:color="000000" w:fill="FFFFFF"/>
            <w:vAlign w:val="center"/>
          </w:tcPr>
          <w:p w14:paraId="5B7FB6F5" w14:textId="1AE68323" w:rsidR="008B450A" w:rsidRPr="008B450A" w:rsidRDefault="00954498" w:rsidP="008B450A">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(2.976.973)</w:t>
            </w:r>
          </w:p>
        </w:tc>
        <w:tc>
          <w:tcPr>
            <w:tcW w:w="643" w:type="pct"/>
            <w:tcBorders>
              <w:top w:val="nil"/>
              <w:left w:val="nil"/>
              <w:bottom w:val="single" w:sz="8" w:space="0" w:color="FFFFFF"/>
              <w:right w:val="nil"/>
            </w:tcBorders>
            <w:shd w:val="clear" w:color="000000" w:fill="FFFFFF"/>
            <w:vAlign w:val="center"/>
          </w:tcPr>
          <w:p w14:paraId="4D9AB86F" w14:textId="29DC1910" w:rsidR="008B450A" w:rsidRPr="008B450A" w:rsidRDefault="00996491" w:rsidP="008B450A">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(1.165.497)</w:t>
            </w:r>
          </w:p>
        </w:tc>
        <w:tc>
          <w:tcPr>
            <w:tcW w:w="640" w:type="pct"/>
            <w:tcBorders>
              <w:top w:val="nil"/>
              <w:left w:val="nil"/>
              <w:bottom w:val="single" w:sz="8" w:space="0" w:color="FFFFFF"/>
              <w:right w:val="nil"/>
            </w:tcBorders>
            <w:shd w:val="clear" w:color="000000" w:fill="FFFFFF"/>
            <w:vAlign w:val="center"/>
          </w:tcPr>
          <w:p w14:paraId="43A25596" w14:textId="3423954D" w:rsidR="008B450A" w:rsidRPr="008B450A" w:rsidRDefault="00954498" w:rsidP="008B450A">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(3.372.939)</w:t>
            </w:r>
          </w:p>
        </w:tc>
      </w:tr>
      <w:tr w:rsidR="0015386D" w:rsidRPr="008B450A" w14:paraId="5F63E063" w14:textId="77777777" w:rsidTr="00954498">
        <w:trPr>
          <w:trHeight w:val="283"/>
        </w:trPr>
        <w:tc>
          <w:tcPr>
            <w:tcW w:w="2430" w:type="pct"/>
            <w:tcBorders>
              <w:top w:val="nil"/>
              <w:left w:val="nil"/>
              <w:bottom w:val="nil"/>
              <w:right w:val="nil"/>
            </w:tcBorders>
            <w:vAlign w:val="center"/>
            <w:hideMark/>
          </w:tcPr>
          <w:p w14:paraId="14FB7FC7" w14:textId="77777777" w:rsidR="008B450A" w:rsidRPr="008B450A" w:rsidRDefault="008B450A" w:rsidP="008B450A">
            <w:pPr>
              <w:rPr>
                <w:rFonts w:ascii="CAIXA Std Book" w:eastAsia="Times New Roman" w:hAnsi="CAIXA Std Book" w:cs="Times New Roman"/>
                <w:color w:val="005CA9"/>
                <w:sz w:val="18"/>
                <w:szCs w:val="18"/>
              </w:rPr>
            </w:pPr>
            <w:r w:rsidRPr="008B450A">
              <w:rPr>
                <w:rFonts w:ascii="CAIXA Std Book" w:eastAsia="Times New Roman" w:hAnsi="CAIXA Std Book" w:cs="Times New Roman"/>
                <w:color w:val="005CA9"/>
                <w:sz w:val="18"/>
                <w:szCs w:val="18"/>
              </w:rPr>
              <w:t>Juros sobre o capital próprio</w:t>
            </w:r>
          </w:p>
        </w:tc>
        <w:tc>
          <w:tcPr>
            <w:tcW w:w="643" w:type="pct"/>
            <w:tcBorders>
              <w:top w:val="nil"/>
              <w:left w:val="nil"/>
              <w:bottom w:val="single" w:sz="8" w:space="0" w:color="FFFFFF"/>
              <w:right w:val="nil"/>
            </w:tcBorders>
            <w:shd w:val="clear" w:color="000000" w:fill="FFFFFF"/>
            <w:vAlign w:val="center"/>
          </w:tcPr>
          <w:p w14:paraId="0F61A447" w14:textId="693D0AE9" w:rsidR="008B450A" w:rsidRPr="008B450A" w:rsidRDefault="00996491" w:rsidP="008B450A">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308.131</w:t>
            </w:r>
          </w:p>
        </w:tc>
        <w:tc>
          <w:tcPr>
            <w:tcW w:w="644" w:type="pct"/>
            <w:tcBorders>
              <w:top w:val="nil"/>
              <w:left w:val="nil"/>
              <w:bottom w:val="single" w:sz="8" w:space="0" w:color="FFFFFF"/>
              <w:right w:val="nil"/>
            </w:tcBorders>
            <w:shd w:val="clear" w:color="000000" w:fill="FFFFFF"/>
            <w:vAlign w:val="center"/>
          </w:tcPr>
          <w:p w14:paraId="2FE7E700" w14:textId="71E07C64" w:rsidR="008B450A" w:rsidRPr="008B450A" w:rsidRDefault="00954498" w:rsidP="008B450A">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424.940</w:t>
            </w:r>
          </w:p>
        </w:tc>
        <w:tc>
          <w:tcPr>
            <w:tcW w:w="643" w:type="pct"/>
            <w:tcBorders>
              <w:top w:val="nil"/>
              <w:left w:val="nil"/>
              <w:bottom w:val="single" w:sz="8" w:space="0" w:color="FFFFFF"/>
              <w:right w:val="nil"/>
            </w:tcBorders>
            <w:shd w:val="clear" w:color="000000" w:fill="FFFFFF"/>
            <w:vAlign w:val="center"/>
          </w:tcPr>
          <w:p w14:paraId="6E95AF1B" w14:textId="74DB3863" w:rsidR="008B450A" w:rsidRPr="008B450A" w:rsidRDefault="00996491" w:rsidP="008B450A">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308.131</w:t>
            </w:r>
          </w:p>
        </w:tc>
        <w:tc>
          <w:tcPr>
            <w:tcW w:w="640" w:type="pct"/>
            <w:tcBorders>
              <w:top w:val="nil"/>
              <w:left w:val="nil"/>
              <w:bottom w:val="single" w:sz="8" w:space="0" w:color="FFFFFF"/>
              <w:right w:val="nil"/>
            </w:tcBorders>
            <w:shd w:val="clear" w:color="000000" w:fill="FFFFFF"/>
            <w:vAlign w:val="center"/>
          </w:tcPr>
          <w:p w14:paraId="7F6BA347" w14:textId="4CC363A9" w:rsidR="008B450A" w:rsidRPr="008B450A" w:rsidRDefault="00954498" w:rsidP="008B450A">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424.940</w:t>
            </w:r>
          </w:p>
        </w:tc>
      </w:tr>
      <w:tr w:rsidR="0015386D" w:rsidRPr="008B450A" w14:paraId="7F39E92C" w14:textId="77777777" w:rsidTr="00954498">
        <w:trPr>
          <w:trHeight w:val="283"/>
        </w:trPr>
        <w:tc>
          <w:tcPr>
            <w:tcW w:w="2430" w:type="pct"/>
            <w:tcBorders>
              <w:top w:val="nil"/>
              <w:left w:val="nil"/>
              <w:bottom w:val="nil"/>
              <w:right w:val="nil"/>
            </w:tcBorders>
            <w:vAlign w:val="center"/>
            <w:hideMark/>
          </w:tcPr>
          <w:p w14:paraId="15A43113" w14:textId="77777777" w:rsidR="008B450A" w:rsidRPr="008B450A" w:rsidRDefault="008B450A" w:rsidP="008B450A">
            <w:pPr>
              <w:rPr>
                <w:rFonts w:ascii="CAIXA Std Book" w:eastAsia="Times New Roman" w:hAnsi="CAIXA Std Book" w:cs="Times New Roman"/>
                <w:color w:val="005CA9"/>
                <w:sz w:val="18"/>
                <w:szCs w:val="18"/>
              </w:rPr>
            </w:pPr>
            <w:r w:rsidRPr="008B450A">
              <w:rPr>
                <w:rFonts w:ascii="CAIXA Std Book" w:eastAsia="Times New Roman" w:hAnsi="CAIXA Std Book" w:cs="Times New Roman"/>
                <w:color w:val="005CA9"/>
                <w:sz w:val="18"/>
                <w:szCs w:val="18"/>
              </w:rPr>
              <w:t>Participação em coligadas e controladas</w:t>
            </w:r>
          </w:p>
        </w:tc>
        <w:tc>
          <w:tcPr>
            <w:tcW w:w="643" w:type="pct"/>
            <w:tcBorders>
              <w:top w:val="nil"/>
              <w:left w:val="nil"/>
              <w:bottom w:val="single" w:sz="8" w:space="0" w:color="FFFFFF"/>
              <w:right w:val="nil"/>
            </w:tcBorders>
            <w:shd w:val="clear" w:color="000000" w:fill="FFFFFF"/>
            <w:vAlign w:val="center"/>
          </w:tcPr>
          <w:p w14:paraId="56FB6A16" w14:textId="5A220F44" w:rsidR="008B450A" w:rsidRPr="008B450A" w:rsidRDefault="00996491" w:rsidP="008B450A">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815.079</w:t>
            </w:r>
          </w:p>
        </w:tc>
        <w:tc>
          <w:tcPr>
            <w:tcW w:w="644" w:type="pct"/>
            <w:tcBorders>
              <w:top w:val="nil"/>
              <w:left w:val="nil"/>
              <w:bottom w:val="single" w:sz="8" w:space="0" w:color="FFFFFF"/>
              <w:right w:val="nil"/>
            </w:tcBorders>
            <w:shd w:val="clear" w:color="000000" w:fill="FFFFFF"/>
            <w:vAlign w:val="center"/>
          </w:tcPr>
          <w:p w14:paraId="0621B313" w14:textId="4C10EBD5" w:rsidR="008B450A" w:rsidRPr="008B450A" w:rsidRDefault="00954498" w:rsidP="008B450A">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540.018</w:t>
            </w:r>
          </w:p>
        </w:tc>
        <w:tc>
          <w:tcPr>
            <w:tcW w:w="643" w:type="pct"/>
            <w:tcBorders>
              <w:top w:val="nil"/>
              <w:left w:val="nil"/>
              <w:bottom w:val="single" w:sz="8" w:space="0" w:color="FFFFFF"/>
              <w:right w:val="nil"/>
            </w:tcBorders>
            <w:shd w:val="clear" w:color="000000" w:fill="FFFFFF"/>
            <w:vAlign w:val="center"/>
          </w:tcPr>
          <w:p w14:paraId="55DF94A7" w14:textId="62E260A9" w:rsidR="008B450A" w:rsidRPr="008B450A" w:rsidRDefault="00EA6DE9" w:rsidP="008B450A">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294.184</w:t>
            </w:r>
          </w:p>
        </w:tc>
        <w:tc>
          <w:tcPr>
            <w:tcW w:w="640" w:type="pct"/>
            <w:tcBorders>
              <w:top w:val="nil"/>
              <w:left w:val="nil"/>
              <w:bottom w:val="single" w:sz="8" w:space="0" w:color="FFFFFF"/>
              <w:right w:val="nil"/>
            </w:tcBorders>
            <w:shd w:val="clear" w:color="000000" w:fill="FFFFFF"/>
            <w:vAlign w:val="center"/>
          </w:tcPr>
          <w:p w14:paraId="7D569FB5" w14:textId="7ED32F3F" w:rsidR="008B450A" w:rsidRPr="008B450A" w:rsidRDefault="00954498" w:rsidP="008B450A">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137.265</w:t>
            </w:r>
          </w:p>
        </w:tc>
      </w:tr>
      <w:tr w:rsidR="0015386D" w:rsidRPr="008B450A" w14:paraId="489E3C60" w14:textId="77777777" w:rsidTr="00954498">
        <w:trPr>
          <w:trHeight w:val="283"/>
        </w:trPr>
        <w:tc>
          <w:tcPr>
            <w:tcW w:w="2430" w:type="pct"/>
            <w:tcBorders>
              <w:top w:val="nil"/>
              <w:left w:val="nil"/>
              <w:bottom w:val="nil"/>
              <w:right w:val="nil"/>
            </w:tcBorders>
            <w:vAlign w:val="center"/>
            <w:hideMark/>
          </w:tcPr>
          <w:p w14:paraId="6BB33817" w14:textId="77777777" w:rsidR="008B450A" w:rsidRPr="008B450A" w:rsidRDefault="008B450A" w:rsidP="008B450A">
            <w:pPr>
              <w:rPr>
                <w:rFonts w:ascii="CAIXA Std Book" w:eastAsia="Times New Roman" w:hAnsi="CAIXA Std Book" w:cs="Times New Roman"/>
                <w:color w:val="005CA9"/>
                <w:sz w:val="18"/>
                <w:szCs w:val="18"/>
              </w:rPr>
            </w:pPr>
            <w:r w:rsidRPr="008B450A">
              <w:rPr>
                <w:rFonts w:ascii="CAIXA Std Book" w:eastAsia="Times New Roman" w:hAnsi="CAIXA Std Book" w:cs="Times New Roman"/>
                <w:color w:val="005CA9"/>
                <w:sz w:val="18"/>
                <w:szCs w:val="18"/>
              </w:rPr>
              <w:t>Participação dos empregados nos lucros</w:t>
            </w:r>
          </w:p>
        </w:tc>
        <w:tc>
          <w:tcPr>
            <w:tcW w:w="643" w:type="pct"/>
            <w:tcBorders>
              <w:top w:val="nil"/>
              <w:left w:val="nil"/>
              <w:bottom w:val="single" w:sz="8" w:space="0" w:color="FFFFFF"/>
              <w:right w:val="nil"/>
            </w:tcBorders>
            <w:shd w:val="clear" w:color="000000" w:fill="FFFFFF"/>
            <w:vAlign w:val="center"/>
          </w:tcPr>
          <w:p w14:paraId="557BB4FA" w14:textId="38A18FAF" w:rsidR="008B450A" w:rsidRPr="008B450A" w:rsidRDefault="00C80279" w:rsidP="008B450A">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w:t>
            </w:r>
            <w:r w:rsidR="00176DC1">
              <w:rPr>
                <w:rFonts w:ascii="CAIXA Std Book" w:hAnsi="CAIXA Std Book" w:cs="Arial"/>
                <w:color w:val="005CA9"/>
                <w:sz w:val="18"/>
                <w:szCs w:val="18"/>
              </w:rPr>
              <w:t>223.914</w:t>
            </w:r>
            <w:r>
              <w:rPr>
                <w:rFonts w:ascii="CAIXA Std Book" w:hAnsi="CAIXA Std Book" w:cs="Arial"/>
                <w:color w:val="005CA9"/>
                <w:sz w:val="18"/>
                <w:szCs w:val="18"/>
              </w:rPr>
              <w:t>)</w:t>
            </w:r>
          </w:p>
        </w:tc>
        <w:tc>
          <w:tcPr>
            <w:tcW w:w="644" w:type="pct"/>
            <w:tcBorders>
              <w:top w:val="nil"/>
              <w:left w:val="nil"/>
              <w:bottom w:val="single" w:sz="8" w:space="0" w:color="FFFFFF"/>
              <w:right w:val="nil"/>
            </w:tcBorders>
            <w:shd w:val="clear" w:color="000000" w:fill="FFFFFF"/>
            <w:vAlign w:val="center"/>
          </w:tcPr>
          <w:p w14:paraId="05DAC6F2" w14:textId="4DE3FAFD" w:rsidR="008B450A" w:rsidRPr="008B450A" w:rsidRDefault="007F1C38" w:rsidP="00954498">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(318.705)</w:t>
            </w:r>
          </w:p>
        </w:tc>
        <w:tc>
          <w:tcPr>
            <w:tcW w:w="643" w:type="pct"/>
            <w:tcBorders>
              <w:top w:val="nil"/>
              <w:left w:val="nil"/>
              <w:bottom w:val="single" w:sz="8" w:space="0" w:color="FFFFFF"/>
              <w:right w:val="nil"/>
            </w:tcBorders>
            <w:shd w:val="clear" w:color="000000" w:fill="FFFFFF"/>
            <w:vAlign w:val="center"/>
          </w:tcPr>
          <w:p w14:paraId="350EE983" w14:textId="4AA691AE" w:rsidR="008B450A" w:rsidRPr="008B450A" w:rsidRDefault="00C80279" w:rsidP="008B450A">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w:t>
            </w:r>
            <w:r w:rsidR="00176DC1">
              <w:rPr>
                <w:rFonts w:ascii="CAIXA Std Book" w:hAnsi="CAIXA Std Book" w:cs="Arial"/>
                <w:color w:val="005CA9"/>
                <w:sz w:val="18"/>
                <w:szCs w:val="18"/>
              </w:rPr>
              <w:t>223.914</w:t>
            </w:r>
            <w:r>
              <w:rPr>
                <w:rFonts w:ascii="CAIXA Std Book" w:hAnsi="CAIXA Std Book" w:cs="Arial"/>
                <w:color w:val="005CA9"/>
                <w:sz w:val="18"/>
                <w:szCs w:val="18"/>
              </w:rPr>
              <w:t>)</w:t>
            </w:r>
          </w:p>
        </w:tc>
        <w:tc>
          <w:tcPr>
            <w:tcW w:w="640" w:type="pct"/>
            <w:tcBorders>
              <w:top w:val="nil"/>
              <w:left w:val="nil"/>
              <w:bottom w:val="single" w:sz="8" w:space="0" w:color="FFFFFF"/>
              <w:right w:val="nil"/>
            </w:tcBorders>
            <w:shd w:val="clear" w:color="000000" w:fill="FFFFFF"/>
            <w:vAlign w:val="center"/>
          </w:tcPr>
          <w:p w14:paraId="182117E4" w14:textId="5E6B303B" w:rsidR="008B450A" w:rsidRPr="008B450A" w:rsidRDefault="007F1C38" w:rsidP="00101CFD">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(318.705)</w:t>
            </w:r>
          </w:p>
        </w:tc>
      </w:tr>
      <w:tr w:rsidR="0015386D" w:rsidRPr="008B450A" w14:paraId="7C476799" w14:textId="77777777" w:rsidTr="00954498">
        <w:trPr>
          <w:trHeight w:val="283"/>
        </w:trPr>
        <w:tc>
          <w:tcPr>
            <w:tcW w:w="2430" w:type="pct"/>
            <w:tcBorders>
              <w:top w:val="nil"/>
              <w:left w:val="nil"/>
              <w:bottom w:val="nil"/>
              <w:right w:val="nil"/>
            </w:tcBorders>
            <w:vAlign w:val="center"/>
            <w:hideMark/>
          </w:tcPr>
          <w:p w14:paraId="797F11B4" w14:textId="77777777" w:rsidR="008B450A" w:rsidRPr="008B450A" w:rsidRDefault="008B450A" w:rsidP="008B450A">
            <w:pPr>
              <w:rPr>
                <w:rFonts w:ascii="CAIXA Std Book" w:eastAsia="Times New Roman" w:hAnsi="CAIXA Std Book" w:cs="Times New Roman"/>
                <w:color w:val="005CA9"/>
                <w:sz w:val="18"/>
                <w:szCs w:val="18"/>
              </w:rPr>
            </w:pPr>
            <w:r w:rsidRPr="008B450A">
              <w:rPr>
                <w:rFonts w:ascii="CAIXA Std Book" w:eastAsia="Times New Roman" w:hAnsi="CAIXA Std Book" w:cs="Times New Roman"/>
                <w:color w:val="005CA9"/>
                <w:sz w:val="18"/>
                <w:szCs w:val="18"/>
              </w:rPr>
              <w:t>Outros</w:t>
            </w:r>
          </w:p>
        </w:tc>
        <w:tc>
          <w:tcPr>
            <w:tcW w:w="643" w:type="pct"/>
            <w:tcBorders>
              <w:top w:val="nil"/>
              <w:left w:val="nil"/>
              <w:bottom w:val="single" w:sz="8" w:space="0" w:color="FFFFFF"/>
              <w:right w:val="nil"/>
            </w:tcBorders>
            <w:shd w:val="clear" w:color="000000" w:fill="FFFFFF"/>
            <w:vAlign w:val="center"/>
          </w:tcPr>
          <w:p w14:paraId="1AD716A3" w14:textId="678ABDC8" w:rsidR="008B450A" w:rsidRPr="008B450A" w:rsidRDefault="00C80279" w:rsidP="008B450A">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(265.870)</w:t>
            </w:r>
          </w:p>
        </w:tc>
        <w:tc>
          <w:tcPr>
            <w:tcW w:w="644" w:type="pct"/>
            <w:tcBorders>
              <w:top w:val="nil"/>
              <w:left w:val="nil"/>
              <w:bottom w:val="single" w:sz="8" w:space="0" w:color="FFFFFF"/>
              <w:right w:val="nil"/>
            </w:tcBorders>
            <w:shd w:val="clear" w:color="000000" w:fill="FFFFFF"/>
            <w:vAlign w:val="center"/>
          </w:tcPr>
          <w:p w14:paraId="488C2296" w14:textId="3E20A509" w:rsidR="008B450A" w:rsidRPr="008B450A" w:rsidRDefault="007F1C38" w:rsidP="008B450A">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2.131.797</w:t>
            </w:r>
          </w:p>
        </w:tc>
        <w:tc>
          <w:tcPr>
            <w:tcW w:w="643" w:type="pct"/>
            <w:tcBorders>
              <w:top w:val="nil"/>
              <w:left w:val="nil"/>
              <w:bottom w:val="single" w:sz="8" w:space="0" w:color="FFFFFF"/>
              <w:right w:val="nil"/>
            </w:tcBorders>
            <w:shd w:val="clear" w:color="000000" w:fill="FFFFFF"/>
            <w:vAlign w:val="center"/>
          </w:tcPr>
          <w:p w14:paraId="4317B73F" w14:textId="55BD9DEE" w:rsidR="008B450A" w:rsidRPr="008B450A" w:rsidRDefault="00C80279" w:rsidP="008B450A">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247.210</w:t>
            </w:r>
          </w:p>
        </w:tc>
        <w:tc>
          <w:tcPr>
            <w:tcW w:w="640" w:type="pct"/>
            <w:tcBorders>
              <w:top w:val="nil"/>
              <w:left w:val="nil"/>
              <w:bottom w:val="single" w:sz="8" w:space="0" w:color="FFFFFF"/>
              <w:right w:val="nil"/>
            </w:tcBorders>
            <w:shd w:val="clear" w:color="000000" w:fill="FFFFFF"/>
            <w:vAlign w:val="center"/>
          </w:tcPr>
          <w:p w14:paraId="7FDDD528" w14:textId="42A8A022" w:rsidR="008B450A" w:rsidRPr="008B450A" w:rsidRDefault="007F1C38" w:rsidP="008B450A">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2.620.555</w:t>
            </w:r>
          </w:p>
        </w:tc>
      </w:tr>
      <w:tr w:rsidR="0015386D" w:rsidRPr="008B450A" w14:paraId="37F09CF9" w14:textId="77777777" w:rsidTr="00954498">
        <w:trPr>
          <w:trHeight w:val="283"/>
        </w:trPr>
        <w:tc>
          <w:tcPr>
            <w:tcW w:w="2430" w:type="pct"/>
            <w:tcBorders>
              <w:top w:val="single" w:sz="8" w:space="0" w:color="FFFFFF"/>
              <w:left w:val="nil"/>
              <w:bottom w:val="nil"/>
              <w:right w:val="nil"/>
            </w:tcBorders>
            <w:shd w:val="clear" w:color="auto" w:fill="005CA9"/>
            <w:noWrap/>
            <w:vAlign w:val="center"/>
            <w:hideMark/>
          </w:tcPr>
          <w:p w14:paraId="5A5E5363" w14:textId="77777777" w:rsidR="008B450A" w:rsidRPr="008B450A" w:rsidRDefault="008B450A" w:rsidP="008B450A">
            <w:pPr>
              <w:rPr>
                <w:rFonts w:ascii="CAIXA Std Book" w:eastAsia="Times New Roman" w:hAnsi="CAIXA Std Book" w:cs="Times New Roman"/>
                <w:b/>
                <w:bCs/>
                <w:color w:val="FFFFFF"/>
                <w:sz w:val="18"/>
                <w:szCs w:val="18"/>
              </w:rPr>
            </w:pPr>
            <w:r w:rsidRPr="008B450A">
              <w:rPr>
                <w:rFonts w:ascii="CAIXA Std Book" w:eastAsia="Times New Roman" w:hAnsi="CAIXA Std Book" w:cs="Times New Roman"/>
                <w:b/>
                <w:bCs/>
                <w:color w:val="FFFFFF"/>
                <w:sz w:val="18"/>
                <w:szCs w:val="18"/>
              </w:rPr>
              <w:t>Imposto de renda e contribuição social correntes</w:t>
            </w:r>
          </w:p>
        </w:tc>
        <w:tc>
          <w:tcPr>
            <w:tcW w:w="643" w:type="pct"/>
            <w:tcBorders>
              <w:top w:val="nil"/>
              <w:left w:val="nil"/>
              <w:bottom w:val="nil"/>
              <w:right w:val="nil"/>
            </w:tcBorders>
            <w:shd w:val="clear" w:color="auto" w:fill="005CA9"/>
            <w:noWrap/>
            <w:vAlign w:val="center"/>
          </w:tcPr>
          <w:p w14:paraId="6FB1F213" w14:textId="0F7EF9B8" w:rsidR="008B450A" w:rsidRPr="008B450A" w:rsidRDefault="00176DC1" w:rsidP="008B450A">
            <w:pPr>
              <w:jc w:val="center"/>
              <w:rPr>
                <w:rFonts w:ascii="CAIXA Std Book" w:eastAsia="Times New Roman" w:hAnsi="CAIXA Std Book" w:cs="Times New Roman"/>
                <w:b/>
                <w:bCs/>
                <w:color w:val="FFFFFF"/>
                <w:sz w:val="18"/>
                <w:szCs w:val="18"/>
              </w:rPr>
            </w:pPr>
            <w:r>
              <w:rPr>
                <w:rFonts w:ascii="CAIXA Std Book" w:hAnsi="CAIXA Std Book" w:cs="Arial"/>
                <w:b/>
                <w:bCs/>
                <w:color w:val="FFFFFF"/>
                <w:sz w:val="18"/>
                <w:szCs w:val="18"/>
              </w:rPr>
              <w:t>-</w:t>
            </w:r>
          </w:p>
        </w:tc>
        <w:tc>
          <w:tcPr>
            <w:tcW w:w="644" w:type="pct"/>
            <w:tcBorders>
              <w:top w:val="nil"/>
              <w:left w:val="nil"/>
              <w:bottom w:val="nil"/>
              <w:right w:val="nil"/>
            </w:tcBorders>
            <w:shd w:val="clear" w:color="auto" w:fill="005CA9"/>
            <w:noWrap/>
            <w:vAlign w:val="center"/>
          </w:tcPr>
          <w:p w14:paraId="18A0BF70" w14:textId="06554253" w:rsidR="008B450A" w:rsidRPr="008B450A" w:rsidRDefault="007F1C38" w:rsidP="00954498">
            <w:pPr>
              <w:jc w:val="right"/>
              <w:rPr>
                <w:rFonts w:ascii="CAIXA Std Book" w:eastAsia="Times New Roman" w:hAnsi="CAIXA Std Book" w:cs="Times New Roman"/>
                <w:b/>
                <w:bCs/>
                <w:color w:val="FFFFFF"/>
                <w:sz w:val="18"/>
                <w:szCs w:val="18"/>
              </w:rPr>
            </w:pPr>
            <w:r>
              <w:rPr>
                <w:rFonts w:ascii="CAIXA Std Book" w:hAnsi="CAIXA Std Book" w:cs="Arial"/>
                <w:b/>
                <w:bCs/>
                <w:color w:val="FFFFFF"/>
                <w:sz w:val="18"/>
                <w:szCs w:val="18"/>
              </w:rPr>
              <w:t>(198.923)</w:t>
            </w:r>
          </w:p>
        </w:tc>
        <w:tc>
          <w:tcPr>
            <w:tcW w:w="643" w:type="pct"/>
            <w:tcBorders>
              <w:top w:val="nil"/>
              <w:left w:val="nil"/>
              <w:bottom w:val="nil"/>
              <w:right w:val="nil"/>
            </w:tcBorders>
            <w:shd w:val="clear" w:color="auto" w:fill="005CA9"/>
            <w:vAlign w:val="center"/>
          </w:tcPr>
          <w:p w14:paraId="69DCDAF7" w14:textId="06A4C55A" w:rsidR="008B450A" w:rsidRPr="008B450A" w:rsidRDefault="00176DC1" w:rsidP="008B450A">
            <w:pPr>
              <w:jc w:val="right"/>
              <w:rPr>
                <w:rFonts w:ascii="CAIXA Std Book" w:eastAsia="Times New Roman" w:hAnsi="CAIXA Std Book" w:cs="Times New Roman"/>
                <w:b/>
                <w:bCs/>
                <w:color w:val="FFFFFF"/>
                <w:sz w:val="18"/>
                <w:szCs w:val="18"/>
              </w:rPr>
            </w:pPr>
            <w:r>
              <w:rPr>
                <w:rFonts w:ascii="CAIXA Std Book" w:hAnsi="CAIXA Std Book" w:cs="Arial"/>
                <w:b/>
                <w:bCs/>
                <w:color w:val="FFFFFF"/>
                <w:sz w:val="18"/>
                <w:szCs w:val="18"/>
              </w:rPr>
              <w:t>(539.886)</w:t>
            </w:r>
          </w:p>
        </w:tc>
        <w:tc>
          <w:tcPr>
            <w:tcW w:w="640" w:type="pct"/>
            <w:tcBorders>
              <w:top w:val="nil"/>
              <w:left w:val="nil"/>
              <w:bottom w:val="nil"/>
              <w:right w:val="nil"/>
            </w:tcBorders>
            <w:shd w:val="clear" w:color="auto" w:fill="005CA9"/>
            <w:vAlign w:val="center"/>
          </w:tcPr>
          <w:p w14:paraId="58C9272C" w14:textId="4BF716E8" w:rsidR="008B450A" w:rsidRPr="008B450A" w:rsidRDefault="007F1C38" w:rsidP="008B450A">
            <w:pPr>
              <w:jc w:val="right"/>
              <w:rPr>
                <w:rFonts w:ascii="CAIXA Std Book" w:eastAsia="Times New Roman" w:hAnsi="CAIXA Std Book" w:cs="Times New Roman"/>
                <w:b/>
                <w:bCs/>
                <w:color w:val="FFFFFF"/>
                <w:sz w:val="18"/>
                <w:szCs w:val="18"/>
              </w:rPr>
            </w:pPr>
            <w:r>
              <w:rPr>
                <w:rFonts w:ascii="CAIXA Std Book" w:hAnsi="CAIXA Std Book" w:cs="Arial"/>
                <w:b/>
                <w:bCs/>
                <w:color w:val="FFFFFF"/>
                <w:sz w:val="18"/>
                <w:szCs w:val="18"/>
              </w:rPr>
              <w:t>(508.884)</w:t>
            </w:r>
          </w:p>
        </w:tc>
      </w:tr>
    </w:tbl>
    <w:p w14:paraId="5B6F7B54" w14:textId="42ED0D53" w:rsidR="00ED7729" w:rsidRDefault="00ED7729" w:rsidP="00AB4D07">
      <w:pPr>
        <w:keepNext/>
        <w:numPr>
          <w:ilvl w:val="0"/>
          <w:numId w:val="14"/>
        </w:numPr>
        <w:spacing w:before="240" w:after="120"/>
        <w:ind w:left="567" w:hanging="567"/>
        <w:jc w:val="both"/>
        <w:rPr>
          <w:rFonts w:ascii="CAIXA Std Book" w:hAnsi="CAIXA Std Book"/>
          <w:b/>
          <w:color w:val="005CA9"/>
          <w:sz w:val="20"/>
          <w:szCs w:val="20"/>
        </w:rPr>
      </w:pPr>
      <w:r w:rsidRPr="00FF4346">
        <w:rPr>
          <w:rFonts w:ascii="CAIXA Std Book" w:hAnsi="CAIXA Std Book"/>
          <w:b/>
          <w:color w:val="005CA9"/>
          <w:sz w:val="20"/>
          <w:szCs w:val="20"/>
        </w:rPr>
        <w:t>Passivo fiscal diferido</w:t>
      </w:r>
    </w:p>
    <w:tbl>
      <w:tblPr>
        <w:tblW w:w="5000" w:type="pct"/>
        <w:tblCellMar>
          <w:left w:w="70" w:type="dxa"/>
          <w:right w:w="70" w:type="dxa"/>
        </w:tblCellMar>
        <w:tblLook w:val="04A0" w:firstRow="1" w:lastRow="0" w:firstColumn="1" w:lastColumn="0" w:noHBand="0" w:noVBand="1"/>
      </w:tblPr>
      <w:tblGrid>
        <w:gridCol w:w="4684"/>
        <w:gridCol w:w="1239"/>
        <w:gridCol w:w="1241"/>
        <w:gridCol w:w="1239"/>
        <w:gridCol w:w="1234"/>
      </w:tblGrid>
      <w:tr w:rsidR="00165917" w:rsidRPr="008B450A" w14:paraId="55D2168C" w14:textId="77777777" w:rsidTr="006917D1">
        <w:trPr>
          <w:trHeight w:val="283"/>
        </w:trPr>
        <w:tc>
          <w:tcPr>
            <w:tcW w:w="2430" w:type="pct"/>
            <w:vMerge w:val="restart"/>
            <w:tcBorders>
              <w:top w:val="nil"/>
              <w:left w:val="nil"/>
              <w:bottom w:val="nil"/>
              <w:right w:val="nil"/>
            </w:tcBorders>
            <w:shd w:val="clear" w:color="auto" w:fill="005CA9"/>
            <w:vAlign w:val="center"/>
            <w:hideMark/>
          </w:tcPr>
          <w:p w14:paraId="3762F0B0" w14:textId="77777777" w:rsidR="008B450A" w:rsidRPr="008B450A" w:rsidRDefault="008B450A" w:rsidP="008B450A">
            <w:pPr>
              <w:jc w:val="center"/>
              <w:rPr>
                <w:rFonts w:ascii="CAIXA Std Book" w:eastAsia="Times New Roman" w:hAnsi="CAIXA Std Book" w:cs="Times New Roman"/>
                <w:b/>
                <w:bCs/>
                <w:color w:val="FFFFFF"/>
                <w:sz w:val="18"/>
                <w:szCs w:val="18"/>
              </w:rPr>
            </w:pPr>
            <w:r w:rsidRPr="008B450A">
              <w:rPr>
                <w:rFonts w:ascii="CAIXA Std Book" w:eastAsia="Times New Roman" w:hAnsi="CAIXA Std Book" w:cs="Times New Roman"/>
                <w:b/>
                <w:bCs/>
                <w:color w:val="FFFFFF"/>
                <w:sz w:val="18"/>
                <w:szCs w:val="18"/>
              </w:rPr>
              <w:t>Descrição</w:t>
            </w:r>
          </w:p>
        </w:tc>
        <w:tc>
          <w:tcPr>
            <w:tcW w:w="1287" w:type="pct"/>
            <w:gridSpan w:val="2"/>
            <w:tcBorders>
              <w:top w:val="nil"/>
              <w:left w:val="nil"/>
              <w:bottom w:val="single" w:sz="4" w:space="0" w:color="FFFFFF" w:themeColor="background1"/>
              <w:right w:val="nil"/>
            </w:tcBorders>
            <w:shd w:val="clear" w:color="auto" w:fill="005CA9"/>
            <w:vAlign w:val="center"/>
          </w:tcPr>
          <w:p w14:paraId="1E13ECAA" w14:textId="3A65E268" w:rsidR="00494DD6" w:rsidRPr="008B450A" w:rsidRDefault="00434E92" w:rsidP="00494DD6">
            <w:pPr>
              <w:jc w:val="center"/>
              <w:rPr>
                <w:rFonts w:ascii="CAIXA Std Book" w:eastAsia="Times New Roman" w:hAnsi="CAIXA Std Book" w:cs="Times New Roman"/>
                <w:b/>
                <w:bCs/>
                <w:color w:val="FFFFFF"/>
                <w:sz w:val="18"/>
                <w:szCs w:val="18"/>
              </w:rPr>
            </w:pPr>
            <w:r w:rsidRPr="008B450A">
              <w:rPr>
                <w:rFonts w:ascii="CAIXA Std Book" w:eastAsia="Times New Roman" w:hAnsi="CAIXA Std Book" w:cs="Times New Roman"/>
                <w:b/>
                <w:bCs/>
                <w:color w:val="FFFFFF"/>
                <w:sz w:val="18"/>
                <w:szCs w:val="18"/>
              </w:rPr>
              <w:t>Individual</w:t>
            </w:r>
          </w:p>
        </w:tc>
        <w:tc>
          <w:tcPr>
            <w:tcW w:w="1283" w:type="pct"/>
            <w:gridSpan w:val="2"/>
            <w:tcBorders>
              <w:top w:val="nil"/>
              <w:left w:val="nil"/>
              <w:bottom w:val="single" w:sz="4" w:space="0" w:color="FFFFFF" w:themeColor="background1"/>
              <w:right w:val="nil"/>
            </w:tcBorders>
            <w:shd w:val="clear" w:color="auto" w:fill="005CA9"/>
            <w:noWrap/>
            <w:vAlign w:val="center"/>
          </w:tcPr>
          <w:p w14:paraId="64095A17" w14:textId="77777777" w:rsidR="008B450A" w:rsidRPr="008B450A" w:rsidRDefault="008B450A" w:rsidP="008B450A">
            <w:pPr>
              <w:jc w:val="center"/>
              <w:rPr>
                <w:rFonts w:ascii="CAIXA Std Book" w:eastAsia="Times New Roman" w:hAnsi="CAIXA Std Book" w:cs="Times New Roman"/>
                <w:b/>
                <w:bCs/>
                <w:color w:val="FFFFFF"/>
                <w:sz w:val="18"/>
                <w:szCs w:val="18"/>
              </w:rPr>
            </w:pPr>
            <w:r w:rsidRPr="008B450A">
              <w:rPr>
                <w:rFonts w:ascii="CAIXA Std Book" w:eastAsia="Times New Roman" w:hAnsi="CAIXA Std Book" w:cs="Times New Roman"/>
                <w:b/>
                <w:bCs/>
                <w:color w:val="FFFFFF"/>
                <w:sz w:val="18"/>
                <w:szCs w:val="18"/>
              </w:rPr>
              <w:t>Consolidado</w:t>
            </w:r>
          </w:p>
        </w:tc>
      </w:tr>
      <w:tr w:rsidR="00165917" w:rsidRPr="008B450A" w14:paraId="27821E2F" w14:textId="77777777" w:rsidTr="003B6327">
        <w:trPr>
          <w:trHeight w:val="283"/>
        </w:trPr>
        <w:tc>
          <w:tcPr>
            <w:tcW w:w="2430" w:type="pct"/>
            <w:vMerge/>
            <w:tcBorders>
              <w:top w:val="nil"/>
              <w:left w:val="nil"/>
              <w:right w:val="nil"/>
            </w:tcBorders>
            <w:shd w:val="clear" w:color="auto" w:fill="005CA9"/>
            <w:vAlign w:val="center"/>
            <w:hideMark/>
          </w:tcPr>
          <w:p w14:paraId="77B7CBCD" w14:textId="77777777" w:rsidR="008B450A" w:rsidRPr="008B450A" w:rsidRDefault="008B450A" w:rsidP="008B450A">
            <w:pPr>
              <w:rPr>
                <w:rFonts w:ascii="CAIXA Std Book" w:eastAsia="Times New Roman" w:hAnsi="CAIXA Std Book" w:cs="Times New Roman"/>
                <w:b/>
                <w:bCs/>
                <w:color w:val="FFFFFF"/>
                <w:sz w:val="18"/>
                <w:szCs w:val="18"/>
              </w:rPr>
            </w:pPr>
          </w:p>
        </w:tc>
        <w:tc>
          <w:tcPr>
            <w:tcW w:w="643" w:type="pct"/>
            <w:tcBorders>
              <w:top w:val="single" w:sz="4" w:space="0" w:color="FFFFFF" w:themeColor="background1"/>
              <w:left w:val="nil"/>
              <w:right w:val="nil"/>
            </w:tcBorders>
            <w:shd w:val="clear" w:color="auto" w:fill="005CA9"/>
            <w:vAlign w:val="center"/>
          </w:tcPr>
          <w:p w14:paraId="03882BF3" w14:textId="55773F9B" w:rsidR="00494DD6" w:rsidRPr="008B450A" w:rsidRDefault="00494DD6" w:rsidP="00494DD6">
            <w:pPr>
              <w:jc w:val="center"/>
              <w:rPr>
                <w:rFonts w:ascii="CAIXA Std Book" w:eastAsia="Times New Roman" w:hAnsi="CAIXA Std Book" w:cs="Times New Roman"/>
                <w:b/>
                <w:bCs/>
                <w:color w:val="FFFFFF"/>
                <w:sz w:val="18"/>
                <w:szCs w:val="18"/>
              </w:rPr>
            </w:pPr>
            <w:r w:rsidRPr="008B450A">
              <w:rPr>
                <w:rFonts w:ascii="CAIXA Std Book" w:eastAsia="Times New Roman" w:hAnsi="CAIXA Std Book" w:cs="Times New Roman"/>
                <w:b/>
                <w:bCs/>
                <w:color w:val="FFFFFF"/>
                <w:sz w:val="18"/>
                <w:szCs w:val="18"/>
              </w:rPr>
              <w:t>31/</w:t>
            </w:r>
            <w:r w:rsidR="009A6244">
              <w:rPr>
                <w:rFonts w:ascii="CAIXA Std Book" w:eastAsia="Times New Roman" w:hAnsi="CAIXA Std Book" w:cs="Times New Roman"/>
                <w:b/>
                <w:bCs/>
                <w:color w:val="FFFFFF"/>
                <w:sz w:val="18"/>
                <w:szCs w:val="18"/>
              </w:rPr>
              <w:t>03</w:t>
            </w:r>
            <w:r w:rsidRPr="008B450A">
              <w:rPr>
                <w:rFonts w:ascii="CAIXA Std Book" w:eastAsia="Times New Roman" w:hAnsi="CAIXA Std Book" w:cs="Times New Roman"/>
                <w:b/>
                <w:bCs/>
                <w:color w:val="FFFFFF"/>
                <w:sz w:val="18"/>
                <w:szCs w:val="18"/>
              </w:rPr>
              <w:t>/202</w:t>
            </w:r>
            <w:r>
              <w:rPr>
                <w:rFonts w:ascii="CAIXA Std Book" w:eastAsia="Times New Roman" w:hAnsi="CAIXA Std Book" w:cs="Times New Roman"/>
                <w:b/>
                <w:bCs/>
                <w:color w:val="FFFFFF"/>
                <w:sz w:val="18"/>
                <w:szCs w:val="18"/>
              </w:rPr>
              <w:t>6</w:t>
            </w:r>
          </w:p>
        </w:tc>
        <w:tc>
          <w:tcPr>
            <w:tcW w:w="644" w:type="pct"/>
            <w:tcBorders>
              <w:top w:val="single" w:sz="4" w:space="0" w:color="FFFFFF" w:themeColor="background1"/>
              <w:left w:val="nil"/>
              <w:right w:val="nil"/>
            </w:tcBorders>
            <w:shd w:val="clear" w:color="auto" w:fill="005CA9"/>
            <w:vAlign w:val="center"/>
          </w:tcPr>
          <w:p w14:paraId="1A0AC8E5" w14:textId="269EEE59" w:rsidR="00494DD6" w:rsidRPr="008B450A" w:rsidRDefault="00494DD6" w:rsidP="00494DD6">
            <w:pPr>
              <w:jc w:val="center"/>
              <w:rPr>
                <w:rFonts w:ascii="CAIXA Std Book" w:eastAsia="Times New Roman" w:hAnsi="CAIXA Std Book" w:cs="Times New Roman"/>
                <w:b/>
                <w:bCs/>
                <w:color w:val="FFFFFF"/>
                <w:sz w:val="18"/>
                <w:szCs w:val="18"/>
              </w:rPr>
            </w:pPr>
            <w:r w:rsidRPr="008B450A">
              <w:rPr>
                <w:rFonts w:ascii="CAIXA Std Book" w:eastAsia="Times New Roman" w:hAnsi="CAIXA Std Book" w:cs="Times New Roman"/>
                <w:b/>
                <w:bCs/>
                <w:color w:val="FFFFFF"/>
                <w:sz w:val="18"/>
                <w:szCs w:val="18"/>
              </w:rPr>
              <w:t>31/</w:t>
            </w:r>
            <w:r w:rsidR="00172399">
              <w:rPr>
                <w:rFonts w:ascii="CAIXA Std Book" w:eastAsia="Times New Roman" w:hAnsi="CAIXA Std Book" w:cs="Times New Roman"/>
                <w:b/>
                <w:bCs/>
                <w:color w:val="FFFFFF"/>
                <w:sz w:val="18"/>
                <w:szCs w:val="18"/>
              </w:rPr>
              <w:t>12</w:t>
            </w:r>
            <w:r w:rsidRPr="008B450A">
              <w:rPr>
                <w:rFonts w:ascii="CAIXA Std Book" w:eastAsia="Times New Roman" w:hAnsi="CAIXA Std Book" w:cs="Times New Roman"/>
                <w:b/>
                <w:bCs/>
                <w:color w:val="FFFFFF"/>
                <w:sz w:val="18"/>
                <w:szCs w:val="18"/>
              </w:rPr>
              <w:t>/202</w:t>
            </w:r>
            <w:r w:rsidR="00172399">
              <w:rPr>
                <w:rFonts w:ascii="CAIXA Std Book" w:eastAsia="Times New Roman" w:hAnsi="CAIXA Std Book" w:cs="Times New Roman"/>
                <w:b/>
                <w:bCs/>
                <w:color w:val="FFFFFF"/>
                <w:sz w:val="18"/>
                <w:szCs w:val="18"/>
              </w:rPr>
              <w:t>5</w:t>
            </w:r>
          </w:p>
        </w:tc>
        <w:tc>
          <w:tcPr>
            <w:tcW w:w="643" w:type="pct"/>
            <w:tcBorders>
              <w:top w:val="single" w:sz="4" w:space="0" w:color="FFFFFF" w:themeColor="background1"/>
              <w:left w:val="nil"/>
              <w:right w:val="nil"/>
            </w:tcBorders>
            <w:shd w:val="clear" w:color="auto" w:fill="005CA9"/>
            <w:vAlign w:val="center"/>
            <w:hideMark/>
          </w:tcPr>
          <w:p w14:paraId="61127A98" w14:textId="0504EE27" w:rsidR="008B450A" w:rsidRPr="008B450A" w:rsidRDefault="008B450A" w:rsidP="008B450A">
            <w:pPr>
              <w:jc w:val="center"/>
              <w:rPr>
                <w:rFonts w:ascii="CAIXA Std Book" w:eastAsia="Times New Roman" w:hAnsi="CAIXA Std Book" w:cs="Times New Roman"/>
                <w:b/>
                <w:bCs/>
                <w:color w:val="FFFFFF"/>
                <w:sz w:val="18"/>
                <w:szCs w:val="18"/>
              </w:rPr>
            </w:pPr>
            <w:r w:rsidRPr="008B450A">
              <w:rPr>
                <w:rFonts w:ascii="CAIXA Std Book" w:eastAsia="Times New Roman" w:hAnsi="CAIXA Std Book" w:cs="Times New Roman"/>
                <w:b/>
                <w:bCs/>
                <w:color w:val="FFFFFF"/>
                <w:sz w:val="18"/>
                <w:szCs w:val="18"/>
              </w:rPr>
              <w:t>31/</w:t>
            </w:r>
            <w:r w:rsidR="002344AC">
              <w:rPr>
                <w:rFonts w:ascii="CAIXA Std Book" w:eastAsia="Times New Roman" w:hAnsi="CAIXA Std Book" w:cs="Times New Roman"/>
                <w:b/>
                <w:bCs/>
                <w:color w:val="FFFFFF"/>
                <w:sz w:val="18"/>
                <w:szCs w:val="18"/>
              </w:rPr>
              <w:t>03</w:t>
            </w:r>
            <w:r w:rsidRPr="008B450A">
              <w:rPr>
                <w:rFonts w:ascii="CAIXA Std Book" w:eastAsia="Times New Roman" w:hAnsi="CAIXA Std Book" w:cs="Times New Roman"/>
                <w:b/>
                <w:bCs/>
                <w:color w:val="FFFFFF"/>
                <w:sz w:val="18"/>
                <w:szCs w:val="18"/>
              </w:rPr>
              <w:t>/202</w:t>
            </w:r>
            <w:r w:rsidR="002344AC">
              <w:rPr>
                <w:rFonts w:ascii="CAIXA Std Book" w:eastAsia="Times New Roman" w:hAnsi="CAIXA Std Book" w:cs="Times New Roman"/>
                <w:b/>
                <w:bCs/>
                <w:color w:val="FFFFFF"/>
                <w:sz w:val="18"/>
                <w:szCs w:val="18"/>
              </w:rPr>
              <w:t>6</w:t>
            </w:r>
          </w:p>
        </w:tc>
        <w:tc>
          <w:tcPr>
            <w:tcW w:w="640" w:type="pct"/>
            <w:tcBorders>
              <w:top w:val="single" w:sz="4" w:space="0" w:color="FFFFFF" w:themeColor="background1"/>
              <w:left w:val="nil"/>
              <w:right w:val="nil"/>
            </w:tcBorders>
            <w:shd w:val="clear" w:color="auto" w:fill="005CA9"/>
            <w:vAlign w:val="center"/>
            <w:hideMark/>
          </w:tcPr>
          <w:p w14:paraId="1CF614A1" w14:textId="77777777" w:rsidR="008B450A" w:rsidRPr="008B450A" w:rsidRDefault="008B450A" w:rsidP="008B450A">
            <w:pPr>
              <w:jc w:val="center"/>
              <w:rPr>
                <w:rFonts w:ascii="CAIXA Std Book" w:eastAsia="Times New Roman" w:hAnsi="CAIXA Std Book" w:cs="Times New Roman"/>
                <w:b/>
                <w:bCs/>
                <w:color w:val="FFFFFF"/>
                <w:sz w:val="18"/>
                <w:szCs w:val="18"/>
              </w:rPr>
            </w:pPr>
            <w:r w:rsidRPr="008B450A">
              <w:rPr>
                <w:rFonts w:ascii="CAIXA Std Book" w:eastAsia="Times New Roman" w:hAnsi="CAIXA Std Book" w:cs="Times New Roman"/>
                <w:b/>
                <w:bCs/>
                <w:color w:val="FFFFFF"/>
                <w:sz w:val="18"/>
                <w:szCs w:val="18"/>
              </w:rPr>
              <w:t>31/12/2025</w:t>
            </w:r>
          </w:p>
        </w:tc>
      </w:tr>
      <w:tr w:rsidR="00165917" w:rsidRPr="008B450A" w14:paraId="01B413FB" w14:textId="77777777" w:rsidTr="00EA48A6">
        <w:trPr>
          <w:trHeight w:val="283"/>
        </w:trPr>
        <w:tc>
          <w:tcPr>
            <w:tcW w:w="2430" w:type="pct"/>
            <w:tcBorders>
              <w:top w:val="nil"/>
              <w:left w:val="nil"/>
              <w:bottom w:val="nil"/>
              <w:right w:val="nil"/>
            </w:tcBorders>
            <w:shd w:val="clear" w:color="auto" w:fill="D0E0E3"/>
            <w:noWrap/>
            <w:vAlign w:val="center"/>
            <w:hideMark/>
          </w:tcPr>
          <w:p w14:paraId="45CCC5AB" w14:textId="77777777" w:rsidR="008B450A" w:rsidRPr="008B450A" w:rsidRDefault="008B450A" w:rsidP="008B450A">
            <w:pPr>
              <w:rPr>
                <w:rFonts w:ascii="CAIXA Std Book" w:eastAsia="Times New Roman" w:hAnsi="CAIXA Std Book" w:cs="Times New Roman"/>
                <w:b/>
                <w:bCs/>
                <w:color w:val="005CA9"/>
                <w:sz w:val="18"/>
                <w:szCs w:val="18"/>
              </w:rPr>
            </w:pPr>
            <w:r w:rsidRPr="008B450A">
              <w:rPr>
                <w:rFonts w:ascii="CAIXA Std Book" w:eastAsia="Times New Roman" w:hAnsi="CAIXA Std Book" w:cs="Times New Roman"/>
                <w:b/>
                <w:bCs/>
                <w:color w:val="005CA9"/>
                <w:sz w:val="18"/>
                <w:szCs w:val="18"/>
              </w:rPr>
              <w:t>Passivo fiscal diferido no resultado</w:t>
            </w:r>
          </w:p>
        </w:tc>
        <w:tc>
          <w:tcPr>
            <w:tcW w:w="643" w:type="pct"/>
            <w:tcBorders>
              <w:top w:val="nil"/>
              <w:left w:val="nil"/>
              <w:bottom w:val="nil"/>
              <w:right w:val="nil"/>
            </w:tcBorders>
            <w:shd w:val="clear" w:color="auto" w:fill="D0E0E3"/>
            <w:vAlign w:val="center"/>
          </w:tcPr>
          <w:p w14:paraId="7772590A" w14:textId="04C60DC5" w:rsidR="00494DD6" w:rsidRPr="00B53071" w:rsidRDefault="00406432" w:rsidP="00494DD6">
            <w:pPr>
              <w:jc w:val="right"/>
              <w:rPr>
                <w:rFonts w:ascii="CAIXA Std Book" w:hAnsi="CAIXA Std Book" w:cs="Arial"/>
                <w:b/>
                <w:color w:val="005CA9"/>
                <w:sz w:val="18"/>
                <w:szCs w:val="18"/>
              </w:rPr>
            </w:pPr>
            <w:r>
              <w:rPr>
                <w:rFonts w:ascii="CAIXA Std Book" w:hAnsi="CAIXA Std Book" w:cs="Arial"/>
                <w:b/>
                <w:bCs/>
                <w:color w:val="005CA9"/>
                <w:sz w:val="18"/>
                <w:szCs w:val="18"/>
              </w:rPr>
              <w:t>4.031.366</w:t>
            </w:r>
          </w:p>
        </w:tc>
        <w:tc>
          <w:tcPr>
            <w:tcW w:w="644" w:type="pct"/>
            <w:tcBorders>
              <w:top w:val="nil"/>
              <w:left w:val="nil"/>
              <w:bottom w:val="nil"/>
              <w:right w:val="nil"/>
            </w:tcBorders>
            <w:shd w:val="clear" w:color="auto" w:fill="D0E0E3"/>
            <w:vAlign w:val="center"/>
          </w:tcPr>
          <w:p w14:paraId="78CEC698" w14:textId="2C9F5464" w:rsidR="00494DD6" w:rsidRPr="00B53071" w:rsidRDefault="00EA48A6" w:rsidP="00494DD6">
            <w:pPr>
              <w:jc w:val="right"/>
              <w:rPr>
                <w:rFonts w:ascii="CAIXA Std Book" w:hAnsi="CAIXA Std Book" w:cs="Arial"/>
                <w:b/>
                <w:color w:val="005CA9"/>
                <w:sz w:val="18"/>
                <w:szCs w:val="18"/>
              </w:rPr>
            </w:pPr>
            <w:r w:rsidRPr="00B53071">
              <w:rPr>
                <w:rFonts w:ascii="CAIXA Std Book" w:hAnsi="CAIXA Std Book" w:cs="Arial"/>
                <w:b/>
                <w:color w:val="005CA9"/>
                <w:sz w:val="18"/>
                <w:szCs w:val="18"/>
              </w:rPr>
              <w:t>3.672.740</w:t>
            </w:r>
          </w:p>
        </w:tc>
        <w:tc>
          <w:tcPr>
            <w:tcW w:w="643" w:type="pct"/>
            <w:tcBorders>
              <w:top w:val="nil"/>
              <w:left w:val="nil"/>
              <w:bottom w:val="nil"/>
              <w:right w:val="nil"/>
            </w:tcBorders>
            <w:shd w:val="clear" w:color="auto" w:fill="D0E0E3"/>
            <w:noWrap/>
            <w:vAlign w:val="center"/>
          </w:tcPr>
          <w:p w14:paraId="5BC80DBB" w14:textId="25B19D7E" w:rsidR="008B450A" w:rsidRPr="00B53071" w:rsidRDefault="00157293" w:rsidP="008B450A">
            <w:pPr>
              <w:jc w:val="right"/>
              <w:rPr>
                <w:rFonts w:ascii="CAIXA Std Book" w:hAnsi="CAIXA Std Book" w:cs="Arial"/>
                <w:b/>
                <w:color w:val="005CA9"/>
                <w:sz w:val="18"/>
                <w:szCs w:val="18"/>
              </w:rPr>
            </w:pPr>
            <w:r>
              <w:rPr>
                <w:rFonts w:ascii="CAIXA Std Book" w:hAnsi="CAIXA Std Book" w:cs="Arial"/>
                <w:b/>
                <w:bCs/>
                <w:color w:val="005CA9"/>
                <w:sz w:val="18"/>
                <w:szCs w:val="18"/>
              </w:rPr>
              <w:t>4.035.756</w:t>
            </w:r>
          </w:p>
        </w:tc>
        <w:tc>
          <w:tcPr>
            <w:tcW w:w="640" w:type="pct"/>
            <w:tcBorders>
              <w:top w:val="nil"/>
              <w:left w:val="nil"/>
              <w:bottom w:val="nil"/>
              <w:right w:val="nil"/>
            </w:tcBorders>
            <w:shd w:val="clear" w:color="auto" w:fill="D0E0E3"/>
            <w:noWrap/>
            <w:vAlign w:val="center"/>
          </w:tcPr>
          <w:p w14:paraId="24C3AC42" w14:textId="62457ADD" w:rsidR="008B450A" w:rsidRPr="00B53071" w:rsidRDefault="008B450A" w:rsidP="008B450A">
            <w:pPr>
              <w:jc w:val="right"/>
              <w:rPr>
                <w:rFonts w:ascii="CAIXA Std Book" w:hAnsi="CAIXA Std Book" w:cs="Arial"/>
                <w:b/>
                <w:color w:val="005CA9"/>
                <w:sz w:val="18"/>
                <w:szCs w:val="18"/>
              </w:rPr>
            </w:pPr>
            <w:r w:rsidRPr="00B53071">
              <w:rPr>
                <w:rFonts w:ascii="CAIXA Std Book" w:hAnsi="CAIXA Std Book" w:cs="Arial"/>
                <w:b/>
                <w:color w:val="005CA9"/>
                <w:sz w:val="18"/>
                <w:szCs w:val="18"/>
              </w:rPr>
              <w:t>3.673.238</w:t>
            </w:r>
          </w:p>
        </w:tc>
      </w:tr>
      <w:tr w:rsidR="00165917" w:rsidRPr="008B450A" w14:paraId="32871827" w14:textId="77777777" w:rsidTr="00EA48A6">
        <w:trPr>
          <w:trHeight w:val="283"/>
        </w:trPr>
        <w:tc>
          <w:tcPr>
            <w:tcW w:w="2430" w:type="pct"/>
            <w:tcBorders>
              <w:top w:val="nil"/>
              <w:left w:val="nil"/>
              <w:bottom w:val="nil"/>
              <w:right w:val="nil"/>
            </w:tcBorders>
            <w:vAlign w:val="center"/>
            <w:hideMark/>
          </w:tcPr>
          <w:p w14:paraId="746F39E8" w14:textId="77777777" w:rsidR="008B450A" w:rsidRPr="008B450A" w:rsidRDefault="008B450A" w:rsidP="008B450A">
            <w:pPr>
              <w:rPr>
                <w:rFonts w:ascii="CAIXA Std Book" w:eastAsia="Times New Roman" w:hAnsi="CAIXA Std Book" w:cs="Times New Roman"/>
                <w:color w:val="005CA9"/>
                <w:sz w:val="18"/>
                <w:szCs w:val="18"/>
              </w:rPr>
            </w:pPr>
            <w:r w:rsidRPr="008B450A">
              <w:rPr>
                <w:rFonts w:ascii="CAIXA Std Book" w:eastAsia="Times New Roman" w:hAnsi="CAIXA Std Book" w:cs="Times New Roman"/>
                <w:color w:val="005CA9"/>
                <w:sz w:val="18"/>
                <w:szCs w:val="18"/>
              </w:rPr>
              <w:t>Ajustes a valor justo de títulos VJR</w:t>
            </w:r>
          </w:p>
        </w:tc>
        <w:tc>
          <w:tcPr>
            <w:tcW w:w="643" w:type="pct"/>
            <w:tcBorders>
              <w:top w:val="nil"/>
              <w:left w:val="nil"/>
              <w:bottom w:val="nil"/>
              <w:right w:val="nil"/>
            </w:tcBorders>
            <w:vAlign w:val="center"/>
          </w:tcPr>
          <w:p w14:paraId="14C50D65" w14:textId="308AB9AB" w:rsidR="00494DD6" w:rsidRPr="008B450A" w:rsidRDefault="006917D1" w:rsidP="00494DD6">
            <w:pPr>
              <w:jc w:val="right"/>
              <w:rPr>
                <w:rFonts w:ascii="CAIXA Std Book" w:eastAsia="Times New Roman" w:hAnsi="CAIXA Std Book" w:cs="Arial"/>
                <w:color w:val="005CA9"/>
                <w:sz w:val="18"/>
                <w:szCs w:val="18"/>
              </w:rPr>
            </w:pPr>
            <w:r>
              <w:rPr>
                <w:rFonts w:ascii="CAIXA Std Book" w:hAnsi="CAIXA Std Book" w:cs="Arial"/>
                <w:color w:val="005CA9"/>
                <w:sz w:val="18"/>
                <w:szCs w:val="18"/>
              </w:rPr>
              <w:t>371.842</w:t>
            </w:r>
          </w:p>
        </w:tc>
        <w:tc>
          <w:tcPr>
            <w:tcW w:w="644" w:type="pct"/>
            <w:tcBorders>
              <w:top w:val="nil"/>
              <w:left w:val="nil"/>
              <w:bottom w:val="nil"/>
              <w:right w:val="nil"/>
            </w:tcBorders>
            <w:vAlign w:val="center"/>
          </w:tcPr>
          <w:p w14:paraId="669FA678" w14:textId="777540C3" w:rsidR="00494DD6" w:rsidRPr="008B450A" w:rsidRDefault="00EA48A6" w:rsidP="00494DD6">
            <w:pPr>
              <w:jc w:val="right"/>
              <w:rPr>
                <w:rFonts w:ascii="CAIXA Std Book" w:eastAsia="Times New Roman" w:hAnsi="CAIXA Std Book" w:cs="Arial"/>
                <w:color w:val="005CA9"/>
                <w:sz w:val="18"/>
                <w:szCs w:val="18"/>
              </w:rPr>
            </w:pPr>
            <w:r w:rsidRPr="008B450A">
              <w:rPr>
                <w:rFonts w:ascii="CAIXA Std Book" w:eastAsia="Times New Roman" w:hAnsi="CAIXA Std Book" w:cs="Arial"/>
                <w:color w:val="005CA9"/>
                <w:sz w:val="18"/>
                <w:szCs w:val="18"/>
              </w:rPr>
              <w:t>98.694</w:t>
            </w:r>
          </w:p>
        </w:tc>
        <w:tc>
          <w:tcPr>
            <w:tcW w:w="643" w:type="pct"/>
            <w:tcBorders>
              <w:top w:val="nil"/>
              <w:left w:val="nil"/>
              <w:bottom w:val="nil"/>
              <w:right w:val="nil"/>
            </w:tcBorders>
            <w:noWrap/>
            <w:vAlign w:val="center"/>
          </w:tcPr>
          <w:p w14:paraId="6A0D5C30" w14:textId="4393E076" w:rsidR="008B450A" w:rsidRPr="008B450A" w:rsidRDefault="006917D1" w:rsidP="008B450A">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371.842</w:t>
            </w:r>
          </w:p>
        </w:tc>
        <w:tc>
          <w:tcPr>
            <w:tcW w:w="640" w:type="pct"/>
            <w:tcBorders>
              <w:top w:val="nil"/>
              <w:left w:val="nil"/>
              <w:bottom w:val="nil"/>
              <w:right w:val="nil"/>
            </w:tcBorders>
            <w:noWrap/>
            <w:vAlign w:val="center"/>
          </w:tcPr>
          <w:p w14:paraId="1D96855E" w14:textId="1E875D02" w:rsidR="008B450A" w:rsidRPr="008B450A" w:rsidRDefault="008B450A" w:rsidP="008B450A">
            <w:pPr>
              <w:jc w:val="right"/>
              <w:rPr>
                <w:rFonts w:ascii="CAIXA Std Book" w:eastAsia="Times New Roman" w:hAnsi="CAIXA Std Book" w:cs="Times New Roman"/>
                <w:color w:val="005CA9"/>
                <w:sz w:val="18"/>
                <w:szCs w:val="18"/>
              </w:rPr>
            </w:pPr>
            <w:r w:rsidRPr="008B450A">
              <w:rPr>
                <w:rFonts w:ascii="CAIXA Std Book" w:eastAsia="Times New Roman" w:hAnsi="CAIXA Std Book" w:cs="Arial"/>
                <w:color w:val="005CA9"/>
                <w:sz w:val="18"/>
                <w:szCs w:val="18"/>
              </w:rPr>
              <w:t>98.694</w:t>
            </w:r>
          </w:p>
        </w:tc>
      </w:tr>
      <w:tr w:rsidR="00165917" w:rsidRPr="008B450A" w14:paraId="059BA826" w14:textId="77777777" w:rsidTr="00EA48A6">
        <w:trPr>
          <w:trHeight w:val="283"/>
        </w:trPr>
        <w:tc>
          <w:tcPr>
            <w:tcW w:w="2430" w:type="pct"/>
            <w:tcBorders>
              <w:top w:val="nil"/>
              <w:left w:val="nil"/>
              <w:bottom w:val="nil"/>
              <w:right w:val="nil"/>
            </w:tcBorders>
            <w:vAlign w:val="center"/>
            <w:hideMark/>
          </w:tcPr>
          <w:p w14:paraId="03B66212" w14:textId="77777777" w:rsidR="008B450A" w:rsidRPr="008B450A" w:rsidRDefault="008B450A" w:rsidP="008B450A">
            <w:pPr>
              <w:rPr>
                <w:rFonts w:ascii="CAIXA Std Book" w:eastAsia="Times New Roman" w:hAnsi="CAIXA Std Book" w:cs="Times New Roman"/>
                <w:color w:val="005CA9"/>
                <w:sz w:val="18"/>
                <w:szCs w:val="18"/>
              </w:rPr>
            </w:pPr>
            <w:r w:rsidRPr="008B450A">
              <w:rPr>
                <w:rFonts w:ascii="CAIXA Std Book" w:eastAsia="Times New Roman" w:hAnsi="CAIXA Std Book" w:cs="Times New Roman"/>
                <w:color w:val="005CA9"/>
                <w:sz w:val="18"/>
                <w:szCs w:val="18"/>
              </w:rPr>
              <w:t>Atualização monetária de depósitos em garantia</w:t>
            </w:r>
          </w:p>
        </w:tc>
        <w:tc>
          <w:tcPr>
            <w:tcW w:w="643" w:type="pct"/>
            <w:tcBorders>
              <w:top w:val="nil"/>
              <w:left w:val="nil"/>
              <w:bottom w:val="nil"/>
              <w:right w:val="nil"/>
            </w:tcBorders>
            <w:vAlign w:val="center"/>
          </w:tcPr>
          <w:p w14:paraId="2B782190" w14:textId="5501AF09" w:rsidR="00494DD6" w:rsidRPr="008B450A" w:rsidRDefault="006917D1" w:rsidP="00494DD6">
            <w:pPr>
              <w:jc w:val="right"/>
              <w:rPr>
                <w:rFonts w:ascii="CAIXA Std Book" w:eastAsia="Times New Roman" w:hAnsi="CAIXA Std Book" w:cs="Arial"/>
                <w:color w:val="005CA9"/>
                <w:sz w:val="18"/>
                <w:szCs w:val="18"/>
              </w:rPr>
            </w:pPr>
            <w:r>
              <w:rPr>
                <w:rFonts w:ascii="CAIXA Std Book" w:hAnsi="CAIXA Std Book" w:cs="Arial"/>
                <w:color w:val="005CA9"/>
                <w:sz w:val="18"/>
                <w:szCs w:val="18"/>
              </w:rPr>
              <w:t>3.604.584</w:t>
            </w:r>
          </w:p>
        </w:tc>
        <w:tc>
          <w:tcPr>
            <w:tcW w:w="644" w:type="pct"/>
            <w:tcBorders>
              <w:top w:val="nil"/>
              <w:left w:val="nil"/>
              <w:bottom w:val="nil"/>
              <w:right w:val="nil"/>
            </w:tcBorders>
            <w:vAlign w:val="center"/>
          </w:tcPr>
          <w:p w14:paraId="3AAC5BB8" w14:textId="68428122" w:rsidR="00494DD6" w:rsidRPr="008B450A" w:rsidRDefault="00EA48A6" w:rsidP="00494DD6">
            <w:pPr>
              <w:jc w:val="right"/>
              <w:rPr>
                <w:rFonts w:ascii="CAIXA Std Book" w:eastAsia="Times New Roman" w:hAnsi="CAIXA Std Book" w:cs="Arial"/>
                <w:color w:val="005CA9"/>
                <w:sz w:val="18"/>
                <w:szCs w:val="18"/>
              </w:rPr>
            </w:pPr>
            <w:r w:rsidRPr="008B450A">
              <w:rPr>
                <w:rFonts w:ascii="CAIXA Std Book" w:eastAsia="Times New Roman" w:hAnsi="CAIXA Std Book" w:cs="Arial"/>
                <w:color w:val="005CA9"/>
                <w:sz w:val="18"/>
                <w:szCs w:val="18"/>
              </w:rPr>
              <w:t>3.519.739</w:t>
            </w:r>
          </w:p>
        </w:tc>
        <w:tc>
          <w:tcPr>
            <w:tcW w:w="643" w:type="pct"/>
            <w:tcBorders>
              <w:top w:val="nil"/>
              <w:left w:val="nil"/>
              <w:bottom w:val="nil"/>
              <w:right w:val="nil"/>
            </w:tcBorders>
            <w:noWrap/>
            <w:vAlign w:val="center"/>
          </w:tcPr>
          <w:p w14:paraId="06DCEE1C" w14:textId="1B16F90B" w:rsidR="008B450A" w:rsidRPr="008B450A" w:rsidRDefault="006917D1" w:rsidP="008B450A">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3.604.584</w:t>
            </w:r>
          </w:p>
        </w:tc>
        <w:tc>
          <w:tcPr>
            <w:tcW w:w="640" w:type="pct"/>
            <w:tcBorders>
              <w:top w:val="nil"/>
              <w:left w:val="nil"/>
              <w:bottom w:val="nil"/>
              <w:right w:val="nil"/>
            </w:tcBorders>
            <w:noWrap/>
            <w:vAlign w:val="center"/>
          </w:tcPr>
          <w:p w14:paraId="64A76A08" w14:textId="4A07DEB5" w:rsidR="008B450A" w:rsidRPr="008B450A" w:rsidRDefault="008B450A" w:rsidP="008B450A">
            <w:pPr>
              <w:jc w:val="right"/>
              <w:rPr>
                <w:rFonts w:ascii="CAIXA Std Book" w:eastAsia="Times New Roman" w:hAnsi="CAIXA Std Book" w:cs="Times New Roman"/>
                <w:color w:val="005CA9"/>
                <w:sz w:val="18"/>
                <w:szCs w:val="18"/>
              </w:rPr>
            </w:pPr>
            <w:r w:rsidRPr="008B450A">
              <w:rPr>
                <w:rFonts w:ascii="CAIXA Std Book" w:eastAsia="Times New Roman" w:hAnsi="CAIXA Std Book" w:cs="Arial"/>
                <w:color w:val="005CA9"/>
                <w:sz w:val="18"/>
                <w:szCs w:val="18"/>
              </w:rPr>
              <w:t>3.519.739</w:t>
            </w:r>
          </w:p>
        </w:tc>
      </w:tr>
      <w:tr w:rsidR="00165917" w:rsidRPr="008B450A" w14:paraId="311FE3B9" w14:textId="77777777" w:rsidTr="00EA48A6">
        <w:trPr>
          <w:trHeight w:val="283"/>
        </w:trPr>
        <w:tc>
          <w:tcPr>
            <w:tcW w:w="2430" w:type="pct"/>
            <w:tcBorders>
              <w:top w:val="nil"/>
              <w:left w:val="nil"/>
              <w:bottom w:val="nil"/>
              <w:right w:val="nil"/>
            </w:tcBorders>
            <w:vAlign w:val="center"/>
            <w:hideMark/>
          </w:tcPr>
          <w:p w14:paraId="3F8E7B38" w14:textId="77777777" w:rsidR="008B450A" w:rsidRPr="008B450A" w:rsidRDefault="008B450A" w:rsidP="008B450A">
            <w:pPr>
              <w:rPr>
                <w:rFonts w:ascii="CAIXA Std Book" w:eastAsia="Times New Roman" w:hAnsi="CAIXA Std Book" w:cs="Times New Roman"/>
                <w:color w:val="005CA9"/>
                <w:sz w:val="18"/>
                <w:szCs w:val="18"/>
              </w:rPr>
            </w:pPr>
            <w:r w:rsidRPr="008B450A">
              <w:rPr>
                <w:rFonts w:ascii="CAIXA Std Book" w:eastAsia="Times New Roman" w:hAnsi="CAIXA Std Book" w:cs="Times New Roman"/>
                <w:color w:val="005CA9"/>
                <w:sz w:val="18"/>
                <w:szCs w:val="18"/>
              </w:rPr>
              <w:t>Outras</w:t>
            </w:r>
          </w:p>
        </w:tc>
        <w:tc>
          <w:tcPr>
            <w:tcW w:w="643" w:type="pct"/>
            <w:tcBorders>
              <w:top w:val="nil"/>
              <w:left w:val="nil"/>
              <w:bottom w:val="nil"/>
              <w:right w:val="nil"/>
            </w:tcBorders>
            <w:vAlign w:val="center"/>
          </w:tcPr>
          <w:p w14:paraId="31273807" w14:textId="3CA4C4E9" w:rsidR="00494DD6" w:rsidRPr="008B450A" w:rsidRDefault="006917D1" w:rsidP="00494DD6">
            <w:pPr>
              <w:jc w:val="right"/>
              <w:rPr>
                <w:rFonts w:ascii="CAIXA Std Book" w:eastAsia="Times New Roman" w:hAnsi="CAIXA Std Book" w:cs="Arial"/>
                <w:color w:val="005CA9"/>
                <w:sz w:val="18"/>
                <w:szCs w:val="18"/>
              </w:rPr>
            </w:pPr>
            <w:r>
              <w:rPr>
                <w:rFonts w:ascii="CAIXA Std Book" w:hAnsi="CAIXA Std Book" w:cs="Arial"/>
                <w:color w:val="005CA9"/>
                <w:sz w:val="18"/>
                <w:szCs w:val="18"/>
              </w:rPr>
              <w:t>54.940</w:t>
            </w:r>
          </w:p>
        </w:tc>
        <w:tc>
          <w:tcPr>
            <w:tcW w:w="644" w:type="pct"/>
            <w:tcBorders>
              <w:top w:val="nil"/>
              <w:left w:val="nil"/>
              <w:bottom w:val="nil"/>
              <w:right w:val="nil"/>
            </w:tcBorders>
            <w:vAlign w:val="center"/>
          </w:tcPr>
          <w:p w14:paraId="489D3188" w14:textId="5A60DEC6" w:rsidR="00494DD6" w:rsidRPr="008B450A" w:rsidRDefault="00EA48A6" w:rsidP="00494DD6">
            <w:pPr>
              <w:jc w:val="right"/>
              <w:rPr>
                <w:rFonts w:ascii="CAIXA Std Book" w:eastAsia="Times New Roman" w:hAnsi="CAIXA Std Book" w:cs="Arial"/>
                <w:color w:val="005CA9"/>
                <w:sz w:val="18"/>
                <w:szCs w:val="18"/>
              </w:rPr>
            </w:pPr>
            <w:r w:rsidRPr="008B450A">
              <w:rPr>
                <w:rFonts w:ascii="CAIXA Std Book" w:eastAsia="Times New Roman" w:hAnsi="CAIXA Std Book" w:cs="Arial"/>
                <w:color w:val="005CA9"/>
                <w:sz w:val="18"/>
                <w:szCs w:val="18"/>
              </w:rPr>
              <w:t>54.307</w:t>
            </w:r>
          </w:p>
        </w:tc>
        <w:tc>
          <w:tcPr>
            <w:tcW w:w="643" w:type="pct"/>
            <w:tcBorders>
              <w:top w:val="nil"/>
              <w:left w:val="nil"/>
              <w:bottom w:val="nil"/>
              <w:right w:val="nil"/>
            </w:tcBorders>
            <w:noWrap/>
            <w:vAlign w:val="center"/>
          </w:tcPr>
          <w:p w14:paraId="5819DCC6" w14:textId="5B5CDD3B" w:rsidR="008B450A" w:rsidRPr="008B450A" w:rsidRDefault="006917D1" w:rsidP="008B450A">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59.330</w:t>
            </w:r>
          </w:p>
        </w:tc>
        <w:tc>
          <w:tcPr>
            <w:tcW w:w="640" w:type="pct"/>
            <w:tcBorders>
              <w:top w:val="nil"/>
              <w:left w:val="nil"/>
              <w:bottom w:val="nil"/>
              <w:right w:val="nil"/>
            </w:tcBorders>
            <w:noWrap/>
            <w:vAlign w:val="center"/>
          </w:tcPr>
          <w:p w14:paraId="73377211" w14:textId="2AF79C73" w:rsidR="008B450A" w:rsidRPr="008B450A" w:rsidRDefault="008B450A" w:rsidP="008B450A">
            <w:pPr>
              <w:jc w:val="right"/>
              <w:rPr>
                <w:rFonts w:ascii="CAIXA Std Book" w:eastAsia="Times New Roman" w:hAnsi="CAIXA Std Book" w:cs="Times New Roman"/>
                <w:color w:val="005CA9"/>
                <w:sz w:val="18"/>
                <w:szCs w:val="18"/>
              </w:rPr>
            </w:pPr>
            <w:r w:rsidRPr="008B450A">
              <w:rPr>
                <w:rFonts w:ascii="CAIXA Std Book" w:eastAsia="Times New Roman" w:hAnsi="CAIXA Std Book" w:cs="Arial"/>
                <w:color w:val="005CA9"/>
                <w:sz w:val="18"/>
                <w:szCs w:val="18"/>
              </w:rPr>
              <w:t>54.805</w:t>
            </w:r>
          </w:p>
        </w:tc>
      </w:tr>
      <w:tr w:rsidR="00165917" w:rsidRPr="008B450A" w14:paraId="4054A07D" w14:textId="77777777" w:rsidTr="00EA48A6">
        <w:trPr>
          <w:trHeight w:val="283"/>
        </w:trPr>
        <w:tc>
          <w:tcPr>
            <w:tcW w:w="2430" w:type="pct"/>
            <w:tcBorders>
              <w:top w:val="nil"/>
              <w:left w:val="nil"/>
              <w:bottom w:val="nil"/>
              <w:right w:val="nil"/>
            </w:tcBorders>
            <w:shd w:val="clear" w:color="auto" w:fill="D0E0E3"/>
            <w:noWrap/>
            <w:vAlign w:val="center"/>
            <w:hideMark/>
          </w:tcPr>
          <w:p w14:paraId="2F6FF943" w14:textId="77777777" w:rsidR="008B450A" w:rsidRPr="008B450A" w:rsidRDefault="008B450A" w:rsidP="008B450A">
            <w:pPr>
              <w:rPr>
                <w:rFonts w:ascii="CAIXA Std Book" w:eastAsia="Times New Roman" w:hAnsi="CAIXA Std Book" w:cs="Times New Roman"/>
                <w:b/>
                <w:bCs/>
                <w:color w:val="005CA9"/>
                <w:sz w:val="18"/>
                <w:szCs w:val="18"/>
              </w:rPr>
            </w:pPr>
            <w:r w:rsidRPr="008B450A">
              <w:rPr>
                <w:rFonts w:ascii="CAIXA Std Book" w:eastAsia="Times New Roman" w:hAnsi="CAIXA Std Book" w:cs="Times New Roman"/>
                <w:b/>
                <w:bCs/>
                <w:color w:val="005CA9"/>
                <w:sz w:val="18"/>
                <w:szCs w:val="18"/>
              </w:rPr>
              <w:t>Passivo fiscal diferido no PL</w:t>
            </w:r>
          </w:p>
        </w:tc>
        <w:tc>
          <w:tcPr>
            <w:tcW w:w="643" w:type="pct"/>
            <w:tcBorders>
              <w:top w:val="nil"/>
              <w:left w:val="nil"/>
              <w:bottom w:val="nil"/>
              <w:right w:val="nil"/>
            </w:tcBorders>
            <w:shd w:val="clear" w:color="auto" w:fill="D0E0E3"/>
            <w:vAlign w:val="center"/>
          </w:tcPr>
          <w:p w14:paraId="207097DF" w14:textId="3A502A50" w:rsidR="00494DD6" w:rsidRPr="008B450A" w:rsidRDefault="00360CBA" w:rsidP="00494DD6">
            <w:pPr>
              <w:jc w:val="right"/>
              <w:rPr>
                <w:rFonts w:ascii="CAIXA Std Book" w:eastAsia="Times New Roman" w:hAnsi="CAIXA Std Book" w:cs="Arial"/>
                <w:b/>
                <w:bCs/>
                <w:color w:val="005CA9"/>
                <w:sz w:val="18"/>
                <w:szCs w:val="18"/>
              </w:rPr>
            </w:pPr>
            <w:r>
              <w:rPr>
                <w:rFonts w:ascii="CAIXA Std Book" w:hAnsi="CAIXA Std Book" w:cs="Arial"/>
                <w:b/>
                <w:bCs/>
                <w:color w:val="005CA9"/>
                <w:sz w:val="18"/>
                <w:szCs w:val="18"/>
              </w:rPr>
              <w:t>613.561</w:t>
            </w:r>
          </w:p>
        </w:tc>
        <w:tc>
          <w:tcPr>
            <w:tcW w:w="644" w:type="pct"/>
            <w:tcBorders>
              <w:top w:val="nil"/>
              <w:left w:val="nil"/>
              <w:bottom w:val="nil"/>
              <w:right w:val="nil"/>
            </w:tcBorders>
            <w:shd w:val="clear" w:color="auto" w:fill="D0E0E3"/>
            <w:vAlign w:val="center"/>
          </w:tcPr>
          <w:p w14:paraId="1A7F0361" w14:textId="514F4192" w:rsidR="00494DD6" w:rsidRPr="008B450A" w:rsidRDefault="00EA48A6" w:rsidP="00494DD6">
            <w:pPr>
              <w:jc w:val="right"/>
              <w:rPr>
                <w:rFonts w:ascii="CAIXA Std Book" w:eastAsia="Times New Roman" w:hAnsi="CAIXA Std Book" w:cs="Arial"/>
                <w:b/>
                <w:bCs/>
                <w:color w:val="005CA9"/>
                <w:sz w:val="18"/>
                <w:szCs w:val="18"/>
              </w:rPr>
            </w:pPr>
            <w:r w:rsidRPr="008B450A">
              <w:rPr>
                <w:rFonts w:ascii="CAIXA Std Book" w:eastAsia="Times New Roman" w:hAnsi="CAIXA Std Book" w:cs="Arial"/>
                <w:b/>
                <w:bCs/>
                <w:color w:val="005CA9"/>
                <w:sz w:val="18"/>
                <w:szCs w:val="18"/>
              </w:rPr>
              <w:t>804.884</w:t>
            </w:r>
          </w:p>
        </w:tc>
        <w:tc>
          <w:tcPr>
            <w:tcW w:w="643" w:type="pct"/>
            <w:tcBorders>
              <w:top w:val="nil"/>
              <w:left w:val="nil"/>
              <w:bottom w:val="nil"/>
              <w:right w:val="nil"/>
            </w:tcBorders>
            <w:shd w:val="clear" w:color="auto" w:fill="D0E0E3"/>
            <w:noWrap/>
            <w:vAlign w:val="center"/>
          </w:tcPr>
          <w:p w14:paraId="75BA5CFF" w14:textId="4D328E06" w:rsidR="008B450A" w:rsidRPr="008B450A" w:rsidRDefault="00157293" w:rsidP="008B450A">
            <w:pPr>
              <w:jc w:val="right"/>
              <w:rPr>
                <w:rFonts w:ascii="CAIXA Std Book" w:eastAsia="Times New Roman" w:hAnsi="CAIXA Std Book" w:cs="Times New Roman"/>
                <w:b/>
                <w:bCs/>
                <w:color w:val="005CA9"/>
                <w:sz w:val="18"/>
                <w:szCs w:val="18"/>
              </w:rPr>
            </w:pPr>
            <w:r>
              <w:rPr>
                <w:rFonts w:ascii="CAIXA Std Book" w:hAnsi="CAIXA Std Book" w:cs="Arial"/>
                <w:b/>
                <w:bCs/>
                <w:color w:val="005CA9"/>
                <w:sz w:val="18"/>
                <w:szCs w:val="18"/>
              </w:rPr>
              <w:t>613.561</w:t>
            </w:r>
          </w:p>
        </w:tc>
        <w:tc>
          <w:tcPr>
            <w:tcW w:w="640" w:type="pct"/>
            <w:tcBorders>
              <w:top w:val="nil"/>
              <w:left w:val="nil"/>
              <w:bottom w:val="nil"/>
              <w:right w:val="nil"/>
            </w:tcBorders>
            <w:shd w:val="clear" w:color="auto" w:fill="D0E0E3"/>
            <w:noWrap/>
            <w:vAlign w:val="center"/>
          </w:tcPr>
          <w:p w14:paraId="098EA4CA" w14:textId="7839A152" w:rsidR="008B450A" w:rsidRPr="008B450A" w:rsidRDefault="008B450A" w:rsidP="008B450A">
            <w:pPr>
              <w:jc w:val="right"/>
              <w:rPr>
                <w:rFonts w:ascii="CAIXA Std Book" w:eastAsia="Times New Roman" w:hAnsi="CAIXA Std Book" w:cs="Times New Roman"/>
                <w:b/>
                <w:bCs/>
                <w:color w:val="005CA9"/>
                <w:sz w:val="18"/>
                <w:szCs w:val="18"/>
              </w:rPr>
            </w:pPr>
            <w:r w:rsidRPr="008B450A">
              <w:rPr>
                <w:rFonts w:ascii="CAIXA Std Book" w:eastAsia="Times New Roman" w:hAnsi="CAIXA Std Book" w:cs="Arial"/>
                <w:b/>
                <w:bCs/>
                <w:color w:val="005CA9"/>
                <w:sz w:val="18"/>
                <w:szCs w:val="18"/>
              </w:rPr>
              <w:t>804.884</w:t>
            </w:r>
          </w:p>
        </w:tc>
      </w:tr>
      <w:tr w:rsidR="00165917" w:rsidRPr="008B450A" w14:paraId="1C243CFD" w14:textId="77777777" w:rsidTr="00EA48A6">
        <w:trPr>
          <w:trHeight w:val="283"/>
        </w:trPr>
        <w:tc>
          <w:tcPr>
            <w:tcW w:w="2430" w:type="pct"/>
            <w:tcBorders>
              <w:top w:val="nil"/>
              <w:left w:val="nil"/>
              <w:bottom w:val="nil"/>
              <w:right w:val="nil"/>
            </w:tcBorders>
            <w:noWrap/>
            <w:vAlign w:val="center"/>
            <w:hideMark/>
          </w:tcPr>
          <w:p w14:paraId="099DC3B7" w14:textId="79CA4715" w:rsidR="008B450A" w:rsidRPr="008B450A" w:rsidRDefault="0010755E" w:rsidP="008B450A">
            <w:pPr>
              <w:rPr>
                <w:rFonts w:ascii="CAIXA Std Book" w:eastAsia="Times New Roman" w:hAnsi="CAIXA Std Book" w:cs="Times New Roman"/>
                <w:color w:val="005CA9"/>
                <w:sz w:val="18"/>
                <w:szCs w:val="18"/>
              </w:rPr>
            </w:pPr>
            <w:r>
              <w:rPr>
                <w:rFonts w:ascii="CAIXA Std Book" w:eastAsia="Times New Roman" w:hAnsi="CAIXA Std Book" w:cs="Times New Roman"/>
                <w:color w:val="005CA9"/>
                <w:sz w:val="18"/>
                <w:szCs w:val="18"/>
              </w:rPr>
              <w:t>Ajuste a valor justo</w:t>
            </w:r>
          </w:p>
        </w:tc>
        <w:tc>
          <w:tcPr>
            <w:tcW w:w="643" w:type="pct"/>
            <w:tcBorders>
              <w:top w:val="nil"/>
              <w:left w:val="nil"/>
              <w:bottom w:val="nil"/>
              <w:right w:val="nil"/>
            </w:tcBorders>
            <w:vAlign w:val="center"/>
          </w:tcPr>
          <w:p w14:paraId="696E5574" w14:textId="61F4CBA2" w:rsidR="00494DD6" w:rsidRPr="008B450A" w:rsidRDefault="00360CBA" w:rsidP="00494DD6">
            <w:pPr>
              <w:jc w:val="right"/>
              <w:rPr>
                <w:rFonts w:ascii="CAIXA Std Book" w:eastAsia="Times New Roman" w:hAnsi="CAIXA Std Book" w:cs="Arial"/>
                <w:color w:val="005CA9"/>
                <w:sz w:val="18"/>
                <w:szCs w:val="18"/>
              </w:rPr>
            </w:pPr>
            <w:r>
              <w:rPr>
                <w:rFonts w:ascii="CAIXA Std Book" w:hAnsi="CAIXA Std Book" w:cs="Arial"/>
                <w:color w:val="005CA9"/>
                <w:sz w:val="18"/>
                <w:szCs w:val="18"/>
              </w:rPr>
              <w:t>613.561</w:t>
            </w:r>
          </w:p>
        </w:tc>
        <w:tc>
          <w:tcPr>
            <w:tcW w:w="644" w:type="pct"/>
            <w:tcBorders>
              <w:top w:val="nil"/>
              <w:left w:val="nil"/>
              <w:bottom w:val="nil"/>
              <w:right w:val="nil"/>
            </w:tcBorders>
            <w:vAlign w:val="center"/>
          </w:tcPr>
          <w:p w14:paraId="48D13961" w14:textId="6893709A" w:rsidR="00494DD6" w:rsidRPr="008B450A" w:rsidRDefault="00EA48A6" w:rsidP="00494DD6">
            <w:pPr>
              <w:jc w:val="right"/>
              <w:rPr>
                <w:rFonts w:ascii="CAIXA Std Book" w:eastAsia="Times New Roman" w:hAnsi="CAIXA Std Book" w:cs="Arial"/>
                <w:color w:val="005CA9"/>
                <w:sz w:val="18"/>
                <w:szCs w:val="18"/>
              </w:rPr>
            </w:pPr>
            <w:r w:rsidRPr="008B450A">
              <w:rPr>
                <w:rFonts w:ascii="CAIXA Std Book" w:eastAsia="Times New Roman" w:hAnsi="CAIXA Std Book" w:cs="Arial"/>
                <w:color w:val="005CA9"/>
                <w:sz w:val="18"/>
                <w:szCs w:val="18"/>
              </w:rPr>
              <w:t>804.884</w:t>
            </w:r>
          </w:p>
        </w:tc>
        <w:tc>
          <w:tcPr>
            <w:tcW w:w="643" w:type="pct"/>
            <w:tcBorders>
              <w:top w:val="nil"/>
              <w:left w:val="nil"/>
              <w:bottom w:val="nil"/>
              <w:right w:val="nil"/>
            </w:tcBorders>
            <w:noWrap/>
            <w:vAlign w:val="center"/>
          </w:tcPr>
          <w:p w14:paraId="0469F0F7" w14:textId="5300E0CD" w:rsidR="008B450A" w:rsidRPr="008B450A" w:rsidRDefault="00DF59E7" w:rsidP="008B450A">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613.561</w:t>
            </w:r>
          </w:p>
        </w:tc>
        <w:tc>
          <w:tcPr>
            <w:tcW w:w="640" w:type="pct"/>
            <w:tcBorders>
              <w:top w:val="nil"/>
              <w:left w:val="nil"/>
              <w:bottom w:val="nil"/>
              <w:right w:val="nil"/>
            </w:tcBorders>
            <w:noWrap/>
            <w:vAlign w:val="center"/>
          </w:tcPr>
          <w:p w14:paraId="6F4DF105" w14:textId="55EEB3CF" w:rsidR="008B450A" w:rsidRPr="008B450A" w:rsidRDefault="008B450A" w:rsidP="008B450A">
            <w:pPr>
              <w:jc w:val="right"/>
              <w:rPr>
                <w:rFonts w:ascii="CAIXA Std Book" w:eastAsia="Times New Roman" w:hAnsi="CAIXA Std Book" w:cs="Times New Roman"/>
                <w:color w:val="005CA9"/>
                <w:sz w:val="18"/>
                <w:szCs w:val="18"/>
              </w:rPr>
            </w:pPr>
            <w:r w:rsidRPr="008B450A">
              <w:rPr>
                <w:rFonts w:ascii="CAIXA Std Book" w:eastAsia="Times New Roman" w:hAnsi="CAIXA Std Book" w:cs="Arial"/>
                <w:color w:val="005CA9"/>
                <w:sz w:val="18"/>
                <w:szCs w:val="18"/>
              </w:rPr>
              <w:t>804.884</w:t>
            </w:r>
          </w:p>
        </w:tc>
      </w:tr>
      <w:tr w:rsidR="00165917" w:rsidRPr="008B450A" w14:paraId="48EC7A04" w14:textId="77777777" w:rsidTr="00EA48A6">
        <w:trPr>
          <w:trHeight w:val="283"/>
        </w:trPr>
        <w:tc>
          <w:tcPr>
            <w:tcW w:w="2430" w:type="pct"/>
            <w:tcBorders>
              <w:top w:val="nil"/>
              <w:left w:val="nil"/>
              <w:bottom w:val="nil"/>
              <w:right w:val="nil"/>
            </w:tcBorders>
            <w:shd w:val="clear" w:color="auto" w:fill="005CA9"/>
            <w:noWrap/>
            <w:vAlign w:val="center"/>
            <w:hideMark/>
          </w:tcPr>
          <w:p w14:paraId="3544663D" w14:textId="77777777" w:rsidR="008B450A" w:rsidRPr="008B450A" w:rsidRDefault="008B450A" w:rsidP="008B450A">
            <w:pPr>
              <w:rPr>
                <w:rFonts w:ascii="CAIXA Std Book" w:eastAsia="Times New Roman" w:hAnsi="CAIXA Std Book" w:cs="Times New Roman"/>
                <w:b/>
                <w:bCs/>
                <w:color w:val="FFFFFF"/>
                <w:sz w:val="18"/>
                <w:szCs w:val="18"/>
              </w:rPr>
            </w:pPr>
            <w:r w:rsidRPr="008B450A">
              <w:rPr>
                <w:rFonts w:ascii="CAIXA Std Book" w:eastAsia="Times New Roman" w:hAnsi="CAIXA Std Book" w:cs="Times New Roman"/>
                <w:b/>
                <w:bCs/>
                <w:color w:val="FFFFFF"/>
                <w:sz w:val="18"/>
                <w:szCs w:val="18"/>
              </w:rPr>
              <w:t>Total do passivo fiscal diferido</w:t>
            </w:r>
          </w:p>
        </w:tc>
        <w:tc>
          <w:tcPr>
            <w:tcW w:w="643" w:type="pct"/>
            <w:tcBorders>
              <w:top w:val="nil"/>
              <w:left w:val="nil"/>
              <w:bottom w:val="nil"/>
              <w:right w:val="nil"/>
            </w:tcBorders>
            <w:shd w:val="clear" w:color="auto" w:fill="005CA9"/>
            <w:vAlign w:val="center"/>
          </w:tcPr>
          <w:p w14:paraId="2AB4CD77" w14:textId="432F04B1" w:rsidR="00494DD6" w:rsidRPr="008B450A" w:rsidRDefault="008F6223" w:rsidP="00494DD6">
            <w:pPr>
              <w:jc w:val="right"/>
              <w:rPr>
                <w:rFonts w:ascii="CAIXA Std Book" w:eastAsia="Times New Roman" w:hAnsi="CAIXA Std Book" w:cs="Arial"/>
                <w:b/>
                <w:bCs/>
                <w:color w:val="FFFFFF"/>
                <w:sz w:val="18"/>
                <w:szCs w:val="18"/>
              </w:rPr>
            </w:pPr>
            <w:r>
              <w:rPr>
                <w:rFonts w:ascii="CAIXA Std Book" w:hAnsi="CAIXA Std Book" w:cs="Arial"/>
                <w:b/>
                <w:bCs/>
                <w:color w:val="FFFFFF"/>
                <w:sz w:val="18"/>
                <w:szCs w:val="18"/>
              </w:rPr>
              <w:t>4.644.927</w:t>
            </w:r>
          </w:p>
        </w:tc>
        <w:tc>
          <w:tcPr>
            <w:tcW w:w="644" w:type="pct"/>
            <w:tcBorders>
              <w:top w:val="nil"/>
              <w:left w:val="nil"/>
              <w:bottom w:val="nil"/>
              <w:right w:val="nil"/>
            </w:tcBorders>
            <w:shd w:val="clear" w:color="auto" w:fill="005CA9"/>
            <w:vAlign w:val="center"/>
          </w:tcPr>
          <w:p w14:paraId="753B2AEA" w14:textId="7B53B9BB" w:rsidR="00494DD6" w:rsidRPr="008B450A" w:rsidRDefault="00EA48A6" w:rsidP="00494DD6">
            <w:pPr>
              <w:jc w:val="right"/>
              <w:rPr>
                <w:rFonts w:ascii="CAIXA Std Book" w:eastAsia="Times New Roman" w:hAnsi="CAIXA Std Book" w:cs="Arial"/>
                <w:b/>
                <w:bCs/>
                <w:color w:val="FFFFFF"/>
                <w:sz w:val="18"/>
                <w:szCs w:val="18"/>
              </w:rPr>
            </w:pPr>
            <w:r w:rsidRPr="008B450A">
              <w:rPr>
                <w:rFonts w:ascii="CAIXA Std Book" w:eastAsia="Times New Roman" w:hAnsi="CAIXA Std Book" w:cs="Arial"/>
                <w:b/>
                <w:bCs/>
                <w:color w:val="FFFFFF"/>
                <w:sz w:val="18"/>
                <w:szCs w:val="18"/>
              </w:rPr>
              <w:t>4.477.624</w:t>
            </w:r>
          </w:p>
        </w:tc>
        <w:tc>
          <w:tcPr>
            <w:tcW w:w="643" w:type="pct"/>
            <w:tcBorders>
              <w:top w:val="nil"/>
              <w:left w:val="nil"/>
              <w:bottom w:val="nil"/>
              <w:right w:val="nil"/>
            </w:tcBorders>
            <w:shd w:val="clear" w:color="auto" w:fill="005CA9"/>
            <w:noWrap/>
            <w:vAlign w:val="center"/>
          </w:tcPr>
          <w:p w14:paraId="1C131212" w14:textId="039BADD0" w:rsidR="008B450A" w:rsidRPr="008B450A" w:rsidRDefault="00796E4C" w:rsidP="008B450A">
            <w:pPr>
              <w:jc w:val="right"/>
              <w:rPr>
                <w:rFonts w:ascii="CAIXA Std Book" w:eastAsia="Times New Roman" w:hAnsi="CAIXA Std Book" w:cs="Times New Roman"/>
                <w:b/>
                <w:bCs/>
                <w:color w:val="FFFFFF"/>
                <w:sz w:val="18"/>
                <w:szCs w:val="18"/>
              </w:rPr>
            </w:pPr>
            <w:r>
              <w:rPr>
                <w:rFonts w:ascii="CAIXA Std Book" w:hAnsi="CAIXA Std Book" w:cs="Arial"/>
                <w:b/>
                <w:bCs/>
                <w:color w:val="FFFFFF"/>
                <w:sz w:val="18"/>
                <w:szCs w:val="18"/>
              </w:rPr>
              <w:t>4.649.317</w:t>
            </w:r>
          </w:p>
        </w:tc>
        <w:tc>
          <w:tcPr>
            <w:tcW w:w="640" w:type="pct"/>
            <w:tcBorders>
              <w:top w:val="nil"/>
              <w:left w:val="nil"/>
              <w:bottom w:val="nil"/>
              <w:right w:val="nil"/>
            </w:tcBorders>
            <w:shd w:val="clear" w:color="auto" w:fill="005CA9"/>
            <w:noWrap/>
            <w:vAlign w:val="center"/>
          </w:tcPr>
          <w:p w14:paraId="22A90333" w14:textId="4174F121" w:rsidR="008B450A" w:rsidRPr="008B450A" w:rsidRDefault="008B450A" w:rsidP="008B450A">
            <w:pPr>
              <w:jc w:val="right"/>
              <w:rPr>
                <w:rFonts w:ascii="CAIXA Std Book" w:eastAsia="Times New Roman" w:hAnsi="CAIXA Std Book" w:cs="Times New Roman"/>
                <w:b/>
                <w:bCs/>
                <w:color w:val="FFFFFF"/>
                <w:sz w:val="18"/>
                <w:szCs w:val="18"/>
              </w:rPr>
            </w:pPr>
            <w:r w:rsidRPr="008B450A">
              <w:rPr>
                <w:rFonts w:ascii="CAIXA Std Book" w:eastAsia="Times New Roman" w:hAnsi="CAIXA Std Book" w:cs="Arial"/>
                <w:b/>
                <w:bCs/>
                <w:color w:val="FFFFFF"/>
                <w:sz w:val="18"/>
                <w:szCs w:val="18"/>
              </w:rPr>
              <w:t>4.478.122</w:t>
            </w:r>
          </w:p>
        </w:tc>
      </w:tr>
    </w:tbl>
    <w:p w14:paraId="629B7C98" w14:textId="03FD9BCB" w:rsidR="005A4777" w:rsidRPr="00FF4346" w:rsidRDefault="005A4777" w:rsidP="00ED7729">
      <w:pPr>
        <w:rPr>
          <w:rFonts w:ascii="CAIXA Std Book" w:eastAsia="Times New Roman" w:hAnsi="CAIXA Std Book" w:cs="Arial"/>
          <w:b/>
          <w:bCs/>
          <w:color w:val="005CA9"/>
          <w:sz w:val="18"/>
          <w:szCs w:val="18"/>
        </w:rPr>
        <w:sectPr w:rsidR="005A4777" w:rsidRPr="00FF4346" w:rsidSect="006907F6">
          <w:headerReference w:type="default" r:id="rId61"/>
          <w:footerReference w:type="even" r:id="rId62"/>
          <w:footerReference w:type="default" r:id="rId63"/>
          <w:footerReference w:type="first" r:id="rId64"/>
          <w:pgSz w:w="11906" w:h="16838"/>
          <w:pgMar w:top="1985" w:right="851" w:bottom="1418" w:left="1418" w:header="1134" w:footer="709" w:gutter="0"/>
          <w:cols w:space="708"/>
          <w:docGrid w:linePitch="360"/>
        </w:sectPr>
      </w:pPr>
    </w:p>
    <w:p w14:paraId="0207C617" w14:textId="77777777" w:rsidR="00ED7729" w:rsidRDefault="00ED7729" w:rsidP="00AB4D07">
      <w:pPr>
        <w:keepNext/>
        <w:numPr>
          <w:ilvl w:val="0"/>
          <w:numId w:val="14"/>
        </w:numPr>
        <w:spacing w:before="240" w:after="120"/>
        <w:ind w:left="567" w:hanging="567"/>
        <w:jc w:val="both"/>
        <w:rPr>
          <w:rFonts w:ascii="CAIXA Std Book" w:hAnsi="CAIXA Std Book"/>
          <w:b/>
          <w:color w:val="005CA9"/>
          <w:sz w:val="20"/>
          <w:szCs w:val="20"/>
        </w:rPr>
      </w:pPr>
      <w:r w:rsidRPr="00FF4346">
        <w:rPr>
          <w:rFonts w:ascii="CAIXA Std Book" w:hAnsi="CAIXA Std Book"/>
          <w:b/>
          <w:color w:val="005CA9"/>
          <w:sz w:val="20"/>
          <w:szCs w:val="20"/>
        </w:rPr>
        <w:t>Ativo fiscal diferido</w:t>
      </w:r>
    </w:p>
    <w:tbl>
      <w:tblPr>
        <w:tblW w:w="5000" w:type="pct"/>
        <w:tblCellMar>
          <w:left w:w="70" w:type="dxa"/>
          <w:right w:w="70" w:type="dxa"/>
        </w:tblCellMar>
        <w:tblLook w:val="04A0" w:firstRow="1" w:lastRow="0" w:firstColumn="1" w:lastColumn="0" w:noHBand="0" w:noVBand="1"/>
      </w:tblPr>
      <w:tblGrid>
        <w:gridCol w:w="5108"/>
        <w:gridCol w:w="1177"/>
        <w:gridCol w:w="1196"/>
        <w:gridCol w:w="1195"/>
        <w:gridCol w:w="1206"/>
        <w:gridCol w:w="1177"/>
        <w:gridCol w:w="1196"/>
        <w:gridCol w:w="1139"/>
        <w:gridCol w:w="1177"/>
      </w:tblGrid>
      <w:tr w:rsidR="003B077A" w:rsidRPr="004A5A9C" w14:paraId="67477333" w14:textId="77777777" w:rsidTr="00106795">
        <w:trPr>
          <w:trHeight w:val="283"/>
        </w:trPr>
        <w:tc>
          <w:tcPr>
            <w:tcW w:w="1753" w:type="pct"/>
            <w:vMerge w:val="restart"/>
            <w:tcBorders>
              <w:top w:val="nil"/>
              <w:left w:val="nil"/>
              <w:bottom w:val="nil"/>
              <w:right w:val="nil"/>
            </w:tcBorders>
            <w:shd w:val="clear" w:color="auto" w:fill="005CA9"/>
            <w:vAlign w:val="center"/>
            <w:hideMark/>
          </w:tcPr>
          <w:p w14:paraId="5B06A5BA" w14:textId="77777777" w:rsidR="005575A2" w:rsidRPr="006640BB" w:rsidRDefault="005575A2" w:rsidP="005575A2">
            <w:pPr>
              <w:jc w:val="center"/>
              <w:rPr>
                <w:rFonts w:ascii="CAIXA Std Book" w:eastAsia="Times New Roman" w:hAnsi="CAIXA Std Book" w:cs="Arial"/>
                <w:b/>
                <w:color w:val="FFFFFF"/>
                <w:sz w:val="18"/>
                <w:szCs w:val="18"/>
              </w:rPr>
            </w:pPr>
            <w:r w:rsidRPr="006640BB">
              <w:rPr>
                <w:rFonts w:ascii="CAIXA Std Book" w:eastAsia="Times New Roman" w:hAnsi="CAIXA Std Book" w:cs="Arial"/>
                <w:b/>
                <w:color w:val="FFFFFF"/>
                <w:sz w:val="18"/>
                <w:szCs w:val="18"/>
              </w:rPr>
              <w:t>Descrição</w:t>
            </w:r>
          </w:p>
        </w:tc>
        <w:tc>
          <w:tcPr>
            <w:tcW w:w="1638" w:type="pct"/>
            <w:gridSpan w:val="4"/>
            <w:tcBorders>
              <w:top w:val="nil"/>
              <w:left w:val="nil"/>
              <w:bottom w:val="single" w:sz="4" w:space="0" w:color="FFFFFF" w:themeColor="background1"/>
              <w:right w:val="nil"/>
            </w:tcBorders>
            <w:shd w:val="clear" w:color="auto" w:fill="005CA9"/>
            <w:noWrap/>
            <w:vAlign w:val="center"/>
            <w:hideMark/>
          </w:tcPr>
          <w:p w14:paraId="2910BCFE" w14:textId="77777777" w:rsidR="005575A2" w:rsidRPr="006640BB" w:rsidRDefault="005575A2" w:rsidP="005575A2">
            <w:pPr>
              <w:jc w:val="center"/>
              <w:rPr>
                <w:rFonts w:ascii="CAIXA Std Book" w:eastAsia="Times New Roman" w:hAnsi="CAIXA Std Book" w:cs="Arial"/>
                <w:b/>
                <w:color w:val="FFFFFF"/>
                <w:sz w:val="18"/>
                <w:szCs w:val="18"/>
              </w:rPr>
            </w:pPr>
            <w:r w:rsidRPr="006640BB">
              <w:rPr>
                <w:rFonts w:ascii="CAIXA Std Book" w:eastAsia="Times New Roman" w:hAnsi="CAIXA Std Book" w:cs="Arial"/>
                <w:b/>
                <w:color w:val="FFFFFF"/>
                <w:sz w:val="18"/>
                <w:szCs w:val="18"/>
              </w:rPr>
              <w:t>Individual</w:t>
            </w:r>
          </w:p>
        </w:tc>
        <w:tc>
          <w:tcPr>
            <w:tcW w:w="1609" w:type="pct"/>
            <w:gridSpan w:val="4"/>
            <w:tcBorders>
              <w:top w:val="nil"/>
              <w:left w:val="nil"/>
              <w:bottom w:val="single" w:sz="4" w:space="0" w:color="FFFFFF" w:themeColor="background1"/>
              <w:right w:val="nil"/>
            </w:tcBorders>
            <w:shd w:val="clear" w:color="auto" w:fill="005CA9"/>
            <w:noWrap/>
            <w:vAlign w:val="center"/>
            <w:hideMark/>
          </w:tcPr>
          <w:p w14:paraId="022F2FBF" w14:textId="77777777" w:rsidR="005575A2" w:rsidRPr="006640BB" w:rsidRDefault="005575A2" w:rsidP="005575A2">
            <w:pPr>
              <w:jc w:val="center"/>
              <w:rPr>
                <w:rFonts w:ascii="CAIXA Std Book" w:eastAsia="Times New Roman" w:hAnsi="CAIXA Std Book" w:cs="Arial"/>
                <w:b/>
                <w:color w:val="FFFFFF"/>
                <w:sz w:val="18"/>
                <w:szCs w:val="18"/>
              </w:rPr>
            </w:pPr>
            <w:r w:rsidRPr="006640BB">
              <w:rPr>
                <w:rFonts w:ascii="CAIXA Std Book" w:eastAsia="Times New Roman" w:hAnsi="CAIXA Std Book" w:cs="Arial"/>
                <w:b/>
                <w:color w:val="FFFFFF"/>
                <w:sz w:val="18"/>
                <w:szCs w:val="18"/>
              </w:rPr>
              <w:t>Consolidado</w:t>
            </w:r>
          </w:p>
        </w:tc>
      </w:tr>
      <w:tr w:rsidR="00165917" w:rsidRPr="004A5A9C" w14:paraId="6DF05081" w14:textId="77777777" w:rsidTr="006736FE">
        <w:trPr>
          <w:trHeight w:val="283"/>
        </w:trPr>
        <w:tc>
          <w:tcPr>
            <w:tcW w:w="1753" w:type="pct"/>
            <w:vMerge/>
            <w:tcBorders>
              <w:top w:val="nil"/>
              <w:left w:val="nil"/>
              <w:right w:val="nil"/>
            </w:tcBorders>
            <w:shd w:val="clear" w:color="auto" w:fill="005CA9"/>
            <w:vAlign w:val="center"/>
            <w:hideMark/>
          </w:tcPr>
          <w:p w14:paraId="3B1B49F1" w14:textId="77777777" w:rsidR="005575A2" w:rsidRPr="006640BB" w:rsidRDefault="005575A2" w:rsidP="005575A2">
            <w:pPr>
              <w:rPr>
                <w:rFonts w:ascii="CAIXA Std Book" w:eastAsia="Times New Roman" w:hAnsi="CAIXA Std Book" w:cs="Arial"/>
                <w:b/>
                <w:color w:val="FFFFFF"/>
                <w:sz w:val="18"/>
                <w:szCs w:val="18"/>
              </w:rPr>
            </w:pPr>
          </w:p>
        </w:tc>
        <w:tc>
          <w:tcPr>
            <w:tcW w:w="404" w:type="pct"/>
            <w:tcBorders>
              <w:top w:val="single" w:sz="4" w:space="0" w:color="FFFFFF" w:themeColor="background1"/>
              <w:left w:val="nil"/>
              <w:right w:val="nil"/>
            </w:tcBorders>
            <w:shd w:val="clear" w:color="auto" w:fill="005CA9"/>
            <w:vAlign w:val="center"/>
            <w:hideMark/>
          </w:tcPr>
          <w:p w14:paraId="20F067F0" w14:textId="4C7331F1" w:rsidR="005575A2" w:rsidRPr="006640BB" w:rsidRDefault="008A3FB0" w:rsidP="005575A2">
            <w:pPr>
              <w:jc w:val="center"/>
              <w:rPr>
                <w:rFonts w:ascii="CAIXA Std Book" w:eastAsia="Times New Roman" w:hAnsi="CAIXA Std Book" w:cs="Arial"/>
                <w:b/>
                <w:color w:val="FFFFFF"/>
                <w:sz w:val="18"/>
                <w:szCs w:val="18"/>
              </w:rPr>
            </w:pPr>
            <w:r w:rsidRPr="006640BB">
              <w:rPr>
                <w:rFonts w:ascii="CAIXA Std Book" w:eastAsia="Times New Roman" w:hAnsi="CAIXA Std Book" w:cs="Arial"/>
                <w:b/>
                <w:color w:val="FFFFFF"/>
                <w:sz w:val="18"/>
                <w:szCs w:val="18"/>
              </w:rPr>
              <w:t>31</w:t>
            </w:r>
            <w:r w:rsidR="005575A2" w:rsidRPr="006640BB">
              <w:rPr>
                <w:rFonts w:ascii="CAIXA Std Book" w:eastAsia="Times New Roman" w:hAnsi="CAIXA Std Book" w:cs="Arial"/>
                <w:b/>
                <w:color w:val="FFFFFF"/>
                <w:sz w:val="18"/>
                <w:szCs w:val="18"/>
              </w:rPr>
              <w:t>/</w:t>
            </w:r>
            <w:r w:rsidRPr="006640BB">
              <w:rPr>
                <w:rFonts w:ascii="CAIXA Std Book" w:eastAsia="Times New Roman" w:hAnsi="CAIXA Std Book" w:cs="Arial"/>
                <w:b/>
                <w:color w:val="FFFFFF"/>
                <w:sz w:val="18"/>
                <w:szCs w:val="18"/>
              </w:rPr>
              <w:t>12</w:t>
            </w:r>
            <w:r w:rsidR="005575A2" w:rsidRPr="006640BB">
              <w:rPr>
                <w:rFonts w:ascii="CAIXA Std Book" w:eastAsia="Times New Roman" w:hAnsi="CAIXA Std Book" w:cs="Arial"/>
                <w:b/>
                <w:color w:val="FFFFFF"/>
                <w:sz w:val="18"/>
                <w:szCs w:val="18"/>
              </w:rPr>
              <w:t>/2025</w:t>
            </w:r>
          </w:p>
        </w:tc>
        <w:tc>
          <w:tcPr>
            <w:tcW w:w="410" w:type="pct"/>
            <w:tcBorders>
              <w:top w:val="single" w:sz="4" w:space="0" w:color="FFFFFF" w:themeColor="background1"/>
              <w:left w:val="nil"/>
              <w:right w:val="nil"/>
            </w:tcBorders>
            <w:shd w:val="clear" w:color="auto" w:fill="005CA9"/>
            <w:vAlign w:val="center"/>
            <w:hideMark/>
          </w:tcPr>
          <w:p w14:paraId="41D01D4E" w14:textId="77777777" w:rsidR="005575A2" w:rsidRPr="006640BB" w:rsidRDefault="005575A2" w:rsidP="005575A2">
            <w:pPr>
              <w:jc w:val="center"/>
              <w:rPr>
                <w:rFonts w:ascii="CAIXA Std Book" w:eastAsia="Times New Roman" w:hAnsi="CAIXA Std Book" w:cs="Arial"/>
                <w:b/>
                <w:color w:val="FFFFFF"/>
                <w:sz w:val="18"/>
                <w:szCs w:val="18"/>
              </w:rPr>
            </w:pPr>
            <w:r w:rsidRPr="006640BB">
              <w:rPr>
                <w:rFonts w:ascii="CAIXA Std Book" w:eastAsia="Times New Roman" w:hAnsi="CAIXA Std Book" w:cs="Arial"/>
                <w:b/>
                <w:color w:val="FFFFFF"/>
                <w:sz w:val="18"/>
                <w:szCs w:val="18"/>
              </w:rPr>
              <w:t>Constituição</w:t>
            </w:r>
          </w:p>
        </w:tc>
        <w:tc>
          <w:tcPr>
            <w:tcW w:w="410" w:type="pct"/>
            <w:tcBorders>
              <w:top w:val="single" w:sz="4" w:space="0" w:color="FFFFFF" w:themeColor="background1"/>
              <w:left w:val="nil"/>
              <w:right w:val="nil"/>
            </w:tcBorders>
            <w:shd w:val="clear" w:color="auto" w:fill="005CA9"/>
            <w:vAlign w:val="center"/>
            <w:hideMark/>
          </w:tcPr>
          <w:p w14:paraId="68011F3C" w14:textId="77777777" w:rsidR="005575A2" w:rsidRPr="006640BB" w:rsidRDefault="005575A2" w:rsidP="005575A2">
            <w:pPr>
              <w:jc w:val="center"/>
              <w:rPr>
                <w:rFonts w:ascii="CAIXA Std Book" w:eastAsia="Times New Roman" w:hAnsi="CAIXA Std Book" w:cs="Arial"/>
                <w:b/>
                <w:color w:val="FFFFFF"/>
                <w:sz w:val="18"/>
                <w:szCs w:val="18"/>
              </w:rPr>
            </w:pPr>
            <w:r w:rsidRPr="006640BB">
              <w:rPr>
                <w:rFonts w:ascii="CAIXA Std Book" w:eastAsia="Times New Roman" w:hAnsi="CAIXA Std Book" w:cs="Arial"/>
                <w:b/>
                <w:color w:val="FFFFFF"/>
                <w:sz w:val="18"/>
                <w:szCs w:val="18"/>
              </w:rPr>
              <w:t>Reversão</w:t>
            </w:r>
          </w:p>
        </w:tc>
        <w:tc>
          <w:tcPr>
            <w:tcW w:w="414" w:type="pct"/>
            <w:tcBorders>
              <w:top w:val="single" w:sz="4" w:space="0" w:color="FFFFFF" w:themeColor="background1"/>
              <w:left w:val="nil"/>
              <w:right w:val="nil"/>
            </w:tcBorders>
            <w:shd w:val="clear" w:color="auto" w:fill="005CA9"/>
            <w:vAlign w:val="center"/>
            <w:hideMark/>
          </w:tcPr>
          <w:p w14:paraId="0E184234" w14:textId="75284BF3" w:rsidR="005575A2" w:rsidRPr="006640BB" w:rsidRDefault="00091114" w:rsidP="005575A2">
            <w:pPr>
              <w:jc w:val="center"/>
              <w:rPr>
                <w:rFonts w:ascii="CAIXA Std Book" w:eastAsia="Times New Roman" w:hAnsi="CAIXA Std Book" w:cs="Arial"/>
                <w:b/>
                <w:color w:val="FFFFFF"/>
                <w:sz w:val="18"/>
                <w:szCs w:val="18"/>
              </w:rPr>
            </w:pPr>
            <w:r w:rsidRPr="006640BB">
              <w:rPr>
                <w:rFonts w:ascii="CAIXA Std Book" w:eastAsia="Times New Roman" w:hAnsi="CAIXA Std Book" w:cs="Arial"/>
                <w:b/>
                <w:color w:val="FFFFFF"/>
                <w:sz w:val="18"/>
                <w:szCs w:val="18"/>
              </w:rPr>
              <w:t>3</w:t>
            </w:r>
            <w:r w:rsidR="00F72C68" w:rsidRPr="006640BB">
              <w:rPr>
                <w:rFonts w:ascii="CAIXA Std Book" w:eastAsia="Times New Roman" w:hAnsi="CAIXA Std Book" w:cs="Arial"/>
                <w:b/>
                <w:color w:val="FFFFFF"/>
                <w:sz w:val="18"/>
                <w:szCs w:val="18"/>
              </w:rPr>
              <w:t>1</w:t>
            </w:r>
            <w:r w:rsidRPr="006640BB">
              <w:rPr>
                <w:rFonts w:ascii="CAIXA Std Book" w:eastAsia="Times New Roman" w:hAnsi="CAIXA Std Book" w:cs="Arial"/>
                <w:b/>
                <w:color w:val="FFFFFF"/>
                <w:sz w:val="18"/>
                <w:szCs w:val="18"/>
              </w:rPr>
              <w:t>/</w:t>
            </w:r>
            <w:r w:rsidR="008A3FB0" w:rsidRPr="006640BB">
              <w:rPr>
                <w:rFonts w:ascii="CAIXA Std Book" w:eastAsia="Times New Roman" w:hAnsi="CAIXA Std Book" w:cs="Arial"/>
                <w:b/>
                <w:color w:val="FFFFFF"/>
                <w:sz w:val="18"/>
                <w:szCs w:val="18"/>
              </w:rPr>
              <w:t>03</w:t>
            </w:r>
            <w:r w:rsidR="005575A2" w:rsidRPr="006640BB">
              <w:rPr>
                <w:rFonts w:ascii="CAIXA Std Book" w:eastAsia="Times New Roman" w:hAnsi="CAIXA Std Book" w:cs="Arial"/>
                <w:b/>
                <w:color w:val="FFFFFF"/>
                <w:sz w:val="18"/>
                <w:szCs w:val="18"/>
              </w:rPr>
              <w:t>/202</w:t>
            </w:r>
            <w:r w:rsidR="008A3FB0" w:rsidRPr="006640BB">
              <w:rPr>
                <w:rFonts w:ascii="CAIXA Std Book" w:eastAsia="Times New Roman" w:hAnsi="CAIXA Std Book" w:cs="Arial"/>
                <w:b/>
                <w:color w:val="FFFFFF"/>
                <w:sz w:val="18"/>
                <w:szCs w:val="18"/>
              </w:rPr>
              <w:t>6</w:t>
            </w:r>
          </w:p>
        </w:tc>
        <w:tc>
          <w:tcPr>
            <w:tcW w:w="404" w:type="pct"/>
            <w:tcBorders>
              <w:top w:val="single" w:sz="4" w:space="0" w:color="FFFFFF" w:themeColor="background1"/>
              <w:left w:val="nil"/>
              <w:right w:val="nil"/>
            </w:tcBorders>
            <w:shd w:val="clear" w:color="auto" w:fill="005CA9"/>
            <w:vAlign w:val="center"/>
            <w:hideMark/>
          </w:tcPr>
          <w:p w14:paraId="53B06C9A" w14:textId="24FCBC7F" w:rsidR="005575A2" w:rsidRPr="006640BB" w:rsidRDefault="008A3FB0" w:rsidP="005575A2">
            <w:pPr>
              <w:jc w:val="center"/>
              <w:rPr>
                <w:rFonts w:ascii="CAIXA Std Book" w:eastAsia="Times New Roman" w:hAnsi="CAIXA Std Book" w:cs="Arial"/>
                <w:b/>
                <w:color w:val="FFFFFF"/>
                <w:sz w:val="18"/>
                <w:szCs w:val="18"/>
              </w:rPr>
            </w:pPr>
            <w:r w:rsidRPr="006640BB">
              <w:rPr>
                <w:rFonts w:ascii="CAIXA Std Book" w:eastAsia="Times New Roman" w:hAnsi="CAIXA Std Book" w:cs="Arial"/>
                <w:b/>
                <w:color w:val="FFFFFF"/>
                <w:sz w:val="18"/>
                <w:szCs w:val="18"/>
              </w:rPr>
              <w:t>3</w:t>
            </w:r>
            <w:r w:rsidR="005575A2" w:rsidRPr="006640BB">
              <w:rPr>
                <w:rFonts w:ascii="CAIXA Std Book" w:eastAsia="Times New Roman" w:hAnsi="CAIXA Std Book" w:cs="Arial"/>
                <w:b/>
                <w:color w:val="FFFFFF"/>
                <w:sz w:val="18"/>
                <w:szCs w:val="18"/>
              </w:rPr>
              <w:t>1/</w:t>
            </w:r>
            <w:r w:rsidRPr="006640BB">
              <w:rPr>
                <w:rFonts w:ascii="CAIXA Std Book" w:eastAsia="Times New Roman" w:hAnsi="CAIXA Std Book" w:cs="Arial"/>
                <w:b/>
                <w:color w:val="FFFFFF"/>
                <w:sz w:val="18"/>
                <w:szCs w:val="18"/>
              </w:rPr>
              <w:t>12</w:t>
            </w:r>
            <w:r w:rsidR="005575A2" w:rsidRPr="006640BB">
              <w:rPr>
                <w:rFonts w:ascii="CAIXA Std Book" w:eastAsia="Times New Roman" w:hAnsi="CAIXA Std Book" w:cs="Arial"/>
                <w:b/>
                <w:color w:val="FFFFFF"/>
                <w:sz w:val="18"/>
                <w:szCs w:val="18"/>
              </w:rPr>
              <w:t>/2025</w:t>
            </w:r>
          </w:p>
        </w:tc>
        <w:tc>
          <w:tcPr>
            <w:tcW w:w="410" w:type="pct"/>
            <w:tcBorders>
              <w:top w:val="single" w:sz="4" w:space="0" w:color="FFFFFF" w:themeColor="background1"/>
              <w:left w:val="nil"/>
              <w:right w:val="nil"/>
            </w:tcBorders>
            <w:shd w:val="clear" w:color="auto" w:fill="005CA9"/>
            <w:vAlign w:val="center"/>
            <w:hideMark/>
          </w:tcPr>
          <w:p w14:paraId="32433420" w14:textId="77777777" w:rsidR="005575A2" w:rsidRPr="006640BB" w:rsidRDefault="005575A2" w:rsidP="005575A2">
            <w:pPr>
              <w:jc w:val="center"/>
              <w:rPr>
                <w:rFonts w:ascii="CAIXA Std Book" w:eastAsia="Times New Roman" w:hAnsi="CAIXA Std Book" w:cs="Arial"/>
                <w:b/>
                <w:color w:val="FFFFFF"/>
                <w:sz w:val="18"/>
                <w:szCs w:val="18"/>
              </w:rPr>
            </w:pPr>
            <w:r w:rsidRPr="006640BB">
              <w:rPr>
                <w:rFonts w:ascii="CAIXA Std Book" w:eastAsia="Times New Roman" w:hAnsi="CAIXA Std Book" w:cs="Arial"/>
                <w:b/>
                <w:color w:val="FFFFFF"/>
                <w:sz w:val="18"/>
                <w:szCs w:val="18"/>
              </w:rPr>
              <w:t>Constituição</w:t>
            </w:r>
          </w:p>
        </w:tc>
        <w:tc>
          <w:tcPr>
            <w:tcW w:w="391" w:type="pct"/>
            <w:tcBorders>
              <w:top w:val="single" w:sz="4" w:space="0" w:color="FFFFFF" w:themeColor="background1"/>
              <w:left w:val="nil"/>
              <w:right w:val="nil"/>
            </w:tcBorders>
            <w:shd w:val="clear" w:color="auto" w:fill="005CA9"/>
            <w:vAlign w:val="center"/>
            <w:hideMark/>
          </w:tcPr>
          <w:p w14:paraId="573383D8" w14:textId="77777777" w:rsidR="005575A2" w:rsidRPr="006640BB" w:rsidRDefault="005575A2" w:rsidP="005575A2">
            <w:pPr>
              <w:jc w:val="center"/>
              <w:rPr>
                <w:rFonts w:ascii="CAIXA Std Book" w:eastAsia="Times New Roman" w:hAnsi="CAIXA Std Book" w:cs="Arial"/>
                <w:b/>
                <w:color w:val="FFFFFF"/>
                <w:sz w:val="18"/>
                <w:szCs w:val="18"/>
              </w:rPr>
            </w:pPr>
            <w:r w:rsidRPr="006640BB">
              <w:rPr>
                <w:rFonts w:ascii="CAIXA Std Book" w:eastAsia="Times New Roman" w:hAnsi="CAIXA Std Book" w:cs="Arial"/>
                <w:b/>
                <w:color w:val="FFFFFF"/>
                <w:sz w:val="18"/>
                <w:szCs w:val="18"/>
              </w:rPr>
              <w:t>Reversão</w:t>
            </w:r>
          </w:p>
        </w:tc>
        <w:tc>
          <w:tcPr>
            <w:tcW w:w="404" w:type="pct"/>
            <w:tcBorders>
              <w:top w:val="single" w:sz="4" w:space="0" w:color="FFFFFF" w:themeColor="background1"/>
              <w:left w:val="nil"/>
              <w:right w:val="nil"/>
            </w:tcBorders>
            <w:shd w:val="clear" w:color="auto" w:fill="005CA9"/>
            <w:vAlign w:val="center"/>
            <w:hideMark/>
          </w:tcPr>
          <w:p w14:paraId="6E55D599" w14:textId="37C3842B" w:rsidR="005575A2" w:rsidRPr="006640BB" w:rsidRDefault="00091114" w:rsidP="005575A2">
            <w:pPr>
              <w:jc w:val="center"/>
              <w:rPr>
                <w:rFonts w:ascii="CAIXA Std Book" w:eastAsia="Times New Roman" w:hAnsi="CAIXA Std Book" w:cs="Arial"/>
                <w:b/>
                <w:color w:val="FFFFFF"/>
                <w:sz w:val="18"/>
                <w:szCs w:val="18"/>
              </w:rPr>
            </w:pPr>
            <w:r w:rsidRPr="006640BB">
              <w:rPr>
                <w:rFonts w:ascii="CAIXA Std Book" w:eastAsia="Times New Roman" w:hAnsi="CAIXA Std Book" w:cs="Arial"/>
                <w:b/>
                <w:color w:val="FFFFFF"/>
                <w:sz w:val="18"/>
                <w:szCs w:val="18"/>
              </w:rPr>
              <w:t>3</w:t>
            </w:r>
            <w:r w:rsidR="00F72C68" w:rsidRPr="006640BB">
              <w:rPr>
                <w:rFonts w:ascii="CAIXA Std Book" w:eastAsia="Times New Roman" w:hAnsi="CAIXA Std Book" w:cs="Arial"/>
                <w:b/>
                <w:color w:val="FFFFFF"/>
                <w:sz w:val="18"/>
                <w:szCs w:val="18"/>
              </w:rPr>
              <w:t>1</w:t>
            </w:r>
            <w:r w:rsidRPr="006640BB">
              <w:rPr>
                <w:rFonts w:ascii="CAIXA Std Book" w:eastAsia="Times New Roman" w:hAnsi="CAIXA Std Book" w:cs="Arial"/>
                <w:b/>
                <w:color w:val="FFFFFF"/>
                <w:sz w:val="18"/>
                <w:szCs w:val="18"/>
              </w:rPr>
              <w:t>/</w:t>
            </w:r>
            <w:r w:rsidR="008A3FB0" w:rsidRPr="006640BB">
              <w:rPr>
                <w:rFonts w:ascii="CAIXA Std Book" w:eastAsia="Times New Roman" w:hAnsi="CAIXA Std Book" w:cs="Arial"/>
                <w:b/>
                <w:color w:val="FFFFFF"/>
                <w:sz w:val="18"/>
                <w:szCs w:val="18"/>
              </w:rPr>
              <w:t>03</w:t>
            </w:r>
            <w:r w:rsidR="005575A2" w:rsidRPr="006640BB">
              <w:rPr>
                <w:rFonts w:ascii="CAIXA Std Book" w:eastAsia="Times New Roman" w:hAnsi="CAIXA Std Book" w:cs="Arial"/>
                <w:b/>
                <w:color w:val="FFFFFF"/>
                <w:sz w:val="18"/>
                <w:szCs w:val="18"/>
              </w:rPr>
              <w:t>/202</w:t>
            </w:r>
            <w:r w:rsidR="008A3FB0" w:rsidRPr="006640BB">
              <w:rPr>
                <w:rFonts w:ascii="CAIXA Std Book" w:eastAsia="Times New Roman" w:hAnsi="CAIXA Std Book" w:cs="Arial"/>
                <w:b/>
                <w:color w:val="FFFFFF"/>
                <w:sz w:val="18"/>
                <w:szCs w:val="18"/>
              </w:rPr>
              <w:t>6</w:t>
            </w:r>
          </w:p>
        </w:tc>
      </w:tr>
      <w:tr w:rsidR="00165917" w:rsidRPr="004A5A9C" w14:paraId="6B05E42A" w14:textId="77777777" w:rsidTr="006736FE">
        <w:trPr>
          <w:trHeight w:val="283"/>
        </w:trPr>
        <w:tc>
          <w:tcPr>
            <w:tcW w:w="1753" w:type="pct"/>
            <w:tcBorders>
              <w:top w:val="nil"/>
              <w:left w:val="nil"/>
              <w:bottom w:val="nil"/>
              <w:right w:val="nil"/>
            </w:tcBorders>
            <w:shd w:val="clear" w:color="auto" w:fill="D0E0E3"/>
            <w:vAlign w:val="center"/>
            <w:hideMark/>
          </w:tcPr>
          <w:p w14:paraId="374D63DE" w14:textId="77777777" w:rsidR="004A5A9C" w:rsidRPr="006640BB" w:rsidRDefault="004A5A9C" w:rsidP="004A5A9C">
            <w:pPr>
              <w:rPr>
                <w:rFonts w:ascii="CAIXA Std Book" w:eastAsia="Times New Roman" w:hAnsi="CAIXA Std Book" w:cs="Arial"/>
                <w:b/>
                <w:color w:val="005CA9"/>
                <w:sz w:val="18"/>
                <w:szCs w:val="18"/>
              </w:rPr>
            </w:pPr>
            <w:r w:rsidRPr="006640BB">
              <w:rPr>
                <w:rFonts w:ascii="CAIXA Std Book" w:eastAsia="Times New Roman" w:hAnsi="CAIXA Std Book" w:cs="Arial"/>
                <w:b/>
                <w:color w:val="005CA9"/>
                <w:sz w:val="18"/>
                <w:szCs w:val="18"/>
              </w:rPr>
              <w:t>Diferenças temporárias</w:t>
            </w:r>
          </w:p>
        </w:tc>
        <w:tc>
          <w:tcPr>
            <w:tcW w:w="404" w:type="pct"/>
            <w:tcBorders>
              <w:top w:val="nil"/>
              <w:left w:val="nil"/>
              <w:bottom w:val="nil"/>
              <w:right w:val="nil"/>
            </w:tcBorders>
            <w:shd w:val="clear" w:color="auto" w:fill="D0E0E3"/>
            <w:noWrap/>
            <w:vAlign w:val="center"/>
          </w:tcPr>
          <w:p w14:paraId="2EFD10FE" w14:textId="3C0414E2" w:rsidR="004A5A9C" w:rsidRPr="006640BB" w:rsidRDefault="00E94899" w:rsidP="004A5A9C">
            <w:pPr>
              <w:jc w:val="right"/>
              <w:rPr>
                <w:rFonts w:ascii="CAIXA Std Book" w:eastAsia="Times New Roman" w:hAnsi="CAIXA Std Book" w:cs="Arial"/>
                <w:b/>
                <w:color w:val="005CA9"/>
                <w:sz w:val="18"/>
                <w:szCs w:val="18"/>
              </w:rPr>
            </w:pPr>
            <w:r w:rsidRPr="006640BB">
              <w:rPr>
                <w:rFonts w:ascii="CAIXA Std Book" w:hAnsi="CAIXA Std Book" w:cs="Arial"/>
                <w:b/>
                <w:color w:val="005CA9"/>
                <w:sz w:val="18"/>
                <w:szCs w:val="18"/>
              </w:rPr>
              <w:t>60.698.315</w:t>
            </w:r>
          </w:p>
        </w:tc>
        <w:tc>
          <w:tcPr>
            <w:tcW w:w="410" w:type="pct"/>
            <w:tcBorders>
              <w:top w:val="nil"/>
              <w:left w:val="nil"/>
              <w:bottom w:val="nil"/>
              <w:right w:val="nil"/>
            </w:tcBorders>
            <w:shd w:val="clear" w:color="auto" w:fill="D0E0E3"/>
            <w:noWrap/>
            <w:vAlign w:val="center"/>
          </w:tcPr>
          <w:p w14:paraId="3D81B5D8" w14:textId="172340A5" w:rsidR="004A5A9C" w:rsidRPr="006640BB" w:rsidRDefault="006736FE" w:rsidP="004A5A9C">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6.076.969</w:t>
            </w:r>
          </w:p>
        </w:tc>
        <w:tc>
          <w:tcPr>
            <w:tcW w:w="410" w:type="pct"/>
            <w:tcBorders>
              <w:top w:val="nil"/>
              <w:left w:val="nil"/>
              <w:bottom w:val="nil"/>
              <w:right w:val="nil"/>
            </w:tcBorders>
            <w:shd w:val="clear" w:color="auto" w:fill="D0E0E3"/>
            <w:noWrap/>
            <w:vAlign w:val="center"/>
          </w:tcPr>
          <w:p w14:paraId="3429E394" w14:textId="3E73A9AC" w:rsidR="004A5A9C" w:rsidRPr="006640BB" w:rsidRDefault="006736FE" w:rsidP="004A5A9C">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(6.541.321)</w:t>
            </w:r>
          </w:p>
        </w:tc>
        <w:tc>
          <w:tcPr>
            <w:tcW w:w="414" w:type="pct"/>
            <w:tcBorders>
              <w:top w:val="nil"/>
              <w:left w:val="nil"/>
              <w:bottom w:val="nil"/>
              <w:right w:val="nil"/>
            </w:tcBorders>
            <w:shd w:val="clear" w:color="auto" w:fill="D0E0E3"/>
            <w:noWrap/>
            <w:vAlign w:val="center"/>
          </w:tcPr>
          <w:p w14:paraId="460C82E0" w14:textId="7640FA02" w:rsidR="004A5A9C" w:rsidRPr="006640BB" w:rsidRDefault="006736FE" w:rsidP="004A5A9C">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60.233.963</w:t>
            </w:r>
          </w:p>
        </w:tc>
        <w:tc>
          <w:tcPr>
            <w:tcW w:w="404" w:type="pct"/>
            <w:tcBorders>
              <w:top w:val="nil"/>
              <w:left w:val="nil"/>
              <w:bottom w:val="nil"/>
              <w:right w:val="nil"/>
            </w:tcBorders>
            <w:shd w:val="clear" w:color="auto" w:fill="D0E0E3"/>
            <w:noWrap/>
            <w:vAlign w:val="center"/>
          </w:tcPr>
          <w:p w14:paraId="6905AA9B" w14:textId="1C3BAD87" w:rsidR="004A5A9C" w:rsidRPr="006640BB" w:rsidRDefault="00E94899" w:rsidP="004A5A9C">
            <w:pPr>
              <w:jc w:val="right"/>
              <w:rPr>
                <w:rFonts w:ascii="CAIXA Std Book" w:eastAsia="Times New Roman" w:hAnsi="CAIXA Std Book" w:cs="Arial"/>
                <w:b/>
                <w:color w:val="005CA9"/>
                <w:sz w:val="18"/>
                <w:szCs w:val="18"/>
              </w:rPr>
            </w:pPr>
            <w:r w:rsidRPr="006640BB">
              <w:rPr>
                <w:rFonts w:ascii="CAIXA Std Book" w:hAnsi="CAIXA Std Book" w:cs="Arial"/>
                <w:b/>
                <w:color w:val="005CA9"/>
                <w:sz w:val="18"/>
                <w:szCs w:val="18"/>
              </w:rPr>
              <w:t>60.852.786</w:t>
            </w:r>
          </w:p>
        </w:tc>
        <w:tc>
          <w:tcPr>
            <w:tcW w:w="410" w:type="pct"/>
            <w:tcBorders>
              <w:top w:val="nil"/>
              <w:left w:val="nil"/>
              <w:bottom w:val="nil"/>
              <w:right w:val="nil"/>
            </w:tcBorders>
            <w:shd w:val="clear" w:color="auto" w:fill="D0E0E3"/>
            <w:noWrap/>
            <w:vAlign w:val="center"/>
          </w:tcPr>
          <w:p w14:paraId="196EF758" w14:textId="75E7C9ED" w:rsidR="004A5A9C" w:rsidRPr="006640BB" w:rsidRDefault="006736FE" w:rsidP="004A5A9C">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6.076.969</w:t>
            </w:r>
          </w:p>
        </w:tc>
        <w:tc>
          <w:tcPr>
            <w:tcW w:w="391" w:type="pct"/>
            <w:tcBorders>
              <w:top w:val="nil"/>
              <w:left w:val="nil"/>
              <w:bottom w:val="nil"/>
              <w:right w:val="nil"/>
            </w:tcBorders>
            <w:shd w:val="clear" w:color="auto" w:fill="D0E0E3"/>
            <w:noWrap/>
            <w:vAlign w:val="center"/>
          </w:tcPr>
          <w:p w14:paraId="5113A82F" w14:textId="583A8E52" w:rsidR="004A5A9C" w:rsidRPr="006640BB" w:rsidRDefault="006736FE" w:rsidP="004A5A9C">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(6.562.975)</w:t>
            </w:r>
          </w:p>
        </w:tc>
        <w:tc>
          <w:tcPr>
            <w:tcW w:w="404" w:type="pct"/>
            <w:tcBorders>
              <w:top w:val="nil"/>
              <w:left w:val="nil"/>
              <w:bottom w:val="nil"/>
              <w:right w:val="nil"/>
            </w:tcBorders>
            <w:shd w:val="clear" w:color="auto" w:fill="D0E0E3"/>
            <w:noWrap/>
            <w:vAlign w:val="center"/>
          </w:tcPr>
          <w:p w14:paraId="7A27FC45" w14:textId="5972B821" w:rsidR="004A5A9C" w:rsidRPr="006640BB" w:rsidRDefault="006736FE" w:rsidP="004A5A9C">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60.366.780</w:t>
            </w:r>
          </w:p>
        </w:tc>
      </w:tr>
      <w:tr w:rsidR="00165917" w:rsidRPr="004A5A9C" w14:paraId="2F60DF7C" w14:textId="77777777" w:rsidTr="006736FE">
        <w:trPr>
          <w:trHeight w:val="283"/>
        </w:trPr>
        <w:tc>
          <w:tcPr>
            <w:tcW w:w="1753" w:type="pct"/>
            <w:tcBorders>
              <w:top w:val="nil"/>
              <w:left w:val="nil"/>
              <w:bottom w:val="nil"/>
              <w:right w:val="nil"/>
            </w:tcBorders>
            <w:vAlign w:val="center"/>
            <w:hideMark/>
          </w:tcPr>
          <w:p w14:paraId="5C0F1E43" w14:textId="1366AC5D" w:rsidR="004A5A9C" w:rsidRPr="006640BB" w:rsidRDefault="004A5A9C" w:rsidP="004A5A9C">
            <w:pPr>
              <w:ind w:firstLineChars="100" w:firstLine="180"/>
              <w:rPr>
                <w:rFonts w:ascii="CAIXA Std Book" w:eastAsia="Times New Roman" w:hAnsi="CAIXA Std Book" w:cs="Arial"/>
                <w:color w:val="005CA9"/>
                <w:sz w:val="18"/>
                <w:szCs w:val="18"/>
              </w:rPr>
            </w:pPr>
            <w:r w:rsidRPr="006640BB">
              <w:rPr>
                <w:rFonts w:ascii="CAIXA Std Book" w:eastAsia="Times New Roman" w:hAnsi="CAIXA Std Book" w:cs="Arial"/>
                <w:color w:val="005CA9"/>
                <w:sz w:val="18"/>
                <w:szCs w:val="18"/>
              </w:rPr>
              <w:t>Provisão para perdas esperadas</w:t>
            </w:r>
          </w:p>
        </w:tc>
        <w:tc>
          <w:tcPr>
            <w:tcW w:w="404" w:type="pct"/>
            <w:tcBorders>
              <w:top w:val="nil"/>
              <w:left w:val="nil"/>
              <w:bottom w:val="nil"/>
              <w:right w:val="nil"/>
            </w:tcBorders>
            <w:noWrap/>
            <w:vAlign w:val="center"/>
            <w:hideMark/>
          </w:tcPr>
          <w:p w14:paraId="4B08C5AF" w14:textId="03A1F547" w:rsidR="004A5A9C" w:rsidRPr="006640BB" w:rsidRDefault="00E94899" w:rsidP="004A5A9C">
            <w:pPr>
              <w:jc w:val="right"/>
              <w:rPr>
                <w:rFonts w:ascii="CAIXA Std Book" w:eastAsia="Times New Roman" w:hAnsi="CAIXA Std Book" w:cs="Arial"/>
                <w:color w:val="005CA9"/>
                <w:sz w:val="18"/>
                <w:szCs w:val="18"/>
              </w:rPr>
            </w:pPr>
            <w:r w:rsidRPr="006640BB">
              <w:rPr>
                <w:rFonts w:ascii="CAIXA Std Book" w:hAnsi="CAIXA Std Book" w:cs="Arial"/>
                <w:color w:val="005CA9"/>
                <w:sz w:val="18"/>
                <w:szCs w:val="18"/>
              </w:rPr>
              <w:t>48.280.414</w:t>
            </w:r>
          </w:p>
        </w:tc>
        <w:tc>
          <w:tcPr>
            <w:tcW w:w="410" w:type="pct"/>
            <w:tcBorders>
              <w:top w:val="nil"/>
              <w:left w:val="nil"/>
              <w:bottom w:val="nil"/>
              <w:right w:val="nil"/>
            </w:tcBorders>
            <w:noWrap/>
            <w:vAlign w:val="center"/>
          </w:tcPr>
          <w:p w14:paraId="2A94A025" w14:textId="35C4065A"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5.266.408</w:t>
            </w:r>
          </w:p>
        </w:tc>
        <w:tc>
          <w:tcPr>
            <w:tcW w:w="410" w:type="pct"/>
            <w:tcBorders>
              <w:top w:val="nil"/>
              <w:left w:val="nil"/>
              <w:bottom w:val="nil"/>
              <w:right w:val="nil"/>
            </w:tcBorders>
            <w:vAlign w:val="center"/>
          </w:tcPr>
          <w:p w14:paraId="22D06F8E" w14:textId="3C348CA1"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(5.919.692)</w:t>
            </w:r>
          </w:p>
        </w:tc>
        <w:tc>
          <w:tcPr>
            <w:tcW w:w="414" w:type="pct"/>
            <w:tcBorders>
              <w:top w:val="nil"/>
              <w:left w:val="nil"/>
              <w:bottom w:val="nil"/>
              <w:right w:val="nil"/>
            </w:tcBorders>
            <w:noWrap/>
            <w:vAlign w:val="center"/>
          </w:tcPr>
          <w:p w14:paraId="31545255" w14:textId="4703BF79"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47.627.130</w:t>
            </w:r>
          </w:p>
        </w:tc>
        <w:tc>
          <w:tcPr>
            <w:tcW w:w="404" w:type="pct"/>
            <w:tcBorders>
              <w:top w:val="nil"/>
              <w:left w:val="nil"/>
              <w:bottom w:val="nil"/>
              <w:right w:val="nil"/>
            </w:tcBorders>
            <w:noWrap/>
            <w:vAlign w:val="center"/>
          </w:tcPr>
          <w:p w14:paraId="0AE7661E" w14:textId="387CE56A" w:rsidR="004A5A9C" w:rsidRPr="006640BB" w:rsidRDefault="00E94899" w:rsidP="004A5A9C">
            <w:pPr>
              <w:jc w:val="right"/>
              <w:rPr>
                <w:rFonts w:ascii="CAIXA Std Book" w:eastAsia="Times New Roman" w:hAnsi="CAIXA Std Book" w:cs="Arial"/>
                <w:color w:val="005CA9"/>
                <w:sz w:val="18"/>
                <w:szCs w:val="18"/>
              </w:rPr>
            </w:pPr>
            <w:r w:rsidRPr="006640BB">
              <w:rPr>
                <w:rFonts w:ascii="CAIXA Std Book" w:hAnsi="CAIXA Std Book" w:cs="Arial"/>
                <w:color w:val="005CA9"/>
                <w:sz w:val="18"/>
                <w:szCs w:val="18"/>
              </w:rPr>
              <w:t>48.280.414</w:t>
            </w:r>
          </w:p>
        </w:tc>
        <w:tc>
          <w:tcPr>
            <w:tcW w:w="410" w:type="pct"/>
            <w:tcBorders>
              <w:top w:val="nil"/>
              <w:left w:val="nil"/>
              <w:bottom w:val="nil"/>
              <w:right w:val="nil"/>
            </w:tcBorders>
            <w:noWrap/>
            <w:vAlign w:val="center"/>
          </w:tcPr>
          <w:p w14:paraId="6A453B34" w14:textId="210EA9C0"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5.266.408</w:t>
            </w:r>
          </w:p>
        </w:tc>
        <w:tc>
          <w:tcPr>
            <w:tcW w:w="391" w:type="pct"/>
            <w:tcBorders>
              <w:top w:val="nil"/>
              <w:left w:val="nil"/>
              <w:bottom w:val="nil"/>
              <w:right w:val="nil"/>
            </w:tcBorders>
            <w:vAlign w:val="center"/>
          </w:tcPr>
          <w:p w14:paraId="7CFD1D78" w14:textId="4A92E378"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(5.919.692)</w:t>
            </w:r>
          </w:p>
        </w:tc>
        <w:tc>
          <w:tcPr>
            <w:tcW w:w="404" w:type="pct"/>
            <w:tcBorders>
              <w:top w:val="nil"/>
              <w:left w:val="nil"/>
              <w:bottom w:val="nil"/>
              <w:right w:val="nil"/>
            </w:tcBorders>
            <w:noWrap/>
            <w:vAlign w:val="center"/>
          </w:tcPr>
          <w:p w14:paraId="15606DCC" w14:textId="002D5FB2"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47.627.130</w:t>
            </w:r>
          </w:p>
        </w:tc>
      </w:tr>
      <w:tr w:rsidR="00165917" w:rsidRPr="004A5A9C" w14:paraId="707B07BC" w14:textId="77777777" w:rsidTr="006736FE">
        <w:trPr>
          <w:trHeight w:val="283"/>
        </w:trPr>
        <w:tc>
          <w:tcPr>
            <w:tcW w:w="1753" w:type="pct"/>
            <w:tcBorders>
              <w:top w:val="nil"/>
              <w:left w:val="nil"/>
              <w:bottom w:val="nil"/>
              <w:right w:val="nil"/>
            </w:tcBorders>
            <w:vAlign w:val="center"/>
            <w:hideMark/>
          </w:tcPr>
          <w:p w14:paraId="380F7FE8" w14:textId="77777777" w:rsidR="004A5A9C" w:rsidRPr="006640BB" w:rsidRDefault="004A5A9C" w:rsidP="004A5A9C">
            <w:pPr>
              <w:ind w:firstLineChars="100" w:firstLine="180"/>
              <w:rPr>
                <w:rFonts w:ascii="CAIXA Std Book" w:eastAsia="Times New Roman" w:hAnsi="CAIXA Std Book" w:cs="Arial"/>
                <w:color w:val="005CA9"/>
                <w:sz w:val="18"/>
                <w:szCs w:val="18"/>
              </w:rPr>
            </w:pPr>
            <w:r w:rsidRPr="006640BB">
              <w:rPr>
                <w:rFonts w:ascii="CAIXA Std Book" w:eastAsia="Times New Roman" w:hAnsi="CAIXA Std Book" w:cs="Arial"/>
                <w:color w:val="005CA9"/>
                <w:sz w:val="18"/>
                <w:szCs w:val="18"/>
              </w:rPr>
              <w:t>Passivos atuariais</w:t>
            </w:r>
          </w:p>
        </w:tc>
        <w:tc>
          <w:tcPr>
            <w:tcW w:w="404" w:type="pct"/>
            <w:tcBorders>
              <w:top w:val="nil"/>
              <w:left w:val="nil"/>
              <w:bottom w:val="nil"/>
              <w:right w:val="nil"/>
            </w:tcBorders>
            <w:noWrap/>
            <w:vAlign w:val="center"/>
            <w:hideMark/>
          </w:tcPr>
          <w:p w14:paraId="45AAB2BC" w14:textId="774B49BB" w:rsidR="004A5A9C" w:rsidRPr="006640BB" w:rsidRDefault="00E94899" w:rsidP="004A5A9C">
            <w:pPr>
              <w:jc w:val="right"/>
              <w:rPr>
                <w:rFonts w:ascii="CAIXA Std Book" w:eastAsia="Times New Roman" w:hAnsi="CAIXA Std Book" w:cs="Arial"/>
                <w:color w:val="005CA9"/>
                <w:sz w:val="18"/>
                <w:szCs w:val="18"/>
              </w:rPr>
            </w:pPr>
            <w:r w:rsidRPr="006640BB">
              <w:rPr>
                <w:rFonts w:ascii="CAIXA Std Book" w:hAnsi="CAIXA Std Book" w:cs="Arial"/>
                <w:color w:val="005CA9"/>
                <w:sz w:val="18"/>
                <w:szCs w:val="18"/>
              </w:rPr>
              <w:t>2.408.461</w:t>
            </w:r>
          </w:p>
        </w:tc>
        <w:tc>
          <w:tcPr>
            <w:tcW w:w="410" w:type="pct"/>
            <w:tcBorders>
              <w:top w:val="nil"/>
              <w:left w:val="nil"/>
              <w:bottom w:val="nil"/>
              <w:right w:val="nil"/>
            </w:tcBorders>
            <w:noWrap/>
            <w:vAlign w:val="center"/>
          </w:tcPr>
          <w:p w14:paraId="4097ACC4" w14:textId="75D56DA1"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33.019</w:t>
            </w:r>
          </w:p>
        </w:tc>
        <w:tc>
          <w:tcPr>
            <w:tcW w:w="410" w:type="pct"/>
            <w:tcBorders>
              <w:top w:val="nil"/>
              <w:left w:val="nil"/>
              <w:bottom w:val="nil"/>
              <w:right w:val="nil"/>
            </w:tcBorders>
            <w:vAlign w:val="center"/>
          </w:tcPr>
          <w:p w14:paraId="15CBA636" w14:textId="17DBB02D"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(41.168)</w:t>
            </w:r>
          </w:p>
        </w:tc>
        <w:tc>
          <w:tcPr>
            <w:tcW w:w="414" w:type="pct"/>
            <w:tcBorders>
              <w:top w:val="nil"/>
              <w:left w:val="nil"/>
              <w:bottom w:val="nil"/>
              <w:right w:val="nil"/>
            </w:tcBorders>
            <w:noWrap/>
            <w:vAlign w:val="center"/>
          </w:tcPr>
          <w:p w14:paraId="40B41246" w14:textId="62027D65"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2.400.312</w:t>
            </w:r>
          </w:p>
        </w:tc>
        <w:tc>
          <w:tcPr>
            <w:tcW w:w="404" w:type="pct"/>
            <w:tcBorders>
              <w:top w:val="nil"/>
              <w:left w:val="nil"/>
              <w:bottom w:val="nil"/>
              <w:right w:val="nil"/>
            </w:tcBorders>
            <w:noWrap/>
            <w:vAlign w:val="center"/>
          </w:tcPr>
          <w:p w14:paraId="572DEB28" w14:textId="2A79F764" w:rsidR="004A5A9C" w:rsidRPr="006640BB" w:rsidRDefault="00E94899" w:rsidP="004A5A9C">
            <w:pPr>
              <w:jc w:val="right"/>
              <w:rPr>
                <w:rFonts w:ascii="CAIXA Std Book" w:eastAsia="Times New Roman" w:hAnsi="CAIXA Std Book" w:cs="Arial"/>
                <w:color w:val="005CA9"/>
                <w:sz w:val="18"/>
                <w:szCs w:val="18"/>
              </w:rPr>
            </w:pPr>
            <w:r w:rsidRPr="006640BB">
              <w:rPr>
                <w:rFonts w:ascii="CAIXA Std Book" w:hAnsi="CAIXA Std Book" w:cs="Arial"/>
                <w:color w:val="005CA9"/>
                <w:sz w:val="18"/>
                <w:szCs w:val="18"/>
              </w:rPr>
              <w:t>2.408.461</w:t>
            </w:r>
          </w:p>
        </w:tc>
        <w:tc>
          <w:tcPr>
            <w:tcW w:w="410" w:type="pct"/>
            <w:tcBorders>
              <w:top w:val="nil"/>
              <w:left w:val="nil"/>
              <w:bottom w:val="nil"/>
              <w:right w:val="nil"/>
            </w:tcBorders>
            <w:noWrap/>
            <w:vAlign w:val="center"/>
          </w:tcPr>
          <w:p w14:paraId="17A354AC" w14:textId="67BCCEC2"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33.019</w:t>
            </w:r>
          </w:p>
        </w:tc>
        <w:tc>
          <w:tcPr>
            <w:tcW w:w="391" w:type="pct"/>
            <w:tcBorders>
              <w:top w:val="nil"/>
              <w:left w:val="nil"/>
              <w:bottom w:val="nil"/>
              <w:right w:val="nil"/>
            </w:tcBorders>
            <w:vAlign w:val="center"/>
          </w:tcPr>
          <w:p w14:paraId="6FF3F69D" w14:textId="5154D0ED"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(41.168)</w:t>
            </w:r>
          </w:p>
        </w:tc>
        <w:tc>
          <w:tcPr>
            <w:tcW w:w="404" w:type="pct"/>
            <w:tcBorders>
              <w:top w:val="nil"/>
              <w:left w:val="nil"/>
              <w:bottom w:val="nil"/>
              <w:right w:val="nil"/>
            </w:tcBorders>
            <w:noWrap/>
            <w:vAlign w:val="center"/>
          </w:tcPr>
          <w:p w14:paraId="7D48E4B6" w14:textId="3DE00444"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2.400.312</w:t>
            </w:r>
          </w:p>
        </w:tc>
      </w:tr>
      <w:tr w:rsidR="00165917" w:rsidRPr="004A5A9C" w14:paraId="574824DE" w14:textId="77777777" w:rsidTr="00685DDC">
        <w:trPr>
          <w:trHeight w:val="283"/>
        </w:trPr>
        <w:tc>
          <w:tcPr>
            <w:tcW w:w="1753" w:type="pct"/>
            <w:tcBorders>
              <w:top w:val="nil"/>
              <w:left w:val="nil"/>
              <w:bottom w:val="nil"/>
              <w:right w:val="nil"/>
            </w:tcBorders>
            <w:vAlign w:val="center"/>
            <w:hideMark/>
          </w:tcPr>
          <w:p w14:paraId="3AE4AD9C" w14:textId="77777777" w:rsidR="004A5A9C" w:rsidRPr="006640BB" w:rsidRDefault="004A5A9C" w:rsidP="004A5A9C">
            <w:pPr>
              <w:ind w:firstLineChars="100" w:firstLine="180"/>
              <w:rPr>
                <w:rFonts w:ascii="CAIXA Std Book" w:eastAsia="Times New Roman" w:hAnsi="CAIXA Std Book" w:cs="Arial"/>
                <w:color w:val="005CA9"/>
                <w:sz w:val="18"/>
                <w:szCs w:val="18"/>
              </w:rPr>
            </w:pPr>
            <w:r w:rsidRPr="006640BB">
              <w:rPr>
                <w:rFonts w:ascii="CAIXA Std Book" w:eastAsia="Times New Roman" w:hAnsi="CAIXA Std Book" w:cs="Arial"/>
                <w:color w:val="005CA9"/>
                <w:sz w:val="18"/>
                <w:szCs w:val="18"/>
              </w:rPr>
              <w:t>Provisões trabalhistas</w:t>
            </w:r>
          </w:p>
        </w:tc>
        <w:tc>
          <w:tcPr>
            <w:tcW w:w="404" w:type="pct"/>
            <w:tcBorders>
              <w:top w:val="nil"/>
              <w:left w:val="nil"/>
              <w:bottom w:val="nil"/>
              <w:right w:val="nil"/>
            </w:tcBorders>
            <w:noWrap/>
            <w:vAlign w:val="center"/>
            <w:hideMark/>
          </w:tcPr>
          <w:p w14:paraId="71E50C51" w14:textId="1E5879D4" w:rsidR="004A5A9C" w:rsidRPr="006640BB" w:rsidRDefault="00E94899" w:rsidP="004A5A9C">
            <w:pPr>
              <w:jc w:val="right"/>
              <w:rPr>
                <w:rFonts w:ascii="CAIXA Std Book" w:eastAsia="Times New Roman" w:hAnsi="CAIXA Std Book" w:cs="Arial"/>
                <w:color w:val="005CA9"/>
                <w:sz w:val="18"/>
                <w:szCs w:val="18"/>
              </w:rPr>
            </w:pPr>
            <w:r w:rsidRPr="006640BB">
              <w:rPr>
                <w:rFonts w:ascii="CAIXA Std Book" w:hAnsi="CAIXA Std Book" w:cs="Arial"/>
                <w:color w:val="005CA9"/>
                <w:sz w:val="18"/>
                <w:szCs w:val="18"/>
              </w:rPr>
              <w:t>2.026.517</w:t>
            </w:r>
          </w:p>
        </w:tc>
        <w:tc>
          <w:tcPr>
            <w:tcW w:w="410" w:type="pct"/>
            <w:tcBorders>
              <w:top w:val="nil"/>
              <w:left w:val="nil"/>
              <w:bottom w:val="nil"/>
              <w:right w:val="nil"/>
            </w:tcBorders>
            <w:noWrap/>
            <w:vAlign w:val="center"/>
          </w:tcPr>
          <w:p w14:paraId="7B1666AC" w14:textId="14917DBC"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39.296</w:t>
            </w:r>
          </w:p>
        </w:tc>
        <w:tc>
          <w:tcPr>
            <w:tcW w:w="410" w:type="pct"/>
            <w:tcBorders>
              <w:top w:val="nil"/>
              <w:left w:val="nil"/>
              <w:bottom w:val="nil"/>
              <w:right w:val="nil"/>
            </w:tcBorders>
            <w:vAlign w:val="center"/>
          </w:tcPr>
          <w:p w14:paraId="256DE061" w14:textId="2C915A4F" w:rsidR="004A5A9C" w:rsidRPr="006640BB" w:rsidRDefault="006736FE" w:rsidP="00685DDC">
            <w:pPr>
              <w:jc w:val="center"/>
              <w:rPr>
                <w:rFonts w:ascii="CAIXA Std Book" w:eastAsia="Times New Roman" w:hAnsi="CAIXA Std Book" w:cs="Arial"/>
                <w:color w:val="005CA9"/>
                <w:sz w:val="18"/>
                <w:szCs w:val="18"/>
              </w:rPr>
            </w:pPr>
            <w:r>
              <w:rPr>
                <w:rFonts w:ascii="CAIXA Std Book" w:hAnsi="CAIXA Std Book" w:cs="Arial"/>
                <w:color w:val="005CA9"/>
                <w:sz w:val="18"/>
                <w:szCs w:val="18"/>
              </w:rPr>
              <w:t>-</w:t>
            </w:r>
          </w:p>
        </w:tc>
        <w:tc>
          <w:tcPr>
            <w:tcW w:w="414" w:type="pct"/>
            <w:tcBorders>
              <w:top w:val="nil"/>
              <w:left w:val="nil"/>
              <w:bottom w:val="nil"/>
              <w:right w:val="nil"/>
            </w:tcBorders>
            <w:noWrap/>
            <w:vAlign w:val="center"/>
          </w:tcPr>
          <w:p w14:paraId="0345A183" w14:textId="5F424756"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2.065.813</w:t>
            </w:r>
          </w:p>
        </w:tc>
        <w:tc>
          <w:tcPr>
            <w:tcW w:w="404" w:type="pct"/>
            <w:tcBorders>
              <w:top w:val="nil"/>
              <w:left w:val="nil"/>
              <w:bottom w:val="nil"/>
              <w:right w:val="nil"/>
            </w:tcBorders>
            <w:noWrap/>
            <w:vAlign w:val="center"/>
          </w:tcPr>
          <w:p w14:paraId="2151E1E1" w14:textId="24146FAD" w:rsidR="004A5A9C" w:rsidRPr="006640BB" w:rsidRDefault="00E94899" w:rsidP="004A5A9C">
            <w:pPr>
              <w:jc w:val="right"/>
              <w:rPr>
                <w:rFonts w:ascii="CAIXA Std Book" w:eastAsia="Times New Roman" w:hAnsi="CAIXA Std Book" w:cs="Arial"/>
                <w:color w:val="005CA9"/>
                <w:sz w:val="18"/>
                <w:szCs w:val="18"/>
              </w:rPr>
            </w:pPr>
            <w:r w:rsidRPr="006640BB">
              <w:rPr>
                <w:rFonts w:ascii="CAIXA Std Book" w:hAnsi="CAIXA Std Book" w:cs="Arial"/>
                <w:color w:val="005CA9"/>
                <w:sz w:val="18"/>
                <w:szCs w:val="18"/>
              </w:rPr>
              <w:t>2.026.517</w:t>
            </w:r>
          </w:p>
        </w:tc>
        <w:tc>
          <w:tcPr>
            <w:tcW w:w="410" w:type="pct"/>
            <w:tcBorders>
              <w:top w:val="nil"/>
              <w:left w:val="nil"/>
              <w:bottom w:val="nil"/>
              <w:right w:val="nil"/>
            </w:tcBorders>
            <w:noWrap/>
            <w:vAlign w:val="center"/>
          </w:tcPr>
          <w:p w14:paraId="5D532C90" w14:textId="56107B52"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39.296</w:t>
            </w:r>
          </w:p>
        </w:tc>
        <w:tc>
          <w:tcPr>
            <w:tcW w:w="391" w:type="pct"/>
            <w:tcBorders>
              <w:top w:val="nil"/>
              <w:left w:val="nil"/>
              <w:bottom w:val="nil"/>
              <w:right w:val="nil"/>
            </w:tcBorders>
            <w:vAlign w:val="center"/>
          </w:tcPr>
          <w:p w14:paraId="5AE16727" w14:textId="5157D1BA" w:rsidR="004A5A9C" w:rsidRPr="006640BB" w:rsidRDefault="006736FE" w:rsidP="00685DDC">
            <w:pPr>
              <w:jc w:val="center"/>
              <w:rPr>
                <w:rFonts w:ascii="CAIXA Std Book" w:eastAsia="Times New Roman" w:hAnsi="CAIXA Std Book" w:cs="Arial"/>
                <w:color w:val="005CA9"/>
                <w:sz w:val="18"/>
                <w:szCs w:val="18"/>
              </w:rPr>
            </w:pPr>
            <w:r>
              <w:rPr>
                <w:rFonts w:ascii="CAIXA Std Book" w:hAnsi="CAIXA Std Book" w:cs="Arial"/>
                <w:color w:val="005CA9"/>
                <w:sz w:val="18"/>
                <w:szCs w:val="18"/>
              </w:rPr>
              <w:t>-</w:t>
            </w:r>
          </w:p>
        </w:tc>
        <w:tc>
          <w:tcPr>
            <w:tcW w:w="404" w:type="pct"/>
            <w:tcBorders>
              <w:top w:val="nil"/>
              <w:left w:val="nil"/>
              <w:bottom w:val="nil"/>
              <w:right w:val="nil"/>
            </w:tcBorders>
            <w:noWrap/>
            <w:vAlign w:val="center"/>
          </w:tcPr>
          <w:p w14:paraId="143F3104" w14:textId="3115BDB7"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2.065.813</w:t>
            </w:r>
          </w:p>
        </w:tc>
      </w:tr>
      <w:tr w:rsidR="00165917" w:rsidRPr="004A5A9C" w14:paraId="6427D4C0" w14:textId="77777777" w:rsidTr="006736FE">
        <w:trPr>
          <w:trHeight w:val="283"/>
        </w:trPr>
        <w:tc>
          <w:tcPr>
            <w:tcW w:w="1753" w:type="pct"/>
            <w:tcBorders>
              <w:top w:val="nil"/>
              <w:left w:val="nil"/>
              <w:bottom w:val="nil"/>
              <w:right w:val="nil"/>
            </w:tcBorders>
            <w:vAlign w:val="center"/>
            <w:hideMark/>
          </w:tcPr>
          <w:p w14:paraId="05BB3E41" w14:textId="5C6AB05C" w:rsidR="004A5A9C" w:rsidRPr="006640BB" w:rsidRDefault="004A5A9C" w:rsidP="004A5A9C">
            <w:pPr>
              <w:ind w:firstLineChars="100" w:firstLine="180"/>
              <w:rPr>
                <w:rFonts w:ascii="CAIXA Std Book" w:eastAsia="Times New Roman" w:hAnsi="CAIXA Std Book" w:cs="Arial"/>
                <w:color w:val="005CA9"/>
                <w:sz w:val="18"/>
                <w:szCs w:val="18"/>
              </w:rPr>
            </w:pPr>
            <w:r w:rsidRPr="006640BB">
              <w:rPr>
                <w:rFonts w:ascii="CAIXA Std Book" w:eastAsia="Times New Roman" w:hAnsi="CAIXA Std Book" w:cs="Arial"/>
                <w:color w:val="005CA9"/>
                <w:sz w:val="18"/>
                <w:szCs w:val="18"/>
              </w:rPr>
              <w:t xml:space="preserve">Ajuste a </w:t>
            </w:r>
            <w:r w:rsidR="00D033D9" w:rsidRPr="006640BB">
              <w:rPr>
                <w:rFonts w:ascii="CAIXA Std Book" w:eastAsia="Times New Roman" w:hAnsi="CAIXA Std Book" w:cs="Arial"/>
                <w:color w:val="005CA9"/>
                <w:sz w:val="18"/>
                <w:szCs w:val="18"/>
              </w:rPr>
              <w:t>valor justo</w:t>
            </w:r>
            <w:r w:rsidRPr="006640BB">
              <w:rPr>
                <w:rFonts w:ascii="CAIXA Std Book" w:eastAsia="Times New Roman" w:hAnsi="CAIXA Std Book" w:cs="Arial"/>
                <w:color w:val="005CA9"/>
                <w:sz w:val="18"/>
                <w:szCs w:val="18"/>
              </w:rPr>
              <w:t xml:space="preserve"> de instrumentos derivativos</w:t>
            </w:r>
          </w:p>
        </w:tc>
        <w:tc>
          <w:tcPr>
            <w:tcW w:w="404" w:type="pct"/>
            <w:tcBorders>
              <w:top w:val="nil"/>
              <w:left w:val="nil"/>
              <w:bottom w:val="nil"/>
              <w:right w:val="nil"/>
            </w:tcBorders>
            <w:noWrap/>
            <w:vAlign w:val="center"/>
            <w:hideMark/>
          </w:tcPr>
          <w:p w14:paraId="7B5002C6" w14:textId="43468D43" w:rsidR="004A5A9C" w:rsidRPr="006640BB" w:rsidRDefault="00E94899" w:rsidP="004A5A9C">
            <w:pPr>
              <w:jc w:val="right"/>
              <w:rPr>
                <w:rFonts w:ascii="CAIXA Std Book" w:eastAsia="Times New Roman" w:hAnsi="CAIXA Std Book" w:cs="Arial"/>
                <w:color w:val="005CA9"/>
                <w:sz w:val="18"/>
                <w:szCs w:val="18"/>
              </w:rPr>
            </w:pPr>
            <w:r w:rsidRPr="006640BB">
              <w:rPr>
                <w:rFonts w:ascii="CAIXA Std Book" w:hAnsi="CAIXA Std Book" w:cs="Arial"/>
                <w:color w:val="005CA9"/>
                <w:sz w:val="18"/>
                <w:szCs w:val="18"/>
              </w:rPr>
              <w:t>216.683</w:t>
            </w:r>
          </w:p>
        </w:tc>
        <w:tc>
          <w:tcPr>
            <w:tcW w:w="410" w:type="pct"/>
            <w:tcBorders>
              <w:top w:val="nil"/>
              <w:left w:val="nil"/>
              <w:bottom w:val="nil"/>
              <w:right w:val="nil"/>
            </w:tcBorders>
            <w:noWrap/>
            <w:vAlign w:val="center"/>
          </w:tcPr>
          <w:p w14:paraId="47876ADA" w14:textId="0CB7A8C1"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267.534</w:t>
            </w:r>
          </w:p>
        </w:tc>
        <w:tc>
          <w:tcPr>
            <w:tcW w:w="410" w:type="pct"/>
            <w:tcBorders>
              <w:top w:val="nil"/>
              <w:left w:val="nil"/>
              <w:bottom w:val="nil"/>
              <w:right w:val="nil"/>
            </w:tcBorders>
            <w:vAlign w:val="center"/>
          </w:tcPr>
          <w:p w14:paraId="311B1007" w14:textId="7CD1A6E9"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(112.423)</w:t>
            </w:r>
          </w:p>
        </w:tc>
        <w:tc>
          <w:tcPr>
            <w:tcW w:w="414" w:type="pct"/>
            <w:tcBorders>
              <w:top w:val="nil"/>
              <w:left w:val="nil"/>
              <w:bottom w:val="nil"/>
              <w:right w:val="nil"/>
            </w:tcBorders>
            <w:noWrap/>
            <w:vAlign w:val="center"/>
          </w:tcPr>
          <w:p w14:paraId="7642A66B" w14:textId="11FD3EB2"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371.794</w:t>
            </w:r>
          </w:p>
        </w:tc>
        <w:tc>
          <w:tcPr>
            <w:tcW w:w="404" w:type="pct"/>
            <w:tcBorders>
              <w:top w:val="nil"/>
              <w:left w:val="nil"/>
              <w:bottom w:val="nil"/>
              <w:right w:val="nil"/>
            </w:tcBorders>
            <w:noWrap/>
            <w:vAlign w:val="center"/>
          </w:tcPr>
          <w:p w14:paraId="75F75AD1" w14:textId="3F0D0A1A" w:rsidR="004A5A9C" w:rsidRPr="006640BB" w:rsidRDefault="00E94899" w:rsidP="004A5A9C">
            <w:pPr>
              <w:jc w:val="right"/>
              <w:rPr>
                <w:rFonts w:ascii="CAIXA Std Book" w:eastAsia="Times New Roman" w:hAnsi="CAIXA Std Book" w:cs="Arial"/>
                <w:color w:val="005CA9"/>
                <w:sz w:val="18"/>
                <w:szCs w:val="18"/>
              </w:rPr>
            </w:pPr>
            <w:r w:rsidRPr="006640BB">
              <w:rPr>
                <w:rFonts w:ascii="CAIXA Std Book" w:hAnsi="CAIXA Std Book" w:cs="Arial"/>
                <w:color w:val="005CA9"/>
                <w:sz w:val="18"/>
                <w:szCs w:val="18"/>
              </w:rPr>
              <w:t>216.683</w:t>
            </w:r>
          </w:p>
        </w:tc>
        <w:tc>
          <w:tcPr>
            <w:tcW w:w="410" w:type="pct"/>
            <w:tcBorders>
              <w:top w:val="nil"/>
              <w:left w:val="nil"/>
              <w:bottom w:val="nil"/>
              <w:right w:val="nil"/>
            </w:tcBorders>
            <w:noWrap/>
            <w:vAlign w:val="center"/>
          </w:tcPr>
          <w:p w14:paraId="2D63FF2F" w14:textId="2A1BD399"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267.534</w:t>
            </w:r>
          </w:p>
        </w:tc>
        <w:tc>
          <w:tcPr>
            <w:tcW w:w="391" w:type="pct"/>
            <w:tcBorders>
              <w:top w:val="nil"/>
              <w:left w:val="nil"/>
              <w:bottom w:val="nil"/>
              <w:right w:val="nil"/>
            </w:tcBorders>
            <w:vAlign w:val="center"/>
          </w:tcPr>
          <w:p w14:paraId="70418045" w14:textId="08915E51"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(112.423)</w:t>
            </w:r>
          </w:p>
        </w:tc>
        <w:tc>
          <w:tcPr>
            <w:tcW w:w="404" w:type="pct"/>
            <w:tcBorders>
              <w:top w:val="nil"/>
              <w:left w:val="nil"/>
              <w:bottom w:val="nil"/>
              <w:right w:val="nil"/>
            </w:tcBorders>
            <w:noWrap/>
            <w:vAlign w:val="center"/>
          </w:tcPr>
          <w:p w14:paraId="1BE2BAE0" w14:textId="4BDBF2B6"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371.794</w:t>
            </w:r>
          </w:p>
        </w:tc>
      </w:tr>
      <w:tr w:rsidR="00165917" w:rsidRPr="004A5A9C" w14:paraId="6D022AAF" w14:textId="77777777" w:rsidTr="00685DDC">
        <w:trPr>
          <w:trHeight w:val="283"/>
        </w:trPr>
        <w:tc>
          <w:tcPr>
            <w:tcW w:w="1753" w:type="pct"/>
            <w:tcBorders>
              <w:top w:val="nil"/>
              <w:left w:val="nil"/>
              <w:bottom w:val="nil"/>
              <w:right w:val="nil"/>
            </w:tcBorders>
            <w:vAlign w:val="center"/>
            <w:hideMark/>
          </w:tcPr>
          <w:p w14:paraId="6719BE7C" w14:textId="6F6AB10B" w:rsidR="004A5A9C" w:rsidRPr="006640BB" w:rsidRDefault="004A5A9C" w:rsidP="004A5A9C">
            <w:pPr>
              <w:ind w:firstLineChars="100" w:firstLine="180"/>
              <w:rPr>
                <w:rFonts w:ascii="CAIXA Std Book" w:eastAsia="Times New Roman" w:hAnsi="CAIXA Std Book" w:cs="Arial"/>
                <w:color w:val="005CA9"/>
                <w:sz w:val="18"/>
                <w:szCs w:val="18"/>
              </w:rPr>
            </w:pPr>
            <w:r w:rsidRPr="006640BB">
              <w:rPr>
                <w:rFonts w:ascii="CAIXA Std Book" w:eastAsia="Times New Roman" w:hAnsi="CAIXA Std Book" w:cs="Arial"/>
                <w:color w:val="005CA9"/>
                <w:sz w:val="18"/>
                <w:szCs w:val="18"/>
              </w:rPr>
              <w:t>Provisão para perdas – FCVS a receber</w:t>
            </w:r>
          </w:p>
        </w:tc>
        <w:tc>
          <w:tcPr>
            <w:tcW w:w="404" w:type="pct"/>
            <w:tcBorders>
              <w:top w:val="nil"/>
              <w:left w:val="nil"/>
              <w:bottom w:val="nil"/>
              <w:right w:val="nil"/>
            </w:tcBorders>
            <w:noWrap/>
            <w:vAlign w:val="center"/>
            <w:hideMark/>
          </w:tcPr>
          <w:p w14:paraId="61AD9B19" w14:textId="04A6159D" w:rsidR="004A5A9C" w:rsidRPr="006640BB" w:rsidRDefault="00E94899" w:rsidP="004A5A9C">
            <w:pPr>
              <w:jc w:val="right"/>
              <w:rPr>
                <w:rFonts w:ascii="CAIXA Std Book" w:eastAsia="Times New Roman" w:hAnsi="CAIXA Std Book" w:cs="Arial"/>
                <w:color w:val="005CA9"/>
                <w:sz w:val="18"/>
                <w:szCs w:val="18"/>
              </w:rPr>
            </w:pPr>
            <w:r w:rsidRPr="006640BB">
              <w:rPr>
                <w:rFonts w:ascii="CAIXA Std Book" w:hAnsi="CAIXA Std Book" w:cs="Arial"/>
                <w:color w:val="005CA9"/>
                <w:sz w:val="18"/>
                <w:szCs w:val="18"/>
              </w:rPr>
              <w:t>3.993.660</w:t>
            </w:r>
          </w:p>
        </w:tc>
        <w:tc>
          <w:tcPr>
            <w:tcW w:w="410" w:type="pct"/>
            <w:tcBorders>
              <w:top w:val="nil"/>
              <w:left w:val="nil"/>
              <w:bottom w:val="nil"/>
              <w:right w:val="nil"/>
            </w:tcBorders>
            <w:noWrap/>
            <w:vAlign w:val="center"/>
          </w:tcPr>
          <w:p w14:paraId="5C23F82E" w14:textId="3B5AE47E" w:rsidR="004A5A9C" w:rsidRPr="006640BB" w:rsidRDefault="006736FE" w:rsidP="00685DDC">
            <w:pPr>
              <w:jc w:val="center"/>
              <w:rPr>
                <w:rFonts w:ascii="CAIXA Std Book" w:eastAsia="Times New Roman" w:hAnsi="CAIXA Std Book" w:cs="Arial"/>
                <w:color w:val="005CA9"/>
                <w:sz w:val="18"/>
                <w:szCs w:val="18"/>
              </w:rPr>
            </w:pPr>
            <w:r>
              <w:rPr>
                <w:rFonts w:ascii="CAIXA Std Book" w:hAnsi="CAIXA Std Book" w:cs="Arial"/>
                <w:color w:val="005CA9"/>
                <w:sz w:val="18"/>
                <w:szCs w:val="18"/>
              </w:rPr>
              <w:t>-</w:t>
            </w:r>
          </w:p>
        </w:tc>
        <w:tc>
          <w:tcPr>
            <w:tcW w:w="410" w:type="pct"/>
            <w:tcBorders>
              <w:top w:val="nil"/>
              <w:left w:val="nil"/>
              <w:bottom w:val="nil"/>
              <w:right w:val="nil"/>
            </w:tcBorders>
            <w:vAlign w:val="center"/>
          </w:tcPr>
          <w:p w14:paraId="6AF4DE57" w14:textId="28FC8799"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(45.152)</w:t>
            </w:r>
          </w:p>
        </w:tc>
        <w:tc>
          <w:tcPr>
            <w:tcW w:w="414" w:type="pct"/>
            <w:tcBorders>
              <w:top w:val="nil"/>
              <w:left w:val="nil"/>
              <w:bottom w:val="nil"/>
              <w:right w:val="nil"/>
            </w:tcBorders>
            <w:noWrap/>
            <w:vAlign w:val="center"/>
          </w:tcPr>
          <w:p w14:paraId="4F02A372" w14:textId="7AEAB98B"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3.948.508</w:t>
            </w:r>
          </w:p>
        </w:tc>
        <w:tc>
          <w:tcPr>
            <w:tcW w:w="404" w:type="pct"/>
            <w:tcBorders>
              <w:top w:val="nil"/>
              <w:left w:val="nil"/>
              <w:bottom w:val="nil"/>
              <w:right w:val="nil"/>
            </w:tcBorders>
            <w:noWrap/>
            <w:vAlign w:val="center"/>
          </w:tcPr>
          <w:p w14:paraId="33451F5C" w14:textId="72496182" w:rsidR="004A5A9C" w:rsidRPr="006640BB" w:rsidRDefault="00E94899" w:rsidP="004A5A9C">
            <w:pPr>
              <w:jc w:val="right"/>
              <w:rPr>
                <w:rFonts w:ascii="CAIXA Std Book" w:eastAsia="Times New Roman" w:hAnsi="CAIXA Std Book" w:cs="Arial"/>
                <w:color w:val="005CA9"/>
                <w:sz w:val="18"/>
                <w:szCs w:val="18"/>
              </w:rPr>
            </w:pPr>
            <w:r w:rsidRPr="006640BB">
              <w:rPr>
                <w:rFonts w:ascii="CAIXA Std Book" w:hAnsi="CAIXA Std Book" w:cs="Arial"/>
                <w:color w:val="005CA9"/>
                <w:sz w:val="18"/>
                <w:szCs w:val="18"/>
              </w:rPr>
              <w:t>3.993.660</w:t>
            </w:r>
          </w:p>
        </w:tc>
        <w:tc>
          <w:tcPr>
            <w:tcW w:w="410" w:type="pct"/>
            <w:tcBorders>
              <w:top w:val="nil"/>
              <w:left w:val="nil"/>
              <w:bottom w:val="nil"/>
              <w:right w:val="nil"/>
            </w:tcBorders>
            <w:noWrap/>
            <w:vAlign w:val="center"/>
          </w:tcPr>
          <w:p w14:paraId="7DD0E92E" w14:textId="4FFB0D2D" w:rsidR="004A5A9C" w:rsidRPr="006640BB" w:rsidRDefault="006736FE" w:rsidP="00685DDC">
            <w:pPr>
              <w:jc w:val="center"/>
              <w:rPr>
                <w:rFonts w:ascii="CAIXA Std Book" w:eastAsia="Times New Roman" w:hAnsi="CAIXA Std Book" w:cs="Arial"/>
                <w:color w:val="005CA9"/>
                <w:sz w:val="18"/>
                <w:szCs w:val="18"/>
              </w:rPr>
            </w:pPr>
            <w:r>
              <w:rPr>
                <w:rFonts w:ascii="CAIXA Std Book" w:hAnsi="CAIXA Std Book" w:cs="Arial"/>
                <w:color w:val="005CA9"/>
                <w:sz w:val="18"/>
                <w:szCs w:val="18"/>
              </w:rPr>
              <w:t>-</w:t>
            </w:r>
          </w:p>
        </w:tc>
        <w:tc>
          <w:tcPr>
            <w:tcW w:w="391" w:type="pct"/>
            <w:tcBorders>
              <w:top w:val="nil"/>
              <w:left w:val="nil"/>
              <w:bottom w:val="nil"/>
              <w:right w:val="nil"/>
            </w:tcBorders>
            <w:vAlign w:val="center"/>
          </w:tcPr>
          <w:p w14:paraId="528E84F8" w14:textId="6D35681D"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(45.152)</w:t>
            </w:r>
          </w:p>
        </w:tc>
        <w:tc>
          <w:tcPr>
            <w:tcW w:w="404" w:type="pct"/>
            <w:tcBorders>
              <w:top w:val="nil"/>
              <w:left w:val="nil"/>
              <w:bottom w:val="nil"/>
              <w:right w:val="nil"/>
            </w:tcBorders>
            <w:noWrap/>
            <w:vAlign w:val="center"/>
          </w:tcPr>
          <w:p w14:paraId="408FF04A" w14:textId="34E80889"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3.948.508</w:t>
            </w:r>
          </w:p>
        </w:tc>
      </w:tr>
      <w:tr w:rsidR="00165917" w:rsidRPr="004A5A9C" w14:paraId="71212220" w14:textId="77777777" w:rsidTr="00685DDC">
        <w:trPr>
          <w:trHeight w:val="283"/>
        </w:trPr>
        <w:tc>
          <w:tcPr>
            <w:tcW w:w="1753" w:type="pct"/>
            <w:tcBorders>
              <w:top w:val="nil"/>
              <w:left w:val="nil"/>
              <w:bottom w:val="nil"/>
              <w:right w:val="nil"/>
            </w:tcBorders>
            <w:vAlign w:val="center"/>
            <w:hideMark/>
          </w:tcPr>
          <w:p w14:paraId="072C79AF" w14:textId="77777777" w:rsidR="004A5A9C" w:rsidRPr="006640BB" w:rsidRDefault="004A5A9C" w:rsidP="004A5A9C">
            <w:pPr>
              <w:ind w:firstLineChars="100" w:firstLine="180"/>
              <w:rPr>
                <w:rFonts w:ascii="CAIXA Std Book" w:eastAsia="Times New Roman" w:hAnsi="CAIXA Std Book" w:cs="Arial"/>
                <w:color w:val="005CA9"/>
                <w:sz w:val="18"/>
                <w:szCs w:val="18"/>
              </w:rPr>
            </w:pPr>
            <w:r w:rsidRPr="006640BB">
              <w:rPr>
                <w:rFonts w:ascii="CAIXA Std Book" w:eastAsia="Times New Roman" w:hAnsi="CAIXA Std Book" w:cs="Arial"/>
                <w:color w:val="005CA9"/>
                <w:sz w:val="18"/>
                <w:szCs w:val="18"/>
              </w:rPr>
              <w:t>Provisões cíveis</w:t>
            </w:r>
          </w:p>
        </w:tc>
        <w:tc>
          <w:tcPr>
            <w:tcW w:w="404" w:type="pct"/>
            <w:tcBorders>
              <w:top w:val="nil"/>
              <w:left w:val="nil"/>
              <w:bottom w:val="nil"/>
              <w:right w:val="nil"/>
            </w:tcBorders>
            <w:noWrap/>
            <w:vAlign w:val="center"/>
            <w:hideMark/>
          </w:tcPr>
          <w:p w14:paraId="5044D6A9" w14:textId="7297EC71" w:rsidR="004A5A9C" w:rsidRPr="006640BB" w:rsidRDefault="00E94899" w:rsidP="004A5A9C">
            <w:pPr>
              <w:jc w:val="right"/>
              <w:rPr>
                <w:rFonts w:ascii="CAIXA Std Book" w:eastAsia="Times New Roman" w:hAnsi="CAIXA Std Book" w:cs="Arial"/>
                <w:color w:val="005CA9"/>
                <w:sz w:val="18"/>
                <w:szCs w:val="18"/>
              </w:rPr>
            </w:pPr>
            <w:r w:rsidRPr="006640BB">
              <w:rPr>
                <w:rFonts w:ascii="CAIXA Std Book" w:hAnsi="CAIXA Std Book" w:cs="Arial"/>
                <w:color w:val="005CA9"/>
                <w:sz w:val="18"/>
                <w:szCs w:val="18"/>
              </w:rPr>
              <w:t>1.513.501</w:t>
            </w:r>
          </w:p>
        </w:tc>
        <w:tc>
          <w:tcPr>
            <w:tcW w:w="410" w:type="pct"/>
            <w:tcBorders>
              <w:top w:val="nil"/>
              <w:left w:val="nil"/>
              <w:bottom w:val="nil"/>
              <w:right w:val="nil"/>
            </w:tcBorders>
            <w:noWrap/>
            <w:vAlign w:val="center"/>
          </w:tcPr>
          <w:p w14:paraId="7BEBF20C" w14:textId="19DCF5D8" w:rsidR="004A5A9C" w:rsidRPr="006640BB" w:rsidRDefault="006736FE" w:rsidP="00B77F81">
            <w:pPr>
              <w:jc w:val="center"/>
              <w:rPr>
                <w:rFonts w:ascii="CAIXA Std Book" w:eastAsia="Times New Roman" w:hAnsi="CAIXA Std Book" w:cs="Arial"/>
                <w:color w:val="005CA9"/>
                <w:sz w:val="18"/>
                <w:szCs w:val="18"/>
              </w:rPr>
            </w:pPr>
            <w:r>
              <w:rPr>
                <w:rFonts w:ascii="CAIXA Std Book" w:hAnsi="CAIXA Std Book" w:cs="Arial"/>
                <w:color w:val="005CA9"/>
                <w:sz w:val="18"/>
                <w:szCs w:val="18"/>
              </w:rPr>
              <w:t>-</w:t>
            </w:r>
          </w:p>
        </w:tc>
        <w:tc>
          <w:tcPr>
            <w:tcW w:w="410" w:type="pct"/>
            <w:tcBorders>
              <w:top w:val="nil"/>
              <w:left w:val="nil"/>
              <w:bottom w:val="nil"/>
              <w:right w:val="nil"/>
            </w:tcBorders>
            <w:vAlign w:val="center"/>
          </w:tcPr>
          <w:p w14:paraId="25B1C2B4" w14:textId="4CD02C1F"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25.069</w:t>
            </w:r>
          </w:p>
        </w:tc>
        <w:tc>
          <w:tcPr>
            <w:tcW w:w="414" w:type="pct"/>
            <w:tcBorders>
              <w:top w:val="nil"/>
              <w:left w:val="nil"/>
              <w:bottom w:val="nil"/>
              <w:right w:val="nil"/>
            </w:tcBorders>
            <w:noWrap/>
            <w:vAlign w:val="center"/>
          </w:tcPr>
          <w:p w14:paraId="2F872F1C" w14:textId="69397421"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1.538.570</w:t>
            </w:r>
          </w:p>
        </w:tc>
        <w:tc>
          <w:tcPr>
            <w:tcW w:w="404" w:type="pct"/>
            <w:tcBorders>
              <w:top w:val="nil"/>
              <w:left w:val="nil"/>
              <w:bottom w:val="nil"/>
              <w:right w:val="nil"/>
            </w:tcBorders>
            <w:noWrap/>
            <w:vAlign w:val="center"/>
          </w:tcPr>
          <w:p w14:paraId="70271618" w14:textId="042E9ECF" w:rsidR="004A5A9C" w:rsidRPr="006640BB" w:rsidRDefault="00E94899" w:rsidP="004A5A9C">
            <w:pPr>
              <w:jc w:val="right"/>
              <w:rPr>
                <w:rFonts w:ascii="CAIXA Std Book" w:eastAsia="Times New Roman" w:hAnsi="CAIXA Std Book" w:cs="Arial"/>
                <w:color w:val="005CA9"/>
                <w:sz w:val="18"/>
                <w:szCs w:val="18"/>
              </w:rPr>
            </w:pPr>
            <w:r w:rsidRPr="006640BB">
              <w:rPr>
                <w:rFonts w:ascii="CAIXA Std Book" w:hAnsi="CAIXA Std Book" w:cs="Arial"/>
                <w:color w:val="005CA9"/>
                <w:sz w:val="18"/>
                <w:szCs w:val="18"/>
              </w:rPr>
              <w:t>1.513.501</w:t>
            </w:r>
          </w:p>
        </w:tc>
        <w:tc>
          <w:tcPr>
            <w:tcW w:w="410" w:type="pct"/>
            <w:tcBorders>
              <w:top w:val="nil"/>
              <w:left w:val="nil"/>
              <w:bottom w:val="nil"/>
              <w:right w:val="nil"/>
            </w:tcBorders>
            <w:noWrap/>
            <w:vAlign w:val="center"/>
          </w:tcPr>
          <w:p w14:paraId="26877727" w14:textId="449C4E1B" w:rsidR="004A5A9C" w:rsidRPr="006640BB" w:rsidRDefault="006736FE" w:rsidP="00B77F81">
            <w:pPr>
              <w:jc w:val="center"/>
              <w:rPr>
                <w:rFonts w:ascii="CAIXA Std Book" w:eastAsia="Times New Roman" w:hAnsi="CAIXA Std Book" w:cs="Arial"/>
                <w:color w:val="005CA9"/>
                <w:sz w:val="18"/>
                <w:szCs w:val="18"/>
              </w:rPr>
            </w:pPr>
            <w:r>
              <w:rPr>
                <w:rFonts w:ascii="CAIXA Std Book" w:hAnsi="CAIXA Std Book" w:cs="Arial"/>
                <w:color w:val="005CA9"/>
                <w:sz w:val="18"/>
                <w:szCs w:val="18"/>
              </w:rPr>
              <w:t>-</w:t>
            </w:r>
          </w:p>
        </w:tc>
        <w:tc>
          <w:tcPr>
            <w:tcW w:w="391" w:type="pct"/>
            <w:tcBorders>
              <w:top w:val="nil"/>
              <w:left w:val="nil"/>
              <w:bottom w:val="nil"/>
              <w:right w:val="nil"/>
            </w:tcBorders>
            <w:vAlign w:val="center"/>
          </w:tcPr>
          <w:p w14:paraId="35F2E451" w14:textId="3B6D2F96"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25.069</w:t>
            </w:r>
          </w:p>
        </w:tc>
        <w:tc>
          <w:tcPr>
            <w:tcW w:w="404" w:type="pct"/>
            <w:tcBorders>
              <w:top w:val="nil"/>
              <w:left w:val="nil"/>
              <w:bottom w:val="nil"/>
              <w:right w:val="nil"/>
            </w:tcBorders>
            <w:noWrap/>
            <w:vAlign w:val="center"/>
          </w:tcPr>
          <w:p w14:paraId="422DC667" w14:textId="66C755CC"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1.538.570</w:t>
            </w:r>
          </w:p>
        </w:tc>
      </w:tr>
      <w:tr w:rsidR="00165917" w:rsidRPr="004A5A9C" w14:paraId="6E84E9CD" w14:textId="77777777" w:rsidTr="00685DDC">
        <w:trPr>
          <w:trHeight w:val="283"/>
        </w:trPr>
        <w:tc>
          <w:tcPr>
            <w:tcW w:w="1753" w:type="pct"/>
            <w:tcBorders>
              <w:top w:val="nil"/>
              <w:left w:val="nil"/>
              <w:bottom w:val="nil"/>
              <w:right w:val="nil"/>
            </w:tcBorders>
            <w:vAlign w:val="center"/>
            <w:hideMark/>
          </w:tcPr>
          <w:p w14:paraId="1F27151F" w14:textId="578C4AB0" w:rsidR="004A5A9C" w:rsidRPr="006640BB" w:rsidRDefault="004A5A9C" w:rsidP="00B4161F">
            <w:pPr>
              <w:ind w:firstLineChars="100" w:firstLine="180"/>
              <w:rPr>
                <w:rFonts w:ascii="CAIXA Std Book" w:eastAsia="Times New Roman" w:hAnsi="CAIXA Std Book" w:cs="Arial"/>
                <w:color w:val="005CA9"/>
                <w:sz w:val="18"/>
                <w:szCs w:val="18"/>
              </w:rPr>
            </w:pPr>
            <w:r w:rsidRPr="006640BB">
              <w:rPr>
                <w:rFonts w:ascii="CAIXA Std Book" w:eastAsia="Times New Roman" w:hAnsi="CAIXA Std Book" w:cs="Arial"/>
                <w:i/>
                <w:color w:val="005CA9"/>
                <w:sz w:val="18"/>
                <w:szCs w:val="18"/>
              </w:rPr>
              <w:t>Impairment</w:t>
            </w:r>
            <w:r w:rsidRPr="006640BB">
              <w:rPr>
                <w:rFonts w:ascii="CAIXA Std Book" w:eastAsia="Times New Roman" w:hAnsi="CAIXA Std Book" w:cs="Arial"/>
                <w:color w:val="005CA9"/>
                <w:sz w:val="18"/>
                <w:szCs w:val="18"/>
              </w:rPr>
              <w:t xml:space="preserve"> – ativos mantidos para venda (AMV)</w:t>
            </w:r>
          </w:p>
        </w:tc>
        <w:tc>
          <w:tcPr>
            <w:tcW w:w="404" w:type="pct"/>
            <w:tcBorders>
              <w:top w:val="nil"/>
              <w:left w:val="nil"/>
              <w:bottom w:val="nil"/>
              <w:right w:val="nil"/>
            </w:tcBorders>
            <w:noWrap/>
            <w:vAlign w:val="center"/>
            <w:hideMark/>
          </w:tcPr>
          <w:p w14:paraId="39620487" w14:textId="4956A509" w:rsidR="004A5A9C" w:rsidRPr="006640BB" w:rsidRDefault="00E94899" w:rsidP="004A5A9C">
            <w:pPr>
              <w:jc w:val="right"/>
              <w:rPr>
                <w:rFonts w:ascii="CAIXA Std Book" w:eastAsia="Times New Roman" w:hAnsi="CAIXA Std Book" w:cs="Arial"/>
                <w:color w:val="005CA9"/>
                <w:sz w:val="18"/>
                <w:szCs w:val="18"/>
              </w:rPr>
            </w:pPr>
            <w:r w:rsidRPr="006640BB">
              <w:rPr>
                <w:rFonts w:ascii="CAIXA Std Book" w:hAnsi="CAIXA Std Book" w:cs="Arial"/>
                <w:color w:val="005CA9"/>
                <w:sz w:val="18"/>
                <w:szCs w:val="18"/>
              </w:rPr>
              <w:t>150.902</w:t>
            </w:r>
          </w:p>
        </w:tc>
        <w:tc>
          <w:tcPr>
            <w:tcW w:w="410" w:type="pct"/>
            <w:tcBorders>
              <w:top w:val="nil"/>
              <w:left w:val="nil"/>
              <w:bottom w:val="nil"/>
              <w:right w:val="nil"/>
            </w:tcBorders>
            <w:noWrap/>
            <w:vAlign w:val="center"/>
          </w:tcPr>
          <w:p w14:paraId="005486B7" w14:textId="5C291225" w:rsidR="004A5A9C" w:rsidRPr="006640BB" w:rsidRDefault="006736FE" w:rsidP="004A5A9C">
            <w:pPr>
              <w:jc w:val="center"/>
              <w:rPr>
                <w:rFonts w:ascii="CAIXA Std Book" w:eastAsia="Times New Roman" w:hAnsi="CAIXA Std Book" w:cs="Arial"/>
                <w:color w:val="005CA9"/>
                <w:sz w:val="18"/>
                <w:szCs w:val="18"/>
              </w:rPr>
            </w:pPr>
            <w:r>
              <w:rPr>
                <w:rFonts w:ascii="CAIXA Std Book" w:hAnsi="CAIXA Std Book" w:cs="Arial"/>
                <w:color w:val="005CA9"/>
                <w:sz w:val="18"/>
                <w:szCs w:val="18"/>
              </w:rPr>
              <w:t>-</w:t>
            </w:r>
          </w:p>
        </w:tc>
        <w:tc>
          <w:tcPr>
            <w:tcW w:w="410" w:type="pct"/>
            <w:tcBorders>
              <w:top w:val="nil"/>
              <w:left w:val="nil"/>
              <w:bottom w:val="nil"/>
              <w:right w:val="nil"/>
            </w:tcBorders>
            <w:vAlign w:val="center"/>
          </w:tcPr>
          <w:p w14:paraId="45C0BB86" w14:textId="2EA9EE75"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(8.839)</w:t>
            </w:r>
          </w:p>
        </w:tc>
        <w:tc>
          <w:tcPr>
            <w:tcW w:w="414" w:type="pct"/>
            <w:tcBorders>
              <w:top w:val="nil"/>
              <w:left w:val="nil"/>
              <w:bottom w:val="nil"/>
              <w:right w:val="nil"/>
            </w:tcBorders>
            <w:noWrap/>
            <w:vAlign w:val="center"/>
          </w:tcPr>
          <w:p w14:paraId="0DE6E17F" w14:textId="482DD040"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142.063</w:t>
            </w:r>
          </w:p>
        </w:tc>
        <w:tc>
          <w:tcPr>
            <w:tcW w:w="404" w:type="pct"/>
            <w:tcBorders>
              <w:top w:val="nil"/>
              <w:left w:val="nil"/>
              <w:bottom w:val="nil"/>
              <w:right w:val="nil"/>
            </w:tcBorders>
            <w:noWrap/>
            <w:vAlign w:val="center"/>
          </w:tcPr>
          <w:p w14:paraId="6D657085" w14:textId="0B8F11F1" w:rsidR="004A5A9C" w:rsidRPr="006640BB" w:rsidRDefault="00E94899" w:rsidP="004A5A9C">
            <w:pPr>
              <w:jc w:val="right"/>
              <w:rPr>
                <w:rFonts w:ascii="CAIXA Std Book" w:eastAsia="Times New Roman" w:hAnsi="CAIXA Std Book" w:cs="Arial"/>
                <w:color w:val="005CA9"/>
                <w:sz w:val="18"/>
                <w:szCs w:val="18"/>
              </w:rPr>
            </w:pPr>
            <w:r w:rsidRPr="006640BB">
              <w:rPr>
                <w:rFonts w:ascii="CAIXA Std Book" w:hAnsi="CAIXA Std Book" w:cs="Arial"/>
                <w:color w:val="005CA9"/>
                <w:sz w:val="18"/>
                <w:szCs w:val="18"/>
              </w:rPr>
              <w:t>150.902</w:t>
            </w:r>
          </w:p>
        </w:tc>
        <w:tc>
          <w:tcPr>
            <w:tcW w:w="410" w:type="pct"/>
            <w:tcBorders>
              <w:top w:val="nil"/>
              <w:left w:val="nil"/>
              <w:bottom w:val="nil"/>
              <w:right w:val="nil"/>
            </w:tcBorders>
            <w:noWrap/>
            <w:vAlign w:val="center"/>
          </w:tcPr>
          <w:p w14:paraId="679A7EAC" w14:textId="083357D1" w:rsidR="004A5A9C" w:rsidRPr="006640BB" w:rsidRDefault="006736FE" w:rsidP="004A5A9C">
            <w:pPr>
              <w:jc w:val="center"/>
              <w:rPr>
                <w:rFonts w:ascii="CAIXA Std Book" w:eastAsia="Times New Roman" w:hAnsi="CAIXA Std Book" w:cs="Arial"/>
                <w:color w:val="005CA9"/>
                <w:sz w:val="18"/>
                <w:szCs w:val="18"/>
              </w:rPr>
            </w:pPr>
            <w:r>
              <w:rPr>
                <w:rFonts w:ascii="CAIXA Std Book" w:hAnsi="CAIXA Std Book" w:cs="Arial"/>
                <w:color w:val="005CA9"/>
                <w:sz w:val="18"/>
                <w:szCs w:val="18"/>
              </w:rPr>
              <w:t>-</w:t>
            </w:r>
          </w:p>
        </w:tc>
        <w:tc>
          <w:tcPr>
            <w:tcW w:w="391" w:type="pct"/>
            <w:tcBorders>
              <w:top w:val="nil"/>
              <w:left w:val="nil"/>
              <w:bottom w:val="nil"/>
              <w:right w:val="nil"/>
            </w:tcBorders>
            <w:vAlign w:val="center"/>
          </w:tcPr>
          <w:p w14:paraId="2CFA7D1A" w14:textId="34BCA533"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(8.839)</w:t>
            </w:r>
          </w:p>
        </w:tc>
        <w:tc>
          <w:tcPr>
            <w:tcW w:w="404" w:type="pct"/>
            <w:tcBorders>
              <w:top w:val="nil"/>
              <w:left w:val="nil"/>
              <w:bottom w:val="nil"/>
              <w:right w:val="nil"/>
            </w:tcBorders>
            <w:noWrap/>
            <w:vAlign w:val="center"/>
          </w:tcPr>
          <w:p w14:paraId="209E2883" w14:textId="441A58D0"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142.063</w:t>
            </w:r>
          </w:p>
        </w:tc>
      </w:tr>
      <w:tr w:rsidR="00165917" w:rsidRPr="004A5A9C" w14:paraId="22A73EF6" w14:textId="77777777" w:rsidTr="006736FE">
        <w:trPr>
          <w:trHeight w:val="283"/>
        </w:trPr>
        <w:tc>
          <w:tcPr>
            <w:tcW w:w="1753" w:type="pct"/>
            <w:tcBorders>
              <w:top w:val="nil"/>
              <w:left w:val="nil"/>
              <w:bottom w:val="nil"/>
              <w:right w:val="nil"/>
            </w:tcBorders>
            <w:vAlign w:val="center"/>
            <w:hideMark/>
          </w:tcPr>
          <w:p w14:paraId="7C0A50DC" w14:textId="77777777" w:rsidR="004A5A9C" w:rsidRPr="006640BB" w:rsidRDefault="004A5A9C" w:rsidP="004A5A9C">
            <w:pPr>
              <w:ind w:firstLineChars="100" w:firstLine="180"/>
              <w:rPr>
                <w:rFonts w:ascii="CAIXA Std Book" w:eastAsia="Times New Roman" w:hAnsi="CAIXA Std Book" w:cs="Arial"/>
                <w:color w:val="005CA9"/>
                <w:sz w:val="18"/>
                <w:szCs w:val="18"/>
              </w:rPr>
            </w:pPr>
            <w:r w:rsidRPr="006640BB">
              <w:rPr>
                <w:rFonts w:ascii="CAIXA Std Book" w:eastAsia="Times New Roman" w:hAnsi="CAIXA Std Book" w:cs="Arial"/>
                <w:color w:val="005CA9"/>
                <w:sz w:val="18"/>
                <w:szCs w:val="18"/>
              </w:rPr>
              <w:t>Provisões fiscais</w:t>
            </w:r>
          </w:p>
        </w:tc>
        <w:tc>
          <w:tcPr>
            <w:tcW w:w="404" w:type="pct"/>
            <w:tcBorders>
              <w:top w:val="nil"/>
              <w:left w:val="nil"/>
              <w:bottom w:val="nil"/>
              <w:right w:val="nil"/>
            </w:tcBorders>
            <w:noWrap/>
            <w:vAlign w:val="center"/>
            <w:hideMark/>
          </w:tcPr>
          <w:p w14:paraId="32CCFDA3" w14:textId="1C061906" w:rsidR="004A5A9C" w:rsidRPr="006640BB" w:rsidRDefault="00E94899" w:rsidP="004A5A9C">
            <w:pPr>
              <w:jc w:val="right"/>
              <w:rPr>
                <w:rFonts w:ascii="CAIXA Std Book" w:eastAsia="Times New Roman" w:hAnsi="CAIXA Std Book" w:cs="Arial"/>
                <w:color w:val="005CA9"/>
                <w:sz w:val="18"/>
                <w:szCs w:val="18"/>
              </w:rPr>
            </w:pPr>
            <w:r w:rsidRPr="006640BB">
              <w:rPr>
                <w:rFonts w:ascii="CAIXA Std Book" w:hAnsi="CAIXA Std Book" w:cs="Arial"/>
                <w:color w:val="005CA9"/>
                <w:sz w:val="18"/>
                <w:szCs w:val="18"/>
              </w:rPr>
              <w:t>305.382</w:t>
            </w:r>
          </w:p>
        </w:tc>
        <w:tc>
          <w:tcPr>
            <w:tcW w:w="410" w:type="pct"/>
            <w:tcBorders>
              <w:top w:val="nil"/>
              <w:left w:val="nil"/>
              <w:bottom w:val="nil"/>
              <w:right w:val="nil"/>
            </w:tcBorders>
            <w:noWrap/>
            <w:vAlign w:val="center"/>
          </w:tcPr>
          <w:p w14:paraId="7D2B1779" w14:textId="209B079C"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2.892</w:t>
            </w:r>
          </w:p>
        </w:tc>
        <w:tc>
          <w:tcPr>
            <w:tcW w:w="410" w:type="pct"/>
            <w:tcBorders>
              <w:top w:val="nil"/>
              <w:left w:val="nil"/>
              <w:bottom w:val="nil"/>
              <w:right w:val="nil"/>
            </w:tcBorders>
            <w:vAlign w:val="center"/>
          </w:tcPr>
          <w:p w14:paraId="7930852C" w14:textId="767FB5C6"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(20.207)</w:t>
            </w:r>
          </w:p>
        </w:tc>
        <w:tc>
          <w:tcPr>
            <w:tcW w:w="414" w:type="pct"/>
            <w:tcBorders>
              <w:top w:val="nil"/>
              <w:left w:val="nil"/>
              <w:bottom w:val="nil"/>
              <w:right w:val="nil"/>
            </w:tcBorders>
            <w:noWrap/>
            <w:vAlign w:val="center"/>
          </w:tcPr>
          <w:p w14:paraId="5571F1E1" w14:textId="1C6D5F6C"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288.067</w:t>
            </w:r>
          </w:p>
        </w:tc>
        <w:tc>
          <w:tcPr>
            <w:tcW w:w="404" w:type="pct"/>
            <w:tcBorders>
              <w:top w:val="nil"/>
              <w:left w:val="nil"/>
              <w:bottom w:val="nil"/>
              <w:right w:val="nil"/>
            </w:tcBorders>
            <w:noWrap/>
            <w:vAlign w:val="center"/>
          </w:tcPr>
          <w:p w14:paraId="0F591930" w14:textId="0AAFFA82" w:rsidR="004A5A9C" w:rsidRPr="006640BB" w:rsidRDefault="00E94899" w:rsidP="004A5A9C">
            <w:pPr>
              <w:jc w:val="right"/>
              <w:rPr>
                <w:rFonts w:ascii="CAIXA Std Book" w:eastAsia="Times New Roman" w:hAnsi="CAIXA Std Book" w:cs="Arial"/>
                <w:color w:val="005CA9"/>
                <w:sz w:val="18"/>
                <w:szCs w:val="18"/>
              </w:rPr>
            </w:pPr>
            <w:r w:rsidRPr="006640BB">
              <w:rPr>
                <w:rFonts w:ascii="CAIXA Std Book" w:hAnsi="CAIXA Std Book" w:cs="Arial"/>
                <w:color w:val="005CA9"/>
                <w:sz w:val="18"/>
                <w:szCs w:val="18"/>
              </w:rPr>
              <w:t>305.382</w:t>
            </w:r>
          </w:p>
        </w:tc>
        <w:tc>
          <w:tcPr>
            <w:tcW w:w="410" w:type="pct"/>
            <w:tcBorders>
              <w:top w:val="nil"/>
              <w:left w:val="nil"/>
              <w:bottom w:val="nil"/>
              <w:right w:val="nil"/>
            </w:tcBorders>
            <w:noWrap/>
            <w:vAlign w:val="center"/>
          </w:tcPr>
          <w:p w14:paraId="6827EEBF" w14:textId="41CE01BF"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2.892</w:t>
            </w:r>
          </w:p>
        </w:tc>
        <w:tc>
          <w:tcPr>
            <w:tcW w:w="391" w:type="pct"/>
            <w:tcBorders>
              <w:top w:val="nil"/>
              <w:left w:val="nil"/>
              <w:bottom w:val="nil"/>
              <w:right w:val="nil"/>
            </w:tcBorders>
            <w:vAlign w:val="center"/>
          </w:tcPr>
          <w:p w14:paraId="5EFF0AF3" w14:textId="1725E297"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(20.207)</w:t>
            </w:r>
          </w:p>
        </w:tc>
        <w:tc>
          <w:tcPr>
            <w:tcW w:w="404" w:type="pct"/>
            <w:tcBorders>
              <w:top w:val="nil"/>
              <w:left w:val="nil"/>
              <w:bottom w:val="nil"/>
              <w:right w:val="nil"/>
            </w:tcBorders>
            <w:noWrap/>
            <w:vAlign w:val="center"/>
          </w:tcPr>
          <w:p w14:paraId="7953E5E3" w14:textId="23728B68"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288.067</w:t>
            </w:r>
          </w:p>
        </w:tc>
      </w:tr>
      <w:tr w:rsidR="00165917" w:rsidRPr="004A5A9C" w14:paraId="699A335C" w14:textId="77777777" w:rsidTr="006736FE">
        <w:trPr>
          <w:trHeight w:val="283"/>
        </w:trPr>
        <w:tc>
          <w:tcPr>
            <w:tcW w:w="1753" w:type="pct"/>
            <w:tcBorders>
              <w:top w:val="nil"/>
              <w:left w:val="nil"/>
              <w:bottom w:val="nil"/>
              <w:right w:val="nil"/>
            </w:tcBorders>
            <w:vAlign w:val="center"/>
            <w:hideMark/>
          </w:tcPr>
          <w:p w14:paraId="052722D6" w14:textId="77777777" w:rsidR="004A5A9C" w:rsidRPr="006640BB" w:rsidRDefault="004A5A9C" w:rsidP="004A5A9C">
            <w:pPr>
              <w:ind w:firstLineChars="100" w:firstLine="180"/>
              <w:rPr>
                <w:rFonts w:ascii="CAIXA Std Book" w:eastAsia="Times New Roman" w:hAnsi="CAIXA Std Book" w:cs="Arial"/>
                <w:color w:val="005CA9"/>
                <w:sz w:val="18"/>
                <w:szCs w:val="18"/>
              </w:rPr>
            </w:pPr>
            <w:r w:rsidRPr="006640BB">
              <w:rPr>
                <w:rFonts w:ascii="CAIXA Std Book" w:eastAsia="Times New Roman" w:hAnsi="CAIXA Std Book" w:cs="Arial"/>
                <w:color w:val="005CA9"/>
                <w:sz w:val="18"/>
                <w:szCs w:val="18"/>
              </w:rPr>
              <w:t>Outros</w:t>
            </w:r>
          </w:p>
        </w:tc>
        <w:tc>
          <w:tcPr>
            <w:tcW w:w="404" w:type="pct"/>
            <w:tcBorders>
              <w:top w:val="nil"/>
              <w:left w:val="nil"/>
              <w:bottom w:val="nil"/>
              <w:right w:val="nil"/>
            </w:tcBorders>
            <w:noWrap/>
            <w:vAlign w:val="center"/>
            <w:hideMark/>
          </w:tcPr>
          <w:p w14:paraId="49701973" w14:textId="30FAAAFC" w:rsidR="004A5A9C" w:rsidRPr="006640BB" w:rsidRDefault="00E94899" w:rsidP="004A5A9C">
            <w:pPr>
              <w:jc w:val="right"/>
              <w:rPr>
                <w:rFonts w:ascii="CAIXA Std Book" w:eastAsia="Times New Roman" w:hAnsi="CAIXA Std Book" w:cs="Arial"/>
                <w:color w:val="005CA9"/>
                <w:sz w:val="18"/>
                <w:szCs w:val="18"/>
              </w:rPr>
            </w:pPr>
            <w:r w:rsidRPr="006640BB">
              <w:rPr>
                <w:rFonts w:ascii="CAIXA Std Book" w:hAnsi="CAIXA Std Book" w:cs="Arial"/>
                <w:color w:val="005CA9"/>
                <w:sz w:val="18"/>
                <w:szCs w:val="18"/>
              </w:rPr>
              <w:t>1.802.795</w:t>
            </w:r>
          </w:p>
        </w:tc>
        <w:tc>
          <w:tcPr>
            <w:tcW w:w="410" w:type="pct"/>
            <w:tcBorders>
              <w:top w:val="nil"/>
              <w:left w:val="nil"/>
              <w:bottom w:val="nil"/>
              <w:right w:val="nil"/>
            </w:tcBorders>
            <w:noWrap/>
            <w:vAlign w:val="center"/>
          </w:tcPr>
          <w:p w14:paraId="6C8D22F9" w14:textId="2AF27AB1"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467.820</w:t>
            </w:r>
          </w:p>
        </w:tc>
        <w:tc>
          <w:tcPr>
            <w:tcW w:w="410" w:type="pct"/>
            <w:tcBorders>
              <w:top w:val="nil"/>
              <w:left w:val="nil"/>
              <w:bottom w:val="nil"/>
              <w:right w:val="nil"/>
            </w:tcBorders>
            <w:vAlign w:val="center"/>
          </w:tcPr>
          <w:p w14:paraId="7D838E42" w14:textId="3359A494"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(418.909)</w:t>
            </w:r>
          </w:p>
        </w:tc>
        <w:tc>
          <w:tcPr>
            <w:tcW w:w="414" w:type="pct"/>
            <w:tcBorders>
              <w:top w:val="nil"/>
              <w:left w:val="nil"/>
              <w:bottom w:val="nil"/>
              <w:right w:val="nil"/>
            </w:tcBorders>
            <w:noWrap/>
            <w:vAlign w:val="center"/>
          </w:tcPr>
          <w:p w14:paraId="3AF57815" w14:textId="110B9829"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1.851.706</w:t>
            </w:r>
          </w:p>
        </w:tc>
        <w:tc>
          <w:tcPr>
            <w:tcW w:w="404" w:type="pct"/>
            <w:tcBorders>
              <w:top w:val="nil"/>
              <w:left w:val="nil"/>
              <w:bottom w:val="nil"/>
              <w:right w:val="nil"/>
            </w:tcBorders>
            <w:noWrap/>
            <w:vAlign w:val="center"/>
          </w:tcPr>
          <w:p w14:paraId="760C8C13" w14:textId="1C2A0A4C" w:rsidR="004A5A9C" w:rsidRPr="006640BB" w:rsidRDefault="00E94899" w:rsidP="004A5A9C">
            <w:pPr>
              <w:jc w:val="right"/>
              <w:rPr>
                <w:rFonts w:ascii="CAIXA Std Book" w:eastAsia="Times New Roman" w:hAnsi="CAIXA Std Book" w:cs="Arial"/>
                <w:color w:val="005CA9"/>
                <w:sz w:val="18"/>
                <w:szCs w:val="18"/>
              </w:rPr>
            </w:pPr>
            <w:r w:rsidRPr="006640BB">
              <w:rPr>
                <w:rFonts w:ascii="CAIXA Std Book" w:hAnsi="CAIXA Std Book" w:cs="Arial"/>
                <w:color w:val="005CA9"/>
                <w:sz w:val="18"/>
                <w:szCs w:val="18"/>
              </w:rPr>
              <w:t>1.957.266</w:t>
            </w:r>
          </w:p>
        </w:tc>
        <w:tc>
          <w:tcPr>
            <w:tcW w:w="410" w:type="pct"/>
            <w:tcBorders>
              <w:top w:val="nil"/>
              <w:left w:val="nil"/>
              <w:bottom w:val="nil"/>
              <w:right w:val="nil"/>
            </w:tcBorders>
            <w:noWrap/>
            <w:vAlign w:val="center"/>
          </w:tcPr>
          <w:p w14:paraId="5A66BBEC" w14:textId="7C5AD25E"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467.820</w:t>
            </w:r>
          </w:p>
        </w:tc>
        <w:tc>
          <w:tcPr>
            <w:tcW w:w="391" w:type="pct"/>
            <w:tcBorders>
              <w:top w:val="nil"/>
              <w:left w:val="nil"/>
              <w:bottom w:val="nil"/>
              <w:right w:val="nil"/>
            </w:tcBorders>
            <w:vAlign w:val="center"/>
          </w:tcPr>
          <w:p w14:paraId="324432DD" w14:textId="43456C31"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(440.563)</w:t>
            </w:r>
          </w:p>
        </w:tc>
        <w:tc>
          <w:tcPr>
            <w:tcW w:w="404" w:type="pct"/>
            <w:tcBorders>
              <w:top w:val="nil"/>
              <w:left w:val="nil"/>
              <w:bottom w:val="nil"/>
              <w:right w:val="nil"/>
            </w:tcBorders>
            <w:noWrap/>
            <w:vAlign w:val="center"/>
          </w:tcPr>
          <w:p w14:paraId="7D6011DC" w14:textId="59545A02"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1.984.523</w:t>
            </w:r>
          </w:p>
        </w:tc>
      </w:tr>
      <w:tr w:rsidR="00165917" w:rsidRPr="004A5A9C" w14:paraId="2EFEE840" w14:textId="77777777" w:rsidTr="00685DDC">
        <w:trPr>
          <w:trHeight w:val="283"/>
        </w:trPr>
        <w:tc>
          <w:tcPr>
            <w:tcW w:w="1753" w:type="pct"/>
            <w:tcBorders>
              <w:top w:val="nil"/>
              <w:left w:val="nil"/>
              <w:bottom w:val="nil"/>
              <w:right w:val="nil"/>
            </w:tcBorders>
            <w:shd w:val="clear" w:color="auto" w:fill="D0E0E3"/>
            <w:vAlign w:val="center"/>
            <w:hideMark/>
          </w:tcPr>
          <w:p w14:paraId="5BB135CC" w14:textId="77777777" w:rsidR="004A5A9C" w:rsidRPr="006640BB" w:rsidRDefault="004A5A9C" w:rsidP="004A5A9C">
            <w:pPr>
              <w:rPr>
                <w:rFonts w:ascii="CAIXA Std Book" w:eastAsia="Times New Roman" w:hAnsi="CAIXA Std Book" w:cs="Arial"/>
                <w:b/>
                <w:color w:val="005CA9"/>
                <w:sz w:val="18"/>
                <w:szCs w:val="18"/>
              </w:rPr>
            </w:pPr>
            <w:r w:rsidRPr="006640BB">
              <w:rPr>
                <w:rFonts w:ascii="CAIXA Std Book" w:eastAsia="Times New Roman" w:hAnsi="CAIXA Std Book" w:cs="Arial"/>
                <w:b/>
                <w:color w:val="005CA9"/>
                <w:sz w:val="18"/>
                <w:szCs w:val="18"/>
              </w:rPr>
              <w:t>Prejuízo fiscal e base negativa de CSLL</w:t>
            </w:r>
          </w:p>
        </w:tc>
        <w:tc>
          <w:tcPr>
            <w:tcW w:w="404" w:type="pct"/>
            <w:tcBorders>
              <w:top w:val="nil"/>
              <w:left w:val="nil"/>
              <w:bottom w:val="nil"/>
              <w:right w:val="nil"/>
            </w:tcBorders>
            <w:shd w:val="clear" w:color="auto" w:fill="D0E0E3"/>
            <w:noWrap/>
            <w:vAlign w:val="center"/>
          </w:tcPr>
          <w:p w14:paraId="3869CA19" w14:textId="1B7E5B0B" w:rsidR="004A5A9C" w:rsidRPr="006640BB" w:rsidRDefault="00E94899" w:rsidP="004A5A9C">
            <w:pPr>
              <w:jc w:val="right"/>
              <w:rPr>
                <w:rFonts w:ascii="CAIXA Std Book" w:eastAsia="Times New Roman" w:hAnsi="CAIXA Std Book" w:cs="Arial"/>
                <w:b/>
                <w:color w:val="005CA9"/>
                <w:sz w:val="18"/>
                <w:szCs w:val="18"/>
              </w:rPr>
            </w:pPr>
            <w:r w:rsidRPr="006640BB">
              <w:rPr>
                <w:rFonts w:ascii="CAIXA Std Book" w:hAnsi="CAIXA Std Book" w:cs="Arial"/>
                <w:b/>
                <w:color w:val="005CA9"/>
                <w:sz w:val="18"/>
                <w:szCs w:val="18"/>
              </w:rPr>
              <w:t>3.561.096</w:t>
            </w:r>
          </w:p>
        </w:tc>
        <w:tc>
          <w:tcPr>
            <w:tcW w:w="410" w:type="pct"/>
            <w:tcBorders>
              <w:top w:val="nil"/>
              <w:left w:val="nil"/>
              <w:bottom w:val="nil"/>
              <w:right w:val="nil"/>
            </w:tcBorders>
            <w:shd w:val="clear" w:color="auto" w:fill="D0E0E3"/>
            <w:noWrap/>
            <w:vAlign w:val="center"/>
          </w:tcPr>
          <w:p w14:paraId="4D7AE5A4" w14:textId="04D920EF" w:rsidR="004A5A9C" w:rsidRPr="006640BB" w:rsidRDefault="006736FE" w:rsidP="006736FE">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3.044.064</w:t>
            </w:r>
          </w:p>
        </w:tc>
        <w:tc>
          <w:tcPr>
            <w:tcW w:w="410" w:type="pct"/>
            <w:tcBorders>
              <w:top w:val="nil"/>
              <w:left w:val="nil"/>
              <w:bottom w:val="nil"/>
              <w:right w:val="nil"/>
            </w:tcBorders>
            <w:shd w:val="clear" w:color="auto" w:fill="D0E0E3"/>
            <w:noWrap/>
            <w:vAlign w:val="center"/>
          </w:tcPr>
          <w:p w14:paraId="7EC8A622" w14:textId="18D1219B" w:rsidR="004A5A9C" w:rsidRPr="006640BB" w:rsidRDefault="006736FE" w:rsidP="00F658A5">
            <w:pPr>
              <w:jc w:val="center"/>
              <w:rPr>
                <w:rFonts w:ascii="CAIXA Std Book" w:eastAsia="Times New Roman" w:hAnsi="CAIXA Std Book" w:cs="Arial"/>
                <w:b/>
                <w:color w:val="005CA9"/>
                <w:sz w:val="18"/>
                <w:szCs w:val="18"/>
              </w:rPr>
            </w:pPr>
            <w:r>
              <w:rPr>
                <w:rFonts w:ascii="CAIXA Std Book" w:hAnsi="CAIXA Std Book" w:cs="Arial"/>
                <w:b/>
                <w:bCs/>
                <w:color w:val="005CA9"/>
                <w:sz w:val="18"/>
                <w:szCs w:val="18"/>
              </w:rPr>
              <w:t>-</w:t>
            </w:r>
          </w:p>
        </w:tc>
        <w:tc>
          <w:tcPr>
            <w:tcW w:w="414" w:type="pct"/>
            <w:tcBorders>
              <w:top w:val="nil"/>
              <w:left w:val="nil"/>
              <w:bottom w:val="nil"/>
              <w:right w:val="nil"/>
            </w:tcBorders>
            <w:shd w:val="clear" w:color="auto" w:fill="D0E0E3"/>
            <w:noWrap/>
            <w:vAlign w:val="center"/>
          </w:tcPr>
          <w:p w14:paraId="729A5338" w14:textId="2A02F44D" w:rsidR="004A5A9C" w:rsidRPr="006640BB" w:rsidRDefault="006736FE" w:rsidP="004A5A9C">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6.605.160</w:t>
            </w:r>
          </w:p>
        </w:tc>
        <w:tc>
          <w:tcPr>
            <w:tcW w:w="404" w:type="pct"/>
            <w:tcBorders>
              <w:top w:val="nil"/>
              <w:left w:val="nil"/>
              <w:bottom w:val="nil"/>
              <w:right w:val="nil"/>
            </w:tcBorders>
            <w:shd w:val="clear" w:color="auto" w:fill="D0E0E3"/>
            <w:noWrap/>
            <w:vAlign w:val="center"/>
          </w:tcPr>
          <w:p w14:paraId="257788B3" w14:textId="13D9BA83" w:rsidR="004A5A9C" w:rsidRPr="006640BB" w:rsidRDefault="00E94899" w:rsidP="004A5A9C">
            <w:pPr>
              <w:jc w:val="right"/>
              <w:rPr>
                <w:rFonts w:ascii="CAIXA Std Book" w:eastAsia="Times New Roman" w:hAnsi="CAIXA Std Book" w:cs="Arial"/>
                <w:b/>
                <w:color w:val="005CA9"/>
                <w:sz w:val="18"/>
                <w:szCs w:val="18"/>
              </w:rPr>
            </w:pPr>
            <w:r w:rsidRPr="006640BB">
              <w:rPr>
                <w:rFonts w:ascii="CAIXA Std Book" w:hAnsi="CAIXA Std Book" w:cs="Arial"/>
                <w:b/>
                <w:color w:val="005CA9"/>
                <w:sz w:val="18"/>
                <w:szCs w:val="18"/>
              </w:rPr>
              <w:t>3.561.096</w:t>
            </w:r>
          </w:p>
        </w:tc>
        <w:tc>
          <w:tcPr>
            <w:tcW w:w="410" w:type="pct"/>
            <w:tcBorders>
              <w:top w:val="nil"/>
              <w:left w:val="nil"/>
              <w:bottom w:val="nil"/>
              <w:right w:val="nil"/>
            </w:tcBorders>
            <w:shd w:val="clear" w:color="auto" w:fill="D0E0E3"/>
            <w:noWrap/>
            <w:vAlign w:val="center"/>
          </w:tcPr>
          <w:p w14:paraId="75C41084" w14:textId="140DE023" w:rsidR="004A5A9C" w:rsidRPr="006640BB" w:rsidRDefault="006736FE" w:rsidP="006736FE">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3.044.064</w:t>
            </w:r>
          </w:p>
        </w:tc>
        <w:tc>
          <w:tcPr>
            <w:tcW w:w="391" w:type="pct"/>
            <w:tcBorders>
              <w:top w:val="nil"/>
              <w:left w:val="nil"/>
              <w:bottom w:val="nil"/>
              <w:right w:val="nil"/>
            </w:tcBorders>
            <w:shd w:val="clear" w:color="auto" w:fill="D0E0E3"/>
            <w:noWrap/>
            <w:vAlign w:val="center"/>
          </w:tcPr>
          <w:p w14:paraId="7DBAA1D1" w14:textId="735C5748" w:rsidR="004A5A9C" w:rsidRPr="006640BB" w:rsidRDefault="006736FE" w:rsidP="00685DDC">
            <w:pPr>
              <w:jc w:val="center"/>
              <w:rPr>
                <w:rFonts w:ascii="CAIXA Std Book" w:eastAsia="Times New Roman" w:hAnsi="CAIXA Std Book" w:cs="Arial"/>
                <w:b/>
                <w:color w:val="005CA9"/>
                <w:sz w:val="18"/>
                <w:szCs w:val="18"/>
              </w:rPr>
            </w:pPr>
            <w:r>
              <w:rPr>
                <w:rFonts w:ascii="CAIXA Std Book" w:hAnsi="CAIXA Std Book" w:cs="Arial"/>
                <w:b/>
                <w:bCs/>
                <w:color w:val="005CA9"/>
                <w:sz w:val="18"/>
                <w:szCs w:val="18"/>
              </w:rPr>
              <w:t>-</w:t>
            </w:r>
          </w:p>
        </w:tc>
        <w:tc>
          <w:tcPr>
            <w:tcW w:w="404" w:type="pct"/>
            <w:tcBorders>
              <w:top w:val="nil"/>
              <w:left w:val="nil"/>
              <w:bottom w:val="nil"/>
              <w:right w:val="nil"/>
            </w:tcBorders>
            <w:shd w:val="clear" w:color="auto" w:fill="D0E0E3"/>
            <w:noWrap/>
            <w:vAlign w:val="center"/>
          </w:tcPr>
          <w:p w14:paraId="7BDED784" w14:textId="388D6AAE" w:rsidR="004A5A9C" w:rsidRPr="006640BB" w:rsidRDefault="006736FE" w:rsidP="004A5A9C">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6.605.160</w:t>
            </w:r>
          </w:p>
        </w:tc>
      </w:tr>
      <w:tr w:rsidR="00165917" w:rsidRPr="004A5A9C" w14:paraId="15219F4B" w14:textId="77777777" w:rsidTr="00685DDC">
        <w:trPr>
          <w:trHeight w:val="283"/>
        </w:trPr>
        <w:tc>
          <w:tcPr>
            <w:tcW w:w="1753" w:type="pct"/>
            <w:tcBorders>
              <w:top w:val="nil"/>
              <w:left w:val="nil"/>
              <w:bottom w:val="nil"/>
              <w:right w:val="nil"/>
            </w:tcBorders>
            <w:vAlign w:val="center"/>
            <w:hideMark/>
          </w:tcPr>
          <w:p w14:paraId="0420BE7D" w14:textId="39493B56" w:rsidR="004A5A9C" w:rsidRPr="006640BB" w:rsidRDefault="004A5A9C" w:rsidP="004A5A9C">
            <w:pPr>
              <w:ind w:firstLineChars="100" w:firstLine="180"/>
              <w:rPr>
                <w:rFonts w:ascii="CAIXA Std Book" w:eastAsia="Times New Roman" w:hAnsi="CAIXA Std Book" w:cs="Arial"/>
                <w:color w:val="005CA9"/>
                <w:sz w:val="18"/>
                <w:szCs w:val="18"/>
              </w:rPr>
            </w:pPr>
            <w:r w:rsidRPr="006640BB">
              <w:rPr>
                <w:rFonts w:ascii="CAIXA Std Book" w:eastAsia="Times New Roman" w:hAnsi="CAIXA Std Book" w:cs="Arial"/>
                <w:color w:val="005CA9"/>
                <w:sz w:val="18"/>
                <w:szCs w:val="18"/>
              </w:rPr>
              <w:t>Prejuízo fiscal/Base negativa CSLL a realizar</w:t>
            </w:r>
          </w:p>
        </w:tc>
        <w:tc>
          <w:tcPr>
            <w:tcW w:w="404" w:type="pct"/>
            <w:tcBorders>
              <w:top w:val="nil"/>
              <w:left w:val="nil"/>
              <w:bottom w:val="nil"/>
              <w:right w:val="nil"/>
            </w:tcBorders>
            <w:noWrap/>
            <w:vAlign w:val="center"/>
            <w:hideMark/>
          </w:tcPr>
          <w:p w14:paraId="77386FB6" w14:textId="59777223" w:rsidR="004A5A9C" w:rsidRPr="006640BB" w:rsidRDefault="00E94899" w:rsidP="004A5A9C">
            <w:pPr>
              <w:jc w:val="right"/>
              <w:rPr>
                <w:rFonts w:ascii="CAIXA Std Book" w:eastAsia="Times New Roman" w:hAnsi="CAIXA Std Book" w:cs="Arial"/>
                <w:color w:val="005CA9"/>
                <w:sz w:val="18"/>
                <w:szCs w:val="18"/>
              </w:rPr>
            </w:pPr>
            <w:r w:rsidRPr="006640BB">
              <w:rPr>
                <w:rFonts w:ascii="CAIXA Std Book" w:hAnsi="CAIXA Std Book" w:cs="Arial"/>
                <w:color w:val="005CA9"/>
                <w:sz w:val="18"/>
                <w:szCs w:val="18"/>
              </w:rPr>
              <w:t>3.561.096</w:t>
            </w:r>
          </w:p>
        </w:tc>
        <w:tc>
          <w:tcPr>
            <w:tcW w:w="410" w:type="pct"/>
            <w:tcBorders>
              <w:top w:val="nil"/>
              <w:left w:val="nil"/>
              <w:bottom w:val="nil"/>
              <w:right w:val="nil"/>
            </w:tcBorders>
            <w:noWrap/>
            <w:vAlign w:val="center"/>
          </w:tcPr>
          <w:p w14:paraId="4B22A30F" w14:textId="4E630244" w:rsidR="004A5A9C" w:rsidRPr="006640BB" w:rsidRDefault="006736FE" w:rsidP="006736FE">
            <w:pPr>
              <w:jc w:val="right"/>
              <w:rPr>
                <w:rFonts w:ascii="CAIXA Std Book" w:eastAsia="Times New Roman" w:hAnsi="CAIXA Std Book" w:cs="Arial"/>
                <w:color w:val="005CA9"/>
                <w:sz w:val="18"/>
                <w:szCs w:val="18"/>
              </w:rPr>
            </w:pPr>
            <w:r>
              <w:rPr>
                <w:rFonts w:ascii="CAIXA Std Book" w:hAnsi="CAIXA Std Book" w:cs="Arial"/>
                <w:color w:val="005CA9"/>
                <w:sz w:val="18"/>
                <w:szCs w:val="18"/>
              </w:rPr>
              <w:t>3.044.064</w:t>
            </w:r>
          </w:p>
        </w:tc>
        <w:tc>
          <w:tcPr>
            <w:tcW w:w="410" w:type="pct"/>
            <w:tcBorders>
              <w:top w:val="nil"/>
              <w:left w:val="nil"/>
              <w:bottom w:val="nil"/>
              <w:right w:val="nil"/>
            </w:tcBorders>
            <w:vAlign w:val="center"/>
          </w:tcPr>
          <w:p w14:paraId="0AD65FBA" w14:textId="475AD1CE" w:rsidR="004A5A9C" w:rsidRPr="006640BB" w:rsidRDefault="006736FE" w:rsidP="00F658A5">
            <w:pPr>
              <w:jc w:val="center"/>
              <w:rPr>
                <w:rFonts w:ascii="CAIXA Std Book" w:eastAsia="Times New Roman" w:hAnsi="CAIXA Std Book" w:cs="Arial"/>
                <w:color w:val="005CA9"/>
                <w:sz w:val="18"/>
                <w:szCs w:val="18"/>
              </w:rPr>
            </w:pPr>
            <w:r>
              <w:rPr>
                <w:rFonts w:ascii="CAIXA Std Book" w:hAnsi="CAIXA Std Book" w:cs="Arial"/>
                <w:color w:val="005CA9"/>
                <w:sz w:val="18"/>
                <w:szCs w:val="18"/>
              </w:rPr>
              <w:t>-</w:t>
            </w:r>
          </w:p>
        </w:tc>
        <w:tc>
          <w:tcPr>
            <w:tcW w:w="414" w:type="pct"/>
            <w:tcBorders>
              <w:top w:val="nil"/>
              <w:left w:val="nil"/>
              <w:bottom w:val="nil"/>
              <w:right w:val="nil"/>
            </w:tcBorders>
            <w:noWrap/>
            <w:vAlign w:val="center"/>
          </w:tcPr>
          <w:p w14:paraId="5D231DE9" w14:textId="022FA348"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6.605.160</w:t>
            </w:r>
          </w:p>
        </w:tc>
        <w:tc>
          <w:tcPr>
            <w:tcW w:w="404" w:type="pct"/>
            <w:tcBorders>
              <w:top w:val="nil"/>
              <w:left w:val="nil"/>
              <w:bottom w:val="nil"/>
              <w:right w:val="nil"/>
            </w:tcBorders>
            <w:noWrap/>
            <w:vAlign w:val="center"/>
          </w:tcPr>
          <w:p w14:paraId="273F6E74" w14:textId="22D4F035" w:rsidR="004A5A9C" w:rsidRPr="006640BB" w:rsidRDefault="00E94899" w:rsidP="004A5A9C">
            <w:pPr>
              <w:jc w:val="right"/>
              <w:rPr>
                <w:rFonts w:ascii="CAIXA Std Book" w:eastAsia="Times New Roman" w:hAnsi="CAIXA Std Book" w:cs="Arial"/>
                <w:color w:val="005CA9"/>
                <w:sz w:val="18"/>
                <w:szCs w:val="18"/>
              </w:rPr>
            </w:pPr>
            <w:r w:rsidRPr="006640BB">
              <w:rPr>
                <w:rFonts w:ascii="CAIXA Std Book" w:hAnsi="CAIXA Std Book" w:cs="Arial"/>
                <w:color w:val="005CA9"/>
                <w:sz w:val="18"/>
                <w:szCs w:val="18"/>
              </w:rPr>
              <w:t>3.561.096</w:t>
            </w:r>
          </w:p>
        </w:tc>
        <w:tc>
          <w:tcPr>
            <w:tcW w:w="410" w:type="pct"/>
            <w:tcBorders>
              <w:top w:val="nil"/>
              <w:left w:val="nil"/>
              <w:bottom w:val="nil"/>
              <w:right w:val="nil"/>
            </w:tcBorders>
            <w:noWrap/>
            <w:vAlign w:val="center"/>
          </w:tcPr>
          <w:p w14:paraId="477D26D1" w14:textId="24426310" w:rsidR="004A5A9C" w:rsidRPr="006640BB" w:rsidRDefault="006736FE" w:rsidP="006736FE">
            <w:pPr>
              <w:jc w:val="right"/>
              <w:rPr>
                <w:rFonts w:ascii="CAIXA Std Book" w:eastAsia="Times New Roman" w:hAnsi="CAIXA Std Book" w:cs="Arial"/>
                <w:color w:val="005CA9"/>
                <w:sz w:val="18"/>
                <w:szCs w:val="18"/>
              </w:rPr>
            </w:pPr>
            <w:r>
              <w:rPr>
                <w:rFonts w:ascii="CAIXA Std Book" w:hAnsi="CAIXA Std Book" w:cs="Arial"/>
                <w:color w:val="005CA9"/>
                <w:sz w:val="18"/>
                <w:szCs w:val="18"/>
              </w:rPr>
              <w:t>3.044.064</w:t>
            </w:r>
          </w:p>
        </w:tc>
        <w:tc>
          <w:tcPr>
            <w:tcW w:w="391" w:type="pct"/>
            <w:tcBorders>
              <w:top w:val="nil"/>
              <w:left w:val="nil"/>
              <w:bottom w:val="nil"/>
              <w:right w:val="nil"/>
            </w:tcBorders>
            <w:vAlign w:val="center"/>
          </w:tcPr>
          <w:p w14:paraId="2746EF20" w14:textId="21DF2C17" w:rsidR="004A5A9C" w:rsidRPr="006640BB" w:rsidRDefault="006736FE" w:rsidP="00685DDC">
            <w:pPr>
              <w:jc w:val="center"/>
              <w:rPr>
                <w:rFonts w:ascii="CAIXA Std Book" w:eastAsia="Times New Roman" w:hAnsi="CAIXA Std Book" w:cs="Arial"/>
                <w:color w:val="005CA9"/>
                <w:sz w:val="18"/>
                <w:szCs w:val="18"/>
              </w:rPr>
            </w:pPr>
            <w:r>
              <w:rPr>
                <w:rFonts w:ascii="CAIXA Std Book" w:hAnsi="CAIXA Std Book" w:cs="Arial"/>
                <w:color w:val="005CA9"/>
                <w:sz w:val="18"/>
                <w:szCs w:val="18"/>
              </w:rPr>
              <w:t>-</w:t>
            </w:r>
          </w:p>
        </w:tc>
        <w:tc>
          <w:tcPr>
            <w:tcW w:w="404" w:type="pct"/>
            <w:tcBorders>
              <w:top w:val="nil"/>
              <w:left w:val="nil"/>
              <w:bottom w:val="nil"/>
              <w:right w:val="nil"/>
            </w:tcBorders>
            <w:noWrap/>
            <w:vAlign w:val="center"/>
          </w:tcPr>
          <w:p w14:paraId="6750783D" w14:textId="09AB2894"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6.605.160</w:t>
            </w:r>
          </w:p>
        </w:tc>
      </w:tr>
      <w:tr w:rsidR="00165917" w:rsidRPr="004A5A9C" w14:paraId="75AAED99" w14:textId="77777777" w:rsidTr="006736FE">
        <w:trPr>
          <w:trHeight w:val="283"/>
        </w:trPr>
        <w:tc>
          <w:tcPr>
            <w:tcW w:w="1753" w:type="pct"/>
            <w:tcBorders>
              <w:top w:val="nil"/>
              <w:left w:val="nil"/>
              <w:bottom w:val="nil"/>
              <w:right w:val="nil"/>
            </w:tcBorders>
            <w:shd w:val="clear" w:color="auto" w:fill="D0E0E3"/>
            <w:vAlign w:val="center"/>
            <w:hideMark/>
          </w:tcPr>
          <w:p w14:paraId="45E8BFA3" w14:textId="77777777" w:rsidR="004A5A9C" w:rsidRPr="006640BB" w:rsidRDefault="004A5A9C" w:rsidP="004A5A9C">
            <w:pPr>
              <w:rPr>
                <w:rFonts w:ascii="CAIXA Std Book" w:eastAsia="Times New Roman" w:hAnsi="CAIXA Std Book" w:cs="Arial"/>
                <w:b/>
                <w:color w:val="005CA9"/>
                <w:sz w:val="18"/>
                <w:szCs w:val="18"/>
              </w:rPr>
            </w:pPr>
            <w:r w:rsidRPr="006640BB">
              <w:rPr>
                <w:rFonts w:ascii="CAIXA Std Book" w:eastAsia="Times New Roman" w:hAnsi="CAIXA Std Book" w:cs="Arial"/>
                <w:b/>
                <w:color w:val="005CA9"/>
                <w:sz w:val="18"/>
                <w:szCs w:val="18"/>
              </w:rPr>
              <w:t>Total dos créditos com impacto no resultado</w:t>
            </w:r>
          </w:p>
        </w:tc>
        <w:tc>
          <w:tcPr>
            <w:tcW w:w="404" w:type="pct"/>
            <w:tcBorders>
              <w:top w:val="nil"/>
              <w:left w:val="nil"/>
              <w:bottom w:val="nil"/>
              <w:right w:val="nil"/>
            </w:tcBorders>
            <w:shd w:val="clear" w:color="auto" w:fill="D0E0E3"/>
            <w:noWrap/>
            <w:vAlign w:val="center"/>
          </w:tcPr>
          <w:p w14:paraId="0D0C9D52" w14:textId="56628AF2" w:rsidR="004A5A9C" w:rsidRPr="006640BB" w:rsidRDefault="00E94899" w:rsidP="004A5A9C">
            <w:pPr>
              <w:jc w:val="right"/>
              <w:rPr>
                <w:rFonts w:ascii="CAIXA Std Book" w:eastAsia="Times New Roman" w:hAnsi="CAIXA Std Book" w:cs="Arial"/>
                <w:b/>
                <w:color w:val="005CA9"/>
                <w:sz w:val="18"/>
                <w:szCs w:val="18"/>
              </w:rPr>
            </w:pPr>
            <w:r w:rsidRPr="006640BB">
              <w:rPr>
                <w:rFonts w:ascii="CAIXA Std Book" w:hAnsi="CAIXA Std Book" w:cs="Arial"/>
                <w:b/>
                <w:color w:val="005CA9"/>
                <w:sz w:val="18"/>
                <w:szCs w:val="18"/>
              </w:rPr>
              <w:t>64.259.411</w:t>
            </w:r>
          </w:p>
        </w:tc>
        <w:tc>
          <w:tcPr>
            <w:tcW w:w="410" w:type="pct"/>
            <w:tcBorders>
              <w:top w:val="nil"/>
              <w:left w:val="nil"/>
              <w:bottom w:val="nil"/>
              <w:right w:val="nil"/>
            </w:tcBorders>
            <w:shd w:val="clear" w:color="auto" w:fill="D0E0E3"/>
            <w:noWrap/>
            <w:vAlign w:val="center"/>
          </w:tcPr>
          <w:p w14:paraId="37FC02BE" w14:textId="7897B3A8" w:rsidR="004A5A9C" w:rsidRPr="006640BB" w:rsidRDefault="006736FE" w:rsidP="004A5A9C">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9.121.033</w:t>
            </w:r>
          </w:p>
        </w:tc>
        <w:tc>
          <w:tcPr>
            <w:tcW w:w="410" w:type="pct"/>
            <w:tcBorders>
              <w:top w:val="nil"/>
              <w:left w:val="nil"/>
              <w:bottom w:val="nil"/>
              <w:right w:val="nil"/>
            </w:tcBorders>
            <w:shd w:val="clear" w:color="auto" w:fill="D0E0E3"/>
            <w:noWrap/>
            <w:vAlign w:val="center"/>
          </w:tcPr>
          <w:p w14:paraId="5A021674" w14:textId="6ED41E34" w:rsidR="004A5A9C" w:rsidRPr="006640BB" w:rsidRDefault="006736FE" w:rsidP="004A5A9C">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(6.541.321)</w:t>
            </w:r>
          </w:p>
        </w:tc>
        <w:tc>
          <w:tcPr>
            <w:tcW w:w="414" w:type="pct"/>
            <w:tcBorders>
              <w:top w:val="nil"/>
              <w:left w:val="nil"/>
              <w:bottom w:val="nil"/>
              <w:right w:val="nil"/>
            </w:tcBorders>
            <w:shd w:val="clear" w:color="auto" w:fill="D0E0E3"/>
            <w:noWrap/>
            <w:vAlign w:val="center"/>
          </w:tcPr>
          <w:p w14:paraId="1D243B68" w14:textId="5A97B07E" w:rsidR="004A5A9C" w:rsidRPr="006640BB" w:rsidRDefault="006736FE" w:rsidP="004A5A9C">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66.839.123</w:t>
            </w:r>
          </w:p>
        </w:tc>
        <w:tc>
          <w:tcPr>
            <w:tcW w:w="404" w:type="pct"/>
            <w:tcBorders>
              <w:top w:val="nil"/>
              <w:left w:val="nil"/>
              <w:bottom w:val="nil"/>
              <w:right w:val="nil"/>
            </w:tcBorders>
            <w:shd w:val="clear" w:color="auto" w:fill="D0E0E3"/>
            <w:noWrap/>
            <w:vAlign w:val="center"/>
          </w:tcPr>
          <w:p w14:paraId="1207C167" w14:textId="5E0FF911" w:rsidR="004A5A9C" w:rsidRPr="006640BB" w:rsidRDefault="00E94899" w:rsidP="004A5A9C">
            <w:pPr>
              <w:jc w:val="right"/>
              <w:rPr>
                <w:rFonts w:ascii="CAIXA Std Book" w:eastAsia="Times New Roman" w:hAnsi="CAIXA Std Book" w:cs="Arial"/>
                <w:b/>
                <w:color w:val="005CA9"/>
                <w:sz w:val="18"/>
                <w:szCs w:val="18"/>
              </w:rPr>
            </w:pPr>
            <w:r w:rsidRPr="006640BB">
              <w:rPr>
                <w:rFonts w:ascii="CAIXA Std Book" w:hAnsi="CAIXA Std Book" w:cs="Arial"/>
                <w:b/>
                <w:color w:val="005CA9"/>
                <w:sz w:val="18"/>
                <w:szCs w:val="18"/>
              </w:rPr>
              <w:t>64.413.882</w:t>
            </w:r>
          </w:p>
        </w:tc>
        <w:tc>
          <w:tcPr>
            <w:tcW w:w="410" w:type="pct"/>
            <w:tcBorders>
              <w:top w:val="nil"/>
              <w:left w:val="nil"/>
              <w:bottom w:val="nil"/>
              <w:right w:val="nil"/>
            </w:tcBorders>
            <w:shd w:val="clear" w:color="auto" w:fill="D0E0E3"/>
            <w:noWrap/>
            <w:vAlign w:val="center"/>
          </w:tcPr>
          <w:p w14:paraId="4E933DDF" w14:textId="06406E6A" w:rsidR="004A5A9C" w:rsidRPr="006640BB" w:rsidRDefault="006736FE" w:rsidP="004A5A9C">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9.121.033</w:t>
            </w:r>
          </w:p>
        </w:tc>
        <w:tc>
          <w:tcPr>
            <w:tcW w:w="391" w:type="pct"/>
            <w:tcBorders>
              <w:top w:val="nil"/>
              <w:left w:val="nil"/>
              <w:bottom w:val="nil"/>
              <w:right w:val="nil"/>
            </w:tcBorders>
            <w:shd w:val="clear" w:color="auto" w:fill="D0E0E3"/>
            <w:noWrap/>
            <w:vAlign w:val="center"/>
          </w:tcPr>
          <w:p w14:paraId="01B9695C" w14:textId="70D89845" w:rsidR="004A5A9C" w:rsidRPr="006640BB" w:rsidRDefault="006736FE" w:rsidP="004A5A9C">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(6.562.975)</w:t>
            </w:r>
          </w:p>
        </w:tc>
        <w:tc>
          <w:tcPr>
            <w:tcW w:w="404" w:type="pct"/>
            <w:tcBorders>
              <w:top w:val="nil"/>
              <w:left w:val="nil"/>
              <w:bottom w:val="nil"/>
              <w:right w:val="nil"/>
            </w:tcBorders>
            <w:shd w:val="clear" w:color="auto" w:fill="D0E0E3"/>
            <w:noWrap/>
            <w:vAlign w:val="center"/>
          </w:tcPr>
          <w:p w14:paraId="410B9DA1" w14:textId="40567F02" w:rsidR="004A5A9C" w:rsidRPr="006640BB" w:rsidRDefault="006736FE" w:rsidP="004A5A9C">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66.971.940</w:t>
            </w:r>
          </w:p>
        </w:tc>
      </w:tr>
      <w:tr w:rsidR="00165917" w:rsidRPr="004A5A9C" w14:paraId="72FEEF3C" w14:textId="77777777" w:rsidTr="006736FE">
        <w:trPr>
          <w:trHeight w:val="283"/>
        </w:trPr>
        <w:tc>
          <w:tcPr>
            <w:tcW w:w="1753" w:type="pct"/>
            <w:tcBorders>
              <w:top w:val="nil"/>
              <w:left w:val="nil"/>
              <w:bottom w:val="nil"/>
              <w:right w:val="nil"/>
            </w:tcBorders>
            <w:vAlign w:val="center"/>
            <w:hideMark/>
          </w:tcPr>
          <w:p w14:paraId="3969FBB2" w14:textId="77777777" w:rsidR="004A5A9C" w:rsidRPr="006640BB" w:rsidRDefault="004A5A9C" w:rsidP="004A5A9C">
            <w:pPr>
              <w:ind w:firstLineChars="100" w:firstLine="180"/>
              <w:rPr>
                <w:rFonts w:ascii="CAIXA Std Book" w:eastAsia="Times New Roman" w:hAnsi="CAIXA Std Book" w:cs="Arial"/>
                <w:color w:val="005CA9"/>
                <w:sz w:val="18"/>
                <w:szCs w:val="18"/>
              </w:rPr>
            </w:pPr>
            <w:r w:rsidRPr="006640BB">
              <w:rPr>
                <w:rFonts w:ascii="CAIXA Std Book" w:eastAsia="Times New Roman" w:hAnsi="CAIXA Std Book" w:cs="Arial"/>
                <w:color w:val="005CA9"/>
                <w:sz w:val="18"/>
                <w:szCs w:val="18"/>
              </w:rPr>
              <w:t>Passivos atuariais</w:t>
            </w:r>
          </w:p>
        </w:tc>
        <w:tc>
          <w:tcPr>
            <w:tcW w:w="404" w:type="pct"/>
            <w:tcBorders>
              <w:top w:val="nil"/>
              <w:left w:val="nil"/>
              <w:bottom w:val="nil"/>
              <w:right w:val="nil"/>
            </w:tcBorders>
            <w:noWrap/>
            <w:vAlign w:val="center"/>
            <w:hideMark/>
          </w:tcPr>
          <w:p w14:paraId="31E9B1E8" w14:textId="1D7944C7" w:rsidR="004A5A9C" w:rsidRPr="006640BB" w:rsidRDefault="00E94899" w:rsidP="004A5A9C">
            <w:pPr>
              <w:jc w:val="right"/>
              <w:rPr>
                <w:rFonts w:ascii="CAIXA Std Book" w:eastAsia="Times New Roman" w:hAnsi="CAIXA Std Book" w:cs="Arial"/>
                <w:color w:val="005CA9"/>
                <w:sz w:val="18"/>
                <w:szCs w:val="18"/>
              </w:rPr>
            </w:pPr>
            <w:r w:rsidRPr="006640BB">
              <w:rPr>
                <w:rFonts w:ascii="CAIXA Std Book" w:hAnsi="CAIXA Std Book" w:cs="Arial"/>
                <w:color w:val="005CA9"/>
                <w:sz w:val="18"/>
                <w:szCs w:val="18"/>
              </w:rPr>
              <w:t>7.489.807</w:t>
            </w:r>
          </w:p>
        </w:tc>
        <w:tc>
          <w:tcPr>
            <w:tcW w:w="410" w:type="pct"/>
            <w:tcBorders>
              <w:top w:val="nil"/>
              <w:left w:val="nil"/>
              <w:bottom w:val="nil"/>
              <w:right w:val="nil"/>
            </w:tcBorders>
            <w:noWrap/>
            <w:vAlign w:val="center"/>
          </w:tcPr>
          <w:p w14:paraId="6D5AEDBE" w14:textId="085AB881" w:rsidR="004A5A9C" w:rsidRPr="006640BB" w:rsidRDefault="006736FE" w:rsidP="00EC64F8">
            <w:pPr>
              <w:jc w:val="right"/>
              <w:rPr>
                <w:rFonts w:ascii="CAIXA Std Book" w:eastAsia="Times New Roman" w:hAnsi="CAIXA Std Book" w:cs="Arial"/>
                <w:color w:val="005CA9"/>
                <w:sz w:val="18"/>
                <w:szCs w:val="18"/>
              </w:rPr>
            </w:pPr>
            <w:r>
              <w:rPr>
                <w:rFonts w:ascii="CAIXA Std Book" w:hAnsi="CAIXA Std Book" w:cs="Arial"/>
                <w:color w:val="005CA9"/>
                <w:sz w:val="18"/>
                <w:szCs w:val="18"/>
              </w:rPr>
              <w:t>262.454</w:t>
            </w:r>
          </w:p>
        </w:tc>
        <w:tc>
          <w:tcPr>
            <w:tcW w:w="410" w:type="pct"/>
            <w:tcBorders>
              <w:top w:val="nil"/>
              <w:left w:val="nil"/>
              <w:bottom w:val="nil"/>
              <w:right w:val="nil"/>
            </w:tcBorders>
            <w:vAlign w:val="center"/>
          </w:tcPr>
          <w:p w14:paraId="545F7168" w14:textId="1B64E177" w:rsidR="004A5A9C" w:rsidRPr="006640BB" w:rsidRDefault="006736FE" w:rsidP="00E331D3">
            <w:pPr>
              <w:jc w:val="right"/>
              <w:rPr>
                <w:rFonts w:ascii="CAIXA Std Book" w:eastAsia="Times New Roman" w:hAnsi="CAIXA Std Book" w:cs="Arial"/>
                <w:color w:val="005CA9"/>
                <w:sz w:val="18"/>
                <w:szCs w:val="18"/>
              </w:rPr>
            </w:pPr>
            <w:r>
              <w:rPr>
                <w:rFonts w:ascii="CAIXA Std Book" w:hAnsi="CAIXA Std Book" w:cs="Arial"/>
                <w:color w:val="005CA9"/>
                <w:sz w:val="18"/>
                <w:szCs w:val="18"/>
              </w:rPr>
              <w:t>(324.133)</w:t>
            </w:r>
          </w:p>
        </w:tc>
        <w:tc>
          <w:tcPr>
            <w:tcW w:w="414" w:type="pct"/>
            <w:tcBorders>
              <w:top w:val="nil"/>
              <w:left w:val="nil"/>
              <w:bottom w:val="nil"/>
              <w:right w:val="nil"/>
            </w:tcBorders>
            <w:noWrap/>
            <w:vAlign w:val="center"/>
          </w:tcPr>
          <w:p w14:paraId="6C8E8576" w14:textId="082A5957"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7.428.128</w:t>
            </w:r>
          </w:p>
        </w:tc>
        <w:tc>
          <w:tcPr>
            <w:tcW w:w="404" w:type="pct"/>
            <w:tcBorders>
              <w:top w:val="nil"/>
              <w:left w:val="nil"/>
              <w:bottom w:val="nil"/>
              <w:right w:val="nil"/>
            </w:tcBorders>
            <w:noWrap/>
            <w:vAlign w:val="center"/>
          </w:tcPr>
          <w:p w14:paraId="32A2E22D" w14:textId="25D2FCE2" w:rsidR="004A5A9C" w:rsidRPr="006640BB" w:rsidRDefault="00E94899" w:rsidP="004A5A9C">
            <w:pPr>
              <w:jc w:val="right"/>
              <w:rPr>
                <w:rFonts w:ascii="CAIXA Std Book" w:eastAsia="Times New Roman" w:hAnsi="CAIXA Std Book" w:cs="Arial"/>
                <w:color w:val="005CA9"/>
                <w:sz w:val="18"/>
                <w:szCs w:val="18"/>
              </w:rPr>
            </w:pPr>
            <w:r w:rsidRPr="006640BB">
              <w:rPr>
                <w:rFonts w:ascii="CAIXA Std Book" w:hAnsi="CAIXA Std Book" w:cs="Arial"/>
                <w:color w:val="005CA9"/>
                <w:sz w:val="18"/>
                <w:szCs w:val="18"/>
              </w:rPr>
              <w:t>7.489.807</w:t>
            </w:r>
          </w:p>
        </w:tc>
        <w:tc>
          <w:tcPr>
            <w:tcW w:w="410" w:type="pct"/>
            <w:tcBorders>
              <w:top w:val="nil"/>
              <w:left w:val="nil"/>
              <w:bottom w:val="nil"/>
              <w:right w:val="nil"/>
            </w:tcBorders>
            <w:noWrap/>
            <w:vAlign w:val="center"/>
          </w:tcPr>
          <w:p w14:paraId="2DCB97D0" w14:textId="515357F3" w:rsidR="004A5A9C" w:rsidRPr="006640BB" w:rsidRDefault="006736FE" w:rsidP="00EC64F8">
            <w:pPr>
              <w:jc w:val="right"/>
              <w:rPr>
                <w:rFonts w:ascii="CAIXA Std Book" w:eastAsia="Times New Roman" w:hAnsi="CAIXA Std Book" w:cs="Arial"/>
                <w:color w:val="005CA9"/>
                <w:sz w:val="18"/>
                <w:szCs w:val="18"/>
              </w:rPr>
            </w:pPr>
            <w:r>
              <w:rPr>
                <w:rFonts w:ascii="CAIXA Std Book" w:hAnsi="CAIXA Std Book" w:cs="Arial"/>
                <w:color w:val="005CA9"/>
                <w:sz w:val="18"/>
                <w:szCs w:val="18"/>
              </w:rPr>
              <w:t>262.454</w:t>
            </w:r>
          </w:p>
        </w:tc>
        <w:tc>
          <w:tcPr>
            <w:tcW w:w="391" w:type="pct"/>
            <w:tcBorders>
              <w:top w:val="nil"/>
              <w:left w:val="nil"/>
              <w:bottom w:val="nil"/>
              <w:right w:val="nil"/>
            </w:tcBorders>
            <w:vAlign w:val="center"/>
          </w:tcPr>
          <w:p w14:paraId="768BDAA1" w14:textId="0561F885" w:rsidR="004A5A9C" w:rsidRPr="006640BB" w:rsidRDefault="006736FE" w:rsidP="00E331D3">
            <w:pPr>
              <w:jc w:val="right"/>
              <w:rPr>
                <w:rFonts w:ascii="CAIXA Std Book" w:eastAsia="Times New Roman" w:hAnsi="CAIXA Std Book" w:cs="Arial"/>
                <w:color w:val="005CA9"/>
                <w:sz w:val="18"/>
                <w:szCs w:val="18"/>
              </w:rPr>
            </w:pPr>
            <w:r>
              <w:rPr>
                <w:rFonts w:ascii="CAIXA Std Book" w:hAnsi="CAIXA Std Book" w:cs="Arial"/>
                <w:color w:val="005CA9"/>
                <w:sz w:val="18"/>
                <w:szCs w:val="18"/>
              </w:rPr>
              <w:t>(324.133)</w:t>
            </w:r>
          </w:p>
        </w:tc>
        <w:tc>
          <w:tcPr>
            <w:tcW w:w="404" w:type="pct"/>
            <w:tcBorders>
              <w:top w:val="nil"/>
              <w:left w:val="nil"/>
              <w:bottom w:val="nil"/>
              <w:right w:val="nil"/>
            </w:tcBorders>
            <w:noWrap/>
            <w:vAlign w:val="center"/>
          </w:tcPr>
          <w:p w14:paraId="6E4F4B0C" w14:textId="1A87C7BB" w:rsidR="004A5A9C" w:rsidRPr="006640BB" w:rsidRDefault="006736FE" w:rsidP="004A5A9C">
            <w:pPr>
              <w:jc w:val="right"/>
              <w:rPr>
                <w:rFonts w:ascii="CAIXA Std Book" w:eastAsia="Times New Roman" w:hAnsi="CAIXA Std Book" w:cs="Arial"/>
                <w:color w:val="005CA9"/>
                <w:sz w:val="18"/>
                <w:szCs w:val="18"/>
              </w:rPr>
            </w:pPr>
            <w:r>
              <w:rPr>
                <w:rFonts w:ascii="CAIXA Std Book" w:hAnsi="CAIXA Std Book" w:cs="Arial"/>
                <w:color w:val="005CA9"/>
                <w:sz w:val="18"/>
                <w:szCs w:val="18"/>
              </w:rPr>
              <w:t>7.428.128</w:t>
            </w:r>
          </w:p>
        </w:tc>
      </w:tr>
      <w:tr w:rsidR="00165917" w:rsidRPr="004A5A9C" w14:paraId="29EA96FE" w14:textId="77777777" w:rsidTr="00685DDC">
        <w:trPr>
          <w:trHeight w:val="283"/>
        </w:trPr>
        <w:tc>
          <w:tcPr>
            <w:tcW w:w="1753" w:type="pct"/>
            <w:tcBorders>
              <w:top w:val="nil"/>
              <w:left w:val="nil"/>
              <w:right w:val="nil"/>
            </w:tcBorders>
            <w:vAlign w:val="center"/>
            <w:hideMark/>
          </w:tcPr>
          <w:p w14:paraId="392CD5F2" w14:textId="77777777" w:rsidR="004A5A9C" w:rsidRPr="006640BB" w:rsidRDefault="004A5A9C" w:rsidP="004A5A9C">
            <w:pPr>
              <w:ind w:firstLineChars="100" w:firstLine="180"/>
              <w:rPr>
                <w:rFonts w:ascii="CAIXA Std Book" w:eastAsia="Times New Roman" w:hAnsi="CAIXA Std Book" w:cs="Arial"/>
                <w:color w:val="005CA9"/>
                <w:sz w:val="18"/>
                <w:szCs w:val="18"/>
              </w:rPr>
            </w:pPr>
            <w:r w:rsidRPr="006640BB">
              <w:rPr>
                <w:rFonts w:ascii="CAIXA Std Book" w:eastAsia="Times New Roman" w:hAnsi="CAIXA Std Book" w:cs="Arial"/>
                <w:color w:val="005CA9"/>
                <w:sz w:val="18"/>
                <w:szCs w:val="18"/>
              </w:rPr>
              <w:t>Outros</w:t>
            </w:r>
          </w:p>
        </w:tc>
        <w:tc>
          <w:tcPr>
            <w:tcW w:w="404" w:type="pct"/>
            <w:tcBorders>
              <w:top w:val="nil"/>
              <w:left w:val="nil"/>
              <w:right w:val="nil"/>
            </w:tcBorders>
            <w:noWrap/>
            <w:vAlign w:val="center"/>
            <w:hideMark/>
          </w:tcPr>
          <w:p w14:paraId="08187637" w14:textId="5050381F" w:rsidR="004A5A9C" w:rsidRPr="006640BB" w:rsidRDefault="00E94899" w:rsidP="00685DDC">
            <w:pPr>
              <w:jc w:val="center"/>
              <w:rPr>
                <w:rFonts w:ascii="CAIXA Std Book" w:eastAsia="Times New Roman" w:hAnsi="CAIXA Std Book" w:cs="Arial"/>
                <w:color w:val="005CA9"/>
                <w:sz w:val="18"/>
                <w:szCs w:val="18"/>
              </w:rPr>
            </w:pPr>
            <w:r w:rsidRPr="006640BB">
              <w:rPr>
                <w:rFonts w:ascii="CAIXA Std Book" w:hAnsi="CAIXA Std Book" w:cs="Arial"/>
                <w:color w:val="005CA9"/>
                <w:sz w:val="18"/>
                <w:szCs w:val="18"/>
              </w:rPr>
              <w:t>-</w:t>
            </w:r>
          </w:p>
        </w:tc>
        <w:tc>
          <w:tcPr>
            <w:tcW w:w="410" w:type="pct"/>
            <w:tcBorders>
              <w:top w:val="nil"/>
              <w:left w:val="nil"/>
              <w:right w:val="nil"/>
            </w:tcBorders>
            <w:noWrap/>
            <w:vAlign w:val="center"/>
          </w:tcPr>
          <w:p w14:paraId="2D7BD288" w14:textId="5BB2208A" w:rsidR="004A5A9C" w:rsidRPr="006640BB" w:rsidRDefault="006736FE" w:rsidP="004A5A9C">
            <w:pPr>
              <w:jc w:val="center"/>
              <w:rPr>
                <w:rFonts w:ascii="CAIXA Std Book" w:eastAsia="Times New Roman" w:hAnsi="CAIXA Std Book" w:cs="Arial"/>
                <w:color w:val="005CA9"/>
                <w:sz w:val="18"/>
                <w:szCs w:val="18"/>
              </w:rPr>
            </w:pPr>
            <w:r>
              <w:rPr>
                <w:rFonts w:ascii="CAIXA Std Book" w:hAnsi="CAIXA Std Book" w:cs="Arial"/>
                <w:color w:val="005CA9"/>
                <w:sz w:val="18"/>
                <w:szCs w:val="18"/>
              </w:rPr>
              <w:t>-</w:t>
            </w:r>
          </w:p>
        </w:tc>
        <w:tc>
          <w:tcPr>
            <w:tcW w:w="410" w:type="pct"/>
            <w:tcBorders>
              <w:top w:val="nil"/>
              <w:left w:val="nil"/>
              <w:right w:val="nil"/>
            </w:tcBorders>
            <w:vAlign w:val="center"/>
          </w:tcPr>
          <w:p w14:paraId="024867E1" w14:textId="5B974857" w:rsidR="004A5A9C" w:rsidRPr="006640BB" w:rsidRDefault="006736FE" w:rsidP="00685DDC">
            <w:pPr>
              <w:jc w:val="center"/>
              <w:rPr>
                <w:rFonts w:ascii="CAIXA Std Book" w:eastAsia="Times New Roman" w:hAnsi="CAIXA Std Book" w:cs="Arial"/>
                <w:color w:val="005CA9"/>
                <w:sz w:val="18"/>
                <w:szCs w:val="18"/>
              </w:rPr>
            </w:pPr>
            <w:r>
              <w:rPr>
                <w:rFonts w:ascii="CAIXA Std Book" w:hAnsi="CAIXA Std Book" w:cs="Arial"/>
                <w:color w:val="005CA9"/>
                <w:sz w:val="18"/>
                <w:szCs w:val="18"/>
              </w:rPr>
              <w:t>-</w:t>
            </w:r>
          </w:p>
        </w:tc>
        <w:tc>
          <w:tcPr>
            <w:tcW w:w="414" w:type="pct"/>
            <w:tcBorders>
              <w:top w:val="nil"/>
              <w:left w:val="nil"/>
              <w:right w:val="nil"/>
            </w:tcBorders>
            <w:noWrap/>
            <w:vAlign w:val="center"/>
          </w:tcPr>
          <w:p w14:paraId="2EC5C641" w14:textId="55BF1542" w:rsidR="004A5A9C" w:rsidRPr="006640BB" w:rsidRDefault="006736FE" w:rsidP="00D034B6">
            <w:pPr>
              <w:jc w:val="center"/>
              <w:rPr>
                <w:rFonts w:ascii="CAIXA Std Book" w:eastAsia="Times New Roman" w:hAnsi="CAIXA Std Book" w:cs="Arial"/>
                <w:color w:val="005CA9"/>
                <w:sz w:val="18"/>
                <w:szCs w:val="18"/>
              </w:rPr>
            </w:pPr>
            <w:r>
              <w:rPr>
                <w:rFonts w:ascii="CAIXA Std Book" w:hAnsi="CAIXA Std Book" w:cs="Arial"/>
                <w:color w:val="005CA9"/>
                <w:sz w:val="18"/>
                <w:szCs w:val="18"/>
              </w:rPr>
              <w:t>-</w:t>
            </w:r>
          </w:p>
        </w:tc>
        <w:tc>
          <w:tcPr>
            <w:tcW w:w="404" w:type="pct"/>
            <w:tcBorders>
              <w:top w:val="nil"/>
              <w:left w:val="nil"/>
              <w:right w:val="nil"/>
            </w:tcBorders>
            <w:noWrap/>
            <w:vAlign w:val="center"/>
          </w:tcPr>
          <w:p w14:paraId="74538933" w14:textId="2A3C3FAC" w:rsidR="004A5A9C" w:rsidRPr="006640BB" w:rsidRDefault="00E94899" w:rsidP="00685DDC">
            <w:pPr>
              <w:jc w:val="center"/>
              <w:rPr>
                <w:rFonts w:ascii="CAIXA Std Book" w:eastAsia="Times New Roman" w:hAnsi="CAIXA Std Book" w:cs="Arial"/>
                <w:color w:val="005CA9"/>
                <w:sz w:val="18"/>
                <w:szCs w:val="18"/>
              </w:rPr>
            </w:pPr>
            <w:r w:rsidRPr="006640BB">
              <w:rPr>
                <w:rFonts w:ascii="CAIXA Std Book" w:hAnsi="CAIXA Std Book" w:cs="Arial"/>
                <w:color w:val="005CA9"/>
                <w:sz w:val="18"/>
                <w:szCs w:val="18"/>
              </w:rPr>
              <w:t>-</w:t>
            </w:r>
          </w:p>
        </w:tc>
        <w:tc>
          <w:tcPr>
            <w:tcW w:w="410" w:type="pct"/>
            <w:tcBorders>
              <w:top w:val="nil"/>
              <w:left w:val="nil"/>
              <w:right w:val="nil"/>
            </w:tcBorders>
            <w:noWrap/>
            <w:vAlign w:val="center"/>
          </w:tcPr>
          <w:p w14:paraId="43C35559" w14:textId="66061A5C" w:rsidR="004A5A9C" w:rsidRPr="006640BB" w:rsidRDefault="006736FE" w:rsidP="004A5A9C">
            <w:pPr>
              <w:jc w:val="center"/>
              <w:rPr>
                <w:rFonts w:ascii="CAIXA Std Book" w:eastAsia="Times New Roman" w:hAnsi="CAIXA Std Book" w:cs="Arial"/>
                <w:color w:val="005CA9"/>
                <w:sz w:val="18"/>
                <w:szCs w:val="18"/>
              </w:rPr>
            </w:pPr>
            <w:r>
              <w:rPr>
                <w:rFonts w:ascii="CAIXA Std Book" w:hAnsi="CAIXA Std Book" w:cs="Arial"/>
                <w:color w:val="005CA9"/>
                <w:sz w:val="18"/>
                <w:szCs w:val="18"/>
              </w:rPr>
              <w:t>-</w:t>
            </w:r>
          </w:p>
        </w:tc>
        <w:tc>
          <w:tcPr>
            <w:tcW w:w="391" w:type="pct"/>
            <w:tcBorders>
              <w:top w:val="nil"/>
              <w:left w:val="nil"/>
              <w:right w:val="nil"/>
            </w:tcBorders>
            <w:vAlign w:val="center"/>
          </w:tcPr>
          <w:p w14:paraId="37AE1FDC" w14:textId="132E3BED" w:rsidR="004A5A9C" w:rsidRPr="006640BB" w:rsidRDefault="006736FE" w:rsidP="00685DDC">
            <w:pPr>
              <w:jc w:val="center"/>
              <w:rPr>
                <w:rFonts w:ascii="CAIXA Std Book" w:eastAsia="Times New Roman" w:hAnsi="CAIXA Std Book" w:cs="Arial"/>
                <w:color w:val="005CA9"/>
                <w:sz w:val="18"/>
                <w:szCs w:val="18"/>
              </w:rPr>
            </w:pPr>
            <w:r>
              <w:rPr>
                <w:rFonts w:ascii="CAIXA Std Book" w:hAnsi="CAIXA Std Book" w:cs="Arial"/>
                <w:color w:val="005CA9"/>
                <w:sz w:val="18"/>
                <w:szCs w:val="18"/>
              </w:rPr>
              <w:t>-</w:t>
            </w:r>
          </w:p>
        </w:tc>
        <w:tc>
          <w:tcPr>
            <w:tcW w:w="404" w:type="pct"/>
            <w:tcBorders>
              <w:top w:val="nil"/>
              <w:left w:val="nil"/>
              <w:right w:val="nil"/>
            </w:tcBorders>
            <w:noWrap/>
            <w:vAlign w:val="center"/>
          </w:tcPr>
          <w:p w14:paraId="2E08FD4F" w14:textId="6FBDBA47" w:rsidR="004A5A9C" w:rsidRPr="006640BB" w:rsidRDefault="006736FE" w:rsidP="004A5A9C">
            <w:pPr>
              <w:jc w:val="center"/>
              <w:rPr>
                <w:rFonts w:ascii="CAIXA Std Book" w:eastAsia="Times New Roman" w:hAnsi="CAIXA Std Book" w:cs="Arial"/>
                <w:color w:val="005CA9"/>
                <w:sz w:val="18"/>
                <w:szCs w:val="18"/>
              </w:rPr>
            </w:pPr>
            <w:r>
              <w:rPr>
                <w:rFonts w:ascii="CAIXA Std Book" w:hAnsi="CAIXA Std Book" w:cs="Arial"/>
                <w:color w:val="005CA9"/>
                <w:sz w:val="18"/>
                <w:szCs w:val="18"/>
              </w:rPr>
              <w:t>-</w:t>
            </w:r>
          </w:p>
        </w:tc>
      </w:tr>
      <w:tr w:rsidR="00165917" w:rsidRPr="004A5A9C" w14:paraId="58B8703A" w14:textId="77777777" w:rsidTr="006736FE">
        <w:trPr>
          <w:trHeight w:val="283"/>
        </w:trPr>
        <w:tc>
          <w:tcPr>
            <w:tcW w:w="1753" w:type="pct"/>
            <w:tcBorders>
              <w:top w:val="nil"/>
              <w:left w:val="nil"/>
              <w:bottom w:val="nil"/>
              <w:right w:val="nil"/>
            </w:tcBorders>
            <w:shd w:val="clear" w:color="auto" w:fill="D0E0E3"/>
            <w:vAlign w:val="center"/>
            <w:hideMark/>
          </w:tcPr>
          <w:p w14:paraId="27AF5934" w14:textId="77777777" w:rsidR="004A5A9C" w:rsidRPr="006640BB" w:rsidRDefault="004A5A9C" w:rsidP="004A5A9C">
            <w:pPr>
              <w:rPr>
                <w:rFonts w:ascii="CAIXA Std Book" w:eastAsia="Times New Roman" w:hAnsi="CAIXA Std Book" w:cs="Arial"/>
                <w:b/>
                <w:color w:val="005CA9"/>
                <w:sz w:val="18"/>
                <w:szCs w:val="18"/>
              </w:rPr>
            </w:pPr>
            <w:r w:rsidRPr="006640BB">
              <w:rPr>
                <w:rFonts w:ascii="CAIXA Std Book" w:eastAsia="Times New Roman" w:hAnsi="CAIXA Std Book" w:cs="Arial"/>
                <w:b/>
                <w:color w:val="005CA9"/>
                <w:sz w:val="18"/>
                <w:szCs w:val="18"/>
              </w:rPr>
              <w:t>Total dos créditos com impacto no PL</w:t>
            </w:r>
          </w:p>
        </w:tc>
        <w:tc>
          <w:tcPr>
            <w:tcW w:w="404" w:type="pct"/>
            <w:tcBorders>
              <w:top w:val="nil"/>
              <w:left w:val="nil"/>
              <w:bottom w:val="nil"/>
              <w:right w:val="nil"/>
            </w:tcBorders>
            <w:shd w:val="clear" w:color="auto" w:fill="D0E0E3"/>
            <w:noWrap/>
            <w:vAlign w:val="center"/>
          </w:tcPr>
          <w:p w14:paraId="0CFDEBF2" w14:textId="3085CF16" w:rsidR="004A5A9C" w:rsidRPr="006640BB" w:rsidRDefault="00E94899" w:rsidP="004A5A9C">
            <w:pPr>
              <w:jc w:val="right"/>
              <w:rPr>
                <w:rFonts w:ascii="CAIXA Std Book" w:eastAsia="Times New Roman" w:hAnsi="CAIXA Std Book" w:cs="Arial"/>
                <w:b/>
                <w:color w:val="005CA9"/>
                <w:sz w:val="18"/>
                <w:szCs w:val="18"/>
              </w:rPr>
            </w:pPr>
            <w:r w:rsidRPr="006640BB">
              <w:rPr>
                <w:rFonts w:ascii="CAIXA Std Book" w:hAnsi="CAIXA Std Book" w:cs="Arial"/>
                <w:b/>
                <w:color w:val="005CA9"/>
                <w:sz w:val="18"/>
                <w:szCs w:val="18"/>
              </w:rPr>
              <w:t>7.489.807</w:t>
            </w:r>
          </w:p>
        </w:tc>
        <w:tc>
          <w:tcPr>
            <w:tcW w:w="410" w:type="pct"/>
            <w:tcBorders>
              <w:top w:val="nil"/>
              <w:left w:val="nil"/>
              <w:bottom w:val="nil"/>
              <w:right w:val="nil"/>
            </w:tcBorders>
            <w:shd w:val="clear" w:color="auto" w:fill="D0E0E3"/>
            <w:noWrap/>
            <w:vAlign w:val="center"/>
          </w:tcPr>
          <w:p w14:paraId="04516468" w14:textId="1E9F7526" w:rsidR="004A5A9C" w:rsidRPr="006640BB" w:rsidRDefault="006736FE" w:rsidP="00EC64F8">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262.454</w:t>
            </w:r>
          </w:p>
        </w:tc>
        <w:tc>
          <w:tcPr>
            <w:tcW w:w="410" w:type="pct"/>
            <w:tcBorders>
              <w:top w:val="nil"/>
              <w:left w:val="nil"/>
              <w:bottom w:val="nil"/>
              <w:right w:val="nil"/>
            </w:tcBorders>
            <w:shd w:val="clear" w:color="auto" w:fill="D0E0E3"/>
            <w:noWrap/>
            <w:vAlign w:val="center"/>
          </w:tcPr>
          <w:p w14:paraId="418593D1" w14:textId="665DE30E" w:rsidR="004A5A9C" w:rsidRPr="006640BB" w:rsidRDefault="006736FE" w:rsidP="004A5A9C">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(324.133)</w:t>
            </w:r>
          </w:p>
        </w:tc>
        <w:tc>
          <w:tcPr>
            <w:tcW w:w="414" w:type="pct"/>
            <w:tcBorders>
              <w:top w:val="nil"/>
              <w:left w:val="nil"/>
              <w:bottom w:val="nil"/>
              <w:right w:val="nil"/>
            </w:tcBorders>
            <w:shd w:val="clear" w:color="auto" w:fill="D0E0E3"/>
            <w:noWrap/>
            <w:vAlign w:val="center"/>
          </w:tcPr>
          <w:p w14:paraId="3C848EF2" w14:textId="3ADC8F64" w:rsidR="004A5A9C" w:rsidRPr="006640BB" w:rsidRDefault="006736FE" w:rsidP="004A5A9C">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7.428.128</w:t>
            </w:r>
          </w:p>
        </w:tc>
        <w:tc>
          <w:tcPr>
            <w:tcW w:w="404" w:type="pct"/>
            <w:tcBorders>
              <w:top w:val="nil"/>
              <w:left w:val="nil"/>
              <w:bottom w:val="nil"/>
              <w:right w:val="nil"/>
            </w:tcBorders>
            <w:shd w:val="clear" w:color="auto" w:fill="D0E0E3"/>
            <w:noWrap/>
            <w:vAlign w:val="center"/>
          </w:tcPr>
          <w:p w14:paraId="446CA178" w14:textId="64636D98" w:rsidR="004A5A9C" w:rsidRPr="006640BB" w:rsidRDefault="00E94899" w:rsidP="004A5A9C">
            <w:pPr>
              <w:jc w:val="right"/>
              <w:rPr>
                <w:rFonts w:ascii="CAIXA Std Book" w:eastAsia="Times New Roman" w:hAnsi="CAIXA Std Book" w:cs="Arial"/>
                <w:b/>
                <w:color w:val="005CA9"/>
                <w:sz w:val="18"/>
                <w:szCs w:val="18"/>
              </w:rPr>
            </w:pPr>
            <w:r w:rsidRPr="006640BB">
              <w:rPr>
                <w:rFonts w:ascii="CAIXA Std Book" w:hAnsi="CAIXA Std Book" w:cs="Arial"/>
                <w:b/>
                <w:color w:val="005CA9"/>
                <w:sz w:val="18"/>
                <w:szCs w:val="18"/>
              </w:rPr>
              <w:t>7.489.807</w:t>
            </w:r>
          </w:p>
        </w:tc>
        <w:tc>
          <w:tcPr>
            <w:tcW w:w="410" w:type="pct"/>
            <w:tcBorders>
              <w:top w:val="nil"/>
              <w:left w:val="nil"/>
              <w:bottom w:val="nil"/>
              <w:right w:val="nil"/>
            </w:tcBorders>
            <w:shd w:val="clear" w:color="auto" w:fill="D0E0E3"/>
            <w:noWrap/>
            <w:vAlign w:val="center"/>
          </w:tcPr>
          <w:p w14:paraId="167B6458" w14:textId="5CA0250F" w:rsidR="004A5A9C" w:rsidRPr="006640BB" w:rsidRDefault="006736FE" w:rsidP="00E331D3">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262.454</w:t>
            </w:r>
          </w:p>
        </w:tc>
        <w:tc>
          <w:tcPr>
            <w:tcW w:w="391" w:type="pct"/>
            <w:tcBorders>
              <w:top w:val="nil"/>
              <w:left w:val="nil"/>
              <w:bottom w:val="nil"/>
              <w:right w:val="nil"/>
            </w:tcBorders>
            <w:shd w:val="clear" w:color="auto" w:fill="D0E0E3"/>
            <w:noWrap/>
            <w:vAlign w:val="center"/>
          </w:tcPr>
          <w:p w14:paraId="16C53F17" w14:textId="06BAA69D" w:rsidR="004A5A9C" w:rsidRPr="006640BB" w:rsidRDefault="006736FE" w:rsidP="004A5A9C">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(324.133)</w:t>
            </w:r>
          </w:p>
        </w:tc>
        <w:tc>
          <w:tcPr>
            <w:tcW w:w="404" w:type="pct"/>
            <w:tcBorders>
              <w:top w:val="nil"/>
              <w:left w:val="nil"/>
              <w:bottom w:val="nil"/>
              <w:right w:val="nil"/>
            </w:tcBorders>
            <w:shd w:val="clear" w:color="auto" w:fill="D0E0E3"/>
            <w:noWrap/>
            <w:vAlign w:val="center"/>
          </w:tcPr>
          <w:p w14:paraId="281214E5" w14:textId="419699AB" w:rsidR="004A5A9C" w:rsidRPr="006640BB" w:rsidRDefault="006736FE" w:rsidP="004A5A9C">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7.428.128</w:t>
            </w:r>
          </w:p>
        </w:tc>
      </w:tr>
      <w:tr w:rsidR="00165917" w:rsidRPr="004A5A9C" w14:paraId="5B35B74F" w14:textId="77777777" w:rsidTr="006736FE">
        <w:trPr>
          <w:trHeight w:val="283"/>
        </w:trPr>
        <w:tc>
          <w:tcPr>
            <w:tcW w:w="1753" w:type="pct"/>
            <w:tcBorders>
              <w:top w:val="nil"/>
              <w:left w:val="nil"/>
              <w:right w:val="nil"/>
            </w:tcBorders>
            <w:shd w:val="clear" w:color="auto" w:fill="005CA9"/>
            <w:noWrap/>
            <w:vAlign w:val="center"/>
            <w:hideMark/>
          </w:tcPr>
          <w:p w14:paraId="36B65583" w14:textId="77777777" w:rsidR="004A5A9C" w:rsidRPr="006640BB" w:rsidRDefault="004A5A9C" w:rsidP="004A5A9C">
            <w:pPr>
              <w:rPr>
                <w:rFonts w:ascii="CAIXA Std Book" w:eastAsia="Times New Roman" w:hAnsi="CAIXA Std Book" w:cs="Arial"/>
                <w:b/>
                <w:color w:val="FFFFFF"/>
                <w:sz w:val="18"/>
                <w:szCs w:val="18"/>
              </w:rPr>
            </w:pPr>
            <w:r w:rsidRPr="006640BB">
              <w:rPr>
                <w:rFonts w:ascii="CAIXA Std Book" w:eastAsia="Times New Roman" w:hAnsi="CAIXA Std Book" w:cs="Arial"/>
                <w:b/>
                <w:color w:val="FFFFFF"/>
                <w:sz w:val="18"/>
                <w:szCs w:val="18"/>
              </w:rPr>
              <w:t>Total dos créditos tributários</w:t>
            </w:r>
          </w:p>
        </w:tc>
        <w:tc>
          <w:tcPr>
            <w:tcW w:w="404" w:type="pct"/>
            <w:tcBorders>
              <w:top w:val="nil"/>
              <w:left w:val="nil"/>
              <w:right w:val="nil"/>
            </w:tcBorders>
            <w:shd w:val="clear" w:color="auto" w:fill="005CA9"/>
            <w:noWrap/>
            <w:vAlign w:val="center"/>
          </w:tcPr>
          <w:p w14:paraId="0BFB4069" w14:textId="18663FF5" w:rsidR="004A5A9C" w:rsidRPr="006640BB" w:rsidRDefault="00E94899" w:rsidP="004A5A9C">
            <w:pPr>
              <w:jc w:val="right"/>
              <w:rPr>
                <w:rFonts w:ascii="CAIXA Std Book" w:eastAsia="Times New Roman" w:hAnsi="CAIXA Std Book" w:cs="Arial"/>
                <w:b/>
                <w:color w:val="FFFFFF"/>
                <w:sz w:val="18"/>
                <w:szCs w:val="18"/>
              </w:rPr>
            </w:pPr>
            <w:r w:rsidRPr="006640BB">
              <w:rPr>
                <w:rFonts w:ascii="CAIXA Std Book" w:hAnsi="CAIXA Std Book" w:cs="Arial"/>
                <w:b/>
                <w:color w:val="FFFFFF"/>
                <w:sz w:val="18"/>
                <w:szCs w:val="18"/>
              </w:rPr>
              <w:t>71.749.218</w:t>
            </w:r>
          </w:p>
        </w:tc>
        <w:tc>
          <w:tcPr>
            <w:tcW w:w="410" w:type="pct"/>
            <w:tcBorders>
              <w:top w:val="nil"/>
              <w:left w:val="nil"/>
              <w:right w:val="nil"/>
            </w:tcBorders>
            <w:shd w:val="clear" w:color="auto" w:fill="005CA9"/>
            <w:noWrap/>
            <w:vAlign w:val="center"/>
          </w:tcPr>
          <w:p w14:paraId="40E2AA00" w14:textId="3A75BA1B" w:rsidR="004A5A9C" w:rsidRPr="006640BB" w:rsidRDefault="006736FE" w:rsidP="004A5A9C">
            <w:pPr>
              <w:jc w:val="right"/>
              <w:rPr>
                <w:rFonts w:ascii="CAIXA Std Book" w:eastAsia="Times New Roman" w:hAnsi="CAIXA Std Book" w:cs="Arial"/>
                <w:b/>
                <w:color w:val="FFFFFF"/>
                <w:sz w:val="18"/>
                <w:szCs w:val="18"/>
              </w:rPr>
            </w:pPr>
            <w:r>
              <w:rPr>
                <w:rFonts w:ascii="CAIXA Std Book" w:hAnsi="CAIXA Std Book" w:cs="Arial"/>
                <w:b/>
                <w:bCs/>
                <w:color w:val="FFFFFF"/>
                <w:sz w:val="18"/>
                <w:szCs w:val="18"/>
              </w:rPr>
              <w:t>9.383.487</w:t>
            </w:r>
          </w:p>
        </w:tc>
        <w:tc>
          <w:tcPr>
            <w:tcW w:w="410" w:type="pct"/>
            <w:tcBorders>
              <w:top w:val="nil"/>
              <w:left w:val="nil"/>
              <w:right w:val="nil"/>
            </w:tcBorders>
            <w:shd w:val="clear" w:color="auto" w:fill="005CA9"/>
            <w:noWrap/>
            <w:vAlign w:val="center"/>
          </w:tcPr>
          <w:p w14:paraId="52A0A222" w14:textId="51718249" w:rsidR="004A5A9C" w:rsidRPr="006640BB" w:rsidRDefault="006736FE" w:rsidP="004A5A9C">
            <w:pPr>
              <w:jc w:val="right"/>
              <w:rPr>
                <w:rFonts w:ascii="CAIXA Std Book" w:eastAsia="Times New Roman" w:hAnsi="CAIXA Std Book" w:cs="Arial"/>
                <w:b/>
                <w:color w:val="FFFFFF"/>
                <w:sz w:val="18"/>
                <w:szCs w:val="18"/>
              </w:rPr>
            </w:pPr>
            <w:r>
              <w:rPr>
                <w:rFonts w:ascii="CAIXA Std Book" w:hAnsi="CAIXA Std Book" w:cs="Arial"/>
                <w:b/>
                <w:bCs/>
                <w:color w:val="FFFFFF"/>
                <w:sz w:val="18"/>
                <w:szCs w:val="18"/>
              </w:rPr>
              <w:t>(6.865.454)</w:t>
            </w:r>
          </w:p>
        </w:tc>
        <w:tc>
          <w:tcPr>
            <w:tcW w:w="414" w:type="pct"/>
            <w:tcBorders>
              <w:top w:val="nil"/>
              <w:left w:val="nil"/>
              <w:right w:val="nil"/>
            </w:tcBorders>
            <w:shd w:val="clear" w:color="auto" w:fill="005CA9"/>
            <w:noWrap/>
            <w:vAlign w:val="center"/>
          </w:tcPr>
          <w:p w14:paraId="7778CDE9" w14:textId="0AA01A9E" w:rsidR="004A5A9C" w:rsidRPr="006640BB" w:rsidRDefault="006736FE" w:rsidP="004A5A9C">
            <w:pPr>
              <w:jc w:val="right"/>
              <w:rPr>
                <w:rFonts w:ascii="CAIXA Std Book" w:eastAsia="Times New Roman" w:hAnsi="CAIXA Std Book" w:cs="Arial"/>
                <w:b/>
                <w:color w:val="FFFFFF"/>
                <w:sz w:val="18"/>
                <w:szCs w:val="18"/>
              </w:rPr>
            </w:pPr>
            <w:r>
              <w:rPr>
                <w:rFonts w:ascii="CAIXA Std Book" w:hAnsi="CAIXA Std Book" w:cs="Arial"/>
                <w:b/>
                <w:bCs/>
                <w:color w:val="FFFFFF"/>
                <w:sz w:val="18"/>
                <w:szCs w:val="18"/>
              </w:rPr>
              <w:t>74.267.251</w:t>
            </w:r>
          </w:p>
        </w:tc>
        <w:tc>
          <w:tcPr>
            <w:tcW w:w="404" w:type="pct"/>
            <w:tcBorders>
              <w:top w:val="nil"/>
              <w:left w:val="nil"/>
              <w:right w:val="nil"/>
            </w:tcBorders>
            <w:shd w:val="clear" w:color="auto" w:fill="005CA9"/>
            <w:noWrap/>
            <w:vAlign w:val="center"/>
          </w:tcPr>
          <w:p w14:paraId="7080627F" w14:textId="55703E54" w:rsidR="004A5A9C" w:rsidRPr="006640BB" w:rsidRDefault="00E94899" w:rsidP="004A5A9C">
            <w:pPr>
              <w:jc w:val="right"/>
              <w:rPr>
                <w:rFonts w:ascii="CAIXA Std Book" w:eastAsia="Times New Roman" w:hAnsi="CAIXA Std Book" w:cs="Arial"/>
                <w:b/>
                <w:color w:val="FFFFFF"/>
                <w:sz w:val="18"/>
                <w:szCs w:val="18"/>
              </w:rPr>
            </w:pPr>
            <w:r w:rsidRPr="006640BB">
              <w:rPr>
                <w:rFonts w:ascii="CAIXA Std Book" w:hAnsi="CAIXA Std Book" w:cs="Arial"/>
                <w:b/>
                <w:color w:val="FFFFFF"/>
                <w:sz w:val="18"/>
                <w:szCs w:val="18"/>
              </w:rPr>
              <w:t>71.903.689</w:t>
            </w:r>
          </w:p>
        </w:tc>
        <w:tc>
          <w:tcPr>
            <w:tcW w:w="410" w:type="pct"/>
            <w:tcBorders>
              <w:top w:val="nil"/>
              <w:left w:val="nil"/>
              <w:right w:val="nil"/>
            </w:tcBorders>
            <w:shd w:val="clear" w:color="auto" w:fill="005CA9"/>
            <w:noWrap/>
            <w:vAlign w:val="center"/>
          </w:tcPr>
          <w:p w14:paraId="084F8FE9" w14:textId="49921DA5" w:rsidR="004A5A9C" w:rsidRPr="006640BB" w:rsidRDefault="006736FE" w:rsidP="004A5A9C">
            <w:pPr>
              <w:jc w:val="right"/>
              <w:rPr>
                <w:rFonts w:ascii="CAIXA Std Book" w:eastAsia="Times New Roman" w:hAnsi="CAIXA Std Book" w:cs="Arial"/>
                <w:b/>
                <w:color w:val="FFFFFF"/>
                <w:sz w:val="18"/>
                <w:szCs w:val="18"/>
              </w:rPr>
            </w:pPr>
            <w:r>
              <w:rPr>
                <w:rFonts w:ascii="CAIXA Std Book" w:hAnsi="CAIXA Std Book" w:cs="Arial"/>
                <w:b/>
                <w:bCs/>
                <w:color w:val="FFFFFF"/>
                <w:sz w:val="18"/>
                <w:szCs w:val="18"/>
              </w:rPr>
              <w:t>9.383.487</w:t>
            </w:r>
          </w:p>
        </w:tc>
        <w:tc>
          <w:tcPr>
            <w:tcW w:w="391" w:type="pct"/>
            <w:tcBorders>
              <w:top w:val="nil"/>
              <w:left w:val="nil"/>
              <w:right w:val="nil"/>
            </w:tcBorders>
            <w:shd w:val="clear" w:color="auto" w:fill="005CA9"/>
            <w:noWrap/>
            <w:vAlign w:val="center"/>
          </w:tcPr>
          <w:p w14:paraId="6F50952A" w14:textId="05882BB2" w:rsidR="004A5A9C" w:rsidRPr="006640BB" w:rsidRDefault="006736FE" w:rsidP="004A5A9C">
            <w:pPr>
              <w:jc w:val="right"/>
              <w:rPr>
                <w:rFonts w:ascii="CAIXA Std Book" w:eastAsia="Times New Roman" w:hAnsi="CAIXA Std Book" w:cs="Arial"/>
                <w:b/>
                <w:color w:val="FFFFFF"/>
                <w:sz w:val="18"/>
                <w:szCs w:val="18"/>
              </w:rPr>
            </w:pPr>
            <w:r>
              <w:rPr>
                <w:rFonts w:ascii="CAIXA Std Book" w:hAnsi="CAIXA Std Book" w:cs="Arial"/>
                <w:b/>
                <w:bCs/>
                <w:color w:val="FFFFFF"/>
                <w:sz w:val="18"/>
                <w:szCs w:val="18"/>
              </w:rPr>
              <w:t>(6.887.108)</w:t>
            </w:r>
          </w:p>
        </w:tc>
        <w:tc>
          <w:tcPr>
            <w:tcW w:w="404" w:type="pct"/>
            <w:tcBorders>
              <w:top w:val="nil"/>
              <w:left w:val="nil"/>
              <w:right w:val="nil"/>
            </w:tcBorders>
            <w:shd w:val="clear" w:color="auto" w:fill="005CA9"/>
            <w:noWrap/>
            <w:vAlign w:val="center"/>
          </w:tcPr>
          <w:p w14:paraId="01775CF4" w14:textId="5400FC97" w:rsidR="004A5A9C" w:rsidRPr="006640BB" w:rsidRDefault="006736FE" w:rsidP="004A5A9C">
            <w:pPr>
              <w:jc w:val="right"/>
              <w:rPr>
                <w:rFonts w:ascii="CAIXA Std Book" w:eastAsia="Times New Roman" w:hAnsi="CAIXA Std Book" w:cs="Arial"/>
                <w:b/>
                <w:color w:val="FFFFFF"/>
                <w:sz w:val="18"/>
                <w:szCs w:val="18"/>
              </w:rPr>
            </w:pPr>
            <w:r>
              <w:rPr>
                <w:rFonts w:ascii="CAIXA Std Book" w:hAnsi="CAIXA Std Book" w:cs="Arial"/>
                <w:b/>
                <w:bCs/>
                <w:color w:val="FFFFFF"/>
                <w:sz w:val="18"/>
                <w:szCs w:val="18"/>
              </w:rPr>
              <w:t>74.400.068</w:t>
            </w:r>
          </w:p>
        </w:tc>
      </w:tr>
      <w:tr w:rsidR="00165917" w:rsidRPr="004A5A9C" w14:paraId="7D8078F3" w14:textId="77777777" w:rsidTr="00521167">
        <w:trPr>
          <w:trHeight w:val="283"/>
        </w:trPr>
        <w:tc>
          <w:tcPr>
            <w:tcW w:w="1753" w:type="pct"/>
            <w:tcBorders>
              <w:top w:val="nil"/>
              <w:left w:val="nil"/>
              <w:bottom w:val="single" w:sz="4" w:space="0" w:color="1F497D" w:themeColor="text2"/>
              <w:right w:val="nil"/>
            </w:tcBorders>
            <w:shd w:val="clear" w:color="auto" w:fill="D0E0E3"/>
            <w:noWrap/>
            <w:vAlign w:val="center"/>
            <w:hideMark/>
          </w:tcPr>
          <w:p w14:paraId="36C63428" w14:textId="77777777" w:rsidR="004A5A9C" w:rsidRPr="006640BB" w:rsidRDefault="004A5A9C" w:rsidP="004A5A9C">
            <w:pPr>
              <w:rPr>
                <w:rFonts w:ascii="CAIXA Std Book" w:eastAsia="Times New Roman" w:hAnsi="CAIXA Std Book" w:cs="Arial"/>
                <w:b/>
                <w:color w:val="005CA9"/>
                <w:sz w:val="18"/>
                <w:szCs w:val="18"/>
              </w:rPr>
            </w:pPr>
            <w:r w:rsidRPr="006640BB">
              <w:rPr>
                <w:rFonts w:ascii="CAIXA Std Book" w:eastAsia="Times New Roman" w:hAnsi="CAIXA Std Book" w:cs="Arial"/>
                <w:b/>
                <w:color w:val="005CA9"/>
                <w:sz w:val="18"/>
                <w:szCs w:val="18"/>
              </w:rPr>
              <w:t>Total dos créditos não constituídos</w:t>
            </w:r>
          </w:p>
        </w:tc>
        <w:tc>
          <w:tcPr>
            <w:tcW w:w="404" w:type="pct"/>
            <w:tcBorders>
              <w:top w:val="nil"/>
              <w:left w:val="nil"/>
              <w:bottom w:val="single" w:sz="4" w:space="0" w:color="1F497D" w:themeColor="text2"/>
              <w:right w:val="nil"/>
            </w:tcBorders>
            <w:shd w:val="clear" w:color="auto" w:fill="D0E0E3"/>
            <w:noWrap/>
            <w:vAlign w:val="center"/>
          </w:tcPr>
          <w:p w14:paraId="6CCBBB65" w14:textId="43678858" w:rsidR="004A5A9C" w:rsidRPr="006640BB" w:rsidRDefault="00E94899" w:rsidP="004A5A9C">
            <w:pPr>
              <w:jc w:val="right"/>
              <w:rPr>
                <w:rFonts w:ascii="CAIXA Std Book" w:eastAsia="Times New Roman" w:hAnsi="CAIXA Std Book" w:cs="Arial"/>
                <w:b/>
                <w:color w:val="005CA9"/>
                <w:sz w:val="18"/>
                <w:szCs w:val="18"/>
              </w:rPr>
            </w:pPr>
            <w:r w:rsidRPr="006640BB">
              <w:rPr>
                <w:rFonts w:ascii="CAIXA Std Book" w:hAnsi="CAIXA Std Book" w:cs="Arial"/>
                <w:b/>
                <w:color w:val="005CA9"/>
                <w:sz w:val="18"/>
                <w:szCs w:val="18"/>
              </w:rPr>
              <w:t>49.668</w:t>
            </w:r>
          </w:p>
        </w:tc>
        <w:tc>
          <w:tcPr>
            <w:tcW w:w="410" w:type="pct"/>
            <w:tcBorders>
              <w:top w:val="nil"/>
              <w:left w:val="nil"/>
              <w:bottom w:val="single" w:sz="4" w:space="0" w:color="1F497D" w:themeColor="text2"/>
              <w:right w:val="nil"/>
            </w:tcBorders>
            <w:shd w:val="clear" w:color="auto" w:fill="D0E0E3"/>
            <w:noWrap/>
            <w:vAlign w:val="center"/>
          </w:tcPr>
          <w:p w14:paraId="5EE0FBDD" w14:textId="75E66AB0" w:rsidR="004A5A9C" w:rsidRPr="006640BB" w:rsidRDefault="0065009C" w:rsidP="00B77F81">
            <w:pPr>
              <w:jc w:val="center"/>
              <w:rPr>
                <w:rFonts w:ascii="CAIXA Std Book" w:eastAsia="Times New Roman" w:hAnsi="CAIXA Std Book" w:cs="Arial"/>
                <w:b/>
                <w:color w:val="005CA9"/>
                <w:sz w:val="18"/>
                <w:szCs w:val="18"/>
              </w:rPr>
            </w:pPr>
            <w:r>
              <w:rPr>
                <w:rFonts w:ascii="CAIXA Std Book" w:hAnsi="CAIXA Std Book" w:cs="Arial"/>
                <w:b/>
                <w:bCs/>
                <w:color w:val="005CA9"/>
                <w:sz w:val="18"/>
                <w:szCs w:val="18"/>
              </w:rPr>
              <w:t>-</w:t>
            </w:r>
          </w:p>
        </w:tc>
        <w:tc>
          <w:tcPr>
            <w:tcW w:w="410" w:type="pct"/>
            <w:tcBorders>
              <w:top w:val="nil"/>
              <w:left w:val="nil"/>
              <w:bottom w:val="single" w:sz="4" w:space="0" w:color="1F497D" w:themeColor="text2"/>
              <w:right w:val="nil"/>
            </w:tcBorders>
            <w:shd w:val="clear" w:color="auto" w:fill="D0E0E3"/>
            <w:noWrap/>
            <w:vAlign w:val="center"/>
          </w:tcPr>
          <w:p w14:paraId="782B35F5" w14:textId="2397D029" w:rsidR="004A5A9C" w:rsidRPr="006640BB" w:rsidRDefault="0065009C" w:rsidP="00E331D3">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(8.662)</w:t>
            </w:r>
          </w:p>
        </w:tc>
        <w:tc>
          <w:tcPr>
            <w:tcW w:w="414" w:type="pct"/>
            <w:tcBorders>
              <w:top w:val="nil"/>
              <w:left w:val="nil"/>
              <w:bottom w:val="single" w:sz="4" w:space="0" w:color="1F497D" w:themeColor="text2"/>
              <w:right w:val="nil"/>
            </w:tcBorders>
            <w:shd w:val="clear" w:color="auto" w:fill="D0E0E3"/>
            <w:noWrap/>
            <w:vAlign w:val="center"/>
          </w:tcPr>
          <w:p w14:paraId="2CC1EEB1" w14:textId="12196FDE" w:rsidR="004A5A9C" w:rsidRPr="006640BB" w:rsidRDefault="0065009C" w:rsidP="004A5A9C">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41.006</w:t>
            </w:r>
          </w:p>
        </w:tc>
        <w:tc>
          <w:tcPr>
            <w:tcW w:w="404" w:type="pct"/>
            <w:tcBorders>
              <w:top w:val="nil"/>
              <w:left w:val="nil"/>
              <w:bottom w:val="single" w:sz="4" w:space="0" w:color="1F497D" w:themeColor="text2"/>
              <w:right w:val="nil"/>
            </w:tcBorders>
            <w:shd w:val="clear" w:color="auto" w:fill="D0E0E3"/>
            <w:noWrap/>
            <w:vAlign w:val="center"/>
          </w:tcPr>
          <w:p w14:paraId="26EECB5A" w14:textId="4E13FBC0" w:rsidR="004A5A9C" w:rsidRPr="006640BB" w:rsidRDefault="00E94899" w:rsidP="004A5A9C">
            <w:pPr>
              <w:jc w:val="right"/>
              <w:rPr>
                <w:rFonts w:ascii="CAIXA Std Book" w:eastAsia="Times New Roman" w:hAnsi="CAIXA Std Book" w:cs="Arial"/>
                <w:b/>
                <w:color w:val="005CA9"/>
                <w:sz w:val="18"/>
                <w:szCs w:val="18"/>
              </w:rPr>
            </w:pPr>
            <w:r w:rsidRPr="006640BB">
              <w:rPr>
                <w:rFonts w:ascii="CAIXA Std Book" w:hAnsi="CAIXA Std Book" w:cs="Arial"/>
                <w:b/>
                <w:color w:val="005CA9"/>
                <w:sz w:val="18"/>
                <w:szCs w:val="18"/>
              </w:rPr>
              <w:t>49.668</w:t>
            </w:r>
          </w:p>
        </w:tc>
        <w:tc>
          <w:tcPr>
            <w:tcW w:w="410" w:type="pct"/>
            <w:tcBorders>
              <w:top w:val="nil"/>
              <w:left w:val="nil"/>
              <w:bottom w:val="single" w:sz="4" w:space="0" w:color="1F497D" w:themeColor="text2"/>
              <w:right w:val="nil"/>
            </w:tcBorders>
            <w:shd w:val="clear" w:color="auto" w:fill="D0E0E3"/>
            <w:noWrap/>
            <w:vAlign w:val="center"/>
          </w:tcPr>
          <w:p w14:paraId="31FC0760" w14:textId="44E71E26" w:rsidR="004A5A9C" w:rsidRPr="006640BB" w:rsidRDefault="006736FE" w:rsidP="00B77F81">
            <w:pPr>
              <w:jc w:val="center"/>
              <w:rPr>
                <w:rFonts w:ascii="CAIXA Std Book" w:eastAsia="Times New Roman" w:hAnsi="CAIXA Std Book" w:cs="Arial"/>
                <w:b/>
                <w:color w:val="005CA9"/>
                <w:sz w:val="18"/>
                <w:szCs w:val="18"/>
              </w:rPr>
            </w:pPr>
            <w:r>
              <w:rPr>
                <w:rFonts w:ascii="CAIXA Std Book" w:hAnsi="CAIXA Std Book" w:cs="Arial"/>
                <w:b/>
                <w:bCs/>
                <w:color w:val="005CA9"/>
                <w:sz w:val="18"/>
                <w:szCs w:val="18"/>
              </w:rPr>
              <w:t>-</w:t>
            </w:r>
          </w:p>
        </w:tc>
        <w:tc>
          <w:tcPr>
            <w:tcW w:w="391" w:type="pct"/>
            <w:tcBorders>
              <w:top w:val="nil"/>
              <w:left w:val="nil"/>
              <w:bottom w:val="single" w:sz="4" w:space="0" w:color="1F497D" w:themeColor="text2"/>
              <w:right w:val="nil"/>
            </w:tcBorders>
            <w:shd w:val="clear" w:color="auto" w:fill="D0E0E3"/>
            <w:noWrap/>
            <w:vAlign w:val="center"/>
          </w:tcPr>
          <w:p w14:paraId="2CB3B2E3" w14:textId="717C63DB" w:rsidR="004A5A9C" w:rsidRPr="006640BB" w:rsidRDefault="006736FE" w:rsidP="00E331D3">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(8.662)</w:t>
            </w:r>
          </w:p>
        </w:tc>
        <w:tc>
          <w:tcPr>
            <w:tcW w:w="404" w:type="pct"/>
            <w:tcBorders>
              <w:top w:val="nil"/>
              <w:left w:val="nil"/>
              <w:bottom w:val="single" w:sz="4" w:space="0" w:color="1F497D" w:themeColor="text2"/>
              <w:right w:val="nil"/>
            </w:tcBorders>
            <w:shd w:val="clear" w:color="auto" w:fill="D0E0E3"/>
            <w:noWrap/>
            <w:vAlign w:val="center"/>
          </w:tcPr>
          <w:p w14:paraId="04E26D1C" w14:textId="4C0FB069" w:rsidR="004A5A9C" w:rsidRPr="006640BB" w:rsidRDefault="006736FE" w:rsidP="004A5A9C">
            <w:pPr>
              <w:jc w:val="right"/>
              <w:rPr>
                <w:rFonts w:ascii="CAIXA Std Book" w:eastAsia="Times New Roman" w:hAnsi="CAIXA Std Book" w:cs="Arial"/>
                <w:b/>
                <w:color w:val="005CA9"/>
                <w:sz w:val="18"/>
                <w:szCs w:val="18"/>
              </w:rPr>
            </w:pPr>
            <w:r>
              <w:rPr>
                <w:rFonts w:ascii="CAIXA Std Book" w:hAnsi="CAIXA Std Book" w:cs="Arial"/>
                <w:b/>
                <w:bCs/>
                <w:color w:val="005CA9"/>
                <w:sz w:val="18"/>
                <w:szCs w:val="18"/>
              </w:rPr>
              <w:t>41.006</w:t>
            </w:r>
          </w:p>
        </w:tc>
      </w:tr>
    </w:tbl>
    <w:p w14:paraId="29E6C154" w14:textId="77777777" w:rsidR="006640BB" w:rsidRDefault="006640BB">
      <w:pPr>
        <w:rPr>
          <w:rFonts w:ascii="CAIXA Std Book" w:hAnsi="CAIXA Std Book"/>
          <w:b/>
          <w:color w:val="005CA9"/>
          <w:sz w:val="20"/>
          <w:szCs w:val="20"/>
        </w:rPr>
      </w:pPr>
      <w:r>
        <w:rPr>
          <w:rFonts w:ascii="CAIXA Std Book" w:hAnsi="CAIXA Std Book"/>
          <w:b/>
          <w:color w:val="005CA9"/>
          <w:sz w:val="20"/>
          <w:szCs w:val="20"/>
        </w:rPr>
        <w:br w:type="page"/>
      </w:r>
    </w:p>
    <w:p w14:paraId="22633ED5" w14:textId="091C460B" w:rsidR="00173016" w:rsidRPr="00E20D21" w:rsidRDefault="00173016" w:rsidP="00173016">
      <w:pPr>
        <w:keepNext/>
        <w:numPr>
          <w:ilvl w:val="0"/>
          <w:numId w:val="14"/>
        </w:numPr>
        <w:spacing w:before="240" w:after="120"/>
        <w:ind w:left="567" w:hanging="567"/>
        <w:jc w:val="both"/>
        <w:rPr>
          <w:rFonts w:ascii="CAIXA Std Book" w:hAnsi="CAIXA Std Book"/>
          <w:b/>
          <w:color w:val="005CA9"/>
          <w:sz w:val="20"/>
          <w:szCs w:val="20"/>
        </w:rPr>
      </w:pPr>
      <w:r w:rsidRPr="00E20D21">
        <w:rPr>
          <w:rFonts w:ascii="CAIXA Std Book" w:hAnsi="CAIXA Std Book"/>
          <w:b/>
          <w:color w:val="005CA9"/>
          <w:sz w:val="20"/>
          <w:szCs w:val="20"/>
        </w:rPr>
        <w:t>Expectativa de realização – ativo fiscal diferido</w:t>
      </w:r>
    </w:p>
    <w:tbl>
      <w:tblPr>
        <w:tblW w:w="5000" w:type="pct"/>
        <w:tblCellMar>
          <w:left w:w="70" w:type="dxa"/>
          <w:right w:w="70" w:type="dxa"/>
        </w:tblCellMar>
        <w:tblLook w:val="04A0" w:firstRow="1" w:lastRow="0" w:firstColumn="1" w:lastColumn="0" w:noHBand="0" w:noVBand="1"/>
      </w:tblPr>
      <w:tblGrid>
        <w:gridCol w:w="4971"/>
        <w:gridCol w:w="2349"/>
        <w:gridCol w:w="2451"/>
        <w:gridCol w:w="2349"/>
        <w:gridCol w:w="2451"/>
      </w:tblGrid>
      <w:tr w:rsidR="003B077A" w:rsidRPr="008B450A" w14:paraId="454B466C" w14:textId="77777777" w:rsidTr="006640BB">
        <w:trPr>
          <w:trHeight w:val="283"/>
        </w:trPr>
        <w:tc>
          <w:tcPr>
            <w:tcW w:w="1706" w:type="pct"/>
            <w:vMerge w:val="restart"/>
            <w:tcBorders>
              <w:top w:val="nil"/>
              <w:left w:val="nil"/>
              <w:bottom w:val="nil"/>
              <w:right w:val="nil"/>
            </w:tcBorders>
            <w:shd w:val="clear" w:color="auto" w:fill="005CA9"/>
            <w:vAlign w:val="center"/>
            <w:hideMark/>
          </w:tcPr>
          <w:p w14:paraId="394CC0C8" w14:textId="77777777" w:rsidR="00173016" w:rsidRPr="006640BB" w:rsidRDefault="00173016">
            <w:pPr>
              <w:jc w:val="center"/>
              <w:rPr>
                <w:rFonts w:ascii="CAIXA Std Book" w:eastAsia="Times New Roman" w:hAnsi="CAIXA Std Book" w:cs="Times New Roman"/>
                <w:b/>
                <w:color w:val="FFFFFF"/>
                <w:sz w:val="18"/>
                <w:szCs w:val="18"/>
              </w:rPr>
            </w:pPr>
            <w:r w:rsidRPr="006640BB">
              <w:rPr>
                <w:rFonts w:ascii="CAIXA Std Book" w:eastAsia="Times New Roman" w:hAnsi="CAIXA Std Book" w:cs="Times New Roman"/>
                <w:b/>
                <w:color w:val="FFFFFF"/>
                <w:sz w:val="18"/>
                <w:szCs w:val="18"/>
              </w:rPr>
              <w:t>Ano de Realização</w:t>
            </w:r>
          </w:p>
        </w:tc>
        <w:tc>
          <w:tcPr>
            <w:tcW w:w="1647" w:type="pct"/>
            <w:gridSpan w:val="2"/>
            <w:tcBorders>
              <w:top w:val="nil"/>
              <w:left w:val="nil"/>
              <w:bottom w:val="single" w:sz="4" w:space="0" w:color="FFFFFF" w:themeColor="background1"/>
              <w:right w:val="nil"/>
            </w:tcBorders>
            <w:shd w:val="clear" w:color="auto" w:fill="005CA9"/>
            <w:vAlign w:val="center"/>
            <w:hideMark/>
          </w:tcPr>
          <w:p w14:paraId="508C9E42" w14:textId="77777777" w:rsidR="00173016" w:rsidRPr="006640BB" w:rsidRDefault="00173016">
            <w:pPr>
              <w:jc w:val="center"/>
              <w:rPr>
                <w:rFonts w:ascii="CAIXA Std Book" w:eastAsia="Times New Roman" w:hAnsi="CAIXA Std Book" w:cs="Times New Roman"/>
                <w:b/>
                <w:color w:val="FFFFFF"/>
                <w:sz w:val="18"/>
                <w:szCs w:val="18"/>
              </w:rPr>
            </w:pPr>
            <w:r w:rsidRPr="006640BB">
              <w:rPr>
                <w:rFonts w:ascii="CAIXA Std Book" w:eastAsia="Times New Roman" w:hAnsi="CAIXA Std Book" w:cs="Times New Roman"/>
                <w:b/>
                <w:color w:val="FFFFFF"/>
                <w:sz w:val="18"/>
                <w:szCs w:val="18"/>
              </w:rPr>
              <w:t>Individual</w:t>
            </w:r>
          </w:p>
        </w:tc>
        <w:tc>
          <w:tcPr>
            <w:tcW w:w="1647" w:type="pct"/>
            <w:gridSpan w:val="2"/>
            <w:tcBorders>
              <w:top w:val="nil"/>
              <w:left w:val="nil"/>
              <w:bottom w:val="single" w:sz="4" w:space="0" w:color="FFFFFF" w:themeColor="background1"/>
              <w:right w:val="nil"/>
            </w:tcBorders>
            <w:shd w:val="clear" w:color="auto" w:fill="005CA9"/>
            <w:vAlign w:val="center"/>
            <w:hideMark/>
          </w:tcPr>
          <w:p w14:paraId="3DA02F81" w14:textId="77777777" w:rsidR="00173016" w:rsidRPr="006640BB" w:rsidRDefault="00173016">
            <w:pPr>
              <w:jc w:val="center"/>
              <w:rPr>
                <w:rFonts w:ascii="CAIXA Std Book" w:eastAsia="Times New Roman" w:hAnsi="CAIXA Std Book" w:cs="Times New Roman"/>
                <w:b/>
                <w:color w:val="FFFFFF"/>
                <w:sz w:val="18"/>
                <w:szCs w:val="18"/>
              </w:rPr>
            </w:pPr>
            <w:r w:rsidRPr="006640BB">
              <w:rPr>
                <w:rFonts w:ascii="CAIXA Std Book" w:eastAsia="Times New Roman" w:hAnsi="CAIXA Std Book" w:cs="Times New Roman"/>
                <w:b/>
                <w:color w:val="FFFFFF"/>
                <w:sz w:val="18"/>
                <w:szCs w:val="18"/>
              </w:rPr>
              <w:t>Consolidado</w:t>
            </w:r>
          </w:p>
        </w:tc>
      </w:tr>
      <w:tr w:rsidR="00E54693" w:rsidRPr="008B450A" w14:paraId="60746672" w14:textId="77777777" w:rsidTr="006640BB">
        <w:trPr>
          <w:trHeight w:val="283"/>
        </w:trPr>
        <w:tc>
          <w:tcPr>
            <w:tcW w:w="1706" w:type="pct"/>
            <w:vMerge/>
            <w:tcBorders>
              <w:top w:val="nil"/>
              <w:left w:val="nil"/>
              <w:right w:val="nil"/>
            </w:tcBorders>
            <w:shd w:val="clear" w:color="auto" w:fill="005CA9"/>
            <w:vAlign w:val="center"/>
            <w:hideMark/>
          </w:tcPr>
          <w:p w14:paraId="73D97FE9" w14:textId="77777777" w:rsidR="00173016" w:rsidRPr="006640BB" w:rsidRDefault="00173016">
            <w:pPr>
              <w:rPr>
                <w:rFonts w:ascii="CAIXA Std Book" w:eastAsia="Times New Roman" w:hAnsi="CAIXA Std Book" w:cs="Times New Roman"/>
                <w:b/>
                <w:color w:val="FFFFFF"/>
                <w:sz w:val="18"/>
                <w:szCs w:val="18"/>
              </w:rPr>
            </w:pPr>
          </w:p>
        </w:tc>
        <w:tc>
          <w:tcPr>
            <w:tcW w:w="806" w:type="pct"/>
            <w:tcBorders>
              <w:top w:val="single" w:sz="4" w:space="0" w:color="FFFFFF" w:themeColor="background1"/>
              <w:left w:val="nil"/>
              <w:right w:val="nil"/>
            </w:tcBorders>
            <w:shd w:val="clear" w:color="auto" w:fill="005CA9"/>
            <w:vAlign w:val="center"/>
            <w:hideMark/>
          </w:tcPr>
          <w:p w14:paraId="7A0D164F" w14:textId="77777777" w:rsidR="00173016" w:rsidRPr="006640BB" w:rsidRDefault="00173016">
            <w:pPr>
              <w:jc w:val="center"/>
              <w:rPr>
                <w:rFonts w:ascii="CAIXA Std Book" w:eastAsia="Times New Roman" w:hAnsi="CAIXA Std Book" w:cs="Times New Roman"/>
                <w:b/>
                <w:color w:val="FFFFFF"/>
                <w:sz w:val="18"/>
                <w:szCs w:val="18"/>
              </w:rPr>
            </w:pPr>
            <w:r w:rsidRPr="006640BB">
              <w:rPr>
                <w:rFonts w:ascii="CAIXA Std Book" w:eastAsia="Times New Roman" w:hAnsi="CAIXA Std Book" w:cs="Times New Roman"/>
                <w:b/>
                <w:color w:val="FFFFFF"/>
                <w:sz w:val="18"/>
                <w:szCs w:val="18"/>
              </w:rPr>
              <w:t>Valor nominal</w:t>
            </w:r>
          </w:p>
        </w:tc>
        <w:tc>
          <w:tcPr>
            <w:tcW w:w="841" w:type="pct"/>
            <w:tcBorders>
              <w:top w:val="single" w:sz="4" w:space="0" w:color="FFFFFF" w:themeColor="background1"/>
              <w:left w:val="nil"/>
              <w:right w:val="nil"/>
            </w:tcBorders>
            <w:shd w:val="clear" w:color="auto" w:fill="005CA9"/>
            <w:vAlign w:val="center"/>
            <w:hideMark/>
          </w:tcPr>
          <w:p w14:paraId="631DE0E3" w14:textId="77777777" w:rsidR="00173016" w:rsidRPr="006640BB" w:rsidRDefault="00173016">
            <w:pPr>
              <w:jc w:val="center"/>
              <w:rPr>
                <w:rFonts w:ascii="CAIXA Std Book" w:eastAsia="Times New Roman" w:hAnsi="CAIXA Std Book" w:cs="Times New Roman"/>
                <w:b/>
                <w:color w:val="FFFFFF"/>
                <w:sz w:val="18"/>
                <w:szCs w:val="18"/>
              </w:rPr>
            </w:pPr>
            <w:r w:rsidRPr="006640BB">
              <w:rPr>
                <w:rFonts w:ascii="CAIXA Std Book" w:eastAsia="Times New Roman" w:hAnsi="CAIXA Std Book" w:cs="Times New Roman"/>
                <w:b/>
                <w:color w:val="FFFFFF"/>
                <w:sz w:val="18"/>
                <w:szCs w:val="18"/>
              </w:rPr>
              <w:t>Valor presente</w:t>
            </w:r>
          </w:p>
        </w:tc>
        <w:tc>
          <w:tcPr>
            <w:tcW w:w="806" w:type="pct"/>
            <w:tcBorders>
              <w:top w:val="single" w:sz="4" w:space="0" w:color="FFFFFF" w:themeColor="background1"/>
              <w:left w:val="nil"/>
              <w:right w:val="nil"/>
            </w:tcBorders>
            <w:shd w:val="clear" w:color="auto" w:fill="005CA9"/>
            <w:vAlign w:val="center"/>
            <w:hideMark/>
          </w:tcPr>
          <w:p w14:paraId="0C495EFA" w14:textId="77777777" w:rsidR="00173016" w:rsidRPr="006640BB" w:rsidRDefault="00173016">
            <w:pPr>
              <w:jc w:val="center"/>
              <w:rPr>
                <w:rFonts w:ascii="CAIXA Std Book" w:eastAsia="Times New Roman" w:hAnsi="CAIXA Std Book" w:cs="Times New Roman"/>
                <w:b/>
                <w:color w:val="FFFFFF"/>
                <w:sz w:val="18"/>
                <w:szCs w:val="18"/>
              </w:rPr>
            </w:pPr>
            <w:r w:rsidRPr="006640BB">
              <w:rPr>
                <w:rFonts w:ascii="CAIXA Std Book" w:eastAsia="Times New Roman" w:hAnsi="CAIXA Std Book" w:cs="Times New Roman"/>
                <w:b/>
                <w:color w:val="FFFFFF"/>
                <w:sz w:val="18"/>
                <w:szCs w:val="18"/>
              </w:rPr>
              <w:t>Valor nominal</w:t>
            </w:r>
          </w:p>
        </w:tc>
        <w:tc>
          <w:tcPr>
            <w:tcW w:w="841" w:type="pct"/>
            <w:tcBorders>
              <w:top w:val="single" w:sz="4" w:space="0" w:color="FFFFFF" w:themeColor="background1"/>
              <w:left w:val="nil"/>
              <w:right w:val="nil"/>
            </w:tcBorders>
            <w:shd w:val="clear" w:color="auto" w:fill="005CA9"/>
            <w:vAlign w:val="center"/>
            <w:hideMark/>
          </w:tcPr>
          <w:p w14:paraId="75CD4F9E" w14:textId="77777777" w:rsidR="00173016" w:rsidRPr="006640BB" w:rsidRDefault="00173016">
            <w:pPr>
              <w:jc w:val="center"/>
              <w:rPr>
                <w:rFonts w:ascii="CAIXA Std Book" w:eastAsia="Times New Roman" w:hAnsi="CAIXA Std Book" w:cs="Times New Roman"/>
                <w:b/>
                <w:color w:val="FFFFFF"/>
                <w:sz w:val="18"/>
                <w:szCs w:val="18"/>
              </w:rPr>
            </w:pPr>
            <w:r w:rsidRPr="006640BB">
              <w:rPr>
                <w:rFonts w:ascii="CAIXA Std Book" w:eastAsia="Times New Roman" w:hAnsi="CAIXA Std Book" w:cs="Times New Roman"/>
                <w:b/>
                <w:color w:val="FFFFFF"/>
                <w:sz w:val="18"/>
                <w:szCs w:val="18"/>
              </w:rPr>
              <w:t>Valor presente</w:t>
            </w:r>
          </w:p>
        </w:tc>
      </w:tr>
      <w:tr w:rsidR="00E54693" w:rsidRPr="008B450A" w14:paraId="5668663D" w14:textId="77777777" w:rsidTr="006640BB">
        <w:trPr>
          <w:trHeight w:val="283"/>
        </w:trPr>
        <w:tc>
          <w:tcPr>
            <w:tcW w:w="1706" w:type="pct"/>
            <w:tcBorders>
              <w:top w:val="nil"/>
              <w:left w:val="nil"/>
              <w:bottom w:val="nil"/>
              <w:right w:val="nil"/>
            </w:tcBorders>
            <w:vAlign w:val="center"/>
            <w:hideMark/>
          </w:tcPr>
          <w:p w14:paraId="6C8AFB9A" w14:textId="5B20F6F6" w:rsidR="00173016" w:rsidRPr="006640BB" w:rsidRDefault="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2026</w:t>
            </w:r>
          </w:p>
        </w:tc>
        <w:tc>
          <w:tcPr>
            <w:tcW w:w="806" w:type="pct"/>
            <w:tcBorders>
              <w:top w:val="nil"/>
              <w:left w:val="nil"/>
              <w:bottom w:val="nil"/>
              <w:right w:val="nil"/>
            </w:tcBorders>
            <w:noWrap/>
            <w:vAlign w:val="center"/>
            <w:hideMark/>
          </w:tcPr>
          <w:p w14:paraId="2AE33B22" w14:textId="3AAB79F6"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7.314.477</w:t>
            </w:r>
          </w:p>
        </w:tc>
        <w:tc>
          <w:tcPr>
            <w:tcW w:w="841" w:type="pct"/>
            <w:tcBorders>
              <w:top w:val="nil"/>
              <w:left w:val="nil"/>
              <w:bottom w:val="nil"/>
              <w:right w:val="nil"/>
            </w:tcBorders>
            <w:noWrap/>
            <w:vAlign w:val="center"/>
            <w:hideMark/>
          </w:tcPr>
          <w:p w14:paraId="6A604850" w14:textId="5F729906"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7.234.677</w:t>
            </w:r>
          </w:p>
        </w:tc>
        <w:tc>
          <w:tcPr>
            <w:tcW w:w="806" w:type="pct"/>
            <w:tcBorders>
              <w:top w:val="nil"/>
              <w:left w:val="nil"/>
              <w:bottom w:val="nil"/>
              <w:right w:val="nil"/>
            </w:tcBorders>
            <w:noWrap/>
            <w:vAlign w:val="center"/>
            <w:hideMark/>
          </w:tcPr>
          <w:p w14:paraId="0AC3116A" w14:textId="4A656008"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7.314.477</w:t>
            </w:r>
          </w:p>
        </w:tc>
        <w:tc>
          <w:tcPr>
            <w:tcW w:w="841" w:type="pct"/>
            <w:tcBorders>
              <w:top w:val="nil"/>
              <w:left w:val="nil"/>
              <w:bottom w:val="nil"/>
              <w:right w:val="nil"/>
            </w:tcBorders>
            <w:noWrap/>
            <w:vAlign w:val="center"/>
            <w:hideMark/>
          </w:tcPr>
          <w:p w14:paraId="787FB5A5" w14:textId="2E21FF7B"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7.234.677</w:t>
            </w:r>
          </w:p>
        </w:tc>
      </w:tr>
      <w:tr w:rsidR="00E54693" w:rsidRPr="008B450A" w14:paraId="5949543F" w14:textId="77777777" w:rsidTr="006640BB">
        <w:trPr>
          <w:trHeight w:val="283"/>
        </w:trPr>
        <w:tc>
          <w:tcPr>
            <w:tcW w:w="1706" w:type="pct"/>
            <w:tcBorders>
              <w:top w:val="nil"/>
              <w:left w:val="nil"/>
              <w:bottom w:val="nil"/>
              <w:right w:val="nil"/>
            </w:tcBorders>
            <w:vAlign w:val="center"/>
            <w:hideMark/>
          </w:tcPr>
          <w:p w14:paraId="7E271031" w14:textId="1AAF1163" w:rsidR="00173016" w:rsidRPr="006640BB" w:rsidRDefault="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2027</w:t>
            </w:r>
          </w:p>
        </w:tc>
        <w:tc>
          <w:tcPr>
            <w:tcW w:w="806" w:type="pct"/>
            <w:tcBorders>
              <w:top w:val="nil"/>
              <w:left w:val="nil"/>
              <w:bottom w:val="nil"/>
              <w:right w:val="nil"/>
            </w:tcBorders>
            <w:noWrap/>
            <w:vAlign w:val="center"/>
            <w:hideMark/>
          </w:tcPr>
          <w:p w14:paraId="3BA5266E" w14:textId="6952CCBA"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10.501.115</w:t>
            </w:r>
          </w:p>
        </w:tc>
        <w:tc>
          <w:tcPr>
            <w:tcW w:w="841" w:type="pct"/>
            <w:tcBorders>
              <w:top w:val="nil"/>
              <w:left w:val="nil"/>
              <w:bottom w:val="nil"/>
              <w:right w:val="nil"/>
            </w:tcBorders>
            <w:noWrap/>
            <w:vAlign w:val="center"/>
            <w:hideMark/>
          </w:tcPr>
          <w:p w14:paraId="49C022E7" w14:textId="2884DA82"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9.522.225</w:t>
            </w:r>
          </w:p>
        </w:tc>
        <w:tc>
          <w:tcPr>
            <w:tcW w:w="806" w:type="pct"/>
            <w:tcBorders>
              <w:top w:val="nil"/>
              <w:left w:val="nil"/>
              <w:bottom w:val="nil"/>
              <w:right w:val="nil"/>
            </w:tcBorders>
            <w:noWrap/>
            <w:vAlign w:val="center"/>
            <w:hideMark/>
          </w:tcPr>
          <w:p w14:paraId="6B07C2B2" w14:textId="0BBF6607"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10.501.115</w:t>
            </w:r>
          </w:p>
        </w:tc>
        <w:tc>
          <w:tcPr>
            <w:tcW w:w="841" w:type="pct"/>
            <w:tcBorders>
              <w:top w:val="nil"/>
              <w:left w:val="nil"/>
              <w:bottom w:val="nil"/>
              <w:right w:val="nil"/>
            </w:tcBorders>
            <w:noWrap/>
            <w:vAlign w:val="center"/>
            <w:hideMark/>
          </w:tcPr>
          <w:p w14:paraId="23C50B25" w14:textId="48B9C1E1"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9.522.225</w:t>
            </w:r>
          </w:p>
        </w:tc>
      </w:tr>
      <w:tr w:rsidR="00E54693" w:rsidRPr="008B450A" w14:paraId="1ED40281" w14:textId="77777777" w:rsidTr="006640BB">
        <w:trPr>
          <w:trHeight w:val="283"/>
        </w:trPr>
        <w:tc>
          <w:tcPr>
            <w:tcW w:w="1706" w:type="pct"/>
            <w:tcBorders>
              <w:top w:val="nil"/>
              <w:left w:val="nil"/>
              <w:bottom w:val="nil"/>
              <w:right w:val="nil"/>
            </w:tcBorders>
            <w:vAlign w:val="center"/>
            <w:hideMark/>
          </w:tcPr>
          <w:p w14:paraId="6D31CB80" w14:textId="493ACA85" w:rsidR="00173016" w:rsidRPr="006640BB" w:rsidRDefault="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2028</w:t>
            </w:r>
          </w:p>
        </w:tc>
        <w:tc>
          <w:tcPr>
            <w:tcW w:w="806" w:type="pct"/>
            <w:tcBorders>
              <w:top w:val="nil"/>
              <w:left w:val="nil"/>
              <w:bottom w:val="nil"/>
              <w:right w:val="nil"/>
            </w:tcBorders>
            <w:noWrap/>
            <w:vAlign w:val="center"/>
            <w:hideMark/>
          </w:tcPr>
          <w:p w14:paraId="2A58ECCE" w14:textId="194FBC71"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6.383.984</w:t>
            </w:r>
          </w:p>
        </w:tc>
        <w:tc>
          <w:tcPr>
            <w:tcW w:w="841" w:type="pct"/>
            <w:tcBorders>
              <w:top w:val="nil"/>
              <w:left w:val="nil"/>
              <w:bottom w:val="nil"/>
              <w:right w:val="nil"/>
            </w:tcBorders>
            <w:noWrap/>
            <w:vAlign w:val="center"/>
            <w:hideMark/>
          </w:tcPr>
          <w:p w14:paraId="308165B1" w14:textId="22FCFD84"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5.339.408</w:t>
            </w:r>
          </w:p>
        </w:tc>
        <w:tc>
          <w:tcPr>
            <w:tcW w:w="806" w:type="pct"/>
            <w:tcBorders>
              <w:top w:val="nil"/>
              <w:left w:val="nil"/>
              <w:bottom w:val="nil"/>
              <w:right w:val="nil"/>
            </w:tcBorders>
            <w:noWrap/>
            <w:vAlign w:val="center"/>
            <w:hideMark/>
          </w:tcPr>
          <w:p w14:paraId="6F26FC62" w14:textId="5E9668D9"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6.383.984</w:t>
            </w:r>
          </w:p>
        </w:tc>
        <w:tc>
          <w:tcPr>
            <w:tcW w:w="841" w:type="pct"/>
            <w:tcBorders>
              <w:top w:val="nil"/>
              <w:left w:val="nil"/>
              <w:bottom w:val="nil"/>
              <w:right w:val="nil"/>
            </w:tcBorders>
            <w:noWrap/>
            <w:vAlign w:val="center"/>
            <w:hideMark/>
          </w:tcPr>
          <w:p w14:paraId="45AD2793" w14:textId="4B413A01"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5.339.408</w:t>
            </w:r>
          </w:p>
        </w:tc>
      </w:tr>
      <w:tr w:rsidR="00E54693" w:rsidRPr="008B450A" w14:paraId="18B6B9E0" w14:textId="77777777" w:rsidTr="006640BB">
        <w:trPr>
          <w:trHeight w:val="283"/>
        </w:trPr>
        <w:tc>
          <w:tcPr>
            <w:tcW w:w="1706" w:type="pct"/>
            <w:tcBorders>
              <w:top w:val="nil"/>
              <w:left w:val="nil"/>
              <w:bottom w:val="nil"/>
              <w:right w:val="nil"/>
            </w:tcBorders>
            <w:vAlign w:val="center"/>
            <w:hideMark/>
          </w:tcPr>
          <w:p w14:paraId="4670C902" w14:textId="6F783C10" w:rsidR="00173016" w:rsidRPr="006640BB" w:rsidRDefault="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2029</w:t>
            </w:r>
          </w:p>
        </w:tc>
        <w:tc>
          <w:tcPr>
            <w:tcW w:w="806" w:type="pct"/>
            <w:tcBorders>
              <w:top w:val="nil"/>
              <w:left w:val="nil"/>
              <w:bottom w:val="nil"/>
              <w:right w:val="nil"/>
            </w:tcBorders>
            <w:noWrap/>
            <w:vAlign w:val="center"/>
            <w:hideMark/>
          </w:tcPr>
          <w:p w14:paraId="6FDC29C4" w14:textId="205B04CB"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6.159.448</w:t>
            </w:r>
          </w:p>
        </w:tc>
        <w:tc>
          <w:tcPr>
            <w:tcW w:w="841" w:type="pct"/>
            <w:tcBorders>
              <w:top w:val="nil"/>
              <w:left w:val="nil"/>
              <w:bottom w:val="nil"/>
              <w:right w:val="nil"/>
            </w:tcBorders>
            <w:noWrap/>
            <w:vAlign w:val="center"/>
            <w:hideMark/>
          </w:tcPr>
          <w:p w14:paraId="6C3B2E73" w14:textId="5ED39DB6"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4.776.691</w:t>
            </w:r>
          </w:p>
        </w:tc>
        <w:tc>
          <w:tcPr>
            <w:tcW w:w="806" w:type="pct"/>
            <w:tcBorders>
              <w:top w:val="nil"/>
              <w:left w:val="nil"/>
              <w:bottom w:val="nil"/>
              <w:right w:val="nil"/>
            </w:tcBorders>
            <w:noWrap/>
            <w:vAlign w:val="center"/>
            <w:hideMark/>
          </w:tcPr>
          <w:p w14:paraId="3571E17F" w14:textId="77563145"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6.159.448</w:t>
            </w:r>
          </w:p>
        </w:tc>
        <w:tc>
          <w:tcPr>
            <w:tcW w:w="841" w:type="pct"/>
            <w:tcBorders>
              <w:top w:val="nil"/>
              <w:left w:val="nil"/>
              <w:bottom w:val="nil"/>
              <w:right w:val="nil"/>
            </w:tcBorders>
            <w:noWrap/>
            <w:vAlign w:val="center"/>
            <w:hideMark/>
          </w:tcPr>
          <w:p w14:paraId="6CE49861" w14:textId="40AD2252"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4.776.691</w:t>
            </w:r>
          </w:p>
        </w:tc>
      </w:tr>
      <w:tr w:rsidR="00E54693" w:rsidRPr="008B450A" w14:paraId="2029727F" w14:textId="77777777" w:rsidTr="006640BB">
        <w:trPr>
          <w:trHeight w:val="283"/>
        </w:trPr>
        <w:tc>
          <w:tcPr>
            <w:tcW w:w="1706" w:type="pct"/>
            <w:tcBorders>
              <w:top w:val="nil"/>
              <w:left w:val="nil"/>
              <w:bottom w:val="nil"/>
              <w:right w:val="nil"/>
            </w:tcBorders>
            <w:vAlign w:val="center"/>
            <w:hideMark/>
          </w:tcPr>
          <w:p w14:paraId="35058AEF" w14:textId="72A5134B" w:rsidR="00173016" w:rsidRPr="006640BB" w:rsidRDefault="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2030</w:t>
            </w:r>
          </w:p>
        </w:tc>
        <w:tc>
          <w:tcPr>
            <w:tcW w:w="806" w:type="pct"/>
            <w:tcBorders>
              <w:top w:val="nil"/>
              <w:left w:val="nil"/>
              <w:bottom w:val="nil"/>
              <w:right w:val="nil"/>
            </w:tcBorders>
            <w:noWrap/>
            <w:vAlign w:val="center"/>
            <w:hideMark/>
          </w:tcPr>
          <w:p w14:paraId="30AFD462" w14:textId="4D0A802D"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5.970.878</w:t>
            </w:r>
          </w:p>
        </w:tc>
        <w:tc>
          <w:tcPr>
            <w:tcW w:w="841" w:type="pct"/>
            <w:tcBorders>
              <w:top w:val="nil"/>
              <w:left w:val="nil"/>
              <w:bottom w:val="nil"/>
              <w:right w:val="nil"/>
            </w:tcBorders>
            <w:noWrap/>
            <w:vAlign w:val="center"/>
            <w:hideMark/>
          </w:tcPr>
          <w:p w14:paraId="64737A1B" w14:textId="26E416C4"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4.306.925</w:t>
            </w:r>
          </w:p>
        </w:tc>
        <w:tc>
          <w:tcPr>
            <w:tcW w:w="806" w:type="pct"/>
            <w:tcBorders>
              <w:top w:val="nil"/>
              <w:left w:val="nil"/>
              <w:bottom w:val="nil"/>
              <w:right w:val="nil"/>
            </w:tcBorders>
            <w:noWrap/>
            <w:vAlign w:val="center"/>
            <w:hideMark/>
          </w:tcPr>
          <w:p w14:paraId="3D205B17" w14:textId="174A1D92"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5.970.878</w:t>
            </w:r>
          </w:p>
        </w:tc>
        <w:tc>
          <w:tcPr>
            <w:tcW w:w="841" w:type="pct"/>
            <w:tcBorders>
              <w:top w:val="nil"/>
              <w:left w:val="nil"/>
              <w:bottom w:val="nil"/>
              <w:right w:val="nil"/>
            </w:tcBorders>
            <w:noWrap/>
            <w:vAlign w:val="center"/>
            <w:hideMark/>
          </w:tcPr>
          <w:p w14:paraId="1D534FCF" w14:textId="115D1EA4"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4.306.925</w:t>
            </w:r>
          </w:p>
        </w:tc>
      </w:tr>
      <w:tr w:rsidR="00E54693" w:rsidRPr="008B450A" w14:paraId="049C6A46" w14:textId="77777777" w:rsidTr="006640BB">
        <w:trPr>
          <w:trHeight w:val="283"/>
        </w:trPr>
        <w:tc>
          <w:tcPr>
            <w:tcW w:w="1706" w:type="pct"/>
            <w:tcBorders>
              <w:top w:val="nil"/>
              <w:left w:val="nil"/>
              <w:bottom w:val="nil"/>
              <w:right w:val="nil"/>
            </w:tcBorders>
            <w:vAlign w:val="center"/>
            <w:hideMark/>
          </w:tcPr>
          <w:p w14:paraId="711A31C0" w14:textId="41E20A39" w:rsidR="00173016" w:rsidRPr="006640BB" w:rsidRDefault="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 xml:space="preserve">2031 até 2035 </w:t>
            </w:r>
          </w:p>
        </w:tc>
        <w:tc>
          <w:tcPr>
            <w:tcW w:w="806" w:type="pct"/>
            <w:tcBorders>
              <w:top w:val="nil"/>
              <w:left w:val="nil"/>
              <w:bottom w:val="nil"/>
              <w:right w:val="nil"/>
            </w:tcBorders>
            <w:noWrap/>
            <w:vAlign w:val="center"/>
            <w:hideMark/>
          </w:tcPr>
          <w:p w14:paraId="14F374C2" w14:textId="3C6D40B0"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37.937.349</w:t>
            </w:r>
          </w:p>
        </w:tc>
        <w:tc>
          <w:tcPr>
            <w:tcW w:w="841" w:type="pct"/>
            <w:tcBorders>
              <w:top w:val="nil"/>
              <w:left w:val="nil"/>
              <w:bottom w:val="nil"/>
              <w:right w:val="nil"/>
            </w:tcBorders>
            <w:noWrap/>
            <w:vAlign w:val="center"/>
            <w:hideMark/>
          </w:tcPr>
          <w:p w14:paraId="5AD3006E" w14:textId="465761E0"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22.331.111</w:t>
            </w:r>
          </w:p>
        </w:tc>
        <w:tc>
          <w:tcPr>
            <w:tcW w:w="806" w:type="pct"/>
            <w:tcBorders>
              <w:top w:val="nil"/>
              <w:left w:val="nil"/>
              <w:bottom w:val="nil"/>
              <w:right w:val="nil"/>
            </w:tcBorders>
            <w:noWrap/>
            <w:vAlign w:val="center"/>
            <w:hideMark/>
          </w:tcPr>
          <w:p w14:paraId="6BC46083" w14:textId="2152A239"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38.070.166</w:t>
            </w:r>
          </w:p>
        </w:tc>
        <w:tc>
          <w:tcPr>
            <w:tcW w:w="841" w:type="pct"/>
            <w:tcBorders>
              <w:top w:val="nil"/>
              <w:left w:val="nil"/>
              <w:bottom w:val="nil"/>
              <w:right w:val="nil"/>
            </w:tcBorders>
            <w:noWrap/>
            <w:vAlign w:val="center"/>
            <w:hideMark/>
          </w:tcPr>
          <w:p w14:paraId="67B778A6" w14:textId="7A2621FF" w:rsidR="00173016" w:rsidRPr="006640BB" w:rsidRDefault="007B552D" w:rsidP="007B552D">
            <w:pPr>
              <w:jc w:val="center"/>
              <w:rPr>
                <w:rFonts w:ascii="CAIXA Std Book" w:eastAsia="Times New Roman" w:hAnsi="CAIXA Std Book" w:cs="Times New Roman"/>
                <w:color w:val="005CA9"/>
                <w:sz w:val="18"/>
                <w:szCs w:val="18"/>
              </w:rPr>
            </w:pPr>
            <w:r>
              <w:rPr>
                <w:rFonts w:ascii="CAIXA Std Book" w:hAnsi="CAIXA Std Book" w:cs="Arial"/>
                <w:color w:val="005CA9"/>
                <w:sz w:val="18"/>
                <w:szCs w:val="18"/>
              </w:rPr>
              <w:t>22.331.111</w:t>
            </w:r>
          </w:p>
        </w:tc>
      </w:tr>
      <w:tr w:rsidR="00E54693" w:rsidRPr="008B450A" w14:paraId="1E741FE0" w14:textId="77777777" w:rsidTr="006640BB">
        <w:trPr>
          <w:trHeight w:val="283"/>
        </w:trPr>
        <w:tc>
          <w:tcPr>
            <w:tcW w:w="1706" w:type="pct"/>
            <w:tcBorders>
              <w:top w:val="nil"/>
              <w:left w:val="nil"/>
              <w:bottom w:val="nil"/>
              <w:right w:val="nil"/>
            </w:tcBorders>
            <w:shd w:val="clear" w:color="auto" w:fill="005CA9"/>
            <w:noWrap/>
            <w:vAlign w:val="center"/>
          </w:tcPr>
          <w:p w14:paraId="7FA5BD77" w14:textId="41BB09AB" w:rsidR="00173016" w:rsidRPr="006640BB" w:rsidRDefault="00173016">
            <w:pPr>
              <w:rPr>
                <w:rFonts w:ascii="CAIXA Std Book" w:eastAsia="Times New Roman" w:hAnsi="CAIXA Std Book" w:cs="Times New Roman"/>
                <w:b/>
                <w:color w:val="FFFFFF"/>
                <w:sz w:val="18"/>
                <w:szCs w:val="18"/>
              </w:rPr>
            </w:pPr>
          </w:p>
        </w:tc>
        <w:tc>
          <w:tcPr>
            <w:tcW w:w="806" w:type="pct"/>
            <w:tcBorders>
              <w:top w:val="nil"/>
              <w:left w:val="nil"/>
              <w:bottom w:val="nil"/>
              <w:right w:val="nil"/>
            </w:tcBorders>
            <w:shd w:val="clear" w:color="auto" w:fill="005CA9"/>
            <w:noWrap/>
            <w:vAlign w:val="center"/>
          </w:tcPr>
          <w:p w14:paraId="14628DB9" w14:textId="23F323CE" w:rsidR="00173016" w:rsidRPr="006640BB" w:rsidRDefault="007B552D" w:rsidP="007B552D">
            <w:pPr>
              <w:jc w:val="center"/>
              <w:rPr>
                <w:rFonts w:ascii="CAIXA Std Book" w:eastAsia="Times New Roman" w:hAnsi="CAIXA Std Book" w:cs="Times New Roman"/>
                <w:b/>
                <w:color w:val="FFFFFF"/>
                <w:sz w:val="18"/>
                <w:szCs w:val="18"/>
              </w:rPr>
            </w:pPr>
            <w:r>
              <w:rPr>
                <w:rFonts w:ascii="CAIXA Std Book" w:hAnsi="CAIXA Std Book" w:cs="Arial"/>
                <w:b/>
                <w:bCs/>
                <w:color w:val="FFFFFF"/>
                <w:sz w:val="18"/>
                <w:szCs w:val="18"/>
              </w:rPr>
              <w:t>74.267.251</w:t>
            </w:r>
          </w:p>
        </w:tc>
        <w:tc>
          <w:tcPr>
            <w:tcW w:w="841" w:type="pct"/>
            <w:tcBorders>
              <w:top w:val="nil"/>
              <w:left w:val="nil"/>
              <w:bottom w:val="nil"/>
              <w:right w:val="nil"/>
            </w:tcBorders>
            <w:shd w:val="clear" w:color="auto" w:fill="005CA9"/>
            <w:noWrap/>
            <w:vAlign w:val="center"/>
          </w:tcPr>
          <w:p w14:paraId="23E39FB1" w14:textId="41B16C87" w:rsidR="00173016" w:rsidRPr="006640BB" w:rsidRDefault="007B552D" w:rsidP="007B552D">
            <w:pPr>
              <w:jc w:val="center"/>
              <w:rPr>
                <w:rFonts w:ascii="CAIXA Std Book" w:eastAsia="Times New Roman" w:hAnsi="CAIXA Std Book" w:cs="Times New Roman"/>
                <w:b/>
                <w:color w:val="FFFFFF"/>
                <w:sz w:val="18"/>
                <w:szCs w:val="18"/>
              </w:rPr>
            </w:pPr>
            <w:r>
              <w:rPr>
                <w:rFonts w:ascii="CAIXA Std Book" w:hAnsi="CAIXA Std Book" w:cs="Arial"/>
                <w:b/>
                <w:bCs/>
                <w:color w:val="FFFFFF"/>
                <w:sz w:val="18"/>
                <w:szCs w:val="18"/>
              </w:rPr>
              <w:t>53.511.037</w:t>
            </w:r>
          </w:p>
        </w:tc>
        <w:tc>
          <w:tcPr>
            <w:tcW w:w="806" w:type="pct"/>
            <w:tcBorders>
              <w:top w:val="nil"/>
              <w:left w:val="nil"/>
              <w:bottom w:val="nil"/>
              <w:right w:val="nil"/>
            </w:tcBorders>
            <w:shd w:val="clear" w:color="auto" w:fill="005CA9"/>
            <w:noWrap/>
            <w:vAlign w:val="center"/>
          </w:tcPr>
          <w:p w14:paraId="6E720697" w14:textId="4E9D56F3" w:rsidR="00173016" w:rsidRPr="006640BB" w:rsidRDefault="007B552D" w:rsidP="007B552D">
            <w:pPr>
              <w:jc w:val="center"/>
              <w:rPr>
                <w:rFonts w:ascii="CAIXA Std Book" w:eastAsia="Times New Roman" w:hAnsi="CAIXA Std Book" w:cs="Times New Roman"/>
                <w:b/>
                <w:color w:val="FFFFFF"/>
                <w:sz w:val="18"/>
                <w:szCs w:val="18"/>
              </w:rPr>
            </w:pPr>
            <w:r>
              <w:rPr>
                <w:rFonts w:ascii="CAIXA Std Book" w:hAnsi="CAIXA Std Book" w:cs="Arial"/>
                <w:b/>
                <w:bCs/>
                <w:color w:val="FFFFFF"/>
                <w:sz w:val="18"/>
                <w:szCs w:val="18"/>
              </w:rPr>
              <w:t>74.400.068</w:t>
            </w:r>
          </w:p>
        </w:tc>
        <w:tc>
          <w:tcPr>
            <w:tcW w:w="841" w:type="pct"/>
            <w:tcBorders>
              <w:top w:val="nil"/>
              <w:left w:val="nil"/>
              <w:bottom w:val="nil"/>
              <w:right w:val="nil"/>
            </w:tcBorders>
            <w:shd w:val="clear" w:color="auto" w:fill="005CA9"/>
            <w:noWrap/>
            <w:vAlign w:val="center"/>
          </w:tcPr>
          <w:p w14:paraId="2773BF06" w14:textId="051D954D" w:rsidR="00173016" w:rsidRPr="006640BB" w:rsidRDefault="007B552D" w:rsidP="007B552D">
            <w:pPr>
              <w:jc w:val="center"/>
              <w:rPr>
                <w:rFonts w:ascii="CAIXA Std Book" w:eastAsia="Times New Roman" w:hAnsi="CAIXA Std Book" w:cs="Times New Roman"/>
                <w:b/>
                <w:color w:val="FFFFFF"/>
                <w:sz w:val="18"/>
                <w:szCs w:val="18"/>
              </w:rPr>
            </w:pPr>
            <w:r>
              <w:rPr>
                <w:rFonts w:ascii="CAIXA Std Book" w:hAnsi="CAIXA Std Book" w:cs="Arial"/>
                <w:b/>
                <w:bCs/>
                <w:color w:val="FFFFFF"/>
                <w:sz w:val="18"/>
                <w:szCs w:val="18"/>
              </w:rPr>
              <w:t>53.511.037</w:t>
            </w:r>
          </w:p>
        </w:tc>
      </w:tr>
    </w:tbl>
    <w:p w14:paraId="6BF671BC" w14:textId="77777777" w:rsidR="006640BB" w:rsidRDefault="006640BB">
      <w:pPr>
        <w:rPr>
          <w:rFonts w:ascii="CAIXA Std Book" w:hAnsi="CAIXA Std Book"/>
          <w:b/>
          <w:color w:val="005CA9"/>
        </w:rPr>
      </w:pPr>
      <w:bookmarkStart w:id="102" w:name="_Toc217914333"/>
      <w:r>
        <w:br w:type="page"/>
      </w:r>
    </w:p>
    <w:p w14:paraId="44E366A5" w14:textId="77777777" w:rsidR="00842154" w:rsidRDefault="00D67929" w:rsidP="00530F9B">
      <w:pPr>
        <w:pStyle w:val="Ttulo1"/>
      </w:pPr>
      <w:bookmarkStart w:id="103" w:name="_Toc229588483"/>
      <w:r w:rsidRPr="00E95E29">
        <w:t>Nota   1</w:t>
      </w:r>
      <w:r>
        <w:t>1</w:t>
      </w:r>
      <w:r w:rsidRPr="00E95E29">
        <w:t xml:space="preserve"> – Investimentos</w:t>
      </w:r>
      <w:bookmarkEnd w:id="102"/>
      <w:bookmarkEnd w:id="103"/>
    </w:p>
    <w:p w14:paraId="4F0C7B48" w14:textId="5F330F6B" w:rsidR="00D67929" w:rsidRPr="00A81390" w:rsidRDefault="00D67929" w:rsidP="00A81390">
      <w:pPr>
        <w:shd w:val="clear" w:color="auto" w:fill="FFFFFF" w:themeFill="background1"/>
        <w:spacing w:before="240" w:after="120"/>
        <w:jc w:val="both"/>
        <w:rPr>
          <w:rFonts w:ascii="CAIXA Std Book" w:hAnsi="CAIXA Std Book"/>
          <w:b/>
          <w:color w:val="005CA9"/>
          <w:sz w:val="20"/>
          <w:szCs w:val="20"/>
        </w:rPr>
      </w:pPr>
      <w:r w:rsidRPr="00A81390">
        <w:rPr>
          <w:rFonts w:ascii="CAIXA Std Book" w:hAnsi="CAIXA Std Book"/>
          <w:b/>
          <w:color w:val="005CA9"/>
          <w:sz w:val="20"/>
          <w:szCs w:val="20"/>
        </w:rPr>
        <w:t>A tabela a seguir apresenta as participações em controladas, controladas em conjunto e coligadas do conglomerado CAIXA.</w:t>
      </w:r>
    </w:p>
    <w:tbl>
      <w:tblPr>
        <w:tblW w:w="5000" w:type="pct"/>
        <w:tblCellMar>
          <w:left w:w="0" w:type="dxa"/>
          <w:right w:w="0" w:type="dxa"/>
        </w:tblCellMar>
        <w:tblLook w:val="04A0" w:firstRow="1" w:lastRow="0" w:firstColumn="1" w:lastColumn="0" w:noHBand="0" w:noVBand="1"/>
      </w:tblPr>
      <w:tblGrid>
        <w:gridCol w:w="2246"/>
        <w:gridCol w:w="1498"/>
        <w:gridCol w:w="1649"/>
        <w:gridCol w:w="2323"/>
        <w:gridCol w:w="5383"/>
        <w:gridCol w:w="1472"/>
      </w:tblGrid>
      <w:tr w:rsidR="00530F9B" w14:paraId="2A4D9203" w14:textId="77777777" w:rsidTr="00943C57">
        <w:trPr>
          <w:trHeight w:val="283"/>
        </w:trPr>
        <w:tc>
          <w:tcPr>
            <w:tcW w:w="771" w:type="pct"/>
            <w:tcBorders>
              <w:top w:val="nil"/>
              <w:left w:val="nil"/>
              <w:bottom w:val="nil"/>
              <w:right w:val="nil"/>
            </w:tcBorders>
            <w:shd w:val="clear" w:color="000000" w:fill="005CA9"/>
            <w:vAlign w:val="center"/>
            <w:hideMark/>
          </w:tcPr>
          <w:p w14:paraId="2674E258" w14:textId="77777777" w:rsidR="00530F9B" w:rsidRDefault="00530F9B">
            <w:pPr>
              <w:jc w:val="center"/>
              <w:rPr>
                <w:rFonts w:ascii="CAIXA Std Book" w:hAnsi="CAIXA Std Book" w:cs="Arial"/>
                <w:b/>
                <w:bCs/>
                <w:color w:val="FFFFFF"/>
                <w:sz w:val="18"/>
                <w:szCs w:val="18"/>
              </w:rPr>
            </w:pPr>
            <w:r>
              <w:rPr>
                <w:rFonts w:ascii="CAIXA Std Book" w:hAnsi="CAIXA Std Book" w:cs="Arial"/>
                <w:b/>
                <w:bCs/>
                <w:color w:val="FFFFFF"/>
                <w:sz w:val="18"/>
                <w:szCs w:val="18"/>
              </w:rPr>
              <w:t>Empresa (1)</w:t>
            </w:r>
          </w:p>
        </w:tc>
        <w:tc>
          <w:tcPr>
            <w:tcW w:w="514" w:type="pct"/>
            <w:tcBorders>
              <w:top w:val="nil"/>
              <w:left w:val="nil"/>
              <w:bottom w:val="nil"/>
              <w:right w:val="nil"/>
            </w:tcBorders>
            <w:shd w:val="clear" w:color="000000" w:fill="005CA9"/>
            <w:vAlign w:val="center"/>
            <w:hideMark/>
          </w:tcPr>
          <w:p w14:paraId="6D1C156B" w14:textId="77777777" w:rsidR="00530F9B" w:rsidRDefault="00530F9B">
            <w:pPr>
              <w:jc w:val="center"/>
              <w:rPr>
                <w:rFonts w:ascii="CAIXA Std Book" w:hAnsi="CAIXA Std Book" w:cs="Arial"/>
                <w:b/>
                <w:bCs/>
                <w:color w:val="FFFFFF"/>
                <w:sz w:val="18"/>
                <w:szCs w:val="18"/>
              </w:rPr>
            </w:pPr>
            <w:r>
              <w:rPr>
                <w:rFonts w:ascii="CAIXA Std Book" w:hAnsi="CAIXA Std Book" w:cs="Arial"/>
                <w:b/>
                <w:bCs/>
                <w:color w:val="FFFFFF"/>
                <w:sz w:val="18"/>
                <w:szCs w:val="18"/>
              </w:rPr>
              <w:t>País de constituição</w:t>
            </w:r>
          </w:p>
        </w:tc>
        <w:tc>
          <w:tcPr>
            <w:tcW w:w="566" w:type="pct"/>
            <w:tcBorders>
              <w:top w:val="nil"/>
              <w:left w:val="nil"/>
              <w:bottom w:val="nil"/>
              <w:right w:val="nil"/>
            </w:tcBorders>
            <w:shd w:val="clear" w:color="000000" w:fill="005CA9"/>
            <w:vAlign w:val="center"/>
            <w:hideMark/>
          </w:tcPr>
          <w:p w14:paraId="696EA6B3" w14:textId="77777777" w:rsidR="00530F9B" w:rsidRDefault="00530F9B">
            <w:pPr>
              <w:jc w:val="center"/>
              <w:rPr>
                <w:rFonts w:ascii="CAIXA Std Book" w:hAnsi="CAIXA Std Book" w:cs="Arial"/>
                <w:b/>
                <w:bCs/>
                <w:color w:val="FFFFFF"/>
                <w:sz w:val="18"/>
                <w:szCs w:val="18"/>
              </w:rPr>
            </w:pPr>
            <w:r>
              <w:rPr>
                <w:rFonts w:ascii="CAIXA Std Book" w:hAnsi="CAIXA Std Book" w:cs="Arial"/>
                <w:b/>
                <w:bCs/>
                <w:color w:val="FFFFFF"/>
                <w:sz w:val="18"/>
                <w:szCs w:val="18"/>
              </w:rPr>
              <w:t>Sede</w:t>
            </w:r>
          </w:p>
        </w:tc>
        <w:tc>
          <w:tcPr>
            <w:tcW w:w="797" w:type="pct"/>
            <w:tcBorders>
              <w:top w:val="nil"/>
              <w:left w:val="nil"/>
              <w:bottom w:val="nil"/>
              <w:right w:val="nil"/>
            </w:tcBorders>
            <w:shd w:val="clear" w:color="000000" w:fill="005CA9"/>
            <w:vAlign w:val="center"/>
            <w:hideMark/>
          </w:tcPr>
          <w:p w14:paraId="54FE128B" w14:textId="77777777" w:rsidR="00530F9B" w:rsidRDefault="00530F9B">
            <w:pPr>
              <w:jc w:val="center"/>
              <w:rPr>
                <w:rFonts w:ascii="CAIXA Std Book" w:hAnsi="CAIXA Std Book" w:cs="Arial"/>
                <w:b/>
                <w:bCs/>
                <w:color w:val="FFFFFF"/>
                <w:sz w:val="18"/>
                <w:szCs w:val="18"/>
              </w:rPr>
            </w:pPr>
            <w:r>
              <w:rPr>
                <w:rFonts w:ascii="CAIXA Std Book" w:hAnsi="CAIXA Std Book" w:cs="Arial"/>
                <w:b/>
                <w:bCs/>
                <w:color w:val="FFFFFF"/>
                <w:sz w:val="18"/>
                <w:szCs w:val="18"/>
              </w:rPr>
              <w:t>Natureza do relacionamento</w:t>
            </w:r>
          </w:p>
        </w:tc>
        <w:tc>
          <w:tcPr>
            <w:tcW w:w="1847" w:type="pct"/>
            <w:tcBorders>
              <w:top w:val="nil"/>
              <w:left w:val="nil"/>
              <w:bottom w:val="nil"/>
              <w:right w:val="nil"/>
            </w:tcBorders>
            <w:shd w:val="clear" w:color="000000" w:fill="005CA9"/>
            <w:vAlign w:val="center"/>
            <w:hideMark/>
          </w:tcPr>
          <w:p w14:paraId="321A3F74" w14:textId="77777777" w:rsidR="00530F9B" w:rsidRDefault="00530F9B">
            <w:pPr>
              <w:jc w:val="center"/>
              <w:rPr>
                <w:rFonts w:ascii="CAIXA Std Book" w:hAnsi="CAIXA Std Book" w:cs="Arial"/>
                <w:b/>
                <w:bCs/>
                <w:color w:val="FFFFFF"/>
                <w:sz w:val="18"/>
                <w:szCs w:val="18"/>
              </w:rPr>
            </w:pPr>
            <w:r>
              <w:rPr>
                <w:rFonts w:ascii="CAIXA Std Book" w:hAnsi="CAIXA Std Book" w:cs="Arial"/>
                <w:b/>
                <w:bCs/>
                <w:color w:val="FFFFFF"/>
                <w:sz w:val="18"/>
                <w:szCs w:val="18"/>
              </w:rPr>
              <w:t>Atividade</w:t>
            </w:r>
          </w:p>
        </w:tc>
        <w:tc>
          <w:tcPr>
            <w:tcW w:w="505" w:type="pct"/>
            <w:tcBorders>
              <w:top w:val="nil"/>
              <w:left w:val="nil"/>
              <w:bottom w:val="nil"/>
              <w:right w:val="nil"/>
            </w:tcBorders>
            <w:shd w:val="clear" w:color="000000" w:fill="005CA9"/>
            <w:vAlign w:val="center"/>
            <w:hideMark/>
          </w:tcPr>
          <w:p w14:paraId="340120A1" w14:textId="77777777" w:rsidR="00530F9B" w:rsidRDefault="00530F9B">
            <w:pPr>
              <w:jc w:val="center"/>
              <w:rPr>
                <w:rFonts w:ascii="CAIXA Std Book" w:hAnsi="CAIXA Std Book" w:cs="Arial"/>
                <w:b/>
                <w:bCs/>
                <w:color w:val="FFFFFF"/>
                <w:sz w:val="18"/>
                <w:szCs w:val="18"/>
              </w:rPr>
            </w:pPr>
            <w:r>
              <w:rPr>
                <w:rFonts w:ascii="CAIXA Std Book" w:hAnsi="CAIXA Std Book" w:cs="Arial"/>
                <w:b/>
                <w:bCs/>
                <w:color w:val="FFFFFF"/>
                <w:sz w:val="18"/>
                <w:szCs w:val="18"/>
              </w:rPr>
              <w:t>Participação estratégica (2)</w:t>
            </w:r>
          </w:p>
        </w:tc>
      </w:tr>
      <w:tr w:rsidR="00530F9B" w14:paraId="210E6974" w14:textId="77777777" w:rsidTr="00943C57">
        <w:trPr>
          <w:trHeight w:val="283"/>
        </w:trPr>
        <w:tc>
          <w:tcPr>
            <w:tcW w:w="771" w:type="pct"/>
            <w:tcBorders>
              <w:top w:val="nil"/>
              <w:left w:val="nil"/>
              <w:bottom w:val="nil"/>
              <w:right w:val="nil"/>
            </w:tcBorders>
            <w:shd w:val="clear" w:color="000000" w:fill="D0E0E3"/>
            <w:vAlign w:val="center"/>
            <w:hideMark/>
          </w:tcPr>
          <w:p w14:paraId="7CE7488A"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CAIXA</w:t>
            </w:r>
          </w:p>
        </w:tc>
        <w:tc>
          <w:tcPr>
            <w:tcW w:w="514" w:type="pct"/>
            <w:tcBorders>
              <w:top w:val="nil"/>
              <w:left w:val="nil"/>
              <w:bottom w:val="nil"/>
              <w:right w:val="nil"/>
            </w:tcBorders>
            <w:shd w:val="clear" w:color="000000" w:fill="D0E0E3"/>
            <w:noWrap/>
            <w:vAlign w:val="center"/>
            <w:hideMark/>
          </w:tcPr>
          <w:p w14:paraId="4FD6D2F6"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Brasil</w:t>
            </w:r>
          </w:p>
        </w:tc>
        <w:tc>
          <w:tcPr>
            <w:tcW w:w="566" w:type="pct"/>
            <w:tcBorders>
              <w:top w:val="nil"/>
              <w:left w:val="nil"/>
              <w:bottom w:val="nil"/>
              <w:right w:val="nil"/>
            </w:tcBorders>
            <w:shd w:val="clear" w:color="000000" w:fill="D0E0E3"/>
            <w:noWrap/>
            <w:vAlign w:val="center"/>
            <w:hideMark/>
          </w:tcPr>
          <w:p w14:paraId="7F6818E1"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Brasília (DF)</w:t>
            </w:r>
          </w:p>
        </w:tc>
        <w:tc>
          <w:tcPr>
            <w:tcW w:w="797" w:type="pct"/>
            <w:tcBorders>
              <w:top w:val="nil"/>
              <w:left w:val="nil"/>
              <w:bottom w:val="nil"/>
              <w:right w:val="nil"/>
            </w:tcBorders>
            <w:shd w:val="clear" w:color="000000" w:fill="D0E0E3"/>
            <w:noWrap/>
            <w:vAlign w:val="center"/>
            <w:hideMark/>
          </w:tcPr>
          <w:p w14:paraId="578F770F"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Líder do Conglomerado</w:t>
            </w:r>
          </w:p>
        </w:tc>
        <w:tc>
          <w:tcPr>
            <w:tcW w:w="2352" w:type="pct"/>
            <w:gridSpan w:val="2"/>
            <w:tcBorders>
              <w:top w:val="nil"/>
              <w:left w:val="nil"/>
              <w:bottom w:val="nil"/>
              <w:right w:val="nil"/>
            </w:tcBorders>
            <w:shd w:val="clear" w:color="000000" w:fill="D0E0E3"/>
            <w:noWrap/>
            <w:vAlign w:val="center"/>
            <w:hideMark/>
          </w:tcPr>
          <w:p w14:paraId="35D75616"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Caixa Econômica Federal</w:t>
            </w:r>
          </w:p>
        </w:tc>
      </w:tr>
      <w:tr w:rsidR="00530F9B" w14:paraId="629195E4" w14:textId="77777777" w:rsidTr="00943C57">
        <w:trPr>
          <w:trHeight w:val="283"/>
        </w:trPr>
        <w:tc>
          <w:tcPr>
            <w:tcW w:w="771" w:type="pct"/>
            <w:tcBorders>
              <w:top w:val="nil"/>
              <w:left w:val="nil"/>
              <w:bottom w:val="nil"/>
              <w:right w:val="nil"/>
            </w:tcBorders>
            <w:vAlign w:val="center"/>
            <w:hideMark/>
          </w:tcPr>
          <w:p w14:paraId="40F04A5A" w14:textId="77777777" w:rsidR="00530F9B" w:rsidRDefault="00530F9B">
            <w:pPr>
              <w:rPr>
                <w:rFonts w:ascii="CAIXA Std Book" w:hAnsi="CAIXA Std Book" w:cs="Arial"/>
                <w:color w:val="005CA9"/>
                <w:sz w:val="18"/>
                <w:szCs w:val="18"/>
              </w:rPr>
            </w:pPr>
            <w:bookmarkStart w:id="104" w:name="RANGE!B5"/>
            <w:r>
              <w:rPr>
                <w:rFonts w:ascii="CAIXA Std Book" w:hAnsi="CAIXA Std Book" w:cs="Arial"/>
                <w:color w:val="005CA9"/>
                <w:sz w:val="18"/>
                <w:szCs w:val="18"/>
              </w:rPr>
              <w:t>TecBan</w:t>
            </w:r>
            <w:bookmarkEnd w:id="104"/>
          </w:p>
        </w:tc>
        <w:tc>
          <w:tcPr>
            <w:tcW w:w="514" w:type="pct"/>
            <w:tcBorders>
              <w:top w:val="nil"/>
              <w:left w:val="nil"/>
              <w:bottom w:val="nil"/>
              <w:right w:val="nil"/>
            </w:tcBorders>
            <w:noWrap/>
            <w:vAlign w:val="center"/>
            <w:hideMark/>
          </w:tcPr>
          <w:p w14:paraId="5D6135E9"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Brasil</w:t>
            </w:r>
          </w:p>
        </w:tc>
        <w:tc>
          <w:tcPr>
            <w:tcW w:w="566" w:type="pct"/>
            <w:tcBorders>
              <w:top w:val="nil"/>
              <w:left w:val="nil"/>
              <w:bottom w:val="nil"/>
              <w:right w:val="nil"/>
            </w:tcBorders>
            <w:noWrap/>
            <w:vAlign w:val="center"/>
            <w:hideMark/>
          </w:tcPr>
          <w:p w14:paraId="755E15F7"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Barueri (SP)</w:t>
            </w:r>
          </w:p>
        </w:tc>
        <w:tc>
          <w:tcPr>
            <w:tcW w:w="797" w:type="pct"/>
            <w:tcBorders>
              <w:top w:val="nil"/>
              <w:left w:val="nil"/>
              <w:bottom w:val="nil"/>
              <w:right w:val="nil"/>
            </w:tcBorders>
            <w:noWrap/>
            <w:vAlign w:val="center"/>
            <w:hideMark/>
          </w:tcPr>
          <w:p w14:paraId="357D9B45"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Coligada</w:t>
            </w:r>
          </w:p>
        </w:tc>
        <w:tc>
          <w:tcPr>
            <w:tcW w:w="1847" w:type="pct"/>
            <w:tcBorders>
              <w:top w:val="nil"/>
              <w:left w:val="nil"/>
              <w:bottom w:val="nil"/>
              <w:right w:val="nil"/>
            </w:tcBorders>
            <w:noWrap/>
            <w:vAlign w:val="center"/>
            <w:hideMark/>
          </w:tcPr>
          <w:p w14:paraId="2EBA6755"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Tecnologia bancária</w:t>
            </w:r>
          </w:p>
        </w:tc>
        <w:tc>
          <w:tcPr>
            <w:tcW w:w="505" w:type="pct"/>
            <w:tcBorders>
              <w:top w:val="nil"/>
              <w:left w:val="nil"/>
              <w:bottom w:val="nil"/>
              <w:right w:val="nil"/>
            </w:tcBorders>
            <w:shd w:val="clear" w:color="000000" w:fill="FFFFFF"/>
            <w:noWrap/>
            <w:vAlign w:val="center"/>
            <w:hideMark/>
          </w:tcPr>
          <w:p w14:paraId="401AE35F" w14:textId="77777777" w:rsidR="00530F9B" w:rsidRDefault="00530F9B">
            <w:pPr>
              <w:jc w:val="center"/>
              <w:rPr>
                <w:rFonts w:ascii="CAIXA Std Book" w:hAnsi="CAIXA Std Book" w:cs="Arial"/>
                <w:color w:val="005CA9"/>
                <w:sz w:val="18"/>
                <w:szCs w:val="18"/>
              </w:rPr>
            </w:pPr>
            <w:r>
              <w:rPr>
                <w:rFonts w:ascii="CAIXA Std Book" w:hAnsi="CAIXA Std Book" w:cs="Arial"/>
                <w:color w:val="005CA9"/>
                <w:sz w:val="18"/>
                <w:szCs w:val="18"/>
              </w:rPr>
              <w:t>Sim</w:t>
            </w:r>
          </w:p>
        </w:tc>
      </w:tr>
      <w:tr w:rsidR="00530F9B" w14:paraId="1CEB8975" w14:textId="77777777" w:rsidTr="00943C57">
        <w:trPr>
          <w:trHeight w:val="283"/>
        </w:trPr>
        <w:tc>
          <w:tcPr>
            <w:tcW w:w="771" w:type="pct"/>
            <w:tcBorders>
              <w:top w:val="nil"/>
              <w:left w:val="nil"/>
              <w:bottom w:val="nil"/>
              <w:right w:val="nil"/>
            </w:tcBorders>
            <w:vAlign w:val="center"/>
            <w:hideMark/>
          </w:tcPr>
          <w:p w14:paraId="063038A1"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Quod</w:t>
            </w:r>
          </w:p>
        </w:tc>
        <w:tc>
          <w:tcPr>
            <w:tcW w:w="514" w:type="pct"/>
            <w:tcBorders>
              <w:top w:val="nil"/>
              <w:left w:val="nil"/>
              <w:bottom w:val="nil"/>
              <w:right w:val="nil"/>
            </w:tcBorders>
            <w:noWrap/>
            <w:vAlign w:val="center"/>
            <w:hideMark/>
          </w:tcPr>
          <w:p w14:paraId="02F92214"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Brasil</w:t>
            </w:r>
          </w:p>
        </w:tc>
        <w:tc>
          <w:tcPr>
            <w:tcW w:w="566" w:type="pct"/>
            <w:tcBorders>
              <w:top w:val="nil"/>
              <w:left w:val="nil"/>
              <w:bottom w:val="nil"/>
              <w:right w:val="nil"/>
            </w:tcBorders>
            <w:noWrap/>
            <w:vAlign w:val="center"/>
            <w:hideMark/>
          </w:tcPr>
          <w:p w14:paraId="2A9D057A"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Barueri (SP)</w:t>
            </w:r>
          </w:p>
        </w:tc>
        <w:tc>
          <w:tcPr>
            <w:tcW w:w="797" w:type="pct"/>
            <w:tcBorders>
              <w:top w:val="nil"/>
              <w:left w:val="nil"/>
              <w:bottom w:val="nil"/>
              <w:right w:val="nil"/>
            </w:tcBorders>
            <w:noWrap/>
            <w:vAlign w:val="center"/>
            <w:hideMark/>
          </w:tcPr>
          <w:p w14:paraId="64E7D33E"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Coligada</w:t>
            </w:r>
          </w:p>
        </w:tc>
        <w:tc>
          <w:tcPr>
            <w:tcW w:w="1847" w:type="pct"/>
            <w:tcBorders>
              <w:top w:val="nil"/>
              <w:left w:val="nil"/>
              <w:bottom w:val="nil"/>
              <w:right w:val="nil"/>
            </w:tcBorders>
            <w:noWrap/>
            <w:vAlign w:val="center"/>
            <w:hideMark/>
          </w:tcPr>
          <w:p w14:paraId="2C9FCBAA"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Birô de crédito</w:t>
            </w:r>
          </w:p>
        </w:tc>
        <w:tc>
          <w:tcPr>
            <w:tcW w:w="505" w:type="pct"/>
            <w:tcBorders>
              <w:top w:val="nil"/>
              <w:left w:val="nil"/>
              <w:bottom w:val="nil"/>
              <w:right w:val="nil"/>
            </w:tcBorders>
            <w:noWrap/>
            <w:vAlign w:val="center"/>
            <w:hideMark/>
          </w:tcPr>
          <w:p w14:paraId="0954FFF1" w14:textId="77777777" w:rsidR="00530F9B" w:rsidRDefault="00530F9B">
            <w:pPr>
              <w:jc w:val="center"/>
              <w:rPr>
                <w:rFonts w:ascii="CAIXA Std Book" w:hAnsi="CAIXA Std Book" w:cs="Arial"/>
                <w:color w:val="005CA9"/>
                <w:sz w:val="18"/>
                <w:szCs w:val="18"/>
              </w:rPr>
            </w:pPr>
            <w:r>
              <w:rPr>
                <w:rFonts w:ascii="CAIXA Std Book" w:hAnsi="CAIXA Std Book" w:cs="Arial"/>
                <w:color w:val="005CA9"/>
                <w:sz w:val="18"/>
                <w:szCs w:val="18"/>
              </w:rPr>
              <w:t>Sim</w:t>
            </w:r>
          </w:p>
        </w:tc>
      </w:tr>
      <w:tr w:rsidR="00530F9B" w14:paraId="16B53693" w14:textId="77777777" w:rsidTr="00943C57">
        <w:trPr>
          <w:trHeight w:val="283"/>
        </w:trPr>
        <w:tc>
          <w:tcPr>
            <w:tcW w:w="771" w:type="pct"/>
            <w:tcBorders>
              <w:top w:val="nil"/>
              <w:left w:val="nil"/>
              <w:bottom w:val="nil"/>
              <w:right w:val="nil"/>
            </w:tcBorders>
            <w:vAlign w:val="center"/>
            <w:hideMark/>
          </w:tcPr>
          <w:p w14:paraId="3288AF36"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Núclea</w:t>
            </w:r>
          </w:p>
        </w:tc>
        <w:tc>
          <w:tcPr>
            <w:tcW w:w="514" w:type="pct"/>
            <w:tcBorders>
              <w:top w:val="nil"/>
              <w:left w:val="nil"/>
              <w:bottom w:val="nil"/>
              <w:right w:val="nil"/>
            </w:tcBorders>
            <w:noWrap/>
            <w:vAlign w:val="center"/>
            <w:hideMark/>
          </w:tcPr>
          <w:p w14:paraId="40B66B6E"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Brasil</w:t>
            </w:r>
          </w:p>
        </w:tc>
        <w:tc>
          <w:tcPr>
            <w:tcW w:w="566" w:type="pct"/>
            <w:tcBorders>
              <w:top w:val="nil"/>
              <w:left w:val="nil"/>
              <w:bottom w:val="nil"/>
              <w:right w:val="nil"/>
            </w:tcBorders>
            <w:noWrap/>
            <w:vAlign w:val="center"/>
            <w:hideMark/>
          </w:tcPr>
          <w:p w14:paraId="3144395F"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São Paulo (SP)</w:t>
            </w:r>
          </w:p>
        </w:tc>
        <w:tc>
          <w:tcPr>
            <w:tcW w:w="797" w:type="pct"/>
            <w:tcBorders>
              <w:top w:val="nil"/>
              <w:left w:val="nil"/>
              <w:bottom w:val="nil"/>
              <w:right w:val="nil"/>
            </w:tcBorders>
            <w:noWrap/>
            <w:vAlign w:val="center"/>
            <w:hideMark/>
          </w:tcPr>
          <w:p w14:paraId="2159C642"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Coligada</w:t>
            </w:r>
          </w:p>
        </w:tc>
        <w:tc>
          <w:tcPr>
            <w:tcW w:w="1847" w:type="pct"/>
            <w:tcBorders>
              <w:top w:val="nil"/>
              <w:left w:val="nil"/>
              <w:bottom w:val="nil"/>
              <w:right w:val="nil"/>
            </w:tcBorders>
            <w:noWrap/>
            <w:vAlign w:val="center"/>
            <w:hideMark/>
          </w:tcPr>
          <w:p w14:paraId="0C17962A"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Outras atividades</w:t>
            </w:r>
          </w:p>
        </w:tc>
        <w:tc>
          <w:tcPr>
            <w:tcW w:w="505" w:type="pct"/>
            <w:tcBorders>
              <w:top w:val="nil"/>
              <w:left w:val="nil"/>
              <w:bottom w:val="nil"/>
              <w:right w:val="nil"/>
            </w:tcBorders>
            <w:noWrap/>
            <w:vAlign w:val="center"/>
            <w:hideMark/>
          </w:tcPr>
          <w:p w14:paraId="7FE887F8" w14:textId="77777777" w:rsidR="00530F9B" w:rsidRDefault="00530F9B">
            <w:pPr>
              <w:jc w:val="center"/>
              <w:rPr>
                <w:rFonts w:ascii="CAIXA Std Book" w:hAnsi="CAIXA Std Book" w:cs="Arial"/>
                <w:color w:val="005CA9"/>
                <w:sz w:val="18"/>
                <w:szCs w:val="18"/>
              </w:rPr>
            </w:pPr>
            <w:r>
              <w:rPr>
                <w:rFonts w:ascii="CAIXA Std Book" w:hAnsi="CAIXA Std Book" w:cs="Arial"/>
                <w:color w:val="005CA9"/>
                <w:sz w:val="18"/>
                <w:szCs w:val="18"/>
              </w:rPr>
              <w:t>Sim</w:t>
            </w:r>
          </w:p>
        </w:tc>
      </w:tr>
      <w:tr w:rsidR="00530F9B" w14:paraId="704D5C33" w14:textId="77777777" w:rsidTr="00943C57">
        <w:trPr>
          <w:trHeight w:val="283"/>
        </w:trPr>
        <w:tc>
          <w:tcPr>
            <w:tcW w:w="771" w:type="pct"/>
            <w:tcBorders>
              <w:top w:val="nil"/>
              <w:left w:val="nil"/>
              <w:bottom w:val="nil"/>
              <w:right w:val="nil"/>
            </w:tcBorders>
            <w:shd w:val="clear" w:color="000000" w:fill="D0E0E3"/>
            <w:vAlign w:val="center"/>
            <w:hideMark/>
          </w:tcPr>
          <w:p w14:paraId="40FB5415"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Caixa Seguridade</w:t>
            </w:r>
          </w:p>
        </w:tc>
        <w:tc>
          <w:tcPr>
            <w:tcW w:w="514" w:type="pct"/>
            <w:tcBorders>
              <w:top w:val="nil"/>
              <w:left w:val="nil"/>
              <w:bottom w:val="nil"/>
              <w:right w:val="nil"/>
            </w:tcBorders>
            <w:shd w:val="clear" w:color="000000" w:fill="D0E0E3"/>
            <w:noWrap/>
            <w:vAlign w:val="center"/>
            <w:hideMark/>
          </w:tcPr>
          <w:p w14:paraId="04D589B1"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Brasi</w:t>
            </w:r>
            <w:r w:rsidRPr="006E6872">
              <w:rPr>
                <w:rFonts w:ascii="CAIXA Std Book" w:hAnsi="CAIXA Std Book" w:cs="Arial"/>
                <w:b/>
                <w:color w:val="005CA9"/>
                <w:sz w:val="18"/>
                <w:szCs w:val="18"/>
              </w:rPr>
              <w:t>l</w:t>
            </w:r>
          </w:p>
        </w:tc>
        <w:tc>
          <w:tcPr>
            <w:tcW w:w="566" w:type="pct"/>
            <w:tcBorders>
              <w:top w:val="nil"/>
              <w:left w:val="nil"/>
              <w:bottom w:val="nil"/>
              <w:right w:val="nil"/>
            </w:tcBorders>
            <w:shd w:val="clear" w:color="000000" w:fill="D0E0E3"/>
            <w:noWrap/>
            <w:vAlign w:val="center"/>
            <w:hideMark/>
          </w:tcPr>
          <w:p w14:paraId="0F0FF989"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Brasília (DF)</w:t>
            </w:r>
          </w:p>
        </w:tc>
        <w:tc>
          <w:tcPr>
            <w:tcW w:w="797" w:type="pct"/>
            <w:tcBorders>
              <w:top w:val="nil"/>
              <w:left w:val="nil"/>
              <w:bottom w:val="nil"/>
              <w:right w:val="nil"/>
            </w:tcBorders>
            <w:shd w:val="clear" w:color="000000" w:fill="D0E0E3"/>
            <w:noWrap/>
            <w:vAlign w:val="center"/>
            <w:hideMark/>
          </w:tcPr>
          <w:p w14:paraId="72E4B304"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Controlada</w:t>
            </w:r>
          </w:p>
        </w:tc>
        <w:tc>
          <w:tcPr>
            <w:tcW w:w="1847" w:type="pct"/>
            <w:tcBorders>
              <w:top w:val="nil"/>
              <w:left w:val="nil"/>
              <w:bottom w:val="nil"/>
              <w:right w:val="nil"/>
            </w:tcBorders>
            <w:shd w:val="clear" w:color="000000" w:fill="D0E0E3"/>
            <w:noWrap/>
            <w:vAlign w:val="center"/>
            <w:hideMark/>
          </w:tcPr>
          <w:p w14:paraId="4AB48DC6"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Holding</w:t>
            </w:r>
          </w:p>
        </w:tc>
        <w:tc>
          <w:tcPr>
            <w:tcW w:w="505" w:type="pct"/>
            <w:tcBorders>
              <w:top w:val="nil"/>
              <w:left w:val="nil"/>
              <w:bottom w:val="nil"/>
              <w:right w:val="nil"/>
            </w:tcBorders>
            <w:shd w:val="clear" w:color="000000" w:fill="D0E0E3"/>
            <w:noWrap/>
            <w:vAlign w:val="center"/>
            <w:hideMark/>
          </w:tcPr>
          <w:p w14:paraId="0BAFBF5F" w14:textId="77777777" w:rsidR="00530F9B" w:rsidRDefault="00530F9B">
            <w:pPr>
              <w:jc w:val="center"/>
              <w:rPr>
                <w:rFonts w:ascii="CAIXA Std Book" w:hAnsi="CAIXA Std Book" w:cs="Arial"/>
                <w:b/>
                <w:bCs/>
                <w:color w:val="005CA9"/>
                <w:sz w:val="18"/>
                <w:szCs w:val="18"/>
              </w:rPr>
            </w:pPr>
            <w:r>
              <w:rPr>
                <w:rFonts w:ascii="CAIXA Std Book" w:hAnsi="CAIXA Std Book" w:cs="Arial"/>
                <w:b/>
                <w:bCs/>
                <w:color w:val="005CA9"/>
                <w:sz w:val="18"/>
                <w:szCs w:val="18"/>
              </w:rPr>
              <w:t>Sim</w:t>
            </w:r>
          </w:p>
        </w:tc>
      </w:tr>
      <w:tr w:rsidR="00530F9B" w14:paraId="4952679C" w14:textId="77777777" w:rsidTr="00943C57">
        <w:trPr>
          <w:trHeight w:val="283"/>
        </w:trPr>
        <w:tc>
          <w:tcPr>
            <w:tcW w:w="771" w:type="pct"/>
            <w:tcBorders>
              <w:top w:val="nil"/>
              <w:left w:val="nil"/>
              <w:bottom w:val="nil"/>
              <w:right w:val="nil"/>
            </w:tcBorders>
            <w:vAlign w:val="center"/>
            <w:hideMark/>
          </w:tcPr>
          <w:p w14:paraId="62D715AC"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 xml:space="preserve">Caixa Holding </w:t>
            </w:r>
          </w:p>
        </w:tc>
        <w:tc>
          <w:tcPr>
            <w:tcW w:w="514" w:type="pct"/>
            <w:tcBorders>
              <w:top w:val="nil"/>
              <w:left w:val="nil"/>
              <w:bottom w:val="nil"/>
              <w:right w:val="nil"/>
            </w:tcBorders>
            <w:noWrap/>
            <w:vAlign w:val="center"/>
            <w:hideMark/>
          </w:tcPr>
          <w:p w14:paraId="70675F24"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Brasil</w:t>
            </w:r>
          </w:p>
        </w:tc>
        <w:tc>
          <w:tcPr>
            <w:tcW w:w="566" w:type="pct"/>
            <w:tcBorders>
              <w:top w:val="nil"/>
              <w:left w:val="nil"/>
              <w:bottom w:val="nil"/>
              <w:right w:val="nil"/>
            </w:tcBorders>
            <w:noWrap/>
            <w:vAlign w:val="center"/>
            <w:hideMark/>
          </w:tcPr>
          <w:p w14:paraId="48B9EB5A"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Brasília (DF)</w:t>
            </w:r>
          </w:p>
        </w:tc>
        <w:tc>
          <w:tcPr>
            <w:tcW w:w="797" w:type="pct"/>
            <w:tcBorders>
              <w:top w:val="nil"/>
              <w:left w:val="nil"/>
              <w:bottom w:val="nil"/>
              <w:right w:val="nil"/>
            </w:tcBorders>
            <w:noWrap/>
            <w:vAlign w:val="center"/>
            <w:hideMark/>
          </w:tcPr>
          <w:p w14:paraId="1F86BE87"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Controlada</w:t>
            </w:r>
          </w:p>
        </w:tc>
        <w:tc>
          <w:tcPr>
            <w:tcW w:w="1847" w:type="pct"/>
            <w:tcBorders>
              <w:top w:val="nil"/>
              <w:left w:val="nil"/>
              <w:bottom w:val="nil"/>
              <w:right w:val="nil"/>
            </w:tcBorders>
            <w:noWrap/>
            <w:vAlign w:val="center"/>
            <w:hideMark/>
          </w:tcPr>
          <w:p w14:paraId="0F480AED"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Holding</w:t>
            </w:r>
          </w:p>
        </w:tc>
        <w:tc>
          <w:tcPr>
            <w:tcW w:w="505" w:type="pct"/>
            <w:tcBorders>
              <w:top w:val="nil"/>
              <w:left w:val="nil"/>
              <w:bottom w:val="nil"/>
              <w:right w:val="nil"/>
            </w:tcBorders>
            <w:noWrap/>
            <w:vAlign w:val="center"/>
            <w:hideMark/>
          </w:tcPr>
          <w:p w14:paraId="59D7DD52" w14:textId="77777777" w:rsidR="00530F9B" w:rsidRDefault="00530F9B">
            <w:pPr>
              <w:jc w:val="center"/>
              <w:rPr>
                <w:rFonts w:ascii="CAIXA Std Book" w:hAnsi="CAIXA Std Book" w:cs="Arial"/>
                <w:color w:val="005CA9"/>
                <w:sz w:val="18"/>
                <w:szCs w:val="18"/>
              </w:rPr>
            </w:pPr>
            <w:r>
              <w:rPr>
                <w:rFonts w:ascii="CAIXA Std Book" w:hAnsi="CAIXA Std Book" w:cs="Arial"/>
                <w:color w:val="005CA9"/>
                <w:sz w:val="18"/>
                <w:szCs w:val="18"/>
              </w:rPr>
              <w:t>Sim</w:t>
            </w:r>
          </w:p>
        </w:tc>
      </w:tr>
      <w:tr w:rsidR="00530F9B" w14:paraId="4EE03281" w14:textId="77777777" w:rsidTr="00943C57">
        <w:trPr>
          <w:trHeight w:val="283"/>
        </w:trPr>
        <w:tc>
          <w:tcPr>
            <w:tcW w:w="771" w:type="pct"/>
            <w:tcBorders>
              <w:top w:val="nil"/>
              <w:left w:val="nil"/>
              <w:bottom w:val="nil"/>
              <w:right w:val="nil"/>
            </w:tcBorders>
            <w:vAlign w:val="center"/>
            <w:hideMark/>
          </w:tcPr>
          <w:p w14:paraId="795D96D2"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Caixa Corretora</w:t>
            </w:r>
          </w:p>
        </w:tc>
        <w:tc>
          <w:tcPr>
            <w:tcW w:w="514" w:type="pct"/>
            <w:tcBorders>
              <w:top w:val="nil"/>
              <w:left w:val="nil"/>
              <w:bottom w:val="nil"/>
              <w:right w:val="nil"/>
            </w:tcBorders>
            <w:noWrap/>
            <w:vAlign w:val="center"/>
            <w:hideMark/>
          </w:tcPr>
          <w:p w14:paraId="166FFD9D"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Brasil</w:t>
            </w:r>
          </w:p>
        </w:tc>
        <w:tc>
          <w:tcPr>
            <w:tcW w:w="566" w:type="pct"/>
            <w:tcBorders>
              <w:top w:val="nil"/>
              <w:left w:val="nil"/>
              <w:bottom w:val="nil"/>
              <w:right w:val="nil"/>
            </w:tcBorders>
            <w:noWrap/>
            <w:vAlign w:val="center"/>
            <w:hideMark/>
          </w:tcPr>
          <w:p w14:paraId="6161254F"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Brasília (DF)</w:t>
            </w:r>
          </w:p>
        </w:tc>
        <w:tc>
          <w:tcPr>
            <w:tcW w:w="797" w:type="pct"/>
            <w:tcBorders>
              <w:top w:val="nil"/>
              <w:left w:val="nil"/>
              <w:bottom w:val="nil"/>
              <w:right w:val="nil"/>
            </w:tcBorders>
            <w:noWrap/>
            <w:vAlign w:val="center"/>
            <w:hideMark/>
          </w:tcPr>
          <w:p w14:paraId="66E12728"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Controlada</w:t>
            </w:r>
          </w:p>
        </w:tc>
        <w:tc>
          <w:tcPr>
            <w:tcW w:w="1847" w:type="pct"/>
            <w:tcBorders>
              <w:top w:val="nil"/>
              <w:left w:val="nil"/>
              <w:bottom w:val="nil"/>
              <w:right w:val="nil"/>
            </w:tcBorders>
            <w:noWrap/>
            <w:vAlign w:val="center"/>
            <w:hideMark/>
          </w:tcPr>
          <w:p w14:paraId="66A8131A"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Corretora de seguros</w:t>
            </w:r>
          </w:p>
        </w:tc>
        <w:tc>
          <w:tcPr>
            <w:tcW w:w="505" w:type="pct"/>
            <w:tcBorders>
              <w:top w:val="nil"/>
              <w:left w:val="nil"/>
              <w:bottom w:val="nil"/>
              <w:right w:val="nil"/>
            </w:tcBorders>
            <w:noWrap/>
            <w:vAlign w:val="center"/>
            <w:hideMark/>
          </w:tcPr>
          <w:p w14:paraId="58F1CA06" w14:textId="77777777" w:rsidR="00530F9B" w:rsidRDefault="00530F9B">
            <w:pPr>
              <w:jc w:val="center"/>
              <w:rPr>
                <w:rFonts w:ascii="CAIXA Std Book" w:hAnsi="CAIXA Std Book" w:cs="Arial"/>
                <w:color w:val="005CA9"/>
                <w:sz w:val="18"/>
                <w:szCs w:val="18"/>
              </w:rPr>
            </w:pPr>
            <w:r>
              <w:rPr>
                <w:rFonts w:ascii="CAIXA Std Book" w:hAnsi="CAIXA Std Book" w:cs="Arial"/>
                <w:color w:val="005CA9"/>
                <w:sz w:val="18"/>
                <w:szCs w:val="18"/>
              </w:rPr>
              <w:t>Sim</w:t>
            </w:r>
          </w:p>
        </w:tc>
      </w:tr>
      <w:tr w:rsidR="00530F9B" w14:paraId="4DCB1DE6" w14:textId="77777777" w:rsidTr="00943C57">
        <w:trPr>
          <w:trHeight w:val="283"/>
        </w:trPr>
        <w:tc>
          <w:tcPr>
            <w:tcW w:w="771" w:type="pct"/>
            <w:tcBorders>
              <w:top w:val="nil"/>
              <w:left w:val="nil"/>
              <w:bottom w:val="nil"/>
              <w:right w:val="nil"/>
            </w:tcBorders>
            <w:vAlign w:val="center"/>
            <w:hideMark/>
          </w:tcPr>
          <w:p w14:paraId="09FE4F0A"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Too Seguros</w:t>
            </w:r>
          </w:p>
        </w:tc>
        <w:tc>
          <w:tcPr>
            <w:tcW w:w="514" w:type="pct"/>
            <w:tcBorders>
              <w:top w:val="nil"/>
              <w:left w:val="nil"/>
              <w:bottom w:val="nil"/>
              <w:right w:val="nil"/>
            </w:tcBorders>
            <w:noWrap/>
            <w:vAlign w:val="center"/>
            <w:hideMark/>
          </w:tcPr>
          <w:p w14:paraId="7C2AF3BE"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Brasil</w:t>
            </w:r>
          </w:p>
        </w:tc>
        <w:tc>
          <w:tcPr>
            <w:tcW w:w="566" w:type="pct"/>
            <w:tcBorders>
              <w:top w:val="nil"/>
              <w:left w:val="nil"/>
              <w:bottom w:val="nil"/>
              <w:right w:val="nil"/>
            </w:tcBorders>
            <w:noWrap/>
            <w:vAlign w:val="center"/>
            <w:hideMark/>
          </w:tcPr>
          <w:p w14:paraId="16D5BA4F"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São Paulo (SP)</w:t>
            </w:r>
          </w:p>
        </w:tc>
        <w:tc>
          <w:tcPr>
            <w:tcW w:w="797" w:type="pct"/>
            <w:tcBorders>
              <w:top w:val="nil"/>
              <w:left w:val="nil"/>
              <w:bottom w:val="nil"/>
              <w:right w:val="nil"/>
            </w:tcBorders>
            <w:noWrap/>
            <w:vAlign w:val="center"/>
            <w:hideMark/>
          </w:tcPr>
          <w:p w14:paraId="20592CF6"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Controle conjunto</w:t>
            </w:r>
          </w:p>
        </w:tc>
        <w:tc>
          <w:tcPr>
            <w:tcW w:w="1847" w:type="pct"/>
            <w:tcBorders>
              <w:top w:val="nil"/>
              <w:left w:val="nil"/>
              <w:bottom w:val="nil"/>
              <w:right w:val="nil"/>
            </w:tcBorders>
            <w:noWrap/>
            <w:vAlign w:val="center"/>
            <w:hideMark/>
          </w:tcPr>
          <w:p w14:paraId="181E9F0E"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Seguradora</w:t>
            </w:r>
          </w:p>
        </w:tc>
        <w:tc>
          <w:tcPr>
            <w:tcW w:w="505" w:type="pct"/>
            <w:tcBorders>
              <w:top w:val="nil"/>
              <w:left w:val="nil"/>
              <w:bottom w:val="nil"/>
              <w:right w:val="nil"/>
            </w:tcBorders>
            <w:noWrap/>
            <w:vAlign w:val="center"/>
            <w:hideMark/>
          </w:tcPr>
          <w:p w14:paraId="69C88CB6" w14:textId="77777777" w:rsidR="00530F9B" w:rsidRDefault="00530F9B">
            <w:pPr>
              <w:jc w:val="center"/>
              <w:rPr>
                <w:rFonts w:ascii="CAIXA Std Book" w:hAnsi="CAIXA Std Book" w:cs="Arial"/>
                <w:color w:val="005CA9"/>
                <w:sz w:val="18"/>
                <w:szCs w:val="18"/>
              </w:rPr>
            </w:pPr>
            <w:r>
              <w:rPr>
                <w:rFonts w:ascii="CAIXA Std Book" w:hAnsi="CAIXA Std Book" w:cs="Arial"/>
                <w:color w:val="005CA9"/>
                <w:sz w:val="18"/>
                <w:szCs w:val="18"/>
              </w:rPr>
              <w:t>Não</w:t>
            </w:r>
          </w:p>
        </w:tc>
      </w:tr>
      <w:tr w:rsidR="00530F9B" w14:paraId="6997518A" w14:textId="77777777" w:rsidTr="00943C57">
        <w:trPr>
          <w:trHeight w:val="283"/>
        </w:trPr>
        <w:tc>
          <w:tcPr>
            <w:tcW w:w="771" w:type="pct"/>
            <w:tcBorders>
              <w:top w:val="nil"/>
              <w:left w:val="nil"/>
              <w:bottom w:val="nil"/>
              <w:right w:val="nil"/>
            </w:tcBorders>
            <w:vAlign w:val="center"/>
            <w:hideMark/>
          </w:tcPr>
          <w:p w14:paraId="0446DD18"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PAN Corretora</w:t>
            </w:r>
          </w:p>
        </w:tc>
        <w:tc>
          <w:tcPr>
            <w:tcW w:w="514" w:type="pct"/>
            <w:tcBorders>
              <w:top w:val="nil"/>
              <w:left w:val="nil"/>
              <w:bottom w:val="nil"/>
              <w:right w:val="nil"/>
            </w:tcBorders>
            <w:noWrap/>
            <w:vAlign w:val="center"/>
            <w:hideMark/>
          </w:tcPr>
          <w:p w14:paraId="2D9CA1B5"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Brasil</w:t>
            </w:r>
          </w:p>
        </w:tc>
        <w:tc>
          <w:tcPr>
            <w:tcW w:w="566" w:type="pct"/>
            <w:tcBorders>
              <w:top w:val="nil"/>
              <w:left w:val="nil"/>
              <w:bottom w:val="nil"/>
              <w:right w:val="nil"/>
            </w:tcBorders>
            <w:noWrap/>
            <w:vAlign w:val="center"/>
            <w:hideMark/>
          </w:tcPr>
          <w:p w14:paraId="6CF47B3C"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São Paulo (SP)</w:t>
            </w:r>
          </w:p>
        </w:tc>
        <w:tc>
          <w:tcPr>
            <w:tcW w:w="797" w:type="pct"/>
            <w:tcBorders>
              <w:top w:val="nil"/>
              <w:left w:val="nil"/>
              <w:bottom w:val="nil"/>
              <w:right w:val="nil"/>
            </w:tcBorders>
            <w:noWrap/>
            <w:vAlign w:val="center"/>
            <w:hideMark/>
          </w:tcPr>
          <w:p w14:paraId="7A28AEDF"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Controle conjunto</w:t>
            </w:r>
          </w:p>
        </w:tc>
        <w:tc>
          <w:tcPr>
            <w:tcW w:w="1847" w:type="pct"/>
            <w:tcBorders>
              <w:top w:val="nil"/>
              <w:left w:val="nil"/>
              <w:bottom w:val="nil"/>
              <w:right w:val="nil"/>
            </w:tcBorders>
            <w:noWrap/>
            <w:vAlign w:val="center"/>
            <w:hideMark/>
          </w:tcPr>
          <w:p w14:paraId="05C98771"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Corretora</w:t>
            </w:r>
          </w:p>
        </w:tc>
        <w:tc>
          <w:tcPr>
            <w:tcW w:w="505" w:type="pct"/>
            <w:tcBorders>
              <w:top w:val="nil"/>
              <w:left w:val="nil"/>
              <w:bottom w:val="nil"/>
              <w:right w:val="nil"/>
            </w:tcBorders>
            <w:noWrap/>
            <w:vAlign w:val="center"/>
            <w:hideMark/>
          </w:tcPr>
          <w:p w14:paraId="1F5DB938" w14:textId="77777777" w:rsidR="00530F9B" w:rsidRDefault="00530F9B">
            <w:pPr>
              <w:jc w:val="center"/>
              <w:rPr>
                <w:rFonts w:ascii="CAIXA Std Book" w:hAnsi="CAIXA Std Book" w:cs="Arial"/>
                <w:color w:val="005CA9"/>
                <w:sz w:val="18"/>
                <w:szCs w:val="18"/>
              </w:rPr>
            </w:pPr>
            <w:r>
              <w:rPr>
                <w:rFonts w:ascii="CAIXA Std Book" w:hAnsi="CAIXA Std Book" w:cs="Arial"/>
                <w:color w:val="005CA9"/>
                <w:sz w:val="18"/>
                <w:szCs w:val="18"/>
              </w:rPr>
              <w:t>Não</w:t>
            </w:r>
          </w:p>
        </w:tc>
      </w:tr>
      <w:tr w:rsidR="00530F9B" w14:paraId="3B3626FE" w14:textId="77777777" w:rsidTr="00943C57">
        <w:trPr>
          <w:trHeight w:val="283"/>
        </w:trPr>
        <w:tc>
          <w:tcPr>
            <w:tcW w:w="771" w:type="pct"/>
            <w:tcBorders>
              <w:top w:val="nil"/>
              <w:left w:val="nil"/>
              <w:bottom w:val="nil"/>
              <w:right w:val="nil"/>
            </w:tcBorders>
            <w:vAlign w:val="center"/>
            <w:hideMark/>
          </w:tcPr>
          <w:p w14:paraId="6D1FFDD0"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XS3 Seguros</w:t>
            </w:r>
          </w:p>
        </w:tc>
        <w:tc>
          <w:tcPr>
            <w:tcW w:w="514" w:type="pct"/>
            <w:tcBorders>
              <w:top w:val="nil"/>
              <w:left w:val="nil"/>
              <w:bottom w:val="nil"/>
              <w:right w:val="nil"/>
            </w:tcBorders>
            <w:noWrap/>
            <w:vAlign w:val="center"/>
            <w:hideMark/>
          </w:tcPr>
          <w:p w14:paraId="7F58F6DD"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Brasil</w:t>
            </w:r>
          </w:p>
        </w:tc>
        <w:tc>
          <w:tcPr>
            <w:tcW w:w="566" w:type="pct"/>
            <w:tcBorders>
              <w:top w:val="nil"/>
              <w:left w:val="nil"/>
              <w:bottom w:val="nil"/>
              <w:right w:val="nil"/>
            </w:tcBorders>
            <w:noWrap/>
            <w:vAlign w:val="center"/>
            <w:hideMark/>
          </w:tcPr>
          <w:p w14:paraId="1303887B"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São Paulo (SP)</w:t>
            </w:r>
          </w:p>
        </w:tc>
        <w:tc>
          <w:tcPr>
            <w:tcW w:w="797" w:type="pct"/>
            <w:tcBorders>
              <w:top w:val="nil"/>
              <w:left w:val="nil"/>
              <w:bottom w:val="nil"/>
              <w:right w:val="nil"/>
            </w:tcBorders>
            <w:noWrap/>
            <w:vAlign w:val="center"/>
            <w:hideMark/>
          </w:tcPr>
          <w:p w14:paraId="09978478"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Controle conjunto</w:t>
            </w:r>
          </w:p>
        </w:tc>
        <w:tc>
          <w:tcPr>
            <w:tcW w:w="1847" w:type="pct"/>
            <w:tcBorders>
              <w:top w:val="nil"/>
              <w:left w:val="nil"/>
              <w:bottom w:val="nil"/>
              <w:right w:val="nil"/>
            </w:tcBorders>
            <w:noWrap/>
            <w:vAlign w:val="center"/>
            <w:hideMark/>
          </w:tcPr>
          <w:p w14:paraId="14C1A266"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Seguros</w:t>
            </w:r>
          </w:p>
        </w:tc>
        <w:tc>
          <w:tcPr>
            <w:tcW w:w="505" w:type="pct"/>
            <w:tcBorders>
              <w:top w:val="nil"/>
              <w:left w:val="nil"/>
              <w:bottom w:val="nil"/>
              <w:right w:val="nil"/>
            </w:tcBorders>
            <w:noWrap/>
            <w:vAlign w:val="center"/>
            <w:hideMark/>
          </w:tcPr>
          <w:p w14:paraId="637FDC5F" w14:textId="77777777" w:rsidR="00530F9B" w:rsidRDefault="00530F9B">
            <w:pPr>
              <w:jc w:val="center"/>
              <w:rPr>
                <w:rFonts w:ascii="CAIXA Std Book" w:hAnsi="CAIXA Std Book" w:cs="Arial"/>
                <w:color w:val="005CA9"/>
                <w:sz w:val="18"/>
                <w:szCs w:val="18"/>
              </w:rPr>
            </w:pPr>
            <w:r>
              <w:rPr>
                <w:rFonts w:ascii="CAIXA Std Book" w:hAnsi="CAIXA Std Book" w:cs="Arial"/>
                <w:color w:val="005CA9"/>
                <w:sz w:val="18"/>
                <w:szCs w:val="18"/>
              </w:rPr>
              <w:t>Sim</w:t>
            </w:r>
          </w:p>
        </w:tc>
      </w:tr>
      <w:tr w:rsidR="00530F9B" w14:paraId="5809742F" w14:textId="77777777" w:rsidTr="00943C57">
        <w:trPr>
          <w:trHeight w:val="283"/>
        </w:trPr>
        <w:tc>
          <w:tcPr>
            <w:tcW w:w="771" w:type="pct"/>
            <w:tcBorders>
              <w:top w:val="nil"/>
              <w:left w:val="nil"/>
              <w:bottom w:val="nil"/>
              <w:right w:val="nil"/>
            </w:tcBorders>
            <w:vAlign w:val="center"/>
            <w:hideMark/>
          </w:tcPr>
          <w:p w14:paraId="2782A921"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XS4 Capitalização</w:t>
            </w:r>
          </w:p>
        </w:tc>
        <w:tc>
          <w:tcPr>
            <w:tcW w:w="514" w:type="pct"/>
            <w:tcBorders>
              <w:top w:val="nil"/>
              <w:left w:val="nil"/>
              <w:bottom w:val="nil"/>
              <w:right w:val="nil"/>
            </w:tcBorders>
            <w:noWrap/>
            <w:vAlign w:val="center"/>
            <w:hideMark/>
          </w:tcPr>
          <w:p w14:paraId="5A9F1C12"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Brasil</w:t>
            </w:r>
          </w:p>
        </w:tc>
        <w:tc>
          <w:tcPr>
            <w:tcW w:w="566" w:type="pct"/>
            <w:tcBorders>
              <w:top w:val="nil"/>
              <w:left w:val="nil"/>
              <w:bottom w:val="nil"/>
              <w:right w:val="nil"/>
            </w:tcBorders>
            <w:noWrap/>
            <w:vAlign w:val="center"/>
            <w:hideMark/>
          </w:tcPr>
          <w:p w14:paraId="2504CA83"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Rio de Janeiro (RJ)</w:t>
            </w:r>
          </w:p>
        </w:tc>
        <w:tc>
          <w:tcPr>
            <w:tcW w:w="797" w:type="pct"/>
            <w:tcBorders>
              <w:top w:val="nil"/>
              <w:left w:val="nil"/>
              <w:bottom w:val="nil"/>
              <w:right w:val="nil"/>
            </w:tcBorders>
            <w:noWrap/>
            <w:vAlign w:val="center"/>
            <w:hideMark/>
          </w:tcPr>
          <w:p w14:paraId="43D9D39D"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Controle conjunto</w:t>
            </w:r>
          </w:p>
        </w:tc>
        <w:tc>
          <w:tcPr>
            <w:tcW w:w="1847" w:type="pct"/>
            <w:tcBorders>
              <w:top w:val="nil"/>
              <w:left w:val="nil"/>
              <w:bottom w:val="nil"/>
              <w:right w:val="nil"/>
            </w:tcBorders>
            <w:noWrap/>
            <w:vAlign w:val="center"/>
            <w:hideMark/>
          </w:tcPr>
          <w:p w14:paraId="16980794"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Capitalização</w:t>
            </w:r>
          </w:p>
        </w:tc>
        <w:tc>
          <w:tcPr>
            <w:tcW w:w="505" w:type="pct"/>
            <w:tcBorders>
              <w:top w:val="nil"/>
              <w:left w:val="nil"/>
              <w:bottom w:val="nil"/>
              <w:right w:val="nil"/>
            </w:tcBorders>
            <w:noWrap/>
            <w:vAlign w:val="center"/>
            <w:hideMark/>
          </w:tcPr>
          <w:p w14:paraId="61676E90" w14:textId="77777777" w:rsidR="00530F9B" w:rsidRDefault="00530F9B">
            <w:pPr>
              <w:jc w:val="center"/>
              <w:rPr>
                <w:rFonts w:ascii="CAIXA Std Book" w:hAnsi="CAIXA Std Book" w:cs="Arial"/>
                <w:color w:val="005CA9"/>
                <w:sz w:val="18"/>
                <w:szCs w:val="18"/>
              </w:rPr>
            </w:pPr>
            <w:r>
              <w:rPr>
                <w:rFonts w:ascii="CAIXA Std Book" w:hAnsi="CAIXA Std Book" w:cs="Arial"/>
                <w:color w:val="005CA9"/>
                <w:sz w:val="18"/>
                <w:szCs w:val="18"/>
              </w:rPr>
              <w:t>Sim</w:t>
            </w:r>
          </w:p>
        </w:tc>
      </w:tr>
      <w:tr w:rsidR="00530F9B" w14:paraId="10D8D285" w14:textId="77777777" w:rsidTr="00943C57">
        <w:trPr>
          <w:trHeight w:val="283"/>
        </w:trPr>
        <w:tc>
          <w:tcPr>
            <w:tcW w:w="771" w:type="pct"/>
            <w:tcBorders>
              <w:top w:val="nil"/>
              <w:left w:val="nil"/>
              <w:bottom w:val="nil"/>
              <w:right w:val="nil"/>
            </w:tcBorders>
            <w:vAlign w:val="center"/>
            <w:hideMark/>
          </w:tcPr>
          <w:p w14:paraId="7DBB2229"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XS5 Consórcios</w:t>
            </w:r>
          </w:p>
        </w:tc>
        <w:tc>
          <w:tcPr>
            <w:tcW w:w="514" w:type="pct"/>
            <w:tcBorders>
              <w:top w:val="nil"/>
              <w:left w:val="nil"/>
              <w:bottom w:val="nil"/>
              <w:right w:val="nil"/>
            </w:tcBorders>
            <w:noWrap/>
            <w:vAlign w:val="center"/>
            <w:hideMark/>
          </w:tcPr>
          <w:p w14:paraId="0F1A7F1A"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Brasil</w:t>
            </w:r>
          </w:p>
        </w:tc>
        <w:tc>
          <w:tcPr>
            <w:tcW w:w="566" w:type="pct"/>
            <w:tcBorders>
              <w:top w:val="nil"/>
              <w:left w:val="nil"/>
              <w:bottom w:val="nil"/>
              <w:right w:val="nil"/>
            </w:tcBorders>
            <w:noWrap/>
            <w:vAlign w:val="center"/>
            <w:hideMark/>
          </w:tcPr>
          <w:p w14:paraId="068AB3D5"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São Paulo (SP)</w:t>
            </w:r>
          </w:p>
        </w:tc>
        <w:tc>
          <w:tcPr>
            <w:tcW w:w="797" w:type="pct"/>
            <w:tcBorders>
              <w:top w:val="nil"/>
              <w:left w:val="nil"/>
              <w:bottom w:val="nil"/>
              <w:right w:val="nil"/>
            </w:tcBorders>
            <w:noWrap/>
            <w:vAlign w:val="center"/>
            <w:hideMark/>
          </w:tcPr>
          <w:p w14:paraId="1221AC60"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Controle conjunto</w:t>
            </w:r>
          </w:p>
        </w:tc>
        <w:tc>
          <w:tcPr>
            <w:tcW w:w="1847" w:type="pct"/>
            <w:tcBorders>
              <w:top w:val="nil"/>
              <w:left w:val="nil"/>
              <w:bottom w:val="nil"/>
              <w:right w:val="nil"/>
            </w:tcBorders>
            <w:noWrap/>
            <w:vAlign w:val="center"/>
            <w:hideMark/>
          </w:tcPr>
          <w:p w14:paraId="30DEA8FB"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Consórcios</w:t>
            </w:r>
          </w:p>
        </w:tc>
        <w:tc>
          <w:tcPr>
            <w:tcW w:w="505" w:type="pct"/>
            <w:tcBorders>
              <w:top w:val="nil"/>
              <w:left w:val="nil"/>
              <w:bottom w:val="nil"/>
              <w:right w:val="nil"/>
            </w:tcBorders>
            <w:noWrap/>
            <w:vAlign w:val="center"/>
            <w:hideMark/>
          </w:tcPr>
          <w:p w14:paraId="6905714F" w14:textId="77777777" w:rsidR="00530F9B" w:rsidRDefault="00530F9B">
            <w:pPr>
              <w:jc w:val="center"/>
              <w:rPr>
                <w:rFonts w:ascii="CAIXA Std Book" w:hAnsi="CAIXA Std Book" w:cs="Arial"/>
                <w:color w:val="005CA9"/>
                <w:sz w:val="18"/>
                <w:szCs w:val="18"/>
              </w:rPr>
            </w:pPr>
            <w:r>
              <w:rPr>
                <w:rFonts w:ascii="CAIXA Std Book" w:hAnsi="CAIXA Std Book" w:cs="Arial"/>
                <w:color w:val="005CA9"/>
                <w:sz w:val="18"/>
                <w:szCs w:val="18"/>
              </w:rPr>
              <w:t>Sim</w:t>
            </w:r>
          </w:p>
        </w:tc>
      </w:tr>
      <w:tr w:rsidR="00530F9B" w14:paraId="165A7233" w14:textId="77777777" w:rsidTr="00943C57">
        <w:trPr>
          <w:trHeight w:val="283"/>
        </w:trPr>
        <w:tc>
          <w:tcPr>
            <w:tcW w:w="771" w:type="pct"/>
            <w:tcBorders>
              <w:top w:val="nil"/>
              <w:left w:val="nil"/>
              <w:bottom w:val="nil"/>
              <w:right w:val="nil"/>
            </w:tcBorders>
            <w:vAlign w:val="center"/>
            <w:hideMark/>
          </w:tcPr>
          <w:p w14:paraId="69110497"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XS6 Assistência</w:t>
            </w:r>
          </w:p>
        </w:tc>
        <w:tc>
          <w:tcPr>
            <w:tcW w:w="514" w:type="pct"/>
            <w:tcBorders>
              <w:top w:val="nil"/>
              <w:left w:val="nil"/>
              <w:bottom w:val="nil"/>
              <w:right w:val="nil"/>
            </w:tcBorders>
            <w:noWrap/>
            <w:vAlign w:val="center"/>
            <w:hideMark/>
          </w:tcPr>
          <w:p w14:paraId="4CEA119C"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Brasil</w:t>
            </w:r>
          </w:p>
        </w:tc>
        <w:tc>
          <w:tcPr>
            <w:tcW w:w="566" w:type="pct"/>
            <w:tcBorders>
              <w:top w:val="nil"/>
              <w:left w:val="nil"/>
              <w:bottom w:val="nil"/>
              <w:right w:val="nil"/>
            </w:tcBorders>
            <w:noWrap/>
            <w:vAlign w:val="center"/>
            <w:hideMark/>
          </w:tcPr>
          <w:p w14:paraId="4AB27812"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Barueri (SP)</w:t>
            </w:r>
          </w:p>
        </w:tc>
        <w:tc>
          <w:tcPr>
            <w:tcW w:w="797" w:type="pct"/>
            <w:tcBorders>
              <w:top w:val="nil"/>
              <w:left w:val="nil"/>
              <w:bottom w:val="nil"/>
              <w:right w:val="nil"/>
            </w:tcBorders>
            <w:noWrap/>
            <w:vAlign w:val="center"/>
            <w:hideMark/>
          </w:tcPr>
          <w:p w14:paraId="3BB521AE"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Controle conjunto</w:t>
            </w:r>
          </w:p>
        </w:tc>
        <w:tc>
          <w:tcPr>
            <w:tcW w:w="1847" w:type="pct"/>
            <w:tcBorders>
              <w:top w:val="nil"/>
              <w:left w:val="nil"/>
              <w:bottom w:val="nil"/>
              <w:right w:val="nil"/>
            </w:tcBorders>
            <w:noWrap/>
            <w:vAlign w:val="center"/>
            <w:hideMark/>
          </w:tcPr>
          <w:p w14:paraId="2ED9F391"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Serviços assistenciais</w:t>
            </w:r>
          </w:p>
        </w:tc>
        <w:tc>
          <w:tcPr>
            <w:tcW w:w="505" w:type="pct"/>
            <w:tcBorders>
              <w:top w:val="nil"/>
              <w:left w:val="nil"/>
              <w:bottom w:val="nil"/>
              <w:right w:val="nil"/>
            </w:tcBorders>
            <w:noWrap/>
            <w:vAlign w:val="center"/>
            <w:hideMark/>
          </w:tcPr>
          <w:p w14:paraId="7A61D5F8" w14:textId="77777777" w:rsidR="00530F9B" w:rsidRDefault="00530F9B">
            <w:pPr>
              <w:jc w:val="center"/>
              <w:rPr>
                <w:rFonts w:ascii="CAIXA Std Book" w:hAnsi="CAIXA Std Book" w:cs="Arial"/>
                <w:color w:val="005CA9"/>
                <w:sz w:val="18"/>
                <w:szCs w:val="18"/>
              </w:rPr>
            </w:pPr>
            <w:r>
              <w:rPr>
                <w:rFonts w:ascii="CAIXA Std Book" w:hAnsi="CAIXA Std Book" w:cs="Arial"/>
                <w:color w:val="005CA9"/>
                <w:sz w:val="18"/>
                <w:szCs w:val="18"/>
              </w:rPr>
              <w:t>Sim</w:t>
            </w:r>
          </w:p>
        </w:tc>
      </w:tr>
      <w:tr w:rsidR="00530F9B" w14:paraId="38D6C567" w14:textId="77777777" w:rsidTr="00943C57">
        <w:trPr>
          <w:trHeight w:val="283"/>
        </w:trPr>
        <w:tc>
          <w:tcPr>
            <w:tcW w:w="771" w:type="pct"/>
            <w:tcBorders>
              <w:top w:val="nil"/>
              <w:left w:val="nil"/>
              <w:bottom w:val="nil"/>
              <w:right w:val="nil"/>
            </w:tcBorders>
            <w:vAlign w:val="center"/>
            <w:hideMark/>
          </w:tcPr>
          <w:p w14:paraId="26DBBF9B"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CNP Brasil</w:t>
            </w:r>
          </w:p>
        </w:tc>
        <w:tc>
          <w:tcPr>
            <w:tcW w:w="514" w:type="pct"/>
            <w:tcBorders>
              <w:top w:val="nil"/>
              <w:left w:val="nil"/>
              <w:bottom w:val="nil"/>
              <w:right w:val="nil"/>
            </w:tcBorders>
            <w:noWrap/>
            <w:vAlign w:val="center"/>
            <w:hideMark/>
          </w:tcPr>
          <w:p w14:paraId="5752762C"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Brasil</w:t>
            </w:r>
          </w:p>
        </w:tc>
        <w:tc>
          <w:tcPr>
            <w:tcW w:w="566" w:type="pct"/>
            <w:tcBorders>
              <w:top w:val="nil"/>
              <w:left w:val="nil"/>
              <w:bottom w:val="nil"/>
              <w:right w:val="nil"/>
            </w:tcBorders>
            <w:noWrap/>
            <w:vAlign w:val="center"/>
            <w:hideMark/>
          </w:tcPr>
          <w:p w14:paraId="118C6029"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Brasília (DF)</w:t>
            </w:r>
          </w:p>
        </w:tc>
        <w:tc>
          <w:tcPr>
            <w:tcW w:w="797" w:type="pct"/>
            <w:tcBorders>
              <w:top w:val="nil"/>
              <w:left w:val="nil"/>
              <w:bottom w:val="nil"/>
              <w:right w:val="nil"/>
            </w:tcBorders>
            <w:noWrap/>
            <w:vAlign w:val="center"/>
            <w:hideMark/>
          </w:tcPr>
          <w:p w14:paraId="5151C721"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Coligada</w:t>
            </w:r>
          </w:p>
        </w:tc>
        <w:tc>
          <w:tcPr>
            <w:tcW w:w="1847" w:type="pct"/>
            <w:tcBorders>
              <w:top w:val="nil"/>
              <w:left w:val="nil"/>
              <w:bottom w:val="nil"/>
              <w:right w:val="nil"/>
            </w:tcBorders>
            <w:noWrap/>
            <w:vAlign w:val="center"/>
            <w:hideMark/>
          </w:tcPr>
          <w:p w14:paraId="49512CB5"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Holding</w:t>
            </w:r>
          </w:p>
        </w:tc>
        <w:tc>
          <w:tcPr>
            <w:tcW w:w="505" w:type="pct"/>
            <w:tcBorders>
              <w:top w:val="nil"/>
              <w:left w:val="nil"/>
              <w:bottom w:val="nil"/>
              <w:right w:val="nil"/>
            </w:tcBorders>
            <w:noWrap/>
            <w:vAlign w:val="center"/>
            <w:hideMark/>
          </w:tcPr>
          <w:p w14:paraId="4A2CEEED" w14:textId="77777777" w:rsidR="00530F9B" w:rsidRDefault="00530F9B">
            <w:pPr>
              <w:jc w:val="center"/>
              <w:rPr>
                <w:rFonts w:ascii="CAIXA Std Book" w:hAnsi="CAIXA Std Book" w:cs="Arial"/>
                <w:color w:val="005CA9"/>
                <w:sz w:val="18"/>
                <w:szCs w:val="18"/>
              </w:rPr>
            </w:pPr>
            <w:r>
              <w:rPr>
                <w:rFonts w:ascii="CAIXA Std Book" w:hAnsi="CAIXA Std Book" w:cs="Arial"/>
                <w:color w:val="005CA9"/>
                <w:sz w:val="18"/>
                <w:szCs w:val="18"/>
              </w:rPr>
              <w:t>Sim</w:t>
            </w:r>
          </w:p>
        </w:tc>
      </w:tr>
      <w:tr w:rsidR="00530F9B" w14:paraId="55159503" w14:textId="77777777" w:rsidTr="00943C57">
        <w:trPr>
          <w:trHeight w:val="283"/>
        </w:trPr>
        <w:tc>
          <w:tcPr>
            <w:tcW w:w="771" w:type="pct"/>
            <w:tcBorders>
              <w:top w:val="nil"/>
              <w:left w:val="nil"/>
              <w:bottom w:val="nil"/>
              <w:right w:val="nil"/>
            </w:tcBorders>
            <w:vAlign w:val="center"/>
            <w:hideMark/>
          </w:tcPr>
          <w:p w14:paraId="225FC8F3"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Holding XS1</w:t>
            </w:r>
          </w:p>
        </w:tc>
        <w:tc>
          <w:tcPr>
            <w:tcW w:w="514" w:type="pct"/>
            <w:tcBorders>
              <w:top w:val="nil"/>
              <w:left w:val="nil"/>
              <w:bottom w:val="nil"/>
              <w:right w:val="nil"/>
            </w:tcBorders>
            <w:noWrap/>
            <w:vAlign w:val="center"/>
            <w:hideMark/>
          </w:tcPr>
          <w:p w14:paraId="4FACE586"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Brasil</w:t>
            </w:r>
          </w:p>
        </w:tc>
        <w:tc>
          <w:tcPr>
            <w:tcW w:w="566" w:type="pct"/>
            <w:tcBorders>
              <w:top w:val="nil"/>
              <w:left w:val="nil"/>
              <w:bottom w:val="nil"/>
              <w:right w:val="nil"/>
            </w:tcBorders>
            <w:noWrap/>
            <w:vAlign w:val="center"/>
            <w:hideMark/>
          </w:tcPr>
          <w:p w14:paraId="36EE17F4"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São Paulo (SP)</w:t>
            </w:r>
          </w:p>
        </w:tc>
        <w:tc>
          <w:tcPr>
            <w:tcW w:w="797" w:type="pct"/>
            <w:tcBorders>
              <w:top w:val="nil"/>
              <w:left w:val="nil"/>
              <w:bottom w:val="nil"/>
              <w:right w:val="nil"/>
            </w:tcBorders>
            <w:noWrap/>
            <w:vAlign w:val="center"/>
            <w:hideMark/>
          </w:tcPr>
          <w:p w14:paraId="6719B00C"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Coligada</w:t>
            </w:r>
          </w:p>
        </w:tc>
        <w:tc>
          <w:tcPr>
            <w:tcW w:w="1847" w:type="pct"/>
            <w:tcBorders>
              <w:top w:val="nil"/>
              <w:left w:val="nil"/>
              <w:bottom w:val="nil"/>
              <w:right w:val="nil"/>
            </w:tcBorders>
            <w:noWrap/>
            <w:vAlign w:val="center"/>
            <w:hideMark/>
          </w:tcPr>
          <w:p w14:paraId="5F83B657"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Holding</w:t>
            </w:r>
          </w:p>
        </w:tc>
        <w:tc>
          <w:tcPr>
            <w:tcW w:w="505" w:type="pct"/>
            <w:tcBorders>
              <w:top w:val="nil"/>
              <w:left w:val="nil"/>
              <w:bottom w:val="nil"/>
              <w:right w:val="nil"/>
            </w:tcBorders>
            <w:noWrap/>
            <w:vAlign w:val="center"/>
            <w:hideMark/>
          </w:tcPr>
          <w:p w14:paraId="5AF71CB8" w14:textId="77777777" w:rsidR="00530F9B" w:rsidRDefault="00530F9B">
            <w:pPr>
              <w:jc w:val="center"/>
              <w:rPr>
                <w:rFonts w:ascii="CAIXA Std Book" w:hAnsi="CAIXA Std Book" w:cs="Arial"/>
                <w:color w:val="005CA9"/>
                <w:sz w:val="18"/>
                <w:szCs w:val="18"/>
              </w:rPr>
            </w:pPr>
            <w:r>
              <w:rPr>
                <w:rFonts w:ascii="CAIXA Std Book" w:hAnsi="CAIXA Std Book" w:cs="Arial"/>
                <w:color w:val="005CA9"/>
                <w:sz w:val="18"/>
                <w:szCs w:val="18"/>
              </w:rPr>
              <w:t>Sim</w:t>
            </w:r>
          </w:p>
        </w:tc>
      </w:tr>
      <w:tr w:rsidR="00530F9B" w14:paraId="7F539B87" w14:textId="77777777" w:rsidTr="00943C57">
        <w:trPr>
          <w:trHeight w:val="283"/>
        </w:trPr>
        <w:tc>
          <w:tcPr>
            <w:tcW w:w="771" w:type="pct"/>
            <w:tcBorders>
              <w:top w:val="nil"/>
              <w:left w:val="nil"/>
              <w:bottom w:val="nil"/>
              <w:right w:val="nil"/>
            </w:tcBorders>
            <w:shd w:val="clear" w:color="000000" w:fill="D0E0E3"/>
            <w:vAlign w:val="center"/>
            <w:hideMark/>
          </w:tcPr>
          <w:p w14:paraId="38026995"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Caixa Cartões</w:t>
            </w:r>
          </w:p>
        </w:tc>
        <w:tc>
          <w:tcPr>
            <w:tcW w:w="514" w:type="pct"/>
            <w:tcBorders>
              <w:top w:val="nil"/>
              <w:left w:val="nil"/>
              <w:bottom w:val="nil"/>
              <w:right w:val="nil"/>
            </w:tcBorders>
            <w:shd w:val="clear" w:color="000000" w:fill="D0E0E3"/>
            <w:noWrap/>
            <w:vAlign w:val="center"/>
            <w:hideMark/>
          </w:tcPr>
          <w:p w14:paraId="4F995CA2"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Brasil</w:t>
            </w:r>
          </w:p>
        </w:tc>
        <w:tc>
          <w:tcPr>
            <w:tcW w:w="566" w:type="pct"/>
            <w:tcBorders>
              <w:top w:val="nil"/>
              <w:left w:val="nil"/>
              <w:bottom w:val="nil"/>
              <w:right w:val="nil"/>
            </w:tcBorders>
            <w:shd w:val="clear" w:color="000000" w:fill="D0E0E3"/>
            <w:noWrap/>
            <w:vAlign w:val="center"/>
            <w:hideMark/>
          </w:tcPr>
          <w:p w14:paraId="49839515"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Brasília (DF)</w:t>
            </w:r>
          </w:p>
        </w:tc>
        <w:tc>
          <w:tcPr>
            <w:tcW w:w="797" w:type="pct"/>
            <w:tcBorders>
              <w:top w:val="nil"/>
              <w:left w:val="nil"/>
              <w:bottom w:val="nil"/>
              <w:right w:val="nil"/>
            </w:tcBorders>
            <w:shd w:val="clear" w:color="000000" w:fill="D0E0E3"/>
            <w:noWrap/>
            <w:vAlign w:val="center"/>
            <w:hideMark/>
          </w:tcPr>
          <w:p w14:paraId="57FB257D"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Subsidiária integral</w:t>
            </w:r>
          </w:p>
        </w:tc>
        <w:tc>
          <w:tcPr>
            <w:tcW w:w="1847" w:type="pct"/>
            <w:tcBorders>
              <w:top w:val="nil"/>
              <w:left w:val="nil"/>
              <w:bottom w:val="nil"/>
              <w:right w:val="nil"/>
            </w:tcBorders>
            <w:shd w:val="clear" w:color="000000" w:fill="D0E0E3"/>
            <w:noWrap/>
            <w:vAlign w:val="center"/>
            <w:hideMark/>
          </w:tcPr>
          <w:p w14:paraId="58DA0499"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Holding</w:t>
            </w:r>
          </w:p>
        </w:tc>
        <w:tc>
          <w:tcPr>
            <w:tcW w:w="505" w:type="pct"/>
            <w:tcBorders>
              <w:top w:val="nil"/>
              <w:left w:val="nil"/>
              <w:bottom w:val="nil"/>
              <w:right w:val="nil"/>
            </w:tcBorders>
            <w:shd w:val="clear" w:color="000000" w:fill="D0E0E3"/>
            <w:noWrap/>
            <w:vAlign w:val="center"/>
            <w:hideMark/>
          </w:tcPr>
          <w:p w14:paraId="3EEF59C4" w14:textId="77777777" w:rsidR="00530F9B" w:rsidRDefault="00530F9B">
            <w:pPr>
              <w:jc w:val="center"/>
              <w:rPr>
                <w:rFonts w:ascii="CAIXA Std Book" w:hAnsi="CAIXA Std Book" w:cs="Arial"/>
                <w:b/>
                <w:bCs/>
                <w:color w:val="005CA9"/>
                <w:sz w:val="18"/>
                <w:szCs w:val="18"/>
              </w:rPr>
            </w:pPr>
            <w:r>
              <w:rPr>
                <w:rFonts w:ascii="CAIXA Std Book" w:hAnsi="CAIXA Std Book" w:cs="Arial"/>
                <w:b/>
                <w:bCs/>
                <w:color w:val="005CA9"/>
                <w:sz w:val="18"/>
                <w:szCs w:val="18"/>
              </w:rPr>
              <w:t>Sim</w:t>
            </w:r>
          </w:p>
        </w:tc>
      </w:tr>
      <w:tr w:rsidR="00530F9B" w14:paraId="38647191" w14:textId="77777777" w:rsidTr="00943C57">
        <w:trPr>
          <w:trHeight w:val="283"/>
        </w:trPr>
        <w:tc>
          <w:tcPr>
            <w:tcW w:w="771" w:type="pct"/>
            <w:tcBorders>
              <w:top w:val="nil"/>
              <w:left w:val="nil"/>
              <w:bottom w:val="nil"/>
              <w:right w:val="nil"/>
            </w:tcBorders>
            <w:vAlign w:val="center"/>
            <w:hideMark/>
          </w:tcPr>
          <w:p w14:paraId="45827664"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Elo Holding</w:t>
            </w:r>
          </w:p>
        </w:tc>
        <w:tc>
          <w:tcPr>
            <w:tcW w:w="514" w:type="pct"/>
            <w:tcBorders>
              <w:top w:val="nil"/>
              <w:left w:val="nil"/>
              <w:bottom w:val="nil"/>
              <w:right w:val="nil"/>
            </w:tcBorders>
            <w:noWrap/>
            <w:vAlign w:val="center"/>
            <w:hideMark/>
          </w:tcPr>
          <w:p w14:paraId="3904A6FB"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Brasil</w:t>
            </w:r>
          </w:p>
        </w:tc>
        <w:tc>
          <w:tcPr>
            <w:tcW w:w="566" w:type="pct"/>
            <w:tcBorders>
              <w:top w:val="nil"/>
              <w:left w:val="nil"/>
              <w:bottom w:val="nil"/>
              <w:right w:val="nil"/>
            </w:tcBorders>
            <w:noWrap/>
            <w:vAlign w:val="center"/>
            <w:hideMark/>
          </w:tcPr>
          <w:p w14:paraId="0286BE0F"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Barueri (SP)</w:t>
            </w:r>
          </w:p>
        </w:tc>
        <w:tc>
          <w:tcPr>
            <w:tcW w:w="797" w:type="pct"/>
            <w:tcBorders>
              <w:top w:val="nil"/>
              <w:left w:val="nil"/>
              <w:bottom w:val="nil"/>
              <w:right w:val="nil"/>
            </w:tcBorders>
            <w:noWrap/>
            <w:vAlign w:val="center"/>
            <w:hideMark/>
          </w:tcPr>
          <w:p w14:paraId="0635F4E2"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Controle conjunto</w:t>
            </w:r>
          </w:p>
        </w:tc>
        <w:tc>
          <w:tcPr>
            <w:tcW w:w="1847" w:type="pct"/>
            <w:tcBorders>
              <w:top w:val="nil"/>
              <w:left w:val="nil"/>
              <w:bottom w:val="nil"/>
              <w:right w:val="nil"/>
            </w:tcBorders>
            <w:noWrap/>
            <w:vAlign w:val="center"/>
            <w:hideMark/>
          </w:tcPr>
          <w:p w14:paraId="5F0034C1"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Holding</w:t>
            </w:r>
          </w:p>
        </w:tc>
        <w:tc>
          <w:tcPr>
            <w:tcW w:w="505" w:type="pct"/>
            <w:tcBorders>
              <w:top w:val="nil"/>
              <w:left w:val="nil"/>
              <w:bottom w:val="nil"/>
              <w:right w:val="nil"/>
            </w:tcBorders>
            <w:noWrap/>
            <w:vAlign w:val="center"/>
            <w:hideMark/>
          </w:tcPr>
          <w:p w14:paraId="25F4B8DB" w14:textId="77777777" w:rsidR="00530F9B" w:rsidRDefault="00530F9B">
            <w:pPr>
              <w:jc w:val="center"/>
              <w:rPr>
                <w:rFonts w:ascii="CAIXA Std Book" w:hAnsi="CAIXA Std Book" w:cs="Arial"/>
                <w:color w:val="005CA9"/>
                <w:sz w:val="18"/>
                <w:szCs w:val="18"/>
              </w:rPr>
            </w:pPr>
            <w:r>
              <w:rPr>
                <w:rFonts w:ascii="CAIXA Std Book" w:hAnsi="CAIXA Std Book" w:cs="Arial"/>
                <w:color w:val="005CA9"/>
                <w:sz w:val="18"/>
                <w:szCs w:val="18"/>
              </w:rPr>
              <w:t>Sim</w:t>
            </w:r>
          </w:p>
        </w:tc>
      </w:tr>
      <w:tr w:rsidR="00530F9B" w14:paraId="26AB3BE6" w14:textId="77777777" w:rsidTr="00943C57">
        <w:trPr>
          <w:trHeight w:val="283"/>
        </w:trPr>
        <w:tc>
          <w:tcPr>
            <w:tcW w:w="771" w:type="pct"/>
            <w:tcBorders>
              <w:top w:val="nil"/>
              <w:left w:val="nil"/>
              <w:bottom w:val="nil"/>
              <w:right w:val="nil"/>
            </w:tcBorders>
            <w:vAlign w:val="center"/>
            <w:hideMark/>
          </w:tcPr>
          <w:p w14:paraId="00659083"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Caixa Cartões Pré-Pagos</w:t>
            </w:r>
          </w:p>
        </w:tc>
        <w:tc>
          <w:tcPr>
            <w:tcW w:w="514" w:type="pct"/>
            <w:tcBorders>
              <w:top w:val="nil"/>
              <w:left w:val="nil"/>
              <w:bottom w:val="nil"/>
              <w:right w:val="nil"/>
            </w:tcBorders>
            <w:noWrap/>
            <w:vAlign w:val="center"/>
            <w:hideMark/>
          </w:tcPr>
          <w:p w14:paraId="536593FB"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Brasil</w:t>
            </w:r>
          </w:p>
        </w:tc>
        <w:tc>
          <w:tcPr>
            <w:tcW w:w="566" w:type="pct"/>
            <w:tcBorders>
              <w:top w:val="nil"/>
              <w:left w:val="nil"/>
              <w:bottom w:val="nil"/>
              <w:right w:val="nil"/>
            </w:tcBorders>
            <w:noWrap/>
            <w:vAlign w:val="center"/>
            <w:hideMark/>
          </w:tcPr>
          <w:p w14:paraId="7AEAEC55"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São Paulo (SP)</w:t>
            </w:r>
          </w:p>
        </w:tc>
        <w:tc>
          <w:tcPr>
            <w:tcW w:w="797" w:type="pct"/>
            <w:tcBorders>
              <w:top w:val="nil"/>
              <w:left w:val="nil"/>
              <w:bottom w:val="nil"/>
              <w:right w:val="nil"/>
            </w:tcBorders>
            <w:noWrap/>
            <w:vAlign w:val="center"/>
            <w:hideMark/>
          </w:tcPr>
          <w:p w14:paraId="2179738A" w14:textId="77777777" w:rsidR="00530F9B" w:rsidRDefault="00530F9B">
            <w:pPr>
              <w:rPr>
                <w:rFonts w:ascii="CAIXA Std Book" w:hAnsi="CAIXA Std Book" w:cs="Arial"/>
                <w:color w:val="005CA9"/>
                <w:sz w:val="18"/>
                <w:szCs w:val="18"/>
              </w:rPr>
            </w:pPr>
            <w:r>
              <w:rPr>
                <w:rFonts w:ascii="CAIXA Std Book" w:hAnsi="CAIXA Std Book" w:cs="Arial"/>
                <w:color w:val="005CA9"/>
                <w:sz w:val="18"/>
                <w:szCs w:val="18"/>
              </w:rPr>
              <w:t>Controle conjunto</w:t>
            </w:r>
          </w:p>
        </w:tc>
        <w:tc>
          <w:tcPr>
            <w:tcW w:w="1847" w:type="pct"/>
            <w:tcBorders>
              <w:top w:val="nil"/>
              <w:left w:val="nil"/>
              <w:bottom w:val="nil"/>
              <w:right w:val="nil"/>
            </w:tcBorders>
            <w:noWrap/>
            <w:vAlign w:val="center"/>
            <w:hideMark/>
          </w:tcPr>
          <w:p w14:paraId="4B5235F2" w14:textId="593C9611" w:rsidR="00530F9B" w:rsidRDefault="00530F9B">
            <w:pPr>
              <w:rPr>
                <w:rFonts w:ascii="CAIXA Std Book" w:hAnsi="CAIXA Std Book" w:cs="Arial"/>
                <w:color w:val="005CA9"/>
                <w:sz w:val="18"/>
                <w:szCs w:val="18"/>
              </w:rPr>
            </w:pPr>
            <w:r>
              <w:rPr>
                <w:rFonts w:ascii="CAIXA Std Book" w:hAnsi="CAIXA Std Book" w:cs="Arial"/>
                <w:color w:val="005CA9"/>
                <w:sz w:val="18"/>
                <w:szCs w:val="18"/>
              </w:rPr>
              <w:t>Emissão de vales-alimentação, vales-</w:t>
            </w:r>
            <w:r w:rsidR="00D44840">
              <w:rPr>
                <w:rFonts w:ascii="CAIXA Std Book" w:hAnsi="CAIXA Std Book" w:cs="Arial"/>
                <w:color w:val="005CA9"/>
                <w:sz w:val="18"/>
                <w:szCs w:val="18"/>
              </w:rPr>
              <w:t>transportes</w:t>
            </w:r>
            <w:r>
              <w:rPr>
                <w:rFonts w:ascii="CAIXA Std Book" w:hAnsi="CAIXA Std Book" w:cs="Arial"/>
                <w:color w:val="005CA9"/>
                <w:sz w:val="18"/>
                <w:szCs w:val="18"/>
              </w:rPr>
              <w:t xml:space="preserve"> e similares</w:t>
            </w:r>
          </w:p>
        </w:tc>
        <w:tc>
          <w:tcPr>
            <w:tcW w:w="505" w:type="pct"/>
            <w:tcBorders>
              <w:top w:val="nil"/>
              <w:left w:val="nil"/>
              <w:bottom w:val="nil"/>
              <w:right w:val="nil"/>
            </w:tcBorders>
            <w:noWrap/>
            <w:vAlign w:val="center"/>
            <w:hideMark/>
          </w:tcPr>
          <w:p w14:paraId="2BEC6353" w14:textId="77777777" w:rsidR="00530F9B" w:rsidRDefault="00530F9B">
            <w:pPr>
              <w:jc w:val="center"/>
              <w:rPr>
                <w:rFonts w:ascii="CAIXA Std Book" w:hAnsi="CAIXA Std Book" w:cs="Arial"/>
                <w:color w:val="005CA9"/>
                <w:sz w:val="18"/>
                <w:szCs w:val="18"/>
              </w:rPr>
            </w:pPr>
            <w:r>
              <w:rPr>
                <w:rFonts w:ascii="CAIXA Std Book" w:hAnsi="CAIXA Std Book" w:cs="Arial"/>
                <w:color w:val="005CA9"/>
                <w:sz w:val="18"/>
                <w:szCs w:val="18"/>
              </w:rPr>
              <w:t>Sim</w:t>
            </w:r>
          </w:p>
        </w:tc>
      </w:tr>
      <w:tr w:rsidR="00530F9B" w14:paraId="0A275F5D" w14:textId="77777777" w:rsidTr="00943C57">
        <w:trPr>
          <w:trHeight w:val="283"/>
        </w:trPr>
        <w:tc>
          <w:tcPr>
            <w:tcW w:w="771" w:type="pct"/>
            <w:tcBorders>
              <w:top w:val="nil"/>
              <w:left w:val="nil"/>
              <w:bottom w:val="nil"/>
              <w:right w:val="nil"/>
            </w:tcBorders>
            <w:shd w:val="clear" w:color="000000" w:fill="D0E0E3"/>
            <w:vAlign w:val="center"/>
            <w:hideMark/>
          </w:tcPr>
          <w:p w14:paraId="1225AABE"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Caixa Loterias</w:t>
            </w:r>
          </w:p>
        </w:tc>
        <w:tc>
          <w:tcPr>
            <w:tcW w:w="514" w:type="pct"/>
            <w:tcBorders>
              <w:top w:val="nil"/>
              <w:left w:val="nil"/>
              <w:bottom w:val="nil"/>
              <w:right w:val="nil"/>
            </w:tcBorders>
            <w:shd w:val="clear" w:color="000000" w:fill="D0E0E3"/>
            <w:noWrap/>
            <w:vAlign w:val="center"/>
            <w:hideMark/>
          </w:tcPr>
          <w:p w14:paraId="4A13F9BD"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Brasil</w:t>
            </w:r>
          </w:p>
        </w:tc>
        <w:tc>
          <w:tcPr>
            <w:tcW w:w="566" w:type="pct"/>
            <w:tcBorders>
              <w:top w:val="nil"/>
              <w:left w:val="nil"/>
              <w:bottom w:val="nil"/>
              <w:right w:val="nil"/>
            </w:tcBorders>
            <w:shd w:val="clear" w:color="000000" w:fill="D0E0E3"/>
            <w:noWrap/>
            <w:vAlign w:val="center"/>
            <w:hideMark/>
          </w:tcPr>
          <w:p w14:paraId="7B60A2C5"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Brasília (DF)</w:t>
            </w:r>
          </w:p>
        </w:tc>
        <w:tc>
          <w:tcPr>
            <w:tcW w:w="797" w:type="pct"/>
            <w:tcBorders>
              <w:top w:val="nil"/>
              <w:left w:val="nil"/>
              <w:bottom w:val="nil"/>
              <w:right w:val="nil"/>
            </w:tcBorders>
            <w:shd w:val="clear" w:color="000000" w:fill="D0E0E3"/>
            <w:noWrap/>
            <w:vAlign w:val="center"/>
            <w:hideMark/>
          </w:tcPr>
          <w:p w14:paraId="45515AF9"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Subsidiária integral</w:t>
            </w:r>
          </w:p>
        </w:tc>
        <w:tc>
          <w:tcPr>
            <w:tcW w:w="1847" w:type="pct"/>
            <w:tcBorders>
              <w:top w:val="nil"/>
              <w:left w:val="nil"/>
              <w:bottom w:val="nil"/>
              <w:right w:val="nil"/>
            </w:tcBorders>
            <w:shd w:val="clear" w:color="000000" w:fill="D0E0E3"/>
            <w:noWrap/>
            <w:vAlign w:val="center"/>
            <w:hideMark/>
          </w:tcPr>
          <w:p w14:paraId="5D1BE297" w14:textId="7463F06A"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 xml:space="preserve">Serviços </w:t>
            </w:r>
            <w:r w:rsidR="00944AD9">
              <w:rPr>
                <w:rFonts w:ascii="CAIXA Std Book" w:hAnsi="CAIXA Std Book" w:cs="Arial"/>
                <w:b/>
                <w:bCs/>
                <w:color w:val="005CA9"/>
                <w:sz w:val="18"/>
                <w:szCs w:val="18"/>
              </w:rPr>
              <w:t>Lotéricos</w:t>
            </w:r>
          </w:p>
        </w:tc>
        <w:tc>
          <w:tcPr>
            <w:tcW w:w="505" w:type="pct"/>
            <w:tcBorders>
              <w:top w:val="nil"/>
              <w:left w:val="nil"/>
              <w:bottom w:val="nil"/>
              <w:right w:val="nil"/>
            </w:tcBorders>
            <w:shd w:val="clear" w:color="000000" w:fill="D0E0E3"/>
            <w:noWrap/>
            <w:vAlign w:val="center"/>
            <w:hideMark/>
          </w:tcPr>
          <w:p w14:paraId="11D0966C" w14:textId="77777777" w:rsidR="00530F9B" w:rsidRDefault="00530F9B">
            <w:pPr>
              <w:jc w:val="center"/>
              <w:rPr>
                <w:rFonts w:ascii="CAIXA Std Book" w:hAnsi="CAIXA Std Book" w:cs="Arial"/>
                <w:b/>
                <w:bCs/>
                <w:color w:val="005CA9"/>
                <w:sz w:val="18"/>
                <w:szCs w:val="18"/>
              </w:rPr>
            </w:pPr>
            <w:r>
              <w:rPr>
                <w:rFonts w:ascii="CAIXA Std Book" w:hAnsi="CAIXA Std Book" w:cs="Arial"/>
                <w:b/>
                <w:bCs/>
                <w:color w:val="005CA9"/>
                <w:sz w:val="18"/>
                <w:szCs w:val="18"/>
              </w:rPr>
              <w:t>Sim</w:t>
            </w:r>
          </w:p>
        </w:tc>
      </w:tr>
      <w:tr w:rsidR="00530F9B" w14:paraId="0FE91DB9" w14:textId="77777777" w:rsidTr="00943C57">
        <w:trPr>
          <w:trHeight w:val="283"/>
        </w:trPr>
        <w:tc>
          <w:tcPr>
            <w:tcW w:w="771" w:type="pct"/>
            <w:tcBorders>
              <w:top w:val="nil"/>
              <w:left w:val="nil"/>
              <w:bottom w:val="single" w:sz="8" w:space="0" w:color="005CA9"/>
              <w:right w:val="nil"/>
            </w:tcBorders>
            <w:shd w:val="clear" w:color="000000" w:fill="D0E0E3"/>
            <w:vAlign w:val="center"/>
            <w:hideMark/>
          </w:tcPr>
          <w:p w14:paraId="23823A1E"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Caixa Asset</w:t>
            </w:r>
          </w:p>
        </w:tc>
        <w:tc>
          <w:tcPr>
            <w:tcW w:w="514" w:type="pct"/>
            <w:tcBorders>
              <w:top w:val="nil"/>
              <w:left w:val="nil"/>
              <w:bottom w:val="single" w:sz="8" w:space="0" w:color="005CA9"/>
              <w:right w:val="nil"/>
            </w:tcBorders>
            <w:shd w:val="clear" w:color="000000" w:fill="D0E0E3"/>
            <w:noWrap/>
            <w:vAlign w:val="center"/>
            <w:hideMark/>
          </w:tcPr>
          <w:p w14:paraId="55FC67BD"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Brasil</w:t>
            </w:r>
          </w:p>
        </w:tc>
        <w:tc>
          <w:tcPr>
            <w:tcW w:w="566" w:type="pct"/>
            <w:tcBorders>
              <w:top w:val="nil"/>
              <w:left w:val="nil"/>
              <w:bottom w:val="single" w:sz="8" w:space="0" w:color="005CA9"/>
              <w:right w:val="nil"/>
            </w:tcBorders>
            <w:shd w:val="clear" w:color="000000" w:fill="D0E0E3"/>
            <w:noWrap/>
            <w:vAlign w:val="center"/>
            <w:hideMark/>
          </w:tcPr>
          <w:p w14:paraId="4F24AB81"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Brasília (DF)</w:t>
            </w:r>
          </w:p>
        </w:tc>
        <w:tc>
          <w:tcPr>
            <w:tcW w:w="797" w:type="pct"/>
            <w:tcBorders>
              <w:top w:val="nil"/>
              <w:left w:val="nil"/>
              <w:bottom w:val="single" w:sz="8" w:space="0" w:color="005CA9"/>
              <w:right w:val="nil"/>
            </w:tcBorders>
            <w:shd w:val="clear" w:color="000000" w:fill="D0E0E3"/>
            <w:noWrap/>
            <w:vAlign w:val="center"/>
            <w:hideMark/>
          </w:tcPr>
          <w:p w14:paraId="4CD458A4"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Subsidiária integral</w:t>
            </w:r>
          </w:p>
        </w:tc>
        <w:tc>
          <w:tcPr>
            <w:tcW w:w="1847" w:type="pct"/>
            <w:tcBorders>
              <w:top w:val="nil"/>
              <w:left w:val="nil"/>
              <w:bottom w:val="single" w:sz="8" w:space="0" w:color="005CA9"/>
              <w:right w:val="nil"/>
            </w:tcBorders>
            <w:shd w:val="clear" w:color="000000" w:fill="D0E0E3"/>
            <w:noWrap/>
            <w:vAlign w:val="center"/>
            <w:hideMark/>
          </w:tcPr>
          <w:p w14:paraId="0959712F" w14:textId="77777777" w:rsidR="00530F9B" w:rsidRDefault="00530F9B">
            <w:pPr>
              <w:rPr>
                <w:rFonts w:ascii="CAIXA Std Book" w:hAnsi="CAIXA Std Book" w:cs="Arial"/>
                <w:b/>
                <w:bCs/>
                <w:color w:val="005CA9"/>
                <w:sz w:val="18"/>
                <w:szCs w:val="18"/>
              </w:rPr>
            </w:pPr>
            <w:r>
              <w:rPr>
                <w:rFonts w:ascii="CAIXA Std Book" w:hAnsi="CAIXA Std Book" w:cs="Arial"/>
                <w:b/>
                <w:bCs/>
                <w:color w:val="005CA9"/>
                <w:sz w:val="18"/>
                <w:szCs w:val="18"/>
              </w:rPr>
              <w:t>Distrib. de títulos e valores mobiliários</w:t>
            </w:r>
          </w:p>
        </w:tc>
        <w:tc>
          <w:tcPr>
            <w:tcW w:w="505" w:type="pct"/>
            <w:tcBorders>
              <w:top w:val="nil"/>
              <w:left w:val="nil"/>
              <w:bottom w:val="single" w:sz="8" w:space="0" w:color="005CA9"/>
              <w:right w:val="nil"/>
            </w:tcBorders>
            <w:shd w:val="clear" w:color="000000" w:fill="D0E0E3"/>
            <w:noWrap/>
            <w:vAlign w:val="center"/>
            <w:hideMark/>
          </w:tcPr>
          <w:p w14:paraId="4757D73D" w14:textId="77777777" w:rsidR="00530F9B" w:rsidRDefault="00530F9B">
            <w:pPr>
              <w:jc w:val="center"/>
              <w:rPr>
                <w:rFonts w:ascii="CAIXA Std Book" w:hAnsi="CAIXA Std Book" w:cs="Arial"/>
                <w:b/>
                <w:bCs/>
                <w:color w:val="005CA9"/>
                <w:sz w:val="18"/>
                <w:szCs w:val="18"/>
              </w:rPr>
            </w:pPr>
            <w:r>
              <w:rPr>
                <w:rFonts w:ascii="CAIXA Std Book" w:hAnsi="CAIXA Std Book" w:cs="Arial"/>
                <w:b/>
                <w:bCs/>
                <w:color w:val="005CA9"/>
                <w:sz w:val="18"/>
                <w:szCs w:val="18"/>
              </w:rPr>
              <w:t>Sim</w:t>
            </w:r>
          </w:p>
        </w:tc>
      </w:tr>
    </w:tbl>
    <w:p w14:paraId="2E37C0B7" w14:textId="6F6EDC2F" w:rsidR="00D67929" w:rsidRPr="00B04D8D" w:rsidRDefault="00D67929" w:rsidP="00D67929">
      <w:pPr>
        <w:jc w:val="both"/>
        <w:rPr>
          <w:rFonts w:ascii="CAIXA Std Book" w:hAnsi="CAIXA Std Book"/>
          <w:color w:val="005CA9"/>
          <w:sz w:val="16"/>
          <w:szCs w:val="16"/>
        </w:rPr>
      </w:pPr>
      <w:r w:rsidRPr="00B04D8D">
        <w:rPr>
          <w:rFonts w:ascii="CAIXA Std Book" w:hAnsi="CAIXA Std Book"/>
          <w:color w:val="005CA9"/>
          <w:sz w:val="16"/>
          <w:szCs w:val="16"/>
        </w:rPr>
        <w:t>(1) Todas as empresas mencionadas adotam o Real como moeda funcional</w:t>
      </w:r>
      <w:r>
        <w:rPr>
          <w:rFonts w:ascii="CAIXA Std Book" w:hAnsi="CAIXA Std Book"/>
          <w:color w:val="005CA9"/>
          <w:sz w:val="16"/>
          <w:szCs w:val="16"/>
        </w:rPr>
        <w:t>.</w:t>
      </w:r>
    </w:p>
    <w:p w14:paraId="2BE8F862" w14:textId="77777777" w:rsidR="00D67929" w:rsidRPr="00B04D8D" w:rsidRDefault="00D67929" w:rsidP="00D67929">
      <w:pPr>
        <w:jc w:val="both"/>
        <w:rPr>
          <w:rFonts w:ascii="CAIXA Std Book" w:hAnsi="CAIXA Std Book"/>
          <w:color w:val="005CA9"/>
          <w:sz w:val="16"/>
          <w:szCs w:val="16"/>
        </w:rPr>
      </w:pPr>
      <w:r w:rsidRPr="00B04D8D">
        <w:rPr>
          <w:rFonts w:ascii="CAIXA Std Book" w:hAnsi="CAIXA Std Book"/>
          <w:color w:val="005CA9"/>
          <w:sz w:val="16"/>
          <w:szCs w:val="16"/>
        </w:rPr>
        <w:t>(2) Consideram-se participações estratégicas os investimentos em sociedades cujas atividades complementam ou dão suporte às atividades do banco.</w:t>
      </w:r>
    </w:p>
    <w:p w14:paraId="5A9F4CA0" w14:textId="35455CC1" w:rsidR="004F4EDA" w:rsidRDefault="00D67929">
      <w:pPr>
        <w:rPr>
          <w:rFonts w:ascii="CAIXA Std Book" w:hAnsi="CAIXA Std Book"/>
          <w:color w:val="005CA9"/>
          <w:sz w:val="16"/>
          <w:szCs w:val="16"/>
        </w:rPr>
      </w:pPr>
      <w:r>
        <w:rPr>
          <w:rFonts w:ascii="CAIXA Std Book" w:hAnsi="CAIXA Std Book"/>
          <w:color w:val="005CA9"/>
          <w:sz w:val="16"/>
          <w:szCs w:val="16"/>
        </w:rPr>
        <w:br w:type="page"/>
      </w:r>
    </w:p>
    <w:p w14:paraId="327B5E6A" w14:textId="5CF98CBC" w:rsidR="00DC0086" w:rsidRDefault="001E3B8B" w:rsidP="00AB4D07">
      <w:pPr>
        <w:pStyle w:val="PargrafodaLista"/>
        <w:numPr>
          <w:ilvl w:val="0"/>
          <w:numId w:val="11"/>
        </w:numPr>
        <w:spacing w:before="240" w:after="120"/>
        <w:ind w:left="567" w:hanging="567"/>
        <w:contextualSpacing w:val="0"/>
        <w:rPr>
          <w:rFonts w:ascii="CAIXA Std Book" w:hAnsi="CAIXA Std Book"/>
          <w:b/>
          <w:color w:val="005CA9"/>
          <w:sz w:val="18"/>
          <w:szCs w:val="18"/>
        </w:rPr>
      </w:pPr>
      <w:r w:rsidRPr="003E215D">
        <w:rPr>
          <w:rFonts w:ascii="CAIXA Std Book" w:hAnsi="CAIXA Std Book"/>
          <w:b/>
          <w:color w:val="005CA9"/>
          <w:sz w:val="18"/>
          <w:szCs w:val="18"/>
        </w:rPr>
        <w:t>Composição do investimento e do resultado de equivalência patrimonial</w:t>
      </w:r>
    </w:p>
    <w:tbl>
      <w:tblPr>
        <w:tblW w:w="5000" w:type="pct"/>
        <w:tblCellMar>
          <w:left w:w="0" w:type="dxa"/>
          <w:right w:w="0" w:type="dxa"/>
        </w:tblCellMar>
        <w:tblLook w:val="04A0" w:firstRow="1" w:lastRow="0" w:firstColumn="1" w:lastColumn="0" w:noHBand="0" w:noVBand="1"/>
      </w:tblPr>
      <w:tblGrid>
        <w:gridCol w:w="1876"/>
        <w:gridCol w:w="713"/>
        <w:gridCol w:w="953"/>
        <w:gridCol w:w="695"/>
        <w:gridCol w:w="941"/>
        <w:gridCol w:w="1087"/>
        <w:gridCol w:w="1116"/>
        <w:gridCol w:w="1212"/>
        <w:gridCol w:w="1408"/>
        <w:gridCol w:w="1399"/>
        <w:gridCol w:w="979"/>
        <w:gridCol w:w="1096"/>
        <w:gridCol w:w="1090"/>
        <w:gridCol w:w="6"/>
      </w:tblGrid>
      <w:tr w:rsidR="00113F5E" w:rsidRPr="004D28EF" w14:paraId="096F2920" w14:textId="77777777" w:rsidTr="00943C57">
        <w:trPr>
          <w:gridAfter w:val="1"/>
          <w:wAfter w:w="2" w:type="pct"/>
          <w:trHeight w:val="283"/>
        </w:trPr>
        <w:tc>
          <w:tcPr>
            <w:tcW w:w="4998" w:type="pct"/>
            <w:gridSpan w:val="13"/>
            <w:tcBorders>
              <w:top w:val="single" w:sz="4" w:space="0" w:color="FFFFFF" w:themeColor="background1"/>
              <w:left w:val="nil"/>
              <w:bottom w:val="single" w:sz="4" w:space="0" w:color="FFFFFF" w:themeColor="background1"/>
              <w:right w:val="nil"/>
            </w:tcBorders>
            <w:shd w:val="clear" w:color="000000" w:fill="005CA9"/>
            <w:vAlign w:val="center"/>
          </w:tcPr>
          <w:p w14:paraId="2EDDAE29" w14:textId="2B37D775" w:rsidR="00113F5E" w:rsidRPr="00520900" w:rsidRDefault="00943C57" w:rsidP="004B584D">
            <w:pPr>
              <w:jc w:val="center"/>
              <w:rPr>
                <w:rFonts w:ascii="CAIXA Std Book" w:hAnsi="CAIXA Std Book"/>
                <w:b/>
                <w:bCs/>
                <w:color w:val="FFFFFF"/>
                <w:sz w:val="16"/>
                <w:szCs w:val="16"/>
              </w:rPr>
            </w:pPr>
            <w:r w:rsidRPr="00520900">
              <w:rPr>
                <w:rFonts w:ascii="CAIXA Std Book" w:hAnsi="CAIXA Std Book"/>
                <w:b/>
                <w:bCs/>
                <w:color w:val="FFFFFF"/>
                <w:sz w:val="16"/>
                <w:szCs w:val="16"/>
              </w:rPr>
              <w:t>Individual</w:t>
            </w:r>
          </w:p>
        </w:tc>
      </w:tr>
      <w:tr w:rsidR="00FE637C" w:rsidRPr="004D28EF" w14:paraId="2B84B79D" w14:textId="77777777" w:rsidTr="00833620">
        <w:trPr>
          <w:gridAfter w:val="1"/>
          <w:wAfter w:w="2" w:type="pct"/>
          <w:trHeight w:val="283"/>
        </w:trPr>
        <w:tc>
          <w:tcPr>
            <w:tcW w:w="644" w:type="pct"/>
            <w:vMerge w:val="restart"/>
            <w:tcBorders>
              <w:top w:val="single" w:sz="4" w:space="0" w:color="FFFFFF" w:themeColor="background1"/>
              <w:left w:val="nil"/>
              <w:bottom w:val="single" w:sz="4" w:space="0" w:color="FFFFFF" w:themeColor="background1"/>
              <w:right w:val="nil"/>
            </w:tcBorders>
            <w:shd w:val="clear" w:color="000000" w:fill="005CA9"/>
            <w:vAlign w:val="center"/>
            <w:hideMark/>
          </w:tcPr>
          <w:p w14:paraId="0CE367A9" w14:textId="77777777" w:rsidR="00FE637C" w:rsidRPr="00520900" w:rsidRDefault="00FE637C" w:rsidP="004B584D">
            <w:pPr>
              <w:jc w:val="center"/>
              <w:rPr>
                <w:rFonts w:ascii="CAIXA Std Book" w:hAnsi="CAIXA Std Book"/>
                <w:b/>
                <w:bCs/>
                <w:color w:val="FFFFFF"/>
                <w:sz w:val="16"/>
                <w:szCs w:val="16"/>
              </w:rPr>
            </w:pPr>
            <w:r w:rsidRPr="00520900">
              <w:rPr>
                <w:rFonts w:ascii="CAIXA Std Book" w:hAnsi="CAIXA Std Book"/>
                <w:b/>
                <w:bCs/>
                <w:color w:val="FFFFFF"/>
                <w:sz w:val="16"/>
                <w:szCs w:val="16"/>
              </w:rPr>
              <w:t>Empresa</w:t>
            </w:r>
          </w:p>
        </w:tc>
        <w:tc>
          <w:tcPr>
            <w:tcW w:w="1133" w:type="pct"/>
            <w:gridSpan w:val="4"/>
            <w:tcBorders>
              <w:top w:val="single" w:sz="4" w:space="0" w:color="FFFFFF" w:themeColor="background1"/>
              <w:left w:val="nil"/>
              <w:bottom w:val="single" w:sz="4" w:space="0" w:color="FFFFFF" w:themeColor="background1"/>
              <w:right w:val="nil"/>
            </w:tcBorders>
            <w:shd w:val="clear" w:color="000000" w:fill="005CA9"/>
            <w:vAlign w:val="center"/>
            <w:hideMark/>
          </w:tcPr>
          <w:p w14:paraId="0B0C81AF" w14:textId="1D7940A3" w:rsidR="00FE637C" w:rsidRPr="00520900" w:rsidRDefault="00FE637C" w:rsidP="004B584D">
            <w:pPr>
              <w:jc w:val="center"/>
              <w:rPr>
                <w:rFonts w:ascii="CAIXA Std Book" w:hAnsi="CAIXA Std Book"/>
                <w:b/>
                <w:bCs/>
                <w:color w:val="FFFFFF"/>
                <w:sz w:val="16"/>
                <w:szCs w:val="16"/>
              </w:rPr>
            </w:pPr>
            <w:r w:rsidRPr="00520900">
              <w:rPr>
                <w:rFonts w:ascii="CAIXA Std Book" w:hAnsi="CAIXA Std Book"/>
                <w:b/>
                <w:bCs/>
                <w:color w:val="FFFFFF"/>
                <w:sz w:val="16"/>
                <w:szCs w:val="16"/>
              </w:rPr>
              <w:t>% de participação</w:t>
            </w:r>
            <w:r w:rsidR="00476EF9" w:rsidRPr="00520900">
              <w:rPr>
                <w:rFonts w:ascii="CAIXA Std Book" w:hAnsi="CAIXA Std Book"/>
                <w:b/>
                <w:bCs/>
                <w:color w:val="FFFFFF"/>
                <w:sz w:val="16"/>
                <w:szCs w:val="16"/>
              </w:rPr>
              <w:t xml:space="preserve"> </w:t>
            </w:r>
            <w:r w:rsidRPr="00520900">
              <w:rPr>
                <w:rFonts w:ascii="CAIXA Std Book" w:hAnsi="CAIXA Std Book"/>
                <w:b/>
                <w:bCs/>
                <w:color w:val="FFFFFF"/>
                <w:sz w:val="16"/>
                <w:szCs w:val="16"/>
              </w:rPr>
              <w:t>(1)</w:t>
            </w:r>
          </w:p>
        </w:tc>
        <w:tc>
          <w:tcPr>
            <w:tcW w:w="756" w:type="pct"/>
            <w:gridSpan w:val="2"/>
            <w:vMerge w:val="restart"/>
            <w:tcBorders>
              <w:top w:val="single" w:sz="4" w:space="0" w:color="FFFFFF" w:themeColor="background1"/>
              <w:left w:val="nil"/>
              <w:bottom w:val="single" w:sz="4" w:space="0" w:color="FFFFFF" w:themeColor="background1"/>
              <w:right w:val="nil"/>
            </w:tcBorders>
            <w:shd w:val="clear" w:color="000000" w:fill="005CA9"/>
            <w:vAlign w:val="center"/>
            <w:hideMark/>
          </w:tcPr>
          <w:p w14:paraId="79D7CE65" w14:textId="239CC1B9" w:rsidR="00FE637C" w:rsidRPr="00520900" w:rsidRDefault="00FE637C" w:rsidP="004B584D">
            <w:pPr>
              <w:jc w:val="center"/>
              <w:rPr>
                <w:rFonts w:ascii="CAIXA Std Book" w:hAnsi="CAIXA Std Book"/>
                <w:b/>
                <w:bCs/>
                <w:color w:val="FFFFFF"/>
                <w:sz w:val="16"/>
                <w:szCs w:val="16"/>
              </w:rPr>
            </w:pPr>
            <w:r w:rsidRPr="00520900">
              <w:rPr>
                <w:rFonts w:ascii="CAIXA Std Book" w:hAnsi="CAIXA Std Book"/>
                <w:b/>
                <w:bCs/>
                <w:color w:val="FFFFFF"/>
                <w:sz w:val="16"/>
                <w:szCs w:val="16"/>
              </w:rPr>
              <w:t xml:space="preserve">Patrimônio </w:t>
            </w:r>
            <w:r w:rsidR="00F76546" w:rsidRPr="00520900">
              <w:rPr>
                <w:rFonts w:ascii="CAIXA Std Book" w:hAnsi="CAIXA Std Book"/>
                <w:b/>
                <w:bCs/>
                <w:color w:val="FFFFFF"/>
                <w:sz w:val="16"/>
                <w:szCs w:val="16"/>
              </w:rPr>
              <w:t>l</w:t>
            </w:r>
            <w:r w:rsidRPr="00520900">
              <w:rPr>
                <w:rFonts w:ascii="CAIXA Std Book" w:hAnsi="CAIXA Std Book"/>
                <w:b/>
                <w:bCs/>
                <w:color w:val="FFFFFF"/>
                <w:sz w:val="16"/>
                <w:szCs w:val="16"/>
              </w:rPr>
              <w:t>íquido</w:t>
            </w:r>
          </w:p>
        </w:tc>
        <w:tc>
          <w:tcPr>
            <w:tcW w:w="416" w:type="pct"/>
            <w:vMerge w:val="restart"/>
            <w:tcBorders>
              <w:top w:val="single" w:sz="4" w:space="0" w:color="FFFFFF" w:themeColor="background1"/>
              <w:left w:val="nil"/>
              <w:bottom w:val="single" w:sz="4" w:space="0" w:color="FFFFFF" w:themeColor="background1"/>
              <w:right w:val="nil"/>
            </w:tcBorders>
            <w:shd w:val="clear" w:color="000000" w:fill="005CA9"/>
            <w:vAlign w:val="center"/>
            <w:hideMark/>
          </w:tcPr>
          <w:p w14:paraId="6715DEE4" w14:textId="2954C5E7" w:rsidR="00FE637C" w:rsidRPr="00520900" w:rsidRDefault="00FE637C" w:rsidP="004B584D">
            <w:pPr>
              <w:jc w:val="center"/>
              <w:rPr>
                <w:rFonts w:ascii="CAIXA Std Book" w:hAnsi="CAIXA Std Book"/>
                <w:b/>
                <w:bCs/>
                <w:color w:val="FFFFFF"/>
                <w:sz w:val="16"/>
                <w:szCs w:val="16"/>
              </w:rPr>
            </w:pPr>
            <w:r w:rsidRPr="00520900">
              <w:rPr>
                <w:rFonts w:ascii="CAIXA Std Book" w:hAnsi="CAIXA Std Book"/>
                <w:b/>
                <w:bCs/>
                <w:color w:val="FFFFFF"/>
                <w:sz w:val="16"/>
                <w:szCs w:val="16"/>
              </w:rPr>
              <w:t xml:space="preserve">Valor </w:t>
            </w:r>
            <w:r w:rsidR="00F76546" w:rsidRPr="00520900">
              <w:rPr>
                <w:rFonts w:ascii="CAIXA Std Book" w:hAnsi="CAIXA Std Book"/>
                <w:b/>
                <w:bCs/>
                <w:color w:val="FFFFFF"/>
                <w:sz w:val="16"/>
                <w:szCs w:val="16"/>
              </w:rPr>
              <w:t>c</w:t>
            </w:r>
            <w:r w:rsidRPr="00520900">
              <w:rPr>
                <w:rFonts w:ascii="CAIXA Std Book" w:hAnsi="CAIXA Std Book"/>
                <w:b/>
                <w:bCs/>
                <w:color w:val="FFFFFF"/>
                <w:sz w:val="16"/>
                <w:szCs w:val="16"/>
              </w:rPr>
              <w:t>ontábil</w:t>
            </w:r>
          </w:p>
        </w:tc>
        <w:tc>
          <w:tcPr>
            <w:tcW w:w="1299" w:type="pct"/>
            <w:gridSpan w:val="3"/>
            <w:vMerge w:val="restart"/>
            <w:tcBorders>
              <w:top w:val="single" w:sz="4" w:space="0" w:color="FFFFFF" w:themeColor="background1"/>
              <w:left w:val="nil"/>
              <w:bottom w:val="single" w:sz="4" w:space="0" w:color="FFFFFF" w:themeColor="background1"/>
              <w:right w:val="nil"/>
            </w:tcBorders>
            <w:shd w:val="clear" w:color="000000" w:fill="005CA9"/>
            <w:vAlign w:val="center"/>
            <w:hideMark/>
          </w:tcPr>
          <w:p w14:paraId="4D14C7BD" w14:textId="77777777" w:rsidR="00FE637C" w:rsidRPr="00520900" w:rsidRDefault="00FE637C" w:rsidP="004B584D">
            <w:pPr>
              <w:jc w:val="center"/>
              <w:rPr>
                <w:rFonts w:ascii="CAIXA Std Book" w:hAnsi="CAIXA Std Book"/>
                <w:b/>
                <w:bCs/>
                <w:color w:val="FFFFFF"/>
                <w:sz w:val="16"/>
                <w:szCs w:val="16"/>
              </w:rPr>
            </w:pPr>
            <w:r w:rsidRPr="00520900">
              <w:rPr>
                <w:rFonts w:ascii="CAIXA Std Book" w:hAnsi="CAIXA Std Book"/>
                <w:b/>
                <w:bCs/>
                <w:color w:val="FFFFFF"/>
                <w:sz w:val="16"/>
                <w:szCs w:val="16"/>
              </w:rPr>
              <w:t>Movimentação</w:t>
            </w:r>
          </w:p>
        </w:tc>
        <w:tc>
          <w:tcPr>
            <w:tcW w:w="376" w:type="pct"/>
            <w:vMerge w:val="restart"/>
            <w:tcBorders>
              <w:top w:val="single" w:sz="4" w:space="0" w:color="FFFFFF" w:themeColor="background1"/>
              <w:left w:val="nil"/>
              <w:bottom w:val="single" w:sz="4" w:space="0" w:color="FFFFFF" w:themeColor="background1"/>
              <w:right w:val="nil"/>
            </w:tcBorders>
            <w:shd w:val="clear" w:color="000000" w:fill="005CA9"/>
            <w:vAlign w:val="center"/>
            <w:hideMark/>
          </w:tcPr>
          <w:p w14:paraId="313F819E" w14:textId="0796B43E" w:rsidR="00FE637C" w:rsidRPr="00520900" w:rsidRDefault="00FE637C" w:rsidP="004B584D">
            <w:pPr>
              <w:jc w:val="center"/>
              <w:rPr>
                <w:rFonts w:ascii="CAIXA Std Book" w:hAnsi="CAIXA Std Book"/>
                <w:b/>
                <w:bCs/>
                <w:color w:val="FFFFFF"/>
                <w:sz w:val="16"/>
                <w:szCs w:val="16"/>
              </w:rPr>
            </w:pPr>
            <w:r w:rsidRPr="00520900">
              <w:rPr>
                <w:rFonts w:ascii="CAIXA Std Book" w:hAnsi="CAIXA Std Book"/>
                <w:b/>
                <w:bCs/>
                <w:color w:val="FFFFFF"/>
                <w:sz w:val="16"/>
                <w:szCs w:val="16"/>
              </w:rPr>
              <w:t xml:space="preserve">Valor </w:t>
            </w:r>
            <w:r w:rsidR="00F76546" w:rsidRPr="00520900">
              <w:rPr>
                <w:rFonts w:ascii="CAIXA Std Book" w:hAnsi="CAIXA Std Book"/>
                <w:b/>
                <w:bCs/>
                <w:color w:val="FFFFFF"/>
                <w:sz w:val="16"/>
                <w:szCs w:val="16"/>
              </w:rPr>
              <w:t>c</w:t>
            </w:r>
            <w:r w:rsidRPr="00520900">
              <w:rPr>
                <w:rFonts w:ascii="CAIXA Std Book" w:hAnsi="CAIXA Std Book"/>
                <w:b/>
                <w:bCs/>
                <w:color w:val="FFFFFF"/>
                <w:sz w:val="16"/>
                <w:szCs w:val="16"/>
              </w:rPr>
              <w:t>ontábil</w:t>
            </w:r>
          </w:p>
        </w:tc>
        <w:tc>
          <w:tcPr>
            <w:tcW w:w="374" w:type="pct"/>
            <w:vMerge w:val="restart"/>
            <w:tcBorders>
              <w:top w:val="single" w:sz="4" w:space="0" w:color="FFFFFF" w:themeColor="background1"/>
              <w:left w:val="nil"/>
              <w:bottom w:val="single" w:sz="4" w:space="0" w:color="FFFFFF" w:themeColor="background1"/>
              <w:right w:val="nil"/>
            </w:tcBorders>
            <w:shd w:val="clear" w:color="000000" w:fill="005CA9"/>
            <w:vAlign w:val="center"/>
            <w:hideMark/>
          </w:tcPr>
          <w:p w14:paraId="10A2CD68" w14:textId="77777777" w:rsidR="00FA6A60" w:rsidRPr="00520900" w:rsidRDefault="00FE637C" w:rsidP="004B584D">
            <w:pPr>
              <w:jc w:val="center"/>
              <w:rPr>
                <w:rFonts w:ascii="CAIXA Std Book" w:hAnsi="CAIXA Std Book"/>
                <w:b/>
                <w:bCs/>
                <w:color w:val="FFFFFF"/>
                <w:sz w:val="16"/>
                <w:szCs w:val="16"/>
              </w:rPr>
            </w:pPr>
            <w:r w:rsidRPr="00520900">
              <w:rPr>
                <w:rFonts w:ascii="CAIXA Std Book" w:hAnsi="CAIXA Std Book"/>
                <w:b/>
                <w:bCs/>
                <w:color w:val="FFFFFF"/>
                <w:sz w:val="16"/>
                <w:szCs w:val="16"/>
              </w:rPr>
              <w:t xml:space="preserve">Resultado </w:t>
            </w:r>
          </w:p>
          <w:p w14:paraId="6C5C49B6" w14:textId="4292B126" w:rsidR="00FE637C" w:rsidRPr="00520900" w:rsidRDefault="00FE637C" w:rsidP="004B584D">
            <w:pPr>
              <w:jc w:val="center"/>
              <w:rPr>
                <w:rFonts w:ascii="CAIXA Std Book" w:hAnsi="CAIXA Std Book"/>
                <w:b/>
                <w:bCs/>
                <w:color w:val="FFFFFF"/>
                <w:sz w:val="16"/>
                <w:szCs w:val="16"/>
              </w:rPr>
            </w:pPr>
            <w:r w:rsidRPr="00520900">
              <w:rPr>
                <w:rFonts w:ascii="CAIXA Std Book" w:hAnsi="CAIXA Std Book"/>
                <w:b/>
                <w:bCs/>
                <w:color w:val="FFFFFF"/>
                <w:sz w:val="16"/>
                <w:szCs w:val="16"/>
              </w:rPr>
              <w:t>MEP</w:t>
            </w:r>
          </w:p>
        </w:tc>
      </w:tr>
      <w:tr w:rsidR="00FE637C" w:rsidRPr="004D28EF" w14:paraId="6BE53AAE" w14:textId="77777777" w:rsidTr="00833620">
        <w:trPr>
          <w:gridAfter w:val="1"/>
          <w:wAfter w:w="2" w:type="pct"/>
          <w:trHeight w:val="283"/>
        </w:trPr>
        <w:tc>
          <w:tcPr>
            <w:tcW w:w="644" w:type="pct"/>
            <w:vMerge/>
            <w:tcBorders>
              <w:top w:val="single" w:sz="4" w:space="0" w:color="FFFFFF" w:themeColor="background1"/>
              <w:left w:val="nil"/>
              <w:bottom w:val="single" w:sz="4" w:space="0" w:color="FFFFFF" w:themeColor="background1"/>
              <w:right w:val="nil"/>
            </w:tcBorders>
            <w:vAlign w:val="center"/>
            <w:hideMark/>
          </w:tcPr>
          <w:p w14:paraId="1D84DC7A" w14:textId="77777777" w:rsidR="00FE637C" w:rsidRPr="00520900" w:rsidRDefault="00FE637C" w:rsidP="004B584D">
            <w:pPr>
              <w:jc w:val="center"/>
              <w:rPr>
                <w:rFonts w:ascii="CAIXA Std Book" w:hAnsi="CAIXA Std Book"/>
                <w:b/>
                <w:bCs/>
                <w:color w:val="FFFFFF"/>
                <w:sz w:val="16"/>
                <w:szCs w:val="16"/>
              </w:rPr>
            </w:pPr>
          </w:p>
        </w:tc>
        <w:tc>
          <w:tcPr>
            <w:tcW w:w="572" w:type="pct"/>
            <w:gridSpan w:val="2"/>
            <w:tcBorders>
              <w:top w:val="single" w:sz="4" w:space="0" w:color="FFFFFF" w:themeColor="background1"/>
              <w:left w:val="nil"/>
              <w:bottom w:val="single" w:sz="4" w:space="0" w:color="FFFFFF" w:themeColor="background1"/>
              <w:right w:val="nil"/>
            </w:tcBorders>
            <w:shd w:val="clear" w:color="000000" w:fill="005CA9"/>
            <w:vAlign w:val="center"/>
            <w:hideMark/>
          </w:tcPr>
          <w:p w14:paraId="0D0AF104" w14:textId="77777777" w:rsidR="00FE637C" w:rsidRPr="00520900" w:rsidRDefault="00FE637C" w:rsidP="004B584D">
            <w:pPr>
              <w:jc w:val="center"/>
              <w:rPr>
                <w:rFonts w:ascii="CAIXA Std Book" w:hAnsi="CAIXA Std Book"/>
                <w:b/>
                <w:bCs/>
                <w:color w:val="FFFFFF"/>
                <w:sz w:val="16"/>
                <w:szCs w:val="16"/>
              </w:rPr>
            </w:pPr>
            <w:r w:rsidRPr="00520900">
              <w:rPr>
                <w:rFonts w:ascii="CAIXA Std Book" w:hAnsi="CAIXA Std Book"/>
                <w:b/>
                <w:bCs/>
                <w:color w:val="FFFFFF"/>
                <w:sz w:val="16"/>
                <w:szCs w:val="16"/>
              </w:rPr>
              <w:t>31/03/2026</w:t>
            </w:r>
          </w:p>
        </w:tc>
        <w:tc>
          <w:tcPr>
            <w:tcW w:w="561" w:type="pct"/>
            <w:gridSpan w:val="2"/>
            <w:tcBorders>
              <w:top w:val="single" w:sz="4" w:space="0" w:color="FFFFFF" w:themeColor="background1"/>
              <w:left w:val="nil"/>
              <w:bottom w:val="single" w:sz="4" w:space="0" w:color="FFFFFF" w:themeColor="background1"/>
              <w:right w:val="nil"/>
            </w:tcBorders>
            <w:shd w:val="clear" w:color="000000" w:fill="005CA9"/>
            <w:vAlign w:val="center"/>
            <w:hideMark/>
          </w:tcPr>
          <w:p w14:paraId="77CCDEDF" w14:textId="77777777" w:rsidR="00FE637C" w:rsidRPr="00520900" w:rsidRDefault="00FE637C" w:rsidP="004B584D">
            <w:pPr>
              <w:jc w:val="center"/>
              <w:rPr>
                <w:rFonts w:ascii="CAIXA Std Book" w:hAnsi="CAIXA Std Book"/>
                <w:b/>
                <w:bCs/>
                <w:color w:val="FFFFFF"/>
                <w:sz w:val="16"/>
                <w:szCs w:val="16"/>
              </w:rPr>
            </w:pPr>
            <w:r w:rsidRPr="00520900">
              <w:rPr>
                <w:rFonts w:ascii="CAIXA Std Book" w:hAnsi="CAIXA Std Book"/>
                <w:b/>
                <w:bCs/>
                <w:color w:val="FFFFFF"/>
                <w:sz w:val="16"/>
                <w:szCs w:val="16"/>
              </w:rPr>
              <w:t>31/12/2025</w:t>
            </w:r>
          </w:p>
        </w:tc>
        <w:tc>
          <w:tcPr>
            <w:tcW w:w="756" w:type="pct"/>
            <w:gridSpan w:val="2"/>
            <w:vMerge/>
            <w:tcBorders>
              <w:top w:val="single" w:sz="4" w:space="0" w:color="FFFFFF" w:themeColor="background1"/>
              <w:left w:val="nil"/>
              <w:bottom w:val="single" w:sz="4" w:space="0" w:color="FFFFFF" w:themeColor="background1"/>
              <w:right w:val="nil"/>
            </w:tcBorders>
            <w:vAlign w:val="center"/>
            <w:hideMark/>
          </w:tcPr>
          <w:p w14:paraId="098F089A" w14:textId="77777777" w:rsidR="00FE637C" w:rsidRPr="00520900" w:rsidRDefault="00FE637C" w:rsidP="004B584D">
            <w:pPr>
              <w:jc w:val="center"/>
              <w:rPr>
                <w:rFonts w:ascii="CAIXA Std Book" w:hAnsi="CAIXA Std Book"/>
                <w:b/>
                <w:bCs/>
                <w:color w:val="FFFFFF"/>
                <w:sz w:val="16"/>
                <w:szCs w:val="16"/>
              </w:rPr>
            </w:pPr>
          </w:p>
        </w:tc>
        <w:tc>
          <w:tcPr>
            <w:tcW w:w="416" w:type="pct"/>
            <w:vMerge/>
            <w:tcBorders>
              <w:top w:val="single" w:sz="4" w:space="0" w:color="FFFFFF" w:themeColor="background1"/>
              <w:left w:val="nil"/>
              <w:bottom w:val="single" w:sz="4" w:space="0" w:color="FFFFFF" w:themeColor="background1"/>
              <w:right w:val="nil"/>
            </w:tcBorders>
            <w:vAlign w:val="center"/>
            <w:hideMark/>
          </w:tcPr>
          <w:p w14:paraId="4F49AB86" w14:textId="77777777" w:rsidR="00FE637C" w:rsidRPr="00520900" w:rsidRDefault="00FE637C" w:rsidP="004B584D">
            <w:pPr>
              <w:jc w:val="center"/>
              <w:rPr>
                <w:rFonts w:ascii="CAIXA Std Book" w:hAnsi="CAIXA Std Book"/>
                <w:b/>
                <w:bCs/>
                <w:color w:val="FFFFFF"/>
                <w:sz w:val="16"/>
                <w:szCs w:val="16"/>
              </w:rPr>
            </w:pPr>
          </w:p>
        </w:tc>
        <w:tc>
          <w:tcPr>
            <w:tcW w:w="1299" w:type="pct"/>
            <w:gridSpan w:val="3"/>
            <w:vMerge/>
            <w:tcBorders>
              <w:top w:val="single" w:sz="4" w:space="0" w:color="FFFFFF" w:themeColor="background1"/>
              <w:left w:val="nil"/>
              <w:bottom w:val="single" w:sz="4" w:space="0" w:color="FFFFFF" w:themeColor="background1"/>
              <w:right w:val="nil"/>
            </w:tcBorders>
            <w:vAlign w:val="center"/>
            <w:hideMark/>
          </w:tcPr>
          <w:p w14:paraId="58461AA1" w14:textId="77777777" w:rsidR="00FE637C" w:rsidRPr="00520900" w:rsidRDefault="00FE637C" w:rsidP="004B584D">
            <w:pPr>
              <w:jc w:val="center"/>
              <w:rPr>
                <w:rFonts w:ascii="CAIXA Std Book" w:hAnsi="CAIXA Std Book"/>
                <w:b/>
                <w:bCs/>
                <w:color w:val="FFFFFF"/>
                <w:sz w:val="16"/>
                <w:szCs w:val="16"/>
              </w:rPr>
            </w:pPr>
          </w:p>
        </w:tc>
        <w:tc>
          <w:tcPr>
            <w:tcW w:w="376" w:type="pct"/>
            <w:vMerge/>
            <w:tcBorders>
              <w:top w:val="single" w:sz="4" w:space="0" w:color="FFFFFF" w:themeColor="background1"/>
              <w:left w:val="nil"/>
              <w:bottom w:val="single" w:sz="4" w:space="0" w:color="FFFFFF" w:themeColor="background1"/>
              <w:right w:val="nil"/>
            </w:tcBorders>
            <w:vAlign w:val="center"/>
            <w:hideMark/>
          </w:tcPr>
          <w:p w14:paraId="1478825C" w14:textId="77777777" w:rsidR="00FE637C" w:rsidRPr="00520900" w:rsidRDefault="00FE637C" w:rsidP="004B584D">
            <w:pPr>
              <w:jc w:val="center"/>
              <w:rPr>
                <w:rFonts w:ascii="CAIXA Std Book" w:hAnsi="CAIXA Std Book"/>
                <w:b/>
                <w:bCs/>
                <w:color w:val="FFFFFF"/>
                <w:sz w:val="16"/>
                <w:szCs w:val="16"/>
              </w:rPr>
            </w:pPr>
          </w:p>
        </w:tc>
        <w:tc>
          <w:tcPr>
            <w:tcW w:w="374" w:type="pct"/>
            <w:vMerge/>
            <w:tcBorders>
              <w:top w:val="single" w:sz="4" w:space="0" w:color="FFFFFF" w:themeColor="background1"/>
              <w:left w:val="nil"/>
              <w:bottom w:val="single" w:sz="4" w:space="0" w:color="FFFFFF" w:themeColor="background1"/>
              <w:right w:val="nil"/>
            </w:tcBorders>
            <w:vAlign w:val="center"/>
            <w:hideMark/>
          </w:tcPr>
          <w:p w14:paraId="6E2DBE2A" w14:textId="77777777" w:rsidR="00FE637C" w:rsidRPr="00520900" w:rsidRDefault="00FE637C" w:rsidP="004B584D">
            <w:pPr>
              <w:jc w:val="center"/>
              <w:rPr>
                <w:rFonts w:ascii="CAIXA Std Book" w:hAnsi="CAIXA Std Book"/>
                <w:b/>
                <w:bCs/>
                <w:color w:val="FFFFFF"/>
                <w:sz w:val="16"/>
                <w:szCs w:val="16"/>
              </w:rPr>
            </w:pPr>
          </w:p>
        </w:tc>
      </w:tr>
      <w:tr w:rsidR="005D07D5" w:rsidRPr="004D28EF" w14:paraId="2D863C4A" w14:textId="77777777" w:rsidTr="00833620">
        <w:trPr>
          <w:gridAfter w:val="1"/>
          <w:wAfter w:w="2" w:type="pct"/>
          <w:trHeight w:val="283"/>
        </w:trPr>
        <w:tc>
          <w:tcPr>
            <w:tcW w:w="644" w:type="pct"/>
            <w:vMerge/>
            <w:tcBorders>
              <w:top w:val="single" w:sz="4" w:space="0" w:color="FFFFFF" w:themeColor="background1"/>
              <w:left w:val="nil"/>
              <w:bottom w:val="single" w:sz="4" w:space="0" w:color="FFFFFF" w:themeColor="background1"/>
              <w:right w:val="nil"/>
            </w:tcBorders>
            <w:vAlign w:val="center"/>
            <w:hideMark/>
          </w:tcPr>
          <w:p w14:paraId="540914EE" w14:textId="77777777" w:rsidR="005D07D5" w:rsidRPr="00520900" w:rsidRDefault="005D07D5" w:rsidP="005D07D5">
            <w:pPr>
              <w:jc w:val="center"/>
              <w:rPr>
                <w:rFonts w:ascii="CAIXA Std Book" w:hAnsi="CAIXA Std Book"/>
                <w:b/>
                <w:bCs/>
                <w:color w:val="FFFFFF"/>
                <w:sz w:val="16"/>
                <w:szCs w:val="16"/>
              </w:rPr>
            </w:pPr>
          </w:p>
        </w:tc>
        <w:tc>
          <w:tcPr>
            <w:tcW w:w="245" w:type="pct"/>
            <w:vMerge w:val="restart"/>
            <w:tcBorders>
              <w:top w:val="single" w:sz="4" w:space="0" w:color="FFFFFF" w:themeColor="background1"/>
              <w:left w:val="nil"/>
              <w:bottom w:val="single" w:sz="4" w:space="0" w:color="FFFFFF" w:themeColor="background1"/>
              <w:right w:val="nil"/>
            </w:tcBorders>
            <w:shd w:val="clear" w:color="000000" w:fill="005CA9"/>
            <w:vAlign w:val="center"/>
            <w:hideMark/>
          </w:tcPr>
          <w:p w14:paraId="7B74C1B4" w14:textId="77777777" w:rsidR="005D07D5" w:rsidRPr="00520900" w:rsidRDefault="005D07D5" w:rsidP="00365850">
            <w:pPr>
              <w:jc w:val="center"/>
              <w:rPr>
                <w:rFonts w:ascii="CAIXA Std Book" w:hAnsi="CAIXA Std Book"/>
                <w:b/>
                <w:bCs/>
                <w:color w:val="FFFFFF"/>
                <w:sz w:val="16"/>
                <w:szCs w:val="16"/>
              </w:rPr>
            </w:pPr>
            <w:r w:rsidRPr="00520900">
              <w:rPr>
                <w:rFonts w:ascii="CAIXA Std Book" w:hAnsi="CAIXA Std Book"/>
                <w:b/>
                <w:bCs/>
                <w:color w:val="FFFFFF"/>
                <w:sz w:val="16"/>
                <w:szCs w:val="16"/>
              </w:rPr>
              <w:t>Total</w:t>
            </w:r>
          </w:p>
        </w:tc>
        <w:tc>
          <w:tcPr>
            <w:tcW w:w="327" w:type="pct"/>
            <w:vMerge w:val="restart"/>
            <w:tcBorders>
              <w:top w:val="single" w:sz="4" w:space="0" w:color="FFFFFF" w:themeColor="background1"/>
              <w:left w:val="nil"/>
              <w:bottom w:val="single" w:sz="4" w:space="0" w:color="FFFFFF" w:themeColor="background1"/>
              <w:right w:val="nil"/>
            </w:tcBorders>
            <w:shd w:val="clear" w:color="000000" w:fill="005CA9"/>
            <w:vAlign w:val="center"/>
            <w:hideMark/>
          </w:tcPr>
          <w:p w14:paraId="49380F06" w14:textId="275E13EB" w:rsidR="005D07D5" w:rsidRPr="00520900" w:rsidRDefault="005D07D5" w:rsidP="00365850">
            <w:pPr>
              <w:jc w:val="center"/>
              <w:rPr>
                <w:rFonts w:ascii="CAIXA Std Book" w:hAnsi="CAIXA Std Book"/>
                <w:b/>
                <w:bCs/>
                <w:color w:val="FFFFFF"/>
                <w:sz w:val="16"/>
                <w:szCs w:val="16"/>
              </w:rPr>
            </w:pPr>
            <w:r w:rsidRPr="00520900">
              <w:rPr>
                <w:rFonts w:ascii="CAIXA Std Book" w:hAnsi="CAIXA Std Book"/>
                <w:b/>
                <w:bCs/>
                <w:color w:val="FFFFFF"/>
                <w:sz w:val="16"/>
                <w:szCs w:val="16"/>
              </w:rPr>
              <w:t xml:space="preserve">Ações </w:t>
            </w:r>
            <w:r w:rsidR="00520900" w:rsidRPr="00520900">
              <w:rPr>
                <w:rFonts w:ascii="CAIXA Std Book" w:hAnsi="CAIXA Std Book"/>
                <w:b/>
                <w:bCs/>
                <w:color w:val="FFFFFF"/>
                <w:sz w:val="16"/>
                <w:szCs w:val="16"/>
              </w:rPr>
              <w:t>o</w:t>
            </w:r>
            <w:r w:rsidRPr="00520900">
              <w:rPr>
                <w:rFonts w:ascii="CAIXA Std Book" w:hAnsi="CAIXA Std Book"/>
                <w:b/>
                <w:bCs/>
                <w:color w:val="FFFFFF"/>
                <w:sz w:val="16"/>
                <w:szCs w:val="16"/>
              </w:rPr>
              <w:t>rdinárias</w:t>
            </w:r>
          </w:p>
        </w:tc>
        <w:tc>
          <w:tcPr>
            <w:tcW w:w="238" w:type="pct"/>
            <w:vMerge w:val="restart"/>
            <w:tcBorders>
              <w:top w:val="single" w:sz="4" w:space="0" w:color="FFFFFF" w:themeColor="background1"/>
              <w:left w:val="nil"/>
              <w:bottom w:val="single" w:sz="4" w:space="0" w:color="FFFFFF" w:themeColor="background1"/>
              <w:right w:val="nil"/>
            </w:tcBorders>
            <w:shd w:val="clear" w:color="000000" w:fill="005CA9"/>
            <w:vAlign w:val="center"/>
            <w:hideMark/>
          </w:tcPr>
          <w:p w14:paraId="06A5441B" w14:textId="77777777" w:rsidR="005D07D5" w:rsidRPr="00520900" w:rsidRDefault="005D07D5" w:rsidP="00365850">
            <w:pPr>
              <w:jc w:val="center"/>
              <w:rPr>
                <w:rFonts w:ascii="CAIXA Std Book" w:hAnsi="CAIXA Std Book"/>
                <w:b/>
                <w:bCs/>
                <w:color w:val="FFFFFF"/>
                <w:sz w:val="16"/>
                <w:szCs w:val="16"/>
              </w:rPr>
            </w:pPr>
            <w:r w:rsidRPr="00520900">
              <w:rPr>
                <w:rFonts w:ascii="CAIXA Std Book" w:hAnsi="CAIXA Std Book"/>
                <w:b/>
                <w:bCs/>
                <w:color w:val="FFFFFF"/>
                <w:sz w:val="16"/>
                <w:szCs w:val="16"/>
              </w:rPr>
              <w:t>Total</w:t>
            </w:r>
          </w:p>
        </w:tc>
        <w:tc>
          <w:tcPr>
            <w:tcW w:w="323" w:type="pct"/>
            <w:vMerge w:val="restart"/>
            <w:tcBorders>
              <w:top w:val="single" w:sz="4" w:space="0" w:color="FFFFFF" w:themeColor="background1"/>
              <w:left w:val="nil"/>
              <w:bottom w:val="single" w:sz="4" w:space="0" w:color="FFFFFF" w:themeColor="background1"/>
              <w:right w:val="nil"/>
            </w:tcBorders>
            <w:shd w:val="clear" w:color="000000" w:fill="005CA9"/>
            <w:vAlign w:val="center"/>
            <w:hideMark/>
          </w:tcPr>
          <w:p w14:paraId="0D327B01" w14:textId="2434EC7C" w:rsidR="005D07D5" w:rsidRPr="00520900" w:rsidRDefault="005D07D5" w:rsidP="00365850">
            <w:pPr>
              <w:jc w:val="center"/>
              <w:rPr>
                <w:rFonts w:ascii="CAIXA Std Book" w:hAnsi="CAIXA Std Book"/>
                <w:b/>
                <w:bCs/>
                <w:color w:val="FFFFFF"/>
                <w:sz w:val="16"/>
                <w:szCs w:val="16"/>
              </w:rPr>
            </w:pPr>
            <w:r w:rsidRPr="00520900">
              <w:rPr>
                <w:rFonts w:ascii="CAIXA Std Book" w:hAnsi="CAIXA Std Book"/>
                <w:b/>
                <w:bCs/>
                <w:color w:val="FFFFFF"/>
                <w:sz w:val="16"/>
                <w:szCs w:val="16"/>
              </w:rPr>
              <w:t xml:space="preserve">Ações </w:t>
            </w:r>
            <w:r w:rsidR="00520900" w:rsidRPr="00520900">
              <w:rPr>
                <w:rFonts w:ascii="CAIXA Std Book" w:hAnsi="CAIXA Std Book"/>
                <w:b/>
                <w:bCs/>
                <w:color w:val="FFFFFF"/>
                <w:sz w:val="16"/>
                <w:szCs w:val="16"/>
              </w:rPr>
              <w:t>o</w:t>
            </w:r>
            <w:r w:rsidRPr="00520900">
              <w:rPr>
                <w:rFonts w:ascii="CAIXA Std Book" w:hAnsi="CAIXA Std Book"/>
                <w:b/>
                <w:bCs/>
                <w:color w:val="FFFFFF"/>
                <w:sz w:val="16"/>
                <w:szCs w:val="16"/>
              </w:rPr>
              <w:t>rdinárias</w:t>
            </w:r>
          </w:p>
        </w:tc>
        <w:tc>
          <w:tcPr>
            <w:tcW w:w="373" w:type="pct"/>
            <w:vMerge w:val="restart"/>
            <w:tcBorders>
              <w:top w:val="single" w:sz="4" w:space="0" w:color="FFFFFF" w:themeColor="background1"/>
              <w:left w:val="nil"/>
              <w:bottom w:val="single" w:sz="4" w:space="0" w:color="FFFFFF" w:themeColor="background1"/>
              <w:right w:val="nil"/>
            </w:tcBorders>
            <w:shd w:val="clear" w:color="000000" w:fill="005CA9"/>
            <w:vAlign w:val="center"/>
            <w:hideMark/>
          </w:tcPr>
          <w:p w14:paraId="64A59BDE" w14:textId="77777777" w:rsidR="005D07D5" w:rsidRPr="00520900" w:rsidRDefault="005D07D5" w:rsidP="00365850">
            <w:pPr>
              <w:jc w:val="center"/>
              <w:rPr>
                <w:rFonts w:ascii="CAIXA Std Book" w:hAnsi="CAIXA Std Book"/>
                <w:b/>
                <w:bCs/>
                <w:color w:val="FFFFFF"/>
                <w:sz w:val="16"/>
                <w:szCs w:val="16"/>
              </w:rPr>
            </w:pPr>
            <w:r w:rsidRPr="00520900">
              <w:rPr>
                <w:rFonts w:ascii="CAIXA Std Book" w:hAnsi="CAIXA Std Book"/>
                <w:b/>
                <w:bCs/>
                <w:color w:val="FFFFFF"/>
                <w:sz w:val="16"/>
                <w:szCs w:val="16"/>
              </w:rPr>
              <w:t>31/03/2026</w:t>
            </w:r>
          </w:p>
        </w:tc>
        <w:tc>
          <w:tcPr>
            <w:tcW w:w="383" w:type="pct"/>
            <w:vMerge w:val="restart"/>
            <w:tcBorders>
              <w:top w:val="single" w:sz="4" w:space="0" w:color="FFFFFF" w:themeColor="background1"/>
              <w:left w:val="nil"/>
              <w:bottom w:val="single" w:sz="4" w:space="0" w:color="FFFFFF" w:themeColor="background1"/>
              <w:right w:val="nil"/>
            </w:tcBorders>
            <w:shd w:val="clear" w:color="000000" w:fill="005CA9"/>
            <w:vAlign w:val="center"/>
            <w:hideMark/>
          </w:tcPr>
          <w:p w14:paraId="405990EE" w14:textId="77777777" w:rsidR="005D07D5" w:rsidRPr="00520900" w:rsidRDefault="005D07D5" w:rsidP="00365850">
            <w:pPr>
              <w:jc w:val="center"/>
              <w:rPr>
                <w:rFonts w:ascii="CAIXA Std Book" w:hAnsi="CAIXA Std Book"/>
                <w:b/>
                <w:bCs/>
                <w:color w:val="FFFFFF"/>
                <w:sz w:val="16"/>
                <w:szCs w:val="16"/>
              </w:rPr>
            </w:pPr>
            <w:r w:rsidRPr="00520900">
              <w:rPr>
                <w:rFonts w:ascii="CAIXA Std Book" w:hAnsi="CAIXA Std Book"/>
                <w:b/>
                <w:bCs/>
                <w:color w:val="FFFFFF"/>
                <w:sz w:val="16"/>
                <w:szCs w:val="16"/>
              </w:rPr>
              <w:t>31/12/2025</w:t>
            </w:r>
          </w:p>
        </w:tc>
        <w:tc>
          <w:tcPr>
            <w:tcW w:w="416" w:type="pct"/>
            <w:vMerge w:val="restart"/>
            <w:tcBorders>
              <w:top w:val="single" w:sz="4" w:space="0" w:color="FFFFFF" w:themeColor="background1"/>
              <w:left w:val="nil"/>
              <w:bottom w:val="single" w:sz="4" w:space="0" w:color="FFFFFF" w:themeColor="background1"/>
              <w:right w:val="nil"/>
            </w:tcBorders>
            <w:shd w:val="clear" w:color="000000" w:fill="005CA9"/>
            <w:vAlign w:val="center"/>
            <w:hideMark/>
          </w:tcPr>
          <w:p w14:paraId="4719C8E9" w14:textId="77777777" w:rsidR="005D07D5" w:rsidRPr="00520900" w:rsidRDefault="005D07D5" w:rsidP="00365850">
            <w:pPr>
              <w:jc w:val="center"/>
              <w:rPr>
                <w:rFonts w:ascii="CAIXA Std Book" w:hAnsi="CAIXA Std Book"/>
                <w:b/>
                <w:bCs/>
                <w:color w:val="FFFFFF"/>
                <w:sz w:val="16"/>
                <w:szCs w:val="16"/>
              </w:rPr>
            </w:pPr>
            <w:r w:rsidRPr="00520900">
              <w:rPr>
                <w:rFonts w:ascii="CAIXA Std Book" w:hAnsi="CAIXA Std Book"/>
                <w:b/>
                <w:bCs/>
                <w:color w:val="FFFFFF"/>
                <w:sz w:val="16"/>
                <w:szCs w:val="16"/>
              </w:rPr>
              <w:t>31/12/2025</w:t>
            </w:r>
          </w:p>
        </w:tc>
        <w:tc>
          <w:tcPr>
            <w:tcW w:w="483" w:type="pct"/>
            <w:vMerge w:val="restart"/>
            <w:tcBorders>
              <w:top w:val="single" w:sz="4" w:space="0" w:color="FFFFFF" w:themeColor="background1"/>
              <w:left w:val="nil"/>
              <w:bottom w:val="single" w:sz="4" w:space="0" w:color="FFFFFF" w:themeColor="background1"/>
              <w:right w:val="nil"/>
            </w:tcBorders>
            <w:shd w:val="clear" w:color="000000" w:fill="005CA9"/>
            <w:vAlign w:val="center"/>
            <w:hideMark/>
          </w:tcPr>
          <w:p w14:paraId="433D734D" w14:textId="7FA1CECA" w:rsidR="005D07D5" w:rsidRPr="00520900" w:rsidRDefault="005D07D5" w:rsidP="00365850">
            <w:pPr>
              <w:jc w:val="center"/>
              <w:rPr>
                <w:rFonts w:ascii="CAIXA Std Book" w:hAnsi="CAIXA Std Book"/>
                <w:b/>
                <w:bCs/>
                <w:color w:val="FFFFFF"/>
                <w:sz w:val="16"/>
                <w:szCs w:val="16"/>
              </w:rPr>
            </w:pPr>
            <w:r w:rsidRPr="00520900">
              <w:rPr>
                <w:rFonts w:ascii="CAIXA Std Book" w:hAnsi="CAIXA Std Book"/>
                <w:b/>
                <w:bCs/>
                <w:color w:val="FFFFFF"/>
                <w:sz w:val="16"/>
                <w:szCs w:val="16"/>
              </w:rPr>
              <w:t>Resultado MEP</w:t>
            </w:r>
          </w:p>
        </w:tc>
        <w:tc>
          <w:tcPr>
            <w:tcW w:w="480" w:type="pct"/>
            <w:vMerge w:val="restart"/>
            <w:tcBorders>
              <w:top w:val="single" w:sz="4" w:space="0" w:color="FFFFFF" w:themeColor="background1"/>
              <w:left w:val="nil"/>
              <w:bottom w:val="single" w:sz="4" w:space="0" w:color="FFFFFF" w:themeColor="background1"/>
              <w:right w:val="nil"/>
            </w:tcBorders>
            <w:shd w:val="clear" w:color="000000" w:fill="005CA9"/>
            <w:vAlign w:val="center"/>
            <w:hideMark/>
          </w:tcPr>
          <w:p w14:paraId="277D36F4" w14:textId="7D871882" w:rsidR="005D07D5" w:rsidRPr="00520900" w:rsidRDefault="005D07D5" w:rsidP="00365850">
            <w:pPr>
              <w:jc w:val="center"/>
              <w:rPr>
                <w:rFonts w:ascii="CAIXA Std Book" w:hAnsi="CAIXA Std Book"/>
                <w:b/>
                <w:bCs/>
                <w:color w:val="FFFFFF"/>
                <w:sz w:val="16"/>
                <w:szCs w:val="16"/>
              </w:rPr>
            </w:pPr>
            <w:r w:rsidRPr="00520900">
              <w:rPr>
                <w:rFonts w:ascii="CAIXA Std Book" w:hAnsi="CAIXA Std Book"/>
                <w:b/>
                <w:bCs/>
                <w:color w:val="FFFFFF"/>
                <w:sz w:val="16"/>
                <w:szCs w:val="16"/>
              </w:rPr>
              <w:t>Dividendos e JCP</w:t>
            </w:r>
            <w:r w:rsidR="00476EF9" w:rsidRPr="00520900">
              <w:rPr>
                <w:rFonts w:ascii="CAIXA Std Book" w:hAnsi="CAIXA Std Book"/>
                <w:b/>
                <w:bCs/>
                <w:color w:val="FFFFFF"/>
                <w:sz w:val="16"/>
                <w:szCs w:val="16"/>
              </w:rPr>
              <w:t xml:space="preserve"> </w:t>
            </w:r>
            <w:r w:rsidRPr="00520900">
              <w:rPr>
                <w:rFonts w:ascii="CAIXA Std Book" w:hAnsi="CAIXA Std Book"/>
                <w:b/>
                <w:bCs/>
                <w:color w:val="FFFFFF"/>
                <w:sz w:val="16"/>
                <w:szCs w:val="16"/>
              </w:rPr>
              <w:t>(2)</w:t>
            </w:r>
          </w:p>
        </w:tc>
        <w:tc>
          <w:tcPr>
            <w:tcW w:w="336" w:type="pct"/>
            <w:vMerge w:val="restart"/>
            <w:tcBorders>
              <w:top w:val="single" w:sz="4" w:space="0" w:color="FFFFFF" w:themeColor="background1"/>
              <w:left w:val="nil"/>
              <w:bottom w:val="single" w:sz="4" w:space="0" w:color="FFFFFF" w:themeColor="background1"/>
              <w:right w:val="nil"/>
            </w:tcBorders>
            <w:shd w:val="clear" w:color="000000" w:fill="005CA9"/>
            <w:vAlign w:val="center"/>
            <w:hideMark/>
          </w:tcPr>
          <w:p w14:paraId="09B1EA4A" w14:textId="77777777" w:rsidR="005D07D5" w:rsidRPr="00520900" w:rsidRDefault="005D07D5" w:rsidP="00365850">
            <w:pPr>
              <w:jc w:val="center"/>
              <w:rPr>
                <w:rFonts w:ascii="CAIXA Std Book" w:hAnsi="CAIXA Std Book"/>
                <w:b/>
                <w:bCs/>
                <w:color w:val="FFFFFF"/>
                <w:sz w:val="16"/>
                <w:szCs w:val="16"/>
              </w:rPr>
            </w:pPr>
            <w:r w:rsidRPr="00520900">
              <w:rPr>
                <w:rFonts w:ascii="CAIXA Std Book" w:hAnsi="CAIXA Std Book"/>
                <w:b/>
                <w:bCs/>
                <w:color w:val="FFFFFF"/>
                <w:sz w:val="16"/>
                <w:szCs w:val="16"/>
              </w:rPr>
              <w:t>Outros</w:t>
            </w:r>
          </w:p>
        </w:tc>
        <w:tc>
          <w:tcPr>
            <w:tcW w:w="376" w:type="pct"/>
            <w:vMerge w:val="restart"/>
            <w:tcBorders>
              <w:top w:val="single" w:sz="4" w:space="0" w:color="FFFFFF" w:themeColor="background1"/>
              <w:left w:val="nil"/>
              <w:bottom w:val="single" w:sz="4" w:space="0" w:color="FFFFFF" w:themeColor="background1"/>
              <w:right w:val="nil"/>
            </w:tcBorders>
            <w:shd w:val="clear" w:color="000000" w:fill="005CA9"/>
            <w:vAlign w:val="center"/>
            <w:hideMark/>
          </w:tcPr>
          <w:p w14:paraId="0975BC7A" w14:textId="77777777" w:rsidR="005D07D5" w:rsidRPr="00520900" w:rsidRDefault="005D07D5" w:rsidP="00365850">
            <w:pPr>
              <w:jc w:val="center"/>
              <w:rPr>
                <w:rFonts w:ascii="CAIXA Std Book" w:hAnsi="CAIXA Std Book"/>
                <w:b/>
                <w:bCs/>
                <w:color w:val="FFFFFF"/>
                <w:sz w:val="16"/>
                <w:szCs w:val="16"/>
              </w:rPr>
            </w:pPr>
            <w:r w:rsidRPr="00520900">
              <w:rPr>
                <w:rFonts w:ascii="CAIXA Std Book" w:hAnsi="CAIXA Std Book"/>
                <w:b/>
                <w:bCs/>
                <w:color w:val="FFFFFF"/>
                <w:sz w:val="16"/>
                <w:szCs w:val="16"/>
              </w:rPr>
              <w:t>31/03/2026</w:t>
            </w:r>
          </w:p>
        </w:tc>
        <w:tc>
          <w:tcPr>
            <w:tcW w:w="374" w:type="pct"/>
            <w:tcBorders>
              <w:top w:val="single" w:sz="4" w:space="0" w:color="FFFFFF" w:themeColor="background1"/>
              <w:left w:val="nil"/>
              <w:bottom w:val="single" w:sz="4" w:space="0" w:color="FFFFFF" w:themeColor="background1"/>
              <w:right w:val="nil"/>
            </w:tcBorders>
            <w:shd w:val="clear" w:color="000000" w:fill="005CA9"/>
            <w:vAlign w:val="center"/>
          </w:tcPr>
          <w:p w14:paraId="04CC5284" w14:textId="24A2EAF7" w:rsidR="005D07D5" w:rsidRPr="00520900" w:rsidRDefault="005D07D5" w:rsidP="00365850">
            <w:pPr>
              <w:jc w:val="center"/>
              <w:rPr>
                <w:rFonts w:ascii="CAIXA Std Book" w:hAnsi="CAIXA Std Book"/>
                <w:b/>
                <w:bCs/>
                <w:color w:val="FFFFFF"/>
                <w:sz w:val="16"/>
                <w:szCs w:val="16"/>
              </w:rPr>
            </w:pPr>
            <w:r w:rsidRPr="00520900">
              <w:rPr>
                <w:rFonts w:ascii="CAIXA Std Book" w:eastAsia="Times New Roman" w:hAnsi="CAIXA Std Book" w:cs="Times New Roman"/>
                <w:b/>
                <w:bCs/>
                <w:color w:val="FFFFFF"/>
                <w:sz w:val="16"/>
                <w:szCs w:val="16"/>
              </w:rPr>
              <w:t>2025</w:t>
            </w:r>
          </w:p>
        </w:tc>
      </w:tr>
      <w:tr w:rsidR="005D07D5" w:rsidRPr="004D28EF" w14:paraId="3C83F80B" w14:textId="77777777" w:rsidTr="00833620">
        <w:trPr>
          <w:trHeight w:val="283"/>
        </w:trPr>
        <w:tc>
          <w:tcPr>
            <w:tcW w:w="644" w:type="pct"/>
            <w:vMerge/>
            <w:tcBorders>
              <w:top w:val="single" w:sz="4" w:space="0" w:color="FFFFFF" w:themeColor="background1"/>
              <w:left w:val="nil"/>
              <w:bottom w:val="nil"/>
              <w:right w:val="nil"/>
            </w:tcBorders>
            <w:vAlign w:val="center"/>
            <w:hideMark/>
          </w:tcPr>
          <w:p w14:paraId="11C3AE6A" w14:textId="77777777" w:rsidR="005D07D5" w:rsidRPr="004D28EF" w:rsidRDefault="005D07D5" w:rsidP="005D07D5">
            <w:pPr>
              <w:rPr>
                <w:rFonts w:ascii="CAIXA Std Book" w:hAnsi="CAIXA Std Book"/>
                <w:b/>
                <w:bCs/>
                <w:color w:val="FFFFFF"/>
                <w:sz w:val="16"/>
                <w:szCs w:val="16"/>
              </w:rPr>
            </w:pPr>
          </w:p>
        </w:tc>
        <w:tc>
          <w:tcPr>
            <w:tcW w:w="245" w:type="pct"/>
            <w:vMerge/>
            <w:tcBorders>
              <w:top w:val="single" w:sz="4" w:space="0" w:color="FFFFFF" w:themeColor="background1"/>
              <w:left w:val="nil"/>
              <w:bottom w:val="nil"/>
              <w:right w:val="nil"/>
            </w:tcBorders>
            <w:vAlign w:val="center"/>
            <w:hideMark/>
          </w:tcPr>
          <w:p w14:paraId="1B06CF95" w14:textId="77777777" w:rsidR="005D07D5" w:rsidRPr="004D28EF" w:rsidRDefault="005D07D5" w:rsidP="00365850">
            <w:pPr>
              <w:jc w:val="center"/>
              <w:rPr>
                <w:rFonts w:ascii="CAIXA Std Book" w:hAnsi="CAIXA Std Book"/>
                <w:b/>
                <w:bCs/>
                <w:color w:val="FFFFFF"/>
                <w:sz w:val="16"/>
                <w:szCs w:val="16"/>
              </w:rPr>
            </w:pPr>
          </w:p>
        </w:tc>
        <w:tc>
          <w:tcPr>
            <w:tcW w:w="327" w:type="pct"/>
            <w:vMerge/>
            <w:tcBorders>
              <w:top w:val="single" w:sz="4" w:space="0" w:color="FFFFFF" w:themeColor="background1"/>
              <w:left w:val="nil"/>
              <w:bottom w:val="nil"/>
              <w:right w:val="nil"/>
            </w:tcBorders>
            <w:vAlign w:val="center"/>
            <w:hideMark/>
          </w:tcPr>
          <w:p w14:paraId="6F564E02" w14:textId="77777777" w:rsidR="005D07D5" w:rsidRPr="004D28EF" w:rsidRDefault="005D07D5" w:rsidP="00365850">
            <w:pPr>
              <w:jc w:val="center"/>
              <w:rPr>
                <w:rFonts w:ascii="CAIXA Std Book" w:hAnsi="CAIXA Std Book"/>
                <w:b/>
                <w:bCs/>
                <w:color w:val="FFFFFF"/>
                <w:sz w:val="16"/>
                <w:szCs w:val="16"/>
              </w:rPr>
            </w:pPr>
          </w:p>
        </w:tc>
        <w:tc>
          <w:tcPr>
            <w:tcW w:w="238" w:type="pct"/>
            <w:vMerge/>
            <w:tcBorders>
              <w:top w:val="single" w:sz="4" w:space="0" w:color="FFFFFF" w:themeColor="background1"/>
              <w:left w:val="nil"/>
              <w:bottom w:val="nil"/>
              <w:right w:val="nil"/>
            </w:tcBorders>
            <w:vAlign w:val="center"/>
            <w:hideMark/>
          </w:tcPr>
          <w:p w14:paraId="5CFB9C7C" w14:textId="77777777" w:rsidR="005D07D5" w:rsidRPr="004D28EF" w:rsidRDefault="005D07D5" w:rsidP="00365850">
            <w:pPr>
              <w:jc w:val="center"/>
              <w:rPr>
                <w:rFonts w:ascii="CAIXA Std Book" w:hAnsi="CAIXA Std Book"/>
                <w:b/>
                <w:bCs/>
                <w:color w:val="FFFFFF"/>
                <w:sz w:val="16"/>
                <w:szCs w:val="16"/>
              </w:rPr>
            </w:pPr>
          </w:p>
        </w:tc>
        <w:tc>
          <w:tcPr>
            <w:tcW w:w="323" w:type="pct"/>
            <w:vMerge/>
            <w:tcBorders>
              <w:top w:val="single" w:sz="4" w:space="0" w:color="FFFFFF" w:themeColor="background1"/>
              <w:left w:val="nil"/>
              <w:bottom w:val="nil"/>
              <w:right w:val="nil"/>
            </w:tcBorders>
            <w:vAlign w:val="center"/>
            <w:hideMark/>
          </w:tcPr>
          <w:p w14:paraId="3BAF2155" w14:textId="77777777" w:rsidR="005D07D5" w:rsidRPr="004D28EF" w:rsidRDefault="005D07D5" w:rsidP="00365850">
            <w:pPr>
              <w:jc w:val="center"/>
              <w:rPr>
                <w:rFonts w:ascii="CAIXA Std Book" w:hAnsi="CAIXA Std Book"/>
                <w:b/>
                <w:bCs/>
                <w:color w:val="FFFFFF"/>
                <w:sz w:val="16"/>
                <w:szCs w:val="16"/>
              </w:rPr>
            </w:pPr>
          </w:p>
        </w:tc>
        <w:tc>
          <w:tcPr>
            <w:tcW w:w="373" w:type="pct"/>
            <w:vMerge/>
            <w:tcBorders>
              <w:top w:val="single" w:sz="4" w:space="0" w:color="FFFFFF" w:themeColor="background1"/>
              <w:left w:val="nil"/>
              <w:bottom w:val="nil"/>
              <w:right w:val="nil"/>
            </w:tcBorders>
            <w:vAlign w:val="center"/>
            <w:hideMark/>
          </w:tcPr>
          <w:p w14:paraId="489E7D04" w14:textId="77777777" w:rsidR="005D07D5" w:rsidRPr="004D28EF" w:rsidRDefault="005D07D5" w:rsidP="00365850">
            <w:pPr>
              <w:jc w:val="center"/>
              <w:rPr>
                <w:rFonts w:ascii="CAIXA Std Book" w:hAnsi="CAIXA Std Book"/>
                <w:b/>
                <w:bCs/>
                <w:color w:val="FFFFFF"/>
                <w:sz w:val="16"/>
                <w:szCs w:val="16"/>
              </w:rPr>
            </w:pPr>
          </w:p>
        </w:tc>
        <w:tc>
          <w:tcPr>
            <w:tcW w:w="383" w:type="pct"/>
            <w:vMerge/>
            <w:tcBorders>
              <w:top w:val="single" w:sz="4" w:space="0" w:color="FFFFFF" w:themeColor="background1"/>
              <w:left w:val="nil"/>
              <w:bottom w:val="nil"/>
              <w:right w:val="nil"/>
            </w:tcBorders>
            <w:vAlign w:val="center"/>
            <w:hideMark/>
          </w:tcPr>
          <w:p w14:paraId="032ED2B5" w14:textId="77777777" w:rsidR="005D07D5" w:rsidRPr="004D28EF" w:rsidRDefault="005D07D5" w:rsidP="00365850">
            <w:pPr>
              <w:jc w:val="center"/>
              <w:rPr>
                <w:rFonts w:ascii="CAIXA Std Book" w:hAnsi="CAIXA Std Book"/>
                <w:b/>
                <w:bCs/>
                <w:color w:val="FFFFFF"/>
                <w:sz w:val="16"/>
                <w:szCs w:val="16"/>
              </w:rPr>
            </w:pPr>
          </w:p>
        </w:tc>
        <w:tc>
          <w:tcPr>
            <w:tcW w:w="416" w:type="pct"/>
            <w:vMerge/>
            <w:tcBorders>
              <w:top w:val="single" w:sz="4" w:space="0" w:color="FFFFFF" w:themeColor="background1"/>
              <w:left w:val="nil"/>
              <w:bottom w:val="nil"/>
              <w:right w:val="nil"/>
            </w:tcBorders>
            <w:vAlign w:val="center"/>
            <w:hideMark/>
          </w:tcPr>
          <w:p w14:paraId="36560B79" w14:textId="77777777" w:rsidR="005D07D5" w:rsidRPr="00520900" w:rsidRDefault="005D07D5" w:rsidP="00365850">
            <w:pPr>
              <w:jc w:val="center"/>
              <w:rPr>
                <w:rFonts w:ascii="CAIXA Std Book" w:hAnsi="CAIXA Std Book"/>
                <w:b/>
                <w:bCs/>
                <w:color w:val="FFFFFF"/>
                <w:sz w:val="16"/>
                <w:szCs w:val="16"/>
              </w:rPr>
            </w:pPr>
          </w:p>
        </w:tc>
        <w:tc>
          <w:tcPr>
            <w:tcW w:w="483" w:type="pct"/>
            <w:vMerge/>
            <w:tcBorders>
              <w:top w:val="single" w:sz="4" w:space="0" w:color="FFFFFF" w:themeColor="background1"/>
              <w:left w:val="nil"/>
              <w:bottom w:val="nil"/>
              <w:right w:val="nil"/>
            </w:tcBorders>
            <w:vAlign w:val="center"/>
            <w:hideMark/>
          </w:tcPr>
          <w:p w14:paraId="1E02F0C3" w14:textId="77777777" w:rsidR="005D07D5" w:rsidRPr="00520900" w:rsidRDefault="005D07D5" w:rsidP="00365850">
            <w:pPr>
              <w:jc w:val="center"/>
              <w:rPr>
                <w:rFonts w:ascii="CAIXA Std Book" w:hAnsi="CAIXA Std Book"/>
                <w:b/>
                <w:bCs/>
                <w:color w:val="FFFFFF"/>
                <w:sz w:val="16"/>
                <w:szCs w:val="16"/>
              </w:rPr>
            </w:pPr>
          </w:p>
        </w:tc>
        <w:tc>
          <w:tcPr>
            <w:tcW w:w="480" w:type="pct"/>
            <w:vMerge/>
            <w:tcBorders>
              <w:top w:val="single" w:sz="4" w:space="0" w:color="FFFFFF" w:themeColor="background1"/>
              <w:left w:val="nil"/>
              <w:bottom w:val="nil"/>
              <w:right w:val="nil"/>
            </w:tcBorders>
            <w:vAlign w:val="center"/>
            <w:hideMark/>
          </w:tcPr>
          <w:p w14:paraId="71DB1E1C" w14:textId="77777777" w:rsidR="005D07D5" w:rsidRPr="00520900" w:rsidRDefault="005D07D5" w:rsidP="00365850">
            <w:pPr>
              <w:jc w:val="center"/>
              <w:rPr>
                <w:rFonts w:ascii="CAIXA Std Book" w:hAnsi="CAIXA Std Book"/>
                <w:b/>
                <w:bCs/>
                <w:color w:val="FFFFFF"/>
                <w:sz w:val="16"/>
                <w:szCs w:val="16"/>
              </w:rPr>
            </w:pPr>
          </w:p>
        </w:tc>
        <w:tc>
          <w:tcPr>
            <w:tcW w:w="336" w:type="pct"/>
            <w:vMerge/>
            <w:tcBorders>
              <w:top w:val="single" w:sz="4" w:space="0" w:color="FFFFFF" w:themeColor="background1"/>
              <w:left w:val="nil"/>
              <w:bottom w:val="nil"/>
              <w:right w:val="nil"/>
            </w:tcBorders>
            <w:vAlign w:val="center"/>
            <w:hideMark/>
          </w:tcPr>
          <w:p w14:paraId="7E1F1DFE" w14:textId="77777777" w:rsidR="005D07D5" w:rsidRPr="00520900" w:rsidRDefault="005D07D5" w:rsidP="00365850">
            <w:pPr>
              <w:jc w:val="center"/>
              <w:rPr>
                <w:rFonts w:ascii="CAIXA Std Book" w:hAnsi="CAIXA Std Book"/>
                <w:b/>
                <w:bCs/>
                <w:color w:val="FFFFFF"/>
                <w:sz w:val="16"/>
                <w:szCs w:val="16"/>
              </w:rPr>
            </w:pPr>
          </w:p>
        </w:tc>
        <w:tc>
          <w:tcPr>
            <w:tcW w:w="376" w:type="pct"/>
            <w:vMerge/>
            <w:tcBorders>
              <w:top w:val="single" w:sz="4" w:space="0" w:color="FFFFFF" w:themeColor="background1"/>
              <w:left w:val="nil"/>
              <w:bottom w:val="nil"/>
              <w:right w:val="nil"/>
            </w:tcBorders>
            <w:vAlign w:val="center"/>
            <w:hideMark/>
          </w:tcPr>
          <w:p w14:paraId="0ACE8300" w14:textId="77777777" w:rsidR="005D07D5" w:rsidRPr="00520900" w:rsidRDefault="005D07D5" w:rsidP="00365850">
            <w:pPr>
              <w:jc w:val="center"/>
              <w:rPr>
                <w:rFonts w:ascii="CAIXA Std Book" w:hAnsi="CAIXA Std Book"/>
                <w:b/>
                <w:bCs/>
                <w:color w:val="FFFFFF"/>
                <w:sz w:val="16"/>
                <w:szCs w:val="16"/>
              </w:rPr>
            </w:pPr>
          </w:p>
        </w:tc>
        <w:tc>
          <w:tcPr>
            <w:tcW w:w="374" w:type="pct"/>
            <w:tcBorders>
              <w:top w:val="single" w:sz="4" w:space="0" w:color="FFFFFF" w:themeColor="background1"/>
              <w:left w:val="nil"/>
              <w:bottom w:val="nil"/>
              <w:right w:val="nil"/>
            </w:tcBorders>
            <w:shd w:val="clear" w:color="000000" w:fill="005CA9"/>
            <w:vAlign w:val="center"/>
          </w:tcPr>
          <w:p w14:paraId="2F8455DE" w14:textId="191CCF63" w:rsidR="005D07D5" w:rsidRPr="00520900" w:rsidRDefault="005D07D5" w:rsidP="00365850">
            <w:pPr>
              <w:jc w:val="center"/>
              <w:rPr>
                <w:rFonts w:ascii="CAIXA Std Book" w:hAnsi="CAIXA Std Book"/>
                <w:b/>
                <w:bCs/>
                <w:color w:val="FFFFFF"/>
                <w:sz w:val="16"/>
                <w:szCs w:val="16"/>
              </w:rPr>
            </w:pPr>
            <w:r w:rsidRPr="00520900">
              <w:rPr>
                <w:rFonts w:ascii="CAIXA Std Book" w:eastAsia="Times New Roman" w:hAnsi="CAIXA Std Book" w:cs="Times New Roman"/>
                <w:b/>
                <w:bCs/>
                <w:color w:val="FFFFFF"/>
                <w:sz w:val="16"/>
                <w:szCs w:val="16"/>
              </w:rPr>
              <w:t>1º trimestre</w:t>
            </w:r>
          </w:p>
        </w:tc>
        <w:tc>
          <w:tcPr>
            <w:tcW w:w="2" w:type="pct"/>
            <w:tcBorders>
              <w:top w:val="nil"/>
              <w:left w:val="nil"/>
              <w:bottom w:val="nil"/>
              <w:right w:val="nil"/>
            </w:tcBorders>
            <w:noWrap/>
            <w:vAlign w:val="bottom"/>
            <w:hideMark/>
          </w:tcPr>
          <w:p w14:paraId="02DEE857" w14:textId="77777777" w:rsidR="005D07D5" w:rsidRPr="004D28EF" w:rsidRDefault="005D07D5" w:rsidP="005D07D5">
            <w:pPr>
              <w:jc w:val="center"/>
              <w:rPr>
                <w:rFonts w:ascii="CAIXA Std Book" w:hAnsi="CAIXA Std Book"/>
                <w:b/>
                <w:bCs/>
                <w:color w:val="FFFFFF"/>
                <w:sz w:val="16"/>
                <w:szCs w:val="16"/>
              </w:rPr>
            </w:pPr>
          </w:p>
        </w:tc>
      </w:tr>
      <w:tr w:rsidR="004C3E26" w:rsidRPr="004D28EF" w14:paraId="1E151AA8" w14:textId="77777777" w:rsidTr="00833620">
        <w:trPr>
          <w:trHeight w:val="283"/>
        </w:trPr>
        <w:tc>
          <w:tcPr>
            <w:tcW w:w="644" w:type="pct"/>
            <w:tcBorders>
              <w:top w:val="nil"/>
              <w:left w:val="nil"/>
              <w:bottom w:val="nil"/>
              <w:right w:val="nil"/>
            </w:tcBorders>
            <w:vAlign w:val="center"/>
          </w:tcPr>
          <w:p w14:paraId="2DCF9ECF" w14:textId="2B198421" w:rsidR="004C3E26" w:rsidRPr="004D28EF" w:rsidRDefault="004C3E26" w:rsidP="004C3E26">
            <w:pPr>
              <w:rPr>
                <w:rFonts w:ascii="CAIXA Std Book" w:hAnsi="CAIXA Std Book"/>
                <w:color w:val="005CA9"/>
                <w:sz w:val="16"/>
                <w:szCs w:val="16"/>
              </w:rPr>
            </w:pPr>
            <w:r w:rsidRPr="002949F2">
              <w:rPr>
                <w:rFonts w:ascii="CAIXA Std Book" w:eastAsia="Times New Roman" w:hAnsi="CAIXA Std Book" w:cs="Times New Roman"/>
                <w:color w:val="005CA9"/>
                <w:sz w:val="16"/>
                <w:szCs w:val="16"/>
              </w:rPr>
              <w:t xml:space="preserve">Caixa Seguridade </w:t>
            </w:r>
          </w:p>
        </w:tc>
        <w:tc>
          <w:tcPr>
            <w:tcW w:w="245" w:type="pct"/>
            <w:tcBorders>
              <w:top w:val="nil"/>
              <w:left w:val="nil"/>
              <w:bottom w:val="nil"/>
              <w:right w:val="nil"/>
            </w:tcBorders>
            <w:noWrap/>
            <w:vAlign w:val="center"/>
          </w:tcPr>
          <w:p w14:paraId="110C2965" w14:textId="0CEEB664"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80,00%</w:t>
            </w:r>
          </w:p>
        </w:tc>
        <w:tc>
          <w:tcPr>
            <w:tcW w:w="327" w:type="pct"/>
            <w:tcBorders>
              <w:top w:val="nil"/>
              <w:left w:val="nil"/>
              <w:bottom w:val="nil"/>
              <w:right w:val="nil"/>
            </w:tcBorders>
            <w:vAlign w:val="center"/>
          </w:tcPr>
          <w:p w14:paraId="1A9CB207" w14:textId="3CD7C9FC"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80,00%</w:t>
            </w:r>
          </w:p>
        </w:tc>
        <w:tc>
          <w:tcPr>
            <w:tcW w:w="238" w:type="pct"/>
            <w:tcBorders>
              <w:top w:val="nil"/>
              <w:left w:val="nil"/>
              <w:bottom w:val="nil"/>
              <w:right w:val="nil"/>
            </w:tcBorders>
            <w:noWrap/>
            <w:vAlign w:val="center"/>
          </w:tcPr>
          <w:p w14:paraId="08668213" w14:textId="3D6C901B"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80,00%</w:t>
            </w:r>
          </w:p>
        </w:tc>
        <w:tc>
          <w:tcPr>
            <w:tcW w:w="323" w:type="pct"/>
            <w:tcBorders>
              <w:top w:val="nil"/>
              <w:left w:val="nil"/>
              <w:bottom w:val="nil"/>
              <w:right w:val="nil"/>
            </w:tcBorders>
            <w:vAlign w:val="center"/>
          </w:tcPr>
          <w:p w14:paraId="5F98C9F9" w14:textId="08E12132"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80,00%</w:t>
            </w:r>
          </w:p>
        </w:tc>
        <w:tc>
          <w:tcPr>
            <w:tcW w:w="373" w:type="pct"/>
            <w:tcBorders>
              <w:top w:val="nil"/>
              <w:left w:val="nil"/>
              <w:bottom w:val="nil"/>
              <w:right w:val="nil"/>
            </w:tcBorders>
            <w:noWrap/>
            <w:vAlign w:val="center"/>
          </w:tcPr>
          <w:p w14:paraId="038942B5" w14:textId="531820DD" w:rsidR="004C3E26" w:rsidRPr="004D28EF" w:rsidRDefault="002A467E" w:rsidP="008037A4">
            <w:pPr>
              <w:jc w:val="right"/>
              <w:rPr>
                <w:rFonts w:ascii="CAIXA Std Book" w:hAnsi="CAIXA Std Book"/>
                <w:color w:val="005CA9"/>
                <w:sz w:val="16"/>
                <w:szCs w:val="16"/>
              </w:rPr>
            </w:pPr>
            <w:r>
              <w:rPr>
                <w:rFonts w:ascii="CAIXA Std Book" w:hAnsi="CAIXA Std Book" w:cs="Arial"/>
                <w:color w:val="005CA9"/>
                <w:sz w:val="16"/>
                <w:szCs w:val="16"/>
              </w:rPr>
              <w:t>13.772.009</w:t>
            </w:r>
          </w:p>
        </w:tc>
        <w:tc>
          <w:tcPr>
            <w:tcW w:w="383" w:type="pct"/>
            <w:tcBorders>
              <w:top w:val="nil"/>
              <w:left w:val="nil"/>
              <w:bottom w:val="nil"/>
              <w:right w:val="nil"/>
            </w:tcBorders>
            <w:vAlign w:val="center"/>
          </w:tcPr>
          <w:p w14:paraId="43D0C6C9" w14:textId="3FC33648"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13.550.484</w:t>
            </w:r>
          </w:p>
        </w:tc>
        <w:tc>
          <w:tcPr>
            <w:tcW w:w="416" w:type="pct"/>
            <w:tcBorders>
              <w:top w:val="nil"/>
              <w:left w:val="nil"/>
              <w:bottom w:val="nil"/>
              <w:right w:val="nil"/>
            </w:tcBorders>
            <w:noWrap/>
            <w:vAlign w:val="center"/>
          </w:tcPr>
          <w:p w14:paraId="3B66ED3A" w14:textId="3F064E0F" w:rsidR="004C3E26" w:rsidRPr="004D28EF" w:rsidRDefault="004C3E26" w:rsidP="008037A4">
            <w:pPr>
              <w:jc w:val="right"/>
              <w:rPr>
                <w:rFonts w:ascii="CAIXA Std Book" w:hAnsi="CAIXA Std Book"/>
                <w:color w:val="2F75B5"/>
                <w:sz w:val="16"/>
                <w:szCs w:val="16"/>
              </w:rPr>
            </w:pPr>
            <w:r w:rsidRPr="002949F2">
              <w:rPr>
                <w:rFonts w:ascii="CAIXA Std Book" w:eastAsia="Times New Roman" w:hAnsi="CAIXA Std Book" w:cs="Times New Roman"/>
                <w:color w:val="005CA9"/>
                <w:sz w:val="16"/>
                <w:szCs w:val="16"/>
              </w:rPr>
              <w:t>10.840.388</w:t>
            </w:r>
          </w:p>
        </w:tc>
        <w:tc>
          <w:tcPr>
            <w:tcW w:w="483" w:type="pct"/>
            <w:tcBorders>
              <w:top w:val="nil"/>
              <w:left w:val="nil"/>
              <w:bottom w:val="nil"/>
              <w:right w:val="nil"/>
            </w:tcBorders>
            <w:noWrap/>
            <w:vAlign w:val="center"/>
          </w:tcPr>
          <w:p w14:paraId="76A7AC99" w14:textId="4E68A2B5" w:rsidR="004C3E26" w:rsidRPr="004D28EF" w:rsidRDefault="008F433C" w:rsidP="008037A4">
            <w:pPr>
              <w:jc w:val="right"/>
              <w:rPr>
                <w:rFonts w:ascii="CAIXA Std Book" w:hAnsi="CAIXA Std Book"/>
                <w:color w:val="2F75B5"/>
                <w:sz w:val="16"/>
                <w:szCs w:val="16"/>
              </w:rPr>
            </w:pPr>
            <w:r>
              <w:rPr>
                <w:rFonts w:ascii="CAIXA Std Book" w:hAnsi="CAIXA Std Book" w:cs="Arial"/>
                <w:color w:val="005CA9"/>
                <w:sz w:val="16"/>
                <w:szCs w:val="16"/>
              </w:rPr>
              <w:t>920.222</w:t>
            </w:r>
          </w:p>
        </w:tc>
        <w:tc>
          <w:tcPr>
            <w:tcW w:w="480" w:type="pct"/>
            <w:tcBorders>
              <w:top w:val="nil"/>
              <w:left w:val="nil"/>
              <w:bottom w:val="nil"/>
              <w:right w:val="nil"/>
            </w:tcBorders>
            <w:noWrap/>
            <w:vAlign w:val="center"/>
          </w:tcPr>
          <w:p w14:paraId="19956451" w14:textId="5D41D7BB" w:rsidR="004C3E26" w:rsidRPr="004D28EF" w:rsidRDefault="008F433C" w:rsidP="008037A4">
            <w:pPr>
              <w:jc w:val="right"/>
              <w:rPr>
                <w:rFonts w:ascii="CAIXA Std Book" w:hAnsi="CAIXA Std Book"/>
                <w:sz w:val="16"/>
                <w:szCs w:val="16"/>
              </w:rPr>
            </w:pPr>
            <w:r>
              <w:rPr>
                <w:rFonts w:ascii="CAIXA Std Book" w:hAnsi="CAIXA Std Book" w:cs="Arial"/>
                <w:color w:val="005CA9"/>
                <w:sz w:val="16"/>
                <w:szCs w:val="16"/>
              </w:rPr>
              <w:t>(792.000)</w:t>
            </w:r>
          </w:p>
        </w:tc>
        <w:tc>
          <w:tcPr>
            <w:tcW w:w="336" w:type="pct"/>
            <w:tcBorders>
              <w:top w:val="nil"/>
              <w:left w:val="nil"/>
              <w:bottom w:val="nil"/>
              <w:right w:val="nil"/>
            </w:tcBorders>
            <w:noWrap/>
            <w:vAlign w:val="center"/>
          </w:tcPr>
          <w:p w14:paraId="13363F49" w14:textId="13E1F118" w:rsidR="004C3E26" w:rsidRPr="004D28EF" w:rsidRDefault="008F433C" w:rsidP="008037A4">
            <w:pPr>
              <w:jc w:val="right"/>
              <w:rPr>
                <w:rFonts w:ascii="CAIXA Std Book" w:hAnsi="CAIXA Std Book"/>
                <w:sz w:val="16"/>
                <w:szCs w:val="16"/>
              </w:rPr>
            </w:pPr>
            <w:r>
              <w:rPr>
                <w:rFonts w:ascii="CAIXA Std Book" w:hAnsi="CAIXA Std Book" w:cs="Arial"/>
                <w:color w:val="005CA9"/>
                <w:sz w:val="16"/>
                <w:szCs w:val="16"/>
              </w:rPr>
              <w:t>48.998</w:t>
            </w:r>
          </w:p>
        </w:tc>
        <w:tc>
          <w:tcPr>
            <w:tcW w:w="376" w:type="pct"/>
            <w:tcBorders>
              <w:top w:val="nil"/>
              <w:left w:val="nil"/>
              <w:bottom w:val="nil"/>
              <w:right w:val="nil"/>
            </w:tcBorders>
            <w:noWrap/>
            <w:vAlign w:val="center"/>
          </w:tcPr>
          <w:p w14:paraId="23268E6A" w14:textId="5DEAE3C2" w:rsidR="004C3E26" w:rsidRPr="004D28EF" w:rsidRDefault="008F433C" w:rsidP="008037A4">
            <w:pPr>
              <w:jc w:val="right"/>
              <w:rPr>
                <w:rFonts w:ascii="CAIXA Std Book" w:hAnsi="CAIXA Std Book"/>
                <w:sz w:val="16"/>
                <w:szCs w:val="16"/>
              </w:rPr>
            </w:pPr>
            <w:r>
              <w:rPr>
                <w:rFonts w:ascii="CAIXA Std Book" w:hAnsi="CAIXA Std Book" w:cs="Arial"/>
                <w:color w:val="005CA9"/>
                <w:sz w:val="16"/>
                <w:szCs w:val="16"/>
              </w:rPr>
              <w:t>11.017.608</w:t>
            </w:r>
          </w:p>
        </w:tc>
        <w:tc>
          <w:tcPr>
            <w:tcW w:w="374" w:type="pct"/>
            <w:tcBorders>
              <w:top w:val="nil"/>
              <w:left w:val="nil"/>
              <w:bottom w:val="nil"/>
              <w:right w:val="nil"/>
            </w:tcBorders>
            <w:vAlign w:val="center"/>
          </w:tcPr>
          <w:p w14:paraId="19324982" w14:textId="6FED707C" w:rsidR="004C3E26" w:rsidRPr="004D28EF" w:rsidRDefault="004C3E26" w:rsidP="00F853C1">
            <w:pPr>
              <w:ind w:right="104"/>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859.099</w:t>
            </w:r>
          </w:p>
        </w:tc>
        <w:tc>
          <w:tcPr>
            <w:tcW w:w="2" w:type="pct"/>
            <w:vAlign w:val="center"/>
            <w:hideMark/>
          </w:tcPr>
          <w:p w14:paraId="393AC144" w14:textId="77777777" w:rsidR="004C3E26" w:rsidRPr="004D28EF" w:rsidRDefault="004C3E26" w:rsidP="004C3E26">
            <w:pPr>
              <w:rPr>
                <w:rFonts w:ascii="CAIXA Std Book" w:hAnsi="CAIXA Std Book"/>
                <w:sz w:val="16"/>
                <w:szCs w:val="16"/>
              </w:rPr>
            </w:pPr>
          </w:p>
        </w:tc>
      </w:tr>
      <w:tr w:rsidR="004C3E26" w:rsidRPr="004D28EF" w14:paraId="572A317F" w14:textId="77777777" w:rsidTr="00833620">
        <w:trPr>
          <w:trHeight w:val="283"/>
        </w:trPr>
        <w:tc>
          <w:tcPr>
            <w:tcW w:w="644" w:type="pct"/>
            <w:tcBorders>
              <w:top w:val="nil"/>
              <w:left w:val="nil"/>
              <w:bottom w:val="nil"/>
              <w:right w:val="nil"/>
            </w:tcBorders>
            <w:vAlign w:val="center"/>
          </w:tcPr>
          <w:p w14:paraId="2AAC676A" w14:textId="0301397D" w:rsidR="004C3E26" w:rsidRPr="004D28EF" w:rsidRDefault="004C3E26" w:rsidP="004C3E26">
            <w:pPr>
              <w:rPr>
                <w:rFonts w:ascii="CAIXA Std Book" w:hAnsi="CAIXA Std Book"/>
                <w:color w:val="005CA9"/>
                <w:sz w:val="16"/>
                <w:szCs w:val="16"/>
              </w:rPr>
            </w:pPr>
            <w:r w:rsidRPr="002949F2">
              <w:rPr>
                <w:rFonts w:ascii="CAIXA Std Book" w:eastAsia="Times New Roman" w:hAnsi="CAIXA Std Book" w:cs="Times New Roman"/>
                <w:color w:val="005CA9"/>
                <w:sz w:val="16"/>
                <w:szCs w:val="16"/>
              </w:rPr>
              <w:t>Caixa Cartões Holding</w:t>
            </w:r>
          </w:p>
        </w:tc>
        <w:tc>
          <w:tcPr>
            <w:tcW w:w="245" w:type="pct"/>
            <w:tcBorders>
              <w:top w:val="nil"/>
              <w:left w:val="nil"/>
              <w:bottom w:val="nil"/>
              <w:right w:val="nil"/>
            </w:tcBorders>
            <w:noWrap/>
            <w:vAlign w:val="center"/>
          </w:tcPr>
          <w:p w14:paraId="330812D1" w14:textId="61072E60"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100,00%</w:t>
            </w:r>
          </w:p>
        </w:tc>
        <w:tc>
          <w:tcPr>
            <w:tcW w:w="327" w:type="pct"/>
            <w:tcBorders>
              <w:top w:val="nil"/>
              <w:left w:val="nil"/>
              <w:bottom w:val="nil"/>
              <w:right w:val="nil"/>
            </w:tcBorders>
            <w:vAlign w:val="center"/>
          </w:tcPr>
          <w:p w14:paraId="57C6B670" w14:textId="6B8AFB08"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100,00%</w:t>
            </w:r>
          </w:p>
        </w:tc>
        <w:tc>
          <w:tcPr>
            <w:tcW w:w="238" w:type="pct"/>
            <w:tcBorders>
              <w:top w:val="nil"/>
              <w:left w:val="nil"/>
              <w:bottom w:val="nil"/>
              <w:right w:val="nil"/>
            </w:tcBorders>
            <w:noWrap/>
            <w:vAlign w:val="center"/>
          </w:tcPr>
          <w:p w14:paraId="7D51D0B5" w14:textId="4DCD50CD"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100,00%</w:t>
            </w:r>
          </w:p>
        </w:tc>
        <w:tc>
          <w:tcPr>
            <w:tcW w:w="323" w:type="pct"/>
            <w:tcBorders>
              <w:top w:val="nil"/>
              <w:left w:val="nil"/>
              <w:bottom w:val="nil"/>
              <w:right w:val="nil"/>
            </w:tcBorders>
            <w:vAlign w:val="center"/>
          </w:tcPr>
          <w:p w14:paraId="46C0B0C8" w14:textId="58A19BB8"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100,00%</w:t>
            </w:r>
          </w:p>
        </w:tc>
        <w:tc>
          <w:tcPr>
            <w:tcW w:w="373" w:type="pct"/>
            <w:tcBorders>
              <w:top w:val="nil"/>
              <w:left w:val="nil"/>
              <w:bottom w:val="nil"/>
              <w:right w:val="nil"/>
            </w:tcBorders>
            <w:noWrap/>
            <w:vAlign w:val="center"/>
          </w:tcPr>
          <w:p w14:paraId="694ABA67" w14:textId="5FB19ABF" w:rsidR="004C3E26" w:rsidRPr="004D28EF" w:rsidRDefault="002A467E" w:rsidP="008037A4">
            <w:pPr>
              <w:jc w:val="right"/>
              <w:rPr>
                <w:rFonts w:ascii="CAIXA Std Book" w:hAnsi="CAIXA Std Book"/>
                <w:color w:val="005CA9"/>
                <w:sz w:val="16"/>
                <w:szCs w:val="16"/>
              </w:rPr>
            </w:pPr>
            <w:r>
              <w:rPr>
                <w:rFonts w:ascii="CAIXA Std Book" w:hAnsi="CAIXA Std Book" w:cs="Arial"/>
                <w:color w:val="005CA9"/>
                <w:sz w:val="16"/>
                <w:szCs w:val="16"/>
              </w:rPr>
              <w:t>1.482.653</w:t>
            </w:r>
          </w:p>
        </w:tc>
        <w:tc>
          <w:tcPr>
            <w:tcW w:w="383" w:type="pct"/>
            <w:tcBorders>
              <w:top w:val="nil"/>
              <w:left w:val="nil"/>
              <w:bottom w:val="nil"/>
              <w:right w:val="nil"/>
            </w:tcBorders>
            <w:vAlign w:val="center"/>
          </w:tcPr>
          <w:p w14:paraId="72DDE1C6" w14:textId="4ADFB41D"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1.222.941</w:t>
            </w:r>
          </w:p>
        </w:tc>
        <w:tc>
          <w:tcPr>
            <w:tcW w:w="416" w:type="pct"/>
            <w:tcBorders>
              <w:top w:val="nil"/>
              <w:left w:val="nil"/>
              <w:bottom w:val="nil"/>
              <w:right w:val="nil"/>
            </w:tcBorders>
            <w:noWrap/>
            <w:vAlign w:val="center"/>
          </w:tcPr>
          <w:p w14:paraId="452B5966" w14:textId="030DA750" w:rsidR="004C3E26" w:rsidRPr="004D28EF" w:rsidRDefault="004C3E26" w:rsidP="008037A4">
            <w:pPr>
              <w:jc w:val="right"/>
              <w:rPr>
                <w:rFonts w:ascii="CAIXA Std Book" w:hAnsi="CAIXA Std Book"/>
                <w:color w:val="2F75B5"/>
                <w:sz w:val="16"/>
                <w:szCs w:val="16"/>
              </w:rPr>
            </w:pPr>
            <w:r w:rsidRPr="002949F2">
              <w:rPr>
                <w:rFonts w:ascii="CAIXA Std Book" w:eastAsia="Times New Roman" w:hAnsi="CAIXA Std Book" w:cs="Times New Roman"/>
                <w:color w:val="005CA9"/>
                <w:sz w:val="16"/>
                <w:szCs w:val="16"/>
              </w:rPr>
              <w:t>1.222.941</w:t>
            </w:r>
          </w:p>
        </w:tc>
        <w:tc>
          <w:tcPr>
            <w:tcW w:w="483" w:type="pct"/>
            <w:tcBorders>
              <w:top w:val="nil"/>
              <w:left w:val="nil"/>
              <w:bottom w:val="nil"/>
              <w:right w:val="nil"/>
            </w:tcBorders>
            <w:noWrap/>
            <w:vAlign w:val="center"/>
          </w:tcPr>
          <w:p w14:paraId="2B116A42" w14:textId="1730729B" w:rsidR="004C3E26" w:rsidRPr="004D28EF" w:rsidRDefault="008F433C" w:rsidP="008037A4">
            <w:pPr>
              <w:jc w:val="right"/>
              <w:rPr>
                <w:rFonts w:ascii="CAIXA Std Book" w:hAnsi="CAIXA Std Book"/>
                <w:color w:val="2F75B5"/>
                <w:sz w:val="16"/>
                <w:szCs w:val="16"/>
              </w:rPr>
            </w:pPr>
            <w:r>
              <w:rPr>
                <w:rFonts w:ascii="CAIXA Std Book" w:hAnsi="CAIXA Std Book" w:cs="Arial"/>
                <w:color w:val="005CA9"/>
                <w:sz w:val="16"/>
                <w:szCs w:val="16"/>
              </w:rPr>
              <w:t>259.712</w:t>
            </w:r>
          </w:p>
        </w:tc>
        <w:tc>
          <w:tcPr>
            <w:tcW w:w="480" w:type="pct"/>
            <w:tcBorders>
              <w:top w:val="nil"/>
              <w:left w:val="nil"/>
              <w:bottom w:val="nil"/>
              <w:right w:val="nil"/>
            </w:tcBorders>
            <w:noWrap/>
            <w:vAlign w:val="center"/>
          </w:tcPr>
          <w:p w14:paraId="56263566" w14:textId="38A951B7" w:rsidR="004C3E26" w:rsidRPr="00712D47" w:rsidRDefault="008F433C" w:rsidP="008F433C">
            <w:pPr>
              <w:jc w:val="center"/>
              <w:rPr>
                <w:rFonts w:ascii="CAIXA Std Book" w:hAnsi="CAIXA Std Book" w:cs="Arial"/>
                <w:color w:val="005CA9"/>
                <w:sz w:val="16"/>
                <w:szCs w:val="16"/>
              </w:rPr>
            </w:pPr>
            <w:r>
              <w:rPr>
                <w:rFonts w:ascii="CAIXA Std Book" w:hAnsi="CAIXA Std Book" w:cs="Arial"/>
                <w:color w:val="005CA9"/>
                <w:sz w:val="16"/>
                <w:szCs w:val="16"/>
              </w:rPr>
              <w:t>-</w:t>
            </w:r>
          </w:p>
        </w:tc>
        <w:tc>
          <w:tcPr>
            <w:tcW w:w="336" w:type="pct"/>
            <w:tcBorders>
              <w:top w:val="nil"/>
              <w:left w:val="nil"/>
              <w:bottom w:val="nil"/>
              <w:right w:val="nil"/>
            </w:tcBorders>
            <w:noWrap/>
            <w:vAlign w:val="center"/>
          </w:tcPr>
          <w:p w14:paraId="12DB7894" w14:textId="52B0B62A" w:rsidR="004C3E26" w:rsidRPr="00712D47" w:rsidRDefault="008F433C" w:rsidP="008F433C">
            <w:pPr>
              <w:jc w:val="center"/>
              <w:rPr>
                <w:rFonts w:ascii="CAIXA Std Book" w:hAnsi="CAIXA Std Book" w:cs="Arial"/>
                <w:color w:val="005CA9"/>
                <w:sz w:val="16"/>
                <w:szCs w:val="16"/>
              </w:rPr>
            </w:pPr>
            <w:r>
              <w:rPr>
                <w:rFonts w:ascii="CAIXA Std Book" w:hAnsi="CAIXA Std Book" w:cs="Arial"/>
                <w:color w:val="005CA9"/>
                <w:sz w:val="16"/>
                <w:szCs w:val="16"/>
              </w:rPr>
              <w:t>-</w:t>
            </w:r>
          </w:p>
        </w:tc>
        <w:tc>
          <w:tcPr>
            <w:tcW w:w="376" w:type="pct"/>
            <w:tcBorders>
              <w:top w:val="nil"/>
              <w:left w:val="nil"/>
              <w:bottom w:val="nil"/>
              <w:right w:val="nil"/>
            </w:tcBorders>
            <w:noWrap/>
            <w:vAlign w:val="center"/>
          </w:tcPr>
          <w:p w14:paraId="08AD762C" w14:textId="60495D8B" w:rsidR="004C3E26" w:rsidRPr="004D28EF" w:rsidRDefault="008F433C" w:rsidP="008037A4">
            <w:pPr>
              <w:jc w:val="right"/>
              <w:rPr>
                <w:rFonts w:ascii="CAIXA Std Book" w:hAnsi="CAIXA Std Book"/>
                <w:sz w:val="16"/>
                <w:szCs w:val="16"/>
              </w:rPr>
            </w:pPr>
            <w:r>
              <w:rPr>
                <w:rFonts w:ascii="CAIXA Std Book" w:hAnsi="CAIXA Std Book" w:cs="Arial"/>
                <w:color w:val="005CA9"/>
                <w:sz w:val="16"/>
                <w:szCs w:val="16"/>
              </w:rPr>
              <w:t>1.482.653</w:t>
            </w:r>
          </w:p>
        </w:tc>
        <w:tc>
          <w:tcPr>
            <w:tcW w:w="374" w:type="pct"/>
            <w:tcBorders>
              <w:top w:val="nil"/>
              <w:left w:val="nil"/>
              <w:bottom w:val="nil"/>
              <w:right w:val="nil"/>
            </w:tcBorders>
            <w:vAlign w:val="center"/>
          </w:tcPr>
          <w:p w14:paraId="019B3680" w14:textId="3DD85552" w:rsidR="004C3E26" w:rsidRPr="004D28EF" w:rsidRDefault="004C3E26" w:rsidP="00F853C1">
            <w:pPr>
              <w:ind w:right="104"/>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62.552</w:t>
            </w:r>
          </w:p>
        </w:tc>
        <w:tc>
          <w:tcPr>
            <w:tcW w:w="2" w:type="pct"/>
            <w:vAlign w:val="center"/>
            <w:hideMark/>
          </w:tcPr>
          <w:p w14:paraId="3A868F09" w14:textId="77777777" w:rsidR="004C3E26" w:rsidRPr="004D28EF" w:rsidRDefault="004C3E26" w:rsidP="004C3E26">
            <w:pPr>
              <w:rPr>
                <w:rFonts w:ascii="CAIXA Std Book" w:hAnsi="CAIXA Std Book"/>
                <w:sz w:val="16"/>
                <w:szCs w:val="16"/>
              </w:rPr>
            </w:pPr>
          </w:p>
        </w:tc>
      </w:tr>
      <w:tr w:rsidR="004C3E26" w:rsidRPr="004D28EF" w14:paraId="0927CC64" w14:textId="77777777" w:rsidTr="00833620">
        <w:trPr>
          <w:trHeight w:val="283"/>
        </w:trPr>
        <w:tc>
          <w:tcPr>
            <w:tcW w:w="644" w:type="pct"/>
            <w:tcBorders>
              <w:top w:val="nil"/>
              <w:left w:val="nil"/>
              <w:bottom w:val="nil"/>
              <w:right w:val="nil"/>
            </w:tcBorders>
            <w:vAlign w:val="center"/>
          </w:tcPr>
          <w:p w14:paraId="08B9C9A7" w14:textId="2F4DF98B" w:rsidR="004C3E26" w:rsidRPr="004D28EF" w:rsidRDefault="004C3E26" w:rsidP="004C3E26">
            <w:pPr>
              <w:rPr>
                <w:rFonts w:ascii="CAIXA Std Book" w:hAnsi="CAIXA Std Book"/>
                <w:color w:val="005CA9"/>
                <w:sz w:val="16"/>
                <w:szCs w:val="16"/>
              </w:rPr>
            </w:pPr>
            <w:r w:rsidRPr="002949F2">
              <w:rPr>
                <w:rFonts w:ascii="CAIXA Std Book" w:eastAsia="Times New Roman" w:hAnsi="CAIXA Std Book" w:cs="Times New Roman"/>
                <w:color w:val="005CA9"/>
                <w:sz w:val="16"/>
                <w:szCs w:val="16"/>
              </w:rPr>
              <w:t>Caixa Loterias</w:t>
            </w:r>
          </w:p>
        </w:tc>
        <w:tc>
          <w:tcPr>
            <w:tcW w:w="245" w:type="pct"/>
            <w:tcBorders>
              <w:top w:val="nil"/>
              <w:left w:val="nil"/>
              <w:bottom w:val="nil"/>
              <w:right w:val="nil"/>
            </w:tcBorders>
            <w:noWrap/>
            <w:vAlign w:val="center"/>
          </w:tcPr>
          <w:p w14:paraId="5A79D073" w14:textId="5D6B104D"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100,00%</w:t>
            </w:r>
          </w:p>
        </w:tc>
        <w:tc>
          <w:tcPr>
            <w:tcW w:w="327" w:type="pct"/>
            <w:tcBorders>
              <w:top w:val="nil"/>
              <w:left w:val="nil"/>
              <w:bottom w:val="nil"/>
              <w:right w:val="nil"/>
            </w:tcBorders>
            <w:vAlign w:val="center"/>
          </w:tcPr>
          <w:p w14:paraId="0E3EC23E" w14:textId="6F5D4CC3"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100,00%</w:t>
            </w:r>
          </w:p>
        </w:tc>
        <w:tc>
          <w:tcPr>
            <w:tcW w:w="238" w:type="pct"/>
            <w:tcBorders>
              <w:top w:val="nil"/>
              <w:left w:val="nil"/>
              <w:bottom w:val="nil"/>
              <w:right w:val="nil"/>
            </w:tcBorders>
            <w:noWrap/>
            <w:vAlign w:val="center"/>
          </w:tcPr>
          <w:p w14:paraId="18AE7EAC" w14:textId="6956B92B"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100,00%</w:t>
            </w:r>
          </w:p>
        </w:tc>
        <w:tc>
          <w:tcPr>
            <w:tcW w:w="323" w:type="pct"/>
            <w:tcBorders>
              <w:top w:val="nil"/>
              <w:left w:val="nil"/>
              <w:bottom w:val="nil"/>
              <w:right w:val="nil"/>
            </w:tcBorders>
            <w:vAlign w:val="center"/>
          </w:tcPr>
          <w:p w14:paraId="793E3E29" w14:textId="3F0A88DA"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100,00%</w:t>
            </w:r>
          </w:p>
        </w:tc>
        <w:tc>
          <w:tcPr>
            <w:tcW w:w="373" w:type="pct"/>
            <w:tcBorders>
              <w:top w:val="nil"/>
              <w:left w:val="nil"/>
              <w:bottom w:val="nil"/>
              <w:right w:val="nil"/>
            </w:tcBorders>
            <w:noWrap/>
            <w:vAlign w:val="center"/>
          </w:tcPr>
          <w:p w14:paraId="63E39524" w14:textId="3B8A70C5" w:rsidR="004C3E26" w:rsidRPr="004D28EF" w:rsidRDefault="002A467E" w:rsidP="008037A4">
            <w:pPr>
              <w:jc w:val="right"/>
              <w:rPr>
                <w:rFonts w:ascii="CAIXA Std Book" w:hAnsi="CAIXA Std Book"/>
                <w:color w:val="005CA9"/>
                <w:sz w:val="16"/>
                <w:szCs w:val="16"/>
              </w:rPr>
            </w:pPr>
            <w:r>
              <w:rPr>
                <w:rFonts w:ascii="CAIXA Std Book" w:hAnsi="CAIXA Std Book" w:cs="Arial"/>
                <w:color w:val="005CA9"/>
                <w:sz w:val="16"/>
                <w:szCs w:val="16"/>
              </w:rPr>
              <w:t>875.374</w:t>
            </w:r>
          </w:p>
        </w:tc>
        <w:tc>
          <w:tcPr>
            <w:tcW w:w="383" w:type="pct"/>
            <w:tcBorders>
              <w:top w:val="nil"/>
              <w:left w:val="nil"/>
              <w:bottom w:val="nil"/>
              <w:right w:val="nil"/>
            </w:tcBorders>
            <w:vAlign w:val="center"/>
          </w:tcPr>
          <w:p w14:paraId="2CDD75CC" w14:textId="1230F20F"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539.052</w:t>
            </w:r>
          </w:p>
        </w:tc>
        <w:tc>
          <w:tcPr>
            <w:tcW w:w="416" w:type="pct"/>
            <w:tcBorders>
              <w:top w:val="nil"/>
              <w:left w:val="nil"/>
              <w:bottom w:val="nil"/>
              <w:right w:val="nil"/>
            </w:tcBorders>
            <w:noWrap/>
            <w:vAlign w:val="center"/>
          </w:tcPr>
          <w:p w14:paraId="46FCE648" w14:textId="7AC2DB46" w:rsidR="004C3E26" w:rsidRPr="004D28EF" w:rsidRDefault="004C3E26" w:rsidP="008037A4">
            <w:pPr>
              <w:jc w:val="right"/>
              <w:rPr>
                <w:rFonts w:ascii="CAIXA Std Book" w:hAnsi="CAIXA Std Book"/>
                <w:color w:val="2F75B5"/>
                <w:sz w:val="16"/>
                <w:szCs w:val="16"/>
              </w:rPr>
            </w:pPr>
            <w:r w:rsidRPr="002949F2">
              <w:rPr>
                <w:rFonts w:ascii="CAIXA Std Book" w:eastAsia="Times New Roman" w:hAnsi="CAIXA Std Book" w:cs="Times New Roman"/>
                <w:color w:val="005CA9"/>
                <w:sz w:val="16"/>
                <w:szCs w:val="16"/>
              </w:rPr>
              <w:t>539.052</w:t>
            </w:r>
          </w:p>
        </w:tc>
        <w:tc>
          <w:tcPr>
            <w:tcW w:w="483" w:type="pct"/>
            <w:tcBorders>
              <w:top w:val="nil"/>
              <w:left w:val="nil"/>
              <w:bottom w:val="nil"/>
              <w:right w:val="nil"/>
            </w:tcBorders>
            <w:noWrap/>
            <w:vAlign w:val="center"/>
          </w:tcPr>
          <w:p w14:paraId="6F1B2375" w14:textId="79969A19" w:rsidR="004C3E26" w:rsidRPr="004D28EF" w:rsidRDefault="008F433C" w:rsidP="008037A4">
            <w:pPr>
              <w:jc w:val="right"/>
              <w:rPr>
                <w:rFonts w:ascii="CAIXA Std Book" w:hAnsi="CAIXA Std Book"/>
                <w:color w:val="2F75B5"/>
                <w:sz w:val="16"/>
                <w:szCs w:val="16"/>
              </w:rPr>
            </w:pPr>
            <w:r>
              <w:rPr>
                <w:rFonts w:ascii="CAIXA Std Book" w:hAnsi="CAIXA Std Book" w:cs="Arial"/>
                <w:color w:val="005CA9"/>
                <w:sz w:val="16"/>
                <w:szCs w:val="16"/>
              </w:rPr>
              <w:t>336.322</w:t>
            </w:r>
          </w:p>
        </w:tc>
        <w:tc>
          <w:tcPr>
            <w:tcW w:w="480" w:type="pct"/>
            <w:tcBorders>
              <w:top w:val="nil"/>
              <w:left w:val="nil"/>
              <w:bottom w:val="nil"/>
              <w:right w:val="nil"/>
            </w:tcBorders>
            <w:noWrap/>
            <w:vAlign w:val="center"/>
          </w:tcPr>
          <w:p w14:paraId="7F2C2E65" w14:textId="21A2B3E9" w:rsidR="004C3E26" w:rsidRPr="00712D47" w:rsidRDefault="008F433C" w:rsidP="008F433C">
            <w:pPr>
              <w:jc w:val="center"/>
              <w:rPr>
                <w:rFonts w:ascii="CAIXA Std Book" w:hAnsi="CAIXA Std Book" w:cs="Arial"/>
                <w:color w:val="005CA9"/>
                <w:sz w:val="16"/>
                <w:szCs w:val="16"/>
              </w:rPr>
            </w:pPr>
            <w:r>
              <w:rPr>
                <w:rFonts w:ascii="CAIXA Std Book" w:hAnsi="CAIXA Std Book" w:cs="Arial"/>
                <w:color w:val="005CA9"/>
                <w:sz w:val="16"/>
                <w:szCs w:val="16"/>
              </w:rPr>
              <w:t>-</w:t>
            </w:r>
          </w:p>
        </w:tc>
        <w:tc>
          <w:tcPr>
            <w:tcW w:w="336" w:type="pct"/>
            <w:tcBorders>
              <w:top w:val="nil"/>
              <w:left w:val="nil"/>
              <w:bottom w:val="nil"/>
              <w:right w:val="nil"/>
            </w:tcBorders>
            <w:noWrap/>
            <w:vAlign w:val="center"/>
          </w:tcPr>
          <w:p w14:paraId="5CFCD24C" w14:textId="79DCAAD0" w:rsidR="004C3E26" w:rsidRPr="00712D47" w:rsidRDefault="008F433C" w:rsidP="008F433C">
            <w:pPr>
              <w:jc w:val="center"/>
              <w:rPr>
                <w:rFonts w:ascii="CAIXA Std Book" w:hAnsi="CAIXA Std Book" w:cs="Arial"/>
                <w:color w:val="005CA9"/>
                <w:sz w:val="16"/>
                <w:szCs w:val="16"/>
              </w:rPr>
            </w:pPr>
            <w:r>
              <w:rPr>
                <w:rFonts w:ascii="CAIXA Std Book" w:hAnsi="CAIXA Std Book" w:cs="Arial"/>
                <w:color w:val="005CA9"/>
                <w:sz w:val="16"/>
                <w:szCs w:val="16"/>
              </w:rPr>
              <w:t>-</w:t>
            </w:r>
          </w:p>
        </w:tc>
        <w:tc>
          <w:tcPr>
            <w:tcW w:w="376" w:type="pct"/>
            <w:tcBorders>
              <w:top w:val="nil"/>
              <w:left w:val="nil"/>
              <w:bottom w:val="nil"/>
              <w:right w:val="nil"/>
            </w:tcBorders>
            <w:noWrap/>
            <w:vAlign w:val="center"/>
          </w:tcPr>
          <w:p w14:paraId="6A1CA651" w14:textId="2191DE1B" w:rsidR="004C3E26" w:rsidRPr="004D28EF" w:rsidRDefault="008F433C" w:rsidP="008037A4">
            <w:pPr>
              <w:jc w:val="right"/>
              <w:rPr>
                <w:rFonts w:ascii="CAIXA Std Book" w:hAnsi="CAIXA Std Book"/>
                <w:sz w:val="16"/>
                <w:szCs w:val="16"/>
              </w:rPr>
            </w:pPr>
            <w:r>
              <w:rPr>
                <w:rFonts w:ascii="CAIXA Std Book" w:hAnsi="CAIXA Std Book" w:cs="Arial"/>
                <w:color w:val="005CA9"/>
                <w:sz w:val="16"/>
                <w:szCs w:val="16"/>
              </w:rPr>
              <w:t>875.374</w:t>
            </w:r>
          </w:p>
        </w:tc>
        <w:tc>
          <w:tcPr>
            <w:tcW w:w="374" w:type="pct"/>
            <w:tcBorders>
              <w:top w:val="nil"/>
              <w:left w:val="nil"/>
              <w:bottom w:val="nil"/>
              <w:right w:val="nil"/>
            </w:tcBorders>
            <w:vAlign w:val="center"/>
          </w:tcPr>
          <w:p w14:paraId="6825632A" w14:textId="2063049E" w:rsidR="004C3E26" w:rsidRPr="004D28EF" w:rsidRDefault="004C3E26" w:rsidP="00F853C1">
            <w:pPr>
              <w:ind w:right="104"/>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28.600</w:t>
            </w:r>
          </w:p>
        </w:tc>
        <w:tc>
          <w:tcPr>
            <w:tcW w:w="2" w:type="pct"/>
            <w:vAlign w:val="center"/>
            <w:hideMark/>
          </w:tcPr>
          <w:p w14:paraId="7D5A381E" w14:textId="77777777" w:rsidR="004C3E26" w:rsidRPr="004D28EF" w:rsidRDefault="004C3E26" w:rsidP="004C3E26">
            <w:pPr>
              <w:rPr>
                <w:rFonts w:ascii="CAIXA Std Book" w:hAnsi="CAIXA Std Book"/>
                <w:sz w:val="16"/>
                <w:szCs w:val="16"/>
              </w:rPr>
            </w:pPr>
          </w:p>
        </w:tc>
      </w:tr>
      <w:tr w:rsidR="004C3E26" w:rsidRPr="004D28EF" w14:paraId="359F06CC" w14:textId="77777777" w:rsidTr="00833620">
        <w:trPr>
          <w:trHeight w:val="283"/>
        </w:trPr>
        <w:tc>
          <w:tcPr>
            <w:tcW w:w="644" w:type="pct"/>
            <w:tcBorders>
              <w:top w:val="nil"/>
              <w:left w:val="nil"/>
              <w:bottom w:val="nil"/>
              <w:right w:val="nil"/>
            </w:tcBorders>
            <w:vAlign w:val="center"/>
          </w:tcPr>
          <w:p w14:paraId="56D8C49C" w14:textId="11B4E25D" w:rsidR="004C3E26" w:rsidRPr="004D28EF" w:rsidRDefault="004C3E26" w:rsidP="004C3E26">
            <w:pPr>
              <w:rPr>
                <w:rFonts w:ascii="CAIXA Std Book" w:hAnsi="CAIXA Std Book"/>
                <w:color w:val="005CA9"/>
                <w:sz w:val="16"/>
                <w:szCs w:val="16"/>
              </w:rPr>
            </w:pPr>
            <w:r w:rsidRPr="002949F2">
              <w:rPr>
                <w:rFonts w:ascii="CAIXA Std Book" w:eastAsia="Times New Roman" w:hAnsi="CAIXA Std Book" w:cs="Times New Roman"/>
                <w:color w:val="005CA9"/>
                <w:sz w:val="16"/>
                <w:szCs w:val="16"/>
              </w:rPr>
              <w:t xml:space="preserve">Caixa Asset </w:t>
            </w:r>
          </w:p>
        </w:tc>
        <w:tc>
          <w:tcPr>
            <w:tcW w:w="245" w:type="pct"/>
            <w:tcBorders>
              <w:top w:val="nil"/>
              <w:left w:val="nil"/>
              <w:bottom w:val="nil"/>
              <w:right w:val="nil"/>
            </w:tcBorders>
            <w:noWrap/>
            <w:vAlign w:val="center"/>
          </w:tcPr>
          <w:p w14:paraId="54FB7BEC" w14:textId="635CCFC4"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100,00%</w:t>
            </w:r>
          </w:p>
        </w:tc>
        <w:tc>
          <w:tcPr>
            <w:tcW w:w="327" w:type="pct"/>
            <w:tcBorders>
              <w:top w:val="nil"/>
              <w:left w:val="nil"/>
              <w:bottom w:val="nil"/>
              <w:right w:val="nil"/>
            </w:tcBorders>
            <w:vAlign w:val="center"/>
          </w:tcPr>
          <w:p w14:paraId="4ECDF21D" w14:textId="7A9B8511"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100,00%</w:t>
            </w:r>
          </w:p>
        </w:tc>
        <w:tc>
          <w:tcPr>
            <w:tcW w:w="238" w:type="pct"/>
            <w:tcBorders>
              <w:top w:val="nil"/>
              <w:left w:val="nil"/>
              <w:bottom w:val="nil"/>
              <w:right w:val="nil"/>
            </w:tcBorders>
            <w:noWrap/>
            <w:vAlign w:val="center"/>
          </w:tcPr>
          <w:p w14:paraId="4DCE1328" w14:textId="3B4CC879"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100,00%</w:t>
            </w:r>
          </w:p>
        </w:tc>
        <w:tc>
          <w:tcPr>
            <w:tcW w:w="323" w:type="pct"/>
            <w:tcBorders>
              <w:top w:val="nil"/>
              <w:left w:val="nil"/>
              <w:bottom w:val="nil"/>
              <w:right w:val="nil"/>
            </w:tcBorders>
            <w:vAlign w:val="center"/>
          </w:tcPr>
          <w:p w14:paraId="75C1D073" w14:textId="0BB3A7FF"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100,00%</w:t>
            </w:r>
          </w:p>
        </w:tc>
        <w:tc>
          <w:tcPr>
            <w:tcW w:w="373" w:type="pct"/>
            <w:tcBorders>
              <w:top w:val="nil"/>
              <w:left w:val="nil"/>
              <w:bottom w:val="nil"/>
              <w:right w:val="nil"/>
            </w:tcBorders>
            <w:noWrap/>
            <w:vAlign w:val="center"/>
          </w:tcPr>
          <w:p w14:paraId="2766D3B3" w14:textId="4915182C" w:rsidR="004C3E26" w:rsidRPr="004D28EF" w:rsidRDefault="002A467E" w:rsidP="008037A4">
            <w:pPr>
              <w:jc w:val="right"/>
              <w:rPr>
                <w:rFonts w:ascii="CAIXA Std Book" w:hAnsi="CAIXA Std Book"/>
                <w:color w:val="005CA9"/>
                <w:sz w:val="16"/>
                <w:szCs w:val="16"/>
              </w:rPr>
            </w:pPr>
            <w:r>
              <w:rPr>
                <w:rFonts w:ascii="CAIXA Std Book" w:hAnsi="CAIXA Std Book" w:cs="Arial"/>
                <w:color w:val="005CA9"/>
                <w:sz w:val="16"/>
                <w:szCs w:val="16"/>
              </w:rPr>
              <w:t>1.135.606</w:t>
            </w:r>
          </w:p>
        </w:tc>
        <w:tc>
          <w:tcPr>
            <w:tcW w:w="383" w:type="pct"/>
            <w:tcBorders>
              <w:top w:val="nil"/>
              <w:left w:val="nil"/>
              <w:bottom w:val="nil"/>
              <w:right w:val="nil"/>
            </w:tcBorders>
            <w:vAlign w:val="center"/>
          </w:tcPr>
          <w:p w14:paraId="2ED440B0" w14:textId="0640938B"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849.357</w:t>
            </w:r>
          </w:p>
        </w:tc>
        <w:tc>
          <w:tcPr>
            <w:tcW w:w="416" w:type="pct"/>
            <w:tcBorders>
              <w:top w:val="nil"/>
              <w:left w:val="nil"/>
              <w:bottom w:val="nil"/>
              <w:right w:val="nil"/>
            </w:tcBorders>
            <w:noWrap/>
            <w:vAlign w:val="center"/>
          </w:tcPr>
          <w:p w14:paraId="1FC25E6E" w14:textId="7668EDEB" w:rsidR="004C3E26" w:rsidRPr="004D28EF" w:rsidRDefault="004C3E26" w:rsidP="008037A4">
            <w:pPr>
              <w:jc w:val="right"/>
              <w:rPr>
                <w:rFonts w:ascii="CAIXA Std Book" w:hAnsi="CAIXA Std Book"/>
                <w:color w:val="2F75B5"/>
                <w:sz w:val="16"/>
                <w:szCs w:val="16"/>
              </w:rPr>
            </w:pPr>
            <w:r w:rsidRPr="002949F2">
              <w:rPr>
                <w:rFonts w:ascii="CAIXA Std Book" w:eastAsia="Times New Roman" w:hAnsi="CAIXA Std Book" w:cs="Times New Roman"/>
                <w:color w:val="005CA9"/>
                <w:sz w:val="16"/>
                <w:szCs w:val="16"/>
              </w:rPr>
              <w:t>849.357</w:t>
            </w:r>
          </w:p>
        </w:tc>
        <w:tc>
          <w:tcPr>
            <w:tcW w:w="483" w:type="pct"/>
            <w:tcBorders>
              <w:top w:val="nil"/>
              <w:left w:val="nil"/>
              <w:bottom w:val="nil"/>
              <w:right w:val="nil"/>
            </w:tcBorders>
            <w:noWrap/>
            <w:vAlign w:val="center"/>
          </w:tcPr>
          <w:p w14:paraId="7EAD682A" w14:textId="7402850D" w:rsidR="004C3E26" w:rsidRPr="004D28EF" w:rsidRDefault="008F433C" w:rsidP="008037A4">
            <w:pPr>
              <w:jc w:val="right"/>
              <w:rPr>
                <w:rFonts w:ascii="CAIXA Std Book" w:hAnsi="CAIXA Std Book"/>
                <w:color w:val="2F75B5"/>
                <w:sz w:val="16"/>
                <w:szCs w:val="16"/>
              </w:rPr>
            </w:pPr>
            <w:r>
              <w:rPr>
                <w:rFonts w:ascii="CAIXA Std Book" w:hAnsi="CAIXA Std Book" w:cs="Arial"/>
                <w:color w:val="005CA9"/>
                <w:sz w:val="16"/>
                <w:szCs w:val="16"/>
              </w:rPr>
              <w:t>286.249</w:t>
            </w:r>
          </w:p>
        </w:tc>
        <w:tc>
          <w:tcPr>
            <w:tcW w:w="480" w:type="pct"/>
            <w:tcBorders>
              <w:top w:val="nil"/>
              <w:left w:val="nil"/>
              <w:bottom w:val="nil"/>
              <w:right w:val="nil"/>
            </w:tcBorders>
            <w:noWrap/>
            <w:vAlign w:val="center"/>
          </w:tcPr>
          <w:p w14:paraId="5D821B07" w14:textId="1FB73C5C" w:rsidR="004C3E26" w:rsidRPr="00712D47" w:rsidRDefault="008F433C" w:rsidP="008F433C">
            <w:pPr>
              <w:jc w:val="center"/>
              <w:rPr>
                <w:rFonts w:ascii="CAIXA Std Book" w:hAnsi="CAIXA Std Book" w:cs="Arial"/>
                <w:color w:val="005CA9"/>
                <w:sz w:val="16"/>
                <w:szCs w:val="16"/>
              </w:rPr>
            </w:pPr>
            <w:r>
              <w:rPr>
                <w:rFonts w:ascii="CAIXA Std Book" w:hAnsi="CAIXA Std Book" w:cs="Arial"/>
                <w:color w:val="005CA9"/>
                <w:sz w:val="16"/>
                <w:szCs w:val="16"/>
              </w:rPr>
              <w:t>-</w:t>
            </w:r>
          </w:p>
        </w:tc>
        <w:tc>
          <w:tcPr>
            <w:tcW w:w="336" w:type="pct"/>
            <w:tcBorders>
              <w:top w:val="nil"/>
              <w:left w:val="nil"/>
              <w:bottom w:val="nil"/>
              <w:right w:val="nil"/>
            </w:tcBorders>
            <w:noWrap/>
            <w:vAlign w:val="center"/>
          </w:tcPr>
          <w:p w14:paraId="6353BA7A" w14:textId="539359FB" w:rsidR="004C3E26" w:rsidRPr="00712D47" w:rsidRDefault="008F433C" w:rsidP="008F433C">
            <w:pPr>
              <w:jc w:val="center"/>
              <w:rPr>
                <w:rFonts w:ascii="CAIXA Std Book" w:hAnsi="CAIXA Std Book" w:cs="Arial"/>
                <w:color w:val="005CA9"/>
                <w:sz w:val="16"/>
                <w:szCs w:val="16"/>
              </w:rPr>
            </w:pPr>
            <w:r>
              <w:rPr>
                <w:rFonts w:ascii="CAIXA Std Book" w:hAnsi="CAIXA Std Book" w:cs="Arial"/>
                <w:color w:val="005CA9"/>
                <w:sz w:val="16"/>
                <w:szCs w:val="16"/>
              </w:rPr>
              <w:t>-</w:t>
            </w:r>
          </w:p>
        </w:tc>
        <w:tc>
          <w:tcPr>
            <w:tcW w:w="376" w:type="pct"/>
            <w:tcBorders>
              <w:top w:val="nil"/>
              <w:left w:val="nil"/>
              <w:bottom w:val="nil"/>
              <w:right w:val="nil"/>
            </w:tcBorders>
            <w:noWrap/>
            <w:vAlign w:val="center"/>
          </w:tcPr>
          <w:p w14:paraId="1E25B97B" w14:textId="56EFD3BD" w:rsidR="004C3E26" w:rsidRPr="004D28EF" w:rsidRDefault="008F433C" w:rsidP="008037A4">
            <w:pPr>
              <w:jc w:val="right"/>
              <w:rPr>
                <w:rFonts w:ascii="CAIXA Std Book" w:hAnsi="CAIXA Std Book"/>
                <w:sz w:val="16"/>
                <w:szCs w:val="16"/>
              </w:rPr>
            </w:pPr>
            <w:r>
              <w:rPr>
                <w:rFonts w:ascii="CAIXA Std Book" w:hAnsi="CAIXA Std Book" w:cs="Arial"/>
                <w:color w:val="005CA9"/>
                <w:sz w:val="16"/>
                <w:szCs w:val="16"/>
              </w:rPr>
              <w:t>1.135.606</w:t>
            </w:r>
          </w:p>
        </w:tc>
        <w:tc>
          <w:tcPr>
            <w:tcW w:w="374" w:type="pct"/>
            <w:tcBorders>
              <w:top w:val="nil"/>
              <w:left w:val="nil"/>
              <w:bottom w:val="nil"/>
              <w:right w:val="nil"/>
            </w:tcBorders>
            <w:vAlign w:val="center"/>
          </w:tcPr>
          <w:p w14:paraId="28497163" w14:textId="327C59F1" w:rsidR="004C3E26" w:rsidRPr="004D28EF" w:rsidRDefault="004C3E26" w:rsidP="00F853C1">
            <w:pPr>
              <w:ind w:right="104"/>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241.404</w:t>
            </w:r>
          </w:p>
        </w:tc>
        <w:tc>
          <w:tcPr>
            <w:tcW w:w="2" w:type="pct"/>
            <w:vAlign w:val="center"/>
            <w:hideMark/>
          </w:tcPr>
          <w:p w14:paraId="248FA44E" w14:textId="77777777" w:rsidR="004C3E26" w:rsidRPr="004D28EF" w:rsidRDefault="004C3E26" w:rsidP="004C3E26">
            <w:pPr>
              <w:rPr>
                <w:rFonts w:ascii="CAIXA Std Book" w:hAnsi="CAIXA Std Book"/>
                <w:sz w:val="16"/>
                <w:szCs w:val="16"/>
              </w:rPr>
            </w:pPr>
          </w:p>
        </w:tc>
      </w:tr>
      <w:tr w:rsidR="004C3E26" w:rsidRPr="004D28EF" w14:paraId="1486D713" w14:textId="77777777" w:rsidTr="00833620">
        <w:trPr>
          <w:trHeight w:val="283"/>
        </w:trPr>
        <w:tc>
          <w:tcPr>
            <w:tcW w:w="644" w:type="pct"/>
            <w:tcBorders>
              <w:top w:val="nil"/>
              <w:left w:val="nil"/>
              <w:bottom w:val="nil"/>
              <w:right w:val="nil"/>
            </w:tcBorders>
            <w:vAlign w:val="center"/>
          </w:tcPr>
          <w:p w14:paraId="30D49E5F" w14:textId="679338E8" w:rsidR="004C3E26" w:rsidRPr="004D28EF" w:rsidRDefault="004C3E26" w:rsidP="004C3E26">
            <w:pPr>
              <w:rPr>
                <w:rFonts w:ascii="CAIXA Std Book" w:hAnsi="CAIXA Std Book"/>
                <w:color w:val="005CA9"/>
                <w:sz w:val="16"/>
                <w:szCs w:val="16"/>
              </w:rPr>
            </w:pPr>
            <w:r w:rsidRPr="002949F2">
              <w:rPr>
                <w:rFonts w:ascii="CAIXA Std Book" w:eastAsia="Times New Roman" w:hAnsi="CAIXA Std Book" w:cs="Times New Roman"/>
                <w:color w:val="005CA9"/>
                <w:sz w:val="16"/>
                <w:szCs w:val="16"/>
              </w:rPr>
              <w:t>TecBan</w:t>
            </w:r>
          </w:p>
        </w:tc>
        <w:tc>
          <w:tcPr>
            <w:tcW w:w="245" w:type="pct"/>
            <w:tcBorders>
              <w:top w:val="nil"/>
              <w:left w:val="nil"/>
              <w:bottom w:val="nil"/>
              <w:right w:val="nil"/>
            </w:tcBorders>
            <w:noWrap/>
            <w:vAlign w:val="center"/>
          </w:tcPr>
          <w:p w14:paraId="67CC6951" w14:textId="15FB0BA1"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13,01%</w:t>
            </w:r>
          </w:p>
        </w:tc>
        <w:tc>
          <w:tcPr>
            <w:tcW w:w="327" w:type="pct"/>
            <w:tcBorders>
              <w:top w:val="nil"/>
              <w:left w:val="nil"/>
              <w:bottom w:val="nil"/>
              <w:right w:val="nil"/>
            </w:tcBorders>
            <w:vAlign w:val="center"/>
          </w:tcPr>
          <w:p w14:paraId="27F13B38" w14:textId="5AF9CFD1"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11,61%</w:t>
            </w:r>
          </w:p>
        </w:tc>
        <w:tc>
          <w:tcPr>
            <w:tcW w:w="238" w:type="pct"/>
            <w:tcBorders>
              <w:top w:val="nil"/>
              <w:left w:val="nil"/>
              <w:bottom w:val="nil"/>
              <w:right w:val="nil"/>
            </w:tcBorders>
            <w:noWrap/>
            <w:vAlign w:val="center"/>
          </w:tcPr>
          <w:p w14:paraId="6C79914F" w14:textId="3CA664D6"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13,01%</w:t>
            </w:r>
          </w:p>
        </w:tc>
        <w:tc>
          <w:tcPr>
            <w:tcW w:w="323" w:type="pct"/>
            <w:tcBorders>
              <w:top w:val="nil"/>
              <w:left w:val="nil"/>
              <w:bottom w:val="nil"/>
              <w:right w:val="nil"/>
            </w:tcBorders>
            <w:vAlign w:val="center"/>
          </w:tcPr>
          <w:p w14:paraId="0EC865DC" w14:textId="56772C66"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11,61%</w:t>
            </w:r>
          </w:p>
        </w:tc>
        <w:tc>
          <w:tcPr>
            <w:tcW w:w="373" w:type="pct"/>
            <w:tcBorders>
              <w:top w:val="nil"/>
              <w:left w:val="nil"/>
              <w:bottom w:val="nil"/>
              <w:right w:val="nil"/>
            </w:tcBorders>
            <w:noWrap/>
            <w:vAlign w:val="center"/>
          </w:tcPr>
          <w:p w14:paraId="38F85A9A" w14:textId="494D2B52" w:rsidR="004C3E26" w:rsidRPr="004D28EF" w:rsidRDefault="002A467E" w:rsidP="008037A4">
            <w:pPr>
              <w:jc w:val="right"/>
              <w:rPr>
                <w:rFonts w:ascii="CAIXA Std Book" w:hAnsi="CAIXA Std Book"/>
                <w:color w:val="005CA9"/>
                <w:sz w:val="16"/>
                <w:szCs w:val="16"/>
              </w:rPr>
            </w:pPr>
            <w:r>
              <w:rPr>
                <w:rFonts w:ascii="CAIXA Std Book" w:hAnsi="CAIXA Std Book" w:cs="Arial"/>
                <w:color w:val="005CA9"/>
                <w:sz w:val="16"/>
                <w:szCs w:val="16"/>
              </w:rPr>
              <w:t>1.009.835</w:t>
            </w:r>
          </w:p>
        </w:tc>
        <w:tc>
          <w:tcPr>
            <w:tcW w:w="383" w:type="pct"/>
            <w:tcBorders>
              <w:top w:val="nil"/>
              <w:left w:val="nil"/>
              <w:bottom w:val="nil"/>
              <w:right w:val="nil"/>
            </w:tcBorders>
            <w:vAlign w:val="center"/>
          </w:tcPr>
          <w:p w14:paraId="2AB889D5" w14:textId="34EF29E9"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991.596</w:t>
            </w:r>
          </w:p>
        </w:tc>
        <w:tc>
          <w:tcPr>
            <w:tcW w:w="416" w:type="pct"/>
            <w:tcBorders>
              <w:top w:val="nil"/>
              <w:left w:val="nil"/>
              <w:bottom w:val="nil"/>
              <w:right w:val="nil"/>
            </w:tcBorders>
            <w:noWrap/>
            <w:vAlign w:val="center"/>
          </w:tcPr>
          <w:p w14:paraId="048C7996" w14:textId="562795DA" w:rsidR="004C3E26" w:rsidRPr="004D28EF" w:rsidRDefault="004C3E26" w:rsidP="008037A4">
            <w:pPr>
              <w:jc w:val="right"/>
              <w:rPr>
                <w:rFonts w:ascii="CAIXA Std Book" w:hAnsi="CAIXA Std Book"/>
                <w:color w:val="2F75B5"/>
                <w:sz w:val="16"/>
                <w:szCs w:val="16"/>
              </w:rPr>
            </w:pPr>
            <w:r w:rsidRPr="002949F2">
              <w:rPr>
                <w:rFonts w:ascii="CAIXA Std Book" w:eastAsia="Times New Roman" w:hAnsi="CAIXA Std Book" w:cs="Times New Roman"/>
                <w:color w:val="005CA9"/>
                <w:sz w:val="16"/>
                <w:szCs w:val="16"/>
              </w:rPr>
              <w:t>180.876</w:t>
            </w:r>
          </w:p>
        </w:tc>
        <w:tc>
          <w:tcPr>
            <w:tcW w:w="483" w:type="pct"/>
            <w:tcBorders>
              <w:top w:val="nil"/>
              <w:left w:val="nil"/>
              <w:bottom w:val="nil"/>
              <w:right w:val="nil"/>
            </w:tcBorders>
            <w:noWrap/>
            <w:vAlign w:val="center"/>
          </w:tcPr>
          <w:p w14:paraId="1C2134BA" w14:textId="499AE688" w:rsidR="004C3E26" w:rsidRPr="004D28EF" w:rsidRDefault="008F433C" w:rsidP="008037A4">
            <w:pPr>
              <w:jc w:val="right"/>
              <w:rPr>
                <w:rFonts w:ascii="CAIXA Std Book" w:hAnsi="CAIXA Std Book"/>
                <w:color w:val="2F75B5"/>
                <w:sz w:val="16"/>
                <w:szCs w:val="16"/>
              </w:rPr>
            </w:pPr>
            <w:r>
              <w:rPr>
                <w:rFonts w:ascii="CAIXA Std Book" w:hAnsi="CAIXA Std Book" w:cs="Arial"/>
                <w:color w:val="005CA9"/>
                <w:sz w:val="16"/>
                <w:szCs w:val="16"/>
              </w:rPr>
              <w:t>2.373</w:t>
            </w:r>
          </w:p>
        </w:tc>
        <w:tc>
          <w:tcPr>
            <w:tcW w:w="480" w:type="pct"/>
            <w:tcBorders>
              <w:top w:val="nil"/>
              <w:left w:val="nil"/>
              <w:bottom w:val="nil"/>
              <w:right w:val="nil"/>
            </w:tcBorders>
            <w:noWrap/>
            <w:vAlign w:val="center"/>
          </w:tcPr>
          <w:p w14:paraId="40F0971E" w14:textId="568AC652" w:rsidR="004C3E26" w:rsidRPr="00712D47" w:rsidRDefault="008F433C" w:rsidP="008F433C">
            <w:pPr>
              <w:jc w:val="center"/>
              <w:rPr>
                <w:rFonts w:ascii="CAIXA Std Book" w:hAnsi="CAIXA Std Book" w:cs="Arial"/>
                <w:color w:val="005CA9"/>
                <w:sz w:val="16"/>
                <w:szCs w:val="16"/>
              </w:rPr>
            </w:pPr>
            <w:r>
              <w:rPr>
                <w:rFonts w:ascii="CAIXA Std Book" w:hAnsi="CAIXA Std Book" w:cs="Arial"/>
                <w:color w:val="005CA9"/>
                <w:sz w:val="16"/>
                <w:szCs w:val="16"/>
              </w:rPr>
              <w:t>-</w:t>
            </w:r>
          </w:p>
        </w:tc>
        <w:tc>
          <w:tcPr>
            <w:tcW w:w="336" w:type="pct"/>
            <w:tcBorders>
              <w:top w:val="nil"/>
              <w:left w:val="nil"/>
              <w:bottom w:val="nil"/>
              <w:right w:val="nil"/>
            </w:tcBorders>
            <w:noWrap/>
            <w:vAlign w:val="center"/>
          </w:tcPr>
          <w:p w14:paraId="68E221AD" w14:textId="2E8E9371" w:rsidR="004C3E26" w:rsidRPr="004D28EF" w:rsidRDefault="008F433C" w:rsidP="008037A4">
            <w:pPr>
              <w:jc w:val="right"/>
              <w:rPr>
                <w:rFonts w:ascii="CAIXA Std Book" w:hAnsi="CAIXA Std Book"/>
                <w:sz w:val="16"/>
                <w:szCs w:val="16"/>
              </w:rPr>
            </w:pPr>
            <w:r>
              <w:rPr>
                <w:rFonts w:ascii="CAIXA Std Book" w:hAnsi="CAIXA Std Book" w:cs="Arial"/>
                <w:color w:val="005CA9"/>
                <w:sz w:val="16"/>
                <w:szCs w:val="16"/>
              </w:rPr>
              <w:t>(396)</w:t>
            </w:r>
          </w:p>
        </w:tc>
        <w:tc>
          <w:tcPr>
            <w:tcW w:w="376" w:type="pct"/>
            <w:tcBorders>
              <w:top w:val="nil"/>
              <w:left w:val="nil"/>
              <w:bottom w:val="nil"/>
              <w:right w:val="nil"/>
            </w:tcBorders>
            <w:noWrap/>
            <w:vAlign w:val="center"/>
          </w:tcPr>
          <w:p w14:paraId="4632EA80" w14:textId="53A6F09A" w:rsidR="004C3E26" w:rsidRPr="004D28EF" w:rsidRDefault="008F433C" w:rsidP="008037A4">
            <w:pPr>
              <w:jc w:val="right"/>
              <w:rPr>
                <w:rFonts w:ascii="CAIXA Std Book" w:hAnsi="CAIXA Std Book"/>
                <w:sz w:val="16"/>
                <w:szCs w:val="16"/>
              </w:rPr>
            </w:pPr>
            <w:r>
              <w:rPr>
                <w:rFonts w:ascii="CAIXA Std Book" w:hAnsi="CAIXA Std Book" w:cs="Arial"/>
                <w:color w:val="005CA9"/>
                <w:sz w:val="16"/>
                <w:szCs w:val="16"/>
              </w:rPr>
              <w:t>182.853</w:t>
            </w:r>
          </w:p>
        </w:tc>
        <w:tc>
          <w:tcPr>
            <w:tcW w:w="374" w:type="pct"/>
            <w:tcBorders>
              <w:top w:val="nil"/>
              <w:left w:val="nil"/>
              <w:bottom w:val="nil"/>
              <w:right w:val="nil"/>
            </w:tcBorders>
            <w:vAlign w:val="center"/>
          </w:tcPr>
          <w:p w14:paraId="2A5B059F" w14:textId="47ACAD9A" w:rsidR="004C3E26" w:rsidRPr="004D28EF" w:rsidRDefault="004C3E26" w:rsidP="00F853C1">
            <w:pPr>
              <w:ind w:right="104"/>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537</w:t>
            </w:r>
          </w:p>
        </w:tc>
        <w:tc>
          <w:tcPr>
            <w:tcW w:w="2" w:type="pct"/>
            <w:vAlign w:val="center"/>
            <w:hideMark/>
          </w:tcPr>
          <w:p w14:paraId="00F3656E" w14:textId="77777777" w:rsidR="004C3E26" w:rsidRPr="004D28EF" w:rsidRDefault="004C3E26" w:rsidP="004C3E26">
            <w:pPr>
              <w:rPr>
                <w:rFonts w:ascii="CAIXA Std Book" w:hAnsi="CAIXA Std Book"/>
                <w:sz w:val="16"/>
                <w:szCs w:val="16"/>
              </w:rPr>
            </w:pPr>
          </w:p>
        </w:tc>
      </w:tr>
      <w:tr w:rsidR="004C3E26" w:rsidRPr="004D28EF" w14:paraId="00AD7570" w14:textId="77777777" w:rsidTr="00833620">
        <w:trPr>
          <w:trHeight w:val="283"/>
        </w:trPr>
        <w:tc>
          <w:tcPr>
            <w:tcW w:w="644" w:type="pct"/>
            <w:tcBorders>
              <w:top w:val="nil"/>
              <w:left w:val="nil"/>
              <w:bottom w:val="nil"/>
              <w:right w:val="nil"/>
            </w:tcBorders>
            <w:vAlign w:val="center"/>
          </w:tcPr>
          <w:p w14:paraId="13F5AA87" w14:textId="468CCBE1" w:rsidR="004C3E26" w:rsidRPr="004D28EF" w:rsidRDefault="004C3E26" w:rsidP="004C3E26">
            <w:pPr>
              <w:rPr>
                <w:rFonts w:ascii="CAIXA Std Book" w:hAnsi="CAIXA Std Book"/>
                <w:color w:val="005CA9"/>
                <w:sz w:val="16"/>
                <w:szCs w:val="16"/>
              </w:rPr>
            </w:pPr>
            <w:r w:rsidRPr="002949F2">
              <w:rPr>
                <w:rFonts w:ascii="CAIXA Std Book" w:eastAsia="Times New Roman" w:hAnsi="CAIXA Std Book" w:cs="Times New Roman"/>
                <w:color w:val="005CA9"/>
                <w:sz w:val="16"/>
                <w:szCs w:val="16"/>
              </w:rPr>
              <w:t>Quod</w:t>
            </w:r>
          </w:p>
        </w:tc>
        <w:tc>
          <w:tcPr>
            <w:tcW w:w="245" w:type="pct"/>
            <w:tcBorders>
              <w:top w:val="nil"/>
              <w:left w:val="nil"/>
              <w:bottom w:val="nil"/>
              <w:right w:val="nil"/>
            </w:tcBorders>
            <w:noWrap/>
            <w:vAlign w:val="center"/>
          </w:tcPr>
          <w:p w14:paraId="529BCBFB" w14:textId="227655E6"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15,29%</w:t>
            </w:r>
          </w:p>
        </w:tc>
        <w:tc>
          <w:tcPr>
            <w:tcW w:w="327" w:type="pct"/>
            <w:tcBorders>
              <w:top w:val="nil"/>
              <w:left w:val="nil"/>
              <w:bottom w:val="nil"/>
              <w:right w:val="nil"/>
            </w:tcBorders>
            <w:vAlign w:val="center"/>
          </w:tcPr>
          <w:p w14:paraId="3DED3097" w14:textId="30CA2642"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16,00%</w:t>
            </w:r>
          </w:p>
        </w:tc>
        <w:tc>
          <w:tcPr>
            <w:tcW w:w="238" w:type="pct"/>
            <w:tcBorders>
              <w:top w:val="nil"/>
              <w:left w:val="nil"/>
              <w:bottom w:val="nil"/>
              <w:right w:val="nil"/>
            </w:tcBorders>
            <w:noWrap/>
            <w:vAlign w:val="center"/>
          </w:tcPr>
          <w:p w14:paraId="4F6DEF44" w14:textId="562A7350"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15,29%</w:t>
            </w:r>
          </w:p>
        </w:tc>
        <w:tc>
          <w:tcPr>
            <w:tcW w:w="323" w:type="pct"/>
            <w:tcBorders>
              <w:top w:val="nil"/>
              <w:left w:val="nil"/>
              <w:bottom w:val="nil"/>
              <w:right w:val="nil"/>
            </w:tcBorders>
            <w:vAlign w:val="center"/>
          </w:tcPr>
          <w:p w14:paraId="4780D872" w14:textId="3596ACE3"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16,00%</w:t>
            </w:r>
          </w:p>
        </w:tc>
        <w:tc>
          <w:tcPr>
            <w:tcW w:w="373" w:type="pct"/>
            <w:tcBorders>
              <w:top w:val="nil"/>
              <w:left w:val="nil"/>
              <w:bottom w:val="nil"/>
              <w:right w:val="nil"/>
            </w:tcBorders>
            <w:noWrap/>
            <w:vAlign w:val="center"/>
          </w:tcPr>
          <w:p w14:paraId="34FC77F7" w14:textId="3083D2BD" w:rsidR="004C3E26" w:rsidRPr="004D28EF" w:rsidRDefault="002A467E" w:rsidP="008037A4">
            <w:pPr>
              <w:jc w:val="right"/>
              <w:rPr>
                <w:rFonts w:ascii="CAIXA Std Book" w:hAnsi="CAIXA Std Book"/>
                <w:color w:val="005CA9"/>
                <w:sz w:val="16"/>
                <w:szCs w:val="16"/>
              </w:rPr>
            </w:pPr>
            <w:r>
              <w:rPr>
                <w:rFonts w:ascii="CAIXA Std Book" w:hAnsi="CAIXA Std Book" w:cs="Arial"/>
                <w:color w:val="005CA9"/>
                <w:sz w:val="16"/>
                <w:szCs w:val="16"/>
              </w:rPr>
              <w:t>292.754</w:t>
            </w:r>
          </w:p>
        </w:tc>
        <w:tc>
          <w:tcPr>
            <w:tcW w:w="383" w:type="pct"/>
            <w:tcBorders>
              <w:top w:val="nil"/>
              <w:left w:val="nil"/>
              <w:bottom w:val="nil"/>
              <w:right w:val="nil"/>
            </w:tcBorders>
            <w:vAlign w:val="center"/>
          </w:tcPr>
          <w:p w14:paraId="5492FD72" w14:textId="70735EB9"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307.668</w:t>
            </w:r>
          </w:p>
        </w:tc>
        <w:tc>
          <w:tcPr>
            <w:tcW w:w="416" w:type="pct"/>
            <w:tcBorders>
              <w:top w:val="nil"/>
              <w:left w:val="nil"/>
              <w:bottom w:val="nil"/>
              <w:right w:val="nil"/>
            </w:tcBorders>
            <w:noWrap/>
            <w:vAlign w:val="center"/>
          </w:tcPr>
          <w:p w14:paraId="2611D987" w14:textId="1505CC61" w:rsidR="004C3E26" w:rsidRPr="004D28EF" w:rsidRDefault="004C3E26" w:rsidP="008037A4">
            <w:pPr>
              <w:jc w:val="right"/>
              <w:rPr>
                <w:rFonts w:ascii="CAIXA Std Book" w:hAnsi="CAIXA Std Book"/>
                <w:color w:val="2F75B5"/>
                <w:sz w:val="16"/>
                <w:szCs w:val="16"/>
              </w:rPr>
            </w:pPr>
            <w:r w:rsidRPr="002949F2">
              <w:rPr>
                <w:rFonts w:ascii="CAIXA Std Book" w:eastAsia="Times New Roman" w:hAnsi="CAIXA Std Book" w:cs="Times New Roman"/>
                <w:color w:val="005CA9"/>
                <w:sz w:val="16"/>
                <w:szCs w:val="16"/>
              </w:rPr>
              <w:t>47.042</w:t>
            </w:r>
          </w:p>
        </w:tc>
        <w:tc>
          <w:tcPr>
            <w:tcW w:w="483" w:type="pct"/>
            <w:tcBorders>
              <w:top w:val="nil"/>
              <w:left w:val="nil"/>
              <w:bottom w:val="nil"/>
              <w:right w:val="nil"/>
            </w:tcBorders>
            <w:noWrap/>
            <w:vAlign w:val="center"/>
          </w:tcPr>
          <w:p w14:paraId="15D2E517" w14:textId="007BE176" w:rsidR="004C3E26" w:rsidRPr="004D28EF" w:rsidRDefault="008F433C" w:rsidP="008037A4">
            <w:pPr>
              <w:jc w:val="right"/>
              <w:rPr>
                <w:rFonts w:ascii="CAIXA Std Book" w:hAnsi="CAIXA Std Book"/>
                <w:color w:val="2F75B5"/>
                <w:sz w:val="16"/>
                <w:szCs w:val="16"/>
              </w:rPr>
            </w:pPr>
            <w:r>
              <w:rPr>
                <w:rFonts w:ascii="CAIXA Std Book" w:hAnsi="CAIXA Std Book" w:cs="Arial"/>
                <w:color w:val="005CA9"/>
                <w:sz w:val="16"/>
                <w:szCs w:val="16"/>
              </w:rPr>
              <w:t>(2.280)</w:t>
            </w:r>
          </w:p>
        </w:tc>
        <w:tc>
          <w:tcPr>
            <w:tcW w:w="480" w:type="pct"/>
            <w:tcBorders>
              <w:top w:val="nil"/>
              <w:left w:val="nil"/>
              <w:bottom w:val="nil"/>
              <w:right w:val="nil"/>
            </w:tcBorders>
            <w:noWrap/>
            <w:vAlign w:val="center"/>
          </w:tcPr>
          <w:p w14:paraId="56AB5D0D" w14:textId="4B7A24BD" w:rsidR="004C3E26" w:rsidRPr="00712D47" w:rsidRDefault="008F433C" w:rsidP="008F433C">
            <w:pPr>
              <w:jc w:val="center"/>
              <w:rPr>
                <w:rFonts w:ascii="CAIXA Std Book" w:hAnsi="CAIXA Std Book" w:cs="Arial"/>
                <w:color w:val="005CA9"/>
                <w:sz w:val="16"/>
                <w:szCs w:val="16"/>
              </w:rPr>
            </w:pPr>
            <w:r>
              <w:rPr>
                <w:rFonts w:ascii="CAIXA Std Book" w:hAnsi="CAIXA Std Book" w:cs="Arial"/>
                <w:color w:val="005CA9"/>
                <w:sz w:val="16"/>
                <w:szCs w:val="16"/>
              </w:rPr>
              <w:t>-</w:t>
            </w:r>
          </w:p>
        </w:tc>
        <w:tc>
          <w:tcPr>
            <w:tcW w:w="336" w:type="pct"/>
            <w:tcBorders>
              <w:top w:val="nil"/>
              <w:left w:val="nil"/>
              <w:bottom w:val="nil"/>
              <w:right w:val="nil"/>
            </w:tcBorders>
            <w:noWrap/>
            <w:vAlign w:val="center"/>
          </w:tcPr>
          <w:p w14:paraId="071D9052" w14:textId="27E056FB" w:rsidR="004C3E26" w:rsidRPr="00712D47" w:rsidRDefault="008F433C" w:rsidP="008F433C">
            <w:pPr>
              <w:jc w:val="center"/>
              <w:rPr>
                <w:rFonts w:ascii="CAIXA Std Book" w:hAnsi="CAIXA Std Book" w:cs="Arial"/>
                <w:color w:val="005CA9"/>
                <w:sz w:val="16"/>
                <w:szCs w:val="16"/>
              </w:rPr>
            </w:pPr>
            <w:r>
              <w:rPr>
                <w:rFonts w:ascii="CAIXA Std Book" w:hAnsi="CAIXA Std Book" w:cs="Arial"/>
                <w:color w:val="005CA9"/>
                <w:sz w:val="16"/>
                <w:szCs w:val="16"/>
              </w:rPr>
              <w:t>-</w:t>
            </w:r>
          </w:p>
        </w:tc>
        <w:tc>
          <w:tcPr>
            <w:tcW w:w="376" w:type="pct"/>
            <w:tcBorders>
              <w:top w:val="nil"/>
              <w:left w:val="nil"/>
              <w:bottom w:val="nil"/>
              <w:right w:val="nil"/>
            </w:tcBorders>
            <w:noWrap/>
            <w:vAlign w:val="center"/>
          </w:tcPr>
          <w:p w14:paraId="1436500A" w14:textId="6475995F" w:rsidR="004C3E26" w:rsidRPr="004D28EF" w:rsidRDefault="008F433C" w:rsidP="008037A4">
            <w:pPr>
              <w:jc w:val="right"/>
              <w:rPr>
                <w:rFonts w:ascii="CAIXA Std Book" w:hAnsi="CAIXA Std Book"/>
                <w:sz w:val="16"/>
                <w:szCs w:val="16"/>
              </w:rPr>
            </w:pPr>
            <w:r>
              <w:rPr>
                <w:rFonts w:ascii="CAIXA Std Book" w:hAnsi="CAIXA Std Book" w:cs="Arial"/>
                <w:color w:val="005CA9"/>
                <w:sz w:val="16"/>
                <w:szCs w:val="16"/>
              </w:rPr>
              <w:t>44.762</w:t>
            </w:r>
          </w:p>
        </w:tc>
        <w:tc>
          <w:tcPr>
            <w:tcW w:w="374" w:type="pct"/>
            <w:tcBorders>
              <w:top w:val="nil"/>
              <w:left w:val="nil"/>
              <w:bottom w:val="nil"/>
              <w:right w:val="nil"/>
            </w:tcBorders>
            <w:vAlign w:val="center"/>
          </w:tcPr>
          <w:p w14:paraId="02A95698" w14:textId="1A7E71BE" w:rsidR="004C3E26" w:rsidRPr="004D28EF" w:rsidRDefault="004C3E26" w:rsidP="00F853C1">
            <w:pPr>
              <w:ind w:right="104"/>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(505)</w:t>
            </w:r>
          </w:p>
        </w:tc>
        <w:tc>
          <w:tcPr>
            <w:tcW w:w="2" w:type="pct"/>
            <w:vAlign w:val="center"/>
            <w:hideMark/>
          </w:tcPr>
          <w:p w14:paraId="356BB938" w14:textId="77777777" w:rsidR="004C3E26" w:rsidRPr="004D28EF" w:rsidRDefault="004C3E26" w:rsidP="004C3E26">
            <w:pPr>
              <w:rPr>
                <w:rFonts w:ascii="CAIXA Std Book" w:hAnsi="CAIXA Std Book"/>
                <w:sz w:val="16"/>
                <w:szCs w:val="16"/>
              </w:rPr>
            </w:pPr>
          </w:p>
        </w:tc>
      </w:tr>
      <w:tr w:rsidR="004C3E26" w:rsidRPr="004D28EF" w14:paraId="211C5319" w14:textId="77777777" w:rsidTr="00833620">
        <w:trPr>
          <w:trHeight w:val="283"/>
        </w:trPr>
        <w:tc>
          <w:tcPr>
            <w:tcW w:w="644" w:type="pct"/>
            <w:tcBorders>
              <w:top w:val="nil"/>
              <w:left w:val="nil"/>
              <w:bottom w:val="nil"/>
              <w:right w:val="nil"/>
            </w:tcBorders>
            <w:vAlign w:val="center"/>
          </w:tcPr>
          <w:p w14:paraId="197EF6DF" w14:textId="7F897FD0" w:rsidR="004C3E26" w:rsidRPr="004D28EF" w:rsidRDefault="004C3E26" w:rsidP="004C3E26">
            <w:pPr>
              <w:rPr>
                <w:rFonts w:ascii="CAIXA Std Book" w:hAnsi="CAIXA Std Book"/>
                <w:color w:val="005CA9"/>
                <w:sz w:val="16"/>
                <w:szCs w:val="16"/>
              </w:rPr>
            </w:pPr>
            <w:r w:rsidRPr="002949F2">
              <w:rPr>
                <w:rFonts w:ascii="CAIXA Std Book" w:eastAsia="Times New Roman" w:hAnsi="CAIXA Std Book" w:cs="Times New Roman"/>
                <w:color w:val="005CA9"/>
                <w:sz w:val="16"/>
                <w:szCs w:val="16"/>
              </w:rPr>
              <w:t>Galgo Sistemas de Informações</w:t>
            </w:r>
            <w:r w:rsidR="00753679">
              <w:rPr>
                <w:rFonts w:ascii="CAIXA Std Book" w:eastAsia="Times New Roman" w:hAnsi="CAIXA Std Book" w:cs="Times New Roman"/>
                <w:color w:val="005CA9"/>
                <w:sz w:val="16"/>
                <w:szCs w:val="16"/>
              </w:rPr>
              <w:t xml:space="preserve"> </w:t>
            </w:r>
            <w:r w:rsidRPr="002949F2">
              <w:rPr>
                <w:rFonts w:ascii="CAIXA Std Book" w:eastAsia="Times New Roman" w:hAnsi="CAIXA Std Book" w:cs="Times New Roman"/>
                <w:color w:val="005CA9"/>
                <w:sz w:val="16"/>
                <w:szCs w:val="16"/>
              </w:rPr>
              <w:t>(2)</w:t>
            </w:r>
          </w:p>
        </w:tc>
        <w:tc>
          <w:tcPr>
            <w:tcW w:w="245" w:type="pct"/>
            <w:tcBorders>
              <w:top w:val="nil"/>
              <w:left w:val="nil"/>
              <w:bottom w:val="nil"/>
              <w:right w:val="nil"/>
            </w:tcBorders>
            <w:noWrap/>
            <w:vAlign w:val="center"/>
          </w:tcPr>
          <w:p w14:paraId="36D190CC" w14:textId="0DEE770B"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6,67%</w:t>
            </w:r>
          </w:p>
        </w:tc>
        <w:tc>
          <w:tcPr>
            <w:tcW w:w="327" w:type="pct"/>
            <w:tcBorders>
              <w:top w:val="nil"/>
              <w:left w:val="nil"/>
              <w:bottom w:val="nil"/>
              <w:right w:val="nil"/>
            </w:tcBorders>
            <w:vAlign w:val="center"/>
          </w:tcPr>
          <w:p w14:paraId="20ACA18A" w14:textId="105992FA"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6,67%</w:t>
            </w:r>
          </w:p>
        </w:tc>
        <w:tc>
          <w:tcPr>
            <w:tcW w:w="238" w:type="pct"/>
            <w:tcBorders>
              <w:top w:val="nil"/>
              <w:left w:val="nil"/>
              <w:bottom w:val="nil"/>
              <w:right w:val="nil"/>
            </w:tcBorders>
            <w:noWrap/>
            <w:vAlign w:val="center"/>
          </w:tcPr>
          <w:p w14:paraId="19BDE894" w14:textId="57683A37"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6,67%</w:t>
            </w:r>
          </w:p>
        </w:tc>
        <w:tc>
          <w:tcPr>
            <w:tcW w:w="323" w:type="pct"/>
            <w:tcBorders>
              <w:top w:val="nil"/>
              <w:left w:val="nil"/>
              <w:bottom w:val="nil"/>
              <w:right w:val="nil"/>
            </w:tcBorders>
            <w:vAlign w:val="center"/>
          </w:tcPr>
          <w:p w14:paraId="25902725" w14:textId="548E2F10"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6,67%</w:t>
            </w:r>
          </w:p>
        </w:tc>
        <w:tc>
          <w:tcPr>
            <w:tcW w:w="373" w:type="pct"/>
            <w:tcBorders>
              <w:top w:val="nil"/>
              <w:left w:val="nil"/>
              <w:bottom w:val="nil"/>
              <w:right w:val="nil"/>
            </w:tcBorders>
            <w:noWrap/>
            <w:vAlign w:val="center"/>
          </w:tcPr>
          <w:p w14:paraId="263A84D1" w14:textId="4C38705B" w:rsidR="004C3E26" w:rsidRPr="004D28EF" w:rsidRDefault="002A467E" w:rsidP="002A467E">
            <w:pPr>
              <w:jc w:val="center"/>
              <w:rPr>
                <w:rFonts w:ascii="CAIXA Std Book" w:hAnsi="CAIXA Std Book"/>
                <w:color w:val="005CA9"/>
                <w:sz w:val="16"/>
                <w:szCs w:val="16"/>
              </w:rPr>
            </w:pPr>
            <w:r>
              <w:rPr>
                <w:rFonts w:ascii="CAIXA Std Book" w:hAnsi="CAIXA Std Book" w:cs="Arial"/>
                <w:color w:val="005CA9"/>
                <w:sz w:val="16"/>
                <w:szCs w:val="16"/>
              </w:rPr>
              <w:t>-</w:t>
            </w:r>
          </w:p>
        </w:tc>
        <w:tc>
          <w:tcPr>
            <w:tcW w:w="383" w:type="pct"/>
            <w:tcBorders>
              <w:top w:val="nil"/>
              <w:left w:val="nil"/>
              <w:bottom w:val="nil"/>
              <w:right w:val="nil"/>
            </w:tcBorders>
            <w:vAlign w:val="center"/>
          </w:tcPr>
          <w:p w14:paraId="2E061F9E" w14:textId="6DB065E8" w:rsidR="004C3E26" w:rsidRPr="004D28EF" w:rsidRDefault="004C3E26" w:rsidP="008037A4">
            <w:pPr>
              <w:jc w:val="center"/>
              <w:rPr>
                <w:rFonts w:ascii="CAIXA Std Book" w:hAnsi="CAIXA Std Book"/>
                <w:color w:val="005CA9"/>
                <w:sz w:val="16"/>
                <w:szCs w:val="16"/>
              </w:rPr>
            </w:pPr>
            <w:r w:rsidRPr="002949F2">
              <w:rPr>
                <w:rFonts w:ascii="CAIXA Std Book" w:eastAsia="Times New Roman" w:hAnsi="CAIXA Std Book" w:cs="Times New Roman"/>
                <w:color w:val="005CA9"/>
                <w:sz w:val="16"/>
                <w:szCs w:val="16"/>
              </w:rPr>
              <w:t>-</w:t>
            </w:r>
          </w:p>
        </w:tc>
        <w:tc>
          <w:tcPr>
            <w:tcW w:w="416" w:type="pct"/>
            <w:tcBorders>
              <w:top w:val="nil"/>
              <w:left w:val="nil"/>
              <w:bottom w:val="nil"/>
              <w:right w:val="nil"/>
            </w:tcBorders>
            <w:noWrap/>
            <w:vAlign w:val="center"/>
          </w:tcPr>
          <w:p w14:paraId="3BF7B422" w14:textId="2342611B" w:rsidR="004C3E26" w:rsidRPr="004D28EF" w:rsidRDefault="004C3E26" w:rsidP="008037A4">
            <w:pPr>
              <w:jc w:val="center"/>
              <w:rPr>
                <w:rFonts w:ascii="CAIXA Std Book" w:hAnsi="CAIXA Std Book"/>
                <w:color w:val="2F75B5"/>
                <w:sz w:val="16"/>
                <w:szCs w:val="16"/>
              </w:rPr>
            </w:pPr>
            <w:r w:rsidRPr="002949F2">
              <w:rPr>
                <w:rFonts w:ascii="CAIXA Std Book" w:eastAsia="Times New Roman" w:hAnsi="CAIXA Std Book" w:cs="Times New Roman"/>
                <w:color w:val="005CA9"/>
                <w:sz w:val="16"/>
                <w:szCs w:val="16"/>
              </w:rPr>
              <w:t>-</w:t>
            </w:r>
          </w:p>
        </w:tc>
        <w:tc>
          <w:tcPr>
            <w:tcW w:w="483" w:type="pct"/>
            <w:tcBorders>
              <w:top w:val="nil"/>
              <w:left w:val="nil"/>
              <w:bottom w:val="nil"/>
              <w:right w:val="nil"/>
            </w:tcBorders>
            <w:noWrap/>
            <w:vAlign w:val="center"/>
          </w:tcPr>
          <w:p w14:paraId="28C65DFC" w14:textId="0E89C893" w:rsidR="004C3E26" w:rsidRPr="004D28EF" w:rsidRDefault="008F433C" w:rsidP="008F433C">
            <w:pPr>
              <w:jc w:val="center"/>
              <w:rPr>
                <w:rFonts w:ascii="CAIXA Std Book" w:hAnsi="CAIXA Std Book"/>
                <w:color w:val="2F75B5"/>
                <w:sz w:val="16"/>
                <w:szCs w:val="16"/>
              </w:rPr>
            </w:pPr>
            <w:r>
              <w:rPr>
                <w:rFonts w:ascii="CAIXA Std Book" w:hAnsi="CAIXA Std Book" w:cs="Arial"/>
                <w:color w:val="005CA9"/>
                <w:sz w:val="16"/>
                <w:szCs w:val="16"/>
              </w:rPr>
              <w:t>-</w:t>
            </w:r>
          </w:p>
        </w:tc>
        <w:tc>
          <w:tcPr>
            <w:tcW w:w="480" w:type="pct"/>
            <w:tcBorders>
              <w:top w:val="nil"/>
              <w:left w:val="nil"/>
              <w:bottom w:val="nil"/>
              <w:right w:val="nil"/>
            </w:tcBorders>
            <w:noWrap/>
            <w:vAlign w:val="center"/>
          </w:tcPr>
          <w:p w14:paraId="5D105A05" w14:textId="56E07AEE" w:rsidR="004C3E26" w:rsidRPr="00712D47" w:rsidRDefault="008F433C" w:rsidP="008F433C">
            <w:pPr>
              <w:jc w:val="center"/>
              <w:rPr>
                <w:rFonts w:ascii="CAIXA Std Book" w:hAnsi="CAIXA Std Book" w:cs="Arial"/>
                <w:color w:val="005CA9"/>
                <w:sz w:val="16"/>
                <w:szCs w:val="16"/>
              </w:rPr>
            </w:pPr>
            <w:r>
              <w:rPr>
                <w:rFonts w:ascii="CAIXA Std Book" w:hAnsi="CAIXA Std Book" w:cs="Arial"/>
                <w:color w:val="005CA9"/>
                <w:sz w:val="16"/>
                <w:szCs w:val="16"/>
              </w:rPr>
              <w:t>-</w:t>
            </w:r>
          </w:p>
        </w:tc>
        <w:tc>
          <w:tcPr>
            <w:tcW w:w="336" w:type="pct"/>
            <w:tcBorders>
              <w:top w:val="nil"/>
              <w:left w:val="nil"/>
              <w:bottom w:val="nil"/>
              <w:right w:val="nil"/>
            </w:tcBorders>
            <w:noWrap/>
            <w:vAlign w:val="center"/>
          </w:tcPr>
          <w:p w14:paraId="575A6AF9" w14:textId="7CD8D9E5" w:rsidR="004C3E26" w:rsidRPr="00712D47" w:rsidRDefault="008F433C" w:rsidP="008F433C">
            <w:pPr>
              <w:jc w:val="center"/>
              <w:rPr>
                <w:rFonts w:ascii="CAIXA Std Book" w:hAnsi="CAIXA Std Book" w:cs="Arial"/>
                <w:color w:val="005CA9"/>
                <w:sz w:val="16"/>
                <w:szCs w:val="16"/>
              </w:rPr>
            </w:pPr>
            <w:r w:rsidRPr="00712D47">
              <w:rPr>
                <w:rFonts w:ascii="CAIXA Std Book" w:hAnsi="CAIXA Std Book" w:cs="Arial"/>
                <w:color w:val="005CA9"/>
                <w:sz w:val="16"/>
                <w:szCs w:val="16"/>
              </w:rPr>
              <w:t>-</w:t>
            </w:r>
          </w:p>
        </w:tc>
        <w:tc>
          <w:tcPr>
            <w:tcW w:w="376" w:type="pct"/>
            <w:tcBorders>
              <w:top w:val="nil"/>
              <w:left w:val="nil"/>
              <w:bottom w:val="nil"/>
              <w:right w:val="nil"/>
            </w:tcBorders>
            <w:noWrap/>
            <w:vAlign w:val="center"/>
          </w:tcPr>
          <w:p w14:paraId="42C6C7A5" w14:textId="262C1370" w:rsidR="004C3E26" w:rsidRPr="004D28EF" w:rsidRDefault="008F433C" w:rsidP="008F433C">
            <w:pPr>
              <w:jc w:val="center"/>
              <w:rPr>
                <w:rFonts w:ascii="CAIXA Std Book" w:hAnsi="CAIXA Std Book"/>
                <w:sz w:val="16"/>
                <w:szCs w:val="16"/>
              </w:rPr>
            </w:pPr>
            <w:r>
              <w:rPr>
                <w:rFonts w:ascii="CAIXA Std Book" w:hAnsi="CAIXA Std Book" w:cs="Arial"/>
                <w:color w:val="005CA9"/>
                <w:sz w:val="16"/>
                <w:szCs w:val="16"/>
              </w:rPr>
              <w:t>-</w:t>
            </w:r>
          </w:p>
        </w:tc>
        <w:tc>
          <w:tcPr>
            <w:tcW w:w="374" w:type="pct"/>
            <w:tcBorders>
              <w:top w:val="nil"/>
              <w:left w:val="nil"/>
              <w:bottom w:val="nil"/>
              <w:right w:val="nil"/>
            </w:tcBorders>
            <w:vAlign w:val="center"/>
          </w:tcPr>
          <w:p w14:paraId="5EE5E213" w14:textId="44940AF8" w:rsidR="004C3E26" w:rsidRPr="004D28EF" w:rsidRDefault="004C3E26" w:rsidP="00F853C1">
            <w:pPr>
              <w:ind w:right="104"/>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(620)</w:t>
            </w:r>
          </w:p>
        </w:tc>
        <w:tc>
          <w:tcPr>
            <w:tcW w:w="2" w:type="pct"/>
            <w:vAlign w:val="center"/>
            <w:hideMark/>
          </w:tcPr>
          <w:p w14:paraId="341EEAA4" w14:textId="77777777" w:rsidR="004C3E26" w:rsidRPr="004D28EF" w:rsidRDefault="004C3E26" w:rsidP="004C3E26">
            <w:pPr>
              <w:rPr>
                <w:rFonts w:ascii="CAIXA Std Book" w:hAnsi="CAIXA Std Book"/>
                <w:sz w:val="16"/>
                <w:szCs w:val="16"/>
              </w:rPr>
            </w:pPr>
          </w:p>
        </w:tc>
      </w:tr>
      <w:tr w:rsidR="004C3E26" w:rsidRPr="004D28EF" w14:paraId="48B05A3E" w14:textId="77777777" w:rsidTr="00833620">
        <w:trPr>
          <w:trHeight w:val="283"/>
        </w:trPr>
        <w:tc>
          <w:tcPr>
            <w:tcW w:w="644" w:type="pct"/>
            <w:tcBorders>
              <w:top w:val="nil"/>
              <w:left w:val="nil"/>
              <w:bottom w:val="nil"/>
              <w:right w:val="nil"/>
            </w:tcBorders>
            <w:vAlign w:val="center"/>
          </w:tcPr>
          <w:p w14:paraId="56AC9E6D" w14:textId="7E75B4D7" w:rsidR="004C3E26" w:rsidRPr="004D28EF" w:rsidRDefault="004C3E26" w:rsidP="004C3E26">
            <w:pPr>
              <w:rPr>
                <w:rFonts w:ascii="CAIXA Std Book" w:hAnsi="CAIXA Std Book"/>
                <w:color w:val="005CA9"/>
                <w:sz w:val="16"/>
                <w:szCs w:val="16"/>
              </w:rPr>
            </w:pPr>
            <w:r w:rsidRPr="002949F2">
              <w:rPr>
                <w:rFonts w:ascii="CAIXA Std Book" w:eastAsia="Times New Roman" w:hAnsi="CAIXA Std Book" w:cs="Times New Roman"/>
                <w:color w:val="005CA9"/>
                <w:sz w:val="16"/>
                <w:szCs w:val="16"/>
              </w:rPr>
              <w:t>Núclea</w:t>
            </w:r>
          </w:p>
        </w:tc>
        <w:tc>
          <w:tcPr>
            <w:tcW w:w="245" w:type="pct"/>
            <w:tcBorders>
              <w:top w:val="nil"/>
              <w:left w:val="nil"/>
              <w:bottom w:val="nil"/>
              <w:right w:val="nil"/>
            </w:tcBorders>
            <w:noWrap/>
            <w:vAlign w:val="center"/>
          </w:tcPr>
          <w:p w14:paraId="3746AC37" w14:textId="04A799C4"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8,18%</w:t>
            </w:r>
          </w:p>
        </w:tc>
        <w:tc>
          <w:tcPr>
            <w:tcW w:w="327" w:type="pct"/>
            <w:tcBorders>
              <w:top w:val="nil"/>
              <w:left w:val="nil"/>
              <w:bottom w:val="nil"/>
              <w:right w:val="nil"/>
            </w:tcBorders>
            <w:vAlign w:val="center"/>
          </w:tcPr>
          <w:p w14:paraId="2D49940C" w14:textId="2CC298D8"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8,18%</w:t>
            </w:r>
          </w:p>
        </w:tc>
        <w:tc>
          <w:tcPr>
            <w:tcW w:w="238" w:type="pct"/>
            <w:tcBorders>
              <w:top w:val="nil"/>
              <w:left w:val="nil"/>
              <w:bottom w:val="nil"/>
              <w:right w:val="nil"/>
            </w:tcBorders>
            <w:noWrap/>
            <w:vAlign w:val="center"/>
          </w:tcPr>
          <w:p w14:paraId="7AC15092" w14:textId="406E697D"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8,18%</w:t>
            </w:r>
          </w:p>
        </w:tc>
        <w:tc>
          <w:tcPr>
            <w:tcW w:w="323" w:type="pct"/>
            <w:tcBorders>
              <w:top w:val="nil"/>
              <w:left w:val="nil"/>
              <w:bottom w:val="nil"/>
              <w:right w:val="nil"/>
            </w:tcBorders>
            <w:vAlign w:val="center"/>
          </w:tcPr>
          <w:p w14:paraId="653CE46D" w14:textId="66D1C423"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8,18%</w:t>
            </w:r>
          </w:p>
        </w:tc>
        <w:tc>
          <w:tcPr>
            <w:tcW w:w="373" w:type="pct"/>
            <w:tcBorders>
              <w:top w:val="nil"/>
              <w:left w:val="nil"/>
              <w:bottom w:val="nil"/>
              <w:right w:val="nil"/>
            </w:tcBorders>
            <w:noWrap/>
            <w:vAlign w:val="center"/>
          </w:tcPr>
          <w:p w14:paraId="6C141F4F" w14:textId="2C3B28C7" w:rsidR="004C3E26" w:rsidRPr="004D28EF" w:rsidRDefault="002A467E" w:rsidP="008037A4">
            <w:pPr>
              <w:jc w:val="right"/>
              <w:rPr>
                <w:rFonts w:ascii="CAIXA Std Book" w:hAnsi="CAIXA Std Book"/>
                <w:color w:val="005CA9"/>
                <w:sz w:val="16"/>
                <w:szCs w:val="16"/>
              </w:rPr>
            </w:pPr>
            <w:r>
              <w:rPr>
                <w:rFonts w:ascii="CAIXA Std Book" w:hAnsi="CAIXA Std Book" w:cs="Arial"/>
                <w:color w:val="005CA9"/>
                <w:sz w:val="16"/>
                <w:szCs w:val="16"/>
              </w:rPr>
              <w:t>1.959.668</w:t>
            </w:r>
          </w:p>
        </w:tc>
        <w:tc>
          <w:tcPr>
            <w:tcW w:w="383" w:type="pct"/>
            <w:tcBorders>
              <w:top w:val="nil"/>
              <w:left w:val="nil"/>
              <w:bottom w:val="nil"/>
              <w:right w:val="nil"/>
            </w:tcBorders>
            <w:vAlign w:val="center"/>
          </w:tcPr>
          <w:p w14:paraId="5B020140" w14:textId="185E69DB"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1.853.320</w:t>
            </w:r>
          </w:p>
        </w:tc>
        <w:tc>
          <w:tcPr>
            <w:tcW w:w="416" w:type="pct"/>
            <w:tcBorders>
              <w:top w:val="nil"/>
              <w:left w:val="nil"/>
              <w:bottom w:val="nil"/>
              <w:right w:val="nil"/>
            </w:tcBorders>
            <w:noWrap/>
            <w:vAlign w:val="center"/>
          </w:tcPr>
          <w:p w14:paraId="76F6CF49" w14:textId="790FA2B0" w:rsidR="004C3E26" w:rsidRPr="004D28EF" w:rsidRDefault="004C3E26" w:rsidP="008037A4">
            <w:pPr>
              <w:jc w:val="right"/>
              <w:rPr>
                <w:rFonts w:ascii="CAIXA Std Book" w:hAnsi="CAIXA Std Book"/>
                <w:color w:val="2F75B5"/>
                <w:sz w:val="16"/>
                <w:szCs w:val="16"/>
              </w:rPr>
            </w:pPr>
            <w:r w:rsidRPr="002949F2">
              <w:rPr>
                <w:rFonts w:ascii="CAIXA Std Book" w:eastAsia="Times New Roman" w:hAnsi="CAIXA Std Book" w:cs="Times New Roman"/>
                <w:color w:val="005CA9"/>
                <w:sz w:val="16"/>
                <w:szCs w:val="16"/>
              </w:rPr>
              <w:t>151.517</w:t>
            </w:r>
          </w:p>
        </w:tc>
        <w:tc>
          <w:tcPr>
            <w:tcW w:w="483" w:type="pct"/>
            <w:tcBorders>
              <w:top w:val="nil"/>
              <w:left w:val="nil"/>
              <w:bottom w:val="nil"/>
              <w:right w:val="nil"/>
            </w:tcBorders>
            <w:noWrap/>
            <w:vAlign w:val="center"/>
          </w:tcPr>
          <w:p w14:paraId="757B17F5" w14:textId="03F2833D" w:rsidR="004C3E26" w:rsidRPr="004D28EF" w:rsidRDefault="008F433C" w:rsidP="008037A4">
            <w:pPr>
              <w:jc w:val="right"/>
              <w:rPr>
                <w:rFonts w:ascii="CAIXA Std Book" w:hAnsi="CAIXA Std Book"/>
                <w:color w:val="2F75B5"/>
                <w:sz w:val="16"/>
                <w:szCs w:val="16"/>
              </w:rPr>
            </w:pPr>
            <w:r>
              <w:rPr>
                <w:rFonts w:ascii="CAIXA Std Book" w:hAnsi="CAIXA Std Book" w:cs="Arial"/>
                <w:color w:val="005CA9"/>
                <w:sz w:val="16"/>
                <w:szCs w:val="16"/>
              </w:rPr>
              <w:t>8.688</w:t>
            </w:r>
          </w:p>
        </w:tc>
        <w:tc>
          <w:tcPr>
            <w:tcW w:w="480" w:type="pct"/>
            <w:tcBorders>
              <w:top w:val="nil"/>
              <w:left w:val="nil"/>
              <w:bottom w:val="nil"/>
              <w:right w:val="nil"/>
            </w:tcBorders>
            <w:noWrap/>
            <w:vAlign w:val="center"/>
          </w:tcPr>
          <w:p w14:paraId="0E52F656" w14:textId="6BF54528" w:rsidR="004C3E26" w:rsidRPr="00712D47" w:rsidRDefault="008F433C" w:rsidP="008F433C">
            <w:pPr>
              <w:jc w:val="center"/>
              <w:rPr>
                <w:rFonts w:ascii="CAIXA Std Book" w:hAnsi="CAIXA Std Book" w:cs="Arial"/>
                <w:color w:val="005CA9"/>
                <w:sz w:val="16"/>
                <w:szCs w:val="16"/>
              </w:rPr>
            </w:pPr>
            <w:r>
              <w:rPr>
                <w:rFonts w:ascii="CAIXA Std Book" w:hAnsi="CAIXA Std Book" w:cs="Arial"/>
                <w:color w:val="005CA9"/>
                <w:sz w:val="16"/>
                <w:szCs w:val="16"/>
              </w:rPr>
              <w:t>-</w:t>
            </w:r>
          </w:p>
        </w:tc>
        <w:tc>
          <w:tcPr>
            <w:tcW w:w="336" w:type="pct"/>
            <w:tcBorders>
              <w:top w:val="nil"/>
              <w:left w:val="nil"/>
              <w:bottom w:val="nil"/>
              <w:right w:val="nil"/>
            </w:tcBorders>
            <w:noWrap/>
            <w:vAlign w:val="center"/>
          </w:tcPr>
          <w:p w14:paraId="1FC0FD1D" w14:textId="09A15C95" w:rsidR="004C3E26" w:rsidRPr="004D28EF" w:rsidRDefault="008F433C" w:rsidP="008037A4">
            <w:pPr>
              <w:jc w:val="right"/>
              <w:rPr>
                <w:rFonts w:ascii="CAIXA Std Book" w:hAnsi="CAIXA Std Book"/>
                <w:sz w:val="16"/>
                <w:szCs w:val="16"/>
              </w:rPr>
            </w:pPr>
            <w:r>
              <w:rPr>
                <w:rFonts w:ascii="CAIXA Std Book" w:hAnsi="CAIXA Std Book" w:cs="Arial"/>
                <w:color w:val="005CA9"/>
                <w:sz w:val="16"/>
                <w:szCs w:val="16"/>
              </w:rPr>
              <w:t>6</w:t>
            </w:r>
          </w:p>
        </w:tc>
        <w:tc>
          <w:tcPr>
            <w:tcW w:w="376" w:type="pct"/>
            <w:tcBorders>
              <w:top w:val="nil"/>
              <w:left w:val="nil"/>
              <w:bottom w:val="nil"/>
              <w:right w:val="nil"/>
            </w:tcBorders>
            <w:noWrap/>
            <w:vAlign w:val="center"/>
          </w:tcPr>
          <w:p w14:paraId="49BAFA08" w14:textId="0E69740F" w:rsidR="004C3E26" w:rsidRPr="004D28EF" w:rsidRDefault="008F433C" w:rsidP="008037A4">
            <w:pPr>
              <w:jc w:val="right"/>
              <w:rPr>
                <w:rFonts w:ascii="CAIXA Std Book" w:hAnsi="CAIXA Std Book"/>
                <w:sz w:val="16"/>
                <w:szCs w:val="16"/>
              </w:rPr>
            </w:pPr>
            <w:r>
              <w:rPr>
                <w:rFonts w:ascii="CAIXA Std Book" w:hAnsi="CAIXA Std Book" w:cs="Arial"/>
                <w:color w:val="005CA9"/>
                <w:sz w:val="16"/>
                <w:szCs w:val="16"/>
              </w:rPr>
              <w:t>160.211</w:t>
            </w:r>
          </w:p>
        </w:tc>
        <w:tc>
          <w:tcPr>
            <w:tcW w:w="374" w:type="pct"/>
            <w:tcBorders>
              <w:top w:val="nil"/>
              <w:left w:val="nil"/>
              <w:bottom w:val="nil"/>
              <w:right w:val="nil"/>
            </w:tcBorders>
            <w:vAlign w:val="center"/>
          </w:tcPr>
          <w:p w14:paraId="2516DD19" w14:textId="67E1399D" w:rsidR="004C3E26" w:rsidRPr="004D28EF" w:rsidRDefault="004C3E26" w:rsidP="00F853C1">
            <w:pPr>
              <w:ind w:right="104"/>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8.972</w:t>
            </w:r>
          </w:p>
        </w:tc>
        <w:tc>
          <w:tcPr>
            <w:tcW w:w="2" w:type="pct"/>
            <w:vAlign w:val="center"/>
            <w:hideMark/>
          </w:tcPr>
          <w:p w14:paraId="792CD9E7" w14:textId="77777777" w:rsidR="004C3E26" w:rsidRPr="004D28EF" w:rsidRDefault="004C3E26" w:rsidP="004C3E26">
            <w:pPr>
              <w:rPr>
                <w:rFonts w:ascii="CAIXA Std Book" w:hAnsi="CAIXA Std Book"/>
                <w:sz w:val="16"/>
                <w:szCs w:val="16"/>
              </w:rPr>
            </w:pPr>
          </w:p>
        </w:tc>
      </w:tr>
      <w:tr w:rsidR="004C3E26" w:rsidRPr="004D28EF" w14:paraId="27B3D0AF" w14:textId="77777777" w:rsidTr="00833620">
        <w:trPr>
          <w:trHeight w:val="283"/>
        </w:trPr>
        <w:tc>
          <w:tcPr>
            <w:tcW w:w="644" w:type="pct"/>
            <w:tcBorders>
              <w:top w:val="nil"/>
              <w:left w:val="nil"/>
              <w:bottom w:val="nil"/>
              <w:right w:val="nil"/>
            </w:tcBorders>
            <w:vAlign w:val="center"/>
          </w:tcPr>
          <w:p w14:paraId="3082E8F2" w14:textId="466C29A8" w:rsidR="004C3E26" w:rsidRPr="004D28EF" w:rsidRDefault="004C3E26" w:rsidP="004C3E26">
            <w:pPr>
              <w:rPr>
                <w:rFonts w:ascii="CAIXA Std Book" w:hAnsi="CAIXA Std Book"/>
                <w:color w:val="005CA9"/>
                <w:sz w:val="16"/>
                <w:szCs w:val="16"/>
              </w:rPr>
            </w:pPr>
            <w:r w:rsidRPr="002949F2">
              <w:rPr>
                <w:rFonts w:ascii="CAIXA Std Book" w:eastAsia="Times New Roman" w:hAnsi="CAIXA Std Book" w:cs="Times New Roman"/>
                <w:color w:val="005CA9"/>
                <w:sz w:val="16"/>
                <w:szCs w:val="16"/>
              </w:rPr>
              <w:t xml:space="preserve">Outros investimentos (3) </w:t>
            </w:r>
          </w:p>
        </w:tc>
        <w:tc>
          <w:tcPr>
            <w:tcW w:w="245" w:type="pct"/>
            <w:tcBorders>
              <w:top w:val="nil"/>
              <w:left w:val="nil"/>
              <w:bottom w:val="nil"/>
              <w:right w:val="nil"/>
            </w:tcBorders>
            <w:noWrap/>
            <w:vAlign w:val="center"/>
          </w:tcPr>
          <w:p w14:paraId="292F5F63" w14:textId="667CFD03" w:rsidR="004C3E26" w:rsidRPr="004D28EF" w:rsidRDefault="00ED5DCE" w:rsidP="00ED5DCE">
            <w:pPr>
              <w:jc w:val="center"/>
              <w:rPr>
                <w:rFonts w:ascii="CAIXA Std Book" w:hAnsi="CAIXA Std Book"/>
                <w:color w:val="005CA9"/>
                <w:sz w:val="16"/>
                <w:szCs w:val="16"/>
              </w:rPr>
            </w:pPr>
            <w:r>
              <w:rPr>
                <w:rFonts w:ascii="CAIXA Std Book" w:hAnsi="CAIXA Std Book"/>
                <w:color w:val="005CA9"/>
                <w:sz w:val="16"/>
                <w:szCs w:val="16"/>
              </w:rPr>
              <w:t>-</w:t>
            </w:r>
          </w:p>
        </w:tc>
        <w:tc>
          <w:tcPr>
            <w:tcW w:w="327" w:type="pct"/>
            <w:tcBorders>
              <w:top w:val="nil"/>
              <w:left w:val="nil"/>
              <w:bottom w:val="nil"/>
              <w:right w:val="nil"/>
            </w:tcBorders>
            <w:vAlign w:val="center"/>
          </w:tcPr>
          <w:p w14:paraId="196B19C8" w14:textId="64034969" w:rsidR="004C3E26" w:rsidRPr="004D28EF" w:rsidRDefault="00ED5DCE" w:rsidP="00ED5DCE">
            <w:pPr>
              <w:jc w:val="center"/>
              <w:rPr>
                <w:rFonts w:ascii="CAIXA Std Book" w:hAnsi="CAIXA Std Book"/>
                <w:color w:val="005CA9"/>
                <w:sz w:val="16"/>
                <w:szCs w:val="16"/>
              </w:rPr>
            </w:pPr>
            <w:r>
              <w:rPr>
                <w:rFonts w:ascii="CAIXA Std Book" w:hAnsi="CAIXA Std Book"/>
                <w:color w:val="005CA9"/>
                <w:sz w:val="16"/>
                <w:szCs w:val="16"/>
              </w:rPr>
              <w:t>-</w:t>
            </w:r>
          </w:p>
        </w:tc>
        <w:tc>
          <w:tcPr>
            <w:tcW w:w="238" w:type="pct"/>
            <w:tcBorders>
              <w:top w:val="nil"/>
              <w:left w:val="nil"/>
              <w:bottom w:val="nil"/>
              <w:right w:val="nil"/>
            </w:tcBorders>
            <w:noWrap/>
            <w:vAlign w:val="center"/>
          </w:tcPr>
          <w:p w14:paraId="3CC8C5B4" w14:textId="6D241B81" w:rsidR="004C3E26" w:rsidRPr="004D28EF" w:rsidRDefault="00ED5DCE" w:rsidP="00ED5DCE">
            <w:pPr>
              <w:jc w:val="center"/>
              <w:rPr>
                <w:rFonts w:ascii="CAIXA Std Book" w:hAnsi="CAIXA Std Book"/>
                <w:color w:val="005CA9"/>
                <w:sz w:val="16"/>
                <w:szCs w:val="16"/>
              </w:rPr>
            </w:pPr>
            <w:r>
              <w:rPr>
                <w:rFonts w:ascii="CAIXA Std Book" w:hAnsi="CAIXA Std Book"/>
                <w:color w:val="005CA9"/>
                <w:sz w:val="16"/>
                <w:szCs w:val="16"/>
              </w:rPr>
              <w:t>-</w:t>
            </w:r>
          </w:p>
        </w:tc>
        <w:tc>
          <w:tcPr>
            <w:tcW w:w="323" w:type="pct"/>
            <w:tcBorders>
              <w:top w:val="nil"/>
              <w:left w:val="nil"/>
              <w:bottom w:val="nil"/>
              <w:right w:val="nil"/>
            </w:tcBorders>
            <w:vAlign w:val="center"/>
          </w:tcPr>
          <w:p w14:paraId="7D555F22" w14:textId="1D402651" w:rsidR="004C3E26" w:rsidRPr="004D28EF" w:rsidRDefault="00ED5DCE" w:rsidP="00ED5DCE">
            <w:pPr>
              <w:jc w:val="center"/>
              <w:rPr>
                <w:rFonts w:ascii="CAIXA Std Book" w:hAnsi="CAIXA Std Book"/>
                <w:color w:val="005CA9"/>
                <w:sz w:val="16"/>
                <w:szCs w:val="16"/>
              </w:rPr>
            </w:pPr>
            <w:r>
              <w:rPr>
                <w:rFonts w:ascii="CAIXA Std Book" w:hAnsi="CAIXA Std Book"/>
                <w:color w:val="005CA9"/>
                <w:sz w:val="16"/>
                <w:szCs w:val="16"/>
              </w:rPr>
              <w:t>-</w:t>
            </w:r>
          </w:p>
        </w:tc>
        <w:tc>
          <w:tcPr>
            <w:tcW w:w="373" w:type="pct"/>
            <w:tcBorders>
              <w:top w:val="nil"/>
              <w:left w:val="nil"/>
              <w:bottom w:val="nil"/>
              <w:right w:val="nil"/>
            </w:tcBorders>
            <w:noWrap/>
            <w:vAlign w:val="center"/>
          </w:tcPr>
          <w:p w14:paraId="4F2F85E6" w14:textId="0CE9DB7A" w:rsidR="004C3E26" w:rsidRPr="004D28EF" w:rsidRDefault="004C3E26" w:rsidP="008037A4">
            <w:pPr>
              <w:jc w:val="right"/>
              <w:rPr>
                <w:rFonts w:ascii="CAIXA Std Book" w:hAnsi="CAIXA Std Book"/>
                <w:color w:val="005CA9"/>
                <w:sz w:val="16"/>
                <w:szCs w:val="16"/>
              </w:rPr>
            </w:pPr>
            <w:r>
              <w:rPr>
                <w:rFonts w:ascii="CAIXA Std Book" w:hAnsi="CAIXA Std Book" w:cs="Arial"/>
                <w:color w:val="005CA9"/>
                <w:sz w:val="16"/>
                <w:szCs w:val="16"/>
              </w:rPr>
              <w:t>136</w:t>
            </w:r>
          </w:p>
        </w:tc>
        <w:tc>
          <w:tcPr>
            <w:tcW w:w="383" w:type="pct"/>
            <w:tcBorders>
              <w:top w:val="nil"/>
              <w:left w:val="nil"/>
              <w:bottom w:val="nil"/>
              <w:right w:val="nil"/>
            </w:tcBorders>
            <w:vAlign w:val="center"/>
          </w:tcPr>
          <w:p w14:paraId="6D30ADC8" w14:textId="57954CE2" w:rsidR="004C3E26" w:rsidRPr="004D28EF" w:rsidRDefault="004C3E26" w:rsidP="008037A4">
            <w:pPr>
              <w:jc w:val="right"/>
              <w:rPr>
                <w:rFonts w:ascii="CAIXA Std Book" w:hAnsi="CAIXA Std Book"/>
                <w:color w:val="005CA9"/>
                <w:sz w:val="16"/>
                <w:szCs w:val="16"/>
              </w:rPr>
            </w:pPr>
            <w:r w:rsidRPr="002949F2">
              <w:rPr>
                <w:rFonts w:ascii="CAIXA Std Book" w:eastAsia="Times New Roman" w:hAnsi="CAIXA Std Book" w:cs="Times New Roman"/>
                <w:color w:val="005CA9"/>
                <w:sz w:val="16"/>
                <w:szCs w:val="16"/>
              </w:rPr>
              <w:t>136</w:t>
            </w:r>
          </w:p>
        </w:tc>
        <w:tc>
          <w:tcPr>
            <w:tcW w:w="416" w:type="pct"/>
            <w:tcBorders>
              <w:top w:val="nil"/>
              <w:left w:val="nil"/>
              <w:bottom w:val="nil"/>
              <w:right w:val="nil"/>
            </w:tcBorders>
            <w:noWrap/>
            <w:vAlign w:val="center"/>
          </w:tcPr>
          <w:p w14:paraId="7F87BAB4" w14:textId="15B35E82" w:rsidR="004C3E26" w:rsidRPr="004D28EF" w:rsidRDefault="004C3E26" w:rsidP="008037A4">
            <w:pPr>
              <w:jc w:val="right"/>
              <w:rPr>
                <w:rFonts w:ascii="CAIXA Std Book" w:hAnsi="CAIXA Std Book"/>
                <w:color w:val="2F75B5"/>
                <w:sz w:val="16"/>
                <w:szCs w:val="16"/>
              </w:rPr>
            </w:pPr>
            <w:r w:rsidRPr="002949F2">
              <w:rPr>
                <w:rFonts w:ascii="CAIXA Std Book" w:eastAsia="Times New Roman" w:hAnsi="CAIXA Std Book" w:cs="Times New Roman"/>
                <w:color w:val="005CA9"/>
                <w:sz w:val="16"/>
                <w:szCs w:val="16"/>
              </w:rPr>
              <w:t>136</w:t>
            </w:r>
          </w:p>
        </w:tc>
        <w:tc>
          <w:tcPr>
            <w:tcW w:w="483" w:type="pct"/>
            <w:tcBorders>
              <w:top w:val="nil"/>
              <w:left w:val="nil"/>
              <w:bottom w:val="nil"/>
              <w:right w:val="nil"/>
            </w:tcBorders>
            <w:noWrap/>
            <w:vAlign w:val="center"/>
          </w:tcPr>
          <w:p w14:paraId="15127EB5" w14:textId="7E961233" w:rsidR="004C3E26" w:rsidRPr="004D28EF" w:rsidRDefault="008F433C" w:rsidP="008F433C">
            <w:pPr>
              <w:jc w:val="center"/>
              <w:rPr>
                <w:rFonts w:ascii="CAIXA Std Book" w:hAnsi="CAIXA Std Book"/>
                <w:color w:val="2F75B5"/>
                <w:sz w:val="16"/>
                <w:szCs w:val="16"/>
              </w:rPr>
            </w:pPr>
            <w:r>
              <w:rPr>
                <w:rFonts w:ascii="CAIXA Std Book" w:hAnsi="CAIXA Std Book" w:cs="Arial"/>
                <w:color w:val="005CA9"/>
                <w:sz w:val="16"/>
                <w:szCs w:val="16"/>
              </w:rPr>
              <w:t>-</w:t>
            </w:r>
          </w:p>
        </w:tc>
        <w:tc>
          <w:tcPr>
            <w:tcW w:w="480" w:type="pct"/>
            <w:tcBorders>
              <w:top w:val="nil"/>
              <w:left w:val="nil"/>
              <w:bottom w:val="nil"/>
              <w:right w:val="nil"/>
            </w:tcBorders>
            <w:noWrap/>
            <w:vAlign w:val="center"/>
          </w:tcPr>
          <w:p w14:paraId="0193AE37" w14:textId="156CCF4A" w:rsidR="004C3E26" w:rsidRPr="00712D47" w:rsidRDefault="008F433C" w:rsidP="008F433C">
            <w:pPr>
              <w:jc w:val="center"/>
              <w:rPr>
                <w:rFonts w:ascii="CAIXA Std Book" w:hAnsi="CAIXA Std Book" w:cs="Arial"/>
                <w:color w:val="005CA9"/>
                <w:sz w:val="16"/>
                <w:szCs w:val="16"/>
              </w:rPr>
            </w:pPr>
            <w:r>
              <w:rPr>
                <w:rFonts w:ascii="CAIXA Std Book" w:hAnsi="CAIXA Std Book" w:cs="Arial"/>
                <w:color w:val="005CA9"/>
                <w:sz w:val="16"/>
                <w:szCs w:val="16"/>
              </w:rPr>
              <w:t>-</w:t>
            </w:r>
          </w:p>
        </w:tc>
        <w:tc>
          <w:tcPr>
            <w:tcW w:w="336" w:type="pct"/>
            <w:tcBorders>
              <w:top w:val="nil"/>
              <w:left w:val="nil"/>
              <w:bottom w:val="nil"/>
              <w:right w:val="nil"/>
            </w:tcBorders>
            <w:noWrap/>
            <w:vAlign w:val="center"/>
          </w:tcPr>
          <w:p w14:paraId="198F19E6" w14:textId="211876EC" w:rsidR="004C3E26" w:rsidRPr="004D28EF" w:rsidRDefault="008F433C" w:rsidP="008F433C">
            <w:pPr>
              <w:jc w:val="center"/>
              <w:rPr>
                <w:rFonts w:ascii="CAIXA Std Book" w:hAnsi="CAIXA Std Book"/>
                <w:sz w:val="16"/>
                <w:szCs w:val="16"/>
              </w:rPr>
            </w:pPr>
            <w:r>
              <w:rPr>
                <w:rFonts w:ascii="CAIXA Std Book" w:hAnsi="CAIXA Std Book" w:cs="Arial"/>
                <w:color w:val="005CA9"/>
                <w:sz w:val="16"/>
                <w:szCs w:val="16"/>
              </w:rPr>
              <w:t>-</w:t>
            </w:r>
          </w:p>
        </w:tc>
        <w:tc>
          <w:tcPr>
            <w:tcW w:w="376" w:type="pct"/>
            <w:tcBorders>
              <w:top w:val="nil"/>
              <w:left w:val="nil"/>
              <w:bottom w:val="nil"/>
              <w:right w:val="nil"/>
            </w:tcBorders>
            <w:noWrap/>
            <w:vAlign w:val="center"/>
          </w:tcPr>
          <w:p w14:paraId="21E13C96" w14:textId="1D3D63FD" w:rsidR="004C3E26" w:rsidRPr="004D28EF" w:rsidRDefault="004C3E26" w:rsidP="008037A4">
            <w:pPr>
              <w:jc w:val="right"/>
              <w:rPr>
                <w:rFonts w:ascii="CAIXA Std Book" w:hAnsi="CAIXA Std Book"/>
                <w:sz w:val="16"/>
                <w:szCs w:val="16"/>
              </w:rPr>
            </w:pPr>
            <w:r w:rsidRPr="002949F2">
              <w:rPr>
                <w:rFonts w:ascii="CAIXA Std Book" w:eastAsia="Times New Roman" w:hAnsi="CAIXA Std Book" w:cs="Times New Roman"/>
                <w:color w:val="005CA9"/>
                <w:sz w:val="16"/>
                <w:szCs w:val="16"/>
              </w:rPr>
              <w:t>136</w:t>
            </w:r>
          </w:p>
        </w:tc>
        <w:tc>
          <w:tcPr>
            <w:tcW w:w="374" w:type="pct"/>
            <w:tcBorders>
              <w:top w:val="nil"/>
              <w:left w:val="nil"/>
              <w:bottom w:val="nil"/>
              <w:right w:val="nil"/>
            </w:tcBorders>
            <w:vAlign w:val="center"/>
          </w:tcPr>
          <w:p w14:paraId="58DE1607" w14:textId="3A9156B4" w:rsidR="004C3E26" w:rsidRPr="004D28EF" w:rsidRDefault="008F433C" w:rsidP="008F433C">
            <w:pPr>
              <w:ind w:right="104"/>
              <w:jc w:val="center"/>
              <w:rPr>
                <w:rFonts w:ascii="CAIXA Std Book" w:hAnsi="CAIXA Std Book"/>
                <w:color w:val="005CA9"/>
                <w:sz w:val="16"/>
                <w:szCs w:val="16"/>
              </w:rPr>
            </w:pPr>
            <w:r>
              <w:rPr>
                <w:rFonts w:ascii="CAIXA Std Book" w:hAnsi="CAIXA Std Book" w:cs="Arial"/>
                <w:color w:val="005CA9"/>
                <w:sz w:val="16"/>
                <w:szCs w:val="16"/>
              </w:rPr>
              <w:t>-</w:t>
            </w:r>
          </w:p>
        </w:tc>
        <w:tc>
          <w:tcPr>
            <w:tcW w:w="2" w:type="pct"/>
            <w:vAlign w:val="center"/>
            <w:hideMark/>
          </w:tcPr>
          <w:p w14:paraId="5AFFF055" w14:textId="77777777" w:rsidR="004C3E26" w:rsidRPr="004D28EF" w:rsidRDefault="004C3E26" w:rsidP="004C3E26">
            <w:pPr>
              <w:rPr>
                <w:rFonts w:ascii="CAIXA Std Book" w:hAnsi="CAIXA Std Book"/>
                <w:sz w:val="16"/>
                <w:szCs w:val="16"/>
              </w:rPr>
            </w:pPr>
          </w:p>
        </w:tc>
      </w:tr>
      <w:tr w:rsidR="004C3E26" w:rsidRPr="004D28EF" w14:paraId="1AF03F64" w14:textId="77777777" w:rsidTr="00833620">
        <w:trPr>
          <w:trHeight w:val="283"/>
        </w:trPr>
        <w:tc>
          <w:tcPr>
            <w:tcW w:w="644" w:type="pct"/>
            <w:tcBorders>
              <w:top w:val="nil"/>
              <w:left w:val="nil"/>
              <w:bottom w:val="nil"/>
              <w:right w:val="nil"/>
            </w:tcBorders>
            <w:shd w:val="clear" w:color="000000" w:fill="005CA9"/>
            <w:vAlign w:val="center"/>
          </w:tcPr>
          <w:p w14:paraId="37FA4568" w14:textId="49B3E281" w:rsidR="004C3E26" w:rsidRPr="004D28EF" w:rsidRDefault="004C3E26" w:rsidP="004C3E26">
            <w:pPr>
              <w:rPr>
                <w:rFonts w:ascii="CAIXA Std Book" w:hAnsi="CAIXA Std Book"/>
                <w:b/>
                <w:bCs/>
                <w:color w:val="FFFFFF"/>
                <w:sz w:val="16"/>
                <w:szCs w:val="16"/>
              </w:rPr>
            </w:pPr>
            <w:r w:rsidRPr="002949F2">
              <w:rPr>
                <w:rFonts w:ascii="CAIXA Std Book" w:eastAsia="Times New Roman" w:hAnsi="CAIXA Std Book" w:cs="Times New Roman"/>
                <w:b/>
                <w:bCs/>
                <w:color w:val="FFFFFF"/>
                <w:sz w:val="16"/>
                <w:szCs w:val="16"/>
              </w:rPr>
              <w:t>Total</w:t>
            </w:r>
          </w:p>
        </w:tc>
        <w:tc>
          <w:tcPr>
            <w:tcW w:w="245" w:type="pct"/>
            <w:tcBorders>
              <w:top w:val="nil"/>
              <w:left w:val="nil"/>
              <w:bottom w:val="nil"/>
              <w:right w:val="nil"/>
            </w:tcBorders>
            <w:shd w:val="clear" w:color="000000" w:fill="005CA9"/>
            <w:noWrap/>
            <w:vAlign w:val="center"/>
          </w:tcPr>
          <w:p w14:paraId="17457D07" w14:textId="100B068C" w:rsidR="004C3E26" w:rsidRPr="004D28EF" w:rsidRDefault="004C3E26" w:rsidP="008037A4">
            <w:pPr>
              <w:jc w:val="right"/>
              <w:rPr>
                <w:rFonts w:ascii="CAIXA Std Book" w:hAnsi="CAIXA Std Book"/>
                <w:color w:val="000000"/>
                <w:sz w:val="16"/>
                <w:szCs w:val="16"/>
              </w:rPr>
            </w:pPr>
          </w:p>
        </w:tc>
        <w:tc>
          <w:tcPr>
            <w:tcW w:w="327" w:type="pct"/>
            <w:tcBorders>
              <w:top w:val="nil"/>
              <w:left w:val="nil"/>
              <w:bottom w:val="nil"/>
              <w:right w:val="nil"/>
            </w:tcBorders>
            <w:shd w:val="clear" w:color="000000" w:fill="005CA9"/>
            <w:noWrap/>
            <w:vAlign w:val="center"/>
          </w:tcPr>
          <w:p w14:paraId="5FDA2BA4" w14:textId="1206EA20" w:rsidR="004C3E26" w:rsidRPr="004D28EF" w:rsidRDefault="004C3E26" w:rsidP="008037A4">
            <w:pPr>
              <w:jc w:val="right"/>
              <w:rPr>
                <w:rFonts w:ascii="CAIXA Std Book" w:hAnsi="CAIXA Std Book"/>
                <w:color w:val="000000"/>
                <w:sz w:val="16"/>
                <w:szCs w:val="16"/>
              </w:rPr>
            </w:pPr>
          </w:p>
        </w:tc>
        <w:tc>
          <w:tcPr>
            <w:tcW w:w="238" w:type="pct"/>
            <w:tcBorders>
              <w:top w:val="nil"/>
              <w:left w:val="nil"/>
              <w:bottom w:val="nil"/>
              <w:right w:val="nil"/>
            </w:tcBorders>
            <w:shd w:val="clear" w:color="000000" w:fill="005CA9"/>
            <w:noWrap/>
            <w:vAlign w:val="center"/>
          </w:tcPr>
          <w:p w14:paraId="4FC911F6" w14:textId="2E50891F" w:rsidR="004C3E26" w:rsidRPr="004D28EF" w:rsidRDefault="004C3E26" w:rsidP="008037A4">
            <w:pPr>
              <w:jc w:val="right"/>
              <w:rPr>
                <w:rFonts w:ascii="CAIXA Std Book" w:hAnsi="CAIXA Std Book"/>
                <w:color w:val="000000"/>
                <w:sz w:val="16"/>
                <w:szCs w:val="16"/>
              </w:rPr>
            </w:pPr>
          </w:p>
        </w:tc>
        <w:tc>
          <w:tcPr>
            <w:tcW w:w="323" w:type="pct"/>
            <w:tcBorders>
              <w:top w:val="nil"/>
              <w:left w:val="nil"/>
              <w:bottom w:val="nil"/>
              <w:right w:val="nil"/>
            </w:tcBorders>
            <w:shd w:val="clear" w:color="000000" w:fill="005CA9"/>
            <w:noWrap/>
            <w:vAlign w:val="center"/>
          </w:tcPr>
          <w:p w14:paraId="6FC2ECF8" w14:textId="62A92647" w:rsidR="004C3E26" w:rsidRPr="004D28EF" w:rsidRDefault="004C3E26" w:rsidP="008037A4">
            <w:pPr>
              <w:jc w:val="right"/>
              <w:rPr>
                <w:rFonts w:ascii="CAIXA Std Book" w:hAnsi="CAIXA Std Book"/>
                <w:color w:val="000000"/>
                <w:sz w:val="16"/>
                <w:szCs w:val="16"/>
              </w:rPr>
            </w:pPr>
          </w:p>
        </w:tc>
        <w:tc>
          <w:tcPr>
            <w:tcW w:w="373" w:type="pct"/>
            <w:tcBorders>
              <w:top w:val="nil"/>
              <w:left w:val="nil"/>
              <w:bottom w:val="nil"/>
              <w:right w:val="nil"/>
            </w:tcBorders>
            <w:shd w:val="clear" w:color="000000" w:fill="005CA9"/>
            <w:noWrap/>
            <w:vAlign w:val="center"/>
          </w:tcPr>
          <w:p w14:paraId="2409E7CC" w14:textId="0E2E5E98" w:rsidR="004C3E26" w:rsidRPr="00691212" w:rsidRDefault="00691212" w:rsidP="008037A4">
            <w:pPr>
              <w:jc w:val="right"/>
              <w:rPr>
                <w:rFonts w:ascii="CAIXA Std Book" w:eastAsia="Times New Roman" w:hAnsi="CAIXA Std Book" w:cs="Times New Roman"/>
                <w:b/>
                <w:color w:val="FFFFFF"/>
                <w:sz w:val="16"/>
                <w:szCs w:val="16"/>
              </w:rPr>
            </w:pPr>
            <w:r w:rsidRPr="00691212">
              <w:rPr>
                <w:rFonts w:ascii="CAIXA Std Book" w:eastAsia="Times New Roman" w:hAnsi="CAIXA Std Book" w:cs="Times New Roman"/>
                <w:b/>
                <w:bCs/>
                <w:color w:val="FFFFFF"/>
                <w:sz w:val="16"/>
                <w:szCs w:val="16"/>
              </w:rPr>
              <w:t>20.528.035</w:t>
            </w:r>
          </w:p>
        </w:tc>
        <w:tc>
          <w:tcPr>
            <w:tcW w:w="383" w:type="pct"/>
            <w:tcBorders>
              <w:top w:val="nil"/>
              <w:left w:val="nil"/>
              <w:bottom w:val="nil"/>
              <w:right w:val="nil"/>
            </w:tcBorders>
            <w:shd w:val="clear" w:color="000000" w:fill="005CA9"/>
            <w:noWrap/>
            <w:vAlign w:val="center"/>
          </w:tcPr>
          <w:p w14:paraId="2B0E40C5" w14:textId="0A4E6E6B" w:rsidR="004C3E26" w:rsidRPr="004D28EF" w:rsidRDefault="004C3E26" w:rsidP="008037A4">
            <w:pPr>
              <w:jc w:val="right"/>
              <w:rPr>
                <w:rFonts w:ascii="CAIXA Std Book" w:hAnsi="CAIXA Std Book"/>
                <w:b/>
                <w:bCs/>
                <w:color w:val="FFFFFF"/>
                <w:sz w:val="16"/>
                <w:szCs w:val="16"/>
              </w:rPr>
            </w:pPr>
            <w:r w:rsidRPr="002949F2">
              <w:rPr>
                <w:rFonts w:ascii="CAIXA Std Book" w:eastAsia="Times New Roman" w:hAnsi="CAIXA Std Book" w:cs="Times New Roman"/>
                <w:b/>
                <w:bCs/>
                <w:color w:val="FFFFFF"/>
                <w:sz w:val="16"/>
                <w:szCs w:val="16"/>
              </w:rPr>
              <w:t>19.314.554</w:t>
            </w:r>
          </w:p>
        </w:tc>
        <w:tc>
          <w:tcPr>
            <w:tcW w:w="416" w:type="pct"/>
            <w:tcBorders>
              <w:top w:val="nil"/>
              <w:left w:val="nil"/>
              <w:bottom w:val="nil"/>
              <w:right w:val="nil"/>
            </w:tcBorders>
            <w:shd w:val="clear" w:color="000000" w:fill="005CA9"/>
            <w:noWrap/>
            <w:vAlign w:val="center"/>
          </w:tcPr>
          <w:p w14:paraId="5CD7A03A" w14:textId="39792F68" w:rsidR="004C3E26" w:rsidRPr="004D28EF" w:rsidRDefault="004C3E26" w:rsidP="008037A4">
            <w:pPr>
              <w:jc w:val="right"/>
              <w:rPr>
                <w:rFonts w:ascii="CAIXA Std Book" w:hAnsi="CAIXA Std Book"/>
                <w:b/>
                <w:bCs/>
                <w:color w:val="FFFFFF"/>
                <w:sz w:val="16"/>
                <w:szCs w:val="16"/>
              </w:rPr>
            </w:pPr>
            <w:r w:rsidRPr="002949F2">
              <w:rPr>
                <w:rFonts w:ascii="CAIXA Std Book" w:eastAsia="Times New Roman" w:hAnsi="CAIXA Std Book" w:cs="Times New Roman"/>
                <w:b/>
                <w:bCs/>
                <w:color w:val="FFFFFF"/>
                <w:sz w:val="16"/>
                <w:szCs w:val="16"/>
              </w:rPr>
              <w:t>13.831.309</w:t>
            </w:r>
          </w:p>
        </w:tc>
        <w:tc>
          <w:tcPr>
            <w:tcW w:w="483" w:type="pct"/>
            <w:tcBorders>
              <w:top w:val="nil"/>
              <w:left w:val="nil"/>
              <w:bottom w:val="nil"/>
              <w:right w:val="nil"/>
            </w:tcBorders>
            <w:shd w:val="clear" w:color="000000" w:fill="005CA9"/>
            <w:noWrap/>
            <w:vAlign w:val="center"/>
          </w:tcPr>
          <w:p w14:paraId="572AC908" w14:textId="56C3144F" w:rsidR="004C3E26" w:rsidRPr="008F433C" w:rsidRDefault="008F433C" w:rsidP="008037A4">
            <w:pPr>
              <w:jc w:val="right"/>
              <w:rPr>
                <w:rFonts w:ascii="CAIXA Std Book" w:eastAsia="Times New Roman" w:hAnsi="CAIXA Std Book" w:cs="Times New Roman"/>
                <w:b/>
                <w:color w:val="FFFFFF"/>
                <w:sz w:val="16"/>
                <w:szCs w:val="16"/>
              </w:rPr>
            </w:pPr>
            <w:r w:rsidRPr="008F433C">
              <w:rPr>
                <w:rFonts w:ascii="CAIXA Std Book" w:eastAsia="Times New Roman" w:hAnsi="CAIXA Std Book" w:cs="Times New Roman"/>
                <w:b/>
                <w:bCs/>
                <w:color w:val="FFFFFF"/>
                <w:sz w:val="16"/>
                <w:szCs w:val="16"/>
              </w:rPr>
              <w:t>1.811.286</w:t>
            </w:r>
          </w:p>
        </w:tc>
        <w:tc>
          <w:tcPr>
            <w:tcW w:w="480" w:type="pct"/>
            <w:tcBorders>
              <w:top w:val="nil"/>
              <w:left w:val="nil"/>
              <w:bottom w:val="nil"/>
              <w:right w:val="nil"/>
            </w:tcBorders>
            <w:shd w:val="clear" w:color="000000" w:fill="005CA9"/>
            <w:noWrap/>
            <w:vAlign w:val="center"/>
          </w:tcPr>
          <w:p w14:paraId="1F6F0A54" w14:textId="14EF1150" w:rsidR="004C3E26" w:rsidRPr="008F433C" w:rsidRDefault="008F433C" w:rsidP="008037A4">
            <w:pPr>
              <w:jc w:val="right"/>
              <w:rPr>
                <w:rFonts w:ascii="CAIXA Std Book" w:eastAsia="Times New Roman" w:hAnsi="CAIXA Std Book" w:cs="Times New Roman"/>
                <w:b/>
                <w:color w:val="FFFFFF"/>
                <w:sz w:val="16"/>
                <w:szCs w:val="16"/>
              </w:rPr>
            </w:pPr>
            <w:r w:rsidRPr="008F433C">
              <w:rPr>
                <w:rFonts w:ascii="CAIXA Std Book" w:eastAsia="Times New Roman" w:hAnsi="CAIXA Std Book" w:cs="Times New Roman"/>
                <w:b/>
                <w:bCs/>
                <w:color w:val="FFFFFF"/>
                <w:sz w:val="16"/>
                <w:szCs w:val="16"/>
              </w:rPr>
              <w:t>(792.000)</w:t>
            </w:r>
          </w:p>
        </w:tc>
        <w:tc>
          <w:tcPr>
            <w:tcW w:w="336" w:type="pct"/>
            <w:tcBorders>
              <w:top w:val="nil"/>
              <w:left w:val="nil"/>
              <w:bottom w:val="nil"/>
              <w:right w:val="nil"/>
            </w:tcBorders>
            <w:shd w:val="clear" w:color="000000" w:fill="005CA9"/>
            <w:noWrap/>
            <w:vAlign w:val="center"/>
          </w:tcPr>
          <w:p w14:paraId="01EC0ADE" w14:textId="3E91453E" w:rsidR="004C3E26" w:rsidRPr="008F433C" w:rsidRDefault="008F433C" w:rsidP="008037A4">
            <w:pPr>
              <w:jc w:val="right"/>
              <w:rPr>
                <w:rFonts w:ascii="CAIXA Std Book" w:eastAsia="Times New Roman" w:hAnsi="CAIXA Std Book" w:cs="Times New Roman"/>
                <w:b/>
                <w:color w:val="FFFFFF"/>
                <w:sz w:val="16"/>
                <w:szCs w:val="16"/>
              </w:rPr>
            </w:pPr>
            <w:r w:rsidRPr="008F433C">
              <w:rPr>
                <w:rFonts w:ascii="CAIXA Std Book" w:eastAsia="Times New Roman" w:hAnsi="CAIXA Std Book" w:cs="Times New Roman"/>
                <w:b/>
                <w:bCs/>
                <w:color w:val="FFFFFF"/>
                <w:sz w:val="16"/>
                <w:szCs w:val="16"/>
              </w:rPr>
              <w:t>48.608</w:t>
            </w:r>
          </w:p>
        </w:tc>
        <w:tc>
          <w:tcPr>
            <w:tcW w:w="376" w:type="pct"/>
            <w:tcBorders>
              <w:top w:val="nil"/>
              <w:left w:val="nil"/>
              <w:bottom w:val="nil"/>
              <w:right w:val="nil"/>
            </w:tcBorders>
            <w:shd w:val="clear" w:color="000000" w:fill="005CA9"/>
            <w:noWrap/>
            <w:vAlign w:val="center"/>
          </w:tcPr>
          <w:p w14:paraId="57698BA9" w14:textId="1350870F" w:rsidR="004C3E26" w:rsidRPr="008F433C" w:rsidRDefault="008F433C" w:rsidP="008037A4">
            <w:pPr>
              <w:jc w:val="right"/>
              <w:rPr>
                <w:rFonts w:ascii="CAIXA Std Book" w:eastAsia="Times New Roman" w:hAnsi="CAIXA Std Book" w:cs="Times New Roman"/>
                <w:b/>
                <w:color w:val="FFFFFF"/>
                <w:sz w:val="16"/>
                <w:szCs w:val="16"/>
              </w:rPr>
            </w:pPr>
            <w:r w:rsidRPr="008F433C">
              <w:rPr>
                <w:rFonts w:ascii="CAIXA Std Book" w:eastAsia="Times New Roman" w:hAnsi="CAIXA Std Book" w:cs="Times New Roman"/>
                <w:b/>
                <w:bCs/>
                <w:color w:val="FFFFFF"/>
                <w:sz w:val="16"/>
                <w:szCs w:val="16"/>
              </w:rPr>
              <w:t>14.899.203</w:t>
            </w:r>
          </w:p>
        </w:tc>
        <w:tc>
          <w:tcPr>
            <w:tcW w:w="374" w:type="pct"/>
            <w:tcBorders>
              <w:top w:val="nil"/>
              <w:left w:val="nil"/>
              <w:bottom w:val="nil"/>
              <w:right w:val="nil"/>
            </w:tcBorders>
            <w:shd w:val="clear" w:color="000000" w:fill="005CA9"/>
            <w:noWrap/>
            <w:vAlign w:val="center"/>
          </w:tcPr>
          <w:p w14:paraId="071FC843" w14:textId="5CB50D56" w:rsidR="004C3E26" w:rsidRPr="004D28EF" w:rsidRDefault="004C3E26" w:rsidP="00F853C1">
            <w:pPr>
              <w:ind w:right="104"/>
              <w:jc w:val="right"/>
              <w:rPr>
                <w:rFonts w:ascii="CAIXA Std Book" w:hAnsi="CAIXA Std Book"/>
                <w:b/>
                <w:bCs/>
                <w:color w:val="FFFFFF"/>
                <w:sz w:val="16"/>
                <w:szCs w:val="16"/>
              </w:rPr>
            </w:pPr>
            <w:r w:rsidRPr="002949F2">
              <w:rPr>
                <w:rFonts w:ascii="CAIXA Std Book" w:eastAsia="Times New Roman" w:hAnsi="CAIXA Std Book" w:cs="Times New Roman"/>
                <w:b/>
                <w:bCs/>
                <w:color w:val="FFFFFF"/>
                <w:sz w:val="16"/>
                <w:szCs w:val="16"/>
              </w:rPr>
              <w:t>1.200.039</w:t>
            </w:r>
          </w:p>
        </w:tc>
        <w:tc>
          <w:tcPr>
            <w:tcW w:w="2" w:type="pct"/>
            <w:vAlign w:val="center"/>
            <w:hideMark/>
          </w:tcPr>
          <w:p w14:paraId="6952721A" w14:textId="77777777" w:rsidR="004C3E26" w:rsidRPr="004D28EF" w:rsidRDefault="004C3E26" w:rsidP="004C3E26">
            <w:pPr>
              <w:rPr>
                <w:rFonts w:ascii="CAIXA Std Book" w:hAnsi="CAIXA Std Book"/>
                <w:sz w:val="16"/>
                <w:szCs w:val="16"/>
              </w:rPr>
            </w:pPr>
          </w:p>
        </w:tc>
      </w:tr>
    </w:tbl>
    <w:p w14:paraId="2D444BC8" w14:textId="50AEB5AF" w:rsidR="006F3F15" w:rsidRPr="00571A3B" w:rsidRDefault="006F3F15" w:rsidP="006F3F15">
      <w:pPr>
        <w:rPr>
          <w:rFonts w:ascii="CAIXA Std Book" w:eastAsia="Times New Roman" w:hAnsi="CAIXA Std Book" w:cs="Arial"/>
          <w:color w:val="005CA9"/>
          <w:sz w:val="16"/>
          <w:szCs w:val="16"/>
        </w:rPr>
      </w:pPr>
      <w:r w:rsidRPr="00571A3B">
        <w:rPr>
          <w:rFonts w:ascii="CAIXA Std Book" w:eastAsia="Times New Roman" w:hAnsi="CAIXA Std Book" w:cs="Arial"/>
          <w:color w:val="005CA9"/>
          <w:sz w:val="16"/>
          <w:szCs w:val="16"/>
        </w:rPr>
        <w:t>(</w:t>
      </w:r>
      <w:r>
        <w:rPr>
          <w:rFonts w:ascii="CAIXA Std Book" w:eastAsia="Times New Roman" w:hAnsi="CAIXA Std Book" w:cs="Arial"/>
          <w:color w:val="005CA9"/>
          <w:sz w:val="16"/>
          <w:szCs w:val="16"/>
        </w:rPr>
        <w:t>1</w:t>
      </w:r>
      <w:r w:rsidRPr="00571A3B">
        <w:rPr>
          <w:rFonts w:ascii="CAIXA Std Book" w:eastAsia="Times New Roman" w:hAnsi="CAIXA Std Book" w:cs="Arial"/>
          <w:color w:val="005CA9"/>
          <w:sz w:val="16"/>
          <w:szCs w:val="16"/>
        </w:rPr>
        <w:t xml:space="preserve">) Dividendos e JCP </w:t>
      </w:r>
      <w:r w:rsidR="001D413C">
        <w:rPr>
          <w:rFonts w:ascii="CAIXA Std Book" w:eastAsia="Times New Roman" w:hAnsi="CAIXA Std Book" w:cs="Arial"/>
          <w:color w:val="005CA9"/>
          <w:sz w:val="16"/>
          <w:szCs w:val="16"/>
        </w:rPr>
        <w:t>p</w:t>
      </w:r>
      <w:r w:rsidR="00EB216F">
        <w:rPr>
          <w:rFonts w:ascii="CAIXA Std Book" w:eastAsia="Times New Roman" w:hAnsi="CAIXA Std Book" w:cs="Arial"/>
          <w:color w:val="005CA9"/>
          <w:sz w:val="16"/>
          <w:szCs w:val="16"/>
        </w:rPr>
        <w:t>ropostos</w:t>
      </w:r>
      <w:r w:rsidRPr="00571A3B">
        <w:rPr>
          <w:rFonts w:ascii="CAIXA Std Book" w:eastAsia="Times New Roman" w:hAnsi="CAIXA Std Book" w:cs="Arial"/>
          <w:color w:val="005CA9"/>
          <w:sz w:val="16"/>
          <w:szCs w:val="16"/>
        </w:rPr>
        <w:t xml:space="preserve"> no período totalizaram R$</w:t>
      </w:r>
      <w:r>
        <w:rPr>
          <w:rFonts w:ascii="CAIXA Std Book" w:eastAsia="Times New Roman" w:hAnsi="CAIXA Std Book" w:cs="Arial"/>
          <w:color w:val="005CA9"/>
          <w:sz w:val="16"/>
          <w:szCs w:val="16"/>
        </w:rPr>
        <w:t xml:space="preserve"> </w:t>
      </w:r>
      <w:r w:rsidR="0067502C">
        <w:rPr>
          <w:rFonts w:ascii="CAIXA Std Book" w:eastAsia="Times New Roman" w:hAnsi="CAIXA Std Book" w:cs="Arial"/>
          <w:color w:val="005CA9"/>
          <w:sz w:val="16"/>
          <w:szCs w:val="16"/>
        </w:rPr>
        <w:t>792.000</w:t>
      </w:r>
      <w:r w:rsidR="00674BF1">
        <w:rPr>
          <w:rFonts w:ascii="CAIXA Std Book" w:eastAsia="Times New Roman" w:hAnsi="CAIXA Std Book" w:cs="Arial"/>
          <w:color w:val="005CA9"/>
          <w:sz w:val="16"/>
          <w:szCs w:val="16"/>
        </w:rPr>
        <w:t>,</w:t>
      </w:r>
      <w:r w:rsidR="00E459A2">
        <w:rPr>
          <w:rFonts w:ascii="CAIXA Std Book" w:eastAsia="Times New Roman" w:hAnsi="CAIXA Std Book" w:cs="Arial"/>
          <w:color w:val="005CA9"/>
          <w:sz w:val="16"/>
          <w:szCs w:val="16"/>
        </w:rPr>
        <w:t xml:space="preserve"> efetivamente recebidos </w:t>
      </w:r>
      <w:r w:rsidR="00C51896">
        <w:rPr>
          <w:rFonts w:ascii="CAIXA Std Book" w:eastAsia="Times New Roman" w:hAnsi="CAIXA Std Book" w:cs="Arial"/>
          <w:color w:val="005CA9"/>
          <w:sz w:val="16"/>
          <w:szCs w:val="16"/>
        </w:rPr>
        <w:t xml:space="preserve">R$ </w:t>
      </w:r>
      <w:r w:rsidR="00A51DE7">
        <w:rPr>
          <w:rFonts w:ascii="CAIXA Std Book" w:eastAsia="Times New Roman" w:hAnsi="CAIXA Std Book" w:cs="Arial"/>
          <w:color w:val="005CA9"/>
          <w:sz w:val="16"/>
          <w:szCs w:val="16"/>
        </w:rPr>
        <w:t>845.</w:t>
      </w:r>
      <w:r w:rsidR="0067502C">
        <w:rPr>
          <w:rFonts w:ascii="CAIXA Std Book" w:eastAsia="Times New Roman" w:hAnsi="CAIXA Std Book" w:cs="Arial"/>
          <w:color w:val="005CA9"/>
          <w:sz w:val="16"/>
          <w:szCs w:val="16"/>
        </w:rPr>
        <w:t>108</w:t>
      </w:r>
      <w:r w:rsidR="00F05255">
        <w:rPr>
          <w:rFonts w:ascii="CAIXA Std Book" w:eastAsia="Times New Roman" w:hAnsi="CAIXA Std Book" w:cs="Arial"/>
          <w:color w:val="005CA9"/>
          <w:sz w:val="16"/>
          <w:szCs w:val="16"/>
        </w:rPr>
        <w:t>.</w:t>
      </w:r>
    </w:p>
    <w:p w14:paraId="301C104C" w14:textId="152F9392" w:rsidR="006F3F15" w:rsidRDefault="006F3F15" w:rsidP="006F3F15">
      <w:pPr>
        <w:rPr>
          <w:rFonts w:ascii="CAIXA Std Book" w:hAnsi="CAIXA Std Book"/>
          <w:color w:val="005CA9"/>
          <w:sz w:val="16"/>
          <w:szCs w:val="16"/>
        </w:rPr>
      </w:pPr>
      <w:r w:rsidRPr="00C256B3">
        <w:rPr>
          <w:rFonts w:ascii="CAIXA Std Book" w:eastAsia="Times New Roman" w:hAnsi="CAIXA Std Book" w:cs="Arial"/>
          <w:color w:val="005CA9"/>
          <w:sz w:val="16"/>
          <w:szCs w:val="16"/>
        </w:rPr>
        <w:t>(</w:t>
      </w:r>
      <w:r>
        <w:rPr>
          <w:rFonts w:ascii="CAIXA Std Book" w:eastAsia="Times New Roman" w:hAnsi="CAIXA Std Book" w:cs="Arial"/>
          <w:color w:val="005CA9"/>
          <w:sz w:val="16"/>
          <w:szCs w:val="16"/>
        </w:rPr>
        <w:t>2</w:t>
      </w:r>
      <w:r w:rsidRPr="00C256B3">
        <w:rPr>
          <w:rFonts w:ascii="CAIXA Std Book" w:eastAsia="Times New Roman" w:hAnsi="CAIXA Std Book" w:cs="Arial"/>
          <w:color w:val="005CA9"/>
          <w:sz w:val="16"/>
          <w:szCs w:val="16"/>
        </w:rPr>
        <w:t xml:space="preserve">) </w:t>
      </w:r>
      <w:r w:rsidR="00217396">
        <w:rPr>
          <w:rFonts w:ascii="CAIXA Std Book" w:eastAsia="Times New Roman" w:hAnsi="CAIXA Std Book" w:cs="Arial"/>
          <w:color w:val="005CA9"/>
          <w:sz w:val="16"/>
          <w:szCs w:val="16"/>
        </w:rPr>
        <w:t>A</w:t>
      </w:r>
      <w:r w:rsidRPr="00C256B3">
        <w:rPr>
          <w:rFonts w:ascii="CAIXA Std Book" w:eastAsia="Times New Roman" w:hAnsi="CAIXA Std Book" w:cs="Arial"/>
          <w:color w:val="005CA9"/>
          <w:sz w:val="16"/>
          <w:szCs w:val="16"/>
        </w:rPr>
        <w:t xml:space="preserve"> participação na empresa Galgo </w:t>
      </w:r>
      <w:r w:rsidR="00217396">
        <w:rPr>
          <w:rFonts w:ascii="CAIXA Std Book" w:eastAsia="Times New Roman" w:hAnsi="CAIXA Std Book" w:cs="Arial"/>
          <w:color w:val="005CA9"/>
          <w:sz w:val="16"/>
          <w:szCs w:val="16"/>
        </w:rPr>
        <w:t xml:space="preserve">foi alienada </w:t>
      </w:r>
      <w:r w:rsidRPr="00C256B3">
        <w:rPr>
          <w:rFonts w:ascii="CAIXA Std Book" w:eastAsia="Times New Roman" w:hAnsi="CAIXA Std Book" w:cs="Arial"/>
          <w:color w:val="005CA9"/>
          <w:sz w:val="16"/>
          <w:szCs w:val="16"/>
        </w:rPr>
        <w:t>em 05/2025 pelo valor de R$ 3</w:t>
      </w:r>
      <w:r>
        <w:rPr>
          <w:rFonts w:ascii="CAIXA Std Book" w:eastAsia="Times New Roman" w:hAnsi="CAIXA Std Book" w:cs="Arial"/>
          <w:color w:val="005CA9"/>
          <w:sz w:val="16"/>
          <w:szCs w:val="16"/>
        </w:rPr>
        <w:t>.</w:t>
      </w:r>
      <w:r w:rsidRPr="007346F8">
        <w:rPr>
          <w:rFonts w:ascii="CAIXA Std Book" w:eastAsia="Times New Roman" w:hAnsi="CAIXA Std Book" w:cs="Arial"/>
          <w:color w:val="005CA9"/>
          <w:sz w:val="16"/>
          <w:szCs w:val="16"/>
        </w:rPr>
        <w:t>458</w:t>
      </w:r>
      <w:r>
        <w:rPr>
          <w:rFonts w:ascii="CAIXA Std Book" w:eastAsia="Times New Roman" w:hAnsi="CAIXA Std Book" w:cs="Arial"/>
          <w:color w:val="005CA9"/>
          <w:sz w:val="16"/>
          <w:szCs w:val="16"/>
        </w:rPr>
        <w:t>.</w:t>
      </w:r>
      <w:r>
        <w:rPr>
          <w:rStyle w:val="Refdecomentrio"/>
        </w:rPr>
        <w:t xml:space="preserve"> </w:t>
      </w:r>
    </w:p>
    <w:p w14:paraId="71A49204" w14:textId="3FAA08E1" w:rsidR="00D67929" w:rsidRDefault="006F3F15" w:rsidP="006F3F15">
      <w:pPr>
        <w:rPr>
          <w:rStyle w:val="Refdecomentrio"/>
        </w:rPr>
      </w:pPr>
      <w:r w:rsidRPr="00E71E99">
        <w:rPr>
          <w:rFonts w:ascii="CAIXA Std Book" w:eastAsia="Times New Roman" w:hAnsi="CAIXA Std Book" w:cs="Arial"/>
          <w:color w:val="005CA9"/>
          <w:sz w:val="16"/>
          <w:szCs w:val="16"/>
        </w:rPr>
        <w:t>(</w:t>
      </w:r>
      <w:r>
        <w:rPr>
          <w:rFonts w:ascii="CAIXA Std Book" w:eastAsia="Times New Roman" w:hAnsi="CAIXA Std Book" w:cs="Arial"/>
          <w:color w:val="005CA9"/>
          <w:sz w:val="16"/>
          <w:szCs w:val="16"/>
        </w:rPr>
        <w:t>3</w:t>
      </w:r>
      <w:r w:rsidRPr="00E71E99">
        <w:rPr>
          <w:rFonts w:ascii="CAIXA Std Book" w:eastAsia="Times New Roman" w:hAnsi="CAIXA Std Book" w:cs="Arial"/>
          <w:color w:val="005CA9"/>
          <w:sz w:val="16"/>
          <w:szCs w:val="16"/>
        </w:rPr>
        <w:t>) Inclui os investimentos pré-operacionais: Negócios Digitais, Caixa Imóveis</w:t>
      </w:r>
      <w:r>
        <w:rPr>
          <w:rFonts w:ascii="CAIXA Std Book" w:eastAsia="Times New Roman" w:hAnsi="CAIXA Std Book" w:cs="Arial"/>
          <w:color w:val="005CA9"/>
          <w:sz w:val="16"/>
          <w:szCs w:val="16"/>
        </w:rPr>
        <w:t>.</w:t>
      </w:r>
      <w:r w:rsidR="00D67929">
        <w:rPr>
          <w:rStyle w:val="Refdecomentrio"/>
        </w:rPr>
        <w:t xml:space="preserve"> </w:t>
      </w:r>
    </w:p>
    <w:p w14:paraId="0C224ACF" w14:textId="77777777" w:rsidR="00D67929" w:rsidRDefault="00D67929" w:rsidP="00D67929">
      <w:r>
        <w:br w:type="page"/>
      </w:r>
    </w:p>
    <w:tbl>
      <w:tblPr>
        <w:tblW w:w="5000" w:type="pct"/>
        <w:tblLayout w:type="fixed"/>
        <w:tblCellMar>
          <w:left w:w="0" w:type="dxa"/>
          <w:right w:w="0" w:type="dxa"/>
        </w:tblCellMar>
        <w:tblLook w:val="04A0" w:firstRow="1" w:lastRow="0" w:firstColumn="1" w:lastColumn="0" w:noHBand="0" w:noVBand="1"/>
      </w:tblPr>
      <w:tblGrid>
        <w:gridCol w:w="2693"/>
        <w:gridCol w:w="825"/>
        <w:gridCol w:w="825"/>
        <w:gridCol w:w="128"/>
        <w:gridCol w:w="696"/>
        <w:gridCol w:w="825"/>
        <w:gridCol w:w="1072"/>
        <w:gridCol w:w="1157"/>
        <w:gridCol w:w="1139"/>
        <w:gridCol w:w="927"/>
        <w:gridCol w:w="1072"/>
        <w:gridCol w:w="979"/>
        <w:gridCol w:w="1134"/>
        <w:gridCol w:w="1099"/>
      </w:tblGrid>
      <w:tr w:rsidR="001D2E16" w:rsidRPr="004D28EF" w14:paraId="5F6CC73B" w14:textId="77777777" w:rsidTr="00DC5DAC">
        <w:trPr>
          <w:trHeight w:val="255"/>
        </w:trPr>
        <w:tc>
          <w:tcPr>
            <w:tcW w:w="5000" w:type="pct"/>
            <w:gridSpan w:val="14"/>
            <w:tcBorders>
              <w:left w:val="nil"/>
              <w:bottom w:val="single" w:sz="4" w:space="0" w:color="FFFFFF" w:themeColor="background1"/>
              <w:right w:val="nil"/>
            </w:tcBorders>
            <w:shd w:val="clear" w:color="000000" w:fill="005CA9"/>
            <w:vAlign w:val="center"/>
          </w:tcPr>
          <w:p w14:paraId="233FBE1B" w14:textId="77777777" w:rsidR="001D2E16" w:rsidRPr="00AE2DCC" w:rsidRDefault="001D2E16">
            <w:pPr>
              <w:jc w:val="center"/>
              <w:rPr>
                <w:rFonts w:ascii="CAIXA Std Book" w:hAnsi="CAIXA Std Book"/>
                <w:b/>
                <w:bCs/>
                <w:color w:val="FFFFFF"/>
                <w:sz w:val="16"/>
                <w:szCs w:val="16"/>
              </w:rPr>
            </w:pPr>
            <w:r w:rsidRPr="00AE2DCC">
              <w:rPr>
                <w:rFonts w:ascii="CAIXA Std Book" w:hAnsi="CAIXA Std Book"/>
                <w:b/>
                <w:bCs/>
                <w:color w:val="FFFFFF"/>
                <w:sz w:val="16"/>
                <w:szCs w:val="16"/>
              </w:rPr>
              <w:t>Consolidado</w:t>
            </w:r>
          </w:p>
        </w:tc>
      </w:tr>
      <w:tr w:rsidR="001D2E16" w14:paraId="671F08FB" w14:textId="77777777" w:rsidTr="00F3600B">
        <w:trPr>
          <w:trHeight w:val="255"/>
        </w:trPr>
        <w:tc>
          <w:tcPr>
            <w:tcW w:w="924" w:type="pct"/>
            <w:vMerge w:val="restart"/>
            <w:tcBorders>
              <w:top w:val="single" w:sz="4" w:space="0" w:color="FFFFFF" w:themeColor="background1"/>
              <w:left w:val="nil"/>
              <w:bottom w:val="nil"/>
              <w:right w:val="nil"/>
            </w:tcBorders>
            <w:shd w:val="clear" w:color="000000" w:fill="005CA9"/>
            <w:vAlign w:val="center"/>
            <w:hideMark/>
          </w:tcPr>
          <w:p w14:paraId="6B240FD4" w14:textId="77777777" w:rsidR="001D2E16" w:rsidRPr="00AE2DCC" w:rsidRDefault="001D2E16">
            <w:pPr>
              <w:jc w:val="center"/>
              <w:rPr>
                <w:rFonts w:ascii="CAIXA Std Book" w:hAnsi="CAIXA Std Book"/>
                <w:b/>
                <w:color w:val="FFFFFF"/>
                <w:sz w:val="16"/>
                <w:szCs w:val="16"/>
              </w:rPr>
            </w:pPr>
            <w:r w:rsidRPr="00AE2DCC">
              <w:rPr>
                <w:rFonts w:ascii="CAIXA Std Book" w:hAnsi="CAIXA Std Book"/>
                <w:b/>
                <w:color w:val="FFFFFF"/>
                <w:sz w:val="16"/>
                <w:szCs w:val="16"/>
              </w:rPr>
              <w:t>Empresa</w:t>
            </w:r>
          </w:p>
        </w:tc>
        <w:tc>
          <w:tcPr>
            <w:tcW w:w="1132" w:type="pct"/>
            <w:gridSpan w:val="5"/>
            <w:tcBorders>
              <w:top w:val="single" w:sz="4" w:space="0" w:color="FFFFFF" w:themeColor="background1"/>
              <w:left w:val="nil"/>
              <w:bottom w:val="single" w:sz="8" w:space="0" w:color="FFFFFF"/>
              <w:right w:val="nil"/>
            </w:tcBorders>
            <w:shd w:val="clear" w:color="000000" w:fill="005CA9"/>
            <w:vAlign w:val="center"/>
            <w:hideMark/>
          </w:tcPr>
          <w:p w14:paraId="61801959" w14:textId="77777777" w:rsidR="001D2E16" w:rsidRPr="00AE2DCC" w:rsidRDefault="001D2E16">
            <w:pPr>
              <w:jc w:val="center"/>
              <w:rPr>
                <w:rFonts w:ascii="CAIXA Std Book" w:hAnsi="CAIXA Std Book"/>
                <w:b/>
                <w:color w:val="FFFFFF"/>
                <w:sz w:val="16"/>
                <w:szCs w:val="16"/>
              </w:rPr>
            </w:pPr>
            <w:r w:rsidRPr="00AE2DCC">
              <w:rPr>
                <w:rFonts w:ascii="CAIXA Std Book" w:hAnsi="CAIXA Std Book"/>
                <w:b/>
                <w:color w:val="FFFFFF"/>
                <w:sz w:val="16"/>
                <w:szCs w:val="16"/>
              </w:rPr>
              <w:t>% de participação (1)</w:t>
            </w:r>
          </w:p>
        </w:tc>
        <w:tc>
          <w:tcPr>
            <w:tcW w:w="765" w:type="pct"/>
            <w:gridSpan w:val="2"/>
            <w:vMerge w:val="restart"/>
            <w:tcBorders>
              <w:top w:val="single" w:sz="4" w:space="0" w:color="FFFFFF" w:themeColor="background1"/>
              <w:left w:val="nil"/>
              <w:bottom w:val="single" w:sz="8" w:space="0" w:color="FFFFFF"/>
              <w:right w:val="nil"/>
            </w:tcBorders>
            <w:shd w:val="clear" w:color="000000" w:fill="005CA9"/>
            <w:vAlign w:val="center"/>
            <w:hideMark/>
          </w:tcPr>
          <w:p w14:paraId="0A594360" w14:textId="57780E85" w:rsidR="001D2E16" w:rsidRPr="00AE2DCC" w:rsidRDefault="001D2E16">
            <w:pPr>
              <w:jc w:val="center"/>
              <w:rPr>
                <w:rFonts w:ascii="CAIXA Std Book" w:hAnsi="CAIXA Std Book"/>
                <w:b/>
                <w:color w:val="FFFFFF"/>
                <w:sz w:val="16"/>
                <w:szCs w:val="16"/>
              </w:rPr>
            </w:pPr>
            <w:r w:rsidRPr="00AE2DCC">
              <w:rPr>
                <w:rFonts w:ascii="CAIXA Std Book" w:hAnsi="CAIXA Std Book"/>
                <w:b/>
                <w:color w:val="FFFFFF"/>
                <w:sz w:val="16"/>
                <w:szCs w:val="16"/>
              </w:rPr>
              <w:t xml:space="preserve">Patrimônio </w:t>
            </w:r>
            <w:r w:rsidR="00DC5DAC" w:rsidRPr="00AE2DCC">
              <w:rPr>
                <w:rFonts w:ascii="CAIXA Std Book" w:hAnsi="CAIXA Std Book"/>
                <w:b/>
                <w:color w:val="FFFFFF"/>
                <w:sz w:val="16"/>
                <w:szCs w:val="16"/>
              </w:rPr>
              <w:t>l</w:t>
            </w:r>
            <w:r w:rsidRPr="00AE2DCC">
              <w:rPr>
                <w:rFonts w:ascii="CAIXA Std Book" w:hAnsi="CAIXA Std Book"/>
                <w:b/>
                <w:color w:val="FFFFFF"/>
                <w:sz w:val="16"/>
                <w:szCs w:val="16"/>
              </w:rPr>
              <w:t>íquido</w:t>
            </w:r>
          </w:p>
        </w:tc>
        <w:tc>
          <w:tcPr>
            <w:tcW w:w="391" w:type="pct"/>
            <w:vMerge w:val="restart"/>
            <w:tcBorders>
              <w:top w:val="single" w:sz="4" w:space="0" w:color="FFFFFF" w:themeColor="background1"/>
              <w:left w:val="nil"/>
              <w:bottom w:val="single" w:sz="8" w:space="0" w:color="FFFFFF"/>
              <w:right w:val="nil"/>
            </w:tcBorders>
            <w:shd w:val="clear" w:color="000000" w:fill="005CA9"/>
            <w:vAlign w:val="center"/>
            <w:hideMark/>
          </w:tcPr>
          <w:p w14:paraId="1D7A7DC3" w14:textId="18667220" w:rsidR="001D2E16" w:rsidRPr="00AE2DCC" w:rsidRDefault="001D2E16">
            <w:pPr>
              <w:jc w:val="center"/>
              <w:rPr>
                <w:rFonts w:ascii="CAIXA Std Book" w:hAnsi="CAIXA Std Book"/>
                <w:b/>
                <w:color w:val="FFFFFF"/>
                <w:sz w:val="16"/>
                <w:szCs w:val="16"/>
              </w:rPr>
            </w:pPr>
            <w:r w:rsidRPr="00AE2DCC">
              <w:rPr>
                <w:rFonts w:ascii="CAIXA Std Book" w:hAnsi="CAIXA Std Book"/>
                <w:b/>
                <w:color w:val="FFFFFF"/>
                <w:sz w:val="16"/>
                <w:szCs w:val="16"/>
              </w:rPr>
              <w:t xml:space="preserve">Valor </w:t>
            </w:r>
            <w:r w:rsidR="00DC5DAC" w:rsidRPr="00AE2DCC">
              <w:rPr>
                <w:rFonts w:ascii="CAIXA Std Book" w:hAnsi="CAIXA Std Book"/>
                <w:b/>
                <w:color w:val="FFFFFF"/>
                <w:sz w:val="16"/>
                <w:szCs w:val="16"/>
              </w:rPr>
              <w:t>c</w:t>
            </w:r>
            <w:r w:rsidRPr="00AE2DCC">
              <w:rPr>
                <w:rFonts w:ascii="CAIXA Std Book" w:hAnsi="CAIXA Std Book"/>
                <w:b/>
                <w:color w:val="FFFFFF"/>
                <w:sz w:val="16"/>
                <w:szCs w:val="16"/>
              </w:rPr>
              <w:t>ontábil</w:t>
            </w:r>
          </w:p>
        </w:tc>
        <w:tc>
          <w:tcPr>
            <w:tcW w:w="1022" w:type="pct"/>
            <w:gridSpan w:val="3"/>
            <w:vMerge w:val="restart"/>
            <w:tcBorders>
              <w:top w:val="single" w:sz="4" w:space="0" w:color="FFFFFF" w:themeColor="background1"/>
              <w:left w:val="nil"/>
              <w:bottom w:val="single" w:sz="8" w:space="0" w:color="FFFFFF"/>
              <w:right w:val="nil"/>
            </w:tcBorders>
            <w:shd w:val="clear" w:color="000000" w:fill="005CA9"/>
            <w:vAlign w:val="center"/>
            <w:hideMark/>
          </w:tcPr>
          <w:p w14:paraId="7F376B0B" w14:textId="77777777" w:rsidR="001D2E16" w:rsidRPr="00AE2DCC" w:rsidRDefault="001D2E16">
            <w:pPr>
              <w:jc w:val="center"/>
              <w:rPr>
                <w:rFonts w:ascii="CAIXA Std Book" w:hAnsi="CAIXA Std Book"/>
                <w:b/>
                <w:color w:val="FFFFFF"/>
                <w:sz w:val="16"/>
                <w:szCs w:val="16"/>
              </w:rPr>
            </w:pPr>
            <w:r w:rsidRPr="00AE2DCC">
              <w:rPr>
                <w:rFonts w:ascii="CAIXA Std Book" w:hAnsi="CAIXA Std Book"/>
                <w:b/>
                <w:color w:val="FFFFFF"/>
                <w:sz w:val="16"/>
                <w:szCs w:val="16"/>
              </w:rPr>
              <w:t>Movimentação</w:t>
            </w:r>
          </w:p>
        </w:tc>
        <w:tc>
          <w:tcPr>
            <w:tcW w:w="389" w:type="pct"/>
            <w:vMerge w:val="restart"/>
            <w:tcBorders>
              <w:top w:val="single" w:sz="4" w:space="0" w:color="FFFFFF" w:themeColor="background1"/>
              <w:left w:val="nil"/>
              <w:bottom w:val="single" w:sz="8" w:space="0" w:color="FFFFFF"/>
              <w:right w:val="nil"/>
            </w:tcBorders>
            <w:shd w:val="clear" w:color="000000" w:fill="005CA9"/>
            <w:vAlign w:val="center"/>
            <w:hideMark/>
          </w:tcPr>
          <w:p w14:paraId="0C127099" w14:textId="61F93AF4" w:rsidR="001D2E16" w:rsidRPr="00AE2DCC" w:rsidRDefault="001D2E16">
            <w:pPr>
              <w:jc w:val="center"/>
              <w:rPr>
                <w:rFonts w:ascii="CAIXA Std Book" w:hAnsi="CAIXA Std Book"/>
                <w:b/>
                <w:color w:val="FFFFFF"/>
                <w:sz w:val="16"/>
                <w:szCs w:val="16"/>
              </w:rPr>
            </w:pPr>
            <w:r w:rsidRPr="00AE2DCC">
              <w:rPr>
                <w:rFonts w:ascii="CAIXA Std Book" w:hAnsi="CAIXA Std Book"/>
                <w:b/>
                <w:color w:val="FFFFFF"/>
                <w:sz w:val="16"/>
                <w:szCs w:val="16"/>
              </w:rPr>
              <w:t xml:space="preserve">Valor </w:t>
            </w:r>
            <w:r w:rsidR="00DC5DAC" w:rsidRPr="00AE2DCC">
              <w:rPr>
                <w:rFonts w:ascii="CAIXA Std Book" w:hAnsi="CAIXA Std Book"/>
                <w:b/>
                <w:color w:val="FFFFFF"/>
                <w:sz w:val="16"/>
                <w:szCs w:val="16"/>
              </w:rPr>
              <w:t>c</w:t>
            </w:r>
            <w:r w:rsidRPr="00AE2DCC">
              <w:rPr>
                <w:rFonts w:ascii="CAIXA Std Book" w:hAnsi="CAIXA Std Book"/>
                <w:b/>
                <w:color w:val="FFFFFF"/>
                <w:sz w:val="16"/>
                <w:szCs w:val="16"/>
              </w:rPr>
              <w:t>ontábil</w:t>
            </w:r>
          </w:p>
        </w:tc>
        <w:tc>
          <w:tcPr>
            <w:tcW w:w="377" w:type="pct"/>
            <w:vMerge w:val="restart"/>
            <w:tcBorders>
              <w:top w:val="single" w:sz="4" w:space="0" w:color="FFFFFF" w:themeColor="background1"/>
              <w:left w:val="nil"/>
              <w:bottom w:val="single" w:sz="8" w:space="0" w:color="FFFFFF"/>
              <w:right w:val="nil"/>
            </w:tcBorders>
            <w:shd w:val="clear" w:color="000000" w:fill="005CA9"/>
            <w:vAlign w:val="center"/>
            <w:hideMark/>
          </w:tcPr>
          <w:p w14:paraId="2E37A53F" w14:textId="77777777" w:rsidR="00DC5DAC" w:rsidRPr="00AE2DCC" w:rsidRDefault="001D2E16">
            <w:pPr>
              <w:jc w:val="center"/>
              <w:rPr>
                <w:rFonts w:ascii="CAIXA Std Book" w:hAnsi="CAIXA Std Book"/>
                <w:b/>
                <w:color w:val="FFFFFF"/>
                <w:sz w:val="16"/>
                <w:szCs w:val="16"/>
              </w:rPr>
            </w:pPr>
            <w:r w:rsidRPr="00AE2DCC">
              <w:rPr>
                <w:rFonts w:ascii="CAIXA Std Book" w:hAnsi="CAIXA Std Book"/>
                <w:b/>
                <w:color w:val="FFFFFF"/>
                <w:sz w:val="16"/>
                <w:szCs w:val="16"/>
              </w:rPr>
              <w:t>Resultado</w:t>
            </w:r>
          </w:p>
          <w:p w14:paraId="3A764AC4" w14:textId="046EEAF0" w:rsidR="001D2E16" w:rsidRPr="00AE2DCC" w:rsidRDefault="001D2E16">
            <w:pPr>
              <w:jc w:val="center"/>
              <w:rPr>
                <w:rFonts w:ascii="CAIXA Std Book" w:hAnsi="CAIXA Std Book"/>
                <w:b/>
                <w:color w:val="FFFFFF"/>
                <w:sz w:val="16"/>
                <w:szCs w:val="16"/>
              </w:rPr>
            </w:pPr>
            <w:r w:rsidRPr="00AE2DCC">
              <w:rPr>
                <w:rFonts w:ascii="CAIXA Std Book" w:hAnsi="CAIXA Std Book"/>
                <w:b/>
                <w:color w:val="FFFFFF"/>
                <w:sz w:val="16"/>
                <w:szCs w:val="16"/>
              </w:rPr>
              <w:t>MEP</w:t>
            </w:r>
          </w:p>
        </w:tc>
      </w:tr>
      <w:tr w:rsidR="001D2E16" w14:paraId="232D7259" w14:textId="77777777" w:rsidTr="00F3600B">
        <w:trPr>
          <w:trHeight w:val="255"/>
        </w:trPr>
        <w:tc>
          <w:tcPr>
            <w:tcW w:w="924" w:type="pct"/>
            <w:vMerge/>
            <w:tcBorders>
              <w:top w:val="nil"/>
              <w:left w:val="nil"/>
              <w:bottom w:val="nil"/>
              <w:right w:val="nil"/>
            </w:tcBorders>
            <w:vAlign w:val="center"/>
            <w:hideMark/>
          </w:tcPr>
          <w:p w14:paraId="2CA885D6" w14:textId="77777777" w:rsidR="001D2E16" w:rsidRPr="00AE2DCC" w:rsidRDefault="001D2E16">
            <w:pPr>
              <w:rPr>
                <w:rFonts w:ascii="CAIXA Std Book" w:hAnsi="CAIXA Std Book"/>
                <w:b/>
                <w:color w:val="FFFFFF"/>
                <w:sz w:val="16"/>
                <w:szCs w:val="16"/>
              </w:rPr>
            </w:pPr>
          </w:p>
        </w:tc>
        <w:tc>
          <w:tcPr>
            <w:tcW w:w="610" w:type="pct"/>
            <w:gridSpan w:val="3"/>
            <w:tcBorders>
              <w:top w:val="single" w:sz="8" w:space="0" w:color="FFFFFF"/>
              <w:left w:val="nil"/>
              <w:bottom w:val="single" w:sz="8" w:space="0" w:color="FFFFFF"/>
              <w:right w:val="nil"/>
            </w:tcBorders>
            <w:shd w:val="clear" w:color="000000" w:fill="005CA9"/>
            <w:vAlign w:val="center"/>
            <w:hideMark/>
          </w:tcPr>
          <w:p w14:paraId="582337DC" w14:textId="77777777" w:rsidR="001D2E16" w:rsidRPr="00AE2DCC" w:rsidRDefault="001D2E16">
            <w:pPr>
              <w:jc w:val="center"/>
              <w:rPr>
                <w:rFonts w:ascii="CAIXA Std Book" w:hAnsi="CAIXA Std Book"/>
                <w:b/>
                <w:color w:val="FFFFFF"/>
                <w:sz w:val="16"/>
                <w:szCs w:val="16"/>
              </w:rPr>
            </w:pPr>
            <w:r w:rsidRPr="00AE2DCC">
              <w:rPr>
                <w:rFonts w:ascii="CAIXA Std Book" w:hAnsi="CAIXA Std Book"/>
                <w:b/>
                <w:color w:val="FFFFFF"/>
                <w:sz w:val="16"/>
                <w:szCs w:val="16"/>
              </w:rPr>
              <w:t>31/03/2026</w:t>
            </w:r>
          </w:p>
        </w:tc>
        <w:tc>
          <w:tcPr>
            <w:tcW w:w="522" w:type="pct"/>
            <w:gridSpan w:val="2"/>
            <w:tcBorders>
              <w:top w:val="single" w:sz="8" w:space="0" w:color="FFFFFF"/>
              <w:left w:val="nil"/>
              <w:bottom w:val="single" w:sz="8" w:space="0" w:color="FFFFFF"/>
              <w:right w:val="nil"/>
            </w:tcBorders>
            <w:shd w:val="clear" w:color="000000" w:fill="005CA9"/>
            <w:vAlign w:val="center"/>
            <w:hideMark/>
          </w:tcPr>
          <w:p w14:paraId="5A22D9F2" w14:textId="77777777" w:rsidR="001D2E16" w:rsidRPr="00AE2DCC" w:rsidRDefault="001D2E16">
            <w:pPr>
              <w:jc w:val="center"/>
              <w:rPr>
                <w:rFonts w:ascii="CAIXA Std Book" w:hAnsi="CAIXA Std Book"/>
                <w:b/>
                <w:color w:val="FFFFFF"/>
                <w:sz w:val="16"/>
                <w:szCs w:val="16"/>
              </w:rPr>
            </w:pPr>
            <w:r w:rsidRPr="00AE2DCC">
              <w:rPr>
                <w:rFonts w:ascii="CAIXA Std Book" w:hAnsi="CAIXA Std Book"/>
                <w:b/>
                <w:color w:val="FFFFFF"/>
                <w:sz w:val="16"/>
                <w:szCs w:val="16"/>
              </w:rPr>
              <w:t>31/12/2025</w:t>
            </w:r>
          </w:p>
        </w:tc>
        <w:tc>
          <w:tcPr>
            <w:tcW w:w="765" w:type="pct"/>
            <w:gridSpan w:val="2"/>
            <w:vMerge/>
            <w:tcBorders>
              <w:top w:val="single" w:sz="8" w:space="0" w:color="FFFFFF"/>
              <w:left w:val="nil"/>
              <w:bottom w:val="single" w:sz="8" w:space="0" w:color="FFFFFF"/>
              <w:right w:val="nil"/>
            </w:tcBorders>
            <w:vAlign w:val="center"/>
            <w:hideMark/>
          </w:tcPr>
          <w:p w14:paraId="06100FC1" w14:textId="77777777" w:rsidR="001D2E16" w:rsidRPr="00AE2DCC" w:rsidRDefault="001D2E16">
            <w:pPr>
              <w:rPr>
                <w:rFonts w:ascii="CAIXA Std Book" w:hAnsi="CAIXA Std Book"/>
                <w:b/>
                <w:color w:val="FFFFFF"/>
                <w:sz w:val="16"/>
                <w:szCs w:val="16"/>
              </w:rPr>
            </w:pPr>
          </w:p>
        </w:tc>
        <w:tc>
          <w:tcPr>
            <w:tcW w:w="391" w:type="pct"/>
            <w:vMerge/>
            <w:tcBorders>
              <w:top w:val="nil"/>
              <w:left w:val="nil"/>
              <w:bottom w:val="single" w:sz="8" w:space="0" w:color="FFFFFF"/>
              <w:right w:val="nil"/>
            </w:tcBorders>
            <w:vAlign w:val="center"/>
            <w:hideMark/>
          </w:tcPr>
          <w:p w14:paraId="313915BD" w14:textId="77777777" w:rsidR="001D2E16" w:rsidRPr="00AE2DCC" w:rsidRDefault="001D2E16">
            <w:pPr>
              <w:rPr>
                <w:rFonts w:ascii="CAIXA Std Book" w:hAnsi="CAIXA Std Book"/>
                <w:b/>
                <w:color w:val="FFFFFF"/>
                <w:sz w:val="16"/>
                <w:szCs w:val="16"/>
              </w:rPr>
            </w:pPr>
          </w:p>
        </w:tc>
        <w:tc>
          <w:tcPr>
            <w:tcW w:w="1022" w:type="pct"/>
            <w:gridSpan w:val="3"/>
            <w:vMerge/>
            <w:tcBorders>
              <w:top w:val="single" w:sz="8" w:space="0" w:color="FFFFFF"/>
              <w:left w:val="nil"/>
              <w:bottom w:val="single" w:sz="8" w:space="0" w:color="FFFFFF"/>
              <w:right w:val="nil"/>
            </w:tcBorders>
            <w:vAlign w:val="center"/>
            <w:hideMark/>
          </w:tcPr>
          <w:p w14:paraId="7603B718" w14:textId="77777777" w:rsidR="001D2E16" w:rsidRPr="00AE2DCC" w:rsidRDefault="001D2E16">
            <w:pPr>
              <w:rPr>
                <w:rFonts w:ascii="CAIXA Std Book" w:hAnsi="CAIXA Std Book"/>
                <w:b/>
                <w:color w:val="FFFFFF"/>
                <w:sz w:val="16"/>
                <w:szCs w:val="16"/>
              </w:rPr>
            </w:pPr>
          </w:p>
        </w:tc>
        <w:tc>
          <w:tcPr>
            <w:tcW w:w="389" w:type="pct"/>
            <w:vMerge/>
            <w:tcBorders>
              <w:top w:val="nil"/>
              <w:left w:val="nil"/>
              <w:bottom w:val="single" w:sz="8" w:space="0" w:color="FFFFFF"/>
              <w:right w:val="nil"/>
            </w:tcBorders>
            <w:vAlign w:val="center"/>
            <w:hideMark/>
          </w:tcPr>
          <w:p w14:paraId="0793FFD8" w14:textId="77777777" w:rsidR="001D2E16" w:rsidRPr="00AE2DCC" w:rsidRDefault="001D2E16">
            <w:pPr>
              <w:rPr>
                <w:rFonts w:ascii="CAIXA Std Book" w:hAnsi="CAIXA Std Book"/>
                <w:b/>
                <w:color w:val="FFFFFF"/>
                <w:sz w:val="16"/>
                <w:szCs w:val="16"/>
              </w:rPr>
            </w:pPr>
          </w:p>
        </w:tc>
        <w:tc>
          <w:tcPr>
            <w:tcW w:w="377" w:type="pct"/>
            <w:vMerge/>
            <w:tcBorders>
              <w:top w:val="nil"/>
              <w:left w:val="nil"/>
              <w:bottom w:val="single" w:sz="8" w:space="0" w:color="FFFFFF"/>
              <w:right w:val="nil"/>
            </w:tcBorders>
            <w:vAlign w:val="center"/>
            <w:hideMark/>
          </w:tcPr>
          <w:p w14:paraId="53CAB924" w14:textId="77777777" w:rsidR="001D2E16" w:rsidRPr="00AE2DCC" w:rsidRDefault="001D2E16">
            <w:pPr>
              <w:rPr>
                <w:rFonts w:ascii="CAIXA Std Book" w:hAnsi="CAIXA Std Book"/>
                <w:b/>
                <w:color w:val="FFFFFF"/>
                <w:sz w:val="16"/>
                <w:szCs w:val="16"/>
              </w:rPr>
            </w:pPr>
          </w:p>
        </w:tc>
      </w:tr>
      <w:tr w:rsidR="001D2E16" w14:paraId="031AF857" w14:textId="77777777" w:rsidTr="00F3600B">
        <w:trPr>
          <w:trHeight w:val="255"/>
        </w:trPr>
        <w:tc>
          <w:tcPr>
            <w:tcW w:w="924" w:type="pct"/>
            <w:vMerge/>
            <w:tcBorders>
              <w:top w:val="nil"/>
              <w:left w:val="nil"/>
              <w:bottom w:val="nil"/>
              <w:right w:val="nil"/>
            </w:tcBorders>
            <w:vAlign w:val="center"/>
            <w:hideMark/>
          </w:tcPr>
          <w:p w14:paraId="218872C3" w14:textId="77777777" w:rsidR="001D2E16" w:rsidRPr="00AE2DCC" w:rsidRDefault="001D2E16">
            <w:pPr>
              <w:rPr>
                <w:rFonts w:ascii="CAIXA Std Book" w:hAnsi="CAIXA Std Book"/>
                <w:b/>
                <w:color w:val="FFFFFF"/>
                <w:sz w:val="16"/>
                <w:szCs w:val="16"/>
              </w:rPr>
            </w:pPr>
          </w:p>
        </w:tc>
        <w:tc>
          <w:tcPr>
            <w:tcW w:w="283" w:type="pct"/>
            <w:vMerge w:val="restart"/>
            <w:tcBorders>
              <w:top w:val="nil"/>
              <w:left w:val="nil"/>
              <w:bottom w:val="nil"/>
              <w:right w:val="nil"/>
            </w:tcBorders>
            <w:shd w:val="clear" w:color="000000" w:fill="005CA9"/>
            <w:vAlign w:val="center"/>
            <w:hideMark/>
          </w:tcPr>
          <w:p w14:paraId="0AA75FAF" w14:textId="77777777" w:rsidR="001D2E16" w:rsidRPr="00AE2DCC" w:rsidRDefault="001D2E16">
            <w:pPr>
              <w:jc w:val="center"/>
              <w:rPr>
                <w:rFonts w:ascii="CAIXA Std Book" w:hAnsi="CAIXA Std Book"/>
                <w:b/>
                <w:color w:val="FFFFFF"/>
                <w:sz w:val="16"/>
                <w:szCs w:val="16"/>
              </w:rPr>
            </w:pPr>
            <w:r w:rsidRPr="00AE2DCC">
              <w:rPr>
                <w:rFonts w:ascii="CAIXA Std Book" w:hAnsi="CAIXA Std Book"/>
                <w:b/>
                <w:color w:val="FFFFFF"/>
                <w:sz w:val="16"/>
                <w:szCs w:val="16"/>
              </w:rPr>
              <w:t>Total</w:t>
            </w:r>
          </w:p>
        </w:tc>
        <w:tc>
          <w:tcPr>
            <w:tcW w:w="283" w:type="pct"/>
            <w:vMerge w:val="restart"/>
            <w:tcBorders>
              <w:top w:val="nil"/>
              <w:left w:val="nil"/>
              <w:bottom w:val="nil"/>
              <w:right w:val="nil"/>
            </w:tcBorders>
            <w:shd w:val="clear" w:color="000000" w:fill="005CA9"/>
            <w:vAlign w:val="center"/>
            <w:hideMark/>
          </w:tcPr>
          <w:p w14:paraId="520E82EE" w14:textId="4CDA1266" w:rsidR="001D2E16" w:rsidRPr="00AE2DCC" w:rsidRDefault="001D2E16">
            <w:pPr>
              <w:jc w:val="center"/>
              <w:rPr>
                <w:rFonts w:ascii="CAIXA Std Book" w:hAnsi="CAIXA Std Book"/>
                <w:b/>
                <w:color w:val="FFFFFF"/>
                <w:sz w:val="16"/>
                <w:szCs w:val="16"/>
              </w:rPr>
            </w:pPr>
            <w:r w:rsidRPr="00AE2DCC">
              <w:rPr>
                <w:rFonts w:ascii="CAIXA Std Book" w:hAnsi="CAIXA Std Book"/>
                <w:b/>
                <w:color w:val="FFFFFF"/>
                <w:sz w:val="16"/>
                <w:szCs w:val="16"/>
              </w:rPr>
              <w:t xml:space="preserve">Ações </w:t>
            </w:r>
            <w:r w:rsidR="00A06232">
              <w:rPr>
                <w:rFonts w:ascii="CAIXA Std Book" w:hAnsi="CAIXA Std Book"/>
                <w:b/>
                <w:color w:val="FFFFFF"/>
                <w:sz w:val="16"/>
                <w:szCs w:val="16"/>
              </w:rPr>
              <w:t>o</w:t>
            </w:r>
            <w:r w:rsidRPr="00AE2DCC">
              <w:rPr>
                <w:rFonts w:ascii="CAIXA Std Book" w:hAnsi="CAIXA Std Book"/>
                <w:b/>
                <w:color w:val="FFFFFF"/>
                <w:sz w:val="16"/>
                <w:szCs w:val="16"/>
              </w:rPr>
              <w:t>rdinárias</w:t>
            </w:r>
          </w:p>
        </w:tc>
        <w:tc>
          <w:tcPr>
            <w:tcW w:w="283" w:type="pct"/>
            <w:gridSpan w:val="2"/>
            <w:vMerge w:val="restart"/>
            <w:tcBorders>
              <w:top w:val="nil"/>
              <w:left w:val="nil"/>
              <w:bottom w:val="nil"/>
              <w:right w:val="nil"/>
            </w:tcBorders>
            <w:shd w:val="clear" w:color="000000" w:fill="005CA9"/>
            <w:vAlign w:val="center"/>
            <w:hideMark/>
          </w:tcPr>
          <w:p w14:paraId="11C1D3CF" w14:textId="77777777" w:rsidR="001D2E16" w:rsidRPr="00AE2DCC" w:rsidRDefault="001D2E16">
            <w:pPr>
              <w:jc w:val="center"/>
              <w:rPr>
                <w:rFonts w:ascii="CAIXA Std Book" w:hAnsi="CAIXA Std Book"/>
                <w:b/>
                <w:color w:val="FFFFFF"/>
                <w:sz w:val="16"/>
                <w:szCs w:val="16"/>
              </w:rPr>
            </w:pPr>
            <w:r w:rsidRPr="00AE2DCC">
              <w:rPr>
                <w:rFonts w:ascii="CAIXA Std Book" w:hAnsi="CAIXA Std Book"/>
                <w:b/>
                <w:color w:val="FFFFFF"/>
                <w:sz w:val="16"/>
                <w:szCs w:val="16"/>
              </w:rPr>
              <w:t>Total</w:t>
            </w:r>
          </w:p>
        </w:tc>
        <w:tc>
          <w:tcPr>
            <w:tcW w:w="283" w:type="pct"/>
            <w:vMerge w:val="restart"/>
            <w:tcBorders>
              <w:top w:val="nil"/>
              <w:left w:val="nil"/>
              <w:bottom w:val="nil"/>
              <w:right w:val="nil"/>
            </w:tcBorders>
            <w:shd w:val="clear" w:color="000000" w:fill="005CA9"/>
            <w:vAlign w:val="center"/>
            <w:hideMark/>
          </w:tcPr>
          <w:p w14:paraId="53E75C87" w14:textId="6523C84D" w:rsidR="001D2E16" w:rsidRPr="00AE2DCC" w:rsidRDefault="001D2E16">
            <w:pPr>
              <w:jc w:val="center"/>
              <w:rPr>
                <w:rFonts w:ascii="CAIXA Std Book" w:hAnsi="CAIXA Std Book"/>
                <w:b/>
                <w:color w:val="FFFFFF"/>
                <w:sz w:val="16"/>
                <w:szCs w:val="16"/>
              </w:rPr>
            </w:pPr>
            <w:r w:rsidRPr="00AE2DCC">
              <w:rPr>
                <w:rFonts w:ascii="CAIXA Std Book" w:hAnsi="CAIXA Std Book"/>
                <w:b/>
                <w:color w:val="FFFFFF"/>
                <w:sz w:val="16"/>
                <w:szCs w:val="16"/>
              </w:rPr>
              <w:t xml:space="preserve">Ações </w:t>
            </w:r>
            <w:r w:rsidR="00A06232">
              <w:rPr>
                <w:rFonts w:ascii="CAIXA Std Book" w:hAnsi="CAIXA Std Book"/>
                <w:b/>
                <w:color w:val="FFFFFF"/>
                <w:sz w:val="16"/>
                <w:szCs w:val="16"/>
              </w:rPr>
              <w:t>o</w:t>
            </w:r>
            <w:r w:rsidRPr="00AE2DCC">
              <w:rPr>
                <w:rFonts w:ascii="CAIXA Std Book" w:hAnsi="CAIXA Std Book"/>
                <w:b/>
                <w:color w:val="FFFFFF"/>
                <w:sz w:val="16"/>
                <w:szCs w:val="16"/>
              </w:rPr>
              <w:t>rdinárias</w:t>
            </w:r>
          </w:p>
        </w:tc>
        <w:tc>
          <w:tcPr>
            <w:tcW w:w="368" w:type="pct"/>
            <w:vMerge w:val="restart"/>
            <w:tcBorders>
              <w:top w:val="nil"/>
              <w:left w:val="nil"/>
              <w:bottom w:val="nil"/>
              <w:right w:val="nil"/>
            </w:tcBorders>
            <w:shd w:val="clear" w:color="000000" w:fill="005CA9"/>
            <w:vAlign w:val="center"/>
            <w:hideMark/>
          </w:tcPr>
          <w:p w14:paraId="6DD586F3" w14:textId="77777777" w:rsidR="001D2E16" w:rsidRPr="00AE2DCC" w:rsidRDefault="001D2E16">
            <w:pPr>
              <w:jc w:val="center"/>
              <w:rPr>
                <w:rFonts w:ascii="CAIXA Std Book" w:hAnsi="CAIXA Std Book"/>
                <w:b/>
                <w:color w:val="FFFFFF"/>
                <w:sz w:val="16"/>
                <w:szCs w:val="16"/>
              </w:rPr>
            </w:pPr>
            <w:r w:rsidRPr="00AE2DCC">
              <w:rPr>
                <w:rFonts w:ascii="CAIXA Std Book" w:hAnsi="CAIXA Std Book"/>
                <w:b/>
                <w:color w:val="FFFFFF"/>
                <w:sz w:val="16"/>
                <w:szCs w:val="16"/>
              </w:rPr>
              <w:t>31/03/2026</w:t>
            </w:r>
          </w:p>
        </w:tc>
        <w:tc>
          <w:tcPr>
            <w:tcW w:w="397" w:type="pct"/>
            <w:vMerge w:val="restart"/>
            <w:tcBorders>
              <w:top w:val="nil"/>
              <w:left w:val="nil"/>
              <w:bottom w:val="nil"/>
              <w:right w:val="nil"/>
            </w:tcBorders>
            <w:shd w:val="clear" w:color="000000" w:fill="005CA9"/>
            <w:vAlign w:val="center"/>
            <w:hideMark/>
          </w:tcPr>
          <w:p w14:paraId="33A7054D" w14:textId="77777777" w:rsidR="001D2E16" w:rsidRPr="00AE2DCC" w:rsidRDefault="001D2E16">
            <w:pPr>
              <w:jc w:val="center"/>
              <w:rPr>
                <w:rFonts w:ascii="CAIXA Std Book" w:hAnsi="CAIXA Std Book"/>
                <w:b/>
                <w:color w:val="FFFFFF"/>
                <w:sz w:val="16"/>
                <w:szCs w:val="16"/>
              </w:rPr>
            </w:pPr>
            <w:r w:rsidRPr="00AE2DCC">
              <w:rPr>
                <w:rFonts w:ascii="CAIXA Std Book" w:hAnsi="CAIXA Std Book"/>
                <w:b/>
                <w:color w:val="FFFFFF"/>
                <w:sz w:val="16"/>
                <w:szCs w:val="16"/>
              </w:rPr>
              <w:t>31/12/2025</w:t>
            </w:r>
          </w:p>
        </w:tc>
        <w:tc>
          <w:tcPr>
            <w:tcW w:w="391" w:type="pct"/>
            <w:vMerge w:val="restart"/>
            <w:tcBorders>
              <w:top w:val="nil"/>
              <w:left w:val="nil"/>
              <w:bottom w:val="nil"/>
              <w:right w:val="nil"/>
            </w:tcBorders>
            <w:shd w:val="clear" w:color="000000" w:fill="005CA9"/>
            <w:vAlign w:val="center"/>
            <w:hideMark/>
          </w:tcPr>
          <w:p w14:paraId="2983198A" w14:textId="77777777" w:rsidR="001D2E16" w:rsidRPr="00AE2DCC" w:rsidRDefault="001D2E16">
            <w:pPr>
              <w:jc w:val="center"/>
              <w:rPr>
                <w:rFonts w:ascii="CAIXA Std Book" w:hAnsi="CAIXA Std Book"/>
                <w:b/>
                <w:color w:val="FFFFFF"/>
                <w:sz w:val="16"/>
                <w:szCs w:val="16"/>
              </w:rPr>
            </w:pPr>
            <w:r w:rsidRPr="00AE2DCC">
              <w:rPr>
                <w:rFonts w:ascii="CAIXA Std Book" w:hAnsi="CAIXA Std Book"/>
                <w:b/>
                <w:color w:val="FFFFFF"/>
                <w:sz w:val="16"/>
                <w:szCs w:val="16"/>
              </w:rPr>
              <w:t>31/12/2025</w:t>
            </w:r>
          </w:p>
        </w:tc>
        <w:tc>
          <w:tcPr>
            <w:tcW w:w="318" w:type="pct"/>
            <w:vMerge w:val="restart"/>
            <w:tcBorders>
              <w:top w:val="nil"/>
              <w:left w:val="nil"/>
              <w:bottom w:val="nil"/>
              <w:right w:val="nil"/>
            </w:tcBorders>
            <w:shd w:val="clear" w:color="000000" w:fill="005CA9"/>
            <w:vAlign w:val="center"/>
            <w:hideMark/>
          </w:tcPr>
          <w:p w14:paraId="25779050" w14:textId="77777777" w:rsidR="001D2E16" w:rsidRPr="00AE2DCC" w:rsidRDefault="001D2E16">
            <w:pPr>
              <w:jc w:val="center"/>
              <w:rPr>
                <w:rFonts w:ascii="CAIXA Std Book" w:hAnsi="CAIXA Std Book"/>
                <w:b/>
                <w:color w:val="FFFFFF"/>
                <w:sz w:val="16"/>
                <w:szCs w:val="16"/>
              </w:rPr>
            </w:pPr>
            <w:r w:rsidRPr="00AE2DCC">
              <w:rPr>
                <w:rFonts w:ascii="CAIXA Std Book" w:hAnsi="CAIXA Std Book"/>
                <w:b/>
                <w:color w:val="FFFFFF"/>
                <w:sz w:val="16"/>
                <w:szCs w:val="16"/>
              </w:rPr>
              <w:t>Resultado MEP</w:t>
            </w:r>
          </w:p>
        </w:tc>
        <w:tc>
          <w:tcPr>
            <w:tcW w:w="368" w:type="pct"/>
            <w:vMerge w:val="restart"/>
            <w:tcBorders>
              <w:top w:val="nil"/>
              <w:left w:val="nil"/>
              <w:bottom w:val="nil"/>
              <w:right w:val="nil"/>
            </w:tcBorders>
            <w:shd w:val="clear" w:color="000000" w:fill="005CA9"/>
            <w:vAlign w:val="center"/>
            <w:hideMark/>
          </w:tcPr>
          <w:p w14:paraId="76E803FB" w14:textId="77777777" w:rsidR="001D2E16" w:rsidRPr="00AE2DCC" w:rsidRDefault="001D2E16">
            <w:pPr>
              <w:jc w:val="center"/>
              <w:rPr>
                <w:rFonts w:ascii="CAIXA Std Book" w:hAnsi="CAIXA Std Book"/>
                <w:b/>
                <w:color w:val="FFFFFF"/>
                <w:sz w:val="16"/>
                <w:szCs w:val="16"/>
              </w:rPr>
            </w:pPr>
            <w:r w:rsidRPr="00AE2DCC">
              <w:rPr>
                <w:rFonts w:ascii="CAIXA Std Book" w:hAnsi="CAIXA Std Book"/>
                <w:b/>
                <w:color w:val="FFFFFF"/>
                <w:sz w:val="16"/>
                <w:szCs w:val="16"/>
              </w:rPr>
              <w:t>Dividendos e JCP (2)</w:t>
            </w:r>
          </w:p>
        </w:tc>
        <w:tc>
          <w:tcPr>
            <w:tcW w:w="336" w:type="pct"/>
            <w:vMerge w:val="restart"/>
            <w:tcBorders>
              <w:top w:val="nil"/>
              <w:left w:val="nil"/>
              <w:bottom w:val="nil"/>
              <w:right w:val="nil"/>
            </w:tcBorders>
            <w:shd w:val="clear" w:color="000000" w:fill="005CA9"/>
            <w:vAlign w:val="center"/>
            <w:hideMark/>
          </w:tcPr>
          <w:p w14:paraId="3DEDB9DB" w14:textId="77777777" w:rsidR="001D2E16" w:rsidRPr="00AE2DCC" w:rsidRDefault="001D2E16">
            <w:pPr>
              <w:jc w:val="center"/>
              <w:rPr>
                <w:rFonts w:ascii="CAIXA Std Book" w:hAnsi="CAIXA Std Book"/>
                <w:b/>
                <w:color w:val="FFFFFF"/>
                <w:sz w:val="16"/>
                <w:szCs w:val="16"/>
              </w:rPr>
            </w:pPr>
            <w:r w:rsidRPr="00AE2DCC">
              <w:rPr>
                <w:rFonts w:ascii="CAIXA Std Book" w:hAnsi="CAIXA Std Book"/>
                <w:b/>
                <w:color w:val="FFFFFF"/>
                <w:sz w:val="16"/>
                <w:szCs w:val="16"/>
              </w:rPr>
              <w:t>Outros</w:t>
            </w:r>
          </w:p>
        </w:tc>
        <w:tc>
          <w:tcPr>
            <w:tcW w:w="389" w:type="pct"/>
            <w:vMerge w:val="restart"/>
            <w:tcBorders>
              <w:top w:val="nil"/>
              <w:left w:val="nil"/>
              <w:bottom w:val="nil"/>
              <w:right w:val="nil"/>
            </w:tcBorders>
            <w:shd w:val="clear" w:color="000000" w:fill="005CA9"/>
            <w:vAlign w:val="center"/>
            <w:hideMark/>
          </w:tcPr>
          <w:p w14:paraId="63FFE232" w14:textId="77777777" w:rsidR="001D2E16" w:rsidRPr="00AE2DCC" w:rsidRDefault="001D2E16">
            <w:pPr>
              <w:jc w:val="center"/>
              <w:rPr>
                <w:rFonts w:ascii="CAIXA Std Book" w:hAnsi="CAIXA Std Book"/>
                <w:b/>
                <w:color w:val="FFFFFF"/>
                <w:sz w:val="16"/>
                <w:szCs w:val="16"/>
              </w:rPr>
            </w:pPr>
            <w:r w:rsidRPr="00AE2DCC">
              <w:rPr>
                <w:rFonts w:ascii="CAIXA Std Book" w:hAnsi="CAIXA Std Book"/>
                <w:b/>
                <w:color w:val="FFFFFF"/>
                <w:sz w:val="16"/>
                <w:szCs w:val="16"/>
              </w:rPr>
              <w:t>31/03/2026</w:t>
            </w:r>
          </w:p>
        </w:tc>
        <w:tc>
          <w:tcPr>
            <w:tcW w:w="377" w:type="pct"/>
            <w:tcBorders>
              <w:top w:val="nil"/>
              <w:left w:val="nil"/>
              <w:bottom w:val="nil"/>
              <w:right w:val="nil"/>
            </w:tcBorders>
            <w:shd w:val="clear" w:color="000000" w:fill="005CA9"/>
            <w:vAlign w:val="center"/>
          </w:tcPr>
          <w:p w14:paraId="6A95779F" w14:textId="77777777" w:rsidR="001D2E16" w:rsidRPr="00AE2DCC" w:rsidRDefault="001D2E16">
            <w:pPr>
              <w:jc w:val="center"/>
              <w:rPr>
                <w:rFonts w:ascii="CAIXA Std Book" w:hAnsi="CAIXA Std Book"/>
                <w:b/>
                <w:color w:val="FFFFFF"/>
                <w:sz w:val="16"/>
                <w:szCs w:val="16"/>
              </w:rPr>
            </w:pPr>
            <w:r w:rsidRPr="00AE2DCC">
              <w:rPr>
                <w:rFonts w:ascii="CAIXA Std Book" w:hAnsi="CAIXA Std Book"/>
                <w:b/>
                <w:color w:val="FFFFFF"/>
                <w:sz w:val="16"/>
                <w:szCs w:val="16"/>
              </w:rPr>
              <w:t>2025</w:t>
            </w:r>
          </w:p>
        </w:tc>
      </w:tr>
      <w:tr w:rsidR="001D2E16" w14:paraId="2B6A00E2" w14:textId="77777777" w:rsidTr="00F3600B">
        <w:trPr>
          <w:trHeight w:val="255"/>
        </w:trPr>
        <w:tc>
          <w:tcPr>
            <w:tcW w:w="924" w:type="pct"/>
            <w:vMerge/>
            <w:tcBorders>
              <w:top w:val="nil"/>
              <w:left w:val="nil"/>
              <w:bottom w:val="nil"/>
              <w:right w:val="nil"/>
            </w:tcBorders>
            <w:vAlign w:val="center"/>
            <w:hideMark/>
          </w:tcPr>
          <w:p w14:paraId="3CB5D276" w14:textId="77777777" w:rsidR="001D2E16" w:rsidRPr="00AE2DCC" w:rsidRDefault="001D2E16">
            <w:pPr>
              <w:rPr>
                <w:rFonts w:ascii="CAIXA Std Book" w:hAnsi="CAIXA Std Book"/>
                <w:b/>
                <w:color w:val="FFFFFF"/>
                <w:sz w:val="16"/>
                <w:szCs w:val="16"/>
              </w:rPr>
            </w:pPr>
          </w:p>
        </w:tc>
        <w:tc>
          <w:tcPr>
            <w:tcW w:w="283" w:type="pct"/>
            <w:vMerge/>
            <w:tcBorders>
              <w:top w:val="nil"/>
              <w:left w:val="nil"/>
              <w:bottom w:val="nil"/>
              <w:right w:val="nil"/>
            </w:tcBorders>
            <w:vAlign w:val="center"/>
            <w:hideMark/>
          </w:tcPr>
          <w:p w14:paraId="2657BCD5" w14:textId="77777777" w:rsidR="001D2E16" w:rsidRPr="00AE2DCC" w:rsidRDefault="001D2E16">
            <w:pPr>
              <w:rPr>
                <w:rFonts w:ascii="CAIXA Std Book" w:hAnsi="CAIXA Std Book"/>
                <w:b/>
                <w:color w:val="FFFFFF"/>
                <w:sz w:val="16"/>
                <w:szCs w:val="16"/>
              </w:rPr>
            </w:pPr>
          </w:p>
        </w:tc>
        <w:tc>
          <w:tcPr>
            <w:tcW w:w="283" w:type="pct"/>
            <w:vMerge/>
            <w:tcBorders>
              <w:top w:val="nil"/>
              <w:left w:val="nil"/>
              <w:bottom w:val="nil"/>
              <w:right w:val="nil"/>
            </w:tcBorders>
            <w:vAlign w:val="center"/>
            <w:hideMark/>
          </w:tcPr>
          <w:p w14:paraId="0EF3F832" w14:textId="77777777" w:rsidR="001D2E16" w:rsidRPr="00AE2DCC" w:rsidRDefault="001D2E16">
            <w:pPr>
              <w:rPr>
                <w:rFonts w:ascii="CAIXA Std Book" w:hAnsi="CAIXA Std Book"/>
                <w:b/>
                <w:color w:val="FFFFFF"/>
                <w:sz w:val="16"/>
                <w:szCs w:val="16"/>
              </w:rPr>
            </w:pPr>
          </w:p>
        </w:tc>
        <w:tc>
          <w:tcPr>
            <w:tcW w:w="283" w:type="pct"/>
            <w:gridSpan w:val="2"/>
            <w:vMerge/>
            <w:tcBorders>
              <w:top w:val="nil"/>
              <w:left w:val="nil"/>
              <w:bottom w:val="nil"/>
              <w:right w:val="nil"/>
            </w:tcBorders>
            <w:vAlign w:val="center"/>
            <w:hideMark/>
          </w:tcPr>
          <w:p w14:paraId="40854E36" w14:textId="77777777" w:rsidR="001D2E16" w:rsidRPr="00AE2DCC" w:rsidRDefault="001D2E16">
            <w:pPr>
              <w:rPr>
                <w:rFonts w:ascii="CAIXA Std Book" w:hAnsi="CAIXA Std Book"/>
                <w:b/>
                <w:color w:val="FFFFFF"/>
                <w:sz w:val="16"/>
                <w:szCs w:val="16"/>
              </w:rPr>
            </w:pPr>
          </w:p>
        </w:tc>
        <w:tc>
          <w:tcPr>
            <w:tcW w:w="283" w:type="pct"/>
            <w:vMerge/>
            <w:tcBorders>
              <w:top w:val="nil"/>
              <w:left w:val="nil"/>
              <w:bottom w:val="nil"/>
              <w:right w:val="nil"/>
            </w:tcBorders>
            <w:vAlign w:val="center"/>
            <w:hideMark/>
          </w:tcPr>
          <w:p w14:paraId="5516425C" w14:textId="77777777" w:rsidR="001D2E16" w:rsidRPr="00AE2DCC" w:rsidRDefault="001D2E16">
            <w:pPr>
              <w:rPr>
                <w:rFonts w:ascii="CAIXA Std Book" w:hAnsi="CAIXA Std Book"/>
                <w:b/>
                <w:color w:val="FFFFFF"/>
                <w:sz w:val="16"/>
                <w:szCs w:val="16"/>
              </w:rPr>
            </w:pPr>
          </w:p>
        </w:tc>
        <w:tc>
          <w:tcPr>
            <w:tcW w:w="368" w:type="pct"/>
            <w:vMerge/>
            <w:tcBorders>
              <w:top w:val="nil"/>
              <w:left w:val="nil"/>
              <w:bottom w:val="nil"/>
              <w:right w:val="nil"/>
            </w:tcBorders>
            <w:vAlign w:val="center"/>
            <w:hideMark/>
          </w:tcPr>
          <w:p w14:paraId="51FCADF8" w14:textId="77777777" w:rsidR="001D2E16" w:rsidRPr="00AE2DCC" w:rsidRDefault="001D2E16">
            <w:pPr>
              <w:rPr>
                <w:rFonts w:ascii="CAIXA Std Book" w:hAnsi="CAIXA Std Book"/>
                <w:b/>
                <w:color w:val="FFFFFF"/>
                <w:sz w:val="16"/>
                <w:szCs w:val="16"/>
              </w:rPr>
            </w:pPr>
          </w:p>
        </w:tc>
        <w:tc>
          <w:tcPr>
            <w:tcW w:w="397" w:type="pct"/>
            <w:vMerge/>
            <w:tcBorders>
              <w:top w:val="nil"/>
              <w:left w:val="nil"/>
              <w:bottom w:val="nil"/>
              <w:right w:val="nil"/>
            </w:tcBorders>
            <w:vAlign w:val="center"/>
            <w:hideMark/>
          </w:tcPr>
          <w:p w14:paraId="65AAE82C" w14:textId="77777777" w:rsidR="001D2E16" w:rsidRPr="00AE2DCC" w:rsidRDefault="001D2E16">
            <w:pPr>
              <w:rPr>
                <w:rFonts w:ascii="CAIXA Std Book" w:hAnsi="CAIXA Std Book"/>
                <w:b/>
                <w:color w:val="FFFFFF"/>
                <w:sz w:val="16"/>
                <w:szCs w:val="16"/>
              </w:rPr>
            </w:pPr>
          </w:p>
        </w:tc>
        <w:tc>
          <w:tcPr>
            <w:tcW w:w="391" w:type="pct"/>
            <w:vMerge/>
            <w:tcBorders>
              <w:top w:val="nil"/>
              <w:left w:val="nil"/>
              <w:bottom w:val="nil"/>
              <w:right w:val="nil"/>
            </w:tcBorders>
            <w:vAlign w:val="center"/>
            <w:hideMark/>
          </w:tcPr>
          <w:p w14:paraId="6899BB18" w14:textId="77777777" w:rsidR="001D2E16" w:rsidRPr="00AE2DCC" w:rsidRDefault="001D2E16">
            <w:pPr>
              <w:rPr>
                <w:rFonts w:ascii="CAIXA Std Book" w:hAnsi="CAIXA Std Book"/>
                <w:b/>
                <w:color w:val="FFFFFF"/>
                <w:sz w:val="16"/>
                <w:szCs w:val="16"/>
              </w:rPr>
            </w:pPr>
          </w:p>
        </w:tc>
        <w:tc>
          <w:tcPr>
            <w:tcW w:w="318" w:type="pct"/>
            <w:vMerge/>
            <w:tcBorders>
              <w:top w:val="nil"/>
              <w:left w:val="nil"/>
              <w:bottom w:val="nil"/>
              <w:right w:val="nil"/>
            </w:tcBorders>
            <w:vAlign w:val="center"/>
            <w:hideMark/>
          </w:tcPr>
          <w:p w14:paraId="6CAB8320" w14:textId="77777777" w:rsidR="001D2E16" w:rsidRPr="00AE2DCC" w:rsidRDefault="001D2E16">
            <w:pPr>
              <w:rPr>
                <w:rFonts w:ascii="CAIXA Std Book" w:hAnsi="CAIXA Std Book"/>
                <w:b/>
                <w:color w:val="FFFFFF"/>
                <w:sz w:val="16"/>
                <w:szCs w:val="16"/>
              </w:rPr>
            </w:pPr>
          </w:p>
        </w:tc>
        <w:tc>
          <w:tcPr>
            <w:tcW w:w="368" w:type="pct"/>
            <w:vMerge/>
            <w:tcBorders>
              <w:top w:val="nil"/>
              <w:left w:val="nil"/>
              <w:bottom w:val="nil"/>
              <w:right w:val="nil"/>
            </w:tcBorders>
            <w:vAlign w:val="center"/>
            <w:hideMark/>
          </w:tcPr>
          <w:p w14:paraId="0AD242B0" w14:textId="77777777" w:rsidR="001D2E16" w:rsidRPr="00AE2DCC" w:rsidRDefault="001D2E16">
            <w:pPr>
              <w:rPr>
                <w:rFonts w:ascii="CAIXA Std Book" w:hAnsi="CAIXA Std Book"/>
                <w:b/>
                <w:color w:val="FFFFFF"/>
                <w:sz w:val="16"/>
                <w:szCs w:val="16"/>
              </w:rPr>
            </w:pPr>
          </w:p>
        </w:tc>
        <w:tc>
          <w:tcPr>
            <w:tcW w:w="336" w:type="pct"/>
            <w:vMerge/>
            <w:tcBorders>
              <w:top w:val="nil"/>
              <w:left w:val="nil"/>
              <w:bottom w:val="nil"/>
              <w:right w:val="nil"/>
            </w:tcBorders>
            <w:vAlign w:val="center"/>
            <w:hideMark/>
          </w:tcPr>
          <w:p w14:paraId="3F550852" w14:textId="77777777" w:rsidR="001D2E16" w:rsidRPr="00AE2DCC" w:rsidRDefault="001D2E16">
            <w:pPr>
              <w:rPr>
                <w:rFonts w:ascii="CAIXA Std Book" w:hAnsi="CAIXA Std Book"/>
                <w:b/>
                <w:color w:val="FFFFFF"/>
                <w:sz w:val="16"/>
                <w:szCs w:val="16"/>
              </w:rPr>
            </w:pPr>
          </w:p>
        </w:tc>
        <w:tc>
          <w:tcPr>
            <w:tcW w:w="389" w:type="pct"/>
            <w:vMerge/>
            <w:tcBorders>
              <w:top w:val="nil"/>
              <w:left w:val="nil"/>
              <w:bottom w:val="nil"/>
              <w:right w:val="nil"/>
            </w:tcBorders>
            <w:vAlign w:val="center"/>
            <w:hideMark/>
          </w:tcPr>
          <w:p w14:paraId="3C2CF5F9" w14:textId="77777777" w:rsidR="001D2E16" w:rsidRPr="00AE2DCC" w:rsidRDefault="001D2E16">
            <w:pPr>
              <w:rPr>
                <w:rFonts w:ascii="CAIXA Std Book" w:hAnsi="CAIXA Std Book"/>
                <w:b/>
                <w:color w:val="FFFFFF"/>
                <w:sz w:val="16"/>
                <w:szCs w:val="16"/>
              </w:rPr>
            </w:pPr>
          </w:p>
        </w:tc>
        <w:tc>
          <w:tcPr>
            <w:tcW w:w="377" w:type="pct"/>
            <w:tcBorders>
              <w:top w:val="nil"/>
              <w:left w:val="nil"/>
              <w:bottom w:val="nil"/>
              <w:right w:val="nil"/>
            </w:tcBorders>
            <w:shd w:val="clear" w:color="000000" w:fill="005CA9"/>
            <w:vAlign w:val="center"/>
            <w:hideMark/>
          </w:tcPr>
          <w:p w14:paraId="23E5368A" w14:textId="77777777" w:rsidR="001D2E16" w:rsidRPr="00AE2DCC" w:rsidRDefault="001D2E16">
            <w:pPr>
              <w:rPr>
                <w:rFonts w:ascii="CAIXA Std Book" w:hAnsi="CAIXA Std Book"/>
                <w:b/>
                <w:color w:val="FFFFFF"/>
                <w:sz w:val="16"/>
                <w:szCs w:val="16"/>
              </w:rPr>
            </w:pPr>
            <w:r w:rsidRPr="00AE2DCC">
              <w:rPr>
                <w:rFonts w:ascii="CAIXA Std Book" w:hAnsi="CAIXA Std Book"/>
                <w:b/>
                <w:color w:val="FFFFFF"/>
                <w:sz w:val="16"/>
                <w:szCs w:val="16"/>
              </w:rPr>
              <w:t>1° trimestre</w:t>
            </w:r>
          </w:p>
        </w:tc>
      </w:tr>
      <w:tr w:rsidR="00F3600B" w14:paraId="2278A2CB" w14:textId="77777777" w:rsidTr="00F3600B">
        <w:trPr>
          <w:trHeight w:val="255"/>
        </w:trPr>
        <w:tc>
          <w:tcPr>
            <w:tcW w:w="924" w:type="pct"/>
            <w:tcBorders>
              <w:top w:val="nil"/>
              <w:left w:val="nil"/>
              <w:bottom w:val="nil"/>
              <w:right w:val="nil"/>
            </w:tcBorders>
            <w:vAlign w:val="center"/>
            <w:hideMark/>
          </w:tcPr>
          <w:p w14:paraId="1CB0B326" w14:textId="77777777" w:rsidR="00F3600B" w:rsidRPr="00943C57" w:rsidRDefault="00F3600B" w:rsidP="00F3600B">
            <w:pPr>
              <w:rPr>
                <w:rFonts w:ascii="CAIXA Std Book" w:hAnsi="CAIXA Std Book"/>
                <w:color w:val="005CA9"/>
                <w:sz w:val="16"/>
                <w:szCs w:val="16"/>
              </w:rPr>
            </w:pPr>
            <w:r w:rsidRPr="00943C57">
              <w:rPr>
                <w:rFonts w:ascii="CAIXA Std Book" w:hAnsi="CAIXA Std Book"/>
                <w:color w:val="005CA9"/>
                <w:sz w:val="16"/>
                <w:szCs w:val="16"/>
              </w:rPr>
              <w:t xml:space="preserve">Holding XS1 </w:t>
            </w:r>
          </w:p>
        </w:tc>
        <w:tc>
          <w:tcPr>
            <w:tcW w:w="283" w:type="pct"/>
            <w:tcBorders>
              <w:top w:val="nil"/>
              <w:left w:val="nil"/>
              <w:bottom w:val="nil"/>
              <w:right w:val="nil"/>
            </w:tcBorders>
            <w:noWrap/>
            <w:vAlign w:val="center"/>
            <w:hideMark/>
          </w:tcPr>
          <w:p w14:paraId="41D57280"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60,00%</w:t>
            </w:r>
          </w:p>
        </w:tc>
        <w:tc>
          <w:tcPr>
            <w:tcW w:w="283" w:type="pct"/>
            <w:tcBorders>
              <w:top w:val="nil"/>
              <w:left w:val="nil"/>
              <w:bottom w:val="nil"/>
              <w:right w:val="nil"/>
            </w:tcBorders>
            <w:vAlign w:val="center"/>
            <w:hideMark/>
          </w:tcPr>
          <w:p w14:paraId="34966D18"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49,00%</w:t>
            </w:r>
          </w:p>
        </w:tc>
        <w:tc>
          <w:tcPr>
            <w:tcW w:w="283" w:type="pct"/>
            <w:gridSpan w:val="2"/>
            <w:tcBorders>
              <w:top w:val="nil"/>
              <w:left w:val="nil"/>
              <w:bottom w:val="nil"/>
              <w:right w:val="nil"/>
            </w:tcBorders>
            <w:noWrap/>
            <w:vAlign w:val="center"/>
            <w:hideMark/>
          </w:tcPr>
          <w:p w14:paraId="09E40E55"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60,00%</w:t>
            </w:r>
          </w:p>
        </w:tc>
        <w:tc>
          <w:tcPr>
            <w:tcW w:w="283" w:type="pct"/>
            <w:tcBorders>
              <w:top w:val="nil"/>
              <w:left w:val="nil"/>
              <w:bottom w:val="nil"/>
              <w:right w:val="nil"/>
            </w:tcBorders>
            <w:vAlign w:val="center"/>
            <w:hideMark/>
          </w:tcPr>
          <w:p w14:paraId="0D0699D7"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49,00%</w:t>
            </w:r>
          </w:p>
        </w:tc>
        <w:tc>
          <w:tcPr>
            <w:tcW w:w="368" w:type="pct"/>
            <w:tcBorders>
              <w:top w:val="nil"/>
              <w:left w:val="nil"/>
              <w:bottom w:val="nil"/>
              <w:right w:val="nil"/>
            </w:tcBorders>
            <w:noWrap/>
            <w:vAlign w:val="bottom"/>
            <w:hideMark/>
          </w:tcPr>
          <w:p w14:paraId="5148811B" w14:textId="7E3243A9" w:rsidR="00F3600B" w:rsidRDefault="00F3600B" w:rsidP="00F3600B">
            <w:pPr>
              <w:jc w:val="right"/>
              <w:rPr>
                <w:rFonts w:ascii="CAIXA Std Book" w:hAnsi="CAIXA Std Book"/>
                <w:color w:val="005CA9"/>
                <w:sz w:val="16"/>
                <w:szCs w:val="16"/>
              </w:rPr>
            </w:pPr>
            <w:r>
              <w:rPr>
                <w:rFonts w:ascii="CAIXA Std Book" w:hAnsi="CAIXA Std Book" w:cs="Arial"/>
                <w:color w:val="005CA9"/>
                <w:sz w:val="16"/>
                <w:szCs w:val="16"/>
              </w:rPr>
              <w:t>12.241.964</w:t>
            </w:r>
          </w:p>
        </w:tc>
        <w:tc>
          <w:tcPr>
            <w:tcW w:w="397" w:type="pct"/>
            <w:vAlign w:val="center"/>
            <w:hideMark/>
          </w:tcPr>
          <w:p w14:paraId="658DC4E5" w14:textId="6D7F2F36" w:rsidR="00F3600B" w:rsidRPr="00F3600B" w:rsidRDefault="00F3600B" w:rsidP="00F3600B">
            <w:pPr>
              <w:jc w:val="right"/>
              <w:rPr>
                <w:rFonts w:ascii="CAIXA Std Book" w:hAnsi="CAIXA Std Book" w:cs="Arial"/>
                <w:color w:val="005CA9"/>
                <w:sz w:val="16"/>
                <w:szCs w:val="16"/>
              </w:rPr>
            </w:pPr>
            <w:r w:rsidRPr="00F3600B">
              <w:rPr>
                <w:rFonts w:ascii="CAIXA Std Book" w:hAnsi="CAIXA Std Book" w:cs="Arial"/>
                <w:color w:val="005CA9"/>
                <w:sz w:val="16"/>
                <w:szCs w:val="16"/>
              </w:rPr>
              <w:t>12.261.104</w:t>
            </w:r>
          </w:p>
        </w:tc>
        <w:tc>
          <w:tcPr>
            <w:tcW w:w="391" w:type="pct"/>
            <w:tcBorders>
              <w:top w:val="nil"/>
              <w:left w:val="nil"/>
              <w:bottom w:val="nil"/>
              <w:right w:val="nil"/>
            </w:tcBorders>
            <w:noWrap/>
            <w:vAlign w:val="center"/>
            <w:hideMark/>
          </w:tcPr>
          <w:p w14:paraId="0AC7681A" w14:textId="77777777" w:rsidR="00F3600B" w:rsidRDefault="00F3600B" w:rsidP="00F3600B">
            <w:pPr>
              <w:jc w:val="right"/>
              <w:rPr>
                <w:rFonts w:ascii="CAIXA Std Book" w:hAnsi="CAIXA Std Book"/>
                <w:color w:val="2F75B5"/>
                <w:sz w:val="16"/>
                <w:szCs w:val="16"/>
              </w:rPr>
            </w:pPr>
            <w:r>
              <w:rPr>
                <w:rFonts w:ascii="CAIXA Std Book" w:hAnsi="CAIXA Std Book"/>
                <w:color w:val="2F75B5"/>
                <w:sz w:val="16"/>
                <w:szCs w:val="16"/>
              </w:rPr>
              <w:t>7.356.662</w:t>
            </w:r>
          </w:p>
        </w:tc>
        <w:tc>
          <w:tcPr>
            <w:tcW w:w="318" w:type="pct"/>
            <w:tcBorders>
              <w:top w:val="nil"/>
              <w:left w:val="nil"/>
              <w:bottom w:val="nil"/>
              <w:right w:val="nil"/>
            </w:tcBorders>
            <w:noWrap/>
            <w:vAlign w:val="bottom"/>
            <w:hideMark/>
          </w:tcPr>
          <w:p w14:paraId="1EF157EF" w14:textId="628CF7E3" w:rsidR="00F3600B" w:rsidRDefault="00F3600B" w:rsidP="00F3600B">
            <w:pPr>
              <w:jc w:val="right"/>
              <w:rPr>
                <w:rFonts w:ascii="CAIXA Std Book" w:hAnsi="CAIXA Std Book"/>
                <w:color w:val="2F75B5"/>
                <w:sz w:val="16"/>
                <w:szCs w:val="16"/>
              </w:rPr>
            </w:pPr>
            <w:r>
              <w:rPr>
                <w:rFonts w:ascii="CAIXA Std Book" w:hAnsi="CAIXA Std Book" w:cs="Arial"/>
                <w:color w:val="2F75B5"/>
                <w:sz w:val="16"/>
                <w:szCs w:val="16"/>
              </w:rPr>
              <w:t>364.311</w:t>
            </w:r>
          </w:p>
        </w:tc>
        <w:tc>
          <w:tcPr>
            <w:tcW w:w="368" w:type="pct"/>
            <w:tcBorders>
              <w:top w:val="nil"/>
              <w:left w:val="nil"/>
              <w:bottom w:val="nil"/>
              <w:right w:val="nil"/>
            </w:tcBorders>
            <w:noWrap/>
            <w:vAlign w:val="bottom"/>
            <w:hideMark/>
          </w:tcPr>
          <w:p w14:paraId="2BC71EED" w14:textId="5AE41166"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(372.533)</w:t>
            </w:r>
          </w:p>
        </w:tc>
        <w:tc>
          <w:tcPr>
            <w:tcW w:w="336" w:type="pct"/>
            <w:tcBorders>
              <w:top w:val="nil"/>
              <w:left w:val="nil"/>
              <w:bottom w:val="nil"/>
              <w:right w:val="nil"/>
            </w:tcBorders>
            <w:noWrap/>
            <w:vAlign w:val="bottom"/>
            <w:hideMark/>
          </w:tcPr>
          <w:p w14:paraId="10FA3F4B" w14:textId="77E3A003"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(3.262)</w:t>
            </w:r>
          </w:p>
        </w:tc>
        <w:tc>
          <w:tcPr>
            <w:tcW w:w="389" w:type="pct"/>
            <w:tcBorders>
              <w:top w:val="nil"/>
              <w:left w:val="nil"/>
              <w:bottom w:val="nil"/>
              <w:right w:val="nil"/>
            </w:tcBorders>
            <w:noWrap/>
            <w:vAlign w:val="bottom"/>
            <w:hideMark/>
          </w:tcPr>
          <w:p w14:paraId="6B5AE7E0" w14:textId="760872B6"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7.345.178</w:t>
            </w:r>
          </w:p>
        </w:tc>
        <w:tc>
          <w:tcPr>
            <w:tcW w:w="377" w:type="pct"/>
            <w:tcBorders>
              <w:top w:val="nil"/>
              <w:left w:val="nil"/>
              <w:bottom w:val="nil"/>
              <w:right w:val="nil"/>
            </w:tcBorders>
            <w:vAlign w:val="center"/>
            <w:hideMark/>
          </w:tcPr>
          <w:p w14:paraId="197E6F18" w14:textId="77777777" w:rsidR="00F3600B" w:rsidRPr="00943C57" w:rsidRDefault="00F3600B" w:rsidP="00F3600B">
            <w:pPr>
              <w:ind w:right="118"/>
              <w:jc w:val="right"/>
              <w:rPr>
                <w:rFonts w:ascii="CAIXA Std Book" w:hAnsi="CAIXA Std Book"/>
                <w:color w:val="005CA9"/>
                <w:sz w:val="16"/>
                <w:szCs w:val="16"/>
              </w:rPr>
            </w:pPr>
            <w:r w:rsidRPr="00943C57">
              <w:rPr>
                <w:rFonts w:ascii="CAIXA Std Book" w:hAnsi="CAIXA Std Book"/>
                <w:color w:val="005CA9"/>
                <w:sz w:val="16"/>
                <w:szCs w:val="16"/>
              </w:rPr>
              <w:t>354.996</w:t>
            </w:r>
          </w:p>
        </w:tc>
      </w:tr>
      <w:tr w:rsidR="00F3600B" w14:paraId="19486DE9" w14:textId="77777777" w:rsidTr="00F3600B">
        <w:trPr>
          <w:trHeight w:val="255"/>
        </w:trPr>
        <w:tc>
          <w:tcPr>
            <w:tcW w:w="924" w:type="pct"/>
            <w:tcBorders>
              <w:top w:val="nil"/>
              <w:left w:val="nil"/>
              <w:bottom w:val="nil"/>
              <w:right w:val="nil"/>
            </w:tcBorders>
            <w:vAlign w:val="center"/>
            <w:hideMark/>
          </w:tcPr>
          <w:p w14:paraId="090A0CA2" w14:textId="77777777" w:rsidR="00F3600B" w:rsidRPr="00943C57" w:rsidRDefault="00F3600B" w:rsidP="00F3600B">
            <w:pPr>
              <w:rPr>
                <w:rFonts w:ascii="CAIXA Std Book" w:hAnsi="CAIXA Std Book"/>
                <w:color w:val="005CA9"/>
                <w:sz w:val="16"/>
                <w:szCs w:val="16"/>
              </w:rPr>
            </w:pPr>
            <w:r w:rsidRPr="00943C57">
              <w:rPr>
                <w:rFonts w:ascii="CAIXA Std Book" w:hAnsi="CAIXA Std Book"/>
                <w:color w:val="005CA9"/>
                <w:sz w:val="16"/>
                <w:szCs w:val="16"/>
              </w:rPr>
              <w:t xml:space="preserve">CNP Brasil </w:t>
            </w:r>
          </w:p>
        </w:tc>
        <w:tc>
          <w:tcPr>
            <w:tcW w:w="283" w:type="pct"/>
            <w:tcBorders>
              <w:top w:val="nil"/>
              <w:left w:val="nil"/>
              <w:bottom w:val="nil"/>
              <w:right w:val="nil"/>
            </w:tcBorders>
            <w:noWrap/>
            <w:vAlign w:val="center"/>
            <w:hideMark/>
          </w:tcPr>
          <w:p w14:paraId="61934FE2"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48,25%</w:t>
            </w:r>
          </w:p>
        </w:tc>
        <w:tc>
          <w:tcPr>
            <w:tcW w:w="283" w:type="pct"/>
            <w:tcBorders>
              <w:top w:val="nil"/>
              <w:left w:val="nil"/>
              <w:bottom w:val="nil"/>
              <w:right w:val="nil"/>
            </w:tcBorders>
            <w:vAlign w:val="center"/>
            <w:hideMark/>
          </w:tcPr>
          <w:p w14:paraId="6B6C714F"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48,25%</w:t>
            </w:r>
          </w:p>
        </w:tc>
        <w:tc>
          <w:tcPr>
            <w:tcW w:w="283" w:type="pct"/>
            <w:gridSpan w:val="2"/>
            <w:tcBorders>
              <w:top w:val="nil"/>
              <w:left w:val="nil"/>
              <w:bottom w:val="nil"/>
              <w:right w:val="nil"/>
            </w:tcBorders>
            <w:noWrap/>
            <w:vAlign w:val="center"/>
            <w:hideMark/>
          </w:tcPr>
          <w:p w14:paraId="3A43C63B"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48,25%</w:t>
            </w:r>
          </w:p>
        </w:tc>
        <w:tc>
          <w:tcPr>
            <w:tcW w:w="283" w:type="pct"/>
            <w:tcBorders>
              <w:top w:val="nil"/>
              <w:left w:val="nil"/>
              <w:bottom w:val="nil"/>
              <w:right w:val="nil"/>
            </w:tcBorders>
            <w:vAlign w:val="center"/>
            <w:hideMark/>
          </w:tcPr>
          <w:p w14:paraId="551899E0"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48,25%</w:t>
            </w:r>
          </w:p>
        </w:tc>
        <w:tc>
          <w:tcPr>
            <w:tcW w:w="368" w:type="pct"/>
            <w:tcBorders>
              <w:top w:val="nil"/>
              <w:left w:val="nil"/>
              <w:bottom w:val="nil"/>
              <w:right w:val="nil"/>
            </w:tcBorders>
            <w:noWrap/>
            <w:vAlign w:val="bottom"/>
            <w:hideMark/>
          </w:tcPr>
          <w:p w14:paraId="2BD41B6A" w14:textId="695A9850" w:rsidR="00F3600B" w:rsidRDefault="00F3600B" w:rsidP="00F3600B">
            <w:pPr>
              <w:jc w:val="right"/>
              <w:rPr>
                <w:rFonts w:ascii="CAIXA Std Book" w:hAnsi="CAIXA Std Book"/>
                <w:color w:val="005CA9"/>
                <w:sz w:val="16"/>
                <w:szCs w:val="16"/>
              </w:rPr>
            </w:pPr>
            <w:r>
              <w:rPr>
                <w:rFonts w:ascii="CAIXA Std Book" w:hAnsi="CAIXA Std Book" w:cs="Arial"/>
                <w:color w:val="005CA9"/>
                <w:sz w:val="16"/>
                <w:szCs w:val="16"/>
              </w:rPr>
              <w:t>5.308.315</w:t>
            </w:r>
          </w:p>
        </w:tc>
        <w:tc>
          <w:tcPr>
            <w:tcW w:w="397" w:type="pct"/>
            <w:vAlign w:val="center"/>
            <w:hideMark/>
          </w:tcPr>
          <w:p w14:paraId="032C80B6" w14:textId="7E595F73" w:rsidR="00F3600B" w:rsidRPr="00F3600B" w:rsidRDefault="00F3600B" w:rsidP="00F3600B">
            <w:pPr>
              <w:jc w:val="right"/>
              <w:rPr>
                <w:rFonts w:ascii="CAIXA Std Book" w:hAnsi="CAIXA Std Book"/>
                <w:color w:val="005CA9"/>
                <w:sz w:val="16"/>
                <w:szCs w:val="16"/>
              </w:rPr>
            </w:pPr>
            <w:r w:rsidRPr="00F3600B">
              <w:rPr>
                <w:rFonts w:ascii="CAIXA Std Book" w:hAnsi="CAIXA Std Book"/>
                <w:color w:val="005CA9"/>
                <w:sz w:val="16"/>
                <w:szCs w:val="16"/>
              </w:rPr>
              <w:t>5.281.860</w:t>
            </w:r>
          </w:p>
        </w:tc>
        <w:tc>
          <w:tcPr>
            <w:tcW w:w="391" w:type="pct"/>
            <w:tcBorders>
              <w:top w:val="nil"/>
              <w:left w:val="nil"/>
              <w:bottom w:val="nil"/>
              <w:right w:val="nil"/>
            </w:tcBorders>
            <w:noWrap/>
            <w:vAlign w:val="center"/>
            <w:hideMark/>
          </w:tcPr>
          <w:p w14:paraId="5D52795E" w14:textId="77777777" w:rsidR="00F3600B" w:rsidRDefault="00F3600B" w:rsidP="00F3600B">
            <w:pPr>
              <w:jc w:val="right"/>
              <w:rPr>
                <w:rFonts w:ascii="CAIXA Std Book" w:hAnsi="CAIXA Std Book"/>
                <w:color w:val="2F75B5"/>
                <w:sz w:val="16"/>
                <w:szCs w:val="16"/>
              </w:rPr>
            </w:pPr>
            <w:r>
              <w:rPr>
                <w:rFonts w:ascii="CAIXA Std Book" w:hAnsi="CAIXA Std Book"/>
                <w:color w:val="2F75B5"/>
                <w:sz w:val="16"/>
                <w:szCs w:val="16"/>
              </w:rPr>
              <w:t>2.548.497</w:t>
            </w:r>
          </w:p>
        </w:tc>
        <w:tc>
          <w:tcPr>
            <w:tcW w:w="318" w:type="pct"/>
            <w:tcBorders>
              <w:top w:val="nil"/>
              <w:left w:val="nil"/>
              <w:bottom w:val="nil"/>
              <w:right w:val="nil"/>
            </w:tcBorders>
            <w:noWrap/>
            <w:vAlign w:val="bottom"/>
            <w:hideMark/>
          </w:tcPr>
          <w:p w14:paraId="4006EE48" w14:textId="162CAEFB" w:rsidR="00F3600B" w:rsidRDefault="00F3600B" w:rsidP="00F3600B">
            <w:pPr>
              <w:jc w:val="right"/>
              <w:rPr>
                <w:rFonts w:ascii="CAIXA Std Book" w:hAnsi="CAIXA Std Book"/>
                <w:color w:val="2F75B5"/>
                <w:sz w:val="16"/>
                <w:szCs w:val="16"/>
              </w:rPr>
            </w:pPr>
            <w:r>
              <w:rPr>
                <w:rFonts w:ascii="CAIXA Std Book" w:hAnsi="CAIXA Std Book" w:cs="Arial"/>
                <w:color w:val="2F75B5"/>
                <w:sz w:val="16"/>
                <w:szCs w:val="16"/>
              </w:rPr>
              <w:t>112.030</w:t>
            </w:r>
          </w:p>
        </w:tc>
        <w:tc>
          <w:tcPr>
            <w:tcW w:w="368" w:type="pct"/>
            <w:tcBorders>
              <w:top w:val="nil"/>
              <w:left w:val="nil"/>
              <w:bottom w:val="nil"/>
              <w:right w:val="nil"/>
            </w:tcBorders>
            <w:noWrap/>
            <w:vAlign w:val="bottom"/>
            <w:hideMark/>
          </w:tcPr>
          <w:p w14:paraId="64F0168C" w14:textId="1E58762B"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(158.212)</w:t>
            </w:r>
          </w:p>
        </w:tc>
        <w:tc>
          <w:tcPr>
            <w:tcW w:w="336" w:type="pct"/>
            <w:tcBorders>
              <w:top w:val="nil"/>
              <w:left w:val="nil"/>
              <w:bottom w:val="nil"/>
              <w:right w:val="nil"/>
            </w:tcBorders>
            <w:noWrap/>
            <w:vAlign w:val="bottom"/>
            <w:hideMark/>
          </w:tcPr>
          <w:p w14:paraId="699DE341" w14:textId="72E36938"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58.946</w:t>
            </w:r>
          </w:p>
        </w:tc>
        <w:tc>
          <w:tcPr>
            <w:tcW w:w="389" w:type="pct"/>
            <w:tcBorders>
              <w:top w:val="nil"/>
              <w:left w:val="nil"/>
              <w:bottom w:val="nil"/>
              <w:right w:val="nil"/>
            </w:tcBorders>
            <w:noWrap/>
            <w:vAlign w:val="bottom"/>
            <w:hideMark/>
          </w:tcPr>
          <w:p w14:paraId="6924321E" w14:textId="5A0F498A"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2.561.261</w:t>
            </w:r>
          </w:p>
        </w:tc>
        <w:tc>
          <w:tcPr>
            <w:tcW w:w="377" w:type="pct"/>
            <w:tcBorders>
              <w:top w:val="nil"/>
              <w:left w:val="nil"/>
              <w:bottom w:val="nil"/>
              <w:right w:val="nil"/>
            </w:tcBorders>
            <w:vAlign w:val="center"/>
            <w:hideMark/>
          </w:tcPr>
          <w:p w14:paraId="2CA38C41" w14:textId="77777777" w:rsidR="00F3600B" w:rsidRPr="00943C57" w:rsidRDefault="00F3600B" w:rsidP="00F3600B">
            <w:pPr>
              <w:ind w:right="118"/>
              <w:jc w:val="right"/>
              <w:rPr>
                <w:rFonts w:ascii="CAIXA Std Book" w:hAnsi="CAIXA Std Book"/>
                <w:color w:val="005CA9"/>
                <w:sz w:val="16"/>
                <w:szCs w:val="16"/>
              </w:rPr>
            </w:pPr>
            <w:r w:rsidRPr="00943C57">
              <w:rPr>
                <w:rFonts w:ascii="CAIXA Std Book" w:hAnsi="CAIXA Std Book"/>
                <w:color w:val="005CA9"/>
                <w:sz w:val="16"/>
                <w:szCs w:val="16"/>
              </w:rPr>
              <w:t>111.666</w:t>
            </w:r>
          </w:p>
        </w:tc>
      </w:tr>
      <w:tr w:rsidR="00F3600B" w14:paraId="38732614" w14:textId="77777777" w:rsidTr="00F3600B">
        <w:trPr>
          <w:trHeight w:val="255"/>
        </w:trPr>
        <w:tc>
          <w:tcPr>
            <w:tcW w:w="924" w:type="pct"/>
            <w:tcBorders>
              <w:top w:val="nil"/>
              <w:left w:val="nil"/>
              <w:bottom w:val="nil"/>
              <w:right w:val="nil"/>
            </w:tcBorders>
            <w:vAlign w:val="center"/>
            <w:hideMark/>
          </w:tcPr>
          <w:p w14:paraId="0AAD4463" w14:textId="77777777" w:rsidR="00F3600B" w:rsidRPr="00943C57" w:rsidRDefault="00F3600B" w:rsidP="00F3600B">
            <w:pPr>
              <w:rPr>
                <w:rFonts w:ascii="CAIXA Std Book" w:hAnsi="CAIXA Std Book"/>
                <w:color w:val="005CA9"/>
                <w:sz w:val="16"/>
                <w:szCs w:val="16"/>
              </w:rPr>
            </w:pPr>
            <w:r w:rsidRPr="00943C57">
              <w:rPr>
                <w:rFonts w:ascii="CAIXA Std Book" w:hAnsi="CAIXA Std Book"/>
                <w:color w:val="005CA9"/>
                <w:sz w:val="16"/>
                <w:szCs w:val="16"/>
              </w:rPr>
              <w:t xml:space="preserve">XS3 Seguros </w:t>
            </w:r>
          </w:p>
        </w:tc>
        <w:tc>
          <w:tcPr>
            <w:tcW w:w="283" w:type="pct"/>
            <w:tcBorders>
              <w:top w:val="nil"/>
              <w:left w:val="nil"/>
              <w:bottom w:val="nil"/>
              <w:right w:val="nil"/>
            </w:tcBorders>
            <w:noWrap/>
            <w:vAlign w:val="center"/>
            <w:hideMark/>
          </w:tcPr>
          <w:p w14:paraId="34253B0B"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75,00%</w:t>
            </w:r>
          </w:p>
        </w:tc>
        <w:tc>
          <w:tcPr>
            <w:tcW w:w="283" w:type="pct"/>
            <w:tcBorders>
              <w:top w:val="nil"/>
              <w:left w:val="nil"/>
              <w:bottom w:val="nil"/>
              <w:right w:val="nil"/>
            </w:tcBorders>
            <w:vAlign w:val="center"/>
            <w:hideMark/>
          </w:tcPr>
          <w:p w14:paraId="1356EDDD"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49,99%</w:t>
            </w:r>
          </w:p>
        </w:tc>
        <w:tc>
          <w:tcPr>
            <w:tcW w:w="283" w:type="pct"/>
            <w:gridSpan w:val="2"/>
            <w:tcBorders>
              <w:top w:val="nil"/>
              <w:left w:val="nil"/>
              <w:bottom w:val="nil"/>
              <w:right w:val="nil"/>
            </w:tcBorders>
            <w:noWrap/>
            <w:vAlign w:val="center"/>
            <w:hideMark/>
          </w:tcPr>
          <w:p w14:paraId="08EFFB19"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75,00%</w:t>
            </w:r>
          </w:p>
        </w:tc>
        <w:tc>
          <w:tcPr>
            <w:tcW w:w="283" w:type="pct"/>
            <w:tcBorders>
              <w:top w:val="nil"/>
              <w:left w:val="nil"/>
              <w:bottom w:val="nil"/>
              <w:right w:val="nil"/>
            </w:tcBorders>
            <w:vAlign w:val="center"/>
            <w:hideMark/>
          </w:tcPr>
          <w:p w14:paraId="7980B051"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49,99%</w:t>
            </w:r>
          </w:p>
        </w:tc>
        <w:tc>
          <w:tcPr>
            <w:tcW w:w="368" w:type="pct"/>
            <w:tcBorders>
              <w:top w:val="nil"/>
              <w:left w:val="nil"/>
              <w:bottom w:val="nil"/>
              <w:right w:val="nil"/>
            </w:tcBorders>
            <w:noWrap/>
            <w:vAlign w:val="bottom"/>
            <w:hideMark/>
          </w:tcPr>
          <w:p w14:paraId="58F90325" w14:textId="539220E2" w:rsidR="00F3600B" w:rsidRDefault="00F3600B" w:rsidP="00F3600B">
            <w:pPr>
              <w:jc w:val="right"/>
              <w:rPr>
                <w:rFonts w:ascii="CAIXA Std Book" w:hAnsi="CAIXA Std Book"/>
                <w:color w:val="005CA9"/>
                <w:sz w:val="16"/>
                <w:szCs w:val="16"/>
              </w:rPr>
            </w:pPr>
            <w:r>
              <w:rPr>
                <w:rFonts w:ascii="CAIXA Std Book" w:hAnsi="CAIXA Std Book" w:cs="Arial"/>
                <w:color w:val="005CA9"/>
                <w:sz w:val="16"/>
                <w:szCs w:val="16"/>
              </w:rPr>
              <w:t>2.126.591</w:t>
            </w:r>
          </w:p>
        </w:tc>
        <w:tc>
          <w:tcPr>
            <w:tcW w:w="397" w:type="pct"/>
            <w:vAlign w:val="center"/>
            <w:hideMark/>
          </w:tcPr>
          <w:p w14:paraId="63FA75AF" w14:textId="023B9524" w:rsidR="00F3600B" w:rsidRPr="00F3600B" w:rsidRDefault="00F3600B" w:rsidP="00F3600B">
            <w:pPr>
              <w:jc w:val="right"/>
              <w:rPr>
                <w:rFonts w:ascii="CAIXA Std Book" w:hAnsi="CAIXA Std Book"/>
                <w:color w:val="005CA9"/>
                <w:sz w:val="16"/>
                <w:szCs w:val="16"/>
              </w:rPr>
            </w:pPr>
            <w:r w:rsidRPr="00F3600B">
              <w:rPr>
                <w:rFonts w:ascii="CAIXA Std Book" w:hAnsi="CAIXA Std Book"/>
                <w:color w:val="005CA9"/>
                <w:sz w:val="16"/>
                <w:szCs w:val="16"/>
              </w:rPr>
              <w:t>2.029.644</w:t>
            </w:r>
          </w:p>
        </w:tc>
        <w:tc>
          <w:tcPr>
            <w:tcW w:w="391" w:type="pct"/>
            <w:tcBorders>
              <w:top w:val="nil"/>
              <w:left w:val="nil"/>
              <w:bottom w:val="nil"/>
              <w:right w:val="nil"/>
            </w:tcBorders>
            <w:noWrap/>
            <w:vAlign w:val="center"/>
            <w:hideMark/>
          </w:tcPr>
          <w:p w14:paraId="1A81B336" w14:textId="77777777" w:rsidR="00F3600B" w:rsidRDefault="00F3600B" w:rsidP="00F3600B">
            <w:pPr>
              <w:jc w:val="right"/>
              <w:rPr>
                <w:rFonts w:ascii="CAIXA Std Book" w:hAnsi="CAIXA Std Book"/>
                <w:color w:val="2F75B5"/>
                <w:sz w:val="16"/>
                <w:szCs w:val="16"/>
              </w:rPr>
            </w:pPr>
            <w:r>
              <w:rPr>
                <w:rFonts w:ascii="CAIXA Std Book" w:hAnsi="CAIXA Std Book"/>
                <w:color w:val="2F75B5"/>
                <w:sz w:val="16"/>
                <w:szCs w:val="16"/>
              </w:rPr>
              <w:t>1.522.159</w:t>
            </w:r>
          </w:p>
        </w:tc>
        <w:tc>
          <w:tcPr>
            <w:tcW w:w="318" w:type="pct"/>
            <w:tcBorders>
              <w:top w:val="nil"/>
              <w:left w:val="nil"/>
              <w:bottom w:val="nil"/>
              <w:right w:val="nil"/>
            </w:tcBorders>
            <w:noWrap/>
            <w:vAlign w:val="bottom"/>
            <w:hideMark/>
          </w:tcPr>
          <w:p w14:paraId="7CC4E306" w14:textId="27348BE4" w:rsidR="00F3600B" w:rsidRDefault="00F3600B" w:rsidP="00F3600B">
            <w:pPr>
              <w:jc w:val="right"/>
              <w:rPr>
                <w:rFonts w:ascii="CAIXA Std Book" w:hAnsi="CAIXA Std Book"/>
                <w:color w:val="2F75B5"/>
                <w:sz w:val="16"/>
                <w:szCs w:val="16"/>
              </w:rPr>
            </w:pPr>
            <w:r>
              <w:rPr>
                <w:rFonts w:ascii="CAIXA Std Book" w:hAnsi="CAIXA Std Book" w:cs="Arial"/>
                <w:color w:val="2F75B5"/>
                <w:sz w:val="16"/>
                <w:szCs w:val="16"/>
              </w:rPr>
              <w:t>212.643</w:t>
            </w:r>
          </w:p>
        </w:tc>
        <w:tc>
          <w:tcPr>
            <w:tcW w:w="368" w:type="pct"/>
            <w:tcBorders>
              <w:top w:val="nil"/>
              <w:left w:val="nil"/>
              <w:bottom w:val="nil"/>
              <w:right w:val="nil"/>
            </w:tcBorders>
            <w:noWrap/>
            <w:vAlign w:val="bottom"/>
            <w:hideMark/>
          </w:tcPr>
          <w:p w14:paraId="2846572A" w14:textId="18244759"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(142.646)</w:t>
            </w:r>
          </w:p>
        </w:tc>
        <w:tc>
          <w:tcPr>
            <w:tcW w:w="336" w:type="pct"/>
            <w:tcBorders>
              <w:top w:val="nil"/>
              <w:left w:val="nil"/>
              <w:bottom w:val="nil"/>
              <w:right w:val="nil"/>
            </w:tcBorders>
            <w:noWrap/>
            <w:vAlign w:val="bottom"/>
            <w:hideMark/>
          </w:tcPr>
          <w:p w14:paraId="2D8AB502" w14:textId="0F1144ED"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2.709</w:t>
            </w:r>
          </w:p>
        </w:tc>
        <w:tc>
          <w:tcPr>
            <w:tcW w:w="389" w:type="pct"/>
            <w:tcBorders>
              <w:top w:val="nil"/>
              <w:left w:val="nil"/>
              <w:bottom w:val="nil"/>
              <w:right w:val="nil"/>
            </w:tcBorders>
            <w:noWrap/>
            <w:vAlign w:val="bottom"/>
            <w:hideMark/>
          </w:tcPr>
          <w:p w14:paraId="3D4EE3E5" w14:textId="3D0CDB87"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1.594.865</w:t>
            </w:r>
          </w:p>
        </w:tc>
        <w:tc>
          <w:tcPr>
            <w:tcW w:w="377" w:type="pct"/>
            <w:tcBorders>
              <w:top w:val="nil"/>
              <w:left w:val="nil"/>
              <w:bottom w:val="nil"/>
              <w:right w:val="nil"/>
            </w:tcBorders>
            <w:vAlign w:val="center"/>
            <w:hideMark/>
          </w:tcPr>
          <w:p w14:paraId="16899DB0" w14:textId="77777777" w:rsidR="00F3600B" w:rsidRPr="00943C57" w:rsidRDefault="00F3600B" w:rsidP="00F3600B">
            <w:pPr>
              <w:ind w:right="118"/>
              <w:jc w:val="right"/>
              <w:rPr>
                <w:rFonts w:ascii="CAIXA Std Book" w:hAnsi="CAIXA Std Book"/>
                <w:color w:val="005CA9"/>
                <w:sz w:val="16"/>
                <w:szCs w:val="16"/>
              </w:rPr>
            </w:pPr>
            <w:r w:rsidRPr="00943C57">
              <w:rPr>
                <w:rFonts w:ascii="CAIXA Std Book" w:hAnsi="CAIXA Std Book"/>
                <w:color w:val="005CA9"/>
                <w:sz w:val="16"/>
                <w:szCs w:val="16"/>
              </w:rPr>
              <w:t>166.099</w:t>
            </w:r>
          </w:p>
        </w:tc>
      </w:tr>
      <w:tr w:rsidR="00F3600B" w14:paraId="16F48410" w14:textId="77777777" w:rsidTr="00F3600B">
        <w:trPr>
          <w:trHeight w:val="255"/>
        </w:trPr>
        <w:tc>
          <w:tcPr>
            <w:tcW w:w="924" w:type="pct"/>
            <w:tcBorders>
              <w:top w:val="nil"/>
              <w:left w:val="nil"/>
              <w:bottom w:val="nil"/>
              <w:right w:val="nil"/>
            </w:tcBorders>
            <w:vAlign w:val="center"/>
            <w:hideMark/>
          </w:tcPr>
          <w:p w14:paraId="3488AF7F" w14:textId="77777777" w:rsidR="00F3600B" w:rsidRPr="00943C57" w:rsidRDefault="00F3600B" w:rsidP="00F3600B">
            <w:pPr>
              <w:rPr>
                <w:rFonts w:ascii="CAIXA Std Book" w:hAnsi="CAIXA Std Book"/>
                <w:color w:val="005CA9"/>
                <w:sz w:val="16"/>
                <w:szCs w:val="16"/>
              </w:rPr>
            </w:pPr>
            <w:r w:rsidRPr="00943C57">
              <w:rPr>
                <w:rFonts w:ascii="CAIXA Std Book" w:hAnsi="CAIXA Std Book"/>
                <w:color w:val="005CA9"/>
                <w:sz w:val="16"/>
                <w:szCs w:val="16"/>
              </w:rPr>
              <w:t>XS4 Capitalização</w:t>
            </w:r>
          </w:p>
        </w:tc>
        <w:tc>
          <w:tcPr>
            <w:tcW w:w="283" w:type="pct"/>
            <w:tcBorders>
              <w:top w:val="nil"/>
              <w:left w:val="nil"/>
              <w:bottom w:val="nil"/>
              <w:right w:val="nil"/>
            </w:tcBorders>
            <w:noWrap/>
            <w:vAlign w:val="center"/>
            <w:hideMark/>
          </w:tcPr>
          <w:p w14:paraId="7AC179FE"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75,00%</w:t>
            </w:r>
          </w:p>
        </w:tc>
        <w:tc>
          <w:tcPr>
            <w:tcW w:w="283" w:type="pct"/>
            <w:tcBorders>
              <w:top w:val="nil"/>
              <w:left w:val="nil"/>
              <w:bottom w:val="nil"/>
              <w:right w:val="nil"/>
            </w:tcBorders>
            <w:vAlign w:val="center"/>
            <w:hideMark/>
          </w:tcPr>
          <w:p w14:paraId="6B7203D3"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49,99%</w:t>
            </w:r>
          </w:p>
        </w:tc>
        <w:tc>
          <w:tcPr>
            <w:tcW w:w="283" w:type="pct"/>
            <w:gridSpan w:val="2"/>
            <w:tcBorders>
              <w:top w:val="nil"/>
              <w:left w:val="nil"/>
              <w:bottom w:val="nil"/>
              <w:right w:val="nil"/>
            </w:tcBorders>
            <w:noWrap/>
            <w:vAlign w:val="center"/>
            <w:hideMark/>
          </w:tcPr>
          <w:p w14:paraId="1009ADEA"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75,00%</w:t>
            </w:r>
          </w:p>
        </w:tc>
        <w:tc>
          <w:tcPr>
            <w:tcW w:w="283" w:type="pct"/>
            <w:tcBorders>
              <w:top w:val="nil"/>
              <w:left w:val="nil"/>
              <w:bottom w:val="nil"/>
              <w:right w:val="nil"/>
            </w:tcBorders>
            <w:vAlign w:val="center"/>
            <w:hideMark/>
          </w:tcPr>
          <w:p w14:paraId="5E61B203"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49,99%</w:t>
            </w:r>
          </w:p>
        </w:tc>
        <w:tc>
          <w:tcPr>
            <w:tcW w:w="368" w:type="pct"/>
            <w:tcBorders>
              <w:top w:val="nil"/>
              <w:left w:val="nil"/>
              <w:bottom w:val="nil"/>
              <w:right w:val="nil"/>
            </w:tcBorders>
            <w:noWrap/>
            <w:vAlign w:val="bottom"/>
            <w:hideMark/>
          </w:tcPr>
          <w:p w14:paraId="64F70C48" w14:textId="2804668E" w:rsidR="00F3600B" w:rsidRDefault="00F3600B" w:rsidP="00F3600B">
            <w:pPr>
              <w:jc w:val="right"/>
              <w:rPr>
                <w:rFonts w:ascii="CAIXA Std Book" w:hAnsi="CAIXA Std Book"/>
                <w:color w:val="005CA9"/>
                <w:sz w:val="16"/>
                <w:szCs w:val="16"/>
              </w:rPr>
            </w:pPr>
            <w:r>
              <w:rPr>
                <w:rFonts w:ascii="CAIXA Std Book" w:hAnsi="CAIXA Std Book" w:cs="Arial"/>
                <w:color w:val="005CA9"/>
                <w:sz w:val="16"/>
                <w:szCs w:val="16"/>
              </w:rPr>
              <w:t>453.198</w:t>
            </w:r>
          </w:p>
        </w:tc>
        <w:tc>
          <w:tcPr>
            <w:tcW w:w="397" w:type="pct"/>
            <w:vAlign w:val="center"/>
            <w:hideMark/>
          </w:tcPr>
          <w:p w14:paraId="749F1546" w14:textId="05F19216" w:rsidR="00F3600B" w:rsidRPr="00F3600B" w:rsidRDefault="00F3600B" w:rsidP="00F3600B">
            <w:pPr>
              <w:jc w:val="right"/>
              <w:rPr>
                <w:rFonts w:ascii="CAIXA Std Book" w:hAnsi="CAIXA Std Book"/>
                <w:color w:val="005CA9"/>
                <w:sz w:val="16"/>
                <w:szCs w:val="16"/>
              </w:rPr>
            </w:pPr>
            <w:r w:rsidRPr="00F3600B">
              <w:rPr>
                <w:rFonts w:ascii="CAIXA Std Book" w:hAnsi="CAIXA Std Book"/>
                <w:color w:val="005CA9"/>
                <w:sz w:val="16"/>
                <w:szCs w:val="16"/>
              </w:rPr>
              <w:t>367.748</w:t>
            </w:r>
          </w:p>
        </w:tc>
        <w:tc>
          <w:tcPr>
            <w:tcW w:w="391" w:type="pct"/>
            <w:tcBorders>
              <w:top w:val="nil"/>
              <w:left w:val="nil"/>
              <w:bottom w:val="nil"/>
              <w:right w:val="nil"/>
            </w:tcBorders>
            <w:noWrap/>
            <w:vAlign w:val="center"/>
            <w:hideMark/>
          </w:tcPr>
          <w:p w14:paraId="16000695" w14:textId="77777777" w:rsidR="00F3600B" w:rsidRDefault="00F3600B" w:rsidP="00F3600B">
            <w:pPr>
              <w:jc w:val="right"/>
              <w:rPr>
                <w:rFonts w:ascii="CAIXA Std Book" w:hAnsi="CAIXA Std Book"/>
                <w:color w:val="2F75B5"/>
                <w:sz w:val="16"/>
                <w:szCs w:val="16"/>
              </w:rPr>
            </w:pPr>
            <w:r w:rsidRPr="00943C57">
              <w:rPr>
                <w:rFonts w:ascii="CAIXA Std Book" w:hAnsi="CAIXA Std Book"/>
                <w:color w:val="2F75B5"/>
                <w:sz w:val="16"/>
                <w:szCs w:val="16"/>
              </w:rPr>
              <w:t>275.793</w:t>
            </w:r>
          </w:p>
        </w:tc>
        <w:tc>
          <w:tcPr>
            <w:tcW w:w="318" w:type="pct"/>
            <w:tcBorders>
              <w:top w:val="nil"/>
              <w:left w:val="nil"/>
              <w:bottom w:val="nil"/>
              <w:right w:val="nil"/>
            </w:tcBorders>
            <w:noWrap/>
            <w:vAlign w:val="bottom"/>
            <w:hideMark/>
          </w:tcPr>
          <w:p w14:paraId="1A094831" w14:textId="4B224D2D" w:rsidR="00F3600B" w:rsidRDefault="00F3600B" w:rsidP="00F3600B">
            <w:pPr>
              <w:jc w:val="right"/>
              <w:rPr>
                <w:rFonts w:ascii="CAIXA Std Book" w:hAnsi="CAIXA Std Book"/>
                <w:color w:val="2F75B5"/>
                <w:sz w:val="16"/>
                <w:szCs w:val="16"/>
              </w:rPr>
            </w:pPr>
            <w:r>
              <w:rPr>
                <w:rFonts w:ascii="CAIXA Std Book" w:hAnsi="CAIXA Std Book" w:cs="Arial"/>
                <w:color w:val="2F75B5"/>
                <w:sz w:val="16"/>
                <w:szCs w:val="16"/>
              </w:rPr>
              <w:t>60.969</w:t>
            </w:r>
          </w:p>
        </w:tc>
        <w:tc>
          <w:tcPr>
            <w:tcW w:w="368" w:type="pct"/>
            <w:tcBorders>
              <w:top w:val="nil"/>
              <w:left w:val="nil"/>
              <w:bottom w:val="nil"/>
              <w:right w:val="nil"/>
            </w:tcBorders>
            <w:noWrap/>
            <w:vAlign w:val="center"/>
            <w:hideMark/>
          </w:tcPr>
          <w:p w14:paraId="71232CE8" w14:textId="563B38CD" w:rsidR="00F3600B" w:rsidRPr="00D97F59" w:rsidRDefault="00F3600B" w:rsidP="00F3600B">
            <w:pPr>
              <w:jc w:val="center"/>
              <w:rPr>
                <w:rFonts w:ascii="CAIXA Std Book" w:hAnsi="CAIXA Std Book" w:cs="Arial"/>
                <w:color w:val="2F75B5"/>
                <w:sz w:val="16"/>
                <w:szCs w:val="16"/>
              </w:rPr>
            </w:pPr>
            <w:r>
              <w:rPr>
                <w:rFonts w:ascii="CAIXA Std Book" w:hAnsi="CAIXA Std Book" w:cs="Arial"/>
                <w:color w:val="2F75B5"/>
                <w:sz w:val="16"/>
                <w:szCs w:val="16"/>
              </w:rPr>
              <w:t>-</w:t>
            </w:r>
          </w:p>
        </w:tc>
        <w:tc>
          <w:tcPr>
            <w:tcW w:w="336" w:type="pct"/>
            <w:tcBorders>
              <w:top w:val="nil"/>
              <w:left w:val="nil"/>
              <w:bottom w:val="nil"/>
              <w:right w:val="nil"/>
            </w:tcBorders>
            <w:noWrap/>
            <w:vAlign w:val="bottom"/>
            <w:hideMark/>
          </w:tcPr>
          <w:p w14:paraId="6D7EA774" w14:textId="36ED0802"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3.116</w:t>
            </w:r>
          </w:p>
        </w:tc>
        <w:tc>
          <w:tcPr>
            <w:tcW w:w="389" w:type="pct"/>
            <w:tcBorders>
              <w:top w:val="nil"/>
              <w:left w:val="nil"/>
              <w:bottom w:val="nil"/>
              <w:right w:val="nil"/>
            </w:tcBorders>
            <w:noWrap/>
            <w:vAlign w:val="bottom"/>
            <w:hideMark/>
          </w:tcPr>
          <w:p w14:paraId="2EEB11FD" w14:textId="70BD2D2F"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339.878</w:t>
            </w:r>
          </w:p>
        </w:tc>
        <w:tc>
          <w:tcPr>
            <w:tcW w:w="377" w:type="pct"/>
            <w:tcBorders>
              <w:top w:val="nil"/>
              <w:left w:val="nil"/>
              <w:bottom w:val="nil"/>
              <w:right w:val="nil"/>
            </w:tcBorders>
            <w:vAlign w:val="center"/>
            <w:hideMark/>
          </w:tcPr>
          <w:p w14:paraId="0B1DF2B3" w14:textId="77777777" w:rsidR="00F3600B" w:rsidRPr="00943C57" w:rsidRDefault="00F3600B" w:rsidP="00F3600B">
            <w:pPr>
              <w:ind w:right="118"/>
              <w:jc w:val="right"/>
              <w:rPr>
                <w:rFonts w:ascii="CAIXA Std Book" w:hAnsi="CAIXA Std Book"/>
                <w:color w:val="005CA9"/>
                <w:sz w:val="16"/>
                <w:szCs w:val="16"/>
              </w:rPr>
            </w:pPr>
            <w:r w:rsidRPr="00943C57">
              <w:rPr>
                <w:rFonts w:ascii="CAIXA Std Book" w:hAnsi="CAIXA Std Book"/>
                <w:color w:val="005CA9"/>
                <w:sz w:val="16"/>
                <w:szCs w:val="16"/>
              </w:rPr>
              <w:t>51.663</w:t>
            </w:r>
          </w:p>
        </w:tc>
      </w:tr>
      <w:tr w:rsidR="00F3600B" w14:paraId="6B6C1295" w14:textId="77777777" w:rsidTr="00F3600B">
        <w:trPr>
          <w:trHeight w:val="255"/>
        </w:trPr>
        <w:tc>
          <w:tcPr>
            <w:tcW w:w="924" w:type="pct"/>
            <w:tcBorders>
              <w:top w:val="nil"/>
              <w:left w:val="nil"/>
              <w:bottom w:val="nil"/>
              <w:right w:val="nil"/>
            </w:tcBorders>
            <w:vAlign w:val="center"/>
            <w:hideMark/>
          </w:tcPr>
          <w:p w14:paraId="3D7B14C8" w14:textId="77777777" w:rsidR="00F3600B" w:rsidRPr="00943C57" w:rsidRDefault="00F3600B" w:rsidP="00F3600B">
            <w:pPr>
              <w:rPr>
                <w:rFonts w:ascii="CAIXA Std Book" w:hAnsi="CAIXA Std Book"/>
                <w:color w:val="005CA9"/>
                <w:sz w:val="16"/>
                <w:szCs w:val="16"/>
              </w:rPr>
            </w:pPr>
            <w:r w:rsidRPr="00943C57">
              <w:rPr>
                <w:rFonts w:ascii="CAIXA Std Book" w:hAnsi="CAIXA Std Book"/>
                <w:color w:val="005CA9"/>
                <w:sz w:val="16"/>
                <w:szCs w:val="16"/>
              </w:rPr>
              <w:t>XS5 Consórcios</w:t>
            </w:r>
          </w:p>
        </w:tc>
        <w:tc>
          <w:tcPr>
            <w:tcW w:w="283" w:type="pct"/>
            <w:tcBorders>
              <w:top w:val="nil"/>
              <w:left w:val="nil"/>
              <w:bottom w:val="nil"/>
              <w:right w:val="nil"/>
            </w:tcBorders>
            <w:noWrap/>
            <w:vAlign w:val="center"/>
            <w:hideMark/>
          </w:tcPr>
          <w:p w14:paraId="35D9149F"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75,00%</w:t>
            </w:r>
          </w:p>
        </w:tc>
        <w:tc>
          <w:tcPr>
            <w:tcW w:w="283" w:type="pct"/>
            <w:tcBorders>
              <w:top w:val="nil"/>
              <w:left w:val="nil"/>
              <w:bottom w:val="nil"/>
              <w:right w:val="nil"/>
            </w:tcBorders>
            <w:vAlign w:val="center"/>
            <w:hideMark/>
          </w:tcPr>
          <w:p w14:paraId="63F8FB0A"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49,99%</w:t>
            </w:r>
          </w:p>
        </w:tc>
        <w:tc>
          <w:tcPr>
            <w:tcW w:w="283" w:type="pct"/>
            <w:gridSpan w:val="2"/>
            <w:tcBorders>
              <w:top w:val="nil"/>
              <w:left w:val="nil"/>
              <w:bottom w:val="nil"/>
              <w:right w:val="nil"/>
            </w:tcBorders>
            <w:noWrap/>
            <w:vAlign w:val="center"/>
            <w:hideMark/>
          </w:tcPr>
          <w:p w14:paraId="61C3A252"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75,00%</w:t>
            </w:r>
          </w:p>
        </w:tc>
        <w:tc>
          <w:tcPr>
            <w:tcW w:w="283" w:type="pct"/>
            <w:tcBorders>
              <w:top w:val="nil"/>
              <w:left w:val="nil"/>
              <w:bottom w:val="nil"/>
              <w:right w:val="nil"/>
            </w:tcBorders>
            <w:vAlign w:val="center"/>
            <w:hideMark/>
          </w:tcPr>
          <w:p w14:paraId="29370F03"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49,99%</w:t>
            </w:r>
          </w:p>
        </w:tc>
        <w:tc>
          <w:tcPr>
            <w:tcW w:w="368" w:type="pct"/>
            <w:tcBorders>
              <w:top w:val="nil"/>
              <w:left w:val="nil"/>
              <w:bottom w:val="nil"/>
              <w:right w:val="nil"/>
            </w:tcBorders>
            <w:noWrap/>
            <w:vAlign w:val="bottom"/>
            <w:hideMark/>
          </w:tcPr>
          <w:p w14:paraId="4047BD28" w14:textId="4BDF1101" w:rsidR="00F3600B" w:rsidRDefault="00F3600B" w:rsidP="00F3600B">
            <w:pPr>
              <w:jc w:val="right"/>
              <w:rPr>
                <w:rFonts w:ascii="CAIXA Std Book" w:hAnsi="CAIXA Std Book"/>
                <w:color w:val="005CA9"/>
                <w:sz w:val="16"/>
                <w:szCs w:val="16"/>
              </w:rPr>
            </w:pPr>
            <w:r>
              <w:rPr>
                <w:rFonts w:ascii="CAIXA Std Book" w:hAnsi="CAIXA Std Book" w:cs="Arial"/>
                <w:color w:val="005CA9"/>
                <w:sz w:val="16"/>
                <w:szCs w:val="16"/>
              </w:rPr>
              <w:t>731.551</w:t>
            </w:r>
          </w:p>
        </w:tc>
        <w:tc>
          <w:tcPr>
            <w:tcW w:w="397" w:type="pct"/>
            <w:vAlign w:val="center"/>
            <w:hideMark/>
          </w:tcPr>
          <w:p w14:paraId="1B3083EC" w14:textId="4337FB81" w:rsidR="00F3600B" w:rsidRPr="00F3600B" w:rsidRDefault="00F3600B" w:rsidP="00F3600B">
            <w:pPr>
              <w:jc w:val="right"/>
              <w:rPr>
                <w:rFonts w:ascii="CAIXA Std Book" w:hAnsi="CAIXA Std Book"/>
                <w:color w:val="005CA9"/>
                <w:sz w:val="16"/>
                <w:szCs w:val="16"/>
              </w:rPr>
            </w:pPr>
            <w:r w:rsidRPr="00F3600B">
              <w:rPr>
                <w:rFonts w:ascii="CAIXA Std Book" w:hAnsi="CAIXA Std Book"/>
                <w:color w:val="005CA9"/>
                <w:sz w:val="16"/>
                <w:szCs w:val="16"/>
              </w:rPr>
              <w:t>666.868</w:t>
            </w:r>
          </w:p>
        </w:tc>
        <w:tc>
          <w:tcPr>
            <w:tcW w:w="391" w:type="pct"/>
            <w:tcBorders>
              <w:top w:val="nil"/>
              <w:left w:val="nil"/>
              <w:bottom w:val="nil"/>
              <w:right w:val="nil"/>
            </w:tcBorders>
            <w:noWrap/>
            <w:vAlign w:val="center"/>
            <w:hideMark/>
          </w:tcPr>
          <w:p w14:paraId="2F41A6CA" w14:textId="77777777" w:rsidR="00F3600B" w:rsidRDefault="00F3600B" w:rsidP="00F3600B">
            <w:pPr>
              <w:jc w:val="right"/>
              <w:rPr>
                <w:rFonts w:ascii="CAIXA Std Book" w:hAnsi="CAIXA Std Book"/>
                <w:color w:val="2F75B5"/>
                <w:sz w:val="16"/>
                <w:szCs w:val="16"/>
              </w:rPr>
            </w:pPr>
            <w:r w:rsidRPr="00943C57">
              <w:rPr>
                <w:rFonts w:ascii="CAIXA Std Book" w:hAnsi="CAIXA Std Book"/>
                <w:color w:val="2F75B5"/>
                <w:sz w:val="16"/>
                <w:szCs w:val="16"/>
              </w:rPr>
              <w:t>500.133</w:t>
            </w:r>
          </w:p>
        </w:tc>
        <w:tc>
          <w:tcPr>
            <w:tcW w:w="318" w:type="pct"/>
            <w:tcBorders>
              <w:top w:val="nil"/>
              <w:left w:val="nil"/>
              <w:bottom w:val="nil"/>
              <w:right w:val="nil"/>
            </w:tcBorders>
            <w:noWrap/>
            <w:vAlign w:val="bottom"/>
            <w:hideMark/>
          </w:tcPr>
          <w:p w14:paraId="04A853C0" w14:textId="4B82CD2D" w:rsidR="00F3600B" w:rsidRDefault="00F3600B" w:rsidP="00F3600B">
            <w:pPr>
              <w:jc w:val="right"/>
              <w:rPr>
                <w:rFonts w:ascii="CAIXA Std Book" w:hAnsi="CAIXA Std Book"/>
                <w:color w:val="2F75B5"/>
                <w:sz w:val="16"/>
                <w:szCs w:val="16"/>
              </w:rPr>
            </w:pPr>
            <w:r>
              <w:rPr>
                <w:rFonts w:ascii="CAIXA Std Book" w:hAnsi="CAIXA Std Book" w:cs="Arial"/>
                <w:color w:val="2F75B5"/>
                <w:sz w:val="16"/>
                <w:szCs w:val="16"/>
              </w:rPr>
              <w:t>61.260</w:t>
            </w:r>
          </w:p>
        </w:tc>
        <w:tc>
          <w:tcPr>
            <w:tcW w:w="368" w:type="pct"/>
            <w:tcBorders>
              <w:top w:val="nil"/>
              <w:left w:val="nil"/>
              <w:bottom w:val="nil"/>
              <w:right w:val="nil"/>
            </w:tcBorders>
            <w:noWrap/>
            <w:vAlign w:val="bottom"/>
            <w:hideMark/>
          </w:tcPr>
          <w:p w14:paraId="48A1A159" w14:textId="263ACF33"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(12.752)</w:t>
            </w:r>
          </w:p>
        </w:tc>
        <w:tc>
          <w:tcPr>
            <w:tcW w:w="336" w:type="pct"/>
            <w:tcBorders>
              <w:top w:val="nil"/>
              <w:left w:val="nil"/>
              <w:bottom w:val="nil"/>
              <w:right w:val="nil"/>
            </w:tcBorders>
            <w:noWrap/>
            <w:vAlign w:val="center"/>
            <w:hideMark/>
          </w:tcPr>
          <w:p w14:paraId="7BB7C0CD" w14:textId="6D0033D9" w:rsidR="00F3600B" w:rsidRPr="00943C57" w:rsidRDefault="00F3600B" w:rsidP="00F3600B">
            <w:pPr>
              <w:jc w:val="center"/>
              <w:rPr>
                <w:rFonts w:ascii="CAIXA Std Book" w:hAnsi="CAIXA Std Book"/>
                <w:sz w:val="16"/>
                <w:szCs w:val="16"/>
              </w:rPr>
            </w:pPr>
            <w:r>
              <w:rPr>
                <w:rFonts w:ascii="CAIXA Std Book" w:hAnsi="CAIXA Std Book" w:cs="Arial"/>
                <w:color w:val="2F75B5"/>
                <w:sz w:val="16"/>
                <w:szCs w:val="16"/>
              </w:rPr>
              <w:t>-</w:t>
            </w:r>
          </w:p>
        </w:tc>
        <w:tc>
          <w:tcPr>
            <w:tcW w:w="389" w:type="pct"/>
            <w:tcBorders>
              <w:top w:val="nil"/>
              <w:left w:val="nil"/>
              <w:bottom w:val="nil"/>
              <w:right w:val="nil"/>
            </w:tcBorders>
            <w:noWrap/>
            <w:vAlign w:val="bottom"/>
            <w:hideMark/>
          </w:tcPr>
          <w:p w14:paraId="536C60C6" w14:textId="2BD9554A"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548.641</w:t>
            </w:r>
          </w:p>
        </w:tc>
        <w:tc>
          <w:tcPr>
            <w:tcW w:w="377" w:type="pct"/>
            <w:tcBorders>
              <w:top w:val="nil"/>
              <w:left w:val="nil"/>
              <w:bottom w:val="nil"/>
              <w:right w:val="nil"/>
            </w:tcBorders>
            <w:vAlign w:val="center"/>
            <w:hideMark/>
          </w:tcPr>
          <w:p w14:paraId="7FC95FC5" w14:textId="77777777" w:rsidR="00F3600B" w:rsidRPr="00943C57" w:rsidRDefault="00F3600B" w:rsidP="00F3600B">
            <w:pPr>
              <w:ind w:right="118"/>
              <w:jc w:val="right"/>
              <w:rPr>
                <w:rFonts w:ascii="CAIXA Std Book" w:hAnsi="CAIXA Std Book"/>
                <w:color w:val="005CA9"/>
                <w:sz w:val="16"/>
                <w:szCs w:val="16"/>
              </w:rPr>
            </w:pPr>
            <w:r w:rsidRPr="00943C57">
              <w:rPr>
                <w:rFonts w:ascii="CAIXA Std Book" w:hAnsi="CAIXA Std Book"/>
                <w:color w:val="005CA9"/>
                <w:sz w:val="16"/>
                <w:szCs w:val="16"/>
              </w:rPr>
              <w:t>53.692</w:t>
            </w:r>
          </w:p>
        </w:tc>
      </w:tr>
      <w:tr w:rsidR="00F3600B" w14:paraId="716CE32C" w14:textId="77777777" w:rsidTr="00F3600B">
        <w:trPr>
          <w:trHeight w:val="255"/>
        </w:trPr>
        <w:tc>
          <w:tcPr>
            <w:tcW w:w="924" w:type="pct"/>
            <w:tcBorders>
              <w:top w:val="nil"/>
              <w:left w:val="nil"/>
              <w:bottom w:val="nil"/>
              <w:right w:val="nil"/>
            </w:tcBorders>
            <w:vAlign w:val="center"/>
            <w:hideMark/>
          </w:tcPr>
          <w:p w14:paraId="2C11CE73" w14:textId="77777777" w:rsidR="00F3600B" w:rsidRPr="00943C57" w:rsidRDefault="00F3600B" w:rsidP="00F3600B">
            <w:pPr>
              <w:rPr>
                <w:rFonts w:ascii="CAIXA Std Book" w:hAnsi="CAIXA Std Book"/>
                <w:color w:val="005CA9"/>
                <w:sz w:val="16"/>
                <w:szCs w:val="16"/>
              </w:rPr>
            </w:pPr>
            <w:r w:rsidRPr="00943C57">
              <w:rPr>
                <w:rFonts w:ascii="CAIXA Std Book" w:hAnsi="CAIXA Std Book"/>
                <w:color w:val="005CA9"/>
                <w:sz w:val="16"/>
                <w:szCs w:val="16"/>
              </w:rPr>
              <w:t>XS6 Assistência</w:t>
            </w:r>
          </w:p>
        </w:tc>
        <w:tc>
          <w:tcPr>
            <w:tcW w:w="283" w:type="pct"/>
            <w:tcBorders>
              <w:top w:val="nil"/>
              <w:left w:val="nil"/>
              <w:bottom w:val="nil"/>
              <w:right w:val="nil"/>
            </w:tcBorders>
            <w:noWrap/>
            <w:vAlign w:val="center"/>
            <w:hideMark/>
          </w:tcPr>
          <w:p w14:paraId="4229D00B"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75,00%</w:t>
            </w:r>
          </w:p>
        </w:tc>
        <w:tc>
          <w:tcPr>
            <w:tcW w:w="283" w:type="pct"/>
            <w:tcBorders>
              <w:top w:val="nil"/>
              <w:left w:val="nil"/>
              <w:bottom w:val="nil"/>
              <w:right w:val="nil"/>
            </w:tcBorders>
            <w:vAlign w:val="center"/>
            <w:hideMark/>
          </w:tcPr>
          <w:p w14:paraId="591F0DA9"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49,99%</w:t>
            </w:r>
          </w:p>
        </w:tc>
        <w:tc>
          <w:tcPr>
            <w:tcW w:w="283" w:type="pct"/>
            <w:gridSpan w:val="2"/>
            <w:tcBorders>
              <w:top w:val="nil"/>
              <w:left w:val="nil"/>
              <w:bottom w:val="nil"/>
              <w:right w:val="nil"/>
            </w:tcBorders>
            <w:noWrap/>
            <w:vAlign w:val="center"/>
            <w:hideMark/>
          </w:tcPr>
          <w:p w14:paraId="175BFA2B"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75,00%</w:t>
            </w:r>
          </w:p>
        </w:tc>
        <w:tc>
          <w:tcPr>
            <w:tcW w:w="283" w:type="pct"/>
            <w:tcBorders>
              <w:top w:val="nil"/>
              <w:left w:val="nil"/>
              <w:bottom w:val="nil"/>
              <w:right w:val="nil"/>
            </w:tcBorders>
            <w:vAlign w:val="center"/>
            <w:hideMark/>
          </w:tcPr>
          <w:p w14:paraId="3E98FB12"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49,99%</w:t>
            </w:r>
          </w:p>
        </w:tc>
        <w:tc>
          <w:tcPr>
            <w:tcW w:w="368" w:type="pct"/>
            <w:tcBorders>
              <w:top w:val="nil"/>
              <w:left w:val="nil"/>
              <w:bottom w:val="nil"/>
              <w:right w:val="nil"/>
            </w:tcBorders>
            <w:noWrap/>
            <w:vAlign w:val="bottom"/>
            <w:hideMark/>
          </w:tcPr>
          <w:p w14:paraId="0DE4A4E7" w14:textId="479C2EC7" w:rsidR="00F3600B" w:rsidRDefault="00F3600B" w:rsidP="00F3600B">
            <w:pPr>
              <w:jc w:val="right"/>
              <w:rPr>
                <w:rFonts w:ascii="CAIXA Std Book" w:hAnsi="CAIXA Std Book"/>
                <w:color w:val="005CA9"/>
                <w:sz w:val="16"/>
                <w:szCs w:val="16"/>
              </w:rPr>
            </w:pPr>
            <w:r>
              <w:rPr>
                <w:rFonts w:ascii="CAIXA Std Book" w:hAnsi="CAIXA Std Book" w:cs="Arial"/>
                <w:color w:val="005CA9"/>
                <w:sz w:val="16"/>
                <w:szCs w:val="16"/>
              </w:rPr>
              <w:t>68.903</w:t>
            </w:r>
          </w:p>
        </w:tc>
        <w:tc>
          <w:tcPr>
            <w:tcW w:w="397" w:type="pct"/>
            <w:vAlign w:val="center"/>
            <w:hideMark/>
          </w:tcPr>
          <w:p w14:paraId="1796F0B6" w14:textId="1D684EA2" w:rsidR="00F3600B" w:rsidRPr="00F3600B" w:rsidRDefault="00F3600B" w:rsidP="00F3600B">
            <w:pPr>
              <w:jc w:val="right"/>
              <w:rPr>
                <w:rFonts w:ascii="CAIXA Std Book" w:hAnsi="CAIXA Std Book"/>
                <w:color w:val="005CA9"/>
                <w:sz w:val="16"/>
                <w:szCs w:val="16"/>
              </w:rPr>
            </w:pPr>
            <w:r w:rsidRPr="00F3600B">
              <w:rPr>
                <w:rFonts w:ascii="CAIXA Std Book" w:hAnsi="CAIXA Std Book"/>
                <w:color w:val="005CA9"/>
                <w:sz w:val="16"/>
                <w:szCs w:val="16"/>
              </w:rPr>
              <w:t>59.417</w:t>
            </w:r>
          </w:p>
        </w:tc>
        <w:tc>
          <w:tcPr>
            <w:tcW w:w="391" w:type="pct"/>
            <w:tcBorders>
              <w:top w:val="nil"/>
              <w:left w:val="nil"/>
              <w:bottom w:val="nil"/>
              <w:right w:val="nil"/>
            </w:tcBorders>
            <w:noWrap/>
            <w:vAlign w:val="center"/>
            <w:hideMark/>
          </w:tcPr>
          <w:p w14:paraId="149D31D7" w14:textId="77777777" w:rsidR="00F3600B" w:rsidRDefault="00F3600B" w:rsidP="00F3600B">
            <w:pPr>
              <w:jc w:val="right"/>
              <w:rPr>
                <w:rFonts w:ascii="CAIXA Std Book" w:hAnsi="CAIXA Std Book"/>
                <w:color w:val="2F75B5"/>
                <w:sz w:val="16"/>
                <w:szCs w:val="16"/>
              </w:rPr>
            </w:pPr>
            <w:r w:rsidRPr="00943C57">
              <w:rPr>
                <w:rFonts w:ascii="CAIXA Std Book" w:hAnsi="CAIXA Std Book"/>
                <w:color w:val="2F75B5"/>
                <w:sz w:val="16"/>
                <w:szCs w:val="16"/>
              </w:rPr>
              <w:t>44.563</w:t>
            </w:r>
          </w:p>
        </w:tc>
        <w:tc>
          <w:tcPr>
            <w:tcW w:w="318" w:type="pct"/>
            <w:tcBorders>
              <w:top w:val="nil"/>
              <w:left w:val="nil"/>
              <w:bottom w:val="nil"/>
              <w:right w:val="nil"/>
            </w:tcBorders>
            <w:noWrap/>
            <w:vAlign w:val="bottom"/>
            <w:hideMark/>
          </w:tcPr>
          <w:p w14:paraId="6D8DAFAA" w14:textId="03F245EC" w:rsidR="00F3600B" w:rsidRDefault="00F3600B" w:rsidP="00F3600B">
            <w:pPr>
              <w:jc w:val="right"/>
              <w:rPr>
                <w:rFonts w:ascii="CAIXA Std Book" w:hAnsi="CAIXA Std Book"/>
                <w:color w:val="2F75B5"/>
                <w:sz w:val="16"/>
                <w:szCs w:val="16"/>
              </w:rPr>
            </w:pPr>
            <w:r>
              <w:rPr>
                <w:rFonts w:ascii="CAIXA Std Book" w:hAnsi="CAIXA Std Book" w:cs="Arial"/>
                <w:color w:val="2F75B5"/>
                <w:sz w:val="16"/>
                <w:szCs w:val="16"/>
              </w:rPr>
              <w:t>7.113</w:t>
            </w:r>
          </w:p>
        </w:tc>
        <w:tc>
          <w:tcPr>
            <w:tcW w:w="368" w:type="pct"/>
            <w:tcBorders>
              <w:top w:val="nil"/>
              <w:left w:val="nil"/>
              <w:bottom w:val="nil"/>
              <w:right w:val="nil"/>
            </w:tcBorders>
            <w:noWrap/>
            <w:vAlign w:val="center"/>
            <w:hideMark/>
          </w:tcPr>
          <w:p w14:paraId="6F98ED30" w14:textId="1E633759" w:rsidR="00F3600B" w:rsidRPr="00943C57" w:rsidRDefault="00F3600B" w:rsidP="00F3600B">
            <w:pPr>
              <w:jc w:val="center"/>
              <w:rPr>
                <w:rFonts w:ascii="CAIXA Std Book" w:hAnsi="CAIXA Std Book"/>
                <w:sz w:val="16"/>
                <w:szCs w:val="16"/>
              </w:rPr>
            </w:pPr>
            <w:r>
              <w:rPr>
                <w:rFonts w:ascii="CAIXA Std Book" w:hAnsi="CAIXA Std Book" w:cs="Arial"/>
                <w:color w:val="2F75B5"/>
                <w:sz w:val="16"/>
                <w:szCs w:val="16"/>
              </w:rPr>
              <w:t>-</w:t>
            </w:r>
          </w:p>
        </w:tc>
        <w:tc>
          <w:tcPr>
            <w:tcW w:w="336" w:type="pct"/>
            <w:tcBorders>
              <w:top w:val="nil"/>
              <w:left w:val="nil"/>
              <w:bottom w:val="nil"/>
              <w:right w:val="nil"/>
            </w:tcBorders>
            <w:noWrap/>
            <w:vAlign w:val="center"/>
            <w:hideMark/>
          </w:tcPr>
          <w:p w14:paraId="58D041F2" w14:textId="5F4F1D3C" w:rsidR="00F3600B" w:rsidRPr="00943C57" w:rsidRDefault="00F3600B" w:rsidP="00F3600B">
            <w:pPr>
              <w:jc w:val="center"/>
              <w:rPr>
                <w:rFonts w:ascii="CAIXA Std Book" w:hAnsi="CAIXA Std Book"/>
                <w:sz w:val="16"/>
                <w:szCs w:val="16"/>
              </w:rPr>
            </w:pPr>
            <w:r>
              <w:rPr>
                <w:rFonts w:ascii="CAIXA Std Book" w:hAnsi="CAIXA Std Book" w:cs="Arial"/>
                <w:color w:val="2F75B5"/>
                <w:sz w:val="16"/>
                <w:szCs w:val="16"/>
              </w:rPr>
              <w:t>-</w:t>
            </w:r>
          </w:p>
        </w:tc>
        <w:tc>
          <w:tcPr>
            <w:tcW w:w="389" w:type="pct"/>
            <w:tcBorders>
              <w:top w:val="nil"/>
              <w:left w:val="nil"/>
              <w:bottom w:val="nil"/>
              <w:right w:val="nil"/>
            </w:tcBorders>
            <w:noWrap/>
            <w:vAlign w:val="bottom"/>
            <w:hideMark/>
          </w:tcPr>
          <w:p w14:paraId="487ED654" w14:textId="74EE013A"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51.676</w:t>
            </w:r>
          </w:p>
        </w:tc>
        <w:tc>
          <w:tcPr>
            <w:tcW w:w="377" w:type="pct"/>
            <w:tcBorders>
              <w:top w:val="nil"/>
              <w:left w:val="nil"/>
              <w:bottom w:val="nil"/>
              <w:right w:val="nil"/>
            </w:tcBorders>
            <w:vAlign w:val="center"/>
            <w:hideMark/>
          </w:tcPr>
          <w:p w14:paraId="44F12031" w14:textId="77777777" w:rsidR="00F3600B" w:rsidRPr="00943C57" w:rsidRDefault="00F3600B" w:rsidP="00F3600B">
            <w:pPr>
              <w:ind w:right="118"/>
              <w:jc w:val="right"/>
              <w:rPr>
                <w:rFonts w:ascii="CAIXA Std Book" w:hAnsi="CAIXA Std Book"/>
                <w:color w:val="005CA9"/>
                <w:sz w:val="16"/>
                <w:szCs w:val="16"/>
              </w:rPr>
            </w:pPr>
            <w:r w:rsidRPr="00943C57">
              <w:rPr>
                <w:rFonts w:ascii="CAIXA Std Book" w:hAnsi="CAIXA Std Book"/>
                <w:color w:val="005CA9"/>
                <w:sz w:val="16"/>
                <w:szCs w:val="16"/>
              </w:rPr>
              <w:t>8.415</w:t>
            </w:r>
          </w:p>
        </w:tc>
      </w:tr>
      <w:tr w:rsidR="00F3600B" w14:paraId="55CD89C5" w14:textId="77777777" w:rsidTr="00F3600B">
        <w:trPr>
          <w:trHeight w:val="255"/>
        </w:trPr>
        <w:tc>
          <w:tcPr>
            <w:tcW w:w="924" w:type="pct"/>
            <w:tcBorders>
              <w:top w:val="nil"/>
              <w:left w:val="nil"/>
              <w:bottom w:val="nil"/>
              <w:right w:val="nil"/>
            </w:tcBorders>
            <w:vAlign w:val="center"/>
            <w:hideMark/>
          </w:tcPr>
          <w:p w14:paraId="7953F3FC" w14:textId="77777777" w:rsidR="00F3600B" w:rsidRPr="00943C57" w:rsidRDefault="00F3600B" w:rsidP="00F3600B">
            <w:pPr>
              <w:rPr>
                <w:rFonts w:ascii="CAIXA Std Book" w:hAnsi="CAIXA Std Book"/>
                <w:color w:val="005CA9"/>
                <w:sz w:val="16"/>
                <w:szCs w:val="16"/>
              </w:rPr>
            </w:pPr>
            <w:r w:rsidRPr="00943C57">
              <w:rPr>
                <w:rFonts w:ascii="CAIXA Std Book" w:hAnsi="CAIXA Std Book"/>
                <w:color w:val="005CA9"/>
                <w:sz w:val="16"/>
                <w:szCs w:val="16"/>
              </w:rPr>
              <w:t xml:space="preserve">Too Seguros </w:t>
            </w:r>
          </w:p>
        </w:tc>
        <w:tc>
          <w:tcPr>
            <w:tcW w:w="283" w:type="pct"/>
            <w:tcBorders>
              <w:top w:val="nil"/>
              <w:left w:val="nil"/>
              <w:bottom w:val="nil"/>
              <w:right w:val="nil"/>
            </w:tcBorders>
            <w:noWrap/>
            <w:vAlign w:val="center"/>
            <w:hideMark/>
          </w:tcPr>
          <w:p w14:paraId="24C4050E"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49,00%</w:t>
            </w:r>
          </w:p>
        </w:tc>
        <w:tc>
          <w:tcPr>
            <w:tcW w:w="283" w:type="pct"/>
            <w:tcBorders>
              <w:top w:val="nil"/>
              <w:left w:val="nil"/>
              <w:bottom w:val="nil"/>
              <w:right w:val="nil"/>
            </w:tcBorders>
            <w:vAlign w:val="center"/>
            <w:hideMark/>
          </w:tcPr>
          <w:p w14:paraId="0F02C354"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49,00%</w:t>
            </w:r>
          </w:p>
        </w:tc>
        <w:tc>
          <w:tcPr>
            <w:tcW w:w="283" w:type="pct"/>
            <w:gridSpan w:val="2"/>
            <w:tcBorders>
              <w:top w:val="nil"/>
              <w:left w:val="nil"/>
              <w:bottom w:val="nil"/>
              <w:right w:val="nil"/>
            </w:tcBorders>
            <w:noWrap/>
            <w:vAlign w:val="center"/>
            <w:hideMark/>
          </w:tcPr>
          <w:p w14:paraId="780C2DCD"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49,00%</w:t>
            </w:r>
          </w:p>
        </w:tc>
        <w:tc>
          <w:tcPr>
            <w:tcW w:w="283" w:type="pct"/>
            <w:tcBorders>
              <w:top w:val="nil"/>
              <w:left w:val="nil"/>
              <w:bottom w:val="nil"/>
              <w:right w:val="nil"/>
            </w:tcBorders>
            <w:vAlign w:val="center"/>
            <w:hideMark/>
          </w:tcPr>
          <w:p w14:paraId="06460BD6"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49,00%</w:t>
            </w:r>
          </w:p>
        </w:tc>
        <w:tc>
          <w:tcPr>
            <w:tcW w:w="368" w:type="pct"/>
            <w:tcBorders>
              <w:top w:val="nil"/>
              <w:left w:val="nil"/>
              <w:bottom w:val="nil"/>
              <w:right w:val="nil"/>
            </w:tcBorders>
            <w:noWrap/>
            <w:vAlign w:val="bottom"/>
            <w:hideMark/>
          </w:tcPr>
          <w:p w14:paraId="4840B5AF" w14:textId="4DBB52D9" w:rsidR="00F3600B" w:rsidRDefault="00F3600B" w:rsidP="00F3600B">
            <w:pPr>
              <w:jc w:val="right"/>
              <w:rPr>
                <w:rFonts w:ascii="CAIXA Std Book" w:hAnsi="CAIXA Std Book"/>
                <w:color w:val="005CA9"/>
                <w:sz w:val="16"/>
                <w:szCs w:val="16"/>
              </w:rPr>
            </w:pPr>
            <w:r>
              <w:rPr>
                <w:rFonts w:ascii="CAIXA Std Book" w:hAnsi="CAIXA Std Book" w:cs="Arial"/>
                <w:color w:val="005CA9"/>
                <w:sz w:val="16"/>
                <w:szCs w:val="16"/>
              </w:rPr>
              <w:t>713.363</w:t>
            </w:r>
          </w:p>
        </w:tc>
        <w:tc>
          <w:tcPr>
            <w:tcW w:w="397" w:type="pct"/>
            <w:vAlign w:val="center"/>
            <w:hideMark/>
          </w:tcPr>
          <w:p w14:paraId="7586C31A" w14:textId="41DCD8A2" w:rsidR="00F3600B" w:rsidRPr="00F3600B" w:rsidRDefault="00F3600B" w:rsidP="00F3600B">
            <w:pPr>
              <w:jc w:val="right"/>
              <w:rPr>
                <w:rFonts w:ascii="CAIXA Std Book" w:hAnsi="CAIXA Std Book"/>
                <w:color w:val="005CA9"/>
                <w:sz w:val="16"/>
                <w:szCs w:val="16"/>
              </w:rPr>
            </w:pPr>
            <w:r w:rsidRPr="00F3600B">
              <w:rPr>
                <w:rFonts w:ascii="CAIXA Std Book" w:hAnsi="CAIXA Std Book"/>
                <w:color w:val="005CA9"/>
                <w:sz w:val="16"/>
                <w:szCs w:val="16"/>
              </w:rPr>
              <w:t>904.300</w:t>
            </w:r>
          </w:p>
        </w:tc>
        <w:tc>
          <w:tcPr>
            <w:tcW w:w="391" w:type="pct"/>
            <w:tcBorders>
              <w:top w:val="nil"/>
              <w:left w:val="nil"/>
              <w:bottom w:val="nil"/>
              <w:right w:val="nil"/>
            </w:tcBorders>
            <w:noWrap/>
            <w:vAlign w:val="center"/>
            <w:hideMark/>
          </w:tcPr>
          <w:p w14:paraId="4DF7B60E" w14:textId="77777777" w:rsidR="00F3600B" w:rsidRDefault="00F3600B" w:rsidP="00F3600B">
            <w:pPr>
              <w:jc w:val="right"/>
              <w:rPr>
                <w:rFonts w:ascii="CAIXA Std Book" w:hAnsi="CAIXA Std Book"/>
                <w:color w:val="2F75B5"/>
                <w:sz w:val="16"/>
                <w:szCs w:val="16"/>
              </w:rPr>
            </w:pPr>
            <w:r w:rsidRPr="00943C57">
              <w:rPr>
                <w:rFonts w:ascii="CAIXA Std Book" w:hAnsi="CAIXA Std Book"/>
                <w:color w:val="2F75B5"/>
                <w:sz w:val="16"/>
                <w:szCs w:val="16"/>
              </w:rPr>
              <w:t>440.625</w:t>
            </w:r>
          </w:p>
        </w:tc>
        <w:tc>
          <w:tcPr>
            <w:tcW w:w="318" w:type="pct"/>
            <w:tcBorders>
              <w:top w:val="nil"/>
              <w:left w:val="nil"/>
              <w:bottom w:val="nil"/>
              <w:right w:val="nil"/>
            </w:tcBorders>
            <w:noWrap/>
            <w:vAlign w:val="bottom"/>
            <w:hideMark/>
          </w:tcPr>
          <w:p w14:paraId="3310096F" w14:textId="5B83BB1F" w:rsidR="00F3600B" w:rsidRDefault="00F3600B" w:rsidP="00F3600B">
            <w:pPr>
              <w:jc w:val="right"/>
              <w:rPr>
                <w:rFonts w:ascii="CAIXA Std Book" w:hAnsi="CAIXA Std Book"/>
                <w:color w:val="2F75B5"/>
                <w:sz w:val="16"/>
                <w:szCs w:val="16"/>
              </w:rPr>
            </w:pPr>
            <w:r>
              <w:rPr>
                <w:rFonts w:ascii="CAIXA Std Book" w:hAnsi="CAIXA Std Book" w:cs="Arial"/>
                <w:color w:val="2F75B5"/>
                <w:sz w:val="16"/>
                <w:szCs w:val="16"/>
              </w:rPr>
              <w:t>84.963</w:t>
            </w:r>
          </w:p>
        </w:tc>
        <w:tc>
          <w:tcPr>
            <w:tcW w:w="368" w:type="pct"/>
            <w:tcBorders>
              <w:top w:val="nil"/>
              <w:left w:val="nil"/>
              <w:bottom w:val="nil"/>
              <w:right w:val="nil"/>
            </w:tcBorders>
            <w:noWrap/>
            <w:vAlign w:val="bottom"/>
            <w:hideMark/>
          </w:tcPr>
          <w:p w14:paraId="0946B2B5" w14:textId="0136E79A"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(178.262)</w:t>
            </w:r>
          </w:p>
        </w:tc>
        <w:tc>
          <w:tcPr>
            <w:tcW w:w="336" w:type="pct"/>
            <w:tcBorders>
              <w:top w:val="nil"/>
              <w:left w:val="nil"/>
              <w:bottom w:val="nil"/>
              <w:right w:val="nil"/>
            </w:tcBorders>
            <w:noWrap/>
            <w:vAlign w:val="bottom"/>
            <w:hideMark/>
          </w:tcPr>
          <w:p w14:paraId="784272E3" w14:textId="716156B2"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(260)</w:t>
            </w:r>
          </w:p>
        </w:tc>
        <w:tc>
          <w:tcPr>
            <w:tcW w:w="389" w:type="pct"/>
            <w:tcBorders>
              <w:top w:val="nil"/>
              <w:left w:val="nil"/>
              <w:bottom w:val="nil"/>
              <w:right w:val="nil"/>
            </w:tcBorders>
            <w:noWrap/>
            <w:vAlign w:val="bottom"/>
            <w:hideMark/>
          </w:tcPr>
          <w:p w14:paraId="283E63F4" w14:textId="6E02C731"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347.066</w:t>
            </w:r>
          </w:p>
        </w:tc>
        <w:tc>
          <w:tcPr>
            <w:tcW w:w="377" w:type="pct"/>
            <w:tcBorders>
              <w:top w:val="nil"/>
              <w:left w:val="nil"/>
              <w:bottom w:val="nil"/>
              <w:right w:val="nil"/>
            </w:tcBorders>
            <w:vAlign w:val="center"/>
            <w:hideMark/>
          </w:tcPr>
          <w:p w14:paraId="7C8D5A48" w14:textId="77777777" w:rsidR="00F3600B" w:rsidRPr="00943C57" w:rsidRDefault="00F3600B" w:rsidP="00F3600B">
            <w:pPr>
              <w:ind w:right="118"/>
              <w:jc w:val="right"/>
              <w:rPr>
                <w:rFonts w:ascii="CAIXA Std Book" w:hAnsi="CAIXA Std Book"/>
                <w:color w:val="005CA9"/>
                <w:sz w:val="16"/>
                <w:szCs w:val="16"/>
              </w:rPr>
            </w:pPr>
            <w:r w:rsidRPr="00943C57">
              <w:rPr>
                <w:rFonts w:ascii="CAIXA Std Book" w:hAnsi="CAIXA Std Book"/>
                <w:color w:val="005CA9"/>
                <w:sz w:val="16"/>
                <w:szCs w:val="16"/>
              </w:rPr>
              <w:t>45.288</w:t>
            </w:r>
          </w:p>
        </w:tc>
      </w:tr>
      <w:tr w:rsidR="00F3600B" w14:paraId="672A74AE" w14:textId="77777777" w:rsidTr="00F3600B">
        <w:trPr>
          <w:trHeight w:val="255"/>
        </w:trPr>
        <w:tc>
          <w:tcPr>
            <w:tcW w:w="924" w:type="pct"/>
            <w:tcBorders>
              <w:top w:val="nil"/>
              <w:left w:val="nil"/>
              <w:bottom w:val="nil"/>
              <w:right w:val="nil"/>
            </w:tcBorders>
            <w:vAlign w:val="center"/>
            <w:hideMark/>
          </w:tcPr>
          <w:p w14:paraId="492B3018" w14:textId="77777777" w:rsidR="00F3600B" w:rsidRPr="00943C57" w:rsidRDefault="00F3600B" w:rsidP="00F3600B">
            <w:pPr>
              <w:rPr>
                <w:rFonts w:ascii="CAIXA Std Book" w:hAnsi="CAIXA Std Book"/>
                <w:color w:val="005CA9"/>
                <w:sz w:val="16"/>
                <w:szCs w:val="16"/>
              </w:rPr>
            </w:pPr>
            <w:r w:rsidRPr="00943C57">
              <w:rPr>
                <w:rFonts w:ascii="CAIXA Std Book" w:hAnsi="CAIXA Std Book"/>
                <w:color w:val="005CA9"/>
                <w:sz w:val="16"/>
                <w:szCs w:val="16"/>
              </w:rPr>
              <w:t xml:space="preserve">PAN Corretora </w:t>
            </w:r>
          </w:p>
        </w:tc>
        <w:tc>
          <w:tcPr>
            <w:tcW w:w="283" w:type="pct"/>
            <w:tcBorders>
              <w:top w:val="nil"/>
              <w:left w:val="nil"/>
              <w:bottom w:val="nil"/>
              <w:right w:val="nil"/>
            </w:tcBorders>
            <w:noWrap/>
            <w:vAlign w:val="center"/>
            <w:hideMark/>
          </w:tcPr>
          <w:p w14:paraId="18E0E748"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49,00%</w:t>
            </w:r>
          </w:p>
        </w:tc>
        <w:tc>
          <w:tcPr>
            <w:tcW w:w="283" w:type="pct"/>
            <w:tcBorders>
              <w:top w:val="nil"/>
              <w:left w:val="nil"/>
              <w:bottom w:val="nil"/>
              <w:right w:val="nil"/>
            </w:tcBorders>
            <w:vAlign w:val="center"/>
            <w:hideMark/>
          </w:tcPr>
          <w:p w14:paraId="0715717A"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49,00%</w:t>
            </w:r>
          </w:p>
        </w:tc>
        <w:tc>
          <w:tcPr>
            <w:tcW w:w="283" w:type="pct"/>
            <w:gridSpan w:val="2"/>
            <w:tcBorders>
              <w:top w:val="nil"/>
              <w:left w:val="nil"/>
              <w:bottom w:val="nil"/>
              <w:right w:val="nil"/>
            </w:tcBorders>
            <w:noWrap/>
            <w:vAlign w:val="center"/>
            <w:hideMark/>
          </w:tcPr>
          <w:p w14:paraId="5CAF1143"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49,00%</w:t>
            </w:r>
          </w:p>
        </w:tc>
        <w:tc>
          <w:tcPr>
            <w:tcW w:w="283" w:type="pct"/>
            <w:tcBorders>
              <w:top w:val="nil"/>
              <w:left w:val="nil"/>
              <w:bottom w:val="nil"/>
              <w:right w:val="nil"/>
            </w:tcBorders>
            <w:vAlign w:val="center"/>
            <w:hideMark/>
          </w:tcPr>
          <w:p w14:paraId="43361D2B"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49,00%</w:t>
            </w:r>
          </w:p>
        </w:tc>
        <w:tc>
          <w:tcPr>
            <w:tcW w:w="368" w:type="pct"/>
            <w:tcBorders>
              <w:top w:val="nil"/>
              <w:left w:val="nil"/>
              <w:bottom w:val="nil"/>
              <w:right w:val="nil"/>
            </w:tcBorders>
            <w:noWrap/>
            <w:vAlign w:val="bottom"/>
            <w:hideMark/>
          </w:tcPr>
          <w:p w14:paraId="0E09CEB2" w14:textId="26661E68" w:rsidR="00F3600B" w:rsidRDefault="00F3600B" w:rsidP="00F3600B">
            <w:pPr>
              <w:jc w:val="right"/>
              <w:rPr>
                <w:rFonts w:ascii="CAIXA Std Book" w:hAnsi="CAIXA Std Book"/>
                <w:color w:val="005CA9"/>
                <w:sz w:val="16"/>
                <w:szCs w:val="16"/>
              </w:rPr>
            </w:pPr>
            <w:r>
              <w:rPr>
                <w:rFonts w:ascii="CAIXA Std Book" w:hAnsi="CAIXA Std Book" w:cs="Arial"/>
                <w:color w:val="005CA9"/>
                <w:sz w:val="16"/>
                <w:szCs w:val="16"/>
              </w:rPr>
              <w:t>15.688</w:t>
            </w:r>
          </w:p>
        </w:tc>
        <w:tc>
          <w:tcPr>
            <w:tcW w:w="397" w:type="pct"/>
            <w:vAlign w:val="center"/>
            <w:hideMark/>
          </w:tcPr>
          <w:p w14:paraId="294B2E80" w14:textId="62F9DEB7" w:rsidR="00F3600B" w:rsidRPr="00F3600B" w:rsidRDefault="00F3600B" w:rsidP="00F3600B">
            <w:pPr>
              <w:jc w:val="right"/>
              <w:rPr>
                <w:rFonts w:ascii="CAIXA Std Book" w:hAnsi="CAIXA Std Book"/>
                <w:color w:val="005CA9"/>
                <w:sz w:val="16"/>
                <w:szCs w:val="16"/>
              </w:rPr>
            </w:pPr>
            <w:r w:rsidRPr="00F3600B">
              <w:rPr>
                <w:rFonts w:ascii="CAIXA Std Book" w:hAnsi="CAIXA Std Book"/>
                <w:color w:val="005CA9"/>
                <w:sz w:val="16"/>
                <w:szCs w:val="16"/>
              </w:rPr>
              <w:t>41.966</w:t>
            </w:r>
          </w:p>
        </w:tc>
        <w:tc>
          <w:tcPr>
            <w:tcW w:w="391" w:type="pct"/>
            <w:tcBorders>
              <w:top w:val="nil"/>
              <w:left w:val="nil"/>
              <w:bottom w:val="nil"/>
              <w:right w:val="nil"/>
            </w:tcBorders>
            <w:noWrap/>
            <w:vAlign w:val="center"/>
            <w:hideMark/>
          </w:tcPr>
          <w:p w14:paraId="4443A1F1" w14:textId="77777777" w:rsidR="00F3600B" w:rsidRDefault="00F3600B" w:rsidP="00F3600B">
            <w:pPr>
              <w:jc w:val="right"/>
              <w:rPr>
                <w:rFonts w:ascii="CAIXA Std Book" w:hAnsi="CAIXA Std Book"/>
                <w:color w:val="2F75B5"/>
                <w:sz w:val="16"/>
                <w:szCs w:val="16"/>
              </w:rPr>
            </w:pPr>
            <w:r>
              <w:rPr>
                <w:rFonts w:ascii="CAIXA Std Book" w:hAnsi="CAIXA Std Book"/>
                <w:color w:val="2F75B5"/>
                <w:sz w:val="16"/>
                <w:szCs w:val="16"/>
              </w:rPr>
              <w:t>20564</w:t>
            </w:r>
          </w:p>
        </w:tc>
        <w:tc>
          <w:tcPr>
            <w:tcW w:w="318" w:type="pct"/>
            <w:tcBorders>
              <w:top w:val="nil"/>
              <w:left w:val="nil"/>
              <w:bottom w:val="nil"/>
              <w:right w:val="nil"/>
            </w:tcBorders>
            <w:noWrap/>
            <w:vAlign w:val="bottom"/>
            <w:hideMark/>
          </w:tcPr>
          <w:p w14:paraId="71A8724A" w14:textId="2D84AC41" w:rsidR="00F3600B" w:rsidRDefault="00F3600B" w:rsidP="00F3600B">
            <w:pPr>
              <w:jc w:val="right"/>
              <w:rPr>
                <w:rFonts w:ascii="CAIXA Std Book" w:hAnsi="CAIXA Std Book"/>
                <w:color w:val="2F75B5"/>
                <w:sz w:val="16"/>
                <w:szCs w:val="16"/>
              </w:rPr>
            </w:pPr>
            <w:r>
              <w:rPr>
                <w:rFonts w:ascii="CAIXA Std Book" w:hAnsi="CAIXA Std Book" w:cs="Arial"/>
                <w:color w:val="2F75B5"/>
                <w:sz w:val="16"/>
                <w:szCs w:val="16"/>
              </w:rPr>
              <w:t>7.061</w:t>
            </w:r>
          </w:p>
        </w:tc>
        <w:tc>
          <w:tcPr>
            <w:tcW w:w="368" w:type="pct"/>
            <w:tcBorders>
              <w:top w:val="nil"/>
              <w:left w:val="nil"/>
              <w:bottom w:val="nil"/>
              <w:right w:val="nil"/>
            </w:tcBorders>
            <w:noWrap/>
            <w:vAlign w:val="bottom"/>
            <w:hideMark/>
          </w:tcPr>
          <w:p w14:paraId="6635759E" w14:textId="2BFF31A8"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(19.938)</w:t>
            </w:r>
          </w:p>
        </w:tc>
        <w:tc>
          <w:tcPr>
            <w:tcW w:w="336" w:type="pct"/>
            <w:tcBorders>
              <w:top w:val="nil"/>
              <w:left w:val="nil"/>
              <w:bottom w:val="nil"/>
              <w:right w:val="nil"/>
            </w:tcBorders>
            <w:noWrap/>
            <w:vAlign w:val="center"/>
            <w:hideMark/>
          </w:tcPr>
          <w:p w14:paraId="2BEE2E9A" w14:textId="62A7F9E7" w:rsidR="00F3600B" w:rsidRPr="00D070C5" w:rsidRDefault="00F3600B" w:rsidP="00F3600B">
            <w:pPr>
              <w:jc w:val="center"/>
              <w:rPr>
                <w:rFonts w:ascii="CAIXA Std Book" w:hAnsi="CAIXA Std Book"/>
                <w:color w:val="2F75B5"/>
                <w:sz w:val="16"/>
                <w:szCs w:val="16"/>
              </w:rPr>
            </w:pPr>
            <w:r>
              <w:rPr>
                <w:rFonts w:ascii="CAIXA Std Book" w:hAnsi="CAIXA Std Book" w:cs="Arial"/>
                <w:color w:val="2F75B5"/>
                <w:sz w:val="16"/>
                <w:szCs w:val="16"/>
              </w:rPr>
              <w:t>-</w:t>
            </w:r>
          </w:p>
        </w:tc>
        <w:tc>
          <w:tcPr>
            <w:tcW w:w="389" w:type="pct"/>
            <w:tcBorders>
              <w:top w:val="nil"/>
              <w:left w:val="nil"/>
              <w:bottom w:val="nil"/>
              <w:right w:val="nil"/>
            </w:tcBorders>
            <w:noWrap/>
            <w:vAlign w:val="bottom"/>
            <w:hideMark/>
          </w:tcPr>
          <w:p w14:paraId="6B7E9B9D" w14:textId="13F5A11D"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7.687</w:t>
            </w:r>
          </w:p>
        </w:tc>
        <w:tc>
          <w:tcPr>
            <w:tcW w:w="377" w:type="pct"/>
            <w:tcBorders>
              <w:top w:val="nil"/>
              <w:left w:val="nil"/>
              <w:bottom w:val="nil"/>
              <w:right w:val="nil"/>
            </w:tcBorders>
            <w:vAlign w:val="center"/>
            <w:hideMark/>
          </w:tcPr>
          <w:p w14:paraId="7324D5C9" w14:textId="77777777" w:rsidR="00F3600B" w:rsidRPr="00943C57" w:rsidRDefault="00F3600B" w:rsidP="00F3600B">
            <w:pPr>
              <w:ind w:right="118"/>
              <w:jc w:val="right"/>
              <w:rPr>
                <w:rFonts w:ascii="CAIXA Std Book" w:hAnsi="CAIXA Std Book"/>
                <w:color w:val="005CA9"/>
                <w:sz w:val="16"/>
                <w:szCs w:val="16"/>
              </w:rPr>
            </w:pPr>
            <w:r w:rsidRPr="00943C57">
              <w:rPr>
                <w:rFonts w:ascii="CAIXA Std Book" w:hAnsi="CAIXA Std Book"/>
                <w:color w:val="005CA9"/>
                <w:sz w:val="16"/>
                <w:szCs w:val="16"/>
              </w:rPr>
              <w:t>3.449</w:t>
            </w:r>
          </w:p>
        </w:tc>
      </w:tr>
      <w:tr w:rsidR="00F3600B" w14:paraId="1A0A3DF1" w14:textId="77777777" w:rsidTr="00F3600B">
        <w:trPr>
          <w:trHeight w:val="255"/>
        </w:trPr>
        <w:tc>
          <w:tcPr>
            <w:tcW w:w="924" w:type="pct"/>
            <w:tcBorders>
              <w:top w:val="nil"/>
              <w:left w:val="nil"/>
              <w:bottom w:val="nil"/>
              <w:right w:val="nil"/>
            </w:tcBorders>
            <w:vAlign w:val="center"/>
            <w:hideMark/>
          </w:tcPr>
          <w:p w14:paraId="62CB305E" w14:textId="77777777" w:rsidR="00F3600B" w:rsidRPr="00943C57" w:rsidRDefault="00F3600B" w:rsidP="00F3600B">
            <w:pPr>
              <w:rPr>
                <w:rFonts w:ascii="CAIXA Std Book" w:hAnsi="CAIXA Std Book"/>
                <w:color w:val="005CA9"/>
                <w:sz w:val="16"/>
                <w:szCs w:val="16"/>
              </w:rPr>
            </w:pPr>
            <w:r w:rsidRPr="00943C57">
              <w:rPr>
                <w:rFonts w:ascii="CAIXA Std Book" w:hAnsi="CAIXA Std Book"/>
                <w:color w:val="005CA9"/>
                <w:sz w:val="16"/>
                <w:szCs w:val="16"/>
              </w:rPr>
              <w:t>Elo Serviços</w:t>
            </w:r>
          </w:p>
        </w:tc>
        <w:tc>
          <w:tcPr>
            <w:tcW w:w="283" w:type="pct"/>
            <w:tcBorders>
              <w:top w:val="nil"/>
              <w:left w:val="nil"/>
              <w:bottom w:val="nil"/>
              <w:right w:val="nil"/>
            </w:tcBorders>
            <w:noWrap/>
            <w:vAlign w:val="center"/>
            <w:hideMark/>
          </w:tcPr>
          <w:p w14:paraId="280B7B57"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41,41%</w:t>
            </w:r>
          </w:p>
        </w:tc>
        <w:tc>
          <w:tcPr>
            <w:tcW w:w="283" w:type="pct"/>
            <w:tcBorders>
              <w:top w:val="nil"/>
              <w:left w:val="nil"/>
              <w:bottom w:val="nil"/>
              <w:right w:val="nil"/>
            </w:tcBorders>
            <w:vAlign w:val="center"/>
            <w:hideMark/>
          </w:tcPr>
          <w:p w14:paraId="5B876F60"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0,01%</w:t>
            </w:r>
          </w:p>
        </w:tc>
        <w:tc>
          <w:tcPr>
            <w:tcW w:w="283" w:type="pct"/>
            <w:gridSpan w:val="2"/>
            <w:tcBorders>
              <w:top w:val="nil"/>
              <w:left w:val="nil"/>
              <w:bottom w:val="nil"/>
              <w:right w:val="nil"/>
            </w:tcBorders>
            <w:noWrap/>
            <w:vAlign w:val="center"/>
            <w:hideMark/>
          </w:tcPr>
          <w:p w14:paraId="75C8AD9C"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41,41%</w:t>
            </w:r>
          </w:p>
        </w:tc>
        <w:tc>
          <w:tcPr>
            <w:tcW w:w="283" w:type="pct"/>
            <w:tcBorders>
              <w:top w:val="nil"/>
              <w:left w:val="nil"/>
              <w:bottom w:val="nil"/>
              <w:right w:val="nil"/>
            </w:tcBorders>
            <w:vAlign w:val="center"/>
            <w:hideMark/>
          </w:tcPr>
          <w:p w14:paraId="2EB91D8D"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0,01%</w:t>
            </w:r>
          </w:p>
        </w:tc>
        <w:tc>
          <w:tcPr>
            <w:tcW w:w="368" w:type="pct"/>
            <w:tcBorders>
              <w:top w:val="nil"/>
              <w:left w:val="nil"/>
              <w:bottom w:val="nil"/>
              <w:right w:val="nil"/>
            </w:tcBorders>
            <w:noWrap/>
            <w:vAlign w:val="center"/>
            <w:hideMark/>
          </w:tcPr>
          <w:p w14:paraId="0EAF8903" w14:textId="36A951E0" w:rsidR="00F3600B" w:rsidRDefault="00F3600B" w:rsidP="00F3600B">
            <w:pPr>
              <w:jc w:val="center"/>
              <w:rPr>
                <w:rFonts w:ascii="CAIXA Std Book" w:hAnsi="CAIXA Std Book"/>
                <w:color w:val="005CA9"/>
                <w:sz w:val="16"/>
                <w:szCs w:val="16"/>
              </w:rPr>
            </w:pPr>
            <w:r>
              <w:rPr>
                <w:rFonts w:ascii="CAIXA Std Book" w:hAnsi="CAIXA Std Book" w:cs="Arial"/>
                <w:color w:val="2F75B5"/>
                <w:sz w:val="16"/>
                <w:szCs w:val="16"/>
              </w:rPr>
              <w:t>-</w:t>
            </w:r>
          </w:p>
        </w:tc>
        <w:tc>
          <w:tcPr>
            <w:tcW w:w="397" w:type="pct"/>
            <w:vAlign w:val="center"/>
            <w:hideMark/>
          </w:tcPr>
          <w:p w14:paraId="7F27E2F2" w14:textId="458CC7F1" w:rsidR="00F3600B" w:rsidRPr="00F3600B" w:rsidRDefault="00F3600B" w:rsidP="00EC2D33">
            <w:pPr>
              <w:jc w:val="center"/>
              <w:rPr>
                <w:rFonts w:ascii="CAIXA Std Book" w:hAnsi="CAIXA Std Book"/>
                <w:color w:val="005CA9"/>
                <w:sz w:val="16"/>
                <w:szCs w:val="16"/>
              </w:rPr>
            </w:pPr>
            <w:r w:rsidRPr="00F3600B">
              <w:rPr>
                <w:rFonts w:ascii="CAIXA Std Book" w:hAnsi="CAIXA Std Book"/>
                <w:color w:val="005CA9"/>
                <w:sz w:val="16"/>
                <w:szCs w:val="16"/>
              </w:rPr>
              <w:t>-</w:t>
            </w:r>
          </w:p>
        </w:tc>
        <w:tc>
          <w:tcPr>
            <w:tcW w:w="391" w:type="pct"/>
            <w:tcBorders>
              <w:top w:val="nil"/>
              <w:left w:val="nil"/>
              <w:bottom w:val="nil"/>
              <w:right w:val="nil"/>
            </w:tcBorders>
            <w:noWrap/>
            <w:vAlign w:val="center"/>
            <w:hideMark/>
          </w:tcPr>
          <w:p w14:paraId="383A5A39" w14:textId="77777777" w:rsidR="00F3600B" w:rsidRDefault="00F3600B" w:rsidP="00F3600B">
            <w:pPr>
              <w:jc w:val="center"/>
              <w:rPr>
                <w:rFonts w:ascii="CAIXA Std Book" w:hAnsi="CAIXA Std Book"/>
                <w:color w:val="2F75B5"/>
                <w:sz w:val="16"/>
                <w:szCs w:val="16"/>
              </w:rPr>
            </w:pPr>
            <w:r>
              <w:rPr>
                <w:rFonts w:ascii="CAIXA Std Book" w:hAnsi="CAIXA Std Book"/>
                <w:color w:val="2F75B5"/>
                <w:sz w:val="16"/>
                <w:szCs w:val="16"/>
              </w:rPr>
              <w:t>-</w:t>
            </w:r>
          </w:p>
        </w:tc>
        <w:tc>
          <w:tcPr>
            <w:tcW w:w="318" w:type="pct"/>
            <w:tcBorders>
              <w:top w:val="nil"/>
              <w:left w:val="nil"/>
              <w:bottom w:val="nil"/>
              <w:right w:val="nil"/>
            </w:tcBorders>
            <w:noWrap/>
            <w:vAlign w:val="center"/>
            <w:hideMark/>
          </w:tcPr>
          <w:p w14:paraId="31A3FD5F" w14:textId="4B9DA88A" w:rsidR="00F3600B" w:rsidRDefault="00F3600B" w:rsidP="00F3600B">
            <w:pPr>
              <w:jc w:val="center"/>
              <w:rPr>
                <w:rFonts w:ascii="CAIXA Std Book" w:hAnsi="CAIXA Std Book"/>
                <w:color w:val="2F75B5"/>
                <w:sz w:val="16"/>
                <w:szCs w:val="16"/>
              </w:rPr>
            </w:pPr>
            <w:r>
              <w:rPr>
                <w:rFonts w:ascii="CAIXA Std Book" w:hAnsi="CAIXA Std Book" w:cs="Arial"/>
                <w:color w:val="2F75B5"/>
                <w:sz w:val="16"/>
                <w:szCs w:val="16"/>
              </w:rPr>
              <w:t>-</w:t>
            </w:r>
          </w:p>
        </w:tc>
        <w:tc>
          <w:tcPr>
            <w:tcW w:w="368" w:type="pct"/>
            <w:tcBorders>
              <w:top w:val="nil"/>
              <w:left w:val="nil"/>
              <w:bottom w:val="nil"/>
              <w:right w:val="nil"/>
            </w:tcBorders>
            <w:noWrap/>
            <w:vAlign w:val="center"/>
            <w:hideMark/>
          </w:tcPr>
          <w:p w14:paraId="7B3BF5FB" w14:textId="7A57882D" w:rsidR="00F3600B" w:rsidRPr="00D97F59" w:rsidRDefault="00F3600B" w:rsidP="00F3600B">
            <w:pPr>
              <w:jc w:val="center"/>
              <w:rPr>
                <w:rFonts w:ascii="CAIXA Std Book" w:hAnsi="CAIXA Std Book"/>
                <w:color w:val="2F75B5"/>
                <w:sz w:val="16"/>
                <w:szCs w:val="16"/>
              </w:rPr>
            </w:pPr>
            <w:r>
              <w:rPr>
                <w:rFonts w:ascii="CAIXA Std Book" w:hAnsi="CAIXA Std Book" w:cs="Arial"/>
                <w:color w:val="2F75B5"/>
                <w:sz w:val="16"/>
                <w:szCs w:val="16"/>
              </w:rPr>
              <w:t>-</w:t>
            </w:r>
          </w:p>
        </w:tc>
        <w:tc>
          <w:tcPr>
            <w:tcW w:w="336" w:type="pct"/>
            <w:tcBorders>
              <w:top w:val="nil"/>
              <w:left w:val="nil"/>
              <w:bottom w:val="nil"/>
              <w:right w:val="nil"/>
            </w:tcBorders>
            <w:noWrap/>
            <w:vAlign w:val="center"/>
            <w:hideMark/>
          </w:tcPr>
          <w:p w14:paraId="4658A188" w14:textId="0B102295" w:rsidR="00F3600B" w:rsidRPr="00D070C5" w:rsidRDefault="00F3600B" w:rsidP="00F3600B">
            <w:pPr>
              <w:jc w:val="center"/>
              <w:rPr>
                <w:rFonts w:ascii="CAIXA Std Book" w:hAnsi="CAIXA Std Book"/>
                <w:color w:val="2F75B5"/>
                <w:sz w:val="16"/>
                <w:szCs w:val="16"/>
              </w:rPr>
            </w:pPr>
            <w:r>
              <w:rPr>
                <w:rFonts w:ascii="CAIXA Std Book" w:hAnsi="CAIXA Std Book" w:cs="Arial"/>
                <w:color w:val="2F75B5"/>
                <w:sz w:val="16"/>
                <w:szCs w:val="16"/>
              </w:rPr>
              <w:t>-</w:t>
            </w:r>
          </w:p>
        </w:tc>
        <w:tc>
          <w:tcPr>
            <w:tcW w:w="389" w:type="pct"/>
            <w:tcBorders>
              <w:top w:val="nil"/>
              <w:left w:val="nil"/>
              <w:bottom w:val="nil"/>
              <w:right w:val="nil"/>
            </w:tcBorders>
            <w:noWrap/>
            <w:vAlign w:val="center"/>
            <w:hideMark/>
          </w:tcPr>
          <w:p w14:paraId="5139C847" w14:textId="050B67E7" w:rsidR="00F3600B" w:rsidRPr="00943C57" w:rsidRDefault="00F3600B" w:rsidP="00F3600B">
            <w:pPr>
              <w:jc w:val="center"/>
              <w:rPr>
                <w:rFonts w:ascii="CAIXA Std Book" w:hAnsi="CAIXA Std Book"/>
                <w:sz w:val="16"/>
                <w:szCs w:val="16"/>
              </w:rPr>
            </w:pPr>
            <w:r>
              <w:rPr>
                <w:rFonts w:ascii="CAIXA Std Book" w:hAnsi="CAIXA Std Book" w:cs="Arial"/>
                <w:color w:val="2F75B5"/>
                <w:sz w:val="16"/>
                <w:szCs w:val="16"/>
              </w:rPr>
              <w:t>-</w:t>
            </w:r>
          </w:p>
        </w:tc>
        <w:tc>
          <w:tcPr>
            <w:tcW w:w="377" w:type="pct"/>
            <w:tcBorders>
              <w:top w:val="nil"/>
              <w:left w:val="nil"/>
              <w:bottom w:val="nil"/>
              <w:right w:val="nil"/>
            </w:tcBorders>
            <w:vAlign w:val="center"/>
            <w:hideMark/>
          </w:tcPr>
          <w:p w14:paraId="30C53EE2" w14:textId="77777777" w:rsidR="00F3600B" w:rsidRPr="00943C57" w:rsidRDefault="00F3600B" w:rsidP="00F3600B">
            <w:pPr>
              <w:ind w:right="118"/>
              <w:jc w:val="right"/>
              <w:rPr>
                <w:rFonts w:ascii="CAIXA Std Book" w:hAnsi="CAIXA Std Book"/>
                <w:color w:val="005CA9"/>
                <w:sz w:val="16"/>
                <w:szCs w:val="16"/>
              </w:rPr>
            </w:pPr>
            <w:r w:rsidRPr="00943C57">
              <w:rPr>
                <w:rFonts w:ascii="CAIXA Std Book" w:hAnsi="CAIXA Std Book"/>
                <w:color w:val="005CA9"/>
                <w:sz w:val="16"/>
                <w:szCs w:val="16"/>
              </w:rPr>
              <w:t>55.736</w:t>
            </w:r>
          </w:p>
        </w:tc>
      </w:tr>
      <w:tr w:rsidR="00F3600B" w14:paraId="39BCF128" w14:textId="77777777" w:rsidTr="00F3600B">
        <w:trPr>
          <w:trHeight w:val="255"/>
        </w:trPr>
        <w:tc>
          <w:tcPr>
            <w:tcW w:w="924" w:type="pct"/>
            <w:tcBorders>
              <w:top w:val="nil"/>
              <w:left w:val="nil"/>
              <w:bottom w:val="nil"/>
              <w:right w:val="nil"/>
            </w:tcBorders>
            <w:vAlign w:val="center"/>
            <w:hideMark/>
          </w:tcPr>
          <w:p w14:paraId="15F7183A" w14:textId="77777777" w:rsidR="00F3600B" w:rsidRPr="00943C57" w:rsidRDefault="00F3600B" w:rsidP="00F3600B">
            <w:pPr>
              <w:rPr>
                <w:rFonts w:ascii="CAIXA Std Book" w:hAnsi="CAIXA Std Book"/>
                <w:color w:val="005CA9"/>
                <w:sz w:val="16"/>
                <w:szCs w:val="16"/>
              </w:rPr>
            </w:pPr>
            <w:r w:rsidRPr="00943C57">
              <w:rPr>
                <w:rFonts w:ascii="CAIXA Std Book" w:hAnsi="CAIXA Std Book"/>
                <w:color w:val="005CA9"/>
                <w:sz w:val="16"/>
                <w:szCs w:val="16"/>
              </w:rPr>
              <w:t>Elo Holding (3)</w:t>
            </w:r>
          </w:p>
        </w:tc>
        <w:tc>
          <w:tcPr>
            <w:tcW w:w="283" w:type="pct"/>
            <w:tcBorders>
              <w:top w:val="nil"/>
              <w:left w:val="nil"/>
              <w:bottom w:val="nil"/>
              <w:right w:val="nil"/>
            </w:tcBorders>
            <w:noWrap/>
            <w:vAlign w:val="center"/>
            <w:hideMark/>
          </w:tcPr>
          <w:p w14:paraId="43691C19"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33,34%</w:t>
            </w:r>
          </w:p>
        </w:tc>
        <w:tc>
          <w:tcPr>
            <w:tcW w:w="283" w:type="pct"/>
            <w:tcBorders>
              <w:top w:val="nil"/>
              <w:left w:val="nil"/>
              <w:bottom w:val="nil"/>
              <w:right w:val="nil"/>
            </w:tcBorders>
            <w:vAlign w:val="center"/>
            <w:hideMark/>
          </w:tcPr>
          <w:p w14:paraId="3267B94F"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w:t>
            </w:r>
          </w:p>
        </w:tc>
        <w:tc>
          <w:tcPr>
            <w:tcW w:w="283" w:type="pct"/>
            <w:gridSpan w:val="2"/>
            <w:tcBorders>
              <w:top w:val="nil"/>
              <w:left w:val="nil"/>
              <w:bottom w:val="nil"/>
              <w:right w:val="nil"/>
            </w:tcBorders>
            <w:noWrap/>
            <w:vAlign w:val="center"/>
            <w:hideMark/>
          </w:tcPr>
          <w:p w14:paraId="503CD773"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33,34%</w:t>
            </w:r>
          </w:p>
        </w:tc>
        <w:tc>
          <w:tcPr>
            <w:tcW w:w="283" w:type="pct"/>
            <w:tcBorders>
              <w:top w:val="nil"/>
              <w:left w:val="nil"/>
              <w:bottom w:val="nil"/>
              <w:right w:val="nil"/>
            </w:tcBorders>
            <w:vAlign w:val="center"/>
            <w:hideMark/>
          </w:tcPr>
          <w:p w14:paraId="4922491E"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w:t>
            </w:r>
          </w:p>
        </w:tc>
        <w:tc>
          <w:tcPr>
            <w:tcW w:w="368" w:type="pct"/>
            <w:tcBorders>
              <w:top w:val="nil"/>
              <w:left w:val="nil"/>
              <w:bottom w:val="nil"/>
              <w:right w:val="nil"/>
            </w:tcBorders>
            <w:noWrap/>
            <w:vAlign w:val="bottom"/>
            <w:hideMark/>
          </w:tcPr>
          <w:p w14:paraId="435BE4C8" w14:textId="18B6CCE7" w:rsidR="00F3600B" w:rsidRDefault="00F3600B" w:rsidP="00F3600B">
            <w:pPr>
              <w:jc w:val="right"/>
              <w:rPr>
                <w:rFonts w:ascii="CAIXA Std Book" w:hAnsi="CAIXA Std Book"/>
                <w:color w:val="005CA9"/>
                <w:sz w:val="16"/>
                <w:szCs w:val="16"/>
              </w:rPr>
            </w:pPr>
            <w:r>
              <w:rPr>
                <w:rFonts w:ascii="CAIXA Std Book" w:hAnsi="CAIXA Std Book" w:cs="Arial"/>
                <w:color w:val="005CA9"/>
                <w:sz w:val="16"/>
                <w:szCs w:val="16"/>
              </w:rPr>
              <w:t>1.013.377</w:t>
            </w:r>
          </w:p>
        </w:tc>
        <w:tc>
          <w:tcPr>
            <w:tcW w:w="397" w:type="pct"/>
            <w:vAlign w:val="center"/>
            <w:hideMark/>
          </w:tcPr>
          <w:p w14:paraId="3764A12D" w14:textId="44928189" w:rsidR="00F3600B" w:rsidRPr="00F3600B" w:rsidRDefault="00F3600B" w:rsidP="00F3600B">
            <w:pPr>
              <w:jc w:val="right"/>
              <w:rPr>
                <w:rFonts w:ascii="CAIXA Std Book" w:hAnsi="CAIXA Std Book"/>
                <w:color w:val="005CA9"/>
                <w:sz w:val="16"/>
                <w:szCs w:val="16"/>
              </w:rPr>
            </w:pPr>
            <w:r w:rsidRPr="00F3600B">
              <w:rPr>
                <w:rFonts w:ascii="CAIXA Std Book" w:hAnsi="CAIXA Std Book"/>
                <w:color w:val="005CA9"/>
                <w:sz w:val="16"/>
                <w:szCs w:val="16"/>
              </w:rPr>
              <w:t>859.329</w:t>
            </w:r>
          </w:p>
        </w:tc>
        <w:tc>
          <w:tcPr>
            <w:tcW w:w="391" w:type="pct"/>
            <w:tcBorders>
              <w:top w:val="nil"/>
              <w:left w:val="nil"/>
              <w:bottom w:val="nil"/>
              <w:right w:val="nil"/>
            </w:tcBorders>
            <w:noWrap/>
            <w:vAlign w:val="center"/>
            <w:hideMark/>
          </w:tcPr>
          <w:p w14:paraId="2A8810FE" w14:textId="77777777" w:rsidR="00F3600B" w:rsidRDefault="00F3600B" w:rsidP="00F3600B">
            <w:pPr>
              <w:jc w:val="right"/>
              <w:rPr>
                <w:rFonts w:ascii="CAIXA Std Book" w:hAnsi="CAIXA Std Book"/>
                <w:color w:val="2F75B5"/>
                <w:sz w:val="16"/>
                <w:szCs w:val="16"/>
              </w:rPr>
            </w:pPr>
            <w:r>
              <w:rPr>
                <w:rFonts w:ascii="CAIXA Std Book" w:hAnsi="CAIXA Std Book"/>
                <w:color w:val="2F75B5"/>
                <w:sz w:val="16"/>
                <w:szCs w:val="16"/>
              </w:rPr>
              <w:t>286457</w:t>
            </w:r>
          </w:p>
        </w:tc>
        <w:tc>
          <w:tcPr>
            <w:tcW w:w="318" w:type="pct"/>
            <w:tcBorders>
              <w:top w:val="nil"/>
              <w:left w:val="nil"/>
              <w:bottom w:val="nil"/>
              <w:right w:val="nil"/>
            </w:tcBorders>
            <w:noWrap/>
            <w:vAlign w:val="bottom"/>
            <w:hideMark/>
          </w:tcPr>
          <w:p w14:paraId="4100AB5A" w14:textId="0BC44614" w:rsidR="00F3600B" w:rsidRDefault="00F3600B" w:rsidP="00F3600B">
            <w:pPr>
              <w:jc w:val="right"/>
              <w:rPr>
                <w:rFonts w:ascii="CAIXA Std Book" w:hAnsi="CAIXA Std Book"/>
                <w:color w:val="2F75B5"/>
                <w:sz w:val="16"/>
                <w:szCs w:val="16"/>
              </w:rPr>
            </w:pPr>
            <w:r>
              <w:rPr>
                <w:rFonts w:ascii="CAIXA Std Book" w:hAnsi="CAIXA Std Book" w:cs="Arial"/>
                <w:color w:val="2F75B5"/>
                <w:sz w:val="16"/>
                <w:szCs w:val="16"/>
              </w:rPr>
              <w:t>51.352</w:t>
            </w:r>
          </w:p>
        </w:tc>
        <w:tc>
          <w:tcPr>
            <w:tcW w:w="368" w:type="pct"/>
            <w:tcBorders>
              <w:top w:val="nil"/>
              <w:left w:val="nil"/>
              <w:bottom w:val="nil"/>
              <w:right w:val="nil"/>
            </w:tcBorders>
            <w:noWrap/>
            <w:vAlign w:val="center"/>
            <w:hideMark/>
          </w:tcPr>
          <w:p w14:paraId="51BA75AF" w14:textId="3B935D64" w:rsidR="00F3600B" w:rsidRPr="00D97F59" w:rsidRDefault="00F3600B" w:rsidP="00F3600B">
            <w:pPr>
              <w:jc w:val="center"/>
              <w:rPr>
                <w:rFonts w:ascii="CAIXA Std Book" w:hAnsi="CAIXA Std Book"/>
                <w:color w:val="2F75B5"/>
                <w:sz w:val="16"/>
                <w:szCs w:val="16"/>
              </w:rPr>
            </w:pPr>
            <w:r>
              <w:rPr>
                <w:rFonts w:ascii="CAIXA Std Book" w:hAnsi="CAIXA Std Book" w:cs="Arial"/>
                <w:color w:val="2F75B5"/>
                <w:sz w:val="16"/>
                <w:szCs w:val="16"/>
              </w:rPr>
              <w:t>-</w:t>
            </w:r>
          </w:p>
        </w:tc>
        <w:tc>
          <w:tcPr>
            <w:tcW w:w="336" w:type="pct"/>
            <w:tcBorders>
              <w:top w:val="nil"/>
              <w:left w:val="nil"/>
              <w:bottom w:val="nil"/>
              <w:right w:val="nil"/>
            </w:tcBorders>
            <w:noWrap/>
            <w:vAlign w:val="center"/>
            <w:hideMark/>
          </w:tcPr>
          <w:p w14:paraId="79419A2E" w14:textId="1F728CAA" w:rsidR="00F3600B" w:rsidRPr="00D070C5" w:rsidRDefault="00F3600B" w:rsidP="00F3600B">
            <w:pPr>
              <w:jc w:val="center"/>
              <w:rPr>
                <w:rFonts w:ascii="CAIXA Std Book" w:hAnsi="CAIXA Std Book"/>
                <w:color w:val="2F75B5"/>
                <w:sz w:val="16"/>
                <w:szCs w:val="16"/>
              </w:rPr>
            </w:pPr>
            <w:r>
              <w:rPr>
                <w:rFonts w:ascii="CAIXA Std Book" w:hAnsi="CAIXA Std Book" w:cs="Arial"/>
                <w:color w:val="2F75B5"/>
                <w:sz w:val="16"/>
                <w:szCs w:val="16"/>
              </w:rPr>
              <w:t>-</w:t>
            </w:r>
          </w:p>
        </w:tc>
        <w:tc>
          <w:tcPr>
            <w:tcW w:w="389" w:type="pct"/>
            <w:tcBorders>
              <w:top w:val="nil"/>
              <w:left w:val="nil"/>
              <w:bottom w:val="nil"/>
              <w:right w:val="nil"/>
            </w:tcBorders>
            <w:noWrap/>
            <w:vAlign w:val="bottom"/>
            <w:hideMark/>
          </w:tcPr>
          <w:p w14:paraId="64C4CE38" w14:textId="59D569C3"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337.809</w:t>
            </w:r>
          </w:p>
        </w:tc>
        <w:tc>
          <w:tcPr>
            <w:tcW w:w="377" w:type="pct"/>
            <w:tcBorders>
              <w:top w:val="nil"/>
              <w:left w:val="nil"/>
              <w:bottom w:val="nil"/>
              <w:right w:val="nil"/>
            </w:tcBorders>
            <w:noWrap/>
            <w:vAlign w:val="center"/>
            <w:hideMark/>
          </w:tcPr>
          <w:p w14:paraId="6D282FC1" w14:textId="77777777" w:rsidR="00F3600B" w:rsidRPr="00943C57" w:rsidRDefault="00F3600B" w:rsidP="00F3600B">
            <w:pPr>
              <w:ind w:right="118"/>
              <w:jc w:val="center"/>
              <w:rPr>
                <w:rFonts w:ascii="CAIXA Std Book" w:hAnsi="CAIXA Std Book"/>
                <w:color w:val="000000"/>
                <w:sz w:val="16"/>
                <w:szCs w:val="16"/>
              </w:rPr>
            </w:pPr>
            <w:r>
              <w:rPr>
                <w:rFonts w:ascii="CAIXA Std Book" w:hAnsi="CAIXA Std Book" w:cs="Arial"/>
                <w:color w:val="2F75B5"/>
                <w:sz w:val="16"/>
                <w:szCs w:val="16"/>
              </w:rPr>
              <w:t>-</w:t>
            </w:r>
          </w:p>
        </w:tc>
      </w:tr>
      <w:tr w:rsidR="00F3600B" w14:paraId="043646BC" w14:textId="77777777" w:rsidTr="00F3600B">
        <w:trPr>
          <w:trHeight w:val="255"/>
        </w:trPr>
        <w:tc>
          <w:tcPr>
            <w:tcW w:w="924" w:type="pct"/>
            <w:tcBorders>
              <w:top w:val="nil"/>
              <w:left w:val="nil"/>
              <w:bottom w:val="nil"/>
              <w:right w:val="nil"/>
            </w:tcBorders>
            <w:vAlign w:val="center"/>
            <w:hideMark/>
          </w:tcPr>
          <w:p w14:paraId="207C50B1" w14:textId="77777777" w:rsidR="00F3600B" w:rsidRPr="00943C57" w:rsidRDefault="00F3600B" w:rsidP="00F3600B">
            <w:pPr>
              <w:rPr>
                <w:rFonts w:ascii="CAIXA Std Book" w:hAnsi="CAIXA Std Book"/>
                <w:color w:val="005CA9"/>
                <w:sz w:val="16"/>
                <w:szCs w:val="16"/>
              </w:rPr>
            </w:pPr>
            <w:r w:rsidRPr="00943C57">
              <w:rPr>
                <w:rFonts w:ascii="CAIXA Std Book" w:hAnsi="CAIXA Std Book"/>
                <w:color w:val="005CA9"/>
                <w:sz w:val="16"/>
                <w:szCs w:val="16"/>
              </w:rPr>
              <w:t>Caixa Cartões Pré-Pagos</w:t>
            </w:r>
          </w:p>
        </w:tc>
        <w:tc>
          <w:tcPr>
            <w:tcW w:w="283" w:type="pct"/>
            <w:tcBorders>
              <w:top w:val="nil"/>
              <w:left w:val="nil"/>
              <w:bottom w:val="nil"/>
              <w:right w:val="nil"/>
            </w:tcBorders>
            <w:noWrap/>
            <w:vAlign w:val="center"/>
            <w:hideMark/>
          </w:tcPr>
          <w:p w14:paraId="5C3062E0"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75,00%</w:t>
            </w:r>
          </w:p>
        </w:tc>
        <w:tc>
          <w:tcPr>
            <w:tcW w:w="283" w:type="pct"/>
            <w:tcBorders>
              <w:top w:val="nil"/>
              <w:left w:val="nil"/>
              <w:bottom w:val="nil"/>
              <w:right w:val="nil"/>
            </w:tcBorders>
            <w:vAlign w:val="center"/>
            <w:hideMark/>
          </w:tcPr>
          <w:p w14:paraId="474E1DA4"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50%-1</w:t>
            </w:r>
          </w:p>
        </w:tc>
        <w:tc>
          <w:tcPr>
            <w:tcW w:w="283" w:type="pct"/>
            <w:gridSpan w:val="2"/>
            <w:tcBorders>
              <w:top w:val="nil"/>
              <w:left w:val="nil"/>
              <w:bottom w:val="nil"/>
              <w:right w:val="nil"/>
            </w:tcBorders>
            <w:noWrap/>
            <w:vAlign w:val="center"/>
            <w:hideMark/>
          </w:tcPr>
          <w:p w14:paraId="1AD3F67F"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75,00%</w:t>
            </w:r>
          </w:p>
        </w:tc>
        <w:tc>
          <w:tcPr>
            <w:tcW w:w="283" w:type="pct"/>
            <w:tcBorders>
              <w:top w:val="nil"/>
              <w:left w:val="nil"/>
              <w:bottom w:val="nil"/>
              <w:right w:val="nil"/>
            </w:tcBorders>
            <w:vAlign w:val="center"/>
            <w:hideMark/>
          </w:tcPr>
          <w:p w14:paraId="50A4186A"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50%-1</w:t>
            </w:r>
          </w:p>
        </w:tc>
        <w:tc>
          <w:tcPr>
            <w:tcW w:w="368" w:type="pct"/>
            <w:tcBorders>
              <w:top w:val="nil"/>
              <w:left w:val="nil"/>
              <w:bottom w:val="nil"/>
              <w:right w:val="nil"/>
            </w:tcBorders>
            <w:noWrap/>
            <w:vAlign w:val="bottom"/>
            <w:hideMark/>
          </w:tcPr>
          <w:p w14:paraId="42496FC7" w14:textId="37DF7B2E" w:rsidR="00F3600B" w:rsidRDefault="00F3600B" w:rsidP="00F3600B">
            <w:pPr>
              <w:jc w:val="right"/>
              <w:rPr>
                <w:rFonts w:ascii="CAIXA Std Book" w:hAnsi="CAIXA Std Book"/>
                <w:color w:val="005CA9"/>
                <w:sz w:val="16"/>
                <w:szCs w:val="16"/>
              </w:rPr>
            </w:pPr>
            <w:r>
              <w:rPr>
                <w:rFonts w:ascii="CAIXA Std Book" w:hAnsi="CAIXA Std Book" w:cs="Arial"/>
                <w:color w:val="005CA9"/>
                <w:sz w:val="16"/>
                <w:szCs w:val="16"/>
              </w:rPr>
              <w:t>439.023</w:t>
            </w:r>
          </w:p>
        </w:tc>
        <w:tc>
          <w:tcPr>
            <w:tcW w:w="397" w:type="pct"/>
            <w:vAlign w:val="center"/>
            <w:hideMark/>
          </w:tcPr>
          <w:p w14:paraId="1651F3E5" w14:textId="27BB51B2" w:rsidR="00F3600B" w:rsidRPr="00F3600B" w:rsidRDefault="00F3600B" w:rsidP="00F3600B">
            <w:pPr>
              <w:jc w:val="right"/>
              <w:rPr>
                <w:rFonts w:ascii="CAIXA Std Book" w:hAnsi="CAIXA Std Book"/>
                <w:color w:val="005CA9"/>
                <w:sz w:val="16"/>
                <w:szCs w:val="16"/>
              </w:rPr>
            </w:pPr>
            <w:r w:rsidRPr="00F3600B">
              <w:rPr>
                <w:rFonts w:ascii="CAIXA Std Book" w:hAnsi="CAIXA Std Book"/>
                <w:color w:val="005CA9"/>
                <w:sz w:val="16"/>
                <w:szCs w:val="16"/>
              </w:rPr>
              <w:t>430.789</w:t>
            </w:r>
          </w:p>
        </w:tc>
        <w:tc>
          <w:tcPr>
            <w:tcW w:w="391" w:type="pct"/>
            <w:tcBorders>
              <w:top w:val="nil"/>
              <w:left w:val="nil"/>
              <w:bottom w:val="nil"/>
              <w:right w:val="nil"/>
            </w:tcBorders>
            <w:noWrap/>
            <w:vAlign w:val="center"/>
            <w:hideMark/>
          </w:tcPr>
          <w:p w14:paraId="6106606C" w14:textId="77777777" w:rsidR="00F3600B" w:rsidRDefault="00F3600B" w:rsidP="00F3600B">
            <w:pPr>
              <w:jc w:val="right"/>
              <w:rPr>
                <w:rFonts w:ascii="CAIXA Std Book" w:hAnsi="CAIXA Std Book"/>
                <w:color w:val="2F75B5"/>
                <w:sz w:val="16"/>
                <w:szCs w:val="16"/>
              </w:rPr>
            </w:pPr>
            <w:r>
              <w:rPr>
                <w:rFonts w:ascii="CAIXA Std Book" w:hAnsi="CAIXA Std Book"/>
                <w:color w:val="2F75B5"/>
                <w:sz w:val="16"/>
                <w:szCs w:val="16"/>
              </w:rPr>
              <w:t>323092</w:t>
            </w:r>
          </w:p>
        </w:tc>
        <w:tc>
          <w:tcPr>
            <w:tcW w:w="318" w:type="pct"/>
            <w:tcBorders>
              <w:top w:val="nil"/>
              <w:left w:val="nil"/>
              <w:bottom w:val="nil"/>
              <w:right w:val="nil"/>
            </w:tcBorders>
            <w:noWrap/>
            <w:vAlign w:val="bottom"/>
            <w:hideMark/>
          </w:tcPr>
          <w:p w14:paraId="4CADECF8" w14:textId="22DE7CB1" w:rsidR="00F3600B" w:rsidRDefault="00F3600B" w:rsidP="00F3600B">
            <w:pPr>
              <w:jc w:val="right"/>
              <w:rPr>
                <w:rFonts w:ascii="CAIXA Std Book" w:hAnsi="CAIXA Std Book"/>
                <w:color w:val="2F75B5"/>
                <w:sz w:val="16"/>
                <w:szCs w:val="16"/>
              </w:rPr>
            </w:pPr>
            <w:r>
              <w:rPr>
                <w:rFonts w:ascii="CAIXA Std Book" w:hAnsi="CAIXA Std Book" w:cs="Arial"/>
                <w:color w:val="2F75B5"/>
                <w:sz w:val="16"/>
                <w:szCs w:val="16"/>
              </w:rPr>
              <w:t>18.016</w:t>
            </w:r>
          </w:p>
        </w:tc>
        <w:tc>
          <w:tcPr>
            <w:tcW w:w="368" w:type="pct"/>
            <w:tcBorders>
              <w:top w:val="nil"/>
              <w:left w:val="nil"/>
              <w:bottom w:val="nil"/>
              <w:right w:val="nil"/>
            </w:tcBorders>
            <w:noWrap/>
            <w:vAlign w:val="center"/>
            <w:hideMark/>
          </w:tcPr>
          <w:p w14:paraId="4768C8D9" w14:textId="05938D5C" w:rsidR="00F3600B" w:rsidRPr="00D97F59" w:rsidRDefault="00F3600B" w:rsidP="00F3600B">
            <w:pPr>
              <w:jc w:val="center"/>
              <w:rPr>
                <w:rFonts w:ascii="CAIXA Std Book" w:hAnsi="CAIXA Std Book"/>
                <w:color w:val="2F75B5"/>
                <w:sz w:val="16"/>
                <w:szCs w:val="16"/>
              </w:rPr>
            </w:pPr>
            <w:r>
              <w:rPr>
                <w:rFonts w:ascii="CAIXA Std Book" w:hAnsi="CAIXA Std Book" w:cs="Arial"/>
                <w:color w:val="2F75B5"/>
                <w:sz w:val="16"/>
                <w:szCs w:val="16"/>
              </w:rPr>
              <w:t>-</w:t>
            </w:r>
          </w:p>
        </w:tc>
        <w:tc>
          <w:tcPr>
            <w:tcW w:w="336" w:type="pct"/>
            <w:tcBorders>
              <w:top w:val="nil"/>
              <w:left w:val="nil"/>
              <w:bottom w:val="nil"/>
              <w:right w:val="nil"/>
            </w:tcBorders>
            <w:noWrap/>
            <w:vAlign w:val="bottom"/>
            <w:hideMark/>
          </w:tcPr>
          <w:p w14:paraId="19EE161C" w14:textId="33FEB77D"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(4.903)</w:t>
            </w:r>
          </w:p>
        </w:tc>
        <w:tc>
          <w:tcPr>
            <w:tcW w:w="389" w:type="pct"/>
            <w:tcBorders>
              <w:top w:val="nil"/>
              <w:left w:val="nil"/>
              <w:bottom w:val="nil"/>
              <w:right w:val="nil"/>
            </w:tcBorders>
            <w:noWrap/>
            <w:vAlign w:val="bottom"/>
            <w:hideMark/>
          </w:tcPr>
          <w:p w14:paraId="5DD2EB83" w14:textId="4156D7D2"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336.205</w:t>
            </w:r>
          </w:p>
        </w:tc>
        <w:tc>
          <w:tcPr>
            <w:tcW w:w="377" w:type="pct"/>
            <w:tcBorders>
              <w:top w:val="nil"/>
              <w:left w:val="nil"/>
              <w:bottom w:val="nil"/>
              <w:right w:val="nil"/>
            </w:tcBorders>
            <w:vAlign w:val="center"/>
            <w:hideMark/>
          </w:tcPr>
          <w:p w14:paraId="7FA1FB65" w14:textId="77777777" w:rsidR="00F3600B" w:rsidRPr="00943C57" w:rsidRDefault="00F3600B" w:rsidP="00F3600B">
            <w:pPr>
              <w:ind w:right="118"/>
              <w:jc w:val="right"/>
              <w:rPr>
                <w:rFonts w:ascii="CAIXA Std Book" w:hAnsi="CAIXA Std Book"/>
                <w:color w:val="005CA9"/>
                <w:sz w:val="16"/>
                <w:szCs w:val="16"/>
              </w:rPr>
            </w:pPr>
            <w:r w:rsidRPr="00943C57">
              <w:rPr>
                <w:rFonts w:ascii="CAIXA Std Book" w:hAnsi="CAIXA Std Book"/>
                <w:color w:val="005CA9"/>
                <w:sz w:val="16"/>
                <w:szCs w:val="16"/>
              </w:rPr>
              <w:t>5.594</w:t>
            </w:r>
          </w:p>
        </w:tc>
      </w:tr>
      <w:tr w:rsidR="00F3600B" w14:paraId="63CC92A6" w14:textId="77777777" w:rsidTr="00F3600B">
        <w:trPr>
          <w:trHeight w:val="255"/>
        </w:trPr>
        <w:tc>
          <w:tcPr>
            <w:tcW w:w="924" w:type="pct"/>
            <w:tcBorders>
              <w:top w:val="nil"/>
              <w:left w:val="nil"/>
              <w:bottom w:val="nil"/>
              <w:right w:val="nil"/>
            </w:tcBorders>
            <w:vAlign w:val="center"/>
            <w:hideMark/>
          </w:tcPr>
          <w:p w14:paraId="31444349" w14:textId="77777777" w:rsidR="00F3600B" w:rsidRPr="00943C57" w:rsidRDefault="00F3600B" w:rsidP="00F3600B">
            <w:pPr>
              <w:rPr>
                <w:rFonts w:ascii="CAIXA Std Book" w:hAnsi="CAIXA Std Book"/>
                <w:color w:val="005CA9"/>
                <w:sz w:val="16"/>
                <w:szCs w:val="16"/>
              </w:rPr>
            </w:pPr>
            <w:r w:rsidRPr="00943C57">
              <w:rPr>
                <w:rFonts w:ascii="CAIXA Std Book" w:hAnsi="CAIXA Std Book"/>
                <w:color w:val="005CA9"/>
                <w:sz w:val="16"/>
                <w:szCs w:val="16"/>
              </w:rPr>
              <w:t>Tecban</w:t>
            </w:r>
          </w:p>
        </w:tc>
        <w:tc>
          <w:tcPr>
            <w:tcW w:w="283" w:type="pct"/>
            <w:tcBorders>
              <w:top w:val="nil"/>
              <w:left w:val="nil"/>
              <w:bottom w:val="nil"/>
              <w:right w:val="nil"/>
            </w:tcBorders>
            <w:noWrap/>
            <w:vAlign w:val="center"/>
            <w:hideMark/>
          </w:tcPr>
          <w:p w14:paraId="22D608B6"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13,01%</w:t>
            </w:r>
          </w:p>
        </w:tc>
        <w:tc>
          <w:tcPr>
            <w:tcW w:w="283" w:type="pct"/>
            <w:tcBorders>
              <w:top w:val="nil"/>
              <w:left w:val="nil"/>
              <w:bottom w:val="nil"/>
              <w:right w:val="nil"/>
            </w:tcBorders>
            <w:vAlign w:val="center"/>
            <w:hideMark/>
          </w:tcPr>
          <w:p w14:paraId="0818E2A5"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11,61%</w:t>
            </w:r>
          </w:p>
        </w:tc>
        <w:tc>
          <w:tcPr>
            <w:tcW w:w="283" w:type="pct"/>
            <w:gridSpan w:val="2"/>
            <w:tcBorders>
              <w:top w:val="nil"/>
              <w:left w:val="nil"/>
              <w:bottom w:val="nil"/>
              <w:right w:val="nil"/>
            </w:tcBorders>
            <w:noWrap/>
            <w:vAlign w:val="center"/>
            <w:hideMark/>
          </w:tcPr>
          <w:p w14:paraId="3DBB9415"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13,01%</w:t>
            </w:r>
          </w:p>
        </w:tc>
        <w:tc>
          <w:tcPr>
            <w:tcW w:w="283" w:type="pct"/>
            <w:tcBorders>
              <w:top w:val="nil"/>
              <w:left w:val="nil"/>
              <w:bottom w:val="nil"/>
              <w:right w:val="nil"/>
            </w:tcBorders>
            <w:vAlign w:val="center"/>
            <w:hideMark/>
          </w:tcPr>
          <w:p w14:paraId="602CAFAF"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11,61%</w:t>
            </w:r>
          </w:p>
        </w:tc>
        <w:tc>
          <w:tcPr>
            <w:tcW w:w="368" w:type="pct"/>
            <w:tcBorders>
              <w:top w:val="nil"/>
              <w:left w:val="nil"/>
              <w:bottom w:val="nil"/>
              <w:right w:val="nil"/>
            </w:tcBorders>
            <w:noWrap/>
            <w:vAlign w:val="bottom"/>
            <w:hideMark/>
          </w:tcPr>
          <w:p w14:paraId="2D5CC669" w14:textId="13857592" w:rsidR="00F3600B" w:rsidRDefault="00F3600B" w:rsidP="00F3600B">
            <w:pPr>
              <w:jc w:val="right"/>
              <w:rPr>
                <w:rFonts w:ascii="CAIXA Std Book" w:hAnsi="CAIXA Std Book"/>
                <w:color w:val="005CA9"/>
                <w:sz w:val="16"/>
                <w:szCs w:val="16"/>
              </w:rPr>
            </w:pPr>
            <w:r>
              <w:rPr>
                <w:rFonts w:ascii="CAIXA Std Book" w:hAnsi="CAIXA Std Book" w:cs="Arial"/>
                <w:color w:val="005CA9"/>
                <w:sz w:val="16"/>
                <w:szCs w:val="16"/>
              </w:rPr>
              <w:t>1.009.835</w:t>
            </w:r>
          </w:p>
        </w:tc>
        <w:tc>
          <w:tcPr>
            <w:tcW w:w="397" w:type="pct"/>
            <w:vAlign w:val="center"/>
            <w:hideMark/>
          </w:tcPr>
          <w:p w14:paraId="5B346AF5" w14:textId="3CBEECE8" w:rsidR="00F3600B" w:rsidRPr="00F3600B" w:rsidRDefault="00F3600B" w:rsidP="00F3600B">
            <w:pPr>
              <w:jc w:val="right"/>
              <w:rPr>
                <w:rFonts w:ascii="CAIXA Std Book" w:hAnsi="CAIXA Std Book"/>
                <w:color w:val="005CA9"/>
                <w:sz w:val="16"/>
                <w:szCs w:val="16"/>
              </w:rPr>
            </w:pPr>
            <w:r w:rsidRPr="00F3600B">
              <w:rPr>
                <w:rFonts w:ascii="CAIXA Std Book" w:hAnsi="CAIXA Std Book"/>
                <w:color w:val="005CA9"/>
                <w:sz w:val="16"/>
                <w:szCs w:val="16"/>
              </w:rPr>
              <w:t>991.596</w:t>
            </w:r>
          </w:p>
        </w:tc>
        <w:tc>
          <w:tcPr>
            <w:tcW w:w="391" w:type="pct"/>
            <w:tcBorders>
              <w:top w:val="nil"/>
              <w:left w:val="nil"/>
              <w:bottom w:val="nil"/>
              <w:right w:val="nil"/>
            </w:tcBorders>
            <w:noWrap/>
            <w:vAlign w:val="center"/>
            <w:hideMark/>
          </w:tcPr>
          <w:p w14:paraId="04F8176B" w14:textId="77777777" w:rsidR="00F3600B" w:rsidRDefault="00F3600B" w:rsidP="00F3600B">
            <w:pPr>
              <w:jc w:val="right"/>
              <w:rPr>
                <w:rFonts w:ascii="CAIXA Std Book" w:hAnsi="CAIXA Std Book"/>
                <w:color w:val="2F75B5"/>
                <w:sz w:val="16"/>
                <w:szCs w:val="16"/>
              </w:rPr>
            </w:pPr>
            <w:r w:rsidRPr="00943C57">
              <w:rPr>
                <w:rFonts w:ascii="CAIXA Std Book" w:hAnsi="CAIXA Std Book"/>
                <w:color w:val="2F75B5"/>
                <w:sz w:val="16"/>
                <w:szCs w:val="16"/>
              </w:rPr>
              <w:t>180.876</w:t>
            </w:r>
          </w:p>
        </w:tc>
        <w:tc>
          <w:tcPr>
            <w:tcW w:w="318" w:type="pct"/>
            <w:tcBorders>
              <w:top w:val="nil"/>
              <w:left w:val="nil"/>
              <w:bottom w:val="nil"/>
              <w:right w:val="nil"/>
            </w:tcBorders>
            <w:noWrap/>
            <w:vAlign w:val="bottom"/>
            <w:hideMark/>
          </w:tcPr>
          <w:p w14:paraId="3CA71241" w14:textId="1A577CFA" w:rsidR="00F3600B" w:rsidRDefault="00F3600B" w:rsidP="00F3600B">
            <w:pPr>
              <w:jc w:val="right"/>
              <w:rPr>
                <w:rFonts w:ascii="CAIXA Std Book" w:hAnsi="CAIXA Std Book"/>
                <w:color w:val="2F75B5"/>
                <w:sz w:val="16"/>
                <w:szCs w:val="16"/>
              </w:rPr>
            </w:pPr>
            <w:r>
              <w:rPr>
                <w:rFonts w:ascii="CAIXA Std Book" w:hAnsi="CAIXA Std Book" w:cs="Arial"/>
                <w:color w:val="2F75B5"/>
                <w:sz w:val="16"/>
                <w:szCs w:val="16"/>
              </w:rPr>
              <w:t>2.373</w:t>
            </w:r>
          </w:p>
        </w:tc>
        <w:tc>
          <w:tcPr>
            <w:tcW w:w="368" w:type="pct"/>
            <w:tcBorders>
              <w:top w:val="nil"/>
              <w:left w:val="nil"/>
              <w:bottom w:val="nil"/>
              <w:right w:val="nil"/>
            </w:tcBorders>
            <w:noWrap/>
            <w:vAlign w:val="center"/>
            <w:hideMark/>
          </w:tcPr>
          <w:p w14:paraId="70740BCC" w14:textId="59D5A8ED" w:rsidR="00F3600B" w:rsidRPr="00D97F59" w:rsidRDefault="00F3600B" w:rsidP="00F3600B">
            <w:pPr>
              <w:jc w:val="center"/>
              <w:rPr>
                <w:rFonts w:ascii="CAIXA Std Book" w:hAnsi="CAIXA Std Book"/>
                <w:color w:val="2F75B5"/>
                <w:sz w:val="16"/>
                <w:szCs w:val="16"/>
              </w:rPr>
            </w:pPr>
            <w:r>
              <w:rPr>
                <w:rFonts w:ascii="CAIXA Std Book" w:hAnsi="CAIXA Std Book" w:cs="Arial"/>
                <w:color w:val="2F75B5"/>
                <w:sz w:val="16"/>
                <w:szCs w:val="16"/>
              </w:rPr>
              <w:t>-</w:t>
            </w:r>
          </w:p>
        </w:tc>
        <w:tc>
          <w:tcPr>
            <w:tcW w:w="336" w:type="pct"/>
            <w:tcBorders>
              <w:top w:val="nil"/>
              <w:left w:val="nil"/>
              <w:bottom w:val="nil"/>
              <w:right w:val="nil"/>
            </w:tcBorders>
            <w:noWrap/>
            <w:vAlign w:val="bottom"/>
            <w:hideMark/>
          </w:tcPr>
          <w:p w14:paraId="2EF57630" w14:textId="3FFD7427"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(396)</w:t>
            </w:r>
          </w:p>
        </w:tc>
        <w:tc>
          <w:tcPr>
            <w:tcW w:w="389" w:type="pct"/>
            <w:tcBorders>
              <w:top w:val="nil"/>
              <w:left w:val="nil"/>
              <w:bottom w:val="nil"/>
              <w:right w:val="nil"/>
            </w:tcBorders>
            <w:noWrap/>
            <w:vAlign w:val="bottom"/>
            <w:hideMark/>
          </w:tcPr>
          <w:p w14:paraId="19C3EAA1" w14:textId="304E717B" w:rsidR="00F3600B" w:rsidRPr="00943C57" w:rsidRDefault="00F3600B" w:rsidP="00F3600B">
            <w:pPr>
              <w:jc w:val="right"/>
              <w:rPr>
                <w:rFonts w:ascii="CAIXA Std Book" w:hAnsi="CAIXA Std Book"/>
                <w:sz w:val="16"/>
                <w:szCs w:val="16"/>
              </w:rPr>
            </w:pPr>
            <w:r>
              <w:rPr>
                <w:rFonts w:ascii="CAIXA Std Book" w:hAnsi="CAIXA Std Book" w:cs="Arial"/>
                <w:color w:val="2F75B5"/>
                <w:sz w:val="16"/>
                <w:szCs w:val="16"/>
              </w:rPr>
              <w:t>182.853</w:t>
            </w:r>
          </w:p>
        </w:tc>
        <w:tc>
          <w:tcPr>
            <w:tcW w:w="377" w:type="pct"/>
            <w:tcBorders>
              <w:top w:val="nil"/>
              <w:left w:val="nil"/>
              <w:bottom w:val="nil"/>
              <w:right w:val="nil"/>
            </w:tcBorders>
            <w:vAlign w:val="center"/>
            <w:hideMark/>
          </w:tcPr>
          <w:p w14:paraId="0C0CD824" w14:textId="77777777" w:rsidR="00F3600B" w:rsidRPr="00943C57" w:rsidRDefault="00F3600B" w:rsidP="00F3600B">
            <w:pPr>
              <w:ind w:right="118"/>
              <w:jc w:val="right"/>
              <w:rPr>
                <w:rFonts w:ascii="CAIXA Std Book" w:hAnsi="CAIXA Std Book"/>
                <w:color w:val="005CA9"/>
                <w:sz w:val="16"/>
                <w:szCs w:val="16"/>
              </w:rPr>
            </w:pPr>
            <w:r w:rsidRPr="00943C57">
              <w:rPr>
                <w:rFonts w:ascii="CAIXA Std Book" w:hAnsi="CAIXA Std Book"/>
                <w:color w:val="005CA9"/>
                <w:sz w:val="16"/>
                <w:szCs w:val="16"/>
              </w:rPr>
              <w:t>537</w:t>
            </w:r>
          </w:p>
        </w:tc>
      </w:tr>
      <w:tr w:rsidR="00F3600B" w14:paraId="50465618" w14:textId="77777777" w:rsidTr="00F3600B">
        <w:trPr>
          <w:trHeight w:val="255"/>
        </w:trPr>
        <w:tc>
          <w:tcPr>
            <w:tcW w:w="924" w:type="pct"/>
            <w:tcBorders>
              <w:top w:val="nil"/>
              <w:left w:val="nil"/>
              <w:bottom w:val="nil"/>
              <w:right w:val="nil"/>
            </w:tcBorders>
            <w:vAlign w:val="center"/>
            <w:hideMark/>
          </w:tcPr>
          <w:p w14:paraId="3A22E5A3" w14:textId="77777777" w:rsidR="00F3600B" w:rsidRPr="00943C57" w:rsidRDefault="00F3600B" w:rsidP="00F3600B">
            <w:pPr>
              <w:rPr>
                <w:rFonts w:ascii="CAIXA Std Book" w:hAnsi="CAIXA Std Book"/>
                <w:color w:val="005CA9"/>
                <w:sz w:val="16"/>
                <w:szCs w:val="16"/>
              </w:rPr>
            </w:pPr>
            <w:r w:rsidRPr="00943C57">
              <w:rPr>
                <w:rFonts w:ascii="CAIXA Std Book" w:hAnsi="CAIXA Std Book"/>
                <w:color w:val="005CA9"/>
                <w:sz w:val="16"/>
                <w:szCs w:val="16"/>
              </w:rPr>
              <w:t>Quod</w:t>
            </w:r>
          </w:p>
        </w:tc>
        <w:tc>
          <w:tcPr>
            <w:tcW w:w="283" w:type="pct"/>
            <w:tcBorders>
              <w:top w:val="nil"/>
              <w:left w:val="nil"/>
              <w:bottom w:val="nil"/>
              <w:right w:val="nil"/>
            </w:tcBorders>
            <w:noWrap/>
            <w:vAlign w:val="center"/>
            <w:hideMark/>
          </w:tcPr>
          <w:p w14:paraId="67D0774D"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15,29%</w:t>
            </w:r>
          </w:p>
        </w:tc>
        <w:tc>
          <w:tcPr>
            <w:tcW w:w="283" w:type="pct"/>
            <w:tcBorders>
              <w:top w:val="nil"/>
              <w:left w:val="nil"/>
              <w:bottom w:val="nil"/>
              <w:right w:val="nil"/>
            </w:tcBorders>
            <w:vAlign w:val="center"/>
            <w:hideMark/>
          </w:tcPr>
          <w:p w14:paraId="437DC40D"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16,00%</w:t>
            </w:r>
          </w:p>
        </w:tc>
        <w:tc>
          <w:tcPr>
            <w:tcW w:w="283" w:type="pct"/>
            <w:gridSpan w:val="2"/>
            <w:tcBorders>
              <w:top w:val="nil"/>
              <w:left w:val="nil"/>
              <w:bottom w:val="nil"/>
              <w:right w:val="nil"/>
            </w:tcBorders>
            <w:noWrap/>
            <w:vAlign w:val="center"/>
            <w:hideMark/>
          </w:tcPr>
          <w:p w14:paraId="4AD702F6"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15,29%</w:t>
            </w:r>
          </w:p>
        </w:tc>
        <w:tc>
          <w:tcPr>
            <w:tcW w:w="283" w:type="pct"/>
            <w:tcBorders>
              <w:top w:val="nil"/>
              <w:left w:val="nil"/>
              <w:bottom w:val="nil"/>
              <w:right w:val="nil"/>
            </w:tcBorders>
            <w:vAlign w:val="center"/>
            <w:hideMark/>
          </w:tcPr>
          <w:p w14:paraId="359961D9"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16,00%</w:t>
            </w:r>
          </w:p>
        </w:tc>
        <w:tc>
          <w:tcPr>
            <w:tcW w:w="368" w:type="pct"/>
            <w:tcBorders>
              <w:top w:val="nil"/>
              <w:left w:val="nil"/>
              <w:bottom w:val="nil"/>
              <w:right w:val="nil"/>
            </w:tcBorders>
            <w:noWrap/>
            <w:vAlign w:val="bottom"/>
            <w:hideMark/>
          </w:tcPr>
          <w:p w14:paraId="584B8A70" w14:textId="01FC1E10" w:rsidR="00F3600B" w:rsidRDefault="00F3600B" w:rsidP="00F3600B">
            <w:pPr>
              <w:jc w:val="right"/>
              <w:rPr>
                <w:rFonts w:ascii="CAIXA Std Book" w:hAnsi="CAIXA Std Book"/>
                <w:color w:val="005CA9"/>
                <w:sz w:val="16"/>
                <w:szCs w:val="16"/>
              </w:rPr>
            </w:pPr>
            <w:r>
              <w:rPr>
                <w:rFonts w:ascii="CAIXA Std Book" w:hAnsi="CAIXA Std Book" w:cs="Arial"/>
                <w:color w:val="005CA9"/>
                <w:sz w:val="16"/>
                <w:szCs w:val="16"/>
              </w:rPr>
              <w:t>292.754</w:t>
            </w:r>
          </w:p>
        </w:tc>
        <w:tc>
          <w:tcPr>
            <w:tcW w:w="397" w:type="pct"/>
            <w:vAlign w:val="center"/>
            <w:hideMark/>
          </w:tcPr>
          <w:p w14:paraId="650AC4E6" w14:textId="44CD41C4" w:rsidR="00F3600B" w:rsidRPr="00F3600B" w:rsidRDefault="00F3600B" w:rsidP="00F3600B">
            <w:pPr>
              <w:jc w:val="right"/>
              <w:rPr>
                <w:rFonts w:ascii="CAIXA Std Book" w:hAnsi="CAIXA Std Book"/>
                <w:color w:val="005CA9"/>
                <w:sz w:val="16"/>
                <w:szCs w:val="16"/>
              </w:rPr>
            </w:pPr>
            <w:r w:rsidRPr="00F3600B">
              <w:rPr>
                <w:rFonts w:ascii="CAIXA Std Book" w:hAnsi="CAIXA Std Book"/>
                <w:color w:val="005CA9"/>
                <w:sz w:val="16"/>
                <w:szCs w:val="16"/>
              </w:rPr>
              <w:t>307.668</w:t>
            </w:r>
          </w:p>
        </w:tc>
        <w:tc>
          <w:tcPr>
            <w:tcW w:w="391" w:type="pct"/>
            <w:tcBorders>
              <w:top w:val="nil"/>
              <w:left w:val="nil"/>
              <w:bottom w:val="nil"/>
              <w:right w:val="nil"/>
            </w:tcBorders>
            <w:noWrap/>
            <w:vAlign w:val="center"/>
            <w:hideMark/>
          </w:tcPr>
          <w:p w14:paraId="6930A011" w14:textId="77777777" w:rsidR="00F3600B" w:rsidRDefault="00F3600B" w:rsidP="00F3600B">
            <w:pPr>
              <w:jc w:val="right"/>
              <w:rPr>
                <w:rFonts w:ascii="CAIXA Std Book" w:hAnsi="CAIXA Std Book"/>
                <w:color w:val="2F75B5"/>
                <w:sz w:val="16"/>
                <w:szCs w:val="16"/>
              </w:rPr>
            </w:pPr>
            <w:r>
              <w:rPr>
                <w:rFonts w:ascii="CAIXA Std Book" w:hAnsi="CAIXA Std Book"/>
                <w:color w:val="2F75B5"/>
                <w:sz w:val="16"/>
                <w:szCs w:val="16"/>
              </w:rPr>
              <w:t>47042</w:t>
            </w:r>
          </w:p>
        </w:tc>
        <w:tc>
          <w:tcPr>
            <w:tcW w:w="318" w:type="pct"/>
            <w:tcBorders>
              <w:top w:val="nil"/>
              <w:left w:val="nil"/>
              <w:bottom w:val="nil"/>
              <w:right w:val="nil"/>
            </w:tcBorders>
            <w:noWrap/>
            <w:vAlign w:val="center"/>
            <w:hideMark/>
          </w:tcPr>
          <w:p w14:paraId="09799754" w14:textId="26B89E8A" w:rsidR="00F3600B" w:rsidRDefault="00F3600B" w:rsidP="00F3600B">
            <w:pPr>
              <w:jc w:val="right"/>
              <w:rPr>
                <w:rFonts w:ascii="CAIXA Std Book" w:hAnsi="CAIXA Std Book"/>
                <w:color w:val="2F75B5"/>
                <w:sz w:val="16"/>
                <w:szCs w:val="16"/>
              </w:rPr>
            </w:pPr>
            <w:r>
              <w:rPr>
                <w:rFonts w:ascii="CAIXA Std Book" w:hAnsi="CAIXA Std Book" w:cs="Arial"/>
                <w:color w:val="005CA9"/>
                <w:sz w:val="16"/>
                <w:szCs w:val="16"/>
              </w:rPr>
              <w:t>(2.280)</w:t>
            </w:r>
          </w:p>
        </w:tc>
        <w:tc>
          <w:tcPr>
            <w:tcW w:w="368" w:type="pct"/>
            <w:tcBorders>
              <w:top w:val="nil"/>
              <w:left w:val="nil"/>
              <w:bottom w:val="nil"/>
              <w:right w:val="nil"/>
            </w:tcBorders>
            <w:noWrap/>
            <w:vAlign w:val="center"/>
            <w:hideMark/>
          </w:tcPr>
          <w:p w14:paraId="18AF1B41" w14:textId="170B0013" w:rsidR="00F3600B" w:rsidRPr="00D97F59" w:rsidRDefault="00F3600B" w:rsidP="00F3600B">
            <w:pPr>
              <w:jc w:val="center"/>
              <w:rPr>
                <w:rFonts w:ascii="CAIXA Std Book" w:hAnsi="CAIXA Std Book"/>
                <w:color w:val="2F75B5"/>
                <w:sz w:val="16"/>
                <w:szCs w:val="16"/>
              </w:rPr>
            </w:pPr>
            <w:r w:rsidRPr="00D97F59">
              <w:rPr>
                <w:rFonts w:ascii="CAIXA Std Book" w:hAnsi="CAIXA Std Book"/>
                <w:color w:val="2F75B5"/>
                <w:sz w:val="16"/>
                <w:szCs w:val="16"/>
              </w:rPr>
              <w:t>-</w:t>
            </w:r>
          </w:p>
        </w:tc>
        <w:tc>
          <w:tcPr>
            <w:tcW w:w="336" w:type="pct"/>
            <w:tcBorders>
              <w:top w:val="nil"/>
              <w:left w:val="nil"/>
              <w:bottom w:val="nil"/>
              <w:right w:val="nil"/>
            </w:tcBorders>
            <w:noWrap/>
            <w:vAlign w:val="center"/>
            <w:hideMark/>
          </w:tcPr>
          <w:p w14:paraId="10B546C3" w14:textId="1C0E9260" w:rsidR="00F3600B" w:rsidRPr="00943C57" w:rsidRDefault="00F3600B" w:rsidP="00F3600B">
            <w:pPr>
              <w:jc w:val="center"/>
              <w:rPr>
                <w:rFonts w:ascii="CAIXA Std Book" w:hAnsi="CAIXA Std Book"/>
                <w:sz w:val="16"/>
                <w:szCs w:val="16"/>
              </w:rPr>
            </w:pPr>
            <w:r>
              <w:rPr>
                <w:rFonts w:ascii="CAIXA Std Book" w:hAnsi="CAIXA Std Book" w:cs="Arial"/>
                <w:color w:val="005CA9"/>
                <w:sz w:val="16"/>
                <w:szCs w:val="16"/>
              </w:rPr>
              <w:t>-</w:t>
            </w:r>
          </w:p>
        </w:tc>
        <w:tc>
          <w:tcPr>
            <w:tcW w:w="389" w:type="pct"/>
            <w:tcBorders>
              <w:top w:val="nil"/>
              <w:left w:val="nil"/>
              <w:bottom w:val="nil"/>
              <w:right w:val="nil"/>
            </w:tcBorders>
            <w:noWrap/>
            <w:vAlign w:val="center"/>
            <w:hideMark/>
          </w:tcPr>
          <w:p w14:paraId="15685885" w14:textId="76122C90" w:rsidR="00F3600B" w:rsidRPr="00943C57" w:rsidRDefault="00F3600B" w:rsidP="00F3600B">
            <w:pPr>
              <w:jc w:val="right"/>
              <w:rPr>
                <w:rFonts w:ascii="CAIXA Std Book" w:hAnsi="CAIXA Std Book"/>
                <w:sz w:val="16"/>
                <w:szCs w:val="16"/>
              </w:rPr>
            </w:pPr>
            <w:r>
              <w:rPr>
                <w:rFonts w:ascii="CAIXA Std Book" w:hAnsi="CAIXA Std Book" w:cs="Arial"/>
                <w:color w:val="005CA9"/>
                <w:sz w:val="16"/>
                <w:szCs w:val="16"/>
              </w:rPr>
              <w:t>44.762</w:t>
            </w:r>
          </w:p>
        </w:tc>
        <w:tc>
          <w:tcPr>
            <w:tcW w:w="377" w:type="pct"/>
            <w:tcBorders>
              <w:top w:val="nil"/>
              <w:left w:val="nil"/>
              <w:bottom w:val="nil"/>
              <w:right w:val="nil"/>
            </w:tcBorders>
            <w:vAlign w:val="center"/>
            <w:hideMark/>
          </w:tcPr>
          <w:p w14:paraId="5F18AA33" w14:textId="00B5AEA0" w:rsidR="00F3600B" w:rsidRPr="00943C57" w:rsidRDefault="00F3600B" w:rsidP="00F3600B">
            <w:pPr>
              <w:ind w:right="118"/>
              <w:jc w:val="right"/>
              <w:rPr>
                <w:rFonts w:ascii="CAIXA Std Book" w:hAnsi="CAIXA Std Book"/>
                <w:color w:val="005CA9"/>
                <w:sz w:val="16"/>
                <w:szCs w:val="16"/>
              </w:rPr>
            </w:pPr>
            <w:r w:rsidRPr="00943C57">
              <w:rPr>
                <w:rFonts w:ascii="CAIXA Std Book" w:hAnsi="CAIXA Std Book"/>
                <w:color w:val="005CA9"/>
                <w:sz w:val="16"/>
                <w:szCs w:val="16"/>
              </w:rPr>
              <w:t>(505)</w:t>
            </w:r>
          </w:p>
        </w:tc>
      </w:tr>
      <w:tr w:rsidR="00F3600B" w14:paraId="6868929F" w14:textId="77777777" w:rsidTr="00F3600B">
        <w:trPr>
          <w:trHeight w:val="255"/>
        </w:trPr>
        <w:tc>
          <w:tcPr>
            <w:tcW w:w="924" w:type="pct"/>
            <w:tcBorders>
              <w:top w:val="nil"/>
              <w:left w:val="nil"/>
              <w:bottom w:val="nil"/>
              <w:right w:val="nil"/>
            </w:tcBorders>
            <w:vAlign w:val="center"/>
            <w:hideMark/>
          </w:tcPr>
          <w:p w14:paraId="3561C251" w14:textId="77777777" w:rsidR="00F3600B" w:rsidRPr="00943C57" w:rsidRDefault="00F3600B" w:rsidP="00F3600B">
            <w:pPr>
              <w:rPr>
                <w:rFonts w:ascii="CAIXA Std Book" w:hAnsi="CAIXA Std Book"/>
                <w:color w:val="005CA9"/>
                <w:sz w:val="16"/>
                <w:szCs w:val="16"/>
              </w:rPr>
            </w:pPr>
            <w:r w:rsidRPr="00943C57">
              <w:rPr>
                <w:rFonts w:ascii="CAIXA Std Book" w:hAnsi="CAIXA Std Book"/>
                <w:color w:val="005CA9"/>
                <w:sz w:val="16"/>
                <w:szCs w:val="16"/>
              </w:rPr>
              <w:t xml:space="preserve">Galgo Sistemas de Informações (4) </w:t>
            </w:r>
          </w:p>
        </w:tc>
        <w:tc>
          <w:tcPr>
            <w:tcW w:w="283" w:type="pct"/>
            <w:tcBorders>
              <w:top w:val="nil"/>
              <w:left w:val="nil"/>
              <w:bottom w:val="nil"/>
              <w:right w:val="nil"/>
            </w:tcBorders>
            <w:noWrap/>
            <w:vAlign w:val="center"/>
            <w:hideMark/>
          </w:tcPr>
          <w:p w14:paraId="026870FA"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6,67%</w:t>
            </w:r>
          </w:p>
        </w:tc>
        <w:tc>
          <w:tcPr>
            <w:tcW w:w="283" w:type="pct"/>
            <w:tcBorders>
              <w:top w:val="nil"/>
              <w:left w:val="nil"/>
              <w:bottom w:val="nil"/>
              <w:right w:val="nil"/>
            </w:tcBorders>
            <w:noWrap/>
            <w:vAlign w:val="center"/>
            <w:hideMark/>
          </w:tcPr>
          <w:p w14:paraId="7BC2C83C"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6,67%</w:t>
            </w:r>
          </w:p>
        </w:tc>
        <w:tc>
          <w:tcPr>
            <w:tcW w:w="283" w:type="pct"/>
            <w:gridSpan w:val="2"/>
            <w:tcBorders>
              <w:top w:val="nil"/>
              <w:left w:val="nil"/>
              <w:bottom w:val="nil"/>
              <w:right w:val="nil"/>
            </w:tcBorders>
            <w:noWrap/>
            <w:vAlign w:val="center"/>
            <w:hideMark/>
          </w:tcPr>
          <w:p w14:paraId="7A88A673"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6,67%</w:t>
            </w:r>
          </w:p>
        </w:tc>
        <w:tc>
          <w:tcPr>
            <w:tcW w:w="283" w:type="pct"/>
            <w:tcBorders>
              <w:top w:val="nil"/>
              <w:left w:val="nil"/>
              <w:bottom w:val="nil"/>
              <w:right w:val="nil"/>
            </w:tcBorders>
            <w:noWrap/>
            <w:vAlign w:val="center"/>
            <w:hideMark/>
          </w:tcPr>
          <w:p w14:paraId="676675E6"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6,67%</w:t>
            </w:r>
          </w:p>
        </w:tc>
        <w:tc>
          <w:tcPr>
            <w:tcW w:w="368" w:type="pct"/>
            <w:tcBorders>
              <w:top w:val="nil"/>
              <w:left w:val="nil"/>
              <w:bottom w:val="nil"/>
              <w:right w:val="nil"/>
            </w:tcBorders>
            <w:noWrap/>
            <w:vAlign w:val="center"/>
            <w:hideMark/>
          </w:tcPr>
          <w:p w14:paraId="60C5D697" w14:textId="4019EBE2" w:rsidR="00F3600B" w:rsidRDefault="00F3600B" w:rsidP="00F3600B">
            <w:pPr>
              <w:jc w:val="center"/>
              <w:rPr>
                <w:rFonts w:ascii="CAIXA Std Book" w:hAnsi="CAIXA Std Book"/>
                <w:color w:val="005CA9"/>
                <w:sz w:val="16"/>
                <w:szCs w:val="16"/>
              </w:rPr>
            </w:pPr>
            <w:r>
              <w:rPr>
                <w:rFonts w:ascii="CAIXA Std Book" w:hAnsi="CAIXA Std Book" w:cs="Arial"/>
                <w:color w:val="2F75B5"/>
                <w:sz w:val="16"/>
                <w:szCs w:val="16"/>
              </w:rPr>
              <w:t>-</w:t>
            </w:r>
          </w:p>
        </w:tc>
        <w:tc>
          <w:tcPr>
            <w:tcW w:w="397" w:type="pct"/>
            <w:noWrap/>
            <w:vAlign w:val="center"/>
            <w:hideMark/>
          </w:tcPr>
          <w:p w14:paraId="20C63720" w14:textId="48C70F46" w:rsidR="00F3600B" w:rsidRPr="00F3600B" w:rsidRDefault="00F3600B" w:rsidP="00EC2D33">
            <w:pPr>
              <w:jc w:val="center"/>
              <w:rPr>
                <w:rFonts w:ascii="CAIXA Std Book" w:hAnsi="CAIXA Std Book"/>
                <w:color w:val="005CA9"/>
                <w:sz w:val="16"/>
                <w:szCs w:val="16"/>
              </w:rPr>
            </w:pPr>
            <w:r w:rsidRPr="00F3600B">
              <w:rPr>
                <w:rFonts w:ascii="CAIXA Std Book" w:hAnsi="CAIXA Std Book"/>
                <w:color w:val="005CA9"/>
                <w:sz w:val="16"/>
                <w:szCs w:val="16"/>
              </w:rPr>
              <w:t>-</w:t>
            </w:r>
          </w:p>
        </w:tc>
        <w:tc>
          <w:tcPr>
            <w:tcW w:w="391" w:type="pct"/>
            <w:tcBorders>
              <w:top w:val="nil"/>
              <w:left w:val="nil"/>
              <w:bottom w:val="nil"/>
              <w:right w:val="nil"/>
            </w:tcBorders>
            <w:noWrap/>
            <w:vAlign w:val="center"/>
            <w:hideMark/>
          </w:tcPr>
          <w:p w14:paraId="6F3D790D" w14:textId="54E5CFC1" w:rsidR="00F3600B" w:rsidRDefault="00F3600B" w:rsidP="00F3600B">
            <w:pPr>
              <w:jc w:val="center"/>
              <w:rPr>
                <w:rFonts w:ascii="CAIXA Std Book" w:hAnsi="CAIXA Std Book"/>
                <w:color w:val="2F75B5"/>
                <w:sz w:val="16"/>
                <w:szCs w:val="16"/>
              </w:rPr>
            </w:pPr>
            <w:r w:rsidRPr="00943C57">
              <w:rPr>
                <w:rFonts w:ascii="CAIXA Std Book" w:hAnsi="CAIXA Std Book"/>
                <w:color w:val="2F75B5"/>
                <w:sz w:val="16"/>
                <w:szCs w:val="16"/>
              </w:rPr>
              <w:t>-</w:t>
            </w:r>
          </w:p>
        </w:tc>
        <w:tc>
          <w:tcPr>
            <w:tcW w:w="318" w:type="pct"/>
            <w:tcBorders>
              <w:top w:val="nil"/>
              <w:left w:val="nil"/>
              <w:bottom w:val="nil"/>
              <w:right w:val="nil"/>
            </w:tcBorders>
            <w:noWrap/>
            <w:vAlign w:val="center"/>
            <w:hideMark/>
          </w:tcPr>
          <w:p w14:paraId="2459CAEE" w14:textId="3244794A" w:rsidR="00F3600B" w:rsidRDefault="00F3600B" w:rsidP="00F3600B">
            <w:pPr>
              <w:jc w:val="center"/>
              <w:rPr>
                <w:rFonts w:ascii="CAIXA Std Book" w:hAnsi="CAIXA Std Book"/>
                <w:color w:val="2F75B5"/>
                <w:sz w:val="16"/>
                <w:szCs w:val="16"/>
              </w:rPr>
            </w:pPr>
            <w:r>
              <w:rPr>
                <w:rFonts w:ascii="CAIXA Std Book" w:hAnsi="CAIXA Std Book" w:cs="Arial"/>
                <w:color w:val="2F75B5"/>
                <w:sz w:val="16"/>
                <w:szCs w:val="16"/>
              </w:rPr>
              <w:t>-</w:t>
            </w:r>
          </w:p>
        </w:tc>
        <w:tc>
          <w:tcPr>
            <w:tcW w:w="368" w:type="pct"/>
            <w:tcBorders>
              <w:top w:val="nil"/>
              <w:left w:val="nil"/>
              <w:bottom w:val="nil"/>
              <w:right w:val="nil"/>
            </w:tcBorders>
            <w:noWrap/>
            <w:vAlign w:val="center"/>
            <w:hideMark/>
          </w:tcPr>
          <w:p w14:paraId="23CAD2D2" w14:textId="07EDD1CB" w:rsidR="00F3600B" w:rsidRPr="00D97F59" w:rsidRDefault="00F3600B" w:rsidP="00F3600B">
            <w:pPr>
              <w:jc w:val="center"/>
              <w:rPr>
                <w:rFonts w:ascii="CAIXA Std Book" w:hAnsi="CAIXA Std Book"/>
                <w:color w:val="2F75B5"/>
                <w:sz w:val="16"/>
                <w:szCs w:val="16"/>
              </w:rPr>
            </w:pPr>
            <w:r>
              <w:rPr>
                <w:rFonts w:ascii="CAIXA Std Book" w:hAnsi="CAIXA Std Book" w:cs="Arial"/>
                <w:color w:val="2F75B5"/>
                <w:sz w:val="16"/>
                <w:szCs w:val="16"/>
              </w:rPr>
              <w:t>-</w:t>
            </w:r>
          </w:p>
        </w:tc>
        <w:tc>
          <w:tcPr>
            <w:tcW w:w="336" w:type="pct"/>
            <w:tcBorders>
              <w:top w:val="nil"/>
              <w:left w:val="nil"/>
              <w:bottom w:val="nil"/>
              <w:right w:val="nil"/>
            </w:tcBorders>
            <w:noWrap/>
            <w:vAlign w:val="center"/>
            <w:hideMark/>
          </w:tcPr>
          <w:p w14:paraId="37068B45" w14:textId="49961E47" w:rsidR="00F3600B" w:rsidRPr="00943C57" w:rsidRDefault="00F3600B" w:rsidP="00F3600B">
            <w:pPr>
              <w:jc w:val="center"/>
              <w:rPr>
                <w:rFonts w:ascii="CAIXA Std Book" w:hAnsi="CAIXA Std Book"/>
                <w:sz w:val="16"/>
                <w:szCs w:val="16"/>
              </w:rPr>
            </w:pPr>
            <w:r>
              <w:rPr>
                <w:rFonts w:ascii="CAIXA Std Book" w:hAnsi="CAIXA Std Book" w:cs="Arial"/>
                <w:color w:val="2F75B5"/>
                <w:sz w:val="16"/>
                <w:szCs w:val="16"/>
              </w:rPr>
              <w:t>-</w:t>
            </w:r>
          </w:p>
        </w:tc>
        <w:tc>
          <w:tcPr>
            <w:tcW w:w="389" w:type="pct"/>
            <w:tcBorders>
              <w:top w:val="nil"/>
              <w:left w:val="nil"/>
              <w:bottom w:val="nil"/>
              <w:right w:val="nil"/>
            </w:tcBorders>
            <w:noWrap/>
            <w:vAlign w:val="center"/>
            <w:hideMark/>
          </w:tcPr>
          <w:p w14:paraId="1119ACC3" w14:textId="1F147937" w:rsidR="00F3600B" w:rsidRPr="00943C57" w:rsidRDefault="00F3600B" w:rsidP="00F3600B">
            <w:pPr>
              <w:jc w:val="center"/>
              <w:rPr>
                <w:rFonts w:ascii="CAIXA Std Book" w:hAnsi="CAIXA Std Book"/>
                <w:sz w:val="16"/>
                <w:szCs w:val="16"/>
              </w:rPr>
            </w:pPr>
            <w:r>
              <w:rPr>
                <w:rFonts w:ascii="CAIXA Std Book" w:hAnsi="CAIXA Std Book" w:cs="Arial"/>
                <w:color w:val="2F75B5"/>
                <w:sz w:val="16"/>
                <w:szCs w:val="16"/>
              </w:rPr>
              <w:t>-</w:t>
            </w:r>
          </w:p>
        </w:tc>
        <w:tc>
          <w:tcPr>
            <w:tcW w:w="377" w:type="pct"/>
            <w:tcBorders>
              <w:top w:val="nil"/>
              <w:left w:val="nil"/>
              <w:bottom w:val="nil"/>
              <w:right w:val="nil"/>
            </w:tcBorders>
            <w:vAlign w:val="center"/>
            <w:hideMark/>
          </w:tcPr>
          <w:p w14:paraId="21056E63" w14:textId="469B0C7A" w:rsidR="00F3600B" w:rsidRPr="00943C57" w:rsidRDefault="00F3600B" w:rsidP="00F3600B">
            <w:pPr>
              <w:ind w:right="118"/>
              <w:jc w:val="right"/>
              <w:rPr>
                <w:rFonts w:ascii="CAIXA Std Book" w:hAnsi="CAIXA Std Book"/>
                <w:color w:val="005CA9"/>
                <w:sz w:val="16"/>
                <w:szCs w:val="16"/>
              </w:rPr>
            </w:pPr>
            <w:r w:rsidRPr="00943C57">
              <w:rPr>
                <w:rFonts w:ascii="CAIXA Std Book" w:hAnsi="CAIXA Std Book"/>
                <w:color w:val="005CA9"/>
                <w:sz w:val="16"/>
                <w:szCs w:val="16"/>
              </w:rPr>
              <w:t>(620)</w:t>
            </w:r>
          </w:p>
        </w:tc>
      </w:tr>
      <w:tr w:rsidR="00F3600B" w14:paraId="2E75CDD0" w14:textId="77777777" w:rsidTr="00F3600B">
        <w:trPr>
          <w:trHeight w:val="255"/>
        </w:trPr>
        <w:tc>
          <w:tcPr>
            <w:tcW w:w="924" w:type="pct"/>
            <w:tcBorders>
              <w:top w:val="nil"/>
              <w:left w:val="nil"/>
              <w:bottom w:val="nil"/>
              <w:right w:val="nil"/>
            </w:tcBorders>
            <w:vAlign w:val="center"/>
            <w:hideMark/>
          </w:tcPr>
          <w:p w14:paraId="0ECDC29E" w14:textId="77777777" w:rsidR="00F3600B" w:rsidRPr="00943C57" w:rsidRDefault="00F3600B" w:rsidP="00F3600B">
            <w:pPr>
              <w:rPr>
                <w:rFonts w:ascii="CAIXA Std Book" w:hAnsi="CAIXA Std Book"/>
                <w:color w:val="005CA9"/>
                <w:sz w:val="16"/>
                <w:szCs w:val="16"/>
              </w:rPr>
            </w:pPr>
            <w:r w:rsidRPr="00943C57">
              <w:rPr>
                <w:rFonts w:ascii="CAIXA Std Book" w:hAnsi="CAIXA Std Book"/>
                <w:color w:val="005CA9"/>
                <w:sz w:val="16"/>
                <w:szCs w:val="16"/>
              </w:rPr>
              <w:t>Núclea</w:t>
            </w:r>
          </w:p>
        </w:tc>
        <w:tc>
          <w:tcPr>
            <w:tcW w:w="283" w:type="pct"/>
            <w:tcBorders>
              <w:top w:val="nil"/>
              <w:left w:val="nil"/>
              <w:bottom w:val="nil"/>
              <w:right w:val="nil"/>
            </w:tcBorders>
            <w:noWrap/>
            <w:vAlign w:val="center"/>
            <w:hideMark/>
          </w:tcPr>
          <w:p w14:paraId="06AFED9C"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8,18%</w:t>
            </w:r>
          </w:p>
        </w:tc>
        <w:tc>
          <w:tcPr>
            <w:tcW w:w="283" w:type="pct"/>
            <w:tcBorders>
              <w:top w:val="nil"/>
              <w:left w:val="nil"/>
              <w:bottom w:val="nil"/>
              <w:right w:val="nil"/>
            </w:tcBorders>
            <w:noWrap/>
            <w:vAlign w:val="center"/>
            <w:hideMark/>
          </w:tcPr>
          <w:p w14:paraId="263B34B8"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8,18%</w:t>
            </w:r>
          </w:p>
        </w:tc>
        <w:tc>
          <w:tcPr>
            <w:tcW w:w="283" w:type="pct"/>
            <w:gridSpan w:val="2"/>
            <w:tcBorders>
              <w:top w:val="nil"/>
              <w:left w:val="nil"/>
              <w:bottom w:val="nil"/>
              <w:right w:val="nil"/>
            </w:tcBorders>
            <w:noWrap/>
            <w:vAlign w:val="center"/>
            <w:hideMark/>
          </w:tcPr>
          <w:p w14:paraId="48622F6A"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8,18%</w:t>
            </w:r>
          </w:p>
        </w:tc>
        <w:tc>
          <w:tcPr>
            <w:tcW w:w="283" w:type="pct"/>
            <w:tcBorders>
              <w:top w:val="nil"/>
              <w:left w:val="nil"/>
              <w:bottom w:val="nil"/>
              <w:right w:val="nil"/>
            </w:tcBorders>
            <w:noWrap/>
            <w:vAlign w:val="center"/>
            <w:hideMark/>
          </w:tcPr>
          <w:p w14:paraId="79C1D4AA" w14:textId="77777777" w:rsidR="00F3600B" w:rsidRDefault="00F3600B" w:rsidP="00F3600B">
            <w:pPr>
              <w:jc w:val="center"/>
              <w:rPr>
                <w:rFonts w:ascii="CAIXA Std Book" w:hAnsi="CAIXA Std Book"/>
                <w:color w:val="005CA9"/>
                <w:sz w:val="16"/>
                <w:szCs w:val="16"/>
              </w:rPr>
            </w:pPr>
            <w:r>
              <w:rPr>
                <w:rFonts w:ascii="CAIXA Std Book" w:hAnsi="CAIXA Std Book"/>
                <w:color w:val="005CA9"/>
                <w:sz w:val="16"/>
                <w:szCs w:val="16"/>
              </w:rPr>
              <w:t>8,18%</w:t>
            </w:r>
          </w:p>
        </w:tc>
        <w:tc>
          <w:tcPr>
            <w:tcW w:w="368" w:type="pct"/>
            <w:tcBorders>
              <w:top w:val="nil"/>
              <w:left w:val="nil"/>
              <w:bottom w:val="nil"/>
              <w:right w:val="nil"/>
            </w:tcBorders>
            <w:noWrap/>
            <w:vAlign w:val="bottom"/>
            <w:hideMark/>
          </w:tcPr>
          <w:p w14:paraId="1C0871D3" w14:textId="3D7B0D0E" w:rsidR="00F3600B" w:rsidRDefault="00F3600B" w:rsidP="00F3600B">
            <w:pPr>
              <w:jc w:val="right"/>
              <w:rPr>
                <w:rFonts w:ascii="CAIXA Std Book" w:hAnsi="CAIXA Std Book"/>
                <w:color w:val="005CA9"/>
                <w:sz w:val="16"/>
                <w:szCs w:val="16"/>
              </w:rPr>
            </w:pPr>
            <w:r>
              <w:rPr>
                <w:rFonts w:ascii="CAIXA Std Book" w:hAnsi="CAIXA Std Book" w:cs="Arial"/>
                <w:color w:val="005CA9"/>
                <w:sz w:val="16"/>
                <w:szCs w:val="16"/>
              </w:rPr>
              <w:t>1.959.668</w:t>
            </w:r>
          </w:p>
        </w:tc>
        <w:tc>
          <w:tcPr>
            <w:tcW w:w="397" w:type="pct"/>
            <w:vAlign w:val="center"/>
            <w:hideMark/>
          </w:tcPr>
          <w:p w14:paraId="0B036D11" w14:textId="3654F9AB" w:rsidR="00F3600B" w:rsidRPr="00F3600B" w:rsidRDefault="00F3600B" w:rsidP="00F3600B">
            <w:pPr>
              <w:jc w:val="right"/>
              <w:rPr>
                <w:rFonts w:ascii="CAIXA Std Book" w:hAnsi="CAIXA Std Book"/>
                <w:color w:val="005CA9"/>
                <w:sz w:val="16"/>
                <w:szCs w:val="16"/>
              </w:rPr>
            </w:pPr>
            <w:r w:rsidRPr="00F3600B">
              <w:rPr>
                <w:rFonts w:ascii="CAIXA Std Book" w:hAnsi="CAIXA Std Book"/>
                <w:color w:val="005CA9"/>
                <w:sz w:val="16"/>
                <w:szCs w:val="16"/>
              </w:rPr>
              <w:t>1.853.320</w:t>
            </w:r>
          </w:p>
        </w:tc>
        <w:tc>
          <w:tcPr>
            <w:tcW w:w="391" w:type="pct"/>
            <w:tcBorders>
              <w:top w:val="nil"/>
              <w:left w:val="nil"/>
              <w:bottom w:val="nil"/>
              <w:right w:val="nil"/>
            </w:tcBorders>
            <w:noWrap/>
            <w:vAlign w:val="center"/>
            <w:hideMark/>
          </w:tcPr>
          <w:p w14:paraId="1D7BEE9C" w14:textId="77777777" w:rsidR="00F3600B" w:rsidRDefault="00F3600B" w:rsidP="00F3600B">
            <w:pPr>
              <w:jc w:val="right"/>
              <w:rPr>
                <w:rFonts w:ascii="CAIXA Std Book" w:hAnsi="CAIXA Std Book"/>
                <w:color w:val="2F75B5"/>
                <w:sz w:val="16"/>
                <w:szCs w:val="16"/>
              </w:rPr>
            </w:pPr>
            <w:r>
              <w:rPr>
                <w:rFonts w:ascii="CAIXA Std Book" w:hAnsi="CAIXA Std Book"/>
                <w:color w:val="2F75B5"/>
                <w:sz w:val="16"/>
                <w:szCs w:val="16"/>
              </w:rPr>
              <w:t>151517</w:t>
            </w:r>
          </w:p>
        </w:tc>
        <w:tc>
          <w:tcPr>
            <w:tcW w:w="318" w:type="pct"/>
            <w:tcBorders>
              <w:top w:val="nil"/>
              <w:left w:val="nil"/>
              <w:bottom w:val="nil"/>
              <w:right w:val="nil"/>
            </w:tcBorders>
            <w:noWrap/>
            <w:vAlign w:val="center"/>
            <w:hideMark/>
          </w:tcPr>
          <w:p w14:paraId="367D8A73" w14:textId="6F7AEA46" w:rsidR="00F3600B" w:rsidRDefault="00F3600B" w:rsidP="00F3600B">
            <w:pPr>
              <w:jc w:val="right"/>
              <w:rPr>
                <w:rFonts w:ascii="CAIXA Std Book" w:hAnsi="CAIXA Std Book"/>
                <w:color w:val="2F75B5"/>
                <w:sz w:val="16"/>
                <w:szCs w:val="16"/>
              </w:rPr>
            </w:pPr>
            <w:r>
              <w:rPr>
                <w:rFonts w:ascii="CAIXA Std Book" w:hAnsi="CAIXA Std Book" w:cs="Arial"/>
                <w:color w:val="005CA9"/>
                <w:sz w:val="16"/>
                <w:szCs w:val="16"/>
              </w:rPr>
              <w:t>8.688</w:t>
            </w:r>
          </w:p>
        </w:tc>
        <w:tc>
          <w:tcPr>
            <w:tcW w:w="368" w:type="pct"/>
            <w:tcBorders>
              <w:top w:val="nil"/>
              <w:left w:val="nil"/>
              <w:bottom w:val="nil"/>
              <w:right w:val="nil"/>
            </w:tcBorders>
            <w:noWrap/>
            <w:vAlign w:val="center"/>
            <w:hideMark/>
          </w:tcPr>
          <w:p w14:paraId="093524F7" w14:textId="597A8194" w:rsidR="00F3600B" w:rsidRPr="00D97F59" w:rsidRDefault="00F3600B" w:rsidP="00F3600B">
            <w:pPr>
              <w:jc w:val="center"/>
              <w:rPr>
                <w:rFonts w:ascii="CAIXA Std Book" w:hAnsi="CAIXA Std Book"/>
                <w:color w:val="2F75B5"/>
                <w:sz w:val="16"/>
                <w:szCs w:val="16"/>
              </w:rPr>
            </w:pPr>
            <w:r>
              <w:rPr>
                <w:rFonts w:ascii="CAIXA Std Book" w:hAnsi="CAIXA Std Book" w:cs="Arial"/>
                <w:color w:val="2F75B5"/>
                <w:sz w:val="16"/>
                <w:szCs w:val="16"/>
              </w:rPr>
              <w:t>-</w:t>
            </w:r>
          </w:p>
        </w:tc>
        <w:tc>
          <w:tcPr>
            <w:tcW w:w="336" w:type="pct"/>
            <w:tcBorders>
              <w:top w:val="nil"/>
              <w:left w:val="nil"/>
              <w:bottom w:val="nil"/>
              <w:right w:val="nil"/>
            </w:tcBorders>
            <w:noWrap/>
            <w:vAlign w:val="center"/>
            <w:hideMark/>
          </w:tcPr>
          <w:p w14:paraId="56D7BA45" w14:textId="4BC9F83C" w:rsidR="00F3600B" w:rsidRPr="00943C57" w:rsidRDefault="00F3600B" w:rsidP="00F3600B">
            <w:pPr>
              <w:jc w:val="right"/>
              <w:rPr>
                <w:rFonts w:ascii="CAIXA Std Book" w:hAnsi="CAIXA Std Book"/>
                <w:sz w:val="16"/>
                <w:szCs w:val="16"/>
              </w:rPr>
            </w:pPr>
            <w:r>
              <w:rPr>
                <w:rFonts w:ascii="CAIXA Std Book" w:hAnsi="CAIXA Std Book" w:cs="Arial"/>
                <w:color w:val="005CA9"/>
                <w:sz w:val="16"/>
                <w:szCs w:val="16"/>
              </w:rPr>
              <w:t>6</w:t>
            </w:r>
          </w:p>
        </w:tc>
        <w:tc>
          <w:tcPr>
            <w:tcW w:w="389" w:type="pct"/>
            <w:tcBorders>
              <w:top w:val="nil"/>
              <w:left w:val="nil"/>
              <w:bottom w:val="nil"/>
              <w:right w:val="nil"/>
            </w:tcBorders>
            <w:noWrap/>
            <w:vAlign w:val="center"/>
            <w:hideMark/>
          </w:tcPr>
          <w:p w14:paraId="2D11DF28" w14:textId="1E44FE19" w:rsidR="00F3600B" w:rsidRPr="00943C57" w:rsidRDefault="00F3600B" w:rsidP="00F3600B">
            <w:pPr>
              <w:jc w:val="right"/>
              <w:rPr>
                <w:rFonts w:ascii="CAIXA Std Book" w:hAnsi="CAIXA Std Book"/>
                <w:sz w:val="16"/>
                <w:szCs w:val="16"/>
              </w:rPr>
            </w:pPr>
            <w:r>
              <w:rPr>
                <w:rFonts w:ascii="CAIXA Std Book" w:hAnsi="CAIXA Std Book" w:cs="Arial"/>
                <w:color w:val="005CA9"/>
                <w:sz w:val="16"/>
                <w:szCs w:val="16"/>
              </w:rPr>
              <w:t>160.211</w:t>
            </w:r>
          </w:p>
        </w:tc>
        <w:tc>
          <w:tcPr>
            <w:tcW w:w="377" w:type="pct"/>
            <w:tcBorders>
              <w:top w:val="nil"/>
              <w:left w:val="nil"/>
              <w:bottom w:val="nil"/>
              <w:right w:val="nil"/>
            </w:tcBorders>
            <w:vAlign w:val="center"/>
            <w:hideMark/>
          </w:tcPr>
          <w:p w14:paraId="21AABF33" w14:textId="305082CE" w:rsidR="00F3600B" w:rsidRPr="00943C57" w:rsidRDefault="00F3600B" w:rsidP="00F3600B">
            <w:pPr>
              <w:ind w:right="118"/>
              <w:jc w:val="right"/>
              <w:rPr>
                <w:rFonts w:ascii="CAIXA Std Book" w:hAnsi="CAIXA Std Book"/>
                <w:color w:val="005CA9"/>
                <w:sz w:val="16"/>
                <w:szCs w:val="16"/>
              </w:rPr>
            </w:pPr>
            <w:r w:rsidRPr="00943C57">
              <w:rPr>
                <w:rFonts w:ascii="CAIXA Std Book" w:hAnsi="CAIXA Std Book"/>
                <w:color w:val="005CA9"/>
                <w:sz w:val="16"/>
                <w:szCs w:val="16"/>
              </w:rPr>
              <w:t>8.972</w:t>
            </w:r>
          </w:p>
        </w:tc>
      </w:tr>
      <w:tr w:rsidR="00F3600B" w14:paraId="42891E66" w14:textId="77777777" w:rsidTr="00F3600B">
        <w:trPr>
          <w:trHeight w:val="255"/>
        </w:trPr>
        <w:tc>
          <w:tcPr>
            <w:tcW w:w="924" w:type="pct"/>
            <w:tcBorders>
              <w:top w:val="nil"/>
              <w:left w:val="nil"/>
              <w:bottom w:val="nil"/>
              <w:right w:val="nil"/>
            </w:tcBorders>
            <w:vAlign w:val="center"/>
            <w:hideMark/>
          </w:tcPr>
          <w:p w14:paraId="78656692" w14:textId="77777777" w:rsidR="00F3600B" w:rsidRPr="00943C57" w:rsidRDefault="00F3600B" w:rsidP="00F3600B">
            <w:pPr>
              <w:rPr>
                <w:rFonts w:ascii="CAIXA Std Book" w:hAnsi="CAIXA Std Book"/>
                <w:color w:val="005CA9"/>
                <w:sz w:val="16"/>
                <w:szCs w:val="16"/>
              </w:rPr>
            </w:pPr>
            <w:r w:rsidRPr="00943C57">
              <w:rPr>
                <w:rFonts w:ascii="CAIXA Std Book" w:hAnsi="CAIXA Std Book"/>
                <w:color w:val="005CA9"/>
                <w:sz w:val="16"/>
                <w:szCs w:val="16"/>
              </w:rPr>
              <w:t xml:space="preserve">Outros investimentos (5) </w:t>
            </w:r>
          </w:p>
        </w:tc>
        <w:tc>
          <w:tcPr>
            <w:tcW w:w="283" w:type="pct"/>
            <w:tcBorders>
              <w:top w:val="nil"/>
              <w:left w:val="nil"/>
              <w:bottom w:val="nil"/>
              <w:right w:val="nil"/>
            </w:tcBorders>
            <w:vAlign w:val="center"/>
            <w:hideMark/>
          </w:tcPr>
          <w:p w14:paraId="651CF037" w14:textId="0AA04F51" w:rsidR="00F3600B" w:rsidRPr="00943C57" w:rsidRDefault="00F3600B" w:rsidP="00F3600B">
            <w:pPr>
              <w:jc w:val="center"/>
              <w:rPr>
                <w:rFonts w:ascii="CAIXA Std Book" w:hAnsi="CAIXA Std Book"/>
                <w:color w:val="005CA9"/>
                <w:sz w:val="16"/>
                <w:szCs w:val="16"/>
              </w:rPr>
            </w:pPr>
            <w:r>
              <w:rPr>
                <w:rFonts w:ascii="CAIXA Std Book" w:hAnsi="CAIXA Std Book"/>
                <w:color w:val="005CA9"/>
                <w:sz w:val="16"/>
                <w:szCs w:val="16"/>
              </w:rPr>
              <w:t>-</w:t>
            </w:r>
          </w:p>
        </w:tc>
        <w:tc>
          <w:tcPr>
            <w:tcW w:w="283" w:type="pct"/>
            <w:tcBorders>
              <w:top w:val="nil"/>
              <w:left w:val="nil"/>
              <w:bottom w:val="nil"/>
              <w:right w:val="nil"/>
            </w:tcBorders>
            <w:hideMark/>
          </w:tcPr>
          <w:p w14:paraId="22384D84" w14:textId="4CD5EAF9" w:rsidR="00F3600B" w:rsidRPr="005F61F4" w:rsidRDefault="00F3600B" w:rsidP="00F3600B">
            <w:pPr>
              <w:jc w:val="center"/>
              <w:rPr>
                <w:rFonts w:ascii="CAIXA Std Book" w:hAnsi="CAIXA Std Book"/>
                <w:color w:val="005CA9"/>
                <w:sz w:val="16"/>
                <w:szCs w:val="16"/>
              </w:rPr>
            </w:pPr>
            <w:r w:rsidRPr="00F1784B">
              <w:rPr>
                <w:rFonts w:ascii="CAIXA Std Book" w:hAnsi="CAIXA Std Book"/>
                <w:color w:val="005CA9"/>
                <w:sz w:val="16"/>
                <w:szCs w:val="16"/>
              </w:rPr>
              <w:t>-</w:t>
            </w:r>
          </w:p>
        </w:tc>
        <w:tc>
          <w:tcPr>
            <w:tcW w:w="283" w:type="pct"/>
            <w:gridSpan w:val="2"/>
            <w:tcBorders>
              <w:top w:val="nil"/>
              <w:left w:val="nil"/>
              <w:bottom w:val="nil"/>
              <w:right w:val="nil"/>
            </w:tcBorders>
            <w:hideMark/>
          </w:tcPr>
          <w:p w14:paraId="65028B21" w14:textId="445E6723" w:rsidR="00F3600B" w:rsidRPr="005F61F4" w:rsidRDefault="00F3600B" w:rsidP="00F3600B">
            <w:pPr>
              <w:jc w:val="center"/>
              <w:rPr>
                <w:rFonts w:ascii="CAIXA Std Book" w:hAnsi="CAIXA Std Book"/>
                <w:color w:val="005CA9"/>
                <w:sz w:val="16"/>
                <w:szCs w:val="16"/>
              </w:rPr>
            </w:pPr>
            <w:r w:rsidRPr="00F1784B">
              <w:rPr>
                <w:rFonts w:ascii="CAIXA Std Book" w:hAnsi="CAIXA Std Book"/>
                <w:color w:val="005CA9"/>
                <w:sz w:val="16"/>
                <w:szCs w:val="16"/>
              </w:rPr>
              <w:t>-</w:t>
            </w:r>
          </w:p>
        </w:tc>
        <w:tc>
          <w:tcPr>
            <w:tcW w:w="283" w:type="pct"/>
            <w:tcBorders>
              <w:top w:val="nil"/>
              <w:left w:val="nil"/>
              <w:bottom w:val="nil"/>
              <w:right w:val="nil"/>
            </w:tcBorders>
            <w:hideMark/>
          </w:tcPr>
          <w:p w14:paraId="2DA06A73" w14:textId="5A4086D1" w:rsidR="00F3600B" w:rsidRPr="005F61F4" w:rsidRDefault="00F3600B" w:rsidP="00F3600B">
            <w:pPr>
              <w:jc w:val="center"/>
              <w:rPr>
                <w:rFonts w:ascii="CAIXA Std Book" w:hAnsi="CAIXA Std Book"/>
                <w:color w:val="005CA9"/>
                <w:sz w:val="16"/>
                <w:szCs w:val="16"/>
              </w:rPr>
            </w:pPr>
            <w:r w:rsidRPr="00F1784B">
              <w:rPr>
                <w:rFonts w:ascii="CAIXA Std Book" w:hAnsi="CAIXA Std Book"/>
                <w:color w:val="005CA9"/>
                <w:sz w:val="16"/>
                <w:szCs w:val="16"/>
              </w:rPr>
              <w:t>-</w:t>
            </w:r>
          </w:p>
        </w:tc>
        <w:tc>
          <w:tcPr>
            <w:tcW w:w="368" w:type="pct"/>
            <w:tcBorders>
              <w:top w:val="nil"/>
              <w:left w:val="nil"/>
              <w:bottom w:val="nil"/>
              <w:right w:val="nil"/>
            </w:tcBorders>
            <w:noWrap/>
            <w:vAlign w:val="center"/>
            <w:hideMark/>
          </w:tcPr>
          <w:p w14:paraId="7E20821C" w14:textId="2C13B1FF" w:rsidR="00F3600B" w:rsidRPr="005F61F4" w:rsidRDefault="00F3600B" w:rsidP="00F3600B">
            <w:pPr>
              <w:jc w:val="center"/>
              <w:rPr>
                <w:rFonts w:ascii="CAIXA Std Book" w:hAnsi="CAIXA Std Book"/>
                <w:color w:val="005CA9"/>
                <w:sz w:val="16"/>
                <w:szCs w:val="16"/>
              </w:rPr>
            </w:pPr>
            <w:r w:rsidRPr="005F61F4">
              <w:rPr>
                <w:rFonts w:ascii="CAIXA Std Book" w:hAnsi="CAIXA Std Book"/>
                <w:color w:val="005CA9"/>
                <w:sz w:val="16"/>
                <w:szCs w:val="16"/>
              </w:rPr>
              <w:t>-</w:t>
            </w:r>
          </w:p>
        </w:tc>
        <w:tc>
          <w:tcPr>
            <w:tcW w:w="397" w:type="pct"/>
            <w:vAlign w:val="center"/>
            <w:hideMark/>
          </w:tcPr>
          <w:p w14:paraId="402C5F30" w14:textId="589471B6" w:rsidR="00F3600B" w:rsidRPr="00F3600B" w:rsidRDefault="00F3600B" w:rsidP="00F3600B">
            <w:pPr>
              <w:jc w:val="right"/>
              <w:rPr>
                <w:rFonts w:ascii="CAIXA Std Book" w:hAnsi="CAIXA Std Book" w:cs="Arial"/>
                <w:color w:val="005CA9"/>
                <w:sz w:val="16"/>
                <w:szCs w:val="16"/>
              </w:rPr>
            </w:pPr>
            <w:r w:rsidRPr="00F3600B">
              <w:rPr>
                <w:rFonts w:ascii="CAIXA Std Book" w:hAnsi="CAIXA Std Book" w:cs="Arial"/>
                <w:color w:val="005CA9"/>
                <w:sz w:val="16"/>
                <w:szCs w:val="16"/>
              </w:rPr>
              <w:t>395</w:t>
            </w:r>
          </w:p>
        </w:tc>
        <w:tc>
          <w:tcPr>
            <w:tcW w:w="391" w:type="pct"/>
            <w:tcBorders>
              <w:top w:val="nil"/>
              <w:left w:val="nil"/>
              <w:bottom w:val="nil"/>
              <w:right w:val="nil"/>
            </w:tcBorders>
            <w:noWrap/>
            <w:vAlign w:val="center"/>
            <w:hideMark/>
          </w:tcPr>
          <w:p w14:paraId="014C8763" w14:textId="77777777" w:rsidR="00F3600B" w:rsidRDefault="00F3600B" w:rsidP="00F3600B">
            <w:pPr>
              <w:jc w:val="right"/>
              <w:rPr>
                <w:rFonts w:ascii="CAIXA Std Book" w:hAnsi="CAIXA Std Book"/>
                <w:color w:val="2F75B5"/>
                <w:sz w:val="16"/>
                <w:szCs w:val="16"/>
              </w:rPr>
            </w:pPr>
            <w:r>
              <w:rPr>
                <w:rFonts w:ascii="CAIXA Std Book" w:hAnsi="CAIXA Std Book"/>
                <w:color w:val="2F75B5"/>
                <w:sz w:val="16"/>
                <w:szCs w:val="16"/>
              </w:rPr>
              <w:t>395</w:t>
            </w:r>
          </w:p>
        </w:tc>
        <w:tc>
          <w:tcPr>
            <w:tcW w:w="318" w:type="pct"/>
            <w:tcBorders>
              <w:top w:val="nil"/>
              <w:left w:val="nil"/>
              <w:bottom w:val="nil"/>
              <w:right w:val="nil"/>
            </w:tcBorders>
            <w:noWrap/>
            <w:vAlign w:val="center"/>
            <w:hideMark/>
          </w:tcPr>
          <w:p w14:paraId="6FF2975C" w14:textId="57D4D8ED" w:rsidR="00F3600B" w:rsidRDefault="00F3600B" w:rsidP="00F3600B">
            <w:pPr>
              <w:jc w:val="center"/>
              <w:rPr>
                <w:rFonts w:ascii="CAIXA Std Book" w:hAnsi="CAIXA Std Book"/>
                <w:color w:val="2F75B5"/>
                <w:sz w:val="16"/>
                <w:szCs w:val="16"/>
              </w:rPr>
            </w:pPr>
            <w:r>
              <w:rPr>
                <w:rFonts w:ascii="CAIXA Std Book" w:hAnsi="CAIXA Std Book" w:cs="Arial"/>
                <w:color w:val="2F75B5"/>
                <w:sz w:val="16"/>
                <w:szCs w:val="16"/>
              </w:rPr>
              <w:t>-</w:t>
            </w:r>
          </w:p>
        </w:tc>
        <w:tc>
          <w:tcPr>
            <w:tcW w:w="368" w:type="pct"/>
            <w:tcBorders>
              <w:top w:val="nil"/>
              <w:left w:val="nil"/>
              <w:bottom w:val="nil"/>
              <w:right w:val="nil"/>
            </w:tcBorders>
            <w:noWrap/>
            <w:vAlign w:val="center"/>
            <w:hideMark/>
          </w:tcPr>
          <w:p w14:paraId="48A59FAE" w14:textId="1B92DFC1" w:rsidR="00F3600B" w:rsidRPr="00D97F59" w:rsidRDefault="00F3600B" w:rsidP="00F3600B">
            <w:pPr>
              <w:jc w:val="center"/>
              <w:rPr>
                <w:rFonts w:ascii="CAIXA Std Book" w:hAnsi="CAIXA Std Book"/>
                <w:color w:val="2F75B5"/>
                <w:sz w:val="16"/>
                <w:szCs w:val="16"/>
              </w:rPr>
            </w:pPr>
            <w:r>
              <w:rPr>
                <w:rFonts w:ascii="CAIXA Std Book" w:hAnsi="CAIXA Std Book" w:cs="Arial"/>
                <w:color w:val="2F75B5"/>
                <w:sz w:val="16"/>
                <w:szCs w:val="16"/>
              </w:rPr>
              <w:t>-</w:t>
            </w:r>
          </w:p>
        </w:tc>
        <w:tc>
          <w:tcPr>
            <w:tcW w:w="336" w:type="pct"/>
            <w:tcBorders>
              <w:top w:val="nil"/>
              <w:left w:val="nil"/>
              <w:bottom w:val="nil"/>
              <w:right w:val="nil"/>
            </w:tcBorders>
            <w:noWrap/>
            <w:vAlign w:val="center"/>
            <w:hideMark/>
          </w:tcPr>
          <w:p w14:paraId="14EBB3F3" w14:textId="6C9EB8EA" w:rsidR="00F3600B" w:rsidRPr="00943C57" w:rsidRDefault="00F3600B" w:rsidP="00F3600B">
            <w:pPr>
              <w:jc w:val="center"/>
              <w:rPr>
                <w:rFonts w:ascii="CAIXA Std Book" w:hAnsi="CAIXA Std Book"/>
                <w:sz w:val="16"/>
                <w:szCs w:val="16"/>
              </w:rPr>
            </w:pPr>
            <w:r>
              <w:rPr>
                <w:rFonts w:ascii="CAIXA Std Book" w:hAnsi="CAIXA Std Book" w:cs="Arial"/>
                <w:color w:val="2F75B5"/>
                <w:sz w:val="16"/>
                <w:szCs w:val="16"/>
              </w:rPr>
              <w:t>-</w:t>
            </w:r>
          </w:p>
        </w:tc>
        <w:tc>
          <w:tcPr>
            <w:tcW w:w="389" w:type="pct"/>
            <w:tcBorders>
              <w:top w:val="nil"/>
              <w:left w:val="nil"/>
              <w:bottom w:val="nil"/>
              <w:right w:val="nil"/>
            </w:tcBorders>
            <w:noWrap/>
            <w:vAlign w:val="center"/>
            <w:hideMark/>
          </w:tcPr>
          <w:p w14:paraId="31632DAC" w14:textId="7E1F0A0B" w:rsidR="00F3600B" w:rsidRPr="00943C57" w:rsidRDefault="00F3600B" w:rsidP="00F3600B">
            <w:pPr>
              <w:jc w:val="right"/>
              <w:rPr>
                <w:rFonts w:ascii="CAIXA Std Book" w:hAnsi="CAIXA Std Book"/>
                <w:sz w:val="16"/>
                <w:szCs w:val="16"/>
              </w:rPr>
            </w:pPr>
            <w:r>
              <w:rPr>
                <w:rFonts w:ascii="CAIXA Std Book" w:hAnsi="CAIXA Std Book" w:cs="Arial"/>
                <w:color w:val="005CA9"/>
                <w:sz w:val="16"/>
                <w:szCs w:val="16"/>
              </w:rPr>
              <w:t>395</w:t>
            </w:r>
          </w:p>
        </w:tc>
        <w:tc>
          <w:tcPr>
            <w:tcW w:w="377" w:type="pct"/>
            <w:tcBorders>
              <w:top w:val="nil"/>
              <w:left w:val="nil"/>
              <w:bottom w:val="nil"/>
              <w:right w:val="nil"/>
            </w:tcBorders>
            <w:vAlign w:val="center"/>
            <w:hideMark/>
          </w:tcPr>
          <w:p w14:paraId="44DBE265" w14:textId="5A8CECAA" w:rsidR="00F3600B" w:rsidRPr="00943C57" w:rsidRDefault="00F3600B" w:rsidP="00F3600B">
            <w:pPr>
              <w:ind w:right="118"/>
              <w:jc w:val="center"/>
              <w:rPr>
                <w:rFonts w:ascii="CAIXA Std Book" w:hAnsi="CAIXA Std Book"/>
                <w:color w:val="005CA9"/>
                <w:sz w:val="16"/>
                <w:szCs w:val="16"/>
              </w:rPr>
            </w:pPr>
            <w:r>
              <w:rPr>
                <w:rFonts w:ascii="CAIXA Std Book" w:hAnsi="CAIXA Std Book"/>
                <w:color w:val="005CA9"/>
                <w:sz w:val="16"/>
                <w:szCs w:val="16"/>
              </w:rPr>
              <w:t>-</w:t>
            </w:r>
          </w:p>
        </w:tc>
      </w:tr>
      <w:tr w:rsidR="00F3600B" w14:paraId="68E5A10A" w14:textId="77777777" w:rsidTr="00F3600B">
        <w:trPr>
          <w:trHeight w:val="255"/>
        </w:trPr>
        <w:tc>
          <w:tcPr>
            <w:tcW w:w="924" w:type="pct"/>
            <w:tcBorders>
              <w:top w:val="nil"/>
              <w:left w:val="nil"/>
              <w:bottom w:val="nil"/>
              <w:right w:val="nil"/>
            </w:tcBorders>
            <w:shd w:val="clear" w:color="000000" w:fill="005CA9"/>
            <w:vAlign w:val="center"/>
            <w:hideMark/>
          </w:tcPr>
          <w:p w14:paraId="21600380" w14:textId="77777777" w:rsidR="00F3600B" w:rsidRPr="00943C57" w:rsidRDefault="00F3600B" w:rsidP="00F3600B">
            <w:pPr>
              <w:rPr>
                <w:rFonts w:ascii="CAIXA Std Book" w:hAnsi="CAIXA Std Book"/>
                <w:b/>
                <w:color w:val="FFFFFF"/>
                <w:sz w:val="16"/>
                <w:szCs w:val="16"/>
              </w:rPr>
            </w:pPr>
            <w:r w:rsidRPr="00943C57">
              <w:rPr>
                <w:rFonts w:ascii="CAIXA Std Book" w:hAnsi="CAIXA Std Book"/>
                <w:b/>
                <w:color w:val="FFFFFF"/>
                <w:sz w:val="16"/>
                <w:szCs w:val="16"/>
              </w:rPr>
              <w:t>Total</w:t>
            </w:r>
          </w:p>
        </w:tc>
        <w:tc>
          <w:tcPr>
            <w:tcW w:w="283" w:type="pct"/>
            <w:tcBorders>
              <w:top w:val="nil"/>
              <w:left w:val="nil"/>
              <w:bottom w:val="nil"/>
              <w:right w:val="nil"/>
            </w:tcBorders>
            <w:shd w:val="clear" w:color="000000" w:fill="005CA9"/>
            <w:noWrap/>
            <w:vAlign w:val="center"/>
            <w:hideMark/>
          </w:tcPr>
          <w:p w14:paraId="7B73142C" w14:textId="5AA14E51" w:rsidR="00F3600B" w:rsidRPr="00943C57" w:rsidRDefault="00F3600B" w:rsidP="00F3600B">
            <w:pPr>
              <w:jc w:val="right"/>
              <w:rPr>
                <w:rFonts w:ascii="CAIXA Std Book" w:hAnsi="CAIXA Std Book"/>
                <w:color w:val="000000"/>
                <w:sz w:val="16"/>
                <w:szCs w:val="16"/>
              </w:rPr>
            </w:pPr>
          </w:p>
        </w:tc>
        <w:tc>
          <w:tcPr>
            <w:tcW w:w="283" w:type="pct"/>
            <w:tcBorders>
              <w:top w:val="nil"/>
              <w:left w:val="nil"/>
              <w:bottom w:val="nil"/>
              <w:right w:val="nil"/>
            </w:tcBorders>
            <w:shd w:val="clear" w:color="000000" w:fill="005CA9"/>
            <w:noWrap/>
            <w:vAlign w:val="center"/>
            <w:hideMark/>
          </w:tcPr>
          <w:p w14:paraId="08D9D18D" w14:textId="794670B5" w:rsidR="00F3600B" w:rsidRPr="00943C57" w:rsidRDefault="00F3600B" w:rsidP="00F3600B">
            <w:pPr>
              <w:jc w:val="right"/>
              <w:rPr>
                <w:rFonts w:ascii="CAIXA Std Book" w:hAnsi="CAIXA Std Book"/>
                <w:color w:val="000000"/>
                <w:sz w:val="16"/>
                <w:szCs w:val="16"/>
              </w:rPr>
            </w:pPr>
          </w:p>
        </w:tc>
        <w:tc>
          <w:tcPr>
            <w:tcW w:w="283" w:type="pct"/>
            <w:gridSpan w:val="2"/>
            <w:tcBorders>
              <w:top w:val="nil"/>
              <w:left w:val="nil"/>
              <w:bottom w:val="nil"/>
              <w:right w:val="nil"/>
            </w:tcBorders>
            <w:shd w:val="clear" w:color="000000" w:fill="005CA9"/>
            <w:noWrap/>
            <w:vAlign w:val="center"/>
            <w:hideMark/>
          </w:tcPr>
          <w:p w14:paraId="2748C18D" w14:textId="1E5ED68D" w:rsidR="00F3600B" w:rsidRPr="00943C57" w:rsidRDefault="00F3600B" w:rsidP="00F3600B">
            <w:pPr>
              <w:jc w:val="right"/>
              <w:rPr>
                <w:rFonts w:ascii="CAIXA Std Book" w:hAnsi="CAIXA Std Book"/>
                <w:color w:val="000000"/>
                <w:sz w:val="16"/>
                <w:szCs w:val="16"/>
              </w:rPr>
            </w:pPr>
          </w:p>
        </w:tc>
        <w:tc>
          <w:tcPr>
            <w:tcW w:w="283" w:type="pct"/>
            <w:tcBorders>
              <w:top w:val="nil"/>
              <w:left w:val="nil"/>
              <w:bottom w:val="nil"/>
              <w:right w:val="nil"/>
            </w:tcBorders>
            <w:shd w:val="clear" w:color="000000" w:fill="005CA9"/>
            <w:noWrap/>
            <w:vAlign w:val="center"/>
            <w:hideMark/>
          </w:tcPr>
          <w:p w14:paraId="2D3601F6" w14:textId="3759B05F" w:rsidR="00F3600B" w:rsidRPr="00943C57" w:rsidRDefault="00F3600B" w:rsidP="00F3600B">
            <w:pPr>
              <w:jc w:val="center"/>
              <w:rPr>
                <w:rFonts w:ascii="CAIXA Std Book" w:hAnsi="CAIXA Std Book"/>
                <w:color w:val="000000"/>
                <w:sz w:val="16"/>
                <w:szCs w:val="16"/>
              </w:rPr>
            </w:pPr>
          </w:p>
        </w:tc>
        <w:tc>
          <w:tcPr>
            <w:tcW w:w="368" w:type="pct"/>
            <w:tcBorders>
              <w:top w:val="nil"/>
              <w:left w:val="nil"/>
              <w:bottom w:val="nil"/>
              <w:right w:val="nil"/>
            </w:tcBorders>
            <w:shd w:val="clear" w:color="000000" w:fill="005CA9"/>
            <w:noWrap/>
            <w:vAlign w:val="center"/>
            <w:hideMark/>
          </w:tcPr>
          <w:p w14:paraId="0BF5F5A4" w14:textId="755C5BD3" w:rsidR="00F3600B" w:rsidRPr="00943C57" w:rsidRDefault="00F3600B" w:rsidP="00F3600B">
            <w:pPr>
              <w:jc w:val="right"/>
              <w:rPr>
                <w:rFonts w:ascii="CAIXA Std Book" w:hAnsi="CAIXA Std Book"/>
                <w:color w:val="000000"/>
                <w:sz w:val="16"/>
                <w:szCs w:val="16"/>
              </w:rPr>
            </w:pPr>
            <w:r>
              <w:rPr>
                <w:rFonts w:ascii="CAIXA Std Book" w:hAnsi="CAIXA Std Book" w:cs="Arial"/>
                <w:b/>
                <w:bCs/>
                <w:color w:val="FFFFFF"/>
                <w:sz w:val="18"/>
                <w:szCs w:val="18"/>
              </w:rPr>
              <w:t>26.374.230</w:t>
            </w:r>
          </w:p>
        </w:tc>
        <w:tc>
          <w:tcPr>
            <w:tcW w:w="397" w:type="pct"/>
            <w:shd w:val="clear" w:color="auto" w:fill="005CA9"/>
            <w:noWrap/>
            <w:vAlign w:val="center"/>
            <w:hideMark/>
          </w:tcPr>
          <w:p w14:paraId="75DD3BB0" w14:textId="634F6288" w:rsidR="00F3600B" w:rsidRPr="00F3600B" w:rsidRDefault="00F3600B" w:rsidP="00F3600B">
            <w:pPr>
              <w:jc w:val="right"/>
              <w:rPr>
                <w:rFonts w:ascii="CAIXA Std Book" w:hAnsi="CAIXA Std Book" w:cs="Arial"/>
                <w:b/>
                <w:bCs/>
                <w:color w:val="FFFFFF" w:themeColor="background1"/>
                <w:sz w:val="16"/>
                <w:szCs w:val="16"/>
              </w:rPr>
            </w:pPr>
            <w:r w:rsidRPr="00F3600B">
              <w:rPr>
                <w:rFonts w:ascii="CAIXA Std Book" w:hAnsi="CAIXA Std Book" w:cs="Arial"/>
                <w:b/>
                <w:bCs/>
                <w:color w:val="FFFFFF" w:themeColor="background1"/>
                <w:sz w:val="16"/>
                <w:szCs w:val="16"/>
              </w:rPr>
              <w:t>26.056.004</w:t>
            </w:r>
          </w:p>
        </w:tc>
        <w:tc>
          <w:tcPr>
            <w:tcW w:w="391" w:type="pct"/>
            <w:tcBorders>
              <w:top w:val="nil"/>
              <w:left w:val="nil"/>
              <w:bottom w:val="nil"/>
              <w:right w:val="nil"/>
            </w:tcBorders>
            <w:shd w:val="clear" w:color="auto" w:fill="005CA9"/>
            <w:noWrap/>
            <w:vAlign w:val="center"/>
            <w:hideMark/>
          </w:tcPr>
          <w:p w14:paraId="4347C819" w14:textId="77777777" w:rsidR="00F3600B" w:rsidRPr="00F3600B" w:rsidRDefault="00F3600B" w:rsidP="00F3600B">
            <w:pPr>
              <w:jc w:val="right"/>
              <w:rPr>
                <w:rFonts w:ascii="CAIXA Std Book" w:hAnsi="CAIXA Std Book"/>
                <w:b/>
                <w:bCs/>
                <w:color w:val="FFFFFF" w:themeColor="background1"/>
                <w:sz w:val="16"/>
                <w:szCs w:val="16"/>
              </w:rPr>
            </w:pPr>
            <w:r w:rsidRPr="00F3600B">
              <w:rPr>
                <w:rFonts w:ascii="CAIXA Std Book" w:hAnsi="CAIXA Std Book"/>
                <w:b/>
                <w:bCs/>
                <w:color w:val="FFFFFF" w:themeColor="background1"/>
                <w:sz w:val="16"/>
                <w:szCs w:val="16"/>
              </w:rPr>
              <w:t>13.698.375</w:t>
            </w:r>
          </w:p>
        </w:tc>
        <w:tc>
          <w:tcPr>
            <w:tcW w:w="318" w:type="pct"/>
            <w:tcBorders>
              <w:top w:val="nil"/>
              <w:left w:val="nil"/>
              <w:bottom w:val="nil"/>
              <w:right w:val="nil"/>
            </w:tcBorders>
            <w:shd w:val="clear" w:color="000000" w:fill="005CA9"/>
            <w:noWrap/>
            <w:vAlign w:val="center"/>
            <w:hideMark/>
          </w:tcPr>
          <w:p w14:paraId="33D435FC" w14:textId="73EFAF1E" w:rsidR="00F3600B" w:rsidRPr="00943C57" w:rsidRDefault="00F3600B" w:rsidP="00F3600B">
            <w:pPr>
              <w:jc w:val="right"/>
              <w:rPr>
                <w:rFonts w:ascii="CAIXA Std Book" w:hAnsi="CAIXA Std Book"/>
                <w:color w:val="000000"/>
                <w:sz w:val="16"/>
                <w:szCs w:val="16"/>
              </w:rPr>
            </w:pPr>
            <w:r>
              <w:rPr>
                <w:rFonts w:ascii="CAIXA Std Book" w:hAnsi="CAIXA Std Book" w:cs="Arial"/>
                <w:b/>
                <w:bCs/>
                <w:color w:val="FFFFFF"/>
                <w:sz w:val="18"/>
                <w:szCs w:val="18"/>
              </w:rPr>
              <w:t>988.499</w:t>
            </w:r>
          </w:p>
        </w:tc>
        <w:tc>
          <w:tcPr>
            <w:tcW w:w="368" w:type="pct"/>
            <w:tcBorders>
              <w:top w:val="nil"/>
              <w:left w:val="nil"/>
              <w:bottom w:val="nil"/>
              <w:right w:val="nil"/>
            </w:tcBorders>
            <w:shd w:val="clear" w:color="000000" w:fill="005CA9"/>
            <w:noWrap/>
            <w:vAlign w:val="center"/>
            <w:hideMark/>
          </w:tcPr>
          <w:p w14:paraId="6F27C249" w14:textId="56AC0E1F" w:rsidR="00F3600B" w:rsidRPr="00943C57" w:rsidRDefault="00F3600B" w:rsidP="00F3600B">
            <w:pPr>
              <w:jc w:val="right"/>
              <w:rPr>
                <w:rFonts w:ascii="CAIXA Std Book" w:hAnsi="CAIXA Std Book"/>
                <w:color w:val="000000"/>
                <w:sz w:val="16"/>
                <w:szCs w:val="16"/>
              </w:rPr>
            </w:pPr>
            <w:r>
              <w:rPr>
                <w:rFonts w:ascii="CAIXA Std Book" w:hAnsi="CAIXA Std Book" w:cs="Arial"/>
                <w:b/>
                <w:bCs/>
                <w:color w:val="FFFFFF"/>
                <w:sz w:val="18"/>
                <w:szCs w:val="18"/>
              </w:rPr>
              <w:t>(884.343)</w:t>
            </w:r>
          </w:p>
        </w:tc>
        <w:tc>
          <w:tcPr>
            <w:tcW w:w="336" w:type="pct"/>
            <w:tcBorders>
              <w:top w:val="nil"/>
              <w:left w:val="nil"/>
              <w:bottom w:val="nil"/>
              <w:right w:val="nil"/>
            </w:tcBorders>
            <w:shd w:val="clear" w:color="000000" w:fill="005CA9"/>
            <w:noWrap/>
            <w:vAlign w:val="center"/>
            <w:hideMark/>
          </w:tcPr>
          <w:p w14:paraId="63555E22" w14:textId="7DCB6BA5" w:rsidR="00F3600B" w:rsidRPr="00943C57" w:rsidRDefault="00F3600B" w:rsidP="00F3600B">
            <w:pPr>
              <w:jc w:val="right"/>
              <w:rPr>
                <w:rFonts w:ascii="CAIXA Std Book" w:hAnsi="CAIXA Std Book"/>
                <w:color w:val="000000"/>
                <w:sz w:val="16"/>
                <w:szCs w:val="16"/>
              </w:rPr>
            </w:pPr>
            <w:r>
              <w:rPr>
                <w:rFonts w:ascii="CAIXA Std Book" w:hAnsi="CAIXA Std Book" w:cs="Arial"/>
                <w:b/>
                <w:bCs/>
                <w:color w:val="FFFFFF"/>
                <w:sz w:val="18"/>
                <w:szCs w:val="18"/>
              </w:rPr>
              <w:t>55.956</w:t>
            </w:r>
          </w:p>
        </w:tc>
        <w:tc>
          <w:tcPr>
            <w:tcW w:w="389" w:type="pct"/>
            <w:tcBorders>
              <w:top w:val="nil"/>
              <w:left w:val="nil"/>
              <w:bottom w:val="nil"/>
              <w:right w:val="nil"/>
            </w:tcBorders>
            <w:shd w:val="clear" w:color="000000" w:fill="005CA9"/>
            <w:noWrap/>
            <w:vAlign w:val="center"/>
            <w:hideMark/>
          </w:tcPr>
          <w:p w14:paraId="5D0922AE" w14:textId="09C9AB3D" w:rsidR="00F3600B" w:rsidRPr="00943C57" w:rsidRDefault="00F3600B" w:rsidP="00F3600B">
            <w:pPr>
              <w:jc w:val="right"/>
              <w:rPr>
                <w:rFonts w:ascii="CAIXA Std Book" w:hAnsi="CAIXA Std Book"/>
                <w:color w:val="000000"/>
                <w:sz w:val="16"/>
                <w:szCs w:val="16"/>
              </w:rPr>
            </w:pPr>
            <w:r>
              <w:rPr>
                <w:rFonts w:ascii="CAIXA Std Book" w:hAnsi="CAIXA Std Book" w:cs="Arial"/>
                <w:b/>
                <w:bCs/>
                <w:color w:val="FFFFFF"/>
                <w:sz w:val="18"/>
                <w:szCs w:val="18"/>
              </w:rPr>
              <w:t>13.858.487</w:t>
            </w:r>
          </w:p>
        </w:tc>
        <w:tc>
          <w:tcPr>
            <w:tcW w:w="377" w:type="pct"/>
            <w:tcBorders>
              <w:top w:val="nil"/>
              <w:left w:val="nil"/>
              <w:bottom w:val="nil"/>
              <w:right w:val="nil"/>
            </w:tcBorders>
            <w:shd w:val="clear" w:color="000000" w:fill="005CA9"/>
            <w:noWrap/>
            <w:vAlign w:val="center"/>
            <w:hideMark/>
          </w:tcPr>
          <w:p w14:paraId="42844F5E" w14:textId="77777777" w:rsidR="00F3600B" w:rsidRPr="00943C57" w:rsidRDefault="00F3600B" w:rsidP="00F3600B">
            <w:pPr>
              <w:ind w:right="118"/>
              <w:jc w:val="right"/>
              <w:rPr>
                <w:rFonts w:ascii="CAIXA Std Book" w:hAnsi="CAIXA Std Book"/>
                <w:b/>
                <w:color w:val="FFFFFF"/>
                <w:sz w:val="16"/>
                <w:szCs w:val="16"/>
              </w:rPr>
            </w:pPr>
            <w:r w:rsidRPr="00943C57">
              <w:rPr>
                <w:rFonts w:ascii="CAIXA Std Book" w:hAnsi="CAIXA Std Book"/>
                <w:b/>
                <w:color w:val="FFFFFF"/>
                <w:sz w:val="16"/>
                <w:szCs w:val="16"/>
              </w:rPr>
              <w:t>864.982</w:t>
            </w:r>
          </w:p>
        </w:tc>
      </w:tr>
    </w:tbl>
    <w:p w14:paraId="16A0E470" w14:textId="7B27478D" w:rsidR="00AD75D7" w:rsidRPr="00F353CA" w:rsidRDefault="00F7113C" w:rsidP="003802FF">
      <w:pPr>
        <w:jc w:val="both"/>
        <w:rPr>
          <w:rFonts w:ascii="CAIXA Std Book" w:hAnsi="CAIXA Std Book"/>
          <w:color w:val="005CA9"/>
          <w:sz w:val="16"/>
          <w:szCs w:val="16"/>
        </w:rPr>
      </w:pPr>
      <w:r w:rsidRPr="00F353CA">
        <w:rPr>
          <w:rFonts w:ascii="CAIXA Std Book" w:hAnsi="CAIXA Std Book"/>
          <w:color w:val="005CA9"/>
          <w:sz w:val="16"/>
          <w:szCs w:val="16"/>
        </w:rPr>
        <w:t>(1) O</w:t>
      </w:r>
      <w:r w:rsidR="00962DD0" w:rsidRPr="00F353CA">
        <w:rPr>
          <w:rFonts w:ascii="CAIXA Std Book" w:hAnsi="CAIXA Std Book"/>
          <w:color w:val="005CA9"/>
          <w:sz w:val="16"/>
          <w:szCs w:val="16"/>
        </w:rPr>
        <w:t>s</w:t>
      </w:r>
      <w:r w:rsidRPr="00F353CA">
        <w:rPr>
          <w:rFonts w:ascii="CAIXA Std Book" w:hAnsi="CAIXA Std Book"/>
          <w:color w:val="005CA9"/>
          <w:sz w:val="16"/>
          <w:szCs w:val="16"/>
        </w:rPr>
        <w:t xml:space="preserve"> percentua</w:t>
      </w:r>
      <w:r w:rsidR="00962DD0" w:rsidRPr="00F353CA">
        <w:rPr>
          <w:rFonts w:ascii="CAIXA Std Book" w:hAnsi="CAIXA Std Book"/>
          <w:color w:val="005CA9"/>
          <w:sz w:val="16"/>
          <w:szCs w:val="16"/>
        </w:rPr>
        <w:t>is</w:t>
      </w:r>
      <w:r w:rsidRPr="00F353CA">
        <w:rPr>
          <w:rFonts w:ascii="CAIXA Std Book" w:hAnsi="CAIXA Std Book"/>
          <w:color w:val="005CA9"/>
          <w:sz w:val="16"/>
          <w:szCs w:val="16"/>
        </w:rPr>
        <w:t xml:space="preserve"> de participação na Holding XS1, CNP Brasil, XS3 Seguros, XS4 Capitalização, XS5 Consórcios, XS6 Assistência, Too Seguros e Pan Corretora são demonstrados pela ótica da Controlada Caixa Seguridade.</w:t>
      </w:r>
    </w:p>
    <w:p w14:paraId="356847B3" w14:textId="68885228" w:rsidR="00DA7CA5" w:rsidRPr="002C719F" w:rsidRDefault="007C6D39" w:rsidP="00DA7CA5">
      <w:pPr>
        <w:jc w:val="both"/>
        <w:rPr>
          <w:rFonts w:ascii="CAIXA Std Book" w:hAnsi="CAIXA Std Book"/>
          <w:color w:val="005CA9"/>
          <w:sz w:val="16"/>
          <w:szCs w:val="16"/>
        </w:rPr>
      </w:pPr>
      <w:r w:rsidRPr="007C6D39">
        <w:rPr>
          <w:rFonts w:ascii="CAIXA Std Book" w:hAnsi="CAIXA Std Book"/>
          <w:color w:val="005CA9"/>
          <w:sz w:val="16"/>
          <w:szCs w:val="16"/>
        </w:rPr>
        <w:t xml:space="preserve">(2) Dividendos e JCP </w:t>
      </w:r>
      <w:r w:rsidR="00150355">
        <w:rPr>
          <w:rFonts w:ascii="CAIXA Std Book" w:hAnsi="CAIXA Std Book"/>
          <w:color w:val="005CA9"/>
          <w:sz w:val="16"/>
          <w:szCs w:val="16"/>
        </w:rPr>
        <w:t xml:space="preserve">Propostos </w:t>
      </w:r>
      <w:r w:rsidRPr="007C6D39">
        <w:rPr>
          <w:rFonts w:ascii="CAIXA Std Book" w:hAnsi="CAIXA Std Book"/>
          <w:color w:val="005CA9"/>
          <w:sz w:val="16"/>
          <w:szCs w:val="16"/>
        </w:rPr>
        <w:t xml:space="preserve">totalizaram R$ </w:t>
      </w:r>
      <w:r w:rsidR="009710AE">
        <w:rPr>
          <w:rFonts w:ascii="CAIXA Std Book" w:hAnsi="CAIXA Std Book"/>
          <w:color w:val="005CA9"/>
          <w:sz w:val="16"/>
          <w:szCs w:val="16"/>
        </w:rPr>
        <w:t>884.34</w:t>
      </w:r>
      <w:r w:rsidR="00150355">
        <w:rPr>
          <w:rFonts w:ascii="CAIXA Std Book" w:hAnsi="CAIXA Std Book"/>
          <w:color w:val="005CA9"/>
          <w:sz w:val="16"/>
          <w:szCs w:val="16"/>
        </w:rPr>
        <w:t>3</w:t>
      </w:r>
      <w:r w:rsidRPr="007C6D39">
        <w:rPr>
          <w:rFonts w:ascii="CAIXA Std Book" w:hAnsi="CAIXA Std Book"/>
          <w:color w:val="005CA9"/>
          <w:sz w:val="16"/>
          <w:szCs w:val="16"/>
        </w:rPr>
        <w:t xml:space="preserve">, sendo </w:t>
      </w:r>
      <w:r w:rsidR="00150355">
        <w:rPr>
          <w:rFonts w:ascii="CAIXA Std Book" w:hAnsi="CAIXA Std Book"/>
          <w:color w:val="005CA9"/>
          <w:sz w:val="16"/>
          <w:szCs w:val="16"/>
        </w:rPr>
        <w:t>efetivamente recebidos</w:t>
      </w:r>
      <w:r w:rsidR="00C670C0">
        <w:rPr>
          <w:rFonts w:ascii="CAIXA Std Book" w:hAnsi="CAIXA Std Book"/>
          <w:color w:val="005CA9"/>
          <w:sz w:val="16"/>
          <w:szCs w:val="16"/>
        </w:rPr>
        <w:t xml:space="preserve"> no </w:t>
      </w:r>
      <w:r w:rsidR="001D23F6">
        <w:rPr>
          <w:rFonts w:ascii="CAIXA Std Book" w:hAnsi="CAIXA Std Book"/>
          <w:color w:val="005CA9"/>
          <w:sz w:val="16"/>
          <w:szCs w:val="16"/>
        </w:rPr>
        <w:t xml:space="preserve">período </w:t>
      </w:r>
      <w:r w:rsidRPr="007C6D39">
        <w:rPr>
          <w:rFonts w:ascii="CAIXA Std Book" w:hAnsi="CAIXA Std Book"/>
          <w:color w:val="005CA9"/>
          <w:sz w:val="16"/>
          <w:szCs w:val="16"/>
        </w:rPr>
        <w:t xml:space="preserve">R$ </w:t>
      </w:r>
      <w:r w:rsidR="005A0556">
        <w:rPr>
          <w:rFonts w:ascii="CAIXA Std Book" w:hAnsi="CAIXA Std Book"/>
          <w:color w:val="005CA9"/>
          <w:sz w:val="16"/>
          <w:szCs w:val="16"/>
        </w:rPr>
        <w:t xml:space="preserve">209.094 sendo </w:t>
      </w:r>
      <w:r w:rsidRPr="007C6D39">
        <w:rPr>
          <w:rFonts w:ascii="CAIXA Std Book" w:hAnsi="CAIXA Std Book"/>
          <w:color w:val="005CA9"/>
          <w:sz w:val="16"/>
          <w:szCs w:val="16"/>
        </w:rPr>
        <w:t xml:space="preserve">l; R$ </w:t>
      </w:r>
      <w:r w:rsidR="005A0556">
        <w:rPr>
          <w:rFonts w:ascii="CAIXA Std Book" w:hAnsi="CAIXA Std Book"/>
          <w:color w:val="005CA9"/>
          <w:sz w:val="16"/>
          <w:szCs w:val="16"/>
        </w:rPr>
        <w:t>157.177</w:t>
      </w:r>
      <w:r w:rsidRPr="007C6D39">
        <w:rPr>
          <w:rFonts w:ascii="CAIXA Std Book" w:hAnsi="CAIXA Std Book"/>
          <w:color w:val="005CA9"/>
          <w:sz w:val="16"/>
          <w:szCs w:val="16"/>
        </w:rPr>
        <w:t xml:space="preserve"> da XS3 Seguros</w:t>
      </w:r>
      <w:r w:rsidR="005A0556">
        <w:rPr>
          <w:rFonts w:ascii="CAIXA Std Book" w:hAnsi="CAIXA Std Book"/>
          <w:color w:val="005CA9"/>
          <w:sz w:val="16"/>
          <w:szCs w:val="16"/>
        </w:rPr>
        <w:t xml:space="preserve"> e </w:t>
      </w:r>
      <w:r w:rsidRPr="007C6D39">
        <w:rPr>
          <w:rFonts w:ascii="CAIXA Std Book" w:hAnsi="CAIXA Std Book"/>
          <w:color w:val="005CA9"/>
          <w:sz w:val="16"/>
          <w:szCs w:val="16"/>
        </w:rPr>
        <w:t xml:space="preserve">; R$ </w:t>
      </w:r>
      <w:r w:rsidR="005A0556">
        <w:rPr>
          <w:rFonts w:ascii="CAIXA Std Book" w:hAnsi="CAIXA Std Book"/>
          <w:color w:val="005CA9"/>
          <w:sz w:val="16"/>
          <w:szCs w:val="16"/>
        </w:rPr>
        <w:t>51.917</w:t>
      </w:r>
      <w:r w:rsidR="00016243" w:rsidRPr="00016243">
        <w:rPr>
          <w:rFonts w:ascii="CAIXA Std Book" w:hAnsi="CAIXA Std Book"/>
          <w:color w:val="005CA9"/>
          <w:sz w:val="16"/>
          <w:szCs w:val="16"/>
        </w:rPr>
        <w:t xml:space="preserve"> da XS5 Consórcios</w:t>
      </w:r>
      <w:r w:rsidR="00BD17BF">
        <w:rPr>
          <w:rFonts w:ascii="CAIXA Std Book" w:hAnsi="CAIXA Std Book"/>
          <w:color w:val="005CA9"/>
          <w:sz w:val="16"/>
          <w:szCs w:val="16"/>
        </w:rPr>
        <w:t>.</w:t>
      </w:r>
    </w:p>
    <w:p w14:paraId="282DA670" w14:textId="1E346771" w:rsidR="005D390D" w:rsidRPr="002C719F" w:rsidRDefault="005D390D" w:rsidP="005D390D">
      <w:pPr>
        <w:jc w:val="both"/>
        <w:rPr>
          <w:rFonts w:ascii="CAIXA Std Book" w:hAnsi="CAIXA Std Book"/>
          <w:color w:val="005CA9"/>
          <w:sz w:val="16"/>
          <w:szCs w:val="16"/>
        </w:rPr>
      </w:pPr>
      <w:r w:rsidRPr="002C719F">
        <w:rPr>
          <w:rFonts w:ascii="CAIXA Std Book" w:hAnsi="CAIXA Std Book"/>
          <w:color w:val="005CA9"/>
          <w:sz w:val="16"/>
          <w:szCs w:val="16"/>
        </w:rPr>
        <w:t xml:space="preserve">(3) </w:t>
      </w:r>
      <w:r w:rsidR="00C40A94">
        <w:rPr>
          <w:rFonts w:ascii="CAIXA Std Book" w:hAnsi="CAIXA Std Book"/>
          <w:color w:val="005CA9"/>
          <w:sz w:val="16"/>
        </w:rPr>
        <w:t xml:space="preserve">Em outubro de 2025 foi efetivada a reorganização societária do Grupo Elo, resultando em: alienação a valor contábil da participação na Elo Serviços, com redução de 41,41% para 33,34%; constituição da Elo Holding pela Caixa Cartões (33,34%) e Elo Participações Ltda – Elopar (66,66%), com a migração de suas respectivas participações na Elo Serviços para a nova empresa; e incorporação da </w:t>
      </w:r>
      <w:r w:rsidR="00C40A94" w:rsidRPr="0024265E">
        <w:rPr>
          <w:rFonts w:ascii="CAIXA Std Book" w:hAnsi="CAIXA Std Book"/>
          <w:color w:val="005CA9"/>
          <w:sz w:val="16"/>
        </w:rPr>
        <w:t xml:space="preserve">Elo Serviços </w:t>
      </w:r>
      <w:r w:rsidR="00C40A94">
        <w:rPr>
          <w:rFonts w:ascii="CAIXA Std Book" w:hAnsi="CAIXA Std Book"/>
          <w:color w:val="005CA9"/>
          <w:sz w:val="16"/>
        </w:rPr>
        <w:t xml:space="preserve">pela </w:t>
      </w:r>
      <w:r w:rsidR="00C40A94" w:rsidRPr="0024265E">
        <w:rPr>
          <w:rFonts w:ascii="CAIXA Std Book" w:hAnsi="CAIXA Std Book"/>
          <w:color w:val="005CA9"/>
          <w:sz w:val="16"/>
        </w:rPr>
        <w:t>Elo Holding</w:t>
      </w:r>
      <w:r w:rsidR="00C40A94">
        <w:rPr>
          <w:rFonts w:ascii="CAIXA Std Book" w:hAnsi="CAIXA Std Book"/>
          <w:color w:val="005CA9"/>
          <w:sz w:val="16"/>
        </w:rPr>
        <w:t xml:space="preserve"> como subsidiária integral</w:t>
      </w:r>
      <w:r w:rsidR="00C40A94" w:rsidRPr="0024265E">
        <w:rPr>
          <w:rFonts w:ascii="CAIXA Std Book" w:hAnsi="CAIXA Std Book"/>
          <w:color w:val="005CA9"/>
          <w:sz w:val="16"/>
        </w:rPr>
        <w:t>.</w:t>
      </w:r>
    </w:p>
    <w:p w14:paraId="1D35BBA3" w14:textId="3D01D4B0" w:rsidR="00063E4D" w:rsidRPr="002C719F" w:rsidRDefault="00063E4D" w:rsidP="00063E4D">
      <w:pPr>
        <w:jc w:val="both"/>
        <w:rPr>
          <w:rFonts w:ascii="CAIXA Std Book" w:hAnsi="CAIXA Std Book"/>
          <w:color w:val="005CA9"/>
          <w:sz w:val="16"/>
          <w:szCs w:val="16"/>
        </w:rPr>
      </w:pPr>
      <w:r w:rsidRPr="002C719F">
        <w:rPr>
          <w:rFonts w:ascii="CAIXA Std Book" w:hAnsi="CAIXA Std Book"/>
          <w:color w:val="005CA9"/>
          <w:sz w:val="16"/>
          <w:szCs w:val="16"/>
        </w:rPr>
        <w:t>(</w:t>
      </w:r>
      <w:r w:rsidR="005D390D">
        <w:rPr>
          <w:rFonts w:ascii="CAIXA Std Book" w:hAnsi="CAIXA Std Book"/>
          <w:color w:val="005CA9"/>
          <w:sz w:val="16"/>
          <w:szCs w:val="16"/>
        </w:rPr>
        <w:t>4</w:t>
      </w:r>
      <w:r w:rsidRPr="002C719F">
        <w:rPr>
          <w:rFonts w:ascii="CAIXA Std Book" w:hAnsi="CAIXA Std Book"/>
          <w:color w:val="005CA9"/>
          <w:sz w:val="16"/>
          <w:szCs w:val="16"/>
        </w:rPr>
        <w:t xml:space="preserve">) </w:t>
      </w:r>
      <w:r w:rsidRPr="002C719F">
        <w:rPr>
          <w:rFonts w:ascii="CAIXA Std Book" w:eastAsia="Times New Roman" w:hAnsi="CAIXA Std Book" w:cs="Arial"/>
          <w:color w:val="005CA9"/>
          <w:sz w:val="16"/>
          <w:szCs w:val="16"/>
        </w:rPr>
        <w:t>Venda</w:t>
      </w:r>
      <w:r w:rsidRPr="002C719F">
        <w:rPr>
          <w:rFonts w:ascii="CAIXA Std Book" w:hAnsi="CAIXA Std Book"/>
          <w:color w:val="005CA9"/>
          <w:sz w:val="16"/>
          <w:szCs w:val="16"/>
        </w:rPr>
        <w:t xml:space="preserve"> da participação na empresa Galgo em 05/2025 pelo valor de R$ 3.</w:t>
      </w:r>
      <w:r w:rsidRPr="002C719F">
        <w:rPr>
          <w:rFonts w:ascii="CAIXA Std Book" w:eastAsia="Times New Roman" w:hAnsi="CAIXA Std Book" w:cs="Arial"/>
          <w:color w:val="005CA9"/>
          <w:sz w:val="16"/>
          <w:szCs w:val="16"/>
        </w:rPr>
        <w:t>458</w:t>
      </w:r>
      <w:r w:rsidRPr="002C719F">
        <w:rPr>
          <w:rFonts w:ascii="CAIXA Std Book" w:hAnsi="CAIXA Std Book"/>
          <w:color w:val="005CA9"/>
          <w:sz w:val="16"/>
          <w:szCs w:val="16"/>
        </w:rPr>
        <w:t>.</w:t>
      </w:r>
      <w:r w:rsidR="00665A42">
        <w:rPr>
          <w:rFonts w:ascii="CAIXA Std Book" w:hAnsi="CAIXA Std Book"/>
          <w:color w:val="005CA9"/>
          <w:sz w:val="16"/>
          <w:szCs w:val="16"/>
        </w:rPr>
        <w:t xml:space="preserve"> </w:t>
      </w:r>
    </w:p>
    <w:p w14:paraId="555E48F3" w14:textId="2C662BB7" w:rsidR="00D67929" w:rsidRPr="00B04D8D" w:rsidRDefault="00063E4D" w:rsidP="00943C57">
      <w:pPr>
        <w:jc w:val="both"/>
        <w:rPr>
          <w:rFonts w:ascii="CAIXA Std Book" w:hAnsi="CAIXA Std Book"/>
          <w:color w:val="005CA9"/>
          <w:sz w:val="16"/>
          <w:szCs w:val="16"/>
        </w:rPr>
      </w:pPr>
      <w:r w:rsidRPr="00F353CA">
        <w:rPr>
          <w:rFonts w:ascii="CAIXA Std Book" w:hAnsi="CAIXA Std Book"/>
          <w:color w:val="005CA9"/>
          <w:sz w:val="16"/>
          <w:szCs w:val="16"/>
        </w:rPr>
        <w:t>(</w:t>
      </w:r>
      <w:r w:rsidR="005D390D">
        <w:rPr>
          <w:rFonts w:ascii="CAIXA Std Book" w:hAnsi="CAIXA Std Book"/>
          <w:color w:val="005CA9"/>
          <w:sz w:val="16"/>
          <w:szCs w:val="16"/>
        </w:rPr>
        <w:t>5</w:t>
      </w:r>
      <w:r w:rsidRPr="00F353CA">
        <w:rPr>
          <w:rFonts w:ascii="CAIXA Std Book" w:hAnsi="CAIXA Std Book"/>
          <w:color w:val="005CA9"/>
          <w:sz w:val="16"/>
          <w:szCs w:val="16"/>
        </w:rPr>
        <w:t>) Inclui os investimentos pré-operacionais: Negócios Digitais, Caixa Imóveis, Caixa Cartões Adquirência, Caixa Cartões PAT, Caixa Cartões Fidelidade, Caixa Cartões Contas de Pagamento.</w:t>
      </w:r>
      <w:r w:rsidR="00DA7CA5">
        <w:rPr>
          <w:rFonts w:ascii="CAIXA Std Book" w:hAnsi="CAIXA Std Book"/>
          <w:color w:val="005CA9"/>
          <w:sz w:val="16"/>
          <w:szCs w:val="16"/>
        </w:rPr>
        <w:t xml:space="preserve"> </w:t>
      </w:r>
      <w:r w:rsidR="00D67929" w:rsidRPr="00B04D8D">
        <w:rPr>
          <w:rFonts w:ascii="CAIXA Std Book" w:hAnsi="CAIXA Std Book"/>
          <w:color w:val="005CA9"/>
          <w:sz w:val="16"/>
          <w:szCs w:val="16"/>
        </w:rPr>
        <w:br w:type="page"/>
      </w:r>
    </w:p>
    <w:p w14:paraId="1D2165FA" w14:textId="77777777" w:rsidR="00D67929" w:rsidRDefault="00D67929" w:rsidP="00295657">
      <w:pPr>
        <w:pStyle w:val="PargrafodaLista"/>
        <w:numPr>
          <w:ilvl w:val="0"/>
          <w:numId w:val="29"/>
        </w:numPr>
        <w:spacing w:before="480" w:after="240"/>
        <w:ind w:hanging="644"/>
        <w:rPr>
          <w:rFonts w:ascii="CAIXA Std Book" w:eastAsia="Times New Roman" w:hAnsi="CAIXA Std Book" w:cs="Arial"/>
          <w:b/>
          <w:bCs/>
          <w:color w:val="005CA9"/>
          <w:sz w:val="20"/>
          <w:szCs w:val="20"/>
        </w:rPr>
        <w:sectPr w:rsidR="00D67929" w:rsidSect="00851D3E">
          <w:headerReference w:type="default" r:id="rId65"/>
          <w:footerReference w:type="even" r:id="rId66"/>
          <w:footerReference w:type="default" r:id="rId67"/>
          <w:headerReference w:type="first" r:id="rId68"/>
          <w:footerReference w:type="first" r:id="rId69"/>
          <w:pgSz w:w="16840" w:h="11907" w:orient="landscape" w:code="9"/>
          <w:pgMar w:top="1985" w:right="851" w:bottom="1418" w:left="1418" w:header="1134" w:footer="709" w:gutter="0"/>
          <w:cols w:space="708"/>
          <w:titlePg/>
          <w:docGrid w:linePitch="360"/>
        </w:sectPr>
      </w:pPr>
    </w:p>
    <w:p w14:paraId="1D70DF72" w14:textId="11A15528" w:rsidR="00E2168A" w:rsidRPr="00E95E29" w:rsidRDefault="00E2168A" w:rsidP="00B735D2">
      <w:pPr>
        <w:pStyle w:val="Ttulo1"/>
      </w:pPr>
      <w:bookmarkStart w:id="105" w:name="_Toc217914334"/>
      <w:bookmarkStart w:id="106" w:name="_Toc229588484"/>
      <w:r w:rsidRPr="00E95E29">
        <w:t>Nota   1</w:t>
      </w:r>
      <w:r w:rsidR="005464C5">
        <w:t>2</w:t>
      </w:r>
      <w:r w:rsidRPr="00E95E29">
        <w:t xml:space="preserve"> – Imobilizado de uso</w:t>
      </w:r>
      <w:bookmarkEnd w:id="105"/>
      <w:bookmarkEnd w:id="106"/>
    </w:p>
    <w:p w14:paraId="2912B106" w14:textId="7ED80E99" w:rsidR="00E2168A" w:rsidRPr="00AD21AA" w:rsidRDefault="00E2168A" w:rsidP="00AB4D07">
      <w:pPr>
        <w:pStyle w:val="PargrafodaLista"/>
        <w:numPr>
          <w:ilvl w:val="1"/>
          <w:numId w:val="10"/>
        </w:numPr>
        <w:shd w:val="clear" w:color="auto" w:fill="FFFFFF" w:themeFill="background1"/>
        <w:spacing w:before="240" w:after="120"/>
        <w:ind w:left="567" w:hanging="567"/>
        <w:contextualSpacing w:val="0"/>
        <w:jc w:val="both"/>
        <w:rPr>
          <w:rFonts w:ascii="CAIXA Std Book" w:hAnsi="CAIXA Std Book"/>
          <w:b/>
          <w:color w:val="005CA9"/>
          <w:sz w:val="20"/>
          <w:szCs w:val="20"/>
        </w:rPr>
      </w:pPr>
      <w:r w:rsidRPr="00AD21AA">
        <w:rPr>
          <w:rFonts w:ascii="CAIXA Std Book" w:hAnsi="CAIXA Std Book"/>
          <w:b/>
          <w:color w:val="005CA9"/>
          <w:sz w:val="20"/>
          <w:szCs w:val="20"/>
        </w:rPr>
        <w:t>Composição</w:t>
      </w:r>
    </w:p>
    <w:tbl>
      <w:tblPr>
        <w:tblW w:w="5000" w:type="pct"/>
        <w:tblCellMar>
          <w:left w:w="70" w:type="dxa"/>
          <w:right w:w="70" w:type="dxa"/>
        </w:tblCellMar>
        <w:tblLook w:val="04A0" w:firstRow="1" w:lastRow="0" w:firstColumn="1" w:lastColumn="0" w:noHBand="0" w:noVBand="1"/>
      </w:tblPr>
      <w:tblGrid>
        <w:gridCol w:w="3411"/>
        <w:gridCol w:w="957"/>
        <w:gridCol w:w="1012"/>
        <w:gridCol w:w="1075"/>
        <w:gridCol w:w="1203"/>
        <w:gridCol w:w="913"/>
        <w:gridCol w:w="1061"/>
      </w:tblGrid>
      <w:tr w:rsidR="00E47BA1" w:rsidRPr="00D57E73" w14:paraId="579C9C40" w14:textId="77777777" w:rsidTr="00E47BA1">
        <w:trPr>
          <w:trHeight w:val="290"/>
        </w:trPr>
        <w:tc>
          <w:tcPr>
            <w:tcW w:w="5000" w:type="pct"/>
            <w:gridSpan w:val="7"/>
            <w:tcBorders>
              <w:top w:val="nil"/>
              <w:left w:val="single" w:sz="4" w:space="0" w:color="FFFFFF"/>
              <w:bottom w:val="single" w:sz="4" w:space="0" w:color="FFFFFF"/>
              <w:right w:val="nil"/>
            </w:tcBorders>
            <w:shd w:val="clear" w:color="000000" w:fill="005CA9"/>
            <w:vAlign w:val="center"/>
            <w:hideMark/>
          </w:tcPr>
          <w:p w14:paraId="672A2A10" w14:textId="77777777" w:rsidR="00E47BA1" w:rsidRPr="00D57E73" w:rsidRDefault="00E47BA1" w:rsidP="00E47BA1">
            <w:pPr>
              <w:jc w:val="cente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Individual</w:t>
            </w:r>
          </w:p>
        </w:tc>
      </w:tr>
      <w:tr w:rsidR="00E47BA1" w:rsidRPr="00D57E73" w14:paraId="54C76865" w14:textId="77777777" w:rsidTr="00E47BA1">
        <w:trPr>
          <w:trHeight w:val="290"/>
        </w:trPr>
        <w:tc>
          <w:tcPr>
            <w:tcW w:w="1882" w:type="pct"/>
            <w:vMerge w:val="restart"/>
            <w:tcBorders>
              <w:top w:val="nil"/>
              <w:left w:val="nil"/>
              <w:bottom w:val="nil"/>
              <w:right w:val="nil"/>
            </w:tcBorders>
            <w:shd w:val="clear" w:color="000000" w:fill="005CA9"/>
            <w:vAlign w:val="center"/>
            <w:hideMark/>
          </w:tcPr>
          <w:p w14:paraId="2E23276E" w14:textId="77777777" w:rsidR="00E47BA1" w:rsidRPr="00D57E73" w:rsidRDefault="00E47BA1" w:rsidP="00E47BA1">
            <w:pPr>
              <w:jc w:val="cente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Descrição</w:t>
            </w:r>
          </w:p>
        </w:tc>
        <w:tc>
          <w:tcPr>
            <w:tcW w:w="608" w:type="pct"/>
            <w:vMerge w:val="restart"/>
            <w:tcBorders>
              <w:top w:val="nil"/>
              <w:left w:val="nil"/>
              <w:bottom w:val="nil"/>
              <w:right w:val="nil"/>
            </w:tcBorders>
            <w:shd w:val="clear" w:color="000000" w:fill="005CA9"/>
            <w:vAlign w:val="center"/>
            <w:hideMark/>
          </w:tcPr>
          <w:p w14:paraId="15AC7B2F" w14:textId="039B94F0" w:rsidR="00E47BA1" w:rsidRPr="00D57E73" w:rsidRDefault="00E47BA1" w:rsidP="00E47BA1">
            <w:pPr>
              <w:jc w:val="cente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Vida útil (em anos)</w:t>
            </w:r>
          </w:p>
        </w:tc>
        <w:tc>
          <w:tcPr>
            <w:tcW w:w="2044" w:type="pct"/>
            <w:gridSpan w:val="4"/>
            <w:tcBorders>
              <w:top w:val="single" w:sz="4" w:space="0" w:color="FFFFFF"/>
              <w:left w:val="nil"/>
              <w:bottom w:val="single" w:sz="4" w:space="0" w:color="FFFFFF"/>
              <w:right w:val="nil"/>
            </w:tcBorders>
            <w:shd w:val="clear" w:color="000000" w:fill="005CA9"/>
            <w:noWrap/>
            <w:vAlign w:val="center"/>
            <w:hideMark/>
          </w:tcPr>
          <w:p w14:paraId="14FE73D9" w14:textId="77777777" w:rsidR="00E47BA1" w:rsidRPr="00D57E73" w:rsidRDefault="00E47BA1" w:rsidP="00E47BA1">
            <w:pPr>
              <w:jc w:val="cente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31/03/2026</w:t>
            </w:r>
          </w:p>
        </w:tc>
        <w:tc>
          <w:tcPr>
            <w:tcW w:w="466" w:type="pct"/>
            <w:tcBorders>
              <w:top w:val="nil"/>
              <w:left w:val="nil"/>
              <w:bottom w:val="single" w:sz="4" w:space="0" w:color="FFFFFF"/>
              <w:right w:val="nil"/>
            </w:tcBorders>
            <w:shd w:val="clear" w:color="000000" w:fill="005CA9"/>
            <w:noWrap/>
            <w:vAlign w:val="center"/>
            <w:hideMark/>
          </w:tcPr>
          <w:p w14:paraId="00AF0109" w14:textId="77777777" w:rsidR="00E47BA1" w:rsidRPr="00D57E73" w:rsidRDefault="00E47BA1" w:rsidP="00E47BA1">
            <w:pPr>
              <w:jc w:val="cente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31/12/2025</w:t>
            </w:r>
          </w:p>
        </w:tc>
      </w:tr>
      <w:tr w:rsidR="00E47BA1" w:rsidRPr="00D57E73" w14:paraId="44C7FB4F" w14:textId="77777777" w:rsidTr="00E47BA1">
        <w:trPr>
          <w:trHeight w:val="750"/>
        </w:trPr>
        <w:tc>
          <w:tcPr>
            <w:tcW w:w="1882" w:type="pct"/>
            <w:vMerge/>
            <w:tcBorders>
              <w:top w:val="nil"/>
              <w:left w:val="nil"/>
              <w:bottom w:val="nil"/>
              <w:right w:val="nil"/>
            </w:tcBorders>
            <w:vAlign w:val="center"/>
            <w:hideMark/>
          </w:tcPr>
          <w:p w14:paraId="00FCD864" w14:textId="77777777" w:rsidR="00E47BA1" w:rsidRPr="00D57E73" w:rsidRDefault="00E47BA1" w:rsidP="00E47BA1">
            <w:pPr>
              <w:rPr>
                <w:rFonts w:ascii="CAIXA Std Book" w:eastAsia="Times New Roman" w:hAnsi="CAIXA Std Book" w:cs="Times New Roman"/>
                <w:b/>
                <w:bCs/>
                <w:color w:val="FFFFFF"/>
                <w:sz w:val="16"/>
                <w:szCs w:val="16"/>
              </w:rPr>
            </w:pPr>
          </w:p>
        </w:tc>
        <w:tc>
          <w:tcPr>
            <w:tcW w:w="608" w:type="pct"/>
            <w:vMerge/>
            <w:tcBorders>
              <w:top w:val="nil"/>
              <w:left w:val="nil"/>
              <w:bottom w:val="nil"/>
              <w:right w:val="nil"/>
            </w:tcBorders>
            <w:vAlign w:val="center"/>
            <w:hideMark/>
          </w:tcPr>
          <w:p w14:paraId="7F063044" w14:textId="77777777" w:rsidR="00E47BA1" w:rsidRPr="00D57E73" w:rsidRDefault="00E47BA1" w:rsidP="00E47BA1">
            <w:pPr>
              <w:rPr>
                <w:rFonts w:ascii="CAIXA Std Book" w:eastAsia="Times New Roman" w:hAnsi="CAIXA Std Book" w:cs="Times New Roman"/>
                <w:b/>
                <w:bCs/>
                <w:color w:val="FFFFFF"/>
                <w:sz w:val="16"/>
                <w:szCs w:val="16"/>
              </w:rPr>
            </w:pPr>
          </w:p>
        </w:tc>
        <w:tc>
          <w:tcPr>
            <w:tcW w:w="442" w:type="pct"/>
            <w:tcBorders>
              <w:top w:val="nil"/>
              <w:left w:val="nil"/>
              <w:bottom w:val="nil"/>
              <w:right w:val="nil"/>
            </w:tcBorders>
            <w:shd w:val="clear" w:color="000000" w:fill="005CA9"/>
            <w:noWrap/>
            <w:vAlign w:val="center"/>
            <w:hideMark/>
          </w:tcPr>
          <w:p w14:paraId="2B76ACE6" w14:textId="77777777" w:rsidR="00E47BA1" w:rsidRPr="00D57E73" w:rsidRDefault="00E47BA1" w:rsidP="00E47BA1">
            <w:pPr>
              <w:jc w:val="cente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Custo</w:t>
            </w:r>
          </w:p>
        </w:tc>
        <w:tc>
          <w:tcPr>
            <w:tcW w:w="473" w:type="pct"/>
            <w:tcBorders>
              <w:top w:val="nil"/>
              <w:left w:val="nil"/>
              <w:bottom w:val="nil"/>
              <w:right w:val="nil"/>
            </w:tcBorders>
            <w:shd w:val="clear" w:color="000000" w:fill="005CA9"/>
            <w:noWrap/>
            <w:vAlign w:val="center"/>
            <w:hideMark/>
          </w:tcPr>
          <w:p w14:paraId="02D3ACE1" w14:textId="77777777" w:rsidR="00E47BA1" w:rsidRPr="00D57E73" w:rsidRDefault="00E47BA1" w:rsidP="00E47BA1">
            <w:pPr>
              <w:jc w:val="cente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Depreciação</w:t>
            </w:r>
          </w:p>
        </w:tc>
        <w:tc>
          <w:tcPr>
            <w:tcW w:w="735" w:type="pct"/>
            <w:tcBorders>
              <w:top w:val="nil"/>
              <w:left w:val="nil"/>
              <w:bottom w:val="nil"/>
              <w:right w:val="nil"/>
            </w:tcBorders>
            <w:shd w:val="clear" w:color="000000" w:fill="005CA9"/>
            <w:vAlign w:val="center"/>
            <w:hideMark/>
          </w:tcPr>
          <w:p w14:paraId="0D9BE57E" w14:textId="77777777" w:rsidR="00E47BA1" w:rsidRPr="00D57E73" w:rsidRDefault="00E47BA1" w:rsidP="00E47BA1">
            <w:pPr>
              <w:jc w:val="cente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Redução ao valor recuperável</w:t>
            </w:r>
          </w:p>
        </w:tc>
        <w:tc>
          <w:tcPr>
            <w:tcW w:w="393" w:type="pct"/>
            <w:tcBorders>
              <w:top w:val="nil"/>
              <w:left w:val="nil"/>
              <w:bottom w:val="nil"/>
              <w:right w:val="nil"/>
            </w:tcBorders>
            <w:shd w:val="clear" w:color="000000" w:fill="005CA9"/>
            <w:noWrap/>
            <w:vAlign w:val="center"/>
            <w:hideMark/>
          </w:tcPr>
          <w:p w14:paraId="30BFDDA1" w14:textId="77777777" w:rsidR="00E47BA1" w:rsidRPr="00D57E73" w:rsidRDefault="00E47BA1" w:rsidP="00E47BA1">
            <w:pPr>
              <w:jc w:val="cente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Líquido</w:t>
            </w:r>
          </w:p>
        </w:tc>
        <w:tc>
          <w:tcPr>
            <w:tcW w:w="466" w:type="pct"/>
            <w:tcBorders>
              <w:top w:val="nil"/>
              <w:left w:val="nil"/>
              <w:bottom w:val="nil"/>
              <w:right w:val="nil"/>
            </w:tcBorders>
            <w:shd w:val="clear" w:color="000000" w:fill="005CA9"/>
            <w:noWrap/>
            <w:vAlign w:val="center"/>
            <w:hideMark/>
          </w:tcPr>
          <w:p w14:paraId="4BA64593" w14:textId="77777777" w:rsidR="00E47BA1" w:rsidRPr="00D57E73" w:rsidRDefault="00E47BA1" w:rsidP="00E47BA1">
            <w:pPr>
              <w:jc w:val="cente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Líquido</w:t>
            </w:r>
          </w:p>
        </w:tc>
      </w:tr>
      <w:tr w:rsidR="00E47BA1" w:rsidRPr="00D57E73" w14:paraId="21AACAB3" w14:textId="77777777" w:rsidTr="00E47BA1">
        <w:trPr>
          <w:trHeight w:val="300"/>
        </w:trPr>
        <w:tc>
          <w:tcPr>
            <w:tcW w:w="1882" w:type="pct"/>
            <w:tcBorders>
              <w:top w:val="nil"/>
              <w:left w:val="nil"/>
              <w:bottom w:val="nil"/>
              <w:right w:val="nil"/>
            </w:tcBorders>
            <w:shd w:val="clear" w:color="000000" w:fill="D0E0E3"/>
            <w:noWrap/>
            <w:vAlign w:val="center"/>
            <w:hideMark/>
          </w:tcPr>
          <w:p w14:paraId="4700D68C" w14:textId="77777777" w:rsidR="00E47BA1" w:rsidRPr="00D57E73" w:rsidRDefault="00E47BA1" w:rsidP="00E47BA1">
            <w:pP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 xml:space="preserve">Imóveis de uso </w:t>
            </w:r>
          </w:p>
        </w:tc>
        <w:tc>
          <w:tcPr>
            <w:tcW w:w="608" w:type="pct"/>
            <w:tcBorders>
              <w:top w:val="nil"/>
              <w:left w:val="nil"/>
              <w:bottom w:val="nil"/>
              <w:right w:val="nil"/>
            </w:tcBorders>
            <w:shd w:val="clear" w:color="000000" w:fill="D0E0E3"/>
            <w:noWrap/>
            <w:vAlign w:val="center"/>
            <w:hideMark/>
          </w:tcPr>
          <w:p w14:paraId="06339254" w14:textId="77777777" w:rsidR="00E47BA1" w:rsidRPr="00D57E73" w:rsidRDefault="00E47BA1" w:rsidP="00E47BA1">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 xml:space="preserve"> - </w:t>
            </w:r>
          </w:p>
        </w:tc>
        <w:tc>
          <w:tcPr>
            <w:tcW w:w="442" w:type="pct"/>
            <w:tcBorders>
              <w:top w:val="nil"/>
              <w:left w:val="nil"/>
              <w:bottom w:val="nil"/>
              <w:right w:val="nil"/>
            </w:tcBorders>
            <w:shd w:val="clear" w:color="000000" w:fill="D0E0E3"/>
            <w:noWrap/>
            <w:vAlign w:val="center"/>
            <w:hideMark/>
          </w:tcPr>
          <w:p w14:paraId="03814F5A"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1.972.473</w:t>
            </w:r>
          </w:p>
        </w:tc>
        <w:tc>
          <w:tcPr>
            <w:tcW w:w="473" w:type="pct"/>
            <w:tcBorders>
              <w:top w:val="nil"/>
              <w:left w:val="nil"/>
              <w:bottom w:val="nil"/>
              <w:right w:val="nil"/>
            </w:tcBorders>
            <w:shd w:val="clear" w:color="000000" w:fill="D0E0E3"/>
            <w:noWrap/>
            <w:vAlign w:val="center"/>
            <w:hideMark/>
          </w:tcPr>
          <w:p w14:paraId="12CDD0F7"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(956.930)</w:t>
            </w:r>
          </w:p>
        </w:tc>
        <w:tc>
          <w:tcPr>
            <w:tcW w:w="735" w:type="pct"/>
            <w:tcBorders>
              <w:top w:val="nil"/>
              <w:left w:val="nil"/>
              <w:bottom w:val="nil"/>
              <w:right w:val="nil"/>
            </w:tcBorders>
            <w:shd w:val="clear" w:color="000000" w:fill="D0E0E3"/>
            <w:noWrap/>
            <w:vAlign w:val="center"/>
            <w:hideMark/>
          </w:tcPr>
          <w:p w14:paraId="7CD66014"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(33.062)</w:t>
            </w:r>
          </w:p>
        </w:tc>
        <w:tc>
          <w:tcPr>
            <w:tcW w:w="393" w:type="pct"/>
            <w:tcBorders>
              <w:top w:val="nil"/>
              <w:left w:val="nil"/>
              <w:bottom w:val="nil"/>
              <w:right w:val="nil"/>
            </w:tcBorders>
            <w:shd w:val="clear" w:color="000000" w:fill="D0E0E3"/>
            <w:noWrap/>
            <w:vAlign w:val="center"/>
            <w:hideMark/>
          </w:tcPr>
          <w:p w14:paraId="4730E2FD"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982.481</w:t>
            </w:r>
          </w:p>
        </w:tc>
        <w:tc>
          <w:tcPr>
            <w:tcW w:w="466" w:type="pct"/>
            <w:tcBorders>
              <w:top w:val="nil"/>
              <w:left w:val="nil"/>
              <w:bottom w:val="nil"/>
              <w:right w:val="nil"/>
            </w:tcBorders>
            <w:shd w:val="clear" w:color="000000" w:fill="D0E0E3"/>
            <w:noWrap/>
            <w:vAlign w:val="center"/>
            <w:hideMark/>
          </w:tcPr>
          <w:p w14:paraId="3980EA56"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968.381</w:t>
            </w:r>
          </w:p>
        </w:tc>
      </w:tr>
      <w:tr w:rsidR="00E47BA1" w:rsidRPr="00D57E73" w14:paraId="6532CB4B" w14:textId="77777777" w:rsidTr="00E47BA1">
        <w:trPr>
          <w:trHeight w:val="300"/>
        </w:trPr>
        <w:tc>
          <w:tcPr>
            <w:tcW w:w="1882" w:type="pct"/>
            <w:tcBorders>
              <w:top w:val="nil"/>
              <w:left w:val="nil"/>
              <w:bottom w:val="nil"/>
              <w:right w:val="nil"/>
            </w:tcBorders>
            <w:shd w:val="clear" w:color="000000" w:fill="FFFFFF"/>
            <w:noWrap/>
            <w:vAlign w:val="center"/>
            <w:hideMark/>
          </w:tcPr>
          <w:p w14:paraId="302EE642" w14:textId="77777777" w:rsidR="00E47BA1" w:rsidRPr="00D57E73" w:rsidRDefault="00E47BA1" w:rsidP="00E47BA1">
            <w:pP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 xml:space="preserve">Edificações </w:t>
            </w:r>
          </w:p>
        </w:tc>
        <w:tc>
          <w:tcPr>
            <w:tcW w:w="608" w:type="pct"/>
            <w:tcBorders>
              <w:top w:val="nil"/>
              <w:left w:val="nil"/>
              <w:bottom w:val="nil"/>
              <w:right w:val="nil"/>
            </w:tcBorders>
            <w:shd w:val="clear" w:color="000000" w:fill="FFFFFF"/>
            <w:noWrap/>
            <w:vAlign w:val="center"/>
            <w:hideMark/>
          </w:tcPr>
          <w:p w14:paraId="1244326B" w14:textId="77777777" w:rsidR="00E47BA1" w:rsidRPr="00D57E73" w:rsidRDefault="00E47BA1" w:rsidP="00E47BA1">
            <w:pPr>
              <w:jc w:val="cente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25</w:t>
            </w:r>
          </w:p>
        </w:tc>
        <w:tc>
          <w:tcPr>
            <w:tcW w:w="442" w:type="pct"/>
            <w:tcBorders>
              <w:top w:val="nil"/>
              <w:left w:val="nil"/>
              <w:bottom w:val="nil"/>
              <w:right w:val="nil"/>
            </w:tcBorders>
            <w:shd w:val="clear" w:color="000000" w:fill="FFFFFF"/>
            <w:noWrap/>
            <w:vAlign w:val="center"/>
            <w:hideMark/>
          </w:tcPr>
          <w:p w14:paraId="5D4EEE70"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1.766.747</w:t>
            </w:r>
          </w:p>
        </w:tc>
        <w:tc>
          <w:tcPr>
            <w:tcW w:w="473" w:type="pct"/>
            <w:tcBorders>
              <w:top w:val="nil"/>
              <w:left w:val="nil"/>
              <w:bottom w:val="nil"/>
              <w:right w:val="nil"/>
            </w:tcBorders>
            <w:shd w:val="clear" w:color="000000" w:fill="FFFFFF"/>
            <w:noWrap/>
            <w:vAlign w:val="center"/>
            <w:hideMark/>
          </w:tcPr>
          <w:p w14:paraId="381E280A"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(956.930)</w:t>
            </w:r>
          </w:p>
        </w:tc>
        <w:tc>
          <w:tcPr>
            <w:tcW w:w="735" w:type="pct"/>
            <w:tcBorders>
              <w:top w:val="nil"/>
              <w:left w:val="nil"/>
              <w:bottom w:val="nil"/>
              <w:right w:val="nil"/>
            </w:tcBorders>
            <w:shd w:val="clear" w:color="000000" w:fill="FFFFFF"/>
            <w:noWrap/>
            <w:vAlign w:val="center"/>
            <w:hideMark/>
          </w:tcPr>
          <w:p w14:paraId="77F2C9F1"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(31.301)</w:t>
            </w:r>
          </w:p>
        </w:tc>
        <w:tc>
          <w:tcPr>
            <w:tcW w:w="393" w:type="pct"/>
            <w:tcBorders>
              <w:top w:val="nil"/>
              <w:left w:val="nil"/>
              <w:bottom w:val="nil"/>
              <w:right w:val="nil"/>
            </w:tcBorders>
            <w:shd w:val="clear" w:color="000000" w:fill="FFFFFF"/>
            <w:noWrap/>
            <w:vAlign w:val="center"/>
            <w:hideMark/>
          </w:tcPr>
          <w:p w14:paraId="383A193D"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778.516</w:t>
            </w:r>
          </w:p>
        </w:tc>
        <w:tc>
          <w:tcPr>
            <w:tcW w:w="466" w:type="pct"/>
            <w:tcBorders>
              <w:top w:val="nil"/>
              <w:left w:val="nil"/>
              <w:bottom w:val="nil"/>
              <w:right w:val="nil"/>
            </w:tcBorders>
            <w:shd w:val="clear" w:color="000000" w:fill="FFFFFF"/>
            <w:noWrap/>
            <w:vAlign w:val="center"/>
            <w:hideMark/>
          </w:tcPr>
          <w:p w14:paraId="27E70836"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763.167</w:t>
            </w:r>
          </w:p>
        </w:tc>
      </w:tr>
      <w:tr w:rsidR="00E47BA1" w:rsidRPr="00D57E73" w14:paraId="493B4E75" w14:textId="77777777" w:rsidTr="00E47BA1">
        <w:trPr>
          <w:trHeight w:val="300"/>
        </w:trPr>
        <w:tc>
          <w:tcPr>
            <w:tcW w:w="1882" w:type="pct"/>
            <w:tcBorders>
              <w:top w:val="nil"/>
              <w:left w:val="nil"/>
              <w:bottom w:val="nil"/>
              <w:right w:val="nil"/>
            </w:tcBorders>
            <w:shd w:val="clear" w:color="000000" w:fill="FFFFFF"/>
            <w:noWrap/>
            <w:vAlign w:val="center"/>
            <w:hideMark/>
          </w:tcPr>
          <w:p w14:paraId="68ADE79E" w14:textId="77777777" w:rsidR="00E47BA1" w:rsidRPr="00D57E73" w:rsidRDefault="00E47BA1" w:rsidP="00E47BA1">
            <w:pP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 xml:space="preserve">Terrenos </w:t>
            </w:r>
          </w:p>
        </w:tc>
        <w:tc>
          <w:tcPr>
            <w:tcW w:w="608" w:type="pct"/>
            <w:tcBorders>
              <w:top w:val="nil"/>
              <w:left w:val="nil"/>
              <w:bottom w:val="nil"/>
              <w:right w:val="nil"/>
            </w:tcBorders>
            <w:shd w:val="clear" w:color="000000" w:fill="FFFFFF"/>
            <w:noWrap/>
            <w:vAlign w:val="center"/>
            <w:hideMark/>
          </w:tcPr>
          <w:p w14:paraId="729B7D66" w14:textId="77777777" w:rsidR="00E47BA1" w:rsidRPr="00D57E73" w:rsidRDefault="00E47BA1" w:rsidP="00E47BA1">
            <w:pPr>
              <w:jc w:val="cente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w:t>
            </w:r>
          </w:p>
        </w:tc>
        <w:tc>
          <w:tcPr>
            <w:tcW w:w="442" w:type="pct"/>
            <w:tcBorders>
              <w:top w:val="nil"/>
              <w:left w:val="nil"/>
              <w:bottom w:val="nil"/>
              <w:right w:val="nil"/>
            </w:tcBorders>
            <w:shd w:val="clear" w:color="000000" w:fill="FFFFFF"/>
            <w:noWrap/>
            <w:vAlign w:val="center"/>
            <w:hideMark/>
          </w:tcPr>
          <w:p w14:paraId="5226AC90"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205.726</w:t>
            </w:r>
          </w:p>
        </w:tc>
        <w:tc>
          <w:tcPr>
            <w:tcW w:w="473" w:type="pct"/>
            <w:tcBorders>
              <w:top w:val="nil"/>
              <w:left w:val="nil"/>
              <w:bottom w:val="nil"/>
              <w:right w:val="nil"/>
            </w:tcBorders>
            <w:shd w:val="clear" w:color="000000" w:fill="FFFFFF"/>
            <w:noWrap/>
            <w:vAlign w:val="center"/>
            <w:hideMark/>
          </w:tcPr>
          <w:p w14:paraId="30B6E98E" w14:textId="77777777" w:rsidR="00E47BA1" w:rsidRPr="00D57E73" w:rsidRDefault="00E47BA1" w:rsidP="00E47BA1">
            <w:pPr>
              <w:jc w:val="cente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w:t>
            </w:r>
          </w:p>
        </w:tc>
        <w:tc>
          <w:tcPr>
            <w:tcW w:w="735" w:type="pct"/>
            <w:tcBorders>
              <w:top w:val="nil"/>
              <w:left w:val="nil"/>
              <w:bottom w:val="nil"/>
              <w:right w:val="nil"/>
            </w:tcBorders>
            <w:shd w:val="clear" w:color="000000" w:fill="FFFFFF"/>
            <w:noWrap/>
            <w:vAlign w:val="center"/>
            <w:hideMark/>
          </w:tcPr>
          <w:p w14:paraId="742AACDF"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(1.761)</w:t>
            </w:r>
          </w:p>
        </w:tc>
        <w:tc>
          <w:tcPr>
            <w:tcW w:w="393" w:type="pct"/>
            <w:tcBorders>
              <w:top w:val="nil"/>
              <w:left w:val="nil"/>
              <w:bottom w:val="nil"/>
              <w:right w:val="nil"/>
            </w:tcBorders>
            <w:shd w:val="clear" w:color="000000" w:fill="FFFFFF"/>
            <w:noWrap/>
            <w:vAlign w:val="center"/>
            <w:hideMark/>
          </w:tcPr>
          <w:p w14:paraId="2436E15F"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203.965</w:t>
            </w:r>
          </w:p>
        </w:tc>
        <w:tc>
          <w:tcPr>
            <w:tcW w:w="466" w:type="pct"/>
            <w:tcBorders>
              <w:top w:val="nil"/>
              <w:left w:val="nil"/>
              <w:bottom w:val="nil"/>
              <w:right w:val="nil"/>
            </w:tcBorders>
            <w:shd w:val="clear" w:color="000000" w:fill="FFFFFF"/>
            <w:noWrap/>
            <w:vAlign w:val="center"/>
            <w:hideMark/>
          </w:tcPr>
          <w:p w14:paraId="6870C4D0"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205.214</w:t>
            </w:r>
          </w:p>
        </w:tc>
      </w:tr>
      <w:tr w:rsidR="00E47BA1" w:rsidRPr="00D57E73" w14:paraId="136249AD" w14:textId="77777777" w:rsidTr="00E47BA1">
        <w:trPr>
          <w:trHeight w:val="300"/>
        </w:trPr>
        <w:tc>
          <w:tcPr>
            <w:tcW w:w="1882" w:type="pct"/>
            <w:tcBorders>
              <w:top w:val="nil"/>
              <w:left w:val="nil"/>
              <w:bottom w:val="nil"/>
              <w:right w:val="nil"/>
            </w:tcBorders>
            <w:shd w:val="clear" w:color="000000" w:fill="D0E0E3"/>
            <w:noWrap/>
            <w:vAlign w:val="center"/>
            <w:hideMark/>
          </w:tcPr>
          <w:p w14:paraId="033DB1C1" w14:textId="77777777" w:rsidR="00E47BA1" w:rsidRPr="00D57E73" w:rsidRDefault="00E47BA1" w:rsidP="00E47BA1">
            <w:pP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 xml:space="preserve">Ativos de direito de uso </w:t>
            </w:r>
          </w:p>
        </w:tc>
        <w:tc>
          <w:tcPr>
            <w:tcW w:w="608" w:type="pct"/>
            <w:tcBorders>
              <w:top w:val="nil"/>
              <w:left w:val="nil"/>
              <w:bottom w:val="nil"/>
              <w:right w:val="nil"/>
            </w:tcBorders>
            <w:shd w:val="clear" w:color="000000" w:fill="D0E0E3"/>
            <w:noWrap/>
            <w:vAlign w:val="center"/>
            <w:hideMark/>
          </w:tcPr>
          <w:p w14:paraId="70D8E505" w14:textId="77777777" w:rsidR="00E47BA1" w:rsidRPr="00D57E73" w:rsidRDefault="00E47BA1" w:rsidP="00E47BA1">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 xml:space="preserve"> - </w:t>
            </w:r>
          </w:p>
        </w:tc>
        <w:tc>
          <w:tcPr>
            <w:tcW w:w="442" w:type="pct"/>
            <w:tcBorders>
              <w:top w:val="nil"/>
              <w:left w:val="nil"/>
              <w:bottom w:val="nil"/>
              <w:right w:val="nil"/>
            </w:tcBorders>
            <w:shd w:val="clear" w:color="000000" w:fill="D0E0E3"/>
            <w:noWrap/>
            <w:vAlign w:val="center"/>
            <w:hideMark/>
          </w:tcPr>
          <w:p w14:paraId="4BD6DB97"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3.167.979</w:t>
            </w:r>
          </w:p>
        </w:tc>
        <w:tc>
          <w:tcPr>
            <w:tcW w:w="473" w:type="pct"/>
            <w:tcBorders>
              <w:top w:val="nil"/>
              <w:left w:val="nil"/>
              <w:bottom w:val="nil"/>
              <w:right w:val="nil"/>
            </w:tcBorders>
            <w:shd w:val="clear" w:color="000000" w:fill="D0E0E3"/>
            <w:noWrap/>
            <w:vAlign w:val="center"/>
            <w:hideMark/>
          </w:tcPr>
          <w:p w14:paraId="0CB31A7B"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(249.641)</w:t>
            </w:r>
          </w:p>
        </w:tc>
        <w:tc>
          <w:tcPr>
            <w:tcW w:w="735" w:type="pct"/>
            <w:tcBorders>
              <w:top w:val="nil"/>
              <w:left w:val="nil"/>
              <w:bottom w:val="nil"/>
              <w:right w:val="nil"/>
            </w:tcBorders>
            <w:shd w:val="clear" w:color="000000" w:fill="D0E0E3"/>
            <w:noWrap/>
            <w:vAlign w:val="center"/>
            <w:hideMark/>
          </w:tcPr>
          <w:p w14:paraId="4E0BA65E" w14:textId="77777777" w:rsidR="00E47BA1" w:rsidRPr="00D57E73" w:rsidRDefault="00E47BA1" w:rsidP="00E47BA1">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w:t>
            </w:r>
          </w:p>
        </w:tc>
        <w:tc>
          <w:tcPr>
            <w:tcW w:w="393" w:type="pct"/>
            <w:tcBorders>
              <w:top w:val="nil"/>
              <w:left w:val="nil"/>
              <w:bottom w:val="nil"/>
              <w:right w:val="nil"/>
            </w:tcBorders>
            <w:shd w:val="clear" w:color="000000" w:fill="D0E0E3"/>
            <w:noWrap/>
            <w:vAlign w:val="center"/>
            <w:hideMark/>
          </w:tcPr>
          <w:p w14:paraId="2FFA3B24"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2.918.338</w:t>
            </w:r>
          </w:p>
        </w:tc>
        <w:tc>
          <w:tcPr>
            <w:tcW w:w="466" w:type="pct"/>
            <w:tcBorders>
              <w:top w:val="nil"/>
              <w:left w:val="nil"/>
              <w:bottom w:val="nil"/>
              <w:right w:val="nil"/>
            </w:tcBorders>
            <w:shd w:val="clear" w:color="000000" w:fill="D0E0E3"/>
            <w:noWrap/>
            <w:vAlign w:val="center"/>
            <w:hideMark/>
          </w:tcPr>
          <w:p w14:paraId="2DBBA97F"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2.522.862</w:t>
            </w:r>
          </w:p>
        </w:tc>
      </w:tr>
      <w:tr w:rsidR="00E47BA1" w:rsidRPr="00D57E73" w14:paraId="6AB6A85F" w14:textId="77777777" w:rsidTr="00E47BA1">
        <w:trPr>
          <w:trHeight w:val="300"/>
        </w:trPr>
        <w:tc>
          <w:tcPr>
            <w:tcW w:w="1882" w:type="pct"/>
            <w:tcBorders>
              <w:top w:val="nil"/>
              <w:left w:val="nil"/>
              <w:bottom w:val="nil"/>
              <w:right w:val="nil"/>
            </w:tcBorders>
            <w:shd w:val="clear" w:color="000000" w:fill="FFFFFF"/>
            <w:noWrap/>
            <w:vAlign w:val="center"/>
            <w:hideMark/>
          </w:tcPr>
          <w:p w14:paraId="3CB131D6" w14:textId="77777777" w:rsidR="00E47BA1" w:rsidRPr="00D57E73" w:rsidRDefault="00E47BA1" w:rsidP="00E47BA1">
            <w:pP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Imóveis</w:t>
            </w:r>
          </w:p>
        </w:tc>
        <w:tc>
          <w:tcPr>
            <w:tcW w:w="608" w:type="pct"/>
            <w:tcBorders>
              <w:top w:val="nil"/>
              <w:left w:val="nil"/>
              <w:bottom w:val="nil"/>
              <w:right w:val="nil"/>
            </w:tcBorders>
            <w:shd w:val="clear" w:color="000000" w:fill="FFFFFF"/>
            <w:noWrap/>
            <w:vAlign w:val="center"/>
            <w:hideMark/>
          </w:tcPr>
          <w:p w14:paraId="74D1BD39" w14:textId="77777777" w:rsidR="00E47BA1" w:rsidRPr="00D57E73" w:rsidRDefault="00E47BA1" w:rsidP="00E47BA1">
            <w:pPr>
              <w:jc w:val="cente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w:t>
            </w:r>
          </w:p>
        </w:tc>
        <w:tc>
          <w:tcPr>
            <w:tcW w:w="442" w:type="pct"/>
            <w:tcBorders>
              <w:top w:val="nil"/>
              <w:left w:val="nil"/>
              <w:bottom w:val="nil"/>
              <w:right w:val="nil"/>
            </w:tcBorders>
            <w:shd w:val="clear" w:color="000000" w:fill="FFFFFF"/>
            <w:noWrap/>
            <w:vAlign w:val="center"/>
            <w:hideMark/>
          </w:tcPr>
          <w:p w14:paraId="2D5535C9"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2.888.413</w:t>
            </w:r>
          </w:p>
        </w:tc>
        <w:tc>
          <w:tcPr>
            <w:tcW w:w="473" w:type="pct"/>
            <w:tcBorders>
              <w:top w:val="nil"/>
              <w:left w:val="nil"/>
              <w:bottom w:val="nil"/>
              <w:right w:val="nil"/>
            </w:tcBorders>
            <w:shd w:val="clear" w:color="000000" w:fill="FFFFFF"/>
            <w:noWrap/>
            <w:vAlign w:val="center"/>
            <w:hideMark/>
          </w:tcPr>
          <w:p w14:paraId="38FD2015"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(186.469)</w:t>
            </w:r>
          </w:p>
        </w:tc>
        <w:tc>
          <w:tcPr>
            <w:tcW w:w="735" w:type="pct"/>
            <w:tcBorders>
              <w:top w:val="nil"/>
              <w:left w:val="nil"/>
              <w:bottom w:val="nil"/>
              <w:right w:val="nil"/>
            </w:tcBorders>
            <w:shd w:val="clear" w:color="000000" w:fill="FFFFFF"/>
            <w:noWrap/>
            <w:vAlign w:val="center"/>
            <w:hideMark/>
          </w:tcPr>
          <w:p w14:paraId="61C4AB14" w14:textId="77777777" w:rsidR="00E47BA1" w:rsidRPr="00D57E73" w:rsidRDefault="00E47BA1" w:rsidP="00E47BA1">
            <w:pPr>
              <w:jc w:val="cente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w:t>
            </w:r>
          </w:p>
        </w:tc>
        <w:tc>
          <w:tcPr>
            <w:tcW w:w="393" w:type="pct"/>
            <w:tcBorders>
              <w:top w:val="nil"/>
              <w:left w:val="nil"/>
              <w:bottom w:val="nil"/>
              <w:right w:val="nil"/>
            </w:tcBorders>
            <w:shd w:val="clear" w:color="000000" w:fill="FFFFFF"/>
            <w:noWrap/>
            <w:vAlign w:val="center"/>
            <w:hideMark/>
          </w:tcPr>
          <w:p w14:paraId="50E41C38"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2.701.944</w:t>
            </w:r>
          </w:p>
        </w:tc>
        <w:tc>
          <w:tcPr>
            <w:tcW w:w="466" w:type="pct"/>
            <w:tcBorders>
              <w:top w:val="nil"/>
              <w:left w:val="nil"/>
              <w:bottom w:val="nil"/>
              <w:right w:val="nil"/>
            </w:tcBorders>
            <w:shd w:val="clear" w:color="000000" w:fill="FFFFFF"/>
            <w:noWrap/>
            <w:vAlign w:val="center"/>
            <w:hideMark/>
          </w:tcPr>
          <w:p w14:paraId="5A1B7725"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2.293.974</w:t>
            </w:r>
          </w:p>
        </w:tc>
      </w:tr>
      <w:tr w:rsidR="00E47BA1" w:rsidRPr="00D57E73" w14:paraId="1AF7F830" w14:textId="77777777" w:rsidTr="00E47BA1">
        <w:trPr>
          <w:trHeight w:val="300"/>
        </w:trPr>
        <w:tc>
          <w:tcPr>
            <w:tcW w:w="1882" w:type="pct"/>
            <w:tcBorders>
              <w:top w:val="nil"/>
              <w:left w:val="nil"/>
              <w:bottom w:val="nil"/>
              <w:right w:val="nil"/>
            </w:tcBorders>
            <w:shd w:val="clear" w:color="000000" w:fill="FFFFFF"/>
            <w:vAlign w:val="center"/>
            <w:hideMark/>
          </w:tcPr>
          <w:p w14:paraId="7C662DDC" w14:textId="77777777" w:rsidR="00E47BA1" w:rsidRPr="00D57E73" w:rsidRDefault="00E47BA1" w:rsidP="00E47BA1">
            <w:pPr>
              <w:jc w:val="both"/>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 xml:space="preserve">Veículos, embarcações e outros </w:t>
            </w:r>
          </w:p>
        </w:tc>
        <w:tc>
          <w:tcPr>
            <w:tcW w:w="608" w:type="pct"/>
            <w:tcBorders>
              <w:top w:val="nil"/>
              <w:left w:val="nil"/>
              <w:bottom w:val="nil"/>
              <w:right w:val="nil"/>
            </w:tcBorders>
            <w:shd w:val="clear" w:color="000000" w:fill="FFFFFF"/>
            <w:noWrap/>
            <w:vAlign w:val="center"/>
            <w:hideMark/>
          </w:tcPr>
          <w:p w14:paraId="76FA3998" w14:textId="77777777" w:rsidR="00E47BA1" w:rsidRPr="00D57E73" w:rsidRDefault="00E47BA1" w:rsidP="00E47BA1">
            <w:pPr>
              <w:jc w:val="cente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w:t>
            </w:r>
          </w:p>
        </w:tc>
        <w:tc>
          <w:tcPr>
            <w:tcW w:w="442" w:type="pct"/>
            <w:tcBorders>
              <w:top w:val="nil"/>
              <w:left w:val="nil"/>
              <w:bottom w:val="nil"/>
              <w:right w:val="nil"/>
            </w:tcBorders>
            <w:shd w:val="clear" w:color="000000" w:fill="FFFFFF"/>
            <w:noWrap/>
            <w:vAlign w:val="center"/>
            <w:hideMark/>
          </w:tcPr>
          <w:p w14:paraId="788072FA"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279.566</w:t>
            </w:r>
          </w:p>
        </w:tc>
        <w:tc>
          <w:tcPr>
            <w:tcW w:w="473" w:type="pct"/>
            <w:tcBorders>
              <w:top w:val="nil"/>
              <w:left w:val="nil"/>
              <w:bottom w:val="nil"/>
              <w:right w:val="nil"/>
            </w:tcBorders>
            <w:noWrap/>
            <w:vAlign w:val="center"/>
            <w:hideMark/>
          </w:tcPr>
          <w:p w14:paraId="72C7DD46"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(63.172)</w:t>
            </w:r>
          </w:p>
        </w:tc>
        <w:tc>
          <w:tcPr>
            <w:tcW w:w="735" w:type="pct"/>
            <w:tcBorders>
              <w:top w:val="nil"/>
              <w:left w:val="nil"/>
              <w:bottom w:val="nil"/>
              <w:right w:val="nil"/>
            </w:tcBorders>
            <w:shd w:val="clear" w:color="000000" w:fill="FFFFFF"/>
            <w:noWrap/>
            <w:vAlign w:val="center"/>
            <w:hideMark/>
          </w:tcPr>
          <w:p w14:paraId="7880BB64" w14:textId="77777777" w:rsidR="00E47BA1" w:rsidRPr="00D57E73" w:rsidRDefault="00E47BA1" w:rsidP="00E47BA1">
            <w:pPr>
              <w:jc w:val="cente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w:t>
            </w:r>
          </w:p>
        </w:tc>
        <w:tc>
          <w:tcPr>
            <w:tcW w:w="393" w:type="pct"/>
            <w:tcBorders>
              <w:top w:val="nil"/>
              <w:left w:val="nil"/>
              <w:bottom w:val="nil"/>
              <w:right w:val="nil"/>
            </w:tcBorders>
            <w:shd w:val="clear" w:color="000000" w:fill="FFFFFF"/>
            <w:noWrap/>
            <w:vAlign w:val="center"/>
            <w:hideMark/>
          </w:tcPr>
          <w:p w14:paraId="7DA1D9FE"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216.394</w:t>
            </w:r>
          </w:p>
        </w:tc>
        <w:tc>
          <w:tcPr>
            <w:tcW w:w="466" w:type="pct"/>
            <w:tcBorders>
              <w:top w:val="nil"/>
              <w:left w:val="nil"/>
              <w:bottom w:val="nil"/>
              <w:right w:val="nil"/>
            </w:tcBorders>
            <w:shd w:val="clear" w:color="000000" w:fill="FFFFFF"/>
            <w:noWrap/>
            <w:vAlign w:val="center"/>
            <w:hideMark/>
          </w:tcPr>
          <w:p w14:paraId="4534F06A"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228.888</w:t>
            </w:r>
          </w:p>
        </w:tc>
      </w:tr>
      <w:tr w:rsidR="00E47BA1" w:rsidRPr="00D57E73" w14:paraId="0EA8549B" w14:textId="77777777" w:rsidTr="00E47BA1">
        <w:trPr>
          <w:trHeight w:val="300"/>
        </w:trPr>
        <w:tc>
          <w:tcPr>
            <w:tcW w:w="1882" w:type="pct"/>
            <w:tcBorders>
              <w:top w:val="nil"/>
              <w:left w:val="nil"/>
              <w:bottom w:val="single" w:sz="4" w:space="0" w:color="FFFFFF"/>
              <w:right w:val="nil"/>
            </w:tcBorders>
            <w:shd w:val="clear" w:color="000000" w:fill="D0E0E3"/>
            <w:noWrap/>
            <w:vAlign w:val="center"/>
            <w:hideMark/>
          </w:tcPr>
          <w:p w14:paraId="35F90F92" w14:textId="77777777" w:rsidR="00E47BA1" w:rsidRPr="00D57E73" w:rsidRDefault="00E47BA1" w:rsidP="00E47BA1">
            <w:pP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Benfeitorias em imóveis de terceiros</w:t>
            </w:r>
          </w:p>
        </w:tc>
        <w:tc>
          <w:tcPr>
            <w:tcW w:w="608" w:type="pct"/>
            <w:tcBorders>
              <w:top w:val="nil"/>
              <w:left w:val="nil"/>
              <w:bottom w:val="single" w:sz="4" w:space="0" w:color="FFFFFF"/>
              <w:right w:val="nil"/>
            </w:tcBorders>
            <w:shd w:val="clear" w:color="000000" w:fill="D0E0E3"/>
            <w:noWrap/>
            <w:vAlign w:val="center"/>
            <w:hideMark/>
          </w:tcPr>
          <w:p w14:paraId="2ED72E7B" w14:textId="77777777" w:rsidR="00E47BA1" w:rsidRPr="00D57E73" w:rsidRDefault="00E47BA1" w:rsidP="00E47BA1">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5</w:t>
            </w:r>
          </w:p>
        </w:tc>
        <w:tc>
          <w:tcPr>
            <w:tcW w:w="442" w:type="pct"/>
            <w:tcBorders>
              <w:top w:val="nil"/>
              <w:left w:val="nil"/>
              <w:bottom w:val="single" w:sz="4" w:space="0" w:color="FFFFFF"/>
              <w:right w:val="nil"/>
            </w:tcBorders>
            <w:shd w:val="clear" w:color="000000" w:fill="D0E0E3"/>
            <w:noWrap/>
            <w:vAlign w:val="center"/>
            <w:hideMark/>
          </w:tcPr>
          <w:p w14:paraId="101EE161"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2.823.385</w:t>
            </w:r>
          </w:p>
        </w:tc>
        <w:tc>
          <w:tcPr>
            <w:tcW w:w="473" w:type="pct"/>
            <w:tcBorders>
              <w:top w:val="nil"/>
              <w:left w:val="nil"/>
              <w:bottom w:val="single" w:sz="4" w:space="0" w:color="FFFFFF"/>
              <w:right w:val="nil"/>
            </w:tcBorders>
            <w:shd w:val="clear" w:color="000000" w:fill="D0E0E3"/>
            <w:noWrap/>
            <w:vAlign w:val="center"/>
            <w:hideMark/>
          </w:tcPr>
          <w:p w14:paraId="0BB8FEAA"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(2.066.366)</w:t>
            </w:r>
          </w:p>
        </w:tc>
        <w:tc>
          <w:tcPr>
            <w:tcW w:w="735" w:type="pct"/>
            <w:tcBorders>
              <w:top w:val="nil"/>
              <w:left w:val="nil"/>
              <w:bottom w:val="single" w:sz="4" w:space="0" w:color="FFFFFF"/>
              <w:right w:val="nil"/>
            </w:tcBorders>
            <w:shd w:val="clear" w:color="000000" w:fill="D0E0E3"/>
            <w:noWrap/>
            <w:vAlign w:val="center"/>
            <w:hideMark/>
          </w:tcPr>
          <w:p w14:paraId="530E6A9E"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(143)</w:t>
            </w:r>
          </w:p>
        </w:tc>
        <w:tc>
          <w:tcPr>
            <w:tcW w:w="393" w:type="pct"/>
            <w:tcBorders>
              <w:top w:val="nil"/>
              <w:left w:val="nil"/>
              <w:bottom w:val="single" w:sz="4" w:space="0" w:color="FFFFFF"/>
              <w:right w:val="nil"/>
            </w:tcBorders>
            <w:shd w:val="clear" w:color="000000" w:fill="D0E0E3"/>
            <w:noWrap/>
            <w:vAlign w:val="center"/>
            <w:hideMark/>
          </w:tcPr>
          <w:p w14:paraId="6B1D0557"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756.876</w:t>
            </w:r>
          </w:p>
        </w:tc>
        <w:tc>
          <w:tcPr>
            <w:tcW w:w="466" w:type="pct"/>
            <w:tcBorders>
              <w:top w:val="nil"/>
              <w:left w:val="nil"/>
              <w:bottom w:val="nil"/>
              <w:right w:val="nil"/>
            </w:tcBorders>
            <w:shd w:val="clear" w:color="000000" w:fill="D0E0E3"/>
            <w:noWrap/>
            <w:vAlign w:val="center"/>
            <w:hideMark/>
          </w:tcPr>
          <w:p w14:paraId="5362C18E"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747.693</w:t>
            </w:r>
          </w:p>
        </w:tc>
      </w:tr>
      <w:tr w:rsidR="00E47BA1" w:rsidRPr="00D57E73" w14:paraId="30210356" w14:textId="77777777" w:rsidTr="00E47BA1">
        <w:trPr>
          <w:trHeight w:val="300"/>
        </w:trPr>
        <w:tc>
          <w:tcPr>
            <w:tcW w:w="1882" w:type="pct"/>
            <w:tcBorders>
              <w:top w:val="nil"/>
              <w:left w:val="nil"/>
              <w:bottom w:val="single" w:sz="4" w:space="0" w:color="FFFFFF"/>
              <w:right w:val="nil"/>
            </w:tcBorders>
            <w:shd w:val="clear" w:color="000000" w:fill="D0E0E3"/>
            <w:noWrap/>
            <w:vAlign w:val="center"/>
            <w:hideMark/>
          </w:tcPr>
          <w:p w14:paraId="6AC286FD" w14:textId="77777777" w:rsidR="00E47BA1" w:rsidRPr="00D57E73" w:rsidRDefault="00E47BA1" w:rsidP="00E47BA1">
            <w:pP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Imobilizações em curso</w:t>
            </w:r>
          </w:p>
        </w:tc>
        <w:tc>
          <w:tcPr>
            <w:tcW w:w="608" w:type="pct"/>
            <w:tcBorders>
              <w:top w:val="nil"/>
              <w:left w:val="nil"/>
              <w:bottom w:val="single" w:sz="4" w:space="0" w:color="FFFFFF"/>
              <w:right w:val="nil"/>
            </w:tcBorders>
            <w:shd w:val="clear" w:color="000000" w:fill="D0E0E3"/>
            <w:noWrap/>
            <w:vAlign w:val="center"/>
            <w:hideMark/>
          </w:tcPr>
          <w:p w14:paraId="43C17918" w14:textId="77777777" w:rsidR="00E47BA1" w:rsidRPr="00D57E73" w:rsidRDefault="00E47BA1" w:rsidP="00E47BA1">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 xml:space="preserve"> - </w:t>
            </w:r>
          </w:p>
        </w:tc>
        <w:tc>
          <w:tcPr>
            <w:tcW w:w="442" w:type="pct"/>
            <w:tcBorders>
              <w:top w:val="nil"/>
              <w:left w:val="nil"/>
              <w:bottom w:val="single" w:sz="4" w:space="0" w:color="FFFFFF"/>
              <w:right w:val="nil"/>
            </w:tcBorders>
            <w:shd w:val="clear" w:color="000000" w:fill="D0E0E3"/>
            <w:noWrap/>
            <w:vAlign w:val="center"/>
            <w:hideMark/>
          </w:tcPr>
          <w:p w14:paraId="704F57BF"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385.802</w:t>
            </w:r>
          </w:p>
        </w:tc>
        <w:tc>
          <w:tcPr>
            <w:tcW w:w="473" w:type="pct"/>
            <w:tcBorders>
              <w:top w:val="nil"/>
              <w:left w:val="nil"/>
              <w:bottom w:val="single" w:sz="4" w:space="0" w:color="FFFFFF"/>
              <w:right w:val="nil"/>
            </w:tcBorders>
            <w:shd w:val="clear" w:color="000000" w:fill="D0E0E3"/>
            <w:noWrap/>
            <w:vAlign w:val="center"/>
            <w:hideMark/>
          </w:tcPr>
          <w:p w14:paraId="2EE625E9" w14:textId="77777777" w:rsidR="00E47BA1" w:rsidRPr="00D57E73" w:rsidRDefault="00E47BA1" w:rsidP="00E47BA1">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w:t>
            </w:r>
          </w:p>
        </w:tc>
        <w:tc>
          <w:tcPr>
            <w:tcW w:w="735" w:type="pct"/>
            <w:tcBorders>
              <w:top w:val="nil"/>
              <w:left w:val="nil"/>
              <w:bottom w:val="single" w:sz="4" w:space="0" w:color="FFFFFF"/>
              <w:right w:val="nil"/>
            </w:tcBorders>
            <w:shd w:val="clear" w:color="000000" w:fill="D0E0E3"/>
            <w:noWrap/>
            <w:vAlign w:val="center"/>
            <w:hideMark/>
          </w:tcPr>
          <w:p w14:paraId="4E49284C" w14:textId="77777777" w:rsidR="00E47BA1" w:rsidRPr="00D57E73" w:rsidRDefault="00E47BA1" w:rsidP="00E47BA1">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w:t>
            </w:r>
          </w:p>
        </w:tc>
        <w:tc>
          <w:tcPr>
            <w:tcW w:w="393" w:type="pct"/>
            <w:tcBorders>
              <w:top w:val="nil"/>
              <w:left w:val="nil"/>
              <w:bottom w:val="single" w:sz="4" w:space="0" w:color="FFFFFF"/>
              <w:right w:val="nil"/>
            </w:tcBorders>
            <w:shd w:val="clear" w:color="000000" w:fill="D0E0E3"/>
            <w:noWrap/>
            <w:vAlign w:val="center"/>
            <w:hideMark/>
          </w:tcPr>
          <w:p w14:paraId="679BBE7A"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385.802</w:t>
            </w:r>
          </w:p>
        </w:tc>
        <w:tc>
          <w:tcPr>
            <w:tcW w:w="466" w:type="pct"/>
            <w:tcBorders>
              <w:top w:val="single" w:sz="4" w:space="0" w:color="FFFFFF"/>
              <w:left w:val="nil"/>
              <w:bottom w:val="single" w:sz="4" w:space="0" w:color="FFFFFF"/>
              <w:right w:val="nil"/>
            </w:tcBorders>
            <w:shd w:val="clear" w:color="000000" w:fill="D0E0E3"/>
            <w:noWrap/>
            <w:vAlign w:val="center"/>
            <w:hideMark/>
          </w:tcPr>
          <w:p w14:paraId="5CE74A7A"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381.300</w:t>
            </w:r>
          </w:p>
        </w:tc>
      </w:tr>
      <w:tr w:rsidR="00E47BA1" w:rsidRPr="00D57E73" w14:paraId="7C60A03E" w14:textId="77777777" w:rsidTr="00E47BA1">
        <w:trPr>
          <w:trHeight w:val="300"/>
        </w:trPr>
        <w:tc>
          <w:tcPr>
            <w:tcW w:w="1882" w:type="pct"/>
            <w:tcBorders>
              <w:top w:val="nil"/>
              <w:left w:val="nil"/>
              <w:bottom w:val="nil"/>
              <w:right w:val="nil"/>
            </w:tcBorders>
            <w:shd w:val="clear" w:color="000000" w:fill="D0E0E3"/>
            <w:noWrap/>
            <w:vAlign w:val="center"/>
            <w:hideMark/>
          </w:tcPr>
          <w:p w14:paraId="7D89CBFC" w14:textId="77777777" w:rsidR="00E47BA1" w:rsidRPr="00D57E73" w:rsidRDefault="00E47BA1" w:rsidP="00E47BA1">
            <w:pP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Móveis e equipamentos de uso</w:t>
            </w:r>
          </w:p>
        </w:tc>
        <w:tc>
          <w:tcPr>
            <w:tcW w:w="608" w:type="pct"/>
            <w:tcBorders>
              <w:top w:val="nil"/>
              <w:left w:val="nil"/>
              <w:bottom w:val="nil"/>
              <w:right w:val="nil"/>
            </w:tcBorders>
            <w:shd w:val="clear" w:color="000000" w:fill="D0E0E3"/>
            <w:noWrap/>
            <w:vAlign w:val="center"/>
            <w:hideMark/>
          </w:tcPr>
          <w:p w14:paraId="2A638945" w14:textId="77777777" w:rsidR="00E47BA1" w:rsidRPr="00D57E73" w:rsidRDefault="00E47BA1" w:rsidP="00E47BA1">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 xml:space="preserve"> - </w:t>
            </w:r>
          </w:p>
        </w:tc>
        <w:tc>
          <w:tcPr>
            <w:tcW w:w="442" w:type="pct"/>
            <w:tcBorders>
              <w:top w:val="nil"/>
              <w:left w:val="nil"/>
              <w:bottom w:val="nil"/>
              <w:right w:val="nil"/>
            </w:tcBorders>
            <w:shd w:val="clear" w:color="000000" w:fill="D0E0E3"/>
            <w:noWrap/>
            <w:vAlign w:val="center"/>
            <w:hideMark/>
          </w:tcPr>
          <w:p w14:paraId="4795E652"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6.649.351</w:t>
            </w:r>
          </w:p>
        </w:tc>
        <w:tc>
          <w:tcPr>
            <w:tcW w:w="473" w:type="pct"/>
            <w:tcBorders>
              <w:top w:val="nil"/>
              <w:left w:val="nil"/>
              <w:bottom w:val="nil"/>
              <w:right w:val="nil"/>
            </w:tcBorders>
            <w:shd w:val="clear" w:color="000000" w:fill="D0E0E3"/>
            <w:noWrap/>
            <w:vAlign w:val="center"/>
            <w:hideMark/>
          </w:tcPr>
          <w:p w14:paraId="5CB1B1DA"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(4.574.961)</w:t>
            </w:r>
          </w:p>
        </w:tc>
        <w:tc>
          <w:tcPr>
            <w:tcW w:w="735" w:type="pct"/>
            <w:tcBorders>
              <w:top w:val="nil"/>
              <w:left w:val="nil"/>
              <w:bottom w:val="nil"/>
              <w:right w:val="nil"/>
            </w:tcBorders>
            <w:shd w:val="clear" w:color="000000" w:fill="D0E0E3"/>
            <w:noWrap/>
            <w:vAlign w:val="center"/>
            <w:hideMark/>
          </w:tcPr>
          <w:p w14:paraId="2800DEC6"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(62)</w:t>
            </w:r>
          </w:p>
        </w:tc>
        <w:tc>
          <w:tcPr>
            <w:tcW w:w="393" w:type="pct"/>
            <w:tcBorders>
              <w:top w:val="nil"/>
              <w:left w:val="nil"/>
              <w:bottom w:val="nil"/>
              <w:right w:val="nil"/>
            </w:tcBorders>
            <w:shd w:val="clear" w:color="000000" w:fill="D0E0E3"/>
            <w:noWrap/>
            <w:vAlign w:val="center"/>
            <w:hideMark/>
          </w:tcPr>
          <w:p w14:paraId="446F1EF5"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2.074.328</w:t>
            </w:r>
          </w:p>
        </w:tc>
        <w:tc>
          <w:tcPr>
            <w:tcW w:w="466" w:type="pct"/>
            <w:tcBorders>
              <w:top w:val="nil"/>
              <w:left w:val="nil"/>
              <w:bottom w:val="nil"/>
              <w:right w:val="nil"/>
            </w:tcBorders>
            <w:shd w:val="clear" w:color="000000" w:fill="D0E0E3"/>
            <w:noWrap/>
            <w:vAlign w:val="center"/>
            <w:hideMark/>
          </w:tcPr>
          <w:p w14:paraId="76036C5A"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2.067.809</w:t>
            </w:r>
          </w:p>
        </w:tc>
      </w:tr>
      <w:tr w:rsidR="00E47BA1" w:rsidRPr="00D57E73" w14:paraId="26A7E397" w14:textId="77777777" w:rsidTr="00E47BA1">
        <w:trPr>
          <w:trHeight w:val="300"/>
        </w:trPr>
        <w:tc>
          <w:tcPr>
            <w:tcW w:w="1882" w:type="pct"/>
            <w:tcBorders>
              <w:top w:val="nil"/>
              <w:left w:val="nil"/>
              <w:bottom w:val="nil"/>
              <w:right w:val="nil"/>
            </w:tcBorders>
            <w:shd w:val="clear" w:color="000000" w:fill="FFFFFF"/>
            <w:noWrap/>
            <w:vAlign w:val="center"/>
            <w:hideMark/>
          </w:tcPr>
          <w:p w14:paraId="21F06BED" w14:textId="77777777" w:rsidR="00E47BA1" w:rsidRPr="00D57E73" w:rsidRDefault="00E47BA1" w:rsidP="00E47BA1">
            <w:pP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Sistema de comunicação e de segurança</w:t>
            </w:r>
          </w:p>
        </w:tc>
        <w:tc>
          <w:tcPr>
            <w:tcW w:w="608" w:type="pct"/>
            <w:tcBorders>
              <w:top w:val="nil"/>
              <w:left w:val="nil"/>
              <w:bottom w:val="nil"/>
              <w:right w:val="nil"/>
            </w:tcBorders>
            <w:shd w:val="clear" w:color="000000" w:fill="FFFFFF"/>
            <w:noWrap/>
            <w:vAlign w:val="center"/>
            <w:hideMark/>
          </w:tcPr>
          <w:p w14:paraId="1F693140" w14:textId="6DE7E30C" w:rsidR="00E47BA1" w:rsidRPr="00D57E73" w:rsidRDefault="003D5D37" w:rsidP="00E47BA1">
            <w:pPr>
              <w:jc w:val="cente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3</w:t>
            </w:r>
            <w:r w:rsidR="00E47BA1" w:rsidRPr="00D57E73">
              <w:rPr>
                <w:rFonts w:ascii="CAIXA Std Book" w:eastAsia="Times New Roman" w:hAnsi="CAIXA Std Book" w:cs="Times New Roman"/>
                <w:color w:val="005CA9"/>
                <w:sz w:val="16"/>
                <w:szCs w:val="16"/>
              </w:rPr>
              <w:t xml:space="preserve"> a 10</w:t>
            </w:r>
          </w:p>
        </w:tc>
        <w:tc>
          <w:tcPr>
            <w:tcW w:w="442" w:type="pct"/>
            <w:tcBorders>
              <w:top w:val="nil"/>
              <w:left w:val="nil"/>
              <w:bottom w:val="nil"/>
              <w:right w:val="nil"/>
            </w:tcBorders>
            <w:shd w:val="clear" w:color="000000" w:fill="FFFFFF"/>
            <w:noWrap/>
            <w:vAlign w:val="center"/>
            <w:hideMark/>
          </w:tcPr>
          <w:p w14:paraId="21932909"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1.153.163</w:t>
            </w:r>
          </w:p>
        </w:tc>
        <w:tc>
          <w:tcPr>
            <w:tcW w:w="473" w:type="pct"/>
            <w:tcBorders>
              <w:top w:val="nil"/>
              <w:left w:val="nil"/>
              <w:bottom w:val="nil"/>
              <w:right w:val="nil"/>
            </w:tcBorders>
            <w:shd w:val="clear" w:color="000000" w:fill="FFFFFF"/>
            <w:noWrap/>
            <w:vAlign w:val="center"/>
            <w:hideMark/>
          </w:tcPr>
          <w:p w14:paraId="259A0E5F"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(790.891)</w:t>
            </w:r>
          </w:p>
        </w:tc>
        <w:tc>
          <w:tcPr>
            <w:tcW w:w="735" w:type="pct"/>
            <w:tcBorders>
              <w:top w:val="nil"/>
              <w:left w:val="nil"/>
              <w:bottom w:val="nil"/>
              <w:right w:val="nil"/>
            </w:tcBorders>
            <w:shd w:val="clear" w:color="000000" w:fill="FFFFFF"/>
            <w:noWrap/>
            <w:vAlign w:val="center"/>
            <w:hideMark/>
          </w:tcPr>
          <w:p w14:paraId="22260CA9" w14:textId="77777777" w:rsidR="00E47BA1" w:rsidRPr="00D57E73" w:rsidRDefault="00E47BA1" w:rsidP="00E47BA1">
            <w:pPr>
              <w:jc w:val="cente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w:t>
            </w:r>
          </w:p>
        </w:tc>
        <w:tc>
          <w:tcPr>
            <w:tcW w:w="393" w:type="pct"/>
            <w:tcBorders>
              <w:top w:val="nil"/>
              <w:left w:val="nil"/>
              <w:bottom w:val="nil"/>
              <w:right w:val="nil"/>
            </w:tcBorders>
            <w:shd w:val="clear" w:color="000000" w:fill="FFFFFF"/>
            <w:noWrap/>
            <w:vAlign w:val="center"/>
            <w:hideMark/>
          </w:tcPr>
          <w:p w14:paraId="28C06113"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362.272</w:t>
            </w:r>
          </w:p>
        </w:tc>
        <w:tc>
          <w:tcPr>
            <w:tcW w:w="466" w:type="pct"/>
            <w:tcBorders>
              <w:top w:val="nil"/>
              <w:left w:val="nil"/>
              <w:bottom w:val="nil"/>
              <w:right w:val="nil"/>
            </w:tcBorders>
            <w:shd w:val="clear" w:color="000000" w:fill="FFFFFF"/>
            <w:noWrap/>
            <w:vAlign w:val="center"/>
            <w:hideMark/>
          </w:tcPr>
          <w:p w14:paraId="7758D9C9"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351.045</w:t>
            </w:r>
          </w:p>
        </w:tc>
      </w:tr>
      <w:tr w:rsidR="00E47BA1" w:rsidRPr="00D57E73" w14:paraId="707F525F" w14:textId="77777777" w:rsidTr="00E47BA1">
        <w:trPr>
          <w:trHeight w:val="300"/>
        </w:trPr>
        <w:tc>
          <w:tcPr>
            <w:tcW w:w="1882" w:type="pct"/>
            <w:tcBorders>
              <w:top w:val="nil"/>
              <w:left w:val="nil"/>
              <w:bottom w:val="nil"/>
              <w:right w:val="nil"/>
            </w:tcBorders>
            <w:shd w:val="clear" w:color="000000" w:fill="FFFFFF"/>
            <w:noWrap/>
            <w:vAlign w:val="center"/>
            <w:hideMark/>
          </w:tcPr>
          <w:p w14:paraId="11D2DD2B" w14:textId="77777777" w:rsidR="00E47BA1" w:rsidRPr="00D57E73" w:rsidRDefault="00E47BA1" w:rsidP="00E47BA1">
            <w:pP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 xml:space="preserve">Sistema de processamento de dados </w:t>
            </w:r>
          </w:p>
        </w:tc>
        <w:tc>
          <w:tcPr>
            <w:tcW w:w="608" w:type="pct"/>
            <w:tcBorders>
              <w:top w:val="nil"/>
              <w:left w:val="nil"/>
              <w:bottom w:val="nil"/>
              <w:right w:val="nil"/>
            </w:tcBorders>
            <w:shd w:val="clear" w:color="000000" w:fill="FFFFFF"/>
            <w:noWrap/>
            <w:vAlign w:val="center"/>
            <w:hideMark/>
          </w:tcPr>
          <w:p w14:paraId="617B6EC5" w14:textId="66569593" w:rsidR="00E47BA1" w:rsidRPr="00D57E73" w:rsidRDefault="0038458B" w:rsidP="00E47BA1">
            <w:pPr>
              <w:jc w:val="cente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3</w:t>
            </w:r>
            <w:r w:rsidR="00C52AD6" w:rsidRPr="00D57E73">
              <w:rPr>
                <w:rFonts w:ascii="CAIXA Std Book" w:eastAsia="Times New Roman" w:hAnsi="CAIXA Std Book" w:cs="Times New Roman"/>
                <w:color w:val="005CA9"/>
                <w:sz w:val="16"/>
                <w:szCs w:val="16"/>
              </w:rPr>
              <w:t xml:space="preserve"> a </w:t>
            </w:r>
            <w:r w:rsidR="00E47BA1" w:rsidRPr="00D57E73">
              <w:rPr>
                <w:rFonts w:ascii="CAIXA Std Book" w:eastAsia="Times New Roman" w:hAnsi="CAIXA Std Book" w:cs="Times New Roman"/>
                <w:color w:val="005CA9"/>
                <w:sz w:val="16"/>
                <w:szCs w:val="16"/>
              </w:rPr>
              <w:t>5</w:t>
            </w:r>
          </w:p>
        </w:tc>
        <w:tc>
          <w:tcPr>
            <w:tcW w:w="442" w:type="pct"/>
            <w:tcBorders>
              <w:top w:val="nil"/>
              <w:left w:val="nil"/>
              <w:bottom w:val="nil"/>
              <w:right w:val="nil"/>
            </w:tcBorders>
            <w:shd w:val="clear" w:color="000000" w:fill="FFFFFF"/>
            <w:noWrap/>
            <w:vAlign w:val="center"/>
            <w:hideMark/>
          </w:tcPr>
          <w:p w14:paraId="57556597"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5.496.188</w:t>
            </w:r>
          </w:p>
        </w:tc>
        <w:tc>
          <w:tcPr>
            <w:tcW w:w="473" w:type="pct"/>
            <w:tcBorders>
              <w:top w:val="nil"/>
              <w:left w:val="nil"/>
              <w:bottom w:val="nil"/>
              <w:right w:val="nil"/>
            </w:tcBorders>
            <w:noWrap/>
            <w:vAlign w:val="center"/>
            <w:hideMark/>
          </w:tcPr>
          <w:p w14:paraId="02272C86"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(3.784.070)</w:t>
            </w:r>
          </w:p>
        </w:tc>
        <w:tc>
          <w:tcPr>
            <w:tcW w:w="735" w:type="pct"/>
            <w:tcBorders>
              <w:top w:val="nil"/>
              <w:left w:val="nil"/>
              <w:bottom w:val="nil"/>
              <w:right w:val="nil"/>
            </w:tcBorders>
            <w:shd w:val="clear" w:color="000000" w:fill="FFFFFF"/>
            <w:noWrap/>
            <w:vAlign w:val="center"/>
            <w:hideMark/>
          </w:tcPr>
          <w:p w14:paraId="33E3BBEA"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(62)</w:t>
            </w:r>
          </w:p>
        </w:tc>
        <w:tc>
          <w:tcPr>
            <w:tcW w:w="393" w:type="pct"/>
            <w:tcBorders>
              <w:top w:val="nil"/>
              <w:left w:val="nil"/>
              <w:bottom w:val="nil"/>
              <w:right w:val="nil"/>
            </w:tcBorders>
            <w:shd w:val="clear" w:color="000000" w:fill="FFFFFF"/>
            <w:noWrap/>
            <w:vAlign w:val="center"/>
            <w:hideMark/>
          </w:tcPr>
          <w:p w14:paraId="42ACD26E"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1.712.056</w:t>
            </w:r>
          </w:p>
        </w:tc>
        <w:tc>
          <w:tcPr>
            <w:tcW w:w="466" w:type="pct"/>
            <w:tcBorders>
              <w:top w:val="nil"/>
              <w:left w:val="nil"/>
              <w:bottom w:val="nil"/>
              <w:right w:val="nil"/>
            </w:tcBorders>
            <w:shd w:val="clear" w:color="000000" w:fill="FFFFFF"/>
            <w:noWrap/>
            <w:vAlign w:val="center"/>
            <w:hideMark/>
          </w:tcPr>
          <w:p w14:paraId="7B11AF4F" w14:textId="77777777" w:rsidR="00E47BA1" w:rsidRPr="00D57E73" w:rsidRDefault="00E47BA1" w:rsidP="00E47BA1">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1.716.764</w:t>
            </w:r>
          </w:p>
        </w:tc>
      </w:tr>
      <w:tr w:rsidR="00E47BA1" w:rsidRPr="00D57E73" w14:paraId="5E0BB721" w14:textId="77777777" w:rsidTr="00E47BA1">
        <w:trPr>
          <w:trHeight w:val="300"/>
        </w:trPr>
        <w:tc>
          <w:tcPr>
            <w:tcW w:w="1882" w:type="pct"/>
            <w:tcBorders>
              <w:top w:val="nil"/>
              <w:left w:val="nil"/>
              <w:bottom w:val="single" w:sz="4" w:space="0" w:color="FFFFFF"/>
              <w:right w:val="nil"/>
            </w:tcBorders>
            <w:shd w:val="clear" w:color="000000" w:fill="D0E0E3"/>
            <w:vAlign w:val="center"/>
            <w:hideMark/>
          </w:tcPr>
          <w:p w14:paraId="5F87FD45" w14:textId="77777777" w:rsidR="00E47BA1" w:rsidRPr="00D57E73" w:rsidRDefault="00E47BA1" w:rsidP="00E47BA1">
            <w:pP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Móveis em estoque e outros equipamentos</w:t>
            </w:r>
          </w:p>
        </w:tc>
        <w:tc>
          <w:tcPr>
            <w:tcW w:w="608" w:type="pct"/>
            <w:tcBorders>
              <w:top w:val="nil"/>
              <w:left w:val="nil"/>
              <w:bottom w:val="single" w:sz="4" w:space="0" w:color="FFFFFF"/>
              <w:right w:val="nil"/>
            </w:tcBorders>
            <w:shd w:val="clear" w:color="000000" w:fill="D0E0E3"/>
            <w:noWrap/>
            <w:vAlign w:val="center"/>
            <w:hideMark/>
          </w:tcPr>
          <w:p w14:paraId="7F0C3C85" w14:textId="77777777" w:rsidR="00E47BA1" w:rsidRPr="00D57E73" w:rsidRDefault="00E47BA1" w:rsidP="00E47BA1">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 xml:space="preserve"> - </w:t>
            </w:r>
          </w:p>
        </w:tc>
        <w:tc>
          <w:tcPr>
            <w:tcW w:w="442" w:type="pct"/>
            <w:tcBorders>
              <w:top w:val="nil"/>
              <w:left w:val="nil"/>
              <w:bottom w:val="single" w:sz="4" w:space="0" w:color="FFFFFF"/>
              <w:right w:val="nil"/>
            </w:tcBorders>
            <w:shd w:val="clear" w:color="000000" w:fill="D0E0E3"/>
            <w:noWrap/>
            <w:vAlign w:val="center"/>
            <w:hideMark/>
          </w:tcPr>
          <w:p w14:paraId="137AAF35"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1.045.647</w:t>
            </w:r>
          </w:p>
        </w:tc>
        <w:tc>
          <w:tcPr>
            <w:tcW w:w="473" w:type="pct"/>
            <w:tcBorders>
              <w:top w:val="nil"/>
              <w:left w:val="nil"/>
              <w:bottom w:val="single" w:sz="4" w:space="0" w:color="FFFFFF"/>
              <w:right w:val="nil"/>
            </w:tcBorders>
            <w:shd w:val="clear" w:color="000000" w:fill="D0E0E3"/>
            <w:noWrap/>
            <w:vAlign w:val="center"/>
            <w:hideMark/>
          </w:tcPr>
          <w:p w14:paraId="64A04584"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(532.107)</w:t>
            </w:r>
          </w:p>
        </w:tc>
        <w:tc>
          <w:tcPr>
            <w:tcW w:w="735" w:type="pct"/>
            <w:tcBorders>
              <w:top w:val="nil"/>
              <w:left w:val="nil"/>
              <w:bottom w:val="single" w:sz="4" w:space="0" w:color="FFFFFF"/>
              <w:right w:val="nil"/>
            </w:tcBorders>
            <w:shd w:val="clear" w:color="000000" w:fill="D0E0E3"/>
            <w:noWrap/>
            <w:vAlign w:val="center"/>
            <w:hideMark/>
          </w:tcPr>
          <w:p w14:paraId="7397BACF"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(8.268)</w:t>
            </w:r>
          </w:p>
        </w:tc>
        <w:tc>
          <w:tcPr>
            <w:tcW w:w="393" w:type="pct"/>
            <w:tcBorders>
              <w:top w:val="nil"/>
              <w:left w:val="nil"/>
              <w:bottom w:val="single" w:sz="4" w:space="0" w:color="FFFFFF"/>
              <w:right w:val="nil"/>
            </w:tcBorders>
            <w:shd w:val="clear" w:color="000000" w:fill="D0E0E3"/>
            <w:noWrap/>
            <w:vAlign w:val="center"/>
            <w:hideMark/>
          </w:tcPr>
          <w:p w14:paraId="1EE67995"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505.272</w:t>
            </w:r>
          </w:p>
        </w:tc>
        <w:tc>
          <w:tcPr>
            <w:tcW w:w="466" w:type="pct"/>
            <w:tcBorders>
              <w:top w:val="nil"/>
              <w:left w:val="nil"/>
              <w:bottom w:val="single" w:sz="4" w:space="0" w:color="FFFFFF"/>
              <w:right w:val="nil"/>
            </w:tcBorders>
            <w:shd w:val="clear" w:color="000000" w:fill="D0E0E3"/>
            <w:noWrap/>
            <w:vAlign w:val="center"/>
            <w:hideMark/>
          </w:tcPr>
          <w:p w14:paraId="0AD30FA4"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465.998</w:t>
            </w:r>
          </w:p>
        </w:tc>
      </w:tr>
      <w:tr w:rsidR="00E47BA1" w:rsidRPr="00D57E73" w14:paraId="15FFDB66" w14:textId="77777777" w:rsidTr="00E47BA1">
        <w:trPr>
          <w:trHeight w:val="300"/>
        </w:trPr>
        <w:tc>
          <w:tcPr>
            <w:tcW w:w="1882" w:type="pct"/>
            <w:tcBorders>
              <w:top w:val="nil"/>
              <w:left w:val="nil"/>
              <w:bottom w:val="nil"/>
              <w:right w:val="nil"/>
            </w:tcBorders>
            <w:shd w:val="clear" w:color="000000" w:fill="D0E0E3"/>
            <w:noWrap/>
            <w:vAlign w:val="center"/>
            <w:hideMark/>
          </w:tcPr>
          <w:p w14:paraId="027D61CE" w14:textId="77777777" w:rsidR="00E47BA1" w:rsidRPr="00D57E73" w:rsidRDefault="00E47BA1" w:rsidP="00E47BA1">
            <w:pP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Obras de arte</w:t>
            </w:r>
          </w:p>
        </w:tc>
        <w:tc>
          <w:tcPr>
            <w:tcW w:w="608" w:type="pct"/>
            <w:tcBorders>
              <w:top w:val="nil"/>
              <w:left w:val="nil"/>
              <w:bottom w:val="nil"/>
              <w:right w:val="nil"/>
            </w:tcBorders>
            <w:shd w:val="clear" w:color="000000" w:fill="D0E0E3"/>
            <w:noWrap/>
            <w:vAlign w:val="center"/>
            <w:hideMark/>
          </w:tcPr>
          <w:p w14:paraId="1F1DD622" w14:textId="77777777" w:rsidR="00E47BA1" w:rsidRPr="00D57E73" w:rsidRDefault="00E47BA1" w:rsidP="00E47BA1">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 xml:space="preserve"> - </w:t>
            </w:r>
          </w:p>
        </w:tc>
        <w:tc>
          <w:tcPr>
            <w:tcW w:w="442" w:type="pct"/>
            <w:tcBorders>
              <w:top w:val="nil"/>
              <w:left w:val="nil"/>
              <w:bottom w:val="nil"/>
              <w:right w:val="nil"/>
            </w:tcBorders>
            <w:shd w:val="clear" w:color="000000" w:fill="D0E0E3"/>
            <w:noWrap/>
            <w:vAlign w:val="center"/>
            <w:hideMark/>
          </w:tcPr>
          <w:p w14:paraId="56AC95F8"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1.357</w:t>
            </w:r>
          </w:p>
        </w:tc>
        <w:tc>
          <w:tcPr>
            <w:tcW w:w="473" w:type="pct"/>
            <w:tcBorders>
              <w:top w:val="nil"/>
              <w:left w:val="nil"/>
              <w:bottom w:val="nil"/>
              <w:right w:val="nil"/>
            </w:tcBorders>
            <w:shd w:val="clear" w:color="000000" w:fill="D0E0E3"/>
            <w:noWrap/>
            <w:vAlign w:val="center"/>
            <w:hideMark/>
          </w:tcPr>
          <w:p w14:paraId="36021DBE" w14:textId="77777777" w:rsidR="00E47BA1" w:rsidRPr="00D57E73" w:rsidRDefault="00E47BA1" w:rsidP="00E47BA1">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w:t>
            </w:r>
          </w:p>
        </w:tc>
        <w:tc>
          <w:tcPr>
            <w:tcW w:w="735" w:type="pct"/>
            <w:tcBorders>
              <w:top w:val="nil"/>
              <w:left w:val="nil"/>
              <w:bottom w:val="nil"/>
              <w:right w:val="nil"/>
            </w:tcBorders>
            <w:shd w:val="clear" w:color="000000" w:fill="D0E0E3"/>
            <w:noWrap/>
            <w:vAlign w:val="center"/>
            <w:hideMark/>
          </w:tcPr>
          <w:p w14:paraId="0A3BC2EA" w14:textId="77777777" w:rsidR="00E47BA1" w:rsidRPr="00D57E73" w:rsidRDefault="00E47BA1" w:rsidP="00E47BA1">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w:t>
            </w:r>
          </w:p>
        </w:tc>
        <w:tc>
          <w:tcPr>
            <w:tcW w:w="393" w:type="pct"/>
            <w:tcBorders>
              <w:top w:val="nil"/>
              <w:left w:val="nil"/>
              <w:bottom w:val="nil"/>
              <w:right w:val="nil"/>
            </w:tcBorders>
            <w:shd w:val="clear" w:color="000000" w:fill="D0E0E3"/>
            <w:noWrap/>
            <w:vAlign w:val="center"/>
            <w:hideMark/>
          </w:tcPr>
          <w:p w14:paraId="31B14A06"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1.357</w:t>
            </w:r>
          </w:p>
        </w:tc>
        <w:tc>
          <w:tcPr>
            <w:tcW w:w="466" w:type="pct"/>
            <w:tcBorders>
              <w:top w:val="nil"/>
              <w:left w:val="nil"/>
              <w:bottom w:val="nil"/>
              <w:right w:val="nil"/>
            </w:tcBorders>
            <w:shd w:val="clear" w:color="000000" w:fill="D0E0E3"/>
            <w:noWrap/>
            <w:vAlign w:val="center"/>
            <w:hideMark/>
          </w:tcPr>
          <w:p w14:paraId="797198CD" w14:textId="77777777" w:rsidR="00E47BA1" w:rsidRPr="00D57E73" w:rsidRDefault="00E47BA1" w:rsidP="00E47BA1">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1.357</w:t>
            </w:r>
          </w:p>
        </w:tc>
      </w:tr>
      <w:tr w:rsidR="00E47BA1" w:rsidRPr="00D57E73" w14:paraId="1A38D791" w14:textId="77777777" w:rsidTr="00E47BA1">
        <w:trPr>
          <w:trHeight w:val="290"/>
        </w:trPr>
        <w:tc>
          <w:tcPr>
            <w:tcW w:w="1882" w:type="pct"/>
            <w:tcBorders>
              <w:top w:val="nil"/>
              <w:left w:val="nil"/>
              <w:bottom w:val="nil"/>
              <w:right w:val="nil"/>
            </w:tcBorders>
            <w:shd w:val="clear" w:color="000000" w:fill="005CA9"/>
            <w:noWrap/>
            <w:vAlign w:val="center"/>
            <w:hideMark/>
          </w:tcPr>
          <w:p w14:paraId="13909353" w14:textId="77777777" w:rsidR="00E47BA1" w:rsidRPr="00D57E73" w:rsidRDefault="00E47BA1" w:rsidP="00E47BA1">
            <w:pP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Total</w:t>
            </w:r>
          </w:p>
        </w:tc>
        <w:tc>
          <w:tcPr>
            <w:tcW w:w="608" w:type="pct"/>
            <w:tcBorders>
              <w:top w:val="nil"/>
              <w:left w:val="nil"/>
              <w:bottom w:val="nil"/>
              <w:right w:val="nil"/>
            </w:tcBorders>
            <w:shd w:val="clear" w:color="000000" w:fill="005CA9"/>
            <w:noWrap/>
            <w:vAlign w:val="center"/>
            <w:hideMark/>
          </w:tcPr>
          <w:p w14:paraId="2C70A4A1" w14:textId="77777777" w:rsidR="00E47BA1" w:rsidRPr="00D57E73" w:rsidRDefault="00E47BA1" w:rsidP="00E47BA1">
            <w:pP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 </w:t>
            </w:r>
          </w:p>
        </w:tc>
        <w:tc>
          <w:tcPr>
            <w:tcW w:w="442" w:type="pct"/>
            <w:tcBorders>
              <w:top w:val="nil"/>
              <w:left w:val="nil"/>
              <w:bottom w:val="nil"/>
              <w:right w:val="nil"/>
            </w:tcBorders>
            <w:shd w:val="clear" w:color="000000" w:fill="005CA9"/>
            <w:noWrap/>
            <w:vAlign w:val="center"/>
            <w:hideMark/>
          </w:tcPr>
          <w:p w14:paraId="78688748" w14:textId="77777777" w:rsidR="00E47BA1" w:rsidRPr="00D57E73" w:rsidRDefault="00E47BA1" w:rsidP="00E47BA1">
            <w:pPr>
              <w:jc w:val="right"/>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16.045.994</w:t>
            </w:r>
          </w:p>
        </w:tc>
        <w:tc>
          <w:tcPr>
            <w:tcW w:w="473" w:type="pct"/>
            <w:tcBorders>
              <w:top w:val="nil"/>
              <w:left w:val="nil"/>
              <w:bottom w:val="nil"/>
              <w:right w:val="nil"/>
            </w:tcBorders>
            <w:shd w:val="clear" w:color="000000" w:fill="005CA9"/>
            <w:noWrap/>
            <w:vAlign w:val="center"/>
            <w:hideMark/>
          </w:tcPr>
          <w:p w14:paraId="5D1ACA58" w14:textId="77777777" w:rsidR="00E47BA1" w:rsidRPr="00D57E73" w:rsidRDefault="00E47BA1" w:rsidP="00E47BA1">
            <w:pPr>
              <w:jc w:val="right"/>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(8.380.005)</w:t>
            </w:r>
          </w:p>
        </w:tc>
        <w:tc>
          <w:tcPr>
            <w:tcW w:w="735" w:type="pct"/>
            <w:tcBorders>
              <w:top w:val="nil"/>
              <w:left w:val="nil"/>
              <w:bottom w:val="nil"/>
              <w:right w:val="nil"/>
            </w:tcBorders>
            <w:shd w:val="clear" w:color="000000" w:fill="005CA9"/>
            <w:noWrap/>
            <w:vAlign w:val="center"/>
            <w:hideMark/>
          </w:tcPr>
          <w:p w14:paraId="67D16F1A" w14:textId="77777777" w:rsidR="00E47BA1" w:rsidRPr="00D57E73" w:rsidRDefault="00E47BA1" w:rsidP="00E47BA1">
            <w:pPr>
              <w:jc w:val="right"/>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(41.535)</w:t>
            </w:r>
          </w:p>
        </w:tc>
        <w:tc>
          <w:tcPr>
            <w:tcW w:w="393" w:type="pct"/>
            <w:tcBorders>
              <w:top w:val="nil"/>
              <w:left w:val="nil"/>
              <w:bottom w:val="nil"/>
              <w:right w:val="nil"/>
            </w:tcBorders>
            <w:shd w:val="clear" w:color="000000" w:fill="005CA9"/>
            <w:noWrap/>
            <w:vAlign w:val="center"/>
            <w:hideMark/>
          </w:tcPr>
          <w:p w14:paraId="68A0302E" w14:textId="77777777" w:rsidR="00E47BA1" w:rsidRPr="00D57E73" w:rsidRDefault="00E47BA1" w:rsidP="00E47BA1">
            <w:pPr>
              <w:jc w:val="right"/>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7.624.454</w:t>
            </w:r>
          </w:p>
        </w:tc>
        <w:tc>
          <w:tcPr>
            <w:tcW w:w="466" w:type="pct"/>
            <w:tcBorders>
              <w:top w:val="nil"/>
              <w:left w:val="nil"/>
              <w:bottom w:val="nil"/>
              <w:right w:val="nil"/>
            </w:tcBorders>
            <w:shd w:val="clear" w:color="000000" w:fill="005CA9"/>
            <w:noWrap/>
            <w:vAlign w:val="center"/>
            <w:hideMark/>
          </w:tcPr>
          <w:p w14:paraId="64653897" w14:textId="77777777" w:rsidR="00E47BA1" w:rsidRPr="00D57E73" w:rsidRDefault="00E47BA1" w:rsidP="00E47BA1">
            <w:pPr>
              <w:jc w:val="right"/>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7.155.400</w:t>
            </w:r>
          </w:p>
        </w:tc>
      </w:tr>
    </w:tbl>
    <w:p w14:paraId="7EB4CEB1" w14:textId="77777777" w:rsidR="00B7239B" w:rsidRDefault="00B7239B" w:rsidP="00AC2A22">
      <w:pPr>
        <w:ind w:left="567"/>
        <w:rPr>
          <w:rFonts w:ascii="CAIXA Std Book" w:hAnsi="CAIXA Std Book"/>
          <w:color w:val="005CA9"/>
        </w:rPr>
      </w:pPr>
    </w:p>
    <w:tbl>
      <w:tblPr>
        <w:tblW w:w="5000" w:type="pct"/>
        <w:tblCellMar>
          <w:left w:w="70" w:type="dxa"/>
          <w:right w:w="70" w:type="dxa"/>
        </w:tblCellMar>
        <w:tblLook w:val="04A0" w:firstRow="1" w:lastRow="0" w:firstColumn="1" w:lastColumn="0" w:noHBand="0" w:noVBand="1"/>
      </w:tblPr>
      <w:tblGrid>
        <w:gridCol w:w="3411"/>
        <w:gridCol w:w="957"/>
        <w:gridCol w:w="1012"/>
        <w:gridCol w:w="1075"/>
        <w:gridCol w:w="1203"/>
        <w:gridCol w:w="913"/>
        <w:gridCol w:w="1061"/>
      </w:tblGrid>
      <w:tr w:rsidR="00F13ECC" w:rsidRPr="00D57E73" w14:paraId="2557C7A8" w14:textId="77777777" w:rsidTr="00F13ECC">
        <w:trPr>
          <w:trHeight w:val="290"/>
        </w:trPr>
        <w:tc>
          <w:tcPr>
            <w:tcW w:w="5000" w:type="pct"/>
            <w:gridSpan w:val="7"/>
            <w:tcBorders>
              <w:top w:val="nil"/>
              <w:left w:val="single" w:sz="4" w:space="0" w:color="FFFFFF"/>
              <w:bottom w:val="single" w:sz="4" w:space="0" w:color="FFFFFF"/>
              <w:right w:val="nil"/>
            </w:tcBorders>
            <w:shd w:val="clear" w:color="000000" w:fill="005CA9"/>
            <w:vAlign w:val="center"/>
            <w:hideMark/>
          </w:tcPr>
          <w:p w14:paraId="6CD0E7C1" w14:textId="77777777" w:rsidR="00F13ECC" w:rsidRPr="00D57E73" w:rsidRDefault="00F13ECC" w:rsidP="00F13ECC">
            <w:pPr>
              <w:jc w:val="cente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Consolidado</w:t>
            </w:r>
          </w:p>
        </w:tc>
      </w:tr>
      <w:tr w:rsidR="00F13ECC" w:rsidRPr="00D57E73" w14:paraId="4DA0D649" w14:textId="77777777" w:rsidTr="00F13ECC">
        <w:trPr>
          <w:trHeight w:val="290"/>
        </w:trPr>
        <w:tc>
          <w:tcPr>
            <w:tcW w:w="1882" w:type="pct"/>
            <w:vMerge w:val="restart"/>
            <w:tcBorders>
              <w:top w:val="nil"/>
              <w:left w:val="nil"/>
              <w:bottom w:val="nil"/>
              <w:right w:val="nil"/>
            </w:tcBorders>
            <w:shd w:val="clear" w:color="000000" w:fill="005CA9"/>
            <w:vAlign w:val="center"/>
            <w:hideMark/>
          </w:tcPr>
          <w:p w14:paraId="33934B47" w14:textId="77777777" w:rsidR="00F13ECC" w:rsidRPr="00D57E73" w:rsidRDefault="00F13ECC" w:rsidP="00F13ECC">
            <w:pPr>
              <w:jc w:val="cente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Descrição</w:t>
            </w:r>
          </w:p>
        </w:tc>
        <w:tc>
          <w:tcPr>
            <w:tcW w:w="608" w:type="pct"/>
            <w:vMerge w:val="restart"/>
            <w:tcBorders>
              <w:top w:val="nil"/>
              <w:left w:val="nil"/>
              <w:bottom w:val="nil"/>
              <w:right w:val="nil"/>
            </w:tcBorders>
            <w:shd w:val="clear" w:color="000000" w:fill="005CA9"/>
            <w:vAlign w:val="center"/>
            <w:hideMark/>
          </w:tcPr>
          <w:p w14:paraId="34BBB511" w14:textId="7501042F" w:rsidR="00F13ECC" w:rsidRPr="00D57E73" w:rsidRDefault="00F13ECC" w:rsidP="00F13ECC">
            <w:pPr>
              <w:jc w:val="cente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Vida útil (em anos)</w:t>
            </w:r>
          </w:p>
        </w:tc>
        <w:tc>
          <w:tcPr>
            <w:tcW w:w="2044" w:type="pct"/>
            <w:gridSpan w:val="4"/>
            <w:tcBorders>
              <w:top w:val="single" w:sz="4" w:space="0" w:color="FFFFFF"/>
              <w:left w:val="nil"/>
              <w:bottom w:val="single" w:sz="4" w:space="0" w:color="FFFFFF"/>
              <w:right w:val="nil"/>
            </w:tcBorders>
            <w:shd w:val="clear" w:color="000000" w:fill="005CA9"/>
            <w:noWrap/>
            <w:vAlign w:val="center"/>
            <w:hideMark/>
          </w:tcPr>
          <w:p w14:paraId="201E1196" w14:textId="77777777" w:rsidR="00F13ECC" w:rsidRPr="00D57E73" w:rsidRDefault="00F13ECC" w:rsidP="00F13ECC">
            <w:pPr>
              <w:jc w:val="cente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31/03/2026</w:t>
            </w:r>
          </w:p>
        </w:tc>
        <w:tc>
          <w:tcPr>
            <w:tcW w:w="466" w:type="pct"/>
            <w:tcBorders>
              <w:top w:val="nil"/>
              <w:left w:val="nil"/>
              <w:bottom w:val="single" w:sz="4" w:space="0" w:color="FFFFFF"/>
              <w:right w:val="nil"/>
            </w:tcBorders>
            <w:shd w:val="clear" w:color="000000" w:fill="005CA9"/>
            <w:noWrap/>
            <w:vAlign w:val="center"/>
            <w:hideMark/>
          </w:tcPr>
          <w:p w14:paraId="3C957B1D" w14:textId="77777777" w:rsidR="00F13ECC" w:rsidRPr="00D57E73" w:rsidRDefault="00F13ECC" w:rsidP="00F13ECC">
            <w:pPr>
              <w:jc w:val="cente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31/12/2025</w:t>
            </w:r>
          </w:p>
        </w:tc>
      </w:tr>
      <w:tr w:rsidR="00F13ECC" w:rsidRPr="00D57E73" w14:paraId="630CA7B8" w14:textId="77777777" w:rsidTr="00F13ECC">
        <w:trPr>
          <w:trHeight w:val="750"/>
        </w:trPr>
        <w:tc>
          <w:tcPr>
            <w:tcW w:w="1882" w:type="pct"/>
            <w:vMerge/>
            <w:tcBorders>
              <w:top w:val="nil"/>
              <w:left w:val="nil"/>
              <w:bottom w:val="nil"/>
              <w:right w:val="nil"/>
            </w:tcBorders>
            <w:vAlign w:val="center"/>
            <w:hideMark/>
          </w:tcPr>
          <w:p w14:paraId="2E4984B0" w14:textId="77777777" w:rsidR="00F13ECC" w:rsidRPr="00D57E73" w:rsidRDefault="00F13ECC" w:rsidP="00F13ECC">
            <w:pPr>
              <w:rPr>
                <w:rFonts w:ascii="CAIXA Std Book" w:eastAsia="Times New Roman" w:hAnsi="CAIXA Std Book" w:cs="Times New Roman"/>
                <w:b/>
                <w:bCs/>
                <w:color w:val="FFFFFF"/>
                <w:sz w:val="16"/>
                <w:szCs w:val="16"/>
              </w:rPr>
            </w:pPr>
          </w:p>
        </w:tc>
        <w:tc>
          <w:tcPr>
            <w:tcW w:w="608" w:type="pct"/>
            <w:vMerge/>
            <w:tcBorders>
              <w:top w:val="nil"/>
              <w:left w:val="nil"/>
              <w:bottom w:val="nil"/>
              <w:right w:val="nil"/>
            </w:tcBorders>
            <w:vAlign w:val="center"/>
            <w:hideMark/>
          </w:tcPr>
          <w:p w14:paraId="5574296E" w14:textId="77777777" w:rsidR="00F13ECC" w:rsidRPr="00D57E73" w:rsidRDefault="00F13ECC" w:rsidP="00F13ECC">
            <w:pPr>
              <w:rPr>
                <w:rFonts w:ascii="CAIXA Std Book" w:eastAsia="Times New Roman" w:hAnsi="CAIXA Std Book" w:cs="Times New Roman"/>
                <w:b/>
                <w:bCs/>
                <w:color w:val="FFFFFF"/>
                <w:sz w:val="16"/>
                <w:szCs w:val="16"/>
              </w:rPr>
            </w:pPr>
          </w:p>
        </w:tc>
        <w:tc>
          <w:tcPr>
            <w:tcW w:w="442" w:type="pct"/>
            <w:tcBorders>
              <w:top w:val="nil"/>
              <w:left w:val="nil"/>
              <w:bottom w:val="nil"/>
              <w:right w:val="nil"/>
            </w:tcBorders>
            <w:shd w:val="clear" w:color="000000" w:fill="005CA9"/>
            <w:noWrap/>
            <w:vAlign w:val="center"/>
            <w:hideMark/>
          </w:tcPr>
          <w:p w14:paraId="64664477" w14:textId="77777777" w:rsidR="00F13ECC" w:rsidRPr="00D57E73" w:rsidRDefault="00F13ECC" w:rsidP="00F13ECC">
            <w:pPr>
              <w:jc w:val="cente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Custo</w:t>
            </w:r>
          </w:p>
        </w:tc>
        <w:tc>
          <w:tcPr>
            <w:tcW w:w="473" w:type="pct"/>
            <w:tcBorders>
              <w:top w:val="nil"/>
              <w:left w:val="nil"/>
              <w:bottom w:val="nil"/>
              <w:right w:val="nil"/>
            </w:tcBorders>
            <w:shd w:val="clear" w:color="000000" w:fill="005CA9"/>
            <w:noWrap/>
            <w:vAlign w:val="center"/>
            <w:hideMark/>
          </w:tcPr>
          <w:p w14:paraId="425D6B76" w14:textId="77777777" w:rsidR="00F13ECC" w:rsidRPr="00D57E73" w:rsidRDefault="00F13ECC" w:rsidP="00F13ECC">
            <w:pPr>
              <w:jc w:val="cente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Depreciação</w:t>
            </w:r>
          </w:p>
        </w:tc>
        <w:tc>
          <w:tcPr>
            <w:tcW w:w="735" w:type="pct"/>
            <w:tcBorders>
              <w:top w:val="nil"/>
              <w:left w:val="nil"/>
              <w:bottom w:val="nil"/>
              <w:right w:val="nil"/>
            </w:tcBorders>
            <w:shd w:val="clear" w:color="000000" w:fill="005CA9"/>
            <w:vAlign w:val="center"/>
            <w:hideMark/>
          </w:tcPr>
          <w:p w14:paraId="14F06CBB" w14:textId="77777777" w:rsidR="00F13ECC" w:rsidRPr="00D57E73" w:rsidRDefault="00F13ECC" w:rsidP="00F13ECC">
            <w:pPr>
              <w:jc w:val="cente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Redução ao valor recuperável</w:t>
            </w:r>
          </w:p>
        </w:tc>
        <w:tc>
          <w:tcPr>
            <w:tcW w:w="393" w:type="pct"/>
            <w:tcBorders>
              <w:top w:val="nil"/>
              <w:left w:val="nil"/>
              <w:bottom w:val="nil"/>
              <w:right w:val="nil"/>
            </w:tcBorders>
            <w:shd w:val="clear" w:color="000000" w:fill="005CA9"/>
            <w:noWrap/>
            <w:vAlign w:val="center"/>
            <w:hideMark/>
          </w:tcPr>
          <w:p w14:paraId="6687F3C2" w14:textId="77777777" w:rsidR="00F13ECC" w:rsidRPr="00D57E73" w:rsidRDefault="00F13ECC" w:rsidP="00F13ECC">
            <w:pPr>
              <w:jc w:val="cente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Líquido</w:t>
            </w:r>
          </w:p>
        </w:tc>
        <w:tc>
          <w:tcPr>
            <w:tcW w:w="466" w:type="pct"/>
            <w:tcBorders>
              <w:top w:val="nil"/>
              <w:left w:val="nil"/>
              <w:bottom w:val="nil"/>
              <w:right w:val="nil"/>
            </w:tcBorders>
            <w:shd w:val="clear" w:color="000000" w:fill="005CA9"/>
            <w:noWrap/>
            <w:vAlign w:val="center"/>
            <w:hideMark/>
          </w:tcPr>
          <w:p w14:paraId="089F51AA" w14:textId="77777777" w:rsidR="00F13ECC" w:rsidRPr="00D57E73" w:rsidRDefault="00F13ECC" w:rsidP="00F13ECC">
            <w:pPr>
              <w:jc w:val="cente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Líquido</w:t>
            </w:r>
          </w:p>
        </w:tc>
      </w:tr>
      <w:tr w:rsidR="00F13ECC" w:rsidRPr="00D57E73" w14:paraId="27AE3AAD" w14:textId="77777777" w:rsidTr="00F13ECC">
        <w:trPr>
          <w:trHeight w:val="300"/>
        </w:trPr>
        <w:tc>
          <w:tcPr>
            <w:tcW w:w="1882" w:type="pct"/>
            <w:tcBorders>
              <w:top w:val="nil"/>
              <w:left w:val="nil"/>
              <w:bottom w:val="nil"/>
              <w:right w:val="nil"/>
            </w:tcBorders>
            <w:shd w:val="clear" w:color="000000" w:fill="D0E0E3"/>
            <w:noWrap/>
            <w:vAlign w:val="center"/>
            <w:hideMark/>
          </w:tcPr>
          <w:p w14:paraId="778B2A30" w14:textId="77777777" w:rsidR="00F13ECC" w:rsidRPr="00D57E73" w:rsidRDefault="00F13ECC" w:rsidP="00F13ECC">
            <w:pP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 xml:space="preserve">Imóveis de uso </w:t>
            </w:r>
          </w:p>
        </w:tc>
        <w:tc>
          <w:tcPr>
            <w:tcW w:w="608" w:type="pct"/>
            <w:tcBorders>
              <w:top w:val="nil"/>
              <w:left w:val="nil"/>
              <w:bottom w:val="nil"/>
              <w:right w:val="nil"/>
            </w:tcBorders>
            <w:shd w:val="clear" w:color="000000" w:fill="D0E0E3"/>
            <w:noWrap/>
            <w:vAlign w:val="center"/>
            <w:hideMark/>
          </w:tcPr>
          <w:p w14:paraId="30DE664E" w14:textId="77777777" w:rsidR="00F13ECC" w:rsidRPr="00D57E73" w:rsidRDefault="00F13ECC" w:rsidP="00F13ECC">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 xml:space="preserve"> - </w:t>
            </w:r>
          </w:p>
        </w:tc>
        <w:tc>
          <w:tcPr>
            <w:tcW w:w="442" w:type="pct"/>
            <w:tcBorders>
              <w:top w:val="nil"/>
              <w:left w:val="nil"/>
              <w:bottom w:val="nil"/>
              <w:right w:val="nil"/>
            </w:tcBorders>
            <w:shd w:val="clear" w:color="000000" w:fill="D0E0E3"/>
            <w:noWrap/>
            <w:vAlign w:val="center"/>
            <w:hideMark/>
          </w:tcPr>
          <w:p w14:paraId="5F078358"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1.972.473</w:t>
            </w:r>
          </w:p>
        </w:tc>
        <w:tc>
          <w:tcPr>
            <w:tcW w:w="473" w:type="pct"/>
            <w:tcBorders>
              <w:top w:val="nil"/>
              <w:left w:val="nil"/>
              <w:bottom w:val="nil"/>
              <w:right w:val="nil"/>
            </w:tcBorders>
            <w:shd w:val="clear" w:color="000000" w:fill="D0E0E3"/>
            <w:noWrap/>
            <w:vAlign w:val="center"/>
            <w:hideMark/>
          </w:tcPr>
          <w:p w14:paraId="3E46ABF9"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(956.930)</w:t>
            </w:r>
          </w:p>
        </w:tc>
        <w:tc>
          <w:tcPr>
            <w:tcW w:w="735" w:type="pct"/>
            <w:tcBorders>
              <w:top w:val="nil"/>
              <w:left w:val="nil"/>
              <w:bottom w:val="nil"/>
              <w:right w:val="nil"/>
            </w:tcBorders>
            <w:shd w:val="clear" w:color="000000" w:fill="D0E0E3"/>
            <w:noWrap/>
            <w:vAlign w:val="center"/>
            <w:hideMark/>
          </w:tcPr>
          <w:p w14:paraId="3840439A"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(33.062)</w:t>
            </w:r>
          </w:p>
        </w:tc>
        <w:tc>
          <w:tcPr>
            <w:tcW w:w="393" w:type="pct"/>
            <w:tcBorders>
              <w:top w:val="nil"/>
              <w:left w:val="nil"/>
              <w:bottom w:val="nil"/>
              <w:right w:val="nil"/>
            </w:tcBorders>
            <w:shd w:val="clear" w:color="000000" w:fill="D0E0E3"/>
            <w:noWrap/>
            <w:vAlign w:val="center"/>
            <w:hideMark/>
          </w:tcPr>
          <w:p w14:paraId="146E441D"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982.481</w:t>
            </w:r>
          </w:p>
        </w:tc>
        <w:tc>
          <w:tcPr>
            <w:tcW w:w="466" w:type="pct"/>
            <w:tcBorders>
              <w:top w:val="nil"/>
              <w:left w:val="nil"/>
              <w:bottom w:val="nil"/>
              <w:right w:val="nil"/>
            </w:tcBorders>
            <w:shd w:val="clear" w:color="000000" w:fill="D0E0E3"/>
            <w:noWrap/>
            <w:vAlign w:val="center"/>
            <w:hideMark/>
          </w:tcPr>
          <w:p w14:paraId="6537C5DA"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968.381</w:t>
            </w:r>
          </w:p>
        </w:tc>
      </w:tr>
      <w:tr w:rsidR="00F13ECC" w:rsidRPr="00D57E73" w14:paraId="0EB2399D" w14:textId="77777777" w:rsidTr="00F13ECC">
        <w:trPr>
          <w:trHeight w:val="300"/>
        </w:trPr>
        <w:tc>
          <w:tcPr>
            <w:tcW w:w="1882" w:type="pct"/>
            <w:tcBorders>
              <w:top w:val="nil"/>
              <w:left w:val="nil"/>
              <w:bottom w:val="nil"/>
              <w:right w:val="nil"/>
            </w:tcBorders>
            <w:shd w:val="clear" w:color="000000" w:fill="FFFFFF"/>
            <w:noWrap/>
            <w:vAlign w:val="center"/>
            <w:hideMark/>
          </w:tcPr>
          <w:p w14:paraId="620DC9B3" w14:textId="77777777" w:rsidR="00F13ECC" w:rsidRPr="00D57E73" w:rsidRDefault="00F13ECC" w:rsidP="00F13ECC">
            <w:pP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 xml:space="preserve">Edificações </w:t>
            </w:r>
          </w:p>
        </w:tc>
        <w:tc>
          <w:tcPr>
            <w:tcW w:w="608" w:type="pct"/>
            <w:tcBorders>
              <w:top w:val="nil"/>
              <w:left w:val="nil"/>
              <w:bottom w:val="nil"/>
              <w:right w:val="nil"/>
            </w:tcBorders>
            <w:shd w:val="clear" w:color="000000" w:fill="FFFFFF"/>
            <w:noWrap/>
            <w:vAlign w:val="center"/>
            <w:hideMark/>
          </w:tcPr>
          <w:p w14:paraId="45FFC379" w14:textId="77777777" w:rsidR="00F13ECC" w:rsidRPr="00D57E73" w:rsidRDefault="00F13ECC" w:rsidP="00F13ECC">
            <w:pPr>
              <w:jc w:val="cente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25</w:t>
            </w:r>
          </w:p>
        </w:tc>
        <w:tc>
          <w:tcPr>
            <w:tcW w:w="442" w:type="pct"/>
            <w:tcBorders>
              <w:top w:val="nil"/>
              <w:left w:val="nil"/>
              <w:bottom w:val="nil"/>
              <w:right w:val="nil"/>
            </w:tcBorders>
            <w:shd w:val="clear" w:color="000000" w:fill="FFFFFF"/>
            <w:noWrap/>
            <w:vAlign w:val="center"/>
            <w:hideMark/>
          </w:tcPr>
          <w:p w14:paraId="7FFAE4ED"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1.766.747</w:t>
            </w:r>
          </w:p>
        </w:tc>
        <w:tc>
          <w:tcPr>
            <w:tcW w:w="473" w:type="pct"/>
            <w:tcBorders>
              <w:top w:val="nil"/>
              <w:left w:val="nil"/>
              <w:bottom w:val="nil"/>
              <w:right w:val="nil"/>
            </w:tcBorders>
            <w:shd w:val="clear" w:color="000000" w:fill="FFFFFF"/>
            <w:noWrap/>
            <w:vAlign w:val="center"/>
            <w:hideMark/>
          </w:tcPr>
          <w:p w14:paraId="572D4E7C"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(956.930)</w:t>
            </w:r>
          </w:p>
        </w:tc>
        <w:tc>
          <w:tcPr>
            <w:tcW w:w="735" w:type="pct"/>
            <w:tcBorders>
              <w:top w:val="nil"/>
              <w:left w:val="nil"/>
              <w:bottom w:val="nil"/>
              <w:right w:val="nil"/>
            </w:tcBorders>
            <w:shd w:val="clear" w:color="000000" w:fill="FFFFFF"/>
            <w:noWrap/>
            <w:vAlign w:val="center"/>
            <w:hideMark/>
          </w:tcPr>
          <w:p w14:paraId="0028C497"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(31.301)</w:t>
            </w:r>
          </w:p>
        </w:tc>
        <w:tc>
          <w:tcPr>
            <w:tcW w:w="393" w:type="pct"/>
            <w:tcBorders>
              <w:top w:val="nil"/>
              <w:left w:val="nil"/>
              <w:bottom w:val="nil"/>
              <w:right w:val="nil"/>
            </w:tcBorders>
            <w:shd w:val="clear" w:color="000000" w:fill="FFFFFF"/>
            <w:noWrap/>
            <w:vAlign w:val="center"/>
            <w:hideMark/>
          </w:tcPr>
          <w:p w14:paraId="370A8AA8"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778.516</w:t>
            </w:r>
          </w:p>
        </w:tc>
        <w:tc>
          <w:tcPr>
            <w:tcW w:w="466" w:type="pct"/>
            <w:tcBorders>
              <w:top w:val="nil"/>
              <w:left w:val="nil"/>
              <w:bottom w:val="nil"/>
              <w:right w:val="nil"/>
            </w:tcBorders>
            <w:shd w:val="clear" w:color="000000" w:fill="FFFFFF"/>
            <w:noWrap/>
            <w:vAlign w:val="center"/>
            <w:hideMark/>
          </w:tcPr>
          <w:p w14:paraId="2A76128B"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763.167</w:t>
            </w:r>
          </w:p>
        </w:tc>
      </w:tr>
      <w:tr w:rsidR="00F13ECC" w:rsidRPr="00D57E73" w14:paraId="305ADC72" w14:textId="77777777" w:rsidTr="00F13ECC">
        <w:trPr>
          <w:trHeight w:val="300"/>
        </w:trPr>
        <w:tc>
          <w:tcPr>
            <w:tcW w:w="1882" w:type="pct"/>
            <w:tcBorders>
              <w:top w:val="nil"/>
              <w:left w:val="nil"/>
              <w:bottom w:val="nil"/>
              <w:right w:val="nil"/>
            </w:tcBorders>
            <w:shd w:val="clear" w:color="000000" w:fill="FFFFFF"/>
            <w:noWrap/>
            <w:vAlign w:val="center"/>
            <w:hideMark/>
          </w:tcPr>
          <w:p w14:paraId="6658EAB7" w14:textId="77777777" w:rsidR="00F13ECC" w:rsidRPr="00D57E73" w:rsidRDefault="00F13ECC" w:rsidP="00F13ECC">
            <w:pP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 xml:space="preserve">Terrenos </w:t>
            </w:r>
          </w:p>
        </w:tc>
        <w:tc>
          <w:tcPr>
            <w:tcW w:w="608" w:type="pct"/>
            <w:tcBorders>
              <w:top w:val="nil"/>
              <w:left w:val="nil"/>
              <w:bottom w:val="nil"/>
              <w:right w:val="nil"/>
            </w:tcBorders>
            <w:shd w:val="clear" w:color="000000" w:fill="FFFFFF"/>
            <w:noWrap/>
            <w:vAlign w:val="center"/>
            <w:hideMark/>
          </w:tcPr>
          <w:p w14:paraId="7C314E89" w14:textId="77777777" w:rsidR="00F13ECC" w:rsidRPr="00D57E73" w:rsidRDefault="00F13ECC" w:rsidP="00F13ECC">
            <w:pPr>
              <w:jc w:val="cente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w:t>
            </w:r>
          </w:p>
        </w:tc>
        <w:tc>
          <w:tcPr>
            <w:tcW w:w="442" w:type="pct"/>
            <w:tcBorders>
              <w:top w:val="nil"/>
              <w:left w:val="nil"/>
              <w:bottom w:val="nil"/>
              <w:right w:val="nil"/>
            </w:tcBorders>
            <w:shd w:val="clear" w:color="000000" w:fill="FFFFFF"/>
            <w:noWrap/>
            <w:vAlign w:val="center"/>
            <w:hideMark/>
          </w:tcPr>
          <w:p w14:paraId="0A9ED8BB"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205.726</w:t>
            </w:r>
          </w:p>
        </w:tc>
        <w:tc>
          <w:tcPr>
            <w:tcW w:w="473" w:type="pct"/>
            <w:tcBorders>
              <w:top w:val="nil"/>
              <w:left w:val="nil"/>
              <w:bottom w:val="nil"/>
              <w:right w:val="nil"/>
            </w:tcBorders>
            <w:shd w:val="clear" w:color="000000" w:fill="FFFFFF"/>
            <w:noWrap/>
            <w:vAlign w:val="center"/>
            <w:hideMark/>
          </w:tcPr>
          <w:p w14:paraId="0AED3443" w14:textId="77777777" w:rsidR="00F13ECC" w:rsidRPr="00D57E73" w:rsidRDefault="00F13ECC" w:rsidP="00F13ECC">
            <w:pPr>
              <w:jc w:val="cente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w:t>
            </w:r>
          </w:p>
        </w:tc>
        <w:tc>
          <w:tcPr>
            <w:tcW w:w="735" w:type="pct"/>
            <w:tcBorders>
              <w:top w:val="nil"/>
              <w:left w:val="nil"/>
              <w:bottom w:val="nil"/>
              <w:right w:val="nil"/>
            </w:tcBorders>
            <w:shd w:val="clear" w:color="000000" w:fill="FFFFFF"/>
            <w:noWrap/>
            <w:vAlign w:val="center"/>
            <w:hideMark/>
          </w:tcPr>
          <w:p w14:paraId="48FA95E7"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(1.761)</w:t>
            </w:r>
          </w:p>
        </w:tc>
        <w:tc>
          <w:tcPr>
            <w:tcW w:w="393" w:type="pct"/>
            <w:tcBorders>
              <w:top w:val="nil"/>
              <w:left w:val="nil"/>
              <w:bottom w:val="nil"/>
              <w:right w:val="nil"/>
            </w:tcBorders>
            <w:shd w:val="clear" w:color="000000" w:fill="FFFFFF"/>
            <w:noWrap/>
            <w:vAlign w:val="center"/>
            <w:hideMark/>
          </w:tcPr>
          <w:p w14:paraId="50559529"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203.965</w:t>
            </w:r>
          </w:p>
        </w:tc>
        <w:tc>
          <w:tcPr>
            <w:tcW w:w="466" w:type="pct"/>
            <w:tcBorders>
              <w:top w:val="nil"/>
              <w:left w:val="nil"/>
              <w:bottom w:val="nil"/>
              <w:right w:val="nil"/>
            </w:tcBorders>
            <w:shd w:val="clear" w:color="000000" w:fill="FFFFFF"/>
            <w:noWrap/>
            <w:vAlign w:val="center"/>
            <w:hideMark/>
          </w:tcPr>
          <w:p w14:paraId="7E48225A"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205.214</w:t>
            </w:r>
          </w:p>
        </w:tc>
      </w:tr>
      <w:tr w:rsidR="00F13ECC" w:rsidRPr="00D57E73" w14:paraId="50A47EED" w14:textId="77777777" w:rsidTr="00F13ECC">
        <w:trPr>
          <w:trHeight w:val="300"/>
        </w:trPr>
        <w:tc>
          <w:tcPr>
            <w:tcW w:w="1882" w:type="pct"/>
            <w:tcBorders>
              <w:top w:val="nil"/>
              <w:left w:val="nil"/>
              <w:bottom w:val="nil"/>
              <w:right w:val="nil"/>
            </w:tcBorders>
            <w:shd w:val="clear" w:color="000000" w:fill="D0E0E3"/>
            <w:noWrap/>
            <w:vAlign w:val="center"/>
            <w:hideMark/>
          </w:tcPr>
          <w:p w14:paraId="28C7BDBC" w14:textId="77777777" w:rsidR="00F13ECC" w:rsidRPr="00D57E73" w:rsidRDefault="00F13ECC" w:rsidP="00F13ECC">
            <w:pP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 xml:space="preserve">Ativos de direito de uso </w:t>
            </w:r>
          </w:p>
        </w:tc>
        <w:tc>
          <w:tcPr>
            <w:tcW w:w="608" w:type="pct"/>
            <w:tcBorders>
              <w:top w:val="nil"/>
              <w:left w:val="nil"/>
              <w:bottom w:val="nil"/>
              <w:right w:val="nil"/>
            </w:tcBorders>
            <w:shd w:val="clear" w:color="000000" w:fill="D0E0E3"/>
            <w:noWrap/>
            <w:vAlign w:val="center"/>
            <w:hideMark/>
          </w:tcPr>
          <w:p w14:paraId="11C6913E" w14:textId="77777777" w:rsidR="00F13ECC" w:rsidRPr="00D57E73" w:rsidRDefault="00F13ECC" w:rsidP="00F13ECC">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 xml:space="preserve"> - </w:t>
            </w:r>
          </w:p>
        </w:tc>
        <w:tc>
          <w:tcPr>
            <w:tcW w:w="442" w:type="pct"/>
            <w:tcBorders>
              <w:top w:val="nil"/>
              <w:left w:val="nil"/>
              <w:bottom w:val="nil"/>
              <w:right w:val="nil"/>
            </w:tcBorders>
            <w:shd w:val="clear" w:color="000000" w:fill="D0E0E3"/>
            <w:noWrap/>
            <w:vAlign w:val="center"/>
            <w:hideMark/>
          </w:tcPr>
          <w:p w14:paraId="09BEB6FE"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3.178.770</w:t>
            </w:r>
          </w:p>
        </w:tc>
        <w:tc>
          <w:tcPr>
            <w:tcW w:w="473" w:type="pct"/>
            <w:tcBorders>
              <w:top w:val="nil"/>
              <w:left w:val="nil"/>
              <w:bottom w:val="nil"/>
              <w:right w:val="nil"/>
            </w:tcBorders>
            <w:shd w:val="clear" w:color="000000" w:fill="D0E0E3"/>
            <w:noWrap/>
            <w:vAlign w:val="center"/>
            <w:hideMark/>
          </w:tcPr>
          <w:p w14:paraId="747EDBFA"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(251.308)</w:t>
            </w:r>
          </w:p>
        </w:tc>
        <w:tc>
          <w:tcPr>
            <w:tcW w:w="735" w:type="pct"/>
            <w:tcBorders>
              <w:top w:val="nil"/>
              <w:left w:val="nil"/>
              <w:bottom w:val="nil"/>
              <w:right w:val="nil"/>
            </w:tcBorders>
            <w:shd w:val="clear" w:color="000000" w:fill="D0E0E3"/>
            <w:noWrap/>
            <w:vAlign w:val="center"/>
            <w:hideMark/>
          </w:tcPr>
          <w:p w14:paraId="41C9FE61" w14:textId="77777777" w:rsidR="00F13ECC" w:rsidRPr="00D57E73" w:rsidRDefault="00F13ECC" w:rsidP="00F13ECC">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w:t>
            </w:r>
          </w:p>
        </w:tc>
        <w:tc>
          <w:tcPr>
            <w:tcW w:w="393" w:type="pct"/>
            <w:tcBorders>
              <w:top w:val="nil"/>
              <w:left w:val="nil"/>
              <w:bottom w:val="nil"/>
              <w:right w:val="nil"/>
            </w:tcBorders>
            <w:shd w:val="clear" w:color="000000" w:fill="D0E0E3"/>
            <w:noWrap/>
            <w:vAlign w:val="center"/>
            <w:hideMark/>
          </w:tcPr>
          <w:p w14:paraId="7D30B31D"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2.927.462</w:t>
            </w:r>
          </w:p>
        </w:tc>
        <w:tc>
          <w:tcPr>
            <w:tcW w:w="466" w:type="pct"/>
            <w:tcBorders>
              <w:top w:val="nil"/>
              <w:left w:val="nil"/>
              <w:bottom w:val="nil"/>
              <w:right w:val="nil"/>
            </w:tcBorders>
            <w:shd w:val="clear" w:color="000000" w:fill="D0E0E3"/>
            <w:noWrap/>
            <w:vAlign w:val="center"/>
            <w:hideMark/>
          </w:tcPr>
          <w:p w14:paraId="5054649B"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2.532.526</w:t>
            </w:r>
          </w:p>
        </w:tc>
      </w:tr>
      <w:tr w:rsidR="00F13ECC" w:rsidRPr="00D57E73" w14:paraId="1AD736DE" w14:textId="77777777" w:rsidTr="00F13ECC">
        <w:trPr>
          <w:trHeight w:val="300"/>
        </w:trPr>
        <w:tc>
          <w:tcPr>
            <w:tcW w:w="1882" w:type="pct"/>
            <w:tcBorders>
              <w:top w:val="nil"/>
              <w:left w:val="nil"/>
              <w:bottom w:val="nil"/>
              <w:right w:val="nil"/>
            </w:tcBorders>
            <w:shd w:val="clear" w:color="000000" w:fill="FFFFFF"/>
            <w:noWrap/>
            <w:vAlign w:val="center"/>
            <w:hideMark/>
          </w:tcPr>
          <w:p w14:paraId="51A62429" w14:textId="77777777" w:rsidR="00F13ECC" w:rsidRPr="00D57E73" w:rsidRDefault="00F13ECC" w:rsidP="00F13ECC">
            <w:pP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Imóveis</w:t>
            </w:r>
          </w:p>
        </w:tc>
        <w:tc>
          <w:tcPr>
            <w:tcW w:w="608" w:type="pct"/>
            <w:tcBorders>
              <w:top w:val="nil"/>
              <w:left w:val="nil"/>
              <w:bottom w:val="nil"/>
              <w:right w:val="nil"/>
            </w:tcBorders>
            <w:shd w:val="clear" w:color="000000" w:fill="FFFFFF"/>
            <w:noWrap/>
            <w:vAlign w:val="center"/>
            <w:hideMark/>
          </w:tcPr>
          <w:p w14:paraId="6DC61F78" w14:textId="77777777" w:rsidR="00F13ECC" w:rsidRPr="00D57E73" w:rsidRDefault="00F13ECC" w:rsidP="00F13ECC">
            <w:pPr>
              <w:jc w:val="cente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w:t>
            </w:r>
          </w:p>
        </w:tc>
        <w:tc>
          <w:tcPr>
            <w:tcW w:w="442" w:type="pct"/>
            <w:tcBorders>
              <w:top w:val="nil"/>
              <w:left w:val="nil"/>
              <w:bottom w:val="nil"/>
              <w:right w:val="nil"/>
            </w:tcBorders>
            <w:shd w:val="clear" w:color="000000" w:fill="FFFFFF"/>
            <w:noWrap/>
            <w:vAlign w:val="center"/>
            <w:hideMark/>
          </w:tcPr>
          <w:p w14:paraId="64B231FB"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2.899.204</w:t>
            </w:r>
          </w:p>
        </w:tc>
        <w:tc>
          <w:tcPr>
            <w:tcW w:w="473" w:type="pct"/>
            <w:tcBorders>
              <w:top w:val="nil"/>
              <w:left w:val="nil"/>
              <w:bottom w:val="nil"/>
              <w:right w:val="nil"/>
            </w:tcBorders>
            <w:shd w:val="clear" w:color="000000" w:fill="FFFFFF"/>
            <w:noWrap/>
            <w:vAlign w:val="center"/>
            <w:hideMark/>
          </w:tcPr>
          <w:p w14:paraId="23345FE6"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(188.136)</w:t>
            </w:r>
          </w:p>
        </w:tc>
        <w:tc>
          <w:tcPr>
            <w:tcW w:w="735" w:type="pct"/>
            <w:tcBorders>
              <w:top w:val="nil"/>
              <w:left w:val="nil"/>
              <w:bottom w:val="nil"/>
              <w:right w:val="nil"/>
            </w:tcBorders>
            <w:shd w:val="clear" w:color="000000" w:fill="FFFFFF"/>
            <w:noWrap/>
            <w:vAlign w:val="center"/>
            <w:hideMark/>
          </w:tcPr>
          <w:p w14:paraId="2B4FBBBE" w14:textId="77777777" w:rsidR="00F13ECC" w:rsidRPr="00D57E73" w:rsidRDefault="00F13ECC" w:rsidP="00F13ECC">
            <w:pPr>
              <w:jc w:val="cente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w:t>
            </w:r>
          </w:p>
        </w:tc>
        <w:tc>
          <w:tcPr>
            <w:tcW w:w="393" w:type="pct"/>
            <w:tcBorders>
              <w:top w:val="nil"/>
              <w:left w:val="nil"/>
              <w:bottom w:val="nil"/>
              <w:right w:val="nil"/>
            </w:tcBorders>
            <w:shd w:val="clear" w:color="000000" w:fill="FFFFFF"/>
            <w:noWrap/>
            <w:vAlign w:val="center"/>
            <w:hideMark/>
          </w:tcPr>
          <w:p w14:paraId="2CE242EA"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2.711.068</w:t>
            </w:r>
          </w:p>
        </w:tc>
        <w:tc>
          <w:tcPr>
            <w:tcW w:w="466" w:type="pct"/>
            <w:tcBorders>
              <w:top w:val="nil"/>
              <w:left w:val="nil"/>
              <w:bottom w:val="nil"/>
              <w:right w:val="nil"/>
            </w:tcBorders>
            <w:shd w:val="clear" w:color="000000" w:fill="FFFFFF"/>
            <w:noWrap/>
            <w:vAlign w:val="center"/>
            <w:hideMark/>
          </w:tcPr>
          <w:p w14:paraId="7F2DCB25"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2.303.638</w:t>
            </w:r>
          </w:p>
        </w:tc>
      </w:tr>
      <w:tr w:rsidR="00F13ECC" w:rsidRPr="00D57E73" w14:paraId="7E520A61" w14:textId="77777777" w:rsidTr="00F13ECC">
        <w:trPr>
          <w:trHeight w:val="300"/>
        </w:trPr>
        <w:tc>
          <w:tcPr>
            <w:tcW w:w="1882" w:type="pct"/>
            <w:tcBorders>
              <w:top w:val="nil"/>
              <w:left w:val="nil"/>
              <w:bottom w:val="nil"/>
              <w:right w:val="nil"/>
            </w:tcBorders>
            <w:shd w:val="clear" w:color="000000" w:fill="FFFFFF"/>
            <w:vAlign w:val="center"/>
            <w:hideMark/>
          </w:tcPr>
          <w:p w14:paraId="4D608FD4" w14:textId="77777777" w:rsidR="00F13ECC" w:rsidRPr="00D57E73" w:rsidRDefault="00F13ECC" w:rsidP="00F13ECC">
            <w:pPr>
              <w:jc w:val="both"/>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 xml:space="preserve">Veículos, embarcações e outros </w:t>
            </w:r>
          </w:p>
        </w:tc>
        <w:tc>
          <w:tcPr>
            <w:tcW w:w="608" w:type="pct"/>
            <w:tcBorders>
              <w:top w:val="nil"/>
              <w:left w:val="nil"/>
              <w:bottom w:val="nil"/>
              <w:right w:val="nil"/>
            </w:tcBorders>
            <w:shd w:val="clear" w:color="000000" w:fill="FFFFFF"/>
            <w:noWrap/>
            <w:vAlign w:val="center"/>
            <w:hideMark/>
          </w:tcPr>
          <w:p w14:paraId="0C7AA62A" w14:textId="77777777" w:rsidR="00F13ECC" w:rsidRPr="00D57E73" w:rsidRDefault="00F13ECC" w:rsidP="00F13ECC">
            <w:pPr>
              <w:jc w:val="cente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w:t>
            </w:r>
          </w:p>
        </w:tc>
        <w:tc>
          <w:tcPr>
            <w:tcW w:w="442" w:type="pct"/>
            <w:tcBorders>
              <w:top w:val="nil"/>
              <w:left w:val="nil"/>
              <w:bottom w:val="nil"/>
              <w:right w:val="nil"/>
            </w:tcBorders>
            <w:shd w:val="clear" w:color="000000" w:fill="FFFFFF"/>
            <w:noWrap/>
            <w:vAlign w:val="center"/>
            <w:hideMark/>
          </w:tcPr>
          <w:p w14:paraId="58454D2F"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279.566</w:t>
            </w:r>
          </w:p>
        </w:tc>
        <w:tc>
          <w:tcPr>
            <w:tcW w:w="473" w:type="pct"/>
            <w:tcBorders>
              <w:top w:val="nil"/>
              <w:left w:val="nil"/>
              <w:bottom w:val="nil"/>
              <w:right w:val="nil"/>
            </w:tcBorders>
            <w:noWrap/>
            <w:vAlign w:val="center"/>
            <w:hideMark/>
          </w:tcPr>
          <w:p w14:paraId="75AED931"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(63.172)</w:t>
            </w:r>
          </w:p>
        </w:tc>
        <w:tc>
          <w:tcPr>
            <w:tcW w:w="735" w:type="pct"/>
            <w:tcBorders>
              <w:top w:val="nil"/>
              <w:left w:val="nil"/>
              <w:bottom w:val="nil"/>
              <w:right w:val="nil"/>
            </w:tcBorders>
            <w:shd w:val="clear" w:color="000000" w:fill="FFFFFF"/>
            <w:noWrap/>
            <w:vAlign w:val="center"/>
            <w:hideMark/>
          </w:tcPr>
          <w:p w14:paraId="4FCF13D4" w14:textId="77777777" w:rsidR="00F13ECC" w:rsidRPr="00D57E73" w:rsidRDefault="00F13ECC" w:rsidP="00F13ECC">
            <w:pPr>
              <w:jc w:val="cente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w:t>
            </w:r>
          </w:p>
        </w:tc>
        <w:tc>
          <w:tcPr>
            <w:tcW w:w="393" w:type="pct"/>
            <w:tcBorders>
              <w:top w:val="nil"/>
              <w:left w:val="nil"/>
              <w:bottom w:val="nil"/>
              <w:right w:val="nil"/>
            </w:tcBorders>
            <w:shd w:val="clear" w:color="000000" w:fill="FFFFFF"/>
            <w:noWrap/>
            <w:vAlign w:val="center"/>
            <w:hideMark/>
          </w:tcPr>
          <w:p w14:paraId="56387C90"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216.394</w:t>
            </w:r>
          </w:p>
        </w:tc>
        <w:tc>
          <w:tcPr>
            <w:tcW w:w="466" w:type="pct"/>
            <w:tcBorders>
              <w:top w:val="nil"/>
              <w:left w:val="nil"/>
              <w:bottom w:val="nil"/>
              <w:right w:val="nil"/>
            </w:tcBorders>
            <w:shd w:val="clear" w:color="000000" w:fill="FFFFFF"/>
            <w:noWrap/>
            <w:vAlign w:val="center"/>
            <w:hideMark/>
          </w:tcPr>
          <w:p w14:paraId="500F8444"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228.888</w:t>
            </w:r>
          </w:p>
        </w:tc>
      </w:tr>
      <w:tr w:rsidR="00F13ECC" w:rsidRPr="00D57E73" w14:paraId="6B0A0CE6" w14:textId="77777777" w:rsidTr="00F13ECC">
        <w:trPr>
          <w:trHeight w:val="300"/>
        </w:trPr>
        <w:tc>
          <w:tcPr>
            <w:tcW w:w="1882" w:type="pct"/>
            <w:tcBorders>
              <w:top w:val="nil"/>
              <w:left w:val="nil"/>
              <w:bottom w:val="single" w:sz="4" w:space="0" w:color="FFFFFF"/>
              <w:right w:val="nil"/>
            </w:tcBorders>
            <w:shd w:val="clear" w:color="000000" w:fill="D0E0E3"/>
            <w:noWrap/>
            <w:vAlign w:val="center"/>
            <w:hideMark/>
          </w:tcPr>
          <w:p w14:paraId="2C6517BC" w14:textId="77777777" w:rsidR="00F13ECC" w:rsidRPr="00D57E73" w:rsidRDefault="00F13ECC" w:rsidP="00F13ECC">
            <w:pP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Benfeitorias em imóveis de terceiros</w:t>
            </w:r>
          </w:p>
        </w:tc>
        <w:tc>
          <w:tcPr>
            <w:tcW w:w="608" w:type="pct"/>
            <w:tcBorders>
              <w:top w:val="nil"/>
              <w:left w:val="nil"/>
              <w:bottom w:val="single" w:sz="4" w:space="0" w:color="FFFFFF"/>
              <w:right w:val="nil"/>
            </w:tcBorders>
            <w:shd w:val="clear" w:color="000000" w:fill="D0E0E3"/>
            <w:noWrap/>
            <w:vAlign w:val="center"/>
            <w:hideMark/>
          </w:tcPr>
          <w:p w14:paraId="3D4C61BC" w14:textId="77777777" w:rsidR="00F13ECC" w:rsidRPr="00D57E73" w:rsidRDefault="00F13ECC" w:rsidP="00F13ECC">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5</w:t>
            </w:r>
          </w:p>
        </w:tc>
        <w:tc>
          <w:tcPr>
            <w:tcW w:w="442" w:type="pct"/>
            <w:tcBorders>
              <w:top w:val="nil"/>
              <w:left w:val="nil"/>
              <w:bottom w:val="single" w:sz="4" w:space="0" w:color="FFFFFF"/>
              <w:right w:val="nil"/>
            </w:tcBorders>
            <w:shd w:val="clear" w:color="000000" w:fill="D0E0E3"/>
            <w:noWrap/>
            <w:vAlign w:val="center"/>
            <w:hideMark/>
          </w:tcPr>
          <w:p w14:paraId="364E4C5A"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2.823.385</w:t>
            </w:r>
          </w:p>
        </w:tc>
        <w:tc>
          <w:tcPr>
            <w:tcW w:w="473" w:type="pct"/>
            <w:tcBorders>
              <w:top w:val="nil"/>
              <w:left w:val="nil"/>
              <w:bottom w:val="single" w:sz="4" w:space="0" w:color="FFFFFF"/>
              <w:right w:val="nil"/>
            </w:tcBorders>
            <w:shd w:val="clear" w:color="000000" w:fill="D0E0E3"/>
            <w:noWrap/>
            <w:vAlign w:val="center"/>
            <w:hideMark/>
          </w:tcPr>
          <w:p w14:paraId="74D3F77A"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(2.066.366)</w:t>
            </w:r>
          </w:p>
        </w:tc>
        <w:tc>
          <w:tcPr>
            <w:tcW w:w="735" w:type="pct"/>
            <w:tcBorders>
              <w:top w:val="nil"/>
              <w:left w:val="nil"/>
              <w:bottom w:val="single" w:sz="4" w:space="0" w:color="FFFFFF"/>
              <w:right w:val="nil"/>
            </w:tcBorders>
            <w:shd w:val="clear" w:color="000000" w:fill="D0E0E3"/>
            <w:noWrap/>
            <w:vAlign w:val="center"/>
            <w:hideMark/>
          </w:tcPr>
          <w:p w14:paraId="02C9FAE9"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(143)</w:t>
            </w:r>
          </w:p>
        </w:tc>
        <w:tc>
          <w:tcPr>
            <w:tcW w:w="393" w:type="pct"/>
            <w:tcBorders>
              <w:top w:val="nil"/>
              <w:left w:val="nil"/>
              <w:bottom w:val="single" w:sz="4" w:space="0" w:color="FFFFFF"/>
              <w:right w:val="nil"/>
            </w:tcBorders>
            <w:shd w:val="clear" w:color="000000" w:fill="D0E0E3"/>
            <w:noWrap/>
            <w:vAlign w:val="center"/>
            <w:hideMark/>
          </w:tcPr>
          <w:p w14:paraId="19AB6C3A"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756.876</w:t>
            </w:r>
          </w:p>
        </w:tc>
        <w:tc>
          <w:tcPr>
            <w:tcW w:w="466" w:type="pct"/>
            <w:tcBorders>
              <w:top w:val="nil"/>
              <w:left w:val="nil"/>
              <w:bottom w:val="nil"/>
              <w:right w:val="nil"/>
            </w:tcBorders>
            <w:shd w:val="clear" w:color="000000" w:fill="D0E0E3"/>
            <w:noWrap/>
            <w:vAlign w:val="center"/>
            <w:hideMark/>
          </w:tcPr>
          <w:p w14:paraId="6063ADA9"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747.693</w:t>
            </w:r>
          </w:p>
        </w:tc>
      </w:tr>
      <w:tr w:rsidR="00F13ECC" w:rsidRPr="00D57E73" w14:paraId="65DF0E98" w14:textId="77777777" w:rsidTr="00F13ECC">
        <w:trPr>
          <w:trHeight w:val="300"/>
        </w:trPr>
        <w:tc>
          <w:tcPr>
            <w:tcW w:w="1882" w:type="pct"/>
            <w:tcBorders>
              <w:top w:val="nil"/>
              <w:left w:val="nil"/>
              <w:bottom w:val="single" w:sz="4" w:space="0" w:color="FFFFFF"/>
              <w:right w:val="nil"/>
            </w:tcBorders>
            <w:shd w:val="clear" w:color="000000" w:fill="D0E0E3"/>
            <w:noWrap/>
            <w:vAlign w:val="center"/>
            <w:hideMark/>
          </w:tcPr>
          <w:p w14:paraId="7B9DD1F5" w14:textId="77777777" w:rsidR="00F13ECC" w:rsidRPr="00D57E73" w:rsidRDefault="00F13ECC" w:rsidP="00F13ECC">
            <w:pP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Imobilizações em curso</w:t>
            </w:r>
          </w:p>
        </w:tc>
        <w:tc>
          <w:tcPr>
            <w:tcW w:w="608" w:type="pct"/>
            <w:tcBorders>
              <w:top w:val="nil"/>
              <w:left w:val="nil"/>
              <w:bottom w:val="single" w:sz="4" w:space="0" w:color="FFFFFF"/>
              <w:right w:val="nil"/>
            </w:tcBorders>
            <w:shd w:val="clear" w:color="000000" w:fill="D0E0E3"/>
            <w:noWrap/>
            <w:vAlign w:val="center"/>
            <w:hideMark/>
          </w:tcPr>
          <w:p w14:paraId="708C8E53" w14:textId="77777777" w:rsidR="00F13ECC" w:rsidRPr="00D57E73" w:rsidRDefault="00F13ECC" w:rsidP="00F13ECC">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 xml:space="preserve"> - </w:t>
            </w:r>
          </w:p>
        </w:tc>
        <w:tc>
          <w:tcPr>
            <w:tcW w:w="442" w:type="pct"/>
            <w:tcBorders>
              <w:top w:val="nil"/>
              <w:left w:val="nil"/>
              <w:bottom w:val="single" w:sz="4" w:space="0" w:color="FFFFFF"/>
              <w:right w:val="nil"/>
            </w:tcBorders>
            <w:shd w:val="clear" w:color="000000" w:fill="D0E0E3"/>
            <w:noWrap/>
            <w:vAlign w:val="center"/>
            <w:hideMark/>
          </w:tcPr>
          <w:p w14:paraId="5B3CFCC3"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385.802</w:t>
            </w:r>
          </w:p>
        </w:tc>
        <w:tc>
          <w:tcPr>
            <w:tcW w:w="473" w:type="pct"/>
            <w:tcBorders>
              <w:top w:val="nil"/>
              <w:left w:val="nil"/>
              <w:bottom w:val="single" w:sz="4" w:space="0" w:color="FFFFFF"/>
              <w:right w:val="nil"/>
            </w:tcBorders>
            <w:shd w:val="clear" w:color="000000" w:fill="D0E0E3"/>
            <w:noWrap/>
            <w:vAlign w:val="center"/>
            <w:hideMark/>
          </w:tcPr>
          <w:p w14:paraId="4DB9B35C" w14:textId="77777777" w:rsidR="00F13ECC" w:rsidRPr="00D57E73" w:rsidRDefault="00F13ECC" w:rsidP="00F13ECC">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w:t>
            </w:r>
          </w:p>
        </w:tc>
        <w:tc>
          <w:tcPr>
            <w:tcW w:w="735" w:type="pct"/>
            <w:tcBorders>
              <w:top w:val="nil"/>
              <w:left w:val="nil"/>
              <w:bottom w:val="single" w:sz="4" w:space="0" w:color="FFFFFF"/>
              <w:right w:val="nil"/>
            </w:tcBorders>
            <w:shd w:val="clear" w:color="000000" w:fill="D0E0E3"/>
            <w:noWrap/>
            <w:vAlign w:val="center"/>
            <w:hideMark/>
          </w:tcPr>
          <w:p w14:paraId="6822A730" w14:textId="77777777" w:rsidR="00F13ECC" w:rsidRPr="00D57E73" w:rsidRDefault="00F13ECC" w:rsidP="00F13ECC">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w:t>
            </w:r>
          </w:p>
        </w:tc>
        <w:tc>
          <w:tcPr>
            <w:tcW w:w="393" w:type="pct"/>
            <w:tcBorders>
              <w:top w:val="nil"/>
              <w:left w:val="nil"/>
              <w:bottom w:val="single" w:sz="4" w:space="0" w:color="FFFFFF"/>
              <w:right w:val="nil"/>
            </w:tcBorders>
            <w:shd w:val="clear" w:color="000000" w:fill="D0E0E3"/>
            <w:noWrap/>
            <w:vAlign w:val="center"/>
            <w:hideMark/>
          </w:tcPr>
          <w:p w14:paraId="1474C351"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385.802</w:t>
            </w:r>
          </w:p>
        </w:tc>
        <w:tc>
          <w:tcPr>
            <w:tcW w:w="466" w:type="pct"/>
            <w:tcBorders>
              <w:top w:val="single" w:sz="4" w:space="0" w:color="FFFFFF"/>
              <w:left w:val="nil"/>
              <w:bottom w:val="single" w:sz="4" w:space="0" w:color="FFFFFF"/>
              <w:right w:val="nil"/>
            </w:tcBorders>
            <w:shd w:val="clear" w:color="000000" w:fill="D0E0E3"/>
            <w:noWrap/>
            <w:vAlign w:val="center"/>
            <w:hideMark/>
          </w:tcPr>
          <w:p w14:paraId="5E75BCF6"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381.300</w:t>
            </w:r>
          </w:p>
        </w:tc>
      </w:tr>
      <w:tr w:rsidR="00F13ECC" w:rsidRPr="00D57E73" w14:paraId="0622C5D0" w14:textId="77777777" w:rsidTr="00F13ECC">
        <w:trPr>
          <w:trHeight w:val="300"/>
        </w:trPr>
        <w:tc>
          <w:tcPr>
            <w:tcW w:w="1882" w:type="pct"/>
            <w:tcBorders>
              <w:top w:val="nil"/>
              <w:left w:val="nil"/>
              <w:bottom w:val="nil"/>
              <w:right w:val="nil"/>
            </w:tcBorders>
            <w:shd w:val="clear" w:color="000000" w:fill="D0E0E3"/>
            <w:noWrap/>
            <w:vAlign w:val="center"/>
            <w:hideMark/>
          </w:tcPr>
          <w:p w14:paraId="393FC645" w14:textId="77777777" w:rsidR="00F13ECC" w:rsidRPr="00D57E73" w:rsidRDefault="00F13ECC" w:rsidP="00F13ECC">
            <w:pP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Móveis e equipamentos de uso</w:t>
            </w:r>
          </w:p>
        </w:tc>
        <w:tc>
          <w:tcPr>
            <w:tcW w:w="608" w:type="pct"/>
            <w:tcBorders>
              <w:top w:val="nil"/>
              <w:left w:val="nil"/>
              <w:bottom w:val="nil"/>
              <w:right w:val="nil"/>
            </w:tcBorders>
            <w:shd w:val="clear" w:color="000000" w:fill="D0E0E3"/>
            <w:noWrap/>
            <w:vAlign w:val="center"/>
            <w:hideMark/>
          </w:tcPr>
          <w:p w14:paraId="5EA611DE" w14:textId="77777777" w:rsidR="00F13ECC" w:rsidRPr="00D57E73" w:rsidRDefault="00F13ECC" w:rsidP="00F13ECC">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 xml:space="preserve"> - </w:t>
            </w:r>
          </w:p>
        </w:tc>
        <w:tc>
          <w:tcPr>
            <w:tcW w:w="442" w:type="pct"/>
            <w:tcBorders>
              <w:top w:val="nil"/>
              <w:left w:val="nil"/>
              <w:bottom w:val="nil"/>
              <w:right w:val="nil"/>
            </w:tcBorders>
            <w:shd w:val="clear" w:color="000000" w:fill="D0E0E3"/>
            <w:noWrap/>
            <w:vAlign w:val="center"/>
            <w:hideMark/>
          </w:tcPr>
          <w:p w14:paraId="24085275"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6.649.411</w:t>
            </w:r>
          </w:p>
        </w:tc>
        <w:tc>
          <w:tcPr>
            <w:tcW w:w="473" w:type="pct"/>
            <w:tcBorders>
              <w:top w:val="nil"/>
              <w:left w:val="nil"/>
              <w:bottom w:val="nil"/>
              <w:right w:val="nil"/>
            </w:tcBorders>
            <w:shd w:val="clear" w:color="000000" w:fill="D0E0E3"/>
            <w:noWrap/>
            <w:vAlign w:val="center"/>
            <w:hideMark/>
          </w:tcPr>
          <w:p w14:paraId="6E50200D"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(4.575.017)</w:t>
            </w:r>
          </w:p>
        </w:tc>
        <w:tc>
          <w:tcPr>
            <w:tcW w:w="735" w:type="pct"/>
            <w:tcBorders>
              <w:top w:val="nil"/>
              <w:left w:val="nil"/>
              <w:bottom w:val="nil"/>
              <w:right w:val="nil"/>
            </w:tcBorders>
            <w:shd w:val="clear" w:color="000000" w:fill="D0E0E3"/>
            <w:noWrap/>
            <w:vAlign w:val="center"/>
            <w:hideMark/>
          </w:tcPr>
          <w:p w14:paraId="12EA92DA"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(62)</w:t>
            </w:r>
          </w:p>
        </w:tc>
        <w:tc>
          <w:tcPr>
            <w:tcW w:w="393" w:type="pct"/>
            <w:tcBorders>
              <w:top w:val="nil"/>
              <w:left w:val="nil"/>
              <w:bottom w:val="nil"/>
              <w:right w:val="nil"/>
            </w:tcBorders>
            <w:shd w:val="clear" w:color="000000" w:fill="D0E0E3"/>
            <w:noWrap/>
            <w:vAlign w:val="center"/>
            <w:hideMark/>
          </w:tcPr>
          <w:p w14:paraId="4C10800C"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2.074.332</w:t>
            </w:r>
          </w:p>
        </w:tc>
        <w:tc>
          <w:tcPr>
            <w:tcW w:w="466" w:type="pct"/>
            <w:tcBorders>
              <w:top w:val="nil"/>
              <w:left w:val="nil"/>
              <w:bottom w:val="nil"/>
              <w:right w:val="nil"/>
            </w:tcBorders>
            <w:shd w:val="clear" w:color="000000" w:fill="D0E0E3"/>
            <w:noWrap/>
            <w:vAlign w:val="center"/>
            <w:hideMark/>
          </w:tcPr>
          <w:p w14:paraId="300D37CF"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2.067.814</w:t>
            </w:r>
          </w:p>
        </w:tc>
      </w:tr>
      <w:tr w:rsidR="00F13ECC" w:rsidRPr="00D57E73" w14:paraId="5277F185" w14:textId="77777777" w:rsidTr="00F13ECC">
        <w:trPr>
          <w:trHeight w:val="300"/>
        </w:trPr>
        <w:tc>
          <w:tcPr>
            <w:tcW w:w="1882" w:type="pct"/>
            <w:tcBorders>
              <w:top w:val="nil"/>
              <w:left w:val="nil"/>
              <w:bottom w:val="nil"/>
              <w:right w:val="nil"/>
            </w:tcBorders>
            <w:shd w:val="clear" w:color="000000" w:fill="FFFFFF"/>
            <w:noWrap/>
            <w:vAlign w:val="center"/>
            <w:hideMark/>
          </w:tcPr>
          <w:p w14:paraId="7F0B6638" w14:textId="77777777" w:rsidR="00F13ECC" w:rsidRPr="00D57E73" w:rsidRDefault="00F13ECC" w:rsidP="00F13ECC">
            <w:pP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Sistema de comunicação e de segurança</w:t>
            </w:r>
          </w:p>
        </w:tc>
        <w:tc>
          <w:tcPr>
            <w:tcW w:w="608" w:type="pct"/>
            <w:tcBorders>
              <w:top w:val="nil"/>
              <w:left w:val="nil"/>
              <w:bottom w:val="nil"/>
              <w:right w:val="nil"/>
            </w:tcBorders>
            <w:shd w:val="clear" w:color="000000" w:fill="FFFFFF"/>
            <w:noWrap/>
            <w:vAlign w:val="center"/>
            <w:hideMark/>
          </w:tcPr>
          <w:p w14:paraId="735D723E" w14:textId="3B0ADD25" w:rsidR="00F13ECC" w:rsidRPr="00D57E73" w:rsidRDefault="00B70881" w:rsidP="00F13ECC">
            <w:pPr>
              <w:jc w:val="cente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3</w:t>
            </w:r>
            <w:r w:rsidR="00F13ECC" w:rsidRPr="00D57E73">
              <w:rPr>
                <w:rFonts w:ascii="CAIXA Std Book" w:eastAsia="Times New Roman" w:hAnsi="CAIXA Std Book" w:cs="Times New Roman"/>
                <w:color w:val="005CA9"/>
                <w:sz w:val="16"/>
                <w:szCs w:val="16"/>
              </w:rPr>
              <w:t xml:space="preserve"> a 10</w:t>
            </w:r>
          </w:p>
        </w:tc>
        <w:tc>
          <w:tcPr>
            <w:tcW w:w="442" w:type="pct"/>
            <w:tcBorders>
              <w:top w:val="nil"/>
              <w:left w:val="nil"/>
              <w:bottom w:val="nil"/>
              <w:right w:val="nil"/>
            </w:tcBorders>
            <w:shd w:val="clear" w:color="000000" w:fill="FFFFFF"/>
            <w:noWrap/>
            <w:vAlign w:val="center"/>
            <w:hideMark/>
          </w:tcPr>
          <w:p w14:paraId="62F4B71F"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1.153.183</w:t>
            </w:r>
          </w:p>
        </w:tc>
        <w:tc>
          <w:tcPr>
            <w:tcW w:w="473" w:type="pct"/>
            <w:tcBorders>
              <w:top w:val="nil"/>
              <w:left w:val="nil"/>
              <w:bottom w:val="nil"/>
              <w:right w:val="nil"/>
            </w:tcBorders>
            <w:shd w:val="clear" w:color="000000" w:fill="FFFFFF"/>
            <w:noWrap/>
            <w:vAlign w:val="center"/>
            <w:hideMark/>
          </w:tcPr>
          <w:p w14:paraId="6122112D"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(790.911)</w:t>
            </w:r>
          </w:p>
        </w:tc>
        <w:tc>
          <w:tcPr>
            <w:tcW w:w="735" w:type="pct"/>
            <w:tcBorders>
              <w:top w:val="nil"/>
              <w:left w:val="nil"/>
              <w:bottom w:val="nil"/>
              <w:right w:val="nil"/>
            </w:tcBorders>
            <w:shd w:val="clear" w:color="000000" w:fill="FFFFFF"/>
            <w:noWrap/>
            <w:vAlign w:val="center"/>
            <w:hideMark/>
          </w:tcPr>
          <w:p w14:paraId="72F9E148" w14:textId="77777777" w:rsidR="00F13ECC" w:rsidRPr="00D57E73" w:rsidRDefault="00F13ECC" w:rsidP="00F13ECC">
            <w:pPr>
              <w:jc w:val="cente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w:t>
            </w:r>
          </w:p>
        </w:tc>
        <w:tc>
          <w:tcPr>
            <w:tcW w:w="393" w:type="pct"/>
            <w:tcBorders>
              <w:top w:val="nil"/>
              <w:left w:val="nil"/>
              <w:bottom w:val="nil"/>
              <w:right w:val="nil"/>
            </w:tcBorders>
            <w:shd w:val="clear" w:color="000000" w:fill="FFFFFF"/>
            <w:noWrap/>
            <w:vAlign w:val="center"/>
            <w:hideMark/>
          </w:tcPr>
          <w:p w14:paraId="7744839C"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362.272</w:t>
            </w:r>
          </w:p>
        </w:tc>
        <w:tc>
          <w:tcPr>
            <w:tcW w:w="466" w:type="pct"/>
            <w:tcBorders>
              <w:top w:val="nil"/>
              <w:left w:val="nil"/>
              <w:bottom w:val="nil"/>
              <w:right w:val="nil"/>
            </w:tcBorders>
            <w:shd w:val="clear" w:color="000000" w:fill="FFFFFF"/>
            <w:noWrap/>
            <w:vAlign w:val="center"/>
            <w:hideMark/>
          </w:tcPr>
          <w:p w14:paraId="1A79ECA3"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351.045</w:t>
            </w:r>
          </w:p>
        </w:tc>
      </w:tr>
      <w:tr w:rsidR="00F13ECC" w:rsidRPr="00D57E73" w14:paraId="184E2247" w14:textId="77777777" w:rsidTr="00F13ECC">
        <w:trPr>
          <w:trHeight w:val="300"/>
        </w:trPr>
        <w:tc>
          <w:tcPr>
            <w:tcW w:w="1882" w:type="pct"/>
            <w:tcBorders>
              <w:top w:val="nil"/>
              <w:left w:val="nil"/>
              <w:bottom w:val="nil"/>
              <w:right w:val="nil"/>
            </w:tcBorders>
            <w:shd w:val="clear" w:color="000000" w:fill="FFFFFF"/>
            <w:noWrap/>
            <w:vAlign w:val="center"/>
            <w:hideMark/>
          </w:tcPr>
          <w:p w14:paraId="5E796005" w14:textId="77777777" w:rsidR="00F13ECC" w:rsidRPr="00D57E73" w:rsidRDefault="00F13ECC" w:rsidP="00F13ECC">
            <w:pP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 xml:space="preserve">Sistema de processamento de dados </w:t>
            </w:r>
          </w:p>
        </w:tc>
        <w:tc>
          <w:tcPr>
            <w:tcW w:w="608" w:type="pct"/>
            <w:tcBorders>
              <w:top w:val="nil"/>
              <w:left w:val="nil"/>
              <w:bottom w:val="nil"/>
              <w:right w:val="nil"/>
            </w:tcBorders>
            <w:shd w:val="clear" w:color="000000" w:fill="FFFFFF"/>
            <w:noWrap/>
            <w:vAlign w:val="center"/>
            <w:hideMark/>
          </w:tcPr>
          <w:p w14:paraId="71657E73" w14:textId="1AF1F356" w:rsidR="00F13ECC" w:rsidRPr="00D57E73" w:rsidRDefault="0038458B" w:rsidP="00F13ECC">
            <w:pPr>
              <w:jc w:val="center"/>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3</w:t>
            </w:r>
            <w:r w:rsidR="00B70881" w:rsidRPr="00D57E73">
              <w:rPr>
                <w:rFonts w:ascii="CAIXA Std Book" w:eastAsia="Times New Roman" w:hAnsi="CAIXA Std Book" w:cs="Times New Roman"/>
                <w:color w:val="005CA9"/>
                <w:sz w:val="16"/>
                <w:szCs w:val="16"/>
              </w:rPr>
              <w:t xml:space="preserve"> a </w:t>
            </w:r>
            <w:r w:rsidR="00F13ECC" w:rsidRPr="00D57E73">
              <w:rPr>
                <w:rFonts w:ascii="CAIXA Std Book" w:eastAsia="Times New Roman" w:hAnsi="CAIXA Std Book" w:cs="Times New Roman"/>
                <w:color w:val="005CA9"/>
                <w:sz w:val="16"/>
                <w:szCs w:val="16"/>
              </w:rPr>
              <w:t>5</w:t>
            </w:r>
          </w:p>
        </w:tc>
        <w:tc>
          <w:tcPr>
            <w:tcW w:w="442" w:type="pct"/>
            <w:tcBorders>
              <w:top w:val="nil"/>
              <w:left w:val="nil"/>
              <w:bottom w:val="nil"/>
              <w:right w:val="nil"/>
            </w:tcBorders>
            <w:noWrap/>
            <w:vAlign w:val="center"/>
            <w:hideMark/>
          </w:tcPr>
          <w:p w14:paraId="5DB0EB6D"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5.496.228</w:t>
            </w:r>
          </w:p>
        </w:tc>
        <w:tc>
          <w:tcPr>
            <w:tcW w:w="473" w:type="pct"/>
            <w:tcBorders>
              <w:top w:val="nil"/>
              <w:left w:val="nil"/>
              <w:bottom w:val="nil"/>
              <w:right w:val="nil"/>
            </w:tcBorders>
            <w:noWrap/>
            <w:vAlign w:val="center"/>
            <w:hideMark/>
          </w:tcPr>
          <w:p w14:paraId="674492EE"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(3.784.106)</w:t>
            </w:r>
          </w:p>
        </w:tc>
        <w:tc>
          <w:tcPr>
            <w:tcW w:w="735" w:type="pct"/>
            <w:tcBorders>
              <w:top w:val="nil"/>
              <w:left w:val="nil"/>
              <w:bottom w:val="nil"/>
              <w:right w:val="nil"/>
            </w:tcBorders>
            <w:noWrap/>
            <w:vAlign w:val="center"/>
            <w:hideMark/>
          </w:tcPr>
          <w:p w14:paraId="4CC5A899"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(62)</w:t>
            </w:r>
          </w:p>
        </w:tc>
        <w:tc>
          <w:tcPr>
            <w:tcW w:w="393" w:type="pct"/>
            <w:tcBorders>
              <w:top w:val="nil"/>
              <w:left w:val="nil"/>
              <w:bottom w:val="nil"/>
              <w:right w:val="nil"/>
            </w:tcBorders>
            <w:shd w:val="clear" w:color="000000" w:fill="FFFFFF"/>
            <w:noWrap/>
            <w:vAlign w:val="center"/>
            <w:hideMark/>
          </w:tcPr>
          <w:p w14:paraId="55E1E440"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1.712.060</w:t>
            </w:r>
          </w:p>
        </w:tc>
        <w:tc>
          <w:tcPr>
            <w:tcW w:w="466" w:type="pct"/>
            <w:tcBorders>
              <w:top w:val="nil"/>
              <w:left w:val="nil"/>
              <w:bottom w:val="nil"/>
              <w:right w:val="nil"/>
            </w:tcBorders>
            <w:shd w:val="clear" w:color="000000" w:fill="FFFFFF"/>
            <w:noWrap/>
            <w:vAlign w:val="center"/>
            <w:hideMark/>
          </w:tcPr>
          <w:p w14:paraId="55FE4FF4" w14:textId="77777777" w:rsidR="00F13ECC" w:rsidRPr="00D57E73" w:rsidRDefault="00F13ECC" w:rsidP="00F13ECC">
            <w:pPr>
              <w:jc w:val="right"/>
              <w:rPr>
                <w:rFonts w:ascii="CAIXA Std Book" w:eastAsia="Times New Roman" w:hAnsi="CAIXA Std Book" w:cs="Times New Roman"/>
                <w:color w:val="005CA9"/>
                <w:sz w:val="16"/>
                <w:szCs w:val="16"/>
              </w:rPr>
            </w:pPr>
            <w:r w:rsidRPr="00D57E73">
              <w:rPr>
                <w:rFonts w:ascii="CAIXA Std Book" w:eastAsia="Times New Roman" w:hAnsi="CAIXA Std Book" w:cs="Times New Roman"/>
                <w:color w:val="005CA9"/>
                <w:sz w:val="16"/>
                <w:szCs w:val="16"/>
              </w:rPr>
              <w:t>1.716.769</w:t>
            </w:r>
          </w:p>
        </w:tc>
      </w:tr>
      <w:tr w:rsidR="00F13ECC" w:rsidRPr="00D57E73" w14:paraId="5F7A0223" w14:textId="77777777" w:rsidTr="00F13ECC">
        <w:trPr>
          <w:trHeight w:val="300"/>
        </w:trPr>
        <w:tc>
          <w:tcPr>
            <w:tcW w:w="1882" w:type="pct"/>
            <w:tcBorders>
              <w:top w:val="nil"/>
              <w:left w:val="nil"/>
              <w:bottom w:val="single" w:sz="4" w:space="0" w:color="FFFFFF"/>
              <w:right w:val="nil"/>
            </w:tcBorders>
            <w:shd w:val="clear" w:color="000000" w:fill="D0E0E3"/>
            <w:vAlign w:val="center"/>
            <w:hideMark/>
          </w:tcPr>
          <w:p w14:paraId="0885C115" w14:textId="77777777" w:rsidR="00F13ECC" w:rsidRPr="00D57E73" w:rsidRDefault="00F13ECC" w:rsidP="00F13ECC">
            <w:pP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Móveis em estoque e outros equipamentos</w:t>
            </w:r>
          </w:p>
        </w:tc>
        <w:tc>
          <w:tcPr>
            <w:tcW w:w="608" w:type="pct"/>
            <w:tcBorders>
              <w:top w:val="nil"/>
              <w:left w:val="nil"/>
              <w:bottom w:val="single" w:sz="4" w:space="0" w:color="FFFFFF"/>
              <w:right w:val="nil"/>
            </w:tcBorders>
            <w:shd w:val="clear" w:color="000000" w:fill="D0E0E3"/>
            <w:noWrap/>
            <w:vAlign w:val="center"/>
            <w:hideMark/>
          </w:tcPr>
          <w:p w14:paraId="0E4CFA74" w14:textId="77777777" w:rsidR="00F13ECC" w:rsidRPr="00D57E73" w:rsidRDefault="00F13ECC" w:rsidP="00F13ECC">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 xml:space="preserve"> - </w:t>
            </w:r>
          </w:p>
        </w:tc>
        <w:tc>
          <w:tcPr>
            <w:tcW w:w="442" w:type="pct"/>
            <w:tcBorders>
              <w:top w:val="nil"/>
              <w:left w:val="nil"/>
              <w:bottom w:val="single" w:sz="4" w:space="0" w:color="FFFFFF"/>
              <w:right w:val="nil"/>
            </w:tcBorders>
            <w:shd w:val="clear" w:color="000000" w:fill="D0E0E3"/>
            <w:noWrap/>
            <w:vAlign w:val="center"/>
            <w:hideMark/>
          </w:tcPr>
          <w:p w14:paraId="3A30F3FB"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1.045.647</w:t>
            </w:r>
          </w:p>
        </w:tc>
        <w:tc>
          <w:tcPr>
            <w:tcW w:w="473" w:type="pct"/>
            <w:tcBorders>
              <w:top w:val="nil"/>
              <w:left w:val="nil"/>
              <w:bottom w:val="single" w:sz="4" w:space="0" w:color="FFFFFF"/>
              <w:right w:val="nil"/>
            </w:tcBorders>
            <w:shd w:val="clear" w:color="000000" w:fill="D0E0E3"/>
            <w:noWrap/>
            <w:vAlign w:val="center"/>
            <w:hideMark/>
          </w:tcPr>
          <w:p w14:paraId="030CB4BC"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(532.107)</w:t>
            </w:r>
          </w:p>
        </w:tc>
        <w:tc>
          <w:tcPr>
            <w:tcW w:w="735" w:type="pct"/>
            <w:tcBorders>
              <w:top w:val="nil"/>
              <w:left w:val="nil"/>
              <w:bottom w:val="single" w:sz="4" w:space="0" w:color="FFFFFF"/>
              <w:right w:val="nil"/>
            </w:tcBorders>
            <w:shd w:val="clear" w:color="000000" w:fill="D0E0E3"/>
            <w:noWrap/>
            <w:vAlign w:val="center"/>
            <w:hideMark/>
          </w:tcPr>
          <w:p w14:paraId="197E4DE4"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(8.268)</w:t>
            </w:r>
          </w:p>
        </w:tc>
        <w:tc>
          <w:tcPr>
            <w:tcW w:w="393" w:type="pct"/>
            <w:tcBorders>
              <w:top w:val="nil"/>
              <w:left w:val="nil"/>
              <w:bottom w:val="single" w:sz="4" w:space="0" w:color="FFFFFF"/>
              <w:right w:val="nil"/>
            </w:tcBorders>
            <w:shd w:val="clear" w:color="000000" w:fill="D0E0E3"/>
            <w:noWrap/>
            <w:vAlign w:val="center"/>
            <w:hideMark/>
          </w:tcPr>
          <w:p w14:paraId="1D7EE326"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505.272</w:t>
            </w:r>
          </w:p>
        </w:tc>
        <w:tc>
          <w:tcPr>
            <w:tcW w:w="466" w:type="pct"/>
            <w:tcBorders>
              <w:top w:val="nil"/>
              <w:left w:val="nil"/>
              <w:bottom w:val="single" w:sz="4" w:space="0" w:color="FFFFFF"/>
              <w:right w:val="nil"/>
            </w:tcBorders>
            <w:shd w:val="clear" w:color="000000" w:fill="D0E0E3"/>
            <w:noWrap/>
            <w:vAlign w:val="center"/>
            <w:hideMark/>
          </w:tcPr>
          <w:p w14:paraId="27DCDF94"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465.998</w:t>
            </w:r>
          </w:p>
        </w:tc>
      </w:tr>
      <w:tr w:rsidR="00F13ECC" w:rsidRPr="00D57E73" w14:paraId="269FC8C1" w14:textId="77777777" w:rsidTr="00F13ECC">
        <w:trPr>
          <w:trHeight w:val="300"/>
        </w:trPr>
        <w:tc>
          <w:tcPr>
            <w:tcW w:w="1882" w:type="pct"/>
            <w:tcBorders>
              <w:top w:val="nil"/>
              <w:left w:val="nil"/>
              <w:bottom w:val="nil"/>
              <w:right w:val="nil"/>
            </w:tcBorders>
            <w:shd w:val="clear" w:color="000000" w:fill="D0E0E3"/>
            <w:noWrap/>
            <w:vAlign w:val="center"/>
            <w:hideMark/>
          </w:tcPr>
          <w:p w14:paraId="66B0DC98" w14:textId="77777777" w:rsidR="00F13ECC" w:rsidRPr="00D57E73" w:rsidRDefault="00F13ECC" w:rsidP="00F13ECC">
            <w:pP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Obras de arte</w:t>
            </w:r>
          </w:p>
        </w:tc>
        <w:tc>
          <w:tcPr>
            <w:tcW w:w="608" w:type="pct"/>
            <w:tcBorders>
              <w:top w:val="nil"/>
              <w:left w:val="nil"/>
              <w:bottom w:val="nil"/>
              <w:right w:val="nil"/>
            </w:tcBorders>
            <w:shd w:val="clear" w:color="000000" w:fill="D0E0E3"/>
            <w:noWrap/>
            <w:vAlign w:val="center"/>
            <w:hideMark/>
          </w:tcPr>
          <w:p w14:paraId="2A0B91EE" w14:textId="77777777" w:rsidR="00F13ECC" w:rsidRPr="00D57E73" w:rsidRDefault="00F13ECC" w:rsidP="00F13ECC">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 xml:space="preserve"> - </w:t>
            </w:r>
          </w:p>
        </w:tc>
        <w:tc>
          <w:tcPr>
            <w:tcW w:w="442" w:type="pct"/>
            <w:tcBorders>
              <w:top w:val="nil"/>
              <w:left w:val="nil"/>
              <w:bottom w:val="nil"/>
              <w:right w:val="nil"/>
            </w:tcBorders>
            <w:shd w:val="clear" w:color="000000" w:fill="D0E0E3"/>
            <w:noWrap/>
            <w:vAlign w:val="center"/>
            <w:hideMark/>
          </w:tcPr>
          <w:p w14:paraId="18EA21B8"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1.357</w:t>
            </w:r>
          </w:p>
        </w:tc>
        <w:tc>
          <w:tcPr>
            <w:tcW w:w="473" w:type="pct"/>
            <w:tcBorders>
              <w:top w:val="nil"/>
              <w:left w:val="nil"/>
              <w:bottom w:val="nil"/>
              <w:right w:val="nil"/>
            </w:tcBorders>
            <w:shd w:val="clear" w:color="000000" w:fill="D0E0E3"/>
            <w:noWrap/>
            <w:vAlign w:val="center"/>
            <w:hideMark/>
          </w:tcPr>
          <w:p w14:paraId="691C438B" w14:textId="77777777" w:rsidR="00F13ECC" w:rsidRPr="00D57E73" w:rsidRDefault="00F13ECC" w:rsidP="00F13ECC">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w:t>
            </w:r>
          </w:p>
        </w:tc>
        <w:tc>
          <w:tcPr>
            <w:tcW w:w="735" w:type="pct"/>
            <w:tcBorders>
              <w:top w:val="nil"/>
              <w:left w:val="nil"/>
              <w:bottom w:val="nil"/>
              <w:right w:val="nil"/>
            </w:tcBorders>
            <w:shd w:val="clear" w:color="000000" w:fill="D0E0E3"/>
            <w:noWrap/>
            <w:vAlign w:val="center"/>
            <w:hideMark/>
          </w:tcPr>
          <w:p w14:paraId="7C581212" w14:textId="77777777" w:rsidR="00F13ECC" w:rsidRPr="00D57E73" w:rsidRDefault="00F13ECC" w:rsidP="00F13ECC">
            <w:pPr>
              <w:jc w:val="center"/>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w:t>
            </w:r>
          </w:p>
        </w:tc>
        <w:tc>
          <w:tcPr>
            <w:tcW w:w="393" w:type="pct"/>
            <w:tcBorders>
              <w:top w:val="nil"/>
              <w:left w:val="nil"/>
              <w:bottom w:val="nil"/>
              <w:right w:val="nil"/>
            </w:tcBorders>
            <w:shd w:val="clear" w:color="000000" w:fill="D0E0E3"/>
            <w:noWrap/>
            <w:vAlign w:val="center"/>
            <w:hideMark/>
          </w:tcPr>
          <w:p w14:paraId="59BA2FED"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1.357</w:t>
            </w:r>
          </w:p>
        </w:tc>
        <w:tc>
          <w:tcPr>
            <w:tcW w:w="466" w:type="pct"/>
            <w:tcBorders>
              <w:top w:val="nil"/>
              <w:left w:val="nil"/>
              <w:bottom w:val="nil"/>
              <w:right w:val="nil"/>
            </w:tcBorders>
            <w:shd w:val="clear" w:color="000000" w:fill="D0E0E3"/>
            <w:noWrap/>
            <w:vAlign w:val="center"/>
            <w:hideMark/>
          </w:tcPr>
          <w:p w14:paraId="56CD8CCF" w14:textId="77777777" w:rsidR="00F13ECC" w:rsidRPr="00D57E73" w:rsidRDefault="00F13ECC" w:rsidP="00F13ECC">
            <w:pPr>
              <w:jc w:val="right"/>
              <w:rPr>
                <w:rFonts w:ascii="CAIXA Std Book" w:eastAsia="Times New Roman" w:hAnsi="CAIXA Std Book" w:cs="Times New Roman"/>
                <w:b/>
                <w:bCs/>
                <w:color w:val="005CA9"/>
                <w:sz w:val="16"/>
                <w:szCs w:val="16"/>
              </w:rPr>
            </w:pPr>
            <w:r w:rsidRPr="00D57E73">
              <w:rPr>
                <w:rFonts w:ascii="CAIXA Std Book" w:eastAsia="Times New Roman" w:hAnsi="CAIXA Std Book" w:cs="Times New Roman"/>
                <w:b/>
                <w:bCs/>
                <w:color w:val="005CA9"/>
                <w:sz w:val="16"/>
                <w:szCs w:val="16"/>
              </w:rPr>
              <w:t>1.357</w:t>
            </w:r>
          </w:p>
        </w:tc>
      </w:tr>
      <w:tr w:rsidR="00F13ECC" w:rsidRPr="00D57E73" w14:paraId="275A01E3" w14:textId="77777777" w:rsidTr="00F13ECC">
        <w:trPr>
          <w:trHeight w:val="300"/>
        </w:trPr>
        <w:tc>
          <w:tcPr>
            <w:tcW w:w="1882" w:type="pct"/>
            <w:tcBorders>
              <w:top w:val="nil"/>
              <w:left w:val="nil"/>
              <w:bottom w:val="nil"/>
              <w:right w:val="nil"/>
            </w:tcBorders>
            <w:shd w:val="clear" w:color="000000" w:fill="005CA9"/>
            <w:noWrap/>
            <w:vAlign w:val="center"/>
            <w:hideMark/>
          </w:tcPr>
          <w:p w14:paraId="5AE548A3" w14:textId="77777777" w:rsidR="00F13ECC" w:rsidRPr="00D57E73" w:rsidRDefault="00F13ECC" w:rsidP="00F13ECC">
            <w:pP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Total</w:t>
            </w:r>
          </w:p>
        </w:tc>
        <w:tc>
          <w:tcPr>
            <w:tcW w:w="608" w:type="pct"/>
            <w:tcBorders>
              <w:top w:val="nil"/>
              <w:left w:val="nil"/>
              <w:bottom w:val="nil"/>
              <w:right w:val="nil"/>
            </w:tcBorders>
            <w:shd w:val="clear" w:color="000000" w:fill="005CA9"/>
            <w:noWrap/>
            <w:vAlign w:val="center"/>
            <w:hideMark/>
          </w:tcPr>
          <w:p w14:paraId="29207BB8" w14:textId="77777777" w:rsidR="00F13ECC" w:rsidRPr="00D57E73" w:rsidRDefault="00F13ECC" w:rsidP="00F13ECC">
            <w:pPr>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 </w:t>
            </w:r>
          </w:p>
        </w:tc>
        <w:tc>
          <w:tcPr>
            <w:tcW w:w="442" w:type="pct"/>
            <w:tcBorders>
              <w:top w:val="nil"/>
              <w:left w:val="nil"/>
              <w:bottom w:val="nil"/>
              <w:right w:val="nil"/>
            </w:tcBorders>
            <w:shd w:val="clear" w:color="000000" w:fill="005CA9"/>
            <w:noWrap/>
            <w:vAlign w:val="center"/>
            <w:hideMark/>
          </w:tcPr>
          <w:p w14:paraId="5E3707E6" w14:textId="77777777" w:rsidR="00F13ECC" w:rsidRPr="00D57E73" w:rsidRDefault="00F13ECC" w:rsidP="00F13ECC">
            <w:pPr>
              <w:jc w:val="right"/>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16.056.845</w:t>
            </w:r>
          </w:p>
        </w:tc>
        <w:tc>
          <w:tcPr>
            <w:tcW w:w="473" w:type="pct"/>
            <w:tcBorders>
              <w:top w:val="nil"/>
              <w:left w:val="nil"/>
              <w:bottom w:val="nil"/>
              <w:right w:val="nil"/>
            </w:tcBorders>
            <w:shd w:val="clear" w:color="000000" w:fill="005CA9"/>
            <w:noWrap/>
            <w:vAlign w:val="center"/>
            <w:hideMark/>
          </w:tcPr>
          <w:p w14:paraId="0036FC64" w14:textId="77777777" w:rsidR="00F13ECC" w:rsidRPr="00D57E73" w:rsidRDefault="00F13ECC" w:rsidP="00F13ECC">
            <w:pPr>
              <w:jc w:val="right"/>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(8.381.728)</w:t>
            </w:r>
          </w:p>
        </w:tc>
        <w:tc>
          <w:tcPr>
            <w:tcW w:w="735" w:type="pct"/>
            <w:tcBorders>
              <w:top w:val="nil"/>
              <w:left w:val="nil"/>
              <w:bottom w:val="nil"/>
              <w:right w:val="nil"/>
            </w:tcBorders>
            <w:shd w:val="clear" w:color="000000" w:fill="005CA9"/>
            <w:noWrap/>
            <w:vAlign w:val="center"/>
            <w:hideMark/>
          </w:tcPr>
          <w:p w14:paraId="587D4924" w14:textId="77777777" w:rsidR="00F13ECC" w:rsidRPr="00D57E73" w:rsidRDefault="00F13ECC" w:rsidP="00F13ECC">
            <w:pPr>
              <w:jc w:val="right"/>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(41.535)</w:t>
            </w:r>
          </w:p>
        </w:tc>
        <w:tc>
          <w:tcPr>
            <w:tcW w:w="393" w:type="pct"/>
            <w:tcBorders>
              <w:top w:val="nil"/>
              <w:left w:val="nil"/>
              <w:bottom w:val="nil"/>
              <w:right w:val="nil"/>
            </w:tcBorders>
            <w:shd w:val="clear" w:color="000000" w:fill="005CA9"/>
            <w:noWrap/>
            <w:vAlign w:val="center"/>
            <w:hideMark/>
          </w:tcPr>
          <w:p w14:paraId="596BC87D" w14:textId="77777777" w:rsidR="00F13ECC" w:rsidRPr="00D57E73" w:rsidRDefault="00F13ECC" w:rsidP="00F13ECC">
            <w:pPr>
              <w:jc w:val="right"/>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7.633.582</w:t>
            </w:r>
          </w:p>
        </w:tc>
        <w:tc>
          <w:tcPr>
            <w:tcW w:w="466" w:type="pct"/>
            <w:tcBorders>
              <w:top w:val="nil"/>
              <w:left w:val="nil"/>
              <w:bottom w:val="nil"/>
              <w:right w:val="nil"/>
            </w:tcBorders>
            <w:shd w:val="clear" w:color="000000" w:fill="005CA9"/>
            <w:noWrap/>
            <w:vAlign w:val="center"/>
            <w:hideMark/>
          </w:tcPr>
          <w:p w14:paraId="16F7468B" w14:textId="77777777" w:rsidR="00F13ECC" w:rsidRPr="00D57E73" w:rsidRDefault="00F13ECC" w:rsidP="00F13ECC">
            <w:pPr>
              <w:jc w:val="right"/>
              <w:rPr>
                <w:rFonts w:ascii="CAIXA Std Book" w:eastAsia="Times New Roman" w:hAnsi="CAIXA Std Book" w:cs="Times New Roman"/>
                <w:b/>
                <w:bCs/>
                <w:color w:val="FFFFFF"/>
                <w:sz w:val="16"/>
                <w:szCs w:val="16"/>
              </w:rPr>
            </w:pPr>
            <w:r w:rsidRPr="00D57E73">
              <w:rPr>
                <w:rFonts w:ascii="CAIXA Std Book" w:eastAsia="Times New Roman" w:hAnsi="CAIXA Std Book" w:cs="Times New Roman"/>
                <w:b/>
                <w:bCs/>
                <w:color w:val="FFFFFF"/>
                <w:sz w:val="16"/>
                <w:szCs w:val="16"/>
              </w:rPr>
              <w:t>7.165.069</w:t>
            </w:r>
          </w:p>
        </w:tc>
      </w:tr>
    </w:tbl>
    <w:p w14:paraId="1350D4D1" w14:textId="77777777" w:rsidR="00514D10" w:rsidRDefault="00514D10">
      <w:pPr>
        <w:rPr>
          <w:rFonts w:ascii="CAIXA Std Book" w:hAnsi="CAIXA Std Book"/>
          <w:b/>
          <w:color w:val="005CA9"/>
          <w:sz w:val="20"/>
          <w:szCs w:val="20"/>
        </w:rPr>
      </w:pPr>
      <w:r>
        <w:rPr>
          <w:rFonts w:ascii="CAIXA Std Book" w:hAnsi="CAIXA Std Book"/>
          <w:b/>
          <w:color w:val="005CA9"/>
          <w:sz w:val="20"/>
          <w:szCs w:val="20"/>
        </w:rPr>
        <w:br w:type="page"/>
      </w:r>
    </w:p>
    <w:p w14:paraId="37EDE96E" w14:textId="0B77C0CD" w:rsidR="00E2168A" w:rsidRPr="00E95E29" w:rsidRDefault="00E2168A" w:rsidP="00B735D2">
      <w:pPr>
        <w:pStyle w:val="Ttulo1"/>
      </w:pPr>
      <w:bookmarkStart w:id="107" w:name="_Toc217914335"/>
      <w:bookmarkStart w:id="108" w:name="_Toc229588485"/>
      <w:r w:rsidRPr="00E95E29">
        <w:t>Nota   1</w:t>
      </w:r>
      <w:r w:rsidR="005464C5">
        <w:t>3</w:t>
      </w:r>
      <w:r w:rsidR="00CC60B7">
        <w:t xml:space="preserve"> </w:t>
      </w:r>
      <w:r w:rsidRPr="00E95E29">
        <w:t>– Intangível</w:t>
      </w:r>
      <w:bookmarkEnd w:id="107"/>
      <w:bookmarkEnd w:id="108"/>
    </w:p>
    <w:p w14:paraId="3D20FC73" w14:textId="77777777" w:rsidR="00E2168A" w:rsidRPr="00B04D8D" w:rsidRDefault="00E2168A" w:rsidP="00AB4D07">
      <w:pPr>
        <w:pStyle w:val="PargrafodaLista"/>
        <w:numPr>
          <w:ilvl w:val="1"/>
          <w:numId w:val="9"/>
        </w:numPr>
        <w:shd w:val="clear" w:color="auto" w:fill="FFFFFF" w:themeFill="background1"/>
        <w:spacing w:before="240" w:after="120"/>
        <w:ind w:left="567" w:hanging="567"/>
        <w:contextualSpacing w:val="0"/>
        <w:jc w:val="both"/>
        <w:rPr>
          <w:rFonts w:ascii="CAIXA Std Book" w:hAnsi="CAIXA Std Book"/>
          <w:b/>
          <w:color w:val="005CA9"/>
          <w:sz w:val="20"/>
          <w:szCs w:val="20"/>
        </w:rPr>
      </w:pPr>
      <w:r w:rsidRPr="00B04D8D">
        <w:rPr>
          <w:rFonts w:ascii="CAIXA Std Book" w:hAnsi="CAIXA Std Book"/>
          <w:b/>
          <w:color w:val="005CA9"/>
          <w:sz w:val="20"/>
          <w:szCs w:val="20"/>
        </w:rPr>
        <w:t>Composição</w:t>
      </w:r>
    </w:p>
    <w:tbl>
      <w:tblPr>
        <w:tblW w:w="5000" w:type="pct"/>
        <w:tblCellMar>
          <w:left w:w="70" w:type="dxa"/>
          <w:right w:w="70" w:type="dxa"/>
        </w:tblCellMar>
        <w:tblLook w:val="04A0" w:firstRow="1" w:lastRow="0" w:firstColumn="1" w:lastColumn="0" w:noHBand="0" w:noVBand="1"/>
      </w:tblPr>
      <w:tblGrid>
        <w:gridCol w:w="3081"/>
        <w:gridCol w:w="1310"/>
        <w:gridCol w:w="1311"/>
        <w:gridCol w:w="1311"/>
        <w:gridCol w:w="1311"/>
        <w:gridCol w:w="1313"/>
      </w:tblGrid>
      <w:tr w:rsidR="00805005" w:rsidRPr="00A943D9" w14:paraId="2C394032" w14:textId="77777777" w:rsidTr="00E22B14">
        <w:trPr>
          <w:trHeight w:val="283"/>
        </w:trPr>
        <w:tc>
          <w:tcPr>
            <w:tcW w:w="5000" w:type="pct"/>
            <w:gridSpan w:val="6"/>
            <w:tcBorders>
              <w:top w:val="single" w:sz="4" w:space="0" w:color="FFFFFF"/>
              <w:left w:val="nil"/>
              <w:bottom w:val="single" w:sz="4" w:space="0" w:color="FFFFFF" w:themeColor="background1"/>
            </w:tcBorders>
            <w:shd w:val="clear" w:color="auto" w:fill="005CA9"/>
            <w:noWrap/>
            <w:vAlign w:val="center"/>
            <w:hideMark/>
          </w:tcPr>
          <w:p w14:paraId="4A506983" w14:textId="39BA0249" w:rsidR="000434DB" w:rsidRPr="00A943D9" w:rsidRDefault="000434DB" w:rsidP="005250E8">
            <w:pPr>
              <w:jc w:val="center"/>
              <w:rPr>
                <w:rFonts w:ascii="CAIXA Std Book" w:eastAsia="Times New Roman" w:hAnsi="CAIXA Std Book" w:cs="Calibri"/>
                <w:b/>
                <w:bCs/>
                <w:color w:val="F2F2F2"/>
                <w:sz w:val="18"/>
                <w:szCs w:val="18"/>
              </w:rPr>
            </w:pPr>
            <w:r w:rsidRPr="00A943D9">
              <w:rPr>
                <w:rFonts w:ascii="CAIXA Std Book" w:eastAsia="Times New Roman" w:hAnsi="CAIXA Std Book" w:cs="Calibri"/>
                <w:b/>
                <w:bCs/>
                <w:color w:val="F2F2F2"/>
                <w:sz w:val="18"/>
                <w:szCs w:val="18"/>
              </w:rPr>
              <w:t>Individual</w:t>
            </w:r>
          </w:p>
        </w:tc>
      </w:tr>
      <w:tr w:rsidR="00F05F81" w:rsidRPr="00A943D9" w14:paraId="0B547D78" w14:textId="7D2501BF" w:rsidTr="00E22B14">
        <w:trPr>
          <w:trHeight w:val="283"/>
        </w:trPr>
        <w:tc>
          <w:tcPr>
            <w:tcW w:w="1599" w:type="pct"/>
            <w:vMerge w:val="restart"/>
            <w:tcBorders>
              <w:top w:val="single" w:sz="4" w:space="0" w:color="FFFFFF" w:themeColor="background1"/>
              <w:left w:val="nil"/>
              <w:bottom w:val="nil"/>
              <w:right w:val="nil"/>
            </w:tcBorders>
            <w:shd w:val="clear" w:color="auto" w:fill="005CA9"/>
            <w:vAlign w:val="center"/>
            <w:hideMark/>
          </w:tcPr>
          <w:p w14:paraId="2B608B1E" w14:textId="77777777" w:rsidR="00F05F81" w:rsidRPr="00A943D9" w:rsidRDefault="00F05F81" w:rsidP="005250E8">
            <w:pPr>
              <w:jc w:val="center"/>
              <w:rPr>
                <w:rFonts w:ascii="CAIXA Std Book" w:eastAsia="Times New Roman" w:hAnsi="CAIXA Std Book" w:cs="Calibri"/>
                <w:b/>
                <w:bCs/>
                <w:color w:val="F2F2F2"/>
                <w:sz w:val="18"/>
                <w:szCs w:val="18"/>
              </w:rPr>
            </w:pPr>
            <w:r w:rsidRPr="00A943D9">
              <w:rPr>
                <w:rFonts w:ascii="CAIXA Std Book" w:eastAsia="Times New Roman" w:hAnsi="CAIXA Std Book" w:cs="Calibri"/>
                <w:b/>
                <w:bCs/>
                <w:color w:val="F2F2F2"/>
                <w:sz w:val="18"/>
                <w:szCs w:val="18"/>
              </w:rPr>
              <w:t>Descrição</w:t>
            </w:r>
          </w:p>
        </w:tc>
        <w:tc>
          <w:tcPr>
            <w:tcW w:w="2720" w:type="pct"/>
            <w:gridSpan w:val="4"/>
            <w:tcBorders>
              <w:top w:val="single" w:sz="4" w:space="0" w:color="FFFFFF" w:themeColor="background1"/>
              <w:left w:val="nil"/>
              <w:bottom w:val="single" w:sz="4" w:space="0" w:color="FFFFFF" w:themeColor="background1"/>
            </w:tcBorders>
            <w:shd w:val="clear" w:color="auto" w:fill="005CA9"/>
            <w:vAlign w:val="center"/>
            <w:hideMark/>
          </w:tcPr>
          <w:p w14:paraId="5637CA1F" w14:textId="4E853D10" w:rsidR="00F05F81" w:rsidRDefault="00F05F81" w:rsidP="005250E8">
            <w:pPr>
              <w:jc w:val="center"/>
              <w:rPr>
                <w:rFonts w:ascii="CAIXA Std Book" w:eastAsia="Times New Roman" w:hAnsi="CAIXA Std Book" w:cs="Calibri"/>
                <w:b/>
                <w:bCs/>
                <w:color w:val="F2F2F2"/>
                <w:sz w:val="18"/>
                <w:szCs w:val="18"/>
              </w:rPr>
            </w:pPr>
            <w:r w:rsidRPr="00A943D9">
              <w:rPr>
                <w:rFonts w:ascii="CAIXA Std Book" w:eastAsia="Times New Roman" w:hAnsi="CAIXA Std Book" w:cs="Calibri"/>
                <w:b/>
                <w:bCs/>
                <w:color w:val="F2F2F2"/>
                <w:sz w:val="18"/>
                <w:szCs w:val="18"/>
              </w:rPr>
              <w:t>3</w:t>
            </w:r>
            <w:r>
              <w:rPr>
                <w:rFonts w:ascii="CAIXA Std Book" w:eastAsia="Times New Roman" w:hAnsi="CAIXA Std Book" w:cs="Calibri"/>
                <w:b/>
                <w:bCs/>
                <w:color w:val="F2F2F2"/>
                <w:sz w:val="18"/>
                <w:szCs w:val="18"/>
              </w:rPr>
              <w:t>1</w:t>
            </w:r>
            <w:r w:rsidRPr="00A943D9">
              <w:rPr>
                <w:rFonts w:ascii="CAIXA Std Book" w:eastAsia="Times New Roman" w:hAnsi="CAIXA Std Book" w:cs="Calibri"/>
                <w:b/>
                <w:bCs/>
                <w:color w:val="F2F2F2"/>
                <w:sz w:val="18"/>
                <w:szCs w:val="18"/>
              </w:rPr>
              <w:t>/</w:t>
            </w:r>
            <w:r>
              <w:rPr>
                <w:rFonts w:ascii="CAIXA Std Book" w:eastAsia="Times New Roman" w:hAnsi="CAIXA Std Book" w:cs="Calibri"/>
                <w:b/>
                <w:bCs/>
                <w:color w:val="F2F2F2"/>
                <w:sz w:val="18"/>
                <w:szCs w:val="18"/>
              </w:rPr>
              <w:t>03</w:t>
            </w:r>
            <w:r w:rsidRPr="00A943D9">
              <w:rPr>
                <w:rFonts w:ascii="CAIXA Std Book" w:eastAsia="Times New Roman" w:hAnsi="CAIXA Std Book" w:cs="Calibri"/>
                <w:b/>
                <w:bCs/>
                <w:color w:val="F2F2F2"/>
                <w:sz w:val="18"/>
                <w:szCs w:val="18"/>
              </w:rPr>
              <w:t>/202</w:t>
            </w:r>
            <w:r>
              <w:rPr>
                <w:rFonts w:ascii="CAIXA Std Book" w:eastAsia="Times New Roman" w:hAnsi="CAIXA Std Book" w:cs="Calibri"/>
                <w:b/>
                <w:bCs/>
                <w:color w:val="F2F2F2"/>
                <w:sz w:val="18"/>
                <w:szCs w:val="18"/>
              </w:rPr>
              <w:t>6</w:t>
            </w:r>
          </w:p>
        </w:tc>
        <w:tc>
          <w:tcPr>
            <w:tcW w:w="681" w:type="pct"/>
            <w:tcBorders>
              <w:top w:val="single" w:sz="4" w:space="0" w:color="FFFFFF" w:themeColor="background1"/>
              <w:left w:val="nil"/>
              <w:bottom w:val="single" w:sz="4" w:space="0" w:color="FFFFFF" w:themeColor="background1"/>
            </w:tcBorders>
            <w:shd w:val="clear" w:color="auto" w:fill="005CA9"/>
            <w:vAlign w:val="center"/>
          </w:tcPr>
          <w:p w14:paraId="0A8E0261" w14:textId="7EA23359" w:rsidR="00F05F81" w:rsidRDefault="00F05F81" w:rsidP="005250E8">
            <w:pPr>
              <w:jc w:val="center"/>
              <w:rPr>
                <w:rFonts w:ascii="CAIXA Std Book" w:eastAsia="Times New Roman" w:hAnsi="CAIXA Std Book" w:cs="Calibri"/>
                <w:b/>
                <w:bCs/>
                <w:color w:val="F2F2F2"/>
                <w:sz w:val="18"/>
                <w:szCs w:val="18"/>
              </w:rPr>
            </w:pPr>
            <w:r>
              <w:rPr>
                <w:rFonts w:ascii="CAIXA Std Book" w:eastAsia="Times New Roman" w:hAnsi="CAIXA Std Book" w:cs="Calibri"/>
                <w:b/>
                <w:bCs/>
                <w:color w:val="F2F2F2"/>
                <w:sz w:val="18"/>
                <w:szCs w:val="18"/>
              </w:rPr>
              <w:t>31/12/2025</w:t>
            </w:r>
          </w:p>
        </w:tc>
      </w:tr>
      <w:tr w:rsidR="00805005" w:rsidRPr="00A943D9" w14:paraId="4EF9CFD3" w14:textId="1D46DB41" w:rsidTr="00E22B14">
        <w:trPr>
          <w:trHeight w:val="283"/>
        </w:trPr>
        <w:tc>
          <w:tcPr>
            <w:tcW w:w="1599" w:type="pct"/>
            <w:vMerge/>
            <w:tcBorders>
              <w:top w:val="single" w:sz="4" w:space="0" w:color="FFFFFF" w:themeColor="background1"/>
              <w:left w:val="nil"/>
              <w:bottom w:val="single" w:sz="4" w:space="0" w:color="FFFFFF" w:themeColor="background1"/>
              <w:right w:val="nil"/>
            </w:tcBorders>
            <w:shd w:val="clear" w:color="auto" w:fill="005CA9"/>
            <w:vAlign w:val="center"/>
            <w:hideMark/>
          </w:tcPr>
          <w:p w14:paraId="435E18BE" w14:textId="77777777" w:rsidR="005250E8" w:rsidRPr="00A943D9" w:rsidRDefault="005250E8" w:rsidP="005250E8">
            <w:pPr>
              <w:rPr>
                <w:rFonts w:ascii="CAIXA Std Book" w:eastAsia="Times New Roman" w:hAnsi="CAIXA Std Book" w:cs="Calibri"/>
                <w:b/>
                <w:bCs/>
                <w:color w:val="F2F2F2"/>
                <w:sz w:val="18"/>
                <w:szCs w:val="18"/>
              </w:rPr>
            </w:pPr>
          </w:p>
        </w:tc>
        <w:tc>
          <w:tcPr>
            <w:tcW w:w="680" w:type="pct"/>
            <w:tcBorders>
              <w:top w:val="single" w:sz="4" w:space="0" w:color="FFFFFF" w:themeColor="background1"/>
              <w:left w:val="nil"/>
              <w:bottom w:val="single" w:sz="4" w:space="0" w:color="FFFFFF" w:themeColor="background1"/>
              <w:right w:val="nil"/>
            </w:tcBorders>
            <w:shd w:val="clear" w:color="auto" w:fill="005CA9"/>
            <w:vAlign w:val="center"/>
            <w:hideMark/>
          </w:tcPr>
          <w:p w14:paraId="0BE81B0D" w14:textId="77777777" w:rsidR="005250E8" w:rsidRPr="00A943D9" w:rsidRDefault="005250E8" w:rsidP="005250E8">
            <w:pPr>
              <w:jc w:val="center"/>
              <w:rPr>
                <w:rFonts w:ascii="CAIXA Std Book" w:eastAsia="Times New Roman" w:hAnsi="CAIXA Std Book" w:cs="Calibri"/>
                <w:b/>
                <w:bCs/>
                <w:color w:val="F2F2F2"/>
                <w:sz w:val="18"/>
                <w:szCs w:val="18"/>
              </w:rPr>
            </w:pPr>
            <w:r w:rsidRPr="00A943D9">
              <w:rPr>
                <w:rFonts w:ascii="CAIXA Std Book" w:eastAsia="Times New Roman" w:hAnsi="CAIXA Std Book" w:cs="Calibri"/>
                <w:b/>
                <w:bCs/>
                <w:color w:val="F2F2F2"/>
                <w:sz w:val="18"/>
                <w:szCs w:val="18"/>
              </w:rPr>
              <w:t>Custo</w:t>
            </w:r>
          </w:p>
        </w:tc>
        <w:tc>
          <w:tcPr>
            <w:tcW w:w="680" w:type="pct"/>
            <w:tcBorders>
              <w:top w:val="single" w:sz="4" w:space="0" w:color="FFFFFF" w:themeColor="background1"/>
              <w:left w:val="nil"/>
              <w:bottom w:val="single" w:sz="4" w:space="0" w:color="FFFFFF" w:themeColor="background1"/>
              <w:right w:val="nil"/>
            </w:tcBorders>
            <w:shd w:val="clear" w:color="auto" w:fill="005CA9"/>
            <w:vAlign w:val="center"/>
            <w:hideMark/>
          </w:tcPr>
          <w:p w14:paraId="62627605" w14:textId="77777777" w:rsidR="005250E8" w:rsidRPr="00A943D9" w:rsidRDefault="005250E8" w:rsidP="005250E8">
            <w:pPr>
              <w:jc w:val="center"/>
              <w:rPr>
                <w:rFonts w:ascii="CAIXA Std Book" w:eastAsia="Times New Roman" w:hAnsi="CAIXA Std Book" w:cs="Calibri"/>
                <w:b/>
                <w:bCs/>
                <w:color w:val="F2F2F2"/>
                <w:sz w:val="18"/>
                <w:szCs w:val="18"/>
              </w:rPr>
            </w:pPr>
            <w:r w:rsidRPr="00A943D9">
              <w:rPr>
                <w:rFonts w:ascii="CAIXA Std Book" w:eastAsia="Times New Roman" w:hAnsi="CAIXA Std Book" w:cs="Calibri"/>
                <w:b/>
                <w:bCs/>
                <w:color w:val="F2F2F2"/>
                <w:sz w:val="18"/>
                <w:szCs w:val="18"/>
              </w:rPr>
              <w:t>Amortização acumulada</w:t>
            </w:r>
          </w:p>
        </w:tc>
        <w:tc>
          <w:tcPr>
            <w:tcW w:w="680" w:type="pct"/>
            <w:tcBorders>
              <w:top w:val="single" w:sz="4" w:space="0" w:color="FFFFFF" w:themeColor="background1"/>
              <w:left w:val="nil"/>
              <w:bottom w:val="single" w:sz="4" w:space="0" w:color="FFFFFF" w:themeColor="background1"/>
              <w:right w:val="nil"/>
            </w:tcBorders>
            <w:shd w:val="clear" w:color="auto" w:fill="005CA9"/>
            <w:vAlign w:val="center"/>
            <w:hideMark/>
          </w:tcPr>
          <w:p w14:paraId="765695C6" w14:textId="77777777" w:rsidR="005250E8" w:rsidRPr="00A943D9" w:rsidRDefault="005250E8" w:rsidP="005250E8">
            <w:pPr>
              <w:jc w:val="center"/>
              <w:rPr>
                <w:rFonts w:ascii="CAIXA Std Book" w:eastAsia="Times New Roman" w:hAnsi="CAIXA Std Book" w:cs="Calibri"/>
                <w:b/>
                <w:bCs/>
                <w:color w:val="F2F2F2"/>
                <w:sz w:val="18"/>
                <w:szCs w:val="18"/>
              </w:rPr>
            </w:pPr>
            <w:r w:rsidRPr="00A943D9">
              <w:rPr>
                <w:rFonts w:ascii="CAIXA Std Book" w:eastAsia="Times New Roman" w:hAnsi="CAIXA Std Book" w:cs="Calibri"/>
                <w:b/>
                <w:bCs/>
                <w:color w:val="F2F2F2"/>
                <w:sz w:val="18"/>
                <w:szCs w:val="18"/>
              </w:rPr>
              <w:t>Redução ao valor recuperável</w:t>
            </w:r>
          </w:p>
        </w:tc>
        <w:tc>
          <w:tcPr>
            <w:tcW w:w="680" w:type="pct"/>
            <w:tcBorders>
              <w:top w:val="single" w:sz="4" w:space="0" w:color="FFFFFF" w:themeColor="background1"/>
              <w:left w:val="nil"/>
              <w:bottom w:val="single" w:sz="4" w:space="0" w:color="FFFFFF" w:themeColor="background1"/>
              <w:right w:val="nil"/>
            </w:tcBorders>
            <w:shd w:val="clear" w:color="auto" w:fill="005CA9"/>
            <w:vAlign w:val="center"/>
            <w:hideMark/>
          </w:tcPr>
          <w:p w14:paraId="72BCC5B6" w14:textId="3A160652" w:rsidR="005250E8" w:rsidRPr="00A943D9" w:rsidRDefault="0003440A" w:rsidP="005250E8">
            <w:pPr>
              <w:jc w:val="center"/>
              <w:rPr>
                <w:rFonts w:ascii="CAIXA Std Book" w:eastAsia="Times New Roman" w:hAnsi="CAIXA Std Book" w:cs="Calibri"/>
                <w:b/>
                <w:bCs/>
                <w:color w:val="F2F2F2"/>
                <w:sz w:val="18"/>
                <w:szCs w:val="18"/>
              </w:rPr>
            </w:pPr>
            <w:r w:rsidRPr="00A943D9">
              <w:rPr>
                <w:rFonts w:ascii="CAIXA Std Book" w:eastAsia="Times New Roman" w:hAnsi="CAIXA Std Book" w:cs="Times New Roman"/>
                <w:b/>
                <w:bCs/>
                <w:color w:val="FFFFFF"/>
                <w:sz w:val="18"/>
                <w:szCs w:val="18"/>
              </w:rPr>
              <w:t>Líquido</w:t>
            </w:r>
          </w:p>
        </w:tc>
        <w:tc>
          <w:tcPr>
            <w:tcW w:w="681" w:type="pct"/>
            <w:tcBorders>
              <w:top w:val="single" w:sz="4" w:space="0" w:color="FFFFFF" w:themeColor="background1"/>
              <w:bottom w:val="single" w:sz="4" w:space="0" w:color="FFFFFF" w:themeColor="background1"/>
            </w:tcBorders>
            <w:shd w:val="clear" w:color="auto" w:fill="005CA9"/>
            <w:vAlign w:val="center"/>
          </w:tcPr>
          <w:p w14:paraId="6F9717CF" w14:textId="35A9B745" w:rsidR="00D029A7" w:rsidRPr="00A943D9" w:rsidRDefault="00314880" w:rsidP="005250E8">
            <w:pPr>
              <w:jc w:val="center"/>
              <w:rPr>
                <w:rFonts w:ascii="CAIXA Std Book" w:eastAsia="Times New Roman" w:hAnsi="CAIXA Std Book" w:cs="Times New Roman"/>
                <w:b/>
                <w:bCs/>
                <w:color w:val="FFFFFF"/>
                <w:sz w:val="18"/>
                <w:szCs w:val="18"/>
              </w:rPr>
            </w:pPr>
            <w:r w:rsidRPr="00A943D9">
              <w:rPr>
                <w:rFonts w:ascii="CAIXA Std Book" w:eastAsia="Times New Roman" w:hAnsi="CAIXA Std Book" w:cs="Times New Roman"/>
                <w:b/>
                <w:bCs/>
                <w:color w:val="FFFFFF"/>
                <w:sz w:val="18"/>
                <w:szCs w:val="18"/>
              </w:rPr>
              <w:t>Líquido</w:t>
            </w:r>
          </w:p>
        </w:tc>
      </w:tr>
      <w:tr w:rsidR="00805005" w:rsidRPr="00A943D9" w14:paraId="39574C9B" w14:textId="198E0DE6" w:rsidTr="00E22B14">
        <w:trPr>
          <w:trHeight w:val="283"/>
        </w:trPr>
        <w:tc>
          <w:tcPr>
            <w:tcW w:w="1599" w:type="pct"/>
            <w:tcBorders>
              <w:top w:val="single" w:sz="4" w:space="0" w:color="FFFFFF" w:themeColor="background1"/>
              <w:left w:val="nil"/>
              <w:bottom w:val="nil"/>
              <w:right w:val="nil"/>
            </w:tcBorders>
            <w:shd w:val="clear" w:color="000000" w:fill="FFFFFF"/>
            <w:noWrap/>
            <w:vAlign w:val="center"/>
            <w:hideMark/>
          </w:tcPr>
          <w:p w14:paraId="60A6C377" w14:textId="77777777" w:rsidR="00DB291A" w:rsidRPr="00A943D9" w:rsidRDefault="00DB291A" w:rsidP="00DB291A">
            <w:pPr>
              <w:rPr>
                <w:rFonts w:ascii="CAIXA Std Book" w:eastAsia="Times New Roman" w:hAnsi="CAIXA Std Book" w:cs="Calibri"/>
                <w:color w:val="005CA9"/>
                <w:sz w:val="18"/>
                <w:szCs w:val="18"/>
              </w:rPr>
            </w:pPr>
            <w:r w:rsidRPr="00A943D9">
              <w:rPr>
                <w:rFonts w:ascii="CAIXA Std Book" w:eastAsia="Times New Roman" w:hAnsi="CAIXA Std Book" w:cs="Calibri"/>
                <w:color w:val="005CA9"/>
                <w:sz w:val="18"/>
                <w:szCs w:val="18"/>
              </w:rPr>
              <w:t>Aquisição de folha de pagamento</w:t>
            </w:r>
          </w:p>
        </w:tc>
        <w:tc>
          <w:tcPr>
            <w:tcW w:w="680" w:type="pct"/>
            <w:tcBorders>
              <w:top w:val="single" w:sz="4" w:space="0" w:color="FFFFFF" w:themeColor="background1"/>
              <w:left w:val="nil"/>
              <w:bottom w:val="nil"/>
              <w:right w:val="nil"/>
            </w:tcBorders>
            <w:vAlign w:val="center"/>
          </w:tcPr>
          <w:p w14:paraId="78A5A90F" w14:textId="4583F505" w:rsidR="00DB291A" w:rsidRPr="00A943D9" w:rsidRDefault="008C2C7A" w:rsidP="00DB291A">
            <w:pPr>
              <w:ind w:firstLineChars="100" w:firstLine="180"/>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4.012.584</w:t>
            </w:r>
          </w:p>
        </w:tc>
        <w:tc>
          <w:tcPr>
            <w:tcW w:w="680" w:type="pct"/>
            <w:tcBorders>
              <w:top w:val="single" w:sz="4" w:space="0" w:color="FFFFFF" w:themeColor="background1"/>
              <w:left w:val="nil"/>
              <w:bottom w:val="nil"/>
              <w:right w:val="nil"/>
            </w:tcBorders>
            <w:vAlign w:val="center"/>
          </w:tcPr>
          <w:p w14:paraId="065395D2" w14:textId="7F2EF34E" w:rsidR="00DB291A" w:rsidRPr="00A943D9" w:rsidRDefault="00EC280C" w:rsidP="00DB291A">
            <w:pPr>
              <w:ind w:firstLineChars="100" w:firstLine="180"/>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w:t>
            </w:r>
            <w:r w:rsidR="008C2C7A">
              <w:rPr>
                <w:rFonts w:ascii="CAIXA Std Book" w:hAnsi="CAIXA Std Book" w:cs="Arial"/>
                <w:color w:val="005CA9"/>
                <w:sz w:val="18"/>
                <w:szCs w:val="18"/>
              </w:rPr>
              <w:t>2.322.335</w:t>
            </w:r>
            <w:r>
              <w:rPr>
                <w:rFonts w:ascii="CAIXA Std Book" w:hAnsi="CAIXA Std Book" w:cs="Arial"/>
                <w:color w:val="005CA9"/>
                <w:sz w:val="18"/>
                <w:szCs w:val="18"/>
              </w:rPr>
              <w:t>)</w:t>
            </w:r>
          </w:p>
        </w:tc>
        <w:tc>
          <w:tcPr>
            <w:tcW w:w="680" w:type="pct"/>
            <w:tcBorders>
              <w:top w:val="single" w:sz="4" w:space="0" w:color="FFFFFF" w:themeColor="background1"/>
              <w:left w:val="nil"/>
              <w:bottom w:val="nil"/>
              <w:right w:val="nil"/>
            </w:tcBorders>
            <w:vAlign w:val="center"/>
          </w:tcPr>
          <w:p w14:paraId="4FA74605" w14:textId="00526913" w:rsidR="00DB291A" w:rsidRPr="00A943D9" w:rsidRDefault="008C2C7A" w:rsidP="000C4033">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(259)</w:t>
            </w:r>
          </w:p>
        </w:tc>
        <w:tc>
          <w:tcPr>
            <w:tcW w:w="680" w:type="pct"/>
            <w:tcBorders>
              <w:top w:val="single" w:sz="4" w:space="0" w:color="FFFFFF" w:themeColor="background1"/>
              <w:left w:val="nil"/>
              <w:bottom w:val="nil"/>
              <w:right w:val="nil"/>
            </w:tcBorders>
            <w:vAlign w:val="center"/>
          </w:tcPr>
          <w:p w14:paraId="5F361883" w14:textId="454448CC" w:rsidR="00DB291A" w:rsidRPr="00A943D9" w:rsidRDefault="008C2C7A" w:rsidP="00DB291A">
            <w:pPr>
              <w:ind w:firstLineChars="100" w:firstLine="180"/>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1.689.990</w:t>
            </w:r>
          </w:p>
        </w:tc>
        <w:tc>
          <w:tcPr>
            <w:tcW w:w="681" w:type="pct"/>
            <w:tcBorders>
              <w:top w:val="single" w:sz="4" w:space="0" w:color="FFFFFF" w:themeColor="background1"/>
            </w:tcBorders>
            <w:vAlign w:val="center"/>
          </w:tcPr>
          <w:p w14:paraId="0DC66584" w14:textId="5BF90D7D" w:rsidR="00F40F86" w:rsidRDefault="00F40F86" w:rsidP="00F40F86">
            <w:pPr>
              <w:ind w:firstLineChars="100" w:firstLine="180"/>
              <w:jc w:val="right"/>
              <w:rPr>
                <w:rFonts w:ascii="CAIXA Std Book" w:hAnsi="CAIXA Std Book" w:cs="Arial"/>
                <w:color w:val="005CA9"/>
                <w:sz w:val="18"/>
                <w:szCs w:val="18"/>
              </w:rPr>
            </w:pPr>
            <w:r>
              <w:rPr>
                <w:rFonts w:ascii="CAIXA Std Book" w:hAnsi="CAIXA Std Book" w:cs="Arial"/>
                <w:color w:val="005CA9"/>
                <w:sz w:val="18"/>
                <w:szCs w:val="18"/>
              </w:rPr>
              <w:t>1.709.944</w:t>
            </w:r>
          </w:p>
        </w:tc>
      </w:tr>
      <w:tr w:rsidR="00805005" w:rsidRPr="00A943D9" w14:paraId="0A8581C2" w14:textId="4A167505" w:rsidTr="00E22B14">
        <w:trPr>
          <w:trHeight w:val="283"/>
        </w:trPr>
        <w:tc>
          <w:tcPr>
            <w:tcW w:w="1599" w:type="pct"/>
            <w:tcBorders>
              <w:top w:val="nil"/>
              <w:left w:val="nil"/>
              <w:bottom w:val="nil"/>
              <w:right w:val="nil"/>
            </w:tcBorders>
            <w:shd w:val="clear" w:color="000000" w:fill="FFFFFF"/>
            <w:noWrap/>
            <w:vAlign w:val="center"/>
            <w:hideMark/>
          </w:tcPr>
          <w:p w14:paraId="6522A92D" w14:textId="6051A72D" w:rsidR="00DB291A" w:rsidRPr="00A943D9" w:rsidRDefault="001245E1" w:rsidP="00DB291A">
            <w:pP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S</w:t>
            </w:r>
            <w:r w:rsidR="00DB291A" w:rsidRPr="00A943D9">
              <w:rPr>
                <w:rFonts w:ascii="CAIXA Std Book" w:eastAsia="Times New Roman" w:hAnsi="CAIXA Std Book" w:cs="Calibri"/>
                <w:color w:val="005CA9"/>
                <w:sz w:val="18"/>
                <w:szCs w:val="18"/>
              </w:rPr>
              <w:t>oftware</w:t>
            </w:r>
            <w:r w:rsidR="00F74F35">
              <w:rPr>
                <w:rFonts w:ascii="CAIXA Std Book" w:eastAsia="Times New Roman" w:hAnsi="CAIXA Std Book" w:cs="Calibri"/>
                <w:color w:val="005CA9"/>
                <w:sz w:val="18"/>
                <w:szCs w:val="18"/>
              </w:rPr>
              <w:t>s</w:t>
            </w:r>
          </w:p>
        </w:tc>
        <w:tc>
          <w:tcPr>
            <w:tcW w:w="680" w:type="pct"/>
            <w:tcBorders>
              <w:top w:val="nil"/>
              <w:left w:val="nil"/>
              <w:bottom w:val="nil"/>
              <w:right w:val="nil"/>
            </w:tcBorders>
            <w:noWrap/>
            <w:vAlign w:val="center"/>
          </w:tcPr>
          <w:p w14:paraId="7DC11F80" w14:textId="67A99811" w:rsidR="00DB291A" w:rsidRPr="00A943D9" w:rsidRDefault="008C2C7A" w:rsidP="00DB291A">
            <w:pPr>
              <w:ind w:firstLineChars="100" w:firstLine="180"/>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2.441.277</w:t>
            </w:r>
          </w:p>
        </w:tc>
        <w:tc>
          <w:tcPr>
            <w:tcW w:w="680" w:type="pct"/>
            <w:tcBorders>
              <w:top w:val="nil"/>
              <w:left w:val="nil"/>
              <w:bottom w:val="nil"/>
              <w:right w:val="nil"/>
            </w:tcBorders>
            <w:noWrap/>
            <w:vAlign w:val="center"/>
          </w:tcPr>
          <w:p w14:paraId="74E270E0" w14:textId="53F12F7C" w:rsidR="00DB291A" w:rsidRPr="00A943D9" w:rsidRDefault="00EC280C" w:rsidP="00DB291A">
            <w:pPr>
              <w:ind w:firstLineChars="100" w:firstLine="180"/>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w:t>
            </w:r>
            <w:r w:rsidR="008C2C7A">
              <w:rPr>
                <w:rFonts w:ascii="CAIXA Std Book" w:hAnsi="CAIXA Std Book" w:cs="Arial"/>
                <w:color w:val="005CA9"/>
                <w:sz w:val="18"/>
                <w:szCs w:val="18"/>
              </w:rPr>
              <w:t>1.131.234</w:t>
            </w:r>
            <w:r>
              <w:rPr>
                <w:rFonts w:ascii="CAIXA Std Book" w:hAnsi="CAIXA Std Book" w:cs="Arial"/>
                <w:color w:val="005CA9"/>
                <w:sz w:val="18"/>
                <w:szCs w:val="18"/>
              </w:rPr>
              <w:t>)</w:t>
            </w:r>
          </w:p>
        </w:tc>
        <w:tc>
          <w:tcPr>
            <w:tcW w:w="680" w:type="pct"/>
            <w:tcBorders>
              <w:top w:val="nil"/>
              <w:left w:val="nil"/>
              <w:bottom w:val="nil"/>
              <w:right w:val="nil"/>
            </w:tcBorders>
            <w:noWrap/>
            <w:vAlign w:val="center"/>
          </w:tcPr>
          <w:p w14:paraId="2E11397D" w14:textId="57568A1B" w:rsidR="00DB291A" w:rsidRPr="00A943D9" w:rsidRDefault="00280D78" w:rsidP="00DB291A">
            <w:pPr>
              <w:ind w:firstLineChars="100" w:firstLine="180"/>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w:t>
            </w:r>
            <w:r w:rsidR="008C2C7A">
              <w:rPr>
                <w:rFonts w:ascii="CAIXA Std Book" w:hAnsi="CAIXA Std Book" w:cs="Arial"/>
                <w:color w:val="005CA9"/>
                <w:sz w:val="18"/>
                <w:szCs w:val="18"/>
              </w:rPr>
              <w:t>128</w:t>
            </w:r>
            <w:r>
              <w:rPr>
                <w:rFonts w:ascii="CAIXA Std Book" w:hAnsi="CAIXA Std Book" w:cs="Arial"/>
                <w:color w:val="005CA9"/>
                <w:sz w:val="18"/>
                <w:szCs w:val="18"/>
              </w:rPr>
              <w:t>)</w:t>
            </w:r>
          </w:p>
        </w:tc>
        <w:tc>
          <w:tcPr>
            <w:tcW w:w="680" w:type="pct"/>
            <w:tcBorders>
              <w:top w:val="nil"/>
              <w:left w:val="nil"/>
              <w:bottom w:val="nil"/>
              <w:right w:val="nil"/>
            </w:tcBorders>
            <w:noWrap/>
            <w:vAlign w:val="center"/>
          </w:tcPr>
          <w:p w14:paraId="65D72A7A" w14:textId="62C1327F" w:rsidR="00DB291A" w:rsidRPr="00A943D9" w:rsidRDefault="008C2C7A" w:rsidP="00DB291A">
            <w:pPr>
              <w:ind w:firstLineChars="100" w:firstLine="180"/>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1.309.915</w:t>
            </w:r>
          </w:p>
        </w:tc>
        <w:tc>
          <w:tcPr>
            <w:tcW w:w="681" w:type="pct"/>
            <w:vAlign w:val="center"/>
          </w:tcPr>
          <w:p w14:paraId="24B66F01" w14:textId="7C875284" w:rsidR="00F40F86" w:rsidRDefault="00F40F86" w:rsidP="00F40F86">
            <w:pPr>
              <w:ind w:firstLineChars="100" w:firstLine="180"/>
              <w:jc w:val="right"/>
              <w:rPr>
                <w:rFonts w:ascii="CAIXA Std Book" w:hAnsi="CAIXA Std Book" w:cs="Arial"/>
                <w:color w:val="005CA9"/>
                <w:sz w:val="18"/>
                <w:szCs w:val="18"/>
              </w:rPr>
            </w:pPr>
            <w:r>
              <w:rPr>
                <w:rFonts w:ascii="CAIXA Std Book" w:hAnsi="CAIXA Std Book" w:cs="Arial"/>
                <w:color w:val="005CA9"/>
                <w:sz w:val="18"/>
                <w:szCs w:val="18"/>
              </w:rPr>
              <w:t>1.248.812</w:t>
            </w:r>
          </w:p>
        </w:tc>
      </w:tr>
      <w:tr w:rsidR="00805005" w:rsidRPr="00A943D9" w14:paraId="11DD8ADE" w14:textId="25AEE5C7" w:rsidTr="00E22B14">
        <w:trPr>
          <w:trHeight w:val="283"/>
        </w:trPr>
        <w:tc>
          <w:tcPr>
            <w:tcW w:w="1599" w:type="pct"/>
            <w:tcBorders>
              <w:top w:val="nil"/>
              <w:left w:val="nil"/>
              <w:bottom w:val="nil"/>
              <w:right w:val="nil"/>
            </w:tcBorders>
            <w:shd w:val="clear" w:color="000000" w:fill="FFFFFF"/>
            <w:noWrap/>
            <w:vAlign w:val="center"/>
          </w:tcPr>
          <w:p w14:paraId="2AF2E546" w14:textId="64A38F2B" w:rsidR="00593E83" w:rsidRDefault="0024573A" w:rsidP="00DB291A">
            <w:pP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Licenças e direitos autorais</w:t>
            </w:r>
          </w:p>
        </w:tc>
        <w:tc>
          <w:tcPr>
            <w:tcW w:w="680" w:type="pct"/>
            <w:tcBorders>
              <w:top w:val="nil"/>
              <w:left w:val="nil"/>
              <w:bottom w:val="nil"/>
              <w:right w:val="nil"/>
            </w:tcBorders>
            <w:noWrap/>
            <w:vAlign w:val="center"/>
          </w:tcPr>
          <w:p w14:paraId="43528738" w14:textId="28BB2262" w:rsidR="00593E83" w:rsidRDefault="008C2C7A" w:rsidP="00DB291A">
            <w:pPr>
              <w:ind w:firstLineChars="100" w:firstLine="180"/>
              <w:jc w:val="right"/>
              <w:rPr>
                <w:rFonts w:ascii="CAIXA Std Book" w:hAnsi="CAIXA Std Book" w:cs="Arial"/>
                <w:color w:val="005CA9"/>
                <w:sz w:val="18"/>
                <w:szCs w:val="18"/>
              </w:rPr>
            </w:pPr>
            <w:r>
              <w:rPr>
                <w:rFonts w:ascii="CAIXA Std Book" w:hAnsi="CAIXA Std Book" w:cs="Arial"/>
                <w:color w:val="005CA9"/>
                <w:sz w:val="18"/>
                <w:szCs w:val="18"/>
              </w:rPr>
              <w:t>1.877.874</w:t>
            </w:r>
          </w:p>
        </w:tc>
        <w:tc>
          <w:tcPr>
            <w:tcW w:w="680" w:type="pct"/>
            <w:tcBorders>
              <w:top w:val="nil"/>
              <w:left w:val="nil"/>
              <w:bottom w:val="nil"/>
              <w:right w:val="nil"/>
            </w:tcBorders>
            <w:noWrap/>
            <w:vAlign w:val="center"/>
          </w:tcPr>
          <w:p w14:paraId="501A528C" w14:textId="2816602F" w:rsidR="00593E83" w:rsidRDefault="00EC280C" w:rsidP="00DB291A">
            <w:pPr>
              <w:ind w:firstLineChars="100" w:firstLine="180"/>
              <w:jc w:val="right"/>
              <w:rPr>
                <w:rFonts w:ascii="CAIXA Std Book" w:hAnsi="CAIXA Std Book" w:cs="Arial"/>
                <w:color w:val="005CA9"/>
                <w:sz w:val="18"/>
                <w:szCs w:val="18"/>
              </w:rPr>
            </w:pPr>
            <w:r>
              <w:rPr>
                <w:rFonts w:ascii="CAIXA Std Book" w:hAnsi="CAIXA Std Book" w:cs="Arial"/>
                <w:color w:val="005CA9"/>
                <w:sz w:val="18"/>
                <w:szCs w:val="18"/>
              </w:rPr>
              <w:t>(</w:t>
            </w:r>
            <w:r w:rsidR="008C2C7A">
              <w:rPr>
                <w:rFonts w:ascii="CAIXA Std Book" w:hAnsi="CAIXA Std Book" w:cs="Arial"/>
                <w:color w:val="005CA9"/>
                <w:sz w:val="18"/>
                <w:szCs w:val="18"/>
              </w:rPr>
              <w:t>824.151</w:t>
            </w:r>
            <w:r>
              <w:rPr>
                <w:rFonts w:ascii="CAIXA Std Book" w:hAnsi="CAIXA Std Book" w:cs="Arial"/>
                <w:color w:val="005CA9"/>
                <w:sz w:val="18"/>
                <w:szCs w:val="18"/>
              </w:rPr>
              <w:t>)</w:t>
            </w:r>
          </w:p>
        </w:tc>
        <w:tc>
          <w:tcPr>
            <w:tcW w:w="680" w:type="pct"/>
            <w:tcBorders>
              <w:top w:val="nil"/>
              <w:left w:val="nil"/>
              <w:bottom w:val="nil"/>
              <w:right w:val="nil"/>
            </w:tcBorders>
            <w:noWrap/>
            <w:vAlign w:val="center"/>
          </w:tcPr>
          <w:p w14:paraId="1CDDB195" w14:textId="5E4008EF" w:rsidR="00593E83" w:rsidRDefault="00280D78" w:rsidP="006C344D">
            <w:pPr>
              <w:ind w:firstLineChars="100" w:firstLine="180"/>
              <w:jc w:val="center"/>
              <w:rPr>
                <w:rFonts w:ascii="CAIXA Std Book" w:hAnsi="CAIXA Std Book" w:cs="Arial"/>
                <w:color w:val="005CA9"/>
                <w:sz w:val="18"/>
                <w:szCs w:val="18"/>
              </w:rPr>
            </w:pPr>
            <w:r>
              <w:rPr>
                <w:rFonts w:ascii="CAIXA Std Book" w:hAnsi="CAIXA Std Book" w:cs="Arial"/>
                <w:color w:val="005CA9"/>
                <w:sz w:val="18"/>
                <w:szCs w:val="18"/>
              </w:rPr>
              <w:t>-</w:t>
            </w:r>
          </w:p>
        </w:tc>
        <w:tc>
          <w:tcPr>
            <w:tcW w:w="680" w:type="pct"/>
            <w:tcBorders>
              <w:top w:val="nil"/>
              <w:left w:val="nil"/>
              <w:bottom w:val="nil"/>
              <w:right w:val="nil"/>
            </w:tcBorders>
            <w:noWrap/>
            <w:vAlign w:val="center"/>
          </w:tcPr>
          <w:p w14:paraId="7FF26A1B" w14:textId="345F741C" w:rsidR="00593E83" w:rsidRDefault="008C2C7A" w:rsidP="00DB291A">
            <w:pPr>
              <w:ind w:firstLineChars="100" w:firstLine="180"/>
              <w:jc w:val="right"/>
              <w:rPr>
                <w:rFonts w:ascii="CAIXA Std Book" w:hAnsi="CAIXA Std Book" w:cs="Arial"/>
                <w:color w:val="005CA9"/>
                <w:sz w:val="18"/>
                <w:szCs w:val="18"/>
              </w:rPr>
            </w:pPr>
            <w:r>
              <w:rPr>
                <w:rFonts w:ascii="CAIXA Std Book" w:hAnsi="CAIXA Std Book" w:cs="Arial"/>
                <w:color w:val="005CA9"/>
                <w:sz w:val="18"/>
                <w:szCs w:val="18"/>
              </w:rPr>
              <w:t>1.053.723</w:t>
            </w:r>
          </w:p>
        </w:tc>
        <w:tc>
          <w:tcPr>
            <w:tcW w:w="681" w:type="pct"/>
            <w:vAlign w:val="center"/>
          </w:tcPr>
          <w:p w14:paraId="106FF782" w14:textId="6E75978C" w:rsidR="00F40F86" w:rsidRDefault="00F40F86" w:rsidP="00F40F86">
            <w:pPr>
              <w:ind w:firstLineChars="100" w:firstLine="180"/>
              <w:jc w:val="right"/>
              <w:rPr>
                <w:rFonts w:ascii="CAIXA Std Book" w:hAnsi="CAIXA Std Book" w:cs="Arial"/>
                <w:color w:val="005CA9"/>
                <w:sz w:val="18"/>
                <w:szCs w:val="18"/>
              </w:rPr>
            </w:pPr>
            <w:r>
              <w:rPr>
                <w:rFonts w:ascii="CAIXA Std Book" w:hAnsi="CAIXA Std Book" w:cs="Arial"/>
                <w:color w:val="005CA9"/>
                <w:sz w:val="18"/>
                <w:szCs w:val="18"/>
              </w:rPr>
              <w:t>1.103.706</w:t>
            </w:r>
          </w:p>
        </w:tc>
      </w:tr>
      <w:tr w:rsidR="00805005" w:rsidRPr="00A943D9" w14:paraId="328C9D43" w14:textId="5ED0AEAD" w:rsidTr="00E22B14">
        <w:trPr>
          <w:trHeight w:val="283"/>
        </w:trPr>
        <w:tc>
          <w:tcPr>
            <w:tcW w:w="1599" w:type="pct"/>
            <w:tcBorders>
              <w:top w:val="nil"/>
              <w:left w:val="nil"/>
              <w:bottom w:val="nil"/>
              <w:right w:val="nil"/>
            </w:tcBorders>
            <w:shd w:val="clear" w:color="000000" w:fill="FFFFFF"/>
            <w:noWrap/>
            <w:vAlign w:val="center"/>
            <w:hideMark/>
          </w:tcPr>
          <w:p w14:paraId="3ECFB77C" w14:textId="77777777" w:rsidR="00DB291A" w:rsidRPr="00A943D9" w:rsidRDefault="00DB291A" w:rsidP="00DB291A">
            <w:pPr>
              <w:rPr>
                <w:rFonts w:ascii="CAIXA Std Book" w:eastAsia="Times New Roman" w:hAnsi="CAIXA Std Book" w:cs="Calibri"/>
                <w:color w:val="005CA9"/>
                <w:sz w:val="18"/>
                <w:szCs w:val="18"/>
              </w:rPr>
            </w:pPr>
            <w:r w:rsidRPr="00A943D9">
              <w:rPr>
                <w:rFonts w:ascii="CAIXA Std Book" w:eastAsia="Times New Roman" w:hAnsi="CAIXA Std Book" w:cs="Calibri"/>
                <w:color w:val="005CA9"/>
                <w:sz w:val="18"/>
                <w:szCs w:val="18"/>
              </w:rPr>
              <w:t>Outros intangíveis</w:t>
            </w:r>
          </w:p>
        </w:tc>
        <w:tc>
          <w:tcPr>
            <w:tcW w:w="680" w:type="pct"/>
            <w:tcBorders>
              <w:top w:val="nil"/>
              <w:left w:val="nil"/>
              <w:bottom w:val="nil"/>
              <w:right w:val="nil"/>
            </w:tcBorders>
            <w:noWrap/>
            <w:vAlign w:val="center"/>
          </w:tcPr>
          <w:p w14:paraId="41BED8E1" w14:textId="4CF63721" w:rsidR="00DB291A" w:rsidRPr="00A943D9" w:rsidRDefault="008C2C7A" w:rsidP="00DB291A">
            <w:pPr>
              <w:ind w:firstLineChars="100" w:firstLine="180"/>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617.088</w:t>
            </w:r>
          </w:p>
        </w:tc>
        <w:tc>
          <w:tcPr>
            <w:tcW w:w="680" w:type="pct"/>
            <w:tcBorders>
              <w:top w:val="nil"/>
              <w:left w:val="nil"/>
              <w:bottom w:val="nil"/>
              <w:right w:val="nil"/>
            </w:tcBorders>
            <w:noWrap/>
            <w:vAlign w:val="center"/>
          </w:tcPr>
          <w:p w14:paraId="5192F87E" w14:textId="5220F2ED" w:rsidR="00DB291A" w:rsidRPr="00A943D9" w:rsidRDefault="00EC280C" w:rsidP="00DB291A">
            <w:pPr>
              <w:ind w:firstLineChars="100" w:firstLine="180"/>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w:t>
            </w:r>
            <w:r w:rsidR="008C2C7A">
              <w:rPr>
                <w:rFonts w:ascii="CAIXA Std Book" w:hAnsi="CAIXA Std Book" w:cs="Arial"/>
                <w:color w:val="005CA9"/>
                <w:sz w:val="18"/>
                <w:szCs w:val="18"/>
              </w:rPr>
              <w:t>102.911</w:t>
            </w:r>
            <w:r>
              <w:rPr>
                <w:rFonts w:ascii="CAIXA Std Book" w:hAnsi="CAIXA Std Book" w:cs="Arial"/>
                <w:color w:val="005CA9"/>
                <w:sz w:val="18"/>
                <w:szCs w:val="18"/>
              </w:rPr>
              <w:t>)</w:t>
            </w:r>
          </w:p>
        </w:tc>
        <w:tc>
          <w:tcPr>
            <w:tcW w:w="680" w:type="pct"/>
            <w:tcBorders>
              <w:top w:val="nil"/>
              <w:left w:val="nil"/>
              <w:bottom w:val="nil"/>
              <w:right w:val="nil"/>
            </w:tcBorders>
            <w:noWrap/>
            <w:vAlign w:val="center"/>
          </w:tcPr>
          <w:p w14:paraId="0E53E1ED" w14:textId="59A3A8B1" w:rsidR="00DB291A" w:rsidRPr="00A943D9" w:rsidRDefault="00280D78" w:rsidP="00DB291A">
            <w:pPr>
              <w:ind w:firstLineChars="100" w:firstLine="180"/>
              <w:jc w:val="center"/>
              <w:rPr>
                <w:rFonts w:ascii="CAIXA Std Book" w:eastAsia="Times New Roman" w:hAnsi="CAIXA Std Book" w:cs="Times New Roman"/>
                <w:color w:val="005CA9"/>
                <w:sz w:val="18"/>
                <w:szCs w:val="18"/>
              </w:rPr>
            </w:pPr>
            <w:r>
              <w:rPr>
                <w:rFonts w:ascii="CAIXA Std Book" w:eastAsia="Times New Roman" w:hAnsi="CAIXA Std Book" w:cs="Times New Roman"/>
                <w:color w:val="005CA9"/>
                <w:sz w:val="18"/>
                <w:szCs w:val="18"/>
              </w:rPr>
              <w:t>-</w:t>
            </w:r>
          </w:p>
        </w:tc>
        <w:tc>
          <w:tcPr>
            <w:tcW w:w="680" w:type="pct"/>
            <w:tcBorders>
              <w:top w:val="nil"/>
              <w:left w:val="nil"/>
              <w:bottom w:val="nil"/>
              <w:right w:val="nil"/>
            </w:tcBorders>
            <w:noWrap/>
            <w:vAlign w:val="center"/>
          </w:tcPr>
          <w:p w14:paraId="430F0702" w14:textId="1C4946ED" w:rsidR="00DB291A" w:rsidRPr="00A943D9" w:rsidRDefault="008C2C7A" w:rsidP="00DB291A">
            <w:pPr>
              <w:ind w:firstLineChars="100" w:firstLine="180"/>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514.177</w:t>
            </w:r>
          </w:p>
        </w:tc>
        <w:tc>
          <w:tcPr>
            <w:tcW w:w="681" w:type="pct"/>
            <w:vAlign w:val="center"/>
          </w:tcPr>
          <w:p w14:paraId="43B8736F" w14:textId="3043D0F8" w:rsidR="00F40F86" w:rsidRDefault="00F40F86" w:rsidP="00F40F86">
            <w:pPr>
              <w:ind w:firstLineChars="100" w:firstLine="180"/>
              <w:jc w:val="right"/>
              <w:rPr>
                <w:rFonts w:ascii="CAIXA Std Book" w:hAnsi="CAIXA Std Book" w:cs="Arial"/>
                <w:color w:val="005CA9"/>
                <w:sz w:val="18"/>
                <w:szCs w:val="18"/>
              </w:rPr>
            </w:pPr>
            <w:r>
              <w:rPr>
                <w:rFonts w:ascii="CAIXA Std Book" w:hAnsi="CAIXA Std Book" w:cs="Arial"/>
                <w:color w:val="005CA9"/>
                <w:sz w:val="18"/>
                <w:szCs w:val="18"/>
              </w:rPr>
              <w:t>545.080</w:t>
            </w:r>
          </w:p>
        </w:tc>
      </w:tr>
      <w:tr w:rsidR="00805005" w:rsidRPr="00A943D9" w14:paraId="5B7A2F70" w14:textId="177AA5D6" w:rsidTr="00E22B14">
        <w:trPr>
          <w:trHeight w:val="283"/>
        </w:trPr>
        <w:tc>
          <w:tcPr>
            <w:tcW w:w="1599" w:type="pct"/>
            <w:tcBorders>
              <w:top w:val="nil"/>
              <w:left w:val="nil"/>
              <w:bottom w:val="nil"/>
              <w:right w:val="nil"/>
            </w:tcBorders>
            <w:shd w:val="clear" w:color="auto" w:fill="005CA9"/>
            <w:noWrap/>
            <w:vAlign w:val="center"/>
            <w:hideMark/>
          </w:tcPr>
          <w:p w14:paraId="5779DC65" w14:textId="77777777" w:rsidR="00DB291A" w:rsidRPr="00A943D9" w:rsidRDefault="00DB291A" w:rsidP="00DB291A">
            <w:pPr>
              <w:rPr>
                <w:rFonts w:ascii="CAIXA Std Book" w:eastAsia="Times New Roman" w:hAnsi="CAIXA Std Book" w:cs="Calibri"/>
                <w:b/>
                <w:bCs/>
                <w:color w:val="FFFFFF"/>
                <w:sz w:val="18"/>
                <w:szCs w:val="18"/>
              </w:rPr>
            </w:pPr>
            <w:r w:rsidRPr="00A943D9">
              <w:rPr>
                <w:rFonts w:ascii="CAIXA Std Book" w:eastAsia="Times New Roman" w:hAnsi="CAIXA Std Book" w:cs="Calibri"/>
                <w:b/>
                <w:bCs/>
                <w:color w:val="FFFFFF"/>
                <w:sz w:val="18"/>
                <w:szCs w:val="18"/>
              </w:rPr>
              <w:t>Total</w:t>
            </w:r>
          </w:p>
        </w:tc>
        <w:tc>
          <w:tcPr>
            <w:tcW w:w="680" w:type="pct"/>
            <w:tcBorders>
              <w:top w:val="nil"/>
              <w:left w:val="nil"/>
              <w:bottom w:val="nil"/>
              <w:right w:val="nil"/>
            </w:tcBorders>
            <w:shd w:val="clear" w:color="auto" w:fill="005CA9"/>
            <w:noWrap/>
            <w:vAlign w:val="center"/>
          </w:tcPr>
          <w:p w14:paraId="7908EC59" w14:textId="4232A234" w:rsidR="00DB291A" w:rsidRPr="00A943D9" w:rsidRDefault="008C2C7A" w:rsidP="00DB291A">
            <w:pPr>
              <w:jc w:val="right"/>
              <w:rPr>
                <w:rFonts w:ascii="CAIXA Std Book" w:eastAsia="Times New Roman" w:hAnsi="CAIXA Std Book" w:cs="Times New Roman"/>
                <w:b/>
                <w:bCs/>
                <w:color w:val="FFFFFF"/>
                <w:sz w:val="18"/>
                <w:szCs w:val="18"/>
              </w:rPr>
            </w:pPr>
            <w:r>
              <w:rPr>
                <w:rFonts w:ascii="CAIXA Std Book" w:hAnsi="CAIXA Std Book" w:cs="Arial"/>
                <w:b/>
                <w:bCs/>
                <w:color w:val="FFFFFF"/>
                <w:sz w:val="18"/>
                <w:szCs w:val="18"/>
              </w:rPr>
              <w:t>8.948.823</w:t>
            </w:r>
          </w:p>
        </w:tc>
        <w:tc>
          <w:tcPr>
            <w:tcW w:w="680" w:type="pct"/>
            <w:tcBorders>
              <w:top w:val="nil"/>
              <w:left w:val="nil"/>
              <w:bottom w:val="nil"/>
              <w:right w:val="nil"/>
            </w:tcBorders>
            <w:shd w:val="clear" w:color="auto" w:fill="005CA9"/>
            <w:noWrap/>
            <w:vAlign w:val="center"/>
          </w:tcPr>
          <w:p w14:paraId="6660147B" w14:textId="54B8464E" w:rsidR="00DB291A" w:rsidRPr="00A943D9" w:rsidRDefault="00EC280C" w:rsidP="00DB291A">
            <w:pPr>
              <w:jc w:val="right"/>
              <w:rPr>
                <w:rFonts w:ascii="CAIXA Std Book" w:eastAsia="Times New Roman" w:hAnsi="CAIXA Std Book" w:cs="Times New Roman"/>
                <w:b/>
                <w:bCs/>
                <w:color w:val="FFFFFF"/>
                <w:sz w:val="18"/>
                <w:szCs w:val="18"/>
              </w:rPr>
            </w:pPr>
            <w:r>
              <w:rPr>
                <w:rFonts w:ascii="CAIXA Std Book" w:hAnsi="CAIXA Std Book" w:cs="Arial"/>
                <w:b/>
                <w:bCs/>
                <w:color w:val="FFFFFF"/>
                <w:sz w:val="18"/>
                <w:szCs w:val="18"/>
              </w:rPr>
              <w:t>(</w:t>
            </w:r>
            <w:r w:rsidR="008C2C7A">
              <w:rPr>
                <w:rFonts w:ascii="CAIXA Std Book" w:hAnsi="CAIXA Std Book" w:cs="Arial"/>
                <w:b/>
                <w:bCs/>
                <w:color w:val="FFFFFF"/>
                <w:sz w:val="18"/>
                <w:szCs w:val="18"/>
              </w:rPr>
              <w:t>4.380.631</w:t>
            </w:r>
            <w:r>
              <w:rPr>
                <w:rFonts w:ascii="CAIXA Std Book" w:hAnsi="CAIXA Std Book" w:cs="Arial"/>
                <w:b/>
                <w:bCs/>
                <w:color w:val="FFFFFF"/>
                <w:sz w:val="18"/>
                <w:szCs w:val="18"/>
              </w:rPr>
              <w:t>)</w:t>
            </w:r>
          </w:p>
        </w:tc>
        <w:tc>
          <w:tcPr>
            <w:tcW w:w="680" w:type="pct"/>
            <w:tcBorders>
              <w:top w:val="nil"/>
              <w:left w:val="nil"/>
              <w:bottom w:val="nil"/>
              <w:right w:val="nil"/>
            </w:tcBorders>
            <w:shd w:val="clear" w:color="auto" w:fill="005CA9"/>
            <w:noWrap/>
            <w:vAlign w:val="center"/>
          </w:tcPr>
          <w:p w14:paraId="0EFEA028" w14:textId="25326B56" w:rsidR="00DB291A" w:rsidRPr="00A943D9" w:rsidRDefault="00280D78" w:rsidP="00DB291A">
            <w:pPr>
              <w:jc w:val="right"/>
              <w:rPr>
                <w:rFonts w:ascii="CAIXA Std Book" w:eastAsia="Times New Roman" w:hAnsi="CAIXA Std Book" w:cs="Times New Roman"/>
                <w:b/>
                <w:bCs/>
                <w:color w:val="FFFFFF"/>
                <w:sz w:val="18"/>
                <w:szCs w:val="18"/>
              </w:rPr>
            </w:pPr>
            <w:r>
              <w:rPr>
                <w:rFonts w:ascii="CAIXA Std Book" w:hAnsi="CAIXA Std Book" w:cs="Arial"/>
                <w:b/>
                <w:bCs/>
                <w:color w:val="FFFFFF"/>
                <w:sz w:val="18"/>
                <w:szCs w:val="18"/>
              </w:rPr>
              <w:t>(</w:t>
            </w:r>
            <w:r w:rsidR="008C2C7A">
              <w:rPr>
                <w:rFonts w:ascii="CAIXA Std Book" w:hAnsi="CAIXA Std Book" w:cs="Arial"/>
                <w:b/>
                <w:bCs/>
                <w:color w:val="FFFFFF"/>
                <w:sz w:val="18"/>
                <w:szCs w:val="18"/>
              </w:rPr>
              <w:t>387</w:t>
            </w:r>
            <w:r>
              <w:rPr>
                <w:rFonts w:ascii="CAIXA Std Book" w:hAnsi="CAIXA Std Book" w:cs="Arial"/>
                <w:b/>
                <w:bCs/>
                <w:color w:val="FFFFFF"/>
                <w:sz w:val="18"/>
                <w:szCs w:val="18"/>
              </w:rPr>
              <w:t>)</w:t>
            </w:r>
          </w:p>
        </w:tc>
        <w:tc>
          <w:tcPr>
            <w:tcW w:w="680" w:type="pct"/>
            <w:tcBorders>
              <w:top w:val="nil"/>
              <w:left w:val="nil"/>
              <w:bottom w:val="nil"/>
              <w:right w:val="nil"/>
            </w:tcBorders>
            <w:shd w:val="clear" w:color="auto" w:fill="005CA9"/>
            <w:noWrap/>
            <w:vAlign w:val="center"/>
          </w:tcPr>
          <w:p w14:paraId="5952E078" w14:textId="7A443658" w:rsidR="00DB291A" w:rsidRPr="00A943D9" w:rsidRDefault="008C2C7A" w:rsidP="00DB291A">
            <w:pPr>
              <w:jc w:val="right"/>
              <w:rPr>
                <w:rFonts w:ascii="CAIXA Std Book" w:eastAsia="Times New Roman" w:hAnsi="CAIXA Std Book" w:cs="Times New Roman"/>
                <w:b/>
                <w:bCs/>
                <w:color w:val="FFFFFF"/>
                <w:sz w:val="18"/>
                <w:szCs w:val="18"/>
              </w:rPr>
            </w:pPr>
            <w:r>
              <w:rPr>
                <w:rFonts w:ascii="CAIXA Std Book" w:hAnsi="CAIXA Std Book" w:cs="Arial"/>
                <w:b/>
                <w:bCs/>
                <w:color w:val="FFFFFF"/>
                <w:sz w:val="18"/>
                <w:szCs w:val="18"/>
              </w:rPr>
              <w:t>4.567.805</w:t>
            </w:r>
          </w:p>
        </w:tc>
        <w:tc>
          <w:tcPr>
            <w:tcW w:w="681" w:type="pct"/>
            <w:shd w:val="clear" w:color="auto" w:fill="005CA9"/>
            <w:vAlign w:val="center"/>
          </w:tcPr>
          <w:p w14:paraId="15DA9355" w14:textId="34B47E5B" w:rsidR="00F40F86" w:rsidRDefault="00F40F86" w:rsidP="00F40F86">
            <w:pPr>
              <w:jc w:val="right"/>
              <w:rPr>
                <w:rFonts w:ascii="CAIXA Std Book" w:hAnsi="CAIXA Std Book" w:cs="Arial"/>
                <w:b/>
                <w:bCs/>
                <w:color w:val="FFFFFF"/>
                <w:sz w:val="18"/>
                <w:szCs w:val="18"/>
              </w:rPr>
            </w:pPr>
            <w:r>
              <w:rPr>
                <w:rFonts w:ascii="CAIXA Std Book" w:hAnsi="CAIXA Std Book" w:cs="Arial"/>
                <w:b/>
                <w:bCs/>
                <w:color w:val="FFFFFF"/>
                <w:sz w:val="18"/>
                <w:szCs w:val="18"/>
              </w:rPr>
              <w:t>4.607.542</w:t>
            </w:r>
          </w:p>
        </w:tc>
      </w:tr>
    </w:tbl>
    <w:p w14:paraId="0C8FB6CF" w14:textId="31074353" w:rsidR="00602F67" w:rsidRPr="00477E11" w:rsidRDefault="00602F67" w:rsidP="00477E11">
      <w:pPr>
        <w:rPr>
          <w:rFonts w:ascii="CAIXA Std Book" w:hAnsi="CAIXA Std Book"/>
          <w:b/>
          <w:color w:val="005CA9"/>
        </w:rPr>
      </w:pPr>
    </w:p>
    <w:tbl>
      <w:tblPr>
        <w:tblW w:w="5000" w:type="pct"/>
        <w:tblCellMar>
          <w:left w:w="70" w:type="dxa"/>
          <w:right w:w="70" w:type="dxa"/>
        </w:tblCellMar>
        <w:tblLook w:val="04A0" w:firstRow="1" w:lastRow="0" w:firstColumn="1" w:lastColumn="0" w:noHBand="0" w:noVBand="1"/>
      </w:tblPr>
      <w:tblGrid>
        <w:gridCol w:w="3118"/>
        <w:gridCol w:w="1303"/>
        <w:gridCol w:w="1305"/>
        <w:gridCol w:w="1303"/>
        <w:gridCol w:w="1305"/>
        <w:gridCol w:w="1303"/>
      </w:tblGrid>
      <w:tr w:rsidR="001E5665" w:rsidRPr="00A943D9" w14:paraId="5A358D41" w14:textId="77777777" w:rsidTr="00E22B14">
        <w:trPr>
          <w:trHeight w:val="283"/>
        </w:trPr>
        <w:tc>
          <w:tcPr>
            <w:tcW w:w="5000" w:type="pct"/>
            <w:gridSpan w:val="6"/>
            <w:tcBorders>
              <w:top w:val="single" w:sz="4" w:space="0" w:color="FFFFFF"/>
              <w:left w:val="nil"/>
              <w:bottom w:val="single" w:sz="4" w:space="0" w:color="FFFFFF" w:themeColor="background1"/>
            </w:tcBorders>
            <w:shd w:val="clear" w:color="auto" w:fill="005CA9"/>
            <w:noWrap/>
            <w:vAlign w:val="center"/>
            <w:hideMark/>
          </w:tcPr>
          <w:p w14:paraId="542CEAB9" w14:textId="1293B124" w:rsidR="001E5665" w:rsidRPr="00A943D9" w:rsidRDefault="001E5665" w:rsidP="0085691D">
            <w:pPr>
              <w:jc w:val="center"/>
              <w:rPr>
                <w:rFonts w:ascii="CAIXA Std Book" w:eastAsia="Times New Roman" w:hAnsi="CAIXA Std Book" w:cs="Calibri"/>
                <w:b/>
                <w:bCs/>
                <w:color w:val="F2F2F2"/>
                <w:sz w:val="18"/>
                <w:szCs w:val="18"/>
              </w:rPr>
            </w:pPr>
            <w:r w:rsidRPr="00A943D9">
              <w:rPr>
                <w:rFonts w:ascii="CAIXA Std Book" w:hAnsi="CAIXA Std Book" w:cs="Calibri"/>
                <w:b/>
                <w:bCs/>
                <w:color w:val="F2F2F2"/>
                <w:sz w:val="18"/>
                <w:szCs w:val="18"/>
              </w:rPr>
              <w:t>Consolidado</w:t>
            </w:r>
          </w:p>
        </w:tc>
      </w:tr>
      <w:tr w:rsidR="001E5665" w:rsidRPr="00A943D9" w14:paraId="6B33531E" w14:textId="77777777" w:rsidTr="00E22B14">
        <w:trPr>
          <w:trHeight w:val="283"/>
        </w:trPr>
        <w:tc>
          <w:tcPr>
            <w:tcW w:w="1618" w:type="pct"/>
            <w:vMerge w:val="restart"/>
            <w:tcBorders>
              <w:top w:val="single" w:sz="4" w:space="0" w:color="FFFFFF" w:themeColor="background1"/>
              <w:left w:val="nil"/>
              <w:bottom w:val="nil"/>
              <w:right w:val="nil"/>
            </w:tcBorders>
            <w:shd w:val="clear" w:color="auto" w:fill="005CA9"/>
            <w:vAlign w:val="center"/>
            <w:hideMark/>
          </w:tcPr>
          <w:p w14:paraId="5378CC7B" w14:textId="77777777" w:rsidR="001E5665" w:rsidRPr="00A943D9" w:rsidRDefault="001E5665" w:rsidP="0085691D">
            <w:pPr>
              <w:jc w:val="center"/>
              <w:rPr>
                <w:rFonts w:ascii="CAIXA Std Book" w:eastAsia="Times New Roman" w:hAnsi="CAIXA Std Book" w:cs="Calibri"/>
                <w:b/>
                <w:bCs/>
                <w:color w:val="F2F2F2"/>
                <w:sz w:val="18"/>
                <w:szCs w:val="18"/>
              </w:rPr>
            </w:pPr>
            <w:r w:rsidRPr="00A943D9">
              <w:rPr>
                <w:rFonts w:ascii="CAIXA Std Book" w:eastAsia="Times New Roman" w:hAnsi="CAIXA Std Book" w:cs="Calibri"/>
                <w:b/>
                <w:bCs/>
                <w:color w:val="F2F2F2"/>
                <w:sz w:val="18"/>
                <w:szCs w:val="18"/>
              </w:rPr>
              <w:t>Descrição</w:t>
            </w:r>
          </w:p>
        </w:tc>
        <w:tc>
          <w:tcPr>
            <w:tcW w:w="2706" w:type="pct"/>
            <w:gridSpan w:val="4"/>
            <w:tcBorders>
              <w:top w:val="single" w:sz="4" w:space="0" w:color="FFFFFF" w:themeColor="background1"/>
              <w:left w:val="nil"/>
              <w:bottom w:val="single" w:sz="4" w:space="0" w:color="FFFFFF" w:themeColor="background1"/>
              <w:right w:val="nil"/>
            </w:tcBorders>
            <w:shd w:val="clear" w:color="auto" w:fill="005CA9"/>
            <w:vAlign w:val="center"/>
            <w:hideMark/>
          </w:tcPr>
          <w:p w14:paraId="5C496AAA" w14:textId="77777777" w:rsidR="001E5665" w:rsidRPr="00A943D9" w:rsidRDefault="001E5665" w:rsidP="0085691D">
            <w:pPr>
              <w:jc w:val="center"/>
              <w:rPr>
                <w:rFonts w:ascii="CAIXA Std Book" w:eastAsia="Times New Roman" w:hAnsi="CAIXA Std Book" w:cs="Calibri"/>
                <w:b/>
                <w:bCs/>
                <w:color w:val="F2F2F2"/>
                <w:sz w:val="18"/>
                <w:szCs w:val="18"/>
              </w:rPr>
            </w:pPr>
            <w:r w:rsidRPr="00A943D9">
              <w:rPr>
                <w:rFonts w:ascii="CAIXA Std Book" w:eastAsia="Times New Roman" w:hAnsi="CAIXA Std Book" w:cs="Calibri"/>
                <w:b/>
                <w:bCs/>
                <w:color w:val="F2F2F2"/>
                <w:sz w:val="18"/>
                <w:szCs w:val="18"/>
              </w:rPr>
              <w:t>3</w:t>
            </w:r>
            <w:r>
              <w:rPr>
                <w:rFonts w:ascii="CAIXA Std Book" w:eastAsia="Times New Roman" w:hAnsi="CAIXA Std Book" w:cs="Calibri"/>
                <w:b/>
                <w:bCs/>
                <w:color w:val="F2F2F2"/>
                <w:sz w:val="18"/>
                <w:szCs w:val="18"/>
              </w:rPr>
              <w:t>1</w:t>
            </w:r>
            <w:r w:rsidRPr="00A943D9">
              <w:rPr>
                <w:rFonts w:ascii="CAIXA Std Book" w:eastAsia="Times New Roman" w:hAnsi="CAIXA Std Book" w:cs="Calibri"/>
                <w:b/>
                <w:bCs/>
                <w:color w:val="F2F2F2"/>
                <w:sz w:val="18"/>
                <w:szCs w:val="18"/>
              </w:rPr>
              <w:t>/</w:t>
            </w:r>
            <w:r>
              <w:rPr>
                <w:rFonts w:ascii="CAIXA Std Book" w:eastAsia="Times New Roman" w:hAnsi="CAIXA Std Book" w:cs="Calibri"/>
                <w:b/>
                <w:bCs/>
                <w:color w:val="F2F2F2"/>
                <w:sz w:val="18"/>
                <w:szCs w:val="18"/>
              </w:rPr>
              <w:t>03</w:t>
            </w:r>
            <w:r w:rsidRPr="00A943D9">
              <w:rPr>
                <w:rFonts w:ascii="CAIXA Std Book" w:eastAsia="Times New Roman" w:hAnsi="CAIXA Std Book" w:cs="Calibri"/>
                <w:b/>
                <w:bCs/>
                <w:color w:val="F2F2F2"/>
                <w:sz w:val="18"/>
                <w:szCs w:val="18"/>
              </w:rPr>
              <w:t>/202</w:t>
            </w:r>
            <w:r>
              <w:rPr>
                <w:rFonts w:ascii="CAIXA Std Book" w:eastAsia="Times New Roman" w:hAnsi="CAIXA Std Book" w:cs="Calibri"/>
                <w:b/>
                <w:bCs/>
                <w:color w:val="F2F2F2"/>
                <w:sz w:val="18"/>
                <w:szCs w:val="18"/>
              </w:rPr>
              <w:t>6</w:t>
            </w:r>
          </w:p>
        </w:tc>
        <w:tc>
          <w:tcPr>
            <w:tcW w:w="676" w:type="pct"/>
            <w:tcBorders>
              <w:top w:val="single" w:sz="4" w:space="0" w:color="FFFFFF" w:themeColor="background1"/>
              <w:bottom w:val="single" w:sz="4" w:space="0" w:color="FFFFFF" w:themeColor="background1"/>
            </w:tcBorders>
            <w:shd w:val="clear" w:color="auto" w:fill="005CA9"/>
          </w:tcPr>
          <w:p w14:paraId="078DEFC0" w14:textId="77777777" w:rsidR="001E5665" w:rsidRPr="00A943D9" w:rsidRDefault="001E5665" w:rsidP="0085691D">
            <w:pPr>
              <w:jc w:val="center"/>
              <w:rPr>
                <w:rFonts w:ascii="CAIXA Std Book" w:eastAsia="Times New Roman" w:hAnsi="CAIXA Std Book" w:cs="Calibri"/>
                <w:b/>
                <w:bCs/>
                <w:color w:val="F2F2F2"/>
                <w:sz w:val="18"/>
                <w:szCs w:val="18"/>
              </w:rPr>
            </w:pPr>
            <w:r>
              <w:rPr>
                <w:rFonts w:ascii="CAIXA Std Book" w:eastAsia="Times New Roman" w:hAnsi="CAIXA Std Book" w:cs="Calibri"/>
                <w:b/>
                <w:bCs/>
                <w:color w:val="F2F2F2"/>
                <w:sz w:val="18"/>
                <w:szCs w:val="18"/>
              </w:rPr>
              <w:t>31/12/2025</w:t>
            </w:r>
          </w:p>
        </w:tc>
      </w:tr>
      <w:tr w:rsidR="001E5665" w:rsidRPr="00A943D9" w14:paraId="298AFB56" w14:textId="77777777" w:rsidTr="00E22B14">
        <w:trPr>
          <w:trHeight w:val="283"/>
        </w:trPr>
        <w:tc>
          <w:tcPr>
            <w:tcW w:w="1618" w:type="pct"/>
            <w:vMerge/>
            <w:tcBorders>
              <w:top w:val="single" w:sz="4" w:space="0" w:color="FFFFFF" w:themeColor="background1"/>
              <w:left w:val="nil"/>
              <w:bottom w:val="single" w:sz="4" w:space="0" w:color="FFFFFF" w:themeColor="background1"/>
              <w:right w:val="nil"/>
            </w:tcBorders>
            <w:shd w:val="clear" w:color="auto" w:fill="005CA9"/>
            <w:vAlign w:val="center"/>
            <w:hideMark/>
          </w:tcPr>
          <w:p w14:paraId="2B0892D9" w14:textId="77777777" w:rsidR="001E5665" w:rsidRPr="00A943D9" w:rsidRDefault="001E5665" w:rsidP="0085691D">
            <w:pPr>
              <w:rPr>
                <w:rFonts w:ascii="CAIXA Std Book" w:eastAsia="Times New Roman" w:hAnsi="CAIXA Std Book" w:cs="Calibri"/>
                <w:b/>
                <w:bCs/>
                <w:color w:val="F2F2F2"/>
                <w:sz w:val="18"/>
                <w:szCs w:val="18"/>
              </w:rPr>
            </w:pPr>
          </w:p>
        </w:tc>
        <w:tc>
          <w:tcPr>
            <w:tcW w:w="676" w:type="pct"/>
            <w:tcBorders>
              <w:top w:val="single" w:sz="4" w:space="0" w:color="FFFFFF" w:themeColor="background1"/>
              <w:left w:val="nil"/>
              <w:bottom w:val="single" w:sz="4" w:space="0" w:color="FFFFFF" w:themeColor="background1"/>
              <w:right w:val="nil"/>
            </w:tcBorders>
            <w:shd w:val="clear" w:color="auto" w:fill="005CA9"/>
            <w:vAlign w:val="center"/>
            <w:hideMark/>
          </w:tcPr>
          <w:p w14:paraId="02F64682" w14:textId="77777777" w:rsidR="001E5665" w:rsidRPr="00A943D9" w:rsidRDefault="001E5665" w:rsidP="0085691D">
            <w:pPr>
              <w:jc w:val="center"/>
              <w:rPr>
                <w:rFonts w:ascii="CAIXA Std Book" w:eastAsia="Times New Roman" w:hAnsi="CAIXA Std Book" w:cs="Calibri"/>
                <w:b/>
                <w:bCs/>
                <w:color w:val="F2F2F2"/>
                <w:sz w:val="18"/>
                <w:szCs w:val="18"/>
              </w:rPr>
            </w:pPr>
            <w:r w:rsidRPr="00A943D9">
              <w:rPr>
                <w:rFonts w:ascii="CAIXA Std Book" w:eastAsia="Times New Roman" w:hAnsi="CAIXA Std Book" w:cs="Calibri"/>
                <w:b/>
                <w:bCs/>
                <w:color w:val="F2F2F2"/>
                <w:sz w:val="18"/>
                <w:szCs w:val="18"/>
              </w:rPr>
              <w:t>Custo</w:t>
            </w:r>
          </w:p>
        </w:tc>
        <w:tc>
          <w:tcPr>
            <w:tcW w:w="677" w:type="pct"/>
            <w:tcBorders>
              <w:top w:val="single" w:sz="4" w:space="0" w:color="FFFFFF" w:themeColor="background1"/>
              <w:left w:val="nil"/>
              <w:bottom w:val="single" w:sz="4" w:space="0" w:color="FFFFFF" w:themeColor="background1"/>
              <w:right w:val="nil"/>
            </w:tcBorders>
            <w:shd w:val="clear" w:color="auto" w:fill="005CA9"/>
            <w:vAlign w:val="center"/>
            <w:hideMark/>
          </w:tcPr>
          <w:p w14:paraId="3CFB9B21" w14:textId="77777777" w:rsidR="001E5665" w:rsidRPr="00A943D9" w:rsidRDefault="001E5665" w:rsidP="0085691D">
            <w:pPr>
              <w:jc w:val="center"/>
              <w:rPr>
                <w:rFonts w:ascii="CAIXA Std Book" w:eastAsia="Times New Roman" w:hAnsi="CAIXA Std Book" w:cs="Calibri"/>
                <w:b/>
                <w:bCs/>
                <w:color w:val="F2F2F2"/>
                <w:sz w:val="18"/>
                <w:szCs w:val="18"/>
              </w:rPr>
            </w:pPr>
            <w:r w:rsidRPr="00A943D9">
              <w:rPr>
                <w:rFonts w:ascii="CAIXA Std Book" w:eastAsia="Times New Roman" w:hAnsi="CAIXA Std Book" w:cs="Calibri"/>
                <w:b/>
                <w:bCs/>
                <w:color w:val="F2F2F2"/>
                <w:sz w:val="18"/>
                <w:szCs w:val="18"/>
              </w:rPr>
              <w:t>Amortização acumulada</w:t>
            </w:r>
          </w:p>
        </w:tc>
        <w:tc>
          <w:tcPr>
            <w:tcW w:w="676" w:type="pct"/>
            <w:tcBorders>
              <w:top w:val="single" w:sz="4" w:space="0" w:color="FFFFFF" w:themeColor="background1"/>
              <w:left w:val="nil"/>
              <w:bottom w:val="single" w:sz="4" w:space="0" w:color="FFFFFF" w:themeColor="background1"/>
              <w:right w:val="nil"/>
            </w:tcBorders>
            <w:shd w:val="clear" w:color="auto" w:fill="005CA9"/>
            <w:vAlign w:val="center"/>
            <w:hideMark/>
          </w:tcPr>
          <w:p w14:paraId="1B7B19C9" w14:textId="77777777" w:rsidR="001E5665" w:rsidRPr="00A943D9" w:rsidRDefault="001E5665" w:rsidP="0085691D">
            <w:pPr>
              <w:jc w:val="center"/>
              <w:rPr>
                <w:rFonts w:ascii="CAIXA Std Book" w:eastAsia="Times New Roman" w:hAnsi="CAIXA Std Book" w:cs="Calibri"/>
                <w:b/>
                <w:bCs/>
                <w:color w:val="F2F2F2"/>
                <w:sz w:val="18"/>
                <w:szCs w:val="18"/>
              </w:rPr>
            </w:pPr>
            <w:r w:rsidRPr="00A943D9">
              <w:rPr>
                <w:rFonts w:ascii="CAIXA Std Book" w:eastAsia="Times New Roman" w:hAnsi="CAIXA Std Book" w:cs="Calibri"/>
                <w:b/>
                <w:bCs/>
                <w:color w:val="F2F2F2"/>
                <w:sz w:val="18"/>
                <w:szCs w:val="18"/>
              </w:rPr>
              <w:t>Redução ao valor recuperável</w:t>
            </w:r>
          </w:p>
        </w:tc>
        <w:tc>
          <w:tcPr>
            <w:tcW w:w="677" w:type="pct"/>
            <w:tcBorders>
              <w:top w:val="single" w:sz="4" w:space="0" w:color="FFFFFF" w:themeColor="background1"/>
              <w:left w:val="nil"/>
              <w:bottom w:val="single" w:sz="4" w:space="0" w:color="FFFFFF" w:themeColor="background1"/>
              <w:right w:val="nil"/>
            </w:tcBorders>
            <w:shd w:val="clear" w:color="auto" w:fill="005CA9"/>
            <w:vAlign w:val="center"/>
            <w:hideMark/>
          </w:tcPr>
          <w:p w14:paraId="5C98E180" w14:textId="77777777" w:rsidR="001E5665" w:rsidRPr="00A943D9" w:rsidRDefault="001E5665" w:rsidP="0085691D">
            <w:pPr>
              <w:jc w:val="center"/>
              <w:rPr>
                <w:rFonts w:ascii="CAIXA Std Book" w:eastAsia="Times New Roman" w:hAnsi="CAIXA Std Book" w:cs="Calibri"/>
                <w:b/>
                <w:bCs/>
                <w:color w:val="F2F2F2"/>
                <w:sz w:val="18"/>
                <w:szCs w:val="18"/>
              </w:rPr>
            </w:pPr>
            <w:r w:rsidRPr="00A943D9">
              <w:rPr>
                <w:rFonts w:ascii="CAIXA Std Book" w:eastAsia="Times New Roman" w:hAnsi="CAIXA Std Book" w:cs="Times New Roman"/>
                <w:b/>
                <w:bCs/>
                <w:color w:val="FFFFFF"/>
                <w:sz w:val="18"/>
                <w:szCs w:val="18"/>
              </w:rPr>
              <w:t>Líquido</w:t>
            </w:r>
          </w:p>
        </w:tc>
        <w:tc>
          <w:tcPr>
            <w:tcW w:w="676" w:type="pct"/>
            <w:tcBorders>
              <w:top w:val="single" w:sz="4" w:space="0" w:color="FFFFFF" w:themeColor="background1"/>
              <w:bottom w:val="single" w:sz="4" w:space="0" w:color="FFFFFF" w:themeColor="background1"/>
            </w:tcBorders>
            <w:shd w:val="clear" w:color="auto" w:fill="005CA9"/>
          </w:tcPr>
          <w:p w14:paraId="34F44A9D" w14:textId="77777777" w:rsidR="0049500E" w:rsidRDefault="0049500E" w:rsidP="00F05F81">
            <w:pPr>
              <w:jc w:val="center"/>
              <w:rPr>
                <w:rFonts w:ascii="CAIXA Std Book" w:eastAsia="Times New Roman" w:hAnsi="CAIXA Std Book" w:cs="Times New Roman"/>
                <w:b/>
                <w:bCs/>
                <w:color w:val="FFFFFF"/>
                <w:sz w:val="18"/>
                <w:szCs w:val="18"/>
              </w:rPr>
            </w:pPr>
          </w:p>
          <w:p w14:paraId="700FCF27" w14:textId="68699133" w:rsidR="001E5665" w:rsidRPr="00A943D9" w:rsidRDefault="00F05F81" w:rsidP="00F05F81">
            <w:pPr>
              <w:jc w:val="center"/>
              <w:rPr>
                <w:rFonts w:ascii="CAIXA Std Book" w:eastAsia="Times New Roman" w:hAnsi="CAIXA Std Book" w:cs="Times New Roman"/>
                <w:b/>
                <w:bCs/>
                <w:color w:val="FFFFFF"/>
                <w:sz w:val="18"/>
                <w:szCs w:val="18"/>
              </w:rPr>
            </w:pPr>
            <w:r w:rsidRPr="00A943D9">
              <w:rPr>
                <w:rFonts w:ascii="CAIXA Std Book" w:eastAsia="Times New Roman" w:hAnsi="CAIXA Std Book" w:cs="Times New Roman"/>
                <w:b/>
                <w:bCs/>
                <w:color w:val="FFFFFF"/>
                <w:sz w:val="18"/>
                <w:szCs w:val="18"/>
              </w:rPr>
              <w:t>Líquido</w:t>
            </w:r>
          </w:p>
        </w:tc>
      </w:tr>
      <w:tr w:rsidR="001E5665" w:rsidRPr="00A943D9" w14:paraId="4D577FAE" w14:textId="77777777" w:rsidTr="00E22B14">
        <w:trPr>
          <w:trHeight w:val="283"/>
        </w:trPr>
        <w:tc>
          <w:tcPr>
            <w:tcW w:w="1618" w:type="pct"/>
            <w:tcBorders>
              <w:top w:val="single" w:sz="4" w:space="0" w:color="FFFFFF" w:themeColor="background1"/>
              <w:left w:val="nil"/>
              <w:bottom w:val="nil"/>
              <w:right w:val="nil"/>
            </w:tcBorders>
            <w:shd w:val="clear" w:color="000000" w:fill="FFFFFF"/>
            <w:noWrap/>
            <w:vAlign w:val="center"/>
            <w:hideMark/>
          </w:tcPr>
          <w:p w14:paraId="53D8E8EF" w14:textId="77777777" w:rsidR="001E5665" w:rsidRPr="00A943D9" w:rsidRDefault="001E5665" w:rsidP="001E5665">
            <w:pPr>
              <w:rPr>
                <w:rFonts w:ascii="CAIXA Std Book" w:eastAsia="Times New Roman" w:hAnsi="CAIXA Std Book" w:cs="Calibri"/>
                <w:color w:val="005CA9"/>
                <w:sz w:val="18"/>
                <w:szCs w:val="18"/>
              </w:rPr>
            </w:pPr>
            <w:r w:rsidRPr="00A943D9">
              <w:rPr>
                <w:rFonts w:ascii="CAIXA Std Book" w:eastAsia="Times New Roman" w:hAnsi="CAIXA Std Book" w:cs="Calibri"/>
                <w:color w:val="005CA9"/>
                <w:sz w:val="18"/>
                <w:szCs w:val="18"/>
              </w:rPr>
              <w:t>Aquisição de folha de pagamento</w:t>
            </w:r>
          </w:p>
        </w:tc>
        <w:tc>
          <w:tcPr>
            <w:tcW w:w="676" w:type="pct"/>
            <w:tcBorders>
              <w:top w:val="single" w:sz="4" w:space="0" w:color="FFFFFF" w:themeColor="background1"/>
              <w:left w:val="nil"/>
              <w:bottom w:val="nil"/>
              <w:right w:val="nil"/>
            </w:tcBorders>
            <w:vAlign w:val="center"/>
          </w:tcPr>
          <w:p w14:paraId="436CF8BC" w14:textId="3D0A6870" w:rsidR="001E5665" w:rsidRPr="00A943D9" w:rsidRDefault="001C19E4" w:rsidP="001E5665">
            <w:pPr>
              <w:ind w:firstLineChars="100" w:firstLine="180"/>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4.012.584</w:t>
            </w:r>
          </w:p>
        </w:tc>
        <w:tc>
          <w:tcPr>
            <w:tcW w:w="677" w:type="pct"/>
            <w:tcBorders>
              <w:top w:val="single" w:sz="4" w:space="0" w:color="FFFFFF" w:themeColor="background1"/>
              <w:left w:val="nil"/>
              <w:bottom w:val="nil"/>
              <w:right w:val="nil"/>
            </w:tcBorders>
            <w:vAlign w:val="center"/>
          </w:tcPr>
          <w:p w14:paraId="468F0AF4" w14:textId="15BFC9C8" w:rsidR="001E5665" w:rsidRPr="00A943D9" w:rsidRDefault="00185656" w:rsidP="001E5665">
            <w:pPr>
              <w:ind w:firstLineChars="100" w:firstLine="180"/>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w:t>
            </w:r>
            <w:r w:rsidR="001C19E4">
              <w:rPr>
                <w:rFonts w:ascii="CAIXA Std Book" w:hAnsi="CAIXA Std Book" w:cs="Arial"/>
                <w:color w:val="005CA9"/>
                <w:sz w:val="18"/>
                <w:szCs w:val="18"/>
              </w:rPr>
              <w:t>2.322.335</w:t>
            </w:r>
            <w:r>
              <w:rPr>
                <w:rFonts w:ascii="CAIXA Std Book" w:hAnsi="CAIXA Std Book" w:cs="Arial"/>
                <w:color w:val="005CA9"/>
                <w:sz w:val="18"/>
                <w:szCs w:val="18"/>
              </w:rPr>
              <w:t>)</w:t>
            </w:r>
          </w:p>
        </w:tc>
        <w:tc>
          <w:tcPr>
            <w:tcW w:w="676" w:type="pct"/>
            <w:tcBorders>
              <w:top w:val="single" w:sz="4" w:space="0" w:color="FFFFFF" w:themeColor="background1"/>
              <w:left w:val="nil"/>
              <w:bottom w:val="nil"/>
              <w:right w:val="nil"/>
            </w:tcBorders>
            <w:vAlign w:val="center"/>
          </w:tcPr>
          <w:p w14:paraId="78A4177E" w14:textId="16B864CC" w:rsidR="001E5665" w:rsidRPr="00A943D9" w:rsidRDefault="001C19E4" w:rsidP="001C19E4">
            <w:pPr>
              <w:ind w:firstLineChars="100" w:firstLine="180"/>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(259)</w:t>
            </w:r>
          </w:p>
        </w:tc>
        <w:tc>
          <w:tcPr>
            <w:tcW w:w="677" w:type="pct"/>
            <w:tcBorders>
              <w:top w:val="single" w:sz="4" w:space="0" w:color="FFFFFF" w:themeColor="background1"/>
              <w:left w:val="nil"/>
              <w:bottom w:val="nil"/>
              <w:right w:val="nil"/>
            </w:tcBorders>
            <w:vAlign w:val="center"/>
          </w:tcPr>
          <w:p w14:paraId="4A262958" w14:textId="17C17E57" w:rsidR="001E5665" w:rsidRPr="00A943D9" w:rsidRDefault="00185656" w:rsidP="001E5665">
            <w:pPr>
              <w:ind w:firstLineChars="100" w:firstLine="180"/>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1.689.990</w:t>
            </w:r>
          </w:p>
        </w:tc>
        <w:tc>
          <w:tcPr>
            <w:tcW w:w="676" w:type="pct"/>
            <w:tcBorders>
              <w:top w:val="single" w:sz="4" w:space="0" w:color="FFFFFF" w:themeColor="background1"/>
            </w:tcBorders>
            <w:vAlign w:val="center"/>
          </w:tcPr>
          <w:p w14:paraId="350CF674" w14:textId="26B48DE6" w:rsidR="001E5665" w:rsidRDefault="001E5665" w:rsidP="001E5665">
            <w:pPr>
              <w:ind w:firstLineChars="100" w:firstLine="180"/>
              <w:jc w:val="right"/>
              <w:rPr>
                <w:rFonts w:ascii="CAIXA Std Book" w:hAnsi="CAIXA Std Book" w:cs="Arial"/>
                <w:color w:val="005CA9"/>
                <w:sz w:val="18"/>
                <w:szCs w:val="18"/>
              </w:rPr>
            </w:pPr>
            <w:r>
              <w:rPr>
                <w:rFonts w:ascii="CAIXA Std Book" w:hAnsi="CAIXA Std Book" w:cs="Arial"/>
                <w:color w:val="005CA9"/>
                <w:sz w:val="18"/>
                <w:szCs w:val="18"/>
              </w:rPr>
              <w:t>1.709.944</w:t>
            </w:r>
          </w:p>
        </w:tc>
      </w:tr>
      <w:tr w:rsidR="001E5665" w:rsidRPr="00A943D9" w14:paraId="00A62C24" w14:textId="77777777" w:rsidTr="00E22B14">
        <w:trPr>
          <w:trHeight w:val="283"/>
        </w:trPr>
        <w:tc>
          <w:tcPr>
            <w:tcW w:w="1618" w:type="pct"/>
            <w:tcBorders>
              <w:top w:val="nil"/>
              <w:left w:val="nil"/>
              <w:bottom w:val="nil"/>
              <w:right w:val="nil"/>
            </w:tcBorders>
            <w:shd w:val="clear" w:color="000000" w:fill="FFFFFF"/>
            <w:noWrap/>
            <w:vAlign w:val="center"/>
            <w:hideMark/>
          </w:tcPr>
          <w:p w14:paraId="30CA1140" w14:textId="77777777" w:rsidR="001E5665" w:rsidRPr="00A943D9" w:rsidRDefault="001E5665" w:rsidP="001E5665">
            <w:pP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S</w:t>
            </w:r>
            <w:r w:rsidRPr="00A943D9">
              <w:rPr>
                <w:rFonts w:ascii="CAIXA Std Book" w:eastAsia="Times New Roman" w:hAnsi="CAIXA Std Book" w:cs="Calibri"/>
                <w:color w:val="005CA9"/>
                <w:sz w:val="18"/>
                <w:szCs w:val="18"/>
              </w:rPr>
              <w:t>oftware</w:t>
            </w:r>
            <w:r>
              <w:rPr>
                <w:rFonts w:ascii="CAIXA Std Book" w:eastAsia="Times New Roman" w:hAnsi="CAIXA Std Book" w:cs="Calibri"/>
                <w:color w:val="005CA9"/>
                <w:sz w:val="18"/>
                <w:szCs w:val="18"/>
              </w:rPr>
              <w:t>s</w:t>
            </w:r>
          </w:p>
        </w:tc>
        <w:tc>
          <w:tcPr>
            <w:tcW w:w="676" w:type="pct"/>
            <w:tcBorders>
              <w:top w:val="nil"/>
              <w:left w:val="nil"/>
              <w:bottom w:val="nil"/>
              <w:right w:val="nil"/>
            </w:tcBorders>
            <w:noWrap/>
            <w:vAlign w:val="center"/>
          </w:tcPr>
          <w:p w14:paraId="53049253" w14:textId="10827C18" w:rsidR="001E5665" w:rsidRPr="00A943D9" w:rsidRDefault="001C19E4" w:rsidP="001E5665">
            <w:pPr>
              <w:ind w:firstLineChars="100" w:firstLine="180"/>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2.441.277</w:t>
            </w:r>
          </w:p>
        </w:tc>
        <w:tc>
          <w:tcPr>
            <w:tcW w:w="677" w:type="pct"/>
            <w:tcBorders>
              <w:top w:val="nil"/>
              <w:left w:val="nil"/>
              <w:bottom w:val="nil"/>
              <w:right w:val="nil"/>
            </w:tcBorders>
            <w:noWrap/>
            <w:vAlign w:val="center"/>
          </w:tcPr>
          <w:p w14:paraId="716E5E54" w14:textId="05EB6DBC" w:rsidR="001E5665" w:rsidRPr="00A943D9" w:rsidRDefault="00185656" w:rsidP="001E5665">
            <w:pPr>
              <w:ind w:firstLineChars="100" w:firstLine="180"/>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w:t>
            </w:r>
            <w:r w:rsidR="001C19E4">
              <w:rPr>
                <w:rFonts w:ascii="CAIXA Std Book" w:hAnsi="CAIXA Std Book" w:cs="Arial"/>
                <w:color w:val="005CA9"/>
                <w:sz w:val="18"/>
                <w:szCs w:val="18"/>
              </w:rPr>
              <w:t>1.131.234</w:t>
            </w:r>
            <w:r>
              <w:rPr>
                <w:rFonts w:ascii="CAIXA Std Book" w:hAnsi="CAIXA Std Book" w:cs="Arial"/>
                <w:color w:val="005CA9"/>
                <w:sz w:val="18"/>
                <w:szCs w:val="18"/>
              </w:rPr>
              <w:t>)</w:t>
            </w:r>
          </w:p>
        </w:tc>
        <w:tc>
          <w:tcPr>
            <w:tcW w:w="676" w:type="pct"/>
            <w:tcBorders>
              <w:top w:val="nil"/>
              <w:left w:val="nil"/>
              <w:bottom w:val="nil"/>
              <w:right w:val="nil"/>
            </w:tcBorders>
            <w:noWrap/>
            <w:vAlign w:val="center"/>
          </w:tcPr>
          <w:p w14:paraId="3225B719" w14:textId="3AFFB0BD" w:rsidR="001E5665" w:rsidRPr="00A943D9" w:rsidRDefault="001C19E4" w:rsidP="001E5665">
            <w:pPr>
              <w:ind w:firstLineChars="100" w:firstLine="180"/>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(128)</w:t>
            </w:r>
          </w:p>
        </w:tc>
        <w:tc>
          <w:tcPr>
            <w:tcW w:w="677" w:type="pct"/>
            <w:tcBorders>
              <w:top w:val="nil"/>
              <w:left w:val="nil"/>
              <w:bottom w:val="nil"/>
              <w:right w:val="nil"/>
            </w:tcBorders>
            <w:noWrap/>
            <w:vAlign w:val="center"/>
          </w:tcPr>
          <w:p w14:paraId="6BEE1A36" w14:textId="75188DB8" w:rsidR="001E5665" w:rsidRPr="00A943D9" w:rsidRDefault="00185656" w:rsidP="001E5665">
            <w:pPr>
              <w:ind w:firstLineChars="100" w:firstLine="180"/>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1.309.915</w:t>
            </w:r>
          </w:p>
        </w:tc>
        <w:tc>
          <w:tcPr>
            <w:tcW w:w="676" w:type="pct"/>
            <w:vAlign w:val="center"/>
          </w:tcPr>
          <w:p w14:paraId="28708B8B" w14:textId="610EFA50" w:rsidR="001E5665" w:rsidRDefault="001E5665" w:rsidP="001E5665">
            <w:pPr>
              <w:ind w:firstLineChars="100" w:firstLine="180"/>
              <w:jc w:val="right"/>
              <w:rPr>
                <w:rFonts w:ascii="CAIXA Std Book" w:hAnsi="CAIXA Std Book" w:cs="Arial"/>
                <w:color w:val="005CA9"/>
                <w:sz w:val="18"/>
                <w:szCs w:val="18"/>
              </w:rPr>
            </w:pPr>
            <w:r>
              <w:rPr>
                <w:rFonts w:ascii="CAIXA Std Book" w:hAnsi="CAIXA Std Book" w:cs="Arial"/>
                <w:color w:val="005CA9"/>
                <w:sz w:val="18"/>
                <w:szCs w:val="18"/>
              </w:rPr>
              <w:t>1.248.812</w:t>
            </w:r>
          </w:p>
        </w:tc>
      </w:tr>
      <w:tr w:rsidR="001E5665" w:rsidRPr="00A943D9" w14:paraId="3D5E6C1A" w14:textId="77777777" w:rsidTr="00E22B14">
        <w:trPr>
          <w:trHeight w:val="283"/>
        </w:trPr>
        <w:tc>
          <w:tcPr>
            <w:tcW w:w="1618" w:type="pct"/>
            <w:tcBorders>
              <w:top w:val="nil"/>
              <w:left w:val="nil"/>
              <w:bottom w:val="nil"/>
              <w:right w:val="nil"/>
            </w:tcBorders>
            <w:shd w:val="clear" w:color="000000" w:fill="FFFFFF"/>
            <w:noWrap/>
            <w:vAlign w:val="center"/>
          </w:tcPr>
          <w:p w14:paraId="01F80FFD" w14:textId="77777777" w:rsidR="001E5665" w:rsidRDefault="001E5665" w:rsidP="001E5665">
            <w:pP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Licenças e direitos autorais</w:t>
            </w:r>
          </w:p>
        </w:tc>
        <w:tc>
          <w:tcPr>
            <w:tcW w:w="676" w:type="pct"/>
            <w:tcBorders>
              <w:top w:val="nil"/>
              <w:left w:val="nil"/>
              <w:bottom w:val="nil"/>
              <w:right w:val="nil"/>
            </w:tcBorders>
            <w:noWrap/>
            <w:vAlign w:val="center"/>
          </w:tcPr>
          <w:p w14:paraId="248A0526" w14:textId="2E43E570" w:rsidR="001E5665" w:rsidRDefault="001C19E4" w:rsidP="001E5665">
            <w:pPr>
              <w:ind w:firstLineChars="100" w:firstLine="180"/>
              <w:jc w:val="right"/>
              <w:rPr>
                <w:rFonts w:ascii="CAIXA Std Book" w:hAnsi="CAIXA Std Book" w:cs="Arial"/>
                <w:color w:val="005CA9"/>
                <w:sz w:val="18"/>
                <w:szCs w:val="18"/>
              </w:rPr>
            </w:pPr>
            <w:r>
              <w:rPr>
                <w:rFonts w:ascii="CAIXA Std Book" w:hAnsi="CAIXA Std Book" w:cs="Arial"/>
                <w:color w:val="005CA9"/>
                <w:sz w:val="18"/>
                <w:szCs w:val="18"/>
              </w:rPr>
              <w:t>1.877.874</w:t>
            </w:r>
          </w:p>
        </w:tc>
        <w:tc>
          <w:tcPr>
            <w:tcW w:w="677" w:type="pct"/>
            <w:tcBorders>
              <w:top w:val="nil"/>
              <w:left w:val="nil"/>
              <w:bottom w:val="nil"/>
              <w:right w:val="nil"/>
            </w:tcBorders>
            <w:noWrap/>
            <w:vAlign w:val="center"/>
          </w:tcPr>
          <w:p w14:paraId="5DF45689" w14:textId="573792F6" w:rsidR="001E5665" w:rsidRDefault="00185656" w:rsidP="001E5665">
            <w:pPr>
              <w:ind w:firstLineChars="100" w:firstLine="180"/>
              <w:jc w:val="right"/>
              <w:rPr>
                <w:rFonts w:ascii="CAIXA Std Book" w:hAnsi="CAIXA Std Book" w:cs="Arial"/>
                <w:color w:val="005CA9"/>
                <w:sz w:val="18"/>
                <w:szCs w:val="18"/>
              </w:rPr>
            </w:pPr>
            <w:r>
              <w:rPr>
                <w:rFonts w:ascii="CAIXA Std Book" w:hAnsi="CAIXA Std Book" w:cs="Arial"/>
                <w:color w:val="005CA9"/>
                <w:sz w:val="18"/>
                <w:szCs w:val="18"/>
              </w:rPr>
              <w:t>(</w:t>
            </w:r>
            <w:r w:rsidR="001C19E4">
              <w:rPr>
                <w:rFonts w:ascii="CAIXA Std Book" w:hAnsi="CAIXA Std Book" w:cs="Arial"/>
                <w:color w:val="005CA9"/>
                <w:sz w:val="18"/>
                <w:szCs w:val="18"/>
              </w:rPr>
              <w:t>824.151</w:t>
            </w:r>
            <w:r>
              <w:rPr>
                <w:rFonts w:ascii="CAIXA Std Book" w:hAnsi="CAIXA Std Book" w:cs="Arial"/>
                <w:color w:val="005CA9"/>
                <w:sz w:val="18"/>
                <w:szCs w:val="18"/>
              </w:rPr>
              <w:t>)</w:t>
            </w:r>
          </w:p>
        </w:tc>
        <w:tc>
          <w:tcPr>
            <w:tcW w:w="676" w:type="pct"/>
            <w:tcBorders>
              <w:top w:val="nil"/>
              <w:left w:val="nil"/>
              <w:bottom w:val="nil"/>
              <w:right w:val="nil"/>
            </w:tcBorders>
            <w:noWrap/>
            <w:vAlign w:val="center"/>
          </w:tcPr>
          <w:p w14:paraId="01A89B28" w14:textId="7E2C1933" w:rsidR="001E5665" w:rsidRDefault="001C19E4" w:rsidP="001E5665">
            <w:pPr>
              <w:ind w:firstLineChars="100" w:firstLine="180"/>
              <w:jc w:val="center"/>
              <w:rPr>
                <w:rFonts w:ascii="CAIXA Std Book" w:hAnsi="CAIXA Std Book" w:cs="Arial"/>
                <w:color w:val="005CA9"/>
                <w:sz w:val="18"/>
                <w:szCs w:val="18"/>
              </w:rPr>
            </w:pPr>
            <w:r>
              <w:rPr>
                <w:rFonts w:ascii="CAIXA Std Book" w:hAnsi="CAIXA Std Book" w:cs="Arial"/>
                <w:color w:val="005CA9"/>
                <w:sz w:val="18"/>
                <w:szCs w:val="18"/>
              </w:rPr>
              <w:t>-</w:t>
            </w:r>
          </w:p>
        </w:tc>
        <w:tc>
          <w:tcPr>
            <w:tcW w:w="677" w:type="pct"/>
            <w:tcBorders>
              <w:top w:val="nil"/>
              <w:left w:val="nil"/>
              <w:bottom w:val="nil"/>
              <w:right w:val="nil"/>
            </w:tcBorders>
            <w:noWrap/>
            <w:vAlign w:val="center"/>
          </w:tcPr>
          <w:p w14:paraId="3C54ED00" w14:textId="4A01BBF0" w:rsidR="001E5665" w:rsidRDefault="00185656" w:rsidP="001E5665">
            <w:pPr>
              <w:ind w:firstLineChars="100" w:firstLine="180"/>
              <w:jc w:val="right"/>
              <w:rPr>
                <w:rFonts w:ascii="CAIXA Std Book" w:hAnsi="CAIXA Std Book" w:cs="Arial"/>
                <w:color w:val="005CA9"/>
                <w:sz w:val="18"/>
                <w:szCs w:val="18"/>
              </w:rPr>
            </w:pPr>
            <w:r>
              <w:rPr>
                <w:rFonts w:ascii="CAIXA Std Book" w:hAnsi="CAIXA Std Book" w:cs="Arial"/>
                <w:color w:val="005CA9"/>
                <w:sz w:val="18"/>
                <w:szCs w:val="18"/>
              </w:rPr>
              <w:t>1.053.723</w:t>
            </w:r>
          </w:p>
        </w:tc>
        <w:tc>
          <w:tcPr>
            <w:tcW w:w="676" w:type="pct"/>
            <w:vAlign w:val="center"/>
          </w:tcPr>
          <w:p w14:paraId="2114FDEF" w14:textId="7132BF33" w:rsidR="001E5665" w:rsidRDefault="001E5665" w:rsidP="001E5665">
            <w:pPr>
              <w:ind w:firstLineChars="100" w:firstLine="180"/>
              <w:jc w:val="right"/>
              <w:rPr>
                <w:rFonts w:ascii="CAIXA Std Book" w:hAnsi="CAIXA Std Book" w:cs="Arial"/>
                <w:color w:val="005CA9"/>
                <w:sz w:val="18"/>
                <w:szCs w:val="18"/>
              </w:rPr>
            </w:pPr>
            <w:r>
              <w:rPr>
                <w:rFonts w:ascii="CAIXA Std Book" w:hAnsi="CAIXA Std Book" w:cs="Arial"/>
                <w:color w:val="005CA9"/>
                <w:sz w:val="18"/>
                <w:szCs w:val="18"/>
              </w:rPr>
              <w:t>1.103.706</w:t>
            </w:r>
          </w:p>
        </w:tc>
      </w:tr>
      <w:tr w:rsidR="001E5665" w:rsidRPr="00A943D9" w14:paraId="50EF18F4" w14:textId="77777777" w:rsidTr="00E22B14">
        <w:trPr>
          <w:trHeight w:val="283"/>
        </w:trPr>
        <w:tc>
          <w:tcPr>
            <w:tcW w:w="1618" w:type="pct"/>
            <w:tcBorders>
              <w:top w:val="nil"/>
              <w:left w:val="nil"/>
              <w:bottom w:val="nil"/>
              <w:right w:val="nil"/>
            </w:tcBorders>
            <w:shd w:val="clear" w:color="000000" w:fill="FFFFFF"/>
            <w:noWrap/>
            <w:vAlign w:val="center"/>
            <w:hideMark/>
          </w:tcPr>
          <w:p w14:paraId="6A65F6B6" w14:textId="77777777" w:rsidR="001E5665" w:rsidRPr="00A943D9" w:rsidRDefault="001E5665" w:rsidP="001E5665">
            <w:pPr>
              <w:rPr>
                <w:rFonts w:ascii="CAIXA Std Book" w:eastAsia="Times New Roman" w:hAnsi="CAIXA Std Book" w:cs="Calibri"/>
                <w:color w:val="005CA9"/>
                <w:sz w:val="18"/>
                <w:szCs w:val="18"/>
              </w:rPr>
            </w:pPr>
            <w:r w:rsidRPr="00A943D9">
              <w:rPr>
                <w:rFonts w:ascii="CAIXA Std Book" w:eastAsia="Times New Roman" w:hAnsi="CAIXA Std Book" w:cs="Calibri"/>
                <w:color w:val="005CA9"/>
                <w:sz w:val="18"/>
                <w:szCs w:val="18"/>
              </w:rPr>
              <w:t>Outros intangíveis</w:t>
            </w:r>
          </w:p>
        </w:tc>
        <w:tc>
          <w:tcPr>
            <w:tcW w:w="676" w:type="pct"/>
            <w:tcBorders>
              <w:top w:val="nil"/>
              <w:left w:val="nil"/>
              <w:bottom w:val="nil"/>
              <w:right w:val="nil"/>
            </w:tcBorders>
            <w:noWrap/>
            <w:vAlign w:val="center"/>
          </w:tcPr>
          <w:p w14:paraId="64B69914" w14:textId="25F25A84" w:rsidR="001E5665" w:rsidRPr="00A943D9" w:rsidRDefault="001C19E4" w:rsidP="001E5665">
            <w:pPr>
              <w:ind w:firstLineChars="100" w:firstLine="180"/>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647.</w:t>
            </w:r>
            <w:r w:rsidR="00077C4D">
              <w:rPr>
                <w:rFonts w:ascii="CAIXA Std Book" w:hAnsi="CAIXA Std Book" w:cs="Arial"/>
                <w:color w:val="005CA9"/>
                <w:sz w:val="18"/>
                <w:szCs w:val="18"/>
              </w:rPr>
              <w:t>138</w:t>
            </w:r>
          </w:p>
        </w:tc>
        <w:tc>
          <w:tcPr>
            <w:tcW w:w="677" w:type="pct"/>
            <w:tcBorders>
              <w:top w:val="nil"/>
              <w:left w:val="nil"/>
              <w:bottom w:val="nil"/>
              <w:right w:val="nil"/>
            </w:tcBorders>
            <w:noWrap/>
            <w:vAlign w:val="center"/>
          </w:tcPr>
          <w:p w14:paraId="4C1B82DC" w14:textId="4C355A94" w:rsidR="001E5665" w:rsidRPr="00A943D9" w:rsidRDefault="00185656" w:rsidP="001E5665">
            <w:pPr>
              <w:ind w:firstLineChars="100" w:firstLine="180"/>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w:t>
            </w:r>
            <w:r w:rsidR="001C19E4">
              <w:rPr>
                <w:rFonts w:ascii="CAIXA Std Book" w:hAnsi="CAIXA Std Book" w:cs="Arial"/>
                <w:color w:val="005CA9"/>
                <w:sz w:val="18"/>
                <w:szCs w:val="18"/>
              </w:rPr>
              <w:t>110.420</w:t>
            </w:r>
            <w:r>
              <w:rPr>
                <w:rFonts w:ascii="CAIXA Std Book" w:hAnsi="CAIXA Std Book" w:cs="Arial"/>
                <w:color w:val="005CA9"/>
                <w:sz w:val="18"/>
                <w:szCs w:val="18"/>
              </w:rPr>
              <w:t>)</w:t>
            </w:r>
          </w:p>
        </w:tc>
        <w:tc>
          <w:tcPr>
            <w:tcW w:w="676" w:type="pct"/>
            <w:tcBorders>
              <w:top w:val="nil"/>
              <w:left w:val="nil"/>
              <w:bottom w:val="nil"/>
              <w:right w:val="nil"/>
            </w:tcBorders>
            <w:noWrap/>
            <w:vAlign w:val="center"/>
          </w:tcPr>
          <w:p w14:paraId="56780FA8" w14:textId="7CCFB1DC" w:rsidR="001E5665" w:rsidRPr="00A943D9" w:rsidRDefault="001C19E4" w:rsidP="001E5665">
            <w:pPr>
              <w:ind w:firstLineChars="100" w:firstLine="180"/>
              <w:jc w:val="center"/>
              <w:rPr>
                <w:rFonts w:ascii="CAIXA Std Book" w:eastAsia="Times New Roman" w:hAnsi="CAIXA Std Book" w:cs="Times New Roman"/>
                <w:color w:val="005CA9"/>
                <w:sz w:val="18"/>
                <w:szCs w:val="18"/>
              </w:rPr>
            </w:pPr>
            <w:r>
              <w:rPr>
                <w:rFonts w:ascii="CAIXA Std Book" w:eastAsia="Times New Roman" w:hAnsi="CAIXA Std Book" w:cs="Times New Roman"/>
                <w:color w:val="005CA9"/>
                <w:sz w:val="18"/>
                <w:szCs w:val="18"/>
              </w:rPr>
              <w:t>-</w:t>
            </w:r>
          </w:p>
        </w:tc>
        <w:tc>
          <w:tcPr>
            <w:tcW w:w="677" w:type="pct"/>
            <w:tcBorders>
              <w:top w:val="nil"/>
              <w:left w:val="nil"/>
              <w:bottom w:val="nil"/>
              <w:right w:val="nil"/>
            </w:tcBorders>
            <w:noWrap/>
            <w:vAlign w:val="center"/>
          </w:tcPr>
          <w:p w14:paraId="56FD82C9" w14:textId="27E66677" w:rsidR="001E5665" w:rsidRPr="00A943D9" w:rsidRDefault="00185656" w:rsidP="001E5665">
            <w:pPr>
              <w:ind w:firstLineChars="100" w:firstLine="180"/>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536.</w:t>
            </w:r>
            <w:r w:rsidR="00077C4D">
              <w:rPr>
                <w:rFonts w:ascii="CAIXA Std Book" w:hAnsi="CAIXA Std Book" w:cs="Arial"/>
                <w:color w:val="005CA9"/>
                <w:sz w:val="18"/>
                <w:szCs w:val="18"/>
              </w:rPr>
              <w:t>718</w:t>
            </w:r>
          </w:p>
        </w:tc>
        <w:tc>
          <w:tcPr>
            <w:tcW w:w="676" w:type="pct"/>
            <w:vAlign w:val="center"/>
          </w:tcPr>
          <w:p w14:paraId="568F424B" w14:textId="5BBB9897" w:rsidR="001E5665" w:rsidRDefault="001E5665" w:rsidP="001E5665">
            <w:pPr>
              <w:ind w:firstLineChars="100" w:firstLine="180"/>
              <w:jc w:val="right"/>
              <w:rPr>
                <w:rFonts w:ascii="CAIXA Std Book" w:hAnsi="CAIXA Std Book" w:cs="Arial"/>
                <w:color w:val="005CA9"/>
                <w:sz w:val="18"/>
                <w:szCs w:val="18"/>
              </w:rPr>
            </w:pPr>
            <w:r>
              <w:rPr>
                <w:rFonts w:ascii="CAIXA Std Book" w:hAnsi="CAIXA Std Book" w:cs="Arial"/>
                <w:color w:val="005CA9"/>
                <w:sz w:val="18"/>
                <w:szCs w:val="18"/>
              </w:rPr>
              <w:t>569.120</w:t>
            </w:r>
          </w:p>
        </w:tc>
      </w:tr>
      <w:tr w:rsidR="001E5665" w:rsidRPr="00A943D9" w14:paraId="2B81F9E0" w14:textId="77777777" w:rsidTr="00E22B14">
        <w:trPr>
          <w:trHeight w:val="283"/>
        </w:trPr>
        <w:tc>
          <w:tcPr>
            <w:tcW w:w="1618" w:type="pct"/>
            <w:tcBorders>
              <w:top w:val="nil"/>
              <w:left w:val="nil"/>
              <w:bottom w:val="nil"/>
              <w:right w:val="nil"/>
            </w:tcBorders>
            <w:shd w:val="clear" w:color="auto" w:fill="005CA9"/>
            <w:noWrap/>
            <w:vAlign w:val="center"/>
            <w:hideMark/>
          </w:tcPr>
          <w:p w14:paraId="7F9D1D15" w14:textId="77777777" w:rsidR="001E5665" w:rsidRPr="00A943D9" w:rsidRDefault="001E5665" w:rsidP="001E5665">
            <w:pPr>
              <w:rPr>
                <w:rFonts w:ascii="CAIXA Std Book" w:eastAsia="Times New Roman" w:hAnsi="CAIXA Std Book" w:cs="Calibri"/>
                <w:b/>
                <w:bCs/>
                <w:color w:val="FFFFFF"/>
                <w:sz w:val="18"/>
                <w:szCs w:val="18"/>
              </w:rPr>
            </w:pPr>
            <w:r w:rsidRPr="00A943D9">
              <w:rPr>
                <w:rFonts w:ascii="CAIXA Std Book" w:eastAsia="Times New Roman" w:hAnsi="CAIXA Std Book" w:cs="Calibri"/>
                <w:b/>
                <w:bCs/>
                <w:color w:val="FFFFFF"/>
                <w:sz w:val="18"/>
                <w:szCs w:val="18"/>
              </w:rPr>
              <w:t>Total</w:t>
            </w:r>
          </w:p>
        </w:tc>
        <w:tc>
          <w:tcPr>
            <w:tcW w:w="676" w:type="pct"/>
            <w:tcBorders>
              <w:top w:val="nil"/>
              <w:left w:val="nil"/>
              <w:bottom w:val="nil"/>
              <w:right w:val="nil"/>
            </w:tcBorders>
            <w:shd w:val="clear" w:color="auto" w:fill="005CA9"/>
            <w:noWrap/>
            <w:vAlign w:val="center"/>
          </w:tcPr>
          <w:p w14:paraId="4971A3AB" w14:textId="27289826" w:rsidR="001E5665" w:rsidRPr="00A943D9" w:rsidRDefault="001C19E4" w:rsidP="001E5665">
            <w:pPr>
              <w:jc w:val="right"/>
              <w:rPr>
                <w:rFonts w:ascii="CAIXA Std Book" w:eastAsia="Times New Roman" w:hAnsi="CAIXA Std Book" w:cs="Times New Roman"/>
                <w:b/>
                <w:bCs/>
                <w:color w:val="FFFFFF"/>
                <w:sz w:val="18"/>
                <w:szCs w:val="18"/>
              </w:rPr>
            </w:pPr>
            <w:r>
              <w:rPr>
                <w:rFonts w:ascii="CAIXA Std Book" w:hAnsi="CAIXA Std Book" w:cs="Arial"/>
                <w:b/>
                <w:bCs/>
                <w:color w:val="FFFFFF"/>
                <w:sz w:val="18"/>
                <w:szCs w:val="18"/>
              </w:rPr>
              <w:t>8.978.</w:t>
            </w:r>
            <w:r w:rsidR="00077C4D">
              <w:rPr>
                <w:rFonts w:ascii="CAIXA Std Book" w:hAnsi="CAIXA Std Book" w:cs="Arial"/>
                <w:b/>
                <w:bCs/>
                <w:color w:val="FFFFFF"/>
                <w:sz w:val="18"/>
                <w:szCs w:val="18"/>
              </w:rPr>
              <w:t>873</w:t>
            </w:r>
          </w:p>
        </w:tc>
        <w:tc>
          <w:tcPr>
            <w:tcW w:w="677" w:type="pct"/>
            <w:tcBorders>
              <w:top w:val="nil"/>
              <w:left w:val="nil"/>
              <w:bottom w:val="nil"/>
              <w:right w:val="nil"/>
            </w:tcBorders>
            <w:shd w:val="clear" w:color="auto" w:fill="005CA9"/>
            <w:noWrap/>
            <w:vAlign w:val="center"/>
          </w:tcPr>
          <w:p w14:paraId="27A0A679" w14:textId="7B994B8E" w:rsidR="001E5665" w:rsidRPr="00A943D9" w:rsidRDefault="00185656" w:rsidP="001E5665">
            <w:pPr>
              <w:jc w:val="right"/>
              <w:rPr>
                <w:rFonts w:ascii="CAIXA Std Book" w:eastAsia="Times New Roman" w:hAnsi="CAIXA Std Book" w:cs="Times New Roman"/>
                <w:b/>
                <w:bCs/>
                <w:color w:val="FFFFFF"/>
                <w:sz w:val="18"/>
                <w:szCs w:val="18"/>
              </w:rPr>
            </w:pPr>
            <w:r>
              <w:rPr>
                <w:rFonts w:ascii="CAIXA Std Book" w:hAnsi="CAIXA Std Book" w:cs="Arial"/>
                <w:b/>
                <w:bCs/>
                <w:color w:val="FFFFFF"/>
                <w:sz w:val="18"/>
                <w:szCs w:val="18"/>
              </w:rPr>
              <w:t>(</w:t>
            </w:r>
            <w:r w:rsidR="001C19E4">
              <w:rPr>
                <w:rFonts w:ascii="CAIXA Std Book" w:hAnsi="CAIXA Std Book" w:cs="Arial"/>
                <w:b/>
                <w:bCs/>
                <w:color w:val="FFFFFF"/>
                <w:sz w:val="18"/>
                <w:szCs w:val="18"/>
              </w:rPr>
              <w:t>4.388.140</w:t>
            </w:r>
            <w:r>
              <w:rPr>
                <w:rFonts w:ascii="CAIXA Std Book" w:hAnsi="CAIXA Std Book" w:cs="Arial"/>
                <w:b/>
                <w:bCs/>
                <w:color w:val="FFFFFF"/>
                <w:sz w:val="18"/>
                <w:szCs w:val="18"/>
              </w:rPr>
              <w:t>)</w:t>
            </w:r>
          </w:p>
        </w:tc>
        <w:tc>
          <w:tcPr>
            <w:tcW w:w="676" w:type="pct"/>
            <w:tcBorders>
              <w:top w:val="nil"/>
              <w:left w:val="nil"/>
              <w:bottom w:val="nil"/>
              <w:right w:val="nil"/>
            </w:tcBorders>
            <w:shd w:val="clear" w:color="auto" w:fill="005CA9"/>
            <w:noWrap/>
            <w:vAlign w:val="center"/>
          </w:tcPr>
          <w:p w14:paraId="591F3125" w14:textId="46E73A56" w:rsidR="001E5665" w:rsidRPr="00A943D9" w:rsidRDefault="001C19E4" w:rsidP="001E5665">
            <w:pPr>
              <w:jc w:val="right"/>
              <w:rPr>
                <w:rFonts w:ascii="CAIXA Std Book" w:eastAsia="Times New Roman" w:hAnsi="CAIXA Std Book" w:cs="Times New Roman"/>
                <w:b/>
                <w:bCs/>
                <w:color w:val="FFFFFF"/>
                <w:sz w:val="18"/>
                <w:szCs w:val="18"/>
              </w:rPr>
            </w:pPr>
            <w:r>
              <w:rPr>
                <w:rFonts w:ascii="CAIXA Std Book" w:hAnsi="CAIXA Std Book" w:cs="Arial"/>
                <w:b/>
                <w:bCs/>
                <w:color w:val="FFFFFF"/>
                <w:sz w:val="18"/>
                <w:szCs w:val="18"/>
              </w:rPr>
              <w:t>(387)</w:t>
            </w:r>
          </w:p>
        </w:tc>
        <w:tc>
          <w:tcPr>
            <w:tcW w:w="677" w:type="pct"/>
            <w:tcBorders>
              <w:top w:val="nil"/>
              <w:left w:val="nil"/>
              <w:bottom w:val="nil"/>
              <w:right w:val="nil"/>
            </w:tcBorders>
            <w:shd w:val="clear" w:color="auto" w:fill="005CA9"/>
            <w:noWrap/>
            <w:vAlign w:val="center"/>
          </w:tcPr>
          <w:p w14:paraId="1CAD3355" w14:textId="07F64926" w:rsidR="001E5665" w:rsidRPr="00A943D9" w:rsidRDefault="00185656" w:rsidP="001E5665">
            <w:pPr>
              <w:jc w:val="right"/>
              <w:rPr>
                <w:rFonts w:ascii="CAIXA Std Book" w:eastAsia="Times New Roman" w:hAnsi="CAIXA Std Book" w:cs="Times New Roman"/>
                <w:b/>
                <w:bCs/>
                <w:color w:val="FFFFFF"/>
                <w:sz w:val="18"/>
                <w:szCs w:val="18"/>
              </w:rPr>
            </w:pPr>
            <w:r>
              <w:rPr>
                <w:rFonts w:ascii="CAIXA Std Book" w:hAnsi="CAIXA Std Book" w:cs="Arial"/>
                <w:b/>
                <w:bCs/>
                <w:color w:val="FFFFFF"/>
                <w:sz w:val="18"/>
                <w:szCs w:val="18"/>
              </w:rPr>
              <w:t>4.590.</w:t>
            </w:r>
            <w:r w:rsidR="00077C4D">
              <w:rPr>
                <w:rFonts w:ascii="CAIXA Std Book" w:hAnsi="CAIXA Std Book" w:cs="Arial"/>
                <w:b/>
                <w:bCs/>
                <w:color w:val="FFFFFF"/>
                <w:sz w:val="18"/>
                <w:szCs w:val="18"/>
              </w:rPr>
              <w:t>346</w:t>
            </w:r>
          </w:p>
        </w:tc>
        <w:tc>
          <w:tcPr>
            <w:tcW w:w="676" w:type="pct"/>
            <w:shd w:val="clear" w:color="auto" w:fill="005CA9"/>
            <w:vAlign w:val="center"/>
          </w:tcPr>
          <w:p w14:paraId="3B970405" w14:textId="2D3553F6" w:rsidR="001E5665" w:rsidRDefault="001E5665" w:rsidP="001E5665">
            <w:pPr>
              <w:jc w:val="right"/>
              <w:rPr>
                <w:rFonts w:ascii="CAIXA Std Book" w:hAnsi="CAIXA Std Book" w:cs="Arial"/>
                <w:b/>
                <w:bCs/>
                <w:color w:val="FFFFFF"/>
                <w:sz w:val="18"/>
                <w:szCs w:val="18"/>
              </w:rPr>
            </w:pPr>
            <w:r>
              <w:rPr>
                <w:rFonts w:ascii="CAIXA Std Book" w:hAnsi="CAIXA Std Book" w:cs="Arial"/>
                <w:b/>
                <w:bCs/>
                <w:color w:val="FFFFFF"/>
                <w:sz w:val="18"/>
                <w:szCs w:val="18"/>
              </w:rPr>
              <w:t>4.631.582</w:t>
            </w:r>
          </w:p>
        </w:tc>
      </w:tr>
    </w:tbl>
    <w:p w14:paraId="33A30B27" w14:textId="77777777" w:rsidR="00602F67" w:rsidRDefault="00BD06FF" w:rsidP="00602F67">
      <w:pPr>
        <w:rPr>
          <w:rFonts w:ascii="CAIXA Std Book" w:hAnsi="CAIXA Std Book"/>
          <w:b/>
          <w:color w:val="005CA9"/>
        </w:rPr>
      </w:pPr>
      <w:r>
        <w:br w:type="page"/>
      </w:r>
    </w:p>
    <w:p w14:paraId="5ACA5C91" w14:textId="1AF7E89A" w:rsidR="002419E4" w:rsidRDefault="002419E4" w:rsidP="00B735D2">
      <w:pPr>
        <w:pStyle w:val="Ttulo1"/>
      </w:pPr>
      <w:bookmarkStart w:id="109" w:name="_Toc217914336"/>
      <w:bookmarkStart w:id="110" w:name="_Toc229588486"/>
      <w:r>
        <w:t xml:space="preserve">Nota  </w:t>
      </w:r>
      <w:r w:rsidR="00764F09">
        <w:t xml:space="preserve"> </w:t>
      </w:r>
      <w:r w:rsidR="004C76E2">
        <w:t>1</w:t>
      </w:r>
      <w:r w:rsidR="005464C5">
        <w:t>4</w:t>
      </w:r>
      <w:r>
        <w:t xml:space="preserve"> – Outros </w:t>
      </w:r>
      <w:r w:rsidR="00BC16E7">
        <w:t>a</w:t>
      </w:r>
      <w:r>
        <w:t>tivos</w:t>
      </w:r>
      <w:bookmarkEnd w:id="109"/>
      <w:bookmarkEnd w:id="110"/>
    </w:p>
    <w:p w14:paraId="375B4328" w14:textId="0B6597FD" w:rsidR="001405C0" w:rsidRDefault="001405C0" w:rsidP="00295657">
      <w:pPr>
        <w:pStyle w:val="PargrafodaLista"/>
        <w:numPr>
          <w:ilvl w:val="4"/>
          <w:numId w:val="21"/>
        </w:numPr>
        <w:spacing w:before="240" w:after="120"/>
        <w:ind w:left="567" w:hanging="567"/>
        <w:rPr>
          <w:rFonts w:ascii="CAIXA Std Book" w:hAnsi="CAIXA Std Book"/>
          <w:b/>
          <w:color w:val="005CA9"/>
          <w:sz w:val="20"/>
          <w:szCs w:val="20"/>
        </w:rPr>
      </w:pPr>
      <w:r w:rsidRPr="001405C0">
        <w:rPr>
          <w:rFonts w:ascii="CAIXA Std Book" w:hAnsi="CAIXA Std Book"/>
          <w:b/>
          <w:color w:val="005CA9"/>
          <w:sz w:val="20"/>
          <w:szCs w:val="20"/>
        </w:rPr>
        <w:t>Composição</w:t>
      </w:r>
    </w:p>
    <w:tbl>
      <w:tblPr>
        <w:tblW w:w="5000" w:type="pct"/>
        <w:tblLayout w:type="fixed"/>
        <w:tblCellMar>
          <w:left w:w="70" w:type="dxa"/>
          <w:right w:w="70" w:type="dxa"/>
        </w:tblCellMar>
        <w:tblLook w:val="04A0" w:firstRow="1" w:lastRow="0" w:firstColumn="1" w:lastColumn="0" w:noHBand="0" w:noVBand="1"/>
      </w:tblPr>
      <w:tblGrid>
        <w:gridCol w:w="4535"/>
        <w:gridCol w:w="1276"/>
        <w:gridCol w:w="1276"/>
        <w:gridCol w:w="1276"/>
        <w:gridCol w:w="1274"/>
      </w:tblGrid>
      <w:tr w:rsidR="001003E8" w:rsidRPr="00BA25C6" w14:paraId="05634E29" w14:textId="77777777" w:rsidTr="00E14BEA">
        <w:trPr>
          <w:trHeight w:val="283"/>
        </w:trPr>
        <w:tc>
          <w:tcPr>
            <w:tcW w:w="2353" w:type="pct"/>
            <w:vMerge w:val="restart"/>
            <w:tcBorders>
              <w:top w:val="nil"/>
              <w:left w:val="nil"/>
              <w:bottom w:val="nil"/>
              <w:right w:val="nil"/>
            </w:tcBorders>
            <w:shd w:val="clear" w:color="000000" w:fill="005CA9"/>
            <w:vAlign w:val="center"/>
            <w:hideMark/>
          </w:tcPr>
          <w:p w14:paraId="0A69ED98" w14:textId="77777777" w:rsidR="001003E8" w:rsidRPr="00BA25C6" w:rsidRDefault="001003E8" w:rsidP="001003E8">
            <w:pPr>
              <w:jc w:val="center"/>
              <w:rPr>
                <w:rFonts w:ascii="CAIXA Std Book" w:eastAsia="Times New Roman" w:hAnsi="CAIXA Std Book" w:cs="Times New Roman"/>
                <w:b/>
                <w:color w:val="FFFFFF"/>
                <w:sz w:val="18"/>
                <w:szCs w:val="18"/>
              </w:rPr>
            </w:pPr>
            <w:r w:rsidRPr="00BA25C6">
              <w:rPr>
                <w:rFonts w:ascii="CAIXA Std Book" w:eastAsia="Times New Roman" w:hAnsi="CAIXA Std Book" w:cs="Times New Roman"/>
                <w:b/>
                <w:color w:val="FFFFFF"/>
                <w:sz w:val="18"/>
                <w:szCs w:val="18"/>
              </w:rPr>
              <w:t>Descrição</w:t>
            </w:r>
          </w:p>
        </w:tc>
        <w:tc>
          <w:tcPr>
            <w:tcW w:w="1324" w:type="pct"/>
            <w:gridSpan w:val="2"/>
            <w:tcBorders>
              <w:top w:val="nil"/>
              <w:left w:val="nil"/>
              <w:bottom w:val="single" w:sz="8" w:space="0" w:color="FFFFFF"/>
              <w:right w:val="nil"/>
            </w:tcBorders>
            <w:shd w:val="clear" w:color="000000" w:fill="005CA9"/>
            <w:noWrap/>
            <w:vAlign w:val="center"/>
            <w:hideMark/>
          </w:tcPr>
          <w:p w14:paraId="1CCCA528" w14:textId="77777777" w:rsidR="001003E8" w:rsidRPr="00BA25C6" w:rsidRDefault="001003E8" w:rsidP="001003E8">
            <w:pPr>
              <w:jc w:val="center"/>
              <w:rPr>
                <w:rFonts w:ascii="CAIXA Std Book" w:eastAsia="Times New Roman" w:hAnsi="CAIXA Std Book" w:cs="Times New Roman"/>
                <w:b/>
                <w:color w:val="FFFFFF"/>
                <w:sz w:val="18"/>
                <w:szCs w:val="18"/>
              </w:rPr>
            </w:pPr>
            <w:r w:rsidRPr="00BA25C6">
              <w:rPr>
                <w:rFonts w:ascii="CAIXA Std Book" w:eastAsia="Times New Roman" w:hAnsi="CAIXA Std Book" w:cs="Times New Roman"/>
                <w:b/>
                <w:color w:val="FFFFFF"/>
                <w:sz w:val="18"/>
                <w:szCs w:val="18"/>
              </w:rPr>
              <w:t>Individual</w:t>
            </w:r>
          </w:p>
        </w:tc>
        <w:tc>
          <w:tcPr>
            <w:tcW w:w="1323" w:type="pct"/>
            <w:gridSpan w:val="2"/>
            <w:tcBorders>
              <w:top w:val="nil"/>
              <w:left w:val="nil"/>
              <w:bottom w:val="single" w:sz="8" w:space="0" w:color="FFFFFF"/>
              <w:right w:val="nil"/>
            </w:tcBorders>
            <w:shd w:val="clear" w:color="000000" w:fill="005CA9"/>
            <w:noWrap/>
            <w:vAlign w:val="center"/>
            <w:hideMark/>
          </w:tcPr>
          <w:p w14:paraId="71E8A733" w14:textId="77777777" w:rsidR="001003E8" w:rsidRPr="00BA25C6" w:rsidRDefault="001003E8" w:rsidP="001003E8">
            <w:pPr>
              <w:jc w:val="center"/>
              <w:rPr>
                <w:rFonts w:ascii="CAIXA Std Book" w:eastAsia="Times New Roman" w:hAnsi="CAIXA Std Book" w:cs="Times New Roman"/>
                <w:b/>
                <w:color w:val="FFFFFF"/>
                <w:sz w:val="18"/>
                <w:szCs w:val="18"/>
              </w:rPr>
            </w:pPr>
            <w:r w:rsidRPr="00BA25C6">
              <w:rPr>
                <w:rFonts w:ascii="CAIXA Std Book" w:eastAsia="Times New Roman" w:hAnsi="CAIXA Std Book" w:cs="Times New Roman"/>
                <w:b/>
                <w:color w:val="FFFFFF"/>
                <w:sz w:val="18"/>
                <w:szCs w:val="18"/>
              </w:rPr>
              <w:t>Consolidado</w:t>
            </w:r>
          </w:p>
        </w:tc>
      </w:tr>
      <w:tr w:rsidR="001003E8" w:rsidRPr="00BA25C6" w14:paraId="39D3EDF8" w14:textId="77777777" w:rsidTr="00E14BEA">
        <w:trPr>
          <w:trHeight w:val="283"/>
        </w:trPr>
        <w:tc>
          <w:tcPr>
            <w:tcW w:w="2353" w:type="pct"/>
            <w:vMerge/>
            <w:tcBorders>
              <w:top w:val="nil"/>
              <w:left w:val="nil"/>
              <w:bottom w:val="nil"/>
              <w:right w:val="nil"/>
            </w:tcBorders>
            <w:vAlign w:val="center"/>
            <w:hideMark/>
          </w:tcPr>
          <w:p w14:paraId="4DBA2D78" w14:textId="77777777" w:rsidR="001003E8" w:rsidRPr="00BA25C6" w:rsidRDefault="001003E8" w:rsidP="001003E8">
            <w:pPr>
              <w:rPr>
                <w:rFonts w:ascii="CAIXA Std Book" w:eastAsia="Times New Roman" w:hAnsi="CAIXA Std Book" w:cs="Times New Roman"/>
                <w:b/>
                <w:color w:val="FFFFFF"/>
                <w:sz w:val="18"/>
                <w:szCs w:val="18"/>
              </w:rPr>
            </w:pPr>
          </w:p>
        </w:tc>
        <w:tc>
          <w:tcPr>
            <w:tcW w:w="662" w:type="pct"/>
            <w:tcBorders>
              <w:top w:val="nil"/>
              <w:left w:val="nil"/>
              <w:bottom w:val="nil"/>
              <w:right w:val="nil"/>
            </w:tcBorders>
            <w:shd w:val="clear" w:color="000000" w:fill="005CA9"/>
            <w:vAlign w:val="center"/>
            <w:hideMark/>
          </w:tcPr>
          <w:p w14:paraId="7A6F45BB" w14:textId="77777777" w:rsidR="001003E8" w:rsidRPr="00BA25C6" w:rsidRDefault="001003E8" w:rsidP="001003E8">
            <w:pPr>
              <w:jc w:val="center"/>
              <w:rPr>
                <w:rFonts w:ascii="CAIXA Std Book" w:eastAsia="Times New Roman" w:hAnsi="CAIXA Std Book" w:cs="Times New Roman"/>
                <w:b/>
                <w:color w:val="FFFFFF"/>
                <w:sz w:val="18"/>
                <w:szCs w:val="18"/>
              </w:rPr>
            </w:pPr>
            <w:r w:rsidRPr="00BA25C6">
              <w:rPr>
                <w:rFonts w:ascii="CAIXA Std Book" w:eastAsia="Times New Roman" w:hAnsi="CAIXA Std Book" w:cs="Times New Roman"/>
                <w:b/>
                <w:color w:val="FFFFFF"/>
                <w:sz w:val="18"/>
                <w:szCs w:val="18"/>
              </w:rPr>
              <w:t>31/03/2026</w:t>
            </w:r>
          </w:p>
        </w:tc>
        <w:tc>
          <w:tcPr>
            <w:tcW w:w="662" w:type="pct"/>
            <w:tcBorders>
              <w:top w:val="nil"/>
              <w:left w:val="nil"/>
              <w:bottom w:val="nil"/>
              <w:right w:val="nil"/>
            </w:tcBorders>
            <w:shd w:val="clear" w:color="000000" w:fill="005CA9"/>
            <w:vAlign w:val="center"/>
            <w:hideMark/>
          </w:tcPr>
          <w:p w14:paraId="19D321C7" w14:textId="77777777" w:rsidR="001003E8" w:rsidRPr="00BA25C6" w:rsidRDefault="001003E8" w:rsidP="001003E8">
            <w:pPr>
              <w:jc w:val="center"/>
              <w:rPr>
                <w:rFonts w:ascii="CAIXA Std Book" w:eastAsia="Times New Roman" w:hAnsi="CAIXA Std Book" w:cs="Times New Roman"/>
                <w:b/>
                <w:color w:val="FFFFFF"/>
                <w:sz w:val="18"/>
                <w:szCs w:val="18"/>
              </w:rPr>
            </w:pPr>
            <w:r w:rsidRPr="00BA25C6">
              <w:rPr>
                <w:rFonts w:ascii="CAIXA Std Book" w:eastAsia="Times New Roman" w:hAnsi="CAIXA Std Book" w:cs="Times New Roman"/>
                <w:b/>
                <w:color w:val="FFFFFF"/>
                <w:sz w:val="18"/>
                <w:szCs w:val="18"/>
              </w:rPr>
              <w:t>31/12/2025</w:t>
            </w:r>
          </w:p>
        </w:tc>
        <w:tc>
          <w:tcPr>
            <w:tcW w:w="662" w:type="pct"/>
            <w:tcBorders>
              <w:top w:val="nil"/>
              <w:left w:val="nil"/>
              <w:bottom w:val="nil"/>
              <w:right w:val="nil"/>
            </w:tcBorders>
            <w:shd w:val="clear" w:color="000000" w:fill="005CA9"/>
            <w:vAlign w:val="center"/>
            <w:hideMark/>
          </w:tcPr>
          <w:p w14:paraId="53C39919" w14:textId="77777777" w:rsidR="001003E8" w:rsidRPr="00BA25C6" w:rsidRDefault="001003E8" w:rsidP="001003E8">
            <w:pPr>
              <w:jc w:val="center"/>
              <w:rPr>
                <w:rFonts w:ascii="CAIXA Std Book" w:eastAsia="Times New Roman" w:hAnsi="CAIXA Std Book" w:cs="Times New Roman"/>
                <w:b/>
                <w:color w:val="FFFFFF"/>
                <w:sz w:val="18"/>
                <w:szCs w:val="18"/>
              </w:rPr>
            </w:pPr>
            <w:r w:rsidRPr="00BA25C6">
              <w:rPr>
                <w:rFonts w:ascii="CAIXA Std Book" w:eastAsia="Times New Roman" w:hAnsi="CAIXA Std Book" w:cs="Times New Roman"/>
                <w:b/>
                <w:color w:val="FFFFFF"/>
                <w:sz w:val="18"/>
                <w:szCs w:val="18"/>
              </w:rPr>
              <w:t>31/03/2026</w:t>
            </w:r>
          </w:p>
        </w:tc>
        <w:tc>
          <w:tcPr>
            <w:tcW w:w="661" w:type="pct"/>
            <w:tcBorders>
              <w:top w:val="nil"/>
              <w:left w:val="nil"/>
              <w:bottom w:val="nil"/>
              <w:right w:val="nil"/>
            </w:tcBorders>
            <w:shd w:val="clear" w:color="000000" w:fill="005CA9"/>
            <w:vAlign w:val="center"/>
            <w:hideMark/>
          </w:tcPr>
          <w:p w14:paraId="11D52AB4" w14:textId="77777777" w:rsidR="001003E8" w:rsidRPr="00BA25C6" w:rsidRDefault="001003E8" w:rsidP="001003E8">
            <w:pPr>
              <w:jc w:val="center"/>
              <w:rPr>
                <w:rFonts w:ascii="CAIXA Std Book" w:eastAsia="Times New Roman" w:hAnsi="CAIXA Std Book" w:cs="Times New Roman"/>
                <w:b/>
                <w:color w:val="FFFFFF"/>
                <w:sz w:val="18"/>
                <w:szCs w:val="18"/>
              </w:rPr>
            </w:pPr>
            <w:r w:rsidRPr="00BA25C6">
              <w:rPr>
                <w:rFonts w:ascii="CAIXA Std Book" w:eastAsia="Times New Roman" w:hAnsi="CAIXA Std Book" w:cs="Times New Roman"/>
                <w:b/>
                <w:color w:val="FFFFFF"/>
                <w:sz w:val="18"/>
                <w:szCs w:val="18"/>
              </w:rPr>
              <w:t>31/12/2025</w:t>
            </w:r>
          </w:p>
        </w:tc>
      </w:tr>
      <w:tr w:rsidR="00E14BEA" w:rsidRPr="00BA25C6" w14:paraId="3FF6BA12" w14:textId="77777777" w:rsidTr="00E14BEA">
        <w:trPr>
          <w:trHeight w:val="283"/>
        </w:trPr>
        <w:tc>
          <w:tcPr>
            <w:tcW w:w="2353" w:type="pct"/>
            <w:tcBorders>
              <w:top w:val="nil"/>
              <w:left w:val="nil"/>
              <w:bottom w:val="nil"/>
              <w:right w:val="nil"/>
            </w:tcBorders>
            <w:vAlign w:val="center"/>
            <w:hideMark/>
          </w:tcPr>
          <w:p w14:paraId="125D0DE0" w14:textId="0968B2B9" w:rsidR="00E14BEA" w:rsidRPr="00BA25C6" w:rsidRDefault="00E14BEA" w:rsidP="00E14BEA">
            <w:pPr>
              <w:rPr>
                <w:rFonts w:ascii="CAIXA Std Book" w:eastAsia="Times New Roman" w:hAnsi="CAIXA Std Book" w:cs="Times New Roman"/>
                <w:color w:val="005CA9"/>
                <w:sz w:val="18"/>
                <w:szCs w:val="18"/>
              </w:rPr>
            </w:pPr>
            <w:r>
              <w:rPr>
                <w:rFonts w:ascii="CAIXA Std Book" w:hAnsi="CAIXA Std Book" w:cs="Calibri"/>
                <w:color w:val="005CA9"/>
                <w:sz w:val="18"/>
                <w:szCs w:val="18"/>
              </w:rPr>
              <w:t>Ativos não financeiros mantidos para venda e materiais de estoque (b)</w:t>
            </w:r>
          </w:p>
        </w:tc>
        <w:tc>
          <w:tcPr>
            <w:tcW w:w="662" w:type="pct"/>
            <w:tcBorders>
              <w:top w:val="nil"/>
              <w:left w:val="nil"/>
              <w:bottom w:val="nil"/>
              <w:right w:val="nil"/>
            </w:tcBorders>
            <w:noWrap/>
            <w:vAlign w:val="center"/>
            <w:hideMark/>
          </w:tcPr>
          <w:p w14:paraId="16EA087E" w14:textId="591E92E2"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5.913.883</w:t>
            </w:r>
          </w:p>
        </w:tc>
        <w:tc>
          <w:tcPr>
            <w:tcW w:w="662" w:type="pct"/>
            <w:tcBorders>
              <w:top w:val="nil"/>
              <w:left w:val="nil"/>
              <w:bottom w:val="nil"/>
              <w:right w:val="nil"/>
            </w:tcBorders>
            <w:noWrap/>
            <w:vAlign w:val="center"/>
            <w:hideMark/>
          </w:tcPr>
          <w:p w14:paraId="2B549381" w14:textId="6545F364"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6.130.953</w:t>
            </w:r>
          </w:p>
        </w:tc>
        <w:tc>
          <w:tcPr>
            <w:tcW w:w="662" w:type="pct"/>
            <w:tcBorders>
              <w:top w:val="nil"/>
              <w:left w:val="nil"/>
              <w:bottom w:val="nil"/>
              <w:right w:val="nil"/>
            </w:tcBorders>
            <w:noWrap/>
            <w:vAlign w:val="center"/>
            <w:hideMark/>
          </w:tcPr>
          <w:p w14:paraId="66AB8B83" w14:textId="0D5D743E"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5.913.883</w:t>
            </w:r>
          </w:p>
        </w:tc>
        <w:tc>
          <w:tcPr>
            <w:tcW w:w="661" w:type="pct"/>
            <w:tcBorders>
              <w:top w:val="nil"/>
              <w:left w:val="nil"/>
              <w:bottom w:val="nil"/>
              <w:right w:val="nil"/>
            </w:tcBorders>
            <w:noWrap/>
            <w:vAlign w:val="center"/>
            <w:hideMark/>
          </w:tcPr>
          <w:p w14:paraId="5E13FDA6" w14:textId="3ECDAB28"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6.130.953</w:t>
            </w:r>
          </w:p>
        </w:tc>
      </w:tr>
      <w:tr w:rsidR="00E14BEA" w:rsidRPr="00BA25C6" w14:paraId="2FCA0667" w14:textId="77777777" w:rsidTr="00E14BEA">
        <w:trPr>
          <w:trHeight w:val="283"/>
        </w:trPr>
        <w:tc>
          <w:tcPr>
            <w:tcW w:w="2353" w:type="pct"/>
            <w:tcBorders>
              <w:top w:val="nil"/>
              <w:left w:val="nil"/>
              <w:bottom w:val="nil"/>
              <w:right w:val="nil"/>
            </w:tcBorders>
            <w:noWrap/>
            <w:vAlign w:val="center"/>
            <w:hideMark/>
          </w:tcPr>
          <w:p w14:paraId="774D2C89" w14:textId="4F5ED878" w:rsidR="00E14BEA" w:rsidRPr="00BA25C6" w:rsidRDefault="00E14BEA" w:rsidP="00E14BEA">
            <w:pPr>
              <w:rPr>
                <w:rFonts w:ascii="CAIXA Std Book" w:eastAsia="Times New Roman" w:hAnsi="CAIXA Std Book" w:cs="Times New Roman"/>
                <w:color w:val="005CA9"/>
                <w:sz w:val="18"/>
                <w:szCs w:val="18"/>
              </w:rPr>
            </w:pPr>
            <w:r>
              <w:rPr>
                <w:rFonts w:ascii="CAIXA Std Book" w:hAnsi="CAIXA Std Book" w:cs="Calibri"/>
                <w:color w:val="005CA9"/>
                <w:sz w:val="18"/>
                <w:szCs w:val="18"/>
              </w:rPr>
              <w:t>Antecipações salariais e outros adiantamentos</w:t>
            </w:r>
            <w:r w:rsidR="005B5217">
              <w:rPr>
                <w:rFonts w:ascii="CAIXA Std Book" w:hAnsi="CAIXA Std Book" w:cs="Calibri"/>
                <w:color w:val="005CA9"/>
                <w:sz w:val="18"/>
                <w:szCs w:val="18"/>
              </w:rPr>
              <w:t xml:space="preserve"> (2)</w:t>
            </w:r>
          </w:p>
        </w:tc>
        <w:tc>
          <w:tcPr>
            <w:tcW w:w="662" w:type="pct"/>
            <w:tcBorders>
              <w:top w:val="nil"/>
              <w:left w:val="nil"/>
              <w:bottom w:val="nil"/>
              <w:right w:val="nil"/>
            </w:tcBorders>
            <w:noWrap/>
            <w:vAlign w:val="center"/>
            <w:hideMark/>
          </w:tcPr>
          <w:p w14:paraId="66B28877" w14:textId="76342669"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7.318.564</w:t>
            </w:r>
          </w:p>
        </w:tc>
        <w:tc>
          <w:tcPr>
            <w:tcW w:w="662" w:type="pct"/>
            <w:tcBorders>
              <w:top w:val="nil"/>
              <w:left w:val="nil"/>
              <w:bottom w:val="nil"/>
              <w:right w:val="nil"/>
            </w:tcBorders>
            <w:noWrap/>
            <w:vAlign w:val="center"/>
            <w:hideMark/>
          </w:tcPr>
          <w:p w14:paraId="6A2A3171" w14:textId="5D397AB4"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1.325.415</w:t>
            </w:r>
          </w:p>
        </w:tc>
        <w:tc>
          <w:tcPr>
            <w:tcW w:w="662" w:type="pct"/>
            <w:tcBorders>
              <w:top w:val="nil"/>
              <w:left w:val="nil"/>
              <w:bottom w:val="nil"/>
              <w:right w:val="nil"/>
            </w:tcBorders>
            <w:noWrap/>
            <w:vAlign w:val="center"/>
            <w:hideMark/>
          </w:tcPr>
          <w:p w14:paraId="6FB7B1B0" w14:textId="0C4B14FE"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7.318.690</w:t>
            </w:r>
          </w:p>
        </w:tc>
        <w:tc>
          <w:tcPr>
            <w:tcW w:w="661" w:type="pct"/>
            <w:tcBorders>
              <w:top w:val="nil"/>
              <w:left w:val="nil"/>
              <w:bottom w:val="nil"/>
              <w:right w:val="nil"/>
            </w:tcBorders>
            <w:noWrap/>
            <w:vAlign w:val="center"/>
            <w:hideMark/>
          </w:tcPr>
          <w:p w14:paraId="75288D84" w14:textId="072C0374"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1.325.543</w:t>
            </w:r>
          </w:p>
        </w:tc>
      </w:tr>
      <w:tr w:rsidR="00E14BEA" w:rsidRPr="00BA25C6" w14:paraId="615872DE" w14:textId="77777777" w:rsidTr="00E14BEA">
        <w:trPr>
          <w:trHeight w:val="283"/>
        </w:trPr>
        <w:tc>
          <w:tcPr>
            <w:tcW w:w="2353" w:type="pct"/>
            <w:tcBorders>
              <w:top w:val="nil"/>
              <w:left w:val="nil"/>
              <w:bottom w:val="nil"/>
              <w:right w:val="nil"/>
            </w:tcBorders>
            <w:noWrap/>
            <w:vAlign w:val="center"/>
            <w:hideMark/>
          </w:tcPr>
          <w:p w14:paraId="74646439" w14:textId="42C662FF" w:rsidR="00E14BEA" w:rsidRPr="00BA25C6" w:rsidRDefault="00E14BEA" w:rsidP="00E14BEA">
            <w:pPr>
              <w:rPr>
                <w:rFonts w:ascii="CAIXA Std Book" w:eastAsia="Times New Roman" w:hAnsi="CAIXA Std Book" w:cs="Times New Roman"/>
                <w:color w:val="005CA9"/>
                <w:sz w:val="18"/>
                <w:szCs w:val="18"/>
              </w:rPr>
            </w:pPr>
            <w:r>
              <w:rPr>
                <w:rFonts w:ascii="CAIXA Std Book" w:hAnsi="CAIXA Std Book" w:cs="Calibri"/>
                <w:color w:val="005CA9"/>
                <w:sz w:val="18"/>
                <w:szCs w:val="18"/>
              </w:rPr>
              <w:t>Valores a apropriar</w:t>
            </w:r>
          </w:p>
        </w:tc>
        <w:tc>
          <w:tcPr>
            <w:tcW w:w="662" w:type="pct"/>
            <w:tcBorders>
              <w:top w:val="nil"/>
              <w:left w:val="nil"/>
              <w:bottom w:val="nil"/>
              <w:right w:val="nil"/>
            </w:tcBorders>
            <w:noWrap/>
            <w:vAlign w:val="center"/>
            <w:hideMark/>
          </w:tcPr>
          <w:p w14:paraId="4A65D17F" w14:textId="0C983E63"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2.380.094</w:t>
            </w:r>
          </w:p>
        </w:tc>
        <w:tc>
          <w:tcPr>
            <w:tcW w:w="662" w:type="pct"/>
            <w:tcBorders>
              <w:top w:val="nil"/>
              <w:left w:val="nil"/>
              <w:bottom w:val="nil"/>
              <w:right w:val="nil"/>
            </w:tcBorders>
            <w:noWrap/>
            <w:vAlign w:val="center"/>
            <w:hideMark/>
          </w:tcPr>
          <w:p w14:paraId="3F22D977" w14:textId="185E15B9"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1.536.461</w:t>
            </w:r>
          </w:p>
        </w:tc>
        <w:tc>
          <w:tcPr>
            <w:tcW w:w="662" w:type="pct"/>
            <w:tcBorders>
              <w:top w:val="nil"/>
              <w:left w:val="nil"/>
              <w:bottom w:val="nil"/>
              <w:right w:val="nil"/>
            </w:tcBorders>
            <w:noWrap/>
            <w:vAlign w:val="center"/>
            <w:hideMark/>
          </w:tcPr>
          <w:p w14:paraId="36FD8C63" w14:textId="18B42018"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2.410.448</w:t>
            </w:r>
          </w:p>
        </w:tc>
        <w:tc>
          <w:tcPr>
            <w:tcW w:w="661" w:type="pct"/>
            <w:tcBorders>
              <w:top w:val="nil"/>
              <w:left w:val="nil"/>
              <w:bottom w:val="nil"/>
              <w:right w:val="nil"/>
            </w:tcBorders>
            <w:noWrap/>
            <w:vAlign w:val="center"/>
            <w:hideMark/>
          </w:tcPr>
          <w:p w14:paraId="37FF89DB" w14:textId="70F88E8E"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1.562.461</w:t>
            </w:r>
          </w:p>
        </w:tc>
      </w:tr>
      <w:tr w:rsidR="00E14BEA" w:rsidRPr="00BA25C6" w14:paraId="1373A74E" w14:textId="77777777" w:rsidTr="00E14BEA">
        <w:trPr>
          <w:trHeight w:val="283"/>
        </w:trPr>
        <w:tc>
          <w:tcPr>
            <w:tcW w:w="2353" w:type="pct"/>
            <w:tcBorders>
              <w:top w:val="nil"/>
              <w:left w:val="nil"/>
              <w:bottom w:val="nil"/>
              <w:right w:val="nil"/>
            </w:tcBorders>
            <w:noWrap/>
            <w:vAlign w:val="center"/>
            <w:hideMark/>
          </w:tcPr>
          <w:p w14:paraId="193BA676" w14:textId="72ED68A3" w:rsidR="00E14BEA" w:rsidRPr="00BA25C6" w:rsidRDefault="00E14BEA" w:rsidP="00E14BEA">
            <w:pPr>
              <w:rPr>
                <w:rFonts w:ascii="CAIXA Std Book" w:eastAsia="Times New Roman" w:hAnsi="CAIXA Std Book" w:cs="Times New Roman"/>
                <w:color w:val="005CA9"/>
                <w:sz w:val="18"/>
                <w:szCs w:val="18"/>
              </w:rPr>
            </w:pPr>
            <w:r>
              <w:rPr>
                <w:rFonts w:ascii="CAIXA Std Book" w:hAnsi="CAIXA Std Book" w:cs="Calibri"/>
                <w:color w:val="005CA9"/>
                <w:sz w:val="18"/>
                <w:szCs w:val="18"/>
              </w:rPr>
              <w:t>Dividendos e JCP a receber</w:t>
            </w:r>
          </w:p>
        </w:tc>
        <w:tc>
          <w:tcPr>
            <w:tcW w:w="662" w:type="pct"/>
            <w:tcBorders>
              <w:top w:val="nil"/>
              <w:left w:val="nil"/>
              <w:bottom w:val="nil"/>
              <w:right w:val="nil"/>
            </w:tcBorders>
            <w:noWrap/>
            <w:vAlign w:val="center"/>
            <w:hideMark/>
          </w:tcPr>
          <w:p w14:paraId="206DC15B" w14:textId="33517E44"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1.238.775</w:t>
            </w:r>
          </w:p>
        </w:tc>
        <w:tc>
          <w:tcPr>
            <w:tcW w:w="662" w:type="pct"/>
            <w:tcBorders>
              <w:top w:val="nil"/>
              <w:left w:val="nil"/>
              <w:bottom w:val="nil"/>
              <w:right w:val="nil"/>
            </w:tcBorders>
            <w:noWrap/>
            <w:vAlign w:val="center"/>
            <w:hideMark/>
          </w:tcPr>
          <w:p w14:paraId="2D9F7449" w14:textId="77777777"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1.285.353</w:t>
            </w:r>
          </w:p>
        </w:tc>
        <w:tc>
          <w:tcPr>
            <w:tcW w:w="662" w:type="pct"/>
            <w:tcBorders>
              <w:top w:val="nil"/>
              <w:left w:val="nil"/>
              <w:bottom w:val="nil"/>
              <w:right w:val="nil"/>
            </w:tcBorders>
            <w:noWrap/>
            <w:vAlign w:val="center"/>
            <w:hideMark/>
          </w:tcPr>
          <w:p w14:paraId="593CDF26" w14:textId="0780114C"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954.514</w:t>
            </w:r>
          </w:p>
        </w:tc>
        <w:tc>
          <w:tcPr>
            <w:tcW w:w="661" w:type="pct"/>
            <w:tcBorders>
              <w:top w:val="nil"/>
              <w:left w:val="nil"/>
              <w:bottom w:val="nil"/>
              <w:right w:val="nil"/>
            </w:tcBorders>
            <w:noWrap/>
            <w:vAlign w:val="center"/>
            <w:hideMark/>
          </w:tcPr>
          <w:p w14:paraId="0F498B5A" w14:textId="77777777"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287.945</w:t>
            </w:r>
          </w:p>
        </w:tc>
      </w:tr>
      <w:tr w:rsidR="00E14BEA" w:rsidRPr="00BA25C6" w14:paraId="26CC1367" w14:textId="77777777" w:rsidTr="00E14BEA">
        <w:trPr>
          <w:trHeight w:val="283"/>
        </w:trPr>
        <w:tc>
          <w:tcPr>
            <w:tcW w:w="2353" w:type="pct"/>
            <w:tcBorders>
              <w:top w:val="nil"/>
              <w:left w:val="nil"/>
              <w:bottom w:val="nil"/>
              <w:right w:val="nil"/>
            </w:tcBorders>
            <w:noWrap/>
            <w:vAlign w:val="center"/>
            <w:hideMark/>
          </w:tcPr>
          <w:p w14:paraId="56E62A3C" w14:textId="17F66D6A" w:rsidR="00E14BEA" w:rsidRPr="00BA25C6" w:rsidRDefault="00E14BEA" w:rsidP="00E14BEA">
            <w:pPr>
              <w:rPr>
                <w:rFonts w:ascii="CAIXA Std Book" w:eastAsia="Times New Roman" w:hAnsi="CAIXA Std Book" w:cs="Times New Roman"/>
                <w:color w:val="005CA9"/>
                <w:sz w:val="18"/>
                <w:szCs w:val="18"/>
              </w:rPr>
            </w:pPr>
            <w:r>
              <w:rPr>
                <w:rFonts w:ascii="CAIXA Std Book" w:hAnsi="CAIXA Std Book" w:cs="Calibri"/>
                <w:color w:val="005CA9"/>
                <w:sz w:val="18"/>
                <w:szCs w:val="18"/>
              </w:rPr>
              <w:t>Relações interfinanceiras e interdependências</w:t>
            </w:r>
          </w:p>
        </w:tc>
        <w:tc>
          <w:tcPr>
            <w:tcW w:w="662" w:type="pct"/>
            <w:tcBorders>
              <w:top w:val="nil"/>
              <w:left w:val="nil"/>
              <w:bottom w:val="nil"/>
              <w:right w:val="nil"/>
            </w:tcBorders>
            <w:noWrap/>
            <w:vAlign w:val="center"/>
            <w:hideMark/>
          </w:tcPr>
          <w:p w14:paraId="56EF23E6" w14:textId="1FEAEB2C"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923.788</w:t>
            </w:r>
          </w:p>
        </w:tc>
        <w:tc>
          <w:tcPr>
            <w:tcW w:w="662" w:type="pct"/>
            <w:tcBorders>
              <w:top w:val="nil"/>
              <w:left w:val="nil"/>
              <w:bottom w:val="nil"/>
              <w:right w:val="nil"/>
            </w:tcBorders>
            <w:noWrap/>
            <w:vAlign w:val="center"/>
            <w:hideMark/>
          </w:tcPr>
          <w:p w14:paraId="2F41222C" w14:textId="77777777"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581.598</w:t>
            </w:r>
          </w:p>
        </w:tc>
        <w:tc>
          <w:tcPr>
            <w:tcW w:w="662" w:type="pct"/>
            <w:tcBorders>
              <w:top w:val="nil"/>
              <w:left w:val="nil"/>
              <w:bottom w:val="nil"/>
              <w:right w:val="nil"/>
            </w:tcBorders>
            <w:noWrap/>
            <w:vAlign w:val="center"/>
            <w:hideMark/>
          </w:tcPr>
          <w:p w14:paraId="70C8AFDF" w14:textId="24BD53FB"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923.788</w:t>
            </w:r>
          </w:p>
        </w:tc>
        <w:tc>
          <w:tcPr>
            <w:tcW w:w="661" w:type="pct"/>
            <w:tcBorders>
              <w:top w:val="nil"/>
              <w:left w:val="nil"/>
              <w:bottom w:val="nil"/>
              <w:right w:val="nil"/>
            </w:tcBorders>
            <w:noWrap/>
            <w:vAlign w:val="center"/>
            <w:hideMark/>
          </w:tcPr>
          <w:p w14:paraId="5E0FFF90" w14:textId="77777777"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581.598</w:t>
            </w:r>
          </w:p>
        </w:tc>
      </w:tr>
      <w:tr w:rsidR="00E14BEA" w:rsidRPr="00BA25C6" w14:paraId="1EF4A3C9" w14:textId="77777777" w:rsidTr="00E14BEA">
        <w:trPr>
          <w:trHeight w:val="283"/>
        </w:trPr>
        <w:tc>
          <w:tcPr>
            <w:tcW w:w="2353" w:type="pct"/>
            <w:tcBorders>
              <w:top w:val="nil"/>
              <w:left w:val="nil"/>
              <w:bottom w:val="nil"/>
              <w:right w:val="nil"/>
            </w:tcBorders>
            <w:noWrap/>
            <w:vAlign w:val="center"/>
            <w:hideMark/>
          </w:tcPr>
          <w:p w14:paraId="7E1112F5" w14:textId="1030D1A1" w:rsidR="00E14BEA" w:rsidRPr="00BA25C6" w:rsidRDefault="00E14BEA" w:rsidP="00E14BEA">
            <w:pPr>
              <w:rPr>
                <w:rFonts w:ascii="CAIXA Std Book" w:eastAsia="Times New Roman" w:hAnsi="CAIXA Std Book" w:cs="Times New Roman"/>
                <w:color w:val="005CA9"/>
                <w:sz w:val="18"/>
                <w:szCs w:val="18"/>
              </w:rPr>
            </w:pPr>
            <w:r>
              <w:rPr>
                <w:rFonts w:ascii="CAIXA Std Book" w:hAnsi="CAIXA Std Book" w:cs="Calibri"/>
                <w:color w:val="005CA9"/>
                <w:sz w:val="18"/>
                <w:szCs w:val="18"/>
              </w:rPr>
              <w:t>Despesas antecipadas</w:t>
            </w:r>
          </w:p>
        </w:tc>
        <w:tc>
          <w:tcPr>
            <w:tcW w:w="662" w:type="pct"/>
            <w:tcBorders>
              <w:top w:val="nil"/>
              <w:left w:val="nil"/>
              <w:bottom w:val="nil"/>
              <w:right w:val="nil"/>
            </w:tcBorders>
            <w:noWrap/>
            <w:vAlign w:val="center"/>
            <w:hideMark/>
          </w:tcPr>
          <w:p w14:paraId="70113836" w14:textId="2AA14721"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220.791</w:t>
            </w:r>
          </w:p>
        </w:tc>
        <w:tc>
          <w:tcPr>
            <w:tcW w:w="662" w:type="pct"/>
            <w:tcBorders>
              <w:top w:val="nil"/>
              <w:left w:val="nil"/>
              <w:bottom w:val="nil"/>
              <w:right w:val="nil"/>
            </w:tcBorders>
            <w:noWrap/>
            <w:vAlign w:val="center"/>
            <w:hideMark/>
          </w:tcPr>
          <w:p w14:paraId="5FA66F85" w14:textId="1580EF55"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116.111</w:t>
            </w:r>
          </w:p>
        </w:tc>
        <w:tc>
          <w:tcPr>
            <w:tcW w:w="662" w:type="pct"/>
            <w:tcBorders>
              <w:top w:val="nil"/>
              <w:left w:val="nil"/>
              <w:bottom w:val="nil"/>
              <w:right w:val="nil"/>
            </w:tcBorders>
            <w:noWrap/>
            <w:vAlign w:val="center"/>
            <w:hideMark/>
          </w:tcPr>
          <w:p w14:paraId="0F111D8E" w14:textId="0563CA28"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221.792</w:t>
            </w:r>
          </w:p>
        </w:tc>
        <w:tc>
          <w:tcPr>
            <w:tcW w:w="661" w:type="pct"/>
            <w:tcBorders>
              <w:top w:val="nil"/>
              <w:left w:val="nil"/>
              <w:bottom w:val="nil"/>
              <w:right w:val="nil"/>
            </w:tcBorders>
            <w:noWrap/>
            <w:vAlign w:val="center"/>
            <w:hideMark/>
          </w:tcPr>
          <w:p w14:paraId="1EA79B11" w14:textId="7B636FC2"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117.994</w:t>
            </w:r>
          </w:p>
        </w:tc>
      </w:tr>
      <w:tr w:rsidR="00E14BEA" w:rsidRPr="00BA25C6" w14:paraId="2B3B521D" w14:textId="77777777" w:rsidTr="00E14BEA">
        <w:trPr>
          <w:trHeight w:val="283"/>
        </w:trPr>
        <w:tc>
          <w:tcPr>
            <w:tcW w:w="2353" w:type="pct"/>
            <w:tcBorders>
              <w:top w:val="nil"/>
              <w:left w:val="nil"/>
              <w:bottom w:val="nil"/>
              <w:right w:val="nil"/>
            </w:tcBorders>
            <w:noWrap/>
            <w:vAlign w:val="center"/>
            <w:hideMark/>
          </w:tcPr>
          <w:p w14:paraId="2A3C09DF" w14:textId="1BAB5483" w:rsidR="00E14BEA" w:rsidRPr="00BA25C6" w:rsidRDefault="00E14BEA" w:rsidP="00E14BEA">
            <w:pPr>
              <w:rPr>
                <w:rFonts w:ascii="CAIXA Std Book" w:eastAsia="Times New Roman" w:hAnsi="CAIXA Std Book" w:cs="Times New Roman"/>
                <w:color w:val="005CA9"/>
                <w:sz w:val="18"/>
                <w:szCs w:val="18"/>
              </w:rPr>
            </w:pPr>
            <w:r>
              <w:rPr>
                <w:rFonts w:ascii="CAIXA Std Book" w:hAnsi="CAIXA Std Book" w:cs="Calibri"/>
                <w:color w:val="005CA9"/>
                <w:sz w:val="18"/>
                <w:szCs w:val="18"/>
              </w:rPr>
              <w:t>Valores a ressarcir - FGTS</w:t>
            </w:r>
          </w:p>
        </w:tc>
        <w:tc>
          <w:tcPr>
            <w:tcW w:w="662" w:type="pct"/>
            <w:tcBorders>
              <w:top w:val="nil"/>
              <w:left w:val="nil"/>
              <w:bottom w:val="nil"/>
              <w:right w:val="nil"/>
            </w:tcBorders>
            <w:noWrap/>
            <w:vAlign w:val="center"/>
            <w:hideMark/>
          </w:tcPr>
          <w:p w14:paraId="5C537E29" w14:textId="54C16321"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146.672</w:t>
            </w:r>
          </w:p>
        </w:tc>
        <w:tc>
          <w:tcPr>
            <w:tcW w:w="662" w:type="pct"/>
            <w:tcBorders>
              <w:top w:val="nil"/>
              <w:left w:val="nil"/>
              <w:bottom w:val="nil"/>
              <w:right w:val="nil"/>
            </w:tcBorders>
            <w:noWrap/>
            <w:vAlign w:val="center"/>
            <w:hideMark/>
          </w:tcPr>
          <w:p w14:paraId="0A1BD60C" w14:textId="46119566"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44.855</w:t>
            </w:r>
          </w:p>
        </w:tc>
        <w:tc>
          <w:tcPr>
            <w:tcW w:w="662" w:type="pct"/>
            <w:tcBorders>
              <w:top w:val="nil"/>
              <w:left w:val="nil"/>
              <w:bottom w:val="nil"/>
              <w:right w:val="nil"/>
            </w:tcBorders>
            <w:noWrap/>
            <w:vAlign w:val="center"/>
            <w:hideMark/>
          </w:tcPr>
          <w:p w14:paraId="68EF3418" w14:textId="01D553BF"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146.672</w:t>
            </w:r>
          </w:p>
        </w:tc>
        <w:tc>
          <w:tcPr>
            <w:tcW w:w="661" w:type="pct"/>
            <w:tcBorders>
              <w:top w:val="nil"/>
              <w:left w:val="nil"/>
              <w:bottom w:val="nil"/>
              <w:right w:val="nil"/>
            </w:tcBorders>
            <w:noWrap/>
            <w:vAlign w:val="center"/>
            <w:hideMark/>
          </w:tcPr>
          <w:p w14:paraId="3BAE5D3A" w14:textId="63AC2CA2"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44.855</w:t>
            </w:r>
          </w:p>
        </w:tc>
      </w:tr>
      <w:tr w:rsidR="00E14BEA" w:rsidRPr="00BA25C6" w14:paraId="52E68671" w14:textId="77777777" w:rsidTr="00E14BEA">
        <w:trPr>
          <w:trHeight w:val="283"/>
        </w:trPr>
        <w:tc>
          <w:tcPr>
            <w:tcW w:w="2353" w:type="pct"/>
            <w:tcBorders>
              <w:top w:val="nil"/>
              <w:left w:val="nil"/>
              <w:bottom w:val="nil"/>
              <w:right w:val="nil"/>
            </w:tcBorders>
            <w:noWrap/>
            <w:vAlign w:val="center"/>
            <w:hideMark/>
          </w:tcPr>
          <w:p w14:paraId="1DC9E66C" w14:textId="77777777" w:rsidR="00E14BEA" w:rsidRPr="00BA25C6" w:rsidRDefault="00E14BEA" w:rsidP="00E14BEA">
            <w:pPr>
              <w:rPr>
                <w:rFonts w:ascii="CAIXA Std Book" w:eastAsia="Times New Roman" w:hAnsi="CAIXA Std Book" w:cs="Times New Roman"/>
                <w:color w:val="005CA9"/>
                <w:sz w:val="18"/>
                <w:szCs w:val="18"/>
              </w:rPr>
            </w:pPr>
            <w:r>
              <w:rPr>
                <w:rFonts w:ascii="CAIXA Std Book" w:hAnsi="CAIXA Std Book" w:cs="Calibri"/>
                <w:color w:val="005CA9"/>
                <w:sz w:val="18"/>
                <w:szCs w:val="18"/>
              </w:rPr>
              <w:t>Créditos específicos</w:t>
            </w:r>
          </w:p>
        </w:tc>
        <w:tc>
          <w:tcPr>
            <w:tcW w:w="662" w:type="pct"/>
            <w:tcBorders>
              <w:top w:val="nil"/>
              <w:left w:val="nil"/>
              <w:bottom w:val="nil"/>
              <w:right w:val="nil"/>
            </w:tcBorders>
            <w:noWrap/>
            <w:vAlign w:val="center"/>
            <w:hideMark/>
          </w:tcPr>
          <w:p w14:paraId="65998670" w14:textId="2ED4AF8A"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110.057</w:t>
            </w:r>
          </w:p>
        </w:tc>
        <w:tc>
          <w:tcPr>
            <w:tcW w:w="662" w:type="pct"/>
            <w:tcBorders>
              <w:top w:val="nil"/>
              <w:left w:val="nil"/>
              <w:bottom w:val="nil"/>
              <w:right w:val="nil"/>
            </w:tcBorders>
            <w:noWrap/>
            <w:vAlign w:val="center"/>
            <w:hideMark/>
          </w:tcPr>
          <w:p w14:paraId="4DC76249" w14:textId="4BB19318"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120.581</w:t>
            </w:r>
          </w:p>
        </w:tc>
        <w:tc>
          <w:tcPr>
            <w:tcW w:w="662" w:type="pct"/>
            <w:tcBorders>
              <w:top w:val="nil"/>
              <w:left w:val="nil"/>
              <w:bottom w:val="nil"/>
              <w:right w:val="nil"/>
            </w:tcBorders>
            <w:noWrap/>
            <w:vAlign w:val="center"/>
            <w:hideMark/>
          </w:tcPr>
          <w:p w14:paraId="75125E10" w14:textId="7B3B84DB"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110.057</w:t>
            </w:r>
          </w:p>
        </w:tc>
        <w:tc>
          <w:tcPr>
            <w:tcW w:w="661" w:type="pct"/>
            <w:tcBorders>
              <w:top w:val="nil"/>
              <w:left w:val="nil"/>
              <w:bottom w:val="nil"/>
              <w:right w:val="nil"/>
            </w:tcBorders>
            <w:noWrap/>
            <w:vAlign w:val="center"/>
            <w:hideMark/>
          </w:tcPr>
          <w:p w14:paraId="5CAF79F5" w14:textId="4A7A3DEF"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120.581</w:t>
            </w:r>
          </w:p>
        </w:tc>
      </w:tr>
      <w:tr w:rsidR="00E14BEA" w:rsidRPr="00BA25C6" w14:paraId="163FEBC8" w14:textId="77777777" w:rsidTr="00E14BEA">
        <w:trPr>
          <w:trHeight w:val="283"/>
        </w:trPr>
        <w:tc>
          <w:tcPr>
            <w:tcW w:w="2353" w:type="pct"/>
            <w:tcBorders>
              <w:top w:val="nil"/>
              <w:left w:val="nil"/>
              <w:bottom w:val="nil"/>
              <w:right w:val="nil"/>
            </w:tcBorders>
            <w:noWrap/>
            <w:vAlign w:val="center"/>
            <w:hideMark/>
          </w:tcPr>
          <w:p w14:paraId="70C0801A" w14:textId="1D19A394" w:rsidR="00E14BEA" w:rsidRPr="00BA25C6" w:rsidRDefault="00E14BEA" w:rsidP="00E14BEA">
            <w:pPr>
              <w:rPr>
                <w:rFonts w:ascii="CAIXA Std Book" w:eastAsia="Times New Roman" w:hAnsi="CAIXA Std Book" w:cs="Times New Roman"/>
                <w:color w:val="005CA9"/>
                <w:sz w:val="18"/>
                <w:szCs w:val="18"/>
              </w:rPr>
            </w:pPr>
            <w:r>
              <w:rPr>
                <w:rFonts w:ascii="CAIXA Std Book" w:hAnsi="CAIXA Std Book" w:cs="Calibri"/>
                <w:color w:val="005CA9"/>
                <w:sz w:val="18"/>
                <w:szCs w:val="18"/>
              </w:rPr>
              <w:t>Devedores diversos (1)</w:t>
            </w:r>
          </w:p>
        </w:tc>
        <w:tc>
          <w:tcPr>
            <w:tcW w:w="662" w:type="pct"/>
            <w:tcBorders>
              <w:top w:val="nil"/>
              <w:left w:val="nil"/>
              <w:bottom w:val="nil"/>
              <w:right w:val="nil"/>
            </w:tcBorders>
            <w:noWrap/>
            <w:vAlign w:val="center"/>
            <w:hideMark/>
          </w:tcPr>
          <w:p w14:paraId="23FF6A98" w14:textId="7309FBCB"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2.674.427</w:t>
            </w:r>
          </w:p>
        </w:tc>
        <w:tc>
          <w:tcPr>
            <w:tcW w:w="662" w:type="pct"/>
            <w:tcBorders>
              <w:top w:val="nil"/>
              <w:left w:val="nil"/>
              <w:bottom w:val="nil"/>
              <w:right w:val="nil"/>
            </w:tcBorders>
            <w:noWrap/>
            <w:vAlign w:val="center"/>
            <w:hideMark/>
          </w:tcPr>
          <w:p w14:paraId="18A91A85" w14:textId="77777777"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1.371.134</w:t>
            </w:r>
          </w:p>
        </w:tc>
        <w:tc>
          <w:tcPr>
            <w:tcW w:w="662" w:type="pct"/>
            <w:tcBorders>
              <w:top w:val="nil"/>
              <w:left w:val="nil"/>
              <w:bottom w:val="nil"/>
              <w:right w:val="nil"/>
            </w:tcBorders>
            <w:noWrap/>
            <w:vAlign w:val="center"/>
            <w:hideMark/>
          </w:tcPr>
          <w:p w14:paraId="2A6B16DE" w14:textId="707FCEEB"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2.453.497</w:t>
            </w:r>
          </w:p>
        </w:tc>
        <w:tc>
          <w:tcPr>
            <w:tcW w:w="661" w:type="pct"/>
            <w:tcBorders>
              <w:top w:val="nil"/>
              <w:left w:val="nil"/>
              <w:bottom w:val="nil"/>
              <w:right w:val="nil"/>
            </w:tcBorders>
            <w:noWrap/>
            <w:vAlign w:val="center"/>
            <w:hideMark/>
          </w:tcPr>
          <w:p w14:paraId="6958FF1D" w14:textId="77777777" w:rsidR="00E14BEA" w:rsidRPr="00BA25C6" w:rsidRDefault="00E14BEA" w:rsidP="00E14BEA">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1.858.012</w:t>
            </w:r>
          </w:p>
        </w:tc>
      </w:tr>
      <w:tr w:rsidR="00E14BEA" w:rsidRPr="00BA25C6" w14:paraId="51894CCD" w14:textId="77777777" w:rsidTr="00E14BEA">
        <w:trPr>
          <w:trHeight w:val="283"/>
        </w:trPr>
        <w:tc>
          <w:tcPr>
            <w:tcW w:w="2353" w:type="pct"/>
            <w:tcBorders>
              <w:top w:val="nil"/>
              <w:left w:val="nil"/>
              <w:bottom w:val="nil"/>
              <w:right w:val="nil"/>
            </w:tcBorders>
            <w:shd w:val="clear" w:color="000000" w:fill="005CA9"/>
            <w:noWrap/>
            <w:vAlign w:val="center"/>
            <w:hideMark/>
          </w:tcPr>
          <w:p w14:paraId="2D450EE1" w14:textId="77777777" w:rsidR="00E14BEA" w:rsidRPr="00BA25C6" w:rsidRDefault="00E14BEA" w:rsidP="00E14BEA">
            <w:pPr>
              <w:rPr>
                <w:rFonts w:ascii="CAIXA Std Book" w:eastAsia="Times New Roman" w:hAnsi="CAIXA Std Book" w:cs="Times New Roman"/>
                <w:b/>
                <w:color w:val="FFFFFF"/>
                <w:sz w:val="18"/>
                <w:szCs w:val="18"/>
              </w:rPr>
            </w:pPr>
            <w:r>
              <w:rPr>
                <w:rFonts w:ascii="CAIXA Std Book" w:hAnsi="CAIXA Std Book" w:cs="Calibri"/>
                <w:b/>
                <w:bCs/>
                <w:color w:val="FFFFFF"/>
                <w:sz w:val="18"/>
                <w:szCs w:val="18"/>
              </w:rPr>
              <w:t>Total</w:t>
            </w:r>
          </w:p>
        </w:tc>
        <w:tc>
          <w:tcPr>
            <w:tcW w:w="662" w:type="pct"/>
            <w:tcBorders>
              <w:top w:val="nil"/>
              <w:left w:val="nil"/>
              <w:bottom w:val="nil"/>
              <w:right w:val="nil"/>
            </w:tcBorders>
            <w:shd w:val="clear" w:color="000000" w:fill="005CA9"/>
            <w:noWrap/>
            <w:vAlign w:val="center"/>
            <w:hideMark/>
          </w:tcPr>
          <w:p w14:paraId="4D58A28E" w14:textId="7B286908" w:rsidR="00E14BEA" w:rsidRPr="00BA25C6" w:rsidRDefault="00E14BEA" w:rsidP="00E14BEA">
            <w:pPr>
              <w:jc w:val="right"/>
              <w:rPr>
                <w:rFonts w:ascii="CAIXA Std Book" w:eastAsia="Times New Roman" w:hAnsi="CAIXA Std Book" w:cs="Times New Roman"/>
                <w:b/>
                <w:color w:val="FFFFFF"/>
                <w:sz w:val="18"/>
                <w:szCs w:val="18"/>
              </w:rPr>
            </w:pPr>
            <w:r>
              <w:rPr>
                <w:rFonts w:ascii="CAIXA Std Book" w:hAnsi="CAIXA Std Book" w:cs="Calibri"/>
                <w:b/>
                <w:bCs/>
                <w:color w:val="FFFFFF"/>
                <w:sz w:val="18"/>
                <w:szCs w:val="18"/>
              </w:rPr>
              <w:t>20.927.051</w:t>
            </w:r>
          </w:p>
        </w:tc>
        <w:tc>
          <w:tcPr>
            <w:tcW w:w="662" w:type="pct"/>
            <w:tcBorders>
              <w:top w:val="nil"/>
              <w:left w:val="nil"/>
              <w:bottom w:val="nil"/>
              <w:right w:val="nil"/>
            </w:tcBorders>
            <w:shd w:val="clear" w:color="000000" w:fill="005CA9"/>
            <w:noWrap/>
            <w:vAlign w:val="center"/>
            <w:hideMark/>
          </w:tcPr>
          <w:p w14:paraId="5C61131A" w14:textId="77777777" w:rsidR="00E14BEA" w:rsidRPr="00BA25C6" w:rsidRDefault="00E14BEA" w:rsidP="00E14BEA">
            <w:pPr>
              <w:jc w:val="right"/>
              <w:rPr>
                <w:rFonts w:ascii="CAIXA Std Book" w:eastAsia="Times New Roman" w:hAnsi="CAIXA Std Book" w:cs="Times New Roman"/>
                <w:b/>
                <w:color w:val="FFFFFF"/>
                <w:sz w:val="18"/>
                <w:szCs w:val="18"/>
              </w:rPr>
            </w:pPr>
            <w:r>
              <w:rPr>
                <w:rFonts w:ascii="CAIXA Std Book" w:hAnsi="CAIXA Std Book" w:cs="Calibri"/>
                <w:b/>
                <w:bCs/>
                <w:color w:val="FFFFFF"/>
                <w:sz w:val="18"/>
                <w:szCs w:val="18"/>
              </w:rPr>
              <w:t>12.512.461</w:t>
            </w:r>
          </w:p>
        </w:tc>
        <w:tc>
          <w:tcPr>
            <w:tcW w:w="662" w:type="pct"/>
            <w:tcBorders>
              <w:top w:val="nil"/>
              <w:left w:val="nil"/>
              <w:bottom w:val="nil"/>
              <w:right w:val="nil"/>
            </w:tcBorders>
            <w:shd w:val="clear" w:color="000000" w:fill="005CA9"/>
            <w:noWrap/>
            <w:vAlign w:val="center"/>
            <w:hideMark/>
          </w:tcPr>
          <w:p w14:paraId="1326AD68" w14:textId="502936E0" w:rsidR="00E14BEA" w:rsidRPr="00BA25C6" w:rsidRDefault="00E14BEA" w:rsidP="00E14BEA">
            <w:pPr>
              <w:jc w:val="right"/>
              <w:rPr>
                <w:rFonts w:ascii="CAIXA Std Book" w:eastAsia="Times New Roman" w:hAnsi="CAIXA Std Book" w:cs="Times New Roman"/>
                <w:b/>
                <w:color w:val="FFFFFF"/>
                <w:sz w:val="18"/>
                <w:szCs w:val="18"/>
              </w:rPr>
            </w:pPr>
            <w:r>
              <w:rPr>
                <w:rFonts w:ascii="CAIXA Std Book" w:hAnsi="CAIXA Std Book" w:cs="Calibri"/>
                <w:b/>
                <w:bCs/>
                <w:color w:val="FFFFFF"/>
                <w:sz w:val="18"/>
                <w:szCs w:val="18"/>
              </w:rPr>
              <w:t>20.453.341</w:t>
            </w:r>
          </w:p>
        </w:tc>
        <w:tc>
          <w:tcPr>
            <w:tcW w:w="661" w:type="pct"/>
            <w:tcBorders>
              <w:top w:val="nil"/>
              <w:left w:val="nil"/>
              <w:bottom w:val="nil"/>
              <w:right w:val="nil"/>
            </w:tcBorders>
            <w:shd w:val="clear" w:color="000000" w:fill="005CA9"/>
            <w:noWrap/>
            <w:vAlign w:val="center"/>
            <w:hideMark/>
          </w:tcPr>
          <w:p w14:paraId="4DD723E8" w14:textId="77777777" w:rsidR="00E14BEA" w:rsidRPr="00BA25C6" w:rsidRDefault="00E14BEA" w:rsidP="00E14BEA">
            <w:pPr>
              <w:jc w:val="right"/>
              <w:rPr>
                <w:rFonts w:ascii="CAIXA Std Book" w:eastAsia="Times New Roman" w:hAnsi="CAIXA Std Book" w:cs="Times New Roman"/>
                <w:b/>
                <w:color w:val="FFFFFF"/>
                <w:sz w:val="18"/>
                <w:szCs w:val="18"/>
              </w:rPr>
            </w:pPr>
            <w:r>
              <w:rPr>
                <w:rFonts w:ascii="CAIXA Std Book" w:hAnsi="CAIXA Std Book" w:cs="Calibri"/>
                <w:b/>
                <w:bCs/>
                <w:color w:val="FFFFFF"/>
                <w:sz w:val="18"/>
                <w:szCs w:val="18"/>
              </w:rPr>
              <w:t>12.029.942</w:t>
            </w:r>
          </w:p>
        </w:tc>
      </w:tr>
    </w:tbl>
    <w:p w14:paraId="4AF18E38" w14:textId="33092162" w:rsidR="003929AF" w:rsidRPr="00B64231" w:rsidRDefault="00B64231" w:rsidP="00B64231">
      <w:pPr>
        <w:jc w:val="both"/>
        <w:rPr>
          <w:rFonts w:ascii="CAIXA Std Book" w:hAnsi="CAIXA Std Book"/>
          <w:color w:val="005CA9"/>
          <w:sz w:val="16"/>
          <w:szCs w:val="16"/>
        </w:rPr>
      </w:pPr>
      <w:r>
        <w:rPr>
          <w:rFonts w:ascii="CAIXA Std Book" w:hAnsi="CAIXA Std Book"/>
          <w:bCs/>
          <w:color w:val="005CA9"/>
          <w:sz w:val="16"/>
          <w:szCs w:val="16"/>
        </w:rPr>
        <w:t xml:space="preserve">(1) </w:t>
      </w:r>
      <w:r w:rsidR="00BD3390">
        <w:rPr>
          <w:rFonts w:ascii="CAIXA Std Book" w:hAnsi="CAIXA Std Book"/>
          <w:bCs/>
          <w:color w:val="005CA9"/>
          <w:sz w:val="16"/>
          <w:szCs w:val="16"/>
        </w:rPr>
        <w:t>Incremento</w:t>
      </w:r>
      <w:r w:rsidR="00F14B25">
        <w:rPr>
          <w:rFonts w:ascii="CAIXA Std Book" w:hAnsi="CAIXA Std Book"/>
          <w:bCs/>
          <w:color w:val="005CA9"/>
          <w:sz w:val="16"/>
          <w:szCs w:val="16"/>
        </w:rPr>
        <w:t xml:space="preserve"> decorrente de</w:t>
      </w:r>
      <w:r w:rsidR="00991179" w:rsidRPr="00391097">
        <w:rPr>
          <w:rFonts w:ascii="CAIXA Std Book" w:hAnsi="CAIXA Std Book"/>
          <w:color w:val="005CA9"/>
          <w:sz w:val="16"/>
          <w:szCs w:val="16"/>
        </w:rPr>
        <w:t xml:space="preserve"> </w:t>
      </w:r>
      <w:r w:rsidR="00070077">
        <w:rPr>
          <w:rFonts w:ascii="CAIXA Std Book" w:hAnsi="CAIXA Std Book"/>
          <w:bCs/>
          <w:color w:val="005CA9"/>
          <w:sz w:val="16"/>
          <w:szCs w:val="16"/>
        </w:rPr>
        <w:t>cobertura</w:t>
      </w:r>
      <w:r w:rsidR="008B728B">
        <w:rPr>
          <w:rFonts w:ascii="CAIXA Std Book" w:hAnsi="CAIXA Std Book"/>
          <w:bCs/>
          <w:color w:val="005CA9"/>
          <w:sz w:val="16"/>
          <w:szCs w:val="16"/>
        </w:rPr>
        <w:t xml:space="preserve"> realizada em</w:t>
      </w:r>
      <w:r w:rsidR="003929AF" w:rsidRPr="00B64231">
        <w:rPr>
          <w:rFonts w:ascii="CAIXA Std Book" w:hAnsi="CAIXA Std Book"/>
          <w:color w:val="005CA9"/>
          <w:sz w:val="16"/>
          <w:szCs w:val="16"/>
        </w:rPr>
        <w:t xml:space="preserve"> fundos de investimento que operam com aplicações e resgates automáticos quando ocorre saldo negativo fora do horário de negociação</w:t>
      </w:r>
      <w:r w:rsidR="00A31BA6">
        <w:rPr>
          <w:rFonts w:ascii="CAIXA Std Book" w:hAnsi="CAIXA Std Book"/>
          <w:bCs/>
          <w:color w:val="005CA9"/>
          <w:sz w:val="16"/>
          <w:szCs w:val="16"/>
        </w:rPr>
        <w:t xml:space="preserve"> nos últimos dias </w:t>
      </w:r>
      <w:r w:rsidR="00D071BC">
        <w:rPr>
          <w:rFonts w:ascii="CAIXA Std Book" w:hAnsi="CAIXA Std Book"/>
          <w:bCs/>
          <w:color w:val="005CA9"/>
          <w:sz w:val="16"/>
          <w:szCs w:val="16"/>
        </w:rPr>
        <w:t>úteis</w:t>
      </w:r>
      <w:r w:rsidR="003929AF" w:rsidRPr="00B64231">
        <w:rPr>
          <w:rFonts w:ascii="CAIXA Std Book" w:hAnsi="CAIXA Std Book"/>
          <w:color w:val="005CA9"/>
          <w:sz w:val="16"/>
          <w:szCs w:val="16"/>
        </w:rPr>
        <w:t xml:space="preserve"> </w:t>
      </w:r>
      <w:r w:rsidR="000C4033">
        <w:rPr>
          <w:rFonts w:ascii="CAIXA Std Book" w:hAnsi="CAIXA Std Book"/>
          <w:bCs/>
          <w:color w:val="005CA9"/>
          <w:sz w:val="16"/>
          <w:szCs w:val="16"/>
        </w:rPr>
        <w:t>do mês</w:t>
      </w:r>
      <w:r w:rsidR="00853AC7">
        <w:rPr>
          <w:rFonts w:ascii="CAIXA Std Book" w:hAnsi="CAIXA Std Book"/>
          <w:bCs/>
          <w:color w:val="005CA9"/>
          <w:sz w:val="16"/>
          <w:szCs w:val="16"/>
        </w:rPr>
        <w:t>.</w:t>
      </w:r>
    </w:p>
    <w:p w14:paraId="0A03744C" w14:textId="04CBEE02" w:rsidR="005B5217" w:rsidRPr="00B64231" w:rsidRDefault="005B5217" w:rsidP="00B64231">
      <w:pPr>
        <w:jc w:val="both"/>
        <w:rPr>
          <w:rFonts w:ascii="CAIXA Std Book" w:hAnsi="CAIXA Std Book"/>
          <w:color w:val="005CA9"/>
          <w:sz w:val="16"/>
          <w:szCs w:val="16"/>
        </w:rPr>
      </w:pPr>
      <w:r>
        <w:rPr>
          <w:rFonts w:ascii="CAIXA Std Book" w:hAnsi="CAIXA Std Book"/>
          <w:color w:val="005CA9"/>
          <w:sz w:val="16"/>
          <w:szCs w:val="16"/>
        </w:rPr>
        <w:t xml:space="preserve">(2) </w:t>
      </w:r>
      <w:r w:rsidR="00433473">
        <w:rPr>
          <w:rFonts w:ascii="CAIXA Std Book" w:hAnsi="CAIXA Std Book"/>
          <w:color w:val="005CA9"/>
          <w:sz w:val="16"/>
          <w:szCs w:val="16"/>
        </w:rPr>
        <w:t>Acréscimo referente a</w:t>
      </w:r>
      <w:r w:rsidR="0079678E">
        <w:rPr>
          <w:rFonts w:ascii="CAIXA Std Book" w:hAnsi="CAIXA Std Book"/>
          <w:color w:val="005CA9"/>
          <w:sz w:val="16"/>
          <w:szCs w:val="16"/>
        </w:rPr>
        <w:t>os</w:t>
      </w:r>
      <w:r w:rsidR="00433473">
        <w:rPr>
          <w:rFonts w:ascii="CAIXA Std Book" w:hAnsi="CAIXA Std Book"/>
          <w:color w:val="005CA9"/>
          <w:sz w:val="16"/>
          <w:szCs w:val="16"/>
        </w:rPr>
        <w:t xml:space="preserve"> valores adiantados ao FGC </w:t>
      </w:r>
      <w:r w:rsidR="00073AAF">
        <w:rPr>
          <w:rFonts w:ascii="CAIXA Std Book" w:hAnsi="CAIXA Std Book"/>
          <w:color w:val="005CA9"/>
          <w:sz w:val="16"/>
          <w:szCs w:val="16"/>
        </w:rPr>
        <w:t xml:space="preserve">das contribuições </w:t>
      </w:r>
      <w:r w:rsidR="0079678E">
        <w:rPr>
          <w:rFonts w:ascii="CAIXA Std Book" w:hAnsi="CAIXA Std Book"/>
          <w:color w:val="005CA9"/>
          <w:sz w:val="16"/>
          <w:szCs w:val="16"/>
        </w:rPr>
        <w:t>ordinárias, conforme previsto no estatuto do FGC.</w:t>
      </w:r>
      <w:r w:rsidR="00073AAF">
        <w:rPr>
          <w:rFonts w:ascii="CAIXA Std Book" w:hAnsi="CAIXA Std Book"/>
          <w:color w:val="005CA9"/>
          <w:sz w:val="16"/>
          <w:szCs w:val="16"/>
        </w:rPr>
        <w:t xml:space="preserve"> </w:t>
      </w:r>
    </w:p>
    <w:p w14:paraId="1FAAAABF" w14:textId="495CBC84" w:rsidR="001405C0" w:rsidRDefault="001405C0" w:rsidP="00295657">
      <w:pPr>
        <w:pStyle w:val="PargrafodaLista"/>
        <w:numPr>
          <w:ilvl w:val="0"/>
          <w:numId w:val="21"/>
        </w:numPr>
        <w:spacing w:before="240" w:after="120"/>
        <w:ind w:left="567" w:hanging="567"/>
        <w:rPr>
          <w:rFonts w:ascii="CAIXA Std Book" w:hAnsi="CAIXA Std Book"/>
          <w:b/>
          <w:color w:val="005CA9"/>
          <w:sz w:val="20"/>
          <w:szCs w:val="20"/>
        </w:rPr>
      </w:pPr>
      <w:r w:rsidRPr="001405C0">
        <w:rPr>
          <w:rFonts w:ascii="CAIXA Std Book" w:hAnsi="CAIXA Std Book"/>
          <w:b/>
          <w:color w:val="005CA9"/>
          <w:sz w:val="20"/>
          <w:szCs w:val="20"/>
        </w:rPr>
        <w:t>Ativos não financeiros mantidos para venda</w:t>
      </w:r>
      <w:r w:rsidR="00A3363A">
        <w:rPr>
          <w:rFonts w:ascii="CAIXA Std Book" w:hAnsi="CAIXA Std Book"/>
          <w:b/>
          <w:color w:val="005CA9"/>
          <w:sz w:val="20"/>
          <w:szCs w:val="20"/>
        </w:rPr>
        <w:t xml:space="preserve"> e </w:t>
      </w:r>
      <w:r w:rsidR="00A3363A" w:rsidRPr="00E20D21">
        <w:rPr>
          <w:rFonts w:ascii="CAIXA Std Book" w:hAnsi="CAIXA Std Book"/>
          <w:b/>
          <w:color w:val="005CA9"/>
          <w:sz w:val="20"/>
          <w:szCs w:val="20"/>
        </w:rPr>
        <w:t>materiais de estoque</w:t>
      </w:r>
    </w:p>
    <w:tbl>
      <w:tblPr>
        <w:tblW w:w="5000" w:type="pct"/>
        <w:tblCellMar>
          <w:left w:w="70" w:type="dxa"/>
          <w:right w:w="70" w:type="dxa"/>
        </w:tblCellMar>
        <w:tblLook w:val="04A0" w:firstRow="1" w:lastRow="0" w:firstColumn="1" w:lastColumn="0" w:noHBand="0" w:noVBand="1"/>
      </w:tblPr>
      <w:tblGrid>
        <w:gridCol w:w="6370"/>
        <w:gridCol w:w="1633"/>
        <w:gridCol w:w="1634"/>
      </w:tblGrid>
      <w:tr w:rsidR="00465579" w:rsidRPr="00BA25C6" w14:paraId="5A6DB4F1" w14:textId="77777777" w:rsidTr="00E22B14">
        <w:trPr>
          <w:trHeight w:val="283"/>
        </w:trPr>
        <w:tc>
          <w:tcPr>
            <w:tcW w:w="5000" w:type="pct"/>
            <w:gridSpan w:val="3"/>
            <w:tcBorders>
              <w:top w:val="nil"/>
              <w:left w:val="nil"/>
              <w:bottom w:val="single" w:sz="4" w:space="0" w:color="FFFFFF" w:themeColor="background1"/>
              <w:right w:val="nil"/>
            </w:tcBorders>
            <w:shd w:val="clear" w:color="000000" w:fill="005CA9"/>
            <w:noWrap/>
            <w:vAlign w:val="center"/>
            <w:hideMark/>
          </w:tcPr>
          <w:p w14:paraId="609F4D84" w14:textId="7577B36D" w:rsidR="00465579" w:rsidRPr="00BA25C6" w:rsidRDefault="00465579" w:rsidP="00465579">
            <w:pPr>
              <w:jc w:val="center"/>
              <w:rPr>
                <w:rFonts w:ascii="CAIXA Std Book" w:eastAsia="Times New Roman" w:hAnsi="CAIXA Std Book" w:cs="Times New Roman"/>
                <w:b/>
                <w:color w:val="FFFFFF"/>
                <w:sz w:val="18"/>
                <w:szCs w:val="18"/>
              </w:rPr>
            </w:pPr>
            <w:r w:rsidRPr="00BA25C6">
              <w:rPr>
                <w:rFonts w:ascii="CAIXA Std Book" w:eastAsia="Times New Roman" w:hAnsi="CAIXA Std Book" w:cs="Times New Roman"/>
                <w:b/>
                <w:color w:val="FFFFFF"/>
                <w:sz w:val="18"/>
                <w:szCs w:val="18"/>
              </w:rPr>
              <w:t>Individual</w:t>
            </w:r>
            <w:r w:rsidR="00412FCC">
              <w:rPr>
                <w:rFonts w:ascii="CAIXA Std Book" w:eastAsia="Times New Roman" w:hAnsi="CAIXA Std Book" w:cs="Times New Roman"/>
                <w:b/>
                <w:color w:val="FFFFFF"/>
                <w:sz w:val="18"/>
                <w:szCs w:val="18"/>
              </w:rPr>
              <w:t xml:space="preserve"> </w:t>
            </w:r>
            <w:r w:rsidRPr="00BA25C6">
              <w:rPr>
                <w:rFonts w:ascii="CAIXA Std Book" w:eastAsia="Times New Roman" w:hAnsi="CAIXA Std Book" w:cs="Times New Roman"/>
                <w:b/>
                <w:color w:val="FFFFFF"/>
                <w:sz w:val="18"/>
                <w:szCs w:val="18"/>
              </w:rPr>
              <w:t>/</w:t>
            </w:r>
            <w:r w:rsidR="00412FCC">
              <w:rPr>
                <w:rFonts w:ascii="CAIXA Std Book" w:eastAsia="Times New Roman" w:hAnsi="CAIXA Std Book" w:cs="Times New Roman"/>
                <w:b/>
                <w:color w:val="FFFFFF"/>
                <w:sz w:val="18"/>
                <w:szCs w:val="18"/>
              </w:rPr>
              <w:t xml:space="preserve"> </w:t>
            </w:r>
            <w:r w:rsidRPr="00BA25C6">
              <w:rPr>
                <w:rFonts w:ascii="CAIXA Std Book" w:eastAsia="Times New Roman" w:hAnsi="CAIXA Std Book" w:cs="Times New Roman"/>
                <w:b/>
                <w:color w:val="FFFFFF"/>
                <w:sz w:val="18"/>
                <w:szCs w:val="18"/>
              </w:rPr>
              <w:t>Consolidado</w:t>
            </w:r>
          </w:p>
        </w:tc>
      </w:tr>
      <w:tr w:rsidR="00465579" w:rsidRPr="00BA25C6" w14:paraId="5D3CF735" w14:textId="77777777" w:rsidTr="00E22B14">
        <w:trPr>
          <w:trHeight w:val="283"/>
        </w:trPr>
        <w:tc>
          <w:tcPr>
            <w:tcW w:w="3305" w:type="pct"/>
            <w:tcBorders>
              <w:top w:val="single" w:sz="4" w:space="0" w:color="FFFFFF" w:themeColor="background1"/>
              <w:left w:val="nil"/>
              <w:bottom w:val="nil"/>
              <w:right w:val="nil"/>
            </w:tcBorders>
            <w:shd w:val="clear" w:color="000000" w:fill="005CA9"/>
            <w:vAlign w:val="center"/>
            <w:hideMark/>
          </w:tcPr>
          <w:p w14:paraId="3DC36249" w14:textId="77777777" w:rsidR="00465579" w:rsidRPr="00BA25C6" w:rsidRDefault="00465579" w:rsidP="00465579">
            <w:pPr>
              <w:jc w:val="center"/>
              <w:rPr>
                <w:rFonts w:ascii="CAIXA Std Book" w:eastAsia="Times New Roman" w:hAnsi="CAIXA Std Book" w:cs="Times New Roman"/>
                <w:b/>
                <w:color w:val="FFFFFF"/>
                <w:sz w:val="18"/>
                <w:szCs w:val="18"/>
              </w:rPr>
            </w:pPr>
            <w:r w:rsidRPr="00BA25C6">
              <w:rPr>
                <w:rFonts w:ascii="CAIXA Std Book" w:eastAsia="Times New Roman" w:hAnsi="CAIXA Std Book" w:cs="Times New Roman"/>
                <w:b/>
                <w:color w:val="FFFFFF"/>
                <w:sz w:val="18"/>
                <w:szCs w:val="18"/>
              </w:rPr>
              <w:t>Descrição</w:t>
            </w:r>
          </w:p>
        </w:tc>
        <w:tc>
          <w:tcPr>
            <w:tcW w:w="847" w:type="pct"/>
            <w:tcBorders>
              <w:top w:val="single" w:sz="4" w:space="0" w:color="FFFFFF" w:themeColor="background1"/>
              <w:left w:val="nil"/>
              <w:bottom w:val="nil"/>
              <w:right w:val="nil"/>
            </w:tcBorders>
            <w:shd w:val="clear" w:color="000000" w:fill="005CA9"/>
            <w:vAlign w:val="center"/>
            <w:hideMark/>
          </w:tcPr>
          <w:p w14:paraId="0B9E511B" w14:textId="77777777" w:rsidR="00465579" w:rsidRPr="00BA25C6" w:rsidRDefault="00465579" w:rsidP="00465579">
            <w:pPr>
              <w:jc w:val="center"/>
              <w:rPr>
                <w:rFonts w:ascii="CAIXA Std Book" w:eastAsia="Times New Roman" w:hAnsi="CAIXA Std Book" w:cs="Times New Roman"/>
                <w:b/>
                <w:color w:val="FFFFFF"/>
                <w:sz w:val="18"/>
                <w:szCs w:val="18"/>
              </w:rPr>
            </w:pPr>
            <w:r w:rsidRPr="00BA25C6">
              <w:rPr>
                <w:rFonts w:ascii="CAIXA Std Book" w:eastAsia="Times New Roman" w:hAnsi="CAIXA Std Book" w:cs="Times New Roman"/>
                <w:b/>
                <w:color w:val="FFFFFF"/>
                <w:sz w:val="18"/>
                <w:szCs w:val="18"/>
              </w:rPr>
              <w:t>31/03/2026</w:t>
            </w:r>
          </w:p>
        </w:tc>
        <w:tc>
          <w:tcPr>
            <w:tcW w:w="848" w:type="pct"/>
            <w:tcBorders>
              <w:top w:val="single" w:sz="4" w:space="0" w:color="FFFFFF" w:themeColor="background1"/>
              <w:left w:val="nil"/>
              <w:bottom w:val="nil"/>
              <w:right w:val="nil"/>
            </w:tcBorders>
            <w:shd w:val="clear" w:color="000000" w:fill="005CA9"/>
            <w:vAlign w:val="center"/>
            <w:hideMark/>
          </w:tcPr>
          <w:p w14:paraId="539A3054" w14:textId="77777777" w:rsidR="00465579" w:rsidRPr="00BA25C6" w:rsidRDefault="00465579" w:rsidP="00465579">
            <w:pPr>
              <w:jc w:val="center"/>
              <w:rPr>
                <w:rFonts w:ascii="CAIXA Std Book" w:eastAsia="Times New Roman" w:hAnsi="CAIXA Std Book" w:cs="Times New Roman"/>
                <w:b/>
                <w:color w:val="FFFFFF"/>
                <w:sz w:val="18"/>
                <w:szCs w:val="18"/>
              </w:rPr>
            </w:pPr>
            <w:r w:rsidRPr="00BA25C6">
              <w:rPr>
                <w:rFonts w:ascii="CAIXA Std Book" w:eastAsia="Times New Roman" w:hAnsi="CAIXA Std Book" w:cs="Times New Roman"/>
                <w:b/>
                <w:color w:val="FFFFFF"/>
                <w:sz w:val="18"/>
                <w:szCs w:val="18"/>
              </w:rPr>
              <w:t>31/12/2025</w:t>
            </w:r>
          </w:p>
        </w:tc>
      </w:tr>
      <w:tr w:rsidR="00465579" w:rsidRPr="00BA25C6" w14:paraId="63CCAD88" w14:textId="77777777" w:rsidTr="00E22B14">
        <w:trPr>
          <w:trHeight w:val="283"/>
        </w:trPr>
        <w:tc>
          <w:tcPr>
            <w:tcW w:w="3305" w:type="pct"/>
            <w:tcBorders>
              <w:top w:val="nil"/>
              <w:left w:val="nil"/>
              <w:bottom w:val="nil"/>
              <w:right w:val="nil"/>
            </w:tcBorders>
            <w:noWrap/>
            <w:vAlign w:val="center"/>
            <w:hideMark/>
          </w:tcPr>
          <w:p w14:paraId="06E48D4A" w14:textId="77777777" w:rsidR="00465579" w:rsidRPr="00BA25C6" w:rsidRDefault="00465579" w:rsidP="00465579">
            <w:pPr>
              <w:rPr>
                <w:rFonts w:ascii="CAIXA Std Book" w:eastAsia="Times New Roman" w:hAnsi="CAIXA Std Book" w:cs="Times New Roman"/>
                <w:color w:val="005CA9"/>
                <w:sz w:val="18"/>
                <w:szCs w:val="18"/>
              </w:rPr>
            </w:pPr>
            <w:r w:rsidRPr="00BA25C6">
              <w:rPr>
                <w:rFonts w:ascii="CAIXA Std Book" w:eastAsia="Times New Roman" w:hAnsi="CAIXA Std Book" w:cs="Times New Roman"/>
                <w:color w:val="005CA9"/>
                <w:sz w:val="18"/>
                <w:szCs w:val="18"/>
              </w:rPr>
              <w:t>Ativos não financeiros mantidos para venda – recebidos</w:t>
            </w:r>
          </w:p>
        </w:tc>
        <w:tc>
          <w:tcPr>
            <w:tcW w:w="847" w:type="pct"/>
            <w:tcBorders>
              <w:top w:val="nil"/>
              <w:left w:val="nil"/>
              <w:bottom w:val="nil"/>
              <w:right w:val="nil"/>
            </w:tcBorders>
            <w:noWrap/>
            <w:vAlign w:val="center"/>
            <w:hideMark/>
          </w:tcPr>
          <w:p w14:paraId="090D0BFB" w14:textId="3B145036" w:rsidR="00465579" w:rsidRPr="00BA25C6" w:rsidRDefault="000308C3" w:rsidP="000308C3">
            <w:pPr>
              <w:jc w:val="right"/>
              <w:rPr>
                <w:rFonts w:ascii="CAIXA Std Book" w:eastAsia="Times New Roman" w:hAnsi="CAIXA Std Book" w:cs="Times New Roman"/>
                <w:color w:val="005CA9"/>
                <w:sz w:val="18"/>
                <w:szCs w:val="18"/>
              </w:rPr>
            </w:pPr>
            <w:r w:rsidRPr="00BA25C6">
              <w:rPr>
                <w:rFonts w:ascii="CAIXA Std Book" w:hAnsi="CAIXA Std Book" w:cs="Calibri"/>
                <w:color w:val="005CA9"/>
                <w:sz w:val="18"/>
                <w:szCs w:val="18"/>
              </w:rPr>
              <w:t>6.155.314</w:t>
            </w:r>
          </w:p>
        </w:tc>
        <w:tc>
          <w:tcPr>
            <w:tcW w:w="848" w:type="pct"/>
            <w:tcBorders>
              <w:top w:val="nil"/>
              <w:left w:val="nil"/>
              <w:bottom w:val="nil"/>
              <w:right w:val="nil"/>
            </w:tcBorders>
            <w:shd w:val="clear" w:color="000000" w:fill="FFFFFF"/>
            <w:noWrap/>
            <w:vAlign w:val="center"/>
            <w:hideMark/>
          </w:tcPr>
          <w:p w14:paraId="54914338" w14:textId="77777777" w:rsidR="00465579" w:rsidRPr="00BA25C6" w:rsidRDefault="00465579" w:rsidP="00465579">
            <w:pPr>
              <w:jc w:val="right"/>
              <w:rPr>
                <w:rFonts w:ascii="CAIXA Std Book" w:eastAsia="Times New Roman" w:hAnsi="CAIXA Std Book" w:cs="Times New Roman"/>
                <w:color w:val="005CA9"/>
                <w:sz w:val="18"/>
                <w:szCs w:val="18"/>
              </w:rPr>
            </w:pPr>
            <w:r w:rsidRPr="00BA25C6">
              <w:rPr>
                <w:rFonts w:ascii="CAIXA Std Book" w:eastAsia="Times New Roman" w:hAnsi="CAIXA Std Book" w:cs="Times New Roman"/>
                <w:color w:val="005CA9"/>
                <w:sz w:val="18"/>
                <w:szCs w:val="18"/>
              </w:rPr>
              <w:t>6.401.038</w:t>
            </w:r>
          </w:p>
        </w:tc>
      </w:tr>
      <w:tr w:rsidR="00465579" w:rsidRPr="00BA25C6" w14:paraId="79F16E10" w14:textId="77777777" w:rsidTr="00E22B14">
        <w:trPr>
          <w:trHeight w:val="283"/>
        </w:trPr>
        <w:tc>
          <w:tcPr>
            <w:tcW w:w="3305" w:type="pct"/>
            <w:tcBorders>
              <w:top w:val="nil"/>
              <w:left w:val="nil"/>
              <w:bottom w:val="nil"/>
              <w:right w:val="nil"/>
            </w:tcBorders>
            <w:noWrap/>
            <w:vAlign w:val="center"/>
            <w:hideMark/>
          </w:tcPr>
          <w:p w14:paraId="3E2A33B7" w14:textId="77777777" w:rsidR="00465579" w:rsidRPr="00BA25C6" w:rsidRDefault="00465579" w:rsidP="00465579">
            <w:pPr>
              <w:rPr>
                <w:rFonts w:ascii="CAIXA Std Book" w:eastAsia="Times New Roman" w:hAnsi="CAIXA Std Book" w:cs="Times New Roman"/>
                <w:color w:val="005CA9"/>
                <w:sz w:val="18"/>
                <w:szCs w:val="18"/>
              </w:rPr>
            </w:pPr>
            <w:r w:rsidRPr="00BA25C6">
              <w:rPr>
                <w:rFonts w:ascii="CAIXA Std Book" w:eastAsia="Times New Roman" w:hAnsi="CAIXA Std Book" w:cs="Times New Roman"/>
                <w:color w:val="005CA9"/>
                <w:sz w:val="18"/>
                <w:szCs w:val="18"/>
              </w:rPr>
              <w:t>Ativos não financeiros mantidos para venda – próprios</w:t>
            </w:r>
          </w:p>
        </w:tc>
        <w:tc>
          <w:tcPr>
            <w:tcW w:w="847" w:type="pct"/>
            <w:tcBorders>
              <w:top w:val="nil"/>
              <w:left w:val="nil"/>
              <w:bottom w:val="nil"/>
              <w:right w:val="nil"/>
            </w:tcBorders>
            <w:noWrap/>
            <w:vAlign w:val="center"/>
            <w:hideMark/>
          </w:tcPr>
          <w:p w14:paraId="740ED03D" w14:textId="4D4466C1" w:rsidR="00465579" w:rsidRPr="00BA25C6" w:rsidRDefault="000308C3" w:rsidP="000308C3">
            <w:pPr>
              <w:jc w:val="right"/>
              <w:rPr>
                <w:rFonts w:ascii="CAIXA Std Book" w:eastAsia="Times New Roman" w:hAnsi="CAIXA Std Book" w:cs="Times New Roman"/>
                <w:color w:val="005CA9"/>
                <w:sz w:val="18"/>
                <w:szCs w:val="18"/>
              </w:rPr>
            </w:pPr>
            <w:r w:rsidRPr="00BA25C6">
              <w:rPr>
                <w:rFonts w:ascii="CAIXA Std Book" w:hAnsi="CAIXA Std Book" w:cs="Calibri"/>
                <w:color w:val="005CA9"/>
                <w:sz w:val="18"/>
                <w:szCs w:val="18"/>
              </w:rPr>
              <w:t>49.638</w:t>
            </w:r>
          </w:p>
        </w:tc>
        <w:tc>
          <w:tcPr>
            <w:tcW w:w="848" w:type="pct"/>
            <w:tcBorders>
              <w:top w:val="nil"/>
              <w:left w:val="nil"/>
              <w:bottom w:val="nil"/>
              <w:right w:val="nil"/>
            </w:tcBorders>
            <w:shd w:val="clear" w:color="000000" w:fill="FFFFFF"/>
            <w:noWrap/>
            <w:vAlign w:val="center"/>
            <w:hideMark/>
          </w:tcPr>
          <w:p w14:paraId="7757AF6A" w14:textId="77777777" w:rsidR="00465579" w:rsidRPr="00BA25C6" w:rsidRDefault="00465579" w:rsidP="00465579">
            <w:pPr>
              <w:jc w:val="right"/>
              <w:rPr>
                <w:rFonts w:ascii="CAIXA Std Book" w:eastAsia="Times New Roman" w:hAnsi="CAIXA Std Book" w:cs="Times New Roman"/>
                <w:color w:val="005CA9"/>
                <w:sz w:val="18"/>
                <w:szCs w:val="18"/>
              </w:rPr>
            </w:pPr>
            <w:r w:rsidRPr="00BA25C6">
              <w:rPr>
                <w:rFonts w:ascii="CAIXA Std Book" w:eastAsia="Times New Roman" w:hAnsi="CAIXA Std Book" w:cs="Times New Roman"/>
                <w:color w:val="005CA9"/>
                <w:sz w:val="18"/>
                <w:szCs w:val="18"/>
              </w:rPr>
              <w:t>47.809</w:t>
            </w:r>
          </w:p>
        </w:tc>
      </w:tr>
      <w:tr w:rsidR="00465579" w:rsidRPr="00BA25C6" w14:paraId="440E8CBD" w14:textId="77777777" w:rsidTr="00E22B14">
        <w:trPr>
          <w:trHeight w:val="283"/>
        </w:trPr>
        <w:tc>
          <w:tcPr>
            <w:tcW w:w="3305" w:type="pct"/>
            <w:tcBorders>
              <w:top w:val="nil"/>
              <w:left w:val="nil"/>
              <w:bottom w:val="nil"/>
              <w:right w:val="nil"/>
            </w:tcBorders>
            <w:noWrap/>
            <w:vAlign w:val="center"/>
            <w:hideMark/>
          </w:tcPr>
          <w:p w14:paraId="3E18660E" w14:textId="77777777" w:rsidR="00465579" w:rsidRPr="00BA25C6" w:rsidRDefault="00465579" w:rsidP="00465579">
            <w:pPr>
              <w:rPr>
                <w:rFonts w:ascii="CAIXA Std Book" w:eastAsia="Times New Roman" w:hAnsi="CAIXA Std Book" w:cs="Times New Roman"/>
                <w:color w:val="005CA9"/>
                <w:sz w:val="18"/>
                <w:szCs w:val="18"/>
              </w:rPr>
            </w:pPr>
            <w:r w:rsidRPr="00BA25C6">
              <w:rPr>
                <w:rFonts w:ascii="CAIXA Std Book" w:eastAsia="Times New Roman" w:hAnsi="CAIXA Std Book" w:cs="Times New Roman"/>
                <w:color w:val="005CA9"/>
                <w:sz w:val="18"/>
                <w:szCs w:val="18"/>
              </w:rPr>
              <w:t>Material de consumo</w:t>
            </w:r>
          </w:p>
        </w:tc>
        <w:tc>
          <w:tcPr>
            <w:tcW w:w="847" w:type="pct"/>
            <w:tcBorders>
              <w:top w:val="nil"/>
              <w:left w:val="nil"/>
              <w:bottom w:val="nil"/>
              <w:right w:val="nil"/>
            </w:tcBorders>
            <w:shd w:val="clear" w:color="000000" w:fill="FFFFFF"/>
            <w:noWrap/>
            <w:vAlign w:val="center"/>
            <w:hideMark/>
          </w:tcPr>
          <w:p w14:paraId="491005DF" w14:textId="175E70EB" w:rsidR="00465579" w:rsidRPr="00BA25C6" w:rsidRDefault="000308C3" w:rsidP="000308C3">
            <w:pPr>
              <w:jc w:val="right"/>
              <w:rPr>
                <w:rFonts w:ascii="CAIXA Std Book" w:eastAsia="Times New Roman" w:hAnsi="CAIXA Std Book" w:cs="Times New Roman"/>
                <w:color w:val="005CA9"/>
                <w:sz w:val="18"/>
                <w:szCs w:val="18"/>
              </w:rPr>
            </w:pPr>
            <w:r w:rsidRPr="00BA25C6">
              <w:rPr>
                <w:rFonts w:ascii="CAIXA Std Book" w:hAnsi="CAIXA Std Book" w:cs="Calibri"/>
                <w:color w:val="005CA9"/>
                <w:sz w:val="18"/>
                <w:szCs w:val="18"/>
              </w:rPr>
              <w:t>24.621</w:t>
            </w:r>
          </w:p>
        </w:tc>
        <w:tc>
          <w:tcPr>
            <w:tcW w:w="848" w:type="pct"/>
            <w:tcBorders>
              <w:top w:val="nil"/>
              <w:left w:val="nil"/>
              <w:bottom w:val="nil"/>
              <w:right w:val="nil"/>
            </w:tcBorders>
            <w:shd w:val="clear" w:color="000000" w:fill="FFFFFF"/>
            <w:noWrap/>
            <w:vAlign w:val="center"/>
            <w:hideMark/>
          </w:tcPr>
          <w:p w14:paraId="06BE0D3D" w14:textId="77777777" w:rsidR="00465579" w:rsidRPr="00BA25C6" w:rsidRDefault="00465579" w:rsidP="00465579">
            <w:pPr>
              <w:jc w:val="right"/>
              <w:rPr>
                <w:rFonts w:ascii="CAIXA Std Book" w:eastAsia="Times New Roman" w:hAnsi="CAIXA Std Book" w:cs="Times New Roman"/>
                <w:color w:val="005CA9"/>
                <w:sz w:val="18"/>
                <w:szCs w:val="18"/>
              </w:rPr>
            </w:pPr>
            <w:r w:rsidRPr="00BA25C6">
              <w:rPr>
                <w:rFonts w:ascii="CAIXA Std Book" w:eastAsia="Times New Roman" w:hAnsi="CAIXA Std Book" w:cs="Times New Roman"/>
                <w:color w:val="005CA9"/>
                <w:sz w:val="18"/>
                <w:szCs w:val="18"/>
              </w:rPr>
              <w:t>17.438</w:t>
            </w:r>
          </w:p>
        </w:tc>
      </w:tr>
      <w:tr w:rsidR="00465579" w:rsidRPr="00BA25C6" w14:paraId="61A11974" w14:textId="77777777" w:rsidTr="00E22B14">
        <w:trPr>
          <w:trHeight w:val="283"/>
        </w:trPr>
        <w:tc>
          <w:tcPr>
            <w:tcW w:w="3305" w:type="pct"/>
            <w:tcBorders>
              <w:top w:val="nil"/>
              <w:left w:val="nil"/>
              <w:bottom w:val="nil"/>
              <w:right w:val="nil"/>
            </w:tcBorders>
            <w:shd w:val="clear" w:color="000000" w:fill="005CA9"/>
            <w:noWrap/>
            <w:vAlign w:val="center"/>
            <w:hideMark/>
          </w:tcPr>
          <w:p w14:paraId="7D3A159C" w14:textId="77777777" w:rsidR="00465579" w:rsidRPr="00BA25C6" w:rsidRDefault="00465579" w:rsidP="00465579">
            <w:pPr>
              <w:rPr>
                <w:rFonts w:ascii="CAIXA Std Book" w:eastAsia="Times New Roman" w:hAnsi="CAIXA Std Book" w:cs="Times New Roman"/>
                <w:b/>
                <w:color w:val="FFFFFF"/>
                <w:sz w:val="18"/>
                <w:szCs w:val="18"/>
              </w:rPr>
            </w:pPr>
            <w:r w:rsidRPr="00BA25C6">
              <w:rPr>
                <w:rFonts w:ascii="CAIXA Std Book" w:eastAsia="Times New Roman" w:hAnsi="CAIXA Std Book" w:cs="Times New Roman"/>
                <w:b/>
                <w:color w:val="FFFFFF"/>
                <w:sz w:val="18"/>
                <w:szCs w:val="18"/>
              </w:rPr>
              <w:t>Total</w:t>
            </w:r>
          </w:p>
        </w:tc>
        <w:tc>
          <w:tcPr>
            <w:tcW w:w="847" w:type="pct"/>
            <w:tcBorders>
              <w:top w:val="nil"/>
              <w:left w:val="nil"/>
              <w:bottom w:val="nil"/>
              <w:right w:val="nil"/>
            </w:tcBorders>
            <w:shd w:val="clear" w:color="000000" w:fill="005CA9"/>
            <w:noWrap/>
            <w:vAlign w:val="center"/>
            <w:hideMark/>
          </w:tcPr>
          <w:p w14:paraId="385BF18A" w14:textId="5C198507" w:rsidR="00465579" w:rsidRPr="00BA25C6" w:rsidRDefault="000308C3" w:rsidP="000308C3">
            <w:pPr>
              <w:jc w:val="right"/>
              <w:rPr>
                <w:rFonts w:ascii="CAIXA Std Book" w:eastAsia="Times New Roman" w:hAnsi="CAIXA Std Book" w:cs="Times New Roman"/>
                <w:b/>
                <w:color w:val="FFFFFF"/>
                <w:sz w:val="18"/>
                <w:szCs w:val="18"/>
              </w:rPr>
            </w:pPr>
            <w:r w:rsidRPr="00BA25C6">
              <w:rPr>
                <w:rFonts w:ascii="CAIXA Std Book" w:hAnsi="CAIXA Std Book" w:cs="Calibri"/>
                <w:b/>
                <w:color w:val="FFFFFF"/>
                <w:sz w:val="18"/>
                <w:szCs w:val="18"/>
              </w:rPr>
              <w:t>6.229.573</w:t>
            </w:r>
          </w:p>
        </w:tc>
        <w:tc>
          <w:tcPr>
            <w:tcW w:w="848" w:type="pct"/>
            <w:tcBorders>
              <w:top w:val="nil"/>
              <w:left w:val="nil"/>
              <w:bottom w:val="nil"/>
              <w:right w:val="nil"/>
            </w:tcBorders>
            <w:shd w:val="clear" w:color="000000" w:fill="005CA9"/>
            <w:vAlign w:val="center"/>
            <w:hideMark/>
          </w:tcPr>
          <w:p w14:paraId="3A4E1C51" w14:textId="77777777" w:rsidR="00465579" w:rsidRPr="00BA25C6" w:rsidRDefault="00465579" w:rsidP="00465579">
            <w:pPr>
              <w:jc w:val="right"/>
              <w:rPr>
                <w:rFonts w:ascii="CAIXA Std Book" w:eastAsia="Times New Roman" w:hAnsi="CAIXA Std Book" w:cs="Times New Roman"/>
                <w:b/>
                <w:color w:val="FFFFFF"/>
                <w:sz w:val="18"/>
                <w:szCs w:val="18"/>
              </w:rPr>
            </w:pPr>
            <w:r w:rsidRPr="00BA25C6">
              <w:rPr>
                <w:rFonts w:ascii="CAIXA Std Book" w:eastAsia="Times New Roman" w:hAnsi="CAIXA Std Book" w:cs="Times New Roman"/>
                <w:b/>
                <w:color w:val="FFFFFF"/>
                <w:sz w:val="18"/>
                <w:szCs w:val="18"/>
              </w:rPr>
              <w:t>6.466.285</w:t>
            </w:r>
          </w:p>
        </w:tc>
      </w:tr>
      <w:tr w:rsidR="00465579" w:rsidRPr="00BA25C6" w14:paraId="60759818" w14:textId="77777777" w:rsidTr="00E22B14">
        <w:trPr>
          <w:trHeight w:val="283"/>
        </w:trPr>
        <w:tc>
          <w:tcPr>
            <w:tcW w:w="3305" w:type="pct"/>
            <w:tcBorders>
              <w:top w:val="nil"/>
              <w:left w:val="nil"/>
              <w:bottom w:val="nil"/>
              <w:right w:val="nil"/>
            </w:tcBorders>
            <w:noWrap/>
            <w:vAlign w:val="center"/>
            <w:hideMark/>
          </w:tcPr>
          <w:p w14:paraId="7C5A62A9" w14:textId="77777777" w:rsidR="00465579" w:rsidRPr="00BA25C6" w:rsidRDefault="00465579" w:rsidP="00465579">
            <w:pPr>
              <w:rPr>
                <w:rFonts w:ascii="CAIXA Std Book" w:eastAsia="Times New Roman" w:hAnsi="CAIXA Std Book" w:cs="Times New Roman"/>
                <w:color w:val="005CA9"/>
                <w:sz w:val="18"/>
                <w:szCs w:val="18"/>
              </w:rPr>
            </w:pPr>
            <w:r w:rsidRPr="00BA25C6">
              <w:rPr>
                <w:rFonts w:ascii="CAIXA Std Book" w:eastAsia="Times New Roman" w:hAnsi="CAIXA Std Book" w:cs="Times New Roman"/>
                <w:color w:val="005CA9"/>
                <w:sz w:val="18"/>
                <w:szCs w:val="18"/>
              </w:rPr>
              <w:t>Perdas por redução ao valor recuperável – recebidos</w:t>
            </w:r>
          </w:p>
        </w:tc>
        <w:tc>
          <w:tcPr>
            <w:tcW w:w="847" w:type="pct"/>
            <w:tcBorders>
              <w:top w:val="nil"/>
              <w:left w:val="nil"/>
              <w:bottom w:val="nil"/>
              <w:right w:val="nil"/>
            </w:tcBorders>
            <w:noWrap/>
            <w:vAlign w:val="center"/>
            <w:hideMark/>
          </w:tcPr>
          <w:p w14:paraId="3287E056" w14:textId="28A15857" w:rsidR="00465579" w:rsidRPr="00BA25C6" w:rsidRDefault="000308C3" w:rsidP="000308C3">
            <w:pPr>
              <w:jc w:val="right"/>
              <w:rPr>
                <w:rFonts w:ascii="CAIXA Std Book" w:eastAsia="Times New Roman" w:hAnsi="CAIXA Std Book" w:cs="Times New Roman"/>
                <w:color w:val="005CA9"/>
                <w:sz w:val="18"/>
                <w:szCs w:val="18"/>
              </w:rPr>
            </w:pPr>
            <w:r w:rsidRPr="00BA25C6">
              <w:rPr>
                <w:rFonts w:ascii="CAIXA Std Book" w:hAnsi="CAIXA Std Book" w:cs="Calibri"/>
                <w:color w:val="005CA9"/>
                <w:sz w:val="18"/>
                <w:szCs w:val="18"/>
              </w:rPr>
              <w:t>(313.249)</w:t>
            </w:r>
          </w:p>
        </w:tc>
        <w:tc>
          <w:tcPr>
            <w:tcW w:w="848" w:type="pct"/>
            <w:tcBorders>
              <w:top w:val="nil"/>
              <w:left w:val="nil"/>
              <w:bottom w:val="nil"/>
              <w:right w:val="nil"/>
            </w:tcBorders>
            <w:shd w:val="clear" w:color="000000" w:fill="FFFFFF"/>
            <w:noWrap/>
            <w:vAlign w:val="center"/>
            <w:hideMark/>
          </w:tcPr>
          <w:p w14:paraId="21B60F4C" w14:textId="50C6B8D4" w:rsidR="00465579" w:rsidRPr="00BA25C6" w:rsidRDefault="000308C3" w:rsidP="00465579">
            <w:pPr>
              <w:jc w:val="right"/>
              <w:rPr>
                <w:rFonts w:ascii="CAIXA Std Book" w:eastAsia="Times New Roman" w:hAnsi="CAIXA Std Book" w:cs="Times New Roman"/>
                <w:color w:val="005CA9"/>
                <w:sz w:val="18"/>
                <w:szCs w:val="18"/>
              </w:rPr>
            </w:pPr>
            <w:r w:rsidRPr="00BA25C6">
              <w:rPr>
                <w:rFonts w:ascii="CAIXA Std Book" w:hAnsi="CAIXA Std Book" w:cs="Calibri"/>
                <w:color w:val="005CA9"/>
                <w:sz w:val="18"/>
                <w:szCs w:val="18"/>
              </w:rPr>
              <w:t>(</w:t>
            </w:r>
            <w:r w:rsidR="00465579" w:rsidRPr="00BA25C6">
              <w:rPr>
                <w:rFonts w:ascii="CAIXA Std Book" w:eastAsia="Times New Roman" w:hAnsi="CAIXA Std Book" w:cs="Times New Roman"/>
                <w:color w:val="005CA9"/>
                <w:sz w:val="18"/>
                <w:szCs w:val="18"/>
              </w:rPr>
              <w:t>332.875</w:t>
            </w:r>
            <w:r w:rsidRPr="00BA25C6">
              <w:rPr>
                <w:rFonts w:ascii="CAIXA Std Book" w:hAnsi="CAIXA Std Book" w:cs="Calibri"/>
                <w:color w:val="005CA9"/>
                <w:sz w:val="18"/>
                <w:szCs w:val="18"/>
              </w:rPr>
              <w:t>)</w:t>
            </w:r>
          </w:p>
        </w:tc>
      </w:tr>
      <w:tr w:rsidR="00465579" w:rsidRPr="00BA25C6" w14:paraId="601636A9" w14:textId="77777777" w:rsidTr="00E22B14">
        <w:trPr>
          <w:trHeight w:val="283"/>
        </w:trPr>
        <w:tc>
          <w:tcPr>
            <w:tcW w:w="3305" w:type="pct"/>
            <w:tcBorders>
              <w:top w:val="nil"/>
              <w:left w:val="nil"/>
              <w:bottom w:val="nil"/>
              <w:right w:val="nil"/>
            </w:tcBorders>
            <w:noWrap/>
            <w:vAlign w:val="center"/>
            <w:hideMark/>
          </w:tcPr>
          <w:p w14:paraId="1A58C77C" w14:textId="77777777" w:rsidR="00465579" w:rsidRPr="00BA25C6" w:rsidRDefault="00465579" w:rsidP="00465579">
            <w:pPr>
              <w:rPr>
                <w:rFonts w:ascii="CAIXA Std Book" w:eastAsia="Times New Roman" w:hAnsi="CAIXA Std Book" w:cs="Times New Roman"/>
                <w:color w:val="005CA9"/>
                <w:sz w:val="18"/>
                <w:szCs w:val="18"/>
              </w:rPr>
            </w:pPr>
            <w:r w:rsidRPr="00BA25C6">
              <w:rPr>
                <w:rFonts w:ascii="CAIXA Std Book" w:eastAsia="Times New Roman" w:hAnsi="CAIXA Std Book" w:cs="Times New Roman"/>
                <w:color w:val="005CA9"/>
                <w:sz w:val="18"/>
                <w:szCs w:val="18"/>
              </w:rPr>
              <w:t>Perdas por redução ao valor recuperável – próprios</w:t>
            </w:r>
          </w:p>
        </w:tc>
        <w:tc>
          <w:tcPr>
            <w:tcW w:w="847" w:type="pct"/>
            <w:tcBorders>
              <w:top w:val="nil"/>
              <w:left w:val="nil"/>
              <w:bottom w:val="nil"/>
              <w:right w:val="nil"/>
            </w:tcBorders>
            <w:noWrap/>
            <w:vAlign w:val="center"/>
            <w:hideMark/>
          </w:tcPr>
          <w:p w14:paraId="5AE98FB3" w14:textId="72AD71D5" w:rsidR="00465579" w:rsidRPr="00BA25C6" w:rsidRDefault="000308C3" w:rsidP="000308C3">
            <w:pPr>
              <w:jc w:val="right"/>
              <w:rPr>
                <w:rFonts w:ascii="CAIXA Std Book" w:eastAsia="Times New Roman" w:hAnsi="CAIXA Std Book" w:cs="Times New Roman"/>
                <w:color w:val="005CA9"/>
                <w:sz w:val="18"/>
                <w:szCs w:val="18"/>
              </w:rPr>
            </w:pPr>
            <w:r w:rsidRPr="00BA25C6">
              <w:rPr>
                <w:rFonts w:ascii="CAIXA Std Book" w:hAnsi="CAIXA Std Book" w:cs="Calibri"/>
                <w:color w:val="005CA9"/>
                <w:sz w:val="18"/>
                <w:szCs w:val="18"/>
              </w:rPr>
              <w:t>(2.441)</w:t>
            </w:r>
          </w:p>
        </w:tc>
        <w:tc>
          <w:tcPr>
            <w:tcW w:w="848" w:type="pct"/>
            <w:tcBorders>
              <w:top w:val="nil"/>
              <w:left w:val="nil"/>
              <w:bottom w:val="nil"/>
              <w:right w:val="nil"/>
            </w:tcBorders>
            <w:shd w:val="clear" w:color="000000" w:fill="FFFFFF"/>
            <w:noWrap/>
            <w:vAlign w:val="center"/>
            <w:hideMark/>
          </w:tcPr>
          <w:p w14:paraId="4D3AB3F2" w14:textId="02F4E9E6" w:rsidR="00465579" w:rsidRPr="00BA25C6" w:rsidRDefault="000308C3" w:rsidP="00465579">
            <w:pPr>
              <w:jc w:val="right"/>
              <w:rPr>
                <w:rFonts w:ascii="CAIXA Std Book" w:eastAsia="Times New Roman" w:hAnsi="CAIXA Std Book" w:cs="Times New Roman"/>
                <w:color w:val="005CA9"/>
                <w:sz w:val="18"/>
                <w:szCs w:val="18"/>
              </w:rPr>
            </w:pPr>
            <w:r w:rsidRPr="00BA25C6">
              <w:rPr>
                <w:rFonts w:ascii="CAIXA Std Book" w:hAnsi="CAIXA Std Book" w:cs="Calibri"/>
                <w:color w:val="005CA9"/>
                <w:sz w:val="18"/>
                <w:szCs w:val="18"/>
              </w:rPr>
              <w:t>(</w:t>
            </w:r>
            <w:r w:rsidR="00465579" w:rsidRPr="00BA25C6">
              <w:rPr>
                <w:rFonts w:ascii="CAIXA Std Book" w:eastAsia="Times New Roman" w:hAnsi="CAIXA Std Book" w:cs="Times New Roman"/>
                <w:color w:val="005CA9"/>
                <w:sz w:val="18"/>
                <w:szCs w:val="18"/>
              </w:rPr>
              <w:t>2.457</w:t>
            </w:r>
            <w:r w:rsidRPr="00BA25C6">
              <w:rPr>
                <w:rFonts w:ascii="CAIXA Std Book" w:hAnsi="CAIXA Std Book" w:cs="Calibri"/>
                <w:color w:val="005CA9"/>
                <w:sz w:val="18"/>
                <w:szCs w:val="18"/>
              </w:rPr>
              <w:t>)</w:t>
            </w:r>
          </w:p>
        </w:tc>
      </w:tr>
      <w:tr w:rsidR="00465579" w:rsidRPr="00BA25C6" w14:paraId="3BFB0874" w14:textId="77777777" w:rsidTr="00E22B14">
        <w:trPr>
          <w:trHeight w:val="283"/>
        </w:trPr>
        <w:tc>
          <w:tcPr>
            <w:tcW w:w="3305" w:type="pct"/>
            <w:tcBorders>
              <w:top w:val="nil"/>
              <w:left w:val="nil"/>
              <w:bottom w:val="nil"/>
              <w:right w:val="nil"/>
            </w:tcBorders>
            <w:shd w:val="clear" w:color="000000" w:fill="005CA9"/>
            <w:noWrap/>
            <w:vAlign w:val="center"/>
            <w:hideMark/>
          </w:tcPr>
          <w:p w14:paraId="4F3BD2E0" w14:textId="77777777" w:rsidR="00465579" w:rsidRPr="00BA25C6" w:rsidRDefault="00465579" w:rsidP="00465579">
            <w:pPr>
              <w:rPr>
                <w:rFonts w:ascii="CAIXA Std Book" w:eastAsia="Times New Roman" w:hAnsi="CAIXA Std Book" w:cs="Times New Roman"/>
                <w:b/>
                <w:color w:val="FFFFFF"/>
                <w:sz w:val="18"/>
                <w:szCs w:val="18"/>
              </w:rPr>
            </w:pPr>
            <w:r w:rsidRPr="00BA25C6">
              <w:rPr>
                <w:rFonts w:ascii="CAIXA Std Book" w:eastAsia="Times New Roman" w:hAnsi="CAIXA Std Book" w:cs="Times New Roman"/>
                <w:b/>
                <w:color w:val="FFFFFF"/>
                <w:sz w:val="18"/>
                <w:szCs w:val="18"/>
              </w:rPr>
              <w:t xml:space="preserve">Total líquido de provisão </w:t>
            </w:r>
          </w:p>
        </w:tc>
        <w:tc>
          <w:tcPr>
            <w:tcW w:w="847" w:type="pct"/>
            <w:tcBorders>
              <w:top w:val="nil"/>
              <w:left w:val="nil"/>
              <w:bottom w:val="nil"/>
              <w:right w:val="nil"/>
            </w:tcBorders>
            <w:shd w:val="clear" w:color="000000" w:fill="005CA9"/>
            <w:noWrap/>
            <w:vAlign w:val="center"/>
            <w:hideMark/>
          </w:tcPr>
          <w:p w14:paraId="4515C147" w14:textId="75F6882A" w:rsidR="00465579" w:rsidRPr="00BA25C6" w:rsidRDefault="000308C3" w:rsidP="000308C3">
            <w:pPr>
              <w:jc w:val="right"/>
              <w:rPr>
                <w:rFonts w:ascii="CAIXA Std Book" w:eastAsia="Times New Roman" w:hAnsi="CAIXA Std Book" w:cs="Times New Roman"/>
                <w:b/>
                <w:color w:val="FFFFFF"/>
                <w:sz w:val="18"/>
                <w:szCs w:val="18"/>
              </w:rPr>
            </w:pPr>
            <w:r w:rsidRPr="00BA25C6">
              <w:rPr>
                <w:rFonts w:ascii="CAIXA Std Book" w:hAnsi="CAIXA Std Book" w:cs="Calibri"/>
                <w:b/>
                <w:color w:val="FFFFFF"/>
                <w:sz w:val="18"/>
                <w:szCs w:val="18"/>
              </w:rPr>
              <w:t>5.913.883</w:t>
            </w:r>
          </w:p>
        </w:tc>
        <w:tc>
          <w:tcPr>
            <w:tcW w:w="848" w:type="pct"/>
            <w:tcBorders>
              <w:top w:val="nil"/>
              <w:left w:val="nil"/>
              <w:bottom w:val="nil"/>
              <w:right w:val="nil"/>
            </w:tcBorders>
            <w:shd w:val="clear" w:color="000000" w:fill="005CA9"/>
            <w:noWrap/>
            <w:vAlign w:val="center"/>
            <w:hideMark/>
          </w:tcPr>
          <w:p w14:paraId="6EA49BD4" w14:textId="77777777" w:rsidR="00465579" w:rsidRPr="00BA25C6" w:rsidRDefault="00465579" w:rsidP="00465579">
            <w:pPr>
              <w:jc w:val="right"/>
              <w:rPr>
                <w:rFonts w:ascii="CAIXA Std Book" w:eastAsia="Times New Roman" w:hAnsi="CAIXA Std Book" w:cs="Times New Roman"/>
                <w:b/>
                <w:color w:val="FFFFFF"/>
                <w:sz w:val="18"/>
                <w:szCs w:val="18"/>
              </w:rPr>
            </w:pPr>
            <w:r w:rsidRPr="00BA25C6">
              <w:rPr>
                <w:rFonts w:ascii="CAIXA Std Book" w:eastAsia="Times New Roman" w:hAnsi="CAIXA Std Book" w:cs="Times New Roman"/>
                <w:b/>
                <w:color w:val="FFFFFF"/>
                <w:sz w:val="18"/>
                <w:szCs w:val="18"/>
              </w:rPr>
              <w:t>6.130.953</w:t>
            </w:r>
          </w:p>
        </w:tc>
      </w:tr>
    </w:tbl>
    <w:p w14:paraId="2D0186E0" w14:textId="77777777" w:rsidR="00385A6C" w:rsidRDefault="00385A6C" w:rsidP="00B735D2">
      <w:pPr>
        <w:pStyle w:val="Ttulo1"/>
        <w:sectPr w:rsidR="00385A6C" w:rsidSect="006907F6">
          <w:headerReference w:type="default" r:id="rId70"/>
          <w:footerReference w:type="even" r:id="rId71"/>
          <w:footerReference w:type="default" r:id="rId72"/>
          <w:footerReference w:type="first" r:id="rId73"/>
          <w:pgSz w:w="11906" w:h="16838"/>
          <w:pgMar w:top="1985" w:right="851" w:bottom="1418" w:left="1418" w:header="1134" w:footer="709" w:gutter="0"/>
          <w:cols w:space="708"/>
          <w:docGrid w:linePitch="360"/>
        </w:sectPr>
      </w:pPr>
      <w:bookmarkStart w:id="111" w:name="_Toc217914337"/>
    </w:p>
    <w:p w14:paraId="332F0AAC" w14:textId="2FD58ED1" w:rsidR="002D0104" w:rsidRPr="00E95E29" w:rsidRDefault="00B3754A" w:rsidP="00B735D2">
      <w:pPr>
        <w:pStyle w:val="Ttulo1"/>
      </w:pPr>
      <w:bookmarkStart w:id="112" w:name="_Toc229588487"/>
      <w:r w:rsidRPr="00E95E29">
        <w:t>Nota   1</w:t>
      </w:r>
      <w:r w:rsidR="005464C5">
        <w:t>5</w:t>
      </w:r>
      <w:r w:rsidRPr="00E95E29">
        <w:t xml:space="preserve"> – </w:t>
      </w:r>
      <w:r w:rsidR="00E9508A" w:rsidRPr="00E95E29">
        <w:t xml:space="preserve">Passivos </w:t>
      </w:r>
      <w:r w:rsidR="003173AD">
        <w:t>f</w:t>
      </w:r>
      <w:r w:rsidR="00E9508A" w:rsidRPr="00E95E29">
        <w:t>inanceiros ao custo amortizado</w:t>
      </w:r>
      <w:bookmarkEnd w:id="111"/>
      <w:bookmarkEnd w:id="112"/>
    </w:p>
    <w:p w14:paraId="0545DCBE" w14:textId="4681DB32" w:rsidR="00E9508A" w:rsidRPr="00E95E29" w:rsidRDefault="00E9508A" w:rsidP="00B735D2">
      <w:pPr>
        <w:pStyle w:val="Ttulo1"/>
      </w:pPr>
      <w:bookmarkStart w:id="113" w:name="_Toc217914338"/>
      <w:bookmarkStart w:id="114" w:name="_Toc229588488"/>
      <w:r w:rsidRPr="00E95E29">
        <w:t>Nota   1</w:t>
      </w:r>
      <w:r w:rsidR="005464C5">
        <w:t>5</w:t>
      </w:r>
      <w:r w:rsidRPr="00E95E29">
        <w:t xml:space="preserve">.1 – </w:t>
      </w:r>
      <w:r w:rsidR="00743985" w:rsidRPr="00E95E29">
        <w:t>Recursos de clientes</w:t>
      </w:r>
      <w:bookmarkEnd w:id="113"/>
      <w:bookmarkEnd w:id="114"/>
    </w:p>
    <w:p w14:paraId="6432088A" w14:textId="77777777" w:rsidR="005960B6" w:rsidRPr="00B04D8D" w:rsidRDefault="00073AA4" w:rsidP="00F3083F">
      <w:pPr>
        <w:pStyle w:val="PargrafodaLista"/>
        <w:numPr>
          <w:ilvl w:val="0"/>
          <w:numId w:val="50"/>
        </w:numPr>
        <w:shd w:val="clear" w:color="auto" w:fill="FFFFFF" w:themeFill="background1"/>
        <w:spacing w:before="240" w:after="120"/>
        <w:jc w:val="both"/>
        <w:rPr>
          <w:rFonts w:ascii="CAIXA Std Book" w:hAnsi="CAIXA Std Book"/>
          <w:b/>
          <w:color w:val="005CA9"/>
          <w:sz w:val="20"/>
          <w:szCs w:val="20"/>
        </w:rPr>
      </w:pPr>
      <w:r w:rsidRPr="00B04D8D">
        <w:rPr>
          <w:rFonts w:ascii="CAIXA Std Book" w:hAnsi="CAIXA Std Book"/>
          <w:b/>
          <w:color w:val="005CA9"/>
          <w:sz w:val="20"/>
          <w:szCs w:val="20"/>
        </w:rPr>
        <w:t>Depósitos por prazo de exigibilidade</w:t>
      </w:r>
    </w:p>
    <w:tbl>
      <w:tblPr>
        <w:tblW w:w="5000" w:type="pct"/>
        <w:tblLayout w:type="fixed"/>
        <w:tblCellMar>
          <w:left w:w="70" w:type="dxa"/>
          <w:right w:w="70" w:type="dxa"/>
        </w:tblCellMar>
        <w:tblLook w:val="04A0" w:firstRow="1" w:lastRow="0" w:firstColumn="1" w:lastColumn="0" w:noHBand="0" w:noVBand="1"/>
      </w:tblPr>
      <w:tblGrid>
        <w:gridCol w:w="4328"/>
        <w:gridCol w:w="1279"/>
        <w:gridCol w:w="1279"/>
        <w:gridCol w:w="1279"/>
        <w:gridCol w:w="1279"/>
        <w:gridCol w:w="1279"/>
        <w:gridCol w:w="1279"/>
        <w:gridCol w:w="1279"/>
        <w:gridCol w:w="1288"/>
      </w:tblGrid>
      <w:tr w:rsidR="00277787" w:rsidRPr="00422653" w14:paraId="7126EDA6" w14:textId="77777777" w:rsidTr="008E28CE">
        <w:trPr>
          <w:trHeight w:val="283"/>
        </w:trPr>
        <w:tc>
          <w:tcPr>
            <w:tcW w:w="1485" w:type="pct"/>
            <w:vMerge w:val="restart"/>
            <w:tcBorders>
              <w:top w:val="nil"/>
              <w:left w:val="nil"/>
              <w:bottom w:val="nil"/>
              <w:right w:val="nil"/>
            </w:tcBorders>
            <w:shd w:val="clear" w:color="000000" w:fill="005CA9"/>
            <w:vAlign w:val="center"/>
            <w:hideMark/>
          </w:tcPr>
          <w:p w14:paraId="18195319" w14:textId="77777777" w:rsidR="00277787" w:rsidRPr="00422653" w:rsidRDefault="00277787" w:rsidP="00277787">
            <w:pPr>
              <w:jc w:val="center"/>
              <w:rPr>
                <w:rFonts w:ascii="CAIXA Std Book" w:eastAsia="Times New Roman" w:hAnsi="CAIXA Std Book" w:cs="Calibri"/>
                <w:b/>
                <w:bCs/>
                <w:color w:val="FFFFFF"/>
                <w:sz w:val="16"/>
                <w:szCs w:val="16"/>
              </w:rPr>
            </w:pPr>
            <w:bookmarkStart w:id="115" w:name="_Toc217914339"/>
            <w:r w:rsidRPr="00422653">
              <w:rPr>
                <w:rFonts w:ascii="CAIXA Std Book" w:eastAsia="Times New Roman" w:hAnsi="CAIXA Std Book" w:cs="Calibri"/>
                <w:b/>
                <w:bCs/>
                <w:color w:val="FFFFFF"/>
                <w:sz w:val="16"/>
                <w:szCs w:val="16"/>
              </w:rPr>
              <w:t>Depósitos</w:t>
            </w:r>
          </w:p>
        </w:tc>
        <w:tc>
          <w:tcPr>
            <w:tcW w:w="1757" w:type="pct"/>
            <w:gridSpan w:val="6"/>
            <w:tcBorders>
              <w:top w:val="nil"/>
              <w:left w:val="nil"/>
              <w:bottom w:val="single" w:sz="4" w:space="0" w:color="FFFFFF"/>
              <w:right w:val="nil"/>
            </w:tcBorders>
            <w:shd w:val="clear" w:color="000000" w:fill="005CA9"/>
            <w:noWrap/>
            <w:vAlign w:val="center"/>
            <w:hideMark/>
          </w:tcPr>
          <w:p w14:paraId="1E959BF5" w14:textId="77777777" w:rsidR="00277787" w:rsidRPr="00422653" w:rsidRDefault="00277787" w:rsidP="00277787">
            <w:pPr>
              <w:jc w:val="center"/>
              <w:rPr>
                <w:rFonts w:ascii="CAIXA Std Book" w:eastAsia="Times New Roman" w:hAnsi="CAIXA Std Book" w:cs="Calibri"/>
                <w:b/>
                <w:bCs/>
                <w:color w:val="FFFFFF"/>
                <w:sz w:val="16"/>
                <w:szCs w:val="16"/>
              </w:rPr>
            </w:pPr>
            <w:r w:rsidRPr="00422653">
              <w:rPr>
                <w:rFonts w:ascii="CAIXA Std Book" w:eastAsia="Times New Roman" w:hAnsi="CAIXA Std Book" w:cs="Calibri"/>
                <w:b/>
                <w:bCs/>
                <w:color w:val="FFFFFF"/>
                <w:sz w:val="16"/>
                <w:szCs w:val="16"/>
              </w:rPr>
              <w:t>Individual</w:t>
            </w:r>
          </w:p>
        </w:tc>
        <w:tc>
          <w:tcPr>
            <w:tcW w:w="1757" w:type="pct"/>
            <w:gridSpan w:val="2"/>
            <w:tcBorders>
              <w:top w:val="nil"/>
              <w:left w:val="nil"/>
              <w:bottom w:val="single" w:sz="4" w:space="0" w:color="FFFFFF"/>
              <w:right w:val="nil"/>
            </w:tcBorders>
            <w:shd w:val="clear" w:color="000000" w:fill="005CA9"/>
            <w:noWrap/>
            <w:vAlign w:val="center"/>
            <w:hideMark/>
          </w:tcPr>
          <w:p w14:paraId="6C8CD07B" w14:textId="77777777" w:rsidR="00277787" w:rsidRPr="00422653" w:rsidRDefault="00277787" w:rsidP="00277787">
            <w:pPr>
              <w:jc w:val="center"/>
              <w:rPr>
                <w:rFonts w:ascii="CAIXA Std Book" w:eastAsia="Times New Roman" w:hAnsi="CAIXA Std Book" w:cs="Calibri"/>
                <w:b/>
                <w:bCs/>
                <w:color w:val="FFFFFF"/>
                <w:sz w:val="16"/>
                <w:szCs w:val="16"/>
              </w:rPr>
            </w:pPr>
            <w:r w:rsidRPr="00422653">
              <w:rPr>
                <w:rFonts w:ascii="CAIXA Std Book" w:eastAsia="Times New Roman" w:hAnsi="CAIXA Std Book" w:cs="Calibri"/>
                <w:b/>
                <w:bCs/>
                <w:color w:val="FFFFFF"/>
                <w:sz w:val="16"/>
                <w:szCs w:val="16"/>
              </w:rPr>
              <w:t>Consolidado</w:t>
            </w:r>
          </w:p>
        </w:tc>
      </w:tr>
      <w:tr w:rsidR="00277787" w:rsidRPr="00422653" w14:paraId="2F9676E2" w14:textId="77777777" w:rsidTr="008E28CE">
        <w:trPr>
          <w:trHeight w:val="283"/>
        </w:trPr>
        <w:tc>
          <w:tcPr>
            <w:tcW w:w="1485" w:type="pct"/>
            <w:vMerge/>
            <w:tcBorders>
              <w:top w:val="nil"/>
              <w:left w:val="nil"/>
              <w:bottom w:val="nil"/>
              <w:right w:val="nil"/>
            </w:tcBorders>
            <w:vAlign w:val="center"/>
            <w:hideMark/>
          </w:tcPr>
          <w:p w14:paraId="7D77F9F4" w14:textId="77777777" w:rsidR="00277787" w:rsidRPr="00422653" w:rsidRDefault="00277787" w:rsidP="00277787">
            <w:pPr>
              <w:rPr>
                <w:rFonts w:ascii="CAIXA Std Book" w:eastAsia="Times New Roman" w:hAnsi="CAIXA Std Book" w:cs="Calibri"/>
                <w:b/>
                <w:bCs/>
                <w:color w:val="FFFFFF"/>
                <w:sz w:val="16"/>
                <w:szCs w:val="16"/>
              </w:rPr>
            </w:pPr>
          </w:p>
        </w:tc>
        <w:tc>
          <w:tcPr>
            <w:tcW w:w="439" w:type="pct"/>
            <w:tcBorders>
              <w:top w:val="nil"/>
              <w:left w:val="nil"/>
              <w:bottom w:val="nil"/>
              <w:right w:val="nil"/>
            </w:tcBorders>
            <w:shd w:val="clear" w:color="000000" w:fill="005CA9"/>
            <w:vAlign w:val="center"/>
            <w:hideMark/>
          </w:tcPr>
          <w:p w14:paraId="7EBD0132" w14:textId="77777777" w:rsidR="00277787" w:rsidRPr="00422653" w:rsidRDefault="00277787" w:rsidP="00277787">
            <w:pPr>
              <w:jc w:val="center"/>
              <w:rPr>
                <w:rFonts w:ascii="CAIXA Std Book" w:eastAsia="Times New Roman" w:hAnsi="CAIXA Std Book" w:cs="Calibri"/>
                <w:b/>
                <w:bCs/>
                <w:color w:val="FFFFFF"/>
                <w:sz w:val="16"/>
                <w:szCs w:val="16"/>
              </w:rPr>
            </w:pPr>
            <w:r w:rsidRPr="00422653">
              <w:rPr>
                <w:rFonts w:ascii="CAIXA Std Book" w:eastAsia="Times New Roman" w:hAnsi="CAIXA Std Book" w:cs="Calibri"/>
                <w:b/>
                <w:bCs/>
                <w:color w:val="FFFFFF"/>
                <w:sz w:val="16"/>
                <w:szCs w:val="16"/>
              </w:rPr>
              <w:t>Sem vencimento</w:t>
            </w:r>
          </w:p>
        </w:tc>
        <w:tc>
          <w:tcPr>
            <w:tcW w:w="439" w:type="pct"/>
            <w:tcBorders>
              <w:top w:val="nil"/>
              <w:left w:val="nil"/>
              <w:bottom w:val="nil"/>
              <w:right w:val="nil"/>
            </w:tcBorders>
            <w:shd w:val="clear" w:color="000000" w:fill="005CA9"/>
            <w:vAlign w:val="center"/>
            <w:hideMark/>
          </w:tcPr>
          <w:p w14:paraId="33E3C93C" w14:textId="77777777" w:rsidR="00277787" w:rsidRPr="00422653" w:rsidRDefault="00277787" w:rsidP="00277787">
            <w:pPr>
              <w:jc w:val="center"/>
              <w:rPr>
                <w:rFonts w:ascii="CAIXA Std Book" w:eastAsia="Times New Roman" w:hAnsi="CAIXA Std Book" w:cs="Calibri"/>
                <w:b/>
                <w:bCs/>
                <w:color w:val="FFFFFF"/>
                <w:sz w:val="16"/>
                <w:szCs w:val="16"/>
              </w:rPr>
            </w:pPr>
            <w:r w:rsidRPr="00422653">
              <w:rPr>
                <w:rFonts w:ascii="CAIXA Std Book" w:eastAsia="Times New Roman" w:hAnsi="CAIXA Std Book" w:cs="Calibri"/>
                <w:b/>
                <w:bCs/>
                <w:color w:val="FFFFFF"/>
                <w:sz w:val="16"/>
                <w:szCs w:val="16"/>
              </w:rPr>
              <w:t>01 a 90 dias</w:t>
            </w:r>
          </w:p>
        </w:tc>
        <w:tc>
          <w:tcPr>
            <w:tcW w:w="439" w:type="pct"/>
            <w:tcBorders>
              <w:top w:val="nil"/>
              <w:left w:val="nil"/>
              <w:bottom w:val="nil"/>
              <w:right w:val="nil"/>
            </w:tcBorders>
            <w:shd w:val="clear" w:color="000000" w:fill="005CA9"/>
            <w:vAlign w:val="center"/>
            <w:hideMark/>
          </w:tcPr>
          <w:p w14:paraId="44ABD631" w14:textId="77777777" w:rsidR="00277787" w:rsidRPr="00422653" w:rsidRDefault="00277787" w:rsidP="00277787">
            <w:pPr>
              <w:jc w:val="center"/>
              <w:rPr>
                <w:rFonts w:ascii="CAIXA Std Book" w:eastAsia="Times New Roman" w:hAnsi="CAIXA Std Book" w:cs="Calibri"/>
                <w:b/>
                <w:bCs/>
                <w:color w:val="FFFFFF"/>
                <w:sz w:val="16"/>
                <w:szCs w:val="16"/>
              </w:rPr>
            </w:pPr>
            <w:r w:rsidRPr="00422653">
              <w:rPr>
                <w:rFonts w:ascii="CAIXA Std Book" w:eastAsia="Times New Roman" w:hAnsi="CAIXA Std Book" w:cs="Calibri"/>
                <w:b/>
                <w:bCs/>
                <w:color w:val="FFFFFF"/>
                <w:sz w:val="16"/>
                <w:szCs w:val="16"/>
              </w:rPr>
              <w:t>91 a 360 dias</w:t>
            </w:r>
          </w:p>
        </w:tc>
        <w:tc>
          <w:tcPr>
            <w:tcW w:w="439" w:type="pct"/>
            <w:tcBorders>
              <w:top w:val="nil"/>
              <w:left w:val="nil"/>
              <w:bottom w:val="nil"/>
              <w:right w:val="nil"/>
            </w:tcBorders>
            <w:shd w:val="clear" w:color="000000" w:fill="005CA9"/>
            <w:vAlign w:val="center"/>
            <w:hideMark/>
          </w:tcPr>
          <w:p w14:paraId="0F44F603" w14:textId="702D2697" w:rsidR="00277787" w:rsidRPr="00422653" w:rsidRDefault="00277787" w:rsidP="00277787">
            <w:pPr>
              <w:jc w:val="center"/>
              <w:rPr>
                <w:rFonts w:ascii="CAIXA Std Book" w:eastAsia="Times New Roman" w:hAnsi="CAIXA Std Book" w:cs="Calibri"/>
                <w:b/>
                <w:bCs/>
                <w:color w:val="FFFFFF"/>
                <w:sz w:val="16"/>
                <w:szCs w:val="16"/>
              </w:rPr>
            </w:pPr>
            <w:r w:rsidRPr="00422653">
              <w:rPr>
                <w:rFonts w:ascii="CAIXA Std Book" w:eastAsia="Times New Roman" w:hAnsi="CAIXA Std Book" w:cs="Calibri"/>
                <w:b/>
                <w:bCs/>
                <w:color w:val="FFFFFF"/>
                <w:sz w:val="16"/>
                <w:szCs w:val="16"/>
              </w:rPr>
              <w:t>Acima de 360 dias</w:t>
            </w:r>
          </w:p>
        </w:tc>
        <w:tc>
          <w:tcPr>
            <w:tcW w:w="439" w:type="pct"/>
            <w:tcBorders>
              <w:top w:val="nil"/>
              <w:left w:val="nil"/>
              <w:bottom w:val="nil"/>
              <w:right w:val="nil"/>
            </w:tcBorders>
            <w:shd w:val="clear" w:color="000000" w:fill="005CA9"/>
            <w:vAlign w:val="center"/>
            <w:hideMark/>
          </w:tcPr>
          <w:p w14:paraId="639E8D41" w14:textId="77777777" w:rsidR="00277787" w:rsidRPr="00422653" w:rsidRDefault="00277787" w:rsidP="00277787">
            <w:pPr>
              <w:jc w:val="center"/>
              <w:rPr>
                <w:rFonts w:ascii="CAIXA Std Book" w:eastAsia="Times New Roman" w:hAnsi="CAIXA Std Book" w:cs="Calibri"/>
                <w:b/>
                <w:bCs/>
                <w:color w:val="FFFFFF"/>
                <w:sz w:val="16"/>
                <w:szCs w:val="16"/>
              </w:rPr>
            </w:pPr>
            <w:r w:rsidRPr="00422653">
              <w:rPr>
                <w:rFonts w:ascii="CAIXA Std Book" w:eastAsia="Times New Roman" w:hAnsi="CAIXA Std Book" w:cs="Calibri"/>
                <w:b/>
                <w:bCs/>
                <w:color w:val="FFFFFF"/>
                <w:sz w:val="16"/>
                <w:szCs w:val="16"/>
              </w:rPr>
              <w:t>31/03/2026</w:t>
            </w:r>
          </w:p>
        </w:tc>
        <w:tc>
          <w:tcPr>
            <w:tcW w:w="439" w:type="pct"/>
            <w:tcBorders>
              <w:top w:val="nil"/>
              <w:left w:val="nil"/>
              <w:bottom w:val="nil"/>
              <w:right w:val="nil"/>
            </w:tcBorders>
            <w:shd w:val="clear" w:color="000000" w:fill="005CA9"/>
            <w:vAlign w:val="center"/>
            <w:hideMark/>
          </w:tcPr>
          <w:p w14:paraId="549DF158" w14:textId="77777777" w:rsidR="00277787" w:rsidRPr="00422653" w:rsidRDefault="00277787" w:rsidP="00277787">
            <w:pPr>
              <w:jc w:val="center"/>
              <w:rPr>
                <w:rFonts w:ascii="CAIXA Std Book" w:eastAsia="Times New Roman" w:hAnsi="CAIXA Std Book" w:cs="Calibri"/>
                <w:b/>
                <w:bCs/>
                <w:color w:val="FFFFFF"/>
                <w:sz w:val="16"/>
                <w:szCs w:val="16"/>
              </w:rPr>
            </w:pPr>
            <w:r w:rsidRPr="00422653">
              <w:rPr>
                <w:rFonts w:ascii="CAIXA Std Book" w:eastAsia="Times New Roman" w:hAnsi="CAIXA Std Book" w:cs="Calibri"/>
                <w:b/>
                <w:bCs/>
                <w:color w:val="FFFFFF"/>
                <w:sz w:val="16"/>
                <w:szCs w:val="16"/>
              </w:rPr>
              <w:t>31/12/2025</w:t>
            </w:r>
          </w:p>
        </w:tc>
        <w:tc>
          <w:tcPr>
            <w:tcW w:w="439" w:type="pct"/>
            <w:tcBorders>
              <w:top w:val="nil"/>
              <w:left w:val="nil"/>
              <w:bottom w:val="nil"/>
              <w:right w:val="nil"/>
            </w:tcBorders>
            <w:shd w:val="clear" w:color="000000" w:fill="005CA9"/>
            <w:vAlign w:val="center"/>
            <w:hideMark/>
          </w:tcPr>
          <w:p w14:paraId="4A40AB0A" w14:textId="77777777" w:rsidR="00277787" w:rsidRPr="00422653" w:rsidRDefault="00277787" w:rsidP="00277787">
            <w:pPr>
              <w:jc w:val="center"/>
              <w:rPr>
                <w:rFonts w:ascii="CAIXA Std Book" w:eastAsia="Times New Roman" w:hAnsi="CAIXA Std Book" w:cs="Calibri"/>
                <w:b/>
                <w:bCs/>
                <w:color w:val="FFFFFF"/>
                <w:sz w:val="16"/>
                <w:szCs w:val="16"/>
              </w:rPr>
            </w:pPr>
            <w:r w:rsidRPr="00422653">
              <w:rPr>
                <w:rFonts w:ascii="CAIXA Std Book" w:eastAsia="Times New Roman" w:hAnsi="CAIXA Std Book" w:cs="Calibri"/>
                <w:b/>
                <w:bCs/>
                <w:color w:val="FFFFFF"/>
                <w:sz w:val="16"/>
                <w:szCs w:val="16"/>
              </w:rPr>
              <w:t>31/03/2026</w:t>
            </w:r>
          </w:p>
        </w:tc>
        <w:tc>
          <w:tcPr>
            <w:tcW w:w="440" w:type="pct"/>
            <w:tcBorders>
              <w:top w:val="nil"/>
              <w:left w:val="nil"/>
              <w:bottom w:val="nil"/>
              <w:right w:val="nil"/>
            </w:tcBorders>
            <w:shd w:val="clear" w:color="000000" w:fill="005CA9"/>
            <w:vAlign w:val="center"/>
            <w:hideMark/>
          </w:tcPr>
          <w:p w14:paraId="2DEE71F4" w14:textId="77777777" w:rsidR="00277787" w:rsidRPr="00422653" w:rsidRDefault="00277787" w:rsidP="00277787">
            <w:pPr>
              <w:jc w:val="center"/>
              <w:rPr>
                <w:rFonts w:ascii="CAIXA Std Book" w:eastAsia="Times New Roman" w:hAnsi="CAIXA Std Book" w:cs="Calibri"/>
                <w:b/>
                <w:bCs/>
                <w:color w:val="FFFFFF"/>
                <w:sz w:val="16"/>
                <w:szCs w:val="16"/>
              </w:rPr>
            </w:pPr>
            <w:r w:rsidRPr="00422653">
              <w:rPr>
                <w:rFonts w:ascii="CAIXA Std Book" w:eastAsia="Times New Roman" w:hAnsi="CAIXA Std Book" w:cs="Calibri"/>
                <w:b/>
                <w:bCs/>
                <w:color w:val="FFFFFF"/>
                <w:sz w:val="16"/>
                <w:szCs w:val="16"/>
              </w:rPr>
              <w:t>31/12/2025</w:t>
            </w:r>
          </w:p>
        </w:tc>
      </w:tr>
      <w:tr w:rsidR="00277787" w:rsidRPr="00422653" w14:paraId="21978838" w14:textId="77777777" w:rsidTr="008E28CE">
        <w:trPr>
          <w:trHeight w:val="283"/>
        </w:trPr>
        <w:tc>
          <w:tcPr>
            <w:tcW w:w="1485" w:type="pct"/>
            <w:tcBorders>
              <w:top w:val="nil"/>
              <w:left w:val="nil"/>
              <w:bottom w:val="nil"/>
              <w:right w:val="nil"/>
            </w:tcBorders>
            <w:shd w:val="clear" w:color="000000" w:fill="D0E0E3"/>
            <w:vAlign w:val="center"/>
            <w:hideMark/>
          </w:tcPr>
          <w:p w14:paraId="3A5B7C64" w14:textId="77777777" w:rsidR="00277787" w:rsidRPr="00422653" w:rsidRDefault="00277787" w:rsidP="00277787">
            <w:pPr>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Depósitos à vista</w:t>
            </w:r>
          </w:p>
        </w:tc>
        <w:tc>
          <w:tcPr>
            <w:tcW w:w="439" w:type="pct"/>
            <w:tcBorders>
              <w:top w:val="nil"/>
              <w:left w:val="nil"/>
              <w:bottom w:val="nil"/>
              <w:right w:val="nil"/>
            </w:tcBorders>
            <w:shd w:val="clear" w:color="000000" w:fill="D0E0E3"/>
            <w:noWrap/>
            <w:vAlign w:val="center"/>
            <w:hideMark/>
          </w:tcPr>
          <w:p w14:paraId="62BFDC52"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50.333.398</w:t>
            </w:r>
          </w:p>
        </w:tc>
        <w:tc>
          <w:tcPr>
            <w:tcW w:w="439" w:type="pct"/>
            <w:tcBorders>
              <w:top w:val="nil"/>
              <w:left w:val="nil"/>
              <w:bottom w:val="nil"/>
              <w:right w:val="nil"/>
            </w:tcBorders>
            <w:shd w:val="clear" w:color="000000" w:fill="D0E0E3"/>
            <w:noWrap/>
            <w:vAlign w:val="center"/>
            <w:hideMark/>
          </w:tcPr>
          <w:p w14:paraId="75742761" w14:textId="08B4696A" w:rsidR="00277787" w:rsidRPr="00422653" w:rsidRDefault="00277787" w:rsidP="00CB63DB">
            <w:pPr>
              <w:jc w:val="center"/>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w:t>
            </w:r>
          </w:p>
        </w:tc>
        <w:tc>
          <w:tcPr>
            <w:tcW w:w="439" w:type="pct"/>
            <w:tcBorders>
              <w:top w:val="nil"/>
              <w:left w:val="nil"/>
              <w:bottom w:val="nil"/>
              <w:right w:val="nil"/>
            </w:tcBorders>
            <w:shd w:val="clear" w:color="000000" w:fill="D0E0E3"/>
            <w:noWrap/>
            <w:vAlign w:val="center"/>
            <w:hideMark/>
          </w:tcPr>
          <w:p w14:paraId="04179C2B" w14:textId="1151220D" w:rsidR="00277787" w:rsidRPr="00422653" w:rsidRDefault="00277787" w:rsidP="00CB63DB">
            <w:pPr>
              <w:jc w:val="center"/>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w:t>
            </w:r>
          </w:p>
        </w:tc>
        <w:tc>
          <w:tcPr>
            <w:tcW w:w="439" w:type="pct"/>
            <w:tcBorders>
              <w:top w:val="nil"/>
              <w:left w:val="nil"/>
              <w:bottom w:val="nil"/>
              <w:right w:val="nil"/>
            </w:tcBorders>
            <w:shd w:val="clear" w:color="000000" w:fill="D0E0E3"/>
            <w:noWrap/>
            <w:vAlign w:val="center"/>
            <w:hideMark/>
          </w:tcPr>
          <w:p w14:paraId="18CECEB4" w14:textId="77124AA1" w:rsidR="00277787" w:rsidRPr="00422653" w:rsidRDefault="00277787" w:rsidP="00CB63DB">
            <w:pPr>
              <w:jc w:val="center"/>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w:t>
            </w:r>
          </w:p>
        </w:tc>
        <w:tc>
          <w:tcPr>
            <w:tcW w:w="439" w:type="pct"/>
            <w:tcBorders>
              <w:top w:val="nil"/>
              <w:left w:val="nil"/>
              <w:bottom w:val="nil"/>
              <w:right w:val="nil"/>
            </w:tcBorders>
            <w:shd w:val="clear" w:color="000000" w:fill="D0E0E3"/>
            <w:noWrap/>
            <w:vAlign w:val="center"/>
            <w:hideMark/>
          </w:tcPr>
          <w:p w14:paraId="50DC81E4"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50.333.398</w:t>
            </w:r>
          </w:p>
        </w:tc>
        <w:tc>
          <w:tcPr>
            <w:tcW w:w="439" w:type="pct"/>
            <w:tcBorders>
              <w:top w:val="nil"/>
              <w:left w:val="nil"/>
              <w:bottom w:val="nil"/>
              <w:right w:val="nil"/>
            </w:tcBorders>
            <w:shd w:val="clear" w:color="000000" w:fill="D0E0E3"/>
            <w:noWrap/>
            <w:vAlign w:val="center"/>
            <w:hideMark/>
          </w:tcPr>
          <w:p w14:paraId="366FF201"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54.596.876</w:t>
            </w:r>
          </w:p>
        </w:tc>
        <w:tc>
          <w:tcPr>
            <w:tcW w:w="439" w:type="pct"/>
            <w:tcBorders>
              <w:top w:val="nil"/>
              <w:left w:val="nil"/>
              <w:bottom w:val="nil"/>
              <w:right w:val="nil"/>
            </w:tcBorders>
            <w:shd w:val="clear" w:color="000000" w:fill="D0E0E3"/>
            <w:noWrap/>
            <w:vAlign w:val="center"/>
            <w:hideMark/>
          </w:tcPr>
          <w:p w14:paraId="7FA3D299" w14:textId="3FE4FB96"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49.974.143</w:t>
            </w:r>
          </w:p>
        </w:tc>
        <w:tc>
          <w:tcPr>
            <w:tcW w:w="440" w:type="pct"/>
            <w:tcBorders>
              <w:top w:val="nil"/>
              <w:left w:val="nil"/>
              <w:bottom w:val="nil"/>
              <w:right w:val="nil"/>
            </w:tcBorders>
            <w:shd w:val="clear" w:color="000000" w:fill="D0E0E3"/>
            <w:noWrap/>
            <w:vAlign w:val="center"/>
            <w:hideMark/>
          </w:tcPr>
          <w:p w14:paraId="4AD3274D"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54.012.688</w:t>
            </w:r>
          </w:p>
        </w:tc>
      </w:tr>
      <w:tr w:rsidR="00277787" w:rsidRPr="00422653" w14:paraId="76B9E3DB" w14:textId="77777777" w:rsidTr="008E28CE">
        <w:trPr>
          <w:trHeight w:val="283"/>
        </w:trPr>
        <w:tc>
          <w:tcPr>
            <w:tcW w:w="1485" w:type="pct"/>
            <w:tcBorders>
              <w:top w:val="single" w:sz="4" w:space="0" w:color="FFFFFF"/>
              <w:left w:val="nil"/>
              <w:bottom w:val="single" w:sz="4" w:space="0" w:color="FFFFFF"/>
              <w:right w:val="nil"/>
            </w:tcBorders>
            <w:shd w:val="clear" w:color="000000" w:fill="D0E0E3"/>
            <w:vAlign w:val="center"/>
            <w:hideMark/>
          </w:tcPr>
          <w:p w14:paraId="4D519E9D" w14:textId="77777777" w:rsidR="00277787" w:rsidRPr="00422653" w:rsidRDefault="00277787" w:rsidP="00277787">
            <w:pPr>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Depósitos de poupança</w:t>
            </w:r>
          </w:p>
        </w:tc>
        <w:tc>
          <w:tcPr>
            <w:tcW w:w="439" w:type="pct"/>
            <w:tcBorders>
              <w:top w:val="single" w:sz="4" w:space="0" w:color="FFFFFF"/>
              <w:left w:val="nil"/>
              <w:bottom w:val="single" w:sz="4" w:space="0" w:color="FFFFFF"/>
              <w:right w:val="nil"/>
            </w:tcBorders>
            <w:shd w:val="clear" w:color="000000" w:fill="D0E0E3"/>
            <w:noWrap/>
            <w:vAlign w:val="center"/>
            <w:hideMark/>
          </w:tcPr>
          <w:p w14:paraId="4F3ED7CF"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392.370.704</w:t>
            </w:r>
          </w:p>
        </w:tc>
        <w:tc>
          <w:tcPr>
            <w:tcW w:w="439" w:type="pct"/>
            <w:tcBorders>
              <w:top w:val="single" w:sz="4" w:space="0" w:color="FFFFFF"/>
              <w:left w:val="nil"/>
              <w:bottom w:val="single" w:sz="4" w:space="0" w:color="FFFFFF"/>
              <w:right w:val="nil"/>
            </w:tcBorders>
            <w:shd w:val="clear" w:color="000000" w:fill="D0E0E3"/>
            <w:noWrap/>
            <w:vAlign w:val="center"/>
            <w:hideMark/>
          </w:tcPr>
          <w:p w14:paraId="38E9F3D2" w14:textId="2E2894A3" w:rsidR="00277787" w:rsidRPr="00422653" w:rsidRDefault="00277787" w:rsidP="00CB63DB">
            <w:pPr>
              <w:jc w:val="center"/>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w:t>
            </w:r>
          </w:p>
        </w:tc>
        <w:tc>
          <w:tcPr>
            <w:tcW w:w="439" w:type="pct"/>
            <w:tcBorders>
              <w:top w:val="single" w:sz="4" w:space="0" w:color="FFFFFF"/>
              <w:left w:val="nil"/>
              <w:bottom w:val="single" w:sz="4" w:space="0" w:color="FFFFFF"/>
              <w:right w:val="nil"/>
            </w:tcBorders>
            <w:shd w:val="clear" w:color="000000" w:fill="D0E0E3"/>
            <w:noWrap/>
            <w:vAlign w:val="center"/>
            <w:hideMark/>
          </w:tcPr>
          <w:p w14:paraId="023B8E0B" w14:textId="1B58B6E5" w:rsidR="00277787" w:rsidRPr="00422653" w:rsidRDefault="00277787" w:rsidP="00CB63DB">
            <w:pPr>
              <w:jc w:val="center"/>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w:t>
            </w:r>
          </w:p>
        </w:tc>
        <w:tc>
          <w:tcPr>
            <w:tcW w:w="439" w:type="pct"/>
            <w:tcBorders>
              <w:top w:val="single" w:sz="4" w:space="0" w:color="FFFFFF"/>
              <w:left w:val="nil"/>
              <w:bottom w:val="single" w:sz="4" w:space="0" w:color="FFFFFF"/>
              <w:right w:val="nil"/>
            </w:tcBorders>
            <w:shd w:val="clear" w:color="000000" w:fill="D0E0E3"/>
            <w:noWrap/>
            <w:vAlign w:val="center"/>
            <w:hideMark/>
          </w:tcPr>
          <w:p w14:paraId="41C4EBCD" w14:textId="39980C1C" w:rsidR="00277787" w:rsidRPr="00422653" w:rsidRDefault="00277787" w:rsidP="00CB63DB">
            <w:pPr>
              <w:jc w:val="center"/>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w:t>
            </w:r>
          </w:p>
        </w:tc>
        <w:tc>
          <w:tcPr>
            <w:tcW w:w="439" w:type="pct"/>
            <w:tcBorders>
              <w:top w:val="single" w:sz="4" w:space="0" w:color="FFFFFF"/>
              <w:left w:val="nil"/>
              <w:bottom w:val="single" w:sz="4" w:space="0" w:color="FFFFFF"/>
              <w:right w:val="nil"/>
            </w:tcBorders>
            <w:shd w:val="clear" w:color="000000" w:fill="D0E0E3"/>
            <w:noWrap/>
            <w:vAlign w:val="center"/>
            <w:hideMark/>
          </w:tcPr>
          <w:p w14:paraId="3A96ECF8"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392.370.704</w:t>
            </w:r>
          </w:p>
        </w:tc>
        <w:tc>
          <w:tcPr>
            <w:tcW w:w="439" w:type="pct"/>
            <w:tcBorders>
              <w:top w:val="single" w:sz="4" w:space="0" w:color="FFFFFF"/>
              <w:left w:val="nil"/>
              <w:bottom w:val="single" w:sz="4" w:space="0" w:color="FFFFFF"/>
              <w:right w:val="nil"/>
            </w:tcBorders>
            <w:shd w:val="clear" w:color="000000" w:fill="D0E0E3"/>
            <w:noWrap/>
            <w:vAlign w:val="center"/>
            <w:hideMark/>
          </w:tcPr>
          <w:p w14:paraId="4B0DBA3D"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396.218.727</w:t>
            </w:r>
          </w:p>
        </w:tc>
        <w:tc>
          <w:tcPr>
            <w:tcW w:w="439" w:type="pct"/>
            <w:tcBorders>
              <w:top w:val="single" w:sz="4" w:space="0" w:color="FFFFFF"/>
              <w:left w:val="nil"/>
              <w:bottom w:val="single" w:sz="4" w:space="0" w:color="FFFFFF"/>
              <w:right w:val="nil"/>
            </w:tcBorders>
            <w:shd w:val="clear" w:color="000000" w:fill="D0E0E3"/>
            <w:noWrap/>
            <w:vAlign w:val="center"/>
            <w:hideMark/>
          </w:tcPr>
          <w:p w14:paraId="68AE8F53" w14:textId="2F406AED"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392.370.704</w:t>
            </w:r>
          </w:p>
        </w:tc>
        <w:tc>
          <w:tcPr>
            <w:tcW w:w="440" w:type="pct"/>
            <w:tcBorders>
              <w:top w:val="single" w:sz="4" w:space="0" w:color="FFFFFF"/>
              <w:left w:val="nil"/>
              <w:bottom w:val="single" w:sz="4" w:space="0" w:color="FFFFFF"/>
              <w:right w:val="nil"/>
            </w:tcBorders>
            <w:shd w:val="clear" w:color="000000" w:fill="D0E0E3"/>
            <w:noWrap/>
            <w:vAlign w:val="center"/>
            <w:hideMark/>
          </w:tcPr>
          <w:p w14:paraId="0BBD42D7"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396.218.727</w:t>
            </w:r>
          </w:p>
        </w:tc>
      </w:tr>
      <w:tr w:rsidR="00277787" w:rsidRPr="00422653" w14:paraId="6A06CA9B" w14:textId="77777777" w:rsidTr="008E28CE">
        <w:trPr>
          <w:trHeight w:val="283"/>
        </w:trPr>
        <w:tc>
          <w:tcPr>
            <w:tcW w:w="1485" w:type="pct"/>
            <w:tcBorders>
              <w:top w:val="nil"/>
              <w:left w:val="nil"/>
              <w:bottom w:val="nil"/>
              <w:right w:val="nil"/>
            </w:tcBorders>
            <w:shd w:val="clear" w:color="000000" w:fill="D0E0E3"/>
            <w:vAlign w:val="center"/>
            <w:hideMark/>
          </w:tcPr>
          <w:p w14:paraId="546739C6" w14:textId="77777777" w:rsidR="00277787" w:rsidRPr="00422653" w:rsidRDefault="00277787" w:rsidP="00277787">
            <w:pPr>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Depósitos a prazo</w:t>
            </w:r>
          </w:p>
        </w:tc>
        <w:tc>
          <w:tcPr>
            <w:tcW w:w="439" w:type="pct"/>
            <w:tcBorders>
              <w:top w:val="nil"/>
              <w:left w:val="nil"/>
              <w:bottom w:val="nil"/>
              <w:right w:val="nil"/>
            </w:tcBorders>
            <w:shd w:val="clear" w:color="000000" w:fill="D0E0E3"/>
            <w:noWrap/>
            <w:vAlign w:val="center"/>
            <w:hideMark/>
          </w:tcPr>
          <w:p w14:paraId="17204C74"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154.593.390</w:t>
            </w:r>
          </w:p>
        </w:tc>
        <w:tc>
          <w:tcPr>
            <w:tcW w:w="439" w:type="pct"/>
            <w:tcBorders>
              <w:top w:val="nil"/>
              <w:left w:val="nil"/>
              <w:bottom w:val="nil"/>
              <w:right w:val="nil"/>
            </w:tcBorders>
            <w:shd w:val="clear" w:color="000000" w:fill="D0E0E3"/>
            <w:noWrap/>
            <w:vAlign w:val="center"/>
            <w:hideMark/>
          </w:tcPr>
          <w:p w14:paraId="4D21CAB8"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3.938.991</w:t>
            </w:r>
          </w:p>
        </w:tc>
        <w:tc>
          <w:tcPr>
            <w:tcW w:w="439" w:type="pct"/>
            <w:tcBorders>
              <w:top w:val="nil"/>
              <w:left w:val="nil"/>
              <w:bottom w:val="nil"/>
              <w:right w:val="nil"/>
            </w:tcBorders>
            <w:shd w:val="clear" w:color="000000" w:fill="D0E0E3"/>
            <w:noWrap/>
            <w:vAlign w:val="center"/>
            <w:hideMark/>
          </w:tcPr>
          <w:p w14:paraId="246AC0C0"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53.420.919</w:t>
            </w:r>
          </w:p>
        </w:tc>
        <w:tc>
          <w:tcPr>
            <w:tcW w:w="439" w:type="pct"/>
            <w:tcBorders>
              <w:top w:val="nil"/>
              <w:left w:val="nil"/>
              <w:bottom w:val="nil"/>
              <w:right w:val="nil"/>
            </w:tcBorders>
            <w:shd w:val="clear" w:color="000000" w:fill="D0E0E3"/>
            <w:noWrap/>
            <w:vAlign w:val="center"/>
            <w:hideMark/>
          </w:tcPr>
          <w:p w14:paraId="2E71394D"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151.321.647</w:t>
            </w:r>
          </w:p>
        </w:tc>
        <w:tc>
          <w:tcPr>
            <w:tcW w:w="439" w:type="pct"/>
            <w:tcBorders>
              <w:top w:val="nil"/>
              <w:left w:val="nil"/>
              <w:bottom w:val="nil"/>
              <w:right w:val="nil"/>
            </w:tcBorders>
            <w:shd w:val="clear" w:color="000000" w:fill="D0E0E3"/>
            <w:noWrap/>
            <w:vAlign w:val="center"/>
            <w:hideMark/>
          </w:tcPr>
          <w:p w14:paraId="48B0179D"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363.274.947</w:t>
            </w:r>
          </w:p>
        </w:tc>
        <w:tc>
          <w:tcPr>
            <w:tcW w:w="439" w:type="pct"/>
            <w:tcBorders>
              <w:top w:val="nil"/>
              <w:left w:val="nil"/>
              <w:bottom w:val="nil"/>
              <w:right w:val="nil"/>
            </w:tcBorders>
            <w:shd w:val="clear" w:color="000000" w:fill="D0E0E3"/>
            <w:noWrap/>
            <w:vAlign w:val="center"/>
            <w:hideMark/>
          </w:tcPr>
          <w:p w14:paraId="2686B74E"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320.589.607</w:t>
            </w:r>
          </w:p>
        </w:tc>
        <w:tc>
          <w:tcPr>
            <w:tcW w:w="439" w:type="pct"/>
            <w:tcBorders>
              <w:top w:val="nil"/>
              <w:left w:val="nil"/>
              <w:bottom w:val="nil"/>
              <w:right w:val="nil"/>
            </w:tcBorders>
            <w:shd w:val="clear" w:color="000000" w:fill="D0E0E3"/>
            <w:noWrap/>
            <w:vAlign w:val="center"/>
            <w:hideMark/>
          </w:tcPr>
          <w:p w14:paraId="1932F9F0" w14:textId="6796A9A9"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363.274.947</w:t>
            </w:r>
          </w:p>
        </w:tc>
        <w:tc>
          <w:tcPr>
            <w:tcW w:w="440" w:type="pct"/>
            <w:tcBorders>
              <w:top w:val="nil"/>
              <w:left w:val="nil"/>
              <w:bottom w:val="nil"/>
              <w:right w:val="nil"/>
            </w:tcBorders>
            <w:shd w:val="clear" w:color="000000" w:fill="D0E0E3"/>
            <w:noWrap/>
            <w:vAlign w:val="center"/>
            <w:hideMark/>
          </w:tcPr>
          <w:p w14:paraId="53AB346B"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320.589.607</w:t>
            </w:r>
          </w:p>
        </w:tc>
      </w:tr>
      <w:tr w:rsidR="00277787" w:rsidRPr="00422653" w14:paraId="57D3F202" w14:textId="77777777" w:rsidTr="008E28CE">
        <w:trPr>
          <w:trHeight w:val="283"/>
        </w:trPr>
        <w:tc>
          <w:tcPr>
            <w:tcW w:w="1485" w:type="pct"/>
            <w:tcBorders>
              <w:top w:val="nil"/>
              <w:left w:val="nil"/>
              <w:bottom w:val="nil"/>
              <w:right w:val="nil"/>
            </w:tcBorders>
            <w:vAlign w:val="center"/>
            <w:hideMark/>
          </w:tcPr>
          <w:p w14:paraId="21977F11" w14:textId="77777777" w:rsidR="00277787" w:rsidRPr="00422653" w:rsidRDefault="00277787" w:rsidP="00277787">
            <w:pPr>
              <w:ind w:firstLineChars="100" w:firstLine="160"/>
              <w:rPr>
                <w:rFonts w:ascii="CAIXA Std Book" w:eastAsia="Times New Roman" w:hAnsi="CAIXA Std Book" w:cs="Calibri"/>
                <w:color w:val="005CA9"/>
                <w:sz w:val="16"/>
                <w:szCs w:val="16"/>
              </w:rPr>
            </w:pPr>
            <w:r w:rsidRPr="00422653">
              <w:rPr>
                <w:rFonts w:ascii="CAIXA Std Book" w:eastAsia="Times New Roman" w:hAnsi="CAIXA Std Book" w:cs="Calibri"/>
                <w:color w:val="005CA9"/>
                <w:sz w:val="16"/>
                <w:szCs w:val="16"/>
              </w:rPr>
              <w:t>Depósitos judiciais</w:t>
            </w:r>
          </w:p>
        </w:tc>
        <w:tc>
          <w:tcPr>
            <w:tcW w:w="439" w:type="pct"/>
            <w:tcBorders>
              <w:top w:val="nil"/>
              <w:left w:val="nil"/>
              <w:bottom w:val="nil"/>
              <w:right w:val="nil"/>
            </w:tcBorders>
            <w:noWrap/>
            <w:vAlign w:val="center"/>
            <w:hideMark/>
          </w:tcPr>
          <w:p w14:paraId="4BF27216" w14:textId="77777777" w:rsidR="00277787" w:rsidRPr="00422653" w:rsidRDefault="00277787" w:rsidP="00277787">
            <w:pPr>
              <w:jc w:val="right"/>
              <w:rPr>
                <w:rFonts w:ascii="CAIXA Std Book" w:eastAsia="Times New Roman" w:hAnsi="CAIXA Std Book" w:cs="Calibri"/>
                <w:color w:val="005CA9"/>
                <w:sz w:val="16"/>
                <w:szCs w:val="16"/>
              </w:rPr>
            </w:pPr>
            <w:r w:rsidRPr="00422653">
              <w:rPr>
                <w:rFonts w:ascii="CAIXA Std Book" w:eastAsia="Times New Roman" w:hAnsi="CAIXA Std Book" w:cs="Calibri"/>
                <w:color w:val="005CA9"/>
                <w:sz w:val="16"/>
                <w:szCs w:val="16"/>
              </w:rPr>
              <w:t>154.593.390</w:t>
            </w:r>
          </w:p>
        </w:tc>
        <w:tc>
          <w:tcPr>
            <w:tcW w:w="439" w:type="pct"/>
            <w:tcBorders>
              <w:top w:val="nil"/>
              <w:left w:val="nil"/>
              <w:bottom w:val="nil"/>
              <w:right w:val="nil"/>
            </w:tcBorders>
            <w:noWrap/>
            <w:vAlign w:val="center"/>
            <w:hideMark/>
          </w:tcPr>
          <w:p w14:paraId="2F0F97B3" w14:textId="635E429E" w:rsidR="00277787" w:rsidRPr="00422653" w:rsidRDefault="00277787" w:rsidP="00CB63DB">
            <w:pPr>
              <w:jc w:val="center"/>
              <w:rPr>
                <w:rFonts w:ascii="CAIXA Std Book" w:eastAsia="Times New Roman" w:hAnsi="CAIXA Std Book" w:cs="Calibri"/>
                <w:color w:val="005CA9"/>
                <w:sz w:val="16"/>
                <w:szCs w:val="16"/>
              </w:rPr>
            </w:pPr>
            <w:r w:rsidRPr="00422653">
              <w:rPr>
                <w:rFonts w:ascii="CAIXA Std Book" w:eastAsia="Times New Roman" w:hAnsi="CAIXA Std Book" w:cs="Calibri"/>
                <w:color w:val="005CA9"/>
                <w:sz w:val="16"/>
                <w:szCs w:val="16"/>
              </w:rPr>
              <w:t>-</w:t>
            </w:r>
          </w:p>
        </w:tc>
        <w:tc>
          <w:tcPr>
            <w:tcW w:w="439" w:type="pct"/>
            <w:tcBorders>
              <w:top w:val="nil"/>
              <w:left w:val="nil"/>
              <w:bottom w:val="nil"/>
              <w:right w:val="nil"/>
            </w:tcBorders>
            <w:noWrap/>
            <w:vAlign w:val="center"/>
            <w:hideMark/>
          </w:tcPr>
          <w:p w14:paraId="043B827A" w14:textId="3DF2A964" w:rsidR="00277787" w:rsidRPr="00422653" w:rsidRDefault="00277787" w:rsidP="00CB63DB">
            <w:pPr>
              <w:jc w:val="center"/>
              <w:rPr>
                <w:rFonts w:ascii="CAIXA Std Book" w:eastAsia="Times New Roman" w:hAnsi="CAIXA Std Book" w:cs="Calibri"/>
                <w:color w:val="005CA9"/>
                <w:sz w:val="16"/>
                <w:szCs w:val="16"/>
              </w:rPr>
            </w:pPr>
            <w:r w:rsidRPr="00422653">
              <w:rPr>
                <w:rFonts w:ascii="CAIXA Std Book" w:eastAsia="Times New Roman" w:hAnsi="CAIXA Std Book" w:cs="Calibri"/>
                <w:color w:val="005CA9"/>
                <w:sz w:val="16"/>
                <w:szCs w:val="16"/>
              </w:rPr>
              <w:t>-</w:t>
            </w:r>
          </w:p>
        </w:tc>
        <w:tc>
          <w:tcPr>
            <w:tcW w:w="439" w:type="pct"/>
            <w:tcBorders>
              <w:top w:val="nil"/>
              <w:left w:val="nil"/>
              <w:bottom w:val="nil"/>
              <w:right w:val="nil"/>
            </w:tcBorders>
            <w:noWrap/>
            <w:vAlign w:val="center"/>
            <w:hideMark/>
          </w:tcPr>
          <w:p w14:paraId="7A092AA1" w14:textId="78174897" w:rsidR="00277787" w:rsidRPr="00422653" w:rsidRDefault="00277787" w:rsidP="00CB63DB">
            <w:pPr>
              <w:jc w:val="center"/>
              <w:rPr>
                <w:rFonts w:ascii="CAIXA Std Book" w:eastAsia="Times New Roman" w:hAnsi="CAIXA Std Book" w:cs="Calibri"/>
                <w:color w:val="005CA9"/>
                <w:sz w:val="16"/>
                <w:szCs w:val="16"/>
              </w:rPr>
            </w:pPr>
            <w:r w:rsidRPr="00422653">
              <w:rPr>
                <w:rFonts w:ascii="CAIXA Std Book" w:eastAsia="Times New Roman" w:hAnsi="CAIXA Std Book" w:cs="Calibri"/>
                <w:color w:val="005CA9"/>
                <w:sz w:val="16"/>
                <w:szCs w:val="16"/>
              </w:rPr>
              <w:t>-</w:t>
            </w:r>
          </w:p>
        </w:tc>
        <w:tc>
          <w:tcPr>
            <w:tcW w:w="439" w:type="pct"/>
            <w:tcBorders>
              <w:top w:val="nil"/>
              <w:left w:val="nil"/>
              <w:bottom w:val="nil"/>
              <w:right w:val="nil"/>
            </w:tcBorders>
            <w:noWrap/>
            <w:vAlign w:val="center"/>
            <w:hideMark/>
          </w:tcPr>
          <w:p w14:paraId="4CB5580D" w14:textId="77777777" w:rsidR="00277787" w:rsidRPr="00422653" w:rsidRDefault="00277787" w:rsidP="00277787">
            <w:pPr>
              <w:jc w:val="right"/>
              <w:rPr>
                <w:rFonts w:ascii="CAIXA Std Book" w:eastAsia="Times New Roman" w:hAnsi="CAIXA Std Book" w:cs="Calibri"/>
                <w:color w:val="005CA9"/>
                <w:sz w:val="16"/>
                <w:szCs w:val="16"/>
              </w:rPr>
            </w:pPr>
            <w:r w:rsidRPr="00422653">
              <w:rPr>
                <w:rFonts w:ascii="CAIXA Std Book" w:eastAsia="Times New Roman" w:hAnsi="CAIXA Std Book" w:cs="Calibri"/>
                <w:color w:val="005CA9"/>
                <w:sz w:val="16"/>
                <w:szCs w:val="16"/>
              </w:rPr>
              <w:t>154.593.390</w:t>
            </w:r>
          </w:p>
        </w:tc>
        <w:tc>
          <w:tcPr>
            <w:tcW w:w="439" w:type="pct"/>
            <w:tcBorders>
              <w:top w:val="nil"/>
              <w:left w:val="nil"/>
              <w:bottom w:val="nil"/>
              <w:right w:val="nil"/>
            </w:tcBorders>
            <w:noWrap/>
            <w:vAlign w:val="center"/>
            <w:hideMark/>
          </w:tcPr>
          <w:p w14:paraId="63FFC469" w14:textId="77777777" w:rsidR="00277787" w:rsidRPr="00422653" w:rsidRDefault="00277787" w:rsidP="00277787">
            <w:pPr>
              <w:jc w:val="right"/>
              <w:rPr>
                <w:rFonts w:ascii="CAIXA Std Book" w:eastAsia="Times New Roman" w:hAnsi="CAIXA Std Book" w:cs="Calibri"/>
                <w:color w:val="005CA9"/>
                <w:sz w:val="16"/>
                <w:szCs w:val="16"/>
              </w:rPr>
            </w:pPr>
            <w:r w:rsidRPr="00422653">
              <w:rPr>
                <w:rFonts w:ascii="CAIXA Std Book" w:eastAsia="Times New Roman" w:hAnsi="CAIXA Std Book" w:cs="Calibri"/>
                <w:color w:val="005CA9"/>
                <w:sz w:val="16"/>
                <w:szCs w:val="16"/>
              </w:rPr>
              <w:t>118.538.999</w:t>
            </w:r>
          </w:p>
        </w:tc>
        <w:tc>
          <w:tcPr>
            <w:tcW w:w="439" w:type="pct"/>
            <w:tcBorders>
              <w:top w:val="nil"/>
              <w:left w:val="nil"/>
              <w:bottom w:val="nil"/>
              <w:right w:val="nil"/>
            </w:tcBorders>
            <w:noWrap/>
            <w:vAlign w:val="center"/>
            <w:hideMark/>
          </w:tcPr>
          <w:p w14:paraId="661EDA3E" w14:textId="4AA06EBC" w:rsidR="00277787" w:rsidRPr="00422653" w:rsidRDefault="00277787" w:rsidP="00277787">
            <w:pPr>
              <w:jc w:val="right"/>
              <w:rPr>
                <w:rFonts w:ascii="CAIXA Std Book" w:eastAsia="Times New Roman" w:hAnsi="CAIXA Std Book" w:cs="Calibri"/>
                <w:color w:val="005CA9"/>
                <w:sz w:val="16"/>
                <w:szCs w:val="16"/>
              </w:rPr>
            </w:pPr>
            <w:r w:rsidRPr="00422653">
              <w:rPr>
                <w:rFonts w:ascii="CAIXA Std Book" w:eastAsia="Times New Roman" w:hAnsi="CAIXA Std Book" w:cs="Calibri"/>
                <w:color w:val="005CA9"/>
                <w:sz w:val="16"/>
                <w:szCs w:val="16"/>
              </w:rPr>
              <w:t>154.593.390</w:t>
            </w:r>
          </w:p>
        </w:tc>
        <w:tc>
          <w:tcPr>
            <w:tcW w:w="440" w:type="pct"/>
            <w:tcBorders>
              <w:top w:val="nil"/>
              <w:left w:val="nil"/>
              <w:bottom w:val="nil"/>
              <w:right w:val="nil"/>
            </w:tcBorders>
            <w:noWrap/>
            <w:vAlign w:val="center"/>
            <w:hideMark/>
          </w:tcPr>
          <w:p w14:paraId="48A75E28" w14:textId="77777777" w:rsidR="00277787" w:rsidRPr="00422653" w:rsidRDefault="00277787" w:rsidP="00277787">
            <w:pPr>
              <w:jc w:val="right"/>
              <w:rPr>
                <w:rFonts w:ascii="CAIXA Std Book" w:eastAsia="Times New Roman" w:hAnsi="CAIXA Std Book" w:cs="Calibri"/>
                <w:color w:val="005CA9"/>
                <w:sz w:val="16"/>
                <w:szCs w:val="16"/>
              </w:rPr>
            </w:pPr>
            <w:r w:rsidRPr="00422653">
              <w:rPr>
                <w:rFonts w:ascii="CAIXA Std Book" w:eastAsia="Times New Roman" w:hAnsi="CAIXA Std Book" w:cs="Calibri"/>
                <w:color w:val="005CA9"/>
                <w:sz w:val="16"/>
                <w:szCs w:val="16"/>
              </w:rPr>
              <w:t>118.538.999</w:t>
            </w:r>
          </w:p>
        </w:tc>
      </w:tr>
      <w:tr w:rsidR="00277787" w:rsidRPr="00422653" w14:paraId="4A602E87" w14:textId="77777777" w:rsidTr="008E28CE">
        <w:trPr>
          <w:trHeight w:val="283"/>
        </w:trPr>
        <w:tc>
          <w:tcPr>
            <w:tcW w:w="1485" w:type="pct"/>
            <w:tcBorders>
              <w:top w:val="nil"/>
              <w:left w:val="nil"/>
              <w:bottom w:val="nil"/>
              <w:right w:val="nil"/>
            </w:tcBorders>
            <w:vAlign w:val="center"/>
            <w:hideMark/>
          </w:tcPr>
          <w:p w14:paraId="78F80985" w14:textId="77777777" w:rsidR="00277787" w:rsidRPr="00422653" w:rsidRDefault="00277787" w:rsidP="00277787">
            <w:pPr>
              <w:ind w:firstLineChars="100" w:firstLine="160"/>
              <w:rPr>
                <w:rFonts w:ascii="CAIXA Std Book" w:eastAsia="Times New Roman" w:hAnsi="CAIXA Std Book" w:cs="Calibri"/>
                <w:color w:val="005CA9"/>
                <w:sz w:val="16"/>
                <w:szCs w:val="16"/>
              </w:rPr>
            </w:pPr>
            <w:r w:rsidRPr="00422653">
              <w:rPr>
                <w:rFonts w:ascii="CAIXA Std Book" w:eastAsia="Times New Roman" w:hAnsi="CAIXA Std Book" w:cs="Calibri"/>
                <w:color w:val="005CA9"/>
                <w:sz w:val="16"/>
                <w:szCs w:val="16"/>
              </w:rPr>
              <w:t>CDB</w:t>
            </w:r>
          </w:p>
        </w:tc>
        <w:tc>
          <w:tcPr>
            <w:tcW w:w="439" w:type="pct"/>
            <w:tcBorders>
              <w:top w:val="nil"/>
              <w:left w:val="nil"/>
              <w:bottom w:val="nil"/>
              <w:right w:val="nil"/>
            </w:tcBorders>
            <w:noWrap/>
            <w:vAlign w:val="center"/>
            <w:hideMark/>
          </w:tcPr>
          <w:p w14:paraId="5E922881" w14:textId="1186E8DD" w:rsidR="00277787" w:rsidRPr="00422653" w:rsidRDefault="00277787" w:rsidP="00CB63DB">
            <w:pPr>
              <w:jc w:val="center"/>
              <w:rPr>
                <w:rFonts w:ascii="CAIXA Std Book" w:eastAsia="Times New Roman" w:hAnsi="CAIXA Std Book" w:cs="Calibri"/>
                <w:color w:val="005CA9"/>
                <w:sz w:val="16"/>
                <w:szCs w:val="16"/>
              </w:rPr>
            </w:pPr>
            <w:r w:rsidRPr="00422653">
              <w:rPr>
                <w:rFonts w:ascii="CAIXA Std Book" w:eastAsia="Times New Roman" w:hAnsi="CAIXA Std Book" w:cs="Calibri"/>
                <w:color w:val="005CA9"/>
                <w:sz w:val="16"/>
                <w:szCs w:val="16"/>
              </w:rPr>
              <w:t>-</w:t>
            </w:r>
          </w:p>
        </w:tc>
        <w:tc>
          <w:tcPr>
            <w:tcW w:w="439" w:type="pct"/>
            <w:tcBorders>
              <w:top w:val="nil"/>
              <w:left w:val="nil"/>
              <w:bottom w:val="nil"/>
              <w:right w:val="nil"/>
            </w:tcBorders>
            <w:noWrap/>
            <w:vAlign w:val="center"/>
            <w:hideMark/>
          </w:tcPr>
          <w:p w14:paraId="2828BA00" w14:textId="77777777" w:rsidR="00277787" w:rsidRPr="00422653" w:rsidRDefault="00277787" w:rsidP="00277787">
            <w:pPr>
              <w:jc w:val="right"/>
              <w:rPr>
                <w:rFonts w:ascii="CAIXA Std Book" w:eastAsia="Times New Roman" w:hAnsi="CAIXA Std Book" w:cs="Calibri"/>
                <w:color w:val="005CA9"/>
                <w:sz w:val="16"/>
                <w:szCs w:val="16"/>
              </w:rPr>
            </w:pPr>
            <w:r w:rsidRPr="00422653">
              <w:rPr>
                <w:rFonts w:ascii="CAIXA Std Book" w:eastAsia="Times New Roman" w:hAnsi="CAIXA Std Book" w:cs="Calibri"/>
                <w:color w:val="005CA9"/>
                <w:sz w:val="16"/>
                <w:szCs w:val="16"/>
              </w:rPr>
              <w:t>3.938.991</w:t>
            </w:r>
          </w:p>
        </w:tc>
        <w:tc>
          <w:tcPr>
            <w:tcW w:w="439" w:type="pct"/>
            <w:tcBorders>
              <w:top w:val="nil"/>
              <w:left w:val="nil"/>
              <w:bottom w:val="nil"/>
              <w:right w:val="nil"/>
            </w:tcBorders>
            <w:noWrap/>
            <w:vAlign w:val="center"/>
            <w:hideMark/>
          </w:tcPr>
          <w:p w14:paraId="3D74635F" w14:textId="77777777" w:rsidR="00277787" w:rsidRPr="00422653" w:rsidRDefault="00277787" w:rsidP="00277787">
            <w:pPr>
              <w:jc w:val="right"/>
              <w:rPr>
                <w:rFonts w:ascii="CAIXA Std Book" w:eastAsia="Times New Roman" w:hAnsi="CAIXA Std Book" w:cs="Calibri"/>
                <w:color w:val="005CA9"/>
                <w:sz w:val="16"/>
                <w:szCs w:val="16"/>
              </w:rPr>
            </w:pPr>
            <w:r w:rsidRPr="00422653">
              <w:rPr>
                <w:rFonts w:ascii="CAIXA Std Book" w:eastAsia="Times New Roman" w:hAnsi="CAIXA Std Book" w:cs="Calibri"/>
                <w:color w:val="005CA9"/>
                <w:sz w:val="16"/>
                <w:szCs w:val="16"/>
              </w:rPr>
              <w:t>53.420.919</w:t>
            </w:r>
          </w:p>
        </w:tc>
        <w:tc>
          <w:tcPr>
            <w:tcW w:w="439" w:type="pct"/>
            <w:tcBorders>
              <w:top w:val="nil"/>
              <w:left w:val="nil"/>
              <w:bottom w:val="nil"/>
              <w:right w:val="nil"/>
            </w:tcBorders>
            <w:noWrap/>
            <w:vAlign w:val="center"/>
            <w:hideMark/>
          </w:tcPr>
          <w:p w14:paraId="35151764" w14:textId="77777777" w:rsidR="00277787" w:rsidRPr="00422653" w:rsidRDefault="00277787" w:rsidP="00277787">
            <w:pPr>
              <w:jc w:val="right"/>
              <w:rPr>
                <w:rFonts w:ascii="CAIXA Std Book" w:eastAsia="Times New Roman" w:hAnsi="CAIXA Std Book" w:cs="Calibri"/>
                <w:color w:val="005CA9"/>
                <w:sz w:val="16"/>
                <w:szCs w:val="16"/>
              </w:rPr>
            </w:pPr>
            <w:r w:rsidRPr="00422653">
              <w:rPr>
                <w:rFonts w:ascii="CAIXA Std Book" w:eastAsia="Times New Roman" w:hAnsi="CAIXA Std Book" w:cs="Calibri"/>
                <w:color w:val="005CA9"/>
                <w:sz w:val="16"/>
                <w:szCs w:val="16"/>
              </w:rPr>
              <w:t>151.321.647</w:t>
            </w:r>
          </w:p>
        </w:tc>
        <w:tc>
          <w:tcPr>
            <w:tcW w:w="439" w:type="pct"/>
            <w:tcBorders>
              <w:top w:val="nil"/>
              <w:left w:val="nil"/>
              <w:bottom w:val="nil"/>
              <w:right w:val="nil"/>
            </w:tcBorders>
            <w:noWrap/>
            <w:vAlign w:val="center"/>
            <w:hideMark/>
          </w:tcPr>
          <w:p w14:paraId="052F360B" w14:textId="77777777" w:rsidR="00277787" w:rsidRPr="00422653" w:rsidRDefault="00277787" w:rsidP="00277787">
            <w:pPr>
              <w:jc w:val="right"/>
              <w:rPr>
                <w:rFonts w:ascii="CAIXA Std Book" w:eastAsia="Times New Roman" w:hAnsi="CAIXA Std Book" w:cs="Calibri"/>
                <w:color w:val="005CA9"/>
                <w:sz w:val="16"/>
                <w:szCs w:val="16"/>
              </w:rPr>
            </w:pPr>
            <w:r w:rsidRPr="00422653">
              <w:rPr>
                <w:rFonts w:ascii="CAIXA Std Book" w:eastAsia="Times New Roman" w:hAnsi="CAIXA Std Book" w:cs="Calibri"/>
                <w:color w:val="005CA9"/>
                <w:sz w:val="16"/>
                <w:szCs w:val="16"/>
              </w:rPr>
              <w:t>208.681.557</w:t>
            </w:r>
          </w:p>
        </w:tc>
        <w:tc>
          <w:tcPr>
            <w:tcW w:w="439" w:type="pct"/>
            <w:tcBorders>
              <w:top w:val="nil"/>
              <w:left w:val="nil"/>
              <w:bottom w:val="nil"/>
              <w:right w:val="nil"/>
            </w:tcBorders>
            <w:noWrap/>
            <w:vAlign w:val="center"/>
            <w:hideMark/>
          </w:tcPr>
          <w:p w14:paraId="7F38E7E2" w14:textId="77777777" w:rsidR="00277787" w:rsidRPr="00422653" w:rsidRDefault="00277787" w:rsidP="00277787">
            <w:pPr>
              <w:jc w:val="right"/>
              <w:rPr>
                <w:rFonts w:ascii="CAIXA Std Book" w:eastAsia="Times New Roman" w:hAnsi="CAIXA Std Book" w:cs="Calibri"/>
                <w:color w:val="005CA9"/>
                <w:sz w:val="16"/>
                <w:szCs w:val="16"/>
              </w:rPr>
            </w:pPr>
            <w:r w:rsidRPr="00422653">
              <w:rPr>
                <w:rFonts w:ascii="CAIXA Std Book" w:eastAsia="Times New Roman" w:hAnsi="CAIXA Std Book" w:cs="Calibri"/>
                <w:color w:val="005CA9"/>
                <w:sz w:val="16"/>
                <w:szCs w:val="16"/>
              </w:rPr>
              <w:t>202.050.608</w:t>
            </w:r>
          </w:p>
        </w:tc>
        <w:tc>
          <w:tcPr>
            <w:tcW w:w="439" w:type="pct"/>
            <w:tcBorders>
              <w:top w:val="nil"/>
              <w:left w:val="nil"/>
              <w:bottom w:val="nil"/>
              <w:right w:val="nil"/>
            </w:tcBorders>
            <w:noWrap/>
            <w:vAlign w:val="center"/>
            <w:hideMark/>
          </w:tcPr>
          <w:p w14:paraId="4524C987" w14:textId="2B73F79A" w:rsidR="00277787" w:rsidRPr="00422653" w:rsidRDefault="00277787" w:rsidP="00277787">
            <w:pPr>
              <w:jc w:val="right"/>
              <w:rPr>
                <w:rFonts w:ascii="CAIXA Std Book" w:eastAsia="Times New Roman" w:hAnsi="CAIXA Std Book" w:cs="Calibri"/>
                <w:color w:val="005CA9"/>
                <w:sz w:val="16"/>
                <w:szCs w:val="16"/>
              </w:rPr>
            </w:pPr>
            <w:r w:rsidRPr="00422653">
              <w:rPr>
                <w:rFonts w:ascii="CAIXA Std Book" w:eastAsia="Times New Roman" w:hAnsi="CAIXA Std Book" w:cs="Calibri"/>
                <w:color w:val="005CA9"/>
                <w:sz w:val="16"/>
                <w:szCs w:val="16"/>
              </w:rPr>
              <w:t>208.681.557</w:t>
            </w:r>
          </w:p>
        </w:tc>
        <w:tc>
          <w:tcPr>
            <w:tcW w:w="440" w:type="pct"/>
            <w:tcBorders>
              <w:top w:val="nil"/>
              <w:left w:val="nil"/>
              <w:bottom w:val="nil"/>
              <w:right w:val="nil"/>
            </w:tcBorders>
            <w:noWrap/>
            <w:vAlign w:val="center"/>
            <w:hideMark/>
          </w:tcPr>
          <w:p w14:paraId="2F5426C5" w14:textId="77777777" w:rsidR="00277787" w:rsidRPr="00422653" w:rsidRDefault="00277787" w:rsidP="00277787">
            <w:pPr>
              <w:jc w:val="right"/>
              <w:rPr>
                <w:rFonts w:ascii="CAIXA Std Book" w:eastAsia="Times New Roman" w:hAnsi="CAIXA Std Book" w:cs="Calibri"/>
                <w:color w:val="005CA9"/>
                <w:sz w:val="16"/>
                <w:szCs w:val="16"/>
              </w:rPr>
            </w:pPr>
            <w:r w:rsidRPr="00422653">
              <w:rPr>
                <w:rFonts w:ascii="CAIXA Std Book" w:eastAsia="Times New Roman" w:hAnsi="CAIXA Std Book" w:cs="Calibri"/>
                <w:color w:val="005CA9"/>
                <w:sz w:val="16"/>
                <w:szCs w:val="16"/>
              </w:rPr>
              <w:t>202.050.608</w:t>
            </w:r>
          </w:p>
        </w:tc>
      </w:tr>
      <w:tr w:rsidR="00277787" w:rsidRPr="00422653" w14:paraId="53BE5F66" w14:textId="77777777" w:rsidTr="008E28CE">
        <w:trPr>
          <w:trHeight w:val="283"/>
        </w:trPr>
        <w:tc>
          <w:tcPr>
            <w:tcW w:w="1485" w:type="pct"/>
            <w:tcBorders>
              <w:top w:val="nil"/>
              <w:left w:val="nil"/>
              <w:bottom w:val="single" w:sz="4" w:space="0" w:color="FFFFFF"/>
              <w:right w:val="nil"/>
            </w:tcBorders>
            <w:shd w:val="clear" w:color="000000" w:fill="D0E0E3"/>
            <w:vAlign w:val="center"/>
            <w:hideMark/>
          </w:tcPr>
          <w:p w14:paraId="66E5DE83" w14:textId="77777777" w:rsidR="00277787" w:rsidRPr="00422653" w:rsidRDefault="00277787" w:rsidP="00277787">
            <w:pPr>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Depósitos especiais e de fundos e programas</w:t>
            </w:r>
          </w:p>
        </w:tc>
        <w:tc>
          <w:tcPr>
            <w:tcW w:w="439" w:type="pct"/>
            <w:tcBorders>
              <w:top w:val="nil"/>
              <w:left w:val="nil"/>
              <w:bottom w:val="single" w:sz="4" w:space="0" w:color="FFFFFF"/>
              <w:right w:val="nil"/>
            </w:tcBorders>
            <w:shd w:val="clear" w:color="000000" w:fill="D0E0E3"/>
            <w:noWrap/>
            <w:vAlign w:val="center"/>
            <w:hideMark/>
          </w:tcPr>
          <w:p w14:paraId="1B962FE4"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48.967.328</w:t>
            </w:r>
          </w:p>
        </w:tc>
        <w:tc>
          <w:tcPr>
            <w:tcW w:w="439" w:type="pct"/>
            <w:tcBorders>
              <w:top w:val="nil"/>
              <w:left w:val="nil"/>
              <w:bottom w:val="single" w:sz="4" w:space="0" w:color="FFFFFF"/>
              <w:right w:val="nil"/>
            </w:tcBorders>
            <w:shd w:val="clear" w:color="000000" w:fill="D0E0E3"/>
            <w:noWrap/>
            <w:vAlign w:val="center"/>
            <w:hideMark/>
          </w:tcPr>
          <w:p w14:paraId="6BB811AC" w14:textId="72F17AA5" w:rsidR="00277787" w:rsidRPr="00422653" w:rsidRDefault="00277787" w:rsidP="00CB63DB">
            <w:pPr>
              <w:jc w:val="center"/>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w:t>
            </w:r>
          </w:p>
        </w:tc>
        <w:tc>
          <w:tcPr>
            <w:tcW w:w="439" w:type="pct"/>
            <w:tcBorders>
              <w:top w:val="nil"/>
              <w:left w:val="nil"/>
              <w:bottom w:val="single" w:sz="4" w:space="0" w:color="FFFFFF"/>
              <w:right w:val="nil"/>
            </w:tcBorders>
            <w:shd w:val="clear" w:color="000000" w:fill="D0E0E3"/>
            <w:noWrap/>
            <w:vAlign w:val="center"/>
            <w:hideMark/>
          </w:tcPr>
          <w:p w14:paraId="0F8AD724" w14:textId="1C9AE9F3" w:rsidR="00277787" w:rsidRPr="00422653" w:rsidRDefault="00277787" w:rsidP="00CB63DB">
            <w:pPr>
              <w:jc w:val="center"/>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w:t>
            </w:r>
          </w:p>
        </w:tc>
        <w:tc>
          <w:tcPr>
            <w:tcW w:w="439" w:type="pct"/>
            <w:tcBorders>
              <w:top w:val="nil"/>
              <w:left w:val="nil"/>
              <w:bottom w:val="single" w:sz="4" w:space="0" w:color="FFFFFF"/>
              <w:right w:val="nil"/>
            </w:tcBorders>
            <w:shd w:val="clear" w:color="000000" w:fill="D0E0E3"/>
            <w:noWrap/>
            <w:vAlign w:val="center"/>
            <w:hideMark/>
          </w:tcPr>
          <w:p w14:paraId="5C6C4A08" w14:textId="7228C9F2" w:rsidR="00277787" w:rsidRPr="00422653" w:rsidRDefault="00277787" w:rsidP="00CB63DB">
            <w:pPr>
              <w:jc w:val="center"/>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w:t>
            </w:r>
          </w:p>
        </w:tc>
        <w:tc>
          <w:tcPr>
            <w:tcW w:w="439" w:type="pct"/>
            <w:tcBorders>
              <w:top w:val="nil"/>
              <w:left w:val="nil"/>
              <w:bottom w:val="single" w:sz="4" w:space="0" w:color="FFFFFF"/>
              <w:right w:val="nil"/>
            </w:tcBorders>
            <w:shd w:val="clear" w:color="000000" w:fill="D0E0E3"/>
            <w:noWrap/>
            <w:vAlign w:val="center"/>
            <w:hideMark/>
          </w:tcPr>
          <w:p w14:paraId="4160F976"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48.967.328</w:t>
            </w:r>
          </w:p>
        </w:tc>
        <w:tc>
          <w:tcPr>
            <w:tcW w:w="439" w:type="pct"/>
            <w:tcBorders>
              <w:top w:val="nil"/>
              <w:left w:val="nil"/>
              <w:bottom w:val="single" w:sz="4" w:space="0" w:color="FFFFFF"/>
              <w:right w:val="nil"/>
            </w:tcBorders>
            <w:shd w:val="clear" w:color="000000" w:fill="D0E0E3"/>
            <w:noWrap/>
            <w:vAlign w:val="center"/>
            <w:hideMark/>
          </w:tcPr>
          <w:p w14:paraId="404EF491"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50.429.954</w:t>
            </w:r>
          </w:p>
        </w:tc>
        <w:tc>
          <w:tcPr>
            <w:tcW w:w="439" w:type="pct"/>
            <w:tcBorders>
              <w:top w:val="nil"/>
              <w:left w:val="nil"/>
              <w:bottom w:val="single" w:sz="4" w:space="0" w:color="FFFFFF"/>
              <w:right w:val="nil"/>
            </w:tcBorders>
            <w:shd w:val="clear" w:color="000000" w:fill="D0E0E3"/>
            <w:noWrap/>
            <w:vAlign w:val="center"/>
            <w:hideMark/>
          </w:tcPr>
          <w:p w14:paraId="30092A34" w14:textId="50E217C9"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48.967.328</w:t>
            </w:r>
          </w:p>
        </w:tc>
        <w:tc>
          <w:tcPr>
            <w:tcW w:w="440" w:type="pct"/>
            <w:tcBorders>
              <w:top w:val="nil"/>
              <w:left w:val="nil"/>
              <w:bottom w:val="single" w:sz="4" w:space="0" w:color="FFFFFF"/>
              <w:right w:val="nil"/>
            </w:tcBorders>
            <w:shd w:val="clear" w:color="000000" w:fill="D0E0E3"/>
            <w:noWrap/>
            <w:vAlign w:val="center"/>
            <w:hideMark/>
          </w:tcPr>
          <w:p w14:paraId="6AA4EA53"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50.429.954</w:t>
            </w:r>
          </w:p>
        </w:tc>
      </w:tr>
      <w:tr w:rsidR="00277787" w:rsidRPr="00422653" w14:paraId="31959CAF" w14:textId="77777777" w:rsidTr="008E28CE">
        <w:trPr>
          <w:trHeight w:val="283"/>
        </w:trPr>
        <w:tc>
          <w:tcPr>
            <w:tcW w:w="1485" w:type="pct"/>
            <w:tcBorders>
              <w:top w:val="nil"/>
              <w:left w:val="nil"/>
              <w:bottom w:val="nil"/>
              <w:right w:val="nil"/>
            </w:tcBorders>
            <w:shd w:val="clear" w:color="000000" w:fill="D0E0E3"/>
            <w:vAlign w:val="center"/>
            <w:hideMark/>
          </w:tcPr>
          <w:p w14:paraId="495E9F73" w14:textId="77777777" w:rsidR="00277787" w:rsidRPr="00422653" w:rsidRDefault="00277787" w:rsidP="00277787">
            <w:pPr>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Outros depósitos</w:t>
            </w:r>
          </w:p>
        </w:tc>
        <w:tc>
          <w:tcPr>
            <w:tcW w:w="439" w:type="pct"/>
            <w:tcBorders>
              <w:top w:val="nil"/>
              <w:left w:val="nil"/>
              <w:bottom w:val="nil"/>
              <w:right w:val="nil"/>
            </w:tcBorders>
            <w:shd w:val="clear" w:color="000000" w:fill="D0E0E3"/>
            <w:noWrap/>
            <w:vAlign w:val="center"/>
            <w:hideMark/>
          </w:tcPr>
          <w:p w14:paraId="4E17DEFC"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118.622</w:t>
            </w:r>
          </w:p>
        </w:tc>
        <w:tc>
          <w:tcPr>
            <w:tcW w:w="439" w:type="pct"/>
            <w:tcBorders>
              <w:top w:val="nil"/>
              <w:left w:val="nil"/>
              <w:bottom w:val="nil"/>
              <w:right w:val="nil"/>
            </w:tcBorders>
            <w:shd w:val="clear" w:color="000000" w:fill="D0E0E3"/>
            <w:noWrap/>
            <w:vAlign w:val="center"/>
            <w:hideMark/>
          </w:tcPr>
          <w:p w14:paraId="04D24C15" w14:textId="7E943702" w:rsidR="00277787" w:rsidRPr="00422653" w:rsidRDefault="00277787" w:rsidP="00CB63DB">
            <w:pPr>
              <w:jc w:val="center"/>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w:t>
            </w:r>
          </w:p>
        </w:tc>
        <w:tc>
          <w:tcPr>
            <w:tcW w:w="439" w:type="pct"/>
            <w:tcBorders>
              <w:top w:val="nil"/>
              <w:left w:val="nil"/>
              <w:bottom w:val="nil"/>
              <w:right w:val="nil"/>
            </w:tcBorders>
            <w:shd w:val="clear" w:color="000000" w:fill="D0E0E3"/>
            <w:noWrap/>
            <w:vAlign w:val="center"/>
            <w:hideMark/>
          </w:tcPr>
          <w:p w14:paraId="12BD6FA3" w14:textId="3F9DAEC3" w:rsidR="00277787" w:rsidRPr="00422653" w:rsidRDefault="00277787" w:rsidP="00CB63DB">
            <w:pPr>
              <w:jc w:val="center"/>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w:t>
            </w:r>
          </w:p>
        </w:tc>
        <w:tc>
          <w:tcPr>
            <w:tcW w:w="439" w:type="pct"/>
            <w:tcBorders>
              <w:top w:val="nil"/>
              <w:left w:val="nil"/>
              <w:bottom w:val="nil"/>
              <w:right w:val="nil"/>
            </w:tcBorders>
            <w:shd w:val="clear" w:color="000000" w:fill="D0E0E3"/>
            <w:noWrap/>
            <w:vAlign w:val="center"/>
            <w:hideMark/>
          </w:tcPr>
          <w:p w14:paraId="087087ED" w14:textId="683F1749" w:rsidR="00277787" w:rsidRPr="00422653" w:rsidRDefault="00277787" w:rsidP="00CB63DB">
            <w:pPr>
              <w:jc w:val="center"/>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w:t>
            </w:r>
          </w:p>
        </w:tc>
        <w:tc>
          <w:tcPr>
            <w:tcW w:w="439" w:type="pct"/>
            <w:tcBorders>
              <w:top w:val="nil"/>
              <w:left w:val="nil"/>
              <w:bottom w:val="nil"/>
              <w:right w:val="nil"/>
            </w:tcBorders>
            <w:shd w:val="clear" w:color="000000" w:fill="D0E0E3"/>
            <w:noWrap/>
            <w:vAlign w:val="center"/>
            <w:hideMark/>
          </w:tcPr>
          <w:p w14:paraId="601B3C0E"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118.622</w:t>
            </w:r>
          </w:p>
        </w:tc>
        <w:tc>
          <w:tcPr>
            <w:tcW w:w="439" w:type="pct"/>
            <w:tcBorders>
              <w:top w:val="nil"/>
              <w:left w:val="nil"/>
              <w:bottom w:val="nil"/>
              <w:right w:val="nil"/>
            </w:tcBorders>
            <w:shd w:val="clear" w:color="000000" w:fill="D0E0E3"/>
            <w:noWrap/>
            <w:vAlign w:val="center"/>
            <w:hideMark/>
          </w:tcPr>
          <w:p w14:paraId="0FDBBE54"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92.049</w:t>
            </w:r>
          </w:p>
        </w:tc>
        <w:tc>
          <w:tcPr>
            <w:tcW w:w="439" w:type="pct"/>
            <w:tcBorders>
              <w:top w:val="nil"/>
              <w:left w:val="nil"/>
              <w:bottom w:val="nil"/>
              <w:right w:val="nil"/>
            </w:tcBorders>
            <w:shd w:val="clear" w:color="000000" w:fill="D0E0E3"/>
            <w:noWrap/>
            <w:vAlign w:val="center"/>
            <w:hideMark/>
          </w:tcPr>
          <w:p w14:paraId="7C215CCD" w14:textId="7174C0F1"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118.622</w:t>
            </w:r>
          </w:p>
        </w:tc>
        <w:tc>
          <w:tcPr>
            <w:tcW w:w="440" w:type="pct"/>
            <w:tcBorders>
              <w:top w:val="nil"/>
              <w:left w:val="nil"/>
              <w:bottom w:val="nil"/>
              <w:right w:val="nil"/>
            </w:tcBorders>
            <w:shd w:val="clear" w:color="000000" w:fill="D0E0E3"/>
            <w:noWrap/>
            <w:vAlign w:val="center"/>
            <w:hideMark/>
          </w:tcPr>
          <w:p w14:paraId="26F21ED5" w14:textId="77777777" w:rsidR="00277787" w:rsidRPr="00422653" w:rsidRDefault="00277787" w:rsidP="00277787">
            <w:pPr>
              <w:jc w:val="right"/>
              <w:rPr>
                <w:rFonts w:ascii="CAIXA Std Book" w:eastAsia="Times New Roman" w:hAnsi="CAIXA Std Book" w:cs="Calibri"/>
                <w:b/>
                <w:bCs/>
                <w:color w:val="005CA9"/>
                <w:sz w:val="16"/>
                <w:szCs w:val="16"/>
              </w:rPr>
            </w:pPr>
            <w:r w:rsidRPr="00422653">
              <w:rPr>
                <w:rFonts w:ascii="CAIXA Std Book" w:eastAsia="Times New Roman" w:hAnsi="CAIXA Std Book" w:cs="Calibri"/>
                <w:b/>
                <w:bCs/>
                <w:color w:val="005CA9"/>
                <w:sz w:val="16"/>
                <w:szCs w:val="16"/>
              </w:rPr>
              <w:t>92.049</w:t>
            </w:r>
          </w:p>
        </w:tc>
      </w:tr>
      <w:tr w:rsidR="00277787" w:rsidRPr="00422653" w14:paraId="778FE668" w14:textId="77777777" w:rsidTr="008E28CE">
        <w:trPr>
          <w:trHeight w:val="283"/>
        </w:trPr>
        <w:tc>
          <w:tcPr>
            <w:tcW w:w="1485" w:type="pct"/>
            <w:tcBorders>
              <w:top w:val="nil"/>
              <w:left w:val="nil"/>
              <w:bottom w:val="nil"/>
              <w:right w:val="nil"/>
            </w:tcBorders>
            <w:shd w:val="clear" w:color="000000" w:fill="005CA9"/>
            <w:noWrap/>
            <w:vAlign w:val="center"/>
            <w:hideMark/>
          </w:tcPr>
          <w:p w14:paraId="53A8AE1B" w14:textId="77777777" w:rsidR="00277787" w:rsidRPr="00422653" w:rsidRDefault="00277787" w:rsidP="00277787">
            <w:pPr>
              <w:rPr>
                <w:rFonts w:ascii="CAIXA Std Book" w:eastAsia="Times New Roman" w:hAnsi="CAIXA Std Book" w:cs="Calibri"/>
                <w:b/>
                <w:bCs/>
                <w:color w:val="FFFFFF"/>
                <w:sz w:val="16"/>
                <w:szCs w:val="16"/>
              </w:rPr>
            </w:pPr>
            <w:r w:rsidRPr="00422653">
              <w:rPr>
                <w:rFonts w:ascii="CAIXA Std Book" w:eastAsia="Times New Roman" w:hAnsi="CAIXA Std Book" w:cs="Calibri"/>
                <w:b/>
                <w:bCs/>
                <w:color w:val="FFFFFF"/>
                <w:sz w:val="16"/>
                <w:szCs w:val="16"/>
              </w:rPr>
              <w:t>Total</w:t>
            </w:r>
          </w:p>
        </w:tc>
        <w:tc>
          <w:tcPr>
            <w:tcW w:w="439" w:type="pct"/>
            <w:tcBorders>
              <w:top w:val="nil"/>
              <w:left w:val="nil"/>
              <w:bottom w:val="nil"/>
              <w:right w:val="nil"/>
            </w:tcBorders>
            <w:shd w:val="clear" w:color="000000" w:fill="005CA9"/>
            <w:noWrap/>
            <w:vAlign w:val="center"/>
            <w:hideMark/>
          </w:tcPr>
          <w:p w14:paraId="092C150F" w14:textId="77777777" w:rsidR="00277787" w:rsidRPr="00422653" w:rsidRDefault="00277787" w:rsidP="00277787">
            <w:pPr>
              <w:jc w:val="right"/>
              <w:rPr>
                <w:rFonts w:ascii="CAIXA Std Book" w:eastAsia="Times New Roman" w:hAnsi="CAIXA Std Book" w:cs="Calibri"/>
                <w:b/>
                <w:bCs/>
                <w:color w:val="FFFFFF"/>
                <w:sz w:val="16"/>
                <w:szCs w:val="16"/>
              </w:rPr>
            </w:pPr>
            <w:r w:rsidRPr="00422653">
              <w:rPr>
                <w:rFonts w:ascii="CAIXA Std Book" w:eastAsia="Times New Roman" w:hAnsi="CAIXA Std Book" w:cs="Calibri"/>
                <w:b/>
                <w:bCs/>
                <w:color w:val="FFFFFF"/>
                <w:sz w:val="16"/>
                <w:szCs w:val="16"/>
              </w:rPr>
              <w:t>646.383.442</w:t>
            </w:r>
          </w:p>
        </w:tc>
        <w:tc>
          <w:tcPr>
            <w:tcW w:w="439" w:type="pct"/>
            <w:tcBorders>
              <w:top w:val="nil"/>
              <w:left w:val="nil"/>
              <w:bottom w:val="nil"/>
              <w:right w:val="nil"/>
            </w:tcBorders>
            <w:shd w:val="clear" w:color="000000" w:fill="005CA9"/>
            <w:noWrap/>
            <w:vAlign w:val="center"/>
            <w:hideMark/>
          </w:tcPr>
          <w:p w14:paraId="7B308C5B" w14:textId="77777777" w:rsidR="00277787" w:rsidRPr="00422653" w:rsidRDefault="00277787" w:rsidP="00277787">
            <w:pPr>
              <w:jc w:val="right"/>
              <w:rPr>
                <w:rFonts w:ascii="CAIXA Std Book" w:eastAsia="Times New Roman" w:hAnsi="CAIXA Std Book" w:cs="Calibri"/>
                <w:b/>
                <w:bCs/>
                <w:color w:val="FFFFFF"/>
                <w:sz w:val="16"/>
                <w:szCs w:val="16"/>
              </w:rPr>
            </w:pPr>
            <w:r w:rsidRPr="00422653">
              <w:rPr>
                <w:rFonts w:ascii="CAIXA Std Book" w:eastAsia="Times New Roman" w:hAnsi="CAIXA Std Book" w:cs="Calibri"/>
                <w:b/>
                <w:bCs/>
                <w:color w:val="FFFFFF"/>
                <w:sz w:val="16"/>
                <w:szCs w:val="16"/>
              </w:rPr>
              <w:t>3.938.991</w:t>
            </w:r>
          </w:p>
        </w:tc>
        <w:tc>
          <w:tcPr>
            <w:tcW w:w="439" w:type="pct"/>
            <w:tcBorders>
              <w:top w:val="nil"/>
              <w:left w:val="nil"/>
              <w:bottom w:val="nil"/>
              <w:right w:val="nil"/>
            </w:tcBorders>
            <w:shd w:val="clear" w:color="000000" w:fill="005CA9"/>
            <w:noWrap/>
            <w:vAlign w:val="center"/>
            <w:hideMark/>
          </w:tcPr>
          <w:p w14:paraId="108569D6" w14:textId="77777777" w:rsidR="00277787" w:rsidRPr="00422653" w:rsidRDefault="00277787" w:rsidP="00277787">
            <w:pPr>
              <w:jc w:val="right"/>
              <w:rPr>
                <w:rFonts w:ascii="CAIXA Std Book" w:eastAsia="Times New Roman" w:hAnsi="CAIXA Std Book" w:cs="Calibri"/>
                <w:b/>
                <w:bCs/>
                <w:color w:val="FFFFFF"/>
                <w:sz w:val="16"/>
                <w:szCs w:val="16"/>
              </w:rPr>
            </w:pPr>
            <w:r w:rsidRPr="00422653">
              <w:rPr>
                <w:rFonts w:ascii="CAIXA Std Book" w:eastAsia="Times New Roman" w:hAnsi="CAIXA Std Book" w:cs="Calibri"/>
                <w:b/>
                <w:bCs/>
                <w:color w:val="FFFFFF"/>
                <w:sz w:val="16"/>
                <w:szCs w:val="16"/>
              </w:rPr>
              <w:t>53.420.919</w:t>
            </w:r>
          </w:p>
        </w:tc>
        <w:tc>
          <w:tcPr>
            <w:tcW w:w="439" w:type="pct"/>
            <w:tcBorders>
              <w:top w:val="nil"/>
              <w:left w:val="nil"/>
              <w:bottom w:val="nil"/>
              <w:right w:val="nil"/>
            </w:tcBorders>
            <w:shd w:val="clear" w:color="000000" w:fill="005CA9"/>
            <w:noWrap/>
            <w:vAlign w:val="center"/>
            <w:hideMark/>
          </w:tcPr>
          <w:p w14:paraId="6939E412" w14:textId="77777777" w:rsidR="00277787" w:rsidRPr="00422653" w:rsidRDefault="00277787" w:rsidP="00277787">
            <w:pPr>
              <w:jc w:val="right"/>
              <w:rPr>
                <w:rFonts w:ascii="CAIXA Std Book" w:eastAsia="Times New Roman" w:hAnsi="CAIXA Std Book" w:cs="Calibri"/>
                <w:b/>
                <w:bCs/>
                <w:color w:val="FFFFFF"/>
                <w:sz w:val="16"/>
                <w:szCs w:val="16"/>
              </w:rPr>
            </w:pPr>
            <w:r w:rsidRPr="00422653">
              <w:rPr>
                <w:rFonts w:ascii="CAIXA Std Book" w:eastAsia="Times New Roman" w:hAnsi="CAIXA Std Book" w:cs="Calibri"/>
                <w:b/>
                <w:bCs/>
                <w:color w:val="FFFFFF"/>
                <w:sz w:val="16"/>
                <w:szCs w:val="16"/>
              </w:rPr>
              <w:t>151.321.647</w:t>
            </w:r>
          </w:p>
        </w:tc>
        <w:tc>
          <w:tcPr>
            <w:tcW w:w="439" w:type="pct"/>
            <w:tcBorders>
              <w:top w:val="nil"/>
              <w:left w:val="nil"/>
              <w:bottom w:val="nil"/>
              <w:right w:val="nil"/>
            </w:tcBorders>
            <w:shd w:val="clear" w:color="000000" w:fill="005CA9"/>
            <w:noWrap/>
            <w:vAlign w:val="center"/>
            <w:hideMark/>
          </w:tcPr>
          <w:p w14:paraId="6CEF829E" w14:textId="77777777" w:rsidR="00277787" w:rsidRPr="00422653" w:rsidRDefault="00277787" w:rsidP="00277787">
            <w:pPr>
              <w:jc w:val="right"/>
              <w:rPr>
                <w:rFonts w:ascii="CAIXA Std Book" w:eastAsia="Times New Roman" w:hAnsi="CAIXA Std Book" w:cs="Calibri"/>
                <w:b/>
                <w:bCs/>
                <w:color w:val="FFFFFF"/>
                <w:sz w:val="16"/>
                <w:szCs w:val="16"/>
              </w:rPr>
            </w:pPr>
            <w:r w:rsidRPr="00422653">
              <w:rPr>
                <w:rFonts w:ascii="CAIXA Std Book" w:eastAsia="Times New Roman" w:hAnsi="CAIXA Std Book" w:cs="Calibri"/>
                <w:b/>
                <w:bCs/>
                <w:color w:val="FFFFFF"/>
                <w:sz w:val="16"/>
                <w:szCs w:val="16"/>
              </w:rPr>
              <w:t>855.064.999</w:t>
            </w:r>
          </w:p>
        </w:tc>
        <w:tc>
          <w:tcPr>
            <w:tcW w:w="439" w:type="pct"/>
            <w:tcBorders>
              <w:top w:val="nil"/>
              <w:left w:val="nil"/>
              <w:bottom w:val="nil"/>
              <w:right w:val="nil"/>
            </w:tcBorders>
            <w:shd w:val="clear" w:color="000000" w:fill="005CA9"/>
            <w:noWrap/>
            <w:vAlign w:val="center"/>
            <w:hideMark/>
          </w:tcPr>
          <w:p w14:paraId="3B72DFCF" w14:textId="77777777" w:rsidR="00277787" w:rsidRPr="00422653" w:rsidRDefault="00277787" w:rsidP="00277787">
            <w:pPr>
              <w:jc w:val="right"/>
              <w:rPr>
                <w:rFonts w:ascii="CAIXA Std Book" w:eastAsia="Times New Roman" w:hAnsi="CAIXA Std Book" w:cs="Calibri"/>
                <w:b/>
                <w:bCs/>
                <w:color w:val="FFFFFF"/>
                <w:sz w:val="16"/>
                <w:szCs w:val="16"/>
              </w:rPr>
            </w:pPr>
            <w:r w:rsidRPr="00422653">
              <w:rPr>
                <w:rFonts w:ascii="CAIXA Std Book" w:eastAsia="Times New Roman" w:hAnsi="CAIXA Std Book" w:cs="Calibri"/>
                <w:b/>
                <w:bCs/>
                <w:color w:val="FFFFFF"/>
                <w:sz w:val="16"/>
                <w:szCs w:val="16"/>
              </w:rPr>
              <w:t>821.927.213</w:t>
            </w:r>
          </w:p>
        </w:tc>
        <w:tc>
          <w:tcPr>
            <w:tcW w:w="439" w:type="pct"/>
            <w:tcBorders>
              <w:top w:val="nil"/>
              <w:left w:val="nil"/>
              <w:bottom w:val="nil"/>
              <w:right w:val="nil"/>
            </w:tcBorders>
            <w:shd w:val="clear" w:color="000000" w:fill="005CA9"/>
            <w:noWrap/>
            <w:vAlign w:val="center"/>
            <w:hideMark/>
          </w:tcPr>
          <w:p w14:paraId="4100DE24" w14:textId="4CABA795" w:rsidR="00277787" w:rsidRPr="00422653" w:rsidRDefault="00277787" w:rsidP="00277787">
            <w:pPr>
              <w:jc w:val="right"/>
              <w:rPr>
                <w:rFonts w:ascii="CAIXA Std Book" w:eastAsia="Times New Roman" w:hAnsi="CAIXA Std Book" w:cs="Calibri"/>
                <w:b/>
                <w:bCs/>
                <w:color w:val="FFFFFF"/>
                <w:sz w:val="16"/>
                <w:szCs w:val="16"/>
              </w:rPr>
            </w:pPr>
            <w:r w:rsidRPr="00422653">
              <w:rPr>
                <w:rFonts w:ascii="CAIXA Std Book" w:eastAsia="Times New Roman" w:hAnsi="CAIXA Std Book" w:cs="Calibri"/>
                <w:b/>
                <w:bCs/>
                <w:color w:val="FFFFFF"/>
                <w:sz w:val="16"/>
                <w:szCs w:val="16"/>
              </w:rPr>
              <w:t>854.705.744</w:t>
            </w:r>
          </w:p>
        </w:tc>
        <w:tc>
          <w:tcPr>
            <w:tcW w:w="440" w:type="pct"/>
            <w:tcBorders>
              <w:top w:val="nil"/>
              <w:left w:val="nil"/>
              <w:bottom w:val="nil"/>
              <w:right w:val="nil"/>
            </w:tcBorders>
            <w:shd w:val="clear" w:color="000000" w:fill="005CA9"/>
            <w:noWrap/>
            <w:vAlign w:val="center"/>
            <w:hideMark/>
          </w:tcPr>
          <w:p w14:paraId="5956F207" w14:textId="77777777" w:rsidR="00277787" w:rsidRPr="00422653" w:rsidRDefault="00277787" w:rsidP="00277787">
            <w:pPr>
              <w:jc w:val="right"/>
              <w:rPr>
                <w:rFonts w:ascii="CAIXA Std Book" w:eastAsia="Times New Roman" w:hAnsi="CAIXA Std Book" w:cs="Calibri"/>
                <w:b/>
                <w:bCs/>
                <w:color w:val="FFFFFF"/>
                <w:sz w:val="16"/>
                <w:szCs w:val="16"/>
              </w:rPr>
            </w:pPr>
            <w:r w:rsidRPr="00422653">
              <w:rPr>
                <w:rFonts w:ascii="CAIXA Std Book" w:eastAsia="Times New Roman" w:hAnsi="CAIXA Std Book" w:cs="Calibri"/>
                <w:b/>
                <w:bCs/>
                <w:color w:val="FFFFFF"/>
                <w:sz w:val="16"/>
                <w:szCs w:val="16"/>
              </w:rPr>
              <w:t>821.343.025</w:t>
            </w:r>
          </w:p>
        </w:tc>
      </w:tr>
    </w:tbl>
    <w:p w14:paraId="2E9FFE04" w14:textId="77777777" w:rsidR="00CA6461" w:rsidRDefault="00CA6461">
      <w:pPr>
        <w:sectPr w:rsidR="00CA6461" w:rsidSect="00542CCF">
          <w:headerReference w:type="default" r:id="rId74"/>
          <w:footerReference w:type="default" r:id="rId75"/>
          <w:pgSz w:w="16838" w:h="11906" w:orient="landscape"/>
          <w:pgMar w:top="1985" w:right="851" w:bottom="1418" w:left="1418" w:header="1134" w:footer="709" w:gutter="0"/>
          <w:cols w:space="708"/>
          <w:docGrid w:linePitch="360"/>
        </w:sectPr>
      </w:pPr>
    </w:p>
    <w:p w14:paraId="6BA885E4" w14:textId="5A0C2934" w:rsidR="00E9508A" w:rsidRPr="00E95E29" w:rsidRDefault="00E9508A" w:rsidP="00B735D2">
      <w:pPr>
        <w:pStyle w:val="Ttulo1"/>
      </w:pPr>
      <w:bookmarkStart w:id="116" w:name="_Toc229588489"/>
      <w:r w:rsidRPr="00E95E29">
        <w:t>Nota   1</w:t>
      </w:r>
      <w:r w:rsidR="005464C5">
        <w:t>5</w:t>
      </w:r>
      <w:r w:rsidRPr="00E95E29">
        <w:t xml:space="preserve">.2 – </w:t>
      </w:r>
      <w:r w:rsidR="00743985" w:rsidRPr="00E95E29">
        <w:t>Recursos de in</w:t>
      </w:r>
      <w:r w:rsidR="004F74AC" w:rsidRPr="00E95E29">
        <w:t>s</w:t>
      </w:r>
      <w:r w:rsidR="00743985" w:rsidRPr="00E95E29">
        <w:t>tituições financeiras e outras</w:t>
      </w:r>
      <w:bookmarkEnd w:id="115"/>
      <w:bookmarkEnd w:id="116"/>
    </w:p>
    <w:p w14:paraId="755A583B" w14:textId="77777777" w:rsidR="00E161D1" w:rsidRPr="00B04D8D" w:rsidRDefault="00564CD0" w:rsidP="00295657">
      <w:pPr>
        <w:pStyle w:val="PargrafodaLista"/>
        <w:numPr>
          <w:ilvl w:val="0"/>
          <w:numId w:val="23"/>
        </w:numPr>
        <w:shd w:val="clear" w:color="auto" w:fill="FFFFFF" w:themeFill="background1"/>
        <w:spacing w:before="240" w:after="120"/>
        <w:ind w:left="567" w:hanging="567"/>
        <w:contextualSpacing w:val="0"/>
        <w:jc w:val="both"/>
        <w:rPr>
          <w:rFonts w:ascii="CAIXA Std Book" w:hAnsi="CAIXA Std Book"/>
          <w:b/>
          <w:color w:val="005CA9"/>
          <w:sz w:val="20"/>
          <w:szCs w:val="20"/>
        </w:rPr>
      </w:pPr>
      <w:r w:rsidRPr="00B04D8D">
        <w:rPr>
          <w:rFonts w:ascii="CAIXA Std Book" w:hAnsi="CAIXA Std Book"/>
          <w:b/>
          <w:color w:val="005CA9"/>
          <w:sz w:val="20"/>
          <w:szCs w:val="20"/>
        </w:rPr>
        <w:t>Composição</w:t>
      </w:r>
    </w:p>
    <w:tbl>
      <w:tblPr>
        <w:tblW w:w="5000" w:type="pct"/>
        <w:tblCellMar>
          <w:left w:w="70" w:type="dxa"/>
          <w:right w:w="70" w:type="dxa"/>
        </w:tblCellMar>
        <w:tblLook w:val="04A0" w:firstRow="1" w:lastRow="0" w:firstColumn="1" w:lastColumn="0" w:noHBand="0" w:noVBand="1"/>
      </w:tblPr>
      <w:tblGrid>
        <w:gridCol w:w="4345"/>
        <w:gridCol w:w="1591"/>
        <w:gridCol w:w="1233"/>
        <w:gridCol w:w="1234"/>
        <w:gridCol w:w="1234"/>
      </w:tblGrid>
      <w:tr w:rsidR="00D6699C" w:rsidRPr="00D6699C" w14:paraId="670CE123" w14:textId="77777777" w:rsidTr="00AC22E0">
        <w:trPr>
          <w:trHeight w:val="283"/>
        </w:trPr>
        <w:tc>
          <w:tcPr>
            <w:tcW w:w="2255" w:type="pct"/>
            <w:vMerge w:val="restart"/>
            <w:shd w:val="clear" w:color="000000" w:fill="005CA9"/>
            <w:vAlign w:val="center"/>
            <w:hideMark/>
          </w:tcPr>
          <w:p w14:paraId="5CC973E5" w14:textId="77777777" w:rsidR="00D6699C" w:rsidRPr="00D6699C" w:rsidRDefault="00D6699C" w:rsidP="00D6699C">
            <w:pPr>
              <w:jc w:val="center"/>
              <w:rPr>
                <w:rFonts w:ascii="CAIXA Std Book" w:eastAsia="Times New Roman" w:hAnsi="CAIXA Std Book" w:cs="Calibri"/>
                <w:b/>
                <w:bCs/>
                <w:color w:val="FFFFFF"/>
                <w:sz w:val="18"/>
                <w:szCs w:val="18"/>
              </w:rPr>
            </w:pPr>
            <w:bookmarkStart w:id="117" w:name="_Toc217914340"/>
            <w:r w:rsidRPr="00D6699C">
              <w:rPr>
                <w:rFonts w:ascii="CAIXA Std Book" w:eastAsia="Times New Roman" w:hAnsi="CAIXA Std Book" w:cs="Calibri"/>
                <w:b/>
                <w:bCs/>
                <w:color w:val="FFFFFF"/>
                <w:sz w:val="18"/>
                <w:szCs w:val="18"/>
              </w:rPr>
              <w:t>Descrição</w:t>
            </w:r>
          </w:p>
        </w:tc>
        <w:tc>
          <w:tcPr>
            <w:tcW w:w="1465" w:type="pct"/>
            <w:gridSpan w:val="2"/>
            <w:tcBorders>
              <w:bottom w:val="single" w:sz="4" w:space="0" w:color="FFFFFF" w:themeColor="background1"/>
            </w:tcBorders>
            <w:shd w:val="clear" w:color="000000" w:fill="005CA9"/>
            <w:vAlign w:val="center"/>
            <w:hideMark/>
          </w:tcPr>
          <w:p w14:paraId="37700D74" w14:textId="77777777" w:rsidR="00D6699C" w:rsidRPr="00D6699C" w:rsidRDefault="00D6699C" w:rsidP="00D6699C">
            <w:pPr>
              <w:jc w:val="center"/>
              <w:rPr>
                <w:rFonts w:ascii="CAIXA Std Book" w:eastAsia="Times New Roman" w:hAnsi="CAIXA Std Book" w:cs="Calibri"/>
                <w:b/>
                <w:bCs/>
                <w:color w:val="FFFFFF"/>
                <w:sz w:val="18"/>
                <w:szCs w:val="18"/>
              </w:rPr>
            </w:pPr>
            <w:r w:rsidRPr="00D6699C">
              <w:rPr>
                <w:rFonts w:ascii="CAIXA Std Book" w:eastAsia="Times New Roman" w:hAnsi="CAIXA Std Book" w:cs="Calibri"/>
                <w:b/>
                <w:bCs/>
                <w:color w:val="FFFFFF"/>
                <w:sz w:val="18"/>
                <w:szCs w:val="18"/>
              </w:rPr>
              <w:t>Individual</w:t>
            </w:r>
          </w:p>
        </w:tc>
        <w:tc>
          <w:tcPr>
            <w:tcW w:w="1279" w:type="pct"/>
            <w:gridSpan w:val="2"/>
            <w:tcBorders>
              <w:bottom w:val="single" w:sz="4" w:space="0" w:color="FFFFFF" w:themeColor="background1"/>
            </w:tcBorders>
            <w:shd w:val="clear" w:color="000000" w:fill="005CA9"/>
            <w:vAlign w:val="center"/>
            <w:hideMark/>
          </w:tcPr>
          <w:p w14:paraId="60C0FF3E" w14:textId="77777777" w:rsidR="00D6699C" w:rsidRPr="00D6699C" w:rsidRDefault="00D6699C" w:rsidP="00D6699C">
            <w:pPr>
              <w:jc w:val="center"/>
              <w:rPr>
                <w:rFonts w:ascii="CAIXA Std Book" w:eastAsia="Times New Roman" w:hAnsi="CAIXA Std Book" w:cs="Calibri"/>
                <w:b/>
                <w:bCs/>
                <w:color w:val="FFFFFF"/>
                <w:sz w:val="18"/>
                <w:szCs w:val="18"/>
              </w:rPr>
            </w:pPr>
            <w:r w:rsidRPr="00D6699C">
              <w:rPr>
                <w:rFonts w:ascii="CAIXA Std Book" w:eastAsia="Times New Roman" w:hAnsi="CAIXA Std Book" w:cs="Calibri"/>
                <w:b/>
                <w:bCs/>
                <w:color w:val="FFFFFF"/>
                <w:sz w:val="18"/>
                <w:szCs w:val="18"/>
              </w:rPr>
              <w:t>Consolidado</w:t>
            </w:r>
          </w:p>
        </w:tc>
      </w:tr>
      <w:tr w:rsidR="00D6699C" w:rsidRPr="00D6699C" w14:paraId="22D6DF6D" w14:textId="77777777" w:rsidTr="00AC22E0">
        <w:trPr>
          <w:trHeight w:val="283"/>
        </w:trPr>
        <w:tc>
          <w:tcPr>
            <w:tcW w:w="2255" w:type="pct"/>
            <w:vMerge/>
            <w:tcBorders>
              <w:bottom w:val="single" w:sz="4" w:space="0" w:color="FFFFFF" w:themeColor="background1"/>
            </w:tcBorders>
            <w:vAlign w:val="center"/>
            <w:hideMark/>
          </w:tcPr>
          <w:p w14:paraId="7425DFF7" w14:textId="77777777" w:rsidR="00D6699C" w:rsidRPr="00D6699C" w:rsidRDefault="00D6699C" w:rsidP="00D6699C">
            <w:pPr>
              <w:rPr>
                <w:rFonts w:ascii="CAIXA Std Book" w:eastAsia="Times New Roman" w:hAnsi="CAIXA Std Book" w:cs="Calibri"/>
                <w:b/>
                <w:bCs/>
                <w:color w:val="FFFFFF"/>
                <w:sz w:val="18"/>
                <w:szCs w:val="18"/>
              </w:rPr>
            </w:pPr>
          </w:p>
        </w:tc>
        <w:tc>
          <w:tcPr>
            <w:tcW w:w="825" w:type="pct"/>
            <w:tcBorders>
              <w:top w:val="single" w:sz="4" w:space="0" w:color="FFFFFF" w:themeColor="background1"/>
              <w:bottom w:val="single" w:sz="4" w:space="0" w:color="FFFFFF" w:themeColor="background1"/>
            </w:tcBorders>
            <w:shd w:val="clear" w:color="000000" w:fill="005CA9"/>
            <w:vAlign w:val="center"/>
            <w:hideMark/>
          </w:tcPr>
          <w:p w14:paraId="6C0E0847" w14:textId="77777777" w:rsidR="00D6699C" w:rsidRPr="00D6699C" w:rsidRDefault="00D6699C" w:rsidP="00D6699C">
            <w:pPr>
              <w:jc w:val="center"/>
              <w:rPr>
                <w:rFonts w:ascii="CAIXA Std Book" w:eastAsia="Times New Roman" w:hAnsi="CAIXA Std Book" w:cs="Calibri"/>
                <w:b/>
                <w:bCs/>
                <w:color w:val="FFFFFF"/>
                <w:sz w:val="18"/>
                <w:szCs w:val="18"/>
              </w:rPr>
            </w:pPr>
            <w:r w:rsidRPr="00D6699C">
              <w:rPr>
                <w:rFonts w:ascii="CAIXA Std Book" w:eastAsia="Times New Roman" w:hAnsi="CAIXA Std Book" w:cs="Calibri"/>
                <w:b/>
                <w:bCs/>
                <w:color w:val="FFFFFF"/>
                <w:sz w:val="18"/>
                <w:szCs w:val="18"/>
              </w:rPr>
              <w:t>31/03/2026</w:t>
            </w:r>
          </w:p>
        </w:tc>
        <w:tc>
          <w:tcPr>
            <w:tcW w:w="640" w:type="pct"/>
            <w:tcBorders>
              <w:top w:val="single" w:sz="4" w:space="0" w:color="FFFFFF" w:themeColor="background1"/>
              <w:bottom w:val="single" w:sz="4" w:space="0" w:color="FFFFFF" w:themeColor="background1"/>
            </w:tcBorders>
            <w:shd w:val="clear" w:color="000000" w:fill="005CA9"/>
            <w:vAlign w:val="center"/>
            <w:hideMark/>
          </w:tcPr>
          <w:p w14:paraId="71608E3E" w14:textId="77777777" w:rsidR="00D6699C" w:rsidRPr="00D6699C" w:rsidRDefault="00D6699C" w:rsidP="00D6699C">
            <w:pPr>
              <w:jc w:val="center"/>
              <w:rPr>
                <w:rFonts w:ascii="CAIXA Std Book" w:eastAsia="Times New Roman" w:hAnsi="CAIXA Std Book" w:cs="Calibri"/>
                <w:b/>
                <w:bCs/>
                <w:color w:val="FFFFFF"/>
                <w:sz w:val="18"/>
                <w:szCs w:val="18"/>
              </w:rPr>
            </w:pPr>
            <w:r w:rsidRPr="00D6699C">
              <w:rPr>
                <w:rFonts w:ascii="CAIXA Std Book" w:eastAsia="Times New Roman" w:hAnsi="CAIXA Std Book" w:cs="Calibri"/>
                <w:b/>
                <w:bCs/>
                <w:color w:val="FFFFFF"/>
                <w:sz w:val="18"/>
                <w:szCs w:val="18"/>
              </w:rPr>
              <w:t>31/12/2025</w:t>
            </w:r>
          </w:p>
        </w:tc>
        <w:tc>
          <w:tcPr>
            <w:tcW w:w="640" w:type="pct"/>
            <w:tcBorders>
              <w:top w:val="single" w:sz="4" w:space="0" w:color="FFFFFF" w:themeColor="background1"/>
              <w:bottom w:val="single" w:sz="4" w:space="0" w:color="FFFFFF" w:themeColor="background1"/>
            </w:tcBorders>
            <w:shd w:val="clear" w:color="000000" w:fill="005CA9"/>
            <w:noWrap/>
            <w:vAlign w:val="center"/>
            <w:hideMark/>
          </w:tcPr>
          <w:p w14:paraId="203DC382" w14:textId="77777777" w:rsidR="00D6699C" w:rsidRPr="00D6699C" w:rsidRDefault="00D6699C" w:rsidP="00D6699C">
            <w:pPr>
              <w:jc w:val="center"/>
              <w:rPr>
                <w:rFonts w:ascii="CAIXA Std Book" w:eastAsia="Times New Roman" w:hAnsi="CAIXA Std Book" w:cs="Calibri"/>
                <w:b/>
                <w:bCs/>
                <w:color w:val="FFFFFF"/>
                <w:sz w:val="18"/>
                <w:szCs w:val="18"/>
              </w:rPr>
            </w:pPr>
            <w:r w:rsidRPr="00D6699C">
              <w:rPr>
                <w:rFonts w:ascii="CAIXA Std Book" w:eastAsia="Times New Roman" w:hAnsi="CAIXA Std Book" w:cs="Calibri"/>
                <w:b/>
                <w:bCs/>
                <w:color w:val="FFFFFF"/>
                <w:sz w:val="18"/>
                <w:szCs w:val="18"/>
              </w:rPr>
              <w:t>31/03/2026</w:t>
            </w:r>
          </w:p>
        </w:tc>
        <w:tc>
          <w:tcPr>
            <w:tcW w:w="640" w:type="pct"/>
            <w:tcBorders>
              <w:top w:val="single" w:sz="4" w:space="0" w:color="FFFFFF" w:themeColor="background1"/>
              <w:bottom w:val="single" w:sz="4" w:space="0" w:color="FFFFFF" w:themeColor="background1"/>
            </w:tcBorders>
            <w:shd w:val="clear" w:color="000000" w:fill="005CA9"/>
            <w:noWrap/>
            <w:vAlign w:val="center"/>
            <w:hideMark/>
          </w:tcPr>
          <w:p w14:paraId="7C8203C0" w14:textId="77777777" w:rsidR="00D6699C" w:rsidRPr="00D6699C" w:rsidRDefault="00D6699C" w:rsidP="00D6699C">
            <w:pPr>
              <w:jc w:val="center"/>
              <w:rPr>
                <w:rFonts w:ascii="CAIXA Std Book" w:eastAsia="Times New Roman" w:hAnsi="CAIXA Std Book" w:cs="Calibri"/>
                <w:b/>
                <w:bCs/>
                <w:color w:val="FFFFFF"/>
                <w:sz w:val="18"/>
                <w:szCs w:val="18"/>
              </w:rPr>
            </w:pPr>
            <w:r w:rsidRPr="00D6699C">
              <w:rPr>
                <w:rFonts w:ascii="CAIXA Std Book" w:eastAsia="Times New Roman" w:hAnsi="CAIXA Std Book" w:cs="Calibri"/>
                <w:b/>
                <w:bCs/>
                <w:color w:val="FFFFFF"/>
                <w:sz w:val="18"/>
                <w:szCs w:val="18"/>
              </w:rPr>
              <w:t>31/12/2025</w:t>
            </w:r>
          </w:p>
        </w:tc>
      </w:tr>
      <w:tr w:rsidR="00D6699C" w:rsidRPr="00D6699C" w14:paraId="3EC5A12C" w14:textId="77777777" w:rsidTr="00AC22E0">
        <w:trPr>
          <w:trHeight w:val="283"/>
        </w:trPr>
        <w:tc>
          <w:tcPr>
            <w:tcW w:w="2255" w:type="pct"/>
            <w:tcBorders>
              <w:top w:val="single" w:sz="4" w:space="0" w:color="FFFFFF" w:themeColor="background1"/>
            </w:tcBorders>
            <w:shd w:val="clear" w:color="000000" w:fill="D0E0E3"/>
            <w:vAlign w:val="center"/>
            <w:hideMark/>
          </w:tcPr>
          <w:p w14:paraId="28462A0C" w14:textId="77777777" w:rsidR="00D6699C" w:rsidRPr="00D6699C" w:rsidRDefault="00D6699C" w:rsidP="00D6699C">
            <w:pPr>
              <w:rPr>
                <w:rFonts w:ascii="CAIXA Std Book" w:eastAsia="Times New Roman" w:hAnsi="CAIXA Std Book" w:cs="Calibri"/>
                <w:b/>
                <w:bCs/>
                <w:color w:val="005CA9"/>
                <w:sz w:val="18"/>
                <w:szCs w:val="18"/>
              </w:rPr>
            </w:pPr>
            <w:r w:rsidRPr="00D6699C">
              <w:rPr>
                <w:rFonts w:ascii="CAIXA Std Book" w:eastAsia="Times New Roman" w:hAnsi="CAIXA Std Book" w:cs="Calibri"/>
                <w:b/>
                <w:bCs/>
                <w:color w:val="005CA9"/>
                <w:sz w:val="18"/>
                <w:szCs w:val="18"/>
              </w:rPr>
              <w:t>Obrigações por empréstimos e repasses</w:t>
            </w:r>
          </w:p>
        </w:tc>
        <w:tc>
          <w:tcPr>
            <w:tcW w:w="825" w:type="pct"/>
            <w:tcBorders>
              <w:top w:val="single" w:sz="4" w:space="0" w:color="FFFFFF" w:themeColor="background1"/>
            </w:tcBorders>
            <w:shd w:val="clear" w:color="000000" w:fill="D0E0E3"/>
            <w:vAlign w:val="center"/>
            <w:hideMark/>
          </w:tcPr>
          <w:p w14:paraId="26C7D2D8" w14:textId="6411197B" w:rsidR="00D6699C" w:rsidRPr="00D6699C" w:rsidRDefault="00B61980" w:rsidP="00D6699C">
            <w:pPr>
              <w:jc w:val="right"/>
              <w:rPr>
                <w:rFonts w:ascii="CAIXA Std Book" w:eastAsia="Times New Roman" w:hAnsi="CAIXA Std Book" w:cs="Calibri"/>
                <w:b/>
                <w:bCs/>
                <w:color w:val="005CA9"/>
                <w:sz w:val="18"/>
                <w:szCs w:val="18"/>
              </w:rPr>
            </w:pPr>
            <w:r>
              <w:rPr>
                <w:rFonts w:ascii="CAIXA Std Book" w:hAnsi="CAIXA Std Book" w:cs="Arial"/>
                <w:b/>
                <w:bCs/>
                <w:color w:val="005CA9"/>
                <w:sz w:val="18"/>
                <w:szCs w:val="18"/>
              </w:rPr>
              <w:t>617.906.046</w:t>
            </w:r>
          </w:p>
        </w:tc>
        <w:tc>
          <w:tcPr>
            <w:tcW w:w="640" w:type="pct"/>
            <w:tcBorders>
              <w:top w:val="single" w:sz="4" w:space="0" w:color="FFFFFF" w:themeColor="background1"/>
            </w:tcBorders>
            <w:shd w:val="clear" w:color="000000" w:fill="D0E0E3"/>
            <w:vAlign w:val="center"/>
            <w:hideMark/>
          </w:tcPr>
          <w:p w14:paraId="5AF0830E" w14:textId="77777777" w:rsidR="00D6699C" w:rsidRPr="00D6699C" w:rsidRDefault="00D6699C" w:rsidP="00D6699C">
            <w:pPr>
              <w:jc w:val="right"/>
              <w:rPr>
                <w:rFonts w:ascii="CAIXA Std Book" w:eastAsia="Times New Roman" w:hAnsi="CAIXA Std Book" w:cs="Calibri"/>
                <w:b/>
                <w:bCs/>
                <w:color w:val="005CA9"/>
                <w:sz w:val="18"/>
                <w:szCs w:val="18"/>
              </w:rPr>
            </w:pPr>
            <w:r w:rsidRPr="00D6699C">
              <w:rPr>
                <w:rFonts w:ascii="CAIXA Std Book" w:eastAsia="Times New Roman" w:hAnsi="CAIXA Std Book" w:cs="Arial"/>
                <w:b/>
                <w:bCs/>
                <w:color w:val="005CA9"/>
                <w:sz w:val="18"/>
                <w:szCs w:val="18"/>
              </w:rPr>
              <w:t>588.104.550</w:t>
            </w:r>
          </w:p>
        </w:tc>
        <w:tc>
          <w:tcPr>
            <w:tcW w:w="640" w:type="pct"/>
            <w:tcBorders>
              <w:top w:val="single" w:sz="4" w:space="0" w:color="FFFFFF" w:themeColor="background1"/>
            </w:tcBorders>
            <w:shd w:val="clear" w:color="000000" w:fill="D0E0E3"/>
            <w:noWrap/>
            <w:vAlign w:val="center"/>
            <w:hideMark/>
          </w:tcPr>
          <w:p w14:paraId="57E0A114" w14:textId="2242204F" w:rsidR="00D6699C" w:rsidRPr="00D6699C" w:rsidRDefault="0016788D" w:rsidP="00D6699C">
            <w:pPr>
              <w:jc w:val="right"/>
              <w:rPr>
                <w:rFonts w:ascii="CAIXA Std Book" w:eastAsia="Times New Roman" w:hAnsi="CAIXA Std Book" w:cs="Calibri"/>
                <w:b/>
                <w:bCs/>
                <w:color w:val="005CA9"/>
                <w:sz w:val="18"/>
                <w:szCs w:val="18"/>
              </w:rPr>
            </w:pPr>
            <w:r>
              <w:rPr>
                <w:rFonts w:ascii="CAIXA Std Book" w:hAnsi="CAIXA Std Book" w:cs="Arial"/>
                <w:b/>
                <w:bCs/>
                <w:color w:val="005CA9"/>
                <w:sz w:val="18"/>
                <w:szCs w:val="18"/>
              </w:rPr>
              <w:t>617.906.046</w:t>
            </w:r>
          </w:p>
        </w:tc>
        <w:tc>
          <w:tcPr>
            <w:tcW w:w="640" w:type="pct"/>
            <w:tcBorders>
              <w:top w:val="single" w:sz="4" w:space="0" w:color="FFFFFF" w:themeColor="background1"/>
            </w:tcBorders>
            <w:shd w:val="clear" w:color="000000" w:fill="D0E0E3"/>
            <w:noWrap/>
            <w:vAlign w:val="center"/>
            <w:hideMark/>
          </w:tcPr>
          <w:p w14:paraId="5F9052CE" w14:textId="77777777" w:rsidR="00D6699C" w:rsidRPr="00D6699C" w:rsidRDefault="00D6699C" w:rsidP="00D6699C">
            <w:pPr>
              <w:jc w:val="right"/>
              <w:rPr>
                <w:rFonts w:ascii="CAIXA Std Book" w:eastAsia="Times New Roman" w:hAnsi="CAIXA Std Book" w:cs="Calibri"/>
                <w:b/>
                <w:bCs/>
                <w:color w:val="005CA9"/>
                <w:sz w:val="18"/>
                <w:szCs w:val="18"/>
              </w:rPr>
            </w:pPr>
            <w:r w:rsidRPr="00D6699C">
              <w:rPr>
                <w:rFonts w:ascii="CAIXA Std Book" w:eastAsia="Times New Roman" w:hAnsi="CAIXA Std Book" w:cs="Arial"/>
                <w:b/>
                <w:bCs/>
                <w:color w:val="005CA9"/>
                <w:sz w:val="18"/>
                <w:szCs w:val="18"/>
              </w:rPr>
              <w:t>588.104.550</w:t>
            </w:r>
          </w:p>
        </w:tc>
      </w:tr>
      <w:tr w:rsidR="00D6699C" w:rsidRPr="00D6699C" w14:paraId="352D99BF" w14:textId="77777777" w:rsidTr="00AC22E0">
        <w:trPr>
          <w:trHeight w:val="283"/>
        </w:trPr>
        <w:tc>
          <w:tcPr>
            <w:tcW w:w="2255" w:type="pct"/>
            <w:vAlign w:val="center"/>
            <w:hideMark/>
          </w:tcPr>
          <w:p w14:paraId="3EC4E3E2" w14:textId="77777777" w:rsidR="00D6699C" w:rsidRPr="00D6699C" w:rsidRDefault="00D6699C" w:rsidP="00D6699C">
            <w:pPr>
              <w:ind w:firstLineChars="100" w:firstLine="180"/>
              <w:rPr>
                <w:rFonts w:ascii="CAIXA Std Book" w:eastAsia="Times New Roman" w:hAnsi="CAIXA Std Book" w:cs="Calibri"/>
                <w:color w:val="005CA9"/>
                <w:sz w:val="18"/>
                <w:szCs w:val="18"/>
              </w:rPr>
            </w:pPr>
            <w:r w:rsidRPr="00D6699C">
              <w:rPr>
                <w:rFonts w:ascii="CAIXA Std Book" w:eastAsia="Times New Roman" w:hAnsi="CAIXA Std Book" w:cs="Calibri"/>
                <w:color w:val="005CA9"/>
                <w:sz w:val="18"/>
                <w:szCs w:val="18"/>
              </w:rPr>
              <w:t>FGTS</w:t>
            </w:r>
          </w:p>
        </w:tc>
        <w:tc>
          <w:tcPr>
            <w:tcW w:w="825" w:type="pct"/>
            <w:vAlign w:val="center"/>
            <w:hideMark/>
          </w:tcPr>
          <w:p w14:paraId="22673935" w14:textId="7F0B7A84" w:rsidR="00D6699C" w:rsidRPr="00D6699C" w:rsidRDefault="00B61980" w:rsidP="00B61980">
            <w:pPr>
              <w:ind w:firstLineChars="100" w:firstLine="180"/>
              <w:jc w:val="right"/>
              <w:rPr>
                <w:rFonts w:ascii="CAIXA Std Book" w:eastAsia="Times New Roman" w:hAnsi="CAIXA Std Book" w:cs="Calibri"/>
                <w:color w:val="005CA9"/>
                <w:sz w:val="18"/>
                <w:szCs w:val="18"/>
              </w:rPr>
            </w:pPr>
            <w:r>
              <w:rPr>
                <w:rFonts w:ascii="CAIXA Std Book" w:hAnsi="CAIXA Std Book" w:cs="Arial"/>
                <w:color w:val="005CA9"/>
                <w:sz w:val="18"/>
                <w:szCs w:val="18"/>
              </w:rPr>
              <w:t>572.930.640</w:t>
            </w:r>
          </w:p>
        </w:tc>
        <w:tc>
          <w:tcPr>
            <w:tcW w:w="640" w:type="pct"/>
            <w:vAlign w:val="center"/>
            <w:hideMark/>
          </w:tcPr>
          <w:p w14:paraId="6D0A7381"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552.470.376</w:t>
            </w:r>
          </w:p>
        </w:tc>
        <w:tc>
          <w:tcPr>
            <w:tcW w:w="640" w:type="pct"/>
            <w:noWrap/>
            <w:vAlign w:val="center"/>
            <w:hideMark/>
          </w:tcPr>
          <w:p w14:paraId="44FE001E" w14:textId="2F1EB0DB" w:rsidR="00D6699C" w:rsidRPr="00D6699C" w:rsidRDefault="0016788D" w:rsidP="00D6699C">
            <w:pPr>
              <w:jc w:val="right"/>
              <w:rPr>
                <w:rFonts w:ascii="CAIXA Std Book" w:eastAsia="Times New Roman" w:hAnsi="CAIXA Std Book" w:cs="Calibri"/>
                <w:color w:val="005CA9"/>
                <w:sz w:val="18"/>
                <w:szCs w:val="18"/>
              </w:rPr>
            </w:pPr>
            <w:r>
              <w:rPr>
                <w:rFonts w:ascii="CAIXA Std Book" w:hAnsi="CAIXA Std Book" w:cs="Arial"/>
                <w:color w:val="005CA9"/>
                <w:sz w:val="18"/>
                <w:szCs w:val="18"/>
              </w:rPr>
              <w:t>572.930.640</w:t>
            </w:r>
          </w:p>
        </w:tc>
        <w:tc>
          <w:tcPr>
            <w:tcW w:w="640" w:type="pct"/>
            <w:noWrap/>
            <w:vAlign w:val="center"/>
            <w:hideMark/>
          </w:tcPr>
          <w:p w14:paraId="5F575A3C"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552.470.376</w:t>
            </w:r>
          </w:p>
        </w:tc>
      </w:tr>
      <w:tr w:rsidR="00D6699C" w:rsidRPr="00D6699C" w14:paraId="21364A60" w14:textId="77777777" w:rsidTr="00AC22E0">
        <w:trPr>
          <w:trHeight w:val="283"/>
        </w:trPr>
        <w:tc>
          <w:tcPr>
            <w:tcW w:w="2255" w:type="pct"/>
            <w:vAlign w:val="center"/>
            <w:hideMark/>
          </w:tcPr>
          <w:p w14:paraId="31700815" w14:textId="77777777" w:rsidR="00D6699C" w:rsidRPr="00D6699C" w:rsidRDefault="00D6699C" w:rsidP="00D6699C">
            <w:pPr>
              <w:ind w:firstLineChars="100" w:firstLine="180"/>
              <w:rPr>
                <w:rFonts w:ascii="CAIXA Std Book" w:eastAsia="Times New Roman" w:hAnsi="CAIXA Std Book" w:cs="Calibri"/>
                <w:color w:val="005CA9"/>
                <w:sz w:val="18"/>
                <w:szCs w:val="18"/>
              </w:rPr>
            </w:pPr>
            <w:r w:rsidRPr="00D6699C">
              <w:rPr>
                <w:rFonts w:ascii="CAIXA Std Book" w:eastAsia="Times New Roman" w:hAnsi="CAIXA Std Book" w:cs="Calibri"/>
                <w:color w:val="005CA9"/>
                <w:sz w:val="18"/>
                <w:szCs w:val="18"/>
              </w:rPr>
              <w:t>BNDES</w:t>
            </w:r>
          </w:p>
        </w:tc>
        <w:tc>
          <w:tcPr>
            <w:tcW w:w="825" w:type="pct"/>
            <w:vAlign w:val="center"/>
            <w:hideMark/>
          </w:tcPr>
          <w:p w14:paraId="31F2E359" w14:textId="76681D4D" w:rsidR="00D6699C" w:rsidRPr="00D6699C" w:rsidRDefault="00B61980" w:rsidP="00B61980">
            <w:pPr>
              <w:ind w:firstLineChars="100" w:firstLine="180"/>
              <w:jc w:val="right"/>
              <w:rPr>
                <w:rFonts w:ascii="CAIXA Std Book" w:eastAsia="Times New Roman" w:hAnsi="CAIXA Std Book" w:cs="Calibri"/>
                <w:color w:val="005CA9"/>
                <w:sz w:val="18"/>
                <w:szCs w:val="18"/>
              </w:rPr>
            </w:pPr>
            <w:r>
              <w:rPr>
                <w:rFonts w:ascii="CAIXA Std Book" w:hAnsi="CAIXA Std Book" w:cs="Arial"/>
                <w:color w:val="005CA9"/>
                <w:sz w:val="18"/>
                <w:szCs w:val="18"/>
              </w:rPr>
              <w:t>17.241.045</w:t>
            </w:r>
          </w:p>
        </w:tc>
        <w:tc>
          <w:tcPr>
            <w:tcW w:w="640" w:type="pct"/>
            <w:vAlign w:val="center"/>
            <w:hideMark/>
          </w:tcPr>
          <w:p w14:paraId="4E089F61"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17.453.409</w:t>
            </w:r>
          </w:p>
        </w:tc>
        <w:tc>
          <w:tcPr>
            <w:tcW w:w="640" w:type="pct"/>
            <w:noWrap/>
            <w:vAlign w:val="center"/>
            <w:hideMark/>
          </w:tcPr>
          <w:p w14:paraId="3BD7221B" w14:textId="393D084E" w:rsidR="00D6699C" w:rsidRPr="00D6699C" w:rsidRDefault="0016788D" w:rsidP="00D6699C">
            <w:pPr>
              <w:jc w:val="right"/>
              <w:rPr>
                <w:rFonts w:ascii="CAIXA Std Book" w:eastAsia="Times New Roman" w:hAnsi="CAIXA Std Book" w:cs="Calibri"/>
                <w:color w:val="005CA9"/>
                <w:sz w:val="18"/>
                <w:szCs w:val="18"/>
              </w:rPr>
            </w:pPr>
            <w:r>
              <w:rPr>
                <w:rFonts w:ascii="CAIXA Std Book" w:hAnsi="CAIXA Std Book" w:cs="Arial"/>
                <w:color w:val="005CA9"/>
                <w:sz w:val="18"/>
                <w:szCs w:val="18"/>
              </w:rPr>
              <w:t>17.241.045</w:t>
            </w:r>
          </w:p>
        </w:tc>
        <w:tc>
          <w:tcPr>
            <w:tcW w:w="640" w:type="pct"/>
            <w:noWrap/>
            <w:vAlign w:val="center"/>
            <w:hideMark/>
          </w:tcPr>
          <w:p w14:paraId="474445CB"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17.453.409</w:t>
            </w:r>
          </w:p>
        </w:tc>
      </w:tr>
      <w:tr w:rsidR="00D6699C" w:rsidRPr="00D6699C" w14:paraId="363303B8" w14:textId="77777777" w:rsidTr="00AC22E0">
        <w:trPr>
          <w:trHeight w:val="283"/>
        </w:trPr>
        <w:tc>
          <w:tcPr>
            <w:tcW w:w="2255" w:type="pct"/>
            <w:vAlign w:val="center"/>
            <w:hideMark/>
          </w:tcPr>
          <w:p w14:paraId="3ACFFF3F" w14:textId="77777777" w:rsidR="00D6699C" w:rsidRPr="00D6699C" w:rsidRDefault="00D6699C" w:rsidP="00D6699C">
            <w:pPr>
              <w:ind w:firstLineChars="100" w:firstLine="180"/>
              <w:rPr>
                <w:rFonts w:ascii="CAIXA Std Book" w:eastAsia="Times New Roman" w:hAnsi="CAIXA Std Book" w:cs="Calibri"/>
                <w:color w:val="005CA9"/>
                <w:sz w:val="18"/>
                <w:szCs w:val="18"/>
              </w:rPr>
            </w:pPr>
            <w:r w:rsidRPr="00D6699C">
              <w:rPr>
                <w:rFonts w:ascii="CAIXA Std Book" w:eastAsia="Times New Roman" w:hAnsi="CAIXA Std Book" w:cs="Calibri"/>
                <w:color w:val="005CA9"/>
                <w:sz w:val="18"/>
                <w:szCs w:val="18"/>
              </w:rPr>
              <w:t>Fundo Social - Lei nº 12.351</w:t>
            </w:r>
          </w:p>
        </w:tc>
        <w:tc>
          <w:tcPr>
            <w:tcW w:w="825" w:type="pct"/>
            <w:vAlign w:val="center"/>
            <w:hideMark/>
          </w:tcPr>
          <w:p w14:paraId="587FDA78" w14:textId="1338FCD9" w:rsidR="00D6699C" w:rsidRPr="00D6699C" w:rsidRDefault="00B61980" w:rsidP="00B61980">
            <w:pPr>
              <w:ind w:firstLineChars="100" w:firstLine="180"/>
              <w:jc w:val="right"/>
              <w:rPr>
                <w:rFonts w:ascii="CAIXA Std Book" w:eastAsia="Times New Roman" w:hAnsi="CAIXA Std Book" w:cs="Calibri"/>
                <w:color w:val="005CA9"/>
                <w:sz w:val="18"/>
                <w:szCs w:val="18"/>
              </w:rPr>
            </w:pPr>
            <w:r>
              <w:rPr>
                <w:rFonts w:ascii="CAIXA Std Book" w:hAnsi="CAIXA Std Book" w:cs="Arial"/>
                <w:color w:val="005CA9"/>
                <w:sz w:val="18"/>
                <w:szCs w:val="18"/>
              </w:rPr>
              <w:t>21.089.356</w:t>
            </w:r>
          </w:p>
        </w:tc>
        <w:tc>
          <w:tcPr>
            <w:tcW w:w="640" w:type="pct"/>
            <w:vAlign w:val="center"/>
            <w:hideMark/>
          </w:tcPr>
          <w:p w14:paraId="3BED0B7B"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11.651.109</w:t>
            </w:r>
          </w:p>
        </w:tc>
        <w:tc>
          <w:tcPr>
            <w:tcW w:w="640" w:type="pct"/>
            <w:noWrap/>
            <w:vAlign w:val="center"/>
            <w:hideMark/>
          </w:tcPr>
          <w:p w14:paraId="0FDE3804" w14:textId="0E3066D3" w:rsidR="00D6699C" w:rsidRPr="00D6699C" w:rsidRDefault="0016788D" w:rsidP="00D6699C">
            <w:pPr>
              <w:jc w:val="right"/>
              <w:rPr>
                <w:rFonts w:ascii="CAIXA Std Book" w:eastAsia="Times New Roman" w:hAnsi="CAIXA Std Book" w:cs="Calibri"/>
                <w:color w:val="005CA9"/>
                <w:sz w:val="18"/>
                <w:szCs w:val="18"/>
              </w:rPr>
            </w:pPr>
            <w:r>
              <w:rPr>
                <w:rFonts w:ascii="CAIXA Std Book" w:hAnsi="CAIXA Std Book" w:cs="Arial"/>
                <w:color w:val="005CA9"/>
                <w:sz w:val="18"/>
                <w:szCs w:val="18"/>
              </w:rPr>
              <w:t>21.089.356</w:t>
            </w:r>
          </w:p>
        </w:tc>
        <w:tc>
          <w:tcPr>
            <w:tcW w:w="640" w:type="pct"/>
            <w:noWrap/>
            <w:vAlign w:val="center"/>
            <w:hideMark/>
          </w:tcPr>
          <w:p w14:paraId="5B17AC1F"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11.651.109</w:t>
            </w:r>
          </w:p>
        </w:tc>
      </w:tr>
      <w:tr w:rsidR="00D6699C" w:rsidRPr="00D6699C" w14:paraId="47ED6970" w14:textId="77777777" w:rsidTr="00AC22E0">
        <w:trPr>
          <w:trHeight w:val="283"/>
        </w:trPr>
        <w:tc>
          <w:tcPr>
            <w:tcW w:w="2255" w:type="pct"/>
            <w:vAlign w:val="center"/>
            <w:hideMark/>
          </w:tcPr>
          <w:p w14:paraId="5E22773E" w14:textId="77777777" w:rsidR="00D6699C" w:rsidRPr="00D6699C" w:rsidRDefault="00D6699C" w:rsidP="00D6699C">
            <w:pPr>
              <w:ind w:firstLineChars="100" w:firstLine="180"/>
              <w:rPr>
                <w:rFonts w:ascii="CAIXA Std Book" w:eastAsia="Times New Roman" w:hAnsi="CAIXA Std Book" w:cs="Calibri"/>
                <w:color w:val="005CA9"/>
                <w:sz w:val="18"/>
                <w:szCs w:val="18"/>
              </w:rPr>
            </w:pPr>
            <w:r w:rsidRPr="00D6699C">
              <w:rPr>
                <w:rFonts w:ascii="CAIXA Std Book" w:eastAsia="Times New Roman" w:hAnsi="CAIXA Std Book" w:cs="Calibri"/>
                <w:color w:val="005CA9"/>
                <w:sz w:val="18"/>
                <w:szCs w:val="18"/>
              </w:rPr>
              <w:t>Empréstimos no exterior</w:t>
            </w:r>
          </w:p>
        </w:tc>
        <w:tc>
          <w:tcPr>
            <w:tcW w:w="825" w:type="pct"/>
            <w:vAlign w:val="center"/>
            <w:hideMark/>
          </w:tcPr>
          <w:p w14:paraId="6B4577B6" w14:textId="0C48DDA3" w:rsidR="00D6699C" w:rsidRPr="00D6699C" w:rsidRDefault="00B61980" w:rsidP="00B61980">
            <w:pPr>
              <w:ind w:firstLineChars="100" w:firstLine="180"/>
              <w:jc w:val="right"/>
              <w:rPr>
                <w:rFonts w:ascii="CAIXA Std Book" w:eastAsia="Times New Roman" w:hAnsi="CAIXA Std Book" w:cs="Calibri"/>
                <w:color w:val="005CA9"/>
                <w:sz w:val="18"/>
                <w:szCs w:val="18"/>
              </w:rPr>
            </w:pPr>
            <w:r>
              <w:rPr>
                <w:rFonts w:ascii="CAIXA Std Book" w:hAnsi="CAIXA Std Book" w:cs="Arial"/>
                <w:color w:val="005CA9"/>
                <w:sz w:val="18"/>
                <w:szCs w:val="18"/>
              </w:rPr>
              <w:t>2.560.868</w:t>
            </w:r>
          </w:p>
        </w:tc>
        <w:tc>
          <w:tcPr>
            <w:tcW w:w="640" w:type="pct"/>
            <w:vAlign w:val="center"/>
            <w:hideMark/>
          </w:tcPr>
          <w:p w14:paraId="630E7A6D"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2.471.995</w:t>
            </w:r>
          </w:p>
        </w:tc>
        <w:tc>
          <w:tcPr>
            <w:tcW w:w="640" w:type="pct"/>
            <w:noWrap/>
            <w:vAlign w:val="center"/>
            <w:hideMark/>
          </w:tcPr>
          <w:p w14:paraId="3D7B846F" w14:textId="0B3D7A48" w:rsidR="00D6699C" w:rsidRPr="00D6699C" w:rsidRDefault="0016788D" w:rsidP="00D6699C">
            <w:pPr>
              <w:jc w:val="right"/>
              <w:rPr>
                <w:rFonts w:ascii="CAIXA Std Book" w:eastAsia="Times New Roman" w:hAnsi="CAIXA Std Book" w:cs="Calibri"/>
                <w:color w:val="005CA9"/>
                <w:sz w:val="18"/>
                <w:szCs w:val="18"/>
              </w:rPr>
            </w:pPr>
            <w:r>
              <w:rPr>
                <w:rFonts w:ascii="CAIXA Std Book" w:hAnsi="CAIXA Std Book" w:cs="Arial"/>
                <w:color w:val="005CA9"/>
                <w:sz w:val="18"/>
                <w:szCs w:val="18"/>
              </w:rPr>
              <w:t>2.560.868</w:t>
            </w:r>
          </w:p>
        </w:tc>
        <w:tc>
          <w:tcPr>
            <w:tcW w:w="640" w:type="pct"/>
            <w:noWrap/>
            <w:vAlign w:val="center"/>
            <w:hideMark/>
          </w:tcPr>
          <w:p w14:paraId="46947230"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2.471.995</w:t>
            </w:r>
          </w:p>
        </w:tc>
      </w:tr>
      <w:tr w:rsidR="00D6699C" w:rsidRPr="00D6699C" w14:paraId="1DF44DDF" w14:textId="77777777" w:rsidTr="00AC22E0">
        <w:trPr>
          <w:trHeight w:val="283"/>
        </w:trPr>
        <w:tc>
          <w:tcPr>
            <w:tcW w:w="2255" w:type="pct"/>
            <w:vAlign w:val="center"/>
            <w:hideMark/>
          </w:tcPr>
          <w:p w14:paraId="79F2CAE5" w14:textId="77777777" w:rsidR="00D6699C" w:rsidRPr="00D6699C" w:rsidRDefault="00D6699C" w:rsidP="00D6699C">
            <w:pPr>
              <w:ind w:firstLineChars="100" w:firstLine="180"/>
              <w:rPr>
                <w:rFonts w:ascii="CAIXA Std Book" w:eastAsia="Times New Roman" w:hAnsi="CAIXA Std Book" w:cs="Calibri"/>
                <w:color w:val="005CA9"/>
                <w:sz w:val="18"/>
                <w:szCs w:val="18"/>
              </w:rPr>
            </w:pPr>
            <w:r w:rsidRPr="00D6699C">
              <w:rPr>
                <w:rFonts w:ascii="CAIXA Std Book" w:eastAsia="Times New Roman" w:hAnsi="CAIXA Std Book" w:cs="Calibri"/>
                <w:color w:val="005CA9"/>
                <w:sz w:val="18"/>
                <w:szCs w:val="18"/>
              </w:rPr>
              <w:t>Fundo da Marinha Mercante</w:t>
            </w:r>
          </w:p>
        </w:tc>
        <w:tc>
          <w:tcPr>
            <w:tcW w:w="825" w:type="pct"/>
            <w:vAlign w:val="center"/>
            <w:hideMark/>
          </w:tcPr>
          <w:p w14:paraId="725EB1E4" w14:textId="626B70A8" w:rsidR="00D6699C" w:rsidRPr="00D6699C" w:rsidRDefault="00B61980" w:rsidP="00B61980">
            <w:pPr>
              <w:ind w:firstLineChars="100" w:firstLine="180"/>
              <w:jc w:val="right"/>
              <w:rPr>
                <w:rFonts w:ascii="CAIXA Std Book" w:eastAsia="Times New Roman" w:hAnsi="CAIXA Std Book" w:cs="Calibri"/>
                <w:color w:val="005CA9"/>
                <w:sz w:val="18"/>
                <w:szCs w:val="18"/>
              </w:rPr>
            </w:pPr>
            <w:r>
              <w:rPr>
                <w:rFonts w:ascii="CAIXA Std Book" w:hAnsi="CAIXA Std Book" w:cs="Arial"/>
                <w:color w:val="005CA9"/>
                <w:sz w:val="18"/>
                <w:szCs w:val="18"/>
              </w:rPr>
              <w:t>2.105.480</w:t>
            </w:r>
          </w:p>
        </w:tc>
        <w:tc>
          <w:tcPr>
            <w:tcW w:w="640" w:type="pct"/>
            <w:vAlign w:val="center"/>
            <w:hideMark/>
          </w:tcPr>
          <w:p w14:paraId="35DB7E07"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2.143.054</w:t>
            </w:r>
          </w:p>
        </w:tc>
        <w:tc>
          <w:tcPr>
            <w:tcW w:w="640" w:type="pct"/>
            <w:noWrap/>
            <w:vAlign w:val="center"/>
            <w:hideMark/>
          </w:tcPr>
          <w:p w14:paraId="407E924F" w14:textId="295EE4DF" w:rsidR="00D6699C" w:rsidRPr="00D6699C" w:rsidRDefault="0016788D" w:rsidP="00D6699C">
            <w:pPr>
              <w:jc w:val="right"/>
              <w:rPr>
                <w:rFonts w:ascii="CAIXA Std Book" w:eastAsia="Times New Roman" w:hAnsi="CAIXA Std Book" w:cs="Calibri"/>
                <w:color w:val="005CA9"/>
                <w:sz w:val="18"/>
                <w:szCs w:val="18"/>
              </w:rPr>
            </w:pPr>
            <w:r>
              <w:rPr>
                <w:rFonts w:ascii="CAIXA Std Book" w:hAnsi="CAIXA Std Book" w:cs="Arial"/>
                <w:color w:val="005CA9"/>
                <w:sz w:val="18"/>
                <w:szCs w:val="18"/>
              </w:rPr>
              <w:t>2.105.480</w:t>
            </w:r>
          </w:p>
        </w:tc>
        <w:tc>
          <w:tcPr>
            <w:tcW w:w="640" w:type="pct"/>
            <w:noWrap/>
            <w:vAlign w:val="center"/>
            <w:hideMark/>
          </w:tcPr>
          <w:p w14:paraId="52BFAA47"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2.143.054</w:t>
            </w:r>
          </w:p>
        </w:tc>
      </w:tr>
      <w:tr w:rsidR="00D6699C" w:rsidRPr="00D6699C" w14:paraId="0CF17C6B" w14:textId="77777777" w:rsidTr="00AC22E0">
        <w:trPr>
          <w:trHeight w:val="283"/>
        </w:trPr>
        <w:tc>
          <w:tcPr>
            <w:tcW w:w="2255" w:type="pct"/>
            <w:vAlign w:val="center"/>
            <w:hideMark/>
          </w:tcPr>
          <w:p w14:paraId="405C22F4" w14:textId="77777777" w:rsidR="00D6699C" w:rsidRPr="00D6699C" w:rsidRDefault="00D6699C" w:rsidP="00D6699C">
            <w:pPr>
              <w:ind w:firstLineChars="100" w:firstLine="180"/>
              <w:rPr>
                <w:rFonts w:ascii="CAIXA Std Book" w:eastAsia="Times New Roman" w:hAnsi="CAIXA Std Book" w:cs="Calibri"/>
                <w:color w:val="005CA9"/>
                <w:sz w:val="18"/>
                <w:szCs w:val="18"/>
              </w:rPr>
            </w:pPr>
            <w:r w:rsidRPr="00D6699C">
              <w:rPr>
                <w:rFonts w:ascii="CAIXA Std Book" w:eastAsia="Times New Roman" w:hAnsi="CAIXA Std Book" w:cs="Calibri"/>
                <w:color w:val="005CA9"/>
                <w:sz w:val="18"/>
                <w:szCs w:val="18"/>
              </w:rPr>
              <w:t>Fundo de Desenvolvimento da Amazônia</w:t>
            </w:r>
          </w:p>
        </w:tc>
        <w:tc>
          <w:tcPr>
            <w:tcW w:w="825" w:type="pct"/>
            <w:vAlign w:val="center"/>
            <w:hideMark/>
          </w:tcPr>
          <w:p w14:paraId="29B5B44C" w14:textId="4ECDD0F2" w:rsidR="00D6699C" w:rsidRPr="00D6699C" w:rsidRDefault="00B61980" w:rsidP="00B61980">
            <w:pPr>
              <w:ind w:firstLineChars="100" w:firstLine="180"/>
              <w:jc w:val="right"/>
              <w:rPr>
                <w:rFonts w:ascii="CAIXA Std Book" w:eastAsia="Times New Roman" w:hAnsi="CAIXA Std Book" w:cs="Calibri"/>
                <w:color w:val="005CA9"/>
                <w:sz w:val="18"/>
                <w:szCs w:val="18"/>
              </w:rPr>
            </w:pPr>
            <w:r>
              <w:rPr>
                <w:rFonts w:ascii="CAIXA Std Book" w:hAnsi="CAIXA Std Book" w:cs="Arial"/>
                <w:color w:val="005CA9"/>
                <w:sz w:val="18"/>
                <w:szCs w:val="18"/>
              </w:rPr>
              <w:t>943.659</w:t>
            </w:r>
          </w:p>
        </w:tc>
        <w:tc>
          <w:tcPr>
            <w:tcW w:w="640" w:type="pct"/>
            <w:vAlign w:val="center"/>
            <w:hideMark/>
          </w:tcPr>
          <w:p w14:paraId="3AD2904A"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911.951</w:t>
            </w:r>
          </w:p>
        </w:tc>
        <w:tc>
          <w:tcPr>
            <w:tcW w:w="640" w:type="pct"/>
            <w:noWrap/>
            <w:vAlign w:val="center"/>
            <w:hideMark/>
          </w:tcPr>
          <w:p w14:paraId="3AF64811" w14:textId="7F287205" w:rsidR="00D6699C" w:rsidRPr="00D6699C" w:rsidRDefault="0016788D" w:rsidP="00D6699C">
            <w:pPr>
              <w:jc w:val="right"/>
              <w:rPr>
                <w:rFonts w:ascii="CAIXA Std Book" w:eastAsia="Times New Roman" w:hAnsi="CAIXA Std Book" w:cs="Calibri"/>
                <w:color w:val="005CA9"/>
                <w:sz w:val="18"/>
                <w:szCs w:val="18"/>
              </w:rPr>
            </w:pPr>
            <w:r>
              <w:rPr>
                <w:rFonts w:ascii="CAIXA Std Book" w:hAnsi="CAIXA Std Book" w:cs="Arial"/>
                <w:color w:val="005CA9"/>
                <w:sz w:val="18"/>
                <w:szCs w:val="18"/>
              </w:rPr>
              <w:t>943.659</w:t>
            </w:r>
          </w:p>
        </w:tc>
        <w:tc>
          <w:tcPr>
            <w:tcW w:w="640" w:type="pct"/>
            <w:noWrap/>
            <w:vAlign w:val="center"/>
            <w:hideMark/>
          </w:tcPr>
          <w:p w14:paraId="15377E35"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911.951</w:t>
            </w:r>
          </w:p>
        </w:tc>
      </w:tr>
      <w:tr w:rsidR="00D6699C" w:rsidRPr="00D6699C" w14:paraId="046968D5" w14:textId="77777777" w:rsidTr="00AC22E0">
        <w:trPr>
          <w:trHeight w:val="283"/>
        </w:trPr>
        <w:tc>
          <w:tcPr>
            <w:tcW w:w="2255" w:type="pct"/>
            <w:vAlign w:val="center"/>
            <w:hideMark/>
          </w:tcPr>
          <w:p w14:paraId="273EBB16" w14:textId="77777777" w:rsidR="00D6699C" w:rsidRPr="00D6699C" w:rsidRDefault="00D6699C" w:rsidP="00D6699C">
            <w:pPr>
              <w:ind w:firstLineChars="100" w:firstLine="180"/>
              <w:rPr>
                <w:rFonts w:ascii="CAIXA Std Book" w:eastAsia="Times New Roman" w:hAnsi="CAIXA Std Book" w:cs="Calibri"/>
                <w:color w:val="005CA9"/>
                <w:sz w:val="18"/>
                <w:szCs w:val="18"/>
              </w:rPr>
            </w:pPr>
            <w:r w:rsidRPr="00D6699C">
              <w:rPr>
                <w:rFonts w:ascii="CAIXA Std Book" w:eastAsia="Times New Roman" w:hAnsi="CAIXA Std Book" w:cs="Calibri"/>
                <w:color w:val="005CA9"/>
                <w:sz w:val="18"/>
                <w:szCs w:val="18"/>
              </w:rPr>
              <w:t>Fundo de Desenvolvimento do Nordeste</w:t>
            </w:r>
          </w:p>
        </w:tc>
        <w:tc>
          <w:tcPr>
            <w:tcW w:w="825" w:type="pct"/>
            <w:vAlign w:val="center"/>
            <w:hideMark/>
          </w:tcPr>
          <w:p w14:paraId="2C9C06E5" w14:textId="48D5ADAE" w:rsidR="00D6699C" w:rsidRPr="00D6699C" w:rsidRDefault="00B61980" w:rsidP="00B61980">
            <w:pPr>
              <w:ind w:firstLineChars="100" w:firstLine="180"/>
              <w:jc w:val="right"/>
              <w:rPr>
                <w:rFonts w:ascii="CAIXA Std Book" w:eastAsia="Times New Roman" w:hAnsi="CAIXA Std Book" w:cs="Calibri"/>
                <w:color w:val="005CA9"/>
                <w:sz w:val="18"/>
                <w:szCs w:val="18"/>
              </w:rPr>
            </w:pPr>
            <w:r>
              <w:rPr>
                <w:rFonts w:ascii="CAIXA Std Book" w:hAnsi="CAIXA Std Book" w:cs="Arial"/>
                <w:color w:val="005CA9"/>
                <w:sz w:val="18"/>
                <w:szCs w:val="18"/>
              </w:rPr>
              <w:t>329.044</w:t>
            </w:r>
          </w:p>
        </w:tc>
        <w:tc>
          <w:tcPr>
            <w:tcW w:w="640" w:type="pct"/>
            <w:vAlign w:val="center"/>
            <w:hideMark/>
          </w:tcPr>
          <w:p w14:paraId="78C1591A"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345.608</w:t>
            </w:r>
          </w:p>
        </w:tc>
        <w:tc>
          <w:tcPr>
            <w:tcW w:w="640" w:type="pct"/>
            <w:noWrap/>
            <w:vAlign w:val="center"/>
            <w:hideMark/>
          </w:tcPr>
          <w:p w14:paraId="2C843973" w14:textId="384FEC65" w:rsidR="00D6699C" w:rsidRPr="00D6699C" w:rsidRDefault="0016788D" w:rsidP="00D6699C">
            <w:pPr>
              <w:jc w:val="right"/>
              <w:rPr>
                <w:rFonts w:ascii="CAIXA Std Book" w:eastAsia="Times New Roman" w:hAnsi="CAIXA Std Book" w:cs="Calibri"/>
                <w:color w:val="005CA9"/>
                <w:sz w:val="18"/>
                <w:szCs w:val="18"/>
              </w:rPr>
            </w:pPr>
            <w:r>
              <w:rPr>
                <w:rFonts w:ascii="CAIXA Std Book" w:hAnsi="CAIXA Std Book" w:cs="Arial"/>
                <w:color w:val="005CA9"/>
                <w:sz w:val="18"/>
                <w:szCs w:val="18"/>
              </w:rPr>
              <w:t>329.044</w:t>
            </w:r>
          </w:p>
        </w:tc>
        <w:tc>
          <w:tcPr>
            <w:tcW w:w="640" w:type="pct"/>
            <w:noWrap/>
            <w:vAlign w:val="center"/>
            <w:hideMark/>
          </w:tcPr>
          <w:p w14:paraId="679CC61E"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345.608</w:t>
            </w:r>
          </w:p>
        </w:tc>
      </w:tr>
      <w:tr w:rsidR="00D6699C" w:rsidRPr="00D6699C" w14:paraId="2FED70DF" w14:textId="77777777" w:rsidTr="00AC22E0">
        <w:trPr>
          <w:trHeight w:val="283"/>
        </w:trPr>
        <w:tc>
          <w:tcPr>
            <w:tcW w:w="2255" w:type="pct"/>
            <w:vAlign w:val="center"/>
            <w:hideMark/>
          </w:tcPr>
          <w:p w14:paraId="5AE7777D" w14:textId="77777777" w:rsidR="00D6699C" w:rsidRPr="00D6699C" w:rsidRDefault="00D6699C" w:rsidP="00D6699C">
            <w:pPr>
              <w:ind w:firstLineChars="100" w:firstLine="180"/>
              <w:rPr>
                <w:rFonts w:ascii="CAIXA Std Book" w:eastAsia="Times New Roman" w:hAnsi="CAIXA Std Book" w:cs="Calibri"/>
                <w:color w:val="005CA9"/>
                <w:sz w:val="18"/>
                <w:szCs w:val="18"/>
              </w:rPr>
            </w:pPr>
            <w:r w:rsidRPr="00D6699C">
              <w:rPr>
                <w:rFonts w:ascii="CAIXA Std Book" w:eastAsia="Times New Roman" w:hAnsi="CAIXA Std Book" w:cs="Calibri"/>
                <w:color w:val="005CA9"/>
                <w:sz w:val="18"/>
                <w:szCs w:val="18"/>
              </w:rPr>
              <w:t>Outras</w:t>
            </w:r>
          </w:p>
        </w:tc>
        <w:tc>
          <w:tcPr>
            <w:tcW w:w="825" w:type="pct"/>
            <w:vAlign w:val="center"/>
            <w:hideMark/>
          </w:tcPr>
          <w:p w14:paraId="7CDFD484" w14:textId="4874B6EA" w:rsidR="00D6699C" w:rsidRPr="00D6699C" w:rsidRDefault="00B61980" w:rsidP="00B61980">
            <w:pPr>
              <w:ind w:firstLineChars="100" w:firstLine="180"/>
              <w:jc w:val="right"/>
              <w:rPr>
                <w:rFonts w:ascii="CAIXA Std Book" w:eastAsia="Times New Roman" w:hAnsi="CAIXA Std Book" w:cs="Calibri"/>
                <w:color w:val="005CA9"/>
                <w:sz w:val="18"/>
                <w:szCs w:val="18"/>
              </w:rPr>
            </w:pPr>
            <w:r>
              <w:rPr>
                <w:rFonts w:ascii="CAIXA Std Book" w:hAnsi="CAIXA Std Book" w:cs="Arial"/>
                <w:color w:val="005CA9"/>
                <w:sz w:val="18"/>
                <w:szCs w:val="18"/>
              </w:rPr>
              <w:t>705.954</w:t>
            </w:r>
          </w:p>
        </w:tc>
        <w:tc>
          <w:tcPr>
            <w:tcW w:w="640" w:type="pct"/>
            <w:vAlign w:val="center"/>
            <w:hideMark/>
          </w:tcPr>
          <w:p w14:paraId="31E8D18D"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657.048</w:t>
            </w:r>
          </w:p>
        </w:tc>
        <w:tc>
          <w:tcPr>
            <w:tcW w:w="640" w:type="pct"/>
            <w:noWrap/>
            <w:vAlign w:val="center"/>
            <w:hideMark/>
          </w:tcPr>
          <w:p w14:paraId="4BBBE2F7" w14:textId="668238A8" w:rsidR="00D6699C" w:rsidRPr="00D6699C" w:rsidRDefault="0016788D" w:rsidP="00D6699C">
            <w:pPr>
              <w:jc w:val="right"/>
              <w:rPr>
                <w:rFonts w:ascii="CAIXA Std Book" w:eastAsia="Times New Roman" w:hAnsi="CAIXA Std Book" w:cs="Calibri"/>
                <w:color w:val="005CA9"/>
                <w:sz w:val="18"/>
                <w:szCs w:val="18"/>
              </w:rPr>
            </w:pPr>
            <w:r>
              <w:rPr>
                <w:rFonts w:ascii="CAIXA Std Book" w:hAnsi="CAIXA Std Book" w:cs="Arial"/>
                <w:color w:val="005CA9"/>
                <w:sz w:val="18"/>
                <w:szCs w:val="18"/>
              </w:rPr>
              <w:t>705.954</w:t>
            </w:r>
          </w:p>
        </w:tc>
        <w:tc>
          <w:tcPr>
            <w:tcW w:w="640" w:type="pct"/>
            <w:noWrap/>
            <w:vAlign w:val="center"/>
            <w:hideMark/>
          </w:tcPr>
          <w:p w14:paraId="01FF0848"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657.048</w:t>
            </w:r>
          </w:p>
        </w:tc>
      </w:tr>
      <w:tr w:rsidR="00D6699C" w:rsidRPr="00D6699C" w14:paraId="32CA7284" w14:textId="77777777" w:rsidTr="00CD32C5">
        <w:trPr>
          <w:trHeight w:val="283"/>
        </w:trPr>
        <w:tc>
          <w:tcPr>
            <w:tcW w:w="2255" w:type="pct"/>
            <w:tcBorders>
              <w:bottom w:val="single" w:sz="4" w:space="0" w:color="FFFFFF" w:themeColor="background1"/>
            </w:tcBorders>
            <w:shd w:val="clear" w:color="000000" w:fill="D0E0E3"/>
            <w:vAlign w:val="center"/>
            <w:hideMark/>
          </w:tcPr>
          <w:p w14:paraId="430FF621" w14:textId="77777777" w:rsidR="00D6699C" w:rsidRPr="00D6699C" w:rsidRDefault="00D6699C" w:rsidP="00D6699C">
            <w:pPr>
              <w:rPr>
                <w:rFonts w:ascii="CAIXA Std Book" w:eastAsia="Times New Roman" w:hAnsi="CAIXA Std Book" w:cs="Calibri"/>
                <w:b/>
                <w:bCs/>
                <w:color w:val="005CA9"/>
                <w:sz w:val="18"/>
                <w:szCs w:val="18"/>
              </w:rPr>
            </w:pPr>
            <w:r w:rsidRPr="00D6699C">
              <w:rPr>
                <w:rFonts w:ascii="CAIXA Std Book" w:eastAsia="Times New Roman" w:hAnsi="CAIXA Std Book" w:cs="Calibri"/>
                <w:b/>
                <w:bCs/>
                <w:color w:val="005CA9"/>
                <w:sz w:val="18"/>
                <w:szCs w:val="18"/>
              </w:rPr>
              <w:t>Captações no mercado aberto</w:t>
            </w:r>
          </w:p>
        </w:tc>
        <w:tc>
          <w:tcPr>
            <w:tcW w:w="825" w:type="pct"/>
            <w:tcBorders>
              <w:bottom w:val="single" w:sz="4" w:space="0" w:color="FFFFFF" w:themeColor="background1"/>
            </w:tcBorders>
            <w:shd w:val="clear" w:color="000000" w:fill="D0E0E3"/>
            <w:vAlign w:val="center"/>
            <w:hideMark/>
          </w:tcPr>
          <w:p w14:paraId="566215AC" w14:textId="70DF182A" w:rsidR="00D6699C" w:rsidRPr="00D6699C" w:rsidRDefault="00B61980" w:rsidP="00D6699C">
            <w:pPr>
              <w:jc w:val="right"/>
              <w:rPr>
                <w:rFonts w:ascii="CAIXA Std Book" w:eastAsia="Times New Roman" w:hAnsi="CAIXA Std Book" w:cs="Calibri"/>
                <w:b/>
                <w:bCs/>
                <w:color w:val="005CA9"/>
                <w:sz w:val="18"/>
                <w:szCs w:val="18"/>
              </w:rPr>
            </w:pPr>
            <w:r>
              <w:rPr>
                <w:rFonts w:ascii="CAIXA Std Book" w:hAnsi="CAIXA Std Book" w:cs="Arial"/>
                <w:b/>
                <w:bCs/>
                <w:color w:val="005CA9"/>
                <w:sz w:val="18"/>
                <w:szCs w:val="18"/>
              </w:rPr>
              <w:t>257.080.281</w:t>
            </w:r>
          </w:p>
        </w:tc>
        <w:tc>
          <w:tcPr>
            <w:tcW w:w="640" w:type="pct"/>
            <w:tcBorders>
              <w:bottom w:val="single" w:sz="4" w:space="0" w:color="FFFFFF" w:themeColor="background1"/>
            </w:tcBorders>
            <w:shd w:val="clear" w:color="000000" w:fill="D0E0E3"/>
            <w:vAlign w:val="center"/>
            <w:hideMark/>
          </w:tcPr>
          <w:p w14:paraId="0BE63E7B" w14:textId="77777777" w:rsidR="00D6699C" w:rsidRPr="00D6699C" w:rsidRDefault="00D6699C" w:rsidP="00D6699C">
            <w:pPr>
              <w:jc w:val="right"/>
              <w:rPr>
                <w:rFonts w:ascii="CAIXA Std Book" w:eastAsia="Times New Roman" w:hAnsi="CAIXA Std Book" w:cs="Calibri"/>
                <w:b/>
                <w:bCs/>
                <w:color w:val="005CA9"/>
                <w:sz w:val="18"/>
                <w:szCs w:val="18"/>
              </w:rPr>
            </w:pPr>
            <w:r w:rsidRPr="00D6699C">
              <w:rPr>
                <w:rFonts w:ascii="CAIXA Std Book" w:eastAsia="Times New Roman" w:hAnsi="CAIXA Std Book" w:cs="Arial"/>
                <w:b/>
                <w:bCs/>
                <w:color w:val="005CA9"/>
                <w:sz w:val="18"/>
                <w:szCs w:val="18"/>
              </w:rPr>
              <w:t>199.920.878</w:t>
            </w:r>
          </w:p>
        </w:tc>
        <w:tc>
          <w:tcPr>
            <w:tcW w:w="640" w:type="pct"/>
            <w:tcBorders>
              <w:bottom w:val="single" w:sz="4" w:space="0" w:color="FFFFFF" w:themeColor="background1"/>
            </w:tcBorders>
            <w:shd w:val="clear" w:color="000000" w:fill="D0E0E3"/>
            <w:noWrap/>
            <w:vAlign w:val="center"/>
            <w:hideMark/>
          </w:tcPr>
          <w:p w14:paraId="1AF7A3BE" w14:textId="060510D7" w:rsidR="00D6699C" w:rsidRPr="00D6699C" w:rsidRDefault="0016788D" w:rsidP="00D6699C">
            <w:pPr>
              <w:jc w:val="right"/>
              <w:rPr>
                <w:rFonts w:ascii="CAIXA Std Book" w:eastAsia="Times New Roman" w:hAnsi="CAIXA Std Book" w:cs="Calibri"/>
                <w:b/>
                <w:bCs/>
                <w:color w:val="005CA9"/>
                <w:sz w:val="18"/>
                <w:szCs w:val="18"/>
              </w:rPr>
            </w:pPr>
            <w:r>
              <w:rPr>
                <w:rFonts w:ascii="CAIXA Std Book" w:hAnsi="CAIXA Std Book" w:cs="Arial"/>
                <w:b/>
                <w:bCs/>
                <w:color w:val="005CA9"/>
                <w:sz w:val="18"/>
                <w:szCs w:val="18"/>
              </w:rPr>
              <w:t>255.583.015</w:t>
            </w:r>
          </w:p>
        </w:tc>
        <w:tc>
          <w:tcPr>
            <w:tcW w:w="640" w:type="pct"/>
            <w:tcBorders>
              <w:bottom w:val="single" w:sz="4" w:space="0" w:color="FFFFFF" w:themeColor="background1"/>
            </w:tcBorders>
            <w:shd w:val="clear" w:color="000000" w:fill="D0E0E3"/>
            <w:noWrap/>
            <w:vAlign w:val="center"/>
            <w:hideMark/>
          </w:tcPr>
          <w:p w14:paraId="29516633" w14:textId="77777777" w:rsidR="00D6699C" w:rsidRPr="00D6699C" w:rsidRDefault="00D6699C" w:rsidP="00D6699C">
            <w:pPr>
              <w:jc w:val="right"/>
              <w:rPr>
                <w:rFonts w:ascii="CAIXA Std Book" w:eastAsia="Times New Roman" w:hAnsi="CAIXA Std Book" w:cs="Calibri"/>
                <w:b/>
                <w:bCs/>
                <w:color w:val="005CA9"/>
                <w:sz w:val="18"/>
                <w:szCs w:val="18"/>
              </w:rPr>
            </w:pPr>
            <w:r w:rsidRPr="00D6699C">
              <w:rPr>
                <w:rFonts w:ascii="CAIXA Std Book" w:eastAsia="Times New Roman" w:hAnsi="CAIXA Std Book" w:cs="Arial"/>
                <w:b/>
                <w:bCs/>
                <w:color w:val="005CA9"/>
                <w:sz w:val="18"/>
                <w:szCs w:val="18"/>
              </w:rPr>
              <w:t>198.441.258</w:t>
            </w:r>
          </w:p>
        </w:tc>
      </w:tr>
      <w:tr w:rsidR="00D6699C" w:rsidRPr="00D6699C" w14:paraId="29862824" w14:textId="77777777" w:rsidTr="00CD32C5">
        <w:trPr>
          <w:trHeight w:val="283"/>
        </w:trPr>
        <w:tc>
          <w:tcPr>
            <w:tcW w:w="2255" w:type="pct"/>
            <w:tcBorders>
              <w:top w:val="single" w:sz="4" w:space="0" w:color="FFFFFF" w:themeColor="background1"/>
            </w:tcBorders>
            <w:shd w:val="clear" w:color="000000" w:fill="D0E0E3"/>
            <w:vAlign w:val="center"/>
            <w:hideMark/>
          </w:tcPr>
          <w:p w14:paraId="1B981071" w14:textId="77777777" w:rsidR="00D6699C" w:rsidRPr="00D6699C" w:rsidRDefault="00D6699C" w:rsidP="00D6699C">
            <w:pPr>
              <w:ind w:firstLineChars="100" w:firstLine="181"/>
              <w:rPr>
                <w:rFonts w:ascii="CAIXA Std Book" w:eastAsia="Times New Roman" w:hAnsi="CAIXA Std Book" w:cs="Calibri"/>
                <w:b/>
                <w:bCs/>
                <w:color w:val="005CA9"/>
                <w:sz w:val="18"/>
                <w:szCs w:val="18"/>
              </w:rPr>
            </w:pPr>
            <w:r w:rsidRPr="00D6699C">
              <w:rPr>
                <w:rFonts w:ascii="CAIXA Std Book" w:eastAsia="Times New Roman" w:hAnsi="CAIXA Std Book" w:cs="Calibri"/>
                <w:b/>
                <w:bCs/>
                <w:color w:val="005CA9"/>
                <w:sz w:val="18"/>
                <w:szCs w:val="18"/>
              </w:rPr>
              <w:t>Carteira própria</w:t>
            </w:r>
          </w:p>
        </w:tc>
        <w:tc>
          <w:tcPr>
            <w:tcW w:w="825" w:type="pct"/>
            <w:tcBorders>
              <w:top w:val="single" w:sz="4" w:space="0" w:color="FFFFFF" w:themeColor="background1"/>
            </w:tcBorders>
            <w:shd w:val="clear" w:color="000000" w:fill="D0E0E3"/>
            <w:vAlign w:val="center"/>
            <w:hideMark/>
          </w:tcPr>
          <w:p w14:paraId="33BB7467" w14:textId="088F49ED" w:rsidR="00D6699C" w:rsidRPr="00D6699C" w:rsidRDefault="00B61980" w:rsidP="00D6699C">
            <w:pPr>
              <w:jc w:val="right"/>
              <w:rPr>
                <w:rFonts w:ascii="CAIXA Std Book" w:eastAsia="Times New Roman" w:hAnsi="CAIXA Std Book" w:cs="Calibri"/>
                <w:b/>
                <w:bCs/>
                <w:color w:val="005CA9"/>
                <w:sz w:val="18"/>
                <w:szCs w:val="18"/>
              </w:rPr>
            </w:pPr>
            <w:r>
              <w:rPr>
                <w:rFonts w:ascii="CAIXA Std Book" w:hAnsi="CAIXA Std Book" w:cs="Arial"/>
                <w:b/>
                <w:bCs/>
                <w:color w:val="005CA9"/>
                <w:sz w:val="18"/>
                <w:szCs w:val="18"/>
              </w:rPr>
              <w:t>191.447.422</w:t>
            </w:r>
          </w:p>
        </w:tc>
        <w:tc>
          <w:tcPr>
            <w:tcW w:w="640" w:type="pct"/>
            <w:tcBorders>
              <w:top w:val="single" w:sz="4" w:space="0" w:color="FFFFFF" w:themeColor="background1"/>
            </w:tcBorders>
            <w:shd w:val="clear" w:color="000000" w:fill="D0E0E3"/>
            <w:vAlign w:val="center"/>
            <w:hideMark/>
          </w:tcPr>
          <w:p w14:paraId="396D537B" w14:textId="77777777" w:rsidR="00D6699C" w:rsidRPr="00D6699C" w:rsidRDefault="00D6699C" w:rsidP="00D6699C">
            <w:pPr>
              <w:jc w:val="right"/>
              <w:rPr>
                <w:rFonts w:ascii="CAIXA Std Book" w:eastAsia="Times New Roman" w:hAnsi="CAIXA Std Book" w:cs="Calibri"/>
                <w:b/>
                <w:bCs/>
                <w:color w:val="005CA9"/>
                <w:sz w:val="18"/>
                <w:szCs w:val="18"/>
              </w:rPr>
            </w:pPr>
            <w:r w:rsidRPr="00D6699C">
              <w:rPr>
                <w:rFonts w:ascii="CAIXA Std Book" w:eastAsia="Times New Roman" w:hAnsi="CAIXA Std Book" w:cs="Arial"/>
                <w:b/>
                <w:bCs/>
                <w:color w:val="005CA9"/>
                <w:sz w:val="18"/>
                <w:szCs w:val="18"/>
              </w:rPr>
              <w:t>158.673.837</w:t>
            </w:r>
          </w:p>
        </w:tc>
        <w:tc>
          <w:tcPr>
            <w:tcW w:w="640" w:type="pct"/>
            <w:tcBorders>
              <w:top w:val="single" w:sz="4" w:space="0" w:color="FFFFFF" w:themeColor="background1"/>
            </w:tcBorders>
            <w:shd w:val="clear" w:color="000000" w:fill="D0E0E3"/>
            <w:noWrap/>
            <w:vAlign w:val="center"/>
            <w:hideMark/>
          </w:tcPr>
          <w:p w14:paraId="32287B23" w14:textId="0D1189F1" w:rsidR="00D6699C" w:rsidRPr="00D6699C" w:rsidRDefault="0016788D" w:rsidP="00D6699C">
            <w:pPr>
              <w:jc w:val="right"/>
              <w:rPr>
                <w:rFonts w:ascii="CAIXA Std Book" w:eastAsia="Times New Roman" w:hAnsi="CAIXA Std Book" w:cs="Calibri"/>
                <w:b/>
                <w:bCs/>
                <w:color w:val="005CA9"/>
                <w:sz w:val="18"/>
                <w:szCs w:val="18"/>
              </w:rPr>
            </w:pPr>
            <w:r>
              <w:rPr>
                <w:rFonts w:ascii="CAIXA Std Book" w:hAnsi="CAIXA Std Book" w:cs="Arial"/>
                <w:b/>
                <w:bCs/>
                <w:color w:val="005CA9"/>
                <w:sz w:val="18"/>
                <w:szCs w:val="18"/>
              </w:rPr>
              <w:t>189.950.156</w:t>
            </w:r>
          </w:p>
        </w:tc>
        <w:tc>
          <w:tcPr>
            <w:tcW w:w="640" w:type="pct"/>
            <w:tcBorders>
              <w:top w:val="single" w:sz="4" w:space="0" w:color="FFFFFF" w:themeColor="background1"/>
            </w:tcBorders>
            <w:shd w:val="clear" w:color="000000" w:fill="D0E0E3"/>
            <w:noWrap/>
            <w:vAlign w:val="center"/>
            <w:hideMark/>
          </w:tcPr>
          <w:p w14:paraId="5608C54E" w14:textId="77777777" w:rsidR="00D6699C" w:rsidRPr="00D6699C" w:rsidRDefault="00D6699C" w:rsidP="00D6699C">
            <w:pPr>
              <w:jc w:val="right"/>
              <w:rPr>
                <w:rFonts w:ascii="CAIXA Std Book" w:eastAsia="Times New Roman" w:hAnsi="CAIXA Std Book" w:cs="Calibri"/>
                <w:b/>
                <w:bCs/>
                <w:color w:val="005CA9"/>
                <w:sz w:val="18"/>
                <w:szCs w:val="18"/>
              </w:rPr>
            </w:pPr>
            <w:r w:rsidRPr="00D6699C">
              <w:rPr>
                <w:rFonts w:ascii="CAIXA Std Book" w:eastAsia="Times New Roman" w:hAnsi="CAIXA Std Book" w:cs="Arial"/>
                <w:b/>
                <w:bCs/>
                <w:color w:val="005CA9"/>
                <w:sz w:val="18"/>
                <w:szCs w:val="18"/>
              </w:rPr>
              <w:t>157.194.217</w:t>
            </w:r>
          </w:p>
        </w:tc>
      </w:tr>
      <w:tr w:rsidR="00D6699C" w:rsidRPr="00D6699C" w14:paraId="57671A5C" w14:textId="77777777" w:rsidTr="00AC22E0">
        <w:trPr>
          <w:trHeight w:val="283"/>
        </w:trPr>
        <w:tc>
          <w:tcPr>
            <w:tcW w:w="2255" w:type="pct"/>
            <w:vAlign w:val="center"/>
            <w:hideMark/>
          </w:tcPr>
          <w:p w14:paraId="1ABEA8A6" w14:textId="77777777" w:rsidR="00D6699C" w:rsidRPr="00D6699C" w:rsidRDefault="00D6699C" w:rsidP="00D6699C">
            <w:pPr>
              <w:ind w:firstLineChars="200" w:firstLine="360"/>
              <w:rPr>
                <w:rFonts w:ascii="CAIXA Std Book" w:eastAsia="Times New Roman" w:hAnsi="CAIXA Std Book" w:cs="Calibri"/>
                <w:color w:val="005CA9"/>
                <w:sz w:val="18"/>
                <w:szCs w:val="18"/>
              </w:rPr>
            </w:pPr>
            <w:r w:rsidRPr="00D6699C">
              <w:rPr>
                <w:rFonts w:ascii="CAIXA Std Book" w:eastAsia="Times New Roman" w:hAnsi="CAIXA Std Book" w:cs="Calibri"/>
                <w:color w:val="005CA9"/>
                <w:sz w:val="18"/>
                <w:szCs w:val="18"/>
              </w:rPr>
              <w:t xml:space="preserve">Letras financeiras do tesouro </w:t>
            </w:r>
          </w:p>
        </w:tc>
        <w:tc>
          <w:tcPr>
            <w:tcW w:w="825" w:type="pct"/>
            <w:vAlign w:val="center"/>
            <w:hideMark/>
          </w:tcPr>
          <w:p w14:paraId="1F58AB4B" w14:textId="7C13CFAD" w:rsidR="00D6699C" w:rsidRPr="00D6699C" w:rsidRDefault="00B61980" w:rsidP="00B61980">
            <w:pPr>
              <w:ind w:firstLineChars="200" w:firstLine="360"/>
              <w:jc w:val="right"/>
              <w:rPr>
                <w:rFonts w:ascii="CAIXA Std Book" w:eastAsia="Times New Roman" w:hAnsi="CAIXA Std Book" w:cs="Calibri"/>
                <w:color w:val="005CA9"/>
                <w:sz w:val="18"/>
                <w:szCs w:val="18"/>
              </w:rPr>
            </w:pPr>
            <w:r>
              <w:rPr>
                <w:rFonts w:ascii="CAIXA Std Book" w:hAnsi="CAIXA Std Book" w:cs="Arial"/>
                <w:color w:val="005CA9"/>
                <w:sz w:val="18"/>
                <w:szCs w:val="18"/>
              </w:rPr>
              <w:t>125.150.624</w:t>
            </w:r>
          </w:p>
        </w:tc>
        <w:tc>
          <w:tcPr>
            <w:tcW w:w="640" w:type="pct"/>
            <w:vAlign w:val="center"/>
            <w:hideMark/>
          </w:tcPr>
          <w:p w14:paraId="27B01E8F"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85.886.264</w:t>
            </w:r>
          </w:p>
        </w:tc>
        <w:tc>
          <w:tcPr>
            <w:tcW w:w="640" w:type="pct"/>
            <w:noWrap/>
            <w:vAlign w:val="center"/>
            <w:hideMark/>
          </w:tcPr>
          <w:p w14:paraId="2A912446" w14:textId="26859E8B" w:rsidR="00D6699C" w:rsidRPr="00D6699C" w:rsidRDefault="0016788D" w:rsidP="00D6699C">
            <w:pPr>
              <w:jc w:val="right"/>
              <w:rPr>
                <w:rFonts w:ascii="CAIXA Std Book" w:eastAsia="Times New Roman" w:hAnsi="CAIXA Std Book" w:cs="Calibri"/>
                <w:color w:val="005CA9"/>
                <w:sz w:val="18"/>
                <w:szCs w:val="18"/>
              </w:rPr>
            </w:pPr>
            <w:r>
              <w:rPr>
                <w:rFonts w:ascii="CAIXA Std Book" w:hAnsi="CAIXA Std Book" w:cs="Arial"/>
                <w:color w:val="005CA9"/>
                <w:sz w:val="18"/>
                <w:szCs w:val="18"/>
              </w:rPr>
              <w:t>124.101.594</w:t>
            </w:r>
          </w:p>
        </w:tc>
        <w:tc>
          <w:tcPr>
            <w:tcW w:w="640" w:type="pct"/>
            <w:noWrap/>
            <w:vAlign w:val="center"/>
            <w:hideMark/>
          </w:tcPr>
          <w:p w14:paraId="1D29607B"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85.695.223</w:t>
            </w:r>
          </w:p>
        </w:tc>
      </w:tr>
      <w:tr w:rsidR="00D6699C" w:rsidRPr="00D6699C" w14:paraId="7D1F0036" w14:textId="77777777" w:rsidTr="00AC22E0">
        <w:trPr>
          <w:trHeight w:val="283"/>
        </w:trPr>
        <w:tc>
          <w:tcPr>
            <w:tcW w:w="2255" w:type="pct"/>
            <w:vAlign w:val="center"/>
            <w:hideMark/>
          </w:tcPr>
          <w:p w14:paraId="296B26CC" w14:textId="77777777" w:rsidR="00D6699C" w:rsidRPr="00D6699C" w:rsidRDefault="00D6699C" w:rsidP="00D6699C">
            <w:pPr>
              <w:ind w:firstLineChars="200" w:firstLine="360"/>
              <w:rPr>
                <w:rFonts w:ascii="CAIXA Std Book" w:eastAsia="Times New Roman" w:hAnsi="CAIXA Std Book" w:cs="Calibri"/>
                <w:color w:val="005CA9"/>
                <w:sz w:val="18"/>
                <w:szCs w:val="18"/>
              </w:rPr>
            </w:pPr>
            <w:r w:rsidRPr="00D6699C">
              <w:rPr>
                <w:rFonts w:ascii="CAIXA Std Book" w:eastAsia="Times New Roman" w:hAnsi="CAIXA Std Book" w:cs="Calibri"/>
                <w:color w:val="005CA9"/>
                <w:sz w:val="18"/>
                <w:szCs w:val="18"/>
              </w:rPr>
              <w:t>Letras do tesouro nacional</w:t>
            </w:r>
          </w:p>
        </w:tc>
        <w:tc>
          <w:tcPr>
            <w:tcW w:w="825" w:type="pct"/>
            <w:vAlign w:val="center"/>
            <w:hideMark/>
          </w:tcPr>
          <w:p w14:paraId="0EBC1EC1" w14:textId="1F132419" w:rsidR="00D6699C" w:rsidRPr="00D6699C" w:rsidRDefault="00B61980" w:rsidP="00B61980">
            <w:pPr>
              <w:ind w:firstLineChars="200" w:firstLine="360"/>
              <w:jc w:val="right"/>
              <w:rPr>
                <w:rFonts w:ascii="CAIXA Std Book" w:eastAsia="Times New Roman" w:hAnsi="CAIXA Std Book" w:cs="Calibri"/>
                <w:color w:val="005CA9"/>
                <w:sz w:val="18"/>
                <w:szCs w:val="18"/>
              </w:rPr>
            </w:pPr>
            <w:r>
              <w:rPr>
                <w:rFonts w:ascii="CAIXA Std Book" w:hAnsi="CAIXA Std Book" w:cs="Arial"/>
                <w:color w:val="005CA9"/>
                <w:sz w:val="18"/>
                <w:szCs w:val="18"/>
              </w:rPr>
              <w:t>59.706.845</w:t>
            </w:r>
          </w:p>
        </w:tc>
        <w:tc>
          <w:tcPr>
            <w:tcW w:w="640" w:type="pct"/>
            <w:vAlign w:val="center"/>
            <w:hideMark/>
          </w:tcPr>
          <w:p w14:paraId="61F47FE5"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65.999.321</w:t>
            </w:r>
          </w:p>
        </w:tc>
        <w:tc>
          <w:tcPr>
            <w:tcW w:w="640" w:type="pct"/>
            <w:noWrap/>
            <w:vAlign w:val="center"/>
            <w:hideMark/>
          </w:tcPr>
          <w:p w14:paraId="7BDB4D5A" w14:textId="7D791F4C" w:rsidR="00D6699C" w:rsidRPr="00D6699C" w:rsidRDefault="0016788D" w:rsidP="00D6699C">
            <w:pPr>
              <w:jc w:val="right"/>
              <w:rPr>
                <w:rFonts w:ascii="CAIXA Std Book" w:eastAsia="Times New Roman" w:hAnsi="CAIXA Std Book" w:cs="Calibri"/>
                <w:color w:val="005CA9"/>
                <w:sz w:val="18"/>
                <w:szCs w:val="18"/>
              </w:rPr>
            </w:pPr>
            <w:r>
              <w:rPr>
                <w:rFonts w:ascii="CAIXA Std Book" w:hAnsi="CAIXA Std Book" w:cs="Arial"/>
                <w:color w:val="005CA9"/>
                <w:sz w:val="18"/>
                <w:szCs w:val="18"/>
              </w:rPr>
              <w:t>59.258.</w:t>
            </w:r>
            <w:r w:rsidR="00403547">
              <w:rPr>
                <w:rFonts w:ascii="CAIXA Std Book" w:hAnsi="CAIXA Std Book" w:cs="Arial"/>
                <w:color w:val="005CA9"/>
                <w:sz w:val="18"/>
                <w:szCs w:val="18"/>
              </w:rPr>
              <w:t>609</w:t>
            </w:r>
          </w:p>
        </w:tc>
        <w:tc>
          <w:tcPr>
            <w:tcW w:w="640" w:type="pct"/>
            <w:noWrap/>
            <w:vAlign w:val="center"/>
            <w:hideMark/>
          </w:tcPr>
          <w:p w14:paraId="27337BBE"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64.710.742</w:t>
            </w:r>
          </w:p>
        </w:tc>
      </w:tr>
      <w:tr w:rsidR="00D6699C" w:rsidRPr="00D6699C" w14:paraId="1566436F" w14:textId="77777777" w:rsidTr="00AC22E0">
        <w:trPr>
          <w:trHeight w:val="283"/>
        </w:trPr>
        <w:tc>
          <w:tcPr>
            <w:tcW w:w="2255" w:type="pct"/>
            <w:vAlign w:val="center"/>
            <w:hideMark/>
          </w:tcPr>
          <w:p w14:paraId="29580FCE" w14:textId="77777777" w:rsidR="00D6699C" w:rsidRPr="00D6699C" w:rsidRDefault="00D6699C" w:rsidP="00D6699C">
            <w:pPr>
              <w:ind w:firstLineChars="200" w:firstLine="360"/>
              <w:rPr>
                <w:rFonts w:ascii="CAIXA Std Book" w:eastAsia="Times New Roman" w:hAnsi="CAIXA Std Book" w:cs="Calibri"/>
                <w:color w:val="005CA9"/>
                <w:sz w:val="18"/>
                <w:szCs w:val="18"/>
              </w:rPr>
            </w:pPr>
            <w:r w:rsidRPr="00D6699C">
              <w:rPr>
                <w:rFonts w:ascii="CAIXA Std Book" w:eastAsia="Times New Roman" w:hAnsi="CAIXA Std Book" w:cs="Calibri"/>
                <w:color w:val="005CA9"/>
                <w:sz w:val="18"/>
                <w:szCs w:val="18"/>
              </w:rPr>
              <w:t>Debêntures</w:t>
            </w:r>
          </w:p>
        </w:tc>
        <w:tc>
          <w:tcPr>
            <w:tcW w:w="825" w:type="pct"/>
            <w:vAlign w:val="center"/>
            <w:hideMark/>
          </w:tcPr>
          <w:p w14:paraId="326312CD" w14:textId="3C5C9D7D" w:rsidR="00D6699C" w:rsidRPr="00D6699C" w:rsidRDefault="00B61980" w:rsidP="00B61980">
            <w:pPr>
              <w:ind w:firstLineChars="200" w:firstLine="360"/>
              <w:jc w:val="right"/>
              <w:rPr>
                <w:rFonts w:ascii="CAIXA Std Book" w:eastAsia="Times New Roman" w:hAnsi="CAIXA Std Book" w:cs="Calibri"/>
                <w:color w:val="005CA9"/>
                <w:sz w:val="18"/>
                <w:szCs w:val="18"/>
              </w:rPr>
            </w:pPr>
            <w:r>
              <w:rPr>
                <w:rFonts w:ascii="CAIXA Std Book" w:hAnsi="CAIXA Std Book" w:cs="Arial"/>
                <w:color w:val="005CA9"/>
                <w:sz w:val="18"/>
                <w:szCs w:val="18"/>
              </w:rPr>
              <w:t>6.568.677</w:t>
            </w:r>
          </w:p>
        </w:tc>
        <w:tc>
          <w:tcPr>
            <w:tcW w:w="640" w:type="pct"/>
            <w:vAlign w:val="center"/>
            <w:hideMark/>
          </w:tcPr>
          <w:p w14:paraId="1DD50875"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5.851.615</w:t>
            </w:r>
          </w:p>
        </w:tc>
        <w:tc>
          <w:tcPr>
            <w:tcW w:w="640" w:type="pct"/>
            <w:noWrap/>
            <w:vAlign w:val="center"/>
            <w:hideMark/>
          </w:tcPr>
          <w:p w14:paraId="10B23D02" w14:textId="58AC08E9" w:rsidR="00D6699C" w:rsidRPr="00D6699C" w:rsidRDefault="0016788D" w:rsidP="00D6699C">
            <w:pPr>
              <w:jc w:val="right"/>
              <w:rPr>
                <w:rFonts w:ascii="CAIXA Std Book" w:eastAsia="Times New Roman" w:hAnsi="CAIXA Std Book" w:cs="Calibri"/>
                <w:color w:val="005CA9"/>
                <w:sz w:val="18"/>
                <w:szCs w:val="18"/>
              </w:rPr>
            </w:pPr>
            <w:r>
              <w:rPr>
                <w:rFonts w:ascii="CAIXA Std Book" w:hAnsi="CAIXA Std Book" w:cs="Arial"/>
                <w:color w:val="005CA9"/>
                <w:sz w:val="18"/>
                <w:szCs w:val="18"/>
              </w:rPr>
              <w:t>6.568.677</w:t>
            </w:r>
          </w:p>
        </w:tc>
        <w:tc>
          <w:tcPr>
            <w:tcW w:w="640" w:type="pct"/>
            <w:noWrap/>
            <w:vAlign w:val="center"/>
            <w:hideMark/>
          </w:tcPr>
          <w:p w14:paraId="20DB3AAA"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5.851.615</w:t>
            </w:r>
          </w:p>
        </w:tc>
      </w:tr>
      <w:tr w:rsidR="00D6699C" w:rsidRPr="00D6699C" w14:paraId="6CE5FDC1" w14:textId="77777777" w:rsidTr="00AC22E0">
        <w:trPr>
          <w:trHeight w:val="283"/>
        </w:trPr>
        <w:tc>
          <w:tcPr>
            <w:tcW w:w="2255" w:type="pct"/>
            <w:vAlign w:val="center"/>
            <w:hideMark/>
          </w:tcPr>
          <w:p w14:paraId="0F35AB3B" w14:textId="77777777" w:rsidR="00D6699C" w:rsidRPr="00D6699C" w:rsidRDefault="00D6699C" w:rsidP="00D6699C">
            <w:pPr>
              <w:ind w:firstLineChars="200" w:firstLine="360"/>
              <w:rPr>
                <w:rFonts w:ascii="CAIXA Std Book" w:eastAsia="Times New Roman" w:hAnsi="CAIXA Std Book" w:cs="Calibri"/>
                <w:color w:val="005CA9"/>
                <w:sz w:val="18"/>
                <w:szCs w:val="18"/>
              </w:rPr>
            </w:pPr>
            <w:r w:rsidRPr="00D6699C">
              <w:rPr>
                <w:rFonts w:ascii="CAIXA Std Book" w:eastAsia="Times New Roman" w:hAnsi="CAIXA Std Book" w:cs="Calibri"/>
                <w:color w:val="005CA9"/>
                <w:sz w:val="18"/>
                <w:szCs w:val="18"/>
              </w:rPr>
              <w:t>Certificados de recebíveis imobiliários</w:t>
            </w:r>
          </w:p>
        </w:tc>
        <w:tc>
          <w:tcPr>
            <w:tcW w:w="825" w:type="pct"/>
            <w:vAlign w:val="center"/>
            <w:hideMark/>
          </w:tcPr>
          <w:p w14:paraId="18F6A8DD" w14:textId="111B810A" w:rsidR="00D6699C" w:rsidRPr="00D6699C" w:rsidRDefault="00B61980" w:rsidP="00B61980">
            <w:pPr>
              <w:ind w:firstLineChars="200" w:firstLine="360"/>
              <w:jc w:val="cente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w:t>
            </w:r>
          </w:p>
        </w:tc>
        <w:tc>
          <w:tcPr>
            <w:tcW w:w="640" w:type="pct"/>
            <w:vAlign w:val="center"/>
            <w:hideMark/>
          </w:tcPr>
          <w:p w14:paraId="49B8E320"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874.453</w:t>
            </w:r>
          </w:p>
        </w:tc>
        <w:tc>
          <w:tcPr>
            <w:tcW w:w="640" w:type="pct"/>
            <w:noWrap/>
            <w:vAlign w:val="center"/>
            <w:hideMark/>
          </w:tcPr>
          <w:p w14:paraId="54EE2F58" w14:textId="05B6F357" w:rsidR="00D6699C" w:rsidRPr="00D6699C" w:rsidRDefault="0016788D" w:rsidP="0016788D">
            <w:pPr>
              <w:jc w:val="cente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w:t>
            </w:r>
          </w:p>
        </w:tc>
        <w:tc>
          <w:tcPr>
            <w:tcW w:w="640" w:type="pct"/>
            <w:noWrap/>
            <w:vAlign w:val="center"/>
            <w:hideMark/>
          </w:tcPr>
          <w:p w14:paraId="509B3250"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874.453</w:t>
            </w:r>
          </w:p>
        </w:tc>
      </w:tr>
      <w:tr w:rsidR="00D6699C" w:rsidRPr="00D6699C" w14:paraId="09A04852" w14:textId="77777777" w:rsidTr="00AC22E0">
        <w:trPr>
          <w:trHeight w:val="283"/>
        </w:trPr>
        <w:tc>
          <w:tcPr>
            <w:tcW w:w="2255" w:type="pct"/>
            <w:vAlign w:val="center"/>
            <w:hideMark/>
          </w:tcPr>
          <w:p w14:paraId="4E44B505" w14:textId="77777777" w:rsidR="00D6699C" w:rsidRPr="00D6699C" w:rsidRDefault="00D6699C" w:rsidP="00D6699C">
            <w:pPr>
              <w:ind w:firstLineChars="200" w:firstLine="360"/>
              <w:rPr>
                <w:rFonts w:ascii="CAIXA Std Book" w:eastAsia="Times New Roman" w:hAnsi="CAIXA Std Book" w:cs="Calibri"/>
                <w:color w:val="005CA9"/>
                <w:sz w:val="18"/>
                <w:szCs w:val="18"/>
              </w:rPr>
            </w:pPr>
            <w:r w:rsidRPr="00D6699C">
              <w:rPr>
                <w:rFonts w:ascii="CAIXA Std Book" w:eastAsia="Times New Roman" w:hAnsi="CAIXA Std Book" w:cs="Calibri"/>
                <w:color w:val="005CA9"/>
                <w:sz w:val="18"/>
                <w:szCs w:val="18"/>
              </w:rPr>
              <w:t>Certificado de recebíveis do agronegócio</w:t>
            </w:r>
          </w:p>
        </w:tc>
        <w:tc>
          <w:tcPr>
            <w:tcW w:w="825" w:type="pct"/>
            <w:vAlign w:val="center"/>
            <w:hideMark/>
          </w:tcPr>
          <w:p w14:paraId="3CE16DD6" w14:textId="09AD58B3" w:rsidR="00D6699C" w:rsidRPr="00D6699C" w:rsidRDefault="00B61980" w:rsidP="00B61980">
            <w:pPr>
              <w:ind w:firstLineChars="200" w:firstLine="360"/>
              <w:jc w:val="right"/>
              <w:rPr>
                <w:rFonts w:ascii="CAIXA Std Book" w:eastAsia="Times New Roman" w:hAnsi="CAIXA Std Book" w:cs="Calibri"/>
                <w:color w:val="005CA9"/>
                <w:sz w:val="18"/>
                <w:szCs w:val="18"/>
              </w:rPr>
            </w:pPr>
            <w:r>
              <w:rPr>
                <w:rFonts w:ascii="CAIXA Std Book" w:hAnsi="CAIXA Std Book" w:cs="Arial"/>
                <w:color w:val="005CA9"/>
                <w:sz w:val="18"/>
                <w:szCs w:val="18"/>
              </w:rPr>
              <w:t>21.276</w:t>
            </w:r>
          </w:p>
        </w:tc>
        <w:tc>
          <w:tcPr>
            <w:tcW w:w="640" w:type="pct"/>
            <w:vAlign w:val="center"/>
            <w:hideMark/>
          </w:tcPr>
          <w:p w14:paraId="2F3F8F99"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62.184</w:t>
            </w:r>
          </w:p>
        </w:tc>
        <w:tc>
          <w:tcPr>
            <w:tcW w:w="640" w:type="pct"/>
            <w:noWrap/>
            <w:vAlign w:val="center"/>
            <w:hideMark/>
          </w:tcPr>
          <w:p w14:paraId="3474A6CA" w14:textId="1C2BA05F" w:rsidR="00D6699C" w:rsidRPr="00D6699C" w:rsidRDefault="0016788D" w:rsidP="00D6699C">
            <w:pPr>
              <w:jc w:val="right"/>
              <w:rPr>
                <w:rFonts w:ascii="CAIXA Std Book" w:eastAsia="Times New Roman" w:hAnsi="CAIXA Std Book" w:cs="Calibri"/>
                <w:color w:val="005CA9"/>
                <w:sz w:val="18"/>
                <w:szCs w:val="18"/>
              </w:rPr>
            </w:pPr>
            <w:r>
              <w:rPr>
                <w:rFonts w:ascii="CAIXA Std Book" w:hAnsi="CAIXA Std Book" w:cs="Arial"/>
                <w:color w:val="005CA9"/>
                <w:sz w:val="18"/>
                <w:szCs w:val="18"/>
              </w:rPr>
              <w:t>21.</w:t>
            </w:r>
            <w:r w:rsidR="00403547">
              <w:rPr>
                <w:rFonts w:ascii="CAIXA Std Book" w:hAnsi="CAIXA Std Book" w:cs="Arial"/>
                <w:color w:val="005CA9"/>
                <w:sz w:val="18"/>
                <w:szCs w:val="18"/>
              </w:rPr>
              <w:t>276</w:t>
            </w:r>
          </w:p>
        </w:tc>
        <w:tc>
          <w:tcPr>
            <w:tcW w:w="640" w:type="pct"/>
            <w:noWrap/>
            <w:vAlign w:val="center"/>
            <w:hideMark/>
          </w:tcPr>
          <w:p w14:paraId="7A2F74C9"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62.184</w:t>
            </w:r>
          </w:p>
        </w:tc>
      </w:tr>
      <w:tr w:rsidR="00D6699C" w:rsidRPr="00D6699C" w14:paraId="259E3639" w14:textId="77777777" w:rsidTr="00AC22E0">
        <w:trPr>
          <w:trHeight w:val="283"/>
        </w:trPr>
        <w:tc>
          <w:tcPr>
            <w:tcW w:w="2255" w:type="pct"/>
            <w:shd w:val="clear" w:color="000000" w:fill="D0E0E3"/>
            <w:vAlign w:val="center"/>
            <w:hideMark/>
          </w:tcPr>
          <w:p w14:paraId="65032AA8" w14:textId="77777777" w:rsidR="00D6699C" w:rsidRPr="00D6699C" w:rsidRDefault="00D6699C" w:rsidP="00D6699C">
            <w:pPr>
              <w:ind w:firstLineChars="100" w:firstLine="181"/>
              <w:rPr>
                <w:rFonts w:ascii="CAIXA Std Book" w:eastAsia="Times New Roman" w:hAnsi="CAIXA Std Book" w:cs="Calibri"/>
                <w:b/>
                <w:bCs/>
                <w:color w:val="005CA9"/>
                <w:sz w:val="18"/>
                <w:szCs w:val="18"/>
              </w:rPr>
            </w:pPr>
            <w:r w:rsidRPr="00D6699C">
              <w:rPr>
                <w:rFonts w:ascii="CAIXA Std Book" w:eastAsia="Times New Roman" w:hAnsi="CAIXA Std Book" w:cs="Calibri"/>
                <w:b/>
                <w:bCs/>
                <w:color w:val="005CA9"/>
                <w:sz w:val="18"/>
                <w:szCs w:val="18"/>
              </w:rPr>
              <w:t>Carteira de terceiros</w:t>
            </w:r>
          </w:p>
        </w:tc>
        <w:tc>
          <w:tcPr>
            <w:tcW w:w="825" w:type="pct"/>
            <w:shd w:val="clear" w:color="000000" w:fill="D0E0E3"/>
            <w:vAlign w:val="center"/>
            <w:hideMark/>
          </w:tcPr>
          <w:p w14:paraId="45886A10" w14:textId="0FA3215C" w:rsidR="00D6699C" w:rsidRPr="00D6699C" w:rsidRDefault="00B61980" w:rsidP="00D6699C">
            <w:pPr>
              <w:jc w:val="right"/>
              <w:rPr>
                <w:rFonts w:ascii="CAIXA Std Book" w:eastAsia="Times New Roman" w:hAnsi="CAIXA Std Book" w:cs="Calibri"/>
                <w:b/>
                <w:bCs/>
                <w:color w:val="005CA9"/>
                <w:sz w:val="18"/>
                <w:szCs w:val="18"/>
              </w:rPr>
            </w:pPr>
            <w:r>
              <w:rPr>
                <w:rFonts w:ascii="CAIXA Std Book" w:hAnsi="CAIXA Std Book" w:cs="Arial"/>
                <w:b/>
                <w:bCs/>
                <w:color w:val="005CA9"/>
                <w:sz w:val="18"/>
                <w:szCs w:val="18"/>
              </w:rPr>
              <w:t>65.632.859</w:t>
            </w:r>
          </w:p>
        </w:tc>
        <w:tc>
          <w:tcPr>
            <w:tcW w:w="640" w:type="pct"/>
            <w:shd w:val="clear" w:color="000000" w:fill="D0E0E3"/>
            <w:vAlign w:val="center"/>
            <w:hideMark/>
          </w:tcPr>
          <w:p w14:paraId="1D59CB65" w14:textId="77777777" w:rsidR="00D6699C" w:rsidRPr="00D6699C" w:rsidRDefault="00D6699C" w:rsidP="00D6699C">
            <w:pPr>
              <w:jc w:val="right"/>
              <w:rPr>
                <w:rFonts w:ascii="CAIXA Std Book" w:eastAsia="Times New Roman" w:hAnsi="CAIXA Std Book" w:cs="Calibri"/>
                <w:b/>
                <w:bCs/>
                <w:color w:val="005CA9"/>
                <w:sz w:val="18"/>
                <w:szCs w:val="18"/>
              </w:rPr>
            </w:pPr>
            <w:r w:rsidRPr="00D6699C">
              <w:rPr>
                <w:rFonts w:ascii="CAIXA Std Book" w:eastAsia="Times New Roman" w:hAnsi="CAIXA Std Book" w:cs="Arial"/>
                <w:b/>
                <w:bCs/>
                <w:color w:val="005CA9"/>
                <w:sz w:val="18"/>
                <w:szCs w:val="18"/>
              </w:rPr>
              <w:t>41.247.041</w:t>
            </w:r>
          </w:p>
        </w:tc>
        <w:tc>
          <w:tcPr>
            <w:tcW w:w="640" w:type="pct"/>
            <w:shd w:val="clear" w:color="000000" w:fill="D0E0E3"/>
            <w:noWrap/>
            <w:vAlign w:val="center"/>
            <w:hideMark/>
          </w:tcPr>
          <w:p w14:paraId="18DCA488" w14:textId="3ED4C500" w:rsidR="00D6699C" w:rsidRPr="00D6699C" w:rsidRDefault="0016788D" w:rsidP="00D6699C">
            <w:pPr>
              <w:jc w:val="right"/>
              <w:rPr>
                <w:rFonts w:ascii="CAIXA Std Book" w:eastAsia="Times New Roman" w:hAnsi="CAIXA Std Book" w:cs="Calibri"/>
                <w:b/>
                <w:bCs/>
                <w:color w:val="005CA9"/>
                <w:sz w:val="18"/>
                <w:szCs w:val="18"/>
              </w:rPr>
            </w:pPr>
            <w:r>
              <w:rPr>
                <w:rFonts w:ascii="CAIXA Std Book" w:hAnsi="CAIXA Std Book" w:cs="Arial"/>
                <w:b/>
                <w:bCs/>
                <w:color w:val="005CA9"/>
                <w:sz w:val="18"/>
                <w:szCs w:val="18"/>
              </w:rPr>
              <w:t>65.632.859</w:t>
            </w:r>
          </w:p>
        </w:tc>
        <w:tc>
          <w:tcPr>
            <w:tcW w:w="640" w:type="pct"/>
            <w:shd w:val="clear" w:color="000000" w:fill="D0E0E3"/>
            <w:noWrap/>
            <w:vAlign w:val="center"/>
            <w:hideMark/>
          </w:tcPr>
          <w:p w14:paraId="63A0A9C7" w14:textId="77777777" w:rsidR="00D6699C" w:rsidRPr="00D6699C" w:rsidRDefault="00D6699C" w:rsidP="00D6699C">
            <w:pPr>
              <w:jc w:val="right"/>
              <w:rPr>
                <w:rFonts w:ascii="CAIXA Std Book" w:eastAsia="Times New Roman" w:hAnsi="CAIXA Std Book" w:cs="Calibri"/>
                <w:b/>
                <w:bCs/>
                <w:color w:val="005CA9"/>
                <w:sz w:val="18"/>
                <w:szCs w:val="18"/>
              </w:rPr>
            </w:pPr>
            <w:r w:rsidRPr="00D6699C">
              <w:rPr>
                <w:rFonts w:ascii="CAIXA Std Book" w:eastAsia="Times New Roman" w:hAnsi="CAIXA Std Book" w:cs="Arial"/>
                <w:b/>
                <w:bCs/>
                <w:color w:val="005CA9"/>
                <w:sz w:val="18"/>
                <w:szCs w:val="18"/>
              </w:rPr>
              <w:t>41.247.041</w:t>
            </w:r>
          </w:p>
        </w:tc>
      </w:tr>
      <w:tr w:rsidR="00B61980" w:rsidRPr="00D6699C" w14:paraId="182FB070" w14:textId="77777777" w:rsidTr="00AC22E0">
        <w:trPr>
          <w:trHeight w:val="283"/>
        </w:trPr>
        <w:tc>
          <w:tcPr>
            <w:tcW w:w="2255" w:type="pct"/>
            <w:vAlign w:val="center"/>
          </w:tcPr>
          <w:p w14:paraId="6852526A" w14:textId="4D5EC602" w:rsidR="00B61980" w:rsidRPr="00D6699C" w:rsidRDefault="00B61980" w:rsidP="00B61980">
            <w:pPr>
              <w:ind w:firstLineChars="200" w:firstLine="360"/>
              <w:rPr>
                <w:rFonts w:ascii="CAIXA Std Book" w:eastAsia="Times New Roman" w:hAnsi="CAIXA Std Book" w:cs="Calibri"/>
                <w:color w:val="005CA9"/>
                <w:sz w:val="18"/>
                <w:szCs w:val="18"/>
              </w:rPr>
            </w:pPr>
            <w:r>
              <w:rPr>
                <w:rFonts w:ascii="CAIXA Std Book" w:hAnsi="CAIXA Std Book" w:cs="Arial"/>
                <w:color w:val="005CA9"/>
                <w:sz w:val="18"/>
                <w:szCs w:val="18"/>
              </w:rPr>
              <w:t>Notas do tesouro nacional</w:t>
            </w:r>
          </w:p>
        </w:tc>
        <w:tc>
          <w:tcPr>
            <w:tcW w:w="825" w:type="pct"/>
            <w:vAlign w:val="center"/>
          </w:tcPr>
          <w:p w14:paraId="39309050" w14:textId="47DF1C22" w:rsidR="00B61980" w:rsidRPr="00D6699C" w:rsidRDefault="00B61980" w:rsidP="00B61980">
            <w:pPr>
              <w:ind w:firstLineChars="200" w:firstLine="360"/>
              <w:jc w:val="right"/>
              <w:rPr>
                <w:rFonts w:ascii="CAIXA Std Book" w:eastAsia="Times New Roman" w:hAnsi="CAIXA Std Book" w:cs="Calibri"/>
                <w:color w:val="005CA9"/>
                <w:sz w:val="18"/>
                <w:szCs w:val="18"/>
              </w:rPr>
            </w:pPr>
            <w:r>
              <w:rPr>
                <w:rFonts w:ascii="CAIXA Std Book" w:hAnsi="CAIXA Std Book" w:cs="Arial"/>
                <w:color w:val="005CA9"/>
                <w:sz w:val="18"/>
                <w:szCs w:val="18"/>
              </w:rPr>
              <w:t>32.750.912</w:t>
            </w:r>
          </w:p>
        </w:tc>
        <w:tc>
          <w:tcPr>
            <w:tcW w:w="640" w:type="pct"/>
            <w:vAlign w:val="center"/>
          </w:tcPr>
          <w:p w14:paraId="171D24CE" w14:textId="358C2BA8" w:rsidR="00B61980" w:rsidRPr="00D6699C" w:rsidRDefault="00B61980" w:rsidP="00B61980">
            <w:pPr>
              <w:jc w:val="center"/>
              <w:rPr>
                <w:rFonts w:ascii="CAIXA Std Book" w:eastAsia="Times New Roman" w:hAnsi="CAIXA Std Book" w:cs="Arial"/>
                <w:color w:val="005CA9"/>
                <w:sz w:val="18"/>
                <w:szCs w:val="18"/>
              </w:rPr>
            </w:pPr>
            <w:r>
              <w:rPr>
                <w:rFonts w:ascii="CAIXA Std Book" w:eastAsia="Times New Roman" w:hAnsi="CAIXA Std Book" w:cs="Arial"/>
                <w:color w:val="005CA9"/>
                <w:sz w:val="18"/>
                <w:szCs w:val="18"/>
              </w:rPr>
              <w:t>-</w:t>
            </w:r>
          </w:p>
        </w:tc>
        <w:tc>
          <w:tcPr>
            <w:tcW w:w="640" w:type="pct"/>
            <w:noWrap/>
            <w:vAlign w:val="center"/>
          </w:tcPr>
          <w:p w14:paraId="5419C136" w14:textId="0396639D" w:rsidR="00B61980" w:rsidRPr="00D6699C" w:rsidRDefault="0016788D" w:rsidP="00B61980">
            <w:pPr>
              <w:jc w:val="right"/>
              <w:rPr>
                <w:rFonts w:ascii="CAIXA Std Book" w:eastAsia="Times New Roman" w:hAnsi="CAIXA Std Book" w:cs="Calibri"/>
                <w:color w:val="005CA9"/>
                <w:sz w:val="18"/>
                <w:szCs w:val="18"/>
              </w:rPr>
            </w:pPr>
            <w:r>
              <w:rPr>
                <w:rFonts w:ascii="CAIXA Std Book" w:hAnsi="CAIXA Std Book" w:cs="Arial"/>
                <w:color w:val="005CA9"/>
                <w:sz w:val="18"/>
                <w:szCs w:val="18"/>
              </w:rPr>
              <w:t>32.750.912</w:t>
            </w:r>
          </w:p>
        </w:tc>
        <w:tc>
          <w:tcPr>
            <w:tcW w:w="640" w:type="pct"/>
            <w:noWrap/>
            <w:vAlign w:val="center"/>
          </w:tcPr>
          <w:p w14:paraId="7B160E4E" w14:textId="5D73A8CA" w:rsidR="00B61980" w:rsidRPr="00D6699C" w:rsidRDefault="00B61980" w:rsidP="00B61980">
            <w:pPr>
              <w:jc w:val="center"/>
              <w:rPr>
                <w:rFonts w:ascii="CAIXA Std Book" w:eastAsia="Times New Roman" w:hAnsi="CAIXA Std Book" w:cs="Arial"/>
                <w:color w:val="005CA9"/>
                <w:sz w:val="18"/>
                <w:szCs w:val="18"/>
              </w:rPr>
            </w:pPr>
            <w:r>
              <w:rPr>
                <w:rFonts w:ascii="CAIXA Std Book" w:eastAsia="Times New Roman" w:hAnsi="CAIXA Std Book" w:cs="Arial"/>
                <w:color w:val="005CA9"/>
                <w:sz w:val="18"/>
                <w:szCs w:val="18"/>
              </w:rPr>
              <w:t>-</w:t>
            </w:r>
          </w:p>
        </w:tc>
      </w:tr>
      <w:tr w:rsidR="00B61980" w:rsidRPr="00D6699C" w14:paraId="617B918A" w14:textId="77777777" w:rsidTr="00AC22E0">
        <w:trPr>
          <w:trHeight w:val="283"/>
        </w:trPr>
        <w:tc>
          <w:tcPr>
            <w:tcW w:w="2255" w:type="pct"/>
            <w:vAlign w:val="center"/>
          </w:tcPr>
          <w:p w14:paraId="3B60037B" w14:textId="41C623BD" w:rsidR="00B61980" w:rsidRPr="00D6699C" w:rsidRDefault="00B61980" w:rsidP="00B61980">
            <w:pPr>
              <w:ind w:firstLineChars="200" w:firstLine="360"/>
              <w:rPr>
                <w:rFonts w:ascii="CAIXA Std Book" w:eastAsia="Times New Roman" w:hAnsi="CAIXA Std Book" w:cs="Calibri"/>
                <w:color w:val="005CA9"/>
                <w:sz w:val="18"/>
                <w:szCs w:val="18"/>
              </w:rPr>
            </w:pPr>
            <w:r w:rsidRPr="00D6699C">
              <w:rPr>
                <w:rFonts w:ascii="CAIXA Std Book" w:eastAsia="Times New Roman" w:hAnsi="CAIXA Std Book" w:cs="Calibri"/>
                <w:color w:val="005CA9"/>
                <w:sz w:val="18"/>
                <w:szCs w:val="18"/>
              </w:rPr>
              <w:t>Letras financeiras do tesouro</w:t>
            </w:r>
          </w:p>
        </w:tc>
        <w:tc>
          <w:tcPr>
            <w:tcW w:w="825" w:type="pct"/>
            <w:vAlign w:val="center"/>
          </w:tcPr>
          <w:p w14:paraId="6D724778" w14:textId="424A0A9C" w:rsidR="00B61980" w:rsidRPr="00D6699C" w:rsidRDefault="00B61980" w:rsidP="00B61980">
            <w:pPr>
              <w:ind w:firstLineChars="200" w:firstLine="360"/>
              <w:jc w:val="right"/>
              <w:rPr>
                <w:rFonts w:ascii="CAIXA Std Book" w:eastAsia="Times New Roman" w:hAnsi="CAIXA Std Book" w:cs="Calibri"/>
                <w:color w:val="005CA9"/>
                <w:sz w:val="18"/>
                <w:szCs w:val="18"/>
              </w:rPr>
            </w:pPr>
            <w:r>
              <w:rPr>
                <w:rFonts w:ascii="CAIXA Std Book" w:hAnsi="CAIXA Std Book" w:cs="Arial"/>
                <w:color w:val="005CA9"/>
                <w:sz w:val="18"/>
                <w:szCs w:val="18"/>
              </w:rPr>
              <w:t>26.019.955</w:t>
            </w:r>
          </w:p>
        </w:tc>
        <w:tc>
          <w:tcPr>
            <w:tcW w:w="640" w:type="pct"/>
            <w:vAlign w:val="center"/>
          </w:tcPr>
          <w:p w14:paraId="542CB2DD" w14:textId="6955E200" w:rsidR="00B61980" w:rsidRPr="00D6699C" w:rsidRDefault="00B61980" w:rsidP="00B61980">
            <w:pPr>
              <w:jc w:val="right"/>
              <w:rPr>
                <w:rFonts w:ascii="CAIXA Std Book" w:eastAsia="Times New Roman" w:hAnsi="CAIXA Std Book" w:cs="Arial"/>
                <w:color w:val="005CA9"/>
                <w:sz w:val="18"/>
                <w:szCs w:val="18"/>
              </w:rPr>
            </w:pPr>
            <w:r w:rsidRPr="00D6699C">
              <w:rPr>
                <w:rFonts w:ascii="CAIXA Std Book" w:eastAsia="Times New Roman" w:hAnsi="CAIXA Std Book" w:cs="Arial"/>
                <w:color w:val="005CA9"/>
                <w:sz w:val="18"/>
                <w:szCs w:val="18"/>
              </w:rPr>
              <w:t>18.347.552</w:t>
            </w:r>
          </w:p>
        </w:tc>
        <w:tc>
          <w:tcPr>
            <w:tcW w:w="640" w:type="pct"/>
            <w:noWrap/>
            <w:vAlign w:val="center"/>
          </w:tcPr>
          <w:p w14:paraId="51D6B442" w14:textId="3B78284C" w:rsidR="00B61980" w:rsidRPr="00D6699C" w:rsidRDefault="0016788D" w:rsidP="00B61980">
            <w:pPr>
              <w:jc w:val="right"/>
              <w:rPr>
                <w:rFonts w:ascii="CAIXA Std Book" w:eastAsia="Times New Roman" w:hAnsi="CAIXA Std Book" w:cs="Calibri"/>
                <w:color w:val="005CA9"/>
                <w:sz w:val="18"/>
                <w:szCs w:val="18"/>
              </w:rPr>
            </w:pPr>
            <w:r>
              <w:rPr>
                <w:rFonts w:ascii="CAIXA Std Book" w:hAnsi="CAIXA Std Book" w:cs="Arial"/>
                <w:color w:val="005CA9"/>
                <w:sz w:val="18"/>
                <w:szCs w:val="18"/>
              </w:rPr>
              <w:t>26.019.955</w:t>
            </w:r>
          </w:p>
        </w:tc>
        <w:tc>
          <w:tcPr>
            <w:tcW w:w="640" w:type="pct"/>
            <w:noWrap/>
            <w:vAlign w:val="center"/>
          </w:tcPr>
          <w:p w14:paraId="34CE1800" w14:textId="1ECBF9C3" w:rsidR="00B61980" w:rsidRPr="00D6699C" w:rsidRDefault="00B61980" w:rsidP="00B61980">
            <w:pPr>
              <w:jc w:val="right"/>
              <w:rPr>
                <w:rFonts w:ascii="CAIXA Std Book" w:eastAsia="Times New Roman" w:hAnsi="CAIXA Std Book" w:cs="Arial"/>
                <w:color w:val="005CA9"/>
                <w:sz w:val="18"/>
                <w:szCs w:val="18"/>
              </w:rPr>
            </w:pPr>
            <w:r w:rsidRPr="00D6699C">
              <w:rPr>
                <w:rFonts w:ascii="CAIXA Std Book" w:eastAsia="Times New Roman" w:hAnsi="CAIXA Std Book" w:cs="Arial"/>
                <w:color w:val="005CA9"/>
                <w:sz w:val="18"/>
                <w:szCs w:val="18"/>
              </w:rPr>
              <w:t>18.347.552</w:t>
            </w:r>
          </w:p>
        </w:tc>
      </w:tr>
      <w:tr w:rsidR="00D6699C" w:rsidRPr="00D6699C" w14:paraId="41F7E106" w14:textId="77777777" w:rsidTr="00AC22E0">
        <w:trPr>
          <w:trHeight w:val="283"/>
        </w:trPr>
        <w:tc>
          <w:tcPr>
            <w:tcW w:w="2255" w:type="pct"/>
            <w:vAlign w:val="center"/>
            <w:hideMark/>
          </w:tcPr>
          <w:p w14:paraId="4192F702" w14:textId="77777777" w:rsidR="00D6699C" w:rsidRPr="00D6699C" w:rsidRDefault="00D6699C" w:rsidP="00D6699C">
            <w:pPr>
              <w:ind w:firstLineChars="200" w:firstLine="360"/>
              <w:rPr>
                <w:rFonts w:ascii="CAIXA Std Book" w:eastAsia="Times New Roman" w:hAnsi="CAIXA Std Book" w:cs="Calibri"/>
                <w:color w:val="005CA9"/>
                <w:sz w:val="18"/>
                <w:szCs w:val="18"/>
              </w:rPr>
            </w:pPr>
            <w:r w:rsidRPr="00D6699C">
              <w:rPr>
                <w:rFonts w:ascii="CAIXA Std Book" w:eastAsia="Times New Roman" w:hAnsi="CAIXA Std Book" w:cs="Calibri"/>
                <w:color w:val="005CA9"/>
                <w:sz w:val="18"/>
                <w:szCs w:val="18"/>
              </w:rPr>
              <w:t>Letras do tesouro nacional</w:t>
            </w:r>
          </w:p>
        </w:tc>
        <w:tc>
          <w:tcPr>
            <w:tcW w:w="825" w:type="pct"/>
            <w:vAlign w:val="center"/>
            <w:hideMark/>
          </w:tcPr>
          <w:p w14:paraId="3E1ADA73" w14:textId="2D85C8E2" w:rsidR="00D6699C" w:rsidRPr="00D6699C" w:rsidRDefault="00B61980" w:rsidP="00B61980">
            <w:pPr>
              <w:ind w:firstLineChars="200" w:firstLine="360"/>
              <w:jc w:val="right"/>
              <w:rPr>
                <w:rFonts w:ascii="CAIXA Std Book" w:eastAsia="Times New Roman" w:hAnsi="CAIXA Std Book" w:cs="Calibri"/>
                <w:color w:val="005CA9"/>
                <w:sz w:val="18"/>
                <w:szCs w:val="18"/>
              </w:rPr>
            </w:pPr>
            <w:r>
              <w:rPr>
                <w:rFonts w:ascii="CAIXA Std Book" w:hAnsi="CAIXA Std Book" w:cs="Arial"/>
                <w:color w:val="005CA9"/>
                <w:sz w:val="18"/>
                <w:szCs w:val="18"/>
              </w:rPr>
              <w:t>6.861.992</w:t>
            </w:r>
          </w:p>
        </w:tc>
        <w:tc>
          <w:tcPr>
            <w:tcW w:w="640" w:type="pct"/>
            <w:vAlign w:val="center"/>
            <w:hideMark/>
          </w:tcPr>
          <w:p w14:paraId="273B35A3"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22.899.489</w:t>
            </w:r>
          </w:p>
        </w:tc>
        <w:tc>
          <w:tcPr>
            <w:tcW w:w="640" w:type="pct"/>
            <w:noWrap/>
            <w:vAlign w:val="center"/>
            <w:hideMark/>
          </w:tcPr>
          <w:p w14:paraId="2585691C" w14:textId="47A9432D" w:rsidR="00D6699C" w:rsidRPr="00D6699C" w:rsidRDefault="0016788D" w:rsidP="00D6699C">
            <w:pPr>
              <w:jc w:val="right"/>
              <w:rPr>
                <w:rFonts w:ascii="CAIXA Std Book" w:eastAsia="Times New Roman" w:hAnsi="CAIXA Std Book" w:cs="Calibri"/>
                <w:color w:val="005CA9"/>
                <w:sz w:val="18"/>
                <w:szCs w:val="18"/>
              </w:rPr>
            </w:pPr>
            <w:r>
              <w:rPr>
                <w:rFonts w:ascii="CAIXA Std Book" w:hAnsi="CAIXA Std Book" w:cs="Arial"/>
                <w:color w:val="005CA9"/>
                <w:sz w:val="18"/>
                <w:szCs w:val="18"/>
              </w:rPr>
              <w:t>6.861.992</w:t>
            </w:r>
          </w:p>
        </w:tc>
        <w:tc>
          <w:tcPr>
            <w:tcW w:w="640" w:type="pct"/>
            <w:noWrap/>
            <w:vAlign w:val="center"/>
            <w:hideMark/>
          </w:tcPr>
          <w:p w14:paraId="0A1E282C" w14:textId="77777777" w:rsidR="00D6699C" w:rsidRPr="00D6699C" w:rsidRDefault="00D6699C" w:rsidP="00D6699C">
            <w:pPr>
              <w:jc w:val="right"/>
              <w:rPr>
                <w:rFonts w:ascii="CAIXA Std Book" w:eastAsia="Times New Roman" w:hAnsi="CAIXA Std Book" w:cs="Calibri"/>
                <w:color w:val="005CA9"/>
                <w:sz w:val="18"/>
                <w:szCs w:val="18"/>
              </w:rPr>
            </w:pPr>
            <w:r w:rsidRPr="00D6699C">
              <w:rPr>
                <w:rFonts w:ascii="CAIXA Std Book" w:eastAsia="Times New Roman" w:hAnsi="CAIXA Std Book" w:cs="Arial"/>
                <w:color w:val="005CA9"/>
                <w:sz w:val="18"/>
                <w:szCs w:val="18"/>
              </w:rPr>
              <w:t>22.899.489</w:t>
            </w:r>
          </w:p>
        </w:tc>
      </w:tr>
      <w:tr w:rsidR="00D6699C" w:rsidRPr="00D6699C" w14:paraId="0B205182" w14:textId="77777777" w:rsidTr="00AC22E0">
        <w:trPr>
          <w:trHeight w:val="283"/>
        </w:trPr>
        <w:tc>
          <w:tcPr>
            <w:tcW w:w="2255" w:type="pct"/>
            <w:shd w:val="clear" w:color="000000" w:fill="D0E0E3"/>
            <w:vAlign w:val="center"/>
            <w:hideMark/>
          </w:tcPr>
          <w:p w14:paraId="709B332A" w14:textId="77777777" w:rsidR="00D6699C" w:rsidRPr="00D6699C" w:rsidRDefault="00D6699C" w:rsidP="00D6699C">
            <w:pPr>
              <w:rPr>
                <w:rFonts w:ascii="CAIXA Std Book" w:eastAsia="Times New Roman" w:hAnsi="CAIXA Std Book" w:cs="Calibri"/>
                <w:b/>
                <w:bCs/>
                <w:color w:val="005CA9"/>
                <w:sz w:val="18"/>
                <w:szCs w:val="18"/>
              </w:rPr>
            </w:pPr>
            <w:r w:rsidRPr="00D6699C">
              <w:rPr>
                <w:rFonts w:ascii="CAIXA Std Book" w:eastAsia="Times New Roman" w:hAnsi="CAIXA Std Book" w:cs="Calibri"/>
                <w:b/>
                <w:bCs/>
                <w:color w:val="005CA9"/>
                <w:sz w:val="18"/>
                <w:szCs w:val="18"/>
              </w:rPr>
              <w:t>Depósitos interfinanceiros</w:t>
            </w:r>
          </w:p>
        </w:tc>
        <w:tc>
          <w:tcPr>
            <w:tcW w:w="825" w:type="pct"/>
            <w:shd w:val="clear" w:color="000000" w:fill="D0E0E3"/>
            <w:vAlign w:val="center"/>
            <w:hideMark/>
          </w:tcPr>
          <w:p w14:paraId="0D06CB0C" w14:textId="20680761" w:rsidR="00D6699C" w:rsidRPr="00D6699C" w:rsidRDefault="00B61980" w:rsidP="00D6699C">
            <w:pPr>
              <w:jc w:val="right"/>
              <w:rPr>
                <w:rFonts w:ascii="CAIXA Std Book" w:eastAsia="Times New Roman" w:hAnsi="CAIXA Std Book" w:cs="Calibri"/>
                <w:b/>
                <w:bCs/>
                <w:color w:val="005CA9"/>
                <w:sz w:val="18"/>
                <w:szCs w:val="18"/>
              </w:rPr>
            </w:pPr>
            <w:r>
              <w:rPr>
                <w:rFonts w:ascii="CAIXA Std Book" w:hAnsi="CAIXA Std Book" w:cs="Arial"/>
                <w:b/>
                <w:bCs/>
                <w:color w:val="005CA9"/>
                <w:sz w:val="18"/>
                <w:szCs w:val="18"/>
              </w:rPr>
              <w:t>5.605.288</w:t>
            </w:r>
          </w:p>
        </w:tc>
        <w:tc>
          <w:tcPr>
            <w:tcW w:w="640" w:type="pct"/>
            <w:shd w:val="clear" w:color="000000" w:fill="D0E0E3"/>
            <w:vAlign w:val="center"/>
            <w:hideMark/>
          </w:tcPr>
          <w:p w14:paraId="58A83757" w14:textId="77777777" w:rsidR="00D6699C" w:rsidRPr="00D6699C" w:rsidRDefault="00D6699C" w:rsidP="00D6699C">
            <w:pPr>
              <w:jc w:val="right"/>
              <w:rPr>
                <w:rFonts w:ascii="CAIXA Std Book" w:eastAsia="Times New Roman" w:hAnsi="CAIXA Std Book" w:cs="Calibri"/>
                <w:b/>
                <w:bCs/>
                <w:color w:val="005CA9"/>
                <w:sz w:val="18"/>
                <w:szCs w:val="18"/>
              </w:rPr>
            </w:pPr>
            <w:r w:rsidRPr="00D6699C">
              <w:rPr>
                <w:rFonts w:ascii="CAIXA Std Book" w:eastAsia="Times New Roman" w:hAnsi="CAIXA Std Book" w:cs="Arial"/>
                <w:b/>
                <w:bCs/>
                <w:color w:val="005CA9"/>
                <w:sz w:val="18"/>
                <w:szCs w:val="18"/>
              </w:rPr>
              <w:t>5.380.504</w:t>
            </w:r>
          </w:p>
        </w:tc>
        <w:tc>
          <w:tcPr>
            <w:tcW w:w="640" w:type="pct"/>
            <w:shd w:val="clear" w:color="000000" w:fill="D0E0E3"/>
            <w:noWrap/>
            <w:vAlign w:val="center"/>
            <w:hideMark/>
          </w:tcPr>
          <w:p w14:paraId="485FF659" w14:textId="13F8F543" w:rsidR="00D6699C" w:rsidRPr="00D6699C" w:rsidRDefault="0016788D" w:rsidP="00D6699C">
            <w:pPr>
              <w:jc w:val="right"/>
              <w:rPr>
                <w:rFonts w:ascii="CAIXA Std Book" w:eastAsia="Times New Roman" w:hAnsi="CAIXA Std Book" w:cs="Calibri"/>
                <w:b/>
                <w:bCs/>
                <w:color w:val="005CA9"/>
                <w:sz w:val="18"/>
                <w:szCs w:val="18"/>
              </w:rPr>
            </w:pPr>
            <w:r>
              <w:rPr>
                <w:rFonts w:ascii="CAIXA Std Book" w:hAnsi="CAIXA Std Book" w:cs="Arial"/>
                <w:b/>
                <w:bCs/>
                <w:color w:val="005CA9"/>
                <w:sz w:val="18"/>
                <w:szCs w:val="18"/>
              </w:rPr>
              <w:t>5.605.288</w:t>
            </w:r>
          </w:p>
        </w:tc>
        <w:tc>
          <w:tcPr>
            <w:tcW w:w="640" w:type="pct"/>
            <w:shd w:val="clear" w:color="000000" w:fill="D0E0E3"/>
            <w:noWrap/>
            <w:vAlign w:val="center"/>
            <w:hideMark/>
          </w:tcPr>
          <w:p w14:paraId="247A83D5" w14:textId="77777777" w:rsidR="00D6699C" w:rsidRPr="00D6699C" w:rsidRDefault="00D6699C" w:rsidP="00D6699C">
            <w:pPr>
              <w:jc w:val="right"/>
              <w:rPr>
                <w:rFonts w:ascii="CAIXA Std Book" w:eastAsia="Times New Roman" w:hAnsi="CAIXA Std Book" w:cs="Calibri"/>
                <w:b/>
                <w:bCs/>
                <w:color w:val="005CA9"/>
                <w:sz w:val="18"/>
                <w:szCs w:val="18"/>
              </w:rPr>
            </w:pPr>
            <w:r w:rsidRPr="00D6699C">
              <w:rPr>
                <w:rFonts w:ascii="CAIXA Std Book" w:eastAsia="Times New Roman" w:hAnsi="CAIXA Std Book" w:cs="Arial"/>
                <w:b/>
                <w:bCs/>
                <w:color w:val="005CA9"/>
                <w:sz w:val="18"/>
                <w:szCs w:val="18"/>
              </w:rPr>
              <w:t>5.380.504</w:t>
            </w:r>
          </w:p>
        </w:tc>
      </w:tr>
      <w:tr w:rsidR="00D6699C" w:rsidRPr="00D6699C" w14:paraId="5C02D408" w14:textId="77777777" w:rsidTr="00AC22E0">
        <w:trPr>
          <w:trHeight w:val="283"/>
        </w:trPr>
        <w:tc>
          <w:tcPr>
            <w:tcW w:w="2255" w:type="pct"/>
            <w:shd w:val="clear" w:color="000000" w:fill="005CA9"/>
            <w:noWrap/>
            <w:vAlign w:val="center"/>
            <w:hideMark/>
          </w:tcPr>
          <w:p w14:paraId="71E39482" w14:textId="77777777" w:rsidR="00D6699C" w:rsidRPr="00D6699C" w:rsidRDefault="00D6699C" w:rsidP="00D6699C">
            <w:pPr>
              <w:rPr>
                <w:rFonts w:ascii="CAIXA Std Book" w:eastAsia="Times New Roman" w:hAnsi="CAIXA Std Book" w:cs="Calibri"/>
                <w:b/>
                <w:bCs/>
                <w:color w:val="FFFFFF"/>
                <w:sz w:val="18"/>
                <w:szCs w:val="18"/>
              </w:rPr>
            </w:pPr>
            <w:r w:rsidRPr="00D6699C">
              <w:rPr>
                <w:rFonts w:ascii="CAIXA Std Book" w:eastAsia="Times New Roman" w:hAnsi="CAIXA Std Book" w:cs="Calibri"/>
                <w:b/>
                <w:bCs/>
                <w:color w:val="FFFFFF"/>
                <w:sz w:val="18"/>
                <w:szCs w:val="18"/>
              </w:rPr>
              <w:t>Total</w:t>
            </w:r>
          </w:p>
        </w:tc>
        <w:tc>
          <w:tcPr>
            <w:tcW w:w="825" w:type="pct"/>
            <w:shd w:val="clear" w:color="000000" w:fill="005CA9"/>
            <w:vAlign w:val="center"/>
            <w:hideMark/>
          </w:tcPr>
          <w:p w14:paraId="42C5267A" w14:textId="7799AB78" w:rsidR="00D6699C" w:rsidRPr="00D6699C" w:rsidRDefault="00B61980" w:rsidP="00D6699C">
            <w:pPr>
              <w:jc w:val="right"/>
              <w:rPr>
                <w:rFonts w:ascii="CAIXA Std Book" w:eastAsia="Times New Roman" w:hAnsi="CAIXA Std Book" w:cs="Calibri"/>
                <w:b/>
                <w:bCs/>
                <w:color w:val="FFFFFF"/>
                <w:sz w:val="18"/>
                <w:szCs w:val="18"/>
              </w:rPr>
            </w:pPr>
            <w:r>
              <w:rPr>
                <w:rFonts w:ascii="CAIXA Std Book" w:hAnsi="CAIXA Std Book" w:cs="Arial"/>
                <w:b/>
                <w:bCs/>
                <w:color w:val="FFFFFF"/>
                <w:sz w:val="18"/>
                <w:szCs w:val="18"/>
              </w:rPr>
              <w:t>880.591.615</w:t>
            </w:r>
          </w:p>
        </w:tc>
        <w:tc>
          <w:tcPr>
            <w:tcW w:w="640" w:type="pct"/>
            <w:shd w:val="clear" w:color="000000" w:fill="005CA9"/>
            <w:vAlign w:val="center"/>
            <w:hideMark/>
          </w:tcPr>
          <w:p w14:paraId="2061FBDA" w14:textId="77777777" w:rsidR="00D6699C" w:rsidRPr="00D6699C" w:rsidRDefault="00D6699C" w:rsidP="00D6699C">
            <w:pPr>
              <w:jc w:val="right"/>
              <w:rPr>
                <w:rFonts w:ascii="CAIXA Std Book" w:eastAsia="Times New Roman" w:hAnsi="CAIXA Std Book" w:cs="Calibri"/>
                <w:b/>
                <w:bCs/>
                <w:color w:val="FFFFFF"/>
                <w:sz w:val="18"/>
                <w:szCs w:val="18"/>
              </w:rPr>
            </w:pPr>
            <w:r w:rsidRPr="00D6699C">
              <w:rPr>
                <w:rFonts w:ascii="CAIXA Std Book" w:eastAsia="Times New Roman" w:hAnsi="CAIXA Std Book" w:cs="Arial"/>
                <w:b/>
                <w:bCs/>
                <w:color w:val="FFFFFF"/>
                <w:sz w:val="18"/>
                <w:szCs w:val="18"/>
              </w:rPr>
              <w:t>793.405.932</w:t>
            </w:r>
          </w:p>
        </w:tc>
        <w:tc>
          <w:tcPr>
            <w:tcW w:w="640" w:type="pct"/>
            <w:shd w:val="clear" w:color="000000" w:fill="005CA9"/>
            <w:vAlign w:val="center"/>
            <w:hideMark/>
          </w:tcPr>
          <w:p w14:paraId="6A079264" w14:textId="1CE0FB0B" w:rsidR="00D6699C" w:rsidRPr="00D6699C" w:rsidRDefault="0016788D" w:rsidP="00D6699C">
            <w:pPr>
              <w:jc w:val="right"/>
              <w:rPr>
                <w:rFonts w:ascii="CAIXA Std Book" w:eastAsia="Times New Roman" w:hAnsi="CAIXA Std Book" w:cs="Calibri"/>
                <w:b/>
                <w:bCs/>
                <w:color w:val="FFFFFF"/>
                <w:sz w:val="18"/>
                <w:szCs w:val="18"/>
              </w:rPr>
            </w:pPr>
            <w:r>
              <w:rPr>
                <w:rFonts w:ascii="CAIXA Std Book" w:hAnsi="CAIXA Std Book" w:cs="Arial"/>
                <w:b/>
                <w:bCs/>
                <w:color w:val="FFFFFF"/>
                <w:sz w:val="18"/>
                <w:szCs w:val="18"/>
              </w:rPr>
              <w:t>879.094.349</w:t>
            </w:r>
          </w:p>
        </w:tc>
        <w:tc>
          <w:tcPr>
            <w:tcW w:w="640" w:type="pct"/>
            <w:shd w:val="clear" w:color="000000" w:fill="005CA9"/>
            <w:vAlign w:val="center"/>
            <w:hideMark/>
          </w:tcPr>
          <w:p w14:paraId="3F87E902" w14:textId="77777777" w:rsidR="00D6699C" w:rsidRPr="00D6699C" w:rsidRDefault="00D6699C" w:rsidP="00D6699C">
            <w:pPr>
              <w:jc w:val="right"/>
              <w:rPr>
                <w:rFonts w:ascii="CAIXA Std Book" w:eastAsia="Times New Roman" w:hAnsi="CAIXA Std Book" w:cs="Calibri"/>
                <w:b/>
                <w:bCs/>
                <w:color w:val="FFFFFF"/>
                <w:sz w:val="18"/>
                <w:szCs w:val="18"/>
              </w:rPr>
            </w:pPr>
            <w:r w:rsidRPr="00D6699C">
              <w:rPr>
                <w:rFonts w:ascii="CAIXA Std Book" w:eastAsia="Times New Roman" w:hAnsi="CAIXA Std Book" w:cs="Arial"/>
                <w:b/>
                <w:bCs/>
                <w:color w:val="FFFFFF"/>
                <w:sz w:val="18"/>
                <w:szCs w:val="18"/>
              </w:rPr>
              <w:t>791.926.312</w:t>
            </w:r>
          </w:p>
        </w:tc>
      </w:tr>
    </w:tbl>
    <w:p w14:paraId="23FADFEF" w14:textId="7F0703F4" w:rsidR="00E9508A" w:rsidRPr="00E95E29" w:rsidRDefault="00E9508A" w:rsidP="00B735D2">
      <w:pPr>
        <w:pStyle w:val="Ttulo1"/>
      </w:pPr>
      <w:bookmarkStart w:id="118" w:name="_Toc229588490"/>
      <w:r w:rsidRPr="00E95E29">
        <w:t>Nota   1</w:t>
      </w:r>
      <w:r w:rsidR="005464C5">
        <w:t>5</w:t>
      </w:r>
      <w:r w:rsidRPr="00E95E29">
        <w:t xml:space="preserve">.3 – </w:t>
      </w:r>
      <w:r w:rsidR="00743985" w:rsidRPr="00E95E29">
        <w:t>Recursos de emissões de títulos e valores mobiliários</w:t>
      </w:r>
      <w:bookmarkEnd w:id="117"/>
      <w:bookmarkEnd w:id="118"/>
    </w:p>
    <w:p w14:paraId="5DA8A1E1" w14:textId="0097A415" w:rsidR="0038082C" w:rsidRPr="003935AF" w:rsidRDefault="0005037A" w:rsidP="00295657">
      <w:pPr>
        <w:pStyle w:val="PargrafodaLista"/>
        <w:numPr>
          <w:ilvl w:val="0"/>
          <w:numId w:val="24"/>
        </w:numPr>
        <w:shd w:val="clear" w:color="auto" w:fill="FFFFFF" w:themeFill="background1"/>
        <w:spacing w:before="240" w:after="120"/>
        <w:ind w:left="567" w:right="-40" w:hanging="567"/>
        <w:contextualSpacing w:val="0"/>
        <w:jc w:val="both"/>
        <w:rPr>
          <w:rFonts w:ascii="CAIXA Std Book" w:hAnsi="CAIXA Std Book"/>
          <w:b/>
          <w:color w:val="005CA9"/>
          <w:sz w:val="20"/>
          <w:szCs w:val="20"/>
        </w:rPr>
      </w:pPr>
      <w:r w:rsidRPr="003935AF">
        <w:rPr>
          <w:rFonts w:ascii="CAIXA Std Book" w:hAnsi="CAIXA Std Book"/>
          <w:b/>
          <w:color w:val="005CA9"/>
          <w:sz w:val="20"/>
          <w:szCs w:val="20"/>
        </w:rPr>
        <w:t>Composição</w:t>
      </w:r>
    </w:p>
    <w:tbl>
      <w:tblPr>
        <w:tblW w:w="5000" w:type="pct"/>
        <w:tblCellMar>
          <w:left w:w="0" w:type="dxa"/>
          <w:right w:w="0" w:type="dxa"/>
        </w:tblCellMar>
        <w:tblLook w:val="04A0" w:firstRow="1" w:lastRow="0" w:firstColumn="1" w:lastColumn="0" w:noHBand="0" w:noVBand="1"/>
      </w:tblPr>
      <w:tblGrid>
        <w:gridCol w:w="4353"/>
        <w:gridCol w:w="1320"/>
        <w:gridCol w:w="1322"/>
        <w:gridCol w:w="1320"/>
        <w:gridCol w:w="1322"/>
      </w:tblGrid>
      <w:tr w:rsidR="0066113D" w14:paraId="59366EC3" w14:textId="77777777" w:rsidTr="00C175FD">
        <w:trPr>
          <w:trHeight w:val="290"/>
        </w:trPr>
        <w:tc>
          <w:tcPr>
            <w:tcW w:w="2258" w:type="pct"/>
            <w:vMerge w:val="restart"/>
            <w:shd w:val="clear" w:color="000000" w:fill="005CA9"/>
            <w:tcMar>
              <w:top w:w="15" w:type="dxa"/>
              <w:left w:w="15" w:type="dxa"/>
              <w:bottom w:w="0" w:type="dxa"/>
              <w:right w:w="15" w:type="dxa"/>
            </w:tcMar>
            <w:vAlign w:val="center"/>
            <w:hideMark/>
          </w:tcPr>
          <w:p w14:paraId="06ECA42C" w14:textId="77777777" w:rsidR="0066113D" w:rsidRDefault="0066113D">
            <w:pPr>
              <w:jc w:val="center"/>
              <w:rPr>
                <w:rFonts w:ascii="CAIXA Std Book" w:hAnsi="CAIXA Std Book" w:cs="Calibri"/>
                <w:b/>
                <w:bCs/>
                <w:color w:val="FFFFFF"/>
                <w:sz w:val="16"/>
                <w:szCs w:val="16"/>
              </w:rPr>
            </w:pPr>
            <w:r>
              <w:rPr>
                <w:rFonts w:ascii="CAIXA Std Book" w:hAnsi="CAIXA Std Book" w:cs="Calibri"/>
                <w:b/>
                <w:bCs/>
                <w:color w:val="FFFFFF"/>
                <w:sz w:val="16"/>
                <w:szCs w:val="16"/>
              </w:rPr>
              <w:t>Descrição</w:t>
            </w:r>
          </w:p>
        </w:tc>
        <w:tc>
          <w:tcPr>
            <w:tcW w:w="1371" w:type="pct"/>
            <w:gridSpan w:val="2"/>
            <w:tcBorders>
              <w:bottom w:val="single" w:sz="4" w:space="0" w:color="FFFFFF" w:themeColor="background1"/>
            </w:tcBorders>
            <w:shd w:val="clear" w:color="000000" w:fill="005CA9"/>
            <w:tcMar>
              <w:top w:w="15" w:type="dxa"/>
              <w:left w:w="15" w:type="dxa"/>
              <w:bottom w:w="0" w:type="dxa"/>
              <w:right w:w="15" w:type="dxa"/>
            </w:tcMar>
            <w:vAlign w:val="center"/>
            <w:hideMark/>
          </w:tcPr>
          <w:p w14:paraId="3F62EE5F" w14:textId="77777777" w:rsidR="0066113D" w:rsidRDefault="0066113D">
            <w:pPr>
              <w:jc w:val="center"/>
              <w:rPr>
                <w:rFonts w:ascii="CAIXA Std Book" w:hAnsi="CAIXA Std Book" w:cs="Calibri"/>
                <w:b/>
                <w:bCs/>
                <w:color w:val="FFFFFF"/>
                <w:sz w:val="16"/>
                <w:szCs w:val="16"/>
              </w:rPr>
            </w:pPr>
            <w:r>
              <w:rPr>
                <w:rFonts w:ascii="CAIXA Std Book" w:hAnsi="CAIXA Std Book" w:cs="Calibri"/>
                <w:b/>
                <w:bCs/>
                <w:color w:val="FFFFFF"/>
                <w:sz w:val="16"/>
                <w:szCs w:val="16"/>
              </w:rPr>
              <w:t>Individual</w:t>
            </w:r>
          </w:p>
        </w:tc>
        <w:tc>
          <w:tcPr>
            <w:tcW w:w="1371" w:type="pct"/>
            <w:gridSpan w:val="2"/>
            <w:tcBorders>
              <w:bottom w:val="single" w:sz="4" w:space="0" w:color="FFFFFF" w:themeColor="background1"/>
            </w:tcBorders>
            <w:shd w:val="clear" w:color="000000" w:fill="005CA9"/>
            <w:tcMar>
              <w:top w:w="15" w:type="dxa"/>
              <w:left w:w="15" w:type="dxa"/>
              <w:bottom w:w="0" w:type="dxa"/>
              <w:right w:w="15" w:type="dxa"/>
            </w:tcMar>
            <w:vAlign w:val="center"/>
            <w:hideMark/>
          </w:tcPr>
          <w:p w14:paraId="515F89CD" w14:textId="77777777" w:rsidR="0066113D" w:rsidRDefault="0066113D">
            <w:pPr>
              <w:jc w:val="center"/>
              <w:rPr>
                <w:rFonts w:ascii="CAIXA Std Book" w:hAnsi="CAIXA Std Book" w:cs="Calibri"/>
                <w:b/>
                <w:bCs/>
                <w:color w:val="FFFFFF"/>
                <w:sz w:val="16"/>
                <w:szCs w:val="16"/>
              </w:rPr>
            </w:pPr>
            <w:r>
              <w:rPr>
                <w:rFonts w:ascii="CAIXA Std Book" w:hAnsi="CAIXA Std Book" w:cs="Calibri"/>
                <w:b/>
                <w:bCs/>
                <w:color w:val="FFFFFF"/>
                <w:sz w:val="16"/>
                <w:szCs w:val="16"/>
              </w:rPr>
              <w:t>Consolidado</w:t>
            </w:r>
          </w:p>
        </w:tc>
      </w:tr>
      <w:tr w:rsidR="0066113D" w14:paraId="22017F7B" w14:textId="77777777" w:rsidTr="00C922C8">
        <w:trPr>
          <w:trHeight w:val="290"/>
        </w:trPr>
        <w:tc>
          <w:tcPr>
            <w:tcW w:w="2258" w:type="pct"/>
            <w:vMerge/>
            <w:tcBorders>
              <w:bottom w:val="single" w:sz="4" w:space="0" w:color="FFFFFF" w:themeColor="background1"/>
            </w:tcBorders>
            <w:vAlign w:val="center"/>
            <w:hideMark/>
          </w:tcPr>
          <w:p w14:paraId="18442142" w14:textId="77777777" w:rsidR="0066113D" w:rsidRDefault="0066113D">
            <w:pPr>
              <w:rPr>
                <w:rFonts w:ascii="CAIXA Std Book" w:hAnsi="CAIXA Std Book" w:cs="Calibri"/>
                <w:b/>
                <w:bCs/>
                <w:color w:val="FFFFFF"/>
                <w:sz w:val="16"/>
                <w:szCs w:val="16"/>
              </w:rPr>
            </w:pPr>
          </w:p>
        </w:tc>
        <w:tc>
          <w:tcPr>
            <w:tcW w:w="685" w:type="pct"/>
            <w:tcBorders>
              <w:top w:val="single" w:sz="4" w:space="0" w:color="FFFFFF" w:themeColor="background1"/>
              <w:bottom w:val="single" w:sz="4" w:space="0" w:color="FFFFFF" w:themeColor="background1"/>
            </w:tcBorders>
            <w:shd w:val="clear" w:color="000000" w:fill="005CA9"/>
            <w:tcMar>
              <w:top w:w="15" w:type="dxa"/>
              <w:left w:w="15" w:type="dxa"/>
              <w:bottom w:w="0" w:type="dxa"/>
              <w:right w:w="15" w:type="dxa"/>
            </w:tcMar>
            <w:vAlign w:val="center"/>
            <w:hideMark/>
          </w:tcPr>
          <w:p w14:paraId="08BCA278" w14:textId="77777777" w:rsidR="0066113D" w:rsidRDefault="0066113D">
            <w:pPr>
              <w:jc w:val="center"/>
              <w:rPr>
                <w:rFonts w:ascii="CAIXA Std Book" w:hAnsi="CAIXA Std Book" w:cs="Calibri"/>
                <w:b/>
                <w:bCs/>
                <w:color w:val="FFFFFF"/>
                <w:sz w:val="16"/>
                <w:szCs w:val="16"/>
              </w:rPr>
            </w:pPr>
            <w:r>
              <w:rPr>
                <w:rFonts w:ascii="CAIXA Std Book" w:hAnsi="CAIXA Std Book" w:cs="Calibri"/>
                <w:b/>
                <w:bCs/>
                <w:color w:val="FFFFFF"/>
                <w:sz w:val="16"/>
                <w:szCs w:val="16"/>
              </w:rPr>
              <w:t>31/03/2026</w:t>
            </w:r>
          </w:p>
        </w:tc>
        <w:tc>
          <w:tcPr>
            <w:tcW w:w="686" w:type="pct"/>
            <w:tcBorders>
              <w:top w:val="single" w:sz="4" w:space="0" w:color="FFFFFF" w:themeColor="background1"/>
              <w:bottom w:val="single" w:sz="4" w:space="0" w:color="FFFFFF" w:themeColor="background1"/>
            </w:tcBorders>
            <w:shd w:val="clear" w:color="000000" w:fill="005CA9"/>
            <w:tcMar>
              <w:top w:w="15" w:type="dxa"/>
              <w:left w:w="15" w:type="dxa"/>
              <w:bottom w:w="0" w:type="dxa"/>
              <w:right w:w="15" w:type="dxa"/>
            </w:tcMar>
            <w:vAlign w:val="center"/>
            <w:hideMark/>
          </w:tcPr>
          <w:p w14:paraId="47B17FA1" w14:textId="77777777" w:rsidR="0066113D" w:rsidRDefault="0066113D">
            <w:pPr>
              <w:jc w:val="center"/>
              <w:rPr>
                <w:rFonts w:ascii="CAIXA Std Book" w:hAnsi="CAIXA Std Book" w:cs="Calibri"/>
                <w:b/>
                <w:bCs/>
                <w:color w:val="FFFFFF"/>
                <w:sz w:val="16"/>
                <w:szCs w:val="16"/>
              </w:rPr>
            </w:pPr>
            <w:r>
              <w:rPr>
                <w:rFonts w:ascii="CAIXA Std Book" w:hAnsi="CAIXA Std Book" w:cs="Calibri"/>
                <w:b/>
                <w:bCs/>
                <w:color w:val="FFFFFF"/>
                <w:sz w:val="16"/>
                <w:szCs w:val="16"/>
              </w:rPr>
              <w:t>31/12/2025</w:t>
            </w:r>
          </w:p>
        </w:tc>
        <w:tc>
          <w:tcPr>
            <w:tcW w:w="685" w:type="pct"/>
            <w:tcBorders>
              <w:top w:val="single" w:sz="4" w:space="0" w:color="FFFFFF" w:themeColor="background1"/>
              <w:bottom w:val="single" w:sz="4" w:space="0" w:color="FFFFFF" w:themeColor="background1"/>
            </w:tcBorders>
            <w:shd w:val="clear" w:color="000000" w:fill="005CA9"/>
            <w:tcMar>
              <w:top w:w="15" w:type="dxa"/>
              <w:left w:w="15" w:type="dxa"/>
              <w:bottom w:w="0" w:type="dxa"/>
              <w:right w:w="15" w:type="dxa"/>
            </w:tcMar>
            <w:vAlign w:val="center"/>
            <w:hideMark/>
          </w:tcPr>
          <w:p w14:paraId="7F7A1981" w14:textId="77777777" w:rsidR="0066113D" w:rsidRDefault="0066113D">
            <w:pPr>
              <w:jc w:val="center"/>
              <w:rPr>
                <w:rFonts w:ascii="CAIXA Std Book" w:hAnsi="CAIXA Std Book" w:cs="Calibri"/>
                <w:b/>
                <w:bCs/>
                <w:color w:val="FFFFFF"/>
                <w:sz w:val="16"/>
                <w:szCs w:val="16"/>
              </w:rPr>
            </w:pPr>
            <w:r>
              <w:rPr>
                <w:rFonts w:ascii="CAIXA Std Book" w:hAnsi="CAIXA Std Book" w:cs="Calibri"/>
                <w:b/>
                <w:bCs/>
                <w:color w:val="FFFFFF"/>
                <w:sz w:val="16"/>
                <w:szCs w:val="16"/>
              </w:rPr>
              <w:t>31/03/2026</w:t>
            </w:r>
          </w:p>
        </w:tc>
        <w:tc>
          <w:tcPr>
            <w:tcW w:w="686" w:type="pct"/>
            <w:tcBorders>
              <w:top w:val="single" w:sz="4" w:space="0" w:color="FFFFFF" w:themeColor="background1"/>
              <w:bottom w:val="single" w:sz="4" w:space="0" w:color="FFFFFF" w:themeColor="background1"/>
            </w:tcBorders>
            <w:shd w:val="clear" w:color="000000" w:fill="005CA9"/>
            <w:tcMar>
              <w:top w:w="15" w:type="dxa"/>
              <w:left w:w="15" w:type="dxa"/>
              <w:bottom w:w="0" w:type="dxa"/>
              <w:right w:w="15" w:type="dxa"/>
            </w:tcMar>
            <w:vAlign w:val="center"/>
            <w:hideMark/>
          </w:tcPr>
          <w:p w14:paraId="0A3157C9" w14:textId="77777777" w:rsidR="0066113D" w:rsidRDefault="0066113D">
            <w:pPr>
              <w:jc w:val="center"/>
              <w:rPr>
                <w:rFonts w:ascii="CAIXA Std Book" w:hAnsi="CAIXA Std Book" w:cs="Calibri"/>
                <w:b/>
                <w:bCs/>
                <w:color w:val="FFFFFF"/>
                <w:sz w:val="16"/>
                <w:szCs w:val="16"/>
              </w:rPr>
            </w:pPr>
            <w:r>
              <w:rPr>
                <w:rFonts w:ascii="CAIXA Std Book" w:hAnsi="CAIXA Std Book" w:cs="Calibri"/>
                <w:b/>
                <w:bCs/>
                <w:color w:val="FFFFFF"/>
                <w:sz w:val="16"/>
                <w:szCs w:val="16"/>
              </w:rPr>
              <w:t>31/12/2025</w:t>
            </w:r>
          </w:p>
        </w:tc>
      </w:tr>
      <w:tr w:rsidR="0066113D" w14:paraId="215D0EB8" w14:textId="77777777" w:rsidTr="00C922C8">
        <w:trPr>
          <w:trHeight w:val="300"/>
        </w:trPr>
        <w:tc>
          <w:tcPr>
            <w:tcW w:w="2258" w:type="pct"/>
            <w:tcBorders>
              <w:top w:val="single" w:sz="4" w:space="0" w:color="FFFFFF" w:themeColor="background1"/>
            </w:tcBorders>
            <w:noWrap/>
            <w:tcMar>
              <w:top w:w="15" w:type="dxa"/>
              <w:left w:w="15" w:type="dxa"/>
              <w:bottom w:w="0" w:type="dxa"/>
              <w:right w:w="15" w:type="dxa"/>
            </w:tcMar>
            <w:vAlign w:val="center"/>
            <w:hideMark/>
          </w:tcPr>
          <w:p w14:paraId="2E8453C6" w14:textId="05846E78" w:rsidR="0066113D" w:rsidRDefault="0066113D">
            <w:pPr>
              <w:rPr>
                <w:rFonts w:ascii="CAIXA Std Book" w:hAnsi="CAIXA Std Book" w:cs="Calibri"/>
                <w:color w:val="005CA9"/>
                <w:sz w:val="16"/>
                <w:szCs w:val="16"/>
              </w:rPr>
            </w:pPr>
            <w:r>
              <w:rPr>
                <w:rFonts w:ascii="CAIXA Std Book" w:hAnsi="CAIXA Std Book" w:cs="Calibri"/>
                <w:color w:val="005CA9"/>
                <w:sz w:val="16"/>
                <w:szCs w:val="16"/>
              </w:rPr>
              <w:t xml:space="preserve">Recursos </w:t>
            </w:r>
            <w:r w:rsidR="00014C2A">
              <w:rPr>
                <w:rFonts w:ascii="CAIXA Std Book" w:hAnsi="CAIXA Std Book" w:cs="Calibri"/>
                <w:color w:val="005CA9"/>
                <w:sz w:val="16"/>
                <w:szCs w:val="16"/>
              </w:rPr>
              <w:t xml:space="preserve">de </w:t>
            </w:r>
            <w:r>
              <w:rPr>
                <w:rFonts w:ascii="CAIXA Std Book" w:hAnsi="CAIXA Std Book" w:cs="Calibri"/>
                <w:color w:val="005CA9"/>
                <w:sz w:val="16"/>
                <w:szCs w:val="16"/>
              </w:rPr>
              <w:t>aceites e emissão de títulos (b)</w:t>
            </w:r>
          </w:p>
        </w:tc>
        <w:tc>
          <w:tcPr>
            <w:tcW w:w="685" w:type="pct"/>
            <w:tcBorders>
              <w:top w:val="single" w:sz="4" w:space="0" w:color="FFFFFF" w:themeColor="background1"/>
            </w:tcBorders>
            <w:tcMar>
              <w:top w:w="15" w:type="dxa"/>
              <w:left w:w="15" w:type="dxa"/>
              <w:bottom w:w="0" w:type="dxa"/>
              <w:right w:w="15" w:type="dxa"/>
            </w:tcMar>
            <w:vAlign w:val="center"/>
            <w:hideMark/>
          </w:tcPr>
          <w:p w14:paraId="258E8E5A" w14:textId="7DC08958" w:rsidR="0066113D" w:rsidRDefault="0066113D" w:rsidP="0066113D">
            <w:pPr>
              <w:jc w:val="right"/>
              <w:rPr>
                <w:rFonts w:ascii="CAIXA Std Book" w:hAnsi="CAIXA Std Book" w:cs="Calibri"/>
                <w:color w:val="005CA9"/>
                <w:sz w:val="16"/>
                <w:szCs w:val="16"/>
              </w:rPr>
            </w:pPr>
            <w:r>
              <w:rPr>
                <w:rFonts w:ascii="CAIXA Std Book" w:hAnsi="CAIXA Std Book" w:cs="Calibri"/>
                <w:color w:val="005CA9"/>
                <w:sz w:val="16"/>
                <w:szCs w:val="16"/>
              </w:rPr>
              <w:t>305.729.829</w:t>
            </w:r>
          </w:p>
        </w:tc>
        <w:tc>
          <w:tcPr>
            <w:tcW w:w="686" w:type="pct"/>
            <w:tcBorders>
              <w:top w:val="single" w:sz="4" w:space="0" w:color="FFFFFF" w:themeColor="background1"/>
            </w:tcBorders>
            <w:tcMar>
              <w:top w:w="15" w:type="dxa"/>
              <w:left w:w="15" w:type="dxa"/>
              <w:bottom w:w="0" w:type="dxa"/>
              <w:right w:w="15" w:type="dxa"/>
            </w:tcMar>
            <w:vAlign w:val="center"/>
            <w:hideMark/>
          </w:tcPr>
          <w:p w14:paraId="68F7C7BE" w14:textId="6D020202" w:rsidR="0066113D" w:rsidRDefault="0066113D" w:rsidP="0066113D">
            <w:pPr>
              <w:jc w:val="right"/>
              <w:rPr>
                <w:rFonts w:ascii="CAIXA Std Book" w:hAnsi="CAIXA Std Book" w:cs="Calibri"/>
                <w:color w:val="005CA9"/>
                <w:sz w:val="16"/>
                <w:szCs w:val="16"/>
              </w:rPr>
            </w:pPr>
            <w:r>
              <w:rPr>
                <w:rFonts w:ascii="CAIXA Std Book" w:hAnsi="CAIXA Std Book" w:cs="Calibri"/>
                <w:color w:val="005CA9"/>
                <w:sz w:val="16"/>
                <w:szCs w:val="16"/>
              </w:rPr>
              <w:t>294.345.710</w:t>
            </w:r>
          </w:p>
        </w:tc>
        <w:tc>
          <w:tcPr>
            <w:tcW w:w="685" w:type="pct"/>
            <w:tcBorders>
              <w:top w:val="single" w:sz="4" w:space="0" w:color="FFFFFF" w:themeColor="background1"/>
            </w:tcBorders>
            <w:tcMar>
              <w:top w:w="15" w:type="dxa"/>
              <w:left w:w="15" w:type="dxa"/>
              <w:bottom w:w="0" w:type="dxa"/>
              <w:right w:w="15" w:type="dxa"/>
            </w:tcMar>
            <w:vAlign w:val="center"/>
            <w:hideMark/>
          </w:tcPr>
          <w:p w14:paraId="04B6B4F2" w14:textId="75836B00" w:rsidR="0066113D" w:rsidRDefault="0066113D" w:rsidP="0066113D">
            <w:pPr>
              <w:jc w:val="right"/>
              <w:rPr>
                <w:rFonts w:ascii="CAIXA Std Book" w:hAnsi="CAIXA Std Book" w:cs="Calibri"/>
                <w:color w:val="005CA9"/>
                <w:sz w:val="16"/>
                <w:szCs w:val="16"/>
              </w:rPr>
            </w:pPr>
            <w:r>
              <w:rPr>
                <w:rFonts w:ascii="CAIXA Std Book" w:hAnsi="CAIXA Std Book" w:cs="Calibri"/>
                <w:color w:val="005CA9"/>
                <w:sz w:val="16"/>
                <w:szCs w:val="16"/>
              </w:rPr>
              <w:t>305.729.829</w:t>
            </w:r>
          </w:p>
        </w:tc>
        <w:tc>
          <w:tcPr>
            <w:tcW w:w="686" w:type="pct"/>
            <w:tcBorders>
              <w:top w:val="single" w:sz="4" w:space="0" w:color="FFFFFF" w:themeColor="background1"/>
            </w:tcBorders>
            <w:tcMar>
              <w:top w:w="15" w:type="dxa"/>
              <w:left w:w="15" w:type="dxa"/>
              <w:bottom w:w="0" w:type="dxa"/>
              <w:right w:w="15" w:type="dxa"/>
            </w:tcMar>
            <w:vAlign w:val="center"/>
            <w:hideMark/>
          </w:tcPr>
          <w:p w14:paraId="7048511F" w14:textId="7946EA44" w:rsidR="0066113D" w:rsidRDefault="0066113D" w:rsidP="009D5E8C">
            <w:pPr>
              <w:ind w:right="17"/>
              <w:jc w:val="right"/>
              <w:rPr>
                <w:rFonts w:ascii="CAIXA Std Book" w:hAnsi="CAIXA Std Book" w:cs="Calibri"/>
                <w:color w:val="005CA9"/>
                <w:sz w:val="16"/>
                <w:szCs w:val="16"/>
              </w:rPr>
            </w:pPr>
            <w:r>
              <w:rPr>
                <w:rFonts w:ascii="CAIXA Std Book" w:hAnsi="CAIXA Std Book" w:cs="Calibri"/>
                <w:color w:val="005CA9"/>
                <w:sz w:val="16"/>
                <w:szCs w:val="16"/>
              </w:rPr>
              <w:t>294.345.710</w:t>
            </w:r>
          </w:p>
        </w:tc>
      </w:tr>
      <w:tr w:rsidR="0066113D" w14:paraId="3716410D" w14:textId="77777777" w:rsidTr="00C922C8">
        <w:trPr>
          <w:trHeight w:val="300"/>
        </w:trPr>
        <w:tc>
          <w:tcPr>
            <w:tcW w:w="2258" w:type="pct"/>
            <w:noWrap/>
            <w:tcMar>
              <w:top w:w="15" w:type="dxa"/>
              <w:left w:w="15" w:type="dxa"/>
              <w:bottom w:w="0" w:type="dxa"/>
              <w:right w:w="15" w:type="dxa"/>
            </w:tcMar>
            <w:vAlign w:val="center"/>
            <w:hideMark/>
          </w:tcPr>
          <w:p w14:paraId="0A0A7772" w14:textId="77777777" w:rsidR="0066113D" w:rsidRDefault="0066113D">
            <w:pPr>
              <w:rPr>
                <w:rFonts w:ascii="CAIXA Std Book" w:hAnsi="CAIXA Std Book" w:cs="Calibri"/>
                <w:color w:val="005CA9"/>
                <w:sz w:val="16"/>
                <w:szCs w:val="16"/>
              </w:rPr>
            </w:pPr>
            <w:r>
              <w:rPr>
                <w:rFonts w:ascii="CAIXA Std Book" w:hAnsi="CAIXA Std Book" w:cs="Calibri"/>
                <w:color w:val="005CA9"/>
                <w:sz w:val="16"/>
                <w:szCs w:val="16"/>
              </w:rPr>
              <w:t>Instrumentos financeiros subordinados (c)</w:t>
            </w:r>
          </w:p>
        </w:tc>
        <w:tc>
          <w:tcPr>
            <w:tcW w:w="685" w:type="pct"/>
            <w:tcMar>
              <w:top w:w="15" w:type="dxa"/>
              <w:left w:w="15" w:type="dxa"/>
              <w:bottom w:w="0" w:type="dxa"/>
              <w:right w:w="15" w:type="dxa"/>
            </w:tcMar>
            <w:vAlign w:val="center"/>
            <w:hideMark/>
          </w:tcPr>
          <w:p w14:paraId="4E9518A5" w14:textId="0C4E6A11" w:rsidR="0066113D" w:rsidRDefault="0066113D" w:rsidP="0066113D">
            <w:pPr>
              <w:jc w:val="right"/>
              <w:rPr>
                <w:rFonts w:ascii="CAIXA Std Book" w:hAnsi="CAIXA Std Book" w:cs="Calibri"/>
                <w:color w:val="005CA9"/>
                <w:sz w:val="16"/>
                <w:szCs w:val="16"/>
              </w:rPr>
            </w:pPr>
            <w:r>
              <w:rPr>
                <w:rFonts w:ascii="CAIXA Std Book" w:hAnsi="CAIXA Std Book" w:cs="Calibri"/>
                <w:color w:val="005CA9"/>
                <w:sz w:val="16"/>
                <w:szCs w:val="16"/>
              </w:rPr>
              <w:t>41.329.348</w:t>
            </w:r>
          </w:p>
        </w:tc>
        <w:tc>
          <w:tcPr>
            <w:tcW w:w="686" w:type="pct"/>
            <w:tcMar>
              <w:top w:w="15" w:type="dxa"/>
              <w:left w:w="15" w:type="dxa"/>
              <w:bottom w:w="0" w:type="dxa"/>
              <w:right w:w="15" w:type="dxa"/>
            </w:tcMar>
            <w:vAlign w:val="center"/>
            <w:hideMark/>
          </w:tcPr>
          <w:p w14:paraId="48DF4FAD" w14:textId="54B22E4C" w:rsidR="0066113D" w:rsidRDefault="0066113D" w:rsidP="0066113D">
            <w:pPr>
              <w:jc w:val="right"/>
              <w:rPr>
                <w:rFonts w:ascii="CAIXA Std Book" w:hAnsi="CAIXA Std Book" w:cs="Calibri"/>
                <w:color w:val="005CA9"/>
                <w:sz w:val="16"/>
                <w:szCs w:val="16"/>
              </w:rPr>
            </w:pPr>
            <w:r>
              <w:rPr>
                <w:rFonts w:ascii="CAIXA Std Book" w:hAnsi="CAIXA Std Book" w:cs="Calibri"/>
                <w:color w:val="005CA9"/>
                <w:sz w:val="16"/>
                <w:szCs w:val="16"/>
              </w:rPr>
              <w:t>41.138.493</w:t>
            </w:r>
          </w:p>
        </w:tc>
        <w:tc>
          <w:tcPr>
            <w:tcW w:w="685" w:type="pct"/>
            <w:tcMar>
              <w:top w:w="15" w:type="dxa"/>
              <w:left w:w="15" w:type="dxa"/>
              <w:bottom w:w="0" w:type="dxa"/>
              <w:right w:w="15" w:type="dxa"/>
            </w:tcMar>
            <w:vAlign w:val="center"/>
            <w:hideMark/>
          </w:tcPr>
          <w:p w14:paraId="3A00829B" w14:textId="6DFB04BA" w:rsidR="0066113D" w:rsidRDefault="0066113D" w:rsidP="0066113D">
            <w:pPr>
              <w:jc w:val="right"/>
              <w:rPr>
                <w:rFonts w:ascii="CAIXA Std Book" w:hAnsi="CAIXA Std Book" w:cs="Calibri"/>
                <w:color w:val="005CA9"/>
                <w:sz w:val="16"/>
                <w:szCs w:val="16"/>
              </w:rPr>
            </w:pPr>
            <w:r>
              <w:rPr>
                <w:rFonts w:ascii="CAIXA Std Book" w:hAnsi="CAIXA Std Book" w:cs="Calibri"/>
                <w:color w:val="005CA9"/>
                <w:sz w:val="16"/>
                <w:szCs w:val="16"/>
              </w:rPr>
              <w:t>41.329.348</w:t>
            </w:r>
          </w:p>
        </w:tc>
        <w:tc>
          <w:tcPr>
            <w:tcW w:w="686" w:type="pct"/>
            <w:tcMar>
              <w:top w:w="15" w:type="dxa"/>
              <w:left w:w="15" w:type="dxa"/>
              <w:bottom w:w="0" w:type="dxa"/>
              <w:right w:w="15" w:type="dxa"/>
            </w:tcMar>
            <w:vAlign w:val="center"/>
            <w:hideMark/>
          </w:tcPr>
          <w:p w14:paraId="409F3738" w14:textId="2E6A6FD1" w:rsidR="0066113D" w:rsidRDefault="0066113D" w:rsidP="009D5E8C">
            <w:pPr>
              <w:ind w:right="17"/>
              <w:jc w:val="right"/>
              <w:rPr>
                <w:rFonts w:ascii="CAIXA Std Book" w:hAnsi="CAIXA Std Book" w:cs="Calibri"/>
                <w:color w:val="005CA9"/>
                <w:sz w:val="16"/>
                <w:szCs w:val="16"/>
              </w:rPr>
            </w:pPr>
            <w:r>
              <w:rPr>
                <w:rFonts w:ascii="CAIXA Std Book" w:hAnsi="CAIXA Std Book" w:cs="Calibri"/>
                <w:color w:val="005CA9"/>
                <w:sz w:val="16"/>
                <w:szCs w:val="16"/>
              </w:rPr>
              <w:t>41.138.493</w:t>
            </w:r>
          </w:p>
        </w:tc>
      </w:tr>
      <w:tr w:rsidR="0066113D" w14:paraId="4700FE33" w14:textId="77777777" w:rsidTr="00C922C8">
        <w:trPr>
          <w:trHeight w:val="500"/>
        </w:trPr>
        <w:tc>
          <w:tcPr>
            <w:tcW w:w="2258" w:type="pct"/>
            <w:tcMar>
              <w:top w:w="15" w:type="dxa"/>
              <w:left w:w="15" w:type="dxa"/>
              <w:bottom w:w="0" w:type="dxa"/>
              <w:right w:w="15" w:type="dxa"/>
            </w:tcMar>
            <w:vAlign w:val="center"/>
            <w:hideMark/>
          </w:tcPr>
          <w:p w14:paraId="6BCA642A" w14:textId="6787EBF7" w:rsidR="0066113D" w:rsidRDefault="0066113D">
            <w:pPr>
              <w:rPr>
                <w:rFonts w:ascii="CAIXA Std Book" w:hAnsi="CAIXA Std Book" w:cs="Calibri"/>
                <w:color w:val="005CA9"/>
                <w:sz w:val="16"/>
                <w:szCs w:val="16"/>
              </w:rPr>
            </w:pPr>
            <w:r>
              <w:rPr>
                <w:rFonts w:ascii="CAIXA Std Book" w:hAnsi="CAIXA Std Book" w:cs="Calibri"/>
                <w:color w:val="005CA9"/>
                <w:sz w:val="16"/>
                <w:szCs w:val="16"/>
              </w:rPr>
              <w:t>Instrumentos híbridos de capital e dívida elegíveis ao capital - IHCD (d) (1)</w:t>
            </w:r>
          </w:p>
        </w:tc>
        <w:tc>
          <w:tcPr>
            <w:tcW w:w="685" w:type="pct"/>
            <w:tcMar>
              <w:top w:w="15" w:type="dxa"/>
              <w:left w:w="15" w:type="dxa"/>
              <w:bottom w:w="0" w:type="dxa"/>
              <w:right w:w="15" w:type="dxa"/>
            </w:tcMar>
            <w:vAlign w:val="center"/>
            <w:hideMark/>
          </w:tcPr>
          <w:p w14:paraId="4E71944C" w14:textId="5FD10EBA" w:rsidR="0066113D" w:rsidRDefault="00C922C8" w:rsidP="0066113D">
            <w:pPr>
              <w:jc w:val="right"/>
              <w:rPr>
                <w:rFonts w:ascii="CAIXA Std Book" w:hAnsi="CAIXA Std Book" w:cs="Calibri"/>
                <w:color w:val="005CA9"/>
                <w:sz w:val="16"/>
                <w:szCs w:val="16"/>
              </w:rPr>
            </w:pPr>
            <w:r>
              <w:rPr>
                <w:rFonts w:ascii="CAIXA Std Book" w:hAnsi="CAIXA Std Book" w:cs="Calibri"/>
                <w:color w:val="005CA9"/>
                <w:sz w:val="16"/>
                <w:szCs w:val="16"/>
              </w:rPr>
              <w:t>36.417.784</w:t>
            </w:r>
          </w:p>
        </w:tc>
        <w:tc>
          <w:tcPr>
            <w:tcW w:w="686" w:type="pct"/>
            <w:tcMar>
              <w:top w:w="15" w:type="dxa"/>
              <w:left w:w="15" w:type="dxa"/>
              <w:bottom w:w="0" w:type="dxa"/>
              <w:right w:w="15" w:type="dxa"/>
            </w:tcMar>
            <w:vAlign w:val="center"/>
            <w:hideMark/>
          </w:tcPr>
          <w:p w14:paraId="7652F6F5" w14:textId="0A1C9235" w:rsidR="0066113D" w:rsidRDefault="00C922C8" w:rsidP="0066113D">
            <w:pPr>
              <w:jc w:val="right"/>
              <w:rPr>
                <w:rFonts w:ascii="CAIXA Std Book" w:hAnsi="CAIXA Std Book" w:cs="Calibri"/>
                <w:color w:val="005CA9"/>
                <w:sz w:val="16"/>
                <w:szCs w:val="16"/>
              </w:rPr>
            </w:pPr>
            <w:r>
              <w:rPr>
                <w:rFonts w:ascii="CAIXA Std Book" w:hAnsi="CAIXA Std Book" w:cs="Calibri"/>
                <w:color w:val="005CA9"/>
                <w:sz w:val="16"/>
                <w:szCs w:val="16"/>
              </w:rPr>
              <w:t>36.022.961</w:t>
            </w:r>
          </w:p>
        </w:tc>
        <w:tc>
          <w:tcPr>
            <w:tcW w:w="685" w:type="pct"/>
            <w:tcMar>
              <w:top w:w="15" w:type="dxa"/>
              <w:left w:w="15" w:type="dxa"/>
              <w:bottom w:w="0" w:type="dxa"/>
              <w:right w:w="15" w:type="dxa"/>
            </w:tcMar>
            <w:vAlign w:val="center"/>
            <w:hideMark/>
          </w:tcPr>
          <w:p w14:paraId="67D8FC8D" w14:textId="775E976E" w:rsidR="0066113D" w:rsidRDefault="00C922C8" w:rsidP="000F044E">
            <w:pPr>
              <w:jc w:val="right"/>
              <w:rPr>
                <w:rFonts w:ascii="CAIXA Std Book" w:hAnsi="CAIXA Std Book" w:cs="Calibri"/>
                <w:color w:val="005CA9"/>
                <w:sz w:val="16"/>
                <w:szCs w:val="16"/>
              </w:rPr>
            </w:pPr>
            <w:r>
              <w:rPr>
                <w:rFonts w:ascii="CAIXA Std Book" w:hAnsi="CAIXA Std Book" w:cs="Calibri"/>
                <w:color w:val="005CA9"/>
                <w:sz w:val="16"/>
                <w:szCs w:val="16"/>
              </w:rPr>
              <w:t>975.460</w:t>
            </w:r>
          </w:p>
        </w:tc>
        <w:tc>
          <w:tcPr>
            <w:tcW w:w="686" w:type="pct"/>
            <w:tcMar>
              <w:top w:w="15" w:type="dxa"/>
              <w:left w:w="15" w:type="dxa"/>
              <w:bottom w:w="0" w:type="dxa"/>
              <w:right w:w="15" w:type="dxa"/>
            </w:tcMar>
            <w:vAlign w:val="center"/>
            <w:hideMark/>
          </w:tcPr>
          <w:p w14:paraId="0A5DAEA1" w14:textId="0DD0EDEC" w:rsidR="0066113D" w:rsidRDefault="00C922C8" w:rsidP="009D5E8C">
            <w:pPr>
              <w:ind w:right="17"/>
              <w:jc w:val="right"/>
              <w:rPr>
                <w:rFonts w:ascii="CAIXA Std Book" w:hAnsi="CAIXA Std Book" w:cs="Calibri"/>
                <w:color w:val="005CA9"/>
                <w:sz w:val="16"/>
                <w:szCs w:val="16"/>
              </w:rPr>
            </w:pPr>
            <w:r>
              <w:rPr>
                <w:rFonts w:ascii="CAIXA Std Book" w:hAnsi="CAIXA Std Book" w:cs="Calibri"/>
                <w:color w:val="005CA9"/>
                <w:sz w:val="16"/>
                <w:szCs w:val="16"/>
              </w:rPr>
              <w:t>921.703</w:t>
            </w:r>
          </w:p>
        </w:tc>
      </w:tr>
      <w:tr w:rsidR="0066113D" w14:paraId="0AEE3751" w14:textId="77777777" w:rsidTr="00C922C8">
        <w:trPr>
          <w:trHeight w:val="290"/>
        </w:trPr>
        <w:tc>
          <w:tcPr>
            <w:tcW w:w="2258" w:type="pct"/>
            <w:shd w:val="clear" w:color="000000" w:fill="005CA9"/>
            <w:tcMar>
              <w:top w:w="15" w:type="dxa"/>
              <w:left w:w="15" w:type="dxa"/>
              <w:bottom w:w="0" w:type="dxa"/>
              <w:right w:w="15" w:type="dxa"/>
            </w:tcMar>
            <w:vAlign w:val="center"/>
            <w:hideMark/>
          </w:tcPr>
          <w:p w14:paraId="04487B06" w14:textId="77777777" w:rsidR="0066113D" w:rsidRDefault="0066113D">
            <w:pPr>
              <w:rPr>
                <w:rFonts w:ascii="CAIXA Std Book" w:hAnsi="CAIXA Std Book" w:cs="Calibri"/>
                <w:b/>
                <w:bCs/>
                <w:color w:val="FFFFFF"/>
                <w:sz w:val="16"/>
                <w:szCs w:val="16"/>
              </w:rPr>
            </w:pPr>
            <w:r>
              <w:rPr>
                <w:rFonts w:ascii="CAIXA Std Book" w:hAnsi="CAIXA Std Book" w:cs="Calibri"/>
                <w:b/>
                <w:bCs/>
                <w:color w:val="FFFFFF"/>
                <w:sz w:val="16"/>
                <w:szCs w:val="16"/>
              </w:rPr>
              <w:t>Total</w:t>
            </w:r>
          </w:p>
        </w:tc>
        <w:tc>
          <w:tcPr>
            <w:tcW w:w="685" w:type="pct"/>
            <w:shd w:val="clear" w:color="000000" w:fill="005CA9"/>
            <w:tcMar>
              <w:top w:w="15" w:type="dxa"/>
              <w:left w:w="15" w:type="dxa"/>
              <w:bottom w:w="0" w:type="dxa"/>
              <w:right w:w="15" w:type="dxa"/>
            </w:tcMar>
            <w:vAlign w:val="center"/>
            <w:hideMark/>
          </w:tcPr>
          <w:p w14:paraId="6BA439BE" w14:textId="07E0B022" w:rsidR="0066113D" w:rsidRDefault="0066113D" w:rsidP="0066113D">
            <w:pPr>
              <w:jc w:val="right"/>
              <w:rPr>
                <w:rFonts w:ascii="CAIXA Std Book" w:hAnsi="CAIXA Std Book" w:cs="Calibri"/>
                <w:b/>
                <w:bCs/>
                <w:color w:val="FFFFFF"/>
                <w:sz w:val="16"/>
                <w:szCs w:val="16"/>
              </w:rPr>
            </w:pPr>
            <w:r>
              <w:rPr>
                <w:rFonts w:ascii="CAIXA Std Book" w:hAnsi="CAIXA Std Book" w:cs="Calibri"/>
                <w:b/>
                <w:bCs/>
                <w:color w:val="FFFFFF"/>
                <w:sz w:val="16"/>
                <w:szCs w:val="16"/>
              </w:rPr>
              <w:t>383.476.961</w:t>
            </w:r>
          </w:p>
        </w:tc>
        <w:tc>
          <w:tcPr>
            <w:tcW w:w="686" w:type="pct"/>
            <w:shd w:val="clear" w:color="000000" w:fill="005CA9"/>
            <w:tcMar>
              <w:top w:w="15" w:type="dxa"/>
              <w:left w:w="15" w:type="dxa"/>
              <w:bottom w:w="0" w:type="dxa"/>
              <w:right w:w="15" w:type="dxa"/>
            </w:tcMar>
            <w:vAlign w:val="center"/>
            <w:hideMark/>
          </w:tcPr>
          <w:p w14:paraId="16482071" w14:textId="7789B564" w:rsidR="0066113D" w:rsidRDefault="0066113D" w:rsidP="0066113D">
            <w:pPr>
              <w:jc w:val="right"/>
              <w:rPr>
                <w:rFonts w:ascii="CAIXA Std Book" w:hAnsi="CAIXA Std Book" w:cs="Calibri"/>
                <w:b/>
                <w:bCs/>
                <w:color w:val="FFFFFF"/>
                <w:sz w:val="16"/>
                <w:szCs w:val="16"/>
              </w:rPr>
            </w:pPr>
            <w:r>
              <w:rPr>
                <w:rFonts w:ascii="CAIXA Std Book" w:hAnsi="CAIXA Std Book" w:cs="Calibri"/>
                <w:b/>
                <w:bCs/>
                <w:color w:val="FFFFFF"/>
                <w:sz w:val="16"/>
                <w:szCs w:val="16"/>
              </w:rPr>
              <w:t>371.507.164</w:t>
            </w:r>
          </w:p>
        </w:tc>
        <w:tc>
          <w:tcPr>
            <w:tcW w:w="685" w:type="pct"/>
            <w:shd w:val="clear" w:color="000000" w:fill="005CA9"/>
            <w:tcMar>
              <w:top w:w="15" w:type="dxa"/>
              <w:left w:w="15" w:type="dxa"/>
              <w:bottom w:w="0" w:type="dxa"/>
              <w:right w:w="15" w:type="dxa"/>
            </w:tcMar>
            <w:vAlign w:val="center"/>
            <w:hideMark/>
          </w:tcPr>
          <w:p w14:paraId="6811509C" w14:textId="294F005E" w:rsidR="0066113D" w:rsidRDefault="0066113D" w:rsidP="0066113D">
            <w:pPr>
              <w:jc w:val="right"/>
              <w:rPr>
                <w:rFonts w:ascii="CAIXA Std Book" w:hAnsi="CAIXA Std Book" w:cs="Calibri"/>
                <w:b/>
                <w:bCs/>
                <w:color w:val="FFFFFF"/>
                <w:sz w:val="16"/>
                <w:szCs w:val="16"/>
              </w:rPr>
            </w:pPr>
            <w:r>
              <w:rPr>
                <w:rFonts w:ascii="CAIXA Std Book" w:hAnsi="CAIXA Std Book" w:cs="Calibri"/>
                <w:b/>
                <w:bCs/>
                <w:color w:val="FFFFFF"/>
                <w:sz w:val="16"/>
                <w:szCs w:val="16"/>
              </w:rPr>
              <w:t>348.034.637</w:t>
            </w:r>
          </w:p>
        </w:tc>
        <w:tc>
          <w:tcPr>
            <w:tcW w:w="686" w:type="pct"/>
            <w:shd w:val="clear" w:color="000000" w:fill="005CA9"/>
            <w:tcMar>
              <w:top w:w="15" w:type="dxa"/>
              <w:left w:w="15" w:type="dxa"/>
              <w:bottom w:w="0" w:type="dxa"/>
              <w:right w:w="15" w:type="dxa"/>
            </w:tcMar>
            <w:vAlign w:val="center"/>
            <w:hideMark/>
          </w:tcPr>
          <w:p w14:paraId="7B4E6E66" w14:textId="312CC03F" w:rsidR="0066113D" w:rsidRDefault="0066113D" w:rsidP="009D5E8C">
            <w:pPr>
              <w:ind w:right="17"/>
              <w:jc w:val="right"/>
              <w:rPr>
                <w:rFonts w:ascii="CAIXA Std Book" w:hAnsi="CAIXA Std Book" w:cs="Calibri"/>
                <w:b/>
                <w:bCs/>
                <w:color w:val="FFFFFF"/>
                <w:sz w:val="16"/>
                <w:szCs w:val="16"/>
              </w:rPr>
            </w:pPr>
            <w:r>
              <w:rPr>
                <w:rFonts w:ascii="CAIXA Std Book" w:hAnsi="CAIXA Std Book" w:cs="Calibri"/>
                <w:b/>
                <w:bCs/>
                <w:color w:val="FFFFFF"/>
                <w:sz w:val="16"/>
                <w:szCs w:val="16"/>
              </w:rPr>
              <w:t>336.405.906</w:t>
            </w:r>
          </w:p>
        </w:tc>
      </w:tr>
    </w:tbl>
    <w:p w14:paraId="4DF42EAC" w14:textId="6C4CDF89" w:rsidR="005D3414" w:rsidRDefault="005D3414" w:rsidP="005D3414">
      <w:pPr>
        <w:spacing w:after="120"/>
        <w:jc w:val="both"/>
        <w:rPr>
          <w:rFonts w:ascii="CAIXA Std Book" w:hAnsi="CAIXA Std Book"/>
          <w:color w:val="005CA9"/>
          <w:sz w:val="16"/>
          <w:szCs w:val="16"/>
        </w:rPr>
      </w:pPr>
      <w:r>
        <w:rPr>
          <w:rFonts w:ascii="CAIXA Std Book" w:hAnsi="CAIXA Std Book"/>
          <w:color w:val="005CA9"/>
          <w:sz w:val="16"/>
          <w:szCs w:val="16"/>
        </w:rPr>
        <w:t>(</w:t>
      </w:r>
      <w:r w:rsidR="00FD2310">
        <w:rPr>
          <w:rFonts w:ascii="CAIXA Std Book" w:hAnsi="CAIXA Std Book"/>
          <w:color w:val="005CA9"/>
          <w:sz w:val="16"/>
          <w:szCs w:val="16"/>
        </w:rPr>
        <w:t>1</w:t>
      </w:r>
      <w:r>
        <w:rPr>
          <w:rFonts w:ascii="CAIXA Std Book" w:hAnsi="CAIXA Std Book"/>
          <w:color w:val="005CA9"/>
          <w:sz w:val="16"/>
          <w:szCs w:val="16"/>
        </w:rPr>
        <w:t xml:space="preserve">) </w:t>
      </w:r>
      <w:r w:rsidR="00FA200E">
        <w:rPr>
          <w:rFonts w:ascii="CAIXA Std Book" w:hAnsi="CAIXA Std Book"/>
          <w:color w:val="005CA9"/>
          <w:sz w:val="16"/>
          <w:szCs w:val="16"/>
        </w:rPr>
        <w:t>C</w:t>
      </w:r>
      <w:r>
        <w:rPr>
          <w:rFonts w:ascii="CAIXA Std Book" w:hAnsi="CAIXA Std Book"/>
          <w:color w:val="005CA9"/>
          <w:sz w:val="16"/>
          <w:szCs w:val="16"/>
        </w:rPr>
        <w:t>o</w:t>
      </w:r>
      <w:r w:rsidR="008815AA">
        <w:rPr>
          <w:rFonts w:ascii="CAIXA Std Book" w:hAnsi="CAIXA Std Book"/>
          <w:color w:val="005CA9"/>
          <w:sz w:val="16"/>
          <w:szCs w:val="16"/>
        </w:rPr>
        <w:t>ntempla os</w:t>
      </w:r>
      <w:r>
        <w:rPr>
          <w:rFonts w:ascii="CAIXA Std Book" w:hAnsi="CAIXA Std Book"/>
          <w:color w:val="005CA9"/>
          <w:sz w:val="16"/>
          <w:szCs w:val="16"/>
        </w:rPr>
        <w:t xml:space="preserve"> </w:t>
      </w:r>
      <w:r w:rsidRPr="005D3414">
        <w:rPr>
          <w:rFonts w:ascii="CAIXA Std Book" w:hAnsi="CAIXA Std Book"/>
          <w:color w:val="005CA9"/>
          <w:sz w:val="16"/>
          <w:szCs w:val="16"/>
        </w:rPr>
        <w:t>juros remuneratórios</w:t>
      </w:r>
      <w:r w:rsidR="00C922C8">
        <w:rPr>
          <w:rFonts w:ascii="CAIXA Std Book" w:hAnsi="CAIXA Std Book"/>
          <w:color w:val="005CA9"/>
          <w:sz w:val="16"/>
          <w:szCs w:val="16"/>
        </w:rPr>
        <w:t xml:space="preserve"> e a atualização monetária</w:t>
      </w:r>
      <w:r w:rsidR="008815AA">
        <w:rPr>
          <w:rFonts w:ascii="CAIXA Std Book" w:hAnsi="CAIXA Std Book"/>
          <w:color w:val="005CA9"/>
          <w:sz w:val="16"/>
          <w:szCs w:val="16"/>
        </w:rPr>
        <w:t xml:space="preserve"> de IHCD</w:t>
      </w:r>
      <w:r w:rsidR="00C922C8">
        <w:rPr>
          <w:rFonts w:ascii="CAIXA Std Book" w:hAnsi="CAIXA Std Book"/>
          <w:color w:val="005CA9"/>
          <w:sz w:val="16"/>
          <w:szCs w:val="16"/>
        </w:rPr>
        <w:t>.</w:t>
      </w:r>
    </w:p>
    <w:p w14:paraId="5C2882A7" w14:textId="77777777" w:rsidR="002A598F" w:rsidRDefault="002A598F">
      <w:pPr>
        <w:rPr>
          <w:rFonts w:ascii="CAIXA Std Book" w:hAnsi="CAIXA Std Book"/>
          <w:color w:val="005CA9"/>
          <w:sz w:val="16"/>
          <w:szCs w:val="16"/>
        </w:rPr>
      </w:pPr>
      <w:r>
        <w:rPr>
          <w:rFonts w:ascii="CAIXA Std Book" w:hAnsi="CAIXA Std Book"/>
          <w:color w:val="005CA9"/>
          <w:sz w:val="16"/>
          <w:szCs w:val="16"/>
        </w:rPr>
        <w:br w:type="page"/>
      </w:r>
    </w:p>
    <w:p w14:paraId="441A0D8C" w14:textId="6AC5AE92" w:rsidR="00350962" w:rsidRPr="00B04D8D" w:rsidRDefault="00AF70C5" w:rsidP="00BA2B7A">
      <w:pPr>
        <w:keepNext/>
        <w:spacing w:before="240" w:after="120"/>
        <w:ind w:left="851" w:hanging="851"/>
        <w:jc w:val="both"/>
        <w:rPr>
          <w:rFonts w:ascii="CAIXA Std Book" w:hAnsi="CAIXA Std Book"/>
          <w:b/>
          <w:color w:val="005CA9"/>
          <w:sz w:val="20"/>
          <w:szCs w:val="20"/>
        </w:rPr>
      </w:pPr>
      <w:r>
        <w:rPr>
          <w:rFonts w:ascii="CAIXA Std Book" w:hAnsi="CAIXA Std Book"/>
          <w:b/>
          <w:color w:val="005CA9"/>
          <w:sz w:val="20"/>
          <w:szCs w:val="20"/>
        </w:rPr>
        <w:t>(a.1)</w:t>
      </w:r>
      <w:r>
        <w:rPr>
          <w:rFonts w:ascii="CAIXA Std Book" w:hAnsi="CAIXA Std Book"/>
          <w:b/>
          <w:color w:val="005CA9"/>
          <w:sz w:val="20"/>
          <w:szCs w:val="20"/>
        </w:rPr>
        <w:tab/>
      </w:r>
      <w:r w:rsidR="00350962" w:rsidRPr="00B04D8D">
        <w:rPr>
          <w:rFonts w:ascii="CAIXA Std Book" w:hAnsi="CAIXA Std Book"/>
          <w:b/>
          <w:color w:val="005CA9"/>
          <w:sz w:val="20"/>
          <w:szCs w:val="20"/>
        </w:rPr>
        <w:t xml:space="preserve">Instrumento de </w:t>
      </w:r>
      <w:r w:rsidR="007A52AF">
        <w:rPr>
          <w:rFonts w:ascii="CAIXA Std Book" w:hAnsi="CAIXA Std Book"/>
          <w:b/>
          <w:color w:val="005CA9"/>
          <w:sz w:val="20"/>
          <w:szCs w:val="20"/>
        </w:rPr>
        <w:t>d</w:t>
      </w:r>
      <w:r w:rsidR="00350962" w:rsidRPr="00B04D8D">
        <w:rPr>
          <w:rFonts w:ascii="CAIXA Std Book" w:hAnsi="CAIXA Std Book"/>
          <w:b/>
          <w:color w:val="005CA9"/>
          <w:sz w:val="20"/>
          <w:szCs w:val="20"/>
        </w:rPr>
        <w:t xml:space="preserve">ívida </w:t>
      </w:r>
      <w:r w:rsidR="007A52AF">
        <w:rPr>
          <w:rFonts w:ascii="CAIXA Std Book" w:hAnsi="CAIXA Std Book"/>
          <w:b/>
          <w:color w:val="005CA9"/>
          <w:sz w:val="20"/>
          <w:szCs w:val="20"/>
        </w:rPr>
        <w:t>s</w:t>
      </w:r>
      <w:r w:rsidR="00350962" w:rsidRPr="00B04D8D">
        <w:rPr>
          <w:rFonts w:ascii="CAIXA Std Book" w:hAnsi="CAIXA Std Book"/>
          <w:b/>
          <w:color w:val="005CA9"/>
          <w:sz w:val="20"/>
          <w:szCs w:val="20"/>
        </w:rPr>
        <w:t>ubordinada – FGTS</w:t>
      </w:r>
    </w:p>
    <w:p w14:paraId="3686835C" w14:textId="3FA8D809" w:rsidR="00350962" w:rsidRPr="003935AF" w:rsidRDefault="00350962" w:rsidP="00BA2B7A">
      <w:pPr>
        <w:spacing w:before="120" w:after="120"/>
        <w:jc w:val="both"/>
        <w:rPr>
          <w:rFonts w:ascii="CAIXA Std Book" w:hAnsi="CAIXA Std Book"/>
          <w:color w:val="005CA9"/>
          <w:sz w:val="20"/>
          <w:szCs w:val="20"/>
        </w:rPr>
      </w:pPr>
      <w:r w:rsidRPr="003935AF">
        <w:rPr>
          <w:rFonts w:ascii="CAIXA Std Book" w:hAnsi="CAIXA Std Book"/>
          <w:color w:val="005CA9"/>
          <w:sz w:val="20"/>
          <w:szCs w:val="20"/>
        </w:rPr>
        <w:t xml:space="preserve">A CAIXA possui 8 instrumentos de dívida subordinada autorizados pelo Banco Central do Brasil na composição do Nível II do </w:t>
      </w:r>
      <w:r w:rsidR="003F1528" w:rsidRPr="00FF4346">
        <w:rPr>
          <w:rFonts w:ascii="CAIXA Std Book" w:hAnsi="CAIXA Std Book"/>
          <w:color w:val="005CA9"/>
          <w:sz w:val="20"/>
          <w:szCs w:val="20"/>
        </w:rPr>
        <w:t xml:space="preserve">Patrimônio de Referência </w:t>
      </w:r>
      <w:r w:rsidR="003F1528">
        <w:rPr>
          <w:rFonts w:ascii="CAIXA Std Book" w:hAnsi="CAIXA Std Book"/>
          <w:color w:val="005CA9"/>
          <w:sz w:val="20"/>
          <w:szCs w:val="20"/>
        </w:rPr>
        <w:t xml:space="preserve">– </w:t>
      </w:r>
      <w:r w:rsidRPr="003935AF">
        <w:rPr>
          <w:rFonts w:ascii="CAIXA Std Book" w:hAnsi="CAIXA Std Book"/>
          <w:color w:val="005CA9"/>
          <w:sz w:val="20"/>
          <w:szCs w:val="20"/>
        </w:rPr>
        <w:t>PR, em acordo com o disposto na Resolução CMN nº 4.958/2021 que trata da metodologia de apuração do PR, contratados com o Fundo de Garantia do Tempo de Serviço – FGTS.</w:t>
      </w:r>
    </w:p>
    <w:p w14:paraId="616A2F8B" w14:textId="77777777" w:rsidR="00350962" w:rsidRPr="003935AF" w:rsidRDefault="00350962" w:rsidP="00BA2B7A">
      <w:pPr>
        <w:spacing w:before="120" w:after="240"/>
        <w:jc w:val="both"/>
        <w:rPr>
          <w:rFonts w:ascii="CAIXA Std Book" w:hAnsi="CAIXA Std Book"/>
          <w:color w:val="005CA9"/>
          <w:sz w:val="20"/>
          <w:szCs w:val="20"/>
        </w:rPr>
      </w:pPr>
      <w:r w:rsidRPr="003935AF">
        <w:rPr>
          <w:rFonts w:ascii="CAIXA Std Book" w:hAnsi="CAIXA Std Book"/>
          <w:color w:val="005CA9"/>
          <w:sz w:val="20"/>
          <w:szCs w:val="20"/>
        </w:rPr>
        <w:t>Sobre o valor total das dívidas incide atualização monetária, mediante a aplicação de coeficiente de atualização idêntico ao utilizado para a remuneração das contas vinculadas do FGTS e juros capitalizados mensalmente.</w:t>
      </w:r>
    </w:p>
    <w:p w14:paraId="41AEE081" w14:textId="1834B3BB" w:rsidR="00350962" w:rsidRPr="00B04D8D" w:rsidRDefault="00AF70C5" w:rsidP="00BA2B7A">
      <w:pPr>
        <w:keepNext/>
        <w:spacing w:before="240" w:after="120"/>
        <w:ind w:left="851" w:hanging="851"/>
        <w:jc w:val="both"/>
        <w:rPr>
          <w:rFonts w:ascii="CAIXA Std Book" w:hAnsi="CAIXA Std Book"/>
          <w:b/>
          <w:color w:val="005CA9"/>
          <w:sz w:val="20"/>
          <w:szCs w:val="20"/>
        </w:rPr>
      </w:pPr>
      <w:r>
        <w:rPr>
          <w:rFonts w:ascii="CAIXA Std Book" w:hAnsi="CAIXA Std Book"/>
          <w:b/>
          <w:color w:val="005CA9"/>
          <w:sz w:val="20"/>
          <w:szCs w:val="20"/>
        </w:rPr>
        <w:t>(a.2)</w:t>
      </w:r>
      <w:r>
        <w:rPr>
          <w:rFonts w:ascii="CAIXA Std Book" w:hAnsi="CAIXA Std Book"/>
          <w:b/>
          <w:color w:val="005CA9"/>
          <w:sz w:val="20"/>
          <w:szCs w:val="20"/>
        </w:rPr>
        <w:tab/>
      </w:r>
      <w:r w:rsidR="00350962" w:rsidRPr="00B04D8D">
        <w:rPr>
          <w:rFonts w:ascii="CAIXA Std Book" w:hAnsi="CAIXA Std Book"/>
          <w:b/>
          <w:color w:val="005CA9"/>
          <w:sz w:val="20"/>
          <w:szCs w:val="20"/>
        </w:rPr>
        <w:t xml:space="preserve">Letras </w:t>
      </w:r>
      <w:r w:rsidR="007A52AF">
        <w:rPr>
          <w:rFonts w:ascii="CAIXA Std Book" w:hAnsi="CAIXA Std Book"/>
          <w:b/>
          <w:color w:val="005CA9"/>
          <w:sz w:val="20"/>
          <w:szCs w:val="20"/>
        </w:rPr>
        <w:t>f</w:t>
      </w:r>
      <w:r w:rsidR="00350962" w:rsidRPr="00B04D8D">
        <w:rPr>
          <w:rFonts w:ascii="CAIXA Std Book" w:hAnsi="CAIXA Std Book"/>
          <w:b/>
          <w:color w:val="005CA9"/>
          <w:sz w:val="20"/>
          <w:szCs w:val="20"/>
        </w:rPr>
        <w:t xml:space="preserve">inanceiras </w:t>
      </w:r>
      <w:r w:rsidR="007A52AF">
        <w:rPr>
          <w:rFonts w:ascii="CAIXA Std Book" w:hAnsi="CAIXA Std Book"/>
          <w:b/>
          <w:color w:val="005CA9"/>
          <w:sz w:val="20"/>
          <w:szCs w:val="20"/>
        </w:rPr>
        <w:t>s</w:t>
      </w:r>
      <w:r w:rsidR="00350962" w:rsidRPr="00B04D8D">
        <w:rPr>
          <w:rFonts w:ascii="CAIXA Std Book" w:hAnsi="CAIXA Std Book"/>
          <w:b/>
          <w:color w:val="005CA9"/>
          <w:sz w:val="20"/>
          <w:szCs w:val="20"/>
        </w:rPr>
        <w:t>ubordinadas – Nível I (Complementar)</w:t>
      </w:r>
    </w:p>
    <w:p w14:paraId="6CE79C1D" w14:textId="59BF4074" w:rsidR="000B0D04" w:rsidRDefault="00350962" w:rsidP="00350962">
      <w:pPr>
        <w:jc w:val="both"/>
        <w:rPr>
          <w:rFonts w:ascii="CAIXA Std Book" w:hAnsi="CAIXA Std Book"/>
          <w:color w:val="005CA9"/>
          <w:sz w:val="20"/>
          <w:szCs w:val="20"/>
        </w:rPr>
      </w:pPr>
      <w:r w:rsidRPr="003935AF">
        <w:rPr>
          <w:rFonts w:ascii="CAIXA Std Book" w:hAnsi="CAIXA Std Book"/>
          <w:color w:val="005CA9"/>
          <w:sz w:val="20"/>
          <w:szCs w:val="20"/>
        </w:rPr>
        <w:t xml:space="preserve">A CAIXA captou no mercado local Letras Financeiras Subordinadas, no valor de face total de </w:t>
      </w:r>
      <w:r w:rsidRPr="00621313">
        <w:rPr>
          <w:rFonts w:ascii="CAIXA Std Book" w:hAnsi="CAIXA Std Book"/>
          <w:color w:val="005CA9"/>
          <w:sz w:val="20"/>
          <w:szCs w:val="20"/>
        </w:rPr>
        <w:t xml:space="preserve">R$ </w:t>
      </w:r>
      <w:r w:rsidR="002C55D5">
        <w:rPr>
          <w:rFonts w:ascii="CAIXA Std Book" w:hAnsi="CAIXA Std Book"/>
          <w:color w:val="005CA9"/>
          <w:sz w:val="20"/>
          <w:szCs w:val="20"/>
        </w:rPr>
        <w:t>7.368.000</w:t>
      </w:r>
      <w:r w:rsidRPr="00621313">
        <w:rPr>
          <w:rFonts w:ascii="CAIXA Std Book" w:hAnsi="CAIXA Std Book"/>
          <w:color w:val="005CA9"/>
          <w:sz w:val="20"/>
          <w:szCs w:val="20"/>
        </w:rPr>
        <w:t>,</w:t>
      </w:r>
      <w:r w:rsidRPr="00F479B3">
        <w:rPr>
          <w:rFonts w:ascii="CAIXA Std Book" w:hAnsi="CAIXA Std Book"/>
          <w:color w:val="005CA9"/>
          <w:sz w:val="20"/>
          <w:szCs w:val="20"/>
        </w:rPr>
        <w:t xml:space="preserve"> desse</w:t>
      </w:r>
      <w:r w:rsidRPr="003935AF">
        <w:rPr>
          <w:rFonts w:ascii="CAIXA Std Book" w:hAnsi="CAIXA Std Book"/>
          <w:color w:val="005CA9"/>
          <w:sz w:val="20"/>
          <w:szCs w:val="20"/>
        </w:rPr>
        <w:t xml:space="preserve"> total </w:t>
      </w:r>
      <w:r w:rsidRPr="00621313">
        <w:rPr>
          <w:rFonts w:ascii="CAIXA Std Book" w:hAnsi="CAIXA Std Book"/>
          <w:color w:val="005CA9"/>
          <w:sz w:val="20"/>
          <w:szCs w:val="20"/>
        </w:rPr>
        <w:t>R$</w:t>
      </w:r>
      <w:r w:rsidR="001E60E4" w:rsidRPr="00621313">
        <w:rPr>
          <w:rFonts w:ascii="CAIXA Std Book" w:hAnsi="CAIXA Std Book"/>
          <w:color w:val="005CA9"/>
          <w:sz w:val="20"/>
          <w:szCs w:val="20"/>
        </w:rPr>
        <w:t xml:space="preserve"> </w:t>
      </w:r>
      <w:r w:rsidR="00684BC2">
        <w:rPr>
          <w:rFonts w:ascii="CAIXA Std Book" w:hAnsi="CAIXA Std Book"/>
          <w:color w:val="005CA9"/>
          <w:sz w:val="20"/>
          <w:szCs w:val="20"/>
        </w:rPr>
        <w:t>7.362.541</w:t>
      </w:r>
      <w:r w:rsidRPr="003935AF">
        <w:rPr>
          <w:rFonts w:ascii="CAIXA Std Book" w:hAnsi="CAIXA Std Book"/>
          <w:color w:val="005CA9"/>
          <w:sz w:val="20"/>
          <w:szCs w:val="20"/>
        </w:rPr>
        <w:t xml:space="preserve"> estão autorizadas para compor o Capital Complementar do Nível I (PR).</w:t>
      </w:r>
    </w:p>
    <w:p w14:paraId="291BC810" w14:textId="3F6A84B5" w:rsidR="00AD0BAE" w:rsidRPr="00B0058D" w:rsidRDefault="00AD0BAE" w:rsidP="00295657">
      <w:pPr>
        <w:pStyle w:val="PargrafodaLista"/>
        <w:numPr>
          <w:ilvl w:val="0"/>
          <w:numId w:val="24"/>
        </w:numPr>
        <w:spacing w:before="240" w:after="120"/>
        <w:ind w:left="567" w:hanging="567"/>
        <w:jc w:val="both"/>
        <w:rPr>
          <w:rFonts w:ascii="CAIXA Std Book" w:hAnsi="CAIXA Std Book"/>
          <w:b/>
          <w:color w:val="005CA9"/>
          <w:sz w:val="20"/>
          <w:szCs w:val="20"/>
        </w:rPr>
      </w:pPr>
      <w:r w:rsidRPr="00B0058D">
        <w:rPr>
          <w:rFonts w:ascii="CAIXA Std Book" w:hAnsi="CAIXA Std Book"/>
          <w:b/>
          <w:color w:val="005CA9"/>
          <w:sz w:val="20"/>
          <w:szCs w:val="20"/>
        </w:rPr>
        <w:t>Recursos de aceites e emissão de títulos</w:t>
      </w:r>
    </w:p>
    <w:tbl>
      <w:tblPr>
        <w:tblW w:w="5000" w:type="pct"/>
        <w:tblCellMar>
          <w:left w:w="70" w:type="dxa"/>
          <w:right w:w="70" w:type="dxa"/>
        </w:tblCellMar>
        <w:tblLook w:val="04A0" w:firstRow="1" w:lastRow="0" w:firstColumn="1" w:lastColumn="0" w:noHBand="0" w:noVBand="1"/>
      </w:tblPr>
      <w:tblGrid>
        <w:gridCol w:w="1662"/>
        <w:gridCol w:w="954"/>
        <w:gridCol w:w="1012"/>
        <w:gridCol w:w="1191"/>
        <w:gridCol w:w="1278"/>
        <w:gridCol w:w="1316"/>
        <w:gridCol w:w="1112"/>
        <w:gridCol w:w="1112"/>
      </w:tblGrid>
      <w:tr w:rsidR="00D61926" w:rsidRPr="00D61926" w14:paraId="2A5F52B4" w14:textId="77777777" w:rsidTr="00C86A75">
        <w:trPr>
          <w:trHeight w:val="290"/>
        </w:trPr>
        <w:tc>
          <w:tcPr>
            <w:tcW w:w="5000" w:type="pct"/>
            <w:gridSpan w:val="8"/>
            <w:tcBorders>
              <w:top w:val="nil"/>
              <w:left w:val="nil"/>
              <w:bottom w:val="single" w:sz="4" w:space="0" w:color="FFFFFF"/>
              <w:right w:val="nil"/>
            </w:tcBorders>
            <w:shd w:val="clear" w:color="000000" w:fill="005CA9"/>
            <w:vAlign w:val="center"/>
            <w:hideMark/>
          </w:tcPr>
          <w:p w14:paraId="0F39758D" w14:textId="77777777" w:rsidR="00D61926" w:rsidRPr="00D61926" w:rsidRDefault="00D61926" w:rsidP="00D61926">
            <w:pPr>
              <w:jc w:val="center"/>
              <w:rPr>
                <w:rFonts w:ascii="CAIXA Std Book" w:eastAsia="Times New Roman" w:hAnsi="CAIXA Std Book" w:cs="Calibri"/>
                <w:b/>
                <w:bCs/>
                <w:color w:val="FFFFFF"/>
                <w:sz w:val="16"/>
                <w:szCs w:val="16"/>
              </w:rPr>
            </w:pPr>
            <w:r w:rsidRPr="00D61926">
              <w:rPr>
                <w:rFonts w:ascii="CAIXA Std Book" w:eastAsia="Times New Roman" w:hAnsi="CAIXA Std Book" w:cs="Calibri"/>
                <w:b/>
                <w:bCs/>
                <w:color w:val="FFFFFF"/>
                <w:sz w:val="16"/>
                <w:szCs w:val="16"/>
              </w:rPr>
              <w:t>Individual / Consolidado</w:t>
            </w:r>
          </w:p>
        </w:tc>
      </w:tr>
      <w:tr w:rsidR="00D61926" w:rsidRPr="00D61926" w14:paraId="3384D08D" w14:textId="77777777" w:rsidTr="00491C2B">
        <w:trPr>
          <w:trHeight w:val="290"/>
        </w:trPr>
        <w:tc>
          <w:tcPr>
            <w:tcW w:w="862" w:type="pct"/>
            <w:vMerge w:val="restart"/>
            <w:tcBorders>
              <w:top w:val="nil"/>
              <w:left w:val="nil"/>
              <w:bottom w:val="nil"/>
              <w:right w:val="nil"/>
            </w:tcBorders>
            <w:shd w:val="clear" w:color="000000" w:fill="005CA9"/>
            <w:vAlign w:val="center"/>
            <w:hideMark/>
          </w:tcPr>
          <w:p w14:paraId="25F48AE0" w14:textId="77777777" w:rsidR="00D61926" w:rsidRPr="00D61926" w:rsidRDefault="00D61926" w:rsidP="00D61926">
            <w:pPr>
              <w:jc w:val="center"/>
              <w:rPr>
                <w:rFonts w:ascii="CAIXA Std Book" w:eastAsia="Times New Roman" w:hAnsi="CAIXA Std Book" w:cs="Calibri"/>
                <w:b/>
                <w:bCs/>
                <w:color w:val="FFFFFF"/>
                <w:sz w:val="16"/>
                <w:szCs w:val="16"/>
              </w:rPr>
            </w:pPr>
            <w:r w:rsidRPr="00D61926">
              <w:rPr>
                <w:rFonts w:ascii="CAIXA Std Book" w:eastAsia="Times New Roman" w:hAnsi="CAIXA Std Book" w:cs="Calibri"/>
                <w:b/>
                <w:bCs/>
                <w:color w:val="FFFFFF"/>
                <w:sz w:val="16"/>
                <w:szCs w:val="16"/>
              </w:rPr>
              <w:t>Captações</w:t>
            </w:r>
          </w:p>
        </w:tc>
        <w:tc>
          <w:tcPr>
            <w:tcW w:w="495" w:type="pct"/>
            <w:vMerge w:val="restart"/>
            <w:tcBorders>
              <w:top w:val="nil"/>
              <w:left w:val="nil"/>
              <w:bottom w:val="nil"/>
              <w:right w:val="nil"/>
            </w:tcBorders>
            <w:shd w:val="clear" w:color="000000" w:fill="005CA9"/>
            <w:vAlign w:val="center"/>
            <w:hideMark/>
          </w:tcPr>
          <w:p w14:paraId="5DB77930" w14:textId="77777777" w:rsidR="004324FB" w:rsidRDefault="00D61926" w:rsidP="00D61926">
            <w:pPr>
              <w:jc w:val="center"/>
              <w:rPr>
                <w:rFonts w:ascii="CAIXA Std Book" w:eastAsia="Times New Roman" w:hAnsi="CAIXA Std Book" w:cs="Calibri"/>
                <w:b/>
                <w:bCs/>
                <w:color w:val="FFFFFF"/>
                <w:sz w:val="16"/>
                <w:szCs w:val="16"/>
              </w:rPr>
            </w:pPr>
            <w:r w:rsidRPr="00D61926">
              <w:rPr>
                <w:rFonts w:ascii="CAIXA Std Book" w:eastAsia="Times New Roman" w:hAnsi="CAIXA Std Book" w:cs="Calibri"/>
                <w:b/>
                <w:bCs/>
                <w:color w:val="FFFFFF"/>
                <w:sz w:val="16"/>
                <w:szCs w:val="16"/>
              </w:rPr>
              <w:t>Rem. a.a./</w:t>
            </w:r>
          </w:p>
          <w:p w14:paraId="318071CB" w14:textId="7597DAF2" w:rsidR="00D61926" w:rsidRPr="00D61926" w:rsidRDefault="00D61926" w:rsidP="00D61926">
            <w:pPr>
              <w:jc w:val="center"/>
              <w:rPr>
                <w:rFonts w:ascii="CAIXA Std Book" w:eastAsia="Times New Roman" w:hAnsi="CAIXA Std Book" w:cs="Calibri"/>
                <w:b/>
                <w:bCs/>
                <w:color w:val="FFFFFF"/>
                <w:sz w:val="16"/>
                <w:szCs w:val="16"/>
              </w:rPr>
            </w:pPr>
            <w:r w:rsidRPr="00D61926">
              <w:rPr>
                <w:rFonts w:ascii="CAIXA Std Book" w:eastAsia="Times New Roman" w:hAnsi="CAIXA Std Book" w:cs="Calibri"/>
                <w:b/>
                <w:bCs/>
                <w:color w:val="FFFFFF"/>
                <w:sz w:val="16"/>
                <w:szCs w:val="16"/>
              </w:rPr>
              <w:t>Indexador</w:t>
            </w:r>
          </w:p>
        </w:tc>
        <w:tc>
          <w:tcPr>
            <w:tcW w:w="2489" w:type="pct"/>
            <w:gridSpan w:val="4"/>
            <w:tcBorders>
              <w:top w:val="nil"/>
              <w:left w:val="nil"/>
              <w:bottom w:val="single" w:sz="4" w:space="0" w:color="FFFFFF"/>
              <w:right w:val="nil"/>
            </w:tcBorders>
            <w:shd w:val="clear" w:color="000000" w:fill="005CA9"/>
            <w:vAlign w:val="center"/>
            <w:hideMark/>
          </w:tcPr>
          <w:p w14:paraId="279A37FD" w14:textId="77777777" w:rsidR="00D61926" w:rsidRPr="00D61926" w:rsidRDefault="00D61926" w:rsidP="00D61926">
            <w:pPr>
              <w:jc w:val="center"/>
              <w:rPr>
                <w:rFonts w:ascii="CAIXA Std Book" w:eastAsia="Times New Roman" w:hAnsi="CAIXA Std Book" w:cs="Calibri"/>
                <w:b/>
                <w:bCs/>
                <w:color w:val="FFFFFF"/>
                <w:sz w:val="16"/>
                <w:szCs w:val="16"/>
              </w:rPr>
            </w:pPr>
            <w:r w:rsidRPr="00D61926">
              <w:rPr>
                <w:rFonts w:ascii="CAIXA Std Book" w:eastAsia="Times New Roman" w:hAnsi="CAIXA Std Book" w:cs="Calibri"/>
                <w:b/>
                <w:bCs/>
                <w:color w:val="FFFFFF"/>
                <w:sz w:val="16"/>
                <w:szCs w:val="16"/>
              </w:rPr>
              <w:t>Vencimento</w:t>
            </w:r>
          </w:p>
        </w:tc>
        <w:tc>
          <w:tcPr>
            <w:tcW w:w="577" w:type="pct"/>
            <w:vMerge w:val="restart"/>
            <w:tcBorders>
              <w:top w:val="nil"/>
              <w:left w:val="nil"/>
              <w:bottom w:val="nil"/>
              <w:right w:val="nil"/>
            </w:tcBorders>
            <w:shd w:val="clear" w:color="000000" w:fill="005CA9"/>
            <w:vAlign w:val="center"/>
            <w:hideMark/>
          </w:tcPr>
          <w:p w14:paraId="6262A413" w14:textId="77777777" w:rsidR="00D61926" w:rsidRPr="00D61926" w:rsidRDefault="00D61926" w:rsidP="00D61926">
            <w:pPr>
              <w:jc w:val="center"/>
              <w:rPr>
                <w:rFonts w:ascii="CAIXA Std Book" w:eastAsia="Times New Roman" w:hAnsi="CAIXA Std Book" w:cs="Calibri"/>
                <w:b/>
                <w:bCs/>
                <w:color w:val="FFFFFF"/>
                <w:sz w:val="16"/>
                <w:szCs w:val="16"/>
              </w:rPr>
            </w:pPr>
            <w:r w:rsidRPr="00D61926">
              <w:rPr>
                <w:rFonts w:ascii="CAIXA Std Book" w:eastAsia="Times New Roman" w:hAnsi="CAIXA Std Book" w:cs="Calibri"/>
                <w:b/>
                <w:bCs/>
                <w:color w:val="FFFFFF"/>
                <w:sz w:val="16"/>
                <w:szCs w:val="16"/>
              </w:rPr>
              <w:t>31/03/2026</w:t>
            </w:r>
          </w:p>
        </w:tc>
        <w:tc>
          <w:tcPr>
            <w:tcW w:w="577" w:type="pct"/>
            <w:vMerge w:val="restart"/>
            <w:tcBorders>
              <w:top w:val="nil"/>
              <w:left w:val="nil"/>
              <w:bottom w:val="nil"/>
              <w:right w:val="nil"/>
            </w:tcBorders>
            <w:shd w:val="clear" w:color="000000" w:fill="005CA9"/>
            <w:vAlign w:val="center"/>
            <w:hideMark/>
          </w:tcPr>
          <w:p w14:paraId="7D3D4B75" w14:textId="77777777" w:rsidR="00D61926" w:rsidRPr="00D61926" w:rsidRDefault="00D61926" w:rsidP="00D61926">
            <w:pPr>
              <w:jc w:val="center"/>
              <w:rPr>
                <w:rFonts w:ascii="CAIXA Std Book" w:eastAsia="Times New Roman" w:hAnsi="CAIXA Std Book" w:cs="Calibri"/>
                <w:b/>
                <w:bCs/>
                <w:color w:val="FFFFFF"/>
                <w:sz w:val="16"/>
                <w:szCs w:val="16"/>
              </w:rPr>
            </w:pPr>
            <w:r w:rsidRPr="00D61926">
              <w:rPr>
                <w:rFonts w:ascii="CAIXA Std Book" w:eastAsia="Times New Roman" w:hAnsi="CAIXA Std Book" w:cs="Calibri"/>
                <w:b/>
                <w:bCs/>
                <w:color w:val="FFFFFF"/>
                <w:sz w:val="16"/>
                <w:szCs w:val="16"/>
              </w:rPr>
              <w:t>31/12/2025</w:t>
            </w:r>
          </w:p>
        </w:tc>
      </w:tr>
      <w:tr w:rsidR="00D61926" w:rsidRPr="00D61926" w14:paraId="7907C63A" w14:textId="77777777" w:rsidTr="00491C2B">
        <w:trPr>
          <w:trHeight w:val="290"/>
        </w:trPr>
        <w:tc>
          <w:tcPr>
            <w:tcW w:w="862" w:type="pct"/>
            <w:vMerge/>
            <w:tcBorders>
              <w:top w:val="nil"/>
              <w:left w:val="nil"/>
              <w:bottom w:val="nil"/>
              <w:right w:val="nil"/>
            </w:tcBorders>
            <w:vAlign w:val="center"/>
            <w:hideMark/>
          </w:tcPr>
          <w:p w14:paraId="09416D3E" w14:textId="77777777" w:rsidR="00D61926" w:rsidRPr="00D61926" w:rsidRDefault="00D61926" w:rsidP="00D61926">
            <w:pPr>
              <w:rPr>
                <w:rFonts w:ascii="CAIXA Std Book" w:eastAsia="Times New Roman" w:hAnsi="CAIXA Std Book" w:cs="Calibri"/>
                <w:b/>
                <w:bCs/>
                <w:color w:val="FFFFFF"/>
                <w:sz w:val="16"/>
                <w:szCs w:val="16"/>
              </w:rPr>
            </w:pPr>
          </w:p>
        </w:tc>
        <w:tc>
          <w:tcPr>
            <w:tcW w:w="495" w:type="pct"/>
            <w:vMerge/>
            <w:tcBorders>
              <w:top w:val="nil"/>
              <w:left w:val="nil"/>
              <w:bottom w:val="nil"/>
              <w:right w:val="nil"/>
            </w:tcBorders>
            <w:vAlign w:val="center"/>
            <w:hideMark/>
          </w:tcPr>
          <w:p w14:paraId="2E08A9F5" w14:textId="77777777" w:rsidR="00D61926" w:rsidRPr="00D61926" w:rsidRDefault="00D61926" w:rsidP="00D61926">
            <w:pPr>
              <w:rPr>
                <w:rFonts w:ascii="CAIXA Std Book" w:eastAsia="Times New Roman" w:hAnsi="CAIXA Std Book" w:cs="Calibri"/>
                <w:b/>
                <w:bCs/>
                <w:color w:val="FFFFFF"/>
                <w:sz w:val="16"/>
                <w:szCs w:val="16"/>
              </w:rPr>
            </w:pPr>
          </w:p>
        </w:tc>
        <w:tc>
          <w:tcPr>
            <w:tcW w:w="525" w:type="pct"/>
            <w:tcBorders>
              <w:top w:val="nil"/>
              <w:left w:val="nil"/>
              <w:bottom w:val="nil"/>
              <w:right w:val="nil"/>
            </w:tcBorders>
            <w:shd w:val="clear" w:color="000000" w:fill="005CA9"/>
            <w:vAlign w:val="center"/>
            <w:hideMark/>
          </w:tcPr>
          <w:p w14:paraId="1D6CEBF4" w14:textId="77777777" w:rsidR="00D61926" w:rsidRPr="00D61926" w:rsidRDefault="00D61926" w:rsidP="00D61926">
            <w:pPr>
              <w:jc w:val="center"/>
              <w:rPr>
                <w:rFonts w:ascii="CAIXA Std Book" w:eastAsia="Times New Roman" w:hAnsi="CAIXA Std Book" w:cs="Calibri"/>
                <w:b/>
                <w:bCs/>
                <w:color w:val="FFFFFF"/>
                <w:sz w:val="16"/>
                <w:szCs w:val="16"/>
              </w:rPr>
            </w:pPr>
            <w:r w:rsidRPr="00D61926">
              <w:rPr>
                <w:rFonts w:ascii="CAIXA Std Book" w:eastAsia="Times New Roman" w:hAnsi="CAIXA Std Book" w:cs="Calibri"/>
                <w:b/>
                <w:bCs/>
                <w:color w:val="FFFFFF"/>
                <w:sz w:val="16"/>
                <w:szCs w:val="16"/>
              </w:rPr>
              <w:t>01 a 90 dias</w:t>
            </w:r>
          </w:p>
        </w:tc>
        <w:tc>
          <w:tcPr>
            <w:tcW w:w="618" w:type="pct"/>
            <w:tcBorders>
              <w:top w:val="nil"/>
              <w:left w:val="nil"/>
              <w:bottom w:val="nil"/>
              <w:right w:val="nil"/>
            </w:tcBorders>
            <w:shd w:val="clear" w:color="000000" w:fill="005CA9"/>
            <w:vAlign w:val="center"/>
            <w:hideMark/>
          </w:tcPr>
          <w:p w14:paraId="2E5E7D4C" w14:textId="77777777" w:rsidR="00491C2B" w:rsidRDefault="00D61926" w:rsidP="00D61926">
            <w:pPr>
              <w:jc w:val="center"/>
              <w:rPr>
                <w:rFonts w:ascii="CAIXA Std Book" w:eastAsia="Times New Roman" w:hAnsi="CAIXA Std Book" w:cs="Calibri"/>
                <w:b/>
                <w:bCs/>
                <w:color w:val="FFFFFF"/>
                <w:sz w:val="16"/>
                <w:szCs w:val="16"/>
              </w:rPr>
            </w:pPr>
            <w:r w:rsidRPr="00D61926">
              <w:rPr>
                <w:rFonts w:ascii="CAIXA Std Book" w:eastAsia="Times New Roman" w:hAnsi="CAIXA Std Book" w:cs="Calibri"/>
                <w:b/>
                <w:bCs/>
                <w:color w:val="FFFFFF"/>
                <w:sz w:val="16"/>
                <w:szCs w:val="16"/>
              </w:rPr>
              <w:t xml:space="preserve">91 a 180 </w:t>
            </w:r>
          </w:p>
          <w:p w14:paraId="76A4C235" w14:textId="3CFF6F52" w:rsidR="00D61926" w:rsidRPr="00D61926" w:rsidRDefault="00D61926" w:rsidP="00D61926">
            <w:pPr>
              <w:jc w:val="center"/>
              <w:rPr>
                <w:rFonts w:ascii="CAIXA Std Book" w:eastAsia="Times New Roman" w:hAnsi="CAIXA Std Book" w:cs="Calibri"/>
                <w:b/>
                <w:bCs/>
                <w:color w:val="FFFFFF"/>
                <w:sz w:val="16"/>
                <w:szCs w:val="16"/>
              </w:rPr>
            </w:pPr>
            <w:r w:rsidRPr="00D61926">
              <w:rPr>
                <w:rFonts w:ascii="CAIXA Std Book" w:eastAsia="Times New Roman" w:hAnsi="CAIXA Std Book" w:cs="Calibri"/>
                <w:b/>
                <w:bCs/>
                <w:color w:val="FFFFFF"/>
                <w:sz w:val="16"/>
                <w:szCs w:val="16"/>
              </w:rPr>
              <w:t>dias</w:t>
            </w:r>
          </w:p>
        </w:tc>
        <w:tc>
          <w:tcPr>
            <w:tcW w:w="663" w:type="pct"/>
            <w:tcBorders>
              <w:top w:val="nil"/>
              <w:left w:val="nil"/>
              <w:bottom w:val="nil"/>
              <w:right w:val="nil"/>
            </w:tcBorders>
            <w:shd w:val="clear" w:color="000000" w:fill="005CA9"/>
            <w:noWrap/>
            <w:vAlign w:val="center"/>
            <w:hideMark/>
          </w:tcPr>
          <w:p w14:paraId="2576BD95" w14:textId="77777777" w:rsidR="00491C2B" w:rsidRDefault="00D61926" w:rsidP="00D61926">
            <w:pPr>
              <w:jc w:val="center"/>
              <w:rPr>
                <w:rFonts w:ascii="CAIXA Std Book" w:eastAsia="Times New Roman" w:hAnsi="CAIXA Std Book" w:cs="Calibri"/>
                <w:b/>
                <w:bCs/>
                <w:color w:val="FFFFFF"/>
                <w:sz w:val="16"/>
                <w:szCs w:val="16"/>
              </w:rPr>
            </w:pPr>
            <w:r w:rsidRPr="00D61926">
              <w:rPr>
                <w:rFonts w:ascii="CAIXA Std Book" w:eastAsia="Times New Roman" w:hAnsi="CAIXA Std Book" w:cs="Calibri"/>
                <w:b/>
                <w:bCs/>
                <w:color w:val="FFFFFF"/>
                <w:sz w:val="16"/>
                <w:szCs w:val="16"/>
              </w:rPr>
              <w:t xml:space="preserve">181 a 360 </w:t>
            </w:r>
          </w:p>
          <w:p w14:paraId="29BB71E7" w14:textId="688DDD7C" w:rsidR="00D61926" w:rsidRPr="00D61926" w:rsidRDefault="00D61926" w:rsidP="00D61926">
            <w:pPr>
              <w:jc w:val="center"/>
              <w:rPr>
                <w:rFonts w:ascii="CAIXA Std Book" w:eastAsia="Times New Roman" w:hAnsi="CAIXA Std Book" w:cs="Calibri"/>
                <w:b/>
                <w:bCs/>
                <w:color w:val="FFFFFF"/>
                <w:sz w:val="16"/>
                <w:szCs w:val="16"/>
              </w:rPr>
            </w:pPr>
            <w:r w:rsidRPr="00D61926">
              <w:rPr>
                <w:rFonts w:ascii="CAIXA Std Book" w:eastAsia="Times New Roman" w:hAnsi="CAIXA Std Book" w:cs="Calibri"/>
                <w:b/>
                <w:bCs/>
                <w:color w:val="FFFFFF"/>
                <w:sz w:val="16"/>
                <w:szCs w:val="16"/>
              </w:rPr>
              <w:t>dias</w:t>
            </w:r>
          </w:p>
        </w:tc>
        <w:tc>
          <w:tcPr>
            <w:tcW w:w="683" w:type="pct"/>
            <w:tcBorders>
              <w:top w:val="nil"/>
              <w:left w:val="nil"/>
              <w:bottom w:val="nil"/>
              <w:right w:val="nil"/>
            </w:tcBorders>
            <w:shd w:val="clear" w:color="000000" w:fill="005CA9"/>
            <w:noWrap/>
            <w:vAlign w:val="center"/>
            <w:hideMark/>
          </w:tcPr>
          <w:p w14:paraId="6F2ACBB0" w14:textId="77777777" w:rsidR="00491C2B" w:rsidRDefault="00D61926" w:rsidP="00D61926">
            <w:pPr>
              <w:jc w:val="center"/>
              <w:rPr>
                <w:rFonts w:ascii="CAIXA Std Book" w:eastAsia="Times New Roman" w:hAnsi="CAIXA Std Book" w:cs="Calibri"/>
                <w:b/>
                <w:bCs/>
                <w:color w:val="FFFFFF"/>
                <w:sz w:val="16"/>
                <w:szCs w:val="16"/>
              </w:rPr>
            </w:pPr>
            <w:r w:rsidRPr="00D61926">
              <w:rPr>
                <w:rFonts w:ascii="CAIXA Std Book" w:eastAsia="Times New Roman" w:hAnsi="CAIXA Std Book" w:cs="Calibri"/>
                <w:b/>
                <w:bCs/>
                <w:color w:val="FFFFFF"/>
                <w:sz w:val="16"/>
                <w:szCs w:val="16"/>
              </w:rPr>
              <w:t xml:space="preserve">Acima de </w:t>
            </w:r>
          </w:p>
          <w:p w14:paraId="170D6E22" w14:textId="70470229" w:rsidR="00D61926" w:rsidRPr="00D61926" w:rsidRDefault="00D61926" w:rsidP="00D61926">
            <w:pPr>
              <w:jc w:val="center"/>
              <w:rPr>
                <w:rFonts w:ascii="CAIXA Std Book" w:eastAsia="Times New Roman" w:hAnsi="CAIXA Std Book" w:cs="Calibri"/>
                <w:b/>
                <w:bCs/>
                <w:color w:val="FFFFFF"/>
                <w:sz w:val="16"/>
                <w:szCs w:val="16"/>
              </w:rPr>
            </w:pPr>
            <w:r w:rsidRPr="00D61926">
              <w:rPr>
                <w:rFonts w:ascii="CAIXA Std Book" w:eastAsia="Times New Roman" w:hAnsi="CAIXA Std Book" w:cs="Calibri"/>
                <w:b/>
                <w:bCs/>
                <w:color w:val="FFFFFF"/>
                <w:sz w:val="16"/>
                <w:szCs w:val="16"/>
              </w:rPr>
              <w:t>360 dias</w:t>
            </w:r>
          </w:p>
        </w:tc>
        <w:tc>
          <w:tcPr>
            <w:tcW w:w="577" w:type="pct"/>
            <w:vMerge/>
            <w:tcBorders>
              <w:top w:val="nil"/>
              <w:left w:val="nil"/>
              <w:bottom w:val="nil"/>
              <w:right w:val="nil"/>
            </w:tcBorders>
            <w:vAlign w:val="center"/>
            <w:hideMark/>
          </w:tcPr>
          <w:p w14:paraId="7946BF34" w14:textId="77777777" w:rsidR="00D61926" w:rsidRPr="00D61926" w:rsidRDefault="00D61926" w:rsidP="00D61926">
            <w:pPr>
              <w:rPr>
                <w:rFonts w:ascii="CAIXA Std Book" w:eastAsia="Times New Roman" w:hAnsi="CAIXA Std Book" w:cs="Calibri"/>
                <w:b/>
                <w:bCs/>
                <w:color w:val="FFFFFF"/>
                <w:sz w:val="16"/>
                <w:szCs w:val="16"/>
              </w:rPr>
            </w:pPr>
          </w:p>
        </w:tc>
        <w:tc>
          <w:tcPr>
            <w:tcW w:w="577" w:type="pct"/>
            <w:vMerge/>
            <w:tcBorders>
              <w:top w:val="nil"/>
              <w:left w:val="nil"/>
              <w:bottom w:val="nil"/>
              <w:right w:val="nil"/>
            </w:tcBorders>
            <w:vAlign w:val="center"/>
            <w:hideMark/>
          </w:tcPr>
          <w:p w14:paraId="2A221837" w14:textId="77777777" w:rsidR="00D61926" w:rsidRPr="00D61926" w:rsidRDefault="00D61926" w:rsidP="00D61926">
            <w:pPr>
              <w:rPr>
                <w:rFonts w:ascii="CAIXA Std Book" w:eastAsia="Times New Roman" w:hAnsi="CAIXA Std Book" w:cs="Calibri"/>
                <w:b/>
                <w:bCs/>
                <w:color w:val="FFFFFF"/>
                <w:sz w:val="16"/>
                <w:szCs w:val="16"/>
              </w:rPr>
            </w:pPr>
          </w:p>
        </w:tc>
      </w:tr>
      <w:tr w:rsidR="00D61926" w:rsidRPr="00D61926" w14:paraId="20129B36" w14:textId="77777777" w:rsidTr="00491C2B">
        <w:trPr>
          <w:trHeight w:val="290"/>
        </w:trPr>
        <w:tc>
          <w:tcPr>
            <w:tcW w:w="862" w:type="pct"/>
            <w:tcBorders>
              <w:top w:val="nil"/>
              <w:left w:val="nil"/>
              <w:bottom w:val="nil"/>
              <w:right w:val="nil"/>
            </w:tcBorders>
            <w:vAlign w:val="center"/>
            <w:hideMark/>
          </w:tcPr>
          <w:p w14:paraId="3A4C8D84" w14:textId="77777777" w:rsidR="00D61926" w:rsidRPr="00D61926" w:rsidRDefault="00D61926" w:rsidP="00D61926">
            <w:pP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Letra de crédito imobiliário</w:t>
            </w:r>
          </w:p>
        </w:tc>
        <w:tc>
          <w:tcPr>
            <w:tcW w:w="495" w:type="pct"/>
            <w:tcBorders>
              <w:top w:val="nil"/>
              <w:left w:val="nil"/>
              <w:bottom w:val="nil"/>
              <w:right w:val="nil"/>
            </w:tcBorders>
            <w:shd w:val="clear" w:color="000000" w:fill="FFFFFF"/>
            <w:vAlign w:val="center"/>
            <w:hideMark/>
          </w:tcPr>
          <w:p w14:paraId="25DDD0E7" w14:textId="77777777" w:rsidR="00D61926" w:rsidRPr="00D61926" w:rsidRDefault="00D61926" w:rsidP="00D61926">
            <w:pPr>
              <w:jc w:val="cente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 xml:space="preserve"> CDI </w:t>
            </w:r>
          </w:p>
        </w:tc>
        <w:tc>
          <w:tcPr>
            <w:tcW w:w="525" w:type="pct"/>
            <w:tcBorders>
              <w:top w:val="nil"/>
              <w:left w:val="nil"/>
              <w:bottom w:val="nil"/>
              <w:right w:val="nil"/>
            </w:tcBorders>
            <w:shd w:val="clear" w:color="000000" w:fill="FFFFFF"/>
            <w:vAlign w:val="center"/>
            <w:hideMark/>
          </w:tcPr>
          <w:p w14:paraId="49A4007D" w14:textId="327F0C5F"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17.271.014</w:t>
            </w:r>
          </w:p>
        </w:tc>
        <w:tc>
          <w:tcPr>
            <w:tcW w:w="618" w:type="pct"/>
            <w:tcBorders>
              <w:top w:val="nil"/>
              <w:left w:val="nil"/>
              <w:bottom w:val="nil"/>
              <w:right w:val="nil"/>
            </w:tcBorders>
            <w:vAlign w:val="center"/>
            <w:hideMark/>
          </w:tcPr>
          <w:p w14:paraId="33B39BB2" w14:textId="5F0E15A6"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17.941.350</w:t>
            </w:r>
          </w:p>
        </w:tc>
        <w:tc>
          <w:tcPr>
            <w:tcW w:w="663" w:type="pct"/>
            <w:tcBorders>
              <w:top w:val="nil"/>
              <w:left w:val="nil"/>
              <w:bottom w:val="nil"/>
              <w:right w:val="nil"/>
            </w:tcBorders>
            <w:vAlign w:val="center"/>
            <w:hideMark/>
          </w:tcPr>
          <w:p w14:paraId="0C68BECE" w14:textId="48285B9E"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63.355.291</w:t>
            </w:r>
          </w:p>
        </w:tc>
        <w:tc>
          <w:tcPr>
            <w:tcW w:w="683" w:type="pct"/>
            <w:tcBorders>
              <w:top w:val="nil"/>
              <w:left w:val="nil"/>
              <w:bottom w:val="nil"/>
              <w:right w:val="nil"/>
            </w:tcBorders>
            <w:vAlign w:val="center"/>
            <w:hideMark/>
          </w:tcPr>
          <w:p w14:paraId="296C8EB9" w14:textId="3991675C"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143.705.597</w:t>
            </w:r>
          </w:p>
        </w:tc>
        <w:tc>
          <w:tcPr>
            <w:tcW w:w="577" w:type="pct"/>
            <w:tcBorders>
              <w:top w:val="nil"/>
              <w:left w:val="nil"/>
              <w:bottom w:val="nil"/>
              <w:right w:val="nil"/>
            </w:tcBorders>
            <w:vAlign w:val="center"/>
            <w:hideMark/>
          </w:tcPr>
          <w:p w14:paraId="44AC174A" w14:textId="77777777"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242.273.252</w:t>
            </w:r>
          </w:p>
        </w:tc>
        <w:tc>
          <w:tcPr>
            <w:tcW w:w="577" w:type="pct"/>
            <w:tcBorders>
              <w:top w:val="nil"/>
              <w:left w:val="nil"/>
              <w:bottom w:val="nil"/>
              <w:right w:val="nil"/>
            </w:tcBorders>
            <w:vAlign w:val="center"/>
            <w:hideMark/>
          </w:tcPr>
          <w:p w14:paraId="190641AF" w14:textId="77777777"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235.849.908</w:t>
            </w:r>
          </w:p>
        </w:tc>
      </w:tr>
      <w:tr w:rsidR="00D61926" w:rsidRPr="00D61926" w14:paraId="4A105DE4" w14:textId="77777777" w:rsidTr="00491C2B">
        <w:trPr>
          <w:trHeight w:val="290"/>
        </w:trPr>
        <w:tc>
          <w:tcPr>
            <w:tcW w:w="862" w:type="pct"/>
            <w:tcBorders>
              <w:top w:val="nil"/>
              <w:left w:val="nil"/>
              <w:bottom w:val="nil"/>
              <w:right w:val="nil"/>
            </w:tcBorders>
            <w:vAlign w:val="center"/>
            <w:hideMark/>
          </w:tcPr>
          <w:p w14:paraId="04D928C8" w14:textId="77777777" w:rsidR="00D61926" w:rsidRPr="00D61926" w:rsidRDefault="00D61926" w:rsidP="00D61926">
            <w:pP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Letra de crédito imobiliário</w:t>
            </w:r>
          </w:p>
        </w:tc>
        <w:tc>
          <w:tcPr>
            <w:tcW w:w="495" w:type="pct"/>
            <w:tcBorders>
              <w:top w:val="nil"/>
              <w:left w:val="nil"/>
              <w:bottom w:val="nil"/>
              <w:right w:val="nil"/>
            </w:tcBorders>
            <w:noWrap/>
            <w:vAlign w:val="center"/>
            <w:hideMark/>
          </w:tcPr>
          <w:p w14:paraId="19FE430C" w14:textId="77777777" w:rsidR="00D61926" w:rsidRPr="00D61926" w:rsidRDefault="00D61926" w:rsidP="00D61926">
            <w:pPr>
              <w:jc w:val="cente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IPCA</w:t>
            </w:r>
          </w:p>
        </w:tc>
        <w:tc>
          <w:tcPr>
            <w:tcW w:w="525" w:type="pct"/>
            <w:tcBorders>
              <w:top w:val="nil"/>
              <w:left w:val="nil"/>
              <w:bottom w:val="nil"/>
              <w:right w:val="nil"/>
            </w:tcBorders>
            <w:shd w:val="clear" w:color="000000" w:fill="FFFFFF"/>
            <w:vAlign w:val="center"/>
            <w:hideMark/>
          </w:tcPr>
          <w:p w14:paraId="4A5ED44A" w14:textId="4E5E842C" w:rsidR="00D61926" w:rsidRPr="00D61926" w:rsidRDefault="00D61926" w:rsidP="00C86A75">
            <w:pPr>
              <w:jc w:val="cente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w:t>
            </w:r>
          </w:p>
        </w:tc>
        <w:tc>
          <w:tcPr>
            <w:tcW w:w="618" w:type="pct"/>
            <w:tcBorders>
              <w:top w:val="nil"/>
              <w:left w:val="nil"/>
              <w:bottom w:val="nil"/>
              <w:right w:val="nil"/>
            </w:tcBorders>
            <w:vAlign w:val="center"/>
            <w:hideMark/>
          </w:tcPr>
          <w:p w14:paraId="3302E5D0" w14:textId="2283609B" w:rsidR="00D61926" w:rsidRPr="00D61926" w:rsidRDefault="00D61926" w:rsidP="00C86A75">
            <w:pPr>
              <w:jc w:val="cente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w:t>
            </w:r>
          </w:p>
        </w:tc>
        <w:tc>
          <w:tcPr>
            <w:tcW w:w="663" w:type="pct"/>
            <w:tcBorders>
              <w:top w:val="nil"/>
              <w:left w:val="nil"/>
              <w:bottom w:val="nil"/>
              <w:right w:val="nil"/>
            </w:tcBorders>
            <w:vAlign w:val="center"/>
            <w:hideMark/>
          </w:tcPr>
          <w:p w14:paraId="1137289E" w14:textId="08155406" w:rsidR="00D61926" w:rsidRPr="00D61926" w:rsidRDefault="00D61926" w:rsidP="00C86A75">
            <w:pPr>
              <w:jc w:val="cente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w:t>
            </w:r>
          </w:p>
        </w:tc>
        <w:tc>
          <w:tcPr>
            <w:tcW w:w="683" w:type="pct"/>
            <w:tcBorders>
              <w:top w:val="nil"/>
              <w:left w:val="nil"/>
              <w:bottom w:val="nil"/>
              <w:right w:val="nil"/>
            </w:tcBorders>
            <w:vAlign w:val="center"/>
            <w:hideMark/>
          </w:tcPr>
          <w:p w14:paraId="0C1DF6E4" w14:textId="39E84CAD"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984.478</w:t>
            </w:r>
          </w:p>
        </w:tc>
        <w:tc>
          <w:tcPr>
            <w:tcW w:w="577" w:type="pct"/>
            <w:tcBorders>
              <w:top w:val="nil"/>
              <w:left w:val="nil"/>
              <w:bottom w:val="nil"/>
              <w:right w:val="nil"/>
            </w:tcBorders>
            <w:vAlign w:val="center"/>
            <w:hideMark/>
          </w:tcPr>
          <w:p w14:paraId="749532DC" w14:textId="77777777"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984.478</w:t>
            </w:r>
          </w:p>
        </w:tc>
        <w:tc>
          <w:tcPr>
            <w:tcW w:w="577" w:type="pct"/>
            <w:tcBorders>
              <w:top w:val="nil"/>
              <w:left w:val="nil"/>
              <w:bottom w:val="nil"/>
              <w:right w:val="nil"/>
            </w:tcBorders>
            <w:vAlign w:val="center"/>
            <w:hideMark/>
          </w:tcPr>
          <w:p w14:paraId="1ACD1E4E" w14:textId="77777777"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747.768</w:t>
            </w:r>
          </w:p>
        </w:tc>
      </w:tr>
      <w:tr w:rsidR="00D61926" w:rsidRPr="00D61926" w14:paraId="6104AECD" w14:textId="77777777" w:rsidTr="00491C2B">
        <w:trPr>
          <w:trHeight w:val="290"/>
        </w:trPr>
        <w:tc>
          <w:tcPr>
            <w:tcW w:w="862" w:type="pct"/>
            <w:tcBorders>
              <w:top w:val="nil"/>
              <w:left w:val="nil"/>
              <w:bottom w:val="nil"/>
              <w:right w:val="nil"/>
            </w:tcBorders>
            <w:vAlign w:val="center"/>
            <w:hideMark/>
          </w:tcPr>
          <w:p w14:paraId="70EEDF93" w14:textId="77777777" w:rsidR="00D61926" w:rsidRPr="00D61926" w:rsidRDefault="00D61926" w:rsidP="00D61926">
            <w:pP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Letra de crédito imobiliário</w:t>
            </w:r>
          </w:p>
        </w:tc>
        <w:tc>
          <w:tcPr>
            <w:tcW w:w="495" w:type="pct"/>
            <w:tcBorders>
              <w:top w:val="nil"/>
              <w:left w:val="nil"/>
              <w:bottom w:val="nil"/>
              <w:right w:val="nil"/>
            </w:tcBorders>
            <w:noWrap/>
            <w:vAlign w:val="center"/>
            <w:hideMark/>
          </w:tcPr>
          <w:p w14:paraId="1703EBE3" w14:textId="77777777" w:rsidR="00D61926" w:rsidRPr="00D61926" w:rsidRDefault="00D61926" w:rsidP="00D61926">
            <w:pPr>
              <w:jc w:val="cente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Prefixada</w:t>
            </w:r>
          </w:p>
        </w:tc>
        <w:tc>
          <w:tcPr>
            <w:tcW w:w="525" w:type="pct"/>
            <w:tcBorders>
              <w:top w:val="nil"/>
              <w:left w:val="nil"/>
              <w:bottom w:val="nil"/>
              <w:right w:val="nil"/>
            </w:tcBorders>
            <w:shd w:val="clear" w:color="000000" w:fill="FFFFFF"/>
            <w:vAlign w:val="center"/>
            <w:hideMark/>
          </w:tcPr>
          <w:p w14:paraId="0C7D2315" w14:textId="62778A42"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5.094.292</w:t>
            </w:r>
          </w:p>
        </w:tc>
        <w:tc>
          <w:tcPr>
            <w:tcW w:w="618" w:type="pct"/>
            <w:tcBorders>
              <w:top w:val="nil"/>
              <w:left w:val="nil"/>
              <w:bottom w:val="nil"/>
              <w:right w:val="nil"/>
            </w:tcBorders>
            <w:vAlign w:val="center"/>
            <w:hideMark/>
          </w:tcPr>
          <w:p w14:paraId="37B79846" w14:textId="5BCC68FB"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3.923.515</w:t>
            </w:r>
          </w:p>
        </w:tc>
        <w:tc>
          <w:tcPr>
            <w:tcW w:w="663" w:type="pct"/>
            <w:tcBorders>
              <w:top w:val="nil"/>
              <w:left w:val="nil"/>
              <w:bottom w:val="nil"/>
              <w:right w:val="nil"/>
            </w:tcBorders>
            <w:vAlign w:val="center"/>
            <w:hideMark/>
          </w:tcPr>
          <w:p w14:paraId="19597F63" w14:textId="108EA11E"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8.988.355</w:t>
            </w:r>
          </w:p>
        </w:tc>
        <w:tc>
          <w:tcPr>
            <w:tcW w:w="683" w:type="pct"/>
            <w:tcBorders>
              <w:top w:val="nil"/>
              <w:left w:val="nil"/>
              <w:bottom w:val="nil"/>
              <w:right w:val="nil"/>
            </w:tcBorders>
            <w:vAlign w:val="center"/>
            <w:hideMark/>
          </w:tcPr>
          <w:p w14:paraId="1978B728" w14:textId="6D237F11"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4.288.127</w:t>
            </w:r>
          </w:p>
        </w:tc>
        <w:tc>
          <w:tcPr>
            <w:tcW w:w="577" w:type="pct"/>
            <w:tcBorders>
              <w:top w:val="nil"/>
              <w:left w:val="nil"/>
              <w:bottom w:val="nil"/>
              <w:right w:val="nil"/>
            </w:tcBorders>
            <w:vAlign w:val="center"/>
            <w:hideMark/>
          </w:tcPr>
          <w:p w14:paraId="47174A3B" w14:textId="77777777"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22.294.289</w:t>
            </w:r>
          </w:p>
        </w:tc>
        <w:tc>
          <w:tcPr>
            <w:tcW w:w="577" w:type="pct"/>
            <w:tcBorders>
              <w:top w:val="nil"/>
              <w:left w:val="nil"/>
              <w:bottom w:val="nil"/>
              <w:right w:val="nil"/>
            </w:tcBorders>
            <w:vAlign w:val="center"/>
            <w:hideMark/>
          </w:tcPr>
          <w:p w14:paraId="638784F6" w14:textId="77777777"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17.337.859</w:t>
            </w:r>
          </w:p>
        </w:tc>
      </w:tr>
      <w:tr w:rsidR="00D61926" w:rsidRPr="00D61926" w14:paraId="2655D514" w14:textId="77777777" w:rsidTr="00491C2B">
        <w:trPr>
          <w:trHeight w:val="290"/>
        </w:trPr>
        <w:tc>
          <w:tcPr>
            <w:tcW w:w="862" w:type="pct"/>
            <w:tcBorders>
              <w:top w:val="nil"/>
              <w:left w:val="nil"/>
              <w:bottom w:val="nil"/>
              <w:right w:val="nil"/>
            </w:tcBorders>
            <w:vAlign w:val="center"/>
            <w:hideMark/>
          </w:tcPr>
          <w:p w14:paraId="0BB2DBB9" w14:textId="77777777" w:rsidR="00D61926" w:rsidRPr="00D61926" w:rsidRDefault="00D61926" w:rsidP="00D61926">
            <w:pP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Letra de crédito imobiliário - FGTS</w:t>
            </w:r>
          </w:p>
        </w:tc>
        <w:tc>
          <w:tcPr>
            <w:tcW w:w="495" w:type="pct"/>
            <w:tcBorders>
              <w:top w:val="nil"/>
              <w:left w:val="nil"/>
              <w:bottom w:val="nil"/>
              <w:right w:val="nil"/>
            </w:tcBorders>
            <w:noWrap/>
            <w:vAlign w:val="center"/>
            <w:hideMark/>
          </w:tcPr>
          <w:p w14:paraId="67A3F53D" w14:textId="77777777" w:rsidR="00D61926" w:rsidRPr="00D61926" w:rsidRDefault="00D61926" w:rsidP="00D61926">
            <w:pPr>
              <w:jc w:val="cente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TR</w:t>
            </w:r>
          </w:p>
        </w:tc>
        <w:tc>
          <w:tcPr>
            <w:tcW w:w="525" w:type="pct"/>
            <w:tcBorders>
              <w:top w:val="nil"/>
              <w:left w:val="nil"/>
              <w:bottom w:val="nil"/>
              <w:right w:val="nil"/>
            </w:tcBorders>
            <w:vAlign w:val="center"/>
            <w:hideMark/>
          </w:tcPr>
          <w:p w14:paraId="1804055F" w14:textId="6184B817" w:rsidR="00D61926" w:rsidRPr="00D61926" w:rsidRDefault="00D61926" w:rsidP="00C86A75">
            <w:pPr>
              <w:jc w:val="cente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w:t>
            </w:r>
          </w:p>
        </w:tc>
        <w:tc>
          <w:tcPr>
            <w:tcW w:w="618" w:type="pct"/>
            <w:tcBorders>
              <w:top w:val="nil"/>
              <w:left w:val="nil"/>
              <w:bottom w:val="nil"/>
              <w:right w:val="nil"/>
            </w:tcBorders>
            <w:vAlign w:val="center"/>
            <w:hideMark/>
          </w:tcPr>
          <w:p w14:paraId="6D4EC9AD" w14:textId="31D87261" w:rsidR="00D61926" w:rsidRPr="00D61926" w:rsidRDefault="00D61926" w:rsidP="00C86A75">
            <w:pPr>
              <w:jc w:val="cente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w:t>
            </w:r>
          </w:p>
        </w:tc>
        <w:tc>
          <w:tcPr>
            <w:tcW w:w="663" w:type="pct"/>
            <w:tcBorders>
              <w:top w:val="nil"/>
              <w:left w:val="nil"/>
              <w:bottom w:val="nil"/>
              <w:right w:val="nil"/>
            </w:tcBorders>
            <w:vAlign w:val="center"/>
            <w:hideMark/>
          </w:tcPr>
          <w:p w14:paraId="029BEC96" w14:textId="7EDC4BF2"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5.057</w:t>
            </w:r>
          </w:p>
        </w:tc>
        <w:tc>
          <w:tcPr>
            <w:tcW w:w="683" w:type="pct"/>
            <w:tcBorders>
              <w:top w:val="nil"/>
              <w:left w:val="nil"/>
              <w:bottom w:val="nil"/>
              <w:right w:val="nil"/>
            </w:tcBorders>
            <w:vAlign w:val="center"/>
            <w:hideMark/>
          </w:tcPr>
          <w:p w14:paraId="32CFD7FC" w14:textId="00C677D1" w:rsidR="00D61926" w:rsidRPr="00D61926" w:rsidRDefault="00D61926" w:rsidP="00C86A75">
            <w:pPr>
              <w:jc w:val="cente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w:t>
            </w:r>
          </w:p>
        </w:tc>
        <w:tc>
          <w:tcPr>
            <w:tcW w:w="577" w:type="pct"/>
            <w:tcBorders>
              <w:top w:val="nil"/>
              <w:left w:val="nil"/>
              <w:bottom w:val="nil"/>
              <w:right w:val="nil"/>
            </w:tcBorders>
            <w:vAlign w:val="center"/>
            <w:hideMark/>
          </w:tcPr>
          <w:p w14:paraId="6A9DBFCE" w14:textId="77777777"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5.057</w:t>
            </w:r>
          </w:p>
        </w:tc>
        <w:tc>
          <w:tcPr>
            <w:tcW w:w="577" w:type="pct"/>
            <w:tcBorders>
              <w:top w:val="nil"/>
              <w:left w:val="nil"/>
              <w:bottom w:val="nil"/>
              <w:right w:val="nil"/>
            </w:tcBorders>
            <w:vAlign w:val="center"/>
            <w:hideMark/>
          </w:tcPr>
          <w:p w14:paraId="40D429D6" w14:textId="77777777"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6.710</w:t>
            </w:r>
          </w:p>
        </w:tc>
      </w:tr>
      <w:tr w:rsidR="00D61926" w:rsidRPr="00D61926" w14:paraId="42CEFBD8" w14:textId="77777777" w:rsidTr="00491C2B">
        <w:trPr>
          <w:trHeight w:val="290"/>
        </w:trPr>
        <w:tc>
          <w:tcPr>
            <w:tcW w:w="862" w:type="pct"/>
            <w:tcBorders>
              <w:top w:val="nil"/>
              <w:left w:val="nil"/>
              <w:bottom w:val="nil"/>
              <w:right w:val="nil"/>
            </w:tcBorders>
            <w:vAlign w:val="center"/>
            <w:hideMark/>
          </w:tcPr>
          <w:p w14:paraId="45DC2E0B" w14:textId="77777777" w:rsidR="00D61926" w:rsidRPr="00D61926" w:rsidRDefault="00D61926" w:rsidP="00D61926">
            <w:pP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 xml:space="preserve">Letra financeira </w:t>
            </w:r>
          </w:p>
        </w:tc>
        <w:tc>
          <w:tcPr>
            <w:tcW w:w="495" w:type="pct"/>
            <w:tcBorders>
              <w:top w:val="nil"/>
              <w:left w:val="nil"/>
              <w:bottom w:val="nil"/>
              <w:right w:val="nil"/>
            </w:tcBorders>
            <w:noWrap/>
            <w:vAlign w:val="center"/>
            <w:hideMark/>
          </w:tcPr>
          <w:p w14:paraId="2ADF244E" w14:textId="77777777" w:rsidR="00D61926" w:rsidRPr="00D61926" w:rsidRDefault="00D61926" w:rsidP="00D61926">
            <w:pPr>
              <w:jc w:val="cente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IPCA</w:t>
            </w:r>
          </w:p>
        </w:tc>
        <w:tc>
          <w:tcPr>
            <w:tcW w:w="525" w:type="pct"/>
            <w:tcBorders>
              <w:top w:val="nil"/>
              <w:left w:val="nil"/>
              <w:bottom w:val="nil"/>
              <w:right w:val="nil"/>
            </w:tcBorders>
            <w:vAlign w:val="center"/>
            <w:hideMark/>
          </w:tcPr>
          <w:p w14:paraId="4D8082AD" w14:textId="6E5297E8" w:rsidR="00D61926" w:rsidRPr="00491C2B" w:rsidRDefault="00D61926" w:rsidP="00C86A75">
            <w:pPr>
              <w:jc w:val="center"/>
              <w:rPr>
                <w:rFonts w:ascii="CAIXA Std Book" w:eastAsia="Times New Roman" w:hAnsi="CAIXA Std Book" w:cs="Calibri"/>
                <w:color w:val="005CA9"/>
                <w:sz w:val="16"/>
                <w:szCs w:val="16"/>
              </w:rPr>
            </w:pPr>
            <w:r w:rsidRPr="00491C2B">
              <w:rPr>
                <w:rFonts w:ascii="CAIXA Std Book" w:eastAsia="Times New Roman" w:hAnsi="CAIXA Std Book" w:cs="Calibri"/>
                <w:color w:val="005CA9"/>
                <w:sz w:val="16"/>
                <w:szCs w:val="16"/>
              </w:rPr>
              <w:t>-</w:t>
            </w:r>
          </w:p>
        </w:tc>
        <w:tc>
          <w:tcPr>
            <w:tcW w:w="618" w:type="pct"/>
            <w:tcBorders>
              <w:top w:val="nil"/>
              <w:left w:val="nil"/>
              <w:bottom w:val="nil"/>
              <w:right w:val="nil"/>
            </w:tcBorders>
            <w:vAlign w:val="center"/>
            <w:hideMark/>
          </w:tcPr>
          <w:p w14:paraId="5622057B" w14:textId="51F1004C" w:rsidR="00D61926" w:rsidRPr="00491C2B" w:rsidRDefault="00D61926" w:rsidP="00C86A75">
            <w:pPr>
              <w:jc w:val="center"/>
              <w:rPr>
                <w:rFonts w:ascii="CAIXA Std Book" w:eastAsia="Times New Roman" w:hAnsi="CAIXA Std Book" w:cs="Calibri"/>
                <w:color w:val="005CA9"/>
                <w:sz w:val="16"/>
                <w:szCs w:val="16"/>
              </w:rPr>
            </w:pPr>
            <w:r w:rsidRPr="00491C2B">
              <w:rPr>
                <w:rFonts w:ascii="CAIXA Std Book" w:eastAsia="Times New Roman" w:hAnsi="CAIXA Std Book" w:cs="Calibri"/>
                <w:color w:val="005CA9"/>
                <w:sz w:val="16"/>
                <w:szCs w:val="16"/>
              </w:rPr>
              <w:t>-</w:t>
            </w:r>
          </w:p>
        </w:tc>
        <w:tc>
          <w:tcPr>
            <w:tcW w:w="663" w:type="pct"/>
            <w:tcBorders>
              <w:top w:val="nil"/>
              <w:left w:val="nil"/>
              <w:bottom w:val="nil"/>
              <w:right w:val="nil"/>
            </w:tcBorders>
            <w:vAlign w:val="center"/>
            <w:hideMark/>
          </w:tcPr>
          <w:p w14:paraId="72392954" w14:textId="4E69FF80" w:rsidR="00D61926" w:rsidRPr="00D61926" w:rsidRDefault="00D61926" w:rsidP="00C86A75">
            <w:pPr>
              <w:jc w:val="cente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w:t>
            </w:r>
          </w:p>
        </w:tc>
        <w:tc>
          <w:tcPr>
            <w:tcW w:w="683" w:type="pct"/>
            <w:tcBorders>
              <w:top w:val="nil"/>
              <w:left w:val="nil"/>
              <w:bottom w:val="nil"/>
              <w:right w:val="nil"/>
            </w:tcBorders>
            <w:vAlign w:val="center"/>
            <w:hideMark/>
          </w:tcPr>
          <w:p w14:paraId="15F38011" w14:textId="4D5458A7"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3.376.518</w:t>
            </w:r>
          </w:p>
        </w:tc>
        <w:tc>
          <w:tcPr>
            <w:tcW w:w="577" w:type="pct"/>
            <w:tcBorders>
              <w:top w:val="nil"/>
              <w:left w:val="nil"/>
              <w:bottom w:val="nil"/>
              <w:right w:val="nil"/>
            </w:tcBorders>
            <w:vAlign w:val="center"/>
            <w:hideMark/>
          </w:tcPr>
          <w:p w14:paraId="3984CC17" w14:textId="3BAA0105"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3.376.518</w:t>
            </w:r>
          </w:p>
        </w:tc>
        <w:tc>
          <w:tcPr>
            <w:tcW w:w="577" w:type="pct"/>
            <w:tcBorders>
              <w:top w:val="nil"/>
              <w:left w:val="nil"/>
              <w:bottom w:val="nil"/>
              <w:right w:val="nil"/>
            </w:tcBorders>
            <w:vAlign w:val="center"/>
            <w:hideMark/>
          </w:tcPr>
          <w:p w14:paraId="369665DF" w14:textId="0CAB6C3A"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3.282.571</w:t>
            </w:r>
          </w:p>
        </w:tc>
      </w:tr>
      <w:tr w:rsidR="00D61926" w:rsidRPr="00D61926" w14:paraId="61B3B63A" w14:textId="77777777" w:rsidTr="00491C2B">
        <w:trPr>
          <w:trHeight w:val="290"/>
        </w:trPr>
        <w:tc>
          <w:tcPr>
            <w:tcW w:w="862" w:type="pct"/>
            <w:tcBorders>
              <w:top w:val="nil"/>
              <w:left w:val="nil"/>
              <w:bottom w:val="nil"/>
              <w:right w:val="nil"/>
            </w:tcBorders>
            <w:vAlign w:val="center"/>
            <w:hideMark/>
          </w:tcPr>
          <w:p w14:paraId="19A07386" w14:textId="77777777" w:rsidR="00D61926" w:rsidRPr="00D61926" w:rsidRDefault="00D61926" w:rsidP="00D61926">
            <w:pP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Letra financeira</w:t>
            </w:r>
          </w:p>
        </w:tc>
        <w:tc>
          <w:tcPr>
            <w:tcW w:w="495" w:type="pct"/>
            <w:tcBorders>
              <w:top w:val="nil"/>
              <w:left w:val="nil"/>
              <w:bottom w:val="nil"/>
              <w:right w:val="nil"/>
            </w:tcBorders>
            <w:noWrap/>
            <w:vAlign w:val="center"/>
            <w:hideMark/>
          </w:tcPr>
          <w:p w14:paraId="3B7C9E4B" w14:textId="77777777" w:rsidR="00D61926" w:rsidRPr="00D61926" w:rsidRDefault="00D61926" w:rsidP="00D61926">
            <w:pPr>
              <w:jc w:val="cente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CDI</w:t>
            </w:r>
          </w:p>
        </w:tc>
        <w:tc>
          <w:tcPr>
            <w:tcW w:w="525" w:type="pct"/>
            <w:tcBorders>
              <w:top w:val="nil"/>
              <w:left w:val="nil"/>
              <w:bottom w:val="nil"/>
              <w:right w:val="nil"/>
            </w:tcBorders>
            <w:vAlign w:val="center"/>
            <w:hideMark/>
          </w:tcPr>
          <w:p w14:paraId="36D16915" w14:textId="3360B48D" w:rsidR="00D61926" w:rsidRPr="00491C2B" w:rsidRDefault="00D61926" w:rsidP="00C86A75">
            <w:pPr>
              <w:jc w:val="center"/>
              <w:rPr>
                <w:rFonts w:ascii="CAIXA Std Book" w:eastAsia="Times New Roman" w:hAnsi="CAIXA Std Book" w:cs="Calibri"/>
                <w:color w:val="005CA9"/>
                <w:sz w:val="16"/>
                <w:szCs w:val="16"/>
              </w:rPr>
            </w:pPr>
            <w:r w:rsidRPr="00491C2B">
              <w:rPr>
                <w:rFonts w:ascii="CAIXA Std Book" w:eastAsia="Times New Roman" w:hAnsi="CAIXA Std Book" w:cs="Calibri"/>
                <w:color w:val="005CA9"/>
                <w:sz w:val="16"/>
                <w:szCs w:val="16"/>
              </w:rPr>
              <w:t>-</w:t>
            </w:r>
          </w:p>
        </w:tc>
        <w:tc>
          <w:tcPr>
            <w:tcW w:w="618" w:type="pct"/>
            <w:tcBorders>
              <w:top w:val="nil"/>
              <w:left w:val="nil"/>
              <w:bottom w:val="nil"/>
              <w:right w:val="nil"/>
            </w:tcBorders>
            <w:vAlign w:val="center"/>
            <w:hideMark/>
          </w:tcPr>
          <w:p w14:paraId="1AB90932" w14:textId="077551C4" w:rsidR="00D61926" w:rsidRPr="00491C2B" w:rsidRDefault="00D61926" w:rsidP="00C86A75">
            <w:pPr>
              <w:jc w:val="center"/>
              <w:rPr>
                <w:rFonts w:ascii="CAIXA Std Book" w:eastAsia="Times New Roman" w:hAnsi="CAIXA Std Book" w:cs="Calibri"/>
                <w:color w:val="005CA9"/>
                <w:sz w:val="16"/>
                <w:szCs w:val="16"/>
              </w:rPr>
            </w:pPr>
            <w:r w:rsidRPr="00491C2B">
              <w:rPr>
                <w:rFonts w:ascii="CAIXA Std Book" w:eastAsia="Times New Roman" w:hAnsi="CAIXA Std Book" w:cs="Calibri"/>
                <w:color w:val="005CA9"/>
                <w:sz w:val="16"/>
                <w:szCs w:val="16"/>
              </w:rPr>
              <w:t>-</w:t>
            </w:r>
          </w:p>
        </w:tc>
        <w:tc>
          <w:tcPr>
            <w:tcW w:w="663" w:type="pct"/>
            <w:tcBorders>
              <w:top w:val="nil"/>
              <w:left w:val="nil"/>
              <w:bottom w:val="nil"/>
              <w:right w:val="nil"/>
            </w:tcBorders>
            <w:vAlign w:val="center"/>
            <w:hideMark/>
          </w:tcPr>
          <w:p w14:paraId="47A29057" w14:textId="20E2326B"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6.754.238</w:t>
            </w:r>
          </w:p>
        </w:tc>
        <w:tc>
          <w:tcPr>
            <w:tcW w:w="683" w:type="pct"/>
            <w:tcBorders>
              <w:top w:val="nil"/>
              <w:left w:val="nil"/>
              <w:bottom w:val="nil"/>
              <w:right w:val="nil"/>
            </w:tcBorders>
            <w:vAlign w:val="center"/>
            <w:hideMark/>
          </w:tcPr>
          <w:p w14:paraId="428836E4" w14:textId="57DBABA8"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14.707.960</w:t>
            </w:r>
          </w:p>
        </w:tc>
        <w:tc>
          <w:tcPr>
            <w:tcW w:w="577" w:type="pct"/>
            <w:tcBorders>
              <w:top w:val="nil"/>
              <w:left w:val="nil"/>
              <w:bottom w:val="nil"/>
              <w:right w:val="nil"/>
            </w:tcBorders>
            <w:vAlign w:val="center"/>
            <w:hideMark/>
          </w:tcPr>
          <w:p w14:paraId="7EAEA822" w14:textId="5CDF538F"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21.462.198</w:t>
            </w:r>
          </w:p>
        </w:tc>
        <w:tc>
          <w:tcPr>
            <w:tcW w:w="577" w:type="pct"/>
            <w:tcBorders>
              <w:top w:val="nil"/>
              <w:left w:val="nil"/>
              <w:bottom w:val="nil"/>
              <w:right w:val="nil"/>
            </w:tcBorders>
            <w:vAlign w:val="center"/>
            <w:hideMark/>
          </w:tcPr>
          <w:p w14:paraId="0D75225B" w14:textId="477179EA"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20.728.872</w:t>
            </w:r>
          </w:p>
        </w:tc>
      </w:tr>
      <w:tr w:rsidR="00D61926" w:rsidRPr="00D61926" w14:paraId="369093B4" w14:textId="77777777" w:rsidTr="00491C2B">
        <w:trPr>
          <w:trHeight w:val="290"/>
        </w:trPr>
        <w:tc>
          <w:tcPr>
            <w:tcW w:w="862" w:type="pct"/>
            <w:tcBorders>
              <w:top w:val="nil"/>
              <w:left w:val="nil"/>
              <w:bottom w:val="nil"/>
              <w:right w:val="nil"/>
            </w:tcBorders>
            <w:vAlign w:val="center"/>
            <w:hideMark/>
          </w:tcPr>
          <w:p w14:paraId="4662BF9D" w14:textId="77777777" w:rsidR="00D61926" w:rsidRPr="00D61926" w:rsidRDefault="00D61926" w:rsidP="00D61926">
            <w:pP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Letra de crédito do agronegócio</w:t>
            </w:r>
          </w:p>
        </w:tc>
        <w:tc>
          <w:tcPr>
            <w:tcW w:w="495" w:type="pct"/>
            <w:tcBorders>
              <w:top w:val="nil"/>
              <w:left w:val="nil"/>
              <w:bottom w:val="nil"/>
              <w:right w:val="nil"/>
            </w:tcBorders>
            <w:noWrap/>
            <w:vAlign w:val="center"/>
            <w:hideMark/>
          </w:tcPr>
          <w:p w14:paraId="555DBD21" w14:textId="77777777" w:rsidR="00D61926" w:rsidRPr="00D61926" w:rsidRDefault="00D61926" w:rsidP="00D61926">
            <w:pPr>
              <w:jc w:val="cente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CDI</w:t>
            </w:r>
          </w:p>
        </w:tc>
        <w:tc>
          <w:tcPr>
            <w:tcW w:w="525" w:type="pct"/>
            <w:tcBorders>
              <w:top w:val="nil"/>
              <w:left w:val="nil"/>
              <w:bottom w:val="nil"/>
              <w:right w:val="nil"/>
            </w:tcBorders>
            <w:shd w:val="clear" w:color="000000" w:fill="FFFFFF"/>
            <w:vAlign w:val="center"/>
            <w:hideMark/>
          </w:tcPr>
          <w:p w14:paraId="082D85B1" w14:textId="3E48534C"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3.019.747</w:t>
            </w:r>
          </w:p>
        </w:tc>
        <w:tc>
          <w:tcPr>
            <w:tcW w:w="618" w:type="pct"/>
            <w:tcBorders>
              <w:top w:val="nil"/>
              <w:left w:val="nil"/>
              <w:bottom w:val="nil"/>
              <w:right w:val="nil"/>
            </w:tcBorders>
            <w:shd w:val="clear" w:color="000000" w:fill="FFFFFF"/>
            <w:vAlign w:val="center"/>
            <w:hideMark/>
          </w:tcPr>
          <w:p w14:paraId="556E7D97" w14:textId="44132C92"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2.697.769</w:t>
            </w:r>
          </w:p>
        </w:tc>
        <w:tc>
          <w:tcPr>
            <w:tcW w:w="663" w:type="pct"/>
            <w:tcBorders>
              <w:top w:val="nil"/>
              <w:left w:val="nil"/>
              <w:bottom w:val="nil"/>
              <w:right w:val="nil"/>
            </w:tcBorders>
            <w:shd w:val="clear" w:color="000000" w:fill="FFFFFF"/>
            <w:vAlign w:val="center"/>
            <w:hideMark/>
          </w:tcPr>
          <w:p w14:paraId="0AD4DCBB" w14:textId="0E3F1869"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2.339.860</w:t>
            </w:r>
          </w:p>
        </w:tc>
        <w:tc>
          <w:tcPr>
            <w:tcW w:w="683" w:type="pct"/>
            <w:tcBorders>
              <w:top w:val="nil"/>
              <w:left w:val="nil"/>
              <w:bottom w:val="nil"/>
              <w:right w:val="nil"/>
            </w:tcBorders>
            <w:shd w:val="clear" w:color="000000" w:fill="FFFFFF"/>
            <w:vAlign w:val="center"/>
            <w:hideMark/>
          </w:tcPr>
          <w:p w14:paraId="2324A15E" w14:textId="5C3CED84"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3.689.053</w:t>
            </w:r>
          </w:p>
        </w:tc>
        <w:tc>
          <w:tcPr>
            <w:tcW w:w="577" w:type="pct"/>
            <w:tcBorders>
              <w:top w:val="nil"/>
              <w:left w:val="nil"/>
              <w:bottom w:val="nil"/>
              <w:right w:val="nil"/>
            </w:tcBorders>
            <w:vAlign w:val="center"/>
            <w:hideMark/>
          </w:tcPr>
          <w:p w14:paraId="4F4F45CD" w14:textId="77777777"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11.746.429</w:t>
            </w:r>
          </w:p>
        </w:tc>
        <w:tc>
          <w:tcPr>
            <w:tcW w:w="577" w:type="pct"/>
            <w:tcBorders>
              <w:top w:val="nil"/>
              <w:left w:val="nil"/>
              <w:bottom w:val="nil"/>
              <w:right w:val="nil"/>
            </w:tcBorders>
            <w:vAlign w:val="center"/>
            <w:hideMark/>
          </w:tcPr>
          <w:p w14:paraId="2F359B39" w14:textId="77777777"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12.549.298</w:t>
            </w:r>
          </w:p>
        </w:tc>
      </w:tr>
      <w:tr w:rsidR="00D61926" w:rsidRPr="00D61926" w14:paraId="208E1644" w14:textId="77777777" w:rsidTr="00C86A75">
        <w:trPr>
          <w:trHeight w:val="290"/>
        </w:trPr>
        <w:tc>
          <w:tcPr>
            <w:tcW w:w="5000" w:type="pct"/>
            <w:gridSpan w:val="8"/>
            <w:tcBorders>
              <w:top w:val="nil"/>
              <w:left w:val="nil"/>
              <w:bottom w:val="nil"/>
              <w:right w:val="nil"/>
            </w:tcBorders>
            <w:shd w:val="clear" w:color="000000" w:fill="D0E0E3"/>
            <w:vAlign w:val="center"/>
            <w:hideMark/>
          </w:tcPr>
          <w:p w14:paraId="637F2A7E" w14:textId="77777777" w:rsidR="00D61926" w:rsidRPr="00D61926" w:rsidRDefault="00D61926" w:rsidP="00D61926">
            <w:pPr>
              <w:jc w:val="center"/>
              <w:rPr>
                <w:rFonts w:ascii="CAIXA Std Book" w:eastAsia="Times New Roman" w:hAnsi="CAIXA Std Book" w:cs="Calibri"/>
                <w:b/>
                <w:bCs/>
                <w:color w:val="005CA9"/>
                <w:sz w:val="16"/>
                <w:szCs w:val="16"/>
              </w:rPr>
            </w:pPr>
            <w:r w:rsidRPr="00D61926">
              <w:rPr>
                <w:rFonts w:ascii="CAIXA Std Book" w:eastAsia="Times New Roman" w:hAnsi="CAIXA Std Book" w:cs="Calibri"/>
                <w:b/>
                <w:bCs/>
                <w:color w:val="005CA9"/>
                <w:sz w:val="16"/>
                <w:szCs w:val="16"/>
              </w:rPr>
              <w:t>Títulos e valores mobiliários no exterior</w:t>
            </w:r>
          </w:p>
        </w:tc>
      </w:tr>
      <w:tr w:rsidR="00D61926" w:rsidRPr="00D61926" w14:paraId="08012AC0" w14:textId="77777777" w:rsidTr="00491C2B">
        <w:trPr>
          <w:trHeight w:val="290"/>
        </w:trPr>
        <w:tc>
          <w:tcPr>
            <w:tcW w:w="862" w:type="pct"/>
            <w:tcBorders>
              <w:top w:val="nil"/>
              <w:left w:val="nil"/>
              <w:bottom w:val="nil"/>
              <w:right w:val="nil"/>
            </w:tcBorders>
            <w:vAlign w:val="center"/>
            <w:hideMark/>
          </w:tcPr>
          <w:p w14:paraId="05F8F72A" w14:textId="77777777" w:rsidR="00D61926" w:rsidRPr="00D61926" w:rsidRDefault="00D61926" w:rsidP="00D61926">
            <w:pPr>
              <w:rPr>
                <w:rFonts w:ascii="CAIXA Std Book" w:eastAsia="Times New Roman" w:hAnsi="CAIXA Std Book" w:cs="Calibri"/>
                <w:i/>
                <w:iCs/>
                <w:color w:val="005CA9"/>
                <w:sz w:val="16"/>
                <w:szCs w:val="16"/>
              </w:rPr>
            </w:pPr>
            <w:r w:rsidRPr="00D61926">
              <w:rPr>
                <w:rFonts w:ascii="CAIXA Std Book" w:eastAsia="Times New Roman" w:hAnsi="CAIXA Std Book" w:cs="Calibri"/>
                <w:i/>
                <w:iCs/>
                <w:color w:val="005CA9"/>
                <w:sz w:val="16"/>
                <w:szCs w:val="16"/>
              </w:rPr>
              <w:t>Bond social (B1)</w:t>
            </w:r>
          </w:p>
        </w:tc>
        <w:tc>
          <w:tcPr>
            <w:tcW w:w="495" w:type="pct"/>
            <w:tcBorders>
              <w:top w:val="nil"/>
              <w:left w:val="nil"/>
              <w:bottom w:val="nil"/>
              <w:right w:val="nil"/>
            </w:tcBorders>
            <w:noWrap/>
            <w:vAlign w:val="center"/>
            <w:hideMark/>
          </w:tcPr>
          <w:p w14:paraId="3B2EAC2C" w14:textId="77777777" w:rsidR="00D61926" w:rsidRPr="00D61926" w:rsidRDefault="00D61926" w:rsidP="00D61926">
            <w:pPr>
              <w:jc w:val="cente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5,625%</w:t>
            </w:r>
          </w:p>
        </w:tc>
        <w:tc>
          <w:tcPr>
            <w:tcW w:w="525" w:type="pct"/>
            <w:tcBorders>
              <w:top w:val="nil"/>
              <w:left w:val="nil"/>
              <w:bottom w:val="nil"/>
              <w:right w:val="nil"/>
            </w:tcBorders>
            <w:shd w:val="clear" w:color="000000" w:fill="FFFFFF"/>
            <w:vAlign w:val="center"/>
            <w:hideMark/>
          </w:tcPr>
          <w:p w14:paraId="088FEA61" w14:textId="07A3D075" w:rsidR="00D61926" w:rsidRPr="00D61926" w:rsidRDefault="00D61926" w:rsidP="00C86A75">
            <w:pPr>
              <w:jc w:val="cente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w:t>
            </w:r>
          </w:p>
        </w:tc>
        <w:tc>
          <w:tcPr>
            <w:tcW w:w="618" w:type="pct"/>
            <w:tcBorders>
              <w:top w:val="nil"/>
              <w:left w:val="nil"/>
              <w:bottom w:val="nil"/>
              <w:right w:val="nil"/>
            </w:tcBorders>
            <w:shd w:val="clear" w:color="000000" w:fill="FFFFFF"/>
            <w:vAlign w:val="center"/>
            <w:hideMark/>
          </w:tcPr>
          <w:p w14:paraId="141F4F47" w14:textId="113DF7F2" w:rsidR="00D61926" w:rsidRPr="00D61926" w:rsidRDefault="00D61926" w:rsidP="00C86A75">
            <w:pPr>
              <w:jc w:val="cente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w:t>
            </w:r>
          </w:p>
        </w:tc>
        <w:tc>
          <w:tcPr>
            <w:tcW w:w="663" w:type="pct"/>
            <w:tcBorders>
              <w:top w:val="nil"/>
              <w:left w:val="nil"/>
              <w:bottom w:val="nil"/>
              <w:right w:val="nil"/>
            </w:tcBorders>
            <w:shd w:val="clear" w:color="000000" w:fill="FFFFFF"/>
            <w:vAlign w:val="center"/>
            <w:hideMark/>
          </w:tcPr>
          <w:p w14:paraId="10310793" w14:textId="54ADDFB0" w:rsidR="00D61926" w:rsidRPr="00D61926" w:rsidRDefault="00D61926" w:rsidP="00C86A75">
            <w:pPr>
              <w:jc w:val="center"/>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w:t>
            </w:r>
          </w:p>
        </w:tc>
        <w:tc>
          <w:tcPr>
            <w:tcW w:w="683" w:type="pct"/>
            <w:tcBorders>
              <w:top w:val="nil"/>
              <w:left w:val="nil"/>
              <w:bottom w:val="nil"/>
              <w:right w:val="nil"/>
            </w:tcBorders>
            <w:shd w:val="clear" w:color="000000" w:fill="FFFFFF"/>
            <w:vAlign w:val="center"/>
            <w:hideMark/>
          </w:tcPr>
          <w:p w14:paraId="43FC4F65" w14:textId="04D6BDAD"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3.587.608</w:t>
            </w:r>
          </w:p>
        </w:tc>
        <w:tc>
          <w:tcPr>
            <w:tcW w:w="577" w:type="pct"/>
            <w:tcBorders>
              <w:top w:val="nil"/>
              <w:left w:val="nil"/>
              <w:bottom w:val="nil"/>
              <w:right w:val="nil"/>
            </w:tcBorders>
            <w:vAlign w:val="center"/>
            <w:hideMark/>
          </w:tcPr>
          <w:p w14:paraId="417EA9FC" w14:textId="77777777"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3.587.608</w:t>
            </w:r>
          </w:p>
        </w:tc>
        <w:tc>
          <w:tcPr>
            <w:tcW w:w="577" w:type="pct"/>
            <w:tcBorders>
              <w:top w:val="nil"/>
              <w:left w:val="nil"/>
              <w:bottom w:val="nil"/>
              <w:right w:val="nil"/>
            </w:tcBorders>
            <w:vAlign w:val="center"/>
            <w:hideMark/>
          </w:tcPr>
          <w:p w14:paraId="334C0FA6" w14:textId="77777777" w:rsidR="00D61926" w:rsidRPr="00D61926" w:rsidRDefault="00D61926" w:rsidP="00D61926">
            <w:pPr>
              <w:jc w:val="right"/>
              <w:rPr>
                <w:rFonts w:ascii="CAIXA Std Book" w:eastAsia="Times New Roman" w:hAnsi="CAIXA Std Book" w:cs="Calibri"/>
                <w:color w:val="005CA9"/>
                <w:sz w:val="16"/>
                <w:szCs w:val="16"/>
              </w:rPr>
            </w:pPr>
            <w:r w:rsidRPr="00D61926">
              <w:rPr>
                <w:rFonts w:ascii="CAIXA Std Book" w:eastAsia="Times New Roman" w:hAnsi="CAIXA Std Book" w:cs="Calibri"/>
                <w:color w:val="005CA9"/>
                <w:sz w:val="16"/>
                <w:szCs w:val="16"/>
              </w:rPr>
              <w:t>3.842.724</w:t>
            </w:r>
          </w:p>
        </w:tc>
      </w:tr>
      <w:tr w:rsidR="00D61926" w:rsidRPr="00D61926" w14:paraId="614FAFEA" w14:textId="77777777" w:rsidTr="00491C2B">
        <w:trPr>
          <w:trHeight w:val="290"/>
        </w:trPr>
        <w:tc>
          <w:tcPr>
            <w:tcW w:w="862" w:type="pct"/>
            <w:tcBorders>
              <w:top w:val="nil"/>
              <w:left w:val="nil"/>
              <w:bottom w:val="nil"/>
              <w:right w:val="nil"/>
            </w:tcBorders>
            <w:shd w:val="clear" w:color="000000" w:fill="005CA9"/>
            <w:noWrap/>
            <w:vAlign w:val="center"/>
            <w:hideMark/>
          </w:tcPr>
          <w:p w14:paraId="2FD1BA41" w14:textId="77777777" w:rsidR="00D61926" w:rsidRPr="00D61926" w:rsidRDefault="00D61926" w:rsidP="00D61926">
            <w:pPr>
              <w:rPr>
                <w:rFonts w:ascii="CAIXA Std Book" w:eastAsia="Times New Roman" w:hAnsi="CAIXA Std Book" w:cs="Calibri"/>
                <w:b/>
                <w:bCs/>
                <w:color w:val="FFFFFF"/>
                <w:sz w:val="16"/>
                <w:szCs w:val="16"/>
              </w:rPr>
            </w:pPr>
            <w:r w:rsidRPr="00D61926">
              <w:rPr>
                <w:rFonts w:ascii="CAIXA Std Book" w:eastAsia="Times New Roman" w:hAnsi="CAIXA Std Book" w:cs="Calibri"/>
                <w:b/>
                <w:bCs/>
                <w:color w:val="FFFFFF"/>
                <w:sz w:val="16"/>
                <w:szCs w:val="16"/>
              </w:rPr>
              <w:t>Total</w:t>
            </w:r>
          </w:p>
        </w:tc>
        <w:tc>
          <w:tcPr>
            <w:tcW w:w="495" w:type="pct"/>
            <w:tcBorders>
              <w:top w:val="nil"/>
              <w:left w:val="nil"/>
              <w:bottom w:val="nil"/>
              <w:right w:val="nil"/>
            </w:tcBorders>
            <w:shd w:val="clear" w:color="000000" w:fill="005CA9"/>
            <w:noWrap/>
            <w:vAlign w:val="center"/>
            <w:hideMark/>
          </w:tcPr>
          <w:p w14:paraId="1BE3136D" w14:textId="77777777" w:rsidR="00D61926" w:rsidRPr="00D61926" w:rsidRDefault="00D61926" w:rsidP="00D61926">
            <w:pPr>
              <w:rPr>
                <w:rFonts w:ascii="CAIXA Std Book" w:eastAsia="Times New Roman" w:hAnsi="CAIXA Std Book" w:cs="Calibri"/>
                <w:color w:val="FFFFFF"/>
                <w:sz w:val="16"/>
                <w:szCs w:val="16"/>
              </w:rPr>
            </w:pPr>
            <w:r w:rsidRPr="00D61926">
              <w:rPr>
                <w:rFonts w:ascii="CAIXA Std Book" w:eastAsia="Times New Roman" w:hAnsi="CAIXA Std Book" w:cs="Calibri"/>
                <w:color w:val="FFFFFF"/>
                <w:sz w:val="16"/>
                <w:szCs w:val="16"/>
              </w:rPr>
              <w:t> </w:t>
            </w:r>
          </w:p>
        </w:tc>
        <w:tc>
          <w:tcPr>
            <w:tcW w:w="525" w:type="pct"/>
            <w:tcBorders>
              <w:top w:val="nil"/>
              <w:left w:val="nil"/>
              <w:bottom w:val="nil"/>
              <w:right w:val="nil"/>
            </w:tcBorders>
            <w:shd w:val="clear" w:color="000000" w:fill="005CA9"/>
            <w:vAlign w:val="center"/>
            <w:hideMark/>
          </w:tcPr>
          <w:p w14:paraId="716CFED5" w14:textId="77777777" w:rsidR="00D61926" w:rsidRPr="00D61926" w:rsidRDefault="00D61926" w:rsidP="00D61926">
            <w:pPr>
              <w:jc w:val="right"/>
              <w:rPr>
                <w:rFonts w:ascii="CAIXA Std Book" w:eastAsia="Times New Roman" w:hAnsi="CAIXA Std Book" w:cs="Calibri"/>
                <w:b/>
                <w:bCs/>
                <w:color w:val="FFFFFF"/>
                <w:sz w:val="16"/>
                <w:szCs w:val="16"/>
              </w:rPr>
            </w:pPr>
            <w:r w:rsidRPr="00D61926">
              <w:rPr>
                <w:rFonts w:ascii="CAIXA Std Book" w:eastAsia="Times New Roman" w:hAnsi="CAIXA Std Book" w:cs="Calibri"/>
                <w:b/>
                <w:bCs/>
                <w:color w:val="FFFFFF"/>
                <w:sz w:val="16"/>
                <w:szCs w:val="16"/>
              </w:rPr>
              <w:t>25.385.053</w:t>
            </w:r>
          </w:p>
        </w:tc>
        <w:tc>
          <w:tcPr>
            <w:tcW w:w="618" w:type="pct"/>
            <w:tcBorders>
              <w:top w:val="nil"/>
              <w:left w:val="nil"/>
              <w:bottom w:val="nil"/>
              <w:right w:val="nil"/>
            </w:tcBorders>
            <w:shd w:val="clear" w:color="000000" w:fill="005CA9"/>
            <w:vAlign w:val="center"/>
            <w:hideMark/>
          </w:tcPr>
          <w:p w14:paraId="7D792118" w14:textId="77777777" w:rsidR="00D61926" w:rsidRPr="00D61926" w:rsidRDefault="00D61926" w:rsidP="00D61926">
            <w:pPr>
              <w:jc w:val="right"/>
              <w:rPr>
                <w:rFonts w:ascii="CAIXA Std Book" w:eastAsia="Times New Roman" w:hAnsi="CAIXA Std Book" w:cs="Calibri"/>
                <w:b/>
                <w:bCs/>
                <w:color w:val="FFFFFF"/>
                <w:sz w:val="16"/>
                <w:szCs w:val="16"/>
              </w:rPr>
            </w:pPr>
            <w:r w:rsidRPr="00D61926">
              <w:rPr>
                <w:rFonts w:ascii="CAIXA Std Book" w:eastAsia="Times New Roman" w:hAnsi="CAIXA Std Book" w:cs="Calibri"/>
                <w:b/>
                <w:bCs/>
                <w:color w:val="FFFFFF"/>
                <w:sz w:val="16"/>
                <w:szCs w:val="16"/>
              </w:rPr>
              <w:t>24.562.634</w:t>
            </w:r>
          </w:p>
        </w:tc>
        <w:tc>
          <w:tcPr>
            <w:tcW w:w="663" w:type="pct"/>
            <w:tcBorders>
              <w:top w:val="nil"/>
              <w:left w:val="nil"/>
              <w:bottom w:val="nil"/>
              <w:right w:val="nil"/>
            </w:tcBorders>
            <w:shd w:val="clear" w:color="000000" w:fill="005CA9"/>
            <w:vAlign w:val="center"/>
            <w:hideMark/>
          </w:tcPr>
          <w:p w14:paraId="2AF78F54" w14:textId="77777777" w:rsidR="00D61926" w:rsidRPr="00D61926" w:rsidRDefault="00D61926" w:rsidP="00D61926">
            <w:pPr>
              <w:jc w:val="right"/>
              <w:rPr>
                <w:rFonts w:ascii="CAIXA Std Book" w:eastAsia="Times New Roman" w:hAnsi="CAIXA Std Book" w:cs="Calibri"/>
                <w:b/>
                <w:bCs/>
                <w:color w:val="FFFFFF"/>
                <w:sz w:val="16"/>
                <w:szCs w:val="16"/>
              </w:rPr>
            </w:pPr>
            <w:r w:rsidRPr="00D61926">
              <w:rPr>
                <w:rFonts w:ascii="CAIXA Std Book" w:eastAsia="Times New Roman" w:hAnsi="CAIXA Std Book" w:cs="Calibri"/>
                <w:b/>
                <w:bCs/>
                <w:color w:val="FFFFFF"/>
                <w:sz w:val="16"/>
                <w:szCs w:val="16"/>
              </w:rPr>
              <w:t>81.442.801</w:t>
            </w:r>
          </w:p>
        </w:tc>
        <w:tc>
          <w:tcPr>
            <w:tcW w:w="683" w:type="pct"/>
            <w:tcBorders>
              <w:top w:val="nil"/>
              <w:left w:val="nil"/>
              <w:bottom w:val="nil"/>
              <w:right w:val="nil"/>
            </w:tcBorders>
            <w:shd w:val="clear" w:color="000000" w:fill="005CA9"/>
            <w:vAlign w:val="center"/>
            <w:hideMark/>
          </w:tcPr>
          <w:p w14:paraId="76425BDC" w14:textId="77777777" w:rsidR="00D61926" w:rsidRPr="00D61926" w:rsidRDefault="00D61926" w:rsidP="00D61926">
            <w:pPr>
              <w:jc w:val="right"/>
              <w:rPr>
                <w:rFonts w:ascii="CAIXA Std Book" w:eastAsia="Times New Roman" w:hAnsi="CAIXA Std Book" w:cs="Calibri"/>
                <w:b/>
                <w:bCs/>
                <w:color w:val="FFFFFF"/>
                <w:sz w:val="16"/>
                <w:szCs w:val="16"/>
              </w:rPr>
            </w:pPr>
            <w:r w:rsidRPr="00D61926">
              <w:rPr>
                <w:rFonts w:ascii="CAIXA Std Book" w:eastAsia="Times New Roman" w:hAnsi="CAIXA Std Book" w:cs="Calibri"/>
                <w:b/>
                <w:bCs/>
                <w:color w:val="FFFFFF"/>
                <w:sz w:val="16"/>
                <w:szCs w:val="16"/>
              </w:rPr>
              <w:t>174.339.341</w:t>
            </w:r>
          </w:p>
        </w:tc>
        <w:tc>
          <w:tcPr>
            <w:tcW w:w="577" w:type="pct"/>
            <w:tcBorders>
              <w:top w:val="nil"/>
              <w:left w:val="nil"/>
              <w:bottom w:val="nil"/>
              <w:right w:val="nil"/>
            </w:tcBorders>
            <w:shd w:val="clear" w:color="000000" w:fill="005CA9"/>
            <w:vAlign w:val="center"/>
            <w:hideMark/>
          </w:tcPr>
          <w:p w14:paraId="6ACAF8A9" w14:textId="77777777" w:rsidR="00D61926" w:rsidRPr="00D61926" w:rsidRDefault="00D61926" w:rsidP="00D61926">
            <w:pPr>
              <w:jc w:val="right"/>
              <w:rPr>
                <w:rFonts w:ascii="CAIXA Std Book" w:eastAsia="Times New Roman" w:hAnsi="CAIXA Std Book" w:cs="Calibri"/>
                <w:b/>
                <w:bCs/>
                <w:color w:val="FFFFFF"/>
                <w:sz w:val="16"/>
                <w:szCs w:val="16"/>
              </w:rPr>
            </w:pPr>
            <w:r w:rsidRPr="00D61926">
              <w:rPr>
                <w:rFonts w:ascii="CAIXA Std Book" w:eastAsia="Times New Roman" w:hAnsi="CAIXA Std Book" w:cs="Calibri"/>
                <w:b/>
                <w:bCs/>
                <w:color w:val="FFFFFF"/>
                <w:sz w:val="16"/>
                <w:szCs w:val="16"/>
              </w:rPr>
              <w:t>305.729.829</w:t>
            </w:r>
          </w:p>
        </w:tc>
        <w:tc>
          <w:tcPr>
            <w:tcW w:w="577" w:type="pct"/>
            <w:tcBorders>
              <w:top w:val="nil"/>
              <w:left w:val="nil"/>
              <w:bottom w:val="nil"/>
              <w:right w:val="nil"/>
            </w:tcBorders>
            <w:shd w:val="clear" w:color="000000" w:fill="005CA9"/>
            <w:vAlign w:val="center"/>
            <w:hideMark/>
          </w:tcPr>
          <w:p w14:paraId="07B26169" w14:textId="77777777" w:rsidR="00D61926" w:rsidRPr="00D61926" w:rsidRDefault="00D61926" w:rsidP="00D61926">
            <w:pPr>
              <w:jc w:val="right"/>
              <w:rPr>
                <w:rFonts w:ascii="CAIXA Std Book" w:eastAsia="Times New Roman" w:hAnsi="CAIXA Std Book" w:cs="Calibri"/>
                <w:b/>
                <w:bCs/>
                <w:color w:val="FFFFFF"/>
                <w:sz w:val="16"/>
                <w:szCs w:val="16"/>
              </w:rPr>
            </w:pPr>
            <w:r w:rsidRPr="00D61926">
              <w:rPr>
                <w:rFonts w:ascii="CAIXA Std Book" w:eastAsia="Times New Roman" w:hAnsi="CAIXA Std Book" w:cs="Calibri"/>
                <w:b/>
                <w:bCs/>
                <w:color w:val="FFFFFF"/>
                <w:sz w:val="16"/>
                <w:szCs w:val="16"/>
              </w:rPr>
              <w:t>294.345.710</w:t>
            </w:r>
          </w:p>
        </w:tc>
      </w:tr>
    </w:tbl>
    <w:p w14:paraId="49858D73" w14:textId="414AFB37" w:rsidR="0062179C" w:rsidRPr="00B04D8D" w:rsidRDefault="0062179C" w:rsidP="0062179C">
      <w:pPr>
        <w:keepNext/>
        <w:spacing w:before="240" w:after="120"/>
        <w:ind w:left="851" w:hanging="851"/>
        <w:jc w:val="both"/>
        <w:rPr>
          <w:rFonts w:ascii="CAIXA Std Book" w:hAnsi="CAIXA Std Book"/>
          <w:b/>
          <w:color w:val="005CA9"/>
          <w:sz w:val="20"/>
          <w:szCs w:val="20"/>
        </w:rPr>
      </w:pPr>
      <w:r>
        <w:rPr>
          <w:rFonts w:ascii="CAIXA Std Book" w:hAnsi="CAIXA Std Book"/>
          <w:b/>
          <w:color w:val="005CA9"/>
          <w:sz w:val="20"/>
          <w:szCs w:val="20"/>
        </w:rPr>
        <w:t>(b.1)</w:t>
      </w:r>
      <w:r>
        <w:rPr>
          <w:rFonts w:ascii="CAIXA Std Book" w:hAnsi="CAIXA Std Book"/>
          <w:b/>
          <w:color w:val="005CA9"/>
          <w:sz w:val="20"/>
          <w:szCs w:val="20"/>
        </w:rPr>
        <w:tab/>
      </w:r>
      <w:r w:rsidR="007453B8">
        <w:rPr>
          <w:rFonts w:ascii="CAIXA Std Book" w:hAnsi="CAIXA Std Book"/>
          <w:b/>
          <w:color w:val="005CA9"/>
          <w:sz w:val="20"/>
          <w:szCs w:val="20"/>
        </w:rPr>
        <w:t>Títulos e valores mobiliários no exterior</w:t>
      </w:r>
    </w:p>
    <w:p w14:paraId="44248BD0" w14:textId="5DF202F0" w:rsidR="00885809" w:rsidRPr="00CE3866" w:rsidRDefault="00C27582" w:rsidP="00CE3866">
      <w:pPr>
        <w:spacing w:before="120" w:after="120"/>
        <w:jc w:val="both"/>
        <w:rPr>
          <w:rFonts w:ascii="CAIXA Std Book" w:hAnsi="CAIXA Std Book"/>
          <w:color w:val="005CA9"/>
          <w:sz w:val="20"/>
          <w:szCs w:val="20"/>
        </w:rPr>
      </w:pPr>
      <w:r>
        <w:rPr>
          <w:rFonts w:ascii="CAIXA Std Book" w:hAnsi="CAIXA Std Book"/>
          <w:bCs/>
          <w:color w:val="005CA9"/>
          <w:sz w:val="20"/>
          <w:szCs w:val="20"/>
        </w:rPr>
        <w:t>Em maio de 2025, a</w:t>
      </w:r>
      <w:r w:rsidR="00F902EC" w:rsidRPr="00F902EC">
        <w:rPr>
          <w:rFonts w:ascii="CAIXA Std Book" w:hAnsi="CAIXA Std Book"/>
          <w:bCs/>
          <w:color w:val="005CA9"/>
          <w:sz w:val="20"/>
          <w:szCs w:val="20"/>
        </w:rPr>
        <w:t xml:space="preserve"> CAIXA </w:t>
      </w:r>
      <w:r w:rsidR="00E37730">
        <w:rPr>
          <w:rFonts w:ascii="CAIXA Std Book" w:hAnsi="CAIXA Std Book"/>
          <w:bCs/>
          <w:color w:val="005CA9"/>
          <w:sz w:val="20"/>
          <w:szCs w:val="20"/>
        </w:rPr>
        <w:t>realiz</w:t>
      </w:r>
      <w:r>
        <w:rPr>
          <w:rFonts w:ascii="CAIXA Std Book" w:hAnsi="CAIXA Std Book"/>
          <w:bCs/>
          <w:color w:val="005CA9"/>
          <w:sz w:val="20"/>
          <w:szCs w:val="20"/>
        </w:rPr>
        <w:t>ou sua primeira</w:t>
      </w:r>
      <w:r w:rsidR="00E37730">
        <w:rPr>
          <w:rFonts w:ascii="CAIXA Std Book" w:hAnsi="CAIXA Std Book"/>
          <w:bCs/>
          <w:color w:val="005CA9"/>
          <w:sz w:val="20"/>
          <w:szCs w:val="20"/>
        </w:rPr>
        <w:t xml:space="preserve"> emissão </w:t>
      </w:r>
      <w:r w:rsidR="00DF0226">
        <w:rPr>
          <w:rFonts w:ascii="CAIXA Std Book" w:hAnsi="CAIXA Std Book"/>
          <w:bCs/>
          <w:color w:val="005CA9"/>
          <w:sz w:val="20"/>
          <w:szCs w:val="20"/>
        </w:rPr>
        <w:t xml:space="preserve">de títulos </w:t>
      </w:r>
      <w:r>
        <w:rPr>
          <w:rFonts w:ascii="CAIXA Std Book" w:hAnsi="CAIXA Std Book"/>
          <w:bCs/>
          <w:color w:val="005CA9"/>
          <w:sz w:val="20"/>
          <w:szCs w:val="20"/>
        </w:rPr>
        <w:t>com temática social no mercado internacional.</w:t>
      </w:r>
      <w:r w:rsidR="009916FD">
        <w:rPr>
          <w:rFonts w:ascii="CAIXA Std Book" w:hAnsi="CAIXA Std Book"/>
          <w:bCs/>
          <w:color w:val="005CA9"/>
          <w:sz w:val="20"/>
          <w:szCs w:val="20"/>
        </w:rPr>
        <w:t xml:space="preserve"> </w:t>
      </w:r>
      <w:r w:rsidR="007A0A8E" w:rsidRPr="00D21B34">
        <w:rPr>
          <w:rFonts w:ascii="CAIXA Std Book" w:hAnsi="CAIXA Std Book"/>
          <w:color w:val="005CA9"/>
          <w:sz w:val="20"/>
          <w:szCs w:val="20"/>
        </w:rPr>
        <w:t>A emissão tem como objetivo captar recursos para o financiamento de projetos que promovam a inclusão financeira, em conformidade com as melhores práticas globais de finanças sustentáveis</w:t>
      </w:r>
      <w:r w:rsidR="000F4F7C">
        <w:rPr>
          <w:rFonts w:ascii="CAIXA Std Book" w:hAnsi="CAIXA Std Book"/>
          <w:color w:val="005CA9"/>
          <w:sz w:val="20"/>
          <w:szCs w:val="20"/>
        </w:rPr>
        <w:t xml:space="preserve">, </w:t>
      </w:r>
      <w:r w:rsidR="00A063AF">
        <w:rPr>
          <w:rFonts w:ascii="CAIXA Std Book" w:hAnsi="CAIXA Std Book"/>
          <w:color w:val="005CA9"/>
          <w:sz w:val="20"/>
          <w:szCs w:val="20"/>
        </w:rPr>
        <w:t>se</w:t>
      </w:r>
      <w:r w:rsidR="000F4F7C">
        <w:rPr>
          <w:rFonts w:ascii="CAIXA Std Book" w:hAnsi="CAIXA Std Book"/>
          <w:color w:val="005CA9"/>
          <w:sz w:val="20"/>
          <w:szCs w:val="20"/>
        </w:rPr>
        <w:t xml:space="preserve">guindo </w:t>
      </w:r>
      <w:r w:rsidR="008C0909">
        <w:rPr>
          <w:rFonts w:ascii="CAIXA Std Book" w:hAnsi="CAIXA Std Book"/>
          <w:color w:val="005CA9"/>
          <w:sz w:val="20"/>
          <w:szCs w:val="20"/>
        </w:rPr>
        <w:t>diretrizes para garantir a</w:t>
      </w:r>
      <w:r w:rsidR="00795E2B" w:rsidRPr="00D21B34">
        <w:rPr>
          <w:rFonts w:ascii="CAIXA Std Book" w:hAnsi="CAIXA Std Book"/>
          <w:color w:val="005CA9"/>
          <w:sz w:val="20"/>
          <w:szCs w:val="20"/>
        </w:rPr>
        <w:t xml:space="preserve"> alocação transparente e rastreável dos recursos em projetos com impacto social positivo</w:t>
      </w:r>
      <w:r w:rsidR="00484294">
        <w:rPr>
          <w:rFonts w:ascii="CAIXA Std Book" w:hAnsi="CAIXA Std Book"/>
          <w:color w:val="005CA9"/>
          <w:sz w:val="20"/>
          <w:szCs w:val="20"/>
        </w:rPr>
        <w:t>.</w:t>
      </w:r>
    </w:p>
    <w:tbl>
      <w:tblPr>
        <w:tblW w:w="5000" w:type="pct"/>
        <w:tblCellMar>
          <w:left w:w="0" w:type="dxa"/>
          <w:right w:w="0" w:type="dxa"/>
        </w:tblCellMar>
        <w:tblLook w:val="04A0" w:firstRow="1" w:lastRow="0" w:firstColumn="1" w:lastColumn="0" w:noHBand="0" w:noVBand="1"/>
      </w:tblPr>
      <w:tblGrid>
        <w:gridCol w:w="2075"/>
        <w:gridCol w:w="744"/>
        <w:gridCol w:w="1218"/>
        <w:gridCol w:w="1099"/>
        <w:gridCol w:w="1093"/>
        <w:gridCol w:w="1014"/>
        <w:gridCol w:w="1014"/>
        <w:gridCol w:w="1380"/>
      </w:tblGrid>
      <w:tr w:rsidR="00B33AE8" w:rsidRPr="00387C25" w14:paraId="2604BE5F" w14:textId="77777777" w:rsidTr="003B26AB">
        <w:trPr>
          <w:trHeight w:val="290"/>
        </w:trPr>
        <w:tc>
          <w:tcPr>
            <w:tcW w:w="5000" w:type="pct"/>
            <w:gridSpan w:val="8"/>
            <w:tcBorders>
              <w:top w:val="nil"/>
              <w:left w:val="nil"/>
              <w:bottom w:val="single" w:sz="4" w:space="0" w:color="FFFFFF"/>
              <w:right w:val="nil"/>
            </w:tcBorders>
            <w:shd w:val="clear" w:color="000000" w:fill="005CA9"/>
            <w:tcMar>
              <w:top w:w="15" w:type="dxa"/>
              <w:left w:w="15" w:type="dxa"/>
              <w:bottom w:w="0" w:type="dxa"/>
              <w:right w:w="15" w:type="dxa"/>
            </w:tcMar>
            <w:vAlign w:val="center"/>
            <w:hideMark/>
          </w:tcPr>
          <w:p w14:paraId="491E2F2D" w14:textId="77777777" w:rsidR="00B33AE8" w:rsidRDefault="00B33AE8" w:rsidP="00B33AE8">
            <w:pPr>
              <w:jc w:val="center"/>
              <w:rPr>
                <w:rFonts w:ascii="CAIXA Std Book" w:hAnsi="CAIXA Std Book" w:cs="Calibri"/>
                <w:b/>
                <w:color w:val="FFFFFF"/>
                <w:sz w:val="16"/>
                <w:szCs w:val="16"/>
              </w:rPr>
            </w:pPr>
            <w:r>
              <w:rPr>
                <w:rFonts w:ascii="CAIXA Std Book" w:hAnsi="CAIXA Std Book" w:cs="Calibri"/>
                <w:b/>
                <w:color w:val="FFFFFF"/>
                <w:sz w:val="16"/>
                <w:szCs w:val="16"/>
              </w:rPr>
              <w:t>Individual / Consolidado</w:t>
            </w:r>
          </w:p>
        </w:tc>
      </w:tr>
      <w:tr w:rsidR="00B33AE8" w:rsidRPr="00387C25" w14:paraId="3D302E95" w14:textId="77777777" w:rsidTr="003B26AB">
        <w:trPr>
          <w:trHeight w:val="500"/>
        </w:trPr>
        <w:tc>
          <w:tcPr>
            <w:tcW w:w="1077" w:type="pct"/>
            <w:tcBorders>
              <w:top w:val="nil"/>
              <w:left w:val="nil"/>
              <w:bottom w:val="nil"/>
              <w:right w:val="nil"/>
            </w:tcBorders>
            <w:shd w:val="clear" w:color="000000" w:fill="005CA9"/>
            <w:tcMar>
              <w:top w:w="15" w:type="dxa"/>
              <w:left w:w="15" w:type="dxa"/>
              <w:bottom w:w="0" w:type="dxa"/>
              <w:right w:w="15" w:type="dxa"/>
            </w:tcMar>
            <w:vAlign w:val="center"/>
            <w:hideMark/>
          </w:tcPr>
          <w:p w14:paraId="1F080101" w14:textId="77777777" w:rsidR="00B33AE8" w:rsidRDefault="00B33AE8" w:rsidP="00B33AE8">
            <w:pPr>
              <w:jc w:val="center"/>
              <w:rPr>
                <w:rFonts w:ascii="CAIXA Std Book" w:hAnsi="CAIXA Std Book" w:cs="Calibri"/>
                <w:b/>
                <w:color w:val="FFFFFF"/>
                <w:sz w:val="16"/>
                <w:szCs w:val="16"/>
              </w:rPr>
            </w:pPr>
            <w:r>
              <w:rPr>
                <w:rFonts w:ascii="CAIXA Std Book" w:hAnsi="CAIXA Std Book" w:cs="Calibri"/>
                <w:b/>
                <w:color w:val="FFFFFF"/>
                <w:sz w:val="16"/>
                <w:szCs w:val="16"/>
              </w:rPr>
              <w:t>Título</w:t>
            </w:r>
          </w:p>
        </w:tc>
        <w:tc>
          <w:tcPr>
            <w:tcW w:w="386" w:type="pct"/>
            <w:tcBorders>
              <w:top w:val="nil"/>
              <w:left w:val="nil"/>
              <w:bottom w:val="nil"/>
              <w:right w:val="nil"/>
            </w:tcBorders>
            <w:shd w:val="clear" w:color="000000" w:fill="005CA9"/>
            <w:tcMar>
              <w:top w:w="15" w:type="dxa"/>
              <w:left w:w="15" w:type="dxa"/>
              <w:bottom w:w="0" w:type="dxa"/>
              <w:right w:w="15" w:type="dxa"/>
            </w:tcMar>
            <w:vAlign w:val="center"/>
            <w:hideMark/>
          </w:tcPr>
          <w:p w14:paraId="111B4993" w14:textId="77777777" w:rsidR="00B33AE8" w:rsidRDefault="00B33AE8" w:rsidP="00B33AE8">
            <w:pPr>
              <w:jc w:val="center"/>
              <w:rPr>
                <w:rFonts w:ascii="CAIXA Std Book" w:hAnsi="CAIXA Std Book" w:cs="Calibri"/>
                <w:b/>
                <w:color w:val="FFFFFF"/>
                <w:sz w:val="16"/>
                <w:szCs w:val="16"/>
              </w:rPr>
            </w:pPr>
            <w:r>
              <w:rPr>
                <w:rFonts w:ascii="CAIXA Std Book" w:hAnsi="CAIXA Std Book" w:cs="Calibri"/>
                <w:b/>
                <w:color w:val="FFFFFF"/>
                <w:sz w:val="16"/>
                <w:szCs w:val="16"/>
              </w:rPr>
              <w:t>Moeda</w:t>
            </w:r>
          </w:p>
        </w:tc>
        <w:tc>
          <w:tcPr>
            <w:tcW w:w="632" w:type="pct"/>
            <w:tcBorders>
              <w:top w:val="nil"/>
              <w:left w:val="nil"/>
              <w:bottom w:val="nil"/>
              <w:right w:val="nil"/>
            </w:tcBorders>
            <w:shd w:val="clear" w:color="000000" w:fill="005CA9"/>
            <w:tcMar>
              <w:top w:w="15" w:type="dxa"/>
              <w:left w:w="15" w:type="dxa"/>
              <w:bottom w:w="0" w:type="dxa"/>
              <w:right w:w="15" w:type="dxa"/>
            </w:tcMar>
            <w:vAlign w:val="center"/>
            <w:hideMark/>
          </w:tcPr>
          <w:p w14:paraId="5EE24772" w14:textId="06CC5EC7" w:rsidR="00B33AE8" w:rsidRDefault="00B33AE8" w:rsidP="00B33AE8">
            <w:pPr>
              <w:jc w:val="center"/>
              <w:rPr>
                <w:rFonts w:ascii="CAIXA Std Book" w:hAnsi="CAIXA Std Book" w:cs="Calibri"/>
                <w:b/>
                <w:color w:val="FFFFFF"/>
                <w:sz w:val="16"/>
                <w:szCs w:val="16"/>
              </w:rPr>
            </w:pPr>
            <w:r>
              <w:rPr>
                <w:rFonts w:ascii="CAIXA Std Book" w:hAnsi="CAIXA Std Book" w:cs="Calibri"/>
                <w:b/>
                <w:color w:val="FFFFFF"/>
                <w:sz w:val="16"/>
                <w:szCs w:val="16"/>
              </w:rPr>
              <w:t>Valor emitido                (1)</w:t>
            </w:r>
          </w:p>
        </w:tc>
        <w:tc>
          <w:tcPr>
            <w:tcW w:w="570" w:type="pct"/>
            <w:tcBorders>
              <w:top w:val="nil"/>
              <w:left w:val="nil"/>
              <w:bottom w:val="nil"/>
              <w:right w:val="nil"/>
            </w:tcBorders>
            <w:shd w:val="clear" w:color="000000" w:fill="005CA9"/>
            <w:tcMar>
              <w:top w:w="15" w:type="dxa"/>
              <w:left w:w="15" w:type="dxa"/>
              <w:bottom w:w="0" w:type="dxa"/>
              <w:right w:w="15" w:type="dxa"/>
            </w:tcMar>
            <w:vAlign w:val="center"/>
            <w:hideMark/>
          </w:tcPr>
          <w:p w14:paraId="29DBBF5A" w14:textId="77777777" w:rsidR="00B33AE8" w:rsidRDefault="00B33AE8" w:rsidP="00B33AE8">
            <w:pPr>
              <w:jc w:val="center"/>
              <w:rPr>
                <w:rFonts w:ascii="CAIXA Std Book" w:hAnsi="CAIXA Std Book" w:cs="Calibri"/>
                <w:b/>
                <w:color w:val="FFFFFF"/>
                <w:sz w:val="16"/>
                <w:szCs w:val="16"/>
              </w:rPr>
            </w:pPr>
            <w:r>
              <w:rPr>
                <w:rFonts w:ascii="CAIXA Std Book" w:hAnsi="CAIXA Std Book" w:cs="Calibri"/>
                <w:b/>
                <w:color w:val="FFFFFF"/>
                <w:sz w:val="16"/>
                <w:szCs w:val="16"/>
              </w:rPr>
              <w:t>Remuneração                  a.a.</w:t>
            </w:r>
          </w:p>
        </w:tc>
        <w:tc>
          <w:tcPr>
            <w:tcW w:w="567" w:type="pct"/>
            <w:tcBorders>
              <w:top w:val="nil"/>
              <w:left w:val="nil"/>
              <w:bottom w:val="nil"/>
              <w:right w:val="nil"/>
            </w:tcBorders>
            <w:shd w:val="clear" w:color="000000" w:fill="005CA9"/>
            <w:tcMar>
              <w:top w:w="15" w:type="dxa"/>
              <w:left w:w="15" w:type="dxa"/>
              <w:bottom w:w="0" w:type="dxa"/>
              <w:right w:w="15" w:type="dxa"/>
            </w:tcMar>
            <w:vAlign w:val="center"/>
            <w:hideMark/>
          </w:tcPr>
          <w:p w14:paraId="6E48987D" w14:textId="77777777" w:rsidR="00B33AE8" w:rsidRDefault="00B33AE8" w:rsidP="00B33AE8">
            <w:pPr>
              <w:jc w:val="center"/>
              <w:rPr>
                <w:rFonts w:ascii="CAIXA Std Book" w:hAnsi="CAIXA Std Book" w:cs="Calibri"/>
                <w:b/>
                <w:color w:val="FFFFFF"/>
                <w:sz w:val="16"/>
                <w:szCs w:val="16"/>
              </w:rPr>
            </w:pPr>
            <w:r>
              <w:rPr>
                <w:rFonts w:ascii="CAIXA Std Book" w:hAnsi="CAIXA Std Book" w:cs="Calibri"/>
                <w:b/>
                <w:color w:val="FFFFFF"/>
                <w:sz w:val="16"/>
                <w:szCs w:val="16"/>
              </w:rPr>
              <w:t>Data                           captação</w:t>
            </w:r>
          </w:p>
        </w:tc>
        <w:tc>
          <w:tcPr>
            <w:tcW w:w="526" w:type="pct"/>
            <w:tcBorders>
              <w:top w:val="nil"/>
              <w:left w:val="nil"/>
              <w:bottom w:val="nil"/>
              <w:right w:val="nil"/>
            </w:tcBorders>
            <w:shd w:val="clear" w:color="000000" w:fill="005CA9"/>
            <w:tcMar>
              <w:top w:w="15" w:type="dxa"/>
              <w:left w:w="15" w:type="dxa"/>
              <w:bottom w:w="0" w:type="dxa"/>
              <w:right w:w="15" w:type="dxa"/>
            </w:tcMar>
            <w:vAlign w:val="center"/>
            <w:hideMark/>
          </w:tcPr>
          <w:p w14:paraId="720EE779" w14:textId="77777777" w:rsidR="00B33AE8" w:rsidRDefault="00B33AE8" w:rsidP="00B33AE8">
            <w:pPr>
              <w:jc w:val="center"/>
              <w:rPr>
                <w:rFonts w:ascii="CAIXA Std Book" w:hAnsi="CAIXA Std Book" w:cs="Calibri"/>
                <w:b/>
                <w:color w:val="FFFFFF"/>
                <w:sz w:val="16"/>
                <w:szCs w:val="16"/>
              </w:rPr>
            </w:pPr>
            <w:r>
              <w:rPr>
                <w:rFonts w:ascii="CAIXA Std Book" w:hAnsi="CAIXA Std Book" w:cs="Calibri"/>
                <w:b/>
                <w:color w:val="FFFFFF"/>
                <w:sz w:val="16"/>
                <w:szCs w:val="16"/>
              </w:rPr>
              <w:t>Vencimento</w:t>
            </w:r>
          </w:p>
        </w:tc>
        <w:tc>
          <w:tcPr>
            <w:tcW w:w="526" w:type="pct"/>
            <w:tcBorders>
              <w:top w:val="nil"/>
              <w:left w:val="nil"/>
              <w:bottom w:val="nil"/>
              <w:right w:val="nil"/>
            </w:tcBorders>
            <w:shd w:val="clear" w:color="000000" w:fill="005CA9"/>
            <w:tcMar>
              <w:top w:w="15" w:type="dxa"/>
              <w:left w:w="15" w:type="dxa"/>
              <w:bottom w:w="0" w:type="dxa"/>
              <w:right w:w="15" w:type="dxa"/>
            </w:tcMar>
            <w:vAlign w:val="center"/>
            <w:hideMark/>
          </w:tcPr>
          <w:p w14:paraId="40D2F4BC" w14:textId="77777777" w:rsidR="00B33AE8" w:rsidRDefault="00B33AE8" w:rsidP="00B33AE8">
            <w:pPr>
              <w:jc w:val="center"/>
              <w:rPr>
                <w:rFonts w:ascii="CAIXA Std Book" w:hAnsi="CAIXA Std Book" w:cs="Calibri"/>
                <w:b/>
                <w:color w:val="FFFFFF"/>
                <w:sz w:val="16"/>
                <w:szCs w:val="16"/>
              </w:rPr>
            </w:pPr>
            <w:r>
              <w:rPr>
                <w:rFonts w:ascii="CAIXA Std Book" w:hAnsi="CAIXA Std Book" w:cs="Calibri"/>
                <w:b/>
                <w:color w:val="FFFFFF"/>
                <w:sz w:val="16"/>
                <w:szCs w:val="16"/>
              </w:rPr>
              <w:t>31/03/2026</w:t>
            </w:r>
          </w:p>
        </w:tc>
        <w:tc>
          <w:tcPr>
            <w:tcW w:w="717" w:type="pct"/>
            <w:tcBorders>
              <w:top w:val="nil"/>
              <w:left w:val="nil"/>
              <w:bottom w:val="nil"/>
              <w:right w:val="nil"/>
            </w:tcBorders>
            <w:shd w:val="clear" w:color="000000" w:fill="005CA9"/>
            <w:tcMar>
              <w:top w:w="15" w:type="dxa"/>
              <w:left w:w="15" w:type="dxa"/>
              <w:bottom w:w="0" w:type="dxa"/>
              <w:right w:w="15" w:type="dxa"/>
            </w:tcMar>
            <w:vAlign w:val="center"/>
            <w:hideMark/>
          </w:tcPr>
          <w:p w14:paraId="780399CC" w14:textId="77777777" w:rsidR="00B33AE8" w:rsidRDefault="00B33AE8" w:rsidP="00B83F4E">
            <w:pPr>
              <w:ind w:right="51"/>
              <w:jc w:val="center"/>
              <w:rPr>
                <w:rFonts w:ascii="CAIXA Std Book" w:hAnsi="CAIXA Std Book" w:cs="Calibri"/>
                <w:b/>
                <w:color w:val="FFFFFF"/>
                <w:sz w:val="16"/>
                <w:szCs w:val="16"/>
              </w:rPr>
            </w:pPr>
            <w:r>
              <w:rPr>
                <w:rFonts w:ascii="CAIXA Std Book" w:hAnsi="CAIXA Std Book" w:cs="Calibri"/>
                <w:b/>
                <w:color w:val="FFFFFF"/>
                <w:sz w:val="16"/>
                <w:szCs w:val="16"/>
              </w:rPr>
              <w:t>31/12/2025</w:t>
            </w:r>
          </w:p>
        </w:tc>
      </w:tr>
      <w:tr w:rsidR="003C0017" w:rsidRPr="00387C25" w14:paraId="2EDB012A" w14:textId="77777777" w:rsidTr="003B26AB">
        <w:trPr>
          <w:trHeight w:val="290"/>
        </w:trPr>
        <w:tc>
          <w:tcPr>
            <w:tcW w:w="1077" w:type="pct"/>
            <w:tcBorders>
              <w:top w:val="nil"/>
              <w:left w:val="nil"/>
              <w:bottom w:val="single" w:sz="4" w:space="0" w:color="005CA9"/>
              <w:right w:val="nil"/>
            </w:tcBorders>
            <w:shd w:val="clear" w:color="000000" w:fill="FFFFFF"/>
            <w:tcMar>
              <w:top w:w="15" w:type="dxa"/>
              <w:left w:w="15" w:type="dxa"/>
              <w:bottom w:w="0" w:type="dxa"/>
              <w:right w:w="15" w:type="dxa"/>
            </w:tcMar>
            <w:vAlign w:val="center"/>
            <w:hideMark/>
          </w:tcPr>
          <w:p w14:paraId="7C77CD30" w14:textId="77777777" w:rsidR="003C0017" w:rsidRDefault="003C0017" w:rsidP="003C0017">
            <w:pPr>
              <w:rPr>
                <w:rFonts w:ascii="CAIXA Std Book" w:hAnsi="CAIXA Std Book" w:cs="Calibri"/>
                <w:color w:val="005CA9"/>
                <w:sz w:val="16"/>
                <w:szCs w:val="16"/>
              </w:rPr>
            </w:pPr>
            <w:r>
              <w:rPr>
                <w:rFonts w:ascii="CAIXA Std Book" w:hAnsi="CAIXA Std Book" w:cs="Calibri"/>
                <w:color w:val="005CA9"/>
                <w:sz w:val="16"/>
                <w:szCs w:val="16"/>
              </w:rPr>
              <w:t xml:space="preserve"> Bond social </w:t>
            </w:r>
          </w:p>
        </w:tc>
        <w:tc>
          <w:tcPr>
            <w:tcW w:w="386" w:type="pct"/>
            <w:tcBorders>
              <w:top w:val="nil"/>
              <w:left w:val="nil"/>
              <w:bottom w:val="single" w:sz="4" w:space="0" w:color="005CA9"/>
              <w:right w:val="nil"/>
            </w:tcBorders>
            <w:shd w:val="clear" w:color="000000" w:fill="FFFFFF"/>
            <w:tcMar>
              <w:top w:w="15" w:type="dxa"/>
              <w:left w:w="15" w:type="dxa"/>
              <w:bottom w:w="0" w:type="dxa"/>
              <w:right w:w="15" w:type="dxa"/>
            </w:tcMar>
            <w:vAlign w:val="center"/>
            <w:hideMark/>
          </w:tcPr>
          <w:p w14:paraId="1B079A15" w14:textId="77777777" w:rsidR="003C0017" w:rsidRDefault="003C0017" w:rsidP="003C0017">
            <w:pPr>
              <w:jc w:val="center"/>
              <w:rPr>
                <w:rFonts w:ascii="CAIXA Std Book" w:hAnsi="CAIXA Std Book" w:cs="Calibri"/>
                <w:color w:val="005CA9"/>
                <w:sz w:val="16"/>
                <w:szCs w:val="16"/>
              </w:rPr>
            </w:pPr>
            <w:r>
              <w:rPr>
                <w:rFonts w:ascii="CAIXA Std Book" w:hAnsi="CAIXA Std Book" w:cs="Calibri"/>
                <w:color w:val="005CA9"/>
                <w:sz w:val="16"/>
                <w:szCs w:val="16"/>
              </w:rPr>
              <w:t xml:space="preserve"> US$ </w:t>
            </w:r>
          </w:p>
        </w:tc>
        <w:tc>
          <w:tcPr>
            <w:tcW w:w="632" w:type="pct"/>
            <w:tcBorders>
              <w:top w:val="nil"/>
              <w:left w:val="nil"/>
              <w:bottom w:val="single" w:sz="4" w:space="0" w:color="005CA9"/>
              <w:right w:val="nil"/>
            </w:tcBorders>
            <w:shd w:val="clear" w:color="000000" w:fill="FFFFFF"/>
            <w:tcMar>
              <w:top w:w="15" w:type="dxa"/>
              <w:left w:w="15" w:type="dxa"/>
              <w:bottom w:w="0" w:type="dxa"/>
              <w:right w:w="15" w:type="dxa"/>
            </w:tcMar>
            <w:vAlign w:val="center"/>
            <w:hideMark/>
          </w:tcPr>
          <w:p w14:paraId="0DAEE3FC" w14:textId="3E0C9B8C" w:rsidR="003C0017" w:rsidRDefault="003C0017" w:rsidP="003C0017">
            <w:pPr>
              <w:jc w:val="right"/>
              <w:rPr>
                <w:rFonts w:ascii="CAIXA Std Book" w:hAnsi="CAIXA Std Book" w:cs="Calibri"/>
                <w:color w:val="005CA9"/>
                <w:sz w:val="16"/>
                <w:szCs w:val="16"/>
              </w:rPr>
            </w:pPr>
            <w:r>
              <w:rPr>
                <w:rFonts w:ascii="CAIXA Std Book" w:hAnsi="CAIXA Std Book" w:cs="Calibri"/>
                <w:color w:val="005CA9"/>
                <w:sz w:val="16"/>
                <w:szCs w:val="16"/>
              </w:rPr>
              <w:t>700.000</w:t>
            </w:r>
          </w:p>
        </w:tc>
        <w:tc>
          <w:tcPr>
            <w:tcW w:w="570" w:type="pct"/>
            <w:tcBorders>
              <w:top w:val="nil"/>
              <w:left w:val="nil"/>
              <w:bottom w:val="single" w:sz="4" w:space="0" w:color="005CA9"/>
              <w:right w:val="nil"/>
            </w:tcBorders>
            <w:shd w:val="clear" w:color="000000" w:fill="FFFFFF"/>
            <w:tcMar>
              <w:top w:w="15" w:type="dxa"/>
              <w:left w:w="15" w:type="dxa"/>
              <w:bottom w:w="0" w:type="dxa"/>
              <w:right w:w="15" w:type="dxa"/>
            </w:tcMar>
            <w:vAlign w:val="center"/>
            <w:hideMark/>
          </w:tcPr>
          <w:p w14:paraId="096CF18C" w14:textId="77777777" w:rsidR="003C0017" w:rsidRDefault="003C0017" w:rsidP="001212A4">
            <w:pPr>
              <w:jc w:val="right"/>
              <w:rPr>
                <w:rFonts w:ascii="CAIXA Std Book" w:hAnsi="CAIXA Std Book" w:cs="Calibri"/>
                <w:color w:val="005CA9"/>
                <w:sz w:val="16"/>
                <w:szCs w:val="16"/>
              </w:rPr>
            </w:pPr>
            <w:r>
              <w:rPr>
                <w:rFonts w:ascii="CAIXA Std Book" w:hAnsi="CAIXA Std Book" w:cs="Calibri"/>
                <w:color w:val="005CA9"/>
                <w:sz w:val="16"/>
                <w:szCs w:val="16"/>
              </w:rPr>
              <w:t>5,625%</w:t>
            </w:r>
          </w:p>
        </w:tc>
        <w:tc>
          <w:tcPr>
            <w:tcW w:w="567" w:type="pct"/>
            <w:tcBorders>
              <w:top w:val="nil"/>
              <w:left w:val="nil"/>
              <w:bottom w:val="single" w:sz="4" w:space="0" w:color="005CA9"/>
              <w:right w:val="nil"/>
            </w:tcBorders>
            <w:shd w:val="clear" w:color="000000" w:fill="FFFFFF"/>
            <w:tcMar>
              <w:top w:w="15" w:type="dxa"/>
              <w:left w:w="15" w:type="dxa"/>
              <w:bottom w:w="0" w:type="dxa"/>
              <w:right w:w="15" w:type="dxa"/>
            </w:tcMar>
            <w:vAlign w:val="center"/>
            <w:hideMark/>
          </w:tcPr>
          <w:p w14:paraId="337B47C6" w14:textId="77777777" w:rsidR="003C0017" w:rsidRDefault="003C0017" w:rsidP="003C0017">
            <w:pPr>
              <w:jc w:val="center"/>
              <w:rPr>
                <w:rFonts w:ascii="CAIXA Std Book" w:hAnsi="CAIXA Std Book" w:cs="Calibri"/>
                <w:color w:val="005CA9"/>
                <w:sz w:val="16"/>
                <w:szCs w:val="16"/>
              </w:rPr>
            </w:pPr>
            <w:r>
              <w:rPr>
                <w:rFonts w:ascii="CAIXA Std Book" w:hAnsi="CAIXA Std Book" w:cs="Calibri"/>
                <w:color w:val="005CA9"/>
                <w:sz w:val="16"/>
                <w:szCs w:val="16"/>
              </w:rPr>
              <w:t>13/05/2025</w:t>
            </w:r>
          </w:p>
        </w:tc>
        <w:tc>
          <w:tcPr>
            <w:tcW w:w="526" w:type="pct"/>
            <w:tcBorders>
              <w:top w:val="nil"/>
              <w:left w:val="nil"/>
              <w:bottom w:val="single" w:sz="4" w:space="0" w:color="005CA9"/>
              <w:right w:val="nil"/>
            </w:tcBorders>
            <w:shd w:val="clear" w:color="000000" w:fill="FFFFFF"/>
            <w:tcMar>
              <w:top w:w="15" w:type="dxa"/>
              <w:left w:w="15" w:type="dxa"/>
              <w:bottom w:w="0" w:type="dxa"/>
              <w:right w:w="15" w:type="dxa"/>
            </w:tcMar>
            <w:vAlign w:val="center"/>
            <w:hideMark/>
          </w:tcPr>
          <w:p w14:paraId="1B7D4E73" w14:textId="77777777" w:rsidR="003C0017" w:rsidRDefault="003C0017" w:rsidP="003C0017">
            <w:pPr>
              <w:jc w:val="center"/>
              <w:rPr>
                <w:rFonts w:ascii="CAIXA Std Book" w:hAnsi="CAIXA Std Book" w:cs="Calibri"/>
                <w:color w:val="005CA9"/>
                <w:sz w:val="16"/>
                <w:szCs w:val="16"/>
              </w:rPr>
            </w:pPr>
            <w:r>
              <w:rPr>
                <w:rFonts w:ascii="CAIXA Std Book" w:hAnsi="CAIXA Std Book" w:cs="Calibri"/>
                <w:color w:val="005CA9"/>
                <w:sz w:val="16"/>
                <w:szCs w:val="16"/>
              </w:rPr>
              <w:t>13/05/2030</w:t>
            </w:r>
          </w:p>
        </w:tc>
        <w:tc>
          <w:tcPr>
            <w:tcW w:w="526" w:type="pct"/>
            <w:tcBorders>
              <w:top w:val="nil"/>
              <w:left w:val="nil"/>
              <w:bottom w:val="single" w:sz="4" w:space="0" w:color="005CA9"/>
              <w:right w:val="nil"/>
            </w:tcBorders>
            <w:shd w:val="clear" w:color="000000" w:fill="FFFFFF"/>
            <w:tcMar>
              <w:top w:w="15" w:type="dxa"/>
              <w:left w:w="15" w:type="dxa"/>
              <w:bottom w:w="0" w:type="dxa"/>
              <w:right w:w="15" w:type="dxa"/>
            </w:tcMar>
            <w:vAlign w:val="center"/>
            <w:hideMark/>
          </w:tcPr>
          <w:p w14:paraId="31374B40" w14:textId="24DFD6FD" w:rsidR="003C0017" w:rsidRDefault="003C0017" w:rsidP="003C0017">
            <w:pPr>
              <w:jc w:val="right"/>
              <w:rPr>
                <w:rFonts w:ascii="CAIXA Std Book" w:hAnsi="CAIXA Std Book" w:cs="Calibri"/>
                <w:color w:val="005CA9"/>
                <w:sz w:val="16"/>
                <w:szCs w:val="16"/>
              </w:rPr>
            </w:pPr>
            <w:r>
              <w:rPr>
                <w:rFonts w:ascii="CAIXA Std Book" w:hAnsi="CAIXA Std Book" w:cs="Calibri"/>
                <w:color w:val="005CA9"/>
                <w:sz w:val="16"/>
                <w:szCs w:val="16"/>
              </w:rPr>
              <w:t>3.587.608</w:t>
            </w:r>
          </w:p>
        </w:tc>
        <w:tc>
          <w:tcPr>
            <w:tcW w:w="717" w:type="pct"/>
            <w:tcBorders>
              <w:top w:val="nil"/>
              <w:left w:val="nil"/>
              <w:bottom w:val="single" w:sz="4" w:space="0" w:color="005CA9"/>
              <w:right w:val="nil"/>
            </w:tcBorders>
            <w:shd w:val="clear" w:color="000000" w:fill="FFFFFF"/>
            <w:tcMar>
              <w:top w:w="15" w:type="dxa"/>
              <w:left w:w="15" w:type="dxa"/>
              <w:bottom w:w="0" w:type="dxa"/>
              <w:right w:w="15" w:type="dxa"/>
            </w:tcMar>
            <w:vAlign w:val="center"/>
            <w:hideMark/>
          </w:tcPr>
          <w:p w14:paraId="314E95F1" w14:textId="624CAB50" w:rsidR="003C0017" w:rsidRDefault="003C0017" w:rsidP="00B83F4E">
            <w:pPr>
              <w:ind w:right="51"/>
              <w:jc w:val="right"/>
              <w:rPr>
                <w:rFonts w:ascii="CAIXA Std Book" w:hAnsi="CAIXA Std Book" w:cs="Calibri"/>
                <w:color w:val="005CA9"/>
                <w:sz w:val="16"/>
                <w:szCs w:val="16"/>
              </w:rPr>
            </w:pPr>
            <w:r>
              <w:rPr>
                <w:rFonts w:ascii="CAIXA Std Book" w:hAnsi="CAIXA Std Book" w:cs="Calibri"/>
                <w:color w:val="005CA9"/>
                <w:sz w:val="16"/>
                <w:szCs w:val="16"/>
              </w:rPr>
              <w:t>3.842.724</w:t>
            </w:r>
          </w:p>
        </w:tc>
      </w:tr>
    </w:tbl>
    <w:p w14:paraId="64E1BBBD" w14:textId="22C86E18" w:rsidR="006B12C6" w:rsidRPr="00CB45B4" w:rsidRDefault="001212A4" w:rsidP="006B12C6">
      <w:pPr>
        <w:spacing w:after="120"/>
        <w:ind w:left="1080" w:hanging="1080"/>
        <w:jc w:val="both"/>
        <w:rPr>
          <w:rFonts w:ascii="CAIXA Std Book" w:hAnsi="CAIXA Std Book"/>
          <w:bCs/>
          <w:color w:val="005CA9"/>
          <w:sz w:val="16"/>
          <w:szCs w:val="16"/>
        </w:rPr>
      </w:pPr>
      <w:r w:rsidRPr="00CB45B4">
        <w:rPr>
          <w:rFonts w:ascii="CAIXA Std Book" w:hAnsi="CAIXA Std Book"/>
          <w:bCs/>
          <w:color w:val="005CA9"/>
          <w:sz w:val="16"/>
          <w:szCs w:val="16"/>
        </w:rPr>
        <w:t xml:space="preserve"> </w:t>
      </w:r>
      <w:r w:rsidR="006B12C6" w:rsidRPr="00CB45B4">
        <w:rPr>
          <w:rFonts w:ascii="CAIXA Std Book" w:hAnsi="CAIXA Std Book"/>
          <w:bCs/>
          <w:color w:val="005CA9"/>
          <w:sz w:val="16"/>
          <w:szCs w:val="16"/>
        </w:rPr>
        <w:t xml:space="preserve">(1) Valores em milhares de </w:t>
      </w:r>
      <w:r w:rsidR="00CB45B4" w:rsidRPr="00CB45B4">
        <w:rPr>
          <w:rFonts w:ascii="CAIXA Std Book" w:hAnsi="CAIXA Std Book"/>
          <w:bCs/>
          <w:color w:val="005CA9"/>
          <w:sz w:val="16"/>
          <w:szCs w:val="16"/>
        </w:rPr>
        <w:t>US$.</w:t>
      </w:r>
    </w:p>
    <w:p w14:paraId="2B63D039" w14:textId="77777777" w:rsidR="000B0D04" w:rsidRDefault="000B0D04">
      <w:pPr>
        <w:rPr>
          <w:rFonts w:ascii="CAIXA Std Book" w:hAnsi="CAIXA Std Book"/>
          <w:b/>
          <w:color w:val="005CA9"/>
          <w:sz w:val="20"/>
          <w:szCs w:val="20"/>
        </w:rPr>
      </w:pPr>
      <w:r>
        <w:rPr>
          <w:rFonts w:ascii="CAIXA Std Book" w:hAnsi="CAIXA Std Book"/>
          <w:b/>
          <w:color w:val="005CA9"/>
          <w:sz w:val="20"/>
          <w:szCs w:val="20"/>
        </w:rPr>
        <w:br w:type="page"/>
      </w:r>
    </w:p>
    <w:p w14:paraId="40513EC3" w14:textId="09D4CF62" w:rsidR="00A36800" w:rsidRPr="00B04D8D" w:rsidRDefault="00A36800" w:rsidP="00295657">
      <w:pPr>
        <w:pStyle w:val="PargrafodaLista"/>
        <w:numPr>
          <w:ilvl w:val="0"/>
          <w:numId w:val="24"/>
        </w:numPr>
        <w:spacing w:before="240" w:after="120"/>
        <w:ind w:left="567" w:hanging="567"/>
        <w:contextualSpacing w:val="0"/>
        <w:jc w:val="both"/>
        <w:rPr>
          <w:rFonts w:ascii="CAIXA Std Book" w:hAnsi="CAIXA Std Book"/>
          <w:b/>
          <w:color w:val="005CA9"/>
          <w:sz w:val="20"/>
          <w:szCs w:val="20"/>
        </w:rPr>
      </w:pPr>
      <w:r w:rsidRPr="00B04D8D">
        <w:rPr>
          <w:rFonts w:ascii="CAIXA Std Book" w:hAnsi="CAIXA Std Book"/>
          <w:b/>
          <w:color w:val="005CA9"/>
          <w:sz w:val="20"/>
          <w:szCs w:val="20"/>
        </w:rPr>
        <w:t xml:space="preserve">Instrumentos </w:t>
      </w:r>
      <w:r w:rsidR="008C518D">
        <w:rPr>
          <w:rFonts w:ascii="CAIXA Std Book" w:hAnsi="CAIXA Std Book"/>
          <w:b/>
          <w:color w:val="005CA9"/>
          <w:sz w:val="20"/>
          <w:szCs w:val="20"/>
        </w:rPr>
        <w:t>f</w:t>
      </w:r>
      <w:r w:rsidRPr="00B04D8D">
        <w:rPr>
          <w:rFonts w:ascii="CAIXA Std Book" w:hAnsi="CAIXA Std Book"/>
          <w:b/>
          <w:color w:val="005CA9"/>
          <w:sz w:val="20"/>
          <w:szCs w:val="20"/>
        </w:rPr>
        <w:t xml:space="preserve">inanceiros </w:t>
      </w:r>
      <w:r w:rsidR="008C518D">
        <w:rPr>
          <w:rFonts w:ascii="CAIXA Std Book" w:hAnsi="CAIXA Std Book"/>
          <w:b/>
          <w:color w:val="005CA9"/>
          <w:sz w:val="20"/>
          <w:szCs w:val="20"/>
        </w:rPr>
        <w:t>s</w:t>
      </w:r>
      <w:r w:rsidRPr="00B04D8D">
        <w:rPr>
          <w:rFonts w:ascii="CAIXA Std Book" w:hAnsi="CAIXA Std Book"/>
          <w:b/>
          <w:color w:val="005CA9"/>
          <w:sz w:val="20"/>
          <w:szCs w:val="20"/>
        </w:rPr>
        <w:t>ubordinados</w:t>
      </w:r>
    </w:p>
    <w:tbl>
      <w:tblPr>
        <w:tblW w:w="4923" w:type="pct"/>
        <w:tblCellMar>
          <w:left w:w="70" w:type="dxa"/>
          <w:right w:w="70" w:type="dxa"/>
        </w:tblCellMar>
        <w:tblLook w:val="04A0" w:firstRow="1" w:lastRow="0" w:firstColumn="1" w:lastColumn="0" w:noHBand="0" w:noVBand="1"/>
      </w:tblPr>
      <w:tblGrid>
        <w:gridCol w:w="1127"/>
        <w:gridCol w:w="1551"/>
        <w:gridCol w:w="1313"/>
        <w:gridCol w:w="1095"/>
        <w:gridCol w:w="1095"/>
        <w:gridCol w:w="1112"/>
        <w:gridCol w:w="1097"/>
        <w:gridCol w:w="1099"/>
      </w:tblGrid>
      <w:tr w:rsidR="00833A6E" w:rsidRPr="00833A6E" w14:paraId="66F8DD86" w14:textId="77777777" w:rsidTr="001D6500">
        <w:trPr>
          <w:trHeight w:val="283"/>
        </w:trPr>
        <w:tc>
          <w:tcPr>
            <w:tcW w:w="5000" w:type="pct"/>
            <w:gridSpan w:val="8"/>
            <w:tcBorders>
              <w:top w:val="nil"/>
              <w:left w:val="nil"/>
              <w:bottom w:val="single" w:sz="4" w:space="0" w:color="FFFFFF"/>
              <w:right w:val="nil"/>
            </w:tcBorders>
            <w:shd w:val="clear" w:color="000000" w:fill="005CA9"/>
            <w:vAlign w:val="center"/>
            <w:hideMark/>
          </w:tcPr>
          <w:p w14:paraId="2E9A0D31" w14:textId="77777777" w:rsidR="00833A6E" w:rsidRPr="00833A6E" w:rsidRDefault="00833A6E" w:rsidP="00833A6E">
            <w:pPr>
              <w:jc w:val="center"/>
              <w:rPr>
                <w:rFonts w:ascii="CAIXA Std Book" w:eastAsia="Times New Roman" w:hAnsi="CAIXA Std Book" w:cs="Calibri"/>
                <w:b/>
                <w:bCs/>
                <w:color w:val="FFFFFF"/>
                <w:sz w:val="16"/>
                <w:szCs w:val="16"/>
              </w:rPr>
            </w:pPr>
            <w:r w:rsidRPr="00833A6E">
              <w:rPr>
                <w:rFonts w:ascii="CAIXA Std Book" w:eastAsia="Times New Roman" w:hAnsi="CAIXA Std Book" w:cs="Calibri"/>
                <w:b/>
                <w:bCs/>
                <w:color w:val="FFFFFF"/>
                <w:sz w:val="16"/>
                <w:szCs w:val="16"/>
              </w:rPr>
              <w:t>Individual / Consolidado</w:t>
            </w:r>
          </w:p>
        </w:tc>
      </w:tr>
      <w:tr w:rsidR="00833A6E" w:rsidRPr="00833A6E" w14:paraId="47F1DFD0" w14:textId="77777777" w:rsidTr="005E4345">
        <w:trPr>
          <w:trHeight w:val="401"/>
        </w:trPr>
        <w:tc>
          <w:tcPr>
            <w:tcW w:w="594" w:type="pct"/>
            <w:vMerge w:val="restart"/>
            <w:tcBorders>
              <w:top w:val="nil"/>
              <w:left w:val="nil"/>
              <w:bottom w:val="nil"/>
              <w:right w:val="nil"/>
            </w:tcBorders>
            <w:shd w:val="clear" w:color="000000" w:fill="005CA9"/>
            <w:vAlign w:val="center"/>
            <w:hideMark/>
          </w:tcPr>
          <w:p w14:paraId="74575DE1" w14:textId="77777777" w:rsidR="00833A6E" w:rsidRPr="00833A6E" w:rsidRDefault="00833A6E" w:rsidP="00833A6E">
            <w:pPr>
              <w:jc w:val="center"/>
              <w:rPr>
                <w:rFonts w:ascii="CAIXA Std Book" w:eastAsia="Times New Roman" w:hAnsi="CAIXA Std Book" w:cs="Calibri"/>
                <w:b/>
                <w:bCs/>
                <w:color w:val="FFFFFF"/>
                <w:sz w:val="16"/>
                <w:szCs w:val="16"/>
              </w:rPr>
            </w:pPr>
            <w:r w:rsidRPr="00833A6E">
              <w:rPr>
                <w:rFonts w:ascii="CAIXA Std Book" w:eastAsia="Times New Roman" w:hAnsi="CAIXA Std Book" w:cs="Calibri"/>
                <w:b/>
                <w:bCs/>
                <w:color w:val="FFFFFF"/>
                <w:sz w:val="16"/>
                <w:szCs w:val="16"/>
              </w:rPr>
              <w:t>Vencimento</w:t>
            </w:r>
          </w:p>
        </w:tc>
        <w:tc>
          <w:tcPr>
            <w:tcW w:w="817" w:type="pct"/>
            <w:vMerge w:val="restart"/>
            <w:tcBorders>
              <w:top w:val="nil"/>
              <w:left w:val="nil"/>
              <w:bottom w:val="nil"/>
              <w:right w:val="nil"/>
            </w:tcBorders>
            <w:shd w:val="clear" w:color="000000" w:fill="005CA9"/>
            <w:vAlign w:val="center"/>
            <w:hideMark/>
          </w:tcPr>
          <w:p w14:paraId="56B978C6" w14:textId="77777777" w:rsidR="00833A6E" w:rsidRPr="00833A6E" w:rsidRDefault="00833A6E" w:rsidP="00833A6E">
            <w:pPr>
              <w:jc w:val="center"/>
              <w:rPr>
                <w:rFonts w:ascii="CAIXA Std Book" w:eastAsia="Times New Roman" w:hAnsi="CAIXA Std Book" w:cs="Calibri"/>
                <w:b/>
                <w:bCs/>
                <w:color w:val="FFFFFF"/>
                <w:sz w:val="16"/>
                <w:szCs w:val="16"/>
              </w:rPr>
            </w:pPr>
            <w:r w:rsidRPr="00833A6E">
              <w:rPr>
                <w:rFonts w:ascii="CAIXA Std Book" w:eastAsia="Times New Roman" w:hAnsi="CAIXA Std Book" w:cs="Calibri"/>
                <w:b/>
                <w:bCs/>
                <w:color w:val="FFFFFF"/>
                <w:sz w:val="16"/>
                <w:szCs w:val="16"/>
              </w:rPr>
              <w:t>Remuneração              a.a. (%)</w:t>
            </w:r>
          </w:p>
        </w:tc>
        <w:tc>
          <w:tcPr>
            <w:tcW w:w="692" w:type="pct"/>
            <w:vMerge w:val="restart"/>
            <w:tcBorders>
              <w:top w:val="nil"/>
              <w:left w:val="nil"/>
              <w:bottom w:val="nil"/>
              <w:right w:val="nil"/>
            </w:tcBorders>
            <w:shd w:val="clear" w:color="000000" w:fill="005CA9"/>
            <w:vAlign w:val="center"/>
            <w:hideMark/>
          </w:tcPr>
          <w:p w14:paraId="245B1D79" w14:textId="77777777" w:rsidR="00833A6E" w:rsidRPr="00833A6E" w:rsidRDefault="00833A6E" w:rsidP="00833A6E">
            <w:pPr>
              <w:jc w:val="center"/>
              <w:rPr>
                <w:rFonts w:ascii="CAIXA Std Book" w:eastAsia="Times New Roman" w:hAnsi="CAIXA Std Book" w:cs="Calibri"/>
                <w:b/>
                <w:bCs/>
                <w:color w:val="FFFFFF"/>
                <w:sz w:val="16"/>
                <w:szCs w:val="16"/>
              </w:rPr>
            </w:pPr>
            <w:r w:rsidRPr="00833A6E">
              <w:rPr>
                <w:rFonts w:ascii="CAIXA Std Book" w:eastAsia="Times New Roman" w:hAnsi="CAIXA Std Book" w:cs="Calibri"/>
                <w:b/>
                <w:bCs/>
                <w:color w:val="FFFFFF"/>
                <w:sz w:val="16"/>
                <w:szCs w:val="16"/>
              </w:rPr>
              <w:t>Data da captação</w:t>
            </w:r>
          </w:p>
        </w:tc>
        <w:tc>
          <w:tcPr>
            <w:tcW w:w="577" w:type="pct"/>
            <w:vMerge w:val="restart"/>
            <w:tcBorders>
              <w:top w:val="nil"/>
              <w:left w:val="nil"/>
              <w:bottom w:val="nil"/>
              <w:right w:val="nil"/>
            </w:tcBorders>
            <w:shd w:val="clear" w:color="000000" w:fill="005CA9"/>
            <w:vAlign w:val="center"/>
            <w:hideMark/>
          </w:tcPr>
          <w:p w14:paraId="568660C1" w14:textId="77777777" w:rsidR="00833A6E" w:rsidRPr="00833A6E" w:rsidRDefault="00833A6E" w:rsidP="00833A6E">
            <w:pPr>
              <w:jc w:val="center"/>
              <w:rPr>
                <w:rFonts w:ascii="CAIXA Std Book" w:eastAsia="Times New Roman" w:hAnsi="CAIXA Std Book" w:cs="Calibri"/>
                <w:b/>
                <w:bCs/>
                <w:color w:val="FFFFFF"/>
                <w:sz w:val="16"/>
                <w:szCs w:val="16"/>
              </w:rPr>
            </w:pPr>
            <w:r w:rsidRPr="00833A6E">
              <w:rPr>
                <w:rFonts w:ascii="CAIXA Std Book" w:eastAsia="Times New Roman" w:hAnsi="CAIXA Std Book" w:cs="Calibri"/>
                <w:b/>
                <w:bCs/>
                <w:color w:val="FFFFFF"/>
                <w:sz w:val="16"/>
                <w:szCs w:val="16"/>
              </w:rPr>
              <w:t>Valor emitido</w:t>
            </w:r>
          </w:p>
        </w:tc>
        <w:tc>
          <w:tcPr>
            <w:tcW w:w="577" w:type="pct"/>
            <w:vMerge w:val="restart"/>
            <w:tcBorders>
              <w:top w:val="nil"/>
              <w:left w:val="nil"/>
              <w:bottom w:val="nil"/>
              <w:right w:val="nil"/>
            </w:tcBorders>
            <w:shd w:val="clear" w:color="000000" w:fill="005CA9"/>
            <w:vAlign w:val="center"/>
            <w:hideMark/>
          </w:tcPr>
          <w:p w14:paraId="7C3AB5FC" w14:textId="77777777" w:rsidR="00833A6E" w:rsidRPr="00833A6E" w:rsidRDefault="00833A6E" w:rsidP="00833A6E">
            <w:pPr>
              <w:jc w:val="center"/>
              <w:rPr>
                <w:rFonts w:ascii="CAIXA Std Book" w:eastAsia="Times New Roman" w:hAnsi="CAIXA Std Book" w:cs="Calibri"/>
                <w:b/>
                <w:bCs/>
                <w:color w:val="FFFFFF"/>
                <w:sz w:val="16"/>
                <w:szCs w:val="16"/>
              </w:rPr>
            </w:pPr>
            <w:r w:rsidRPr="00833A6E">
              <w:rPr>
                <w:rFonts w:ascii="CAIXA Std Book" w:eastAsia="Times New Roman" w:hAnsi="CAIXA Std Book" w:cs="Calibri"/>
                <w:b/>
                <w:bCs/>
                <w:color w:val="FFFFFF"/>
                <w:sz w:val="16"/>
                <w:szCs w:val="16"/>
              </w:rPr>
              <w:t>Atualização monetária e juros</w:t>
            </w:r>
          </w:p>
        </w:tc>
        <w:tc>
          <w:tcPr>
            <w:tcW w:w="586" w:type="pct"/>
            <w:vMerge w:val="restart"/>
            <w:tcBorders>
              <w:top w:val="nil"/>
              <w:left w:val="nil"/>
              <w:bottom w:val="nil"/>
              <w:right w:val="nil"/>
            </w:tcBorders>
            <w:shd w:val="clear" w:color="000000" w:fill="005CA9"/>
            <w:vAlign w:val="center"/>
            <w:hideMark/>
          </w:tcPr>
          <w:p w14:paraId="736477A2" w14:textId="77777777" w:rsidR="00833A6E" w:rsidRPr="00833A6E" w:rsidRDefault="00833A6E" w:rsidP="00833A6E">
            <w:pPr>
              <w:jc w:val="center"/>
              <w:rPr>
                <w:rFonts w:ascii="CAIXA Std Book" w:eastAsia="Times New Roman" w:hAnsi="CAIXA Std Book" w:cs="Calibri"/>
                <w:b/>
                <w:bCs/>
                <w:color w:val="FFFFFF"/>
                <w:sz w:val="16"/>
                <w:szCs w:val="16"/>
              </w:rPr>
            </w:pPr>
            <w:r w:rsidRPr="00833A6E">
              <w:rPr>
                <w:rFonts w:ascii="CAIXA Std Book" w:eastAsia="Times New Roman" w:hAnsi="CAIXA Std Book" w:cs="Calibri"/>
                <w:b/>
                <w:bCs/>
                <w:color w:val="FFFFFF"/>
                <w:sz w:val="16"/>
                <w:szCs w:val="16"/>
              </w:rPr>
              <w:t>Amortização</w:t>
            </w:r>
          </w:p>
        </w:tc>
        <w:tc>
          <w:tcPr>
            <w:tcW w:w="578" w:type="pct"/>
            <w:vMerge w:val="restart"/>
            <w:tcBorders>
              <w:top w:val="nil"/>
              <w:left w:val="nil"/>
              <w:bottom w:val="nil"/>
              <w:right w:val="nil"/>
            </w:tcBorders>
            <w:shd w:val="clear" w:color="000000" w:fill="005CA9"/>
            <w:vAlign w:val="center"/>
            <w:hideMark/>
          </w:tcPr>
          <w:p w14:paraId="704E820D" w14:textId="77777777" w:rsidR="00833A6E" w:rsidRPr="00833A6E" w:rsidRDefault="00833A6E" w:rsidP="00833A6E">
            <w:pPr>
              <w:jc w:val="center"/>
              <w:rPr>
                <w:rFonts w:ascii="CAIXA Std Book" w:eastAsia="Times New Roman" w:hAnsi="CAIXA Std Book" w:cs="Calibri"/>
                <w:b/>
                <w:bCs/>
                <w:color w:val="FFFFFF"/>
                <w:sz w:val="16"/>
                <w:szCs w:val="16"/>
              </w:rPr>
            </w:pPr>
            <w:r w:rsidRPr="00833A6E">
              <w:rPr>
                <w:rFonts w:ascii="CAIXA Std Book" w:eastAsia="Times New Roman" w:hAnsi="CAIXA Std Book" w:cs="Calibri"/>
                <w:b/>
                <w:bCs/>
                <w:color w:val="FFFFFF"/>
                <w:sz w:val="16"/>
                <w:szCs w:val="16"/>
              </w:rPr>
              <w:t>Saldo devedor 31/03/2026</w:t>
            </w:r>
          </w:p>
        </w:tc>
        <w:tc>
          <w:tcPr>
            <w:tcW w:w="579" w:type="pct"/>
            <w:vMerge w:val="restart"/>
            <w:tcBorders>
              <w:top w:val="nil"/>
              <w:left w:val="nil"/>
              <w:bottom w:val="nil"/>
              <w:right w:val="nil"/>
            </w:tcBorders>
            <w:shd w:val="clear" w:color="000000" w:fill="005CA9"/>
            <w:vAlign w:val="center"/>
            <w:hideMark/>
          </w:tcPr>
          <w:p w14:paraId="0EE024D6" w14:textId="77777777" w:rsidR="00833A6E" w:rsidRPr="00833A6E" w:rsidRDefault="00833A6E" w:rsidP="00833A6E">
            <w:pPr>
              <w:jc w:val="center"/>
              <w:rPr>
                <w:rFonts w:ascii="CAIXA Std Book" w:eastAsia="Times New Roman" w:hAnsi="CAIXA Std Book" w:cs="Calibri"/>
                <w:b/>
                <w:bCs/>
                <w:color w:val="FFFFFF"/>
                <w:sz w:val="16"/>
                <w:szCs w:val="16"/>
              </w:rPr>
            </w:pPr>
            <w:r w:rsidRPr="00833A6E">
              <w:rPr>
                <w:rFonts w:ascii="CAIXA Std Book" w:eastAsia="Times New Roman" w:hAnsi="CAIXA Std Book" w:cs="Calibri"/>
                <w:b/>
                <w:bCs/>
                <w:color w:val="FFFFFF"/>
                <w:sz w:val="16"/>
                <w:szCs w:val="16"/>
              </w:rPr>
              <w:t>Saldo devedor 31/12/2025</w:t>
            </w:r>
          </w:p>
        </w:tc>
      </w:tr>
      <w:tr w:rsidR="00833A6E" w:rsidRPr="00833A6E" w14:paraId="16801168" w14:textId="77777777" w:rsidTr="005E4345">
        <w:trPr>
          <w:trHeight w:val="401"/>
        </w:trPr>
        <w:tc>
          <w:tcPr>
            <w:tcW w:w="594" w:type="pct"/>
            <w:vMerge/>
            <w:tcBorders>
              <w:top w:val="nil"/>
              <w:left w:val="nil"/>
              <w:bottom w:val="nil"/>
              <w:right w:val="nil"/>
            </w:tcBorders>
            <w:vAlign w:val="center"/>
            <w:hideMark/>
          </w:tcPr>
          <w:p w14:paraId="2523FFA3" w14:textId="77777777" w:rsidR="00833A6E" w:rsidRPr="00833A6E" w:rsidRDefault="00833A6E" w:rsidP="00833A6E">
            <w:pPr>
              <w:rPr>
                <w:rFonts w:ascii="CAIXA Std Book" w:eastAsia="Times New Roman" w:hAnsi="CAIXA Std Book" w:cs="Calibri"/>
                <w:b/>
                <w:bCs/>
                <w:color w:val="FFFFFF"/>
                <w:sz w:val="16"/>
                <w:szCs w:val="16"/>
              </w:rPr>
            </w:pPr>
          </w:p>
        </w:tc>
        <w:tc>
          <w:tcPr>
            <w:tcW w:w="817" w:type="pct"/>
            <w:vMerge/>
            <w:tcBorders>
              <w:top w:val="nil"/>
              <w:left w:val="nil"/>
              <w:bottom w:val="nil"/>
              <w:right w:val="nil"/>
            </w:tcBorders>
            <w:vAlign w:val="center"/>
            <w:hideMark/>
          </w:tcPr>
          <w:p w14:paraId="7112D838" w14:textId="77777777" w:rsidR="00833A6E" w:rsidRPr="00833A6E" w:rsidRDefault="00833A6E" w:rsidP="00833A6E">
            <w:pPr>
              <w:rPr>
                <w:rFonts w:ascii="CAIXA Std Book" w:eastAsia="Times New Roman" w:hAnsi="CAIXA Std Book" w:cs="Calibri"/>
                <w:b/>
                <w:bCs/>
                <w:color w:val="FFFFFF"/>
                <w:sz w:val="16"/>
                <w:szCs w:val="16"/>
              </w:rPr>
            </w:pPr>
          </w:p>
        </w:tc>
        <w:tc>
          <w:tcPr>
            <w:tcW w:w="692" w:type="pct"/>
            <w:vMerge/>
            <w:tcBorders>
              <w:top w:val="nil"/>
              <w:left w:val="nil"/>
              <w:bottom w:val="nil"/>
              <w:right w:val="nil"/>
            </w:tcBorders>
            <w:vAlign w:val="center"/>
            <w:hideMark/>
          </w:tcPr>
          <w:p w14:paraId="7AFDCB89" w14:textId="77777777" w:rsidR="00833A6E" w:rsidRPr="00833A6E" w:rsidRDefault="00833A6E" w:rsidP="00833A6E">
            <w:pPr>
              <w:rPr>
                <w:rFonts w:ascii="CAIXA Std Book" w:eastAsia="Times New Roman" w:hAnsi="CAIXA Std Book" w:cs="Calibri"/>
                <w:b/>
                <w:bCs/>
                <w:color w:val="FFFFFF"/>
                <w:sz w:val="16"/>
                <w:szCs w:val="16"/>
              </w:rPr>
            </w:pPr>
          </w:p>
        </w:tc>
        <w:tc>
          <w:tcPr>
            <w:tcW w:w="577" w:type="pct"/>
            <w:vMerge/>
            <w:tcBorders>
              <w:top w:val="nil"/>
              <w:left w:val="nil"/>
              <w:bottom w:val="nil"/>
              <w:right w:val="nil"/>
            </w:tcBorders>
            <w:vAlign w:val="center"/>
            <w:hideMark/>
          </w:tcPr>
          <w:p w14:paraId="757635E3" w14:textId="77777777" w:rsidR="00833A6E" w:rsidRPr="00833A6E" w:rsidRDefault="00833A6E" w:rsidP="00833A6E">
            <w:pPr>
              <w:rPr>
                <w:rFonts w:ascii="CAIXA Std Book" w:eastAsia="Times New Roman" w:hAnsi="CAIXA Std Book" w:cs="Calibri"/>
                <w:b/>
                <w:bCs/>
                <w:color w:val="FFFFFF"/>
                <w:sz w:val="16"/>
                <w:szCs w:val="16"/>
              </w:rPr>
            </w:pPr>
          </w:p>
        </w:tc>
        <w:tc>
          <w:tcPr>
            <w:tcW w:w="577" w:type="pct"/>
            <w:vMerge/>
            <w:tcBorders>
              <w:top w:val="nil"/>
              <w:left w:val="nil"/>
              <w:bottom w:val="nil"/>
              <w:right w:val="nil"/>
            </w:tcBorders>
            <w:vAlign w:val="center"/>
            <w:hideMark/>
          </w:tcPr>
          <w:p w14:paraId="52FE2DB0" w14:textId="77777777" w:rsidR="00833A6E" w:rsidRPr="00833A6E" w:rsidRDefault="00833A6E" w:rsidP="00833A6E">
            <w:pPr>
              <w:rPr>
                <w:rFonts w:ascii="CAIXA Std Book" w:eastAsia="Times New Roman" w:hAnsi="CAIXA Std Book" w:cs="Calibri"/>
                <w:b/>
                <w:bCs/>
                <w:color w:val="FFFFFF"/>
                <w:sz w:val="16"/>
                <w:szCs w:val="16"/>
              </w:rPr>
            </w:pPr>
          </w:p>
        </w:tc>
        <w:tc>
          <w:tcPr>
            <w:tcW w:w="586" w:type="pct"/>
            <w:vMerge/>
            <w:tcBorders>
              <w:top w:val="nil"/>
              <w:left w:val="nil"/>
              <w:bottom w:val="nil"/>
              <w:right w:val="nil"/>
            </w:tcBorders>
            <w:vAlign w:val="center"/>
            <w:hideMark/>
          </w:tcPr>
          <w:p w14:paraId="7C2BAC40" w14:textId="77777777" w:rsidR="00833A6E" w:rsidRPr="00833A6E" w:rsidRDefault="00833A6E" w:rsidP="00833A6E">
            <w:pPr>
              <w:rPr>
                <w:rFonts w:ascii="CAIXA Std Book" w:eastAsia="Times New Roman" w:hAnsi="CAIXA Std Book" w:cs="Calibri"/>
                <w:b/>
                <w:bCs/>
                <w:color w:val="FFFFFF"/>
                <w:sz w:val="16"/>
                <w:szCs w:val="16"/>
              </w:rPr>
            </w:pPr>
          </w:p>
        </w:tc>
        <w:tc>
          <w:tcPr>
            <w:tcW w:w="578" w:type="pct"/>
            <w:vMerge/>
            <w:tcBorders>
              <w:top w:val="nil"/>
              <w:left w:val="nil"/>
              <w:bottom w:val="nil"/>
              <w:right w:val="nil"/>
            </w:tcBorders>
            <w:vAlign w:val="center"/>
            <w:hideMark/>
          </w:tcPr>
          <w:p w14:paraId="327C01FF" w14:textId="77777777" w:rsidR="00833A6E" w:rsidRPr="00833A6E" w:rsidRDefault="00833A6E" w:rsidP="00833A6E">
            <w:pPr>
              <w:rPr>
                <w:rFonts w:ascii="CAIXA Std Book" w:eastAsia="Times New Roman" w:hAnsi="CAIXA Std Book" w:cs="Calibri"/>
                <w:b/>
                <w:bCs/>
                <w:color w:val="FFFFFF"/>
                <w:sz w:val="16"/>
                <w:szCs w:val="16"/>
              </w:rPr>
            </w:pPr>
          </w:p>
        </w:tc>
        <w:tc>
          <w:tcPr>
            <w:tcW w:w="579" w:type="pct"/>
            <w:vMerge/>
            <w:tcBorders>
              <w:top w:val="nil"/>
              <w:left w:val="nil"/>
              <w:bottom w:val="nil"/>
              <w:right w:val="nil"/>
            </w:tcBorders>
            <w:vAlign w:val="center"/>
            <w:hideMark/>
          </w:tcPr>
          <w:p w14:paraId="5A655918" w14:textId="77777777" w:rsidR="00833A6E" w:rsidRPr="00833A6E" w:rsidRDefault="00833A6E" w:rsidP="00833A6E">
            <w:pPr>
              <w:rPr>
                <w:rFonts w:ascii="CAIXA Std Book" w:eastAsia="Times New Roman" w:hAnsi="CAIXA Std Book" w:cs="Calibri"/>
                <w:b/>
                <w:bCs/>
                <w:color w:val="FFFFFF"/>
                <w:sz w:val="16"/>
                <w:szCs w:val="16"/>
              </w:rPr>
            </w:pPr>
          </w:p>
        </w:tc>
      </w:tr>
      <w:tr w:rsidR="00833A6E" w:rsidRPr="00833A6E" w14:paraId="081D5B2E" w14:textId="77777777" w:rsidTr="005E4345">
        <w:trPr>
          <w:trHeight w:val="401"/>
        </w:trPr>
        <w:tc>
          <w:tcPr>
            <w:tcW w:w="594" w:type="pct"/>
            <w:vMerge/>
            <w:tcBorders>
              <w:top w:val="nil"/>
              <w:left w:val="nil"/>
              <w:bottom w:val="nil"/>
              <w:right w:val="nil"/>
            </w:tcBorders>
            <w:vAlign w:val="center"/>
            <w:hideMark/>
          </w:tcPr>
          <w:p w14:paraId="4A2877E8" w14:textId="77777777" w:rsidR="00833A6E" w:rsidRPr="00833A6E" w:rsidRDefault="00833A6E" w:rsidP="00833A6E">
            <w:pPr>
              <w:rPr>
                <w:rFonts w:ascii="CAIXA Std Book" w:eastAsia="Times New Roman" w:hAnsi="CAIXA Std Book" w:cs="Calibri"/>
                <w:b/>
                <w:bCs/>
                <w:color w:val="FFFFFF"/>
                <w:sz w:val="16"/>
                <w:szCs w:val="16"/>
              </w:rPr>
            </w:pPr>
          </w:p>
        </w:tc>
        <w:tc>
          <w:tcPr>
            <w:tcW w:w="817" w:type="pct"/>
            <w:vMerge/>
            <w:tcBorders>
              <w:top w:val="nil"/>
              <w:left w:val="nil"/>
              <w:bottom w:val="nil"/>
              <w:right w:val="nil"/>
            </w:tcBorders>
            <w:vAlign w:val="center"/>
            <w:hideMark/>
          </w:tcPr>
          <w:p w14:paraId="0D8CD0CE" w14:textId="77777777" w:rsidR="00833A6E" w:rsidRPr="00833A6E" w:rsidRDefault="00833A6E" w:rsidP="00833A6E">
            <w:pPr>
              <w:rPr>
                <w:rFonts w:ascii="CAIXA Std Book" w:eastAsia="Times New Roman" w:hAnsi="CAIXA Std Book" w:cs="Calibri"/>
                <w:b/>
                <w:bCs/>
                <w:color w:val="FFFFFF"/>
                <w:sz w:val="16"/>
                <w:szCs w:val="16"/>
              </w:rPr>
            </w:pPr>
          </w:p>
        </w:tc>
        <w:tc>
          <w:tcPr>
            <w:tcW w:w="692" w:type="pct"/>
            <w:vMerge/>
            <w:tcBorders>
              <w:top w:val="nil"/>
              <w:left w:val="nil"/>
              <w:bottom w:val="nil"/>
              <w:right w:val="nil"/>
            </w:tcBorders>
            <w:vAlign w:val="center"/>
            <w:hideMark/>
          </w:tcPr>
          <w:p w14:paraId="6E333A49" w14:textId="77777777" w:rsidR="00833A6E" w:rsidRPr="00833A6E" w:rsidRDefault="00833A6E" w:rsidP="00833A6E">
            <w:pPr>
              <w:rPr>
                <w:rFonts w:ascii="CAIXA Std Book" w:eastAsia="Times New Roman" w:hAnsi="CAIXA Std Book" w:cs="Calibri"/>
                <w:b/>
                <w:bCs/>
                <w:color w:val="FFFFFF"/>
                <w:sz w:val="16"/>
                <w:szCs w:val="16"/>
              </w:rPr>
            </w:pPr>
          </w:p>
        </w:tc>
        <w:tc>
          <w:tcPr>
            <w:tcW w:w="577" w:type="pct"/>
            <w:vMerge/>
            <w:tcBorders>
              <w:top w:val="nil"/>
              <w:left w:val="nil"/>
              <w:bottom w:val="nil"/>
              <w:right w:val="nil"/>
            </w:tcBorders>
            <w:vAlign w:val="center"/>
            <w:hideMark/>
          </w:tcPr>
          <w:p w14:paraId="3E4FFF5A" w14:textId="77777777" w:rsidR="00833A6E" w:rsidRPr="00833A6E" w:rsidRDefault="00833A6E" w:rsidP="00833A6E">
            <w:pPr>
              <w:rPr>
                <w:rFonts w:ascii="CAIXA Std Book" w:eastAsia="Times New Roman" w:hAnsi="CAIXA Std Book" w:cs="Calibri"/>
                <w:b/>
                <w:bCs/>
                <w:color w:val="FFFFFF"/>
                <w:sz w:val="16"/>
                <w:szCs w:val="16"/>
              </w:rPr>
            </w:pPr>
          </w:p>
        </w:tc>
        <w:tc>
          <w:tcPr>
            <w:tcW w:w="577" w:type="pct"/>
            <w:vMerge/>
            <w:tcBorders>
              <w:top w:val="nil"/>
              <w:left w:val="nil"/>
              <w:bottom w:val="nil"/>
              <w:right w:val="nil"/>
            </w:tcBorders>
            <w:vAlign w:val="center"/>
            <w:hideMark/>
          </w:tcPr>
          <w:p w14:paraId="1E03EADA" w14:textId="77777777" w:rsidR="00833A6E" w:rsidRPr="00833A6E" w:rsidRDefault="00833A6E" w:rsidP="00833A6E">
            <w:pPr>
              <w:rPr>
                <w:rFonts w:ascii="CAIXA Std Book" w:eastAsia="Times New Roman" w:hAnsi="CAIXA Std Book" w:cs="Calibri"/>
                <w:b/>
                <w:bCs/>
                <w:color w:val="FFFFFF"/>
                <w:sz w:val="16"/>
                <w:szCs w:val="16"/>
              </w:rPr>
            </w:pPr>
          </w:p>
        </w:tc>
        <w:tc>
          <w:tcPr>
            <w:tcW w:w="586" w:type="pct"/>
            <w:vMerge/>
            <w:tcBorders>
              <w:top w:val="nil"/>
              <w:left w:val="nil"/>
              <w:bottom w:val="nil"/>
              <w:right w:val="nil"/>
            </w:tcBorders>
            <w:vAlign w:val="center"/>
            <w:hideMark/>
          </w:tcPr>
          <w:p w14:paraId="175567CB" w14:textId="77777777" w:rsidR="00833A6E" w:rsidRPr="00833A6E" w:rsidRDefault="00833A6E" w:rsidP="00833A6E">
            <w:pPr>
              <w:rPr>
                <w:rFonts w:ascii="CAIXA Std Book" w:eastAsia="Times New Roman" w:hAnsi="CAIXA Std Book" w:cs="Calibri"/>
                <w:b/>
                <w:bCs/>
                <w:color w:val="FFFFFF"/>
                <w:sz w:val="16"/>
                <w:szCs w:val="16"/>
              </w:rPr>
            </w:pPr>
          </w:p>
        </w:tc>
        <w:tc>
          <w:tcPr>
            <w:tcW w:w="578" w:type="pct"/>
            <w:vMerge/>
            <w:tcBorders>
              <w:top w:val="nil"/>
              <w:left w:val="nil"/>
              <w:bottom w:val="nil"/>
              <w:right w:val="nil"/>
            </w:tcBorders>
            <w:vAlign w:val="center"/>
            <w:hideMark/>
          </w:tcPr>
          <w:p w14:paraId="427B8BDF" w14:textId="77777777" w:rsidR="00833A6E" w:rsidRPr="00833A6E" w:rsidRDefault="00833A6E" w:rsidP="00833A6E">
            <w:pPr>
              <w:rPr>
                <w:rFonts w:ascii="CAIXA Std Book" w:eastAsia="Times New Roman" w:hAnsi="CAIXA Std Book" w:cs="Calibri"/>
                <w:b/>
                <w:bCs/>
                <w:color w:val="FFFFFF"/>
                <w:sz w:val="16"/>
                <w:szCs w:val="16"/>
              </w:rPr>
            </w:pPr>
          </w:p>
        </w:tc>
        <w:tc>
          <w:tcPr>
            <w:tcW w:w="579" w:type="pct"/>
            <w:vMerge/>
            <w:tcBorders>
              <w:top w:val="nil"/>
              <w:left w:val="nil"/>
              <w:bottom w:val="nil"/>
              <w:right w:val="nil"/>
            </w:tcBorders>
            <w:vAlign w:val="center"/>
            <w:hideMark/>
          </w:tcPr>
          <w:p w14:paraId="18B1BB89" w14:textId="77777777" w:rsidR="00833A6E" w:rsidRPr="00833A6E" w:rsidRDefault="00833A6E" w:rsidP="00833A6E">
            <w:pPr>
              <w:rPr>
                <w:rFonts w:ascii="CAIXA Std Book" w:eastAsia="Times New Roman" w:hAnsi="CAIXA Std Book" w:cs="Calibri"/>
                <w:b/>
                <w:bCs/>
                <w:color w:val="FFFFFF"/>
                <w:sz w:val="16"/>
                <w:szCs w:val="16"/>
              </w:rPr>
            </w:pPr>
          </w:p>
        </w:tc>
      </w:tr>
      <w:tr w:rsidR="00833A6E" w:rsidRPr="00833A6E" w14:paraId="36242EFE" w14:textId="77777777" w:rsidTr="005E4345">
        <w:trPr>
          <w:trHeight w:val="283"/>
        </w:trPr>
        <w:tc>
          <w:tcPr>
            <w:tcW w:w="5000" w:type="pct"/>
            <w:gridSpan w:val="8"/>
            <w:tcBorders>
              <w:top w:val="nil"/>
              <w:left w:val="nil"/>
              <w:bottom w:val="single" w:sz="4" w:space="0" w:color="FFFFFF"/>
              <w:right w:val="nil"/>
            </w:tcBorders>
            <w:shd w:val="clear" w:color="000000" w:fill="D0E0E3"/>
            <w:vAlign w:val="center"/>
            <w:hideMark/>
          </w:tcPr>
          <w:p w14:paraId="693F9880" w14:textId="3084F8D6" w:rsidR="00833A6E" w:rsidRPr="00833A6E" w:rsidRDefault="00833A6E" w:rsidP="00833A6E">
            <w:pPr>
              <w:jc w:val="center"/>
              <w:rPr>
                <w:rFonts w:ascii="CAIXA Std Book" w:eastAsia="Times New Roman" w:hAnsi="CAIXA Std Book" w:cs="Calibri"/>
                <w:b/>
                <w:bCs/>
                <w:color w:val="005CA9"/>
                <w:sz w:val="16"/>
                <w:szCs w:val="16"/>
              </w:rPr>
            </w:pPr>
            <w:r w:rsidRPr="00833A6E">
              <w:rPr>
                <w:rFonts w:ascii="CAIXA Std Book" w:eastAsia="Times New Roman" w:hAnsi="CAIXA Std Book" w:cs="Calibri"/>
                <w:b/>
                <w:bCs/>
                <w:color w:val="005CA9"/>
                <w:sz w:val="16"/>
                <w:szCs w:val="16"/>
              </w:rPr>
              <w:t>Nível I – Complementar (1)</w:t>
            </w:r>
            <w:r w:rsidR="001D6500">
              <w:rPr>
                <w:rFonts w:ascii="CAIXA Std Book" w:eastAsia="Times New Roman" w:hAnsi="CAIXA Std Book" w:cs="Calibri"/>
                <w:b/>
                <w:bCs/>
                <w:color w:val="005CA9"/>
                <w:sz w:val="16"/>
                <w:szCs w:val="16"/>
              </w:rPr>
              <w:t xml:space="preserve"> (2)</w:t>
            </w:r>
          </w:p>
        </w:tc>
      </w:tr>
      <w:tr w:rsidR="00833A6E" w:rsidRPr="00833A6E" w14:paraId="7065C2C7" w14:textId="77777777" w:rsidTr="005E4345">
        <w:trPr>
          <w:trHeight w:val="283"/>
        </w:trPr>
        <w:tc>
          <w:tcPr>
            <w:tcW w:w="5000" w:type="pct"/>
            <w:gridSpan w:val="8"/>
            <w:tcBorders>
              <w:top w:val="nil"/>
              <w:left w:val="nil"/>
              <w:bottom w:val="nil"/>
              <w:right w:val="nil"/>
            </w:tcBorders>
            <w:shd w:val="clear" w:color="000000" w:fill="D0E0E3"/>
            <w:vAlign w:val="center"/>
            <w:hideMark/>
          </w:tcPr>
          <w:p w14:paraId="252B97CC" w14:textId="77777777" w:rsidR="00833A6E" w:rsidRPr="00833A6E" w:rsidRDefault="00833A6E" w:rsidP="00833A6E">
            <w:pPr>
              <w:jc w:val="center"/>
              <w:rPr>
                <w:rFonts w:ascii="CAIXA Std Book" w:eastAsia="Times New Roman" w:hAnsi="CAIXA Std Book" w:cs="Calibri"/>
                <w:b/>
                <w:bCs/>
                <w:color w:val="005CA9"/>
                <w:sz w:val="16"/>
                <w:szCs w:val="16"/>
              </w:rPr>
            </w:pPr>
            <w:r w:rsidRPr="00833A6E">
              <w:rPr>
                <w:rFonts w:ascii="CAIXA Std Book" w:eastAsia="Times New Roman" w:hAnsi="CAIXA Std Book" w:cs="Calibri"/>
                <w:b/>
                <w:bCs/>
                <w:color w:val="005CA9"/>
                <w:sz w:val="16"/>
                <w:szCs w:val="16"/>
              </w:rPr>
              <w:t>Letras financeiras elegíveis</w:t>
            </w:r>
          </w:p>
        </w:tc>
      </w:tr>
      <w:tr w:rsidR="00833A6E" w:rsidRPr="00833A6E" w14:paraId="4DF6D65B" w14:textId="77777777" w:rsidTr="005E4345">
        <w:trPr>
          <w:trHeight w:val="283"/>
        </w:trPr>
        <w:tc>
          <w:tcPr>
            <w:tcW w:w="594" w:type="pct"/>
            <w:tcBorders>
              <w:top w:val="nil"/>
              <w:left w:val="nil"/>
              <w:bottom w:val="nil"/>
              <w:right w:val="nil"/>
            </w:tcBorders>
            <w:vAlign w:val="center"/>
            <w:hideMark/>
          </w:tcPr>
          <w:p w14:paraId="0AEE3DAA"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Perpétuo</w:t>
            </w:r>
          </w:p>
        </w:tc>
        <w:tc>
          <w:tcPr>
            <w:tcW w:w="817" w:type="pct"/>
            <w:tcBorders>
              <w:top w:val="nil"/>
              <w:left w:val="nil"/>
              <w:bottom w:val="nil"/>
              <w:right w:val="nil"/>
            </w:tcBorders>
            <w:vAlign w:val="center"/>
            <w:hideMark/>
          </w:tcPr>
          <w:p w14:paraId="70C04F7D"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114 % Selic</w:t>
            </w:r>
          </w:p>
        </w:tc>
        <w:tc>
          <w:tcPr>
            <w:tcW w:w="692" w:type="pct"/>
            <w:tcBorders>
              <w:top w:val="nil"/>
              <w:left w:val="nil"/>
              <w:bottom w:val="nil"/>
              <w:right w:val="nil"/>
            </w:tcBorders>
            <w:vAlign w:val="center"/>
            <w:hideMark/>
          </w:tcPr>
          <w:p w14:paraId="1CB6591C"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set/19</w:t>
            </w:r>
          </w:p>
        </w:tc>
        <w:tc>
          <w:tcPr>
            <w:tcW w:w="577" w:type="pct"/>
            <w:tcBorders>
              <w:top w:val="nil"/>
              <w:left w:val="nil"/>
              <w:bottom w:val="nil"/>
              <w:right w:val="nil"/>
            </w:tcBorders>
            <w:vAlign w:val="center"/>
            <w:hideMark/>
          </w:tcPr>
          <w:p w14:paraId="1A8553D3"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1.113.000</w:t>
            </w:r>
          </w:p>
        </w:tc>
        <w:tc>
          <w:tcPr>
            <w:tcW w:w="577" w:type="pct"/>
            <w:tcBorders>
              <w:top w:val="nil"/>
              <w:left w:val="nil"/>
              <w:bottom w:val="nil"/>
              <w:right w:val="nil"/>
            </w:tcBorders>
            <w:vAlign w:val="center"/>
            <w:hideMark/>
          </w:tcPr>
          <w:p w14:paraId="07ED9887"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62.023</w:t>
            </w:r>
          </w:p>
        </w:tc>
        <w:tc>
          <w:tcPr>
            <w:tcW w:w="586" w:type="pct"/>
            <w:tcBorders>
              <w:top w:val="nil"/>
              <w:left w:val="nil"/>
              <w:bottom w:val="nil"/>
              <w:right w:val="nil"/>
            </w:tcBorders>
            <w:vAlign w:val="center"/>
            <w:hideMark/>
          </w:tcPr>
          <w:p w14:paraId="41012279" w14:textId="589FA280"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w:t>
            </w:r>
          </w:p>
        </w:tc>
        <w:tc>
          <w:tcPr>
            <w:tcW w:w="578" w:type="pct"/>
            <w:tcBorders>
              <w:top w:val="nil"/>
              <w:left w:val="nil"/>
              <w:bottom w:val="nil"/>
              <w:right w:val="nil"/>
            </w:tcBorders>
            <w:vAlign w:val="center"/>
            <w:hideMark/>
          </w:tcPr>
          <w:p w14:paraId="639454F8"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1.175.023</w:t>
            </w:r>
          </w:p>
        </w:tc>
        <w:tc>
          <w:tcPr>
            <w:tcW w:w="579" w:type="pct"/>
            <w:tcBorders>
              <w:top w:val="nil"/>
              <w:left w:val="nil"/>
              <w:bottom w:val="nil"/>
              <w:right w:val="nil"/>
            </w:tcBorders>
            <w:vAlign w:val="center"/>
            <w:hideMark/>
          </w:tcPr>
          <w:p w14:paraId="4C8CA634"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1.130.930</w:t>
            </w:r>
          </w:p>
        </w:tc>
      </w:tr>
      <w:tr w:rsidR="00833A6E" w:rsidRPr="00833A6E" w14:paraId="1001FC4B" w14:textId="77777777" w:rsidTr="005E4345">
        <w:trPr>
          <w:trHeight w:val="283"/>
        </w:trPr>
        <w:tc>
          <w:tcPr>
            <w:tcW w:w="594" w:type="pct"/>
            <w:tcBorders>
              <w:top w:val="nil"/>
              <w:left w:val="nil"/>
              <w:bottom w:val="nil"/>
              <w:right w:val="nil"/>
            </w:tcBorders>
            <w:vAlign w:val="center"/>
            <w:hideMark/>
          </w:tcPr>
          <w:p w14:paraId="118A2D30"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Perpétuo</w:t>
            </w:r>
          </w:p>
        </w:tc>
        <w:tc>
          <w:tcPr>
            <w:tcW w:w="817" w:type="pct"/>
            <w:tcBorders>
              <w:top w:val="nil"/>
              <w:left w:val="nil"/>
              <w:bottom w:val="nil"/>
              <w:right w:val="nil"/>
            </w:tcBorders>
            <w:vAlign w:val="center"/>
            <w:hideMark/>
          </w:tcPr>
          <w:p w14:paraId="7CF452E4"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114 % Selic</w:t>
            </w:r>
          </w:p>
        </w:tc>
        <w:tc>
          <w:tcPr>
            <w:tcW w:w="692" w:type="pct"/>
            <w:tcBorders>
              <w:top w:val="nil"/>
              <w:left w:val="nil"/>
              <w:bottom w:val="nil"/>
              <w:right w:val="nil"/>
            </w:tcBorders>
            <w:vAlign w:val="center"/>
            <w:hideMark/>
          </w:tcPr>
          <w:p w14:paraId="441CE778"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out/19</w:t>
            </w:r>
          </w:p>
        </w:tc>
        <w:tc>
          <w:tcPr>
            <w:tcW w:w="577" w:type="pct"/>
            <w:tcBorders>
              <w:top w:val="nil"/>
              <w:left w:val="nil"/>
              <w:bottom w:val="nil"/>
              <w:right w:val="nil"/>
            </w:tcBorders>
            <w:vAlign w:val="center"/>
            <w:hideMark/>
          </w:tcPr>
          <w:p w14:paraId="23E8BD23"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4.200</w:t>
            </w:r>
          </w:p>
        </w:tc>
        <w:tc>
          <w:tcPr>
            <w:tcW w:w="577" w:type="pct"/>
            <w:tcBorders>
              <w:top w:val="nil"/>
              <w:left w:val="nil"/>
              <w:bottom w:val="nil"/>
              <w:right w:val="nil"/>
            </w:tcBorders>
            <w:vAlign w:val="center"/>
            <w:hideMark/>
          </w:tcPr>
          <w:p w14:paraId="32ACB9B0"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222</w:t>
            </w:r>
          </w:p>
        </w:tc>
        <w:tc>
          <w:tcPr>
            <w:tcW w:w="586" w:type="pct"/>
            <w:tcBorders>
              <w:top w:val="nil"/>
              <w:left w:val="nil"/>
              <w:bottom w:val="nil"/>
              <w:right w:val="nil"/>
            </w:tcBorders>
            <w:vAlign w:val="center"/>
            <w:hideMark/>
          </w:tcPr>
          <w:p w14:paraId="275C63D7" w14:textId="05BB5F49"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w:t>
            </w:r>
          </w:p>
        </w:tc>
        <w:tc>
          <w:tcPr>
            <w:tcW w:w="578" w:type="pct"/>
            <w:tcBorders>
              <w:top w:val="nil"/>
              <w:left w:val="nil"/>
              <w:bottom w:val="nil"/>
              <w:right w:val="nil"/>
            </w:tcBorders>
            <w:vAlign w:val="center"/>
            <w:hideMark/>
          </w:tcPr>
          <w:p w14:paraId="1E6EECD9"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4.422</w:t>
            </w:r>
          </w:p>
        </w:tc>
        <w:tc>
          <w:tcPr>
            <w:tcW w:w="579" w:type="pct"/>
            <w:tcBorders>
              <w:top w:val="nil"/>
              <w:left w:val="nil"/>
              <w:bottom w:val="nil"/>
              <w:right w:val="nil"/>
            </w:tcBorders>
            <w:vAlign w:val="center"/>
            <w:hideMark/>
          </w:tcPr>
          <w:p w14:paraId="20810E16"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4.256</w:t>
            </w:r>
          </w:p>
        </w:tc>
      </w:tr>
      <w:tr w:rsidR="00833A6E" w:rsidRPr="00833A6E" w14:paraId="59A68CFF" w14:textId="77777777" w:rsidTr="005E4345">
        <w:trPr>
          <w:trHeight w:val="283"/>
        </w:trPr>
        <w:tc>
          <w:tcPr>
            <w:tcW w:w="594" w:type="pct"/>
            <w:tcBorders>
              <w:top w:val="nil"/>
              <w:left w:val="nil"/>
              <w:bottom w:val="nil"/>
              <w:right w:val="nil"/>
            </w:tcBorders>
            <w:vAlign w:val="center"/>
            <w:hideMark/>
          </w:tcPr>
          <w:p w14:paraId="37387EE5"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Perpétuo</w:t>
            </w:r>
          </w:p>
        </w:tc>
        <w:tc>
          <w:tcPr>
            <w:tcW w:w="817" w:type="pct"/>
            <w:tcBorders>
              <w:top w:val="nil"/>
              <w:left w:val="nil"/>
              <w:bottom w:val="nil"/>
              <w:right w:val="nil"/>
            </w:tcBorders>
            <w:vAlign w:val="center"/>
            <w:hideMark/>
          </w:tcPr>
          <w:p w14:paraId="0D68F322"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114 % Selic</w:t>
            </w:r>
          </w:p>
        </w:tc>
        <w:tc>
          <w:tcPr>
            <w:tcW w:w="692" w:type="pct"/>
            <w:tcBorders>
              <w:top w:val="nil"/>
              <w:left w:val="nil"/>
              <w:bottom w:val="nil"/>
              <w:right w:val="nil"/>
            </w:tcBorders>
            <w:vAlign w:val="center"/>
            <w:hideMark/>
          </w:tcPr>
          <w:p w14:paraId="0E440DF6"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nov/19</w:t>
            </w:r>
          </w:p>
        </w:tc>
        <w:tc>
          <w:tcPr>
            <w:tcW w:w="577" w:type="pct"/>
            <w:tcBorders>
              <w:top w:val="nil"/>
              <w:left w:val="nil"/>
              <w:bottom w:val="nil"/>
              <w:right w:val="nil"/>
            </w:tcBorders>
            <w:vAlign w:val="center"/>
            <w:hideMark/>
          </w:tcPr>
          <w:p w14:paraId="63D84917"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601.500</w:t>
            </w:r>
          </w:p>
        </w:tc>
        <w:tc>
          <w:tcPr>
            <w:tcW w:w="577" w:type="pct"/>
            <w:tcBorders>
              <w:top w:val="nil"/>
              <w:left w:val="nil"/>
              <w:bottom w:val="nil"/>
              <w:right w:val="nil"/>
            </w:tcBorders>
            <w:vAlign w:val="center"/>
            <w:hideMark/>
          </w:tcPr>
          <w:p w14:paraId="7B78F66E"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31.752</w:t>
            </w:r>
          </w:p>
        </w:tc>
        <w:tc>
          <w:tcPr>
            <w:tcW w:w="586" w:type="pct"/>
            <w:tcBorders>
              <w:top w:val="nil"/>
              <w:left w:val="nil"/>
              <w:bottom w:val="nil"/>
              <w:right w:val="nil"/>
            </w:tcBorders>
            <w:vAlign w:val="center"/>
            <w:hideMark/>
          </w:tcPr>
          <w:p w14:paraId="6A92DC8F" w14:textId="2986E9F8"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w:t>
            </w:r>
          </w:p>
        </w:tc>
        <w:tc>
          <w:tcPr>
            <w:tcW w:w="578" w:type="pct"/>
            <w:tcBorders>
              <w:top w:val="nil"/>
              <w:left w:val="nil"/>
              <w:bottom w:val="nil"/>
              <w:right w:val="nil"/>
            </w:tcBorders>
            <w:vAlign w:val="center"/>
            <w:hideMark/>
          </w:tcPr>
          <w:p w14:paraId="1F244ADE"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633.252</w:t>
            </w:r>
          </w:p>
        </w:tc>
        <w:tc>
          <w:tcPr>
            <w:tcW w:w="579" w:type="pct"/>
            <w:tcBorders>
              <w:top w:val="nil"/>
              <w:left w:val="nil"/>
              <w:bottom w:val="nil"/>
              <w:right w:val="nil"/>
            </w:tcBorders>
            <w:vAlign w:val="center"/>
            <w:hideMark/>
          </w:tcPr>
          <w:p w14:paraId="4E58F639"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609.489</w:t>
            </w:r>
          </w:p>
        </w:tc>
      </w:tr>
      <w:tr w:rsidR="00833A6E" w:rsidRPr="00833A6E" w14:paraId="44C233B9" w14:textId="77777777" w:rsidTr="005E4345">
        <w:trPr>
          <w:trHeight w:val="283"/>
        </w:trPr>
        <w:tc>
          <w:tcPr>
            <w:tcW w:w="594" w:type="pct"/>
            <w:tcBorders>
              <w:top w:val="nil"/>
              <w:left w:val="nil"/>
              <w:bottom w:val="nil"/>
              <w:right w:val="nil"/>
            </w:tcBorders>
            <w:vAlign w:val="center"/>
            <w:hideMark/>
          </w:tcPr>
          <w:p w14:paraId="657BFA43"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Perpétuo</w:t>
            </w:r>
          </w:p>
        </w:tc>
        <w:tc>
          <w:tcPr>
            <w:tcW w:w="817" w:type="pct"/>
            <w:tcBorders>
              <w:top w:val="nil"/>
              <w:left w:val="nil"/>
              <w:bottom w:val="nil"/>
              <w:right w:val="nil"/>
            </w:tcBorders>
            <w:vAlign w:val="center"/>
            <w:hideMark/>
          </w:tcPr>
          <w:p w14:paraId="603CBE32"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100% CDI + 1,25</w:t>
            </w:r>
          </w:p>
        </w:tc>
        <w:tc>
          <w:tcPr>
            <w:tcW w:w="692" w:type="pct"/>
            <w:tcBorders>
              <w:top w:val="nil"/>
              <w:left w:val="nil"/>
              <w:bottom w:val="nil"/>
              <w:right w:val="nil"/>
            </w:tcBorders>
            <w:vAlign w:val="center"/>
            <w:hideMark/>
          </w:tcPr>
          <w:p w14:paraId="1559668C"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out/25</w:t>
            </w:r>
          </w:p>
        </w:tc>
        <w:tc>
          <w:tcPr>
            <w:tcW w:w="577" w:type="pct"/>
            <w:tcBorders>
              <w:top w:val="nil"/>
              <w:left w:val="nil"/>
              <w:bottom w:val="nil"/>
              <w:right w:val="nil"/>
            </w:tcBorders>
            <w:vAlign w:val="center"/>
            <w:hideMark/>
          </w:tcPr>
          <w:p w14:paraId="21BFCF4B"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3.460.500</w:t>
            </w:r>
          </w:p>
        </w:tc>
        <w:tc>
          <w:tcPr>
            <w:tcW w:w="577" w:type="pct"/>
            <w:tcBorders>
              <w:top w:val="nil"/>
              <w:left w:val="nil"/>
              <w:bottom w:val="nil"/>
              <w:right w:val="nil"/>
            </w:tcBorders>
            <w:vAlign w:val="center"/>
            <w:hideMark/>
          </w:tcPr>
          <w:p w14:paraId="56804032"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221.433</w:t>
            </w:r>
          </w:p>
        </w:tc>
        <w:tc>
          <w:tcPr>
            <w:tcW w:w="586" w:type="pct"/>
            <w:tcBorders>
              <w:top w:val="nil"/>
              <w:left w:val="nil"/>
              <w:bottom w:val="nil"/>
              <w:right w:val="nil"/>
            </w:tcBorders>
            <w:vAlign w:val="center"/>
            <w:hideMark/>
          </w:tcPr>
          <w:p w14:paraId="112B90BD" w14:textId="70D1A625"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w:t>
            </w:r>
          </w:p>
        </w:tc>
        <w:tc>
          <w:tcPr>
            <w:tcW w:w="578" w:type="pct"/>
            <w:tcBorders>
              <w:top w:val="nil"/>
              <w:left w:val="nil"/>
              <w:bottom w:val="nil"/>
              <w:right w:val="nil"/>
            </w:tcBorders>
            <w:vAlign w:val="center"/>
            <w:hideMark/>
          </w:tcPr>
          <w:p w14:paraId="4F5C5C94"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3.681.933</w:t>
            </w:r>
          </w:p>
        </w:tc>
        <w:tc>
          <w:tcPr>
            <w:tcW w:w="579" w:type="pct"/>
            <w:tcBorders>
              <w:top w:val="nil"/>
              <w:left w:val="nil"/>
              <w:bottom w:val="nil"/>
              <w:right w:val="nil"/>
            </w:tcBorders>
            <w:vAlign w:val="center"/>
            <w:hideMark/>
          </w:tcPr>
          <w:p w14:paraId="25588344"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3.549.758</w:t>
            </w:r>
          </w:p>
        </w:tc>
      </w:tr>
      <w:tr w:rsidR="00833A6E" w:rsidRPr="00833A6E" w14:paraId="6C90AAA4" w14:textId="77777777" w:rsidTr="005E4345">
        <w:trPr>
          <w:trHeight w:val="283"/>
        </w:trPr>
        <w:tc>
          <w:tcPr>
            <w:tcW w:w="594" w:type="pct"/>
            <w:tcBorders>
              <w:top w:val="nil"/>
              <w:left w:val="nil"/>
              <w:bottom w:val="nil"/>
              <w:right w:val="nil"/>
            </w:tcBorders>
            <w:vAlign w:val="center"/>
            <w:hideMark/>
          </w:tcPr>
          <w:p w14:paraId="69471001"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Perpétuo</w:t>
            </w:r>
          </w:p>
        </w:tc>
        <w:tc>
          <w:tcPr>
            <w:tcW w:w="817" w:type="pct"/>
            <w:tcBorders>
              <w:top w:val="nil"/>
              <w:left w:val="nil"/>
              <w:bottom w:val="nil"/>
              <w:right w:val="nil"/>
            </w:tcBorders>
            <w:vAlign w:val="center"/>
            <w:hideMark/>
          </w:tcPr>
          <w:p w14:paraId="663DE15C"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100% CDI + 1,25</w:t>
            </w:r>
          </w:p>
        </w:tc>
        <w:tc>
          <w:tcPr>
            <w:tcW w:w="692" w:type="pct"/>
            <w:tcBorders>
              <w:top w:val="nil"/>
              <w:left w:val="nil"/>
              <w:bottom w:val="nil"/>
              <w:right w:val="nil"/>
            </w:tcBorders>
            <w:vAlign w:val="center"/>
            <w:hideMark/>
          </w:tcPr>
          <w:p w14:paraId="6EFB6EF2"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nov/25</w:t>
            </w:r>
          </w:p>
        </w:tc>
        <w:tc>
          <w:tcPr>
            <w:tcW w:w="577" w:type="pct"/>
            <w:tcBorders>
              <w:top w:val="nil"/>
              <w:left w:val="nil"/>
              <w:bottom w:val="nil"/>
              <w:right w:val="nil"/>
            </w:tcBorders>
            <w:vAlign w:val="center"/>
            <w:hideMark/>
          </w:tcPr>
          <w:p w14:paraId="3EDC22AA"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2.188.800</w:t>
            </w:r>
          </w:p>
        </w:tc>
        <w:tc>
          <w:tcPr>
            <w:tcW w:w="577" w:type="pct"/>
            <w:tcBorders>
              <w:top w:val="nil"/>
              <w:left w:val="nil"/>
              <w:bottom w:val="nil"/>
              <w:right w:val="nil"/>
            </w:tcBorders>
            <w:vAlign w:val="center"/>
            <w:hideMark/>
          </w:tcPr>
          <w:p w14:paraId="1E2AAB34"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135.933</w:t>
            </w:r>
          </w:p>
        </w:tc>
        <w:tc>
          <w:tcPr>
            <w:tcW w:w="586" w:type="pct"/>
            <w:tcBorders>
              <w:top w:val="nil"/>
              <w:left w:val="nil"/>
              <w:bottom w:val="nil"/>
              <w:right w:val="nil"/>
            </w:tcBorders>
            <w:vAlign w:val="center"/>
            <w:hideMark/>
          </w:tcPr>
          <w:p w14:paraId="65F69C64" w14:textId="64940461"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w:t>
            </w:r>
          </w:p>
        </w:tc>
        <w:tc>
          <w:tcPr>
            <w:tcW w:w="578" w:type="pct"/>
            <w:tcBorders>
              <w:top w:val="nil"/>
              <w:left w:val="nil"/>
              <w:bottom w:val="nil"/>
              <w:right w:val="nil"/>
            </w:tcBorders>
            <w:vAlign w:val="center"/>
            <w:hideMark/>
          </w:tcPr>
          <w:p w14:paraId="40DA9280"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2.324.733</w:t>
            </w:r>
          </w:p>
        </w:tc>
        <w:tc>
          <w:tcPr>
            <w:tcW w:w="579" w:type="pct"/>
            <w:tcBorders>
              <w:top w:val="nil"/>
              <w:left w:val="nil"/>
              <w:bottom w:val="nil"/>
              <w:right w:val="nil"/>
            </w:tcBorders>
            <w:vAlign w:val="center"/>
            <w:hideMark/>
          </w:tcPr>
          <w:p w14:paraId="1C33211A"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2.241.279</w:t>
            </w:r>
          </w:p>
        </w:tc>
      </w:tr>
      <w:tr w:rsidR="00833A6E" w:rsidRPr="00833A6E" w14:paraId="1B7F03C5" w14:textId="77777777" w:rsidTr="005E4345">
        <w:trPr>
          <w:trHeight w:val="283"/>
        </w:trPr>
        <w:tc>
          <w:tcPr>
            <w:tcW w:w="5000" w:type="pct"/>
            <w:gridSpan w:val="8"/>
            <w:tcBorders>
              <w:top w:val="nil"/>
              <w:left w:val="nil"/>
              <w:bottom w:val="single" w:sz="4" w:space="0" w:color="FFFFFF"/>
              <w:right w:val="nil"/>
            </w:tcBorders>
            <w:shd w:val="clear" w:color="000000" w:fill="D0E0E3"/>
            <w:vAlign w:val="center"/>
            <w:hideMark/>
          </w:tcPr>
          <w:p w14:paraId="04EF4766" w14:textId="157E350E" w:rsidR="00833A6E" w:rsidRPr="00833A6E" w:rsidRDefault="00833A6E" w:rsidP="00833A6E">
            <w:pPr>
              <w:jc w:val="center"/>
              <w:rPr>
                <w:rFonts w:ascii="CAIXA Std Book" w:eastAsia="Times New Roman" w:hAnsi="CAIXA Std Book" w:cs="Calibri"/>
                <w:b/>
                <w:bCs/>
                <w:color w:val="005CA9"/>
                <w:sz w:val="16"/>
                <w:szCs w:val="16"/>
              </w:rPr>
            </w:pPr>
            <w:r w:rsidRPr="00833A6E">
              <w:rPr>
                <w:rFonts w:ascii="CAIXA Std Book" w:eastAsia="Times New Roman" w:hAnsi="CAIXA Std Book" w:cs="Calibri"/>
                <w:b/>
                <w:bCs/>
                <w:color w:val="005CA9"/>
                <w:sz w:val="16"/>
                <w:szCs w:val="16"/>
              </w:rPr>
              <w:t>Nível II (1)</w:t>
            </w:r>
          </w:p>
        </w:tc>
      </w:tr>
      <w:tr w:rsidR="00833A6E" w:rsidRPr="00833A6E" w14:paraId="01CBE87F" w14:textId="77777777" w:rsidTr="005E4345">
        <w:trPr>
          <w:trHeight w:val="283"/>
        </w:trPr>
        <w:tc>
          <w:tcPr>
            <w:tcW w:w="5000" w:type="pct"/>
            <w:gridSpan w:val="8"/>
            <w:tcBorders>
              <w:top w:val="nil"/>
              <w:left w:val="nil"/>
              <w:bottom w:val="nil"/>
              <w:right w:val="nil"/>
            </w:tcBorders>
            <w:shd w:val="clear" w:color="000000" w:fill="D0E0E3"/>
            <w:vAlign w:val="center"/>
            <w:hideMark/>
          </w:tcPr>
          <w:p w14:paraId="72C06B77" w14:textId="77777777" w:rsidR="00833A6E" w:rsidRPr="00833A6E" w:rsidRDefault="00833A6E" w:rsidP="00833A6E">
            <w:pPr>
              <w:jc w:val="center"/>
              <w:rPr>
                <w:rFonts w:ascii="CAIXA Std Book" w:eastAsia="Times New Roman" w:hAnsi="CAIXA Std Book" w:cs="Calibri"/>
                <w:b/>
                <w:bCs/>
                <w:color w:val="005CA9"/>
                <w:sz w:val="16"/>
                <w:szCs w:val="16"/>
              </w:rPr>
            </w:pPr>
            <w:r w:rsidRPr="00833A6E">
              <w:rPr>
                <w:rFonts w:ascii="CAIXA Std Book" w:eastAsia="Times New Roman" w:hAnsi="CAIXA Std Book" w:cs="Calibri"/>
                <w:b/>
                <w:bCs/>
                <w:color w:val="005CA9"/>
                <w:sz w:val="16"/>
                <w:szCs w:val="16"/>
              </w:rPr>
              <w:t>Instrumento de dívida subordinada – FGTS</w:t>
            </w:r>
          </w:p>
        </w:tc>
      </w:tr>
      <w:tr w:rsidR="00833A6E" w:rsidRPr="00833A6E" w14:paraId="2396CF82" w14:textId="77777777" w:rsidTr="005E4345">
        <w:trPr>
          <w:trHeight w:val="283"/>
        </w:trPr>
        <w:tc>
          <w:tcPr>
            <w:tcW w:w="594" w:type="pct"/>
            <w:tcBorders>
              <w:top w:val="nil"/>
              <w:left w:val="nil"/>
              <w:bottom w:val="nil"/>
              <w:right w:val="nil"/>
            </w:tcBorders>
            <w:vAlign w:val="center"/>
            <w:hideMark/>
          </w:tcPr>
          <w:p w14:paraId="06A30E08"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abr/26</w:t>
            </w:r>
          </w:p>
        </w:tc>
        <w:tc>
          <w:tcPr>
            <w:tcW w:w="817" w:type="pct"/>
            <w:tcBorders>
              <w:top w:val="nil"/>
              <w:left w:val="nil"/>
              <w:bottom w:val="nil"/>
              <w:right w:val="nil"/>
            </w:tcBorders>
            <w:vAlign w:val="center"/>
            <w:hideMark/>
          </w:tcPr>
          <w:p w14:paraId="385DFDBC"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6,00%</w:t>
            </w:r>
          </w:p>
        </w:tc>
        <w:tc>
          <w:tcPr>
            <w:tcW w:w="692" w:type="pct"/>
            <w:tcBorders>
              <w:top w:val="nil"/>
              <w:left w:val="nil"/>
              <w:bottom w:val="nil"/>
              <w:right w:val="nil"/>
            </w:tcBorders>
            <w:noWrap/>
            <w:vAlign w:val="center"/>
            <w:hideMark/>
          </w:tcPr>
          <w:p w14:paraId="08DBE1F1"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ago/11</w:t>
            </w:r>
          </w:p>
        </w:tc>
        <w:tc>
          <w:tcPr>
            <w:tcW w:w="577" w:type="pct"/>
            <w:tcBorders>
              <w:top w:val="nil"/>
              <w:left w:val="nil"/>
              <w:bottom w:val="nil"/>
              <w:right w:val="nil"/>
            </w:tcBorders>
            <w:vAlign w:val="center"/>
            <w:hideMark/>
          </w:tcPr>
          <w:p w14:paraId="76779E22"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3.000.000</w:t>
            </w:r>
          </w:p>
        </w:tc>
        <w:tc>
          <w:tcPr>
            <w:tcW w:w="577" w:type="pct"/>
            <w:tcBorders>
              <w:top w:val="nil"/>
              <w:left w:val="nil"/>
              <w:bottom w:val="nil"/>
              <w:right w:val="nil"/>
            </w:tcBorders>
            <w:vAlign w:val="center"/>
            <w:hideMark/>
          </w:tcPr>
          <w:p w14:paraId="65FA7868"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2.133.384</w:t>
            </w:r>
          </w:p>
        </w:tc>
        <w:tc>
          <w:tcPr>
            <w:tcW w:w="586" w:type="pct"/>
            <w:tcBorders>
              <w:top w:val="nil"/>
              <w:left w:val="nil"/>
              <w:bottom w:val="nil"/>
              <w:right w:val="nil"/>
            </w:tcBorders>
            <w:vAlign w:val="center"/>
            <w:hideMark/>
          </w:tcPr>
          <w:p w14:paraId="54EA29F0" w14:textId="1D78F67A"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(5.068.594)</w:t>
            </w:r>
          </w:p>
        </w:tc>
        <w:tc>
          <w:tcPr>
            <w:tcW w:w="578" w:type="pct"/>
            <w:tcBorders>
              <w:top w:val="nil"/>
              <w:left w:val="nil"/>
              <w:bottom w:val="nil"/>
              <w:right w:val="nil"/>
            </w:tcBorders>
            <w:vAlign w:val="center"/>
            <w:hideMark/>
          </w:tcPr>
          <w:p w14:paraId="3657B534"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64.790</w:t>
            </w:r>
          </w:p>
        </w:tc>
        <w:tc>
          <w:tcPr>
            <w:tcW w:w="579" w:type="pct"/>
            <w:tcBorders>
              <w:top w:val="nil"/>
              <w:left w:val="nil"/>
              <w:bottom w:val="nil"/>
              <w:right w:val="nil"/>
            </w:tcBorders>
            <w:vAlign w:val="center"/>
            <w:hideMark/>
          </w:tcPr>
          <w:p w14:paraId="5DCF5DA3"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258.148</w:t>
            </w:r>
          </w:p>
        </w:tc>
      </w:tr>
      <w:tr w:rsidR="00833A6E" w:rsidRPr="00833A6E" w14:paraId="010E3E9C" w14:textId="77777777" w:rsidTr="005E4345">
        <w:trPr>
          <w:trHeight w:val="283"/>
        </w:trPr>
        <w:tc>
          <w:tcPr>
            <w:tcW w:w="594" w:type="pct"/>
            <w:tcBorders>
              <w:top w:val="nil"/>
              <w:left w:val="nil"/>
              <w:bottom w:val="nil"/>
              <w:right w:val="nil"/>
            </w:tcBorders>
            <w:vAlign w:val="center"/>
            <w:hideMark/>
          </w:tcPr>
          <w:p w14:paraId="6BA37A6D"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jul/32</w:t>
            </w:r>
          </w:p>
        </w:tc>
        <w:tc>
          <w:tcPr>
            <w:tcW w:w="817" w:type="pct"/>
            <w:tcBorders>
              <w:top w:val="nil"/>
              <w:left w:val="nil"/>
              <w:bottom w:val="nil"/>
              <w:right w:val="nil"/>
            </w:tcBorders>
            <w:vAlign w:val="center"/>
            <w:hideMark/>
          </w:tcPr>
          <w:p w14:paraId="799C9D62"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5,08%</w:t>
            </w:r>
          </w:p>
        </w:tc>
        <w:tc>
          <w:tcPr>
            <w:tcW w:w="692" w:type="pct"/>
            <w:tcBorders>
              <w:top w:val="nil"/>
              <w:left w:val="nil"/>
              <w:bottom w:val="nil"/>
              <w:right w:val="nil"/>
            </w:tcBorders>
            <w:noWrap/>
            <w:vAlign w:val="center"/>
            <w:hideMark/>
          </w:tcPr>
          <w:p w14:paraId="084EA720"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jun/12</w:t>
            </w:r>
          </w:p>
        </w:tc>
        <w:tc>
          <w:tcPr>
            <w:tcW w:w="577" w:type="pct"/>
            <w:tcBorders>
              <w:top w:val="nil"/>
              <w:left w:val="nil"/>
              <w:bottom w:val="nil"/>
              <w:right w:val="nil"/>
            </w:tcBorders>
            <w:vAlign w:val="center"/>
            <w:hideMark/>
          </w:tcPr>
          <w:p w14:paraId="4C6E271A"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3.000.000</w:t>
            </w:r>
          </w:p>
        </w:tc>
        <w:tc>
          <w:tcPr>
            <w:tcW w:w="577" w:type="pct"/>
            <w:tcBorders>
              <w:top w:val="nil"/>
              <w:left w:val="nil"/>
              <w:bottom w:val="nil"/>
              <w:right w:val="nil"/>
            </w:tcBorders>
            <w:vAlign w:val="center"/>
            <w:hideMark/>
          </w:tcPr>
          <w:p w14:paraId="38DEFE4A"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1.959.450</w:t>
            </w:r>
          </w:p>
        </w:tc>
        <w:tc>
          <w:tcPr>
            <w:tcW w:w="586" w:type="pct"/>
            <w:tcBorders>
              <w:top w:val="nil"/>
              <w:left w:val="nil"/>
              <w:bottom w:val="nil"/>
              <w:right w:val="nil"/>
            </w:tcBorders>
            <w:vAlign w:val="center"/>
            <w:hideMark/>
          </w:tcPr>
          <w:p w14:paraId="5DCE41A9"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(2.305.855)</w:t>
            </w:r>
          </w:p>
        </w:tc>
        <w:tc>
          <w:tcPr>
            <w:tcW w:w="578" w:type="pct"/>
            <w:tcBorders>
              <w:top w:val="nil"/>
              <w:left w:val="nil"/>
              <w:bottom w:val="nil"/>
              <w:right w:val="nil"/>
            </w:tcBorders>
            <w:vAlign w:val="center"/>
            <w:hideMark/>
          </w:tcPr>
          <w:p w14:paraId="4CB9D5FF"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2.653.595</w:t>
            </w:r>
          </w:p>
        </w:tc>
        <w:tc>
          <w:tcPr>
            <w:tcW w:w="579" w:type="pct"/>
            <w:tcBorders>
              <w:top w:val="nil"/>
              <w:left w:val="nil"/>
              <w:bottom w:val="nil"/>
              <w:right w:val="nil"/>
            </w:tcBorders>
            <w:vAlign w:val="center"/>
            <w:hideMark/>
          </w:tcPr>
          <w:p w14:paraId="10537D2B"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2.745.530</w:t>
            </w:r>
          </w:p>
        </w:tc>
      </w:tr>
      <w:tr w:rsidR="00833A6E" w:rsidRPr="00833A6E" w14:paraId="00EF674E" w14:textId="77777777" w:rsidTr="005E4345">
        <w:trPr>
          <w:trHeight w:val="283"/>
        </w:trPr>
        <w:tc>
          <w:tcPr>
            <w:tcW w:w="594" w:type="pct"/>
            <w:tcBorders>
              <w:top w:val="nil"/>
              <w:left w:val="nil"/>
              <w:bottom w:val="nil"/>
              <w:right w:val="nil"/>
            </w:tcBorders>
            <w:vAlign w:val="center"/>
            <w:hideMark/>
          </w:tcPr>
          <w:p w14:paraId="1A84A2B1"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dez/33</w:t>
            </w:r>
          </w:p>
        </w:tc>
        <w:tc>
          <w:tcPr>
            <w:tcW w:w="817" w:type="pct"/>
            <w:tcBorders>
              <w:top w:val="nil"/>
              <w:left w:val="nil"/>
              <w:bottom w:val="nil"/>
              <w:right w:val="nil"/>
            </w:tcBorders>
            <w:vAlign w:val="center"/>
            <w:hideMark/>
          </w:tcPr>
          <w:p w14:paraId="6D6226BB"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5,15%</w:t>
            </w:r>
          </w:p>
        </w:tc>
        <w:tc>
          <w:tcPr>
            <w:tcW w:w="692" w:type="pct"/>
            <w:tcBorders>
              <w:top w:val="nil"/>
              <w:left w:val="nil"/>
              <w:bottom w:val="nil"/>
              <w:right w:val="nil"/>
            </w:tcBorders>
            <w:noWrap/>
            <w:vAlign w:val="center"/>
            <w:hideMark/>
          </w:tcPr>
          <w:p w14:paraId="6974D5BF"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out/14</w:t>
            </w:r>
          </w:p>
        </w:tc>
        <w:tc>
          <w:tcPr>
            <w:tcW w:w="577" w:type="pct"/>
            <w:tcBorders>
              <w:top w:val="nil"/>
              <w:left w:val="nil"/>
              <w:bottom w:val="nil"/>
              <w:right w:val="nil"/>
            </w:tcBorders>
            <w:vAlign w:val="center"/>
            <w:hideMark/>
          </w:tcPr>
          <w:p w14:paraId="4238E1B8"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3.000.000</w:t>
            </w:r>
          </w:p>
        </w:tc>
        <w:tc>
          <w:tcPr>
            <w:tcW w:w="577" w:type="pct"/>
            <w:tcBorders>
              <w:top w:val="nil"/>
              <w:left w:val="nil"/>
              <w:bottom w:val="nil"/>
              <w:right w:val="nil"/>
            </w:tcBorders>
            <w:vAlign w:val="center"/>
            <w:hideMark/>
          </w:tcPr>
          <w:p w14:paraId="1B3827D0"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1.389.942</w:t>
            </w:r>
          </w:p>
        </w:tc>
        <w:tc>
          <w:tcPr>
            <w:tcW w:w="586" w:type="pct"/>
            <w:tcBorders>
              <w:top w:val="nil"/>
              <w:left w:val="nil"/>
              <w:bottom w:val="nil"/>
              <w:right w:val="nil"/>
            </w:tcBorders>
            <w:vAlign w:val="center"/>
            <w:hideMark/>
          </w:tcPr>
          <w:p w14:paraId="545C137A"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(1.837.663)</w:t>
            </w:r>
          </w:p>
        </w:tc>
        <w:tc>
          <w:tcPr>
            <w:tcW w:w="578" w:type="pct"/>
            <w:tcBorders>
              <w:top w:val="nil"/>
              <w:left w:val="nil"/>
              <w:bottom w:val="nil"/>
              <w:right w:val="nil"/>
            </w:tcBorders>
            <w:vAlign w:val="center"/>
            <w:hideMark/>
          </w:tcPr>
          <w:p w14:paraId="6B642302"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2.552.279</w:t>
            </w:r>
          </w:p>
        </w:tc>
        <w:tc>
          <w:tcPr>
            <w:tcW w:w="579" w:type="pct"/>
            <w:tcBorders>
              <w:top w:val="nil"/>
              <w:left w:val="nil"/>
              <w:bottom w:val="nil"/>
              <w:right w:val="nil"/>
            </w:tcBorders>
            <w:vAlign w:val="center"/>
            <w:hideMark/>
          </w:tcPr>
          <w:p w14:paraId="7B9FEEF2"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2.622.371</w:t>
            </w:r>
          </w:p>
        </w:tc>
      </w:tr>
      <w:tr w:rsidR="00833A6E" w:rsidRPr="00833A6E" w14:paraId="40B67C91" w14:textId="77777777" w:rsidTr="005E4345">
        <w:trPr>
          <w:trHeight w:val="283"/>
        </w:trPr>
        <w:tc>
          <w:tcPr>
            <w:tcW w:w="594" w:type="pct"/>
            <w:tcBorders>
              <w:top w:val="nil"/>
              <w:left w:val="nil"/>
              <w:bottom w:val="nil"/>
              <w:right w:val="nil"/>
            </w:tcBorders>
            <w:vAlign w:val="center"/>
            <w:hideMark/>
          </w:tcPr>
          <w:p w14:paraId="7B5AD03B"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fev/38</w:t>
            </w:r>
          </w:p>
        </w:tc>
        <w:tc>
          <w:tcPr>
            <w:tcW w:w="817" w:type="pct"/>
            <w:tcBorders>
              <w:top w:val="nil"/>
              <w:left w:val="nil"/>
              <w:bottom w:val="nil"/>
              <w:right w:val="nil"/>
            </w:tcBorders>
            <w:vAlign w:val="center"/>
            <w:hideMark/>
          </w:tcPr>
          <w:p w14:paraId="65F370C7"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4,80%</w:t>
            </w:r>
          </w:p>
        </w:tc>
        <w:tc>
          <w:tcPr>
            <w:tcW w:w="692" w:type="pct"/>
            <w:tcBorders>
              <w:top w:val="nil"/>
              <w:left w:val="nil"/>
              <w:bottom w:val="nil"/>
              <w:right w:val="nil"/>
            </w:tcBorders>
            <w:noWrap/>
            <w:vAlign w:val="center"/>
            <w:hideMark/>
          </w:tcPr>
          <w:p w14:paraId="473A65B9"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dez/14</w:t>
            </w:r>
          </w:p>
        </w:tc>
        <w:tc>
          <w:tcPr>
            <w:tcW w:w="577" w:type="pct"/>
            <w:tcBorders>
              <w:top w:val="nil"/>
              <w:left w:val="nil"/>
              <w:bottom w:val="nil"/>
              <w:right w:val="nil"/>
            </w:tcBorders>
            <w:vAlign w:val="center"/>
            <w:hideMark/>
          </w:tcPr>
          <w:p w14:paraId="265D4579"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4.000.000</w:t>
            </w:r>
          </w:p>
        </w:tc>
        <w:tc>
          <w:tcPr>
            <w:tcW w:w="577" w:type="pct"/>
            <w:tcBorders>
              <w:top w:val="nil"/>
              <w:left w:val="nil"/>
              <w:bottom w:val="nil"/>
              <w:right w:val="nil"/>
            </w:tcBorders>
            <w:vAlign w:val="center"/>
            <w:hideMark/>
          </w:tcPr>
          <w:p w14:paraId="633EEF92"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3.014.661</w:t>
            </w:r>
          </w:p>
        </w:tc>
        <w:tc>
          <w:tcPr>
            <w:tcW w:w="586" w:type="pct"/>
            <w:tcBorders>
              <w:top w:val="nil"/>
              <w:left w:val="nil"/>
              <w:bottom w:val="nil"/>
              <w:right w:val="nil"/>
            </w:tcBorders>
            <w:vAlign w:val="center"/>
            <w:hideMark/>
          </w:tcPr>
          <w:p w14:paraId="0079B239" w14:textId="449455C0"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(883.379)</w:t>
            </w:r>
          </w:p>
        </w:tc>
        <w:tc>
          <w:tcPr>
            <w:tcW w:w="578" w:type="pct"/>
            <w:tcBorders>
              <w:top w:val="nil"/>
              <w:left w:val="nil"/>
              <w:bottom w:val="nil"/>
              <w:right w:val="nil"/>
            </w:tcBorders>
            <w:vAlign w:val="center"/>
            <w:hideMark/>
          </w:tcPr>
          <w:p w14:paraId="57B6E3B0"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6.131.282</w:t>
            </w:r>
          </w:p>
        </w:tc>
        <w:tc>
          <w:tcPr>
            <w:tcW w:w="579" w:type="pct"/>
            <w:tcBorders>
              <w:top w:val="nil"/>
              <w:left w:val="nil"/>
              <w:bottom w:val="nil"/>
              <w:right w:val="nil"/>
            </w:tcBorders>
            <w:vAlign w:val="center"/>
            <w:hideMark/>
          </w:tcPr>
          <w:p w14:paraId="1E49AC82"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6.230.831</w:t>
            </w:r>
          </w:p>
        </w:tc>
      </w:tr>
      <w:tr w:rsidR="00833A6E" w:rsidRPr="00833A6E" w14:paraId="5AC27957" w14:textId="77777777" w:rsidTr="005E4345">
        <w:trPr>
          <w:trHeight w:val="283"/>
        </w:trPr>
        <w:tc>
          <w:tcPr>
            <w:tcW w:w="594" w:type="pct"/>
            <w:tcBorders>
              <w:top w:val="nil"/>
              <w:left w:val="nil"/>
              <w:bottom w:val="nil"/>
              <w:right w:val="nil"/>
            </w:tcBorders>
            <w:vAlign w:val="center"/>
            <w:hideMark/>
          </w:tcPr>
          <w:p w14:paraId="33D59534"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dez/40</w:t>
            </w:r>
          </w:p>
        </w:tc>
        <w:tc>
          <w:tcPr>
            <w:tcW w:w="817" w:type="pct"/>
            <w:tcBorders>
              <w:top w:val="nil"/>
              <w:left w:val="nil"/>
              <w:bottom w:val="nil"/>
              <w:right w:val="nil"/>
            </w:tcBorders>
            <w:vAlign w:val="center"/>
            <w:hideMark/>
          </w:tcPr>
          <w:p w14:paraId="23C9AD28"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4,75%</w:t>
            </w:r>
          </w:p>
        </w:tc>
        <w:tc>
          <w:tcPr>
            <w:tcW w:w="692" w:type="pct"/>
            <w:tcBorders>
              <w:top w:val="nil"/>
              <w:left w:val="nil"/>
              <w:bottom w:val="nil"/>
              <w:right w:val="nil"/>
            </w:tcBorders>
            <w:noWrap/>
            <w:vAlign w:val="center"/>
            <w:hideMark/>
          </w:tcPr>
          <w:p w14:paraId="0B049307"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set/15</w:t>
            </w:r>
          </w:p>
        </w:tc>
        <w:tc>
          <w:tcPr>
            <w:tcW w:w="577" w:type="pct"/>
            <w:tcBorders>
              <w:top w:val="nil"/>
              <w:left w:val="nil"/>
              <w:bottom w:val="nil"/>
              <w:right w:val="nil"/>
            </w:tcBorders>
            <w:vAlign w:val="center"/>
            <w:hideMark/>
          </w:tcPr>
          <w:p w14:paraId="49892F8F"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3.000.000</w:t>
            </w:r>
          </w:p>
        </w:tc>
        <w:tc>
          <w:tcPr>
            <w:tcW w:w="577" w:type="pct"/>
            <w:tcBorders>
              <w:top w:val="nil"/>
              <w:left w:val="nil"/>
              <w:bottom w:val="nil"/>
              <w:right w:val="nil"/>
            </w:tcBorders>
            <w:vAlign w:val="center"/>
            <w:hideMark/>
          </w:tcPr>
          <w:p w14:paraId="2EF26DBF"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2.435.702</w:t>
            </w:r>
          </w:p>
        </w:tc>
        <w:tc>
          <w:tcPr>
            <w:tcW w:w="586" w:type="pct"/>
            <w:tcBorders>
              <w:top w:val="nil"/>
              <w:left w:val="nil"/>
              <w:bottom w:val="nil"/>
              <w:right w:val="nil"/>
            </w:tcBorders>
            <w:vAlign w:val="center"/>
            <w:hideMark/>
          </w:tcPr>
          <w:p w14:paraId="25690856" w14:textId="6CF453F3"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w:t>
            </w:r>
          </w:p>
        </w:tc>
        <w:tc>
          <w:tcPr>
            <w:tcW w:w="578" w:type="pct"/>
            <w:tcBorders>
              <w:top w:val="nil"/>
              <w:left w:val="nil"/>
              <w:bottom w:val="nil"/>
              <w:right w:val="nil"/>
            </w:tcBorders>
            <w:vAlign w:val="center"/>
            <w:hideMark/>
          </w:tcPr>
          <w:p w14:paraId="49719DD0"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5.435.702</w:t>
            </w:r>
          </w:p>
        </w:tc>
        <w:tc>
          <w:tcPr>
            <w:tcW w:w="579" w:type="pct"/>
            <w:tcBorders>
              <w:top w:val="nil"/>
              <w:left w:val="nil"/>
              <w:bottom w:val="nil"/>
              <w:right w:val="nil"/>
            </w:tcBorders>
            <w:vAlign w:val="center"/>
            <w:hideMark/>
          </w:tcPr>
          <w:p w14:paraId="26C014D9"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5.348.027</w:t>
            </w:r>
          </w:p>
        </w:tc>
      </w:tr>
      <w:tr w:rsidR="00833A6E" w:rsidRPr="00833A6E" w14:paraId="58A09BEF" w14:textId="77777777" w:rsidTr="005E4345">
        <w:trPr>
          <w:trHeight w:val="283"/>
        </w:trPr>
        <w:tc>
          <w:tcPr>
            <w:tcW w:w="594" w:type="pct"/>
            <w:tcBorders>
              <w:top w:val="nil"/>
              <w:left w:val="nil"/>
              <w:bottom w:val="nil"/>
              <w:right w:val="nil"/>
            </w:tcBorders>
            <w:vAlign w:val="center"/>
            <w:hideMark/>
          </w:tcPr>
          <w:p w14:paraId="71B5ED0C"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mai/44</w:t>
            </w:r>
          </w:p>
        </w:tc>
        <w:tc>
          <w:tcPr>
            <w:tcW w:w="817" w:type="pct"/>
            <w:tcBorders>
              <w:top w:val="nil"/>
              <w:left w:val="nil"/>
              <w:bottom w:val="nil"/>
              <w:right w:val="nil"/>
            </w:tcBorders>
            <w:vAlign w:val="center"/>
            <w:hideMark/>
          </w:tcPr>
          <w:p w14:paraId="6B53DB85"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4,75%</w:t>
            </w:r>
          </w:p>
        </w:tc>
        <w:tc>
          <w:tcPr>
            <w:tcW w:w="692" w:type="pct"/>
            <w:tcBorders>
              <w:top w:val="nil"/>
              <w:left w:val="nil"/>
              <w:bottom w:val="nil"/>
              <w:right w:val="nil"/>
            </w:tcBorders>
            <w:noWrap/>
            <w:vAlign w:val="center"/>
            <w:hideMark/>
          </w:tcPr>
          <w:p w14:paraId="0B196864"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set/16</w:t>
            </w:r>
          </w:p>
        </w:tc>
        <w:tc>
          <w:tcPr>
            <w:tcW w:w="577" w:type="pct"/>
            <w:tcBorders>
              <w:top w:val="nil"/>
              <w:left w:val="nil"/>
              <w:bottom w:val="nil"/>
              <w:right w:val="nil"/>
            </w:tcBorders>
            <w:vAlign w:val="center"/>
            <w:hideMark/>
          </w:tcPr>
          <w:p w14:paraId="68C68D88"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4.000.000</w:t>
            </w:r>
          </w:p>
        </w:tc>
        <w:tc>
          <w:tcPr>
            <w:tcW w:w="577" w:type="pct"/>
            <w:tcBorders>
              <w:top w:val="nil"/>
              <w:left w:val="nil"/>
              <w:bottom w:val="nil"/>
              <w:right w:val="nil"/>
            </w:tcBorders>
            <w:vAlign w:val="center"/>
            <w:hideMark/>
          </w:tcPr>
          <w:p w14:paraId="24308601"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2.781.861</w:t>
            </w:r>
          </w:p>
        </w:tc>
        <w:tc>
          <w:tcPr>
            <w:tcW w:w="586" w:type="pct"/>
            <w:tcBorders>
              <w:top w:val="nil"/>
              <w:left w:val="nil"/>
              <w:bottom w:val="nil"/>
              <w:right w:val="nil"/>
            </w:tcBorders>
            <w:vAlign w:val="center"/>
            <w:hideMark/>
          </w:tcPr>
          <w:p w14:paraId="7491A7E8" w14:textId="27254478"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w:t>
            </w:r>
          </w:p>
        </w:tc>
        <w:tc>
          <w:tcPr>
            <w:tcW w:w="578" w:type="pct"/>
            <w:tcBorders>
              <w:top w:val="nil"/>
              <w:left w:val="nil"/>
              <w:bottom w:val="nil"/>
              <w:right w:val="nil"/>
            </w:tcBorders>
            <w:vAlign w:val="center"/>
            <w:hideMark/>
          </w:tcPr>
          <w:p w14:paraId="12E35D6E"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6.781.861</w:t>
            </w:r>
          </w:p>
        </w:tc>
        <w:tc>
          <w:tcPr>
            <w:tcW w:w="579" w:type="pct"/>
            <w:tcBorders>
              <w:top w:val="nil"/>
              <w:left w:val="nil"/>
              <w:bottom w:val="nil"/>
              <w:right w:val="nil"/>
            </w:tcBorders>
            <w:vAlign w:val="center"/>
            <w:hideMark/>
          </w:tcPr>
          <w:p w14:paraId="3783F909"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6.672.426</w:t>
            </w:r>
          </w:p>
        </w:tc>
      </w:tr>
      <w:tr w:rsidR="00833A6E" w:rsidRPr="00833A6E" w14:paraId="79E1456B" w14:textId="77777777" w:rsidTr="005E4345">
        <w:trPr>
          <w:trHeight w:val="283"/>
        </w:trPr>
        <w:tc>
          <w:tcPr>
            <w:tcW w:w="594" w:type="pct"/>
            <w:tcBorders>
              <w:top w:val="nil"/>
              <w:left w:val="nil"/>
              <w:bottom w:val="nil"/>
              <w:right w:val="nil"/>
            </w:tcBorders>
            <w:vAlign w:val="center"/>
            <w:hideMark/>
          </w:tcPr>
          <w:p w14:paraId="248B1769"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ago/44</w:t>
            </w:r>
          </w:p>
        </w:tc>
        <w:tc>
          <w:tcPr>
            <w:tcW w:w="817" w:type="pct"/>
            <w:tcBorders>
              <w:top w:val="nil"/>
              <w:left w:val="nil"/>
              <w:bottom w:val="nil"/>
              <w:right w:val="nil"/>
            </w:tcBorders>
            <w:vAlign w:val="center"/>
            <w:hideMark/>
          </w:tcPr>
          <w:p w14:paraId="070DED17"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4,86%</w:t>
            </w:r>
          </w:p>
        </w:tc>
        <w:tc>
          <w:tcPr>
            <w:tcW w:w="692" w:type="pct"/>
            <w:tcBorders>
              <w:top w:val="nil"/>
              <w:left w:val="nil"/>
              <w:bottom w:val="nil"/>
              <w:right w:val="nil"/>
            </w:tcBorders>
            <w:noWrap/>
            <w:vAlign w:val="center"/>
            <w:hideMark/>
          </w:tcPr>
          <w:p w14:paraId="3C4D4BF2"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mai/17</w:t>
            </w:r>
          </w:p>
        </w:tc>
        <w:tc>
          <w:tcPr>
            <w:tcW w:w="577" w:type="pct"/>
            <w:tcBorders>
              <w:top w:val="nil"/>
              <w:left w:val="nil"/>
              <w:bottom w:val="nil"/>
              <w:right w:val="nil"/>
            </w:tcBorders>
            <w:vAlign w:val="center"/>
            <w:hideMark/>
          </w:tcPr>
          <w:p w14:paraId="7C674C6A"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4.000.000</w:t>
            </w:r>
          </w:p>
        </w:tc>
        <w:tc>
          <w:tcPr>
            <w:tcW w:w="577" w:type="pct"/>
            <w:tcBorders>
              <w:top w:val="nil"/>
              <w:left w:val="nil"/>
              <w:bottom w:val="nil"/>
              <w:right w:val="nil"/>
            </w:tcBorders>
            <w:vAlign w:val="center"/>
            <w:hideMark/>
          </w:tcPr>
          <w:p w14:paraId="21EB85FB"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2.575.655</w:t>
            </w:r>
          </w:p>
        </w:tc>
        <w:tc>
          <w:tcPr>
            <w:tcW w:w="586" w:type="pct"/>
            <w:tcBorders>
              <w:top w:val="nil"/>
              <w:left w:val="nil"/>
              <w:bottom w:val="nil"/>
              <w:right w:val="nil"/>
            </w:tcBorders>
            <w:vAlign w:val="center"/>
            <w:hideMark/>
          </w:tcPr>
          <w:p w14:paraId="637FB13E" w14:textId="0470B87C"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w:t>
            </w:r>
          </w:p>
        </w:tc>
        <w:tc>
          <w:tcPr>
            <w:tcW w:w="578" w:type="pct"/>
            <w:tcBorders>
              <w:top w:val="nil"/>
              <w:left w:val="nil"/>
              <w:bottom w:val="nil"/>
              <w:right w:val="nil"/>
            </w:tcBorders>
            <w:vAlign w:val="center"/>
            <w:hideMark/>
          </w:tcPr>
          <w:p w14:paraId="34BF872B"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6.575.655</w:t>
            </w:r>
          </w:p>
        </w:tc>
        <w:tc>
          <w:tcPr>
            <w:tcW w:w="579" w:type="pct"/>
            <w:tcBorders>
              <w:top w:val="nil"/>
              <w:left w:val="nil"/>
              <w:bottom w:val="nil"/>
              <w:right w:val="nil"/>
            </w:tcBorders>
            <w:vAlign w:val="center"/>
            <w:hideMark/>
          </w:tcPr>
          <w:p w14:paraId="32B148D3"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6.467.853</w:t>
            </w:r>
          </w:p>
        </w:tc>
      </w:tr>
      <w:tr w:rsidR="00833A6E" w:rsidRPr="00833A6E" w14:paraId="522A640E" w14:textId="77777777" w:rsidTr="005E4345">
        <w:trPr>
          <w:trHeight w:val="283"/>
        </w:trPr>
        <w:tc>
          <w:tcPr>
            <w:tcW w:w="594" w:type="pct"/>
            <w:tcBorders>
              <w:top w:val="nil"/>
              <w:left w:val="nil"/>
              <w:bottom w:val="nil"/>
              <w:right w:val="nil"/>
            </w:tcBorders>
            <w:vAlign w:val="center"/>
            <w:hideMark/>
          </w:tcPr>
          <w:p w14:paraId="52311700"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mai/44</w:t>
            </w:r>
          </w:p>
        </w:tc>
        <w:tc>
          <w:tcPr>
            <w:tcW w:w="817" w:type="pct"/>
            <w:tcBorders>
              <w:top w:val="nil"/>
              <w:left w:val="nil"/>
              <w:bottom w:val="nil"/>
              <w:right w:val="nil"/>
            </w:tcBorders>
            <w:vAlign w:val="center"/>
            <w:hideMark/>
          </w:tcPr>
          <w:p w14:paraId="404C4207"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5,23%</w:t>
            </w:r>
          </w:p>
        </w:tc>
        <w:tc>
          <w:tcPr>
            <w:tcW w:w="692" w:type="pct"/>
            <w:tcBorders>
              <w:top w:val="nil"/>
              <w:left w:val="nil"/>
              <w:bottom w:val="nil"/>
              <w:right w:val="nil"/>
            </w:tcBorders>
            <w:noWrap/>
            <w:vAlign w:val="center"/>
            <w:hideMark/>
          </w:tcPr>
          <w:p w14:paraId="488DD704" w14:textId="77777777"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set/17</w:t>
            </w:r>
          </w:p>
        </w:tc>
        <w:tc>
          <w:tcPr>
            <w:tcW w:w="577" w:type="pct"/>
            <w:tcBorders>
              <w:top w:val="nil"/>
              <w:left w:val="nil"/>
              <w:bottom w:val="nil"/>
              <w:right w:val="nil"/>
            </w:tcBorders>
            <w:vAlign w:val="center"/>
            <w:hideMark/>
          </w:tcPr>
          <w:p w14:paraId="047E9171"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2.000.000</w:t>
            </w:r>
          </w:p>
        </w:tc>
        <w:tc>
          <w:tcPr>
            <w:tcW w:w="577" w:type="pct"/>
            <w:tcBorders>
              <w:top w:val="nil"/>
              <w:left w:val="nil"/>
              <w:bottom w:val="nil"/>
              <w:right w:val="nil"/>
            </w:tcBorders>
            <w:vAlign w:val="center"/>
            <w:hideMark/>
          </w:tcPr>
          <w:p w14:paraId="069E5F7D"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1.314.821</w:t>
            </w:r>
          </w:p>
        </w:tc>
        <w:tc>
          <w:tcPr>
            <w:tcW w:w="586" w:type="pct"/>
            <w:tcBorders>
              <w:top w:val="nil"/>
              <w:left w:val="nil"/>
              <w:bottom w:val="nil"/>
              <w:right w:val="nil"/>
            </w:tcBorders>
            <w:vAlign w:val="center"/>
            <w:hideMark/>
          </w:tcPr>
          <w:p w14:paraId="04C2042C" w14:textId="13FCE395" w:rsidR="00833A6E" w:rsidRPr="00833A6E" w:rsidRDefault="00833A6E" w:rsidP="00833A6E">
            <w:pPr>
              <w:jc w:val="center"/>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w:t>
            </w:r>
          </w:p>
        </w:tc>
        <w:tc>
          <w:tcPr>
            <w:tcW w:w="578" w:type="pct"/>
            <w:tcBorders>
              <w:top w:val="nil"/>
              <w:left w:val="nil"/>
              <w:bottom w:val="nil"/>
              <w:right w:val="nil"/>
            </w:tcBorders>
            <w:vAlign w:val="center"/>
            <w:hideMark/>
          </w:tcPr>
          <w:p w14:paraId="2226C395"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3.314.821</w:t>
            </w:r>
          </w:p>
        </w:tc>
        <w:tc>
          <w:tcPr>
            <w:tcW w:w="579" w:type="pct"/>
            <w:tcBorders>
              <w:top w:val="nil"/>
              <w:left w:val="nil"/>
              <w:bottom w:val="nil"/>
              <w:right w:val="nil"/>
            </w:tcBorders>
            <w:vAlign w:val="center"/>
            <w:hideMark/>
          </w:tcPr>
          <w:p w14:paraId="4429FC6D" w14:textId="77777777" w:rsidR="00833A6E" w:rsidRPr="00833A6E" w:rsidRDefault="00833A6E" w:rsidP="00833A6E">
            <w:pPr>
              <w:jc w:val="right"/>
              <w:rPr>
                <w:rFonts w:ascii="CAIXA Std Book" w:eastAsia="Times New Roman" w:hAnsi="CAIXA Std Book" w:cs="Calibri"/>
                <w:color w:val="005CA9"/>
                <w:sz w:val="16"/>
                <w:szCs w:val="16"/>
              </w:rPr>
            </w:pPr>
            <w:r w:rsidRPr="00833A6E">
              <w:rPr>
                <w:rFonts w:ascii="CAIXA Std Book" w:eastAsia="Times New Roman" w:hAnsi="CAIXA Std Book" w:cs="Calibri"/>
                <w:color w:val="005CA9"/>
                <w:sz w:val="16"/>
                <w:szCs w:val="16"/>
              </w:rPr>
              <w:t>3.257.595</w:t>
            </w:r>
          </w:p>
        </w:tc>
      </w:tr>
      <w:tr w:rsidR="00833A6E" w:rsidRPr="00833A6E" w14:paraId="2603C388" w14:textId="77777777" w:rsidTr="005E4345">
        <w:trPr>
          <w:trHeight w:val="283"/>
        </w:trPr>
        <w:tc>
          <w:tcPr>
            <w:tcW w:w="594" w:type="pct"/>
            <w:tcBorders>
              <w:top w:val="nil"/>
              <w:left w:val="nil"/>
              <w:bottom w:val="nil"/>
              <w:right w:val="nil"/>
            </w:tcBorders>
            <w:shd w:val="clear" w:color="000000" w:fill="005CA9"/>
            <w:vAlign w:val="center"/>
            <w:hideMark/>
          </w:tcPr>
          <w:p w14:paraId="3F4D5D54" w14:textId="77777777" w:rsidR="00833A6E" w:rsidRPr="00833A6E" w:rsidRDefault="00833A6E" w:rsidP="00833A6E">
            <w:pPr>
              <w:rPr>
                <w:rFonts w:ascii="CAIXA Std Book" w:eastAsia="Times New Roman" w:hAnsi="CAIXA Std Book" w:cs="Calibri"/>
                <w:b/>
                <w:bCs/>
                <w:color w:val="FFFFFF"/>
                <w:sz w:val="16"/>
                <w:szCs w:val="16"/>
              </w:rPr>
            </w:pPr>
            <w:r w:rsidRPr="00833A6E">
              <w:rPr>
                <w:rFonts w:ascii="CAIXA Std Book" w:eastAsia="Times New Roman" w:hAnsi="CAIXA Std Book" w:cs="Calibri"/>
                <w:b/>
                <w:bCs/>
                <w:color w:val="FFFFFF"/>
                <w:sz w:val="16"/>
                <w:szCs w:val="16"/>
              </w:rPr>
              <w:t>Total</w:t>
            </w:r>
          </w:p>
        </w:tc>
        <w:tc>
          <w:tcPr>
            <w:tcW w:w="817" w:type="pct"/>
            <w:tcBorders>
              <w:top w:val="nil"/>
              <w:left w:val="nil"/>
              <w:bottom w:val="nil"/>
              <w:right w:val="nil"/>
            </w:tcBorders>
            <w:shd w:val="clear" w:color="000000" w:fill="005CA9"/>
            <w:vAlign w:val="center"/>
            <w:hideMark/>
          </w:tcPr>
          <w:p w14:paraId="16023D1B" w14:textId="77777777" w:rsidR="00833A6E" w:rsidRPr="00833A6E" w:rsidRDefault="00833A6E" w:rsidP="00833A6E">
            <w:pPr>
              <w:jc w:val="center"/>
              <w:rPr>
                <w:rFonts w:ascii="CAIXA Std Book" w:eastAsia="Times New Roman" w:hAnsi="CAIXA Std Book" w:cs="Calibri"/>
                <w:b/>
                <w:bCs/>
                <w:color w:val="FFFFFF"/>
                <w:sz w:val="16"/>
                <w:szCs w:val="16"/>
              </w:rPr>
            </w:pPr>
            <w:r w:rsidRPr="00833A6E">
              <w:rPr>
                <w:rFonts w:ascii="CAIXA Std Book" w:eastAsia="Times New Roman" w:hAnsi="CAIXA Std Book" w:cs="Calibri"/>
                <w:b/>
                <w:bCs/>
                <w:color w:val="FFFFFF"/>
                <w:sz w:val="16"/>
                <w:szCs w:val="16"/>
              </w:rPr>
              <w:t> </w:t>
            </w:r>
          </w:p>
        </w:tc>
        <w:tc>
          <w:tcPr>
            <w:tcW w:w="692" w:type="pct"/>
            <w:tcBorders>
              <w:top w:val="nil"/>
              <w:left w:val="nil"/>
              <w:bottom w:val="nil"/>
              <w:right w:val="nil"/>
            </w:tcBorders>
            <w:shd w:val="clear" w:color="000000" w:fill="005CA9"/>
            <w:vAlign w:val="center"/>
            <w:hideMark/>
          </w:tcPr>
          <w:p w14:paraId="6EEEE343" w14:textId="77777777" w:rsidR="00833A6E" w:rsidRPr="00833A6E" w:rsidRDefault="00833A6E" w:rsidP="00833A6E">
            <w:pPr>
              <w:jc w:val="center"/>
              <w:rPr>
                <w:rFonts w:ascii="CAIXA Std Book" w:eastAsia="Times New Roman" w:hAnsi="CAIXA Std Book" w:cs="Calibri"/>
                <w:b/>
                <w:bCs/>
                <w:color w:val="FFFFFF"/>
                <w:sz w:val="16"/>
                <w:szCs w:val="16"/>
              </w:rPr>
            </w:pPr>
            <w:r w:rsidRPr="00833A6E">
              <w:rPr>
                <w:rFonts w:ascii="CAIXA Std Book" w:eastAsia="Times New Roman" w:hAnsi="CAIXA Std Book" w:cs="Calibri"/>
                <w:b/>
                <w:bCs/>
                <w:color w:val="FFFFFF"/>
                <w:sz w:val="16"/>
                <w:szCs w:val="16"/>
              </w:rPr>
              <w:t> </w:t>
            </w:r>
          </w:p>
        </w:tc>
        <w:tc>
          <w:tcPr>
            <w:tcW w:w="577" w:type="pct"/>
            <w:tcBorders>
              <w:top w:val="nil"/>
              <w:left w:val="nil"/>
              <w:bottom w:val="nil"/>
              <w:right w:val="nil"/>
            </w:tcBorders>
            <w:shd w:val="clear" w:color="000000" w:fill="005CA9"/>
            <w:vAlign w:val="center"/>
            <w:hideMark/>
          </w:tcPr>
          <w:p w14:paraId="5D9172DB" w14:textId="77777777" w:rsidR="00833A6E" w:rsidRPr="00833A6E" w:rsidRDefault="00833A6E" w:rsidP="00833A6E">
            <w:pPr>
              <w:jc w:val="right"/>
              <w:rPr>
                <w:rFonts w:ascii="CAIXA Std Book" w:eastAsia="Times New Roman" w:hAnsi="CAIXA Std Book" w:cs="Calibri"/>
                <w:b/>
                <w:bCs/>
                <w:color w:val="FFFFFF"/>
                <w:sz w:val="16"/>
                <w:szCs w:val="16"/>
              </w:rPr>
            </w:pPr>
            <w:r w:rsidRPr="00833A6E">
              <w:rPr>
                <w:rFonts w:ascii="CAIXA Std Book" w:eastAsia="Times New Roman" w:hAnsi="CAIXA Std Book" w:cs="Calibri"/>
                <w:b/>
                <w:bCs/>
                <w:color w:val="FFFFFF"/>
                <w:sz w:val="16"/>
                <w:szCs w:val="16"/>
              </w:rPr>
              <w:t>33.368.000</w:t>
            </w:r>
          </w:p>
        </w:tc>
        <w:tc>
          <w:tcPr>
            <w:tcW w:w="577" w:type="pct"/>
            <w:tcBorders>
              <w:top w:val="nil"/>
              <w:left w:val="nil"/>
              <w:bottom w:val="nil"/>
              <w:right w:val="nil"/>
            </w:tcBorders>
            <w:shd w:val="clear" w:color="000000" w:fill="005CA9"/>
            <w:vAlign w:val="center"/>
            <w:hideMark/>
          </w:tcPr>
          <w:p w14:paraId="2FF01C98" w14:textId="77777777" w:rsidR="00833A6E" w:rsidRPr="00833A6E" w:rsidRDefault="00833A6E" w:rsidP="00833A6E">
            <w:pPr>
              <w:jc w:val="right"/>
              <w:rPr>
                <w:rFonts w:ascii="CAIXA Std Book" w:eastAsia="Times New Roman" w:hAnsi="CAIXA Std Book" w:cs="Calibri"/>
                <w:b/>
                <w:bCs/>
                <w:color w:val="FFFFFF"/>
                <w:sz w:val="16"/>
                <w:szCs w:val="16"/>
              </w:rPr>
            </w:pPr>
            <w:r w:rsidRPr="00833A6E">
              <w:rPr>
                <w:rFonts w:ascii="CAIXA Std Book" w:eastAsia="Times New Roman" w:hAnsi="CAIXA Std Book" w:cs="Calibri"/>
                <w:b/>
                <w:bCs/>
                <w:color w:val="FFFFFF"/>
                <w:sz w:val="16"/>
                <w:szCs w:val="16"/>
              </w:rPr>
              <w:t>18.056.839</w:t>
            </w:r>
          </w:p>
        </w:tc>
        <w:tc>
          <w:tcPr>
            <w:tcW w:w="586" w:type="pct"/>
            <w:tcBorders>
              <w:top w:val="nil"/>
              <w:left w:val="nil"/>
              <w:bottom w:val="nil"/>
              <w:right w:val="nil"/>
            </w:tcBorders>
            <w:shd w:val="clear" w:color="000000" w:fill="005CA9"/>
            <w:vAlign w:val="center"/>
            <w:hideMark/>
          </w:tcPr>
          <w:p w14:paraId="2985AF50" w14:textId="77777777" w:rsidR="00833A6E" w:rsidRPr="00833A6E" w:rsidRDefault="00833A6E" w:rsidP="00833A6E">
            <w:pPr>
              <w:jc w:val="center"/>
              <w:rPr>
                <w:rFonts w:ascii="CAIXA Std Book" w:eastAsia="Times New Roman" w:hAnsi="CAIXA Std Book" w:cs="Calibri"/>
                <w:b/>
                <w:bCs/>
                <w:color w:val="FFFFFF"/>
                <w:sz w:val="16"/>
                <w:szCs w:val="16"/>
              </w:rPr>
            </w:pPr>
            <w:r w:rsidRPr="00833A6E">
              <w:rPr>
                <w:rFonts w:ascii="CAIXA Std Book" w:eastAsia="Times New Roman" w:hAnsi="CAIXA Std Book" w:cs="Calibri"/>
                <w:b/>
                <w:bCs/>
                <w:color w:val="FFFFFF"/>
                <w:sz w:val="16"/>
                <w:szCs w:val="16"/>
              </w:rPr>
              <w:t>(10.095.491)</w:t>
            </w:r>
          </w:p>
        </w:tc>
        <w:tc>
          <w:tcPr>
            <w:tcW w:w="578" w:type="pct"/>
            <w:tcBorders>
              <w:top w:val="nil"/>
              <w:left w:val="nil"/>
              <w:bottom w:val="nil"/>
              <w:right w:val="nil"/>
            </w:tcBorders>
            <w:shd w:val="clear" w:color="000000" w:fill="005CA9"/>
            <w:vAlign w:val="center"/>
            <w:hideMark/>
          </w:tcPr>
          <w:p w14:paraId="08A35D78" w14:textId="77777777" w:rsidR="00833A6E" w:rsidRPr="00833A6E" w:rsidRDefault="00833A6E" w:rsidP="00833A6E">
            <w:pPr>
              <w:jc w:val="right"/>
              <w:rPr>
                <w:rFonts w:ascii="CAIXA Std Book" w:eastAsia="Times New Roman" w:hAnsi="CAIXA Std Book" w:cs="Calibri"/>
                <w:b/>
                <w:bCs/>
                <w:color w:val="FFFFFF"/>
                <w:sz w:val="16"/>
                <w:szCs w:val="16"/>
              </w:rPr>
            </w:pPr>
            <w:r w:rsidRPr="00833A6E">
              <w:rPr>
                <w:rFonts w:ascii="CAIXA Std Book" w:eastAsia="Times New Roman" w:hAnsi="CAIXA Std Book" w:cs="Calibri"/>
                <w:b/>
                <w:bCs/>
                <w:color w:val="FFFFFF"/>
                <w:sz w:val="16"/>
                <w:szCs w:val="16"/>
              </w:rPr>
              <w:t>41.329.348</w:t>
            </w:r>
          </w:p>
        </w:tc>
        <w:tc>
          <w:tcPr>
            <w:tcW w:w="579" w:type="pct"/>
            <w:tcBorders>
              <w:top w:val="nil"/>
              <w:left w:val="nil"/>
              <w:bottom w:val="nil"/>
              <w:right w:val="nil"/>
            </w:tcBorders>
            <w:shd w:val="clear" w:color="000000" w:fill="005CA9"/>
            <w:vAlign w:val="center"/>
            <w:hideMark/>
          </w:tcPr>
          <w:p w14:paraId="7E456A0E" w14:textId="77777777" w:rsidR="00833A6E" w:rsidRPr="00833A6E" w:rsidRDefault="00833A6E" w:rsidP="00833A6E">
            <w:pPr>
              <w:jc w:val="right"/>
              <w:rPr>
                <w:rFonts w:ascii="CAIXA Std Book" w:eastAsia="Times New Roman" w:hAnsi="CAIXA Std Book" w:cs="Calibri"/>
                <w:b/>
                <w:bCs/>
                <w:color w:val="FFFFFF"/>
                <w:sz w:val="16"/>
                <w:szCs w:val="16"/>
              </w:rPr>
            </w:pPr>
            <w:r w:rsidRPr="00833A6E">
              <w:rPr>
                <w:rFonts w:ascii="CAIXA Std Book" w:eastAsia="Times New Roman" w:hAnsi="CAIXA Std Book" w:cs="Calibri"/>
                <w:b/>
                <w:bCs/>
                <w:color w:val="FFFFFF"/>
                <w:sz w:val="16"/>
                <w:szCs w:val="16"/>
              </w:rPr>
              <w:t>41.138.493</w:t>
            </w:r>
          </w:p>
        </w:tc>
      </w:tr>
    </w:tbl>
    <w:p w14:paraId="6A111779" w14:textId="337F10E9" w:rsidR="001D6500" w:rsidRDefault="006325C1" w:rsidP="001D6500">
      <w:pPr>
        <w:jc w:val="both"/>
        <w:rPr>
          <w:rFonts w:ascii="CAIXA Std Book" w:hAnsi="CAIXA Std Book"/>
          <w:bCs/>
          <w:color w:val="005CA9"/>
          <w:sz w:val="16"/>
          <w:szCs w:val="16"/>
        </w:rPr>
      </w:pPr>
      <w:r w:rsidRPr="00B04D8D">
        <w:rPr>
          <w:rFonts w:ascii="CAIXA Std Book" w:hAnsi="CAIXA Std Book"/>
          <w:bCs/>
          <w:color w:val="005CA9"/>
          <w:sz w:val="16"/>
          <w:szCs w:val="16"/>
        </w:rPr>
        <w:t>(1) A composição do P</w:t>
      </w:r>
      <w:r w:rsidR="00C90C67">
        <w:rPr>
          <w:rFonts w:ascii="CAIXA Std Book" w:hAnsi="CAIXA Std Book"/>
          <w:bCs/>
          <w:color w:val="005CA9"/>
          <w:sz w:val="16"/>
          <w:szCs w:val="16"/>
        </w:rPr>
        <w:t>atrimônio de Referência</w:t>
      </w:r>
      <w:r w:rsidRPr="00B04D8D">
        <w:rPr>
          <w:rFonts w:ascii="CAIXA Std Book" w:hAnsi="CAIXA Std Book"/>
          <w:bCs/>
          <w:color w:val="005CA9"/>
          <w:sz w:val="16"/>
          <w:szCs w:val="16"/>
        </w:rPr>
        <w:t xml:space="preserve"> está detalhad</w:t>
      </w:r>
      <w:r w:rsidR="00C90C67">
        <w:rPr>
          <w:rFonts w:ascii="CAIXA Std Book" w:hAnsi="CAIXA Std Book"/>
          <w:bCs/>
          <w:color w:val="005CA9"/>
          <w:sz w:val="16"/>
          <w:szCs w:val="16"/>
        </w:rPr>
        <w:t>a</w:t>
      </w:r>
      <w:r w:rsidRPr="00B04D8D">
        <w:rPr>
          <w:rFonts w:ascii="CAIXA Std Book" w:hAnsi="CAIXA Std Book"/>
          <w:bCs/>
          <w:color w:val="005CA9"/>
          <w:sz w:val="16"/>
          <w:szCs w:val="16"/>
        </w:rPr>
        <w:t xml:space="preserve"> na </w:t>
      </w:r>
      <w:r w:rsidRPr="003D107C">
        <w:rPr>
          <w:rFonts w:ascii="CAIXA Std Book" w:hAnsi="CAIXA Std Book"/>
          <w:color w:val="005CA9"/>
          <w:sz w:val="16"/>
          <w:szCs w:val="16"/>
        </w:rPr>
        <w:t>Nota Explicativa 33 (</w:t>
      </w:r>
      <w:r w:rsidR="00CA7673">
        <w:rPr>
          <w:rFonts w:ascii="CAIXA Std Book" w:hAnsi="CAIXA Std Book"/>
          <w:color w:val="005CA9"/>
          <w:sz w:val="16"/>
          <w:szCs w:val="16"/>
        </w:rPr>
        <w:t>d</w:t>
      </w:r>
      <w:r w:rsidRPr="003D107C">
        <w:rPr>
          <w:rFonts w:ascii="CAIXA Std Book" w:hAnsi="CAIXA Std Book"/>
          <w:color w:val="005CA9"/>
          <w:sz w:val="16"/>
          <w:szCs w:val="16"/>
        </w:rPr>
        <w:t>)</w:t>
      </w:r>
      <w:r w:rsidRPr="00BF2E88">
        <w:rPr>
          <w:rFonts w:ascii="CAIXA Std Book" w:hAnsi="CAIXA Std Book"/>
          <w:bCs/>
          <w:color w:val="005CA9"/>
          <w:sz w:val="16"/>
          <w:szCs w:val="16"/>
        </w:rPr>
        <w:t>.</w:t>
      </w:r>
    </w:p>
    <w:p w14:paraId="30C31935" w14:textId="3199885D" w:rsidR="005D3414" w:rsidRPr="001D6500" w:rsidRDefault="001D6500" w:rsidP="001D6500">
      <w:pPr>
        <w:spacing w:after="240"/>
        <w:jc w:val="both"/>
        <w:rPr>
          <w:rFonts w:ascii="CAIXA Std Book" w:hAnsi="CAIXA Std Book"/>
          <w:color w:val="005CA9"/>
          <w:sz w:val="16"/>
          <w:szCs w:val="16"/>
        </w:rPr>
      </w:pPr>
      <w:r>
        <w:rPr>
          <w:rFonts w:ascii="CAIXA Std Book" w:hAnsi="CAIXA Std Book"/>
          <w:bCs/>
          <w:color w:val="005CA9"/>
          <w:sz w:val="16"/>
          <w:szCs w:val="16"/>
        </w:rPr>
        <w:t xml:space="preserve">(2) </w:t>
      </w:r>
      <w:r w:rsidR="005D3414" w:rsidRPr="001D6500">
        <w:rPr>
          <w:rFonts w:ascii="CAIXA Std Book" w:hAnsi="CAIXA Std Book"/>
          <w:color w:val="005CA9"/>
          <w:sz w:val="16"/>
          <w:szCs w:val="16"/>
        </w:rPr>
        <w:t xml:space="preserve">Os juros remuneratórios a pagar dos Instrumentos Subordinados elegíveis a Capital Complementar, totalizaram um montante de R$ </w:t>
      </w:r>
      <w:r w:rsidR="00AE3903" w:rsidRPr="001D6500">
        <w:rPr>
          <w:rFonts w:ascii="CAIXA Std Book" w:hAnsi="CAIXA Std Book"/>
          <w:color w:val="005CA9"/>
          <w:sz w:val="16"/>
          <w:szCs w:val="16"/>
        </w:rPr>
        <w:t>451.363</w:t>
      </w:r>
      <w:r w:rsidR="005D3414" w:rsidRPr="001D6500">
        <w:rPr>
          <w:rFonts w:ascii="CAIXA Std Book" w:hAnsi="CAIXA Std Book"/>
          <w:color w:val="005CA9"/>
          <w:sz w:val="16"/>
          <w:szCs w:val="16"/>
        </w:rPr>
        <w:t xml:space="preserve"> em 3</w:t>
      </w:r>
      <w:r w:rsidR="00490B27" w:rsidRPr="001D6500">
        <w:rPr>
          <w:rFonts w:ascii="CAIXA Std Book" w:hAnsi="CAIXA Std Book"/>
          <w:color w:val="005CA9"/>
          <w:sz w:val="16"/>
          <w:szCs w:val="16"/>
        </w:rPr>
        <w:t>1</w:t>
      </w:r>
      <w:r w:rsidR="005D3414" w:rsidRPr="001D6500">
        <w:rPr>
          <w:rFonts w:ascii="CAIXA Std Book" w:hAnsi="CAIXA Std Book"/>
          <w:color w:val="005CA9"/>
          <w:sz w:val="16"/>
          <w:szCs w:val="16"/>
        </w:rPr>
        <w:t>/</w:t>
      </w:r>
      <w:r w:rsidR="005A7D23" w:rsidRPr="001D6500">
        <w:rPr>
          <w:rFonts w:ascii="CAIXA Std Book" w:hAnsi="CAIXA Std Book"/>
          <w:color w:val="005CA9"/>
          <w:sz w:val="16"/>
          <w:szCs w:val="16"/>
        </w:rPr>
        <w:t>03</w:t>
      </w:r>
      <w:r w:rsidR="005D3414" w:rsidRPr="001D6500">
        <w:rPr>
          <w:rFonts w:ascii="CAIXA Std Book" w:hAnsi="CAIXA Std Book"/>
          <w:color w:val="005CA9"/>
          <w:sz w:val="16"/>
          <w:szCs w:val="16"/>
        </w:rPr>
        <w:t>/202</w:t>
      </w:r>
      <w:r w:rsidR="005A7D23" w:rsidRPr="001D6500">
        <w:rPr>
          <w:rFonts w:ascii="CAIXA Std Book" w:hAnsi="CAIXA Std Book"/>
          <w:color w:val="005CA9"/>
          <w:sz w:val="16"/>
          <w:szCs w:val="16"/>
        </w:rPr>
        <w:t>6</w:t>
      </w:r>
      <w:r w:rsidR="005527E3" w:rsidRPr="001D6500">
        <w:rPr>
          <w:rFonts w:ascii="CAIXA Std Book" w:hAnsi="CAIXA Std Book"/>
          <w:color w:val="005CA9"/>
          <w:sz w:val="16"/>
          <w:szCs w:val="16"/>
        </w:rPr>
        <w:t xml:space="preserve"> (</w:t>
      </w:r>
      <w:r w:rsidR="00762596" w:rsidRPr="001D6500">
        <w:rPr>
          <w:rFonts w:ascii="CAIXA Std Book" w:hAnsi="CAIXA Std Book"/>
          <w:color w:val="005CA9"/>
          <w:sz w:val="16"/>
          <w:szCs w:val="16"/>
        </w:rPr>
        <w:t xml:space="preserve">31/12/2025 – R$ </w:t>
      </w:r>
      <w:r w:rsidR="002641E1" w:rsidRPr="001D6500">
        <w:rPr>
          <w:rFonts w:ascii="CAIXA Std Book" w:hAnsi="CAIXA Std Book"/>
          <w:color w:val="005CA9"/>
          <w:sz w:val="16"/>
          <w:szCs w:val="16"/>
        </w:rPr>
        <w:t>167.712</w:t>
      </w:r>
      <w:r w:rsidR="00762596" w:rsidRPr="001D6500">
        <w:rPr>
          <w:rFonts w:ascii="CAIXA Std Book" w:hAnsi="CAIXA Std Book"/>
          <w:color w:val="005CA9"/>
          <w:sz w:val="16"/>
          <w:szCs w:val="16"/>
        </w:rPr>
        <w:t>)</w:t>
      </w:r>
      <w:r w:rsidR="005D3414" w:rsidRPr="001D6500">
        <w:rPr>
          <w:rFonts w:ascii="CAIXA Std Book" w:hAnsi="CAIXA Std Book"/>
          <w:color w:val="005CA9"/>
          <w:sz w:val="16"/>
          <w:szCs w:val="16"/>
        </w:rPr>
        <w:t>.</w:t>
      </w:r>
    </w:p>
    <w:p w14:paraId="44A6ADFB" w14:textId="77777777" w:rsidR="00E65D02" w:rsidRPr="008A11EC" w:rsidRDefault="00E65D02" w:rsidP="00E65D02">
      <w:pPr>
        <w:pStyle w:val="PargrafodaLista"/>
        <w:numPr>
          <w:ilvl w:val="0"/>
          <w:numId w:val="24"/>
        </w:numPr>
        <w:spacing w:before="240" w:after="120"/>
        <w:ind w:left="567" w:hanging="567"/>
        <w:jc w:val="both"/>
        <w:rPr>
          <w:rFonts w:ascii="CAIXA Std Book" w:hAnsi="CAIXA Std Book"/>
          <w:b/>
          <w:color w:val="005CA9"/>
          <w:sz w:val="20"/>
          <w:szCs w:val="20"/>
        </w:rPr>
      </w:pPr>
      <w:r w:rsidRPr="008A11EC">
        <w:rPr>
          <w:rFonts w:ascii="CAIXA Std Book" w:hAnsi="CAIXA Std Book"/>
          <w:b/>
          <w:color w:val="005CA9"/>
          <w:sz w:val="20"/>
          <w:szCs w:val="20"/>
        </w:rPr>
        <w:t xml:space="preserve">Instrumentos </w:t>
      </w:r>
      <w:r>
        <w:rPr>
          <w:rFonts w:ascii="CAIXA Std Book" w:hAnsi="CAIXA Std Book"/>
          <w:b/>
          <w:color w:val="005CA9"/>
          <w:sz w:val="20"/>
          <w:szCs w:val="20"/>
        </w:rPr>
        <w:t xml:space="preserve">híbridos de capital </w:t>
      </w:r>
      <w:r w:rsidRPr="008A11EC">
        <w:rPr>
          <w:rFonts w:ascii="CAIXA Std Book" w:hAnsi="CAIXA Std Book"/>
          <w:b/>
          <w:color w:val="005CA9"/>
          <w:sz w:val="20"/>
          <w:szCs w:val="20"/>
        </w:rPr>
        <w:t>e dívida elegíveis ao capital</w:t>
      </w:r>
      <w:r>
        <w:rPr>
          <w:rFonts w:ascii="CAIXA Std Book" w:hAnsi="CAIXA Std Book"/>
          <w:b/>
          <w:color w:val="005CA9"/>
          <w:sz w:val="20"/>
          <w:szCs w:val="20"/>
        </w:rPr>
        <w:t xml:space="preserve"> - IHCD</w:t>
      </w:r>
    </w:p>
    <w:tbl>
      <w:tblPr>
        <w:tblW w:w="5000" w:type="pct"/>
        <w:tblCellMar>
          <w:left w:w="70" w:type="dxa"/>
          <w:right w:w="70" w:type="dxa"/>
        </w:tblCellMar>
        <w:tblLook w:val="04A0" w:firstRow="1" w:lastRow="0" w:firstColumn="1" w:lastColumn="0" w:noHBand="0" w:noVBand="1"/>
      </w:tblPr>
      <w:tblGrid>
        <w:gridCol w:w="4802"/>
        <w:gridCol w:w="2418"/>
        <w:gridCol w:w="2417"/>
      </w:tblGrid>
      <w:tr w:rsidR="00E65D02" w:rsidRPr="0047781C" w14:paraId="04696D29" w14:textId="77777777" w:rsidTr="00E65D02">
        <w:trPr>
          <w:trHeight w:val="283"/>
        </w:trPr>
        <w:tc>
          <w:tcPr>
            <w:tcW w:w="2491" w:type="pct"/>
            <w:tcBorders>
              <w:top w:val="nil"/>
              <w:left w:val="nil"/>
              <w:bottom w:val="nil"/>
              <w:right w:val="nil"/>
            </w:tcBorders>
            <w:shd w:val="clear" w:color="000000" w:fill="005CA9"/>
            <w:noWrap/>
            <w:vAlign w:val="center"/>
            <w:hideMark/>
          </w:tcPr>
          <w:p w14:paraId="496D5677" w14:textId="77777777" w:rsidR="00E65D02" w:rsidRPr="0047781C" w:rsidRDefault="00E65D02">
            <w:pPr>
              <w:jc w:val="center"/>
              <w:rPr>
                <w:rFonts w:ascii="CAIXA Std Book" w:eastAsia="Times New Roman" w:hAnsi="CAIXA Std Book" w:cs="Calibri"/>
                <w:b/>
                <w:bCs/>
                <w:color w:val="FFFFFF"/>
                <w:sz w:val="18"/>
                <w:szCs w:val="18"/>
              </w:rPr>
            </w:pPr>
            <w:r w:rsidRPr="0047781C">
              <w:rPr>
                <w:rFonts w:ascii="CAIXA Std Book" w:eastAsia="Times New Roman" w:hAnsi="CAIXA Std Book" w:cs="Calibri"/>
                <w:b/>
                <w:bCs/>
                <w:color w:val="FFFFFF"/>
                <w:sz w:val="18"/>
                <w:szCs w:val="18"/>
              </w:rPr>
              <w:t>Descrição</w:t>
            </w:r>
          </w:p>
        </w:tc>
        <w:tc>
          <w:tcPr>
            <w:tcW w:w="1254" w:type="pct"/>
            <w:tcBorders>
              <w:top w:val="nil"/>
              <w:left w:val="nil"/>
              <w:bottom w:val="nil"/>
              <w:right w:val="nil"/>
            </w:tcBorders>
            <w:shd w:val="clear" w:color="000000" w:fill="005CA9"/>
            <w:vAlign w:val="center"/>
            <w:hideMark/>
          </w:tcPr>
          <w:p w14:paraId="029AFCBC" w14:textId="77777777" w:rsidR="00E65D02" w:rsidRPr="0047781C" w:rsidRDefault="00E65D02">
            <w:pPr>
              <w:jc w:val="center"/>
              <w:rPr>
                <w:rFonts w:ascii="CAIXA Std Book" w:eastAsia="Times New Roman" w:hAnsi="CAIXA Std Book" w:cs="Calibri"/>
                <w:b/>
                <w:bCs/>
                <w:color w:val="FFFFFF"/>
                <w:sz w:val="18"/>
                <w:szCs w:val="18"/>
              </w:rPr>
            </w:pPr>
            <w:r w:rsidRPr="0047781C">
              <w:rPr>
                <w:rFonts w:ascii="CAIXA Std Book" w:eastAsia="Times New Roman" w:hAnsi="CAIXA Std Book" w:cs="Calibri"/>
                <w:b/>
                <w:bCs/>
                <w:color w:val="FFFFFF"/>
                <w:sz w:val="18"/>
                <w:szCs w:val="18"/>
              </w:rPr>
              <w:t>31/03/2026</w:t>
            </w:r>
          </w:p>
        </w:tc>
        <w:tc>
          <w:tcPr>
            <w:tcW w:w="1254" w:type="pct"/>
            <w:tcBorders>
              <w:top w:val="nil"/>
              <w:left w:val="nil"/>
              <w:bottom w:val="nil"/>
              <w:right w:val="nil"/>
            </w:tcBorders>
            <w:shd w:val="clear" w:color="000000" w:fill="005CA9"/>
            <w:vAlign w:val="center"/>
            <w:hideMark/>
          </w:tcPr>
          <w:p w14:paraId="0EDE622F" w14:textId="77777777" w:rsidR="00E65D02" w:rsidRPr="0047781C" w:rsidRDefault="00E65D02">
            <w:pPr>
              <w:jc w:val="center"/>
              <w:rPr>
                <w:rFonts w:ascii="CAIXA Std Book" w:eastAsia="Times New Roman" w:hAnsi="CAIXA Std Book" w:cs="Calibri"/>
                <w:b/>
                <w:bCs/>
                <w:color w:val="FFFFFF"/>
                <w:sz w:val="18"/>
                <w:szCs w:val="18"/>
              </w:rPr>
            </w:pPr>
            <w:r w:rsidRPr="0047781C">
              <w:rPr>
                <w:rFonts w:ascii="CAIXA Std Book" w:eastAsia="Times New Roman" w:hAnsi="CAIXA Std Book" w:cs="Calibri"/>
                <w:b/>
                <w:bCs/>
                <w:color w:val="FFFFFF"/>
                <w:sz w:val="18"/>
                <w:szCs w:val="18"/>
              </w:rPr>
              <w:t>31/12/2025</w:t>
            </w:r>
          </w:p>
        </w:tc>
      </w:tr>
      <w:tr w:rsidR="00E65D02" w:rsidRPr="0047781C" w14:paraId="4061DD89" w14:textId="77777777" w:rsidTr="00E65D02">
        <w:trPr>
          <w:trHeight w:val="283"/>
        </w:trPr>
        <w:tc>
          <w:tcPr>
            <w:tcW w:w="2491" w:type="pct"/>
            <w:tcBorders>
              <w:top w:val="nil"/>
              <w:left w:val="nil"/>
              <w:bottom w:val="nil"/>
              <w:right w:val="nil"/>
            </w:tcBorders>
            <w:noWrap/>
            <w:vAlign w:val="bottom"/>
            <w:hideMark/>
          </w:tcPr>
          <w:p w14:paraId="5B8D7E55" w14:textId="77777777" w:rsidR="00E65D02" w:rsidRPr="0047781C" w:rsidRDefault="00E65D02">
            <w:pPr>
              <w:rPr>
                <w:rFonts w:ascii="CAIXA Std Book" w:eastAsia="Times New Roman" w:hAnsi="CAIXA Std Book" w:cs="Calibri"/>
                <w:color w:val="005CA9"/>
                <w:sz w:val="18"/>
                <w:szCs w:val="18"/>
              </w:rPr>
            </w:pPr>
            <w:r w:rsidRPr="0047781C">
              <w:rPr>
                <w:rFonts w:ascii="CAIXA Std Book" w:eastAsia="Times New Roman" w:hAnsi="CAIXA Std Book" w:cs="Calibri"/>
                <w:color w:val="005CA9"/>
                <w:sz w:val="18"/>
                <w:szCs w:val="18"/>
              </w:rPr>
              <w:t>Contrato 348/2007</w:t>
            </w:r>
          </w:p>
        </w:tc>
        <w:tc>
          <w:tcPr>
            <w:tcW w:w="1254" w:type="pct"/>
            <w:tcBorders>
              <w:top w:val="nil"/>
              <w:left w:val="nil"/>
              <w:bottom w:val="nil"/>
              <w:right w:val="nil"/>
            </w:tcBorders>
            <w:vAlign w:val="center"/>
            <w:hideMark/>
          </w:tcPr>
          <w:p w14:paraId="5E3464CF" w14:textId="77777777" w:rsidR="00E65D02" w:rsidRPr="0047781C" w:rsidRDefault="00E65D02">
            <w:pPr>
              <w:jc w:val="right"/>
              <w:rPr>
                <w:rFonts w:ascii="CAIXA Std Book" w:eastAsia="Times New Roman" w:hAnsi="CAIXA Std Book" w:cs="Calibri"/>
                <w:color w:val="005CA9"/>
                <w:sz w:val="18"/>
                <w:szCs w:val="18"/>
              </w:rPr>
            </w:pPr>
            <w:r w:rsidRPr="0047781C">
              <w:rPr>
                <w:rFonts w:ascii="CAIXA Std Book" w:eastAsia="Times New Roman" w:hAnsi="CAIXA Std Book" w:cs="Calibri"/>
                <w:color w:val="005CA9"/>
                <w:sz w:val="18"/>
                <w:szCs w:val="18"/>
              </w:rPr>
              <w:t>17.441.272</w:t>
            </w:r>
          </w:p>
        </w:tc>
        <w:tc>
          <w:tcPr>
            <w:tcW w:w="1254" w:type="pct"/>
            <w:tcBorders>
              <w:top w:val="nil"/>
              <w:left w:val="nil"/>
              <w:bottom w:val="nil"/>
              <w:right w:val="nil"/>
            </w:tcBorders>
            <w:vAlign w:val="center"/>
            <w:hideMark/>
          </w:tcPr>
          <w:p w14:paraId="1B0C428D" w14:textId="77777777" w:rsidR="00E65D02" w:rsidRPr="0047781C" w:rsidRDefault="00E65D02">
            <w:pPr>
              <w:jc w:val="right"/>
              <w:rPr>
                <w:rFonts w:ascii="CAIXA Std Book" w:eastAsia="Times New Roman" w:hAnsi="CAIXA Std Book" w:cs="Calibri"/>
                <w:color w:val="005CA9"/>
                <w:sz w:val="18"/>
                <w:szCs w:val="18"/>
              </w:rPr>
            </w:pPr>
            <w:r w:rsidRPr="0047781C">
              <w:rPr>
                <w:rFonts w:ascii="CAIXA Std Book" w:eastAsia="Times New Roman" w:hAnsi="CAIXA Std Book" w:cs="Calibri"/>
                <w:color w:val="005CA9"/>
                <w:sz w:val="18"/>
                <w:szCs w:val="18"/>
              </w:rPr>
              <w:t>17.441.272</w:t>
            </w:r>
          </w:p>
        </w:tc>
      </w:tr>
      <w:tr w:rsidR="00E65D02" w:rsidRPr="0047781C" w14:paraId="229EA6E6" w14:textId="77777777" w:rsidTr="00E65D02">
        <w:trPr>
          <w:trHeight w:val="283"/>
        </w:trPr>
        <w:tc>
          <w:tcPr>
            <w:tcW w:w="2491" w:type="pct"/>
            <w:tcBorders>
              <w:top w:val="nil"/>
              <w:left w:val="nil"/>
              <w:bottom w:val="nil"/>
              <w:right w:val="nil"/>
            </w:tcBorders>
            <w:noWrap/>
            <w:vAlign w:val="center"/>
            <w:hideMark/>
          </w:tcPr>
          <w:p w14:paraId="057CA119" w14:textId="77777777" w:rsidR="00E65D02" w:rsidRPr="0047781C" w:rsidRDefault="00E65D02">
            <w:pPr>
              <w:rPr>
                <w:rFonts w:ascii="CAIXA Std Book" w:eastAsia="Times New Roman" w:hAnsi="CAIXA Std Book" w:cs="Calibri"/>
                <w:color w:val="005CA9"/>
                <w:sz w:val="18"/>
                <w:szCs w:val="18"/>
              </w:rPr>
            </w:pPr>
            <w:r w:rsidRPr="0047781C">
              <w:rPr>
                <w:rFonts w:ascii="CAIXA Std Book" w:eastAsia="Times New Roman" w:hAnsi="CAIXA Std Book" w:cs="Calibri"/>
                <w:color w:val="005CA9"/>
                <w:sz w:val="18"/>
                <w:szCs w:val="18"/>
              </w:rPr>
              <w:t>Contrato 752/2012</w:t>
            </w:r>
          </w:p>
        </w:tc>
        <w:tc>
          <w:tcPr>
            <w:tcW w:w="1254" w:type="pct"/>
            <w:tcBorders>
              <w:top w:val="nil"/>
              <w:left w:val="nil"/>
              <w:bottom w:val="nil"/>
              <w:right w:val="nil"/>
            </w:tcBorders>
            <w:vAlign w:val="center"/>
            <w:hideMark/>
          </w:tcPr>
          <w:p w14:paraId="193CE4C5" w14:textId="77777777" w:rsidR="00E65D02" w:rsidRPr="0047781C" w:rsidRDefault="00E65D02">
            <w:pPr>
              <w:jc w:val="right"/>
              <w:rPr>
                <w:rFonts w:ascii="CAIXA Std Book" w:eastAsia="Times New Roman" w:hAnsi="CAIXA Std Book" w:cs="Calibri"/>
                <w:color w:val="005CA9"/>
                <w:sz w:val="18"/>
                <w:szCs w:val="18"/>
              </w:rPr>
            </w:pPr>
            <w:r w:rsidRPr="0047781C">
              <w:rPr>
                <w:rFonts w:ascii="CAIXA Std Book" w:eastAsia="Times New Roman" w:hAnsi="CAIXA Std Book" w:cs="Calibri"/>
                <w:color w:val="005CA9"/>
                <w:sz w:val="18"/>
                <w:szCs w:val="18"/>
              </w:rPr>
              <w:t>6.800.000</w:t>
            </w:r>
          </w:p>
        </w:tc>
        <w:tc>
          <w:tcPr>
            <w:tcW w:w="1254" w:type="pct"/>
            <w:tcBorders>
              <w:top w:val="nil"/>
              <w:left w:val="nil"/>
              <w:bottom w:val="nil"/>
              <w:right w:val="nil"/>
            </w:tcBorders>
            <w:vAlign w:val="center"/>
            <w:hideMark/>
          </w:tcPr>
          <w:p w14:paraId="5021253E" w14:textId="77777777" w:rsidR="00E65D02" w:rsidRPr="0047781C" w:rsidRDefault="00E65D02">
            <w:pPr>
              <w:jc w:val="right"/>
              <w:rPr>
                <w:rFonts w:ascii="CAIXA Std Book" w:eastAsia="Times New Roman" w:hAnsi="CAIXA Std Book" w:cs="Calibri"/>
                <w:color w:val="005CA9"/>
                <w:sz w:val="18"/>
                <w:szCs w:val="18"/>
              </w:rPr>
            </w:pPr>
            <w:r w:rsidRPr="0047781C">
              <w:rPr>
                <w:rFonts w:ascii="CAIXA Std Book" w:eastAsia="Times New Roman" w:hAnsi="CAIXA Std Book" w:cs="Calibri"/>
                <w:color w:val="005CA9"/>
                <w:sz w:val="18"/>
                <w:szCs w:val="18"/>
              </w:rPr>
              <w:t>6.800.000</w:t>
            </w:r>
          </w:p>
        </w:tc>
      </w:tr>
      <w:tr w:rsidR="00E65D02" w:rsidRPr="0047781C" w14:paraId="530986F8" w14:textId="77777777" w:rsidTr="00E65D02">
        <w:trPr>
          <w:trHeight w:val="283"/>
        </w:trPr>
        <w:tc>
          <w:tcPr>
            <w:tcW w:w="2491" w:type="pct"/>
            <w:tcBorders>
              <w:top w:val="nil"/>
              <w:left w:val="nil"/>
              <w:bottom w:val="nil"/>
              <w:right w:val="nil"/>
            </w:tcBorders>
            <w:noWrap/>
            <w:vAlign w:val="center"/>
            <w:hideMark/>
          </w:tcPr>
          <w:p w14:paraId="3B758432" w14:textId="77777777" w:rsidR="00E65D02" w:rsidRPr="0047781C" w:rsidRDefault="00E65D02">
            <w:pPr>
              <w:rPr>
                <w:rFonts w:ascii="CAIXA Std Book" w:eastAsia="Times New Roman" w:hAnsi="CAIXA Std Book" w:cs="Calibri"/>
                <w:color w:val="005CA9"/>
                <w:sz w:val="18"/>
                <w:szCs w:val="18"/>
              </w:rPr>
            </w:pPr>
            <w:r w:rsidRPr="0047781C">
              <w:rPr>
                <w:rFonts w:ascii="CAIXA Std Book" w:eastAsia="Times New Roman" w:hAnsi="CAIXA Std Book" w:cs="Calibri"/>
                <w:color w:val="005CA9"/>
                <w:sz w:val="18"/>
                <w:szCs w:val="18"/>
              </w:rPr>
              <w:t>Contrato 754/2012</w:t>
            </w:r>
          </w:p>
        </w:tc>
        <w:tc>
          <w:tcPr>
            <w:tcW w:w="1254" w:type="pct"/>
            <w:tcBorders>
              <w:top w:val="nil"/>
              <w:left w:val="nil"/>
              <w:bottom w:val="nil"/>
              <w:right w:val="nil"/>
            </w:tcBorders>
            <w:vAlign w:val="center"/>
            <w:hideMark/>
          </w:tcPr>
          <w:p w14:paraId="265D464F" w14:textId="77777777" w:rsidR="00E65D02" w:rsidRPr="0047781C" w:rsidRDefault="00E65D02">
            <w:pPr>
              <w:jc w:val="right"/>
              <w:rPr>
                <w:rFonts w:ascii="CAIXA Std Book" w:eastAsia="Times New Roman" w:hAnsi="CAIXA Std Book" w:cs="Calibri"/>
                <w:color w:val="005CA9"/>
                <w:sz w:val="18"/>
                <w:szCs w:val="18"/>
              </w:rPr>
            </w:pPr>
            <w:r w:rsidRPr="0047781C">
              <w:rPr>
                <w:rFonts w:ascii="CAIXA Std Book" w:eastAsia="Times New Roman" w:hAnsi="CAIXA Std Book" w:cs="Calibri"/>
                <w:color w:val="005CA9"/>
                <w:sz w:val="18"/>
                <w:szCs w:val="18"/>
              </w:rPr>
              <w:t>6.310.598</w:t>
            </w:r>
          </w:p>
        </w:tc>
        <w:tc>
          <w:tcPr>
            <w:tcW w:w="1254" w:type="pct"/>
            <w:tcBorders>
              <w:top w:val="nil"/>
              <w:left w:val="nil"/>
              <w:bottom w:val="nil"/>
              <w:right w:val="nil"/>
            </w:tcBorders>
            <w:vAlign w:val="center"/>
            <w:hideMark/>
          </w:tcPr>
          <w:p w14:paraId="635F1DDD" w14:textId="77777777" w:rsidR="00E65D02" w:rsidRPr="0047781C" w:rsidRDefault="00E65D02">
            <w:pPr>
              <w:jc w:val="right"/>
              <w:rPr>
                <w:rFonts w:ascii="CAIXA Std Book" w:eastAsia="Times New Roman" w:hAnsi="CAIXA Std Book" w:cs="Calibri"/>
                <w:color w:val="005CA9"/>
                <w:sz w:val="18"/>
                <w:szCs w:val="18"/>
              </w:rPr>
            </w:pPr>
            <w:r w:rsidRPr="0047781C">
              <w:rPr>
                <w:rFonts w:ascii="CAIXA Std Book" w:eastAsia="Times New Roman" w:hAnsi="CAIXA Std Book" w:cs="Calibri"/>
                <w:color w:val="005CA9"/>
                <w:sz w:val="18"/>
                <w:szCs w:val="18"/>
              </w:rPr>
              <w:t>6.310.598</w:t>
            </w:r>
          </w:p>
        </w:tc>
      </w:tr>
      <w:tr w:rsidR="00E65D02" w:rsidRPr="0047781C" w14:paraId="770C389A" w14:textId="77777777" w:rsidTr="00E65D02">
        <w:trPr>
          <w:trHeight w:val="283"/>
        </w:trPr>
        <w:tc>
          <w:tcPr>
            <w:tcW w:w="2491" w:type="pct"/>
            <w:tcBorders>
              <w:top w:val="nil"/>
              <w:left w:val="nil"/>
              <w:bottom w:val="nil"/>
              <w:right w:val="nil"/>
            </w:tcBorders>
            <w:noWrap/>
            <w:vAlign w:val="center"/>
            <w:hideMark/>
          </w:tcPr>
          <w:p w14:paraId="2F8BB036" w14:textId="77777777" w:rsidR="00E65D02" w:rsidRPr="0047781C" w:rsidRDefault="00E65D02">
            <w:pPr>
              <w:rPr>
                <w:rFonts w:ascii="CAIXA Std Book" w:eastAsia="Times New Roman" w:hAnsi="CAIXA Std Book" w:cs="Calibri"/>
                <w:color w:val="005CA9"/>
                <w:sz w:val="18"/>
                <w:szCs w:val="18"/>
              </w:rPr>
            </w:pPr>
            <w:r w:rsidRPr="0047781C">
              <w:rPr>
                <w:rFonts w:ascii="CAIXA Std Book" w:eastAsia="Times New Roman" w:hAnsi="CAIXA Std Book" w:cs="Calibri"/>
                <w:color w:val="005CA9"/>
                <w:sz w:val="18"/>
                <w:szCs w:val="18"/>
              </w:rPr>
              <w:t>Contratos 869/2013</w:t>
            </w:r>
          </w:p>
        </w:tc>
        <w:tc>
          <w:tcPr>
            <w:tcW w:w="1254" w:type="pct"/>
            <w:tcBorders>
              <w:top w:val="nil"/>
              <w:left w:val="nil"/>
              <w:bottom w:val="nil"/>
              <w:right w:val="nil"/>
            </w:tcBorders>
            <w:vAlign w:val="center"/>
            <w:hideMark/>
          </w:tcPr>
          <w:p w14:paraId="1CF3D279" w14:textId="77777777" w:rsidR="00E65D02" w:rsidRPr="0047781C" w:rsidRDefault="00E65D02">
            <w:pPr>
              <w:jc w:val="right"/>
              <w:rPr>
                <w:rFonts w:ascii="CAIXA Std Book" w:eastAsia="Times New Roman" w:hAnsi="CAIXA Std Book" w:cs="Calibri"/>
                <w:color w:val="005CA9"/>
                <w:sz w:val="18"/>
                <w:szCs w:val="18"/>
              </w:rPr>
            </w:pPr>
            <w:r w:rsidRPr="0047781C">
              <w:rPr>
                <w:rFonts w:ascii="CAIXA Std Book" w:eastAsia="Times New Roman" w:hAnsi="CAIXA Std Book" w:cs="Calibri"/>
                <w:color w:val="005CA9"/>
                <w:sz w:val="18"/>
                <w:szCs w:val="18"/>
              </w:rPr>
              <w:t>4.000.000</w:t>
            </w:r>
          </w:p>
        </w:tc>
        <w:tc>
          <w:tcPr>
            <w:tcW w:w="1254" w:type="pct"/>
            <w:tcBorders>
              <w:top w:val="nil"/>
              <w:left w:val="nil"/>
              <w:bottom w:val="nil"/>
              <w:right w:val="nil"/>
            </w:tcBorders>
            <w:vAlign w:val="center"/>
            <w:hideMark/>
          </w:tcPr>
          <w:p w14:paraId="50DE310A" w14:textId="77777777" w:rsidR="00E65D02" w:rsidRPr="0047781C" w:rsidRDefault="00E65D02">
            <w:pPr>
              <w:jc w:val="right"/>
              <w:rPr>
                <w:rFonts w:ascii="CAIXA Std Book" w:eastAsia="Times New Roman" w:hAnsi="CAIXA Std Book" w:cs="Calibri"/>
                <w:color w:val="005CA9"/>
                <w:sz w:val="18"/>
                <w:szCs w:val="18"/>
              </w:rPr>
            </w:pPr>
            <w:r w:rsidRPr="0047781C">
              <w:rPr>
                <w:rFonts w:ascii="CAIXA Std Book" w:eastAsia="Times New Roman" w:hAnsi="CAIXA Std Book" w:cs="Calibri"/>
                <w:color w:val="005CA9"/>
                <w:sz w:val="18"/>
                <w:szCs w:val="18"/>
              </w:rPr>
              <w:t>4.000.000</w:t>
            </w:r>
          </w:p>
        </w:tc>
      </w:tr>
      <w:tr w:rsidR="00E65D02" w:rsidRPr="0047781C" w14:paraId="5C65FDC7" w14:textId="77777777" w:rsidTr="00E65D02">
        <w:trPr>
          <w:trHeight w:val="283"/>
        </w:trPr>
        <w:tc>
          <w:tcPr>
            <w:tcW w:w="2491" w:type="pct"/>
            <w:tcBorders>
              <w:top w:val="nil"/>
              <w:left w:val="nil"/>
              <w:bottom w:val="nil"/>
              <w:right w:val="nil"/>
            </w:tcBorders>
            <w:shd w:val="clear" w:color="000000" w:fill="005CA9"/>
            <w:noWrap/>
            <w:vAlign w:val="center"/>
            <w:hideMark/>
          </w:tcPr>
          <w:p w14:paraId="2AE46255" w14:textId="77777777" w:rsidR="00E65D02" w:rsidRPr="0047781C" w:rsidRDefault="00E65D02">
            <w:pPr>
              <w:rPr>
                <w:rFonts w:ascii="CAIXA Std Book" w:eastAsia="Times New Roman" w:hAnsi="CAIXA Std Book" w:cs="Calibri"/>
                <w:b/>
                <w:bCs/>
                <w:color w:val="FFFFFF"/>
                <w:sz w:val="18"/>
                <w:szCs w:val="18"/>
              </w:rPr>
            </w:pPr>
            <w:r w:rsidRPr="0047781C">
              <w:rPr>
                <w:rFonts w:ascii="CAIXA Std Book" w:eastAsia="Times New Roman" w:hAnsi="CAIXA Std Book" w:cs="Calibri"/>
                <w:b/>
                <w:bCs/>
                <w:color w:val="FFFFFF"/>
                <w:sz w:val="18"/>
                <w:szCs w:val="18"/>
              </w:rPr>
              <w:t>Total - Contratos</w:t>
            </w:r>
          </w:p>
        </w:tc>
        <w:tc>
          <w:tcPr>
            <w:tcW w:w="1254" w:type="pct"/>
            <w:tcBorders>
              <w:top w:val="nil"/>
              <w:left w:val="nil"/>
              <w:bottom w:val="nil"/>
              <w:right w:val="nil"/>
            </w:tcBorders>
            <w:shd w:val="clear" w:color="000000" w:fill="005CA9"/>
            <w:vAlign w:val="center"/>
            <w:hideMark/>
          </w:tcPr>
          <w:p w14:paraId="169D306C" w14:textId="78D7E9FA" w:rsidR="00E65D02" w:rsidRPr="0047781C" w:rsidRDefault="00E65D02">
            <w:pPr>
              <w:jc w:val="right"/>
              <w:rPr>
                <w:rFonts w:ascii="CAIXA Std Book" w:eastAsia="Times New Roman" w:hAnsi="CAIXA Std Book" w:cs="Calibri"/>
                <w:b/>
                <w:bCs/>
                <w:color w:val="FFFFFF"/>
                <w:sz w:val="18"/>
                <w:szCs w:val="18"/>
              </w:rPr>
            </w:pPr>
            <w:r w:rsidRPr="0047781C">
              <w:rPr>
                <w:rFonts w:ascii="CAIXA Std Book" w:eastAsia="Times New Roman" w:hAnsi="CAIXA Std Book" w:cs="Calibri"/>
                <w:b/>
                <w:bCs/>
                <w:color w:val="FFFFFF"/>
                <w:sz w:val="18"/>
                <w:szCs w:val="18"/>
              </w:rPr>
              <w:t>34.551.870</w:t>
            </w:r>
          </w:p>
        </w:tc>
        <w:tc>
          <w:tcPr>
            <w:tcW w:w="1254" w:type="pct"/>
            <w:tcBorders>
              <w:top w:val="nil"/>
              <w:left w:val="nil"/>
              <w:bottom w:val="nil"/>
              <w:right w:val="nil"/>
            </w:tcBorders>
            <w:shd w:val="clear" w:color="000000" w:fill="005CA9"/>
            <w:vAlign w:val="center"/>
            <w:hideMark/>
          </w:tcPr>
          <w:p w14:paraId="27575509" w14:textId="77777777" w:rsidR="00E65D02" w:rsidRPr="0047781C" w:rsidRDefault="00E65D02">
            <w:pPr>
              <w:jc w:val="right"/>
              <w:rPr>
                <w:rFonts w:ascii="CAIXA Std Book" w:eastAsia="Times New Roman" w:hAnsi="CAIXA Std Book" w:cs="Calibri"/>
                <w:b/>
                <w:bCs/>
                <w:color w:val="FFFFFF"/>
                <w:sz w:val="18"/>
                <w:szCs w:val="18"/>
              </w:rPr>
            </w:pPr>
            <w:r w:rsidRPr="0047781C">
              <w:rPr>
                <w:rFonts w:ascii="CAIXA Std Book" w:eastAsia="Times New Roman" w:hAnsi="CAIXA Std Book" w:cs="Calibri"/>
                <w:b/>
                <w:bCs/>
                <w:color w:val="FFFFFF"/>
                <w:sz w:val="18"/>
                <w:szCs w:val="18"/>
              </w:rPr>
              <w:t>34.551.870</w:t>
            </w:r>
          </w:p>
        </w:tc>
      </w:tr>
      <w:tr w:rsidR="00E65D02" w:rsidRPr="0047781C" w14:paraId="1C0749C0" w14:textId="77777777" w:rsidTr="00E65D02">
        <w:trPr>
          <w:trHeight w:val="283"/>
        </w:trPr>
        <w:tc>
          <w:tcPr>
            <w:tcW w:w="2491" w:type="pct"/>
            <w:tcBorders>
              <w:top w:val="nil"/>
              <w:left w:val="nil"/>
              <w:bottom w:val="nil"/>
              <w:right w:val="nil"/>
            </w:tcBorders>
            <w:noWrap/>
            <w:vAlign w:val="center"/>
            <w:hideMark/>
          </w:tcPr>
          <w:p w14:paraId="4FC5AE62" w14:textId="77777777" w:rsidR="00E65D02" w:rsidRPr="0047781C" w:rsidRDefault="00E65D02">
            <w:pPr>
              <w:rPr>
                <w:rFonts w:ascii="CAIXA Std Book" w:eastAsia="Times New Roman" w:hAnsi="CAIXA Std Book" w:cs="Calibri"/>
                <w:color w:val="005CA9"/>
                <w:sz w:val="18"/>
                <w:szCs w:val="18"/>
              </w:rPr>
            </w:pPr>
            <w:r w:rsidRPr="0047781C">
              <w:rPr>
                <w:rFonts w:ascii="CAIXA Std Book" w:eastAsia="Times New Roman" w:hAnsi="CAIXA Std Book" w:cs="Calibri"/>
                <w:color w:val="005CA9"/>
                <w:sz w:val="18"/>
                <w:szCs w:val="18"/>
              </w:rPr>
              <w:t>Atualização monetária</w:t>
            </w:r>
          </w:p>
        </w:tc>
        <w:tc>
          <w:tcPr>
            <w:tcW w:w="1254" w:type="pct"/>
            <w:tcBorders>
              <w:top w:val="nil"/>
              <w:left w:val="nil"/>
              <w:bottom w:val="nil"/>
              <w:right w:val="nil"/>
            </w:tcBorders>
            <w:noWrap/>
            <w:vAlign w:val="bottom"/>
            <w:hideMark/>
          </w:tcPr>
          <w:p w14:paraId="6DBFBF70" w14:textId="77777777" w:rsidR="00E65D02" w:rsidRPr="0047781C" w:rsidRDefault="00E65D02">
            <w:pPr>
              <w:jc w:val="right"/>
              <w:rPr>
                <w:rFonts w:ascii="CAIXA Std Book" w:eastAsia="Times New Roman" w:hAnsi="CAIXA Std Book" w:cs="Calibri"/>
                <w:color w:val="005CA9"/>
                <w:sz w:val="18"/>
                <w:szCs w:val="18"/>
              </w:rPr>
            </w:pPr>
            <w:r w:rsidRPr="0047781C">
              <w:rPr>
                <w:rFonts w:ascii="CAIXA Std Book" w:eastAsia="Times New Roman" w:hAnsi="CAIXA Std Book" w:cs="Calibri"/>
                <w:color w:val="005CA9"/>
                <w:sz w:val="18"/>
                <w:szCs w:val="18"/>
              </w:rPr>
              <w:t>890.454</w:t>
            </w:r>
          </w:p>
        </w:tc>
        <w:tc>
          <w:tcPr>
            <w:tcW w:w="1254" w:type="pct"/>
            <w:tcBorders>
              <w:top w:val="nil"/>
              <w:left w:val="nil"/>
              <w:bottom w:val="nil"/>
              <w:right w:val="nil"/>
            </w:tcBorders>
            <w:noWrap/>
            <w:vAlign w:val="bottom"/>
            <w:hideMark/>
          </w:tcPr>
          <w:p w14:paraId="702023B8" w14:textId="77777777" w:rsidR="00E65D02" w:rsidRPr="0047781C" w:rsidRDefault="00E65D02">
            <w:pPr>
              <w:jc w:val="right"/>
              <w:rPr>
                <w:rFonts w:ascii="CAIXA Std Book" w:eastAsia="Times New Roman" w:hAnsi="CAIXA Std Book" w:cs="Calibri"/>
                <w:color w:val="005CA9"/>
                <w:sz w:val="18"/>
                <w:szCs w:val="18"/>
              </w:rPr>
            </w:pPr>
            <w:r w:rsidRPr="0047781C">
              <w:rPr>
                <w:rFonts w:ascii="CAIXA Std Book" w:eastAsia="Times New Roman" w:hAnsi="CAIXA Std Book" w:cs="Calibri"/>
                <w:color w:val="005CA9"/>
                <w:sz w:val="18"/>
                <w:szCs w:val="18"/>
              </w:rPr>
              <w:t>549.388</w:t>
            </w:r>
          </w:p>
        </w:tc>
      </w:tr>
      <w:tr w:rsidR="00E65D02" w:rsidRPr="0047781C" w14:paraId="415B894C" w14:textId="77777777" w:rsidTr="00E65D02">
        <w:trPr>
          <w:trHeight w:val="283"/>
        </w:trPr>
        <w:tc>
          <w:tcPr>
            <w:tcW w:w="2491" w:type="pct"/>
            <w:tcBorders>
              <w:top w:val="nil"/>
              <w:left w:val="nil"/>
              <w:bottom w:val="nil"/>
              <w:right w:val="nil"/>
            </w:tcBorders>
            <w:shd w:val="clear" w:color="000000" w:fill="005CA9"/>
            <w:noWrap/>
            <w:vAlign w:val="center"/>
            <w:hideMark/>
          </w:tcPr>
          <w:p w14:paraId="5EA5009F" w14:textId="77777777" w:rsidR="00E65D02" w:rsidRPr="0047781C" w:rsidRDefault="00E65D02">
            <w:pPr>
              <w:rPr>
                <w:rFonts w:ascii="CAIXA Std Book" w:eastAsia="Times New Roman" w:hAnsi="CAIXA Std Book" w:cs="Calibri"/>
                <w:b/>
                <w:bCs/>
                <w:color w:val="FFFFFF"/>
                <w:sz w:val="18"/>
                <w:szCs w:val="18"/>
              </w:rPr>
            </w:pPr>
            <w:r w:rsidRPr="0047781C">
              <w:rPr>
                <w:rFonts w:ascii="CAIXA Std Book" w:eastAsia="Times New Roman" w:hAnsi="CAIXA Std Book" w:cs="Calibri"/>
                <w:b/>
                <w:bCs/>
                <w:color w:val="FFFFFF"/>
                <w:sz w:val="18"/>
                <w:szCs w:val="18"/>
              </w:rPr>
              <w:t>Total Consolidado - Patrimônio líquido</w:t>
            </w:r>
          </w:p>
        </w:tc>
        <w:tc>
          <w:tcPr>
            <w:tcW w:w="1254" w:type="pct"/>
            <w:tcBorders>
              <w:top w:val="nil"/>
              <w:left w:val="nil"/>
              <w:bottom w:val="nil"/>
              <w:right w:val="nil"/>
            </w:tcBorders>
            <w:shd w:val="clear" w:color="000000" w:fill="005CA9"/>
            <w:vAlign w:val="center"/>
            <w:hideMark/>
          </w:tcPr>
          <w:p w14:paraId="7B15C49A" w14:textId="160B8CCC" w:rsidR="00E65D02" w:rsidRPr="0047781C" w:rsidRDefault="00E65D02">
            <w:pPr>
              <w:jc w:val="right"/>
              <w:rPr>
                <w:rFonts w:ascii="CAIXA Std Book" w:eastAsia="Times New Roman" w:hAnsi="CAIXA Std Book" w:cs="Calibri"/>
                <w:b/>
                <w:bCs/>
                <w:color w:val="FFFFFF"/>
                <w:sz w:val="18"/>
                <w:szCs w:val="18"/>
              </w:rPr>
            </w:pPr>
            <w:r w:rsidRPr="0047781C">
              <w:rPr>
                <w:rFonts w:ascii="CAIXA Std Book" w:eastAsia="Times New Roman" w:hAnsi="CAIXA Std Book" w:cs="Calibri"/>
                <w:b/>
                <w:bCs/>
                <w:color w:val="FFFFFF"/>
                <w:sz w:val="18"/>
                <w:szCs w:val="18"/>
              </w:rPr>
              <w:t>35.442.324</w:t>
            </w:r>
          </w:p>
        </w:tc>
        <w:tc>
          <w:tcPr>
            <w:tcW w:w="1254" w:type="pct"/>
            <w:tcBorders>
              <w:top w:val="nil"/>
              <w:left w:val="nil"/>
              <w:bottom w:val="nil"/>
              <w:right w:val="nil"/>
            </w:tcBorders>
            <w:shd w:val="clear" w:color="000000" w:fill="005CA9"/>
            <w:vAlign w:val="center"/>
            <w:hideMark/>
          </w:tcPr>
          <w:p w14:paraId="0D2436EB" w14:textId="302FE189" w:rsidR="00E65D02" w:rsidRPr="0047781C" w:rsidRDefault="00E65D02">
            <w:pPr>
              <w:jc w:val="right"/>
              <w:rPr>
                <w:rFonts w:ascii="CAIXA Std Book" w:eastAsia="Times New Roman" w:hAnsi="CAIXA Std Book" w:cs="Calibri"/>
                <w:b/>
                <w:bCs/>
                <w:color w:val="FFFFFF"/>
                <w:sz w:val="18"/>
                <w:szCs w:val="18"/>
              </w:rPr>
            </w:pPr>
            <w:r w:rsidRPr="0047781C">
              <w:rPr>
                <w:rFonts w:ascii="CAIXA Std Book" w:eastAsia="Times New Roman" w:hAnsi="CAIXA Std Book" w:cs="Calibri"/>
                <w:b/>
                <w:bCs/>
                <w:color w:val="FFFFFF"/>
                <w:sz w:val="18"/>
                <w:szCs w:val="18"/>
              </w:rPr>
              <w:t>35.101.258</w:t>
            </w:r>
          </w:p>
        </w:tc>
      </w:tr>
      <w:tr w:rsidR="00E65D02" w:rsidRPr="0047781C" w14:paraId="578642F1" w14:textId="77777777" w:rsidTr="002E022B">
        <w:trPr>
          <w:trHeight w:val="283"/>
        </w:trPr>
        <w:tc>
          <w:tcPr>
            <w:tcW w:w="2491" w:type="pct"/>
            <w:tcBorders>
              <w:top w:val="nil"/>
              <w:left w:val="nil"/>
              <w:bottom w:val="nil"/>
              <w:right w:val="nil"/>
            </w:tcBorders>
            <w:noWrap/>
            <w:vAlign w:val="center"/>
            <w:hideMark/>
          </w:tcPr>
          <w:p w14:paraId="6FAEFDBA" w14:textId="77777777" w:rsidR="00E65D02" w:rsidRPr="0047781C" w:rsidRDefault="00E65D02">
            <w:pPr>
              <w:rPr>
                <w:rFonts w:ascii="CAIXA Std Book" w:eastAsia="Times New Roman" w:hAnsi="CAIXA Std Book" w:cs="Calibri"/>
                <w:color w:val="005CA9"/>
                <w:sz w:val="18"/>
                <w:szCs w:val="18"/>
              </w:rPr>
            </w:pPr>
            <w:r w:rsidRPr="0047781C">
              <w:rPr>
                <w:rFonts w:ascii="CAIXA Std Book" w:eastAsia="Times New Roman" w:hAnsi="CAIXA Std Book" w:cs="Calibri"/>
                <w:color w:val="005CA9"/>
                <w:sz w:val="18"/>
                <w:szCs w:val="18"/>
              </w:rPr>
              <w:t>Juros remuneratórios</w:t>
            </w:r>
          </w:p>
        </w:tc>
        <w:tc>
          <w:tcPr>
            <w:tcW w:w="1254" w:type="pct"/>
            <w:tcBorders>
              <w:top w:val="nil"/>
              <w:left w:val="nil"/>
              <w:bottom w:val="nil"/>
              <w:right w:val="nil"/>
            </w:tcBorders>
            <w:noWrap/>
            <w:vAlign w:val="center"/>
            <w:hideMark/>
          </w:tcPr>
          <w:p w14:paraId="2748AF99" w14:textId="77777777" w:rsidR="00E65D02" w:rsidRPr="0047781C" w:rsidRDefault="00E65D02">
            <w:pPr>
              <w:jc w:val="right"/>
              <w:rPr>
                <w:rFonts w:ascii="CAIXA Std Book" w:eastAsia="Times New Roman" w:hAnsi="CAIXA Std Book" w:cs="Calibri"/>
                <w:color w:val="005CA9"/>
                <w:sz w:val="18"/>
                <w:szCs w:val="18"/>
              </w:rPr>
            </w:pPr>
            <w:r w:rsidRPr="0047781C">
              <w:rPr>
                <w:rFonts w:ascii="CAIXA Std Book" w:eastAsia="Times New Roman" w:hAnsi="CAIXA Std Book" w:cs="Calibri"/>
                <w:color w:val="005CA9"/>
                <w:sz w:val="18"/>
                <w:szCs w:val="18"/>
              </w:rPr>
              <w:t>975.460</w:t>
            </w:r>
          </w:p>
        </w:tc>
        <w:tc>
          <w:tcPr>
            <w:tcW w:w="1254" w:type="pct"/>
            <w:tcBorders>
              <w:top w:val="nil"/>
              <w:left w:val="nil"/>
              <w:bottom w:val="nil"/>
              <w:right w:val="nil"/>
            </w:tcBorders>
            <w:noWrap/>
            <w:vAlign w:val="center"/>
            <w:hideMark/>
          </w:tcPr>
          <w:p w14:paraId="2A855122" w14:textId="77777777" w:rsidR="00E65D02" w:rsidRPr="0047781C" w:rsidRDefault="00E65D02">
            <w:pPr>
              <w:jc w:val="right"/>
              <w:rPr>
                <w:rFonts w:ascii="CAIXA Std Book" w:eastAsia="Times New Roman" w:hAnsi="CAIXA Std Book" w:cs="Calibri"/>
                <w:color w:val="005CA9"/>
                <w:sz w:val="18"/>
                <w:szCs w:val="18"/>
              </w:rPr>
            </w:pPr>
            <w:r w:rsidRPr="0047781C">
              <w:rPr>
                <w:rFonts w:ascii="CAIXA Std Book" w:eastAsia="Times New Roman" w:hAnsi="CAIXA Std Book" w:cs="Calibri"/>
                <w:color w:val="005CA9"/>
                <w:sz w:val="18"/>
                <w:szCs w:val="18"/>
              </w:rPr>
              <w:t>921.703</w:t>
            </w:r>
          </w:p>
        </w:tc>
      </w:tr>
      <w:tr w:rsidR="00E65D02" w:rsidRPr="0047781C" w14:paraId="79179296" w14:textId="77777777" w:rsidTr="00E65D02">
        <w:trPr>
          <w:trHeight w:val="283"/>
        </w:trPr>
        <w:tc>
          <w:tcPr>
            <w:tcW w:w="2491" w:type="pct"/>
            <w:tcBorders>
              <w:top w:val="nil"/>
              <w:left w:val="nil"/>
              <w:bottom w:val="nil"/>
              <w:right w:val="nil"/>
            </w:tcBorders>
            <w:shd w:val="clear" w:color="000000" w:fill="005CA9"/>
            <w:noWrap/>
            <w:vAlign w:val="center"/>
            <w:hideMark/>
          </w:tcPr>
          <w:p w14:paraId="54C2FD3A" w14:textId="77777777" w:rsidR="00E65D02" w:rsidRPr="0047781C" w:rsidRDefault="00E65D02">
            <w:pPr>
              <w:rPr>
                <w:rFonts w:ascii="CAIXA Std Book" w:eastAsia="Times New Roman" w:hAnsi="CAIXA Std Book" w:cs="Calibri"/>
                <w:b/>
                <w:bCs/>
                <w:color w:val="FFFFFF"/>
                <w:sz w:val="18"/>
                <w:szCs w:val="18"/>
              </w:rPr>
            </w:pPr>
            <w:r w:rsidRPr="0047781C">
              <w:rPr>
                <w:rFonts w:ascii="CAIXA Std Book" w:eastAsia="Times New Roman" w:hAnsi="CAIXA Std Book" w:cs="Calibri"/>
                <w:b/>
                <w:bCs/>
                <w:color w:val="FFFFFF"/>
                <w:sz w:val="18"/>
                <w:szCs w:val="18"/>
              </w:rPr>
              <w:t>Total</w:t>
            </w:r>
          </w:p>
        </w:tc>
        <w:tc>
          <w:tcPr>
            <w:tcW w:w="1254" w:type="pct"/>
            <w:tcBorders>
              <w:top w:val="nil"/>
              <w:left w:val="nil"/>
              <w:bottom w:val="nil"/>
              <w:right w:val="nil"/>
            </w:tcBorders>
            <w:shd w:val="clear" w:color="000000" w:fill="005CA9"/>
            <w:vAlign w:val="center"/>
            <w:hideMark/>
          </w:tcPr>
          <w:p w14:paraId="57798691" w14:textId="765C8F7D" w:rsidR="00E65D02" w:rsidRPr="0047781C" w:rsidRDefault="00E65D02">
            <w:pPr>
              <w:jc w:val="right"/>
              <w:rPr>
                <w:rFonts w:ascii="CAIXA Std Book" w:eastAsia="Times New Roman" w:hAnsi="CAIXA Std Book" w:cs="Calibri"/>
                <w:b/>
                <w:bCs/>
                <w:color w:val="FFFFFF"/>
                <w:sz w:val="18"/>
                <w:szCs w:val="18"/>
              </w:rPr>
            </w:pPr>
            <w:r w:rsidRPr="0047781C">
              <w:rPr>
                <w:rFonts w:ascii="CAIXA Std Book" w:eastAsia="Times New Roman" w:hAnsi="CAIXA Std Book" w:cs="Calibri"/>
                <w:b/>
                <w:bCs/>
                <w:color w:val="FFFFFF"/>
                <w:sz w:val="18"/>
                <w:szCs w:val="18"/>
              </w:rPr>
              <w:t>36.417.784</w:t>
            </w:r>
          </w:p>
        </w:tc>
        <w:tc>
          <w:tcPr>
            <w:tcW w:w="1254" w:type="pct"/>
            <w:tcBorders>
              <w:top w:val="nil"/>
              <w:left w:val="nil"/>
              <w:bottom w:val="nil"/>
              <w:right w:val="nil"/>
            </w:tcBorders>
            <w:shd w:val="clear" w:color="000000" w:fill="005CA9"/>
            <w:vAlign w:val="center"/>
            <w:hideMark/>
          </w:tcPr>
          <w:p w14:paraId="6C2C431D" w14:textId="21EBA081" w:rsidR="00E65D02" w:rsidRPr="0047781C" w:rsidRDefault="00E65D02">
            <w:pPr>
              <w:jc w:val="right"/>
              <w:rPr>
                <w:rFonts w:ascii="CAIXA Std Book" w:eastAsia="Times New Roman" w:hAnsi="CAIXA Std Book" w:cs="Calibri"/>
                <w:b/>
                <w:bCs/>
                <w:color w:val="FFFFFF"/>
                <w:sz w:val="18"/>
                <w:szCs w:val="18"/>
              </w:rPr>
            </w:pPr>
            <w:r w:rsidRPr="0047781C">
              <w:rPr>
                <w:rFonts w:ascii="CAIXA Std Book" w:eastAsia="Times New Roman" w:hAnsi="CAIXA Std Book" w:cs="Calibri"/>
                <w:b/>
                <w:bCs/>
                <w:color w:val="FFFFFF"/>
                <w:sz w:val="18"/>
                <w:szCs w:val="18"/>
              </w:rPr>
              <w:t>36.022.961</w:t>
            </w:r>
          </w:p>
        </w:tc>
      </w:tr>
    </w:tbl>
    <w:p w14:paraId="44EB6060" w14:textId="77777777" w:rsidR="00E65D02" w:rsidRDefault="00E65D02" w:rsidP="00764184">
      <w:pPr>
        <w:spacing w:after="120"/>
        <w:jc w:val="both"/>
        <w:rPr>
          <w:rFonts w:ascii="CAIXA Std Book" w:hAnsi="CAIXA Std Book"/>
          <w:bCs/>
          <w:color w:val="005CA9"/>
          <w:sz w:val="20"/>
          <w:szCs w:val="20"/>
        </w:rPr>
      </w:pPr>
    </w:p>
    <w:p w14:paraId="524FF8D0" w14:textId="77777777" w:rsidR="003A3797" w:rsidRPr="00B04D8D" w:rsidRDefault="003A3797" w:rsidP="00764184">
      <w:pPr>
        <w:spacing w:after="120"/>
        <w:jc w:val="both"/>
        <w:rPr>
          <w:rFonts w:ascii="CAIXA Std Book" w:hAnsi="CAIXA Std Book"/>
          <w:bCs/>
          <w:color w:val="005CA9"/>
          <w:sz w:val="20"/>
          <w:szCs w:val="20"/>
        </w:rPr>
      </w:pPr>
      <w:r w:rsidRPr="00B04D8D">
        <w:rPr>
          <w:rFonts w:ascii="CAIXA Std Book" w:hAnsi="CAIXA Std Book"/>
          <w:bCs/>
          <w:color w:val="005CA9"/>
          <w:sz w:val="20"/>
          <w:szCs w:val="20"/>
        </w:rPr>
        <w:t>O Nível I do Patrimônio de Referência é dividido em Capital Principal e Capital Complementar. A CAIXA possui Instrumentos Híbridos de Capital e Dívida – IHCD autorizados a compor o seu Capital Principal.</w:t>
      </w:r>
    </w:p>
    <w:p w14:paraId="61092BC9" w14:textId="77777777" w:rsidR="003A3797" w:rsidRPr="00B04D8D" w:rsidRDefault="003A3797" w:rsidP="00764184">
      <w:pPr>
        <w:spacing w:after="120"/>
        <w:jc w:val="both"/>
        <w:rPr>
          <w:rFonts w:ascii="CAIXA Std Book" w:hAnsi="CAIXA Std Book"/>
          <w:bCs/>
          <w:color w:val="005CA9"/>
          <w:sz w:val="20"/>
          <w:szCs w:val="20"/>
        </w:rPr>
      </w:pPr>
      <w:r w:rsidRPr="00B04D8D">
        <w:rPr>
          <w:rFonts w:ascii="CAIXA Std Book" w:hAnsi="CAIXA Std Book"/>
          <w:bCs/>
          <w:color w:val="005CA9"/>
          <w:sz w:val="20"/>
          <w:szCs w:val="20"/>
        </w:rPr>
        <w:t xml:space="preserve">A Resolução CMN nº 4.955/2021 determina, para fins de divulgação das demonstrações contábeis consolidadas, a reclassificação para o patrimônio líquido dos instrumentos que atendam às características de capital principal. </w:t>
      </w:r>
    </w:p>
    <w:p w14:paraId="5E3180E1" w14:textId="21898FA9" w:rsidR="00C976C2" w:rsidRDefault="003A3797" w:rsidP="00996C25">
      <w:pPr>
        <w:spacing w:after="120"/>
        <w:jc w:val="both"/>
        <w:rPr>
          <w:rFonts w:ascii="CAIXA Std Book" w:hAnsi="CAIXA Std Book"/>
          <w:bCs/>
          <w:color w:val="005CA9"/>
          <w:sz w:val="20"/>
          <w:szCs w:val="20"/>
        </w:rPr>
      </w:pPr>
      <w:r w:rsidRPr="00B04D8D">
        <w:rPr>
          <w:rFonts w:ascii="CAIXA Std Book" w:hAnsi="CAIXA Std Book"/>
          <w:bCs/>
          <w:color w:val="005CA9"/>
          <w:sz w:val="20"/>
          <w:szCs w:val="20"/>
        </w:rPr>
        <w:t xml:space="preserve">Para fins de </w:t>
      </w:r>
      <w:r w:rsidR="00517F13">
        <w:rPr>
          <w:rFonts w:ascii="CAIXA Std Book" w:hAnsi="CAIXA Std Book"/>
          <w:bCs/>
          <w:color w:val="005CA9"/>
          <w:sz w:val="20"/>
          <w:szCs w:val="20"/>
        </w:rPr>
        <w:t xml:space="preserve">apresentação no balanço patrimonial consolidado, os </w:t>
      </w:r>
      <w:r w:rsidR="00CA3A95">
        <w:rPr>
          <w:rFonts w:ascii="CAIXA Std Book" w:hAnsi="CAIXA Std Book"/>
          <w:bCs/>
          <w:color w:val="005CA9"/>
          <w:sz w:val="20"/>
          <w:szCs w:val="20"/>
        </w:rPr>
        <w:t xml:space="preserve">Instrumentos </w:t>
      </w:r>
      <w:r w:rsidR="00517F13">
        <w:rPr>
          <w:rFonts w:ascii="CAIXA Std Book" w:hAnsi="CAIXA Std Book"/>
          <w:bCs/>
          <w:color w:val="005CA9"/>
          <w:sz w:val="20"/>
          <w:szCs w:val="20"/>
        </w:rPr>
        <w:t>h</w:t>
      </w:r>
      <w:r w:rsidR="00CA3A95">
        <w:rPr>
          <w:rFonts w:ascii="CAIXA Std Book" w:hAnsi="CAIXA Std Book"/>
          <w:bCs/>
          <w:color w:val="005CA9"/>
          <w:sz w:val="20"/>
          <w:szCs w:val="20"/>
        </w:rPr>
        <w:t xml:space="preserve">íbridos de capital e dívida </w:t>
      </w:r>
      <w:r w:rsidR="008A5EA2">
        <w:rPr>
          <w:rFonts w:ascii="CAIXA Std Book" w:hAnsi="CAIXA Std Book"/>
          <w:bCs/>
          <w:color w:val="005CA9"/>
          <w:sz w:val="20"/>
          <w:szCs w:val="20"/>
        </w:rPr>
        <w:t xml:space="preserve">elegíveis a capital </w:t>
      </w:r>
      <w:r w:rsidR="00714378">
        <w:rPr>
          <w:rFonts w:ascii="CAIXA Std Book" w:hAnsi="CAIXA Std Book"/>
          <w:bCs/>
          <w:color w:val="005CA9"/>
          <w:sz w:val="20"/>
          <w:szCs w:val="20"/>
        </w:rPr>
        <w:t xml:space="preserve">(IHCD) </w:t>
      </w:r>
      <w:r w:rsidR="00517F13">
        <w:rPr>
          <w:rFonts w:ascii="CAIXA Std Book" w:hAnsi="CAIXA Std Book"/>
          <w:bCs/>
          <w:color w:val="005CA9"/>
          <w:sz w:val="20"/>
          <w:szCs w:val="20"/>
        </w:rPr>
        <w:t>são compostos por principal autorizado</w:t>
      </w:r>
      <w:r w:rsidR="00714378">
        <w:rPr>
          <w:rFonts w:ascii="CAIXA Std Book" w:hAnsi="CAIXA Std Book"/>
          <w:bCs/>
          <w:color w:val="005CA9"/>
          <w:sz w:val="20"/>
          <w:szCs w:val="20"/>
        </w:rPr>
        <w:t xml:space="preserve"> </w:t>
      </w:r>
      <w:r w:rsidR="00517F13">
        <w:rPr>
          <w:rFonts w:ascii="CAIXA Std Book" w:hAnsi="CAIXA Std Book"/>
          <w:bCs/>
          <w:color w:val="005CA9"/>
          <w:sz w:val="20"/>
          <w:szCs w:val="20"/>
        </w:rPr>
        <w:t>e sua atualização monetária do período corrente</w:t>
      </w:r>
      <w:r w:rsidR="008A5EA2">
        <w:rPr>
          <w:rFonts w:ascii="CAIXA Std Book" w:hAnsi="CAIXA Std Book"/>
          <w:bCs/>
          <w:color w:val="005CA9"/>
          <w:sz w:val="20"/>
          <w:szCs w:val="20"/>
        </w:rPr>
        <w:t xml:space="preserve"> e</w:t>
      </w:r>
      <w:r w:rsidR="00714378">
        <w:rPr>
          <w:rFonts w:ascii="CAIXA Std Book" w:hAnsi="CAIXA Std Book"/>
          <w:bCs/>
          <w:color w:val="005CA9"/>
          <w:sz w:val="20"/>
          <w:szCs w:val="20"/>
        </w:rPr>
        <w:t xml:space="preserve"> apresentados no </w:t>
      </w:r>
      <w:r w:rsidRPr="00B04D8D">
        <w:rPr>
          <w:rFonts w:ascii="CAIXA Std Book" w:hAnsi="CAIXA Std Book"/>
          <w:bCs/>
          <w:color w:val="005CA9"/>
          <w:sz w:val="20"/>
          <w:szCs w:val="20"/>
        </w:rPr>
        <w:t xml:space="preserve">Patrimônio </w:t>
      </w:r>
      <w:r w:rsidR="00714378">
        <w:rPr>
          <w:rFonts w:ascii="CAIXA Std Book" w:hAnsi="CAIXA Std Book"/>
          <w:bCs/>
          <w:color w:val="005CA9"/>
          <w:sz w:val="20"/>
          <w:szCs w:val="20"/>
        </w:rPr>
        <w:t xml:space="preserve">Líquido, pois ambos </w:t>
      </w:r>
      <w:r w:rsidR="00CA3A95" w:rsidRPr="00A47D7D">
        <w:rPr>
          <w:rFonts w:ascii="CAIXA Std Book" w:hAnsi="CAIXA Std Book"/>
          <w:color w:val="005CA9"/>
          <w:sz w:val="20"/>
          <w:szCs w:val="20"/>
        </w:rPr>
        <w:t>atende</w:t>
      </w:r>
      <w:r w:rsidR="00714378">
        <w:rPr>
          <w:rFonts w:ascii="CAIXA Std Book" w:hAnsi="CAIXA Std Book"/>
          <w:color w:val="005CA9"/>
          <w:sz w:val="20"/>
          <w:szCs w:val="20"/>
        </w:rPr>
        <w:t>m</w:t>
      </w:r>
      <w:r w:rsidR="00CA3A95" w:rsidRPr="00A47D7D">
        <w:rPr>
          <w:rFonts w:ascii="CAIXA Std Book" w:hAnsi="CAIXA Std Book"/>
          <w:color w:val="005CA9"/>
          <w:sz w:val="20"/>
          <w:szCs w:val="20"/>
        </w:rPr>
        <w:t xml:space="preserve"> aos critérios de classificação </w:t>
      </w:r>
      <w:r w:rsidR="00517F13">
        <w:rPr>
          <w:rFonts w:ascii="CAIXA Std Book" w:hAnsi="CAIXA Std Book"/>
          <w:color w:val="005CA9"/>
          <w:sz w:val="20"/>
          <w:szCs w:val="20"/>
        </w:rPr>
        <w:t xml:space="preserve">contábil </w:t>
      </w:r>
      <w:r w:rsidR="00CA3A95" w:rsidRPr="00A47D7D">
        <w:rPr>
          <w:rFonts w:ascii="CAIXA Std Book" w:hAnsi="CAIXA Std Book"/>
          <w:color w:val="005CA9"/>
          <w:sz w:val="20"/>
          <w:szCs w:val="20"/>
        </w:rPr>
        <w:t>como</w:t>
      </w:r>
      <w:r w:rsidR="00CA3A95">
        <w:rPr>
          <w:rFonts w:ascii="CAIXA Std Book" w:hAnsi="CAIXA Std Book"/>
          <w:color w:val="005CA9"/>
          <w:sz w:val="20"/>
          <w:szCs w:val="20"/>
        </w:rPr>
        <w:t xml:space="preserve"> </w:t>
      </w:r>
      <w:r w:rsidR="00CA3A95" w:rsidRPr="00A47D7D">
        <w:rPr>
          <w:rFonts w:ascii="CAIXA Std Book" w:hAnsi="CAIXA Std Book"/>
          <w:color w:val="005CA9"/>
          <w:sz w:val="20"/>
          <w:szCs w:val="20"/>
        </w:rPr>
        <w:t>instrumentos patrimoniais</w:t>
      </w:r>
      <w:r w:rsidR="00714378">
        <w:rPr>
          <w:rFonts w:ascii="CAIXA Std Book" w:hAnsi="CAIXA Std Book"/>
          <w:bCs/>
          <w:color w:val="005CA9"/>
          <w:sz w:val="20"/>
          <w:szCs w:val="20"/>
        </w:rPr>
        <w:t xml:space="preserve">. </w:t>
      </w:r>
      <w:r w:rsidR="00517F13">
        <w:rPr>
          <w:rFonts w:ascii="CAIXA Std Book" w:hAnsi="CAIXA Std Book"/>
          <w:bCs/>
          <w:color w:val="005CA9"/>
          <w:sz w:val="20"/>
          <w:szCs w:val="20"/>
        </w:rPr>
        <w:t xml:space="preserve">No </w:t>
      </w:r>
      <w:r w:rsidR="00DF683F">
        <w:rPr>
          <w:rFonts w:ascii="CAIXA Std Book" w:hAnsi="CAIXA Std Book"/>
          <w:bCs/>
          <w:color w:val="005CA9"/>
          <w:sz w:val="20"/>
          <w:szCs w:val="20"/>
        </w:rPr>
        <w:t>P</w:t>
      </w:r>
      <w:r w:rsidR="00517F13">
        <w:rPr>
          <w:rFonts w:ascii="CAIXA Std Book" w:hAnsi="CAIXA Std Book"/>
          <w:bCs/>
          <w:color w:val="005CA9"/>
          <w:sz w:val="20"/>
          <w:szCs w:val="20"/>
        </w:rPr>
        <w:t xml:space="preserve">atrimônio </w:t>
      </w:r>
      <w:r w:rsidRPr="00B04D8D">
        <w:rPr>
          <w:rFonts w:ascii="CAIXA Std Book" w:hAnsi="CAIXA Std Book"/>
          <w:bCs/>
          <w:color w:val="005CA9"/>
          <w:sz w:val="20"/>
          <w:szCs w:val="20"/>
        </w:rPr>
        <w:t>de Referência</w:t>
      </w:r>
      <w:r w:rsidR="00517F13">
        <w:rPr>
          <w:rFonts w:ascii="CAIXA Std Book" w:hAnsi="CAIXA Std Book"/>
          <w:bCs/>
          <w:color w:val="005CA9"/>
          <w:sz w:val="20"/>
          <w:szCs w:val="20"/>
        </w:rPr>
        <w:t xml:space="preserve"> </w:t>
      </w:r>
      <w:r w:rsidR="00517F13" w:rsidRPr="003D107C">
        <w:rPr>
          <w:rFonts w:ascii="CAIXA Std Book" w:hAnsi="CAIXA Std Book"/>
          <w:color w:val="005CA9"/>
          <w:sz w:val="20"/>
          <w:szCs w:val="20"/>
        </w:rPr>
        <w:t>(Nota 33 (</w:t>
      </w:r>
      <w:r w:rsidR="00997A8A">
        <w:rPr>
          <w:rFonts w:ascii="CAIXA Std Book" w:hAnsi="CAIXA Std Book"/>
          <w:color w:val="005CA9"/>
          <w:sz w:val="20"/>
          <w:szCs w:val="20"/>
        </w:rPr>
        <w:t>d</w:t>
      </w:r>
      <w:r w:rsidR="00517F13" w:rsidRPr="003D107C">
        <w:rPr>
          <w:rFonts w:ascii="CAIXA Std Book" w:hAnsi="CAIXA Std Book"/>
          <w:color w:val="005CA9"/>
          <w:sz w:val="20"/>
          <w:szCs w:val="20"/>
        </w:rPr>
        <w:t>))</w:t>
      </w:r>
      <w:r w:rsidRPr="00B04D8D">
        <w:rPr>
          <w:rFonts w:ascii="CAIXA Std Book" w:hAnsi="CAIXA Std Book"/>
          <w:bCs/>
          <w:color w:val="005CA9"/>
          <w:sz w:val="20"/>
          <w:szCs w:val="20"/>
        </w:rPr>
        <w:t>, considera-se apenas o valor de face do</w:t>
      </w:r>
      <w:r w:rsidR="00517F13">
        <w:rPr>
          <w:rFonts w:ascii="CAIXA Std Book" w:hAnsi="CAIXA Std Book"/>
          <w:bCs/>
          <w:color w:val="005CA9"/>
          <w:sz w:val="20"/>
          <w:szCs w:val="20"/>
        </w:rPr>
        <w:t xml:space="preserve"> principal autorizado</w:t>
      </w:r>
      <w:r w:rsidRPr="00B04D8D">
        <w:rPr>
          <w:rFonts w:ascii="CAIXA Std Book" w:hAnsi="CAIXA Std Book"/>
          <w:bCs/>
          <w:color w:val="005CA9"/>
          <w:sz w:val="20"/>
          <w:szCs w:val="20"/>
        </w:rPr>
        <w:t xml:space="preserve"> somado à atualização monetária incorporada de exercícios anteriores</w:t>
      </w:r>
      <w:r w:rsidR="00C86EBC">
        <w:rPr>
          <w:rFonts w:ascii="CAIXA Std Book" w:hAnsi="CAIXA Std Book"/>
          <w:bCs/>
          <w:color w:val="005CA9"/>
          <w:sz w:val="20"/>
          <w:szCs w:val="20"/>
        </w:rPr>
        <w:t>,</w:t>
      </w:r>
      <w:r w:rsidRPr="00B04D8D">
        <w:rPr>
          <w:rFonts w:ascii="CAIXA Std Book" w:hAnsi="CAIXA Std Book"/>
          <w:bCs/>
          <w:color w:val="005CA9"/>
          <w:sz w:val="20"/>
          <w:szCs w:val="20"/>
        </w:rPr>
        <w:t xml:space="preserve"> em </w:t>
      </w:r>
      <w:r w:rsidR="00517F13">
        <w:rPr>
          <w:rFonts w:ascii="CAIXA Std Book" w:hAnsi="CAIXA Std Book"/>
          <w:bCs/>
          <w:color w:val="005CA9"/>
          <w:sz w:val="20"/>
          <w:szCs w:val="20"/>
        </w:rPr>
        <w:t>virtude d</w:t>
      </w:r>
      <w:r w:rsidR="00517F13" w:rsidRPr="00B04D8D">
        <w:rPr>
          <w:rFonts w:ascii="CAIXA Std Book" w:hAnsi="CAIXA Std Book"/>
          <w:bCs/>
          <w:color w:val="005CA9"/>
          <w:sz w:val="20"/>
          <w:szCs w:val="20"/>
        </w:rPr>
        <w:t>e</w:t>
      </w:r>
      <w:r w:rsidRPr="00B04D8D">
        <w:rPr>
          <w:rFonts w:ascii="CAIXA Std Book" w:hAnsi="CAIXA Std Book"/>
          <w:bCs/>
          <w:color w:val="005CA9"/>
          <w:sz w:val="20"/>
          <w:szCs w:val="20"/>
        </w:rPr>
        <w:t xml:space="preserve"> os contratos </w:t>
      </w:r>
      <w:r w:rsidR="00517F13" w:rsidRPr="00B04D8D">
        <w:rPr>
          <w:rFonts w:ascii="CAIXA Std Book" w:hAnsi="CAIXA Std Book"/>
          <w:bCs/>
          <w:color w:val="005CA9"/>
          <w:sz w:val="20"/>
          <w:szCs w:val="20"/>
        </w:rPr>
        <w:t>possu</w:t>
      </w:r>
      <w:r w:rsidR="00517F13">
        <w:rPr>
          <w:rFonts w:ascii="CAIXA Std Book" w:hAnsi="CAIXA Std Book"/>
          <w:bCs/>
          <w:color w:val="005CA9"/>
          <w:sz w:val="20"/>
          <w:szCs w:val="20"/>
        </w:rPr>
        <w:t>íre</w:t>
      </w:r>
      <w:r w:rsidR="00517F13" w:rsidRPr="00B04D8D">
        <w:rPr>
          <w:rFonts w:ascii="CAIXA Std Book" w:hAnsi="CAIXA Std Book"/>
          <w:bCs/>
          <w:color w:val="005CA9"/>
          <w:sz w:val="20"/>
          <w:szCs w:val="20"/>
        </w:rPr>
        <w:t>m</w:t>
      </w:r>
      <w:r w:rsidRPr="00B04D8D">
        <w:rPr>
          <w:rFonts w:ascii="CAIXA Std Book" w:hAnsi="CAIXA Std Book"/>
          <w:bCs/>
          <w:color w:val="005CA9"/>
          <w:sz w:val="20"/>
          <w:szCs w:val="20"/>
        </w:rPr>
        <w:t xml:space="preserve"> cláusulas de remuneração integralmente variáveis, a atualização monetária é incorporada anualmente, após o pagamento dos juros atinentes ao exercício anterior.</w:t>
      </w:r>
    </w:p>
    <w:p w14:paraId="1EFE262D" w14:textId="2FEDA168" w:rsidR="00403E52" w:rsidRPr="00E95E29" w:rsidRDefault="00403E52" w:rsidP="00603DC2">
      <w:pPr>
        <w:pStyle w:val="Ttulo1"/>
        <w:spacing w:before="0"/>
      </w:pPr>
      <w:bookmarkStart w:id="119" w:name="_Toc217914341"/>
      <w:bookmarkStart w:id="120" w:name="_Toc229588491"/>
      <w:r w:rsidRPr="00E95E29">
        <w:t xml:space="preserve">Nota   </w:t>
      </w:r>
      <w:r>
        <w:t>1</w:t>
      </w:r>
      <w:r w:rsidR="00323B4E">
        <w:t>5.4</w:t>
      </w:r>
      <w:r w:rsidRPr="00E95E29">
        <w:t xml:space="preserve"> – Outros passivos financeiros</w:t>
      </w:r>
      <w:bookmarkEnd w:id="119"/>
      <w:bookmarkEnd w:id="120"/>
    </w:p>
    <w:p w14:paraId="7BCFF7DB" w14:textId="77777777" w:rsidR="00403E52" w:rsidRPr="006C65F5" w:rsidRDefault="00403E52" w:rsidP="00F3083F">
      <w:pPr>
        <w:pStyle w:val="PargrafodaLista"/>
        <w:numPr>
          <w:ilvl w:val="4"/>
          <w:numId w:val="50"/>
        </w:numPr>
        <w:spacing w:before="240" w:after="120"/>
        <w:ind w:left="567" w:hanging="567"/>
        <w:rPr>
          <w:rFonts w:ascii="CAIXA Std Book" w:eastAsia="Times New Roman" w:hAnsi="CAIXA Std Book" w:cs="Arial"/>
          <w:b/>
          <w:color w:val="005CA9"/>
          <w:sz w:val="20"/>
          <w:szCs w:val="20"/>
        </w:rPr>
      </w:pPr>
      <w:r w:rsidRPr="00B0058D">
        <w:rPr>
          <w:rFonts w:ascii="CAIXA Std Book" w:eastAsia="Times New Roman" w:hAnsi="CAIXA Std Book" w:cs="Arial"/>
          <w:b/>
          <w:bCs/>
          <w:color w:val="005CA9"/>
          <w:sz w:val="20"/>
          <w:szCs w:val="20"/>
        </w:rPr>
        <w:t>Composição</w:t>
      </w:r>
    </w:p>
    <w:tbl>
      <w:tblPr>
        <w:tblW w:w="5000" w:type="pct"/>
        <w:tblCellMar>
          <w:left w:w="70" w:type="dxa"/>
          <w:right w:w="70" w:type="dxa"/>
        </w:tblCellMar>
        <w:tblLook w:val="04A0" w:firstRow="1" w:lastRow="0" w:firstColumn="1" w:lastColumn="0" w:noHBand="0" w:noVBand="1"/>
      </w:tblPr>
      <w:tblGrid>
        <w:gridCol w:w="4507"/>
        <w:gridCol w:w="1282"/>
        <w:gridCol w:w="1282"/>
        <w:gridCol w:w="1282"/>
        <w:gridCol w:w="1284"/>
      </w:tblGrid>
      <w:tr w:rsidR="00B65779" w:rsidRPr="00B65779" w14:paraId="33FD930A" w14:textId="77777777" w:rsidTr="00457CCC">
        <w:trPr>
          <w:trHeight w:val="283"/>
        </w:trPr>
        <w:tc>
          <w:tcPr>
            <w:tcW w:w="2338" w:type="pct"/>
            <w:vMerge w:val="restart"/>
            <w:tcBorders>
              <w:top w:val="nil"/>
              <w:left w:val="nil"/>
              <w:bottom w:val="nil"/>
              <w:right w:val="nil"/>
            </w:tcBorders>
            <w:shd w:val="clear" w:color="000000" w:fill="005CA9"/>
            <w:noWrap/>
            <w:vAlign w:val="center"/>
            <w:hideMark/>
          </w:tcPr>
          <w:p w14:paraId="746481E5" w14:textId="77777777" w:rsidR="00B65779" w:rsidRPr="00B65779" w:rsidRDefault="00B65779" w:rsidP="00B65779">
            <w:pPr>
              <w:jc w:val="center"/>
              <w:rPr>
                <w:rFonts w:ascii="CAIXA Std Book" w:eastAsia="Times New Roman" w:hAnsi="CAIXA Std Book" w:cs="Calibri"/>
                <w:b/>
                <w:bCs/>
                <w:color w:val="FFFFFF"/>
                <w:sz w:val="18"/>
                <w:szCs w:val="18"/>
              </w:rPr>
            </w:pPr>
            <w:r w:rsidRPr="00B65779">
              <w:rPr>
                <w:rFonts w:ascii="CAIXA Std Book" w:eastAsia="Times New Roman" w:hAnsi="CAIXA Std Book" w:cs="Calibri"/>
                <w:b/>
                <w:bCs/>
                <w:color w:val="FFFFFF"/>
                <w:sz w:val="18"/>
                <w:szCs w:val="18"/>
              </w:rPr>
              <w:t>Descrição</w:t>
            </w:r>
          </w:p>
        </w:tc>
        <w:tc>
          <w:tcPr>
            <w:tcW w:w="1330" w:type="pct"/>
            <w:gridSpan w:val="2"/>
            <w:tcBorders>
              <w:top w:val="nil"/>
              <w:left w:val="nil"/>
              <w:bottom w:val="single" w:sz="4" w:space="0" w:color="FFFFFF"/>
              <w:right w:val="nil"/>
            </w:tcBorders>
            <w:shd w:val="clear" w:color="000000" w:fill="005CA9"/>
            <w:vAlign w:val="center"/>
            <w:hideMark/>
          </w:tcPr>
          <w:p w14:paraId="5353CEA6" w14:textId="5BA5EDEC" w:rsidR="00B65779" w:rsidRPr="00B65779" w:rsidRDefault="007B1BE0" w:rsidP="00B65779">
            <w:pPr>
              <w:jc w:val="center"/>
              <w:rPr>
                <w:rFonts w:ascii="CAIXA Std Book" w:eastAsia="Times New Roman" w:hAnsi="CAIXA Std Book" w:cs="Calibri"/>
                <w:b/>
                <w:bCs/>
                <w:color w:val="FFFFFF"/>
                <w:sz w:val="18"/>
                <w:szCs w:val="18"/>
              </w:rPr>
            </w:pPr>
            <w:r w:rsidRPr="00B65779">
              <w:rPr>
                <w:rFonts w:ascii="CAIXA Std Book" w:eastAsia="Times New Roman" w:hAnsi="CAIXA Std Book" w:cs="Calibri"/>
                <w:b/>
                <w:bCs/>
                <w:color w:val="FFFFFF"/>
                <w:sz w:val="18"/>
                <w:szCs w:val="18"/>
              </w:rPr>
              <w:t>Individual</w:t>
            </w:r>
          </w:p>
        </w:tc>
        <w:tc>
          <w:tcPr>
            <w:tcW w:w="1331" w:type="pct"/>
            <w:gridSpan w:val="2"/>
            <w:tcBorders>
              <w:top w:val="nil"/>
              <w:left w:val="nil"/>
              <w:bottom w:val="single" w:sz="4" w:space="0" w:color="FFFFFF"/>
              <w:right w:val="nil"/>
            </w:tcBorders>
            <w:shd w:val="clear" w:color="000000" w:fill="005CA9"/>
            <w:vAlign w:val="center"/>
            <w:hideMark/>
          </w:tcPr>
          <w:p w14:paraId="10B2BCB1" w14:textId="77777777" w:rsidR="00B65779" w:rsidRPr="00B65779" w:rsidRDefault="00B65779" w:rsidP="00B65779">
            <w:pPr>
              <w:jc w:val="center"/>
              <w:rPr>
                <w:rFonts w:ascii="CAIXA Std Book" w:eastAsia="Times New Roman" w:hAnsi="CAIXA Std Book" w:cs="Calibri"/>
                <w:b/>
                <w:bCs/>
                <w:color w:val="FFFFFF"/>
                <w:sz w:val="18"/>
                <w:szCs w:val="18"/>
              </w:rPr>
            </w:pPr>
            <w:r w:rsidRPr="00B65779">
              <w:rPr>
                <w:rFonts w:ascii="CAIXA Std Book" w:eastAsia="Times New Roman" w:hAnsi="CAIXA Std Book" w:cs="Calibri"/>
                <w:b/>
                <w:bCs/>
                <w:color w:val="FFFFFF"/>
                <w:sz w:val="18"/>
                <w:szCs w:val="18"/>
              </w:rPr>
              <w:t>Consolidado</w:t>
            </w:r>
          </w:p>
        </w:tc>
      </w:tr>
      <w:tr w:rsidR="00B65779" w:rsidRPr="00B65779" w14:paraId="6A02A417" w14:textId="77777777" w:rsidTr="00457CCC">
        <w:trPr>
          <w:trHeight w:val="283"/>
        </w:trPr>
        <w:tc>
          <w:tcPr>
            <w:tcW w:w="2338" w:type="pct"/>
            <w:vMerge/>
            <w:tcBorders>
              <w:top w:val="nil"/>
              <w:left w:val="nil"/>
              <w:bottom w:val="nil"/>
              <w:right w:val="nil"/>
            </w:tcBorders>
            <w:vAlign w:val="center"/>
            <w:hideMark/>
          </w:tcPr>
          <w:p w14:paraId="21FEBE14" w14:textId="77777777" w:rsidR="00B65779" w:rsidRPr="00B65779" w:rsidRDefault="00B65779" w:rsidP="00B65779">
            <w:pPr>
              <w:rPr>
                <w:rFonts w:ascii="CAIXA Std Book" w:eastAsia="Times New Roman" w:hAnsi="CAIXA Std Book" w:cs="Calibri"/>
                <w:b/>
                <w:bCs/>
                <w:color w:val="FFFFFF"/>
                <w:sz w:val="18"/>
                <w:szCs w:val="18"/>
              </w:rPr>
            </w:pPr>
          </w:p>
        </w:tc>
        <w:tc>
          <w:tcPr>
            <w:tcW w:w="665" w:type="pct"/>
            <w:tcBorders>
              <w:top w:val="nil"/>
              <w:left w:val="nil"/>
              <w:bottom w:val="nil"/>
              <w:right w:val="nil"/>
            </w:tcBorders>
            <w:shd w:val="clear" w:color="000000" w:fill="005CA9"/>
            <w:vAlign w:val="center"/>
            <w:hideMark/>
          </w:tcPr>
          <w:p w14:paraId="44CEB7C4" w14:textId="77777777" w:rsidR="00B65779" w:rsidRPr="00B65779" w:rsidRDefault="00B65779" w:rsidP="00B65779">
            <w:pPr>
              <w:jc w:val="center"/>
              <w:rPr>
                <w:rFonts w:ascii="CAIXA Std Book" w:eastAsia="Times New Roman" w:hAnsi="CAIXA Std Book" w:cs="Calibri"/>
                <w:b/>
                <w:bCs/>
                <w:color w:val="FFFFFF"/>
                <w:sz w:val="18"/>
                <w:szCs w:val="18"/>
              </w:rPr>
            </w:pPr>
            <w:r w:rsidRPr="00B65779">
              <w:rPr>
                <w:rFonts w:ascii="CAIXA Std Book" w:eastAsia="Times New Roman" w:hAnsi="CAIXA Std Book" w:cs="Calibri"/>
                <w:b/>
                <w:bCs/>
                <w:color w:val="FFFFFF"/>
                <w:sz w:val="18"/>
                <w:szCs w:val="18"/>
              </w:rPr>
              <w:t>31/03/2026</w:t>
            </w:r>
          </w:p>
        </w:tc>
        <w:tc>
          <w:tcPr>
            <w:tcW w:w="665" w:type="pct"/>
            <w:tcBorders>
              <w:top w:val="nil"/>
              <w:left w:val="nil"/>
              <w:bottom w:val="nil"/>
              <w:right w:val="nil"/>
            </w:tcBorders>
            <w:shd w:val="clear" w:color="000000" w:fill="005CA9"/>
            <w:vAlign w:val="center"/>
            <w:hideMark/>
          </w:tcPr>
          <w:p w14:paraId="496CC460" w14:textId="77777777" w:rsidR="00B65779" w:rsidRPr="00B65779" w:rsidRDefault="00B65779" w:rsidP="00B65779">
            <w:pPr>
              <w:jc w:val="center"/>
              <w:rPr>
                <w:rFonts w:ascii="CAIXA Std Book" w:eastAsia="Times New Roman" w:hAnsi="CAIXA Std Book" w:cs="Calibri"/>
                <w:b/>
                <w:bCs/>
                <w:color w:val="FFFFFF"/>
                <w:sz w:val="18"/>
                <w:szCs w:val="18"/>
              </w:rPr>
            </w:pPr>
            <w:r w:rsidRPr="00B65779">
              <w:rPr>
                <w:rFonts w:ascii="CAIXA Std Book" w:eastAsia="Times New Roman" w:hAnsi="CAIXA Std Book" w:cs="Calibri"/>
                <w:b/>
                <w:bCs/>
                <w:color w:val="FFFFFF"/>
                <w:sz w:val="18"/>
                <w:szCs w:val="18"/>
              </w:rPr>
              <w:t>31/12/2025</w:t>
            </w:r>
          </w:p>
        </w:tc>
        <w:tc>
          <w:tcPr>
            <w:tcW w:w="665" w:type="pct"/>
            <w:tcBorders>
              <w:top w:val="nil"/>
              <w:left w:val="nil"/>
              <w:bottom w:val="nil"/>
              <w:right w:val="nil"/>
            </w:tcBorders>
            <w:shd w:val="clear" w:color="000000" w:fill="005CA9"/>
            <w:noWrap/>
            <w:vAlign w:val="center"/>
            <w:hideMark/>
          </w:tcPr>
          <w:p w14:paraId="6CB67F79" w14:textId="77777777" w:rsidR="00B65779" w:rsidRPr="00B65779" w:rsidRDefault="00B65779" w:rsidP="00B65779">
            <w:pPr>
              <w:jc w:val="center"/>
              <w:rPr>
                <w:rFonts w:ascii="CAIXA Std Book" w:eastAsia="Times New Roman" w:hAnsi="CAIXA Std Book" w:cs="Calibri"/>
                <w:b/>
                <w:bCs/>
                <w:color w:val="FFFFFF"/>
                <w:sz w:val="18"/>
                <w:szCs w:val="18"/>
              </w:rPr>
            </w:pPr>
            <w:r w:rsidRPr="00B65779">
              <w:rPr>
                <w:rFonts w:ascii="CAIXA Std Book" w:eastAsia="Times New Roman" w:hAnsi="CAIXA Std Book" w:cs="Calibri"/>
                <w:b/>
                <w:bCs/>
                <w:color w:val="FFFFFF"/>
                <w:sz w:val="18"/>
                <w:szCs w:val="18"/>
              </w:rPr>
              <w:t>31/03/2026</w:t>
            </w:r>
          </w:p>
        </w:tc>
        <w:tc>
          <w:tcPr>
            <w:tcW w:w="666" w:type="pct"/>
            <w:tcBorders>
              <w:top w:val="nil"/>
              <w:left w:val="nil"/>
              <w:bottom w:val="nil"/>
              <w:right w:val="nil"/>
            </w:tcBorders>
            <w:shd w:val="clear" w:color="000000" w:fill="005CA9"/>
            <w:noWrap/>
            <w:vAlign w:val="center"/>
            <w:hideMark/>
          </w:tcPr>
          <w:p w14:paraId="304534AD" w14:textId="77777777" w:rsidR="00B65779" w:rsidRPr="00B65779" w:rsidRDefault="00B65779" w:rsidP="00B65779">
            <w:pPr>
              <w:jc w:val="center"/>
              <w:rPr>
                <w:rFonts w:ascii="CAIXA Std Book" w:eastAsia="Times New Roman" w:hAnsi="CAIXA Std Book" w:cs="Calibri"/>
                <w:b/>
                <w:bCs/>
                <w:color w:val="FFFFFF"/>
                <w:sz w:val="18"/>
                <w:szCs w:val="18"/>
              </w:rPr>
            </w:pPr>
            <w:r w:rsidRPr="00B65779">
              <w:rPr>
                <w:rFonts w:ascii="CAIXA Std Book" w:eastAsia="Times New Roman" w:hAnsi="CAIXA Std Book" w:cs="Calibri"/>
                <w:b/>
                <w:bCs/>
                <w:color w:val="FFFFFF"/>
                <w:sz w:val="18"/>
                <w:szCs w:val="18"/>
              </w:rPr>
              <w:t>31/12/2025</w:t>
            </w:r>
          </w:p>
        </w:tc>
      </w:tr>
      <w:tr w:rsidR="00B65779" w:rsidRPr="00B65779" w14:paraId="7BCA0C29" w14:textId="77777777" w:rsidTr="00457CCC">
        <w:trPr>
          <w:trHeight w:val="283"/>
        </w:trPr>
        <w:tc>
          <w:tcPr>
            <w:tcW w:w="2338" w:type="pct"/>
            <w:tcBorders>
              <w:top w:val="nil"/>
              <w:left w:val="nil"/>
              <w:bottom w:val="nil"/>
              <w:right w:val="nil"/>
            </w:tcBorders>
            <w:vAlign w:val="center"/>
            <w:hideMark/>
          </w:tcPr>
          <w:p w14:paraId="025DFEFE" w14:textId="77777777" w:rsidR="00B65779" w:rsidRPr="00B65779" w:rsidRDefault="00B65779" w:rsidP="00B65779">
            <w:pPr>
              <w:rPr>
                <w:rFonts w:ascii="CAIXA Std Book" w:eastAsia="Times New Roman" w:hAnsi="CAIXA Std Book" w:cs="Calibri"/>
                <w:color w:val="005CA9"/>
                <w:sz w:val="18"/>
                <w:szCs w:val="18"/>
              </w:rPr>
            </w:pPr>
            <w:r w:rsidRPr="00B65779">
              <w:rPr>
                <w:rFonts w:ascii="CAIXA Std Book" w:eastAsia="Times New Roman" w:hAnsi="CAIXA Std Book" w:cs="Calibri"/>
                <w:color w:val="005CA9"/>
                <w:sz w:val="18"/>
                <w:szCs w:val="18"/>
              </w:rPr>
              <w:t>Recursos para destinação específica (b)</w:t>
            </w:r>
          </w:p>
        </w:tc>
        <w:tc>
          <w:tcPr>
            <w:tcW w:w="665" w:type="pct"/>
            <w:tcBorders>
              <w:top w:val="nil"/>
              <w:left w:val="nil"/>
              <w:bottom w:val="nil"/>
              <w:right w:val="nil"/>
            </w:tcBorders>
            <w:vAlign w:val="center"/>
            <w:hideMark/>
          </w:tcPr>
          <w:p w14:paraId="6B0C1AAE" w14:textId="40D228FB" w:rsidR="00B65779" w:rsidRPr="00B65779" w:rsidRDefault="00E057EC" w:rsidP="00E057EC">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19.724.370</w:t>
            </w:r>
          </w:p>
        </w:tc>
        <w:tc>
          <w:tcPr>
            <w:tcW w:w="665" w:type="pct"/>
            <w:tcBorders>
              <w:top w:val="nil"/>
              <w:left w:val="nil"/>
              <w:bottom w:val="nil"/>
              <w:right w:val="nil"/>
            </w:tcBorders>
            <w:vAlign w:val="center"/>
            <w:hideMark/>
          </w:tcPr>
          <w:p w14:paraId="4A687F32" w14:textId="5B6E9F31" w:rsidR="00B65779" w:rsidRPr="00B65779" w:rsidRDefault="00B65779" w:rsidP="00B65779">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18.909.872</w:t>
            </w:r>
          </w:p>
        </w:tc>
        <w:tc>
          <w:tcPr>
            <w:tcW w:w="665" w:type="pct"/>
            <w:tcBorders>
              <w:top w:val="nil"/>
              <w:left w:val="nil"/>
              <w:bottom w:val="nil"/>
              <w:right w:val="nil"/>
            </w:tcBorders>
            <w:noWrap/>
            <w:vAlign w:val="center"/>
            <w:hideMark/>
          </w:tcPr>
          <w:p w14:paraId="25E486FE" w14:textId="07FEDDBE" w:rsidR="00B65779" w:rsidRPr="00B65779" w:rsidRDefault="00790696" w:rsidP="00B65779">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20.893.687</w:t>
            </w:r>
          </w:p>
        </w:tc>
        <w:tc>
          <w:tcPr>
            <w:tcW w:w="666" w:type="pct"/>
            <w:tcBorders>
              <w:top w:val="nil"/>
              <w:left w:val="nil"/>
              <w:bottom w:val="nil"/>
              <w:right w:val="nil"/>
            </w:tcBorders>
            <w:noWrap/>
            <w:vAlign w:val="center"/>
            <w:hideMark/>
          </w:tcPr>
          <w:p w14:paraId="4B1B9258" w14:textId="6B5704D9" w:rsidR="00B65779" w:rsidRPr="00B65779" w:rsidRDefault="00B65779" w:rsidP="00B65779">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20.395.130</w:t>
            </w:r>
          </w:p>
        </w:tc>
      </w:tr>
      <w:tr w:rsidR="00B65779" w:rsidRPr="00B65779" w14:paraId="26ED97B5" w14:textId="77777777" w:rsidTr="00457CCC">
        <w:trPr>
          <w:trHeight w:val="283"/>
        </w:trPr>
        <w:tc>
          <w:tcPr>
            <w:tcW w:w="2338" w:type="pct"/>
            <w:tcBorders>
              <w:top w:val="nil"/>
              <w:left w:val="nil"/>
              <w:bottom w:val="nil"/>
              <w:right w:val="nil"/>
            </w:tcBorders>
            <w:vAlign w:val="center"/>
            <w:hideMark/>
          </w:tcPr>
          <w:p w14:paraId="11418B11" w14:textId="77777777" w:rsidR="00B65779" w:rsidRPr="00B65779" w:rsidRDefault="00B65779" w:rsidP="00B65779">
            <w:pPr>
              <w:rPr>
                <w:rFonts w:ascii="CAIXA Std Book" w:eastAsia="Times New Roman" w:hAnsi="CAIXA Std Book" w:cs="Calibri"/>
                <w:color w:val="005CA9"/>
                <w:sz w:val="18"/>
                <w:szCs w:val="18"/>
              </w:rPr>
            </w:pPr>
            <w:r w:rsidRPr="00B65779">
              <w:rPr>
                <w:rFonts w:ascii="CAIXA Std Book" w:eastAsia="Times New Roman" w:hAnsi="CAIXA Std Book" w:cs="Calibri"/>
                <w:color w:val="005CA9"/>
                <w:sz w:val="18"/>
                <w:szCs w:val="18"/>
              </w:rPr>
              <w:t>Receitas antecipadas (c)</w:t>
            </w:r>
          </w:p>
        </w:tc>
        <w:tc>
          <w:tcPr>
            <w:tcW w:w="665" w:type="pct"/>
            <w:tcBorders>
              <w:top w:val="nil"/>
              <w:left w:val="nil"/>
              <w:bottom w:val="nil"/>
              <w:right w:val="nil"/>
            </w:tcBorders>
            <w:vAlign w:val="center"/>
            <w:hideMark/>
          </w:tcPr>
          <w:p w14:paraId="1A80BC8E" w14:textId="3A852382" w:rsidR="00B65779" w:rsidRPr="00B65779" w:rsidRDefault="00E057EC" w:rsidP="00E057EC">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7.429.</w:t>
            </w:r>
            <w:r w:rsidR="00457CCC">
              <w:rPr>
                <w:rFonts w:ascii="CAIXA Std Book" w:hAnsi="CAIXA Std Book" w:cs="Calibri"/>
                <w:color w:val="005CA9"/>
                <w:sz w:val="18"/>
                <w:szCs w:val="18"/>
              </w:rPr>
              <w:t>479</w:t>
            </w:r>
          </w:p>
        </w:tc>
        <w:tc>
          <w:tcPr>
            <w:tcW w:w="665" w:type="pct"/>
            <w:tcBorders>
              <w:top w:val="nil"/>
              <w:left w:val="nil"/>
              <w:bottom w:val="nil"/>
              <w:right w:val="nil"/>
            </w:tcBorders>
            <w:vAlign w:val="center"/>
            <w:hideMark/>
          </w:tcPr>
          <w:p w14:paraId="57CE61F6" w14:textId="1A16F905" w:rsidR="00B65779" w:rsidRPr="00B65779" w:rsidRDefault="00B65779" w:rsidP="00B65779">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7.530.708</w:t>
            </w:r>
          </w:p>
        </w:tc>
        <w:tc>
          <w:tcPr>
            <w:tcW w:w="665" w:type="pct"/>
            <w:tcBorders>
              <w:top w:val="nil"/>
              <w:left w:val="nil"/>
              <w:bottom w:val="nil"/>
              <w:right w:val="nil"/>
            </w:tcBorders>
            <w:noWrap/>
            <w:vAlign w:val="center"/>
            <w:hideMark/>
          </w:tcPr>
          <w:p w14:paraId="2390F40F" w14:textId="26363F11" w:rsidR="00B65779" w:rsidRPr="00B65779" w:rsidRDefault="00790696" w:rsidP="00B65779">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7.849.479</w:t>
            </w:r>
          </w:p>
        </w:tc>
        <w:tc>
          <w:tcPr>
            <w:tcW w:w="666" w:type="pct"/>
            <w:tcBorders>
              <w:top w:val="nil"/>
              <w:left w:val="nil"/>
              <w:bottom w:val="nil"/>
              <w:right w:val="nil"/>
            </w:tcBorders>
            <w:noWrap/>
            <w:vAlign w:val="center"/>
            <w:hideMark/>
          </w:tcPr>
          <w:p w14:paraId="0AEFA730" w14:textId="457F8029" w:rsidR="00B65779" w:rsidRPr="00B65779" w:rsidRDefault="00B65779" w:rsidP="00B65779">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7.985.513</w:t>
            </w:r>
          </w:p>
        </w:tc>
      </w:tr>
      <w:tr w:rsidR="00B65779" w:rsidRPr="00B65779" w14:paraId="3AF44629" w14:textId="77777777" w:rsidTr="00457CCC">
        <w:trPr>
          <w:trHeight w:val="283"/>
        </w:trPr>
        <w:tc>
          <w:tcPr>
            <w:tcW w:w="2338" w:type="pct"/>
            <w:tcBorders>
              <w:top w:val="nil"/>
              <w:left w:val="nil"/>
              <w:bottom w:val="nil"/>
              <w:right w:val="nil"/>
            </w:tcBorders>
            <w:vAlign w:val="center"/>
            <w:hideMark/>
          </w:tcPr>
          <w:p w14:paraId="03E1C83C" w14:textId="77777777" w:rsidR="00B65779" w:rsidRPr="00B65779" w:rsidRDefault="00B65779" w:rsidP="00B65779">
            <w:pPr>
              <w:rPr>
                <w:rFonts w:ascii="CAIXA Std Book" w:eastAsia="Times New Roman" w:hAnsi="CAIXA Std Book" w:cs="Calibri"/>
                <w:color w:val="005CA9"/>
                <w:sz w:val="18"/>
                <w:szCs w:val="18"/>
              </w:rPr>
            </w:pPr>
            <w:r w:rsidRPr="00B65779">
              <w:rPr>
                <w:rFonts w:ascii="CAIXA Std Book" w:eastAsia="Times New Roman" w:hAnsi="CAIXA Std Book" w:cs="Calibri"/>
                <w:color w:val="005CA9"/>
                <w:sz w:val="18"/>
                <w:szCs w:val="18"/>
              </w:rPr>
              <w:t>Obrigações por operações vinculadas à cessão</w:t>
            </w:r>
          </w:p>
        </w:tc>
        <w:tc>
          <w:tcPr>
            <w:tcW w:w="665" w:type="pct"/>
            <w:tcBorders>
              <w:top w:val="nil"/>
              <w:left w:val="nil"/>
              <w:bottom w:val="nil"/>
              <w:right w:val="nil"/>
            </w:tcBorders>
            <w:vAlign w:val="center"/>
            <w:hideMark/>
          </w:tcPr>
          <w:p w14:paraId="07CB523C" w14:textId="7724EF88" w:rsidR="00B65779" w:rsidRPr="00B65779" w:rsidRDefault="00E057EC" w:rsidP="00E057EC">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2.716.343</w:t>
            </w:r>
          </w:p>
        </w:tc>
        <w:tc>
          <w:tcPr>
            <w:tcW w:w="665" w:type="pct"/>
            <w:tcBorders>
              <w:top w:val="nil"/>
              <w:left w:val="nil"/>
              <w:bottom w:val="nil"/>
              <w:right w:val="nil"/>
            </w:tcBorders>
            <w:vAlign w:val="center"/>
            <w:hideMark/>
          </w:tcPr>
          <w:p w14:paraId="1E1E7043" w14:textId="0C341563" w:rsidR="00B65779" w:rsidRPr="00B65779" w:rsidRDefault="00B65779" w:rsidP="00B65779">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2.827.858</w:t>
            </w:r>
          </w:p>
        </w:tc>
        <w:tc>
          <w:tcPr>
            <w:tcW w:w="665" w:type="pct"/>
            <w:tcBorders>
              <w:top w:val="nil"/>
              <w:left w:val="nil"/>
              <w:bottom w:val="nil"/>
              <w:right w:val="nil"/>
            </w:tcBorders>
            <w:noWrap/>
            <w:vAlign w:val="center"/>
            <w:hideMark/>
          </w:tcPr>
          <w:p w14:paraId="10C5711E" w14:textId="3FA30E29" w:rsidR="00B65779" w:rsidRPr="00B65779" w:rsidRDefault="00790696" w:rsidP="00B65779">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2.716.343</w:t>
            </w:r>
          </w:p>
        </w:tc>
        <w:tc>
          <w:tcPr>
            <w:tcW w:w="666" w:type="pct"/>
            <w:tcBorders>
              <w:top w:val="nil"/>
              <w:left w:val="nil"/>
              <w:bottom w:val="nil"/>
              <w:right w:val="nil"/>
            </w:tcBorders>
            <w:noWrap/>
            <w:vAlign w:val="center"/>
            <w:hideMark/>
          </w:tcPr>
          <w:p w14:paraId="019136E9" w14:textId="0C98280D" w:rsidR="00B65779" w:rsidRPr="00B65779" w:rsidRDefault="00B65779" w:rsidP="00B65779">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2.827.858</w:t>
            </w:r>
          </w:p>
        </w:tc>
      </w:tr>
      <w:tr w:rsidR="00B65779" w:rsidRPr="00B65779" w14:paraId="319E636D" w14:textId="77777777" w:rsidTr="00457CCC">
        <w:trPr>
          <w:trHeight w:val="283"/>
        </w:trPr>
        <w:tc>
          <w:tcPr>
            <w:tcW w:w="2338" w:type="pct"/>
            <w:tcBorders>
              <w:top w:val="nil"/>
              <w:left w:val="nil"/>
              <w:bottom w:val="nil"/>
              <w:right w:val="nil"/>
            </w:tcBorders>
            <w:vAlign w:val="center"/>
            <w:hideMark/>
          </w:tcPr>
          <w:p w14:paraId="4834719B" w14:textId="77777777" w:rsidR="00B65779" w:rsidRPr="00B65779" w:rsidRDefault="00B65779" w:rsidP="00B65779">
            <w:pPr>
              <w:rPr>
                <w:rFonts w:ascii="CAIXA Std Book" w:eastAsia="Times New Roman" w:hAnsi="CAIXA Std Book" w:cs="Calibri"/>
                <w:color w:val="005CA9"/>
                <w:sz w:val="18"/>
                <w:szCs w:val="18"/>
              </w:rPr>
            </w:pPr>
            <w:r w:rsidRPr="00B65779">
              <w:rPr>
                <w:rFonts w:ascii="CAIXA Std Book" w:eastAsia="Times New Roman" w:hAnsi="CAIXA Std Book" w:cs="Calibri"/>
                <w:color w:val="005CA9"/>
                <w:sz w:val="18"/>
                <w:szCs w:val="18"/>
              </w:rPr>
              <w:t>Passivo de arrendamento</w:t>
            </w:r>
          </w:p>
        </w:tc>
        <w:tc>
          <w:tcPr>
            <w:tcW w:w="665" w:type="pct"/>
            <w:tcBorders>
              <w:top w:val="nil"/>
              <w:left w:val="nil"/>
              <w:bottom w:val="nil"/>
              <w:right w:val="nil"/>
            </w:tcBorders>
            <w:vAlign w:val="center"/>
            <w:hideMark/>
          </w:tcPr>
          <w:p w14:paraId="1EF71D07" w14:textId="3F13461F" w:rsidR="00B65779" w:rsidRPr="00B65779" w:rsidRDefault="009A38FE" w:rsidP="009A38FE">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2.905.955</w:t>
            </w:r>
          </w:p>
        </w:tc>
        <w:tc>
          <w:tcPr>
            <w:tcW w:w="665" w:type="pct"/>
            <w:tcBorders>
              <w:top w:val="nil"/>
              <w:left w:val="nil"/>
              <w:bottom w:val="nil"/>
              <w:right w:val="nil"/>
            </w:tcBorders>
            <w:vAlign w:val="center"/>
            <w:hideMark/>
          </w:tcPr>
          <w:p w14:paraId="09216798" w14:textId="77777777" w:rsidR="00B65779" w:rsidRPr="00B65779" w:rsidRDefault="00B65779" w:rsidP="00B65779">
            <w:pPr>
              <w:jc w:val="right"/>
              <w:rPr>
                <w:rFonts w:ascii="CAIXA Std Book" w:eastAsia="Times New Roman" w:hAnsi="CAIXA Std Book" w:cs="Calibri"/>
                <w:color w:val="005CA9"/>
                <w:sz w:val="18"/>
                <w:szCs w:val="18"/>
              </w:rPr>
            </w:pPr>
            <w:r w:rsidRPr="00B65779">
              <w:rPr>
                <w:rFonts w:ascii="CAIXA Std Book" w:eastAsia="Times New Roman" w:hAnsi="CAIXA Std Book" w:cs="Calibri"/>
                <w:color w:val="005CA9"/>
                <w:sz w:val="18"/>
                <w:szCs w:val="18"/>
              </w:rPr>
              <w:t>2.477.961</w:t>
            </w:r>
          </w:p>
        </w:tc>
        <w:tc>
          <w:tcPr>
            <w:tcW w:w="665" w:type="pct"/>
            <w:tcBorders>
              <w:top w:val="nil"/>
              <w:left w:val="nil"/>
              <w:bottom w:val="nil"/>
              <w:right w:val="nil"/>
            </w:tcBorders>
            <w:noWrap/>
            <w:vAlign w:val="center"/>
            <w:hideMark/>
          </w:tcPr>
          <w:p w14:paraId="618FE1B9" w14:textId="7F906BF0" w:rsidR="00B65779" w:rsidRPr="00B65779" w:rsidRDefault="008D50CC" w:rsidP="00B65779">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2.915.977</w:t>
            </w:r>
          </w:p>
        </w:tc>
        <w:tc>
          <w:tcPr>
            <w:tcW w:w="666" w:type="pct"/>
            <w:tcBorders>
              <w:top w:val="nil"/>
              <w:left w:val="nil"/>
              <w:bottom w:val="nil"/>
              <w:right w:val="nil"/>
            </w:tcBorders>
            <w:noWrap/>
            <w:vAlign w:val="center"/>
            <w:hideMark/>
          </w:tcPr>
          <w:p w14:paraId="67D35630" w14:textId="77777777" w:rsidR="00B65779" w:rsidRPr="00B65779" w:rsidRDefault="00B65779" w:rsidP="00B65779">
            <w:pPr>
              <w:jc w:val="right"/>
              <w:rPr>
                <w:rFonts w:ascii="CAIXA Std Book" w:eastAsia="Times New Roman" w:hAnsi="CAIXA Std Book" w:cs="Calibri"/>
                <w:color w:val="005CA9"/>
                <w:sz w:val="18"/>
                <w:szCs w:val="18"/>
              </w:rPr>
            </w:pPr>
            <w:r w:rsidRPr="00B65779">
              <w:rPr>
                <w:rFonts w:ascii="CAIXA Std Book" w:eastAsia="Times New Roman" w:hAnsi="CAIXA Std Book" w:cs="Calibri"/>
                <w:color w:val="005CA9"/>
                <w:sz w:val="18"/>
                <w:szCs w:val="18"/>
              </w:rPr>
              <w:t>2.488.090</w:t>
            </w:r>
          </w:p>
        </w:tc>
      </w:tr>
      <w:tr w:rsidR="00B65779" w:rsidRPr="00B65779" w14:paraId="10FED616" w14:textId="77777777" w:rsidTr="00457CCC">
        <w:trPr>
          <w:trHeight w:val="283"/>
        </w:trPr>
        <w:tc>
          <w:tcPr>
            <w:tcW w:w="2338" w:type="pct"/>
            <w:tcBorders>
              <w:top w:val="nil"/>
              <w:left w:val="nil"/>
              <w:bottom w:val="nil"/>
              <w:right w:val="nil"/>
            </w:tcBorders>
            <w:vAlign w:val="center"/>
            <w:hideMark/>
          </w:tcPr>
          <w:p w14:paraId="24592D55" w14:textId="77777777" w:rsidR="00B65779" w:rsidRPr="00B65779" w:rsidRDefault="00B65779" w:rsidP="00B65779">
            <w:pPr>
              <w:rPr>
                <w:rFonts w:ascii="CAIXA Std Book" w:eastAsia="Times New Roman" w:hAnsi="CAIXA Std Book" w:cs="Calibri"/>
                <w:color w:val="005CA9"/>
                <w:sz w:val="18"/>
                <w:szCs w:val="18"/>
              </w:rPr>
            </w:pPr>
            <w:r w:rsidRPr="00B65779">
              <w:rPr>
                <w:rFonts w:ascii="CAIXA Std Book" w:eastAsia="Times New Roman" w:hAnsi="CAIXA Std Book" w:cs="Calibri"/>
                <w:color w:val="005CA9"/>
                <w:sz w:val="18"/>
                <w:szCs w:val="18"/>
              </w:rPr>
              <w:t>Recursos vinculados a operações de crédito</w:t>
            </w:r>
          </w:p>
        </w:tc>
        <w:tc>
          <w:tcPr>
            <w:tcW w:w="665" w:type="pct"/>
            <w:tcBorders>
              <w:top w:val="nil"/>
              <w:left w:val="nil"/>
              <w:bottom w:val="nil"/>
              <w:right w:val="nil"/>
            </w:tcBorders>
            <w:vAlign w:val="center"/>
            <w:hideMark/>
          </w:tcPr>
          <w:p w14:paraId="0C2CDC77" w14:textId="715E2E19" w:rsidR="00B65779" w:rsidRPr="00B65779" w:rsidRDefault="009A38FE" w:rsidP="009A38FE">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1.336.335</w:t>
            </w:r>
          </w:p>
        </w:tc>
        <w:tc>
          <w:tcPr>
            <w:tcW w:w="665" w:type="pct"/>
            <w:tcBorders>
              <w:top w:val="nil"/>
              <w:left w:val="nil"/>
              <w:bottom w:val="nil"/>
              <w:right w:val="nil"/>
            </w:tcBorders>
            <w:vAlign w:val="center"/>
            <w:hideMark/>
          </w:tcPr>
          <w:p w14:paraId="301278C1" w14:textId="77777777" w:rsidR="00B65779" w:rsidRPr="00B65779" w:rsidRDefault="00B65779" w:rsidP="00B65779">
            <w:pPr>
              <w:jc w:val="right"/>
              <w:rPr>
                <w:rFonts w:ascii="CAIXA Std Book" w:eastAsia="Times New Roman" w:hAnsi="CAIXA Std Book" w:cs="Calibri"/>
                <w:color w:val="005CA9"/>
                <w:sz w:val="18"/>
                <w:szCs w:val="18"/>
              </w:rPr>
            </w:pPr>
            <w:r w:rsidRPr="00B65779">
              <w:rPr>
                <w:rFonts w:ascii="CAIXA Std Book" w:eastAsia="Times New Roman" w:hAnsi="CAIXA Std Book" w:cs="Calibri"/>
                <w:color w:val="005CA9"/>
                <w:sz w:val="18"/>
                <w:szCs w:val="18"/>
              </w:rPr>
              <w:t>1.356.784</w:t>
            </w:r>
          </w:p>
        </w:tc>
        <w:tc>
          <w:tcPr>
            <w:tcW w:w="665" w:type="pct"/>
            <w:tcBorders>
              <w:top w:val="nil"/>
              <w:left w:val="nil"/>
              <w:bottom w:val="nil"/>
              <w:right w:val="nil"/>
            </w:tcBorders>
            <w:noWrap/>
            <w:vAlign w:val="center"/>
            <w:hideMark/>
          </w:tcPr>
          <w:p w14:paraId="4FAF4E71" w14:textId="0E9281DD" w:rsidR="00B65779" w:rsidRPr="00B65779" w:rsidRDefault="00E44D7B" w:rsidP="00B65779">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1.336.335</w:t>
            </w:r>
          </w:p>
        </w:tc>
        <w:tc>
          <w:tcPr>
            <w:tcW w:w="666" w:type="pct"/>
            <w:tcBorders>
              <w:top w:val="nil"/>
              <w:left w:val="nil"/>
              <w:bottom w:val="nil"/>
              <w:right w:val="nil"/>
            </w:tcBorders>
            <w:noWrap/>
            <w:vAlign w:val="center"/>
            <w:hideMark/>
          </w:tcPr>
          <w:p w14:paraId="13612616" w14:textId="77777777" w:rsidR="00B65779" w:rsidRPr="00B65779" w:rsidRDefault="00B65779" w:rsidP="00B65779">
            <w:pPr>
              <w:jc w:val="right"/>
              <w:rPr>
                <w:rFonts w:ascii="CAIXA Std Book" w:eastAsia="Times New Roman" w:hAnsi="CAIXA Std Book" w:cs="Calibri"/>
                <w:color w:val="005CA9"/>
                <w:sz w:val="18"/>
                <w:szCs w:val="18"/>
              </w:rPr>
            </w:pPr>
            <w:r w:rsidRPr="00B65779">
              <w:rPr>
                <w:rFonts w:ascii="CAIXA Std Book" w:eastAsia="Times New Roman" w:hAnsi="CAIXA Std Book" w:cs="Calibri"/>
                <w:color w:val="005CA9"/>
                <w:sz w:val="18"/>
                <w:szCs w:val="18"/>
              </w:rPr>
              <w:t>1.356.784</w:t>
            </w:r>
          </w:p>
        </w:tc>
      </w:tr>
      <w:tr w:rsidR="00B65779" w:rsidRPr="00B65779" w14:paraId="7397549D" w14:textId="77777777" w:rsidTr="00457CCC">
        <w:trPr>
          <w:trHeight w:val="283"/>
        </w:trPr>
        <w:tc>
          <w:tcPr>
            <w:tcW w:w="2338" w:type="pct"/>
            <w:tcBorders>
              <w:top w:val="nil"/>
              <w:left w:val="nil"/>
              <w:bottom w:val="nil"/>
              <w:right w:val="nil"/>
            </w:tcBorders>
            <w:vAlign w:val="center"/>
            <w:hideMark/>
          </w:tcPr>
          <w:p w14:paraId="1B67D765" w14:textId="77777777" w:rsidR="00B65779" w:rsidRPr="00B65779" w:rsidRDefault="00B65779" w:rsidP="00B65779">
            <w:pPr>
              <w:rPr>
                <w:rFonts w:ascii="CAIXA Std Book" w:eastAsia="Times New Roman" w:hAnsi="CAIXA Std Book" w:cs="Calibri"/>
                <w:color w:val="005CA9"/>
                <w:sz w:val="18"/>
                <w:szCs w:val="18"/>
              </w:rPr>
            </w:pPr>
            <w:r w:rsidRPr="00B65779">
              <w:rPr>
                <w:rFonts w:ascii="CAIXA Std Book" w:eastAsia="Times New Roman" w:hAnsi="CAIXA Std Book" w:cs="Calibri"/>
                <w:color w:val="005CA9"/>
                <w:sz w:val="18"/>
                <w:szCs w:val="18"/>
              </w:rPr>
              <w:t>Recursos do FGTS para amortização</w:t>
            </w:r>
          </w:p>
        </w:tc>
        <w:tc>
          <w:tcPr>
            <w:tcW w:w="665" w:type="pct"/>
            <w:tcBorders>
              <w:top w:val="nil"/>
              <w:left w:val="nil"/>
              <w:bottom w:val="nil"/>
              <w:right w:val="nil"/>
            </w:tcBorders>
            <w:vAlign w:val="center"/>
            <w:hideMark/>
          </w:tcPr>
          <w:p w14:paraId="79BF0984" w14:textId="1B50C835" w:rsidR="00B65779" w:rsidRPr="00B65779" w:rsidRDefault="00D02E04" w:rsidP="00D02E04">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1.146.334</w:t>
            </w:r>
          </w:p>
        </w:tc>
        <w:tc>
          <w:tcPr>
            <w:tcW w:w="665" w:type="pct"/>
            <w:tcBorders>
              <w:top w:val="nil"/>
              <w:left w:val="nil"/>
              <w:bottom w:val="nil"/>
              <w:right w:val="nil"/>
            </w:tcBorders>
            <w:vAlign w:val="center"/>
            <w:hideMark/>
          </w:tcPr>
          <w:p w14:paraId="30DD0643" w14:textId="77777777" w:rsidR="00B65779" w:rsidRPr="00B65779" w:rsidRDefault="00B65779" w:rsidP="00B65779">
            <w:pPr>
              <w:jc w:val="right"/>
              <w:rPr>
                <w:rFonts w:ascii="CAIXA Std Book" w:eastAsia="Times New Roman" w:hAnsi="CAIXA Std Book" w:cs="Calibri"/>
                <w:color w:val="005CA9"/>
                <w:sz w:val="18"/>
                <w:szCs w:val="18"/>
              </w:rPr>
            </w:pPr>
            <w:r w:rsidRPr="00B65779">
              <w:rPr>
                <w:rFonts w:ascii="CAIXA Std Book" w:eastAsia="Times New Roman" w:hAnsi="CAIXA Std Book" w:cs="Calibri"/>
                <w:color w:val="005CA9"/>
                <w:sz w:val="18"/>
                <w:szCs w:val="18"/>
              </w:rPr>
              <w:t>1.008.477</w:t>
            </w:r>
          </w:p>
        </w:tc>
        <w:tc>
          <w:tcPr>
            <w:tcW w:w="665" w:type="pct"/>
            <w:tcBorders>
              <w:top w:val="nil"/>
              <w:left w:val="nil"/>
              <w:bottom w:val="nil"/>
              <w:right w:val="nil"/>
            </w:tcBorders>
            <w:noWrap/>
            <w:vAlign w:val="center"/>
            <w:hideMark/>
          </w:tcPr>
          <w:p w14:paraId="2A46152D" w14:textId="20AD609A" w:rsidR="00B65779" w:rsidRPr="00B65779" w:rsidRDefault="003920AE" w:rsidP="00B65779">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1.146.334</w:t>
            </w:r>
          </w:p>
        </w:tc>
        <w:tc>
          <w:tcPr>
            <w:tcW w:w="666" w:type="pct"/>
            <w:tcBorders>
              <w:top w:val="nil"/>
              <w:left w:val="nil"/>
              <w:bottom w:val="nil"/>
              <w:right w:val="nil"/>
            </w:tcBorders>
            <w:noWrap/>
            <w:vAlign w:val="center"/>
            <w:hideMark/>
          </w:tcPr>
          <w:p w14:paraId="5DA73B35" w14:textId="77777777" w:rsidR="00B65779" w:rsidRPr="00B65779" w:rsidRDefault="00B65779" w:rsidP="00B65779">
            <w:pPr>
              <w:jc w:val="right"/>
              <w:rPr>
                <w:rFonts w:ascii="CAIXA Std Book" w:eastAsia="Times New Roman" w:hAnsi="CAIXA Std Book" w:cs="Calibri"/>
                <w:color w:val="005CA9"/>
                <w:sz w:val="18"/>
                <w:szCs w:val="18"/>
              </w:rPr>
            </w:pPr>
            <w:r w:rsidRPr="00B65779">
              <w:rPr>
                <w:rFonts w:ascii="CAIXA Std Book" w:eastAsia="Times New Roman" w:hAnsi="CAIXA Std Book" w:cs="Calibri"/>
                <w:color w:val="005CA9"/>
                <w:sz w:val="18"/>
                <w:szCs w:val="18"/>
              </w:rPr>
              <w:t>1.008.477</w:t>
            </w:r>
          </w:p>
        </w:tc>
      </w:tr>
      <w:tr w:rsidR="00B65779" w:rsidRPr="00B65779" w14:paraId="55F4EB44" w14:textId="77777777" w:rsidTr="00457CCC">
        <w:trPr>
          <w:trHeight w:val="283"/>
        </w:trPr>
        <w:tc>
          <w:tcPr>
            <w:tcW w:w="2338" w:type="pct"/>
            <w:tcBorders>
              <w:top w:val="nil"/>
              <w:left w:val="nil"/>
              <w:bottom w:val="nil"/>
              <w:right w:val="nil"/>
            </w:tcBorders>
            <w:vAlign w:val="center"/>
            <w:hideMark/>
          </w:tcPr>
          <w:p w14:paraId="0F960E9D" w14:textId="77777777" w:rsidR="00B65779" w:rsidRPr="00B65779" w:rsidRDefault="00B65779" w:rsidP="00B65779">
            <w:pPr>
              <w:rPr>
                <w:rFonts w:ascii="CAIXA Std Book" w:eastAsia="Times New Roman" w:hAnsi="CAIXA Std Book" w:cs="Calibri"/>
                <w:color w:val="005CA9"/>
                <w:sz w:val="18"/>
                <w:szCs w:val="18"/>
              </w:rPr>
            </w:pPr>
            <w:r w:rsidRPr="00B65779">
              <w:rPr>
                <w:rFonts w:ascii="CAIXA Std Book" w:eastAsia="Times New Roman" w:hAnsi="CAIXA Std Book" w:cs="Calibri"/>
                <w:color w:val="005CA9"/>
                <w:sz w:val="18"/>
                <w:szCs w:val="18"/>
              </w:rPr>
              <w:t>Negociação e intermediação de valores</w:t>
            </w:r>
          </w:p>
        </w:tc>
        <w:tc>
          <w:tcPr>
            <w:tcW w:w="665" w:type="pct"/>
            <w:tcBorders>
              <w:top w:val="nil"/>
              <w:left w:val="nil"/>
              <w:bottom w:val="nil"/>
              <w:right w:val="nil"/>
            </w:tcBorders>
            <w:vAlign w:val="center"/>
            <w:hideMark/>
          </w:tcPr>
          <w:p w14:paraId="0ABB4F04" w14:textId="348EC5BC" w:rsidR="00B65779" w:rsidRPr="00B65779" w:rsidRDefault="00D02E04" w:rsidP="00D02E04">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836</w:t>
            </w:r>
          </w:p>
        </w:tc>
        <w:tc>
          <w:tcPr>
            <w:tcW w:w="665" w:type="pct"/>
            <w:tcBorders>
              <w:top w:val="nil"/>
              <w:left w:val="nil"/>
              <w:bottom w:val="nil"/>
              <w:right w:val="nil"/>
            </w:tcBorders>
            <w:vAlign w:val="center"/>
            <w:hideMark/>
          </w:tcPr>
          <w:p w14:paraId="4ED305D9" w14:textId="77777777" w:rsidR="00B65779" w:rsidRPr="00B65779" w:rsidRDefault="00B65779" w:rsidP="00B65779">
            <w:pPr>
              <w:jc w:val="right"/>
              <w:rPr>
                <w:rFonts w:ascii="CAIXA Std Book" w:eastAsia="Times New Roman" w:hAnsi="CAIXA Std Book" w:cs="Calibri"/>
                <w:color w:val="005CA9"/>
                <w:sz w:val="18"/>
                <w:szCs w:val="18"/>
              </w:rPr>
            </w:pPr>
            <w:r w:rsidRPr="00B65779">
              <w:rPr>
                <w:rFonts w:ascii="CAIXA Std Book" w:eastAsia="Times New Roman" w:hAnsi="CAIXA Std Book" w:cs="Calibri"/>
                <w:color w:val="005CA9"/>
                <w:sz w:val="18"/>
                <w:szCs w:val="18"/>
              </w:rPr>
              <w:t>52.168</w:t>
            </w:r>
          </w:p>
        </w:tc>
        <w:tc>
          <w:tcPr>
            <w:tcW w:w="665" w:type="pct"/>
            <w:tcBorders>
              <w:top w:val="nil"/>
              <w:left w:val="nil"/>
              <w:bottom w:val="nil"/>
              <w:right w:val="nil"/>
            </w:tcBorders>
            <w:noWrap/>
            <w:vAlign w:val="center"/>
            <w:hideMark/>
          </w:tcPr>
          <w:p w14:paraId="109434EB" w14:textId="5A1ECD8C" w:rsidR="00B65779" w:rsidRPr="00B65779" w:rsidRDefault="004B2DA1" w:rsidP="00B65779">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899</w:t>
            </w:r>
          </w:p>
        </w:tc>
        <w:tc>
          <w:tcPr>
            <w:tcW w:w="666" w:type="pct"/>
            <w:tcBorders>
              <w:top w:val="nil"/>
              <w:left w:val="nil"/>
              <w:bottom w:val="nil"/>
              <w:right w:val="nil"/>
            </w:tcBorders>
            <w:noWrap/>
            <w:vAlign w:val="center"/>
            <w:hideMark/>
          </w:tcPr>
          <w:p w14:paraId="20BEE21B" w14:textId="77777777" w:rsidR="00B65779" w:rsidRPr="00B65779" w:rsidRDefault="00B65779" w:rsidP="00B65779">
            <w:pPr>
              <w:jc w:val="right"/>
              <w:rPr>
                <w:rFonts w:ascii="CAIXA Std Book" w:eastAsia="Times New Roman" w:hAnsi="CAIXA Std Book" w:cs="Calibri"/>
                <w:color w:val="005CA9"/>
                <w:sz w:val="18"/>
                <w:szCs w:val="18"/>
              </w:rPr>
            </w:pPr>
            <w:r w:rsidRPr="00B65779">
              <w:rPr>
                <w:rFonts w:ascii="CAIXA Std Book" w:eastAsia="Times New Roman" w:hAnsi="CAIXA Std Book" w:cs="Calibri"/>
                <w:color w:val="005CA9"/>
                <w:sz w:val="18"/>
                <w:szCs w:val="18"/>
              </w:rPr>
              <w:t>52.209</w:t>
            </w:r>
          </w:p>
        </w:tc>
      </w:tr>
      <w:tr w:rsidR="00B65779" w:rsidRPr="00B65779" w14:paraId="73A8B571" w14:textId="77777777" w:rsidTr="00457CCC">
        <w:trPr>
          <w:trHeight w:val="283"/>
        </w:trPr>
        <w:tc>
          <w:tcPr>
            <w:tcW w:w="2338" w:type="pct"/>
            <w:tcBorders>
              <w:top w:val="nil"/>
              <w:left w:val="nil"/>
              <w:bottom w:val="nil"/>
              <w:right w:val="nil"/>
            </w:tcBorders>
            <w:vAlign w:val="center"/>
            <w:hideMark/>
          </w:tcPr>
          <w:p w14:paraId="2FF27828" w14:textId="77777777" w:rsidR="00B65779" w:rsidRPr="00B65779" w:rsidRDefault="00B65779" w:rsidP="00B65779">
            <w:pPr>
              <w:rPr>
                <w:rFonts w:ascii="CAIXA Std Book" w:eastAsia="Times New Roman" w:hAnsi="CAIXA Std Book" w:cs="Calibri"/>
                <w:color w:val="005CA9"/>
                <w:sz w:val="18"/>
                <w:szCs w:val="18"/>
              </w:rPr>
            </w:pPr>
            <w:r w:rsidRPr="00B65779">
              <w:rPr>
                <w:rFonts w:ascii="CAIXA Std Book" w:eastAsia="Times New Roman" w:hAnsi="CAIXA Std Book" w:cs="Calibri"/>
                <w:color w:val="005CA9"/>
                <w:sz w:val="18"/>
                <w:szCs w:val="18"/>
              </w:rPr>
              <w:t>Obrigações por transações de pagamentos</w:t>
            </w:r>
          </w:p>
        </w:tc>
        <w:tc>
          <w:tcPr>
            <w:tcW w:w="665" w:type="pct"/>
            <w:tcBorders>
              <w:top w:val="nil"/>
              <w:left w:val="nil"/>
              <w:bottom w:val="nil"/>
              <w:right w:val="nil"/>
            </w:tcBorders>
            <w:vAlign w:val="center"/>
            <w:hideMark/>
          </w:tcPr>
          <w:p w14:paraId="03F851F4" w14:textId="1A217720" w:rsidR="00B65779" w:rsidRPr="00B65779" w:rsidRDefault="004B2DA1" w:rsidP="00200174">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165</w:t>
            </w:r>
          </w:p>
        </w:tc>
        <w:tc>
          <w:tcPr>
            <w:tcW w:w="665" w:type="pct"/>
            <w:tcBorders>
              <w:top w:val="nil"/>
              <w:left w:val="nil"/>
              <w:bottom w:val="nil"/>
              <w:right w:val="nil"/>
            </w:tcBorders>
            <w:vAlign w:val="center"/>
            <w:hideMark/>
          </w:tcPr>
          <w:p w14:paraId="686CB2B0" w14:textId="77777777" w:rsidR="00B65779" w:rsidRPr="00B65779" w:rsidRDefault="00B65779" w:rsidP="00B65779">
            <w:pPr>
              <w:jc w:val="right"/>
              <w:rPr>
                <w:rFonts w:ascii="CAIXA Std Book" w:eastAsia="Times New Roman" w:hAnsi="CAIXA Std Book" w:cs="Calibri"/>
                <w:color w:val="005CA9"/>
                <w:sz w:val="18"/>
                <w:szCs w:val="18"/>
              </w:rPr>
            </w:pPr>
            <w:r w:rsidRPr="00B65779">
              <w:rPr>
                <w:rFonts w:ascii="CAIXA Std Book" w:eastAsia="Times New Roman" w:hAnsi="CAIXA Std Book" w:cs="Calibri"/>
                <w:color w:val="005CA9"/>
                <w:sz w:val="18"/>
                <w:szCs w:val="18"/>
              </w:rPr>
              <w:t>114</w:t>
            </w:r>
          </w:p>
        </w:tc>
        <w:tc>
          <w:tcPr>
            <w:tcW w:w="665" w:type="pct"/>
            <w:tcBorders>
              <w:top w:val="nil"/>
              <w:left w:val="nil"/>
              <w:bottom w:val="nil"/>
              <w:right w:val="nil"/>
            </w:tcBorders>
            <w:noWrap/>
            <w:vAlign w:val="center"/>
            <w:hideMark/>
          </w:tcPr>
          <w:p w14:paraId="2D0FFADB" w14:textId="14443BEB" w:rsidR="00B65779" w:rsidRPr="00B65779" w:rsidRDefault="004B2DA1" w:rsidP="00B65779">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165</w:t>
            </w:r>
          </w:p>
        </w:tc>
        <w:tc>
          <w:tcPr>
            <w:tcW w:w="666" w:type="pct"/>
            <w:tcBorders>
              <w:top w:val="nil"/>
              <w:left w:val="nil"/>
              <w:bottom w:val="nil"/>
              <w:right w:val="nil"/>
            </w:tcBorders>
            <w:noWrap/>
            <w:vAlign w:val="center"/>
            <w:hideMark/>
          </w:tcPr>
          <w:p w14:paraId="59177322" w14:textId="77777777" w:rsidR="00B65779" w:rsidRPr="00B65779" w:rsidRDefault="00B65779" w:rsidP="00B65779">
            <w:pPr>
              <w:jc w:val="right"/>
              <w:rPr>
                <w:rFonts w:ascii="CAIXA Std Book" w:eastAsia="Times New Roman" w:hAnsi="CAIXA Std Book" w:cs="Calibri"/>
                <w:color w:val="005CA9"/>
                <w:sz w:val="18"/>
                <w:szCs w:val="18"/>
              </w:rPr>
            </w:pPr>
            <w:r w:rsidRPr="00B65779">
              <w:rPr>
                <w:rFonts w:ascii="CAIXA Std Book" w:eastAsia="Times New Roman" w:hAnsi="CAIXA Std Book" w:cs="Calibri"/>
                <w:color w:val="005CA9"/>
                <w:sz w:val="18"/>
                <w:szCs w:val="18"/>
              </w:rPr>
              <w:t>114</w:t>
            </w:r>
          </w:p>
        </w:tc>
      </w:tr>
      <w:tr w:rsidR="00B65779" w:rsidRPr="00B65779" w14:paraId="462C664F" w14:textId="77777777" w:rsidTr="00457CCC">
        <w:trPr>
          <w:trHeight w:val="283"/>
        </w:trPr>
        <w:tc>
          <w:tcPr>
            <w:tcW w:w="2338" w:type="pct"/>
            <w:tcBorders>
              <w:top w:val="nil"/>
              <w:left w:val="nil"/>
              <w:bottom w:val="nil"/>
              <w:right w:val="nil"/>
            </w:tcBorders>
            <w:shd w:val="clear" w:color="000000" w:fill="005CA9"/>
            <w:noWrap/>
            <w:vAlign w:val="center"/>
            <w:hideMark/>
          </w:tcPr>
          <w:p w14:paraId="2A45A4F1" w14:textId="77777777" w:rsidR="00B65779" w:rsidRPr="00B65779" w:rsidRDefault="00B65779" w:rsidP="00B65779">
            <w:pPr>
              <w:rPr>
                <w:rFonts w:ascii="CAIXA Std Book" w:eastAsia="Times New Roman" w:hAnsi="CAIXA Std Book" w:cs="Calibri"/>
                <w:b/>
                <w:bCs/>
                <w:color w:val="FFFFFF"/>
                <w:sz w:val="18"/>
                <w:szCs w:val="18"/>
              </w:rPr>
            </w:pPr>
            <w:r w:rsidRPr="00B65779">
              <w:rPr>
                <w:rFonts w:ascii="CAIXA Std Book" w:eastAsia="Times New Roman" w:hAnsi="CAIXA Std Book" w:cs="Calibri"/>
                <w:b/>
                <w:bCs/>
                <w:color w:val="FFFFFF"/>
                <w:sz w:val="18"/>
                <w:szCs w:val="18"/>
              </w:rPr>
              <w:t>Total</w:t>
            </w:r>
          </w:p>
        </w:tc>
        <w:tc>
          <w:tcPr>
            <w:tcW w:w="665" w:type="pct"/>
            <w:tcBorders>
              <w:top w:val="nil"/>
              <w:left w:val="nil"/>
              <w:bottom w:val="nil"/>
              <w:right w:val="nil"/>
            </w:tcBorders>
            <w:shd w:val="clear" w:color="000000" w:fill="005CA9"/>
            <w:vAlign w:val="center"/>
            <w:hideMark/>
          </w:tcPr>
          <w:p w14:paraId="4CD572D0" w14:textId="6DA7B6AF" w:rsidR="00B65779" w:rsidRPr="00B65779" w:rsidRDefault="00200174" w:rsidP="00B65779">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35.259.817</w:t>
            </w:r>
          </w:p>
        </w:tc>
        <w:tc>
          <w:tcPr>
            <w:tcW w:w="665" w:type="pct"/>
            <w:tcBorders>
              <w:top w:val="nil"/>
              <w:left w:val="nil"/>
              <w:bottom w:val="nil"/>
              <w:right w:val="nil"/>
            </w:tcBorders>
            <w:shd w:val="clear" w:color="000000" w:fill="005CA9"/>
            <w:vAlign w:val="center"/>
            <w:hideMark/>
          </w:tcPr>
          <w:p w14:paraId="33A2776C" w14:textId="77777777" w:rsidR="00B65779" w:rsidRPr="00B65779" w:rsidRDefault="00B65779" w:rsidP="00B65779">
            <w:pPr>
              <w:jc w:val="right"/>
              <w:rPr>
                <w:rFonts w:ascii="CAIXA Std Book" w:eastAsia="Times New Roman" w:hAnsi="CAIXA Std Book" w:cs="Calibri"/>
                <w:b/>
                <w:bCs/>
                <w:color w:val="FFFFFF"/>
                <w:sz w:val="18"/>
                <w:szCs w:val="18"/>
              </w:rPr>
            </w:pPr>
            <w:r w:rsidRPr="00B65779">
              <w:rPr>
                <w:rFonts w:ascii="CAIXA Std Book" w:eastAsia="Times New Roman" w:hAnsi="CAIXA Std Book" w:cs="Calibri"/>
                <w:b/>
                <w:bCs/>
                <w:color w:val="FFFFFF"/>
                <w:sz w:val="18"/>
                <w:szCs w:val="18"/>
              </w:rPr>
              <w:t>34.163.942</w:t>
            </w:r>
          </w:p>
        </w:tc>
        <w:tc>
          <w:tcPr>
            <w:tcW w:w="665" w:type="pct"/>
            <w:tcBorders>
              <w:top w:val="nil"/>
              <w:left w:val="nil"/>
              <w:bottom w:val="nil"/>
              <w:right w:val="nil"/>
            </w:tcBorders>
            <w:shd w:val="clear" w:color="000000" w:fill="005CA9"/>
            <w:noWrap/>
            <w:vAlign w:val="center"/>
            <w:hideMark/>
          </w:tcPr>
          <w:p w14:paraId="7ACC2640" w14:textId="3CCB81A8" w:rsidR="00B65779" w:rsidRPr="00B65779" w:rsidRDefault="00790696" w:rsidP="00B65779">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36.859.219</w:t>
            </w:r>
          </w:p>
        </w:tc>
        <w:tc>
          <w:tcPr>
            <w:tcW w:w="666" w:type="pct"/>
            <w:tcBorders>
              <w:top w:val="nil"/>
              <w:left w:val="nil"/>
              <w:bottom w:val="nil"/>
              <w:right w:val="nil"/>
            </w:tcBorders>
            <w:shd w:val="clear" w:color="000000" w:fill="005CA9"/>
            <w:noWrap/>
            <w:vAlign w:val="center"/>
            <w:hideMark/>
          </w:tcPr>
          <w:p w14:paraId="04E4520D" w14:textId="77777777" w:rsidR="00B65779" w:rsidRPr="00B65779" w:rsidRDefault="00B65779" w:rsidP="00B65779">
            <w:pPr>
              <w:jc w:val="right"/>
              <w:rPr>
                <w:rFonts w:ascii="CAIXA Std Book" w:eastAsia="Times New Roman" w:hAnsi="CAIXA Std Book" w:cs="Calibri"/>
                <w:b/>
                <w:bCs/>
                <w:color w:val="FFFFFF"/>
                <w:sz w:val="18"/>
                <w:szCs w:val="18"/>
              </w:rPr>
            </w:pPr>
            <w:r w:rsidRPr="00B65779">
              <w:rPr>
                <w:rFonts w:ascii="CAIXA Std Book" w:eastAsia="Times New Roman" w:hAnsi="CAIXA Std Book" w:cs="Calibri"/>
                <w:b/>
                <w:bCs/>
                <w:color w:val="FFFFFF"/>
                <w:sz w:val="18"/>
                <w:szCs w:val="18"/>
              </w:rPr>
              <w:t>36.114.175</w:t>
            </w:r>
          </w:p>
        </w:tc>
      </w:tr>
    </w:tbl>
    <w:p w14:paraId="0A335F2F" w14:textId="7C08F96A" w:rsidR="00403E52" w:rsidRPr="00B04D8D" w:rsidRDefault="00403E52" w:rsidP="00F3083F">
      <w:pPr>
        <w:pStyle w:val="PargrafodaLista"/>
        <w:numPr>
          <w:ilvl w:val="4"/>
          <w:numId w:val="50"/>
        </w:numPr>
        <w:spacing w:before="240" w:after="120"/>
        <w:ind w:left="567" w:hanging="567"/>
        <w:contextualSpacing w:val="0"/>
        <w:rPr>
          <w:rFonts w:ascii="CAIXA Std Book" w:hAnsi="CAIXA Std Book"/>
          <w:b/>
          <w:color w:val="005CA9"/>
          <w:sz w:val="20"/>
          <w:szCs w:val="20"/>
        </w:rPr>
      </w:pPr>
      <w:r w:rsidRPr="00B04D8D">
        <w:rPr>
          <w:rFonts w:ascii="CAIXA Std Book" w:hAnsi="CAIXA Std Book"/>
          <w:b/>
          <w:color w:val="005CA9"/>
          <w:sz w:val="20"/>
          <w:szCs w:val="20"/>
        </w:rPr>
        <w:t xml:space="preserve">Recursos para destinação específica </w:t>
      </w:r>
    </w:p>
    <w:p w14:paraId="6FD74EBC" w14:textId="77777777" w:rsidR="00403E52" w:rsidRPr="0012559E" w:rsidRDefault="00403E52" w:rsidP="000A6D7B">
      <w:pPr>
        <w:spacing w:before="240" w:after="120"/>
        <w:jc w:val="both"/>
        <w:rPr>
          <w:rFonts w:ascii="CAIXA Std Book" w:hAnsi="CAIXA Std Book"/>
          <w:b/>
          <w:color w:val="005CA9"/>
          <w:sz w:val="20"/>
          <w:szCs w:val="20"/>
        </w:rPr>
      </w:pPr>
      <w:r w:rsidRPr="00B04D8D">
        <w:rPr>
          <w:rFonts w:ascii="CAIXA Std Book" w:hAnsi="CAIXA Std Book"/>
          <w:color w:val="005CA9"/>
          <w:sz w:val="20"/>
          <w:szCs w:val="20"/>
        </w:rPr>
        <w:t>Referem-se às obrigações decorrentes de recursos de operações relacionadas com loterias, recursos de fundos e programas sociais geridos pela CAIXA e recursos de fundos ou programas especiais mantidos com recursos do governo ou entidades públicas, administrados pela CAIXA.</w:t>
      </w:r>
    </w:p>
    <w:tbl>
      <w:tblPr>
        <w:tblW w:w="5000" w:type="pct"/>
        <w:tblCellMar>
          <w:left w:w="70" w:type="dxa"/>
          <w:right w:w="70" w:type="dxa"/>
        </w:tblCellMar>
        <w:tblLook w:val="04A0" w:firstRow="1" w:lastRow="0" w:firstColumn="1" w:lastColumn="0" w:noHBand="0" w:noVBand="1"/>
      </w:tblPr>
      <w:tblGrid>
        <w:gridCol w:w="4520"/>
        <w:gridCol w:w="1368"/>
        <w:gridCol w:w="1266"/>
        <w:gridCol w:w="1199"/>
        <w:gridCol w:w="1284"/>
      </w:tblGrid>
      <w:tr w:rsidR="006512C2" w:rsidRPr="006512C2" w14:paraId="002D5C1F" w14:textId="77777777" w:rsidTr="00E65D02">
        <w:trPr>
          <w:trHeight w:val="283"/>
        </w:trPr>
        <w:tc>
          <w:tcPr>
            <w:tcW w:w="2345" w:type="pct"/>
            <w:vMerge w:val="restart"/>
            <w:tcBorders>
              <w:top w:val="nil"/>
              <w:left w:val="nil"/>
              <w:bottom w:val="nil"/>
              <w:right w:val="nil"/>
            </w:tcBorders>
            <w:shd w:val="clear" w:color="000000" w:fill="005CA9"/>
            <w:vAlign w:val="center"/>
            <w:hideMark/>
          </w:tcPr>
          <w:p w14:paraId="5A3203A4" w14:textId="77777777" w:rsidR="006512C2" w:rsidRPr="006512C2" w:rsidRDefault="006512C2" w:rsidP="006512C2">
            <w:pPr>
              <w:jc w:val="center"/>
              <w:rPr>
                <w:rFonts w:ascii="CAIXA Std Book" w:eastAsia="Times New Roman" w:hAnsi="CAIXA Std Book" w:cs="Calibri"/>
                <w:b/>
                <w:bCs/>
                <w:color w:val="FFFFFF"/>
                <w:sz w:val="18"/>
                <w:szCs w:val="18"/>
              </w:rPr>
            </w:pPr>
            <w:r w:rsidRPr="006512C2">
              <w:rPr>
                <w:rFonts w:ascii="CAIXA Std Book" w:eastAsia="Times New Roman" w:hAnsi="CAIXA Std Book" w:cs="Calibri"/>
                <w:b/>
                <w:bCs/>
                <w:color w:val="FFFFFF"/>
                <w:sz w:val="18"/>
                <w:szCs w:val="18"/>
              </w:rPr>
              <w:t>Descrição</w:t>
            </w:r>
          </w:p>
        </w:tc>
        <w:tc>
          <w:tcPr>
            <w:tcW w:w="1367" w:type="pct"/>
            <w:gridSpan w:val="2"/>
            <w:tcBorders>
              <w:top w:val="nil"/>
              <w:left w:val="nil"/>
              <w:bottom w:val="single" w:sz="8" w:space="0" w:color="FFFFFF"/>
              <w:right w:val="nil"/>
            </w:tcBorders>
            <w:shd w:val="clear" w:color="000000" w:fill="005CA9"/>
            <w:vAlign w:val="center"/>
            <w:hideMark/>
          </w:tcPr>
          <w:p w14:paraId="04B17CC2" w14:textId="1ABCE119" w:rsidR="006512C2" w:rsidRPr="006512C2" w:rsidRDefault="00A54B68" w:rsidP="006512C2">
            <w:pPr>
              <w:jc w:val="center"/>
              <w:rPr>
                <w:rFonts w:ascii="CAIXA Std Book" w:eastAsia="Times New Roman" w:hAnsi="CAIXA Std Book" w:cs="Calibri"/>
                <w:b/>
                <w:bCs/>
                <w:color w:val="FFFFFF"/>
                <w:sz w:val="18"/>
                <w:szCs w:val="18"/>
              </w:rPr>
            </w:pPr>
            <w:r w:rsidRPr="006512C2">
              <w:rPr>
                <w:rFonts w:ascii="CAIXA Std Book" w:eastAsia="Times New Roman" w:hAnsi="CAIXA Std Book" w:cs="Calibri"/>
                <w:b/>
                <w:bCs/>
                <w:color w:val="FFFFFF"/>
                <w:sz w:val="18"/>
                <w:szCs w:val="18"/>
              </w:rPr>
              <w:t>Individual</w:t>
            </w:r>
          </w:p>
        </w:tc>
        <w:tc>
          <w:tcPr>
            <w:tcW w:w="1288" w:type="pct"/>
            <w:gridSpan w:val="2"/>
            <w:tcBorders>
              <w:top w:val="nil"/>
              <w:left w:val="nil"/>
              <w:bottom w:val="single" w:sz="8" w:space="0" w:color="FFFFFF"/>
              <w:right w:val="nil"/>
            </w:tcBorders>
            <w:shd w:val="clear" w:color="000000" w:fill="005CA9"/>
            <w:vAlign w:val="center"/>
          </w:tcPr>
          <w:p w14:paraId="666307C1" w14:textId="77777777" w:rsidR="006512C2" w:rsidRPr="006512C2" w:rsidRDefault="006512C2" w:rsidP="006512C2">
            <w:pPr>
              <w:jc w:val="center"/>
              <w:rPr>
                <w:rFonts w:ascii="CAIXA Std Book" w:eastAsia="Times New Roman" w:hAnsi="CAIXA Std Book" w:cs="Calibri"/>
                <w:b/>
                <w:bCs/>
                <w:color w:val="FFFFFF"/>
                <w:sz w:val="18"/>
                <w:szCs w:val="18"/>
              </w:rPr>
            </w:pPr>
            <w:r w:rsidRPr="006512C2">
              <w:rPr>
                <w:rFonts w:ascii="CAIXA Std Book" w:eastAsia="Times New Roman" w:hAnsi="CAIXA Std Book" w:cs="Calibri"/>
                <w:b/>
                <w:bCs/>
                <w:color w:val="FFFFFF"/>
                <w:sz w:val="18"/>
                <w:szCs w:val="18"/>
              </w:rPr>
              <w:t>Consolidado</w:t>
            </w:r>
          </w:p>
        </w:tc>
      </w:tr>
      <w:tr w:rsidR="006512C2" w:rsidRPr="006512C2" w14:paraId="1D1A2E05" w14:textId="77777777" w:rsidTr="00E65D02">
        <w:trPr>
          <w:trHeight w:val="283"/>
        </w:trPr>
        <w:tc>
          <w:tcPr>
            <w:tcW w:w="2345" w:type="pct"/>
            <w:vMerge/>
            <w:tcBorders>
              <w:top w:val="nil"/>
              <w:left w:val="nil"/>
              <w:bottom w:val="nil"/>
              <w:right w:val="nil"/>
            </w:tcBorders>
            <w:vAlign w:val="center"/>
            <w:hideMark/>
          </w:tcPr>
          <w:p w14:paraId="6733BF0A" w14:textId="77777777" w:rsidR="006512C2" w:rsidRPr="006512C2" w:rsidRDefault="006512C2" w:rsidP="006512C2">
            <w:pPr>
              <w:rPr>
                <w:rFonts w:ascii="CAIXA Std Book" w:eastAsia="Times New Roman" w:hAnsi="CAIXA Std Book" w:cs="Calibri"/>
                <w:b/>
                <w:bCs/>
                <w:color w:val="FFFFFF"/>
                <w:sz w:val="18"/>
                <w:szCs w:val="18"/>
              </w:rPr>
            </w:pPr>
          </w:p>
        </w:tc>
        <w:tc>
          <w:tcPr>
            <w:tcW w:w="710" w:type="pct"/>
            <w:tcBorders>
              <w:top w:val="nil"/>
              <w:left w:val="nil"/>
              <w:bottom w:val="nil"/>
              <w:right w:val="nil"/>
            </w:tcBorders>
            <w:shd w:val="clear" w:color="000000" w:fill="005CA9"/>
            <w:vAlign w:val="center"/>
            <w:hideMark/>
          </w:tcPr>
          <w:p w14:paraId="4734E22A" w14:textId="77777777" w:rsidR="006512C2" w:rsidRPr="006512C2" w:rsidRDefault="006512C2" w:rsidP="006512C2">
            <w:pPr>
              <w:jc w:val="center"/>
              <w:rPr>
                <w:rFonts w:ascii="CAIXA Std Book" w:eastAsia="Times New Roman" w:hAnsi="CAIXA Std Book" w:cs="Calibri"/>
                <w:b/>
                <w:bCs/>
                <w:color w:val="FFFFFF"/>
                <w:sz w:val="18"/>
                <w:szCs w:val="18"/>
              </w:rPr>
            </w:pPr>
            <w:r w:rsidRPr="006512C2">
              <w:rPr>
                <w:rFonts w:ascii="CAIXA Std Book" w:eastAsia="Times New Roman" w:hAnsi="CAIXA Std Book" w:cs="Calibri"/>
                <w:b/>
                <w:bCs/>
                <w:color w:val="FFFFFF"/>
                <w:sz w:val="18"/>
                <w:szCs w:val="18"/>
              </w:rPr>
              <w:t>31/03/2026</w:t>
            </w:r>
          </w:p>
        </w:tc>
        <w:tc>
          <w:tcPr>
            <w:tcW w:w="657" w:type="pct"/>
            <w:tcBorders>
              <w:top w:val="nil"/>
              <w:left w:val="nil"/>
              <w:bottom w:val="nil"/>
              <w:right w:val="nil"/>
            </w:tcBorders>
            <w:shd w:val="clear" w:color="000000" w:fill="005CA9"/>
            <w:vAlign w:val="center"/>
            <w:hideMark/>
          </w:tcPr>
          <w:p w14:paraId="52D52CF7" w14:textId="77777777" w:rsidR="006512C2" w:rsidRPr="006512C2" w:rsidRDefault="006512C2" w:rsidP="006512C2">
            <w:pPr>
              <w:jc w:val="center"/>
              <w:rPr>
                <w:rFonts w:ascii="CAIXA Std Book" w:eastAsia="Times New Roman" w:hAnsi="CAIXA Std Book" w:cs="Calibri"/>
                <w:b/>
                <w:bCs/>
                <w:color w:val="FFFFFF"/>
                <w:sz w:val="18"/>
                <w:szCs w:val="18"/>
              </w:rPr>
            </w:pPr>
            <w:r w:rsidRPr="006512C2">
              <w:rPr>
                <w:rFonts w:ascii="CAIXA Std Book" w:eastAsia="Times New Roman" w:hAnsi="CAIXA Std Book" w:cs="Calibri"/>
                <w:b/>
                <w:bCs/>
                <w:color w:val="FFFFFF"/>
                <w:sz w:val="18"/>
                <w:szCs w:val="18"/>
              </w:rPr>
              <w:t>31/12/2025</w:t>
            </w:r>
          </w:p>
        </w:tc>
        <w:tc>
          <w:tcPr>
            <w:tcW w:w="622" w:type="pct"/>
            <w:tcBorders>
              <w:top w:val="nil"/>
              <w:left w:val="nil"/>
              <w:bottom w:val="nil"/>
              <w:right w:val="nil"/>
            </w:tcBorders>
            <w:shd w:val="clear" w:color="000000" w:fill="005CA9"/>
            <w:noWrap/>
            <w:vAlign w:val="center"/>
            <w:hideMark/>
          </w:tcPr>
          <w:p w14:paraId="572AD30D" w14:textId="77777777" w:rsidR="006512C2" w:rsidRPr="006512C2" w:rsidRDefault="006512C2" w:rsidP="006512C2">
            <w:pPr>
              <w:jc w:val="center"/>
              <w:rPr>
                <w:rFonts w:ascii="CAIXA Std Book" w:eastAsia="Times New Roman" w:hAnsi="CAIXA Std Book" w:cs="Calibri"/>
                <w:b/>
                <w:bCs/>
                <w:color w:val="FFFFFF"/>
                <w:sz w:val="18"/>
                <w:szCs w:val="18"/>
              </w:rPr>
            </w:pPr>
            <w:r w:rsidRPr="006512C2">
              <w:rPr>
                <w:rFonts w:ascii="CAIXA Std Book" w:eastAsia="Times New Roman" w:hAnsi="CAIXA Std Book" w:cs="Calibri"/>
                <w:b/>
                <w:bCs/>
                <w:color w:val="FFFFFF"/>
                <w:sz w:val="18"/>
                <w:szCs w:val="18"/>
              </w:rPr>
              <w:t>31/03/2026</w:t>
            </w:r>
          </w:p>
        </w:tc>
        <w:tc>
          <w:tcPr>
            <w:tcW w:w="666" w:type="pct"/>
            <w:tcBorders>
              <w:top w:val="nil"/>
              <w:left w:val="nil"/>
              <w:bottom w:val="nil"/>
              <w:right w:val="nil"/>
            </w:tcBorders>
            <w:shd w:val="clear" w:color="000000" w:fill="005CA9"/>
            <w:noWrap/>
            <w:vAlign w:val="center"/>
            <w:hideMark/>
          </w:tcPr>
          <w:p w14:paraId="20EF72F7" w14:textId="77777777" w:rsidR="006512C2" w:rsidRPr="006512C2" w:rsidRDefault="006512C2" w:rsidP="006512C2">
            <w:pPr>
              <w:jc w:val="center"/>
              <w:rPr>
                <w:rFonts w:ascii="CAIXA Std Book" w:eastAsia="Times New Roman" w:hAnsi="CAIXA Std Book" w:cs="Calibri"/>
                <w:b/>
                <w:bCs/>
                <w:color w:val="FFFFFF"/>
                <w:sz w:val="18"/>
                <w:szCs w:val="18"/>
              </w:rPr>
            </w:pPr>
            <w:r w:rsidRPr="006512C2">
              <w:rPr>
                <w:rFonts w:ascii="CAIXA Std Book" w:eastAsia="Times New Roman" w:hAnsi="CAIXA Std Book" w:cs="Calibri"/>
                <w:b/>
                <w:bCs/>
                <w:color w:val="FFFFFF"/>
                <w:sz w:val="18"/>
                <w:szCs w:val="18"/>
              </w:rPr>
              <w:t>31/12/2025</w:t>
            </w:r>
          </w:p>
        </w:tc>
      </w:tr>
      <w:tr w:rsidR="006512C2" w:rsidRPr="006512C2" w14:paraId="60071AB9" w14:textId="77777777" w:rsidTr="00E65D02">
        <w:trPr>
          <w:trHeight w:val="283"/>
        </w:trPr>
        <w:tc>
          <w:tcPr>
            <w:tcW w:w="2345" w:type="pct"/>
            <w:tcBorders>
              <w:top w:val="nil"/>
              <w:left w:val="nil"/>
              <w:bottom w:val="nil"/>
              <w:right w:val="nil"/>
            </w:tcBorders>
            <w:shd w:val="clear" w:color="000000" w:fill="D0E0E3"/>
            <w:noWrap/>
            <w:vAlign w:val="center"/>
            <w:hideMark/>
          </w:tcPr>
          <w:p w14:paraId="106449D0" w14:textId="77777777" w:rsidR="006512C2" w:rsidRPr="006512C2" w:rsidRDefault="006512C2" w:rsidP="006512C2">
            <w:pPr>
              <w:rPr>
                <w:rFonts w:ascii="CAIXA Std Book" w:eastAsia="Times New Roman" w:hAnsi="CAIXA Std Book" w:cs="Calibri"/>
                <w:b/>
                <w:bCs/>
                <w:color w:val="005CA9"/>
                <w:sz w:val="18"/>
                <w:szCs w:val="18"/>
              </w:rPr>
            </w:pPr>
            <w:r w:rsidRPr="006512C2">
              <w:rPr>
                <w:rFonts w:ascii="CAIXA Std Book" w:eastAsia="Times New Roman" w:hAnsi="CAIXA Std Book" w:cs="Calibri"/>
                <w:b/>
                <w:bCs/>
                <w:color w:val="005CA9"/>
                <w:sz w:val="18"/>
                <w:szCs w:val="18"/>
              </w:rPr>
              <w:t>Fundos e programas sociais</w:t>
            </w:r>
          </w:p>
        </w:tc>
        <w:tc>
          <w:tcPr>
            <w:tcW w:w="710" w:type="pct"/>
            <w:tcBorders>
              <w:top w:val="nil"/>
              <w:left w:val="nil"/>
              <w:bottom w:val="nil"/>
              <w:right w:val="nil"/>
            </w:tcBorders>
            <w:shd w:val="clear" w:color="000000" w:fill="D0E0E3"/>
            <w:vAlign w:val="center"/>
            <w:hideMark/>
          </w:tcPr>
          <w:p w14:paraId="72707BCA" w14:textId="363F5EB6" w:rsidR="006512C2" w:rsidRPr="006512C2" w:rsidRDefault="007331D9" w:rsidP="006512C2">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18.162.218</w:t>
            </w:r>
          </w:p>
        </w:tc>
        <w:tc>
          <w:tcPr>
            <w:tcW w:w="657" w:type="pct"/>
            <w:tcBorders>
              <w:top w:val="nil"/>
              <w:left w:val="nil"/>
              <w:bottom w:val="nil"/>
              <w:right w:val="nil"/>
            </w:tcBorders>
            <w:shd w:val="clear" w:color="000000" w:fill="D0E0E3"/>
            <w:vAlign w:val="center"/>
            <w:hideMark/>
          </w:tcPr>
          <w:p w14:paraId="6049DC4F" w14:textId="77777777" w:rsidR="006512C2" w:rsidRPr="006512C2" w:rsidRDefault="006512C2" w:rsidP="006512C2">
            <w:pPr>
              <w:jc w:val="right"/>
              <w:rPr>
                <w:rFonts w:ascii="CAIXA Std Book" w:eastAsia="Times New Roman" w:hAnsi="CAIXA Std Book" w:cs="Calibri"/>
                <w:b/>
                <w:bCs/>
                <w:color w:val="005CA9"/>
                <w:sz w:val="18"/>
                <w:szCs w:val="18"/>
              </w:rPr>
            </w:pPr>
            <w:r w:rsidRPr="006512C2">
              <w:rPr>
                <w:rFonts w:ascii="CAIXA Std Book" w:eastAsia="Times New Roman" w:hAnsi="CAIXA Std Book" w:cs="Calibri"/>
                <w:b/>
                <w:bCs/>
                <w:color w:val="005CA9"/>
                <w:sz w:val="18"/>
                <w:szCs w:val="18"/>
              </w:rPr>
              <w:t>15.447.409</w:t>
            </w:r>
          </w:p>
        </w:tc>
        <w:tc>
          <w:tcPr>
            <w:tcW w:w="622" w:type="pct"/>
            <w:tcBorders>
              <w:top w:val="nil"/>
              <w:left w:val="nil"/>
              <w:bottom w:val="nil"/>
              <w:right w:val="nil"/>
            </w:tcBorders>
            <w:shd w:val="clear" w:color="000000" w:fill="D0E0E3"/>
            <w:vAlign w:val="center"/>
            <w:hideMark/>
          </w:tcPr>
          <w:p w14:paraId="0C959A25" w14:textId="04B7156C" w:rsidR="006512C2" w:rsidRPr="006512C2" w:rsidRDefault="00FB3F34" w:rsidP="006512C2">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18.162.</w:t>
            </w:r>
            <w:r w:rsidR="00B3554E">
              <w:rPr>
                <w:rFonts w:ascii="CAIXA Std Book" w:hAnsi="CAIXA Std Book" w:cs="Calibri"/>
                <w:b/>
                <w:bCs/>
                <w:color w:val="005CA9"/>
                <w:sz w:val="18"/>
                <w:szCs w:val="18"/>
              </w:rPr>
              <w:t>218</w:t>
            </w:r>
          </w:p>
        </w:tc>
        <w:tc>
          <w:tcPr>
            <w:tcW w:w="666" w:type="pct"/>
            <w:tcBorders>
              <w:top w:val="nil"/>
              <w:left w:val="nil"/>
              <w:bottom w:val="nil"/>
              <w:right w:val="nil"/>
            </w:tcBorders>
            <w:shd w:val="clear" w:color="000000" w:fill="D0E0E3"/>
            <w:vAlign w:val="center"/>
            <w:hideMark/>
          </w:tcPr>
          <w:p w14:paraId="62472FF1" w14:textId="77777777" w:rsidR="006512C2" w:rsidRPr="006512C2" w:rsidRDefault="006512C2" w:rsidP="006512C2">
            <w:pPr>
              <w:jc w:val="right"/>
              <w:rPr>
                <w:rFonts w:ascii="CAIXA Std Book" w:eastAsia="Times New Roman" w:hAnsi="CAIXA Std Book" w:cs="Calibri"/>
                <w:b/>
                <w:bCs/>
                <w:color w:val="005CA9"/>
                <w:sz w:val="18"/>
                <w:szCs w:val="18"/>
              </w:rPr>
            </w:pPr>
            <w:r w:rsidRPr="006512C2">
              <w:rPr>
                <w:rFonts w:ascii="CAIXA Std Book" w:eastAsia="Times New Roman" w:hAnsi="CAIXA Std Book" w:cs="Calibri"/>
                <w:b/>
                <w:bCs/>
                <w:color w:val="005CA9"/>
                <w:sz w:val="18"/>
                <w:szCs w:val="18"/>
              </w:rPr>
              <w:t>15.447.409</w:t>
            </w:r>
          </w:p>
        </w:tc>
      </w:tr>
      <w:tr w:rsidR="006512C2" w:rsidRPr="006512C2" w14:paraId="2A93EDAF" w14:textId="77777777" w:rsidTr="00E65D02">
        <w:trPr>
          <w:trHeight w:val="283"/>
        </w:trPr>
        <w:tc>
          <w:tcPr>
            <w:tcW w:w="2345" w:type="pct"/>
            <w:tcBorders>
              <w:top w:val="nil"/>
              <w:left w:val="nil"/>
              <w:bottom w:val="nil"/>
              <w:right w:val="nil"/>
            </w:tcBorders>
            <w:noWrap/>
            <w:vAlign w:val="center"/>
            <w:hideMark/>
          </w:tcPr>
          <w:p w14:paraId="0B9913CF" w14:textId="4D15F8AB" w:rsidR="006512C2" w:rsidRPr="006512C2" w:rsidRDefault="006512C2" w:rsidP="007F762B">
            <w:pPr>
              <w:ind w:firstLineChars="200" w:firstLine="360"/>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 xml:space="preserve">Remuneração do agente financeiro </w:t>
            </w:r>
            <w:r w:rsidR="007331D9">
              <w:rPr>
                <w:rFonts w:ascii="CAIXA Std Book" w:eastAsia="Times New Roman" w:hAnsi="CAIXA Std Book" w:cs="Calibri"/>
                <w:color w:val="005CA9"/>
                <w:sz w:val="18"/>
                <w:szCs w:val="18"/>
              </w:rPr>
              <w:t>–</w:t>
            </w:r>
            <w:r w:rsidRPr="006512C2">
              <w:rPr>
                <w:rFonts w:ascii="CAIXA Std Book" w:eastAsia="Times New Roman" w:hAnsi="CAIXA Std Book" w:cs="Calibri"/>
                <w:color w:val="005CA9"/>
                <w:sz w:val="18"/>
                <w:szCs w:val="18"/>
              </w:rPr>
              <w:t xml:space="preserve"> FGTS</w:t>
            </w:r>
          </w:p>
        </w:tc>
        <w:tc>
          <w:tcPr>
            <w:tcW w:w="710" w:type="pct"/>
            <w:tcBorders>
              <w:top w:val="nil"/>
              <w:left w:val="nil"/>
              <w:bottom w:val="nil"/>
              <w:right w:val="nil"/>
            </w:tcBorders>
            <w:vAlign w:val="center"/>
            <w:hideMark/>
          </w:tcPr>
          <w:p w14:paraId="0A99B58F" w14:textId="7DFD4952" w:rsidR="006512C2" w:rsidRPr="006512C2" w:rsidRDefault="00A53B33" w:rsidP="00001641">
            <w:pPr>
              <w:ind w:firstLineChars="100" w:firstLine="180"/>
              <w:jc w:val="right"/>
              <w:rPr>
                <w:rFonts w:ascii="CAIXA Std Book" w:eastAsia="Times New Roman" w:hAnsi="CAIXA Std Book" w:cs="Calibri"/>
                <w:color w:val="005CA9"/>
                <w:sz w:val="18"/>
                <w:szCs w:val="18"/>
              </w:rPr>
            </w:pPr>
            <w:r>
              <w:rPr>
                <w:rFonts w:ascii="CAIXA Std Book" w:hAnsi="CAIXA Std Book" w:cs="Calibri"/>
                <w:color w:val="005CA9"/>
                <w:sz w:val="18"/>
                <w:szCs w:val="18"/>
              </w:rPr>
              <w:t>7.470.366</w:t>
            </w:r>
          </w:p>
        </w:tc>
        <w:tc>
          <w:tcPr>
            <w:tcW w:w="657" w:type="pct"/>
            <w:tcBorders>
              <w:top w:val="nil"/>
              <w:left w:val="nil"/>
              <w:bottom w:val="nil"/>
              <w:right w:val="nil"/>
            </w:tcBorders>
            <w:vAlign w:val="center"/>
            <w:hideMark/>
          </w:tcPr>
          <w:p w14:paraId="45D6DBC2" w14:textId="77777777" w:rsidR="006512C2" w:rsidRPr="006512C2" w:rsidRDefault="006512C2" w:rsidP="006512C2">
            <w:pPr>
              <w:jc w:val="right"/>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7.972.914</w:t>
            </w:r>
          </w:p>
        </w:tc>
        <w:tc>
          <w:tcPr>
            <w:tcW w:w="622" w:type="pct"/>
            <w:tcBorders>
              <w:top w:val="nil"/>
              <w:left w:val="nil"/>
              <w:bottom w:val="nil"/>
              <w:right w:val="nil"/>
            </w:tcBorders>
            <w:vAlign w:val="center"/>
            <w:hideMark/>
          </w:tcPr>
          <w:p w14:paraId="5EB96CC7" w14:textId="0CE65696" w:rsidR="006512C2" w:rsidRPr="006512C2" w:rsidRDefault="00FB3F34" w:rsidP="006512C2">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7.470.366</w:t>
            </w:r>
          </w:p>
        </w:tc>
        <w:tc>
          <w:tcPr>
            <w:tcW w:w="666" w:type="pct"/>
            <w:tcBorders>
              <w:top w:val="nil"/>
              <w:left w:val="nil"/>
              <w:bottom w:val="nil"/>
              <w:right w:val="nil"/>
            </w:tcBorders>
            <w:vAlign w:val="center"/>
            <w:hideMark/>
          </w:tcPr>
          <w:p w14:paraId="0A8EFD31" w14:textId="77777777" w:rsidR="006512C2" w:rsidRPr="006512C2" w:rsidRDefault="006512C2" w:rsidP="006512C2">
            <w:pPr>
              <w:jc w:val="right"/>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7.972.914</w:t>
            </w:r>
          </w:p>
        </w:tc>
      </w:tr>
      <w:tr w:rsidR="006512C2" w:rsidRPr="006512C2" w14:paraId="388085BD" w14:textId="77777777" w:rsidTr="00E65D02">
        <w:trPr>
          <w:trHeight w:val="283"/>
        </w:trPr>
        <w:tc>
          <w:tcPr>
            <w:tcW w:w="2345" w:type="pct"/>
            <w:tcBorders>
              <w:top w:val="nil"/>
              <w:left w:val="nil"/>
              <w:bottom w:val="nil"/>
              <w:right w:val="nil"/>
            </w:tcBorders>
            <w:noWrap/>
            <w:vAlign w:val="center"/>
            <w:hideMark/>
          </w:tcPr>
          <w:p w14:paraId="081224D9" w14:textId="77777777" w:rsidR="006512C2" w:rsidRPr="006512C2" w:rsidRDefault="006512C2" w:rsidP="006512C2">
            <w:pPr>
              <w:ind w:firstLineChars="200" w:firstLine="360"/>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Programas habitacionais de interesse social</w:t>
            </w:r>
          </w:p>
        </w:tc>
        <w:tc>
          <w:tcPr>
            <w:tcW w:w="710" w:type="pct"/>
            <w:tcBorders>
              <w:top w:val="nil"/>
              <w:left w:val="nil"/>
              <w:bottom w:val="nil"/>
              <w:right w:val="nil"/>
            </w:tcBorders>
            <w:vAlign w:val="center"/>
            <w:hideMark/>
          </w:tcPr>
          <w:p w14:paraId="3B1C5D3E" w14:textId="6E0E065D" w:rsidR="006512C2" w:rsidRPr="006512C2" w:rsidRDefault="00A53B33" w:rsidP="00001641">
            <w:pPr>
              <w:ind w:firstLineChars="100" w:firstLine="180"/>
              <w:jc w:val="right"/>
              <w:rPr>
                <w:rFonts w:ascii="CAIXA Std Book" w:eastAsia="Times New Roman" w:hAnsi="CAIXA Std Book" w:cs="Calibri"/>
                <w:color w:val="005CA9"/>
                <w:sz w:val="18"/>
                <w:szCs w:val="18"/>
              </w:rPr>
            </w:pPr>
            <w:r>
              <w:rPr>
                <w:rFonts w:ascii="CAIXA Std Book" w:hAnsi="CAIXA Std Book" w:cs="Calibri"/>
                <w:color w:val="005CA9"/>
                <w:sz w:val="18"/>
                <w:szCs w:val="18"/>
              </w:rPr>
              <w:t>2.012.591</w:t>
            </w:r>
          </w:p>
        </w:tc>
        <w:tc>
          <w:tcPr>
            <w:tcW w:w="657" w:type="pct"/>
            <w:tcBorders>
              <w:top w:val="nil"/>
              <w:left w:val="nil"/>
              <w:bottom w:val="nil"/>
              <w:right w:val="nil"/>
            </w:tcBorders>
            <w:vAlign w:val="center"/>
            <w:hideMark/>
          </w:tcPr>
          <w:p w14:paraId="4A31E725" w14:textId="77777777" w:rsidR="006512C2" w:rsidRPr="006512C2" w:rsidRDefault="006512C2" w:rsidP="006512C2">
            <w:pPr>
              <w:jc w:val="right"/>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2.240.861</w:t>
            </w:r>
          </w:p>
        </w:tc>
        <w:tc>
          <w:tcPr>
            <w:tcW w:w="622" w:type="pct"/>
            <w:tcBorders>
              <w:top w:val="nil"/>
              <w:left w:val="nil"/>
              <w:bottom w:val="nil"/>
              <w:right w:val="nil"/>
            </w:tcBorders>
            <w:vAlign w:val="center"/>
            <w:hideMark/>
          </w:tcPr>
          <w:p w14:paraId="777D4530" w14:textId="4CE5D128" w:rsidR="006512C2" w:rsidRPr="006512C2" w:rsidRDefault="005012DD" w:rsidP="006512C2">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2.012.591</w:t>
            </w:r>
          </w:p>
        </w:tc>
        <w:tc>
          <w:tcPr>
            <w:tcW w:w="666" w:type="pct"/>
            <w:tcBorders>
              <w:top w:val="nil"/>
              <w:left w:val="nil"/>
              <w:bottom w:val="nil"/>
              <w:right w:val="nil"/>
            </w:tcBorders>
            <w:vAlign w:val="center"/>
            <w:hideMark/>
          </w:tcPr>
          <w:p w14:paraId="1BD43EF9" w14:textId="77777777" w:rsidR="006512C2" w:rsidRPr="006512C2" w:rsidRDefault="006512C2" w:rsidP="006512C2">
            <w:pPr>
              <w:jc w:val="right"/>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2.240.861</w:t>
            </w:r>
          </w:p>
        </w:tc>
      </w:tr>
      <w:tr w:rsidR="006512C2" w:rsidRPr="006512C2" w14:paraId="5113A7EF" w14:textId="77777777" w:rsidTr="00E65D02">
        <w:trPr>
          <w:trHeight w:val="283"/>
        </w:trPr>
        <w:tc>
          <w:tcPr>
            <w:tcW w:w="2345" w:type="pct"/>
            <w:tcBorders>
              <w:top w:val="nil"/>
              <w:left w:val="nil"/>
              <w:bottom w:val="nil"/>
              <w:right w:val="nil"/>
            </w:tcBorders>
            <w:noWrap/>
            <w:vAlign w:val="center"/>
            <w:hideMark/>
          </w:tcPr>
          <w:p w14:paraId="35976EBD" w14:textId="77777777" w:rsidR="006512C2" w:rsidRPr="006512C2" w:rsidRDefault="006512C2" w:rsidP="006512C2">
            <w:pPr>
              <w:ind w:firstLineChars="200" w:firstLine="360"/>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Programas de transferência de renda (1)</w:t>
            </w:r>
          </w:p>
        </w:tc>
        <w:tc>
          <w:tcPr>
            <w:tcW w:w="710" w:type="pct"/>
            <w:tcBorders>
              <w:top w:val="nil"/>
              <w:left w:val="nil"/>
              <w:bottom w:val="nil"/>
              <w:right w:val="nil"/>
            </w:tcBorders>
            <w:vAlign w:val="center"/>
            <w:hideMark/>
          </w:tcPr>
          <w:p w14:paraId="0D8022A7" w14:textId="309627D3" w:rsidR="006512C2" w:rsidRPr="006512C2" w:rsidRDefault="00A53B33" w:rsidP="00001641">
            <w:pPr>
              <w:ind w:firstLineChars="100" w:firstLine="180"/>
              <w:jc w:val="right"/>
              <w:rPr>
                <w:rFonts w:ascii="CAIXA Std Book" w:eastAsia="Times New Roman" w:hAnsi="CAIXA Std Book" w:cs="Calibri"/>
                <w:color w:val="005CA9"/>
                <w:sz w:val="18"/>
                <w:szCs w:val="18"/>
              </w:rPr>
            </w:pPr>
            <w:r>
              <w:rPr>
                <w:rFonts w:ascii="CAIXA Std Book" w:hAnsi="CAIXA Std Book" w:cs="Calibri"/>
                <w:color w:val="005CA9"/>
                <w:sz w:val="18"/>
                <w:szCs w:val="18"/>
              </w:rPr>
              <w:t>3.696.150</w:t>
            </w:r>
          </w:p>
        </w:tc>
        <w:tc>
          <w:tcPr>
            <w:tcW w:w="657" w:type="pct"/>
            <w:tcBorders>
              <w:top w:val="nil"/>
              <w:left w:val="nil"/>
              <w:bottom w:val="nil"/>
              <w:right w:val="nil"/>
            </w:tcBorders>
            <w:vAlign w:val="center"/>
            <w:hideMark/>
          </w:tcPr>
          <w:p w14:paraId="07BE19EB" w14:textId="77777777" w:rsidR="006512C2" w:rsidRPr="006512C2" w:rsidRDefault="006512C2" w:rsidP="006512C2">
            <w:pPr>
              <w:jc w:val="right"/>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2.026.487</w:t>
            </w:r>
          </w:p>
        </w:tc>
        <w:tc>
          <w:tcPr>
            <w:tcW w:w="622" w:type="pct"/>
            <w:tcBorders>
              <w:top w:val="nil"/>
              <w:left w:val="nil"/>
              <w:bottom w:val="nil"/>
              <w:right w:val="nil"/>
            </w:tcBorders>
            <w:vAlign w:val="center"/>
            <w:hideMark/>
          </w:tcPr>
          <w:p w14:paraId="22F4F728" w14:textId="4E76BA19" w:rsidR="006512C2" w:rsidRPr="006512C2" w:rsidRDefault="005012DD" w:rsidP="006512C2">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3.696.150</w:t>
            </w:r>
          </w:p>
        </w:tc>
        <w:tc>
          <w:tcPr>
            <w:tcW w:w="666" w:type="pct"/>
            <w:tcBorders>
              <w:top w:val="nil"/>
              <w:left w:val="nil"/>
              <w:bottom w:val="nil"/>
              <w:right w:val="nil"/>
            </w:tcBorders>
            <w:vAlign w:val="center"/>
            <w:hideMark/>
          </w:tcPr>
          <w:p w14:paraId="2ABA8882" w14:textId="77777777" w:rsidR="006512C2" w:rsidRPr="006512C2" w:rsidRDefault="006512C2" w:rsidP="006512C2">
            <w:pPr>
              <w:jc w:val="right"/>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2.026.487</w:t>
            </w:r>
          </w:p>
        </w:tc>
      </w:tr>
      <w:tr w:rsidR="006512C2" w:rsidRPr="006512C2" w14:paraId="42EA5D71" w14:textId="77777777" w:rsidTr="00E65D02">
        <w:trPr>
          <w:trHeight w:val="283"/>
        </w:trPr>
        <w:tc>
          <w:tcPr>
            <w:tcW w:w="2345" w:type="pct"/>
            <w:tcBorders>
              <w:top w:val="nil"/>
              <w:left w:val="nil"/>
              <w:bottom w:val="nil"/>
              <w:right w:val="nil"/>
            </w:tcBorders>
            <w:noWrap/>
            <w:vAlign w:val="center"/>
            <w:hideMark/>
          </w:tcPr>
          <w:p w14:paraId="7A1E6B50" w14:textId="77777777" w:rsidR="006512C2" w:rsidRPr="006512C2" w:rsidRDefault="006512C2" w:rsidP="006512C2">
            <w:pPr>
              <w:ind w:firstLineChars="200" w:firstLine="360"/>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 xml:space="preserve">Novo Minha Casa Minha Vida – NMCMV </w:t>
            </w:r>
          </w:p>
        </w:tc>
        <w:tc>
          <w:tcPr>
            <w:tcW w:w="710" w:type="pct"/>
            <w:tcBorders>
              <w:top w:val="nil"/>
              <w:left w:val="nil"/>
              <w:bottom w:val="nil"/>
              <w:right w:val="nil"/>
            </w:tcBorders>
            <w:vAlign w:val="center"/>
            <w:hideMark/>
          </w:tcPr>
          <w:p w14:paraId="7C07E70D" w14:textId="0CA4DBF3" w:rsidR="006512C2" w:rsidRPr="006512C2" w:rsidRDefault="00C06580" w:rsidP="00001641">
            <w:pPr>
              <w:ind w:firstLineChars="100" w:firstLine="180"/>
              <w:jc w:val="right"/>
              <w:rPr>
                <w:rFonts w:ascii="CAIXA Std Book" w:eastAsia="Times New Roman" w:hAnsi="CAIXA Std Book" w:cs="Calibri"/>
                <w:color w:val="005CA9"/>
                <w:sz w:val="18"/>
                <w:szCs w:val="18"/>
              </w:rPr>
            </w:pPr>
            <w:r>
              <w:rPr>
                <w:rFonts w:ascii="CAIXA Std Book" w:hAnsi="CAIXA Std Book" w:cs="Calibri"/>
                <w:color w:val="005CA9"/>
                <w:sz w:val="18"/>
                <w:szCs w:val="18"/>
              </w:rPr>
              <w:t>2.559.171</w:t>
            </w:r>
          </w:p>
        </w:tc>
        <w:tc>
          <w:tcPr>
            <w:tcW w:w="657" w:type="pct"/>
            <w:tcBorders>
              <w:top w:val="nil"/>
              <w:left w:val="nil"/>
              <w:bottom w:val="nil"/>
              <w:right w:val="nil"/>
            </w:tcBorders>
            <w:vAlign w:val="center"/>
            <w:hideMark/>
          </w:tcPr>
          <w:p w14:paraId="5637DBD3" w14:textId="77777777" w:rsidR="006512C2" w:rsidRPr="006512C2" w:rsidRDefault="006512C2" w:rsidP="006512C2">
            <w:pPr>
              <w:jc w:val="right"/>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1.533.221</w:t>
            </w:r>
          </w:p>
        </w:tc>
        <w:tc>
          <w:tcPr>
            <w:tcW w:w="622" w:type="pct"/>
            <w:tcBorders>
              <w:top w:val="nil"/>
              <w:left w:val="nil"/>
              <w:bottom w:val="nil"/>
              <w:right w:val="nil"/>
            </w:tcBorders>
            <w:vAlign w:val="center"/>
            <w:hideMark/>
          </w:tcPr>
          <w:p w14:paraId="37F92277" w14:textId="3F9878D5" w:rsidR="006512C2" w:rsidRPr="006512C2" w:rsidRDefault="00AB5F26" w:rsidP="006512C2">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2.559.171</w:t>
            </w:r>
          </w:p>
        </w:tc>
        <w:tc>
          <w:tcPr>
            <w:tcW w:w="666" w:type="pct"/>
            <w:tcBorders>
              <w:top w:val="nil"/>
              <w:left w:val="nil"/>
              <w:bottom w:val="nil"/>
              <w:right w:val="nil"/>
            </w:tcBorders>
            <w:vAlign w:val="center"/>
            <w:hideMark/>
          </w:tcPr>
          <w:p w14:paraId="6BAC0FE3" w14:textId="77777777" w:rsidR="006512C2" w:rsidRPr="006512C2" w:rsidRDefault="006512C2" w:rsidP="006512C2">
            <w:pPr>
              <w:jc w:val="right"/>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1.533.221</w:t>
            </w:r>
          </w:p>
        </w:tc>
      </w:tr>
      <w:tr w:rsidR="006512C2" w:rsidRPr="006512C2" w14:paraId="27D234CB" w14:textId="77777777" w:rsidTr="00E65D02">
        <w:trPr>
          <w:trHeight w:val="283"/>
        </w:trPr>
        <w:tc>
          <w:tcPr>
            <w:tcW w:w="2345" w:type="pct"/>
            <w:tcBorders>
              <w:top w:val="nil"/>
              <w:left w:val="nil"/>
              <w:bottom w:val="nil"/>
              <w:right w:val="nil"/>
            </w:tcBorders>
            <w:noWrap/>
            <w:vAlign w:val="center"/>
            <w:hideMark/>
          </w:tcPr>
          <w:p w14:paraId="340F9A22" w14:textId="77777777" w:rsidR="006512C2" w:rsidRPr="006512C2" w:rsidRDefault="006512C2" w:rsidP="006512C2">
            <w:pPr>
              <w:ind w:firstLineChars="200" w:firstLine="360"/>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FIES</w:t>
            </w:r>
          </w:p>
        </w:tc>
        <w:tc>
          <w:tcPr>
            <w:tcW w:w="710" w:type="pct"/>
            <w:tcBorders>
              <w:top w:val="nil"/>
              <w:left w:val="nil"/>
              <w:bottom w:val="nil"/>
              <w:right w:val="nil"/>
            </w:tcBorders>
            <w:vAlign w:val="center"/>
            <w:hideMark/>
          </w:tcPr>
          <w:p w14:paraId="5598DB46" w14:textId="54004825" w:rsidR="006512C2" w:rsidRPr="006512C2" w:rsidRDefault="00C06580" w:rsidP="00001641">
            <w:pPr>
              <w:ind w:firstLineChars="100" w:firstLine="180"/>
              <w:jc w:val="right"/>
              <w:rPr>
                <w:rFonts w:ascii="CAIXA Std Book" w:eastAsia="Times New Roman" w:hAnsi="CAIXA Std Book" w:cs="Calibri"/>
                <w:color w:val="005CA9"/>
                <w:sz w:val="18"/>
                <w:szCs w:val="18"/>
              </w:rPr>
            </w:pPr>
            <w:r>
              <w:rPr>
                <w:rFonts w:ascii="CAIXA Std Book" w:hAnsi="CAIXA Std Book" w:cs="Calibri"/>
                <w:color w:val="005CA9"/>
                <w:sz w:val="18"/>
                <w:szCs w:val="18"/>
              </w:rPr>
              <w:t>446.354</w:t>
            </w:r>
          </w:p>
        </w:tc>
        <w:tc>
          <w:tcPr>
            <w:tcW w:w="657" w:type="pct"/>
            <w:tcBorders>
              <w:top w:val="nil"/>
              <w:left w:val="nil"/>
              <w:bottom w:val="nil"/>
              <w:right w:val="nil"/>
            </w:tcBorders>
            <w:vAlign w:val="center"/>
            <w:hideMark/>
          </w:tcPr>
          <w:p w14:paraId="6420ECDC" w14:textId="77777777" w:rsidR="006512C2" w:rsidRPr="006512C2" w:rsidRDefault="006512C2" w:rsidP="006512C2">
            <w:pPr>
              <w:jc w:val="right"/>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429.163</w:t>
            </w:r>
          </w:p>
        </w:tc>
        <w:tc>
          <w:tcPr>
            <w:tcW w:w="622" w:type="pct"/>
            <w:tcBorders>
              <w:top w:val="nil"/>
              <w:left w:val="nil"/>
              <w:bottom w:val="nil"/>
              <w:right w:val="nil"/>
            </w:tcBorders>
            <w:vAlign w:val="center"/>
            <w:hideMark/>
          </w:tcPr>
          <w:p w14:paraId="5E2BAB5B" w14:textId="1386E781" w:rsidR="006512C2" w:rsidRPr="006512C2" w:rsidRDefault="00AB5F26" w:rsidP="006512C2">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446.</w:t>
            </w:r>
            <w:r w:rsidR="00E53602">
              <w:rPr>
                <w:rFonts w:ascii="CAIXA Std Book" w:hAnsi="CAIXA Std Book" w:cs="Calibri"/>
                <w:color w:val="005CA9"/>
                <w:sz w:val="18"/>
                <w:szCs w:val="18"/>
              </w:rPr>
              <w:t>354</w:t>
            </w:r>
          </w:p>
        </w:tc>
        <w:tc>
          <w:tcPr>
            <w:tcW w:w="666" w:type="pct"/>
            <w:tcBorders>
              <w:top w:val="nil"/>
              <w:left w:val="nil"/>
              <w:bottom w:val="nil"/>
              <w:right w:val="nil"/>
            </w:tcBorders>
            <w:vAlign w:val="center"/>
            <w:hideMark/>
          </w:tcPr>
          <w:p w14:paraId="4C59B06D" w14:textId="77777777" w:rsidR="006512C2" w:rsidRPr="006512C2" w:rsidRDefault="006512C2" w:rsidP="006512C2">
            <w:pPr>
              <w:jc w:val="right"/>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429.163</w:t>
            </w:r>
          </w:p>
        </w:tc>
      </w:tr>
      <w:tr w:rsidR="006512C2" w:rsidRPr="006512C2" w14:paraId="642D0634" w14:textId="77777777" w:rsidTr="00E65D02">
        <w:trPr>
          <w:trHeight w:val="283"/>
        </w:trPr>
        <w:tc>
          <w:tcPr>
            <w:tcW w:w="2345" w:type="pct"/>
            <w:tcBorders>
              <w:top w:val="nil"/>
              <w:left w:val="nil"/>
              <w:bottom w:val="nil"/>
              <w:right w:val="nil"/>
            </w:tcBorders>
            <w:noWrap/>
            <w:vAlign w:val="center"/>
            <w:hideMark/>
          </w:tcPr>
          <w:p w14:paraId="46401880" w14:textId="77777777" w:rsidR="006512C2" w:rsidRPr="006512C2" w:rsidRDefault="006512C2" w:rsidP="006512C2">
            <w:pPr>
              <w:ind w:firstLineChars="200" w:firstLine="360"/>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Remuneração do agente financeiro – OGU</w:t>
            </w:r>
          </w:p>
        </w:tc>
        <w:tc>
          <w:tcPr>
            <w:tcW w:w="710" w:type="pct"/>
            <w:tcBorders>
              <w:top w:val="nil"/>
              <w:left w:val="nil"/>
              <w:bottom w:val="nil"/>
              <w:right w:val="nil"/>
            </w:tcBorders>
            <w:vAlign w:val="center"/>
            <w:hideMark/>
          </w:tcPr>
          <w:p w14:paraId="23F8CEA7" w14:textId="6C0A8B0B" w:rsidR="006512C2" w:rsidRPr="006512C2" w:rsidRDefault="00C06580" w:rsidP="00001641">
            <w:pPr>
              <w:ind w:firstLineChars="100" w:firstLine="180"/>
              <w:jc w:val="right"/>
              <w:rPr>
                <w:rFonts w:ascii="CAIXA Std Book" w:eastAsia="Times New Roman" w:hAnsi="CAIXA Std Book" w:cs="Calibri"/>
                <w:color w:val="005CA9"/>
                <w:sz w:val="18"/>
                <w:szCs w:val="18"/>
              </w:rPr>
            </w:pPr>
            <w:r>
              <w:rPr>
                <w:rFonts w:ascii="CAIXA Std Book" w:hAnsi="CAIXA Std Book" w:cs="Calibri"/>
                <w:color w:val="005CA9"/>
                <w:sz w:val="18"/>
                <w:szCs w:val="18"/>
              </w:rPr>
              <w:t>251.398</w:t>
            </w:r>
          </w:p>
        </w:tc>
        <w:tc>
          <w:tcPr>
            <w:tcW w:w="657" w:type="pct"/>
            <w:tcBorders>
              <w:top w:val="nil"/>
              <w:left w:val="nil"/>
              <w:bottom w:val="nil"/>
              <w:right w:val="nil"/>
            </w:tcBorders>
            <w:vAlign w:val="center"/>
            <w:hideMark/>
          </w:tcPr>
          <w:p w14:paraId="1B1CA294" w14:textId="77777777" w:rsidR="006512C2" w:rsidRPr="006512C2" w:rsidRDefault="006512C2" w:rsidP="006512C2">
            <w:pPr>
              <w:jc w:val="right"/>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298.935</w:t>
            </w:r>
          </w:p>
        </w:tc>
        <w:tc>
          <w:tcPr>
            <w:tcW w:w="622" w:type="pct"/>
            <w:tcBorders>
              <w:top w:val="nil"/>
              <w:left w:val="nil"/>
              <w:bottom w:val="nil"/>
              <w:right w:val="nil"/>
            </w:tcBorders>
            <w:vAlign w:val="center"/>
            <w:hideMark/>
          </w:tcPr>
          <w:p w14:paraId="3495CD4D" w14:textId="5C347700" w:rsidR="006512C2" w:rsidRPr="006512C2" w:rsidRDefault="00AB5F26" w:rsidP="006512C2">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251.398</w:t>
            </w:r>
          </w:p>
        </w:tc>
        <w:tc>
          <w:tcPr>
            <w:tcW w:w="666" w:type="pct"/>
            <w:tcBorders>
              <w:top w:val="nil"/>
              <w:left w:val="nil"/>
              <w:bottom w:val="nil"/>
              <w:right w:val="nil"/>
            </w:tcBorders>
            <w:vAlign w:val="center"/>
            <w:hideMark/>
          </w:tcPr>
          <w:p w14:paraId="71F1CC06" w14:textId="77777777" w:rsidR="006512C2" w:rsidRPr="006512C2" w:rsidRDefault="006512C2" w:rsidP="006512C2">
            <w:pPr>
              <w:jc w:val="right"/>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298.935</w:t>
            </w:r>
          </w:p>
        </w:tc>
      </w:tr>
      <w:tr w:rsidR="006512C2" w:rsidRPr="006512C2" w14:paraId="7100B181" w14:textId="77777777" w:rsidTr="00E65D02">
        <w:trPr>
          <w:trHeight w:val="283"/>
        </w:trPr>
        <w:tc>
          <w:tcPr>
            <w:tcW w:w="2345" w:type="pct"/>
            <w:tcBorders>
              <w:top w:val="nil"/>
              <w:left w:val="nil"/>
              <w:bottom w:val="nil"/>
              <w:right w:val="nil"/>
            </w:tcBorders>
            <w:noWrap/>
            <w:vAlign w:val="center"/>
            <w:hideMark/>
          </w:tcPr>
          <w:p w14:paraId="2E53D4D4" w14:textId="77777777" w:rsidR="006512C2" w:rsidRPr="006512C2" w:rsidRDefault="006512C2" w:rsidP="006512C2">
            <w:pPr>
              <w:ind w:firstLineChars="200" w:firstLine="360"/>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Recursos do FGTS</w:t>
            </w:r>
          </w:p>
        </w:tc>
        <w:tc>
          <w:tcPr>
            <w:tcW w:w="710" w:type="pct"/>
            <w:tcBorders>
              <w:top w:val="nil"/>
              <w:left w:val="nil"/>
              <w:bottom w:val="nil"/>
              <w:right w:val="nil"/>
            </w:tcBorders>
            <w:vAlign w:val="center"/>
            <w:hideMark/>
          </w:tcPr>
          <w:p w14:paraId="61189DFC" w14:textId="3509B70E" w:rsidR="006512C2" w:rsidRPr="006512C2" w:rsidRDefault="00173935" w:rsidP="00001641">
            <w:pPr>
              <w:ind w:firstLineChars="100" w:firstLine="180"/>
              <w:jc w:val="right"/>
              <w:rPr>
                <w:rFonts w:ascii="CAIXA Std Book" w:eastAsia="Times New Roman" w:hAnsi="CAIXA Std Book" w:cs="Calibri"/>
                <w:color w:val="005CA9"/>
                <w:sz w:val="18"/>
                <w:szCs w:val="18"/>
              </w:rPr>
            </w:pPr>
            <w:r>
              <w:rPr>
                <w:rFonts w:ascii="CAIXA Std Book" w:hAnsi="CAIXA Std Book" w:cs="Calibri"/>
                <w:color w:val="005CA9"/>
                <w:sz w:val="18"/>
                <w:szCs w:val="18"/>
              </w:rPr>
              <w:t>1.096.211</w:t>
            </w:r>
          </w:p>
        </w:tc>
        <w:tc>
          <w:tcPr>
            <w:tcW w:w="657" w:type="pct"/>
            <w:tcBorders>
              <w:top w:val="nil"/>
              <w:left w:val="nil"/>
              <w:bottom w:val="nil"/>
              <w:right w:val="nil"/>
            </w:tcBorders>
            <w:vAlign w:val="center"/>
            <w:hideMark/>
          </w:tcPr>
          <w:p w14:paraId="0871A5A4" w14:textId="77777777" w:rsidR="006512C2" w:rsidRPr="006512C2" w:rsidRDefault="006512C2" w:rsidP="006512C2">
            <w:pPr>
              <w:jc w:val="right"/>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349.244</w:t>
            </w:r>
          </w:p>
        </w:tc>
        <w:tc>
          <w:tcPr>
            <w:tcW w:w="622" w:type="pct"/>
            <w:tcBorders>
              <w:top w:val="nil"/>
              <w:left w:val="nil"/>
              <w:bottom w:val="nil"/>
              <w:right w:val="nil"/>
            </w:tcBorders>
            <w:vAlign w:val="center"/>
            <w:hideMark/>
          </w:tcPr>
          <w:p w14:paraId="0AEC36EF" w14:textId="44E8D8F0" w:rsidR="006512C2" w:rsidRPr="006512C2" w:rsidRDefault="00AB5F26" w:rsidP="006512C2">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1.096.211</w:t>
            </w:r>
          </w:p>
        </w:tc>
        <w:tc>
          <w:tcPr>
            <w:tcW w:w="666" w:type="pct"/>
            <w:tcBorders>
              <w:top w:val="nil"/>
              <w:left w:val="nil"/>
              <w:bottom w:val="nil"/>
              <w:right w:val="nil"/>
            </w:tcBorders>
            <w:vAlign w:val="center"/>
            <w:hideMark/>
          </w:tcPr>
          <w:p w14:paraId="230424B3" w14:textId="77777777" w:rsidR="006512C2" w:rsidRPr="006512C2" w:rsidRDefault="006512C2" w:rsidP="006512C2">
            <w:pPr>
              <w:jc w:val="right"/>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349.244</w:t>
            </w:r>
          </w:p>
        </w:tc>
      </w:tr>
      <w:tr w:rsidR="006512C2" w:rsidRPr="006512C2" w14:paraId="63F335A1" w14:textId="77777777" w:rsidTr="00E65D02">
        <w:trPr>
          <w:trHeight w:val="283"/>
        </w:trPr>
        <w:tc>
          <w:tcPr>
            <w:tcW w:w="2345" w:type="pct"/>
            <w:tcBorders>
              <w:top w:val="nil"/>
              <w:left w:val="nil"/>
              <w:bottom w:val="nil"/>
              <w:right w:val="nil"/>
            </w:tcBorders>
            <w:noWrap/>
            <w:vAlign w:val="center"/>
            <w:hideMark/>
          </w:tcPr>
          <w:p w14:paraId="42A690D5" w14:textId="77777777" w:rsidR="006512C2" w:rsidRPr="006512C2" w:rsidRDefault="006512C2" w:rsidP="006512C2">
            <w:pPr>
              <w:ind w:firstLineChars="200" w:firstLine="360"/>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Outros fundos e programas</w:t>
            </w:r>
          </w:p>
        </w:tc>
        <w:tc>
          <w:tcPr>
            <w:tcW w:w="710" w:type="pct"/>
            <w:tcBorders>
              <w:top w:val="nil"/>
              <w:left w:val="nil"/>
              <w:bottom w:val="nil"/>
              <w:right w:val="nil"/>
            </w:tcBorders>
            <w:vAlign w:val="center"/>
            <w:hideMark/>
          </w:tcPr>
          <w:p w14:paraId="0B0F15AC" w14:textId="74EBD620" w:rsidR="006512C2" w:rsidRPr="006512C2" w:rsidRDefault="00173935" w:rsidP="00001641">
            <w:pPr>
              <w:ind w:firstLineChars="100" w:firstLine="180"/>
              <w:jc w:val="right"/>
              <w:rPr>
                <w:rFonts w:ascii="CAIXA Std Book" w:eastAsia="Times New Roman" w:hAnsi="CAIXA Std Book" w:cs="Calibri"/>
                <w:color w:val="005CA9"/>
                <w:sz w:val="18"/>
                <w:szCs w:val="18"/>
              </w:rPr>
            </w:pPr>
            <w:r>
              <w:rPr>
                <w:rFonts w:ascii="CAIXA Std Book" w:hAnsi="CAIXA Std Book" w:cs="Calibri"/>
                <w:color w:val="005CA9"/>
                <w:sz w:val="18"/>
                <w:szCs w:val="18"/>
              </w:rPr>
              <w:t>629.977</w:t>
            </w:r>
          </w:p>
        </w:tc>
        <w:tc>
          <w:tcPr>
            <w:tcW w:w="657" w:type="pct"/>
            <w:tcBorders>
              <w:top w:val="nil"/>
              <w:left w:val="nil"/>
              <w:bottom w:val="nil"/>
              <w:right w:val="nil"/>
            </w:tcBorders>
            <w:vAlign w:val="center"/>
            <w:hideMark/>
          </w:tcPr>
          <w:p w14:paraId="5CBF163D" w14:textId="77777777" w:rsidR="006512C2" w:rsidRPr="006512C2" w:rsidRDefault="006512C2" w:rsidP="006512C2">
            <w:pPr>
              <w:jc w:val="right"/>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596.584</w:t>
            </w:r>
          </w:p>
        </w:tc>
        <w:tc>
          <w:tcPr>
            <w:tcW w:w="622" w:type="pct"/>
            <w:tcBorders>
              <w:top w:val="nil"/>
              <w:left w:val="nil"/>
              <w:bottom w:val="nil"/>
              <w:right w:val="nil"/>
            </w:tcBorders>
            <w:vAlign w:val="center"/>
            <w:hideMark/>
          </w:tcPr>
          <w:p w14:paraId="29C50930" w14:textId="6707CCF8" w:rsidR="006512C2" w:rsidRPr="006512C2" w:rsidRDefault="00AB5F26" w:rsidP="006512C2">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629.977</w:t>
            </w:r>
          </w:p>
        </w:tc>
        <w:tc>
          <w:tcPr>
            <w:tcW w:w="666" w:type="pct"/>
            <w:tcBorders>
              <w:top w:val="nil"/>
              <w:left w:val="nil"/>
              <w:bottom w:val="nil"/>
              <w:right w:val="nil"/>
            </w:tcBorders>
            <w:vAlign w:val="center"/>
            <w:hideMark/>
          </w:tcPr>
          <w:p w14:paraId="06FE46EA" w14:textId="77777777" w:rsidR="006512C2" w:rsidRPr="006512C2" w:rsidRDefault="006512C2" w:rsidP="006512C2">
            <w:pPr>
              <w:jc w:val="right"/>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596.584</w:t>
            </w:r>
          </w:p>
        </w:tc>
      </w:tr>
      <w:tr w:rsidR="006512C2" w:rsidRPr="006512C2" w14:paraId="436B3CD8" w14:textId="77777777" w:rsidTr="00E65D02">
        <w:trPr>
          <w:trHeight w:val="283"/>
        </w:trPr>
        <w:tc>
          <w:tcPr>
            <w:tcW w:w="2345" w:type="pct"/>
            <w:tcBorders>
              <w:top w:val="nil"/>
              <w:left w:val="nil"/>
              <w:bottom w:val="nil"/>
              <w:right w:val="nil"/>
            </w:tcBorders>
            <w:shd w:val="clear" w:color="000000" w:fill="D0E0E3"/>
            <w:noWrap/>
            <w:vAlign w:val="center"/>
            <w:hideMark/>
          </w:tcPr>
          <w:p w14:paraId="045D4B4A" w14:textId="77777777" w:rsidR="006512C2" w:rsidRPr="006512C2" w:rsidRDefault="006512C2" w:rsidP="006512C2">
            <w:pPr>
              <w:rPr>
                <w:rFonts w:ascii="CAIXA Std Book" w:eastAsia="Times New Roman" w:hAnsi="CAIXA Std Book" w:cs="Calibri"/>
                <w:b/>
                <w:bCs/>
                <w:color w:val="005CA9"/>
                <w:sz w:val="18"/>
                <w:szCs w:val="18"/>
              </w:rPr>
            </w:pPr>
            <w:r w:rsidRPr="006512C2">
              <w:rPr>
                <w:rFonts w:ascii="CAIXA Std Book" w:eastAsia="Times New Roman" w:hAnsi="CAIXA Std Book" w:cs="Calibri"/>
                <w:b/>
                <w:bCs/>
                <w:color w:val="005CA9"/>
                <w:sz w:val="18"/>
                <w:szCs w:val="18"/>
              </w:rPr>
              <w:t>Fundos financeiros e de desenvolvimento</w:t>
            </w:r>
          </w:p>
        </w:tc>
        <w:tc>
          <w:tcPr>
            <w:tcW w:w="710" w:type="pct"/>
            <w:tcBorders>
              <w:top w:val="nil"/>
              <w:left w:val="nil"/>
              <w:bottom w:val="nil"/>
              <w:right w:val="nil"/>
            </w:tcBorders>
            <w:shd w:val="clear" w:color="000000" w:fill="D0E0E3"/>
            <w:vAlign w:val="center"/>
            <w:hideMark/>
          </w:tcPr>
          <w:p w14:paraId="0A1E1BA5" w14:textId="2279BD16" w:rsidR="006512C2" w:rsidRPr="006512C2" w:rsidRDefault="00173935" w:rsidP="006512C2">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1.051.518</w:t>
            </w:r>
          </w:p>
        </w:tc>
        <w:tc>
          <w:tcPr>
            <w:tcW w:w="657" w:type="pct"/>
            <w:tcBorders>
              <w:top w:val="nil"/>
              <w:left w:val="nil"/>
              <w:bottom w:val="nil"/>
              <w:right w:val="nil"/>
            </w:tcBorders>
            <w:shd w:val="clear" w:color="000000" w:fill="D0E0E3"/>
            <w:vAlign w:val="center"/>
            <w:hideMark/>
          </w:tcPr>
          <w:p w14:paraId="4017408A" w14:textId="77777777" w:rsidR="006512C2" w:rsidRPr="006512C2" w:rsidRDefault="006512C2" w:rsidP="006512C2">
            <w:pPr>
              <w:jc w:val="right"/>
              <w:rPr>
                <w:rFonts w:ascii="CAIXA Std Book" w:eastAsia="Times New Roman" w:hAnsi="CAIXA Std Book" w:cs="Calibri"/>
                <w:b/>
                <w:bCs/>
                <w:color w:val="005CA9"/>
                <w:sz w:val="18"/>
                <w:szCs w:val="18"/>
              </w:rPr>
            </w:pPr>
            <w:r w:rsidRPr="006512C2">
              <w:rPr>
                <w:rFonts w:ascii="CAIXA Std Book" w:eastAsia="Times New Roman" w:hAnsi="CAIXA Std Book" w:cs="Calibri"/>
                <w:b/>
                <w:bCs/>
                <w:color w:val="005CA9"/>
                <w:sz w:val="18"/>
                <w:szCs w:val="18"/>
              </w:rPr>
              <w:t>657.454</w:t>
            </w:r>
          </w:p>
        </w:tc>
        <w:tc>
          <w:tcPr>
            <w:tcW w:w="622" w:type="pct"/>
            <w:tcBorders>
              <w:top w:val="nil"/>
              <w:left w:val="nil"/>
              <w:bottom w:val="nil"/>
              <w:right w:val="nil"/>
            </w:tcBorders>
            <w:shd w:val="clear" w:color="000000" w:fill="D0E0E3"/>
            <w:vAlign w:val="center"/>
            <w:hideMark/>
          </w:tcPr>
          <w:p w14:paraId="5713BF6E" w14:textId="388770FA" w:rsidR="006512C2" w:rsidRPr="006512C2" w:rsidRDefault="00C64A1C" w:rsidP="006512C2">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1.051.518</w:t>
            </w:r>
          </w:p>
        </w:tc>
        <w:tc>
          <w:tcPr>
            <w:tcW w:w="666" w:type="pct"/>
            <w:tcBorders>
              <w:top w:val="nil"/>
              <w:left w:val="nil"/>
              <w:bottom w:val="nil"/>
              <w:right w:val="nil"/>
            </w:tcBorders>
            <w:shd w:val="clear" w:color="000000" w:fill="D0E0E3"/>
            <w:vAlign w:val="center"/>
            <w:hideMark/>
          </w:tcPr>
          <w:p w14:paraId="2BA3BBE0" w14:textId="77777777" w:rsidR="006512C2" w:rsidRPr="006512C2" w:rsidRDefault="006512C2" w:rsidP="006512C2">
            <w:pPr>
              <w:jc w:val="right"/>
              <w:rPr>
                <w:rFonts w:ascii="CAIXA Std Book" w:eastAsia="Times New Roman" w:hAnsi="CAIXA Std Book" w:cs="Calibri"/>
                <w:b/>
                <w:bCs/>
                <w:color w:val="005CA9"/>
                <w:sz w:val="18"/>
                <w:szCs w:val="18"/>
              </w:rPr>
            </w:pPr>
            <w:r w:rsidRPr="006512C2">
              <w:rPr>
                <w:rFonts w:ascii="CAIXA Std Book" w:eastAsia="Times New Roman" w:hAnsi="CAIXA Std Book" w:cs="Calibri"/>
                <w:b/>
                <w:bCs/>
                <w:color w:val="005CA9"/>
                <w:sz w:val="18"/>
                <w:szCs w:val="18"/>
              </w:rPr>
              <w:t>657.454</w:t>
            </w:r>
          </w:p>
        </w:tc>
      </w:tr>
      <w:tr w:rsidR="006512C2" w:rsidRPr="006512C2" w14:paraId="35684B12" w14:textId="77777777" w:rsidTr="00E65D02">
        <w:trPr>
          <w:trHeight w:val="283"/>
        </w:trPr>
        <w:tc>
          <w:tcPr>
            <w:tcW w:w="2345" w:type="pct"/>
            <w:tcBorders>
              <w:top w:val="nil"/>
              <w:left w:val="nil"/>
              <w:bottom w:val="nil"/>
              <w:right w:val="nil"/>
            </w:tcBorders>
            <w:noWrap/>
            <w:vAlign w:val="center"/>
            <w:hideMark/>
          </w:tcPr>
          <w:p w14:paraId="0409F45A" w14:textId="77777777" w:rsidR="006512C2" w:rsidRPr="006512C2" w:rsidRDefault="006512C2" w:rsidP="006512C2">
            <w:pPr>
              <w:ind w:firstLineChars="200" w:firstLine="360"/>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FAT</w:t>
            </w:r>
          </w:p>
        </w:tc>
        <w:tc>
          <w:tcPr>
            <w:tcW w:w="710" w:type="pct"/>
            <w:tcBorders>
              <w:top w:val="nil"/>
              <w:left w:val="nil"/>
              <w:bottom w:val="nil"/>
              <w:right w:val="nil"/>
            </w:tcBorders>
            <w:vAlign w:val="center"/>
            <w:hideMark/>
          </w:tcPr>
          <w:p w14:paraId="0CEFD7EC" w14:textId="2DE23A50" w:rsidR="006512C2" w:rsidRPr="006512C2" w:rsidRDefault="00943D40" w:rsidP="00943D40">
            <w:pPr>
              <w:ind w:firstLineChars="200" w:firstLine="360"/>
              <w:jc w:val="right"/>
              <w:rPr>
                <w:rFonts w:ascii="CAIXA Std Book" w:eastAsia="Times New Roman" w:hAnsi="CAIXA Std Book" w:cs="Calibri"/>
                <w:color w:val="005CA9"/>
                <w:sz w:val="18"/>
                <w:szCs w:val="18"/>
              </w:rPr>
            </w:pPr>
            <w:r>
              <w:rPr>
                <w:rFonts w:ascii="CAIXA Std Book" w:hAnsi="CAIXA Std Book" w:cs="Calibri"/>
                <w:color w:val="005CA9"/>
                <w:sz w:val="18"/>
                <w:szCs w:val="18"/>
              </w:rPr>
              <w:t>1.050.037</w:t>
            </w:r>
          </w:p>
        </w:tc>
        <w:tc>
          <w:tcPr>
            <w:tcW w:w="657" w:type="pct"/>
            <w:tcBorders>
              <w:top w:val="nil"/>
              <w:left w:val="nil"/>
              <w:bottom w:val="nil"/>
              <w:right w:val="nil"/>
            </w:tcBorders>
            <w:vAlign w:val="center"/>
            <w:hideMark/>
          </w:tcPr>
          <w:p w14:paraId="683B2730" w14:textId="77777777" w:rsidR="006512C2" w:rsidRPr="006512C2" w:rsidRDefault="006512C2" w:rsidP="006512C2">
            <w:pPr>
              <w:jc w:val="right"/>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655.973</w:t>
            </w:r>
          </w:p>
        </w:tc>
        <w:tc>
          <w:tcPr>
            <w:tcW w:w="622" w:type="pct"/>
            <w:tcBorders>
              <w:top w:val="nil"/>
              <w:left w:val="nil"/>
              <w:bottom w:val="nil"/>
              <w:right w:val="nil"/>
            </w:tcBorders>
            <w:vAlign w:val="center"/>
            <w:hideMark/>
          </w:tcPr>
          <w:p w14:paraId="405B4DF4" w14:textId="639F0D36" w:rsidR="006512C2" w:rsidRPr="006512C2" w:rsidRDefault="00C64A1C" w:rsidP="006512C2">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1.050.037</w:t>
            </w:r>
          </w:p>
        </w:tc>
        <w:tc>
          <w:tcPr>
            <w:tcW w:w="666" w:type="pct"/>
            <w:tcBorders>
              <w:top w:val="nil"/>
              <w:left w:val="nil"/>
              <w:bottom w:val="nil"/>
              <w:right w:val="nil"/>
            </w:tcBorders>
            <w:vAlign w:val="center"/>
            <w:hideMark/>
          </w:tcPr>
          <w:p w14:paraId="09CA6A9A" w14:textId="77777777" w:rsidR="006512C2" w:rsidRPr="006512C2" w:rsidRDefault="006512C2" w:rsidP="006512C2">
            <w:pPr>
              <w:jc w:val="right"/>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655.973</w:t>
            </w:r>
          </w:p>
        </w:tc>
      </w:tr>
      <w:tr w:rsidR="006512C2" w:rsidRPr="006512C2" w14:paraId="6ADAC764" w14:textId="77777777" w:rsidTr="00E65D02">
        <w:trPr>
          <w:trHeight w:val="283"/>
        </w:trPr>
        <w:tc>
          <w:tcPr>
            <w:tcW w:w="2345" w:type="pct"/>
            <w:tcBorders>
              <w:top w:val="nil"/>
              <w:left w:val="nil"/>
              <w:bottom w:val="nil"/>
              <w:right w:val="nil"/>
            </w:tcBorders>
            <w:noWrap/>
            <w:vAlign w:val="center"/>
            <w:hideMark/>
          </w:tcPr>
          <w:p w14:paraId="7D14C30F" w14:textId="77777777" w:rsidR="006512C2" w:rsidRPr="006512C2" w:rsidRDefault="006512C2" w:rsidP="006512C2">
            <w:pPr>
              <w:ind w:firstLineChars="200" w:firstLine="360"/>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FINSOCIAL</w:t>
            </w:r>
          </w:p>
        </w:tc>
        <w:tc>
          <w:tcPr>
            <w:tcW w:w="710" w:type="pct"/>
            <w:tcBorders>
              <w:top w:val="nil"/>
              <w:left w:val="nil"/>
              <w:bottom w:val="nil"/>
              <w:right w:val="nil"/>
            </w:tcBorders>
            <w:vAlign w:val="center"/>
            <w:hideMark/>
          </w:tcPr>
          <w:p w14:paraId="208C0844" w14:textId="70F27F8D" w:rsidR="006512C2" w:rsidRPr="006512C2" w:rsidRDefault="00943D40" w:rsidP="00943D40">
            <w:pPr>
              <w:ind w:firstLineChars="200" w:firstLine="360"/>
              <w:jc w:val="right"/>
              <w:rPr>
                <w:rFonts w:ascii="CAIXA Std Book" w:eastAsia="Times New Roman" w:hAnsi="CAIXA Std Book" w:cs="Calibri"/>
                <w:color w:val="005CA9"/>
                <w:sz w:val="18"/>
                <w:szCs w:val="18"/>
              </w:rPr>
            </w:pPr>
            <w:r>
              <w:rPr>
                <w:rFonts w:ascii="CAIXA Std Book" w:hAnsi="CAIXA Std Book" w:cs="Calibri"/>
                <w:color w:val="005CA9"/>
                <w:sz w:val="18"/>
                <w:szCs w:val="18"/>
              </w:rPr>
              <w:t>1.481</w:t>
            </w:r>
          </w:p>
        </w:tc>
        <w:tc>
          <w:tcPr>
            <w:tcW w:w="657" w:type="pct"/>
            <w:tcBorders>
              <w:top w:val="nil"/>
              <w:left w:val="nil"/>
              <w:bottom w:val="nil"/>
              <w:right w:val="nil"/>
            </w:tcBorders>
            <w:vAlign w:val="center"/>
            <w:hideMark/>
          </w:tcPr>
          <w:p w14:paraId="3725EF3F" w14:textId="77777777" w:rsidR="006512C2" w:rsidRPr="006512C2" w:rsidRDefault="006512C2" w:rsidP="006512C2">
            <w:pPr>
              <w:jc w:val="right"/>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1.481</w:t>
            </w:r>
          </w:p>
        </w:tc>
        <w:tc>
          <w:tcPr>
            <w:tcW w:w="622" w:type="pct"/>
            <w:tcBorders>
              <w:top w:val="nil"/>
              <w:left w:val="nil"/>
              <w:bottom w:val="nil"/>
              <w:right w:val="nil"/>
            </w:tcBorders>
            <w:vAlign w:val="center"/>
            <w:hideMark/>
          </w:tcPr>
          <w:p w14:paraId="455815DC" w14:textId="69528A20" w:rsidR="006512C2" w:rsidRPr="006512C2" w:rsidRDefault="00C64A1C" w:rsidP="006512C2">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1.481</w:t>
            </w:r>
          </w:p>
        </w:tc>
        <w:tc>
          <w:tcPr>
            <w:tcW w:w="666" w:type="pct"/>
            <w:tcBorders>
              <w:top w:val="nil"/>
              <w:left w:val="nil"/>
              <w:bottom w:val="nil"/>
              <w:right w:val="nil"/>
            </w:tcBorders>
            <w:vAlign w:val="center"/>
            <w:hideMark/>
          </w:tcPr>
          <w:p w14:paraId="5F4B67D2" w14:textId="77777777" w:rsidR="006512C2" w:rsidRPr="006512C2" w:rsidRDefault="006512C2" w:rsidP="006512C2">
            <w:pPr>
              <w:jc w:val="right"/>
              <w:rPr>
                <w:rFonts w:ascii="CAIXA Std Book" w:eastAsia="Times New Roman" w:hAnsi="CAIXA Std Book" w:cs="Calibri"/>
                <w:color w:val="005CA9"/>
                <w:sz w:val="18"/>
                <w:szCs w:val="18"/>
              </w:rPr>
            </w:pPr>
            <w:r w:rsidRPr="006512C2">
              <w:rPr>
                <w:rFonts w:ascii="CAIXA Std Book" w:eastAsia="Times New Roman" w:hAnsi="CAIXA Std Book" w:cs="Calibri"/>
                <w:color w:val="005CA9"/>
                <w:sz w:val="18"/>
                <w:szCs w:val="18"/>
              </w:rPr>
              <w:t>1.481</w:t>
            </w:r>
          </w:p>
        </w:tc>
      </w:tr>
      <w:tr w:rsidR="006512C2" w:rsidRPr="006512C2" w14:paraId="2447E7C9" w14:textId="77777777" w:rsidTr="00E65D02">
        <w:trPr>
          <w:trHeight w:val="283"/>
        </w:trPr>
        <w:tc>
          <w:tcPr>
            <w:tcW w:w="2345" w:type="pct"/>
            <w:tcBorders>
              <w:top w:val="nil"/>
              <w:left w:val="nil"/>
              <w:bottom w:val="nil"/>
              <w:right w:val="nil"/>
            </w:tcBorders>
            <w:shd w:val="clear" w:color="000000" w:fill="D0E0E3"/>
            <w:noWrap/>
            <w:vAlign w:val="center"/>
            <w:hideMark/>
          </w:tcPr>
          <w:p w14:paraId="66203AF1" w14:textId="77777777" w:rsidR="006512C2" w:rsidRPr="006512C2" w:rsidRDefault="006512C2" w:rsidP="006512C2">
            <w:pPr>
              <w:rPr>
                <w:rFonts w:ascii="CAIXA Std Book" w:eastAsia="Times New Roman" w:hAnsi="CAIXA Std Book" w:cs="Calibri"/>
                <w:b/>
                <w:bCs/>
                <w:color w:val="005CA9"/>
                <w:sz w:val="18"/>
                <w:szCs w:val="18"/>
              </w:rPr>
            </w:pPr>
            <w:r w:rsidRPr="006512C2">
              <w:rPr>
                <w:rFonts w:ascii="CAIXA Std Book" w:eastAsia="Times New Roman" w:hAnsi="CAIXA Std Book" w:cs="Calibri"/>
                <w:b/>
                <w:bCs/>
                <w:color w:val="005CA9"/>
                <w:sz w:val="18"/>
                <w:szCs w:val="18"/>
              </w:rPr>
              <w:t>Operações com loterias</w:t>
            </w:r>
          </w:p>
        </w:tc>
        <w:tc>
          <w:tcPr>
            <w:tcW w:w="710" w:type="pct"/>
            <w:tcBorders>
              <w:top w:val="nil"/>
              <w:left w:val="nil"/>
              <w:bottom w:val="nil"/>
              <w:right w:val="nil"/>
            </w:tcBorders>
            <w:shd w:val="clear" w:color="000000" w:fill="D0E0E3"/>
            <w:vAlign w:val="center"/>
            <w:hideMark/>
          </w:tcPr>
          <w:p w14:paraId="7D8213E0" w14:textId="79DD7174" w:rsidR="006512C2" w:rsidRPr="006512C2" w:rsidRDefault="00943D40" w:rsidP="006512C2">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510.634</w:t>
            </w:r>
          </w:p>
        </w:tc>
        <w:tc>
          <w:tcPr>
            <w:tcW w:w="657" w:type="pct"/>
            <w:tcBorders>
              <w:top w:val="nil"/>
              <w:left w:val="nil"/>
              <w:bottom w:val="nil"/>
              <w:right w:val="nil"/>
            </w:tcBorders>
            <w:shd w:val="clear" w:color="000000" w:fill="D0E0E3"/>
            <w:vAlign w:val="center"/>
            <w:hideMark/>
          </w:tcPr>
          <w:p w14:paraId="024180E6" w14:textId="77777777" w:rsidR="006512C2" w:rsidRPr="006512C2" w:rsidRDefault="006512C2" w:rsidP="006512C2">
            <w:pPr>
              <w:jc w:val="right"/>
              <w:rPr>
                <w:rFonts w:ascii="CAIXA Std Book" w:eastAsia="Times New Roman" w:hAnsi="CAIXA Std Book" w:cs="Calibri"/>
                <w:b/>
                <w:bCs/>
                <w:color w:val="005CA9"/>
                <w:sz w:val="18"/>
                <w:szCs w:val="18"/>
              </w:rPr>
            </w:pPr>
            <w:r w:rsidRPr="006512C2">
              <w:rPr>
                <w:rFonts w:ascii="CAIXA Std Book" w:eastAsia="Times New Roman" w:hAnsi="CAIXA Std Book" w:cs="Calibri"/>
                <w:b/>
                <w:bCs/>
                <w:color w:val="005CA9"/>
                <w:sz w:val="18"/>
                <w:szCs w:val="18"/>
              </w:rPr>
              <w:t>2.805.009</w:t>
            </w:r>
          </w:p>
        </w:tc>
        <w:tc>
          <w:tcPr>
            <w:tcW w:w="622" w:type="pct"/>
            <w:tcBorders>
              <w:top w:val="nil"/>
              <w:left w:val="nil"/>
              <w:bottom w:val="nil"/>
              <w:right w:val="nil"/>
            </w:tcBorders>
            <w:shd w:val="clear" w:color="000000" w:fill="D0E0E3"/>
            <w:vAlign w:val="center"/>
            <w:hideMark/>
          </w:tcPr>
          <w:p w14:paraId="25FAA93C" w14:textId="3FC28B6A" w:rsidR="006512C2" w:rsidRPr="006512C2" w:rsidRDefault="00C64A1C" w:rsidP="006512C2">
            <w:pPr>
              <w:jc w:val="right"/>
              <w:rPr>
                <w:rFonts w:ascii="CAIXA Std Book" w:eastAsia="Times New Roman" w:hAnsi="CAIXA Std Book" w:cs="Calibri"/>
                <w:b/>
                <w:bCs/>
                <w:color w:val="005CA9"/>
                <w:sz w:val="18"/>
                <w:szCs w:val="18"/>
              </w:rPr>
            </w:pPr>
            <w:r>
              <w:rPr>
                <w:rFonts w:ascii="CAIXA Std Book" w:hAnsi="CAIXA Std Book" w:cs="Calibri"/>
                <w:b/>
                <w:bCs/>
                <w:color w:val="005CA9"/>
                <w:sz w:val="18"/>
                <w:szCs w:val="18"/>
              </w:rPr>
              <w:t>1.679.</w:t>
            </w:r>
            <w:r w:rsidR="00E53602">
              <w:rPr>
                <w:rFonts w:ascii="CAIXA Std Book" w:hAnsi="CAIXA Std Book" w:cs="Calibri"/>
                <w:b/>
                <w:bCs/>
                <w:color w:val="005CA9"/>
                <w:sz w:val="18"/>
                <w:szCs w:val="18"/>
              </w:rPr>
              <w:t>951</w:t>
            </w:r>
          </w:p>
        </w:tc>
        <w:tc>
          <w:tcPr>
            <w:tcW w:w="666" w:type="pct"/>
            <w:tcBorders>
              <w:top w:val="nil"/>
              <w:left w:val="nil"/>
              <w:bottom w:val="nil"/>
              <w:right w:val="nil"/>
            </w:tcBorders>
            <w:shd w:val="clear" w:color="000000" w:fill="D0E0E3"/>
            <w:vAlign w:val="center"/>
            <w:hideMark/>
          </w:tcPr>
          <w:p w14:paraId="1C3B26B0" w14:textId="77777777" w:rsidR="006512C2" w:rsidRPr="006512C2" w:rsidRDefault="006512C2" w:rsidP="006512C2">
            <w:pPr>
              <w:jc w:val="right"/>
              <w:rPr>
                <w:rFonts w:ascii="CAIXA Std Book" w:eastAsia="Times New Roman" w:hAnsi="CAIXA Std Book" w:cs="Calibri"/>
                <w:b/>
                <w:bCs/>
                <w:color w:val="005CA9"/>
                <w:sz w:val="18"/>
                <w:szCs w:val="18"/>
              </w:rPr>
            </w:pPr>
            <w:r w:rsidRPr="006512C2">
              <w:rPr>
                <w:rFonts w:ascii="CAIXA Std Book" w:eastAsia="Times New Roman" w:hAnsi="CAIXA Std Book" w:cs="Calibri"/>
                <w:b/>
                <w:bCs/>
                <w:color w:val="005CA9"/>
                <w:sz w:val="18"/>
                <w:szCs w:val="18"/>
              </w:rPr>
              <w:t>4.290.267</w:t>
            </w:r>
          </w:p>
        </w:tc>
      </w:tr>
      <w:tr w:rsidR="006512C2" w:rsidRPr="006512C2" w14:paraId="168C9922" w14:textId="77777777" w:rsidTr="00E65D02">
        <w:trPr>
          <w:trHeight w:val="283"/>
        </w:trPr>
        <w:tc>
          <w:tcPr>
            <w:tcW w:w="2345" w:type="pct"/>
            <w:tcBorders>
              <w:top w:val="nil"/>
              <w:left w:val="nil"/>
              <w:bottom w:val="nil"/>
              <w:right w:val="nil"/>
            </w:tcBorders>
            <w:shd w:val="clear" w:color="000000" w:fill="005CA9"/>
            <w:noWrap/>
            <w:vAlign w:val="center"/>
            <w:hideMark/>
          </w:tcPr>
          <w:p w14:paraId="7593C62F" w14:textId="77777777" w:rsidR="006512C2" w:rsidRPr="006512C2" w:rsidRDefault="006512C2" w:rsidP="006512C2">
            <w:pPr>
              <w:rPr>
                <w:rFonts w:ascii="CAIXA Std Book" w:eastAsia="Times New Roman" w:hAnsi="CAIXA Std Book" w:cs="Calibri"/>
                <w:b/>
                <w:bCs/>
                <w:color w:val="FFFFFF"/>
                <w:sz w:val="18"/>
                <w:szCs w:val="18"/>
              </w:rPr>
            </w:pPr>
            <w:r w:rsidRPr="006512C2">
              <w:rPr>
                <w:rFonts w:ascii="CAIXA Std Book" w:eastAsia="Times New Roman" w:hAnsi="CAIXA Std Book" w:cs="Calibri"/>
                <w:b/>
                <w:bCs/>
                <w:color w:val="FFFFFF"/>
                <w:sz w:val="18"/>
                <w:szCs w:val="18"/>
              </w:rPr>
              <w:t xml:space="preserve">Total </w:t>
            </w:r>
          </w:p>
        </w:tc>
        <w:tc>
          <w:tcPr>
            <w:tcW w:w="710" w:type="pct"/>
            <w:tcBorders>
              <w:top w:val="nil"/>
              <w:left w:val="nil"/>
              <w:bottom w:val="nil"/>
              <w:right w:val="nil"/>
            </w:tcBorders>
            <w:shd w:val="clear" w:color="000000" w:fill="005CA9"/>
            <w:vAlign w:val="center"/>
            <w:hideMark/>
          </w:tcPr>
          <w:p w14:paraId="4126F3CF" w14:textId="71F774EB" w:rsidR="006512C2" w:rsidRPr="006512C2" w:rsidRDefault="00943D40" w:rsidP="006512C2">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19.724.370</w:t>
            </w:r>
          </w:p>
        </w:tc>
        <w:tc>
          <w:tcPr>
            <w:tcW w:w="657" w:type="pct"/>
            <w:tcBorders>
              <w:top w:val="nil"/>
              <w:left w:val="nil"/>
              <w:bottom w:val="nil"/>
              <w:right w:val="nil"/>
            </w:tcBorders>
            <w:shd w:val="clear" w:color="000000" w:fill="005CA9"/>
            <w:vAlign w:val="center"/>
            <w:hideMark/>
          </w:tcPr>
          <w:p w14:paraId="0E64140F" w14:textId="77777777" w:rsidR="006512C2" w:rsidRPr="006512C2" w:rsidRDefault="006512C2" w:rsidP="006512C2">
            <w:pPr>
              <w:jc w:val="right"/>
              <w:rPr>
                <w:rFonts w:ascii="CAIXA Std Book" w:eastAsia="Times New Roman" w:hAnsi="CAIXA Std Book" w:cs="Calibri"/>
                <w:b/>
                <w:bCs/>
                <w:color w:val="FFFFFF"/>
                <w:sz w:val="18"/>
                <w:szCs w:val="18"/>
              </w:rPr>
            </w:pPr>
            <w:r w:rsidRPr="006512C2">
              <w:rPr>
                <w:rFonts w:ascii="CAIXA Std Book" w:eastAsia="Times New Roman" w:hAnsi="CAIXA Std Book" w:cs="Calibri"/>
                <w:b/>
                <w:bCs/>
                <w:color w:val="FFFFFF"/>
                <w:sz w:val="18"/>
                <w:szCs w:val="18"/>
              </w:rPr>
              <w:t>18.909.872</w:t>
            </w:r>
          </w:p>
        </w:tc>
        <w:tc>
          <w:tcPr>
            <w:tcW w:w="622" w:type="pct"/>
            <w:tcBorders>
              <w:top w:val="nil"/>
              <w:left w:val="nil"/>
              <w:bottom w:val="nil"/>
              <w:right w:val="nil"/>
            </w:tcBorders>
            <w:shd w:val="clear" w:color="000000" w:fill="005CA9"/>
            <w:vAlign w:val="center"/>
            <w:hideMark/>
          </w:tcPr>
          <w:p w14:paraId="30623E58" w14:textId="4C46D41D" w:rsidR="006512C2" w:rsidRPr="006512C2" w:rsidRDefault="00C64A1C" w:rsidP="006512C2">
            <w:pPr>
              <w:jc w:val="right"/>
              <w:rPr>
                <w:rFonts w:ascii="CAIXA Std Book" w:eastAsia="Times New Roman" w:hAnsi="CAIXA Std Book" w:cs="Calibri"/>
                <w:b/>
                <w:bCs/>
                <w:color w:val="FFFFFF"/>
                <w:sz w:val="18"/>
                <w:szCs w:val="18"/>
              </w:rPr>
            </w:pPr>
            <w:r>
              <w:rPr>
                <w:rFonts w:ascii="CAIXA Std Book" w:hAnsi="CAIXA Std Book" w:cs="Calibri"/>
                <w:b/>
                <w:bCs/>
                <w:color w:val="FFFFFF"/>
                <w:sz w:val="18"/>
                <w:szCs w:val="18"/>
              </w:rPr>
              <w:t>20.893.687</w:t>
            </w:r>
          </w:p>
        </w:tc>
        <w:tc>
          <w:tcPr>
            <w:tcW w:w="666" w:type="pct"/>
            <w:tcBorders>
              <w:top w:val="nil"/>
              <w:left w:val="nil"/>
              <w:bottom w:val="nil"/>
              <w:right w:val="nil"/>
            </w:tcBorders>
            <w:shd w:val="clear" w:color="000000" w:fill="005CA9"/>
            <w:vAlign w:val="center"/>
            <w:hideMark/>
          </w:tcPr>
          <w:p w14:paraId="43FE86F7" w14:textId="77777777" w:rsidR="006512C2" w:rsidRPr="006512C2" w:rsidRDefault="006512C2" w:rsidP="006512C2">
            <w:pPr>
              <w:jc w:val="right"/>
              <w:rPr>
                <w:rFonts w:ascii="CAIXA Std Book" w:eastAsia="Times New Roman" w:hAnsi="CAIXA Std Book" w:cs="Calibri"/>
                <w:b/>
                <w:bCs/>
                <w:color w:val="FFFFFF"/>
                <w:sz w:val="18"/>
                <w:szCs w:val="18"/>
              </w:rPr>
            </w:pPr>
            <w:r w:rsidRPr="006512C2">
              <w:rPr>
                <w:rFonts w:ascii="CAIXA Std Book" w:eastAsia="Times New Roman" w:hAnsi="CAIXA Std Book" w:cs="Calibri"/>
                <w:b/>
                <w:bCs/>
                <w:color w:val="FFFFFF"/>
                <w:sz w:val="18"/>
                <w:szCs w:val="18"/>
              </w:rPr>
              <w:t>20.395.130</w:t>
            </w:r>
          </w:p>
        </w:tc>
      </w:tr>
    </w:tbl>
    <w:p w14:paraId="653F41BC" w14:textId="439F4325" w:rsidR="00656D4B" w:rsidRDefault="00B65910" w:rsidP="005E727D">
      <w:pPr>
        <w:ind w:right="-2"/>
        <w:jc w:val="both"/>
        <w:rPr>
          <w:rFonts w:ascii="CAIXA Std Book" w:hAnsi="CAIXA Std Book"/>
          <w:color w:val="005CA9"/>
          <w:sz w:val="16"/>
          <w:szCs w:val="16"/>
        </w:rPr>
      </w:pPr>
      <w:r w:rsidRPr="00531A34">
        <w:rPr>
          <w:rFonts w:ascii="CAIXA Std Book" w:hAnsi="CAIXA Std Book"/>
          <w:color w:val="005CA9"/>
          <w:sz w:val="16"/>
          <w:szCs w:val="16"/>
        </w:rPr>
        <w:t xml:space="preserve">(1) Inclui o montante de R$ </w:t>
      </w:r>
      <w:r w:rsidR="0071540A">
        <w:rPr>
          <w:rFonts w:ascii="CAIXA Std Book" w:hAnsi="CAIXA Std Book"/>
          <w:color w:val="005CA9"/>
          <w:sz w:val="16"/>
          <w:szCs w:val="16"/>
        </w:rPr>
        <w:t>1.335.758</w:t>
      </w:r>
      <w:r w:rsidR="001919DD">
        <w:rPr>
          <w:rFonts w:ascii="CAIXA Std Book" w:hAnsi="CAIXA Std Book"/>
          <w:color w:val="005CA9"/>
          <w:sz w:val="16"/>
          <w:szCs w:val="16"/>
        </w:rPr>
        <w:t xml:space="preserve"> </w:t>
      </w:r>
      <w:r w:rsidR="00E34E29">
        <w:rPr>
          <w:rFonts w:ascii="CAIXA Std Book" w:hAnsi="CAIXA Std Book"/>
          <w:color w:val="005CA9"/>
          <w:sz w:val="16"/>
          <w:szCs w:val="16"/>
        </w:rPr>
        <w:t>(</w:t>
      </w:r>
      <w:r w:rsidR="00E34E29" w:rsidRPr="00FC698B">
        <w:rPr>
          <w:rFonts w:ascii="CAIXA Std Book" w:hAnsi="CAIXA Std Book"/>
          <w:color w:val="005CA9"/>
          <w:sz w:val="16"/>
          <w:szCs w:val="16"/>
        </w:rPr>
        <w:t>31/12/2025</w:t>
      </w:r>
      <w:r w:rsidR="00D37729">
        <w:rPr>
          <w:rFonts w:ascii="CAIXA Std Book" w:hAnsi="CAIXA Std Book"/>
          <w:color w:val="005CA9"/>
          <w:sz w:val="16"/>
          <w:szCs w:val="16"/>
        </w:rPr>
        <w:t xml:space="preserve"> - </w:t>
      </w:r>
      <w:r w:rsidR="00D37729" w:rsidRPr="00FC698B">
        <w:rPr>
          <w:rFonts w:ascii="CAIXA Std Book" w:hAnsi="CAIXA Std Book"/>
          <w:color w:val="005CA9"/>
          <w:sz w:val="16"/>
          <w:szCs w:val="16"/>
        </w:rPr>
        <w:t>R$ 1.462.583</w:t>
      </w:r>
      <w:r w:rsidR="00D37729">
        <w:rPr>
          <w:rFonts w:ascii="CAIXA Std Book" w:hAnsi="CAIXA Std Book"/>
          <w:color w:val="005CA9"/>
          <w:sz w:val="16"/>
          <w:szCs w:val="16"/>
        </w:rPr>
        <w:t xml:space="preserve"> </w:t>
      </w:r>
      <w:r w:rsidR="00E34E29">
        <w:rPr>
          <w:rFonts w:ascii="CAIXA Std Book" w:hAnsi="CAIXA Std Book"/>
          <w:color w:val="005CA9"/>
          <w:sz w:val="16"/>
          <w:szCs w:val="16"/>
        </w:rPr>
        <w:t xml:space="preserve">) </w:t>
      </w:r>
      <w:r w:rsidRPr="00531A34">
        <w:rPr>
          <w:rFonts w:ascii="CAIXA Std Book" w:hAnsi="CAIXA Std Book"/>
          <w:color w:val="005CA9"/>
          <w:sz w:val="16"/>
          <w:szCs w:val="16"/>
        </w:rPr>
        <w:t>referente a recursos destinados ao pagamento do Novo Bolsa Família.</w:t>
      </w:r>
    </w:p>
    <w:p w14:paraId="045B44FD" w14:textId="0D30A2E0" w:rsidR="008226F4" w:rsidRPr="0084798B" w:rsidRDefault="008226F4" w:rsidP="00F3083F">
      <w:pPr>
        <w:pStyle w:val="PargrafodaLista"/>
        <w:numPr>
          <w:ilvl w:val="4"/>
          <w:numId w:val="50"/>
        </w:numPr>
        <w:spacing w:before="240" w:after="120"/>
        <w:ind w:left="567" w:hanging="567"/>
        <w:contextualSpacing w:val="0"/>
        <w:rPr>
          <w:rFonts w:ascii="CAIXA Std Book" w:hAnsi="CAIXA Std Book"/>
          <w:b/>
          <w:color w:val="005CA9"/>
          <w:sz w:val="20"/>
          <w:szCs w:val="20"/>
        </w:rPr>
      </w:pPr>
      <w:r w:rsidRPr="0084798B">
        <w:rPr>
          <w:rFonts w:ascii="CAIXA Std Book" w:hAnsi="CAIXA Std Book"/>
          <w:b/>
          <w:color w:val="005CA9"/>
          <w:sz w:val="20"/>
          <w:szCs w:val="20"/>
        </w:rPr>
        <w:t xml:space="preserve">Receitas antecipadas </w:t>
      </w:r>
    </w:p>
    <w:p w14:paraId="11536FE7" w14:textId="58A10147" w:rsidR="00C449EF" w:rsidRPr="007A5C50" w:rsidRDefault="00C449EF" w:rsidP="00A5311B">
      <w:pPr>
        <w:tabs>
          <w:tab w:val="left" w:pos="1650"/>
        </w:tabs>
        <w:spacing w:before="120" w:after="120"/>
        <w:jc w:val="both"/>
        <w:rPr>
          <w:rFonts w:ascii="CAIXA Std Book" w:hAnsi="CAIXA Std Book"/>
          <w:color w:val="005CA9"/>
          <w:sz w:val="20"/>
          <w:szCs w:val="20"/>
        </w:rPr>
      </w:pPr>
      <w:r w:rsidRPr="007A5C50">
        <w:rPr>
          <w:rFonts w:ascii="CAIXA Std Book" w:hAnsi="CAIXA Std Book"/>
          <w:color w:val="005CA9"/>
          <w:sz w:val="20"/>
          <w:szCs w:val="20"/>
        </w:rPr>
        <w:t xml:space="preserve">As receitas antecipadas correspondem ao saldo a diferir das transações entre a CAIXA, empresas parceiras, e suas controladas pelo direito de exploração do balcão, base de cliente e uso da marca. Em </w:t>
      </w:r>
      <w:r w:rsidR="005F23F9">
        <w:rPr>
          <w:rFonts w:ascii="CAIXA Std Book" w:hAnsi="CAIXA Std Book"/>
          <w:color w:val="005CA9"/>
          <w:sz w:val="20"/>
          <w:szCs w:val="20"/>
        </w:rPr>
        <w:t>31</w:t>
      </w:r>
      <w:r w:rsidRPr="007A5C50">
        <w:rPr>
          <w:rFonts w:ascii="CAIXA Std Book" w:hAnsi="CAIXA Std Book"/>
          <w:color w:val="005CA9"/>
          <w:sz w:val="20"/>
          <w:szCs w:val="20"/>
        </w:rPr>
        <w:t>/</w:t>
      </w:r>
      <w:r w:rsidR="00DC3B78">
        <w:rPr>
          <w:rFonts w:ascii="CAIXA Std Book" w:hAnsi="CAIXA Std Book"/>
          <w:color w:val="005CA9"/>
          <w:sz w:val="20"/>
          <w:szCs w:val="20"/>
        </w:rPr>
        <w:t>03</w:t>
      </w:r>
      <w:r w:rsidRPr="007A5C50">
        <w:rPr>
          <w:rFonts w:ascii="CAIXA Std Book" w:hAnsi="CAIXA Std Book"/>
          <w:color w:val="005CA9"/>
          <w:sz w:val="20"/>
          <w:szCs w:val="20"/>
        </w:rPr>
        <w:t>/202</w:t>
      </w:r>
      <w:r w:rsidR="00DC3B78">
        <w:rPr>
          <w:rFonts w:ascii="CAIXA Std Book" w:hAnsi="CAIXA Std Book"/>
          <w:color w:val="005CA9"/>
          <w:sz w:val="20"/>
          <w:szCs w:val="20"/>
        </w:rPr>
        <w:t>6</w:t>
      </w:r>
      <w:r w:rsidRPr="007A5C50">
        <w:rPr>
          <w:rFonts w:ascii="CAIXA Std Book" w:hAnsi="CAIXA Std Book"/>
          <w:color w:val="005CA9"/>
          <w:sz w:val="20"/>
          <w:szCs w:val="20"/>
        </w:rPr>
        <w:t xml:space="preserve"> as receitas antecipadas se referem às seguintes parcerias:</w:t>
      </w:r>
    </w:p>
    <w:p w14:paraId="48F8A61F" w14:textId="60144E91" w:rsidR="00C449EF" w:rsidRPr="004D60D6" w:rsidRDefault="00C449EF" w:rsidP="00295657">
      <w:pPr>
        <w:pStyle w:val="PargrafodaLista"/>
        <w:numPr>
          <w:ilvl w:val="0"/>
          <w:numId w:val="30"/>
        </w:numPr>
        <w:tabs>
          <w:tab w:val="left" w:pos="1650"/>
        </w:tabs>
        <w:spacing w:before="120" w:after="120"/>
        <w:ind w:left="357" w:hanging="357"/>
        <w:contextualSpacing w:val="0"/>
        <w:jc w:val="both"/>
        <w:rPr>
          <w:rFonts w:ascii="CAIXA Std Book" w:hAnsi="CAIXA Std Book"/>
          <w:color w:val="005CA9"/>
          <w:sz w:val="20"/>
          <w:szCs w:val="20"/>
        </w:rPr>
      </w:pPr>
      <w:r w:rsidRPr="00691945">
        <w:rPr>
          <w:rFonts w:ascii="CAIXA Std Book" w:hAnsi="CAIXA Std Book"/>
          <w:color w:val="005CA9"/>
          <w:sz w:val="20"/>
          <w:szCs w:val="20"/>
        </w:rPr>
        <w:t>VISA</w:t>
      </w:r>
      <w:r w:rsidR="007C6D0F" w:rsidRPr="00691945">
        <w:rPr>
          <w:rFonts w:ascii="CAIXA Std Book" w:hAnsi="CAIXA Std Book"/>
          <w:color w:val="005CA9"/>
          <w:sz w:val="20"/>
          <w:szCs w:val="20"/>
        </w:rPr>
        <w:t>, ad</w:t>
      </w:r>
      <w:r w:rsidR="00194386" w:rsidRPr="00691945">
        <w:rPr>
          <w:rFonts w:ascii="CAIXA Std Book" w:hAnsi="CAIXA Std Book"/>
          <w:color w:val="005CA9"/>
          <w:sz w:val="20"/>
          <w:szCs w:val="20"/>
        </w:rPr>
        <w:t xml:space="preserve">ministrado </w:t>
      </w:r>
      <w:r w:rsidR="007C6D0F" w:rsidRPr="00691945">
        <w:rPr>
          <w:rFonts w:ascii="CAIXA Std Book" w:hAnsi="CAIXA Std Book"/>
          <w:color w:val="005CA9"/>
          <w:sz w:val="20"/>
          <w:szCs w:val="20"/>
        </w:rPr>
        <w:t xml:space="preserve">pela </w:t>
      </w:r>
      <w:r w:rsidR="00007E54">
        <w:rPr>
          <w:rFonts w:ascii="CAIXA Std Book" w:hAnsi="CAIXA Std Book"/>
          <w:color w:val="005CA9"/>
          <w:sz w:val="20"/>
          <w:szCs w:val="20"/>
        </w:rPr>
        <w:t>C</w:t>
      </w:r>
      <w:r w:rsidR="007C6D0F" w:rsidRPr="00691945">
        <w:rPr>
          <w:rFonts w:ascii="CAIXA Std Book" w:hAnsi="CAIXA Std Book"/>
          <w:color w:val="005CA9"/>
          <w:sz w:val="20"/>
          <w:szCs w:val="20"/>
        </w:rPr>
        <w:t xml:space="preserve">aixa </w:t>
      </w:r>
      <w:r w:rsidR="00007E54">
        <w:rPr>
          <w:rFonts w:ascii="CAIXA Std Book" w:hAnsi="CAIXA Std Book"/>
          <w:color w:val="005CA9"/>
          <w:sz w:val="20"/>
          <w:szCs w:val="20"/>
        </w:rPr>
        <w:t>C</w:t>
      </w:r>
      <w:r w:rsidR="007C6D0F" w:rsidRPr="00691945">
        <w:rPr>
          <w:rFonts w:ascii="CAIXA Std Book" w:hAnsi="CAIXA Std Book"/>
          <w:color w:val="005CA9"/>
          <w:sz w:val="20"/>
          <w:szCs w:val="20"/>
        </w:rPr>
        <w:t>artões</w:t>
      </w:r>
      <w:r w:rsidR="00C96868" w:rsidRPr="00691945">
        <w:rPr>
          <w:rFonts w:ascii="CAIXA Std Book" w:hAnsi="CAIXA Std Book"/>
          <w:color w:val="005CA9"/>
          <w:sz w:val="20"/>
          <w:szCs w:val="20"/>
        </w:rPr>
        <w:t xml:space="preserve">, </w:t>
      </w:r>
      <w:r w:rsidR="00613445" w:rsidRPr="00691945">
        <w:rPr>
          <w:rFonts w:ascii="CAIXA Std Book" w:hAnsi="CAIXA Std Book"/>
          <w:color w:val="005CA9"/>
          <w:sz w:val="20"/>
          <w:szCs w:val="20"/>
        </w:rPr>
        <w:t xml:space="preserve">no montante de R$ </w:t>
      </w:r>
      <w:r w:rsidR="00947F89" w:rsidRPr="00691945">
        <w:rPr>
          <w:rFonts w:ascii="CAIXA Std Book" w:hAnsi="CAIXA Std Book"/>
          <w:color w:val="005CA9"/>
          <w:sz w:val="20"/>
          <w:szCs w:val="20"/>
        </w:rPr>
        <w:t>419.</w:t>
      </w:r>
      <w:r w:rsidR="00095904" w:rsidRPr="00691945">
        <w:rPr>
          <w:rFonts w:ascii="CAIXA Std Book" w:hAnsi="CAIXA Std Book"/>
          <w:color w:val="005CA9"/>
          <w:sz w:val="20"/>
          <w:szCs w:val="20"/>
        </w:rPr>
        <w:t xml:space="preserve">999 </w:t>
      </w:r>
      <w:r w:rsidR="00613445" w:rsidRPr="00691945">
        <w:rPr>
          <w:rFonts w:ascii="CAIXA Std Book" w:hAnsi="CAIXA Std Book"/>
          <w:color w:val="005CA9"/>
          <w:sz w:val="20"/>
          <w:szCs w:val="20"/>
        </w:rPr>
        <w:t>(31/12/202</w:t>
      </w:r>
      <w:r w:rsidR="008373E0">
        <w:rPr>
          <w:rFonts w:ascii="CAIXA Std Book" w:hAnsi="CAIXA Std Book"/>
          <w:color w:val="005CA9"/>
          <w:sz w:val="20"/>
          <w:szCs w:val="20"/>
        </w:rPr>
        <w:t>5</w:t>
      </w:r>
      <w:r w:rsidR="00613445" w:rsidRPr="00691945">
        <w:rPr>
          <w:rFonts w:ascii="CAIXA Std Book" w:hAnsi="CAIXA Std Book"/>
          <w:color w:val="005CA9"/>
          <w:sz w:val="20"/>
          <w:szCs w:val="20"/>
        </w:rPr>
        <w:t xml:space="preserve"> - R$ </w:t>
      </w:r>
      <w:r w:rsidR="005E3D5B">
        <w:rPr>
          <w:rFonts w:ascii="CAIXA Std Book" w:hAnsi="CAIXA Std Book"/>
          <w:color w:val="005CA9"/>
          <w:sz w:val="20"/>
          <w:szCs w:val="20"/>
        </w:rPr>
        <w:t>454</w:t>
      </w:r>
      <w:r w:rsidR="005624F8" w:rsidRPr="00691945">
        <w:rPr>
          <w:rFonts w:ascii="CAIXA Std Book" w:hAnsi="CAIXA Std Book"/>
          <w:color w:val="005CA9"/>
          <w:sz w:val="20"/>
          <w:szCs w:val="20"/>
        </w:rPr>
        <w:t>.</w:t>
      </w:r>
      <w:r w:rsidR="005E3D5B">
        <w:rPr>
          <w:rFonts w:ascii="CAIXA Std Book" w:hAnsi="CAIXA Std Book"/>
          <w:color w:val="005CA9"/>
          <w:sz w:val="20"/>
          <w:szCs w:val="20"/>
        </w:rPr>
        <w:t>804</w:t>
      </w:r>
      <w:r w:rsidR="00613445" w:rsidRPr="00691945">
        <w:rPr>
          <w:rFonts w:ascii="CAIXA Std Book" w:hAnsi="CAIXA Std Book"/>
          <w:color w:val="005CA9"/>
          <w:sz w:val="20"/>
          <w:szCs w:val="20"/>
        </w:rPr>
        <w:t xml:space="preserve">) referente ao recebimento de bônus inicial em virtude do acordo assinado, pelo prazo de </w:t>
      </w:r>
      <w:r w:rsidR="006B00FA">
        <w:rPr>
          <w:rFonts w:ascii="CAIXA Std Book" w:hAnsi="CAIXA Std Book"/>
          <w:color w:val="005CA9"/>
          <w:sz w:val="20"/>
          <w:szCs w:val="20"/>
        </w:rPr>
        <w:t>10</w:t>
      </w:r>
      <w:r w:rsidR="00613445" w:rsidRPr="00691945">
        <w:rPr>
          <w:rFonts w:ascii="CAIXA Std Book" w:hAnsi="CAIXA Std Book"/>
          <w:color w:val="005CA9"/>
          <w:sz w:val="20"/>
          <w:szCs w:val="20"/>
        </w:rPr>
        <w:t xml:space="preserve"> anos</w:t>
      </w:r>
      <w:r w:rsidR="00FE5789">
        <w:rPr>
          <w:rFonts w:ascii="CAIXA Std Book" w:hAnsi="CAIXA Std Book"/>
          <w:color w:val="005CA9"/>
          <w:sz w:val="20"/>
          <w:szCs w:val="20"/>
        </w:rPr>
        <w:t>;</w:t>
      </w:r>
    </w:p>
    <w:p w14:paraId="0609BC65" w14:textId="53910D2E" w:rsidR="00C449EF" w:rsidRPr="00F92C84" w:rsidRDefault="00C449EF" w:rsidP="00295657">
      <w:pPr>
        <w:pStyle w:val="PargrafodaLista"/>
        <w:numPr>
          <w:ilvl w:val="0"/>
          <w:numId w:val="30"/>
        </w:numPr>
        <w:tabs>
          <w:tab w:val="left" w:pos="1650"/>
        </w:tabs>
        <w:spacing w:before="120" w:after="120"/>
        <w:ind w:left="357" w:hanging="357"/>
        <w:contextualSpacing w:val="0"/>
        <w:jc w:val="both"/>
        <w:rPr>
          <w:rFonts w:ascii="CAIXA Std Book" w:hAnsi="CAIXA Std Book"/>
          <w:color w:val="005CA9"/>
          <w:sz w:val="20"/>
          <w:szCs w:val="20"/>
        </w:rPr>
      </w:pPr>
      <w:r w:rsidRPr="00F92C84">
        <w:rPr>
          <w:rFonts w:ascii="CAIXA Std Book" w:hAnsi="CAIXA Std Book"/>
          <w:color w:val="005CA9"/>
          <w:sz w:val="20"/>
          <w:szCs w:val="20"/>
        </w:rPr>
        <w:t xml:space="preserve">CNP (Holding XS1) no montante de </w:t>
      </w:r>
      <w:r w:rsidRPr="00DA1797">
        <w:rPr>
          <w:rFonts w:ascii="CAIXA Std Book" w:hAnsi="CAIXA Std Book"/>
          <w:color w:val="005CA9"/>
          <w:sz w:val="20"/>
          <w:szCs w:val="20"/>
        </w:rPr>
        <w:t>R$</w:t>
      </w:r>
      <w:r>
        <w:rPr>
          <w:rFonts w:ascii="CAIXA Std Book" w:hAnsi="CAIXA Std Book"/>
          <w:color w:val="005CA9"/>
          <w:sz w:val="20"/>
          <w:szCs w:val="20"/>
        </w:rPr>
        <w:t xml:space="preserve"> </w:t>
      </w:r>
      <w:r w:rsidR="0071540A">
        <w:rPr>
          <w:rFonts w:ascii="CAIXA Std Book" w:hAnsi="CAIXA Std Book"/>
          <w:color w:val="005CA9"/>
          <w:sz w:val="20"/>
          <w:szCs w:val="20"/>
        </w:rPr>
        <w:t>5.530.000</w:t>
      </w:r>
      <w:r w:rsidR="004D53DF">
        <w:rPr>
          <w:rFonts w:ascii="CAIXA Std Book" w:hAnsi="CAIXA Std Book"/>
          <w:color w:val="005CA9"/>
          <w:sz w:val="20"/>
          <w:szCs w:val="20"/>
        </w:rPr>
        <w:t xml:space="preserve"> (31/12/2025 -</w:t>
      </w:r>
      <w:r w:rsidRPr="00F92C84">
        <w:rPr>
          <w:rFonts w:ascii="CAIXA Std Book" w:hAnsi="CAIXA Std Book"/>
          <w:color w:val="005CA9"/>
          <w:sz w:val="20"/>
          <w:szCs w:val="20"/>
        </w:rPr>
        <w:t xml:space="preserve"> </w:t>
      </w:r>
      <w:r w:rsidRPr="00DA1797">
        <w:rPr>
          <w:rFonts w:ascii="CAIXA Std Book" w:hAnsi="CAIXA Std Book"/>
          <w:color w:val="005CA9"/>
          <w:sz w:val="20"/>
          <w:szCs w:val="20"/>
        </w:rPr>
        <w:t>R$</w:t>
      </w:r>
      <w:r>
        <w:rPr>
          <w:rFonts w:ascii="CAIXA Std Book" w:hAnsi="CAIXA Std Book"/>
          <w:color w:val="005CA9"/>
          <w:sz w:val="20"/>
          <w:szCs w:val="20"/>
        </w:rPr>
        <w:t xml:space="preserve"> </w:t>
      </w:r>
      <w:r w:rsidR="009113EB">
        <w:rPr>
          <w:rFonts w:ascii="CAIXA Std Book" w:hAnsi="CAIXA Std Book"/>
          <w:color w:val="005CA9"/>
          <w:sz w:val="20"/>
          <w:szCs w:val="20"/>
        </w:rPr>
        <w:t>5.600.000</w:t>
      </w:r>
      <w:r w:rsidR="00623B9E">
        <w:rPr>
          <w:rFonts w:ascii="CAIXA Std Book" w:hAnsi="CAIXA Std Book"/>
          <w:color w:val="005CA9"/>
          <w:sz w:val="20"/>
          <w:szCs w:val="20"/>
        </w:rPr>
        <w:t>)</w:t>
      </w:r>
      <w:r w:rsidR="009113EB">
        <w:rPr>
          <w:rFonts w:ascii="CAIXA Std Book" w:hAnsi="CAIXA Std Book"/>
          <w:color w:val="005CA9"/>
          <w:sz w:val="20"/>
          <w:szCs w:val="20"/>
        </w:rPr>
        <w:t xml:space="preserve"> </w:t>
      </w:r>
      <w:r w:rsidRPr="00F92C84">
        <w:rPr>
          <w:rFonts w:ascii="CAIXA Std Book" w:hAnsi="CAIXA Std Book"/>
          <w:color w:val="005CA9"/>
          <w:sz w:val="20"/>
          <w:szCs w:val="20"/>
        </w:rPr>
        <w:t>em cumprimento ao contrato de distribuição. O saldo é apropriado mensalmente pela vigência do contrato, até 2045</w:t>
      </w:r>
      <w:r w:rsidR="00CB74B3">
        <w:rPr>
          <w:rFonts w:ascii="CAIXA Std Book" w:hAnsi="CAIXA Std Book"/>
          <w:color w:val="005CA9"/>
          <w:sz w:val="20"/>
          <w:szCs w:val="20"/>
        </w:rPr>
        <w:t>;</w:t>
      </w:r>
    </w:p>
    <w:p w14:paraId="3E8D2CF5" w14:textId="66B89945" w:rsidR="00C449EF" w:rsidRPr="00DE43B3" w:rsidRDefault="00C449EF" w:rsidP="00295657">
      <w:pPr>
        <w:pStyle w:val="PargrafodaLista"/>
        <w:numPr>
          <w:ilvl w:val="0"/>
          <w:numId w:val="30"/>
        </w:numPr>
        <w:tabs>
          <w:tab w:val="left" w:pos="1650"/>
        </w:tabs>
        <w:spacing w:before="120" w:after="120"/>
        <w:ind w:left="357" w:right="139" w:hanging="357"/>
        <w:contextualSpacing w:val="0"/>
        <w:jc w:val="both"/>
        <w:rPr>
          <w:rFonts w:ascii="CAIXA Std Book" w:hAnsi="CAIXA Std Book"/>
          <w:color w:val="005CA9"/>
          <w:sz w:val="20"/>
          <w:szCs w:val="20"/>
        </w:rPr>
      </w:pPr>
      <w:r w:rsidRPr="00DE43B3">
        <w:rPr>
          <w:rFonts w:ascii="CAIXA Std Book" w:hAnsi="CAIXA Std Book"/>
          <w:color w:val="005CA9"/>
          <w:sz w:val="20"/>
          <w:szCs w:val="20"/>
        </w:rPr>
        <w:t xml:space="preserve">Tokio Marine (XS3) no montante de </w:t>
      </w:r>
      <w:r w:rsidRPr="00DA1797">
        <w:rPr>
          <w:rFonts w:ascii="CAIXA Std Book" w:hAnsi="CAIXA Std Book"/>
          <w:color w:val="005CA9"/>
          <w:sz w:val="20"/>
          <w:szCs w:val="20"/>
        </w:rPr>
        <w:t>R$</w:t>
      </w:r>
      <w:r w:rsidR="0013667D" w:rsidRPr="00DA1797">
        <w:rPr>
          <w:rFonts w:ascii="CAIXA Std Book" w:hAnsi="CAIXA Std Book"/>
          <w:color w:val="005CA9"/>
          <w:sz w:val="20"/>
          <w:szCs w:val="20"/>
        </w:rPr>
        <w:t xml:space="preserve"> </w:t>
      </w:r>
      <w:r w:rsidR="0071540A">
        <w:rPr>
          <w:rFonts w:ascii="CAIXA Std Book" w:hAnsi="CAIXA Std Book"/>
          <w:color w:val="005CA9"/>
          <w:sz w:val="20"/>
          <w:szCs w:val="20"/>
        </w:rPr>
        <w:t>1.121.000</w:t>
      </w:r>
      <w:r w:rsidR="00250442">
        <w:rPr>
          <w:rFonts w:ascii="CAIXA Std Book" w:hAnsi="CAIXA Std Book"/>
          <w:color w:val="005CA9"/>
          <w:sz w:val="20"/>
          <w:szCs w:val="20"/>
        </w:rPr>
        <w:t xml:space="preserve"> </w:t>
      </w:r>
      <w:r w:rsidR="00623B9E">
        <w:rPr>
          <w:rFonts w:ascii="CAIXA Std Book" w:hAnsi="CAIXA Std Book"/>
          <w:color w:val="005CA9"/>
          <w:sz w:val="20"/>
          <w:szCs w:val="20"/>
        </w:rPr>
        <w:t>(31/12/20</w:t>
      </w:r>
      <w:r w:rsidR="00250442">
        <w:rPr>
          <w:rFonts w:ascii="CAIXA Std Book" w:hAnsi="CAIXA Std Book"/>
          <w:color w:val="005CA9"/>
          <w:sz w:val="20"/>
          <w:szCs w:val="20"/>
        </w:rPr>
        <w:t xml:space="preserve">25 - </w:t>
      </w:r>
      <w:r w:rsidRPr="00DA1797">
        <w:rPr>
          <w:rFonts w:ascii="CAIXA Std Book" w:hAnsi="CAIXA Std Book"/>
          <w:color w:val="005CA9"/>
          <w:sz w:val="20"/>
          <w:szCs w:val="20"/>
        </w:rPr>
        <w:t>R$</w:t>
      </w:r>
      <w:r w:rsidR="0013667D" w:rsidRPr="00DA1797">
        <w:rPr>
          <w:rFonts w:ascii="CAIXA Std Book" w:hAnsi="CAIXA Std Book"/>
          <w:color w:val="005CA9"/>
          <w:sz w:val="20"/>
          <w:szCs w:val="20"/>
        </w:rPr>
        <w:t xml:space="preserve"> </w:t>
      </w:r>
      <w:r w:rsidR="005D354B">
        <w:rPr>
          <w:rFonts w:ascii="CAIXA Std Book" w:hAnsi="CAIXA Std Book"/>
          <w:color w:val="005CA9"/>
          <w:sz w:val="20"/>
          <w:szCs w:val="20"/>
        </w:rPr>
        <w:t>1</w:t>
      </w:r>
      <w:r w:rsidR="00DA1797">
        <w:rPr>
          <w:rFonts w:ascii="CAIXA Std Book" w:hAnsi="CAIXA Std Book"/>
          <w:color w:val="005CA9"/>
          <w:sz w:val="20"/>
          <w:szCs w:val="20"/>
        </w:rPr>
        <w:t>.</w:t>
      </w:r>
      <w:r w:rsidR="005D354B">
        <w:rPr>
          <w:rFonts w:ascii="CAIXA Std Book" w:hAnsi="CAIXA Std Book"/>
          <w:color w:val="005CA9"/>
          <w:sz w:val="20"/>
          <w:szCs w:val="20"/>
        </w:rPr>
        <w:t>140</w:t>
      </w:r>
      <w:r w:rsidR="00DA1797">
        <w:rPr>
          <w:rFonts w:ascii="CAIXA Std Book" w:hAnsi="CAIXA Std Book"/>
          <w:color w:val="005CA9"/>
          <w:sz w:val="20"/>
          <w:szCs w:val="20"/>
        </w:rPr>
        <w:t>.</w:t>
      </w:r>
      <w:r w:rsidR="005D354B">
        <w:rPr>
          <w:rFonts w:ascii="CAIXA Std Book" w:hAnsi="CAIXA Std Book"/>
          <w:color w:val="005CA9"/>
          <w:sz w:val="20"/>
          <w:szCs w:val="20"/>
        </w:rPr>
        <w:t>000</w:t>
      </w:r>
      <w:r w:rsidR="00250442">
        <w:rPr>
          <w:rFonts w:ascii="CAIXA Std Book" w:hAnsi="CAIXA Std Book"/>
          <w:color w:val="005CA9"/>
          <w:sz w:val="20"/>
          <w:szCs w:val="20"/>
        </w:rPr>
        <w:t>)</w:t>
      </w:r>
      <w:r w:rsidRPr="00DE43B3">
        <w:rPr>
          <w:rFonts w:ascii="CAIXA Std Book" w:hAnsi="CAIXA Std Book"/>
          <w:color w:val="005CA9"/>
          <w:sz w:val="20"/>
          <w:szCs w:val="20"/>
        </w:rPr>
        <w:t xml:space="preserve">, Icatu (XS4) no montante de </w:t>
      </w:r>
      <w:r w:rsidRPr="00D75617">
        <w:rPr>
          <w:rFonts w:ascii="CAIXA Std Book" w:hAnsi="CAIXA Std Book"/>
          <w:color w:val="005CA9"/>
          <w:sz w:val="20"/>
          <w:szCs w:val="20"/>
        </w:rPr>
        <w:t xml:space="preserve">R$ </w:t>
      </w:r>
      <w:r w:rsidR="0071540A">
        <w:rPr>
          <w:rFonts w:ascii="CAIXA Std Book" w:hAnsi="CAIXA Std Book"/>
          <w:color w:val="005CA9"/>
          <w:sz w:val="20"/>
          <w:szCs w:val="20"/>
        </w:rPr>
        <w:t>135.000</w:t>
      </w:r>
      <w:r w:rsidRPr="00DE43B3">
        <w:rPr>
          <w:rFonts w:ascii="CAIXA Std Book" w:hAnsi="CAIXA Std Book"/>
          <w:color w:val="005CA9"/>
          <w:sz w:val="20"/>
          <w:szCs w:val="20"/>
        </w:rPr>
        <w:t xml:space="preserve"> </w:t>
      </w:r>
      <w:r w:rsidR="00B84847">
        <w:rPr>
          <w:rFonts w:ascii="CAIXA Std Book" w:hAnsi="CAIXA Std Book"/>
          <w:color w:val="005CA9"/>
          <w:sz w:val="20"/>
          <w:szCs w:val="20"/>
        </w:rPr>
        <w:t xml:space="preserve">(31/12/2025 - </w:t>
      </w:r>
      <w:r w:rsidRPr="00D75617">
        <w:rPr>
          <w:rFonts w:ascii="CAIXA Std Book" w:hAnsi="CAIXA Std Book"/>
          <w:color w:val="005CA9"/>
          <w:sz w:val="20"/>
          <w:szCs w:val="20"/>
        </w:rPr>
        <w:t xml:space="preserve">R$ </w:t>
      </w:r>
      <w:r w:rsidR="0053389F">
        <w:rPr>
          <w:rFonts w:ascii="CAIXA Std Book" w:hAnsi="CAIXA Std Book"/>
          <w:color w:val="005CA9"/>
          <w:sz w:val="20"/>
          <w:szCs w:val="20"/>
        </w:rPr>
        <w:t>137.250</w:t>
      </w:r>
      <w:r w:rsidR="00B84847">
        <w:rPr>
          <w:rFonts w:ascii="CAIXA Std Book" w:hAnsi="CAIXA Std Book"/>
          <w:color w:val="005CA9"/>
          <w:sz w:val="20"/>
          <w:szCs w:val="20"/>
        </w:rPr>
        <w:t>)</w:t>
      </w:r>
      <w:r w:rsidR="0057614D" w:rsidRPr="00D75617">
        <w:rPr>
          <w:rFonts w:ascii="CAIXA Std Book" w:hAnsi="CAIXA Std Book"/>
          <w:color w:val="005CA9"/>
          <w:sz w:val="20"/>
          <w:szCs w:val="20"/>
        </w:rPr>
        <w:t>,</w:t>
      </w:r>
      <w:r w:rsidRPr="00D75617">
        <w:rPr>
          <w:rFonts w:ascii="CAIXA Std Book" w:hAnsi="CAIXA Std Book"/>
          <w:color w:val="005CA9"/>
          <w:sz w:val="20"/>
          <w:szCs w:val="20"/>
        </w:rPr>
        <w:t xml:space="preserve"> CNP (XS5) no montante de </w:t>
      </w:r>
      <w:r w:rsidRPr="00DA1797">
        <w:rPr>
          <w:rFonts w:ascii="CAIXA Std Book" w:hAnsi="CAIXA Std Book"/>
          <w:color w:val="005CA9"/>
          <w:sz w:val="20"/>
          <w:szCs w:val="20"/>
        </w:rPr>
        <w:t xml:space="preserve">R$ </w:t>
      </w:r>
      <w:r w:rsidR="00EB5E2E">
        <w:rPr>
          <w:rFonts w:ascii="CAIXA Std Book" w:hAnsi="CAIXA Std Book"/>
          <w:color w:val="005CA9"/>
          <w:sz w:val="20"/>
          <w:szCs w:val="20"/>
        </w:rPr>
        <w:t>187.500</w:t>
      </w:r>
      <w:r w:rsidRPr="00D75617">
        <w:rPr>
          <w:rFonts w:ascii="CAIXA Std Book" w:hAnsi="CAIXA Std Book"/>
          <w:color w:val="005CA9"/>
          <w:sz w:val="20"/>
          <w:szCs w:val="20"/>
        </w:rPr>
        <w:t xml:space="preserve"> </w:t>
      </w:r>
      <w:r w:rsidR="00085839">
        <w:rPr>
          <w:rFonts w:ascii="CAIXA Std Book" w:hAnsi="CAIXA Std Book"/>
          <w:color w:val="005CA9"/>
          <w:sz w:val="20"/>
          <w:szCs w:val="20"/>
        </w:rPr>
        <w:t>(31/12/2025 -</w:t>
      </w:r>
      <w:r w:rsidR="00DF0AF4">
        <w:rPr>
          <w:rFonts w:ascii="CAIXA Std Book" w:hAnsi="CAIXA Std Book"/>
          <w:color w:val="005CA9"/>
          <w:sz w:val="20"/>
          <w:szCs w:val="20"/>
        </w:rPr>
        <w:t xml:space="preserve"> </w:t>
      </w:r>
      <w:r w:rsidRPr="00DA1797">
        <w:rPr>
          <w:rFonts w:ascii="CAIXA Std Book" w:hAnsi="CAIXA Std Book"/>
          <w:color w:val="005CA9"/>
          <w:sz w:val="20"/>
          <w:szCs w:val="20"/>
        </w:rPr>
        <w:t xml:space="preserve">R$ </w:t>
      </w:r>
      <w:r w:rsidR="009A2AED">
        <w:rPr>
          <w:rFonts w:ascii="CAIXA Std Book" w:hAnsi="CAIXA Std Book"/>
          <w:color w:val="005CA9"/>
          <w:sz w:val="20"/>
          <w:szCs w:val="20"/>
        </w:rPr>
        <w:t>190</w:t>
      </w:r>
      <w:r w:rsidR="008F118C">
        <w:rPr>
          <w:rFonts w:ascii="CAIXA Std Book" w:hAnsi="CAIXA Std Book"/>
          <w:color w:val="005CA9"/>
          <w:sz w:val="20"/>
          <w:szCs w:val="20"/>
        </w:rPr>
        <w:t>.625</w:t>
      </w:r>
      <w:r w:rsidR="00DF0AF4">
        <w:rPr>
          <w:rFonts w:ascii="CAIXA Std Book" w:hAnsi="CAIXA Std Book"/>
          <w:color w:val="005CA9"/>
          <w:sz w:val="20"/>
          <w:szCs w:val="20"/>
        </w:rPr>
        <w:t>)</w:t>
      </w:r>
      <w:r w:rsidRPr="00D75617">
        <w:rPr>
          <w:rFonts w:ascii="CAIXA Std Book" w:hAnsi="CAIXA Std Book"/>
          <w:color w:val="005CA9"/>
          <w:sz w:val="20"/>
          <w:szCs w:val="20"/>
        </w:rPr>
        <w:t>,</w:t>
      </w:r>
      <w:r w:rsidRPr="00DE43B3">
        <w:rPr>
          <w:rFonts w:ascii="CAIXA Std Book" w:hAnsi="CAIXA Std Book"/>
          <w:color w:val="005CA9"/>
          <w:sz w:val="20"/>
          <w:szCs w:val="20"/>
        </w:rPr>
        <w:t xml:space="preserve"> e Tempo (XS6) no montante de </w:t>
      </w:r>
      <w:r w:rsidRPr="007C0128">
        <w:rPr>
          <w:rFonts w:ascii="CAIXA Std Book" w:hAnsi="CAIXA Std Book"/>
          <w:color w:val="005CA9"/>
          <w:sz w:val="20"/>
          <w:szCs w:val="20"/>
        </w:rPr>
        <w:t xml:space="preserve">R$ </w:t>
      </w:r>
      <w:r w:rsidR="000E66FB">
        <w:rPr>
          <w:rFonts w:ascii="CAIXA Std Book" w:hAnsi="CAIXA Std Book"/>
          <w:color w:val="005CA9"/>
          <w:sz w:val="20"/>
          <w:szCs w:val="20"/>
        </w:rPr>
        <w:t>22.125</w:t>
      </w:r>
      <w:r w:rsidRPr="00DE43B3">
        <w:rPr>
          <w:rFonts w:ascii="CAIXA Std Book" w:hAnsi="CAIXA Std Book"/>
          <w:color w:val="005CA9"/>
          <w:sz w:val="20"/>
          <w:szCs w:val="20"/>
        </w:rPr>
        <w:t xml:space="preserve"> </w:t>
      </w:r>
      <w:r w:rsidR="00DF0AF4">
        <w:rPr>
          <w:rFonts w:ascii="CAIXA Std Book" w:hAnsi="CAIXA Std Book"/>
          <w:color w:val="005CA9"/>
          <w:sz w:val="20"/>
          <w:szCs w:val="20"/>
        </w:rPr>
        <w:t xml:space="preserve">(31/12/2025 - </w:t>
      </w:r>
      <w:r w:rsidRPr="007C0128">
        <w:rPr>
          <w:rFonts w:ascii="CAIXA Std Book" w:hAnsi="CAIXA Std Book"/>
          <w:color w:val="005CA9"/>
          <w:sz w:val="20"/>
          <w:szCs w:val="20"/>
        </w:rPr>
        <w:t xml:space="preserve">R$ </w:t>
      </w:r>
      <w:r w:rsidR="00C346CA">
        <w:rPr>
          <w:rFonts w:ascii="CAIXA Std Book" w:hAnsi="CAIXA Std Book"/>
          <w:color w:val="005CA9"/>
          <w:sz w:val="20"/>
          <w:szCs w:val="20"/>
        </w:rPr>
        <w:t>22.500</w:t>
      </w:r>
      <w:r w:rsidR="00DF0AF4">
        <w:rPr>
          <w:rFonts w:ascii="CAIXA Std Book" w:hAnsi="CAIXA Std Book"/>
          <w:color w:val="005CA9"/>
          <w:sz w:val="20"/>
          <w:szCs w:val="20"/>
        </w:rPr>
        <w:t>)</w:t>
      </w:r>
      <w:r w:rsidRPr="00DE43B3">
        <w:rPr>
          <w:rFonts w:ascii="CAIXA Std Book" w:hAnsi="CAIXA Std Book"/>
          <w:color w:val="005CA9"/>
          <w:sz w:val="20"/>
          <w:szCs w:val="20"/>
        </w:rPr>
        <w:t>, em cumprimento ao contrato de distribuição pelo prazo de 20 anos com a Caixa Seguridade</w:t>
      </w:r>
      <w:r w:rsidR="00CB74B3">
        <w:rPr>
          <w:rFonts w:ascii="CAIXA Std Book" w:hAnsi="CAIXA Std Book"/>
          <w:color w:val="005CA9"/>
          <w:sz w:val="20"/>
          <w:szCs w:val="20"/>
        </w:rPr>
        <w:t>;</w:t>
      </w:r>
    </w:p>
    <w:p w14:paraId="49028AAB" w14:textId="2976489F" w:rsidR="00C449EF" w:rsidRPr="00E95D43" w:rsidRDefault="00C449EF" w:rsidP="00295657">
      <w:pPr>
        <w:pStyle w:val="PargrafodaLista"/>
        <w:numPr>
          <w:ilvl w:val="0"/>
          <w:numId w:val="30"/>
        </w:numPr>
        <w:tabs>
          <w:tab w:val="left" w:pos="1650"/>
        </w:tabs>
        <w:spacing w:before="120" w:after="120"/>
        <w:ind w:left="357" w:right="139" w:hanging="357"/>
        <w:contextualSpacing w:val="0"/>
        <w:jc w:val="both"/>
        <w:rPr>
          <w:rFonts w:ascii="CAIXA Std Book" w:hAnsi="CAIXA Std Book"/>
          <w:color w:val="005CA9"/>
          <w:sz w:val="20"/>
          <w:szCs w:val="20"/>
        </w:rPr>
      </w:pPr>
      <w:r w:rsidRPr="00E95D43">
        <w:rPr>
          <w:rFonts w:ascii="CAIXA Std Book" w:hAnsi="CAIXA Std Book"/>
          <w:color w:val="005CA9"/>
          <w:sz w:val="20"/>
          <w:szCs w:val="20"/>
        </w:rPr>
        <w:t xml:space="preserve">FISERV, no montante de </w:t>
      </w:r>
      <w:r w:rsidRPr="007C0128">
        <w:rPr>
          <w:rFonts w:ascii="CAIXA Std Book" w:hAnsi="CAIXA Std Book"/>
          <w:color w:val="005CA9"/>
          <w:sz w:val="20"/>
          <w:szCs w:val="20"/>
        </w:rPr>
        <w:t xml:space="preserve">R$ </w:t>
      </w:r>
      <w:r w:rsidR="001F281D">
        <w:rPr>
          <w:rFonts w:ascii="CAIXA Std Book" w:hAnsi="CAIXA Std Book"/>
          <w:color w:val="005CA9"/>
          <w:sz w:val="20"/>
          <w:szCs w:val="20"/>
        </w:rPr>
        <w:t>120.000</w:t>
      </w:r>
      <w:r w:rsidRPr="00E95D43">
        <w:rPr>
          <w:rFonts w:ascii="CAIXA Std Book" w:hAnsi="CAIXA Std Book"/>
          <w:color w:val="005CA9"/>
          <w:sz w:val="20"/>
          <w:szCs w:val="20"/>
        </w:rPr>
        <w:t xml:space="preserve"> </w:t>
      </w:r>
      <w:r w:rsidR="00565704">
        <w:rPr>
          <w:rFonts w:ascii="CAIXA Std Book" w:hAnsi="CAIXA Std Book"/>
          <w:color w:val="005CA9"/>
          <w:sz w:val="20"/>
          <w:szCs w:val="20"/>
        </w:rPr>
        <w:t xml:space="preserve">(31/12/2025 - </w:t>
      </w:r>
      <w:r w:rsidRPr="007C0128">
        <w:rPr>
          <w:rFonts w:ascii="CAIXA Std Book" w:hAnsi="CAIXA Std Book"/>
          <w:color w:val="005CA9"/>
          <w:sz w:val="20"/>
          <w:szCs w:val="20"/>
        </w:rPr>
        <w:t xml:space="preserve">R$ </w:t>
      </w:r>
      <w:r w:rsidR="007E62DB">
        <w:rPr>
          <w:rFonts w:ascii="CAIXA Std Book" w:hAnsi="CAIXA Std Book"/>
          <w:color w:val="005CA9"/>
          <w:sz w:val="20"/>
          <w:szCs w:val="20"/>
        </w:rPr>
        <w:t>122.000</w:t>
      </w:r>
      <w:r w:rsidR="00565704">
        <w:rPr>
          <w:rFonts w:ascii="CAIXA Std Book" w:hAnsi="CAIXA Std Book"/>
          <w:color w:val="005CA9"/>
          <w:sz w:val="20"/>
          <w:szCs w:val="20"/>
        </w:rPr>
        <w:t>)</w:t>
      </w:r>
      <w:r w:rsidRPr="00E95D43">
        <w:rPr>
          <w:rFonts w:ascii="CAIXA Std Book" w:hAnsi="CAIXA Std Book"/>
          <w:color w:val="005CA9"/>
          <w:sz w:val="20"/>
          <w:szCs w:val="20"/>
        </w:rPr>
        <w:t>, buscando fortalecer sua atuação no mercado de meios de pagamento eletrônicos, prevê um contrato com vigência de 20 anos com a Caixa Cartões</w:t>
      </w:r>
      <w:r w:rsidR="0097451F">
        <w:rPr>
          <w:rFonts w:ascii="CAIXA Std Book" w:hAnsi="CAIXA Std Book"/>
          <w:color w:val="005CA9"/>
          <w:sz w:val="20"/>
          <w:szCs w:val="20"/>
        </w:rPr>
        <w:t xml:space="preserve"> Pré-Pagos</w:t>
      </w:r>
      <w:r w:rsidR="00CB74B3">
        <w:rPr>
          <w:rFonts w:ascii="CAIXA Std Book" w:hAnsi="CAIXA Std Book"/>
          <w:color w:val="005CA9"/>
          <w:sz w:val="20"/>
          <w:szCs w:val="20"/>
        </w:rPr>
        <w:t>; e</w:t>
      </w:r>
    </w:p>
    <w:p w14:paraId="54096EF1" w14:textId="72216DE5" w:rsidR="003A2BC5" w:rsidRDefault="008226F4" w:rsidP="00295657">
      <w:pPr>
        <w:pStyle w:val="PargrafodaLista"/>
        <w:numPr>
          <w:ilvl w:val="0"/>
          <w:numId w:val="30"/>
        </w:numPr>
        <w:tabs>
          <w:tab w:val="left" w:pos="1650"/>
        </w:tabs>
        <w:spacing w:before="120" w:after="120"/>
        <w:ind w:left="357" w:hanging="357"/>
        <w:contextualSpacing w:val="0"/>
        <w:jc w:val="both"/>
        <w:rPr>
          <w:rFonts w:ascii="CAIXA Std Book" w:hAnsi="CAIXA Std Book"/>
          <w:color w:val="005CA9"/>
          <w:sz w:val="20"/>
          <w:szCs w:val="20"/>
        </w:rPr>
      </w:pPr>
      <w:r w:rsidRPr="00997E4C">
        <w:rPr>
          <w:rFonts w:ascii="CAIXA Std Book" w:hAnsi="CAIXA Std Book"/>
          <w:color w:val="005CA9"/>
          <w:sz w:val="20"/>
          <w:szCs w:val="20"/>
        </w:rPr>
        <w:t xml:space="preserve">VR BENEFÍCIOS e FLEETCOR (“VR-FLEETCOR”), no montante de </w:t>
      </w:r>
      <w:r w:rsidRPr="000F50B7">
        <w:rPr>
          <w:rFonts w:ascii="CAIXA Std Book" w:hAnsi="CAIXA Std Book"/>
          <w:color w:val="005CA9"/>
          <w:sz w:val="20"/>
          <w:szCs w:val="20"/>
        </w:rPr>
        <w:t xml:space="preserve">R$ </w:t>
      </w:r>
      <w:r w:rsidR="005C1E59">
        <w:rPr>
          <w:rFonts w:ascii="CAIXA Std Book" w:hAnsi="CAIXA Std Book"/>
          <w:color w:val="005CA9"/>
          <w:sz w:val="20"/>
          <w:szCs w:val="20"/>
        </w:rPr>
        <w:t>313.333</w:t>
      </w:r>
      <w:r w:rsidRPr="00997E4C">
        <w:rPr>
          <w:rFonts w:ascii="CAIXA Std Book" w:hAnsi="CAIXA Std Book"/>
          <w:color w:val="005CA9"/>
          <w:sz w:val="20"/>
          <w:szCs w:val="20"/>
        </w:rPr>
        <w:t xml:space="preserve"> </w:t>
      </w:r>
      <w:r w:rsidR="00C8008D">
        <w:rPr>
          <w:rFonts w:ascii="CAIXA Std Book" w:hAnsi="CAIXA Std Book"/>
          <w:color w:val="005CA9"/>
          <w:sz w:val="20"/>
          <w:szCs w:val="20"/>
        </w:rPr>
        <w:t xml:space="preserve">(31/12/2025 - </w:t>
      </w:r>
      <w:r w:rsidRPr="000F50B7">
        <w:rPr>
          <w:rFonts w:ascii="CAIXA Std Book" w:hAnsi="CAIXA Std Book"/>
          <w:color w:val="005CA9"/>
          <w:sz w:val="20"/>
          <w:szCs w:val="20"/>
        </w:rPr>
        <w:t xml:space="preserve">R$ </w:t>
      </w:r>
      <w:r w:rsidR="0093216E">
        <w:rPr>
          <w:rFonts w:ascii="CAIXA Std Book" w:hAnsi="CAIXA Std Book"/>
          <w:color w:val="005CA9"/>
          <w:sz w:val="20"/>
          <w:szCs w:val="20"/>
        </w:rPr>
        <w:t>318</w:t>
      </w:r>
      <w:r w:rsidR="005F23F9">
        <w:rPr>
          <w:rFonts w:ascii="CAIXA Std Book" w:hAnsi="CAIXA Std Book"/>
          <w:color w:val="005CA9"/>
          <w:sz w:val="20"/>
          <w:szCs w:val="20"/>
        </w:rPr>
        <w:t>.</w:t>
      </w:r>
      <w:r w:rsidR="0093216E">
        <w:rPr>
          <w:rFonts w:ascii="CAIXA Std Book" w:hAnsi="CAIXA Std Book"/>
          <w:color w:val="005CA9"/>
          <w:sz w:val="20"/>
          <w:szCs w:val="20"/>
        </w:rPr>
        <w:t>333</w:t>
      </w:r>
      <w:r w:rsidR="00C8008D">
        <w:rPr>
          <w:rFonts w:ascii="CAIXA Std Book" w:hAnsi="CAIXA Std Book"/>
          <w:color w:val="005CA9"/>
          <w:sz w:val="20"/>
          <w:szCs w:val="20"/>
        </w:rPr>
        <w:t>)</w:t>
      </w:r>
      <w:r w:rsidRPr="00997E4C">
        <w:rPr>
          <w:rFonts w:ascii="CAIXA Std Book" w:hAnsi="CAIXA Std Book"/>
          <w:color w:val="005CA9"/>
          <w:sz w:val="20"/>
          <w:szCs w:val="20"/>
        </w:rPr>
        <w:t xml:space="preserve">, para atuação no segmento relacionado a meios de pagamento </w:t>
      </w:r>
      <w:r w:rsidR="00E23EA2">
        <w:rPr>
          <w:rFonts w:ascii="CAIXA Std Book" w:hAnsi="CAIXA Std Book"/>
          <w:color w:val="005CA9"/>
          <w:sz w:val="20"/>
          <w:szCs w:val="20"/>
        </w:rPr>
        <w:t>p</w:t>
      </w:r>
      <w:r w:rsidRPr="00997E4C">
        <w:rPr>
          <w:rFonts w:ascii="CAIXA Std Book" w:hAnsi="CAIXA Std Book"/>
          <w:color w:val="005CA9"/>
          <w:sz w:val="20"/>
          <w:szCs w:val="20"/>
        </w:rPr>
        <w:t>ré-</w:t>
      </w:r>
      <w:r w:rsidR="00E23EA2">
        <w:rPr>
          <w:rFonts w:ascii="CAIXA Std Book" w:hAnsi="CAIXA Std Book"/>
          <w:color w:val="005CA9"/>
          <w:sz w:val="20"/>
          <w:szCs w:val="20"/>
        </w:rPr>
        <w:t>p</w:t>
      </w:r>
      <w:r w:rsidRPr="00997E4C">
        <w:rPr>
          <w:rFonts w:ascii="CAIXA Std Book" w:hAnsi="CAIXA Std Book"/>
          <w:color w:val="005CA9"/>
          <w:sz w:val="20"/>
          <w:szCs w:val="20"/>
        </w:rPr>
        <w:t>agos, pelo prazo de 20 anos, conforme contrato firmado com a Caixa Cartões</w:t>
      </w:r>
      <w:r w:rsidR="00F9533F">
        <w:rPr>
          <w:rFonts w:ascii="CAIXA Std Book" w:hAnsi="CAIXA Std Book"/>
          <w:color w:val="005CA9"/>
          <w:sz w:val="20"/>
          <w:szCs w:val="20"/>
        </w:rPr>
        <w:t xml:space="preserve"> Pré-Pagos</w:t>
      </w:r>
      <w:r w:rsidRPr="00997E4C">
        <w:rPr>
          <w:rFonts w:ascii="CAIXA Std Book" w:hAnsi="CAIXA Std Book"/>
          <w:color w:val="005CA9"/>
          <w:sz w:val="20"/>
          <w:szCs w:val="20"/>
        </w:rPr>
        <w:t>.</w:t>
      </w:r>
    </w:p>
    <w:p w14:paraId="1571D44C" w14:textId="13095DBD" w:rsidR="002713C3" w:rsidRPr="00E95E29" w:rsidRDefault="002713C3" w:rsidP="00B735D2">
      <w:pPr>
        <w:pStyle w:val="Ttulo1"/>
      </w:pPr>
      <w:bookmarkStart w:id="121" w:name="_Toc217914342"/>
      <w:bookmarkStart w:id="122" w:name="_Toc229588492"/>
      <w:r w:rsidRPr="00E95E29">
        <w:t>Nota   1</w:t>
      </w:r>
      <w:r w:rsidR="00323B4E">
        <w:t>6</w:t>
      </w:r>
      <w:r w:rsidRPr="00E95E29">
        <w:t xml:space="preserve"> – Provisões</w:t>
      </w:r>
      <w:bookmarkEnd w:id="121"/>
      <w:bookmarkEnd w:id="122"/>
    </w:p>
    <w:p w14:paraId="5437E8D3" w14:textId="77777777" w:rsidR="002713C3" w:rsidRPr="00F225F6" w:rsidRDefault="002713C3" w:rsidP="00AB4D07">
      <w:pPr>
        <w:keepNext/>
        <w:numPr>
          <w:ilvl w:val="0"/>
          <w:numId w:val="8"/>
        </w:numPr>
        <w:spacing w:before="240" w:after="120"/>
        <w:ind w:left="567" w:hanging="567"/>
        <w:jc w:val="both"/>
        <w:rPr>
          <w:rFonts w:ascii="CAIXA Std Book" w:hAnsi="CAIXA Std Book"/>
          <w:color w:val="005CA9"/>
          <w:sz w:val="20"/>
          <w:szCs w:val="20"/>
        </w:rPr>
      </w:pPr>
      <w:r w:rsidRPr="00B04D8D">
        <w:rPr>
          <w:rFonts w:ascii="CAIXA Std Book" w:hAnsi="CAIXA Std Book"/>
          <w:b/>
          <w:color w:val="005CA9"/>
          <w:sz w:val="20"/>
          <w:szCs w:val="20"/>
        </w:rPr>
        <w:t>Composição</w:t>
      </w:r>
    </w:p>
    <w:tbl>
      <w:tblPr>
        <w:tblW w:w="5000" w:type="pct"/>
        <w:tblCellMar>
          <w:left w:w="70" w:type="dxa"/>
          <w:right w:w="70" w:type="dxa"/>
        </w:tblCellMar>
        <w:tblLook w:val="04A0" w:firstRow="1" w:lastRow="0" w:firstColumn="1" w:lastColumn="0" w:noHBand="0" w:noVBand="1"/>
      </w:tblPr>
      <w:tblGrid>
        <w:gridCol w:w="4050"/>
        <w:gridCol w:w="1396"/>
        <w:gridCol w:w="1397"/>
        <w:gridCol w:w="1397"/>
        <w:gridCol w:w="1397"/>
      </w:tblGrid>
      <w:tr w:rsidR="00BD0F03" w:rsidRPr="00BD0F03" w14:paraId="190BED11" w14:textId="77777777" w:rsidTr="00C0573B">
        <w:trPr>
          <w:trHeight w:val="283"/>
        </w:trPr>
        <w:tc>
          <w:tcPr>
            <w:tcW w:w="2101" w:type="pct"/>
            <w:vMerge w:val="restart"/>
            <w:tcBorders>
              <w:top w:val="nil"/>
              <w:left w:val="nil"/>
              <w:bottom w:val="nil"/>
              <w:right w:val="nil"/>
            </w:tcBorders>
            <w:shd w:val="clear" w:color="000000" w:fill="005CA9"/>
            <w:vAlign w:val="center"/>
            <w:hideMark/>
          </w:tcPr>
          <w:p w14:paraId="7FEBD7DE" w14:textId="77777777" w:rsidR="00BD0F03" w:rsidRPr="00BD0F03" w:rsidRDefault="00BD0F03" w:rsidP="00BD0F03">
            <w:pPr>
              <w:jc w:val="center"/>
              <w:rPr>
                <w:rFonts w:ascii="CAIXA Std Book" w:eastAsia="Times New Roman" w:hAnsi="CAIXA Std Book" w:cs="Calibri"/>
                <w:b/>
                <w:bCs/>
                <w:color w:val="FFFFFF"/>
                <w:sz w:val="18"/>
                <w:szCs w:val="18"/>
              </w:rPr>
            </w:pPr>
            <w:r w:rsidRPr="00BD0F03">
              <w:rPr>
                <w:rFonts w:ascii="CAIXA Std Book" w:eastAsia="Times New Roman" w:hAnsi="CAIXA Std Book" w:cs="Calibri"/>
                <w:b/>
                <w:bCs/>
                <w:color w:val="FFFFFF"/>
                <w:sz w:val="18"/>
                <w:szCs w:val="18"/>
              </w:rPr>
              <w:t>Descrição</w:t>
            </w:r>
          </w:p>
        </w:tc>
        <w:tc>
          <w:tcPr>
            <w:tcW w:w="1449" w:type="pct"/>
            <w:gridSpan w:val="2"/>
            <w:tcBorders>
              <w:top w:val="nil"/>
              <w:left w:val="nil"/>
              <w:bottom w:val="single" w:sz="8" w:space="0" w:color="FFFFFF"/>
              <w:right w:val="nil"/>
            </w:tcBorders>
            <w:shd w:val="clear" w:color="000000" w:fill="005CA9"/>
            <w:vAlign w:val="center"/>
            <w:hideMark/>
          </w:tcPr>
          <w:p w14:paraId="15C54B19" w14:textId="77777777" w:rsidR="00BD0F03" w:rsidRPr="00BD0F03" w:rsidRDefault="00BD0F03" w:rsidP="00BD0F03">
            <w:pPr>
              <w:jc w:val="center"/>
              <w:rPr>
                <w:rFonts w:ascii="CAIXA Std Book" w:eastAsia="Times New Roman" w:hAnsi="CAIXA Std Book" w:cs="Calibri"/>
                <w:b/>
                <w:bCs/>
                <w:color w:val="FFFFFF"/>
                <w:sz w:val="18"/>
                <w:szCs w:val="18"/>
              </w:rPr>
            </w:pPr>
            <w:r w:rsidRPr="00BD0F03">
              <w:rPr>
                <w:rFonts w:ascii="CAIXA Std Book" w:eastAsia="Times New Roman" w:hAnsi="CAIXA Std Book" w:cs="Calibri"/>
                <w:b/>
                <w:bCs/>
                <w:color w:val="FFFFFF"/>
                <w:sz w:val="18"/>
                <w:szCs w:val="18"/>
              </w:rPr>
              <w:t>Individual</w:t>
            </w:r>
          </w:p>
        </w:tc>
        <w:tc>
          <w:tcPr>
            <w:tcW w:w="1450" w:type="pct"/>
            <w:gridSpan w:val="2"/>
            <w:tcBorders>
              <w:top w:val="nil"/>
              <w:left w:val="nil"/>
              <w:bottom w:val="single" w:sz="8" w:space="0" w:color="FFFFFF"/>
              <w:right w:val="nil"/>
            </w:tcBorders>
            <w:shd w:val="clear" w:color="000000" w:fill="005CA9"/>
            <w:vAlign w:val="center"/>
            <w:hideMark/>
          </w:tcPr>
          <w:p w14:paraId="4CDEC3D7" w14:textId="77777777" w:rsidR="00BD0F03" w:rsidRPr="00BD0F03" w:rsidRDefault="00BD0F03" w:rsidP="00BD0F03">
            <w:pPr>
              <w:jc w:val="center"/>
              <w:rPr>
                <w:rFonts w:ascii="CAIXA Std Book" w:eastAsia="Times New Roman" w:hAnsi="CAIXA Std Book" w:cs="Calibri"/>
                <w:b/>
                <w:bCs/>
                <w:color w:val="FFFFFF"/>
                <w:sz w:val="18"/>
                <w:szCs w:val="18"/>
              </w:rPr>
            </w:pPr>
            <w:r w:rsidRPr="00BD0F03">
              <w:rPr>
                <w:rFonts w:ascii="CAIXA Std Book" w:eastAsia="Times New Roman" w:hAnsi="CAIXA Std Book" w:cs="Calibri"/>
                <w:b/>
                <w:bCs/>
                <w:color w:val="FFFFFF"/>
                <w:sz w:val="18"/>
                <w:szCs w:val="18"/>
              </w:rPr>
              <w:t>Consolidado</w:t>
            </w:r>
          </w:p>
        </w:tc>
      </w:tr>
      <w:tr w:rsidR="00BD0F03" w:rsidRPr="00BD0F03" w14:paraId="1DE328AC" w14:textId="77777777" w:rsidTr="00C0573B">
        <w:trPr>
          <w:trHeight w:val="283"/>
        </w:trPr>
        <w:tc>
          <w:tcPr>
            <w:tcW w:w="2101" w:type="pct"/>
            <w:vMerge/>
            <w:tcBorders>
              <w:top w:val="nil"/>
              <w:left w:val="nil"/>
              <w:bottom w:val="nil"/>
              <w:right w:val="nil"/>
            </w:tcBorders>
            <w:vAlign w:val="center"/>
            <w:hideMark/>
          </w:tcPr>
          <w:p w14:paraId="79927678" w14:textId="77777777" w:rsidR="00BD0F03" w:rsidRPr="00BD0F03" w:rsidRDefault="00BD0F03" w:rsidP="00BD0F03">
            <w:pPr>
              <w:rPr>
                <w:rFonts w:ascii="CAIXA Std Book" w:eastAsia="Times New Roman" w:hAnsi="CAIXA Std Book" w:cs="Calibri"/>
                <w:b/>
                <w:bCs/>
                <w:color w:val="FFFFFF"/>
                <w:sz w:val="18"/>
                <w:szCs w:val="18"/>
              </w:rPr>
            </w:pPr>
          </w:p>
        </w:tc>
        <w:tc>
          <w:tcPr>
            <w:tcW w:w="724" w:type="pct"/>
            <w:tcBorders>
              <w:top w:val="nil"/>
              <w:left w:val="nil"/>
              <w:bottom w:val="nil"/>
              <w:right w:val="nil"/>
            </w:tcBorders>
            <w:shd w:val="clear" w:color="000000" w:fill="005CA9"/>
            <w:noWrap/>
            <w:vAlign w:val="center"/>
            <w:hideMark/>
          </w:tcPr>
          <w:p w14:paraId="02D7DCDF" w14:textId="77777777" w:rsidR="00BD0F03" w:rsidRPr="00BD0F03" w:rsidRDefault="00BD0F03" w:rsidP="00BD0F03">
            <w:pPr>
              <w:jc w:val="center"/>
              <w:rPr>
                <w:rFonts w:ascii="CAIXA Std Book" w:eastAsia="Times New Roman" w:hAnsi="CAIXA Std Book" w:cs="Calibri"/>
                <w:b/>
                <w:bCs/>
                <w:color w:val="FFFFFF"/>
                <w:sz w:val="18"/>
                <w:szCs w:val="18"/>
              </w:rPr>
            </w:pPr>
            <w:r w:rsidRPr="00BD0F03">
              <w:rPr>
                <w:rFonts w:ascii="CAIXA Std Book" w:eastAsia="Times New Roman" w:hAnsi="CAIXA Std Book" w:cs="Calibri"/>
                <w:b/>
                <w:bCs/>
                <w:color w:val="FFFFFF"/>
                <w:sz w:val="18"/>
                <w:szCs w:val="18"/>
              </w:rPr>
              <w:t>31/03/2026</w:t>
            </w:r>
          </w:p>
        </w:tc>
        <w:tc>
          <w:tcPr>
            <w:tcW w:w="725" w:type="pct"/>
            <w:tcBorders>
              <w:top w:val="nil"/>
              <w:left w:val="nil"/>
              <w:bottom w:val="nil"/>
              <w:right w:val="nil"/>
            </w:tcBorders>
            <w:shd w:val="clear" w:color="000000" w:fill="005CA9"/>
            <w:noWrap/>
            <w:vAlign w:val="center"/>
            <w:hideMark/>
          </w:tcPr>
          <w:p w14:paraId="2E41137B" w14:textId="77777777" w:rsidR="00BD0F03" w:rsidRPr="00BD0F03" w:rsidRDefault="00BD0F03" w:rsidP="00BD0F03">
            <w:pPr>
              <w:jc w:val="center"/>
              <w:rPr>
                <w:rFonts w:ascii="CAIXA Std Book" w:eastAsia="Times New Roman" w:hAnsi="CAIXA Std Book" w:cs="Calibri"/>
                <w:b/>
                <w:bCs/>
                <w:color w:val="FFFFFF"/>
                <w:sz w:val="18"/>
                <w:szCs w:val="18"/>
              </w:rPr>
            </w:pPr>
            <w:r w:rsidRPr="00BD0F03">
              <w:rPr>
                <w:rFonts w:ascii="CAIXA Std Book" w:eastAsia="Times New Roman" w:hAnsi="CAIXA Std Book" w:cs="Calibri"/>
                <w:b/>
                <w:bCs/>
                <w:color w:val="FFFFFF"/>
                <w:sz w:val="18"/>
                <w:szCs w:val="18"/>
              </w:rPr>
              <w:t>31/12/2025</w:t>
            </w:r>
          </w:p>
        </w:tc>
        <w:tc>
          <w:tcPr>
            <w:tcW w:w="725" w:type="pct"/>
            <w:tcBorders>
              <w:top w:val="nil"/>
              <w:left w:val="nil"/>
              <w:bottom w:val="nil"/>
              <w:right w:val="nil"/>
            </w:tcBorders>
            <w:shd w:val="clear" w:color="000000" w:fill="005CA9"/>
            <w:noWrap/>
            <w:vAlign w:val="center"/>
            <w:hideMark/>
          </w:tcPr>
          <w:p w14:paraId="11951F92" w14:textId="77777777" w:rsidR="00BD0F03" w:rsidRPr="00BD0F03" w:rsidRDefault="00BD0F03" w:rsidP="00BD0F03">
            <w:pPr>
              <w:jc w:val="center"/>
              <w:rPr>
                <w:rFonts w:ascii="CAIXA Std Book" w:eastAsia="Times New Roman" w:hAnsi="CAIXA Std Book" w:cs="Calibri"/>
                <w:b/>
                <w:bCs/>
                <w:color w:val="FFFFFF"/>
                <w:sz w:val="18"/>
                <w:szCs w:val="18"/>
              </w:rPr>
            </w:pPr>
            <w:r w:rsidRPr="00BD0F03">
              <w:rPr>
                <w:rFonts w:ascii="CAIXA Std Book" w:eastAsia="Times New Roman" w:hAnsi="CAIXA Std Book" w:cs="Calibri"/>
                <w:b/>
                <w:bCs/>
                <w:color w:val="FFFFFF"/>
                <w:sz w:val="18"/>
                <w:szCs w:val="18"/>
              </w:rPr>
              <w:t>31/03/2026</w:t>
            </w:r>
          </w:p>
        </w:tc>
        <w:tc>
          <w:tcPr>
            <w:tcW w:w="725" w:type="pct"/>
            <w:tcBorders>
              <w:top w:val="nil"/>
              <w:left w:val="nil"/>
              <w:bottom w:val="nil"/>
              <w:right w:val="nil"/>
            </w:tcBorders>
            <w:shd w:val="clear" w:color="000000" w:fill="005CA9"/>
            <w:noWrap/>
            <w:vAlign w:val="center"/>
            <w:hideMark/>
          </w:tcPr>
          <w:p w14:paraId="20E8CBE7" w14:textId="77777777" w:rsidR="00BD0F03" w:rsidRPr="00BD0F03" w:rsidRDefault="00BD0F03" w:rsidP="00BD0F03">
            <w:pPr>
              <w:jc w:val="center"/>
              <w:rPr>
                <w:rFonts w:ascii="CAIXA Std Book" w:eastAsia="Times New Roman" w:hAnsi="CAIXA Std Book" w:cs="Calibri"/>
                <w:b/>
                <w:bCs/>
                <w:color w:val="FFFFFF"/>
                <w:sz w:val="18"/>
                <w:szCs w:val="18"/>
              </w:rPr>
            </w:pPr>
            <w:r w:rsidRPr="00BD0F03">
              <w:rPr>
                <w:rFonts w:ascii="CAIXA Std Book" w:eastAsia="Times New Roman" w:hAnsi="CAIXA Std Book" w:cs="Calibri"/>
                <w:b/>
                <w:bCs/>
                <w:color w:val="FFFFFF"/>
                <w:sz w:val="18"/>
                <w:szCs w:val="18"/>
              </w:rPr>
              <w:t>31/12/2025</w:t>
            </w:r>
          </w:p>
        </w:tc>
      </w:tr>
      <w:tr w:rsidR="00BD0F03" w:rsidRPr="00BD0F03" w14:paraId="5B0DE44D" w14:textId="77777777" w:rsidTr="00C0573B">
        <w:trPr>
          <w:trHeight w:val="283"/>
        </w:trPr>
        <w:tc>
          <w:tcPr>
            <w:tcW w:w="2101" w:type="pct"/>
            <w:tcBorders>
              <w:top w:val="nil"/>
              <w:left w:val="nil"/>
              <w:bottom w:val="nil"/>
              <w:right w:val="nil"/>
            </w:tcBorders>
            <w:noWrap/>
            <w:vAlign w:val="center"/>
            <w:hideMark/>
          </w:tcPr>
          <w:p w14:paraId="2E9C1A77" w14:textId="77777777" w:rsidR="00BD0F03" w:rsidRPr="00BD0F03" w:rsidRDefault="00BD0F03" w:rsidP="00BD0F03">
            <w:pPr>
              <w:rPr>
                <w:rFonts w:ascii="CAIXA Std Book" w:eastAsia="Times New Roman" w:hAnsi="CAIXA Std Book" w:cs="Calibri"/>
                <w:color w:val="005CA9"/>
                <w:sz w:val="18"/>
                <w:szCs w:val="18"/>
              </w:rPr>
            </w:pPr>
            <w:r w:rsidRPr="00BD0F03">
              <w:rPr>
                <w:rFonts w:ascii="CAIXA Std Book" w:eastAsia="Times New Roman" w:hAnsi="CAIXA Std Book" w:cs="Calibri"/>
                <w:color w:val="005CA9"/>
                <w:sz w:val="18"/>
                <w:szCs w:val="18"/>
              </w:rPr>
              <w:t>Trabalhistas (b.2)</w:t>
            </w:r>
          </w:p>
        </w:tc>
        <w:tc>
          <w:tcPr>
            <w:tcW w:w="724" w:type="pct"/>
            <w:tcBorders>
              <w:top w:val="nil"/>
              <w:left w:val="nil"/>
              <w:bottom w:val="nil"/>
              <w:right w:val="nil"/>
            </w:tcBorders>
            <w:vAlign w:val="center"/>
            <w:hideMark/>
          </w:tcPr>
          <w:p w14:paraId="35B001C0" w14:textId="76D86A9F" w:rsidR="00BD0F03" w:rsidRPr="00BD0F03" w:rsidRDefault="00195C46" w:rsidP="00F627F9">
            <w:pPr>
              <w:jc w:val="right"/>
              <w:rPr>
                <w:rFonts w:ascii="CAIXA Std Book" w:eastAsia="Times New Roman" w:hAnsi="CAIXA Std Book" w:cs="Calibri"/>
                <w:color w:val="005CA9"/>
                <w:sz w:val="18"/>
                <w:szCs w:val="18"/>
              </w:rPr>
            </w:pPr>
            <w:r>
              <w:rPr>
                <w:rFonts w:ascii="CAIXA Std Book" w:hAnsi="CAIXA Std Book" w:cs="Arial"/>
                <w:color w:val="005CA9"/>
                <w:sz w:val="18"/>
                <w:szCs w:val="18"/>
              </w:rPr>
              <w:t>4.590.</w:t>
            </w:r>
            <w:r w:rsidR="004F73F7">
              <w:rPr>
                <w:rFonts w:ascii="CAIXA Std Book" w:hAnsi="CAIXA Std Book" w:cs="Arial"/>
                <w:color w:val="005CA9"/>
                <w:sz w:val="18"/>
                <w:szCs w:val="18"/>
              </w:rPr>
              <w:t>697</w:t>
            </w:r>
          </w:p>
        </w:tc>
        <w:tc>
          <w:tcPr>
            <w:tcW w:w="725" w:type="pct"/>
            <w:tcBorders>
              <w:top w:val="nil"/>
              <w:left w:val="nil"/>
              <w:bottom w:val="nil"/>
              <w:right w:val="nil"/>
            </w:tcBorders>
            <w:vAlign w:val="center"/>
            <w:hideMark/>
          </w:tcPr>
          <w:p w14:paraId="3C3FF745" w14:textId="77777777" w:rsidR="00BD0F03" w:rsidRPr="00BD0F03" w:rsidRDefault="00BD0F03" w:rsidP="00F627F9">
            <w:pPr>
              <w:jc w:val="right"/>
              <w:rPr>
                <w:rFonts w:ascii="CAIXA Std Book" w:eastAsia="Times New Roman" w:hAnsi="CAIXA Std Book" w:cs="Calibri"/>
                <w:color w:val="005CA9"/>
                <w:sz w:val="18"/>
                <w:szCs w:val="18"/>
              </w:rPr>
            </w:pPr>
            <w:r w:rsidRPr="00BD0F03">
              <w:rPr>
                <w:rFonts w:ascii="CAIXA Std Book" w:eastAsia="Times New Roman" w:hAnsi="CAIXA Std Book" w:cs="Arial"/>
                <w:color w:val="005CA9"/>
                <w:sz w:val="18"/>
                <w:szCs w:val="18"/>
              </w:rPr>
              <w:t>4.503.372</w:t>
            </w:r>
          </w:p>
        </w:tc>
        <w:tc>
          <w:tcPr>
            <w:tcW w:w="725" w:type="pct"/>
            <w:tcBorders>
              <w:top w:val="nil"/>
              <w:left w:val="nil"/>
              <w:bottom w:val="nil"/>
              <w:right w:val="nil"/>
            </w:tcBorders>
            <w:vAlign w:val="center"/>
            <w:hideMark/>
          </w:tcPr>
          <w:p w14:paraId="7CFDE7B5" w14:textId="35C5ACE4" w:rsidR="00BD0F03" w:rsidRPr="00BD0F03" w:rsidRDefault="001F6D6B" w:rsidP="00F627F9">
            <w:pPr>
              <w:jc w:val="right"/>
              <w:rPr>
                <w:rFonts w:ascii="CAIXA Std Book" w:eastAsia="Times New Roman" w:hAnsi="CAIXA Std Book" w:cs="Calibri"/>
                <w:color w:val="005CA9"/>
                <w:sz w:val="18"/>
                <w:szCs w:val="18"/>
              </w:rPr>
            </w:pPr>
            <w:r>
              <w:rPr>
                <w:rFonts w:ascii="CAIXA Std Book" w:hAnsi="CAIXA Std Book" w:cs="Arial"/>
                <w:color w:val="005CA9"/>
                <w:sz w:val="18"/>
                <w:szCs w:val="18"/>
              </w:rPr>
              <w:t>4.590.</w:t>
            </w:r>
            <w:r w:rsidR="004F73F7">
              <w:rPr>
                <w:rFonts w:ascii="CAIXA Std Book" w:hAnsi="CAIXA Std Book" w:cs="Arial"/>
                <w:color w:val="005CA9"/>
                <w:sz w:val="18"/>
                <w:szCs w:val="18"/>
              </w:rPr>
              <w:t>697</w:t>
            </w:r>
          </w:p>
        </w:tc>
        <w:tc>
          <w:tcPr>
            <w:tcW w:w="725" w:type="pct"/>
            <w:tcBorders>
              <w:top w:val="nil"/>
              <w:left w:val="nil"/>
              <w:bottom w:val="nil"/>
              <w:right w:val="nil"/>
            </w:tcBorders>
            <w:vAlign w:val="center"/>
            <w:hideMark/>
          </w:tcPr>
          <w:p w14:paraId="33AEFC32" w14:textId="77777777" w:rsidR="00BD0F03" w:rsidRPr="00BD0F03" w:rsidRDefault="00BD0F03" w:rsidP="00F627F9">
            <w:pPr>
              <w:jc w:val="right"/>
              <w:rPr>
                <w:rFonts w:ascii="CAIXA Std Book" w:eastAsia="Times New Roman" w:hAnsi="CAIXA Std Book" w:cs="Calibri"/>
                <w:color w:val="005CA9"/>
                <w:sz w:val="18"/>
                <w:szCs w:val="18"/>
              </w:rPr>
            </w:pPr>
            <w:r w:rsidRPr="00BD0F03">
              <w:rPr>
                <w:rFonts w:ascii="CAIXA Std Book" w:eastAsia="Times New Roman" w:hAnsi="CAIXA Std Book" w:cs="Arial"/>
                <w:color w:val="005CA9"/>
                <w:sz w:val="18"/>
                <w:szCs w:val="18"/>
              </w:rPr>
              <w:t>4.503.372</w:t>
            </w:r>
          </w:p>
        </w:tc>
      </w:tr>
      <w:tr w:rsidR="00BD0F03" w:rsidRPr="00BD0F03" w14:paraId="0649FCD6" w14:textId="77777777" w:rsidTr="00C0573B">
        <w:trPr>
          <w:trHeight w:val="283"/>
        </w:trPr>
        <w:tc>
          <w:tcPr>
            <w:tcW w:w="2101" w:type="pct"/>
            <w:tcBorders>
              <w:top w:val="nil"/>
              <w:left w:val="nil"/>
              <w:bottom w:val="nil"/>
              <w:right w:val="nil"/>
            </w:tcBorders>
            <w:noWrap/>
            <w:vAlign w:val="center"/>
            <w:hideMark/>
          </w:tcPr>
          <w:p w14:paraId="3EFC4B85" w14:textId="77777777" w:rsidR="00BD0F03" w:rsidRPr="00BD0F03" w:rsidRDefault="00BD0F03" w:rsidP="00BD0F03">
            <w:pPr>
              <w:rPr>
                <w:rFonts w:ascii="CAIXA Std Book" w:eastAsia="Times New Roman" w:hAnsi="CAIXA Std Book" w:cs="Calibri"/>
                <w:color w:val="005CA9"/>
                <w:sz w:val="18"/>
                <w:szCs w:val="18"/>
              </w:rPr>
            </w:pPr>
            <w:r w:rsidRPr="00BD0F03">
              <w:rPr>
                <w:rFonts w:ascii="CAIXA Std Book" w:eastAsia="Times New Roman" w:hAnsi="CAIXA Std Book" w:cs="Calibri"/>
                <w:color w:val="005CA9"/>
                <w:sz w:val="18"/>
                <w:szCs w:val="18"/>
              </w:rPr>
              <w:t>Cíveis (b.3)</w:t>
            </w:r>
          </w:p>
        </w:tc>
        <w:tc>
          <w:tcPr>
            <w:tcW w:w="724" w:type="pct"/>
            <w:tcBorders>
              <w:top w:val="nil"/>
              <w:left w:val="nil"/>
              <w:bottom w:val="nil"/>
              <w:right w:val="nil"/>
            </w:tcBorders>
            <w:vAlign w:val="center"/>
            <w:hideMark/>
          </w:tcPr>
          <w:p w14:paraId="6FE9F638" w14:textId="1A6DDDED" w:rsidR="00BD0F03" w:rsidRPr="00BD0F03" w:rsidRDefault="00195C46" w:rsidP="00F627F9">
            <w:pPr>
              <w:jc w:val="right"/>
              <w:rPr>
                <w:rFonts w:ascii="CAIXA Std Book" w:eastAsia="Times New Roman" w:hAnsi="CAIXA Std Book" w:cs="Calibri"/>
                <w:color w:val="005CA9"/>
                <w:sz w:val="18"/>
                <w:szCs w:val="18"/>
              </w:rPr>
            </w:pPr>
            <w:r>
              <w:rPr>
                <w:rFonts w:ascii="CAIXA Std Book" w:hAnsi="CAIXA Std Book" w:cs="Arial"/>
                <w:color w:val="005CA9"/>
                <w:sz w:val="18"/>
                <w:szCs w:val="18"/>
              </w:rPr>
              <w:t>3.419.</w:t>
            </w:r>
            <w:r w:rsidR="004F73F7">
              <w:rPr>
                <w:rFonts w:ascii="CAIXA Std Book" w:hAnsi="CAIXA Std Book" w:cs="Arial"/>
                <w:color w:val="005CA9"/>
                <w:sz w:val="18"/>
                <w:szCs w:val="18"/>
              </w:rPr>
              <w:t>044</w:t>
            </w:r>
          </w:p>
        </w:tc>
        <w:tc>
          <w:tcPr>
            <w:tcW w:w="725" w:type="pct"/>
            <w:tcBorders>
              <w:top w:val="nil"/>
              <w:left w:val="nil"/>
              <w:bottom w:val="nil"/>
              <w:right w:val="nil"/>
            </w:tcBorders>
            <w:vAlign w:val="center"/>
            <w:hideMark/>
          </w:tcPr>
          <w:p w14:paraId="7D97B86D" w14:textId="77777777" w:rsidR="00BD0F03" w:rsidRPr="00BD0F03" w:rsidRDefault="00BD0F03" w:rsidP="00F627F9">
            <w:pPr>
              <w:jc w:val="right"/>
              <w:rPr>
                <w:rFonts w:ascii="CAIXA Std Book" w:eastAsia="Times New Roman" w:hAnsi="CAIXA Std Book" w:cs="Calibri"/>
                <w:color w:val="005CA9"/>
                <w:sz w:val="18"/>
                <w:szCs w:val="18"/>
              </w:rPr>
            </w:pPr>
            <w:r w:rsidRPr="00BD0F03">
              <w:rPr>
                <w:rFonts w:ascii="CAIXA Std Book" w:eastAsia="Times New Roman" w:hAnsi="CAIXA Std Book" w:cs="Arial"/>
                <w:color w:val="005CA9"/>
                <w:sz w:val="18"/>
                <w:szCs w:val="18"/>
              </w:rPr>
              <w:t>3.363.335</w:t>
            </w:r>
          </w:p>
        </w:tc>
        <w:tc>
          <w:tcPr>
            <w:tcW w:w="725" w:type="pct"/>
            <w:tcBorders>
              <w:top w:val="nil"/>
              <w:left w:val="nil"/>
              <w:bottom w:val="nil"/>
              <w:right w:val="nil"/>
            </w:tcBorders>
            <w:vAlign w:val="center"/>
            <w:hideMark/>
          </w:tcPr>
          <w:p w14:paraId="408B37FE" w14:textId="6E4B7C99" w:rsidR="00BD0F03" w:rsidRPr="00BD0F03" w:rsidRDefault="001F6D6B" w:rsidP="00F627F9">
            <w:pPr>
              <w:jc w:val="right"/>
              <w:rPr>
                <w:rFonts w:ascii="CAIXA Std Book" w:eastAsia="Times New Roman" w:hAnsi="CAIXA Std Book" w:cs="Calibri"/>
                <w:color w:val="005CA9"/>
                <w:sz w:val="18"/>
                <w:szCs w:val="18"/>
              </w:rPr>
            </w:pPr>
            <w:r>
              <w:rPr>
                <w:rFonts w:ascii="CAIXA Std Book" w:hAnsi="CAIXA Std Book" w:cs="Arial"/>
                <w:color w:val="005CA9"/>
                <w:sz w:val="18"/>
                <w:szCs w:val="18"/>
              </w:rPr>
              <w:t>3.432.</w:t>
            </w:r>
            <w:r w:rsidR="004F73F7">
              <w:rPr>
                <w:rFonts w:ascii="CAIXA Std Book" w:hAnsi="CAIXA Std Book" w:cs="Arial"/>
                <w:color w:val="005CA9"/>
                <w:sz w:val="18"/>
                <w:szCs w:val="18"/>
              </w:rPr>
              <w:t>505</w:t>
            </w:r>
          </w:p>
        </w:tc>
        <w:tc>
          <w:tcPr>
            <w:tcW w:w="725" w:type="pct"/>
            <w:tcBorders>
              <w:top w:val="nil"/>
              <w:left w:val="nil"/>
              <w:bottom w:val="nil"/>
              <w:right w:val="nil"/>
            </w:tcBorders>
            <w:vAlign w:val="center"/>
            <w:hideMark/>
          </w:tcPr>
          <w:p w14:paraId="37EFD1A2" w14:textId="77777777" w:rsidR="00BD0F03" w:rsidRPr="00BD0F03" w:rsidRDefault="00BD0F03" w:rsidP="00F627F9">
            <w:pPr>
              <w:jc w:val="right"/>
              <w:rPr>
                <w:rFonts w:ascii="CAIXA Std Book" w:eastAsia="Times New Roman" w:hAnsi="CAIXA Std Book" w:cs="Calibri"/>
                <w:color w:val="005CA9"/>
                <w:sz w:val="18"/>
                <w:szCs w:val="18"/>
              </w:rPr>
            </w:pPr>
            <w:r w:rsidRPr="00BD0F03">
              <w:rPr>
                <w:rFonts w:ascii="CAIXA Std Book" w:eastAsia="Times New Roman" w:hAnsi="CAIXA Std Book" w:cs="Arial"/>
                <w:color w:val="005CA9"/>
                <w:sz w:val="18"/>
                <w:szCs w:val="18"/>
              </w:rPr>
              <w:t>3.378.083</w:t>
            </w:r>
          </w:p>
        </w:tc>
      </w:tr>
      <w:tr w:rsidR="00BD0F03" w:rsidRPr="00BD0F03" w14:paraId="6FEC0B84" w14:textId="77777777" w:rsidTr="00C0573B">
        <w:trPr>
          <w:trHeight w:val="283"/>
        </w:trPr>
        <w:tc>
          <w:tcPr>
            <w:tcW w:w="2101" w:type="pct"/>
            <w:tcBorders>
              <w:top w:val="nil"/>
              <w:left w:val="nil"/>
              <w:bottom w:val="nil"/>
              <w:right w:val="nil"/>
            </w:tcBorders>
            <w:noWrap/>
            <w:vAlign w:val="center"/>
            <w:hideMark/>
          </w:tcPr>
          <w:p w14:paraId="5F754E12" w14:textId="77777777" w:rsidR="00BD0F03" w:rsidRPr="00BD0F03" w:rsidRDefault="00BD0F03" w:rsidP="00BD0F03">
            <w:pPr>
              <w:rPr>
                <w:rFonts w:ascii="CAIXA Std Book" w:eastAsia="Times New Roman" w:hAnsi="CAIXA Std Book" w:cs="Calibri"/>
                <w:color w:val="005CA9"/>
                <w:sz w:val="18"/>
                <w:szCs w:val="18"/>
              </w:rPr>
            </w:pPr>
            <w:r w:rsidRPr="00BD0F03">
              <w:rPr>
                <w:rFonts w:ascii="CAIXA Std Book" w:eastAsia="Times New Roman" w:hAnsi="CAIXA Std Book" w:cs="Calibri"/>
                <w:color w:val="005CA9"/>
                <w:sz w:val="18"/>
                <w:szCs w:val="18"/>
              </w:rPr>
              <w:t>Fiscais (b.4)</w:t>
            </w:r>
          </w:p>
        </w:tc>
        <w:tc>
          <w:tcPr>
            <w:tcW w:w="724" w:type="pct"/>
            <w:tcBorders>
              <w:top w:val="nil"/>
              <w:left w:val="nil"/>
              <w:bottom w:val="nil"/>
              <w:right w:val="nil"/>
            </w:tcBorders>
            <w:vAlign w:val="center"/>
            <w:hideMark/>
          </w:tcPr>
          <w:p w14:paraId="3240E873" w14:textId="65F6D9A5" w:rsidR="00BD0F03" w:rsidRPr="00BD0F03" w:rsidRDefault="00195C46" w:rsidP="00F627F9">
            <w:pPr>
              <w:jc w:val="right"/>
              <w:rPr>
                <w:rFonts w:ascii="CAIXA Std Book" w:eastAsia="Times New Roman" w:hAnsi="CAIXA Std Book" w:cs="Calibri"/>
                <w:color w:val="005CA9"/>
                <w:sz w:val="18"/>
                <w:szCs w:val="18"/>
              </w:rPr>
            </w:pPr>
            <w:r>
              <w:rPr>
                <w:rFonts w:ascii="CAIXA Std Book" w:hAnsi="CAIXA Std Book" w:cs="Arial"/>
                <w:color w:val="005CA9"/>
                <w:sz w:val="18"/>
                <w:szCs w:val="18"/>
              </w:rPr>
              <w:t>640.148</w:t>
            </w:r>
          </w:p>
        </w:tc>
        <w:tc>
          <w:tcPr>
            <w:tcW w:w="725" w:type="pct"/>
            <w:tcBorders>
              <w:top w:val="nil"/>
              <w:left w:val="nil"/>
              <w:bottom w:val="nil"/>
              <w:right w:val="nil"/>
            </w:tcBorders>
            <w:vAlign w:val="center"/>
            <w:hideMark/>
          </w:tcPr>
          <w:p w14:paraId="7F224A6E" w14:textId="77777777" w:rsidR="00BD0F03" w:rsidRPr="00BD0F03" w:rsidRDefault="00BD0F03" w:rsidP="00F627F9">
            <w:pPr>
              <w:jc w:val="right"/>
              <w:rPr>
                <w:rFonts w:ascii="CAIXA Std Book" w:eastAsia="Times New Roman" w:hAnsi="CAIXA Std Book" w:cs="Calibri"/>
                <w:color w:val="005CA9"/>
                <w:sz w:val="18"/>
                <w:szCs w:val="18"/>
              </w:rPr>
            </w:pPr>
            <w:r w:rsidRPr="00BD0F03">
              <w:rPr>
                <w:rFonts w:ascii="CAIXA Std Book" w:eastAsia="Times New Roman" w:hAnsi="CAIXA Std Book" w:cs="Arial"/>
                <w:color w:val="005CA9"/>
                <w:sz w:val="18"/>
                <w:szCs w:val="18"/>
              </w:rPr>
              <w:t>678.627</w:t>
            </w:r>
          </w:p>
        </w:tc>
        <w:tc>
          <w:tcPr>
            <w:tcW w:w="725" w:type="pct"/>
            <w:tcBorders>
              <w:top w:val="nil"/>
              <w:left w:val="nil"/>
              <w:bottom w:val="nil"/>
              <w:right w:val="nil"/>
            </w:tcBorders>
            <w:vAlign w:val="center"/>
            <w:hideMark/>
          </w:tcPr>
          <w:p w14:paraId="618E692D" w14:textId="219B83C6" w:rsidR="00BD0F03" w:rsidRPr="00BD0F03" w:rsidRDefault="001F6D6B" w:rsidP="00F627F9">
            <w:pPr>
              <w:jc w:val="right"/>
              <w:rPr>
                <w:rFonts w:ascii="CAIXA Std Book" w:eastAsia="Times New Roman" w:hAnsi="CAIXA Std Book" w:cs="Calibri"/>
                <w:color w:val="005CA9"/>
                <w:sz w:val="18"/>
                <w:szCs w:val="18"/>
              </w:rPr>
            </w:pPr>
            <w:r>
              <w:rPr>
                <w:rFonts w:ascii="CAIXA Std Book" w:hAnsi="CAIXA Std Book" w:cs="Arial"/>
                <w:color w:val="005CA9"/>
                <w:sz w:val="18"/>
                <w:szCs w:val="18"/>
              </w:rPr>
              <w:t>640.148</w:t>
            </w:r>
          </w:p>
        </w:tc>
        <w:tc>
          <w:tcPr>
            <w:tcW w:w="725" w:type="pct"/>
            <w:tcBorders>
              <w:top w:val="nil"/>
              <w:left w:val="nil"/>
              <w:bottom w:val="nil"/>
              <w:right w:val="nil"/>
            </w:tcBorders>
            <w:vAlign w:val="center"/>
            <w:hideMark/>
          </w:tcPr>
          <w:p w14:paraId="2F65D012" w14:textId="77777777" w:rsidR="00BD0F03" w:rsidRPr="00BD0F03" w:rsidRDefault="00BD0F03" w:rsidP="00F627F9">
            <w:pPr>
              <w:jc w:val="right"/>
              <w:rPr>
                <w:rFonts w:ascii="CAIXA Std Book" w:eastAsia="Times New Roman" w:hAnsi="CAIXA Std Book" w:cs="Calibri"/>
                <w:color w:val="005CA9"/>
                <w:sz w:val="18"/>
                <w:szCs w:val="18"/>
              </w:rPr>
            </w:pPr>
            <w:r w:rsidRPr="00BD0F03">
              <w:rPr>
                <w:rFonts w:ascii="CAIXA Std Book" w:eastAsia="Times New Roman" w:hAnsi="CAIXA Std Book" w:cs="Arial"/>
                <w:color w:val="005CA9"/>
                <w:sz w:val="18"/>
                <w:szCs w:val="18"/>
              </w:rPr>
              <w:t>678.627</w:t>
            </w:r>
          </w:p>
        </w:tc>
      </w:tr>
      <w:tr w:rsidR="00BD0F03" w:rsidRPr="00BD0F03" w14:paraId="54B9927C" w14:textId="77777777" w:rsidTr="00C0573B">
        <w:trPr>
          <w:trHeight w:val="283"/>
        </w:trPr>
        <w:tc>
          <w:tcPr>
            <w:tcW w:w="2101" w:type="pct"/>
            <w:tcBorders>
              <w:top w:val="nil"/>
              <w:left w:val="nil"/>
              <w:bottom w:val="nil"/>
              <w:right w:val="nil"/>
            </w:tcBorders>
            <w:noWrap/>
            <w:vAlign w:val="center"/>
            <w:hideMark/>
          </w:tcPr>
          <w:p w14:paraId="4D82C402" w14:textId="77777777" w:rsidR="00BD0F03" w:rsidRPr="00BD0F03" w:rsidRDefault="00BD0F03" w:rsidP="00BD0F03">
            <w:pPr>
              <w:rPr>
                <w:rFonts w:ascii="CAIXA Std Book" w:eastAsia="Times New Roman" w:hAnsi="CAIXA Std Book" w:cs="Calibri"/>
                <w:color w:val="005CA9"/>
                <w:sz w:val="18"/>
                <w:szCs w:val="18"/>
              </w:rPr>
            </w:pPr>
            <w:r w:rsidRPr="00BD0F03">
              <w:rPr>
                <w:rFonts w:ascii="CAIXA Std Book" w:eastAsia="Times New Roman" w:hAnsi="CAIXA Std Book" w:cs="Calibri"/>
                <w:color w:val="005CA9"/>
                <w:sz w:val="18"/>
                <w:szCs w:val="18"/>
              </w:rPr>
              <w:t>Pré-pagamento FGTS (c)</w:t>
            </w:r>
          </w:p>
        </w:tc>
        <w:tc>
          <w:tcPr>
            <w:tcW w:w="724" w:type="pct"/>
            <w:tcBorders>
              <w:top w:val="nil"/>
              <w:left w:val="nil"/>
              <w:bottom w:val="nil"/>
              <w:right w:val="nil"/>
            </w:tcBorders>
            <w:vAlign w:val="center"/>
            <w:hideMark/>
          </w:tcPr>
          <w:p w14:paraId="2CA660B6" w14:textId="44BEB7BE" w:rsidR="00BD0F03" w:rsidRPr="00BD0F03" w:rsidRDefault="00195C46" w:rsidP="00F627F9">
            <w:pPr>
              <w:jc w:val="right"/>
              <w:rPr>
                <w:rFonts w:ascii="CAIXA Std Book" w:eastAsia="Times New Roman" w:hAnsi="CAIXA Std Book" w:cs="Calibri"/>
                <w:color w:val="005CA9"/>
                <w:sz w:val="18"/>
                <w:szCs w:val="18"/>
              </w:rPr>
            </w:pPr>
            <w:r>
              <w:rPr>
                <w:rFonts w:ascii="CAIXA Std Book" w:hAnsi="CAIXA Std Book" w:cs="Arial"/>
                <w:color w:val="005CA9"/>
                <w:sz w:val="18"/>
                <w:szCs w:val="18"/>
              </w:rPr>
              <w:t>832.920</w:t>
            </w:r>
          </w:p>
        </w:tc>
        <w:tc>
          <w:tcPr>
            <w:tcW w:w="725" w:type="pct"/>
            <w:tcBorders>
              <w:top w:val="nil"/>
              <w:left w:val="nil"/>
              <w:bottom w:val="nil"/>
              <w:right w:val="nil"/>
            </w:tcBorders>
            <w:vAlign w:val="center"/>
            <w:hideMark/>
          </w:tcPr>
          <w:p w14:paraId="05D8F3BF" w14:textId="77777777" w:rsidR="00BD0F03" w:rsidRPr="00BD0F03" w:rsidRDefault="00BD0F03" w:rsidP="00F627F9">
            <w:pPr>
              <w:jc w:val="right"/>
              <w:rPr>
                <w:rFonts w:ascii="CAIXA Std Book" w:eastAsia="Times New Roman" w:hAnsi="CAIXA Std Book" w:cs="Calibri"/>
                <w:color w:val="005CA9"/>
                <w:sz w:val="18"/>
                <w:szCs w:val="18"/>
              </w:rPr>
            </w:pPr>
            <w:r w:rsidRPr="00BD0F03">
              <w:rPr>
                <w:rFonts w:ascii="CAIXA Std Book" w:eastAsia="Times New Roman" w:hAnsi="CAIXA Std Book" w:cs="Arial"/>
                <w:color w:val="005CA9"/>
                <w:sz w:val="18"/>
                <w:szCs w:val="18"/>
              </w:rPr>
              <w:t>871.322</w:t>
            </w:r>
          </w:p>
        </w:tc>
        <w:tc>
          <w:tcPr>
            <w:tcW w:w="725" w:type="pct"/>
            <w:tcBorders>
              <w:top w:val="nil"/>
              <w:left w:val="nil"/>
              <w:bottom w:val="nil"/>
              <w:right w:val="nil"/>
            </w:tcBorders>
            <w:vAlign w:val="center"/>
            <w:hideMark/>
          </w:tcPr>
          <w:p w14:paraId="6F0BA0C1" w14:textId="33F2DF60" w:rsidR="00BD0F03" w:rsidRPr="00BD0F03" w:rsidRDefault="001F6D6B" w:rsidP="00F627F9">
            <w:pPr>
              <w:jc w:val="right"/>
              <w:rPr>
                <w:rFonts w:ascii="CAIXA Std Book" w:eastAsia="Times New Roman" w:hAnsi="CAIXA Std Book" w:cs="Calibri"/>
                <w:color w:val="005CA9"/>
                <w:sz w:val="18"/>
                <w:szCs w:val="18"/>
              </w:rPr>
            </w:pPr>
            <w:r>
              <w:rPr>
                <w:rFonts w:ascii="CAIXA Std Book" w:hAnsi="CAIXA Std Book" w:cs="Arial"/>
                <w:color w:val="005CA9"/>
                <w:sz w:val="18"/>
                <w:szCs w:val="18"/>
              </w:rPr>
              <w:t>832.920</w:t>
            </w:r>
          </w:p>
        </w:tc>
        <w:tc>
          <w:tcPr>
            <w:tcW w:w="725" w:type="pct"/>
            <w:tcBorders>
              <w:top w:val="nil"/>
              <w:left w:val="nil"/>
              <w:bottom w:val="nil"/>
              <w:right w:val="nil"/>
            </w:tcBorders>
            <w:vAlign w:val="center"/>
            <w:hideMark/>
          </w:tcPr>
          <w:p w14:paraId="2C22F910" w14:textId="77777777" w:rsidR="00BD0F03" w:rsidRPr="00BD0F03" w:rsidRDefault="00BD0F03" w:rsidP="00F627F9">
            <w:pPr>
              <w:jc w:val="right"/>
              <w:rPr>
                <w:rFonts w:ascii="CAIXA Std Book" w:eastAsia="Times New Roman" w:hAnsi="CAIXA Std Book" w:cs="Calibri"/>
                <w:color w:val="005CA9"/>
                <w:sz w:val="18"/>
                <w:szCs w:val="18"/>
              </w:rPr>
            </w:pPr>
            <w:r w:rsidRPr="00BD0F03">
              <w:rPr>
                <w:rFonts w:ascii="CAIXA Std Book" w:eastAsia="Times New Roman" w:hAnsi="CAIXA Std Book" w:cs="Arial"/>
                <w:color w:val="005CA9"/>
                <w:sz w:val="18"/>
                <w:szCs w:val="18"/>
              </w:rPr>
              <w:t>871.322</w:t>
            </w:r>
          </w:p>
        </w:tc>
      </w:tr>
      <w:tr w:rsidR="00BD0F03" w:rsidRPr="00BD0F03" w14:paraId="09D66654" w14:textId="77777777" w:rsidTr="00C0573B">
        <w:trPr>
          <w:trHeight w:val="283"/>
        </w:trPr>
        <w:tc>
          <w:tcPr>
            <w:tcW w:w="2101" w:type="pct"/>
            <w:tcBorders>
              <w:top w:val="nil"/>
              <w:left w:val="nil"/>
              <w:bottom w:val="nil"/>
              <w:right w:val="nil"/>
            </w:tcBorders>
            <w:noWrap/>
            <w:vAlign w:val="center"/>
            <w:hideMark/>
          </w:tcPr>
          <w:p w14:paraId="6E35774F" w14:textId="77777777" w:rsidR="00BD0F03" w:rsidRPr="00BD0F03" w:rsidRDefault="00BD0F03" w:rsidP="00BD0F03">
            <w:pPr>
              <w:rPr>
                <w:rFonts w:ascii="CAIXA Std Book" w:eastAsia="Times New Roman" w:hAnsi="CAIXA Std Book" w:cs="Calibri"/>
                <w:color w:val="005CA9"/>
                <w:sz w:val="18"/>
                <w:szCs w:val="18"/>
              </w:rPr>
            </w:pPr>
            <w:r w:rsidRPr="00BD0F03">
              <w:rPr>
                <w:rFonts w:ascii="CAIXA Std Book" w:eastAsia="Times New Roman" w:hAnsi="CAIXA Std Book" w:cs="Calibri"/>
                <w:color w:val="005CA9"/>
                <w:sz w:val="18"/>
                <w:szCs w:val="18"/>
              </w:rPr>
              <w:t>Demais</w:t>
            </w:r>
          </w:p>
        </w:tc>
        <w:tc>
          <w:tcPr>
            <w:tcW w:w="724" w:type="pct"/>
            <w:tcBorders>
              <w:top w:val="nil"/>
              <w:left w:val="nil"/>
              <w:bottom w:val="nil"/>
              <w:right w:val="nil"/>
            </w:tcBorders>
            <w:vAlign w:val="center"/>
            <w:hideMark/>
          </w:tcPr>
          <w:p w14:paraId="142F10DB" w14:textId="4F38488A" w:rsidR="00BD0F03" w:rsidRPr="00BD0F03" w:rsidRDefault="00195C46" w:rsidP="00F627F9">
            <w:pPr>
              <w:jc w:val="right"/>
              <w:rPr>
                <w:rFonts w:ascii="CAIXA Std Book" w:eastAsia="Times New Roman" w:hAnsi="CAIXA Std Book" w:cs="Calibri"/>
                <w:color w:val="005CA9"/>
                <w:sz w:val="18"/>
                <w:szCs w:val="18"/>
              </w:rPr>
            </w:pPr>
            <w:r>
              <w:rPr>
                <w:rFonts w:ascii="CAIXA Std Book" w:hAnsi="CAIXA Std Book" w:cs="Arial"/>
                <w:color w:val="005CA9"/>
                <w:sz w:val="18"/>
                <w:szCs w:val="18"/>
              </w:rPr>
              <w:t>7.</w:t>
            </w:r>
            <w:r w:rsidR="004F73F7">
              <w:rPr>
                <w:rFonts w:ascii="CAIXA Std Book" w:hAnsi="CAIXA Std Book" w:cs="Arial"/>
                <w:color w:val="005CA9"/>
                <w:sz w:val="18"/>
                <w:szCs w:val="18"/>
              </w:rPr>
              <w:t>539</w:t>
            </w:r>
          </w:p>
        </w:tc>
        <w:tc>
          <w:tcPr>
            <w:tcW w:w="725" w:type="pct"/>
            <w:tcBorders>
              <w:top w:val="nil"/>
              <w:left w:val="nil"/>
              <w:bottom w:val="nil"/>
              <w:right w:val="nil"/>
            </w:tcBorders>
            <w:vAlign w:val="center"/>
            <w:hideMark/>
          </w:tcPr>
          <w:p w14:paraId="6CA65E79" w14:textId="77777777" w:rsidR="00BD0F03" w:rsidRPr="00BD0F03" w:rsidRDefault="00BD0F03" w:rsidP="00F627F9">
            <w:pPr>
              <w:jc w:val="right"/>
              <w:rPr>
                <w:rFonts w:ascii="CAIXA Std Book" w:eastAsia="Times New Roman" w:hAnsi="CAIXA Std Book" w:cs="Calibri"/>
                <w:color w:val="005CA9"/>
                <w:sz w:val="18"/>
                <w:szCs w:val="18"/>
              </w:rPr>
            </w:pPr>
            <w:r w:rsidRPr="00BD0F03">
              <w:rPr>
                <w:rFonts w:ascii="CAIXA Std Book" w:eastAsia="Times New Roman" w:hAnsi="CAIXA Std Book" w:cs="Arial"/>
                <w:color w:val="005CA9"/>
                <w:sz w:val="18"/>
                <w:szCs w:val="18"/>
              </w:rPr>
              <w:t>8.773</w:t>
            </w:r>
          </w:p>
        </w:tc>
        <w:tc>
          <w:tcPr>
            <w:tcW w:w="725" w:type="pct"/>
            <w:tcBorders>
              <w:top w:val="nil"/>
              <w:left w:val="nil"/>
              <w:bottom w:val="nil"/>
              <w:right w:val="nil"/>
            </w:tcBorders>
            <w:vAlign w:val="center"/>
            <w:hideMark/>
          </w:tcPr>
          <w:p w14:paraId="45833BA5" w14:textId="12A6813E" w:rsidR="00BD0F03" w:rsidRPr="00BD0F03" w:rsidRDefault="001F6D6B" w:rsidP="00F627F9">
            <w:pPr>
              <w:jc w:val="right"/>
              <w:rPr>
                <w:rFonts w:ascii="CAIXA Std Book" w:eastAsia="Times New Roman" w:hAnsi="CAIXA Std Book" w:cs="Calibri"/>
                <w:color w:val="005CA9"/>
                <w:sz w:val="18"/>
                <w:szCs w:val="18"/>
              </w:rPr>
            </w:pPr>
            <w:r>
              <w:rPr>
                <w:rFonts w:ascii="CAIXA Std Book" w:hAnsi="CAIXA Std Book" w:cs="Arial"/>
                <w:color w:val="005CA9"/>
                <w:sz w:val="18"/>
                <w:szCs w:val="18"/>
              </w:rPr>
              <w:t>7.</w:t>
            </w:r>
            <w:r w:rsidR="004F73F7">
              <w:rPr>
                <w:rFonts w:ascii="CAIXA Std Book" w:hAnsi="CAIXA Std Book" w:cs="Arial"/>
                <w:color w:val="005CA9"/>
                <w:sz w:val="18"/>
                <w:szCs w:val="18"/>
              </w:rPr>
              <w:t>539</w:t>
            </w:r>
          </w:p>
        </w:tc>
        <w:tc>
          <w:tcPr>
            <w:tcW w:w="725" w:type="pct"/>
            <w:tcBorders>
              <w:top w:val="nil"/>
              <w:left w:val="nil"/>
              <w:bottom w:val="nil"/>
              <w:right w:val="nil"/>
            </w:tcBorders>
            <w:vAlign w:val="center"/>
            <w:hideMark/>
          </w:tcPr>
          <w:p w14:paraId="5694142A" w14:textId="77777777" w:rsidR="00BD0F03" w:rsidRPr="00BD0F03" w:rsidRDefault="00BD0F03" w:rsidP="00F627F9">
            <w:pPr>
              <w:jc w:val="right"/>
              <w:rPr>
                <w:rFonts w:ascii="CAIXA Std Book" w:eastAsia="Times New Roman" w:hAnsi="CAIXA Std Book" w:cs="Calibri"/>
                <w:color w:val="005CA9"/>
                <w:sz w:val="18"/>
                <w:szCs w:val="18"/>
              </w:rPr>
            </w:pPr>
            <w:r w:rsidRPr="00BD0F03">
              <w:rPr>
                <w:rFonts w:ascii="CAIXA Std Book" w:eastAsia="Times New Roman" w:hAnsi="CAIXA Std Book" w:cs="Arial"/>
                <w:color w:val="005CA9"/>
                <w:sz w:val="18"/>
                <w:szCs w:val="18"/>
              </w:rPr>
              <w:t>8.773</w:t>
            </w:r>
          </w:p>
        </w:tc>
      </w:tr>
      <w:tr w:rsidR="00BD0F03" w:rsidRPr="00BD0F03" w14:paraId="7B3A1F64" w14:textId="77777777" w:rsidTr="00C0573B">
        <w:trPr>
          <w:trHeight w:val="283"/>
        </w:trPr>
        <w:tc>
          <w:tcPr>
            <w:tcW w:w="2101" w:type="pct"/>
            <w:tcBorders>
              <w:top w:val="nil"/>
              <w:left w:val="nil"/>
              <w:bottom w:val="nil"/>
              <w:right w:val="nil"/>
            </w:tcBorders>
            <w:shd w:val="clear" w:color="000000" w:fill="005CA9"/>
            <w:noWrap/>
            <w:vAlign w:val="center"/>
            <w:hideMark/>
          </w:tcPr>
          <w:p w14:paraId="01205A8B" w14:textId="77777777" w:rsidR="00BD0F03" w:rsidRPr="00BD0F03" w:rsidRDefault="00BD0F03" w:rsidP="00BD0F03">
            <w:pPr>
              <w:rPr>
                <w:rFonts w:ascii="CAIXA Std Book" w:eastAsia="Times New Roman" w:hAnsi="CAIXA Std Book" w:cs="Calibri"/>
                <w:b/>
                <w:bCs/>
                <w:color w:val="FFFFFF"/>
                <w:sz w:val="18"/>
                <w:szCs w:val="18"/>
              </w:rPr>
            </w:pPr>
            <w:r w:rsidRPr="00BD0F03">
              <w:rPr>
                <w:rFonts w:ascii="CAIXA Std Book" w:eastAsia="Times New Roman" w:hAnsi="CAIXA Std Book" w:cs="Calibri"/>
                <w:b/>
                <w:bCs/>
                <w:color w:val="FFFFFF"/>
                <w:sz w:val="18"/>
                <w:szCs w:val="18"/>
              </w:rPr>
              <w:t>Total</w:t>
            </w:r>
          </w:p>
        </w:tc>
        <w:tc>
          <w:tcPr>
            <w:tcW w:w="724" w:type="pct"/>
            <w:tcBorders>
              <w:top w:val="nil"/>
              <w:left w:val="nil"/>
              <w:bottom w:val="nil"/>
              <w:right w:val="nil"/>
            </w:tcBorders>
            <w:shd w:val="clear" w:color="000000" w:fill="005CA9"/>
            <w:noWrap/>
            <w:vAlign w:val="center"/>
            <w:hideMark/>
          </w:tcPr>
          <w:p w14:paraId="513E388C" w14:textId="0331F105" w:rsidR="00BD0F03" w:rsidRPr="00BD0F03" w:rsidRDefault="00195C46" w:rsidP="00F627F9">
            <w:pPr>
              <w:jc w:val="right"/>
              <w:rPr>
                <w:rFonts w:ascii="CAIXA Std Book" w:eastAsia="Times New Roman" w:hAnsi="CAIXA Std Book" w:cs="Calibri"/>
                <w:b/>
                <w:bCs/>
                <w:color w:val="FFFFFF"/>
                <w:sz w:val="18"/>
                <w:szCs w:val="18"/>
              </w:rPr>
            </w:pPr>
            <w:r>
              <w:rPr>
                <w:rFonts w:ascii="CAIXA Std Book" w:hAnsi="CAIXA Std Book" w:cs="Arial"/>
                <w:b/>
                <w:bCs/>
                <w:color w:val="FFFFFF"/>
                <w:sz w:val="18"/>
                <w:szCs w:val="18"/>
              </w:rPr>
              <w:t>9.490.</w:t>
            </w:r>
            <w:r w:rsidR="004F73F7">
              <w:rPr>
                <w:rFonts w:ascii="CAIXA Std Book" w:hAnsi="CAIXA Std Book" w:cs="Arial"/>
                <w:b/>
                <w:bCs/>
                <w:color w:val="FFFFFF"/>
                <w:sz w:val="18"/>
                <w:szCs w:val="18"/>
              </w:rPr>
              <w:t>348</w:t>
            </w:r>
          </w:p>
        </w:tc>
        <w:tc>
          <w:tcPr>
            <w:tcW w:w="725" w:type="pct"/>
            <w:tcBorders>
              <w:top w:val="nil"/>
              <w:left w:val="nil"/>
              <w:bottom w:val="nil"/>
              <w:right w:val="nil"/>
            </w:tcBorders>
            <w:shd w:val="clear" w:color="000000" w:fill="005CA9"/>
            <w:vAlign w:val="center"/>
            <w:hideMark/>
          </w:tcPr>
          <w:p w14:paraId="5B0C3996" w14:textId="77777777" w:rsidR="00BD0F03" w:rsidRPr="00BD0F03" w:rsidRDefault="00BD0F03" w:rsidP="00F627F9">
            <w:pPr>
              <w:jc w:val="right"/>
              <w:rPr>
                <w:rFonts w:ascii="CAIXA Std Book" w:eastAsia="Times New Roman" w:hAnsi="CAIXA Std Book" w:cs="Calibri"/>
                <w:b/>
                <w:bCs/>
                <w:color w:val="FFFFFF"/>
                <w:sz w:val="18"/>
                <w:szCs w:val="18"/>
              </w:rPr>
            </w:pPr>
            <w:r w:rsidRPr="00BD0F03">
              <w:rPr>
                <w:rFonts w:ascii="CAIXA Std Book" w:eastAsia="Times New Roman" w:hAnsi="CAIXA Std Book" w:cs="Calibri"/>
                <w:b/>
                <w:bCs/>
                <w:color w:val="FFFFFF"/>
                <w:sz w:val="18"/>
                <w:szCs w:val="18"/>
              </w:rPr>
              <w:t>9.425.429</w:t>
            </w:r>
          </w:p>
        </w:tc>
        <w:tc>
          <w:tcPr>
            <w:tcW w:w="725" w:type="pct"/>
            <w:tcBorders>
              <w:top w:val="nil"/>
              <w:left w:val="nil"/>
              <w:bottom w:val="nil"/>
              <w:right w:val="nil"/>
            </w:tcBorders>
            <w:shd w:val="clear" w:color="000000" w:fill="005CA9"/>
            <w:noWrap/>
            <w:vAlign w:val="center"/>
            <w:hideMark/>
          </w:tcPr>
          <w:p w14:paraId="7F0A15EA" w14:textId="0E5C2EB3" w:rsidR="00BD0F03" w:rsidRPr="00BD0F03" w:rsidRDefault="001F6D6B" w:rsidP="00F627F9">
            <w:pPr>
              <w:jc w:val="right"/>
              <w:rPr>
                <w:rFonts w:ascii="CAIXA Std Book" w:eastAsia="Times New Roman" w:hAnsi="CAIXA Std Book" w:cs="Calibri"/>
                <w:b/>
                <w:bCs/>
                <w:color w:val="FFFFFF"/>
                <w:sz w:val="18"/>
                <w:szCs w:val="18"/>
              </w:rPr>
            </w:pPr>
            <w:r>
              <w:rPr>
                <w:rFonts w:ascii="CAIXA Std Book" w:hAnsi="CAIXA Std Book" w:cs="Arial"/>
                <w:b/>
                <w:bCs/>
                <w:color w:val="FFFFFF"/>
                <w:sz w:val="18"/>
                <w:szCs w:val="18"/>
              </w:rPr>
              <w:t>9.503.</w:t>
            </w:r>
            <w:r w:rsidR="004F73F7">
              <w:rPr>
                <w:rFonts w:ascii="CAIXA Std Book" w:hAnsi="CAIXA Std Book" w:cs="Arial"/>
                <w:b/>
                <w:bCs/>
                <w:color w:val="FFFFFF"/>
                <w:sz w:val="18"/>
                <w:szCs w:val="18"/>
              </w:rPr>
              <w:t>809</w:t>
            </w:r>
          </w:p>
        </w:tc>
        <w:tc>
          <w:tcPr>
            <w:tcW w:w="725" w:type="pct"/>
            <w:tcBorders>
              <w:top w:val="nil"/>
              <w:left w:val="nil"/>
              <w:bottom w:val="nil"/>
              <w:right w:val="nil"/>
            </w:tcBorders>
            <w:shd w:val="clear" w:color="000000" w:fill="005CA9"/>
            <w:vAlign w:val="center"/>
            <w:hideMark/>
          </w:tcPr>
          <w:p w14:paraId="40F7BDD3" w14:textId="77777777" w:rsidR="00BD0F03" w:rsidRPr="00BD0F03" w:rsidRDefault="00BD0F03" w:rsidP="00F627F9">
            <w:pPr>
              <w:jc w:val="right"/>
              <w:rPr>
                <w:rFonts w:ascii="CAIXA Std Book" w:eastAsia="Times New Roman" w:hAnsi="CAIXA Std Book" w:cs="Calibri"/>
                <w:b/>
                <w:bCs/>
                <w:color w:val="FFFFFF"/>
                <w:sz w:val="18"/>
                <w:szCs w:val="18"/>
              </w:rPr>
            </w:pPr>
            <w:r w:rsidRPr="00BD0F03">
              <w:rPr>
                <w:rFonts w:ascii="CAIXA Std Book" w:eastAsia="Times New Roman" w:hAnsi="CAIXA Std Book" w:cs="Calibri"/>
                <w:b/>
                <w:bCs/>
                <w:color w:val="FFFFFF"/>
                <w:sz w:val="18"/>
                <w:szCs w:val="18"/>
              </w:rPr>
              <w:t>9.440.177</w:t>
            </w:r>
          </w:p>
        </w:tc>
      </w:tr>
    </w:tbl>
    <w:p w14:paraId="00A34900" w14:textId="77777777" w:rsidR="002713C3" w:rsidRPr="00B04D8D" w:rsidRDefault="002713C3" w:rsidP="00AB4D07">
      <w:pPr>
        <w:keepNext/>
        <w:numPr>
          <w:ilvl w:val="0"/>
          <w:numId w:val="8"/>
        </w:numPr>
        <w:spacing w:before="240" w:after="120"/>
        <w:ind w:left="567" w:hanging="567"/>
        <w:jc w:val="both"/>
        <w:rPr>
          <w:rFonts w:ascii="CAIXA Std Book" w:hAnsi="CAIXA Std Book"/>
          <w:b/>
          <w:bCs/>
          <w:color w:val="005CA9"/>
          <w:sz w:val="20"/>
          <w:szCs w:val="20"/>
        </w:rPr>
      </w:pPr>
      <w:r w:rsidRPr="00B04D8D">
        <w:rPr>
          <w:rFonts w:ascii="CAIXA Std Book" w:hAnsi="CAIXA Std Book"/>
          <w:b/>
          <w:bCs/>
          <w:color w:val="005CA9"/>
          <w:sz w:val="20"/>
          <w:szCs w:val="20"/>
        </w:rPr>
        <w:t>Provisões para causas judiciais e obrigações fiscais e previdenciárias</w:t>
      </w:r>
    </w:p>
    <w:p w14:paraId="133445D1" w14:textId="77777777" w:rsidR="002713C3" w:rsidRPr="00B04D8D" w:rsidRDefault="002713C3" w:rsidP="002713C3">
      <w:pPr>
        <w:tabs>
          <w:tab w:val="left" w:pos="1650"/>
        </w:tabs>
        <w:spacing w:before="120" w:after="120"/>
        <w:jc w:val="both"/>
        <w:rPr>
          <w:rFonts w:ascii="CAIXA Std Book" w:hAnsi="CAIXA Std Book"/>
          <w:color w:val="005CA9"/>
          <w:sz w:val="20"/>
          <w:szCs w:val="20"/>
        </w:rPr>
      </w:pPr>
      <w:r w:rsidRPr="00B04D8D">
        <w:rPr>
          <w:rFonts w:ascii="CAIXA Std Book" w:hAnsi="CAIXA Std Book"/>
          <w:color w:val="005CA9"/>
          <w:sz w:val="20"/>
          <w:szCs w:val="20"/>
        </w:rPr>
        <w:t>A CAIXA é parte em processos judiciais e administrativos de natureza tributária, cível e trabalhista, decorrentes do curso normal de seus negócios. Com base em pareceres dos seus advogados e levando em consideração que os procedimentos adotados pela CAIXA guardam conformidade com as previsões legais e regulamentares, a Administração entende que as provisões constituídas são suficientes para suportar os riscos de eventuais decisões desfavoráveis nesses processos.</w:t>
      </w:r>
    </w:p>
    <w:p w14:paraId="57671AF9" w14:textId="77777777" w:rsidR="002713C3" w:rsidRPr="00B04D8D" w:rsidRDefault="002713C3" w:rsidP="002713C3">
      <w:pPr>
        <w:tabs>
          <w:tab w:val="left" w:pos="1276"/>
          <w:tab w:val="left" w:pos="1650"/>
        </w:tabs>
        <w:spacing w:before="120" w:after="120"/>
        <w:jc w:val="both"/>
        <w:rPr>
          <w:rFonts w:ascii="CAIXA Std Book" w:hAnsi="CAIXA Std Book"/>
          <w:color w:val="005CA9"/>
          <w:sz w:val="20"/>
          <w:szCs w:val="20"/>
        </w:rPr>
      </w:pPr>
      <w:r w:rsidRPr="00B04D8D">
        <w:rPr>
          <w:rFonts w:ascii="CAIXA Std Book" w:hAnsi="CAIXA Std Book"/>
          <w:color w:val="005CA9"/>
          <w:sz w:val="20"/>
          <w:szCs w:val="20"/>
        </w:rPr>
        <w:t>Considerando o elevado número de processos administrativos e judiciais, a CAIXA utiliza as seguintes metodologias para calcular o valor provável de desembolso:</w:t>
      </w:r>
    </w:p>
    <w:p w14:paraId="70A6F9C1" w14:textId="77777777" w:rsidR="009544C6" w:rsidRDefault="00DC11B9" w:rsidP="00211FE4">
      <w:pPr>
        <w:pStyle w:val="PargrafodaLista"/>
        <w:numPr>
          <w:ilvl w:val="1"/>
          <w:numId w:val="22"/>
        </w:numPr>
        <w:tabs>
          <w:tab w:val="left" w:pos="1276"/>
          <w:tab w:val="left" w:pos="1650"/>
        </w:tabs>
        <w:spacing w:before="120" w:after="120"/>
        <w:ind w:left="357" w:hanging="357"/>
        <w:contextualSpacing w:val="0"/>
        <w:jc w:val="both"/>
        <w:rPr>
          <w:rFonts w:ascii="CAIXA Std Book" w:hAnsi="CAIXA Std Book"/>
          <w:color w:val="005CA9"/>
          <w:sz w:val="20"/>
          <w:szCs w:val="20"/>
        </w:rPr>
      </w:pPr>
      <w:r w:rsidRPr="00800C01">
        <w:rPr>
          <w:rFonts w:ascii="CAIXA Std Book" w:hAnsi="CAIXA Std Book"/>
          <w:color w:val="005CA9"/>
          <w:sz w:val="20"/>
          <w:szCs w:val="20"/>
        </w:rPr>
        <w:t>M</w:t>
      </w:r>
      <w:r w:rsidR="002713C3" w:rsidRPr="00800C01">
        <w:rPr>
          <w:rFonts w:ascii="CAIXA Std Book" w:hAnsi="CAIXA Std Book"/>
          <w:color w:val="005CA9"/>
          <w:sz w:val="20"/>
          <w:szCs w:val="20"/>
        </w:rPr>
        <w:t>etodologia</w:t>
      </w:r>
      <w:r w:rsidRPr="00800C01">
        <w:rPr>
          <w:rFonts w:ascii="CAIXA Std Book" w:hAnsi="CAIXA Std Book"/>
          <w:color w:val="005CA9"/>
          <w:sz w:val="20"/>
          <w:szCs w:val="20"/>
        </w:rPr>
        <w:t xml:space="preserve"> </w:t>
      </w:r>
      <w:r w:rsidR="002713C3" w:rsidRPr="00800C01">
        <w:rPr>
          <w:rFonts w:ascii="CAIXA Std Book" w:hAnsi="CAIXA Std Book"/>
          <w:color w:val="005CA9"/>
          <w:sz w:val="20"/>
          <w:szCs w:val="20"/>
        </w:rPr>
        <w:t xml:space="preserve">individualizada, </w:t>
      </w:r>
      <w:r w:rsidR="00800C01" w:rsidRPr="00800C01">
        <w:rPr>
          <w:rFonts w:ascii="CAIXA Std Book" w:hAnsi="CAIXA Std Book"/>
          <w:color w:val="005CA9"/>
          <w:sz w:val="20"/>
          <w:szCs w:val="20"/>
        </w:rPr>
        <w:t>na qual se estima o valor provável da condenação (valor provisionado); este cálculo parte da repercussão econômica dos pedidos feitos pelo autor e é ponderado com a situação do processo e a jurisprudência predominante em causas similares; tais ações são classificadas como de perda provável, possível ou remota; ações massificadas que estão em fase de execução são também provisionadas por esta metodologia.</w:t>
      </w:r>
    </w:p>
    <w:p w14:paraId="47FF2E22" w14:textId="213253EA" w:rsidR="00C746FE" w:rsidRPr="005E1376" w:rsidRDefault="00AA5E80" w:rsidP="00295657">
      <w:pPr>
        <w:pStyle w:val="PargrafodaLista"/>
        <w:numPr>
          <w:ilvl w:val="1"/>
          <w:numId w:val="22"/>
        </w:numPr>
        <w:tabs>
          <w:tab w:val="left" w:pos="1276"/>
          <w:tab w:val="left" w:pos="1650"/>
        </w:tabs>
        <w:spacing w:before="120" w:after="120"/>
        <w:ind w:left="357" w:hanging="357"/>
        <w:contextualSpacing w:val="0"/>
        <w:jc w:val="both"/>
        <w:rPr>
          <w:rFonts w:ascii="CAIXA Std Book" w:hAnsi="CAIXA Std Book"/>
          <w:color w:val="005CA9"/>
          <w:sz w:val="20"/>
          <w:szCs w:val="20"/>
        </w:rPr>
      </w:pPr>
      <w:r w:rsidRPr="005E1376">
        <w:rPr>
          <w:rFonts w:ascii="CAIXA Std Book" w:hAnsi="CAIXA Std Book"/>
          <w:color w:val="005CA9"/>
          <w:sz w:val="20"/>
          <w:szCs w:val="20"/>
        </w:rPr>
        <w:t>M</w:t>
      </w:r>
      <w:r w:rsidR="002713C3" w:rsidRPr="005E1376">
        <w:rPr>
          <w:rFonts w:ascii="CAIXA Std Book" w:hAnsi="CAIXA Std Book"/>
          <w:color w:val="005CA9"/>
          <w:sz w:val="20"/>
          <w:szCs w:val="20"/>
        </w:rPr>
        <w:t xml:space="preserve">assificada, </w:t>
      </w:r>
      <w:r w:rsidR="00F350B2" w:rsidRPr="005E1376">
        <w:rPr>
          <w:rFonts w:ascii="CAIXA Std Book" w:hAnsi="CAIXA Std Book"/>
          <w:color w:val="005CA9"/>
          <w:sz w:val="20"/>
          <w:szCs w:val="20"/>
        </w:rPr>
        <w:t xml:space="preserve">metodologia estatística para cálculo do valor provável de desembolso para 100% dos expedientes rotineiros em fase de conhecimento, que consiste na mensuração da probabilidade e do impacto do resultado desfavorável à </w:t>
      </w:r>
      <w:r w:rsidR="009544C6" w:rsidRPr="009544C6">
        <w:rPr>
          <w:rFonts w:ascii="CAIXA Std Book" w:hAnsi="CAIXA Std Book"/>
          <w:color w:val="005CA9"/>
          <w:sz w:val="20"/>
          <w:szCs w:val="20"/>
        </w:rPr>
        <w:t>instituição</w:t>
      </w:r>
      <w:r w:rsidR="002713C3" w:rsidRPr="005E1376">
        <w:rPr>
          <w:rFonts w:ascii="CAIXA Std Book" w:hAnsi="CAIXA Std Book"/>
          <w:color w:val="005CA9"/>
          <w:sz w:val="20"/>
          <w:szCs w:val="20"/>
        </w:rPr>
        <w:t>.</w:t>
      </w:r>
    </w:p>
    <w:p w14:paraId="2399A75E" w14:textId="553D7F6A" w:rsidR="002713C3" w:rsidRDefault="002713C3" w:rsidP="008547F4">
      <w:pPr>
        <w:autoSpaceDE w:val="0"/>
        <w:autoSpaceDN w:val="0"/>
        <w:adjustRightInd w:val="0"/>
        <w:spacing w:before="240" w:after="120"/>
        <w:ind w:left="851" w:right="142" w:hanging="851"/>
        <w:jc w:val="both"/>
        <w:rPr>
          <w:rFonts w:ascii="CAIXA Std Book" w:hAnsi="CAIXA Std Book"/>
          <w:b/>
          <w:color w:val="005CA9"/>
          <w:sz w:val="20"/>
          <w:szCs w:val="20"/>
        </w:rPr>
      </w:pPr>
      <w:r w:rsidRPr="008547F4">
        <w:rPr>
          <w:rFonts w:ascii="CAIXA Std Book" w:hAnsi="CAIXA Std Book"/>
          <w:b/>
          <w:color w:val="005CA9"/>
          <w:sz w:val="20"/>
          <w:szCs w:val="20"/>
        </w:rPr>
        <w:t>(b.</w:t>
      </w:r>
      <w:r>
        <w:rPr>
          <w:rFonts w:ascii="CAIXA Std Book" w:hAnsi="CAIXA Std Book"/>
          <w:b/>
          <w:color w:val="005CA9"/>
          <w:sz w:val="20"/>
          <w:szCs w:val="20"/>
        </w:rPr>
        <w:t>1</w:t>
      </w:r>
      <w:r w:rsidRPr="008547F4">
        <w:rPr>
          <w:rFonts w:ascii="CAIXA Std Book" w:hAnsi="CAIXA Std Book"/>
          <w:b/>
          <w:color w:val="005CA9"/>
          <w:sz w:val="20"/>
          <w:szCs w:val="20"/>
        </w:rPr>
        <w:t>)</w:t>
      </w:r>
      <w:r w:rsidR="004961FF" w:rsidRPr="008547F4">
        <w:rPr>
          <w:rFonts w:ascii="CAIXA Std Book" w:hAnsi="CAIXA Std Book"/>
          <w:b/>
          <w:color w:val="005CA9"/>
          <w:sz w:val="20"/>
          <w:szCs w:val="20"/>
        </w:rPr>
        <w:tab/>
      </w:r>
      <w:r w:rsidRPr="00E85A71">
        <w:rPr>
          <w:rFonts w:ascii="CAIXA Std Book" w:hAnsi="CAIXA Std Book"/>
          <w:b/>
          <w:color w:val="005CA9"/>
          <w:sz w:val="20"/>
          <w:szCs w:val="20"/>
        </w:rPr>
        <w:t>Movimentação das provisões para causas judiciais e obrigações fiscais e previdenciárias</w:t>
      </w:r>
    </w:p>
    <w:tbl>
      <w:tblPr>
        <w:tblW w:w="5000" w:type="pct"/>
        <w:tblCellMar>
          <w:left w:w="70" w:type="dxa"/>
          <w:right w:w="70" w:type="dxa"/>
        </w:tblCellMar>
        <w:tblLook w:val="04A0" w:firstRow="1" w:lastRow="0" w:firstColumn="1" w:lastColumn="0" w:noHBand="0" w:noVBand="1"/>
      </w:tblPr>
      <w:tblGrid>
        <w:gridCol w:w="2595"/>
        <w:gridCol w:w="1090"/>
        <w:gridCol w:w="854"/>
        <w:gridCol w:w="1027"/>
        <w:gridCol w:w="984"/>
        <w:gridCol w:w="941"/>
        <w:gridCol w:w="1085"/>
        <w:gridCol w:w="1061"/>
      </w:tblGrid>
      <w:tr w:rsidR="004D7D57" w:rsidRPr="00A14B8D" w14:paraId="0435B34A" w14:textId="77777777" w:rsidTr="00E8422C">
        <w:trPr>
          <w:trHeight w:val="283"/>
        </w:trPr>
        <w:tc>
          <w:tcPr>
            <w:tcW w:w="5000" w:type="pct"/>
            <w:gridSpan w:val="8"/>
            <w:tcBorders>
              <w:top w:val="nil"/>
              <w:left w:val="nil"/>
              <w:bottom w:val="single" w:sz="4" w:space="0" w:color="FFFFFF" w:themeColor="background1"/>
              <w:right w:val="nil"/>
            </w:tcBorders>
            <w:shd w:val="clear" w:color="000000" w:fill="005CA9"/>
            <w:vAlign w:val="center"/>
          </w:tcPr>
          <w:p w14:paraId="43DCAF16" w14:textId="1E5B8EAA" w:rsidR="004D7D57" w:rsidRPr="00A14B8D" w:rsidRDefault="004D7D57" w:rsidP="00A14B8D">
            <w:pPr>
              <w:jc w:val="center"/>
              <w:rPr>
                <w:rFonts w:ascii="CAIXA Std Book" w:eastAsia="Times New Roman" w:hAnsi="CAIXA Std Book" w:cs="Times New Roman"/>
                <w:b/>
                <w:bCs/>
                <w:color w:val="FFFFFF"/>
                <w:sz w:val="16"/>
                <w:szCs w:val="16"/>
              </w:rPr>
            </w:pPr>
            <w:r>
              <w:rPr>
                <w:rFonts w:ascii="CAIXA Std Book" w:eastAsia="Times New Roman" w:hAnsi="CAIXA Std Book" w:cs="Times New Roman"/>
                <w:b/>
                <w:bCs/>
                <w:color w:val="FFFFFF"/>
                <w:sz w:val="16"/>
                <w:szCs w:val="16"/>
              </w:rPr>
              <w:t>Individual</w:t>
            </w:r>
          </w:p>
        </w:tc>
      </w:tr>
      <w:tr w:rsidR="00A14B8D" w:rsidRPr="00A14B8D" w14:paraId="0CABC4E7" w14:textId="77777777" w:rsidTr="00E8422C">
        <w:trPr>
          <w:trHeight w:val="283"/>
        </w:trPr>
        <w:tc>
          <w:tcPr>
            <w:tcW w:w="1326" w:type="pct"/>
            <w:vMerge w:val="restart"/>
            <w:tcBorders>
              <w:top w:val="single" w:sz="4" w:space="0" w:color="FFFFFF" w:themeColor="background1"/>
              <w:left w:val="nil"/>
              <w:bottom w:val="nil"/>
              <w:right w:val="nil"/>
            </w:tcBorders>
            <w:shd w:val="clear" w:color="000000" w:fill="005CA9"/>
            <w:vAlign w:val="center"/>
            <w:hideMark/>
          </w:tcPr>
          <w:p w14:paraId="5B7B3262" w14:textId="77777777" w:rsidR="00A14B8D" w:rsidRPr="00A14B8D" w:rsidRDefault="00A14B8D" w:rsidP="00A14B8D">
            <w:pPr>
              <w:jc w:val="center"/>
              <w:rPr>
                <w:rFonts w:ascii="CAIXA Std Book" w:eastAsia="Times New Roman" w:hAnsi="CAIXA Std Book" w:cs="Times New Roman"/>
                <w:b/>
                <w:bCs/>
                <w:color w:val="FFFFFF"/>
                <w:sz w:val="16"/>
                <w:szCs w:val="16"/>
              </w:rPr>
            </w:pPr>
            <w:r w:rsidRPr="00A14B8D">
              <w:rPr>
                <w:rFonts w:ascii="CAIXA Std Book" w:eastAsia="Times New Roman" w:hAnsi="CAIXA Std Book" w:cs="Times New Roman"/>
                <w:b/>
                <w:bCs/>
                <w:color w:val="FFFFFF"/>
                <w:sz w:val="16"/>
                <w:szCs w:val="16"/>
              </w:rPr>
              <w:t>Descrição</w:t>
            </w:r>
          </w:p>
        </w:tc>
        <w:tc>
          <w:tcPr>
            <w:tcW w:w="563" w:type="pct"/>
            <w:vMerge w:val="restart"/>
            <w:tcBorders>
              <w:top w:val="single" w:sz="4" w:space="0" w:color="FFFFFF" w:themeColor="background1"/>
              <w:left w:val="nil"/>
              <w:bottom w:val="nil"/>
              <w:right w:val="nil"/>
            </w:tcBorders>
            <w:shd w:val="clear" w:color="000000" w:fill="005CA9"/>
            <w:noWrap/>
            <w:vAlign w:val="center"/>
            <w:hideMark/>
          </w:tcPr>
          <w:p w14:paraId="2048D10A" w14:textId="77777777" w:rsidR="00A14B8D" w:rsidRPr="00A14B8D" w:rsidRDefault="00A14B8D" w:rsidP="00A14B8D">
            <w:pPr>
              <w:jc w:val="center"/>
              <w:rPr>
                <w:rFonts w:ascii="CAIXA Std Book" w:eastAsia="Times New Roman" w:hAnsi="CAIXA Std Book" w:cs="Times New Roman"/>
                <w:b/>
                <w:bCs/>
                <w:color w:val="FFFFFF"/>
                <w:sz w:val="16"/>
                <w:szCs w:val="16"/>
              </w:rPr>
            </w:pPr>
            <w:r w:rsidRPr="00A14B8D">
              <w:rPr>
                <w:rFonts w:ascii="CAIXA Std Book" w:eastAsia="Times New Roman" w:hAnsi="CAIXA Std Book" w:cs="Times New Roman"/>
                <w:b/>
                <w:bCs/>
                <w:color w:val="FFFFFF"/>
                <w:sz w:val="16"/>
                <w:szCs w:val="16"/>
              </w:rPr>
              <w:t>31/12/2025</w:t>
            </w:r>
          </w:p>
        </w:tc>
        <w:tc>
          <w:tcPr>
            <w:tcW w:w="2604" w:type="pct"/>
            <w:gridSpan w:val="5"/>
            <w:tcBorders>
              <w:top w:val="single" w:sz="4" w:space="0" w:color="FFFFFF" w:themeColor="background1"/>
              <w:left w:val="nil"/>
              <w:bottom w:val="single" w:sz="8" w:space="0" w:color="FFFFFF"/>
              <w:right w:val="nil"/>
            </w:tcBorders>
            <w:shd w:val="clear" w:color="000000" w:fill="005CA9"/>
            <w:vAlign w:val="center"/>
            <w:hideMark/>
          </w:tcPr>
          <w:p w14:paraId="248834A4" w14:textId="77777777" w:rsidR="00A14B8D" w:rsidRPr="00A14B8D" w:rsidRDefault="00A14B8D" w:rsidP="00A14B8D">
            <w:pPr>
              <w:jc w:val="center"/>
              <w:rPr>
                <w:rFonts w:ascii="CAIXA Std Book" w:eastAsia="Times New Roman" w:hAnsi="CAIXA Std Book" w:cs="Times New Roman"/>
                <w:b/>
                <w:bCs/>
                <w:color w:val="FFFFFF"/>
                <w:sz w:val="16"/>
                <w:szCs w:val="16"/>
              </w:rPr>
            </w:pPr>
            <w:r w:rsidRPr="00A14B8D">
              <w:rPr>
                <w:rFonts w:ascii="CAIXA Std Book" w:eastAsia="Times New Roman" w:hAnsi="CAIXA Std Book" w:cs="Times New Roman"/>
                <w:b/>
                <w:bCs/>
                <w:color w:val="FFFFFF"/>
                <w:sz w:val="16"/>
                <w:szCs w:val="16"/>
              </w:rPr>
              <w:t>Movimentação</w:t>
            </w:r>
          </w:p>
        </w:tc>
        <w:tc>
          <w:tcPr>
            <w:tcW w:w="507" w:type="pct"/>
            <w:vMerge w:val="restart"/>
            <w:tcBorders>
              <w:top w:val="single" w:sz="4" w:space="0" w:color="FFFFFF" w:themeColor="background1"/>
              <w:left w:val="nil"/>
              <w:bottom w:val="nil"/>
              <w:right w:val="nil"/>
            </w:tcBorders>
            <w:shd w:val="clear" w:color="000000" w:fill="005CA9"/>
            <w:noWrap/>
            <w:vAlign w:val="center"/>
            <w:hideMark/>
          </w:tcPr>
          <w:p w14:paraId="18584069" w14:textId="77777777" w:rsidR="00A14B8D" w:rsidRPr="00A14B8D" w:rsidRDefault="00A14B8D" w:rsidP="00A14B8D">
            <w:pPr>
              <w:jc w:val="center"/>
              <w:rPr>
                <w:rFonts w:ascii="CAIXA Std Book" w:eastAsia="Times New Roman" w:hAnsi="CAIXA Std Book" w:cs="Times New Roman"/>
                <w:b/>
                <w:bCs/>
                <w:color w:val="FFFFFF"/>
                <w:sz w:val="16"/>
                <w:szCs w:val="16"/>
              </w:rPr>
            </w:pPr>
            <w:r w:rsidRPr="00A14B8D">
              <w:rPr>
                <w:rFonts w:ascii="CAIXA Std Book" w:eastAsia="Times New Roman" w:hAnsi="CAIXA Std Book" w:cs="Times New Roman"/>
                <w:b/>
                <w:bCs/>
                <w:color w:val="FFFFFF"/>
                <w:sz w:val="16"/>
                <w:szCs w:val="16"/>
              </w:rPr>
              <w:t>31/03/2026</w:t>
            </w:r>
          </w:p>
        </w:tc>
      </w:tr>
      <w:tr w:rsidR="00A14B8D" w:rsidRPr="00A14B8D" w14:paraId="33079A9D" w14:textId="77777777" w:rsidTr="00E8422C">
        <w:trPr>
          <w:trHeight w:val="283"/>
        </w:trPr>
        <w:tc>
          <w:tcPr>
            <w:tcW w:w="1326" w:type="pct"/>
            <w:vMerge/>
            <w:tcBorders>
              <w:top w:val="nil"/>
              <w:left w:val="nil"/>
              <w:bottom w:val="nil"/>
              <w:right w:val="nil"/>
            </w:tcBorders>
            <w:vAlign w:val="center"/>
            <w:hideMark/>
          </w:tcPr>
          <w:p w14:paraId="34AD93B5" w14:textId="77777777" w:rsidR="00A14B8D" w:rsidRPr="00A14B8D" w:rsidRDefault="00A14B8D" w:rsidP="00A14B8D">
            <w:pPr>
              <w:rPr>
                <w:rFonts w:ascii="CAIXA Std Book" w:eastAsia="Times New Roman" w:hAnsi="CAIXA Std Book" w:cs="Times New Roman"/>
                <w:b/>
                <w:bCs/>
                <w:color w:val="FFFFFF"/>
                <w:sz w:val="16"/>
                <w:szCs w:val="16"/>
              </w:rPr>
            </w:pPr>
          </w:p>
        </w:tc>
        <w:tc>
          <w:tcPr>
            <w:tcW w:w="563" w:type="pct"/>
            <w:vMerge/>
            <w:tcBorders>
              <w:top w:val="nil"/>
              <w:left w:val="nil"/>
              <w:bottom w:val="nil"/>
              <w:right w:val="nil"/>
            </w:tcBorders>
            <w:vAlign w:val="center"/>
            <w:hideMark/>
          </w:tcPr>
          <w:p w14:paraId="02084CAB" w14:textId="77777777" w:rsidR="00A14B8D" w:rsidRPr="00A14B8D" w:rsidRDefault="00A14B8D" w:rsidP="00A14B8D">
            <w:pPr>
              <w:rPr>
                <w:rFonts w:ascii="CAIXA Std Book" w:eastAsia="Times New Roman" w:hAnsi="CAIXA Std Book" w:cs="Times New Roman"/>
                <w:b/>
                <w:bCs/>
                <w:color w:val="FFFFFF"/>
                <w:sz w:val="16"/>
                <w:szCs w:val="16"/>
              </w:rPr>
            </w:pPr>
          </w:p>
        </w:tc>
        <w:tc>
          <w:tcPr>
            <w:tcW w:w="462" w:type="pct"/>
            <w:tcBorders>
              <w:top w:val="nil"/>
              <w:left w:val="nil"/>
              <w:bottom w:val="nil"/>
              <w:right w:val="nil"/>
            </w:tcBorders>
            <w:shd w:val="clear" w:color="000000" w:fill="005CA9"/>
            <w:vAlign w:val="center"/>
            <w:hideMark/>
          </w:tcPr>
          <w:p w14:paraId="1371DB4B" w14:textId="77777777" w:rsidR="00A14B8D" w:rsidRPr="00A14B8D" w:rsidRDefault="00A14B8D" w:rsidP="00A14B8D">
            <w:pPr>
              <w:jc w:val="center"/>
              <w:rPr>
                <w:rFonts w:ascii="CAIXA Std Book" w:eastAsia="Times New Roman" w:hAnsi="CAIXA Std Book" w:cs="Times New Roman"/>
                <w:b/>
                <w:bCs/>
                <w:color w:val="FFFFFF"/>
                <w:sz w:val="16"/>
                <w:szCs w:val="16"/>
              </w:rPr>
            </w:pPr>
            <w:r w:rsidRPr="00A14B8D">
              <w:rPr>
                <w:rFonts w:ascii="CAIXA Std Book" w:eastAsia="Times New Roman" w:hAnsi="CAIXA Std Book" w:cs="Times New Roman"/>
                <w:b/>
                <w:bCs/>
                <w:color w:val="FFFFFF"/>
                <w:sz w:val="16"/>
                <w:szCs w:val="16"/>
              </w:rPr>
              <w:t>Novas provisões</w:t>
            </w:r>
          </w:p>
        </w:tc>
        <w:tc>
          <w:tcPr>
            <w:tcW w:w="525" w:type="pct"/>
            <w:tcBorders>
              <w:top w:val="nil"/>
              <w:left w:val="nil"/>
              <w:bottom w:val="nil"/>
              <w:right w:val="nil"/>
            </w:tcBorders>
            <w:shd w:val="clear" w:color="000000" w:fill="005CA9"/>
            <w:vAlign w:val="center"/>
            <w:hideMark/>
          </w:tcPr>
          <w:p w14:paraId="11F6954F" w14:textId="77777777" w:rsidR="00A14B8D" w:rsidRPr="00A14B8D" w:rsidRDefault="00A14B8D" w:rsidP="00A14B8D">
            <w:pPr>
              <w:jc w:val="center"/>
              <w:rPr>
                <w:rFonts w:ascii="CAIXA Std Book" w:eastAsia="Times New Roman" w:hAnsi="CAIXA Std Book" w:cs="Times New Roman"/>
                <w:b/>
                <w:bCs/>
                <w:color w:val="FFFFFF"/>
                <w:sz w:val="16"/>
                <w:szCs w:val="16"/>
              </w:rPr>
            </w:pPr>
            <w:r w:rsidRPr="00A14B8D">
              <w:rPr>
                <w:rFonts w:ascii="CAIXA Std Book" w:eastAsia="Times New Roman" w:hAnsi="CAIXA Std Book" w:cs="Times New Roman"/>
                <w:b/>
                <w:bCs/>
                <w:color w:val="FFFFFF"/>
                <w:sz w:val="16"/>
                <w:szCs w:val="16"/>
              </w:rPr>
              <w:t>Atualização monetária</w:t>
            </w:r>
          </w:p>
        </w:tc>
        <w:tc>
          <w:tcPr>
            <w:tcW w:w="529" w:type="pct"/>
            <w:tcBorders>
              <w:top w:val="nil"/>
              <w:left w:val="nil"/>
              <w:bottom w:val="nil"/>
              <w:right w:val="nil"/>
            </w:tcBorders>
            <w:shd w:val="clear" w:color="000000" w:fill="005CA9"/>
            <w:vAlign w:val="center"/>
            <w:hideMark/>
          </w:tcPr>
          <w:p w14:paraId="3BCA9FA3" w14:textId="77777777" w:rsidR="00A14B8D" w:rsidRPr="00A14B8D" w:rsidRDefault="00A14B8D" w:rsidP="00A14B8D">
            <w:pPr>
              <w:jc w:val="center"/>
              <w:rPr>
                <w:rFonts w:ascii="CAIXA Std Book" w:eastAsia="Times New Roman" w:hAnsi="CAIXA Std Book" w:cs="Times New Roman"/>
                <w:b/>
                <w:bCs/>
                <w:color w:val="FFFFFF"/>
                <w:sz w:val="16"/>
                <w:szCs w:val="16"/>
              </w:rPr>
            </w:pPr>
            <w:r w:rsidRPr="00A14B8D">
              <w:rPr>
                <w:rFonts w:ascii="CAIXA Std Book" w:eastAsia="Times New Roman" w:hAnsi="CAIXA Std Book" w:cs="Times New Roman"/>
                <w:b/>
                <w:bCs/>
                <w:color w:val="FFFFFF"/>
                <w:sz w:val="16"/>
                <w:szCs w:val="16"/>
              </w:rPr>
              <w:t>Adições de provisões</w:t>
            </w:r>
          </w:p>
        </w:tc>
        <w:tc>
          <w:tcPr>
            <w:tcW w:w="507" w:type="pct"/>
            <w:tcBorders>
              <w:top w:val="nil"/>
              <w:left w:val="nil"/>
              <w:bottom w:val="nil"/>
              <w:right w:val="nil"/>
            </w:tcBorders>
            <w:shd w:val="clear" w:color="000000" w:fill="005CA9"/>
            <w:vAlign w:val="center"/>
            <w:hideMark/>
          </w:tcPr>
          <w:p w14:paraId="675B02EF" w14:textId="77777777" w:rsidR="00A14B8D" w:rsidRPr="00A14B8D" w:rsidRDefault="00A14B8D" w:rsidP="00A14B8D">
            <w:pPr>
              <w:jc w:val="center"/>
              <w:rPr>
                <w:rFonts w:ascii="CAIXA Std Book" w:eastAsia="Times New Roman" w:hAnsi="CAIXA Std Book" w:cs="Times New Roman"/>
                <w:b/>
                <w:bCs/>
                <w:color w:val="FFFFFF"/>
                <w:sz w:val="16"/>
                <w:szCs w:val="16"/>
              </w:rPr>
            </w:pPr>
            <w:r w:rsidRPr="00A14B8D">
              <w:rPr>
                <w:rFonts w:ascii="CAIXA Std Book" w:eastAsia="Times New Roman" w:hAnsi="CAIXA Std Book" w:cs="Times New Roman"/>
                <w:b/>
                <w:bCs/>
                <w:color w:val="FFFFFF"/>
                <w:sz w:val="16"/>
                <w:szCs w:val="16"/>
              </w:rPr>
              <w:t xml:space="preserve">Reversões de provisões </w:t>
            </w:r>
          </w:p>
        </w:tc>
        <w:tc>
          <w:tcPr>
            <w:tcW w:w="581" w:type="pct"/>
            <w:tcBorders>
              <w:top w:val="nil"/>
              <w:left w:val="nil"/>
              <w:bottom w:val="nil"/>
              <w:right w:val="nil"/>
            </w:tcBorders>
            <w:shd w:val="clear" w:color="000000" w:fill="005CA9"/>
            <w:vAlign w:val="center"/>
            <w:hideMark/>
          </w:tcPr>
          <w:p w14:paraId="298C790C" w14:textId="77777777" w:rsidR="00A14B8D" w:rsidRPr="00A14B8D" w:rsidRDefault="00A14B8D" w:rsidP="00A14B8D">
            <w:pPr>
              <w:jc w:val="center"/>
              <w:rPr>
                <w:rFonts w:ascii="CAIXA Std Book" w:eastAsia="Times New Roman" w:hAnsi="CAIXA Std Book" w:cs="Times New Roman"/>
                <w:b/>
                <w:bCs/>
                <w:color w:val="FFFFFF"/>
                <w:sz w:val="16"/>
                <w:szCs w:val="16"/>
              </w:rPr>
            </w:pPr>
            <w:r w:rsidRPr="00A14B8D">
              <w:rPr>
                <w:rFonts w:ascii="CAIXA Std Book" w:eastAsia="Times New Roman" w:hAnsi="CAIXA Std Book" w:cs="Times New Roman"/>
                <w:b/>
                <w:bCs/>
                <w:color w:val="FFFFFF"/>
                <w:sz w:val="16"/>
                <w:szCs w:val="16"/>
              </w:rPr>
              <w:t xml:space="preserve">Baixas por pagamento </w:t>
            </w:r>
          </w:p>
        </w:tc>
        <w:tc>
          <w:tcPr>
            <w:tcW w:w="507" w:type="pct"/>
            <w:vMerge/>
            <w:tcBorders>
              <w:top w:val="nil"/>
              <w:left w:val="nil"/>
              <w:bottom w:val="nil"/>
              <w:right w:val="nil"/>
            </w:tcBorders>
            <w:vAlign w:val="center"/>
            <w:hideMark/>
          </w:tcPr>
          <w:p w14:paraId="0D0C7C42" w14:textId="77777777" w:rsidR="00A14B8D" w:rsidRPr="00A14B8D" w:rsidRDefault="00A14B8D" w:rsidP="00A14B8D">
            <w:pPr>
              <w:rPr>
                <w:rFonts w:ascii="CAIXA Std Book" w:eastAsia="Times New Roman" w:hAnsi="CAIXA Std Book" w:cs="Times New Roman"/>
                <w:b/>
                <w:bCs/>
                <w:color w:val="FFFFFF"/>
                <w:sz w:val="16"/>
                <w:szCs w:val="16"/>
              </w:rPr>
            </w:pPr>
          </w:p>
        </w:tc>
      </w:tr>
      <w:tr w:rsidR="00A14B8D" w:rsidRPr="00A14B8D" w14:paraId="22FF2167" w14:textId="77777777" w:rsidTr="00E8422C">
        <w:trPr>
          <w:trHeight w:val="283"/>
        </w:trPr>
        <w:tc>
          <w:tcPr>
            <w:tcW w:w="1305" w:type="pct"/>
            <w:tcBorders>
              <w:top w:val="nil"/>
              <w:left w:val="nil"/>
              <w:bottom w:val="single" w:sz="8" w:space="0" w:color="FFFFFF"/>
              <w:right w:val="nil"/>
            </w:tcBorders>
            <w:shd w:val="clear" w:color="000000" w:fill="D0E0E3"/>
            <w:noWrap/>
            <w:vAlign w:val="center"/>
            <w:hideMark/>
          </w:tcPr>
          <w:p w14:paraId="45C33A13" w14:textId="77777777" w:rsidR="00A14B8D" w:rsidRPr="00A14B8D" w:rsidRDefault="00A14B8D" w:rsidP="00A14B8D">
            <w:pPr>
              <w:rPr>
                <w:rFonts w:ascii="CAIXA Std Book" w:eastAsia="Times New Roman" w:hAnsi="CAIXA Std Book" w:cs="Times New Roman"/>
                <w:b/>
                <w:bCs/>
                <w:color w:val="005CA9"/>
                <w:sz w:val="16"/>
                <w:szCs w:val="16"/>
              </w:rPr>
            </w:pPr>
            <w:r w:rsidRPr="00A14B8D">
              <w:rPr>
                <w:rFonts w:ascii="CAIXA Std Book" w:eastAsia="Times New Roman" w:hAnsi="CAIXA Std Book" w:cs="Times New Roman"/>
                <w:b/>
                <w:bCs/>
                <w:color w:val="005CA9"/>
                <w:sz w:val="16"/>
                <w:szCs w:val="16"/>
              </w:rPr>
              <w:t>Trabalhistas (b.2)</w:t>
            </w:r>
          </w:p>
        </w:tc>
        <w:tc>
          <w:tcPr>
            <w:tcW w:w="584" w:type="pct"/>
            <w:tcBorders>
              <w:top w:val="nil"/>
              <w:left w:val="nil"/>
              <w:bottom w:val="single" w:sz="8" w:space="0" w:color="FFFFFF"/>
              <w:right w:val="nil"/>
            </w:tcBorders>
            <w:shd w:val="clear" w:color="000000" w:fill="D0E0E3"/>
            <w:noWrap/>
            <w:vAlign w:val="center"/>
            <w:hideMark/>
          </w:tcPr>
          <w:p w14:paraId="6D97B7DA" w14:textId="77777777" w:rsidR="00A14B8D" w:rsidRPr="00A14B8D" w:rsidRDefault="00A14B8D" w:rsidP="00A14B8D">
            <w:pPr>
              <w:jc w:val="right"/>
              <w:rPr>
                <w:rFonts w:ascii="CAIXA Std Book" w:eastAsia="Times New Roman" w:hAnsi="CAIXA Std Book" w:cs="Times New Roman"/>
                <w:b/>
                <w:bCs/>
                <w:color w:val="005CA9"/>
                <w:sz w:val="16"/>
                <w:szCs w:val="16"/>
              </w:rPr>
            </w:pPr>
            <w:r w:rsidRPr="00A14B8D">
              <w:rPr>
                <w:rFonts w:ascii="CAIXA Std Book" w:eastAsia="Times New Roman" w:hAnsi="CAIXA Std Book" w:cs="Times New Roman"/>
                <w:b/>
                <w:bCs/>
                <w:color w:val="005CA9"/>
                <w:sz w:val="16"/>
                <w:szCs w:val="16"/>
              </w:rPr>
              <w:t>4.503.372</w:t>
            </w:r>
          </w:p>
        </w:tc>
        <w:tc>
          <w:tcPr>
            <w:tcW w:w="462" w:type="pct"/>
            <w:tcBorders>
              <w:top w:val="nil"/>
              <w:left w:val="nil"/>
              <w:bottom w:val="single" w:sz="8" w:space="0" w:color="FFFFFF"/>
              <w:right w:val="nil"/>
            </w:tcBorders>
            <w:shd w:val="clear" w:color="auto" w:fill="D0E0E3"/>
            <w:noWrap/>
            <w:vAlign w:val="center"/>
            <w:hideMark/>
          </w:tcPr>
          <w:p w14:paraId="707514F0" w14:textId="4CB8E6F7" w:rsidR="00A14B8D" w:rsidRPr="00A14B8D" w:rsidRDefault="00D8153E" w:rsidP="00A14B8D">
            <w:pPr>
              <w:jc w:val="right"/>
              <w:rPr>
                <w:rFonts w:ascii="CAIXA Std Book" w:eastAsia="Times New Roman" w:hAnsi="CAIXA Std Book" w:cs="Times New Roman"/>
                <w:b/>
                <w:bCs/>
                <w:color w:val="005CA9"/>
                <w:sz w:val="16"/>
                <w:szCs w:val="16"/>
              </w:rPr>
            </w:pPr>
            <w:r w:rsidRPr="00D8153E">
              <w:rPr>
                <w:rFonts w:ascii="CAIXA Std Book" w:hAnsi="CAIXA Std Book" w:cs="Arial"/>
                <w:b/>
                <w:bCs/>
                <w:color w:val="005CA9"/>
                <w:sz w:val="16"/>
                <w:szCs w:val="16"/>
              </w:rPr>
              <w:t>169.415</w:t>
            </w:r>
          </w:p>
        </w:tc>
        <w:tc>
          <w:tcPr>
            <w:tcW w:w="525" w:type="pct"/>
            <w:tcBorders>
              <w:top w:val="nil"/>
              <w:left w:val="nil"/>
              <w:bottom w:val="single" w:sz="8" w:space="0" w:color="FFFFFF"/>
              <w:right w:val="nil"/>
            </w:tcBorders>
            <w:shd w:val="clear" w:color="auto" w:fill="D0E0E3"/>
            <w:noWrap/>
            <w:vAlign w:val="center"/>
            <w:hideMark/>
          </w:tcPr>
          <w:p w14:paraId="56B12702" w14:textId="3E5B96F1" w:rsidR="00A14B8D" w:rsidRPr="00A14B8D" w:rsidRDefault="00D8153E" w:rsidP="00A14B8D">
            <w:pPr>
              <w:jc w:val="right"/>
              <w:rPr>
                <w:rFonts w:ascii="CAIXA Std Book" w:eastAsia="Times New Roman" w:hAnsi="CAIXA Std Book" w:cs="Times New Roman"/>
                <w:b/>
                <w:bCs/>
                <w:color w:val="005CA9"/>
                <w:sz w:val="16"/>
                <w:szCs w:val="16"/>
              </w:rPr>
            </w:pPr>
            <w:r>
              <w:rPr>
                <w:rFonts w:ascii="CAIXA Std Book" w:hAnsi="CAIXA Std Book" w:cs="Arial"/>
                <w:b/>
                <w:bCs/>
                <w:color w:val="005CA9"/>
                <w:sz w:val="16"/>
                <w:szCs w:val="16"/>
              </w:rPr>
              <w:t>72.428</w:t>
            </w:r>
          </w:p>
        </w:tc>
        <w:tc>
          <w:tcPr>
            <w:tcW w:w="529" w:type="pct"/>
            <w:tcBorders>
              <w:top w:val="nil"/>
              <w:left w:val="nil"/>
              <w:bottom w:val="single" w:sz="8" w:space="0" w:color="FFFFFF"/>
              <w:right w:val="nil"/>
            </w:tcBorders>
            <w:shd w:val="clear" w:color="auto" w:fill="D0E0E3"/>
            <w:noWrap/>
            <w:vAlign w:val="center"/>
            <w:hideMark/>
          </w:tcPr>
          <w:p w14:paraId="65326040" w14:textId="3CCC1F4C" w:rsidR="00A14B8D" w:rsidRPr="00A14B8D" w:rsidRDefault="00D8153E" w:rsidP="00A14B8D">
            <w:pPr>
              <w:jc w:val="right"/>
              <w:rPr>
                <w:rFonts w:ascii="CAIXA Std Book" w:eastAsia="Times New Roman" w:hAnsi="CAIXA Std Book" w:cs="Times New Roman"/>
                <w:b/>
                <w:bCs/>
                <w:color w:val="005CA9"/>
                <w:sz w:val="16"/>
                <w:szCs w:val="16"/>
              </w:rPr>
            </w:pPr>
            <w:r>
              <w:rPr>
                <w:rFonts w:ascii="CAIXA Std Book" w:hAnsi="CAIXA Std Book" w:cs="Arial"/>
                <w:b/>
                <w:bCs/>
                <w:color w:val="005CA9"/>
                <w:sz w:val="16"/>
                <w:szCs w:val="16"/>
              </w:rPr>
              <w:t>807.888</w:t>
            </w:r>
          </w:p>
        </w:tc>
        <w:tc>
          <w:tcPr>
            <w:tcW w:w="507" w:type="pct"/>
            <w:tcBorders>
              <w:top w:val="nil"/>
              <w:left w:val="nil"/>
              <w:bottom w:val="single" w:sz="8" w:space="0" w:color="FFFFFF"/>
              <w:right w:val="nil"/>
            </w:tcBorders>
            <w:shd w:val="clear" w:color="auto" w:fill="D0E0E3"/>
            <w:noWrap/>
            <w:vAlign w:val="center"/>
            <w:hideMark/>
          </w:tcPr>
          <w:p w14:paraId="58A36000" w14:textId="7DD96E2A" w:rsidR="00A14B8D" w:rsidRPr="00A14B8D" w:rsidRDefault="00D8153E" w:rsidP="00A14B8D">
            <w:pPr>
              <w:jc w:val="right"/>
              <w:rPr>
                <w:rFonts w:ascii="CAIXA Std Book" w:eastAsia="Times New Roman" w:hAnsi="CAIXA Std Book" w:cs="Times New Roman"/>
                <w:b/>
                <w:bCs/>
                <w:color w:val="005CA9"/>
                <w:sz w:val="16"/>
                <w:szCs w:val="16"/>
              </w:rPr>
            </w:pPr>
            <w:r>
              <w:rPr>
                <w:rFonts w:ascii="CAIXA Std Book" w:hAnsi="CAIXA Std Book" w:cs="Arial"/>
                <w:b/>
                <w:bCs/>
                <w:color w:val="005CA9"/>
                <w:sz w:val="16"/>
                <w:szCs w:val="16"/>
              </w:rPr>
              <w:t>(223.478)</w:t>
            </w:r>
          </w:p>
        </w:tc>
        <w:tc>
          <w:tcPr>
            <w:tcW w:w="581" w:type="pct"/>
            <w:tcBorders>
              <w:top w:val="nil"/>
              <w:left w:val="nil"/>
              <w:bottom w:val="single" w:sz="8" w:space="0" w:color="FFFFFF"/>
              <w:right w:val="nil"/>
            </w:tcBorders>
            <w:shd w:val="clear" w:color="auto" w:fill="D0E0E3"/>
            <w:noWrap/>
            <w:vAlign w:val="center"/>
            <w:hideMark/>
          </w:tcPr>
          <w:p w14:paraId="0EA6B74B" w14:textId="19642D02" w:rsidR="00A14B8D" w:rsidRPr="00A14B8D" w:rsidRDefault="00D8153E" w:rsidP="00A14B8D">
            <w:pPr>
              <w:jc w:val="right"/>
              <w:rPr>
                <w:rFonts w:ascii="CAIXA Std Book" w:eastAsia="Times New Roman" w:hAnsi="CAIXA Std Book" w:cs="Times New Roman"/>
                <w:b/>
                <w:bCs/>
                <w:color w:val="005CA9"/>
                <w:sz w:val="16"/>
                <w:szCs w:val="16"/>
              </w:rPr>
            </w:pPr>
            <w:r>
              <w:rPr>
                <w:rFonts w:ascii="CAIXA Std Book" w:hAnsi="CAIXA Std Book" w:cs="Arial"/>
                <w:b/>
                <w:bCs/>
                <w:color w:val="005CA9"/>
                <w:sz w:val="16"/>
                <w:szCs w:val="16"/>
              </w:rPr>
              <w:t>(738.928)</w:t>
            </w:r>
          </w:p>
        </w:tc>
        <w:tc>
          <w:tcPr>
            <w:tcW w:w="507" w:type="pct"/>
            <w:tcBorders>
              <w:top w:val="nil"/>
              <w:left w:val="nil"/>
              <w:bottom w:val="single" w:sz="8" w:space="0" w:color="FFFFFF"/>
              <w:right w:val="nil"/>
            </w:tcBorders>
            <w:shd w:val="clear" w:color="auto" w:fill="D0E0E3"/>
            <w:noWrap/>
            <w:vAlign w:val="center"/>
            <w:hideMark/>
          </w:tcPr>
          <w:p w14:paraId="2CD2832D" w14:textId="55D8E41D" w:rsidR="00A14B8D" w:rsidRPr="00A14B8D" w:rsidRDefault="00D8153E" w:rsidP="00A14B8D">
            <w:pPr>
              <w:jc w:val="right"/>
              <w:rPr>
                <w:rFonts w:ascii="CAIXA Std Book" w:eastAsia="Times New Roman" w:hAnsi="CAIXA Std Book" w:cs="Times New Roman"/>
                <w:b/>
                <w:bCs/>
                <w:color w:val="005CA9"/>
                <w:sz w:val="16"/>
                <w:szCs w:val="16"/>
              </w:rPr>
            </w:pPr>
            <w:r>
              <w:rPr>
                <w:rFonts w:ascii="CAIXA Std Book" w:hAnsi="CAIXA Std Book" w:cs="Arial"/>
                <w:b/>
                <w:bCs/>
                <w:color w:val="005CA9"/>
                <w:sz w:val="16"/>
                <w:szCs w:val="16"/>
              </w:rPr>
              <w:t>4.590.697</w:t>
            </w:r>
          </w:p>
        </w:tc>
      </w:tr>
      <w:tr w:rsidR="00A14B8D" w:rsidRPr="00A14B8D" w14:paraId="1DD1E7A4" w14:textId="77777777" w:rsidTr="00E8422C">
        <w:trPr>
          <w:trHeight w:val="283"/>
        </w:trPr>
        <w:tc>
          <w:tcPr>
            <w:tcW w:w="1305" w:type="pct"/>
            <w:tcBorders>
              <w:top w:val="nil"/>
              <w:left w:val="nil"/>
              <w:bottom w:val="nil"/>
              <w:right w:val="nil"/>
            </w:tcBorders>
            <w:shd w:val="clear" w:color="000000" w:fill="D0E0E3"/>
            <w:noWrap/>
            <w:vAlign w:val="center"/>
            <w:hideMark/>
          </w:tcPr>
          <w:p w14:paraId="30B12DE8" w14:textId="77777777" w:rsidR="00A14B8D" w:rsidRPr="00A14B8D" w:rsidRDefault="00A14B8D" w:rsidP="00A14B8D">
            <w:pPr>
              <w:rPr>
                <w:rFonts w:ascii="CAIXA Std Book" w:eastAsia="Times New Roman" w:hAnsi="CAIXA Std Book" w:cs="Times New Roman"/>
                <w:b/>
                <w:bCs/>
                <w:color w:val="005CA9"/>
                <w:sz w:val="16"/>
                <w:szCs w:val="16"/>
              </w:rPr>
            </w:pPr>
            <w:r w:rsidRPr="00A14B8D">
              <w:rPr>
                <w:rFonts w:ascii="CAIXA Std Book" w:eastAsia="Times New Roman" w:hAnsi="CAIXA Std Book" w:cs="Times New Roman"/>
                <w:b/>
                <w:bCs/>
                <w:color w:val="005CA9"/>
                <w:sz w:val="16"/>
                <w:szCs w:val="16"/>
              </w:rPr>
              <w:t>Cíveis (b.3)</w:t>
            </w:r>
          </w:p>
        </w:tc>
        <w:tc>
          <w:tcPr>
            <w:tcW w:w="584" w:type="pct"/>
            <w:tcBorders>
              <w:top w:val="nil"/>
              <w:left w:val="nil"/>
              <w:bottom w:val="single" w:sz="8" w:space="0" w:color="FFFFFF"/>
              <w:right w:val="nil"/>
            </w:tcBorders>
            <w:shd w:val="clear" w:color="000000" w:fill="D0E0E3"/>
            <w:noWrap/>
            <w:vAlign w:val="center"/>
            <w:hideMark/>
          </w:tcPr>
          <w:p w14:paraId="183AEDAF" w14:textId="77777777" w:rsidR="00A14B8D" w:rsidRPr="00A14B8D" w:rsidRDefault="00A14B8D" w:rsidP="00A14B8D">
            <w:pPr>
              <w:jc w:val="right"/>
              <w:rPr>
                <w:rFonts w:ascii="CAIXA Std Book" w:eastAsia="Times New Roman" w:hAnsi="CAIXA Std Book" w:cs="Times New Roman"/>
                <w:b/>
                <w:bCs/>
                <w:color w:val="005CA9"/>
                <w:sz w:val="16"/>
                <w:szCs w:val="16"/>
              </w:rPr>
            </w:pPr>
            <w:r w:rsidRPr="00A14B8D">
              <w:rPr>
                <w:rFonts w:ascii="CAIXA Std Book" w:eastAsia="Times New Roman" w:hAnsi="CAIXA Std Book" w:cs="Times New Roman"/>
                <w:b/>
                <w:bCs/>
                <w:color w:val="005CA9"/>
                <w:sz w:val="16"/>
                <w:szCs w:val="16"/>
              </w:rPr>
              <w:t>3.363.335</w:t>
            </w:r>
          </w:p>
        </w:tc>
        <w:tc>
          <w:tcPr>
            <w:tcW w:w="462" w:type="pct"/>
            <w:tcBorders>
              <w:top w:val="nil"/>
              <w:left w:val="nil"/>
              <w:bottom w:val="single" w:sz="8" w:space="0" w:color="FFFFFF"/>
              <w:right w:val="nil"/>
            </w:tcBorders>
            <w:shd w:val="clear" w:color="auto" w:fill="D0E0E3"/>
            <w:noWrap/>
            <w:vAlign w:val="center"/>
            <w:hideMark/>
          </w:tcPr>
          <w:p w14:paraId="27BD023B" w14:textId="20572EB5" w:rsidR="00A14B8D" w:rsidRPr="00A14B8D" w:rsidRDefault="00D8153E" w:rsidP="00A14B8D">
            <w:pPr>
              <w:jc w:val="right"/>
              <w:rPr>
                <w:rFonts w:ascii="CAIXA Std Book" w:eastAsia="Times New Roman" w:hAnsi="CAIXA Std Book" w:cs="Times New Roman"/>
                <w:b/>
                <w:bCs/>
                <w:color w:val="005CA9"/>
                <w:sz w:val="16"/>
                <w:szCs w:val="16"/>
              </w:rPr>
            </w:pPr>
            <w:r>
              <w:rPr>
                <w:rFonts w:ascii="CAIXA Std Book" w:hAnsi="CAIXA Std Book" w:cs="Arial"/>
                <w:b/>
                <w:bCs/>
                <w:color w:val="005CA9"/>
                <w:sz w:val="16"/>
                <w:szCs w:val="16"/>
              </w:rPr>
              <w:t>69.852</w:t>
            </w:r>
          </w:p>
        </w:tc>
        <w:tc>
          <w:tcPr>
            <w:tcW w:w="525" w:type="pct"/>
            <w:tcBorders>
              <w:top w:val="nil"/>
              <w:left w:val="nil"/>
              <w:bottom w:val="single" w:sz="8" w:space="0" w:color="FFFFFF"/>
              <w:right w:val="nil"/>
            </w:tcBorders>
            <w:shd w:val="clear" w:color="auto" w:fill="D0E0E3"/>
            <w:noWrap/>
            <w:vAlign w:val="center"/>
            <w:hideMark/>
          </w:tcPr>
          <w:p w14:paraId="190B58FE" w14:textId="75C6E86A" w:rsidR="00A14B8D" w:rsidRPr="00A14B8D" w:rsidRDefault="00D8153E" w:rsidP="00A14B8D">
            <w:pPr>
              <w:jc w:val="right"/>
              <w:rPr>
                <w:rFonts w:ascii="CAIXA Std Book" w:eastAsia="Times New Roman" w:hAnsi="CAIXA Std Book" w:cs="Times New Roman"/>
                <w:b/>
                <w:bCs/>
                <w:color w:val="005CA9"/>
                <w:sz w:val="16"/>
                <w:szCs w:val="16"/>
              </w:rPr>
            </w:pPr>
            <w:r>
              <w:rPr>
                <w:rFonts w:ascii="CAIXA Std Book" w:hAnsi="CAIXA Std Book" w:cs="Arial"/>
                <w:b/>
                <w:bCs/>
                <w:color w:val="005CA9"/>
                <w:sz w:val="16"/>
                <w:szCs w:val="16"/>
              </w:rPr>
              <w:t>25.606</w:t>
            </w:r>
          </w:p>
        </w:tc>
        <w:tc>
          <w:tcPr>
            <w:tcW w:w="529" w:type="pct"/>
            <w:tcBorders>
              <w:top w:val="nil"/>
              <w:left w:val="nil"/>
              <w:bottom w:val="single" w:sz="8" w:space="0" w:color="FFFFFF"/>
              <w:right w:val="nil"/>
            </w:tcBorders>
            <w:shd w:val="clear" w:color="auto" w:fill="D0E0E3"/>
            <w:noWrap/>
            <w:vAlign w:val="center"/>
            <w:hideMark/>
          </w:tcPr>
          <w:p w14:paraId="6361CDA8" w14:textId="2467CAC0" w:rsidR="00A14B8D" w:rsidRPr="00A14B8D" w:rsidRDefault="00D8153E" w:rsidP="00A14B8D">
            <w:pPr>
              <w:jc w:val="right"/>
              <w:rPr>
                <w:rFonts w:ascii="CAIXA Std Book" w:eastAsia="Times New Roman" w:hAnsi="CAIXA Std Book" w:cs="Times New Roman"/>
                <w:b/>
                <w:bCs/>
                <w:color w:val="005CA9"/>
                <w:sz w:val="16"/>
                <w:szCs w:val="16"/>
              </w:rPr>
            </w:pPr>
            <w:r>
              <w:rPr>
                <w:rFonts w:ascii="CAIXA Std Book" w:hAnsi="CAIXA Std Book" w:cs="Arial"/>
                <w:b/>
                <w:bCs/>
                <w:color w:val="005CA9"/>
                <w:sz w:val="16"/>
                <w:szCs w:val="16"/>
              </w:rPr>
              <w:t>431.212</w:t>
            </w:r>
          </w:p>
        </w:tc>
        <w:tc>
          <w:tcPr>
            <w:tcW w:w="507" w:type="pct"/>
            <w:tcBorders>
              <w:top w:val="nil"/>
              <w:left w:val="nil"/>
              <w:bottom w:val="single" w:sz="8" w:space="0" w:color="FFFFFF"/>
              <w:right w:val="nil"/>
            </w:tcBorders>
            <w:shd w:val="clear" w:color="auto" w:fill="D0E0E3"/>
            <w:noWrap/>
            <w:vAlign w:val="center"/>
            <w:hideMark/>
          </w:tcPr>
          <w:p w14:paraId="3A1B8783" w14:textId="3CD9F90C" w:rsidR="00A14B8D" w:rsidRPr="00A14B8D" w:rsidRDefault="00D8153E" w:rsidP="00A14B8D">
            <w:pPr>
              <w:jc w:val="right"/>
              <w:rPr>
                <w:rFonts w:ascii="CAIXA Std Book" w:eastAsia="Times New Roman" w:hAnsi="CAIXA Std Book" w:cs="Times New Roman"/>
                <w:b/>
                <w:bCs/>
                <w:color w:val="005CA9"/>
                <w:sz w:val="16"/>
                <w:szCs w:val="16"/>
              </w:rPr>
            </w:pPr>
            <w:r>
              <w:rPr>
                <w:rFonts w:ascii="CAIXA Std Book" w:hAnsi="CAIXA Std Book" w:cs="Arial"/>
                <w:b/>
                <w:bCs/>
                <w:color w:val="005CA9"/>
                <w:sz w:val="16"/>
                <w:szCs w:val="16"/>
              </w:rPr>
              <w:t>(208.782)</w:t>
            </w:r>
          </w:p>
        </w:tc>
        <w:tc>
          <w:tcPr>
            <w:tcW w:w="581" w:type="pct"/>
            <w:tcBorders>
              <w:top w:val="nil"/>
              <w:left w:val="nil"/>
              <w:bottom w:val="single" w:sz="8" w:space="0" w:color="FFFFFF"/>
              <w:right w:val="nil"/>
            </w:tcBorders>
            <w:shd w:val="clear" w:color="auto" w:fill="D0E0E3"/>
            <w:noWrap/>
            <w:vAlign w:val="center"/>
            <w:hideMark/>
          </w:tcPr>
          <w:p w14:paraId="4D2A927E" w14:textId="11341E46" w:rsidR="00A14B8D" w:rsidRPr="00A14B8D" w:rsidRDefault="00D8153E" w:rsidP="00A14B8D">
            <w:pPr>
              <w:jc w:val="right"/>
              <w:rPr>
                <w:rFonts w:ascii="CAIXA Std Book" w:eastAsia="Times New Roman" w:hAnsi="CAIXA Std Book" w:cs="Times New Roman"/>
                <w:b/>
                <w:bCs/>
                <w:color w:val="005CA9"/>
                <w:sz w:val="16"/>
                <w:szCs w:val="16"/>
              </w:rPr>
            </w:pPr>
            <w:r>
              <w:rPr>
                <w:rFonts w:ascii="CAIXA Std Book" w:hAnsi="CAIXA Std Book" w:cs="Arial"/>
                <w:b/>
                <w:bCs/>
                <w:color w:val="005CA9"/>
                <w:sz w:val="16"/>
                <w:szCs w:val="16"/>
              </w:rPr>
              <w:t>(262.179)</w:t>
            </w:r>
          </w:p>
        </w:tc>
        <w:tc>
          <w:tcPr>
            <w:tcW w:w="507" w:type="pct"/>
            <w:tcBorders>
              <w:top w:val="nil"/>
              <w:left w:val="nil"/>
              <w:bottom w:val="single" w:sz="8" w:space="0" w:color="FFFFFF"/>
              <w:right w:val="nil"/>
            </w:tcBorders>
            <w:shd w:val="clear" w:color="auto" w:fill="D0E0E3"/>
            <w:noWrap/>
            <w:vAlign w:val="center"/>
            <w:hideMark/>
          </w:tcPr>
          <w:p w14:paraId="7542C6CF" w14:textId="4326846F" w:rsidR="00A14B8D" w:rsidRPr="00A14B8D" w:rsidRDefault="00D8153E" w:rsidP="00A14B8D">
            <w:pPr>
              <w:jc w:val="right"/>
              <w:rPr>
                <w:rFonts w:ascii="CAIXA Std Book" w:eastAsia="Times New Roman" w:hAnsi="CAIXA Std Book" w:cs="Times New Roman"/>
                <w:b/>
                <w:bCs/>
                <w:color w:val="005CA9"/>
                <w:sz w:val="16"/>
                <w:szCs w:val="16"/>
              </w:rPr>
            </w:pPr>
            <w:r>
              <w:rPr>
                <w:rFonts w:ascii="CAIXA Std Book" w:hAnsi="CAIXA Std Book" w:cs="Arial"/>
                <w:b/>
                <w:bCs/>
                <w:color w:val="005CA9"/>
                <w:sz w:val="16"/>
                <w:szCs w:val="16"/>
              </w:rPr>
              <w:t>3.419.044</w:t>
            </w:r>
          </w:p>
        </w:tc>
      </w:tr>
      <w:tr w:rsidR="00A14B8D" w:rsidRPr="00A14B8D" w14:paraId="0AC1BAEE" w14:textId="77777777" w:rsidTr="00E8422C">
        <w:trPr>
          <w:trHeight w:val="283"/>
        </w:trPr>
        <w:tc>
          <w:tcPr>
            <w:tcW w:w="1305" w:type="pct"/>
            <w:tcBorders>
              <w:top w:val="nil"/>
              <w:left w:val="nil"/>
              <w:bottom w:val="nil"/>
              <w:right w:val="single" w:sz="8" w:space="0" w:color="FFFFFF"/>
            </w:tcBorders>
            <w:noWrap/>
            <w:vAlign w:val="center"/>
            <w:hideMark/>
          </w:tcPr>
          <w:p w14:paraId="18B03C8C" w14:textId="77777777" w:rsidR="00A14B8D" w:rsidRPr="00A14B8D" w:rsidRDefault="00A14B8D" w:rsidP="00A14B8D">
            <w:pPr>
              <w:ind w:firstLineChars="100" w:firstLine="160"/>
              <w:rPr>
                <w:rFonts w:ascii="CAIXA Std Book" w:eastAsia="Times New Roman" w:hAnsi="CAIXA Std Book" w:cs="Times New Roman"/>
                <w:color w:val="005CA9"/>
                <w:sz w:val="16"/>
                <w:szCs w:val="16"/>
              </w:rPr>
            </w:pPr>
            <w:r w:rsidRPr="00A14B8D">
              <w:rPr>
                <w:rFonts w:ascii="CAIXA Std Book" w:eastAsia="Times New Roman" w:hAnsi="CAIXA Std Book" w:cs="Times New Roman"/>
                <w:color w:val="005CA9"/>
                <w:sz w:val="16"/>
                <w:szCs w:val="16"/>
              </w:rPr>
              <w:t>Feitos diversos</w:t>
            </w:r>
          </w:p>
        </w:tc>
        <w:tc>
          <w:tcPr>
            <w:tcW w:w="584" w:type="pct"/>
            <w:tcBorders>
              <w:top w:val="nil"/>
              <w:left w:val="nil"/>
              <w:bottom w:val="nil"/>
              <w:right w:val="nil"/>
            </w:tcBorders>
            <w:vAlign w:val="center"/>
            <w:hideMark/>
          </w:tcPr>
          <w:p w14:paraId="3C0F82A7" w14:textId="77777777" w:rsidR="00A14B8D" w:rsidRPr="00A14B8D" w:rsidRDefault="00A14B8D" w:rsidP="00A14B8D">
            <w:pPr>
              <w:jc w:val="right"/>
              <w:rPr>
                <w:rFonts w:ascii="CAIXA Std Book" w:eastAsia="Times New Roman" w:hAnsi="CAIXA Std Book" w:cs="Times New Roman"/>
                <w:color w:val="005CA9"/>
                <w:sz w:val="16"/>
                <w:szCs w:val="16"/>
              </w:rPr>
            </w:pPr>
            <w:r w:rsidRPr="00A14B8D">
              <w:rPr>
                <w:rFonts w:ascii="CAIXA Std Book" w:eastAsia="Times New Roman" w:hAnsi="CAIXA Std Book" w:cs="Times New Roman"/>
                <w:color w:val="005CA9"/>
                <w:sz w:val="16"/>
                <w:szCs w:val="16"/>
              </w:rPr>
              <w:t>1.476.866</w:t>
            </w:r>
          </w:p>
        </w:tc>
        <w:tc>
          <w:tcPr>
            <w:tcW w:w="462" w:type="pct"/>
            <w:tcBorders>
              <w:top w:val="nil"/>
              <w:left w:val="nil"/>
              <w:bottom w:val="nil"/>
              <w:right w:val="nil"/>
            </w:tcBorders>
            <w:vAlign w:val="center"/>
            <w:hideMark/>
          </w:tcPr>
          <w:p w14:paraId="3A14188F" w14:textId="7A728676" w:rsidR="00A14B8D" w:rsidRPr="00A14B8D" w:rsidRDefault="00D8153E" w:rsidP="00A14B8D">
            <w:pPr>
              <w:jc w:val="right"/>
              <w:rPr>
                <w:rFonts w:ascii="CAIXA Std Book" w:eastAsia="Times New Roman" w:hAnsi="CAIXA Std Book" w:cs="Times New Roman"/>
                <w:color w:val="005CA9"/>
                <w:sz w:val="16"/>
                <w:szCs w:val="16"/>
              </w:rPr>
            </w:pPr>
            <w:r w:rsidRPr="00D8153E">
              <w:rPr>
                <w:rFonts w:ascii="CAIXA Std Book" w:hAnsi="CAIXA Std Book" w:cs="Arial"/>
                <w:color w:val="005CA9"/>
                <w:sz w:val="16"/>
                <w:szCs w:val="16"/>
              </w:rPr>
              <w:t>52.012</w:t>
            </w:r>
          </w:p>
        </w:tc>
        <w:tc>
          <w:tcPr>
            <w:tcW w:w="525" w:type="pct"/>
            <w:tcBorders>
              <w:top w:val="nil"/>
              <w:left w:val="nil"/>
              <w:bottom w:val="nil"/>
              <w:right w:val="nil"/>
            </w:tcBorders>
            <w:vAlign w:val="center"/>
            <w:hideMark/>
          </w:tcPr>
          <w:p w14:paraId="2FFF0243" w14:textId="2BD4E6A3"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12.877</w:t>
            </w:r>
          </w:p>
        </w:tc>
        <w:tc>
          <w:tcPr>
            <w:tcW w:w="529" w:type="pct"/>
            <w:tcBorders>
              <w:top w:val="nil"/>
              <w:left w:val="nil"/>
              <w:bottom w:val="nil"/>
              <w:right w:val="nil"/>
            </w:tcBorders>
            <w:vAlign w:val="center"/>
            <w:hideMark/>
          </w:tcPr>
          <w:p w14:paraId="650695C9" w14:textId="2DA51F1A"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241.886</w:t>
            </w:r>
          </w:p>
        </w:tc>
        <w:tc>
          <w:tcPr>
            <w:tcW w:w="507" w:type="pct"/>
            <w:tcBorders>
              <w:top w:val="nil"/>
              <w:left w:val="nil"/>
              <w:bottom w:val="nil"/>
              <w:right w:val="nil"/>
            </w:tcBorders>
            <w:vAlign w:val="center"/>
            <w:hideMark/>
          </w:tcPr>
          <w:p w14:paraId="48AD2ADE" w14:textId="32A6F446"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(135.297)</w:t>
            </w:r>
          </w:p>
        </w:tc>
        <w:tc>
          <w:tcPr>
            <w:tcW w:w="581" w:type="pct"/>
            <w:tcBorders>
              <w:top w:val="nil"/>
              <w:left w:val="nil"/>
              <w:bottom w:val="nil"/>
              <w:right w:val="nil"/>
            </w:tcBorders>
            <w:vAlign w:val="center"/>
            <w:hideMark/>
          </w:tcPr>
          <w:p w14:paraId="3652613D" w14:textId="49F5F460"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(153.693)</w:t>
            </w:r>
          </w:p>
        </w:tc>
        <w:tc>
          <w:tcPr>
            <w:tcW w:w="507" w:type="pct"/>
            <w:tcBorders>
              <w:top w:val="nil"/>
              <w:left w:val="nil"/>
              <w:bottom w:val="nil"/>
              <w:right w:val="nil"/>
            </w:tcBorders>
            <w:vAlign w:val="center"/>
            <w:hideMark/>
          </w:tcPr>
          <w:p w14:paraId="11692BCB" w14:textId="32A5B91C"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1.494.651</w:t>
            </w:r>
          </w:p>
        </w:tc>
      </w:tr>
      <w:tr w:rsidR="00A14B8D" w:rsidRPr="00A14B8D" w14:paraId="4AF4F3E3" w14:textId="77777777" w:rsidTr="00E8422C">
        <w:trPr>
          <w:trHeight w:val="283"/>
        </w:trPr>
        <w:tc>
          <w:tcPr>
            <w:tcW w:w="1305" w:type="pct"/>
            <w:tcBorders>
              <w:top w:val="nil"/>
              <w:left w:val="nil"/>
              <w:bottom w:val="nil"/>
              <w:right w:val="single" w:sz="8" w:space="0" w:color="FFFFFF"/>
            </w:tcBorders>
            <w:noWrap/>
            <w:vAlign w:val="center"/>
            <w:hideMark/>
          </w:tcPr>
          <w:p w14:paraId="452CE812" w14:textId="77777777" w:rsidR="00A14B8D" w:rsidRPr="00A14B8D" w:rsidRDefault="00A14B8D" w:rsidP="00A14B8D">
            <w:pPr>
              <w:ind w:firstLineChars="100" w:firstLine="160"/>
              <w:rPr>
                <w:rFonts w:ascii="CAIXA Std Book" w:eastAsia="Times New Roman" w:hAnsi="CAIXA Std Book" w:cs="Times New Roman"/>
                <w:color w:val="005CA9"/>
                <w:sz w:val="16"/>
                <w:szCs w:val="16"/>
              </w:rPr>
            </w:pPr>
            <w:r w:rsidRPr="00A14B8D">
              <w:rPr>
                <w:rFonts w:ascii="CAIXA Std Book" w:eastAsia="Times New Roman" w:hAnsi="CAIXA Std Book" w:cs="Times New Roman"/>
                <w:color w:val="005CA9"/>
                <w:sz w:val="16"/>
                <w:szCs w:val="16"/>
              </w:rPr>
              <w:t>Poupança – planos econômicos</w:t>
            </w:r>
          </w:p>
        </w:tc>
        <w:tc>
          <w:tcPr>
            <w:tcW w:w="584" w:type="pct"/>
            <w:tcBorders>
              <w:top w:val="nil"/>
              <w:left w:val="nil"/>
              <w:bottom w:val="nil"/>
              <w:right w:val="nil"/>
            </w:tcBorders>
            <w:vAlign w:val="center"/>
            <w:hideMark/>
          </w:tcPr>
          <w:p w14:paraId="66CFC970" w14:textId="77777777" w:rsidR="00A14B8D" w:rsidRPr="00A14B8D" w:rsidRDefault="00A14B8D" w:rsidP="00A14B8D">
            <w:pPr>
              <w:jc w:val="right"/>
              <w:rPr>
                <w:rFonts w:ascii="CAIXA Std Book" w:eastAsia="Times New Roman" w:hAnsi="CAIXA Std Book" w:cs="Times New Roman"/>
                <w:color w:val="005CA9"/>
                <w:sz w:val="16"/>
                <w:szCs w:val="16"/>
              </w:rPr>
            </w:pPr>
            <w:r w:rsidRPr="00A14B8D">
              <w:rPr>
                <w:rFonts w:ascii="CAIXA Std Book" w:eastAsia="Times New Roman" w:hAnsi="CAIXA Std Book" w:cs="Times New Roman"/>
                <w:color w:val="005CA9"/>
                <w:sz w:val="16"/>
                <w:szCs w:val="16"/>
              </w:rPr>
              <w:t>698.003</w:t>
            </w:r>
          </w:p>
        </w:tc>
        <w:tc>
          <w:tcPr>
            <w:tcW w:w="462" w:type="pct"/>
            <w:tcBorders>
              <w:top w:val="nil"/>
              <w:left w:val="nil"/>
              <w:bottom w:val="nil"/>
              <w:right w:val="nil"/>
            </w:tcBorders>
            <w:vAlign w:val="center"/>
            <w:hideMark/>
          </w:tcPr>
          <w:p w14:paraId="4C6FB1CB" w14:textId="1B94AEF5" w:rsidR="00A14B8D" w:rsidRPr="00A14B8D" w:rsidRDefault="00D8153E" w:rsidP="00A14B8D">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6.099</w:t>
            </w:r>
          </w:p>
        </w:tc>
        <w:tc>
          <w:tcPr>
            <w:tcW w:w="525" w:type="pct"/>
            <w:tcBorders>
              <w:top w:val="nil"/>
              <w:left w:val="nil"/>
              <w:bottom w:val="nil"/>
              <w:right w:val="nil"/>
            </w:tcBorders>
            <w:vAlign w:val="center"/>
            <w:hideMark/>
          </w:tcPr>
          <w:p w14:paraId="740485FF" w14:textId="0FB0E3FB"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1.906</w:t>
            </w:r>
          </w:p>
        </w:tc>
        <w:tc>
          <w:tcPr>
            <w:tcW w:w="529" w:type="pct"/>
            <w:tcBorders>
              <w:top w:val="nil"/>
              <w:left w:val="nil"/>
              <w:bottom w:val="nil"/>
              <w:right w:val="nil"/>
            </w:tcBorders>
            <w:vAlign w:val="center"/>
            <w:hideMark/>
          </w:tcPr>
          <w:p w14:paraId="6C956BE3" w14:textId="3AC0B053"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35.263</w:t>
            </w:r>
          </w:p>
        </w:tc>
        <w:tc>
          <w:tcPr>
            <w:tcW w:w="507" w:type="pct"/>
            <w:tcBorders>
              <w:top w:val="nil"/>
              <w:left w:val="nil"/>
              <w:bottom w:val="nil"/>
              <w:right w:val="nil"/>
            </w:tcBorders>
            <w:vAlign w:val="center"/>
            <w:hideMark/>
          </w:tcPr>
          <w:p w14:paraId="3B58E52B" w14:textId="0D3941CA"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(31.998)</w:t>
            </w:r>
          </w:p>
        </w:tc>
        <w:tc>
          <w:tcPr>
            <w:tcW w:w="581" w:type="pct"/>
            <w:tcBorders>
              <w:top w:val="nil"/>
              <w:left w:val="nil"/>
              <w:bottom w:val="nil"/>
              <w:right w:val="nil"/>
            </w:tcBorders>
            <w:vAlign w:val="center"/>
            <w:hideMark/>
          </w:tcPr>
          <w:p w14:paraId="5C5C6648" w14:textId="689D897E"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(37.248)</w:t>
            </w:r>
          </w:p>
        </w:tc>
        <w:tc>
          <w:tcPr>
            <w:tcW w:w="507" w:type="pct"/>
            <w:tcBorders>
              <w:top w:val="nil"/>
              <w:left w:val="nil"/>
              <w:bottom w:val="nil"/>
              <w:right w:val="nil"/>
            </w:tcBorders>
            <w:vAlign w:val="center"/>
            <w:hideMark/>
          </w:tcPr>
          <w:p w14:paraId="5FCCB2D1" w14:textId="58F462A6"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672.025</w:t>
            </w:r>
          </w:p>
        </w:tc>
      </w:tr>
      <w:tr w:rsidR="00A14B8D" w:rsidRPr="00A14B8D" w14:paraId="2CF6B24F" w14:textId="77777777" w:rsidTr="00E8422C">
        <w:trPr>
          <w:trHeight w:val="283"/>
        </w:trPr>
        <w:tc>
          <w:tcPr>
            <w:tcW w:w="1305" w:type="pct"/>
            <w:tcBorders>
              <w:top w:val="nil"/>
              <w:left w:val="nil"/>
              <w:bottom w:val="nil"/>
              <w:right w:val="single" w:sz="8" w:space="0" w:color="FFFFFF"/>
            </w:tcBorders>
            <w:noWrap/>
            <w:vAlign w:val="center"/>
            <w:hideMark/>
          </w:tcPr>
          <w:p w14:paraId="323D1DE3" w14:textId="77777777" w:rsidR="00A14B8D" w:rsidRPr="00A14B8D" w:rsidRDefault="00A14B8D" w:rsidP="00A14B8D">
            <w:pPr>
              <w:ind w:firstLineChars="100" w:firstLine="160"/>
              <w:rPr>
                <w:rFonts w:ascii="CAIXA Std Book" w:eastAsia="Times New Roman" w:hAnsi="CAIXA Std Book" w:cs="Times New Roman"/>
                <w:color w:val="005CA9"/>
                <w:sz w:val="16"/>
                <w:szCs w:val="16"/>
              </w:rPr>
            </w:pPr>
            <w:r w:rsidRPr="00A14B8D">
              <w:rPr>
                <w:rFonts w:ascii="CAIXA Std Book" w:eastAsia="Times New Roman" w:hAnsi="CAIXA Std Book" w:cs="Times New Roman"/>
                <w:color w:val="005CA9"/>
                <w:sz w:val="16"/>
                <w:szCs w:val="16"/>
              </w:rPr>
              <w:t>Contingenciamento do FGTS</w:t>
            </w:r>
          </w:p>
        </w:tc>
        <w:tc>
          <w:tcPr>
            <w:tcW w:w="584" w:type="pct"/>
            <w:tcBorders>
              <w:top w:val="nil"/>
              <w:left w:val="nil"/>
              <w:bottom w:val="nil"/>
              <w:right w:val="nil"/>
            </w:tcBorders>
            <w:vAlign w:val="center"/>
            <w:hideMark/>
          </w:tcPr>
          <w:p w14:paraId="6DB05FCF" w14:textId="77777777" w:rsidR="00A14B8D" w:rsidRPr="00A14B8D" w:rsidRDefault="00A14B8D" w:rsidP="00A14B8D">
            <w:pPr>
              <w:jc w:val="right"/>
              <w:rPr>
                <w:rFonts w:ascii="CAIXA Std Book" w:eastAsia="Times New Roman" w:hAnsi="CAIXA Std Book" w:cs="Times New Roman"/>
                <w:color w:val="005CA9"/>
                <w:sz w:val="16"/>
                <w:szCs w:val="16"/>
              </w:rPr>
            </w:pPr>
            <w:r w:rsidRPr="00A14B8D">
              <w:rPr>
                <w:rFonts w:ascii="CAIXA Std Book" w:eastAsia="Times New Roman" w:hAnsi="CAIXA Std Book" w:cs="Times New Roman"/>
                <w:color w:val="005CA9"/>
                <w:sz w:val="16"/>
                <w:szCs w:val="16"/>
              </w:rPr>
              <w:t>620.108</w:t>
            </w:r>
          </w:p>
        </w:tc>
        <w:tc>
          <w:tcPr>
            <w:tcW w:w="462" w:type="pct"/>
            <w:tcBorders>
              <w:top w:val="nil"/>
              <w:left w:val="nil"/>
              <w:bottom w:val="nil"/>
              <w:right w:val="nil"/>
            </w:tcBorders>
            <w:vAlign w:val="center"/>
            <w:hideMark/>
          </w:tcPr>
          <w:p w14:paraId="225879F1" w14:textId="741C5B6C" w:rsidR="00A14B8D" w:rsidRPr="00A14B8D" w:rsidRDefault="00D8153E" w:rsidP="0074002D">
            <w:pPr>
              <w:jc w:val="center"/>
              <w:rPr>
                <w:rFonts w:ascii="CAIXA Std Book" w:eastAsia="Times New Roman" w:hAnsi="CAIXA Std Book" w:cs="Times New Roman"/>
                <w:color w:val="005CA9"/>
                <w:sz w:val="16"/>
                <w:szCs w:val="16"/>
              </w:rPr>
            </w:pPr>
            <w:r>
              <w:rPr>
                <w:rFonts w:ascii="CAIXA Std Book" w:hAnsi="CAIXA Std Book" w:cs="Arial"/>
                <w:color w:val="005CA9"/>
                <w:sz w:val="16"/>
                <w:szCs w:val="16"/>
              </w:rPr>
              <w:t>-</w:t>
            </w:r>
          </w:p>
        </w:tc>
        <w:tc>
          <w:tcPr>
            <w:tcW w:w="525" w:type="pct"/>
            <w:tcBorders>
              <w:top w:val="nil"/>
              <w:left w:val="nil"/>
              <w:bottom w:val="nil"/>
              <w:right w:val="nil"/>
            </w:tcBorders>
            <w:vAlign w:val="center"/>
            <w:hideMark/>
          </w:tcPr>
          <w:p w14:paraId="374AE233" w14:textId="43E59152"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7.956</w:t>
            </w:r>
          </w:p>
        </w:tc>
        <w:tc>
          <w:tcPr>
            <w:tcW w:w="529" w:type="pct"/>
            <w:tcBorders>
              <w:top w:val="nil"/>
              <w:left w:val="nil"/>
              <w:bottom w:val="nil"/>
              <w:right w:val="nil"/>
            </w:tcBorders>
            <w:vAlign w:val="center"/>
            <w:hideMark/>
          </w:tcPr>
          <w:p w14:paraId="4ED49B96" w14:textId="277CD0E8" w:rsidR="00A14B8D" w:rsidRPr="00A14B8D" w:rsidRDefault="00D8153E" w:rsidP="0074002D">
            <w:pPr>
              <w:jc w:val="center"/>
              <w:rPr>
                <w:rFonts w:ascii="Times New Roman" w:eastAsia="Times New Roman" w:hAnsi="Times New Roman" w:cs="Times New Roman"/>
                <w:sz w:val="20"/>
                <w:szCs w:val="20"/>
              </w:rPr>
            </w:pPr>
            <w:r>
              <w:rPr>
                <w:rFonts w:ascii="CAIXA Std Book" w:hAnsi="CAIXA Std Book" w:cs="Arial"/>
                <w:color w:val="005CA9"/>
                <w:sz w:val="16"/>
                <w:szCs w:val="16"/>
              </w:rPr>
              <w:t>-</w:t>
            </w:r>
          </w:p>
        </w:tc>
        <w:tc>
          <w:tcPr>
            <w:tcW w:w="507" w:type="pct"/>
            <w:tcBorders>
              <w:top w:val="nil"/>
              <w:left w:val="nil"/>
              <w:bottom w:val="nil"/>
              <w:right w:val="nil"/>
            </w:tcBorders>
            <w:vAlign w:val="center"/>
            <w:hideMark/>
          </w:tcPr>
          <w:p w14:paraId="4D61BA42" w14:textId="5EFA5FA1" w:rsidR="00A14B8D" w:rsidRPr="00A14B8D" w:rsidRDefault="00D8153E" w:rsidP="0074002D">
            <w:pPr>
              <w:jc w:val="center"/>
              <w:rPr>
                <w:rFonts w:ascii="Times New Roman" w:eastAsia="Times New Roman" w:hAnsi="Times New Roman" w:cs="Times New Roman"/>
                <w:sz w:val="20"/>
                <w:szCs w:val="20"/>
              </w:rPr>
            </w:pPr>
            <w:r>
              <w:rPr>
                <w:rFonts w:ascii="CAIXA Std Book" w:hAnsi="CAIXA Std Book" w:cs="Arial"/>
                <w:color w:val="005CA9"/>
                <w:sz w:val="16"/>
                <w:szCs w:val="16"/>
              </w:rPr>
              <w:t>-</w:t>
            </w:r>
          </w:p>
        </w:tc>
        <w:tc>
          <w:tcPr>
            <w:tcW w:w="581" w:type="pct"/>
            <w:tcBorders>
              <w:top w:val="nil"/>
              <w:left w:val="nil"/>
              <w:bottom w:val="nil"/>
              <w:right w:val="nil"/>
            </w:tcBorders>
            <w:vAlign w:val="center"/>
            <w:hideMark/>
          </w:tcPr>
          <w:p w14:paraId="39335DFA" w14:textId="46338139"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(6.868)</w:t>
            </w:r>
          </w:p>
        </w:tc>
        <w:tc>
          <w:tcPr>
            <w:tcW w:w="507" w:type="pct"/>
            <w:tcBorders>
              <w:top w:val="nil"/>
              <w:left w:val="nil"/>
              <w:bottom w:val="nil"/>
              <w:right w:val="nil"/>
            </w:tcBorders>
            <w:vAlign w:val="center"/>
            <w:hideMark/>
          </w:tcPr>
          <w:p w14:paraId="02A91E29" w14:textId="03C27A25"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621.196</w:t>
            </w:r>
          </w:p>
        </w:tc>
      </w:tr>
      <w:tr w:rsidR="00A14B8D" w:rsidRPr="00A14B8D" w14:paraId="368777EA" w14:textId="77777777" w:rsidTr="00E8422C">
        <w:trPr>
          <w:trHeight w:val="283"/>
        </w:trPr>
        <w:tc>
          <w:tcPr>
            <w:tcW w:w="1305" w:type="pct"/>
            <w:tcBorders>
              <w:top w:val="nil"/>
              <w:left w:val="nil"/>
              <w:bottom w:val="nil"/>
              <w:right w:val="single" w:sz="8" w:space="0" w:color="FFFFFF"/>
            </w:tcBorders>
            <w:noWrap/>
            <w:vAlign w:val="center"/>
            <w:hideMark/>
          </w:tcPr>
          <w:p w14:paraId="0F234903" w14:textId="77777777" w:rsidR="00A14B8D" w:rsidRPr="00A14B8D" w:rsidRDefault="00A14B8D" w:rsidP="00A14B8D">
            <w:pPr>
              <w:ind w:firstLineChars="100" w:firstLine="160"/>
              <w:rPr>
                <w:rFonts w:ascii="CAIXA Std Book" w:eastAsia="Times New Roman" w:hAnsi="CAIXA Std Book" w:cs="Times New Roman"/>
                <w:color w:val="005CA9"/>
                <w:sz w:val="16"/>
                <w:szCs w:val="16"/>
              </w:rPr>
            </w:pPr>
            <w:r w:rsidRPr="00A14B8D">
              <w:rPr>
                <w:rFonts w:ascii="CAIXA Std Book" w:eastAsia="Times New Roman" w:hAnsi="CAIXA Std Book" w:cs="Times New Roman"/>
                <w:color w:val="005CA9"/>
                <w:sz w:val="16"/>
                <w:szCs w:val="16"/>
              </w:rPr>
              <w:t>Habitacional</w:t>
            </w:r>
          </w:p>
        </w:tc>
        <w:tc>
          <w:tcPr>
            <w:tcW w:w="584" w:type="pct"/>
            <w:tcBorders>
              <w:top w:val="nil"/>
              <w:left w:val="nil"/>
              <w:bottom w:val="nil"/>
              <w:right w:val="nil"/>
            </w:tcBorders>
            <w:vAlign w:val="center"/>
            <w:hideMark/>
          </w:tcPr>
          <w:p w14:paraId="57B4A712" w14:textId="77777777" w:rsidR="00A14B8D" w:rsidRPr="00A14B8D" w:rsidRDefault="00A14B8D" w:rsidP="00A14B8D">
            <w:pPr>
              <w:jc w:val="right"/>
              <w:rPr>
                <w:rFonts w:ascii="CAIXA Std Book" w:eastAsia="Times New Roman" w:hAnsi="CAIXA Std Book" w:cs="Times New Roman"/>
                <w:color w:val="005CA9"/>
                <w:sz w:val="16"/>
                <w:szCs w:val="16"/>
              </w:rPr>
            </w:pPr>
            <w:r w:rsidRPr="00A14B8D">
              <w:rPr>
                <w:rFonts w:ascii="CAIXA Std Book" w:eastAsia="Times New Roman" w:hAnsi="CAIXA Std Book" w:cs="Times New Roman"/>
                <w:color w:val="005CA9"/>
                <w:sz w:val="16"/>
                <w:szCs w:val="16"/>
              </w:rPr>
              <w:t>568.358</w:t>
            </w:r>
          </w:p>
        </w:tc>
        <w:tc>
          <w:tcPr>
            <w:tcW w:w="462" w:type="pct"/>
            <w:tcBorders>
              <w:top w:val="nil"/>
              <w:left w:val="nil"/>
              <w:bottom w:val="nil"/>
              <w:right w:val="nil"/>
            </w:tcBorders>
            <w:vAlign w:val="center"/>
            <w:hideMark/>
          </w:tcPr>
          <w:p w14:paraId="487A331B" w14:textId="34F62B77" w:rsidR="00A14B8D" w:rsidRPr="00A14B8D" w:rsidRDefault="00D8153E" w:rsidP="00A14B8D">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11.741</w:t>
            </w:r>
          </w:p>
        </w:tc>
        <w:tc>
          <w:tcPr>
            <w:tcW w:w="525" w:type="pct"/>
            <w:tcBorders>
              <w:top w:val="nil"/>
              <w:left w:val="nil"/>
              <w:bottom w:val="nil"/>
              <w:right w:val="nil"/>
            </w:tcBorders>
            <w:vAlign w:val="center"/>
            <w:hideMark/>
          </w:tcPr>
          <w:p w14:paraId="13077D49" w14:textId="69898D7A"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2.867</w:t>
            </w:r>
          </w:p>
        </w:tc>
        <w:tc>
          <w:tcPr>
            <w:tcW w:w="529" w:type="pct"/>
            <w:tcBorders>
              <w:top w:val="nil"/>
              <w:left w:val="nil"/>
              <w:bottom w:val="nil"/>
              <w:right w:val="nil"/>
            </w:tcBorders>
            <w:vAlign w:val="center"/>
            <w:hideMark/>
          </w:tcPr>
          <w:p w14:paraId="215E1145" w14:textId="373E23BE"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154.063</w:t>
            </w:r>
          </w:p>
        </w:tc>
        <w:tc>
          <w:tcPr>
            <w:tcW w:w="507" w:type="pct"/>
            <w:tcBorders>
              <w:top w:val="nil"/>
              <w:left w:val="nil"/>
              <w:bottom w:val="nil"/>
              <w:right w:val="nil"/>
            </w:tcBorders>
            <w:vAlign w:val="center"/>
            <w:hideMark/>
          </w:tcPr>
          <w:p w14:paraId="30C93CF0" w14:textId="65EDEF69"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(41.487)</w:t>
            </w:r>
          </w:p>
        </w:tc>
        <w:tc>
          <w:tcPr>
            <w:tcW w:w="581" w:type="pct"/>
            <w:tcBorders>
              <w:top w:val="nil"/>
              <w:left w:val="nil"/>
              <w:bottom w:val="nil"/>
              <w:right w:val="nil"/>
            </w:tcBorders>
            <w:vAlign w:val="center"/>
            <w:hideMark/>
          </w:tcPr>
          <w:p w14:paraId="333397DC" w14:textId="7406829B"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(64.370)</w:t>
            </w:r>
          </w:p>
        </w:tc>
        <w:tc>
          <w:tcPr>
            <w:tcW w:w="507" w:type="pct"/>
            <w:tcBorders>
              <w:top w:val="nil"/>
              <w:left w:val="nil"/>
              <w:bottom w:val="nil"/>
              <w:right w:val="nil"/>
            </w:tcBorders>
            <w:vAlign w:val="center"/>
            <w:hideMark/>
          </w:tcPr>
          <w:p w14:paraId="5D559023" w14:textId="3C747D57"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631.172</w:t>
            </w:r>
          </w:p>
        </w:tc>
      </w:tr>
      <w:tr w:rsidR="00A14B8D" w:rsidRPr="00A14B8D" w14:paraId="71ED6F78" w14:textId="77777777" w:rsidTr="00E8422C">
        <w:trPr>
          <w:trHeight w:val="283"/>
        </w:trPr>
        <w:tc>
          <w:tcPr>
            <w:tcW w:w="1305" w:type="pct"/>
            <w:tcBorders>
              <w:top w:val="nil"/>
              <w:left w:val="nil"/>
              <w:bottom w:val="nil"/>
              <w:right w:val="nil"/>
            </w:tcBorders>
            <w:shd w:val="clear" w:color="000000" w:fill="D0E0E3"/>
            <w:noWrap/>
            <w:vAlign w:val="center"/>
            <w:hideMark/>
          </w:tcPr>
          <w:p w14:paraId="061026C0" w14:textId="77777777" w:rsidR="00A14B8D" w:rsidRPr="00A14B8D" w:rsidRDefault="00A14B8D" w:rsidP="00A14B8D">
            <w:pPr>
              <w:rPr>
                <w:rFonts w:ascii="CAIXA Std Book" w:eastAsia="Times New Roman" w:hAnsi="CAIXA Std Book" w:cs="Times New Roman"/>
                <w:b/>
                <w:bCs/>
                <w:color w:val="005CA9"/>
                <w:sz w:val="16"/>
                <w:szCs w:val="16"/>
              </w:rPr>
            </w:pPr>
            <w:r w:rsidRPr="00A14B8D">
              <w:rPr>
                <w:rFonts w:ascii="CAIXA Std Book" w:eastAsia="Times New Roman" w:hAnsi="CAIXA Std Book" w:cs="Times New Roman"/>
                <w:b/>
                <w:bCs/>
                <w:color w:val="005CA9"/>
                <w:sz w:val="16"/>
                <w:szCs w:val="16"/>
              </w:rPr>
              <w:t>Fiscais (b.4)</w:t>
            </w:r>
          </w:p>
        </w:tc>
        <w:tc>
          <w:tcPr>
            <w:tcW w:w="584" w:type="pct"/>
            <w:tcBorders>
              <w:top w:val="nil"/>
              <w:left w:val="nil"/>
              <w:bottom w:val="nil"/>
              <w:right w:val="nil"/>
            </w:tcBorders>
            <w:shd w:val="clear" w:color="000000" w:fill="D0E0E3"/>
            <w:noWrap/>
            <w:vAlign w:val="center"/>
            <w:hideMark/>
          </w:tcPr>
          <w:p w14:paraId="34AB45F4" w14:textId="77777777" w:rsidR="00A14B8D" w:rsidRPr="00A14B8D" w:rsidRDefault="00A14B8D" w:rsidP="00A14B8D">
            <w:pPr>
              <w:jc w:val="right"/>
              <w:rPr>
                <w:rFonts w:ascii="CAIXA Std Book" w:eastAsia="Times New Roman" w:hAnsi="CAIXA Std Book" w:cs="Times New Roman"/>
                <w:b/>
                <w:bCs/>
                <w:color w:val="005CA9"/>
                <w:sz w:val="16"/>
                <w:szCs w:val="16"/>
              </w:rPr>
            </w:pPr>
            <w:r w:rsidRPr="00A14B8D">
              <w:rPr>
                <w:rFonts w:ascii="CAIXA Std Book" w:eastAsia="Times New Roman" w:hAnsi="CAIXA Std Book" w:cs="Times New Roman"/>
                <w:b/>
                <w:bCs/>
                <w:color w:val="005CA9"/>
                <w:sz w:val="16"/>
                <w:szCs w:val="16"/>
              </w:rPr>
              <w:t>678.627</w:t>
            </w:r>
          </w:p>
        </w:tc>
        <w:tc>
          <w:tcPr>
            <w:tcW w:w="462" w:type="pct"/>
            <w:tcBorders>
              <w:top w:val="nil"/>
              <w:left w:val="nil"/>
              <w:bottom w:val="nil"/>
              <w:right w:val="nil"/>
            </w:tcBorders>
            <w:shd w:val="clear" w:color="auto" w:fill="D0E0E3"/>
            <w:noWrap/>
            <w:vAlign w:val="center"/>
            <w:hideMark/>
          </w:tcPr>
          <w:p w14:paraId="29A76FF1" w14:textId="062D20A2" w:rsidR="00A14B8D" w:rsidRPr="00A14B8D" w:rsidRDefault="00D8153E" w:rsidP="00A14B8D">
            <w:pPr>
              <w:jc w:val="right"/>
              <w:rPr>
                <w:rFonts w:ascii="CAIXA Std Book" w:eastAsia="Times New Roman" w:hAnsi="CAIXA Std Book" w:cs="Times New Roman"/>
                <w:b/>
                <w:bCs/>
                <w:color w:val="005CA9"/>
                <w:sz w:val="16"/>
                <w:szCs w:val="16"/>
              </w:rPr>
            </w:pPr>
            <w:r>
              <w:rPr>
                <w:rFonts w:ascii="CAIXA Std Book" w:hAnsi="CAIXA Std Book" w:cs="Arial"/>
                <w:b/>
                <w:bCs/>
                <w:color w:val="005CA9"/>
                <w:sz w:val="16"/>
                <w:szCs w:val="16"/>
              </w:rPr>
              <w:t>14.992</w:t>
            </w:r>
          </w:p>
        </w:tc>
        <w:tc>
          <w:tcPr>
            <w:tcW w:w="525" w:type="pct"/>
            <w:tcBorders>
              <w:top w:val="nil"/>
              <w:left w:val="nil"/>
              <w:bottom w:val="nil"/>
              <w:right w:val="nil"/>
            </w:tcBorders>
            <w:shd w:val="clear" w:color="auto" w:fill="D0E0E3"/>
            <w:noWrap/>
            <w:vAlign w:val="center"/>
            <w:hideMark/>
          </w:tcPr>
          <w:p w14:paraId="177E4346" w14:textId="7E64BDAD" w:rsidR="00A14B8D" w:rsidRPr="00A14B8D" w:rsidRDefault="00D8153E" w:rsidP="00A14B8D">
            <w:pPr>
              <w:jc w:val="right"/>
              <w:rPr>
                <w:rFonts w:ascii="CAIXA Std Book" w:eastAsia="Times New Roman" w:hAnsi="CAIXA Std Book" w:cs="Times New Roman"/>
                <w:b/>
                <w:bCs/>
                <w:color w:val="005CA9"/>
                <w:sz w:val="16"/>
                <w:szCs w:val="16"/>
              </w:rPr>
            </w:pPr>
            <w:r>
              <w:rPr>
                <w:rFonts w:ascii="CAIXA Std Book" w:hAnsi="CAIXA Std Book" w:cs="Arial"/>
                <w:b/>
                <w:bCs/>
                <w:color w:val="005CA9"/>
                <w:sz w:val="16"/>
                <w:szCs w:val="16"/>
              </w:rPr>
              <w:t>8.541</w:t>
            </w:r>
          </w:p>
        </w:tc>
        <w:tc>
          <w:tcPr>
            <w:tcW w:w="529" w:type="pct"/>
            <w:tcBorders>
              <w:top w:val="nil"/>
              <w:left w:val="nil"/>
              <w:bottom w:val="nil"/>
              <w:right w:val="nil"/>
            </w:tcBorders>
            <w:shd w:val="clear" w:color="auto" w:fill="D0E0E3"/>
            <w:noWrap/>
            <w:vAlign w:val="center"/>
            <w:hideMark/>
          </w:tcPr>
          <w:p w14:paraId="61E79C49" w14:textId="5E5E69EA" w:rsidR="00A14B8D" w:rsidRPr="00A14B8D" w:rsidRDefault="00D8153E" w:rsidP="00A14B8D">
            <w:pPr>
              <w:jc w:val="right"/>
              <w:rPr>
                <w:rFonts w:ascii="CAIXA Std Book" w:eastAsia="Times New Roman" w:hAnsi="CAIXA Std Book" w:cs="Times New Roman"/>
                <w:b/>
                <w:bCs/>
                <w:color w:val="005CA9"/>
                <w:sz w:val="16"/>
                <w:szCs w:val="16"/>
              </w:rPr>
            </w:pPr>
            <w:r>
              <w:rPr>
                <w:rFonts w:ascii="CAIXA Std Book" w:hAnsi="CAIXA Std Book" w:cs="Arial"/>
                <w:b/>
                <w:bCs/>
                <w:color w:val="005CA9"/>
                <w:sz w:val="16"/>
                <w:szCs w:val="16"/>
              </w:rPr>
              <w:t>17.982</w:t>
            </w:r>
          </w:p>
        </w:tc>
        <w:tc>
          <w:tcPr>
            <w:tcW w:w="507" w:type="pct"/>
            <w:tcBorders>
              <w:top w:val="nil"/>
              <w:left w:val="nil"/>
              <w:bottom w:val="nil"/>
              <w:right w:val="nil"/>
            </w:tcBorders>
            <w:shd w:val="clear" w:color="auto" w:fill="D0E0E3"/>
            <w:noWrap/>
            <w:vAlign w:val="center"/>
            <w:hideMark/>
          </w:tcPr>
          <w:p w14:paraId="0D637DC8" w14:textId="67122221" w:rsidR="00A14B8D" w:rsidRPr="00A14B8D" w:rsidRDefault="00D8153E" w:rsidP="00A14B8D">
            <w:pPr>
              <w:jc w:val="right"/>
              <w:rPr>
                <w:rFonts w:ascii="CAIXA Std Book" w:eastAsia="Times New Roman" w:hAnsi="CAIXA Std Book" w:cs="Times New Roman"/>
                <w:b/>
                <w:bCs/>
                <w:color w:val="005CA9"/>
                <w:sz w:val="16"/>
                <w:szCs w:val="16"/>
              </w:rPr>
            </w:pPr>
            <w:r>
              <w:rPr>
                <w:rFonts w:ascii="CAIXA Std Book" w:hAnsi="CAIXA Std Book" w:cs="Arial"/>
                <w:b/>
                <w:bCs/>
                <w:color w:val="005CA9"/>
                <w:sz w:val="16"/>
                <w:szCs w:val="16"/>
              </w:rPr>
              <w:t>(72.122)</w:t>
            </w:r>
          </w:p>
        </w:tc>
        <w:tc>
          <w:tcPr>
            <w:tcW w:w="581" w:type="pct"/>
            <w:tcBorders>
              <w:top w:val="nil"/>
              <w:left w:val="nil"/>
              <w:bottom w:val="nil"/>
              <w:right w:val="nil"/>
            </w:tcBorders>
            <w:shd w:val="clear" w:color="auto" w:fill="D0E0E3"/>
            <w:noWrap/>
            <w:vAlign w:val="center"/>
            <w:hideMark/>
          </w:tcPr>
          <w:p w14:paraId="3CDD0C4A" w14:textId="3DB429F3" w:rsidR="00A14B8D" w:rsidRPr="00A14B8D" w:rsidRDefault="00D8153E" w:rsidP="00A14B8D">
            <w:pPr>
              <w:jc w:val="right"/>
              <w:rPr>
                <w:rFonts w:ascii="CAIXA Std Book" w:eastAsia="Times New Roman" w:hAnsi="CAIXA Std Book" w:cs="Times New Roman"/>
                <w:b/>
                <w:bCs/>
                <w:color w:val="005CA9"/>
                <w:sz w:val="16"/>
                <w:szCs w:val="16"/>
              </w:rPr>
            </w:pPr>
            <w:r>
              <w:rPr>
                <w:rFonts w:ascii="CAIXA Std Book" w:hAnsi="CAIXA Std Book" w:cs="Arial"/>
                <w:b/>
                <w:bCs/>
                <w:color w:val="005CA9"/>
                <w:sz w:val="16"/>
                <w:szCs w:val="16"/>
              </w:rPr>
              <w:t>(7.872)</w:t>
            </w:r>
          </w:p>
        </w:tc>
        <w:tc>
          <w:tcPr>
            <w:tcW w:w="507" w:type="pct"/>
            <w:tcBorders>
              <w:top w:val="nil"/>
              <w:left w:val="nil"/>
              <w:bottom w:val="nil"/>
              <w:right w:val="nil"/>
            </w:tcBorders>
            <w:shd w:val="clear" w:color="auto" w:fill="D0E0E3"/>
            <w:noWrap/>
            <w:vAlign w:val="center"/>
            <w:hideMark/>
          </w:tcPr>
          <w:p w14:paraId="072D5A4A" w14:textId="56808450" w:rsidR="00A14B8D" w:rsidRPr="00A14B8D" w:rsidRDefault="00D8153E" w:rsidP="00A14B8D">
            <w:pPr>
              <w:jc w:val="right"/>
              <w:rPr>
                <w:rFonts w:ascii="CAIXA Std Book" w:eastAsia="Times New Roman" w:hAnsi="CAIXA Std Book" w:cs="Times New Roman"/>
                <w:b/>
                <w:bCs/>
                <w:color w:val="005CA9"/>
                <w:sz w:val="16"/>
                <w:szCs w:val="16"/>
              </w:rPr>
            </w:pPr>
            <w:r>
              <w:rPr>
                <w:rFonts w:ascii="CAIXA Std Book" w:hAnsi="CAIXA Std Book" w:cs="Arial"/>
                <w:b/>
                <w:bCs/>
                <w:color w:val="005CA9"/>
                <w:sz w:val="16"/>
                <w:szCs w:val="16"/>
              </w:rPr>
              <w:t>640.148</w:t>
            </w:r>
          </w:p>
        </w:tc>
      </w:tr>
      <w:tr w:rsidR="00A14B8D" w:rsidRPr="00A14B8D" w14:paraId="6BC2C1FC" w14:textId="77777777" w:rsidTr="00E8422C">
        <w:trPr>
          <w:trHeight w:val="283"/>
        </w:trPr>
        <w:tc>
          <w:tcPr>
            <w:tcW w:w="1305" w:type="pct"/>
            <w:tcBorders>
              <w:top w:val="nil"/>
              <w:left w:val="nil"/>
              <w:bottom w:val="nil"/>
              <w:right w:val="single" w:sz="8" w:space="0" w:color="FFFFFF"/>
            </w:tcBorders>
            <w:noWrap/>
            <w:vAlign w:val="center"/>
            <w:hideMark/>
          </w:tcPr>
          <w:p w14:paraId="3CDA3D57" w14:textId="77777777" w:rsidR="00A14B8D" w:rsidRPr="00A14B8D" w:rsidRDefault="00A14B8D" w:rsidP="00A14B8D">
            <w:pPr>
              <w:ind w:firstLineChars="100" w:firstLine="160"/>
              <w:rPr>
                <w:rFonts w:ascii="CAIXA Std Book" w:eastAsia="Times New Roman" w:hAnsi="CAIXA Std Book" w:cs="Times New Roman"/>
                <w:color w:val="005CA9"/>
                <w:sz w:val="16"/>
                <w:szCs w:val="16"/>
              </w:rPr>
            </w:pPr>
            <w:r w:rsidRPr="00A14B8D">
              <w:rPr>
                <w:rFonts w:ascii="CAIXA Std Book" w:eastAsia="Times New Roman" w:hAnsi="CAIXA Std Book" w:cs="Times New Roman"/>
                <w:color w:val="005CA9"/>
                <w:sz w:val="16"/>
                <w:szCs w:val="16"/>
              </w:rPr>
              <w:t>ISSQN</w:t>
            </w:r>
          </w:p>
        </w:tc>
        <w:tc>
          <w:tcPr>
            <w:tcW w:w="584" w:type="pct"/>
            <w:tcBorders>
              <w:top w:val="nil"/>
              <w:left w:val="nil"/>
              <w:bottom w:val="nil"/>
              <w:right w:val="nil"/>
            </w:tcBorders>
            <w:vAlign w:val="center"/>
            <w:hideMark/>
          </w:tcPr>
          <w:p w14:paraId="1B6FF811" w14:textId="77777777" w:rsidR="00A14B8D" w:rsidRPr="00A14B8D" w:rsidRDefault="00A14B8D" w:rsidP="00A14B8D">
            <w:pPr>
              <w:jc w:val="right"/>
              <w:rPr>
                <w:rFonts w:ascii="CAIXA Std Book" w:eastAsia="Times New Roman" w:hAnsi="CAIXA Std Book" w:cs="Times New Roman"/>
                <w:color w:val="005CA9"/>
                <w:sz w:val="16"/>
                <w:szCs w:val="16"/>
              </w:rPr>
            </w:pPr>
            <w:r w:rsidRPr="00A14B8D">
              <w:rPr>
                <w:rFonts w:ascii="CAIXA Std Book" w:eastAsia="Times New Roman" w:hAnsi="CAIXA Std Book" w:cs="Times New Roman"/>
                <w:color w:val="005CA9"/>
                <w:sz w:val="16"/>
                <w:szCs w:val="16"/>
              </w:rPr>
              <w:t>417.462</w:t>
            </w:r>
          </w:p>
        </w:tc>
        <w:tc>
          <w:tcPr>
            <w:tcW w:w="462" w:type="pct"/>
            <w:tcBorders>
              <w:top w:val="nil"/>
              <w:left w:val="nil"/>
              <w:bottom w:val="nil"/>
              <w:right w:val="nil"/>
            </w:tcBorders>
            <w:vAlign w:val="center"/>
            <w:hideMark/>
          </w:tcPr>
          <w:p w14:paraId="318C6644" w14:textId="6CADC211" w:rsidR="00A14B8D" w:rsidRPr="00A14B8D" w:rsidRDefault="00D8153E" w:rsidP="00A14B8D">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5.289</w:t>
            </w:r>
          </w:p>
        </w:tc>
        <w:tc>
          <w:tcPr>
            <w:tcW w:w="525" w:type="pct"/>
            <w:tcBorders>
              <w:top w:val="nil"/>
              <w:left w:val="nil"/>
              <w:bottom w:val="nil"/>
              <w:right w:val="nil"/>
            </w:tcBorders>
            <w:vAlign w:val="center"/>
            <w:hideMark/>
          </w:tcPr>
          <w:p w14:paraId="723BFA1E" w14:textId="19C04285"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6.502</w:t>
            </w:r>
          </w:p>
        </w:tc>
        <w:tc>
          <w:tcPr>
            <w:tcW w:w="529" w:type="pct"/>
            <w:tcBorders>
              <w:top w:val="nil"/>
              <w:left w:val="nil"/>
              <w:bottom w:val="nil"/>
              <w:right w:val="nil"/>
            </w:tcBorders>
            <w:vAlign w:val="center"/>
            <w:hideMark/>
          </w:tcPr>
          <w:p w14:paraId="01F752AE" w14:textId="39313786"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7.125</w:t>
            </w:r>
          </w:p>
        </w:tc>
        <w:tc>
          <w:tcPr>
            <w:tcW w:w="507" w:type="pct"/>
            <w:tcBorders>
              <w:top w:val="nil"/>
              <w:left w:val="nil"/>
              <w:bottom w:val="nil"/>
              <w:right w:val="nil"/>
            </w:tcBorders>
            <w:vAlign w:val="center"/>
            <w:hideMark/>
          </w:tcPr>
          <w:p w14:paraId="082B8168" w14:textId="302BEB9E"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(64.328)</w:t>
            </w:r>
          </w:p>
        </w:tc>
        <w:tc>
          <w:tcPr>
            <w:tcW w:w="581" w:type="pct"/>
            <w:tcBorders>
              <w:top w:val="nil"/>
              <w:left w:val="nil"/>
              <w:bottom w:val="nil"/>
              <w:right w:val="nil"/>
            </w:tcBorders>
            <w:vAlign w:val="center"/>
            <w:hideMark/>
          </w:tcPr>
          <w:p w14:paraId="08101BFF" w14:textId="1FFAE15F"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(3.620)</w:t>
            </w:r>
          </w:p>
        </w:tc>
        <w:tc>
          <w:tcPr>
            <w:tcW w:w="507" w:type="pct"/>
            <w:tcBorders>
              <w:top w:val="nil"/>
              <w:left w:val="nil"/>
              <w:bottom w:val="nil"/>
              <w:right w:val="nil"/>
            </w:tcBorders>
            <w:vAlign w:val="center"/>
            <w:hideMark/>
          </w:tcPr>
          <w:p w14:paraId="6D0ECC5B" w14:textId="267078E1"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368.430</w:t>
            </w:r>
          </w:p>
        </w:tc>
      </w:tr>
      <w:tr w:rsidR="00A14B8D" w:rsidRPr="00A14B8D" w14:paraId="595CF7D5" w14:textId="77777777" w:rsidTr="00E8422C">
        <w:trPr>
          <w:trHeight w:val="283"/>
        </w:trPr>
        <w:tc>
          <w:tcPr>
            <w:tcW w:w="1305" w:type="pct"/>
            <w:tcBorders>
              <w:top w:val="nil"/>
              <w:left w:val="nil"/>
              <w:bottom w:val="nil"/>
              <w:right w:val="single" w:sz="8" w:space="0" w:color="FFFFFF"/>
            </w:tcBorders>
            <w:noWrap/>
            <w:vAlign w:val="center"/>
            <w:hideMark/>
          </w:tcPr>
          <w:p w14:paraId="2998CE52" w14:textId="77777777" w:rsidR="00A14B8D" w:rsidRPr="00A14B8D" w:rsidRDefault="00A14B8D" w:rsidP="00A14B8D">
            <w:pPr>
              <w:ind w:firstLineChars="100" w:firstLine="160"/>
              <w:rPr>
                <w:rFonts w:ascii="CAIXA Std Book" w:eastAsia="Times New Roman" w:hAnsi="CAIXA Std Book" w:cs="Times New Roman"/>
                <w:color w:val="005CA9"/>
                <w:sz w:val="16"/>
                <w:szCs w:val="16"/>
              </w:rPr>
            </w:pPr>
            <w:r w:rsidRPr="00A14B8D">
              <w:rPr>
                <w:rFonts w:ascii="CAIXA Std Book" w:eastAsia="Times New Roman" w:hAnsi="CAIXA Std Book" w:cs="Times New Roman"/>
                <w:color w:val="005CA9"/>
                <w:sz w:val="16"/>
                <w:szCs w:val="16"/>
              </w:rPr>
              <w:t>INSS</w:t>
            </w:r>
          </w:p>
        </w:tc>
        <w:tc>
          <w:tcPr>
            <w:tcW w:w="584" w:type="pct"/>
            <w:tcBorders>
              <w:top w:val="nil"/>
              <w:left w:val="nil"/>
              <w:bottom w:val="nil"/>
              <w:right w:val="nil"/>
            </w:tcBorders>
            <w:vAlign w:val="center"/>
            <w:hideMark/>
          </w:tcPr>
          <w:p w14:paraId="662FD74F" w14:textId="77777777" w:rsidR="00A14B8D" w:rsidRPr="00A14B8D" w:rsidRDefault="00A14B8D" w:rsidP="00A14B8D">
            <w:pPr>
              <w:jc w:val="right"/>
              <w:rPr>
                <w:rFonts w:ascii="CAIXA Std Book" w:eastAsia="Times New Roman" w:hAnsi="CAIXA Std Book" w:cs="Times New Roman"/>
                <w:color w:val="005CA9"/>
                <w:sz w:val="16"/>
                <w:szCs w:val="16"/>
              </w:rPr>
            </w:pPr>
            <w:r w:rsidRPr="00A14B8D">
              <w:rPr>
                <w:rFonts w:ascii="CAIXA Std Book" w:eastAsia="Times New Roman" w:hAnsi="CAIXA Std Book" w:cs="Times New Roman"/>
                <w:color w:val="005CA9"/>
                <w:sz w:val="16"/>
                <w:szCs w:val="16"/>
              </w:rPr>
              <w:t>5.664</w:t>
            </w:r>
          </w:p>
        </w:tc>
        <w:tc>
          <w:tcPr>
            <w:tcW w:w="462" w:type="pct"/>
            <w:tcBorders>
              <w:top w:val="nil"/>
              <w:left w:val="nil"/>
              <w:bottom w:val="nil"/>
              <w:right w:val="nil"/>
            </w:tcBorders>
            <w:vAlign w:val="center"/>
            <w:hideMark/>
          </w:tcPr>
          <w:p w14:paraId="5463E264" w14:textId="1E162284" w:rsidR="00A14B8D" w:rsidRPr="00A14B8D" w:rsidRDefault="00D8153E" w:rsidP="00A14B8D">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5.235</w:t>
            </w:r>
          </w:p>
        </w:tc>
        <w:tc>
          <w:tcPr>
            <w:tcW w:w="525" w:type="pct"/>
            <w:tcBorders>
              <w:top w:val="nil"/>
              <w:left w:val="nil"/>
              <w:bottom w:val="nil"/>
              <w:right w:val="nil"/>
            </w:tcBorders>
            <w:vAlign w:val="center"/>
            <w:hideMark/>
          </w:tcPr>
          <w:p w14:paraId="16F0F75D" w14:textId="1FD14A2A" w:rsidR="00A14B8D" w:rsidRPr="00A14B8D" w:rsidRDefault="00D8153E" w:rsidP="00D8153E">
            <w:pPr>
              <w:jc w:val="right"/>
              <w:rPr>
                <w:rFonts w:ascii="Times New Roman" w:eastAsia="Times New Roman" w:hAnsi="Times New Roman" w:cs="Times New Roman"/>
                <w:sz w:val="20"/>
                <w:szCs w:val="20"/>
              </w:rPr>
            </w:pPr>
            <w:r>
              <w:rPr>
                <w:rFonts w:ascii="CAIXA Std Book" w:hAnsi="CAIXA Std Book" w:cs="Arial"/>
                <w:color w:val="005CA9"/>
                <w:sz w:val="16"/>
                <w:szCs w:val="16"/>
              </w:rPr>
              <w:t>167</w:t>
            </w:r>
          </w:p>
        </w:tc>
        <w:tc>
          <w:tcPr>
            <w:tcW w:w="529" w:type="pct"/>
            <w:tcBorders>
              <w:top w:val="nil"/>
              <w:left w:val="nil"/>
              <w:bottom w:val="nil"/>
              <w:right w:val="nil"/>
            </w:tcBorders>
            <w:vAlign w:val="center"/>
            <w:hideMark/>
          </w:tcPr>
          <w:p w14:paraId="354E66E1" w14:textId="7BB7AFED"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26</w:t>
            </w:r>
          </w:p>
        </w:tc>
        <w:tc>
          <w:tcPr>
            <w:tcW w:w="507" w:type="pct"/>
            <w:tcBorders>
              <w:top w:val="nil"/>
              <w:left w:val="nil"/>
              <w:bottom w:val="nil"/>
              <w:right w:val="nil"/>
            </w:tcBorders>
            <w:vAlign w:val="center"/>
            <w:hideMark/>
          </w:tcPr>
          <w:p w14:paraId="1BCD9324" w14:textId="50E50D8F"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(6)</w:t>
            </w:r>
          </w:p>
        </w:tc>
        <w:tc>
          <w:tcPr>
            <w:tcW w:w="581" w:type="pct"/>
            <w:tcBorders>
              <w:top w:val="nil"/>
              <w:left w:val="nil"/>
              <w:bottom w:val="nil"/>
              <w:right w:val="nil"/>
            </w:tcBorders>
            <w:vAlign w:val="center"/>
            <w:hideMark/>
          </w:tcPr>
          <w:p w14:paraId="389297E8" w14:textId="5F9BCB6A" w:rsidR="00A14B8D" w:rsidRPr="00A14B8D" w:rsidRDefault="00D8153E" w:rsidP="0074002D">
            <w:pPr>
              <w:jc w:val="center"/>
              <w:rPr>
                <w:rFonts w:ascii="Times New Roman" w:eastAsia="Times New Roman" w:hAnsi="Times New Roman" w:cs="Times New Roman"/>
                <w:sz w:val="20"/>
                <w:szCs w:val="20"/>
              </w:rPr>
            </w:pPr>
            <w:r>
              <w:rPr>
                <w:rFonts w:ascii="CAIXA Std Book" w:hAnsi="CAIXA Std Book" w:cs="Arial"/>
                <w:color w:val="005CA9"/>
                <w:sz w:val="16"/>
                <w:szCs w:val="16"/>
              </w:rPr>
              <w:t>-</w:t>
            </w:r>
          </w:p>
        </w:tc>
        <w:tc>
          <w:tcPr>
            <w:tcW w:w="507" w:type="pct"/>
            <w:tcBorders>
              <w:top w:val="nil"/>
              <w:left w:val="nil"/>
              <w:bottom w:val="nil"/>
              <w:right w:val="nil"/>
            </w:tcBorders>
            <w:vAlign w:val="center"/>
            <w:hideMark/>
          </w:tcPr>
          <w:p w14:paraId="6ADA7239" w14:textId="457B41CB" w:rsidR="00A14B8D" w:rsidRPr="00A14B8D" w:rsidRDefault="00D8153E" w:rsidP="00D8153E">
            <w:pPr>
              <w:jc w:val="right"/>
              <w:rPr>
                <w:rFonts w:ascii="Times New Roman" w:eastAsia="Times New Roman" w:hAnsi="Times New Roman" w:cs="Times New Roman"/>
                <w:sz w:val="20"/>
                <w:szCs w:val="20"/>
              </w:rPr>
            </w:pPr>
            <w:r>
              <w:rPr>
                <w:rFonts w:ascii="CAIXA Std Book" w:hAnsi="CAIXA Std Book" w:cs="Arial"/>
                <w:color w:val="005CA9"/>
                <w:sz w:val="16"/>
                <w:szCs w:val="16"/>
              </w:rPr>
              <w:t>11.086</w:t>
            </w:r>
          </w:p>
        </w:tc>
      </w:tr>
      <w:tr w:rsidR="00A14B8D" w:rsidRPr="00A14B8D" w14:paraId="423184C9" w14:textId="77777777" w:rsidTr="00E8422C">
        <w:trPr>
          <w:trHeight w:val="283"/>
        </w:trPr>
        <w:tc>
          <w:tcPr>
            <w:tcW w:w="1305" w:type="pct"/>
            <w:tcBorders>
              <w:top w:val="nil"/>
              <w:left w:val="nil"/>
              <w:bottom w:val="nil"/>
              <w:right w:val="single" w:sz="8" w:space="0" w:color="FFFFFF"/>
            </w:tcBorders>
            <w:noWrap/>
            <w:vAlign w:val="center"/>
            <w:hideMark/>
          </w:tcPr>
          <w:p w14:paraId="5E9C7B6C" w14:textId="77777777" w:rsidR="00A14B8D" w:rsidRPr="00A14B8D" w:rsidRDefault="00A14B8D" w:rsidP="00A14B8D">
            <w:pPr>
              <w:ind w:firstLineChars="100" w:firstLine="160"/>
              <w:rPr>
                <w:rFonts w:ascii="CAIXA Std Book" w:eastAsia="Times New Roman" w:hAnsi="CAIXA Std Book" w:cs="Times New Roman"/>
                <w:color w:val="005CA9"/>
                <w:sz w:val="16"/>
                <w:szCs w:val="16"/>
              </w:rPr>
            </w:pPr>
            <w:r w:rsidRPr="00A14B8D">
              <w:rPr>
                <w:rFonts w:ascii="CAIXA Std Book" w:eastAsia="Times New Roman" w:hAnsi="CAIXA Std Book" w:cs="Times New Roman"/>
                <w:color w:val="005CA9"/>
                <w:sz w:val="16"/>
                <w:szCs w:val="16"/>
              </w:rPr>
              <w:t>IPTU</w:t>
            </w:r>
          </w:p>
        </w:tc>
        <w:tc>
          <w:tcPr>
            <w:tcW w:w="584" w:type="pct"/>
            <w:tcBorders>
              <w:top w:val="nil"/>
              <w:left w:val="nil"/>
              <w:bottom w:val="nil"/>
              <w:right w:val="nil"/>
            </w:tcBorders>
            <w:vAlign w:val="center"/>
            <w:hideMark/>
          </w:tcPr>
          <w:p w14:paraId="3437BE4B" w14:textId="77777777" w:rsidR="00A14B8D" w:rsidRPr="00A14B8D" w:rsidRDefault="00A14B8D" w:rsidP="00A14B8D">
            <w:pPr>
              <w:jc w:val="right"/>
              <w:rPr>
                <w:rFonts w:ascii="CAIXA Std Book" w:eastAsia="Times New Roman" w:hAnsi="CAIXA Std Book" w:cs="Times New Roman"/>
                <w:color w:val="005CA9"/>
                <w:sz w:val="16"/>
                <w:szCs w:val="16"/>
              </w:rPr>
            </w:pPr>
            <w:r w:rsidRPr="00A14B8D">
              <w:rPr>
                <w:rFonts w:ascii="CAIXA Std Book" w:eastAsia="Times New Roman" w:hAnsi="CAIXA Std Book" w:cs="Times New Roman"/>
                <w:color w:val="005CA9"/>
                <w:sz w:val="16"/>
                <w:szCs w:val="16"/>
              </w:rPr>
              <w:t>109.338</w:t>
            </w:r>
          </w:p>
        </w:tc>
        <w:tc>
          <w:tcPr>
            <w:tcW w:w="462" w:type="pct"/>
            <w:tcBorders>
              <w:top w:val="nil"/>
              <w:left w:val="nil"/>
              <w:bottom w:val="nil"/>
              <w:right w:val="nil"/>
            </w:tcBorders>
            <w:vAlign w:val="center"/>
            <w:hideMark/>
          </w:tcPr>
          <w:p w14:paraId="598C17D7" w14:textId="74044D55" w:rsidR="00A14B8D" w:rsidRPr="00A14B8D" w:rsidRDefault="00D8153E" w:rsidP="00A14B8D">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3.726</w:t>
            </w:r>
          </w:p>
        </w:tc>
        <w:tc>
          <w:tcPr>
            <w:tcW w:w="525" w:type="pct"/>
            <w:tcBorders>
              <w:top w:val="nil"/>
              <w:left w:val="nil"/>
              <w:bottom w:val="nil"/>
              <w:right w:val="nil"/>
            </w:tcBorders>
            <w:vAlign w:val="center"/>
            <w:hideMark/>
          </w:tcPr>
          <w:p w14:paraId="6E7B6FB7" w14:textId="7907FF88"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643</w:t>
            </w:r>
          </w:p>
        </w:tc>
        <w:tc>
          <w:tcPr>
            <w:tcW w:w="529" w:type="pct"/>
            <w:tcBorders>
              <w:top w:val="nil"/>
              <w:left w:val="nil"/>
              <w:bottom w:val="nil"/>
              <w:right w:val="nil"/>
            </w:tcBorders>
            <w:vAlign w:val="center"/>
            <w:hideMark/>
          </w:tcPr>
          <w:p w14:paraId="1079ACCE" w14:textId="1B4B79CD"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5.938</w:t>
            </w:r>
          </w:p>
        </w:tc>
        <w:tc>
          <w:tcPr>
            <w:tcW w:w="507" w:type="pct"/>
            <w:tcBorders>
              <w:top w:val="nil"/>
              <w:left w:val="nil"/>
              <w:bottom w:val="nil"/>
              <w:right w:val="nil"/>
            </w:tcBorders>
            <w:vAlign w:val="center"/>
            <w:hideMark/>
          </w:tcPr>
          <w:p w14:paraId="26E70EEA" w14:textId="398C76C1"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(4.868)</w:t>
            </w:r>
          </w:p>
        </w:tc>
        <w:tc>
          <w:tcPr>
            <w:tcW w:w="581" w:type="pct"/>
            <w:tcBorders>
              <w:top w:val="nil"/>
              <w:left w:val="nil"/>
              <w:bottom w:val="nil"/>
              <w:right w:val="nil"/>
            </w:tcBorders>
            <w:vAlign w:val="center"/>
            <w:hideMark/>
          </w:tcPr>
          <w:p w14:paraId="0933E3B4" w14:textId="5CB49650"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(3.366)</w:t>
            </w:r>
          </w:p>
        </w:tc>
        <w:tc>
          <w:tcPr>
            <w:tcW w:w="507" w:type="pct"/>
            <w:tcBorders>
              <w:top w:val="nil"/>
              <w:left w:val="nil"/>
              <w:bottom w:val="nil"/>
              <w:right w:val="nil"/>
            </w:tcBorders>
            <w:vAlign w:val="center"/>
            <w:hideMark/>
          </w:tcPr>
          <w:p w14:paraId="26B328D0" w14:textId="2DB1235A"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111.411</w:t>
            </w:r>
          </w:p>
        </w:tc>
      </w:tr>
      <w:tr w:rsidR="00A14B8D" w:rsidRPr="00A14B8D" w14:paraId="2553A9FC" w14:textId="77777777" w:rsidTr="00E8422C">
        <w:trPr>
          <w:trHeight w:val="283"/>
        </w:trPr>
        <w:tc>
          <w:tcPr>
            <w:tcW w:w="1305" w:type="pct"/>
            <w:tcBorders>
              <w:top w:val="nil"/>
              <w:left w:val="nil"/>
              <w:bottom w:val="nil"/>
              <w:right w:val="single" w:sz="8" w:space="0" w:color="FFFFFF"/>
            </w:tcBorders>
            <w:noWrap/>
            <w:vAlign w:val="center"/>
            <w:hideMark/>
          </w:tcPr>
          <w:p w14:paraId="00BFE8F7" w14:textId="77777777" w:rsidR="00A14B8D" w:rsidRPr="00A14B8D" w:rsidRDefault="00A14B8D" w:rsidP="00A14B8D">
            <w:pPr>
              <w:ind w:firstLineChars="100" w:firstLine="160"/>
              <w:rPr>
                <w:rFonts w:ascii="CAIXA Std Book" w:eastAsia="Times New Roman" w:hAnsi="CAIXA Std Book" w:cs="Times New Roman"/>
                <w:color w:val="005CA9"/>
                <w:sz w:val="16"/>
                <w:szCs w:val="16"/>
              </w:rPr>
            </w:pPr>
            <w:r w:rsidRPr="00A14B8D">
              <w:rPr>
                <w:rFonts w:ascii="CAIXA Std Book" w:eastAsia="Times New Roman" w:hAnsi="CAIXA Std Book" w:cs="Times New Roman"/>
                <w:color w:val="005CA9"/>
                <w:sz w:val="16"/>
                <w:szCs w:val="16"/>
              </w:rPr>
              <w:t>Outros</w:t>
            </w:r>
          </w:p>
        </w:tc>
        <w:tc>
          <w:tcPr>
            <w:tcW w:w="584" w:type="pct"/>
            <w:tcBorders>
              <w:top w:val="nil"/>
              <w:left w:val="nil"/>
              <w:bottom w:val="nil"/>
              <w:right w:val="nil"/>
            </w:tcBorders>
            <w:vAlign w:val="center"/>
            <w:hideMark/>
          </w:tcPr>
          <w:p w14:paraId="5D590C51" w14:textId="77777777" w:rsidR="00A14B8D" w:rsidRPr="00A14B8D" w:rsidRDefault="00A14B8D" w:rsidP="00A14B8D">
            <w:pPr>
              <w:jc w:val="right"/>
              <w:rPr>
                <w:rFonts w:ascii="CAIXA Std Book" w:eastAsia="Times New Roman" w:hAnsi="CAIXA Std Book" w:cs="Times New Roman"/>
                <w:color w:val="005CA9"/>
                <w:sz w:val="16"/>
                <w:szCs w:val="16"/>
              </w:rPr>
            </w:pPr>
            <w:r w:rsidRPr="00A14B8D">
              <w:rPr>
                <w:rFonts w:ascii="CAIXA Std Book" w:eastAsia="Times New Roman" w:hAnsi="CAIXA Std Book" w:cs="Times New Roman"/>
                <w:color w:val="005CA9"/>
                <w:sz w:val="16"/>
                <w:szCs w:val="16"/>
              </w:rPr>
              <w:t>146.163</w:t>
            </w:r>
          </w:p>
        </w:tc>
        <w:tc>
          <w:tcPr>
            <w:tcW w:w="462" w:type="pct"/>
            <w:tcBorders>
              <w:top w:val="nil"/>
              <w:left w:val="nil"/>
              <w:bottom w:val="nil"/>
              <w:right w:val="nil"/>
            </w:tcBorders>
            <w:vAlign w:val="center"/>
            <w:hideMark/>
          </w:tcPr>
          <w:p w14:paraId="3C3A6F4C" w14:textId="1FEC37BF" w:rsidR="00A14B8D" w:rsidRPr="00A14B8D" w:rsidRDefault="00D8153E" w:rsidP="00A14B8D">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742</w:t>
            </w:r>
          </w:p>
        </w:tc>
        <w:tc>
          <w:tcPr>
            <w:tcW w:w="525" w:type="pct"/>
            <w:tcBorders>
              <w:top w:val="nil"/>
              <w:left w:val="nil"/>
              <w:bottom w:val="nil"/>
              <w:right w:val="nil"/>
            </w:tcBorders>
            <w:vAlign w:val="center"/>
            <w:hideMark/>
          </w:tcPr>
          <w:p w14:paraId="28CC7CD2" w14:textId="1BB38ED6"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1.229</w:t>
            </w:r>
          </w:p>
        </w:tc>
        <w:tc>
          <w:tcPr>
            <w:tcW w:w="529" w:type="pct"/>
            <w:tcBorders>
              <w:top w:val="nil"/>
              <w:left w:val="nil"/>
              <w:bottom w:val="nil"/>
              <w:right w:val="nil"/>
            </w:tcBorders>
            <w:vAlign w:val="center"/>
            <w:hideMark/>
          </w:tcPr>
          <w:p w14:paraId="47DD3F55" w14:textId="6310B1E0"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4.893</w:t>
            </w:r>
          </w:p>
        </w:tc>
        <w:tc>
          <w:tcPr>
            <w:tcW w:w="507" w:type="pct"/>
            <w:tcBorders>
              <w:top w:val="nil"/>
              <w:left w:val="nil"/>
              <w:bottom w:val="nil"/>
              <w:right w:val="nil"/>
            </w:tcBorders>
            <w:vAlign w:val="center"/>
            <w:hideMark/>
          </w:tcPr>
          <w:p w14:paraId="0DD37ED1" w14:textId="1284BBAA"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(2.920)</w:t>
            </w:r>
          </w:p>
        </w:tc>
        <w:tc>
          <w:tcPr>
            <w:tcW w:w="581" w:type="pct"/>
            <w:tcBorders>
              <w:top w:val="nil"/>
              <w:left w:val="nil"/>
              <w:bottom w:val="nil"/>
              <w:right w:val="nil"/>
            </w:tcBorders>
            <w:vAlign w:val="center"/>
            <w:hideMark/>
          </w:tcPr>
          <w:p w14:paraId="05B4D0BA" w14:textId="092021B5"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(886)</w:t>
            </w:r>
          </w:p>
        </w:tc>
        <w:tc>
          <w:tcPr>
            <w:tcW w:w="507" w:type="pct"/>
            <w:tcBorders>
              <w:top w:val="nil"/>
              <w:left w:val="nil"/>
              <w:bottom w:val="nil"/>
              <w:right w:val="nil"/>
            </w:tcBorders>
            <w:vAlign w:val="center"/>
            <w:hideMark/>
          </w:tcPr>
          <w:p w14:paraId="04B816E9" w14:textId="63BB3600" w:rsidR="00A14B8D" w:rsidRPr="00A14B8D" w:rsidRDefault="00D8153E" w:rsidP="00A14B8D">
            <w:pPr>
              <w:jc w:val="right"/>
              <w:rPr>
                <w:rFonts w:ascii="Times New Roman" w:eastAsia="Times New Roman" w:hAnsi="Times New Roman" w:cs="Times New Roman"/>
                <w:sz w:val="20"/>
                <w:szCs w:val="20"/>
              </w:rPr>
            </w:pPr>
            <w:r>
              <w:rPr>
                <w:rFonts w:ascii="CAIXA Std Book" w:hAnsi="CAIXA Std Book" w:cs="Arial"/>
                <w:color w:val="005CA9"/>
                <w:sz w:val="16"/>
                <w:szCs w:val="16"/>
              </w:rPr>
              <w:t>149.221</w:t>
            </w:r>
          </w:p>
        </w:tc>
      </w:tr>
      <w:tr w:rsidR="00A14B8D" w:rsidRPr="00A14B8D" w14:paraId="6880CF33" w14:textId="77777777" w:rsidTr="00E8422C">
        <w:trPr>
          <w:trHeight w:val="283"/>
        </w:trPr>
        <w:tc>
          <w:tcPr>
            <w:tcW w:w="1305" w:type="pct"/>
            <w:tcBorders>
              <w:top w:val="nil"/>
              <w:left w:val="nil"/>
              <w:bottom w:val="nil"/>
              <w:right w:val="nil"/>
            </w:tcBorders>
            <w:shd w:val="clear" w:color="000000" w:fill="005CA9"/>
            <w:noWrap/>
            <w:vAlign w:val="center"/>
            <w:hideMark/>
          </w:tcPr>
          <w:p w14:paraId="15ACEB03" w14:textId="77777777" w:rsidR="00A14B8D" w:rsidRPr="00A14B8D" w:rsidRDefault="00A14B8D" w:rsidP="00A14B8D">
            <w:pPr>
              <w:rPr>
                <w:rFonts w:ascii="CAIXA Std Book" w:eastAsia="Times New Roman" w:hAnsi="CAIXA Std Book" w:cs="Times New Roman"/>
                <w:b/>
                <w:bCs/>
                <w:color w:val="FFFFFF"/>
                <w:sz w:val="16"/>
                <w:szCs w:val="16"/>
              </w:rPr>
            </w:pPr>
            <w:r w:rsidRPr="00A14B8D">
              <w:rPr>
                <w:rFonts w:ascii="CAIXA Std Book" w:eastAsia="Times New Roman" w:hAnsi="CAIXA Std Book" w:cs="Times New Roman"/>
                <w:b/>
                <w:bCs/>
                <w:color w:val="FFFFFF"/>
                <w:sz w:val="16"/>
                <w:szCs w:val="16"/>
              </w:rPr>
              <w:t>Total</w:t>
            </w:r>
          </w:p>
        </w:tc>
        <w:tc>
          <w:tcPr>
            <w:tcW w:w="584" w:type="pct"/>
            <w:tcBorders>
              <w:top w:val="nil"/>
              <w:left w:val="nil"/>
              <w:bottom w:val="nil"/>
              <w:right w:val="nil"/>
            </w:tcBorders>
            <w:shd w:val="clear" w:color="000000" w:fill="005CA9"/>
            <w:noWrap/>
            <w:vAlign w:val="center"/>
            <w:hideMark/>
          </w:tcPr>
          <w:p w14:paraId="25C089FD" w14:textId="77777777" w:rsidR="00A14B8D" w:rsidRPr="00A14B8D" w:rsidRDefault="00A14B8D" w:rsidP="00A14B8D">
            <w:pPr>
              <w:jc w:val="right"/>
              <w:rPr>
                <w:rFonts w:ascii="CAIXA Std Book" w:eastAsia="Times New Roman" w:hAnsi="CAIXA Std Book" w:cs="Times New Roman"/>
                <w:b/>
                <w:bCs/>
                <w:color w:val="FFFFFF"/>
                <w:sz w:val="16"/>
                <w:szCs w:val="16"/>
              </w:rPr>
            </w:pPr>
            <w:r w:rsidRPr="00A14B8D">
              <w:rPr>
                <w:rFonts w:ascii="CAIXA Std Book" w:eastAsia="Times New Roman" w:hAnsi="CAIXA Std Book" w:cs="Times New Roman"/>
                <w:b/>
                <w:bCs/>
                <w:color w:val="FFFFFF"/>
                <w:sz w:val="16"/>
                <w:szCs w:val="16"/>
              </w:rPr>
              <w:t>8.545.334</w:t>
            </w:r>
          </w:p>
        </w:tc>
        <w:tc>
          <w:tcPr>
            <w:tcW w:w="462" w:type="pct"/>
            <w:tcBorders>
              <w:top w:val="nil"/>
              <w:left w:val="nil"/>
              <w:bottom w:val="nil"/>
              <w:right w:val="nil"/>
            </w:tcBorders>
            <w:shd w:val="clear" w:color="auto" w:fill="005CA9"/>
            <w:noWrap/>
            <w:vAlign w:val="center"/>
            <w:hideMark/>
          </w:tcPr>
          <w:p w14:paraId="667A75B7" w14:textId="2844E99F" w:rsidR="00A14B8D" w:rsidRPr="00A14B8D" w:rsidRDefault="00D8153E" w:rsidP="00A14B8D">
            <w:pPr>
              <w:jc w:val="right"/>
              <w:rPr>
                <w:rFonts w:ascii="CAIXA Std Book" w:eastAsia="Times New Roman" w:hAnsi="CAIXA Std Book" w:cs="Times New Roman"/>
                <w:b/>
                <w:bCs/>
                <w:color w:val="FFFFFF"/>
                <w:sz w:val="16"/>
                <w:szCs w:val="16"/>
              </w:rPr>
            </w:pPr>
            <w:r>
              <w:rPr>
                <w:rFonts w:ascii="CAIXA Std Book" w:hAnsi="CAIXA Std Book" w:cs="Arial"/>
                <w:b/>
                <w:bCs/>
                <w:color w:val="FFFFFF"/>
                <w:sz w:val="16"/>
                <w:szCs w:val="16"/>
              </w:rPr>
              <w:t>254.259</w:t>
            </w:r>
          </w:p>
        </w:tc>
        <w:tc>
          <w:tcPr>
            <w:tcW w:w="525" w:type="pct"/>
            <w:tcBorders>
              <w:top w:val="nil"/>
              <w:left w:val="nil"/>
              <w:bottom w:val="nil"/>
              <w:right w:val="nil"/>
            </w:tcBorders>
            <w:shd w:val="clear" w:color="auto" w:fill="005CA9"/>
            <w:noWrap/>
            <w:vAlign w:val="center"/>
            <w:hideMark/>
          </w:tcPr>
          <w:p w14:paraId="0302E046" w14:textId="3AFD5562" w:rsidR="00A14B8D" w:rsidRPr="00A14B8D" w:rsidRDefault="00D8153E" w:rsidP="00A14B8D">
            <w:pPr>
              <w:jc w:val="right"/>
              <w:rPr>
                <w:rFonts w:ascii="CAIXA Std Book" w:eastAsia="Times New Roman" w:hAnsi="CAIXA Std Book" w:cs="Times New Roman"/>
                <w:b/>
                <w:bCs/>
                <w:color w:val="FFFFFF"/>
                <w:sz w:val="16"/>
                <w:szCs w:val="16"/>
              </w:rPr>
            </w:pPr>
            <w:r>
              <w:rPr>
                <w:rFonts w:ascii="CAIXA Std Book" w:hAnsi="CAIXA Std Book" w:cs="Arial"/>
                <w:b/>
                <w:bCs/>
                <w:color w:val="FFFFFF"/>
                <w:sz w:val="16"/>
                <w:szCs w:val="16"/>
              </w:rPr>
              <w:t>106.575</w:t>
            </w:r>
          </w:p>
        </w:tc>
        <w:tc>
          <w:tcPr>
            <w:tcW w:w="529" w:type="pct"/>
            <w:tcBorders>
              <w:top w:val="nil"/>
              <w:left w:val="nil"/>
              <w:bottom w:val="nil"/>
              <w:right w:val="nil"/>
            </w:tcBorders>
            <w:shd w:val="clear" w:color="auto" w:fill="005CA9"/>
            <w:noWrap/>
            <w:vAlign w:val="center"/>
            <w:hideMark/>
          </w:tcPr>
          <w:p w14:paraId="20629B66" w14:textId="4A6E6D24" w:rsidR="00A14B8D" w:rsidRPr="00A14B8D" w:rsidRDefault="00D8153E" w:rsidP="00A14B8D">
            <w:pPr>
              <w:jc w:val="right"/>
              <w:rPr>
                <w:rFonts w:ascii="CAIXA Std Book" w:eastAsia="Times New Roman" w:hAnsi="CAIXA Std Book" w:cs="Times New Roman"/>
                <w:b/>
                <w:bCs/>
                <w:color w:val="FFFFFF"/>
                <w:sz w:val="16"/>
                <w:szCs w:val="16"/>
              </w:rPr>
            </w:pPr>
            <w:r>
              <w:rPr>
                <w:rFonts w:ascii="CAIXA Std Book" w:hAnsi="CAIXA Std Book" w:cs="Arial"/>
                <w:b/>
                <w:bCs/>
                <w:color w:val="FFFFFF"/>
                <w:sz w:val="16"/>
                <w:szCs w:val="16"/>
              </w:rPr>
              <w:t>1.257.082</w:t>
            </w:r>
          </w:p>
        </w:tc>
        <w:tc>
          <w:tcPr>
            <w:tcW w:w="507" w:type="pct"/>
            <w:tcBorders>
              <w:top w:val="nil"/>
              <w:left w:val="nil"/>
              <w:bottom w:val="nil"/>
              <w:right w:val="nil"/>
            </w:tcBorders>
            <w:shd w:val="clear" w:color="auto" w:fill="005CA9"/>
            <w:noWrap/>
            <w:vAlign w:val="center"/>
            <w:hideMark/>
          </w:tcPr>
          <w:p w14:paraId="01F053DB" w14:textId="095DE076" w:rsidR="00A14B8D" w:rsidRPr="00A14B8D" w:rsidRDefault="00D8153E" w:rsidP="00A14B8D">
            <w:pPr>
              <w:jc w:val="right"/>
              <w:rPr>
                <w:rFonts w:ascii="CAIXA Std Book" w:eastAsia="Times New Roman" w:hAnsi="CAIXA Std Book" w:cs="Times New Roman"/>
                <w:b/>
                <w:bCs/>
                <w:color w:val="FFFFFF"/>
                <w:sz w:val="16"/>
                <w:szCs w:val="16"/>
              </w:rPr>
            </w:pPr>
            <w:r>
              <w:rPr>
                <w:rFonts w:ascii="CAIXA Std Book" w:hAnsi="CAIXA Std Book" w:cs="Arial"/>
                <w:b/>
                <w:bCs/>
                <w:color w:val="FFFFFF"/>
                <w:sz w:val="16"/>
                <w:szCs w:val="16"/>
              </w:rPr>
              <w:t>(504.382)</w:t>
            </w:r>
          </w:p>
        </w:tc>
        <w:tc>
          <w:tcPr>
            <w:tcW w:w="581" w:type="pct"/>
            <w:tcBorders>
              <w:top w:val="nil"/>
              <w:left w:val="nil"/>
              <w:bottom w:val="nil"/>
              <w:right w:val="nil"/>
            </w:tcBorders>
            <w:shd w:val="clear" w:color="auto" w:fill="005CA9"/>
            <w:noWrap/>
            <w:vAlign w:val="center"/>
            <w:hideMark/>
          </w:tcPr>
          <w:p w14:paraId="7BCD9AB9" w14:textId="7178D54C" w:rsidR="00A14B8D" w:rsidRPr="00A14B8D" w:rsidRDefault="00D8153E" w:rsidP="00A14B8D">
            <w:pPr>
              <w:jc w:val="right"/>
              <w:rPr>
                <w:rFonts w:ascii="CAIXA Std Book" w:eastAsia="Times New Roman" w:hAnsi="CAIXA Std Book" w:cs="Times New Roman"/>
                <w:b/>
                <w:bCs/>
                <w:color w:val="FFFFFF"/>
                <w:sz w:val="16"/>
                <w:szCs w:val="16"/>
              </w:rPr>
            </w:pPr>
            <w:r>
              <w:rPr>
                <w:rFonts w:ascii="CAIXA Std Book" w:hAnsi="CAIXA Std Book" w:cs="Arial"/>
                <w:b/>
                <w:bCs/>
                <w:color w:val="FFFFFF"/>
                <w:sz w:val="16"/>
                <w:szCs w:val="16"/>
              </w:rPr>
              <w:t>(1.008.979)</w:t>
            </w:r>
          </w:p>
        </w:tc>
        <w:tc>
          <w:tcPr>
            <w:tcW w:w="507" w:type="pct"/>
            <w:tcBorders>
              <w:top w:val="nil"/>
              <w:left w:val="nil"/>
              <w:bottom w:val="nil"/>
              <w:right w:val="nil"/>
            </w:tcBorders>
            <w:shd w:val="clear" w:color="auto" w:fill="005CA9"/>
            <w:noWrap/>
            <w:vAlign w:val="center"/>
            <w:hideMark/>
          </w:tcPr>
          <w:p w14:paraId="19B5A4D2" w14:textId="485EC261" w:rsidR="00A14B8D" w:rsidRPr="00A14B8D" w:rsidRDefault="00D8153E" w:rsidP="00A14B8D">
            <w:pPr>
              <w:jc w:val="right"/>
              <w:rPr>
                <w:rFonts w:ascii="CAIXA Std Book" w:eastAsia="Times New Roman" w:hAnsi="CAIXA Std Book" w:cs="Times New Roman"/>
                <w:b/>
                <w:bCs/>
                <w:color w:val="FFFFFF"/>
                <w:sz w:val="16"/>
                <w:szCs w:val="16"/>
              </w:rPr>
            </w:pPr>
            <w:r>
              <w:rPr>
                <w:rFonts w:ascii="CAIXA Std Book" w:hAnsi="CAIXA Std Book" w:cs="Arial"/>
                <w:b/>
                <w:bCs/>
                <w:color w:val="FFFFFF"/>
                <w:sz w:val="16"/>
                <w:szCs w:val="16"/>
              </w:rPr>
              <w:t>8.649.889</w:t>
            </w:r>
          </w:p>
        </w:tc>
      </w:tr>
    </w:tbl>
    <w:p w14:paraId="3FE64352" w14:textId="77777777" w:rsidR="00814C38" w:rsidRDefault="00814C38" w:rsidP="00FB4700">
      <w:pPr>
        <w:spacing w:after="120"/>
        <w:ind w:left="851" w:hanging="851"/>
        <w:rPr>
          <w:rFonts w:ascii="CAIXA Std Book" w:hAnsi="CAIXA Std Book"/>
          <w:b/>
          <w:color w:val="005CA9"/>
          <w:sz w:val="20"/>
          <w:szCs w:val="20"/>
        </w:rPr>
      </w:pPr>
    </w:p>
    <w:tbl>
      <w:tblPr>
        <w:tblW w:w="5000" w:type="pct"/>
        <w:tblCellMar>
          <w:left w:w="70" w:type="dxa"/>
          <w:right w:w="70" w:type="dxa"/>
        </w:tblCellMar>
        <w:tblLook w:val="04A0" w:firstRow="1" w:lastRow="0" w:firstColumn="1" w:lastColumn="0" w:noHBand="0" w:noVBand="1"/>
      </w:tblPr>
      <w:tblGrid>
        <w:gridCol w:w="2595"/>
        <w:gridCol w:w="1061"/>
        <w:gridCol w:w="857"/>
        <w:gridCol w:w="1084"/>
        <w:gridCol w:w="967"/>
        <w:gridCol w:w="941"/>
        <w:gridCol w:w="1070"/>
        <w:gridCol w:w="1062"/>
      </w:tblGrid>
      <w:tr w:rsidR="007A05AC" w:rsidRPr="007A05AC" w14:paraId="61E5E8D0" w14:textId="77777777" w:rsidTr="007A05AC">
        <w:trPr>
          <w:trHeight w:val="283"/>
        </w:trPr>
        <w:tc>
          <w:tcPr>
            <w:tcW w:w="5000" w:type="pct"/>
            <w:gridSpan w:val="8"/>
            <w:tcBorders>
              <w:top w:val="nil"/>
              <w:left w:val="nil"/>
              <w:bottom w:val="single" w:sz="8" w:space="0" w:color="FFFFFF"/>
              <w:right w:val="nil"/>
            </w:tcBorders>
            <w:shd w:val="clear" w:color="000000" w:fill="005CA9"/>
            <w:vAlign w:val="center"/>
            <w:hideMark/>
          </w:tcPr>
          <w:p w14:paraId="416BDC0E" w14:textId="77777777" w:rsidR="007A05AC" w:rsidRPr="007A05AC" w:rsidRDefault="007A05AC">
            <w:pPr>
              <w:jc w:val="center"/>
              <w:rPr>
                <w:rFonts w:ascii="CAIXA Std Book" w:eastAsia="Times New Roman" w:hAnsi="CAIXA Std Book" w:cs="Arial"/>
                <w:b/>
                <w:bCs/>
                <w:color w:val="FFFFFF"/>
                <w:sz w:val="16"/>
                <w:szCs w:val="16"/>
              </w:rPr>
            </w:pPr>
            <w:r w:rsidRPr="007A05AC">
              <w:rPr>
                <w:rFonts w:ascii="CAIXA Std Book" w:eastAsia="Times New Roman" w:hAnsi="CAIXA Std Book" w:cs="Arial"/>
                <w:b/>
                <w:bCs/>
                <w:color w:val="FFFFFF"/>
                <w:sz w:val="16"/>
                <w:szCs w:val="16"/>
              </w:rPr>
              <w:t>Consolidado</w:t>
            </w:r>
          </w:p>
        </w:tc>
      </w:tr>
      <w:tr w:rsidR="007A05AC" w:rsidRPr="007A05AC" w14:paraId="55B1E210" w14:textId="77777777" w:rsidTr="00E8422C">
        <w:trPr>
          <w:trHeight w:val="283"/>
        </w:trPr>
        <w:tc>
          <w:tcPr>
            <w:tcW w:w="1346" w:type="pct"/>
            <w:vMerge w:val="restart"/>
            <w:tcBorders>
              <w:top w:val="nil"/>
              <w:left w:val="nil"/>
              <w:bottom w:val="nil"/>
              <w:right w:val="nil"/>
            </w:tcBorders>
            <w:shd w:val="clear" w:color="000000" w:fill="005CA9"/>
            <w:vAlign w:val="center"/>
            <w:hideMark/>
          </w:tcPr>
          <w:p w14:paraId="4C216AB3" w14:textId="77777777" w:rsidR="007A05AC" w:rsidRPr="007A05AC" w:rsidRDefault="007A05AC">
            <w:pPr>
              <w:jc w:val="center"/>
              <w:rPr>
                <w:rFonts w:ascii="CAIXA Std Book" w:eastAsia="Times New Roman" w:hAnsi="CAIXA Std Book" w:cs="Arial"/>
                <w:b/>
                <w:bCs/>
                <w:color w:val="FFFFFF"/>
                <w:sz w:val="16"/>
                <w:szCs w:val="16"/>
              </w:rPr>
            </w:pPr>
            <w:r w:rsidRPr="007A05AC">
              <w:rPr>
                <w:rFonts w:ascii="CAIXA Std Book" w:eastAsia="Times New Roman" w:hAnsi="CAIXA Std Book" w:cs="Arial"/>
                <w:b/>
                <w:bCs/>
                <w:color w:val="FFFFFF"/>
                <w:sz w:val="16"/>
                <w:szCs w:val="16"/>
              </w:rPr>
              <w:t>Descrição</w:t>
            </w:r>
          </w:p>
        </w:tc>
        <w:tc>
          <w:tcPr>
            <w:tcW w:w="550" w:type="pct"/>
            <w:vMerge w:val="restart"/>
            <w:tcBorders>
              <w:top w:val="nil"/>
              <w:left w:val="nil"/>
              <w:bottom w:val="nil"/>
              <w:right w:val="nil"/>
            </w:tcBorders>
            <w:shd w:val="clear" w:color="000000" w:fill="005CA9"/>
            <w:noWrap/>
            <w:vAlign w:val="center"/>
            <w:hideMark/>
          </w:tcPr>
          <w:p w14:paraId="39072786" w14:textId="77777777" w:rsidR="007A05AC" w:rsidRPr="007A05AC" w:rsidRDefault="007A05AC">
            <w:pPr>
              <w:jc w:val="center"/>
              <w:rPr>
                <w:rFonts w:ascii="CAIXA Std Book" w:eastAsia="Times New Roman" w:hAnsi="CAIXA Std Book" w:cs="Arial"/>
                <w:b/>
                <w:bCs/>
                <w:color w:val="FFFFFF"/>
                <w:sz w:val="16"/>
                <w:szCs w:val="16"/>
              </w:rPr>
            </w:pPr>
            <w:r w:rsidRPr="007A05AC">
              <w:rPr>
                <w:rFonts w:ascii="CAIXA Std Book" w:eastAsia="Times New Roman" w:hAnsi="CAIXA Std Book" w:cs="Arial"/>
                <w:b/>
                <w:bCs/>
                <w:color w:val="FFFFFF"/>
                <w:sz w:val="16"/>
                <w:szCs w:val="16"/>
              </w:rPr>
              <w:t>31/12/2025</w:t>
            </w:r>
          </w:p>
        </w:tc>
        <w:tc>
          <w:tcPr>
            <w:tcW w:w="2553" w:type="pct"/>
            <w:gridSpan w:val="5"/>
            <w:tcBorders>
              <w:top w:val="single" w:sz="8" w:space="0" w:color="FFFFFF"/>
              <w:left w:val="nil"/>
              <w:bottom w:val="single" w:sz="8" w:space="0" w:color="FFFFFF"/>
              <w:right w:val="nil"/>
            </w:tcBorders>
            <w:shd w:val="clear" w:color="000000" w:fill="005CA9"/>
            <w:vAlign w:val="center"/>
            <w:hideMark/>
          </w:tcPr>
          <w:p w14:paraId="628418FE" w14:textId="77777777" w:rsidR="007A05AC" w:rsidRPr="007A05AC" w:rsidRDefault="007A05AC">
            <w:pPr>
              <w:jc w:val="center"/>
              <w:rPr>
                <w:rFonts w:ascii="CAIXA Std Book" w:eastAsia="Times New Roman" w:hAnsi="CAIXA Std Book" w:cs="Arial"/>
                <w:b/>
                <w:bCs/>
                <w:color w:val="FFFFFF"/>
                <w:sz w:val="16"/>
                <w:szCs w:val="16"/>
              </w:rPr>
            </w:pPr>
            <w:r w:rsidRPr="007A05AC">
              <w:rPr>
                <w:rFonts w:ascii="CAIXA Std Book" w:eastAsia="Times New Roman" w:hAnsi="CAIXA Std Book" w:cs="Arial"/>
                <w:b/>
                <w:bCs/>
                <w:color w:val="FFFFFF"/>
                <w:sz w:val="16"/>
                <w:szCs w:val="16"/>
              </w:rPr>
              <w:t>Movimentação</w:t>
            </w:r>
          </w:p>
        </w:tc>
        <w:tc>
          <w:tcPr>
            <w:tcW w:w="550" w:type="pct"/>
            <w:vMerge w:val="restart"/>
            <w:tcBorders>
              <w:top w:val="nil"/>
              <w:left w:val="nil"/>
              <w:bottom w:val="nil"/>
              <w:right w:val="nil"/>
            </w:tcBorders>
            <w:shd w:val="clear" w:color="000000" w:fill="005CA9"/>
            <w:noWrap/>
            <w:vAlign w:val="center"/>
            <w:hideMark/>
          </w:tcPr>
          <w:p w14:paraId="00BFB5E6" w14:textId="77777777" w:rsidR="007A05AC" w:rsidRPr="007A05AC" w:rsidRDefault="007A05AC">
            <w:pPr>
              <w:jc w:val="center"/>
              <w:rPr>
                <w:rFonts w:ascii="CAIXA Std Book" w:eastAsia="Times New Roman" w:hAnsi="CAIXA Std Book" w:cs="Arial"/>
                <w:b/>
                <w:bCs/>
                <w:color w:val="FFFFFF"/>
                <w:sz w:val="16"/>
                <w:szCs w:val="16"/>
              </w:rPr>
            </w:pPr>
            <w:r w:rsidRPr="007A05AC">
              <w:rPr>
                <w:rFonts w:ascii="CAIXA Std Book" w:eastAsia="Times New Roman" w:hAnsi="CAIXA Std Book" w:cs="Arial"/>
                <w:b/>
                <w:bCs/>
                <w:color w:val="FFFFFF"/>
                <w:sz w:val="16"/>
                <w:szCs w:val="16"/>
              </w:rPr>
              <w:t>31/03/2026</w:t>
            </w:r>
          </w:p>
        </w:tc>
      </w:tr>
      <w:tr w:rsidR="007A05AC" w:rsidRPr="007A05AC" w14:paraId="57A87296" w14:textId="77777777" w:rsidTr="00E8422C">
        <w:trPr>
          <w:trHeight w:val="283"/>
        </w:trPr>
        <w:tc>
          <w:tcPr>
            <w:tcW w:w="1346" w:type="pct"/>
            <w:vMerge/>
            <w:tcBorders>
              <w:top w:val="nil"/>
              <w:left w:val="nil"/>
              <w:bottom w:val="nil"/>
              <w:right w:val="nil"/>
            </w:tcBorders>
            <w:vAlign w:val="center"/>
            <w:hideMark/>
          </w:tcPr>
          <w:p w14:paraId="243A71C8" w14:textId="77777777" w:rsidR="007A05AC" w:rsidRPr="007A05AC" w:rsidRDefault="007A05AC">
            <w:pPr>
              <w:rPr>
                <w:rFonts w:ascii="CAIXA Std Book" w:eastAsia="Times New Roman" w:hAnsi="CAIXA Std Book" w:cs="Arial"/>
                <w:b/>
                <w:bCs/>
                <w:color w:val="FFFFFF"/>
                <w:sz w:val="16"/>
                <w:szCs w:val="16"/>
              </w:rPr>
            </w:pPr>
          </w:p>
        </w:tc>
        <w:tc>
          <w:tcPr>
            <w:tcW w:w="550" w:type="pct"/>
            <w:vMerge/>
            <w:tcBorders>
              <w:top w:val="nil"/>
              <w:left w:val="nil"/>
              <w:bottom w:val="nil"/>
              <w:right w:val="nil"/>
            </w:tcBorders>
            <w:vAlign w:val="center"/>
            <w:hideMark/>
          </w:tcPr>
          <w:p w14:paraId="712BCF29" w14:textId="77777777" w:rsidR="007A05AC" w:rsidRPr="007A05AC" w:rsidRDefault="007A05AC">
            <w:pPr>
              <w:rPr>
                <w:rFonts w:ascii="CAIXA Std Book" w:eastAsia="Times New Roman" w:hAnsi="CAIXA Std Book" w:cs="Arial"/>
                <w:b/>
                <w:bCs/>
                <w:color w:val="FFFFFF"/>
                <w:sz w:val="16"/>
                <w:szCs w:val="16"/>
              </w:rPr>
            </w:pPr>
          </w:p>
        </w:tc>
        <w:tc>
          <w:tcPr>
            <w:tcW w:w="445" w:type="pct"/>
            <w:tcBorders>
              <w:top w:val="nil"/>
              <w:left w:val="nil"/>
              <w:bottom w:val="nil"/>
              <w:right w:val="nil"/>
            </w:tcBorders>
            <w:shd w:val="clear" w:color="000000" w:fill="005CA9"/>
            <w:vAlign w:val="center"/>
            <w:hideMark/>
          </w:tcPr>
          <w:p w14:paraId="38B73901" w14:textId="77777777" w:rsidR="007A05AC" w:rsidRPr="007A05AC" w:rsidRDefault="007A05AC">
            <w:pPr>
              <w:jc w:val="center"/>
              <w:rPr>
                <w:rFonts w:ascii="CAIXA Std Book" w:eastAsia="Times New Roman" w:hAnsi="CAIXA Std Book" w:cs="Arial"/>
                <w:b/>
                <w:bCs/>
                <w:color w:val="FFFFFF"/>
                <w:sz w:val="16"/>
                <w:szCs w:val="16"/>
              </w:rPr>
            </w:pPr>
            <w:r w:rsidRPr="007A05AC">
              <w:rPr>
                <w:rFonts w:ascii="CAIXA Std Book" w:eastAsia="Times New Roman" w:hAnsi="CAIXA Std Book" w:cs="Arial"/>
                <w:b/>
                <w:bCs/>
                <w:color w:val="FFFFFF"/>
                <w:sz w:val="16"/>
                <w:szCs w:val="16"/>
              </w:rPr>
              <w:t>Novas provisões</w:t>
            </w:r>
          </w:p>
        </w:tc>
        <w:tc>
          <w:tcPr>
            <w:tcW w:w="563" w:type="pct"/>
            <w:tcBorders>
              <w:top w:val="nil"/>
              <w:left w:val="nil"/>
              <w:bottom w:val="nil"/>
              <w:right w:val="nil"/>
            </w:tcBorders>
            <w:shd w:val="clear" w:color="000000" w:fill="005CA9"/>
            <w:vAlign w:val="center"/>
            <w:hideMark/>
          </w:tcPr>
          <w:p w14:paraId="68129E6C" w14:textId="77777777" w:rsidR="007A05AC" w:rsidRPr="007A05AC" w:rsidRDefault="007A05AC">
            <w:pPr>
              <w:jc w:val="center"/>
              <w:rPr>
                <w:rFonts w:ascii="CAIXA Std Book" w:eastAsia="Times New Roman" w:hAnsi="CAIXA Std Book" w:cs="Arial"/>
                <w:b/>
                <w:bCs/>
                <w:color w:val="FFFFFF"/>
                <w:sz w:val="16"/>
                <w:szCs w:val="16"/>
              </w:rPr>
            </w:pPr>
            <w:r w:rsidRPr="007A05AC">
              <w:rPr>
                <w:rFonts w:ascii="CAIXA Std Book" w:eastAsia="Times New Roman" w:hAnsi="CAIXA Std Book" w:cs="Arial"/>
                <w:b/>
                <w:bCs/>
                <w:color w:val="FFFFFF"/>
                <w:sz w:val="16"/>
                <w:szCs w:val="16"/>
              </w:rPr>
              <w:t>Atualização monetária</w:t>
            </w:r>
          </w:p>
        </w:tc>
        <w:tc>
          <w:tcPr>
            <w:tcW w:w="502" w:type="pct"/>
            <w:tcBorders>
              <w:top w:val="nil"/>
              <w:left w:val="nil"/>
              <w:bottom w:val="nil"/>
              <w:right w:val="nil"/>
            </w:tcBorders>
            <w:shd w:val="clear" w:color="000000" w:fill="005CA9"/>
            <w:vAlign w:val="center"/>
            <w:hideMark/>
          </w:tcPr>
          <w:p w14:paraId="2D5484E1" w14:textId="77777777" w:rsidR="007A05AC" w:rsidRPr="007A05AC" w:rsidRDefault="007A05AC">
            <w:pPr>
              <w:jc w:val="center"/>
              <w:rPr>
                <w:rFonts w:ascii="CAIXA Std Book" w:eastAsia="Times New Roman" w:hAnsi="CAIXA Std Book" w:cs="Arial"/>
                <w:b/>
                <w:bCs/>
                <w:color w:val="FFFFFF"/>
                <w:sz w:val="16"/>
                <w:szCs w:val="16"/>
              </w:rPr>
            </w:pPr>
            <w:r w:rsidRPr="007A05AC">
              <w:rPr>
                <w:rFonts w:ascii="CAIXA Std Book" w:eastAsia="Times New Roman" w:hAnsi="CAIXA Std Book" w:cs="Arial"/>
                <w:b/>
                <w:bCs/>
                <w:color w:val="FFFFFF"/>
                <w:sz w:val="16"/>
                <w:szCs w:val="16"/>
              </w:rPr>
              <w:t>Adições de provisões</w:t>
            </w:r>
          </w:p>
        </w:tc>
        <w:tc>
          <w:tcPr>
            <w:tcW w:w="488" w:type="pct"/>
            <w:tcBorders>
              <w:top w:val="nil"/>
              <w:left w:val="nil"/>
              <w:bottom w:val="nil"/>
              <w:right w:val="nil"/>
            </w:tcBorders>
            <w:shd w:val="clear" w:color="000000" w:fill="005CA9"/>
            <w:vAlign w:val="center"/>
            <w:hideMark/>
          </w:tcPr>
          <w:p w14:paraId="1E7A77F1" w14:textId="77777777" w:rsidR="007A05AC" w:rsidRPr="007A05AC" w:rsidRDefault="007A05AC">
            <w:pPr>
              <w:jc w:val="center"/>
              <w:rPr>
                <w:rFonts w:ascii="CAIXA Std Book" w:eastAsia="Times New Roman" w:hAnsi="CAIXA Std Book" w:cs="Arial"/>
                <w:b/>
                <w:bCs/>
                <w:color w:val="FFFFFF"/>
                <w:sz w:val="16"/>
                <w:szCs w:val="16"/>
              </w:rPr>
            </w:pPr>
            <w:r w:rsidRPr="007A05AC">
              <w:rPr>
                <w:rFonts w:ascii="CAIXA Std Book" w:eastAsia="Times New Roman" w:hAnsi="CAIXA Std Book" w:cs="Arial"/>
                <w:b/>
                <w:bCs/>
                <w:color w:val="FFFFFF"/>
                <w:sz w:val="16"/>
                <w:szCs w:val="16"/>
              </w:rPr>
              <w:t xml:space="preserve">Reversões de provisões </w:t>
            </w:r>
          </w:p>
        </w:tc>
        <w:tc>
          <w:tcPr>
            <w:tcW w:w="555" w:type="pct"/>
            <w:tcBorders>
              <w:top w:val="nil"/>
              <w:left w:val="nil"/>
              <w:bottom w:val="nil"/>
              <w:right w:val="nil"/>
            </w:tcBorders>
            <w:shd w:val="clear" w:color="000000" w:fill="005CA9"/>
            <w:vAlign w:val="center"/>
            <w:hideMark/>
          </w:tcPr>
          <w:p w14:paraId="5B5827F9" w14:textId="77777777" w:rsidR="007A05AC" w:rsidRPr="007A05AC" w:rsidRDefault="007A05AC">
            <w:pPr>
              <w:jc w:val="center"/>
              <w:rPr>
                <w:rFonts w:ascii="CAIXA Std Book" w:eastAsia="Times New Roman" w:hAnsi="CAIXA Std Book" w:cs="Arial"/>
                <w:b/>
                <w:bCs/>
                <w:color w:val="FFFFFF"/>
                <w:sz w:val="16"/>
                <w:szCs w:val="16"/>
              </w:rPr>
            </w:pPr>
            <w:r w:rsidRPr="007A05AC">
              <w:rPr>
                <w:rFonts w:ascii="CAIXA Std Book" w:eastAsia="Times New Roman" w:hAnsi="CAIXA Std Book" w:cs="Arial"/>
                <w:b/>
                <w:bCs/>
                <w:color w:val="FFFFFF"/>
                <w:sz w:val="16"/>
                <w:szCs w:val="16"/>
              </w:rPr>
              <w:t xml:space="preserve">Baixas por pagamento </w:t>
            </w:r>
          </w:p>
        </w:tc>
        <w:tc>
          <w:tcPr>
            <w:tcW w:w="550" w:type="pct"/>
            <w:vMerge/>
            <w:tcBorders>
              <w:top w:val="nil"/>
              <w:left w:val="nil"/>
              <w:bottom w:val="nil"/>
              <w:right w:val="nil"/>
            </w:tcBorders>
            <w:vAlign w:val="center"/>
            <w:hideMark/>
          </w:tcPr>
          <w:p w14:paraId="600269FA" w14:textId="77777777" w:rsidR="007A05AC" w:rsidRPr="007A05AC" w:rsidRDefault="007A05AC">
            <w:pPr>
              <w:rPr>
                <w:rFonts w:ascii="CAIXA Std Book" w:eastAsia="Times New Roman" w:hAnsi="CAIXA Std Book" w:cs="Arial"/>
                <w:b/>
                <w:bCs/>
                <w:color w:val="FFFFFF"/>
                <w:sz w:val="16"/>
                <w:szCs w:val="16"/>
              </w:rPr>
            </w:pPr>
          </w:p>
        </w:tc>
      </w:tr>
      <w:tr w:rsidR="007A05AC" w:rsidRPr="007A05AC" w14:paraId="7971A39B" w14:textId="77777777" w:rsidTr="00E8422C">
        <w:trPr>
          <w:trHeight w:val="283"/>
        </w:trPr>
        <w:tc>
          <w:tcPr>
            <w:tcW w:w="1346" w:type="pct"/>
            <w:tcBorders>
              <w:top w:val="nil"/>
              <w:left w:val="nil"/>
              <w:bottom w:val="single" w:sz="8" w:space="0" w:color="FFFFFF"/>
              <w:right w:val="nil"/>
            </w:tcBorders>
            <w:shd w:val="clear" w:color="000000" w:fill="D0E0E3"/>
            <w:noWrap/>
            <w:vAlign w:val="center"/>
            <w:hideMark/>
          </w:tcPr>
          <w:p w14:paraId="7440CB5E" w14:textId="77777777" w:rsidR="007A05AC" w:rsidRPr="007A05AC" w:rsidRDefault="007A05AC">
            <w:pPr>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Trabalhistas (b.2)</w:t>
            </w:r>
          </w:p>
        </w:tc>
        <w:tc>
          <w:tcPr>
            <w:tcW w:w="550" w:type="pct"/>
            <w:tcBorders>
              <w:top w:val="nil"/>
              <w:left w:val="nil"/>
              <w:bottom w:val="single" w:sz="8" w:space="0" w:color="FFFFFF"/>
              <w:right w:val="nil"/>
            </w:tcBorders>
            <w:shd w:val="clear" w:color="000000" w:fill="D0E0E3"/>
            <w:noWrap/>
            <w:vAlign w:val="center"/>
            <w:hideMark/>
          </w:tcPr>
          <w:p w14:paraId="74C6BE0C" w14:textId="77777777" w:rsidR="007A05AC" w:rsidRPr="007A05AC" w:rsidRDefault="007A05AC" w:rsidP="00F60100">
            <w:pPr>
              <w:jc w:val="right"/>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4.503.372</w:t>
            </w:r>
          </w:p>
        </w:tc>
        <w:tc>
          <w:tcPr>
            <w:tcW w:w="445" w:type="pct"/>
            <w:tcBorders>
              <w:top w:val="nil"/>
              <w:left w:val="nil"/>
              <w:bottom w:val="single" w:sz="8" w:space="0" w:color="FFFFFF"/>
              <w:right w:val="nil"/>
            </w:tcBorders>
            <w:shd w:val="clear" w:color="000000" w:fill="D0E0E3"/>
            <w:noWrap/>
            <w:vAlign w:val="center"/>
            <w:hideMark/>
          </w:tcPr>
          <w:p w14:paraId="0775B797" w14:textId="77777777" w:rsidR="007A05AC" w:rsidRPr="007A05AC" w:rsidRDefault="007A05AC" w:rsidP="00F60100">
            <w:pPr>
              <w:jc w:val="right"/>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169.415</w:t>
            </w:r>
          </w:p>
        </w:tc>
        <w:tc>
          <w:tcPr>
            <w:tcW w:w="563" w:type="pct"/>
            <w:tcBorders>
              <w:top w:val="nil"/>
              <w:left w:val="nil"/>
              <w:bottom w:val="single" w:sz="8" w:space="0" w:color="FFFFFF"/>
              <w:right w:val="nil"/>
            </w:tcBorders>
            <w:shd w:val="clear" w:color="000000" w:fill="D0E0E3"/>
            <w:noWrap/>
            <w:vAlign w:val="center"/>
            <w:hideMark/>
          </w:tcPr>
          <w:p w14:paraId="4A10DE9E" w14:textId="77777777" w:rsidR="007A05AC" w:rsidRPr="007A05AC" w:rsidRDefault="007A05AC" w:rsidP="00F60100">
            <w:pPr>
              <w:jc w:val="right"/>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72.428</w:t>
            </w:r>
          </w:p>
        </w:tc>
        <w:tc>
          <w:tcPr>
            <w:tcW w:w="502" w:type="pct"/>
            <w:tcBorders>
              <w:top w:val="nil"/>
              <w:left w:val="nil"/>
              <w:bottom w:val="single" w:sz="8" w:space="0" w:color="FFFFFF"/>
              <w:right w:val="nil"/>
            </w:tcBorders>
            <w:shd w:val="clear" w:color="000000" w:fill="D0E0E3"/>
            <w:noWrap/>
            <w:vAlign w:val="center"/>
            <w:hideMark/>
          </w:tcPr>
          <w:p w14:paraId="0439272C" w14:textId="77777777" w:rsidR="007A05AC" w:rsidRPr="007A05AC" w:rsidRDefault="007A05AC" w:rsidP="00F60100">
            <w:pPr>
              <w:jc w:val="right"/>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807.888</w:t>
            </w:r>
          </w:p>
        </w:tc>
        <w:tc>
          <w:tcPr>
            <w:tcW w:w="488" w:type="pct"/>
            <w:tcBorders>
              <w:top w:val="nil"/>
              <w:left w:val="nil"/>
              <w:bottom w:val="single" w:sz="8" w:space="0" w:color="FFFFFF"/>
              <w:right w:val="nil"/>
            </w:tcBorders>
            <w:shd w:val="clear" w:color="000000" w:fill="D0E0E3"/>
            <w:noWrap/>
            <w:vAlign w:val="center"/>
            <w:hideMark/>
          </w:tcPr>
          <w:p w14:paraId="1FA0794F" w14:textId="77777777" w:rsidR="007A05AC" w:rsidRPr="007A05AC" w:rsidRDefault="007A05AC" w:rsidP="00F60100">
            <w:pPr>
              <w:jc w:val="right"/>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(223.478)</w:t>
            </w:r>
          </w:p>
        </w:tc>
        <w:tc>
          <w:tcPr>
            <w:tcW w:w="555" w:type="pct"/>
            <w:tcBorders>
              <w:top w:val="nil"/>
              <w:left w:val="nil"/>
              <w:bottom w:val="single" w:sz="8" w:space="0" w:color="FFFFFF"/>
              <w:right w:val="nil"/>
            </w:tcBorders>
            <w:shd w:val="clear" w:color="000000" w:fill="D0E0E3"/>
            <w:noWrap/>
            <w:vAlign w:val="center"/>
            <w:hideMark/>
          </w:tcPr>
          <w:p w14:paraId="6A5A999F" w14:textId="77777777" w:rsidR="007A05AC" w:rsidRPr="007A05AC" w:rsidRDefault="007A05AC" w:rsidP="00F60100">
            <w:pPr>
              <w:jc w:val="right"/>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(738.928)</w:t>
            </w:r>
          </w:p>
        </w:tc>
        <w:tc>
          <w:tcPr>
            <w:tcW w:w="550" w:type="pct"/>
            <w:tcBorders>
              <w:top w:val="nil"/>
              <w:left w:val="nil"/>
              <w:bottom w:val="single" w:sz="8" w:space="0" w:color="FFFFFF"/>
              <w:right w:val="nil"/>
            </w:tcBorders>
            <w:shd w:val="clear" w:color="000000" w:fill="D0E0E3"/>
            <w:noWrap/>
            <w:vAlign w:val="center"/>
            <w:hideMark/>
          </w:tcPr>
          <w:p w14:paraId="30C4655E" w14:textId="77777777" w:rsidR="007A05AC" w:rsidRPr="007A05AC" w:rsidRDefault="007A05AC" w:rsidP="00F60100">
            <w:pPr>
              <w:jc w:val="right"/>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4.590.697</w:t>
            </w:r>
          </w:p>
        </w:tc>
      </w:tr>
      <w:tr w:rsidR="007A05AC" w:rsidRPr="007A05AC" w14:paraId="288F8104" w14:textId="77777777" w:rsidTr="00E8422C">
        <w:trPr>
          <w:trHeight w:val="283"/>
        </w:trPr>
        <w:tc>
          <w:tcPr>
            <w:tcW w:w="1346" w:type="pct"/>
            <w:tcBorders>
              <w:top w:val="nil"/>
              <w:left w:val="nil"/>
              <w:bottom w:val="nil"/>
              <w:right w:val="nil"/>
            </w:tcBorders>
            <w:shd w:val="clear" w:color="000000" w:fill="D0E0E3"/>
            <w:noWrap/>
            <w:vAlign w:val="center"/>
            <w:hideMark/>
          </w:tcPr>
          <w:p w14:paraId="179E770F" w14:textId="77777777" w:rsidR="007A05AC" w:rsidRPr="007A05AC" w:rsidRDefault="007A05AC">
            <w:pPr>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Cíveis (b.3)</w:t>
            </w:r>
          </w:p>
        </w:tc>
        <w:tc>
          <w:tcPr>
            <w:tcW w:w="550" w:type="pct"/>
            <w:tcBorders>
              <w:top w:val="nil"/>
              <w:left w:val="nil"/>
              <w:bottom w:val="single" w:sz="8" w:space="0" w:color="FFFFFF"/>
              <w:right w:val="nil"/>
            </w:tcBorders>
            <w:shd w:val="clear" w:color="000000" w:fill="D0E0E3"/>
            <w:noWrap/>
            <w:vAlign w:val="center"/>
            <w:hideMark/>
          </w:tcPr>
          <w:p w14:paraId="354A36C4" w14:textId="77777777" w:rsidR="007A05AC" w:rsidRPr="007A05AC" w:rsidRDefault="007A05AC" w:rsidP="00F60100">
            <w:pPr>
              <w:jc w:val="right"/>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3.378.083</w:t>
            </w:r>
          </w:p>
        </w:tc>
        <w:tc>
          <w:tcPr>
            <w:tcW w:w="445" w:type="pct"/>
            <w:tcBorders>
              <w:top w:val="nil"/>
              <w:left w:val="nil"/>
              <w:bottom w:val="single" w:sz="8" w:space="0" w:color="FFFFFF"/>
              <w:right w:val="nil"/>
            </w:tcBorders>
            <w:shd w:val="clear" w:color="000000" w:fill="D0E0E3"/>
            <w:noWrap/>
            <w:vAlign w:val="center"/>
            <w:hideMark/>
          </w:tcPr>
          <w:p w14:paraId="7B23DF81" w14:textId="77777777" w:rsidR="007A05AC" w:rsidRPr="007A05AC" w:rsidRDefault="007A05AC" w:rsidP="00F60100">
            <w:pPr>
              <w:jc w:val="right"/>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83.313</w:t>
            </w:r>
          </w:p>
        </w:tc>
        <w:tc>
          <w:tcPr>
            <w:tcW w:w="563" w:type="pct"/>
            <w:tcBorders>
              <w:top w:val="nil"/>
              <w:left w:val="nil"/>
              <w:bottom w:val="single" w:sz="8" w:space="0" w:color="FFFFFF"/>
              <w:right w:val="nil"/>
            </w:tcBorders>
            <w:shd w:val="clear" w:color="000000" w:fill="D0E0E3"/>
            <w:noWrap/>
            <w:vAlign w:val="center"/>
            <w:hideMark/>
          </w:tcPr>
          <w:p w14:paraId="2A42640E" w14:textId="77777777" w:rsidR="007A05AC" w:rsidRPr="007A05AC" w:rsidRDefault="007A05AC" w:rsidP="00F60100">
            <w:pPr>
              <w:jc w:val="right"/>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25.606</w:t>
            </w:r>
          </w:p>
        </w:tc>
        <w:tc>
          <w:tcPr>
            <w:tcW w:w="502" w:type="pct"/>
            <w:tcBorders>
              <w:top w:val="nil"/>
              <w:left w:val="nil"/>
              <w:bottom w:val="single" w:sz="8" w:space="0" w:color="FFFFFF"/>
              <w:right w:val="nil"/>
            </w:tcBorders>
            <w:shd w:val="clear" w:color="000000" w:fill="D0E0E3"/>
            <w:noWrap/>
            <w:vAlign w:val="center"/>
            <w:hideMark/>
          </w:tcPr>
          <w:p w14:paraId="5005413B" w14:textId="77777777" w:rsidR="007A05AC" w:rsidRPr="007A05AC" w:rsidRDefault="007A05AC" w:rsidP="00F60100">
            <w:pPr>
              <w:jc w:val="right"/>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431.212</w:t>
            </w:r>
          </w:p>
        </w:tc>
        <w:tc>
          <w:tcPr>
            <w:tcW w:w="488" w:type="pct"/>
            <w:tcBorders>
              <w:top w:val="nil"/>
              <w:left w:val="nil"/>
              <w:bottom w:val="single" w:sz="8" w:space="0" w:color="FFFFFF"/>
              <w:right w:val="nil"/>
            </w:tcBorders>
            <w:shd w:val="clear" w:color="000000" w:fill="D0E0E3"/>
            <w:noWrap/>
            <w:vAlign w:val="center"/>
            <w:hideMark/>
          </w:tcPr>
          <w:p w14:paraId="74A44D98" w14:textId="77777777" w:rsidR="007A05AC" w:rsidRPr="007A05AC" w:rsidRDefault="007A05AC" w:rsidP="00F60100">
            <w:pPr>
              <w:jc w:val="right"/>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(223.530)</w:t>
            </w:r>
          </w:p>
        </w:tc>
        <w:tc>
          <w:tcPr>
            <w:tcW w:w="555" w:type="pct"/>
            <w:tcBorders>
              <w:top w:val="nil"/>
              <w:left w:val="nil"/>
              <w:bottom w:val="single" w:sz="8" w:space="0" w:color="FFFFFF"/>
              <w:right w:val="nil"/>
            </w:tcBorders>
            <w:shd w:val="clear" w:color="000000" w:fill="D0E0E3"/>
            <w:noWrap/>
            <w:vAlign w:val="center"/>
            <w:hideMark/>
          </w:tcPr>
          <w:p w14:paraId="5E41C644" w14:textId="77777777" w:rsidR="007A05AC" w:rsidRPr="007A05AC" w:rsidRDefault="007A05AC" w:rsidP="00F60100">
            <w:pPr>
              <w:jc w:val="right"/>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(262.179)</w:t>
            </w:r>
          </w:p>
        </w:tc>
        <w:tc>
          <w:tcPr>
            <w:tcW w:w="550" w:type="pct"/>
            <w:tcBorders>
              <w:top w:val="nil"/>
              <w:left w:val="nil"/>
              <w:bottom w:val="single" w:sz="8" w:space="0" w:color="FFFFFF"/>
              <w:right w:val="nil"/>
            </w:tcBorders>
            <w:shd w:val="clear" w:color="000000" w:fill="D0E0E3"/>
            <w:noWrap/>
            <w:vAlign w:val="center"/>
            <w:hideMark/>
          </w:tcPr>
          <w:p w14:paraId="1C5FF6E5" w14:textId="77777777" w:rsidR="007A05AC" w:rsidRPr="007A05AC" w:rsidRDefault="007A05AC" w:rsidP="00F60100">
            <w:pPr>
              <w:jc w:val="right"/>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3.432.505</w:t>
            </w:r>
          </w:p>
        </w:tc>
      </w:tr>
      <w:tr w:rsidR="007A05AC" w:rsidRPr="007A05AC" w14:paraId="7270C99E" w14:textId="77777777" w:rsidTr="00E8422C">
        <w:trPr>
          <w:trHeight w:val="283"/>
        </w:trPr>
        <w:tc>
          <w:tcPr>
            <w:tcW w:w="1346" w:type="pct"/>
            <w:tcBorders>
              <w:top w:val="nil"/>
              <w:left w:val="nil"/>
              <w:bottom w:val="nil"/>
              <w:right w:val="single" w:sz="8" w:space="0" w:color="FFFFFF"/>
            </w:tcBorders>
            <w:noWrap/>
            <w:vAlign w:val="center"/>
            <w:hideMark/>
          </w:tcPr>
          <w:p w14:paraId="2455376B" w14:textId="77777777" w:rsidR="007A05AC" w:rsidRPr="007A05AC" w:rsidRDefault="007A05AC">
            <w:pPr>
              <w:ind w:firstLineChars="100" w:firstLine="160"/>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Feitos diversos</w:t>
            </w:r>
          </w:p>
        </w:tc>
        <w:tc>
          <w:tcPr>
            <w:tcW w:w="550" w:type="pct"/>
            <w:tcBorders>
              <w:top w:val="nil"/>
              <w:left w:val="nil"/>
              <w:bottom w:val="nil"/>
              <w:right w:val="nil"/>
            </w:tcBorders>
            <w:vAlign w:val="center"/>
            <w:hideMark/>
          </w:tcPr>
          <w:p w14:paraId="743BC9DA"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1.491.614</w:t>
            </w:r>
          </w:p>
        </w:tc>
        <w:tc>
          <w:tcPr>
            <w:tcW w:w="445" w:type="pct"/>
            <w:tcBorders>
              <w:top w:val="nil"/>
              <w:left w:val="nil"/>
              <w:bottom w:val="nil"/>
              <w:right w:val="nil"/>
            </w:tcBorders>
            <w:vAlign w:val="center"/>
            <w:hideMark/>
          </w:tcPr>
          <w:p w14:paraId="34BBA310"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65.473</w:t>
            </w:r>
          </w:p>
        </w:tc>
        <w:tc>
          <w:tcPr>
            <w:tcW w:w="563" w:type="pct"/>
            <w:tcBorders>
              <w:top w:val="nil"/>
              <w:left w:val="nil"/>
              <w:bottom w:val="nil"/>
              <w:right w:val="nil"/>
            </w:tcBorders>
            <w:vAlign w:val="center"/>
            <w:hideMark/>
          </w:tcPr>
          <w:p w14:paraId="1D6B61D3"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12.877</w:t>
            </w:r>
          </w:p>
        </w:tc>
        <w:tc>
          <w:tcPr>
            <w:tcW w:w="502" w:type="pct"/>
            <w:tcBorders>
              <w:top w:val="nil"/>
              <w:left w:val="nil"/>
              <w:bottom w:val="nil"/>
              <w:right w:val="nil"/>
            </w:tcBorders>
            <w:vAlign w:val="center"/>
            <w:hideMark/>
          </w:tcPr>
          <w:p w14:paraId="3B949A4B"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241.886</w:t>
            </w:r>
          </w:p>
        </w:tc>
        <w:tc>
          <w:tcPr>
            <w:tcW w:w="488" w:type="pct"/>
            <w:tcBorders>
              <w:top w:val="nil"/>
              <w:left w:val="nil"/>
              <w:bottom w:val="nil"/>
              <w:right w:val="nil"/>
            </w:tcBorders>
            <w:vAlign w:val="center"/>
            <w:hideMark/>
          </w:tcPr>
          <w:p w14:paraId="4EF00364"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(150.045)</w:t>
            </w:r>
          </w:p>
        </w:tc>
        <w:tc>
          <w:tcPr>
            <w:tcW w:w="555" w:type="pct"/>
            <w:tcBorders>
              <w:top w:val="nil"/>
              <w:left w:val="nil"/>
              <w:bottom w:val="nil"/>
              <w:right w:val="nil"/>
            </w:tcBorders>
            <w:vAlign w:val="center"/>
            <w:hideMark/>
          </w:tcPr>
          <w:p w14:paraId="68BEEC7E"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(153.693)</w:t>
            </w:r>
          </w:p>
        </w:tc>
        <w:tc>
          <w:tcPr>
            <w:tcW w:w="550" w:type="pct"/>
            <w:tcBorders>
              <w:top w:val="nil"/>
              <w:left w:val="nil"/>
              <w:bottom w:val="nil"/>
              <w:right w:val="nil"/>
            </w:tcBorders>
            <w:vAlign w:val="center"/>
            <w:hideMark/>
          </w:tcPr>
          <w:p w14:paraId="7F837D74"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1.508.112</w:t>
            </w:r>
          </w:p>
        </w:tc>
      </w:tr>
      <w:tr w:rsidR="007A05AC" w:rsidRPr="007A05AC" w14:paraId="34812FB2" w14:textId="77777777" w:rsidTr="00E8422C">
        <w:trPr>
          <w:trHeight w:val="283"/>
        </w:trPr>
        <w:tc>
          <w:tcPr>
            <w:tcW w:w="1346" w:type="pct"/>
            <w:tcBorders>
              <w:top w:val="nil"/>
              <w:left w:val="nil"/>
              <w:bottom w:val="nil"/>
              <w:right w:val="single" w:sz="8" w:space="0" w:color="FFFFFF"/>
            </w:tcBorders>
            <w:noWrap/>
            <w:vAlign w:val="center"/>
            <w:hideMark/>
          </w:tcPr>
          <w:p w14:paraId="6BF3A39D" w14:textId="77777777" w:rsidR="007A05AC" w:rsidRPr="007A05AC" w:rsidRDefault="007A05AC">
            <w:pPr>
              <w:ind w:firstLineChars="100" w:firstLine="160"/>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Poupança – planos econômicos</w:t>
            </w:r>
          </w:p>
        </w:tc>
        <w:tc>
          <w:tcPr>
            <w:tcW w:w="550" w:type="pct"/>
            <w:tcBorders>
              <w:top w:val="nil"/>
              <w:left w:val="nil"/>
              <w:bottom w:val="nil"/>
              <w:right w:val="nil"/>
            </w:tcBorders>
            <w:vAlign w:val="center"/>
            <w:hideMark/>
          </w:tcPr>
          <w:p w14:paraId="7CD8A98E"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698.003</w:t>
            </w:r>
          </w:p>
        </w:tc>
        <w:tc>
          <w:tcPr>
            <w:tcW w:w="445" w:type="pct"/>
            <w:tcBorders>
              <w:top w:val="nil"/>
              <w:left w:val="nil"/>
              <w:bottom w:val="nil"/>
              <w:right w:val="nil"/>
            </w:tcBorders>
            <w:vAlign w:val="center"/>
            <w:hideMark/>
          </w:tcPr>
          <w:p w14:paraId="1EED9F9A"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6.099</w:t>
            </w:r>
          </w:p>
        </w:tc>
        <w:tc>
          <w:tcPr>
            <w:tcW w:w="563" w:type="pct"/>
            <w:tcBorders>
              <w:top w:val="nil"/>
              <w:left w:val="nil"/>
              <w:bottom w:val="nil"/>
              <w:right w:val="nil"/>
            </w:tcBorders>
            <w:vAlign w:val="center"/>
            <w:hideMark/>
          </w:tcPr>
          <w:p w14:paraId="1D10A9E5"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1.906</w:t>
            </w:r>
          </w:p>
        </w:tc>
        <w:tc>
          <w:tcPr>
            <w:tcW w:w="502" w:type="pct"/>
            <w:tcBorders>
              <w:top w:val="nil"/>
              <w:left w:val="nil"/>
              <w:bottom w:val="nil"/>
              <w:right w:val="nil"/>
            </w:tcBorders>
            <w:vAlign w:val="center"/>
            <w:hideMark/>
          </w:tcPr>
          <w:p w14:paraId="23526C97"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35.263</w:t>
            </w:r>
          </w:p>
        </w:tc>
        <w:tc>
          <w:tcPr>
            <w:tcW w:w="488" w:type="pct"/>
            <w:tcBorders>
              <w:top w:val="nil"/>
              <w:left w:val="nil"/>
              <w:bottom w:val="nil"/>
              <w:right w:val="nil"/>
            </w:tcBorders>
            <w:vAlign w:val="center"/>
            <w:hideMark/>
          </w:tcPr>
          <w:p w14:paraId="2C1CB1C0"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(31.998)</w:t>
            </w:r>
          </w:p>
        </w:tc>
        <w:tc>
          <w:tcPr>
            <w:tcW w:w="555" w:type="pct"/>
            <w:tcBorders>
              <w:top w:val="nil"/>
              <w:left w:val="nil"/>
              <w:bottom w:val="nil"/>
              <w:right w:val="nil"/>
            </w:tcBorders>
            <w:vAlign w:val="center"/>
            <w:hideMark/>
          </w:tcPr>
          <w:p w14:paraId="63DBE4DF"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(37.248)</w:t>
            </w:r>
          </w:p>
        </w:tc>
        <w:tc>
          <w:tcPr>
            <w:tcW w:w="550" w:type="pct"/>
            <w:tcBorders>
              <w:top w:val="nil"/>
              <w:left w:val="nil"/>
              <w:bottom w:val="nil"/>
              <w:right w:val="nil"/>
            </w:tcBorders>
            <w:vAlign w:val="center"/>
            <w:hideMark/>
          </w:tcPr>
          <w:p w14:paraId="05E81BDA"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672.025</w:t>
            </w:r>
          </w:p>
        </w:tc>
      </w:tr>
      <w:tr w:rsidR="007A05AC" w:rsidRPr="007A05AC" w14:paraId="18489568" w14:textId="77777777" w:rsidTr="00E8422C">
        <w:trPr>
          <w:trHeight w:val="283"/>
        </w:trPr>
        <w:tc>
          <w:tcPr>
            <w:tcW w:w="1346" w:type="pct"/>
            <w:tcBorders>
              <w:top w:val="nil"/>
              <w:left w:val="nil"/>
              <w:bottom w:val="nil"/>
              <w:right w:val="single" w:sz="8" w:space="0" w:color="FFFFFF"/>
            </w:tcBorders>
            <w:noWrap/>
            <w:vAlign w:val="center"/>
            <w:hideMark/>
          </w:tcPr>
          <w:p w14:paraId="5B0F8DAA" w14:textId="77777777" w:rsidR="007A05AC" w:rsidRPr="007A05AC" w:rsidRDefault="007A05AC">
            <w:pPr>
              <w:ind w:firstLineChars="100" w:firstLine="160"/>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Contingenciamento do FGTS</w:t>
            </w:r>
          </w:p>
        </w:tc>
        <w:tc>
          <w:tcPr>
            <w:tcW w:w="550" w:type="pct"/>
            <w:tcBorders>
              <w:top w:val="nil"/>
              <w:left w:val="nil"/>
              <w:bottom w:val="nil"/>
              <w:right w:val="nil"/>
            </w:tcBorders>
            <w:vAlign w:val="center"/>
            <w:hideMark/>
          </w:tcPr>
          <w:p w14:paraId="7EBA8FF7"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620.108</w:t>
            </w:r>
          </w:p>
        </w:tc>
        <w:tc>
          <w:tcPr>
            <w:tcW w:w="445" w:type="pct"/>
            <w:tcBorders>
              <w:top w:val="nil"/>
              <w:left w:val="nil"/>
              <w:bottom w:val="nil"/>
              <w:right w:val="nil"/>
            </w:tcBorders>
            <w:vAlign w:val="center"/>
            <w:hideMark/>
          </w:tcPr>
          <w:p w14:paraId="5631F56F" w14:textId="77777777" w:rsidR="007A05AC" w:rsidRPr="007A05AC" w:rsidRDefault="007A05AC" w:rsidP="0074002D">
            <w:pPr>
              <w:jc w:val="center"/>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w:t>
            </w:r>
          </w:p>
        </w:tc>
        <w:tc>
          <w:tcPr>
            <w:tcW w:w="563" w:type="pct"/>
            <w:tcBorders>
              <w:top w:val="nil"/>
              <w:left w:val="nil"/>
              <w:bottom w:val="nil"/>
              <w:right w:val="nil"/>
            </w:tcBorders>
            <w:vAlign w:val="center"/>
            <w:hideMark/>
          </w:tcPr>
          <w:p w14:paraId="55A18328"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7.956</w:t>
            </w:r>
          </w:p>
        </w:tc>
        <w:tc>
          <w:tcPr>
            <w:tcW w:w="502" w:type="pct"/>
            <w:tcBorders>
              <w:top w:val="nil"/>
              <w:left w:val="nil"/>
              <w:bottom w:val="nil"/>
              <w:right w:val="nil"/>
            </w:tcBorders>
            <w:vAlign w:val="center"/>
            <w:hideMark/>
          </w:tcPr>
          <w:p w14:paraId="30317B96" w14:textId="77777777" w:rsidR="007A05AC" w:rsidRPr="007A05AC" w:rsidRDefault="007A05AC" w:rsidP="0074002D">
            <w:pPr>
              <w:jc w:val="center"/>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w:t>
            </w:r>
          </w:p>
        </w:tc>
        <w:tc>
          <w:tcPr>
            <w:tcW w:w="488" w:type="pct"/>
            <w:tcBorders>
              <w:top w:val="nil"/>
              <w:left w:val="nil"/>
              <w:bottom w:val="nil"/>
              <w:right w:val="nil"/>
            </w:tcBorders>
            <w:vAlign w:val="center"/>
            <w:hideMark/>
          </w:tcPr>
          <w:p w14:paraId="755EEC1A" w14:textId="77777777" w:rsidR="007A05AC" w:rsidRPr="007A05AC" w:rsidRDefault="007A05AC" w:rsidP="0074002D">
            <w:pPr>
              <w:jc w:val="center"/>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w:t>
            </w:r>
          </w:p>
        </w:tc>
        <w:tc>
          <w:tcPr>
            <w:tcW w:w="555" w:type="pct"/>
            <w:tcBorders>
              <w:top w:val="nil"/>
              <w:left w:val="nil"/>
              <w:bottom w:val="nil"/>
              <w:right w:val="nil"/>
            </w:tcBorders>
            <w:vAlign w:val="center"/>
            <w:hideMark/>
          </w:tcPr>
          <w:p w14:paraId="55948DA4"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(6.868)</w:t>
            </w:r>
          </w:p>
        </w:tc>
        <w:tc>
          <w:tcPr>
            <w:tcW w:w="550" w:type="pct"/>
            <w:tcBorders>
              <w:top w:val="nil"/>
              <w:left w:val="nil"/>
              <w:bottom w:val="nil"/>
              <w:right w:val="nil"/>
            </w:tcBorders>
            <w:vAlign w:val="center"/>
            <w:hideMark/>
          </w:tcPr>
          <w:p w14:paraId="3F0AB182"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621.196</w:t>
            </w:r>
          </w:p>
        </w:tc>
      </w:tr>
      <w:tr w:rsidR="007A05AC" w:rsidRPr="007A05AC" w14:paraId="1296D59E" w14:textId="77777777" w:rsidTr="00E8422C">
        <w:trPr>
          <w:trHeight w:val="283"/>
        </w:trPr>
        <w:tc>
          <w:tcPr>
            <w:tcW w:w="1346" w:type="pct"/>
            <w:tcBorders>
              <w:top w:val="nil"/>
              <w:left w:val="nil"/>
              <w:bottom w:val="nil"/>
              <w:right w:val="single" w:sz="8" w:space="0" w:color="FFFFFF"/>
            </w:tcBorders>
            <w:noWrap/>
            <w:vAlign w:val="center"/>
            <w:hideMark/>
          </w:tcPr>
          <w:p w14:paraId="33986DB4" w14:textId="77777777" w:rsidR="007A05AC" w:rsidRPr="007A05AC" w:rsidRDefault="007A05AC">
            <w:pPr>
              <w:ind w:firstLineChars="100" w:firstLine="160"/>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Habitacional</w:t>
            </w:r>
          </w:p>
        </w:tc>
        <w:tc>
          <w:tcPr>
            <w:tcW w:w="550" w:type="pct"/>
            <w:tcBorders>
              <w:top w:val="nil"/>
              <w:left w:val="nil"/>
              <w:bottom w:val="nil"/>
              <w:right w:val="nil"/>
            </w:tcBorders>
            <w:vAlign w:val="center"/>
            <w:hideMark/>
          </w:tcPr>
          <w:p w14:paraId="79B571B2"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568.358</w:t>
            </w:r>
          </w:p>
        </w:tc>
        <w:tc>
          <w:tcPr>
            <w:tcW w:w="445" w:type="pct"/>
            <w:tcBorders>
              <w:top w:val="nil"/>
              <w:left w:val="nil"/>
              <w:bottom w:val="nil"/>
              <w:right w:val="nil"/>
            </w:tcBorders>
            <w:vAlign w:val="center"/>
            <w:hideMark/>
          </w:tcPr>
          <w:p w14:paraId="40D7BBAA"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11.741</w:t>
            </w:r>
          </w:p>
        </w:tc>
        <w:tc>
          <w:tcPr>
            <w:tcW w:w="563" w:type="pct"/>
            <w:tcBorders>
              <w:top w:val="nil"/>
              <w:left w:val="nil"/>
              <w:bottom w:val="nil"/>
              <w:right w:val="nil"/>
            </w:tcBorders>
            <w:vAlign w:val="center"/>
            <w:hideMark/>
          </w:tcPr>
          <w:p w14:paraId="2F47484B"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2.867</w:t>
            </w:r>
          </w:p>
        </w:tc>
        <w:tc>
          <w:tcPr>
            <w:tcW w:w="502" w:type="pct"/>
            <w:tcBorders>
              <w:top w:val="nil"/>
              <w:left w:val="nil"/>
              <w:bottom w:val="nil"/>
              <w:right w:val="nil"/>
            </w:tcBorders>
            <w:vAlign w:val="center"/>
            <w:hideMark/>
          </w:tcPr>
          <w:p w14:paraId="5CAD2F6C"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154.063</w:t>
            </w:r>
          </w:p>
        </w:tc>
        <w:tc>
          <w:tcPr>
            <w:tcW w:w="488" w:type="pct"/>
            <w:tcBorders>
              <w:top w:val="nil"/>
              <w:left w:val="nil"/>
              <w:bottom w:val="nil"/>
              <w:right w:val="nil"/>
            </w:tcBorders>
            <w:vAlign w:val="center"/>
            <w:hideMark/>
          </w:tcPr>
          <w:p w14:paraId="7B013BB1"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(41.487)</w:t>
            </w:r>
          </w:p>
        </w:tc>
        <w:tc>
          <w:tcPr>
            <w:tcW w:w="555" w:type="pct"/>
            <w:tcBorders>
              <w:top w:val="nil"/>
              <w:left w:val="nil"/>
              <w:bottom w:val="nil"/>
              <w:right w:val="nil"/>
            </w:tcBorders>
            <w:vAlign w:val="center"/>
            <w:hideMark/>
          </w:tcPr>
          <w:p w14:paraId="795BDFFF"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(64.370)</w:t>
            </w:r>
          </w:p>
        </w:tc>
        <w:tc>
          <w:tcPr>
            <w:tcW w:w="550" w:type="pct"/>
            <w:tcBorders>
              <w:top w:val="nil"/>
              <w:left w:val="nil"/>
              <w:bottom w:val="nil"/>
              <w:right w:val="nil"/>
            </w:tcBorders>
            <w:vAlign w:val="center"/>
            <w:hideMark/>
          </w:tcPr>
          <w:p w14:paraId="54AD2CA7"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631.172</w:t>
            </w:r>
          </w:p>
        </w:tc>
      </w:tr>
      <w:tr w:rsidR="007A05AC" w:rsidRPr="007A05AC" w14:paraId="3ECDB46A" w14:textId="77777777" w:rsidTr="00E8422C">
        <w:trPr>
          <w:trHeight w:val="283"/>
        </w:trPr>
        <w:tc>
          <w:tcPr>
            <w:tcW w:w="1346" w:type="pct"/>
            <w:tcBorders>
              <w:top w:val="nil"/>
              <w:left w:val="nil"/>
              <w:bottom w:val="nil"/>
              <w:right w:val="nil"/>
            </w:tcBorders>
            <w:shd w:val="clear" w:color="000000" w:fill="D0E0E3"/>
            <w:noWrap/>
            <w:vAlign w:val="center"/>
            <w:hideMark/>
          </w:tcPr>
          <w:p w14:paraId="3F8DC4CC" w14:textId="77777777" w:rsidR="007A05AC" w:rsidRPr="007A05AC" w:rsidRDefault="007A05AC">
            <w:pPr>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Fiscais (b.4)</w:t>
            </w:r>
          </w:p>
        </w:tc>
        <w:tc>
          <w:tcPr>
            <w:tcW w:w="550" w:type="pct"/>
            <w:tcBorders>
              <w:top w:val="nil"/>
              <w:left w:val="nil"/>
              <w:bottom w:val="nil"/>
              <w:right w:val="nil"/>
            </w:tcBorders>
            <w:shd w:val="clear" w:color="000000" w:fill="D0E0E3"/>
            <w:noWrap/>
            <w:vAlign w:val="center"/>
            <w:hideMark/>
          </w:tcPr>
          <w:p w14:paraId="3CC39B01" w14:textId="77777777" w:rsidR="007A05AC" w:rsidRPr="007A05AC" w:rsidRDefault="007A05AC" w:rsidP="00F60100">
            <w:pPr>
              <w:jc w:val="right"/>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678.627</w:t>
            </w:r>
          </w:p>
        </w:tc>
        <w:tc>
          <w:tcPr>
            <w:tcW w:w="445" w:type="pct"/>
            <w:tcBorders>
              <w:top w:val="nil"/>
              <w:left w:val="nil"/>
              <w:bottom w:val="nil"/>
              <w:right w:val="nil"/>
            </w:tcBorders>
            <w:shd w:val="clear" w:color="000000" w:fill="D0E0E3"/>
            <w:noWrap/>
            <w:vAlign w:val="center"/>
            <w:hideMark/>
          </w:tcPr>
          <w:p w14:paraId="371E477C" w14:textId="77777777" w:rsidR="007A05AC" w:rsidRPr="007A05AC" w:rsidRDefault="007A05AC" w:rsidP="00F60100">
            <w:pPr>
              <w:jc w:val="right"/>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14.992</w:t>
            </w:r>
          </w:p>
        </w:tc>
        <w:tc>
          <w:tcPr>
            <w:tcW w:w="563" w:type="pct"/>
            <w:tcBorders>
              <w:top w:val="nil"/>
              <w:left w:val="nil"/>
              <w:bottom w:val="nil"/>
              <w:right w:val="nil"/>
            </w:tcBorders>
            <w:shd w:val="clear" w:color="000000" w:fill="D0E0E3"/>
            <w:noWrap/>
            <w:vAlign w:val="center"/>
            <w:hideMark/>
          </w:tcPr>
          <w:p w14:paraId="1FA93CE3" w14:textId="77777777" w:rsidR="007A05AC" w:rsidRPr="007A05AC" w:rsidRDefault="007A05AC" w:rsidP="00F60100">
            <w:pPr>
              <w:jc w:val="right"/>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8.541</w:t>
            </w:r>
          </w:p>
        </w:tc>
        <w:tc>
          <w:tcPr>
            <w:tcW w:w="502" w:type="pct"/>
            <w:tcBorders>
              <w:top w:val="nil"/>
              <w:left w:val="nil"/>
              <w:bottom w:val="nil"/>
              <w:right w:val="nil"/>
            </w:tcBorders>
            <w:shd w:val="clear" w:color="000000" w:fill="D0E0E3"/>
            <w:noWrap/>
            <w:vAlign w:val="center"/>
            <w:hideMark/>
          </w:tcPr>
          <w:p w14:paraId="3A9185F7" w14:textId="77777777" w:rsidR="007A05AC" w:rsidRPr="007A05AC" w:rsidRDefault="007A05AC" w:rsidP="00F60100">
            <w:pPr>
              <w:jc w:val="right"/>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17.982</w:t>
            </w:r>
          </w:p>
        </w:tc>
        <w:tc>
          <w:tcPr>
            <w:tcW w:w="488" w:type="pct"/>
            <w:tcBorders>
              <w:top w:val="nil"/>
              <w:left w:val="nil"/>
              <w:bottom w:val="nil"/>
              <w:right w:val="nil"/>
            </w:tcBorders>
            <w:shd w:val="clear" w:color="000000" w:fill="D0E0E3"/>
            <w:noWrap/>
            <w:vAlign w:val="center"/>
            <w:hideMark/>
          </w:tcPr>
          <w:p w14:paraId="7BCD22BA" w14:textId="77777777" w:rsidR="007A05AC" w:rsidRPr="007A05AC" w:rsidRDefault="007A05AC" w:rsidP="00F60100">
            <w:pPr>
              <w:jc w:val="right"/>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(72.122)</w:t>
            </w:r>
          </w:p>
        </w:tc>
        <w:tc>
          <w:tcPr>
            <w:tcW w:w="555" w:type="pct"/>
            <w:tcBorders>
              <w:top w:val="nil"/>
              <w:left w:val="nil"/>
              <w:bottom w:val="nil"/>
              <w:right w:val="nil"/>
            </w:tcBorders>
            <w:shd w:val="clear" w:color="000000" w:fill="D0E0E3"/>
            <w:noWrap/>
            <w:vAlign w:val="center"/>
            <w:hideMark/>
          </w:tcPr>
          <w:p w14:paraId="07BA3D26" w14:textId="77777777" w:rsidR="007A05AC" w:rsidRPr="007A05AC" w:rsidRDefault="007A05AC" w:rsidP="00F60100">
            <w:pPr>
              <w:jc w:val="right"/>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(7.872)</w:t>
            </w:r>
          </w:p>
        </w:tc>
        <w:tc>
          <w:tcPr>
            <w:tcW w:w="550" w:type="pct"/>
            <w:tcBorders>
              <w:top w:val="nil"/>
              <w:left w:val="nil"/>
              <w:bottom w:val="nil"/>
              <w:right w:val="nil"/>
            </w:tcBorders>
            <w:shd w:val="clear" w:color="000000" w:fill="D0E0E3"/>
            <w:noWrap/>
            <w:vAlign w:val="center"/>
            <w:hideMark/>
          </w:tcPr>
          <w:p w14:paraId="0EC88CC9" w14:textId="77777777" w:rsidR="007A05AC" w:rsidRPr="007A05AC" w:rsidRDefault="007A05AC" w:rsidP="00F60100">
            <w:pPr>
              <w:jc w:val="right"/>
              <w:rPr>
                <w:rFonts w:ascii="CAIXA Std Book" w:eastAsia="Times New Roman" w:hAnsi="CAIXA Std Book" w:cs="Arial"/>
                <w:b/>
                <w:bCs/>
                <w:color w:val="005CA9"/>
                <w:sz w:val="16"/>
                <w:szCs w:val="16"/>
              </w:rPr>
            </w:pPr>
            <w:r w:rsidRPr="007A05AC">
              <w:rPr>
                <w:rFonts w:ascii="CAIXA Std Book" w:eastAsia="Times New Roman" w:hAnsi="CAIXA Std Book" w:cs="Arial"/>
                <w:b/>
                <w:bCs/>
                <w:color w:val="005CA9"/>
                <w:sz w:val="16"/>
                <w:szCs w:val="16"/>
              </w:rPr>
              <w:t>640.148</w:t>
            </w:r>
          </w:p>
        </w:tc>
      </w:tr>
      <w:tr w:rsidR="007A05AC" w:rsidRPr="007A05AC" w14:paraId="2EB10A3F" w14:textId="77777777" w:rsidTr="00E8422C">
        <w:trPr>
          <w:trHeight w:val="283"/>
        </w:trPr>
        <w:tc>
          <w:tcPr>
            <w:tcW w:w="1346" w:type="pct"/>
            <w:tcBorders>
              <w:top w:val="nil"/>
              <w:left w:val="nil"/>
              <w:bottom w:val="nil"/>
              <w:right w:val="single" w:sz="8" w:space="0" w:color="FFFFFF"/>
            </w:tcBorders>
            <w:noWrap/>
            <w:vAlign w:val="center"/>
            <w:hideMark/>
          </w:tcPr>
          <w:p w14:paraId="748F2597" w14:textId="77777777" w:rsidR="007A05AC" w:rsidRPr="007A05AC" w:rsidRDefault="007A05AC">
            <w:pPr>
              <w:ind w:firstLineChars="100" w:firstLine="160"/>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ISSQN</w:t>
            </w:r>
          </w:p>
        </w:tc>
        <w:tc>
          <w:tcPr>
            <w:tcW w:w="550" w:type="pct"/>
            <w:tcBorders>
              <w:top w:val="nil"/>
              <w:left w:val="nil"/>
              <w:bottom w:val="nil"/>
              <w:right w:val="nil"/>
            </w:tcBorders>
            <w:vAlign w:val="center"/>
            <w:hideMark/>
          </w:tcPr>
          <w:p w14:paraId="32A1FEF4"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417.462</w:t>
            </w:r>
          </w:p>
        </w:tc>
        <w:tc>
          <w:tcPr>
            <w:tcW w:w="445" w:type="pct"/>
            <w:tcBorders>
              <w:top w:val="nil"/>
              <w:left w:val="nil"/>
              <w:bottom w:val="nil"/>
              <w:right w:val="nil"/>
            </w:tcBorders>
            <w:vAlign w:val="center"/>
            <w:hideMark/>
          </w:tcPr>
          <w:p w14:paraId="0BBE9C1A"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5.289</w:t>
            </w:r>
          </w:p>
        </w:tc>
        <w:tc>
          <w:tcPr>
            <w:tcW w:w="563" w:type="pct"/>
            <w:tcBorders>
              <w:top w:val="nil"/>
              <w:left w:val="nil"/>
              <w:bottom w:val="nil"/>
              <w:right w:val="nil"/>
            </w:tcBorders>
            <w:vAlign w:val="center"/>
            <w:hideMark/>
          </w:tcPr>
          <w:p w14:paraId="2A775389"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6.502</w:t>
            </w:r>
          </w:p>
        </w:tc>
        <w:tc>
          <w:tcPr>
            <w:tcW w:w="502" w:type="pct"/>
            <w:tcBorders>
              <w:top w:val="nil"/>
              <w:left w:val="nil"/>
              <w:bottom w:val="nil"/>
              <w:right w:val="nil"/>
            </w:tcBorders>
            <w:vAlign w:val="center"/>
            <w:hideMark/>
          </w:tcPr>
          <w:p w14:paraId="3ECC6A30"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7.125</w:t>
            </w:r>
          </w:p>
        </w:tc>
        <w:tc>
          <w:tcPr>
            <w:tcW w:w="488" w:type="pct"/>
            <w:tcBorders>
              <w:top w:val="nil"/>
              <w:left w:val="nil"/>
              <w:bottom w:val="nil"/>
              <w:right w:val="nil"/>
            </w:tcBorders>
            <w:vAlign w:val="center"/>
            <w:hideMark/>
          </w:tcPr>
          <w:p w14:paraId="43128EDA"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(64.328)</w:t>
            </w:r>
          </w:p>
        </w:tc>
        <w:tc>
          <w:tcPr>
            <w:tcW w:w="555" w:type="pct"/>
            <w:tcBorders>
              <w:top w:val="nil"/>
              <w:left w:val="nil"/>
              <w:bottom w:val="nil"/>
              <w:right w:val="nil"/>
            </w:tcBorders>
            <w:vAlign w:val="center"/>
            <w:hideMark/>
          </w:tcPr>
          <w:p w14:paraId="39FF0BC0"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(3.620)</w:t>
            </w:r>
          </w:p>
        </w:tc>
        <w:tc>
          <w:tcPr>
            <w:tcW w:w="550" w:type="pct"/>
            <w:tcBorders>
              <w:top w:val="nil"/>
              <w:left w:val="nil"/>
              <w:bottom w:val="nil"/>
              <w:right w:val="nil"/>
            </w:tcBorders>
            <w:vAlign w:val="center"/>
            <w:hideMark/>
          </w:tcPr>
          <w:p w14:paraId="08729454"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368.430</w:t>
            </w:r>
          </w:p>
        </w:tc>
      </w:tr>
      <w:tr w:rsidR="007A05AC" w:rsidRPr="007A05AC" w14:paraId="2EA373D2" w14:textId="77777777" w:rsidTr="00E8422C">
        <w:trPr>
          <w:trHeight w:val="283"/>
        </w:trPr>
        <w:tc>
          <w:tcPr>
            <w:tcW w:w="1346" w:type="pct"/>
            <w:tcBorders>
              <w:top w:val="nil"/>
              <w:left w:val="nil"/>
              <w:bottom w:val="nil"/>
              <w:right w:val="single" w:sz="8" w:space="0" w:color="FFFFFF"/>
            </w:tcBorders>
            <w:noWrap/>
            <w:vAlign w:val="center"/>
            <w:hideMark/>
          </w:tcPr>
          <w:p w14:paraId="58E2E169" w14:textId="77777777" w:rsidR="007A05AC" w:rsidRPr="007A05AC" w:rsidRDefault="007A05AC">
            <w:pPr>
              <w:ind w:firstLineChars="100" w:firstLine="160"/>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INSS</w:t>
            </w:r>
          </w:p>
        </w:tc>
        <w:tc>
          <w:tcPr>
            <w:tcW w:w="550" w:type="pct"/>
            <w:tcBorders>
              <w:top w:val="nil"/>
              <w:left w:val="nil"/>
              <w:bottom w:val="nil"/>
              <w:right w:val="nil"/>
            </w:tcBorders>
            <w:vAlign w:val="center"/>
            <w:hideMark/>
          </w:tcPr>
          <w:p w14:paraId="12EE60C6"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5.664</w:t>
            </w:r>
          </w:p>
        </w:tc>
        <w:tc>
          <w:tcPr>
            <w:tcW w:w="445" w:type="pct"/>
            <w:tcBorders>
              <w:top w:val="nil"/>
              <w:left w:val="nil"/>
              <w:bottom w:val="nil"/>
              <w:right w:val="nil"/>
            </w:tcBorders>
            <w:vAlign w:val="center"/>
            <w:hideMark/>
          </w:tcPr>
          <w:p w14:paraId="5E03476C"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5.235</w:t>
            </w:r>
          </w:p>
        </w:tc>
        <w:tc>
          <w:tcPr>
            <w:tcW w:w="563" w:type="pct"/>
            <w:tcBorders>
              <w:top w:val="nil"/>
              <w:left w:val="nil"/>
              <w:bottom w:val="nil"/>
              <w:right w:val="nil"/>
            </w:tcBorders>
            <w:vAlign w:val="center"/>
            <w:hideMark/>
          </w:tcPr>
          <w:p w14:paraId="3ED7DC9E"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167</w:t>
            </w:r>
          </w:p>
        </w:tc>
        <w:tc>
          <w:tcPr>
            <w:tcW w:w="502" w:type="pct"/>
            <w:tcBorders>
              <w:top w:val="nil"/>
              <w:left w:val="nil"/>
              <w:bottom w:val="nil"/>
              <w:right w:val="nil"/>
            </w:tcBorders>
            <w:vAlign w:val="center"/>
            <w:hideMark/>
          </w:tcPr>
          <w:p w14:paraId="7A375FD4"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26</w:t>
            </w:r>
          </w:p>
        </w:tc>
        <w:tc>
          <w:tcPr>
            <w:tcW w:w="488" w:type="pct"/>
            <w:tcBorders>
              <w:top w:val="nil"/>
              <w:left w:val="nil"/>
              <w:bottom w:val="nil"/>
              <w:right w:val="nil"/>
            </w:tcBorders>
            <w:vAlign w:val="center"/>
            <w:hideMark/>
          </w:tcPr>
          <w:p w14:paraId="39643E54"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(6)</w:t>
            </w:r>
          </w:p>
        </w:tc>
        <w:tc>
          <w:tcPr>
            <w:tcW w:w="555" w:type="pct"/>
            <w:tcBorders>
              <w:top w:val="nil"/>
              <w:left w:val="nil"/>
              <w:bottom w:val="nil"/>
              <w:right w:val="nil"/>
            </w:tcBorders>
            <w:vAlign w:val="center"/>
            <w:hideMark/>
          </w:tcPr>
          <w:p w14:paraId="55B7EF29" w14:textId="77777777" w:rsidR="007A05AC" w:rsidRPr="007A05AC" w:rsidRDefault="007A05AC" w:rsidP="0074002D">
            <w:pPr>
              <w:jc w:val="center"/>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w:t>
            </w:r>
          </w:p>
        </w:tc>
        <w:tc>
          <w:tcPr>
            <w:tcW w:w="550" w:type="pct"/>
            <w:tcBorders>
              <w:top w:val="nil"/>
              <w:left w:val="nil"/>
              <w:bottom w:val="nil"/>
              <w:right w:val="nil"/>
            </w:tcBorders>
            <w:vAlign w:val="center"/>
            <w:hideMark/>
          </w:tcPr>
          <w:p w14:paraId="0C5EDF26"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11.086</w:t>
            </w:r>
          </w:p>
        </w:tc>
      </w:tr>
      <w:tr w:rsidR="007A05AC" w:rsidRPr="007A05AC" w14:paraId="4524011F" w14:textId="77777777" w:rsidTr="00E8422C">
        <w:trPr>
          <w:trHeight w:val="283"/>
        </w:trPr>
        <w:tc>
          <w:tcPr>
            <w:tcW w:w="1346" w:type="pct"/>
            <w:tcBorders>
              <w:top w:val="nil"/>
              <w:left w:val="nil"/>
              <w:bottom w:val="nil"/>
              <w:right w:val="single" w:sz="8" w:space="0" w:color="FFFFFF"/>
            </w:tcBorders>
            <w:noWrap/>
            <w:vAlign w:val="center"/>
            <w:hideMark/>
          </w:tcPr>
          <w:p w14:paraId="4F9F0FE9" w14:textId="77777777" w:rsidR="007A05AC" w:rsidRPr="007A05AC" w:rsidRDefault="007A05AC">
            <w:pPr>
              <w:ind w:firstLineChars="100" w:firstLine="160"/>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IPTU</w:t>
            </w:r>
          </w:p>
        </w:tc>
        <w:tc>
          <w:tcPr>
            <w:tcW w:w="550" w:type="pct"/>
            <w:tcBorders>
              <w:top w:val="nil"/>
              <w:left w:val="nil"/>
              <w:bottom w:val="nil"/>
              <w:right w:val="nil"/>
            </w:tcBorders>
            <w:vAlign w:val="center"/>
            <w:hideMark/>
          </w:tcPr>
          <w:p w14:paraId="24324892"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109.338</w:t>
            </w:r>
          </w:p>
        </w:tc>
        <w:tc>
          <w:tcPr>
            <w:tcW w:w="445" w:type="pct"/>
            <w:tcBorders>
              <w:top w:val="nil"/>
              <w:left w:val="nil"/>
              <w:bottom w:val="nil"/>
              <w:right w:val="nil"/>
            </w:tcBorders>
            <w:vAlign w:val="center"/>
            <w:hideMark/>
          </w:tcPr>
          <w:p w14:paraId="3816C43C"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3.726</w:t>
            </w:r>
          </w:p>
        </w:tc>
        <w:tc>
          <w:tcPr>
            <w:tcW w:w="563" w:type="pct"/>
            <w:tcBorders>
              <w:top w:val="nil"/>
              <w:left w:val="nil"/>
              <w:bottom w:val="nil"/>
              <w:right w:val="nil"/>
            </w:tcBorders>
            <w:vAlign w:val="center"/>
            <w:hideMark/>
          </w:tcPr>
          <w:p w14:paraId="5C72F84E"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643</w:t>
            </w:r>
          </w:p>
        </w:tc>
        <w:tc>
          <w:tcPr>
            <w:tcW w:w="502" w:type="pct"/>
            <w:tcBorders>
              <w:top w:val="nil"/>
              <w:left w:val="nil"/>
              <w:bottom w:val="nil"/>
              <w:right w:val="nil"/>
            </w:tcBorders>
            <w:vAlign w:val="center"/>
            <w:hideMark/>
          </w:tcPr>
          <w:p w14:paraId="41AC9F41"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5.938</w:t>
            </w:r>
          </w:p>
        </w:tc>
        <w:tc>
          <w:tcPr>
            <w:tcW w:w="488" w:type="pct"/>
            <w:tcBorders>
              <w:top w:val="nil"/>
              <w:left w:val="nil"/>
              <w:bottom w:val="nil"/>
              <w:right w:val="nil"/>
            </w:tcBorders>
            <w:vAlign w:val="center"/>
            <w:hideMark/>
          </w:tcPr>
          <w:p w14:paraId="16664F11"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(4.868)</w:t>
            </w:r>
          </w:p>
        </w:tc>
        <w:tc>
          <w:tcPr>
            <w:tcW w:w="555" w:type="pct"/>
            <w:tcBorders>
              <w:top w:val="nil"/>
              <w:left w:val="nil"/>
              <w:bottom w:val="nil"/>
              <w:right w:val="nil"/>
            </w:tcBorders>
            <w:vAlign w:val="center"/>
            <w:hideMark/>
          </w:tcPr>
          <w:p w14:paraId="6DF3F978"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(3.366)</w:t>
            </w:r>
          </w:p>
        </w:tc>
        <w:tc>
          <w:tcPr>
            <w:tcW w:w="550" w:type="pct"/>
            <w:tcBorders>
              <w:top w:val="nil"/>
              <w:left w:val="nil"/>
              <w:bottom w:val="nil"/>
              <w:right w:val="nil"/>
            </w:tcBorders>
            <w:vAlign w:val="center"/>
            <w:hideMark/>
          </w:tcPr>
          <w:p w14:paraId="43B65692"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111.411</w:t>
            </w:r>
          </w:p>
        </w:tc>
      </w:tr>
      <w:tr w:rsidR="007A05AC" w:rsidRPr="007A05AC" w14:paraId="28514ED6" w14:textId="77777777" w:rsidTr="00E8422C">
        <w:trPr>
          <w:trHeight w:val="283"/>
        </w:trPr>
        <w:tc>
          <w:tcPr>
            <w:tcW w:w="1346" w:type="pct"/>
            <w:tcBorders>
              <w:top w:val="nil"/>
              <w:left w:val="nil"/>
              <w:bottom w:val="nil"/>
              <w:right w:val="single" w:sz="8" w:space="0" w:color="FFFFFF"/>
            </w:tcBorders>
            <w:noWrap/>
            <w:vAlign w:val="center"/>
            <w:hideMark/>
          </w:tcPr>
          <w:p w14:paraId="114BD330" w14:textId="77777777" w:rsidR="007A05AC" w:rsidRPr="007A05AC" w:rsidRDefault="007A05AC">
            <w:pPr>
              <w:ind w:firstLineChars="100" w:firstLine="160"/>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Outros</w:t>
            </w:r>
          </w:p>
        </w:tc>
        <w:tc>
          <w:tcPr>
            <w:tcW w:w="550" w:type="pct"/>
            <w:tcBorders>
              <w:top w:val="nil"/>
              <w:left w:val="nil"/>
              <w:bottom w:val="nil"/>
              <w:right w:val="nil"/>
            </w:tcBorders>
            <w:vAlign w:val="center"/>
            <w:hideMark/>
          </w:tcPr>
          <w:p w14:paraId="24F19282"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146.163</w:t>
            </w:r>
          </w:p>
        </w:tc>
        <w:tc>
          <w:tcPr>
            <w:tcW w:w="445" w:type="pct"/>
            <w:tcBorders>
              <w:top w:val="nil"/>
              <w:left w:val="nil"/>
              <w:bottom w:val="nil"/>
              <w:right w:val="nil"/>
            </w:tcBorders>
            <w:vAlign w:val="center"/>
            <w:hideMark/>
          </w:tcPr>
          <w:p w14:paraId="628E564C"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742</w:t>
            </w:r>
          </w:p>
        </w:tc>
        <w:tc>
          <w:tcPr>
            <w:tcW w:w="563" w:type="pct"/>
            <w:tcBorders>
              <w:top w:val="nil"/>
              <w:left w:val="nil"/>
              <w:bottom w:val="nil"/>
              <w:right w:val="nil"/>
            </w:tcBorders>
            <w:vAlign w:val="center"/>
            <w:hideMark/>
          </w:tcPr>
          <w:p w14:paraId="09918FFB"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1.229</w:t>
            </w:r>
          </w:p>
        </w:tc>
        <w:tc>
          <w:tcPr>
            <w:tcW w:w="502" w:type="pct"/>
            <w:tcBorders>
              <w:top w:val="nil"/>
              <w:left w:val="nil"/>
              <w:bottom w:val="nil"/>
              <w:right w:val="nil"/>
            </w:tcBorders>
            <w:vAlign w:val="center"/>
            <w:hideMark/>
          </w:tcPr>
          <w:p w14:paraId="304D5904"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4.893</w:t>
            </w:r>
          </w:p>
        </w:tc>
        <w:tc>
          <w:tcPr>
            <w:tcW w:w="488" w:type="pct"/>
            <w:tcBorders>
              <w:top w:val="nil"/>
              <w:left w:val="nil"/>
              <w:bottom w:val="nil"/>
              <w:right w:val="nil"/>
            </w:tcBorders>
            <w:vAlign w:val="center"/>
            <w:hideMark/>
          </w:tcPr>
          <w:p w14:paraId="225CB736"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(2.920)</w:t>
            </w:r>
          </w:p>
        </w:tc>
        <w:tc>
          <w:tcPr>
            <w:tcW w:w="555" w:type="pct"/>
            <w:tcBorders>
              <w:top w:val="nil"/>
              <w:left w:val="nil"/>
              <w:bottom w:val="nil"/>
              <w:right w:val="nil"/>
            </w:tcBorders>
            <w:vAlign w:val="center"/>
            <w:hideMark/>
          </w:tcPr>
          <w:p w14:paraId="59ED5467"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(886)</w:t>
            </w:r>
          </w:p>
        </w:tc>
        <w:tc>
          <w:tcPr>
            <w:tcW w:w="550" w:type="pct"/>
            <w:tcBorders>
              <w:top w:val="nil"/>
              <w:left w:val="nil"/>
              <w:bottom w:val="nil"/>
              <w:right w:val="nil"/>
            </w:tcBorders>
            <w:vAlign w:val="center"/>
            <w:hideMark/>
          </w:tcPr>
          <w:p w14:paraId="00CBDFB2" w14:textId="77777777" w:rsidR="007A05AC" w:rsidRPr="007A05AC" w:rsidRDefault="007A05AC" w:rsidP="00F60100">
            <w:pPr>
              <w:jc w:val="right"/>
              <w:rPr>
                <w:rFonts w:ascii="CAIXA Std Book" w:eastAsia="Times New Roman" w:hAnsi="CAIXA Std Book" w:cs="Arial"/>
                <w:color w:val="005CA9"/>
                <w:sz w:val="16"/>
                <w:szCs w:val="16"/>
              </w:rPr>
            </w:pPr>
            <w:r w:rsidRPr="007A05AC">
              <w:rPr>
                <w:rFonts w:ascii="CAIXA Std Book" w:eastAsia="Times New Roman" w:hAnsi="CAIXA Std Book" w:cs="Arial"/>
                <w:color w:val="005CA9"/>
                <w:sz w:val="16"/>
                <w:szCs w:val="16"/>
              </w:rPr>
              <w:t>149.221</w:t>
            </w:r>
          </w:p>
        </w:tc>
      </w:tr>
      <w:tr w:rsidR="007A05AC" w:rsidRPr="007A05AC" w14:paraId="53D5BE51" w14:textId="77777777" w:rsidTr="00E8422C">
        <w:trPr>
          <w:trHeight w:val="283"/>
        </w:trPr>
        <w:tc>
          <w:tcPr>
            <w:tcW w:w="1346" w:type="pct"/>
            <w:tcBorders>
              <w:top w:val="nil"/>
              <w:left w:val="nil"/>
              <w:bottom w:val="nil"/>
              <w:right w:val="nil"/>
            </w:tcBorders>
            <w:shd w:val="clear" w:color="000000" w:fill="005CA9"/>
            <w:noWrap/>
            <w:vAlign w:val="center"/>
            <w:hideMark/>
          </w:tcPr>
          <w:p w14:paraId="524A30CC" w14:textId="77777777" w:rsidR="007A05AC" w:rsidRPr="007A05AC" w:rsidRDefault="007A05AC">
            <w:pPr>
              <w:rPr>
                <w:rFonts w:ascii="CAIXA Std Book" w:eastAsia="Times New Roman" w:hAnsi="CAIXA Std Book" w:cs="Arial"/>
                <w:b/>
                <w:bCs/>
                <w:color w:val="FFFFFF"/>
                <w:sz w:val="16"/>
                <w:szCs w:val="16"/>
              </w:rPr>
            </w:pPr>
            <w:r w:rsidRPr="007A05AC">
              <w:rPr>
                <w:rFonts w:ascii="CAIXA Std Book" w:eastAsia="Times New Roman" w:hAnsi="CAIXA Std Book" w:cs="Arial"/>
                <w:b/>
                <w:bCs/>
                <w:color w:val="FFFFFF"/>
                <w:sz w:val="16"/>
                <w:szCs w:val="16"/>
              </w:rPr>
              <w:t>Total</w:t>
            </w:r>
          </w:p>
        </w:tc>
        <w:tc>
          <w:tcPr>
            <w:tcW w:w="550" w:type="pct"/>
            <w:tcBorders>
              <w:top w:val="nil"/>
              <w:left w:val="nil"/>
              <w:bottom w:val="nil"/>
              <w:right w:val="nil"/>
            </w:tcBorders>
            <w:shd w:val="clear" w:color="000000" w:fill="005CA9"/>
            <w:noWrap/>
            <w:vAlign w:val="center"/>
            <w:hideMark/>
          </w:tcPr>
          <w:p w14:paraId="033EEB46" w14:textId="77777777" w:rsidR="007A05AC" w:rsidRPr="007A05AC" w:rsidRDefault="007A05AC" w:rsidP="00F60100">
            <w:pPr>
              <w:jc w:val="right"/>
              <w:rPr>
                <w:rFonts w:ascii="CAIXA Std Book" w:eastAsia="Times New Roman" w:hAnsi="CAIXA Std Book" w:cs="Arial"/>
                <w:b/>
                <w:bCs/>
                <w:color w:val="FFFFFF"/>
                <w:sz w:val="16"/>
                <w:szCs w:val="16"/>
              </w:rPr>
            </w:pPr>
            <w:r w:rsidRPr="007A05AC">
              <w:rPr>
                <w:rFonts w:ascii="CAIXA Std Book" w:eastAsia="Times New Roman" w:hAnsi="CAIXA Std Book" w:cs="Arial"/>
                <w:b/>
                <w:bCs/>
                <w:color w:val="FFFFFF"/>
                <w:sz w:val="16"/>
                <w:szCs w:val="16"/>
              </w:rPr>
              <w:t>8.560.082</w:t>
            </w:r>
          </w:p>
        </w:tc>
        <w:tc>
          <w:tcPr>
            <w:tcW w:w="445" w:type="pct"/>
            <w:tcBorders>
              <w:top w:val="nil"/>
              <w:left w:val="nil"/>
              <w:bottom w:val="nil"/>
              <w:right w:val="nil"/>
            </w:tcBorders>
            <w:shd w:val="clear" w:color="000000" w:fill="005CA9"/>
            <w:noWrap/>
            <w:vAlign w:val="center"/>
            <w:hideMark/>
          </w:tcPr>
          <w:p w14:paraId="1FD4A078" w14:textId="77777777" w:rsidR="007A05AC" w:rsidRPr="007A05AC" w:rsidRDefault="007A05AC" w:rsidP="00F60100">
            <w:pPr>
              <w:jc w:val="right"/>
              <w:rPr>
                <w:rFonts w:ascii="CAIXA Std Book" w:eastAsia="Times New Roman" w:hAnsi="CAIXA Std Book" w:cs="Arial"/>
                <w:b/>
                <w:bCs/>
                <w:color w:val="FFFFFF"/>
                <w:sz w:val="16"/>
                <w:szCs w:val="16"/>
              </w:rPr>
            </w:pPr>
            <w:r w:rsidRPr="007A05AC">
              <w:rPr>
                <w:rFonts w:ascii="CAIXA Std Book" w:eastAsia="Times New Roman" w:hAnsi="CAIXA Std Book" w:cs="Arial"/>
                <w:b/>
                <w:bCs/>
                <w:color w:val="FFFFFF"/>
                <w:sz w:val="16"/>
                <w:szCs w:val="16"/>
              </w:rPr>
              <w:t>267.720</w:t>
            </w:r>
          </w:p>
        </w:tc>
        <w:tc>
          <w:tcPr>
            <w:tcW w:w="563" w:type="pct"/>
            <w:tcBorders>
              <w:top w:val="nil"/>
              <w:left w:val="nil"/>
              <w:bottom w:val="nil"/>
              <w:right w:val="nil"/>
            </w:tcBorders>
            <w:shd w:val="clear" w:color="000000" w:fill="005CA9"/>
            <w:noWrap/>
            <w:vAlign w:val="center"/>
            <w:hideMark/>
          </w:tcPr>
          <w:p w14:paraId="3B1CCC60" w14:textId="77777777" w:rsidR="007A05AC" w:rsidRPr="007A05AC" w:rsidRDefault="007A05AC" w:rsidP="00F60100">
            <w:pPr>
              <w:jc w:val="right"/>
              <w:rPr>
                <w:rFonts w:ascii="CAIXA Std Book" w:eastAsia="Times New Roman" w:hAnsi="CAIXA Std Book" w:cs="Arial"/>
                <w:b/>
                <w:bCs/>
                <w:color w:val="FFFFFF"/>
                <w:sz w:val="16"/>
                <w:szCs w:val="16"/>
              </w:rPr>
            </w:pPr>
            <w:r w:rsidRPr="007A05AC">
              <w:rPr>
                <w:rFonts w:ascii="CAIXA Std Book" w:eastAsia="Times New Roman" w:hAnsi="CAIXA Std Book" w:cs="Arial"/>
                <w:b/>
                <w:bCs/>
                <w:color w:val="FFFFFF"/>
                <w:sz w:val="16"/>
                <w:szCs w:val="16"/>
              </w:rPr>
              <w:t>106.575</w:t>
            </w:r>
          </w:p>
        </w:tc>
        <w:tc>
          <w:tcPr>
            <w:tcW w:w="502" w:type="pct"/>
            <w:tcBorders>
              <w:top w:val="nil"/>
              <w:left w:val="nil"/>
              <w:bottom w:val="nil"/>
              <w:right w:val="nil"/>
            </w:tcBorders>
            <w:shd w:val="clear" w:color="000000" w:fill="005CA9"/>
            <w:noWrap/>
            <w:vAlign w:val="center"/>
            <w:hideMark/>
          </w:tcPr>
          <w:p w14:paraId="5AD952DE" w14:textId="77777777" w:rsidR="007A05AC" w:rsidRPr="007A05AC" w:rsidRDefault="007A05AC" w:rsidP="00F60100">
            <w:pPr>
              <w:jc w:val="right"/>
              <w:rPr>
                <w:rFonts w:ascii="CAIXA Std Book" w:eastAsia="Times New Roman" w:hAnsi="CAIXA Std Book" w:cs="Arial"/>
                <w:b/>
                <w:bCs/>
                <w:color w:val="FFFFFF"/>
                <w:sz w:val="16"/>
                <w:szCs w:val="16"/>
              </w:rPr>
            </w:pPr>
            <w:r w:rsidRPr="007A05AC">
              <w:rPr>
                <w:rFonts w:ascii="CAIXA Std Book" w:eastAsia="Times New Roman" w:hAnsi="CAIXA Std Book" w:cs="Arial"/>
                <w:b/>
                <w:bCs/>
                <w:color w:val="FFFFFF"/>
                <w:sz w:val="16"/>
                <w:szCs w:val="16"/>
              </w:rPr>
              <w:t>1.257.082</w:t>
            </w:r>
          </w:p>
        </w:tc>
        <w:tc>
          <w:tcPr>
            <w:tcW w:w="488" w:type="pct"/>
            <w:tcBorders>
              <w:top w:val="nil"/>
              <w:left w:val="nil"/>
              <w:bottom w:val="nil"/>
              <w:right w:val="nil"/>
            </w:tcBorders>
            <w:shd w:val="clear" w:color="000000" w:fill="005CA9"/>
            <w:noWrap/>
            <w:vAlign w:val="center"/>
            <w:hideMark/>
          </w:tcPr>
          <w:p w14:paraId="5E4D003D" w14:textId="77777777" w:rsidR="007A05AC" w:rsidRPr="007A05AC" w:rsidRDefault="007A05AC" w:rsidP="00F60100">
            <w:pPr>
              <w:jc w:val="right"/>
              <w:rPr>
                <w:rFonts w:ascii="CAIXA Std Book" w:eastAsia="Times New Roman" w:hAnsi="CAIXA Std Book" w:cs="Arial"/>
                <w:b/>
                <w:bCs/>
                <w:color w:val="FFFFFF"/>
                <w:sz w:val="16"/>
                <w:szCs w:val="16"/>
              </w:rPr>
            </w:pPr>
            <w:r w:rsidRPr="007A05AC">
              <w:rPr>
                <w:rFonts w:ascii="CAIXA Std Book" w:eastAsia="Times New Roman" w:hAnsi="CAIXA Std Book" w:cs="Arial"/>
                <w:b/>
                <w:bCs/>
                <w:color w:val="FFFFFF"/>
                <w:sz w:val="16"/>
                <w:szCs w:val="16"/>
              </w:rPr>
              <w:t>(519.130)</w:t>
            </w:r>
          </w:p>
        </w:tc>
        <w:tc>
          <w:tcPr>
            <w:tcW w:w="555" w:type="pct"/>
            <w:tcBorders>
              <w:top w:val="nil"/>
              <w:left w:val="nil"/>
              <w:bottom w:val="nil"/>
              <w:right w:val="nil"/>
            </w:tcBorders>
            <w:shd w:val="clear" w:color="000000" w:fill="005CA9"/>
            <w:noWrap/>
            <w:vAlign w:val="center"/>
            <w:hideMark/>
          </w:tcPr>
          <w:p w14:paraId="4B0F0C16" w14:textId="77777777" w:rsidR="007A05AC" w:rsidRPr="007A05AC" w:rsidRDefault="007A05AC" w:rsidP="00F60100">
            <w:pPr>
              <w:jc w:val="right"/>
              <w:rPr>
                <w:rFonts w:ascii="CAIXA Std Book" w:eastAsia="Times New Roman" w:hAnsi="CAIXA Std Book" w:cs="Arial"/>
                <w:b/>
                <w:bCs/>
                <w:color w:val="FFFFFF"/>
                <w:sz w:val="16"/>
                <w:szCs w:val="16"/>
              </w:rPr>
            </w:pPr>
            <w:r w:rsidRPr="007A05AC">
              <w:rPr>
                <w:rFonts w:ascii="CAIXA Std Book" w:eastAsia="Times New Roman" w:hAnsi="CAIXA Std Book" w:cs="Arial"/>
                <w:b/>
                <w:bCs/>
                <w:color w:val="FFFFFF"/>
                <w:sz w:val="16"/>
                <w:szCs w:val="16"/>
              </w:rPr>
              <w:t>(1.008.979)</w:t>
            </w:r>
          </w:p>
        </w:tc>
        <w:tc>
          <w:tcPr>
            <w:tcW w:w="550" w:type="pct"/>
            <w:tcBorders>
              <w:top w:val="nil"/>
              <w:left w:val="nil"/>
              <w:bottom w:val="nil"/>
              <w:right w:val="nil"/>
            </w:tcBorders>
            <w:shd w:val="clear" w:color="000000" w:fill="005CA9"/>
            <w:noWrap/>
            <w:vAlign w:val="center"/>
            <w:hideMark/>
          </w:tcPr>
          <w:p w14:paraId="1B4F7F5C" w14:textId="77777777" w:rsidR="007A05AC" w:rsidRPr="007A05AC" w:rsidRDefault="007A05AC" w:rsidP="00F60100">
            <w:pPr>
              <w:jc w:val="right"/>
              <w:rPr>
                <w:rFonts w:ascii="CAIXA Std Book" w:eastAsia="Times New Roman" w:hAnsi="CAIXA Std Book" w:cs="Arial"/>
                <w:b/>
                <w:bCs/>
                <w:color w:val="FFFFFF"/>
                <w:sz w:val="16"/>
                <w:szCs w:val="16"/>
              </w:rPr>
            </w:pPr>
            <w:r w:rsidRPr="007A05AC">
              <w:rPr>
                <w:rFonts w:ascii="CAIXA Std Book" w:eastAsia="Times New Roman" w:hAnsi="CAIXA Std Book" w:cs="Arial"/>
                <w:b/>
                <w:bCs/>
                <w:color w:val="FFFFFF"/>
                <w:sz w:val="16"/>
                <w:szCs w:val="16"/>
              </w:rPr>
              <w:t>8.663.350</w:t>
            </w:r>
          </w:p>
        </w:tc>
      </w:tr>
    </w:tbl>
    <w:p w14:paraId="435B695F" w14:textId="77777777" w:rsidR="00073A54" w:rsidRDefault="00073A54">
      <w:pPr>
        <w:rPr>
          <w:rFonts w:ascii="CAIXA Std Book" w:hAnsi="CAIXA Std Book"/>
          <w:b/>
          <w:color w:val="005CA9"/>
          <w:sz w:val="20"/>
          <w:szCs w:val="20"/>
        </w:rPr>
      </w:pPr>
      <w:r>
        <w:rPr>
          <w:rFonts w:ascii="CAIXA Std Book" w:hAnsi="CAIXA Std Book"/>
          <w:b/>
          <w:color w:val="005CA9"/>
          <w:sz w:val="20"/>
          <w:szCs w:val="20"/>
        </w:rPr>
        <w:br w:type="page"/>
      </w:r>
    </w:p>
    <w:p w14:paraId="1AD586E6" w14:textId="7FB16DA9" w:rsidR="002713C3" w:rsidRPr="00B04D8D" w:rsidRDefault="002713C3" w:rsidP="00B919BC">
      <w:pPr>
        <w:spacing w:before="240" w:after="120"/>
        <w:ind w:left="851" w:hanging="851"/>
        <w:rPr>
          <w:rFonts w:ascii="CAIXA Std Book" w:hAnsi="CAIXA Std Book"/>
          <w:b/>
          <w:color w:val="005CA9"/>
          <w:sz w:val="20"/>
          <w:szCs w:val="20"/>
        </w:rPr>
      </w:pPr>
      <w:r w:rsidRPr="00B04D8D">
        <w:rPr>
          <w:rFonts w:ascii="CAIXA Std Book" w:hAnsi="CAIXA Std Book"/>
          <w:b/>
          <w:color w:val="005CA9"/>
          <w:sz w:val="20"/>
          <w:szCs w:val="20"/>
        </w:rPr>
        <w:t>(b.2)</w:t>
      </w:r>
      <w:r w:rsidRPr="00B04D8D">
        <w:rPr>
          <w:rFonts w:ascii="CAIXA Std Book" w:hAnsi="CAIXA Std Book"/>
          <w:b/>
          <w:color w:val="005CA9"/>
          <w:sz w:val="20"/>
          <w:szCs w:val="20"/>
        </w:rPr>
        <w:tab/>
        <w:t>Ações trabalhistas</w:t>
      </w:r>
    </w:p>
    <w:p w14:paraId="0CA4EB3E" w14:textId="77777777" w:rsidR="002713C3" w:rsidRPr="00B04D8D" w:rsidRDefault="002713C3" w:rsidP="00266386">
      <w:pPr>
        <w:tabs>
          <w:tab w:val="left" w:pos="1650"/>
        </w:tabs>
        <w:spacing w:before="120" w:after="120"/>
        <w:jc w:val="both"/>
        <w:rPr>
          <w:rFonts w:ascii="CAIXA Std Book" w:hAnsi="CAIXA Std Book"/>
          <w:color w:val="005CA9"/>
          <w:sz w:val="20"/>
          <w:szCs w:val="20"/>
        </w:rPr>
      </w:pPr>
      <w:r w:rsidRPr="00B04D8D">
        <w:rPr>
          <w:rFonts w:ascii="CAIXA Std Book" w:hAnsi="CAIXA Std Book"/>
          <w:color w:val="005CA9"/>
          <w:sz w:val="20"/>
          <w:szCs w:val="20"/>
        </w:rPr>
        <w:t>A CAIXA é parte passiva em ações ajuizadas por empregados, ex-empregados próprios ou de prestadoras de serviços e sindicatos, relacionadas com a atividade laboral, planos de cargos, acordos coletivos, indenizações, benefícios, aposentadorias, subsidiariedade, entre outros.</w:t>
      </w:r>
    </w:p>
    <w:p w14:paraId="2DE15A27" w14:textId="565CF095" w:rsidR="002713C3" w:rsidRPr="00B04D8D" w:rsidRDefault="002713C3" w:rsidP="00266386">
      <w:pPr>
        <w:tabs>
          <w:tab w:val="left" w:pos="1650"/>
        </w:tabs>
        <w:spacing w:before="120" w:after="120"/>
        <w:jc w:val="both"/>
        <w:rPr>
          <w:rFonts w:ascii="CAIXA Std Book" w:hAnsi="CAIXA Std Book"/>
          <w:color w:val="005CA9"/>
          <w:sz w:val="20"/>
          <w:szCs w:val="20"/>
        </w:rPr>
      </w:pPr>
      <w:r w:rsidRPr="00B04D8D">
        <w:rPr>
          <w:rFonts w:ascii="CAIXA Std Book" w:hAnsi="CAIXA Std Book"/>
          <w:color w:val="005CA9"/>
          <w:sz w:val="20"/>
          <w:szCs w:val="20"/>
        </w:rPr>
        <w:t xml:space="preserve">Em </w:t>
      </w:r>
      <w:r w:rsidRPr="00230C84">
        <w:rPr>
          <w:rFonts w:ascii="CAIXA Std Book" w:hAnsi="CAIXA Std Book"/>
          <w:color w:val="005CA9"/>
          <w:sz w:val="20"/>
          <w:szCs w:val="20"/>
        </w:rPr>
        <w:t>3</w:t>
      </w:r>
      <w:r w:rsidR="00B93509" w:rsidRPr="00230C84">
        <w:rPr>
          <w:rFonts w:ascii="CAIXA Std Book" w:hAnsi="CAIXA Std Book"/>
          <w:color w:val="005CA9"/>
          <w:sz w:val="20"/>
          <w:szCs w:val="20"/>
        </w:rPr>
        <w:t>1</w:t>
      </w:r>
      <w:r w:rsidRPr="00230C84">
        <w:rPr>
          <w:rFonts w:ascii="CAIXA Std Book" w:hAnsi="CAIXA Std Book"/>
          <w:color w:val="005CA9"/>
          <w:sz w:val="20"/>
          <w:szCs w:val="20"/>
        </w:rPr>
        <w:t>/</w:t>
      </w:r>
      <w:r w:rsidR="004142B7" w:rsidRPr="00230C84">
        <w:rPr>
          <w:rFonts w:ascii="CAIXA Std Book" w:hAnsi="CAIXA Std Book"/>
          <w:color w:val="005CA9"/>
          <w:sz w:val="20"/>
          <w:szCs w:val="20"/>
        </w:rPr>
        <w:t>03</w:t>
      </w:r>
      <w:r w:rsidRPr="00230C84">
        <w:rPr>
          <w:rFonts w:ascii="CAIXA Std Book" w:hAnsi="CAIXA Std Book"/>
          <w:color w:val="005CA9"/>
          <w:sz w:val="20"/>
          <w:szCs w:val="20"/>
        </w:rPr>
        <w:t>/202</w:t>
      </w:r>
      <w:r w:rsidR="004142B7" w:rsidRPr="00230C84">
        <w:rPr>
          <w:rFonts w:ascii="CAIXA Std Book" w:hAnsi="CAIXA Std Book"/>
          <w:color w:val="005CA9"/>
          <w:sz w:val="20"/>
          <w:szCs w:val="20"/>
        </w:rPr>
        <w:t>6</w:t>
      </w:r>
      <w:r w:rsidRPr="00230C84">
        <w:rPr>
          <w:rFonts w:ascii="CAIXA Std Book" w:hAnsi="CAIXA Std Book"/>
          <w:color w:val="005CA9"/>
          <w:sz w:val="20"/>
          <w:szCs w:val="20"/>
        </w:rPr>
        <w:t>,</w:t>
      </w:r>
      <w:r w:rsidRPr="00B04D8D">
        <w:rPr>
          <w:rFonts w:ascii="CAIXA Std Book" w:hAnsi="CAIXA Std Book"/>
          <w:color w:val="005CA9"/>
          <w:sz w:val="20"/>
          <w:szCs w:val="20"/>
        </w:rPr>
        <w:t xml:space="preserve"> constavam </w:t>
      </w:r>
      <w:r w:rsidR="003A6800" w:rsidRPr="00230C84">
        <w:rPr>
          <w:rFonts w:ascii="CAIXA Std Book" w:hAnsi="CAIXA Std Book"/>
          <w:color w:val="005CA9"/>
          <w:sz w:val="20"/>
          <w:szCs w:val="20"/>
        </w:rPr>
        <w:t>60.568</w:t>
      </w:r>
      <w:r w:rsidR="004142B7">
        <w:rPr>
          <w:rFonts w:ascii="CAIXA Std Book" w:hAnsi="CAIXA Std Book"/>
          <w:color w:val="005CA9"/>
          <w:sz w:val="20"/>
          <w:szCs w:val="20"/>
        </w:rPr>
        <w:t xml:space="preserve"> </w:t>
      </w:r>
      <w:r w:rsidR="004142B7" w:rsidRPr="00230C84">
        <w:rPr>
          <w:rFonts w:ascii="CAIXA Std Book" w:hAnsi="CAIXA Std Book"/>
          <w:color w:val="005CA9"/>
          <w:sz w:val="20"/>
          <w:szCs w:val="20"/>
        </w:rPr>
        <w:t xml:space="preserve">(31/12/2025 </w:t>
      </w:r>
      <w:r w:rsidR="008C087E" w:rsidRPr="00230C84">
        <w:rPr>
          <w:rFonts w:ascii="CAIXA Std Book" w:hAnsi="CAIXA Std Book"/>
          <w:color w:val="005CA9"/>
          <w:sz w:val="20"/>
          <w:szCs w:val="20"/>
        </w:rPr>
        <w:t xml:space="preserve">- </w:t>
      </w:r>
      <w:r w:rsidR="00653B8A" w:rsidRPr="00230C84">
        <w:rPr>
          <w:rFonts w:ascii="CAIXA Std Book" w:hAnsi="CAIXA Std Book"/>
          <w:color w:val="005CA9"/>
          <w:sz w:val="20"/>
          <w:szCs w:val="20"/>
        </w:rPr>
        <w:t>57.856</w:t>
      </w:r>
      <w:r w:rsidR="004142B7">
        <w:rPr>
          <w:rFonts w:ascii="CAIXA Std Book" w:hAnsi="CAIXA Std Book"/>
          <w:color w:val="005CA9"/>
          <w:sz w:val="20"/>
          <w:szCs w:val="20"/>
        </w:rPr>
        <w:t>)</w:t>
      </w:r>
      <w:r w:rsidRPr="00B04D8D">
        <w:rPr>
          <w:rFonts w:ascii="CAIXA Std Book" w:hAnsi="CAIXA Std Book"/>
          <w:color w:val="005CA9"/>
          <w:sz w:val="20"/>
          <w:szCs w:val="20"/>
        </w:rPr>
        <w:t xml:space="preserve"> processos trabalhistas provisionados, sendo </w:t>
      </w:r>
      <w:r w:rsidR="008C490C" w:rsidRPr="00230C84">
        <w:rPr>
          <w:rFonts w:ascii="CAIXA Std Book" w:hAnsi="CAIXA Std Book"/>
          <w:color w:val="005CA9"/>
          <w:sz w:val="20"/>
          <w:szCs w:val="20"/>
        </w:rPr>
        <w:t>30.258</w:t>
      </w:r>
      <w:r w:rsidR="004142B7">
        <w:rPr>
          <w:rFonts w:ascii="CAIXA Std Book" w:hAnsi="CAIXA Std Book"/>
          <w:color w:val="005CA9"/>
          <w:sz w:val="20"/>
          <w:szCs w:val="20"/>
        </w:rPr>
        <w:t xml:space="preserve"> (</w:t>
      </w:r>
      <w:r w:rsidR="004142B7" w:rsidRPr="00230C84">
        <w:rPr>
          <w:rFonts w:ascii="CAIXA Std Book" w:hAnsi="CAIXA Std Book"/>
          <w:color w:val="005CA9"/>
          <w:sz w:val="20"/>
          <w:szCs w:val="20"/>
        </w:rPr>
        <w:t>31/12/2025</w:t>
      </w:r>
      <w:r w:rsidR="00B00ECB">
        <w:rPr>
          <w:rFonts w:ascii="CAIXA Std Book" w:hAnsi="CAIXA Std Book"/>
          <w:color w:val="005CA9"/>
          <w:sz w:val="20"/>
          <w:szCs w:val="20"/>
        </w:rPr>
        <w:t xml:space="preserve"> </w:t>
      </w:r>
      <w:r w:rsidR="004142B7" w:rsidRPr="00230C84">
        <w:rPr>
          <w:rFonts w:ascii="CAIXA Std Book" w:hAnsi="CAIXA Std Book"/>
          <w:color w:val="005CA9"/>
          <w:sz w:val="20"/>
          <w:szCs w:val="20"/>
        </w:rPr>
        <w:t>-</w:t>
      </w:r>
      <w:r w:rsidR="00B00ECB">
        <w:rPr>
          <w:rFonts w:ascii="CAIXA Std Book" w:hAnsi="CAIXA Std Book"/>
          <w:color w:val="005CA9"/>
          <w:sz w:val="20"/>
          <w:szCs w:val="20"/>
        </w:rPr>
        <w:t xml:space="preserve"> </w:t>
      </w:r>
      <w:r w:rsidR="00060061" w:rsidRPr="00230C84">
        <w:rPr>
          <w:rFonts w:ascii="CAIXA Std Book" w:hAnsi="CAIXA Std Book"/>
          <w:color w:val="005CA9"/>
          <w:sz w:val="20"/>
          <w:szCs w:val="20"/>
        </w:rPr>
        <w:t>27.704</w:t>
      </w:r>
      <w:r w:rsidR="007C5FEC">
        <w:rPr>
          <w:rFonts w:ascii="CAIXA Std Book" w:hAnsi="CAIXA Std Book"/>
          <w:color w:val="005CA9"/>
          <w:sz w:val="20"/>
          <w:szCs w:val="20"/>
        </w:rPr>
        <w:t>)</w:t>
      </w:r>
      <w:r w:rsidRPr="00B04D8D">
        <w:rPr>
          <w:rFonts w:ascii="CAIXA Std Book" w:hAnsi="CAIXA Std Book"/>
          <w:color w:val="005CA9"/>
          <w:sz w:val="20"/>
          <w:szCs w:val="20"/>
        </w:rPr>
        <w:t xml:space="preserve"> sujeitos à metodologia massificada </w:t>
      </w:r>
      <w:r w:rsidRPr="00230C84">
        <w:rPr>
          <w:rFonts w:ascii="CAIXA Std Book" w:hAnsi="CAIXA Std Book"/>
          <w:color w:val="005CA9"/>
          <w:sz w:val="20"/>
          <w:szCs w:val="20"/>
        </w:rPr>
        <w:t xml:space="preserve">e </w:t>
      </w:r>
      <w:r w:rsidR="002A59B8" w:rsidRPr="00230C84">
        <w:rPr>
          <w:rFonts w:ascii="CAIXA Std Book" w:hAnsi="CAIXA Std Book"/>
          <w:color w:val="005CA9"/>
          <w:sz w:val="20"/>
          <w:szCs w:val="20"/>
        </w:rPr>
        <w:t>30.310</w:t>
      </w:r>
      <w:r w:rsidR="007C5FEC">
        <w:rPr>
          <w:rFonts w:ascii="CAIXA Std Book" w:hAnsi="CAIXA Std Book"/>
          <w:color w:val="005CA9"/>
          <w:sz w:val="20"/>
          <w:szCs w:val="20"/>
        </w:rPr>
        <w:t xml:space="preserve"> (</w:t>
      </w:r>
      <w:r w:rsidR="007C5FEC" w:rsidRPr="00230C84">
        <w:rPr>
          <w:rFonts w:ascii="CAIXA Std Book" w:hAnsi="CAIXA Std Book"/>
          <w:color w:val="005CA9"/>
          <w:sz w:val="20"/>
          <w:szCs w:val="20"/>
        </w:rPr>
        <w:t>31/</w:t>
      </w:r>
      <w:r w:rsidR="008F1C8C">
        <w:rPr>
          <w:rFonts w:ascii="CAIXA Std Book" w:hAnsi="CAIXA Std Book"/>
          <w:color w:val="005CA9"/>
          <w:sz w:val="20"/>
          <w:szCs w:val="20"/>
        </w:rPr>
        <w:t>12</w:t>
      </w:r>
      <w:r w:rsidR="007C5FEC" w:rsidRPr="00230C84">
        <w:rPr>
          <w:rFonts w:ascii="CAIXA Std Book" w:hAnsi="CAIXA Std Book"/>
          <w:color w:val="005CA9"/>
          <w:sz w:val="20"/>
          <w:szCs w:val="20"/>
        </w:rPr>
        <w:t>/202</w:t>
      </w:r>
      <w:r w:rsidR="008F1C8C">
        <w:rPr>
          <w:rFonts w:ascii="CAIXA Std Book" w:hAnsi="CAIXA Std Book"/>
          <w:color w:val="005CA9"/>
          <w:sz w:val="20"/>
          <w:szCs w:val="20"/>
        </w:rPr>
        <w:t>5</w:t>
      </w:r>
      <w:r w:rsidR="00B00ECB">
        <w:rPr>
          <w:rFonts w:ascii="CAIXA Std Book" w:hAnsi="CAIXA Std Book"/>
          <w:color w:val="005CA9"/>
          <w:sz w:val="20"/>
          <w:szCs w:val="20"/>
        </w:rPr>
        <w:t xml:space="preserve"> </w:t>
      </w:r>
      <w:r w:rsidR="00F36351" w:rsidRPr="00230C84">
        <w:rPr>
          <w:rFonts w:ascii="CAIXA Std Book" w:hAnsi="CAIXA Std Book"/>
          <w:color w:val="005CA9"/>
          <w:sz w:val="20"/>
          <w:szCs w:val="20"/>
        </w:rPr>
        <w:t>-</w:t>
      </w:r>
      <w:r w:rsidR="00B00ECB">
        <w:rPr>
          <w:rFonts w:ascii="CAIXA Std Book" w:hAnsi="CAIXA Std Book"/>
          <w:color w:val="005CA9"/>
          <w:sz w:val="20"/>
          <w:szCs w:val="20"/>
        </w:rPr>
        <w:t xml:space="preserve"> </w:t>
      </w:r>
      <w:r w:rsidR="00CD178E" w:rsidRPr="00230C84">
        <w:rPr>
          <w:rFonts w:ascii="CAIXA Std Book" w:hAnsi="CAIXA Std Book"/>
          <w:color w:val="005CA9"/>
          <w:sz w:val="20"/>
          <w:szCs w:val="20"/>
        </w:rPr>
        <w:t>30.152</w:t>
      </w:r>
      <w:r w:rsidR="00F36351">
        <w:rPr>
          <w:rFonts w:ascii="CAIXA Std Book" w:hAnsi="CAIXA Std Book"/>
          <w:color w:val="005CA9"/>
          <w:sz w:val="20"/>
          <w:szCs w:val="20"/>
        </w:rPr>
        <w:t>)</w:t>
      </w:r>
      <w:r w:rsidR="00B715D6" w:rsidRPr="00B715D6">
        <w:rPr>
          <w:rFonts w:ascii="CAIXA Std Book" w:hAnsi="CAIXA Std Book"/>
          <w:color w:val="005CA9"/>
          <w:sz w:val="20"/>
          <w:szCs w:val="20"/>
        </w:rPr>
        <w:t xml:space="preserve"> </w:t>
      </w:r>
      <w:r w:rsidRPr="00B04D8D">
        <w:rPr>
          <w:rFonts w:ascii="CAIXA Std Book" w:hAnsi="CAIXA Std Book"/>
          <w:color w:val="005CA9"/>
          <w:sz w:val="20"/>
          <w:szCs w:val="20"/>
        </w:rPr>
        <w:t>sujeitos à metodologia individualizada</w:t>
      </w:r>
      <w:r w:rsidR="001B6CED">
        <w:rPr>
          <w:rFonts w:ascii="CAIXA Std Book" w:hAnsi="CAIXA Std Book"/>
          <w:color w:val="005CA9"/>
          <w:sz w:val="20"/>
          <w:szCs w:val="20"/>
        </w:rPr>
        <w:t>.</w:t>
      </w:r>
    </w:p>
    <w:p w14:paraId="394C5F96" w14:textId="4D30D059" w:rsidR="002713C3" w:rsidRPr="000B361C" w:rsidRDefault="002713C3" w:rsidP="00266386">
      <w:pPr>
        <w:tabs>
          <w:tab w:val="left" w:pos="1650"/>
        </w:tabs>
        <w:spacing w:before="120" w:after="120"/>
        <w:jc w:val="both"/>
        <w:rPr>
          <w:rFonts w:ascii="CAIXA Std Book" w:hAnsi="CAIXA Std Book"/>
          <w:color w:val="005CA9"/>
          <w:sz w:val="20"/>
          <w:szCs w:val="20"/>
        </w:rPr>
      </w:pPr>
      <w:r w:rsidRPr="00B04D8D">
        <w:rPr>
          <w:rFonts w:ascii="CAIXA Std Book" w:hAnsi="CAIXA Std Book"/>
          <w:color w:val="005CA9"/>
          <w:sz w:val="20"/>
          <w:szCs w:val="20"/>
        </w:rPr>
        <w:t>Visando reduzir o litígio judicial e diminuir os valores despendidos nos processos, a CAIXA continua executando sua política de conciliação judicial e extrajudicial, realiza o cumprimento espontâneo de certas decisões judiciais e faz a análise das perdas incorridas</w:t>
      </w:r>
      <w:r w:rsidR="00D97DBA">
        <w:rPr>
          <w:rFonts w:ascii="CAIXA Std Book" w:hAnsi="CAIXA Std Book"/>
          <w:color w:val="005CA9"/>
          <w:sz w:val="20"/>
          <w:szCs w:val="20"/>
        </w:rPr>
        <w:t>,</w:t>
      </w:r>
      <w:r w:rsidRPr="00B04D8D">
        <w:rPr>
          <w:rFonts w:ascii="CAIXA Std Book" w:hAnsi="CAIXA Std Book"/>
          <w:color w:val="005CA9"/>
          <w:sz w:val="20"/>
          <w:szCs w:val="20"/>
        </w:rPr>
        <w:t xml:space="preserve"> a fim de mitigar novos litígios de causas </w:t>
      </w:r>
      <w:r w:rsidRPr="000B361C">
        <w:rPr>
          <w:rFonts w:ascii="CAIXA Std Book" w:hAnsi="CAIXA Std Book"/>
          <w:color w:val="005CA9"/>
          <w:sz w:val="20"/>
          <w:szCs w:val="20"/>
        </w:rPr>
        <w:t>semelhantes. Em virtude disto, as ações relevantes não são individualmente divulgadas para não inviabilizar a realização de acordos.</w:t>
      </w:r>
    </w:p>
    <w:p w14:paraId="41FBDA07" w14:textId="77777777" w:rsidR="002713C3" w:rsidRPr="000B361C" w:rsidRDefault="002713C3" w:rsidP="00A93151">
      <w:pPr>
        <w:autoSpaceDE w:val="0"/>
        <w:autoSpaceDN w:val="0"/>
        <w:adjustRightInd w:val="0"/>
        <w:spacing w:before="240" w:after="120"/>
        <w:ind w:left="851" w:hanging="851"/>
        <w:jc w:val="both"/>
        <w:rPr>
          <w:rFonts w:ascii="CAIXA Std Book" w:hAnsi="CAIXA Std Book"/>
          <w:b/>
          <w:color w:val="005CA9"/>
          <w:sz w:val="20"/>
          <w:szCs w:val="20"/>
        </w:rPr>
      </w:pPr>
      <w:r w:rsidRPr="000B361C">
        <w:rPr>
          <w:rFonts w:ascii="CAIXA Std Book" w:hAnsi="CAIXA Std Book"/>
          <w:b/>
          <w:color w:val="005CA9"/>
          <w:sz w:val="20"/>
          <w:szCs w:val="20"/>
        </w:rPr>
        <w:t>(b.3)</w:t>
      </w:r>
      <w:r w:rsidRPr="000B361C">
        <w:rPr>
          <w:rFonts w:ascii="CAIXA Std Book" w:hAnsi="CAIXA Std Book"/>
          <w:b/>
          <w:color w:val="005CA9"/>
          <w:sz w:val="20"/>
          <w:szCs w:val="20"/>
        </w:rPr>
        <w:tab/>
        <w:t>Ações cíveis</w:t>
      </w:r>
    </w:p>
    <w:p w14:paraId="75E824E4" w14:textId="267F3EB6" w:rsidR="002713C3" w:rsidRPr="000B361C" w:rsidRDefault="002713C3" w:rsidP="00266386">
      <w:pPr>
        <w:tabs>
          <w:tab w:val="left" w:pos="1650"/>
        </w:tabs>
        <w:spacing w:before="120" w:after="120"/>
        <w:jc w:val="both"/>
        <w:rPr>
          <w:rFonts w:ascii="CAIXA Std Book" w:hAnsi="CAIXA Std Book"/>
          <w:color w:val="005CA9"/>
          <w:sz w:val="20"/>
          <w:szCs w:val="20"/>
        </w:rPr>
      </w:pPr>
      <w:r w:rsidRPr="000B361C">
        <w:rPr>
          <w:rFonts w:ascii="CAIXA Std Book" w:hAnsi="CAIXA Std Book"/>
          <w:color w:val="005CA9"/>
          <w:sz w:val="20"/>
          <w:szCs w:val="20"/>
        </w:rPr>
        <w:t>A CAIXA é parte passiva em ações cíveis de natureza indenizatória/contratual relativas a seus produtos, serviços e atendimento. Em 3</w:t>
      </w:r>
      <w:r w:rsidR="00862C15" w:rsidRPr="000B361C">
        <w:rPr>
          <w:rFonts w:ascii="CAIXA Std Book" w:hAnsi="CAIXA Std Book"/>
          <w:color w:val="005CA9"/>
          <w:sz w:val="20"/>
          <w:szCs w:val="20"/>
        </w:rPr>
        <w:t>1</w:t>
      </w:r>
      <w:r w:rsidRPr="000B361C">
        <w:rPr>
          <w:rFonts w:ascii="CAIXA Std Book" w:hAnsi="CAIXA Std Book"/>
          <w:color w:val="005CA9"/>
          <w:sz w:val="20"/>
          <w:szCs w:val="20"/>
        </w:rPr>
        <w:t>/</w:t>
      </w:r>
      <w:r w:rsidR="00F36351" w:rsidRPr="000B361C">
        <w:rPr>
          <w:rFonts w:ascii="CAIXA Std Book" w:hAnsi="CAIXA Std Book"/>
          <w:color w:val="005CA9"/>
          <w:sz w:val="20"/>
          <w:szCs w:val="20"/>
        </w:rPr>
        <w:t>03</w:t>
      </w:r>
      <w:r w:rsidRPr="000B361C">
        <w:rPr>
          <w:rFonts w:ascii="CAIXA Std Book" w:hAnsi="CAIXA Std Book"/>
          <w:color w:val="005CA9"/>
          <w:sz w:val="20"/>
          <w:szCs w:val="20"/>
        </w:rPr>
        <w:t>/202</w:t>
      </w:r>
      <w:r w:rsidR="00F36351" w:rsidRPr="000B361C">
        <w:rPr>
          <w:rFonts w:ascii="CAIXA Std Book" w:hAnsi="CAIXA Std Book"/>
          <w:color w:val="005CA9"/>
          <w:sz w:val="20"/>
          <w:szCs w:val="20"/>
        </w:rPr>
        <w:t>6</w:t>
      </w:r>
      <w:r w:rsidRPr="000B361C">
        <w:rPr>
          <w:rFonts w:ascii="CAIXA Std Book" w:hAnsi="CAIXA Std Book"/>
          <w:color w:val="005CA9"/>
          <w:sz w:val="20"/>
          <w:szCs w:val="20"/>
        </w:rPr>
        <w:t xml:space="preserve">, constavam </w:t>
      </w:r>
      <w:r w:rsidR="004505E8" w:rsidRPr="000B361C">
        <w:rPr>
          <w:rFonts w:ascii="CAIXA Std Book" w:hAnsi="CAIXA Std Book"/>
          <w:color w:val="005CA9"/>
          <w:sz w:val="20"/>
          <w:szCs w:val="20"/>
        </w:rPr>
        <w:t>366.281</w:t>
      </w:r>
      <w:r w:rsidR="00F36351" w:rsidRPr="000B361C">
        <w:rPr>
          <w:rFonts w:ascii="CAIXA Std Book" w:hAnsi="CAIXA Std Book"/>
          <w:color w:val="005CA9"/>
          <w:sz w:val="20"/>
          <w:szCs w:val="20"/>
        </w:rPr>
        <w:t xml:space="preserve"> (31/12/2025</w:t>
      </w:r>
      <w:r w:rsidR="00B00ECB" w:rsidRPr="000B361C">
        <w:rPr>
          <w:rFonts w:ascii="CAIXA Std Book" w:hAnsi="CAIXA Std Book"/>
          <w:color w:val="005CA9"/>
          <w:sz w:val="20"/>
          <w:szCs w:val="20"/>
        </w:rPr>
        <w:t xml:space="preserve"> </w:t>
      </w:r>
      <w:r w:rsidR="00F36351" w:rsidRPr="000B361C">
        <w:rPr>
          <w:rFonts w:ascii="CAIXA Std Book" w:hAnsi="CAIXA Std Book"/>
          <w:color w:val="005CA9"/>
          <w:sz w:val="20"/>
          <w:szCs w:val="20"/>
        </w:rPr>
        <w:t xml:space="preserve">- </w:t>
      </w:r>
      <w:r w:rsidR="001C7076" w:rsidRPr="000B361C">
        <w:rPr>
          <w:rFonts w:ascii="CAIXA Std Book" w:hAnsi="CAIXA Std Book"/>
          <w:color w:val="005CA9"/>
          <w:sz w:val="20"/>
          <w:szCs w:val="20"/>
        </w:rPr>
        <w:t>346.516</w:t>
      </w:r>
      <w:r w:rsidR="00F36351" w:rsidRPr="000B361C">
        <w:rPr>
          <w:rFonts w:ascii="CAIXA Std Book" w:hAnsi="CAIXA Std Book"/>
          <w:color w:val="005CA9"/>
          <w:sz w:val="20"/>
          <w:szCs w:val="20"/>
        </w:rPr>
        <w:t>)</w:t>
      </w:r>
      <w:r w:rsidRPr="000B361C">
        <w:rPr>
          <w:rFonts w:ascii="CAIXA Std Book" w:hAnsi="CAIXA Std Book"/>
          <w:color w:val="005CA9"/>
          <w:sz w:val="20"/>
          <w:szCs w:val="20"/>
        </w:rPr>
        <w:t xml:space="preserve"> processos cíveis provisionados, sendo </w:t>
      </w:r>
      <w:r w:rsidR="00790944" w:rsidRPr="000B361C">
        <w:rPr>
          <w:rFonts w:ascii="CAIXA Std Book" w:hAnsi="CAIXA Std Book"/>
          <w:color w:val="005CA9"/>
          <w:sz w:val="20"/>
          <w:szCs w:val="20"/>
        </w:rPr>
        <w:t>327.181</w:t>
      </w:r>
      <w:r w:rsidR="00F36351" w:rsidRPr="000B361C">
        <w:rPr>
          <w:rFonts w:ascii="CAIXA Std Book" w:hAnsi="CAIXA Std Book"/>
          <w:color w:val="005CA9"/>
          <w:sz w:val="20"/>
          <w:szCs w:val="20"/>
        </w:rPr>
        <w:t xml:space="preserve"> (31/12/2025</w:t>
      </w:r>
      <w:r w:rsidR="00B00ECB" w:rsidRPr="000B361C">
        <w:rPr>
          <w:rFonts w:ascii="CAIXA Std Book" w:hAnsi="CAIXA Std Book"/>
          <w:color w:val="005CA9"/>
          <w:sz w:val="20"/>
          <w:szCs w:val="20"/>
        </w:rPr>
        <w:t xml:space="preserve"> </w:t>
      </w:r>
      <w:r w:rsidR="00F36351" w:rsidRPr="000B361C">
        <w:rPr>
          <w:rFonts w:ascii="CAIXA Std Book" w:hAnsi="CAIXA Std Book"/>
          <w:color w:val="005CA9"/>
          <w:sz w:val="20"/>
          <w:szCs w:val="20"/>
        </w:rPr>
        <w:t xml:space="preserve">- </w:t>
      </w:r>
      <w:r w:rsidR="00083993" w:rsidRPr="000B361C">
        <w:rPr>
          <w:rFonts w:ascii="CAIXA Std Book" w:hAnsi="CAIXA Std Book"/>
          <w:color w:val="005CA9"/>
          <w:sz w:val="20"/>
          <w:szCs w:val="20"/>
        </w:rPr>
        <w:t>308.744</w:t>
      </w:r>
      <w:r w:rsidR="00F36351" w:rsidRPr="000B361C">
        <w:rPr>
          <w:rFonts w:ascii="CAIXA Std Book" w:hAnsi="CAIXA Std Book"/>
          <w:color w:val="005CA9"/>
          <w:sz w:val="20"/>
          <w:szCs w:val="20"/>
        </w:rPr>
        <w:t>)</w:t>
      </w:r>
      <w:r w:rsidRPr="000B361C">
        <w:rPr>
          <w:rFonts w:ascii="CAIXA Std Book" w:hAnsi="CAIXA Std Book"/>
          <w:color w:val="005CA9"/>
          <w:sz w:val="20"/>
          <w:szCs w:val="20"/>
        </w:rPr>
        <w:t xml:space="preserve"> sujeitos à metodologia massificada e </w:t>
      </w:r>
      <w:r w:rsidR="00FF7CAD" w:rsidRPr="000B361C">
        <w:rPr>
          <w:rFonts w:ascii="CAIXA Std Book" w:hAnsi="CAIXA Std Book"/>
          <w:color w:val="005CA9"/>
          <w:sz w:val="20"/>
          <w:szCs w:val="20"/>
        </w:rPr>
        <w:t>39.100</w:t>
      </w:r>
      <w:r w:rsidR="00F36351" w:rsidRPr="000B361C">
        <w:rPr>
          <w:rFonts w:ascii="CAIXA Std Book" w:hAnsi="CAIXA Std Book"/>
          <w:color w:val="005CA9"/>
          <w:sz w:val="20"/>
          <w:szCs w:val="20"/>
        </w:rPr>
        <w:t xml:space="preserve"> (31/12/2025</w:t>
      </w:r>
      <w:r w:rsidR="00B00ECB" w:rsidRPr="000B361C">
        <w:rPr>
          <w:rFonts w:ascii="CAIXA Std Book" w:hAnsi="CAIXA Std Book"/>
          <w:color w:val="005CA9"/>
          <w:sz w:val="20"/>
          <w:szCs w:val="20"/>
        </w:rPr>
        <w:t xml:space="preserve"> </w:t>
      </w:r>
      <w:r w:rsidR="00F36351" w:rsidRPr="000B361C">
        <w:rPr>
          <w:rFonts w:ascii="CAIXA Std Book" w:hAnsi="CAIXA Std Book"/>
          <w:color w:val="005CA9"/>
          <w:sz w:val="20"/>
          <w:szCs w:val="20"/>
        </w:rPr>
        <w:t xml:space="preserve">- </w:t>
      </w:r>
      <w:r w:rsidR="0043392D" w:rsidRPr="000B361C">
        <w:rPr>
          <w:rFonts w:ascii="CAIXA Std Book" w:hAnsi="CAIXA Std Book"/>
          <w:color w:val="005CA9"/>
          <w:sz w:val="20"/>
          <w:szCs w:val="20"/>
        </w:rPr>
        <w:t>37.772</w:t>
      </w:r>
      <w:r w:rsidR="00F36351" w:rsidRPr="000B361C">
        <w:rPr>
          <w:rFonts w:ascii="CAIXA Std Book" w:hAnsi="CAIXA Std Book"/>
          <w:color w:val="005CA9"/>
          <w:sz w:val="20"/>
          <w:szCs w:val="20"/>
        </w:rPr>
        <w:t>)</w:t>
      </w:r>
      <w:r w:rsidRPr="000B361C">
        <w:rPr>
          <w:rFonts w:ascii="CAIXA Std Book" w:hAnsi="CAIXA Std Book"/>
          <w:color w:val="005CA9"/>
          <w:sz w:val="20"/>
          <w:szCs w:val="20"/>
        </w:rPr>
        <w:t xml:space="preserve"> sujeitos à metodologia individualizada</w:t>
      </w:r>
      <w:r w:rsidR="00D403CC" w:rsidRPr="000B361C">
        <w:rPr>
          <w:rFonts w:ascii="CAIXA Std Book" w:hAnsi="CAIXA Std Book"/>
          <w:color w:val="005CA9"/>
          <w:sz w:val="20"/>
          <w:szCs w:val="20"/>
        </w:rPr>
        <w:t>.</w:t>
      </w:r>
      <w:r w:rsidRPr="000B361C">
        <w:rPr>
          <w:rFonts w:ascii="CAIXA Std Book" w:hAnsi="CAIXA Std Book"/>
          <w:color w:val="005CA9"/>
          <w:sz w:val="20"/>
          <w:szCs w:val="20"/>
        </w:rPr>
        <w:t xml:space="preserve"> </w:t>
      </w:r>
    </w:p>
    <w:p w14:paraId="1D8F1529" w14:textId="63B8F5FF" w:rsidR="002713C3" w:rsidRPr="000B361C" w:rsidRDefault="004455B5" w:rsidP="004723AD">
      <w:pPr>
        <w:tabs>
          <w:tab w:val="left" w:pos="1650"/>
        </w:tabs>
        <w:spacing w:before="120" w:after="120"/>
        <w:jc w:val="both"/>
        <w:rPr>
          <w:rFonts w:ascii="CAIXA Std Book" w:hAnsi="CAIXA Std Book"/>
          <w:color w:val="005CA9"/>
          <w:sz w:val="20"/>
          <w:szCs w:val="20"/>
        </w:rPr>
      </w:pPr>
      <w:r w:rsidRPr="000B361C">
        <w:rPr>
          <w:rFonts w:ascii="CAIXA Std Book" w:hAnsi="CAIXA Std Book"/>
          <w:color w:val="005CA9"/>
          <w:sz w:val="20"/>
          <w:szCs w:val="20"/>
        </w:rPr>
        <w:t>Destacam-se as demandas relativas aos expurgos inflacionários dos planos econômicos, decorrentes da correção de saldos de cadernetas de poupança. Embora a CAIXA tenha observado a legislação vigente à época, o montante provisionado para essas ações, considerando a jurisprudência atual do STF, era de R$ 672.02</w:t>
      </w:r>
      <w:r w:rsidR="00C71367" w:rsidRPr="000B361C">
        <w:rPr>
          <w:rFonts w:ascii="CAIXA Std Book" w:hAnsi="CAIXA Std Book"/>
          <w:color w:val="005CA9"/>
          <w:sz w:val="20"/>
          <w:szCs w:val="20"/>
        </w:rPr>
        <w:t>5</w:t>
      </w:r>
      <w:r w:rsidRPr="000B361C">
        <w:rPr>
          <w:rFonts w:ascii="CAIXA Std Book" w:hAnsi="CAIXA Std Book"/>
          <w:color w:val="005CA9"/>
          <w:sz w:val="20"/>
          <w:szCs w:val="20"/>
        </w:rPr>
        <w:t xml:space="preserve"> em 31/03/2026</w:t>
      </w:r>
      <w:r w:rsidR="00930502" w:rsidRPr="000B361C">
        <w:rPr>
          <w:rFonts w:ascii="CAIXA Std Book" w:hAnsi="CAIXA Std Book"/>
          <w:color w:val="005CA9"/>
          <w:sz w:val="20"/>
          <w:szCs w:val="20"/>
        </w:rPr>
        <w:t xml:space="preserve"> (31/12/2025 </w:t>
      </w:r>
      <w:r w:rsidR="00B80DBC" w:rsidRPr="000B361C">
        <w:rPr>
          <w:rFonts w:ascii="CAIXA Std Book" w:hAnsi="CAIXA Std Book"/>
          <w:color w:val="005CA9"/>
          <w:sz w:val="20"/>
          <w:szCs w:val="20"/>
        </w:rPr>
        <w:t>–</w:t>
      </w:r>
      <w:r w:rsidR="00930502" w:rsidRPr="000B361C">
        <w:rPr>
          <w:rFonts w:ascii="CAIXA Std Book" w:hAnsi="CAIXA Std Book"/>
          <w:color w:val="005CA9"/>
          <w:sz w:val="20"/>
          <w:szCs w:val="20"/>
        </w:rPr>
        <w:t xml:space="preserve"> </w:t>
      </w:r>
      <w:r w:rsidR="00B80DBC" w:rsidRPr="000B361C">
        <w:rPr>
          <w:rFonts w:ascii="CAIXA Std Book" w:hAnsi="CAIXA Std Book"/>
          <w:color w:val="005CA9"/>
          <w:sz w:val="20"/>
          <w:szCs w:val="20"/>
        </w:rPr>
        <w:t>698.003)</w:t>
      </w:r>
      <w:r w:rsidRPr="000B361C">
        <w:rPr>
          <w:rFonts w:ascii="CAIXA Std Book" w:hAnsi="CAIXA Std Book"/>
          <w:color w:val="005CA9"/>
          <w:sz w:val="20"/>
          <w:szCs w:val="20"/>
        </w:rPr>
        <w:t>.</w:t>
      </w:r>
    </w:p>
    <w:p w14:paraId="1A046BCD" w14:textId="77777777" w:rsidR="008A615A" w:rsidRPr="000B361C" w:rsidRDefault="008A615A" w:rsidP="008A615A">
      <w:pPr>
        <w:tabs>
          <w:tab w:val="left" w:pos="1650"/>
        </w:tabs>
        <w:spacing w:before="120" w:after="120"/>
        <w:jc w:val="both"/>
        <w:rPr>
          <w:rFonts w:ascii="CAIXA Std Book" w:hAnsi="CAIXA Std Book"/>
          <w:color w:val="005CA9"/>
          <w:sz w:val="20"/>
          <w:szCs w:val="20"/>
        </w:rPr>
      </w:pPr>
      <w:r w:rsidRPr="000B361C">
        <w:rPr>
          <w:rFonts w:ascii="CAIXA Std Book" w:hAnsi="CAIXA Std Book"/>
          <w:color w:val="005CA9"/>
          <w:sz w:val="20"/>
          <w:szCs w:val="20"/>
        </w:rPr>
        <w:t>Em 2017, foi celebrado acordo coletivo entre FEBRABAN, CONSIF e entidades de defesa do consumidor, homologado pelo STF e ao qual a CAIXA aderiu, com pagamentos iniciados em 2018. O acordo foi sucessivamente prorrogado e em 23/05/2025, o STF declarou a constitucionalidade dos planos econômicos, reafirmou a validade do acordo coletivo e determinou sua aplicação a todos os processos sobre expurgos inflacionários, além de prorrogar por mais 24 meses, a partir de 03/06/2025, o prazo para novas adesões.</w:t>
      </w:r>
    </w:p>
    <w:p w14:paraId="3D626CFB" w14:textId="73049E7F" w:rsidR="00FF4C48" w:rsidRPr="000B361C" w:rsidRDefault="004163FF" w:rsidP="00266386">
      <w:pPr>
        <w:spacing w:before="120" w:after="120"/>
        <w:jc w:val="both"/>
        <w:rPr>
          <w:rFonts w:ascii="CAIXA Std Book" w:hAnsi="CAIXA Std Book"/>
          <w:color w:val="005CA9"/>
          <w:sz w:val="20"/>
          <w:szCs w:val="20"/>
        </w:rPr>
      </w:pPr>
      <w:r w:rsidRPr="000B361C">
        <w:rPr>
          <w:rFonts w:ascii="CAIXA Std Book" w:hAnsi="CAIXA Std Book"/>
          <w:color w:val="005CA9"/>
          <w:sz w:val="20"/>
          <w:szCs w:val="20"/>
        </w:rPr>
        <w:t>Também são significativos os processos que visam à reparação de danos envolvendo o contingenciamento de repasses de recursos do FGTS. O valor provisionado, em 31/03/2026, para estes processos é de R$ 621.19</w:t>
      </w:r>
      <w:r w:rsidR="00ED1F91" w:rsidRPr="000B361C">
        <w:rPr>
          <w:rFonts w:ascii="CAIXA Std Book" w:hAnsi="CAIXA Std Book"/>
          <w:color w:val="005CA9"/>
          <w:sz w:val="20"/>
          <w:szCs w:val="20"/>
        </w:rPr>
        <w:t>6</w:t>
      </w:r>
      <w:r w:rsidR="00FF7203" w:rsidRPr="000B361C">
        <w:rPr>
          <w:rFonts w:ascii="CAIXA Std Book" w:hAnsi="CAIXA Std Book"/>
          <w:color w:val="005CA9"/>
          <w:sz w:val="20"/>
          <w:szCs w:val="20"/>
        </w:rPr>
        <w:t xml:space="preserve"> (</w:t>
      </w:r>
      <w:r w:rsidR="00F43BDB" w:rsidRPr="000B361C">
        <w:rPr>
          <w:rFonts w:ascii="CAIXA Std Book" w:hAnsi="CAIXA Std Book"/>
          <w:color w:val="005CA9"/>
          <w:sz w:val="20"/>
          <w:szCs w:val="20"/>
        </w:rPr>
        <w:t xml:space="preserve">31/12/2025- R$ </w:t>
      </w:r>
      <w:r w:rsidR="00F1490E" w:rsidRPr="000B361C">
        <w:rPr>
          <w:rFonts w:ascii="CAIXA Std Book" w:hAnsi="CAIXA Std Book"/>
          <w:color w:val="005CA9"/>
          <w:sz w:val="20"/>
          <w:szCs w:val="20"/>
        </w:rPr>
        <w:t>620.10</w:t>
      </w:r>
      <w:r w:rsidR="00792D7E" w:rsidRPr="000B361C">
        <w:rPr>
          <w:rFonts w:ascii="CAIXA Std Book" w:hAnsi="CAIXA Std Book"/>
          <w:color w:val="005CA9"/>
          <w:sz w:val="20"/>
          <w:szCs w:val="20"/>
        </w:rPr>
        <w:t>8</w:t>
      </w:r>
      <w:r w:rsidR="00F1490E" w:rsidRPr="000B361C">
        <w:rPr>
          <w:rFonts w:ascii="CAIXA Std Book" w:hAnsi="CAIXA Std Book"/>
          <w:color w:val="005CA9"/>
          <w:sz w:val="20"/>
          <w:szCs w:val="20"/>
        </w:rPr>
        <w:t>)</w:t>
      </w:r>
      <w:r w:rsidR="00931A1D" w:rsidRPr="000B361C">
        <w:rPr>
          <w:rFonts w:ascii="CAIXA Std Book" w:hAnsi="CAIXA Std Book"/>
          <w:color w:val="005CA9"/>
          <w:sz w:val="20"/>
          <w:szCs w:val="20"/>
        </w:rPr>
        <w:t>.</w:t>
      </w:r>
    </w:p>
    <w:p w14:paraId="1AA3D5CC" w14:textId="77777777" w:rsidR="00203CA7" w:rsidRPr="000B361C" w:rsidRDefault="00203CA7" w:rsidP="00203CA7">
      <w:pPr>
        <w:spacing w:before="120" w:after="120"/>
        <w:jc w:val="both"/>
        <w:rPr>
          <w:rFonts w:ascii="CAIXA Std Book" w:hAnsi="CAIXA Std Book"/>
          <w:color w:val="005CA9"/>
          <w:sz w:val="20"/>
          <w:szCs w:val="20"/>
        </w:rPr>
      </w:pPr>
      <w:r w:rsidRPr="000B361C">
        <w:rPr>
          <w:rFonts w:ascii="CAIXA Std Book" w:hAnsi="CAIXA Std Book"/>
          <w:color w:val="005CA9"/>
          <w:sz w:val="20"/>
          <w:szCs w:val="20"/>
        </w:rPr>
        <w:t>As ações indenizatórias de perdas e danos se referem a eventuais problemas ocorridos no atendimento bancário, na prestação de serviços ou na aquisição/manutenção de algum produto.</w:t>
      </w:r>
    </w:p>
    <w:p w14:paraId="6AD8CFAB" w14:textId="4A77DDAD" w:rsidR="00203CA7" w:rsidRPr="000B361C" w:rsidRDefault="00203CA7" w:rsidP="00203CA7">
      <w:pPr>
        <w:spacing w:before="120" w:after="120"/>
        <w:jc w:val="both"/>
        <w:rPr>
          <w:rFonts w:ascii="CAIXA Std Book" w:hAnsi="CAIXA Std Book"/>
          <w:color w:val="005CA9"/>
          <w:sz w:val="20"/>
          <w:szCs w:val="20"/>
        </w:rPr>
      </w:pPr>
      <w:r w:rsidRPr="000B361C">
        <w:rPr>
          <w:rFonts w:ascii="CAIXA Std Book" w:hAnsi="CAIXA Std Book"/>
          <w:color w:val="005CA9"/>
          <w:sz w:val="20"/>
          <w:szCs w:val="20"/>
        </w:rPr>
        <w:t xml:space="preserve">Em 2026, a CAIXA continua executando sua política de conciliação judicial e extrajudicial, realizando o cumprimento espontâneo de decisões judiciais e analisando perdas incorridas, a fim de mitigar novos litígios de causas semelhantes. Até 31/03/2026 realizou 16.681 </w:t>
      </w:r>
      <w:r w:rsidR="002F0F98" w:rsidRPr="000B361C">
        <w:rPr>
          <w:rFonts w:ascii="CAIXA Std Book" w:hAnsi="CAIXA Std Book"/>
          <w:color w:val="005CA9"/>
          <w:sz w:val="20"/>
          <w:szCs w:val="20"/>
        </w:rPr>
        <w:t>(</w:t>
      </w:r>
      <w:r w:rsidR="00A4484B" w:rsidRPr="000B361C">
        <w:rPr>
          <w:rFonts w:ascii="CAIXA Std Book" w:hAnsi="CAIXA Std Book"/>
          <w:color w:val="005CA9"/>
          <w:sz w:val="20"/>
          <w:szCs w:val="20"/>
        </w:rPr>
        <w:t xml:space="preserve">31/12/2025 – </w:t>
      </w:r>
      <w:r w:rsidR="00596415" w:rsidRPr="000B361C">
        <w:rPr>
          <w:rFonts w:ascii="CAIXA Std Book" w:hAnsi="CAIXA Std Book"/>
          <w:color w:val="005CA9"/>
          <w:sz w:val="20"/>
          <w:szCs w:val="20"/>
        </w:rPr>
        <w:t xml:space="preserve">66.233) </w:t>
      </w:r>
      <w:r w:rsidRPr="000B361C">
        <w:rPr>
          <w:rFonts w:ascii="CAIXA Std Book" w:hAnsi="CAIXA Std Book"/>
          <w:color w:val="005CA9"/>
          <w:sz w:val="20"/>
          <w:szCs w:val="20"/>
        </w:rPr>
        <w:t>acordos processuais (80% referente a ações indenizatórias e 20% referentes a recuperações de créditos), reduzindo o montante que seria despendido caso persistisse a condenação judicial e oportunizando ao cliente uma solução rápida para o problema</w:t>
      </w:r>
    </w:p>
    <w:p w14:paraId="4847F598" w14:textId="03AC476D" w:rsidR="002713C3" w:rsidRPr="000B361C" w:rsidRDefault="002713C3" w:rsidP="002713C3">
      <w:pPr>
        <w:spacing w:before="240" w:after="120"/>
        <w:ind w:left="851" w:right="142" w:hanging="851"/>
        <w:rPr>
          <w:rFonts w:ascii="CAIXA Std Book" w:hAnsi="CAIXA Std Book"/>
          <w:b/>
          <w:color w:val="005CA9"/>
          <w:sz w:val="20"/>
          <w:szCs w:val="20"/>
        </w:rPr>
      </w:pPr>
      <w:r w:rsidRPr="000B361C">
        <w:rPr>
          <w:rFonts w:ascii="CAIXA Std Book" w:hAnsi="CAIXA Std Book"/>
          <w:b/>
          <w:color w:val="005CA9"/>
          <w:sz w:val="20"/>
          <w:szCs w:val="20"/>
        </w:rPr>
        <w:t>(b.4)</w:t>
      </w:r>
      <w:r w:rsidRPr="000B361C">
        <w:rPr>
          <w:rFonts w:ascii="CAIXA Std Book" w:hAnsi="CAIXA Std Book"/>
          <w:b/>
          <w:color w:val="005CA9"/>
          <w:sz w:val="20"/>
          <w:szCs w:val="20"/>
        </w:rPr>
        <w:tab/>
      </w:r>
      <w:r w:rsidR="00CB4552" w:rsidRPr="000B361C">
        <w:rPr>
          <w:rFonts w:ascii="CAIXA Std Book" w:hAnsi="CAIXA Std Book"/>
          <w:b/>
          <w:color w:val="005CA9"/>
          <w:sz w:val="20"/>
          <w:szCs w:val="20"/>
        </w:rPr>
        <w:t>Ações</w:t>
      </w:r>
      <w:r w:rsidRPr="000B361C">
        <w:rPr>
          <w:rFonts w:ascii="CAIXA Std Book" w:hAnsi="CAIXA Std Book"/>
          <w:b/>
          <w:color w:val="005CA9"/>
          <w:sz w:val="20"/>
          <w:szCs w:val="20"/>
        </w:rPr>
        <w:t xml:space="preserve"> fiscais</w:t>
      </w:r>
    </w:p>
    <w:p w14:paraId="28924E51" w14:textId="2C18FF5D" w:rsidR="00054BA3" w:rsidRPr="000B361C" w:rsidRDefault="003877F9" w:rsidP="00054BA3">
      <w:pPr>
        <w:tabs>
          <w:tab w:val="left" w:pos="1650"/>
        </w:tabs>
        <w:spacing w:before="120" w:after="120"/>
        <w:jc w:val="both"/>
        <w:rPr>
          <w:rFonts w:ascii="CAIXA Std Book" w:hAnsi="CAIXA Std Book"/>
          <w:color w:val="005CA9"/>
          <w:sz w:val="20"/>
          <w:szCs w:val="20"/>
        </w:rPr>
      </w:pPr>
      <w:r w:rsidRPr="000B361C">
        <w:rPr>
          <w:rFonts w:ascii="CAIXA Std Book" w:hAnsi="CAIXA Std Book"/>
          <w:color w:val="005CA9"/>
          <w:sz w:val="20"/>
          <w:szCs w:val="20"/>
        </w:rPr>
        <w:t>A CAIXA, como instituição cumpridora regular das obrigações fiscais e tributárias que repercutem sobre suas atividades, operações e serviços, discute em sede judicial a legitimidade dos parâmetros de cobrança levados a efeito por órgãos fazendários dos diversos entes da Federação, de acordo com a especificidade própria de cada caso</w:t>
      </w:r>
      <w:r w:rsidR="00054BA3" w:rsidRPr="000B361C">
        <w:rPr>
          <w:rFonts w:ascii="CAIXA Std Book" w:hAnsi="CAIXA Std Book"/>
          <w:color w:val="005CA9"/>
          <w:sz w:val="20"/>
          <w:szCs w:val="20"/>
        </w:rPr>
        <w:t xml:space="preserve">. </w:t>
      </w:r>
    </w:p>
    <w:p w14:paraId="6BA5F25C" w14:textId="77777777" w:rsidR="002713C3" w:rsidRPr="000B361C" w:rsidRDefault="002713C3" w:rsidP="00AE292B">
      <w:pPr>
        <w:tabs>
          <w:tab w:val="left" w:pos="1650"/>
        </w:tabs>
        <w:spacing w:before="120" w:after="120"/>
        <w:jc w:val="both"/>
        <w:rPr>
          <w:rFonts w:ascii="CAIXA Std Book" w:hAnsi="CAIXA Std Book"/>
          <w:color w:val="005CA9"/>
          <w:sz w:val="20"/>
          <w:szCs w:val="20"/>
        </w:rPr>
      </w:pPr>
      <w:r w:rsidRPr="000B361C">
        <w:rPr>
          <w:rFonts w:ascii="CAIXA Std Book" w:hAnsi="CAIXA Std Book"/>
          <w:color w:val="005CA9"/>
          <w:sz w:val="20"/>
          <w:szCs w:val="20"/>
        </w:rPr>
        <w:t>As provisões constituídas sob avaliação de risco provável com base em pareceres dos assessores jurídicos se referem a ações sobre tributos e contribuições. A CAIXA acompanha regularmente o ciclo das ações judiciais em andamento, as quais, a médio e longo prazo, poderão apresentar desdobramentos favoráveis à instituição com a reversão das respectivas provisões.</w:t>
      </w:r>
    </w:p>
    <w:p w14:paraId="04B0929E" w14:textId="7546A044" w:rsidR="002713C3" w:rsidRPr="000B361C" w:rsidRDefault="002713C3" w:rsidP="00AE292B">
      <w:pPr>
        <w:spacing w:before="120" w:after="120"/>
        <w:jc w:val="both"/>
        <w:rPr>
          <w:rFonts w:ascii="CAIXA Std Book" w:hAnsi="CAIXA Std Book"/>
          <w:color w:val="005CA9"/>
          <w:sz w:val="20"/>
          <w:szCs w:val="20"/>
        </w:rPr>
      </w:pPr>
      <w:r w:rsidRPr="000B361C">
        <w:rPr>
          <w:rFonts w:ascii="CAIXA Std Book" w:hAnsi="CAIXA Std Book"/>
          <w:color w:val="005CA9"/>
          <w:sz w:val="20"/>
          <w:szCs w:val="20"/>
        </w:rPr>
        <w:t xml:space="preserve">Destacam-se as autuações do Instituto Nacional do Seguro Social (INSS) para o recolhimento de contribuições previdenciárias sobre pagamentos a empregados da CAIXA, em que se discute o caráter indenizatório e não remuneratório de algumas verbas, tais como auxílio-alimentação, APIP e licença-prêmio, cujos valores, reposicionados para </w:t>
      </w:r>
      <w:r w:rsidR="00C561BC" w:rsidRPr="000B361C">
        <w:rPr>
          <w:rFonts w:ascii="CAIXA Std Book" w:hAnsi="CAIXA Std Book"/>
          <w:color w:val="005CA9"/>
          <w:sz w:val="20"/>
          <w:szCs w:val="20"/>
        </w:rPr>
        <w:t>3</w:t>
      </w:r>
      <w:r w:rsidR="00862C15" w:rsidRPr="000B361C">
        <w:rPr>
          <w:rFonts w:ascii="CAIXA Std Book" w:hAnsi="CAIXA Std Book"/>
          <w:color w:val="005CA9"/>
          <w:sz w:val="20"/>
          <w:szCs w:val="20"/>
        </w:rPr>
        <w:t>1</w:t>
      </w:r>
      <w:r w:rsidR="00C561BC" w:rsidRPr="000B361C">
        <w:rPr>
          <w:rFonts w:ascii="CAIXA Std Book" w:hAnsi="CAIXA Std Book"/>
          <w:color w:val="005CA9"/>
          <w:sz w:val="20"/>
          <w:szCs w:val="20"/>
        </w:rPr>
        <w:t>/</w:t>
      </w:r>
      <w:r w:rsidR="00973E65" w:rsidRPr="000B361C">
        <w:rPr>
          <w:rFonts w:ascii="CAIXA Std Book" w:hAnsi="CAIXA Std Book"/>
          <w:color w:val="005CA9"/>
          <w:sz w:val="20"/>
          <w:szCs w:val="20"/>
        </w:rPr>
        <w:t>03</w:t>
      </w:r>
      <w:r w:rsidRPr="000B361C">
        <w:rPr>
          <w:rFonts w:ascii="CAIXA Std Book" w:hAnsi="CAIXA Std Book"/>
          <w:color w:val="005CA9"/>
          <w:sz w:val="20"/>
          <w:szCs w:val="20"/>
        </w:rPr>
        <w:t>/202</w:t>
      </w:r>
      <w:r w:rsidR="00973E65" w:rsidRPr="000B361C">
        <w:rPr>
          <w:rFonts w:ascii="CAIXA Std Book" w:hAnsi="CAIXA Std Book"/>
          <w:color w:val="005CA9"/>
          <w:sz w:val="20"/>
          <w:szCs w:val="20"/>
        </w:rPr>
        <w:t>6</w:t>
      </w:r>
      <w:r w:rsidRPr="000B361C">
        <w:rPr>
          <w:rFonts w:ascii="CAIXA Std Book" w:hAnsi="CAIXA Std Book"/>
          <w:color w:val="005CA9"/>
          <w:sz w:val="20"/>
          <w:szCs w:val="20"/>
        </w:rPr>
        <w:t xml:space="preserve">, correspondem ao total de R$ </w:t>
      </w:r>
      <w:r w:rsidR="002E644A" w:rsidRPr="000B361C">
        <w:rPr>
          <w:rFonts w:ascii="CAIXA Std Book" w:hAnsi="CAIXA Std Book"/>
          <w:color w:val="005CA9"/>
          <w:sz w:val="20"/>
          <w:szCs w:val="20"/>
        </w:rPr>
        <w:t>1.287.975</w:t>
      </w:r>
      <w:r w:rsidRPr="000B361C">
        <w:rPr>
          <w:rFonts w:ascii="CAIXA Std Book" w:hAnsi="CAIXA Std Book"/>
          <w:color w:val="005CA9"/>
          <w:sz w:val="20"/>
          <w:szCs w:val="20"/>
        </w:rPr>
        <w:t xml:space="preserve"> </w:t>
      </w:r>
      <w:r w:rsidR="00973E65" w:rsidRPr="000B361C">
        <w:rPr>
          <w:rFonts w:ascii="CAIXA Std Book" w:hAnsi="CAIXA Std Book"/>
          <w:color w:val="005CA9"/>
          <w:sz w:val="20"/>
          <w:szCs w:val="20"/>
        </w:rPr>
        <w:t xml:space="preserve">(31/12/2025 - R$ </w:t>
      </w:r>
      <w:r w:rsidR="002A57F1" w:rsidRPr="000B361C">
        <w:rPr>
          <w:rFonts w:ascii="CAIXA Std Book" w:hAnsi="CAIXA Std Book"/>
          <w:color w:val="005CA9"/>
          <w:sz w:val="20"/>
          <w:szCs w:val="20"/>
        </w:rPr>
        <w:t>1.287.975</w:t>
      </w:r>
      <w:r w:rsidR="00973E65" w:rsidRPr="000B361C">
        <w:rPr>
          <w:rFonts w:ascii="CAIXA Std Book" w:hAnsi="CAIXA Std Book"/>
          <w:color w:val="005CA9"/>
          <w:sz w:val="20"/>
          <w:szCs w:val="20"/>
        </w:rPr>
        <w:t xml:space="preserve">) </w:t>
      </w:r>
      <w:r w:rsidRPr="000B361C">
        <w:rPr>
          <w:rFonts w:ascii="CAIXA Std Book" w:hAnsi="CAIXA Std Book"/>
          <w:color w:val="005CA9"/>
          <w:sz w:val="20"/>
          <w:szCs w:val="20"/>
        </w:rPr>
        <w:t xml:space="preserve">, para as quais a provisão constituída com base no histórico de êxito e do cenário jurisprudencial, considerados em recente análise técnica e jurídica acerca da matéria, é de R$ </w:t>
      </w:r>
      <w:r w:rsidR="00905CC2" w:rsidRPr="000B361C">
        <w:rPr>
          <w:rFonts w:ascii="CAIXA Std Book" w:hAnsi="CAIXA Std Book"/>
          <w:color w:val="005CA9"/>
          <w:sz w:val="20"/>
          <w:szCs w:val="20"/>
        </w:rPr>
        <w:t>11.086.</w:t>
      </w:r>
      <w:r w:rsidRPr="000B361C">
        <w:rPr>
          <w:rFonts w:ascii="CAIXA Std Book" w:hAnsi="CAIXA Std Book"/>
          <w:color w:val="005CA9"/>
          <w:sz w:val="20"/>
          <w:szCs w:val="20"/>
        </w:rPr>
        <w:t xml:space="preserve"> </w:t>
      </w:r>
      <w:r w:rsidR="00973E65" w:rsidRPr="000B361C">
        <w:rPr>
          <w:rFonts w:ascii="CAIXA Std Book" w:hAnsi="CAIXA Std Book"/>
          <w:color w:val="005CA9"/>
          <w:sz w:val="20"/>
          <w:szCs w:val="20"/>
        </w:rPr>
        <w:t xml:space="preserve">(31/12/2025 - R$ </w:t>
      </w:r>
      <w:r w:rsidR="00087D6B" w:rsidRPr="000B361C">
        <w:rPr>
          <w:rFonts w:ascii="CAIXA Std Book" w:hAnsi="CAIXA Std Book"/>
          <w:color w:val="005CA9"/>
          <w:sz w:val="20"/>
          <w:szCs w:val="20"/>
        </w:rPr>
        <w:t>5.66</w:t>
      </w:r>
      <w:r w:rsidR="00C03CC9" w:rsidRPr="000B361C">
        <w:rPr>
          <w:rFonts w:ascii="CAIXA Std Book" w:hAnsi="CAIXA Std Book"/>
          <w:color w:val="005CA9"/>
          <w:sz w:val="20"/>
          <w:szCs w:val="20"/>
        </w:rPr>
        <w:t>4</w:t>
      </w:r>
      <w:r w:rsidR="00973E65" w:rsidRPr="000B361C">
        <w:rPr>
          <w:rFonts w:ascii="CAIXA Std Book" w:hAnsi="CAIXA Std Book"/>
          <w:color w:val="005CA9"/>
          <w:sz w:val="20"/>
          <w:szCs w:val="20"/>
        </w:rPr>
        <w:t>)</w:t>
      </w:r>
    </w:p>
    <w:p w14:paraId="04F56928" w14:textId="77777777" w:rsidR="002713C3" w:rsidRPr="000B361C" w:rsidRDefault="002713C3" w:rsidP="00AE292B">
      <w:pPr>
        <w:tabs>
          <w:tab w:val="left" w:pos="1650"/>
        </w:tabs>
        <w:spacing w:before="120" w:after="120"/>
        <w:jc w:val="both"/>
        <w:rPr>
          <w:rFonts w:ascii="CAIXA Std Book" w:hAnsi="CAIXA Std Book"/>
          <w:color w:val="005CA9"/>
          <w:sz w:val="20"/>
          <w:szCs w:val="20"/>
        </w:rPr>
      </w:pPr>
      <w:r w:rsidRPr="000B361C">
        <w:rPr>
          <w:rFonts w:ascii="CAIXA Std Book" w:hAnsi="CAIXA Std Book"/>
          <w:color w:val="005CA9"/>
          <w:sz w:val="20"/>
          <w:szCs w:val="20"/>
        </w:rPr>
        <w:t>Em relação ao ISSQN, a CAIXA aplica as diretrizes da Lei Complementar Federal nº 116/2003, em adequação de seus sistemas e procedimentos para apuração da base de cálculo e recolhimento do tributo sobre serviços prestados.</w:t>
      </w:r>
    </w:p>
    <w:p w14:paraId="55CFC805" w14:textId="57B688AA" w:rsidR="002713C3" w:rsidRPr="000B361C" w:rsidRDefault="002713C3" w:rsidP="00AE292B">
      <w:pPr>
        <w:tabs>
          <w:tab w:val="left" w:pos="1650"/>
        </w:tabs>
        <w:spacing w:before="120" w:after="120"/>
        <w:jc w:val="both"/>
        <w:rPr>
          <w:rFonts w:ascii="CAIXA Std Book" w:hAnsi="CAIXA Std Book"/>
          <w:color w:val="005CA9"/>
          <w:sz w:val="20"/>
          <w:szCs w:val="20"/>
        </w:rPr>
      </w:pPr>
      <w:r w:rsidRPr="000B361C">
        <w:rPr>
          <w:rFonts w:ascii="CAIXA Std Book" w:hAnsi="CAIXA Std Book"/>
          <w:color w:val="005CA9"/>
          <w:sz w:val="20"/>
          <w:szCs w:val="20"/>
        </w:rPr>
        <w:t xml:space="preserve">Não obstante, as fiscalizações tributárias de municípios diversos da federação autuaram a instituição sob a alegação de falta de recolhimento ou recolhimento a menor, instaurando discussão a partir de interpretação distinta de aspectos como materialidade, alíquotas aplicáveis e local de incidência do tributo, cujo valor total, em </w:t>
      </w:r>
      <w:r w:rsidR="00C561BC" w:rsidRPr="000B361C">
        <w:rPr>
          <w:rFonts w:ascii="CAIXA Std Book" w:hAnsi="CAIXA Std Book"/>
          <w:color w:val="005CA9"/>
          <w:sz w:val="20"/>
          <w:szCs w:val="20"/>
        </w:rPr>
        <w:t>3</w:t>
      </w:r>
      <w:r w:rsidR="00862C15" w:rsidRPr="000B361C">
        <w:rPr>
          <w:rFonts w:ascii="CAIXA Std Book" w:hAnsi="CAIXA Std Book"/>
          <w:color w:val="005CA9"/>
          <w:sz w:val="20"/>
          <w:szCs w:val="20"/>
        </w:rPr>
        <w:t>1</w:t>
      </w:r>
      <w:r w:rsidR="00C561BC" w:rsidRPr="000B361C">
        <w:rPr>
          <w:rFonts w:ascii="CAIXA Std Book" w:hAnsi="CAIXA Std Book"/>
          <w:color w:val="005CA9"/>
          <w:sz w:val="20"/>
          <w:szCs w:val="20"/>
        </w:rPr>
        <w:t>/</w:t>
      </w:r>
      <w:r w:rsidR="005C5310" w:rsidRPr="000B361C">
        <w:rPr>
          <w:rFonts w:ascii="CAIXA Std Book" w:hAnsi="CAIXA Std Book"/>
          <w:color w:val="005CA9"/>
          <w:sz w:val="20"/>
          <w:szCs w:val="20"/>
        </w:rPr>
        <w:t>03</w:t>
      </w:r>
      <w:r w:rsidRPr="000B361C">
        <w:rPr>
          <w:rFonts w:ascii="CAIXA Std Book" w:hAnsi="CAIXA Std Book"/>
          <w:color w:val="005CA9"/>
          <w:sz w:val="20"/>
          <w:szCs w:val="20"/>
        </w:rPr>
        <w:t>/202</w:t>
      </w:r>
      <w:r w:rsidR="005C5310" w:rsidRPr="000B361C">
        <w:rPr>
          <w:rFonts w:ascii="CAIXA Std Book" w:hAnsi="CAIXA Std Book"/>
          <w:color w:val="005CA9"/>
          <w:sz w:val="20"/>
          <w:szCs w:val="20"/>
        </w:rPr>
        <w:t>6</w:t>
      </w:r>
      <w:r w:rsidRPr="000B361C">
        <w:rPr>
          <w:rFonts w:ascii="CAIXA Std Book" w:hAnsi="CAIXA Std Book"/>
          <w:color w:val="005CA9"/>
          <w:sz w:val="20"/>
          <w:szCs w:val="20"/>
        </w:rPr>
        <w:t xml:space="preserve">, corresponde ao montante de R$ </w:t>
      </w:r>
      <w:r w:rsidR="007774A1" w:rsidRPr="000B361C">
        <w:rPr>
          <w:rFonts w:ascii="CAIXA Std Book" w:hAnsi="CAIXA Std Book"/>
          <w:color w:val="005CA9"/>
          <w:sz w:val="20"/>
          <w:szCs w:val="20"/>
        </w:rPr>
        <w:t>1.767.531</w:t>
      </w:r>
      <w:r w:rsidR="002575B1" w:rsidRPr="000B361C">
        <w:rPr>
          <w:rFonts w:ascii="CAIXA Std Book" w:hAnsi="CAIXA Std Book"/>
          <w:color w:val="005CA9"/>
          <w:sz w:val="20"/>
          <w:szCs w:val="20"/>
        </w:rPr>
        <w:t>.</w:t>
      </w:r>
      <w:r w:rsidR="00942109" w:rsidRPr="000B361C">
        <w:rPr>
          <w:rFonts w:ascii="CAIXA Std Book" w:hAnsi="CAIXA Std Book"/>
          <w:color w:val="005CA9"/>
          <w:sz w:val="20"/>
          <w:szCs w:val="20"/>
        </w:rPr>
        <w:t xml:space="preserve"> </w:t>
      </w:r>
      <w:r w:rsidR="00973E65" w:rsidRPr="000B361C">
        <w:rPr>
          <w:rFonts w:ascii="CAIXA Std Book" w:hAnsi="CAIXA Std Book"/>
          <w:color w:val="005CA9"/>
          <w:sz w:val="20"/>
          <w:szCs w:val="20"/>
        </w:rPr>
        <w:t>(</w:t>
      </w:r>
      <w:r w:rsidR="005C5310" w:rsidRPr="000B361C">
        <w:rPr>
          <w:rFonts w:ascii="CAIXA Std Book" w:hAnsi="CAIXA Std Book"/>
          <w:color w:val="005CA9"/>
          <w:sz w:val="20"/>
          <w:szCs w:val="20"/>
        </w:rPr>
        <w:t>31/12/2025 -</w:t>
      </w:r>
      <w:r w:rsidR="008E759E" w:rsidRPr="000B361C">
        <w:rPr>
          <w:rFonts w:ascii="CAIXA Std Book" w:hAnsi="CAIXA Std Book"/>
          <w:color w:val="005CA9"/>
          <w:sz w:val="20"/>
          <w:szCs w:val="20"/>
        </w:rPr>
        <w:t>.</w:t>
      </w:r>
      <w:r w:rsidR="005C5310" w:rsidRPr="000B361C">
        <w:rPr>
          <w:rFonts w:ascii="CAIXA Std Book" w:hAnsi="CAIXA Std Book"/>
          <w:color w:val="005CA9"/>
          <w:sz w:val="20"/>
          <w:szCs w:val="20"/>
        </w:rPr>
        <w:t xml:space="preserve"> R$ </w:t>
      </w:r>
      <w:r w:rsidR="00165D95" w:rsidRPr="000B361C">
        <w:rPr>
          <w:rFonts w:ascii="CAIXA Std Book" w:hAnsi="CAIXA Std Book"/>
          <w:color w:val="005CA9"/>
          <w:sz w:val="20"/>
          <w:szCs w:val="20"/>
        </w:rPr>
        <w:t>1.764.775</w:t>
      </w:r>
      <w:r w:rsidR="005C5310" w:rsidRPr="000B361C">
        <w:rPr>
          <w:rFonts w:ascii="CAIXA Std Book" w:hAnsi="CAIXA Std Book"/>
          <w:color w:val="005CA9"/>
          <w:sz w:val="20"/>
          <w:szCs w:val="20"/>
        </w:rPr>
        <w:t>)</w:t>
      </w:r>
      <w:r w:rsidR="002D4EEB" w:rsidRPr="000B361C">
        <w:rPr>
          <w:rFonts w:ascii="CAIXA Std Book" w:hAnsi="CAIXA Std Book"/>
          <w:color w:val="005CA9"/>
          <w:sz w:val="20"/>
          <w:szCs w:val="20"/>
        </w:rPr>
        <w:t>.</w:t>
      </w:r>
    </w:p>
    <w:p w14:paraId="1F395344" w14:textId="47199BD0" w:rsidR="002713C3" w:rsidRPr="00B04D8D" w:rsidRDefault="002713C3" w:rsidP="00AE292B">
      <w:pPr>
        <w:tabs>
          <w:tab w:val="left" w:pos="1650"/>
        </w:tabs>
        <w:spacing w:before="120" w:after="120"/>
        <w:jc w:val="both"/>
        <w:rPr>
          <w:rFonts w:ascii="CAIXA Std Book" w:hAnsi="CAIXA Std Book"/>
          <w:color w:val="005CA9"/>
          <w:sz w:val="20"/>
          <w:szCs w:val="20"/>
        </w:rPr>
      </w:pPr>
      <w:r w:rsidRPr="000B361C">
        <w:rPr>
          <w:rFonts w:ascii="CAIXA Std Book" w:hAnsi="CAIXA Std Book"/>
          <w:color w:val="005CA9"/>
          <w:sz w:val="20"/>
          <w:szCs w:val="20"/>
        </w:rPr>
        <w:t xml:space="preserve">Em face do histórico de êxito e do cenário jurisprudencial, avaliados em análise técnica e jurídica acerca da matéria, na posição de </w:t>
      </w:r>
      <w:r w:rsidR="00C561BC" w:rsidRPr="000B361C">
        <w:rPr>
          <w:rFonts w:ascii="CAIXA Std Book" w:hAnsi="CAIXA Std Book"/>
          <w:color w:val="005CA9"/>
          <w:sz w:val="20"/>
          <w:szCs w:val="20"/>
        </w:rPr>
        <w:t>3</w:t>
      </w:r>
      <w:r w:rsidR="0060727A" w:rsidRPr="000B361C">
        <w:rPr>
          <w:rFonts w:ascii="CAIXA Std Book" w:hAnsi="CAIXA Std Book"/>
          <w:color w:val="005CA9"/>
          <w:sz w:val="20"/>
          <w:szCs w:val="20"/>
        </w:rPr>
        <w:t>1</w:t>
      </w:r>
      <w:r w:rsidR="00C561BC" w:rsidRPr="000B361C">
        <w:rPr>
          <w:rFonts w:ascii="CAIXA Std Book" w:hAnsi="CAIXA Std Book"/>
          <w:color w:val="005CA9"/>
          <w:sz w:val="20"/>
          <w:szCs w:val="20"/>
        </w:rPr>
        <w:t>/</w:t>
      </w:r>
      <w:r w:rsidR="00161E18" w:rsidRPr="000B361C">
        <w:rPr>
          <w:rFonts w:ascii="CAIXA Std Book" w:hAnsi="CAIXA Std Book"/>
          <w:color w:val="005CA9"/>
          <w:sz w:val="20"/>
          <w:szCs w:val="20"/>
        </w:rPr>
        <w:t>03</w:t>
      </w:r>
      <w:r w:rsidRPr="000B361C">
        <w:rPr>
          <w:rFonts w:ascii="CAIXA Std Book" w:hAnsi="CAIXA Std Book"/>
          <w:color w:val="005CA9"/>
          <w:sz w:val="20"/>
          <w:szCs w:val="20"/>
        </w:rPr>
        <w:t>/202</w:t>
      </w:r>
      <w:r w:rsidR="00161E18" w:rsidRPr="000B361C">
        <w:rPr>
          <w:rFonts w:ascii="CAIXA Std Book" w:hAnsi="CAIXA Std Book"/>
          <w:color w:val="005CA9"/>
          <w:sz w:val="20"/>
          <w:szCs w:val="20"/>
        </w:rPr>
        <w:t>6</w:t>
      </w:r>
      <w:r w:rsidRPr="000B361C">
        <w:rPr>
          <w:rFonts w:ascii="CAIXA Std Book" w:hAnsi="CAIXA Std Book"/>
          <w:color w:val="005CA9"/>
          <w:sz w:val="20"/>
          <w:szCs w:val="20"/>
        </w:rPr>
        <w:t xml:space="preserve"> o valor da provisão constituída é de R$ </w:t>
      </w:r>
      <w:r w:rsidR="00E773F6" w:rsidRPr="000B361C">
        <w:rPr>
          <w:rFonts w:ascii="CAIXA Std Book" w:hAnsi="CAIXA Std Book"/>
          <w:color w:val="005CA9"/>
          <w:sz w:val="20"/>
          <w:szCs w:val="20"/>
        </w:rPr>
        <w:t>368.43</w:t>
      </w:r>
      <w:r w:rsidR="001D05AC" w:rsidRPr="000B361C">
        <w:rPr>
          <w:rFonts w:ascii="CAIXA Std Book" w:hAnsi="CAIXA Std Book"/>
          <w:color w:val="005CA9"/>
          <w:sz w:val="20"/>
          <w:szCs w:val="20"/>
        </w:rPr>
        <w:t>0</w:t>
      </w:r>
      <w:r w:rsidR="002575B1" w:rsidRPr="000B361C">
        <w:rPr>
          <w:rFonts w:ascii="CAIXA Std Book" w:hAnsi="CAIXA Std Book"/>
          <w:color w:val="005CA9"/>
          <w:sz w:val="20"/>
          <w:szCs w:val="20"/>
        </w:rPr>
        <w:t>.</w:t>
      </w:r>
      <w:r w:rsidRPr="000B361C">
        <w:rPr>
          <w:rFonts w:ascii="CAIXA Std Book" w:hAnsi="CAIXA Std Book"/>
          <w:color w:val="005CA9"/>
          <w:sz w:val="20"/>
          <w:szCs w:val="20"/>
        </w:rPr>
        <w:t xml:space="preserve"> </w:t>
      </w:r>
      <w:r w:rsidR="001656A3" w:rsidRPr="000B361C">
        <w:rPr>
          <w:rFonts w:ascii="CAIXA Std Book" w:hAnsi="CAIXA Std Book"/>
          <w:color w:val="005CA9"/>
          <w:sz w:val="20"/>
          <w:szCs w:val="20"/>
        </w:rPr>
        <w:t>(31/12/2025 -</w:t>
      </w:r>
      <w:r w:rsidR="00552FB1" w:rsidRPr="000B361C">
        <w:rPr>
          <w:rFonts w:ascii="CAIXA Std Book" w:hAnsi="CAIXA Std Book"/>
          <w:color w:val="005CA9"/>
          <w:sz w:val="20"/>
          <w:szCs w:val="20"/>
        </w:rPr>
        <w:t>.</w:t>
      </w:r>
      <w:r w:rsidR="001656A3" w:rsidRPr="000B361C">
        <w:rPr>
          <w:rFonts w:ascii="CAIXA Std Book" w:hAnsi="CAIXA Std Book"/>
          <w:color w:val="005CA9"/>
          <w:sz w:val="20"/>
          <w:szCs w:val="20"/>
        </w:rPr>
        <w:t xml:space="preserve"> R$ </w:t>
      </w:r>
      <w:r w:rsidR="00BA71F2" w:rsidRPr="000B361C">
        <w:rPr>
          <w:rFonts w:ascii="CAIXA Std Book" w:hAnsi="CAIXA Std Book"/>
          <w:color w:val="005CA9"/>
          <w:sz w:val="20"/>
          <w:szCs w:val="20"/>
        </w:rPr>
        <w:t>417.46</w:t>
      </w:r>
      <w:r w:rsidR="004A5593" w:rsidRPr="000B361C">
        <w:rPr>
          <w:rFonts w:ascii="CAIXA Std Book" w:hAnsi="CAIXA Std Book"/>
          <w:color w:val="005CA9"/>
          <w:sz w:val="20"/>
          <w:szCs w:val="20"/>
        </w:rPr>
        <w:t>2</w:t>
      </w:r>
      <w:r w:rsidR="001656A3" w:rsidRPr="000B361C">
        <w:rPr>
          <w:rFonts w:ascii="CAIXA Std Book" w:hAnsi="CAIXA Std Book"/>
          <w:color w:val="005CA9"/>
          <w:sz w:val="20"/>
          <w:szCs w:val="20"/>
        </w:rPr>
        <w:t>)</w:t>
      </w:r>
    </w:p>
    <w:p w14:paraId="753C1D4F" w14:textId="727B64BF" w:rsidR="002713C3" w:rsidRPr="00B04D8D" w:rsidRDefault="002713C3" w:rsidP="00AE292B">
      <w:pPr>
        <w:tabs>
          <w:tab w:val="left" w:pos="1650"/>
        </w:tabs>
        <w:spacing w:before="120" w:after="120"/>
        <w:jc w:val="both"/>
        <w:rPr>
          <w:rFonts w:ascii="CAIXA Std Book" w:hAnsi="CAIXA Std Book"/>
          <w:color w:val="005CA9"/>
          <w:sz w:val="20"/>
          <w:szCs w:val="20"/>
        </w:rPr>
      </w:pPr>
      <w:r w:rsidRPr="00B04D8D">
        <w:rPr>
          <w:rFonts w:ascii="CAIXA Std Book" w:hAnsi="CAIXA Std Book"/>
          <w:color w:val="005CA9"/>
          <w:sz w:val="20"/>
          <w:szCs w:val="20"/>
        </w:rPr>
        <w:t xml:space="preserve">Ainda, como destaque, a CAIXA vem discutindo a materialidade de débitos de CSLL, IRPJ e multa decorrentes de não homologações de Pedido Eletrônico de Restituição, Ressarcimento ou Reembolso e Declaração de Compensação – PER/DCOMP, os quais, em </w:t>
      </w:r>
      <w:r w:rsidR="00C561BC" w:rsidRPr="002B1963">
        <w:rPr>
          <w:rFonts w:ascii="CAIXA Std Book" w:hAnsi="CAIXA Std Book"/>
          <w:color w:val="005CA9"/>
          <w:sz w:val="20"/>
          <w:szCs w:val="20"/>
        </w:rPr>
        <w:t>3</w:t>
      </w:r>
      <w:r w:rsidR="00AD02D6" w:rsidRPr="002B1963">
        <w:rPr>
          <w:rFonts w:ascii="CAIXA Std Book" w:hAnsi="CAIXA Std Book"/>
          <w:color w:val="005CA9"/>
          <w:sz w:val="20"/>
          <w:szCs w:val="20"/>
        </w:rPr>
        <w:t>1</w:t>
      </w:r>
      <w:r w:rsidR="00C561BC" w:rsidRPr="002B1963">
        <w:rPr>
          <w:rFonts w:ascii="CAIXA Std Book" w:hAnsi="CAIXA Std Book"/>
          <w:color w:val="005CA9"/>
          <w:sz w:val="20"/>
          <w:szCs w:val="20"/>
        </w:rPr>
        <w:t>/</w:t>
      </w:r>
      <w:r w:rsidR="001656A3">
        <w:rPr>
          <w:rFonts w:ascii="CAIXA Std Book" w:hAnsi="CAIXA Std Book"/>
          <w:color w:val="005CA9"/>
          <w:sz w:val="20"/>
          <w:szCs w:val="20"/>
        </w:rPr>
        <w:t>03</w:t>
      </w:r>
      <w:r w:rsidRPr="002B1963">
        <w:rPr>
          <w:rFonts w:ascii="CAIXA Std Book" w:hAnsi="CAIXA Std Book"/>
          <w:color w:val="005CA9"/>
          <w:sz w:val="20"/>
          <w:szCs w:val="20"/>
        </w:rPr>
        <w:t>/202</w:t>
      </w:r>
      <w:r w:rsidR="001656A3">
        <w:rPr>
          <w:rFonts w:ascii="CAIXA Std Book" w:hAnsi="CAIXA Std Book"/>
          <w:color w:val="005CA9"/>
          <w:sz w:val="20"/>
          <w:szCs w:val="20"/>
        </w:rPr>
        <w:t>6</w:t>
      </w:r>
      <w:r w:rsidRPr="00FE1856">
        <w:rPr>
          <w:rFonts w:ascii="CAIXA Std Book" w:hAnsi="CAIXA Std Book"/>
          <w:color w:val="005CA9"/>
          <w:sz w:val="20"/>
          <w:szCs w:val="20"/>
        </w:rPr>
        <w:t>,</w:t>
      </w:r>
      <w:r w:rsidRPr="00B04D8D">
        <w:rPr>
          <w:rFonts w:ascii="CAIXA Std Book" w:hAnsi="CAIXA Std Book"/>
          <w:color w:val="005CA9"/>
          <w:sz w:val="20"/>
          <w:szCs w:val="20"/>
        </w:rPr>
        <w:t xml:space="preserve"> totalizam </w:t>
      </w:r>
      <w:r w:rsidRPr="00ED7531">
        <w:rPr>
          <w:rFonts w:ascii="CAIXA Std Book" w:hAnsi="CAIXA Std Book"/>
          <w:color w:val="005CA9"/>
          <w:sz w:val="20"/>
          <w:szCs w:val="20"/>
        </w:rPr>
        <w:t>R$</w:t>
      </w:r>
      <w:r w:rsidRPr="00882F51">
        <w:rPr>
          <w:rFonts w:ascii="CAIXA Std Book" w:hAnsi="CAIXA Std Book"/>
          <w:color w:val="005CA9"/>
          <w:sz w:val="20"/>
          <w:szCs w:val="20"/>
        </w:rPr>
        <w:t xml:space="preserve"> </w:t>
      </w:r>
      <w:r w:rsidR="00ED7531" w:rsidRPr="00ED7531">
        <w:rPr>
          <w:rFonts w:ascii="CAIXA Std Book" w:hAnsi="CAIXA Std Book"/>
          <w:color w:val="005CA9"/>
          <w:sz w:val="20"/>
          <w:szCs w:val="20"/>
        </w:rPr>
        <w:t>26.560</w:t>
      </w:r>
      <w:r w:rsidRPr="00882F51">
        <w:rPr>
          <w:rFonts w:ascii="CAIXA Std Book" w:hAnsi="CAIXA Std Book"/>
          <w:color w:val="005CA9"/>
          <w:sz w:val="20"/>
          <w:szCs w:val="20"/>
        </w:rPr>
        <w:t xml:space="preserve"> </w:t>
      </w:r>
      <w:r w:rsidR="00247988">
        <w:rPr>
          <w:rFonts w:ascii="CAIXA Std Book" w:hAnsi="CAIXA Std Book"/>
          <w:color w:val="005CA9"/>
          <w:sz w:val="20"/>
          <w:szCs w:val="20"/>
        </w:rPr>
        <w:t>(</w:t>
      </w:r>
      <w:r w:rsidR="001656A3">
        <w:rPr>
          <w:rFonts w:ascii="CAIXA Std Book" w:hAnsi="CAIXA Std Book"/>
          <w:color w:val="005CA9"/>
          <w:sz w:val="20"/>
          <w:szCs w:val="20"/>
        </w:rPr>
        <w:t>31/12/2025</w:t>
      </w:r>
      <w:r w:rsidR="00247988">
        <w:rPr>
          <w:rFonts w:ascii="CAIXA Std Book" w:hAnsi="CAIXA Std Book"/>
          <w:color w:val="005CA9"/>
          <w:sz w:val="20"/>
          <w:szCs w:val="20"/>
        </w:rPr>
        <w:t xml:space="preserve"> - </w:t>
      </w:r>
      <w:r w:rsidR="00247988" w:rsidRPr="00882F51">
        <w:rPr>
          <w:rFonts w:ascii="CAIXA Std Book" w:hAnsi="CAIXA Std Book"/>
          <w:color w:val="005CA9"/>
          <w:sz w:val="20"/>
          <w:szCs w:val="20"/>
        </w:rPr>
        <w:t xml:space="preserve">R$ </w:t>
      </w:r>
      <w:r w:rsidR="00882F51" w:rsidRPr="00882F51">
        <w:rPr>
          <w:rFonts w:ascii="CAIXA Std Book" w:hAnsi="CAIXA Std Book"/>
          <w:color w:val="005CA9"/>
          <w:sz w:val="20"/>
          <w:szCs w:val="20"/>
        </w:rPr>
        <w:t>26.143</w:t>
      </w:r>
      <w:r w:rsidR="00247988">
        <w:rPr>
          <w:rFonts w:ascii="CAIXA Std Book" w:hAnsi="CAIXA Std Book"/>
          <w:color w:val="005CA9"/>
          <w:sz w:val="20"/>
          <w:szCs w:val="20"/>
        </w:rPr>
        <w:t>)</w:t>
      </w:r>
      <w:r w:rsidR="00501974" w:rsidRPr="00A8509C">
        <w:rPr>
          <w:rFonts w:ascii="CAIXA Std Book" w:hAnsi="CAIXA Std Book"/>
          <w:color w:val="005CA9"/>
          <w:sz w:val="20"/>
          <w:szCs w:val="20"/>
        </w:rPr>
        <w:t>,</w:t>
      </w:r>
      <w:r w:rsidRPr="00A8509C">
        <w:rPr>
          <w:rFonts w:ascii="CAIXA Std Book" w:hAnsi="CAIXA Std Book"/>
          <w:color w:val="005CA9"/>
          <w:sz w:val="20"/>
          <w:szCs w:val="20"/>
        </w:rPr>
        <w:t xml:space="preserve"> </w:t>
      </w:r>
      <w:r w:rsidRPr="00B04D8D">
        <w:rPr>
          <w:rFonts w:ascii="CAIXA Std Book" w:hAnsi="CAIXA Std Book"/>
          <w:color w:val="005CA9"/>
          <w:sz w:val="20"/>
          <w:szCs w:val="20"/>
        </w:rPr>
        <w:t>em referência a questões procedimentais, no que, com base nos pronunciamentos jurisdicionais sobre cada matéria, a análise dos advogados foi pela constituição da provisão integral do valor.</w:t>
      </w:r>
    </w:p>
    <w:p w14:paraId="1E3D5617" w14:textId="77777777" w:rsidR="002713C3" w:rsidRPr="00B04D8D" w:rsidRDefault="002713C3" w:rsidP="00AB4D07">
      <w:pPr>
        <w:keepNext/>
        <w:numPr>
          <w:ilvl w:val="0"/>
          <w:numId w:val="8"/>
        </w:numPr>
        <w:spacing w:before="240" w:after="120"/>
        <w:ind w:left="567" w:hanging="567"/>
        <w:jc w:val="both"/>
        <w:rPr>
          <w:rFonts w:ascii="CAIXA Std Book" w:hAnsi="CAIXA Std Book" w:cs="MS Gothic"/>
          <w:b/>
          <w:color w:val="005CA9"/>
          <w:sz w:val="20"/>
          <w:szCs w:val="20"/>
        </w:rPr>
      </w:pPr>
      <w:r w:rsidRPr="00B04D8D">
        <w:rPr>
          <w:rFonts w:ascii="CAIXA Std Book" w:hAnsi="CAIXA Std Book"/>
          <w:b/>
          <w:color w:val="005CA9"/>
          <w:sz w:val="20"/>
          <w:szCs w:val="20"/>
        </w:rPr>
        <w:t>Provisão para pré-pagamentos do crédito imobiliário com recursos do FGTS</w:t>
      </w:r>
    </w:p>
    <w:p w14:paraId="321C6388" w14:textId="5F0BF5AA" w:rsidR="0019435C" w:rsidRDefault="002713C3" w:rsidP="00295657">
      <w:pPr>
        <w:pStyle w:val="PargrafodaLista"/>
        <w:numPr>
          <w:ilvl w:val="0"/>
          <w:numId w:val="27"/>
        </w:numPr>
        <w:spacing w:before="120" w:after="120"/>
        <w:ind w:left="357" w:hanging="357"/>
        <w:contextualSpacing w:val="0"/>
        <w:jc w:val="both"/>
        <w:rPr>
          <w:rFonts w:ascii="CAIXA Std Book" w:hAnsi="CAIXA Std Book"/>
          <w:color w:val="005CA9"/>
          <w:sz w:val="20"/>
          <w:szCs w:val="20"/>
        </w:rPr>
      </w:pPr>
      <w:r w:rsidRPr="00291FAB">
        <w:rPr>
          <w:rFonts w:ascii="CAIXA Std Book" w:hAnsi="CAIXA Std Book"/>
          <w:color w:val="005CA9"/>
          <w:sz w:val="20"/>
          <w:szCs w:val="20"/>
        </w:rPr>
        <w:t>Os financiamentos habitacionais, concedidos com recursos do FGTS e contemplados com subsídio para redução da prestação, remuneram o Agente Financeiro com pagamento total ou parcial do subsídio pelo FGTS, conforme definição descrita na Resolução do Conselho Curador do FGTS nº 702/2012 e suas atualizações;</w:t>
      </w:r>
    </w:p>
    <w:p w14:paraId="06233492" w14:textId="77777777" w:rsidR="002713C3" w:rsidRDefault="002713C3" w:rsidP="00295657">
      <w:pPr>
        <w:pStyle w:val="PargrafodaLista"/>
        <w:numPr>
          <w:ilvl w:val="0"/>
          <w:numId w:val="27"/>
        </w:numPr>
        <w:spacing w:before="120" w:after="120"/>
        <w:ind w:left="357" w:hanging="357"/>
        <w:contextualSpacing w:val="0"/>
        <w:jc w:val="both"/>
        <w:rPr>
          <w:rFonts w:ascii="CAIXA Std Book" w:hAnsi="CAIXA Std Book"/>
          <w:color w:val="005CA9"/>
          <w:sz w:val="20"/>
          <w:szCs w:val="20"/>
        </w:rPr>
      </w:pPr>
      <w:r w:rsidRPr="00291FAB">
        <w:rPr>
          <w:rFonts w:ascii="CAIXA Std Book" w:hAnsi="CAIXA Std Book"/>
          <w:color w:val="005CA9"/>
          <w:sz w:val="20"/>
          <w:szCs w:val="20"/>
        </w:rPr>
        <w:t>Estes valores são repassados ao Agente Financeiro CAIXA no ato da contratação, a fim de fazer frente a todo período da operação. Alterações no fluxo inicialmente contratado, tais como liquidação antecipada, amortização extraordinária, amortização extraordinária com redução de prazo, transferência ou redução do prazo contratado do financiamento, exigem que a CAIXA devolva ao FGTS parte da remuneração recebida, proporcionalmente</w:t>
      </w:r>
      <w:r>
        <w:rPr>
          <w:rFonts w:ascii="CAIXA Std Book" w:hAnsi="CAIXA Std Book"/>
          <w:color w:val="005CA9"/>
          <w:sz w:val="20"/>
          <w:szCs w:val="20"/>
        </w:rPr>
        <w:t>; e</w:t>
      </w:r>
    </w:p>
    <w:p w14:paraId="0FA4888D" w14:textId="77777777" w:rsidR="002713C3" w:rsidRPr="00291FAB" w:rsidRDefault="002713C3" w:rsidP="00295657">
      <w:pPr>
        <w:pStyle w:val="PargrafodaLista"/>
        <w:numPr>
          <w:ilvl w:val="0"/>
          <w:numId w:val="27"/>
        </w:numPr>
        <w:spacing w:before="120" w:after="120"/>
        <w:ind w:left="357" w:hanging="357"/>
        <w:contextualSpacing w:val="0"/>
        <w:jc w:val="both"/>
        <w:rPr>
          <w:rFonts w:ascii="CAIXA Std Book" w:hAnsi="CAIXA Std Book"/>
          <w:color w:val="005CA9"/>
          <w:sz w:val="20"/>
          <w:szCs w:val="20"/>
        </w:rPr>
      </w:pPr>
      <w:r w:rsidRPr="00291FAB">
        <w:rPr>
          <w:rFonts w:ascii="CAIXA Std Book" w:hAnsi="CAIXA Std Book"/>
          <w:color w:val="005CA9"/>
          <w:sz w:val="20"/>
          <w:szCs w:val="20"/>
        </w:rPr>
        <w:t xml:space="preserve">Para fazer frente a essa devolução de recursos ao FGTS, é feita a provisão para devolução de receitas em caso de pré-pagamentos. Os valores provisionados são apurados com base nos fluxos médios de devolução de remuneração ocorridos, e seus respectivos impactos sobre o saldo de valores de remuneração do Agente Financeiro CAIXA. </w:t>
      </w:r>
    </w:p>
    <w:p w14:paraId="361755F3" w14:textId="7AB66343" w:rsidR="002713C3" w:rsidRPr="00FF4346" w:rsidRDefault="002713C3" w:rsidP="00AB4D07">
      <w:pPr>
        <w:keepNext/>
        <w:numPr>
          <w:ilvl w:val="0"/>
          <w:numId w:val="8"/>
        </w:numPr>
        <w:spacing w:before="240" w:after="120"/>
        <w:ind w:left="567" w:hanging="567"/>
        <w:jc w:val="both"/>
        <w:rPr>
          <w:rFonts w:ascii="CAIXA Std Book" w:hAnsi="CAIXA Std Book"/>
          <w:b/>
          <w:color w:val="005CA9"/>
          <w:sz w:val="20"/>
          <w:szCs w:val="20"/>
        </w:rPr>
      </w:pPr>
      <w:r w:rsidRPr="00FF4346">
        <w:rPr>
          <w:rFonts w:ascii="CAIXA Std Book" w:hAnsi="CAIXA Std Book"/>
          <w:b/>
          <w:color w:val="005CA9"/>
          <w:sz w:val="20"/>
          <w:szCs w:val="20"/>
        </w:rPr>
        <w:t>Passivos contingentes classificados como perdas possíveis</w:t>
      </w:r>
    </w:p>
    <w:p w14:paraId="3849251E" w14:textId="77777777" w:rsidR="002713C3" w:rsidRPr="00FF4346" w:rsidRDefault="002713C3" w:rsidP="002713C3">
      <w:pPr>
        <w:autoSpaceDE w:val="0"/>
        <w:autoSpaceDN w:val="0"/>
        <w:adjustRightInd w:val="0"/>
        <w:spacing w:before="240" w:after="120"/>
        <w:ind w:left="851" w:hanging="851"/>
        <w:jc w:val="both"/>
        <w:rPr>
          <w:rFonts w:ascii="CAIXA Std Book" w:hAnsi="CAIXA Std Book"/>
          <w:b/>
          <w:color w:val="005CA9"/>
          <w:sz w:val="20"/>
          <w:szCs w:val="20"/>
        </w:rPr>
      </w:pPr>
      <w:r w:rsidRPr="00FF4346">
        <w:rPr>
          <w:rFonts w:ascii="CAIXA Std Book" w:hAnsi="CAIXA Std Book"/>
          <w:b/>
          <w:color w:val="005CA9"/>
          <w:sz w:val="20"/>
          <w:szCs w:val="20"/>
        </w:rPr>
        <w:t>(</w:t>
      </w:r>
      <w:r>
        <w:rPr>
          <w:rFonts w:ascii="CAIXA Std Book" w:hAnsi="CAIXA Std Book"/>
          <w:b/>
          <w:color w:val="005CA9"/>
          <w:sz w:val="20"/>
          <w:szCs w:val="20"/>
        </w:rPr>
        <w:t>d</w:t>
      </w:r>
      <w:r w:rsidRPr="00FF4346">
        <w:rPr>
          <w:rFonts w:ascii="CAIXA Std Book" w:hAnsi="CAIXA Std Book"/>
          <w:b/>
          <w:color w:val="005CA9"/>
          <w:sz w:val="20"/>
          <w:szCs w:val="20"/>
        </w:rPr>
        <w:t>.1)</w:t>
      </w:r>
      <w:r w:rsidRPr="00FF4346">
        <w:rPr>
          <w:rFonts w:ascii="CAIXA Std Book" w:hAnsi="CAIXA Std Book"/>
          <w:b/>
          <w:color w:val="005CA9"/>
          <w:sz w:val="20"/>
          <w:szCs w:val="20"/>
        </w:rPr>
        <w:tab/>
        <w:t>Demandas fiscais</w:t>
      </w:r>
    </w:p>
    <w:p w14:paraId="6921C191" w14:textId="2BAADB12" w:rsidR="00EB23E9" w:rsidRDefault="002713C3" w:rsidP="00404248">
      <w:pPr>
        <w:tabs>
          <w:tab w:val="left" w:pos="1650"/>
        </w:tabs>
        <w:spacing w:before="120" w:after="120"/>
        <w:jc w:val="both"/>
        <w:rPr>
          <w:rFonts w:ascii="CAIXA Std Book" w:hAnsi="CAIXA Std Book"/>
          <w:color w:val="005CA9"/>
          <w:sz w:val="20"/>
          <w:szCs w:val="20"/>
        </w:rPr>
      </w:pPr>
      <w:r w:rsidRPr="00FF4346">
        <w:rPr>
          <w:rFonts w:ascii="CAIXA Std Book" w:hAnsi="CAIXA Std Book"/>
          <w:color w:val="005CA9"/>
          <w:sz w:val="20"/>
          <w:szCs w:val="20"/>
        </w:rPr>
        <w:t xml:space="preserve">A CAIXA mantém o acompanhamento de processos fiscais administrativos e judiciais em que figura como polo passivo ou ativo e, sob o amparo dos pareceres de suas unidades jurídicas, classificou como risco de perda possível processos que totalizam o valor de </w:t>
      </w:r>
      <w:r w:rsidRPr="003C0DE3">
        <w:rPr>
          <w:rFonts w:ascii="CAIXA Std Book" w:hAnsi="CAIXA Std Book"/>
          <w:color w:val="005CA9"/>
          <w:sz w:val="20"/>
          <w:szCs w:val="20"/>
        </w:rPr>
        <w:t>R$</w:t>
      </w:r>
      <w:r w:rsidR="00222A3F" w:rsidRPr="0086603C">
        <w:rPr>
          <w:rFonts w:ascii="CAIXA Std Book" w:hAnsi="CAIXA Std Book"/>
          <w:color w:val="005CA9"/>
          <w:sz w:val="20"/>
          <w:szCs w:val="20"/>
        </w:rPr>
        <w:t xml:space="preserve"> </w:t>
      </w:r>
      <w:r w:rsidR="009431DF" w:rsidRPr="003C0DE3">
        <w:rPr>
          <w:rFonts w:ascii="CAIXA Std Book" w:hAnsi="CAIXA Std Book"/>
          <w:color w:val="005CA9"/>
          <w:sz w:val="20"/>
          <w:szCs w:val="20"/>
        </w:rPr>
        <w:t>10.665.566</w:t>
      </w:r>
      <w:r w:rsidR="00222A3F" w:rsidRPr="0086603C">
        <w:rPr>
          <w:rFonts w:ascii="CAIXA Std Book" w:hAnsi="CAIXA Std Book"/>
          <w:color w:val="005CA9"/>
          <w:sz w:val="20"/>
          <w:szCs w:val="20"/>
        </w:rPr>
        <w:t xml:space="preserve"> </w:t>
      </w:r>
      <w:r w:rsidR="000705D8">
        <w:rPr>
          <w:rFonts w:ascii="CAIXA Std Book" w:hAnsi="CAIXA Std Book"/>
          <w:color w:val="005CA9"/>
          <w:sz w:val="20"/>
          <w:szCs w:val="20"/>
        </w:rPr>
        <w:t>(31/</w:t>
      </w:r>
      <w:r w:rsidR="00AD02D6" w:rsidRPr="003C3BC5">
        <w:rPr>
          <w:rFonts w:ascii="CAIXA Std Book" w:hAnsi="CAIXA Std Book"/>
          <w:color w:val="005CA9"/>
          <w:sz w:val="20"/>
          <w:szCs w:val="20"/>
        </w:rPr>
        <w:t>12</w:t>
      </w:r>
      <w:r w:rsidR="00025396" w:rsidRPr="003C3BC5">
        <w:rPr>
          <w:rFonts w:ascii="CAIXA Std Book" w:hAnsi="CAIXA Std Book"/>
          <w:color w:val="005CA9"/>
          <w:sz w:val="20"/>
          <w:szCs w:val="20"/>
        </w:rPr>
        <w:t>/2025</w:t>
      </w:r>
      <w:r w:rsidR="000705D8">
        <w:rPr>
          <w:rFonts w:ascii="CAIXA Std Book" w:hAnsi="CAIXA Std Book"/>
          <w:color w:val="005CA9"/>
          <w:sz w:val="20"/>
          <w:szCs w:val="20"/>
        </w:rPr>
        <w:t xml:space="preserve"> -</w:t>
      </w:r>
      <w:r w:rsidR="000705D8" w:rsidRPr="000705D8">
        <w:rPr>
          <w:rFonts w:ascii="CAIXA Std Book" w:hAnsi="CAIXA Std Book"/>
          <w:color w:val="005CA9"/>
          <w:sz w:val="20"/>
          <w:szCs w:val="20"/>
        </w:rPr>
        <w:t xml:space="preserve"> </w:t>
      </w:r>
      <w:r w:rsidR="000705D8" w:rsidRPr="0086603C">
        <w:rPr>
          <w:rFonts w:ascii="CAIXA Std Book" w:hAnsi="CAIXA Std Book"/>
          <w:color w:val="005CA9"/>
          <w:sz w:val="20"/>
          <w:szCs w:val="20"/>
        </w:rPr>
        <w:t xml:space="preserve">R$ </w:t>
      </w:r>
      <w:r w:rsidR="000705D8" w:rsidRPr="00FB48BE">
        <w:rPr>
          <w:rFonts w:ascii="CAIXA Std Book" w:hAnsi="CAIXA Std Book"/>
          <w:color w:val="005CA9"/>
          <w:sz w:val="20"/>
          <w:szCs w:val="20"/>
        </w:rPr>
        <w:t>10.833.974</w:t>
      </w:r>
      <w:r w:rsidR="000705D8">
        <w:rPr>
          <w:rFonts w:ascii="CAIXA Std Book" w:hAnsi="CAIXA Std Book"/>
          <w:color w:val="005CA9"/>
          <w:sz w:val="20"/>
          <w:szCs w:val="20"/>
        </w:rPr>
        <w:t>)</w:t>
      </w:r>
      <w:r w:rsidR="0047091A">
        <w:rPr>
          <w:rFonts w:ascii="CAIXA Std Book" w:hAnsi="CAIXA Std Book"/>
          <w:color w:val="005CA9"/>
          <w:sz w:val="20"/>
          <w:szCs w:val="20"/>
        </w:rPr>
        <w:t xml:space="preserve"> </w:t>
      </w:r>
      <w:r w:rsidR="00025396" w:rsidRPr="00025396">
        <w:rPr>
          <w:rFonts w:ascii="CAIXA Std Book" w:hAnsi="CAIXA Std Book"/>
          <w:color w:val="005CA9"/>
          <w:sz w:val="20"/>
          <w:szCs w:val="20"/>
        </w:rPr>
        <w:t xml:space="preserve">em </w:t>
      </w:r>
      <w:r w:rsidR="00025396" w:rsidRPr="003C3BC5">
        <w:rPr>
          <w:rFonts w:ascii="CAIXA Std Book" w:hAnsi="CAIXA Std Book"/>
          <w:color w:val="005CA9"/>
          <w:sz w:val="20"/>
          <w:szCs w:val="20"/>
        </w:rPr>
        <w:t>3</w:t>
      </w:r>
      <w:r w:rsidR="00AD02D6" w:rsidRPr="003C3BC5">
        <w:rPr>
          <w:rFonts w:ascii="CAIXA Std Book" w:hAnsi="CAIXA Std Book"/>
          <w:color w:val="005CA9"/>
          <w:sz w:val="20"/>
          <w:szCs w:val="20"/>
        </w:rPr>
        <w:t>1</w:t>
      </w:r>
      <w:r w:rsidR="00025396" w:rsidRPr="003C3BC5">
        <w:rPr>
          <w:rFonts w:ascii="CAIXA Std Book" w:hAnsi="CAIXA Std Book"/>
          <w:color w:val="005CA9"/>
          <w:sz w:val="20"/>
          <w:szCs w:val="20"/>
        </w:rPr>
        <w:t>/</w:t>
      </w:r>
      <w:r w:rsidR="000705D8">
        <w:rPr>
          <w:rFonts w:ascii="CAIXA Std Book" w:hAnsi="CAIXA Std Book"/>
          <w:color w:val="005CA9"/>
          <w:sz w:val="20"/>
          <w:szCs w:val="20"/>
        </w:rPr>
        <w:t>03</w:t>
      </w:r>
      <w:r w:rsidR="00025396" w:rsidRPr="003C3BC5">
        <w:rPr>
          <w:rFonts w:ascii="CAIXA Std Book" w:hAnsi="CAIXA Std Book"/>
          <w:color w:val="005CA9"/>
          <w:sz w:val="20"/>
          <w:szCs w:val="20"/>
        </w:rPr>
        <w:t>/202</w:t>
      </w:r>
      <w:r w:rsidR="000705D8">
        <w:rPr>
          <w:rFonts w:ascii="CAIXA Std Book" w:hAnsi="CAIXA Std Book"/>
          <w:color w:val="005CA9"/>
          <w:sz w:val="20"/>
          <w:szCs w:val="20"/>
        </w:rPr>
        <w:t>6</w:t>
      </w:r>
      <w:r w:rsidRPr="00FF4346">
        <w:rPr>
          <w:rFonts w:ascii="CAIXA Std Book" w:hAnsi="CAIXA Std Book"/>
          <w:color w:val="005CA9"/>
          <w:sz w:val="20"/>
          <w:szCs w:val="20"/>
        </w:rPr>
        <w:t>, dentre os quais se destacam as seguintes demandas em razão dos valores em discussão:</w:t>
      </w:r>
    </w:p>
    <w:p w14:paraId="62D0B00A" w14:textId="4B6C4596" w:rsidR="005B4E99" w:rsidRDefault="002713C3" w:rsidP="00A947CD">
      <w:pPr>
        <w:pStyle w:val="PargrafodaLista"/>
        <w:numPr>
          <w:ilvl w:val="1"/>
          <w:numId w:val="29"/>
        </w:numPr>
        <w:tabs>
          <w:tab w:val="left" w:pos="1650"/>
        </w:tabs>
        <w:spacing w:before="120" w:after="120"/>
        <w:ind w:left="357" w:hanging="357"/>
        <w:jc w:val="both"/>
        <w:rPr>
          <w:rFonts w:ascii="CAIXA Std Book" w:hAnsi="CAIXA Std Book"/>
          <w:color w:val="005CA9"/>
          <w:sz w:val="20"/>
          <w:szCs w:val="20"/>
        </w:rPr>
      </w:pPr>
      <w:r w:rsidRPr="00132C35">
        <w:rPr>
          <w:rFonts w:ascii="CAIXA Std Book" w:hAnsi="CAIXA Std Book"/>
          <w:color w:val="005CA9"/>
          <w:sz w:val="20"/>
          <w:szCs w:val="20"/>
        </w:rPr>
        <w:t xml:space="preserve">Autuação de PIS/PASEP, no valor histórico de R$ </w:t>
      </w:r>
      <w:r w:rsidR="001015FA" w:rsidRPr="00132C35">
        <w:rPr>
          <w:rFonts w:ascii="CAIXA Std Book" w:hAnsi="CAIXA Std Book"/>
          <w:color w:val="005CA9"/>
          <w:sz w:val="20"/>
          <w:szCs w:val="20"/>
        </w:rPr>
        <w:t>4.053.509</w:t>
      </w:r>
      <w:r w:rsidRPr="00132C35">
        <w:rPr>
          <w:rFonts w:ascii="CAIXA Std Book" w:hAnsi="CAIXA Std Book"/>
          <w:color w:val="005CA9"/>
          <w:sz w:val="20"/>
          <w:szCs w:val="20"/>
        </w:rPr>
        <w:t>, pautada em insuficiência no recolhimento relativo ao período de janeiro de 1991 a dezembro de 1995, ao tempo da vigência dos Decretos-Leis nº 2.445/1988 e nº 2.449/1988, que alteraram a sistemática de cálculo da contribuição, e suposta compensação indevida de recolhimentos efetuados a maior no período de janeiro de 1992 a maio de 1993. Para a propositura da ação, foi efetuado depósito em garantia daquele valor em 30/12/2010, o qual, atualizado pela SELIC, na forma da Lei nº 9.703/</w:t>
      </w:r>
      <w:r w:rsidR="00296661" w:rsidRPr="00132C35">
        <w:rPr>
          <w:rFonts w:ascii="CAIXA Std Book" w:hAnsi="CAIXA Std Book"/>
          <w:color w:val="005CA9"/>
          <w:sz w:val="20"/>
          <w:szCs w:val="20"/>
        </w:rPr>
        <w:t>19</w:t>
      </w:r>
      <w:r w:rsidRPr="00132C35">
        <w:rPr>
          <w:rFonts w:ascii="CAIXA Std Book" w:hAnsi="CAIXA Std Book"/>
          <w:color w:val="005CA9"/>
          <w:sz w:val="20"/>
          <w:szCs w:val="20"/>
        </w:rPr>
        <w:t xml:space="preserve">98, totaliza </w:t>
      </w:r>
      <w:r w:rsidRPr="00200383">
        <w:rPr>
          <w:rFonts w:ascii="CAIXA Std Book" w:hAnsi="CAIXA Std Book"/>
          <w:color w:val="005CA9"/>
          <w:sz w:val="20"/>
          <w:szCs w:val="20"/>
        </w:rPr>
        <w:t xml:space="preserve">R$ </w:t>
      </w:r>
      <w:r w:rsidR="00904175" w:rsidRPr="00904175">
        <w:rPr>
          <w:rFonts w:ascii="CAIXA Std Book" w:hAnsi="CAIXA Std Book"/>
          <w:color w:val="005CA9"/>
          <w:sz w:val="20"/>
          <w:szCs w:val="20"/>
        </w:rPr>
        <w:t>R$ 9.848.002</w:t>
      </w:r>
      <w:r w:rsidR="00FB110E" w:rsidRPr="00132C35">
        <w:rPr>
          <w:rFonts w:ascii="CAIXA Std Book" w:hAnsi="CAIXA Std Book"/>
          <w:color w:val="005CA9"/>
          <w:sz w:val="20"/>
          <w:szCs w:val="20"/>
        </w:rPr>
        <w:t xml:space="preserve"> </w:t>
      </w:r>
      <w:r w:rsidRPr="00132C35">
        <w:rPr>
          <w:rFonts w:ascii="CAIXA Std Book" w:hAnsi="CAIXA Std Book"/>
          <w:color w:val="005CA9"/>
          <w:sz w:val="20"/>
          <w:szCs w:val="20"/>
        </w:rPr>
        <w:t xml:space="preserve">em </w:t>
      </w:r>
      <w:r w:rsidR="00C561BC" w:rsidRPr="00A67785">
        <w:rPr>
          <w:rFonts w:ascii="CAIXA Std Book" w:hAnsi="CAIXA Std Book"/>
          <w:color w:val="005CA9"/>
          <w:sz w:val="20"/>
          <w:szCs w:val="20"/>
        </w:rPr>
        <w:t>3</w:t>
      </w:r>
      <w:r w:rsidR="00AD02D6" w:rsidRPr="00A67785">
        <w:rPr>
          <w:rFonts w:ascii="CAIXA Std Book" w:hAnsi="CAIXA Std Book"/>
          <w:color w:val="005CA9"/>
          <w:sz w:val="20"/>
          <w:szCs w:val="20"/>
        </w:rPr>
        <w:t>1</w:t>
      </w:r>
      <w:r w:rsidR="00C561BC" w:rsidRPr="00A67785">
        <w:rPr>
          <w:rFonts w:ascii="CAIXA Std Book" w:hAnsi="CAIXA Std Book"/>
          <w:color w:val="005CA9"/>
          <w:sz w:val="20"/>
          <w:szCs w:val="20"/>
        </w:rPr>
        <w:t>/</w:t>
      </w:r>
      <w:r w:rsidR="00904175">
        <w:rPr>
          <w:rFonts w:ascii="CAIXA Std Book" w:hAnsi="CAIXA Std Book"/>
          <w:color w:val="005CA9"/>
          <w:sz w:val="20"/>
          <w:szCs w:val="20"/>
        </w:rPr>
        <w:t>03</w:t>
      </w:r>
      <w:r w:rsidRPr="00A67785">
        <w:rPr>
          <w:rFonts w:ascii="CAIXA Std Book" w:hAnsi="CAIXA Std Book"/>
          <w:color w:val="005CA9"/>
          <w:sz w:val="20"/>
          <w:szCs w:val="20"/>
        </w:rPr>
        <w:t>/202</w:t>
      </w:r>
      <w:r w:rsidR="00904175">
        <w:rPr>
          <w:rFonts w:ascii="CAIXA Std Book" w:hAnsi="CAIXA Std Book"/>
          <w:color w:val="005CA9"/>
          <w:sz w:val="20"/>
          <w:szCs w:val="20"/>
        </w:rPr>
        <w:t>6</w:t>
      </w:r>
      <w:r w:rsidR="004D46EF">
        <w:rPr>
          <w:rFonts w:ascii="CAIXA Std Book" w:hAnsi="CAIXA Std Book"/>
          <w:color w:val="005CA9"/>
          <w:sz w:val="20"/>
          <w:szCs w:val="20"/>
        </w:rPr>
        <w:t xml:space="preserve"> (31/</w:t>
      </w:r>
      <w:r w:rsidR="00AD02D6" w:rsidRPr="00A67785">
        <w:rPr>
          <w:rFonts w:ascii="CAIXA Std Book" w:hAnsi="CAIXA Std Book"/>
          <w:color w:val="005CA9"/>
          <w:sz w:val="20"/>
          <w:szCs w:val="20"/>
        </w:rPr>
        <w:t>12</w:t>
      </w:r>
      <w:r w:rsidRPr="00A67785">
        <w:rPr>
          <w:rFonts w:ascii="CAIXA Std Book" w:hAnsi="CAIXA Std Book"/>
          <w:color w:val="005CA9"/>
          <w:sz w:val="20"/>
          <w:szCs w:val="20"/>
        </w:rPr>
        <w:t>/202</w:t>
      </w:r>
      <w:r w:rsidR="00B37E47" w:rsidRPr="00A67785">
        <w:rPr>
          <w:rFonts w:ascii="CAIXA Std Book" w:hAnsi="CAIXA Std Book"/>
          <w:color w:val="005CA9"/>
          <w:sz w:val="20"/>
          <w:szCs w:val="20"/>
        </w:rPr>
        <w:t>5</w:t>
      </w:r>
      <w:r w:rsidR="004D46EF">
        <w:rPr>
          <w:rFonts w:ascii="CAIXA Std Book" w:hAnsi="CAIXA Std Book"/>
          <w:color w:val="005CA9"/>
          <w:sz w:val="20"/>
          <w:szCs w:val="20"/>
        </w:rPr>
        <w:t xml:space="preserve"> – </w:t>
      </w:r>
      <w:r w:rsidR="004D46EF" w:rsidRPr="003C0DE3">
        <w:rPr>
          <w:rFonts w:ascii="CAIXA Std Book" w:hAnsi="CAIXA Std Book"/>
          <w:color w:val="005CA9"/>
          <w:sz w:val="20"/>
          <w:szCs w:val="20"/>
        </w:rPr>
        <w:t xml:space="preserve">R$ </w:t>
      </w:r>
      <w:r w:rsidR="00A947CD" w:rsidRPr="003C0DE3">
        <w:rPr>
          <w:rFonts w:ascii="CAIXA Std Book" w:hAnsi="CAIXA Std Book"/>
          <w:color w:val="005CA9"/>
          <w:sz w:val="20"/>
          <w:szCs w:val="20"/>
        </w:rPr>
        <w:t>9.710.993</w:t>
      </w:r>
      <w:r w:rsidR="00A947CD">
        <w:rPr>
          <w:rFonts w:ascii="CAIXA Std Book" w:hAnsi="CAIXA Std Book"/>
          <w:color w:val="005CA9"/>
          <w:sz w:val="20"/>
          <w:szCs w:val="20"/>
        </w:rPr>
        <w:t>)</w:t>
      </w:r>
      <w:r w:rsidR="00D01383">
        <w:rPr>
          <w:rFonts w:ascii="CAIXA Std Book" w:hAnsi="CAIXA Std Book"/>
          <w:color w:val="005CA9"/>
          <w:sz w:val="20"/>
          <w:szCs w:val="20"/>
        </w:rPr>
        <w:t>.</w:t>
      </w:r>
      <w:r w:rsidR="00A36B4A">
        <w:rPr>
          <w:rFonts w:ascii="CAIXA Std Book" w:hAnsi="CAIXA Std Book"/>
          <w:color w:val="005CA9"/>
          <w:sz w:val="20"/>
          <w:szCs w:val="20"/>
        </w:rPr>
        <w:t xml:space="preserve"> </w:t>
      </w:r>
      <w:r w:rsidRPr="00132C35">
        <w:rPr>
          <w:rFonts w:ascii="CAIXA Std Book" w:hAnsi="CAIXA Std Book"/>
          <w:color w:val="005CA9"/>
          <w:sz w:val="20"/>
          <w:szCs w:val="20"/>
        </w:rPr>
        <w:t>Em 08/04/2019, o Excelentíssimo Sr. Juiz da 9ª Vara Federal da Seção Judiciária de Brasília/DF julgou procedente o pedido formulado pela CAIXA para declarar a extinção do crédito tributário em destaque, tendo em vista a comprovação da suficiência dos recolhimentos à época realizados.</w:t>
      </w:r>
      <w:r w:rsidR="00A23291" w:rsidRPr="00132C35">
        <w:rPr>
          <w:rFonts w:ascii="CAIXA Std Book" w:hAnsi="CAIXA Std Book"/>
          <w:color w:val="005CA9"/>
          <w:sz w:val="20"/>
          <w:szCs w:val="20"/>
        </w:rPr>
        <w:t xml:space="preserve"> </w:t>
      </w:r>
      <w:r w:rsidRPr="00132C35">
        <w:rPr>
          <w:rFonts w:ascii="CAIXA Std Book" w:hAnsi="CAIXA Std Book"/>
          <w:color w:val="005CA9"/>
          <w:sz w:val="20"/>
          <w:szCs w:val="20"/>
        </w:rPr>
        <w:t xml:space="preserve">Em 10/06/2019, a União interpôs recurso de apelação pleiteando a reforma da sentença em tela pelo Egrégio Tribunal Regional Federal da 1ª Região, </w:t>
      </w:r>
      <w:r w:rsidR="00A67785" w:rsidRPr="00A67785">
        <w:rPr>
          <w:rFonts w:ascii="CAIXA Std Book" w:hAnsi="CAIXA Std Book"/>
          <w:color w:val="005CA9"/>
          <w:sz w:val="20"/>
          <w:szCs w:val="20"/>
        </w:rPr>
        <w:t>tendo o recurso sido distribuído por sorteio em 04/05/2023 à 8ª Turma daquele Tribunal, aguardando julgamento desde então</w:t>
      </w:r>
      <w:r w:rsidR="00132C35" w:rsidRPr="00132C35">
        <w:rPr>
          <w:rFonts w:ascii="CAIXA Std Book" w:hAnsi="CAIXA Std Book"/>
          <w:color w:val="005CA9"/>
          <w:sz w:val="20"/>
          <w:szCs w:val="20"/>
        </w:rPr>
        <w:t>;</w:t>
      </w:r>
    </w:p>
    <w:p w14:paraId="08B959C8" w14:textId="76C434F8" w:rsidR="002713C3" w:rsidRPr="00FF4346" w:rsidRDefault="002713C3" w:rsidP="00295657">
      <w:pPr>
        <w:pStyle w:val="PargrafodaLista"/>
        <w:numPr>
          <w:ilvl w:val="1"/>
          <w:numId w:val="29"/>
        </w:numPr>
        <w:tabs>
          <w:tab w:val="left" w:pos="1650"/>
        </w:tabs>
        <w:spacing w:before="120" w:after="120"/>
        <w:ind w:left="357" w:hanging="357"/>
        <w:contextualSpacing w:val="0"/>
        <w:jc w:val="both"/>
        <w:rPr>
          <w:rFonts w:ascii="CAIXA Std Book" w:hAnsi="CAIXA Std Book"/>
          <w:color w:val="005CA9"/>
          <w:sz w:val="20"/>
          <w:szCs w:val="20"/>
        </w:rPr>
      </w:pPr>
      <w:r w:rsidRPr="00FF4346">
        <w:rPr>
          <w:rFonts w:ascii="CAIXA Std Book" w:hAnsi="CAIXA Std Book"/>
          <w:color w:val="005CA9"/>
          <w:sz w:val="20"/>
          <w:szCs w:val="20"/>
        </w:rPr>
        <w:t xml:space="preserve">Autuação de ICMS (Fazenda do Estado de São Paulo), no valor total de </w:t>
      </w:r>
      <w:r w:rsidRPr="003C0DE3">
        <w:rPr>
          <w:rFonts w:ascii="CAIXA Std Book" w:hAnsi="CAIXA Std Book"/>
          <w:color w:val="005CA9"/>
          <w:sz w:val="20"/>
          <w:szCs w:val="20"/>
        </w:rPr>
        <w:t>R$</w:t>
      </w:r>
      <w:r w:rsidRPr="00344530">
        <w:rPr>
          <w:rFonts w:ascii="CAIXA Std Book" w:hAnsi="CAIXA Std Book"/>
          <w:color w:val="005CA9"/>
          <w:sz w:val="20"/>
          <w:szCs w:val="20"/>
        </w:rPr>
        <w:t xml:space="preserve"> </w:t>
      </w:r>
      <w:r w:rsidR="00C77584" w:rsidRPr="003C0DE3">
        <w:rPr>
          <w:rFonts w:ascii="CAIXA Std Book" w:hAnsi="CAIXA Std Book"/>
          <w:color w:val="005CA9"/>
          <w:sz w:val="20"/>
          <w:szCs w:val="20"/>
        </w:rPr>
        <w:t>360.872</w:t>
      </w:r>
      <w:r w:rsidRPr="00344530">
        <w:rPr>
          <w:rFonts w:ascii="CAIXA Std Book" w:hAnsi="CAIXA Std Book"/>
          <w:color w:val="005CA9"/>
          <w:sz w:val="20"/>
          <w:szCs w:val="20"/>
        </w:rPr>
        <w:t xml:space="preserve"> </w:t>
      </w:r>
      <w:r w:rsidR="00B95EF4">
        <w:rPr>
          <w:rFonts w:ascii="CAIXA Std Book" w:hAnsi="CAIXA Std Book"/>
          <w:color w:val="005CA9"/>
          <w:sz w:val="20"/>
          <w:szCs w:val="20"/>
        </w:rPr>
        <w:t xml:space="preserve">(31/12/2025 - </w:t>
      </w:r>
      <w:r w:rsidR="00B95EF4" w:rsidRPr="00344530">
        <w:rPr>
          <w:rFonts w:ascii="CAIXA Std Book" w:hAnsi="CAIXA Std Book"/>
          <w:color w:val="005CA9"/>
          <w:sz w:val="20"/>
          <w:szCs w:val="20"/>
        </w:rPr>
        <w:t xml:space="preserve">R$ </w:t>
      </w:r>
      <w:r w:rsidR="0055705D" w:rsidRPr="0055705D">
        <w:rPr>
          <w:rFonts w:ascii="CAIXA Std Book" w:hAnsi="CAIXA Std Book"/>
          <w:color w:val="005CA9"/>
          <w:sz w:val="20"/>
          <w:szCs w:val="20"/>
        </w:rPr>
        <w:t>357.475</w:t>
      </w:r>
      <w:r w:rsidR="00230F96">
        <w:rPr>
          <w:rFonts w:ascii="CAIXA Std Book" w:hAnsi="CAIXA Std Book"/>
          <w:color w:val="005CA9"/>
          <w:sz w:val="20"/>
          <w:szCs w:val="20"/>
        </w:rPr>
        <w:t>)</w:t>
      </w:r>
      <w:r w:rsidR="00B95EF4">
        <w:rPr>
          <w:rFonts w:ascii="CAIXA Std Book" w:hAnsi="CAIXA Std Book"/>
          <w:color w:val="005CA9"/>
          <w:sz w:val="20"/>
          <w:szCs w:val="20"/>
        </w:rPr>
        <w:t xml:space="preserve"> em 31/03/2026</w:t>
      </w:r>
      <w:r w:rsidRPr="00FF4346">
        <w:rPr>
          <w:rFonts w:ascii="CAIXA Std Book" w:hAnsi="CAIXA Std Book"/>
          <w:color w:val="005CA9"/>
          <w:sz w:val="20"/>
          <w:szCs w:val="20"/>
        </w:rPr>
        <w:t>, sobre a qual se discute a exigência do imposto diante da não retenção e recolhimento na fonte sobre serviços enquadrados pela fiscalização no conceito de “comunicação” para efeitos fiscais e tributários, e ainda, a determinação de sujeição passiva por responsabilidade tributária mediante convênio do Conselho Nacional de Política Fazendária (CONFAZ).</w:t>
      </w:r>
    </w:p>
    <w:p w14:paraId="49B6082D" w14:textId="699EEABC" w:rsidR="002713C3" w:rsidRPr="00FF11EB" w:rsidRDefault="002713C3" w:rsidP="00404248">
      <w:pPr>
        <w:tabs>
          <w:tab w:val="left" w:pos="1650"/>
        </w:tabs>
        <w:spacing w:before="120" w:after="120"/>
        <w:jc w:val="both"/>
        <w:rPr>
          <w:rFonts w:ascii="CAIXA Std Book" w:hAnsi="CAIXA Std Book"/>
          <w:color w:val="005CA9"/>
          <w:sz w:val="20"/>
          <w:szCs w:val="20"/>
        </w:rPr>
      </w:pPr>
      <w:r w:rsidRPr="00FF11EB">
        <w:rPr>
          <w:rFonts w:ascii="CAIXA Std Book" w:hAnsi="CAIXA Std Book"/>
          <w:color w:val="005CA9"/>
          <w:sz w:val="20"/>
          <w:szCs w:val="20"/>
        </w:rPr>
        <w:t xml:space="preserve">As demais contingências com indicativo de perda possível apresentam o seguinte saldo, em </w:t>
      </w:r>
      <w:r w:rsidRPr="00494E4E">
        <w:rPr>
          <w:rFonts w:ascii="CAIXA Std Book" w:hAnsi="CAIXA Std Book"/>
          <w:color w:val="005CA9"/>
          <w:sz w:val="20"/>
          <w:szCs w:val="20"/>
        </w:rPr>
        <w:t>3</w:t>
      </w:r>
      <w:r w:rsidR="00AD02D6" w:rsidRPr="00494E4E">
        <w:rPr>
          <w:rFonts w:ascii="CAIXA Std Book" w:hAnsi="CAIXA Std Book"/>
          <w:color w:val="005CA9"/>
          <w:sz w:val="20"/>
          <w:szCs w:val="20"/>
        </w:rPr>
        <w:t>1</w:t>
      </w:r>
      <w:r w:rsidRPr="00494E4E">
        <w:rPr>
          <w:rFonts w:ascii="CAIXA Std Book" w:hAnsi="CAIXA Std Book"/>
          <w:color w:val="005CA9"/>
          <w:sz w:val="20"/>
          <w:szCs w:val="20"/>
        </w:rPr>
        <w:t>/</w:t>
      </w:r>
      <w:r w:rsidR="00230F96">
        <w:rPr>
          <w:rFonts w:ascii="CAIXA Std Book" w:hAnsi="CAIXA Std Book"/>
          <w:color w:val="005CA9"/>
          <w:sz w:val="20"/>
          <w:szCs w:val="20"/>
        </w:rPr>
        <w:t>03</w:t>
      </w:r>
      <w:r w:rsidRPr="00494E4E">
        <w:rPr>
          <w:rFonts w:ascii="CAIXA Std Book" w:hAnsi="CAIXA Std Book"/>
          <w:color w:val="005CA9"/>
          <w:sz w:val="20"/>
          <w:szCs w:val="20"/>
        </w:rPr>
        <w:t>/202</w:t>
      </w:r>
      <w:r w:rsidR="00230F96">
        <w:rPr>
          <w:rFonts w:ascii="CAIXA Std Book" w:hAnsi="CAIXA Std Book"/>
          <w:color w:val="005CA9"/>
          <w:sz w:val="20"/>
          <w:szCs w:val="20"/>
        </w:rPr>
        <w:t>6</w:t>
      </w:r>
      <w:r w:rsidRPr="00FF11EB">
        <w:rPr>
          <w:rFonts w:ascii="CAIXA Std Book" w:hAnsi="CAIXA Std Book"/>
          <w:color w:val="005CA9"/>
          <w:sz w:val="20"/>
          <w:szCs w:val="20"/>
        </w:rPr>
        <w:t xml:space="preserve">: </w:t>
      </w:r>
    </w:p>
    <w:p w14:paraId="67647ADD" w14:textId="7BD0D8B0" w:rsidR="002713C3" w:rsidRPr="00FF11EB" w:rsidRDefault="0098350A" w:rsidP="00FF11EB">
      <w:pPr>
        <w:tabs>
          <w:tab w:val="left" w:pos="1650"/>
        </w:tabs>
        <w:spacing w:before="120" w:after="120"/>
        <w:jc w:val="both"/>
        <w:rPr>
          <w:rFonts w:ascii="CAIXA Std Book" w:hAnsi="CAIXA Std Book"/>
          <w:color w:val="005CA9"/>
          <w:sz w:val="20"/>
          <w:szCs w:val="20"/>
        </w:rPr>
      </w:pPr>
      <w:r>
        <w:rPr>
          <w:rFonts w:ascii="CAIXA Std Book" w:hAnsi="CAIXA Std Book"/>
          <w:color w:val="005CA9"/>
          <w:sz w:val="20"/>
          <w:szCs w:val="20"/>
        </w:rPr>
        <w:t>(</w:t>
      </w:r>
      <w:r w:rsidR="00BD4480">
        <w:rPr>
          <w:rFonts w:ascii="CAIXA Std Book" w:hAnsi="CAIXA Std Book"/>
          <w:color w:val="005CA9"/>
          <w:sz w:val="20"/>
          <w:szCs w:val="20"/>
        </w:rPr>
        <w:t xml:space="preserve">a) </w:t>
      </w:r>
      <w:r w:rsidR="002713C3" w:rsidRPr="00FF11EB">
        <w:rPr>
          <w:rFonts w:ascii="CAIXA Std Book" w:hAnsi="CAIXA Std Book"/>
          <w:color w:val="005CA9"/>
          <w:sz w:val="20"/>
          <w:szCs w:val="20"/>
        </w:rPr>
        <w:t xml:space="preserve">Federais totalizam </w:t>
      </w:r>
      <w:r w:rsidR="002713C3" w:rsidRPr="00256580">
        <w:rPr>
          <w:rFonts w:ascii="CAIXA Std Book" w:hAnsi="CAIXA Std Book"/>
          <w:color w:val="005CA9"/>
          <w:sz w:val="20"/>
          <w:szCs w:val="20"/>
        </w:rPr>
        <w:t>R$</w:t>
      </w:r>
      <w:r w:rsidR="002713C3" w:rsidRPr="008736C5">
        <w:rPr>
          <w:rFonts w:ascii="CAIXA Std Book" w:hAnsi="CAIXA Std Book"/>
          <w:color w:val="005CA9"/>
          <w:sz w:val="20"/>
          <w:szCs w:val="20"/>
        </w:rPr>
        <w:t xml:space="preserve"> </w:t>
      </w:r>
      <w:r w:rsidR="0083576E" w:rsidRPr="0083576E">
        <w:rPr>
          <w:rFonts w:ascii="CAIXA Std Book" w:hAnsi="CAIXA Std Book"/>
          <w:color w:val="005CA9"/>
          <w:sz w:val="20"/>
          <w:szCs w:val="20"/>
        </w:rPr>
        <w:t xml:space="preserve">15.560 </w:t>
      </w:r>
      <w:r w:rsidR="00230F96">
        <w:rPr>
          <w:rFonts w:ascii="CAIXA Std Book" w:hAnsi="CAIXA Std Book"/>
          <w:color w:val="005CA9"/>
          <w:sz w:val="20"/>
          <w:szCs w:val="20"/>
        </w:rPr>
        <w:t xml:space="preserve">(31/12/2025 - </w:t>
      </w:r>
      <w:r w:rsidR="00230F96" w:rsidRPr="008736C5">
        <w:rPr>
          <w:rFonts w:ascii="CAIXA Std Book" w:hAnsi="CAIXA Std Book"/>
          <w:color w:val="005CA9"/>
          <w:sz w:val="20"/>
          <w:szCs w:val="20"/>
        </w:rPr>
        <w:t xml:space="preserve">R$ </w:t>
      </w:r>
      <w:r w:rsidR="008736C5" w:rsidRPr="008736C5">
        <w:rPr>
          <w:rFonts w:ascii="CAIXA Std Book" w:hAnsi="CAIXA Std Book"/>
          <w:color w:val="005CA9"/>
          <w:sz w:val="20"/>
          <w:szCs w:val="20"/>
        </w:rPr>
        <w:t>10.598</w:t>
      </w:r>
      <w:r w:rsidR="00A54EB3">
        <w:rPr>
          <w:rFonts w:ascii="CAIXA Std Book" w:hAnsi="CAIXA Std Book"/>
          <w:color w:val="005CA9"/>
          <w:sz w:val="20"/>
          <w:szCs w:val="20"/>
        </w:rPr>
        <w:t>)</w:t>
      </w:r>
      <w:r w:rsidR="002713C3" w:rsidRPr="00FF11EB">
        <w:rPr>
          <w:rFonts w:ascii="CAIXA Std Book" w:hAnsi="CAIXA Std Book"/>
          <w:color w:val="005CA9"/>
          <w:sz w:val="20"/>
          <w:szCs w:val="20"/>
        </w:rPr>
        <w:t xml:space="preserve"> e </w:t>
      </w:r>
      <w:r w:rsidR="00C75A90">
        <w:rPr>
          <w:rFonts w:ascii="CAIXA Std Book" w:hAnsi="CAIXA Std Book"/>
          <w:color w:val="005CA9"/>
          <w:sz w:val="20"/>
          <w:szCs w:val="20"/>
        </w:rPr>
        <w:t>(</w:t>
      </w:r>
      <w:r w:rsidR="001B3AFB">
        <w:rPr>
          <w:rFonts w:ascii="CAIXA Std Book" w:hAnsi="CAIXA Std Book"/>
          <w:color w:val="005CA9"/>
          <w:sz w:val="20"/>
          <w:szCs w:val="20"/>
        </w:rPr>
        <w:t>b</w:t>
      </w:r>
      <w:r w:rsidR="002713C3" w:rsidRPr="00FF11EB">
        <w:rPr>
          <w:rFonts w:ascii="CAIXA Std Book" w:hAnsi="CAIXA Std Book"/>
          <w:color w:val="005CA9"/>
          <w:sz w:val="20"/>
          <w:szCs w:val="20"/>
        </w:rPr>
        <w:t xml:space="preserve">) Regionais correspondem </w:t>
      </w:r>
      <w:r w:rsidR="002713C3" w:rsidRPr="00494E4E">
        <w:rPr>
          <w:rFonts w:ascii="CAIXA Std Book" w:hAnsi="CAIXA Std Book"/>
          <w:color w:val="005CA9"/>
          <w:sz w:val="20"/>
          <w:szCs w:val="20"/>
        </w:rPr>
        <w:t xml:space="preserve">a </w:t>
      </w:r>
      <w:r w:rsidR="002713C3" w:rsidRPr="00256580">
        <w:rPr>
          <w:rFonts w:ascii="CAIXA Std Book" w:hAnsi="CAIXA Std Book"/>
          <w:color w:val="005CA9"/>
          <w:sz w:val="20"/>
          <w:szCs w:val="20"/>
        </w:rPr>
        <w:t>R$</w:t>
      </w:r>
      <w:r w:rsidR="002713C3" w:rsidRPr="00BD5803">
        <w:rPr>
          <w:rFonts w:ascii="CAIXA Std Book" w:hAnsi="CAIXA Std Book"/>
          <w:color w:val="005CA9"/>
          <w:sz w:val="20"/>
          <w:szCs w:val="20"/>
        </w:rPr>
        <w:t xml:space="preserve"> </w:t>
      </w:r>
      <w:r w:rsidR="00D4700E" w:rsidRPr="00D4700E">
        <w:rPr>
          <w:rFonts w:ascii="CAIXA Std Book" w:hAnsi="CAIXA Std Book"/>
          <w:color w:val="005CA9"/>
          <w:sz w:val="20"/>
          <w:szCs w:val="20"/>
        </w:rPr>
        <w:t xml:space="preserve">441.131 </w:t>
      </w:r>
      <w:r w:rsidR="00230F96">
        <w:rPr>
          <w:rFonts w:ascii="CAIXA Std Book" w:hAnsi="CAIXA Std Book"/>
          <w:color w:val="005CA9"/>
          <w:sz w:val="20"/>
          <w:szCs w:val="20"/>
        </w:rPr>
        <w:t>(31/12/2025 -</w:t>
      </w:r>
      <w:r w:rsidR="00FD2EF4">
        <w:rPr>
          <w:rFonts w:ascii="CAIXA Std Book" w:hAnsi="CAIXA Std Book"/>
          <w:color w:val="005CA9"/>
          <w:sz w:val="20"/>
          <w:szCs w:val="20"/>
        </w:rPr>
        <w:t xml:space="preserve"> </w:t>
      </w:r>
      <w:r w:rsidR="00230F96" w:rsidRPr="00BD5803">
        <w:rPr>
          <w:rFonts w:ascii="CAIXA Std Book" w:hAnsi="CAIXA Std Book"/>
          <w:color w:val="005CA9"/>
          <w:sz w:val="20"/>
          <w:szCs w:val="20"/>
        </w:rPr>
        <w:t xml:space="preserve">R$ </w:t>
      </w:r>
      <w:r w:rsidR="00BD5803" w:rsidRPr="00BD5803">
        <w:rPr>
          <w:rFonts w:ascii="CAIXA Std Book" w:hAnsi="CAIXA Std Book"/>
          <w:color w:val="005CA9"/>
          <w:sz w:val="20"/>
          <w:szCs w:val="20"/>
        </w:rPr>
        <w:t>424.582</w:t>
      </w:r>
      <w:r w:rsidR="00230F96">
        <w:rPr>
          <w:rFonts w:ascii="CAIXA Std Book" w:hAnsi="CAIXA Std Book"/>
          <w:color w:val="005CA9"/>
          <w:sz w:val="20"/>
          <w:szCs w:val="20"/>
        </w:rPr>
        <w:t>)</w:t>
      </w:r>
    </w:p>
    <w:p w14:paraId="14CA6C4B" w14:textId="09E29A1C" w:rsidR="004C1316" w:rsidRDefault="002713C3" w:rsidP="00404248">
      <w:pPr>
        <w:tabs>
          <w:tab w:val="left" w:pos="1650"/>
        </w:tabs>
        <w:spacing w:before="120" w:after="120"/>
        <w:jc w:val="both"/>
        <w:rPr>
          <w:rFonts w:ascii="CAIXA Std Book" w:hAnsi="CAIXA Std Book"/>
          <w:color w:val="005CA9"/>
          <w:sz w:val="20"/>
          <w:szCs w:val="20"/>
        </w:rPr>
      </w:pPr>
      <w:r w:rsidRPr="00FF4346">
        <w:rPr>
          <w:rFonts w:ascii="CAIXA Std Book" w:hAnsi="CAIXA Std Book"/>
          <w:color w:val="005CA9"/>
          <w:sz w:val="20"/>
          <w:szCs w:val="20"/>
        </w:rPr>
        <w:t>As matérias relacionadas aos processos contingentes em discussão são monitoradas sob a perspectiva de eventual sedimentação ou modificação do cenário jurisprudencial, possibilitando a manutenção como decorrência de avaliação contínua por parte da CAIXA das respectivas classificações de risco.</w:t>
      </w:r>
    </w:p>
    <w:p w14:paraId="34A94453" w14:textId="77777777" w:rsidR="002713C3" w:rsidRPr="00FF4346" w:rsidRDefault="002713C3" w:rsidP="00AB4D07">
      <w:pPr>
        <w:keepNext/>
        <w:numPr>
          <w:ilvl w:val="0"/>
          <w:numId w:val="8"/>
        </w:numPr>
        <w:spacing w:before="240" w:after="120"/>
        <w:ind w:left="567" w:hanging="567"/>
        <w:jc w:val="both"/>
        <w:rPr>
          <w:rFonts w:ascii="CAIXA Std Book" w:hAnsi="CAIXA Std Book"/>
          <w:b/>
          <w:color w:val="005CA9"/>
          <w:sz w:val="20"/>
          <w:szCs w:val="20"/>
        </w:rPr>
      </w:pPr>
      <w:r w:rsidRPr="00FF4346">
        <w:rPr>
          <w:rFonts w:ascii="CAIXA Std Book" w:hAnsi="CAIXA Std Book"/>
          <w:b/>
          <w:color w:val="005CA9"/>
          <w:sz w:val="20"/>
          <w:szCs w:val="20"/>
        </w:rPr>
        <w:t>Composição dos depósitos em garantia de recursos</w:t>
      </w:r>
    </w:p>
    <w:p w14:paraId="2D4B81AE" w14:textId="77777777" w:rsidR="00E3514A" w:rsidRPr="00B04D8D" w:rsidRDefault="002713C3" w:rsidP="002F3E01">
      <w:pPr>
        <w:tabs>
          <w:tab w:val="left" w:pos="1650"/>
        </w:tabs>
        <w:spacing w:before="120" w:after="120"/>
        <w:jc w:val="both"/>
        <w:rPr>
          <w:rFonts w:ascii="CAIXA Std Book" w:hAnsi="CAIXA Std Book"/>
          <w:color w:val="005CA9"/>
          <w:sz w:val="20"/>
          <w:szCs w:val="20"/>
        </w:rPr>
      </w:pPr>
      <w:r w:rsidRPr="00B04D8D">
        <w:rPr>
          <w:rFonts w:ascii="CAIXA Std Book" w:hAnsi="CAIXA Std Book"/>
          <w:color w:val="005CA9"/>
          <w:sz w:val="20"/>
          <w:szCs w:val="20"/>
        </w:rPr>
        <w:t>Os saldos dos depósitos em garantia constituídos para as causas judiciais passivas prováveis, possíveis e/ou remotas:</w:t>
      </w:r>
    </w:p>
    <w:tbl>
      <w:tblPr>
        <w:tblW w:w="5000" w:type="pct"/>
        <w:tblCellMar>
          <w:left w:w="70" w:type="dxa"/>
          <w:right w:w="70" w:type="dxa"/>
        </w:tblCellMar>
        <w:tblLook w:val="04A0" w:firstRow="1" w:lastRow="0" w:firstColumn="1" w:lastColumn="0" w:noHBand="0" w:noVBand="1"/>
      </w:tblPr>
      <w:tblGrid>
        <w:gridCol w:w="5811"/>
        <w:gridCol w:w="1983"/>
        <w:gridCol w:w="1843"/>
      </w:tblGrid>
      <w:tr w:rsidR="00E3514A" w:rsidRPr="00E3514A" w14:paraId="49B2EB41" w14:textId="77777777" w:rsidTr="00314880">
        <w:trPr>
          <w:trHeight w:val="288"/>
        </w:trPr>
        <w:tc>
          <w:tcPr>
            <w:tcW w:w="5000" w:type="pct"/>
            <w:gridSpan w:val="3"/>
            <w:tcBorders>
              <w:top w:val="nil"/>
              <w:left w:val="nil"/>
              <w:bottom w:val="single" w:sz="4" w:space="0" w:color="FFFFFF" w:themeColor="background1"/>
              <w:right w:val="nil"/>
            </w:tcBorders>
            <w:shd w:val="clear" w:color="000000" w:fill="005CA9"/>
            <w:vAlign w:val="center"/>
            <w:hideMark/>
          </w:tcPr>
          <w:p w14:paraId="44BAB4B2" w14:textId="77777777" w:rsidR="00E3514A" w:rsidRPr="00E3514A" w:rsidRDefault="00E3514A" w:rsidP="00E3514A">
            <w:pPr>
              <w:jc w:val="center"/>
              <w:rPr>
                <w:rFonts w:ascii="CAIXA Std Book" w:eastAsia="Times New Roman" w:hAnsi="CAIXA Std Book" w:cs="Times New Roman"/>
                <w:b/>
                <w:bCs/>
                <w:color w:val="FFFFFF"/>
                <w:sz w:val="18"/>
                <w:szCs w:val="18"/>
              </w:rPr>
            </w:pPr>
            <w:r w:rsidRPr="00E3514A">
              <w:rPr>
                <w:rFonts w:ascii="CAIXA Std Book" w:eastAsia="Times New Roman" w:hAnsi="CAIXA Std Book" w:cs="Times New Roman"/>
                <w:b/>
                <w:bCs/>
                <w:color w:val="FFFFFF"/>
                <w:sz w:val="18"/>
                <w:szCs w:val="18"/>
              </w:rPr>
              <w:t>Individual / Consolidado</w:t>
            </w:r>
          </w:p>
        </w:tc>
      </w:tr>
      <w:tr w:rsidR="00E3514A" w:rsidRPr="00E3514A" w14:paraId="32AAF293" w14:textId="77777777" w:rsidTr="00BE6FEC">
        <w:trPr>
          <w:trHeight w:val="288"/>
        </w:trPr>
        <w:tc>
          <w:tcPr>
            <w:tcW w:w="3015" w:type="pct"/>
            <w:tcBorders>
              <w:top w:val="single" w:sz="4" w:space="0" w:color="FFFFFF" w:themeColor="background1"/>
              <w:left w:val="nil"/>
              <w:bottom w:val="nil"/>
              <w:right w:val="nil"/>
            </w:tcBorders>
            <w:shd w:val="clear" w:color="000000" w:fill="005CA9"/>
            <w:vAlign w:val="center"/>
            <w:hideMark/>
          </w:tcPr>
          <w:p w14:paraId="6FF7E73D" w14:textId="77777777" w:rsidR="00E3514A" w:rsidRPr="00E3514A" w:rsidRDefault="00E3514A" w:rsidP="00E3514A">
            <w:pPr>
              <w:jc w:val="center"/>
              <w:rPr>
                <w:rFonts w:ascii="CAIXA Std Book" w:eastAsia="Times New Roman" w:hAnsi="CAIXA Std Book" w:cs="Times New Roman"/>
                <w:b/>
                <w:bCs/>
                <w:color w:val="FFFFFF"/>
                <w:sz w:val="18"/>
                <w:szCs w:val="18"/>
              </w:rPr>
            </w:pPr>
            <w:r w:rsidRPr="00E3514A">
              <w:rPr>
                <w:rFonts w:ascii="CAIXA Std Book" w:eastAsia="Times New Roman" w:hAnsi="CAIXA Std Book" w:cs="Times New Roman"/>
                <w:b/>
                <w:bCs/>
                <w:color w:val="FFFFFF"/>
                <w:sz w:val="18"/>
                <w:szCs w:val="18"/>
              </w:rPr>
              <w:t>Descrição</w:t>
            </w:r>
          </w:p>
        </w:tc>
        <w:tc>
          <w:tcPr>
            <w:tcW w:w="1029" w:type="pct"/>
            <w:tcBorders>
              <w:top w:val="single" w:sz="4" w:space="0" w:color="FFFFFF" w:themeColor="background1"/>
              <w:left w:val="nil"/>
              <w:bottom w:val="nil"/>
              <w:right w:val="nil"/>
            </w:tcBorders>
            <w:shd w:val="clear" w:color="000000" w:fill="005CA9"/>
            <w:vAlign w:val="center"/>
            <w:hideMark/>
          </w:tcPr>
          <w:p w14:paraId="146F0C12" w14:textId="77777777" w:rsidR="00E3514A" w:rsidRPr="00E3514A" w:rsidRDefault="00E3514A" w:rsidP="00E3514A">
            <w:pPr>
              <w:jc w:val="center"/>
              <w:rPr>
                <w:rFonts w:ascii="CAIXA Std Book" w:eastAsia="Times New Roman" w:hAnsi="CAIXA Std Book" w:cs="Times New Roman"/>
                <w:b/>
                <w:bCs/>
                <w:color w:val="FFFFFF"/>
                <w:sz w:val="18"/>
                <w:szCs w:val="18"/>
              </w:rPr>
            </w:pPr>
            <w:r w:rsidRPr="00E3514A">
              <w:rPr>
                <w:rFonts w:ascii="CAIXA Std Book" w:eastAsia="Times New Roman" w:hAnsi="CAIXA Std Book" w:cs="Times New Roman"/>
                <w:b/>
                <w:bCs/>
                <w:color w:val="FFFFFF"/>
                <w:sz w:val="18"/>
                <w:szCs w:val="18"/>
              </w:rPr>
              <w:t>31/03/2026</w:t>
            </w:r>
          </w:p>
        </w:tc>
        <w:tc>
          <w:tcPr>
            <w:tcW w:w="956" w:type="pct"/>
            <w:tcBorders>
              <w:top w:val="single" w:sz="4" w:space="0" w:color="FFFFFF" w:themeColor="background1"/>
              <w:left w:val="nil"/>
              <w:bottom w:val="nil"/>
              <w:right w:val="nil"/>
            </w:tcBorders>
            <w:shd w:val="clear" w:color="000000" w:fill="005CA9"/>
            <w:noWrap/>
            <w:vAlign w:val="center"/>
            <w:hideMark/>
          </w:tcPr>
          <w:p w14:paraId="032EBA3A" w14:textId="77777777" w:rsidR="00E3514A" w:rsidRPr="00E3514A" w:rsidRDefault="00E3514A" w:rsidP="00E3514A">
            <w:pPr>
              <w:jc w:val="center"/>
              <w:rPr>
                <w:rFonts w:ascii="CAIXA Std Book" w:eastAsia="Times New Roman" w:hAnsi="CAIXA Std Book" w:cs="Times New Roman"/>
                <w:b/>
                <w:bCs/>
                <w:color w:val="FFFFFF"/>
                <w:sz w:val="18"/>
                <w:szCs w:val="18"/>
              </w:rPr>
            </w:pPr>
            <w:r w:rsidRPr="00E3514A">
              <w:rPr>
                <w:rFonts w:ascii="CAIXA Std Book" w:eastAsia="Times New Roman" w:hAnsi="CAIXA Std Book" w:cs="Times New Roman"/>
                <w:b/>
                <w:bCs/>
                <w:color w:val="FFFFFF"/>
                <w:sz w:val="18"/>
                <w:szCs w:val="18"/>
              </w:rPr>
              <w:t>31/12/2025</w:t>
            </w:r>
          </w:p>
        </w:tc>
      </w:tr>
      <w:tr w:rsidR="00E3514A" w:rsidRPr="00E3514A" w14:paraId="5DBE50DF" w14:textId="77777777" w:rsidTr="00BE6FEC">
        <w:trPr>
          <w:trHeight w:val="288"/>
        </w:trPr>
        <w:tc>
          <w:tcPr>
            <w:tcW w:w="3015" w:type="pct"/>
            <w:tcBorders>
              <w:top w:val="nil"/>
              <w:left w:val="nil"/>
              <w:bottom w:val="nil"/>
              <w:right w:val="nil"/>
            </w:tcBorders>
            <w:noWrap/>
            <w:vAlign w:val="center"/>
            <w:hideMark/>
          </w:tcPr>
          <w:p w14:paraId="6328D163" w14:textId="77777777" w:rsidR="00E3514A" w:rsidRPr="00E3514A" w:rsidRDefault="00E3514A" w:rsidP="00E3514A">
            <w:pPr>
              <w:rPr>
                <w:rFonts w:ascii="CAIXA Std Book" w:eastAsia="Times New Roman" w:hAnsi="CAIXA Std Book" w:cs="Times New Roman"/>
                <w:color w:val="005CA9"/>
                <w:sz w:val="18"/>
                <w:szCs w:val="18"/>
              </w:rPr>
            </w:pPr>
            <w:r w:rsidRPr="00E3514A">
              <w:rPr>
                <w:rFonts w:ascii="CAIXA Std Book" w:eastAsia="Times New Roman" w:hAnsi="CAIXA Std Book" w:cs="Times New Roman"/>
                <w:color w:val="005CA9"/>
                <w:sz w:val="18"/>
                <w:szCs w:val="18"/>
              </w:rPr>
              <w:t>Depósitos fiscais</w:t>
            </w:r>
          </w:p>
        </w:tc>
        <w:tc>
          <w:tcPr>
            <w:tcW w:w="1029" w:type="pct"/>
            <w:tcBorders>
              <w:top w:val="nil"/>
              <w:left w:val="nil"/>
              <w:bottom w:val="nil"/>
              <w:right w:val="nil"/>
            </w:tcBorders>
            <w:noWrap/>
            <w:vAlign w:val="center"/>
            <w:hideMark/>
          </w:tcPr>
          <w:p w14:paraId="2FF5A798" w14:textId="7DC23CDA" w:rsidR="00E3514A" w:rsidRPr="00E3514A" w:rsidRDefault="00BE6FEC" w:rsidP="00AF5CDF">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15.349.089</w:t>
            </w:r>
          </w:p>
        </w:tc>
        <w:tc>
          <w:tcPr>
            <w:tcW w:w="956" w:type="pct"/>
            <w:tcBorders>
              <w:top w:val="nil"/>
              <w:left w:val="nil"/>
              <w:bottom w:val="nil"/>
              <w:right w:val="nil"/>
            </w:tcBorders>
            <w:noWrap/>
            <w:vAlign w:val="center"/>
            <w:hideMark/>
          </w:tcPr>
          <w:p w14:paraId="7E2B49E2" w14:textId="77777777" w:rsidR="00E3514A" w:rsidRPr="00E3514A" w:rsidRDefault="00E3514A" w:rsidP="00E3514A">
            <w:pPr>
              <w:jc w:val="right"/>
              <w:rPr>
                <w:rFonts w:ascii="CAIXA Std Book" w:eastAsia="Times New Roman" w:hAnsi="CAIXA Std Book" w:cs="Times New Roman"/>
                <w:color w:val="005CA9"/>
                <w:sz w:val="18"/>
                <w:szCs w:val="18"/>
              </w:rPr>
            </w:pPr>
            <w:r w:rsidRPr="00E3514A">
              <w:rPr>
                <w:rFonts w:ascii="CAIXA Std Book" w:eastAsia="Times New Roman" w:hAnsi="CAIXA Std Book" w:cs="Arial"/>
                <w:color w:val="005CA9"/>
                <w:sz w:val="18"/>
                <w:szCs w:val="18"/>
              </w:rPr>
              <w:t>15.145.028</w:t>
            </w:r>
          </w:p>
        </w:tc>
      </w:tr>
      <w:tr w:rsidR="00E3514A" w:rsidRPr="00E3514A" w14:paraId="48351ECF" w14:textId="77777777" w:rsidTr="00BE6FEC">
        <w:trPr>
          <w:trHeight w:val="288"/>
        </w:trPr>
        <w:tc>
          <w:tcPr>
            <w:tcW w:w="3015" w:type="pct"/>
            <w:tcBorders>
              <w:top w:val="nil"/>
              <w:left w:val="nil"/>
              <w:bottom w:val="nil"/>
              <w:right w:val="nil"/>
            </w:tcBorders>
            <w:noWrap/>
            <w:vAlign w:val="center"/>
            <w:hideMark/>
          </w:tcPr>
          <w:p w14:paraId="693158E5" w14:textId="77777777" w:rsidR="00E3514A" w:rsidRPr="00E3514A" w:rsidRDefault="00E3514A" w:rsidP="00E3514A">
            <w:pPr>
              <w:rPr>
                <w:rFonts w:ascii="CAIXA Std Book" w:eastAsia="Times New Roman" w:hAnsi="CAIXA Std Book" w:cs="Times New Roman"/>
                <w:color w:val="005CA9"/>
                <w:sz w:val="18"/>
                <w:szCs w:val="18"/>
              </w:rPr>
            </w:pPr>
            <w:r w:rsidRPr="00E3514A">
              <w:rPr>
                <w:rFonts w:ascii="CAIXA Std Book" w:eastAsia="Times New Roman" w:hAnsi="CAIXA Std Book" w:cs="Times New Roman"/>
                <w:color w:val="005CA9"/>
                <w:sz w:val="18"/>
                <w:szCs w:val="18"/>
              </w:rPr>
              <w:t>Depósitos trabalhistas</w:t>
            </w:r>
          </w:p>
        </w:tc>
        <w:tc>
          <w:tcPr>
            <w:tcW w:w="1029" w:type="pct"/>
            <w:tcBorders>
              <w:top w:val="nil"/>
              <w:left w:val="nil"/>
              <w:bottom w:val="nil"/>
              <w:right w:val="nil"/>
            </w:tcBorders>
            <w:noWrap/>
            <w:vAlign w:val="center"/>
            <w:hideMark/>
          </w:tcPr>
          <w:p w14:paraId="252C39E3" w14:textId="1FA57E98" w:rsidR="00E3514A" w:rsidRPr="00E3514A" w:rsidRDefault="00BE6FEC" w:rsidP="00AF5CDF">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6.546.373</w:t>
            </w:r>
          </w:p>
        </w:tc>
        <w:tc>
          <w:tcPr>
            <w:tcW w:w="956" w:type="pct"/>
            <w:tcBorders>
              <w:top w:val="nil"/>
              <w:left w:val="nil"/>
              <w:bottom w:val="nil"/>
              <w:right w:val="nil"/>
            </w:tcBorders>
            <w:noWrap/>
            <w:vAlign w:val="center"/>
            <w:hideMark/>
          </w:tcPr>
          <w:p w14:paraId="2CB57423" w14:textId="77777777" w:rsidR="00E3514A" w:rsidRPr="00E3514A" w:rsidRDefault="00E3514A" w:rsidP="00E3514A">
            <w:pPr>
              <w:jc w:val="right"/>
              <w:rPr>
                <w:rFonts w:ascii="CAIXA Std Book" w:eastAsia="Times New Roman" w:hAnsi="CAIXA Std Book" w:cs="Times New Roman"/>
                <w:color w:val="005CA9"/>
                <w:sz w:val="18"/>
                <w:szCs w:val="18"/>
              </w:rPr>
            </w:pPr>
            <w:r w:rsidRPr="00E3514A">
              <w:rPr>
                <w:rFonts w:ascii="CAIXA Std Book" w:eastAsia="Times New Roman" w:hAnsi="CAIXA Std Book" w:cs="Arial"/>
                <w:color w:val="005CA9"/>
                <w:sz w:val="18"/>
                <w:szCs w:val="18"/>
              </w:rPr>
              <w:t>6.377.163</w:t>
            </w:r>
          </w:p>
        </w:tc>
      </w:tr>
      <w:tr w:rsidR="00E3514A" w:rsidRPr="00E3514A" w14:paraId="6079E322" w14:textId="77777777" w:rsidTr="00BE6FEC">
        <w:trPr>
          <w:trHeight w:val="288"/>
        </w:trPr>
        <w:tc>
          <w:tcPr>
            <w:tcW w:w="3015" w:type="pct"/>
            <w:tcBorders>
              <w:top w:val="nil"/>
              <w:left w:val="nil"/>
              <w:bottom w:val="nil"/>
              <w:right w:val="nil"/>
            </w:tcBorders>
            <w:noWrap/>
            <w:vAlign w:val="center"/>
            <w:hideMark/>
          </w:tcPr>
          <w:p w14:paraId="38EBB89A" w14:textId="77777777" w:rsidR="00E3514A" w:rsidRPr="00E3514A" w:rsidRDefault="00E3514A" w:rsidP="00E3514A">
            <w:pPr>
              <w:rPr>
                <w:rFonts w:ascii="CAIXA Std Book" w:eastAsia="Times New Roman" w:hAnsi="CAIXA Std Book" w:cs="Times New Roman"/>
                <w:color w:val="005CA9"/>
                <w:sz w:val="18"/>
                <w:szCs w:val="18"/>
              </w:rPr>
            </w:pPr>
            <w:r w:rsidRPr="00E3514A">
              <w:rPr>
                <w:rFonts w:ascii="CAIXA Std Book" w:eastAsia="Times New Roman" w:hAnsi="CAIXA Std Book" w:cs="Times New Roman"/>
                <w:color w:val="005CA9"/>
                <w:sz w:val="18"/>
                <w:szCs w:val="18"/>
              </w:rPr>
              <w:t>Depósitos cíveis</w:t>
            </w:r>
          </w:p>
        </w:tc>
        <w:tc>
          <w:tcPr>
            <w:tcW w:w="1029" w:type="pct"/>
            <w:tcBorders>
              <w:top w:val="nil"/>
              <w:left w:val="nil"/>
              <w:bottom w:val="nil"/>
              <w:right w:val="nil"/>
            </w:tcBorders>
            <w:noWrap/>
            <w:vAlign w:val="center"/>
            <w:hideMark/>
          </w:tcPr>
          <w:p w14:paraId="4615B7C6" w14:textId="2AF64963" w:rsidR="00E3514A" w:rsidRPr="00E3514A" w:rsidRDefault="00BE6FEC" w:rsidP="00AF5CDF">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974.042</w:t>
            </w:r>
          </w:p>
        </w:tc>
        <w:tc>
          <w:tcPr>
            <w:tcW w:w="956" w:type="pct"/>
            <w:tcBorders>
              <w:top w:val="nil"/>
              <w:left w:val="nil"/>
              <w:bottom w:val="nil"/>
              <w:right w:val="nil"/>
            </w:tcBorders>
            <w:noWrap/>
            <w:vAlign w:val="center"/>
            <w:hideMark/>
          </w:tcPr>
          <w:p w14:paraId="4A37F9E0" w14:textId="77777777" w:rsidR="00E3514A" w:rsidRPr="00E3514A" w:rsidRDefault="00E3514A" w:rsidP="00E3514A">
            <w:pPr>
              <w:jc w:val="right"/>
              <w:rPr>
                <w:rFonts w:ascii="CAIXA Std Book" w:eastAsia="Times New Roman" w:hAnsi="CAIXA Std Book" w:cs="Times New Roman"/>
                <w:color w:val="005CA9"/>
                <w:sz w:val="18"/>
                <w:szCs w:val="18"/>
              </w:rPr>
            </w:pPr>
            <w:r w:rsidRPr="00E3514A">
              <w:rPr>
                <w:rFonts w:ascii="CAIXA Std Book" w:eastAsia="Times New Roman" w:hAnsi="CAIXA Std Book" w:cs="Arial"/>
                <w:color w:val="005CA9"/>
                <w:sz w:val="18"/>
                <w:szCs w:val="18"/>
              </w:rPr>
              <w:t>946.597</w:t>
            </w:r>
          </w:p>
        </w:tc>
      </w:tr>
      <w:tr w:rsidR="00E3514A" w:rsidRPr="00E3514A" w14:paraId="39EB4BFE" w14:textId="77777777" w:rsidTr="00BE6FEC">
        <w:trPr>
          <w:trHeight w:val="288"/>
        </w:trPr>
        <w:tc>
          <w:tcPr>
            <w:tcW w:w="3015" w:type="pct"/>
            <w:tcBorders>
              <w:top w:val="nil"/>
              <w:left w:val="nil"/>
              <w:bottom w:val="nil"/>
              <w:right w:val="nil"/>
            </w:tcBorders>
            <w:shd w:val="clear" w:color="000000" w:fill="005CA9"/>
            <w:vAlign w:val="center"/>
            <w:hideMark/>
          </w:tcPr>
          <w:p w14:paraId="3F0B8A9C" w14:textId="77777777" w:rsidR="00E3514A" w:rsidRPr="00E3514A" w:rsidRDefault="00E3514A" w:rsidP="00E3514A">
            <w:pPr>
              <w:rPr>
                <w:rFonts w:ascii="CAIXA Std Book" w:eastAsia="Times New Roman" w:hAnsi="CAIXA Std Book" w:cs="Times New Roman"/>
                <w:b/>
                <w:bCs/>
                <w:color w:val="FFFFFF"/>
                <w:sz w:val="18"/>
                <w:szCs w:val="18"/>
              </w:rPr>
            </w:pPr>
            <w:r w:rsidRPr="00E3514A">
              <w:rPr>
                <w:rFonts w:ascii="CAIXA Std Book" w:eastAsia="Times New Roman" w:hAnsi="CAIXA Std Book" w:cs="Times New Roman"/>
                <w:b/>
                <w:bCs/>
                <w:color w:val="FFFFFF"/>
                <w:sz w:val="18"/>
                <w:szCs w:val="18"/>
              </w:rPr>
              <w:t>Total (Nota 8.5)</w:t>
            </w:r>
          </w:p>
        </w:tc>
        <w:tc>
          <w:tcPr>
            <w:tcW w:w="1029" w:type="pct"/>
            <w:tcBorders>
              <w:top w:val="nil"/>
              <w:left w:val="nil"/>
              <w:bottom w:val="nil"/>
              <w:right w:val="nil"/>
            </w:tcBorders>
            <w:shd w:val="clear" w:color="000000" w:fill="005CA9"/>
            <w:vAlign w:val="center"/>
            <w:hideMark/>
          </w:tcPr>
          <w:p w14:paraId="38D154CB" w14:textId="4E0E5A1F" w:rsidR="00E3514A" w:rsidRPr="00E3514A" w:rsidRDefault="00AF5CDF" w:rsidP="00AF5CDF">
            <w:pPr>
              <w:jc w:val="right"/>
              <w:rPr>
                <w:rFonts w:ascii="CAIXA Std Book" w:eastAsia="Times New Roman" w:hAnsi="CAIXA Std Book" w:cs="Times New Roman"/>
                <w:b/>
                <w:bCs/>
                <w:color w:val="FFFFFF"/>
                <w:sz w:val="18"/>
                <w:szCs w:val="18"/>
              </w:rPr>
            </w:pPr>
            <w:r w:rsidRPr="00AF5CDF">
              <w:rPr>
                <w:rFonts w:ascii="CAIXA Std Book" w:eastAsia="Times New Roman" w:hAnsi="CAIXA Std Book" w:cs="Times New Roman"/>
                <w:b/>
                <w:bCs/>
                <w:color w:val="FFFFFF"/>
                <w:sz w:val="18"/>
                <w:szCs w:val="18"/>
              </w:rPr>
              <w:t>22.869.504</w:t>
            </w:r>
          </w:p>
        </w:tc>
        <w:tc>
          <w:tcPr>
            <w:tcW w:w="956" w:type="pct"/>
            <w:tcBorders>
              <w:top w:val="nil"/>
              <w:left w:val="nil"/>
              <w:bottom w:val="nil"/>
              <w:right w:val="nil"/>
            </w:tcBorders>
            <w:shd w:val="clear" w:color="000000" w:fill="005CA9"/>
            <w:noWrap/>
            <w:vAlign w:val="center"/>
            <w:hideMark/>
          </w:tcPr>
          <w:p w14:paraId="51AECC95" w14:textId="77777777" w:rsidR="00E3514A" w:rsidRPr="00E3514A" w:rsidRDefault="00E3514A" w:rsidP="00E3514A">
            <w:pPr>
              <w:jc w:val="right"/>
              <w:rPr>
                <w:rFonts w:ascii="CAIXA Std Book" w:eastAsia="Times New Roman" w:hAnsi="CAIXA Std Book" w:cs="Times New Roman"/>
                <w:b/>
                <w:bCs/>
                <w:color w:val="FFFFFF"/>
                <w:sz w:val="18"/>
                <w:szCs w:val="18"/>
              </w:rPr>
            </w:pPr>
            <w:r w:rsidRPr="00E3514A">
              <w:rPr>
                <w:rFonts w:ascii="CAIXA Std Book" w:eastAsia="Times New Roman" w:hAnsi="CAIXA Std Book" w:cs="Arial"/>
                <w:b/>
                <w:bCs/>
                <w:color w:val="FFFFFF"/>
                <w:sz w:val="18"/>
                <w:szCs w:val="18"/>
              </w:rPr>
              <w:t>22.468.788</w:t>
            </w:r>
          </w:p>
        </w:tc>
      </w:tr>
    </w:tbl>
    <w:p w14:paraId="711D1A4B" w14:textId="77777777" w:rsidR="002713C3" w:rsidRDefault="002713C3" w:rsidP="002713C3">
      <w:pPr>
        <w:rPr>
          <w:rFonts w:ascii="CAIXA Std Book" w:hAnsi="CAIXA Std Book"/>
          <w:color w:val="005CA9"/>
          <w:sz w:val="20"/>
          <w:szCs w:val="20"/>
        </w:rPr>
        <w:sectPr w:rsidR="002713C3" w:rsidSect="006907F6">
          <w:headerReference w:type="default" r:id="rId76"/>
          <w:footerReference w:type="default" r:id="rId77"/>
          <w:pgSz w:w="11906" w:h="16838"/>
          <w:pgMar w:top="1985" w:right="851" w:bottom="1418" w:left="1418" w:header="1134" w:footer="709" w:gutter="0"/>
          <w:cols w:space="708"/>
          <w:docGrid w:linePitch="360"/>
        </w:sectPr>
      </w:pPr>
    </w:p>
    <w:p w14:paraId="63273247" w14:textId="52DFCF64" w:rsidR="009B0210" w:rsidRDefault="009B0210" w:rsidP="00B735D2">
      <w:pPr>
        <w:pStyle w:val="Ttulo1"/>
      </w:pPr>
      <w:bookmarkStart w:id="123" w:name="_Toc217914343"/>
      <w:bookmarkStart w:id="124" w:name="_Toc229588493"/>
      <w:r w:rsidRPr="00E95E29">
        <w:t>Nota   1</w:t>
      </w:r>
      <w:r w:rsidR="00323B4E">
        <w:t>7</w:t>
      </w:r>
      <w:r w:rsidRPr="00E95E29">
        <w:t xml:space="preserve"> –</w:t>
      </w:r>
      <w:r w:rsidR="00FC4680">
        <w:t xml:space="preserve"> </w:t>
      </w:r>
      <w:r w:rsidR="00D62CE4">
        <w:t>C</w:t>
      </w:r>
      <w:r w:rsidR="00907CD2" w:rsidRPr="00E95E29">
        <w:t>ompromissos de empréstimos</w:t>
      </w:r>
      <w:r w:rsidR="005015E7">
        <w:t>,</w:t>
      </w:r>
      <w:r w:rsidR="00A0739F">
        <w:t xml:space="preserve"> créditos a liberar</w:t>
      </w:r>
      <w:r w:rsidR="005015E7">
        <w:t xml:space="preserve"> e</w:t>
      </w:r>
      <w:r w:rsidR="005015E7" w:rsidRPr="00E95E29">
        <w:t xml:space="preserve"> garantias </w:t>
      </w:r>
      <w:r w:rsidR="005015E7">
        <w:t xml:space="preserve">financeiras </w:t>
      </w:r>
      <w:r w:rsidR="005015E7" w:rsidRPr="00E95E29">
        <w:t>prestadas</w:t>
      </w:r>
      <w:bookmarkEnd w:id="123"/>
      <w:bookmarkEnd w:id="124"/>
    </w:p>
    <w:tbl>
      <w:tblPr>
        <w:tblW w:w="5000" w:type="pct"/>
        <w:tblCellMar>
          <w:left w:w="70" w:type="dxa"/>
          <w:right w:w="70" w:type="dxa"/>
        </w:tblCellMar>
        <w:tblLook w:val="04A0" w:firstRow="1" w:lastRow="0" w:firstColumn="1" w:lastColumn="0" w:noHBand="0" w:noVBand="1"/>
      </w:tblPr>
      <w:tblGrid>
        <w:gridCol w:w="2549"/>
        <w:gridCol w:w="1110"/>
        <w:gridCol w:w="973"/>
        <w:gridCol w:w="1116"/>
        <w:gridCol w:w="921"/>
        <w:gridCol w:w="892"/>
        <w:gridCol w:w="921"/>
        <w:gridCol w:w="921"/>
        <w:gridCol w:w="973"/>
        <w:gridCol w:w="1029"/>
        <w:gridCol w:w="1052"/>
        <w:gridCol w:w="1002"/>
        <w:gridCol w:w="1110"/>
      </w:tblGrid>
      <w:tr w:rsidR="000C6914" w:rsidRPr="001C65D8" w14:paraId="5DE5D414" w14:textId="77777777" w:rsidTr="004738D9">
        <w:trPr>
          <w:trHeight w:val="238"/>
        </w:trPr>
        <w:tc>
          <w:tcPr>
            <w:tcW w:w="5000" w:type="pct"/>
            <w:gridSpan w:val="13"/>
            <w:tcBorders>
              <w:top w:val="nil"/>
              <w:left w:val="nil"/>
              <w:bottom w:val="single" w:sz="8" w:space="0" w:color="FFFFFF"/>
              <w:right w:val="nil"/>
            </w:tcBorders>
            <w:shd w:val="clear" w:color="000000" w:fill="005CA9"/>
            <w:vAlign w:val="center"/>
            <w:hideMark/>
          </w:tcPr>
          <w:p w14:paraId="695430ED" w14:textId="77777777" w:rsidR="000C6914" w:rsidRPr="001C65D8" w:rsidRDefault="000C6914" w:rsidP="000C6914">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Individual  </w:t>
            </w:r>
          </w:p>
        </w:tc>
      </w:tr>
      <w:tr w:rsidR="000C6914" w:rsidRPr="001C65D8" w14:paraId="60EB5958" w14:textId="77777777" w:rsidTr="004738D9">
        <w:trPr>
          <w:trHeight w:val="238"/>
        </w:trPr>
        <w:tc>
          <w:tcPr>
            <w:tcW w:w="5000" w:type="pct"/>
            <w:gridSpan w:val="13"/>
            <w:tcBorders>
              <w:top w:val="single" w:sz="8" w:space="0" w:color="FFFFFF"/>
              <w:left w:val="nil"/>
              <w:bottom w:val="single" w:sz="8" w:space="0" w:color="FFFFFF"/>
              <w:right w:val="nil"/>
            </w:tcBorders>
            <w:shd w:val="clear" w:color="000000" w:fill="005CA9"/>
            <w:vAlign w:val="center"/>
            <w:hideMark/>
          </w:tcPr>
          <w:p w14:paraId="5505F741" w14:textId="6FCF4DFC" w:rsidR="000C6914" w:rsidRPr="001C65D8" w:rsidRDefault="000C6914" w:rsidP="000C6914">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31/03/202</w:t>
            </w:r>
            <w:r w:rsidR="007254E1" w:rsidRPr="001C65D8">
              <w:rPr>
                <w:rFonts w:ascii="CAIXA Std Book" w:eastAsia="Times New Roman" w:hAnsi="CAIXA Std Book" w:cs="Times New Roman"/>
                <w:b/>
                <w:bCs/>
                <w:color w:val="FFFFFF"/>
                <w:sz w:val="15"/>
                <w:szCs w:val="15"/>
              </w:rPr>
              <w:t>6</w:t>
            </w:r>
          </w:p>
        </w:tc>
      </w:tr>
      <w:tr w:rsidR="000C6914" w:rsidRPr="001C65D8" w14:paraId="578563C8" w14:textId="77777777" w:rsidTr="004738D9">
        <w:trPr>
          <w:trHeight w:val="238"/>
        </w:trPr>
        <w:tc>
          <w:tcPr>
            <w:tcW w:w="875" w:type="pct"/>
            <w:vMerge w:val="restart"/>
            <w:tcBorders>
              <w:top w:val="nil"/>
              <w:left w:val="nil"/>
              <w:bottom w:val="single" w:sz="8" w:space="0" w:color="FFFFFF"/>
              <w:right w:val="nil"/>
            </w:tcBorders>
            <w:shd w:val="clear" w:color="000000" w:fill="005CA9"/>
            <w:vAlign w:val="center"/>
            <w:hideMark/>
          </w:tcPr>
          <w:p w14:paraId="3FCF71EA" w14:textId="77777777" w:rsidR="000C6914" w:rsidRPr="001C65D8" w:rsidRDefault="000C6914" w:rsidP="000C6914">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 Descrição </w:t>
            </w:r>
          </w:p>
        </w:tc>
        <w:tc>
          <w:tcPr>
            <w:tcW w:w="1098" w:type="pct"/>
            <w:gridSpan w:val="3"/>
            <w:tcBorders>
              <w:top w:val="single" w:sz="8" w:space="0" w:color="FFFFFF"/>
              <w:left w:val="nil"/>
              <w:bottom w:val="single" w:sz="8" w:space="0" w:color="FFFFFF"/>
              <w:right w:val="nil"/>
            </w:tcBorders>
            <w:shd w:val="clear" w:color="000000" w:fill="005CA9"/>
            <w:vAlign w:val="center"/>
            <w:hideMark/>
          </w:tcPr>
          <w:p w14:paraId="1451FBE5" w14:textId="77777777" w:rsidR="000C6914" w:rsidRPr="001C65D8" w:rsidRDefault="000C6914" w:rsidP="000C6914">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 Estágio 1 </w:t>
            </w:r>
          </w:p>
        </w:tc>
        <w:tc>
          <w:tcPr>
            <w:tcW w:w="938" w:type="pct"/>
            <w:gridSpan w:val="3"/>
            <w:tcBorders>
              <w:top w:val="single" w:sz="8" w:space="0" w:color="FFFFFF"/>
              <w:left w:val="nil"/>
              <w:bottom w:val="single" w:sz="8" w:space="0" w:color="FFFFFF"/>
              <w:right w:val="nil"/>
            </w:tcBorders>
            <w:shd w:val="clear" w:color="000000" w:fill="005CA9"/>
            <w:vAlign w:val="center"/>
            <w:hideMark/>
          </w:tcPr>
          <w:p w14:paraId="28394A86" w14:textId="77777777" w:rsidR="000C6914" w:rsidRPr="001C65D8" w:rsidRDefault="000C6914" w:rsidP="000C6914">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 Estágio 2 </w:t>
            </w:r>
          </w:p>
        </w:tc>
        <w:tc>
          <w:tcPr>
            <w:tcW w:w="1003" w:type="pct"/>
            <w:gridSpan w:val="3"/>
            <w:tcBorders>
              <w:top w:val="single" w:sz="8" w:space="0" w:color="FFFFFF"/>
              <w:left w:val="nil"/>
              <w:bottom w:val="single" w:sz="8" w:space="0" w:color="FFFFFF"/>
              <w:right w:val="nil"/>
            </w:tcBorders>
            <w:shd w:val="clear" w:color="000000" w:fill="005CA9"/>
            <w:vAlign w:val="center"/>
            <w:hideMark/>
          </w:tcPr>
          <w:p w14:paraId="38ECB159" w14:textId="77777777" w:rsidR="000C6914" w:rsidRPr="001C65D8" w:rsidRDefault="000C6914" w:rsidP="000C6914">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 Estágio 3 </w:t>
            </w:r>
          </w:p>
        </w:tc>
        <w:tc>
          <w:tcPr>
            <w:tcW w:w="1086" w:type="pct"/>
            <w:gridSpan w:val="3"/>
            <w:tcBorders>
              <w:top w:val="single" w:sz="8" w:space="0" w:color="FFFFFF"/>
              <w:left w:val="nil"/>
              <w:bottom w:val="single" w:sz="8" w:space="0" w:color="FFFFFF"/>
              <w:right w:val="nil"/>
            </w:tcBorders>
            <w:shd w:val="clear" w:color="000000" w:fill="005CA9"/>
            <w:vAlign w:val="center"/>
            <w:hideMark/>
          </w:tcPr>
          <w:p w14:paraId="6B5C85C9" w14:textId="77882CF5" w:rsidR="000C6914" w:rsidRPr="001C65D8" w:rsidRDefault="000C6914" w:rsidP="000C6914">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Total </w:t>
            </w:r>
          </w:p>
        </w:tc>
      </w:tr>
      <w:tr w:rsidR="000C6914" w:rsidRPr="001C65D8" w14:paraId="1A42AE6C" w14:textId="77777777" w:rsidTr="003C7764">
        <w:trPr>
          <w:trHeight w:val="238"/>
        </w:trPr>
        <w:tc>
          <w:tcPr>
            <w:tcW w:w="875" w:type="pct"/>
            <w:vMerge/>
            <w:tcBorders>
              <w:top w:val="nil"/>
              <w:left w:val="nil"/>
              <w:bottom w:val="single" w:sz="8" w:space="0" w:color="FFFFFF"/>
              <w:right w:val="nil"/>
            </w:tcBorders>
            <w:vAlign w:val="center"/>
            <w:hideMark/>
          </w:tcPr>
          <w:p w14:paraId="3351E1EC" w14:textId="77777777" w:rsidR="000C6914" w:rsidRPr="001C65D8" w:rsidRDefault="000C6914" w:rsidP="000C6914">
            <w:pPr>
              <w:rPr>
                <w:rFonts w:ascii="CAIXA Std Book" w:eastAsia="Times New Roman" w:hAnsi="CAIXA Std Book" w:cs="Times New Roman"/>
                <w:b/>
                <w:bCs/>
                <w:color w:val="FFFFFF"/>
                <w:sz w:val="15"/>
                <w:szCs w:val="15"/>
              </w:rPr>
            </w:pPr>
          </w:p>
        </w:tc>
        <w:tc>
          <w:tcPr>
            <w:tcW w:w="381" w:type="pct"/>
            <w:tcBorders>
              <w:top w:val="nil"/>
              <w:left w:val="nil"/>
              <w:bottom w:val="nil"/>
              <w:right w:val="nil"/>
            </w:tcBorders>
            <w:shd w:val="clear" w:color="000000" w:fill="005CA9"/>
            <w:vAlign w:val="center"/>
            <w:hideMark/>
          </w:tcPr>
          <w:p w14:paraId="6754F4A5" w14:textId="53FF92DC" w:rsidR="000C6914" w:rsidRPr="001C65D8" w:rsidRDefault="000C6914" w:rsidP="000C6914">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Exposição </w:t>
            </w:r>
          </w:p>
        </w:tc>
        <w:tc>
          <w:tcPr>
            <w:tcW w:w="334" w:type="pct"/>
            <w:tcBorders>
              <w:top w:val="nil"/>
              <w:left w:val="nil"/>
              <w:bottom w:val="nil"/>
              <w:right w:val="nil"/>
            </w:tcBorders>
            <w:shd w:val="clear" w:color="000000" w:fill="005CA9"/>
            <w:vAlign w:val="center"/>
            <w:hideMark/>
          </w:tcPr>
          <w:p w14:paraId="413A5CF2" w14:textId="0EB1D22C" w:rsidR="000C6914" w:rsidRPr="001C65D8" w:rsidRDefault="000C6914" w:rsidP="000C6914">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Perdas esperadas </w:t>
            </w:r>
          </w:p>
        </w:tc>
        <w:tc>
          <w:tcPr>
            <w:tcW w:w="383" w:type="pct"/>
            <w:tcBorders>
              <w:top w:val="nil"/>
              <w:left w:val="nil"/>
              <w:bottom w:val="nil"/>
              <w:right w:val="nil"/>
            </w:tcBorders>
            <w:shd w:val="clear" w:color="000000" w:fill="005CA9"/>
            <w:vAlign w:val="center"/>
            <w:hideMark/>
          </w:tcPr>
          <w:p w14:paraId="770C852E" w14:textId="56D8AA10" w:rsidR="000C6914" w:rsidRPr="001C65D8" w:rsidRDefault="000C6914" w:rsidP="000C6914">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Exposição líquida de perdas </w:t>
            </w:r>
          </w:p>
        </w:tc>
        <w:tc>
          <w:tcPr>
            <w:tcW w:w="316" w:type="pct"/>
            <w:tcBorders>
              <w:top w:val="nil"/>
              <w:left w:val="nil"/>
              <w:bottom w:val="nil"/>
              <w:right w:val="nil"/>
            </w:tcBorders>
            <w:shd w:val="clear" w:color="000000" w:fill="005CA9"/>
            <w:vAlign w:val="center"/>
            <w:hideMark/>
          </w:tcPr>
          <w:p w14:paraId="365E2AAD" w14:textId="51011DF9" w:rsidR="000C6914" w:rsidRPr="001C65D8" w:rsidRDefault="000C6914" w:rsidP="000C6914">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Exposição </w:t>
            </w:r>
          </w:p>
        </w:tc>
        <w:tc>
          <w:tcPr>
            <w:tcW w:w="306" w:type="pct"/>
            <w:tcBorders>
              <w:top w:val="nil"/>
              <w:left w:val="nil"/>
              <w:bottom w:val="nil"/>
              <w:right w:val="nil"/>
            </w:tcBorders>
            <w:shd w:val="clear" w:color="000000" w:fill="005CA9"/>
            <w:vAlign w:val="center"/>
            <w:hideMark/>
          </w:tcPr>
          <w:p w14:paraId="5597F727" w14:textId="32E7C475" w:rsidR="000C6914" w:rsidRPr="001C65D8" w:rsidRDefault="000C6914" w:rsidP="000C6914">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Perdas esperadas </w:t>
            </w:r>
          </w:p>
        </w:tc>
        <w:tc>
          <w:tcPr>
            <w:tcW w:w="316" w:type="pct"/>
            <w:tcBorders>
              <w:top w:val="nil"/>
              <w:left w:val="nil"/>
              <w:bottom w:val="nil"/>
              <w:right w:val="nil"/>
            </w:tcBorders>
            <w:shd w:val="clear" w:color="000000" w:fill="005CA9"/>
            <w:vAlign w:val="center"/>
            <w:hideMark/>
          </w:tcPr>
          <w:p w14:paraId="41F177DF" w14:textId="00687EAB" w:rsidR="000C6914" w:rsidRPr="001C65D8" w:rsidRDefault="000C6914" w:rsidP="000C6914">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Exposição líquida de perdas </w:t>
            </w:r>
          </w:p>
        </w:tc>
        <w:tc>
          <w:tcPr>
            <w:tcW w:w="316" w:type="pct"/>
            <w:tcBorders>
              <w:top w:val="nil"/>
              <w:left w:val="nil"/>
              <w:bottom w:val="nil"/>
              <w:right w:val="nil"/>
            </w:tcBorders>
            <w:shd w:val="clear" w:color="000000" w:fill="005CA9"/>
            <w:vAlign w:val="center"/>
            <w:hideMark/>
          </w:tcPr>
          <w:p w14:paraId="679084A5" w14:textId="43D02882" w:rsidR="000C6914" w:rsidRPr="001C65D8" w:rsidRDefault="000C6914" w:rsidP="000C6914">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Exposição </w:t>
            </w:r>
          </w:p>
        </w:tc>
        <w:tc>
          <w:tcPr>
            <w:tcW w:w="334" w:type="pct"/>
            <w:tcBorders>
              <w:top w:val="nil"/>
              <w:left w:val="nil"/>
              <w:bottom w:val="nil"/>
              <w:right w:val="nil"/>
            </w:tcBorders>
            <w:shd w:val="clear" w:color="000000" w:fill="005CA9"/>
            <w:vAlign w:val="center"/>
            <w:hideMark/>
          </w:tcPr>
          <w:p w14:paraId="2E3D9797" w14:textId="23AEDA86" w:rsidR="000C6914" w:rsidRPr="001C65D8" w:rsidRDefault="000C6914" w:rsidP="000C6914">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Perdas esperadas </w:t>
            </w:r>
          </w:p>
        </w:tc>
        <w:tc>
          <w:tcPr>
            <w:tcW w:w="353" w:type="pct"/>
            <w:tcBorders>
              <w:top w:val="nil"/>
              <w:left w:val="nil"/>
              <w:bottom w:val="nil"/>
              <w:right w:val="nil"/>
            </w:tcBorders>
            <w:shd w:val="clear" w:color="000000" w:fill="005CA9"/>
            <w:vAlign w:val="center"/>
            <w:hideMark/>
          </w:tcPr>
          <w:p w14:paraId="0BED5A0B" w14:textId="77777777" w:rsidR="000C6914" w:rsidRPr="001C65D8" w:rsidRDefault="000C6914" w:rsidP="000C6914">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Exposição líquida de perdas </w:t>
            </w:r>
          </w:p>
        </w:tc>
        <w:tc>
          <w:tcPr>
            <w:tcW w:w="361" w:type="pct"/>
            <w:tcBorders>
              <w:top w:val="nil"/>
              <w:left w:val="nil"/>
              <w:bottom w:val="nil"/>
              <w:right w:val="nil"/>
            </w:tcBorders>
            <w:shd w:val="clear" w:color="000000" w:fill="005CA9"/>
            <w:vAlign w:val="center"/>
            <w:hideMark/>
          </w:tcPr>
          <w:p w14:paraId="2BA417D6" w14:textId="0601F9A3" w:rsidR="000C6914" w:rsidRPr="001C65D8" w:rsidRDefault="000C6914" w:rsidP="000C6914">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Exposição </w:t>
            </w:r>
          </w:p>
        </w:tc>
        <w:tc>
          <w:tcPr>
            <w:tcW w:w="344" w:type="pct"/>
            <w:tcBorders>
              <w:top w:val="nil"/>
              <w:left w:val="nil"/>
              <w:bottom w:val="nil"/>
              <w:right w:val="nil"/>
            </w:tcBorders>
            <w:shd w:val="clear" w:color="000000" w:fill="005CA9"/>
            <w:vAlign w:val="center"/>
            <w:hideMark/>
          </w:tcPr>
          <w:p w14:paraId="51333D4A" w14:textId="2AAFA9BF" w:rsidR="000C6914" w:rsidRPr="001C65D8" w:rsidRDefault="000C6914" w:rsidP="000C6914">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Perdas esperadas </w:t>
            </w:r>
          </w:p>
        </w:tc>
        <w:tc>
          <w:tcPr>
            <w:tcW w:w="381" w:type="pct"/>
            <w:tcBorders>
              <w:top w:val="nil"/>
              <w:left w:val="nil"/>
              <w:bottom w:val="nil"/>
              <w:right w:val="nil"/>
            </w:tcBorders>
            <w:shd w:val="clear" w:color="000000" w:fill="005CA9"/>
            <w:vAlign w:val="center"/>
            <w:hideMark/>
          </w:tcPr>
          <w:p w14:paraId="35C323D7" w14:textId="6AFC990B" w:rsidR="000C6914" w:rsidRPr="001C65D8" w:rsidRDefault="000C6914" w:rsidP="000C6914">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Exposição líquida de perdas </w:t>
            </w:r>
          </w:p>
        </w:tc>
      </w:tr>
      <w:tr w:rsidR="00CA1014" w:rsidRPr="001C65D8" w14:paraId="2830299B" w14:textId="77777777" w:rsidTr="003C7764">
        <w:trPr>
          <w:trHeight w:val="238"/>
        </w:trPr>
        <w:tc>
          <w:tcPr>
            <w:tcW w:w="875" w:type="pct"/>
            <w:tcBorders>
              <w:top w:val="nil"/>
              <w:left w:val="nil"/>
              <w:bottom w:val="single" w:sz="8" w:space="0" w:color="FFFFFF"/>
              <w:right w:val="nil"/>
            </w:tcBorders>
            <w:shd w:val="clear" w:color="000000" w:fill="D0E0E3"/>
            <w:vAlign w:val="center"/>
            <w:hideMark/>
          </w:tcPr>
          <w:p w14:paraId="0B2A2B5F" w14:textId="422BDEAE" w:rsidR="00CA1014" w:rsidRPr="001C65D8" w:rsidRDefault="00CA1014" w:rsidP="00CA1014">
            <w:pPr>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 xml:space="preserve">Compromissos de empréstimos e créditos a liberar </w:t>
            </w:r>
          </w:p>
        </w:tc>
        <w:tc>
          <w:tcPr>
            <w:tcW w:w="381" w:type="pct"/>
            <w:tcBorders>
              <w:top w:val="single" w:sz="8" w:space="0" w:color="FFFFFF"/>
              <w:left w:val="nil"/>
              <w:bottom w:val="single" w:sz="8" w:space="0" w:color="FFFFFF"/>
              <w:right w:val="nil"/>
            </w:tcBorders>
            <w:shd w:val="clear" w:color="000000" w:fill="D0E0E3"/>
            <w:noWrap/>
            <w:vAlign w:val="center"/>
          </w:tcPr>
          <w:p w14:paraId="6BCE8F96" w14:textId="25102EB5"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201.260.164</w:t>
            </w:r>
          </w:p>
        </w:tc>
        <w:tc>
          <w:tcPr>
            <w:tcW w:w="334" w:type="pct"/>
            <w:tcBorders>
              <w:top w:val="single" w:sz="8" w:space="0" w:color="FFFFFF"/>
              <w:left w:val="nil"/>
              <w:bottom w:val="single" w:sz="8" w:space="0" w:color="FFFFFF"/>
              <w:right w:val="nil"/>
            </w:tcBorders>
            <w:shd w:val="clear" w:color="000000" w:fill="D0E0E3"/>
            <w:noWrap/>
            <w:vAlign w:val="center"/>
          </w:tcPr>
          <w:p w14:paraId="6E67508B" w14:textId="3FD42ABE"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(619.347)</w:t>
            </w:r>
          </w:p>
        </w:tc>
        <w:tc>
          <w:tcPr>
            <w:tcW w:w="383" w:type="pct"/>
            <w:tcBorders>
              <w:top w:val="single" w:sz="8" w:space="0" w:color="FFFFFF"/>
              <w:left w:val="nil"/>
              <w:bottom w:val="single" w:sz="8" w:space="0" w:color="FFFFFF"/>
              <w:right w:val="nil"/>
            </w:tcBorders>
            <w:shd w:val="clear" w:color="000000" w:fill="D0E0E3"/>
            <w:noWrap/>
            <w:vAlign w:val="center"/>
          </w:tcPr>
          <w:p w14:paraId="0C89E9CC" w14:textId="33132707"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200.640.817</w:t>
            </w:r>
          </w:p>
        </w:tc>
        <w:tc>
          <w:tcPr>
            <w:tcW w:w="316" w:type="pct"/>
            <w:tcBorders>
              <w:top w:val="single" w:sz="8" w:space="0" w:color="FFFFFF"/>
              <w:left w:val="nil"/>
              <w:bottom w:val="single" w:sz="8" w:space="0" w:color="FFFFFF"/>
              <w:right w:val="nil"/>
            </w:tcBorders>
            <w:shd w:val="clear" w:color="000000" w:fill="D0E0E3"/>
            <w:noWrap/>
            <w:vAlign w:val="center"/>
          </w:tcPr>
          <w:p w14:paraId="21DAEFFB" w14:textId="51CB2031"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1.402.500</w:t>
            </w:r>
          </w:p>
        </w:tc>
        <w:tc>
          <w:tcPr>
            <w:tcW w:w="306" w:type="pct"/>
            <w:tcBorders>
              <w:top w:val="single" w:sz="8" w:space="0" w:color="FFFFFF"/>
              <w:left w:val="nil"/>
              <w:bottom w:val="single" w:sz="8" w:space="0" w:color="FFFFFF"/>
              <w:right w:val="nil"/>
            </w:tcBorders>
            <w:shd w:val="clear" w:color="000000" w:fill="D0E0E3"/>
            <w:noWrap/>
            <w:vAlign w:val="center"/>
          </w:tcPr>
          <w:p w14:paraId="673544DA" w14:textId="02783FB7"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(116.662)</w:t>
            </w:r>
          </w:p>
        </w:tc>
        <w:tc>
          <w:tcPr>
            <w:tcW w:w="316" w:type="pct"/>
            <w:tcBorders>
              <w:top w:val="single" w:sz="8" w:space="0" w:color="FFFFFF"/>
              <w:left w:val="nil"/>
              <w:bottom w:val="single" w:sz="8" w:space="0" w:color="FFFFFF"/>
              <w:right w:val="nil"/>
            </w:tcBorders>
            <w:shd w:val="clear" w:color="000000" w:fill="D0E0E3"/>
            <w:noWrap/>
            <w:vAlign w:val="center"/>
          </w:tcPr>
          <w:p w14:paraId="019F42C7" w14:textId="247C4BFE"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1.285.838</w:t>
            </w:r>
          </w:p>
        </w:tc>
        <w:tc>
          <w:tcPr>
            <w:tcW w:w="316" w:type="pct"/>
            <w:tcBorders>
              <w:top w:val="single" w:sz="8" w:space="0" w:color="FFFFFF"/>
              <w:left w:val="nil"/>
              <w:bottom w:val="single" w:sz="8" w:space="0" w:color="FFFFFF"/>
              <w:right w:val="nil"/>
            </w:tcBorders>
            <w:shd w:val="clear" w:color="000000" w:fill="D0E0E3"/>
            <w:noWrap/>
            <w:vAlign w:val="center"/>
          </w:tcPr>
          <w:p w14:paraId="55D18F21" w14:textId="655C9C15"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1.240.083</w:t>
            </w:r>
          </w:p>
        </w:tc>
        <w:tc>
          <w:tcPr>
            <w:tcW w:w="334" w:type="pct"/>
            <w:tcBorders>
              <w:top w:val="single" w:sz="8" w:space="0" w:color="FFFFFF"/>
              <w:left w:val="nil"/>
              <w:bottom w:val="single" w:sz="8" w:space="0" w:color="FFFFFF"/>
              <w:right w:val="nil"/>
            </w:tcBorders>
            <w:shd w:val="clear" w:color="000000" w:fill="D0E0E3"/>
            <w:noWrap/>
            <w:vAlign w:val="center"/>
          </w:tcPr>
          <w:p w14:paraId="636CBFBA" w14:textId="2A2EFACF"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(522.857)</w:t>
            </w:r>
          </w:p>
        </w:tc>
        <w:tc>
          <w:tcPr>
            <w:tcW w:w="353" w:type="pct"/>
            <w:tcBorders>
              <w:top w:val="single" w:sz="8" w:space="0" w:color="FFFFFF"/>
              <w:left w:val="nil"/>
              <w:bottom w:val="single" w:sz="8" w:space="0" w:color="FFFFFF"/>
              <w:right w:val="nil"/>
            </w:tcBorders>
            <w:shd w:val="clear" w:color="000000" w:fill="D0E0E3"/>
            <w:noWrap/>
            <w:vAlign w:val="center"/>
          </w:tcPr>
          <w:p w14:paraId="5E042699" w14:textId="4D98A051"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717.226</w:t>
            </w:r>
          </w:p>
        </w:tc>
        <w:tc>
          <w:tcPr>
            <w:tcW w:w="361" w:type="pct"/>
            <w:tcBorders>
              <w:top w:val="single" w:sz="8" w:space="0" w:color="FFFFFF"/>
              <w:left w:val="nil"/>
              <w:bottom w:val="single" w:sz="8" w:space="0" w:color="FFFFFF"/>
              <w:right w:val="nil"/>
            </w:tcBorders>
            <w:shd w:val="clear" w:color="000000" w:fill="D0E0E3"/>
            <w:noWrap/>
            <w:vAlign w:val="center"/>
          </w:tcPr>
          <w:p w14:paraId="6049A83A" w14:textId="25101B78"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203.902.747</w:t>
            </w:r>
          </w:p>
        </w:tc>
        <w:tc>
          <w:tcPr>
            <w:tcW w:w="344" w:type="pct"/>
            <w:tcBorders>
              <w:top w:val="single" w:sz="8" w:space="0" w:color="FFFFFF"/>
              <w:left w:val="nil"/>
              <w:bottom w:val="single" w:sz="8" w:space="0" w:color="FFFFFF"/>
              <w:right w:val="nil"/>
            </w:tcBorders>
            <w:shd w:val="clear" w:color="000000" w:fill="D0E0E3"/>
            <w:noWrap/>
            <w:vAlign w:val="center"/>
          </w:tcPr>
          <w:p w14:paraId="04C7A173" w14:textId="2A3B56BE"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(1.258.866)</w:t>
            </w:r>
          </w:p>
        </w:tc>
        <w:tc>
          <w:tcPr>
            <w:tcW w:w="381" w:type="pct"/>
            <w:tcBorders>
              <w:top w:val="single" w:sz="8" w:space="0" w:color="FFFFFF"/>
              <w:left w:val="nil"/>
              <w:bottom w:val="single" w:sz="8" w:space="0" w:color="FFFFFF"/>
              <w:right w:val="nil"/>
            </w:tcBorders>
            <w:shd w:val="clear" w:color="000000" w:fill="D0E0E3"/>
            <w:noWrap/>
            <w:vAlign w:val="center"/>
          </w:tcPr>
          <w:p w14:paraId="79896D39" w14:textId="380A72A7"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202.643.881</w:t>
            </w:r>
          </w:p>
        </w:tc>
      </w:tr>
      <w:tr w:rsidR="00CA1014" w:rsidRPr="001C65D8" w14:paraId="62058654" w14:textId="77777777" w:rsidTr="003C7764">
        <w:trPr>
          <w:trHeight w:val="238"/>
        </w:trPr>
        <w:tc>
          <w:tcPr>
            <w:tcW w:w="875" w:type="pct"/>
            <w:tcBorders>
              <w:top w:val="nil"/>
              <w:left w:val="nil"/>
              <w:bottom w:val="nil"/>
              <w:right w:val="nil"/>
            </w:tcBorders>
            <w:shd w:val="clear" w:color="000000" w:fill="D0E0E3"/>
            <w:noWrap/>
            <w:vAlign w:val="center"/>
            <w:hideMark/>
          </w:tcPr>
          <w:p w14:paraId="5AB8E990" w14:textId="77777777" w:rsidR="00CA1014" w:rsidRPr="001C65D8" w:rsidRDefault="00CA1014" w:rsidP="00CA1014">
            <w:pPr>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 xml:space="preserve"> Garantias financeiras prestadas </w:t>
            </w:r>
          </w:p>
        </w:tc>
        <w:tc>
          <w:tcPr>
            <w:tcW w:w="381" w:type="pct"/>
            <w:tcBorders>
              <w:top w:val="nil"/>
              <w:left w:val="nil"/>
              <w:bottom w:val="nil"/>
              <w:right w:val="nil"/>
            </w:tcBorders>
            <w:shd w:val="clear" w:color="000000" w:fill="D0E0E3"/>
            <w:noWrap/>
            <w:vAlign w:val="center"/>
          </w:tcPr>
          <w:p w14:paraId="02E51361" w14:textId="5C0FE86E"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40.797.745</w:t>
            </w:r>
          </w:p>
        </w:tc>
        <w:tc>
          <w:tcPr>
            <w:tcW w:w="334" w:type="pct"/>
            <w:tcBorders>
              <w:top w:val="nil"/>
              <w:left w:val="nil"/>
              <w:bottom w:val="nil"/>
              <w:right w:val="nil"/>
            </w:tcBorders>
            <w:shd w:val="clear" w:color="000000" w:fill="D0E0E3"/>
            <w:noWrap/>
            <w:vAlign w:val="center"/>
          </w:tcPr>
          <w:p w14:paraId="29253074" w14:textId="71C2EA46"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(372.593)</w:t>
            </w:r>
          </w:p>
        </w:tc>
        <w:tc>
          <w:tcPr>
            <w:tcW w:w="383" w:type="pct"/>
            <w:tcBorders>
              <w:top w:val="nil"/>
              <w:left w:val="nil"/>
              <w:bottom w:val="nil"/>
              <w:right w:val="nil"/>
            </w:tcBorders>
            <w:shd w:val="clear" w:color="000000" w:fill="D0E0E3"/>
            <w:noWrap/>
            <w:vAlign w:val="center"/>
          </w:tcPr>
          <w:p w14:paraId="12C09F2C" w14:textId="3E4678C1"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40.425.152</w:t>
            </w:r>
          </w:p>
        </w:tc>
        <w:tc>
          <w:tcPr>
            <w:tcW w:w="316" w:type="pct"/>
            <w:tcBorders>
              <w:top w:val="nil"/>
              <w:left w:val="nil"/>
              <w:bottom w:val="nil"/>
              <w:right w:val="nil"/>
            </w:tcBorders>
            <w:shd w:val="clear" w:color="000000" w:fill="D0E0E3"/>
            <w:noWrap/>
            <w:vAlign w:val="center"/>
          </w:tcPr>
          <w:p w14:paraId="02A71AFA" w14:textId="1F6B981E"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7.450.312</w:t>
            </w:r>
          </w:p>
        </w:tc>
        <w:tc>
          <w:tcPr>
            <w:tcW w:w="306" w:type="pct"/>
            <w:tcBorders>
              <w:top w:val="nil"/>
              <w:left w:val="nil"/>
              <w:bottom w:val="nil"/>
              <w:right w:val="nil"/>
            </w:tcBorders>
            <w:shd w:val="clear" w:color="000000" w:fill="D0E0E3"/>
            <w:noWrap/>
            <w:vAlign w:val="center"/>
          </w:tcPr>
          <w:p w14:paraId="5FC2A0F1" w14:textId="040DAD4C"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(459.154)</w:t>
            </w:r>
          </w:p>
        </w:tc>
        <w:tc>
          <w:tcPr>
            <w:tcW w:w="316" w:type="pct"/>
            <w:tcBorders>
              <w:top w:val="nil"/>
              <w:left w:val="nil"/>
              <w:bottom w:val="nil"/>
              <w:right w:val="nil"/>
            </w:tcBorders>
            <w:shd w:val="clear" w:color="000000" w:fill="D0E0E3"/>
            <w:noWrap/>
            <w:vAlign w:val="center"/>
          </w:tcPr>
          <w:p w14:paraId="48A51944" w14:textId="5F182007"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6.991.158</w:t>
            </w:r>
          </w:p>
        </w:tc>
        <w:tc>
          <w:tcPr>
            <w:tcW w:w="316" w:type="pct"/>
            <w:tcBorders>
              <w:top w:val="nil"/>
              <w:left w:val="nil"/>
              <w:bottom w:val="nil"/>
              <w:right w:val="nil"/>
            </w:tcBorders>
            <w:shd w:val="clear" w:color="000000" w:fill="D0E0E3"/>
            <w:noWrap/>
            <w:vAlign w:val="center"/>
          </w:tcPr>
          <w:p w14:paraId="00C71CC6" w14:textId="5A419F3C"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460.438</w:t>
            </w:r>
          </w:p>
        </w:tc>
        <w:tc>
          <w:tcPr>
            <w:tcW w:w="334" w:type="pct"/>
            <w:tcBorders>
              <w:top w:val="nil"/>
              <w:left w:val="nil"/>
              <w:bottom w:val="nil"/>
              <w:right w:val="nil"/>
            </w:tcBorders>
            <w:shd w:val="clear" w:color="000000" w:fill="D0E0E3"/>
            <w:noWrap/>
            <w:vAlign w:val="center"/>
          </w:tcPr>
          <w:p w14:paraId="71A78DF3" w14:textId="24BE44A9"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(418.</w:t>
            </w:r>
            <w:r w:rsidR="003C7764" w:rsidRPr="003C7764">
              <w:rPr>
                <w:rFonts w:ascii="CAIXA Std Book" w:hAnsi="CAIXA Std Book" w:cs="Calibri"/>
                <w:b/>
                <w:bCs/>
                <w:color w:val="005CA9"/>
                <w:sz w:val="15"/>
                <w:szCs w:val="15"/>
              </w:rPr>
              <w:t>245</w:t>
            </w:r>
            <w:r w:rsidRPr="003C7764">
              <w:rPr>
                <w:rFonts w:ascii="CAIXA Std Book" w:hAnsi="CAIXA Std Book" w:cs="Calibri"/>
                <w:b/>
                <w:color w:val="005CA9"/>
                <w:sz w:val="15"/>
                <w:szCs w:val="15"/>
              </w:rPr>
              <w:t>)</w:t>
            </w:r>
          </w:p>
        </w:tc>
        <w:tc>
          <w:tcPr>
            <w:tcW w:w="353" w:type="pct"/>
            <w:tcBorders>
              <w:top w:val="nil"/>
              <w:left w:val="nil"/>
              <w:bottom w:val="nil"/>
              <w:right w:val="nil"/>
            </w:tcBorders>
            <w:shd w:val="clear" w:color="000000" w:fill="D0E0E3"/>
            <w:noWrap/>
            <w:vAlign w:val="center"/>
          </w:tcPr>
          <w:p w14:paraId="43FDA20F" w14:textId="2BE9BE22"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42.</w:t>
            </w:r>
            <w:r w:rsidR="003C7764" w:rsidRPr="003C7764">
              <w:rPr>
                <w:rFonts w:ascii="CAIXA Std Book" w:hAnsi="CAIXA Std Book" w:cs="Calibri"/>
                <w:b/>
                <w:bCs/>
                <w:color w:val="005CA9"/>
                <w:sz w:val="15"/>
                <w:szCs w:val="15"/>
              </w:rPr>
              <w:t>193</w:t>
            </w:r>
          </w:p>
        </w:tc>
        <w:tc>
          <w:tcPr>
            <w:tcW w:w="361" w:type="pct"/>
            <w:tcBorders>
              <w:top w:val="nil"/>
              <w:left w:val="nil"/>
              <w:bottom w:val="nil"/>
              <w:right w:val="nil"/>
            </w:tcBorders>
            <w:shd w:val="clear" w:color="000000" w:fill="D0E0E3"/>
            <w:noWrap/>
            <w:vAlign w:val="center"/>
          </w:tcPr>
          <w:p w14:paraId="743EE559" w14:textId="63F033E8"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48.708.495</w:t>
            </w:r>
          </w:p>
        </w:tc>
        <w:tc>
          <w:tcPr>
            <w:tcW w:w="344" w:type="pct"/>
            <w:tcBorders>
              <w:top w:val="nil"/>
              <w:left w:val="nil"/>
              <w:bottom w:val="nil"/>
              <w:right w:val="nil"/>
            </w:tcBorders>
            <w:shd w:val="clear" w:color="000000" w:fill="D0E0E3"/>
            <w:noWrap/>
            <w:vAlign w:val="center"/>
          </w:tcPr>
          <w:p w14:paraId="2BF1879C" w14:textId="6C242D7A"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(1.249.</w:t>
            </w:r>
            <w:r w:rsidR="003C7764" w:rsidRPr="003C7764">
              <w:rPr>
                <w:rFonts w:ascii="CAIXA Std Book" w:hAnsi="CAIXA Std Book" w:cs="Calibri"/>
                <w:b/>
                <w:bCs/>
                <w:color w:val="005CA9"/>
                <w:sz w:val="15"/>
                <w:szCs w:val="15"/>
              </w:rPr>
              <w:t>992</w:t>
            </w:r>
            <w:r w:rsidRPr="003C7764">
              <w:rPr>
                <w:rFonts w:ascii="CAIXA Std Book" w:hAnsi="CAIXA Std Book" w:cs="Calibri"/>
                <w:b/>
                <w:color w:val="005CA9"/>
                <w:sz w:val="15"/>
                <w:szCs w:val="15"/>
              </w:rPr>
              <w:t>)</w:t>
            </w:r>
          </w:p>
        </w:tc>
        <w:tc>
          <w:tcPr>
            <w:tcW w:w="381" w:type="pct"/>
            <w:tcBorders>
              <w:top w:val="nil"/>
              <w:left w:val="nil"/>
              <w:bottom w:val="nil"/>
              <w:right w:val="nil"/>
            </w:tcBorders>
            <w:shd w:val="clear" w:color="000000" w:fill="D0E0E3"/>
            <w:noWrap/>
            <w:vAlign w:val="center"/>
          </w:tcPr>
          <w:p w14:paraId="6BEC444F" w14:textId="478CC8EE" w:rsidR="00CA1014" w:rsidRPr="001C65D8" w:rsidRDefault="00CA1014" w:rsidP="00CA1014">
            <w:pPr>
              <w:jc w:val="right"/>
              <w:rPr>
                <w:rFonts w:ascii="CAIXA Std Book" w:eastAsia="Times New Roman" w:hAnsi="CAIXA Std Book" w:cs="Times New Roman"/>
                <w:b/>
                <w:bCs/>
                <w:color w:val="005CA9"/>
                <w:sz w:val="15"/>
                <w:szCs w:val="15"/>
              </w:rPr>
            </w:pPr>
            <w:r w:rsidRPr="003C7764">
              <w:rPr>
                <w:rFonts w:ascii="CAIXA Std Book" w:hAnsi="CAIXA Std Book" w:cs="Calibri"/>
                <w:b/>
                <w:color w:val="005CA9"/>
                <w:sz w:val="15"/>
                <w:szCs w:val="15"/>
              </w:rPr>
              <w:t>47.458.</w:t>
            </w:r>
            <w:r w:rsidR="003C7764" w:rsidRPr="003C7764">
              <w:rPr>
                <w:rFonts w:ascii="CAIXA Std Book" w:hAnsi="CAIXA Std Book" w:cs="Calibri"/>
                <w:b/>
                <w:bCs/>
                <w:color w:val="005CA9"/>
                <w:sz w:val="15"/>
                <w:szCs w:val="15"/>
              </w:rPr>
              <w:t>503</w:t>
            </w:r>
          </w:p>
        </w:tc>
      </w:tr>
      <w:tr w:rsidR="00CA1014" w:rsidRPr="001C65D8" w14:paraId="419CFD2E" w14:textId="77777777" w:rsidTr="003C7764">
        <w:trPr>
          <w:trHeight w:val="238"/>
        </w:trPr>
        <w:tc>
          <w:tcPr>
            <w:tcW w:w="875" w:type="pct"/>
            <w:tcBorders>
              <w:top w:val="nil"/>
              <w:left w:val="nil"/>
              <w:bottom w:val="nil"/>
              <w:right w:val="nil"/>
            </w:tcBorders>
            <w:vAlign w:val="center"/>
            <w:hideMark/>
          </w:tcPr>
          <w:p w14:paraId="08FF39A2" w14:textId="77777777" w:rsidR="00CA1014" w:rsidRPr="001C65D8" w:rsidRDefault="00CA1014" w:rsidP="00CA1014">
            <w:pPr>
              <w:ind w:firstLineChars="100" w:firstLine="150"/>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 xml:space="preserve"> Repasses - Entidades </w:t>
            </w:r>
          </w:p>
        </w:tc>
        <w:tc>
          <w:tcPr>
            <w:tcW w:w="381" w:type="pct"/>
            <w:tcBorders>
              <w:top w:val="nil"/>
              <w:left w:val="nil"/>
              <w:bottom w:val="nil"/>
              <w:right w:val="nil"/>
            </w:tcBorders>
            <w:shd w:val="clear" w:color="000000" w:fill="FFFFFF"/>
            <w:vAlign w:val="center"/>
          </w:tcPr>
          <w:p w14:paraId="4252ABA8" w14:textId="065BA24F"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25.741.406</w:t>
            </w:r>
          </w:p>
        </w:tc>
        <w:tc>
          <w:tcPr>
            <w:tcW w:w="334" w:type="pct"/>
            <w:tcBorders>
              <w:top w:val="nil"/>
              <w:left w:val="nil"/>
              <w:bottom w:val="nil"/>
              <w:right w:val="nil"/>
            </w:tcBorders>
            <w:shd w:val="clear" w:color="000000" w:fill="FFFFFF"/>
            <w:vAlign w:val="center"/>
          </w:tcPr>
          <w:p w14:paraId="78902185" w14:textId="1B8CD26F"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(26)</w:t>
            </w:r>
          </w:p>
        </w:tc>
        <w:tc>
          <w:tcPr>
            <w:tcW w:w="383" w:type="pct"/>
            <w:tcBorders>
              <w:top w:val="nil"/>
              <w:left w:val="nil"/>
              <w:bottom w:val="nil"/>
              <w:right w:val="nil"/>
            </w:tcBorders>
            <w:shd w:val="clear" w:color="000000" w:fill="FFFFFF"/>
            <w:vAlign w:val="center"/>
          </w:tcPr>
          <w:p w14:paraId="4C62F52F" w14:textId="1839F40F"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25.741.380</w:t>
            </w:r>
          </w:p>
        </w:tc>
        <w:tc>
          <w:tcPr>
            <w:tcW w:w="316" w:type="pct"/>
            <w:tcBorders>
              <w:top w:val="nil"/>
              <w:left w:val="nil"/>
              <w:bottom w:val="nil"/>
              <w:right w:val="nil"/>
            </w:tcBorders>
            <w:shd w:val="clear" w:color="000000" w:fill="FFFFFF"/>
            <w:vAlign w:val="center"/>
          </w:tcPr>
          <w:p w14:paraId="0B64EE4F" w14:textId="030949F2"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5.769.671</w:t>
            </w:r>
          </w:p>
        </w:tc>
        <w:tc>
          <w:tcPr>
            <w:tcW w:w="306" w:type="pct"/>
            <w:tcBorders>
              <w:top w:val="nil"/>
              <w:left w:val="nil"/>
              <w:bottom w:val="nil"/>
              <w:right w:val="nil"/>
            </w:tcBorders>
            <w:shd w:val="clear" w:color="000000" w:fill="FFFFFF"/>
            <w:vAlign w:val="center"/>
          </w:tcPr>
          <w:p w14:paraId="3A170532" w14:textId="73BC3CA2"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(10)</w:t>
            </w:r>
          </w:p>
        </w:tc>
        <w:tc>
          <w:tcPr>
            <w:tcW w:w="316" w:type="pct"/>
            <w:tcBorders>
              <w:top w:val="nil"/>
              <w:left w:val="nil"/>
              <w:bottom w:val="nil"/>
              <w:right w:val="nil"/>
            </w:tcBorders>
            <w:shd w:val="clear" w:color="000000" w:fill="FFFFFF"/>
            <w:vAlign w:val="center"/>
          </w:tcPr>
          <w:p w14:paraId="202F275B" w14:textId="1C805B2C"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5.769.661</w:t>
            </w:r>
          </w:p>
        </w:tc>
        <w:tc>
          <w:tcPr>
            <w:tcW w:w="316" w:type="pct"/>
            <w:tcBorders>
              <w:top w:val="nil"/>
              <w:left w:val="nil"/>
              <w:bottom w:val="nil"/>
              <w:right w:val="nil"/>
            </w:tcBorders>
            <w:shd w:val="clear" w:color="000000" w:fill="FFFFFF"/>
            <w:vAlign w:val="center"/>
          </w:tcPr>
          <w:p w14:paraId="4C059FE1" w14:textId="56FCD541"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16.490</w:t>
            </w:r>
          </w:p>
        </w:tc>
        <w:tc>
          <w:tcPr>
            <w:tcW w:w="334" w:type="pct"/>
            <w:tcBorders>
              <w:top w:val="nil"/>
              <w:left w:val="nil"/>
              <w:bottom w:val="nil"/>
              <w:right w:val="nil"/>
            </w:tcBorders>
            <w:shd w:val="clear" w:color="000000" w:fill="FFFFFF"/>
            <w:vAlign w:val="center"/>
          </w:tcPr>
          <w:p w14:paraId="0ED36211" w14:textId="2EE8B2A7"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(16.490)</w:t>
            </w:r>
          </w:p>
        </w:tc>
        <w:tc>
          <w:tcPr>
            <w:tcW w:w="353" w:type="pct"/>
            <w:tcBorders>
              <w:top w:val="nil"/>
              <w:left w:val="nil"/>
              <w:bottom w:val="nil"/>
              <w:right w:val="nil"/>
            </w:tcBorders>
            <w:shd w:val="clear" w:color="000000" w:fill="FFFFFF"/>
            <w:vAlign w:val="center"/>
          </w:tcPr>
          <w:p w14:paraId="5E65EC28" w14:textId="015DDBA6" w:rsidR="00CA1014" w:rsidRPr="001C65D8" w:rsidRDefault="00CA1014" w:rsidP="00F726FF">
            <w:pPr>
              <w:jc w:val="center"/>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w:t>
            </w:r>
          </w:p>
        </w:tc>
        <w:tc>
          <w:tcPr>
            <w:tcW w:w="361" w:type="pct"/>
            <w:tcBorders>
              <w:top w:val="nil"/>
              <w:left w:val="nil"/>
              <w:bottom w:val="nil"/>
              <w:right w:val="nil"/>
            </w:tcBorders>
            <w:shd w:val="clear" w:color="000000" w:fill="FFFFFF"/>
            <w:vAlign w:val="center"/>
          </w:tcPr>
          <w:p w14:paraId="0721AD66" w14:textId="4EE919FC"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31.527.567</w:t>
            </w:r>
          </w:p>
        </w:tc>
        <w:tc>
          <w:tcPr>
            <w:tcW w:w="344" w:type="pct"/>
            <w:tcBorders>
              <w:top w:val="nil"/>
              <w:left w:val="nil"/>
              <w:bottom w:val="nil"/>
              <w:right w:val="nil"/>
            </w:tcBorders>
            <w:shd w:val="clear" w:color="000000" w:fill="FFFFFF"/>
            <w:vAlign w:val="center"/>
          </w:tcPr>
          <w:p w14:paraId="3205E6FD" w14:textId="318475EA"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(16.526)</w:t>
            </w:r>
          </w:p>
        </w:tc>
        <w:tc>
          <w:tcPr>
            <w:tcW w:w="381" w:type="pct"/>
            <w:tcBorders>
              <w:top w:val="nil"/>
              <w:left w:val="nil"/>
              <w:bottom w:val="nil"/>
              <w:right w:val="nil"/>
            </w:tcBorders>
            <w:shd w:val="clear" w:color="000000" w:fill="FFFFFF"/>
            <w:vAlign w:val="center"/>
          </w:tcPr>
          <w:p w14:paraId="277B55F2" w14:textId="0E113CC0"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31.511.041</w:t>
            </w:r>
          </w:p>
        </w:tc>
      </w:tr>
      <w:tr w:rsidR="00CA1014" w:rsidRPr="001C65D8" w14:paraId="5CB406D4" w14:textId="77777777" w:rsidTr="003C7764">
        <w:trPr>
          <w:trHeight w:val="238"/>
        </w:trPr>
        <w:tc>
          <w:tcPr>
            <w:tcW w:w="875" w:type="pct"/>
            <w:tcBorders>
              <w:top w:val="nil"/>
              <w:left w:val="nil"/>
              <w:bottom w:val="nil"/>
              <w:right w:val="nil"/>
            </w:tcBorders>
            <w:vAlign w:val="center"/>
            <w:hideMark/>
          </w:tcPr>
          <w:p w14:paraId="3EA9A680" w14:textId="77777777" w:rsidR="00CA1014" w:rsidRPr="001C65D8" w:rsidRDefault="00CA1014" w:rsidP="00CA1014">
            <w:pPr>
              <w:ind w:firstLineChars="100" w:firstLine="150"/>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 xml:space="preserve"> FIES </w:t>
            </w:r>
          </w:p>
        </w:tc>
        <w:tc>
          <w:tcPr>
            <w:tcW w:w="381" w:type="pct"/>
            <w:tcBorders>
              <w:top w:val="nil"/>
              <w:left w:val="nil"/>
              <w:bottom w:val="nil"/>
              <w:right w:val="nil"/>
            </w:tcBorders>
            <w:shd w:val="clear" w:color="000000" w:fill="FFFFFF"/>
            <w:vAlign w:val="center"/>
          </w:tcPr>
          <w:p w14:paraId="0D655FB5" w14:textId="29F6537C"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55.029</w:t>
            </w:r>
          </w:p>
        </w:tc>
        <w:tc>
          <w:tcPr>
            <w:tcW w:w="334" w:type="pct"/>
            <w:tcBorders>
              <w:top w:val="nil"/>
              <w:left w:val="nil"/>
              <w:bottom w:val="nil"/>
              <w:right w:val="nil"/>
            </w:tcBorders>
            <w:shd w:val="clear" w:color="000000" w:fill="FFFFFF"/>
            <w:vAlign w:val="center"/>
          </w:tcPr>
          <w:p w14:paraId="0515691E" w14:textId="594E8623"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(1.215)</w:t>
            </w:r>
          </w:p>
        </w:tc>
        <w:tc>
          <w:tcPr>
            <w:tcW w:w="383" w:type="pct"/>
            <w:tcBorders>
              <w:top w:val="nil"/>
              <w:left w:val="nil"/>
              <w:bottom w:val="nil"/>
              <w:right w:val="nil"/>
            </w:tcBorders>
            <w:shd w:val="clear" w:color="000000" w:fill="FFFFFF"/>
            <w:vAlign w:val="center"/>
          </w:tcPr>
          <w:p w14:paraId="216E4684" w14:textId="346F2984"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53.814</w:t>
            </w:r>
          </w:p>
        </w:tc>
        <w:tc>
          <w:tcPr>
            <w:tcW w:w="316" w:type="pct"/>
            <w:tcBorders>
              <w:top w:val="nil"/>
              <w:left w:val="nil"/>
              <w:bottom w:val="nil"/>
              <w:right w:val="nil"/>
            </w:tcBorders>
            <w:shd w:val="clear" w:color="000000" w:fill="FFFFFF"/>
            <w:vAlign w:val="center"/>
          </w:tcPr>
          <w:p w14:paraId="1E940CA6" w14:textId="1D561B03"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6.465</w:t>
            </w:r>
          </w:p>
        </w:tc>
        <w:tc>
          <w:tcPr>
            <w:tcW w:w="306" w:type="pct"/>
            <w:tcBorders>
              <w:top w:val="nil"/>
              <w:left w:val="nil"/>
              <w:bottom w:val="nil"/>
              <w:right w:val="nil"/>
            </w:tcBorders>
            <w:shd w:val="clear" w:color="000000" w:fill="FFFFFF"/>
            <w:vAlign w:val="center"/>
          </w:tcPr>
          <w:p w14:paraId="30B5F5DA" w14:textId="25142AF3"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(1.030)</w:t>
            </w:r>
          </w:p>
        </w:tc>
        <w:tc>
          <w:tcPr>
            <w:tcW w:w="316" w:type="pct"/>
            <w:tcBorders>
              <w:top w:val="nil"/>
              <w:left w:val="nil"/>
              <w:bottom w:val="nil"/>
              <w:right w:val="nil"/>
            </w:tcBorders>
            <w:shd w:val="clear" w:color="000000" w:fill="FFFFFF"/>
            <w:vAlign w:val="center"/>
          </w:tcPr>
          <w:p w14:paraId="4FA572DA" w14:textId="1E87A55F"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5.435</w:t>
            </w:r>
          </w:p>
        </w:tc>
        <w:tc>
          <w:tcPr>
            <w:tcW w:w="316" w:type="pct"/>
            <w:tcBorders>
              <w:top w:val="nil"/>
              <w:left w:val="nil"/>
              <w:bottom w:val="nil"/>
              <w:right w:val="nil"/>
            </w:tcBorders>
            <w:shd w:val="clear" w:color="000000" w:fill="FFFFFF"/>
            <w:vAlign w:val="center"/>
          </w:tcPr>
          <w:p w14:paraId="1933FA0D" w14:textId="2D034D5C"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21.111</w:t>
            </w:r>
          </w:p>
        </w:tc>
        <w:tc>
          <w:tcPr>
            <w:tcW w:w="334" w:type="pct"/>
            <w:tcBorders>
              <w:top w:val="nil"/>
              <w:left w:val="nil"/>
              <w:bottom w:val="nil"/>
              <w:right w:val="nil"/>
            </w:tcBorders>
            <w:shd w:val="clear" w:color="000000" w:fill="FFFFFF"/>
            <w:vAlign w:val="center"/>
          </w:tcPr>
          <w:p w14:paraId="7A0C8AED" w14:textId="1DA3BED9"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(15.538)</w:t>
            </w:r>
          </w:p>
        </w:tc>
        <w:tc>
          <w:tcPr>
            <w:tcW w:w="353" w:type="pct"/>
            <w:tcBorders>
              <w:top w:val="nil"/>
              <w:left w:val="nil"/>
              <w:bottom w:val="nil"/>
              <w:right w:val="nil"/>
            </w:tcBorders>
            <w:shd w:val="clear" w:color="000000" w:fill="FFFFFF"/>
            <w:vAlign w:val="center"/>
          </w:tcPr>
          <w:p w14:paraId="4E3AADDE" w14:textId="1EC58AAE"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5.573</w:t>
            </w:r>
          </w:p>
        </w:tc>
        <w:tc>
          <w:tcPr>
            <w:tcW w:w="361" w:type="pct"/>
            <w:tcBorders>
              <w:top w:val="nil"/>
              <w:left w:val="nil"/>
              <w:bottom w:val="nil"/>
              <w:right w:val="nil"/>
            </w:tcBorders>
            <w:shd w:val="clear" w:color="000000" w:fill="FFFFFF"/>
            <w:vAlign w:val="center"/>
          </w:tcPr>
          <w:p w14:paraId="3C2CFC95" w14:textId="3190A31C"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82.605</w:t>
            </w:r>
          </w:p>
        </w:tc>
        <w:tc>
          <w:tcPr>
            <w:tcW w:w="344" w:type="pct"/>
            <w:tcBorders>
              <w:top w:val="nil"/>
              <w:left w:val="nil"/>
              <w:bottom w:val="nil"/>
              <w:right w:val="nil"/>
            </w:tcBorders>
            <w:shd w:val="clear" w:color="000000" w:fill="FFFFFF"/>
            <w:vAlign w:val="center"/>
          </w:tcPr>
          <w:p w14:paraId="24E2BF4A" w14:textId="43E2CA52"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(17.783)</w:t>
            </w:r>
          </w:p>
        </w:tc>
        <w:tc>
          <w:tcPr>
            <w:tcW w:w="381" w:type="pct"/>
            <w:tcBorders>
              <w:top w:val="nil"/>
              <w:left w:val="nil"/>
              <w:bottom w:val="nil"/>
              <w:right w:val="nil"/>
            </w:tcBorders>
            <w:shd w:val="clear" w:color="000000" w:fill="FFFFFF"/>
            <w:vAlign w:val="center"/>
          </w:tcPr>
          <w:p w14:paraId="29D14796" w14:textId="1EB719AA"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64.822</w:t>
            </w:r>
          </w:p>
        </w:tc>
      </w:tr>
      <w:tr w:rsidR="00CA1014" w:rsidRPr="001C65D8" w14:paraId="05E488A4" w14:textId="77777777" w:rsidTr="003C7764">
        <w:trPr>
          <w:trHeight w:val="238"/>
        </w:trPr>
        <w:tc>
          <w:tcPr>
            <w:tcW w:w="875" w:type="pct"/>
            <w:tcBorders>
              <w:top w:val="nil"/>
              <w:left w:val="nil"/>
              <w:bottom w:val="nil"/>
              <w:right w:val="nil"/>
            </w:tcBorders>
            <w:vAlign w:val="center"/>
            <w:hideMark/>
          </w:tcPr>
          <w:p w14:paraId="0176DBD8" w14:textId="77777777" w:rsidR="00CA1014" w:rsidRPr="001C65D8" w:rsidRDefault="00CA1014" w:rsidP="00CA1014">
            <w:pPr>
              <w:ind w:firstLineChars="100" w:firstLine="150"/>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 xml:space="preserve"> Fiança </w:t>
            </w:r>
          </w:p>
        </w:tc>
        <w:tc>
          <w:tcPr>
            <w:tcW w:w="381" w:type="pct"/>
            <w:tcBorders>
              <w:top w:val="nil"/>
              <w:left w:val="nil"/>
              <w:bottom w:val="nil"/>
              <w:right w:val="nil"/>
            </w:tcBorders>
            <w:shd w:val="clear" w:color="000000" w:fill="FFFFFF"/>
            <w:vAlign w:val="center"/>
          </w:tcPr>
          <w:p w14:paraId="47DCA55D" w14:textId="18C21C77" w:rsidR="00CA1014" w:rsidRPr="001C65D8" w:rsidRDefault="00CA1014" w:rsidP="00A1345A">
            <w:pPr>
              <w:jc w:val="center"/>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w:t>
            </w:r>
          </w:p>
        </w:tc>
        <w:tc>
          <w:tcPr>
            <w:tcW w:w="334" w:type="pct"/>
            <w:tcBorders>
              <w:top w:val="nil"/>
              <w:left w:val="nil"/>
              <w:bottom w:val="nil"/>
              <w:right w:val="nil"/>
            </w:tcBorders>
            <w:shd w:val="clear" w:color="000000" w:fill="FFFFFF"/>
            <w:vAlign w:val="center"/>
          </w:tcPr>
          <w:p w14:paraId="76C0CDF4" w14:textId="24042D14" w:rsidR="00CA1014" w:rsidRPr="001C65D8" w:rsidRDefault="00CA1014" w:rsidP="00A1345A">
            <w:pPr>
              <w:jc w:val="center"/>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w:t>
            </w:r>
          </w:p>
        </w:tc>
        <w:tc>
          <w:tcPr>
            <w:tcW w:w="383" w:type="pct"/>
            <w:tcBorders>
              <w:top w:val="nil"/>
              <w:left w:val="nil"/>
              <w:bottom w:val="nil"/>
              <w:right w:val="nil"/>
            </w:tcBorders>
            <w:shd w:val="clear" w:color="000000" w:fill="FFFFFF"/>
            <w:vAlign w:val="center"/>
          </w:tcPr>
          <w:p w14:paraId="5DAA07E5" w14:textId="3680EA66" w:rsidR="00CA1014" w:rsidRPr="001C65D8" w:rsidRDefault="00CA1014" w:rsidP="00A1345A">
            <w:pPr>
              <w:jc w:val="center"/>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w:t>
            </w:r>
          </w:p>
        </w:tc>
        <w:tc>
          <w:tcPr>
            <w:tcW w:w="316" w:type="pct"/>
            <w:tcBorders>
              <w:top w:val="nil"/>
              <w:left w:val="nil"/>
              <w:bottom w:val="nil"/>
              <w:right w:val="nil"/>
            </w:tcBorders>
            <w:shd w:val="clear" w:color="000000" w:fill="FFFFFF"/>
            <w:vAlign w:val="center"/>
          </w:tcPr>
          <w:p w14:paraId="5EFDB894" w14:textId="2F61B762" w:rsidR="00CA1014" w:rsidRPr="001C65D8" w:rsidRDefault="00CA1014" w:rsidP="00A1345A">
            <w:pPr>
              <w:jc w:val="center"/>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w:t>
            </w:r>
          </w:p>
        </w:tc>
        <w:tc>
          <w:tcPr>
            <w:tcW w:w="306" w:type="pct"/>
            <w:tcBorders>
              <w:top w:val="nil"/>
              <w:left w:val="nil"/>
              <w:bottom w:val="nil"/>
              <w:right w:val="nil"/>
            </w:tcBorders>
            <w:shd w:val="clear" w:color="000000" w:fill="FFFFFF"/>
            <w:vAlign w:val="center"/>
          </w:tcPr>
          <w:p w14:paraId="469EDE2E" w14:textId="67EF9B42" w:rsidR="00CA1014" w:rsidRPr="001C65D8" w:rsidRDefault="00CA1014" w:rsidP="00A1345A">
            <w:pPr>
              <w:jc w:val="center"/>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w:t>
            </w:r>
          </w:p>
        </w:tc>
        <w:tc>
          <w:tcPr>
            <w:tcW w:w="316" w:type="pct"/>
            <w:tcBorders>
              <w:top w:val="nil"/>
              <w:left w:val="nil"/>
              <w:bottom w:val="nil"/>
              <w:right w:val="nil"/>
            </w:tcBorders>
            <w:shd w:val="clear" w:color="000000" w:fill="FFFFFF"/>
            <w:vAlign w:val="center"/>
          </w:tcPr>
          <w:p w14:paraId="57BE7170" w14:textId="7DCC3D61" w:rsidR="00CA1014" w:rsidRPr="001C65D8" w:rsidRDefault="00CA1014" w:rsidP="00A1345A">
            <w:pPr>
              <w:jc w:val="center"/>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w:t>
            </w:r>
          </w:p>
        </w:tc>
        <w:tc>
          <w:tcPr>
            <w:tcW w:w="316" w:type="pct"/>
            <w:tcBorders>
              <w:top w:val="nil"/>
              <w:left w:val="nil"/>
              <w:bottom w:val="nil"/>
              <w:right w:val="nil"/>
            </w:tcBorders>
            <w:shd w:val="clear" w:color="000000" w:fill="FFFFFF"/>
            <w:vAlign w:val="center"/>
          </w:tcPr>
          <w:p w14:paraId="4012B0A7" w14:textId="1BCDEB51"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22.386</w:t>
            </w:r>
          </w:p>
        </w:tc>
        <w:tc>
          <w:tcPr>
            <w:tcW w:w="334" w:type="pct"/>
            <w:tcBorders>
              <w:top w:val="nil"/>
              <w:left w:val="nil"/>
              <w:bottom w:val="nil"/>
              <w:right w:val="nil"/>
            </w:tcBorders>
            <w:shd w:val="clear" w:color="000000" w:fill="FFFFFF"/>
            <w:vAlign w:val="center"/>
          </w:tcPr>
          <w:p w14:paraId="280FBDC7" w14:textId="569828E3"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(15.269)</w:t>
            </w:r>
          </w:p>
        </w:tc>
        <w:tc>
          <w:tcPr>
            <w:tcW w:w="353" w:type="pct"/>
            <w:tcBorders>
              <w:top w:val="nil"/>
              <w:left w:val="nil"/>
              <w:bottom w:val="nil"/>
              <w:right w:val="nil"/>
            </w:tcBorders>
            <w:shd w:val="clear" w:color="000000" w:fill="FFFFFF"/>
            <w:vAlign w:val="center"/>
          </w:tcPr>
          <w:p w14:paraId="7EF03D3A" w14:textId="1B20EF5D"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7.117</w:t>
            </w:r>
          </w:p>
        </w:tc>
        <w:tc>
          <w:tcPr>
            <w:tcW w:w="361" w:type="pct"/>
            <w:tcBorders>
              <w:top w:val="nil"/>
              <w:left w:val="nil"/>
              <w:bottom w:val="nil"/>
              <w:right w:val="nil"/>
            </w:tcBorders>
            <w:shd w:val="clear" w:color="000000" w:fill="FFFFFF"/>
            <w:vAlign w:val="center"/>
          </w:tcPr>
          <w:p w14:paraId="6169D447" w14:textId="58DCBC23"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22.386</w:t>
            </w:r>
          </w:p>
        </w:tc>
        <w:tc>
          <w:tcPr>
            <w:tcW w:w="344" w:type="pct"/>
            <w:tcBorders>
              <w:top w:val="nil"/>
              <w:left w:val="nil"/>
              <w:bottom w:val="nil"/>
              <w:right w:val="nil"/>
            </w:tcBorders>
            <w:shd w:val="clear" w:color="000000" w:fill="FFFFFF"/>
            <w:vAlign w:val="center"/>
          </w:tcPr>
          <w:p w14:paraId="34018B86" w14:textId="216041C0"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(15.269)</w:t>
            </w:r>
          </w:p>
        </w:tc>
        <w:tc>
          <w:tcPr>
            <w:tcW w:w="381" w:type="pct"/>
            <w:tcBorders>
              <w:top w:val="nil"/>
              <w:left w:val="nil"/>
              <w:bottom w:val="nil"/>
              <w:right w:val="nil"/>
            </w:tcBorders>
            <w:shd w:val="clear" w:color="000000" w:fill="FFFFFF"/>
            <w:vAlign w:val="center"/>
          </w:tcPr>
          <w:p w14:paraId="3A526474" w14:textId="6722046B"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7.117</w:t>
            </w:r>
          </w:p>
        </w:tc>
      </w:tr>
      <w:tr w:rsidR="00CA1014" w:rsidRPr="001C65D8" w14:paraId="2F70B245" w14:textId="77777777" w:rsidTr="003C7764">
        <w:trPr>
          <w:trHeight w:val="238"/>
        </w:trPr>
        <w:tc>
          <w:tcPr>
            <w:tcW w:w="875" w:type="pct"/>
            <w:tcBorders>
              <w:top w:val="nil"/>
              <w:left w:val="nil"/>
              <w:bottom w:val="nil"/>
              <w:right w:val="nil"/>
            </w:tcBorders>
            <w:vAlign w:val="center"/>
            <w:hideMark/>
          </w:tcPr>
          <w:p w14:paraId="2B5AAE88" w14:textId="77777777" w:rsidR="00CA1014" w:rsidRPr="001C65D8" w:rsidRDefault="00CA1014" w:rsidP="00CA1014">
            <w:pPr>
              <w:ind w:firstLineChars="100" w:firstLine="150"/>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 xml:space="preserve"> Cartão de Crédito  </w:t>
            </w:r>
          </w:p>
        </w:tc>
        <w:tc>
          <w:tcPr>
            <w:tcW w:w="381" w:type="pct"/>
            <w:tcBorders>
              <w:top w:val="nil"/>
              <w:left w:val="nil"/>
              <w:bottom w:val="nil"/>
              <w:right w:val="nil"/>
            </w:tcBorders>
            <w:shd w:val="clear" w:color="000000" w:fill="FFFFFF"/>
            <w:vAlign w:val="center"/>
          </w:tcPr>
          <w:p w14:paraId="50E65EAA" w14:textId="53849723"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15.001.310</w:t>
            </w:r>
          </w:p>
        </w:tc>
        <w:tc>
          <w:tcPr>
            <w:tcW w:w="334" w:type="pct"/>
            <w:tcBorders>
              <w:top w:val="nil"/>
              <w:left w:val="nil"/>
              <w:bottom w:val="nil"/>
              <w:right w:val="nil"/>
            </w:tcBorders>
            <w:shd w:val="clear" w:color="000000" w:fill="FFFFFF"/>
            <w:vAlign w:val="center"/>
          </w:tcPr>
          <w:p w14:paraId="30CA6FA2" w14:textId="42E55D36"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(371.352)</w:t>
            </w:r>
          </w:p>
        </w:tc>
        <w:tc>
          <w:tcPr>
            <w:tcW w:w="383" w:type="pct"/>
            <w:tcBorders>
              <w:top w:val="nil"/>
              <w:left w:val="nil"/>
              <w:bottom w:val="nil"/>
              <w:right w:val="nil"/>
            </w:tcBorders>
            <w:shd w:val="clear" w:color="000000" w:fill="FFFFFF"/>
            <w:vAlign w:val="center"/>
          </w:tcPr>
          <w:p w14:paraId="61296574" w14:textId="4B89D453"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14.629.958</w:t>
            </w:r>
          </w:p>
        </w:tc>
        <w:tc>
          <w:tcPr>
            <w:tcW w:w="316" w:type="pct"/>
            <w:tcBorders>
              <w:top w:val="nil"/>
              <w:left w:val="nil"/>
              <w:bottom w:val="nil"/>
              <w:right w:val="nil"/>
            </w:tcBorders>
            <w:shd w:val="clear" w:color="000000" w:fill="FFFFFF"/>
            <w:vAlign w:val="center"/>
          </w:tcPr>
          <w:p w14:paraId="0C25F78C" w14:textId="6F8F6AFB"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1.674.176</w:t>
            </w:r>
          </w:p>
        </w:tc>
        <w:tc>
          <w:tcPr>
            <w:tcW w:w="306" w:type="pct"/>
            <w:tcBorders>
              <w:top w:val="nil"/>
              <w:left w:val="nil"/>
              <w:bottom w:val="nil"/>
              <w:right w:val="nil"/>
            </w:tcBorders>
            <w:shd w:val="clear" w:color="000000" w:fill="FFFFFF"/>
            <w:vAlign w:val="center"/>
          </w:tcPr>
          <w:p w14:paraId="2796789F" w14:textId="0AAF6409"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(458.114)</w:t>
            </w:r>
          </w:p>
        </w:tc>
        <w:tc>
          <w:tcPr>
            <w:tcW w:w="316" w:type="pct"/>
            <w:tcBorders>
              <w:top w:val="nil"/>
              <w:left w:val="nil"/>
              <w:bottom w:val="nil"/>
              <w:right w:val="nil"/>
            </w:tcBorders>
            <w:shd w:val="clear" w:color="000000" w:fill="FFFFFF"/>
            <w:vAlign w:val="center"/>
          </w:tcPr>
          <w:p w14:paraId="529E3F88" w14:textId="029245AF"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1.216.062</w:t>
            </w:r>
          </w:p>
        </w:tc>
        <w:tc>
          <w:tcPr>
            <w:tcW w:w="316" w:type="pct"/>
            <w:tcBorders>
              <w:top w:val="nil"/>
              <w:left w:val="nil"/>
              <w:bottom w:val="nil"/>
              <w:right w:val="nil"/>
            </w:tcBorders>
            <w:shd w:val="clear" w:color="000000" w:fill="FFFFFF"/>
            <w:vAlign w:val="center"/>
          </w:tcPr>
          <w:p w14:paraId="1BF82118" w14:textId="397DE92D"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400.451</w:t>
            </w:r>
          </w:p>
        </w:tc>
        <w:tc>
          <w:tcPr>
            <w:tcW w:w="334" w:type="pct"/>
            <w:tcBorders>
              <w:top w:val="nil"/>
              <w:left w:val="nil"/>
              <w:bottom w:val="nil"/>
              <w:right w:val="nil"/>
            </w:tcBorders>
            <w:shd w:val="clear" w:color="000000" w:fill="FFFFFF"/>
            <w:vAlign w:val="center"/>
          </w:tcPr>
          <w:p w14:paraId="191A63A6" w14:textId="4A8641E4"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(370.</w:t>
            </w:r>
            <w:r w:rsidR="003C7764" w:rsidRPr="003C7764">
              <w:rPr>
                <w:rFonts w:ascii="CAIXA Std Book" w:hAnsi="CAIXA Std Book" w:cs="Calibri"/>
                <w:color w:val="005CA9"/>
                <w:sz w:val="15"/>
                <w:szCs w:val="15"/>
              </w:rPr>
              <w:t>948</w:t>
            </w:r>
            <w:r w:rsidRPr="003C7764">
              <w:rPr>
                <w:rFonts w:ascii="CAIXA Std Book" w:hAnsi="CAIXA Std Book" w:cs="Calibri"/>
                <w:color w:val="005CA9"/>
                <w:sz w:val="15"/>
                <w:szCs w:val="15"/>
              </w:rPr>
              <w:t>)</w:t>
            </w:r>
          </w:p>
        </w:tc>
        <w:tc>
          <w:tcPr>
            <w:tcW w:w="353" w:type="pct"/>
            <w:tcBorders>
              <w:top w:val="nil"/>
              <w:left w:val="nil"/>
              <w:bottom w:val="nil"/>
              <w:right w:val="nil"/>
            </w:tcBorders>
            <w:shd w:val="clear" w:color="000000" w:fill="FFFFFF"/>
            <w:vAlign w:val="center"/>
          </w:tcPr>
          <w:p w14:paraId="246D8730" w14:textId="191BAD8F"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29.</w:t>
            </w:r>
            <w:r w:rsidR="003C7764" w:rsidRPr="003C7764">
              <w:rPr>
                <w:rFonts w:ascii="CAIXA Std Book" w:hAnsi="CAIXA Std Book" w:cs="Calibri"/>
                <w:color w:val="005CA9"/>
                <w:sz w:val="15"/>
                <w:szCs w:val="15"/>
              </w:rPr>
              <w:t>503</w:t>
            </w:r>
          </w:p>
        </w:tc>
        <w:tc>
          <w:tcPr>
            <w:tcW w:w="361" w:type="pct"/>
            <w:tcBorders>
              <w:top w:val="nil"/>
              <w:left w:val="nil"/>
              <w:bottom w:val="nil"/>
              <w:right w:val="nil"/>
            </w:tcBorders>
            <w:shd w:val="clear" w:color="000000" w:fill="FFFFFF"/>
            <w:vAlign w:val="center"/>
          </w:tcPr>
          <w:p w14:paraId="18E7F28A" w14:textId="420D800D"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17.075.937</w:t>
            </w:r>
          </w:p>
        </w:tc>
        <w:tc>
          <w:tcPr>
            <w:tcW w:w="344" w:type="pct"/>
            <w:tcBorders>
              <w:top w:val="nil"/>
              <w:left w:val="nil"/>
              <w:bottom w:val="nil"/>
              <w:right w:val="nil"/>
            </w:tcBorders>
            <w:shd w:val="clear" w:color="000000" w:fill="FFFFFF"/>
            <w:vAlign w:val="center"/>
          </w:tcPr>
          <w:p w14:paraId="15505128" w14:textId="76205F44"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(1.200.</w:t>
            </w:r>
            <w:r w:rsidR="003C7764" w:rsidRPr="003C7764">
              <w:rPr>
                <w:rFonts w:ascii="CAIXA Std Book" w:hAnsi="CAIXA Std Book" w:cs="Calibri"/>
                <w:color w:val="005CA9"/>
                <w:sz w:val="15"/>
                <w:szCs w:val="15"/>
              </w:rPr>
              <w:t>414</w:t>
            </w:r>
            <w:r w:rsidRPr="003C7764">
              <w:rPr>
                <w:rFonts w:ascii="CAIXA Std Book" w:hAnsi="CAIXA Std Book" w:cs="Calibri"/>
                <w:color w:val="005CA9"/>
                <w:sz w:val="15"/>
                <w:szCs w:val="15"/>
              </w:rPr>
              <w:t>)</w:t>
            </w:r>
          </w:p>
        </w:tc>
        <w:tc>
          <w:tcPr>
            <w:tcW w:w="381" w:type="pct"/>
            <w:tcBorders>
              <w:top w:val="nil"/>
              <w:left w:val="nil"/>
              <w:bottom w:val="nil"/>
              <w:right w:val="nil"/>
            </w:tcBorders>
            <w:shd w:val="clear" w:color="000000" w:fill="FFFFFF"/>
            <w:vAlign w:val="center"/>
          </w:tcPr>
          <w:p w14:paraId="454627C6" w14:textId="68BFCED2" w:rsidR="00CA1014" w:rsidRPr="001C65D8" w:rsidRDefault="00CA1014" w:rsidP="00CA1014">
            <w:pPr>
              <w:jc w:val="right"/>
              <w:rPr>
                <w:rFonts w:ascii="CAIXA Std Book" w:eastAsia="Times New Roman" w:hAnsi="CAIXA Std Book" w:cs="Times New Roman"/>
                <w:color w:val="005CA9"/>
                <w:sz w:val="15"/>
                <w:szCs w:val="15"/>
              </w:rPr>
            </w:pPr>
            <w:r w:rsidRPr="003C7764">
              <w:rPr>
                <w:rFonts w:ascii="CAIXA Std Book" w:hAnsi="CAIXA Std Book" w:cs="Calibri"/>
                <w:color w:val="005CA9"/>
                <w:sz w:val="15"/>
                <w:szCs w:val="15"/>
              </w:rPr>
              <w:t>15.875.</w:t>
            </w:r>
            <w:r w:rsidR="003C7764" w:rsidRPr="003C7764">
              <w:rPr>
                <w:rFonts w:ascii="CAIXA Std Book" w:hAnsi="CAIXA Std Book" w:cs="Calibri"/>
                <w:color w:val="005CA9"/>
                <w:sz w:val="15"/>
                <w:szCs w:val="15"/>
              </w:rPr>
              <w:t>523</w:t>
            </w:r>
          </w:p>
        </w:tc>
      </w:tr>
      <w:tr w:rsidR="00CA1014" w:rsidRPr="001C65D8" w14:paraId="0BA69981" w14:textId="77777777" w:rsidTr="003C7764">
        <w:trPr>
          <w:trHeight w:val="238"/>
        </w:trPr>
        <w:tc>
          <w:tcPr>
            <w:tcW w:w="875" w:type="pct"/>
            <w:tcBorders>
              <w:top w:val="nil"/>
              <w:left w:val="nil"/>
              <w:bottom w:val="nil"/>
              <w:right w:val="nil"/>
            </w:tcBorders>
            <w:shd w:val="clear" w:color="000000" w:fill="005CA9"/>
            <w:noWrap/>
            <w:vAlign w:val="center"/>
            <w:hideMark/>
          </w:tcPr>
          <w:p w14:paraId="1173C4A8" w14:textId="77777777" w:rsidR="00CA1014" w:rsidRPr="001C65D8" w:rsidRDefault="00CA1014" w:rsidP="00CA1014">
            <w:pP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 Total </w:t>
            </w:r>
          </w:p>
        </w:tc>
        <w:tc>
          <w:tcPr>
            <w:tcW w:w="381" w:type="pct"/>
            <w:tcBorders>
              <w:top w:val="nil"/>
              <w:left w:val="nil"/>
              <w:bottom w:val="nil"/>
              <w:right w:val="nil"/>
            </w:tcBorders>
            <w:shd w:val="clear" w:color="000000" w:fill="005CA9"/>
            <w:noWrap/>
            <w:vAlign w:val="center"/>
          </w:tcPr>
          <w:p w14:paraId="214C0E5D" w14:textId="1A6AE723" w:rsidR="00CA1014" w:rsidRPr="001C65D8" w:rsidRDefault="00CA1014" w:rsidP="00CA1014">
            <w:pPr>
              <w:jc w:val="right"/>
              <w:rPr>
                <w:rFonts w:ascii="CAIXA Std Book" w:eastAsia="Times New Roman" w:hAnsi="CAIXA Std Book" w:cs="Times New Roman"/>
                <w:b/>
                <w:bCs/>
                <w:color w:val="FFFFFF"/>
                <w:sz w:val="15"/>
                <w:szCs w:val="15"/>
              </w:rPr>
            </w:pPr>
            <w:r w:rsidRPr="003C7764">
              <w:rPr>
                <w:rFonts w:ascii="CAIXA Std Book" w:hAnsi="CAIXA Std Book" w:cs="Calibri"/>
                <w:b/>
                <w:color w:val="FFFFFF"/>
                <w:sz w:val="15"/>
                <w:szCs w:val="15"/>
              </w:rPr>
              <w:t>242.057.909</w:t>
            </w:r>
          </w:p>
        </w:tc>
        <w:tc>
          <w:tcPr>
            <w:tcW w:w="334" w:type="pct"/>
            <w:tcBorders>
              <w:top w:val="nil"/>
              <w:left w:val="nil"/>
              <w:bottom w:val="nil"/>
              <w:right w:val="nil"/>
            </w:tcBorders>
            <w:shd w:val="clear" w:color="000000" w:fill="005CA9"/>
            <w:noWrap/>
            <w:vAlign w:val="center"/>
          </w:tcPr>
          <w:p w14:paraId="7DCFDB80" w14:textId="1F4FC358" w:rsidR="00CA1014" w:rsidRPr="001C65D8" w:rsidRDefault="00CA1014" w:rsidP="00CA1014">
            <w:pPr>
              <w:jc w:val="right"/>
              <w:rPr>
                <w:rFonts w:ascii="CAIXA Std Book" w:eastAsia="Times New Roman" w:hAnsi="CAIXA Std Book" w:cs="Times New Roman"/>
                <w:b/>
                <w:bCs/>
                <w:color w:val="FFFFFF"/>
                <w:sz w:val="15"/>
                <w:szCs w:val="15"/>
              </w:rPr>
            </w:pPr>
            <w:r w:rsidRPr="003C7764">
              <w:rPr>
                <w:rFonts w:ascii="CAIXA Std Book" w:hAnsi="CAIXA Std Book" w:cs="Calibri"/>
                <w:b/>
                <w:color w:val="FFFFFF"/>
                <w:sz w:val="15"/>
                <w:szCs w:val="15"/>
              </w:rPr>
              <w:t>(991.940)</w:t>
            </w:r>
          </w:p>
        </w:tc>
        <w:tc>
          <w:tcPr>
            <w:tcW w:w="383" w:type="pct"/>
            <w:tcBorders>
              <w:top w:val="nil"/>
              <w:left w:val="nil"/>
              <w:bottom w:val="nil"/>
              <w:right w:val="nil"/>
            </w:tcBorders>
            <w:shd w:val="clear" w:color="000000" w:fill="005CA9"/>
            <w:noWrap/>
            <w:vAlign w:val="center"/>
          </w:tcPr>
          <w:p w14:paraId="2A24B5E9" w14:textId="43387D48" w:rsidR="00CA1014" w:rsidRPr="001C65D8" w:rsidRDefault="00CA1014" w:rsidP="00CA1014">
            <w:pPr>
              <w:jc w:val="right"/>
              <w:rPr>
                <w:rFonts w:ascii="CAIXA Std Book" w:eastAsia="Times New Roman" w:hAnsi="CAIXA Std Book" w:cs="Times New Roman"/>
                <w:b/>
                <w:bCs/>
                <w:color w:val="FFFFFF"/>
                <w:sz w:val="15"/>
                <w:szCs w:val="15"/>
              </w:rPr>
            </w:pPr>
            <w:r w:rsidRPr="003C7764">
              <w:rPr>
                <w:rFonts w:ascii="CAIXA Std Book" w:hAnsi="CAIXA Std Book" w:cs="Calibri"/>
                <w:b/>
                <w:color w:val="FFFFFF"/>
                <w:sz w:val="15"/>
                <w:szCs w:val="15"/>
              </w:rPr>
              <w:t>241.065.969</w:t>
            </w:r>
          </w:p>
        </w:tc>
        <w:tc>
          <w:tcPr>
            <w:tcW w:w="316" w:type="pct"/>
            <w:tcBorders>
              <w:top w:val="nil"/>
              <w:left w:val="nil"/>
              <w:bottom w:val="nil"/>
              <w:right w:val="nil"/>
            </w:tcBorders>
            <w:shd w:val="clear" w:color="000000" w:fill="005CA9"/>
            <w:noWrap/>
            <w:vAlign w:val="center"/>
          </w:tcPr>
          <w:p w14:paraId="5D638196" w14:textId="33004B6C" w:rsidR="00CA1014" w:rsidRPr="001C65D8" w:rsidRDefault="00CA1014" w:rsidP="00CA1014">
            <w:pPr>
              <w:jc w:val="right"/>
              <w:rPr>
                <w:rFonts w:ascii="CAIXA Std Book" w:eastAsia="Times New Roman" w:hAnsi="CAIXA Std Book" w:cs="Times New Roman"/>
                <w:b/>
                <w:bCs/>
                <w:color w:val="FFFFFF"/>
                <w:sz w:val="15"/>
                <w:szCs w:val="15"/>
              </w:rPr>
            </w:pPr>
            <w:r w:rsidRPr="003C7764">
              <w:rPr>
                <w:rFonts w:ascii="CAIXA Std Book" w:hAnsi="CAIXA Std Book" w:cs="Calibri"/>
                <w:b/>
                <w:color w:val="FFFFFF"/>
                <w:sz w:val="15"/>
                <w:szCs w:val="15"/>
              </w:rPr>
              <w:t>8.852.812</w:t>
            </w:r>
          </w:p>
        </w:tc>
        <w:tc>
          <w:tcPr>
            <w:tcW w:w="306" w:type="pct"/>
            <w:tcBorders>
              <w:top w:val="nil"/>
              <w:left w:val="nil"/>
              <w:bottom w:val="nil"/>
              <w:right w:val="nil"/>
            </w:tcBorders>
            <w:shd w:val="clear" w:color="000000" w:fill="005CA9"/>
            <w:noWrap/>
            <w:vAlign w:val="center"/>
          </w:tcPr>
          <w:p w14:paraId="4D6F3E71" w14:textId="7AF3796D" w:rsidR="00CA1014" w:rsidRPr="001C65D8" w:rsidRDefault="00CA1014" w:rsidP="00CA1014">
            <w:pPr>
              <w:jc w:val="right"/>
              <w:rPr>
                <w:rFonts w:ascii="CAIXA Std Book" w:eastAsia="Times New Roman" w:hAnsi="CAIXA Std Book" w:cs="Times New Roman"/>
                <w:b/>
                <w:bCs/>
                <w:color w:val="FFFFFF"/>
                <w:sz w:val="15"/>
                <w:szCs w:val="15"/>
              </w:rPr>
            </w:pPr>
            <w:r w:rsidRPr="003C7764">
              <w:rPr>
                <w:rFonts w:ascii="CAIXA Std Book" w:hAnsi="CAIXA Std Book" w:cs="Calibri"/>
                <w:b/>
                <w:color w:val="FFFFFF"/>
                <w:sz w:val="15"/>
                <w:szCs w:val="15"/>
              </w:rPr>
              <w:t>(575.816)</w:t>
            </w:r>
          </w:p>
        </w:tc>
        <w:tc>
          <w:tcPr>
            <w:tcW w:w="316" w:type="pct"/>
            <w:tcBorders>
              <w:top w:val="nil"/>
              <w:left w:val="nil"/>
              <w:bottom w:val="nil"/>
              <w:right w:val="nil"/>
            </w:tcBorders>
            <w:shd w:val="clear" w:color="000000" w:fill="005CA9"/>
            <w:noWrap/>
            <w:vAlign w:val="center"/>
          </w:tcPr>
          <w:p w14:paraId="3FBB64EB" w14:textId="5E1BE139" w:rsidR="00CA1014" w:rsidRPr="001C65D8" w:rsidRDefault="00CA1014" w:rsidP="00CA1014">
            <w:pPr>
              <w:jc w:val="right"/>
              <w:rPr>
                <w:rFonts w:ascii="CAIXA Std Book" w:eastAsia="Times New Roman" w:hAnsi="CAIXA Std Book" w:cs="Times New Roman"/>
                <w:b/>
                <w:bCs/>
                <w:color w:val="FFFFFF"/>
                <w:sz w:val="15"/>
                <w:szCs w:val="15"/>
              </w:rPr>
            </w:pPr>
            <w:r w:rsidRPr="003C7764">
              <w:rPr>
                <w:rFonts w:ascii="CAIXA Std Book" w:hAnsi="CAIXA Std Book" w:cs="Calibri"/>
                <w:b/>
                <w:color w:val="FFFFFF"/>
                <w:sz w:val="15"/>
                <w:szCs w:val="15"/>
              </w:rPr>
              <w:t>8.276.996</w:t>
            </w:r>
          </w:p>
        </w:tc>
        <w:tc>
          <w:tcPr>
            <w:tcW w:w="316" w:type="pct"/>
            <w:tcBorders>
              <w:top w:val="nil"/>
              <w:left w:val="nil"/>
              <w:bottom w:val="nil"/>
              <w:right w:val="nil"/>
            </w:tcBorders>
            <w:shd w:val="clear" w:color="000000" w:fill="005CA9"/>
            <w:noWrap/>
            <w:vAlign w:val="center"/>
          </w:tcPr>
          <w:p w14:paraId="131B6C7B" w14:textId="799CC88D" w:rsidR="00CA1014" w:rsidRPr="001C65D8" w:rsidRDefault="00CA1014" w:rsidP="00CA1014">
            <w:pPr>
              <w:jc w:val="right"/>
              <w:rPr>
                <w:rFonts w:ascii="CAIXA Std Book" w:eastAsia="Times New Roman" w:hAnsi="CAIXA Std Book" w:cs="Times New Roman"/>
                <w:b/>
                <w:bCs/>
                <w:color w:val="FFFFFF"/>
                <w:sz w:val="15"/>
                <w:szCs w:val="15"/>
              </w:rPr>
            </w:pPr>
            <w:r w:rsidRPr="003C7764">
              <w:rPr>
                <w:rFonts w:ascii="CAIXA Std Book" w:hAnsi="CAIXA Std Book" w:cs="Calibri"/>
                <w:b/>
                <w:color w:val="FFFFFF"/>
                <w:sz w:val="15"/>
                <w:szCs w:val="15"/>
              </w:rPr>
              <w:t>1.700.521</w:t>
            </w:r>
          </w:p>
        </w:tc>
        <w:tc>
          <w:tcPr>
            <w:tcW w:w="334" w:type="pct"/>
            <w:tcBorders>
              <w:top w:val="nil"/>
              <w:left w:val="nil"/>
              <w:bottom w:val="nil"/>
              <w:right w:val="nil"/>
            </w:tcBorders>
            <w:shd w:val="clear" w:color="000000" w:fill="005CA9"/>
            <w:noWrap/>
            <w:vAlign w:val="center"/>
          </w:tcPr>
          <w:p w14:paraId="1E1D6DBF" w14:textId="78DA06FB" w:rsidR="00CA1014" w:rsidRPr="001C65D8" w:rsidRDefault="00CA1014" w:rsidP="00CA1014">
            <w:pPr>
              <w:jc w:val="right"/>
              <w:rPr>
                <w:rFonts w:ascii="CAIXA Std Book" w:eastAsia="Times New Roman" w:hAnsi="CAIXA Std Book" w:cs="Times New Roman"/>
                <w:b/>
                <w:bCs/>
                <w:color w:val="FFFFFF"/>
                <w:sz w:val="15"/>
                <w:szCs w:val="15"/>
              </w:rPr>
            </w:pPr>
            <w:r w:rsidRPr="003C7764">
              <w:rPr>
                <w:rFonts w:ascii="CAIXA Std Book" w:hAnsi="CAIXA Std Book" w:cs="Calibri"/>
                <w:b/>
                <w:color w:val="FFFFFF"/>
                <w:sz w:val="15"/>
                <w:szCs w:val="15"/>
              </w:rPr>
              <w:t>(941.</w:t>
            </w:r>
            <w:r w:rsidR="003C7764" w:rsidRPr="003C7764">
              <w:rPr>
                <w:rFonts w:ascii="CAIXA Std Book" w:hAnsi="CAIXA Std Book" w:cs="Calibri"/>
                <w:b/>
                <w:bCs/>
                <w:color w:val="FFFFFF"/>
                <w:sz w:val="15"/>
                <w:szCs w:val="15"/>
              </w:rPr>
              <w:t>102</w:t>
            </w:r>
            <w:r w:rsidRPr="003C7764">
              <w:rPr>
                <w:rFonts w:ascii="CAIXA Std Book" w:hAnsi="CAIXA Std Book" w:cs="Calibri"/>
                <w:b/>
                <w:color w:val="FFFFFF"/>
                <w:sz w:val="15"/>
                <w:szCs w:val="15"/>
              </w:rPr>
              <w:t>)</w:t>
            </w:r>
          </w:p>
        </w:tc>
        <w:tc>
          <w:tcPr>
            <w:tcW w:w="353" w:type="pct"/>
            <w:tcBorders>
              <w:top w:val="nil"/>
              <w:left w:val="nil"/>
              <w:bottom w:val="nil"/>
              <w:right w:val="nil"/>
            </w:tcBorders>
            <w:shd w:val="clear" w:color="000000" w:fill="005CA9"/>
            <w:noWrap/>
            <w:vAlign w:val="center"/>
          </w:tcPr>
          <w:p w14:paraId="6A0801AA" w14:textId="552132D9" w:rsidR="00CA1014" w:rsidRPr="001C65D8" w:rsidRDefault="00CA1014" w:rsidP="00CA1014">
            <w:pPr>
              <w:jc w:val="right"/>
              <w:rPr>
                <w:rFonts w:ascii="CAIXA Std Book" w:eastAsia="Times New Roman" w:hAnsi="CAIXA Std Book" w:cs="Times New Roman"/>
                <w:b/>
                <w:bCs/>
                <w:color w:val="FFFFFF"/>
                <w:sz w:val="15"/>
                <w:szCs w:val="15"/>
              </w:rPr>
            </w:pPr>
            <w:r w:rsidRPr="003C7764">
              <w:rPr>
                <w:rFonts w:ascii="CAIXA Std Book" w:hAnsi="CAIXA Std Book" w:cs="Calibri"/>
                <w:b/>
                <w:color w:val="FFFFFF"/>
                <w:sz w:val="15"/>
                <w:szCs w:val="15"/>
              </w:rPr>
              <w:t>759.</w:t>
            </w:r>
            <w:r w:rsidR="003C7764" w:rsidRPr="003C7764">
              <w:rPr>
                <w:rFonts w:ascii="CAIXA Std Book" w:hAnsi="CAIXA Std Book" w:cs="Calibri"/>
                <w:b/>
                <w:bCs/>
                <w:color w:val="FFFFFF"/>
                <w:sz w:val="15"/>
                <w:szCs w:val="15"/>
              </w:rPr>
              <w:t>419</w:t>
            </w:r>
          </w:p>
        </w:tc>
        <w:tc>
          <w:tcPr>
            <w:tcW w:w="361" w:type="pct"/>
            <w:tcBorders>
              <w:top w:val="nil"/>
              <w:left w:val="nil"/>
              <w:bottom w:val="nil"/>
              <w:right w:val="nil"/>
            </w:tcBorders>
            <w:shd w:val="clear" w:color="000000" w:fill="005CA9"/>
            <w:noWrap/>
            <w:vAlign w:val="center"/>
          </w:tcPr>
          <w:p w14:paraId="5034C953" w14:textId="60BD7B8E" w:rsidR="00CA1014" w:rsidRPr="001C65D8" w:rsidRDefault="00CA1014" w:rsidP="00CA1014">
            <w:pPr>
              <w:jc w:val="right"/>
              <w:rPr>
                <w:rFonts w:ascii="CAIXA Std Book" w:eastAsia="Times New Roman" w:hAnsi="CAIXA Std Book" w:cs="Times New Roman"/>
                <w:b/>
                <w:bCs/>
                <w:color w:val="FFFFFF"/>
                <w:sz w:val="15"/>
                <w:szCs w:val="15"/>
              </w:rPr>
            </w:pPr>
            <w:r w:rsidRPr="003C7764">
              <w:rPr>
                <w:rFonts w:ascii="CAIXA Std Book" w:hAnsi="CAIXA Std Book" w:cs="Calibri"/>
                <w:b/>
                <w:color w:val="FFFFFF"/>
                <w:sz w:val="15"/>
                <w:szCs w:val="15"/>
              </w:rPr>
              <w:t>252.611.242</w:t>
            </w:r>
          </w:p>
        </w:tc>
        <w:tc>
          <w:tcPr>
            <w:tcW w:w="344" w:type="pct"/>
            <w:tcBorders>
              <w:top w:val="nil"/>
              <w:left w:val="nil"/>
              <w:bottom w:val="nil"/>
              <w:right w:val="nil"/>
            </w:tcBorders>
            <w:shd w:val="clear" w:color="000000" w:fill="005CA9"/>
            <w:noWrap/>
            <w:vAlign w:val="center"/>
          </w:tcPr>
          <w:p w14:paraId="141C4494" w14:textId="2861D037" w:rsidR="00CA1014" w:rsidRPr="001C65D8" w:rsidRDefault="00CA1014" w:rsidP="00CA1014">
            <w:pPr>
              <w:jc w:val="right"/>
              <w:rPr>
                <w:rFonts w:ascii="CAIXA Std Book" w:eastAsia="Times New Roman" w:hAnsi="CAIXA Std Book" w:cs="Times New Roman"/>
                <w:b/>
                <w:bCs/>
                <w:color w:val="FFFFFF"/>
                <w:sz w:val="15"/>
                <w:szCs w:val="15"/>
              </w:rPr>
            </w:pPr>
            <w:r w:rsidRPr="003C7764">
              <w:rPr>
                <w:rFonts w:ascii="CAIXA Std Book" w:hAnsi="CAIXA Std Book" w:cs="Calibri"/>
                <w:b/>
                <w:color w:val="FFFFFF"/>
                <w:sz w:val="15"/>
                <w:szCs w:val="15"/>
              </w:rPr>
              <w:t>(2.508.</w:t>
            </w:r>
            <w:r w:rsidR="003C7764" w:rsidRPr="003C7764">
              <w:rPr>
                <w:rFonts w:ascii="CAIXA Std Book" w:hAnsi="CAIXA Std Book" w:cs="Calibri"/>
                <w:b/>
                <w:bCs/>
                <w:color w:val="FFFFFF"/>
                <w:sz w:val="15"/>
                <w:szCs w:val="15"/>
              </w:rPr>
              <w:t>858</w:t>
            </w:r>
            <w:r w:rsidRPr="003C7764">
              <w:rPr>
                <w:rFonts w:ascii="CAIXA Std Book" w:hAnsi="CAIXA Std Book" w:cs="Calibri"/>
                <w:b/>
                <w:color w:val="FFFFFF"/>
                <w:sz w:val="15"/>
                <w:szCs w:val="15"/>
              </w:rPr>
              <w:t>)</w:t>
            </w:r>
          </w:p>
        </w:tc>
        <w:tc>
          <w:tcPr>
            <w:tcW w:w="381" w:type="pct"/>
            <w:tcBorders>
              <w:top w:val="nil"/>
              <w:left w:val="nil"/>
              <w:bottom w:val="nil"/>
              <w:right w:val="nil"/>
            </w:tcBorders>
            <w:shd w:val="clear" w:color="000000" w:fill="005CA9"/>
            <w:noWrap/>
            <w:vAlign w:val="center"/>
          </w:tcPr>
          <w:p w14:paraId="1B7FA9ED" w14:textId="2C0112F7" w:rsidR="00CA1014" w:rsidRPr="001C65D8" w:rsidRDefault="00CA1014" w:rsidP="00CA1014">
            <w:pPr>
              <w:jc w:val="right"/>
              <w:rPr>
                <w:rFonts w:ascii="CAIXA Std Book" w:eastAsia="Times New Roman" w:hAnsi="CAIXA Std Book" w:cs="Times New Roman"/>
                <w:b/>
                <w:bCs/>
                <w:color w:val="FFFFFF"/>
                <w:sz w:val="15"/>
                <w:szCs w:val="15"/>
              </w:rPr>
            </w:pPr>
            <w:r w:rsidRPr="003C7764">
              <w:rPr>
                <w:rFonts w:ascii="CAIXA Std Book" w:hAnsi="CAIXA Std Book" w:cs="Calibri"/>
                <w:b/>
                <w:color w:val="FFFFFF"/>
                <w:sz w:val="15"/>
                <w:szCs w:val="15"/>
              </w:rPr>
              <w:t>250.102.</w:t>
            </w:r>
            <w:r w:rsidR="003C7764" w:rsidRPr="003C7764">
              <w:rPr>
                <w:rFonts w:ascii="CAIXA Std Book" w:hAnsi="CAIXA Std Book" w:cs="Calibri"/>
                <w:b/>
                <w:bCs/>
                <w:color w:val="FFFFFF"/>
                <w:sz w:val="15"/>
                <w:szCs w:val="15"/>
              </w:rPr>
              <w:t>384</w:t>
            </w:r>
          </w:p>
        </w:tc>
      </w:tr>
    </w:tbl>
    <w:p w14:paraId="4F4F2132" w14:textId="77777777" w:rsidR="008012B9" w:rsidRDefault="008012B9" w:rsidP="00F726FF">
      <w:pPr>
        <w:rPr>
          <w:rFonts w:ascii="CAIXA Std Book" w:hAnsi="CAIXA Std Book"/>
          <w:color w:val="005CA9"/>
          <w:sz w:val="16"/>
          <w:szCs w:val="16"/>
        </w:rPr>
      </w:pPr>
    </w:p>
    <w:tbl>
      <w:tblPr>
        <w:tblW w:w="5000" w:type="pct"/>
        <w:tblCellMar>
          <w:left w:w="70" w:type="dxa"/>
          <w:right w:w="70" w:type="dxa"/>
        </w:tblCellMar>
        <w:tblLook w:val="04A0" w:firstRow="1" w:lastRow="0" w:firstColumn="1" w:lastColumn="0" w:noHBand="0" w:noVBand="1"/>
      </w:tblPr>
      <w:tblGrid>
        <w:gridCol w:w="2556"/>
        <w:gridCol w:w="1111"/>
        <w:gridCol w:w="1008"/>
        <w:gridCol w:w="1110"/>
        <w:gridCol w:w="909"/>
        <w:gridCol w:w="897"/>
        <w:gridCol w:w="909"/>
        <w:gridCol w:w="909"/>
        <w:gridCol w:w="959"/>
        <w:gridCol w:w="982"/>
        <w:gridCol w:w="1110"/>
        <w:gridCol w:w="1008"/>
        <w:gridCol w:w="1101"/>
      </w:tblGrid>
      <w:tr w:rsidR="00805005" w:rsidRPr="001C65D8" w14:paraId="331DD87B" w14:textId="77777777" w:rsidTr="004738D9">
        <w:trPr>
          <w:trHeight w:val="238"/>
        </w:trPr>
        <w:tc>
          <w:tcPr>
            <w:tcW w:w="5000" w:type="pct"/>
            <w:gridSpan w:val="13"/>
            <w:tcBorders>
              <w:top w:val="nil"/>
              <w:left w:val="nil"/>
              <w:bottom w:val="single" w:sz="4" w:space="0" w:color="FFFFFF" w:themeColor="background1"/>
              <w:right w:val="nil"/>
            </w:tcBorders>
            <w:shd w:val="clear" w:color="000000" w:fill="005CA9"/>
            <w:vAlign w:val="center"/>
            <w:hideMark/>
          </w:tcPr>
          <w:p w14:paraId="462FCED0" w14:textId="77777777" w:rsidR="00671D40" w:rsidRPr="001C65D8" w:rsidRDefault="00671D40" w:rsidP="00671D40">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Individual  </w:t>
            </w:r>
          </w:p>
        </w:tc>
      </w:tr>
      <w:tr w:rsidR="00805005" w:rsidRPr="001C65D8" w14:paraId="6B5FBA02" w14:textId="77777777" w:rsidTr="004738D9">
        <w:trPr>
          <w:trHeight w:val="238"/>
        </w:trPr>
        <w:tc>
          <w:tcPr>
            <w:tcW w:w="5000" w:type="pct"/>
            <w:gridSpan w:val="13"/>
            <w:tcBorders>
              <w:top w:val="single" w:sz="4" w:space="0" w:color="FFFFFF" w:themeColor="background1"/>
              <w:left w:val="nil"/>
              <w:bottom w:val="single" w:sz="4" w:space="0" w:color="FFFFFF" w:themeColor="background1"/>
              <w:right w:val="nil"/>
            </w:tcBorders>
            <w:shd w:val="clear" w:color="000000" w:fill="005CA9"/>
            <w:vAlign w:val="center"/>
            <w:hideMark/>
          </w:tcPr>
          <w:p w14:paraId="1B06B523" w14:textId="77777777" w:rsidR="00671D40" w:rsidRPr="001C65D8" w:rsidRDefault="00671D40" w:rsidP="00671D40">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31/12/2025</w:t>
            </w:r>
          </w:p>
        </w:tc>
      </w:tr>
      <w:tr w:rsidR="001F2583" w:rsidRPr="001C65D8" w14:paraId="55397D74" w14:textId="77777777" w:rsidTr="004738D9">
        <w:trPr>
          <w:trHeight w:val="238"/>
        </w:trPr>
        <w:tc>
          <w:tcPr>
            <w:tcW w:w="877" w:type="pct"/>
            <w:vMerge w:val="restart"/>
            <w:tcBorders>
              <w:top w:val="single" w:sz="4" w:space="0" w:color="FFFFFF" w:themeColor="background1"/>
              <w:left w:val="nil"/>
              <w:bottom w:val="single" w:sz="8" w:space="0" w:color="FFFFFF"/>
              <w:right w:val="nil"/>
            </w:tcBorders>
            <w:shd w:val="clear" w:color="000000" w:fill="005CA9"/>
            <w:vAlign w:val="center"/>
            <w:hideMark/>
          </w:tcPr>
          <w:p w14:paraId="526FC4B4" w14:textId="77777777" w:rsidR="00671D40" w:rsidRPr="001C65D8" w:rsidRDefault="00671D40" w:rsidP="00671D40">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 Descrição </w:t>
            </w:r>
          </w:p>
        </w:tc>
        <w:tc>
          <w:tcPr>
            <w:tcW w:w="1108" w:type="pct"/>
            <w:gridSpan w:val="3"/>
            <w:tcBorders>
              <w:top w:val="single" w:sz="4" w:space="0" w:color="FFFFFF" w:themeColor="background1"/>
              <w:left w:val="nil"/>
              <w:bottom w:val="single" w:sz="4" w:space="0" w:color="FFFFFF"/>
              <w:right w:val="nil"/>
            </w:tcBorders>
            <w:shd w:val="clear" w:color="000000" w:fill="005CA9"/>
            <w:vAlign w:val="center"/>
            <w:hideMark/>
          </w:tcPr>
          <w:p w14:paraId="24DA0F79" w14:textId="77777777" w:rsidR="00671D40" w:rsidRPr="001C65D8" w:rsidRDefault="00671D40" w:rsidP="00671D40">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 Estágio 1 </w:t>
            </w:r>
          </w:p>
        </w:tc>
        <w:tc>
          <w:tcPr>
            <w:tcW w:w="932" w:type="pct"/>
            <w:gridSpan w:val="3"/>
            <w:tcBorders>
              <w:top w:val="single" w:sz="4" w:space="0" w:color="FFFFFF" w:themeColor="background1"/>
              <w:left w:val="nil"/>
              <w:bottom w:val="single" w:sz="4" w:space="0" w:color="FFFFFF"/>
              <w:right w:val="nil"/>
            </w:tcBorders>
            <w:shd w:val="clear" w:color="000000" w:fill="005CA9"/>
            <w:vAlign w:val="center"/>
            <w:hideMark/>
          </w:tcPr>
          <w:p w14:paraId="5C9065E1" w14:textId="77777777" w:rsidR="00671D40" w:rsidRPr="001C65D8" w:rsidRDefault="00671D40" w:rsidP="00671D40">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 Estágio 2 </w:t>
            </w:r>
          </w:p>
        </w:tc>
        <w:tc>
          <w:tcPr>
            <w:tcW w:w="978" w:type="pct"/>
            <w:gridSpan w:val="3"/>
            <w:tcBorders>
              <w:top w:val="single" w:sz="4" w:space="0" w:color="FFFFFF" w:themeColor="background1"/>
              <w:left w:val="nil"/>
              <w:bottom w:val="single" w:sz="4" w:space="0" w:color="FFFFFF"/>
              <w:right w:val="nil"/>
            </w:tcBorders>
            <w:shd w:val="clear" w:color="000000" w:fill="005CA9"/>
            <w:vAlign w:val="center"/>
            <w:hideMark/>
          </w:tcPr>
          <w:p w14:paraId="2AA1492C" w14:textId="77777777" w:rsidR="00671D40" w:rsidRPr="001C65D8" w:rsidRDefault="00671D40" w:rsidP="00671D40">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 Estágio 3 </w:t>
            </w:r>
          </w:p>
        </w:tc>
        <w:tc>
          <w:tcPr>
            <w:tcW w:w="1105" w:type="pct"/>
            <w:gridSpan w:val="3"/>
            <w:tcBorders>
              <w:top w:val="single" w:sz="4" w:space="0" w:color="FFFFFF" w:themeColor="background1"/>
              <w:left w:val="nil"/>
              <w:bottom w:val="single" w:sz="4" w:space="0" w:color="FFFFFF"/>
              <w:right w:val="nil"/>
            </w:tcBorders>
            <w:shd w:val="clear" w:color="000000" w:fill="005CA9"/>
            <w:vAlign w:val="center"/>
            <w:hideMark/>
          </w:tcPr>
          <w:p w14:paraId="0880EE0F" w14:textId="77777777" w:rsidR="00671D40" w:rsidRPr="001C65D8" w:rsidRDefault="00671D40" w:rsidP="00671D40">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 Total </w:t>
            </w:r>
          </w:p>
        </w:tc>
      </w:tr>
      <w:tr w:rsidR="00E54693" w:rsidRPr="001C65D8" w14:paraId="65E0C80E" w14:textId="77777777" w:rsidTr="001722DD">
        <w:trPr>
          <w:trHeight w:val="238"/>
        </w:trPr>
        <w:tc>
          <w:tcPr>
            <w:tcW w:w="877" w:type="pct"/>
            <w:vMerge/>
            <w:tcBorders>
              <w:top w:val="nil"/>
              <w:left w:val="nil"/>
              <w:bottom w:val="single" w:sz="4" w:space="0" w:color="FFFFFF" w:themeColor="background1"/>
              <w:right w:val="nil"/>
            </w:tcBorders>
            <w:vAlign w:val="center"/>
            <w:hideMark/>
          </w:tcPr>
          <w:p w14:paraId="198EBA56" w14:textId="77777777" w:rsidR="00671D40" w:rsidRPr="001C65D8" w:rsidRDefault="00671D40" w:rsidP="00671D40">
            <w:pPr>
              <w:rPr>
                <w:rFonts w:ascii="CAIXA Std Book" w:eastAsia="Times New Roman" w:hAnsi="CAIXA Std Book" w:cs="Times New Roman"/>
                <w:b/>
                <w:bCs/>
                <w:color w:val="FFFFFF"/>
                <w:sz w:val="15"/>
                <w:szCs w:val="15"/>
              </w:rPr>
            </w:pPr>
          </w:p>
        </w:tc>
        <w:tc>
          <w:tcPr>
            <w:tcW w:w="381" w:type="pct"/>
            <w:tcBorders>
              <w:top w:val="nil"/>
              <w:left w:val="nil"/>
              <w:bottom w:val="single" w:sz="4" w:space="0" w:color="FFFFFF" w:themeColor="background1"/>
              <w:right w:val="nil"/>
            </w:tcBorders>
            <w:shd w:val="clear" w:color="000000" w:fill="005CA9"/>
            <w:vAlign w:val="center"/>
            <w:hideMark/>
          </w:tcPr>
          <w:p w14:paraId="138F3E00" w14:textId="77777777" w:rsidR="00671D40" w:rsidRPr="001C65D8" w:rsidRDefault="00671D40" w:rsidP="00671D40">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 Exposição </w:t>
            </w:r>
          </w:p>
        </w:tc>
        <w:tc>
          <w:tcPr>
            <w:tcW w:w="346" w:type="pct"/>
            <w:tcBorders>
              <w:top w:val="nil"/>
              <w:left w:val="nil"/>
              <w:bottom w:val="single" w:sz="4" w:space="0" w:color="FFFFFF" w:themeColor="background1"/>
              <w:right w:val="nil"/>
            </w:tcBorders>
            <w:shd w:val="clear" w:color="000000" w:fill="005CA9"/>
            <w:vAlign w:val="center"/>
            <w:hideMark/>
          </w:tcPr>
          <w:p w14:paraId="794A47C9" w14:textId="77777777" w:rsidR="00671D40" w:rsidRPr="001C65D8" w:rsidRDefault="00671D40" w:rsidP="00671D40">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 Perdas esperadas </w:t>
            </w:r>
          </w:p>
        </w:tc>
        <w:tc>
          <w:tcPr>
            <w:tcW w:w="381" w:type="pct"/>
            <w:tcBorders>
              <w:top w:val="nil"/>
              <w:left w:val="nil"/>
              <w:bottom w:val="single" w:sz="4" w:space="0" w:color="FFFFFF" w:themeColor="background1"/>
              <w:right w:val="nil"/>
            </w:tcBorders>
            <w:shd w:val="clear" w:color="000000" w:fill="005CA9"/>
            <w:vAlign w:val="center"/>
            <w:hideMark/>
          </w:tcPr>
          <w:p w14:paraId="31B0D64B" w14:textId="77777777" w:rsidR="00671D40" w:rsidRPr="001C65D8" w:rsidRDefault="00671D40" w:rsidP="00671D40">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 Exposição líquida de perdas </w:t>
            </w:r>
          </w:p>
        </w:tc>
        <w:tc>
          <w:tcPr>
            <w:tcW w:w="312" w:type="pct"/>
            <w:tcBorders>
              <w:top w:val="nil"/>
              <w:left w:val="nil"/>
              <w:bottom w:val="single" w:sz="4" w:space="0" w:color="FFFFFF" w:themeColor="background1"/>
              <w:right w:val="nil"/>
            </w:tcBorders>
            <w:shd w:val="clear" w:color="000000" w:fill="005CA9"/>
            <w:vAlign w:val="center"/>
            <w:hideMark/>
          </w:tcPr>
          <w:p w14:paraId="6819C0DA" w14:textId="77777777" w:rsidR="00671D40" w:rsidRPr="001C65D8" w:rsidRDefault="00671D40" w:rsidP="00671D40">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 Exposição </w:t>
            </w:r>
          </w:p>
        </w:tc>
        <w:tc>
          <w:tcPr>
            <w:tcW w:w="308" w:type="pct"/>
            <w:tcBorders>
              <w:top w:val="nil"/>
              <w:left w:val="nil"/>
              <w:bottom w:val="single" w:sz="4" w:space="0" w:color="FFFFFF" w:themeColor="background1"/>
              <w:right w:val="nil"/>
            </w:tcBorders>
            <w:shd w:val="clear" w:color="000000" w:fill="005CA9"/>
            <w:vAlign w:val="center"/>
            <w:hideMark/>
          </w:tcPr>
          <w:p w14:paraId="3F086195" w14:textId="77777777" w:rsidR="00671D40" w:rsidRPr="001C65D8" w:rsidRDefault="00671D40" w:rsidP="00671D40">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 Perdas esperadas </w:t>
            </w:r>
          </w:p>
        </w:tc>
        <w:tc>
          <w:tcPr>
            <w:tcW w:w="312" w:type="pct"/>
            <w:tcBorders>
              <w:top w:val="nil"/>
              <w:left w:val="nil"/>
              <w:bottom w:val="single" w:sz="4" w:space="0" w:color="FFFFFF" w:themeColor="background1"/>
              <w:right w:val="nil"/>
            </w:tcBorders>
            <w:shd w:val="clear" w:color="000000" w:fill="005CA9"/>
            <w:vAlign w:val="center"/>
            <w:hideMark/>
          </w:tcPr>
          <w:p w14:paraId="3F946AAB" w14:textId="77777777" w:rsidR="00671D40" w:rsidRPr="001C65D8" w:rsidRDefault="00671D40" w:rsidP="00671D40">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 Exposição líquida de perdas </w:t>
            </w:r>
          </w:p>
        </w:tc>
        <w:tc>
          <w:tcPr>
            <w:tcW w:w="312" w:type="pct"/>
            <w:tcBorders>
              <w:top w:val="nil"/>
              <w:left w:val="nil"/>
              <w:bottom w:val="single" w:sz="4" w:space="0" w:color="FFFFFF" w:themeColor="background1"/>
              <w:right w:val="nil"/>
            </w:tcBorders>
            <w:shd w:val="clear" w:color="000000" w:fill="005CA9"/>
            <w:vAlign w:val="center"/>
            <w:hideMark/>
          </w:tcPr>
          <w:p w14:paraId="3BCCFE49" w14:textId="2A4C810D" w:rsidR="00671D40" w:rsidRPr="001C65D8" w:rsidRDefault="00671D40" w:rsidP="00671D40">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Exposição </w:t>
            </w:r>
          </w:p>
        </w:tc>
        <w:tc>
          <w:tcPr>
            <w:tcW w:w="329" w:type="pct"/>
            <w:tcBorders>
              <w:top w:val="nil"/>
              <w:left w:val="nil"/>
              <w:bottom w:val="single" w:sz="4" w:space="0" w:color="FFFFFF" w:themeColor="background1"/>
              <w:right w:val="nil"/>
            </w:tcBorders>
            <w:shd w:val="clear" w:color="000000" w:fill="005CA9"/>
            <w:vAlign w:val="center"/>
            <w:hideMark/>
          </w:tcPr>
          <w:p w14:paraId="4243FA08" w14:textId="77777777" w:rsidR="00671D40" w:rsidRPr="001C65D8" w:rsidRDefault="00671D40" w:rsidP="00671D40">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 Perdas esperadas </w:t>
            </w:r>
          </w:p>
        </w:tc>
        <w:tc>
          <w:tcPr>
            <w:tcW w:w="337" w:type="pct"/>
            <w:tcBorders>
              <w:top w:val="nil"/>
              <w:left w:val="nil"/>
              <w:bottom w:val="single" w:sz="4" w:space="0" w:color="FFFFFF" w:themeColor="background1"/>
              <w:right w:val="nil"/>
            </w:tcBorders>
            <w:shd w:val="clear" w:color="000000" w:fill="005CA9"/>
            <w:vAlign w:val="center"/>
            <w:hideMark/>
          </w:tcPr>
          <w:p w14:paraId="44DBD1A2" w14:textId="03F1E6B9" w:rsidR="00671D40" w:rsidRPr="001C65D8" w:rsidRDefault="00671D40" w:rsidP="00671D40">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Exposição líquida de perdas </w:t>
            </w:r>
          </w:p>
        </w:tc>
        <w:tc>
          <w:tcPr>
            <w:tcW w:w="381" w:type="pct"/>
            <w:tcBorders>
              <w:top w:val="nil"/>
              <w:left w:val="nil"/>
              <w:bottom w:val="single" w:sz="4" w:space="0" w:color="FFFFFF" w:themeColor="background1"/>
              <w:right w:val="nil"/>
            </w:tcBorders>
            <w:shd w:val="clear" w:color="000000" w:fill="005CA9"/>
            <w:vAlign w:val="center"/>
            <w:hideMark/>
          </w:tcPr>
          <w:p w14:paraId="40060DB1" w14:textId="77777777" w:rsidR="00671D40" w:rsidRPr="001C65D8" w:rsidRDefault="00671D40" w:rsidP="00671D40">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 Exposição </w:t>
            </w:r>
          </w:p>
        </w:tc>
        <w:tc>
          <w:tcPr>
            <w:tcW w:w="346" w:type="pct"/>
            <w:tcBorders>
              <w:top w:val="nil"/>
              <w:left w:val="nil"/>
              <w:bottom w:val="single" w:sz="4" w:space="0" w:color="FFFFFF" w:themeColor="background1"/>
              <w:right w:val="nil"/>
            </w:tcBorders>
            <w:shd w:val="clear" w:color="000000" w:fill="005CA9"/>
            <w:vAlign w:val="center"/>
            <w:hideMark/>
          </w:tcPr>
          <w:p w14:paraId="434810F9" w14:textId="77777777" w:rsidR="00671D40" w:rsidRPr="001C65D8" w:rsidRDefault="00671D40" w:rsidP="00671D40">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 Perdas esperadas </w:t>
            </w:r>
          </w:p>
        </w:tc>
        <w:tc>
          <w:tcPr>
            <w:tcW w:w="378" w:type="pct"/>
            <w:tcBorders>
              <w:top w:val="nil"/>
              <w:left w:val="nil"/>
              <w:bottom w:val="single" w:sz="4" w:space="0" w:color="FFFFFF" w:themeColor="background1"/>
              <w:right w:val="nil"/>
            </w:tcBorders>
            <w:shd w:val="clear" w:color="000000" w:fill="005CA9"/>
            <w:vAlign w:val="center"/>
            <w:hideMark/>
          </w:tcPr>
          <w:p w14:paraId="3EBFF9D9" w14:textId="77777777" w:rsidR="00671D40" w:rsidRPr="001C65D8" w:rsidRDefault="00671D40" w:rsidP="00671D40">
            <w:pPr>
              <w:jc w:val="cente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 Exposição líquida de perdas </w:t>
            </w:r>
          </w:p>
        </w:tc>
      </w:tr>
      <w:tr w:rsidR="00E54693" w:rsidRPr="001C65D8" w14:paraId="5B815140" w14:textId="77777777" w:rsidTr="001722DD">
        <w:trPr>
          <w:trHeight w:val="238"/>
        </w:trPr>
        <w:tc>
          <w:tcPr>
            <w:tcW w:w="877" w:type="pct"/>
            <w:tcBorders>
              <w:top w:val="single" w:sz="4" w:space="0" w:color="FFFFFF" w:themeColor="background1"/>
              <w:left w:val="nil"/>
              <w:bottom w:val="single" w:sz="8" w:space="0" w:color="FFFFFF"/>
              <w:right w:val="nil"/>
            </w:tcBorders>
            <w:shd w:val="clear" w:color="000000" w:fill="D0E0E3"/>
            <w:vAlign w:val="center"/>
            <w:hideMark/>
          </w:tcPr>
          <w:p w14:paraId="7B67B333" w14:textId="2A2AC4DA" w:rsidR="00671D40" w:rsidRPr="001C65D8" w:rsidRDefault="00671D40" w:rsidP="00671D40">
            <w:pPr>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 xml:space="preserve">Compromissos de empréstimos e créditos a liberar </w:t>
            </w:r>
          </w:p>
        </w:tc>
        <w:tc>
          <w:tcPr>
            <w:tcW w:w="381" w:type="pct"/>
            <w:tcBorders>
              <w:top w:val="single" w:sz="4" w:space="0" w:color="FFFFFF" w:themeColor="background1"/>
              <w:left w:val="nil"/>
              <w:bottom w:val="single" w:sz="8" w:space="0" w:color="FFFFFF"/>
              <w:right w:val="nil"/>
            </w:tcBorders>
            <w:shd w:val="clear" w:color="000000" w:fill="D0E0E3"/>
            <w:noWrap/>
            <w:vAlign w:val="center"/>
            <w:hideMark/>
          </w:tcPr>
          <w:p w14:paraId="54529DDE" w14:textId="67CB8212"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164.518.511</w:t>
            </w:r>
          </w:p>
        </w:tc>
        <w:tc>
          <w:tcPr>
            <w:tcW w:w="346" w:type="pct"/>
            <w:tcBorders>
              <w:top w:val="single" w:sz="4" w:space="0" w:color="FFFFFF" w:themeColor="background1"/>
              <w:left w:val="nil"/>
              <w:bottom w:val="single" w:sz="8" w:space="0" w:color="FFFFFF"/>
              <w:right w:val="nil"/>
            </w:tcBorders>
            <w:shd w:val="clear" w:color="000000" w:fill="D0E0E3"/>
            <w:noWrap/>
            <w:vAlign w:val="center"/>
            <w:hideMark/>
          </w:tcPr>
          <w:p w14:paraId="007F2EAF" w14:textId="0549C9FB"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(734.746)</w:t>
            </w:r>
          </w:p>
        </w:tc>
        <w:tc>
          <w:tcPr>
            <w:tcW w:w="381" w:type="pct"/>
            <w:tcBorders>
              <w:top w:val="single" w:sz="4" w:space="0" w:color="FFFFFF" w:themeColor="background1"/>
              <w:left w:val="nil"/>
              <w:bottom w:val="single" w:sz="8" w:space="0" w:color="FFFFFF"/>
              <w:right w:val="nil"/>
            </w:tcBorders>
            <w:shd w:val="clear" w:color="000000" w:fill="D0E0E3"/>
            <w:noWrap/>
            <w:vAlign w:val="center"/>
            <w:hideMark/>
          </w:tcPr>
          <w:p w14:paraId="2A2EABAB" w14:textId="08C9C6CA"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163.783.765</w:t>
            </w:r>
          </w:p>
        </w:tc>
        <w:tc>
          <w:tcPr>
            <w:tcW w:w="312" w:type="pct"/>
            <w:tcBorders>
              <w:top w:val="single" w:sz="4" w:space="0" w:color="FFFFFF" w:themeColor="background1"/>
              <w:left w:val="nil"/>
              <w:bottom w:val="single" w:sz="8" w:space="0" w:color="FFFFFF"/>
              <w:right w:val="nil"/>
            </w:tcBorders>
            <w:shd w:val="clear" w:color="000000" w:fill="D0E0E3"/>
            <w:noWrap/>
            <w:vAlign w:val="center"/>
            <w:hideMark/>
          </w:tcPr>
          <w:p w14:paraId="5B7C8C86" w14:textId="732B8C78"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832.399</w:t>
            </w:r>
          </w:p>
        </w:tc>
        <w:tc>
          <w:tcPr>
            <w:tcW w:w="308" w:type="pct"/>
            <w:tcBorders>
              <w:top w:val="single" w:sz="4" w:space="0" w:color="FFFFFF" w:themeColor="background1"/>
              <w:left w:val="nil"/>
              <w:bottom w:val="single" w:sz="8" w:space="0" w:color="FFFFFF"/>
              <w:right w:val="nil"/>
            </w:tcBorders>
            <w:shd w:val="clear" w:color="000000" w:fill="D0E0E3"/>
            <w:noWrap/>
            <w:vAlign w:val="center"/>
            <w:hideMark/>
          </w:tcPr>
          <w:p w14:paraId="5427C802" w14:textId="68B8CE34"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(281.405)</w:t>
            </w:r>
          </w:p>
        </w:tc>
        <w:tc>
          <w:tcPr>
            <w:tcW w:w="312" w:type="pct"/>
            <w:tcBorders>
              <w:top w:val="single" w:sz="4" w:space="0" w:color="FFFFFF" w:themeColor="background1"/>
              <w:left w:val="nil"/>
              <w:bottom w:val="single" w:sz="8" w:space="0" w:color="FFFFFF"/>
              <w:right w:val="nil"/>
            </w:tcBorders>
            <w:shd w:val="clear" w:color="000000" w:fill="D0E0E3"/>
            <w:noWrap/>
            <w:vAlign w:val="center"/>
            <w:hideMark/>
          </w:tcPr>
          <w:p w14:paraId="1530D649" w14:textId="604985E9"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550.994</w:t>
            </w:r>
          </w:p>
        </w:tc>
        <w:tc>
          <w:tcPr>
            <w:tcW w:w="312" w:type="pct"/>
            <w:tcBorders>
              <w:top w:val="single" w:sz="4" w:space="0" w:color="FFFFFF" w:themeColor="background1"/>
              <w:left w:val="nil"/>
              <w:bottom w:val="single" w:sz="8" w:space="0" w:color="FFFFFF"/>
              <w:right w:val="nil"/>
            </w:tcBorders>
            <w:shd w:val="clear" w:color="000000" w:fill="D0E0E3"/>
            <w:noWrap/>
            <w:vAlign w:val="center"/>
            <w:hideMark/>
          </w:tcPr>
          <w:p w14:paraId="0D997508" w14:textId="30703138"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758.732</w:t>
            </w:r>
          </w:p>
        </w:tc>
        <w:tc>
          <w:tcPr>
            <w:tcW w:w="329" w:type="pct"/>
            <w:tcBorders>
              <w:top w:val="single" w:sz="4" w:space="0" w:color="FFFFFF" w:themeColor="background1"/>
              <w:left w:val="nil"/>
              <w:bottom w:val="single" w:sz="8" w:space="0" w:color="FFFFFF"/>
              <w:right w:val="nil"/>
            </w:tcBorders>
            <w:shd w:val="clear" w:color="000000" w:fill="D0E0E3"/>
            <w:noWrap/>
            <w:vAlign w:val="center"/>
            <w:hideMark/>
          </w:tcPr>
          <w:p w14:paraId="532B6475" w14:textId="5B1CF035"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(696.582)</w:t>
            </w:r>
          </w:p>
        </w:tc>
        <w:tc>
          <w:tcPr>
            <w:tcW w:w="337" w:type="pct"/>
            <w:tcBorders>
              <w:top w:val="single" w:sz="4" w:space="0" w:color="FFFFFF" w:themeColor="background1"/>
              <w:left w:val="nil"/>
              <w:bottom w:val="single" w:sz="8" w:space="0" w:color="FFFFFF"/>
              <w:right w:val="nil"/>
            </w:tcBorders>
            <w:shd w:val="clear" w:color="000000" w:fill="D0E0E3"/>
            <w:noWrap/>
            <w:vAlign w:val="center"/>
            <w:hideMark/>
          </w:tcPr>
          <w:p w14:paraId="42B9D151" w14:textId="5117351A"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62.150</w:t>
            </w:r>
          </w:p>
        </w:tc>
        <w:tc>
          <w:tcPr>
            <w:tcW w:w="381" w:type="pct"/>
            <w:tcBorders>
              <w:top w:val="single" w:sz="4" w:space="0" w:color="FFFFFF" w:themeColor="background1"/>
              <w:left w:val="nil"/>
              <w:bottom w:val="single" w:sz="8" w:space="0" w:color="FFFFFF"/>
              <w:right w:val="nil"/>
            </w:tcBorders>
            <w:shd w:val="clear" w:color="000000" w:fill="D0E0E3"/>
            <w:noWrap/>
            <w:vAlign w:val="center"/>
            <w:hideMark/>
          </w:tcPr>
          <w:p w14:paraId="6D9FF115" w14:textId="45D23754"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166.109.642</w:t>
            </w:r>
          </w:p>
        </w:tc>
        <w:tc>
          <w:tcPr>
            <w:tcW w:w="346" w:type="pct"/>
            <w:tcBorders>
              <w:top w:val="single" w:sz="4" w:space="0" w:color="FFFFFF" w:themeColor="background1"/>
              <w:left w:val="nil"/>
              <w:bottom w:val="single" w:sz="8" w:space="0" w:color="FFFFFF"/>
              <w:right w:val="nil"/>
            </w:tcBorders>
            <w:shd w:val="clear" w:color="000000" w:fill="D0E0E3"/>
            <w:noWrap/>
            <w:vAlign w:val="center"/>
            <w:hideMark/>
          </w:tcPr>
          <w:p w14:paraId="2BF0989C" w14:textId="2CA16A03"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(1.712.733)</w:t>
            </w:r>
          </w:p>
        </w:tc>
        <w:tc>
          <w:tcPr>
            <w:tcW w:w="378" w:type="pct"/>
            <w:tcBorders>
              <w:top w:val="single" w:sz="4" w:space="0" w:color="FFFFFF" w:themeColor="background1"/>
              <w:left w:val="nil"/>
              <w:bottom w:val="single" w:sz="8" w:space="0" w:color="FFFFFF"/>
              <w:right w:val="nil"/>
            </w:tcBorders>
            <w:shd w:val="clear" w:color="000000" w:fill="D0E0E3"/>
            <w:noWrap/>
            <w:vAlign w:val="center"/>
            <w:hideMark/>
          </w:tcPr>
          <w:p w14:paraId="481B5464" w14:textId="2F380C97"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164.396.909</w:t>
            </w:r>
          </w:p>
        </w:tc>
      </w:tr>
      <w:tr w:rsidR="00E54693" w:rsidRPr="001C65D8" w14:paraId="64970E30" w14:textId="77777777" w:rsidTr="004738D9">
        <w:trPr>
          <w:trHeight w:val="238"/>
        </w:trPr>
        <w:tc>
          <w:tcPr>
            <w:tcW w:w="877" w:type="pct"/>
            <w:tcBorders>
              <w:top w:val="nil"/>
              <w:left w:val="nil"/>
              <w:bottom w:val="nil"/>
              <w:right w:val="nil"/>
            </w:tcBorders>
            <w:shd w:val="clear" w:color="000000" w:fill="D0E0E3"/>
            <w:noWrap/>
            <w:vAlign w:val="center"/>
            <w:hideMark/>
          </w:tcPr>
          <w:p w14:paraId="0B16E4B0" w14:textId="77777777" w:rsidR="00671D40" w:rsidRPr="001C65D8" w:rsidRDefault="00671D40" w:rsidP="00671D40">
            <w:pPr>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 xml:space="preserve"> Garantias financeiras prestadas </w:t>
            </w:r>
          </w:p>
        </w:tc>
        <w:tc>
          <w:tcPr>
            <w:tcW w:w="381" w:type="pct"/>
            <w:tcBorders>
              <w:top w:val="nil"/>
              <w:left w:val="nil"/>
              <w:bottom w:val="nil"/>
              <w:right w:val="nil"/>
            </w:tcBorders>
            <w:shd w:val="clear" w:color="000000" w:fill="D0E0E3"/>
            <w:noWrap/>
            <w:vAlign w:val="center"/>
            <w:hideMark/>
          </w:tcPr>
          <w:p w14:paraId="084FDEA6" w14:textId="00F01F24"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47.053.970</w:t>
            </w:r>
          </w:p>
        </w:tc>
        <w:tc>
          <w:tcPr>
            <w:tcW w:w="346" w:type="pct"/>
            <w:tcBorders>
              <w:top w:val="nil"/>
              <w:left w:val="nil"/>
              <w:bottom w:val="nil"/>
              <w:right w:val="nil"/>
            </w:tcBorders>
            <w:shd w:val="clear" w:color="000000" w:fill="D0E0E3"/>
            <w:noWrap/>
            <w:vAlign w:val="center"/>
            <w:hideMark/>
          </w:tcPr>
          <w:p w14:paraId="7B1D4E4F" w14:textId="16E76287"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(399.343)</w:t>
            </w:r>
          </w:p>
        </w:tc>
        <w:tc>
          <w:tcPr>
            <w:tcW w:w="381" w:type="pct"/>
            <w:tcBorders>
              <w:top w:val="nil"/>
              <w:left w:val="nil"/>
              <w:bottom w:val="nil"/>
              <w:right w:val="nil"/>
            </w:tcBorders>
            <w:shd w:val="clear" w:color="000000" w:fill="D0E0E3"/>
            <w:noWrap/>
            <w:vAlign w:val="center"/>
            <w:hideMark/>
          </w:tcPr>
          <w:p w14:paraId="2E521BE5" w14:textId="46C125E3"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46.654.627</w:t>
            </w:r>
          </w:p>
        </w:tc>
        <w:tc>
          <w:tcPr>
            <w:tcW w:w="312" w:type="pct"/>
            <w:tcBorders>
              <w:top w:val="nil"/>
              <w:left w:val="nil"/>
              <w:bottom w:val="nil"/>
              <w:right w:val="nil"/>
            </w:tcBorders>
            <w:shd w:val="clear" w:color="000000" w:fill="D0E0E3"/>
            <w:noWrap/>
            <w:vAlign w:val="center"/>
            <w:hideMark/>
          </w:tcPr>
          <w:p w14:paraId="1F04E8F3" w14:textId="332C5C70"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1.704.592</w:t>
            </w:r>
          </w:p>
        </w:tc>
        <w:tc>
          <w:tcPr>
            <w:tcW w:w="308" w:type="pct"/>
            <w:tcBorders>
              <w:top w:val="nil"/>
              <w:left w:val="nil"/>
              <w:bottom w:val="nil"/>
              <w:right w:val="nil"/>
            </w:tcBorders>
            <w:shd w:val="clear" w:color="000000" w:fill="D0E0E3"/>
            <w:noWrap/>
            <w:vAlign w:val="center"/>
            <w:hideMark/>
          </w:tcPr>
          <w:p w14:paraId="1A697411" w14:textId="47E2FE58"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(470.109)</w:t>
            </w:r>
          </w:p>
        </w:tc>
        <w:tc>
          <w:tcPr>
            <w:tcW w:w="312" w:type="pct"/>
            <w:tcBorders>
              <w:top w:val="nil"/>
              <w:left w:val="nil"/>
              <w:bottom w:val="nil"/>
              <w:right w:val="nil"/>
            </w:tcBorders>
            <w:shd w:val="clear" w:color="000000" w:fill="D0E0E3"/>
            <w:noWrap/>
            <w:vAlign w:val="center"/>
            <w:hideMark/>
          </w:tcPr>
          <w:p w14:paraId="5A967615" w14:textId="5724477C"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1.234.483</w:t>
            </w:r>
          </w:p>
        </w:tc>
        <w:tc>
          <w:tcPr>
            <w:tcW w:w="312" w:type="pct"/>
            <w:tcBorders>
              <w:top w:val="nil"/>
              <w:left w:val="nil"/>
              <w:bottom w:val="nil"/>
              <w:right w:val="nil"/>
            </w:tcBorders>
            <w:shd w:val="clear" w:color="000000" w:fill="D0E0E3"/>
            <w:noWrap/>
            <w:vAlign w:val="center"/>
            <w:hideMark/>
          </w:tcPr>
          <w:p w14:paraId="593CEF86" w14:textId="5035C435"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531.572</w:t>
            </w:r>
          </w:p>
        </w:tc>
        <w:tc>
          <w:tcPr>
            <w:tcW w:w="329" w:type="pct"/>
            <w:tcBorders>
              <w:top w:val="nil"/>
              <w:left w:val="nil"/>
              <w:bottom w:val="nil"/>
              <w:right w:val="nil"/>
            </w:tcBorders>
            <w:shd w:val="clear" w:color="000000" w:fill="D0E0E3"/>
            <w:noWrap/>
            <w:vAlign w:val="center"/>
            <w:hideMark/>
          </w:tcPr>
          <w:p w14:paraId="11BDD71A" w14:textId="39B51832"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(483.158)</w:t>
            </w:r>
          </w:p>
        </w:tc>
        <w:tc>
          <w:tcPr>
            <w:tcW w:w="337" w:type="pct"/>
            <w:tcBorders>
              <w:top w:val="nil"/>
              <w:left w:val="nil"/>
              <w:bottom w:val="nil"/>
              <w:right w:val="nil"/>
            </w:tcBorders>
            <w:shd w:val="clear" w:color="000000" w:fill="D0E0E3"/>
            <w:noWrap/>
            <w:vAlign w:val="center"/>
            <w:hideMark/>
          </w:tcPr>
          <w:p w14:paraId="3AF1B7BE" w14:textId="20639A9A"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48.414</w:t>
            </w:r>
          </w:p>
        </w:tc>
        <w:tc>
          <w:tcPr>
            <w:tcW w:w="381" w:type="pct"/>
            <w:tcBorders>
              <w:top w:val="nil"/>
              <w:left w:val="nil"/>
              <w:bottom w:val="nil"/>
              <w:right w:val="nil"/>
            </w:tcBorders>
            <w:shd w:val="clear" w:color="000000" w:fill="D0E0E3"/>
            <w:noWrap/>
            <w:vAlign w:val="center"/>
            <w:hideMark/>
          </w:tcPr>
          <w:p w14:paraId="6622CFCF" w14:textId="24442DA2"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49.290.134</w:t>
            </w:r>
          </w:p>
        </w:tc>
        <w:tc>
          <w:tcPr>
            <w:tcW w:w="346" w:type="pct"/>
            <w:tcBorders>
              <w:top w:val="nil"/>
              <w:left w:val="nil"/>
              <w:bottom w:val="nil"/>
              <w:right w:val="nil"/>
            </w:tcBorders>
            <w:shd w:val="clear" w:color="000000" w:fill="D0E0E3"/>
            <w:noWrap/>
            <w:vAlign w:val="center"/>
            <w:hideMark/>
          </w:tcPr>
          <w:p w14:paraId="608B2598" w14:textId="669757AC"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(1.352.610)</w:t>
            </w:r>
          </w:p>
        </w:tc>
        <w:tc>
          <w:tcPr>
            <w:tcW w:w="378" w:type="pct"/>
            <w:tcBorders>
              <w:top w:val="nil"/>
              <w:left w:val="nil"/>
              <w:bottom w:val="nil"/>
              <w:right w:val="nil"/>
            </w:tcBorders>
            <w:shd w:val="clear" w:color="000000" w:fill="D0E0E3"/>
            <w:noWrap/>
            <w:vAlign w:val="center"/>
            <w:hideMark/>
          </w:tcPr>
          <w:p w14:paraId="552E198D" w14:textId="66C9FB7C" w:rsidR="00671D40" w:rsidRPr="001C65D8" w:rsidRDefault="00671D40" w:rsidP="00671D40">
            <w:pPr>
              <w:jc w:val="right"/>
              <w:rPr>
                <w:rFonts w:ascii="CAIXA Std Book" w:eastAsia="Times New Roman" w:hAnsi="CAIXA Std Book" w:cs="Times New Roman"/>
                <w:b/>
                <w:bCs/>
                <w:color w:val="005CA9"/>
                <w:sz w:val="15"/>
                <w:szCs w:val="15"/>
              </w:rPr>
            </w:pPr>
            <w:r w:rsidRPr="001C65D8">
              <w:rPr>
                <w:rFonts w:ascii="CAIXA Std Book" w:eastAsia="Times New Roman" w:hAnsi="CAIXA Std Book" w:cs="Times New Roman"/>
                <w:b/>
                <w:bCs/>
                <w:color w:val="005CA9"/>
                <w:sz w:val="15"/>
                <w:szCs w:val="15"/>
              </w:rPr>
              <w:t>47.937.524</w:t>
            </w:r>
          </w:p>
        </w:tc>
      </w:tr>
      <w:tr w:rsidR="00E54693" w:rsidRPr="001C65D8" w14:paraId="4F09CFC2" w14:textId="77777777" w:rsidTr="004738D9">
        <w:trPr>
          <w:trHeight w:val="238"/>
        </w:trPr>
        <w:tc>
          <w:tcPr>
            <w:tcW w:w="877" w:type="pct"/>
            <w:tcBorders>
              <w:top w:val="nil"/>
              <w:left w:val="nil"/>
              <w:bottom w:val="nil"/>
              <w:right w:val="nil"/>
            </w:tcBorders>
            <w:vAlign w:val="center"/>
            <w:hideMark/>
          </w:tcPr>
          <w:p w14:paraId="12082AB8" w14:textId="77777777" w:rsidR="00671D40" w:rsidRPr="001C65D8" w:rsidRDefault="00671D40" w:rsidP="00671D40">
            <w:pPr>
              <w:ind w:firstLineChars="100" w:firstLine="150"/>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 xml:space="preserve"> Repasses - Entidades </w:t>
            </w:r>
          </w:p>
        </w:tc>
        <w:tc>
          <w:tcPr>
            <w:tcW w:w="381" w:type="pct"/>
            <w:tcBorders>
              <w:top w:val="nil"/>
              <w:left w:val="nil"/>
              <w:bottom w:val="nil"/>
              <w:right w:val="nil"/>
            </w:tcBorders>
            <w:shd w:val="clear" w:color="000000" w:fill="FFFFFF"/>
            <w:vAlign w:val="center"/>
            <w:hideMark/>
          </w:tcPr>
          <w:p w14:paraId="5E5BA22B" w14:textId="5E522017"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31.795.702</w:t>
            </w:r>
          </w:p>
        </w:tc>
        <w:tc>
          <w:tcPr>
            <w:tcW w:w="346" w:type="pct"/>
            <w:tcBorders>
              <w:top w:val="nil"/>
              <w:left w:val="nil"/>
              <w:bottom w:val="nil"/>
              <w:right w:val="nil"/>
            </w:tcBorders>
            <w:shd w:val="clear" w:color="000000" w:fill="FFFFFF"/>
            <w:vAlign w:val="center"/>
            <w:hideMark/>
          </w:tcPr>
          <w:p w14:paraId="7C6936D7" w14:textId="0FA5EB00"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(67)</w:t>
            </w:r>
          </w:p>
        </w:tc>
        <w:tc>
          <w:tcPr>
            <w:tcW w:w="381" w:type="pct"/>
            <w:tcBorders>
              <w:top w:val="nil"/>
              <w:left w:val="nil"/>
              <w:bottom w:val="nil"/>
              <w:right w:val="nil"/>
            </w:tcBorders>
            <w:shd w:val="clear" w:color="000000" w:fill="FFFFFF"/>
            <w:vAlign w:val="center"/>
            <w:hideMark/>
          </w:tcPr>
          <w:p w14:paraId="6B69D388" w14:textId="6D634BE1"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31.795.635</w:t>
            </w:r>
          </w:p>
        </w:tc>
        <w:tc>
          <w:tcPr>
            <w:tcW w:w="312" w:type="pct"/>
            <w:tcBorders>
              <w:top w:val="nil"/>
              <w:left w:val="nil"/>
              <w:bottom w:val="nil"/>
              <w:right w:val="nil"/>
            </w:tcBorders>
            <w:shd w:val="clear" w:color="000000" w:fill="FFFFFF"/>
            <w:vAlign w:val="center"/>
            <w:hideMark/>
          </w:tcPr>
          <w:p w14:paraId="55E50B4E" w14:textId="0E07AB90" w:rsidR="00671D40" w:rsidRPr="001C65D8" w:rsidRDefault="00671D40" w:rsidP="000A59DF">
            <w:pPr>
              <w:jc w:val="center"/>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w:t>
            </w:r>
          </w:p>
        </w:tc>
        <w:tc>
          <w:tcPr>
            <w:tcW w:w="308" w:type="pct"/>
            <w:tcBorders>
              <w:top w:val="nil"/>
              <w:left w:val="nil"/>
              <w:bottom w:val="nil"/>
              <w:right w:val="nil"/>
            </w:tcBorders>
            <w:shd w:val="clear" w:color="000000" w:fill="FFFFFF"/>
            <w:vAlign w:val="center"/>
            <w:hideMark/>
          </w:tcPr>
          <w:p w14:paraId="4EEF95C3" w14:textId="513070C0" w:rsidR="00671D40" w:rsidRPr="001C65D8" w:rsidRDefault="00671D40" w:rsidP="000A59DF">
            <w:pPr>
              <w:jc w:val="center"/>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w:t>
            </w:r>
          </w:p>
        </w:tc>
        <w:tc>
          <w:tcPr>
            <w:tcW w:w="312" w:type="pct"/>
            <w:tcBorders>
              <w:top w:val="nil"/>
              <w:left w:val="nil"/>
              <w:bottom w:val="nil"/>
              <w:right w:val="nil"/>
            </w:tcBorders>
            <w:shd w:val="clear" w:color="000000" w:fill="FFFFFF"/>
            <w:vAlign w:val="center"/>
            <w:hideMark/>
          </w:tcPr>
          <w:p w14:paraId="58513F4B" w14:textId="39493D61" w:rsidR="00671D40" w:rsidRPr="001C65D8" w:rsidRDefault="00671D40" w:rsidP="000A59DF">
            <w:pPr>
              <w:jc w:val="center"/>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w:t>
            </w:r>
          </w:p>
        </w:tc>
        <w:tc>
          <w:tcPr>
            <w:tcW w:w="312" w:type="pct"/>
            <w:tcBorders>
              <w:top w:val="nil"/>
              <w:left w:val="nil"/>
              <w:bottom w:val="nil"/>
              <w:right w:val="nil"/>
            </w:tcBorders>
            <w:shd w:val="clear" w:color="000000" w:fill="FFFFFF"/>
            <w:vAlign w:val="center"/>
            <w:hideMark/>
          </w:tcPr>
          <w:p w14:paraId="3FF5F7D6" w14:textId="15837E54"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19.931</w:t>
            </w:r>
          </w:p>
        </w:tc>
        <w:tc>
          <w:tcPr>
            <w:tcW w:w="329" w:type="pct"/>
            <w:tcBorders>
              <w:top w:val="nil"/>
              <w:left w:val="nil"/>
              <w:bottom w:val="nil"/>
              <w:right w:val="nil"/>
            </w:tcBorders>
            <w:shd w:val="clear" w:color="000000" w:fill="FFFFFF"/>
            <w:vAlign w:val="center"/>
            <w:hideMark/>
          </w:tcPr>
          <w:p w14:paraId="5A31B38B" w14:textId="70920A38"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(19.931)</w:t>
            </w:r>
          </w:p>
        </w:tc>
        <w:tc>
          <w:tcPr>
            <w:tcW w:w="337" w:type="pct"/>
            <w:tcBorders>
              <w:top w:val="nil"/>
              <w:left w:val="nil"/>
              <w:bottom w:val="nil"/>
              <w:right w:val="nil"/>
            </w:tcBorders>
            <w:shd w:val="clear" w:color="000000" w:fill="FFFFFF"/>
            <w:vAlign w:val="center"/>
            <w:hideMark/>
          </w:tcPr>
          <w:p w14:paraId="3FC1BD6D" w14:textId="3956EDAE" w:rsidR="00671D40" w:rsidRPr="001C65D8" w:rsidRDefault="00671D40" w:rsidP="000A59DF">
            <w:pPr>
              <w:jc w:val="center"/>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w:t>
            </w:r>
          </w:p>
        </w:tc>
        <w:tc>
          <w:tcPr>
            <w:tcW w:w="381" w:type="pct"/>
            <w:tcBorders>
              <w:top w:val="nil"/>
              <w:left w:val="nil"/>
              <w:bottom w:val="nil"/>
              <w:right w:val="nil"/>
            </w:tcBorders>
            <w:shd w:val="clear" w:color="000000" w:fill="FFFFFF"/>
            <w:vAlign w:val="center"/>
            <w:hideMark/>
          </w:tcPr>
          <w:p w14:paraId="068CE7F3" w14:textId="41A8D447"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31.815.633</w:t>
            </w:r>
          </w:p>
        </w:tc>
        <w:tc>
          <w:tcPr>
            <w:tcW w:w="346" w:type="pct"/>
            <w:tcBorders>
              <w:top w:val="nil"/>
              <w:left w:val="nil"/>
              <w:bottom w:val="nil"/>
              <w:right w:val="nil"/>
            </w:tcBorders>
            <w:shd w:val="clear" w:color="000000" w:fill="FFFFFF"/>
            <w:vAlign w:val="center"/>
            <w:hideMark/>
          </w:tcPr>
          <w:p w14:paraId="66AB1796" w14:textId="04E486BB"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(19.998)</w:t>
            </w:r>
          </w:p>
        </w:tc>
        <w:tc>
          <w:tcPr>
            <w:tcW w:w="378" w:type="pct"/>
            <w:tcBorders>
              <w:top w:val="nil"/>
              <w:left w:val="nil"/>
              <w:bottom w:val="nil"/>
              <w:right w:val="nil"/>
            </w:tcBorders>
            <w:shd w:val="clear" w:color="000000" w:fill="FFFFFF"/>
            <w:vAlign w:val="center"/>
            <w:hideMark/>
          </w:tcPr>
          <w:p w14:paraId="4CB4CC2E" w14:textId="0D850FA3"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31.795.635</w:t>
            </w:r>
          </w:p>
        </w:tc>
      </w:tr>
      <w:tr w:rsidR="00E54693" w:rsidRPr="001C65D8" w14:paraId="4681F792" w14:textId="77777777" w:rsidTr="004738D9">
        <w:trPr>
          <w:trHeight w:val="238"/>
        </w:trPr>
        <w:tc>
          <w:tcPr>
            <w:tcW w:w="877" w:type="pct"/>
            <w:tcBorders>
              <w:top w:val="nil"/>
              <w:left w:val="nil"/>
              <w:bottom w:val="nil"/>
              <w:right w:val="nil"/>
            </w:tcBorders>
            <w:vAlign w:val="center"/>
            <w:hideMark/>
          </w:tcPr>
          <w:p w14:paraId="46743784" w14:textId="77777777" w:rsidR="00671D40" w:rsidRPr="001C65D8" w:rsidRDefault="00671D40" w:rsidP="00671D40">
            <w:pPr>
              <w:ind w:firstLineChars="100" w:firstLine="150"/>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 xml:space="preserve"> FIES </w:t>
            </w:r>
          </w:p>
        </w:tc>
        <w:tc>
          <w:tcPr>
            <w:tcW w:w="381" w:type="pct"/>
            <w:tcBorders>
              <w:top w:val="nil"/>
              <w:left w:val="nil"/>
              <w:bottom w:val="nil"/>
              <w:right w:val="nil"/>
            </w:tcBorders>
            <w:shd w:val="clear" w:color="000000" w:fill="FFFFFF"/>
            <w:vAlign w:val="center"/>
            <w:hideMark/>
          </w:tcPr>
          <w:p w14:paraId="7382AE53" w14:textId="47A5C7CC"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59.677</w:t>
            </w:r>
          </w:p>
        </w:tc>
        <w:tc>
          <w:tcPr>
            <w:tcW w:w="346" w:type="pct"/>
            <w:tcBorders>
              <w:top w:val="nil"/>
              <w:left w:val="nil"/>
              <w:bottom w:val="nil"/>
              <w:right w:val="nil"/>
            </w:tcBorders>
            <w:shd w:val="clear" w:color="000000" w:fill="FFFFFF"/>
            <w:vAlign w:val="center"/>
            <w:hideMark/>
          </w:tcPr>
          <w:p w14:paraId="77668B27" w14:textId="3DEEBBD2"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(1.349)</w:t>
            </w:r>
          </w:p>
        </w:tc>
        <w:tc>
          <w:tcPr>
            <w:tcW w:w="381" w:type="pct"/>
            <w:tcBorders>
              <w:top w:val="nil"/>
              <w:left w:val="nil"/>
              <w:bottom w:val="nil"/>
              <w:right w:val="nil"/>
            </w:tcBorders>
            <w:shd w:val="clear" w:color="000000" w:fill="FFFFFF"/>
            <w:vAlign w:val="center"/>
            <w:hideMark/>
          </w:tcPr>
          <w:p w14:paraId="33F551AD" w14:textId="71817B8F"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58.328</w:t>
            </w:r>
          </w:p>
        </w:tc>
        <w:tc>
          <w:tcPr>
            <w:tcW w:w="312" w:type="pct"/>
            <w:tcBorders>
              <w:top w:val="nil"/>
              <w:left w:val="nil"/>
              <w:bottom w:val="nil"/>
              <w:right w:val="nil"/>
            </w:tcBorders>
            <w:shd w:val="clear" w:color="000000" w:fill="FFFFFF"/>
            <w:vAlign w:val="center"/>
            <w:hideMark/>
          </w:tcPr>
          <w:p w14:paraId="654B3316" w14:textId="0A8A1F26"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6.715</w:t>
            </w:r>
          </w:p>
        </w:tc>
        <w:tc>
          <w:tcPr>
            <w:tcW w:w="308" w:type="pct"/>
            <w:tcBorders>
              <w:top w:val="nil"/>
              <w:left w:val="nil"/>
              <w:bottom w:val="nil"/>
              <w:right w:val="nil"/>
            </w:tcBorders>
            <w:shd w:val="clear" w:color="000000" w:fill="FFFFFF"/>
            <w:vAlign w:val="center"/>
            <w:hideMark/>
          </w:tcPr>
          <w:p w14:paraId="10F3B9A6" w14:textId="6FD9A4C2"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(1.063)</w:t>
            </w:r>
          </w:p>
        </w:tc>
        <w:tc>
          <w:tcPr>
            <w:tcW w:w="312" w:type="pct"/>
            <w:tcBorders>
              <w:top w:val="nil"/>
              <w:left w:val="nil"/>
              <w:bottom w:val="nil"/>
              <w:right w:val="nil"/>
            </w:tcBorders>
            <w:shd w:val="clear" w:color="000000" w:fill="FFFFFF"/>
            <w:vAlign w:val="center"/>
            <w:hideMark/>
          </w:tcPr>
          <w:p w14:paraId="7125C2EF" w14:textId="0FC1649F"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5.652</w:t>
            </w:r>
          </w:p>
        </w:tc>
        <w:tc>
          <w:tcPr>
            <w:tcW w:w="312" w:type="pct"/>
            <w:tcBorders>
              <w:top w:val="nil"/>
              <w:left w:val="nil"/>
              <w:bottom w:val="nil"/>
              <w:right w:val="nil"/>
            </w:tcBorders>
            <w:shd w:val="clear" w:color="000000" w:fill="FFFFFF"/>
            <w:vAlign w:val="center"/>
            <w:hideMark/>
          </w:tcPr>
          <w:p w14:paraId="50B43C6A" w14:textId="277A8907"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22.415</w:t>
            </w:r>
          </w:p>
        </w:tc>
        <w:tc>
          <w:tcPr>
            <w:tcW w:w="329" w:type="pct"/>
            <w:tcBorders>
              <w:top w:val="nil"/>
              <w:left w:val="nil"/>
              <w:bottom w:val="nil"/>
              <w:right w:val="nil"/>
            </w:tcBorders>
            <w:shd w:val="clear" w:color="000000" w:fill="FFFFFF"/>
            <w:vAlign w:val="center"/>
            <w:hideMark/>
          </w:tcPr>
          <w:p w14:paraId="2D7E966F" w14:textId="22E7A743"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(16.119)</w:t>
            </w:r>
          </w:p>
        </w:tc>
        <w:tc>
          <w:tcPr>
            <w:tcW w:w="337" w:type="pct"/>
            <w:tcBorders>
              <w:top w:val="nil"/>
              <w:left w:val="nil"/>
              <w:bottom w:val="nil"/>
              <w:right w:val="nil"/>
            </w:tcBorders>
            <w:shd w:val="clear" w:color="000000" w:fill="FFFFFF"/>
            <w:vAlign w:val="center"/>
            <w:hideMark/>
          </w:tcPr>
          <w:p w14:paraId="6C5DF7B0" w14:textId="0703870D"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6.296</w:t>
            </w:r>
          </w:p>
        </w:tc>
        <w:tc>
          <w:tcPr>
            <w:tcW w:w="381" w:type="pct"/>
            <w:tcBorders>
              <w:top w:val="nil"/>
              <w:left w:val="nil"/>
              <w:bottom w:val="nil"/>
              <w:right w:val="nil"/>
            </w:tcBorders>
            <w:shd w:val="clear" w:color="000000" w:fill="FFFFFF"/>
            <w:vAlign w:val="center"/>
            <w:hideMark/>
          </w:tcPr>
          <w:p w14:paraId="6BF41332" w14:textId="72245B91"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88.807</w:t>
            </w:r>
          </w:p>
        </w:tc>
        <w:tc>
          <w:tcPr>
            <w:tcW w:w="346" w:type="pct"/>
            <w:tcBorders>
              <w:top w:val="nil"/>
              <w:left w:val="nil"/>
              <w:bottom w:val="nil"/>
              <w:right w:val="nil"/>
            </w:tcBorders>
            <w:shd w:val="clear" w:color="000000" w:fill="FFFFFF"/>
            <w:vAlign w:val="center"/>
            <w:hideMark/>
          </w:tcPr>
          <w:p w14:paraId="0D915389" w14:textId="77D9BC76"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(18.531)</w:t>
            </w:r>
          </w:p>
        </w:tc>
        <w:tc>
          <w:tcPr>
            <w:tcW w:w="378" w:type="pct"/>
            <w:tcBorders>
              <w:top w:val="nil"/>
              <w:left w:val="nil"/>
              <w:bottom w:val="nil"/>
              <w:right w:val="nil"/>
            </w:tcBorders>
            <w:shd w:val="clear" w:color="000000" w:fill="FFFFFF"/>
            <w:vAlign w:val="center"/>
            <w:hideMark/>
          </w:tcPr>
          <w:p w14:paraId="1B3E77AD" w14:textId="2282212F"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70.276</w:t>
            </w:r>
          </w:p>
        </w:tc>
      </w:tr>
      <w:tr w:rsidR="00E54693" w:rsidRPr="001C65D8" w14:paraId="1186EC3A" w14:textId="77777777" w:rsidTr="004738D9">
        <w:trPr>
          <w:trHeight w:val="238"/>
        </w:trPr>
        <w:tc>
          <w:tcPr>
            <w:tcW w:w="877" w:type="pct"/>
            <w:tcBorders>
              <w:top w:val="nil"/>
              <w:left w:val="nil"/>
              <w:bottom w:val="nil"/>
              <w:right w:val="nil"/>
            </w:tcBorders>
            <w:vAlign w:val="center"/>
            <w:hideMark/>
          </w:tcPr>
          <w:p w14:paraId="03038013" w14:textId="77777777" w:rsidR="00671D40" w:rsidRPr="001C65D8" w:rsidRDefault="00671D40" w:rsidP="00671D40">
            <w:pPr>
              <w:ind w:firstLineChars="100" w:firstLine="150"/>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 xml:space="preserve"> Fiança </w:t>
            </w:r>
          </w:p>
        </w:tc>
        <w:tc>
          <w:tcPr>
            <w:tcW w:w="381" w:type="pct"/>
            <w:tcBorders>
              <w:top w:val="nil"/>
              <w:left w:val="nil"/>
              <w:bottom w:val="nil"/>
              <w:right w:val="nil"/>
            </w:tcBorders>
            <w:shd w:val="clear" w:color="000000" w:fill="FFFFFF"/>
            <w:vAlign w:val="center"/>
            <w:hideMark/>
          </w:tcPr>
          <w:p w14:paraId="3854F8D3" w14:textId="5E3EB6D5" w:rsidR="00671D40" w:rsidRPr="001C65D8" w:rsidRDefault="00671D40" w:rsidP="000A59DF">
            <w:pPr>
              <w:jc w:val="center"/>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w:t>
            </w:r>
          </w:p>
        </w:tc>
        <w:tc>
          <w:tcPr>
            <w:tcW w:w="346" w:type="pct"/>
            <w:tcBorders>
              <w:top w:val="nil"/>
              <w:left w:val="nil"/>
              <w:bottom w:val="nil"/>
              <w:right w:val="nil"/>
            </w:tcBorders>
            <w:shd w:val="clear" w:color="000000" w:fill="FFFFFF"/>
            <w:vAlign w:val="center"/>
            <w:hideMark/>
          </w:tcPr>
          <w:p w14:paraId="2EDA78AB" w14:textId="361D6269" w:rsidR="00671D40" w:rsidRPr="001C65D8" w:rsidRDefault="00671D40" w:rsidP="000A59DF">
            <w:pPr>
              <w:jc w:val="center"/>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w:t>
            </w:r>
          </w:p>
        </w:tc>
        <w:tc>
          <w:tcPr>
            <w:tcW w:w="381" w:type="pct"/>
            <w:tcBorders>
              <w:top w:val="nil"/>
              <w:left w:val="nil"/>
              <w:bottom w:val="nil"/>
              <w:right w:val="nil"/>
            </w:tcBorders>
            <w:shd w:val="clear" w:color="000000" w:fill="FFFFFF"/>
            <w:vAlign w:val="center"/>
            <w:hideMark/>
          </w:tcPr>
          <w:p w14:paraId="0E540394" w14:textId="00271C53" w:rsidR="00671D40" w:rsidRPr="001C65D8" w:rsidRDefault="00671D40" w:rsidP="000A59DF">
            <w:pPr>
              <w:jc w:val="center"/>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w:t>
            </w:r>
          </w:p>
        </w:tc>
        <w:tc>
          <w:tcPr>
            <w:tcW w:w="312" w:type="pct"/>
            <w:tcBorders>
              <w:top w:val="nil"/>
              <w:left w:val="nil"/>
              <w:bottom w:val="nil"/>
              <w:right w:val="nil"/>
            </w:tcBorders>
            <w:shd w:val="clear" w:color="000000" w:fill="FFFFFF"/>
            <w:vAlign w:val="center"/>
            <w:hideMark/>
          </w:tcPr>
          <w:p w14:paraId="4819F4DF" w14:textId="1174DE2E" w:rsidR="00671D40" w:rsidRPr="001C65D8" w:rsidRDefault="00671D40" w:rsidP="000A59DF">
            <w:pPr>
              <w:jc w:val="center"/>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w:t>
            </w:r>
          </w:p>
        </w:tc>
        <w:tc>
          <w:tcPr>
            <w:tcW w:w="308" w:type="pct"/>
            <w:tcBorders>
              <w:top w:val="nil"/>
              <w:left w:val="nil"/>
              <w:bottom w:val="nil"/>
              <w:right w:val="nil"/>
            </w:tcBorders>
            <w:shd w:val="clear" w:color="000000" w:fill="FFFFFF"/>
            <w:vAlign w:val="center"/>
            <w:hideMark/>
          </w:tcPr>
          <w:p w14:paraId="26D3DA04" w14:textId="7BA663DC" w:rsidR="00671D40" w:rsidRPr="001C65D8" w:rsidRDefault="00671D40" w:rsidP="000A59DF">
            <w:pPr>
              <w:jc w:val="center"/>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w:t>
            </w:r>
          </w:p>
        </w:tc>
        <w:tc>
          <w:tcPr>
            <w:tcW w:w="312" w:type="pct"/>
            <w:tcBorders>
              <w:top w:val="nil"/>
              <w:left w:val="nil"/>
              <w:bottom w:val="nil"/>
              <w:right w:val="nil"/>
            </w:tcBorders>
            <w:shd w:val="clear" w:color="000000" w:fill="FFFFFF"/>
            <w:vAlign w:val="center"/>
            <w:hideMark/>
          </w:tcPr>
          <w:p w14:paraId="285F9E7A" w14:textId="179A2D03" w:rsidR="00671D40" w:rsidRPr="001C65D8" w:rsidRDefault="00671D40" w:rsidP="000A59DF">
            <w:pPr>
              <w:jc w:val="center"/>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w:t>
            </w:r>
          </w:p>
        </w:tc>
        <w:tc>
          <w:tcPr>
            <w:tcW w:w="312" w:type="pct"/>
            <w:tcBorders>
              <w:top w:val="nil"/>
              <w:left w:val="nil"/>
              <w:bottom w:val="nil"/>
              <w:right w:val="nil"/>
            </w:tcBorders>
            <w:shd w:val="clear" w:color="000000" w:fill="FFFFFF"/>
            <w:vAlign w:val="center"/>
            <w:hideMark/>
          </w:tcPr>
          <w:p w14:paraId="774F6BAF" w14:textId="52FE7663"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18.538</w:t>
            </w:r>
          </w:p>
        </w:tc>
        <w:tc>
          <w:tcPr>
            <w:tcW w:w="329" w:type="pct"/>
            <w:tcBorders>
              <w:top w:val="nil"/>
              <w:left w:val="nil"/>
              <w:bottom w:val="nil"/>
              <w:right w:val="nil"/>
            </w:tcBorders>
            <w:shd w:val="clear" w:color="000000" w:fill="FFFFFF"/>
            <w:vAlign w:val="center"/>
            <w:hideMark/>
          </w:tcPr>
          <w:p w14:paraId="3CE30FB6" w14:textId="071097A0"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(12.167)</w:t>
            </w:r>
          </w:p>
        </w:tc>
        <w:tc>
          <w:tcPr>
            <w:tcW w:w="337" w:type="pct"/>
            <w:tcBorders>
              <w:top w:val="nil"/>
              <w:left w:val="nil"/>
              <w:bottom w:val="nil"/>
              <w:right w:val="nil"/>
            </w:tcBorders>
            <w:shd w:val="clear" w:color="000000" w:fill="FFFFFF"/>
            <w:vAlign w:val="center"/>
            <w:hideMark/>
          </w:tcPr>
          <w:p w14:paraId="6DDE8BC3" w14:textId="29CE591A"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6.371</w:t>
            </w:r>
          </w:p>
        </w:tc>
        <w:tc>
          <w:tcPr>
            <w:tcW w:w="381" w:type="pct"/>
            <w:tcBorders>
              <w:top w:val="nil"/>
              <w:left w:val="nil"/>
              <w:bottom w:val="nil"/>
              <w:right w:val="nil"/>
            </w:tcBorders>
            <w:shd w:val="clear" w:color="000000" w:fill="FFFFFF"/>
            <w:vAlign w:val="center"/>
            <w:hideMark/>
          </w:tcPr>
          <w:p w14:paraId="0DA49F18" w14:textId="7C741AE1"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18.538</w:t>
            </w:r>
          </w:p>
        </w:tc>
        <w:tc>
          <w:tcPr>
            <w:tcW w:w="346" w:type="pct"/>
            <w:tcBorders>
              <w:top w:val="nil"/>
              <w:left w:val="nil"/>
              <w:bottom w:val="nil"/>
              <w:right w:val="nil"/>
            </w:tcBorders>
            <w:shd w:val="clear" w:color="000000" w:fill="FFFFFF"/>
            <w:vAlign w:val="center"/>
            <w:hideMark/>
          </w:tcPr>
          <w:p w14:paraId="7F781AE1" w14:textId="0D3830D6"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(12.167)</w:t>
            </w:r>
          </w:p>
        </w:tc>
        <w:tc>
          <w:tcPr>
            <w:tcW w:w="378" w:type="pct"/>
            <w:tcBorders>
              <w:top w:val="nil"/>
              <w:left w:val="nil"/>
              <w:bottom w:val="nil"/>
              <w:right w:val="nil"/>
            </w:tcBorders>
            <w:shd w:val="clear" w:color="000000" w:fill="FFFFFF"/>
            <w:vAlign w:val="center"/>
            <w:hideMark/>
          </w:tcPr>
          <w:p w14:paraId="3DAC2EA9" w14:textId="4F0455E8"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6.371</w:t>
            </w:r>
          </w:p>
        </w:tc>
      </w:tr>
      <w:tr w:rsidR="00E54693" w:rsidRPr="001C65D8" w14:paraId="196530C5" w14:textId="77777777" w:rsidTr="004738D9">
        <w:trPr>
          <w:trHeight w:val="238"/>
        </w:trPr>
        <w:tc>
          <w:tcPr>
            <w:tcW w:w="877" w:type="pct"/>
            <w:tcBorders>
              <w:top w:val="nil"/>
              <w:left w:val="nil"/>
              <w:bottom w:val="nil"/>
              <w:right w:val="nil"/>
            </w:tcBorders>
            <w:vAlign w:val="center"/>
            <w:hideMark/>
          </w:tcPr>
          <w:p w14:paraId="002136F4" w14:textId="77777777" w:rsidR="00671D40" w:rsidRPr="001C65D8" w:rsidRDefault="00671D40" w:rsidP="00671D40">
            <w:pPr>
              <w:ind w:firstLineChars="100" w:firstLine="150"/>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 xml:space="preserve"> Cartão de Crédito  </w:t>
            </w:r>
          </w:p>
        </w:tc>
        <w:tc>
          <w:tcPr>
            <w:tcW w:w="381" w:type="pct"/>
            <w:tcBorders>
              <w:top w:val="nil"/>
              <w:left w:val="nil"/>
              <w:bottom w:val="nil"/>
              <w:right w:val="nil"/>
            </w:tcBorders>
            <w:shd w:val="clear" w:color="000000" w:fill="FFFFFF"/>
            <w:vAlign w:val="center"/>
            <w:hideMark/>
          </w:tcPr>
          <w:p w14:paraId="1545E5DE" w14:textId="5B3F294B"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15.198.591</w:t>
            </w:r>
          </w:p>
        </w:tc>
        <w:tc>
          <w:tcPr>
            <w:tcW w:w="346" w:type="pct"/>
            <w:tcBorders>
              <w:top w:val="nil"/>
              <w:left w:val="nil"/>
              <w:bottom w:val="nil"/>
              <w:right w:val="nil"/>
            </w:tcBorders>
            <w:shd w:val="clear" w:color="000000" w:fill="FFFFFF"/>
            <w:vAlign w:val="center"/>
            <w:hideMark/>
          </w:tcPr>
          <w:p w14:paraId="3590241B" w14:textId="211FFB30"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(397.927)</w:t>
            </w:r>
          </w:p>
        </w:tc>
        <w:tc>
          <w:tcPr>
            <w:tcW w:w="381" w:type="pct"/>
            <w:tcBorders>
              <w:top w:val="nil"/>
              <w:left w:val="nil"/>
              <w:bottom w:val="nil"/>
              <w:right w:val="nil"/>
            </w:tcBorders>
            <w:shd w:val="clear" w:color="000000" w:fill="FFFFFF"/>
            <w:vAlign w:val="center"/>
            <w:hideMark/>
          </w:tcPr>
          <w:p w14:paraId="75C5F954" w14:textId="4C2AC175"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14.800.664</w:t>
            </w:r>
          </w:p>
        </w:tc>
        <w:tc>
          <w:tcPr>
            <w:tcW w:w="312" w:type="pct"/>
            <w:tcBorders>
              <w:top w:val="nil"/>
              <w:left w:val="nil"/>
              <w:bottom w:val="nil"/>
              <w:right w:val="nil"/>
            </w:tcBorders>
            <w:shd w:val="clear" w:color="000000" w:fill="FFFFFF"/>
            <w:vAlign w:val="center"/>
            <w:hideMark/>
          </w:tcPr>
          <w:p w14:paraId="46FAEF8B" w14:textId="5813DE3B"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1.697.877</w:t>
            </w:r>
          </w:p>
        </w:tc>
        <w:tc>
          <w:tcPr>
            <w:tcW w:w="308" w:type="pct"/>
            <w:tcBorders>
              <w:top w:val="nil"/>
              <w:left w:val="nil"/>
              <w:bottom w:val="nil"/>
              <w:right w:val="nil"/>
            </w:tcBorders>
            <w:shd w:val="clear" w:color="000000" w:fill="FFFFFF"/>
            <w:vAlign w:val="center"/>
            <w:hideMark/>
          </w:tcPr>
          <w:p w14:paraId="23C49438" w14:textId="0D415A7F"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(469.046)</w:t>
            </w:r>
          </w:p>
        </w:tc>
        <w:tc>
          <w:tcPr>
            <w:tcW w:w="312" w:type="pct"/>
            <w:tcBorders>
              <w:top w:val="nil"/>
              <w:left w:val="nil"/>
              <w:bottom w:val="nil"/>
              <w:right w:val="nil"/>
            </w:tcBorders>
            <w:shd w:val="clear" w:color="000000" w:fill="FFFFFF"/>
            <w:vAlign w:val="center"/>
            <w:hideMark/>
          </w:tcPr>
          <w:p w14:paraId="4776F153" w14:textId="7C9E8A21"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1.228.831</w:t>
            </w:r>
          </w:p>
        </w:tc>
        <w:tc>
          <w:tcPr>
            <w:tcW w:w="312" w:type="pct"/>
            <w:tcBorders>
              <w:top w:val="nil"/>
              <w:left w:val="nil"/>
              <w:bottom w:val="nil"/>
              <w:right w:val="nil"/>
            </w:tcBorders>
            <w:shd w:val="clear" w:color="000000" w:fill="FFFFFF"/>
            <w:vAlign w:val="center"/>
            <w:hideMark/>
          </w:tcPr>
          <w:p w14:paraId="3914D3D8" w14:textId="758DE5C9"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470.688</w:t>
            </w:r>
          </w:p>
        </w:tc>
        <w:tc>
          <w:tcPr>
            <w:tcW w:w="329" w:type="pct"/>
            <w:tcBorders>
              <w:top w:val="nil"/>
              <w:left w:val="nil"/>
              <w:bottom w:val="nil"/>
              <w:right w:val="nil"/>
            </w:tcBorders>
            <w:shd w:val="clear" w:color="000000" w:fill="FFFFFF"/>
            <w:vAlign w:val="center"/>
            <w:hideMark/>
          </w:tcPr>
          <w:p w14:paraId="6F0FE560" w14:textId="5FB545A8"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(434.941)</w:t>
            </w:r>
          </w:p>
        </w:tc>
        <w:tc>
          <w:tcPr>
            <w:tcW w:w="337" w:type="pct"/>
            <w:tcBorders>
              <w:top w:val="nil"/>
              <w:left w:val="nil"/>
              <w:bottom w:val="nil"/>
              <w:right w:val="nil"/>
            </w:tcBorders>
            <w:shd w:val="clear" w:color="000000" w:fill="FFFFFF"/>
            <w:vAlign w:val="center"/>
            <w:hideMark/>
          </w:tcPr>
          <w:p w14:paraId="4FDF80E5" w14:textId="37C8399A"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35.747</w:t>
            </w:r>
          </w:p>
        </w:tc>
        <w:tc>
          <w:tcPr>
            <w:tcW w:w="381" w:type="pct"/>
            <w:tcBorders>
              <w:top w:val="nil"/>
              <w:left w:val="nil"/>
              <w:bottom w:val="nil"/>
              <w:right w:val="nil"/>
            </w:tcBorders>
            <w:shd w:val="clear" w:color="000000" w:fill="FFFFFF"/>
            <w:vAlign w:val="center"/>
            <w:hideMark/>
          </w:tcPr>
          <w:p w14:paraId="4C60B61F" w14:textId="727341E5"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17.367.156</w:t>
            </w:r>
          </w:p>
        </w:tc>
        <w:tc>
          <w:tcPr>
            <w:tcW w:w="346" w:type="pct"/>
            <w:tcBorders>
              <w:top w:val="nil"/>
              <w:left w:val="nil"/>
              <w:bottom w:val="nil"/>
              <w:right w:val="nil"/>
            </w:tcBorders>
            <w:shd w:val="clear" w:color="000000" w:fill="FFFFFF"/>
            <w:vAlign w:val="center"/>
            <w:hideMark/>
          </w:tcPr>
          <w:p w14:paraId="35379070" w14:textId="4AB3E241"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(1.301.914)</w:t>
            </w:r>
          </w:p>
        </w:tc>
        <w:tc>
          <w:tcPr>
            <w:tcW w:w="378" w:type="pct"/>
            <w:tcBorders>
              <w:top w:val="nil"/>
              <w:left w:val="nil"/>
              <w:bottom w:val="nil"/>
              <w:right w:val="nil"/>
            </w:tcBorders>
            <w:shd w:val="clear" w:color="000000" w:fill="FFFFFF"/>
            <w:vAlign w:val="center"/>
            <w:hideMark/>
          </w:tcPr>
          <w:p w14:paraId="2FACF5F9" w14:textId="61EA28C2" w:rsidR="00671D40" w:rsidRPr="001C65D8" w:rsidRDefault="00671D40" w:rsidP="00671D40">
            <w:pPr>
              <w:jc w:val="right"/>
              <w:rPr>
                <w:rFonts w:ascii="CAIXA Std Book" w:eastAsia="Times New Roman" w:hAnsi="CAIXA Std Book" w:cs="Times New Roman"/>
                <w:color w:val="005CA9"/>
                <w:sz w:val="15"/>
                <w:szCs w:val="15"/>
              </w:rPr>
            </w:pPr>
            <w:r w:rsidRPr="001C65D8">
              <w:rPr>
                <w:rFonts w:ascii="CAIXA Std Book" w:eastAsia="Times New Roman" w:hAnsi="CAIXA Std Book" w:cs="Times New Roman"/>
                <w:color w:val="005CA9"/>
                <w:sz w:val="15"/>
                <w:szCs w:val="15"/>
              </w:rPr>
              <w:t>16.065.242</w:t>
            </w:r>
          </w:p>
        </w:tc>
      </w:tr>
      <w:tr w:rsidR="00E54693" w:rsidRPr="001C65D8" w14:paraId="0A502E4E" w14:textId="77777777" w:rsidTr="004738D9">
        <w:trPr>
          <w:trHeight w:val="238"/>
        </w:trPr>
        <w:tc>
          <w:tcPr>
            <w:tcW w:w="877" w:type="pct"/>
            <w:tcBorders>
              <w:top w:val="nil"/>
              <w:left w:val="nil"/>
              <w:bottom w:val="nil"/>
              <w:right w:val="nil"/>
            </w:tcBorders>
            <w:shd w:val="clear" w:color="000000" w:fill="005CA9"/>
            <w:noWrap/>
            <w:vAlign w:val="center"/>
            <w:hideMark/>
          </w:tcPr>
          <w:p w14:paraId="5A0CAAD7" w14:textId="77777777" w:rsidR="00671D40" w:rsidRPr="001C65D8" w:rsidRDefault="00671D40" w:rsidP="00671D40">
            <w:pPr>
              <w:rPr>
                <w:rFonts w:ascii="CAIXA Std Book" w:eastAsia="Times New Roman" w:hAnsi="CAIXA Std Book" w:cs="Times New Roman"/>
                <w:b/>
                <w:bCs/>
                <w:color w:val="FFFFFF"/>
                <w:sz w:val="15"/>
                <w:szCs w:val="15"/>
              </w:rPr>
            </w:pPr>
            <w:r w:rsidRPr="001C65D8">
              <w:rPr>
                <w:rFonts w:ascii="CAIXA Std Book" w:eastAsia="Times New Roman" w:hAnsi="CAIXA Std Book" w:cs="Times New Roman"/>
                <w:b/>
                <w:bCs/>
                <w:color w:val="FFFFFF"/>
                <w:sz w:val="15"/>
                <w:szCs w:val="15"/>
              </w:rPr>
              <w:t xml:space="preserve"> Total </w:t>
            </w:r>
          </w:p>
        </w:tc>
        <w:tc>
          <w:tcPr>
            <w:tcW w:w="381" w:type="pct"/>
            <w:tcBorders>
              <w:top w:val="nil"/>
              <w:left w:val="nil"/>
              <w:bottom w:val="nil"/>
              <w:right w:val="nil"/>
            </w:tcBorders>
            <w:shd w:val="clear" w:color="000000" w:fill="005CA9"/>
            <w:noWrap/>
            <w:vAlign w:val="center"/>
            <w:hideMark/>
          </w:tcPr>
          <w:p w14:paraId="3302D991" w14:textId="122F0BCA" w:rsidR="00671D40" w:rsidRPr="001C65D8" w:rsidRDefault="00671D40" w:rsidP="00671D40">
            <w:pPr>
              <w:jc w:val="right"/>
              <w:rPr>
                <w:rFonts w:ascii="CAIXA Std Book" w:eastAsia="Times New Roman" w:hAnsi="CAIXA Std Book" w:cs="Times New Roman"/>
                <w:b/>
                <w:color w:val="FFFFFF" w:themeColor="background1"/>
                <w:sz w:val="15"/>
                <w:szCs w:val="15"/>
              </w:rPr>
            </w:pPr>
            <w:r w:rsidRPr="002B67EC">
              <w:rPr>
                <w:rFonts w:ascii="CAIXA Std Book" w:hAnsi="CAIXA Std Book" w:cs="Calibri"/>
                <w:b/>
                <w:color w:val="FFFFFF"/>
                <w:sz w:val="15"/>
                <w:szCs w:val="15"/>
              </w:rPr>
              <w:t>211.572.481</w:t>
            </w:r>
          </w:p>
        </w:tc>
        <w:tc>
          <w:tcPr>
            <w:tcW w:w="346" w:type="pct"/>
            <w:tcBorders>
              <w:top w:val="nil"/>
              <w:left w:val="nil"/>
              <w:bottom w:val="nil"/>
              <w:right w:val="nil"/>
            </w:tcBorders>
            <w:shd w:val="clear" w:color="000000" w:fill="005CA9"/>
            <w:noWrap/>
            <w:vAlign w:val="center"/>
            <w:hideMark/>
          </w:tcPr>
          <w:p w14:paraId="0F6152E4" w14:textId="31E3FBE8" w:rsidR="00671D40" w:rsidRPr="001C65D8" w:rsidRDefault="00671D40" w:rsidP="00671D40">
            <w:pPr>
              <w:jc w:val="right"/>
              <w:rPr>
                <w:rFonts w:ascii="CAIXA Std Book" w:eastAsia="Times New Roman" w:hAnsi="CAIXA Std Book" w:cs="Times New Roman"/>
                <w:b/>
                <w:color w:val="FFFFFF" w:themeColor="background1"/>
                <w:sz w:val="15"/>
                <w:szCs w:val="15"/>
              </w:rPr>
            </w:pPr>
            <w:r w:rsidRPr="002B67EC">
              <w:rPr>
                <w:rFonts w:ascii="CAIXA Std Book" w:hAnsi="CAIXA Std Book" w:cs="Calibri"/>
                <w:b/>
                <w:color w:val="FFFFFF"/>
                <w:sz w:val="15"/>
                <w:szCs w:val="15"/>
              </w:rPr>
              <w:t>(1.134.089)</w:t>
            </w:r>
          </w:p>
        </w:tc>
        <w:tc>
          <w:tcPr>
            <w:tcW w:w="381" w:type="pct"/>
            <w:tcBorders>
              <w:top w:val="nil"/>
              <w:left w:val="nil"/>
              <w:bottom w:val="nil"/>
              <w:right w:val="nil"/>
            </w:tcBorders>
            <w:shd w:val="clear" w:color="000000" w:fill="005CA9"/>
            <w:noWrap/>
            <w:vAlign w:val="center"/>
            <w:hideMark/>
          </w:tcPr>
          <w:p w14:paraId="23B5A5AF" w14:textId="4BCDEAB4" w:rsidR="00671D40" w:rsidRPr="001C65D8" w:rsidRDefault="00671D40" w:rsidP="00671D40">
            <w:pPr>
              <w:jc w:val="right"/>
              <w:rPr>
                <w:rFonts w:ascii="CAIXA Std Book" w:eastAsia="Times New Roman" w:hAnsi="CAIXA Std Book" w:cs="Times New Roman"/>
                <w:b/>
                <w:color w:val="FFFFFF" w:themeColor="background1"/>
                <w:sz w:val="15"/>
                <w:szCs w:val="15"/>
              </w:rPr>
            </w:pPr>
            <w:r w:rsidRPr="002B67EC">
              <w:rPr>
                <w:rFonts w:ascii="CAIXA Std Book" w:hAnsi="CAIXA Std Book" w:cs="Calibri"/>
                <w:b/>
                <w:color w:val="FFFFFF"/>
                <w:sz w:val="15"/>
                <w:szCs w:val="15"/>
              </w:rPr>
              <w:t>210.438.392</w:t>
            </w:r>
          </w:p>
        </w:tc>
        <w:tc>
          <w:tcPr>
            <w:tcW w:w="312" w:type="pct"/>
            <w:tcBorders>
              <w:top w:val="nil"/>
              <w:left w:val="nil"/>
              <w:bottom w:val="nil"/>
              <w:right w:val="nil"/>
            </w:tcBorders>
            <w:shd w:val="clear" w:color="000000" w:fill="005CA9"/>
            <w:noWrap/>
            <w:vAlign w:val="center"/>
            <w:hideMark/>
          </w:tcPr>
          <w:p w14:paraId="0AA1EE8A" w14:textId="03989B3D" w:rsidR="00671D40" w:rsidRPr="001C65D8" w:rsidRDefault="00671D40" w:rsidP="00671D40">
            <w:pPr>
              <w:jc w:val="right"/>
              <w:rPr>
                <w:rFonts w:ascii="CAIXA Std Book" w:eastAsia="Times New Roman" w:hAnsi="CAIXA Std Book" w:cs="Times New Roman"/>
                <w:b/>
                <w:color w:val="FFFFFF" w:themeColor="background1"/>
                <w:sz w:val="15"/>
                <w:szCs w:val="15"/>
              </w:rPr>
            </w:pPr>
            <w:r w:rsidRPr="002B67EC">
              <w:rPr>
                <w:rFonts w:ascii="CAIXA Std Book" w:hAnsi="CAIXA Std Book" w:cs="Calibri"/>
                <w:b/>
                <w:color w:val="FFFFFF"/>
                <w:sz w:val="15"/>
                <w:szCs w:val="15"/>
              </w:rPr>
              <w:t>2.536.991</w:t>
            </w:r>
          </w:p>
        </w:tc>
        <w:tc>
          <w:tcPr>
            <w:tcW w:w="308" w:type="pct"/>
            <w:tcBorders>
              <w:top w:val="nil"/>
              <w:left w:val="nil"/>
              <w:bottom w:val="nil"/>
              <w:right w:val="nil"/>
            </w:tcBorders>
            <w:shd w:val="clear" w:color="000000" w:fill="005CA9"/>
            <w:noWrap/>
            <w:vAlign w:val="center"/>
            <w:hideMark/>
          </w:tcPr>
          <w:p w14:paraId="0148CDF2" w14:textId="108818A1" w:rsidR="00671D40" w:rsidRPr="001C65D8" w:rsidRDefault="00671D40" w:rsidP="00671D40">
            <w:pPr>
              <w:jc w:val="right"/>
              <w:rPr>
                <w:rFonts w:ascii="CAIXA Std Book" w:eastAsia="Times New Roman" w:hAnsi="CAIXA Std Book" w:cs="Times New Roman"/>
                <w:b/>
                <w:color w:val="FFFFFF" w:themeColor="background1"/>
                <w:sz w:val="15"/>
                <w:szCs w:val="15"/>
              </w:rPr>
            </w:pPr>
            <w:r w:rsidRPr="002B67EC">
              <w:rPr>
                <w:rFonts w:ascii="CAIXA Std Book" w:hAnsi="CAIXA Std Book" w:cs="Calibri"/>
                <w:b/>
                <w:color w:val="FFFFFF"/>
                <w:sz w:val="15"/>
                <w:szCs w:val="15"/>
              </w:rPr>
              <w:t>(751.514)</w:t>
            </w:r>
          </w:p>
        </w:tc>
        <w:tc>
          <w:tcPr>
            <w:tcW w:w="312" w:type="pct"/>
            <w:tcBorders>
              <w:top w:val="nil"/>
              <w:left w:val="nil"/>
              <w:bottom w:val="nil"/>
              <w:right w:val="nil"/>
            </w:tcBorders>
            <w:shd w:val="clear" w:color="000000" w:fill="005CA9"/>
            <w:noWrap/>
            <w:vAlign w:val="center"/>
            <w:hideMark/>
          </w:tcPr>
          <w:p w14:paraId="61117E06" w14:textId="4A6EE04D" w:rsidR="00671D40" w:rsidRPr="001C65D8" w:rsidRDefault="00671D40" w:rsidP="00671D40">
            <w:pPr>
              <w:jc w:val="right"/>
              <w:rPr>
                <w:rFonts w:ascii="CAIXA Std Book" w:eastAsia="Times New Roman" w:hAnsi="CAIXA Std Book" w:cs="Times New Roman"/>
                <w:b/>
                <w:color w:val="FFFFFF" w:themeColor="background1"/>
                <w:sz w:val="15"/>
                <w:szCs w:val="15"/>
              </w:rPr>
            </w:pPr>
            <w:r w:rsidRPr="002B67EC">
              <w:rPr>
                <w:rFonts w:ascii="CAIXA Std Book" w:hAnsi="CAIXA Std Book" w:cs="Calibri"/>
                <w:b/>
                <w:color w:val="FFFFFF"/>
                <w:sz w:val="15"/>
                <w:szCs w:val="15"/>
              </w:rPr>
              <w:t>1.785.477</w:t>
            </w:r>
          </w:p>
        </w:tc>
        <w:tc>
          <w:tcPr>
            <w:tcW w:w="312" w:type="pct"/>
            <w:tcBorders>
              <w:top w:val="nil"/>
              <w:left w:val="nil"/>
              <w:bottom w:val="nil"/>
              <w:right w:val="nil"/>
            </w:tcBorders>
            <w:shd w:val="clear" w:color="000000" w:fill="005CA9"/>
            <w:noWrap/>
            <w:vAlign w:val="center"/>
            <w:hideMark/>
          </w:tcPr>
          <w:p w14:paraId="771CA676" w14:textId="7D6A1CC4" w:rsidR="00671D40" w:rsidRPr="001C65D8" w:rsidRDefault="00671D40" w:rsidP="00671D40">
            <w:pPr>
              <w:jc w:val="right"/>
              <w:rPr>
                <w:rFonts w:ascii="CAIXA Std Book" w:eastAsia="Times New Roman" w:hAnsi="CAIXA Std Book" w:cs="Times New Roman"/>
                <w:b/>
                <w:color w:val="FFFFFF" w:themeColor="background1"/>
                <w:sz w:val="15"/>
                <w:szCs w:val="15"/>
              </w:rPr>
            </w:pPr>
            <w:r w:rsidRPr="002B67EC">
              <w:rPr>
                <w:rFonts w:ascii="CAIXA Std Book" w:hAnsi="CAIXA Std Book" w:cs="Calibri"/>
                <w:b/>
                <w:color w:val="FFFFFF"/>
                <w:sz w:val="15"/>
                <w:szCs w:val="15"/>
              </w:rPr>
              <w:t>1.290.304</w:t>
            </w:r>
          </w:p>
        </w:tc>
        <w:tc>
          <w:tcPr>
            <w:tcW w:w="329" w:type="pct"/>
            <w:tcBorders>
              <w:top w:val="nil"/>
              <w:left w:val="nil"/>
              <w:bottom w:val="nil"/>
              <w:right w:val="nil"/>
            </w:tcBorders>
            <w:shd w:val="clear" w:color="000000" w:fill="005CA9"/>
            <w:noWrap/>
            <w:vAlign w:val="center"/>
            <w:hideMark/>
          </w:tcPr>
          <w:p w14:paraId="212AF2F5" w14:textId="6ADE8E66" w:rsidR="00671D40" w:rsidRPr="001C65D8" w:rsidRDefault="00671D40" w:rsidP="00671D40">
            <w:pPr>
              <w:jc w:val="right"/>
              <w:rPr>
                <w:rFonts w:ascii="CAIXA Std Book" w:eastAsia="Times New Roman" w:hAnsi="CAIXA Std Book" w:cs="Times New Roman"/>
                <w:b/>
                <w:color w:val="FFFFFF" w:themeColor="background1"/>
                <w:sz w:val="15"/>
                <w:szCs w:val="15"/>
              </w:rPr>
            </w:pPr>
            <w:r w:rsidRPr="002B67EC">
              <w:rPr>
                <w:rFonts w:ascii="CAIXA Std Book" w:hAnsi="CAIXA Std Book" w:cs="Calibri"/>
                <w:b/>
                <w:color w:val="FFFFFF"/>
                <w:sz w:val="15"/>
                <w:szCs w:val="15"/>
              </w:rPr>
              <w:t>(1.179.740)</w:t>
            </w:r>
          </w:p>
        </w:tc>
        <w:tc>
          <w:tcPr>
            <w:tcW w:w="337" w:type="pct"/>
            <w:tcBorders>
              <w:top w:val="nil"/>
              <w:left w:val="nil"/>
              <w:bottom w:val="nil"/>
              <w:right w:val="nil"/>
            </w:tcBorders>
            <w:shd w:val="clear" w:color="000000" w:fill="005CA9"/>
            <w:noWrap/>
            <w:vAlign w:val="center"/>
            <w:hideMark/>
          </w:tcPr>
          <w:p w14:paraId="07B75EAC" w14:textId="0C925530" w:rsidR="00671D40" w:rsidRPr="001C65D8" w:rsidRDefault="00671D40" w:rsidP="00671D40">
            <w:pPr>
              <w:jc w:val="right"/>
              <w:rPr>
                <w:rFonts w:ascii="CAIXA Std Book" w:eastAsia="Times New Roman" w:hAnsi="CAIXA Std Book" w:cs="Times New Roman"/>
                <w:b/>
                <w:color w:val="FFFFFF" w:themeColor="background1"/>
                <w:sz w:val="15"/>
                <w:szCs w:val="15"/>
              </w:rPr>
            </w:pPr>
            <w:r w:rsidRPr="002B67EC">
              <w:rPr>
                <w:rFonts w:ascii="CAIXA Std Book" w:hAnsi="CAIXA Std Book" w:cs="Calibri"/>
                <w:b/>
                <w:color w:val="FFFFFF"/>
                <w:sz w:val="15"/>
                <w:szCs w:val="15"/>
              </w:rPr>
              <w:t>110.564</w:t>
            </w:r>
          </w:p>
        </w:tc>
        <w:tc>
          <w:tcPr>
            <w:tcW w:w="381" w:type="pct"/>
            <w:tcBorders>
              <w:top w:val="nil"/>
              <w:left w:val="nil"/>
              <w:bottom w:val="nil"/>
              <w:right w:val="nil"/>
            </w:tcBorders>
            <w:shd w:val="clear" w:color="000000" w:fill="005CA9"/>
            <w:noWrap/>
            <w:vAlign w:val="center"/>
            <w:hideMark/>
          </w:tcPr>
          <w:p w14:paraId="20B7B2C5" w14:textId="387A0D16" w:rsidR="00671D40" w:rsidRPr="001C65D8" w:rsidRDefault="00671D40" w:rsidP="00671D40">
            <w:pPr>
              <w:jc w:val="right"/>
              <w:rPr>
                <w:rFonts w:ascii="CAIXA Std Book" w:eastAsia="Times New Roman" w:hAnsi="CAIXA Std Book" w:cs="Times New Roman"/>
                <w:b/>
                <w:color w:val="FFFFFF" w:themeColor="background1"/>
                <w:sz w:val="15"/>
                <w:szCs w:val="15"/>
              </w:rPr>
            </w:pPr>
            <w:r w:rsidRPr="002B67EC">
              <w:rPr>
                <w:rFonts w:ascii="CAIXA Std Book" w:hAnsi="CAIXA Std Book" w:cs="Calibri"/>
                <w:b/>
                <w:color w:val="FFFFFF"/>
                <w:sz w:val="15"/>
                <w:szCs w:val="15"/>
              </w:rPr>
              <w:t>215.399.776</w:t>
            </w:r>
          </w:p>
        </w:tc>
        <w:tc>
          <w:tcPr>
            <w:tcW w:w="346" w:type="pct"/>
            <w:tcBorders>
              <w:top w:val="nil"/>
              <w:left w:val="nil"/>
              <w:bottom w:val="nil"/>
              <w:right w:val="nil"/>
            </w:tcBorders>
            <w:shd w:val="clear" w:color="000000" w:fill="005CA9"/>
            <w:noWrap/>
            <w:vAlign w:val="center"/>
            <w:hideMark/>
          </w:tcPr>
          <w:p w14:paraId="4251F194" w14:textId="3D54CC06" w:rsidR="00671D40" w:rsidRPr="001C65D8" w:rsidRDefault="00671D40" w:rsidP="00671D40">
            <w:pPr>
              <w:jc w:val="right"/>
              <w:rPr>
                <w:rFonts w:ascii="CAIXA Std Book" w:eastAsia="Times New Roman" w:hAnsi="CAIXA Std Book" w:cs="Times New Roman"/>
                <w:b/>
                <w:color w:val="FFFFFF" w:themeColor="background1"/>
                <w:sz w:val="15"/>
                <w:szCs w:val="15"/>
              </w:rPr>
            </w:pPr>
            <w:r w:rsidRPr="002B67EC">
              <w:rPr>
                <w:rFonts w:ascii="CAIXA Std Book" w:hAnsi="CAIXA Std Book" w:cs="Calibri"/>
                <w:b/>
                <w:color w:val="FFFFFF"/>
                <w:sz w:val="15"/>
                <w:szCs w:val="15"/>
              </w:rPr>
              <w:t>(3.065.343)</w:t>
            </w:r>
          </w:p>
        </w:tc>
        <w:tc>
          <w:tcPr>
            <w:tcW w:w="378" w:type="pct"/>
            <w:tcBorders>
              <w:top w:val="nil"/>
              <w:left w:val="nil"/>
              <w:bottom w:val="nil"/>
              <w:right w:val="nil"/>
            </w:tcBorders>
            <w:shd w:val="clear" w:color="000000" w:fill="005CA9"/>
            <w:noWrap/>
            <w:vAlign w:val="center"/>
            <w:hideMark/>
          </w:tcPr>
          <w:p w14:paraId="5CAD9594" w14:textId="70DBF08E" w:rsidR="00671D40" w:rsidRPr="001C65D8" w:rsidRDefault="00671D40" w:rsidP="00671D40">
            <w:pPr>
              <w:jc w:val="right"/>
              <w:rPr>
                <w:rFonts w:ascii="CAIXA Std Book" w:eastAsia="Times New Roman" w:hAnsi="CAIXA Std Book" w:cs="Times New Roman"/>
                <w:b/>
                <w:color w:val="FFFFFF" w:themeColor="background1"/>
                <w:sz w:val="15"/>
                <w:szCs w:val="15"/>
              </w:rPr>
            </w:pPr>
            <w:r w:rsidRPr="002B67EC">
              <w:rPr>
                <w:rFonts w:ascii="CAIXA Std Book" w:hAnsi="CAIXA Std Book" w:cs="Calibri"/>
                <w:b/>
                <w:color w:val="FFFFFF"/>
                <w:sz w:val="15"/>
                <w:szCs w:val="15"/>
              </w:rPr>
              <w:t>212.334.433</w:t>
            </w:r>
          </w:p>
        </w:tc>
      </w:tr>
    </w:tbl>
    <w:p w14:paraId="6F0A7B13" w14:textId="71406BE8" w:rsidR="00C67C7F" w:rsidRPr="003C7764" w:rsidRDefault="000C79B8">
      <w:pPr>
        <w:rPr>
          <w:rFonts w:ascii="CAIXA Std Book" w:hAnsi="CAIXA Std Book"/>
          <w:color w:val="005CA9"/>
          <w:sz w:val="15"/>
          <w:szCs w:val="15"/>
        </w:rPr>
      </w:pPr>
      <w:r w:rsidRPr="003C7764">
        <w:rPr>
          <w:rFonts w:ascii="CAIXA Std Book" w:hAnsi="CAIXA Std Book"/>
          <w:color w:val="005CA9"/>
          <w:sz w:val="15"/>
          <w:szCs w:val="15"/>
        </w:rPr>
        <w:t>.</w:t>
      </w:r>
      <w:r w:rsidR="00C67C7F" w:rsidRPr="003C7764">
        <w:rPr>
          <w:rFonts w:ascii="CAIXA Std Book" w:hAnsi="CAIXA Std Book"/>
          <w:color w:val="005CA9"/>
          <w:sz w:val="15"/>
          <w:szCs w:val="15"/>
        </w:rPr>
        <w:br w:type="page"/>
      </w:r>
    </w:p>
    <w:tbl>
      <w:tblPr>
        <w:tblW w:w="5000" w:type="pct"/>
        <w:tblLayout w:type="fixed"/>
        <w:tblCellMar>
          <w:left w:w="70" w:type="dxa"/>
          <w:right w:w="70" w:type="dxa"/>
        </w:tblCellMar>
        <w:tblLook w:val="04A0" w:firstRow="1" w:lastRow="0" w:firstColumn="1" w:lastColumn="0" w:noHBand="0" w:noVBand="1"/>
      </w:tblPr>
      <w:tblGrid>
        <w:gridCol w:w="2551"/>
        <w:gridCol w:w="1136"/>
        <w:gridCol w:w="871"/>
        <w:gridCol w:w="1110"/>
        <w:gridCol w:w="895"/>
        <w:gridCol w:w="1002"/>
        <w:gridCol w:w="1002"/>
        <w:gridCol w:w="1002"/>
        <w:gridCol w:w="921"/>
        <w:gridCol w:w="851"/>
        <w:gridCol w:w="1133"/>
        <w:gridCol w:w="994"/>
        <w:gridCol w:w="1101"/>
      </w:tblGrid>
      <w:tr w:rsidR="00675B7E" w:rsidRPr="00C67C7F" w14:paraId="09B4D172" w14:textId="77777777" w:rsidTr="009E01D8">
        <w:trPr>
          <w:trHeight w:val="255"/>
        </w:trPr>
        <w:tc>
          <w:tcPr>
            <w:tcW w:w="5000" w:type="pct"/>
            <w:gridSpan w:val="13"/>
            <w:tcBorders>
              <w:top w:val="nil"/>
              <w:left w:val="nil"/>
              <w:bottom w:val="single" w:sz="8" w:space="0" w:color="FFFFFF"/>
              <w:right w:val="nil"/>
            </w:tcBorders>
            <w:shd w:val="clear" w:color="000000" w:fill="005CA9"/>
            <w:vAlign w:val="center"/>
            <w:hideMark/>
          </w:tcPr>
          <w:p w14:paraId="6CCCD92F" w14:textId="77777777" w:rsidR="00675B7E" w:rsidRPr="00C67C7F" w:rsidRDefault="00675B7E" w:rsidP="00675B7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Consolidado</w:t>
            </w:r>
          </w:p>
        </w:tc>
      </w:tr>
      <w:tr w:rsidR="00675B7E" w:rsidRPr="00C67C7F" w14:paraId="6BF30923" w14:textId="77777777" w:rsidTr="009E01D8">
        <w:trPr>
          <w:trHeight w:val="255"/>
        </w:trPr>
        <w:tc>
          <w:tcPr>
            <w:tcW w:w="5000" w:type="pct"/>
            <w:gridSpan w:val="13"/>
            <w:tcBorders>
              <w:top w:val="single" w:sz="8" w:space="0" w:color="FFFFFF"/>
              <w:left w:val="nil"/>
              <w:bottom w:val="single" w:sz="8" w:space="0" w:color="FFFFFF"/>
              <w:right w:val="nil"/>
            </w:tcBorders>
            <w:shd w:val="clear" w:color="000000" w:fill="005CA9"/>
            <w:vAlign w:val="center"/>
            <w:hideMark/>
          </w:tcPr>
          <w:p w14:paraId="78D3AF25" w14:textId="77777777" w:rsidR="00675B7E" w:rsidRPr="00C67C7F" w:rsidRDefault="00675B7E" w:rsidP="00675B7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31/03/2026</w:t>
            </w:r>
          </w:p>
        </w:tc>
      </w:tr>
      <w:tr w:rsidR="00675B7E" w:rsidRPr="00C67C7F" w14:paraId="318D8166" w14:textId="77777777" w:rsidTr="009E01D8">
        <w:trPr>
          <w:trHeight w:val="255"/>
        </w:trPr>
        <w:tc>
          <w:tcPr>
            <w:tcW w:w="875" w:type="pct"/>
            <w:vMerge w:val="restart"/>
            <w:tcBorders>
              <w:top w:val="nil"/>
              <w:left w:val="nil"/>
              <w:bottom w:val="nil"/>
              <w:right w:val="nil"/>
            </w:tcBorders>
            <w:shd w:val="clear" w:color="000000" w:fill="005CA9"/>
            <w:vAlign w:val="center"/>
            <w:hideMark/>
          </w:tcPr>
          <w:p w14:paraId="65B276BA" w14:textId="77777777" w:rsidR="00675B7E" w:rsidRPr="00C67C7F" w:rsidRDefault="00675B7E" w:rsidP="00675B7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Descrição</w:t>
            </w:r>
          </w:p>
        </w:tc>
        <w:tc>
          <w:tcPr>
            <w:tcW w:w="1070" w:type="pct"/>
            <w:gridSpan w:val="3"/>
            <w:tcBorders>
              <w:top w:val="single" w:sz="8" w:space="0" w:color="FFFFFF"/>
              <w:left w:val="nil"/>
              <w:bottom w:val="single" w:sz="8" w:space="0" w:color="FFFFFF"/>
              <w:right w:val="nil"/>
            </w:tcBorders>
            <w:shd w:val="clear" w:color="000000" w:fill="005CA9"/>
            <w:vAlign w:val="center"/>
            <w:hideMark/>
          </w:tcPr>
          <w:p w14:paraId="0A81B6E2" w14:textId="77777777" w:rsidR="00675B7E" w:rsidRPr="00C67C7F" w:rsidRDefault="00675B7E" w:rsidP="00675B7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Estágio 1</w:t>
            </w:r>
          </w:p>
        </w:tc>
        <w:tc>
          <w:tcPr>
            <w:tcW w:w="995" w:type="pct"/>
            <w:gridSpan w:val="3"/>
            <w:tcBorders>
              <w:top w:val="single" w:sz="8" w:space="0" w:color="FFFFFF"/>
              <w:left w:val="nil"/>
              <w:bottom w:val="single" w:sz="8" w:space="0" w:color="FFFFFF"/>
              <w:right w:val="nil"/>
            </w:tcBorders>
            <w:shd w:val="clear" w:color="000000" w:fill="005CA9"/>
            <w:vAlign w:val="center"/>
            <w:hideMark/>
          </w:tcPr>
          <w:p w14:paraId="2D51B280" w14:textId="77777777" w:rsidR="00675B7E" w:rsidRPr="00C67C7F" w:rsidRDefault="00675B7E" w:rsidP="00675B7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Estágio 2</w:t>
            </w:r>
          </w:p>
        </w:tc>
        <w:tc>
          <w:tcPr>
            <w:tcW w:w="952" w:type="pct"/>
            <w:gridSpan w:val="3"/>
            <w:tcBorders>
              <w:top w:val="single" w:sz="8" w:space="0" w:color="FFFFFF"/>
              <w:left w:val="nil"/>
              <w:bottom w:val="single" w:sz="8" w:space="0" w:color="FFFFFF"/>
              <w:right w:val="nil"/>
            </w:tcBorders>
            <w:shd w:val="clear" w:color="000000" w:fill="005CA9"/>
            <w:vAlign w:val="center"/>
            <w:hideMark/>
          </w:tcPr>
          <w:p w14:paraId="3239AD65" w14:textId="77777777" w:rsidR="00675B7E" w:rsidRPr="00C67C7F" w:rsidRDefault="00675B7E" w:rsidP="00675B7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Estágio 3</w:t>
            </w:r>
          </w:p>
        </w:tc>
        <w:tc>
          <w:tcPr>
            <w:tcW w:w="1108" w:type="pct"/>
            <w:gridSpan w:val="3"/>
            <w:tcBorders>
              <w:top w:val="single" w:sz="8" w:space="0" w:color="FFFFFF"/>
              <w:left w:val="nil"/>
              <w:bottom w:val="single" w:sz="8" w:space="0" w:color="FFFFFF"/>
              <w:right w:val="nil"/>
            </w:tcBorders>
            <w:shd w:val="clear" w:color="000000" w:fill="005CA9"/>
            <w:vAlign w:val="center"/>
            <w:hideMark/>
          </w:tcPr>
          <w:p w14:paraId="69BDCDD0" w14:textId="77777777" w:rsidR="00675B7E" w:rsidRPr="00C67C7F" w:rsidRDefault="00675B7E" w:rsidP="00675B7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Total</w:t>
            </w:r>
          </w:p>
        </w:tc>
      </w:tr>
      <w:tr w:rsidR="00675B7E" w:rsidRPr="00C67C7F" w14:paraId="6543D7D4" w14:textId="77777777" w:rsidTr="001722DD">
        <w:trPr>
          <w:trHeight w:val="255"/>
        </w:trPr>
        <w:tc>
          <w:tcPr>
            <w:tcW w:w="875" w:type="pct"/>
            <w:vMerge/>
            <w:tcBorders>
              <w:top w:val="nil"/>
              <w:left w:val="nil"/>
              <w:bottom w:val="single" w:sz="4" w:space="0" w:color="FFFFFF" w:themeColor="background1"/>
              <w:right w:val="nil"/>
            </w:tcBorders>
            <w:vAlign w:val="center"/>
            <w:hideMark/>
          </w:tcPr>
          <w:p w14:paraId="1CAA01EB" w14:textId="77777777" w:rsidR="00675B7E" w:rsidRPr="00C67C7F" w:rsidRDefault="00675B7E" w:rsidP="00675B7E">
            <w:pPr>
              <w:rPr>
                <w:rFonts w:ascii="CAIXA Std Book" w:eastAsia="Times New Roman" w:hAnsi="CAIXA Std Book" w:cs="Times New Roman"/>
                <w:b/>
                <w:bCs/>
                <w:color w:val="FFFFFF"/>
                <w:sz w:val="15"/>
                <w:szCs w:val="15"/>
              </w:rPr>
            </w:pPr>
          </w:p>
        </w:tc>
        <w:tc>
          <w:tcPr>
            <w:tcW w:w="390" w:type="pct"/>
            <w:tcBorders>
              <w:top w:val="nil"/>
              <w:left w:val="nil"/>
              <w:bottom w:val="single" w:sz="4" w:space="0" w:color="FFFFFF" w:themeColor="background1"/>
              <w:right w:val="nil"/>
            </w:tcBorders>
            <w:shd w:val="clear" w:color="000000" w:fill="005CA9"/>
            <w:vAlign w:val="center"/>
            <w:hideMark/>
          </w:tcPr>
          <w:p w14:paraId="4118625F" w14:textId="77777777" w:rsidR="00675B7E" w:rsidRPr="00C67C7F" w:rsidRDefault="00675B7E" w:rsidP="00675B7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Exposição</w:t>
            </w:r>
          </w:p>
        </w:tc>
        <w:tc>
          <w:tcPr>
            <w:tcW w:w="299" w:type="pct"/>
            <w:tcBorders>
              <w:top w:val="nil"/>
              <w:left w:val="nil"/>
              <w:bottom w:val="single" w:sz="4" w:space="0" w:color="FFFFFF" w:themeColor="background1"/>
              <w:right w:val="nil"/>
            </w:tcBorders>
            <w:shd w:val="clear" w:color="000000" w:fill="005CA9"/>
            <w:vAlign w:val="center"/>
            <w:hideMark/>
          </w:tcPr>
          <w:p w14:paraId="5F82B3B9" w14:textId="77777777" w:rsidR="00675B7E" w:rsidRPr="00C67C7F" w:rsidRDefault="00675B7E" w:rsidP="00675B7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Perdas esperadas</w:t>
            </w:r>
          </w:p>
        </w:tc>
        <w:tc>
          <w:tcPr>
            <w:tcW w:w="381" w:type="pct"/>
            <w:tcBorders>
              <w:top w:val="nil"/>
              <w:left w:val="nil"/>
              <w:bottom w:val="single" w:sz="4" w:space="0" w:color="FFFFFF" w:themeColor="background1"/>
              <w:right w:val="nil"/>
            </w:tcBorders>
            <w:shd w:val="clear" w:color="000000" w:fill="005CA9"/>
            <w:vAlign w:val="center"/>
            <w:hideMark/>
          </w:tcPr>
          <w:p w14:paraId="3435988C" w14:textId="77777777" w:rsidR="00675B7E" w:rsidRPr="00C67C7F" w:rsidRDefault="00675B7E" w:rsidP="00675B7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Exposição líquida de perdas</w:t>
            </w:r>
          </w:p>
        </w:tc>
        <w:tc>
          <w:tcPr>
            <w:tcW w:w="307" w:type="pct"/>
            <w:tcBorders>
              <w:top w:val="nil"/>
              <w:left w:val="nil"/>
              <w:bottom w:val="single" w:sz="4" w:space="0" w:color="FFFFFF" w:themeColor="background1"/>
              <w:right w:val="nil"/>
            </w:tcBorders>
            <w:shd w:val="clear" w:color="000000" w:fill="005CA9"/>
            <w:vAlign w:val="center"/>
            <w:hideMark/>
          </w:tcPr>
          <w:p w14:paraId="072A129F" w14:textId="77777777" w:rsidR="00675B7E" w:rsidRPr="00C67C7F" w:rsidRDefault="00675B7E" w:rsidP="00675B7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Exposição</w:t>
            </w:r>
          </w:p>
        </w:tc>
        <w:tc>
          <w:tcPr>
            <w:tcW w:w="344" w:type="pct"/>
            <w:tcBorders>
              <w:top w:val="nil"/>
              <w:left w:val="nil"/>
              <w:bottom w:val="single" w:sz="4" w:space="0" w:color="FFFFFF" w:themeColor="background1"/>
              <w:right w:val="nil"/>
            </w:tcBorders>
            <w:shd w:val="clear" w:color="000000" w:fill="005CA9"/>
            <w:vAlign w:val="center"/>
            <w:hideMark/>
          </w:tcPr>
          <w:p w14:paraId="7419167B" w14:textId="77777777" w:rsidR="00675B7E" w:rsidRPr="00C67C7F" w:rsidRDefault="00675B7E" w:rsidP="00675B7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Perdas esperadas</w:t>
            </w:r>
          </w:p>
        </w:tc>
        <w:tc>
          <w:tcPr>
            <w:tcW w:w="344" w:type="pct"/>
            <w:tcBorders>
              <w:top w:val="nil"/>
              <w:left w:val="nil"/>
              <w:bottom w:val="single" w:sz="4" w:space="0" w:color="FFFFFF" w:themeColor="background1"/>
              <w:right w:val="nil"/>
            </w:tcBorders>
            <w:shd w:val="clear" w:color="000000" w:fill="005CA9"/>
            <w:vAlign w:val="center"/>
            <w:hideMark/>
          </w:tcPr>
          <w:p w14:paraId="018059C9" w14:textId="77777777" w:rsidR="00675B7E" w:rsidRPr="00C67C7F" w:rsidRDefault="00675B7E" w:rsidP="00675B7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Exposição líquida de perdas</w:t>
            </w:r>
          </w:p>
        </w:tc>
        <w:tc>
          <w:tcPr>
            <w:tcW w:w="344" w:type="pct"/>
            <w:tcBorders>
              <w:top w:val="nil"/>
              <w:left w:val="nil"/>
              <w:bottom w:val="single" w:sz="4" w:space="0" w:color="FFFFFF" w:themeColor="background1"/>
              <w:right w:val="nil"/>
            </w:tcBorders>
            <w:shd w:val="clear" w:color="000000" w:fill="005CA9"/>
            <w:vAlign w:val="center"/>
            <w:hideMark/>
          </w:tcPr>
          <w:p w14:paraId="3401131E" w14:textId="77777777" w:rsidR="00675B7E" w:rsidRPr="00C67C7F" w:rsidRDefault="00675B7E" w:rsidP="00675B7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Exposição</w:t>
            </w:r>
          </w:p>
        </w:tc>
        <w:tc>
          <w:tcPr>
            <w:tcW w:w="316" w:type="pct"/>
            <w:tcBorders>
              <w:top w:val="nil"/>
              <w:left w:val="nil"/>
              <w:bottom w:val="single" w:sz="4" w:space="0" w:color="FFFFFF" w:themeColor="background1"/>
              <w:right w:val="nil"/>
            </w:tcBorders>
            <w:shd w:val="clear" w:color="000000" w:fill="005CA9"/>
            <w:vAlign w:val="center"/>
            <w:hideMark/>
          </w:tcPr>
          <w:p w14:paraId="284727FD" w14:textId="77777777" w:rsidR="00675B7E" w:rsidRPr="00C67C7F" w:rsidRDefault="00675B7E" w:rsidP="00675B7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Perdas esperadas</w:t>
            </w:r>
          </w:p>
        </w:tc>
        <w:tc>
          <w:tcPr>
            <w:tcW w:w="292" w:type="pct"/>
            <w:tcBorders>
              <w:top w:val="nil"/>
              <w:left w:val="nil"/>
              <w:bottom w:val="single" w:sz="4" w:space="0" w:color="FFFFFF" w:themeColor="background1"/>
              <w:right w:val="nil"/>
            </w:tcBorders>
            <w:shd w:val="clear" w:color="000000" w:fill="005CA9"/>
            <w:vAlign w:val="center"/>
            <w:hideMark/>
          </w:tcPr>
          <w:p w14:paraId="4CD5DBD4" w14:textId="77777777" w:rsidR="00675B7E" w:rsidRPr="00C67C7F" w:rsidRDefault="00675B7E" w:rsidP="00675B7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Exposição líquida de perdas</w:t>
            </w:r>
          </w:p>
        </w:tc>
        <w:tc>
          <w:tcPr>
            <w:tcW w:w="389" w:type="pct"/>
            <w:tcBorders>
              <w:top w:val="nil"/>
              <w:left w:val="nil"/>
              <w:bottom w:val="single" w:sz="4" w:space="0" w:color="FFFFFF" w:themeColor="background1"/>
              <w:right w:val="nil"/>
            </w:tcBorders>
            <w:shd w:val="clear" w:color="000000" w:fill="005CA9"/>
            <w:vAlign w:val="center"/>
            <w:hideMark/>
          </w:tcPr>
          <w:p w14:paraId="435F3E14" w14:textId="77777777" w:rsidR="00675B7E" w:rsidRPr="00C67C7F" w:rsidRDefault="00675B7E" w:rsidP="00675B7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Exposição</w:t>
            </w:r>
          </w:p>
        </w:tc>
        <w:tc>
          <w:tcPr>
            <w:tcW w:w="341" w:type="pct"/>
            <w:tcBorders>
              <w:top w:val="nil"/>
              <w:left w:val="nil"/>
              <w:bottom w:val="single" w:sz="4" w:space="0" w:color="FFFFFF" w:themeColor="background1"/>
              <w:right w:val="nil"/>
            </w:tcBorders>
            <w:shd w:val="clear" w:color="000000" w:fill="005CA9"/>
            <w:vAlign w:val="center"/>
            <w:hideMark/>
          </w:tcPr>
          <w:p w14:paraId="37DD5032" w14:textId="42B748D3" w:rsidR="00675B7E" w:rsidRPr="00C67C7F" w:rsidRDefault="00675B7E" w:rsidP="00675B7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Perdas esperadas</w:t>
            </w:r>
            <w:r w:rsidR="00C8382C">
              <w:rPr>
                <w:rFonts w:ascii="CAIXA Std Book" w:eastAsia="Times New Roman" w:hAnsi="CAIXA Std Book" w:cs="Times New Roman"/>
                <w:b/>
                <w:bCs/>
                <w:color w:val="FFFFFF"/>
                <w:sz w:val="15"/>
                <w:szCs w:val="15"/>
              </w:rPr>
              <w:t xml:space="preserve"> (</w:t>
            </w:r>
            <w:r w:rsidR="00191CDF">
              <w:rPr>
                <w:rFonts w:ascii="CAIXA Std Book" w:eastAsia="Times New Roman" w:hAnsi="CAIXA Std Book" w:cs="Times New Roman"/>
                <w:b/>
                <w:bCs/>
                <w:color w:val="FFFFFF"/>
                <w:sz w:val="15"/>
                <w:szCs w:val="15"/>
              </w:rPr>
              <w:t>1</w:t>
            </w:r>
            <w:r w:rsidR="00C8382C">
              <w:rPr>
                <w:rFonts w:ascii="CAIXA Std Book" w:eastAsia="Times New Roman" w:hAnsi="CAIXA Std Book" w:cs="Times New Roman"/>
                <w:b/>
                <w:bCs/>
                <w:color w:val="FFFFFF"/>
                <w:sz w:val="15"/>
                <w:szCs w:val="15"/>
              </w:rPr>
              <w:t>)</w:t>
            </w:r>
          </w:p>
        </w:tc>
        <w:tc>
          <w:tcPr>
            <w:tcW w:w="378" w:type="pct"/>
            <w:tcBorders>
              <w:top w:val="nil"/>
              <w:left w:val="nil"/>
              <w:bottom w:val="single" w:sz="4" w:space="0" w:color="FFFFFF" w:themeColor="background1"/>
              <w:right w:val="nil"/>
            </w:tcBorders>
            <w:shd w:val="clear" w:color="000000" w:fill="005CA9"/>
            <w:vAlign w:val="center"/>
            <w:hideMark/>
          </w:tcPr>
          <w:p w14:paraId="405A5A37" w14:textId="77777777" w:rsidR="00675B7E" w:rsidRPr="00C67C7F" w:rsidRDefault="00675B7E" w:rsidP="00675B7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Exposição líquida de perdas</w:t>
            </w:r>
          </w:p>
        </w:tc>
      </w:tr>
      <w:tr w:rsidR="00675B7E" w:rsidRPr="00C67C7F" w14:paraId="7D86A222" w14:textId="77777777" w:rsidTr="001722DD">
        <w:trPr>
          <w:trHeight w:val="255"/>
        </w:trPr>
        <w:tc>
          <w:tcPr>
            <w:tcW w:w="875" w:type="pct"/>
            <w:tcBorders>
              <w:top w:val="single" w:sz="4" w:space="0" w:color="FFFFFF" w:themeColor="background1"/>
              <w:left w:val="nil"/>
              <w:bottom w:val="single" w:sz="8" w:space="0" w:color="FFFFFF"/>
              <w:right w:val="nil"/>
            </w:tcBorders>
            <w:shd w:val="clear" w:color="000000" w:fill="D0E0E3"/>
            <w:vAlign w:val="center"/>
            <w:hideMark/>
          </w:tcPr>
          <w:p w14:paraId="76BBD6C6" w14:textId="34B04BB0" w:rsidR="00675B7E" w:rsidRPr="00C67C7F" w:rsidRDefault="00675B7E" w:rsidP="00675B7E">
            <w:pPr>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 xml:space="preserve">Compromissos de empréstimos e créditos a liberar </w:t>
            </w:r>
          </w:p>
        </w:tc>
        <w:tc>
          <w:tcPr>
            <w:tcW w:w="390" w:type="pct"/>
            <w:tcBorders>
              <w:top w:val="single" w:sz="4" w:space="0" w:color="FFFFFF" w:themeColor="background1"/>
              <w:left w:val="nil"/>
              <w:bottom w:val="single" w:sz="8" w:space="0" w:color="FFFFFF"/>
              <w:right w:val="nil"/>
            </w:tcBorders>
            <w:shd w:val="clear" w:color="000000" w:fill="D0E0E3"/>
            <w:noWrap/>
            <w:vAlign w:val="center"/>
            <w:hideMark/>
          </w:tcPr>
          <w:p w14:paraId="1F2B6650" w14:textId="7CE7AB68"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201.260.164</w:t>
            </w:r>
          </w:p>
        </w:tc>
        <w:tc>
          <w:tcPr>
            <w:tcW w:w="299" w:type="pct"/>
            <w:tcBorders>
              <w:top w:val="single" w:sz="4" w:space="0" w:color="FFFFFF" w:themeColor="background1"/>
              <w:left w:val="nil"/>
              <w:bottom w:val="single" w:sz="8" w:space="0" w:color="FFFFFF"/>
              <w:right w:val="nil"/>
            </w:tcBorders>
            <w:shd w:val="clear" w:color="000000" w:fill="D0E0E3"/>
            <w:noWrap/>
            <w:vAlign w:val="center"/>
            <w:hideMark/>
          </w:tcPr>
          <w:p w14:paraId="5F00D29E" w14:textId="5EA7ADA4"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(619.347)</w:t>
            </w:r>
          </w:p>
        </w:tc>
        <w:tc>
          <w:tcPr>
            <w:tcW w:w="381" w:type="pct"/>
            <w:tcBorders>
              <w:top w:val="single" w:sz="4" w:space="0" w:color="FFFFFF" w:themeColor="background1"/>
              <w:left w:val="nil"/>
              <w:bottom w:val="single" w:sz="8" w:space="0" w:color="FFFFFF"/>
              <w:right w:val="nil"/>
            </w:tcBorders>
            <w:shd w:val="clear" w:color="000000" w:fill="D0E0E3"/>
            <w:noWrap/>
            <w:vAlign w:val="center"/>
            <w:hideMark/>
          </w:tcPr>
          <w:p w14:paraId="3D9CE325" w14:textId="35320952"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200.640.817</w:t>
            </w:r>
          </w:p>
        </w:tc>
        <w:tc>
          <w:tcPr>
            <w:tcW w:w="307" w:type="pct"/>
            <w:tcBorders>
              <w:top w:val="single" w:sz="4" w:space="0" w:color="FFFFFF" w:themeColor="background1"/>
              <w:left w:val="nil"/>
              <w:bottom w:val="single" w:sz="8" w:space="0" w:color="FFFFFF"/>
              <w:right w:val="nil"/>
            </w:tcBorders>
            <w:shd w:val="clear" w:color="000000" w:fill="D0E0E3"/>
            <w:noWrap/>
            <w:vAlign w:val="center"/>
            <w:hideMark/>
          </w:tcPr>
          <w:p w14:paraId="46C2E3EC" w14:textId="184A527A"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1.402.500</w:t>
            </w:r>
          </w:p>
        </w:tc>
        <w:tc>
          <w:tcPr>
            <w:tcW w:w="344" w:type="pct"/>
            <w:tcBorders>
              <w:top w:val="single" w:sz="4" w:space="0" w:color="FFFFFF" w:themeColor="background1"/>
              <w:left w:val="nil"/>
              <w:bottom w:val="single" w:sz="8" w:space="0" w:color="FFFFFF"/>
              <w:right w:val="nil"/>
            </w:tcBorders>
            <w:shd w:val="clear" w:color="000000" w:fill="D0E0E3"/>
            <w:noWrap/>
            <w:vAlign w:val="center"/>
            <w:hideMark/>
          </w:tcPr>
          <w:p w14:paraId="3DAEBAA3" w14:textId="764ACCD6"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(116.662)</w:t>
            </w:r>
          </w:p>
        </w:tc>
        <w:tc>
          <w:tcPr>
            <w:tcW w:w="344" w:type="pct"/>
            <w:tcBorders>
              <w:top w:val="single" w:sz="4" w:space="0" w:color="FFFFFF" w:themeColor="background1"/>
              <w:left w:val="nil"/>
              <w:bottom w:val="single" w:sz="8" w:space="0" w:color="FFFFFF"/>
              <w:right w:val="nil"/>
            </w:tcBorders>
            <w:shd w:val="clear" w:color="000000" w:fill="D0E0E3"/>
            <w:noWrap/>
            <w:vAlign w:val="center"/>
            <w:hideMark/>
          </w:tcPr>
          <w:p w14:paraId="733ADA40" w14:textId="77A057C4"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1.285.838</w:t>
            </w:r>
          </w:p>
        </w:tc>
        <w:tc>
          <w:tcPr>
            <w:tcW w:w="344" w:type="pct"/>
            <w:tcBorders>
              <w:top w:val="single" w:sz="4" w:space="0" w:color="FFFFFF" w:themeColor="background1"/>
              <w:left w:val="nil"/>
              <w:bottom w:val="single" w:sz="8" w:space="0" w:color="FFFFFF"/>
              <w:right w:val="nil"/>
            </w:tcBorders>
            <w:shd w:val="clear" w:color="000000" w:fill="D0E0E3"/>
            <w:noWrap/>
            <w:vAlign w:val="center"/>
            <w:hideMark/>
          </w:tcPr>
          <w:p w14:paraId="33D3BDB1" w14:textId="7783F314"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1.240.083</w:t>
            </w:r>
          </w:p>
        </w:tc>
        <w:tc>
          <w:tcPr>
            <w:tcW w:w="316" w:type="pct"/>
            <w:tcBorders>
              <w:top w:val="single" w:sz="4" w:space="0" w:color="FFFFFF" w:themeColor="background1"/>
              <w:left w:val="nil"/>
              <w:bottom w:val="single" w:sz="8" w:space="0" w:color="FFFFFF"/>
              <w:right w:val="nil"/>
            </w:tcBorders>
            <w:shd w:val="clear" w:color="000000" w:fill="D0E0E3"/>
            <w:noWrap/>
            <w:vAlign w:val="center"/>
            <w:hideMark/>
          </w:tcPr>
          <w:p w14:paraId="5D20ED44" w14:textId="1C1133D0"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(522.857)</w:t>
            </w:r>
          </w:p>
        </w:tc>
        <w:tc>
          <w:tcPr>
            <w:tcW w:w="292" w:type="pct"/>
            <w:tcBorders>
              <w:top w:val="single" w:sz="4" w:space="0" w:color="FFFFFF" w:themeColor="background1"/>
              <w:left w:val="nil"/>
              <w:bottom w:val="single" w:sz="8" w:space="0" w:color="FFFFFF"/>
              <w:right w:val="nil"/>
            </w:tcBorders>
            <w:shd w:val="clear" w:color="000000" w:fill="D0E0E3"/>
            <w:noWrap/>
            <w:vAlign w:val="center"/>
            <w:hideMark/>
          </w:tcPr>
          <w:p w14:paraId="533B2BDC" w14:textId="497C3A0F"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717.226</w:t>
            </w:r>
          </w:p>
        </w:tc>
        <w:tc>
          <w:tcPr>
            <w:tcW w:w="389" w:type="pct"/>
            <w:tcBorders>
              <w:top w:val="single" w:sz="4" w:space="0" w:color="FFFFFF" w:themeColor="background1"/>
              <w:left w:val="nil"/>
              <w:bottom w:val="single" w:sz="8" w:space="0" w:color="FFFFFF"/>
              <w:right w:val="nil"/>
            </w:tcBorders>
            <w:shd w:val="clear" w:color="000000" w:fill="D0E0E3"/>
            <w:noWrap/>
            <w:vAlign w:val="center"/>
            <w:hideMark/>
          </w:tcPr>
          <w:p w14:paraId="200E6ED1" w14:textId="5CF04431"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203.902.747</w:t>
            </w:r>
          </w:p>
        </w:tc>
        <w:tc>
          <w:tcPr>
            <w:tcW w:w="341" w:type="pct"/>
            <w:tcBorders>
              <w:top w:val="single" w:sz="4" w:space="0" w:color="FFFFFF" w:themeColor="background1"/>
              <w:left w:val="nil"/>
              <w:bottom w:val="single" w:sz="8" w:space="0" w:color="FFFFFF"/>
              <w:right w:val="nil"/>
            </w:tcBorders>
            <w:shd w:val="clear" w:color="000000" w:fill="D0E0E3"/>
            <w:noWrap/>
            <w:vAlign w:val="center"/>
            <w:hideMark/>
          </w:tcPr>
          <w:p w14:paraId="64BDFDDF" w14:textId="0874ED23"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(1.258.866)</w:t>
            </w:r>
          </w:p>
        </w:tc>
        <w:tc>
          <w:tcPr>
            <w:tcW w:w="378" w:type="pct"/>
            <w:tcBorders>
              <w:top w:val="single" w:sz="4" w:space="0" w:color="FFFFFF" w:themeColor="background1"/>
              <w:left w:val="nil"/>
              <w:bottom w:val="single" w:sz="8" w:space="0" w:color="FFFFFF"/>
              <w:right w:val="nil"/>
            </w:tcBorders>
            <w:shd w:val="clear" w:color="000000" w:fill="D0E0E3"/>
            <w:noWrap/>
            <w:vAlign w:val="center"/>
            <w:hideMark/>
          </w:tcPr>
          <w:p w14:paraId="67C14BD2" w14:textId="64044BB4"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202.643.881</w:t>
            </w:r>
          </w:p>
        </w:tc>
      </w:tr>
      <w:tr w:rsidR="00675B7E" w:rsidRPr="00C67C7F" w14:paraId="3C563352" w14:textId="77777777" w:rsidTr="009E01D8">
        <w:trPr>
          <w:trHeight w:val="255"/>
        </w:trPr>
        <w:tc>
          <w:tcPr>
            <w:tcW w:w="875" w:type="pct"/>
            <w:tcBorders>
              <w:top w:val="nil"/>
              <w:left w:val="nil"/>
              <w:bottom w:val="nil"/>
              <w:right w:val="nil"/>
            </w:tcBorders>
            <w:shd w:val="clear" w:color="000000" w:fill="D0E0E3"/>
            <w:noWrap/>
            <w:vAlign w:val="center"/>
            <w:hideMark/>
          </w:tcPr>
          <w:p w14:paraId="3106F34E" w14:textId="77777777" w:rsidR="00675B7E" w:rsidRPr="00C67C7F" w:rsidRDefault="00675B7E" w:rsidP="00675B7E">
            <w:pPr>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Garantias financeiras prestadas</w:t>
            </w:r>
          </w:p>
        </w:tc>
        <w:tc>
          <w:tcPr>
            <w:tcW w:w="390" w:type="pct"/>
            <w:tcBorders>
              <w:top w:val="nil"/>
              <w:left w:val="nil"/>
              <w:bottom w:val="nil"/>
              <w:right w:val="nil"/>
            </w:tcBorders>
            <w:shd w:val="clear" w:color="000000" w:fill="D0E0E3"/>
            <w:noWrap/>
            <w:vAlign w:val="center"/>
            <w:hideMark/>
          </w:tcPr>
          <w:p w14:paraId="72B0C209" w14:textId="0D7CE67E"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25.796.435</w:t>
            </w:r>
          </w:p>
        </w:tc>
        <w:tc>
          <w:tcPr>
            <w:tcW w:w="299" w:type="pct"/>
            <w:tcBorders>
              <w:top w:val="nil"/>
              <w:left w:val="nil"/>
              <w:bottom w:val="nil"/>
              <w:right w:val="nil"/>
            </w:tcBorders>
            <w:shd w:val="clear" w:color="000000" w:fill="D0E0E3"/>
            <w:noWrap/>
            <w:vAlign w:val="center"/>
            <w:hideMark/>
          </w:tcPr>
          <w:p w14:paraId="0210D726" w14:textId="0BA3207B"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(1.241)</w:t>
            </w:r>
          </w:p>
        </w:tc>
        <w:tc>
          <w:tcPr>
            <w:tcW w:w="381" w:type="pct"/>
            <w:tcBorders>
              <w:top w:val="nil"/>
              <w:left w:val="nil"/>
              <w:bottom w:val="nil"/>
              <w:right w:val="nil"/>
            </w:tcBorders>
            <w:shd w:val="clear" w:color="000000" w:fill="D0E0E3"/>
            <w:noWrap/>
            <w:vAlign w:val="center"/>
            <w:hideMark/>
          </w:tcPr>
          <w:p w14:paraId="5B1A744A" w14:textId="06842C2C"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25.795.194</w:t>
            </w:r>
          </w:p>
        </w:tc>
        <w:tc>
          <w:tcPr>
            <w:tcW w:w="307" w:type="pct"/>
            <w:tcBorders>
              <w:top w:val="nil"/>
              <w:left w:val="nil"/>
              <w:bottom w:val="nil"/>
              <w:right w:val="nil"/>
            </w:tcBorders>
            <w:shd w:val="clear" w:color="000000" w:fill="D0E0E3"/>
            <w:noWrap/>
            <w:vAlign w:val="center"/>
            <w:hideMark/>
          </w:tcPr>
          <w:p w14:paraId="20EC3086" w14:textId="5673B54B"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5.776.136</w:t>
            </w:r>
          </w:p>
        </w:tc>
        <w:tc>
          <w:tcPr>
            <w:tcW w:w="344" w:type="pct"/>
            <w:tcBorders>
              <w:top w:val="nil"/>
              <w:left w:val="nil"/>
              <w:bottom w:val="nil"/>
              <w:right w:val="nil"/>
            </w:tcBorders>
            <w:shd w:val="clear" w:color="000000" w:fill="D0E0E3"/>
            <w:noWrap/>
            <w:vAlign w:val="center"/>
            <w:hideMark/>
          </w:tcPr>
          <w:p w14:paraId="200E55E7" w14:textId="2FFEEBB8"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(1.040)</w:t>
            </w:r>
          </w:p>
        </w:tc>
        <w:tc>
          <w:tcPr>
            <w:tcW w:w="344" w:type="pct"/>
            <w:tcBorders>
              <w:top w:val="nil"/>
              <w:left w:val="nil"/>
              <w:bottom w:val="nil"/>
              <w:right w:val="nil"/>
            </w:tcBorders>
            <w:shd w:val="clear" w:color="000000" w:fill="D0E0E3"/>
            <w:noWrap/>
            <w:vAlign w:val="center"/>
            <w:hideMark/>
          </w:tcPr>
          <w:p w14:paraId="610254DC" w14:textId="2CEED381"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5.775.096</w:t>
            </w:r>
          </w:p>
        </w:tc>
        <w:tc>
          <w:tcPr>
            <w:tcW w:w="344" w:type="pct"/>
            <w:tcBorders>
              <w:top w:val="nil"/>
              <w:left w:val="nil"/>
              <w:bottom w:val="nil"/>
              <w:right w:val="nil"/>
            </w:tcBorders>
            <w:shd w:val="clear" w:color="000000" w:fill="D0E0E3"/>
            <w:noWrap/>
            <w:vAlign w:val="center"/>
            <w:hideMark/>
          </w:tcPr>
          <w:p w14:paraId="317E62E0" w14:textId="3EAFFD56"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59.987</w:t>
            </w:r>
          </w:p>
        </w:tc>
        <w:tc>
          <w:tcPr>
            <w:tcW w:w="316" w:type="pct"/>
            <w:tcBorders>
              <w:top w:val="nil"/>
              <w:left w:val="nil"/>
              <w:bottom w:val="nil"/>
              <w:right w:val="nil"/>
            </w:tcBorders>
            <w:shd w:val="clear" w:color="000000" w:fill="D0E0E3"/>
            <w:noWrap/>
            <w:vAlign w:val="center"/>
            <w:hideMark/>
          </w:tcPr>
          <w:p w14:paraId="58A3F4E1" w14:textId="0096A2DD"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(47.297)</w:t>
            </w:r>
          </w:p>
        </w:tc>
        <w:tc>
          <w:tcPr>
            <w:tcW w:w="292" w:type="pct"/>
            <w:tcBorders>
              <w:top w:val="nil"/>
              <w:left w:val="nil"/>
              <w:bottom w:val="nil"/>
              <w:right w:val="nil"/>
            </w:tcBorders>
            <w:shd w:val="clear" w:color="000000" w:fill="D0E0E3"/>
            <w:noWrap/>
            <w:vAlign w:val="center"/>
            <w:hideMark/>
          </w:tcPr>
          <w:p w14:paraId="24F63CD9" w14:textId="5191AB10"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12.690</w:t>
            </w:r>
          </w:p>
        </w:tc>
        <w:tc>
          <w:tcPr>
            <w:tcW w:w="389" w:type="pct"/>
            <w:tcBorders>
              <w:top w:val="nil"/>
              <w:left w:val="nil"/>
              <w:bottom w:val="nil"/>
              <w:right w:val="nil"/>
            </w:tcBorders>
            <w:shd w:val="clear" w:color="000000" w:fill="D0E0E3"/>
            <w:noWrap/>
            <w:vAlign w:val="center"/>
            <w:hideMark/>
          </w:tcPr>
          <w:p w14:paraId="158913E5" w14:textId="61F96829"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31.632.558</w:t>
            </w:r>
          </w:p>
        </w:tc>
        <w:tc>
          <w:tcPr>
            <w:tcW w:w="341" w:type="pct"/>
            <w:tcBorders>
              <w:top w:val="nil"/>
              <w:left w:val="nil"/>
              <w:bottom w:val="nil"/>
              <w:right w:val="nil"/>
            </w:tcBorders>
            <w:shd w:val="clear" w:color="000000" w:fill="D0E0E3"/>
            <w:noWrap/>
            <w:vAlign w:val="center"/>
            <w:hideMark/>
          </w:tcPr>
          <w:p w14:paraId="46CD0179" w14:textId="381DD39F"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(49.578)</w:t>
            </w:r>
          </w:p>
        </w:tc>
        <w:tc>
          <w:tcPr>
            <w:tcW w:w="378" w:type="pct"/>
            <w:tcBorders>
              <w:top w:val="nil"/>
              <w:left w:val="nil"/>
              <w:bottom w:val="nil"/>
              <w:right w:val="nil"/>
            </w:tcBorders>
            <w:shd w:val="clear" w:color="000000" w:fill="D0E0E3"/>
            <w:noWrap/>
            <w:vAlign w:val="center"/>
            <w:hideMark/>
          </w:tcPr>
          <w:p w14:paraId="41BE4B29" w14:textId="6A8187AD" w:rsidR="00675B7E" w:rsidRPr="00C67C7F" w:rsidRDefault="0001229D" w:rsidP="00675B7E">
            <w:pPr>
              <w:jc w:val="right"/>
              <w:rPr>
                <w:rFonts w:ascii="CAIXA Std Book" w:eastAsia="Times New Roman" w:hAnsi="CAIXA Std Book" w:cs="Times New Roman"/>
                <w:b/>
                <w:bCs/>
                <w:color w:val="005CA9"/>
                <w:sz w:val="15"/>
                <w:szCs w:val="15"/>
              </w:rPr>
            </w:pPr>
            <w:r w:rsidRPr="00C67C7F">
              <w:rPr>
                <w:rFonts w:ascii="CAIXA Std Book" w:hAnsi="CAIXA Std Book"/>
                <w:b/>
                <w:bCs/>
                <w:color w:val="005CA9"/>
                <w:sz w:val="15"/>
                <w:szCs w:val="15"/>
              </w:rPr>
              <w:t>31.582.980</w:t>
            </w:r>
          </w:p>
        </w:tc>
      </w:tr>
      <w:tr w:rsidR="00675B7E" w:rsidRPr="00C67C7F" w14:paraId="69E38E47" w14:textId="77777777" w:rsidTr="009E01D8">
        <w:trPr>
          <w:trHeight w:val="255"/>
        </w:trPr>
        <w:tc>
          <w:tcPr>
            <w:tcW w:w="875" w:type="pct"/>
            <w:tcBorders>
              <w:top w:val="nil"/>
              <w:left w:val="nil"/>
              <w:bottom w:val="nil"/>
              <w:right w:val="nil"/>
            </w:tcBorders>
            <w:vAlign w:val="center"/>
            <w:hideMark/>
          </w:tcPr>
          <w:p w14:paraId="51FB98F2" w14:textId="77777777" w:rsidR="00675B7E" w:rsidRPr="00C67C7F" w:rsidRDefault="00675B7E" w:rsidP="00675B7E">
            <w:pPr>
              <w:ind w:firstLineChars="100" w:firstLine="150"/>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Repasses - Entidades</w:t>
            </w:r>
          </w:p>
        </w:tc>
        <w:tc>
          <w:tcPr>
            <w:tcW w:w="390" w:type="pct"/>
            <w:tcBorders>
              <w:top w:val="nil"/>
              <w:left w:val="nil"/>
              <w:bottom w:val="nil"/>
              <w:right w:val="nil"/>
            </w:tcBorders>
            <w:shd w:val="clear" w:color="000000" w:fill="FFFFFF"/>
            <w:vAlign w:val="center"/>
            <w:hideMark/>
          </w:tcPr>
          <w:p w14:paraId="3C2752AE" w14:textId="352CC585"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25.741.406</w:t>
            </w:r>
          </w:p>
        </w:tc>
        <w:tc>
          <w:tcPr>
            <w:tcW w:w="299" w:type="pct"/>
            <w:tcBorders>
              <w:top w:val="nil"/>
              <w:left w:val="nil"/>
              <w:bottom w:val="nil"/>
              <w:right w:val="nil"/>
            </w:tcBorders>
            <w:shd w:val="clear" w:color="000000" w:fill="FFFFFF"/>
            <w:vAlign w:val="center"/>
            <w:hideMark/>
          </w:tcPr>
          <w:p w14:paraId="4B9BC416" w14:textId="11A25EDA"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(26)</w:t>
            </w:r>
          </w:p>
        </w:tc>
        <w:tc>
          <w:tcPr>
            <w:tcW w:w="381" w:type="pct"/>
            <w:tcBorders>
              <w:top w:val="nil"/>
              <w:left w:val="nil"/>
              <w:bottom w:val="nil"/>
              <w:right w:val="nil"/>
            </w:tcBorders>
            <w:shd w:val="clear" w:color="000000" w:fill="FFFFFF"/>
            <w:vAlign w:val="center"/>
            <w:hideMark/>
          </w:tcPr>
          <w:p w14:paraId="31BE68E5" w14:textId="13DE84F9"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25.741.380</w:t>
            </w:r>
          </w:p>
        </w:tc>
        <w:tc>
          <w:tcPr>
            <w:tcW w:w="307" w:type="pct"/>
            <w:tcBorders>
              <w:top w:val="nil"/>
              <w:left w:val="nil"/>
              <w:bottom w:val="nil"/>
              <w:right w:val="nil"/>
            </w:tcBorders>
            <w:shd w:val="clear" w:color="000000" w:fill="FFFFFF"/>
            <w:vAlign w:val="center"/>
            <w:hideMark/>
          </w:tcPr>
          <w:p w14:paraId="70CAD80E" w14:textId="487E2066" w:rsidR="00675B7E" w:rsidRPr="00C67C7F" w:rsidRDefault="0001229D" w:rsidP="0001229D">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5.769.671</w:t>
            </w:r>
          </w:p>
        </w:tc>
        <w:tc>
          <w:tcPr>
            <w:tcW w:w="344" w:type="pct"/>
            <w:tcBorders>
              <w:top w:val="nil"/>
              <w:left w:val="nil"/>
              <w:bottom w:val="nil"/>
              <w:right w:val="nil"/>
            </w:tcBorders>
            <w:shd w:val="clear" w:color="000000" w:fill="FFFFFF"/>
            <w:vAlign w:val="center"/>
            <w:hideMark/>
          </w:tcPr>
          <w:p w14:paraId="30CF7A23" w14:textId="29ADBBED" w:rsidR="00675B7E" w:rsidRPr="00C67C7F" w:rsidRDefault="0001229D" w:rsidP="0001229D">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(10)</w:t>
            </w:r>
          </w:p>
        </w:tc>
        <w:tc>
          <w:tcPr>
            <w:tcW w:w="344" w:type="pct"/>
            <w:tcBorders>
              <w:top w:val="nil"/>
              <w:left w:val="nil"/>
              <w:bottom w:val="nil"/>
              <w:right w:val="nil"/>
            </w:tcBorders>
            <w:shd w:val="clear" w:color="000000" w:fill="FFFFFF"/>
            <w:vAlign w:val="center"/>
            <w:hideMark/>
          </w:tcPr>
          <w:p w14:paraId="228D5DAB" w14:textId="2A6C2BD8" w:rsidR="00675B7E" w:rsidRPr="00C67C7F" w:rsidRDefault="0001229D" w:rsidP="0001229D">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5.769.661</w:t>
            </w:r>
          </w:p>
        </w:tc>
        <w:tc>
          <w:tcPr>
            <w:tcW w:w="344" w:type="pct"/>
            <w:tcBorders>
              <w:top w:val="nil"/>
              <w:left w:val="nil"/>
              <w:bottom w:val="nil"/>
              <w:right w:val="nil"/>
            </w:tcBorders>
            <w:shd w:val="clear" w:color="000000" w:fill="FFFFFF"/>
            <w:vAlign w:val="center"/>
            <w:hideMark/>
          </w:tcPr>
          <w:p w14:paraId="244F3181" w14:textId="6F4C5156"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16.490</w:t>
            </w:r>
          </w:p>
        </w:tc>
        <w:tc>
          <w:tcPr>
            <w:tcW w:w="316" w:type="pct"/>
            <w:tcBorders>
              <w:top w:val="nil"/>
              <w:left w:val="nil"/>
              <w:bottom w:val="nil"/>
              <w:right w:val="nil"/>
            </w:tcBorders>
            <w:shd w:val="clear" w:color="000000" w:fill="FFFFFF"/>
            <w:vAlign w:val="center"/>
            <w:hideMark/>
          </w:tcPr>
          <w:p w14:paraId="0D2AE72D" w14:textId="5DD940B5"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(16.490)</w:t>
            </w:r>
          </w:p>
        </w:tc>
        <w:tc>
          <w:tcPr>
            <w:tcW w:w="292" w:type="pct"/>
            <w:tcBorders>
              <w:top w:val="nil"/>
              <w:left w:val="nil"/>
              <w:bottom w:val="nil"/>
              <w:right w:val="nil"/>
            </w:tcBorders>
            <w:shd w:val="clear" w:color="000000" w:fill="FFFFFF"/>
            <w:vAlign w:val="center"/>
            <w:hideMark/>
          </w:tcPr>
          <w:p w14:paraId="41F35D7F" w14:textId="3F26E337" w:rsidR="00675B7E" w:rsidRPr="00C67C7F" w:rsidRDefault="0001229D" w:rsidP="009E01D8">
            <w:pPr>
              <w:jc w:val="center"/>
              <w:rPr>
                <w:rFonts w:ascii="CAIXA Std Book" w:eastAsia="Times New Roman" w:hAnsi="CAIXA Std Book" w:cs="Times New Roman"/>
                <w:color w:val="005CA9"/>
                <w:sz w:val="15"/>
                <w:szCs w:val="15"/>
              </w:rPr>
            </w:pPr>
            <w:r w:rsidRPr="00C67C7F">
              <w:rPr>
                <w:rFonts w:ascii="CAIXA Std Book" w:hAnsi="CAIXA Std Book"/>
                <w:color w:val="005CA9"/>
                <w:sz w:val="15"/>
                <w:szCs w:val="15"/>
              </w:rPr>
              <w:t>-</w:t>
            </w:r>
          </w:p>
        </w:tc>
        <w:tc>
          <w:tcPr>
            <w:tcW w:w="389" w:type="pct"/>
            <w:tcBorders>
              <w:top w:val="nil"/>
              <w:left w:val="nil"/>
              <w:bottom w:val="nil"/>
              <w:right w:val="nil"/>
            </w:tcBorders>
            <w:shd w:val="clear" w:color="000000" w:fill="FFFFFF"/>
            <w:vAlign w:val="center"/>
            <w:hideMark/>
          </w:tcPr>
          <w:p w14:paraId="3056BB29" w14:textId="38B87E7C"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31.527.567</w:t>
            </w:r>
          </w:p>
        </w:tc>
        <w:tc>
          <w:tcPr>
            <w:tcW w:w="341" w:type="pct"/>
            <w:tcBorders>
              <w:top w:val="nil"/>
              <w:left w:val="nil"/>
              <w:bottom w:val="nil"/>
              <w:right w:val="nil"/>
            </w:tcBorders>
            <w:shd w:val="clear" w:color="000000" w:fill="FFFFFF"/>
            <w:vAlign w:val="center"/>
            <w:hideMark/>
          </w:tcPr>
          <w:p w14:paraId="0A56EE90" w14:textId="18D91B90"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(16.526)</w:t>
            </w:r>
          </w:p>
        </w:tc>
        <w:tc>
          <w:tcPr>
            <w:tcW w:w="378" w:type="pct"/>
            <w:tcBorders>
              <w:top w:val="nil"/>
              <w:left w:val="nil"/>
              <w:bottom w:val="nil"/>
              <w:right w:val="nil"/>
            </w:tcBorders>
            <w:shd w:val="clear" w:color="000000" w:fill="FFFFFF"/>
            <w:vAlign w:val="center"/>
            <w:hideMark/>
          </w:tcPr>
          <w:p w14:paraId="440AB58C" w14:textId="7FCFDB0E"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31.511.041</w:t>
            </w:r>
          </w:p>
        </w:tc>
      </w:tr>
      <w:tr w:rsidR="00675B7E" w:rsidRPr="00C67C7F" w14:paraId="684265CE" w14:textId="77777777" w:rsidTr="009E01D8">
        <w:trPr>
          <w:trHeight w:val="255"/>
        </w:trPr>
        <w:tc>
          <w:tcPr>
            <w:tcW w:w="875" w:type="pct"/>
            <w:tcBorders>
              <w:top w:val="nil"/>
              <w:left w:val="nil"/>
              <w:bottom w:val="nil"/>
              <w:right w:val="nil"/>
            </w:tcBorders>
            <w:vAlign w:val="center"/>
            <w:hideMark/>
          </w:tcPr>
          <w:p w14:paraId="59D63280" w14:textId="77777777" w:rsidR="00675B7E" w:rsidRPr="00C67C7F" w:rsidRDefault="00675B7E" w:rsidP="00675B7E">
            <w:pPr>
              <w:ind w:firstLineChars="100" w:firstLine="150"/>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FIES</w:t>
            </w:r>
          </w:p>
        </w:tc>
        <w:tc>
          <w:tcPr>
            <w:tcW w:w="390" w:type="pct"/>
            <w:tcBorders>
              <w:top w:val="nil"/>
              <w:left w:val="nil"/>
              <w:bottom w:val="nil"/>
              <w:right w:val="nil"/>
            </w:tcBorders>
            <w:shd w:val="clear" w:color="000000" w:fill="FFFFFF"/>
            <w:vAlign w:val="center"/>
            <w:hideMark/>
          </w:tcPr>
          <w:p w14:paraId="095C4A3F" w14:textId="63737673"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55.029</w:t>
            </w:r>
          </w:p>
        </w:tc>
        <w:tc>
          <w:tcPr>
            <w:tcW w:w="299" w:type="pct"/>
            <w:tcBorders>
              <w:top w:val="nil"/>
              <w:left w:val="nil"/>
              <w:bottom w:val="nil"/>
              <w:right w:val="nil"/>
            </w:tcBorders>
            <w:shd w:val="clear" w:color="000000" w:fill="FFFFFF"/>
            <w:vAlign w:val="center"/>
            <w:hideMark/>
          </w:tcPr>
          <w:p w14:paraId="3498FC06" w14:textId="5F940885"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(1.215)</w:t>
            </w:r>
          </w:p>
        </w:tc>
        <w:tc>
          <w:tcPr>
            <w:tcW w:w="381" w:type="pct"/>
            <w:tcBorders>
              <w:top w:val="nil"/>
              <w:left w:val="nil"/>
              <w:bottom w:val="nil"/>
              <w:right w:val="nil"/>
            </w:tcBorders>
            <w:shd w:val="clear" w:color="000000" w:fill="FFFFFF"/>
            <w:vAlign w:val="center"/>
            <w:hideMark/>
          </w:tcPr>
          <w:p w14:paraId="6C09414D" w14:textId="2379E16D"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53.814</w:t>
            </w:r>
          </w:p>
        </w:tc>
        <w:tc>
          <w:tcPr>
            <w:tcW w:w="307" w:type="pct"/>
            <w:tcBorders>
              <w:top w:val="nil"/>
              <w:left w:val="nil"/>
              <w:bottom w:val="nil"/>
              <w:right w:val="nil"/>
            </w:tcBorders>
            <w:shd w:val="clear" w:color="000000" w:fill="FFFFFF"/>
            <w:vAlign w:val="center"/>
            <w:hideMark/>
          </w:tcPr>
          <w:p w14:paraId="3A1B1FFC" w14:textId="7B2D7CA3"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6.465</w:t>
            </w:r>
          </w:p>
        </w:tc>
        <w:tc>
          <w:tcPr>
            <w:tcW w:w="344" w:type="pct"/>
            <w:tcBorders>
              <w:top w:val="nil"/>
              <w:left w:val="nil"/>
              <w:bottom w:val="nil"/>
              <w:right w:val="nil"/>
            </w:tcBorders>
            <w:shd w:val="clear" w:color="000000" w:fill="FFFFFF"/>
            <w:vAlign w:val="center"/>
            <w:hideMark/>
          </w:tcPr>
          <w:p w14:paraId="3DA6C783" w14:textId="1B13712D"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(1.030)</w:t>
            </w:r>
          </w:p>
        </w:tc>
        <w:tc>
          <w:tcPr>
            <w:tcW w:w="344" w:type="pct"/>
            <w:tcBorders>
              <w:top w:val="nil"/>
              <w:left w:val="nil"/>
              <w:bottom w:val="nil"/>
              <w:right w:val="nil"/>
            </w:tcBorders>
            <w:shd w:val="clear" w:color="000000" w:fill="FFFFFF"/>
            <w:vAlign w:val="center"/>
            <w:hideMark/>
          </w:tcPr>
          <w:p w14:paraId="4240B293" w14:textId="445940C9"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5.435</w:t>
            </w:r>
          </w:p>
        </w:tc>
        <w:tc>
          <w:tcPr>
            <w:tcW w:w="344" w:type="pct"/>
            <w:tcBorders>
              <w:top w:val="nil"/>
              <w:left w:val="nil"/>
              <w:bottom w:val="nil"/>
              <w:right w:val="nil"/>
            </w:tcBorders>
            <w:shd w:val="clear" w:color="000000" w:fill="FFFFFF"/>
            <w:vAlign w:val="center"/>
            <w:hideMark/>
          </w:tcPr>
          <w:p w14:paraId="470F7DE7" w14:textId="262441AB"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21.111</w:t>
            </w:r>
          </w:p>
        </w:tc>
        <w:tc>
          <w:tcPr>
            <w:tcW w:w="316" w:type="pct"/>
            <w:tcBorders>
              <w:top w:val="nil"/>
              <w:left w:val="nil"/>
              <w:bottom w:val="nil"/>
              <w:right w:val="nil"/>
            </w:tcBorders>
            <w:shd w:val="clear" w:color="000000" w:fill="FFFFFF"/>
            <w:vAlign w:val="center"/>
            <w:hideMark/>
          </w:tcPr>
          <w:p w14:paraId="385DF237" w14:textId="57F808B9"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(15.538)</w:t>
            </w:r>
          </w:p>
        </w:tc>
        <w:tc>
          <w:tcPr>
            <w:tcW w:w="292" w:type="pct"/>
            <w:tcBorders>
              <w:top w:val="nil"/>
              <w:left w:val="nil"/>
              <w:bottom w:val="nil"/>
              <w:right w:val="nil"/>
            </w:tcBorders>
            <w:shd w:val="clear" w:color="000000" w:fill="FFFFFF"/>
            <w:vAlign w:val="center"/>
            <w:hideMark/>
          </w:tcPr>
          <w:p w14:paraId="07220605" w14:textId="27D99ACC"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5.573</w:t>
            </w:r>
          </w:p>
        </w:tc>
        <w:tc>
          <w:tcPr>
            <w:tcW w:w="389" w:type="pct"/>
            <w:tcBorders>
              <w:top w:val="nil"/>
              <w:left w:val="nil"/>
              <w:bottom w:val="nil"/>
              <w:right w:val="nil"/>
            </w:tcBorders>
            <w:shd w:val="clear" w:color="000000" w:fill="FFFFFF"/>
            <w:vAlign w:val="center"/>
            <w:hideMark/>
          </w:tcPr>
          <w:p w14:paraId="3F4D9FB8" w14:textId="417C2F6D"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82.605</w:t>
            </w:r>
          </w:p>
        </w:tc>
        <w:tc>
          <w:tcPr>
            <w:tcW w:w="341" w:type="pct"/>
            <w:tcBorders>
              <w:top w:val="nil"/>
              <w:left w:val="nil"/>
              <w:bottom w:val="nil"/>
              <w:right w:val="nil"/>
            </w:tcBorders>
            <w:shd w:val="clear" w:color="000000" w:fill="FFFFFF"/>
            <w:vAlign w:val="center"/>
            <w:hideMark/>
          </w:tcPr>
          <w:p w14:paraId="1FF52EA3" w14:textId="54343686"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(17.783)</w:t>
            </w:r>
          </w:p>
        </w:tc>
        <w:tc>
          <w:tcPr>
            <w:tcW w:w="378" w:type="pct"/>
            <w:tcBorders>
              <w:top w:val="nil"/>
              <w:left w:val="nil"/>
              <w:bottom w:val="nil"/>
              <w:right w:val="nil"/>
            </w:tcBorders>
            <w:shd w:val="clear" w:color="000000" w:fill="FFFFFF"/>
            <w:vAlign w:val="center"/>
            <w:hideMark/>
          </w:tcPr>
          <w:p w14:paraId="1C0AE00F" w14:textId="4BBDA232"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64.822</w:t>
            </w:r>
          </w:p>
        </w:tc>
      </w:tr>
      <w:tr w:rsidR="00675B7E" w:rsidRPr="00C67C7F" w14:paraId="1C2CD8D8" w14:textId="77777777" w:rsidTr="009E01D8">
        <w:trPr>
          <w:trHeight w:val="255"/>
        </w:trPr>
        <w:tc>
          <w:tcPr>
            <w:tcW w:w="875" w:type="pct"/>
            <w:tcBorders>
              <w:top w:val="nil"/>
              <w:left w:val="nil"/>
              <w:bottom w:val="nil"/>
              <w:right w:val="nil"/>
            </w:tcBorders>
            <w:vAlign w:val="center"/>
            <w:hideMark/>
          </w:tcPr>
          <w:p w14:paraId="56487F2E" w14:textId="77777777" w:rsidR="00675B7E" w:rsidRPr="00C67C7F" w:rsidRDefault="00675B7E" w:rsidP="00675B7E">
            <w:pPr>
              <w:ind w:firstLineChars="100" w:firstLine="150"/>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Fiança</w:t>
            </w:r>
          </w:p>
        </w:tc>
        <w:tc>
          <w:tcPr>
            <w:tcW w:w="390" w:type="pct"/>
            <w:tcBorders>
              <w:top w:val="nil"/>
              <w:left w:val="nil"/>
              <w:bottom w:val="nil"/>
              <w:right w:val="nil"/>
            </w:tcBorders>
            <w:shd w:val="clear" w:color="000000" w:fill="FFFFFF"/>
            <w:vAlign w:val="center"/>
            <w:hideMark/>
          </w:tcPr>
          <w:p w14:paraId="3643DE67" w14:textId="4DD99835" w:rsidR="00675B7E" w:rsidRPr="00C67C7F" w:rsidRDefault="0001229D" w:rsidP="009E01D8">
            <w:pPr>
              <w:jc w:val="center"/>
              <w:rPr>
                <w:rFonts w:ascii="CAIXA Std Book" w:eastAsia="Times New Roman" w:hAnsi="CAIXA Std Book" w:cs="Times New Roman"/>
                <w:color w:val="005CA9"/>
                <w:sz w:val="15"/>
                <w:szCs w:val="15"/>
              </w:rPr>
            </w:pPr>
            <w:r w:rsidRPr="00C67C7F">
              <w:rPr>
                <w:rFonts w:ascii="CAIXA Std Book" w:hAnsi="CAIXA Std Book"/>
                <w:color w:val="005CA9"/>
                <w:sz w:val="15"/>
                <w:szCs w:val="15"/>
              </w:rPr>
              <w:t>-</w:t>
            </w:r>
          </w:p>
        </w:tc>
        <w:tc>
          <w:tcPr>
            <w:tcW w:w="299" w:type="pct"/>
            <w:tcBorders>
              <w:top w:val="nil"/>
              <w:left w:val="nil"/>
              <w:bottom w:val="nil"/>
              <w:right w:val="nil"/>
            </w:tcBorders>
            <w:shd w:val="clear" w:color="000000" w:fill="FFFFFF"/>
            <w:vAlign w:val="center"/>
            <w:hideMark/>
          </w:tcPr>
          <w:p w14:paraId="64B7F553" w14:textId="33CDCD08" w:rsidR="00675B7E" w:rsidRPr="00C67C7F" w:rsidRDefault="0001229D" w:rsidP="009E01D8">
            <w:pPr>
              <w:jc w:val="center"/>
              <w:rPr>
                <w:rFonts w:ascii="CAIXA Std Book" w:eastAsia="Times New Roman" w:hAnsi="CAIXA Std Book" w:cs="Times New Roman"/>
                <w:color w:val="005CA9"/>
                <w:sz w:val="15"/>
                <w:szCs w:val="15"/>
              </w:rPr>
            </w:pPr>
            <w:r w:rsidRPr="00C67C7F">
              <w:rPr>
                <w:rFonts w:ascii="CAIXA Std Book" w:hAnsi="CAIXA Std Book"/>
                <w:color w:val="005CA9"/>
                <w:sz w:val="15"/>
                <w:szCs w:val="15"/>
              </w:rPr>
              <w:t>-</w:t>
            </w:r>
          </w:p>
        </w:tc>
        <w:tc>
          <w:tcPr>
            <w:tcW w:w="381" w:type="pct"/>
            <w:tcBorders>
              <w:top w:val="nil"/>
              <w:left w:val="nil"/>
              <w:bottom w:val="nil"/>
              <w:right w:val="nil"/>
            </w:tcBorders>
            <w:shd w:val="clear" w:color="000000" w:fill="FFFFFF"/>
            <w:vAlign w:val="center"/>
            <w:hideMark/>
          </w:tcPr>
          <w:p w14:paraId="004B5E2D" w14:textId="1300D8D3" w:rsidR="00675B7E" w:rsidRPr="00C67C7F" w:rsidRDefault="0001229D" w:rsidP="009E01D8">
            <w:pPr>
              <w:jc w:val="center"/>
              <w:rPr>
                <w:rFonts w:ascii="CAIXA Std Book" w:eastAsia="Times New Roman" w:hAnsi="CAIXA Std Book" w:cs="Times New Roman"/>
                <w:color w:val="005CA9"/>
                <w:sz w:val="15"/>
                <w:szCs w:val="15"/>
              </w:rPr>
            </w:pPr>
            <w:r w:rsidRPr="00C67C7F">
              <w:rPr>
                <w:rFonts w:ascii="CAIXA Std Book" w:hAnsi="CAIXA Std Book"/>
                <w:color w:val="005CA9"/>
                <w:sz w:val="15"/>
                <w:szCs w:val="15"/>
              </w:rPr>
              <w:t>-</w:t>
            </w:r>
          </w:p>
        </w:tc>
        <w:tc>
          <w:tcPr>
            <w:tcW w:w="307" w:type="pct"/>
            <w:tcBorders>
              <w:top w:val="nil"/>
              <w:left w:val="nil"/>
              <w:bottom w:val="nil"/>
              <w:right w:val="nil"/>
            </w:tcBorders>
            <w:shd w:val="clear" w:color="000000" w:fill="FFFFFF"/>
            <w:vAlign w:val="center"/>
            <w:hideMark/>
          </w:tcPr>
          <w:p w14:paraId="6668A2D6" w14:textId="40E3AC63" w:rsidR="00675B7E" w:rsidRPr="00C67C7F" w:rsidRDefault="0001229D" w:rsidP="009E01D8">
            <w:pPr>
              <w:jc w:val="center"/>
              <w:rPr>
                <w:rFonts w:ascii="CAIXA Std Book" w:eastAsia="Times New Roman" w:hAnsi="CAIXA Std Book" w:cs="Times New Roman"/>
                <w:color w:val="005CA9"/>
                <w:sz w:val="15"/>
                <w:szCs w:val="15"/>
              </w:rPr>
            </w:pPr>
            <w:r w:rsidRPr="00C67C7F">
              <w:rPr>
                <w:rFonts w:ascii="CAIXA Std Book" w:hAnsi="CAIXA Std Book"/>
                <w:color w:val="005CA9"/>
                <w:sz w:val="15"/>
                <w:szCs w:val="15"/>
              </w:rPr>
              <w:t>-</w:t>
            </w:r>
          </w:p>
        </w:tc>
        <w:tc>
          <w:tcPr>
            <w:tcW w:w="344" w:type="pct"/>
            <w:tcBorders>
              <w:top w:val="nil"/>
              <w:left w:val="nil"/>
              <w:bottom w:val="nil"/>
              <w:right w:val="nil"/>
            </w:tcBorders>
            <w:shd w:val="clear" w:color="000000" w:fill="FFFFFF"/>
            <w:vAlign w:val="center"/>
            <w:hideMark/>
          </w:tcPr>
          <w:p w14:paraId="573BD850" w14:textId="6A7FABB3" w:rsidR="00675B7E" w:rsidRPr="00C67C7F" w:rsidRDefault="0001229D" w:rsidP="009E01D8">
            <w:pPr>
              <w:jc w:val="center"/>
              <w:rPr>
                <w:rFonts w:ascii="CAIXA Std Book" w:eastAsia="Times New Roman" w:hAnsi="CAIXA Std Book" w:cs="Times New Roman"/>
                <w:color w:val="005CA9"/>
                <w:sz w:val="15"/>
                <w:szCs w:val="15"/>
              </w:rPr>
            </w:pPr>
            <w:r w:rsidRPr="00C67C7F">
              <w:rPr>
                <w:rFonts w:ascii="CAIXA Std Book" w:hAnsi="CAIXA Std Book"/>
                <w:color w:val="005CA9"/>
                <w:sz w:val="15"/>
                <w:szCs w:val="15"/>
              </w:rPr>
              <w:t>-</w:t>
            </w:r>
          </w:p>
        </w:tc>
        <w:tc>
          <w:tcPr>
            <w:tcW w:w="344" w:type="pct"/>
            <w:tcBorders>
              <w:top w:val="nil"/>
              <w:left w:val="nil"/>
              <w:bottom w:val="nil"/>
              <w:right w:val="nil"/>
            </w:tcBorders>
            <w:shd w:val="clear" w:color="000000" w:fill="FFFFFF"/>
            <w:vAlign w:val="center"/>
            <w:hideMark/>
          </w:tcPr>
          <w:p w14:paraId="2DE664DB" w14:textId="52F1BA6B" w:rsidR="00675B7E" w:rsidRPr="00C67C7F" w:rsidRDefault="0001229D" w:rsidP="009E01D8">
            <w:pPr>
              <w:jc w:val="center"/>
              <w:rPr>
                <w:rFonts w:ascii="CAIXA Std Book" w:eastAsia="Times New Roman" w:hAnsi="CAIXA Std Book" w:cs="Times New Roman"/>
                <w:color w:val="005CA9"/>
                <w:sz w:val="15"/>
                <w:szCs w:val="15"/>
              </w:rPr>
            </w:pPr>
            <w:r w:rsidRPr="00C67C7F">
              <w:rPr>
                <w:rFonts w:ascii="CAIXA Std Book" w:hAnsi="CAIXA Std Book"/>
                <w:color w:val="005CA9"/>
                <w:sz w:val="15"/>
                <w:szCs w:val="15"/>
              </w:rPr>
              <w:t>-</w:t>
            </w:r>
          </w:p>
        </w:tc>
        <w:tc>
          <w:tcPr>
            <w:tcW w:w="344" w:type="pct"/>
            <w:tcBorders>
              <w:top w:val="nil"/>
              <w:left w:val="nil"/>
              <w:bottom w:val="nil"/>
              <w:right w:val="nil"/>
            </w:tcBorders>
            <w:shd w:val="clear" w:color="000000" w:fill="FFFFFF"/>
            <w:vAlign w:val="center"/>
            <w:hideMark/>
          </w:tcPr>
          <w:p w14:paraId="7AB7FFB2" w14:textId="1E03D11D"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22.386</w:t>
            </w:r>
          </w:p>
        </w:tc>
        <w:tc>
          <w:tcPr>
            <w:tcW w:w="316" w:type="pct"/>
            <w:tcBorders>
              <w:top w:val="nil"/>
              <w:left w:val="nil"/>
              <w:bottom w:val="nil"/>
              <w:right w:val="nil"/>
            </w:tcBorders>
            <w:shd w:val="clear" w:color="000000" w:fill="FFFFFF"/>
            <w:vAlign w:val="center"/>
            <w:hideMark/>
          </w:tcPr>
          <w:p w14:paraId="7FD93D35" w14:textId="137A0DB2"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(15.269)</w:t>
            </w:r>
          </w:p>
        </w:tc>
        <w:tc>
          <w:tcPr>
            <w:tcW w:w="292" w:type="pct"/>
            <w:tcBorders>
              <w:top w:val="nil"/>
              <w:left w:val="nil"/>
              <w:bottom w:val="nil"/>
              <w:right w:val="nil"/>
            </w:tcBorders>
            <w:shd w:val="clear" w:color="000000" w:fill="FFFFFF"/>
            <w:vAlign w:val="center"/>
            <w:hideMark/>
          </w:tcPr>
          <w:p w14:paraId="4C0E09AC" w14:textId="6997710D"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7.117</w:t>
            </w:r>
          </w:p>
        </w:tc>
        <w:tc>
          <w:tcPr>
            <w:tcW w:w="389" w:type="pct"/>
            <w:tcBorders>
              <w:top w:val="nil"/>
              <w:left w:val="nil"/>
              <w:bottom w:val="nil"/>
              <w:right w:val="nil"/>
            </w:tcBorders>
            <w:shd w:val="clear" w:color="000000" w:fill="FFFFFF"/>
            <w:vAlign w:val="center"/>
            <w:hideMark/>
          </w:tcPr>
          <w:p w14:paraId="5195E938" w14:textId="296100FE"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22.386</w:t>
            </w:r>
          </w:p>
        </w:tc>
        <w:tc>
          <w:tcPr>
            <w:tcW w:w="341" w:type="pct"/>
            <w:tcBorders>
              <w:top w:val="nil"/>
              <w:left w:val="nil"/>
              <w:bottom w:val="nil"/>
              <w:right w:val="nil"/>
            </w:tcBorders>
            <w:shd w:val="clear" w:color="000000" w:fill="FFFFFF"/>
            <w:vAlign w:val="center"/>
            <w:hideMark/>
          </w:tcPr>
          <w:p w14:paraId="7F20EC19" w14:textId="096FD30A"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(15.269)</w:t>
            </w:r>
          </w:p>
        </w:tc>
        <w:tc>
          <w:tcPr>
            <w:tcW w:w="378" w:type="pct"/>
            <w:tcBorders>
              <w:top w:val="nil"/>
              <w:left w:val="nil"/>
              <w:bottom w:val="nil"/>
              <w:right w:val="nil"/>
            </w:tcBorders>
            <w:shd w:val="clear" w:color="000000" w:fill="FFFFFF"/>
            <w:vAlign w:val="center"/>
            <w:hideMark/>
          </w:tcPr>
          <w:p w14:paraId="2D0E645C" w14:textId="6E766051" w:rsidR="00675B7E" w:rsidRPr="00C67C7F" w:rsidRDefault="0001229D" w:rsidP="00675B7E">
            <w:pPr>
              <w:jc w:val="right"/>
              <w:rPr>
                <w:rFonts w:ascii="CAIXA Std Book" w:eastAsia="Times New Roman" w:hAnsi="CAIXA Std Book" w:cs="Times New Roman"/>
                <w:color w:val="005CA9"/>
                <w:sz w:val="15"/>
                <w:szCs w:val="15"/>
              </w:rPr>
            </w:pPr>
            <w:r w:rsidRPr="00C67C7F">
              <w:rPr>
                <w:rFonts w:ascii="CAIXA Std Book" w:hAnsi="CAIXA Std Book"/>
                <w:color w:val="005CA9"/>
                <w:sz w:val="15"/>
                <w:szCs w:val="15"/>
              </w:rPr>
              <w:t>7.117</w:t>
            </w:r>
          </w:p>
        </w:tc>
      </w:tr>
      <w:tr w:rsidR="00675B7E" w:rsidRPr="00C67C7F" w14:paraId="6B04D299" w14:textId="77777777" w:rsidTr="009E01D8">
        <w:trPr>
          <w:trHeight w:val="255"/>
        </w:trPr>
        <w:tc>
          <w:tcPr>
            <w:tcW w:w="875" w:type="pct"/>
            <w:tcBorders>
              <w:top w:val="nil"/>
              <w:left w:val="nil"/>
              <w:bottom w:val="nil"/>
              <w:right w:val="nil"/>
            </w:tcBorders>
            <w:shd w:val="clear" w:color="000000" w:fill="005CA9"/>
            <w:noWrap/>
            <w:vAlign w:val="center"/>
            <w:hideMark/>
          </w:tcPr>
          <w:p w14:paraId="7F878B84" w14:textId="77777777" w:rsidR="00675B7E" w:rsidRPr="00C67C7F" w:rsidRDefault="00675B7E" w:rsidP="00675B7E">
            <w:pP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Total</w:t>
            </w:r>
          </w:p>
        </w:tc>
        <w:tc>
          <w:tcPr>
            <w:tcW w:w="390" w:type="pct"/>
            <w:tcBorders>
              <w:top w:val="nil"/>
              <w:left w:val="nil"/>
              <w:bottom w:val="nil"/>
              <w:right w:val="nil"/>
            </w:tcBorders>
            <w:shd w:val="clear" w:color="000000" w:fill="005CA9"/>
            <w:noWrap/>
            <w:vAlign w:val="center"/>
            <w:hideMark/>
          </w:tcPr>
          <w:p w14:paraId="0E0037E0" w14:textId="6C80FDB8" w:rsidR="00675B7E" w:rsidRPr="00C67C7F" w:rsidRDefault="0001229D" w:rsidP="00675B7E">
            <w:pPr>
              <w:jc w:val="right"/>
              <w:rPr>
                <w:rFonts w:ascii="CAIXA Std Book" w:eastAsia="Times New Roman" w:hAnsi="CAIXA Std Book" w:cs="Times New Roman"/>
                <w:b/>
                <w:bCs/>
                <w:color w:val="FFFFFF"/>
                <w:sz w:val="15"/>
                <w:szCs w:val="15"/>
              </w:rPr>
            </w:pPr>
            <w:r w:rsidRPr="00C67C7F">
              <w:rPr>
                <w:rFonts w:ascii="CAIXA Std Book" w:hAnsi="CAIXA Std Book"/>
                <w:b/>
                <w:bCs/>
                <w:color w:val="FFFFFF"/>
                <w:sz w:val="15"/>
                <w:szCs w:val="15"/>
              </w:rPr>
              <w:t>227.056.599</w:t>
            </w:r>
          </w:p>
        </w:tc>
        <w:tc>
          <w:tcPr>
            <w:tcW w:w="299" w:type="pct"/>
            <w:tcBorders>
              <w:top w:val="nil"/>
              <w:left w:val="nil"/>
              <w:bottom w:val="nil"/>
              <w:right w:val="nil"/>
            </w:tcBorders>
            <w:shd w:val="clear" w:color="000000" w:fill="005CA9"/>
            <w:noWrap/>
            <w:vAlign w:val="center"/>
            <w:hideMark/>
          </w:tcPr>
          <w:p w14:paraId="396C35A9" w14:textId="2B927EAC" w:rsidR="00675B7E" w:rsidRPr="00C67C7F" w:rsidRDefault="0001229D" w:rsidP="00675B7E">
            <w:pPr>
              <w:jc w:val="right"/>
              <w:rPr>
                <w:rFonts w:ascii="CAIXA Std Book" w:eastAsia="Times New Roman" w:hAnsi="CAIXA Std Book" w:cs="Times New Roman"/>
                <w:b/>
                <w:bCs/>
                <w:color w:val="FFFFFF"/>
                <w:sz w:val="15"/>
                <w:szCs w:val="15"/>
              </w:rPr>
            </w:pPr>
            <w:r w:rsidRPr="00C67C7F">
              <w:rPr>
                <w:rFonts w:ascii="CAIXA Std Book" w:hAnsi="CAIXA Std Book"/>
                <w:b/>
                <w:bCs/>
                <w:color w:val="FFFFFF"/>
                <w:sz w:val="15"/>
                <w:szCs w:val="15"/>
              </w:rPr>
              <w:t>(620.588)</w:t>
            </w:r>
          </w:p>
        </w:tc>
        <w:tc>
          <w:tcPr>
            <w:tcW w:w="381" w:type="pct"/>
            <w:tcBorders>
              <w:top w:val="nil"/>
              <w:left w:val="nil"/>
              <w:bottom w:val="nil"/>
              <w:right w:val="nil"/>
            </w:tcBorders>
            <w:shd w:val="clear" w:color="000000" w:fill="005CA9"/>
            <w:noWrap/>
            <w:vAlign w:val="center"/>
            <w:hideMark/>
          </w:tcPr>
          <w:p w14:paraId="07537176" w14:textId="0E070837" w:rsidR="00675B7E" w:rsidRPr="00C67C7F" w:rsidRDefault="0001229D" w:rsidP="00675B7E">
            <w:pPr>
              <w:jc w:val="right"/>
              <w:rPr>
                <w:rFonts w:ascii="CAIXA Std Book" w:eastAsia="Times New Roman" w:hAnsi="CAIXA Std Book" w:cs="Times New Roman"/>
                <w:b/>
                <w:bCs/>
                <w:color w:val="FFFFFF"/>
                <w:sz w:val="15"/>
                <w:szCs w:val="15"/>
              </w:rPr>
            </w:pPr>
            <w:r w:rsidRPr="00C67C7F">
              <w:rPr>
                <w:rFonts w:ascii="CAIXA Std Book" w:hAnsi="CAIXA Std Book"/>
                <w:b/>
                <w:bCs/>
                <w:color w:val="FFFFFF"/>
                <w:sz w:val="15"/>
                <w:szCs w:val="15"/>
              </w:rPr>
              <w:t>226.436.011</w:t>
            </w:r>
          </w:p>
        </w:tc>
        <w:tc>
          <w:tcPr>
            <w:tcW w:w="307" w:type="pct"/>
            <w:tcBorders>
              <w:top w:val="nil"/>
              <w:left w:val="nil"/>
              <w:bottom w:val="nil"/>
              <w:right w:val="nil"/>
            </w:tcBorders>
            <w:shd w:val="clear" w:color="000000" w:fill="005CA9"/>
            <w:noWrap/>
            <w:vAlign w:val="center"/>
            <w:hideMark/>
          </w:tcPr>
          <w:p w14:paraId="27345FE9" w14:textId="38EA7AD1" w:rsidR="00675B7E" w:rsidRPr="00C67C7F" w:rsidRDefault="0001229D" w:rsidP="00675B7E">
            <w:pPr>
              <w:jc w:val="right"/>
              <w:rPr>
                <w:rFonts w:ascii="CAIXA Std Book" w:eastAsia="Times New Roman" w:hAnsi="CAIXA Std Book" w:cs="Times New Roman"/>
                <w:b/>
                <w:bCs/>
                <w:color w:val="FFFFFF"/>
                <w:sz w:val="15"/>
                <w:szCs w:val="15"/>
              </w:rPr>
            </w:pPr>
            <w:r w:rsidRPr="00C67C7F">
              <w:rPr>
                <w:rFonts w:ascii="CAIXA Std Book" w:hAnsi="CAIXA Std Book"/>
                <w:b/>
                <w:bCs/>
                <w:color w:val="FFFFFF"/>
                <w:sz w:val="15"/>
                <w:szCs w:val="15"/>
              </w:rPr>
              <w:t>7.178.636</w:t>
            </w:r>
          </w:p>
        </w:tc>
        <w:tc>
          <w:tcPr>
            <w:tcW w:w="344" w:type="pct"/>
            <w:tcBorders>
              <w:top w:val="nil"/>
              <w:left w:val="nil"/>
              <w:bottom w:val="nil"/>
              <w:right w:val="nil"/>
            </w:tcBorders>
            <w:shd w:val="clear" w:color="000000" w:fill="005CA9"/>
            <w:noWrap/>
            <w:vAlign w:val="center"/>
            <w:hideMark/>
          </w:tcPr>
          <w:p w14:paraId="1F502F49" w14:textId="16767095" w:rsidR="00675B7E" w:rsidRPr="00C67C7F" w:rsidRDefault="0001229D" w:rsidP="00675B7E">
            <w:pPr>
              <w:jc w:val="right"/>
              <w:rPr>
                <w:rFonts w:ascii="CAIXA Std Book" w:eastAsia="Times New Roman" w:hAnsi="CAIXA Std Book" w:cs="Times New Roman"/>
                <w:b/>
                <w:bCs/>
                <w:color w:val="FFFFFF"/>
                <w:sz w:val="15"/>
                <w:szCs w:val="15"/>
              </w:rPr>
            </w:pPr>
            <w:r w:rsidRPr="00C67C7F">
              <w:rPr>
                <w:rFonts w:ascii="CAIXA Std Book" w:hAnsi="CAIXA Std Book"/>
                <w:b/>
                <w:bCs/>
                <w:color w:val="FFFFFF"/>
                <w:sz w:val="15"/>
                <w:szCs w:val="15"/>
              </w:rPr>
              <w:t>(117.702)</w:t>
            </w:r>
          </w:p>
        </w:tc>
        <w:tc>
          <w:tcPr>
            <w:tcW w:w="344" w:type="pct"/>
            <w:tcBorders>
              <w:top w:val="nil"/>
              <w:left w:val="nil"/>
              <w:bottom w:val="nil"/>
              <w:right w:val="nil"/>
            </w:tcBorders>
            <w:shd w:val="clear" w:color="000000" w:fill="005CA9"/>
            <w:noWrap/>
            <w:vAlign w:val="center"/>
            <w:hideMark/>
          </w:tcPr>
          <w:p w14:paraId="6232BB7D" w14:textId="4C8A3302" w:rsidR="00675B7E" w:rsidRPr="00C67C7F" w:rsidRDefault="0001229D" w:rsidP="00675B7E">
            <w:pPr>
              <w:jc w:val="right"/>
              <w:rPr>
                <w:rFonts w:ascii="CAIXA Std Book" w:eastAsia="Times New Roman" w:hAnsi="CAIXA Std Book" w:cs="Times New Roman"/>
                <w:b/>
                <w:bCs/>
                <w:color w:val="FFFFFF"/>
                <w:sz w:val="15"/>
                <w:szCs w:val="15"/>
              </w:rPr>
            </w:pPr>
            <w:r w:rsidRPr="00C67C7F">
              <w:rPr>
                <w:rFonts w:ascii="CAIXA Std Book" w:hAnsi="CAIXA Std Book"/>
                <w:b/>
                <w:bCs/>
                <w:color w:val="FFFFFF"/>
                <w:sz w:val="15"/>
                <w:szCs w:val="15"/>
              </w:rPr>
              <w:t>7.060.934</w:t>
            </w:r>
          </w:p>
        </w:tc>
        <w:tc>
          <w:tcPr>
            <w:tcW w:w="344" w:type="pct"/>
            <w:tcBorders>
              <w:top w:val="nil"/>
              <w:left w:val="nil"/>
              <w:bottom w:val="nil"/>
              <w:right w:val="nil"/>
            </w:tcBorders>
            <w:shd w:val="clear" w:color="000000" w:fill="005CA9"/>
            <w:noWrap/>
            <w:vAlign w:val="center"/>
            <w:hideMark/>
          </w:tcPr>
          <w:p w14:paraId="4F4F9E8C" w14:textId="0F96C6C6" w:rsidR="00675B7E" w:rsidRPr="00C67C7F" w:rsidRDefault="0001229D" w:rsidP="00675B7E">
            <w:pPr>
              <w:jc w:val="right"/>
              <w:rPr>
                <w:rFonts w:ascii="CAIXA Std Book" w:eastAsia="Times New Roman" w:hAnsi="CAIXA Std Book" w:cs="Times New Roman"/>
                <w:b/>
                <w:bCs/>
                <w:color w:val="FFFFFF"/>
                <w:sz w:val="15"/>
                <w:szCs w:val="15"/>
              </w:rPr>
            </w:pPr>
            <w:r w:rsidRPr="00C67C7F">
              <w:rPr>
                <w:rFonts w:ascii="CAIXA Std Book" w:hAnsi="CAIXA Std Book"/>
                <w:b/>
                <w:bCs/>
                <w:color w:val="FFFFFF"/>
                <w:sz w:val="15"/>
                <w:szCs w:val="15"/>
              </w:rPr>
              <w:t>1.300.070</w:t>
            </w:r>
          </w:p>
        </w:tc>
        <w:tc>
          <w:tcPr>
            <w:tcW w:w="316" w:type="pct"/>
            <w:tcBorders>
              <w:top w:val="nil"/>
              <w:left w:val="nil"/>
              <w:bottom w:val="nil"/>
              <w:right w:val="nil"/>
            </w:tcBorders>
            <w:shd w:val="clear" w:color="000000" w:fill="005CA9"/>
            <w:noWrap/>
            <w:vAlign w:val="center"/>
            <w:hideMark/>
          </w:tcPr>
          <w:p w14:paraId="3C824F87" w14:textId="26545400" w:rsidR="00675B7E" w:rsidRPr="00C67C7F" w:rsidRDefault="0001229D" w:rsidP="00675B7E">
            <w:pPr>
              <w:jc w:val="right"/>
              <w:rPr>
                <w:rFonts w:ascii="CAIXA Std Book" w:eastAsia="Times New Roman" w:hAnsi="CAIXA Std Book" w:cs="Times New Roman"/>
                <w:b/>
                <w:bCs/>
                <w:color w:val="FFFFFF"/>
                <w:sz w:val="15"/>
                <w:szCs w:val="15"/>
              </w:rPr>
            </w:pPr>
            <w:r w:rsidRPr="00C67C7F">
              <w:rPr>
                <w:rFonts w:ascii="CAIXA Std Book" w:hAnsi="CAIXA Std Book"/>
                <w:b/>
                <w:bCs/>
                <w:color w:val="FFFFFF"/>
                <w:sz w:val="15"/>
                <w:szCs w:val="15"/>
              </w:rPr>
              <w:t>(570.154)</w:t>
            </w:r>
          </w:p>
        </w:tc>
        <w:tc>
          <w:tcPr>
            <w:tcW w:w="292" w:type="pct"/>
            <w:tcBorders>
              <w:top w:val="nil"/>
              <w:left w:val="nil"/>
              <w:bottom w:val="nil"/>
              <w:right w:val="nil"/>
            </w:tcBorders>
            <w:shd w:val="clear" w:color="000000" w:fill="005CA9"/>
            <w:noWrap/>
            <w:vAlign w:val="center"/>
            <w:hideMark/>
          </w:tcPr>
          <w:p w14:paraId="6E31D2BE" w14:textId="5BF781E8" w:rsidR="00675B7E" w:rsidRPr="00C67C7F" w:rsidRDefault="0001229D" w:rsidP="00675B7E">
            <w:pPr>
              <w:jc w:val="right"/>
              <w:rPr>
                <w:rFonts w:ascii="CAIXA Std Book" w:eastAsia="Times New Roman" w:hAnsi="CAIXA Std Book" w:cs="Times New Roman"/>
                <w:b/>
                <w:bCs/>
                <w:color w:val="FFFFFF"/>
                <w:sz w:val="15"/>
                <w:szCs w:val="15"/>
              </w:rPr>
            </w:pPr>
            <w:r w:rsidRPr="00C67C7F">
              <w:rPr>
                <w:rFonts w:ascii="CAIXA Std Book" w:hAnsi="CAIXA Std Book"/>
                <w:b/>
                <w:bCs/>
                <w:color w:val="FFFFFF"/>
                <w:sz w:val="15"/>
                <w:szCs w:val="15"/>
              </w:rPr>
              <w:t>729.916</w:t>
            </w:r>
          </w:p>
        </w:tc>
        <w:tc>
          <w:tcPr>
            <w:tcW w:w="389" w:type="pct"/>
            <w:tcBorders>
              <w:top w:val="nil"/>
              <w:left w:val="nil"/>
              <w:bottom w:val="nil"/>
              <w:right w:val="nil"/>
            </w:tcBorders>
            <w:shd w:val="clear" w:color="000000" w:fill="005CA9"/>
            <w:noWrap/>
            <w:vAlign w:val="center"/>
            <w:hideMark/>
          </w:tcPr>
          <w:p w14:paraId="086EC806" w14:textId="3E966113" w:rsidR="00675B7E" w:rsidRPr="00C67C7F" w:rsidRDefault="0001229D" w:rsidP="00675B7E">
            <w:pPr>
              <w:jc w:val="right"/>
              <w:rPr>
                <w:rFonts w:ascii="CAIXA Std Book" w:eastAsia="Times New Roman" w:hAnsi="CAIXA Std Book" w:cs="Times New Roman"/>
                <w:b/>
                <w:bCs/>
                <w:color w:val="FFFFFF"/>
                <w:sz w:val="15"/>
                <w:szCs w:val="15"/>
              </w:rPr>
            </w:pPr>
            <w:r w:rsidRPr="00C67C7F">
              <w:rPr>
                <w:rFonts w:ascii="CAIXA Std Book" w:hAnsi="CAIXA Std Book"/>
                <w:b/>
                <w:bCs/>
                <w:color w:val="FFFFFF"/>
                <w:sz w:val="15"/>
                <w:szCs w:val="15"/>
              </w:rPr>
              <w:t>235.535.305</w:t>
            </w:r>
          </w:p>
        </w:tc>
        <w:tc>
          <w:tcPr>
            <w:tcW w:w="341" w:type="pct"/>
            <w:tcBorders>
              <w:top w:val="nil"/>
              <w:left w:val="nil"/>
              <w:bottom w:val="nil"/>
              <w:right w:val="nil"/>
            </w:tcBorders>
            <w:shd w:val="clear" w:color="000000" w:fill="005CA9"/>
            <w:noWrap/>
            <w:vAlign w:val="center"/>
            <w:hideMark/>
          </w:tcPr>
          <w:p w14:paraId="1CFC518B" w14:textId="2A16FE0E" w:rsidR="00675B7E" w:rsidRPr="00C67C7F" w:rsidRDefault="0001229D" w:rsidP="00675B7E">
            <w:pPr>
              <w:jc w:val="right"/>
              <w:rPr>
                <w:rFonts w:ascii="CAIXA Std Book" w:eastAsia="Times New Roman" w:hAnsi="CAIXA Std Book" w:cs="Times New Roman"/>
                <w:b/>
                <w:bCs/>
                <w:color w:val="FFFFFF"/>
                <w:sz w:val="15"/>
                <w:szCs w:val="15"/>
              </w:rPr>
            </w:pPr>
            <w:r w:rsidRPr="00C67C7F">
              <w:rPr>
                <w:rFonts w:ascii="CAIXA Std Book" w:hAnsi="CAIXA Std Book"/>
                <w:b/>
                <w:bCs/>
                <w:color w:val="FFFFFF"/>
                <w:sz w:val="15"/>
                <w:szCs w:val="15"/>
              </w:rPr>
              <w:t>(1.308.444)</w:t>
            </w:r>
          </w:p>
        </w:tc>
        <w:tc>
          <w:tcPr>
            <w:tcW w:w="378" w:type="pct"/>
            <w:tcBorders>
              <w:top w:val="nil"/>
              <w:left w:val="nil"/>
              <w:bottom w:val="nil"/>
              <w:right w:val="nil"/>
            </w:tcBorders>
            <w:shd w:val="clear" w:color="000000" w:fill="005CA9"/>
            <w:noWrap/>
            <w:vAlign w:val="center"/>
            <w:hideMark/>
          </w:tcPr>
          <w:p w14:paraId="16D1004A" w14:textId="2C21102C" w:rsidR="00675B7E" w:rsidRPr="00C67C7F" w:rsidRDefault="0001229D" w:rsidP="00675B7E">
            <w:pPr>
              <w:jc w:val="right"/>
              <w:rPr>
                <w:rFonts w:ascii="CAIXA Std Book" w:eastAsia="Times New Roman" w:hAnsi="CAIXA Std Book" w:cs="Times New Roman"/>
                <w:b/>
                <w:bCs/>
                <w:color w:val="FFFFFF"/>
                <w:sz w:val="15"/>
                <w:szCs w:val="15"/>
              </w:rPr>
            </w:pPr>
            <w:r w:rsidRPr="00C67C7F">
              <w:rPr>
                <w:rFonts w:ascii="CAIXA Std Book" w:hAnsi="CAIXA Std Book"/>
                <w:b/>
                <w:bCs/>
                <w:color w:val="FFFFFF"/>
                <w:sz w:val="15"/>
                <w:szCs w:val="15"/>
              </w:rPr>
              <w:t>234.226.861</w:t>
            </w:r>
          </w:p>
        </w:tc>
      </w:tr>
    </w:tbl>
    <w:p w14:paraId="5A772C69" w14:textId="2726353E" w:rsidR="00896706" w:rsidRDefault="00896706" w:rsidP="001D3279">
      <w:pPr>
        <w:jc w:val="both"/>
        <w:rPr>
          <w:rFonts w:ascii="CAIXA Std Book" w:hAnsi="CAIXA Std Book"/>
          <w:color w:val="005CA9"/>
          <w:sz w:val="16"/>
          <w:szCs w:val="16"/>
        </w:rPr>
      </w:pPr>
      <w:r>
        <w:rPr>
          <w:rFonts w:ascii="CAIXA Std Book" w:hAnsi="CAIXA Std Book"/>
          <w:color w:val="005CA9"/>
          <w:sz w:val="16"/>
          <w:szCs w:val="16"/>
        </w:rPr>
        <w:t>(</w:t>
      </w:r>
      <w:r w:rsidR="00E90E80">
        <w:rPr>
          <w:rFonts w:ascii="CAIXA Std Book" w:hAnsi="CAIXA Std Book"/>
          <w:color w:val="005CA9"/>
          <w:sz w:val="16"/>
          <w:szCs w:val="16"/>
        </w:rPr>
        <w:t>1</w:t>
      </w:r>
      <w:r>
        <w:rPr>
          <w:rFonts w:ascii="CAIXA Std Book" w:hAnsi="CAIXA Std Book"/>
          <w:color w:val="005CA9"/>
          <w:sz w:val="16"/>
          <w:szCs w:val="16"/>
        </w:rPr>
        <w:t>) O decréscimo da provisão para perdas esperadas em compromissos de empréstimos e créditos a liberar decorre de aprimoramento dos parâmetros de cálculo da provisão para limites em fevereiro de 2026 e ocorreu para todos os limites de produtos de crédito rotativos.</w:t>
      </w:r>
    </w:p>
    <w:p w14:paraId="27D01752" w14:textId="77777777" w:rsidR="006E1844" w:rsidRDefault="006E1844">
      <w:pPr>
        <w:rPr>
          <w:rFonts w:ascii="CAIXA Std Book" w:hAnsi="CAIXA Std Book"/>
          <w:color w:val="005CA9"/>
          <w:sz w:val="14"/>
          <w:szCs w:val="14"/>
        </w:rPr>
      </w:pPr>
    </w:p>
    <w:tbl>
      <w:tblPr>
        <w:tblW w:w="5000" w:type="pct"/>
        <w:tblLayout w:type="fixed"/>
        <w:tblCellMar>
          <w:left w:w="70" w:type="dxa"/>
          <w:right w:w="70" w:type="dxa"/>
        </w:tblCellMar>
        <w:tblLook w:val="04A0" w:firstRow="1" w:lastRow="0" w:firstColumn="1" w:lastColumn="0" w:noHBand="0" w:noVBand="1"/>
      </w:tblPr>
      <w:tblGrid>
        <w:gridCol w:w="2553"/>
        <w:gridCol w:w="1133"/>
        <w:gridCol w:w="871"/>
        <w:gridCol w:w="1113"/>
        <w:gridCol w:w="895"/>
        <w:gridCol w:w="1002"/>
        <w:gridCol w:w="1002"/>
        <w:gridCol w:w="1002"/>
        <w:gridCol w:w="918"/>
        <w:gridCol w:w="851"/>
        <w:gridCol w:w="1133"/>
        <w:gridCol w:w="997"/>
        <w:gridCol w:w="1099"/>
      </w:tblGrid>
      <w:tr w:rsidR="00693B3E" w:rsidRPr="00C67C7F" w14:paraId="0A2BCC6F" w14:textId="77777777" w:rsidTr="009E01D8">
        <w:trPr>
          <w:trHeight w:val="255"/>
        </w:trPr>
        <w:tc>
          <w:tcPr>
            <w:tcW w:w="5000" w:type="pct"/>
            <w:gridSpan w:val="13"/>
            <w:tcBorders>
              <w:top w:val="nil"/>
              <w:left w:val="nil"/>
              <w:bottom w:val="single" w:sz="4" w:space="0" w:color="FFFFFF"/>
              <w:right w:val="nil"/>
            </w:tcBorders>
            <w:shd w:val="clear" w:color="000000" w:fill="005CA9"/>
            <w:vAlign w:val="center"/>
            <w:hideMark/>
          </w:tcPr>
          <w:p w14:paraId="0074569F" w14:textId="77777777" w:rsidR="00693B3E" w:rsidRPr="00C67C7F" w:rsidRDefault="00693B3E" w:rsidP="00693B3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Consolidado</w:t>
            </w:r>
          </w:p>
        </w:tc>
      </w:tr>
      <w:tr w:rsidR="00693B3E" w:rsidRPr="00C67C7F" w14:paraId="56BB33C6" w14:textId="77777777" w:rsidTr="009E01D8">
        <w:trPr>
          <w:trHeight w:val="255"/>
        </w:trPr>
        <w:tc>
          <w:tcPr>
            <w:tcW w:w="5000" w:type="pct"/>
            <w:gridSpan w:val="13"/>
            <w:tcBorders>
              <w:top w:val="single" w:sz="4" w:space="0" w:color="FFFFFF"/>
              <w:left w:val="nil"/>
              <w:bottom w:val="single" w:sz="4" w:space="0" w:color="FFFFFF" w:themeColor="background1"/>
              <w:right w:val="nil"/>
            </w:tcBorders>
            <w:shd w:val="clear" w:color="000000" w:fill="005CA9"/>
            <w:vAlign w:val="center"/>
            <w:hideMark/>
          </w:tcPr>
          <w:p w14:paraId="4D4E7A6B" w14:textId="77777777" w:rsidR="00693B3E" w:rsidRPr="00C67C7F" w:rsidRDefault="00693B3E" w:rsidP="00693B3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31/12/2025</w:t>
            </w:r>
          </w:p>
        </w:tc>
      </w:tr>
      <w:tr w:rsidR="00693B3E" w:rsidRPr="00C67C7F" w14:paraId="4B2CCD8B" w14:textId="77777777" w:rsidTr="009E01D8">
        <w:trPr>
          <w:trHeight w:val="255"/>
        </w:trPr>
        <w:tc>
          <w:tcPr>
            <w:tcW w:w="876" w:type="pct"/>
            <w:vMerge w:val="restart"/>
            <w:tcBorders>
              <w:top w:val="single" w:sz="4" w:space="0" w:color="FFFFFF" w:themeColor="background1"/>
              <w:left w:val="nil"/>
              <w:bottom w:val="nil"/>
              <w:right w:val="nil"/>
            </w:tcBorders>
            <w:shd w:val="clear" w:color="000000" w:fill="005CA9"/>
            <w:vAlign w:val="center"/>
            <w:hideMark/>
          </w:tcPr>
          <w:p w14:paraId="66BE0D71" w14:textId="77777777" w:rsidR="00693B3E" w:rsidRPr="00C67C7F" w:rsidRDefault="00693B3E" w:rsidP="00693B3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Descrição</w:t>
            </w:r>
          </w:p>
        </w:tc>
        <w:tc>
          <w:tcPr>
            <w:tcW w:w="1070" w:type="pct"/>
            <w:gridSpan w:val="3"/>
            <w:tcBorders>
              <w:top w:val="single" w:sz="4" w:space="0" w:color="FFFFFF" w:themeColor="background1"/>
              <w:left w:val="nil"/>
              <w:bottom w:val="single" w:sz="4" w:space="0" w:color="FFFFFF"/>
              <w:right w:val="nil"/>
            </w:tcBorders>
            <w:shd w:val="clear" w:color="000000" w:fill="005CA9"/>
            <w:vAlign w:val="center"/>
            <w:hideMark/>
          </w:tcPr>
          <w:p w14:paraId="24169214" w14:textId="77777777" w:rsidR="00693B3E" w:rsidRPr="00C67C7F" w:rsidRDefault="00693B3E" w:rsidP="00693B3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Estágio 1</w:t>
            </w:r>
          </w:p>
        </w:tc>
        <w:tc>
          <w:tcPr>
            <w:tcW w:w="995" w:type="pct"/>
            <w:gridSpan w:val="3"/>
            <w:tcBorders>
              <w:top w:val="single" w:sz="4" w:space="0" w:color="FFFFFF" w:themeColor="background1"/>
              <w:left w:val="nil"/>
              <w:bottom w:val="single" w:sz="4" w:space="0" w:color="FFFFFF"/>
              <w:right w:val="nil"/>
            </w:tcBorders>
            <w:shd w:val="clear" w:color="000000" w:fill="005CA9"/>
            <w:vAlign w:val="center"/>
            <w:hideMark/>
          </w:tcPr>
          <w:p w14:paraId="10EEBD92" w14:textId="77777777" w:rsidR="00693B3E" w:rsidRPr="00C67C7F" w:rsidRDefault="00693B3E" w:rsidP="00693B3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Estágio 2</w:t>
            </w:r>
          </w:p>
        </w:tc>
        <w:tc>
          <w:tcPr>
            <w:tcW w:w="951" w:type="pct"/>
            <w:gridSpan w:val="3"/>
            <w:tcBorders>
              <w:top w:val="single" w:sz="4" w:space="0" w:color="FFFFFF" w:themeColor="background1"/>
              <w:left w:val="nil"/>
              <w:bottom w:val="single" w:sz="4" w:space="0" w:color="FFFFFF"/>
              <w:right w:val="nil"/>
            </w:tcBorders>
            <w:shd w:val="clear" w:color="000000" w:fill="005CA9"/>
            <w:vAlign w:val="center"/>
            <w:hideMark/>
          </w:tcPr>
          <w:p w14:paraId="31EB3546" w14:textId="77777777" w:rsidR="00693B3E" w:rsidRPr="00C67C7F" w:rsidRDefault="00693B3E" w:rsidP="00693B3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Estágio 3</w:t>
            </w:r>
          </w:p>
        </w:tc>
        <w:tc>
          <w:tcPr>
            <w:tcW w:w="1108" w:type="pct"/>
            <w:gridSpan w:val="3"/>
            <w:tcBorders>
              <w:top w:val="single" w:sz="4" w:space="0" w:color="FFFFFF" w:themeColor="background1"/>
              <w:left w:val="nil"/>
              <w:bottom w:val="single" w:sz="4" w:space="0" w:color="FFFFFF"/>
              <w:right w:val="nil"/>
            </w:tcBorders>
            <w:shd w:val="clear" w:color="000000" w:fill="005CA9"/>
            <w:vAlign w:val="center"/>
            <w:hideMark/>
          </w:tcPr>
          <w:p w14:paraId="276790DA" w14:textId="77777777" w:rsidR="00693B3E" w:rsidRPr="00C67C7F" w:rsidRDefault="00693B3E" w:rsidP="00693B3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Total</w:t>
            </w:r>
          </w:p>
        </w:tc>
      </w:tr>
      <w:tr w:rsidR="00693B3E" w:rsidRPr="00C67C7F" w14:paraId="7F54F0CD" w14:textId="77777777" w:rsidTr="009E01D8">
        <w:trPr>
          <w:trHeight w:val="255"/>
        </w:trPr>
        <w:tc>
          <w:tcPr>
            <w:tcW w:w="876" w:type="pct"/>
            <w:vMerge/>
            <w:tcBorders>
              <w:top w:val="nil"/>
              <w:left w:val="nil"/>
              <w:bottom w:val="nil"/>
              <w:right w:val="nil"/>
            </w:tcBorders>
            <w:vAlign w:val="center"/>
            <w:hideMark/>
          </w:tcPr>
          <w:p w14:paraId="10D618E1" w14:textId="77777777" w:rsidR="00693B3E" w:rsidRPr="00C67C7F" w:rsidRDefault="00693B3E" w:rsidP="00693B3E">
            <w:pPr>
              <w:rPr>
                <w:rFonts w:ascii="CAIXA Std Book" w:eastAsia="Times New Roman" w:hAnsi="CAIXA Std Book" w:cs="Times New Roman"/>
                <w:b/>
                <w:bCs/>
                <w:color w:val="FFFFFF"/>
                <w:sz w:val="15"/>
                <w:szCs w:val="15"/>
              </w:rPr>
            </w:pPr>
          </w:p>
        </w:tc>
        <w:tc>
          <w:tcPr>
            <w:tcW w:w="389" w:type="pct"/>
            <w:tcBorders>
              <w:top w:val="nil"/>
              <w:left w:val="nil"/>
              <w:bottom w:val="nil"/>
              <w:right w:val="nil"/>
            </w:tcBorders>
            <w:shd w:val="clear" w:color="000000" w:fill="005CA9"/>
            <w:vAlign w:val="center"/>
            <w:hideMark/>
          </w:tcPr>
          <w:p w14:paraId="008518E1" w14:textId="77777777" w:rsidR="00693B3E" w:rsidRPr="00C67C7F" w:rsidRDefault="00693B3E" w:rsidP="00693B3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Exposição</w:t>
            </w:r>
          </w:p>
        </w:tc>
        <w:tc>
          <w:tcPr>
            <w:tcW w:w="299" w:type="pct"/>
            <w:tcBorders>
              <w:top w:val="nil"/>
              <w:left w:val="nil"/>
              <w:bottom w:val="nil"/>
              <w:right w:val="nil"/>
            </w:tcBorders>
            <w:shd w:val="clear" w:color="000000" w:fill="005CA9"/>
            <w:vAlign w:val="center"/>
            <w:hideMark/>
          </w:tcPr>
          <w:p w14:paraId="0D181881" w14:textId="77777777" w:rsidR="00693B3E" w:rsidRPr="00C67C7F" w:rsidRDefault="00693B3E" w:rsidP="00693B3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Perdas esperadas</w:t>
            </w:r>
          </w:p>
        </w:tc>
        <w:tc>
          <w:tcPr>
            <w:tcW w:w="382" w:type="pct"/>
            <w:tcBorders>
              <w:top w:val="nil"/>
              <w:left w:val="nil"/>
              <w:bottom w:val="nil"/>
              <w:right w:val="nil"/>
            </w:tcBorders>
            <w:shd w:val="clear" w:color="000000" w:fill="005CA9"/>
            <w:vAlign w:val="center"/>
            <w:hideMark/>
          </w:tcPr>
          <w:p w14:paraId="7070B925" w14:textId="77777777" w:rsidR="00693B3E" w:rsidRPr="00C67C7F" w:rsidRDefault="00693B3E" w:rsidP="00693B3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Exposição líquida de perdas</w:t>
            </w:r>
          </w:p>
        </w:tc>
        <w:tc>
          <w:tcPr>
            <w:tcW w:w="307" w:type="pct"/>
            <w:tcBorders>
              <w:top w:val="nil"/>
              <w:left w:val="nil"/>
              <w:bottom w:val="nil"/>
              <w:right w:val="nil"/>
            </w:tcBorders>
            <w:shd w:val="clear" w:color="000000" w:fill="005CA9"/>
            <w:vAlign w:val="center"/>
            <w:hideMark/>
          </w:tcPr>
          <w:p w14:paraId="2F7BB332" w14:textId="77777777" w:rsidR="00693B3E" w:rsidRPr="00C67C7F" w:rsidRDefault="00693B3E" w:rsidP="00693B3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Exposição</w:t>
            </w:r>
          </w:p>
        </w:tc>
        <w:tc>
          <w:tcPr>
            <w:tcW w:w="344" w:type="pct"/>
            <w:tcBorders>
              <w:top w:val="nil"/>
              <w:left w:val="nil"/>
              <w:bottom w:val="nil"/>
              <w:right w:val="nil"/>
            </w:tcBorders>
            <w:shd w:val="clear" w:color="000000" w:fill="005CA9"/>
            <w:vAlign w:val="center"/>
            <w:hideMark/>
          </w:tcPr>
          <w:p w14:paraId="379652DE" w14:textId="77777777" w:rsidR="00693B3E" w:rsidRPr="00C67C7F" w:rsidRDefault="00693B3E" w:rsidP="00693B3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Perdas esperadas</w:t>
            </w:r>
          </w:p>
        </w:tc>
        <w:tc>
          <w:tcPr>
            <w:tcW w:w="344" w:type="pct"/>
            <w:tcBorders>
              <w:top w:val="nil"/>
              <w:left w:val="nil"/>
              <w:bottom w:val="nil"/>
              <w:right w:val="nil"/>
            </w:tcBorders>
            <w:shd w:val="clear" w:color="000000" w:fill="005CA9"/>
            <w:vAlign w:val="center"/>
            <w:hideMark/>
          </w:tcPr>
          <w:p w14:paraId="1CF5CFFD" w14:textId="77777777" w:rsidR="00693B3E" w:rsidRPr="00C67C7F" w:rsidRDefault="00693B3E" w:rsidP="00693B3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Exposição líquida de perdas</w:t>
            </w:r>
          </w:p>
        </w:tc>
        <w:tc>
          <w:tcPr>
            <w:tcW w:w="344" w:type="pct"/>
            <w:tcBorders>
              <w:top w:val="nil"/>
              <w:left w:val="nil"/>
              <w:bottom w:val="nil"/>
              <w:right w:val="nil"/>
            </w:tcBorders>
            <w:shd w:val="clear" w:color="000000" w:fill="005CA9"/>
            <w:vAlign w:val="center"/>
            <w:hideMark/>
          </w:tcPr>
          <w:p w14:paraId="1D38DF60" w14:textId="77777777" w:rsidR="00693B3E" w:rsidRPr="00C67C7F" w:rsidRDefault="00693B3E" w:rsidP="00693B3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Exposição</w:t>
            </w:r>
          </w:p>
        </w:tc>
        <w:tc>
          <w:tcPr>
            <w:tcW w:w="315" w:type="pct"/>
            <w:tcBorders>
              <w:top w:val="nil"/>
              <w:left w:val="nil"/>
              <w:bottom w:val="nil"/>
              <w:right w:val="nil"/>
            </w:tcBorders>
            <w:shd w:val="clear" w:color="000000" w:fill="005CA9"/>
            <w:vAlign w:val="center"/>
            <w:hideMark/>
          </w:tcPr>
          <w:p w14:paraId="29DE1DC6" w14:textId="77777777" w:rsidR="00693B3E" w:rsidRPr="00C67C7F" w:rsidRDefault="00693B3E" w:rsidP="00693B3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Perdas esperadas</w:t>
            </w:r>
          </w:p>
        </w:tc>
        <w:tc>
          <w:tcPr>
            <w:tcW w:w="292" w:type="pct"/>
            <w:tcBorders>
              <w:top w:val="nil"/>
              <w:left w:val="nil"/>
              <w:bottom w:val="nil"/>
              <w:right w:val="nil"/>
            </w:tcBorders>
            <w:shd w:val="clear" w:color="000000" w:fill="005CA9"/>
            <w:vAlign w:val="center"/>
            <w:hideMark/>
          </w:tcPr>
          <w:p w14:paraId="4928FBBD" w14:textId="77777777" w:rsidR="00693B3E" w:rsidRPr="00C67C7F" w:rsidRDefault="00693B3E" w:rsidP="00693B3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Exposição líquida de perdas</w:t>
            </w:r>
          </w:p>
        </w:tc>
        <w:tc>
          <w:tcPr>
            <w:tcW w:w="389" w:type="pct"/>
            <w:tcBorders>
              <w:top w:val="nil"/>
              <w:left w:val="nil"/>
              <w:bottom w:val="nil"/>
              <w:right w:val="nil"/>
            </w:tcBorders>
            <w:shd w:val="clear" w:color="000000" w:fill="005CA9"/>
            <w:vAlign w:val="center"/>
            <w:hideMark/>
          </w:tcPr>
          <w:p w14:paraId="444E4E16" w14:textId="77777777" w:rsidR="00693B3E" w:rsidRPr="00C67C7F" w:rsidRDefault="00693B3E" w:rsidP="00693B3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Exposição</w:t>
            </w:r>
          </w:p>
        </w:tc>
        <w:tc>
          <w:tcPr>
            <w:tcW w:w="342" w:type="pct"/>
            <w:tcBorders>
              <w:top w:val="nil"/>
              <w:left w:val="nil"/>
              <w:bottom w:val="nil"/>
              <w:right w:val="nil"/>
            </w:tcBorders>
            <w:shd w:val="clear" w:color="000000" w:fill="005CA9"/>
            <w:vAlign w:val="center"/>
            <w:hideMark/>
          </w:tcPr>
          <w:p w14:paraId="0B168653" w14:textId="507836BA" w:rsidR="00693B3E" w:rsidRPr="00C67C7F" w:rsidRDefault="00693B3E" w:rsidP="00693B3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Perdas esperadas</w:t>
            </w:r>
          </w:p>
        </w:tc>
        <w:tc>
          <w:tcPr>
            <w:tcW w:w="377" w:type="pct"/>
            <w:tcBorders>
              <w:top w:val="nil"/>
              <w:left w:val="nil"/>
              <w:bottom w:val="nil"/>
              <w:right w:val="nil"/>
            </w:tcBorders>
            <w:shd w:val="clear" w:color="000000" w:fill="005CA9"/>
            <w:vAlign w:val="center"/>
            <w:hideMark/>
          </w:tcPr>
          <w:p w14:paraId="7A2BD9F1" w14:textId="77777777" w:rsidR="00693B3E" w:rsidRPr="00C67C7F" w:rsidRDefault="00693B3E" w:rsidP="00693B3E">
            <w:pPr>
              <w:jc w:val="cente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Exposição líquida de perdas</w:t>
            </w:r>
          </w:p>
        </w:tc>
      </w:tr>
      <w:tr w:rsidR="00693B3E" w:rsidRPr="00C67C7F" w14:paraId="0F0ACF4C" w14:textId="77777777" w:rsidTr="009E01D8">
        <w:trPr>
          <w:trHeight w:val="255"/>
        </w:trPr>
        <w:tc>
          <w:tcPr>
            <w:tcW w:w="876" w:type="pct"/>
            <w:tcBorders>
              <w:top w:val="nil"/>
              <w:left w:val="nil"/>
              <w:bottom w:val="single" w:sz="8" w:space="0" w:color="FFFFFF"/>
              <w:right w:val="nil"/>
            </w:tcBorders>
            <w:shd w:val="clear" w:color="000000" w:fill="D0E0E3"/>
            <w:vAlign w:val="center"/>
            <w:hideMark/>
          </w:tcPr>
          <w:p w14:paraId="78A6EB38" w14:textId="6F7D93A4" w:rsidR="00693B3E" w:rsidRPr="00C67C7F" w:rsidRDefault="00693B3E" w:rsidP="00693B3E">
            <w:pPr>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Compromissos de empréstimos e créditos a liberar</w:t>
            </w:r>
          </w:p>
        </w:tc>
        <w:tc>
          <w:tcPr>
            <w:tcW w:w="389" w:type="pct"/>
            <w:tcBorders>
              <w:top w:val="nil"/>
              <w:left w:val="nil"/>
              <w:bottom w:val="single" w:sz="8" w:space="0" w:color="FFFFFF"/>
              <w:right w:val="nil"/>
            </w:tcBorders>
            <w:shd w:val="clear" w:color="000000" w:fill="D0E0E3"/>
            <w:noWrap/>
            <w:vAlign w:val="center"/>
            <w:hideMark/>
          </w:tcPr>
          <w:p w14:paraId="369AC233" w14:textId="77777777" w:rsidR="00693B3E" w:rsidRPr="00C67C7F" w:rsidRDefault="00693B3E" w:rsidP="00693B3E">
            <w:pPr>
              <w:jc w:val="right"/>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164.518.511</w:t>
            </w:r>
          </w:p>
        </w:tc>
        <w:tc>
          <w:tcPr>
            <w:tcW w:w="299" w:type="pct"/>
            <w:tcBorders>
              <w:top w:val="nil"/>
              <w:left w:val="nil"/>
              <w:bottom w:val="single" w:sz="8" w:space="0" w:color="FFFFFF"/>
              <w:right w:val="nil"/>
            </w:tcBorders>
            <w:shd w:val="clear" w:color="000000" w:fill="D0E0E3"/>
            <w:noWrap/>
            <w:vAlign w:val="center"/>
            <w:hideMark/>
          </w:tcPr>
          <w:p w14:paraId="6A18E5EF" w14:textId="171B74AB" w:rsidR="00693B3E" w:rsidRPr="00C67C7F" w:rsidRDefault="00693B3E" w:rsidP="00693B3E">
            <w:pPr>
              <w:jc w:val="right"/>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(734.746)</w:t>
            </w:r>
          </w:p>
        </w:tc>
        <w:tc>
          <w:tcPr>
            <w:tcW w:w="382" w:type="pct"/>
            <w:tcBorders>
              <w:top w:val="nil"/>
              <w:left w:val="nil"/>
              <w:bottom w:val="single" w:sz="8" w:space="0" w:color="FFFFFF"/>
              <w:right w:val="nil"/>
            </w:tcBorders>
            <w:shd w:val="clear" w:color="000000" w:fill="D0E0E3"/>
            <w:noWrap/>
            <w:vAlign w:val="center"/>
            <w:hideMark/>
          </w:tcPr>
          <w:p w14:paraId="5839DFA2" w14:textId="77777777" w:rsidR="00693B3E" w:rsidRPr="00C67C7F" w:rsidRDefault="00693B3E" w:rsidP="00693B3E">
            <w:pPr>
              <w:jc w:val="right"/>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163.783.765</w:t>
            </w:r>
          </w:p>
        </w:tc>
        <w:tc>
          <w:tcPr>
            <w:tcW w:w="307" w:type="pct"/>
            <w:tcBorders>
              <w:top w:val="nil"/>
              <w:left w:val="nil"/>
              <w:bottom w:val="single" w:sz="8" w:space="0" w:color="FFFFFF"/>
              <w:right w:val="nil"/>
            </w:tcBorders>
            <w:shd w:val="clear" w:color="000000" w:fill="D0E0E3"/>
            <w:noWrap/>
            <w:vAlign w:val="center"/>
            <w:hideMark/>
          </w:tcPr>
          <w:p w14:paraId="3F453393" w14:textId="77777777" w:rsidR="00693B3E" w:rsidRPr="00C67C7F" w:rsidRDefault="00693B3E" w:rsidP="00693B3E">
            <w:pPr>
              <w:jc w:val="right"/>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832.399</w:t>
            </w:r>
          </w:p>
        </w:tc>
        <w:tc>
          <w:tcPr>
            <w:tcW w:w="344" w:type="pct"/>
            <w:tcBorders>
              <w:top w:val="nil"/>
              <w:left w:val="nil"/>
              <w:bottom w:val="single" w:sz="8" w:space="0" w:color="FFFFFF"/>
              <w:right w:val="nil"/>
            </w:tcBorders>
            <w:shd w:val="clear" w:color="000000" w:fill="D0E0E3"/>
            <w:noWrap/>
            <w:vAlign w:val="center"/>
            <w:hideMark/>
          </w:tcPr>
          <w:p w14:paraId="5CD8738E" w14:textId="4F14EF04" w:rsidR="00693B3E" w:rsidRPr="00C67C7F" w:rsidRDefault="001722DD" w:rsidP="00693B3E">
            <w:pPr>
              <w:jc w:val="right"/>
              <w:rPr>
                <w:rFonts w:ascii="CAIXA Std Book" w:eastAsia="Times New Roman" w:hAnsi="CAIXA Std Book" w:cs="Times New Roman"/>
                <w:b/>
                <w:bCs/>
                <w:color w:val="005CA9"/>
                <w:sz w:val="15"/>
                <w:szCs w:val="15"/>
              </w:rPr>
            </w:pPr>
            <w:r>
              <w:rPr>
                <w:rFonts w:ascii="CAIXA Std Book" w:eastAsia="Times New Roman" w:hAnsi="CAIXA Std Book" w:cs="Times New Roman"/>
                <w:b/>
                <w:bCs/>
                <w:color w:val="005CA9"/>
                <w:sz w:val="15"/>
                <w:szCs w:val="15"/>
              </w:rPr>
              <w:t>(</w:t>
            </w:r>
            <w:r w:rsidR="00693B3E" w:rsidRPr="00C67C7F">
              <w:rPr>
                <w:rFonts w:ascii="CAIXA Std Book" w:eastAsia="Times New Roman" w:hAnsi="CAIXA Std Book" w:cs="Times New Roman"/>
                <w:b/>
                <w:bCs/>
                <w:color w:val="005CA9"/>
                <w:sz w:val="15"/>
                <w:szCs w:val="15"/>
              </w:rPr>
              <w:t>281.405</w:t>
            </w:r>
            <w:r>
              <w:rPr>
                <w:rFonts w:ascii="CAIXA Std Book" w:eastAsia="Times New Roman" w:hAnsi="CAIXA Std Book" w:cs="Times New Roman"/>
                <w:b/>
                <w:bCs/>
                <w:color w:val="005CA9"/>
                <w:sz w:val="15"/>
                <w:szCs w:val="15"/>
              </w:rPr>
              <w:t>)</w:t>
            </w:r>
          </w:p>
        </w:tc>
        <w:tc>
          <w:tcPr>
            <w:tcW w:w="344" w:type="pct"/>
            <w:tcBorders>
              <w:top w:val="nil"/>
              <w:left w:val="nil"/>
              <w:bottom w:val="single" w:sz="8" w:space="0" w:color="FFFFFF"/>
              <w:right w:val="nil"/>
            </w:tcBorders>
            <w:shd w:val="clear" w:color="000000" w:fill="D0E0E3"/>
            <w:noWrap/>
            <w:vAlign w:val="center"/>
            <w:hideMark/>
          </w:tcPr>
          <w:p w14:paraId="76D5F0AA" w14:textId="77777777" w:rsidR="00693B3E" w:rsidRPr="00C67C7F" w:rsidRDefault="00693B3E" w:rsidP="00693B3E">
            <w:pPr>
              <w:jc w:val="right"/>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550.994</w:t>
            </w:r>
          </w:p>
        </w:tc>
        <w:tc>
          <w:tcPr>
            <w:tcW w:w="344" w:type="pct"/>
            <w:tcBorders>
              <w:top w:val="nil"/>
              <w:left w:val="nil"/>
              <w:bottom w:val="single" w:sz="8" w:space="0" w:color="FFFFFF"/>
              <w:right w:val="nil"/>
            </w:tcBorders>
            <w:shd w:val="clear" w:color="000000" w:fill="D0E0E3"/>
            <w:noWrap/>
            <w:vAlign w:val="center"/>
            <w:hideMark/>
          </w:tcPr>
          <w:p w14:paraId="087EA10C" w14:textId="77777777" w:rsidR="00693B3E" w:rsidRPr="00C67C7F" w:rsidRDefault="00693B3E" w:rsidP="00693B3E">
            <w:pPr>
              <w:jc w:val="right"/>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758.732</w:t>
            </w:r>
          </w:p>
        </w:tc>
        <w:tc>
          <w:tcPr>
            <w:tcW w:w="315" w:type="pct"/>
            <w:tcBorders>
              <w:top w:val="nil"/>
              <w:left w:val="nil"/>
              <w:bottom w:val="single" w:sz="8" w:space="0" w:color="FFFFFF"/>
              <w:right w:val="nil"/>
            </w:tcBorders>
            <w:shd w:val="clear" w:color="000000" w:fill="D0E0E3"/>
            <w:noWrap/>
            <w:vAlign w:val="center"/>
            <w:hideMark/>
          </w:tcPr>
          <w:p w14:paraId="7CF5036D" w14:textId="2B4E5E73" w:rsidR="00693B3E" w:rsidRPr="00C67C7F" w:rsidRDefault="00693B3E" w:rsidP="00693B3E">
            <w:pPr>
              <w:jc w:val="right"/>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(696.582)</w:t>
            </w:r>
          </w:p>
        </w:tc>
        <w:tc>
          <w:tcPr>
            <w:tcW w:w="292" w:type="pct"/>
            <w:tcBorders>
              <w:top w:val="nil"/>
              <w:left w:val="nil"/>
              <w:bottom w:val="single" w:sz="8" w:space="0" w:color="FFFFFF"/>
              <w:right w:val="nil"/>
            </w:tcBorders>
            <w:shd w:val="clear" w:color="000000" w:fill="D0E0E3"/>
            <w:noWrap/>
            <w:vAlign w:val="center"/>
            <w:hideMark/>
          </w:tcPr>
          <w:p w14:paraId="5E916408" w14:textId="77777777" w:rsidR="00693B3E" w:rsidRPr="00C67C7F" w:rsidRDefault="00693B3E" w:rsidP="00693B3E">
            <w:pPr>
              <w:jc w:val="right"/>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62.150</w:t>
            </w:r>
          </w:p>
        </w:tc>
        <w:tc>
          <w:tcPr>
            <w:tcW w:w="389" w:type="pct"/>
            <w:tcBorders>
              <w:top w:val="nil"/>
              <w:left w:val="nil"/>
              <w:bottom w:val="single" w:sz="8" w:space="0" w:color="FFFFFF"/>
              <w:right w:val="nil"/>
            </w:tcBorders>
            <w:shd w:val="clear" w:color="000000" w:fill="D0E0E3"/>
            <w:noWrap/>
            <w:vAlign w:val="center"/>
            <w:hideMark/>
          </w:tcPr>
          <w:p w14:paraId="0AB7756E" w14:textId="77777777" w:rsidR="00693B3E" w:rsidRPr="00C67C7F" w:rsidRDefault="00693B3E" w:rsidP="00693B3E">
            <w:pPr>
              <w:jc w:val="right"/>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166.109.642</w:t>
            </w:r>
          </w:p>
        </w:tc>
        <w:tc>
          <w:tcPr>
            <w:tcW w:w="342" w:type="pct"/>
            <w:tcBorders>
              <w:top w:val="nil"/>
              <w:left w:val="nil"/>
              <w:bottom w:val="single" w:sz="8" w:space="0" w:color="FFFFFF"/>
              <w:right w:val="nil"/>
            </w:tcBorders>
            <w:shd w:val="clear" w:color="000000" w:fill="D0E0E3"/>
            <w:noWrap/>
            <w:vAlign w:val="center"/>
            <w:hideMark/>
          </w:tcPr>
          <w:p w14:paraId="3B20AD5E" w14:textId="0E89079D" w:rsidR="00693B3E" w:rsidRPr="00C67C7F" w:rsidRDefault="00693B3E" w:rsidP="00693B3E">
            <w:pPr>
              <w:jc w:val="right"/>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(1.712.733)</w:t>
            </w:r>
          </w:p>
        </w:tc>
        <w:tc>
          <w:tcPr>
            <w:tcW w:w="377" w:type="pct"/>
            <w:tcBorders>
              <w:top w:val="nil"/>
              <w:left w:val="nil"/>
              <w:bottom w:val="single" w:sz="8" w:space="0" w:color="FFFFFF"/>
              <w:right w:val="nil"/>
            </w:tcBorders>
            <w:shd w:val="clear" w:color="000000" w:fill="D0E0E3"/>
            <w:noWrap/>
            <w:vAlign w:val="center"/>
            <w:hideMark/>
          </w:tcPr>
          <w:p w14:paraId="6FA7AFA9" w14:textId="77777777" w:rsidR="00693B3E" w:rsidRPr="00C67C7F" w:rsidRDefault="00693B3E" w:rsidP="00693B3E">
            <w:pPr>
              <w:jc w:val="right"/>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164.396.909</w:t>
            </w:r>
          </w:p>
        </w:tc>
      </w:tr>
      <w:tr w:rsidR="00693B3E" w:rsidRPr="00C67C7F" w14:paraId="764BD9F2" w14:textId="77777777" w:rsidTr="009E01D8">
        <w:trPr>
          <w:trHeight w:val="255"/>
        </w:trPr>
        <w:tc>
          <w:tcPr>
            <w:tcW w:w="876" w:type="pct"/>
            <w:tcBorders>
              <w:top w:val="nil"/>
              <w:left w:val="nil"/>
              <w:bottom w:val="nil"/>
              <w:right w:val="nil"/>
            </w:tcBorders>
            <w:shd w:val="clear" w:color="000000" w:fill="D0E0E3"/>
            <w:noWrap/>
            <w:vAlign w:val="center"/>
            <w:hideMark/>
          </w:tcPr>
          <w:p w14:paraId="2CBF557A" w14:textId="77777777" w:rsidR="00693B3E" w:rsidRPr="00C67C7F" w:rsidRDefault="00693B3E" w:rsidP="00693B3E">
            <w:pPr>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Garantias financeiras prestadas</w:t>
            </w:r>
          </w:p>
        </w:tc>
        <w:tc>
          <w:tcPr>
            <w:tcW w:w="389" w:type="pct"/>
            <w:tcBorders>
              <w:top w:val="nil"/>
              <w:left w:val="nil"/>
              <w:bottom w:val="nil"/>
              <w:right w:val="nil"/>
            </w:tcBorders>
            <w:shd w:val="clear" w:color="000000" w:fill="D0E0E3"/>
            <w:noWrap/>
            <w:vAlign w:val="center"/>
            <w:hideMark/>
          </w:tcPr>
          <w:p w14:paraId="433EEC02" w14:textId="77777777" w:rsidR="00693B3E" w:rsidRPr="00C67C7F" w:rsidRDefault="00693B3E" w:rsidP="00693B3E">
            <w:pPr>
              <w:jc w:val="right"/>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31.855.379</w:t>
            </w:r>
          </w:p>
        </w:tc>
        <w:tc>
          <w:tcPr>
            <w:tcW w:w="299" w:type="pct"/>
            <w:tcBorders>
              <w:top w:val="nil"/>
              <w:left w:val="nil"/>
              <w:bottom w:val="nil"/>
              <w:right w:val="nil"/>
            </w:tcBorders>
            <w:shd w:val="clear" w:color="000000" w:fill="D0E0E3"/>
            <w:noWrap/>
            <w:vAlign w:val="center"/>
            <w:hideMark/>
          </w:tcPr>
          <w:p w14:paraId="5FF0D587" w14:textId="278E5661" w:rsidR="00693B3E" w:rsidRPr="00C67C7F" w:rsidRDefault="00693B3E" w:rsidP="00693B3E">
            <w:pPr>
              <w:jc w:val="right"/>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(1.416)</w:t>
            </w:r>
          </w:p>
        </w:tc>
        <w:tc>
          <w:tcPr>
            <w:tcW w:w="382" w:type="pct"/>
            <w:tcBorders>
              <w:top w:val="nil"/>
              <w:left w:val="nil"/>
              <w:bottom w:val="nil"/>
              <w:right w:val="nil"/>
            </w:tcBorders>
            <w:shd w:val="clear" w:color="000000" w:fill="D0E0E3"/>
            <w:noWrap/>
            <w:vAlign w:val="center"/>
            <w:hideMark/>
          </w:tcPr>
          <w:p w14:paraId="353C7CDA" w14:textId="77777777" w:rsidR="00693B3E" w:rsidRPr="00C67C7F" w:rsidRDefault="00693B3E" w:rsidP="00693B3E">
            <w:pPr>
              <w:jc w:val="right"/>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31.853.963</w:t>
            </w:r>
          </w:p>
        </w:tc>
        <w:tc>
          <w:tcPr>
            <w:tcW w:w="307" w:type="pct"/>
            <w:tcBorders>
              <w:top w:val="nil"/>
              <w:left w:val="nil"/>
              <w:bottom w:val="nil"/>
              <w:right w:val="nil"/>
            </w:tcBorders>
            <w:shd w:val="clear" w:color="000000" w:fill="D0E0E3"/>
            <w:noWrap/>
            <w:vAlign w:val="center"/>
            <w:hideMark/>
          </w:tcPr>
          <w:p w14:paraId="6C8E84BE" w14:textId="77777777" w:rsidR="00693B3E" w:rsidRPr="00C67C7F" w:rsidRDefault="00693B3E" w:rsidP="00693B3E">
            <w:pPr>
              <w:jc w:val="right"/>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6.715</w:t>
            </w:r>
          </w:p>
        </w:tc>
        <w:tc>
          <w:tcPr>
            <w:tcW w:w="344" w:type="pct"/>
            <w:tcBorders>
              <w:top w:val="nil"/>
              <w:left w:val="nil"/>
              <w:bottom w:val="nil"/>
              <w:right w:val="nil"/>
            </w:tcBorders>
            <w:shd w:val="clear" w:color="000000" w:fill="D0E0E3"/>
            <w:noWrap/>
            <w:vAlign w:val="center"/>
            <w:hideMark/>
          </w:tcPr>
          <w:p w14:paraId="32876D27" w14:textId="7495EE67" w:rsidR="00693B3E" w:rsidRPr="00C67C7F" w:rsidRDefault="001722DD" w:rsidP="00693B3E">
            <w:pPr>
              <w:jc w:val="right"/>
              <w:rPr>
                <w:rFonts w:ascii="CAIXA Std Book" w:eastAsia="Times New Roman" w:hAnsi="CAIXA Std Book" w:cs="Times New Roman"/>
                <w:b/>
                <w:bCs/>
                <w:color w:val="005CA9"/>
                <w:sz w:val="15"/>
                <w:szCs w:val="15"/>
              </w:rPr>
            </w:pPr>
            <w:r>
              <w:rPr>
                <w:rFonts w:ascii="CAIXA Std Book" w:eastAsia="Times New Roman" w:hAnsi="CAIXA Std Book" w:cs="Times New Roman"/>
                <w:b/>
                <w:bCs/>
                <w:color w:val="005CA9"/>
                <w:sz w:val="15"/>
                <w:szCs w:val="15"/>
              </w:rPr>
              <w:t>(</w:t>
            </w:r>
            <w:r w:rsidR="00693B3E" w:rsidRPr="00C67C7F">
              <w:rPr>
                <w:rFonts w:ascii="CAIXA Std Book" w:eastAsia="Times New Roman" w:hAnsi="CAIXA Std Book" w:cs="Times New Roman"/>
                <w:b/>
                <w:bCs/>
                <w:color w:val="005CA9"/>
                <w:sz w:val="15"/>
                <w:szCs w:val="15"/>
              </w:rPr>
              <w:t>1.063</w:t>
            </w:r>
            <w:r>
              <w:rPr>
                <w:rFonts w:ascii="CAIXA Std Book" w:eastAsia="Times New Roman" w:hAnsi="CAIXA Std Book" w:cs="Times New Roman"/>
                <w:b/>
                <w:bCs/>
                <w:color w:val="005CA9"/>
                <w:sz w:val="15"/>
                <w:szCs w:val="15"/>
              </w:rPr>
              <w:t>)</w:t>
            </w:r>
          </w:p>
        </w:tc>
        <w:tc>
          <w:tcPr>
            <w:tcW w:w="344" w:type="pct"/>
            <w:tcBorders>
              <w:top w:val="nil"/>
              <w:left w:val="nil"/>
              <w:bottom w:val="nil"/>
              <w:right w:val="nil"/>
            </w:tcBorders>
            <w:shd w:val="clear" w:color="000000" w:fill="D0E0E3"/>
            <w:noWrap/>
            <w:vAlign w:val="center"/>
            <w:hideMark/>
          </w:tcPr>
          <w:p w14:paraId="10733C06" w14:textId="77777777" w:rsidR="00693B3E" w:rsidRPr="00C67C7F" w:rsidRDefault="00693B3E" w:rsidP="00693B3E">
            <w:pPr>
              <w:jc w:val="right"/>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5.652</w:t>
            </w:r>
          </w:p>
        </w:tc>
        <w:tc>
          <w:tcPr>
            <w:tcW w:w="344" w:type="pct"/>
            <w:tcBorders>
              <w:top w:val="nil"/>
              <w:left w:val="nil"/>
              <w:bottom w:val="nil"/>
              <w:right w:val="nil"/>
            </w:tcBorders>
            <w:shd w:val="clear" w:color="000000" w:fill="D0E0E3"/>
            <w:noWrap/>
            <w:vAlign w:val="center"/>
            <w:hideMark/>
          </w:tcPr>
          <w:p w14:paraId="2FD27744" w14:textId="77777777" w:rsidR="00693B3E" w:rsidRPr="00C67C7F" w:rsidRDefault="00693B3E" w:rsidP="00693B3E">
            <w:pPr>
              <w:jc w:val="right"/>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60.884</w:t>
            </w:r>
          </w:p>
        </w:tc>
        <w:tc>
          <w:tcPr>
            <w:tcW w:w="315" w:type="pct"/>
            <w:tcBorders>
              <w:top w:val="nil"/>
              <w:left w:val="nil"/>
              <w:bottom w:val="nil"/>
              <w:right w:val="nil"/>
            </w:tcBorders>
            <w:shd w:val="clear" w:color="000000" w:fill="D0E0E3"/>
            <w:noWrap/>
            <w:vAlign w:val="center"/>
            <w:hideMark/>
          </w:tcPr>
          <w:p w14:paraId="38363150" w14:textId="25862623" w:rsidR="00693B3E" w:rsidRPr="00C67C7F" w:rsidRDefault="00693B3E" w:rsidP="00693B3E">
            <w:pPr>
              <w:jc w:val="right"/>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(48.217)</w:t>
            </w:r>
          </w:p>
        </w:tc>
        <w:tc>
          <w:tcPr>
            <w:tcW w:w="292" w:type="pct"/>
            <w:tcBorders>
              <w:top w:val="nil"/>
              <w:left w:val="nil"/>
              <w:bottom w:val="nil"/>
              <w:right w:val="nil"/>
            </w:tcBorders>
            <w:shd w:val="clear" w:color="000000" w:fill="D0E0E3"/>
            <w:noWrap/>
            <w:vAlign w:val="center"/>
            <w:hideMark/>
          </w:tcPr>
          <w:p w14:paraId="120E9A17" w14:textId="77777777" w:rsidR="00693B3E" w:rsidRPr="00C67C7F" w:rsidRDefault="00693B3E" w:rsidP="00693B3E">
            <w:pPr>
              <w:jc w:val="right"/>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12.667</w:t>
            </w:r>
          </w:p>
        </w:tc>
        <w:tc>
          <w:tcPr>
            <w:tcW w:w="389" w:type="pct"/>
            <w:tcBorders>
              <w:top w:val="nil"/>
              <w:left w:val="nil"/>
              <w:bottom w:val="nil"/>
              <w:right w:val="nil"/>
            </w:tcBorders>
            <w:shd w:val="clear" w:color="000000" w:fill="D0E0E3"/>
            <w:noWrap/>
            <w:vAlign w:val="center"/>
            <w:hideMark/>
          </w:tcPr>
          <w:p w14:paraId="553A1788" w14:textId="77777777" w:rsidR="00693B3E" w:rsidRPr="00C67C7F" w:rsidRDefault="00693B3E" w:rsidP="00693B3E">
            <w:pPr>
              <w:jc w:val="right"/>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31.922.978</w:t>
            </w:r>
          </w:p>
        </w:tc>
        <w:tc>
          <w:tcPr>
            <w:tcW w:w="342" w:type="pct"/>
            <w:tcBorders>
              <w:top w:val="nil"/>
              <w:left w:val="nil"/>
              <w:bottom w:val="nil"/>
              <w:right w:val="nil"/>
            </w:tcBorders>
            <w:shd w:val="clear" w:color="000000" w:fill="D0E0E3"/>
            <w:noWrap/>
            <w:vAlign w:val="center"/>
            <w:hideMark/>
          </w:tcPr>
          <w:p w14:paraId="30A59892" w14:textId="2A94A807" w:rsidR="00693B3E" w:rsidRPr="00C67C7F" w:rsidRDefault="00693B3E" w:rsidP="00693B3E">
            <w:pPr>
              <w:jc w:val="right"/>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(50.696)</w:t>
            </w:r>
          </w:p>
        </w:tc>
        <w:tc>
          <w:tcPr>
            <w:tcW w:w="377" w:type="pct"/>
            <w:tcBorders>
              <w:top w:val="nil"/>
              <w:left w:val="nil"/>
              <w:bottom w:val="nil"/>
              <w:right w:val="nil"/>
            </w:tcBorders>
            <w:shd w:val="clear" w:color="000000" w:fill="D0E0E3"/>
            <w:noWrap/>
            <w:vAlign w:val="center"/>
            <w:hideMark/>
          </w:tcPr>
          <w:p w14:paraId="5BDADC8C" w14:textId="77777777" w:rsidR="00693B3E" w:rsidRPr="00C67C7F" w:rsidRDefault="00693B3E" w:rsidP="00693B3E">
            <w:pPr>
              <w:jc w:val="right"/>
              <w:rPr>
                <w:rFonts w:ascii="CAIXA Std Book" w:eastAsia="Times New Roman" w:hAnsi="CAIXA Std Book" w:cs="Times New Roman"/>
                <w:b/>
                <w:bCs/>
                <w:color w:val="005CA9"/>
                <w:sz w:val="15"/>
                <w:szCs w:val="15"/>
              </w:rPr>
            </w:pPr>
            <w:r w:rsidRPr="00C67C7F">
              <w:rPr>
                <w:rFonts w:ascii="CAIXA Std Book" w:eastAsia="Times New Roman" w:hAnsi="CAIXA Std Book" w:cs="Times New Roman"/>
                <w:b/>
                <w:bCs/>
                <w:color w:val="005CA9"/>
                <w:sz w:val="15"/>
                <w:szCs w:val="15"/>
              </w:rPr>
              <w:t>31.872.282</w:t>
            </w:r>
          </w:p>
        </w:tc>
      </w:tr>
      <w:tr w:rsidR="00693B3E" w:rsidRPr="00C67C7F" w14:paraId="08587EDE" w14:textId="77777777" w:rsidTr="009E01D8">
        <w:trPr>
          <w:trHeight w:val="255"/>
        </w:trPr>
        <w:tc>
          <w:tcPr>
            <w:tcW w:w="876" w:type="pct"/>
            <w:tcBorders>
              <w:top w:val="nil"/>
              <w:left w:val="nil"/>
              <w:bottom w:val="nil"/>
              <w:right w:val="nil"/>
            </w:tcBorders>
            <w:vAlign w:val="center"/>
            <w:hideMark/>
          </w:tcPr>
          <w:p w14:paraId="56F5191E" w14:textId="77777777" w:rsidR="00693B3E" w:rsidRPr="00C67C7F" w:rsidRDefault="00693B3E" w:rsidP="00693B3E">
            <w:pPr>
              <w:ind w:firstLineChars="100" w:firstLine="150"/>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Repasses - Entidades</w:t>
            </w:r>
          </w:p>
        </w:tc>
        <w:tc>
          <w:tcPr>
            <w:tcW w:w="389" w:type="pct"/>
            <w:tcBorders>
              <w:top w:val="nil"/>
              <w:left w:val="nil"/>
              <w:bottom w:val="nil"/>
              <w:right w:val="nil"/>
            </w:tcBorders>
            <w:shd w:val="clear" w:color="000000" w:fill="FFFFFF"/>
            <w:vAlign w:val="center"/>
            <w:hideMark/>
          </w:tcPr>
          <w:p w14:paraId="13D165A6" w14:textId="77777777"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31.795.702</w:t>
            </w:r>
          </w:p>
        </w:tc>
        <w:tc>
          <w:tcPr>
            <w:tcW w:w="299" w:type="pct"/>
            <w:tcBorders>
              <w:top w:val="nil"/>
              <w:left w:val="nil"/>
              <w:bottom w:val="nil"/>
              <w:right w:val="nil"/>
            </w:tcBorders>
            <w:shd w:val="clear" w:color="000000" w:fill="FFFFFF"/>
            <w:vAlign w:val="center"/>
            <w:hideMark/>
          </w:tcPr>
          <w:p w14:paraId="63354B4C" w14:textId="6DBE4F67"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(67)</w:t>
            </w:r>
          </w:p>
        </w:tc>
        <w:tc>
          <w:tcPr>
            <w:tcW w:w="382" w:type="pct"/>
            <w:tcBorders>
              <w:top w:val="nil"/>
              <w:left w:val="nil"/>
              <w:bottom w:val="nil"/>
              <w:right w:val="nil"/>
            </w:tcBorders>
            <w:shd w:val="clear" w:color="000000" w:fill="FFFFFF"/>
            <w:vAlign w:val="center"/>
            <w:hideMark/>
          </w:tcPr>
          <w:p w14:paraId="0E969315" w14:textId="77777777"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31.795.635</w:t>
            </w:r>
          </w:p>
        </w:tc>
        <w:tc>
          <w:tcPr>
            <w:tcW w:w="307" w:type="pct"/>
            <w:tcBorders>
              <w:top w:val="nil"/>
              <w:left w:val="nil"/>
              <w:bottom w:val="nil"/>
              <w:right w:val="nil"/>
            </w:tcBorders>
            <w:shd w:val="clear" w:color="000000" w:fill="FFFFFF"/>
            <w:vAlign w:val="center"/>
            <w:hideMark/>
          </w:tcPr>
          <w:p w14:paraId="41953265" w14:textId="77777777" w:rsidR="00693B3E" w:rsidRPr="00C67C7F" w:rsidRDefault="00693B3E" w:rsidP="00693B3E">
            <w:pPr>
              <w:jc w:val="center"/>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w:t>
            </w:r>
          </w:p>
        </w:tc>
        <w:tc>
          <w:tcPr>
            <w:tcW w:w="344" w:type="pct"/>
            <w:tcBorders>
              <w:top w:val="nil"/>
              <w:left w:val="nil"/>
              <w:bottom w:val="nil"/>
              <w:right w:val="nil"/>
            </w:tcBorders>
            <w:shd w:val="clear" w:color="000000" w:fill="FFFFFF"/>
            <w:vAlign w:val="center"/>
            <w:hideMark/>
          </w:tcPr>
          <w:p w14:paraId="13BB1526" w14:textId="77777777" w:rsidR="00693B3E" w:rsidRPr="00C67C7F" w:rsidRDefault="00693B3E" w:rsidP="00693B3E">
            <w:pPr>
              <w:jc w:val="center"/>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w:t>
            </w:r>
          </w:p>
        </w:tc>
        <w:tc>
          <w:tcPr>
            <w:tcW w:w="344" w:type="pct"/>
            <w:tcBorders>
              <w:top w:val="nil"/>
              <w:left w:val="nil"/>
              <w:bottom w:val="nil"/>
              <w:right w:val="nil"/>
            </w:tcBorders>
            <w:shd w:val="clear" w:color="000000" w:fill="FFFFFF"/>
            <w:vAlign w:val="center"/>
            <w:hideMark/>
          </w:tcPr>
          <w:p w14:paraId="0B271F16" w14:textId="77777777" w:rsidR="00693B3E" w:rsidRPr="00C67C7F" w:rsidRDefault="00693B3E" w:rsidP="00693B3E">
            <w:pPr>
              <w:jc w:val="center"/>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w:t>
            </w:r>
          </w:p>
        </w:tc>
        <w:tc>
          <w:tcPr>
            <w:tcW w:w="344" w:type="pct"/>
            <w:tcBorders>
              <w:top w:val="nil"/>
              <w:left w:val="nil"/>
              <w:bottom w:val="nil"/>
              <w:right w:val="nil"/>
            </w:tcBorders>
            <w:shd w:val="clear" w:color="000000" w:fill="FFFFFF"/>
            <w:vAlign w:val="center"/>
            <w:hideMark/>
          </w:tcPr>
          <w:p w14:paraId="76E03F05" w14:textId="77777777"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19.931</w:t>
            </w:r>
          </w:p>
        </w:tc>
        <w:tc>
          <w:tcPr>
            <w:tcW w:w="315" w:type="pct"/>
            <w:tcBorders>
              <w:top w:val="nil"/>
              <w:left w:val="nil"/>
              <w:bottom w:val="nil"/>
              <w:right w:val="nil"/>
            </w:tcBorders>
            <w:shd w:val="clear" w:color="000000" w:fill="FFFFFF"/>
            <w:vAlign w:val="center"/>
            <w:hideMark/>
          </w:tcPr>
          <w:p w14:paraId="13DE8D38" w14:textId="085507D8"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(19.931)</w:t>
            </w:r>
          </w:p>
        </w:tc>
        <w:tc>
          <w:tcPr>
            <w:tcW w:w="292" w:type="pct"/>
            <w:tcBorders>
              <w:top w:val="nil"/>
              <w:left w:val="nil"/>
              <w:bottom w:val="nil"/>
              <w:right w:val="nil"/>
            </w:tcBorders>
            <w:shd w:val="clear" w:color="000000" w:fill="FFFFFF"/>
            <w:vAlign w:val="center"/>
            <w:hideMark/>
          </w:tcPr>
          <w:p w14:paraId="5BDC4E1F" w14:textId="77777777" w:rsidR="00693B3E" w:rsidRPr="00C67C7F" w:rsidRDefault="00693B3E" w:rsidP="00693B3E">
            <w:pPr>
              <w:jc w:val="center"/>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w:t>
            </w:r>
          </w:p>
        </w:tc>
        <w:tc>
          <w:tcPr>
            <w:tcW w:w="389" w:type="pct"/>
            <w:tcBorders>
              <w:top w:val="nil"/>
              <w:left w:val="nil"/>
              <w:bottom w:val="nil"/>
              <w:right w:val="nil"/>
            </w:tcBorders>
            <w:shd w:val="clear" w:color="000000" w:fill="FFFFFF"/>
            <w:vAlign w:val="center"/>
            <w:hideMark/>
          </w:tcPr>
          <w:p w14:paraId="2DADDE9E" w14:textId="77777777"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31.815.633</w:t>
            </w:r>
          </w:p>
        </w:tc>
        <w:tc>
          <w:tcPr>
            <w:tcW w:w="342" w:type="pct"/>
            <w:tcBorders>
              <w:top w:val="nil"/>
              <w:left w:val="nil"/>
              <w:bottom w:val="nil"/>
              <w:right w:val="nil"/>
            </w:tcBorders>
            <w:shd w:val="clear" w:color="000000" w:fill="FFFFFF"/>
            <w:vAlign w:val="center"/>
            <w:hideMark/>
          </w:tcPr>
          <w:p w14:paraId="024227B2" w14:textId="148D594B"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(19.998)</w:t>
            </w:r>
          </w:p>
        </w:tc>
        <w:tc>
          <w:tcPr>
            <w:tcW w:w="377" w:type="pct"/>
            <w:tcBorders>
              <w:top w:val="nil"/>
              <w:left w:val="nil"/>
              <w:bottom w:val="nil"/>
              <w:right w:val="nil"/>
            </w:tcBorders>
            <w:shd w:val="clear" w:color="000000" w:fill="FFFFFF"/>
            <w:vAlign w:val="center"/>
            <w:hideMark/>
          </w:tcPr>
          <w:p w14:paraId="3EF99867" w14:textId="77777777"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31.795.635</w:t>
            </w:r>
          </w:p>
        </w:tc>
      </w:tr>
      <w:tr w:rsidR="00693B3E" w:rsidRPr="00C67C7F" w14:paraId="0EA1C699" w14:textId="77777777" w:rsidTr="009E01D8">
        <w:trPr>
          <w:trHeight w:val="255"/>
        </w:trPr>
        <w:tc>
          <w:tcPr>
            <w:tcW w:w="876" w:type="pct"/>
            <w:tcBorders>
              <w:top w:val="nil"/>
              <w:left w:val="nil"/>
              <w:bottom w:val="nil"/>
              <w:right w:val="nil"/>
            </w:tcBorders>
            <w:vAlign w:val="center"/>
            <w:hideMark/>
          </w:tcPr>
          <w:p w14:paraId="4607ADCA" w14:textId="77777777" w:rsidR="00693B3E" w:rsidRPr="00C67C7F" w:rsidRDefault="00693B3E" w:rsidP="00693B3E">
            <w:pPr>
              <w:ind w:firstLineChars="100" w:firstLine="150"/>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FIES</w:t>
            </w:r>
          </w:p>
        </w:tc>
        <w:tc>
          <w:tcPr>
            <w:tcW w:w="389" w:type="pct"/>
            <w:tcBorders>
              <w:top w:val="nil"/>
              <w:left w:val="nil"/>
              <w:bottom w:val="nil"/>
              <w:right w:val="nil"/>
            </w:tcBorders>
            <w:shd w:val="clear" w:color="000000" w:fill="FFFFFF"/>
            <w:vAlign w:val="center"/>
            <w:hideMark/>
          </w:tcPr>
          <w:p w14:paraId="2FA2FF7E" w14:textId="77777777"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59.677</w:t>
            </w:r>
          </w:p>
        </w:tc>
        <w:tc>
          <w:tcPr>
            <w:tcW w:w="299" w:type="pct"/>
            <w:tcBorders>
              <w:top w:val="nil"/>
              <w:left w:val="nil"/>
              <w:bottom w:val="nil"/>
              <w:right w:val="nil"/>
            </w:tcBorders>
            <w:shd w:val="clear" w:color="000000" w:fill="FFFFFF"/>
            <w:vAlign w:val="center"/>
            <w:hideMark/>
          </w:tcPr>
          <w:p w14:paraId="1B3047D6" w14:textId="48DF7EAA"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(1.349)</w:t>
            </w:r>
          </w:p>
        </w:tc>
        <w:tc>
          <w:tcPr>
            <w:tcW w:w="382" w:type="pct"/>
            <w:tcBorders>
              <w:top w:val="nil"/>
              <w:left w:val="nil"/>
              <w:bottom w:val="nil"/>
              <w:right w:val="nil"/>
            </w:tcBorders>
            <w:shd w:val="clear" w:color="000000" w:fill="FFFFFF"/>
            <w:vAlign w:val="center"/>
            <w:hideMark/>
          </w:tcPr>
          <w:p w14:paraId="2640A606" w14:textId="77777777"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58.328</w:t>
            </w:r>
          </w:p>
        </w:tc>
        <w:tc>
          <w:tcPr>
            <w:tcW w:w="307" w:type="pct"/>
            <w:tcBorders>
              <w:top w:val="nil"/>
              <w:left w:val="nil"/>
              <w:bottom w:val="nil"/>
              <w:right w:val="nil"/>
            </w:tcBorders>
            <w:shd w:val="clear" w:color="000000" w:fill="FFFFFF"/>
            <w:vAlign w:val="center"/>
            <w:hideMark/>
          </w:tcPr>
          <w:p w14:paraId="192E0062" w14:textId="77777777"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6.715</w:t>
            </w:r>
          </w:p>
        </w:tc>
        <w:tc>
          <w:tcPr>
            <w:tcW w:w="344" w:type="pct"/>
            <w:tcBorders>
              <w:top w:val="nil"/>
              <w:left w:val="nil"/>
              <w:bottom w:val="nil"/>
              <w:right w:val="nil"/>
            </w:tcBorders>
            <w:shd w:val="clear" w:color="000000" w:fill="FFFFFF"/>
            <w:vAlign w:val="center"/>
            <w:hideMark/>
          </w:tcPr>
          <w:p w14:paraId="14D17F07" w14:textId="5E64AB8E" w:rsidR="00693B3E" w:rsidRPr="00C67C7F" w:rsidRDefault="001722DD" w:rsidP="00693B3E">
            <w:pPr>
              <w:jc w:val="right"/>
              <w:rPr>
                <w:rFonts w:ascii="CAIXA Std Book" w:eastAsia="Times New Roman" w:hAnsi="CAIXA Std Book" w:cs="Times New Roman"/>
                <w:color w:val="005CA9"/>
                <w:sz w:val="15"/>
                <w:szCs w:val="15"/>
              </w:rPr>
            </w:pPr>
            <w:r>
              <w:rPr>
                <w:rFonts w:ascii="CAIXA Std Book" w:eastAsia="Times New Roman" w:hAnsi="CAIXA Std Book" w:cs="Times New Roman"/>
                <w:color w:val="005CA9"/>
                <w:sz w:val="15"/>
                <w:szCs w:val="15"/>
              </w:rPr>
              <w:t>(</w:t>
            </w:r>
            <w:r w:rsidR="00693B3E" w:rsidRPr="00C67C7F">
              <w:rPr>
                <w:rFonts w:ascii="CAIXA Std Book" w:eastAsia="Times New Roman" w:hAnsi="CAIXA Std Book" w:cs="Times New Roman"/>
                <w:color w:val="005CA9"/>
                <w:sz w:val="15"/>
                <w:szCs w:val="15"/>
              </w:rPr>
              <w:t>1.063</w:t>
            </w:r>
            <w:r>
              <w:rPr>
                <w:rFonts w:ascii="CAIXA Std Book" w:eastAsia="Times New Roman" w:hAnsi="CAIXA Std Book" w:cs="Times New Roman"/>
                <w:color w:val="005CA9"/>
                <w:sz w:val="15"/>
                <w:szCs w:val="15"/>
              </w:rPr>
              <w:t>)</w:t>
            </w:r>
          </w:p>
        </w:tc>
        <w:tc>
          <w:tcPr>
            <w:tcW w:w="344" w:type="pct"/>
            <w:tcBorders>
              <w:top w:val="nil"/>
              <w:left w:val="nil"/>
              <w:bottom w:val="nil"/>
              <w:right w:val="nil"/>
            </w:tcBorders>
            <w:shd w:val="clear" w:color="000000" w:fill="FFFFFF"/>
            <w:vAlign w:val="center"/>
            <w:hideMark/>
          </w:tcPr>
          <w:p w14:paraId="4402F7B3" w14:textId="77777777"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5.652</w:t>
            </w:r>
          </w:p>
        </w:tc>
        <w:tc>
          <w:tcPr>
            <w:tcW w:w="344" w:type="pct"/>
            <w:tcBorders>
              <w:top w:val="nil"/>
              <w:left w:val="nil"/>
              <w:bottom w:val="nil"/>
              <w:right w:val="nil"/>
            </w:tcBorders>
            <w:shd w:val="clear" w:color="000000" w:fill="FFFFFF"/>
            <w:vAlign w:val="center"/>
            <w:hideMark/>
          </w:tcPr>
          <w:p w14:paraId="40E564CB" w14:textId="77777777"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22.415</w:t>
            </w:r>
          </w:p>
        </w:tc>
        <w:tc>
          <w:tcPr>
            <w:tcW w:w="315" w:type="pct"/>
            <w:tcBorders>
              <w:top w:val="nil"/>
              <w:left w:val="nil"/>
              <w:bottom w:val="nil"/>
              <w:right w:val="nil"/>
            </w:tcBorders>
            <w:shd w:val="clear" w:color="000000" w:fill="FFFFFF"/>
            <w:vAlign w:val="center"/>
            <w:hideMark/>
          </w:tcPr>
          <w:p w14:paraId="3B58A6A0" w14:textId="778FC943"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(16.119)</w:t>
            </w:r>
          </w:p>
        </w:tc>
        <w:tc>
          <w:tcPr>
            <w:tcW w:w="292" w:type="pct"/>
            <w:tcBorders>
              <w:top w:val="nil"/>
              <w:left w:val="nil"/>
              <w:bottom w:val="nil"/>
              <w:right w:val="nil"/>
            </w:tcBorders>
            <w:shd w:val="clear" w:color="000000" w:fill="FFFFFF"/>
            <w:vAlign w:val="center"/>
            <w:hideMark/>
          </w:tcPr>
          <w:p w14:paraId="52FD0AA9" w14:textId="77777777"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6.296</w:t>
            </w:r>
          </w:p>
        </w:tc>
        <w:tc>
          <w:tcPr>
            <w:tcW w:w="389" w:type="pct"/>
            <w:tcBorders>
              <w:top w:val="nil"/>
              <w:left w:val="nil"/>
              <w:bottom w:val="nil"/>
              <w:right w:val="nil"/>
            </w:tcBorders>
            <w:shd w:val="clear" w:color="000000" w:fill="FFFFFF"/>
            <w:vAlign w:val="center"/>
            <w:hideMark/>
          </w:tcPr>
          <w:p w14:paraId="508EDA9F" w14:textId="77777777"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88.807</w:t>
            </w:r>
          </w:p>
        </w:tc>
        <w:tc>
          <w:tcPr>
            <w:tcW w:w="342" w:type="pct"/>
            <w:tcBorders>
              <w:top w:val="nil"/>
              <w:left w:val="nil"/>
              <w:bottom w:val="nil"/>
              <w:right w:val="nil"/>
            </w:tcBorders>
            <w:shd w:val="clear" w:color="000000" w:fill="FFFFFF"/>
            <w:vAlign w:val="center"/>
            <w:hideMark/>
          </w:tcPr>
          <w:p w14:paraId="1365EED0" w14:textId="14968640"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(18.531)</w:t>
            </w:r>
          </w:p>
        </w:tc>
        <w:tc>
          <w:tcPr>
            <w:tcW w:w="377" w:type="pct"/>
            <w:tcBorders>
              <w:top w:val="nil"/>
              <w:left w:val="nil"/>
              <w:bottom w:val="nil"/>
              <w:right w:val="nil"/>
            </w:tcBorders>
            <w:shd w:val="clear" w:color="000000" w:fill="FFFFFF"/>
            <w:vAlign w:val="center"/>
            <w:hideMark/>
          </w:tcPr>
          <w:p w14:paraId="48876E5D" w14:textId="77777777"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70.276</w:t>
            </w:r>
          </w:p>
        </w:tc>
      </w:tr>
      <w:tr w:rsidR="00693B3E" w:rsidRPr="00C67C7F" w14:paraId="4C94853B" w14:textId="77777777" w:rsidTr="009E01D8">
        <w:trPr>
          <w:trHeight w:val="255"/>
        </w:trPr>
        <w:tc>
          <w:tcPr>
            <w:tcW w:w="876" w:type="pct"/>
            <w:tcBorders>
              <w:top w:val="nil"/>
              <w:left w:val="nil"/>
              <w:bottom w:val="nil"/>
              <w:right w:val="nil"/>
            </w:tcBorders>
            <w:vAlign w:val="center"/>
            <w:hideMark/>
          </w:tcPr>
          <w:p w14:paraId="6F4C82C4" w14:textId="77777777" w:rsidR="00693B3E" w:rsidRPr="00C67C7F" w:rsidRDefault="00693B3E" w:rsidP="00693B3E">
            <w:pPr>
              <w:ind w:firstLineChars="100" w:firstLine="150"/>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Fiança</w:t>
            </w:r>
          </w:p>
        </w:tc>
        <w:tc>
          <w:tcPr>
            <w:tcW w:w="389" w:type="pct"/>
            <w:tcBorders>
              <w:top w:val="nil"/>
              <w:left w:val="nil"/>
              <w:bottom w:val="nil"/>
              <w:right w:val="nil"/>
            </w:tcBorders>
            <w:shd w:val="clear" w:color="000000" w:fill="FFFFFF"/>
            <w:vAlign w:val="center"/>
            <w:hideMark/>
          </w:tcPr>
          <w:p w14:paraId="65419954" w14:textId="77777777" w:rsidR="00693B3E" w:rsidRPr="00C67C7F" w:rsidRDefault="00693B3E" w:rsidP="00693B3E">
            <w:pPr>
              <w:jc w:val="center"/>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w:t>
            </w:r>
          </w:p>
        </w:tc>
        <w:tc>
          <w:tcPr>
            <w:tcW w:w="299" w:type="pct"/>
            <w:tcBorders>
              <w:top w:val="nil"/>
              <w:left w:val="nil"/>
              <w:bottom w:val="nil"/>
              <w:right w:val="nil"/>
            </w:tcBorders>
            <w:shd w:val="clear" w:color="000000" w:fill="FFFFFF"/>
            <w:vAlign w:val="center"/>
            <w:hideMark/>
          </w:tcPr>
          <w:p w14:paraId="20A41CBC" w14:textId="77777777" w:rsidR="00693B3E" w:rsidRPr="00C67C7F" w:rsidRDefault="00693B3E" w:rsidP="00693B3E">
            <w:pPr>
              <w:jc w:val="center"/>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w:t>
            </w:r>
          </w:p>
        </w:tc>
        <w:tc>
          <w:tcPr>
            <w:tcW w:w="382" w:type="pct"/>
            <w:tcBorders>
              <w:top w:val="nil"/>
              <w:left w:val="nil"/>
              <w:bottom w:val="nil"/>
              <w:right w:val="nil"/>
            </w:tcBorders>
            <w:shd w:val="clear" w:color="000000" w:fill="FFFFFF"/>
            <w:vAlign w:val="center"/>
            <w:hideMark/>
          </w:tcPr>
          <w:p w14:paraId="52EF1D61" w14:textId="77777777" w:rsidR="00693B3E" w:rsidRPr="00C67C7F" w:rsidRDefault="00693B3E" w:rsidP="00693B3E">
            <w:pPr>
              <w:jc w:val="center"/>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w:t>
            </w:r>
          </w:p>
        </w:tc>
        <w:tc>
          <w:tcPr>
            <w:tcW w:w="307" w:type="pct"/>
            <w:tcBorders>
              <w:top w:val="nil"/>
              <w:left w:val="nil"/>
              <w:bottom w:val="nil"/>
              <w:right w:val="nil"/>
            </w:tcBorders>
            <w:shd w:val="clear" w:color="000000" w:fill="FFFFFF"/>
            <w:vAlign w:val="center"/>
            <w:hideMark/>
          </w:tcPr>
          <w:p w14:paraId="3A46FE36" w14:textId="77777777" w:rsidR="00693B3E" w:rsidRPr="00C67C7F" w:rsidRDefault="00693B3E" w:rsidP="00693B3E">
            <w:pPr>
              <w:jc w:val="center"/>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w:t>
            </w:r>
          </w:p>
        </w:tc>
        <w:tc>
          <w:tcPr>
            <w:tcW w:w="344" w:type="pct"/>
            <w:tcBorders>
              <w:top w:val="nil"/>
              <w:left w:val="nil"/>
              <w:bottom w:val="nil"/>
              <w:right w:val="nil"/>
            </w:tcBorders>
            <w:shd w:val="clear" w:color="000000" w:fill="FFFFFF"/>
            <w:vAlign w:val="center"/>
            <w:hideMark/>
          </w:tcPr>
          <w:p w14:paraId="50932DA4" w14:textId="77777777" w:rsidR="00693B3E" w:rsidRPr="00C67C7F" w:rsidRDefault="00693B3E" w:rsidP="00693B3E">
            <w:pPr>
              <w:jc w:val="center"/>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w:t>
            </w:r>
          </w:p>
        </w:tc>
        <w:tc>
          <w:tcPr>
            <w:tcW w:w="344" w:type="pct"/>
            <w:tcBorders>
              <w:top w:val="nil"/>
              <w:left w:val="nil"/>
              <w:bottom w:val="nil"/>
              <w:right w:val="nil"/>
            </w:tcBorders>
            <w:shd w:val="clear" w:color="000000" w:fill="FFFFFF"/>
            <w:vAlign w:val="center"/>
            <w:hideMark/>
          </w:tcPr>
          <w:p w14:paraId="394AC61E" w14:textId="77777777" w:rsidR="00693B3E" w:rsidRPr="00C67C7F" w:rsidRDefault="00693B3E" w:rsidP="00693B3E">
            <w:pPr>
              <w:jc w:val="center"/>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w:t>
            </w:r>
          </w:p>
        </w:tc>
        <w:tc>
          <w:tcPr>
            <w:tcW w:w="344" w:type="pct"/>
            <w:tcBorders>
              <w:top w:val="nil"/>
              <w:left w:val="nil"/>
              <w:bottom w:val="nil"/>
              <w:right w:val="nil"/>
            </w:tcBorders>
            <w:shd w:val="clear" w:color="000000" w:fill="FFFFFF"/>
            <w:vAlign w:val="center"/>
            <w:hideMark/>
          </w:tcPr>
          <w:p w14:paraId="049F4910" w14:textId="77777777"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18.538</w:t>
            </w:r>
          </w:p>
        </w:tc>
        <w:tc>
          <w:tcPr>
            <w:tcW w:w="315" w:type="pct"/>
            <w:tcBorders>
              <w:top w:val="nil"/>
              <w:left w:val="nil"/>
              <w:bottom w:val="nil"/>
              <w:right w:val="nil"/>
            </w:tcBorders>
            <w:shd w:val="clear" w:color="000000" w:fill="FFFFFF"/>
            <w:vAlign w:val="center"/>
            <w:hideMark/>
          </w:tcPr>
          <w:p w14:paraId="6DC2AE52" w14:textId="77C7A2A5"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(12.167)</w:t>
            </w:r>
          </w:p>
        </w:tc>
        <w:tc>
          <w:tcPr>
            <w:tcW w:w="292" w:type="pct"/>
            <w:tcBorders>
              <w:top w:val="nil"/>
              <w:left w:val="nil"/>
              <w:bottom w:val="nil"/>
              <w:right w:val="nil"/>
            </w:tcBorders>
            <w:shd w:val="clear" w:color="000000" w:fill="FFFFFF"/>
            <w:vAlign w:val="center"/>
            <w:hideMark/>
          </w:tcPr>
          <w:p w14:paraId="60A672E1" w14:textId="77777777"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6.371</w:t>
            </w:r>
          </w:p>
        </w:tc>
        <w:tc>
          <w:tcPr>
            <w:tcW w:w="389" w:type="pct"/>
            <w:tcBorders>
              <w:top w:val="nil"/>
              <w:left w:val="nil"/>
              <w:bottom w:val="nil"/>
              <w:right w:val="nil"/>
            </w:tcBorders>
            <w:shd w:val="clear" w:color="000000" w:fill="FFFFFF"/>
            <w:vAlign w:val="center"/>
            <w:hideMark/>
          </w:tcPr>
          <w:p w14:paraId="6C91FB93" w14:textId="77777777"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18.538</w:t>
            </w:r>
          </w:p>
        </w:tc>
        <w:tc>
          <w:tcPr>
            <w:tcW w:w="342" w:type="pct"/>
            <w:tcBorders>
              <w:top w:val="nil"/>
              <w:left w:val="nil"/>
              <w:bottom w:val="nil"/>
              <w:right w:val="nil"/>
            </w:tcBorders>
            <w:shd w:val="clear" w:color="000000" w:fill="FFFFFF"/>
            <w:vAlign w:val="center"/>
            <w:hideMark/>
          </w:tcPr>
          <w:p w14:paraId="376D2E70" w14:textId="718F5B77"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(12.167)</w:t>
            </w:r>
          </w:p>
        </w:tc>
        <w:tc>
          <w:tcPr>
            <w:tcW w:w="377" w:type="pct"/>
            <w:tcBorders>
              <w:top w:val="nil"/>
              <w:left w:val="nil"/>
              <w:bottom w:val="nil"/>
              <w:right w:val="nil"/>
            </w:tcBorders>
            <w:shd w:val="clear" w:color="000000" w:fill="FFFFFF"/>
            <w:vAlign w:val="center"/>
            <w:hideMark/>
          </w:tcPr>
          <w:p w14:paraId="729B5839" w14:textId="77777777" w:rsidR="00693B3E" w:rsidRPr="00C67C7F" w:rsidRDefault="00693B3E" w:rsidP="00693B3E">
            <w:pPr>
              <w:jc w:val="right"/>
              <w:rPr>
                <w:rFonts w:ascii="CAIXA Std Book" w:eastAsia="Times New Roman" w:hAnsi="CAIXA Std Book" w:cs="Times New Roman"/>
                <w:color w:val="005CA9"/>
                <w:sz w:val="15"/>
                <w:szCs w:val="15"/>
              </w:rPr>
            </w:pPr>
            <w:r w:rsidRPr="00C67C7F">
              <w:rPr>
                <w:rFonts w:ascii="CAIXA Std Book" w:eastAsia="Times New Roman" w:hAnsi="CAIXA Std Book" w:cs="Times New Roman"/>
                <w:color w:val="005CA9"/>
                <w:sz w:val="15"/>
                <w:szCs w:val="15"/>
              </w:rPr>
              <w:t>6.371</w:t>
            </w:r>
          </w:p>
        </w:tc>
      </w:tr>
      <w:tr w:rsidR="00693B3E" w:rsidRPr="00C67C7F" w14:paraId="3B2D1573" w14:textId="77777777" w:rsidTr="009E01D8">
        <w:trPr>
          <w:trHeight w:val="255"/>
        </w:trPr>
        <w:tc>
          <w:tcPr>
            <w:tcW w:w="876" w:type="pct"/>
            <w:tcBorders>
              <w:top w:val="nil"/>
              <w:left w:val="nil"/>
              <w:bottom w:val="nil"/>
              <w:right w:val="nil"/>
            </w:tcBorders>
            <w:shd w:val="clear" w:color="000000" w:fill="005CA9"/>
            <w:noWrap/>
            <w:vAlign w:val="center"/>
            <w:hideMark/>
          </w:tcPr>
          <w:p w14:paraId="78C81274" w14:textId="77777777" w:rsidR="00693B3E" w:rsidRPr="00C67C7F" w:rsidRDefault="00693B3E" w:rsidP="00693B3E">
            <w:pPr>
              <w:rPr>
                <w:rFonts w:ascii="CAIXA Std Book" w:eastAsia="Times New Roman" w:hAnsi="CAIXA Std Book" w:cs="Times New Roman"/>
                <w:b/>
                <w:bCs/>
                <w:color w:val="FFFFFF"/>
                <w:sz w:val="15"/>
                <w:szCs w:val="15"/>
              </w:rPr>
            </w:pPr>
            <w:r w:rsidRPr="00C67C7F">
              <w:rPr>
                <w:rFonts w:ascii="CAIXA Std Book" w:eastAsia="Times New Roman" w:hAnsi="CAIXA Std Book" w:cs="Times New Roman"/>
                <w:b/>
                <w:bCs/>
                <w:color w:val="FFFFFF"/>
                <w:sz w:val="15"/>
                <w:szCs w:val="15"/>
              </w:rPr>
              <w:t>Total</w:t>
            </w:r>
          </w:p>
        </w:tc>
        <w:tc>
          <w:tcPr>
            <w:tcW w:w="389" w:type="pct"/>
            <w:tcBorders>
              <w:top w:val="nil"/>
              <w:left w:val="nil"/>
              <w:bottom w:val="nil"/>
              <w:right w:val="nil"/>
            </w:tcBorders>
            <w:shd w:val="clear" w:color="000000" w:fill="005CA9"/>
            <w:noWrap/>
            <w:vAlign w:val="center"/>
            <w:hideMark/>
          </w:tcPr>
          <w:p w14:paraId="2E78ED2B" w14:textId="77777777" w:rsidR="00693B3E" w:rsidRPr="00C67C7F" w:rsidRDefault="00693B3E" w:rsidP="00693B3E">
            <w:pPr>
              <w:jc w:val="right"/>
              <w:rPr>
                <w:rFonts w:ascii="CAIXA Std Book" w:eastAsia="Times New Roman" w:hAnsi="CAIXA Std Book" w:cs="Times New Roman"/>
                <w:b/>
                <w:bCs/>
                <w:color w:val="FFFFFF" w:themeColor="background1"/>
                <w:sz w:val="15"/>
                <w:szCs w:val="15"/>
              </w:rPr>
            </w:pPr>
            <w:r w:rsidRPr="009F6DF3">
              <w:rPr>
                <w:rFonts w:ascii="CAIXA Std Book" w:hAnsi="CAIXA Std Book" w:cs="Calibri"/>
                <w:b/>
                <w:color w:val="FFFFFF"/>
                <w:sz w:val="15"/>
                <w:szCs w:val="15"/>
              </w:rPr>
              <w:t>196.373.890</w:t>
            </w:r>
          </w:p>
        </w:tc>
        <w:tc>
          <w:tcPr>
            <w:tcW w:w="299" w:type="pct"/>
            <w:tcBorders>
              <w:top w:val="nil"/>
              <w:left w:val="nil"/>
              <w:bottom w:val="nil"/>
              <w:right w:val="nil"/>
            </w:tcBorders>
            <w:shd w:val="clear" w:color="000000" w:fill="005CA9"/>
            <w:noWrap/>
            <w:vAlign w:val="center"/>
            <w:hideMark/>
          </w:tcPr>
          <w:p w14:paraId="702F5C5E" w14:textId="0CCD9A08" w:rsidR="00693B3E" w:rsidRPr="00C67C7F" w:rsidRDefault="00693B3E" w:rsidP="00693B3E">
            <w:pPr>
              <w:jc w:val="right"/>
              <w:rPr>
                <w:rFonts w:ascii="CAIXA Std Book" w:eastAsia="Times New Roman" w:hAnsi="CAIXA Std Book" w:cs="Times New Roman"/>
                <w:b/>
                <w:bCs/>
                <w:color w:val="FFFFFF" w:themeColor="background1"/>
                <w:sz w:val="15"/>
                <w:szCs w:val="15"/>
              </w:rPr>
            </w:pPr>
            <w:r w:rsidRPr="009F6DF3">
              <w:rPr>
                <w:rFonts w:ascii="CAIXA Std Book" w:hAnsi="CAIXA Std Book" w:cs="Calibri"/>
                <w:b/>
                <w:color w:val="FFFFFF"/>
                <w:sz w:val="15"/>
                <w:szCs w:val="15"/>
              </w:rPr>
              <w:t>(736.162)</w:t>
            </w:r>
          </w:p>
        </w:tc>
        <w:tc>
          <w:tcPr>
            <w:tcW w:w="382" w:type="pct"/>
            <w:tcBorders>
              <w:top w:val="nil"/>
              <w:left w:val="nil"/>
              <w:bottom w:val="nil"/>
              <w:right w:val="nil"/>
            </w:tcBorders>
            <w:shd w:val="clear" w:color="000000" w:fill="005CA9"/>
            <w:noWrap/>
            <w:vAlign w:val="center"/>
            <w:hideMark/>
          </w:tcPr>
          <w:p w14:paraId="63F76281" w14:textId="77777777" w:rsidR="00693B3E" w:rsidRPr="00C67C7F" w:rsidRDefault="00693B3E" w:rsidP="00693B3E">
            <w:pPr>
              <w:jc w:val="right"/>
              <w:rPr>
                <w:rFonts w:ascii="CAIXA Std Book" w:eastAsia="Times New Roman" w:hAnsi="CAIXA Std Book" w:cs="Times New Roman"/>
                <w:b/>
                <w:bCs/>
                <w:color w:val="FFFFFF" w:themeColor="background1"/>
                <w:sz w:val="15"/>
                <w:szCs w:val="15"/>
              </w:rPr>
            </w:pPr>
            <w:r w:rsidRPr="009F6DF3">
              <w:rPr>
                <w:rFonts w:ascii="CAIXA Std Book" w:hAnsi="CAIXA Std Book" w:cs="Calibri"/>
                <w:b/>
                <w:color w:val="FFFFFF"/>
                <w:sz w:val="15"/>
                <w:szCs w:val="15"/>
              </w:rPr>
              <w:t>195.637.728</w:t>
            </w:r>
          </w:p>
        </w:tc>
        <w:tc>
          <w:tcPr>
            <w:tcW w:w="307" w:type="pct"/>
            <w:tcBorders>
              <w:top w:val="nil"/>
              <w:left w:val="nil"/>
              <w:bottom w:val="nil"/>
              <w:right w:val="nil"/>
            </w:tcBorders>
            <w:shd w:val="clear" w:color="000000" w:fill="005CA9"/>
            <w:noWrap/>
            <w:vAlign w:val="center"/>
            <w:hideMark/>
          </w:tcPr>
          <w:p w14:paraId="248ADF7C" w14:textId="77777777" w:rsidR="00693B3E" w:rsidRPr="00C67C7F" w:rsidRDefault="00693B3E" w:rsidP="00693B3E">
            <w:pPr>
              <w:jc w:val="right"/>
              <w:rPr>
                <w:rFonts w:ascii="CAIXA Std Book" w:eastAsia="Times New Roman" w:hAnsi="CAIXA Std Book" w:cs="Times New Roman"/>
                <w:b/>
                <w:bCs/>
                <w:color w:val="FFFFFF" w:themeColor="background1"/>
                <w:sz w:val="15"/>
                <w:szCs w:val="15"/>
              </w:rPr>
            </w:pPr>
            <w:r w:rsidRPr="009F6DF3">
              <w:rPr>
                <w:rFonts w:ascii="CAIXA Std Book" w:hAnsi="CAIXA Std Book" w:cs="Calibri"/>
                <w:b/>
                <w:color w:val="FFFFFF"/>
                <w:sz w:val="15"/>
                <w:szCs w:val="15"/>
              </w:rPr>
              <w:t>839.114</w:t>
            </w:r>
          </w:p>
        </w:tc>
        <w:tc>
          <w:tcPr>
            <w:tcW w:w="344" w:type="pct"/>
            <w:tcBorders>
              <w:top w:val="nil"/>
              <w:left w:val="nil"/>
              <w:bottom w:val="nil"/>
              <w:right w:val="nil"/>
            </w:tcBorders>
            <w:shd w:val="clear" w:color="000000" w:fill="005CA9"/>
            <w:noWrap/>
            <w:vAlign w:val="center"/>
            <w:hideMark/>
          </w:tcPr>
          <w:p w14:paraId="7EAC4BBE" w14:textId="2AE3A4C5" w:rsidR="00693B3E" w:rsidRPr="00C67C7F" w:rsidRDefault="001722DD" w:rsidP="00693B3E">
            <w:pPr>
              <w:jc w:val="right"/>
              <w:rPr>
                <w:rFonts w:ascii="CAIXA Std Book" w:eastAsia="Times New Roman" w:hAnsi="CAIXA Std Book" w:cs="Times New Roman"/>
                <w:b/>
                <w:bCs/>
                <w:color w:val="FFFFFF" w:themeColor="background1"/>
                <w:sz w:val="15"/>
                <w:szCs w:val="15"/>
              </w:rPr>
            </w:pPr>
            <w:r w:rsidRPr="009F6DF3">
              <w:rPr>
                <w:rFonts w:ascii="CAIXA Std Book" w:hAnsi="CAIXA Std Book" w:cs="Calibri"/>
                <w:b/>
                <w:color w:val="FFFFFF"/>
                <w:sz w:val="15"/>
                <w:szCs w:val="15"/>
              </w:rPr>
              <w:t>(</w:t>
            </w:r>
            <w:r w:rsidR="00693B3E" w:rsidRPr="009F6DF3">
              <w:rPr>
                <w:rFonts w:ascii="CAIXA Std Book" w:hAnsi="CAIXA Std Book" w:cs="Calibri"/>
                <w:b/>
                <w:color w:val="FFFFFF"/>
                <w:sz w:val="15"/>
                <w:szCs w:val="15"/>
              </w:rPr>
              <w:t>282.468</w:t>
            </w:r>
            <w:r w:rsidRPr="009F6DF3">
              <w:rPr>
                <w:rFonts w:ascii="CAIXA Std Book" w:hAnsi="CAIXA Std Book" w:cs="Calibri"/>
                <w:b/>
                <w:color w:val="FFFFFF"/>
                <w:sz w:val="15"/>
                <w:szCs w:val="15"/>
              </w:rPr>
              <w:t>)</w:t>
            </w:r>
          </w:p>
        </w:tc>
        <w:tc>
          <w:tcPr>
            <w:tcW w:w="344" w:type="pct"/>
            <w:tcBorders>
              <w:top w:val="nil"/>
              <w:left w:val="nil"/>
              <w:bottom w:val="nil"/>
              <w:right w:val="nil"/>
            </w:tcBorders>
            <w:shd w:val="clear" w:color="000000" w:fill="005CA9"/>
            <w:noWrap/>
            <w:vAlign w:val="center"/>
            <w:hideMark/>
          </w:tcPr>
          <w:p w14:paraId="32E2C4F7" w14:textId="77777777" w:rsidR="00693B3E" w:rsidRPr="00C67C7F" w:rsidRDefault="00693B3E" w:rsidP="00693B3E">
            <w:pPr>
              <w:jc w:val="right"/>
              <w:rPr>
                <w:rFonts w:ascii="CAIXA Std Book" w:eastAsia="Times New Roman" w:hAnsi="CAIXA Std Book" w:cs="Times New Roman"/>
                <w:b/>
                <w:bCs/>
                <w:color w:val="FFFFFF" w:themeColor="background1"/>
                <w:sz w:val="15"/>
                <w:szCs w:val="15"/>
              </w:rPr>
            </w:pPr>
            <w:r w:rsidRPr="009F6DF3">
              <w:rPr>
                <w:rFonts w:ascii="CAIXA Std Book" w:hAnsi="CAIXA Std Book" w:cs="Calibri"/>
                <w:b/>
                <w:color w:val="FFFFFF"/>
                <w:sz w:val="15"/>
                <w:szCs w:val="15"/>
              </w:rPr>
              <w:t>556.646</w:t>
            </w:r>
          </w:p>
        </w:tc>
        <w:tc>
          <w:tcPr>
            <w:tcW w:w="344" w:type="pct"/>
            <w:tcBorders>
              <w:top w:val="nil"/>
              <w:left w:val="nil"/>
              <w:bottom w:val="nil"/>
              <w:right w:val="nil"/>
            </w:tcBorders>
            <w:shd w:val="clear" w:color="000000" w:fill="005CA9"/>
            <w:noWrap/>
            <w:vAlign w:val="center"/>
            <w:hideMark/>
          </w:tcPr>
          <w:p w14:paraId="40AB04D5" w14:textId="77777777" w:rsidR="00693B3E" w:rsidRPr="00C67C7F" w:rsidRDefault="00693B3E" w:rsidP="00693B3E">
            <w:pPr>
              <w:jc w:val="right"/>
              <w:rPr>
                <w:rFonts w:ascii="CAIXA Std Book" w:eastAsia="Times New Roman" w:hAnsi="CAIXA Std Book" w:cs="Times New Roman"/>
                <w:b/>
                <w:bCs/>
                <w:color w:val="FFFFFF" w:themeColor="background1"/>
                <w:sz w:val="15"/>
                <w:szCs w:val="15"/>
              </w:rPr>
            </w:pPr>
            <w:r w:rsidRPr="009F6DF3">
              <w:rPr>
                <w:rFonts w:ascii="CAIXA Std Book" w:hAnsi="CAIXA Std Book" w:cs="Calibri"/>
                <w:b/>
                <w:color w:val="FFFFFF"/>
                <w:sz w:val="15"/>
                <w:szCs w:val="15"/>
              </w:rPr>
              <w:t>819.616</w:t>
            </w:r>
          </w:p>
        </w:tc>
        <w:tc>
          <w:tcPr>
            <w:tcW w:w="315" w:type="pct"/>
            <w:tcBorders>
              <w:top w:val="nil"/>
              <w:left w:val="nil"/>
              <w:bottom w:val="nil"/>
              <w:right w:val="nil"/>
            </w:tcBorders>
            <w:shd w:val="clear" w:color="000000" w:fill="005CA9"/>
            <w:noWrap/>
            <w:vAlign w:val="center"/>
            <w:hideMark/>
          </w:tcPr>
          <w:p w14:paraId="7BE535B1" w14:textId="0A452C79" w:rsidR="00693B3E" w:rsidRPr="00C67C7F" w:rsidRDefault="00693B3E" w:rsidP="00693B3E">
            <w:pPr>
              <w:jc w:val="right"/>
              <w:rPr>
                <w:rFonts w:ascii="CAIXA Std Book" w:eastAsia="Times New Roman" w:hAnsi="CAIXA Std Book" w:cs="Times New Roman"/>
                <w:b/>
                <w:bCs/>
                <w:color w:val="FFFFFF" w:themeColor="background1"/>
                <w:sz w:val="15"/>
                <w:szCs w:val="15"/>
              </w:rPr>
            </w:pPr>
            <w:r w:rsidRPr="009F6DF3">
              <w:rPr>
                <w:rFonts w:ascii="CAIXA Std Book" w:hAnsi="CAIXA Std Book" w:cs="Calibri"/>
                <w:b/>
                <w:color w:val="FFFFFF"/>
                <w:sz w:val="15"/>
                <w:szCs w:val="15"/>
              </w:rPr>
              <w:t>(744.799)</w:t>
            </w:r>
          </w:p>
        </w:tc>
        <w:tc>
          <w:tcPr>
            <w:tcW w:w="292" w:type="pct"/>
            <w:tcBorders>
              <w:top w:val="nil"/>
              <w:left w:val="nil"/>
              <w:bottom w:val="nil"/>
              <w:right w:val="nil"/>
            </w:tcBorders>
            <w:shd w:val="clear" w:color="000000" w:fill="005CA9"/>
            <w:noWrap/>
            <w:vAlign w:val="center"/>
            <w:hideMark/>
          </w:tcPr>
          <w:p w14:paraId="2349D119" w14:textId="77777777" w:rsidR="00693B3E" w:rsidRPr="00C67C7F" w:rsidRDefault="00693B3E" w:rsidP="00693B3E">
            <w:pPr>
              <w:jc w:val="right"/>
              <w:rPr>
                <w:rFonts w:ascii="CAIXA Std Book" w:eastAsia="Times New Roman" w:hAnsi="CAIXA Std Book" w:cs="Times New Roman"/>
                <w:b/>
                <w:bCs/>
                <w:color w:val="FFFFFF" w:themeColor="background1"/>
                <w:sz w:val="15"/>
                <w:szCs w:val="15"/>
              </w:rPr>
            </w:pPr>
            <w:r w:rsidRPr="009F6DF3">
              <w:rPr>
                <w:rFonts w:ascii="CAIXA Std Book" w:hAnsi="CAIXA Std Book" w:cs="Calibri"/>
                <w:b/>
                <w:color w:val="FFFFFF"/>
                <w:sz w:val="15"/>
                <w:szCs w:val="15"/>
              </w:rPr>
              <w:t>74.817</w:t>
            </w:r>
          </w:p>
        </w:tc>
        <w:tc>
          <w:tcPr>
            <w:tcW w:w="389" w:type="pct"/>
            <w:tcBorders>
              <w:top w:val="nil"/>
              <w:left w:val="nil"/>
              <w:bottom w:val="nil"/>
              <w:right w:val="nil"/>
            </w:tcBorders>
            <w:shd w:val="clear" w:color="000000" w:fill="005CA9"/>
            <w:noWrap/>
            <w:vAlign w:val="center"/>
            <w:hideMark/>
          </w:tcPr>
          <w:p w14:paraId="61E7610E" w14:textId="77777777" w:rsidR="00693B3E" w:rsidRPr="00C67C7F" w:rsidRDefault="00693B3E" w:rsidP="00693B3E">
            <w:pPr>
              <w:jc w:val="right"/>
              <w:rPr>
                <w:rFonts w:ascii="CAIXA Std Book" w:eastAsia="Times New Roman" w:hAnsi="CAIXA Std Book" w:cs="Times New Roman"/>
                <w:b/>
                <w:bCs/>
                <w:color w:val="FFFFFF" w:themeColor="background1"/>
                <w:sz w:val="15"/>
                <w:szCs w:val="15"/>
              </w:rPr>
            </w:pPr>
            <w:r w:rsidRPr="009F6DF3">
              <w:rPr>
                <w:rFonts w:ascii="CAIXA Std Book" w:hAnsi="CAIXA Std Book" w:cs="Calibri"/>
                <w:b/>
                <w:color w:val="FFFFFF"/>
                <w:sz w:val="15"/>
                <w:szCs w:val="15"/>
              </w:rPr>
              <w:t>198.032.620</w:t>
            </w:r>
          </w:p>
        </w:tc>
        <w:tc>
          <w:tcPr>
            <w:tcW w:w="342" w:type="pct"/>
            <w:tcBorders>
              <w:top w:val="nil"/>
              <w:left w:val="nil"/>
              <w:bottom w:val="nil"/>
              <w:right w:val="nil"/>
            </w:tcBorders>
            <w:shd w:val="clear" w:color="000000" w:fill="005CA9"/>
            <w:noWrap/>
            <w:vAlign w:val="center"/>
            <w:hideMark/>
          </w:tcPr>
          <w:p w14:paraId="0483400A" w14:textId="3A01F17E" w:rsidR="00693B3E" w:rsidRPr="00C67C7F" w:rsidRDefault="00693B3E" w:rsidP="00693B3E">
            <w:pPr>
              <w:jc w:val="right"/>
              <w:rPr>
                <w:rFonts w:ascii="CAIXA Std Book" w:eastAsia="Times New Roman" w:hAnsi="CAIXA Std Book" w:cs="Times New Roman"/>
                <w:b/>
                <w:bCs/>
                <w:color w:val="FFFFFF" w:themeColor="background1"/>
                <w:sz w:val="15"/>
                <w:szCs w:val="15"/>
              </w:rPr>
            </w:pPr>
            <w:r w:rsidRPr="009F6DF3">
              <w:rPr>
                <w:rFonts w:ascii="CAIXA Std Book" w:hAnsi="CAIXA Std Book" w:cs="Calibri"/>
                <w:b/>
                <w:color w:val="FFFFFF"/>
                <w:sz w:val="15"/>
                <w:szCs w:val="15"/>
              </w:rPr>
              <w:t>(1.763.429)</w:t>
            </w:r>
          </w:p>
        </w:tc>
        <w:tc>
          <w:tcPr>
            <w:tcW w:w="377" w:type="pct"/>
            <w:tcBorders>
              <w:top w:val="nil"/>
              <w:left w:val="nil"/>
              <w:bottom w:val="nil"/>
              <w:right w:val="nil"/>
            </w:tcBorders>
            <w:shd w:val="clear" w:color="000000" w:fill="005CA9"/>
            <w:noWrap/>
            <w:vAlign w:val="center"/>
            <w:hideMark/>
          </w:tcPr>
          <w:p w14:paraId="3A3C6CF7" w14:textId="77777777" w:rsidR="00693B3E" w:rsidRPr="00C67C7F" w:rsidRDefault="00693B3E" w:rsidP="00693B3E">
            <w:pPr>
              <w:jc w:val="right"/>
              <w:rPr>
                <w:rFonts w:ascii="CAIXA Std Book" w:eastAsia="Times New Roman" w:hAnsi="CAIXA Std Book" w:cs="Times New Roman"/>
                <w:b/>
                <w:bCs/>
                <w:color w:val="FFFFFF" w:themeColor="background1"/>
                <w:sz w:val="15"/>
                <w:szCs w:val="15"/>
              </w:rPr>
            </w:pPr>
            <w:r w:rsidRPr="009F6DF3">
              <w:rPr>
                <w:rFonts w:ascii="CAIXA Std Book" w:hAnsi="CAIXA Std Book" w:cs="Calibri"/>
                <w:b/>
                <w:color w:val="FFFFFF"/>
                <w:sz w:val="15"/>
                <w:szCs w:val="15"/>
              </w:rPr>
              <w:t>196.269.191</w:t>
            </w:r>
          </w:p>
        </w:tc>
      </w:tr>
    </w:tbl>
    <w:p w14:paraId="4B3676DC" w14:textId="63A4C908" w:rsidR="006858FF" w:rsidRDefault="006858FF" w:rsidP="00356AEC">
      <w:pPr>
        <w:jc w:val="both"/>
      </w:pPr>
      <w:bookmarkStart w:id="125" w:name="_Toc199964134"/>
      <w:r>
        <w:br w:type="page"/>
      </w:r>
    </w:p>
    <w:p w14:paraId="1751F90C" w14:textId="113FF2FA" w:rsidR="006858FF" w:rsidRDefault="006858FF">
      <w:pPr>
        <w:sectPr w:rsidR="006858FF" w:rsidSect="00075B55">
          <w:headerReference w:type="default" r:id="rId78"/>
          <w:footerReference w:type="even" r:id="rId79"/>
          <w:footerReference w:type="default" r:id="rId80"/>
          <w:headerReference w:type="first" r:id="rId81"/>
          <w:footerReference w:type="first" r:id="rId82"/>
          <w:pgSz w:w="16838" w:h="11906" w:orient="landscape"/>
          <w:pgMar w:top="1985" w:right="851" w:bottom="1418" w:left="1418" w:header="1134" w:footer="709" w:gutter="0"/>
          <w:cols w:space="708"/>
          <w:docGrid w:linePitch="360"/>
        </w:sectPr>
      </w:pPr>
    </w:p>
    <w:p w14:paraId="27DAE5EE" w14:textId="77777777" w:rsidR="004750F8" w:rsidRDefault="004750F8" w:rsidP="00B735D2">
      <w:pPr>
        <w:pStyle w:val="Ttulo1"/>
      </w:pPr>
      <w:bookmarkStart w:id="126" w:name="_Toc217914344"/>
      <w:bookmarkStart w:id="127" w:name="_Toc229588494"/>
      <w:r w:rsidRPr="00E95E29">
        <w:t xml:space="preserve">Nota   </w:t>
      </w:r>
      <w:r>
        <w:t>18</w:t>
      </w:r>
      <w:r w:rsidRPr="00E95E29">
        <w:t xml:space="preserve"> – </w:t>
      </w:r>
      <w:r>
        <w:t>Passivos atuariais</w:t>
      </w:r>
      <w:bookmarkEnd w:id="125"/>
      <w:bookmarkEnd w:id="126"/>
      <w:bookmarkEnd w:id="127"/>
    </w:p>
    <w:p w14:paraId="319CA6B6" w14:textId="77777777" w:rsidR="00DA1254" w:rsidRPr="00A33766" w:rsidRDefault="00DA1254" w:rsidP="00DA1254">
      <w:pPr>
        <w:spacing w:before="120" w:after="120"/>
        <w:jc w:val="both"/>
        <w:rPr>
          <w:rFonts w:ascii="CAIXA Std Book" w:hAnsi="CAIXA Std Book"/>
          <w:color w:val="005CA9"/>
          <w:sz w:val="20"/>
          <w:szCs w:val="20"/>
        </w:rPr>
      </w:pPr>
      <w:r w:rsidRPr="00631D23">
        <w:rPr>
          <w:rFonts w:ascii="CAIXA Std Book" w:hAnsi="CAIXA Std Book"/>
          <w:color w:val="005CA9"/>
          <w:sz w:val="20"/>
          <w:szCs w:val="20"/>
        </w:rPr>
        <w:t xml:space="preserve">As avaliações atuariais são semestrais, portanto, </w:t>
      </w:r>
      <w:r w:rsidRPr="00A602F8">
        <w:rPr>
          <w:rFonts w:ascii="CAIXA Std Book" w:hAnsi="CAIXA Std Book"/>
          <w:color w:val="005CA9"/>
          <w:sz w:val="20"/>
          <w:szCs w:val="20"/>
        </w:rPr>
        <w:t>a</w:t>
      </w:r>
      <w:r>
        <w:rPr>
          <w:rFonts w:ascii="CAIXA Std Book" w:hAnsi="CAIXA Std Book"/>
          <w:color w:val="005CA9"/>
          <w:sz w:val="20"/>
          <w:szCs w:val="20"/>
        </w:rPr>
        <w:t>s</w:t>
      </w:r>
      <w:r w:rsidRPr="00A602F8">
        <w:rPr>
          <w:rFonts w:ascii="CAIXA Std Book" w:hAnsi="CAIXA Std Book"/>
          <w:color w:val="005CA9"/>
          <w:sz w:val="20"/>
          <w:szCs w:val="20"/>
        </w:rPr>
        <w:t xml:space="preserve"> nota</w:t>
      </w:r>
      <w:r>
        <w:rPr>
          <w:rFonts w:ascii="CAIXA Std Book" w:hAnsi="CAIXA Std Book"/>
          <w:color w:val="005CA9"/>
          <w:sz w:val="20"/>
          <w:szCs w:val="20"/>
        </w:rPr>
        <w:t>s</w:t>
      </w:r>
      <w:r w:rsidRPr="00631D23">
        <w:rPr>
          <w:rFonts w:ascii="CAIXA Std Book" w:hAnsi="CAIXA Std Book"/>
          <w:color w:val="005CA9"/>
          <w:sz w:val="20"/>
          <w:szCs w:val="20"/>
        </w:rPr>
        <w:t xml:space="preserve"> de </w:t>
      </w:r>
      <w:r>
        <w:rPr>
          <w:rFonts w:ascii="CAIXA Std Book" w:hAnsi="CAIXA Std Book"/>
          <w:color w:val="005CA9"/>
          <w:sz w:val="20"/>
          <w:szCs w:val="20"/>
        </w:rPr>
        <w:t xml:space="preserve">Passivos Atuariais </w:t>
      </w:r>
      <w:r w:rsidRPr="00A602F8">
        <w:rPr>
          <w:rFonts w:ascii="CAIXA Std Book" w:hAnsi="CAIXA Std Book"/>
          <w:color w:val="005CA9"/>
          <w:sz w:val="20"/>
          <w:szCs w:val="20"/>
        </w:rPr>
        <w:t>elaborada</w:t>
      </w:r>
      <w:r>
        <w:rPr>
          <w:rFonts w:ascii="CAIXA Std Book" w:hAnsi="CAIXA Std Book"/>
          <w:color w:val="005CA9"/>
          <w:sz w:val="20"/>
          <w:szCs w:val="20"/>
        </w:rPr>
        <w:t>s</w:t>
      </w:r>
      <w:r w:rsidRPr="00631D23">
        <w:rPr>
          <w:rFonts w:ascii="CAIXA Std Book" w:hAnsi="CAIXA Std Book"/>
          <w:color w:val="005CA9"/>
          <w:sz w:val="20"/>
          <w:szCs w:val="20"/>
        </w:rPr>
        <w:t xml:space="preserve"> nos semestres findos em 30 de junho e 31 de dezembro</w:t>
      </w:r>
      <w:r w:rsidRPr="00A602F8">
        <w:rPr>
          <w:rFonts w:ascii="CAIXA Std Book" w:hAnsi="CAIXA Std Book"/>
          <w:color w:val="005CA9"/>
          <w:sz w:val="20"/>
          <w:szCs w:val="20"/>
        </w:rPr>
        <w:t>, com informações completas, encontram-se</w:t>
      </w:r>
      <w:r w:rsidRPr="00631D23">
        <w:rPr>
          <w:rFonts w:ascii="CAIXA Std Book" w:hAnsi="CAIXA Std Book"/>
          <w:color w:val="005CA9"/>
          <w:sz w:val="20"/>
          <w:szCs w:val="20"/>
        </w:rPr>
        <w:t xml:space="preserve"> disponíveis no sítio: </w:t>
      </w:r>
      <w:hyperlink r:id="rId83" w:history="1">
        <w:r w:rsidRPr="00631D23">
          <w:rPr>
            <w:rStyle w:val="Hyperlink"/>
            <w:rFonts w:ascii="CAIXA Std Book" w:hAnsi="CAIXA Std Book" w:cs="Yu Mincho Light"/>
            <w:color w:val="005CA9"/>
            <w:sz w:val="20"/>
            <w:szCs w:val="20"/>
          </w:rPr>
          <w:t>https://ri.caixa.gov.br/informacoes-financeiras/central-de-resultados/</w:t>
        </w:r>
      </w:hyperlink>
      <w:r w:rsidRPr="00631D23">
        <w:rPr>
          <w:rFonts w:ascii="CAIXA Std Book" w:hAnsi="CAIXA Std Book"/>
          <w:color w:val="005CA9"/>
          <w:sz w:val="20"/>
          <w:szCs w:val="20"/>
        </w:rPr>
        <w:t>.</w:t>
      </w:r>
    </w:p>
    <w:p w14:paraId="1D03C728" w14:textId="76739CE0" w:rsidR="00296458" w:rsidRDefault="00296458" w:rsidP="00B735D2">
      <w:pPr>
        <w:pStyle w:val="Ttulo1"/>
      </w:pPr>
      <w:bookmarkStart w:id="128" w:name="_Toc217914345"/>
      <w:bookmarkStart w:id="129" w:name="_Toc229588495"/>
      <w:r w:rsidRPr="00E95E29">
        <w:t xml:space="preserve">Nota   </w:t>
      </w:r>
      <w:r w:rsidR="00323B4E">
        <w:t>19</w:t>
      </w:r>
      <w:r w:rsidRPr="00E95E29">
        <w:t xml:space="preserve"> – </w:t>
      </w:r>
      <w:r>
        <w:t>Outros passivos</w:t>
      </w:r>
      <w:bookmarkEnd w:id="128"/>
      <w:bookmarkEnd w:id="129"/>
    </w:p>
    <w:tbl>
      <w:tblPr>
        <w:tblW w:w="5000" w:type="pct"/>
        <w:tblCellMar>
          <w:left w:w="0" w:type="dxa"/>
          <w:right w:w="0" w:type="dxa"/>
        </w:tblCellMar>
        <w:tblLook w:val="04A0" w:firstRow="1" w:lastRow="0" w:firstColumn="1" w:lastColumn="0" w:noHBand="0" w:noVBand="1"/>
      </w:tblPr>
      <w:tblGrid>
        <w:gridCol w:w="4679"/>
        <w:gridCol w:w="1240"/>
        <w:gridCol w:w="1241"/>
        <w:gridCol w:w="1239"/>
        <w:gridCol w:w="1239"/>
      </w:tblGrid>
      <w:tr w:rsidR="00194303" w:rsidRPr="004E3234" w14:paraId="56824587" w14:textId="77777777" w:rsidTr="00E43AC3">
        <w:trPr>
          <w:trHeight w:val="283"/>
        </w:trPr>
        <w:tc>
          <w:tcPr>
            <w:tcW w:w="2427" w:type="pct"/>
            <w:vMerge w:val="restart"/>
            <w:tcBorders>
              <w:top w:val="nil"/>
              <w:left w:val="nil"/>
              <w:bottom w:val="nil"/>
              <w:right w:val="nil"/>
            </w:tcBorders>
            <w:shd w:val="clear" w:color="000000" w:fill="005CA9"/>
            <w:tcMar>
              <w:top w:w="15" w:type="dxa"/>
              <w:left w:w="15" w:type="dxa"/>
              <w:bottom w:w="0" w:type="dxa"/>
              <w:right w:w="15" w:type="dxa"/>
            </w:tcMar>
            <w:vAlign w:val="center"/>
            <w:hideMark/>
          </w:tcPr>
          <w:p w14:paraId="1CA28F25" w14:textId="77777777" w:rsidR="00194303" w:rsidRDefault="00194303" w:rsidP="005D4016">
            <w:pPr>
              <w:jc w:val="center"/>
              <w:rPr>
                <w:rFonts w:ascii="CAIXA Std Book" w:hAnsi="CAIXA Std Book"/>
                <w:b/>
                <w:color w:val="FFFFFF"/>
                <w:sz w:val="18"/>
                <w:szCs w:val="18"/>
              </w:rPr>
            </w:pPr>
            <w:r>
              <w:rPr>
                <w:rFonts w:ascii="CAIXA Std Book" w:hAnsi="CAIXA Std Book"/>
                <w:b/>
                <w:color w:val="FFFFFF"/>
                <w:sz w:val="18"/>
                <w:szCs w:val="18"/>
              </w:rPr>
              <w:t>Descrição</w:t>
            </w:r>
          </w:p>
        </w:tc>
        <w:tc>
          <w:tcPr>
            <w:tcW w:w="1287" w:type="pct"/>
            <w:gridSpan w:val="2"/>
            <w:tcBorders>
              <w:top w:val="nil"/>
              <w:left w:val="nil"/>
              <w:bottom w:val="single" w:sz="8" w:space="0" w:color="FFFFFF"/>
              <w:right w:val="nil"/>
            </w:tcBorders>
            <w:shd w:val="clear" w:color="000000" w:fill="005CA9"/>
            <w:tcMar>
              <w:top w:w="15" w:type="dxa"/>
              <w:left w:w="15" w:type="dxa"/>
              <w:bottom w:w="0" w:type="dxa"/>
              <w:right w:w="15" w:type="dxa"/>
            </w:tcMar>
            <w:vAlign w:val="center"/>
            <w:hideMark/>
          </w:tcPr>
          <w:p w14:paraId="235A3331" w14:textId="77777777" w:rsidR="00194303" w:rsidRDefault="00194303" w:rsidP="005D4016">
            <w:pPr>
              <w:jc w:val="center"/>
              <w:rPr>
                <w:rFonts w:ascii="CAIXA Std Book" w:hAnsi="CAIXA Std Book"/>
                <w:b/>
                <w:color w:val="FFFFFF"/>
                <w:sz w:val="18"/>
                <w:szCs w:val="18"/>
              </w:rPr>
            </w:pPr>
            <w:r>
              <w:rPr>
                <w:rFonts w:ascii="CAIXA Std Book" w:hAnsi="CAIXA Std Book"/>
                <w:b/>
                <w:color w:val="FFFFFF"/>
                <w:sz w:val="18"/>
                <w:szCs w:val="18"/>
              </w:rPr>
              <w:t>Individual</w:t>
            </w:r>
          </w:p>
        </w:tc>
        <w:tc>
          <w:tcPr>
            <w:tcW w:w="1287" w:type="pct"/>
            <w:gridSpan w:val="2"/>
            <w:tcBorders>
              <w:top w:val="nil"/>
              <w:left w:val="nil"/>
              <w:bottom w:val="single" w:sz="8" w:space="0" w:color="FDFDFD"/>
              <w:right w:val="nil"/>
            </w:tcBorders>
            <w:shd w:val="clear" w:color="000000" w:fill="005CA9"/>
            <w:tcMar>
              <w:top w:w="15" w:type="dxa"/>
              <w:left w:w="15" w:type="dxa"/>
              <w:bottom w:w="0" w:type="dxa"/>
              <w:right w:w="15" w:type="dxa"/>
            </w:tcMar>
            <w:vAlign w:val="center"/>
            <w:hideMark/>
          </w:tcPr>
          <w:p w14:paraId="566AB3D8" w14:textId="77777777" w:rsidR="00194303" w:rsidRDefault="00194303" w:rsidP="005D4016">
            <w:pPr>
              <w:jc w:val="center"/>
              <w:rPr>
                <w:rFonts w:ascii="CAIXA Std Book" w:hAnsi="CAIXA Std Book"/>
                <w:b/>
                <w:color w:val="FFFFFF"/>
                <w:sz w:val="18"/>
                <w:szCs w:val="18"/>
              </w:rPr>
            </w:pPr>
            <w:r>
              <w:rPr>
                <w:rFonts w:ascii="CAIXA Std Book" w:hAnsi="CAIXA Std Book"/>
                <w:b/>
                <w:color w:val="FFFFFF"/>
                <w:sz w:val="18"/>
                <w:szCs w:val="18"/>
              </w:rPr>
              <w:t>Consolidado</w:t>
            </w:r>
          </w:p>
        </w:tc>
      </w:tr>
      <w:tr w:rsidR="00194303" w:rsidRPr="004E3234" w14:paraId="20071DAC" w14:textId="77777777" w:rsidTr="00E43AC3">
        <w:trPr>
          <w:trHeight w:val="283"/>
        </w:trPr>
        <w:tc>
          <w:tcPr>
            <w:tcW w:w="2427" w:type="pct"/>
            <w:vMerge/>
            <w:tcBorders>
              <w:top w:val="nil"/>
              <w:left w:val="nil"/>
              <w:bottom w:val="nil"/>
              <w:right w:val="nil"/>
            </w:tcBorders>
            <w:vAlign w:val="center"/>
            <w:hideMark/>
          </w:tcPr>
          <w:p w14:paraId="5EB220A3" w14:textId="77777777" w:rsidR="00194303" w:rsidRDefault="00194303" w:rsidP="005D4016">
            <w:pPr>
              <w:rPr>
                <w:rFonts w:ascii="CAIXA Std Book" w:hAnsi="CAIXA Std Book"/>
                <w:b/>
                <w:color w:val="FFFFFF"/>
                <w:sz w:val="18"/>
                <w:szCs w:val="18"/>
              </w:rPr>
            </w:pPr>
          </w:p>
        </w:tc>
        <w:tc>
          <w:tcPr>
            <w:tcW w:w="643" w:type="pct"/>
            <w:tcBorders>
              <w:top w:val="nil"/>
              <w:left w:val="nil"/>
              <w:bottom w:val="nil"/>
              <w:right w:val="nil"/>
            </w:tcBorders>
            <w:shd w:val="clear" w:color="000000" w:fill="005CA9"/>
            <w:tcMar>
              <w:top w:w="15" w:type="dxa"/>
              <w:left w:w="15" w:type="dxa"/>
              <w:bottom w:w="0" w:type="dxa"/>
              <w:right w:w="15" w:type="dxa"/>
            </w:tcMar>
            <w:vAlign w:val="center"/>
            <w:hideMark/>
          </w:tcPr>
          <w:p w14:paraId="729AE9D3" w14:textId="77777777" w:rsidR="00194303" w:rsidRDefault="00194303" w:rsidP="005D4016">
            <w:pPr>
              <w:jc w:val="center"/>
              <w:rPr>
                <w:rFonts w:ascii="CAIXA Std Book" w:hAnsi="CAIXA Std Book"/>
                <w:b/>
                <w:color w:val="FFFFFF"/>
                <w:sz w:val="18"/>
                <w:szCs w:val="18"/>
              </w:rPr>
            </w:pPr>
            <w:r>
              <w:rPr>
                <w:rFonts w:ascii="CAIXA Std Book" w:hAnsi="CAIXA Std Book"/>
                <w:b/>
                <w:color w:val="FFFFFF"/>
                <w:sz w:val="18"/>
                <w:szCs w:val="18"/>
              </w:rPr>
              <w:t>31/03/2026</w:t>
            </w:r>
          </w:p>
        </w:tc>
        <w:tc>
          <w:tcPr>
            <w:tcW w:w="643" w:type="pct"/>
            <w:tcBorders>
              <w:top w:val="nil"/>
              <w:left w:val="nil"/>
              <w:bottom w:val="nil"/>
              <w:right w:val="nil"/>
            </w:tcBorders>
            <w:shd w:val="clear" w:color="000000" w:fill="005CA9"/>
            <w:tcMar>
              <w:top w:w="15" w:type="dxa"/>
              <w:left w:w="15" w:type="dxa"/>
              <w:bottom w:w="0" w:type="dxa"/>
              <w:right w:w="15" w:type="dxa"/>
            </w:tcMar>
            <w:vAlign w:val="center"/>
            <w:hideMark/>
          </w:tcPr>
          <w:p w14:paraId="3C0930F9" w14:textId="77777777" w:rsidR="00194303" w:rsidRDefault="00194303">
            <w:pPr>
              <w:jc w:val="center"/>
              <w:rPr>
                <w:rFonts w:ascii="CAIXA Std Book" w:hAnsi="CAIXA Std Book"/>
                <w:b/>
                <w:color w:val="FFFFFF"/>
                <w:sz w:val="18"/>
                <w:szCs w:val="18"/>
              </w:rPr>
            </w:pPr>
            <w:r>
              <w:rPr>
                <w:rFonts w:ascii="CAIXA Std Book" w:hAnsi="CAIXA Std Book"/>
                <w:b/>
                <w:color w:val="FFFFFF"/>
                <w:sz w:val="18"/>
                <w:szCs w:val="18"/>
              </w:rPr>
              <w:t>31/12/2025</w:t>
            </w:r>
          </w:p>
        </w:tc>
        <w:tc>
          <w:tcPr>
            <w:tcW w:w="643" w:type="pct"/>
            <w:tcBorders>
              <w:top w:val="nil"/>
              <w:left w:val="nil"/>
              <w:bottom w:val="nil"/>
              <w:right w:val="nil"/>
            </w:tcBorders>
            <w:shd w:val="clear" w:color="000000" w:fill="005CA9"/>
            <w:tcMar>
              <w:top w:w="15" w:type="dxa"/>
              <w:left w:w="15" w:type="dxa"/>
              <w:bottom w:w="0" w:type="dxa"/>
              <w:right w:w="15" w:type="dxa"/>
            </w:tcMar>
            <w:vAlign w:val="center"/>
            <w:hideMark/>
          </w:tcPr>
          <w:p w14:paraId="47A89AE5" w14:textId="77777777" w:rsidR="00194303" w:rsidRDefault="00194303">
            <w:pPr>
              <w:jc w:val="center"/>
              <w:rPr>
                <w:rFonts w:ascii="CAIXA Std Book" w:hAnsi="CAIXA Std Book"/>
                <w:b/>
                <w:color w:val="FFFFFF"/>
                <w:sz w:val="18"/>
                <w:szCs w:val="18"/>
              </w:rPr>
            </w:pPr>
            <w:r>
              <w:rPr>
                <w:rFonts w:ascii="CAIXA Std Book" w:hAnsi="CAIXA Std Book"/>
                <w:b/>
                <w:color w:val="FFFFFF"/>
                <w:sz w:val="18"/>
                <w:szCs w:val="18"/>
              </w:rPr>
              <w:t>31/03/2026</w:t>
            </w:r>
          </w:p>
        </w:tc>
        <w:tc>
          <w:tcPr>
            <w:tcW w:w="643" w:type="pct"/>
            <w:tcBorders>
              <w:top w:val="nil"/>
              <w:left w:val="nil"/>
              <w:bottom w:val="nil"/>
              <w:right w:val="nil"/>
            </w:tcBorders>
            <w:shd w:val="clear" w:color="000000" w:fill="005CA9"/>
            <w:tcMar>
              <w:top w:w="15" w:type="dxa"/>
              <w:left w:w="15" w:type="dxa"/>
              <w:bottom w:w="0" w:type="dxa"/>
              <w:right w:w="15" w:type="dxa"/>
            </w:tcMar>
            <w:vAlign w:val="center"/>
            <w:hideMark/>
          </w:tcPr>
          <w:p w14:paraId="2A4B2640" w14:textId="77777777" w:rsidR="00194303" w:rsidRDefault="00194303">
            <w:pPr>
              <w:jc w:val="center"/>
              <w:rPr>
                <w:rFonts w:ascii="CAIXA Std Book" w:hAnsi="CAIXA Std Book"/>
                <w:b/>
                <w:color w:val="FFFFFF"/>
                <w:sz w:val="18"/>
                <w:szCs w:val="18"/>
              </w:rPr>
            </w:pPr>
            <w:r>
              <w:rPr>
                <w:rFonts w:ascii="CAIXA Std Book" w:hAnsi="CAIXA Std Book"/>
                <w:b/>
                <w:color w:val="FFFFFF"/>
                <w:sz w:val="18"/>
                <w:szCs w:val="18"/>
              </w:rPr>
              <w:t>31/12/2025</w:t>
            </w:r>
          </w:p>
        </w:tc>
      </w:tr>
      <w:tr w:rsidR="00194303" w:rsidRPr="004E3234" w14:paraId="5C99FC79" w14:textId="77777777" w:rsidTr="00E43AC3">
        <w:trPr>
          <w:trHeight w:val="283"/>
        </w:trPr>
        <w:tc>
          <w:tcPr>
            <w:tcW w:w="2427" w:type="pct"/>
            <w:tcBorders>
              <w:top w:val="nil"/>
              <w:left w:val="nil"/>
              <w:bottom w:val="nil"/>
              <w:right w:val="nil"/>
            </w:tcBorders>
            <w:tcMar>
              <w:top w:w="15" w:type="dxa"/>
              <w:left w:w="15" w:type="dxa"/>
              <w:bottom w:w="0" w:type="dxa"/>
              <w:right w:w="15" w:type="dxa"/>
            </w:tcMar>
            <w:vAlign w:val="center"/>
            <w:hideMark/>
          </w:tcPr>
          <w:p w14:paraId="4C0A20B5" w14:textId="77777777" w:rsidR="00194303" w:rsidRDefault="00194303" w:rsidP="005D4016">
            <w:pPr>
              <w:rPr>
                <w:rFonts w:ascii="CAIXA Std Book" w:hAnsi="CAIXA Std Book"/>
                <w:color w:val="005CA9"/>
                <w:sz w:val="18"/>
                <w:szCs w:val="18"/>
              </w:rPr>
            </w:pPr>
            <w:r>
              <w:rPr>
                <w:rFonts w:ascii="CAIXA Std Book" w:hAnsi="CAIXA Std Book"/>
                <w:color w:val="005CA9"/>
                <w:sz w:val="18"/>
                <w:szCs w:val="18"/>
              </w:rPr>
              <w:t>Credores por recursos a liberar</w:t>
            </w:r>
          </w:p>
        </w:tc>
        <w:tc>
          <w:tcPr>
            <w:tcW w:w="643" w:type="pct"/>
            <w:tcBorders>
              <w:top w:val="nil"/>
              <w:left w:val="nil"/>
              <w:bottom w:val="nil"/>
              <w:right w:val="nil"/>
            </w:tcBorders>
            <w:noWrap/>
            <w:tcMar>
              <w:top w:w="15" w:type="dxa"/>
              <w:left w:w="15" w:type="dxa"/>
              <w:bottom w:w="0" w:type="dxa"/>
              <w:right w:w="15" w:type="dxa"/>
            </w:tcMar>
            <w:vAlign w:val="center"/>
            <w:hideMark/>
          </w:tcPr>
          <w:p w14:paraId="3B9595B2" w14:textId="67FB444B" w:rsidR="00194303" w:rsidRDefault="00DF4153" w:rsidP="00DF4153">
            <w:pPr>
              <w:jc w:val="right"/>
              <w:rPr>
                <w:rFonts w:ascii="CAIXA Std Book" w:hAnsi="CAIXA Std Book"/>
                <w:color w:val="005CA9"/>
                <w:sz w:val="18"/>
                <w:szCs w:val="18"/>
              </w:rPr>
            </w:pPr>
            <w:r>
              <w:rPr>
                <w:rFonts w:ascii="CAIXA Std Book" w:hAnsi="CAIXA Std Book" w:cs="Calibri"/>
                <w:color w:val="005CA9"/>
                <w:sz w:val="18"/>
                <w:szCs w:val="18"/>
              </w:rPr>
              <w:t>12.246.964</w:t>
            </w:r>
          </w:p>
        </w:tc>
        <w:tc>
          <w:tcPr>
            <w:tcW w:w="643" w:type="pct"/>
            <w:tcBorders>
              <w:top w:val="nil"/>
              <w:left w:val="nil"/>
              <w:bottom w:val="nil"/>
              <w:right w:val="nil"/>
            </w:tcBorders>
            <w:tcMar>
              <w:top w:w="15" w:type="dxa"/>
              <w:left w:w="15" w:type="dxa"/>
              <w:bottom w:w="0" w:type="dxa"/>
              <w:right w:w="15" w:type="dxa"/>
            </w:tcMar>
            <w:vAlign w:val="center"/>
            <w:hideMark/>
          </w:tcPr>
          <w:p w14:paraId="749CB49D" w14:textId="77777777" w:rsidR="00194303" w:rsidRDefault="00194303" w:rsidP="005D4016">
            <w:pPr>
              <w:jc w:val="right"/>
              <w:rPr>
                <w:rFonts w:ascii="CAIXA Std Book" w:hAnsi="CAIXA Std Book"/>
                <w:color w:val="005CA9"/>
                <w:sz w:val="18"/>
                <w:szCs w:val="18"/>
              </w:rPr>
            </w:pPr>
            <w:r>
              <w:rPr>
                <w:rFonts w:ascii="CAIXA Std Book" w:hAnsi="CAIXA Std Book"/>
                <w:color w:val="005CA9"/>
                <w:sz w:val="18"/>
                <w:szCs w:val="18"/>
              </w:rPr>
              <w:t>12.489.194</w:t>
            </w:r>
          </w:p>
        </w:tc>
        <w:tc>
          <w:tcPr>
            <w:tcW w:w="643" w:type="pct"/>
            <w:tcBorders>
              <w:top w:val="nil"/>
              <w:left w:val="nil"/>
              <w:bottom w:val="nil"/>
              <w:right w:val="nil"/>
            </w:tcBorders>
            <w:noWrap/>
            <w:tcMar>
              <w:top w:w="15" w:type="dxa"/>
              <w:left w:w="15" w:type="dxa"/>
              <w:bottom w:w="0" w:type="dxa"/>
              <w:right w:w="15" w:type="dxa"/>
            </w:tcMar>
            <w:vAlign w:val="center"/>
            <w:hideMark/>
          </w:tcPr>
          <w:p w14:paraId="3AC9DAE7" w14:textId="452DE7A3" w:rsidR="00194303" w:rsidRDefault="0007529F">
            <w:pPr>
              <w:jc w:val="right"/>
              <w:rPr>
                <w:rFonts w:ascii="CAIXA Std Book" w:hAnsi="CAIXA Std Book"/>
                <w:color w:val="005CA9"/>
                <w:sz w:val="18"/>
                <w:szCs w:val="18"/>
              </w:rPr>
            </w:pPr>
            <w:r>
              <w:rPr>
                <w:rFonts w:ascii="CAIXA Std Book" w:hAnsi="CAIXA Std Book" w:cs="Calibri"/>
                <w:color w:val="005CA9"/>
                <w:sz w:val="18"/>
                <w:szCs w:val="18"/>
              </w:rPr>
              <w:t>12.246.964</w:t>
            </w:r>
          </w:p>
        </w:tc>
        <w:tc>
          <w:tcPr>
            <w:tcW w:w="643" w:type="pct"/>
            <w:tcBorders>
              <w:top w:val="nil"/>
              <w:left w:val="nil"/>
              <w:bottom w:val="nil"/>
              <w:right w:val="nil"/>
            </w:tcBorders>
            <w:noWrap/>
            <w:tcMar>
              <w:top w:w="15" w:type="dxa"/>
              <w:left w:w="15" w:type="dxa"/>
              <w:bottom w:w="0" w:type="dxa"/>
              <w:right w:w="15" w:type="dxa"/>
            </w:tcMar>
            <w:vAlign w:val="center"/>
            <w:hideMark/>
          </w:tcPr>
          <w:p w14:paraId="6CDFB119" w14:textId="77777777" w:rsidR="00194303" w:rsidRDefault="00194303" w:rsidP="005D4016">
            <w:pPr>
              <w:jc w:val="right"/>
              <w:rPr>
                <w:rFonts w:ascii="CAIXA Std Book" w:hAnsi="CAIXA Std Book"/>
                <w:color w:val="005CA9"/>
                <w:sz w:val="18"/>
                <w:szCs w:val="18"/>
              </w:rPr>
            </w:pPr>
            <w:r>
              <w:rPr>
                <w:rFonts w:ascii="CAIXA Std Book" w:hAnsi="CAIXA Std Book"/>
                <w:color w:val="005CA9"/>
                <w:sz w:val="18"/>
                <w:szCs w:val="18"/>
              </w:rPr>
              <w:t>12.489.194</w:t>
            </w:r>
          </w:p>
        </w:tc>
      </w:tr>
      <w:tr w:rsidR="00194303" w:rsidRPr="004E3234" w14:paraId="6AF294AC" w14:textId="77777777" w:rsidTr="00E43AC3">
        <w:trPr>
          <w:trHeight w:val="283"/>
        </w:trPr>
        <w:tc>
          <w:tcPr>
            <w:tcW w:w="2427" w:type="pct"/>
            <w:tcBorders>
              <w:top w:val="nil"/>
              <w:left w:val="nil"/>
              <w:bottom w:val="nil"/>
              <w:right w:val="nil"/>
            </w:tcBorders>
            <w:tcMar>
              <w:top w:w="15" w:type="dxa"/>
              <w:left w:w="15" w:type="dxa"/>
              <w:bottom w:w="0" w:type="dxa"/>
              <w:right w:w="15" w:type="dxa"/>
            </w:tcMar>
            <w:vAlign w:val="center"/>
            <w:hideMark/>
          </w:tcPr>
          <w:p w14:paraId="1A77997B" w14:textId="77777777" w:rsidR="00194303" w:rsidRDefault="00194303" w:rsidP="005D4016">
            <w:pPr>
              <w:rPr>
                <w:rFonts w:ascii="CAIXA Std Book" w:hAnsi="CAIXA Std Book"/>
                <w:color w:val="005CA9"/>
                <w:sz w:val="18"/>
                <w:szCs w:val="18"/>
              </w:rPr>
            </w:pPr>
            <w:r>
              <w:rPr>
                <w:rFonts w:ascii="CAIXA Std Book" w:hAnsi="CAIXA Std Book"/>
                <w:color w:val="005CA9"/>
                <w:sz w:val="18"/>
                <w:szCs w:val="18"/>
              </w:rPr>
              <w:t>Credores diversos - país</w:t>
            </w:r>
          </w:p>
        </w:tc>
        <w:tc>
          <w:tcPr>
            <w:tcW w:w="643" w:type="pct"/>
            <w:tcBorders>
              <w:top w:val="nil"/>
              <w:left w:val="nil"/>
              <w:bottom w:val="nil"/>
              <w:right w:val="nil"/>
            </w:tcBorders>
            <w:noWrap/>
            <w:tcMar>
              <w:top w:w="15" w:type="dxa"/>
              <w:left w:w="15" w:type="dxa"/>
              <w:bottom w:w="0" w:type="dxa"/>
              <w:right w:w="15" w:type="dxa"/>
            </w:tcMar>
            <w:vAlign w:val="center"/>
            <w:hideMark/>
          </w:tcPr>
          <w:p w14:paraId="7947D042" w14:textId="3C385408" w:rsidR="00194303" w:rsidRDefault="00DF4153" w:rsidP="00DF4153">
            <w:pPr>
              <w:jc w:val="right"/>
              <w:rPr>
                <w:rFonts w:ascii="CAIXA Std Book" w:hAnsi="CAIXA Std Book"/>
                <w:color w:val="005CA9"/>
                <w:sz w:val="18"/>
                <w:szCs w:val="18"/>
              </w:rPr>
            </w:pPr>
            <w:r>
              <w:rPr>
                <w:rFonts w:ascii="CAIXA Std Book" w:hAnsi="CAIXA Std Book" w:cs="Calibri"/>
                <w:color w:val="005CA9"/>
                <w:sz w:val="18"/>
                <w:szCs w:val="18"/>
              </w:rPr>
              <w:t>7.775.349</w:t>
            </w:r>
          </w:p>
        </w:tc>
        <w:tc>
          <w:tcPr>
            <w:tcW w:w="643" w:type="pct"/>
            <w:tcBorders>
              <w:top w:val="nil"/>
              <w:left w:val="nil"/>
              <w:bottom w:val="nil"/>
              <w:right w:val="nil"/>
            </w:tcBorders>
            <w:tcMar>
              <w:top w:w="15" w:type="dxa"/>
              <w:left w:w="15" w:type="dxa"/>
              <w:bottom w:w="0" w:type="dxa"/>
              <w:right w:w="15" w:type="dxa"/>
            </w:tcMar>
            <w:vAlign w:val="center"/>
            <w:hideMark/>
          </w:tcPr>
          <w:p w14:paraId="530D663E" w14:textId="77777777" w:rsidR="00194303" w:rsidRDefault="00194303" w:rsidP="005D4016">
            <w:pPr>
              <w:jc w:val="right"/>
              <w:rPr>
                <w:rFonts w:ascii="CAIXA Std Book" w:hAnsi="CAIXA Std Book"/>
                <w:color w:val="005CA9"/>
                <w:sz w:val="18"/>
                <w:szCs w:val="18"/>
              </w:rPr>
            </w:pPr>
            <w:r>
              <w:rPr>
                <w:rFonts w:ascii="CAIXA Std Book" w:hAnsi="CAIXA Std Book"/>
                <w:color w:val="005CA9"/>
                <w:sz w:val="18"/>
                <w:szCs w:val="18"/>
              </w:rPr>
              <w:t>7.852.664</w:t>
            </w:r>
          </w:p>
        </w:tc>
        <w:tc>
          <w:tcPr>
            <w:tcW w:w="643" w:type="pct"/>
            <w:tcBorders>
              <w:top w:val="nil"/>
              <w:left w:val="nil"/>
              <w:bottom w:val="nil"/>
              <w:right w:val="nil"/>
            </w:tcBorders>
            <w:noWrap/>
            <w:tcMar>
              <w:top w:w="15" w:type="dxa"/>
              <w:left w:w="15" w:type="dxa"/>
              <w:bottom w:w="0" w:type="dxa"/>
              <w:right w:w="15" w:type="dxa"/>
            </w:tcMar>
            <w:vAlign w:val="center"/>
            <w:hideMark/>
          </w:tcPr>
          <w:p w14:paraId="44183283" w14:textId="4920D32D" w:rsidR="00194303" w:rsidRDefault="0007529F">
            <w:pPr>
              <w:jc w:val="right"/>
              <w:rPr>
                <w:rFonts w:ascii="CAIXA Std Book" w:hAnsi="CAIXA Std Book"/>
                <w:color w:val="005CA9"/>
                <w:sz w:val="18"/>
                <w:szCs w:val="18"/>
              </w:rPr>
            </w:pPr>
            <w:r>
              <w:rPr>
                <w:rFonts w:ascii="CAIXA Std Book" w:hAnsi="CAIXA Std Book" w:cs="Calibri"/>
                <w:color w:val="005CA9"/>
                <w:sz w:val="18"/>
                <w:szCs w:val="18"/>
              </w:rPr>
              <w:t>8.202.265</w:t>
            </w:r>
          </w:p>
        </w:tc>
        <w:tc>
          <w:tcPr>
            <w:tcW w:w="643" w:type="pct"/>
            <w:tcBorders>
              <w:top w:val="nil"/>
              <w:left w:val="nil"/>
              <w:bottom w:val="nil"/>
              <w:right w:val="nil"/>
            </w:tcBorders>
            <w:noWrap/>
            <w:tcMar>
              <w:top w:w="15" w:type="dxa"/>
              <w:left w:w="15" w:type="dxa"/>
              <w:bottom w:w="0" w:type="dxa"/>
              <w:right w:w="15" w:type="dxa"/>
            </w:tcMar>
            <w:vAlign w:val="center"/>
            <w:hideMark/>
          </w:tcPr>
          <w:p w14:paraId="6F56AB32" w14:textId="77777777" w:rsidR="00194303" w:rsidRDefault="00194303" w:rsidP="005D4016">
            <w:pPr>
              <w:jc w:val="right"/>
              <w:rPr>
                <w:rFonts w:ascii="CAIXA Std Book" w:hAnsi="CAIXA Std Book"/>
                <w:color w:val="005CA9"/>
                <w:sz w:val="18"/>
                <w:szCs w:val="18"/>
              </w:rPr>
            </w:pPr>
            <w:r>
              <w:rPr>
                <w:rFonts w:ascii="CAIXA Std Book" w:hAnsi="CAIXA Std Book"/>
                <w:color w:val="005CA9"/>
                <w:sz w:val="18"/>
                <w:szCs w:val="18"/>
              </w:rPr>
              <w:t>8.434.813</w:t>
            </w:r>
          </w:p>
        </w:tc>
      </w:tr>
      <w:tr w:rsidR="00194303" w:rsidRPr="004E3234" w14:paraId="74231EFC" w14:textId="77777777" w:rsidTr="00E43AC3">
        <w:trPr>
          <w:trHeight w:val="283"/>
        </w:trPr>
        <w:tc>
          <w:tcPr>
            <w:tcW w:w="2427" w:type="pct"/>
            <w:tcBorders>
              <w:top w:val="nil"/>
              <w:left w:val="nil"/>
              <w:bottom w:val="nil"/>
              <w:right w:val="nil"/>
            </w:tcBorders>
            <w:tcMar>
              <w:top w:w="15" w:type="dxa"/>
              <w:left w:w="15" w:type="dxa"/>
              <w:bottom w:w="0" w:type="dxa"/>
              <w:right w:w="15" w:type="dxa"/>
            </w:tcMar>
            <w:vAlign w:val="center"/>
            <w:hideMark/>
          </w:tcPr>
          <w:p w14:paraId="773E7FE5" w14:textId="77777777" w:rsidR="00194303" w:rsidRDefault="00194303" w:rsidP="005D4016">
            <w:pPr>
              <w:rPr>
                <w:rFonts w:ascii="CAIXA Std Book" w:hAnsi="CAIXA Std Book"/>
                <w:color w:val="005CA9"/>
                <w:sz w:val="18"/>
                <w:szCs w:val="18"/>
              </w:rPr>
            </w:pPr>
            <w:r>
              <w:rPr>
                <w:rFonts w:ascii="CAIXA Std Book" w:hAnsi="CAIXA Std Book"/>
                <w:color w:val="005CA9"/>
                <w:sz w:val="18"/>
                <w:szCs w:val="18"/>
              </w:rPr>
              <w:t>Provisão para pagamentos a efetuar</w:t>
            </w:r>
          </w:p>
        </w:tc>
        <w:tc>
          <w:tcPr>
            <w:tcW w:w="643" w:type="pct"/>
            <w:tcBorders>
              <w:top w:val="nil"/>
              <w:left w:val="nil"/>
              <w:bottom w:val="nil"/>
              <w:right w:val="nil"/>
            </w:tcBorders>
            <w:noWrap/>
            <w:tcMar>
              <w:top w:w="15" w:type="dxa"/>
              <w:left w:w="15" w:type="dxa"/>
              <w:bottom w:w="0" w:type="dxa"/>
              <w:right w:w="15" w:type="dxa"/>
            </w:tcMar>
            <w:vAlign w:val="center"/>
            <w:hideMark/>
          </w:tcPr>
          <w:p w14:paraId="33BD664F" w14:textId="069A3182" w:rsidR="00194303" w:rsidRDefault="00DF4153" w:rsidP="00DF4153">
            <w:pPr>
              <w:jc w:val="right"/>
              <w:rPr>
                <w:rFonts w:ascii="CAIXA Std Book" w:hAnsi="CAIXA Std Book"/>
                <w:color w:val="005CA9"/>
                <w:sz w:val="18"/>
                <w:szCs w:val="18"/>
              </w:rPr>
            </w:pPr>
            <w:r>
              <w:rPr>
                <w:rFonts w:ascii="CAIXA Std Book" w:hAnsi="CAIXA Std Book" w:cs="Calibri"/>
                <w:color w:val="005CA9"/>
                <w:sz w:val="18"/>
                <w:szCs w:val="18"/>
              </w:rPr>
              <w:t>4.631.141</w:t>
            </w:r>
          </w:p>
        </w:tc>
        <w:tc>
          <w:tcPr>
            <w:tcW w:w="643" w:type="pct"/>
            <w:tcBorders>
              <w:top w:val="nil"/>
              <w:left w:val="nil"/>
              <w:bottom w:val="nil"/>
              <w:right w:val="nil"/>
            </w:tcBorders>
            <w:tcMar>
              <w:top w:w="15" w:type="dxa"/>
              <w:left w:w="15" w:type="dxa"/>
              <w:bottom w:w="0" w:type="dxa"/>
              <w:right w:w="15" w:type="dxa"/>
            </w:tcMar>
            <w:vAlign w:val="center"/>
            <w:hideMark/>
          </w:tcPr>
          <w:p w14:paraId="040AB0C1" w14:textId="77777777" w:rsidR="00194303" w:rsidRDefault="00194303" w:rsidP="005D4016">
            <w:pPr>
              <w:jc w:val="right"/>
              <w:rPr>
                <w:rFonts w:ascii="CAIXA Std Book" w:hAnsi="CAIXA Std Book"/>
                <w:color w:val="005CA9"/>
                <w:sz w:val="18"/>
                <w:szCs w:val="18"/>
              </w:rPr>
            </w:pPr>
            <w:r>
              <w:rPr>
                <w:rFonts w:ascii="CAIXA Std Book" w:hAnsi="CAIXA Std Book"/>
                <w:color w:val="005CA9"/>
                <w:sz w:val="18"/>
                <w:szCs w:val="18"/>
              </w:rPr>
              <w:t>4.176.981</w:t>
            </w:r>
          </w:p>
        </w:tc>
        <w:tc>
          <w:tcPr>
            <w:tcW w:w="643" w:type="pct"/>
            <w:tcBorders>
              <w:top w:val="nil"/>
              <w:left w:val="nil"/>
              <w:bottom w:val="nil"/>
              <w:right w:val="nil"/>
            </w:tcBorders>
            <w:noWrap/>
            <w:tcMar>
              <w:top w:w="15" w:type="dxa"/>
              <w:left w:w="15" w:type="dxa"/>
              <w:bottom w:w="0" w:type="dxa"/>
              <w:right w:w="15" w:type="dxa"/>
            </w:tcMar>
            <w:vAlign w:val="center"/>
            <w:hideMark/>
          </w:tcPr>
          <w:p w14:paraId="292B9D9A" w14:textId="67F9F27B" w:rsidR="00194303" w:rsidRDefault="0007529F">
            <w:pPr>
              <w:jc w:val="right"/>
              <w:rPr>
                <w:rFonts w:ascii="CAIXA Std Book" w:hAnsi="CAIXA Std Book"/>
                <w:color w:val="005CA9"/>
                <w:sz w:val="18"/>
                <w:szCs w:val="18"/>
              </w:rPr>
            </w:pPr>
            <w:r>
              <w:rPr>
                <w:rFonts w:ascii="CAIXA Std Book" w:hAnsi="CAIXA Std Book" w:cs="Calibri"/>
                <w:color w:val="005CA9"/>
                <w:sz w:val="18"/>
                <w:szCs w:val="18"/>
              </w:rPr>
              <w:t>4.926.368</w:t>
            </w:r>
          </w:p>
        </w:tc>
        <w:tc>
          <w:tcPr>
            <w:tcW w:w="643" w:type="pct"/>
            <w:tcBorders>
              <w:top w:val="nil"/>
              <w:left w:val="nil"/>
              <w:bottom w:val="nil"/>
              <w:right w:val="nil"/>
            </w:tcBorders>
            <w:noWrap/>
            <w:tcMar>
              <w:top w:w="15" w:type="dxa"/>
              <w:left w:w="15" w:type="dxa"/>
              <w:bottom w:w="0" w:type="dxa"/>
              <w:right w:w="15" w:type="dxa"/>
            </w:tcMar>
            <w:vAlign w:val="center"/>
            <w:hideMark/>
          </w:tcPr>
          <w:p w14:paraId="0949ED59" w14:textId="77777777" w:rsidR="00194303" w:rsidRDefault="00194303" w:rsidP="005D4016">
            <w:pPr>
              <w:jc w:val="right"/>
              <w:rPr>
                <w:rFonts w:ascii="CAIXA Std Book" w:hAnsi="CAIXA Std Book"/>
                <w:color w:val="005CA9"/>
                <w:sz w:val="18"/>
                <w:szCs w:val="18"/>
              </w:rPr>
            </w:pPr>
            <w:r>
              <w:rPr>
                <w:rFonts w:ascii="CAIXA Std Book" w:hAnsi="CAIXA Std Book"/>
                <w:color w:val="005CA9"/>
                <w:sz w:val="18"/>
                <w:szCs w:val="18"/>
              </w:rPr>
              <w:t>4.556.064</w:t>
            </w:r>
          </w:p>
        </w:tc>
      </w:tr>
      <w:tr w:rsidR="00194303" w:rsidRPr="004E3234" w14:paraId="50676D94" w14:textId="77777777" w:rsidTr="00E43AC3">
        <w:trPr>
          <w:trHeight w:val="283"/>
        </w:trPr>
        <w:tc>
          <w:tcPr>
            <w:tcW w:w="2427" w:type="pct"/>
            <w:tcBorders>
              <w:top w:val="nil"/>
              <w:left w:val="nil"/>
              <w:bottom w:val="nil"/>
              <w:right w:val="nil"/>
            </w:tcBorders>
            <w:tcMar>
              <w:top w:w="15" w:type="dxa"/>
              <w:left w:w="15" w:type="dxa"/>
              <w:bottom w:w="0" w:type="dxa"/>
              <w:right w:w="15" w:type="dxa"/>
            </w:tcMar>
            <w:vAlign w:val="center"/>
            <w:hideMark/>
          </w:tcPr>
          <w:p w14:paraId="02689779" w14:textId="58004C65" w:rsidR="00194303" w:rsidRDefault="00DF4153" w:rsidP="005D4016">
            <w:pPr>
              <w:rPr>
                <w:rFonts w:ascii="CAIXA Std Book" w:hAnsi="CAIXA Std Book"/>
                <w:color w:val="005CA9"/>
                <w:sz w:val="18"/>
                <w:szCs w:val="18"/>
              </w:rPr>
            </w:pPr>
            <w:r>
              <w:rPr>
                <w:rFonts w:ascii="CAIXA Std Book" w:hAnsi="CAIXA Std Book" w:cs="Calibri"/>
                <w:color w:val="005CA9"/>
                <w:sz w:val="18"/>
                <w:szCs w:val="18"/>
              </w:rPr>
              <w:t>Relações interfinanceiras e interdependências (1)</w:t>
            </w:r>
          </w:p>
        </w:tc>
        <w:tc>
          <w:tcPr>
            <w:tcW w:w="643" w:type="pct"/>
            <w:tcBorders>
              <w:top w:val="nil"/>
              <w:left w:val="nil"/>
              <w:bottom w:val="nil"/>
              <w:right w:val="nil"/>
            </w:tcBorders>
            <w:noWrap/>
            <w:tcMar>
              <w:top w:w="15" w:type="dxa"/>
              <w:left w:w="15" w:type="dxa"/>
              <w:bottom w:w="0" w:type="dxa"/>
              <w:right w:w="15" w:type="dxa"/>
            </w:tcMar>
            <w:vAlign w:val="center"/>
            <w:hideMark/>
          </w:tcPr>
          <w:p w14:paraId="01879C0E" w14:textId="2EA701E5" w:rsidR="00194303" w:rsidRDefault="00DF4153" w:rsidP="00DF4153">
            <w:pPr>
              <w:jc w:val="right"/>
              <w:rPr>
                <w:rFonts w:ascii="CAIXA Std Book" w:hAnsi="CAIXA Std Book"/>
                <w:color w:val="005CA9"/>
                <w:sz w:val="18"/>
                <w:szCs w:val="18"/>
              </w:rPr>
            </w:pPr>
            <w:r>
              <w:rPr>
                <w:rFonts w:ascii="CAIXA Std Book" w:hAnsi="CAIXA Std Book" w:cs="Calibri"/>
                <w:color w:val="005CA9"/>
                <w:sz w:val="18"/>
                <w:szCs w:val="18"/>
              </w:rPr>
              <w:t>1.937.253</w:t>
            </w:r>
          </w:p>
        </w:tc>
        <w:tc>
          <w:tcPr>
            <w:tcW w:w="643" w:type="pct"/>
            <w:tcBorders>
              <w:top w:val="nil"/>
              <w:left w:val="nil"/>
              <w:bottom w:val="nil"/>
              <w:right w:val="nil"/>
            </w:tcBorders>
            <w:tcMar>
              <w:top w:w="15" w:type="dxa"/>
              <w:left w:w="15" w:type="dxa"/>
              <w:bottom w:w="0" w:type="dxa"/>
              <w:right w:w="15" w:type="dxa"/>
            </w:tcMar>
            <w:vAlign w:val="center"/>
            <w:hideMark/>
          </w:tcPr>
          <w:p w14:paraId="4A7A872D" w14:textId="25BD601C" w:rsidR="00194303" w:rsidRDefault="00DF4153" w:rsidP="005D4016">
            <w:pPr>
              <w:jc w:val="right"/>
              <w:rPr>
                <w:rFonts w:ascii="CAIXA Std Book" w:hAnsi="CAIXA Std Book"/>
                <w:color w:val="005CA9"/>
                <w:sz w:val="18"/>
                <w:szCs w:val="18"/>
              </w:rPr>
            </w:pPr>
            <w:r>
              <w:rPr>
                <w:rFonts w:ascii="CAIXA Std Book" w:hAnsi="CAIXA Std Book" w:cs="Calibri"/>
                <w:color w:val="005CA9"/>
                <w:sz w:val="18"/>
                <w:szCs w:val="18"/>
              </w:rPr>
              <w:t>1.163.514</w:t>
            </w:r>
          </w:p>
        </w:tc>
        <w:tc>
          <w:tcPr>
            <w:tcW w:w="643" w:type="pct"/>
            <w:tcBorders>
              <w:top w:val="nil"/>
              <w:left w:val="nil"/>
              <w:bottom w:val="nil"/>
              <w:right w:val="nil"/>
            </w:tcBorders>
            <w:noWrap/>
            <w:tcMar>
              <w:top w:w="15" w:type="dxa"/>
              <w:left w:w="15" w:type="dxa"/>
              <w:bottom w:w="0" w:type="dxa"/>
              <w:right w:w="15" w:type="dxa"/>
            </w:tcMar>
            <w:vAlign w:val="center"/>
            <w:hideMark/>
          </w:tcPr>
          <w:p w14:paraId="59A09BC3" w14:textId="1F060135" w:rsidR="00194303" w:rsidRDefault="0007529F">
            <w:pPr>
              <w:jc w:val="right"/>
              <w:rPr>
                <w:rFonts w:ascii="CAIXA Std Book" w:hAnsi="CAIXA Std Book"/>
                <w:color w:val="005CA9"/>
                <w:sz w:val="18"/>
                <w:szCs w:val="18"/>
              </w:rPr>
            </w:pPr>
            <w:r>
              <w:rPr>
                <w:rFonts w:ascii="CAIXA Std Book" w:hAnsi="CAIXA Std Book" w:cs="Calibri"/>
                <w:color w:val="005CA9"/>
                <w:sz w:val="18"/>
                <w:szCs w:val="18"/>
              </w:rPr>
              <w:t>18.618.675</w:t>
            </w:r>
          </w:p>
        </w:tc>
        <w:tc>
          <w:tcPr>
            <w:tcW w:w="643" w:type="pct"/>
            <w:tcBorders>
              <w:top w:val="nil"/>
              <w:left w:val="nil"/>
              <w:bottom w:val="nil"/>
              <w:right w:val="nil"/>
            </w:tcBorders>
            <w:noWrap/>
            <w:tcMar>
              <w:top w:w="15" w:type="dxa"/>
              <w:left w:w="15" w:type="dxa"/>
              <w:bottom w:w="0" w:type="dxa"/>
              <w:right w:w="15" w:type="dxa"/>
            </w:tcMar>
            <w:vAlign w:val="center"/>
            <w:hideMark/>
          </w:tcPr>
          <w:p w14:paraId="01846D72" w14:textId="0B9F8C97" w:rsidR="00194303" w:rsidRDefault="00DF4153" w:rsidP="005D4016">
            <w:pPr>
              <w:jc w:val="right"/>
              <w:rPr>
                <w:rFonts w:ascii="CAIXA Std Book" w:hAnsi="CAIXA Std Book"/>
                <w:color w:val="005CA9"/>
                <w:sz w:val="18"/>
                <w:szCs w:val="18"/>
              </w:rPr>
            </w:pPr>
            <w:r>
              <w:rPr>
                <w:rFonts w:ascii="CAIXA Std Book" w:hAnsi="CAIXA Std Book" w:cs="Calibri"/>
                <w:color w:val="005CA9"/>
                <w:sz w:val="18"/>
                <w:szCs w:val="18"/>
              </w:rPr>
              <w:t>18.591.772</w:t>
            </w:r>
          </w:p>
        </w:tc>
      </w:tr>
      <w:tr w:rsidR="00194303" w:rsidRPr="004E3234" w14:paraId="75F510F3" w14:textId="77777777" w:rsidTr="00E43AC3">
        <w:trPr>
          <w:trHeight w:val="283"/>
        </w:trPr>
        <w:tc>
          <w:tcPr>
            <w:tcW w:w="2427" w:type="pct"/>
            <w:tcBorders>
              <w:top w:val="nil"/>
              <w:left w:val="nil"/>
              <w:bottom w:val="nil"/>
              <w:right w:val="nil"/>
            </w:tcBorders>
            <w:tcMar>
              <w:top w:w="15" w:type="dxa"/>
              <w:left w:w="15" w:type="dxa"/>
              <w:bottom w:w="0" w:type="dxa"/>
              <w:right w:w="15" w:type="dxa"/>
            </w:tcMar>
            <w:vAlign w:val="center"/>
            <w:hideMark/>
          </w:tcPr>
          <w:p w14:paraId="2AE3A554" w14:textId="2153A478" w:rsidR="00194303" w:rsidRDefault="00DF4153" w:rsidP="005D4016">
            <w:pPr>
              <w:rPr>
                <w:rFonts w:ascii="CAIXA Std Book" w:hAnsi="CAIXA Std Book"/>
                <w:color w:val="005CA9"/>
                <w:sz w:val="18"/>
                <w:szCs w:val="18"/>
              </w:rPr>
            </w:pPr>
            <w:r>
              <w:rPr>
                <w:rFonts w:ascii="CAIXA Std Book" w:hAnsi="CAIXA Std Book" w:cs="Calibri"/>
                <w:color w:val="005CA9"/>
                <w:sz w:val="18"/>
                <w:szCs w:val="18"/>
              </w:rPr>
              <w:t>Cobrança e arrecadações de tributos e assemelhados</w:t>
            </w:r>
          </w:p>
        </w:tc>
        <w:tc>
          <w:tcPr>
            <w:tcW w:w="643" w:type="pct"/>
            <w:tcBorders>
              <w:top w:val="nil"/>
              <w:left w:val="nil"/>
              <w:bottom w:val="nil"/>
              <w:right w:val="nil"/>
            </w:tcBorders>
            <w:noWrap/>
            <w:tcMar>
              <w:top w:w="15" w:type="dxa"/>
              <w:left w:w="15" w:type="dxa"/>
              <w:bottom w:w="0" w:type="dxa"/>
              <w:right w:w="15" w:type="dxa"/>
            </w:tcMar>
            <w:vAlign w:val="center"/>
            <w:hideMark/>
          </w:tcPr>
          <w:p w14:paraId="7A4A4F4B" w14:textId="1397E399" w:rsidR="00194303" w:rsidRDefault="00DF4153" w:rsidP="00DF4153">
            <w:pPr>
              <w:jc w:val="right"/>
              <w:rPr>
                <w:rFonts w:ascii="CAIXA Std Book" w:hAnsi="CAIXA Std Book"/>
                <w:color w:val="005CA9"/>
                <w:sz w:val="18"/>
                <w:szCs w:val="18"/>
              </w:rPr>
            </w:pPr>
            <w:r>
              <w:rPr>
                <w:rFonts w:ascii="CAIXA Std Book" w:hAnsi="CAIXA Std Book" w:cs="Calibri"/>
                <w:color w:val="005CA9"/>
                <w:sz w:val="18"/>
                <w:szCs w:val="18"/>
              </w:rPr>
              <w:t>1.528.997</w:t>
            </w:r>
          </w:p>
        </w:tc>
        <w:tc>
          <w:tcPr>
            <w:tcW w:w="643" w:type="pct"/>
            <w:tcBorders>
              <w:top w:val="nil"/>
              <w:left w:val="nil"/>
              <w:bottom w:val="nil"/>
              <w:right w:val="nil"/>
            </w:tcBorders>
            <w:tcMar>
              <w:top w:w="15" w:type="dxa"/>
              <w:left w:w="15" w:type="dxa"/>
              <w:bottom w:w="0" w:type="dxa"/>
              <w:right w:w="15" w:type="dxa"/>
            </w:tcMar>
            <w:vAlign w:val="center"/>
            <w:hideMark/>
          </w:tcPr>
          <w:p w14:paraId="0FD0F0E7" w14:textId="23C4745C" w:rsidR="00194303" w:rsidRDefault="00DF4153" w:rsidP="005D4016">
            <w:pPr>
              <w:jc w:val="right"/>
              <w:rPr>
                <w:rFonts w:ascii="CAIXA Std Book" w:hAnsi="CAIXA Std Book"/>
                <w:color w:val="005CA9"/>
                <w:sz w:val="18"/>
                <w:szCs w:val="18"/>
              </w:rPr>
            </w:pPr>
            <w:r>
              <w:rPr>
                <w:rFonts w:ascii="CAIXA Std Book" w:hAnsi="CAIXA Std Book" w:cs="Calibri"/>
                <w:color w:val="005CA9"/>
                <w:sz w:val="18"/>
                <w:szCs w:val="18"/>
              </w:rPr>
              <w:t>350.124</w:t>
            </w:r>
          </w:p>
        </w:tc>
        <w:tc>
          <w:tcPr>
            <w:tcW w:w="643" w:type="pct"/>
            <w:tcBorders>
              <w:top w:val="nil"/>
              <w:left w:val="nil"/>
              <w:bottom w:val="nil"/>
              <w:right w:val="nil"/>
            </w:tcBorders>
            <w:noWrap/>
            <w:tcMar>
              <w:top w:w="15" w:type="dxa"/>
              <w:left w:w="15" w:type="dxa"/>
              <w:bottom w:w="0" w:type="dxa"/>
              <w:right w:w="15" w:type="dxa"/>
            </w:tcMar>
            <w:vAlign w:val="center"/>
            <w:hideMark/>
          </w:tcPr>
          <w:p w14:paraId="5DB67CBF" w14:textId="73362601" w:rsidR="00194303" w:rsidRDefault="0007529F">
            <w:pPr>
              <w:jc w:val="right"/>
              <w:rPr>
                <w:rFonts w:ascii="CAIXA Std Book" w:hAnsi="CAIXA Std Book"/>
                <w:color w:val="005CA9"/>
                <w:sz w:val="18"/>
                <w:szCs w:val="18"/>
              </w:rPr>
            </w:pPr>
            <w:r>
              <w:rPr>
                <w:rFonts w:ascii="CAIXA Std Book" w:hAnsi="CAIXA Std Book" w:cs="Calibri"/>
                <w:color w:val="005CA9"/>
                <w:sz w:val="18"/>
                <w:szCs w:val="18"/>
              </w:rPr>
              <w:t>1.528.997</w:t>
            </w:r>
          </w:p>
        </w:tc>
        <w:tc>
          <w:tcPr>
            <w:tcW w:w="643" w:type="pct"/>
            <w:tcBorders>
              <w:top w:val="nil"/>
              <w:left w:val="nil"/>
              <w:bottom w:val="nil"/>
              <w:right w:val="nil"/>
            </w:tcBorders>
            <w:noWrap/>
            <w:tcMar>
              <w:top w:w="15" w:type="dxa"/>
              <w:left w:w="15" w:type="dxa"/>
              <w:bottom w:w="0" w:type="dxa"/>
              <w:right w:w="15" w:type="dxa"/>
            </w:tcMar>
            <w:vAlign w:val="center"/>
            <w:hideMark/>
          </w:tcPr>
          <w:p w14:paraId="3CDC9962" w14:textId="7799B8C5" w:rsidR="00194303" w:rsidRDefault="00DF4153" w:rsidP="005D4016">
            <w:pPr>
              <w:jc w:val="right"/>
              <w:rPr>
                <w:rFonts w:ascii="CAIXA Std Book" w:hAnsi="CAIXA Std Book"/>
                <w:color w:val="005CA9"/>
                <w:sz w:val="18"/>
                <w:szCs w:val="18"/>
              </w:rPr>
            </w:pPr>
            <w:r>
              <w:rPr>
                <w:rFonts w:ascii="CAIXA Std Book" w:hAnsi="CAIXA Std Book" w:cs="Calibri"/>
                <w:color w:val="005CA9"/>
                <w:sz w:val="18"/>
                <w:szCs w:val="18"/>
              </w:rPr>
              <w:t>350.124</w:t>
            </w:r>
          </w:p>
        </w:tc>
      </w:tr>
      <w:tr w:rsidR="00194303" w:rsidRPr="004E3234" w14:paraId="38DE6438" w14:textId="77777777" w:rsidTr="00E43AC3">
        <w:trPr>
          <w:trHeight w:val="283"/>
        </w:trPr>
        <w:tc>
          <w:tcPr>
            <w:tcW w:w="2427" w:type="pct"/>
            <w:tcBorders>
              <w:top w:val="nil"/>
              <w:left w:val="nil"/>
              <w:bottom w:val="nil"/>
              <w:right w:val="nil"/>
            </w:tcBorders>
            <w:tcMar>
              <w:top w:w="15" w:type="dxa"/>
              <w:left w:w="15" w:type="dxa"/>
              <w:bottom w:w="0" w:type="dxa"/>
              <w:right w:w="15" w:type="dxa"/>
            </w:tcMar>
            <w:vAlign w:val="center"/>
            <w:hideMark/>
          </w:tcPr>
          <w:p w14:paraId="55983E00" w14:textId="3CE84E72" w:rsidR="00194303" w:rsidRDefault="00DF4153" w:rsidP="005D4016">
            <w:pPr>
              <w:rPr>
                <w:rFonts w:ascii="CAIXA Std Book" w:hAnsi="CAIXA Std Book"/>
                <w:color w:val="005CA9"/>
                <w:sz w:val="18"/>
                <w:szCs w:val="18"/>
              </w:rPr>
            </w:pPr>
            <w:r>
              <w:rPr>
                <w:rFonts w:ascii="CAIXA Std Book" w:hAnsi="CAIXA Std Book" w:cs="Calibri"/>
                <w:color w:val="005CA9"/>
                <w:sz w:val="18"/>
                <w:szCs w:val="18"/>
              </w:rPr>
              <w:t>Sociais e estatutárias</w:t>
            </w:r>
          </w:p>
        </w:tc>
        <w:tc>
          <w:tcPr>
            <w:tcW w:w="643" w:type="pct"/>
            <w:tcBorders>
              <w:top w:val="nil"/>
              <w:left w:val="nil"/>
              <w:bottom w:val="nil"/>
              <w:right w:val="nil"/>
            </w:tcBorders>
            <w:noWrap/>
            <w:tcMar>
              <w:top w:w="15" w:type="dxa"/>
              <w:left w:w="15" w:type="dxa"/>
              <w:bottom w:w="0" w:type="dxa"/>
              <w:right w:w="15" w:type="dxa"/>
            </w:tcMar>
            <w:vAlign w:val="center"/>
            <w:hideMark/>
          </w:tcPr>
          <w:p w14:paraId="4C8F6C6D" w14:textId="737A1C0A" w:rsidR="00194303" w:rsidRDefault="00DF4153" w:rsidP="00DF4153">
            <w:pPr>
              <w:jc w:val="right"/>
              <w:rPr>
                <w:rFonts w:ascii="CAIXA Std Book" w:hAnsi="CAIXA Std Book"/>
                <w:color w:val="005CA9"/>
                <w:sz w:val="18"/>
                <w:szCs w:val="18"/>
              </w:rPr>
            </w:pPr>
            <w:r>
              <w:rPr>
                <w:rFonts w:ascii="CAIXA Std Book" w:hAnsi="CAIXA Std Book" w:cs="Calibri"/>
                <w:color w:val="005CA9"/>
                <w:sz w:val="18"/>
                <w:szCs w:val="18"/>
              </w:rPr>
              <w:t>1.084.541</w:t>
            </w:r>
          </w:p>
        </w:tc>
        <w:tc>
          <w:tcPr>
            <w:tcW w:w="643" w:type="pct"/>
            <w:tcBorders>
              <w:top w:val="nil"/>
              <w:left w:val="nil"/>
              <w:bottom w:val="nil"/>
              <w:right w:val="nil"/>
            </w:tcBorders>
            <w:tcMar>
              <w:top w:w="15" w:type="dxa"/>
              <w:left w:w="15" w:type="dxa"/>
              <w:bottom w:w="0" w:type="dxa"/>
              <w:right w:w="15" w:type="dxa"/>
            </w:tcMar>
            <w:vAlign w:val="center"/>
            <w:hideMark/>
          </w:tcPr>
          <w:p w14:paraId="353F770D" w14:textId="4C529D01" w:rsidR="00194303" w:rsidRDefault="00DF4153" w:rsidP="005D4016">
            <w:pPr>
              <w:jc w:val="right"/>
              <w:rPr>
                <w:rFonts w:ascii="CAIXA Std Book" w:hAnsi="CAIXA Std Book"/>
                <w:color w:val="005CA9"/>
                <w:sz w:val="18"/>
                <w:szCs w:val="18"/>
              </w:rPr>
            </w:pPr>
            <w:r>
              <w:rPr>
                <w:rFonts w:ascii="CAIXA Std Book" w:hAnsi="CAIXA Std Book" w:cs="Calibri"/>
                <w:color w:val="005CA9"/>
                <w:sz w:val="18"/>
                <w:szCs w:val="18"/>
              </w:rPr>
              <w:t>1.749.642</w:t>
            </w:r>
          </w:p>
        </w:tc>
        <w:tc>
          <w:tcPr>
            <w:tcW w:w="643" w:type="pct"/>
            <w:tcBorders>
              <w:top w:val="nil"/>
              <w:left w:val="nil"/>
              <w:bottom w:val="nil"/>
              <w:right w:val="nil"/>
            </w:tcBorders>
            <w:noWrap/>
            <w:tcMar>
              <w:top w:w="15" w:type="dxa"/>
              <w:left w:w="15" w:type="dxa"/>
              <w:bottom w:w="0" w:type="dxa"/>
              <w:right w:w="15" w:type="dxa"/>
            </w:tcMar>
            <w:vAlign w:val="center"/>
            <w:hideMark/>
          </w:tcPr>
          <w:p w14:paraId="5EC70550" w14:textId="10093098" w:rsidR="00194303" w:rsidRDefault="0007529F">
            <w:pPr>
              <w:jc w:val="right"/>
              <w:rPr>
                <w:rFonts w:ascii="CAIXA Std Book" w:hAnsi="CAIXA Std Book"/>
                <w:color w:val="005CA9"/>
                <w:sz w:val="18"/>
                <w:szCs w:val="18"/>
              </w:rPr>
            </w:pPr>
            <w:r>
              <w:rPr>
                <w:rFonts w:ascii="CAIXA Std Book" w:hAnsi="CAIXA Std Book" w:cs="Calibri"/>
                <w:color w:val="005CA9"/>
                <w:sz w:val="18"/>
                <w:szCs w:val="18"/>
              </w:rPr>
              <w:t>1.286.762</w:t>
            </w:r>
          </w:p>
        </w:tc>
        <w:tc>
          <w:tcPr>
            <w:tcW w:w="643" w:type="pct"/>
            <w:tcBorders>
              <w:top w:val="nil"/>
              <w:left w:val="nil"/>
              <w:bottom w:val="nil"/>
              <w:right w:val="nil"/>
            </w:tcBorders>
            <w:noWrap/>
            <w:tcMar>
              <w:top w:w="15" w:type="dxa"/>
              <w:left w:w="15" w:type="dxa"/>
              <w:bottom w:w="0" w:type="dxa"/>
              <w:right w:w="15" w:type="dxa"/>
            </w:tcMar>
            <w:vAlign w:val="center"/>
            <w:hideMark/>
          </w:tcPr>
          <w:p w14:paraId="1423B4DE" w14:textId="42927FAE" w:rsidR="00194303" w:rsidRDefault="00DF4153" w:rsidP="005D4016">
            <w:pPr>
              <w:jc w:val="right"/>
              <w:rPr>
                <w:rFonts w:ascii="CAIXA Std Book" w:hAnsi="CAIXA Std Book"/>
                <w:color w:val="005CA9"/>
                <w:sz w:val="18"/>
                <w:szCs w:val="18"/>
              </w:rPr>
            </w:pPr>
            <w:r>
              <w:rPr>
                <w:rFonts w:ascii="CAIXA Std Book" w:hAnsi="CAIXA Std Book" w:cs="Calibri"/>
                <w:color w:val="005CA9"/>
                <w:sz w:val="18"/>
                <w:szCs w:val="18"/>
              </w:rPr>
              <w:t>1.959.642</w:t>
            </w:r>
          </w:p>
        </w:tc>
      </w:tr>
      <w:tr w:rsidR="00194303" w:rsidRPr="004E3234" w14:paraId="2DC7F7ED" w14:textId="77777777" w:rsidTr="00E43AC3">
        <w:trPr>
          <w:trHeight w:val="283"/>
        </w:trPr>
        <w:tc>
          <w:tcPr>
            <w:tcW w:w="2427" w:type="pct"/>
            <w:tcBorders>
              <w:top w:val="nil"/>
              <w:left w:val="nil"/>
              <w:bottom w:val="nil"/>
              <w:right w:val="nil"/>
            </w:tcBorders>
            <w:tcMar>
              <w:top w:w="15" w:type="dxa"/>
              <w:left w:w="15" w:type="dxa"/>
              <w:bottom w:w="0" w:type="dxa"/>
              <w:right w:w="15" w:type="dxa"/>
            </w:tcMar>
            <w:vAlign w:val="center"/>
            <w:hideMark/>
          </w:tcPr>
          <w:p w14:paraId="46B77B54" w14:textId="52D17359" w:rsidR="00194303" w:rsidRDefault="00DF4153" w:rsidP="005D4016">
            <w:pPr>
              <w:rPr>
                <w:rFonts w:ascii="CAIXA Std Book" w:hAnsi="CAIXA Std Book"/>
                <w:color w:val="005CA9"/>
                <w:sz w:val="18"/>
                <w:szCs w:val="18"/>
              </w:rPr>
            </w:pPr>
            <w:r>
              <w:rPr>
                <w:rFonts w:ascii="CAIXA Std Book" w:hAnsi="CAIXA Std Book" w:cs="Calibri"/>
                <w:color w:val="005CA9"/>
                <w:sz w:val="18"/>
                <w:szCs w:val="18"/>
              </w:rPr>
              <w:t>Obrigações por Convênios Oficiais - INSS</w:t>
            </w:r>
          </w:p>
        </w:tc>
        <w:tc>
          <w:tcPr>
            <w:tcW w:w="643" w:type="pct"/>
            <w:tcBorders>
              <w:top w:val="nil"/>
              <w:left w:val="nil"/>
              <w:bottom w:val="nil"/>
              <w:right w:val="nil"/>
            </w:tcBorders>
            <w:noWrap/>
            <w:tcMar>
              <w:top w:w="15" w:type="dxa"/>
              <w:left w:w="15" w:type="dxa"/>
              <w:bottom w:w="0" w:type="dxa"/>
              <w:right w:w="15" w:type="dxa"/>
            </w:tcMar>
            <w:vAlign w:val="center"/>
            <w:hideMark/>
          </w:tcPr>
          <w:p w14:paraId="08032E32" w14:textId="6F3A7C99" w:rsidR="00194303" w:rsidRDefault="00DF4153" w:rsidP="00DF4153">
            <w:pPr>
              <w:jc w:val="right"/>
              <w:rPr>
                <w:rFonts w:ascii="CAIXA Std Book" w:hAnsi="CAIXA Std Book"/>
                <w:color w:val="005CA9"/>
                <w:sz w:val="18"/>
                <w:szCs w:val="18"/>
              </w:rPr>
            </w:pPr>
            <w:r>
              <w:rPr>
                <w:rFonts w:ascii="CAIXA Std Book" w:hAnsi="CAIXA Std Book" w:cs="Calibri"/>
                <w:color w:val="005CA9"/>
                <w:sz w:val="18"/>
                <w:szCs w:val="18"/>
              </w:rPr>
              <w:t>548.604</w:t>
            </w:r>
          </w:p>
        </w:tc>
        <w:tc>
          <w:tcPr>
            <w:tcW w:w="643" w:type="pct"/>
            <w:tcBorders>
              <w:top w:val="nil"/>
              <w:left w:val="nil"/>
              <w:bottom w:val="nil"/>
              <w:right w:val="nil"/>
            </w:tcBorders>
            <w:tcMar>
              <w:top w:w="15" w:type="dxa"/>
              <w:left w:w="15" w:type="dxa"/>
              <w:bottom w:w="0" w:type="dxa"/>
              <w:right w:w="15" w:type="dxa"/>
            </w:tcMar>
            <w:vAlign w:val="center"/>
            <w:hideMark/>
          </w:tcPr>
          <w:p w14:paraId="7D0FDE1F" w14:textId="4E65593D" w:rsidR="00194303" w:rsidRDefault="00DF4153" w:rsidP="005D4016">
            <w:pPr>
              <w:jc w:val="right"/>
              <w:rPr>
                <w:rFonts w:ascii="CAIXA Std Book" w:hAnsi="CAIXA Std Book"/>
                <w:color w:val="005CA9"/>
                <w:sz w:val="18"/>
                <w:szCs w:val="18"/>
              </w:rPr>
            </w:pPr>
            <w:r>
              <w:rPr>
                <w:rFonts w:ascii="CAIXA Std Book" w:hAnsi="CAIXA Std Book" w:cs="Calibri"/>
                <w:color w:val="005CA9"/>
                <w:sz w:val="18"/>
                <w:szCs w:val="18"/>
              </w:rPr>
              <w:t>548.388</w:t>
            </w:r>
          </w:p>
        </w:tc>
        <w:tc>
          <w:tcPr>
            <w:tcW w:w="643" w:type="pct"/>
            <w:tcBorders>
              <w:top w:val="nil"/>
              <w:left w:val="nil"/>
              <w:bottom w:val="nil"/>
              <w:right w:val="nil"/>
            </w:tcBorders>
            <w:noWrap/>
            <w:tcMar>
              <w:top w:w="15" w:type="dxa"/>
              <w:left w:w="15" w:type="dxa"/>
              <w:bottom w:w="0" w:type="dxa"/>
              <w:right w:w="15" w:type="dxa"/>
            </w:tcMar>
            <w:vAlign w:val="center"/>
            <w:hideMark/>
          </w:tcPr>
          <w:p w14:paraId="64C940AC" w14:textId="61FFDFE4" w:rsidR="00194303" w:rsidRDefault="0007529F">
            <w:pPr>
              <w:jc w:val="right"/>
              <w:rPr>
                <w:rFonts w:ascii="CAIXA Std Book" w:hAnsi="CAIXA Std Book"/>
                <w:color w:val="005CA9"/>
                <w:sz w:val="18"/>
                <w:szCs w:val="18"/>
              </w:rPr>
            </w:pPr>
            <w:r>
              <w:rPr>
                <w:rFonts w:ascii="CAIXA Std Book" w:hAnsi="CAIXA Std Book" w:cs="Calibri"/>
                <w:color w:val="005CA9"/>
                <w:sz w:val="18"/>
                <w:szCs w:val="18"/>
              </w:rPr>
              <w:t>548.604</w:t>
            </w:r>
          </w:p>
        </w:tc>
        <w:tc>
          <w:tcPr>
            <w:tcW w:w="643" w:type="pct"/>
            <w:tcBorders>
              <w:top w:val="nil"/>
              <w:left w:val="nil"/>
              <w:bottom w:val="nil"/>
              <w:right w:val="nil"/>
            </w:tcBorders>
            <w:noWrap/>
            <w:tcMar>
              <w:top w:w="15" w:type="dxa"/>
              <w:left w:w="15" w:type="dxa"/>
              <w:bottom w:w="0" w:type="dxa"/>
              <w:right w:w="15" w:type="dxa"/>
            </w:tcMar>
            <w:vAlign w:val="center"/>
            <w:hideMark/>
          </w:tcPr>
          <w:p w14:paraId="17C2F89A" w14:textId="1C679624" w:rsidR="00194303" w:rsidRDefault="00DF4153" w:rsidP="005D4016">
            <w:pPr>
              <w:jc w:val="right"/>
              <w:rPr>
                <w:rFonts w:ascii="CAIXA Std Book" w:hAnsi="CAIXA Std Book"/>
                <w:color w:val="005CA9"/>
                <w:sz w:val="18"/>
                <w:szCs w:val="18"/>
              </w:rPr>
            </w:pPr>
            <w:r>
              <w:rPr>
                <w:rFonts w:ascii="CAIXA Std Book" w:hAnsi="CAIXA Std Book" w:cs="Calibri"/>
                <w:color w:val="005CA9"/>
                <w:sz w:val="18"/>
                <w:szCs w:val="18"/>
              </w:rPr>
              <w:t>548.388</w:t>
            </w:r>
          </w:p>
        </w:tc>
      </w:tr>
      <w:tr w:rsidR="00194303" w:rsidRPr="004E3234" w14:paraId="6634D883" w14:textId="77777777" w:rsidTr="00E43AC3">
        <w:trPr>
          <w:trHeight w:val="283"/>
        </w:trPr>
        <w:tc>
          <w:tcPr>
            <w:tcW w:w="2427" w:type="pct"/>
            <w:tcBorders>
              <w:top w:val="nil"/>
              <w:left w:val="nil"/>
              <w:bottom w:val="nil"/>
              <w:right w:val="nil"/>
            </w:tcBorders>
            <w:tcMar>
              <w:top w:w="15" w:type="dxa"/>
              <w:left w:w="15" w:type="dxa"/>
              <w:bottom w:w="0" w:type="dxa"/>
              <w:right w:w="15" w:type="dxa"/>
            </w:tcMar>
            <w:vAlign w:val="center"/>
            <w:hideMark/>
          </w:tcPr>
          <w:p w14:paraId="6B7EF99D" w14:textId="6D80B7ED" w:rsidR="00194303" w:rsidRDefault="00DF4153" w:rsidP="005D4016">
            <w:pPr>
              <w:rPr>
                <w:rFonts w:ascii="CAIXA Std Book" w:hAnsi="CAIXA Std Book"/>
                <w:color w:val="005CA9"/>
                <w:sz w:val="18"/>
                <w:szCs w:val="18"/>
              </w:rPr>
            </w:pPr>
            <w:r>
              <w:rPr>
                <w:rFonts w:ascii="CAIXA Std Book" w:hAnsi="CAIXA Std Book" w:cs="Calibri"/>
                <w:color w:val="005CA9"/>
                <w:sz w:val="18"/>
                <w:szCs w:val="18"/>
              </w:rPr>
              <w:t>Obrigações por prestação de serviços de pagamentos</w:t>
            </w:r>
          </w:p>
        </w:tc>
        <w:tc>
          <w:tcPr>
            <w:tcW w:w="643" w:type="pct"/>
            <w:tcBorders>
              <w:top w:val="nil"/>
              <w:left w:val="nil"/>
              <w:bottom w:val="nil"/>
              <w:right w:val="nil"/>
            </w:tcBorders>
            <w:noWrap/>
            <w:tcMar>
              <w:top w:w="15" w:type="dxa"/>
              <w:left w:w="15" w:type="dxa"/>
              <w:bottom w:w="0" w:type="dxa"/>
              <w:right w:w="15" w:type="dxa"/>
            </w:tcMar>
            <w:vAlign w:val="center"/>
            <w:hideMark/>
          </w:tcPr>
          <w:p w14:paraId="013AF6EC" w14:textId="532F020C" w:rsidR="00194303" w:rsidRDefault="00DF4153" w:rsidP="00DF4153">
            <w:pPr>
              <w:jc w:val="right"/>
              <w:rPr>
                <w:rFonts w:ascii="CAIXA Std Book" w:hAnsi="CAIXA Std Book"/>
                <w:color w:val="005CA9"/>
                <w:sz w:val="18"/>
                <w:szCs w:val="18"/>
              </w:rPr>
            </w:pPr>
            <w:r>
              <w:rPr>
                <w:rFonts w:ascii="CAIXA Std Book" w:hAnsi="CAIXA Std Book" w:cs="Calibri"/>
                <w:color w:val="005CA9"/>
                <w:sz w:val="18"/>
                <w:szCs w:val="18"/>
              </w:rPr>
              <w:t>482.883</w:t>
            </w:r>
          </w:p>
        </w:tc>
        <w:tc>
          <w:tcPr>
            <w:tcW w:w="643" w:type="pct"/>
            <w:tcBorders>
              <w:top w:val="nil"/>
              <w:left w:val="nil"/>
              <w:bottom w:val="nil"/>
              <w:right w:val="nil"/>
            </w:tcBorders>
            <w:tcMar>
              <w:top w:w="15" w:type="dxa"/>
              <w:left w:w="15" w:type="dxa"/>
              <w:bottom w:w="0" w:type="dxa"/>
              <w:right w:w="15" w:type="dxa"/>
            </w:tcMar>
            <w:vAlign w:val="center"/>
            <w:hideMark/>
          </w:tcPr>
          <w:p w14:paraId="4E1F6B03" w14:textId="208F7DA1" w:rsidR="00194303" w:rsidRDefault="00DF4153" w:rsidP="005D4016">
            <w:pPr>
              <w:jc w:val="right"/>
              <w:rPr>
                <w:rFonts w:ascii="CAIXA Std Book" w:hAnsi="CAIXA Std Book"/>
                <w:color w:val="005CA9"/>
                <w:sz w:val="18"/>
                <w:szCs w:val="18"/>
              </w:rPr>
            </w:pPr>
            <w:r>
              <w:rPr>
                <w:rFonts w:ascii="CAIXA Std Book" w:hAnsi="CAIXA Std Book" w:cs="Calibri"/>
                <w:color w:val="005CA9"/>
                <w:sz w:val="18"/>
                <w:szCs w:val="18"/>
              </w:rPr>
              <w:t>497.968</w:t>
            </w:r>
          </w:p>
        </w:tc>
        <w:tc>
          <w:tcPr>
            <w:tcW w:w="643" w:type="pct"/>
            <w:tcBorders>
              <w:top w:val="nil"/>
              <w:left w:val="nil"/>
              <w:bottom w:val="nil"/>
              <w:right w:val="nil"/>
            </w:tcBorders>
            <w:noWrap/>
            <w:tcMar>
              <w:top w:w="15" w:type="dxa"/>
              <w:left w:w="15" w:type="dxa"/>
              <w:bottom w:w="0" w:type="dxa"/>
              <w:right w:w="15" w:type="dxa"/>
            </w:tcMar>
            <w:vAlign w:val="center"/>
            <w:hideMark/>
          </w:tcPr>
          <w:p w14:paraId="26594389" w14:textId="532E385D" w:rsidR="00194303" w:rsidRDefault="0007529F">
            <w:pPr>
              <w:jc w:val="right"/>
              <w:rPr>
                <w:rFonts w:ascii="CAIXA Std Book" w:hAnsi="CAIXA Std Book"/>
                <w:color w:val="005CA9"/>
                <w:sz w:val="18"/>
                <w:szCs w:val="18"/>
              </w:rPr>
            </w:pPr>
            <w:r>
              <w:rPr>
                <w:rFonts w:ascii="CAIXA Std Book" w:hAnsi="CAIXA Std Book" w:cs="Calibri"/>
                <w:color w:val="005CA9"/>
                <w:sz w:val="18"/>
                <w:szCs w:val="18"/>
              </w:rPr>
              <w:t>482.883</w:t>
            </w:r>
          </w:p>
        </w:tc>
        <w:tc>
          <w:tcPr>
            <w:tcW w:w="643" w:type="pct"/>
            <w:tcBorders>
              <w:top w:val="nil"/>
              <w:left w:val="nil"/>
              <w:bottom w:val="nil"/>
              <w:right w:val="nil"/>
            </w:tcBorders>
            <w:noWrap/>
            <w:tcMar>
              <w:top w:w="15" w:type="dxa"/>
              <w:left w:w="15" w:type="dxa"/>
              <w:bottom w:w="0" w:type="dxa"/>
              <w:right w:w="15" w:type="dxa"/>
            </w:tcMar>
            <w:vAlign w:val="center"/>
            <w:hideMark/>
          </w:tcPr>
          <w:p w14:paraId="49809DDC" w14:textId="13653572" w:rsidR="00194303" w:rsidRDefault="00DF4153" w:rsidP="005D4016">
            <w:pPr>
              <w:jc w:val="right"/>
              <w:rPr>
                <w:rFonts w:ascii="CAIXA Std Book" w:hAnsi="CAIXA Std Book"/>
                <w:color w:val="005CA9"/>
                <w:sz w:val="18"/>
                <w:szCs w:val="18"/>
              </w:rPr>
            </w:pPr>
            <w:r>
              <w:rPr>
                <w:rFonts w:ascii="CAIXA Std Book" w:hAnsi="CAIXA Std Book" w:cs="Calibri"/>
                <w:color w:val="005CA9"/>
                <w:sz w:val="18"/>
                <w:szCs w:val="18"/>
              </w:rPr>
              <w:t>497.968</w:t>
            </w:r>
          </w:p>
        </w:tc>
      </w:tr>
      <w:tr w:rsidR="00194303" w:rsidRPr="004E3234" w14:paraId="379B50A8" w14:textId="77777777" w:rsidTr="00E43AC3">
        <w:trPr>
          <w:trHeight w:val="283"/>
        </w:trPr>
        <w:tc>
          <w:tcPr>
            <w:tcW w:w="2427" w:type="pct"/>
            <w:tcBorders>
              <w:top w:val="nil"/>
              <w:left w:val="nil"/>
              <w:bottom w:val="nil"/>
              <w:right w:val="nil"/>
            </w:tcBorders>
            <w:tcMar>
              <w:top w:w="15" w:type="dxa"/>
              <w:left w:w="15" w:type="dxa"/>
              <w:bottom w:w="0" w:type="dxa"/>
              <w:right w:w="15" w:type="dxa"/>
            </w:tcMar>
            <w:vAlign w:val="center"/>
            <w:hideMark/>
          </w:tcPr>
          <w:p w14:paraId="14630065" w14:textId="77777777" w:rsidR="00194303" w:rsidRDefault="00194303" w:rsidP="005D4016">
            <w:pPr>
              <w:rPr>
                <w:rFonts w:ascii="CAIXA Std Book" w:hAnsi="CAIXA Std Book"/>
                <w:color w:val="005CA9"/>
                <w:sz w:val="18"/>
                <w:szCs w:val="18"/>
              </w:rPr>
            </w:pPr>
            <w:r>
              <w:rPr>
                <w:rFonts w:ascii="CAIXA Std Book" w:hAnsi="CAIXA Std Book"/>
                <w:color w:val="005CA9"/>
                <w:sz w:val="18"/>
                <w:szCs w:val="18"/>
              </w:rPr>
              <w:t>Valores a pagar a sociedades ligadas</w:t>
            </w:r>
          </w:p>
        </w:tc>
        <w:tc>
          <w:tcPr>
            <w:tcW w:w="643" w:type="pct"/>
            <w:tcBorders>
              <w:top w:val="nil"/>
              <w:left w:val="nil"/>
              <w:bottom w:val="nil"/>
              <w:right w:val="nil"/>
            </w:tcBorders>
            <w:noWrap/>
            <w:tcMar>
              <w:top w:w="15" w:type="dxa"/>
              <w:left w:w="15" w:type="dxa"/>
              <w:bottom w:w="0" w:type="dxa"/>
              <w:right w:w="15" w:type="dxa"/>
            </w:tcMar>
            <w:vAlign w:val="center"/>
            <w:hideMark/>
          </w:tcPr>
          <w:p w14:paraId="3512DE43" w14:textId="61A97A92" w:rsidR="00194303" w:rsidRDefault="00DF4153" w:rsidP="00DF4153">
            <w:pPr>
              <w:jc w:val="right"/>
              <w:rPr>
                <w:rFonts w:ascii="CAIXA Std Book" w:hAnsi="CAIXA Std Book"/>
                <w:color w:val="005CA9"/>
                <w:sz w:val="18"/>
                <w:szCs w:val="18"/>
              </w:rPr>
            </w:pPr>
            <w:r>
              <w:rPr>
                <w:rFonts w:ascii="CAIXA Std Book" w:hAnsi="CAIXA Std Book" w:cs="Calibri"/>
                <w:color w:val="005CA9"/>
                <w:sz w:val="18"/>
                <w:szCs w:val="18"/>
              </w:rPr>
              <w:t>192.405</w:t>
            </w:r>
          </w:p>
        </w:tc>
        <w:tc>
          <w:tcPr>
            <w:tcW w:w="643" w:type="pct"/>
            <w:tcBorders>
              <w:top w:val="nil"/>
              <w:left w:val="nil"/>
              <w:bottom w:val="nil"/>
              <w:right w:val="nil"/>
            </w:tcBorders>
            <w:tcMar>
              <w:top w:w="15" w:type="dxa"/>
              <w:left w:w="15" w:type="dxa"/>
              <w:bottom w:w="0" w:type="dxa"/>
              <w:right w:w="15" w:type="dxa"/>
            </w:tcMar>
            <w:vAlign w:val="center"/>
            <w:hideMark/>
          </w:tcPr>
          <w:p w14:paraId="2FE57354" w14:textId="77777777" w:rsidR="00194303" w:rsidRDefault="00194303" w:rsidP="005D4016">
            <w:pPr>
              <w:jc w:val="right"/>
              <w:rPr>
                <w:rFonts w:ascii="CAIXA Std Book" w:hAnsi="CAIXA Std Book"/>
                <w:color w:val="005CA9"/>
                <w:sz w:val="18"/>
                <w:szCs w:val="18"/>
              </w:rPr>
            </w:pPr>
            <w:r>
              <w:rPr>
                <w:rFonts w:ascii="CAIXA Std Book" w:hAnsi="CAIXA Std Book"/>
                <w:color w:val="005CA9"/>
                <w:sz w:val="18"/>
                <w:szCs w:val="18"/>
              </w:rPr>
              <w:t>264.228</w:t>
            </w:r>
          </w:p>
        </w:tc>
        <w:tc>
          <w:tcPr>
            <w:tcW w:w="643" w:type="pct"/>
            <w:tcBorders>
              <w:top w:val="nil"/>
              <w:left w:val="nil"/>
              <w:bottom w:val="nil"/>
              <w:right w:val="nil"/>
            </w:tcBorders>
            <w:noWrap/>
            <w:tcMar>
              <w:top w:w="15" w:type="dxa"/>
              <w:left w:w="15" w:type="dxa"/>
              <w:bottom w:w="0" w:type="dxa"/>
              <w:right w:w="15" w:type="dxa"/>
            </w:tcMar>
            <w:vAlign w:val="center"/>
            <w:hideMark/>
          </w:tcPr>
          <w:p w14:paraId="10861FD5" w14:textId="24D845D5" w:rsidR="00194303" w:rsidRDefault="0007529F">
            <w:pPr>
              <w:jc w:val="right"/>
              <w:rPr>
                <w:rFonts w:ascii="CAIXA Std Book" w:hAnsi="CAIXA Std Book"/>
                <w:color w:val="005CA9"/>
                <w:sz w:val="18"/>
                <w:szCs w:val="18"/>
              </w:rPr>
            </w:pPr>
            <w:r>
              <w:rPr>
                <w:rFonts w:ascii="CAIXA Std Book" w:hAnsi="CAIXA Std Book" w:cs="Calibri"/>
                <w:color w:val="005CA9"/>
                <w:sz w:val="18"/>
                <w:szCs w:val="18"/>
              </w:rPr>
              <w:t>402.</w:t>
            </w:r>
            <w:r w:rsidR="002D2116">
              <w:rPr>
                <w:rFonts w:ascii="CAIXA Std Book" w:hAnsi="CAIXA Std Book" w:cs="Calibri"/>
                <w:color w:val="005CA9"/>
                <w:sz w:val="18"/>
                <w:szCs w:val="18"/>
              </w:rPr>
              <w:t>938</w:t>
            </w:r>
          </w:p>
        </w:tc>
        <w:tc>
          <w:tcPr>
            <w:tcW w:w="643" w:type="pct"/>
            <w:tcBorders>
              <w:top w:val="nil"/>
              <w:left w:val="nil"/>
              <w:bottom w:val="nil"/>
              <w:right w:val="nil"/>
            </w:tcBorders>
            <w:noWrap/>
            <w:tcMar>
              <w:top w:w="15" w:type="dxa"/>
              <w:left w:w="15" w:type="dxa"/>
              <w:bottom w:w="0" w:type="dxa"/>
              <w:right w:w="15" w:type="dxa"/>
            </w:tcMar>
            <w:vAlign w:val="center"/>
            <w:hideMark/>
          </w:tcPr>
          <w:p w14:paraId="047FD858" w14:textId="77777777" w:rsidR="00194303" w:rsidRDefault="00194303" w:rsidP="005D4016">
            <w:pPr>
              <w:jc w:val="right"/>
              <w:rPr>
                <w:rFonts w:ascii="CAIXA Std Book" w:hAnsi="CAIXA Std Book"/>
                <w:color w:val="005CA9"/>
                <w:sz w:val="18"/>
                <w:szCs w:val="18"/>
              </w:rPr>
            </w:pPr>
            <w:r>
              <w:rPr>
                <w:rFonts w:ascii="CAIXA Std Book" w:hAnsi="CAIXA Std Book"/>
                <w:color w:val="005CA9"/>
                <w:sz w:val="18"/>
                <w:szCs w:val="18"/>
              </w:rPr>
              <w:t>308.626</w:t>
            </w:r>
          </w:p>
        </w:tc>
      </w:tr>
      <w:tr w:rsidR="00194303" w:rsidRPr="004E3234" w14:paraId="72D98022" w14:textId="77777777" w:rsidTr="00E43AC3">
        <w:trPr>
          <w:trHeight w:val="283"/>
        </w:trPr>
        <w:tc>
          <w:tcPr>
            <w:tcW w:w="2427" w:type="pct"/>
            <w:tcBorders>
              <w:top w:val="nil"/>
              <w:left w:val="nil"/>
              <w:bottom w:val="nil"/>
              <w:right w:val="nil"/>
            </w:tcBorders>
            <w:tcMar>
              <w:top w:w="15" w:type="dxa"/>
              <w:left w:w="15" w:type="dxa"/>
              <w:bottom w:w="0" w:type="dxa"/>
              <w:right w:w="15" w:type="dxa"/>
            </w:tcMar>
            <w:vAlign w:val="center"/>
            <w:hideMark/>
          </w:tcPr>
          <w:p w14:paraId="5C7208B5" w14:textId="77777777" w:rsidR="00194303" w:rsidRDefault="00194303" w:rsidP="005D4016">
            <w:pPr>
              <w:rPr>
                <w:rFonts w:ascii="CAIXA Std Book" w:hAnsi="CAIXA Std Book"/>
                <w:color w:val="005CA9"/>
                <w:sz w:val="18"/>
                <w:szCs w:val="18"/>
              </w:rPr>
            </w:pPr>
            <w:r>
              <w:rPr>
                <w:rFonts w:ascii="CAIXA Std Book" w:hAnsi="CAIXA Std Book"/>
                <w:color w:val="005CA9"/>
                <w:sz w:val="18"/>
                <w:szCs w:val="18"/>
              </w:rPr>
              <w:t>Outras obrigações diversas</w:t>
            </w:r>
          </w:p>
        </w:tc>
        <w:tc>
          <w:tcPr>
            <w:tcW w:w="643" w:type="pct"/>
            <w:tcBorders>
              <w:top w:val="nil"/>
              <w:left w:val="nil"/>
              <w:bottom w:val="nil"/>
              <w:right w:val="nil"/>
            </w:tcBorders>
            <w:noWrap/>
            <w:tcMar>
              <w:top w:w="15" w:type="dxa"/>
              <w:left w:w="15" w:type="dxa"/>
              <w:bottom w:w="0" w:type="dxa"/>
              <w:right w:w="15" w:type="dxa"/>
            </w:tcMar>
            <w:vAlign w:val="center"/>
            <w:hideMark/>
          </w:tcPr>
          <w:p w14:paraId="1DC4F321" w14:textId="4CA78DF6" w:rsidR="00194303" w:rsidRDefault="00DF4153" w:rsidP="00DF4153">
            <w:pPr>
              <w:jc w:val="right"/>
              <w:rPr>
                <w:rFonts w:ascii="CAIXA Std Book" w:hAnsi="CAIXA Std Book"/>
                <w:color w:val="005CA9"/>
                <w:sz w:val="18"/>
                <w:szCs w:val="18"/>
              </w:rPr>
            </w:pPr>
            <w:r>
              <w:rPr>
                <w:rFonts w:ascii="CAIXA Std Book" w:hAnsi="CAIXA Std Book" w:cs="Calibri"/>
                <w:color w:val="005CA9"/>
                <w:sz w:val="18"/>
                <w:szCs w:val="18"/>
              </w:rPr>
              <w:t>219.152</w:t>
            </w:r>
          </w:p>
        </w:tc>
        <w:tc>
          <w:tcPr>
            <w:tcW w:w="643" w:type="pct"/>
            <w:tcBorders>
              <w:top w:val="nil"/>
              <w:left w:val="nil"/>
              <w:bottom w:val="nil"/>
              <w:right w:val="nil"/>
            </w:tcBorders>
            <w:tcMar>
              <w:top w:w="15" w:type="dxa"/>
              <w:left w:w="15" w:type="dxa"/>
              <w:bottom w:w="0" w:type="dxa"/>
              <w:right w:w="15" w:type="dxa"/>
            </w:tcMar>
            <w:vAlign w:val="center"/>
            <w:hideMark/>
          </w:tcPr>
          <w:p w14:paraId="27AFF7A1" w14:textId="77777777" w:rsidR="00194303" w:rsidRDefault="00194303" w:rsidP="005D4016">
            <w:pPr>
              <w:jc w:val="right"/>
              <w:rPr>
                <w:rFonts w:ascii="CAIXA Std Book" w:hAnsi="CAIXA Std Book"/>
                <w:color w:val="005CA9"/>
                <w:sz w:val="18"/>
                <w:szCs w:val="18"/>
              </w:rPr>
            </w:pPr>
            <w:r>
              <w:rPr>
                <w:rFonts w:ascii="CAIXA Std Book" w:hAnsi="CAIXA Std Book"/>
                <w:color w:val="005CA9"/>
                <w:sz w:val="18"/>
                <w:szCs w:val="18"/>
              </w:rPr>
              <w:t>217.355</w:t>
            </w:r>
          </w:p>
        </w:tc>
        <w:tc>
          <w:tcPr>
            <w:tcW w:w="643" w:type="pct"/>
            <w:tcBorders>
              <w:top w:val="nil"/>
              <w:left w:val="nil"/>
              <w:bottom w:val="nil"/>
              <w:right w:val="nil"/>
            </w:tcBorders>
            <w:noWrap/>
            <w:tcMar>
              <w:top w:w="15" w:type="dxa"/>
              <w:left w:w="15" w:type="dxa"/>
              <w:bottom w:w="0" w:type="dxa"/>
              <w:right w:w="15" w:type="dxa"/>
            </w:tcMar>
            <w:vAlign w:val="center"/>
            <w:hideMark/>
          </w:tcPr>
          <w:p w14:paraId="24BBAFA2" w14:textId="6001D139" w:rsidR="00194303" w:rsidRDefault="0007529F">
            <w:pPr>
              <w:jc w:val="right"/>
              <w:rPr>
                <w:rFonts w:ascii="CAIXA Std Book" w:hAnsi="CAIXA Std Book"/>
                <w:color w:val="005CA9"/>
                <w:sz w:val="18"/>
                <w:szCs w:val="18"/>
              </w:rPr>
            </w:pPr>
            <w:r>
              <w:rPr>
                <w:rFonts w:ascii="CAIXA Std Book" w:hAnsi="CAIXA Std Book" w:cs="Calibri"/>
                <w:color w:val="005CA9"/>
                <w:sz w:val="18"/>
                <w:szCs w:val="18"/>
              </w:rPr>
              <w:t>219.</w:t>
            </w:r>
            <w:r w:rsidR="002D2116">
              <w:rPr>
                <w:rFonts w:ascii="CAIXA Std Book" w:hAnsi="CAIXA Std Book" w:cs="Calibri"/>
                <w:color w:val="005CA9"/>
                <w:sz w:val="18"/>
                <w:szCs w:val="18"/>
              </w:rPr>
              <w:t>152</w:t>
            </w:r>
          </w:p>
        </w:tc>
        <w:tc>
          <w:tcPr>
            <w:tcW w:w="643" w:type="pct"/>
            <w:tcBorders>
              <w:top w:val="nil"/>
              <w:left w:val="nil"/>
              <w:bottom w:val="nil"/>
              <w:right w:val="nil"/>
            </w:tcBorders>
            <w:noWrap/>
            <w:tcMar>
              <w:top w:w="15" w:type="dxa"/>
              <w:left w:w="15" w:type="dxa"/>
              <w:bottom w:w="0" w:type="dxa"/>
              <w:right w:w="15" w:type="dxa"/>
            </w:tcMar>
            <w:vAlign w:val="center"/>
            <w:hideMark/>
          </w:tcPr>
          <w:p w14:paraId="4F4DB304" w14:textId="77777777" w:rsidR="00194303" w:rsidRDefault="00194303" w:rsidP="005D4016">
            <w:pPr>
              <w:jc w:val="right"/>
              <w:rPr>
                <w:rFonts w:ascii="CAIXA Std Book" w:hAnsi="CAIXA Std Book"/>
                <w:color w:val="005CA9"/>
                <w:sz w:val="18"/>
                <w:szCs w:val="18"/>
              </w:rPr>
            </w:pPr>
            <w:r>
              <w:rPr>
                <w:rFonts w:ascii="CAIXA Std Book" w:hAnsi="CAIXA Std Book"/>
                <w:color w:val="005CA9"/>
                <w:sz w:val="18"/>
                <w:szCs w:val="18"/>
              </w:rPr>
              <w:t>217.359</w:t>
            </w:r>
          </w:p>
        </w:tc>
      </w:tr>
      <w:tr w:rsidR="00194303" w:rsidRPr="004E3234" w14:paraId="63B6759E" w14:textId="77777777" w:rsidTr="00E43AC3">
        <w:trPr>
          <w:trHeight w:val="283"/>
        </w:trPr>
        <w:tc>
          <w:tcPr>
            <w:tcW w:w="2427" w:type="pct"/>
            <w:tcBorders>
              <w:top w:val="nil"/>
              <w:left w:val="nil"/>
              <w:bottom w:val="nil"/>
              <w:right w:val="nil"/>
            </w:tcBorders>
            <w:shd w:val="clear" w:color="000000" w:fill="005CA9"/>
            <w:noWrap/>
            <w:tcMar>
              <w:top w:w="15" w:type="dxa"/>
              <w:left w:w="15" w:type="dxa"/>
              <w:bottom w:w="0" w:type="dxa"/>
              <w:right w:w="15" w:type="dxa"/>
            </w:tcMar>
            <w:vAlign w:val="center"/>
            <w:hideMark/>
          </w:tcPr>
          <w:p w14:paraId="1D1596D5" w14:textId="77777777" w:rsidR="00194303" w:rsidRDefault="00194303" w:rsidP="005D4016">
            <w:pPr>
              <w:rPr>
                <w:rFonts w:ascii="CAIXA Std Book" w:hAnsi="CAIXA Std Book"/>
                <w:b/>
                <w:color w:val="FFFFFF"/>
                <w:sz w:val="18"/>
                <w:szCs w:val="18"/>
              </w:rPr>
            </w:pPr>
            <w:r>
              <w:rPr>
                <w:rFonts w:ascii="CAIXA Std Book" w:hAnsi="CAIXA Std Book"/>
                <w:b/>
                <w:color w:val="FFFFFF"/>
                <w:sz w:val="18"/>
                <w:szCs w:val="18"/>
              </w:rPr>
              <w:t>Total</w:t>
            </w:r>
          </w:p>
        </w:tc>
        <w:tc>
          <w:tcPr>
            <w:tcW w:w="643" w:type="pct"/>
            <w:tcBorders>
              <w:top w:val="nil"/>
              <w:left w:val="nil"/>
              <w:bottom w:val="nil"/>
              <w:right w:val="nil"/>
            </w:tcBorders>
            <w:shd w:val="clear" w:color="000000" w:fill="005CA9"/>
            <w:noWrap/>
            <w:tcMar>
              <w:top w:w="15" w:type="dxa"/>
              <w:left w:w="15" w:type="dxa"/>
              <w:bottom w:w="0" w:type="dxa"/>
              <w:right w:w="15" w:type="dxa"/>
            </w:tcMar>
            <w:vAlign w:val="center"/>
            <w:hideMark/>
          </w:tcPr>
          <w:p w14:paraId="6048343B" w14:textId="718913C4" w:rsidR="00194303" w:rsidRDefault="00DF4153" w:rsidP="00DF4153">
            <w:pPr>
              <w:jc w:val="right"/>
              <w:rPr>
                <w:rFonts w:ascii="CAIXA Std Book" w:hAnsi="CAIXA Std Book"/>
                <w:b/>
                <w:color w:val="FFFFFF"/>
                <w:sz w:val="18"/>
                <w:szCs w:val="18"/>
              </w:rPr>
            </w:pPr>
            <w:r>
              <w:rPr>
                <w:rFonts w:ascii="CAIXA Std Book" w:hAnsi="CAIXA Std Book" w:cs="Calibri"/>
                <w:b/>
                <w:bCs/>
                <w:color w:val="FFFFFF"/>
                <w:sz w:val="18"/>
                <w:szCs w:val="18"/>
              </w:rPr>
              <w:t>30.647.289</w:t>
            </w:r>
          </w:p>
        </w:tc>
        <w:tc>
          <w:tcPr>
            <w:tcW w:w="643" w:type="pct"/>
            <w:tcBorders>
              <w:top w:val="nil"/>
              <w:left w:val="nil"/>
              <w:bottom w:val="nil"/>
              <w:right w:val="nil"/>
            </w:tcBorders>
            <w:shd w:val="clear" w:color="000000" w:fill="005CA9"/>
            <w:noWrap/>
            <w:tcMar>
              <w:top w:w="15" w:type="dxa"/>
              <w:left w:w="15" w:type="dxa"/>
              <w:bottom w:w="0" w:type="dxa"/>
              <w:right w:w="15" w:type="dxa"/>
            </w:tcMar>
            <w:vAlign w:val="center"/>
            <w:hideMark/>
          </w:tcPr>
          <w:p w14:paraId="4D08A6E1" w14:textId="77777777" w:rsidR="00194303" w:rsidRDefault="00194303" w:rsidP="005D4016">
            <w:pPr>
              <w:jc w:val="right"/>
              <w:rPr>
                <w:rFonts w:ascii="CAIXA Std Book" w:hAnsi="CAIXA Std Book"/>
                <w:b/>
                <w:color w:val="FFFFFF"/>
                <w:sz w:val="18"/>
                <w:szCs w:val="18"/>
              </w:rPr>
            </w:pPr>
            <w:r>
              <w:rPr>
                <w:rFonts w:ascii="CAIXA Std Book" w:hAnsi="CAIXA Std Book"/>
                <w:b/>
                <w:color w:val="FFFFFF"/>
                <w:sz w:val="18"/>
                <w:szCs w:val="18"/>
              </w:rPr>
              <w:t>29.310.058</w:t>
            </w:r>
          </w:p>
        </w:tc>
        <w:tc>
          <w:tcPr>
            <w:tcW w:w="643" w:type="pct"/>
            <w:tcBorders>
              <w:top w:val="nil"/>
              <w:left w:val="nil"/>
              <w:bottom w:val="nil"/>
              <w:right w:val="nil"/>
            </w:tcBorders>
            <w:shd w:val="clear" w:color="000000" w:fill="005CA9"/>
            <w:noWrap/>
            <w:tcMar>
              <w:top w:w="15" w:type="dxa"/>
              <w:left w:w="15" w:type="dxa"/>
              <w:bottom w:w="0" w:type="dxa"/>
              <w:right w:w="15" w:type="dxa"/>
            </w:tcMar>
            <w:vAlign w:val="center"/>
            <w:hideMark/>
          </w:tcPr>
          <w:p w14:paraId="5FF6F1B5" w14:textId="4C3668BA" w:rsidR="00194303" w:rsidRDefault="0007529F" w:rsidP="00DF4153">
            <w:pPr>
              <w:jc w:val="right"/>
              <w:rPr>
                <w:rFonts w:ascii="CAIXA Std Book" w:hAnsi="CAIXA Std Book"/>
                <w:b/>
                <w:color w:val="FFFFFF"/>
                <w:sz w:val="18"/>
                <w:szCs w:val="18"/>
              </w:rPr>
            </w:pPr>
            <w:r>
              <w:rPr>
                <w:rFonts w:ascii="CAIXA Std Book" w:hAnsi="CAIXA Std Book" w:cs="Calibri"/>
                <w:b/>
                <w:bCs/>
                <w:color w:val="FFFFFF"/>
                <w:sz w:val="18"/>
                <w:szCs w:val="18"/>
              </w:rPr>
              <w:t>48.463.608</w:t>
            </w:r>
          </w:p>
        </w:tc>
        <w:tc>
          <w:tcPr>
            <w:tcW w:w="643" w:type="pct"/>
            <w:tcBorders>
              <w:top w:val="nil"/>
              <w:left w:val="nil"/>
              <w:bottom w:val="nil"/>
              <w:right w:val="nil"/>
            </w:tcBorders>
            <w:shd w:val="clear" w:color="000000" w:fill="005CA9"/>
            <w:noWrap/>
            <w:tcMar>
              <w:top w:w="15" w:type="dxa"/>
              <w:left w:w="15" w:type="dxa"/>
              <w:bottom w:w="0" w:type="dxa"/>
              <w:right w:w="15" w:type="dxa"/>
            </w:tcMar>
            <w:vAlign w:val="center"/>
            <w:hideMark/>
          </w:tcPr>
          <w:p w14:paraId="1FA3A325" w14:textId="77777777" w:rsidR="00194303" w:rsidRDefault="00194303" w:rsidP="005D4016">
            <w:pPr>
              <w:jc w:val="right"/>
              <w:rPr>
                <w:rFonts w:ascii="CAIXA Std Book" w:hAnsi="CAIXA Std Book"/>
                <w:b/>
                <w:color w:val="FFFFFF"/>
                <w:sz w:val="18"/>
                <w:szCs w:val="18"/>
              </w:rPr>
            </w:pPr>
            <w:r>
              <w:rPr>
                <w:rFonts w:ascii="CAIXA Std Book" w:hAnsi="CAIXA Std Book"/>
                <w:b/>
                <w:color w:val="FFFFFF"/>
                <w:sz w:val="18"/>
                <w:szCs w:val="18"/>
              </w:rPr>
              <w:t>47.953.950</w:t>
            </w:r>
          </w:p>
        </w:tc>
      </w:tr>
    </w:tbl>
    <w:p w14:paraId="56AA36AD" w14:textId="5866FD41" w:rsidR="00C5463E" w:rsidRDefault="00DD289E" w:rsidP="001500E3">
      <w:pPr>
        <w:jc w:val="both"/>
        <w:rPr>
          <w:rFonts w:ascii="CAIXA Std Book" w:hAnsi="CAIXA Std Book"/>
          <w:color w:val="005CA9"/>
          <w:sz w:val="16"/>
          <w:szCs w:val="16"/>
        </w:rPr>
      </w:pPr>
      <w:r w:rsidRPr="00DD289E">
        <w:rPr>
          <w:rFonts w:ascii="CAIXA Std Book" w:hAnsi="CAIXA Std Book"/>
          <w:color w:val="005CA9"/>
          <w:sz w:val="16"/>
          <w:szCs w:val="16"/>
        </w:rPr>
        <w:t>(1</w:t>
      </w:r>
      <w:r w:rsidR="00C5463E" w:rsidRPr="00DD289E">
        <w:rPr>
          <w:rFonts w:ascii="CAIXA Std Book" w:hAnsi="CAIXA Std Book"/>
          <w:color w:val="005CA9"/>
          <w:sz w:val="16"/>
          <w:szCs w:val="16"/>
        </w:rPr>
        <w:t>)</w:t>
      </w:r>
      <w:r w:rsidR="008C04E2">
        <w:rPr>
          <w:rFonts w:ascii="CAIXA Std Book" w:hAnsi="CAIXA Std Book"/>
          <w:color w:val="005CA9"/>
          <w:sz w:val="16"/>
          <w:szCs w:val="16"/>
        </w:rPr>
        <w:t xml:space="preserve"> </w:t>
      </w:r>
      <w:r w:rsidRPr="00DD289E">
        <w:rPr>
          <w:rFonts w:ascii="CAIXA Std Book" w:hAnsi="CAIXA Std Book"/>
          <w:color w:val="005CA9"/>
          <w:sz w:val="16"/>
          <w:szCs w:val="16"/>
        </w:rPr>
        <w:t xml:space="preserve">Variação entre individual e consolidado </w:t>
      </w:r>
      <w:r w:rsidR="00954942">
        <w:rPr>
          <w:rFonts w:ascii="CAIXA Std Book" w:hAnsi="CAIXA Std Book"/>
          <w:color w:val="005CA9"/>
          <w:sz w:val="16"/>
          <w:szCs w:val="16"/>
        </w:rPr>
        <w:t xml:space="preserve">decorre </w:t>
      </w:r>
      <w:r w:rsidR="00616BD2">
        <w:rPr>
          <w:rFonts w:ascii="CAIXA Std Book" w:hAnsi="CAIXA Std Book"/>
          <w:color w:val="005CA9"/>
          <w:sz w:val="16"/>
          <w:szCs w:val="16"/>
        </w:rPr>
        <w:t xml:space="preserve">dos fluxos temporários de liquidação </w:t>
      </w:r>
      <w:r w:rsidR="00954942">
        <w:rPr>
          <w:rFonts w:ascii="CAIXA Std Book" w:hAnsi="CAIXA Std Book"/>
          <w:color w:val="005CA9"/>
          <w:sz w:val="16"/>
          <w:szCs w:val="16"/>
        </w:rPr>
        <w:t>da</w:t>
      </w:r>
      <w:r w:rsidR="00616BD2">
        <w:rPr>
          <w:rFonts w:ascii="CAIXA Std Book" w:hAnsi="CAIXA Std Book"/>
          <w:color w:val="005CA9"/>
          <w:sz w:val="16"/>
          <w:szCs w:val="16"/>
        </w:rPr>
        <w:t>s operações de cart</w:t>
      </w:r>
      <w:r w:rsidR="008C04E2">
        <w:rPr>
          <w:rFonts w:ascii="CAIXA Std Book" w:hAnsi="CAIXA Std Book"/>
          <w:color w:val="005CA9"/>
          <w:sz w:val="16"/>
          <w:szCs w:val="16"/>
        </w:rPr>
        <w:t xml:space="preserve">ões do </w:t>
      </w:r>
      <w:r w:rsidR="002451FE">
        <w:rPr>
          <w:rFonts w:ascii="CAIXA Std Book" w:hAnsi="CAIXA Std Book"/>
          <w:color w:val="005CA9"/>
          <w:sz w:val="16"/>
          <w:szCs w:val="16"/>
        </w:rPr>
        <w:t>c</w:t>
      </w:r>
      <w:r w:rsidR="008C04E2">
        <w:rPr>
          <w:rFonts w:ascii="CAIXA Std Book" w:hAnsi="CAIXA Std Book"/>
          <w:color w:val="005CA9"/>
          <w:sz w:val="16"/>
          <w:szCs w:val="16"/>
        </w:rPr>
        <w:t>onglomerado.</w:t>
      </w:r>
    </w:p>
    <w:p w14:paraId="398FED4F" w14:textId="2975CB75" w:rsidR="00907CD2" w:rsidRPr="00E95E29" w:rsidRDefault="00907CD2" w:rsidP="00B735D2">
      <w:pPr>
        <w:pStyle w:val="Ttulo1"/>
      </w:pPr>
      <w:bookmarkStart w:id="130" w:name="_Toc217914346"/>
      <w:bookmarkStart w:id="131" w:name="_Toc229588496"/>
      <w:r w:rsidRPr="00E95E29">
        <w:t xml:space="preserve">Nota   </w:t>
      </w:r>
      <w:r w:rsidR="005657AA">
        <w:t>2</w:t>
      </w:r>
      <w:r w:rsidR="00323B4E">
        <w:t>0</w:t>
      </w:r>
      <w:r w:rsidR="00E82528" w:rsidRPr="00E95E29">
        <w:t xml:space="preserve"> </w:t>
      </w:r>
      <w:r w:rsidRPr="00E95E29">
        <w:t xml:space="preserve">– </w:t>
      </w:r>
      <w:r w:rsidR="00087E61" w:rsidRPr="00E95E29">
        <w:t>Patrimônio líquido</w:t>
      </w:r>
      <w:bookmarkEnd w:id="130"/>
      <w:bookmarkEnd w:id="131"/>
    </w:p>
    <w:p w14:paraId="4681B106" w14:textId="3C28A41A" w:rsidR="001572B9" w:rsidRPr="001572B9" w:rsidRDefault="001572B9" w:rsidP="00295657">
      <w:pPr>
        <w:keepNext/>
        <w:numPr>
          <w:ilvl w:val="0"/>
          <w:numId w:val="32"/>
        </w:numPr>
        <w:spacing w:before="240" w:after="120"/>
        <w:ind w:left="567" w:hanging="567"/>
        <w:jc w:val="both"/>
        <w:rPr>
          <w:rFonts w:ascii="CAIXA Std Book" w:hAnsi="CAIXA Std Book"/>
          <w:b/>
          <w:color w:val="005CA9"/>
          <w:sz w:val="20"/>
          <w:szCs w:val="20"/>
        </w:rPr>
      </w:pPr>
      <w:r w:rsidRPr="001572B9">
        <w:rPr>
          <w:rFonts w:ascii="CAIXA Std Book" w:hAnsi="CAIXA Std Book"/>
          <w:b/>
          <w:color w:val="005CA9"/>
          <w:sz w:val="20"/>
          <w:szCs w:val="20"/>
        </w:rPr>
        <w:t xml:space="preserve">Reconciliação do Patrimônio </w:t>
      </w:r>
      <w:r w:rsidR="000C698A">
        <w:rPr>
          <w:rFonts w:ascii="CAIXA Std Book" w:hAnsi="CAIXA Std Book"/>
          <w:b/>
          <w:color w:val="005CA9"/>
          <w:sz w:val="20"/>
          <w:szCs w:val="20"/>
        </w:rPr>
        <w:t>l</w:t>
      </w:r>
      <w:r w:rsidRPr="001572B9">
        <w:rPr>
          <w:rFonts w:ascii="CAIXA Std Book" w:hAnsi="CAIXA Std Book"/>
          <w:b/>
          <w:color w:val="005CA9"/>
          <w:sz w:val="20"/>
          <w:szCs w:val="20"/>
        </w:rPr>
        <w:t>íquido – I</w:t>
      </w:r>
      <w:r w:rsidR="00940EED">
        <w:rPr>
          <w:rFonts w:ascii="CAIXA Std Book" w:hAnsi="CAIXA Std Book"/>
          <w:b/>
          <w:color w:val="005CA9"/>
          <w:sz w:val="20"/>
          <w:szCs w:val="20"/>
        </w:rPr>
        <w:t>ndividual</w:t>
      </w:r>
      <w:r w:rsidRPr="001572B9">
        <w:rPr>
          <w:rFonts w:ascii="CAIXA Std Book" w:hAnsi="CAIXA Std Book"/>
          <w:b/>
          <w:color w:val="005CA9"/>
          <w:sz w:val="20"/>
          <w:szCs w:val="20"/>
        </w:rPr>
        <w:t xml:space="preserve"> x C</w:t>
      </w:r>
      <w:r w:rsidR="00940EED">
        <w:rPr>
          <w:rFonts w:ascii="CAIXA Std Book" w:hAnsi="CAIXA Std Book"/>
          <w:b/>
          <w:color w:val="005CA9"/>
          <w:sz w:val="20"/>
          <w:szCs w:val="20"/>
        </w:rPr>
        <w:t>onsolidado</w:t>
      </w:r>
    </w:p>
    <w:tbl>
      <w:tblPr>
        <w:tblW w:w="5000" w:type="pct"/>
        <w:tblCellMar>
          <w:left w:w="70" w:type="dxa"/>
          <w:right w:w="70" w:type="dxa"/>
        </w:tblCellMar>
        <w:tblLook w:val="04A0" w:firstRow="1" w:lastRow="0" w:firstColumn="1" w:lastColumn="0" w:noHBand="0" w:noVBand="1"/>
      </w:tblPr>
      <w:tblGrid>
        <w:gridCol w:w="6546"/>
        <w:gridCol w:w="1546"/>
        <w:gridCol w:w="1546"/>
      </w:tblGrid>
      <w:tr w:rsidR="00642681" w:rsidRPr="00366C3F" w14:paraId="00E91CE3" w14:textId="77777777" w:rsidTr="00D50F8A">
        <w:trPr>
          <w:trHeight w:val="283"/>
        </w:trPr>
        <w:tc>
          <w:tcPr>
            <w:tcW w:w="3396" w:type="pct"/>
            <w:shd w:val="clear" w:color="auto" w:fill="005CA9"/>
            <w:noWrap/>
            <w:vAlign w:val="center"/>
            <w:hideMark/>
          </w:tcPr>
          <w:p w14:paraId="78711016" w14:textId="77777777" w:rsidR="001572B9" w:rsidRPr="00366C3F" w:rsidRDefault="001572B9">
            <w:pPr>
              <w:jc w:val="center"/>
              <w:rPr>
                <w:rFonts w:ascii="CAIXA Std Book" w:hAnsi="CAIXA Std Book" w:cs="Cambria Math"/>
                <w:b/>
                <w:color w:val="FFFFFF" w:themeColor="background1"/>
                <w:sz w:val="18"/>
                <w:szCs w:val="18"/>
              </w:rPr>
            </w:pPr>
            <w:r w:rsidRPr="00366C3F">
              <w:rPr>
                <w:rFonts w:ascii="CAIXA Std Book" w:hAnsi="CAIXA Std Book" w:cs="Cambria Math"/>
                <w:b/>
                <w:color w:val="FFFFFF" w:themeColor="background1"/>
                <w:sz w:val="18"/>
                <w:szCs w:val="18"/>
              </w:rPr>
              <w:t>Discriminação</w:t>
            </w:r>
          </w:p>
        </w:tc>
        <w:tc>
          <w:tcPr>
            <w:tcW w:w="802" w:type="pct"/>
            <w:shd w:val="clear" w:color="auto" w:fill="005CA9"/>
          </w:tcPr>
          <w:p w14:paraId="127C650D" w14:textId="60A75B04" w:rsidR="00D50F8A" w:rsidRDefault="00D50F8A">
            <w:pPr>
              <w:jc w:val="center"/>
              <w:rPr>
                <w:rFonts w:ascii="CAIXA Std Book" w:hAnsi="CAIXA Std Book" w:cs="Cambria Math"/>
                <w:b/>
                <w:color w:val="FFFFFF" w:themeColor="background1"/>
                <w:sz w:val="18"/>
                <w:szCs w:val="18"/>
              </w:rPr>
            </w:pPr>
            <w:r>
              <w:rPr>
                <w:rFonts w:ascii="CAIXA Std Book" w:hAnsi="CAIXA Std Book" w:cs="Cambria Math"/>
                <w:b/>
                <w:color w:val="FFFFFF" w:themeColor="background1"/>
                <w:sz w:val="18"/>
                <w:szCs w:val="18"/>
              </w:rPr>
              <w:t>31/03/2026</w:t>
            </w:r>
          </w:p>
        </w:tc>
        <w:tc>
          <w:tcPr>
            <w:tcW w:w="802" w:type="pct"/>
            <w:shd w:val="clear" w:color="auto" w:fill="005CA9"/>
            <w:noWrap/>
            <w:vAlign w:val="center"/>
          </w:tcPr>
          <w:p w14:paraId="24832530" w14:textId="59C0D760" w:rsidR="001572B9" w:rsidRPr="00366C3F" w:rsidRDefault="00584231">
            <w:pPr>
              <w:jc w:val="center"/>
              <w:rPr>
                <w:rFonts w:ascii="CAIXA Std Book" w:hAnsi="CAIXA Std Book" w:cs="Cambria Math"/>
                <w:b/>
                <w:color w:val="FFFFFF" w:themeColor="background1"/>
                <w:sz w:val="18"/>
                <w:szCs w:val="18"/>
              </w:rPr>
            </w:pPr>
            <w:r>
              <w:rPr>
                <w:rFonts w:ascii="CAIXA Std Book" w:hAnsi="CAIXA Std Book" w:cs="Cambria Math"/>
                <w:b/>
                <w:color w:val="FFFFFF" w:themeColor="background1"/>
                <w:sz w:val="18"/>
                <w:szCs w:val="18"/>
              </w:rPr>
              <w:t>3</w:t>
            </w:r>
            <w:r w:rsidR="00752A75">
              <w:rPr>
                <w:rFonts w:ascii="CAIXA Std Book" w:hAnsi="CAIXA Std Book" w:cs="Cambria Math"/>
                <w:b/>
                <w:color w:val="FFFFFF" w:themeColor="background1"/>
                <w:sz w:val="18"/>
                <w:szCs w:val="18"/>
              </w:rPr>
              <w:t>1</w:t>
            </w:r>
            <w:r>
              <w:rPr>
                <w:rFonts w:ascii="CAIXA Std Book" w:hAnsi="CAIXA Std Book" w:cs="Cambria Math"/>
                <w:b/>
                <w:color w:val="FFFFFF" w:themeColor="background1"/>
                <w:sz w:val="18"/>
                <w:szCs w:val="18"/>
              </w:rPr>
              <w:t>/</w:t>
            </w:r>
            <w:r w:rsidR="00752A75">
              <w:rPr>
                <w:rFonts w:ascii="CAIXA Std Book" w:hAnsi="CAIXA Std Book" w:cs="Cambria Math"/>
                <w:b/>
                <w:color w:val="FFFFFF" w:themeColor="background1"/>
                <w:sz w:val="18"/>
                <w:szCs w:val="18"/>
              </w:rPr>
              <w:t>12</w:t>
            </w:r>
            <w:r>
              <w:rPr>
                <w:rFonts w:ascii="CAIXA Std Book" w:hAnsi="CAIXA Std Book" w:cs="Cambria Math"/>
                <w:b/>
                <w:color w:val="FFFFFF" w:themeColor="background1"/>
                <w:sz w:val="18"/>
                <w:szCs w:val="18"/>
              </w:rPr>
              <w:t>/2025</w:t>
            </w:r>
          </w:p>
        </w:tc>
      </w:tr>
      <w:tr w:rsidR="00642681" w:rsidRPr="001572B9" w14:paraId="3D5CFAB8" w14:textId="77777777" w:rsidTr="002C6166">
        <w:trPr>
          <w:trHeight w:val="283"/>
        </w:trPr>
        <w:tc>
          <w:tcPr>
            <w:tcW w:w="3396" w:type="pct"/>
            <w:noWrap/>
            <w:vAlign w:val="center"/>
          </w:tcPr>
          <w:p w14:paraId="0A05DACE" w14:textId="45AECAE3" w:rsidR="007039DA" w:rsidRPr="001572B9" w:rsidRDefault="007039DA" w:rsidP="007039DA">
            <w:pPr>
              <w:rPr>
                <w:rFonts w:ascii="CAIXA Std Book" w:hAnsi="CAIXA Std Book" w:cs="Cambria Math"/>
                <w:b/>
                <w:color w:val="005CA9"/>
                <w:sz w:val="18"/>
                <w:szCs w:val="18"/>
              </w:rPr>
            </w:pPr>
            <w:r w:rsidRPr="001572B9">
              <w:rPr>
                <w:rFonts w:ascii="CAIXA Std Book" w:hAnsi="CAIXA Std Book" w:cs="Cambria Math"/>
                <w:b/>
                <w:color w:val="005CA9"/>
                <w:sz w:val="18"/>
                <w:szCs w:val="18"/>
              </w:rPr>
              <w:t xml:space="preserve">Patrimônio </w:t>
            </w:r>
            <w:r>
              <w:rPr>
                <w:rFonts w:ascii="CAIXA Std Book" w:hAnsi="CAIXA Std Book" w:cs="Cambria Math"/>
                <w:b/>
                <w:color w:val="005CA9"/>
                <w:sz w:val="18"/>
                <w:szCs w:val="18"/>
              </w:rPr>
              <w:t>l</w:t>
            </w:r>
            <w:r w:rsidRPr="001572B9">
              <w:rPr>
                <w:rFonts w:ascii="CAIXA Std Book" w:hAnsi="CAIXA Std Book" w:cs="Cambria Math"/>
                <w:b/>
                <w:color w:val="005CA9"/>
                <w:sz w:val="18"/>
                <w:szCs w:val="18"/>
              </w:rPr>
              <w:t>íquido – I</w:t>
            </w:r>
            <w:r>
              <w:rPr>
                <w:rFonts w:ascii="CAIXA Std Book" w:hAnsi="CAIXA Std Book" w:cs="Cambria Math"/>
                <w:b/>
                <w:color w:val="005CA9"/>
                <w:sz w:val="18"/>
                <w:szCs w:val="18"/>
              </w:rPr>
              <w:t>ndividual</w:t>
            </w:r>
          </w:p>
        </w:tc>
        <w:tc>
          <w:tcPr>
            <w:tcW w:w="802" w:type="pct"/>
            <w:vAlign w:val="center"/>
          </w:tcPr>
          <w:p w14:paraId="3D835489" w14:textId="248DD77E" w:rsidR="00D50F8A" w:rsidRPr="00C51FCC" w:rsidRDefault="00BB1986" w:rsidP="002C6166">
            <w:pPr>
              <w:jc w:val="right"/>
              <w:rPr>
                <w:rFonts w:ascii="CAIXA Std Book" w:hAnsi="CAIXA Std Book" w:cs="Calibri"/>
                <w:b/>
                <w:bCs/>
                <w:color w:val="005CA9"/>
                <w:sz w:val="18"/>
                <w:szCs w:val="18"/>
              </w:rPr>
            </w:pPr>
            <w:r w:rsidRPr="00BB1986">
              <w:rPr>
                <w:rFonts w:ascii="CAIXA Std Book" w:hAnsi="CAIXA Std Book" w:cs="Calibri"/>
                <w:b/>
                <w:bCs/>
                <w:color w:val="005CA9"/>
                <w:sz w:val="18"/>
                <w:szCs w:val="18"/>
              </w:rPr>
              <w:t>114.888.</w:t>
            </w:r>
            <w:r w:rsidR="00A92105" w:rsidRPr="00A92105">
              <w:rPr>
                <w:rFonts w:ascii="CAIXA Std Book" w:hAnsi="CAIXA Std Book" w:cs="Calibri"/>
                <w:b/>
                <w:bCs/>
                <w:color w:val="005CA9"/>
                <w:sz w:val="18"/>
                <w:szCs w:val="18"/>
              </w:rPr>
              <w:t>416</w:t>
            </w:r>
          </w:p>
        </w:tc>
        <w:tc>
          <w:tcPr>
            <w:tcW w:w="802" w:type="pct"/>
            <w:noWrap/>
            <w:vAlign w:val="center"/>
          </w:tcPr>
          <w:p w14:paraId="1DA7B601" w14:textId="540087CE" w:rsidR="007039DA" w:rsidRPr="00C51FCC" w:rsidRDefault="00D10BF8" w:rsidP="002C6166">
            <w:pPr>
              <w:jc w:val="right"/>
              <w:rPr>
                <w:rFonts w:ascii="CAIXA Std Book" w:hAnsi="CAIXA Std Book" w:cs="Calibri"/>
                <w:b/>
                <w:bCs/>
                <w:color w:val="005CA9"/>
                <w:sz w:val="18"/>
                <w:szCs w:val="18"/>
              </w:rPr>
            </w:pPr>
            <w:r w:rsidRPr="00C51FCC">
              <w:rPr>
                <w:rFonts w:ascii="CAIXA Std Book" w:hAnsi="CAIXA Std Book" w:cs="Calibri"/>
                <w:b/>
                <w:bCs/>
                <w:color w:val="005CA9"/>
                <w:sz w:val="18"/>
                <w:szCs w:val="18"/>
              </w:rPr>
              <w:t>111.795.824</w:t>
            </w:r>
          </w:p>
        </w:tc>
      </w:tr>
      <w:tr w:rsidR="00642681" w:rsidRPr="001572B9" w14:paraId="7175CC97" w14:textId="77777777" w:rsidTr="002C6166">
        <w:trPr>
          <w:trHeight w:val="283"/>
        </w:trPr>
        <w:tc>
          <w:tcPr>
            <w:tcW w:w="3396" w:type="pct"/>
            <w:noWrap/>
            <w:vAlign w:val="center"/>
          </w:tcPr>
          <w:p w14:paraId="330B389D" w14:textId="5B97C4F5" w:rsidR="007039DA" w:rsidRPr="001572B9" w:rsidRDefault="007039DA" w:rsidP="007039DA">
            <w:pPr>
              <w:ind w:firstLineChars="100" w:firstLine="180"/>
              <w:rPr>
                <w:rFonts w:ascii="CAIXA Std Book" w:hAnsi="CAIXA Std Book" w:cs="Cambria Math"/>
                <w:color w:val="005CA9"/>
                <w:sz w:val="18"/>
                <w:szCs w:val="18"/>
              </w:rPr>
            </w:pPr>
            <w:r w:rsidRPr="001572B9">
              <w:rPr>
                <w:rFonts w:ascii="CAIXA Std Book" w:hAnsi="CAIXA Std Book" w:cs="Cambria Math"/>
                <w:color w:val="005CA9"/>
                <w:sz w:val="18"/>
                <w:szCs w:val="18"/>
              </w:rPr>
              <w:t xml:space="preserve">IHCD – </w:t>
            </w:r>
            <w:r>
              <w:rPr>
                <w:rFonts w:ascii="CAIXA Std Book" w:hAnsi="CAIXA Std Book" w:cs="Cambria Math"/>
                <w:color w:val="005CA9"/>
                <w:sz w:val="18"/>
                <w:szCs w:val="18"/>
              </w:rPr>
              <w:t>E</w:t>
            </w:r>
            <w:r w:rsidRPr="001572B9">
              <w:rPr>
                <w:rFonts w:ascii="CAIXA Std Book" w:hAnsi="CAIXA Std Book" w:cs="Cambria Math"/>
                <w:color w:val="005CA9"/>
                <w:sz w:val="18"/>
                <w:szCs w:val="18"/>
              </w:rPr>
              <w:t xml:space="preserve">legíveis a </w:t>
            </w:r>
            <w:r>
              <w:rPr>
                <w:rFonts w:ascii="CAIXA Std Book" w:hAnsi="CAIXA Std Book" w:cs="Cambria Math"/>
                <w:color w:val="005CA9"/>
                <w:sz w:val="18"/>
                <w:szCs w:val="18"/>
              </w:rPr>
              <w:t>c</w:t>
            </w:r>
            <w:r w:rsidRPr="001572B9">
              <w:rPr>
                <w:rFonts w:ascii="CAIXA Std Book" w:hAnsi="CAIXA Std Book" w:cs="Cambria Math"/>
                <w:color w:val="005CA9"/>
                <w:sz w:val="18"/>
                <w:szCs w:val="18"/>
              </w:rPr>
              <w:t>apital</w:t>
            </w:r>
            <w:r>
              <w:rPr>
                <w:rFonts w:ascii="CAIXA Std Book" w:hAnsi="CAIXA Std Book" w:cs="Cambria Math"/>
                <w:color w:val="005CA9"/>
                <w:sz w:val="18"/>
                <w:szCs w:val="18"/>
              </w:rPr>
              <w:t xml:space="preserve"> (1)</w:t>
            </w:r>
          </w:p>
        </w:tc>
        <w:tc>
          <w:tcPr>
            <w:tcW w:w="802" w:type="pct"/>
            <w:vAlign w:val="center"/>
          </w:tcPr>
          <w:p w14:paraId="7E9F92D0" w14:textId="3F613DC4" w:rsidR="00D50F8A" w:rsidRDefault="00BB1986" w:rsidP="002C6166">
            <w:pPr>
              <w:jc w:val="right"/>
              <w:rPr>
                <w:rFonts w:ascii="CAIXA Std Book" w:hAnsi="CAIXA Std Book" w:cs="Calibri"/>
                <w:color w:val="005CA9"/>
                <w:sz w:val="18"/>
                <w:szCs w:val="18"/>
              </w:rPr>
            </w:pPr>
            <w:r>
              <w:rPr>
                <w:rFonts w:ascii="CAIXA Std Book" w:hAnsi="CAIXA Std Book" w:cs="Calibri"/>
                <w:color w:val="005CA9"/>
                <w:sz w:val="18"/>
                <w:szCs w:val="18"/>
              </w:rPr>
              <w:t>35.442.324</w:t>
            </w:r>
          </w:p>
        </w:tc>
        <w:tc>
          <w:tcPr>
            <w:tcW w:w="802" w:type="pct"/>
            <w:noWrap/>
            <w:vAlign w:val="center"/>
          </w:tcPr>
          <w:p w14:paraId="5087BBB9" w14:textId="54143EEE" w:rsidR="007039DA" w:rsidRPr="001572B9" w:rsidRDefault="00DC4F77" w:rsidP="002C6166">
            <w:pPr>
              <w:jc w:val="right"/>
              <w:rPr>
                <w:rFonts w:ascii="CAIXA Std Book" w:hAnsi="CAIXA Std Book" w:cs="Cambria Math"/>
                <w:color w:val="005CA9"/>
                <w:sz w:val="18"/>
                <w:szCs w:val="18"/>
              </w:rPr>
            </w:pPr>
            <w:r>
              <w:rPr>
                <w:rFonts w:ascii="CAIXA Std Book" w:hAnsi="CAIXA Std Book" w:cs="Calibri"/>
                <w:color w:val="005CA9"/>
                <w:sz w:val="18"/>
                <w:szCs w:val="18"/>
              </w:rPr>
              <w:t>35.101.258</w:t>
            </w:r>
          </w:p>
        </w:tc>
      </w:tr>
      <w:tr w:rsidR="00642681" w:rsidRPr="001572B9" w14:paraId="4D760251" w14:textId="77777777" w:rsidTr="002C6166">
        <w:trPr>
          <w:trHeight w:val="283"/>
        </w:trPr>
        <w:tc>
          <w:tcPr>
            <w:tcW w:w="3396" w:type="pct"/>
            <w:noWrap/>
            <w:vAlign w:val="center"/>
          </w:tcPr>
          <w:p w14:paraId="4F36BFAF" w14:textId="77777777" w:rsidR="007039DA" w:rsidRPr="001572B9" w:rsidRDefault="007039DA" w:rsidP="007039DA">
            <w:pPr>
              <w:ind w:firstLineChars="100" w:firstLine="180"/>
              <w:rPr>
                <w:rFonts w:ascii="CAIXA Std Book" w:hAnsi="CAIXA Std Book" w:cs="Cambria Math"/>
                <w:color w:val="005CA9"/>
                <w:sz w:val="18"/>
                <w:szCs w:val="18"/>
              </w:rPr>
            </w:pPr>
            <w:r w:rsidRPr="001572B9">
              <w:rPr>
                <w:rFonts w:ascii="CAIXA Std Book" w:hAnsi="CAIXA Std Book" w:cs="Cambria Math"/>
                <w:color w:val="005CA9"/>
                <w:sz w:val="18"/>
                <w:szCs w:val="18"/>
              </w:rPr>
              <w:t>Participação dos não controladores</w:t>
            </w:r>
          </w:p>
        </w:tc>
        <w:tc>
          <w:tcPr>
            <w:tcW w:w="802" w:type="pct"/>
            <w:vAlign w:val="center"/>
          </w:tcPr>
          <w:p w14:paraId="15BF14CB" w14:textId="501A3C33" w:rsidR="00D50F8A" w:rsidRDefault="00BB1986" w:rsidP="002C6166">
            <w:pPr>
              <w:jc w:val="right"/>
              <w:rPr>
                <w:rFonts w:ascii="CAIXA Std Book" w:hAnsi="CAIXA Std Book" w:cs="Calibri"/>
                <w:color w:val="005CA9"/>
                <w:sz w:val="18"/>
                <w:szCs w:val="18"/>
              </w:rPr>
            </w:pPr>
            <w:r>
              <w:rPr>
                <w:rFonts w:ascii="CAIXA Std Book" w:hAnsi="CAIXA Std Book" w:cs="Calibri"/>
                <w:color w:val="005CA9"/>
                <w:sz w:val="18"/>
                <w:szCs w:val="18"/>
              </w:rPr>
              <w:t>2.822.956</w:t>
            </w:r>
          </w:p>
        </w:tc>
        <w:tc>
          <w:tcPr>
            <w:tcW w:w="802" w:type="pct"/>
            <w:noWrap/>
            <w:vAlign w:val="center"/>
          </w:tcPr>
          <w:p w14:paraId="02646CAD" w14:textId="677AE7DA" w:rsidR="007039DA" w:rsidRPr="001572B9" w:rsidRDefault="00B37B2D" w:rsidP="002C6166">
            <w:pPr>
              <w:jc w:val="right"/>
              <w:rPr>
                <w:rFonts w:ascii="CAIXA Std Book" w:hAnsi="CAIXA Std Book" w:cs="Cambria Math"/>
                <w:color w:val="005CA9"/>
                <w:sz w:val="18"/>
                <w:szCs w:val="18"/>
              </w:rPr>
            </w:pPr>
            <w:r>
              <w:rPr>
                <w:rFonts w:ascii="CAIXA Std Book" w:hAnsi="CAIXA Std Book" w:cs="Calibri"/>
                <w:color w:val="005CA9"/>
                <w:sz w:val="18"/>
                <w:szCs w:val="18"/>
              </w:rPr>
              <w:t>2.775.290</w:t>
            </w:r>
          </w:p>
        </w:tc>
      </w:tr>
      <w:tr w:rsidR="00642681" w:rsidRPr="001572B9" w14:paraId="78E552C4" w14:textId="77777777" w:rsidTr="002C6166">
        <w:trPr>
          <w:trHeight w:val="283"/>
        </w:trPr>
        <w:tc>
          <w:tcPr>
            <w:tcW w:w="3396" w:type="pct"/>
            <w:tcBorders>
              <w:bottom w:val="single" w:sz="4" w:space="0" w:color="1F497D" w:themeColor="text2"/>
            </w:tcBorders>
            <w:noWrap/>
            <w:vAlign w:val="center"/>
          </w:tcPr>
          <w:p w14:paraId="4343B850" w14:textId="21BBDA0D" w:rsidR="007039DA" w:rsidRPr="001572B9" w:rsidRDefault="007039DA" w:rsidP="007039DA">
            <w:pPr>
              <w:rPr>
                <w:rFonts w:ascii="CAIXA Std Book" w:hAnsi="CAIXA Std Book" w:cs="Cambria Math"/>
                <w:b/>
                <w:color w:val="005CA9"/>
                <w:sz w:val="18"/>
                <w:szCs w:val="18"/>
              </w:rPr>
            </w:pPr>
            <w:r w:rsidRPr="001572B9">
              <w:rPr>
                <w:rFonts w:ascii="CAIXA Std Book" w:hAnsi="CAIXA Std Book" w:cs="Cambria Math"/>
                <w:b/>
                <w:color w:val="005CA9"/>
                <w:sz w:val="18"/>
                <w:szCs w:val="18"/>
              </w:rPr>
              <w:t xml:space="preserve">Patrimônio </w:t>
            </w:r>
            <w:r>
              <w:rPr>
                <w:rFonts w:ascii="CAIXA Std Book" w:hAnsi="CAIXA Std Book" w:cs="Cambria Math"/>
                <w:b/>
                <w:color w:val="005CA9"/>
                <w:sz w:val="18"/>
                <w:szCs w:val="18"/>
              </w:rPr>
              <w:t>l</w:t>
            </w:r>
            <w:r w:rsidRPr="001572B9">
              <w:rPr>
                <w:rFonts w:ascii="CAIXA Std Book" w:hAnsi="CAIXA Std Book" w:cs="Cambria Math"/>
                <w:b/>
                <w:color w:val="005CA9"/>
                <w:sz w:val="18"/>
                <w:szCs w:val="18"/>
              </w:rPr>
              <w:t>íquido – C</w:t>
            </w:r>
            <w:r>
              <w:rPr>
                <w:rFonts w:ascii="CAIXA Std Book" w:hAnsi="CAIXA Std Book" w:cs="Cambria Math"/>
                <w:b/>
                <w:color w:val="005CA9"/>
                <w:sz w:val="18"/>
                <w:szCs w:val="18"/>
              </w:rPr>
              <w:t>onsolidado</w:t>
            </w:r>
          </w:p>
        </w:tc>
        <w:tc>
          <w:tcPr>
            <w:tcW w:w="802" w:type="pct"/>
            <w:tcBorders>
              <w:bottom w:val="single" w:sz="4" w:space="0" w:color="1F497D" w:themeColor="text2"/>
            </w:tcBorders>
            <w:vAlign w:val="center"/>
          </w:tcPr>
          <w:p w14:paraId="5A65F7D8" w14:textId="040BBF7A" w:rsidR="00D50F8A" w:rsidRDefault="00BB1986" w:rsidP="002C6166">
            <w:pPr>
              <w:jc w:val="right"/>
              <w:rPr>
                <w:rFonts w:ascii="CAIXA Std Book" w:hAnsi="CAIXA Std Book" w:cs="Calibri"/>
                <w:b/>
                <w:bCs/>
                <w:color w:val="005CA9"/>
                <w:sz w:val="18"/>
                <w:szCs w:val="18"/>
              </w:rPr>
            </w:pPr>
            <w:r>
              <w:rPr>
                <w:rFonts w:ascii="CAIXA Std Book" w:hAnsi="CAIXA Std Book" w:cs="Calibri"/>
                <w:b/>
                <w:bCs/>
                <w:color w:val="005CA9"/>
                <w:sz w:val="18"/>
                <w:szCs w:val="18"/>
              </w:rPr>
              <w:t>153.153.</w:t>
            </w:r>
            <w:r w:rsidR="00A92105">
              <w:rPr>
                <w:rFonts w:ascii="CAIXA Std Book" w:hAnsi="CAIXA Std Book" w:cs="Calibri"/>
                <w:b/>
                <w:bCs/>
                <w:color w:val="005CA9"/>
                <w:sz w:val="18"/>
                <w:szCs w:val="18"/>
              </w:rPr>
              <w:t>696</w:t>
            </w:r>
          </w:p>
        </w:tc>
        <w:tc>
          <w:tcPr>
            <w:tcW w:w="802" w:type="pct"/>
            <w:tcBorders>
              <w:bottom w:val="single" w:sz="4" w:space="0" w:color="1F497D" w:themeColor="text2"/>
            </w:tcBorders>
            <w:noWrap/>
            <w:vAlign w:val="center"/>
          </w:tcPr>
          <w:p w14:paraId="1802BB91" w14:textId="120C532F" w:rsidR="007039DA" w:rsidRPr="001572B9" w:rsidRDefault="00B37B2D" w:rsidP="002C6166">
            <w:pPr>
              <w:jc w:val="right"/>
              <w:rPr>
                <w:rFonts w:ascii="CAIXA Std Book" w:hAnsi="CAIXA Std Book" w:cs="Arial"/>
                <w:b/>
                <w:color w:val="005CA9"/>
                <w:sz w:val="18"/>
                <w:szCs w:val="18"/>
              </w:rPr>
            </w:pPr>
            <w:r>
              <w:rPr>
                <w:rFonts w:ascii="CAIXA Std Book" w:hAnsi="CAIXA Std Book" w:cs="Calibri"/>
                <w:b/>
                <w:bCs/>
                <w:color w:val="005CA9"/>
                <w:sz w:val="18"/>
                <w:szCs w:val="18"/>
              </w:rPr>
              <w:t>149.</w:t>
            </w:r>
            <w:r w:rsidR="00DC4F77">
              <w:rPr>
                <w:rFonts w:ascii="CAIXA Std Book" w:hAnsi="CAIXA Std Book" w:cs="Calibri"/>
                <w:b/>
                <w:bCs/>
                <w:color w:val="005CA9"/>
                <w:sz w:val="18"/>
                <w:szCs w:val="18"/>
              </w:rPr>
              <w:t>672.372</w:t>
            </w:r>
          </w:p>
        </w:tc>
      </w:tr>
    </w:tbl>
    <w:p w14:paraId="4967831B" w14:textId="13A14383" w:rsidR="00F17826" w:rsidRDefault="00024DA0" w:rsidP="00194303">
      <w:pPr>
        <w:jc w:val="both"/>
        <w:rPr>
          <w:rFonts w:ascii="CAIXA Std Book" w:hAnsi="CAIXA Std Book"/>
          <w:color w:val="005CA9"/>
          <w:sz w:val="16"/>
          <w:szCs w:val="16"/>
        </w:rPr>
      </w:pPr>
      <w:r w:rsidRPr="00024DA0">
        <w:rPr>
          <w:rFonts w:ascii="CAIXA Std Book" w:hAnsi="CAIXA Std Book"/>
          <w:color w:val="005CA9"/>
          <w:sz w:val="16"/>
          <w:szCs w:val="16"/>
        </w:rPr>
        <w:t xml:space="preserve">(1) </w:t>
      </w:r>
      <w:r>
        <w:rPr>
          <w:rFonts w:ascii="CAIXA Std Book" w:hAnsi="CAIXA Std Book"/>
          <w:color w:val="005CA9"/>
          <w:sz w:val="16"/>
          <w:szCs w:val="16"/>
        </w:rPr>
        <w:t>Composto por principal autorizado (IHCD) e sua atualização monetária que são</w:t>
      </w:r>
      <w:r w:rsidRPr="00B04D8D">
        <w:rPr>
          <w:rFonts w:ascii="CAIXA Std Book" w:hAnsi="CAIXA Std Book"/>
          <w:color w:val="005CA9"/>
          <w:sz w:val="16"/>
          <w:szCs w:val="16"/>
        </w:rPr>
        <w:t xml:space="preserve"> reclassificado</w:t>
      </w:r>
      <w:r>
        <w:rPr>
          <w:rFonts w:ascii="CAIXA Std Book" w:hAnsi="CAIXA Std Book"/>
          <w:color w:val="005CA9"/>
          <w:sz w:val="16"/>
          <w:szCs w:val="16"/>
        </w:rPr>
        <w:t>s</w:t>
      </w:r>
      <w:r w:rsidRPr="00B04D8D">
        <w:rPr>
          <w:rFonts w:ascii="CAIXA Std Book" w:hAnsi="CAIXA Std Book"/>
          <w:color w:val="005CA9"/>
          <w:sz w:val="16"/>
          <w:szCs w:val="16"/>
        </w:rPr>
        <w:t xml:space="preserve"> para o </w:t>
      </w:r>
      <w:r w:rsidR="00BA7EB7">
        <w:rPr>
          <w:rFonts w:ascii="CAIXA Std Book" w:hAnsi="CAIXA Std Book"/>
          <w:color w:val="005CA9"/>
          <w:sz w:val="16"/>
          <w:szCs w:val="16"/>
        </w:rPr>
        <w:t>p</w:t>
      </w:r>
      <w:r w:rsidRPr="00B04D8D">
        <w:rPr>
          <w:rFonts w:ascii="CAIXA Std Book" w:hAnsi="CAIXA Std Book"/>
          <w:color w:val="005CA9"/>
          <w:sz w:val="16"/>
          <w:szCs w:val="16"/>
        </w:rPr>
        <w:t xml:space="preserve">atrimônio </w:t>
      </w:r>
      <w:r w:rsidR="00015D20">
        <w:rPr>
          <w:rFonts w:ascii="CAIXA Std Book" w:hAnsi="CAIXA Std Book"/>
          <w:color w:val="005CA9"/>
          <w:sz w:val="16"/>
          <w:szCs w:val="16"/>
        </w:rPr>
        <w:t>l</w:t>
      </w:r>
      <w:r w:rsidRPr="00B04D8D">
        <w:rPr>
          <w:rFonts w:ascii="CAIXA Std Book" w:hAnsi="CAIXA Std Book"/>
          <w:color w:val="005CA9"/>
          <w:sz w:val="16"/>
          <w:szCs w:val="16"/>
        </w:rPr>
        <w:t>íquido</w:t>
      </w:r>
      <w:r>
        <w:rPr>
          <w:rFonts w:ascii="CAIXA Std Book" w:hAnsi="CAIXA Std Book"/>
          <w:color w:val="005CA9"/>
          <w:sz w:val="16"/>
          <w:szCs w:val="16"/>
        </w:rPr>
        <w:t xml:space="preserve"> (Nota 15.3 (</w:t>
      </w:r>
      <w:r w:rsidR="00D00A61">
        <w:rPr>
          <w:rFonts w:ascii="CAIXA Std Book" w:hAnsi="CAIXA Std Book"/>
          <w:color w:val="005CA9"/>
          <w:sz w:val="16"/>
          <w:szCs w:val="16"/>
        </w:rPr>
        <w:t>d</w:t>
      </w:r>
      <w:r>
        <w:rPr>
          <w:rFonts w:ascii="CAIXA Std Book" w:hAnsi="CAIXA Std Book"/>
          <w:color w:val="005CA9"/>
          <w:sz w:val="16"/>
          <w:szCs w:val="16"/>
        </w:rPr>
        <w:t>)).</w:t>
      </w:r>
    </w:p>
    <w:p w14:paraId="10A51062" w14:textId="77777777" w:rsidR="001572B9" w:rsidRPr="001572B9" w:rsidRDefault="001572B9" w:rsidP="00453411">
      <w:pPr>
        <w:tabs>
          <w:tab w:val="left" w:pos="1650"/>
        </w:tabs>
        <w:spacing w:before="120" w:after="120"/>
        <w:jc w:val="both"/>
        <w:rPr>
          <w:rFonts w:ascii="CAIXA Std Book" w:hAnsi="CAIXA Std Book"/>
          <w:color w:val="005CA9"/>
          <w:sz w:val="20"/>
          <w:szCs w:val="20"/>
        </w:rPr>
      </w:pPr>
      <w:r w:rsidRPr="001572B9">
        <w:rPr>
          <w:rFonts w:ascii="CAIXA Std Book" w:hAnsi="CAIXA Std Book"/>
          <w:color w:val="005CA9"/>
          <w:sz w:val="20"/>
          <w:szCs w:val="20"/>
        </w:rPr>
        <w:t>Nas demonstrações contábeis individuais, os instrumentos híbridos de capital e dívida elegíveis a compor o Capital Principal são registrados no passivo e seus encargos financeiros reconhecidos como despesas operacionais, enquanto nas demonstrações contábeis consolidadas são reclassificados para o patrimônio líquido, com base no entendimento e nas orientações do Banco Central do Brasil, com o objetivo de melhorar a qualidade dessas demonstrações contábeis consolidadas.</w:t>
      </w:r>
    </w:p>
    <w:p w14:paraId="532E10CC" w14:textId="7B6090DD" w:rsidR="001572B9" w:rsidRPr="001572B9" w:rsidRDefault="001572B9" w:rsidP="00295657">
      <w:pPr>
        <w:keepNext/>
        <w:numPr>
          <w:ilvl w:val="0"/>
          <w:numId w:val="32"/>
        </w:numPr>
        <w:spacing w:before="240" w:after="120"/>
        <w:ind w:left="567" w:hanging="567"/>
        <w:jc w:val="both"/>
        <w:rPr>
          <w:rFonts w:ascii="CAIXA Std Book" w:hAnsi="CAIXA Std Book"/>
          <w:b/>
          <w:color w:val="005CA9"/>
          <w:sz w:val="20"/>
          <w:szCs w:val="20"/>
        </w:rPr>
      </w:pPr>
      <w:r w:rsidRPr="001572B9">
        <w:rPr>
          <w:rFonts w:ascii="CAIXA Std Book" w:hAnsi="CAIXA Std Book"/>
          <w:b/>
          <w:color w:val="005CA9"/>
          <w:sz w:val="20"/>
          <w:szCs w:val="20"/>
        </w:rPr>
        <w:t xml:space="preserve">Reservas de lucros </w:t>
      </w:r>
    </w:p>
    <w:p w14:paraId="29474790" w14:textId="77777777" w:rsidR="001572B9" w:rsidRPr="001572B9" w:rsidRDefault="001572B9" w:rsidP="00495D51">
      <w:pPr>
        <w:spacing w:before="120" w:after="120"/>
        <w:jc w:val="both"/>
        <w:rPr>
          <w:rFonts w:ascii="CAIXA Std Book" w:hAnsi="CAIXA Std Book"/>
          <w:color w:val="005CA9"/>
          <w:sz w:val="20"/>
          <w:szCs w:val="20"/>
        </w:rPr>
      </w:pPr>
      <w:bookmarkStart w:id="132" w:name="_Hlk65762717"/>
      <w:r w:rsidRPr="001572B9">
        <w:rPr>
          <w:rFonts w:ascii="CAIXA Std Book" w:hAnsi="CAIXA Std Book"/>
          <w:color w:val="005CA9"/>
          <w:sz w:val="20"/>
          <w:szCs w:val="20"/>
        </w:rPr>
        <w:t>As reservas de lucros são constituídas por reserva legal, calculada à base de 5% sobre o lucro líquido, reserva de loterias e reserva de margem operacional.</w:t>
      </w:r>
    </w:p>
    <w:p w14:paraId="2E9136E8" w14:textId="77777777" w:rsidR="001572B9" w:rsidRPr="001572B9" w:rsidRDefault="001572B9" w:rsidP="00495D51">
      <w:pPr>
        <w:tabs>
          <w:tab w:val="left" w:pos="1650"/>
        </w:tabs>
        <w:spacing w:before="120" w:after="120"/>
        <w:jc w:val="both"/>
        <w:rPr>
          <w:rFonts w:ascii="CAIXA Std Book" w:hAnsi="CAIXA Std Book"/>
          <w:color w:val="005CA9"/>
          <w:sz w:val="20"/>
          <w:szCs w:val="20"/>
        </w:rPr>
      </w:pPr>
      <w:r w:rsidRPr="001572B9">
        <w:rPr>
          <w:rFonts w:ascii="CAIXA Std Book" w:hAnsi="CAIXA Std Book"/>
          <w:color w:val="005CA9"/>
          <w:sz w:val="20"/>
          <w:szCs w:val="20"/>
        </w:rPr>
        <w:t>As reservas de loterias são constituídas pelo resultado da administração das loterias federais que couberem à CAIXA como executora destes serviços públicos para incorporação ao seu patrimônio líquido.</w:t>
      </w:r>
    </w:p>
    <w:p w14:paraId="13F422B9" w14:textId="77777777" w:rsidR="001572B9" w:rsidRDefault="001572B9" w:rsidP="00495D51">
      <w:pPr>
        <w:tabs>
          <w:tab w:val="left" w:pos="1650"/>
        </w:tabs>
        <w:spacing w:before="120" w:after="240"/>
        <w:jc w:val="both"/>
        <w:rPr>
          <w:rFonts w:ascii="CAIXA Std Book" w:hAnsi="CAIXA Std Book"/>
          <w:color w:val="005CA9"/>
          <w:sz w:val="20"/>
          <w:szCs w:val="20"/>
        </w:rPr>
      </w:pPr>
      <w:r w:rsidRPr="001572B9">
        <w:rPr>
          <w:rFonts w:ascii="CAIXA Std Book" w:hAnsi="CAIXA Std Book"/>
          <w:color w:val="005CA9"/>
          <w:sz w:val="20"/>
          <w:szCs w:val="20"/>
        </w:rPr>
        <w:t>A reserva de margem operacional é constituída mediante justificativa do percentual considerado de até 100% do saldo do lucro líquido deduzido da destinação para reserva legal, para reservas de lucros a realizar, para reservas para contingências, para reserva de incentivos fiscais e para pagamento mínimo (25% do lucro líquido ajustado) de dividendos e juros sobre capital próprio, até o limite de 80% do capital social.</w:t>
      </w:r>
    </w:p>
    <w:tbl>
      <w:tblPr>
        <w:tblW w:w="5000" w:type="pct"/>
        <w:tblCellMar>
          <w:left w:w="70" w:type="dxa"/>
          <w:right w:w="70" w:type="dxa"/>
        </w:tblCellMar>
        <w:tblLook w:val="04A0" w:firstRow="1" w:lastRow="0" w:firstColumn="1" w:lastColumn="0" w:noHBand="0" w:noVBand="1"/>
      </w:tblPr>
      <w:tblGrid>
        <w:gridCol w:w="6521"/>
        <w:gridCol w:w="1558"/>
        <w:gridCol w:w="1559"/>
      </w:tblGrid>
      <w:tr w:rsidR="00D50F8A" w:rsidRPr="00E74030" w14:paraId="3A1504E1" w14:textId="77777777" w:rsidTr="00174708">
        <w:trPr>
          <w:trHeight w:val="283"/>
        </w:trPr>
        <w:tc>
          <w:tcPr>
            <w:tcW w:w="5000" w:type="pct"/>
            <w:gridSpan w:val="3"/>
            <w:tcBorders>
              <w:bottom w:val="single" w:sz="4" w:space="0" w:color="FFFFFF" w:themeColor="background1"/>
            </w:tcBorders>
            <w:shd w:val="clear" w:color="auto" w:fill="005CA9"/>
            <w:noWrap/>
            <w:vAlign w:val="center"/>
          </w:tcPr>
          <w:p w14:paraId="0050E2AF" w14:textId="6608887D" w:rsidR="00D50F8A" w:rsidRDefault="00D50F8A">
            <w:pPr>
              <w:jc w:val="center"/>
              <w:rPr>
                <w:rFonts w:ascii="CAIXA Std Book" w:hAnsi="CAIXA Std Book"/>
                <w:b/>
                <w:color w:val="FFFFFF" w:themeColor="background1"/>
                <w:sz w:val="18"/>
                <w:szCs w:val="18"/>
              </w:rPr>
            </w:pPr>
            <w:r>
              <w:rPr>
                <w:rFonts w:ascii="CAIXA Std Book" w:hAnsi="CAIXA Std Book"/>
                <w:b/>
                <w:color w:val="FFFFFF" w:themeColor="background1"/>
                <w:sz w:val="18"/>
                <w:szCs w:val="18"/>
              </w:rPr>
              <w:t>Individual / Consolidado</w:t>
            </w:r>
          </w:p>
        </w:tc>
      </w:tr>
      <w:bookmarkEnd w:id="132"/>
      <w:tr w:rsidR="00642681" w:rsidRPr="00E74030" w14:paraId="0326A2EA" w14:textId="77777777" w:rsidTr="00174708">
        <w:trPr>
          <w:trHeight w:val="283"/>
        </w:trPr>
        <w:tc>
          <w:tcPr>
            <w:tcW w:w="3383" w:type="pct"/>
            <w:tcBorders>
              <w:top w:val="single" w:sz="4" w:space="0" w:color="FFFFFF" w:themeColor="background1"/>
            </w:tcBorders>
            <w:shd w:val="clear" w:color="auto" w:fill="005CA9"/>
            <w:noWrap/>
            <w:vAlign w:val="center"/>
            <w:hideMark/>
          </w:tcPr>
          <w:p w14:paraId="2C696B78" w14:textId="77777777" w:rsidR="001572B9" w:rsidRPr="00E74030" w:rsidRDefault="001572B9">
            <w:pPr>
              <w:jc w:val="center"/>
              <w:rPr>
                <w:rFonts w:ascii="CAIXA Std Book" w:hAnsi="CAIXA Std Book"/>
                <w:b/>
                <w:color w:val="FFFFFF" w:themeColor="background1"/>
                <w:sz w:val="18"/>
                <w:szCs w:val="18"/>
              </w:rPr>
            </w:pPr>
            <w:r w:rsidRPr="00E74030">
              <w:rPr>
                <w:rFonts w:ascii="CAIXA Std Book" w:hAnsi="CAIXA Std Book"/>
                <w:b/>
                <w:color w:val="FFFFFF" w:themeColor="background1"/>
                <w:sz w:val="18"/>
                <w:szCs w:val="18"/>
              </w:rPr>
              <w:t>Descrição</w:t>
            </w:r>
          </w:p>
        </w:tc>
        <w:tc>
          <w:tcPr>
            <w:tcW w:w="808" w:type="pct"/>
            <w:tcBorders>
              <w:top w:val="single" w:sz="4" w:space="0" w:color="FFFFFF" w:themeColor="background1"/>
            </w:tcBorders>
            <w:shd w:val="clear" w:color="auto" w:fill="005CA9"/>
          </w:tcPr>
          <w:p w14:paraId="468D6A6B" w14:textId="22FC597C" w:rsidR="00D50F8A" w:rsidRDefault="00D50F8A">
            <w:pPr>
              <w:jc w:val="center"/>
              <w:rPr>
                <w:rFonts w:ascii="CAIXA Std Book" w:hAnsi="CAIXA Std Book"/>
                <w:b/>
                <w:color w:val="FFFFFF" w:themeColor="background1"/>
                <w:sz w:val="18"/>
                <w:szCs w:val="18"/>
              </w:rPr>
            </w:pPr>
            <w:r>
              <w:rPr>
                <w:rFonts w:ascii="CAIXA Std Book" w:hAnsi="CAIXA Std Book"/>
                <w:b/>
                <w:color w:val="FFFFFF" w:themeColor="background1"/>
                <w:sz w:val="18"/>
                <w:szCs w:val="18"/>
              </w:rPr>
              <w:t>31/03/2026</w:t>
            </w:r>
          </w:p>
        </w:tc>
        <w:tc>
          <w:tcPr>
            <w:tcW w:w="809" w:type="pct"/>
            <w:tcBorders>
              <w:top w:val="single" w:sz="4" w:space="0" w:color="FFFFFF" w:themeColor="background1"/>
            </w:tcBorders>
            <w:shd w:val="clear" w:color="auto" w:fill="005CA9"/>
            <w:noWrap/>
            <w:vAlign w:val="center"/>
          </w:tcPr>
          <w:p w14:paraId="634CAAEA" w14:textId="5BD4BAE4" w:rsidR="001572B9" w:rsidRPr="00E74030" w:rsidRDefault="00584231">
            <w:pPr>
              <w:jc w:val="center"/>
              <w:rPr>
                <w:rFonts w:ascii="CAIXA Std Book" w:hAnsi="CAIXA Std Book"/>
                <w:b/>
                <w:color w:val="FFFFFF" w:themeColor="background1"/>
                <w:sz w:val="18"/>
                <w:szCs w:val="18"/>
              </w:rPr>
            </w:pPr>
            <w:r>
              <w:rPr>
                <w:rFonts w:ascii="CAIXA Std Book" w:hAnsi="CAIXA Std Book"/>
                <w:b/>
                <w:color w:val="FFFFFF" w:themeColor="background1"/>
                <w:sz w:val="18"/>
                <w:szCs w:val="18"/>
              </w:rPr>
              <w:t>3</w:t>
            </w:r>
            <w:r w:rsidR="00FF2A63">
              <w:rPr>
                <w:rFonts w:ascii="CAIXA Std Book" w:hAnsi="CAIXA Std Book"/>
                <w:b/>
                <w:color w:val="FFFFFF" w:themeColor="background1"/>
                <w:sz w:val="18"/>
                <w:szCs w:val="18"/>
              </w:rPr>
              <w:t>1</w:t>
            </w:r>
            <w:r>
              <w:rPr>
                <w:rFonts w:ascii="CAIXA Std Book" w:hAnsi="CAIXA Std Book"/>
                <w:b/>
                <w:color w:val="FFFFFF" w:themeColor="background1"/>
                <w:sz w:val="18"/>
                <w:szCs w:val="18"/>
              </w:rPr>
              <w:t>/</w:t>
            </w:r>
            <w:r w:rsidR="00FF2A63">
              <w:rPr>
                <w:rFonts w:ascii="CAIXA Std Book" w:hAnsi="CAIXA Std Book"/>
                <w:b/>
                <w:color w:val="FFFFFF" w:themeColor="background1"/>
                <w:sz w:val="18"/>
                <w:szCs w:val="18"/>
              </w:rPr>
              <w:t>12</w:t>
            </w:r>
            <w:r>
              <w:rPr>
                <w:rFonts w:ascii="CAIXA Std Book" w:hAnsi="CAIXA Std Book"/>
                <w:b/>
                <w:color w:val="FFFFFF" w:themeColor="background1"/>
                <w:sz w:val="18"/>
                <w:szCs w:val="18"/>
              </w:rPr>
              <w:t>/2025</w:t>
            </w:r>
          </w:p>
        </w:tc>
      </w:tr>
      <w:tr w:rsidR="00642681" w:rsidRPr="001572B9" w14:paraId="56BFDBB6" w14:textId="77777777" w:rsidTr="00296F18">
        <w:trPr>
          <w:trHeight w:val="283"/>
        </w:trPr>
        <w:tc>
          <w:tcPr>
            <w:tcW w:w="3383" w:type="pct"/>
            <w:tcBorders>
              <w:bottom w:val="single" w:sz="4" w:space="0" w:color="FFFFFF" w:themeColor="background1"/>
            </w:tcBorders>
            <w:shd w:val="clear" w:color="auto" w:fill="D0E0E3"/>
            <w:noWrap/>
            <w:vAlign w:val="center"/>
            <w:hideMark/>
          </w:tcPr>
          <w:p w14:paraId="7C44B003" w14:textId="1E6F6D0B" w:rsidR="001572B9" w:rsidRPr="00944DDD" w:rsidRDefault="001572B9">
            <w:pPr>
              <w:rPr>
                <w:rFonts w:ascii="CAIXA Std Book" w:hAnsi="CAIXA Std Book" w:cs="Calibri"/>
                <w:b/>
                <w:color w:val="005CA9"/>
                <w:sz w:val="18"/>
                <w:szCs w:val="18"/>
              </w:rPr>
            </w:pPr>
            <w:r>
              <w:rPr>
                <w:rFonts w:ascii="CAIXA Std Book" w:hAnsi="CAIXA Std Book" w:cs="Calibri"/>
                <w:b/>
                <w:color w:val="005CA9"/>
                <w:sz w:val="18"/>
                <w:szCs w:val="18"/>
              </w:rPr>
              <w:t>Reservas de reavaliação</w:t>
            </w:r>
          </w:p>
        </w:tc>
        <w:tc>
          <w:tcPr>
            <w:tcW w:w="808" w:type="pct"/>
            <w:tcBorders>
              <w:bottom w:val="single" w:sz="4" w:space="0" w:color="FFFFFF" w:themeColor="background1"/>
            </w:tcBorders>
            <w:shd w:val="clear" w:color="auto" w:fill="D0E0E3"/>
            <w:vAlign w:val="center"/>
          </w:tcPr>
          <w:p w14:paraId="298293D2" w14:textId="4707CC6B" w:rsidR="00D50F8A" w:rsidRDefault="00A11E01">
            <w:pPr>
              <w:jc w:val="right"/>
              <w:rPr>
                <w:rFonts w:ascii="CAIXA Std Book" w:hAnsi="CAIXA Std Book" w:cs="Calibri"/>
                <w:b/>
                <w:bCs/>
                <w:color w:val="005CA9"/>
                <w:sz w:val="18"/>
                <w:szCs w:val="18"/>
              </w:rPr>
            </w:pPr>
            <w:r>
              <w:rPr>
                <w:rFonts w:ascii="CAIXA Std Book" w:hAnsi="CAIXA Std Book" w:cs="Calibri"/>
                <w:b/>
                <w:bCs/>
                <w:color w:val="005CA9"/>
                <w:sz w:val="18"/>
                <w:szCs w:val="18"/>
              </w:rPr>
              <w:t>192.283</w:t>
            </w:r>
          </w:p>
        </w:tc>
        <w:tc>
          <w:tcPr>
            <w:tcW w:w="809" w:type="pct"/>
            <w:tcBorders>
              <w:bottom w:val="single" w:sz="4" w:space="0" w:color="FFFFFF" w:themeColor="background1"/>
            </w:tcBorders>
            <w:shd w:val="clear" w:color="auto" w:fill="D0E0E3"/>
            <w:noWrap/>
            <w:vAlign w:val="center"/>
          </w:tcPr>
          <w:p w14:paraId="72216E75" w14:textId="41D03F6E" w:rsidR="001572B9" w:rsidRPr="00944DDD" w:rsidRDefault="00042DE2">
            <w:pPr>
              <w:jc w:val="right"/>
              <w:rPr>
                <w:rFonts w:ascii="CAIXA Std Book" w:hAnsi="CAIXA Std Book" w:cs="Calibri"/>
                <w:b/>
                <w:color w:val="005CA9"/>
                <w:sz w:val="18"/>
                <w:szCs w:val="18"/>
              </w:rPr>
            </w:pPr>
            <w:r>
              <w:rPr>
                <w:rFonts w:ascii="CAIXA Std Book" w:hAnsi="CAIXA Std Book" w:cs="Calibri"/>
                <w:b/>
                <w:bCs/>
                <w:color w:val="005CA9"/>
                <w:sz w:val="18"/>
                <w:szCs w:val="18"/>
              </w:rPr>
              <w:t>194.005</w:t>
            </w:r>
          </w:p>
        </w:tc>
      </w:tr>
      <w:tr w:rsidR="00642681" w:rsidRPr="001572B9" w14:paraId="1076D824" w14:textId="77777777" w:rsidTr="00296F18">
        <w:trPr>
          <w:trHeight w:val="283"/>
        </w:trPr>
        <w:tc>
          <w:tcPr>
            <w:tcW w:w="3383" w:type="pct"/>
            <w:tcBorders>
              <w:top w:val="single" w:sz="4" w:space="0" w:color="FFFFFF" w:themeColor="background1"/>
            </w:tcBorders>
            <w:shd w:val="clear" w:color="auto" w:fill="D0E0E3"/>
            <w:noWrap/>
            <w:vAlign w:val="center"/>
            <w:hideMark/>
          </w:tcPr>
          <w:p w14:paraId="195CB87A" w14:textId="0DB48B5C" w:rsidR="001572B9" w:rsidRPr="00944DDD" w:rsidRDefault="001572B9">
            <w:pPr>
              <w:rPr>
                <w:rFonts w:ascii="CAIXA Std Book" w:hAnsi="CAIXA Std Book" w:cs="Calibri"/>
                <w:b/>
                <w:color w:val="005CA9"/>
                <w:sz w:val="18"/>
                <w:szCs w:val="18"/>
              </w:rPr>
            </w:pPr>
            <w:r>
              <w:rPr>
                <w:rFonts w:ascii="CAIXA Std Book" w:hAnsi="CAIXA Std Book" w:cs="Calibri"/>
                <w:b/>
                <w:color w:val="005CA9"/>
                <w:sz w:val="18"/>
                <w:szCs w:val="18"/>
              </w:rPr>
              <w:t>Reservas de lucros</w:t>
            </w:r>
          </w:p>
        </w:tc>
        <w:tc>
          <w:tcPr>
            <w:tcW w:w="808" w:type="pct"/>
            <w:tcBorders>
              <w:top w:val="single" w:sz="4" w:space="0" w:color="FFFFFF" w:themeColor="background1"/>
            </w:tcBorders>
            <w:shd w:val="clear" w:color="auto" w:fill="D0E0E3"/>
            <w:vAlign w:val="center"/>
          </w:tcPr>
          <w:p w14:paraId="6756B7E1" w14:textId="1139ED1B" w:rsidR="00D50F8A" w:rsidRDefault="00A11E01">
            <w:pPr>
              <w:jc w:val="right"/>
              <w:rPr>
                <w:rFonts w:ascii="CAIXA Std Book" w:hAnsi="CAIXA Std Book" w:cs="Calibri"/>
                <w:b/>
                <w:bCs/>
                <w:color w:val="005CA9"/>
                <w:sz w:val="18"/>
                <w:szCs w:val="18"/>
              </w:rPr>
            </w:pPr>
            <w:r>
              <w:rPr>
                <w:rFonts w:ascii="CAIXA Std Book" w:hAnsi="CAIXA Std Book" w:cs="Calibri"/>
                <w:b/>
                <w:bCs/>
                <w:color w:val="005CA9"/>
                <w:sz w:val="18"/>
                <w:szCs w:val="18"/>
              </w:rPr>
              <w:t>14.865.371</w:t>
            </w:r>
          </w:p>
        </w:tc>
        <w:tc>
          <w:tcPr>
            <w:tcW w:w="809" w:type="pct"/>
            <w:tcBorders>
              <w:top w:val="single" w:sz="4" w:space="0" w:color="FFFFFF" w:themeColor="background1"/>
            </w:tcBorders>
            <w:shd w:val="clear" w:color="auto" w:fill="D0E0E3"/>
            <w:noWrap/>
            <w:vAlign w:val="center"/>
          </w:tcPr>
          <w:p w14:paraId="151DCE41" w14:textId="6D1E34D4" w:rsidR="001572B9" w:rsidRPr="00944DDD" w:rsidRDefault="00042DE2">
            <w:pPr>
              <w:jc w:val="right"/>
              <w:rPr>
                <w:rFonts w:ascii="CAIXA Std Book" w:hAnsi="CAIXA Std Book" w:cs="Calibri"/>
                <w:b/>
                <w:color w:val="005CA9"/>
                <w:sz w:val="18"/>
                <w:szCs w:val="18"/>
              </w:rPr>
            </w:pPr>
            <w:r>
              <w:rPr>
                <w:rFonts w:ascii="CAIXA Std Book" w:hAnsi="CAIXA Std Book" w:cs="Calibri"/>
                <w:b/>
                <w:bCs/>
                <w:color w:val="005CA9"/>
                <w:sz w:val="18"/>
                <w:szCs w:val="18"/>
              </w:rPr>
              <w:t>14.865.371</w:t>
            </w:r>
          </w:p>
        </w:tc>
      </w:tr>
      <w:tr w:rsidR="00642681" w:rsidRPr="001572B9" w14:paraId="7CCEEBBC" w14:textId="77777777" w:rsidTr="00174708">
        <w:trPr>
          <w:trHeight w:val="283"/>
        </w:trPr>
        <w:tc>
          <w:tcPr>
            <w:tcW w:w="3383" w:type="pct"/>
            <w:noWrap/>
            <w:vAlign w:val="center"/>
            <w:hideMark/>
          </w:tcPr>
          <w:p w14:paraId="3A4E8F95" w14:textId="6FF89647" w:rsidR="001572B9" w:rsidRPr="00944DDD" w:rsidRDefault="001572B9" w:rsidP="00ED53F9">
            <w:pPr>
              <w:ind w:firstLineChars="100" w:firstLine="180"/>
              <w:rPr>
                <w:rFonts w:ascii="CAIXA Std Book" w:hAnsi="CAIXA Std Book" w:cs="Calibri"/>
                <w:b/>
                <w:color w:val="005CA9"/>
                <w:sz w:val="18"/>
                <w:szCs w:val="18"/>
              </w:rPr>
            </w:pPr>
            <w:r w:rsidRPr="00ED53F9">
              <w:rPr>
                <w:rFonts w:ascii="CAIXA Std Book" w:hAnsi="CAIXA Std Book" w:cs="Cambria Math"/>
                <w:color w:val="005CA9"/>
                <w:sz w:val="18"/>
                <w:szCs w:val="18"/>
              </w:rPr>
              <w:t>Reserva legal</w:t>
            </w:r>
          </w:p>
        </w:tc>
        <w:tc>
          <w:tcPr>
            <w:tcW w:w="808" w:type="pct"/>
            <w:vAlign w:val="center"/>
          </w:tcPr>
          <w:p w14:paraId="2D13BFCD" w14:textId="7649DC2D" w:rsidR="00D50F8A" w:rsidRDefault="00A11E01">
            <w:pPr>
              <w:jc w:val="right"/>
              <w:rPr>
                <w:rFonts w:ascii="CAIXA Std Book" w:hAnsi="CAIXA Std Book" w:cs="Calibri"/>
                <w:color w:val="005CA9"/>
                <w:sz w:val="18"/>
                <w:szCs w:val="18"/>
              </w:rPr>
            </w:pPr>
            <w:r>
              <w:rPr>
                <w:rFonts w:ascii="CAIXA Std Book" w:hAnsi="CAIXA Std Book" w:cs="Calibri"/>
                <w:color w:val="005CA9"/>
                <w:sz w:val="18"/>
                <w:szCs w:val="18"/>
              </w:rPr>
              <w:t>7.517.544</w:t>
            </w:r>
          </w:p>
        </w:tc>
        <w:tc>
          <w:tcPr>
            <w:tcW w:w="809" w:type="pct"/>
            <w:noWrap/>
            <w:vAlign w:val="center"/>
          </w:tcPr>
          <w:p w14:paraId="72E70AF0" w14:textId="3ADD8900" w:rsidR="001572B9" w:rsidRPr="00944DDD" w:rsidRDefault="00042DE2">
            <w:pPr>
              <w:jc w:val="right"/>
              <w:rPr>
                <w:rFonts w:ascii="CAIXA Std Book" w:hAnsi="CAIXA Std Book" w:cs="Calibri"/>
                <w:b/>
                <w:color w:val="005CA9"/>
                <w:sz w:val="18"/>
                <w:szCs w:val="18"/>
              </w:rPr>
            </w:pPr>
            <w:r>
              <w:rPr>
                <w:rFonts w:ascii="CAIXA Std Book" w:hAnsi="CAIXA Std Book" w:cs="Calibri"/>
                <w:color w:val="005CA9"/>
                <w:sz w:val="18"/>
                <w:szCs w:val="18"/>
              </w:rPr>
              <w:t>7.517.544</w:t>
            </w:r>
          </w:p>
        </w:tc>
      </w:tr>
      <w:tr w:rsidR="00642681" w:rsidRPr="001572B9" w14:paraId="54D55924" w14:textId="77777777" w:rsidTr="00174708">
        <w:trPr>
          <w:trHeight w:val="283"/>
        </w:trPr>
        <w:tc>
          <w:tcPr>
            <w:tcW w:w="3383" w:type="pct"/>
            <w:noWrap/>
            <w:vAlign w:val="center"/>
          </w:tcPr>
          <w:p w14:paraId="485D89C4" w14:textId="738956F7" w:rsidR="00042DE2" w:rsidRPr="00ED53F9" w:rsidRDefault="001A63E2" w:rsidP="00ED53F9">
            <w:pPr>
              <w:ind w:firstLineChars="100" w:firstLine="180"/>
              <w:rPr>
                <w:rFonts w:ascii="CAIXA Std Book" w:hAnsi="CAIXA Std Book" w:cs="Cambria Math"/>
                <w:color w:val="005CA9"/>
                <w:sz w:val="18"/>
                <w:szCs w:val="18"/>
              </w:rPr>
            </w:pPr>
            <w:r w:rsidRPr="00ED53F9">
              <w:rPr>
                <w:rFonts w:ascii="CAIXA Std Book" w:hAnsi="CAIXA Std Book" w:cs="Cambria Math"/>
                <w:color w:val="005CA9"/>
                <w:sz w:val="18"/>
                <w:szCs w:val="18"/>
              </w:rPr>
              <w:t xml:space="preserve">Reserva estatutária </w:t>
            </w:r>
            <w:r w:rsidR="00695895" w:rsidRPr="00ED53F9">
              <w:rPr>
                <w:rFonts w:ascii="CAIXA Std Book" w:hAnsi="CAIXA Std Book" w:cs="Cambria Math"/>
                <w:color w:val="005CA9"/>
                <w:sz w:val="18"/>
                <w:szCs w:val="18"/>
              </w:rPr>
              <w:t xml:space="preserve">– loterias </w:t>
            </w:r>
          </w:p>
        </w:tc>
        <w:tc>
          <w:tcPr>
            <w:tcW w:w="808" w:type="pct"/>
            <w:vAlign w:val="center"/>
          </w:tcPr>
          <w:p w14:paraId="2BE42B66" w14:textId="0A90B378" w:rsidR="00D50F8A" w:rsidRDefault="00A11E01" w:rsidP="00042DE2">
            <w:pPr>
              <w:jc w:val="right"/>
              <w:rPr>
                <w:rFonts w:ascii="CAIXA Std Book" w:hAnsi="CAIXA Std Book" w:cs="Calibri"/>
                <w:color w:val="005CA9"/>
                <w:sz w:val="18"/>
                <w:szCs w:val="18"/>
              </w:rPr>
            </w:pPr>
            <w:r>
              <w:rPr>
                <w:rFonts w:ascii="CAIXA Std Book" w:hAnsi="CAIXA Std Book" w:cs="Calibri"/>
                <w:color w:val="005CA9"/>
                <w:sz w:val="18"/>
                <w:szCs w:val="18"/>
              </w:rPr>
              <w:t>1.386.823</w:t>
            </w:r>
          </w:p>
        </w:tc>
        <w:tc>
          <w:tcPr>
            <w:tcW w:w="809" w:type="pct"/>
            <w:noWrap/>
            <w:vAlign w:val="center"/>
          </w:tcPr>
          <w:p w14:paraId="477B00AA" w14:textId="3716EF3D" w:rsidR="00042DE2" w:rsidRDefault="00695895" w:rsidP="00042DE2">
            <w:pPr>
              <w:jc w:val="right"/>
              <w:rPr>
                <w:rFonts w:ascii="CAIXA Std Book" w:hAnsi="CAIXA Std Book" w:cs="Calibri"/>
                <w:color w:val="005CA9"/>
                <w:sz w:val="18"/>
                <w:szCs w:val="18"/>
              </w:rPr>
            </w:pPr>
            <w:r>
              <w:rPr>
                <w:rFonts w:ascii="CAIXA Std Book" w:hAnsi="CAIXA Std Book" w:cs="Calibri"/>
                <w:color w:val="005CA9"/>
                <w:sz w:val="18"/>
                <w:szCs w:val="18"/>
              </w:rPr>
              <w:t>1.386.823</w:t>
            </w:r>
          </w:p>
        </w:tc>
      </w:tr>
      <w:tr w:rsidR="00642681" w:rsidRPr="001572B9" w14:paraId="2E2C810F" w14:textId="77777777" w:rsidTr="008E28CE">
        <w:trPr>
          <w:trHeight w:val="283"/>
        </w:trPr>
        <w:tc>
          <w:tcPr>
            <w:tcW w:w="3383" w:type="pct"/>
            <w:tcBorders>
              <w:bottom w:val="single" w:sz="4" w:space="0" w:color="1F497D" w:themeColor="text2"/>
            </w:tcBorders>
            <w:noWrap/>
            <w:vAlign w:val="center"/>
            <w:hideMark/>
          </w:tcPr>
          <w:p w14:paraId="20AA72C4" w14:textId="68F27A3B" w:rsidR="001572B9" w:rsidRPr="00ED53F9" w:rsidRDefault="001572B9" w:rsidP="00ED53F9">
            <w:pPr>
              <w:ind w:firstLineChars="100" w:firstLine="180"/>
              <w:rPr>
                <w:rFonts w:ascii="CAIXA Std Book" w:hAnsi="CAIXA Std Book" w:cs="Cambria Math"/>
                <w:color w:val="005CA9"/>
                <w:sz w:val="18"/>
                <w:szCs w:val="18"/>
              </w:rPr>
            </w:pPr>
            <w:r w:rsidRPr="00ED53F9">
              <w:rPr>
                <w:rFonts w:ascii="CAIXA Std Book" w:hAnsi="CAIXA Std Book" w:cs="Cambria Math"/>
                <w:color w:val="005CA9"/>
                <w:sz w:val="18"/>
                <w:szCs w:val="18"/>
              </w:rPr>
              <w:t xml:space="preserve">Reservas estatutária </w:t>
            </w:r>
            <w:r w:rsidR="00E74030" w:rsidRPr="00ED53F9">
              <w:rPr>
                <w:rFonts w:ascii="CAIXA Std Book" w:hAnsi="CAIXA Std Book" w:cs="Cambria Math"/>
                <w:color w:val="005CA9"/>
                <w:sz w:val="18"/>
                <w:szCs w:val="18"/>
              </w:rPr>
              <w:t>–</w:t>
            </w:r>
            <w:r w:rsidRPr="00ED53F9">
              <w:rPr>
                <w:rFonts w:ascii="CAIXA Std Book" w:hAnsi="CAIXA Std Book" w:cs="Cambria Math"/>
                <w:color w:val="005CA9"/>
                <w:sz w:val="18"/>
                <w:szCs w:val="18"/>
              </w:rPr>
              <w:t xml:space="preserve"> margem operacional</w:t>
            </w:r>
          </w:p>
        </w:tc>
        <w:tc>
          <w:tcPr>
            <w:tcW w:w="808" w:type="pct"/>
            <w:tcBorders>
              <w:bottom w:val="single" w:sz="4" w:space="0" w:color="1F497D" w:themeColor="text2"/>
            </w:tcBorders>
            <w:vAlign w:val="center"/>
          </w:tcPr>
          <w:p w14:paraId="342D92DC" w14:textId="6C41C5A7" w:rsidR="00D50F8A" w:rsidRDefault="00A11E01">
            <w:pPr>
              <w:jc w:val="right"/>
              <w:rPr>
                <w:rFonts w:ascii="CAIXA Std Book" w:hAnsi="CAIXA Std Book" w:cs="Calibri"/>
                <w:color w:val="005CA9"/>
                <w:sz w:val="18"/>
                <w:szCs w:val="18"/>
              </w:rPr>
            </w:pPr>
            <w:r>
              <w:rPr>
                <w:rFonts w:ascii="CAIXA Std Book" w:hAnsi="CAIXA Std Book" w:cs="Calibri"/>
                <w:color w:val="005CA9"/>
                <w:sz w:val="18"/>
                <w:szCs w:val="18"/>
              </w:rPr>
              <w:t>5.961.004</w:t>
            </w:r>
          </w:p>
        </w:tc>
        <w:tc>
          <w:tcPr>
            <w:tcW w:w="809" w:type="pct"/>
            <w:tcBorders>
              <w:bottom w:val="single" w:sz="4" w:space="0" w:color="1F497D" w:themeColor="text2"/>
            </w:tcBorders>
            <w:noWrap/>
            <w:vAlign w:val="center"/>
          </w:tcPr>
          <w:p w14:paraId="46018692" w14:textId="7318CA98" w:rsidR="001572B9" w:rsidRPr="001572B9" w:rsidRDefault="00D16D5B">
            <w:pPr>
              <w:jc w:val="right"/>
              <w:rPr>
                <w:rFonts w:ascii="CAIXA Std Book" w:hAnsi="CAIXA Std Book"/>
                <w:color w:val="005CA9"/>
                <w:sz w:val="18"/>
                <w:szCs w:val="18"/>
              </w:rPr>
            </w:pPr>
            <w:r>
              <w:rPr>
                <w:rFonts w:ascii="CAIXA Std Book" w:hAnsi="CAIXA Std Book" w:cs="Calibri"/>
                <w:color w:val="005CA9"/>
                <w:sz w:val="18"/>
                <w:szCs w:val="18"/>
              </w:rPr>
              <w:t>5.961.004</w:t>
            </w:r>
          </w:p>
        </w:tc>
      </w:tr>
    </w:tbl>
    <w:p w14:paraId="7C5FF5C3" w14:textId="1ED28C0B" w:rsidR="001572B9" w:rsidRPr="001572B9" w:rsidRDefault="001572B9" w:rsidP="00295657">
      <w:pPr>
        <w:keepNext/>
        <w:numPr>
          <w:ilvl w:val="0"/>
          <w:numId w:val="32"/>
        </w:numPr>
        <w:spacing w:before="240" w:after="120"/>
        <w:ind w:left="567" w:hanging="567"/>
        <w:jc w:val="both"/>
        <w:rPr>
          <w:rFonts w:ascii="CAIXA Std Book" w:hAnsi="CAIXA Std Book"/>
          <w:b/>
          <w:color w:val="005CA9"/>
          <w:sz w:val="20"/>
          <w:szCs w:val="20"/>
        </w:rPr>
      </w:pPr>
      <w:r w:rsidRPr="001572B9">
        <w:rPr>
          <w:rFonts w:ascii="CAIXA Std Book" w:hAnsi="CAIXA Std Book"/>
          <w:b/>
          <w:color w:val="005CA9"/>
          <w:sz w:val="20"/>
          <w:szCs w:val="20"/>
        </w:rPr>
        <w:t>Dividendos e juros sobre o capital próprio</w:t>
      </w:r>
    </w:p>
    <w:p w14:paraId="04F9FC5D" w14:textId="77777777" w:rsidR="00175F73" w:rsidRPr="00E20D21" w:rsidRDefault="00175F73" w:rsidP="00495D51">
      <w:pPr>
        <w:spacing w:before="120" w:after="120"/>
        <w:jc w:val="both"/>
        <w:rPr>
          <w:rFonts w:ascii="CAIXA Std Book" w:hAnsi="CAIXA Std Book"/>
          <w:color w:val="005CA9"/>
          <w:sz w:val="20"/>
          <w:szCs w:val="20"/>
        </w:rPr>
      </w:pPr>
      <w:bookmarkStart w:id="133" w:name="_Hlk65762744"/>
      <w:r w:rsidRPr="00E20D21">
        <w:rPr>
          <w:rFonts w:ascii="CAIXA Std Book" w:hAnsi="CAIXA Std Book"/>
          <w:color w:val="005CA9"/>
          <w:sz w:val="20"/>
          <w:szCs w:val="20"/>
        </w:rPr>
        <w:t xml:space="preserve">De acordo com o Estatuto Social e os parâmetros aprovados, a distribuição de resultado do exercício é de no mínimo 25% (vinte e cinco por cento) do Lucro Líquido Ajustado, conforme definido no Estatuto. </w:t>
      </w:r>
    </w:p>
    <w:p w14:paraId="0553303D" w14:textId="0DD2F2B3" w:rsidR="00175F73" w:rsidRPr="00E20D21" w:rsidRDefault="00175F73" w:rsidP="00495D51">
      <w:pPr>
        <w:spacing w:before="120" w:after="120"/>
        <w:jc w:val="both"/>
        <w:rPr>
          <w:rFonts w:ascii="CAIXA Std Book" w:hAnsi="CAIXA Std Book"/>
          <w:color w:val="005CA9"/>
          <w:sz w:val="20"/>
          <w:szCs w:val="20"/>
        </w:rPr>
      </w:pPr>
      <w:r w:rsidRPr="00E20D21">
        <w:rPr>
          <w:rFonts w:ascii="CAIXA Std Book" w:hAnsi="CAIXA Std Book"/>
          <w:color w:val="005CA9"/>
          <w:sz w:val="20"/>
          <w:szCs w:val="20"/>
        </w:rPr>
        <w:t xml:space="preserve">A distribuição de resultado do exercício é aprovada pela Assembleia Geral, após deliberação do Conselho de Administração, por proposta do Conselho Diretor e observado o </w:t>
      </w:r>
      <w:r w:rsidR="007A6FE1">
        <w:rPr>
          <w:rFonts w:ascii="CAIXA Std Book" w:hAnsi="CAIXA Std Book"/>
          <w:color w:val="005CA9"/>
          <w:sz w:val="20"/>
          <w:szCs w:val="20"/>
        </w:rPr>
        <w:t>posicionamento</w:t>
      </w:r>
      <w:r w:rsidRPr="00E20D21">
        <w:rPr>
          <w:rFonts w:ascii="CAIXA Std Book" w:hAnsi="CAIXA Std Book"/>
          <w:color w:val="005CA9"/>
          <w:sz w:val="20"/>
          <w:szCs w:val="20"/>
        </w:rPr>
        <w:t xml:space="preserve"> do Conselho Fiscal, levando em consideração as previsões legais e as condições do Estatuto Social da CAIXA.</w:t>
      </w:r>
    </w:p>
    <w:bookmarkEnd w:id="133"/>
    <w:p w14:paraId="636E4D54" w14:textId="77777777" w:rsidR="00175F73" w:rsidRPr="002602B3" w:rsidRDefault="00175F73" w:rsidP="00495D51">
      <w:pPr>
        <w:spacing w:before="120" w:after="120"/>
        <w:jc w:val="both"/>
        <w:rPr>
          <w:rFonts w:ascii="CAIXA Std Book" w:hAnsi="CAIXA Std Book"/>
          <w:color w:val="005CA9"/>
          <w:sz w:val="20"/>
          <w:szCs w:val="20"/>
        </w:rPr>
      </w:pPr>
      <w:r w:rsidRPr="00E20D21">
        <w:rPr>
          <w:rFonts w:ascii="CAIXA Std Book" w:hAnsi="CAIXA Std Book"/>
          <w:color w:val="005CA9"/>
          <w:sz w:val="20"/>
          <w:szCs w:val="20"/>
        </w:rPr>
        <w:t xml:space="preserve">Para efeito do cálculo da obrigação com dividendos, são computados os juros sobre o capital próprio, calculado pela remuneração da TJLP do período sobre o patrimônio líquido ajustado, limitado a 50% do </w:t>
      </w:r>
      <w:r w:rsidRPr="002602B3">
        <w:rPr>
          <w:rFonts w:ascii="CAIXA Std Book" w:hAnsi="CAIXA Std Book"/>
          <w:color w:val="005CA9"/>
          <w:sz w:val="20"/>
          <w:szCs w:val="20"/>
        </w:rPr>
        <w:t xml:space="preserve">lucro líquido do período. </w:t>
      </w:r>
    </w:p>
    <w:p w14:paraId="75363F13" w14:textId="77777777" w:rsidR="00F17826" w:rsidRDefault="00F17826">
      <w:pPr>
        <w:rPr>
          <w:rFonts w:ascii="CAIXA Std Book" w:hAnsi="CAIXA Std Book"/>
          <w:color w:val="005CA9"/>
          <w:sz w:val="20"/>
          <w:szCs w:val="20"/>
        </w:rPr>
      </w:pPr>
      <w:r>
        <w:rPr>
          <w:rFonts w:ascii="CAIXA Std Book" w:hAnsi="CAIXA Std Book"/>
          <w:color w:val="005CA9"/>
          <w:sz w:val="20"/>
          <w:szCs w:val="20"/>
        </w:rPr>
        <w:br w:type="page"/>
      </w:r>
    </w:p>
    <w:p w14:paraId="0368C369" w14:textId="097F4386" w:rsidR="00087E61" w:rsidRPr="00E95E29" w:rsidRDefault="00A2433C" w:rsidP="00B735D2">
      <w:pPr>
        <w:pStyle w:val="Ttulo1"/>
      </w:pPr>
      <w:bookmarkStart w:id="134" w:name="_Toc217914347"/>
      <w:bookmarkStart w:id="135" w:name="_Toc229588497"/>
      <w:r w:rsidRPr="00E95E29">
        <w:t xml:space="preserve">Nota   </w:t>
      </w:r>
      <w:r w:rsidR="00296458">
        <w:t>2</w:t>
      </w:r>
      <w:r w:rsidR="00323B4E">
        <w:t>1</w:t>
      </w:r>
      <w:r w:rsidR="00087E61" w:rsidRPr="00E95E29">
        <w:t xml:space="preserve"> – </w:t>
      </w:r>
      <w:r w:rsidR="00FC3B72" w:rsidRPr="00E95E29">
        <w:t>Receitas e despesas de juros e similares</w:t>
      </w:r>
      <w:bookmarkEnd w:id="134"/>
      <w:bookmarkEnd w:id="135"/>
    </w:p>
    <w:p w14:paraId="0F3E199B" w14:textId="0115248F" w:rsidR="00932E70" w:rsidRDefault="00932E70" w:rsidP="00295657">
      <w:pPr>
        <w:keepNext/>
        <w:numPr>
          <w:ilvl w:val="0"/>
          <w:numId w:val="25"/>
        </w:numPr>
        <w:spacing w:before="240" w:after="120"/>
        <w:ind w:left="567" w:hanging="567"/>
        <w:jc w:val="both"/>
        <w:rPr>
          <w:rFonts w:ascii="CAIXA Std Book" w:hAnsi="CAIXA Std Book"/>
          <w:b/>
          <w:color w:val="005CA9"/>
          <w:sz w:val="20"/>
          <w:szCs w:val="20"/>
        </w:rPr>
      </w:pPr>
      <w:r>
        <w:rPr>
          <w:rFonts w:ascii="CAIXA Std Book" w:hAnsi="CAIXA Std Book"/>
          <w:b/>
          <w:color w:val="005CA9"/>
          <w:sz w:val="20"/>
          <w:szCs w:val="20"/>
        </w:rPr>
        <w:t>Receitas de Juros</w:t>
      </w:r>
    </w:p>
    <w:tbl>
      <w:tblPr>
        <w:tblW w:w="5000" w:type="pct"/>
        <w:tblCellMar>
          <w:left w:w="0" w:type="dxa"/>
          <w:right w:w="0" w:type="dxa"/>
        </w:tblCellMar>
        <w:tblLook w:val="04A0" w:firstRow="1" w:lastRow="0" w:firstColumn="1" w:lastColumn="0" w:noHBand="0" w:noVBand="1"/>
      </w:tblPr>
      <w:tblGrid>
        <w:gridCol w:w="4990"/>
        <w:gridCol w:w="1162"/>
        <w:gridCol w:w="1164"/>
        <w:gridCol w:w="1162"/>
        <w:gridCol w:w="1160"/>
      </w:tblGrid>
      <w:tr w:rsidR="00386B31" w14:paraId="54D79887" w14:textId="77777777" w:rsidTr="00F46122">
        <w:trPr>
          <w:trHeight w:val="283"/>
        </w:trPr>
        <w:tc>
          <w:tcPr>
            <w:tcW w:w="2588" w:type="pct"/>
            <w:vMerge w:val="restart"/>
            <w:tcBorders>
              <w:top w:val="nil"/>
              <w:left w:val="nil"/>
              <w:bottom w:val="nil"/>
              <w:right w:val="nil"/>
            </w:tcBorders>
            <w:shd w:val="clear" w:color="000000" w:fill="005CA9"/>
            <w:tcMar>
              <w:top w:w="15" w:type="dxa"/>
              <w:left w:w="15" w:type="dxa"/>
              <w:bottom w:w="0" w:type="dxa"/>
              <w:right w:w="15" w:type="dxa"/>
            </w:tcMar>
            <w:vAlign w:val="center"/>
            <w:hideMark/>
          </w:tcPr>
          <w:p w14:paraId="3A79D0DD" w14:textId="77777777" w:rsidR="00386B31" w:rsidRDefault="00386B31">
            <w:pPr>
              <w:jc w:val="center"/>
              <w:rPr>
                <w:rFonts w:ascii="CAIXA Std Book" w:hAnsi="CAIXA Std Book"/>
                <w:b/>
                <w:bCs/>
                <w:color w:val="FFFFFF"/>
                <w:sz w:val="18"/>
                <w:szCs w:val="18"/>
              </w:rPr>
            </w:pPr>
            <w:r>
              <w:rPr>
                <w:rFonts w:ascii="CAIXA Std Book" w:hAnsi="CAIXA Std Book"/>
                <w:b/>
                <w:bCs/>
                <w:color w:val="FFFFFF"/>
                <w:sz w:val="18"/>
                <w:szCs w:val="18"/>
              </w:rPr>
              <w:t>Descrição</w:t>
            </w:r>
          </w:p>
        </w:tc>
        <w:tc>
          <w:tcPr>
            <w:tcW w:w="1207" w:type="pct"/>
            <w:gridSpan w:val="2"/>
            <w:tcBorders>
              <w:top w:val="nil"/>
              <w:left w:val="nil"/>
              <w:bottom w:val="nil"/>
              <w:right w:val="nil"/>
            </w:tcBorders>
            <w:shd w:val="clear" w:color="000000" w:fill="005CA9"/>
            <w:tcMar>
              <w:top w:w="15" w:type="dxa"/>
              <w:left w:w="15" w:type="dxa"/>
              <w:bottom w:w="0" w:type="dxa"/>
              <w:right w:w="15" w:type="dxa"/>
            </w:tcMar>
            <w:vAlign w:val="center"/>
            <w:hideMark/>
          </w:tcPr>
          <w:p w14:paraId="6E4E8D4B" w14:textId="77777777" w:rsidR="00386B31" w:rsidRDefault="00386B31">
            <w:pPr>
              <w:jc w:val="center"/>
              <w:rPr>
                <w:rFonts w:ascii="CAIXA Std Book" w:hAnsi="CAIXA Std Book"/>
                <w:b/>
                <w:bCs/>
                <w:color w:val="FFFFFF"/>
                <w:sz w:val="18"/>
                <w:szCs w:val="18"/>
              </w:rPr>
            </w:pPr>
            <w:r>
              <w:rPr>
                <w:rFonts w:ascii="CAIXA Std Book" w:hAnsi="CAIXA Std Book"/>
                <w:b/>
                <w:bCs/>
                <w:color w:val="FFFFFF"/>
                <w:sz w:val="18"/>
                <w:szCs w:val="18"/>
              </w:rPr>
              <w:t>Individual</w:t>
            </w:r>
          </w:p>
        </w:tc>
        <w:tc>
          <w:tcPr>
            <w:tcW w:w="1206" w:type="pct"/>
            <w:gridSpan w:val="2"/>
            <w:tcBorders>
              <w:top w:val="nil"/>
              <w:left w:val="nil"/>
              <w:bottom w:val="nil"/>
              <w:right w:val="nil"/>
            </w:tcBorders>
            <w:shd w:val="clear" w:color="000000" w:fill="005CA9"/>
            <w:tcMar>
              <w:top w:w="15" w:type="dxa"/>
              <w:left w:w="15" w:type="dxa"/>
              <w:bottom w:w="0" w:type="dxa"/>
              <w:right w:w="15" w:type="dxa"/>
            </w:tcMar>
            <w:vAlign w:val="center"/>
            <w:hideMark/>
          </w:tcPr>
          <w:p w14:paraId="568F5C5F" w14:textId="77777777" w:rsidR="00386B31" w:rsidRDefault="00386B31">
            <w:pPr>
              <w:jc w:val="center"/>
              <w:rPr>
                <w:rFonts w:ascii="CAIXA Std Book" w:hAnsi="CAIXA Std Book"/>
                <w:b/>
                <w:bCs/>
                <w:color w:val="FFFFFF"/>
                <w:sz w:val="18"/>
                <w:szCs w:val="18"/>
              </w:rPr>
            </w:pPr>
            <w:r>
              <w:rPr>
                <w:rFonts w:ascii="CAIXA Std Book" w:hAnsi="CAIXA Std Book"/>
                <w:b/>
                <w:bCs/>
                <w:color w:val="FFFFFF"/>
                <w:sz w:val="18"/>
                <w:szCs w:val="18"/>
              </w:rPr>
              <w:t>Consolidado</w:t>
            </w:r>
          </w:p>
        </w:tc>
      </w:tr>
      <w:tr w:rsidR="00386B31" w14:paraId="52D460F5" w14:textId="77777777" w:rsidTr="00F46122">
        <w:trPr>
          <w:trHeight w:val="283"/>
        </w:trPr>
        <w:tc>
          <w:tcPr>
            <w:tcW w:w="2588" w:type="pct"/>
            <w:vMerge/>
            <w:tcBorders>
              <w:top w:val="nil"/>
              <w:left w:val="nil"/>
              <w:bottom w:val="nil"/>
              <w:right w:val="nil"/>
            </w:tcBorders>
            <w:vAlign w:val="center"/>
            <w:hideMark/>
          </w:tcPr>
          <w:p w14:paraId="6E036216" w14:textId="77777777" w:rsidR="00386B31" w:rsidRDefault="00386B31">
            <w:pPr>
              <w:rPr>
                <w:rFonts w:ascii="CAIXA Std Book" w:hAnsi="CAIXA Std Book"/>
                <w:b/>
                <w:bCs/>
                <w:color w:val="FFFFFF"/>
                <w:sz w:val="18"/>
                <w:szCs w:val="18"/>
              </w:rPr>
            </w:pPr>
          </w:p>
        </w:tc>
        <w:tc>
          <w:tcPr>
            <w:tcW w:w="603" w:type="pct"/>
            <w:tcBorders>
              <w:top w:val="single" w:sz="4" w:space="0" w:color="FFFFFF"/>
              <w:left w:val="nil"/>
              <w:bottom w:val="single" w:sz="4" w:space="0" w:color="FFFFFF"/>
              <w:right w:val="nil"/>
            </w:tcBorders>
            <w:shd w:val="clear" w:color="000000" w:fill="005CA9"/>
            <w:tcMar>
              <w:top w:w="15" w:type="dxa"/>
              <w:left w:w="15" w:type="dxa"/>
              <w:bottom w:w="0" w:type="dxa"/>
              <w:right w:w="15" w:type="dxa"/>
            </w:tcMar>
            <w:vAlign w:val="center"/>
            <w:hideMark/>
          </w:tcPr>
          <w:p w14:paraId="12D6C72D" w14:textId="675570E2" w:rsidR="00386B31" w:rsidRDefault="00386B31">
            <w:pPr>
              <w:jc w:val="center"/>
              <w:rPr>
                <w:rFonts w:ascii="CAIXA Std Book" w:hAnsi="CAIXA Std Book"/>
                <w:b/>
                <w:bCs/>
                <w:color w:val="FFFFFF"/>
                <w:sz w:val="18"/>
                <w:szCs w:val="18"/>
              </w:rPr>
            </w:pPr>
            <w:r>
              <w:rPr>
                <w:rFonts w:ascii="CAIXA Std Book" w:hAnsi="CAIXA Std Book"/>
                <w:b/>
                <w:bCs/>
                <w:color w:val="FFFFFF"/>
                <w:sz w:val="18"/>
                <w:szCs w:val="18"/>
              </w:rPr>
              <w:t>202</w:t>
            </w:r>
            <w:r w:rsidR="00DD56AF">
              <w:rPr>
                <w:rFonts w:ascii="CAIXA Std Book" w:hAnsi="CAIXA Std Book"/>
                <w:b/>
                <w:bCs/>
                <w:color w:val="FFFFFF"/>
                <w:sz w:val="18"/>
                <w:szCs w:val="18"/>
              </w:rPr>
              <w:t>6</w:t>
            </w:r>
          </w:p>
        </w:tc>
        <w:tc>
          <w:tcPr>
            <w:tcW w:w="604" w:type="pct"/>
            <w:tcBorders>
              <w:top w:val="single" w:sz="4" w:space="0" w:color="FFFFFF"/>
              <w:left w:val="nil"/>
              <w:bottom w:val="single" w:sz="4" w:space="0" w:color="FFFFFF"/>
              <w:right w:val="nil"/>
            </w:tcBorders>
            <w:shd w:val="clear" w:color="000000" w:fill="005CA9"/>
            <w:tcMar>
              <w:top w:w="15" w:type="dxa"/>
              <w:left w:w="15" w:type="dxa"/>
              <w:bottom w:w="0" w:type="dxa"/>
              <w:right w:w="15" w:type="dxa"/>
            </w:tcMar>
            <w:vAlign w:val="center"/>
            <w:hideMark/>
          </w:tcPr>
          <w:p w14:paraId="54A3D373" w14:textId="33E3EE83" w:rsidR="00386B31" w:rsidRDefault="00386B31">
            <w:pPr>
              <w:jc w:val="center"/>
              <w:rPr>
                <w:rFonts w:ascii="CAIXA Std Book" w:hAnsi="CAIXA Std Book"/>
                <w:b/>
                <w:bCs/>
                <w:color w:val="FFFFFF"/>
                <w:sz w:val="18"/>
                <w:szCs w:val="18"/>
              </w:rPr>
            </w:pPr>
            <w:r>
              <w:rPr>
                <w:rFonts w:ascii="CAIXA Std Book" w:hAnsi="CAIXA Std Book"/>
                <w:b/>
                <w:bCs/>
                <w:color w:val="FFFFFF"/>
                <w:sz w:val="18"/>
                <w:szCs w:val="18"/>
              </w:rPr>
              <w:t>202</w:t>
            </w:r>
            <w:r w:rsidR="00DD56AF">
              <w:rPr>
                <w:rFonts w:ascii="CAIXA Std Book" w:hAnsi="CAIXA Std Book"/>
                <w:b/>
                <w:bCs/>
                <w:color w:val="FFFFFF"/>
                <w:sz w:val="18"/>
                <w:szCs w:val="18"/>
              </w:rPr>
              <w:t>5</w:t>
            </w:r>
          </w:p>
        </w:tc>
        <w:tc>
          <w:tcPr>
            <w:tcW w:w="603" w:type="pct"/>
            <w:tcBorders>
              <w:top w:val="single" w:sz="4" w:space="0" w:color="FFFFFF"/>
              <w:left w:val="nil"/>
              <w:bottom w:val="single" w:sz="4" w:space="0" w:color="FFFFFF"/>
              <w:right w:val="nil"/>
            </w:tcBorders>
            <w:shd w:val="clear" w:color="000000" w:fill="005CA9"/>
            <w:tcMar>
              <w:top w:w="15" w:type="dxa"/>
              <w:left w:w="15" w:type="dxa"/>
              <w:bottom w:w="0" w:type="dxa"/>
              <w:right w:w="15" w:type="dxa"/>
            </w:tcMar>
            <w:vAlign w:val="center"/>
            <w:hideMark/>
          </w:tcPr>
          <w:p w14:paraId="2BF3D545" w14:textId="5D006FD7" w:rsidR="00386B31" w:rsidRDefault="00386B31">
            <w:pPr>
              <w:jc w:val="center"/>
              <w:rPr>
                <w:rFonts w:ascii="CAIXA Std Book" w:hAnsi="CAIXA Std Book"/>
                <w:b/>
                <w:bCs/>
                <w:color w:val="FFFFFF"/>
                <w:sz w:val="18"/>
                <w:szCs w:val="18"/>
              </w:rPr>
            </w:pPr>
            <w:r>
              <w:rPr>
                <w:rFonts w:ascii="CAIXA Std Book" w:hAnsi="CAIXA Std Book"/>
                <w:b/>
                <w:bCs/>
                <w:color w:val="FFFFFF"/>
                <w:sz w:val="18"/>
                <w:szCs w:val="18"/>
              </w:rPr>
              <w:t>202</w:t>
            </w:r>
            <w:r w:rsidR="00DD56AF">
              <w:rPr>
                <w:rFonts w:ascii="CAIXA Std Book" w:hAnsi="CAIXA Std Book"/>
                <w:b/>
                <w:bCs/>
                <w:color w:val="FFFFFF"/>
                <w:sz w:val="18"/>
                <w:szCs w:val="18"/>
              </w:rPr>
              <w:t>6</w:t>
            </w:r>
          </w:p>
        </w:tc>
        <w:tc>
          <w:tcPr>
            <w:tcW w:w="603" w:type="pct"/>
            <w:tcBorders>
              <w:top w:val="single" w:sz="4" w:space="0" w:color="FFFFFF"/>
              <w:left w:val="nil"/>
              <w:bottom w:val="single" w:sz="4" w:space="0" w:color="FFFFFF"/>
              <w:right w:val="nil"/>
            </w:tcBorders>
            <w:shd w:val="clear" w:color="000000" w:fill="005CA9"/>
            <w:tcMar>
              <w:top w:w="15" w:type="dxa"/>
              <w:left w:w="15" w:type="dxa"/>
              <w:bottom w:w="0" w:type="dxa"/>
              <w:right w:w="15" w:type="dxa"/>
            </w:tcMar>
            <w:vAlign w:val="center"/>
            <w:hideMark/>
          </w:tcPr>
          <w:p w14:paraId="44498086" w14:textId="03836C8C" w:rsidR="00386B31" w:rsidRDefault="00386B31">
            <w:pPr>
              <w:jc w:val="center"/>
              <w:rPr>
                <w:rFonts w:ascii="CAIXA Std Book" w:hAnsi="CAIXA Std Book"/>
                <w:b/>
                <w:bCs/>
                <w:color w:val="FFFFFF"/>
                <w:sz w:val="18"/>
                <w:szCs w:val="18"/>
              </w:rPr>
            </w:pPr>
            <w:r>
              <w:rPr>
                <w:rFonts w:ascii="CAIXA Std Book" w:hAnsi="CAIXA Std Book"/>
                <w:b/>
                <w:bCs/>
                <w:color w:val="FFFFFF"/>
                <w:sz w:val="18"/>
                <w:szCs w:val="18"/>
              </w:rPr>
              <w:t>202</w:t>
            </w:r>
            <w:r w:rsidR="00DD56AF">
              <w:rPr>
                <w:rFonts w:ascii="CAIXA Std Book" w:hAnsi="CAIXA Std Book"/>
                <w:b/>
                <w:bCs/>
                <w:color w:val="FFFFFF"/>
                <w:sz w:val="18"/>
                <w:szCs w:val="18"/>
              </w:rPr>
              <w:t>5</w:t>
            </w:r>
          </w:p>
        </w:tc>
      </w:tr>
      <w:tr w:rsidR="00386B31" w14:paraId="3DCB0747" w14:textId="77777777" w:rsidTr="00015D20">
        <w:trPr>
          <w:trHeight w:val="283"/>
        </w:trPr>
        <w:tc>
          <w:tcPr>
            <w:tcW w:w="2588" w:type="pct"/>
            <w:vMerge/>
            <w:tcBorders>
              <w:top w:val="nil"/>
              <w:left w:val="nil"/>
              <w:bottom w:val="nil"/>
              <w:right w:val="nil"/>
            </w:tcBorders>
            <w:vAlign w:val="center"/>
            <w:hideMark/>
          </w:tcPr>
          <w:p w14:paraId="38986D66" w14:textId="77777777" w:rsidR="00386B31" w:rsidRDefault="00386B31">
            <w:pPr>
              <w:rPr>
                <w:rFonts w:ascii="CAIXA Std Book" w:hAnsi="CAIXA Std Book"/>
                <w:b/>
                <w:bCs/>
                <w:color w:val="FFFFFF"/>
                <w:sz w:val="18"/>
                <w:szCs w:val="18"/>
              </w:rPr>
            </w:pPr>
          </w:p>
        </w:tc>
        <w:tc>
          <w:tcPr>
            <w:tcW w:w="603" w:type="pct"/>
            <w:tcBorders>
              <w:top w:val="nil"/>
              <w:left w:val="nil"/>
              <w:bottom w:val="nil"/>
              <w:right w:val="nil"/>
            </w:tcBorders>
            <w:shd w:val="clear" w:color="000000" w:fill="005CA9"/>
            <w:tcMar>
              <w:top w:w="15" w:type="dxa"/>
              <w:left w:w="15" w:type="dxa"/>
              <w:bottom w:w="0" w:type="dxa"/>
              <w:right w:w="15" w:type="dxa"/>
            </w:tcMar>
            <w:vAlign w:val="center"/>
            <w:hideMark/>
          </w:tcPr>
          <w:p w14:paraId="4AA9A617" w14:textId="77777777" w:rsidR="00386B31" w:rsidRDefault="00386B31" w:rsidP="00E7148B">
            <w:pPr>
              <w:jc w:val="center"/>
              <w:rPr>
                <w:rFonts w:ascii="CAIXA Std Book" w:hAnsi="CAIXA Std Book"/>
                <w:b/>
                <w:bCs/>
                <w:color w:val="FFFFFF"/>
                <w:sz w:val="18"/>
                <w:szCs w:val="18"/>
              </w:rPr>
            </w:pPr>
            <w:r>
              <w:rPr>
                <w:rFonts w:ascii="CAIXA Std Book" w:hAnsi="CAIXA Std Book"/>
                <w:b/>
                <w:bCs/>
                <w:color w:val="FFFFFF"/>
                <w:sz w:val="18"/>
                <w:szCs w:val="18"/>
              </w:rPr>
              <w:t>1º trimestre</w:t>
            </w:r>
          </w:p>
        </w:tc>
        <w:tc>
          <w:tcPr>
            <w:tcW w:w="604" w:type="pct"/>
            <w:tcBorders>
              <w:top w:val="nil"/>
              <w:left w:val="nil"/>
              <w:bottom w:val="nil"/>
              <w:right w:val="nil"/>
            </w:tcBorders>
            <w:shd w:val="clear" w:color="000000" w:fill="005CA9"/>
            <w:tcMar>
              <w:top w:w="15" w:type="dxa"/>
              <w:left w:w="15" w:type="dxa"/>
              <w:bottom w:w="0" w:type="dxa"/>
              <w:right w:w="15" w:type="dxa"/>
            </w:tcMar>
            <w:vAlign w:val="center"/>
            <w:hideMark/>
          </w:tcPr>
          <w:p w14:paraId="6955977F" w14:textId="77777777" w:rsidR="00386B31" w:rsidRDefault="00386B31" w:rsidP="00E7148B">
            <w:pPr>
              <w:jc w:val="center"/>
              <w:rPr>
                <w:rFonts w:ascii="CAIXA Std Book" w:hAnsi="CAIXA Std Book"/>
                <w:b/>
                <w:bCs/>
                <w:color w:val="FFFFFF"/>
                <w:sz w:val="18"/>
                <w:szCs w:val="18"/>
              </w:rPr>
            </w:pPr>
            <w:r>
              <w:rPr>
                <w:rFonts w:ascii="CAIXA Std Book" w:hAnsi="CAIXA Std Book"/>
                <w:b/>
                <w:bCs/>
                <w:color w:val="FFFFFF"/>
                <w:sz w:val="18"/>
                <w:szCs w:val="18"/>
              </w:rPr>
              <w:t>1º trimestre</w:t>
            </w:r>
          </w:p>
        </w:tc>
        <w:tc>
          <w:tcPr>
            <w:tcW w:w="603" w:type="pct"/>
            <w:tcBorders>
              <w:top w:val="nil"/>
              <w:left w:val="nil"/>
              <w:bottom w:val="nil"/>
              <w:right w:val="nil"/>
            </w:tcBorders>
            <w:shd w:val="clear" w:color="auto" w:fill="005CA9"/>
            <w:tcMar>
              <w:top w:w="15" w:type="dxa"/>
              <w:left w:w="15" w:type="dxa"/>
              <w:bottom w:w="0" w:type="dxa"/>
              <w:right w:w="15" w:type="dxa"/>
            </w:tcMar>
            <w:vAlign w:val="center"/>
            <w:hideMark/>
          </w:tcPr>
          <w:p w14:paraId="13A1C67F" w14:textId="77777777" w:rsidR="00386B31" w:rsidRDefault="00386B31" w:rsidP="00E7148B">
            <w:pPr>
              <w:jc w:val="center"/>
              <w:rPr>
                <w:rFonts w:ascii="CAIXA Std Book" w:hAnsi="CAIXA Std Book"/>
                <w:b/>
                <w:bCs/>
                <w:color w:val="FFFFFF"/>
                <w:sz w:val="18"/>
                <w:szCs w:val="18"/>
              </w:rPr>
            </w:pPr>
            <w:r>
              <w:rPr>
                <w:rFonts w:ascii="CAIXA Std Book" w:hAnsi="CAIXA Std Book"/>
                <w:b/>
                <w:bCs/>
                <w:color w:val="FFFFFF"/>
                <w:sz w:val="18"/>
                <w:szCs w:val="18"/>
              </w:rPr>
              <w:t>1</w:t>
            </w:r>
            <w:r w:rsidRPr="00015D20">
              <w:rPr>
                <w:rFonts w:ascii="CAIXA Std Book" w:hAnsi="CAIXA Std Book"/>
                <w:b/>
                <w:bCs/>
                <w:color w:val="FFFFFF"/>
                <w:sz w:val="18"/>
                <w:szCs w:val="18"/>
                <w:shd w:val="clear" w:color="auto" w:fill="005CA9"/>
              </w:rPr>
              <w:t xml:space="preserve">º </w:t>
            </w:r>
            <w:r w:rsidRPr="00015D20">
              <w:rPr>
                <w:rFonts w:ascii="CAIXA Std Book" w:hAnsi="CAIXA Std Book"/>
                <w:b/>
                <w:color w:val="FFFFFF"/>
                <w:sz w:val="18"/>
                <w:szCs w:val="18"/>
                <w:shd w:val="clear" w:color="auto" w:fill="005CA9"/>
              </w:rPr>
              <w:t>trimestre</w:t>
            </w:r>
          </w:p>
        </w:tc>
        <w:tc>
          <w:tcPr>
            <w:tcW w:w="603" w:type="pct"/>
            <w:tcBorders>
              <w:top w:val="nil"/>
              <w:left w:val="nil"/>
              <w:bottom w:val="nil"/>
              <w:right w:val="nil"/>
            </w:tcBorders>
            <w:shd w:val="clear" w:color="000000" w:fill="005CA9"/>
            <w:tcMar>
              <w:top w:w="15" w:type="dxa"/>
              <w:left w:w="15" w:type="dxa"/>
              <w:bottom w:w="0" w:type="dxa"/>
              <w:right w:w="15" w:type="dxa"/>
            </w:tcMar>
            <w:vAlign w:val="center"/>
            <w:hideMark/>
          </w:tcPr>
          <w:p w14:paraId="4048A411" w14:textId="77777777" w:rsidR="00386B31" w:rsidRDefault="00386B31" w:rsidP="00E7148B">
            <w:pPr>
              <w:jc w:val="center"/>
              <w:rPr>
                <w:rFonts w:ascii="CAIXA Std Book" w:hAnsi="CAIXA Std Book"/>
                <w:b/>
                <w:bCs/>
                <w:color w:val="FFFFFF"/>
                <w:sz w:val="18"/>
                <w:szCs w:val="18"/>
              </w:rPr>
            </w:pPr>
            <w:r>
              <w:rPr>
                <w:rFonts w:ascii="CAIXA Std Book" w:hAnsi="CAIXA Std Book"/>
                <w:b/>
                <w:bCs/>
                <w:color w:val="FFFFFF"/>
                <w:sz w:val="18"/>
                <w:szCs w:val="18"/>
              </w:rPr>
              <w:t>1º trimestre</w:t>
            </w:r>
          </w:p>
        </w:tc>
      </w:tr>
      <w:tr w:rsidR="00386B31" w14:paraId="4D358E0D" w14:textId="77777777" w:rsidTr="002D3A0E">
        <w:trPr>
          <w:trHeight w:val="283"/>
        </w:trPr>
        <w:tc>
          <w:tcPr>
            <w:tcW w:w="2588" w:type="pct"/>
            <w:tcBorders>
              <w:top w:val="single" w:sz="4" w:space="0" w:color="FFFFFF"/>
              <w:left w:val="nil"/>
              <w:bottom w:val="single" w:sz="4" w:space="0" w:color="FFFFFF"/>
              <w:right w:val="nil"/>
            </w:tcBorders>
            <w:shd w:val="clear" w:color="000000" w:fill="D0E0E3"/>
            <w:noWrap/>
            <w:tcMar>
              <w:top w:w="15" w:type="dxa"/>
              <w:left w:w="15" w:type="dxa"/>
              <w:bottom w:w="0" w:type="dxa"/>
              <w:right w:w="15" w:type="dxa"/>
            </w:tcMar>
            <w:vAlign w:val="center"/>
            <w:hideMark/>
          </w:tcPr>
          <w:p w14:paraId="30E3063C" w14:textId="31664351" w:rsidR="00386B31" w:rsidRDefault="00386B31">
            <w:pPr>
              <w:rPr>
                <w:rFonts w:ascii="CAIXA Std Book" w:hAnsi="CAIXA Std Book"/>
                <w:b/>
                <w:bCs/>
                <w:color w:val="005CA9"/>
                <w:sz w:val="18"/>
                <w:szCs w:val="18"/>
              </w:rPr>
            </w:pPr>
            <w:r>
              <w:rPr>
                <w:rFonts w:ascii="CAIXA Std Book" w:hAnsi="CAIXA Std Book" w:cs="Calibri"/>
                <w:b/>
                <w:color w:val="005CA9"/>
                <w:sz w:val="18"/>
                <w:szCs w:val="18"/>
              </w:rPr>
              <w:t>Ao valor justo por meio do resultado</w:t>
            </w:r>
          </w:p>
        </w:tc>
        <w:tc>
          <w:tcPr>
            <w:tcW w:w="603" w:type="pct"/>
            <w:tcBorders>
              <w:top w:val="single" w:sz="4" w:space="0" w:color="FFFFFF"/>
              <w:left w:val="nil"/>
              <w:bottom w:val="single" w:sz="4" w:space="0" w:color="FFFFFF"/>
              <w:right w:val="nil"/>
            </w:tcBorders>
            <w:shd w:val="clear" w:color="000000" w:fill="D0E0E3"/>
            <w:noWrap/>
            <w:tcMar>
              <w:top w:w="15" w:type="dxa"/>
              <w:left w:w="15" w:type="dxa"/>
              <w:bottom w:w="0" w:type="dxa"/>
              <w:right w:w="15" w:type="dxa"/>
            </w:tcMar>
            <w:vAlign w:val="center"/>
          </w:tcPr>
          <w:p w14:paraId="107304AA" w14:textId="3B313DDD" w:rsidR="00386B31" w:rsidRDefault="00FB5070" w:rsidP="002D3A0E">
            <w:pPr>
              <w:jc w:val="right"/>
              <w:rPr>
                <w:rFonts w:ascii="CAIXA Std Book" w:hAnsi="CAIXA Std Book"/>
                <w:b/>
                <w:bCs/>
                <w:color w:val="005CA9"/>
                <w:sz w:val="16"/>
                <w:szCs w:val="16"/>
              </w:rPr>
            </w:pPr>
            <w:r>
              <w:rPr>
                <w:rFonts w:ascii="CAIXA Std Book" w:hAnsi="CAIXA Std Book" w:cs="Calibri"/>
                <w:b/>
                <w:bCs/>
                <w:color w:val="005CA9"/>
                <w:sz w:val="18"/>
                <w:szCs w:val="18"/>
              </w:rPr>
              <w:t>5.300.549</w:t>
            </w:r>
          </w:p>
        </w:tc>
        <w:tc>
          <w:tcPr>
            <w:tcW w:w="604" w:type="pct"/>
            <w:tcBorders>
              <w:top w:val="single" w:sz="4" w:space="0" w:color="FFFFFF"/>
              <w:left w:val="nil"/>
              <w:bottom w:val="single" w:sz="4" w:space="0" w:color="FFFFFF"/>
              <w:right w:val="nil"/>
            </w:tcBorders>
            <w:shd w:val="clear" w:color="000000" w:fill="D0E0E3"/>
            <w:noWrap/>
            <w:tcMar>
              <w:top w:w="15" w:type="dxa"/>
              <w:left w:w="15" w:type="dxa"/>
              <w:bottom w:w="0" w:type="dxa"/>
              <w:right w:w="15" w:type="dxa"/>
            </w:tcMar>
            <w:vAlign w:val="center"/>
            <w:hideMark/>
          </w:tcPr>
          <w:p w14:paraId="2786B192" w14:textId="21443CF5" w:rsidR="00386B31" w:rsidRDefault="00DD56AF" w:rsidP="002D3A0E">
            <w:pPr>
              <w:jc w:val="right"/>
              <w:rPr>
                <w:rFonts w:ascii="CAIXA Std Book" w:hAnsi="CAIXA Std Book"/>
                <w:b/>
                <w:bCs/>
                <w:color w:val="005CA9"/>
                <w:sz w:val="16"/>
                <w:szCs w:val="16"/>
              </w:rPr>
            </w:pPr>
            <w:r>
              <w:rPr>
                <w:rFonts w:ascii="CAIXA Std Book" w:hAnsi="CAIXA Std Book" w:cs="Calibri"/>
                <w:b/>
                <w:color w:val="005CA9"/>
                <w:sz w:val="18"/>
                <w:szCs w:val="18"/>
              </w:rPr>
              <w:t>3.626.233</w:t>
            </w:r>
          </w:p>
        </w:tc>
        <w:tc>
          <w:tcPr>
            <w:tcW w:w="603" w:type="pct"/>
            <w:tcBorders>
              <w:top w:val="single" w:sz="4" w:space="0" w:color="FFFFFF"/>
              <w:left w:val="nil"/>
              <w:bottom w:val="single" w:sz="4" w:space="0" w:color="FFFFFF"/>
              <w:right w:val="nil"/>
            </w:tcBorders>
            <w:shd w:val="clear" w:color="000000" w:fill="D0E0E3"/>
            <w:noWrap/>
            <w:tcMar>
              <w:top w:w="15" w:type="dxa"/>
              <w:left w:w="15" w:type="dxa"/>
              <w:bottom w:w="0" w:type="dxa"/>
              <w:right w:w="15" w:type="dxa"/>
            </w:tcMar>
            <w:vAlign w:val="center"/>
          </w:tcPr>
          <w:p w14:paraId="7556F046" w14:textId="41F248DD" w:rsidR="00386B31" w:rsidRDefault="00F46122" w:rsidP="002D3A0E">
            <w:pPr>
              <w:jc w:val="right"/>
              <w:rPr>
                <w:rFonts w:ascii="CAIXA Std Book" w:hAnsi="CAIXA Std Book"/>
                <w:b/>
                <w:bCs/>
                <w:color w:val="005CA9"/>
                <w:sz w:val="16"/>
                <w:szCs w:val="16"/>
              </w:rPr>
            </w:pPr>
            <w:r>
              <w:rPr>
                <w:rFonts w:ascii="CAIXA Std Book" w:hAnsi="CAIXA Std Book" w:cs="Calibri"/>
                <w:b/>
                <w:bCs/>
                <w:color w:val="005CA9"/>
                <w:sz w:val="18"/>
                <w:szCs w:val="18"/>
              </w:rPr>
              <w:t>5.445.299</w:t>
            </w:r>
          </w:p>
        </w:tc>
        <w:tc>
          <w:tcPr>
            <w:tcW w:w="603" w:type="pct"/>
            <w:tcBorders>
              <w:top w:val="single" w:sz="4" w:space="0" w:color="FFFFFF"/>
              <w:left w:val="nil"/>
              <w:bottom w:val="single" w:sz="4" w:space="0" w:color="FFFFFF"/>
              <w:right w:val="nil"/>
            </w:tcBorders>
            <w:shd w:val="clear" w:color="000000" w:fill="D0E0E3"/>
            <w:noWrap/>
            <w:tcMar>
              <w:top w:w="15" w:type="dxa"/>
              <w:left w:w="15" w:type="dxa"/>
              <w:bottom w:w="0" w:type="dxa"/>
              <w:right w:w="15" w:type="dxa"/>
            </w:tcMar>
            <w:vAlign w:val="center"/>
            <w:hideMark/>
          </w:tcPr>
          <w:p w14:paraId="234C9D26" w14:textId="3B3D96B7" w:rsidR="00386B31" w:rsidRDefault="00DD56AF" w:rsidP="002D3A0E">
            <w:pPr>
              <w:jc w:val="right"/>
              <w:rPr>
                <w:rFonts w:ascii="CAIXA Std Book" w:hAnsi="CAIXA Std Book"/>
                <w:b/>
                <w:bCs/>
                <w:color w:val="005CA9"/>
                <w:sz w:val="16"/>
                <w:szCs w:val="16"/>
              </w:rPr>
            </w:pPr>
            <w:r>
              <w:rPr>
                <w:rFonts w:ascii="CAIXA Std Book" w:hAnsi="CAIXA Std Book" w:cs="Calibri"/>
                <w:b/>
                <w:color w:val="005CA9"/>
                <w:sz w:val="18"/>
                <w:szCs w:val="18"/>
              </w:rPr>
              <w:t>3.676.010</w:t>
            </w:r>
          </w:p>
        </w:tc>
      </w:tr>
      <w:tr w:rsidR="00386B31" w14:paraId="256B8EC5" w14:textId="77777777" w:rsidTr="002D3A0E">
        <w:trPr>
          <w:trHeight w:val="283"/>
        </w:trPr>
        <w:tc>
          <w:tcPr>
            <w:tcW w:w="2588" w:type="pct"/>
            <w:tcBorders>
              <w:top w:val="nil"/>
              <w:left w:val="nil"/>
              <w:bottom w:val="single" w:sz="4" w:space="0" w:color="FFFFFF"/>
              <w:right w:val="nil"/>
            </w:tcBorders>
            <w:noWrap/>
            <w:tcMar>
              <w:top w:w="15" w:type="dxa"/>
              <w:left w:w="270" w:type="dxa"/>
              <w:bottom w:w="0" w:type="dxa"/>
              <w:right w:w="15" w:type="dxa"/>
            </w:tcMar>
            <w:vAlign w:val="center"/>
            <w:hideMark/>
          </w:tcPr>
          <w:p w14:paraId="1A975AFF" w14:textId="55EFC9B7" w:rsidR="00386B31" w:rsidRDefault="00386B31">
            <w:pPr>
              <w:ind w:firstLineChars="200" w:firstLine="360"/>
              <w:rPr>
                <w:rFonts w:ascii="CAIXA Std Book" w:hAnsi="CAIXA Std Book"/>
                <w:color w:val="005CA9"/>
                <w:sz w:val="18"/>
                <w:szCs w:val="18"/>
              </w:rPr>
            </w:pPr>
            <w:r>
              <w:rPr>
                <w:rFonts w:ascii="CAIXA Std Book" w:hAnsi="CAIXA Std Book" w:cs="Calibri"/>
                <w:color w:val="005CA9"/>
                <w:sz w:val="18"/>
                <w:szCs w:val="18"/>
              </w:rPr>
              <w:t>Títulos e valores mobiliários</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3B8AAD0C" w14:textId="6B1A4373"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5.300.549</w:t>
            </w:r>
          </w:p>
        </w:tc>
        <w:tc>
          <w:tcPr>
            <w:tcW w:w="604" w:type="pct"/>
            <w:tcBorders>
              <w:top w:val="nil"/>
              <w:left w:val="nil"/>
              <w:bottom w:val="single" w:sz="4" w:space="0" w:color="FFFFFF"/>
              <w:right w:val="nil"/>
            </w:tcBorders>
            <w:tcMar>
              <w:top w:w="15" w:type="dxa"/>
              <w:left w:w="15" w:type="dxa"/>
              <w:bottom w:w="0" w:type="dxa"/>
              <w:right w:w="15" w:type="dxa"/>
            </w:tcMar>
            <w:vAlign w:val="center"/>
            <w:hideMark/>
          </w:tcPr>
          <w:p w14:paraId="521D78FB" w14:textId="6861CBCF" w:rsidR="00386B31" w:rsidRDefault="00DD56AF" w:rsidP="002D3A0E">
            <w:pPr>
              <w:jc w:val="right"/>
              <w:rPr>
                <w:rFonts w:ascii="CAIXA Std Book" w:hAnsi="CAIXA Std Book"/>
                <w:color w:val="005CA9"/>
                <w:sz w:val="16"/>
                <w:szCs w:val="16"/>
              </w:rPr>
            </w:pPr>
            <w:r>
              <w:rPr>
                <w:rFonts w:ascii="CAIXA Std Book" w:hAnsi="CAIXA Std Book" w:cs="Calibri"/>
                <w:color w:val="005CA9"/>
                <w:sz w:val="18"/>
                <w:szCs w:val="18"/>
              </w:rPr>
              <w:t>3.626.233</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4FB703EF" w14:textId="06E20D3F" w:rsidR="00386B31" w:rsidRDefault="00F46122" w:rsidP="002D3A0E">
            <w:pPr>
              <w:jc w:val="right"/>
              <w:rPr>
                <w:rFonts w:ascii="CAIXA Std Book" w:hAnsi="CAIXA Std Book"/>
                <w:color w:val="005CA9"/>
                <w:sz w:val="16"/>
                <w:szCs w:val="16"/>
              </w:rPr>
            </w:pPr>
            <w:r>
              <w:rPr>
                <w:rFonts w:ascii="CAIXA Std Book" w:hAnsi="CAIXA Std Book" w:cs="Calibri"/>
                <w:color w:val="005CA9"/>
                <w:sz w:val="18"/>
                <w:szCs w:val="18"/>
              </w:rPr>
              <w:t>5.445.121</w:t>
            </w:r>
          </w:p>
        </w:tc>
        <w:tc>
          <w:tcPr>
            <w:tcW w:w="603" w:type="pct"/>
            <w:tcBorders>
              <w:top w:val="nil"/>
              <w:left w:val="nil"/>
              <w:bottom w:val="single" w:sz="4" w:space="0" w:color="FFFFFF"/>
              <w:right w:val="nil"/>
            </w:tcBorders>
            <w:tcMar>
              <w:top w:w="15" w:type="dxa"/>
              <w:left w:w="15" w:type="dxa"/>
              <w:bottom w:w="0" w:type="dxa"/>
              <w:right w:w="15" w:type="dxa"/>
            </w:tcMar>
            <w:vAlign w:val="center"/>
            <w:hideMark/>
          </w:tcPr>
          <w:p w14:paraId="3B1EBDFE" w14:textId="291AC6F2" w:rsidR="00386B31" w:rsidRDefault="00DD56AF" w:rsidP="002D3A0E">
            <w:pPr>
              <w:jc w:val="right"/>
              <w:rPr>
                <w:rFonts w:ascii="CAIXA Std Book" w:hAnsi="CAIXA Std Book"/>
                <w:color w:val="005CA9"/>
                <w:sz w:val="16"/>
                <w:szCs w:val="16"/>
              </w:rPr>
            </w:pPr>
            <w:r>
              <w:rPr>
                <w:rFonts w:ascii="CAIXA Std Book" w:hAnsi="CAIXA Std Book" w:cs="Calibri"/>
                <w:color w:val="005CA9"/>
                <w:sz w:val="18"/>
                <w:szCs w:val="18"/>
              </w:rPr>
              <w:t>3.676.010</w:t>
            </w:r>
          </w:p>
        </w:tc>
      </w:tr>
      <w:tr w:rsidR="00386B31" w14:paraId="3EC920C6" w14:textId="77777777" w:rsidTr="002D3A0E">
        <w:trPr>
          <w:trHeight w:val="283"/>
        </w:trPr>
        <w:tc>
          <w:tcPr>
            <w:tcW w:w="2588" w:type="pct"/>
            <w:tcBorders>
              <w:top w:val="nil"/>
              <w:left w:val="nil"/>
              <w:bottom w:val="single" w:sz="4" w:space="0" w:color="FFFFFF"/>
              <w:right w:val="nil"/>
            </w:tcBorders>
            <w:noWrap/>
            <w:tcMar>
              <w:top w:w="15" w:type="dxa"/>
              <w:left w:w="270" w:type="dxa"/>
              <w:bottom w:w="0" w:type="dxa"/>
              <w:right w:w="15" w:type="dxa"/>
            </w:tcMar>
            <w:vAlign w:val="center"/>
            <w:hideMark/>
          </w:tcPr>
          <w:p w14:paraId="2A50D8B6" w14:textId="0A4EFF1E" w:rsidR="00386B31" w:rsidRDefault="00386B31">
            <w:pPr>
              <w:ind w:firstLineChars="200" w:firstLine="360"/>
              <w:rPr>
                <w:rFonts w:ascii="CAIXA Std Book" w:hAnsi="CAIXA Std Book"/>
                <w:color w:val="005CA9"/>
                <w:sz w:val="18"/>
                <w:szCs w:val="18"/>
              </w:rPr>
            </w:pPr>
            <w:r>
              <w:rPr>
                <w:rFonts w:ascii="CAIXA Std Book" w:hAnsi="CAIXA Std Book" w:cs="Calibri"/>
                <w:color w:val="005CA9"/>
                <w:sz w:val="18"/>
                <w:szCs w:val="18"/>
              </w:rPr>
              <w:t>Outros ativos financeiros</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7A9679FB" w14:textId="139DD262" w:rsidR="00386B31" w:rsidRDefault="00FB5070" w:rsidP="002D3A0E">
            <w:pPr>
              <w:jc w:val="center"/>
              <w:rPr>
                <w:rFonts w:ascii="CAIXA Std Book" w:hAnsi="CAIXA Std Book"/>
                <w:color w:val="005CA9"/>
                <w:sz w:val="16"/>
                <w:szCs w:val="16"/>
              </w:rPr>
            </w:pPr>
            <w:r>
              <w:rPr>
                <w:rFonts w:ascii="CAIXA Std Book" w:hAnsi="CAIXA Std Book" w:cs="Calibri"/>
                <w:color w:val="005CA9"/>
                <w:sz w:val="18"/>
                <w:szCs w:val="18"/>
              </w:rPr>
              <w:t>-</w:t>
            </w:r>
          </w:p>
        </w:tc>
        <w:tc>
          <w:tcPr>
            <w:tcW w:w="604" w:type="pct"/>
            <w:tcBorders>
              <w:top w:val="nil"/>
              <w:left w:val="nil"/>
              <w:bottom w:val="single" w:sz="4" w:space="0" w:color="FFFFFF"/>
              <w:right w:val="nil"/>
            </w:tcBorders>
            <w:tcMar>
              <w:top w:w="15" w:type="dxa"/>
              <w:left w:w="15" w:type="dxa"/>
              <w:bottom w:w="0" w:type="dxa"/>
              <w:right w:w="15" w:type="dxa"/>
            </w:tcMar>
            <w:vAlign w:val="center"/>
            <w:hideMark/>
          </w:tcPr>
          <w:p w14:paraId="79D29767" w14:textId="289CB1B7" w:rsidR="00386B31" w:rsidRDefault="00FB5070" w:rsidP="002D3A0E">
            <w:pPr>
              <w:jc w:val="center"/>
              <w:rPr>
                <w:rFonts w:ascii="CAIXA Std Book" w:hAnsi="CAIXA Std Book"/>
                <w:color w:val="005CA9"/>
                <w:sz w:val="16"/>
                <w:szCs w:val="16"/>
              </w:rPr>
            </w:pPr>
            <w:r>
              <w:rPr>
                <w:rFonts w:ascii="CAIXA Std Book" w:hAnsi="CAIXA Std Book" w:cs="Calibri"/>
                <w:color w:val="005CA9"/>
                <w:sz w:val="18"/>
                <w:szCs w:val="18"/>
              </w:rPr>
              <w:t>-</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1F074920" w14:textId="2922DDE4" w:rsidR="00386B31" w:rsidRDefault="00F46122" w:rsidP="002D3A0E">
            <w:pPr>
              <w:jc w:val="right"/>
              <w:rPr>
                <w:rFonts w:ascii="CAIXA Std Book" w:hAnsi="CAIXA Std Book"/>
                <w:color w:val="005CA9"/>
                <w:sz w:val="16"/>
                <w:szCs w:val="16"/>
              </w:rPr>
            </w:pPr>
            <w:r>
              <w:rPr>
                <w:rFonts w:ascii="CAIXA Std Book" w:hAnsi="CAIXA Std Book" w:cs="Calibri"/>
                <w:color w:val="005CA9"/>
                <w:sz w:val="18"/>
                <w:szCs w:val="18"/>
              </w:rPr>
              <w:t>178</w:t>
            </w:r>
          </w:p>
        </w:tc>
        <w:tc>
          <w:tcPr>
            <w:tcW w:w="603" w:type="pct"/>
            <w:tcBorders>
              <w:top w:val="nil"/>
              <w:left w:val="nil"/>
              <w:bottom w:val="single" w:sz="4" w:space="0" w:color="FFFFFF"/>
              <w:right w:val="nil"/>
            </w:tcBorders>
            <w:tcMar>
              <w:top w:w="15" w:type="dxa"/>
              <w:left w:w="15" w:type="dxa"/>
              <w:bottom w:w="0" w:type="dxa"/>
              <w:right w:w="15" w:type="dxa"/>
            </w:tcMar>
            <w:vAlign w:val="center"/>
            <w:hideMark/>
          </w:tcPr>
          <w:p w14:paraId="758D0A18" w14:textId="11D1698C" w:rsidR="00386B31" w:rsidRDefault="00FB5070" w:rsidP="002D3A0E">
            <w:pPr>
              <w:jc w:val="center"/>
              <w:rPr>
                <w:rFonts w:ascii="CAIXA Std Book" w:hAnsi="CAIXA Std Book"/>
                <w:color w:val="005CA9"/>
                <w:sz w:val="16"/>
                <w:szCs w:val="16"/>
              </w:rPr>
            </w:pPr>
            <w:r>
              <w:rPr>
                <w:rFonts w:ascii="CAIXA Std Book" w:hAnsi="CAIXA Std Book" w:cs="Calibri"/>
                <w:color w:val="005CA9"/>
                <w:sz w:val="18"/>
                <w:szCs w:val="18"/>
              </w:rPr>
              <w:t>-</w:t>
            </w:r>
          </w:p>
        </w:tc>
      </w:tr>
      <w:tr w:rsidR="00386B31" w14:paraId="2DBE8318" w14:textId="77777777" w:rsidTr="002D3A0E">
        <w:trPr>
          <w:trHeight w:val="283"/>
        </w:trPr>
        <w:tc>
          <w:tcPr>
            <w:tcW w:w="2588"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hideMark/>
          </w:tcPr>
          <w:p w14:paraId="44FB0EB1" w14:textId="68EA4001" w:rsidR="00386B31" w:rsidRDefault="00386B31">
            <w:pPr>
              <w:rPr>
                <w:rFonts w:ascii="CAIXA Std Book" w:hAnsi="CAIXA Std Book"/>
                <w:b/>
                <w:bCs/>
                <w:color w:val="005CA9"/>
                <w:sz w:val="18"/>
                <w:szCs w:val="18"/>
              </w:rPr>
            </w:pPr>
            <w:r>
              <w:rPr>
                <w:rFonts w:ascii="CAIXA Std Book" w:hAnsi="CAIXA Std Book" w:cs="Calibri"/>
                <w:b/>
                <w:color w:val="005CA9"/>
                <w:sz w:val="18"/>
                <w:szCs w:val="18"/>
              </w:rPr>
              <w:t>Ao valor justo por meio de outros resultados</w:t>
            </w:r>
            <w:r w:rsidR="00FB5070">
              <w:rPr>
                <w:rFonts w:ascii="CAIXA Std Book" w:hAnsi="CAIXA Std Book" w:cs="Calibri"/>
                <w:b/>
                <w:bCs/>
                <w:color w:val="005CA9"/>
                <w:sz w:val="18"/>
                <w:szCs w:val="18"/>
              </w:rPr>
              <w:t xml:space="preserve"> </w:t>
            </w:r>
            <w:r>
              <w:rPr>
                <w:rFonts w:ascii="CAIXA Std Book" w:hAnsi="CAIXA Std Book" w:cs="Calibri"/>
                <w:b/>
                <w:color w:val="005CA9"/>
                <w:sz w:val="18"/>
                <w:szCs w:val="18"/>
              </w:rPr>
              <w:t>abrangentes</w:t>
            </w:r>
          </w:p>
        </w:tc>
        <w:tc>
          <w:tcPr>
            <w:tcW w:w="603"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tcPr>
          <w:p w14:paraId="6E6F7011" w14:textId="7DA66746" w:rsidR="00386B31" w:rsidRDefault="00FB5070" w:rsidP="002D3A0E">
            <w:pPr>
              <w:jc w:val="right"/>
              <w:rPr>
                <w:rFonts w:ascii="CAIXA Std Book" w:hAnsi="CAIXA Std Book"/>
                <w:b/>
                <w:bCs/>
                <w:color w:val="005CA9"/>
                <w:sz w:val="16"/>
                <w:szCs w:val="16"/>
              </w:rPr>
            </w:pPr>
            <w:r>
              <w:rPr>
                <w:rFonts w:ascii="CAIXA Std Book" w:hAnsi="CAIXA Std Book" w:cs="Calibri"/>
                <w:b/>
                <w:bCs/>
                <w:color w:val="005CA9"/>
                <w:sz w:val="18"/>
                <w:szCs w:val="18"/>
              </w:rPr>
              <w:t>16.299.651</w:t>
            </w:r>
          </w:p>
        </w:tc>
        <w:tc>
          <w:tcPr>
            <w:tcW w:w="604"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hideMark/>
          </w:tcPr>
          <w:p w14:paraId="442B3F3A" w14:textId="4A017FC5" w:rsidR="00386B31" w:rsidRDefault="00DD56AF" w:rsidP="002D3A0E">
            <w:pPr>
              <w:jc w:val="right"/>
              <w:rPr>
                <w:rFonts w:ascii="CAIXA Std Book" w:hAnsi="CAIXA Std Book"/>
                <w:b/>
                <w:bCs/>
                <w:color w:val="005CA9"/>
                <w:sz w:val="16"/>
                <w:szCs w:val="16"/>
              </w:rPr>
            </w:pPr>
            <w:r>
              <w:rPr>
                <w:rFonts w:ascii="CAIXA Std Book" w:hAnsi="CAIXA Std Book" w:cs="Calibri"/>
                <w:b/>
                <w:color w:val="005CA9"/>
                <w:sz w:val="18"/>
                <w:szCs w:val="18"/>
              </w:rPr>
              <w:t>13.115.089</w:t>
            </w:r>
          </w:p>
        </w:tc>
        <w:tc>
          <w:tcPr>
            <w:tcW w:w="603"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tcPr>
          <w:p w14:paraId="4A256212" w14:textId="39A7298D" w:rsidR="00386B31" w:rsidRDefault="00F46122" w:rsidP="002D3A0E">
            <w:pPr>
              <w:jc w:val="right"/>
              <w:rPr>
                <w:rFonts w:ascii="CAIXA Std Book" w:hAnsi="CAIXA Std Book"/>
                <w:b/>
                <w:bCs/>
                <w:color w:val="005CA9"/>
                <w:sz w:val="16"/>
                <w:szCs w:val="16"/>
              </w:rPr>
            </w:pPr>
            <w:r>
              <w:rPr>
                <w:rFonts w:ascii="CAIXA Std Book" w:hAnsi="CAIXA Std Book" w:cs="Calibri"/>
                <w:b/>
                <w:bCs/>
                <w:color w:val="005CA9"/>
                <w:sz w:val="18"/>
                <w:szCs w:val="18"/>
              </w:rPr>
              <w:t>16.260.484</w:t>
            </w:r>
          </w:p>
        </w:tc>
        <w:tc>
          <w:tcPr>
            <w:tcW w:w="603"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hideMark/>
          </w:tcPr>
          <w:p w14:paraId="173029C1" w14:textId="134456D6" w:rsidR="00386B31" w:rsidRDefault="00DD56AF" w:rsidP="002D3A0E">
            <w:pPr>
              <w:jc w:val="right"/>
              <w:rPr>
                <w:rFonts w:ascii="CAIXA Std Book" w:hAnsi="CAIXA Std Book"/>
                <w:b/>
                <w:bCs/>
                <w:color w:val="005CA9"/>
                <w:sz w:val="16"/>
                <w:szCs w:val="16"/>
              </w:rPr>
            </w:pPr>
            <w:r>
              <w:rPr>
                <w:rFonts w:ascii="CAIXA Std Book" w:hAnsi="CAIXA Std Book" w:cs="Calibri"/>
                <w:b/>
                <w:color w:val="005CA9"/>
                <w:sz w:val="18"/>
                <w:szCs w:val="18"/>
              </w:rPr>
              <w:t>13.080.476</w:t>
            </w:r>
          </w:p>
        </w:tc>
      </w:tr>
      <w:tr w:rsidR="00386B31" w14:paraId="2735261F" w14:textId="77777777" w:rsidTr="002D3A0E">
        <w:trPr>
          <w:trHeight w:val="283"/>
        </w:trPr>
        <w:tc>
          <w:tcPr>
            <w:tcW w:w="2588" w:type="pct"/>
            <w:tcBorders>
              <w:top w:val="nil"/>
              <w:left w:val="nil"/>
              <w:bottom w:val="single" w:sz="4" w:space="0" w:color="FFFFFF"/>
              <w:right w:val="nil"/>
            </w:tcBorders>
            <w:noWrap/>
            <w:tcMar>
              <w:top w:w="15" w:type="dxa"/>
              <w:left w:w="270" w:type="dxa"/>
              <w:bottom w:w="0" w:type="dxa"/>
              <w:right w:w="15" w:type="dxa"/>
            </w:tcMar>
            <w:vAlign w:val="center"/>
            <w:hideMark/>
          </w:tcPr>
          <w:p w14:paraId="00B7E91E" w14:textId="61C9FE54" w:rsidR="00386B31" w:rsidRDefault="00FB5070">
            <w:pPr>
              <w:ind w:firstLineChars="200" w:firstLine="360"/>
              <w:rPr>
                <w:rFonts w:ascii="CAIXA Std Book" w:hAnsi="CAIXA Std Book"/>
                <w:color w:val="005CA9"/>
                <w:sz w:val="18"/>
                <w:szCs w:val="18"/>
              </w:rPr>
            </w:pPr>
            <w:r>
              <w:rPr>
                <w:rFonts w:ascii="CAIXA Std Book" w:hAnsi="CAIXA Std Book" w:cs="Calibri"/>
                <w:color w:val="005CA9"/>
                <w:sz w:val="18"/>
                <w:szCs w:val="18"/>
              </w:rPr>
              <w:t>Títulos e valores mobiliários</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2A76DC9F" w14:textId="1D2EBE60"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9.933.790</w:t>
            </w:r>
          </w:p>
        </w:tc>
        <w:tc>
          <w:tcPr>
            <w:tcW w:w="604" w:type="pct"/>
            <w:tcBorders>
              <w:top w:val="nil"/>
              <w:left w:val="nil"/>
              <w:bottom w:val="single" w:sz="4" w:space="0" w:color="FFFFFF"/>
              <w:right w:val="nil"/>
            </w:tcBorders>
            <w:tcMar>
              <w:top w:w="15" w:type="dxa"/>
              <w:left w:w="15" w:type="dxa"/>
              <w:bottom w:w="0" w:type="dxa"/>
              <w:right w:w="15" w:type="dxa"/>
            </w:tcMar>
            <w:vAlign w:val="center"/>
            <w:hideMark/>
          </w:tcPr>
          <w:p w14:paraId="2CFA867F" w14:textId="28762BA0"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5.414.045</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22068719" w14:textId="5CF1E920" w:rsidR="00386B31" w:rsidRDefault="00F46122" w:rsidP="002D3A0E">
            <w:pPr>
              <w:jc w:val="right"/>
              <w:rPr>
                <w:rFonts w:ascii="CAIXA Std Book" w:hAnsi="CAIXA Std Book"/>
                <w:color w:val="005CA9"/>
                <w:sz w:val="16"/>
                <w:szCs w:val="16"/>
              </w:rPr>
            </w:pPr>
            <w:r>
              <w:rPr>
                <w:rFonts w:ascii="CAIXA Std Book" w:hAnsi="CAIXA Std Book" w:cs="Calibri"/>
                <w:color w:val="005CA9"/>
                <w:sz w:val="18"/>
                <w:szCs w:val="18"/>
              </w:rPr>
              <w:t>9.894.623</w:t>
            </w:r>
          </w:p>
        </w:tc>
        <w:tc>
          <w:tcPr>
            <w:tcW w:w="603" w:type="pct"/>
            <w:tcBorders>
              <w:top w:val="nil"/>
              <w:left w:val="nil"/>
              <w:bottom w:val="single" w:sz="4" w:space="0" w:color="FFFFFF"/>
              <w:right w:val="nil"/>
            </w:tcBorders>
            <w:tcMar>
              <w:top w:w="15" w:type="dxa"/>
              <w:left w:w="15" w:type="dxa"/>
              <w:bottom w:w="0" w:type="dxa"/>
              <w:right w:w="15" w:type="dxa"/>
            </w:tcMar>
            <w:vAlign w:val="center"/>
            <w:hideMark/>
          </w:tcPr>
          <w:p w14:paraId="6F799AD1" w14:textId="7F1D923D"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5.379.432</w:t>
            </w:r>
          </w:p>
        </w:tc>
      </w:tr>
      <w:tr w:rsidR="00386B31" w14:paraId="572945F7" w14:textId="77777777" w:rsidTr="002D3A0E">
        <w:trPr>
          <w:trHeight w:val="283"/>
        </w:trPr>
        <w:tc>
          <w:tcPr>
            <w:tcW w:w="2588" w:type="pct"/>
            <w:tcBorders>
              <w:top w:val="nil"/>
              <w:left w:val="nil"/>
              <w:bottom w:val="single" w:sz="4" w:space="0" w:color="FFFFFF"/>
              <w:right w:val="nil"/>
            </w:tcBorders>
            <w:noWrap/>
            <w:tcMar>
              <w:top w:w="15" w:type="dxa"/>
              <w:left w:w="270" w:type="dxa"/>
              <w:bottom w:w="0" w:type="dxa"/>
              <w:right w:w="15" w:type="dxa"/>
            </w:tcMar>
            <w:vAlign w:val="center"/>
            <w:hideMark/>
          </w:tcPr>
          <w:p w14:paraId="3D043B91" w14:textId="49187EA4" w:rsidR="00386B31" w:rsidRDefault="00FB5070">
            <w:pPr>
              <w:ind w:firstLineChars="200" w:firstLine="360"/>
              <w:rPr>
                <w:rFonts w:ascii="CAIXA Std Book" w:hAnsi="CAIXA Std Book"/>
                <w:color w:val="005CA9"/>
                <w:sz w:val="18"/>
                <w:szCs w:val="18"/>
              </w:rPr>
            </w:pPr>
            <w:r>
              <w:rPr>
                <w:rFonts w:ascii="CAIXA Std Book" w:hAnsi="CAIXA Std Book" w:cs="Calibri"/>
                <w:color w:val="005CA9"/>
                <w:sz w:val="18"/>
                <w:szCs w:val="18"/>
              </w:rPr>
              <w:t>Aplicações interfinanceiras de liquidez</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666E0E61" w14:textId="4BBF4806"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6.365.861</w:t>
            </w:r>
          </w:p>
        </w:tc>
        <w:tc>
          <w:tcPr>
            <w:tcW w:w="604" w:type="pct"/>
            <w:tcBorders>
              <w:top w:val="nil"/>
              <w:left w:val="nil"/>
              <w:bottom w:val="single" w:sz="4" w:space="0" w:color="FFFFFF"/>
              <w:right w:val="nil"/>
            </w:tcBorders>
            <w:tcMar>
              <w:top w:w="15" w:type="dxa"/>
              <w:left w:w="15" w:type="dxa"/>
              <w:bottom w:w="0" w:type="dxa"/>
              <w:right w:w="15" w:type="dxa"/>
            </w:tcMar>
            <w:vAlign w:val="center"/>
            <w:hideMark/>
          </w:tcPr>
          <w:p w14:paraId="272A7DE0" w14:textId="6162AAD1"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7.701.044</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242BBDAA" w14:textId="478967D6" w:rsidR="00386B31" w:rsidRDefault="00F46122" w:rsidP="002D3A0E">
            <w:pPr>
              <w:jc w:val="right"/>
              <w:rPr>
                <w:rFonts w:ascii="CAIXA Std Book" w:hAnsi="CAIXA Std Book"/>
                <w:color w:val="005CA9"/>
                <w:sz w:val="16"/>
                <w:szCs w:val="16"/>
              </w:rPr>
            </w:pPr>
            <w:r>
              <w:rPr>
                <w:rFonts w:ascii="CAIXA Std Book" w:hAnsi="CAIXA Std Book" w:cs="Calibri"/>
                <w:color w:val="005CA9"/>
                <w:sz w:val="18"/>
                <w:szCs w:val="18"/>
              </w:rPr>
              <w:t>6.365.861</w:t>
            </w:r>
          </w:p>
        </w:tc>
        <w:tc>
          <w:tcPr>
            <w:tcW w:w="603" w:type="pct"/>
            <w:tcBorders>
              <w:top w:val="nil"/>
              <w:left w:val="nil"/>
              <w:bottom w:val="single" w:sz="4" w:space="0" w:color="FFFFFF"/>
              <w:right w:val="nil"/>
            </w:tcBorders>
            <w:tcMar>
              <w:top w:w="15" w:type="dxa"/>
              <w:left w:w="15" w:type="dxa"/>
              <w:bottom w:w="0" w:type="dxa"/>
              <w:right w:w="15" w:type="dxa"/>
            </w:tcMar>
            <w:vAlign w:val="center"/>
            <w:hideMark/>
          </w:tcPr>
          <w:p w14:paraId="3D17DA94" w14:textId="4AB50256"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7.701.044</w:t>
            </w:r>
          </w:p>
        </w:tc>
      </w:tr>
      <w:tr w:rsidR="00386B31" w14:paraId="738E71DD" w14:textId="77777777" w:rsidTr="002D3A0E">
        <w:trPr>
          <w:trHeight w:val="283"/>
        </w:trPr>
        <w:tc>
          <w:tcPr>
            <w:tcW w:w="2588"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hideMark/>
          </w:tcPr>
          <w:p w14:paraId="656E0BA4" w14:textId="0BD42C0A" w:rsidR="00386B31" w:rsidRDefault="00386B31">
            <w:pPr>
              <w:rPr>
                <w:rFonts w:ascii="CAIXA Std Book" w:hAnsi="CAIXA Std Book"/>
                <w:b/>
                <w:bCs/>
                <w:color w:val="005CA9"/>
                <w:sz w:val="18"/>
                <w:szCs w:val="18"/>
              </w:rPr>
            </w:pPr>
            <w:r>
              <w:rPr>
                <w:rFonts w:ascii="CAIXA Std Book" w:hAnsi="CAIXA Std Book" w:cs="Calibri"/>
                <w:b/>
                <w:color w:val="005CA9"/>
                <w:sz w:val="18"/>
                <w:szCs w:val="18"/>
              </w:rPr>
              <w:t>Ao custo amortizado</w:t>
            </w:r>
          </w:p>
        </w:tc>
        <w:tc>
          <w:tcPr>
            <w:tcW w:w="603"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tcPr>
          <w:p w14:paraId="49C17688" w14:textId="65AA3D1E" w:rsidR="00386B31" w:rsidRDefault="00FB5070" w:rsidP="002D3A0E">
            <w:pPr>
              <w:jc w:val="right"/>
              <w:rPr>
                <w:rFonts w:ascii="CAIXA Std Book" w:hAnsi="CAIXA Std Book"/>
                <w:b/>
                <w:bCs/>
                <w:color w:val="005CA9"/>
                <w:sz w:val="16"/>
                <w:szCs w:val="16"/>
              </w:rPr>
            </w:pPr>
            <w:r>
              <w:rPr>
                <w:rFonts w:ascii="CAIXA Std Book" w:hAnsi="CAIXA Std Book" w:cs="Calibri"/>
                <w:b/>
                <w:bCs/>
                <w:color w:val="005CA9"/>
                <w:sz w:val="18"/>
                <w:szCs w:val="18"/>
              </w:rPr>
              <w:t>43.156.018</w:t>
            </w:r>
          </w:p>
        </w:tc>
        <w:tc>
          <w:tcPr>
            <w:tcW w:w="604"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hideMark/>
          </w:tcPr>
          <w:p w14:paraId="1DED2516" w14:textId="0C8E8F6A" w:rsidR="00386B31" w:rsidRDefault="00DD56AF" w:rsidP="002D3A0E">
            <w:pPr>
              <w:jc w:val="right"/>
              <w:rPr>
                <w:rFonts w:ascii="CAIXA Std Book" w:hAnsi="CAIXA Std Book"/>
                <w:b/>
                <w:bCs/>
                <w:color w:val="005CA9"/>
                <w:sz w:val="16"/>
                <w:szCs w:val="16"/>
              </w:rPr>
            </w:pPr>
            <w:r>
              <w:rPr>
                <w:rFonts w:ascii="CAIXA Std Book" w:hAnsi="CAIXA Std Book" w:cs="Calibri"/>
                <w:b/>
                <w:color w:val="005CA9"/>
                <w:sz w:val="18"/>
                <w:szCs w:val="18"/>
              </w:rPr>
              <w:t>38.605.998</w:t>
            </w:r>
          </w:p>
        </w:tc>
        <w:tc>
          <w:tcPr>
            <w:tcW w:w="603"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tcPr>
          <w:p w14:paraId="2DB48320" w14:textId="7D615634" w:rsidR="00386B31" w:rsidRDefault="00F46122" w:rsidP="002D3A0E">
            <w:pPr>
              <w:jc w:val="right"/>
              <w:rPr>
                <w:rFonts w:ascii="CAIXA Std Book" w:hAnsi="CAIXA Std Book"/>
                <w:b/>
                <w:bCs/>
                <w:color w:val="005CA9"/>
                <w:sz w:val="16"/>
                <w:szCs w:val="16"/>
              </w:rPr>
            </w:pPr>
            <w:r>
              <w:rPr>
                <w:rFonts w:ascii="CAIXA Std Book" w:hAnsi="CAIXA Std Book" w:cs="Calibri"/>
                <w:b/>
                <w:bCs/>
                <w:color w:val="005CA9"/>
                <w:sz w:val="18"/>
                <w:szCs w:val="18"/>
              </w:rPr>
              <w:t>43.209.136</w:t>
            </w:r>
          </w:p>
        </w:tc>
        <w:tc>
          <w:tcPr>
            <w:tcW w:w="603"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hideMark/>
          </w:tcPr>
          <w:p w14:paraId="01173D11" w14:textId="7A3D016D" w:rsidR="00386B31" w:rsidRDefault="00DD56AF" w:rsidP="002D3A0E">
            <w:pPr>
              <w:jc w:val="right"/>
              <w:rPr>
                <w:rFonts w:ascii="CAIXA Std Book" w:hAnsi="CAIXA Std Book"/>
                <w:b/>
                <w:bCs/>
                <w:color w:val="005CA9"/>
                <w:sz w:val="16"/>
                <w:szCs w:val="16"/>
              </w:rPr>
            </w:pPr>
            <w:r>
              <w:rPr>
                <w:rFonts w:ascii="CAIXA Std Book" w:hAnsi="CAIXA Std Book" w:cs="Calibri"/>
                <w:b/>
                <w:color w:val="005CA9"/>
                <w:sz w:val="18"/>
                <w:szCs w:val="18"/>
              </w:rPr>
              <w:t>38.638.557</w:t>
            </w:r>
          </w:p>
        </w:tc>
      </w:tr>
      <w:tr w:rsidR="00386B31" w14:paraId="42E0A9BF" w14:textId="77777777" w:rsidTr="002D3A0E">
        <w:trPr>
          <w:trHeight w:val="283"/>
        </w:trPr>
        <w:tc>
          <w:tcPr>
            <w:tcW w:w="2588" w:type="pct"/>
            <w:tcBorders>
              <w:top w:val="nil"/>
              <w:left w:val="nil"/>
              <w:bottom w:val="single" w:sz="4" w:space="0" w:color="FFFFFF"/>
              <w:right w:val="nil"/>
            </w:tcBorders>
            <w:shd w:val="clear" w:color="000000" w:fill="D0E0E3"/>
            <w:noWrap/>
            <w:tcMar>
              <w:top w:w="15" w:type="dxa"/>
              <w:left w:w="135" w:type="dxa"/>
              <w:bottom w:w="0" w:type="dxa"/>
              <w:right w:w="15" w:type="dxa"/>
            </w:tcMar>
            <w:vAlign w:val="center"/>
            <w:hideMark/>
          </w:tcPr>
          <w:p w14:paraId="3AB3306F" w14:textId="13E31667" w:rsidR="00386B31" w:rsidRDefault="00386B31">
            <w:pPr>
              <w:ind w:firstLineChars="100" w:firstLine="180"/>
              <w:rPr>
                <w:rFonts w:ascii="CAIXA Std Book" w:hAnsi="CAIXA Std Book"/>
                <w:b/>
                <w:bCs/>
                <w:color w:val="005CA9"/>
                <w:sz w:val="18"/>
                <w:szCs w:val="18"/>
              </w:rPr>
            </w:pPr>
            <w:r>
              <w:rPr>
                <w:rFonts w:ascii="CAIXA Std Book" w:hAnsi="CAIXA Std Book" w:cs="Calibri"/>
                <w:b/>
                <w:color w:val="005CA9"/>
                <w:sz w:val="18"/>
                <w:szCs w:val="18"/>
              </w:rPr>
              <w:t>Títulos e valores mobiliários</w:t>
            </w:r>
          </w:p>
        </w:tc>
        <w:tc>
          <w:tcPr>
            <w:tcW w:w="603"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tcPr>
          <w:p w14:paraId="0755EF2A" w14:textId="09DF3966" w:rsidR="00386B31" w:rsidRDefault="00FB5070" w:rsidP="002D3A0E">
            <w:pPr>
              <w:jc w:val="right"/>
              <w:rPr>
                <w:rFonts w:ascii="CAIXA Std Book" w:hAnsi="CAIXA Std Book"/>
                <w:b/>
                <w:bCs/>
                <w:color w:val="005CA9"/>
                <w:sz w:val="16"/>
                <w:szCs w:val="16"/>
              </w:rPr>
            </w:pPr>
            <w:r>
              <w:rPr>
                <w:rFonts w:ascii="CAIXA Std Book" w:hAnsi="CAIXA Std Book" w:cs="Calibri"/>
                <w:b/>
                <w:bCs/>
                <w:color w:val="005CA9"/>
                <w:sz w:val="18"/>
                <w:szCs w:val="18"/>
              </w:rPr>
              <w:t>75.143</w:t>
            </w:r>
          </w:p>
        </w:tc>
        <w:tc>
          <w:tcPr>
            <w:tcW w:w="604"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hideMark/>
          </w:tcPr>
          <w:p w14:paraId="06C4D3C3" w14:textId="311AB3EC" w:rsidR="00386B31" w:rsidRDefault="00DD56AF" w:rsidP="002D3A0E">
            <w:pPr>
              <w:jc w:val="right"/>
              <w:rPr>
                <w:rFonts w:ascii="CAIXA Std Book" w:hAnsi="CAIXA Std Book"/>
                <w:b/>
                <w:bCs/>
                <w:color w:val="005CA9"/>
                <w:sz w:val="16"/>
                <w:szCs w:val="16"/>
              </w:rPr>
            </w:pPr>
            <w:r>
              <w:rPr>
                <w:rFonts w:ascii="CAIXA Std Book" w:hAnsi="CAIXA Std Book" w:cs="Calibri"/>
                <w:b/>
                <w:color w:val="005CA9"/>
                <w:sz w:val="18"/>
                <w:szCs w:val="18"/>
              </w:rPr>
              <w:t>72.228</w:t>
            </w:r>
          </w:p>
        </w:tc>
        <w:tc>
          <w:tcPr>
            <w:tcW w:w="603"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tcPr>
          <w:p w14:paraId="47FC877A" w14:textId="1A350473" w:rsidR="00386B31" w:rsidRDefault="00F46122" w:rsidP="002D3A0E">
            <w:pPr>
              <w:jc w:val="right"/>
              <w:rPr>
                <w:rFonts w:ascii="CAIXA Std Book" w:hAnsi="CAIXA Std Book"/>
                <w:b/>
                <w:bCs/>
                <w:color w:val="005CA9"/>
                <w:sz w:val="16"/>
                <w:szCs w:val="16"/>
              </w:rPr>
            </w:pPr>
            <w:r>
              <w:rPr>
                <w:rFonts w:ascii="CAIXA Std Book" w:hAnsi="CAIXA Std Book" w:cs="Calibri"/>
                <w:b/>
                <w:bCs/>
                <w:color w:val="005CA9"/>
                <w:sz w:val="18"/>
                <w:szCs w:val="18"/>
              </w:rPr>
              <w:t>75.143</w:t>
            </w:r>
          </w:p>
        </w:tc>
        <w:tc>
          <w:tcPr>
            <w:tcW w:w="603"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hideMark/>
          </w:tcPr>
          <w:p w14:paraId="3DE63088" w14:textId="585B0B6A" w:rsidR="00386B31" w:rsidRDefault="00DD56AF" w:rsidP="002D3A0E">
            <w:pPr>
              <w:jc w:val="right"/>
              <w:rPr>
                <w:rFonts w:ascii="CAIXA Std Book" w:hAnsi="CAIXA Std Book"/>
                <w:b/>
                <w:bCs/>
                <w:color w:val="005CA9"/>
                <w:sz w:val="16"/>
                <w:szCs w:val="16"/>
              </w:rPr>
            </w:pPr>
            <w:r>
              <w:rPr>
                <w:rFonts w:ascii="CAIXA Std Book" w:hAnsi="CAIXA Std Book" w:cs="Calibri"/>
                <w:b/>
                <w:color w:val="005CA9"/>
                <w:sz w:val="18"/>
                <w:szCs w:val="18"/>
              </w:rPr>
              <w:t>72.228</w:t>
            </w:r>
          </w:p>
        </w:tc>
      </w:tr>
      <w:tr w:rsidR="00386B31" w14:paraId="4D02F9CF" w14:textId="77777777" w:rsidTr="002D3A0E">
        <w:trPr>
          <w:trHeight w:val="283"/>
        </w:trPr>
        <w:tc>
          <w:tcPr>
            <w:tcW w:w="2588" w:type="pct"/>
            <w:tcBorders>
              <w:top w:val="nil"/>
              <w:left w:val="nil"/>
              <w:bottom w:val="single" w:sz="4" w:space="0" w:color="FFFFFF"/>
              <w:right w:val="nil"/>
            </w:tcBorders>
            <w:shd w:val="clear" w:color="000000" w:fill="D0E0E3"/>
            <w:noWrap/>
            <w:tcMar>
              <w:top w:w="15" w:type="dxa"/>
              <w:left w:w="135" w:type="dxa"/>
              <w:bottom w:w="0" w:type="dxa"/>
              <w:right w:w="15" w:type="dxa"/>
            </w:tcMar>
            <w:vAlign w:val="center"/>
            <w:hideMark/>
          </w:tcPr>
          <w:p w14:paraId="3FDCE425" w14:textId="2005ED0D" w:rsidR="00386B31" w:rsidRDefault="00386B31">
            <w:pPr>
              <w:ind w:firstLineChars="100" w:firstLine="180"/>
              <w:rPr>
                <w:rFonts w:ascii="CAIXA Std Book" w:hAnsi="CAIXA Std Book"/>
                <w:b/>
                <w:bCs/>
                <w:color w:val="005CA9"/>
                <w:sz w:val="18"/>
                <w:szCs w:val="18"/>
              </w:rPr>
            </w:pPr>
            <w:r>
              <w:rPr>
                <w:rFonts w:ascii="CAIXA Std Book" w:hAnsi="CAIXA Std Book" w:cs="Calibri"/>
                <w:b/>
                <w:color w:val="005CA9"/>
                <w:sz w:val="18"/>
                <w:szCs w:val="18"/>
              </w:rPr>
              <w:t>Carteira de crédit</w:t>
            </w:r>
            <w:r w:rsidR="00D74966">
              <w:rPr>
                <w:rFonts w:ascii="CAIXA Std Book" w:hAnsi="CAIXA Std Book" w:cs="Calibri"/>
                <w:b/>
                <w:color w:val="005CA9"/>
                <w:sz w:val="18"/>
                <w:szCs w:val="18"/>
              </w:rPr>
              <w:t>o (1)</w:t>
            </w:r>
          </w:p>
        </w:tc>
        <w:tc>
          <w:tcPr>
            <w:tcW w:w="603"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tcPr>
          <w:p w14:paraId="18293E87" w14:textId="1EAC9E3A" w:rsidR="00386B31" w:rsidRDefault="00FB5070" w:rsidP="002D3A0E">
            <w:pPr>
              <w:jc w:val="right"/>
              <w:rPr>
                <w:rFonts w:ascii="CAIXA Std Book" w:hAnsi="CAIXA Std Book"/>
                <w:b/>
                <w:bCs/>
                <w:color w:val="005CA9"/>
                <w:sz w:val="16"/>
                <w:szCs w:val="16"/>
              </w:rPr>
            </w:pPr>
            <w:r>
              <w:rPr>
                <w:rFonts w:ascii="CAIXA Std Book" w:hAnsi="CAIXA Std Book" w:cs="Calibri"/>
                <w:b/>
                <w:bCs/>
                <w:color w:val="005CA9"/>
                <w:sz w:val="18"/>
                <w:szCs w:val="18"/>
              </w:rPr>
              <w:t>39.498.334</w:t>
            </w:r>
          </w:p>
        </w:tc>
        <w:tc>
          <w:tcPr>
            <w:tcW w:w="604"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hideMark/>
          </w:tcPr>
          <w:p w14:paraId="015087C8" w14:textId="0990B025" w:rsidR="00386B31" w:rsidRDefault="00DD56AF" w:rsidP="002D3A0E">
            <w:pPr>
              <w:jc w:val="right"/>
              <w:rPr>
                <w:rFonts w:ascii="CAIXA Std Book" w:hAnsi="CAIXA Std Book"/>
                <w:b/>
                <w:bCs/>
                <w:color w:val="005CA9"/>
                <w:sz w:val="16"/>
                <w:szCs w:val="16"/>
              </w:rPr>
            </w:pPr>
            <w:r>
              <w:rPr>
                <w:rFonts w:ascii="CAIXA Std Book" w:hAnsi="CAIXA Std Book" w:cs="Calibri"/>
                <w:b/>
                <w:color w:val="005CA9"/>
                <w:sz w:val="18"/>
                <w:szCs w:val="18"/>
              </w:rPr>
              <w:t>35.026.979</w:t>
            </w:r>
          </w:p>
        </w:tc>
        <w:tc>
          <w:tcPr>
            <w:tcW w:w="603"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tcPr>
          <w:p w14:paraId="0975A2C1" w14:textId="7EF8777B" w:rsidR="00386B31" w:rsidRDefault="00F46122" w:rsidP="002D3A0E">
            <w:pPr>
              <w:jc w:val="right"/>
              <w:rPr>
                <w:rFonts w:ascii="CAIXA Std Book" w:hAnsi="CAIXA Std Book"/>
                <w:b/>
                <w:bCs/>
                <w:color w:val="005CA9"/>
                <w:sz w:val="16"/>
                <w:szCs w:val="16"/>
              </w:rPr>
            </w:pPr>
            <w:r>
              <w:rPr>
                <w:rFonts w:ascii="CAIXA Std Book" w:hAnsi="CAIXA Std Book" w:cs="Calibri"/>
                <w:b/>
                <w:bCs/>
                <w:color w:val="005CA9"/>
                <w:sz w:val="18"/>
                <w:szCs w:val="18"/>
              </w:rPr>
              <w:t>39.551.452</w:t>
            </w:r>
          </w:p>
        </w:tc>
        <w:tc>
          <w:tcPr>
            <w:tcW w:w="603"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hideMark/>
          </w:tcPr>
          <w:p w14:paraId="00F18835" w14:textId="733BB2B5" w:rsidR="00386B31" w:rsidRDefault="00DD56AF" w:rsidP="002D3A0E">
            <w:pPr>
              <w:jc w:val="right"/>
              <w:rPr>
                <w:rFonts w:ascii="CAIXA Std Book" w:hAnsi="CAIXA Std Book"/>
                <w:b/>
                <w:bCs/>
                <w:color w:val="005CA9"/>
                <w:sz w:val="16"/>
                <w:szCs w:val="16"/>
              </w:rPr>
            </w:pPr>
            <w:r>
              <w:rPr>
                <w:rFonts w:ascii="CAIXA Std Book" w:hAnsi="CAIXA Std Book" w:cs="Calibri"/>
                <w:b/>
                <w:color w:val="005CA9"/>
                <w:sz w:val="18"/>
                <w:szCs w:val="18"/>
              </w:rPr>
              <w:t>35.059.538</w:t>
            </w:r>
          </w:p>
        </w:tc>
      </w:tr>
      <w:tr w:rsidR="00386B31" w14:paraId="4E611C69" w14:textId="77777777" w:rsidTr="002D3A0E">
        <w:trPr>
          <w:trHeight w:val="283"/>
        </w:trPr>
        <w:tc>
          <w:tcPr>
            <w:tcW w:w="2588" w:type="pct"/>
            <w:tcBorders>
              <w:top w:val="nil"/>
              <w:left w:val="nil"/>
              <w:bottom w:val="single" w:sz="4" w:space="0" w:color="FFFFFF"/>
              <w:right w:val="nil"/>
            </w:tcBorders>
            <w:noWrap/>
            <w:tcMar>
              <w:top w:w="15" w:type="dxa"/>
              <w:left w:w="270" w:type="dxa"/>
              <w:bottom w:w="0" w:type="dxa"/>
              <w:right w:w="15" w:type="dxa"/>
            </w:tcMar>
            <w:vAlign w:val="center"/>
            <w:hideMark/>
          </w:tcPr>
          <w:p w14:paraId="06366444" w14:textId="444EF44A" w:rsidR="00386B31" w:rsidRDefault="00386B31">
            <w:pPr>
              <w:ind w:firstLineChars="200" w:firstLine="360"/>
              <w:rPr>
                <w:rFonts w:ascii="CAIXA Std Book" w:hAnsi="CAIXA Std Book"/>
                <w:color w:val="005CA9"/>
                <w:sz w:val="18"/>
                <w:szCs w:val="18"/>
              </w:rPr>
            </w:pPr>
            <w:r>
              <w:rPr>
                <w:rFonts w:ascii="CAIXA Std Book" w:hAnsi="CAIXA Std Book" w:cs="Calibri"/>
                <w:color w:val="005CA9"/>
                <w:sz w:val="18"/>
                <w:szCs w:val="18"/>
              </w:rPr>
              <w:t>Financiamentos imobiliários</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6FB134CE" w14:textId="2B382FF5"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22.157.</w:t>
            </w:r>
            <w:r w:rsidR="00043FAE">
              <w:rPr>
                <w:rFonts w:ascii="CAIXA Std Book" w:hAnsi="CAIXA Std Book" w:cs="Calibri"/>
                <w:color w:val="005CA9"/>
                <w:sz w:val="18"/>
                <w:szCs w:val="18"/>
              </w:rPr>
              <w:t>963</w:t>
            </w:r>
          </w:p>
        </w:tc>
        <w:tc>
          <w:tcPr>
            <w:tcW w:w="604" w:type="pct"/>
            <w:tcBorders>
              <w:top w:val="nil"/>
              <w:left w:val="nil"/>
              <w:bottom w:val="single" w:sz="4" w:space="0" w:color="FFFFFF"/>
              <w:right w:val="nil"/>
            </w:tcBorders>
            <w:tcMar>
              <w:top w:w="15" w:type="dxa"/>
              <w:left w:w="15" w:type="dxa"/>
              <w:bottom w:w="0" w:type="dxa"/>
              <w:right w:w="15" w:type="dxa"/>
            </w:tcMar>
            <w:vAlign w:val="center"/>
            <w:hideMark/>
          </w:tcPr>
          <w:p w14:paraId="7C43B433" w14:textId="2F1F5EF6" w:rsidR="00386B31" w:rsidRDefault="00DD56AF" w:rsidP="002D3A0E">
            <w:pPr>
              <w:jc w:val="right"/>
              <w:rPr>
                <w:rFonts w:ascii="CAIXA Std Book" w:hAnsi="CAIXA Std Book"/>
                <w:color w:val="005CA9"/>
                <w:sz w:val="16"/>
                <w:szCs w:val="16"/>
              </w:rPr>
            </w:pPr>
            <w:r>
              <w:rPr>
                <w:rFonts w:ascii="CAIXA Std Book" w:hAnsi="CAIXA Std Book" w:cs="Calibri"/>
                <w:color w:val="005CA9"/>
                <w:sz w:val="18"/>
                <w:szCs w:val="18"/>
              </w:rPr>
              <w:t>19.385.059</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4C6501FC" w14:textId="1D0CA35F" w:rsidR="00386B31" w:rsidRDefault="00F46122" w:rsidP="002D3A0E">
            <w:pPr>
              <w:jc w:val="right"/>
              <w:rPr>
                <w:rFonts w:ascii="CAIXA Std Book" w:hAnsi="CAIXA Std Book"/>
                <w:color w:val="005CA9"/>
                <w:sz w:val="16"/>
                <w:szCs w:val="16"/>
              </w:rPr>
            </w:pPr>
            <w:r>
              <w:rPr>
                <w:rFonts w:ascii="CAIXA Std Book" w:hAnsi="CAIXA Std Book" w:cs="Calibri"/>
                <w:color w:val="005CA9"/>
                <w:sz w:val="18"/>
                <w:szCs w:val="18"/>
              </w:rPr>
              <w:t>22.157.963</w:t>
            </w:r>
          </w:p>
        </w:tc>
        <w:tc>
          <w:tcPr>
            <w:tcW w:w="603" w:type="pct"/>
            <w:tcBorders>
              <w:top w:val="nil"/>
              <w:left w:val="nil"/>
              <w:bottom w:val="single" w:sz="4" w:space="0" w:color="FFFFFF"/>
              <w:right w:val="nil"/>
            </w:tcBorders>
            <w:tcMar>
              <w:top w:w="15" w:type="dxa"/>
              <w:left w:w="15" w:type="dxa"/>
              <w:bottom w:w="0" w:type="dxa"/>
              <w:right w:w="15" w:type="dxa"/>
            </w:tcMar>
            <w:vAlign w:val="center"/>
            <w:hideMark/>
          </w:tcPr>
          <w:p w14:paraId="5A0A0B52" w14:textId="5DB4A25A" w:rsidR="00386B31" w:rsidRDefault="00DD56AF" w:rsidP="002D3A0E">
            <w:pPr>
              <w:jc w:val="right"/>
              <w:rPr>
                <w:rFonts w:ascii="CAIXA Std Book" w:hAnsi="CAIXA Std Book"/>
                <w:color w:val="005CA9"/>
                <w:sz w:val="16"/>
                <w:szCs w:val="16"/>
              </w:rPr>
            </w:pPr>
            <w:r>
              <w:rPr>
                <w:rFonts w:ascii="CAIXA Std Book" w:hAnsi="CAIXA Std Book" w:cs="Calibri"/>
                <w:color w:val="005CA9"/>
                <w:sz w:val="18"/>
                <w:szCs w:val="18"/>
              </w:rPr>
              <w:t>19.417.618</w:t>
            </w:r>
          </w:p>
        </w:tc>
      </w:tr>
      <w:tr w:rsidR="00386B31" w14:paraId="27F58D8E" w14:textId="77777777" w:rsidTr="002D3A0E">
        <w:trPr>
          <w:trHeight w:val="283"/>
        </w:trPr>
        <w:tc>
          <w:tcPr>
            <w:tcW w:w="2588" w:type="pct"/>
            <w:tcBorders>
              <w:top w:val="nil"/>
              <w:left w:val="nil"/>
              <w:bottom w:val="single" w:sz="4" w:space="0" w:color="FFFFFF"/>
              <w:right w:val="nil"/>
            </w:tcBorders>
            <w:noWrap/>
            <w:tcMar>
              <w:top w:w="15" w:type="dxa"/>
              <w:left w:w="270" w:type="dxa"/>
              <w:bottom w:w="0" w:type="dxa"/>
              <w:right w:w="15" w:type="dxa"/>
            </w:tcMar>
            <w:vAlign w:val="center"/>
            <w:hideMark/>
          </w:tcPr>
          <w:p w14:paraId="7E8BB6E4" w14:textId="2D2AF82B" w:rsidR="00386B31" w:rsidRDefault="00386B31">
            <w:pPr>
              <w:ind w:firstLineChars="200" w:firstLine="360"/>
              <w:rPr>
                <w:rFonts w:ascii="CAIXA Std Book" w:hAnsi="CAIXA Std Book"/>
                <w:color w:val="005CA9"/>
                <w:sz w:val="18"/>
                <w:szCs w:val="18"/>
              </w:rPr>
            </w:pPr>
            <w:r>
              <w:rPr>
                <w:rFonts w:ascii="CAIXA Std Book" w:hAnsi="CAIXA Std Book" w:cs="Calibri"/>
                <w:color w:val="005CA9"/>
                <w:sz w:val="18"/>
                <w:szCs w:val="18"/>
              </w:rPr>
              <w:t>Empréstimos, títulos descontados e financiamentos</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50F4455C" w14:textId="50140186"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12.553.</w:t>
            </w:r>
            <w:r w:rsidR="00043FAE">
              <w:rPr>
                <w:rFonts w:ascii="CAIXA Std Book" w:hAnsi="CAIXA Std Book" w:cs="Calibri"/>
                <w:color w:val="005CA9"/>
                <w:sz w:val="18"/>
                <w:szCs w:val="18"/>
              </w:rPr>
              <w:t>387</w:t>
            </w:r>
          </w:p>
        </w:tc>
        <w:tc>
          <w:tcPr>
            <w:tcW w:w="604" w:type="pct"/>
            <w:tcBorders>
              <w:top w:val="nil"/>
              <w:left w:val="nil"/>
              <w:bottom w:val="single" w:sz="4" w:space="0" w:color="FFFFFF"/>
              <w:right w:val="nil"/>
            </w:tcBorders>
            <w:tcMar>
              <w:top w:w="15" w:type="dxa"/>
              <w:left w:w="15" w:type="dxa"/>
              <w:bottom w:w="0" w:type="dxa"/>
              <w:right w:w="15" w:type="dxa"/>
            </w:tcMar>
            <w:vAlign w:val="center"/>
            <w:hideMark/>
          </w:tcPr>
          <w:p w14:paraId="4615B011" w14:textId="161EFF07" w:rsidR="00386B31" w:rsidRDefault="00DD56AF" w:rsidP="002D3A0E">
            <w:pPr>
              <w:jc w:val="right"/>
              <w:rPr>
                <w:rFonts w:ascii="CAIXA Std Book" w:hAnsi="CAIXA Std Book"/>
                <w:color w:val="005CA9"/>
                <w:sz w:val="16"/>
                <w:szCs w:val="16"/>
              </w:rPr>
            </w:pPr>
            <w:r>
              <w:rPr>
                <w:rFonts w:ascii="CAIXA Std Book" w:hAnsi="CAIXA Std Book" w:cs="Calibri"/>
                <w:color w:val="005CA9"/>
                <w:sz w:val="18"/>
                <w:szCs w:val="18"/>
              </w:rPr>
              <w:t>11.560.027</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49104741" w14:textId="08E42664" w:rsidR="00386B31" w:rsidRDefault="00F46122" w:rsidP="002D3A0E">
            <w:pPr>
              <w:jc w:val="right"/>
              <w:rPr>
                <w:rFonts w:ascii="CAIXA Std Book" w:hAnsi="CAIXA Std Book"/>
                <w:color w:val="005CA9"/>
                <w:sz w:val="16"/>
                <w:szCs w:val="16"/>
              </w:rPr>
            </w:pPr>
            <w:r>
              <w:rPr>
                <w:rFonts w:ascii="CAIXA Std Book" w:hAnsi="CAIXA Std Book" w:cs="Calibri"/>
                <w:color w:val="005CA9"/>
                <w:sz w:val="18"/>
                <w:szCs w:val="18"/>
              </w:rPr>
              <w:t>12.606.505</w:t>
            </w:r>
          </w:p>
        </w:tc>
        <w:tc>
          <w:tcPr>
            <w:tcW w:w="603" w:type="pct"/>
            <w:tcBorders>
              <w:top w:val="nil"/>
              <w:left w:val="nil"/>
              <w:bottom w:val="single" w:sz="4" w:space="0" w:color="FFFFFF"/>
              <w:right w:val="nil"/>
            </w:tcBorders>
            <w:tcMar>
              <w:top w:w="15" w:type="dxa"/>
              <w:left w:w="15" w:type="dxa"/>
              <w:bottom w:w="0" w:type="dxa"/>
              <w:right w:w="15" w:type="dxa"/>
            </w:tcMar>
            <w:vAlign w:val="center"/>
            <w:hideMark/>
          </w:tcPr>
          <w:p w14:paraId="108A629B" w14:textId="11520E42" w:rsidR="00386B31" w:rsidRDefault="00DD56AF" w:rsidP="002D3A0E">
            <w:pPr>
              <w:jc w:val="right"/>
              <w:rPr>
                <w:rFonts w:ascii="CAIXA Std Book" w:hAnsi="CAIXA Std Book"/>
                <w:color w:val="005CA9"/>
                <w:sz w:val="16"/>
                <w:szCs w:val="16"/>
              </w:rPr>
            </w:pPr>
            <w:r>
              <w:rPr>
                <w:rFonts w:ascii="CAIXA Std Book" w:hAnsi="CAIXA Std Book" w:cs="Calibri"/>
                <w:color w:val="005CA9"/>
                <w:sz w:val="18"/>
                <w:szCs w:val="18"/>
              </w:rPr>
              <w:t>11.560.027</w:t>
            </w:r>
          </w:p>
        </w:tc>
      </w:tr>
      <w:tr w:rsidR="00386B31" w14:paraId="4DCB66C4" w14:textId="77777777" w:rsidTr="002D3A0E">
        <w:trPr>
          <w:trHeight w:val="283"/>
        </w:trPr>
        <w:tc>
          <w:tcPr>
            <w:tcW w:w="2588" w:type="pct"/>
            <w:tcBorders>
              <w:top w:val="nil"/>
              <w:left w:val="nil"/>
              <w:bottom w:val="single" w:sz="4" w:space="0" w:color="FFFFFF"/>
              <w:right w:val="nil"/>
            </w:tcBorders>
            <w:noWrap/>
            <w:tcMar>
              <w:top w:w="15" w:type="dxa"/>
              <w:left w:w="270" w:type="dxa"/>
              <w:bottom w:w="0" w:type="dxa"/>
              <w:right w:w="15" w:type="dxa"/>
            </w:tcMar>
            <w:vAlign w:val="center"/>
            <w:hideMark/>
          </w:tcPr>
          <w:p w14:paraId="124451BD" w14:textId="6B101D5D" w:rsidR="00386B31" w:rsidRDefault="00386B31">
            <w:pPr>
              <w:ind w:firstLineChars="200" w:firstLine="360"/>
              <w:rPr>
                <w:rFonts w:ascii="CAIXA Std Book" w:hAnsi="CAIXA Std Book"/>
                <w:color w:val="005CA9"/>
                <w:sz w:val="18"/>
                <w:szCs w:val="18"/>
              </w:rPr>
            </w:pPr>
            <w:r>
              <w:rPr>
                <w:rFonts w:ascii="CAIXA Std Book" w:hAnsi="CAIXA Std Book" w:cs="Calibri"/>
                <w:color w:val="005CA9"/>
                <w:sz w:val="18"/>
                <w:szCs w:val="18"/>
              </w:rPr>
              <w:t>Financiamentos de infraestrutura e desenvolvimento</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62006845" w14:textId="64436EF2"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3.164.256</w:t>
            </w:r>
          </w:p>
        </w:tc>
        <w:tc>
          <w:tcPr>
            <w:tcW w:w="604" w:type="pct"/>
            <w:tcBorders>
              <w:top w:val="nil"/>
              <w:left w:val="nil"/>
              <w:bottom w:val="single" w:sz="4" w:space="0" w:color="FFFFFF"/>
              <w:right w:val="nil"/>
            </w:tcBorders>
            <w:tcMar>
              <w:top w:w="15" w:type="dxa"/>
              <w:left w:w="15" w:type="dxa"/>
              <w:bottom w:w="0" w:type="dxa"/>
              <w:right w:w="15" w:type="dxa"/>
            </w:tcMar>
            <w:vAlign w:val="center"/>
            <w:hideMark/>
          </w:tcPr>
          <w:p w14:paraId="44AD0A24" w14:textId="5C0BC70A" w:rsidR="00386B31" w:rsidRDefault="00DD56AF" w:rsidP="002D3A0E">
            <w:pPr>
              <w:jc w:val="right"/>
              <w:rPr>
                <w:rFonts w:ascii="CAIXA Std Book" w:hAnsi="CAIXA Std Book"/>
                <w:color w:val="005CA9"/>
                <w:sz w:val="16"/>
                <w:szCs w:val="16"/>
              </w:rPr>
            </w:pPr>
            <w:r>
              <w:rPr>
                <w:rFonts w:ascii="CAIXA Std Book" w:hAnsi="CAIXA Std Book" w:cs="Calibri"/>
                <w:color w:val="005CA9"/>
                <w:sz w:val="18"/>
                <w:szCs w:val="18"/>
              </w:rPr>
              <w:t>2.730.647</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3D6AD035" w14:textId="33A18A9E" w:rsidR="00386B31" w:rsidRDefault="00F46122" w:rsidP="002D3A0E">
            <w:pPr>
              <w:jc w:val="right"/>
              <w:rPr>
                <w:rFonts w:ascii="CAIXA Std Book" w:hAnsi="CAIXA Std Book"/>
                <w:color w:val="005CA9"/>
                <w:sz w:val="16"/>
                <w:szCs w:val="16"/>
              </w:rPr>
            </w:pPr>
            <w:r>
              <w:rPr>
                <w:rFonts w:ascii="CAIXA Std Book" w:hAnsi="CAIXA Std Book" w:cs="Calibri"/>
                <w:color w:val="005CA9"/>
                <w:sz w:val="18"/>
                <w:szCs w:val="18"/>
              </w:rPr>
              <w:t>3.164.256</w:t>
            </w:r>
          </w:p>
        </w:tc>
        <w:tc>
          <w:tcPr>
            <w:tcW w:w="603" w:type="pct"/>
            <w:tcBorders>
              <w:top w:val="nil"/>
              <w:left w:val="nil"/>
              <w:bottom w:val="single" w:sz="4" w:space="0" w:color="FFFFFF"/>
              <w:right w:val="nil"/>
            </w:tcBorders>
            <w:tcMar>
              <w:top w:w="15" w:type="dxa"/>
              <w:left w:w="15" w:type="dxa"/>
              <w:bottom w:w="0" w:type="dxa"/>
              <w:right w:w="15" w:type="dxa"/>
            </w:tcMar>
            <w:vAlign w:val="center"/>
            <w:hideMark/>
          </w:tcPr>
          <w:p w14:paraId="45C265E2" w14:textId="56BC9522" w:rsidR="00386B31" w:rsidRDefault="00DD56AF" w:rsidP="002D3A0E">
            <w:pPr>
              <w:jc w:val="right"/>
              <w:rPr>
                <w:rFonts w:ascii="CAIXA Std Book" w:hAnsi="CAIXA Std Book"/>
                <w:color w:val="005CA9"/>
                <w:sz w:val="16"/>
                <w:szCs w:val="16"/>
              </w:rPr>
            </w:pPr>
            <w:r>
              <w:rPr>
                <w:rFonts w:ascii="CAIXA Std Book" w:hAnsi="CAIXA Std Book" w:cs="Calibri"/>
                <w:color w:val="005CA9"/>
                <w:sz w:val="18"/>
                <w:szCs w:val="18"/>
              </w:rPr>
              <w:t>2.730.647</w:t>
            </w:r>
          </w:p>
        </w:tc>
      </w:tr>
      <w:tr w:rsidR="00386B31" w14:paraId="29CF534E" w14:textId="77777777" w:rsidTr="002D3A0E">
        <w:trPr>
          <w:trHeight w:val="283"/>
        </w:trPr>
        <w:tc>
          <w:tcPr>
            <w:tcW w:w="2588" w:type="pct"/>
            <w:tcBorders>
              <w:top w:val="nil"/>
              <w:left w:val="nil"/>
              <w:bottom w:val="single" w:sz="4" w:space="0" w:color="FFFFFF"/>
              <w:right w:val="nil"/>
            </w:tcBorders>
            <w:noWrap/>
            <w:tcMar>
              <w:top w:w="15" w:type="dxa"/>
              <w:left w:w="270" w:type="dxa"/>
              <w:bottom w:w="0" w:type="dxa"/>
              <w:right w:w="15" w:type="dxa"/>
            </w:tcMar>
            <w:vAlign w:val="center"/>
            <w:hideMark/>
          </w:tcPr>
          <w:p w14:paraId="0F325AFA" w14:textId="1A2F80A0" w:rsidR="00386B31" w:rsidRDefault="00386B31">
            <w:pPr>
              <w:ind w:firstLineChars="200" w:firstLine="360"/>
              <w:rPr>
                <w:rFonts w:ascii="CAIXA Std Book" w:hAnsi="CAIXA Std Book"/>
                <w:color w:val="005CA9"/>
                <w:sz w:val="18"/>
                <w:szCs w:val="18"/>
              </w:rPr>
            </w:pPr>
            <w:r>
              <w:rPr>
                <w:rFonts w:ascii="CAIXA Std Book" w:hAnsi="CAIXA Std Book" w:cs="Calibri"/>
                <w:color w:val="005CA9"/>
                <w:sz w:val="18"/>
                <w:szCs w:val="18"/>
              </w:rPr>
              <w:t>Financiamentos rurais e agroindustriais</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19D8E045" w14:textId="2B662FDA"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1.637.400</w:t>
            </w:r>
          </w:p>
        </w:tc>
        <w:tc>
          <w:tcPr>
            <w:tcW w:w="604" w:type="pct"/>
            <w:tcBorders>
              <w:top w:val="nil"/>
              <w:left w:val="nil"/>
              <w:bottom w:val="single" w:sz="4" w:space="0" w:color="FFFFFF"/>
              <w:right w:val="nil"/>
            </w:tcBorders>
            <w:tcMar>
              <w:top w:w="15" w:type="dxa"/>
              <w:left w:w="15" w:type="dxa"/>
              <w:bottom w:w="0" w:type="dxa"/>
              <w:right w:w="15" w:type="dxa"/>
            </w:tcMar>
            <w:vAlign w:val="center"/>
            <w:hideMark/>
          </w:tcPr>
          <w:p w14:paraId="30207A6E" w14:textId="4CDF7582" w:rsidR="00386B31" w:rsidRDefault="00DD56AF" w:rsidP="002D3A0E">
            <w:pPr>
              <w:jc w:val="right"/>
              <w:rPr>
                <w:rFonts w:ascii="CAIXA Std Book" w:hAnsi="CAIXA Std Book"/>
                <w:color w:val="005CA9"/>
                <w:sz w:val="16"/>
                <w:szCs w:val="16"/>
              </w:rPr>
            </w:pPr>
            <w:r>
              <w:rPr>
                <w:rFonts w:ascii="CAIXA Std Book" w:hAnsi="CAIXA Std Book" w:cs="Calibri"/>
                <w:color w:val="005CA9"/>
                <w:sz w:val="18"/>
                <w:szCs w:val="18"/>
              </w:rPr>
              <w:t>1.629.237</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69058CC0" w14:textId="574FA364" w:rsidR="00386B31" w:rsidRDefault="00F46122" w:rsidP="002D3A0E">
            <w:pPr>
              <w:jc w:val="right"/>
              <w:rPr>
                <w:rFonts w:ascii="CAIXA Std Book" w:hAnsi="CAIXA Std Book"/>
                <w:color w:val="005CA9"/>
                <w:sz w:val="16"/>
                <w:szCs w:val="16"/>
              </w:rPr>
            </w:pPr>
            <w:r>
              <w:rPr>
                <w:rFonts w:ascii="CAIXA Std Book" w:hAnsi="CAIXA Std Book" w:cs="Calibri"/>
                <w:color w:val="005CA9"/>
                <w:sz w:val="18"/>
                <w:szCs w:val="18"/>
              </w:rPr>
              <w:t>1.637.400</w:t>
            </w:r>
          </w:p>
        </w:tc>
        <w:tc>
          <w:tcPr>
            <w:tcW w:w="603" w:type="pct"/>
            <w:tcBorders>
              <w:top w:val="nil"/>
              <w:left w:val="nil"/>
              <w:bottom w:val="single" w:sz="4" w:space="0" w:color="FFFFFF"/>
              <w:right w:val="nil"/>
            </w:tcBorders>
            <w:tcMar>
              <w:top w:w="15" w:type="dxa"/>
              <w:left w:w="15" w:type="dxa"/>
              <w:bottom w:w="0" w:type="dxa"/>
              <w:right w:w="15" w:type="dxa"/>
            </w:tcMar>
            <w:vAlign w:val="center"/>
            <w:hideMark/>
          </w:tcPr>
          <w:p w14:paraId="14F583D6" w14:textId="29191BC5" w:rsidR="00386B31" w:rsidRDefault="00DD56AF" w:rsidP="002D3A0E">
            <w:pPr>
              <w:jc w:val="right"/>
              <w:rPr>
                <w:rFonts w:ascii="CAIXA Std Book" w:hAnsi="CAIXA Std Book"/>
                <w:color w:val="005CA9"/>
                <w:sz w:val="16"/>
                <w:szCs w:val="16"/>
              </w:rPr>
            </w:pPr>
            <w:r>
              <w:rPr>
                <w:rFonts w:ascii="CAIXA Std Book" w:hAnsi="CAIXA Std Book" w:cs="Calibri"/>
                <w:color w:val="005CA9"/>
                <w:sz w:val="18"/>
                <w:szCs w:val="18"/>
              </w:rPr>
              <w:t>1.629.237</w:t>
            </w:r>
          </w:p>
        </w:tc>
      </w:tr>
      <w:tr w:rsidR="00386B31" w14:paraId="0E73376A" w14:textId="77777777" w:rsidTr="002D3A0E">
        <w:trPr>
          <w:trHeight w:val="283"/>
        </w:trPr>
        <w:tc>
          <w:tcPr>
            <w:tcW w:w="2588" w:type="pct"/>
            <w:tcBorders>
              <w:top w:val="nil"/>
              <w:left w:val="nil"/>
              <w:bottom w:val="single" w:sz="4" w:space="0" w:color="FFFFFF"/>
              <w:right w:val="nil"/>
            </w:tcBorders>
            <w:noWrap/>
            <w:tcMar>
              <w:top w:w="15" w:type="dxa"/>
              <w:left w:w="270" w:type="dxa"/>
              <w:bottom w:w="0" w:type="dxa"/>
              <w:right w:w="15" w:type="dxa"/>
            </w:tcMar>
            <w:vAlign w:val="center"/>
            <w:hideMark/>
          </w:tcPr>
          <w:p w14:paraId="11BB9169" w14:textId="343AB4BC" w:rsidR="00386B31" w:rsidRDefault="00386B31">
            <w:pPr>
              <w:ind w:firstLineChars="200" w:firstLine="360"/>
              <w:rPr>
                <w:rFonts w:ascii="CAIXA Std Book" w:hAnsi="CAIXA Std Book"/>
                <w:color w:val="005CA9"/>
                <w:sz w:val="18"/>
                <w:szCs w:val="18"/>
              </w:rPr>
            </w:pPr>
            <w:r>
              <w:rPr>
                <w:rFonts w:ascii="CAIXA Std Book" w:hAnsi="CAIXA Std Book" w:cs="Calibri"/>
                <w:color w:val="005CA9"/>
                <w:sz w:val="18"/>
                <w:szCs w:val="18"/>
              </w:rPr>
              <w:t>Resultado com outros créditos</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63C613DA" w14:textId="4B345036"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(14.672)</w:t>
            </w:r>
          </w:p>
        </w:tc>
        <w:tc>
          <w:tcPr>
            <w:tcW w:w="604" w:type="pct"/>
            <w:tcBorders>
              <w:top w:val="nil"/>
              <w:left w:val="nil"/>
              <w:bottom w:val="single" w:sz="4" w:space="0" w:color="FFFFFF"/>
              <w:right w:val="nil"/>
            </w:tcBorders>
            <w:tcMar>
              <w:top w:w="15" w:type="dxa"/>
              <w:left w:w="15" w:type="dxa"/>
              <w:bottom w:w="0" w:type="dxa"/>
              <w:right w:w="15" w:type="dxa"/>
            </w:tcMar>
            <w:vAlign w:val="center"/>
            <w:hideMark/>
          </w:tcPr>
          <w:p w14:paraId="40F48091" w14:textId="68499B2F"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w:t>
            </w:r>
            <w:r w:rsidR="00DD56AF">
              <w:rPr>
                <w:rFonts w:ascii="CAIXA Std Book" w:hAnsi="CAIXA Std Book" w:cs="Calibri"/>
                <w:color w:val="005CA9"/>
                <w:sz w:val="18"/>
                <w:szCs w:val="18"/>
              </w:rPr>
              <w:t>277.991</w:t>
            </w:r>
            <w:r>
              <w:rPr>
                <w:rFonts w:ascii="CAIXA Std Book" w:hAnsi="CAIXA Std Book" w:cs="Calibri"/>
                <w:color w:val="005CA9"/>
                <w:sz w:val="18"/>
                <w:szCs w:val="18"/>
              </w:rPr>
              <w:t>)</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7EF50381" w14:textId="253C24EC" w:rsidR="00386B31" w:rsidRDefault="00F46122" w:rsidP="002D3A0E">
            <w:pPr>
              <w:jc w:val="right"/>
              <w:rPr>
                <w:rFonts w:ascii="CAIXA Std Book" w:hAnsi="CAIXA Std Book"/>
                <w:color w:val="005CA9"/>
                <w:sz w:val="16"/>
                <w:szCs w:val="16"/>
              </w:rPr>
            </w:pPr>
            <w:r>
              <w:rPr>
                <w:rFonts w:ascii="CAIXA Std Book" w:hAnsi="CAIXA Std Book" w:cs="Calibri"/>
                <w:color w:val="005CA9"/>
                <w:sz w:val="18"/>
                <w:szCs w:val="18"/>
              </w:rPr>
              <w:t>(14.672)</w:t>
            </w:r>
          </w:p>
        </w:tc>
        <w:tc>
          <w:tcPr>
            <w:tcW w:w="603" w:type="pct"/>
            <w:tcBorders>
              <w:top w:val="nil"/>
              <w:left w:val="nil"/>
              <w:bottom w:val="single" w:sz="4" w:space="0" w:color="FFFFFF"/>
              <w:right w:val="nil"/>
            </w:tcBorders>
            <w:tcMar>
              <w:top w:w="15" w:type="dxa"/>
              <w:left w:w="15" w:type="dxa"/>
              <w:bottom w:w="0" w:type="dxa"/>
              <w:right w:w="15" w:type="dxa"/>
            </w:tcMar>
            <w:vAlign w:val="center"/>
            <w:hideMark/>
          </w:tcPr>
          <w:p w14:paraId="18945AFC" w14:textId="27677DDB"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w:t>
            </w:r>
            <w:r w:rsidR="00DD56AF">
              <w:rPr>
                <w:rFonts w:ascii="CAIXA Std Book" w:hAnsi="CAIXA Std Book" w:cs="Calibri"/>
                <w:color w:val="005CA9"/>
                <w:sz w:val="18"/>
                <w:szCs w:val="18"/>
              </w:rPr>
              <w:t>277.991</w:t>
            </w:r>
            <w:r>
              <w:rPr>
                <w:rFonts w:ascii="CAIXA Std Book" w:hAnsi="CAIXA Std Book" w:cs="Calibri"/>
                <w:color w:val="005CA9"/>
                <w:sz w:val="18"/>
                <w:szCs w:val="18"/>
              </w:rPr>
              <w:t>)</w:t>
            </w:r>
          </w:p>
        </w:tc>
      </w:tr>
      <w:tr w:rsidR="00386B31" w14:paraId="116157C5" w14:textId="77777777" w:rsidTr="002D3A0E">
        <w:trPr>
          <w:trHeight w:val="283"/>
        </w:trPr>
        <w:tc>
          <w:tcPr>
            <w:tcW w:w="2588" w:type="pct"/>
            <w:tcBorders>
              <w:top w:val="nil"/>
              <w:left w:val="nil"/>
              <w:bottom w:val="single" w:sz="4" w:space="0" w:color="FFFFFF"/>
              <w:right w:val="nil"/>
            </w:tcBorders>
            <w:shd w:val="clear" w:color="000000" w:fill="D0E0E3"/>
            <w:noWrap/>
            <w:tcMar>
              <w:top w:w="15" w:type="dxa"/>
              <w:left w:w="135" w:type="dxa"/>
              <w:bottom w:w="0" w:type="dxa"/>
              <w:right w:w="15" w:type="dxa"/>
            </w:tcMar>
            <w:vAlign w:val="center"/>
            <w:hideMark/>
          </w:tcPr>
          <w:p w14:paraId="75218405" w14:textId="599461C6" w:rsidR="00386B31" w:rsidRDefault="00386B31">
            <w:pPr>
              <w:ind w:firstLineChars="100" w:firstLine="180"/>
              <w:rPr>
                <w:rFonts w:ascii="CAIXA Std Book" w:hAnsi="CAIXA Std Book"/>
                <w:b/>
                <w:bCs/>
                <w:color w:val="005CA9"/>
                <w:sz w:val="18"/>
                <w:szCs w:val="18"/>
              </w:rPr>
            </w:pPr>
            <w:r>
              <w:rPr>
                <w:rFonts w:ascii="CAIXA Std Book" w:hAnsi="CAIXA Std Book" w:cs="Calibri"/>
                <w:b/>
                <w:color w:val="005CA9"/>
                <w:sz w:val="18"/>
                <w:szCs w:val="18"/>
              </w:rPr>
              <w:t>Aplicações interfinanceiras de liquidez</w:t>
            </w:r>
          </w:p>
        </w:tc>
        <w:tc>
          <w:tcPr>
            <w:tcW w:w="603"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tcPr>
          <w:p w14:paraId="21D29B98" w14:textId="2C77C697" w:rsidR="00386B31" w:rsidRDefault="00FB5070" w:rsidP="002D3A0E">
            <w:pPr>
              <w:jc w:val="right"/>
              <w:rPr>
                <w:rFonts w:ascii="CAIXA Std Book" w:hAnsi="CAIXA Std Book"/>
                <w:b/>
                <w:bCs/>
                <w:color w:val="005CA9"/>
                <w:sz w:val="16"/>
                <w:szCs w:val="16"/>
              </w:rPr>
            </w:pPr>
            <w:r>
              <w:rPr>
                <w:rFonts w:ascii="CAIXA Std Book" w:hAnsi="CAIXA Std Book" w:cs="Calibri"/>
                <w:b/>
                <w:bCs/>
                <w:color w:val="005CA9"/>
                <w:sz w:val="18"/>
                <w:szCs w:val="18"/>
              </w:rPr>
              <w:t>88.448</w:t>
            </w:r>
          </w:p>
        </w:tc>
        <w:tc>
          <w:tcPr>
            <w:tcW w:w="604"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hideMark/>
          </w:tcPr>
          <w:p w14:paraId="27A7DFBA" w14:textId="4CAA02F9" w:rsidR="00386B31" w:rsidRDefault="00DD56AF" w:rsidP="002D3A0E">
            <w:pPr>
              <w:jc w:val="right"/>
              <w:rPr>
                <w:rFonts w:ascii="CAIXA Std Book" w:hAnsi="CAIXA Std Book"/>
                <w:b/>
                <w:bCs/>
                <w:color w:val="005CA9"/>
                <w:sz w:val="16"/>
                <w:szCs w:val="16"/>
              </w:rPr>
            </w:pPr>
            <w:r>
              <w:rPr>
                <w:rFonts w:ascii="CAIXA Std Book" w:hAnsi="CAIXA Std Book" w:cs="Calibri"/>
                <w:b/>
                <w:color w:val="005CA9"/>
                <w:sz w:val="18"/>
                <w:szCs w:val="18"/>
              </w:rPr>
              <w:t>149.582</w:t>
            </w:r>
          </w:p>
        </w:tc>
        <w:tc>
          <w:tcPr>
            <w:tcW w:w="603"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tcPr>
          <w:p w14:paraId="6E3E9D50" w14:textId="0F61334D" w:rsidR="00386B31" w:rsidRDefault="00F46122" w:rsidP="002D3A0E">
            <w:pPr>
              <w:jc w:val="right"/>
              <w:rPr>
                <w:rFonts w:ascii="CAIXA Std Book" w:hAnsi="CAIXA Std Book"/>
                <w:b/>
                <w:bCs/>
                <w:color w:val="005CA9"/>
                <w:sz w:val="16"/>
                <w:szCs w:val="16"/>
              </w:rPr>
            </w:pPr>
            <w:r>
              <w:rPr>
                <w:rFonts w:ascii="CAIXA Std Book" w:hAnsi="CAIXA Std Book" w:cs="Calibri"/>
                <w:b/>
                <w:bCs/>
                <w:color w:val="005CA9"/>
                <w:sz w:val="18"/>
                <w:szCs w:val="18"/>
              </w:rPr>
              <w:t>88.448</w:t>
            </w:r>
          </w:p>
        </w:tc>
        <w:tc>
          <w:tcPr>
            <w:tcW w:w="603"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hideMark/>
          </w:tcPr>
          <w:p w14:paraId="7325EF7C" w14:textId="4E89459D" w:rsidR="00386B31" w:rsidRDefault="00DD56AF" w:rsidP="002D3A0E">
            <w:pPr>
              <w:jc w:val="right"/>
              <w:rPr>
                <w:rFonts w:ascii="CAIXA Std Book" w:hAnsi="CAIXA Std Book"/>
                <w:b/>
                <w:bCs/>
                <w:color w:val="005CA9"/>
                <w:sz w:val="16"/>
                <w:szCs w:val="16"/>
              </w:rPr>
            </w:pPr>
            <w:r>
              <w:rPr>
                <w:rFonts w:ascii="CAIXA Std Book" w:hAnsi="CAIXA Std Book" w:cs="Calibri"/>
                <w:b/>
                <w:color w:val="005CA9"/>
                <w:sz w:val="18"/>
                <w:szCs w:val="18"/>
              </w:rPr>
              <w:t>149.582</w:t>
            </w:r>
          </w:p>
        </w:tc>
      </w:tr>
      <w:tr w:rsidR="00386B31" w14:paraId="2EDB577F" w14:textId="77777777" w:rsidTr="002D3A0E">
        <w:trPr>
          <w:trHeight w:val="283"/>
        </w:trPr>
        <w:tc>
          <w:tcPr>
            <w:tcW w:w="2588" w:type="pct"/>
            <w:tcBorders>
              <w:top w:val="nil"/>
              <w:left w:val="nil"/>
              <w:bottom w:val="single" w:sz="4" w:space="0" w:color="FFFFFF"/>
              <w:right w:val="nil"/>
            </w:tcBorders>
            <w:noWrap/>
            <w:tcMar>
              <w:top w:w="15" w:type="dxa"/>
              <w:left w:w="270" w:type="dxa"/>
              <w:bottom w:w="0" w:type="dxa"/>
              <w:right w:w="15" w:type="dxa"/>
            </w:tcMar>
            <w:vAlign w:val="center"/>
            <w:hideMark/>
          </w:tcPr>
          <w:p w14:paraId="5E70CD72" w14:textId="587D65A5" w:rsidR="00386B31" w:rsidRDefault="00386B31">
            <w:pPr>
              <w:ind w:firstLineChars="200" w:firstLine="360"/>
              <w:rPr>
                <w:rFonts w:ascii="CAIXA Std Book" w:hAnsi="CAIXA Std Book"/>
                <w:color w:val="005CA9"/>
                <w:sz w:val="18"/>
                <w:szCs w:val="18"/>
              </w:rPr>
            </w:pPr>
            <w:r>
              <w:rPr>
                <w:rFonts w:ascii="CAIXA Std Book" w:hAnsi="CAIXA Std Book" w:cs="Calibri"/>
                <w:color w:val="005CA9"/>
                <w:sz w:val="18"/>
                <w:szCs w:val="18"/>
              </w:rPr>
              <w:t>Rendas de aplicações em depósitos interfinanceiro</w:t>
            </w:r>
            <w:r w:rsidR="00337B0D">
              <w:rPr>
                <w:rFonts w:ascii="CAIXA Std Book" w:hAnsi="CAIXA Std Book" w:cs="Calibri"/>
                <w:color w:val="005CA9"/>
                <w:sz w:val="18"/>
                <w:szCs w:val="18"/>
              </w:rPr>
              <w:t>s</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2886870D" w14:textId="5DB14202"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88.448</w:t>
            </w:r>
          </w:p>
        </w:tc>
        <w:tc>
          <w:tcPr>
            <w:tcW w:w="604" w:type="pct"/>
            <w:tcBorders>
              <w:top w:val="nil"/>
              <w:left w:val="nil"/>
              <w:bottom w:val="single" w:sz="4" w:space="0" w:color="FFFFFF"/>
              <w:right w:val="nil"/>
            </w:tcBorders>
            <w:tcMar>
              <w:top w:w="15" w:type="dxa"/>
              <w:left w:w="15" w:type="dxa"/>
              <w:bottom w:w="0" w:type="dxa"/>
              <w:right w:w="15" w:type="dxa"/>
            </w:tcMar>
            <w:vAlign w:val="center"/>
            <w:hideMark/>
          </w:tcPr>
          <w:p w14:paraId="4BF7C222" w14:textId="12486040" w:rsidR="00386B31" w:rsidRDefault="00DD56AF" w:rsidP="002D3A0E">
            <w:pPr>
              <w:jc w:val="right"/>
              <w:rPr>
                <w:rFonts w:ascii="CAIXA Std Book" w:hAnsi="CAIXA Std Book"/>
                <w:color w:val="005CA9"/>
                <w:sz w:val="16"/>
                <w:szCs w:val="16"/>
              </w:rPr>
            </w:pPr>
            <w:r>
              <w:rPr>
                <w:rFonts w:ascii="CAIXA Std Book" w:hAnsi="CAIXA Std Book" w:cs="Calibri"/>
                <w:color w:val="005CA9"/>
                <w:sz w:val="18"/>
                <w:szCs w:val="18"/>
              </w:rPr>
              <w:t>149.582</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7ADF65F8" w14:textId="1EF9C1FA" w:rsidR="00386B31" w:rsidRDefault="00F46122" w:rsidP="002D3A0E">
            <w:pPr>
              <w:jc w:val="right"/>
              <w:rPr>
                <w:rFonts w:ascii="CAIXA Std Book" w:hAnsi="CAIXA Std Book"/>
                <w:color w:val="005CA9"/>
                <w:sz w:val="16"/>
                <w:szCs w:val="16"/>
              </w:rPr>
            </w:pPr>
            <w:r>
              <w:rPr>
                <w:rFonts w:ascii="CAIXA Std Book" w:hAnsi="CAIXA Std Book" w:cs="Calibri"/>
                <w:color w:val="005CA9"/>
                <w:sz w:val="18"/>
                <w:szCs w:val="18"/>
              </w:rPr>
              <w:t>88.448</w:t>
            </w:r>
          </w:p>
        </w:tc>
        <w:tc>
          <w:tcPr>
            <w:tcW w:w="603" w:type="pct"/>
            <w:tcBorders>
              <w:top w:val="nil"/>
              <w:left w:val="nil"/>
              <w:bottom w:val="single" w:sz="4" w:space="0" w:color="FFFFFF"/>
              <w:right w:val="nil"/>
            </w:tcBorders>
            <w:tcMar>
              <w:top w:w="15" w:type="dxa"/>
              <w:left w:w="15" w:type="dxa"/>
              <w:bottom w:w="0" w:type="dxa"/>
              <w:right w:w="15" w:type="dxa"/>
            </w:tcMar>
            <w:vAlign w:val="center"/>
            <w:hideMark/>
          </w:tcPr>
          <w:p w14:paraId="6757D034" w14:textId="3B4C86F2" w:rsidR="00386B31" w:rsidRDefault="00DD56AF" w:rsidP="002D3A0E">
            <w:pPr>
              <w:jc w:val="right"/>
              <w:rPr>
                <w:rFonts w:ascii="CAIXA Std Book" w:hAnsi="CAIXA Std Book"/>
                <w:color w:val="005CA9"/>
                <w:sz w:val="16"/>
                <w:szCs w:val="16"/>
              </w:rPr>
            </w:pPr>
            <w:r>
              <w:rPr>
                <w:rFonts w:ascii="CAIXA Std Book" w:hAnsi="CAIXA Std Book" w:cs="Calibri"/>
                <w:color w:val="005CA9"/>
                <w:sz w:val="18"/>
                <w:szCs w:val="18"/>
              </w:rPr>
              <w:t>149.582</w:t>
            </w:r>
          </w:p>
        </w:tc>
      </w:tr>
      <w:tr w:rsidR="00386B31" w14:paraId="58D6662D" w14:textId="77777777" w:rsidTr="002D3A0E">
        <w:trPr>
          <w:trHeight w:val="283"/>
        </w:trPr>
        <w:tc>
          <w:tcPr>
            <w:tcW w:w="2588" w:type="pct"/>
            <w:tcBorders>
              <w:top w:val="nil"/>
              <w:left w:val="nil"/>
              <w:bottom w:val="single" w:sz="4" w:space="0" w:color="FFFFFF"/>
              <w:right w:val="nil"/>
            </w:tcBorders>
            <w:shd w:val="clear" w:color="000000" w:fill="D0E0E3"/>
            <w:noWrap/>
            <w:tcMar>
              <w:top w:w="15" w:type="dxa"/>
              <w:left w:w="135" w:type="dxa"/>
              <w:bottom w:w="0" w:type="dxa"/>
              <w:right w:w="15" w:type="dxa"/>
            </w:tcMar>
            <w:vAlign w:val="center"/>
            <w:hideMark/>
          </w:tcPr>
          <w:p w14:paraId="2FB87F99" w14:textId="4D80A63A" w:rsidR="00386B31" w:rsidRDefault="00386B31">
            <w:pPr>
              <w:ind w:firstLineChars="100" w:firstLine="180"/>
              <w:rPr>
                <w:rFonts w:ascii="CAIXA Std Book" w:hAnsi="CAIXA Std Book"/>
                <w:b/>
                <w:bCs/>
                <w:color w:val="005CA9"/>
                <w:sz w:val="18"/>
                <w:szCs w:val="18"/>
              </w:rPr>
            </w:pPr>
            <w:r>
              <w:rPr>
                <w:rFonts w:ascii="CAIXA Std Book" w:hAnsi="CAIXA Std Book" w:cs="Calibri"/>
                <w:b/>
                <w:color w:val="005CA9"/>
                <w:sz w:val="18"/>
                <w:szCs w:val="18"/>
              </w:rPr>
              <w:t>Depósitos do banco central</w:t>
            </w:r>
          </w:p>
        </w:tc>
        <w:tc>
          <w:tcPr>
            <w:tcW w:w="603"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tcPr>
          <w:p w14:paraId="5403EFF7" w14:textId="5B75D264" w:rsidR="00386B31" w:rsidRDefault="00FB5070" w:rsidP="002D3A0E">
            <w:pPr>
              <w:jc w:val="right"/>
              <w:rPr>
                <w:rFonts w:ascii="CAIXA Std Book" w:hAnsi="CAIXA Std Book"/>
                <w:b/>
                <w:bCs/>
                <w:color w:val="005CA9"/>
                <w:sz w:val="16"/>
                <w:szCs w:val="16"/>
              </w:rPr>
            </w:pPr>
            <w:r>
              <w:rPr>
                <w:rFonts w:ascii="CAIXA Std Book" w:hAnsi="CAIXA Std Book" w:cs="Calibri"/>
                <w:b/>
                <w:bCs/>
                <w:color w:val="005CA9"/>
                <w:sz w:val="18"/>
                <w:szCs w:val="18"/>
              </w:rPr>
              <w:t>2.897.411</w:t>
            </w:r>
          </w:p>
        </w:tc>
        <w:tc>
          <w:tcPr>
            <w:tcW w:w="604"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hideMark/>
          </w:tcPr>
          <w:p w14:paraId="3619B956" w14:textId="12DB5CA1" w:rsidR="00386B31" w:rsidRDefault="00DD56AF" w:rsidP="002D3A0E">
            <w:pPr>
              <w:jc w:val="right"/>
              <w:rPr>
                <w:rFonts w:ascii="CAIXA Std Book" w:hAnsi="CAIXA Std Book"/>
                <w:b/>
                <w:bCs/>
                <w:color w:val="005CA9"/>
                <w:sz w:val="16"/>
                <w:szCs w:val="16"/>
              </w:rPr>
            </w:pPr>
            <w:r>
              <w:rPr>
                <w:rFonts w:ascii="CAIXA Std Book" w:hAnsi="CAIXA Std Book" w:cs="Calibri"/>
                <w:b/>
                <w:color w:val="005CA9"/>
                <w:sz w:val="18"/>
                <w:szCs w:val="18"/>
              </w:rPr>
              <w:t>2.818.260</w:t>
            </w:r>
          </w:p>
        </w:tc>
        <w:tc>
          <w:tcPr>
            <w:tcW w:w="603"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tcPr>
          <w:p w14:paraId="13E7F395" w14:textId="6E9365B7" w:rsidR="00386B31" w:rsidRDefault="00F46122" w:rsidP="002D3A0E">
            <w:pPr>
              <w:jc w:val="right"/>
              <w:rPr>
                <w:rFonts w:ascii="CAIXA Std Book" w:hAnsi="CAIXA Std Book"/>
                <w:b/>
                <w:bCs/>
                <w:color w:val="005CA9"/>
                <w:sz w:val="16"/>
                <w:szCs w:val="16"/>
              </w:rPr>
            </w:pPr>
            <w:r>
              <w:rPr>
                <w:rFonts w:ascii="CAIXA Std Book" w:hAnsi="CAIXA Std Book" w:cs="Calibri"/>
                <w:b/>
                <w:bCs/>
                <w:color w:val="005CA9"/>
                <w:sz w:val="18"/>
                <w:szCs w:val="18"/>
              </w:rPr>
              <w:t>2.897.411</w:t>
            </w:r>
          </w:p>
        </w:tc>
        <w:tc>
          <w:tcPr>
            <w:tcW w:w="603"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hideMark/>
          </w:tcPr>
          <w:p w14:paraId="44785EB7" w14:textId="04406A23" w:rsidR="00386B31" w:rsidRDefault="00DD56AF" w:rsidP="002D3A0E">
            <w:pPr>
              <w:jc w:val="right"/>
              <w:rPr>
                <w:rFonts w:ascii="CAIXA Std Book" w:hAnsi="CAIXA Std Book"/>
                <w:b/>
                <w:bCs/>
                <w:color w:val="005CA9"/>
                <w:sz w:val="16"/>
                <w:szCs w:val="16"/>
              </w:rPr>
            </w:pPr>
            <w:r>
              <w:rPr>
                <w:rFonts w:ascii="CAIXA Std Book" w:hAnsi="CAIXA Std Book" w:cs="Calibri"/>
                <w:b/>
                <w:color w:val="005CA9"/>
                <w:sz w:val="18"/>
                <w:szCs w:val="18"/>
              </w:rPr>
              <w:t>2.818.260</w:t>
            </w:r>
          </w:p>
        </w:tc>
      </w:tr>
      <w:tr w:rsidR="00386B31" w14:paraId="1F47835F" w14:textId="77777777" w:rsidTr="002D3A0E">
        <w:trPr>
          <w:trHeight w:val="283"/>
        </w:trPr>
        <w:tc>
          <w:tcPr>
            <w:tcW w:w="2588" w:type="pct"/>
            <w:tcBorders>
              <w:top w:val="nil"/>
              <w:left w:val="nil"/>
              <w:bottom w:val="single" w:sz="4" w:space="0" w:color="FFFFFF"/>
              <w:right w:val="nil"/>
            </w:tcBorders>
            <w:noWrap/>
            <w:tcMar>
              <w:top w:w="15" w:type="dxa"/>
              <w:left w:w="270" w:type="dxa"/>
              <w:bottom w:w="0" w:type="dxa"/>
              <w:right w:w="15" w:type="dxa"/>
            </w:tcMar>
            <w:vAlign w:val="center"/>
            <w:hideMark/>
          </w:tcPr>
          <w:p w14:paraId="341AA211" w14:textId="15998AA1" w:rsidR="00386B31" w:rsidRDefault="00FB5070">
            <w:pPr>
              <w:ind w:firstLineChars="200" w:firstLine="360"/>
              <w:rPr>
                <w:rFonts w:ascii="CAIXA Std Book" w:hAnsi="CAIXA Std Book"/>
                <w:color w:val="005CA9"/>
                <w:sz w:val="18"/>
                <w:szCs w:val="18"/>
              </w:rPr>
            </w:pPr>
            <w:r>
              <w:rPr>
                <w:rFonts w:ascii="CAIXA Std Book" w:hAnsi="CAIXA Std Book" w:cs="Calibri"/>
                <w:color w:val="005CA9"/>
                <w:sz w:val="18"/>
                <w:szCs w:val="18"/>
              </w:rPr>
              <w:t>Exigibilidade sobre recursos a prazo</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7CC83838" w14:textId="3E680DF1"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1.356.604</w:t>
            </w:r>
          </w:p>
        </w:tc>
        <w:tc>
          <w:tcPr>
            <w:tcW w:w="604" w:type="pct"/>
            <w:tcBorders>
              <w:top w:val="nil"/>
              <w:left w:val="nil"/>
              <w:bottom w:val="single" w:sz="4" w:space="0" w:color="FFFFFF"/>
              <w:right w:val="nil"/>
            </w:tcBorders>
            <w:tcMar>
              <w:top w:w="15" w:type="dxa"/>
              <w:left w:w="15" w:type="dxa"/>
              <w:bottom w:w="0" w:type="dxa"/>
              <w:right w:w="15" w:type="dxa"/>
            </w:tcMar>
            <w:vAlign w:val="center"/>
            <w:hideMark/>
          </w:tcPr>
          <w:p w14:paraId="2821B894" w14:textId="445963D2"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1.056.172</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30B2BF89" w14:textId="27B20BC7" w:rsidR="00386B31" w:rsidRDefault="00F46122" w:rsidP="002D3A0E">
            <w:pPr>
              <w:jc w:val="right"/>
              <w:rPr>
                <w:rFonts w:ascii="CAIXA Std Book" w:hAnsi="CAIXA Std Book"/>
                <w:color w:val="005CA9"/>
                <w:sz w:val="16"/>
                <w:szCs w:val="16"/>
              </w:rPr>
            </w:pPr>
            <w:r>
              <w:rPr>
                <w:rFonts w:ascii="CAIXA Std Book" w:hAnsi="CAIXA Std Book" w:cs="Calibri"/>
                <w:color w:val="005CA9"/>
                <w:sz w:val="18"/>
                <w:szCs w:val="18"/>
              </w:rPr>
              <w:t>1.356.604</w:t>
            </w:r>
          </w:p>
        </w:tc>
        <w:tc>
          <w:tcPr>
            <w:tcW w:w="603" w:type="pct"/>
            <w:tcBorders>
              <w:top w:val="nil"/>
              <w:left w:val="nil"/>
              <w:bottom w:val="single" w:sz="4" w:space="0" w:color="FFFFFF"/>
              <w:right w:val="nil"/>
            </w:tcBorders>
            <w:tcMar>
              <w:top w:w="15" w:type="dxa"/>
              <w:left w:w="15" w:type="dxa"/>
              <w:bottom w:w="0" w:type="dxa"/>
              <w:right w:w="15" w:type="dxa"/>
            </w:tcMar>
            <w:vAlign w:val="center"/>
            <w:hideMark/>
          </w:tcPr>
          <w:p w14:paraId="546AC655" w14:textId="60F1B0BB"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1.056.172</w:t>
            </w:r>
          </w:p>
        </w:tc>
      </w:tr>
      <w:tr w:rsidR="00386B31" w14:paraId="41C6FB6F" w14:textId="77777777" w:rsidTr="002D3A0E">
        <w:trPr>
          <w:trHeight w:val="283"/>
        </w:trPr>
        <w:tc>
          <w:tcPr>
            <w:tcW w:w="2588" w:type="pct"/>
            <w:tcBorders>
              <w:top w:val="nil"/>
              <w:left w:val="nil"/>
              <w:bottom w:val="single" w:sz="4" w:space="0" w:color="FFFFFF"/>
              <w:right w:val="nil"/>
            </w:tcBorders>
            <w:noWrap/>
            <w:tcMar>
              <w:top w:w="15" w:type="dxa"/>
              <w:left w:w="270" w:type="dxa"/>
              <w:bottom w:w="0" w:type="dxa"/>
              <w:right w:w="15" w:type="dxa"/>
            </w:tcMar>
            <w:vAlign w:val="center"/>
            <w:hideMark/>
          </w:tcPr>
          <w:p w14:paraId="15879AD9" w14:textId="6B76BB0F" w:rsidR="00386B31" w:rsidRDefault="00FB5070">
            <w:pPr>
              <w:ind w:firstLineChars="200" w:firstLine="360"/>
              <w:rPr>
                <w:rFonts w:ascii="CAIXA Std Book" w:hAnsi="CAIXA Std Book"/>
                <w:color w:val="005CA9"/>
                <w:sz w:val="18"/>
                <w:szCs w:val="18"/>
              </w:rPr>
            </w:pPr>
            <w:r>
              <w:rPr>
                <w:rFonts w:ascii="CAIXA Std Book" w:hAnsi="CAIXA Std Book" w:cs="Calibri"/>
                <w:color w:val="005CA9"/>
                <w:sz w:val="18"/>
                <w:szCs w:val="18"/>
              </w:rPr>
              <w:t>Depósitos de poupança</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0E4C2750" w14:textId="44F31C12"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1.144.952</w:t>
            </w:r>
          </w:p>
        </w:tc>
        <w:tc>
          <w:tcPr>
            <w:tcW w:w="604" w:type="pct"/>
            <w:tcBorders>
              <w:top w:val="nil"/>
              <w:left w:val="nil"/>
              <w:bottom w:val="single" w:sz="4" w:space="0" w:color="FFFFFF"/>
              <w:right w:val="nil"/>
            </w:tcBorders>
            <w:tcMar>
              <w:top w:w="15" w:type="dxa"/>
              <w:left w:w="15" w:type="dxa"/>
              <w:bottom w:w="0" w:type="dxa"/>
              <w:right w:w="15" w:type="dxa"/>
            </w:tcMar>
            <w:vAlign w:val="center"/>
            <w:hideMark/>
          </w:tcPr>
          <w:p w14:paraId="1A8CEF8C" w14:textId="3F9AC3FB"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1.418.955</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2BCE8C47" w14:textId="747A9327" w:rsidR="00386B31" w:rsidRDefault="00F46122" w:rsidP="002D3A0E">
            <w:pPr>
              <w:jc w:val="right"/>
              <w:rPr>
                <w:rFonts w:ascii="CAIXA Std Book" w:hAnsi="CAIXA Std Book"/>
                <w:color w:val="005CA9"/>
                <w:sz w:val="16"/>
                <w:szCs w:val="16"/>
              </w:rPr>
            </w:pPr>
            <w:r>
              <w:rPr>
                <w:rFonts w:ascii="CAIXA Std Book" w:hAnsi="CAIXA Std Book" w:cs="Calibri"/>
                <w:color w:val="005CA9"/>
                <w:sz w:val="18"/>
                <w:szCs w:val="18"/>
              </w:rPr>
              <w:t>1.144.952</w:t>
            </w:r>
          </w:p>
        </w:tc>
        <w:tc>
          <w:tcPr>
            <w:tcW w:w="603" w:type="pct"/>
            <w:tcBorders>
              <w:top w:val="nil"/>
              <w:left w:val="nil"/>
              <w:bottom w:val="single" w:sz="4" w:space="0" w:color="FFFFFF"/>
              <w:right w:val="nil"/>
            </w:tcBorders>
            <w:tcMar>
              <w:top w:w="15" w:type="dxa"/>
              <w:left w:w="15" w:type="dxa"/>
              <w:bottom w:w="0" w:type="dxa"/>
              <w:right w:w="15" w:type="dxa"/>
            </w:tcMar>
            <w:vAlign w:val="center"/>
            <w:hideMark/>
          </w:tcPr>
          <w:p w14:paraId="2DE83F09" w14:textId="48D2D02E"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1.418.955</w:t>
            </w:r>
          </w:p>
        </w:tc>
      </w:tr>
      <w:tr w:rsidR="00386B31" w14:paraId="7DEBB9FD" w14:textId="77777777" w:rsidTr="002D3A0E">
        <w:trPr>
          <w:trHeight w:val="283"/>
        </w:trPr>
        <w:tc>
          <w:tcPr>
            <w:tcW w:w="2588" w:type="pct"/>
            <w:tcBorders>
              <w:top w:val="nil"/>
              <w:left w:val="nil"/>
              <w:bottom w:val="single" w:sz="4" w:space="0" w:color="FFFFFF"/>
              <w:right w:val="nil"/>
            </w:tcBorders>
            <w:noWrap/>
            <w:tcMar>
              <w:top w:w="15" w:type="dxa"/>
              <w:left w:w="270" w:type="dxa"/>
              <w:bottom w:w="0" w:type="dxa"/>
              <w:right w:w="15" w:type="dxa"/>
            </w:tcMar>
            <w:vAlign w:val="center"/>
            <w:hideMark/>
          </w:tcPr>
          <w:p w14:paraId="09A8AFE3" w14:textId="63ADC554" w:rsidR="00386B31" w:rsidRDefault="00386B31">
            <w:pPr>
              <w:ind w:firstLineChars="200" w:firstLine="360"/>
              <w:rPr>
                <w:rFonts w:ascii="CAIXA Std Book" w:hAnsi="CAIXA Std Book"/>
                <w:color w:val="005CA9"/>
                <w:sz w:val="18"/>
                <w:szCs w:val="18"/>
              </w:rPr>
            </w:pPr>
            <w:r>
              <w:rPr>
                <w:rFonts w:ascii="CAIXA Std Book" w:hAnsi="CAIXA Std Book" w:cs="Calibri"/>
                <w:color w:val="005CA9"/>
                <w:sz w:val="18"/>
                <w:szCs w:val="18"/>
              </w:rPr>
              <w:t>Depósitos voluntários</w:t>
            </w:r>
            <w:r w:rsidR="00FB5070">
              <w:rPr>
                <w:rFonts w:ascii="CAIXA Std Book" w:hAnsi="CAIXA Std Book" w:cs="Calibri"/>
                <w:color w:val="005CA9"/>
                <w:sz w:val="18"/>
                <w:szCs w:val="18"/>
              </w:rPr>
              <w:t xml:space="preserve"> </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277053C9" w14:textId="1C781284"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395.855</w:t>
            </w:r>
          </w:p>
        </w:tc>
        <w:tc>
          <w:tcPr>
            <w:tcW w:w="604" w:type="pct"/>
            <w:tcBorders>
              <w:top w:val="nil"/>
              <w:left w:val="nil"/>
              <w:bottom w:val="single" w:sz="4" w:space="0" w:color="FFFFFF"/>
              <w:right w:val="nil"/>
            </w:tcBorders>
            <w:tcMar>
              <w:top w:w="15" w:type="dxa"/>
              <w:left w:w="15" w:type="dxa"/>
              <w:bottom w:w="0" w:type="dxa"/>
              <w:right w:w="15" w:type="dxa"/>
            </w:tcMar>
            <w:vAlign w:val="center"/>
            <w:hideMark/>
          </w:tcPr>
          <w:p w14:paraId="1B4B01F7" w14:textId="37EF8549" w:rsidR="00386B31" w:rsidRDefault="00DD56AF" w:rsidP="002D3A0E">
            <w:pPr>
              <w:jc w:val="right"/>
              <w:rPr>
                <w:rFonts w:ascii="CAIXA Std Book" w:hAnsi="CAIXA Std Book"/>
                <w:color w:val="005CA9"/>
                <w:sz w:val="16"/>
                <w:szCs w:val="16"/>
              </w:rPr>
            </w:pPr>
            <w:r>
              <w:rPr>
                <w:rFonts w:ascii="CAIXA Std Book" w:hAnsi="CAIXA Std Book" w:cs="Calibri"/>
                <w:color w:val="005CA9"/>
                <w:sz w:val="18"/>
                <w:szCs w:val="18"/>
              </w:rPr>
              <w:t>343.133</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27972032" w14:textId="1D6C3269" w:rsidR="00386B31" w:rsidRDefault="00F46122" w:rsidP="002D3A0E">
            <w:pPr>
              <w:jc w:val="right"/>
              <w:rPr>
                <w:rFonts w:ascii="CAIXA Std Book" w:hAnsi="CAIXA Std Book"/>
                <w:color w:val="005CA9"/>
                <w:sz w:val="16"/>
                <w:szCs w:val="16"/>
              </w:rPr>
            </w:pPr>
            <w:r>
              <w:rPr>
                <w:rFonts w:ascii="CAIXA Std Book" w:hAnsi="CAIXA Std Book" w:cs="Calibri"/>
                <w:color w:val="005CA9"/>
                <w:sz w:val="18"/>
                <w:szCs w:val="18"/>
              </w:rPr>
              <w:t>395.855</w:t>
            </w:r>
          </w:p>
        </w:tc>
        <w:tc>
          <w:tcPr>
            <w:tcW w:w="603" w:type="pct"/>
            <w:tcBorders>
              <w:top w:val="nil"/>
              <w:left w:val="nil"/>
              <w:bottom w:val="single" w:sz="4" w:space="0" w:color="FFFFFF"/>
              <w:right w:val="nil"/>
            </w:tcBorders>
            <w:tcMar>
              <w:top w:w="15" w:type="dxa"/>
              <w:left w:w="15" w:type="dxa"/>
              <w:bottom w:w="0" w:type="dxa"/>
              <w:right w:w="15" w:type="dxa"/>
            </w:tcMar>
            <w:vAlign w:val="center"/>
            <w:hideMark/>
          </w:tcPr>
          <w:p w14:paraId="6BBAF23B" w14:textId="23C7E3D4" w:rsidR="00386B31" w:rsidRDefault="00DD56AF" w:rsidP="002D3A0E">
            <w:pPr>
              <w:jc w:val="right"/>
              <w:rPr>
                <w:rFonts w:ascii="CAIXA Std Book" w:hAnsi="CAIXA Std Book"/>
                <w:color w:val="005CA9"/>
                <w:sz w:val="16"/>
                <w:szCs w:val="16"/>
              </w:rPr>
            </w:pPr>
            <w:r>
              <w:rPr>
                <w:rFonts w:ascii="CAIXA Std Book" w:hAnsi="CAIXA Std Book" w:cs="Calibri"/>
                <w:color w:val="005CA9"/>
                <w:sz w:val="18"/>
                <w:szCs w:val="18"/>
              </w:rPr>
              <w:t>343.133</w:t>
            </w:r>
          </w:p>
        </w:tc>
      </w:tr>
      <w:tr w:rsidR="00386B31" w14:paraId="479EEBAF" w14:textId="77777777" w:rsidTr="002D3A0E">
        <w:trPr>
          <w:trHeight w:val="283"/>
        </w:trPr>
        <w:tc>
          <w:tcPr>
            <w:tcW w:w="2588" w:type="pct"/>
            <w:tcBorders>
              <w:top w:val="nil"/>
              <w:left w:val="nil"/>
              <w:bottom w:val="single" w:sz="4" w:space="0" w:color="FFFFFF"/>
              <w:right w:val="nil"/>
            </w:tcBorders>
            <w:shd w:val="clear" w:color="000000" w:fill="D0E0E3"/>
            <w:noWrap/>
            <w:tcMar>
              <w:top w:w="15" w:type="dxa"/>
              <w:left w:w="135" w:type="dxa"/>
              <w:bottom w:w="0" w:type="dxa"/>
              <w:right w:w="15" w:type="dxa"/>
            </w:tcMar>
            <w:vAlign w:val="center"/>
            <w:hideMark/>
          </w:tcPr>
          <w:p w14:paraId="574B2927" w14:textId="1DBBEE22" w:rsidR="00386B31" w:rsidRDefault="00386B31">
            <w:pPr>
              <w:ind w:firstLineChars="100" w:firstLine="180"/>
              <w:rPr>
                <w:rFonts w:ascii="CAIXA Std Book" w:hAnsi="CAIXA Std Book"/>
                <w:b/>
                <w:bCs/>
                <w:color w:val="005CA9"/>
                <w:sz w:val="18"/>
                <w:szCs w:val="18"/>
              </w:rPr>
            </w:pPr>
            <w:r>
              <w:rPr>
                <w:rFonts w:ascii="CAIXA Std Book" w:hAnsi="CAIXA Std Book" w:cs="Calibri"/>
                <w:b/>
                <w:color w:val="005CA9"/>
                <w:sz w:val="18"/>
                <w:szCs w:val="18"/>
              </w:rPr>
              <w:t>Outros ativos financeiros</w:t>
            </w:r>
          </w:p>
        </w:tc>
        <w:tc>
          <w:tcPr>
            <w:tcW w:w="603"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tcPr>
          <w:p w14:paraId="79769BF3" w14:textId="4DAB603F" w:rsidR="00386B31" w:rsidRDefault="00FB5070" w:rsidP="002D3A0E">
            <w:pPr>
              <w:jc w:val="right"/>
              <w:rPr>
                <w:rFonts w:ascii="CAIXA Std Book" w:hAnsi="CAIXA Std Book"/>
                <w:b/>
                <w:bCs/>
                <w:color w:val="005CA9"/>
                <w:sz w:val="16"/>
                <w:szCs w:val="16"/>
              </w:rPr>
            </w:pPr>
            <w:r>
              <w:rPr>
                <w:rFonts w:ascii="CAIXA Std Book" w:hAnsi="CAIXA Std Book" w:cs="Calibri"/>
                <w:b/>
                <w:bCs/>
                <w:color w:val="005CA9"/>
                <w:sz w:val="18"/>
                <w:szCs w:val="18"/>
              </w:rPr>
              <w:t>596.682</w:t>
            </w:r>
          </w:p>
        </w:tc>
        <w:tc>
          <w:tcPr>
            <w:tcW w:w="604"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hideMark/>
          </w:tcPr>
          <w:p w14:paraId="5649B0DD" w14:textId="65BCAFEF" w:rsidR="00386B31" w:rsidRDefault="00DD56AF" w:rsidP="002D3A0E">
            <w:pPr>
              <w:jc w:val="right"/>
              <w:rPr>
                <w:rFonts w:ascii="CAIXA Std Book" w:hAnsi="CAIXA Std Book"/>
                <w:b/>
                <w:bCs/>
                <w:color w:val="005CA9"/>
                <w:sz w:val="16"/>
                <w:szCs w:val="16"/>
              </w:rPr>
            </w:pPr>
            <w:r>
              <w:rPr>
                <w:rFonts w:ascii="CAIXA Std Book" w:hAnsi="CAIXA Std Book" w:cs="Calibri"/>
                <w:b/>
                <w:color w:val="005CA9"/>
                <w:sz w:val="18"/>
                <w:szCs w:val="18"/>
              </w:rPr>
              <w:t>538.949</w:t>
            </w:r>
          </w:p>
        </w:tc>
        <w:tc>
          <w:tcPr>
            <w:tcW w:w="603"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tcPr>
          <w:p w14:paraId="6412E43A" w14:textId="5AD6A7B5" w:rsidR="00386B31" w:rsidRDefault="00F46122" w:rsidP="002D3A0E">
            <w:pPr>
              <w:jc w:val="right"/>
              <w:rPr>
                <w:rFonts w:ascii="CAIXA Std Book" w:hAnsi="CAIXA Std Book"/>
                <w:b/>
                <w:bCs/>
                <w:color w:val="005CA9"/>
                <w:sz w:val="16"/>
                <w:szCs w:val="16"/>
              </w:rPr>
            </w:pPr>
            <w:r>
              <w:rPr>
                <w:rFonts w:ascii="CAIXA Std Book" w:hAnsi="CAIXA Std Book" w:cs="Calibri"/>
                <w:b/>
                <w:bCs/>
                <w:color w:val="005CA9"/>
                <w:sz w:val="18"/>
                <w:szCs w:val="18"/>
              </w:rPr>
              <w:t>596.682</w:t>
            </w:r>
          </w:p>
        </w:tc>
        <w:tc>
          <w:tcPr>
            <w:tcW w:w="603" w:type="pct"/>
            <w:tcBorders>
              <w:top w:val="nil"/>
              <w:left w:val="nil"/>
              <w:bottom w:val="single" w:sz="4" w:space="0" w:color="FFFFFF"/>
              <w:right w:val="nil"/>
            </w:tcBorders>
            <w:shd w:val="clear" w:color="000000" w:fill="D0E0E3"/>
            <w:noWrap/>
            <w:tcMar>
              <w:top w:w="15" w:type="dxa"/>
              <w:left w:w="15" w:type="dxa"/>
              <w:bottom w:w="0" w:type="dxa"/>
              <w:right w:w="15" w:type="dxa"/>
            </w:tcMar>
            <w:vAlign w:val="center"/>
            <w:hideMark/>
          </w:tcPr>
          <w:p w14:paraId="43CA6C06" w14:textId="6D85B248" w:rsidR="00386B31" w:rsidRDefault="00DD56AF" w:rsidP="002D3A0E">
            <w:pPr>
              <w:jc w:val="right"/>
              <w:rPr>
                <w:rFonts w:ascii="CAIXA Std Book" w:hAnsi="CAIXA Std Book"/>
                <w:b/>
                <w:bCs/>
                <w:color w:val="005CA9"/>
                <w:sz w:val="16"/>
                <w:szCs w:val="16"/>
              </w:rPr>
            </w:pPr>
            <w:r>
              <w:rPr>
                <w:rFonts w:ascii="CAIXA Std Book" w:hAnsi="CAIXA Std Book" w:cs="Calibri"/>
                <w:b/>
                <w:color w:val="005CA9"/>
                <w:sz w:val="18"/>
                <w:szCs w:val="18"/>
              </w:rPr>
              <w:t>538.949</w:t>
            </w:r>
          </w:p>
        </w:tc>
      </w:tr>
      <w:tr w:rsidR="00386B31" w14:paraId="720B130F" w14:textId="77777777" w:rsidTr="002D3A0E">
        <w:trPr>
          <w:trHeight w:val="283"/>
        </w:trPr>
        <w:tc>
          <w:tcPr>
            <w:tcW w:w="2588" w:type="pct"/>
            <w:tcBorders>
              <w:top w:val="nil"/>
              <w:left w:val="nil"/>
              <w:bottom w:val="single" w:sz="4" w:space="0" w:color="FFFFFF"/>
              <w:right w:val="nil"/>
            </w:tcBorders>
            <w:noWrap/>
            <w:tcMar>
              <w:top w:w="15" w:type="dxa"/>
              <w:left w:w="270" w:type="dxa"/>
              <w:bottom w:w="0" w:type="dxa"/>
              <w:right w:w="15" w:type="dxa"/>
            </w:tcMar>
            <w:vAlign w:val="center"/>
            <w:hideMark/>
          </w:tcPr>
          <w:p w14:paraId="36C479AF" w14:textId="7B293EA6" w:rsidR="00386B31" w:rsidRDefault="00386B31">
            <w:pPr>
              <w:ind w:firstLineChars="200" w:firstLine="360"/>
              <w:rPr>
                <w:rFonts w:ascii="CAIXA Std Book" w:hAnsi="CAIXA Std Book"/>
                <w:color w:val="005CA9"/>
                <w:sz w:val="18"/>
                <w:szCs w:val="18"/>
              </w:rPr>
            </w:pPr>
            <w:r>
              <w:rPr>
                <w:rFonts w:ascii="CAIXA Std Book" w:hAnsi="CAIXA Std Book" w:cs="Calibri"/>
                <w:color w:val="005CA9"/>
                <w:sz w:val="18"/>
                <w:szCs w:val="18"/>
              </w:rPr>
              <w:t>Resultado com outros ativos financeiros</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2A7CF1A3" w14:textId="78555C8A" w:rsidR="00386B31" w:rsidRDefault="00FB5070" w:rsidP="002D3A0E">
            <w:pPr>
              <w:jc w:val="right"/>
              <w:rPr>
                <w:rFonts w:ascii="CAIXA Std Book" w:hAnsi="CAIXA Std Book"/>
                <w:color w:val="005CA9"/>
                <w:sz w:val="16"/>
                <w:szCs w:val="16"/>
              </w:rPr>
            </w:pPr>
            <w:r>
              <w:rPr>
                <w:rFonts w:ascii="CAIXA Std Book" w:hAnsi="CAIXA Std Book" w:cs="Calibri"/>
                <w:color w:val="005CA9"/>
                <w:sz w:val="18"/>
                <w:szCs w:val="18"/>
              </w:rPr>
              <w:t>596.682</w:t>
            </w:r>
          </w:p>
        </w:tc>
        <w:tc>
          <w:tcPr>
            <w:tcW w:w="604" w:type="pct"/>
            <w:tcBorders>
              <w:top w:val="nil"/>
              <w:left w:val="nil"/>
              <w:bottom w:val="single" w:sz="4" w:space="0" w:color="FFFFFF"/>
              <w:right w:val="nil"/>
            </w:tcBorders>
            <w:tcMar>
              <w:top w:w="15" w:type="dxa"/>
              <w:left w:w="15" w:type="dxa"/>
              <w:bottom w:w="0" w:type="dxa"/>
              <w:right w:w="15" w:type="dxa"/>
            </w:tcMar>
            <w:vAlign w:val="center"/>
            <w:hideMark/>
          </w:tcPr>
          <w:p w14:paraId="164EC37F" w14:textId="17FEBF4E" w:rsidR="00386B31" w:rsidRDefault="00DD56AF" w:rsidP="002D3A0E">
            <w:pPr>
              <w:jc w:val="right"/>
              <w:rPr>
                <w:rFonts w:ascii="CAIXA Std Book" w:hAnsi="CAIXA Std Book"/>
                <w:color w:val="005CA9"/>
                <w:sz w:val="16"/>
                <w:szCs w:val="16"/>
              </w:rPr>
            </w:pPr>
            <w:r>
              <w:rPr>
                <w:rFonts w:ascii="CAIXA Std Book" w:hAnsi="CAIXA Std Book" w:cs="Calibri"/>
                <w:color w:val="005CA9"/>
                <w:sz w:val="18"/>
                <w:szCs w:val="18"/>
              </w:rPr>
              <w:t>538.949</w:t>
            </w:r>
          </w:p>
        </w:tc>
        <w:tc>
          <w:tcPr>
            <w:tcW w:w="603" w:type="pct"/>
            <w:tcBorders>
              <w:top w:val="nil"/>
              <w:left w:val="nil"/>
              <w:bottom w:val="single" w:sz="4" w:space="0" w:color="FFFFFF"/>
              <w:right w:val="nil"/>
            </w:tcBorders>
            <w:tcMar>
              <w:top w:w="15" w:type="dxa"/>
              <w:left w:w="15" w:type="dxa"/>
              <w:bottom w:w="0" w:type="dxa"/>
              <w:right w:w="15" w:type="dxa"/>
            </w:tcMar>
            <w:vAlign w:val="center"/>
          </w:tcPr>
          <w:p w14:paraId="66AEAB56" w14:textId="77ECA21E" w:rsidR="00386B31" w:rsidRDefault="00F46122" w:rsidP="002D3A0E">
            <w:pPr>
              <w:jc w:val="right"/>
              <w:rPr>
                <w:rFonts w:ascii="CAIXA Std Book" w:hAnsi="CAIXA Std Book"/>
                <w:color w:val="005CA9"/>
                <w:sz w:val="16"/>
                <w:szCs w:val="16"/>
              </w:rPr>
            </w:pPr>
            <w:r>
              <w:rPr>
                <w:rFonts w:ascii="CAIXA Std Book" w:hAnsi="CAIXA Std Book" w:cs="Calibri"/>
                <w:color w:val="005CA9"/>
                <w:sz w:val="18"/>
                <w:szCs w:val="18"/>
              </w:rPr>
              <w:t>596.682</w:t>
            </w:r>
          </w:p>
        </w:tc>
        <w:tc>
          <w:tcPr>
            <w:tcW w:w="603" w:type="pct"/>
            <w:tcBorders>
              <w:top w:val="nil"/>
              <w:left w:val="nil"/>
              <w:bottom w:val="single" w:sz="4" w:space="0" w:color="FFFFFF"/>
              <w:right w:val="nil"/>
            </w:tcBorders>
            <w:tcMar>
              <w:top w:w="15" w:type="dxa"/>
              <w:left w:w="15" w:type="dxa"/>
              <w:bottom w:w="0" w:type="dxa"/>
              <w:right w:w="15" w:type="dxa"/>
            </w:tcMar>
            <w:vAlign w:val="center"/>
            <w:hideMark/>
          </w:tcPr>
          <w:p w14:paraId="55EFF807" w14:textId="0BC2F9A2" w:rsidR="00386B31" w:rsidRDefault="00DD56AF" w:rsidP="002D3A0E">
            <w:pPr>
              <w:jc w:val="right"/>
              <w:rPr>
                <w:rFonts w:ascii="CAIXA Std Book" w:hAnsi="CAIXA Std Book"/>
                <w:color w:val="005CA9"/>
                <w:sz w:val="16"/>
                <w:szCs w:val="16"/>
              </w:rPr>
            </w:pPr>
            <w:r>
              <w:rPr>
                <w:rFonts w:ascii="CAIXA Std Book" w:hAnsi="CAIXA Std Book" w:cs="Calibri"/>
                <w:color w:val="005CA9"/>
                <w:sz w:val="18"/>
                <w:szCs w:val="18"/>
              </w:rPr>
              <w:t>538.949</w:t>
            </w:r>
          </w:p>
        </w:tc>
      </w:tr>
      <w:tr w:rsidR="00386B31" w14:paraId="3E23390E" w14:textId="77777777" w:rsidTr="002D3A0E">
        <w:trPr>
          <w:trHeight w:val="283"/>
        </w:trPr>
        <w:tc>
          <w:tcPr>
            <w:tcW w:w="2588" w:type="pct"/>
            <w:tcBorders>
              <w:top w:val="nil"/>
              <w:left w:val="nil"/>
              <w:bottom w:val="single" w:sz="4" w:space="0" w:color="FFFFFF"/>
              <w:right w:val="nil"/>
            </w:tcBorders>
            <w:shd w:val="clear" w:color="000000" w:fill="005CA9"/>
            <w:noWrap/>
            <w:tcMar>
              <w:top w:w="15" w:type="dxa"/>
              <w:left w:w="15" w:type="dxa"/>
              <w:bottom w:w="0" w:type="dxa"/>
              <w:right w:w="15" w:type="dxa"/>
            </w:tcMar>
            <w:vAlign w:val="center"/>
            <w:hideMark/>
          </w:tcPr>
          <w:p w14:paraId="2DE72395" w14:textId="6CA257C0" w:rsidR="00386B31" w:rsidRDefault="00386B31">
            <w:pPr>
              <w:rPr>
                <w:rFonts w:ascii="CAIXA Std Book" w:hAnsi="CAIXA Std Book"/>
                <w:b/>
                <w:bCs/>
                <w:color w:val="FFFFFF"/>
                <w:sz w:val="18"/>
                <w:szCs w:val="18"/>
              </w:rPr>
            </w:pPr>
            <w:r>
              <w:rPr>
                <w:rFonts w:ascii="CAIXA Std Book" w:hAnsi="CAIXA Std Book" w:cs="Calibri"/>
                <w:b/>
                <w:color w:val="FFFFFF"/>
                <w:sz w:val="18"/>
                <w:szCs w:val="18"/>
              </w:rPr>
              <w:t>Total</w:t>
            </w:r>
          </w:p>
        </w:tc>
        <w:tc>
          <w:tcPr>
            <w:tcW w:w="603" w:type="pct"/>
            <w:tcBorders>
              <w:top w:val="nil"/>
              <w:left w:val="nil"/>
              <w:bottom w:val="single" w:sz="4" w:space="0" w:color="FFFFFF"/>
              <w:right w:val="nil"/>
            </w:tcBorders>
            <w:shd w:val="clear" w:color="000000" w:fill="005CA9"/>
            <w:noWrap/>
            <w:tcMar>
              <w:top w:w="15" w:type="dxa"/>
              <w:left w:w="15" w:type="dxa"/>
              <w:bottom w:w="0" w:type="dxa"/>
              <w:right w:w="15" w:type="dxa"/>
            </w:tcMar>
            <w:vAlign w:val="center"/>
          </w:tcPr>
          <w:p w14:paraId="174CCBCB" w14:textId="2B0D4FDF" w:rsidR="00386B31" w:rsidRDefault="00FB5070" w:rsidP="002D3A0E">
            <w:pPr>
              <w:jc w:val="right"/>
              <w:rPr>
                <w:rFonts w:ascii="CAIXA Std Book" w:hAnsi="CAIXA Std Book"/>
                <w:b/>
                <w:bCs/>
                <w:color w:val="FFFFFF"/>
                <w:sz w:val="16"/>
                <w:szCs w:val="16"/>
              </w:rPr>
            </w:pPr>
            <w:r>
              <w:rPr>
                <w:rFonts w:ascii="CAIXA Std Book" w:hAnsi="CAIXA Std Book" w:cs="Calibri"/>
                <w:b/>
                <w:bCs/>
                <w:color w:val="FFFFFF"/>
                <w:sz w:val="18"/>
                <w:szCs w:val="18"/>
              </w:rPr>
              <w:t>64.756.218</w:t>
            </w:r>
          </w:p>
        </w:tc>
        <w:tc>
          <w:tcPr>
            <w:tcW w:w="604" w:type="pct"/>
            <w:tcBorders>
              <w:top w:val="nil"/>
              <w:left w:val="nil"/>
              <w:bottom w:val="single" w:sz="4" w:space="0" w:color="FFFFFF"/>
              <w:right w:val="nil"/>
            </w:tcBorders>
            <w:shd w:val="clear" w:color="000000" w:fill="005CA9"/>
            <w:noWrap/>
            <w:tcMar>
              <w:top w:w="15" w:type="dxa"/>
              <w:left w:w="15" w:type="dxa"/>
              <w:bottom w:w="0" w:type="dxa"/>
              <w:right w:w="15" w:type="dxa"/>
            </w:tcMar>
            <w:vAlign w:val="center"/>
            <w:hideMark/>
          </w:tcPr>
          <w:p w14:paraId="7832FB37" w14:textId="67426140" w:rsidR="00386B31" w:rsidRDefault="00DD56AF" w:rsidP="002D3A0E">
            <w:pPr>
              <w:jc w:val="right"/>
              <w:rPr>
                <w:rFonts w:ascii="CAIXA Std Book" w:hAnsi="CAIXA Std Book"/>
                <w:b/>
                <w:bCs/>
                <w:color w:val="FFFFFF"/>
                <w:sz w:val="16"/>
                <w:szCs w:val="16"/>
              </w:rPr>
            </w:pPr>
            <w:r>
              <w:rPr>
                <w:rFonts w:ascii="CAIXA Std Book" w:hAnsi="CAIXA Std Book" w:cs="Calibri"/>
                <w:b/>
                <w:color w:val="FFFFFF"/>
                <w:sz w:val="18"/>
                <w:szCs w:val="18"/>
              </w:rPr>
              <w:t>55.347.320</w:t>
            </w:r>
          </w:p>
        </w:tc>
        <w:tc>
          <w:tcPr>
            <w:tcW w:w="603" w:type="pct"/>
            <w:tcBorders>
              <w:top w:val="nil"/>
              <w:left w:val="nil"/>
              <w:bottom w:val="single" w:sz="4" w:space="0" w:color="FFFFFF"/>
              <w:right w:val="nil"/>
            </w:tcBorders>
            <w:shd w:val="clear" w:color="000000" w:fill="005CA9"/>
            <w:noWrap/>
            <w:tcMar>
              <w:top w:w="15" w:type="dxa"/>
              <w:left w:w="15" w:type="dxa"/>
              <w:bottom w:w="0" w:type="dxa"/>
              <w:right w:w="15" w:type="dxa"/>
            </w:tcMar>
            <w:vAlign w:val="center"/>
          </w:tcPr>
          <w:p w14:paraId="56DC7054" w14:textId="4C145128" w:rsidR="00386B31" w:rsidRDefault="00F46122" w:rsidP="002D3A0E">
            <w:pPr>
              <w:jc w:val="right"/>
              <w:rPr>
                <w:rFonts w:ascii="CAIXA Std Book" w:hAnsi="CAIXA Std Book"/>
                <w:b/>
                <w:bCs/>
                <w:color w:val="FFFFFF"/>
                <w:sz w:val="16"/>
                <w:szCs w:val="16"/>
              </w:rPr>
            </w:pPr>
            <w:r>
              <w:rPr>
                <w:rFonts w:ascii="CAIXA Std Book" w:hAnsi="CAIXA Std Book" w:cs="Calibri"/>
                <w:b/>
                <w:bCs/>
                <w:color w:val="FFFFFF"/>
                <w:sz w:val="18"/>
                <w:szCs w:val="18"/>
              </w:rPr>
              <w:t>64.914.919</w:t>
            </w:r>
          </w:p>
        </w:tc>
        <w:tc>
          <w:tcPr>
            <w:tcW w:w="603" w:type="pct"/>
            <w:tcBorders>
              <w:top w:val="nil"/>
              <w:left w:val="nil"/>
              <w:bottom w:val="single" w:sz="4" w:space="0" w:color="FFFFFF"/>
              <w:right w:val="nil"/>
            </w:tcBorders>
            <w:shd w:val="clear" w:color="000000" w:fill="005CA9"/>
            <w:noWrap/>
            <w:tcMar>
              <w:top w:w="15" w:type="dxa"/>
              <w:left w:w="15" w:type="dxa"/>
              <w:bottom w:w="0" w:type="dxa"/>
              <w:right w:w="15" w:type="dxa"/>
            </w:tcMar>
            <w:vAlign w:val="center"/>
            <w:hideMark/>
          </w:tcPr>
          <w:p w14:paraId="61CE3063" w14:textId="71572798" w:rsidR="00386B31" w:rsidRDefault="00DD56AF" w:rsidP="002D3A0E">
            <w:pPr>
              <w:jc w:val="right"/>
              <w:rPr>
                <w:rFonts w:ascii="CAIXA Std Book" w:hAnsi="CAIXA Std Book"/>
                <w:b/>
                <w:bCs/>
                <w:color w:val="FFFFFF"/>
                <w:sz w:val="16"/>
                <w:szCs w:val="16"/>
              </w:rPr>
            </w:pPr>
            <w:r>
              <w:rPr>
                <w:rFonts w:ascii="CAIXA Std Book" w:hAnsi="CAIXA Std Book" w:cs="Calibri"/>
                <w:b/>
                <w:color w:val="FFFFFF"/>
                <w:sz w:val="18"/>
                <w:szCs w:val="18"/>
              </w:rPr>
              <w:t>55.395.043</w:t>
            </w:r>
          </w:p>
        </w:tc>
      </w:tr>
    </w:tbl>
    <w:p w14:paraId="58517D2C" w14:textId="5967E0CF" w:rsidR="00E129C1" w:rsidRPr="00594AD3" w:rsidRDefault="00405F57">
      <w:pPr>
        <w:rPr>
          <w:rFonts w:ascii="CAIXA Std Book" w:hAnsi="CAIXA Std Book"/>
          <w:color w:val="005CA9"/>
          <w:sz w:val="16"/>
          <w:szCs w:val="16"/>
        </w:rPr>
      </w:pPr>
      <w:r w:rsidRPr="00F5516B">
        <w:rPr>
          <w:rFonts w:ascii="CAIXA Std Book" w:hAnsi="CAIXA Std Book"/>
          <w:color w:val="005CA9"/>
          <w:sz w:val="16"/>
          <w:szCs w:val="16"/>
        </w:rPr>
        <w:t xml:space="preserve">(1) Inclui recuperação de prejuízos no </w:t>
      </w:r>
      <w:r w:rsidR="00FD5548" w:rsidRPr="00F5516B">
        <w:rPr>
          <w:rFonts w:ascii="CAIXA Std Book" w:hAnsi="CAIXA Std Book"/>
          <w:color w:val="005CA9"/>
          <w:sz w:val="16"/>
          <w:szCs w:val="16"/>
        </w:rPr>
        <w:t xml:space="preserve">montante </w:t>
      </w:r>
      <w:r w:rsidRPr="00F5516B">
        <w:rPr>
          <w:rFonts w:ascii="CAIXA Std Book" w:hAnsi="CAIXA Std Book"/>
          <w:color w:val="005CA9"/>
          <w:sz w:val="16"/>
          <w:szCs w:val="16"/>
        </w:rPr>
        <w:t xml:space="preserve">de R$ </w:t>
      </w:r>
      <w:r w:rsidR="00F46122" w:rsidRPr="00F46122">
        <w:rPr>
          <w:rFonts w:ascii="CAIXA Std Book" w:hAnsi="CAIXA Std Book"/>
          <w:color w:val="005CA9"/>
          <w:sz w:val="16"/>
          <w:szCs w:val="16"/>
        </w:rPr>
        <w:t>466.839</w:t>
      </w:r>
      <w:r w:rsidR="000242CA" w:rsidRPr="000242CA">
        <w:rPr>
          <w:rFonts w:ascii="CAIXA Std Book" w:hAnsi="CAIXA Std Book"/>
          <w:color w:val="005CA9"/>
          <w:sz w:val="16"/>
          <w:szCs w:val="16"/>
        </w:rPr>
        <w:t xml:space="preserve"> (</w:t>
      </w:r>
      <w:r w:rsidR="009D215C" w:rsidRPr="009D215C">
        <w:rPr>
          <w:rFonts w:ascii="CAIXA Std Book" w:hAnsi="CAIXA Std Book"/>
          <w:color w:val="005CA9"/>
          <w:sz w:val="16"/>
          <w:szCs w:val="16"/>
        </w:rPr>
        <w:t>1º trimestre</w:t>
      </w:r>
      <w:r w:rsidR="009D215C">
        <w:rPr>
          <w:rFonts w:ascii="CAIXA Std Book" w:hAnsi="CAIXA Std Book"/>
          <w:color w:val="005CA9"/>
          <w:sz w:val="16"/>
          <w:szCs w:val="16"/>
        </w:rPr>
        <w:t xml:space="preserve"> de </w:t>
      </w:r>
      <w:r w:rsidR="00EA264B">
        <w:rPr>
          <w:rFonts w:ascii="CAIXA Std Book" w:hAnsi="CAIXA Std Book"/>
          <w:color w:val="005CA9"/>
          <w:sz w:val="16"/>
          <w:szCs w:val="16"/>
        </w:rPr>
        <w:t>2025 -</w:t>
      </w:r>
      <w:r w:rsidR="000242CA" w:rsidRPr="000242CA">
        <w:rPr>
          <w:rFonts w:ascii="CAIXA Std Book" w:hAnsi="CAIXA Std Book"/>
          <w:color w:val="005CA9"/>
          <w:sz w:val="16"/>
          <w:szCs w:val="16"/>
        </w:rPr>
        <w:t xml:space="preserve"> R$ 1.552.638).</w:t>
      </w:r>
    </w:p>
    <w:p w14:paraId="469D5C80" w14:textId="77777777" w:rsidR="000C2C31" w:rsidRDefault="000C2C31">
      <w:pPr>
        <w:rPr>
          <w:rFonts w:ascii="CAIXA Std Book" w:hAnsi="CAIXA Std Book"/>
          <w:b/>
          <w:color w:val="005CA9"/>
          <w:sz w:val="20"/>
          <w:szCs w:val="20"/>
        </w:rPr>
      </w:pPr>
      <w:r>
        <w:rPr>
          <w:rFonts w:ascii="CAIXA Std Book" w:hAnsi="CAIXA Std Book"/>
          <w:b/>
          <w:color w:val="005CA9"/>
          <w:sz w:val="20"/>
          <w:szCs w:val="20"/>
        </w:rPr>
        <w:br w:type="page"/>
      </w:r>
    </w:p>
    <w:p w14:paraId="2F74D60A" w14:textId="029083F0" w:rsidR="00072B13" w:rsidRDefault="00072B13" w:rsidP="00295657">
      <w:pPr>
        <w:keepNext/>
        <w:numPr>
          <w:ilvl w:val="0"/>
          <w:numId w:val="25"/>
        </w:numPr>
        <w:spacing w:before="240" w:after="120"/>
        <w:ind w:left="567" w:hanging="567"/>
        <w:jc w:val="both"/>
        <w:rPr>
          <w:rFonts w:ascii="CAIXA Std Book" w:hAnsi="CAIXA Std Book"/>
          <w:b/>
          <w:color w:val="005CA9"/>
          <w:sz w:val="20"/>
          <w:szCs w:val="20"/>
        </w:rPr>
      </w:pPr>
      <w:r>
        <w:rPr>
          <w:rFonts w:ascii="CAIXA Std Book" w:hAnsi="CAIXA Std Book"/>
          <w:b/>
          <w:color w:val="005CA9"/>
          <w:sz w:val="20"/>
          <w:szCs w:val="20"/>
        </w:rPr>
        <w:t>Despesas de Juros</w:t>
      </w:r>
    </w:p>
    <w:tbl>
      <w:tblPr>
        <w:tblW w:w="5000" w:type="pct"/>
        <w:tblLayout w:type="fixed"/>
        <w:tblCellMar>
          <w:left w:w="70" w:type="dxa"/>
          <w:right w:w="70" w:type="dxa"/>
        </w:tblCellMar>
        <w:tblLook w:val="04A0" w:firstRow="1" w:lastRow="0" w:firstColumn="1" w:lastColumn="0" w:noHBand="0" w:noVBand="1"/>
      </w:tblPr>
      <w:tblGrid>
        <w:gridCol w:w="4394"/>
        <w:gridCol w:w="1311"/>
        <w:gridCol w:w="1311"/>
        <w:gridCol w:w="1311"/>
        <w:gridCol w:w="1311"/>
      </w:tblGrid>
      <w:tr w:rsidR="0098578B" w:rsidRPr="00CF6BCE" w14:paraId="36110850" w14:textId="77777777" w:rsidTr="00E7148B">
        <w:trPr>
          <w:trHeight w:val="283"/>
        </w:trPr>
        <w:tc>
          <w:tcPr>
            <w:tcW w:w="2280" w:type="pct"/>
            <w:vMerge w:val="restart"/>
            <w:tcBorders>
              <w:top w:val="single" w:sz="4" w:space="0" w:color="FFFFFF"/>
              <w:left w:val="nil"/>
              <w:bottom w:val="single" w:sz="4" w:space="0" w:color="FFFFFF"/>
              <w:right w:val="nil"/>
            </w:tcBorders>
            <w:shd w:val="clear" w:color="000000" w:fill="005CA9"/>
            <w:vAlign w:val="center"/>
            <w:hideMark/>
          </w:tcPr>
          <w:p w14:paraId="23F459D1" w14:textId="77777777" w:rsidR="0098578B" w:rsidRPr="0098578B" w:rsidRDefault="0098578B" w:rsidP="0098578B">
            <w:pPr>
              <w:jc w:val="center"/>
              <w:rPr>
                <w:rFonts w:ascii="CAIXA Std Book" w:eastAsia="Times New Roman" w:hAnsi="CAIXA Std Book" w:cs="Times New Roman"/>
                <w:b/>
                <w:bCs/>
                <w:color w:val="FFFFFF"/>
                <w:sz w:val="18"/>
                <w:szCs w:val="18"/>
              </w:rPr>
            </w:pPr>
            <w:bookmarkStart w:id="136" w:name="_Toc217914348"/>
            <w:r w:rsidRPr="0098578B">
              <w:rPr>
                <w:rFonts w:ascii="CAIXA Std Book" w:eastAsia="Times New Roman" w:hAnsi="CAIXA Std Book" w:cs="Times New Roman"/>
                <w:b/>
                <w:bCs/>
                <w:color w:val="FFFFFF"/>
                <w:sz w:val="18"/>
                <w:szCs w:val="18"/>
              </w:rPr>
              <w:t>Descrição</w:t>
            </w:r>
          </w:p>
        </w:tc>
        <w:tc>
          <w:tcPr>
            <w:tcW w:w="1360" w:type="pct"/>
            <w:gridSpan w:val="2"/>
            <w:tcBorders>
              <w:top w:val="single" w:sz="4" w:space="0" w:color="FFFFFF"/>
              <w:left w:val="nil"/>
              <w:bottom w:val="single" w:sz="4" w:space="0" w:color="FFFFFF" w:themeColor="background1"/>
              <w:right w:val="nil"/>
            </w:tcBorders>
            <w:shd w:val="clear" w:color="000000" w:fill="005CA9"/>
            <w:vAlign w:val="center"/>
            <w:hideMark/>
          </w:tcPr>
          <w:p w14:paraId="702665B7" w14:textId="77777777" w:rsidR="0098578B" w:rsidRPr="0098578B" w:rsidRDefault="0098578B" w:rsidP="0098578B">
            <w:pPr>
              <w:jc w:val="center"/>
              <w:rPr>
                <w:rFonts w:ascii="CAIXA Std Book" w:eastAsia="Times New Roman" w:hAnsi="CAIXA Std Book" w:cs="Times New Roman"/>
                <w:b/>
                <w:bCs/>
                <w:color w:val="FFFFFF"/>
                <w:sz w:val="18"/>
                <w:szCs w:val="18"/>
              </w:rPr>
            </w:pPr>
            <w:r w:rsidRPr="0098578B">
              <w:rPr>
                <w:rFonts w:ascii="CAIXA Std Book" w:eastAsia="Times New Roman" w:hAnsi="CAIXA Std Book" w:cs="Times New Roman"/>
                <w:b/>
                <w:bCs/>
                <w:color w:val="FFFFFF"/>
                <w:sz w:val="18"/>
                <w:szCs w:val="18"/>
              </w:rPr>
              <w:t>Individual</w:t>
            </w:r>
          </w:p>
        </w:tc>
        <w:tc>
          <w:tcPr>
            <w:tcW w:w="1360" w:type="pct"/>
            <w:gridSpan w:val="2"/>
            <w:tcBorders>
              <w:top w:val="single" w:sz="4" w:space="0" w:color="FFFFFF"/>
              <w:left w:val="nil"/>
              <w:bottom w:val="single" w:sz="4" w:space="0" w:color="FFFFFF" w:themeColor="background1"/>
              <w:right w:val="nil"/>
            </w:tcBorders>
            <w:shd w:val="clear" w:color="000000" w:fill="005CA9"/>
            <w:vAlign w:val="center"/>
            <w:hideMark/>
          </w:tcPr>
          <w:p w14:paraId="0C18FF91" w14:textId="77777777" w:rsidR="0098578B" w:rsidRPr="0098578B" w:rsidRDefault="0098578B" w:rsidP="0098578B">
            <w:pPr>
              <w:jc w:val="center"/>
              <w:rPr>
                <w:rFonts w:ascii="CAIXA Std Book" w:eastAsia="Times New Roman" w:hAnsi="CAIXA Std Book" w:cs="Times New Roman"/>
                <w:b/>
                <w:bCs/>
                <w:color w:val="FFFFFF"/>
                <w:sz w:val="18"/>
                <w:szCs w:val="18"/>
              </w:rPr>
            </w:pPr>
            <w:r w:rsidRPr="0098578B">
              <w:rPr>
                <w:rFonts w:ascii="CAIXA Std Book" w:eastAsia="Times New Roman" w:hAnsi="CAIXA Std Book" w:cs="Times New Roman"/>
                <w:b/>
                <w:bCs/>
                <w:color w:val="FFFFFF"/>
                <w:sz w:val="18"/>
                <w:szCs w:val="18"/>
              </w:rPr>
              <w:t>Consolidado</w:t>
            </w:r>
          </w:p>
        </w:tc>
      </w:tr>
      <w:tr w:rsidR="0098578B" w:rsidRPr="00CF6BCE" w14:paraId="131FD2D5" w14:textId="77777777" w:rsidTr="00E7148B">
        <w:trPr>
          <w:trHeight w:val="283"/>
        </w:trPr>
        <w:tc>
          <w:tcPr>
            <w:tcW w:w="2280" w:type="pct"/>
            <w:vMerge/>
            <w:tcBorders>
              <w:top w:val="single" w:sz="4" w:space="0" w:color="FFFFFF"/>
              <w:left w:val="nil"/>
              <w:bottom w:val="single" w:sz="4" w:space="0" w:color="FFFFFF"/>
              <w:right w:val="nil"/>
            </w:tcBorders>
            <w:vAlign w:val="center"/>
            <w:hideMark/>
          </w:tcPr>
          <w:p w14:paraId="4678A61A" w14:textId="77777777" w:rsidR="0098578B" w:rsidRPr="0098578B" w:rsidRDefault="0098578B" w:rsidP="0098578B">
            <w:pPr>
              <w:rPr>
                <w:rFonts w:ascii="CAIXA Std Book" w:eastAsia="Times New Roman" w:hAnsi="CAIXA Std Book" w:cs="Times New Roman"/>
                <w:b/>
                <w:bCs/>
                <w:color w:val="FFFFFF"/>
                <w:sz w:val="18"/>
                <w:szCs w:val="18"/>
              </w:rPr>
            </w:pPr>
          </w:p>
        </w:tc>
        <w:tc>
          <w:tcPr>
            <w:tcW w:w="680" w:type="pct"/>
            <w:tcBorders>
              <w:top w:val="single" w:sz="4" w:space="0" w:color="FFFFFF" w:themeColor="background1"/>
              <w:left w:val="nil"/>
              <w:bottom w:val="single" w:sz="4" w:space="0" w:color="FFFFFF"/>
              <w:right w:val="nil"/>
            </w:tcBorders>
            <w:shd w:val="clear" w:color="000000" w:fill="005CA9"/>
            <w:vAlign w:val="center"/>
            <w:hideMark/>
          </w:tcPr>
          <w:p w14:paraId="1D890066" w14:textId="5BDA2A4F" w:rsidR="0098578B" w:rsidRPr="0098578B" w:rsidRDefault="0098578B" w:rsidP="0098578B">
            <w:pPr>
              <w:jc w:val="center"/>
              <w:rPr>
                <w:rFonts w:ascii="CAIXA Std Book" w:eastAsia="Times New Roman" w:hAnsi="CAIXA Std Book" w:cs="Times New Roman"/>
                <w:b/>
                <w:bCs/>
                <w:color w:val="FFFFFF"/>
                <w:sz w:val="18"/>
                <w:szCs w:val="18"/>
              </w:rPr>
            </w:pPr>
            <w:r w:rsidRPr="0098578B">
              <w:rPr>
                <w:rFonts w:ascii="CAIXA Std Book" w:eastAsia="Times New Roman" w:hAnsi="CAIXA Std Book" w:cs="Times New Roman"/>
                <w:b/>
                <w:bCs/>
                <w:color w:val="FFFFFF"/>
                <w:sz w:val="18"/>
                <w:szCs w:val="18"/>
              </w:rPr>
              <w:t>202</w:t>
            </w:r>
            <w:r w:rsidR="00DD56AF">
              <w:rPr>
                <w:rFonts w:ascii="CAIXA Std Book" w:eastAsia="Times New Roman" w:hAnsi="CAIXA Std Book" w:cs="Times New Roman"/>
                <w:b/>
                <w:bCs/>
                <w:color w:val="FFFFFF"/>
                <w:sz w:val="18"/>
                <w:szCs w:val="18"/>
              </w:rPr>
              <w:t>6</w:t>
            </w:r>
          </w:p>
        </w:tc>
        <w:tc>
          <w:tcPr>
            <w:tcW w:w="680" w:type="pct"/>
            <w:tcBorders>
              <w:top w:val="single" w:sz="4" w:space="0" w:color="FFFFFF" w:themeColor="background1"/>
              <w:left w:val="nil"/>
              <w:bottom w:val="single" w:sz="4" w:space="0" w:color="FFFFFF"/>
              <w:right w:val="nil"/>
            </w:tcBorders>
            <w:shd w:val="clear" w:color="000000" w:fill="005CA9"/>
            <w:vAlign w:val="center"/>
            <w:hideMark/>
          </w:tcPr>
          <w:p w14:paraId="2BE11170" w14:textId="27043613" w:rsidR="0098578B" w:rsidRPr="0098578B" w:rsidRDefault="0098578B" w:rsidP="0098578B">
            <w:pPr>
              <w:jc w:val="center"/>
              <w:rPr>
                <w:rFonts w:ascii="CAIXA Std Book" w:eastAsia="Times New Roman" w:hAnsi="CAIXA Std Book" w:cs="Times New Roman"/>
                <w:b/>
                <w:bCs/>
                <w:color w:val="FFFFFF"/>
                <w:sz w:val="18"/>
                <w:szCs w:val="18"/>
              </w:rPr>
            </w:pPr>
            <w:r w:rsidRPr="0098578B">
              <w:rPr>
                <w:rFonts w:ascii="CAIXA Std Book" w:eastAsia="Times New Roman" w:hAnsi="CAIXA Std Book" w:cs="Times New Roman"/>
                <w:b/>
                <w:bCs/>
                <w:color w:val="FFFFFF"/>
                <w:sz w:val="18"/>
                <w:szCs w:val="18"/>
              </w:rPr>
              <w:t>202</w:t>
            </w:r>
            <w:r w:rsidR="00DD56AF">
              <w:rPr>
                <w:rFonts w:ascii="CAIXA Std Book" w:eastAsia="Times New Roman" w:hAnsi="CAIXA Std Book" w:cs="Times New Roman"/>
                <w:b/>
                <w:bCs/>
                <w:color w:val="FFFFFF"/>
                <w:sz w:val="18"/>
                <w:szCs w:val="18"/>
              </w:rPr>
              <w:t>5</w:t>
            </w:r>
          </w:p>
        </w:tc>
        <w:tc>
          <w:tcPr>
            <w:tcW w:w="680" w:type="pct"/>
            <w:tcBorders>
              <w:top w:val="single" w:sz="4" w:space="0" w:color="FFFFFF" w:themeColor="background1"/>
              <w:left w:val="nil"/>
              <w:bottom w:val="single" w:sz="4" w:space="0" w:color="FFFFFF"/>
              <w:right w:val="nil"/>
            </w:tcBorders>
            <w:shd w:val="clear" w:color="000000" w:fill="005CA9"/>
            <w:vAlign w:val="center"/>
            <w:hideMark/>
          </w:tcPr>
          <w:p w14:paraId="7466BAFE" w14:textId="4C921967" w:rsidR="0098578B" w:rsidRPr="0098578B" w:rsidRDefault="0098578B" w:rsidP="0098578B">
            <w:pPr>
              <w:jc w:val="center"/>
              <w:rPr>
                <w:rFonts w:ascii="CAIXA Std Book" w:eastAsia="Times New Roman" w:hAnsi="CAIXA Std Book" w:cs="Times New Roman"/>
                <w:b/>
                <w:bCs/>
                <w:color w:val="FFFFFF"/>
                <w:sz w:val="18"/>
                <w:szCs w:val="18"/>
              </w:rPr>
            </w:pPr>
            <w:r w:rsidRPr="0098578B">
              <w:rPr>
                <w:rFonts w:ascii="CAIXA Std Book" w:eastAsia="Times New Roman" w:hAnsi="CAIXA Std Book" w:cs="Times New Roman"/>
                <w:b/>
                <w:bCs/>
                <w:color w:val="FFFFFF"/>
                <w:sz w:val="18"/>
                <w:szCs w:val="18"/>
              </w:rPr>
              <w:t>202</w:t>
            </w:r>
            <w:r w:rsidR="00DD56AF">
              <w:rPr>
                <w:rFonts w:ascii="CAIXA Std Book" w:eastAsia="Times New Roman" w:hAnsi="CAIXA Std Book" w:cs="Times New Roman"/>
                <w:b/>
                <w:bCs/>
                <w:color w:val="FFFFFF"/>
                <w:sz w:val="18"/>
                <w:szCs w:val="18"/>
              </w:rPr>
              <w:t>6</w:t>
            </w:r>
          </w:p>
        </w:tc>
        <w:tc>
          <w:tcPr>
            <w:tcW w:w="680" w:type="pct"/>
            <w:tcBorders>
              <w:top w:val="single" w:sz="4" w:space="0" w:color="FFFFFF" w:themeColor="background1"/>
              <w:left w:val="nil"/>
              <w:bottom w:val="single" w:sz="4" w:space="0" w:color="FFFFFF"/>
              <w:right w:val="nil"/>
            </w:tcBorders>
            <w:shd w:val="clear" w:color="000000" w:fill="005CA9"/>
            <w:vAlign w:val="center"/>
            <w:hideMark/>
          </w:tcPr>
          <w:p w14:paraId="2420A327" w14:textId="48DF6157" w:rsidR="0098578B" w:rsidRPr="0098578B" w:rsidRDefault="0098578B" w:rsidP="0098578B">
            <w:pPr>
              <w:jc w:val="center"/>
              <w:rPr>
                <w:rFonts w:ascii="CAIXA Std Book" w:eastAsia="Times New Roman" w:hAnsi="CAIXA Std Book" w:cs="Times New Roman"/>
                <w:b/>
                <w:bCs/>
                <w:color w:val="FFFFFF"/>
                <w:sz w:val="18"/>
                <w:szCs w:val="18"/>
              </w:rPr>
            </w:pPr>
            <w:r w:rsidRPr="0098578B">
              <w:rPr>
                <w:rFonts w:ascii="CAIXA Std Book" w:eastAsia="Times New Roman" w:hAnsi="CAIXA Std Book" w:cs="Times New Roman"/>
                <w:b/>
                <w:bCs/>
                <w:color w:val="FFFFFF"/>
                <w:sz w:val="18"/>
                <w:szCs w:val="18"/>
              </w:rPr>
              <w:t>202</w:t>
            </w:r>
            <w:r w:rsidR="00DD56AF">
              <w:rPr>
                <w:rFonts w:ascii="CAIXA Std Book" w:eastAsia="Times New Roman" w:hAnsi="CAIXA Std Book" w:cs="Times New Roman"/>
                <w:b/>
                <w:bCs/>
                <w:color w:val="FFFFFF"/>
                <w:sz w:val="18"/>
                <w:szCs w:val="18"/>
              </w:rPr>
              <w:t>5</w:t>
            </w:r>
          </w:p>
        </w:tc>
      </w:tr>
      <w:tr w:rsidR="0098578B" w:rsidRPr="00CF6BCE" w14:paraId="4D511B97" w14:textId="77777777" w:rsidTr="00E7148B">
        <w:trPr>
          <w:trHeight w:val="283"/>
        </w:trPr>
        <w:tc>
          <w:tcPr>
            <w:tcW w:w="2280" w:type="pct"/>
            <w:vMerge/>
            <w:tcBorders>
              <w:top w:val="single" w:sz="4" w:space="0" w:color="FFFFFF"/>
              <w:left w:val="nil"/>
              <w:bottom w:val="single" w:sz="4" w:space="0" w:color="FFFFFF"/>
              <w:right w:val="nil"/>
            </w:tcBorders>
            <w:vAlign w:val="center"/>
            <w:hideMark/>
          </w:tcPr>
          <w:p w14:paraId="46E7E9AE" w14:textId="77777777" w:rsidR="0098578B" w:rsidRPr="0098578B" w:rsidRDefault="0098578B" w:rsidP="0098578B">
            <w:pPr>
              <w:rPr>
                <w:rFonts w:ascii="CAIXA Std Book" w:eastAsia="Times New Roman" w:hAnsi="CAIXA Std Book" w:cs="Times New Roman"/>
                <w:b/>
                <w:bCs/>
                <w:color w:val="FFFFFF"/>
                <w:sz w:val="18"/>
                <w:szCs w:val="18"/>
              </w:rPr>
            </w:pPr>
          </w:p>
        </w:tc>
        <w:tc>
          <w:tcPr>
            <w:tcW w:w="680" w:type="pct"/>
            <w:tcBorders>
              <w:top w:val="nil"/>
              <w:left w:val="nil"/>
              <w:bottom w:val="nil"/>
              <w:right w:val="nil"/>
            </w:tcBorders>
            <w:shd w:val="clear" w:color="000000" w:fill="005CA9"/>
            <w:vAlign w:val="center"/>
            <w:hideMark/>
          </w:tcPr>
          <w:p w14:paraId="49FC89CF" w14:textId="77777777" w:rsidR="0098578B" w:rsidRPr="0098578B" w:rsidRDefault="0098578B" w:rsidP="0098578B">
            <w:pPr>
              <w:jc w:val="center"/>
              <w:rPr>
                <w:rFonts w:ascii="CAIXA Std Book" w:eastAsia="Times New Roman" w:hAnsi="CAIXA Std Book" w:cs="Times New Roman"/>
                <w:b/>
                <w:bCs/>
                <w:color w:val="FFFFFF"/>
                <w:sz w:val="18"/>
                <w:szCs w:val="18"/>
              </w:rPr>
            </w:pPr>
            <w:r w:rsidRPr="0098578B">
              <w:rPr>
                <w:rFonts w:ascii="CAIXA Std Book" w:eastAsia="Times New Roman" w:hAnsi="CAIXA Std Book" w:cs="Times New Roman"/>
                <w:b/>
                <w:bCs/>
                <w:color w:val="FFFFFF"/>
                <w:sz w:val="18"/>
                <w:szCs w:val="18"/>
              </w:rPr>
              <w:t>1º trimestre</w:t>
            </w:r>
          </w:p>
        </w:tc>
        <w:tc>
          <w:tcPr>
            <w:tcW w:w="680" w:type="pct"/>
            <w:tcBorders>
              <w:top w:val="nil"/>
              <w:left w:val="nil"/>
              <w:bottom w:val="nil"/>
              <w:right w:val="nil"/>
            </w:tcBorders>
            <w:shd w:val="clear" w:color="000000" w:fill="005CA9"/>
            <w:vAlign w:val="center"/>
            <w:hideMark/>
          </w:tcPr>
          <w:p w14:paraId="783F9C9E" w14:textId="77777777" w:rsidR="0098578B" w:rsidRPr="0098578B" w:rsidRDefault="0098578B" w:rsidP="0098578B">
            <w:pPr>
              <w:jc w:val="center"/>
              <w:rPr>
                <w:rFonts w:ascii="CAIXA Std Book" w:eastAsia="Times New Roman" w:hAnsi="CAIXA Std Book" w:cs="Times New Roman"/>
                <w:b/>
                <w:bCs/>
                <w:color w:val="FFFFFF"/>
                <w:sz w:val="18"/>
                <w:szCs w:val="18"/>
              </w:rPr>
            </w:pPr>
            <w:r w:rsidRPr="0098578B">
              <w:rPr>
                <w:rFonts w:ascii="CAIXA Std Book" w:eastAsia="Times New Roman" w:hAnsi="CAIXA Std Book" w:cs="Times New Roman"/>
                <w:b/>
                <w:bCs/>
                <w:color w:val="FFFFFF"/>
                <w:sz w:val="18"/>
                <w:szCs w:val="18"/>
              </w:rPr>
              <w:t>1º trimestre</w:t>
            </w:r>
          </w:p>
        </w:tc>
        <w:tc>
          <w:tcPr>
            <w:tcW w:w="680" w:type="pct"/>
            <w:tcBorders>
              <w:top w:val="nil"/>
              <w:left w:val="nil"/>
              <w:bottom w:val="nil"/>
              <w:right w:val="nil"/>
            </w:tcBorders>
            <w:shd w:val="clear" w:color="000000" w:fill="005CA9"/>
            <w:vAlign w:val="center"/>
            <w:hideMark/>
          </w:tcPr>
          <w:p w14:paraId="3B68521C" w14:textId="77777777" w:rsidR="0098578B" w:rsidRPr="0098578B" w:rsidRDefault="0098578B" w:rsidP="0098578B">
            <w:pPr>
              <w:jc w:val="center"/>
              <w:rPr>
                <w:rFonts w:ascii="CAIXA Std Book" w:eastAsia="Times New Roman" w:hAnsi="CAIXA Std Book" w:cs="Times New Roman"/>
                <w:b/>
                <w:bCs/>
                <w:color w:val="FFFFFF"/>
                <w:sz w:val="18"/>
                <w:szCs w:val="18"/>
              </w:rPr>
            </w:pPr>
            <w:r w:rsidRPr="0098578B">
              <w:rPr>
                <w:rFonts w:ascii="CAIXA Std Book" w:eastAsia="Times New Roman" w:hAnsi="CAIXA Std Book" w:cs="Times New Roman"/>
                <w:b/>
                <w:bCs/>
                <w:color w:val="FFFFFF"/>
                <w:sz w:val="18"/>
                <w:szCs w:val="18"/>
              </w:rPr>
              <w:t>1º trimestre</w:t>
            </w:r>
          </w:p>
        </w:tc>
        <w:tc>
          <w:tcPr>
            <w:tcW w:w="680" w:type="pct"/>
            <w:tcBorders>
              <w:top w:val="nil"/>
              <w:left w:val="nil"/>
              <w:bottom w:val="nil"/>
              <w:right w:val="nil"/>
            </w:tcBorders>
            <w:shd w:val="clear" w:color="000000" w:fill="005CA9"/>
            <w:vAlign w:val="center"/>
            <w:hideMark/>
          </w:tcPr>
          <w:p w14:paraId="2C22C7A0" w14:textId="77777777" w:rsidR="0098578B" w:rsidRPr="0098578B" w:rsidRDefault="0098578B" w:rsidP="0098578B">
            <w:pPr>
              <w:jc w:val="center"/>
              <w:rPr>
                <w:rFonts w:ascii="CAIXA Std Book" w:eastAsia="Times New Roman" w:hAnsi="CAIXA Std Book" w:cs="Times New Roman"/>
                <w:b/>
                <w:bCs/>
                <w:color w:val="FFFFFF"/>
                <w:sz w:val="18"/>
                <w:szCs w:val="18"/>
              </w:rPr>
            </w:pPr>
            <w:r w:rsidRPr="0098578B">
              <w:rPr>
                <w:rFonts w:ascii="CAIXA Std Book" w:eastAsia="Times New Roman" w:hAnsi="CAIXA Std Book" w:cs="Times New Roman"/>
                <w:b/>
                <w:bCs/>
                <w:color w:val="FFFFFF"/>
                <w:sz w:val="18"/>
                <w:szCs w:val="18"/>
              </w:rPr>
              <w:t>1º trimestre</w:t>
            </w:r>
          </w:p>
        </w:tc>
      </w:tr>
      <w:tr w:rsidR="0098578B" w:rsidRPr="00CF6BCE" w14:paraId="57DB614E" w14:textId="77777777" w:rsidTr="00E7148B">
        <w:trPr>
          <w:trHeight w:val="283"/>
        </w:trPr>
        <w:tc>
          <w:tcPr>
            <w:tcW w:w="2280" w:type="pct"/>
            <w:tcBorders>
              <w:top w:val="nil"/>
              <w:left w:val="nil"/>
              <w:bottom w:val="single" w:sz="4" w:space="0" w:color="FFFFFF"/>
              <w:right w:val="nil"/>
            </w:tcBorders>
            <w:shd w:val="clear" w:color="000000" w:fill="D0E0E3"/>
            <w:noWrap/>
            <w:vAlign w:val="center"/>
            <w:hideMark/>
          </w:tcPr>
          <w:p w14:paraId="3B9C6139" w14:textId="1A4F425A" w:rsidR="0098578B" w:rsidRPr="0098578B" w:rsidRDefault="0098578B" w:rsidP="0098578B">
            <w:pPr>
              <w:ind w:firstLineChars="100" w:firstLine="180"/>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Ao custo amortizado</w:t>
            </w:r>
          </w:p>
        </w:tc>
        <w:tc>
          <w:tcPr>
            <w:tcW w:w="680" w:type="pct"/>
            <w:tcBorders>
              <w:top w:val="single" w:sz="4" w:space="0" w:color="FFFFFF"/>
              <w:left w:val="nil"/>
              <w:bottom w:val="single" w:sz="4" w:space="0" w:color="FFFFFF"/>
              <w:right w:val="nil"/>
            </w:tcBorders>
            <w:shd w:val="clear" w:color="000000" w:fill="D0E0E3"/>
            <w:noWrap/>
            <w:vAlign w:val="center"/>
          </w:tcPr>
          <w:p w14:paraId="794A9AB9" w14:textId="6DB1315D" w:rsidR="0098578B" w:rsidRPr="00686021" w:rsidRDefault="00EF52CD" w:rsidP="0098578B">
            <w:pPr>
              <w:jc w:val="right"/>
              <w:rPr>
                <w:rFonts w:ascii="CAIXA Std Book" w:eastAsia="Times New Roman" w:hAnsi="CAIXA Std Book" w:cs="Times New Roman"/>
                <w:b/>
                <w:color w:val="005CA9"/>
                <w:sz w:val="18"/>
                <w:szCs w:val="18"/>
              </w:rPr>
            </w:pPr>
            <w:r w:rsidRPr="00686021">
              <w:rPr>
                <w:rFonts w:ascii="CAIXA Std Book" w:hAnsi="CAIXA Std Book" w:cs="Calibri"/>
                <w:b/>
                <w:color w:val="005CA9"/>
                <w:sz w:val="18"/>
                <w:szCs w:val="18"/>
              </w:rPr>
              <w:t>(47.237.961)</w:t>
            </w:r>
          </w:p>
        </w:tc>
        <w:tc>
          <w:tcPr>
            <w:tcW w:w="680" w:type="pct"/>
            <w:tcBorders>
              <w:top w:val="single" w:sz="4" w:space="0" w:color="FFFFFF"/>
              <w:left w:val="nil"/>
              <w:bottom w:val="single" w:sz="4" w:space="0" w:color="FFFFFF"/>
              <w:right w:val="nil"/>
            </w:tcBorders>
            <w:shd w:val="clear" w:color="000000" w:fill="D0E0E3"/>
            <w:noWrap/>
            <w:vAlign w:val="center"/>
            <w:hideMark/>
          </w:tcPr>
          <w:p w14:paraId="3E1EB54D" w14:textId="6F4CDB12" w:rsidR="0098578B" w:rsidRPr="00686021" w:rsidRDefault="00DD56AF" w:rsidP="0098578B">
            <w:pPr>
              <w:jc w:val="right"/>
              <w:rPr>
                <w:rFonts w:ascii="CAIXA Std Book" w:eastAsia="Times New Roman" w:hAnsi="CAIXA Std Book" w:cs="Times New Roman"/>
                <w:b/>
                <w:color w:val="005CA9"/>
                <w:sz w:val="18"/>
                <w:szCs w:val="18"/>
              </w:rPr>
            </w:pPr>
            <w:r w:rsidRPr="00686021">
              <w:rPr>
                <w:rFonts w:ascii="CAIXA Std Book" w:hAnsi="CAIXA Std Book" w:cs="Calibri"/>
                <w:b/>
                <w:color w:val="005CA9"/>
                <w:sz w:val="18"/>
                <w:szCs w:val="18"/>
              </w:rPr>
              <w:t>(39.496.737)</w:t>
            </w:r>
          </w:p>
        </w:tc>
        <w:tc>
          <w:tcPr>
            <w:tcW w:w="680" w:type="pct"/>
            <w:tcBorders>
              <w:top w:val="single" w:sz="4" w:space="0" w:color="FFFFFF"/>
              <w:left w:val="nil"/>
              <w:bottom w:val="single" w:sz="4" w:space="0" w:color="FFFFFF"/>
              <w:right w:val="nil"/>
            </w:tcBorders>
            <w:shd w:val="clear" w:color="000000" w:fill="D0E0E3"/>
            <w:noWrap/>
            <w:vAlign w:val="center"/>
          </w:tcPr>
          <w:p w14:paraId="3B1E1BD2" w14:textId="4D2A9D71" w:rsidR="0098578B" w:rsidRPr="00686021" w:rsidRDefault="000825B6" w:rsidP="0098578B">
            <w:pPr>
              <w:jc w:val="right"/>
              <w:rPr>
                <w:rFonts w:ascii="CAIXA Std Book" w:eastAsia="Times New Roman" w:hAnsi="CAIXA Std Book" w:cs="Times New Roman"/>
                <w:b/>
                <w:color w:val="005CA9"/>
                <w:sz w:val="18"/>
                <w:szCs w:val="18"/>
              </w:rPr>
            </w:pPr>
            <w:r w:rsidRPr="00686021">
              <w:rPr>
                <w:rFonts w:ascii="CAIXA Std Book" w:hAnsi="CAIXA Std Book" w:cs="Calibri"/>
                <w:b/>
                <w:color w:val="005CA9"/>
                <w:sz w:val="18"/>
                <w:szCs w:val="18"/>
              </w:rPr>
              <w:t>(46.779.186)</w:t>
            </w:r>
          </w:p>
        </w:tc>
        <w:tc>
          <w:tcPr>
            <w:tcW w:w="680" w:type="pct"/>
            <w:tcBorders>
              <w:top w:val="single" w:sz="4" w:space="0" w:color="FFFFFF"/>
              <w:left w:val="nil"/>
              <w:bottom w:val="single" w:sz="4" w:space="0" w:color="FFFFFF"/>
              <w:right w:val="nil"/>
            </w:tcBorders>
            <w:shd w:val="clear" w:color="000000" w:fill="D0E0E3"/>
            <w:noWrap/>
            <w:vAlign w:val="center"/>
            <w:hideMark/>
          </w:tcPr>
          <w:p w14:paraId="0D1E20C2" w14:textId="156C9CA3" w:rsidR="0098578B" w:rsidRPr="00686021" w:rsidRDefault="00C575E1" w:rsidP="0098578B">
            <w:pPr>
              <w:jc w:val="right"/>
              <w:rPr>
                <w:rFonts w:ascii="CAIXA Std Book" w:eastAsia="Times New Roman" w:hAnsi="CAIXA Std Book" w:cs="Times New Roman"/>
                <w:b/>
                <w:color w:val="005CA9"/>
                <w:sz w:val="18"/>
                <w:szCs w:val="18"/>
              </w:rPr>
            </w:pPr>
            <w:r w:rsidRPr="00686021">
              <w:rPr>
                <w:rFonts w:ascii="CAIXA Std Book" w:hAnsi="CAIXA Std Book" w:cs="Calibri"/>
                <w:b/>
                <w:color w:val="005CA9"/>
                <w:sz w:val="18"/>
                <w:szCs w:val="18"/>
              </w:rPr>
              <w:t>(38.738.490)</w:t>
            </w:r>
          </w:p>
        </w:tc>
      </w:tr>
      <w:tr w:rsidR="0098578B" w:rsidRPr="00CF6BCE" w14:paraId="78608747" w14:textId="77777777" w:rsidTr="00E7148B">
        <w:trPr>
          <w:trHeight w:val="283"/>
        </w:trPr>
        <w:tc>
          <w:tcPr>
            <w:tcW w:w="2280" w:type="pct"/>
            <w:tcBorders>
              <w:top w:val="nil"/>
              <w:left w:val="nil"/>
              <w:bottom w:val="single" w:sz="4" w:space="0" w:color="FFFFFF"/>
              <w:right w:val="nil"/>
            </w:tcBorders>
            <w:shd w:val="clear" w:color="000000" w:fill="D0E0E3"/>
            <w:noWrap/>
            <w:vAlign w:val="center"/>
            <w:hideMark/>
          </w:tcPr>
          <w:p w14:paraId="1630DB55" w14:textId="53089FBE" w:rsidR="0098578B" w:rsidRPr="0098578B" w:rsidRDefault="0098578B" w:rsidP="0098578B">
            <w:pPr>
              <w:ind w:firstLineChars="100" w:firstLine="180"/>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 xml:space="preserve">Recursos de clientes </w:t>
            </w:r>
          </w:p>
        </w:tc>
        <w:tc>
          <w:tcPr>
            <w:tcW w:w="680" w:type="pct"/>
            <w:tcBorders>
              <w:top w:val="nil"/>
              <w:left w:val="nil"/>
              <w:bottom w:val="single" w:sz="4" w:space="0" w:color="FFFFFF"/>
              <w:right w:val="nil"/>
            </w:tcBorders>
            <w:shd w:val="clear" w:color="000000" w:fill="D0E0E3"/>
            <w:noWrap/>
            <w:vAlign w:val="center"/>
          </w:tcPr>
          <w:p w14:paraId="6B5B183B" w14:textId="0CE515F1" w:rsidR="0098578B" w:rsidRPr="00686021" w:rsidRDefault="00EF52CD" w:rsidP="0098578B">
            <w:pPr>
              <w:jc w:val="right"/>
              <w:rPr>
                <w:rFonts w:ascii="CAIXA Std Book" w:eastAsia="Times New Roman" w:hAnsi="CAIXA Std Book" w:cs="Times New Roman"/>
                <w:b/>
                <w:color w:val="005CA9"/>
                <w:sz w:val="18"/>
                <w:szCs w:val="18"/>
              </w:rPr>
            </w:pPr>
            <w:r w:rsidRPr="00686021">
              <w:rPr>
                <w:rFonts w:ascii="CAIXA Std Book" w:hAnsi="CAIXA Std Book" w:cs="Calibri"/>
                <w:b/>
                <w:color w:val="005CA9"/>
                <w:sz w:val="18"/>
                <w:szCs w:val="18"/>
              </w:rPr>
              <w:t>(18.655.418)</w:t>
            </w:r>
          </w:p>
        </w:tc>
        <w:tc>
          <w:tcPr>
            <w:tcW w:w="680" w:type="pct"/>
            <w:tcBorders>
              <w:top w:val="nil"/>
              <w:left w:val="nil"/>
              <w:bottom w:val="single" w:sz="4" w:space="0" w:color="FFFFFF"/>
              <w:right w:val="nil"/>
            </w:tcBorders>
            <w:shd w:val="clear" w:color="000000" w:fill="D0E0E3"/>
            <w:noWrap/>
            <w:vAlign w:val="center"/>
            <w:hideMark/>
          </w:tcPr>
          <w:p w14:paraId="20BD6CCC" w14:textId="26004A49" w:rsidR="0098578B" w:rsidRPr="00686021" w:rsidRDefault="00DD56AF" w:rsidP="0098578B">
            <w:pPr>
              <w:jc w:val="right"/>
              <w:rPr>
                <w:rFonts w:ascii="CAIXA Std Book" w:eastAsia="Times New Roman" w:hAnsi="CAIXA Std Book" w:cs="Times New Roman"/>
                <w:b/>
                <w:color w:val="005CA9"/>
                <w:sz w:val="18"/>
                <w:szCs w:val="18"/>
              </w:rPr>
            </w:pPr>
            <w:r w:rsidRPr="00686021">
              <w:rPr>
                <w:rFonts w:ascii="CAIXA Std Book" w:hAnsi="CAIXA Std Book" w:cs="Calibri"/>
                <w:b/>
                <w:color w:val="005CA9"/>
                <w:sz w:val="18"/>
                <w:szCs w:val="18"/>
              </w:rPr>
              <w:t>(16.002.361)</w:t>
            </w:r>
          </w:p>
        </w:tc>
        <w:tc>
          <w:tcPr>
            <w:tcW w:w="680" w:type="pct"/>
            <w:tcBorders>
              <w:top w:val="nil"/>
              <w:left w:val="nil"/>
              <w:bottom w:val="single" w:sz="4" w:space="0" w:color="FFFFFF"/>
              <w:right w:val="nil"/>
            </w:tcBorders>
            <w:shd w:val="clear" w:color="000000" w:fill="D0E0E3"/>
            <w:noWrap/>
            <w:vAlign w:val="center"/>
          </w:tcPr>
          <w:p w14:paraId="1E038E2D" w14:textId="76E6CB38" w:rsidR="0098578B" w:rsidRPr="00686021" w:rsidRDefault="000825B6" w:rsidP="0098578B">
            <w:pPr>
              <w:jc w:val="right"/>
              <w:rPr>
                <w:rFonts w:ascii="CAIXA Std Book" w:eastAsia="Times New Roman" w:hAnsi="CAIXA Std Book" w:cs="Times New Roman"/>
                <w:b/>
                <w:color w:val="005CA9"/>
                <w:sz w:val="18"/>
                <w:szCs w:val="18"/>
              </w:rPr>
            </w:pPr>
            <w:r w:rsidRPr="00686021">
              <w:rPr>
                <w:rFonts w:ascii="CAIXA Std Book" w:hAnsi="CAIXA Std Book" w:cs="Calibri"/>
                <w:b/>
                <w:color w:val="005CA9"/>
                <w:sz w:val="18"/>
                <w:szCs w:val="18"/>
              </w:rPr>
              <w:t>(18.655.418)</w:t>
            </w:r>
          </w:p>
        </w:tc>
        <w:tc>
          <w:tcPr>
            <w:tcW w:w="680" w:type="pct"/>
            <w:tcBorders>
              <w:top w:val="nil"/>
              <w:left w:val="nil"/>
              <w:bottom w:val="single" w:sz="4" w:space="0" w:color="FFFFFF"/>
              <w:right w:val="nil"/>
            </w:tcBorders>
            <w:shd w:val="clear" w:color="000000" w:fill="D0E0E3"/>
            <w:noWrap/>
            <w:vAlign w:val="center"/>
            <w:hideMark/>
          </w:tcPr>
          <w:p w14:paraId="09721371" w14:textId="60468EED" w:rsidR="0098578B" w:rsidRPr="00686021" w:rsidRDefault="00DD56AF" w:rsidP="0098578B">
            <w:pPr>
              <w:jc w:val="right"/>
              <w:rPr>
                <w:rFonts w:ascii="CAIXA Std Book" w:eastAsia="Times New Roman" w:hAnsi="CAIXA Std Book" w:cs="Times New Roman"/>
                <w:b/>
                <w:color w:val="005CA9"/>
                <w:sz w:val="18"/>
                <w:szCs w:val="18"/>
              </w:rPr>
            </w:pPr>
            <w:r w:rsidRPr="00686021">
              <w:rPr>
                <w:rFonts w:ascii="CAIXA Std Book" w:hAnsi="CAIXA Std Book" w:cs="Calibri"/>
                <w:b/>
                <w:color w:val="005CA9"/>
                <w:sz w:val="18"/>
                <w:szCs w:val="18"/>
              </w:rPr>
              <w:t>(16.002.361)</w:t>
            </w:r>
          </w:p>
        </w:tc>
      </w:tr>
      <w:tr w:rsidR="0098578B" w:rsidRPr="00CF6BCE" w14:paraId="543F7593" w14:textId="77777777" w:rsidTr="00E7148B">
        <w:trPr>
          <w:trHeight w:val="283"/>
        </w:trPr>
        <w:tc>
          <w:tcPr>
            <w:tcW w:w="2280" w:type="pct"/>
            <w:tcBorders>
              <w:top w:val="nil"/>
              <w:left w:val="nil"/>
              <w:bottom w:val="single" w:sz="4" w:space="0" w:color="FFFFFF"/>
              <w:right w:val="nil"/>
            </w:tcBorders>
            <w:vAlign w:val="center"/>
            <w:hideMark/>
          </w:tcPr>
          <w:p w14:paraId="2A329599" w14:textId="3909D875" w:rsidR="0098578B" w:rsidRPr="0098578B" w:rsidRDefault="0098578B" w:rsidP="0098578B">
            <w:pPr>
              <w:ind w:firstLineChars="200" w:firstLine="360"/>
              <w:rPr>
                <w:rFonts w:ascii="CAIXA Std Book" w:eastAsia="Times New Roman" w:hAnsi="CAIXA Std Book" w:cs="Times New Roman"/>
                <w:color w:val="005CA9"/>
                <w:sz w:val="18"/>
                <w:szCs w:val="18"/>
              </w:rPr>
            </w:pPr>
            <w:r>
              <w:rPr>
                <w:rFonts w:ascii="CAIXA Std Book" w:hAnsi="CAIXA Std Book" w:cs="Calibri"/>
                <w:color w:val="005CA9"/>
                <w:sz w:val="18"/>
                <w:szCs w:val="18"/>
              </w:rPr>
              <w:t>Depósitos de poupança</w:t>
            </w:r>
          </w:p>
        </w:tc>
        <w:tc>
          <w:tcPr>
            <w:tcW w:w="680" w:type="pct"/>
            <w:tcBorders>
              <w:top w:val="nil"/>
              <w:left w:val="nil"/>
              <w:bottom w:val="single" w:sz="4" w:space="0" w:color="FFFFFF"/>
              <w:right w:val="nil"/>
            </w:tcBorders>
            <w:vAlign w:val="center"/>
          </w:tcPr>
          <w:p w14:paraId="71A1CA26" w14:textId="49C1E236" w:rsidR="0098578B" w:rsidRPr="00686021" w:rsidRDefault="00EF52CD"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(7.284.181)</w:t>
            </w:r>
          </w:p>
        </w:tc>
        <w:tc>
          <w:tcPr>
            <w:tcW w:w="680" w:type="pct"/>
            <w:tcBorders>
              <w:top w:val="nil"/>
              <w:left w:val="nil"/>
              <w:bottom w:val="single" w:sz="4" w:space="0" w:color="FFFFFF"/>
              <w:right w:val="nil"/>
            </w:tcBorders>
            <w:vAlign w:val="center"/>
            <w:hideMark/>
          </w:tcPr>
          <w:p w14:paraId="66D4FD27" w14:textId="3B37DAC9" w:rsidR="0098578B" w:rsidRPr="00686021" w:rsidRDefault="00DD56AF"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(6.584.169)</w:t>
            </w:r>
          </w:p>
        </w:tc>
        <w:tc>
          <w:tcPr>
            <w:tcW w:w="680" w:type="pct"/>
            <w:tcBorders>
              <w:top w:val="nil"/>
              <w:left w:val="nil"/>
              <w:bottom w:val="single" w:sz="4" w:space="0" w:color="FFFFFF"/>
              <w:right w:val="nil"/>
            </w:tcBorders>
            <w:vAlign w:val="center"/>
          </w:tcPr>
          <w:p w14:paraId="1400A9FF" w14:textId="0F0F1503" w:rsidR="0098578B" w:rsidRPr="00686021" w:rsidRDefault="000825B6"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(7.284.181)</w:t>
            </w:r>
          </w:p>
        </w:tc>
        <w:tc>
          <w:tcPr>
            <w:tcW w:w="680" w:type="pct"/>
            <w:tcBorders>
              <w:top w:val="nil"/>
              <w:left w:val="nil"/>
              <w:bottom w:val="single" w:sz="4" w:space="0" w:color="FFFFFF"/>
              <w:right w:val="nil"/>
            </w:tcBorders>
            <w:vAlign w:val="center"/>
            <w:hideMark/>
          </w:tcPr>
          <w:p w14:paraId="78865388" w14:textId="4E63D1F8" w:rsidR="0098578B" w:rsidRPr="00686021" w:rsidRDefault="00DD56AF"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(6.584.169)</w:t>
            </w:r>
          </w:p>
        </w:tc>
      </w:tr>
      <w:tr w:rsidR="0098578B" w:rsidRPr="00CF6BCE" w14:paraId="6628250B" w14:textId="77777777" w:rsidTr="00E7148B">
        <w:trPr>
          <w:trHeight w:val="283"/>
        </w:trPr>
        <w:tc>
          <w:tcPr>
            <w:tcW w:w="2280" w:type="pct"/>
            <w:tcBorders>
              <w:top w:val="nil"/>
              <w:left w:val="nil"/>
              <w:bottom w:val="single" w:sz="4" w:space="0" w:color="FFFFFF"/>
              <w:right w:val="nil"/>
            </w:tcBorders>
            <w:vAlign w:val="center"/>
            <w:hideMark/>
          </w:tcPr>
          <w:p w14:paraId="218E7B45" w14:textId="60889AF8" w:rsidR="0098578B" w:rsidRPr="0098578B" w:rsidRDefault="0098578B" w:rsidP="0098578B">
            <w:pPr>
              <w:ind w:firstLineChars="200" w:firstLine="360"/>
              <w:rPr>
                <w:rFonts w:ascii="CAIXA Std Book" w:eastAsia="Times New Roman" w:hAnsi="CAIXA Std Book" w:cs="Times New Roman"/>
                <w:color w:val="005CA9"/>
                <w:sz w:val="18"/>
                <w:szCs w:val="18"/>
              </w:rPr>
            </w:pPr>
            <w:r>
              <w:rPr>
                <w:rFonts w:ascii="CAIXA Std Book" w:hAnsi="CAIXA Std Book" w:cs="Calibri"/>
                <w:color w:val="005CA9"/>
                <w:sz w:val="18"/>
                <w:szCs w:val="18"/>
              </w:rPr>
              <w:t>Depósitos a prazo CDB/RDB</w:t>
            </w:r>
          </w:p>
        </w:tc>
        <w:tc>
          <w:tcPr>
            <w:tcW w:w="680" w:type="pct"/>
            <w:tcBorders>
              <w:top w:val="nil"/>
              <w:left w:val="nil"/>
              <w:bottom w:val="single" w:sz="4" w:space="0" w:color="FFFFFF"/>
              <w:right w:val="nil"/>
            </w:tcBorders>
            <w:vAlign w:val="center"/>
          </w:tcPr>
          <w:p w14:paraId="721BCAFF" w14:textId="73ADF5EE" w:rsidR="0098578B" w:rsidRPr="00686021" w:rsidRDefault="00EF52CD"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(6.776.629)</w:t>
            </w:r>
          </w:p>
        </w:tc>
        <w:tc>
          <w:tcPr>
            <w:tcW w:w="680" w:type="pct"/>
            <w:tcBorders>
              <w:top w:val="nil"/>
              <w:left w:val="nil"/>
              <w:bottom w:val="single" w:sz="4" w:space="0" w:color="FFFFFF"/>
              <w:right w:val="nil"/>
            </w:tcBorders>
            <w:vAlign w:val="center"/>
            <w:hideMark/>
          </w:tcPr>
          <w:p w14:paraId="2F479D09" w14:textId="404D18AD" w:rsidR="0098578B" w:rsidRPr="00686021" w:rsidRDefault="00DD56AF"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(5.278.432)</w:t>
            </w:r>
          </w:p>
        </w:tc>
        <w:tc>
          <w:tcPr>
            <w:tcW w:w="680" w:type="pct"/>
            <w:tcBorders>
              <w:top w:val="nil"/>
              <w:left w:val="nil"/>
              <w:bottom w:val="single" w:sz="4" w:space="0" w:color="FFFFFF"/>
              <w:right w:val="nil"/>
            </w:tcBorders>
            <w:vAlign w:val="center"/>
          </w:tcPr>
          <w:p w14:paraId="69603A9C" w14:textId="50A5DCB2" w:rsidR="0098578B" w:rsidRPr="00686021" w:rsidRDefault="000825B6"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(6.776.629)</w:t>
            </w:r>
          </w:p>
        </w:tc>
        <w:tc>
          <w:tcPr>
            <w:tcW w:w="680" w:type="pct"/>
            <w:tcBorders>
              <w:top w:val="nil"/>
              <w:left w:val="nil"/>
              <w:bottom w:val="single" w:sz="4" w:space="0" w:color="FFFFFF"/>
              <w:right w:val="nil"/>
            </w:tcBorders>
            <w:vAlign w:val="center"/>
            <w:hideMark/>
          </w:tcPr>
          <w:p w14:paraId="2BB5526F" w14:textId="146B9EA8" w:rsidR="0098578B" w:rsidRPr="00686021" w:rsidRDefault="00DD56AF"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(5.278.432)</w:t>
            </w:r>
          </w:p>
        </w:tc>
      </w:tr>
      <w:tr w:rsidR="0098578B" w:rsidRPr="00CF6BCE" w14:paraId="48C23E14" w14:textId="77777777" w:rsidTr="00E7148B">
        <w:trPr>
          <w:trHeight w:val="283"/>
        </w:trPr>
        <w:tc>
          <w:tcPr>
            <w:tcW w:w="2280" w:type="pct"/>
            <w:tcBorders>
              <w:top w:val="nil"/>
              <w:left w:val="nil"/>
              <w:bottom w:val="single" w:sz="4" w:space="0" w:color="FFFFFF"/>
              <w:right w:val="nil"/>
            </w:tcBorders>
            <w:vAlign w:val="center"/>
            <w:hideMark/>
          </w:tcPr>
          <w:p w14:paraId="2D220418" w14:textId="5C077832" w:rsidR="0098578B" w:rsidRPr="0098578B" w:rsidRDefault="0098578B" w:rsidP="0098578B">
            <w:pPr>
              <w:ind w:firstLineChars="200" w:firstLine="360"/>
              <w:rPr>
                <w:rFonts w:ascii="CAIXA Std Book" w:eastAsia="Times New Roman" w:hAnsi="CAIXA Std Book" w:cs="Times New Roman"/>
                <w:color w:val="005CA9"/>
                <w:sz w:val="18"/>
                <w:szCs w:val="18"/>
              </w:rPr>
            </w:pPr>
            <w:r>
              <w:rPr>
                <w:rFonts w:ascii="CAIXA Std Book" w:hAnsi="CAIXA Std Book" w:cs="Calibri"/>
                <w:color w:val="005CA9"/>
                <w:sz w:val="18"/>
                <w:szCs w:val="18"/>
              </w:rPr>
              <w:t>Depósitos judiciais</w:t>
            </w:r>
          </w:p>
        </w:tc>
        <w:tc>
          <w:tcPr>
            <w:tcW w:w="680" w:type="pct"/>
            <w:tcBorders>
              <w:top w:val="nil"/>
              <w:left w:val="nil"/>
              <w:bottom w:val="single" w:sz="4" w:space="0" w:color="FFFFFF"/>
              <w:right w:val="nil"/>
            </w:tcBorders>
            <w:vAlign w:val="center"/>
          </w:tcPr>
          <w:p w14:paraId="0D03D22E" w14:textId="259AF1F4" w:rsidR="0098578B" w:rsidRPr="00686021" w:rsidRDefault="00EF52CD"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(2.709.816)</w:t>
            </w:r>
          </w:p>
        </w:tc>
        <w:tc>
          <w:tcPr>
            <w:tcW w:w="680" w:type="pct"/>
            <w:tcBorders>
              <w:top w:val="nil"/>
              <w:left w:val="nil"/>
              <w:bottom w:val="single" w:sz="4" w:space="0" w:color="FFFFFF"/>
              <w:right w:val="nil"/>
            </w:tcBorders>
            <w:vAlign w:val="center"/>
            <w:hideMark/>
          </w:tcPr>
          <w:p w14:paraId="66A2F0CC" w14:textId="08917BD2" w:rsidR="0098578B" w:rsidRPr="00686021" w:rsidRDefault="00DD56AF"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(2.397.008)</w:t>
            </w:r>
          </w:p>
        </w:tc>
        <w:tc>
          <w:tcPr>
            <w:tcW w:w="680" w:type="pct"/>
            <w:tcBorders>
              <w:top w:val="nil"/>
              <w:left w:val="nil"/>
              <w:bottom w:val="single" w:sz="4" w:space="0" w:color="FFFFFF"/>
              <w:right w:val="nil"/>
            </w:tcBorders>
            <w:vAlign w:val="center"/>
          </w:tcPr>
          <w:p w14:paraId="13FCA3E5" w14:textId="061072E2" w:rsidR="0098578B" w:rsidRPr="00686021" w:rsidRDefault="000825B6"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(2.709.816)</w:t>
            </w:r>
          </w:p>
        </w:tc>
        <w:tc>
          <w:tcPr>
            <w:tcW w:w="680" w:type="pct"/>
            <w:tcBorders>
              <w:top w:val="nil"/>
              <w:left w:val="nil"/>
              <w:bottom w:val="single" w:sz="4" w:space="0" w:color="FFFFFF"/>
              <w:right w:val="nil"/>
            </w:tcBorders>
            <w:vAlign w:val="center"/>
            <w:hideMark/>
          </w:tcPr>
          <w:p w14:paraId="5E283D3D" w14:textId="75C63535" w:rsidR="0098578B" w:rsidRPr="00686021" w:rsidRDefault="00DD56AF"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(2.397.008)</w:t>
            </w:r>
          </w:p>
        </w:tc>
      </w:tr>
      <w:tr w:rsidR="0098578B" w:rsidRPr="00CF6BCE" w14:paraId="5E7006F7" w14:textId="77777777" w:rsidTr="00E7148B">
        <w:trPr>
          <w:trHeight w:val="283"/>
        </w:trPr>
        <w:tc>
          <w:tcPr>
            <w:tcW w:w="2280" w:type="pct"/>
            <w:tcBorders>
              <w:top w:val="nil"/>
              <w:left w:val="nil"/>
              <w:bottom w:val="single" w:sz="4" w:space="0" w:color="FFFFFF"/>
              <w:right w:val="nil"/>
            </w:tcBorders>
            <w:vAlign w:val="center"/>
            <w:hideMark/>
          </w:tcPr>
          <w:p w14:paraId="5ED454D7" w14:textId="08CDBC7E" w:rsidR="0098578B" w:rsidRPr="0098578B" w:rsidRDefault="0098578B" w:rsidP="0098578B">
            <w:pPr>
              <w:ind w:firstLineChars="200" w:firstLine="360"/>
              <w:rPr>
                <w:rFonts w:ascii="CAIXA Std Book" w:eastAsia="Times New Roman" w:hAnsi="CAIXA Std Book" w:cs="Times New Roman"/>
                <w:color w:val="005CA9"/>
                <w:sz w:val="18"/>
                <w:szCs w:val="18"/>
              </w:rPr>
            </w:pPr>
            <w:r>
              <w:rPr>
                <w:rFonts w:ascii="CAIXA Std Book" w:hAnsi="CAIXA Std Book" w:cs="Calibri"/>
                <w:color w:val="005CA9"/>
                <w:sz w:val="18"/>
                <w:szCs w:val="18"/>
              </w:rPr>
              <w:t xml:space="preserve">Depósitos especiais e de fundos e programas </w:t>
            </w:r>
          </w:p>
        </w:tc>
        <w:tc>
          <w:tcPr>
            <w:tcW w:w="680" w:type="pct"/>
            <w:tcBorders>
              <w:top w:val="nil"/>
              <w:left w:val="nil"/>
              <w:bottom w:val="single" w:sz="4" w:space="0" w:color="FFFFFF"/>
              <w:right w:val="nil"/>
            </w:tcBorders>
            <w:vAlign w:val="center"/>
          </w:tcPr>
          <w:p w14:paraId="12C79233" w14:textId="57C4E3CC" w:rsidR="0098578B" w:rsidRPr="00686021" w:rsidRDefault="00EF52CD"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(1.609.185)</w:t>
            </w:r>
          </w:p>
        </w:tc>
        <w:tc>
          <w:tcPr>
            <w:tcW w:w="680" w:type="pct"/>
            <w:tcBorders>
              <w:top w:val="nil"/>
              <w:left w:val="nil"/>
              <w:bottom w:val="single" w:sz="4" w:space="0" w:color="FFFFFF"/>
              <w:right w:val="nil"/>
            </w:tcBorders>
            <w:vAlign w:val="center"/>
            <w:hideMark/>
          </w:tcPr>
          <w:p w14:paraId="0D407D0E" w14:textId="0DCFB869" w:rsidR="0098578B" w:rsidRPr="00686021" w:rsidRDefault="00DD56AF"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(1.496.310)</w:t>
            </w:r>
          </w:p>
        </w:tc>
        <w:tc>
          <w:tcPr>
            <w:tcW w:w="680" w:type="pct"/>
            <w:tcBorders>
              <w:top w:val="nil"/>
              <w:left w:val="nil"/>
              <w:bottom w:val="single" w:sz="4" w:space="0" w:color="FFFFFF"/>
              <w:right w:val="nil"/>
            </w:tcBorders>
            <w:vAlign w:val="center"/>
          </w:tcPr>
          <w:p w14:paraId="7E0A4358" w14:textId="4013EFE4" w:rsidR="0098578B" w:rsidRPr="00686021" w:rsidRDefault="000825B6"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(1.609.185)</w:t>
            </w:r>
          </w:p>
        </w:tc>
        <w:tc>
          <w:tcPr>
            <w:tcW w:w="680" w:type="pct"/>
            <w:tcBorders>
              <w:top w:val="nil"/>
              <w:left w:val="nil"/>
              <w:bottom w:val="single" w:sz="4" w:space="0" w:color="FFFFFF"/>
              <w:right w:val="nil"/>
            </w:tcBorders>
            <w:vAlign w:val="center"/>
            <w:hideMark/>
          </w:tcPr>
          <w:p w14:paraId="6AC68F30" w14:textId="6207B4E0" w:rsidR="0098578B" w:rsidRPr="00686021" w:rsidRDefault="00DD56AF"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(1.496.310)</w:t>
            </w:r>
          </w:p>
        </w:tc>
      </w:tr>
      <w:tr w:rsidR="0098578B" w:rsidRPr="00CF6BCE" w14:paraId="200CF902" w14:textId="77777777" w:rsidTr="00E7148B">
        <w:trPr>
          <w:trHeight w:val="283"/>
        </w:trPr>
        <w:tc>
          <w:tcPr>
            <w:tcW w:w="2280" w:type="pct"/>
            <w:tcBorders>
              <w:top w:val="nil"/>
              <w:left w:val="nil"/>
              <w:bottom w:val="single" w:sz="4" w:space="0" w:color="FFFFFF"/>
              <w:right w:val="nil"/>
            </w:tcBorders>
            <w:vAlign w:val="center"/>
            <w:hideMark/>
          </w:tcPr>
          <w:p w14:paraId="0AC82C8B" w14:textId="14F4C8EF" w:rsidR="0098578B" w:rsidRPr="0098578B" w:rsidRDefault="0098578B" w:rsidP="0098578B">
            <w:pPr>
              <w:ind w:firstLineChars="200" w:firstLine="360"/>
              <w:rPr>
                <w:rFonts w:ascii="CAIXA Std Book" w:eastAsia="Times New Roman" w:hAnsi="CAIXA Std Book" w:cs="Times New Roman"/>
                <w:color w:val="005CA9"/>
                <w:sz w:val="18"/>
                <w:szCs w:val="18"/>
              </w:rPr>
            </w:pPr>
            <w:r>
              <w:rPr>
                <w:rFonts w:ascii="CAIXA Std Book" w:hAnsi="CAIXA Std Book" w:cs="Calibri"/>
                <w:color w:val="005CA9"/>
                <w:sz w:val="18"/>
                <w:szCs w:val="18"/>
              </w:rPr>
              <w:t>Outras captações</w:t>
            </w:r>
          </w:p>
        </w:tc>
        <w:tc>
          <w:tcPr>
            <w:tcW w:w="680" w:type="pct"/>
            <w:tcBorders>
              <w:top w:val="nil"/>
              <w:left w:val="nil"/>
              <w:bottom w:val="single" w:sz="4" w:space="0" w:color="FFFFFF"/>
              <w:right w:val="nil"/>
            </w:tcBorders>
            <w:vAlign w:val="center"/>
          </w:tcPr>
          <w:p w14:paraId="3C6178CF" w14:textId="0DCD4302" w:rsidR="0098578B" w:rsidRPr="00686021" w:rsidRDefault="00EF52CD"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(275.607)</w:t>
            </w:r>
          </w:p>
        </w:tc>
        <w:tc>
          <w:tcPr>
            <w:tcW w:w="680" w:type="pct"/>
            <w:tcBorders>
              <w:top w:val="nil"/>
              <w:left w:val="nil"/>
              <w:bottom w:val="single" w:sz="4" w:space="0" w:color="FFFFFF"/>
              <w:right w:val="nil"/>
            </w:tcBorders>
            <w:vAlign w:val="center"/>
            <w:hideMark/>
          </w:tcPr>
          <w:p w14:paraId="02646C67" w14:textId="396B8334" w:rsidR="0098578B" w:rsidRPr="00686021" w:rsidRDefault="00DD56AF"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(246.442)</w:t>
            </w:r>
          </w:p>
        </w:tc>
        <w:tc>
          <w:tcPr>
            <w:tcW w:w="680" w:type="pct"/>
            <w:tcBorders>
              <w:top w:val="nil"/>
              <w:left w:val="nil"/>
              <w:bottom w:val="single" w:sz="4" w:space="0" w:color="FFFFFF"/>
              <w:right w:val="nil"/>
            </w:tcBorders>
            <w:vAlign w:val="center"/>
          </w:tcPr>
          <w:p w14:paraId="619F5EAB" w14:textId="57E6C29C" w:rsidR="0098578B" w:rsidRPr="00686021" w:rsidRDefault="000825B6"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(275.607)</w:t>
            </w:r>
          </w:p>
        </w:tc>
        <w:tc>
          <w:tcPr>
            <w:tcW w:w="680" w:type="pct"/>
            <w:tcBorders>
              <w:top w:val="nil"/>
              <w:left w:val="nil"/>
              <w:bottom w:val="single" w:sz="4" w:space="0" w:color="FFFFFF"/>
              <w:right w:val="nil"/>
            </w:tcBorders>
            <w:vAlign w:val="center"/>
            <w:hideMark/>
          </w:tcPr>
          <w:p w14:paraId="39FFA941" w14:textId="55FD3D89" w:rsidR="0098578B" w:rsidRPr="00686021" w:rsidRDefault="00DD56AF"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(246.442)</w:t>
            </w:r>
          </w:p>
        </w:tc>
      </w:tr>
      <w:tr w:rsidR="0098578B" w:rsidRPr="00CF6BCE" w14:paraId="54BF6878" w14:textId="77777777" w:rsidTr="00E7148B">
        <w:trPr>
          <w:trHeight w:val="283"/>
        </w:trPr>
        <w:tc>
          <w:tcPr>
            <w:tcW w:w="2280" w:type="pct"/>
            <w:tcBorders>
              <w:top w:val="nil"/>
              <w:left w:val="nil"/>
              <w:bottom w:val="single" w:sz="4" w:space="0" w:color="FFFFFF"/>
              <w:right w:val="nil"/>
            </w:tcBorders>
            <w:shd w:val="clear" w:color="000000" w:fill="D0E0E3"/>
            <w:noWrap/>
            <w:vAlign w:val="center"/>
            <w:hideMark/>
          </w:tcPr>
          <w:p w14:paraId="2CB985C3" w14:textId="7C0B1233" w:rsidR="0098578B" w:rsidRPr="0098578B" w:rsidRDefault="0098578B" w:rsidP="0098578B">
            <w:pPr>
              <w:ind w:firstLineChars="100" w:firstLine="180"/>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 xml:space="preserve">Recursos de instituições financeiras e outras </w:t>
            </w:r>
          </w:p>
        </w:tc>
        <w:tc>
          <w:tcPr>
            <w:tcW w:w="680" w:type="pct"/>
            <w:tcBorders>
              <w:top w:val="nil"/>
              <w:left w:val="nil"/>
              <w:bottom w:val="single" w:sz="4" w:space="0" w:color="FFFFFF"/>
              <w:right w:val="nil"/>
            </w:tcBorders>
            <w:shd w:val="clear" w:color="000000" w:fill="D0E0E3"/>
            <w:noWrap/>
            <w:vAlign w:val="center"/>
          </w:tcPr>
          <w:p w14:paraId="644D60FB" w14:textId="4FC635FF" w:rsidR="0098578B" w:rsidRPr="00686021" w:rsidRDefault="00EF52CD" w:rsidP="0098578B">
            <w:pPr>
              <w:jc w:val="right"/>
              <w:rPr>
                <w:rFonts w:ascii="CAIXA Std Book" w:eastAsia="Times New Roman" w:hAnsi="CAIXA Std Book" w:cs="Times New Roman"/>
                <w:b/>
                <w:color w:val="005CA9"/>
                <w:sz w:val="18"/>
                <w:szCs w:val="18"/>
              </w:rPr>
            </w:pPr>
            <w:r w:rsidRPr="00686021">
              <w:rPr>
                <w:rFonts w:ascii="CAIXA Std Book" w:hAnsi="CAIXA Std Book" w:cs="Calibri"/>
                <w:b/>
                <w:color w:val="005CA9"/>
                <w:sz w:val="18"/>
                <w:szCs w:val="18"/>
              </w:rPr>
              <w:t>(17.933.845)</w:t>
            </w:r>
          </w:p>
        </w:tc>
        <w:tc>
          <w:tcPr>
            <w:tcW w:w="680" w:type="pct"/>
            <w:tcBorders>
              <w:top w:val="nil"/>
              <w:left w:val="nil"/>
              <w:bottom w:val="single" w:sz="4" w:space="0" w:color="FFFFFF"/>
              <w:right w:val="nil"/>
            </w:tcBorders>
            <w:shd w:val="clear" w:color="000000" w:fill="D0E0E3"/>
            <w:noWrap/>
            <w:vAlign w:val="center"/>
            <w:hideMark/>
          </w:tcPr>
          <w:p w14:paraId="078E608B" w14:textId="16226C18" w:rsidR="0098578B" w:rsidRPr="00686021" w:rsidRDefault="00DD56AF" w:rsidP="0098578B">
            <w:pPr>
              <w:jc w:val="right"/>
              <w:rPr>
                <w:rFonts w:ascii="CAIXA Std Book" w:eastAsia="Times New Roman" w:hAnsi="CAIXA Std Book" w:cs="Times New Roman"/>
                <w:b/>
                <w:color w:val="005CA9"/>
                <w:sz w:val="18"/>
                <w:szCs w:val="18"/>
              </w:rPr>
            </w:pPr>
            <w:r w:rsidRPr="00686021">
              <w:rPr>
                <w:rFonts w:ascii="CAIXA Std Book" w:hAnsi="CAIXA Std Book" w:cs="Calibri"/>
                <w:b/>
                <w:color w:val="005CA9"/>
                <w:sz w:val="18"/>
                <w:szCs w:val="18"/>
              </w:rPr>
              <w:t>(16.030.759)</w:t>
            </w:r>
          </w:p>
        </w:tc>
        <w:tc>
          <w:tcPr>
            <w:tcW w:w="680" w:type="pct"/>
            <w:tcBorders>
              <w:top w:val="nil"/>
              <w:left w:val="nil"/>
              <w:bottom w:val="single" w:sz="4" w:space="0" w:color="FFFFFF"/>
              <w:right w:val="nil"/>
            </w:tcBorders>
            <w:shd w:val="clear" w:color="000000" w:fill="D0E0E3"/>
            <w:noWrap/>
            <w:vAlign w:val="center"/>
          </w:tcPr>
          <w:p w14:paraId="7C1A626C" w14:textId="4AC4D122" w:rsidR="0098578B" w:rsidRPr="00686021" w:rsidRDefault="000825B6" w:rsidP="0098578B">
            <w:pPr>
              <w:jc w:val="right"/>
              <w:rPr>
                <w:rFonts w:ascii="CAIXA Std Book" w:eastAsia="Times New Roman" w:hAnsi="CAIXA Std Book" w:cs="Times New Roman"/>
                <w:b/>
                <w:color w:val="005CA9"/>
                <w:sz w:val="18"/>
                <w:szCs w:val="18"/>
              </w:rPr>
            </w:pPr>
            <w:r w:rsidRPr="00686021">
              <w:rPr>
                <w:rFonts w:ascii="CAIXA Std Book" w:hAnsi="CAIXA Std Book" w:cs="Calibri"/>
                <w:b/>
                <w:color w:val="005CA9"/>
                <w:sz w:val="18"/>
                <w:szCs w:val="18"/>
              </w:rPr>
              <w:t>(17.849.865)</w:t>
            </w:r>
          </w:p>
        </w:tc>
        <w:tc>
          <w:tcPr>
            <w:tcW w:w="680" w:type="pct"/>
            <w:tcBorders>
              <w:top w:val="nil"/>
              <w:left w:val="nil"/>
              <w:bottom w:val="single" w:sz="4" w:space="0" w:color="FFFFFF"/>
              <w:right w:val="nil"/>
            </w:tcBorders>
            <w:shd w:val="clear" w:color="000000" w:fill="D0E0E3"/>
            <w:noWrap/>
            <w:vAlign w:val="center"/>
            <w:hideMark/>
          </w:tcPr>
          <w:p w14:paraId="1B3ED6B4" w14:textId="687129DE" w:rsidR="0098578B" w:rsidRPr="00686021" w:rsidRDefault="00DD56AF" w:rsidP="0098578B">
            <w:pPr>
              <w:jc w:val="right"/>
              <w:rPr>
                <w:rFonts w:ascii="CAIXA Std Book" w:eastAsia="Times New Roman" w:hAnsi="CAIXA Std Book" w:cs="Times New Roman"/>
                <w:b/>
                <w:color w:val="005CA9"/>
                <w:sz w:val="18"/>
                <w:szCs w:val="18"/>
              </w:rPr>
            </w:pPr>
            <w:r w:rsidRPr="00686021">
              <w:rPr>
                <w:rFonts w:ascii="CAIXA Std Book" w:hAnsi="CAIXA Std Book" w:cs="Calibri"/>
                <w:b/>
                <w:color w:val="005CA9"/>
                <w:sz w:val="18"/>
                <w:szCs w:val="18"/>
              </w:rPr>
              <w:t>(15.986.121)</w:t>
            </w:r>
          </w:p>
        </w:tc>
      </w:tr>
      <w:tr w:rsidR="0098578B" w:rsidRPr="00CF6BCE" w14:paraId="0416D2FD" w14:textId="77777777" w:rsidTr="00E7148B">
        <w:trPr>
          <w:trHeight w:val="283"/>
        </w:trPr>
        <w:tc>
          <w:tcPr>
            <w:tcW w:w="2280" w:type="pct"/>
            <w:tcBorders>
              <w:top w:val="nil"/>
              <w:left w:val="nil"/>
              <w:bottom w:val="single" w:sz="4" w:space="0" w:color="FFFFFF"/>
              <w:right w:val="nil"/>
            </w:tcBorders>
            <w:vAlign w:val="center"/>
            <w:hideMark/>
          </w:tcPr>
          <w:p w14:paraId="4E179C75" w14:textId="43926B9C" w:rsidR="0098578B" w:rsidRPr="0098578B" w:rsidRDefault="0098578B" w:rsidP="0098578B">
            <w:pPr>
              <w:ind w:firstLineChars="200" w:firstLine="360"/>
              <w:rPr>
                <w:rFonts w:ascii="CAIXA Std Book" w:eastAsia="Times New Roman" w:hAnsi="CAIXA Std Book" w:cs="Times New Roman"/>
                <w:color w:val="005CA9"/>
                <w:sz w:val="18"/>
                <w:szCs w:val="18"/>
              </w:rPr>
            </w:pPr>
            <w:r>
              <w:rPr>
                <w:rFonts w:ascii="CAIXA Std Book" w:hAnsi="CAIXA Std Book" w:cs="Calibri"/>
                <w:color w:val="005CA9"/>
                <w:sz w:val="18"/>
                <w:szCs w:val="18"/>
              </w:rPr>
              <w:t>Empréstimos e repasses</w:t>
            </w:r>
          </w:p>
        </w:tc>
        <w:tc>
          <w:tcPr>
            <w:tcW w:w="680" w:type="pct"/>
            <w:tcBorders>
              <w:top w:val="nil"/>
              <w:left w:val="nil"/>
              <w:bottom w:val="single" w:sz="4" w:space="0" w:color="FFFFFF"/>
              <w:right w:val="nil"/>
            </w:tcBorders>
            <w:vAlign w:val="center"/>
          </w:tcPr>
          <w:p w14:paraId="7ADA1EAD" w14:textId="63372892" w:rsidR="0098578B" w:rsidRPr="00686021" w:rsidRDefault="00EF52CD"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(10.163.445)</w:t>
            </w:r>
          </w:p>
        </w:tc>
        <w:tc>
          <w:tcPr>
            <w:tcW w:w="680" w:type="pct"/>
            <w:tcBorders>
              <w:top w:val="nil"/>
              <w:left w:val="nil"/>
              <w:bottom w:val="single" w:sz="4" w:space="0" w:color="FFFFFF"/>
              <w:right w:val="nil"/>
            </w:tcBorders>
            <w:vAlign w:val="center"/>
            <w:hideMark/>
          </w:tcPr>
          <w:p w14:paraId="1CD7BB73" w14:textId="16F36FC1" w:rsidR="0098578B" w:rsidRPr="00686021" w:rsidRDefault="00DD56AF"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(8.600.939)</w:t>
            </w:r>
          </w:p>
        </w:tc>
        <w:tc>
          <w:tcPr>
            <w:tcW w:w="680" w:type="pct"/>
            <w:tcBorders>
              <w:top w:val="nil"/>
              <w:left w:val="nil"/>
              <w:bottom w:val="single" w:sz="4" w:space="0" w:color="FFFFFF"/>
              <w:right w:val="nil"/>
            </w:tcBorders>
            <w:vAlign w:val="center"/>
          </w:tcPr>
          <w:p w14:paraId="1B3EF422" w14:textId="7B97E5DB" w:rsidR="0098578B" w:rsidRPr="00686021" w:rsidRDefault="000825B6"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(10.163.445)</w:t>
            </w:r>
          </w:p>
        </w:tc>
        <w:tc>
          <w:tcPr>
            <w:tcW w:w="680" w:type="pct"/>
            <w:tcBorders>
              <w:top w:val="nil"/>
              <w:left w:val="nil"/>
              <w:bottom w:val="single" w:sz="4" w:space="0" w:color="FFFFFF"/>
              <w:right w:val="nil"/>
            </w:tcBorders>
            <w:vAlign w:val="center"/>
            <w:hideMark/>
          </w:tcPr>
          <w:p w14:paraId="59288F85" w14:textId="781C10F0" w:rsidR="0098578B" w:rsidRPr="00686021" w:rsidRDefault="00DD56AF"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(8.588.410)</w:t>
            </w:r>
          </w:p>
        </w:tc>
      </w:tr>
      <w:tr w:rsidR="0098578B" w:rsidRPr="00CF6BCE" w14:paraId="0CF6D07A" w14:textId="77777777" w:rsidTr="00E7148B">
        <w:trPr>
          <w:trHeight w:val="283"/>
        </w:trPr>
        <w:tc>
          <w:tcPr>
            <w:tcW w:w="2280" w:type="pct"/>
            <w:tcBorders>
              <w:top w:val="nil"/>
              <w:left w:val="nil"/>
              <w:bottom w:val="single" w:sz="4" w:space="0" w:color="FFFFFF"/>
              <w:right w:val="nil"/>
            </w:tcBorders>
            <w:vAlign w:val="center"/>
            <w:hideMark/>
          </w:tcPr>
          <w:p w14:paraId="7AA8D613" w14:textId="2A2377B3" w:rsidR="0098578B" w:rsidRPr="0098578B" w:rsidRDefault="0098578B" w:rsidP="0098578B">
            <w:pPr>
              <w:ind w:firstLineChars="200" w:firstLine="360"/>
              <w:rPr>
                <w:rFonts w:ascii="CAIXA Std Book" w:eastAsia="Times New Roman" w:hAnsi="CAIXA Std Book" w:cs="Times New Roman"/>
                <w:color w:val="005CA9"/>
                <w:sz w:val="18"/>
                <w:szCs w:val="18"/>
              </w:rPr>
            </w:pPr>
            <w:r>
              <w:rPr>
                <w:rFonts w:ascii="CAIXA Std Book" w:hAnsi="CAIXA Std Book" w:cs="Calibri"/>
                <w:color w:val="005CA9"/>
                <w:sz w:val="18"/>
                <w:szCs w:val="18"/>
              </w:rPr>
              <w:t>Captações no mercado aberto</w:t>
            </w:r>
          </w:p>
        </w:tc>
        <w:tc>
          <w:tcPr>
            <w:tcW w:w="680" w:type="pct"/>
            <w:tcBorders>
              <w:top w:val="nil"/>
              <w:left w:val="nil"/>
              <w:bottom w:val="single" w:sz="4" w:space="0" w:color="FFFFFF"/>
              <w:right w:val="nil"/>
            </w:tcBorders>
            <w:vAlign w:val="center"/>
          </w:tcPr>
          <w:p w14:paraId="3A299083" w14:textId="2DB3C52D" w:rsidR="0098578B" w:rsidRPr="00686021" w:rsidRDefault="00EF52CD"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(7.605.988)</w:t>
            </w:r>
          </w:p>
        </w:tc>
        <w:tc>
          <w:tcPr>
            <w:tcW w:w="680" w:type="pct"/>
            <w:tcBorders>
              <w:top w:val="nil"/>
              <w:left w:val="nil"/>
              <w:bottom w:val="single" w:sz="4" w:space="0" w:color="FFFFFF"/>
              <w:right w:val="nil"/>
            </w:tcBorders>
            <w:vAlign w:val="center"/>
            <w:hideMark/>
          </w:tcPr>
          <w:p w14:paraId="6799C3EF" w14:textId="6D8CFCCD" w:rsidR="0098578B" w:rsidRPr="00686021" w:rsidRDefault="00DD56AF"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(7.360.048)</w:t>
            </w:r>
          </w:p>
        </w:tc>
        <w:tc>
          <w:tcPr>
            <w:tcW w:w="680" w:type="pct"/>
            <w:tcBorders>
              <w:top w:val="nil"/>
              <w:left w:val="nil"/>
              <w:bottom w:val="single" w:sz="4" w:space="0" w:color="FFFFFF"/>
              <w:right w:val="nil"/>
            </w:tcBorders>
            <w:vAlign w:val="center"/>
          </w:tcPr>
          <w:p w14:paraId="10FE9992" w14:textId="0D5A00F7" w:rsidR="0098578B" w:rsidRPr="00686021" w:rsidRDefault="000825B6"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(7.522.008)</w:t>
            </w:r>
          </w:p>
        </w:tc>
        <w:tc>
          <w:tcPr>
            <w:tcW w:w="680" w:type="pct"/>
            <w:tcBorders>
              <w:top w:val="nil"/>
              <w:left w:val="nil"/>
              <w:bottom w:val="single" w:sz="4" w:space="0" w:color="FFFFFF"/>
              <w:right w:val="nil"/>
            </w:tcBorders>
            <w:vAlign w:val="center"/>
            <w:hideMark/>
          </w:tcPr>
          <w:p w14:paraId="12561F2E" w14:textId="36EC5320" w:rsidR="0098578B" w:rsidRPr="00686021" w:rsidRDefault="00DD56AF"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(7.327.939)</w:t>
            </w:r>
          </w:p>
        </w:tc>
      </w:tr>
      <w:tr w:rsidR="0098578B" w:rsidRPr="00CF6BCE" w14:paraId="67F6D141" w14:textId="77777777" w:rsidTr="00E7148B">
        <w:trPr>
          <w:trHeight w:val="283"/>
        </w:trPr>
        <w:tc>
          <w:tcPr>
            <w:tcW w:w="2280" w:type="pct"/>
            <w:tcBorders>
              <w:top w:val="nil"/>
              <w:left w:val="nil"/>
              <w:bottom w:val="single" w:sz="4" w:space="0" w:color="FFFFFF"/>
              <w:right w:val="nil"/>
            </w:tcBorders>
            <w:vAlign w:val="center"/>
            <w:hideMark/>
          </w:tcPr>
          <w:p w14:paraId="73A8849A" w14:textId="5D32456C" w:rsidR="0098578B" w:rsidRPr="0098578B" w:rsidRDefault="0098578B" w:rsidP="0098578B">
            <w:pPr>
              <w:ind w:firstLineChars="200" w:firstLine="360"/>
              <w:rPr>
                <w:rFonts w:ascii="CAIXA Std Book" w:eastAsia="Times New Roman" w:hAnsi="CAIXA Std Book" w:cs="Times New Roman"/>
                <w:color w:val="005CA9"/>
                <w:sz w:val="18"/>
                <w:szCs w:val="18"/>
              </w:rPr>
            </w:pPr>
            <w:r>
              <w:rPr>
                <w:rFonts w:ascii="CAIXA Std Book" w:hAnsi="CAIXA Std Book" w:cs="Calibri"/>
                <w:color w:val="005CA9"/>
                <w:sz w:val="18"/>
                <w:szCs w:val="18"/>
              </w:rPr>
              <w:t>Depósitos interfinanceiros</w:t>
            </w:r>
          </w:p>
        </w:tc>
        <w:tc>
          <w:tcPr>
            <w:tcW w:w="680" w:type="pct"/>
            <w:tcBorders>
              <w:top w:val="nil"/>
              <w:left w:val="nil"/>
              <w:bottom w:val="single" w:sz="4" w:space="0" w:color="FFFFFF"/>
              <w:right w:val="nil"/>
            </w:tcBorders>
            <w:vAlign w:val="center"/>
          </w:tcPr>
          <w:p w14:paraId="22F3EF33" w14:textId="6C9E2204" w:rsidR="0098578B" w:rsidRPr="00686021" w:rsidRDefault="00EF52CD"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(164.412)</w:t>
            </w:r>
          </w:p>
        </w:tc>
        <w:tc>
          <w:tcPr>
            <w:tcW w:w="680" w:type="pct"/>
            <w:tcBorders>
              <w:top w:val="nil"/>
              <w:left w:val="nil"/>
              <w:bottom w:val="single" w:sz="4" w:space="0" w:color="FFFFFF"/>
              <w:right w:val="nil"/>
            </w:tcBorders>
            <w:vAlign w:val="center"/>
            <w:hideMark/>
          </w:tcPr>
          <w:p w14:paraId="032C36B2" w14:textId="5543B17D" w:rsidR="0098578B" w:rsidRPr="00686021" w:rsidRDefault="00DD56AF"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(69.772)</w:t>
            </w:r>
          </w:p>
        </w:tc>
        <w:tc>
          <w:tcPr>
            <w:tcW w:w="680" w:type="pct"/>
            <w:tcBorders>
              <w:top w:val="nil"/>
              <w:left w:val="nil"/>
              <w:bottom w:val="single" w:sz="4" w:space="0" w:color="FFFFFF"/>
              <w:right w:val="nil"/>
            </w:tcBorders>
            <w:vAlign w:val="center"/>
          </w:tcPr>
          <w:p w14:paraId="523B02DC" w14:textId="50E3C7B1" w:rsidR="0098578B" w:rsidRPr="00686021" w:rsidRDefault="000825B6"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(164.412)</w:t>
            </w:r>
          </w:p>
        </w:tc>
        <w:tc>
          <w:tcPr>
            <w:tcW w:w="680" w:type="pct"/>
            <w:tcBorders>
              <w:top w:val="nil"/>
              <w:left w:val="nil"/>
              <w:bottom w:val="single" w:sz="4" w:space="0" w:color="FFFFFF"/>
              <w:right w:val="nil"/>
            </w:tcBorders>
            <w:vAlign w:val="center"/>
            <w:hideMark/>
          </w:tcPr>
          <w:p w14:paraId="3CE9949B" w14:textId="162A13C6" w:rsidR="0098578B" w:rsidRPr="00686021" w:rsidRDefault="00DD56AF"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(69.772)</w:t>
            </w:r>
          </w:p>
        </w:tc>
      </w:tr>
      <w:tr w:rsidR="0098578B" w:rsidRPr="00CF6BCE" w14:paraId="794CB1EB" w14:textId="77777777" w:rsidTr="00E7148B">
        <w:trPr>
          <w:trHeight w:val="283"/>
        </w:trPr>
        <w:tc>
          <w:tcPr>
            <w:tcW w:w="2280" w:type="pct"/>
            <w:tcBorders>
              <w:top w:val="nil"/>
              <w:left w:val="nil"/>
              <w:bottom w:val="single" w:sz="4" w:space="0" w:color="FFFFFF"/>
              <w:right w:val="nil"/>
            </w:tcBorders>
            <w:shd w:val="clear" w:color="000000" w:fill="D0E0E3"/>
            <w:noWrap/>
            <w:vAlign w:val="center"/>
            <w:hideMark/>
          </w:tcPr>
          <w:p w14:paraId="02C68761" w14:textId="0DBEE25B" w:rsidR="0098578B" w:rsidRPr="0098578B" w:rsidRDefault="0098578B" w:rsidP="0098578B">
            <w:pPr>
              <w:ind w:firstLineChars="100" w:firstLine="180"/>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Recursos de emissões de títulos de valores mobiliários</w:t>
            </w:r>
          </w:p>
        </w:tc>
        <w:tc>
          <w:tcPr>
            <w:tcW w:w="680" w:type="pct"/>
            <w:tcBorders>
              <w:top w:val="nil"/>
              <w:left w:val="nil"/>
              <w:bottom w:val="single" w:sz="4" w:space="0" w:color="FFFFFF"/>
              <w:right w:val="nil"/>
            </w:tcBorders>
            <w:shd w:val="clear" w:color="000000" w:fill="D0E0E3"/>
            <w:noWrap/>
            <w:vAlign w:val="center"/>
          </w:tcPr>
          <w:p w14:paraId="154442C6" w14:textId="6EFE7254" w:rsidR="0098578B" w:rsidRPr="00686021" w:rsidRDefault="00EF52CD" w:rsidP="0098578B">
            <w:pPr>
              <w:jc w:val="right"/>
              <w:rPr>
                <w:rFonts w:ascii="CAIXA Std Book" w:eastAsia="Times New Roman" w:hAnsi="CAIXA Std Book" w:cs="Times New Roman"/>
                <w:b/>
                <w:color w:val="005CA9"/>
                <w:sz w:val="18"/>
                <w:szCs w:val="18"/>
              </w:rPr>
            </w:pPr>
            <w:r w:rsidRPr="00686021">
              <w:rPr>
                <w:rFonts w:ascii="CAIXA Std Book" w:hAnsi="CAIXA Std Book" w:cs="Calibri"/>
                <w:b/>
                <w:color w:val="005CA9"/>
                <w:sz w:val="18"/>
                <w:szCs w:val="18"/>
              </w:rPr>
              <w:t>(10.648.698)</w:t>
            </w:r>
          </w:p>
        </w:tc>
        <w:tc>
          <w:tcPr>
            <w:tcW w:w="680" w:type="pct"/>
            <w:tcBorders>
              <w:top w:val="nil"/>
              <w:left w:val="nil"/>
              <w:bottom w:val="single" w:sz="4" w:space="0" w:color="FFFFFF"/>
              <w:right w:val="nil"/>
            </w:tcBorders>
            <w:shd w:val="clear" w:color="000000" w:fill="D0E0E3"/>
            <w:noWrap/>
            <w:vAlign w:val="center"/>
            <w:hideMark/>
          </w:tcPr>
          <w:p w14:paraId="76C251B0" w14:textId="4E80FAF7" w:rsidR="0098578B" w:rsidRPr="00686021" w:rsidRDefault="00DD56AF" w:rsidP="0098578B">
            <w:pPr>
              <w:jc w:val="right"/>
              <w:rPr>
                <w:rFonts w:ascii="CAIXA Std Book" w:eastAsia="Times New Roman" w:hAnsi="CAIXA Std Book" w:cs="Times New Roman"/>
                <w:b/>
                <w:color w:val="005CA9"/>
                <w:sz w:val="18"/>
                <w:szCs w:val="18"/>
              </w:rPr>
            </w:pPr>
            <w:r w:rsidRPr="00686021">
              <w:rPr>
                <w:rFonts w:ascii="CAIXA Std Book" w:hAnsi="CAIXA Std Book" w:cs="Calibri"/>
                <w:b/>
                <w:color w:val="005CA9"/>
                <w:sz w:val="18"/>
                <w:szCs w:val="18"/>
              </w:rPr>
              <w:t>(7.463.617)</w:t>
            </w:r>
          </w:p>
        </w:tc>
        <w:tc>
          <w:tcPr>
            <w:tcW w:w="680" w:type="pct"/>
            <w:tcBorders>
              <w:top w:val="nil"/>
              <w:left w:val="nil"/>
              <w:bottom w:val="single" w:sz="4" w:space="0" w:color="FFFFFF"/>
              <w:right w:val="nil"/>
            </w:tcBorders>
            <w:shd w:val="clear" w:color="000000" w:fill="D0E0E3"/>
            <w:noWrap/>
            <w:vAlign w:val="center"/>
          </w:tcPr>
          <w:p w14:paraId="17C4C0C8" w14:textId="4D70A179" w:rsidR="0098578B" w:rsidRPr="00686021" w:rsidRDefault="000825B6" w:rsidP="0098578B">
            <w:pPr>
              <w:jc w:val="right"/>
              <w:rPr>
                <w:rFonts w:ascii="CAIXA Std Book" w:eastAsia="Times New Roman" w:hAnsi="CAIXA Std Book" w:cs="Times New Roman"/>
                <w:b/>
                <w:color w:val="005CA9"/>
                <w:sz w:val="18"/>
                <w:szCs w:val="18"/>
              </w:rPr>
            </w:pPr>
            <w:r w:rsidRPr="00686021">
              <w:rPr>
                <w:rFonts w:ascii="CAIXA Std Book" w:hAnsi="CAIXA Std Book" w:cs="Calibri"/>
                <w:b/>
                <w:color w:val="005CA9"/>
                <w:sz w:val="18"/>
                <w:szCs w:val="18"/>
              </w:rPr>
              <w:t>(10.273.903)</w:t>
            </w:r>
          </w:p>
        </w:tc>
        <w:tc>
          <w:tcPr>
            <w:tcW w:w="680" w:type="pct"/>
            <w:tcBorders>
              <w:top w:val="nil"/>
              <w:left w:val="nil"/>
              <w:bottom w:val="single" w:sz="4" w:space="0" w:color="FFFFFF"/>
              <w:right w:val="nil"/>
            </w:tcBorders>
            <w:shd w:val="clear" w:color="000000" w:fill="D0E0E3"/>
            <w:noWrap/>
            <w:vAlign w:val="center"/>
            <w:hideMark/>
          </w:tcPr>
          <w:p w14:paraId="7224653C" w14:textId="6A14D9A5" w:rsidR="0098578B" w:rsidRPr="00686021" w:rsidRDefault="00C575E1" w:rsidP="0098578B">
            <w:pPr>
              <w:jc w:val="right"/>
              <w:rPr>
                <w:rFonts w:ascii="CAIXA Std Book" w:eastAsia="Times New Roman" w:hAnsi="CAIXA Std Book" w:cs="Times New Roman"/>
                <w:b/>
                <w:color w:val="005CA9"/>
                <w:sz w:val="18"/>
                <w:szCs w:val="18"/>
              </w:rPr>
            </w:pPr>
            <w:r w:rsidRPr="00686021">
              <w:rPr>
                <w:rFonts w:ascii="CAIXA Std Book" w:hAnsi="CAIXA Std Book" w:cs="Calibri"/>
                <w:b/>
                <w:color w:val="005CA9"/>
                <w:sz w:val="18"/>
                <w:szCs w:val="18"/>
              </w:rPr>
              <w:t>(6.750.008)</w:t>
            </w:r>
          </w:p>
        </w:tc>
      </w:tr>
      <w:tr w:rsidR="0098578B" w:rsidRPr="00CF6BCE" w14:paraId="1516C274" w14:textId="77777777" w:rsidTr="00E7148B">
        <w:trPr>
          <w:trHeight w:val="283"/>
        </w:trPr>
        <w:tc>
          <w:tcPr>
            <w:tcW w:w="2280" w:type="pct"/>
            <w:tcBorders>
              <w:top w:val="nil"/>
              <w:left w:val="nil"/>
              <w:bottom w:val="single" w:sz="4" w:space="0" w:color="FFFFFF"/>
              <w:right w:val="nil"/>
            </w:tcBorders>
            <w:vAlign w:val="center"/>
            <w:hideMark/>
          </w:tcPr>
          <w:p w14:paraId="0E527FC8" w14:textId="494E6B9C" w:rsidR="0098578B" w:rsidRPr="0098578B" w:rsidRDefault="0098578B" w:rsidP="0098578B">
            <w:pPr>
              <w:ind w:firstLineChars="200" w:firstLine="360"/>
              <w:rPr>
                <w:rFonts w:ascii="CAIXA Std Book" w:eastAsia="Times New Roman" w:hAnsi="CAIXA Std Book" w:cs="Times New Roman"/>
                <w:color w:val="005CA9"/>
                <w:sz w:val="18"/>
                <w:szCs w:val="18"/>
              </w:rPr>
            </w:pPr>
            <w:r>
              <w:rPr>
                <w:rFonts w:ascii="CAIXA Std Book" w:hAnsi="CAIXA Std Book" w:cs="Calibri"/>
                <w:color w:val="005CA9"/>
                <w:sz w:val="18"/>
                <w:szCs w:val="18"/>
              </w:rPr>
              <w:t xml:space="preserve">Recursos de emissões de </w:t>
            </w:r>
            <w:r w:rsidR="00EF52CD">
              <w:rPr>
                <w:rFonts w:ascii="CAIXA Std Book" w:hAnsi="CAIXA Std Book" w:cs="Calibri"/>
                <w:color w:val="005CA9"/>
                <w:sz w:val="18"/>
                <w:szCs w:val="18"/>
              </w:rPr>
              <w:t>Letras</w:t>
            </w:r>
          </w:p>
        </w:tc>
        <w:tc>
          <w:tcPr>
            <w:tcW w:w="680" w:type="pct"/>
            <w:tcBorders>
              <w:top w:val="nil"/>
              <w:left w:val="nil"/>
              <w:bottom w:val="single" w:sz="4" w:space="0" w:color="FFFFFF"/>
              <w:right w:val="nil"/>
            </w:tcBorders>
            <w:vAlign w:val="center"/>
          </w:tcPr>
          <w:p w14:paraId="0DFCD56E" w14:textId="60832E30" w:rsidR="0098578B" w:rsidRPr="00686021" w:rsidRDefault="00EF52CD"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(10.272.063)</w:t>
            </w:r>
          </w:p>
        </w:tc>
        <w:tc>
          <w:tcPr>
            <w:tcW w:w="680" w:type="pct"/>
            <w:tcBorders>
              <w:top w:val="nil"/>
              <w:left w:val="nil"/>
              <w:bottom w:val="single" w:sz="4" w:space="0" w:color="FFFFFF"/>
              <w:right w:val="nil"/>
            </w:tcBorders>
            <w:vAlign w:val="center"/>
            <w:hideMark/>
          </w:tcPr>
          <w:p w14:paraId="37949229" w14:textId="6240758D" w:rsidR="0098578B" w:rsidRPr="00686021" w:rsidRDefault="00DD56AF"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(6.722.725)</w:t>
            </w:r>
          </w:p>
        </w:tc>
        <w:tc>
          <w:tcPr>
            <w:tcW w:w="680" w:type="pct"/>
            <w:tcBorders>
              <w:top w:val="nil"/>
              <w:left w:val="nil"/>
              <w:bottom w:val="single" w:sz="4" w:space="0" w:color="FFFFFF"/>
              <w:right w:val="nil"/>
            </w:tcBorders>
            <w:vAlign w:val="center"/>
          </w:tcPr>
          <w:p w14:paraId="59B80762" w14:textId="74EF866E" w:rsidR="0098578B" w:rsidRPr="00686021" w:rsidRDefault="000825B6"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(10.272.063)</w:t>
            </w:r>
          </w:p>
        </w:tc>
        <w:tc>
          <w:tcPr>
            <w:tcW w:w="680" w:type="pct"/>
            <w:tcBorders>
              <w:top w:val="nil"/>
              <w:left w:val="nil"/>
              <w:bottom w:val="single" w:sz="4" w:space="0" w:color="FFFFFF"/>
              <w:right w:val="nil"/>
            </w:tcBorders>
            <w:vAlign w:val="center"/>
            <w:hideMark/>
          </w:tcPr>
          <w:p w14:paraId="0400284D" w14:textId="2658373A" w:rsidR="0098578B" w:rsidRPr="00686021" w:rsidRDefault="00DD56AF"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(6.722.725)</w:t>
            </w:r>
          </w:p>
        </w:tc>
      </w:tr>
      <w:tr w:rsidR="0098578B" w:rsidRPr="00CF6BCE" w14:paraId="38FABA4C" w14:textId="77777777" w:rsidTr="00E7148B">
        <w:trPr>
          <w:trHeight w:val="283"/>
        </w:trPr>
        <w:tc>
          <w:tcPr>
            <w:tcW w:w="2280" w:type="pct"/>
            <w:tcBorders>
              <w:top w:val="nil"/>
              <w:left w:val="nil"/>
              <w:bottom w:val="single" w:sz="4" w:space="0" w:color="FFFFFF"/>
              <w:right w:val="nil"/>
            </w:tcBorders>
            <w:vAlign w:val="center"/>
            <w:hideMark/>
          </w:tcPr>
          <w:p w14:paraId="252EA3A0" w14:textId="62F720ED" w:rsidR="0098578B" w:rsidRPr="0098578B" w:rsidRDefault="0098578B" w:rsidP="0098578B">
            <w:pPr>
              <w:ind w:firstLineChars="200" w:firstLine="360"/>
              <w:rPr>
                <w:rFonts w:ascii="CAIXA Std Book" w:eastAsia="Times New Roman" w:hAnsi="CAIXA Std Book" w:cs="Times New Roman"/>
                <w:color w:val="005CA9"/>
                <w:sz w:val="18"/>
                <w:szCs w:val="18"/>
              </w:rPr>
            </w:pPr>
            <w:r>
              <w:rPr>
                <w:rFonts w:ascii="CAIXA Std Book" w:hAnsi="CAIXA Std Book" w:cs="Calibri"/>
                <w:color w:val="005CA9"/>
                <w:sz w:val="18"/>
                <w:szCs w:val="18"/>
              </w:rPr>
              <w:t>Instrumentos híbridos de capital e dívida</w:t>
            </w:r>
          </w:p>
        </w:tc>
        <w:tc>
          <w:tcPr>
            <w:tcW w:w="680" w:type="pct"/>
            <w:tcBorders>
              <w:top w:val="nil"/>
              <w:left w:val="nil"/>
              <w:bottom w:val="single" w:sz="4" w:space="0" w:color="FFFFFF"/>
              <w:right w:val="nil"/>
            </w:tcBorders>
            <w:vAlign w:val="center"/>
          </w:tcPr>
          <w:p w14:paraId="0947EF8B" w14:textId="3DB71803" w:rsidR="0098578B" w:rsidRPr="00686021" w:rsidRDefault="00EF52CD"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(394.823)</w:t>
            </w:r>
          </w:p>
        </w:tc>
        <w:tc>
          <w:tcPr>
            <w:tcW w:w="680" w:type="pct"/>
            <w:tcBorders>
              <w:top w:val="nil"/>
              <w:left w:val="nil"/>
              <w:bottom w:val="single" w:sz="4" w:space="0" w:color="FFFFFF"/>
              <w:right w:val="nil"/>
            </w:tcBorders>
            <w:vAlign w:val="center"/>
            <w:hideMark/>
          </w:tcPr>
          <w:p w14:paraId="27BD66BD" w14:textId="71C41042" w:rsidR="0098578B" w:rsidRPr="00686021" w:rsidRDefault="00DD56AF"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(740.892)</w:t>
            </w:r>
          </w:p>
        </w:tc>
        <w:tc>
          <w:tcPr>
            <w:tcW w:w="680" w:type="pct"/>
            <w:tcBorders>
              <w:top w:val="nil"/>
              <w:left w:val="nil"/>
              <w:bottom w:val="single" w:sz="4" w:space="0" w:color="FFFFFF"/>
              <w:right w:val="nil"/>
            </w:tcBorders>
            <w:vAlign w:val="center"/>
          </w:tcPr>
          <w:p w14:paraId="281B1FD4" w14:textId="2405243F" w:rsidR="0098578B" w:rsidRPr="00686021" w:rsidRDefault="000825B6"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(20.028)</w:t>
            </w:r>
          </w:p>
        </w:tc>
        <w:tc>
          <w:tcPr>
            <w:tcW w:w="680" w:type="pct"/>
            <w:tcBorders>
              <w:top w:val="nil"/>
              <w:left w:val="nil"/>
              <w:bottom w:val="single" w:sz="4" w:space="0" w:color="FFFFFF"/>
              <w:right w:val="nil"/>
            </w:tcBorders>
            <w:vAlign w:val="center"/>
            <w:hideMark/>
          </w:tcPr>
          <w:p w14:paraId="33A0C037" w14:textId="68C4B42B" w:rsidR="0098578B" w:rsidRPr="00686021" w:rsidRDefault="00C575E1"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(27.283)</w:t>
            </w:r>
          </w:p>
        </w:tc>
      </w:tr>
      <w:tr w:rsidR="0098578B" w:rsidRPr="00CF6BCE" w14:paraId="15D6FEE6" w14:textId="77777777" w:rsidTr="00E7148B">
        <w:trPr>
          <w:trHeight w:val="283"/>
        </w:trPr>
        <w:tc>
          <w:tcPr>
            <w:tcW w:w="2280" w:type="pct"/>
            <w:tcBorders>
              <w:top w:val="nil"/>
              <w:left w:val="nil"/>
              <w:bottom w:val="single" w:sz="4" w:space="0" w:color="FFFFFF"/>
              <w:right w:val="nil"/>
            </w:tcBorders>
            <w:noWrap/>
            <w:vAlign w:val="center"/>
            <w:hideMark/>
          </w:tcPr>
          <w:p w14:paraId="05C9D7EB" w14:textId="539F2355" w:rsidR="0098578B" w:rsidRPr="0098578B" w:rsidRDefault="0098578B" w:rsidP="0098578B">
            <w:pPr>
              <w:ind w:firstLineChars="200" w:firstLine="360"/>
              <w:rPr>
                <w:rFonts w:ascii="CAIXA Std Book" w:eastAsia="Times New Roman" w:hAnsi="CAIXA Std Book" w:cs="Times New Roman"/>
                <w:color w:val="005CA9"/>
                <w:sz w:val="18"/>
                <w:szCs w:val="18"/>
              </w:rPr>
            </w:pPr>
            <w:r>
              <w:rPr>
                <w:rFonts w:ascii="CAIXA Std Book" w:hAnsi="CAIXA Std Book" w:cs="Calibri"/>
                <w:color w:val="005CA9"/>
                <w:sz w:val="18"/>
                <w:szCs w:val="18"/>
              </w:rPr>
              <w:t>Resultado com recursos de emissão externa</w:t>
            </w:r>
          </w:p>
        </w:tc>
        <w:tc>
          <w:tcPr>
            <w:tcW w:w="680" w:type="pct"/>
            <w:tcBorders>
              <w:top w:val="nil"/>
              <w:left w:val="nil"/>
              <w:bottom w:val="single" w:sz="4" w:space="0" w:color="FFFFFF"/>
              <w:right w:val="nil"/>
            </w:tcBorders>
            <w:vAlign w:val="center"/>
          </w:tcPr>
          <w:p w14:paraId="2B6D11D6" w14:textId="1B1B5A02" w:rsidR="0098578B" w:rsidRPr="00686021" w:rsidRDefault="00EF52CD"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18.188</w:t>
            </w:r>
          </w:p>
        </w:tc>
        <w:tc>
          <w:tcPr>
            <w:tcW w:w="680" w:type="pct"/>
            <w:tcBorders>
              <w:top w:val="nil"/>
              <w:left w:val="nil"/>
              <w:bottom w:val="single" w:sz="4" w:space="0" w:color="FFFFFF"/>
              <w:right w:val="nil"/>
            </w:tcBorders>
            <w:vAlign w:val="center"/>
            <w:hideMark/>
          </w:tcPr>
          <w:p w14:paraId="125212D1" w14:textId="0358C84F" w:rsidR="0098578B" w:rsidRPr="00686021" w:rsidRDefault="00EF52CD" w:rsidP="00E1438E">
            <w:pPr>
              <w:jc w:val="center"/>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w:t>
            </w:r>
          </w:p>
        </w:tc>
        <w:tc>
          <w:tcPr>
            <w:tcW w:w="680" w:type="pct"/>
            <w:tcBorders>
              <w:top w:val="nil"/>
              <w:left w:val="nil"/>
              <w:bottom w:val="single" w:sz="4" w:space="0" w:color="FFFFFF"/>
              <w:right w:val="nil"/>
            </w:tcBorders>
            <w:vAlign w:val="center"/>
          </w:tcPr>
          <w:p w14:paraId="71A887C2" w14:textId="744C4925" w:rsidR="0098578B" w:rsidRPr="00686021" w:rsidRDefault="000825B6" w:rsidP="0098578B">
            <w:pPr>
              <w:jc w:val="right"/>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18.188</w:t>
            </w:r>
          </w:p>
        </w:tc>
        <w:tc>
          <w:tcPr>
            <w:tcW w:w="680" w:type="pct"/>
            <w:tcBorders>
              <w:top w:val="nil"/>
              <w:left w:val="nil"/>
              <w:bottom w:val="single" w:sz="4" w:space="0" w:color="FFFFFF"/>
              <w:right w:val="nil"/>
            </w:tcBorders>
            <w:vAlign w:val="center"/>
            <w:hideMark/>
          </w:tcPr>
          <w:p w14:paraId="696D0147" w14:textId="19834668" w:rsidR="0098578B" w:rsidRPr="00686021" w:rsidRDefault="00EF52CD" w:rsidP="00E1438E">
            <w:pPr>
              <w:jc w:val="center"/>
              <w:rPr>
                <w:rFonts w:ascii="CAIXA Std Book" w:eastAsia="Times New Roman" w:hAnsi="CAIXA Std Book" w:cs="Times New Roman"/>
                <w:color w:val="005CA9"/>
                <w:sz w:val="18"/>
                <w:szCs w:val="18"/>
              </w:rPr>
            </w:pPr>
            <w:r w:rsidRPr="00686021">
              <w:rPr>
                <w:rFonts w:ascii="CAIXA Std Book" w:hAnsi="CAIXA Std Book" w:cs="Calibri"/>
                <w:color w:val="005CA9"/>
                <w:sz w:val="18"/>
                <w:szCs w:val="18"/>
              </w:rPr>
              <w:t>-</w:t>
            </w:r>
          </w:p>
        </w:tc>
      </w:tr>
      <w:tr w:rsidR="0098578B" w:rsidRPr="00CF6BCE" w14:paraId="44239D07" w14:textId="77777777" w:rsidTr="00E7148B">
        <w:trPr>
          <w:trHeight w:val="283"/>
        </w:trPr>
        <w:tc>
          <w:tcPr>
            <w:tcW w:w="2280" w:type="pct"/>
            <w:tcBorders>
              <w:top w:val="single" w:sz="4" w:space="0" w:color="FFFFFF"/>
              <w:left w:val="nil"/>
              <w:bottom w:val="single" w:sz="4" w:space="0" w:color="FFFFFF" w:themeColor="background1"/>
              <w:right w:val="nil"/>
            </w:tcBorders>
            <w:shd w:val="clear" w:color="000000" w:fill="005CA9"/>
            <w:noWrap/>
            <w:vAlign w:val="center"/>
            <w:hideMark/>
          </w:tcPr>
          <w:p w14:paraId="73FD8BED" w14:textId="6F48F2B7" w:rsidR="0098578B" w:rsidRPr="0098578B" w:rsidRDefault="0098578B" w:rsidP="0098578B">
            <w:pPr>
              <w:rPr>
                <w:rFonts w:ascii="CAIXA Std Book" w:eastAsia="Times New Roman" w:hAnsi="CAIXA Std Book" w:cs="Times New Roman"/>
                <w:b/>
                <w:bCs/>
                <w:color w:val="FFFFFF"/>
                <w:sz w:val="18"/>
                <w:szCs w:val="18"/>
              </w:rPr>
            </w:pPr>
            <w:r>
              <w:rPr>
                <w:rFonts w:ascii="CAIXA Std Book" w:hAnsi="CAIXA Std Book" w:cs="Calibri"/>
                <w:b/>
                <w:color w:val="FFFFFF"/>
                <w:sz w:val="18"/>
                <w:szCs w:val="18"/>
              </w:rPr>
              <w:t>Total</w:t>
            </w:r>
          </w:p>
        </w:tc>
        <w:tc>
          <w:tcPr>
            <w:tcW w:w="680" w:type="pct"/>
            <w:tcBorders>
              <w:top w:val="single" w:sz="4" w:space="0" w:color="FFFFFF"/>
              <w:left w:val="nil"/>
              <w:bottom w:val="single" w:sz="4" w:space="0" w:color="FFFFFF" w:themeColor="background1"/>
              <w:right w:val="nil"/>
            </w:tcBorders>
            <w:shd w:val="clear" w:color="000000" w:fill="005CA9"/>
            <w:vAlign w:val="center"/>
          </w:tcPr>
          <w:p w14:paraId="60EE0326" w14:textId="5C9440E1" w:rsidR="0098578B" w:rsidRPr="00686021" w:rsidRDefault="00EF52CD" w:rsidP="0098578B">
            <w:pPr>
              <w:jc w:val="right"/>
              <w:rPr>
                <w:rFonts w:ascii="CAIXA Std Book" w:eastAsia="Times New Roman" w:hAnsi="CAIXA Std Book" w:cs="Times New Roman"/>
                <w:b/>
                <w:color w:val="FFFFFF"/>
                <w:sz w:val="18"/>
                <w:szCs w:val="18"/>
              </w:rPr>
            </w:pPr>
            <w:r w:rsidRPr="00686021">
              <w:rPr>
                <w:rFonts w:ascii="CAIXA Std Book" w:hAnsi="CAIXA Std Book" w:cs="Calibri"/>
                <w:b/>
                <w:color w:val="FFFFFF"/>
                <w:sz w:val="18"/>
                <w:szCs w:val="18"/>
              </w:rPr>
              <w:t>(47.237.961)</w:t>
            </w:r>
          </w:p>
        </w:tc>
        <w:tc>
          <w:tcPr>
            <w:tcW w:w="680" w:type="pct"/>
            <w:tcBorders>
              <w:top w:val="single" w:sz="4" w:space="0" w:color="FFFFFF"/>
              <w:left w:val="nil"/>
              <w:bottom w:val="single" w:sz="4" w:space="0" w:color="FFFFFF" w:themeColor="background1"/>
              <w:right w:val="nil"/>
            </w:tcBorders>
            <w:shd w:val="clear" w:color="000000" w:fill="005CA9"/>
            <w:vAlign w:val="center"/>
            <w:hideMark/>
          </w:tcPr>
          <w:p w14:paraId="25FBB2FB" w14:textId="47D27118" w:rsidR="0098578B" w:rsidRPr="00686021" w:rsidRDefault="00DD56AF" w:rsidP="0098578B">
            <w:pPr>
              <w:jc w:val="right"/>
              <w:rPr>
                <w:rFonts w:ascii="CAIXA Std Book" w:eastAsia="Times New Roman" w:hAnsi="CAIXA Std Book" w:cs="Times New Roman"/>
                <w:b/>
                <w:color w:val="FFFFFF"/>
                <w:sz w:val="18"/>
                <w:szCs w:val="18"/>
              </w:rPr>
            </w:pPr>
            <w:r w:rsidRPr="00686021">
              <w:rPr>
                <w:rFonts w:ascii="CAIXA Std Book" w:hAnsi="CAIXA Std Book" w:cs="Calibri"/>
                <w:b/>
                <w:color w:val="FFFFFF"/>
                <w:sz w:val="18"/>
                <w:szCs w:val="18"/>
              </w:rPr>
              <w:t>(39.496.737)</w:t>
            </w:r>
          </w:p>
        </w:tc>
        <w:tc>
          <w:tcPr>
            <w:tcW w:w="680" w:type="pct"/>
            <w:tcBorders>
              <w:top w:val="single" w:sz="4" w:space="0" w:color="FFFFFF"/>
              <w:left w:val="nil"/>
              <w:bottom w:val="single" w:sz="4" w:space="0" w:color="FFFFFF" w:themeColor="background1"/>
              <w:right w:val="nil"/>
            </w:tcBorders>
            <w:shd w:val="clear" w:color="000000" w:fill="005CA9"/>
            <w:vAlign w:val="center"/>
          </w:tcPr>
          <w:p w14:paraId="440E096C" w14:textId="2D9EFC7D" w:rsidR="0098578B" w:rsidRPr="00686021" w:rsidRDefault="000825B6" w:rsidP="0098578B">
            <w:pPr>
              <w:jc w:val="right"/>
              <w:rPr>
                <w:rFonts w:ascii="CAIXA Std Book" w:eastAsia="Times New Roman" w:hAnsi="CAIXA Std Book" w:cs="Times New Roman"/>
                <w:b/>
                <w:color w:val="FFFFFF"/>
                <w:sz w:val="18"/>
                <w:szCs w:val="18"/>
              </w:rPr>
            </w:pPr>
            <w:r w:rsidRPr="00686021">
              <w:rPr>
                <w:rFonts w:ascii="CAIXA Std Book" w:hAnsi="CAIXA Std Book" w:cs="Calibri"/>
                <w:b/>
                <w:color w:val="FFFFFF"/>
                <w:sz w:val="18"/>
                <w:szCs w:val="18"/>
              </w:rPr>
              <w:t>(46.779.186)</w:t>
            </w:r>
          </w:p>
        </w:tc>
        <w:tc>
          <w:tcPr>
            <w:tcW w:w="680" w:type="pct"/>
            <w:tcBorders>
              <w:top w:val="single" w:sz="4" w:space="0" w:color="FFFFFF"/>
              <w:left w:val="nil"/>
              <w:bottom w:val="single" w:sz="4" w:space="0" w:color="FFFFFF" w:themeColor="background1"/>
              <w:right w:val="nil"/>
            </w:tcBorders>
            <w:shd w:val="clear" w:color="000000" w:fill="005CA9"/>
            <w:vAlign w:val="center"/>
            <w:hideMark/>
          </w:tcPr>
          <w:p w14:paraId="698C3D96" w14:textId="56D02FAB" w:rsidR="0098578B" w:rsidRPr="00686021" w:rsidRDefault="00C575E1" w:rsidP="0098578B">
            <w:pPr>
              <w:jc w:val="right"/>
              <w:rPr>
                <w:rFonts w:ascii="CAIXA Std Book" w:eastAsia="Times New Roman" w:hAnsi="CAIXA Std Book" w:cs="Times New Roman"/>
                <w:b/>
                <w:color w:val="FFFFFF"/>
                <w:sz w:val="18"/>
                <w:szCs w:val="18"/>
              </w:rPr>
            </w:pPr>
            <w:r w:rsidRPr="00686021">
              <w:rPr>
                <w:rFonts w:ascii="CAIXA Std Book" w:hAnsi="CAIXA Std Book" w:cs="Calibri"/>
                <w:b/>
                <w:color w:val="FFFFFF"/>
                <w:sz w:val="18"/>
                <w:szCs w:val="18"/>
              </w:rPr>
              <w:t>(38.738.490)</w:t>
            </w:r>
          </w:p>
        </w:tc>
      </w:tr>
      <w:tr w:rsidR="0098578B" w:rsidRPr="00CF6BCE" w14:paraId="4FD840C6" w14:textId="77777777" w:rsidTr="00E7148B">
        <w:trPr>
          <w:trHeight w:val="283"/>
        </w:trPr>
        <w:tc>
          <w:tcPr>
            <w:tcW w:w="2280" w:type="pct"/>
            <w:tcBorders>
              <w:top w:val="single" w:sz="4" w:space="0" w:color="FFFFFF" w:themeColor="background1"/>
              <w:left w:val="nil"/>
              <w:bottom w:val="single" w:sz="4" w:space="0" w:color="FFFFFF"/>
              <w:right w:val="nil"/>
            </w:tcBorders>
            <w:shd w:val="clear" w:color="000000" w:fill="005CA9"/>
            <w:noWrap/>
            <w:vAlign w:val="center"/>
            <w:hideMark/>
          </w:tcPr>
          <w:p w14:paraId="254BE0D9" w14:textId="448C9A02" w:rsidR="0098578B" w:rsidRPr="0098578B" w:rsidRDefault="0098578B" w:rsidP="0098578B">
            <w:pPr>
              <w:rPr>
                <w:rFonts w:ascii="CAIXA Std Book" w:eastAsia="Times New Roman" w:hAnsi="CAIXA Std Book" w:cs="Times New Roman"/>
                <w:b/>
                <w:bCs/>
                <w:color w:val="FFFFFF"/>
                <w:sz w:val="18"/>
                <w:szCs w:val="18"/>
              </w:rPr>
            </w:pPr>
            <w:r>
              <w:rPr>
                <w:rFonts w:ascii="CAIXA Std Book" w:hAnsi="CAIXA Std Book" w:cs="Calibri"/>
                <w:b/>
                <w:color w:val="FFFFFF"/>
                <w:sz w:val="18"/>
                <w:szCs w:val="18"/>
              </w:rPr>
              <w:t>Resultado líquido de juros</w:t>
            </w:r>
          </w:p>
        </w:tc>
        <w:tc>
          <w:tcPr>
            <w:tcW w:w="680" w:type="pct"/>
            <w:tcBorders>
              <w:top w:val="single" w:sz="4" w:space="0" w:color="FFFFFF" w:themeColor="background1"/>
              <w:left w:val="nil"/>
              <w:bottom w:val="single" w:sz="4" w:space="0" w:color="FFFFFF"/>
              <w:right w:val="nil"/>
            </w:tcBorders>
            <w:shd w:val="clear" w:color="000000" w:fill="005CA9"/>
            <w:vAlign w:val="center"/>
          </w:tcPr>
          <w:p w14:paraId="6AFDAD5C" w14:textId="60FD2334" w:rsidR="0098578B" w:rsidRPr="00686021" w:rsidRDefault="00EF52CD" w:rsidP="0098578B">
            <w:pPr>
              <w:jc w:val="right"/>
              <w:rPr>
                <w:rFonts w:ascii="CAIXA Std Book" w:eastAsia="Times New Roman" w:hAnsi="CAIXA Std Book" w:cs="Times New Roman"/>
                <w:b/>
                <w:color w:val="FFFFFF"/>
                <w:sz w:val="18"/>
                <w:szCs w:val="18"/>
              </w:rPr>
            </w:pPr>
            <w:r w:rsidRPr="00686021">
              <w:rPr>
                <w:rFonts w:ascii="CAIXA Std Book" w:hAnsi="CAIXA Std Book" w:cs="Calibri"/>
                <w:b/>
                <w:color w:val="FFFFFF"/>
                <w:sz w:val="18"/>
                <w:szCs w:val="18"/>
              </w:rPr>
              <w:t>17.518.257</w:t>
            </w:r>
          </w:p>
        </w:tc>
        <w:tc>
          <w:tcPr>
            <w:tcW w:w="680" w:type="pct"/>
            <w:tcBorders>
              <w:top w:val="single" w:sz="4" w:space="0" w:color="FFFFFF" w:themeColor="background1"/>
              <w:left w:val="nil"/>
              <w:bottom w:val="single" w:sz="4" w:space="0" w:color="FFFFFF"/>
              <w:right w:val="nil"/>
            </w:tcBorders>
            <w:shd w:val="clear" w:color="000000" w:fill="005CA9"/>
            <w:vAlign w:val="center"/>
            <w:hideMark/>
          </w:tcPr>
          <w:p w14:paraId="20F09C08" w14:textId="2BEDA032" w:rsidR="0098578B" w:rsidRPr="00686021" w:rsidRDefault="00DD56AF" w:rsidP="0098578B">
            <w:pPr>
              <w:jc w:val="right"/>
              <w:rPr>
                <w:rFonts w:ascii="CAIXA Std Book" w:eastAsia="Times New Roman" w:hAnsi="CAIXA Std Book" w:cs="Times New Roman"/>
                <w:b/>
                <w:color w:val="FFFFFF"/>
                <w:sz w:val="18"/>
                <w:szCs w:val="18"/>
              </w:rPr>
            </w:pPr>
            <w:r w:rsidRPr="00686021">
              <w:rPr>
                <w:rFonts w:ascii="CAIXA Std Book" w:hAnsi="CAIXA Std Book" w:cs="Calibri"/>
                <w:b/>
                <w:color w:val="FFFFFF"/>
                <w:sz w:val="18"/>
                <w:szCs w:val="18"/>
              </w:rPr>
              <w:t>15.850.583</w:t>
            </w:r>
          </w:p>
        </w:tc>
        <w:tc>
          <w:tcPr>
            <w:tcW w:w="680" w:type="pct"/>
            <w:tcBorders>
              <w:top w:val="single" w:sz="4" w:space="0" w:color="FFFFFF" w:themeColor="background1"/>
              <w:left w:val="nil"/>
              <w:bottom w:val="single" w:sz="4" w:space="0" w:color="FFFFFF"/>
              <w:right w:val="nil"/>
            </w:tcBorders>
            <w:shd w:val="clear" w:color="000000" w:fill="005CA9"/>
            <w:vAlign w:val="center"/>
          </w:tcPr>
          <w:p w14:paraId="499EB141" w14:textId="47491E8D" w:rsidR="0098578B" w:rsidRPr="00686021" w:rsidRDefault="000825B6" w:rsidP="0098578B">
            <w:pPr>
              <w:jc w:val="right"/>
              <w:rPr>
                <w:rFonts w:ascii="CAIXA Std Book" w:eastAsia="Times New Roman" w:hAnsi="CAIXA Std Book" w:cs="Times New Roman"/>
                <w:b/>
                <w:color w:val="FFFFFF"/>
                <w:sz w:val="18"/>
                <w:szCs w:val="18"/>
              </w:rPr>
            </w:pPr>
            <w:r w:rsidRPr="00686021">
              <w:rPr>
                <w:rFonts w:ascii="CAIXA Std Book" w:hAnsi="CAIXA Std Book" w:cs="Calibri"/>
                <w:b/>
                <w:color w:val="FFFFFF"/>
                <w:sz w:val="18"/>
                <w:szCs w:val="18"/>
              </w:rPr>
              <w:t>18.135.733</w:t>
            </w:r>
          </w:p>
        </w:tc>
        <w:tc>
          <w:tcPr>
            <w:tcW w:w="680" w:type="pct"/>
            <w:tcBorders>
              <w:top w:val="single" w:sz="4" w:space="0" w:color="FFFFFF" w:themeColor="background1"/>
              <w:left w:val="nil"/>
              <w:bottom w:val="single" w:sz="4" w:space="0" w:color="FFFFFF"/>
              <w:right w:val="nil"/>
            </w:tcBorders>
            <w:shd w:val="clear" w:color="000000" w:fill="005CA9"/>
            <w:vAlign w:val="center"/>
            <w:hideMark/>
          </w:tcPr>
          <w:p w14:paraId="6802D5FD" w14:textId="1EB64399" w:rsidR="0098578B" w:rsidRPr="00686021" w:rsidRDefault="00C575E1" w:rsidP="0098578B">
            <w:pPr>
              <w:jc w:val="right"/>
              <w:rPr>
                <w:rFonts w:ascii="CAIXA Std Book" w:eastAsia="Times New Roman" w:hAnsi="CAIXA Std Book" w:cs="Times New Roman"/>
                <w:b/>
                <w:color w:val="FFFFFF"/>
                <w:sz w:val="18"/>
                <w:szCs w:val="18"/>
              </w:rPr>
            </w:pPr>
            <w:r w:rsidRPr="00686021">
              <w:rPr>
                <w:rFonts w:ascii="CAIXA Std Book" w:hAnsi="CAIXA Std Book" w:cs="Calibri"/>
                <w:b/>
                <w:color w:val="FFFFFF"/>
                <w:sz w:val="18"/>
                <w:szCs w:val="18"/>
              </w:rPr>
              <w:t>16.656.553</w:t>
            </w:r>
          </w:p>
        </w:tc>
      </w:tr>
    </w:tbl>
    <w:p w14:paraId="4A84ED21" w14:textId="4167EE8D" w:rsidR="00EC347F" w:rsidRDefault="00087E61" w:rsidP="00B735D2">
      <w:pPr>
        <w:pStyle w:val="Ttulo1"/>
      </w:pPr>
      <w:bookmarkStart w:id="137" w:name="_Toc229588498"/>
      <w:r w:rsidRPr="00E95E29">
        <w:t xml:space="preserve">Nota   </w:t>
      </w:r>
      <w:r w:rsidR="00296458">
        <w:t>2</w:t>
      </w:r>
      <w:r w:rsidR="00323B4E">
        <w:t>2</w:t>
      </w:r>
      <w:r w:rsidRPr="00E95E29">
        <w:t xml:space="preserve"> – </w:t>
      </w:r>
      <w:r w:rsidR="00EC347F" w:rsidRPr="00E95E29">
        <w:t xml:space="preserve">Ganhos e perdas com o valor justo de </w:t>
      </w:r>
      <w:r w:rsidR="00AB10E7">
        <w:t>instrumentos financeiros</w:t>
      </w:r>
      <w:bookmarkEnd w:id="136"/>
      <w:bookmarkEnd w:id="137"/>
    </w:p>
    <w:tbl>
      <w:tblPr>
        <w:tblW w:w="5000" w:type="pct"/>
        <w:tblCellMar>
          <w:left w:w="70" w:type="dxa"/>
          <w:right w:w="70" w:type="dxa"/>
        </w:tblCellMar>
        <w:tblLook w:val="04A0" w:firstRow="1" w:lastRow="0" w:firstColumn="1" w:lastColumn="0" w:noHBand="0" w:noVBand="1"/>
      </w:tblPr>
      <w:tblGrid>
        <w:gridCol w:w="4396"/>
        <w:gridCol w:w="1311"/>
        <w:gridCol w:w="1311"/>
        <w:gridCol w:w="1311"/>
        <w:gridCol w:w="1309"/>
      </w:tblGrid>
      <w:tr w:rsidR="003B077A" w:rsidRPr="00EB00CB" w14:paraId="332561FB" w14:textId="77777777" w:rsidTr="00686021">
        <w:trPr>
          <w:trHeight w:val="283"/>
        </w:trPr>
        <w:tc>
          <w:tcPr>
            <w:tcW w:w="2281" w:type="pct"/>
            <w:vMerge w:val="restart"/>
            <w:tcBorders>
              <w:top w:val="nil"/>
              <w:left w:val="nil"/>
              <w:bottom w:val="nil"/>
              <w:right w:val="nil"/>
            </w:tcBorders>
            <w:shd w:val="clear" w:color="auto" w:fill="005CA9"/>
            <w:vAlign w:val="center"/>
            <w:hideMark/>
          </w:tcPr>
          <w:p w14:paraId="215C7FA2" w14:textId="77777777" w:rsidR="00EB00CB" w:rsidRPr="00EB00CB" w:rsidRDefault="00EB00CB" w:rsidP="00EB00CB">
            <w:pPr>
              <w:jc w:val="center"/>
              <w:rPr>
                <w:rFonts w:ascii="CAIXA Std Book" w:eastAsia="Times New Roman" w:hAnsi="CAIXA Std Book" w:cs="Calibri"/>
                <w:b/>
                <w:bCs/>
                <w:color w:val="FFFFFF"/>
                <w:sz w:val="18"/>
                <w:szCs w:val="18"/>
              </w:rPr>
            </w:pPr>
            <w:r w:rsidRPr="00EB00CB">
              <w:rPr>
                <w:rFonts w:ascii="CAIXA Std Book" w:eastAsia="Times New Roman" w:hAnsi="CAIXA Std Book" w:cs="Calibri"/>
                <w:b/>
                <w:bCs/>
                <w:color w:val="FFFFFF"/>
                <w:sz w:val="18"/>
                <w:szCs w:val="18"/>
              </w:rPr>
              <w:t>Descrição</w:t>
            </w:r>
          </w:p>
        </w:tc>
        <w:tc>
          <w:tcPr>
            <w:tcW w:w="1360" w:type="pct"/>
            <w:gridSpan w:val="2"/>
            <w:tcBorders>
              <w:top w:val="nil"/>
              <w:left w:val="nil"/>
              <w:bottom w:val="single" w:sz="4" w:space="0" w:color="FFFFFF"/>
              <w:right w:val="nil"/>
            </w:tcBorders>
            <w:shd w:val="clear" w:color="auto" w:fill="005CA9"/>
            <w:vAlign w:val="center"/>
            <w:hideMark/>
          </w:tcPr>
          <w:p w14:paraId="74991BFA" w14:textId="77777777" w:rsidR="00EB00CB" w:rsidRPr="00EB00CB" w:rsidRDefault="00EB00CB" w:rsidP="00EB00CB">
            <w:pPr>
              <w:jc w:val="center"/>
              <w:rPr>
                <w:rFonts w:ascii="CAIXA Std Book" w:eastAsia="Times New Roman" w:hAnsi="CAIXA Std Book" w:cs="Calibri"/>
                <w:b/>
                <w:bCs/>
                <w:color w:val="FFFFFF"/>
                <w:sz w:val="18"/>
                <w:szCs w:val="18"/>
              </w:rPr>
            </w:pPr>
            <w:r w:rsidRPr="00EB00CB">
              <w:rPr>
                <w:rFonts w:ascii="CAIXA Std Book" w:eastAsia="Times New Roman" w:hAnsi="CAIXA Std Book" w:cs="Calibri"/>
                <w:b/>
                <w:bCs/>
                <w:color w:val="FFFFFF"/>
                <w:sz w:val="18"/>
                <w:szCs w:val="18"/>
              </w:rPr>
              <w:t>Individual</w:t>
            </w:r>
          </w:p>
        </w:tc>
        <w:tc>
          <w:tcPr>
            <w:tcW w:w="1360" w:type="pct"/>
            <w:gridSpan w:val="2"/>
            <w:tcBorders>
              <w:top w:val="nil"/>
              <w:left w:val="nil"/>
              <w:bottom w:val="single" w:sz="4" w:space="0" w:color="FFFFFF"/>
              <w:right w:val="nil"/>
            </w:tcBorders>
            <w:shd w:val="clear" w:color="auto" w:fill="005CA9"/>
            <w:vAlign w:val="center"/>
            <w:hideMark/>
          </w:tcPr>
          <w:p w14:paraId="30D33F05" w14:textId="77777777" w:rsidR="00EB00CB" w:rsidRPr="00EB00CB" w:rsidRDefault="00EB00CB" w:rsidP="00EB00CB">
            <w:pPr>
              <w:jc w:val="center"/>
              <w:rPr>
                <w:rFonts w:ascii="CAIXA Std Book" w:eastAsia="Times New Roman" w:hAnsi="CAIXA Std Book" w:cs="Calibri"/>
                <w:b/>
                <w:bCs/>
                <w:color w:val="FFFFFF"/>
                <w:sz w:val="18"/>
                <w:szCs w:val="18"/>
              </w:rPr>
            </w:pPr>
            <w:r w:rsidRPr="00EB00CB">
              <w:rPr>
                <w:rFonts w:ascii="CAIXA Std Book" w:eastAsia="Times New Roman" w:hAnsi="CAIXA Std Book" w:cs="Calibri"/>
                <w:b/>
                <w:bCs/>
                <w:color w:val="FFFFFF"/>
                <w:sz w:val="18"/>
                <w:szCs w:val="18"/>
              </w:rPr>
              <w:t>Consolidado</w:t>
            </w:r>
          </w:p>
        </w:tc>
      </w:tr>
      <w:tr w:rsidR="003B077A" w:rsidRPr="00EB00CB" w14:paraId="686B2C7D" w14:textId="77777777" w:rsidTr="00686021">
        <w:trPr>
          <w:trHeight w:val="283"/>
        </w:trPr>
        <w:tc>
          <w:tcPr>
            <w:tcW w:w="2281" w:type="pct"/>
            <w:vMerge/>
            <w:tcBorders>
              <w:top w:val="nil"/>
              <w:left w:val="nil"/>
              <w:bottom w:val="nil"/>
              <w:right w:val="nil"/>
            </w:tcBorders>
            <w:shd w:val="clear" w:color="auto" w:fill="005CA9"/>
            <w:vAlign w:val="center"/>
            <w:hideMark/>
          </w:tcPr>
          <w:p w14:paraId="3C2CB8BE" w14:textId="77777777" w:rsidR="00EB00CB" w:rsidRPr="00EB00CB" w:rsidRDefault="00EB00CB" w:rsidP="00EB00CB">
            <w:pPr>
              <w:rPr>
                <w:rFonts w:ascii="CAIXA Std Book" w:eastAsia="Times New Roman" w:hAnsi="CAIXA Std Book" w:cs="Calibri"/>
                <w:b/>
                <w:bCs/>
                <w:color w:val="FFFFFF"/>
                <w:sz w:val="18"/>
                <w:szCs w:val="18"/>
              </w:rPr>
            </w:pPr>
          </w:p>
        </w:tc>
        <w:tc>
          <w:tcPr>
            <w:tcW w:w="680" w:type="pct"/>
            <w:tcBorders>
              <w:top w:val="single" w:sz="4" w:space="0" w:color="FFFFFF"/>
              <w:left w:val="nil"/>
              <w:bottom w:val="single" w:sz="4" w:space="0" w:color="FFFFFF" w:themeColor="background1"/>
              <w:right w:val="nil"/>
            </w:tcBorders>
            <w:shd w:val="clear" w:color="auto" w:fill="005CA9"/>
            <w:vAlign w:val="center"/>
            <w:hideMark/>
          </w:tcPr>
          <w:p w14:paraId="4A0375D3" w14:textId="5C78D2B8" w:rsidR="00062732" w:rsidRPr="00EB00CB" w:rsidRDefault="00062732" w:rsidP="00EB00CB">
            <w:pPr>
              <w:jc w:val="center"/>
              <w:rPr>
                <w:rFonts w:ascii="CAIXA Std Book" w:eastAsia="Times New Roman" w:hAnsi="CAIXA Std Book" w:cs="Calibri"/>
                <w:b/>
                <w:bCs/>
                <w:color w:val="FFFFFF"/>
                <w:sz w:val="18"/>
                <w:szCs w:val="18"/>
              </w:rPr>
            </w:pPr>
            <w:r w:rsidRPr="00EB00CB">
              <w:rPr>
                <w:rFonts w:ascii="CAIXA Std Book" w:eastAsia="Times New Roman" w:hAnsi="CAIXA Std Book" w:cs="Calibri"/>
                <w:b/>
                <w:bCs/>
                <w:color w:val="FFFFFF"/>
                <w:sz w:val="18"/>
                <w:szCs w:val="18"/>
              </w:rPr>
              <w:t>202</w:t>
            </w:r>
            <w:r>
              <w:rPr>
                <w:rFonts w:ascii="CAIXA Std Book" w:eastAsia="Times New Roman" w:hAnsi="CAIXA Std Book" w:cs="Calibri"/>
                <w:b/>
                <w:bCs/>
                <w:color w:val="FFFFFF"/>
                <w:sz w:val="18"/>
                <w:szCs w:val="18"/>
              </w:rPr>
              <w:t>6</w:t>
            </w:r>
          </w:p>
        </w:tc>
        <w:tc>
          <w:tcPr>
            <w:tcW w:w="680" w:type="pct"/>
            <w:tcBorders>
              <w:top w:val="single" w:sz="4" w:space="0" w:color="FFFFFF"/>
              <w:left w:val="nil"/>
              <w:bottom w:val="single" w:sz="4" w:space="0" w:color="FFFFFF" w:themeColor="background1"/>
              <w:right w:val="nil"/>
            </w:tcBorders>
            <w:shd w:val="clear" w:color="auto" w:fill="005CA9"/>
            <w:vAlign w:val="center"/>
          </w:tcPr>
          <w:p w14:paraId="1AB833B5" w14:textId="77777777" w:rsidR="00EB00CB" w:rsidRPr="00EB00CB" w:rsidRDefault="00EB00CB" w:rsidP="00EB00CB">
            <w:pPr>
              <w:jc w:val="center"/>
              <w:rPr>
                <w:rFonts w:ascii="CAIXA Std Book" w:eastAsia="Times New Roman" w:hAnsi="CAIXA Std Book" w:cs="Calibri"/>
                <w:b/>
                <w:bCs/>
                <w:color w:val="FFFFFF"/>
                <w:sz w:val="18"/>
                <w:szCs w:val="18"/>
              </w:rPr>
            </w:pPr>
            <w:r w:rsidRPr="00EB00CB">
              <w:rPr>
                <w:rFonts w:ascii="CAIXA Std Book" w:eastAsia="Times New Roman" w:hAnsi="CAIXA Std Book" w:cs="Calibri"/>
                <w:b/>
                <w:bCs/>
                <w:color w:val="FFFFFF"/>
                <w:sz w:val="18"/>
                <w:szCs w:val="18"/>
              </w:rPr>
              <w:t>2025</w:t>
            </w:r>
          </w:p>
        </w:tc>
        <w:tc>
          <w:tcPr>
            <w:tcW w:w="680" w:type="pct"/>
            <w:tcBorders>
              <w:top w:val="single" w:sz="4" w:space="0" w:color="FFFFFF"/>
              <w:left w:val="nil"/>
              <w:bottom w:val="single" w:sz="4" w:space="0" w:color="FFFFFF" w:themeColor="background1"/>
              <w:right w:val="nil"/>
            </w:tcBorders>
            <w:shd w:val="clear" w:color="auto" w:fill="005CA9"/>
            <w:vAlign w:val="center"/>
            <w:hideMark/>
          </w:tcPr>
          <w:p w14:paraId="7170E53C" w14:textId="328FCC66" w:rsidR="00062732" w:rsidRPr="00EB00CB" w:rsidRDefault="00062732" w:rsidP="00EB00CB">
            <w:pPr>
              <w:jc w:val="center"/>
              <w:rPr>
                <w:rFonts w:ascii="CAIXA Std Book" w:eastAsia="Times New Roman" w:hAnsi="CAIXA Std Book" w:cs="Calibri"/>
                <w:b/>
                <w:bCs/>
                <w:color w:val="FFFFFF"/>
                <w:sz w:val="18"/>
                <w:szCs w:val="18"/>
              </w:rPr>
            </w:pPr>
            <w:r w:rsidRPr="00EB00CB">
              <w:rPr>
                <w:rFonts w:ascii="CAIXA Std Book" w:eastAsia="Times New Roman" w:hAnsi="CAIXA Std Book" w:cs="Calibri"/>
                <w:b/>
                <w:bCs/>
                <w:color w:val="FFFFFF"/>
                <w:sz w:val="18"/>
                <w:szCs w:val="18"/>
              </w:rPr>
              <w:t>202</w:t>
            </w:r>
            <w:r>
              <w:rPr>
                <w:rFonts w:ascii="CAIXA Std Book" w:eastAsia="Times New Roman" w:hAnsi="CAIXA Std Book" w:cs="Calibri"/>
                <w:b/>
                <w:bCs/>
                <w:color w:val="FFFFFF"/>
                <w:sz w:val="18"/>
                <w:szCs w:val="18"/>
              </w:rPr>
              <w:t>6</w:t>
            </w:r>
          </w:p>
        </w:tc>
        <w:tc>
          <w:tcPr>
            <w:tcW w:w="680" w:type="pct"/>
            <w:tcBorders>
              <w:top w:val="single" w:sz="4" w:space="0" w:color="FFFFFF"/>
              <w:left w:val="nil"/>
              <w:bottom w:val="single" w:sz="4" w:space="0" w:color="FFFFFF" w:themeColor="background1"/>
              <w:right w:val="nil"/>
            </w:tcBorders>
            <w:shd w:val="clear" w:color="auto" w:fill="005CA9"/>
            <w:vAlign w:val="center"/>
          </w:tcPr>
          <w:p w14:paraId="27A462B3" w14:textId="77777777" w:rsidR="00EB00CB" w:rsidRPr="00EB00CB" w:rsidRDefault="00EB00CB" w:rsidP="00EB00CB">
            <w:pPr>
              <w:jc w:val="center"/>
              <w:rPr>
                <w:rFonts w:ascii="CAIXA Std Book" w:eastAsia="Times New Roman" w:hAnsi="CAIXA Std Book" w:cs="Calibri"/>
                <w:b/>
                <w:bCs/>
                <w:color w:val="FFFFFF"/>
                <w:sz w:val="18"/>
                <w:szCs w:val="18"/>
              </w:rPr>
            </w:pPr>
            <w:r w:rsidRPr="00EB00CB">
              <w:rPr>
                <w:rFonts w:ascii="CAIXA Std Book" w:eastAsia="Times New Roman" w:hAnsi="CAIXA Std Book" w:cs="Calibri"/>
                <w:b/>
                <w:bCs/>
                <w:color w:val="FFFFFF"/>
                <w:sz w:val="18"/>
                <w:szCs w:val="18"/>
              </w:rPr>
              <w:t>2025</w:t>
            </w:r>
          </w:p>
        </w:tc>
      </w:tr>
      <w:tr w:rsidR="00805005" w:rsidRPr="00EB00CB" w14:paraId="07FB6DC3" w14:textId="77777777" w:rsidTr="00686021">
        <w:trPr>
          <w:trHeight w:val="114"/>
        </w:trPr>
        <w:tc>
          <w:tcPr>
            <w:tcW w:w="2281" w:type="pct"/>
            <w:vMerge/>
            <w:tcBorders>
              <w:top w:val="nil"/>
              <w:left w:val="nil"/>
              <w:bottom w:val="nil"/>
              <w:right w:val="nil"/>
            </w:tcBorders>
            <w:shd w:val="clear" w:color="auto" w:fill="005CA9"/>
            <w:vAlign w:val="center"/>
            <w:hideMark/>
          </w:tcPr>
          <w:p w14:paraId="7296B1D7" w14:textId="77777777" w:rsidR="00EB00CB" w:rsidRPr="00EB00CB" w:rsidRDefault="00EB00CB" w:rsidP="00EB00CB">
            <w:pPr>
              <w:rPr>
                <w:rFonts w:ascii="CAIXA Std Book" w:eastAsia="Times New Roman" w:hAnsi="CAIXA Std Book" w:cs="Calibri"/>
                <w:b/>
                <w:bCs/>
                <w:color w:val="FFFFFF"/>
                <w:sz w:val="18"/>
                <w:szCs w:val="18"/>
              </w:rPr>
            </w:pPr>
          </w:p>
        </w:tc>
        <w:tc>
          <w:tcPr>
            <w:tcW w:w="680" w:type="pct"/>
            <w:tcBorders>
              <w:top w:val="single" w:sz="4" w:space="0" w:color="FFFFFF" w:themeColor="background1"/>
              <w:left w:val="nil"/>
              <w:bottom w:val="nil"/>
              <w:right w:val="nil"/>
            </w:tcBorders>
            <w:shd w:val="clear" w:color="auto" w:fill="005CA9"/>
            <w:vAlign w:val="center"/>
            <w:hideMark/>
          </w:tcPr>
          <w:p w14:paraId="1A317DAB" w14:textId="1BD02F66" w:rsidR="00EB00CB" w:rsidRPr="00EB00CB" w:rsidRDefault="00062732" w:rsidP="00EB00CB">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1</w:t>
            </w:r>
            <w:r w:rsidR="00EB00CB" w:rsidRPr="00EB00CB">
              <w:rPr>
                <w:rFonts w:ascii="CAIXA Std Book" w:eastAsia="Times New Roman" w:hAnsi="CAIXA Std Book" w:cs="Calibri"/>
                <w:b/>
                <w:bCs/>
                <w:color w:val="FFFFFF"/>
                <w:sz w:val="18"/>
                <w:szCs w:val="18"/>
              </w:rPr>
              <w:t xml:space="preserve">º </w:t>
            </w:r>
            <w:r>
              <w:rPr>
                <w:rFonts w:ascii="CAIXA Std Book" w:eastAsia="Times New Roman" w:hAnsi="CAIXA Std Book" w:cs="Calibri"/>
                <w:b/>
                <w:bCs/>
                <w:color w:val="FFFFFF"/>
                <w:sz w:val="18"/>
                <w:szCs w:val="18"/>
              </w:rPr>
              <w:t>trimestre</w:t>
            </w:r>
          </w:p>
        </w:tc>
        <w:tc>
          <w:tcPr>
            <w:tcW w:w="680" w:type="pct"/>
            <w:tcBorders>
              <w:top w:val="single" w:sz="4" w:space="0" w:color="FFFFFF" w:themeColor="background1"/>
              <w:left w:val="nil"/>
              <w:bottom w:val="nil"/>
              <w:right w:val="nil"/>
            </w:tcBorders>
            <w:shd w:val="clear" w:color="auto" w:fill="005CA9"/>
            <w:vAlign w:val="center"/>
            <w:hideMark/>
          </w:tcPr>
          <w:p w14:paraId="77AEC6A2" w14:textId="0CAAD074" w:rsidR="00EB00CB" w:rsidRPr="00EB00CB" w:rsidRDefault="00062732" w:rsidP="00EB00CB">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1</w:t>
            </w:r>
            <w:r w:rsidRPr="00EB00CB">
              <w:rPr>
                <w:rFonts w:ascii="CAIXA Std Book" w:eastAsia="Times New Roman" w:hAnsi="CAIXA Std Book" w:cs="Calibri"/>
                <w:b/>
                <w:bCs/>
                <w:color w:val="FFFFFF"/>
                <w:sz w:val="18"/>
                <w:szCs w:val="18"/>
              </w:rPr>
              <w:t xml:space="preserve">º </w:t>
            </w:r>
            <w:r>
              <w:rPr>
                <w:rFonts w:ascii="CAIXA Std Book" w:eastAsia="Times New Roman" w:hAnsi="CAIXA Std Book" w:cs="Calibri"/>
                <w:b/>
                <w:bCs/>
                <w:color w:val="FFFFFF"/>
                <w:sz w:val="18"/>
                <w:szCs w:val="18"/>
              </w:rPr>
              <w:t>trimestre</w:t>
            </w:r>
          </w:p>
        </w:tc>
        <w:tc>
          <w:tcPr>
            <w:tcW w:w="680" w:type="pct"/>
            <w:tcBorders>
              <w:top w:val="single" w:sz="4" w:space="0" w:color="FFFFFF" w:themeColor="background1"/>
              <w:left w:val="nil"/>
              <w:bottom w:val="nil"/>
              <w:right w:val="nil"/>
            </w:tcBorders>
            <w:shd w:val="clear" w:color="auto" w:fill="005CA9"/>
            <w:vAlign w:val="center"/>
            <w:hideMark/>
          </w:tcPr>
          <w:p w14:paraId="070739EE" w14:textId="2C8C712A" w:rsidR="00EB00CB" w:rsidRPr="00EB00CB" w:rsidRDefault="00062732" w:rsidP="00EB00CB">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1</w:t>
            </w:r>
            <w:r w:rsidRPr="00EB00CB">
              <w:rPr>
                <w:rFonts w:ascii="CAIXA Std Book" w:eastAsia="Times New Roman" w:hAnsi="CAIXA Std Book" w:cs="Calibri"/>
                <w:b/>
                <w:bCs/>
                <w:color w:val="FFFFFF"/>
                <w:sz w:val="18"/>
                <w:szCs w:val="18"/>
              </w:rPr>
              <w:t xml:space="preserve">º </w:t>
            </w:r>
            <w:r>
              <w:rPr>
                <w:rFonts w:ascii="CAIXA Std Book" w:eastAsia="Times New Roman" w:hAnsi="CAIXA Std Book" w:cs="Calibri"/>
                <w:b/>
                <w:bCs/>
                <w:color w:val="FFFFFF"/>
                <w:sz w:val="18"/>
                <w:szCs w:val="18"/>
              </w:rPr>
              <w:t>trimestre</w:t>
            </w:r>
          </w:p>
        </w:tc>
        <w:tc>
          <w:tcPr>
            <w:tcW w:w="680" w:type="pct"/>
            <w:tcBorders>
              <w:top w:val="single" w:sz="4" w:space="0" w:color="FFFFFF" w:themeColor="background1"/>
              <w:left w:val="nil"/>
              <w:bottom w:val="nil"/>
              <w:right w:val="nil"/>
            </w:tcBorders>
            <w:shd w:val="clear" w:color="auto" w:fill="005CA9"/>
            <w:vAlign w:val="center"/>
            <w:hideMark/>
          </w:tcPr>
          <w:p w14:paraId="3B46035A" w14:textId="3D43C826" w:rsidR="00EB00CB" w:rsidRPr="00EB00CB" w:rsidRDefault="00062732" w:rsidP="00EB00CB">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1</w:t>
            </w:r>
            <w:r w:rsidRPr="00EB00CB">
              <w:rPr>
                <w:rFonts w:ascii="CAIXA Std Book" w:eastAsia="Times New Roman" w:hAnsi="CAIXA Std Book" w:cs="Calibri"/>
                <w:b/>
                <w:bCs/>
                <w:color w:val="FFFFFF"/>
                <w:sz w:val="18"/>
                <w:szCs w:val="18"/>
              </w:rPr>
              <w:t xml:space="preserve">º </w:t>
            </w:r>
            <w:r>
              <w:rPr>
                <w:rFonts w:ascii="CAIXA Std Book" w:eastAsia="Times New Roman" w:hAnsi="CAIXA Std Book" w:cs="Calibri"/>
                <w:b/>
                <w:bCs/>
                <w:color w:val="FFFFFF"/>
                <w:sz w:val="18"/>
                <w:szCs w:val="18"/>
              </w:rPr>
              <w:t>trimestre</w:t>
            </w:r>
          </w:p>
        </w:tc>
      </w:tr>
      <w:tr w:rsidR="00805005" w:rsidRPr="00EB00CB" w14:paraId="3011B4FB" w14:textId="77777777" w:rsidTr="00686021">
        <w:trPr>
          <w:trHeight w:val="283"/>
        </w:trPr>
        <w:tc>
          <w:tcPr>
            <w:tcW w:w="2281" w:type="pct"/>
            <w:tcBorders>
              <w:top w:val="nil"/>
              <w:left w:val="nil"/>
              <w:bottom w:val="nil"/>
              <w:right w:val="nil"/>
            </w:tcBorders>
            <w:shd w:val="clear" w:color="auto" w:fill="D0E0E3"/>
            <w:noWrap/>
            <w:vAlign w:val="center"/>
            <w:hideMark/>
          </w:tcPr>
          <w:p w14:paraId="53AE920D" w14:textId="77777777" w:rsidR="00EB00CB" w:rsidRPr="00EB00CB" w:rsidRDefault="00EB00CB" w:rsidP="00EB00CB">
            <w:pPr>
              <w:rPr>
                <w:rFonts w:ascii="CAIXA Std Book" w:eastAsia="Times New Roman" w:hAnsi="CAIXA Std Book" w:cs="Calibri"/>
                <w:b/>
                <w:bCs/>
                <w:color w:val="005CA9"/>
                <w:sz w:val="18"/>
                <w:szCs w:val="18"/>
              </w:rPr>
            </w:pPr>
            <w:r w:rsidRPr="00EB00CB">
              <w:rPr>
                <w:rFonts w:ascii="CAIXA Std Book" w:eastAsia="Times New Roman" w:hAnsi="CAIXA Std Book" w:cs="Calibri"/>
                <w:b/>
                <w:bCs/>
                <w:color w:val="005CA9"/>
                <w:sz w:val="18"/>
                <w:szCs w:val="18"/>
              </w:rPr>
              <w:t>Ao valor justo por meio do resultado</w:t>
            </w:r>
          </w:p>
        </w:tc>
        <w:tc>
          <w:tcPr>
            <w:tcW w:w="680" w:type="pct"/>
            <w:tcBorders>
              <w:top w:val="nil"/>
              <w:left w:val="nil"/>
              <w:bottom w:val="nil"/>
              <w:right w:val="nil"/>
            </w:tcBorders>
            <w:shd w:val="clear" w:color="auto" w:fill="D0E0E3"/>
            <w:noWrap/>
            <w:vAlign w:val="center"/>
          </w:tcPr>
          <w:p w14:paraId="6B25F01C" w14:textId="4ACA4B07" w:rsidR="00EB00CB" w:rsidRPr="00EB00CB" w:rsidRDefault="00002AE6" w:rsidP="00EB00CB">
            <w:pPr>
              <w:jc w:val="right"/>
              <w:rPr>
                <w:rFonts w:ascii="CAIXA Std Book" w:eastAsia="Times New Roman" w:hAnsi="CAIXA Std Book" w:cs="Calibri"/>
                <w:b/>
                <w:bCs/>
                <w:color w:val="005CA9"/>
                <w:sz w:val="18"/>
                <w:szCs w:val="18"/>
              </w:rPr>
            </w:pPr>
            <w:r w:rsidRPr="00C674D7">
              <w:rPr>
                <w:rFonts w:ascii="CAIXA Std Book" w:hAnsi="CAIXA Std Book" w:cs="Arial"/>
                <w:b/>
                <w:bCs/>
                <w:color w:val="005CA9"/>
                <w:sz w:val="18"/>
                <w:szCs w:val="18"/>
              </w:rPr>
              <w:t>(644.280)</w:t>
            </w:r>
          </w:p>
        </w:tc>
        <w:tc>
          <w:tcPr>
            <w:tcW w:w="680" w:type="pct"/>
            <w:tcBorders>
              <w:top w:val="nil"/>
              <w:left w:val="nil"/>
              <w:bottom w:val="nil"/>
              <w:right w:val="nil"/>
            </w:tcBorders>
            <w:shd w:val="clear" w:color="auto" w:fill="D0E0E3"/>
            <w:noWrap/>
            <w:vAlign w:val="center"/>
          </w:tcPr>
          <w:p w14:paraId="297957E3" w14:textId="2B8D6616" w:rsidR="00EB00CB" w:rsidRPr="00EB00CB" w:rsidRDefault="00DE6863" w:rsidP="00EB00CB">
            <w:pPr>
              <w:jc w:val="right"/>
              <w:rPr>
                <w:rFonts w:ascii="CAIXA Std Book" w:eastAsia="Times New Roman" w:hAnsi="CAIXA Std Book" w:cs="Calibri"/>
                <w:b/>
                <w:bCs/>
                <w:color w:val="005CA9"/>
                <w:sz w:val="18"/>
                <w:szCs w:val="18"/>
              </w:rPr>
            </w:pPr>
            <w:r w:rsidRPr="00827755">
              <w:rPr>
                <w:rFonts w:ascii="CAIXA Std Book" w:hAnsi="CAIXA Std Book" w:cs="Calibri"/>
                <w:b/>
                <w:bCs/>
                <w:color w:val="005CA9"/>
                <w:sz w:val="18"/>
                <w:szCs w:val="18"/>
              </w:rPr>
              <w:t>1.2</w:t>
            </w:r>
            <w:r>
              <w:rPr>
                <w:rFonts w:ascii="CAIXA Std Book" w:hAnsi="CAIXA Std Book" w:cs="Calibri"/>
                <w:b/>
                <w:bCs/>
                <w:color w:val="005CA9"/>
                <w:sz w:val="18"/>
                <w:szCs w:val="18"/>
              </w:rPr>
              <w:t>69</w:t>
            </w:r>
            <w:r w:rsidRPr="00827755">
              <w:rPr>
                <w:rFonts w:ascii="CAIXA Std Book" w:hAnsi="CAIXA Std Book" w:cs="Calibri"/>
                <w:b/>
                <w:bCs/>
                <w:color w:val="005CA9"/>
                <w:sz w:val="18"/>
                <w:szCs w:val="18"/>
              </w:rPr>
              <w:t>.</w:t>
            </w:r>
            <w:r>
              <w:rPr>
                <w:rFonts w:ascii="CAIXA Std Book" w:hAnsi="CAIXA Std Book" w:cs="Calibri"/>
                <w:b/>
                <w:bCs/>
                <w:color w:val="005CA9"/>
                <w:sz w:val="18"/>
                <w:szCs w:val="18"/>
              </w:rPr>
              <w:t>984</w:t>
            </w:r>
          </w:p>
        </w:tc>
        <w:tc>
          <w:tcPr>
            <w:tcW w:w="680" w:type="pct"/>
            <w:tcBorders>
              <w:top w:val="nil"/>
              <w:left w:val="nil"/>
              <w:bottom w:val="nil"/>
              <w:right w:val="nil"/>
            </w:tcBorders>
            <w:shd w:val="clear" w:color="auto" w:fill="D0E0E3"/>
            <w:vAlign w:val="center"/>
          </w:tcPr>
          <w:p w14:paraId="2F2D60BB" w14:textId="6BD27CC2" w:rsidR="00EB00CB" w:rsidRPr="00EB00CB" w:rsidRDefault="00193C39" w:rsidP="00EB00CB">
            <w:pPr>
              <w:jc w:val="right"/>
              <w:rPr>
                <w:rFonts w:ascii="CAIXA Std Book" w:eastAsia="Times New Roman" w:hAnsi="CAIXA Std Book" w:cs="Calibri"/>
                <w:b/>
                <w:bCs/>
                <w:color w:val="005CA9"/>
                <w:sz w:val="18"/>
                <w:szCs w:val="18"/>
              </w:rPr>
            </w:pPr>
            <w:r w:rsidRPr="00193C39">
              <w:rPr>
                <w:rFonts w:ascii="CAIXA Std Book" w:hAnsi="CAIXA Std Book" w:cs="Arial"/>
                <w:b/>
                <w:bCs/>
                <w:color w:val="005CA9"/>
                <w:sz w:val="18"/>
                <w:szCs w:val="18"/>
              </w:rPr>
              <w:t>(651.784)</w:t>
            </w:r>
          </w:p>
        </w:tc>
        <w:tc>
          <w:tcPr>
            <w:tcW w:w="680" w:type="pct"/>
            <w:tcBorders>
              <w:top w:val="nil"/>
              <w:left w:val="nil"/>
              <w:bottom w:val="nil"/>
              <w:right w:val="nil"/>
            </w:tcBorders>
            <w:shd w:val="clear" w:color="auto" w:fill="D0E0E3"/>
            <w:vAlign w:val="center"/>
          </w:tcPr>
          <w:p w14:paraId="7AE4A16C" w14:textId="2B28DCE5" w:rsidR="00EB00CB" w:rsidRPr="00EB00CB" w:rsidRDefault="00F005B5" w:rsidP="00EB00CB">
            <w:pPr>
              <w:jc w:val="right"/>
              <w:rPr>
                <w:rFonts w:ascii="CAIXA Std Book" w:eastAsia="Times New Roman" w:hAnsi="CAIXA Std Book" w:cs="Calibri"/>
                <w:b/>
                <w:bCs/>
                <w:color w:val="005CA9"/>
                <w:sz w:val="18"/>
                <w:szCs w:val="18"/>
              </w:rPr>
            </w:pPr>
            <w:r w:rsidRPr="0001095F">
              <w:rPr>
                <w:rFonts w:ascii="CAIXA Std Book" w:hAnsi="CAIXA Std Book" w:cs="Calibri"/>
                <w:b/>
                <w:color w:val="005CA9"/>
                <w:sz w:val="18"/>
                <w:szCs w:val="18"/>
              </w:rPr>
              <w:t>1.270.397</w:t>
            </w:r>
          </w:p>
        </w:tc>
      </w:tr>
      <w:tr w:rsidR="00805005" w:rsidRPr="00EB00CB" w14:paraId="277BB3B3" w14:textId="77777777" w:rsidTr="00686021">
        <w:trPr>
          <w:trHeight w:val="283"/>
        </w:trPr>
        <w:tc>
          <w:tcPr>
            <w:tcW w:w="2281" w:type="pct"/>
            <w:tcBorders>
              <w:top w:val="nil"/>
              <w:left w:val="nil"/>
              <w:bottom w:val="nil"/>
              <w:right w:val="nil"/>
            </w:tcBorders>
            <w:noWrap/>
            <w:vAlign w:val="center"/>
            <w:hideMark/>
          </w:tcPr>
          <w:p w14:paraId="3258C7B1" w14:textId="77777777" w:rsidR="00EB00CB" w:rsidRPr="00EB00CB" w:rsidRDefault="00EB00CB" w:rsidP="00EB00CB">
            <w:pPr>
              <w:ind w:firstLineChars="100" w:firstLine="180"/>
              <w:rPr>
                <w:rFonts w:ascii="CAIXA Std Book" w:eastAsia="Times New Roman" w:hAnsi="CAIXA Std Book" w:cs="Calibri"/>
                <w:color w:val="005CA9"/>
                <w:sz w:val="18"/>
                <w:szCs w:val="18"/>
              </w:rPr>
            </w:pPr>
            <w:r w:rsidRPr="00EB00CB">
              <w:rPr>
                <w:rFonts w:ascii="CAIXA Std Book" w:eastAsia="Times New Roman" w:hAnsi="CAIXA Std Book" w:cs="Calibri"/>
                <w:color w:val="005CA9"/>
                <w:sz w:val="18"/>
                <w:szCs w:val="18"/>
              </w:rPr>
              <w:t>Títulos públicos federais brasileiros</w:t>
            </w:r>
          </w:p>
        </w:tc>
        <w:tc>
          <w:tcPr>
            <w:tcW w:w="680" w:type="pct"/>
            <w:tcBorders>
              <w:top w:val="nil"/>
              <w:left w:val="nil"/>
              <w:bottom w:val="nil"/>
              <w:right w:val="nil"/>
            </w:tcBorders>
            <w:noWrap/>
            <w:vAlign w:val="center"/>
            <w:hideMark/>
          </w:tcPr>
          <w:p w14:paraId="12F1A838" w14:textId="3A13C43B" w:rsidR="00EB00CB" w:rsidRPr="00EB00CB" w:rsidRDefault="00FD0824" w:rsidP="00FD0824">
            <w:pPr>
              <w:jc w:val="right"/>
              <w:rPr>
                <w:rFonts w:ascii="CAIXA Std Book" w:eastAsia="Times New Roman" w:hAnsi="CAIXA Std Book" w:cs="Calibri"/>
                <w:color w:val="005CA9"/>
                <w:sz w:val="18"/>
                <w:szCs w:val="18"/>
              </w:rPr>
            </w:pPr>
            <w:r w:rsidRPr="00C674D7">
              <w:rPr>
                <w:rFonts w:ascii="CAIXA Std Book" w:hAnsi="CAIXA Std Book" w:cs="Arial"/>
                <w:color w:val="005CA9"/>
                <w:sz w:val="18"/>
                <w:szCs w:val="18"/>
              </w:rPr>
              <w:t>(637.099)</w:t>
            </w:r>
          </w:p>
        </w:tc>
        <w:tc>
          <w:tcPr>
            <w:tcW w:w="680" w:type="pct"/>
            <w:tcBorders>
              <w:top w:val="nil"/>
              <w:left w:val="nil"/>
              <w:bottom w:val="nil"/>
              <w:right w:val="nil"/>
            </w:tcBorders>
            <w:noWrap/>
            <w:vAlign w:val="center"/>
            <w:hideMark/>
          </w:tcPr>
          <w:p w14:paraId="5BCF3ACB" w14:textId="6A921BB4" w:rsidR="00EB00CB" w:rsidRPr="00EB00CB" w:rsidRDefault="00DE6863" w:rsidP="00EB00CB">
            <w:pPr>
              <w:ind w:firstLineChars="100" w:firstLine="180"/>
              <w:jc w:val="right"/>
              <w:rPr>
                <w:rFonts w:ascii="CAIXA Std Book" w:eastAsia="Times New Roman" w:hAnsi="CAIXA Std Book" w:cs="Calibri"/>
                <w:color w:val="005CA9"/>
                <w:sz w:val="18"/>
                <w:szCs w:val="18"/>
              </w:rPr>
            </w:pPr>
            <w:r w:rsidRPr="002D18B9">
              <w:rPr>
                <w:rFonts w:ascii="CAIXA Std Book" w:hAnsi="CAIXA Std Book" w:cs="Arial"/>
                <w:color w:val="005CA9"/>
                <w:sz w:val="18"/>
                <w:szCs w:val="18"/>
              </w:rPr>
              <w:t>1.410.305</w:t>
            </w:r>
          </w:p>
        </w:tc>
        <w:tc>
          <w:tcPr>
            <w:tcW w:w="680" w:type="pct"/>
            <w:tcBorders>
              <w:top w:val="nil"/>
              <w:left w:val="nil"/>
              <w:bottom w:val="nil"/>
              <w:right w:val="nil"/>
            </w:tcBorders>
            <w:vAlign w:val="center"/>
            <w:hideMark/>
          </w:tcPr>
          <w:p w14:paraId="380F5E68" w14:textId="1573106D" w:rsidR="00EB00CB" w:rsidRPr="00EB00CB" w:rsidRDefault="00193C39" w:rsidP="00EB00CB">
            <w:pPr>
              <w:jc w:val="right"/>
              <w:rPr>
                <w:rFonts w:ascii="CAIXA Std Book" w:eastAsia="Times New Roman" w:hAnsi="CAIXA Std Book" w:cs="Calibri"/>
                <w:color w:val="005CA9"/>
                <w:sz w:val="18"/>
                <w:szCs w:val="18"/>
              </w:rPr>
            </w:pPr>
            <w:r w:rsidRPr="00193C39">
              <w:rPr>
                <w:rFonts w:ascii="CAIXA Std Book" w:hAnsi="CAIXA Std Book" w:cs="Arial"/>
                <w:color w:val="005CA9"/>
                <w:sz w:val="18"/>
                <w:szCs w:val="18"/>
              </w:rPr>
              <w:t>(644.603)</w:t>
            </w:r>
          </w:p>
        </w:tc>
        <w:tc>
          <w:tcPr>
            <w:tcW w:w="680" w:type="pct"/>
            <w:tcBorders>
              <w:top w:val="nil"/>
              <w:left w:val="nil"/>
              <w:bottom w:val="nil"/>
              <w:right w:val="nil"/>
            </w:tcBorders>
            <w:vAlign w:val="center"/>
            <w:hideMark/>
          </w:tcPr>
          <w:p w14:paraId="40A57B65" w14:textId="59AEFFCD" w:rsidR="00EB00CB" w:rsidRPr="00EB00CB" w:rsidRDefault="00F005B5" w:rsidP="00EB00CB">
            <w:pPr>
              <w:jc w:val="right"/>
              <w:rPr>
                <w:rFonts w:ascii="CAIXA Std Book" w:eastAsia="Times New Roman" w:hAnsi="CAIXA Std Book" w:cs="Calibri"/>
                <w:color w:val="005CA9"/>
                <w:sz w:val="18"/>
                <w:szCs w:val="18"/>
              </w:rPr>
            </w:pPr>
            <w:r w:rsidRPr="004635C9">
              <w:rPr>
                <w:rFonts w:ascii="CAIXA Std Book" w:hAnsi="CAIXA Std Book" w:cs="Arial"/>
                <w:color w:val="005CA9"/>
                <w:sz w:val="18"/>
                <w:szCs w:val="18"/>
              </w:rPr>
              <w:t>1.410.</w:t>
            </w:r>
            <w:r>
              <w:rPr>
                <w:rFonts w:ascii="CAIXA Std Book" w:hAnsi="CAIXA Std Book" w:cs="Arial"/>
                <w:color w:val="005CA9"/>
                <w:sz w:val="18"/>
                <w:szCs w:val="18"/>
              </w:rPr>
              <w:t>718</w:t>
            </w:r>
          </w:p>
        </w:tc>
      </w:tr>
      <w:tr w:rsidR="00805005" w:rsidRPr="00EB00CB" w14:paraId="67C3195C" w14:textId="77777777" w:rsidTr="00686021">
        <w:trPr>
          <w:trHeight w:val="283"/>
        </w:trPr>
        <w:tc>
          <w:tcPr>
            <w:tcW w:w="2281" w:type="pct"/>
            <w:tcBorders>
              <w:top w:val="nil"/>
              <w:left w:val="nil"/>
              <w:bottom w:val="nil"/>
              <w:right w:val="nil"/>
            </w:tcBorders>
            <w:noWrap/>
            <w:vAlign w:val="center"/>
            <w:hideMark/>
          </w:tcPr>
          <w:p w14:paraId="4FA9A3FB" w14:textId="77777777" w:rsidR="00EB00CB" w:rsidRPr="00EB00CB" w:rsidRDefault="00EB00CB" w:rsidP="00EB00CB">
            <w:pPr>
              <w:ind w:firstLineChars="100" w:firstLine="180"/>
              <w:rPr>
                <w:rFonts w:ascii="CAIXA Std Book" w:eastAsia="Times New Roman" w:hAnsi="CAIXA Std Book" w:cs="Calibri"/>
                <w:color w:val="005CA9"/>
                <w:sz w:val="18"/>
                <w:szCs w:val="18"/>
              </w:rPr>
            </w:pPr>
            <w:r w:rsidRPr="00EB00CB">
              <w:rPr>
                <w:rFonts w:ascii="CAIXA Std Book" w:eastAsia="Times New Roman" w:hAnsi="CAIXA Std Book" w:cs="Calibri"/>
                <w:color w:val="005CA9"/>
                <w:sz w:val="18"/>
                <w:szCs w:val="18"/>
              </w:rPr>
              <w:t>Títulos privados de instituições financeiras</w:t>
            </w:r>
          </w:p>
        </w:tc>
        <w:tc>
          <w:tcPr>
            <w:tcW w:w="680" w:type="pct"/>
            <w:tcBorders>
              <w:top w:val="nil"/>
              <w:left w:val="nil"/>
              <w:bottom w:val="nil"/>
              <w:right w:val="nil"/>
            </w:tcBorders>
            <w:noWrap/>
            <w:vAlign w:val="center"/>
            <w:hideMark/>
          </w:tcPr>
          <w:p w14:paraId="3A04B8BD" w14:textId="2E32A0D4" w:rsidR="00EB00CB" w:rsidRPr="00EB00CB" w:rsidRDefault="00FD0824" w:rsidP="005C26D9">
            <w:pPr>
              <w:jc w:val="right"/>
              <w:rPr>
                <w:rFonts w:ascii="CAIXA Std Book" w:eastAsia="Times New Roman" w:hAnsi="CAIXA Std Book" w:cs="Calibri"/>
                <w:color w:val="005CA9"/>
                <w:sz w:val="18"/>
                <w:szCs w:val="18"/>
              </w:rPr>
            </w:pPr>
            <w:r w:rsidRPr="00C674D7">
              <w:rPr>
                <w:rFonts w:ascii="CAIXA Std Book" w:hAnsi="CAIXA Std Book" w:cs="Arial"/>
                <w:color w:val="005CA9"/>
                <w:sz w:val="18"/>
                <w:szCs w:val="18"/>
              </w:rPr>
              <w:t>109</w:t>
            </w:r>
          </w:p>
        </w:tc>
        <w:tc>
          <w:tcPr>
            <w:tcW w:w="680" w:type="pct"/>
            <w:tcBorders>
              <w:top w:val="nil"/>
              <w:left w:val="nil"/>
              <w:bottom w:val="nil"/>
              <w:right w:val="nil"/>
            </w:tcBorders>
            <w:noWrap/>
            <w:vAlign w:val="center"/>
            <w:hideMark/>
          </w:tcPr>
          <w:p w14:paraId="622FFB5B" w14:textId="023DADB3" w:rsidR="00EB00CB" w:rsidRPr="00EB00CB" w:rsidRDefault="00DE6863" w:rsidP="00EB00CB">
            <w:pPr>
              <w:ind w:firstLineChars="100" w:firstLine="180"/>
              <w:jc w:val="right"/>
              <w:rPr>
                <w:rFonts w:ascii="CAIXA Std Book" w:eastAsia="Times New Roman" w:hAnsi="CAIXA Std Book" w:cs="Calibri"/>
                <w:color w:val="005CA9"/>
                <w:sz w:val="18"/>
                <w:szCs w:val="18"/>
              </w:rPr>
            </w:pPr>
            <w:r w:rsidRPr="002D18B9">
              <w:rPr>
                <w:rFonts w:ascii="CAIXA Std Book" w:hAnsi="CAIXA Std Book" w:cs="Arial"/>
                <w:color w:val="005CA9"/>
                <w:sz w:val="18"/>
                <w:szCs w:val="18"/>
              </w:rPr>
              <w:t>227</w:t>
            </w:r>
          </w:p>
        </w:tc>
        <w:tc>
          <w:tcPr>
            <w:tcW w:w="680" w:type="pct"/>
            <w:tcBorders>
              <w:top w:val="nil"/>
              <w:left w:val="nil"/>
              <w:bottom w:val="nil"/>
              <w:right w:val="nil"/>
            </w:tcBorders>
            <w:vAlign w:val="center"/>
            <w:hideMark/>
          </w:tcPr>
          <w:p w14:paraId="65CAC3F3" w14:textId="7DE2E207" w:rsidR="00EB00CB" w:rsidRPr="00EB00CB" w:rsidRDefault="00193C39" w:rsidP="00EB00CB">
            <w:pPr>
              <w:jc w:val="right"/>
              <w:rPr>
                <w:rFonts w:ascii="CAIXA Std Book" w:eastAsia="Times New Roman" w:hAnsi="CAIXA Std Book" w:cs="Calibri"/>
                <w:color w:val="005CA9"/>
                <w:sz w:val="18"/>
                <w:szCs w:val="18"/>
              </w:rPr>
            </w:pPr>
            <w:r w:rsidRPr="00193C39">
              <w:rPr>
                <w:rFonts w:ascii="CAIXA Std Book" w:hAnsi="CAIXA Std Book" w:cs="Arial"/>
                <w:color w:val="005CA9"/>
                <w:sz w:val="18"/>
                <w:szCs w:val="18"/>
              </w:rPr>
              <w:t>109</w:t>
            </w:r>
          </w:p>
        </w:tc>
        <w:tc>
          <w:tcPr>
            <w:tcW w:w="680" w:type="pct"/>
            <w:tcBorders>
              <w:top w:val="nil"/>
              <w:left w:val="nil"/>
              <w:bottom w:val="nil"/>
              <w:right w:val="nil"/>
            </w:tcBorders>
            <w:vAlign w:val="center"/>
            <w:hideMark/>
          </w:tcPr>
          <w:p w14:paraId="2ECC1EB7" w14:textId="299847AC" w:rsidR="00EB00CB" w:rsidRPr="00EB00CB" w:rsidRDefault="00F005B5" w:rsidP="00EB00CB">
            <w:pPr>
              <w:jc w:val="right"/>
              <w:rPr>
                <w:rFonts w:ascii="CAIXA Std Book" w:eastAsia="Times New Roman" w:hAnsi="CAIXA Std Book" w:cs="Calibri"/>
                <w:color w:val="005CA9"/>
                <w:sz w:val="18"/>
                <w:szCs w:val="18"/>
              </w:rPr>
            </w:pPr>
            <w:r w:rsidRPr="004635C9">
              <w:rPr>
                <w:rFonts w:ascii="CAIXA Std Book" w:hAnsi="CAIXA Std Book" w:cs="Arial"/>
                <w:color w:val="005CA9"/>
                <w:sz w:val="18"/>
                <w:szCs w:val="18"/>
              </w:rPr>
              <w:t>227</w:t>
            </w:r>
          </w:p>
        </w:tc>
      </w:tr>
      <w:tr w:rsidR="00805005" w:rsidRPr="00EB00CB" w14:paraId="1D02D4EB" w14:textId="77777777" w:rsidTr="00686021">
        <w:trPr>
          <w:trHeight w:val="283"/>
        </w:trPr>
        <w:tc>
          <w:tcPr>
            <w:tcW w:w="2281" w:type="pct"/>
            <w:tcBorders>
              <w:top w:val="nil"/>
              <w:left w:val="nil"/>
              <w:bottom w:val="nil"/>
              <w:right w:val="nil"/>
            </w:tcBorders>
            <w:noWrap/>
            <w:vAlign w:val="center"/>
            <w:hideMark/>
          </w:tcPr>
          <w:p w14:paraId="42B0D82E" w14:textId="77777777" w:rsidR="00EB00CB" w:rsidRPr="00EB00CB" w:rsidRDefault="00EB00CB" w:rsidP="00EB00CB">
            <w:pPr>
              <w:ind w:firstLineChars="100" w:firstLine="180"/>
              <w:rPr>
                <w:rFonts w:ascii="CAIXA Std Book" w:eastAsia="Times New Roman" w:hAnsi="CAIXA Std Book" w:cs="Calibri"/>
                <w:color w:val="005CA9"/>
                <w:sz w:val="18"/>
                <w:szCs w:val="18"/>
              </w:rPr>
            </w:pPr>
            <w:r w:rsidRPr="00EB00CB">
              <w:rPr>
                <w:rFonts w:ascii="CAIXA Std Book" w:eastAsia="Times New Roman" w:hAnsi="CAIXA Std Book" w:cs="Calibri"/>
                <w:color w:val="005CA9"/>
                <w:sz w:val="18"/>
                <w:szCs w:val="18"/>
              </w:rPr>
              <w:t xml:space="preserve">Títulos privados de entidades não financeiras </w:t>
            </w:r>
          </w:p>
        </w:tc>
        <w:tc>
          <w:tcPr>
            <w:tcW w:w="680" w:type="pct"/>
            <w:tcBorders>
              <w:top w:val="nil"/>
              <w:left w:val="nil"/>
              <w:bottom w:val="nil"/>
              <w:right w:val="nil"/>
            </w:tcBorders>
            <w:noWrap/>
            <w:vAlign w:val="center"/>
            <w:hideMark/>
          </w:tcPr>
          <w:p w14:paraId="15623CEC" w14:textId="1F43895D" w:rsidR="00EB00CB" w:rsidRPr="00EB00CB" w:rsidRDefault="00574C20" w:rsidP="00574C20">
            <w:pPr>
              <w:jc w:val="right"/>
              <w:rPr>
                <w:rFonts w:ascii="CAIXA Std Book" w:eastAsia="Times New Roman" w:hAnsi="CAIXA Std Book" w:cs="Calibri"/>
                <w:color w:val="005CA9"/>
                <w:sz w:val="18"/>
                <w:szCs w:val="18"/>
              </w:rPr>
            </w:pPr>
            <w:r w:rsidRPr="00C674D7">
              <w:rPr>
                <w:rFonts w:ascii="CAIXA Std Book" w:hAnsi="CAIXA Std Book" w:cs="Arial"/>
                <w:color w:val="005CA9"/>
                <w:sz w:val="18"/>
                <w:szCs w:val="18"/>
              </w:rPr>
              <w:t>(61.620)</w:t>
            </w:r>
          </w:p>
        </w:tc>
        <w:tc>
          <w:tcPr>
            <w:tcW w:w="680" w:type="pct"/>
            <w:tcBorders>
              <w:top w:val="nil"/>
              <w:left w:val="nil"/>
              <w:bottom w:val="nil"/>
              <w:right w:val="nil"/>
            </w:tcBorders>
            <w:noWrap/>
            <w:vAlign w:val="center"/>
            <w:hideMark/>
          </w:tcPr>
          <w:p w14:paraId="74C7E5E6" w14:textId="133D4F52" w:rsidR="00EB00CB" w:rsidRPr="00EB00CB" w:rsidRDefault="00DE6863" w:rsidP="00EB00CB">
            <w:pPr>
              <w:ind w:firstLineChars="100" w:firstLine="180"/>
              <w:jc w:val="right"/>
              <w:rPr>
                <w:rFonts w:ascii="CAIXA Std Book" w:eastAsia="Times New Roman" w:hAnsi="CAIXA Std Book" w:cs="Calibri"/>
                <w:color w:val="005CA9"/>
                <w:sz w:val="18"/>
                <w:szCs w:val="18"/>
              </w:rPr>
            </w:pPr>
            <w:r w:rsidRPr="002D18B9">
              <w:rPr>
                <w:rFonts w:ascii="CAIXA Std Book" w:hAnsi="CAIXA Std Book" w:cs="Arial"/>
                <w:color w:val="005CA9"/>
                <w:sz w:val="18"/>
                <w:szCs w:val="18"/>
              </w:rPr>
              <w:t>(13.579)</w:t>
            </w:r>
          </w:p>
        </w:tc>
        <w:tc>
          <w:tcPr>
            <w:tcW w:w="680" w:type="pct"/>
            <w:tcBorders>
              <w:top w:val="nil"/>
              <w:left w:val="nil"/>
              <w:bottom w:val="nil"/>
              <w:right w:val="nil"/>
            </w:tcBorders>
            <w:vAlign w:val="center"/>
            <w:hideMark/>
          </w:tcPr>
          <w:p w14:paraId="33CBA34A" w14:textId="040627F3" w:rsidR="00EB00CB" w:rsidRPr="00EB00CB" w:rsidRDefault="00193C39" w:rsidP="00EB00CB">
            <w:pPr>
              <w:jc w:val="right"/>
              <w:rPr>
                <w:rFonts w:ascii="CAIXA Std Book" w:eastAsia="Times New Roman" w:hAnsi="CAIXA Std Book" w:cs="Calibri"/>
                <w:color w:val="005CA9"/>
                <w:sz w:val="18"/>
                <w:szCs w:val="18"/>
              </w:rPr>
            </w:pPr>
            <w:r w:rsidRPr="00193C39">
              <w:rPr>
                <w:rFonts w:ascii="CAIXA Std Book" w:hAnsi="CAIXA Std Book" w:cs="Arial"/>
                <w:color w:val="005CA9"/>
                <w:sz w:val="18"/>
                <w:szCs w:val="18"/>
              </w:rPr>
              <w:t>(61.620)</w:t>
            </w:r>
          </w:p>
        </w:tc>
        <w:tc>
          <w:tcPr>
            <w:tcW w:w="680" w:type="pct"/>
            <w:tcBorders>
              <w:top w:val="nil"/>
              <w:left w:val="nil"/>
              <w:bottom w:val="nil"/>
              <w:right w:val="nil"/>
            </w:tcBorders>
            <w:vAlign w:val="center"/>
            <w:hideMark/>
          </w:tcPr>
          <w:p w14:paraId="264415BE" w14:textId="5202500C" w:rsidR="00EB00CB" w:rsidRPr="00EB00CB" w:rsidRDefault="00F005B5" w:rsidP="00EB00CB">
            <w:pPr>
              <w:jc w:val="right"/>
              <w:rPr>
                <w:rFonts w:ascii="CAIXA Std Book" w:eastAsia="Times New Roman" w:hAnsi="CAIXA Std Book" w:cs="Calibri"/>
                <w:color w:val="005CA9"/>
                <w:sz w:val="18"/>
                <w:szCs w:val="18"/>
              </w:rPr>
            </w:pPr>
            <w:r w:rsidRPr="004635C9">
              <w:rPr>
                <w:rFonts w:ascii="CAIXA Std Book" w:hAnsi="CAIXA Std Book" w:cs="Arial"/>
                <w:color w:val="005CA9"/>
                <w:sz w:val="18"/>
                <w:szCs w:val="18"/>
              </w:rPr>
              <w:t>(13.579)</w:t>
            </w:r>
          </w:p>
        </w:tc>
      </w:tr>
      <w:tr w:rsidR="00805005" w:rsidRPr="00EB00CB" w14:paraId="2497691D" w14:textId="77777777" w:rsidTr="00686021">
        <w:trPr>
          <w:trHeight w:val="283"/>
        </w:trPr>
        <w:tc>
          <w:tcPr>
            <w:tcW w:w="2281" w:type="pct"/>
            <w:tcBorders>
              <w:top w:val="nil"/>
              <w:left w:val="nil"/>
              <w:bottom w:val="nil"/>
              <w:right w:val="nil"/>
            </w:tcBorders>
            <w:noWrap/>
            <w:vAlign w:val="center"/>
            <w:hideMark/>
          </w:tcPr>
          <w:p w14:paraId="10AF0C5F" w14:textId="77777777" w:rsidR="00EB00CB" w:rsidRPr="00EB00CB" w:rsidRDefault="00EB00CB" w:rsidP="00EB00CB">
            <w:pPr>
              <w:ind w:firstLineChars="100" w:firstLine="180"/>
              <w:rPr>
                <w:rFonts w:ascii="CAIXA Std Book" w:eastAsia="Times New Roman" w:hAnsi="CAIXA Std Book" w:cs="Calibri"/>
                <w:color w:val="005CA9"/>
                <w:sz w:val="18"/>
                <w:szCs w:val="18"/>
              </w:rPr>
            </w:pPr>
            <w:r w:rsidRPr="00EB00CB">
              <w:rPr>
                <w:rFonts w:ascii="CAIXA Std Book" w:eastAsia="Times New Roman" w:hAnsi="CAIXA Std Book" w:cs="Calibri"/>
                <w:color w:val="005CA9"/>
                <w:sz w:val="18"/>
                <w:szCs w:val="18"/>
              </w:rPr>
              <w:t>Cotas de fundo de investimento</w:t>
            </w:r>
          </w:p>
        </w:tc>
        <w:tc>
          <w:tcPr>
            <w:tcW w:w="680" w:type="pct"/>
            <w:tcBorders>
              <w:top w:val="nil"/>
              <w:left w:val="nil"/>
              <w:bottom w:val="nil"/>
              <w:right w:val="nil"/>
            </w:tcBorders>
            <w:noWrap/>
            <w:vAlign w:val="center"/>
            <w:hideMark/>
          </w:tcPr>
          <w:p w14:paraId="267A598D" w14:textId="51278FFF" w:rsidR="00EB00CB" w:rsidRPr="00EB00CB" w:rsidRDefault="002F0039" w:rsidP="005C26D9">
            <w:pPr>
              <w:jc w:val="right"/>
              <w:rPr>
                <w:rFonts w:ascii="CAIXA Std Book" w:eastAsia="Times New Roman" w:hAnsi="CAIXA Std Book" w:cs="Calibri"/>
                <w:color w:val="005CA9"/>
                <w:sz w:val="18"/>
                <w:szCs w:val="18"/>
              </w:rPr>
            </w:pPr>
            <w:r w:rsidRPr="00C674D7">
              <w:rPr>
                <w:rFonts w:ascii="CAIXA Std Book" w:hAnsi="CAIXA Std Book" w:cs="Arial"/>
                <w:color w:val="005CA9"/>
                <w:sz w:val="18"/>
                <w:szCs w:val="18"/>
              </w:rPr>
              <w:t>5.346</w:t>
            </w:r>
          </w:p>
        </w:tc>
        <w:tc>
          <w:tcPr>
            <w:tcW w:w="680" w:type="pct"/>
            <w:tcBorders>
              <w:top w:val="nil"/>
              <w:left w:val="nil"/>
              <w:bottom w:val="nil"/>
              <w:right w:val="nil"/>
            </w:tcBorders>
            <w:noWrap/>
            <w:vAlign w:val="center"/>
            <w:hideMark/>
          </w:tcPr>
          <w:p w14:paraId="3ECA432D" w14:textId="5D3AD879" w:rsidR="00EB00CB" w:rsidRPr="00EB00CB" w:rsidRDefault="00F44F05" w:rsidP="00F44F05">
            <w:pPr>
              <w:ind w:firstLineChars="100" w:firstLine="180"/>
              <w:jc w:val="cente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w:t>
            </w:r>
          </w:p>
        </w:tc>
        <w:tc>
          <w:tcPr>
            <w:tcW w:w="680" w:type="pct"/>
            <w:tcBorders>
              <w:top w:val="nil"/>
              <w:left w:val="nil"/>
              <w:bottom w:val="nil"/>
              <w:right w:val="nil"/>
            </w:tcBorders>
            <w:vAlign w:val="center"/>
            <w:hideMark/>
          </w:tcPr>
          <w:p w14:paraId="707FDDBA" w14:textId="069D1D5B" w:rsidR="00EB00CB" w:rsidRPr="00EB00CB" w:rsidRDefault="00E808DB" w:rsidP="00EB00CB">
            <w:pPr>
              <w:jc w:val="right"/>
              <w:rPr>
                <w:rFonts w:ascii="CAIXA Std Book" w:eastAsia="Times New Roman" w:hAnsi="CAIXA Std Book" w:cs="Calibri"/>
                <w:color w:val="005CA9"/>
                <w:sz w:val="18"/>
                <w:szCs w:val="18"/>
              </w:rPr>
            </w:pPr>
            <w:r w:rsidRPr="00E808DB">
              <w:rPr>
                <w:rFonts w:ascii="CAIXA Std Book" w:hAnsi="CAIXA Std Book" w:cs="Arial"/>
                <w:color w:val="005CA9"/>
                <w:sz w:val="18"/>
                <w:szCs w:val="18"/>
              </w:rPr>
              <w:t>5.346</w:t>
            </w:r>
          </w:p>
        </w:tc>
        <w:tc>
          <w:tcPr>
            <w:tcW w:w="680" w:type="pct"/>
            <w:tcBorders>
              <w:top w:val="nil"/>
              <w:left w:val="nil"/>
              <w:bottom w:val="nil"/>
              <w:right w:val="nil"/>
            </w:tcBorders>
            <w:vAlign w:val="center"/>
            <w:hideMark/>
          </w:tcPr>
          <w:p w14:paraId="746A143D" w14:textId="37D9C000" w:rsidR="00EB00CB" w:rsidRPr="00EB00CB" w:rsidRDefault="00850CA1" w:rsidP="00850CA1">
            <w:pPr>
              <w:jc w:val="cente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w:t>
            </w:r>
          </w:p>
        </w:tc>
      </w:tr>
      <w:tr w:rsidR="00805005" w:rsidRPr="00EB00CB" w14:paraId="2EEE8DC8" w14:textId="77777777" w:rsidTr="00686021">
        <w:trPr>
          <w:trHeight w:val="283"/>
        </w:trPr>
        <w:tc>
          <w:tcPr>
            <w:tcW w:w="2281" w:type="pct"/>
            <w:tcBorders>
              <w:top w:val="nil"/>
              <w:left w:val="nil"/>
              <w:bottom w:val="nil"/>
              <w:right w:val="nil"/>
            </w:tcBorders>
            <w:noWrap/>
            <w:vAlign w:val="center"/>
            <w:hideMark/>
          </w:tcPr>
          <w:p w14:paraId="5FA8483D" w14:textId="77777777" w:rsidR="00EB00CB" w:rsidRPr="00EB00CB" w:rsidRDefault="00EB00CB" w:rsidP="00EB00CB">
            <w:pPr>
              <w:ind w:firstLineChars="100" w:firstLine="180"/>
              <w:rPr>
                <w:rFonts w:ascii="CAIXA Std Book" w:eastAsia="Times New Roman" w:hAnsi="CAIXA Std Book" w:cs="Calibri"/>
                <w:color w:val="005CA9"/>
                <w:sz w:val="18"/>
                <w:szCs w:val="18"/>
              </w:rPr>
            </w:pPr>
            <w:r w:rsidRPr="00EB00CB">
              <w:rPr>
                <w:rFonts w:ascii="CAIXA Std Book" w:eastAsia="Times New Roman" w:hAnsi="CAIXA Std Book" w:cs="Calibri"/>
                <w:color w:val="005CA9"/>
                <w:sz w:val="18"/>
                <w:szCs w:val="18"/>
              </w:rPr>
              <w:t>Ações</w:t>
            </w:r>
          </w:p>
        </w:tc>
        <w:tc>
          <w:tcPr>
            <w:tcW w:w="680" w:type="pct"/>
            <w:tcBorders>
              <w:top w:val="nil"/>
              <w:left w:val="nil"/>
              <w:bottom w:val="nil"/>
              <w:right w:val="nil"/>
            </w:tcBorders>
            <w:noWrap/>
            <w:vAlign w:val="center"/>
            <w:hideMark/>
          </w:tcPr>
          <w:p w14:paraId="55E829AB" w14:textId="7A5CF5E2" w:rsidR="00EB00CB" w:rsidRPr="00EB00CB" w:rsidRDefault="002F0039" w:rsidP="002F0039">
            <w:pPr>
              <w:jc w:val="right"/>
              <w:rPr>
                <w:rFonts w:ascii="CAIXA Std Book" w:eastAsia="Times New Roman" w:hAnsi="CAIXA Std Book" w:cs="Calibri"/>
                <w:color w:val="005CA9"/>
                <w:sz w:val="18"/>
                <w:szCs w:val="18"/>
              </w:rPr>
            </w:pPr>
            <w:r w:rsidRPr="00C674D7">
              <w:rPr>
                <w:rFonts w:ascii="CAIXA Std Book" w:hAnsi="CAIXA Std Book" w:cs="Arial"/>
                <w:color w:val="005CA9"/>
                <w:sz w:val="18"/>
                <w:szCs w:val="18"/>
              </w:rPr>
              <w:t>(57.835)</w:t>
            </w:r>
          </w:p>
        </w:tc>
        <w:tc>
          <w:tcPr>
            <w:tcW w:w="680" w:type="pct"/>
            <w:tcBorders>
              <w:top w:val="nil"/>
              <w:left w:val="nil"/>
              <w:bottom w:val="nil"/>
              <w:right w:val="nil"/>
            </w:tcBorders>
            <w:noWrap/>
            <w:vAlign w:val="center"/>
            <w:hideMark/>
          </w:tcPr>
          <w:p w14:paraId="46937956" w14:textId="5533E9BE" w:rsidR="00EB00CB" w:rsidRPr="00EB00CB" w:rsidRDefault="00C97774" w:rsidP="00C97774">
            <w:pPr>
              <w:ind w:firstLineChars="100" w:firstLine="180"/>
              <w:jc w:val="cente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w:t>
            </w:r>
          </w:p>
        </w:tc>
        <w:tc>
          <w:tcPr>
            <w:tcW w:w="680" w:type="pct"/>
            <w:tcBorders>
              <w:top w:val="nil"/>
              <w:left w:val="nil"/>
              <w:bottom w:val="nil"/>
              <w:right w:val="nil"/>
            </w:tcBorders>
            <w:vAlign w:val="center"/>
            <w:hideMark/>
          </w:tcPr>
          <w:p w14:paraId="22A2A785" w14:textId="547BD2A5" w:rsidR="00EB00CB" w:rsidRPr="00EB00CB" w:rsidRDefault="00E808DB" w:rsidP="00EB00CB">
            <w:pPr>
              <w:jc w:val="right"/>
              <w:rPr>
                <w:rFonts w:ascii="CAIXA Std Book" w:eastAsia="Times New Roman" w:hAnsi="CAIXA Std Book" w:cs="Calibri"/>
                <w:color w:val="005CA9"/>
                <w:sz w:val="18"/>
                <w:szCs w:val="18"/>
              </w:rPr>
            </w:pPr>
            <w:r w:rsidRPr="00E808DB">
              <w:rPr>
                <w:rFonts w:ascii="CAIXA Std Book" w:hAnsi="CAIXA Std Book" w:cs="Arial"/>
                <w:color w:val="005CA9"/>
                <w:sz w:val="18"/>
                <w:szCs w:val="18"/>
              </w:rPr>
              <w:t>(57.835)</w:t>
            </w:r>
          </w:p>
        </w:tc>
        <w:tc>
          <w:tcPr>
            <w:tcW w:w="680" w:type="pct"/>
            <w:tcBorders>
              <w:top w:val="nil"/>
              <w:left w:val="nil"/>
              <w:bottom w:val="nil"/>
              <w:right w:val="nil"/>
            </w:tcBorders>
            <w:vAlign w:val="center"/>
            <w:hideMark/>
          </w:tcPr>
          <w:p w14:paraId="55015389" w14:textId="37A78409" w:rsidR="00EB00CB" w:rsidRPr="00EB00CB" w:rsidRDefault="00850CA1" w:rsidP="00850CA1">
            <w:pPr>
              <w:jc w:val="center"/>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w:t>
            </w:r>
          </w:p>
        </w:tc>
      </w:tr>
      <w:tr w:rsidR="00805005" w:rsidRPr="00EB00CB" w14:paraId="74075406" w14:textId="77777777" w:rsidTr="00686021">
        <w:trPr>
          <w:trHeight w:val="283"/>
        </w:trPr>
        <w:tc>
          <w:tcPr>
            <w:tcW w:w="2281" w:type="pct"/>
            <w:tcBorders>
              <w:top w:val="nil"/>
              <w:left w:val="nil"/>
              <w:bottom w:val="nil"/>
              <w:right w:val="nil"/>
            </w:tcBorders>
            <w:noWrap/>
            <w:vAlign w:val="center"/>
            <w:hideMark/>
          </w:tcPr>
          <w:p w14:paraId="10C1F16C" w14:textId="5BFB1CA9" w:rsidR="00EB00CB" w:rsidRPr="00EB00CB" w:rsidRDefault="00EB00CB" w:rsidP="00EB00CB">
            <w:pPr>
              <w:ind w:firstLineChars="100" w:firstLine="180"/>
              <w:rPr>
                <w:rFonts w:ascii="CAIXA Std Book" w:eastAsia="Times New Roman" w:hAnsi="CAIXA Std Book" w:cs="Calibri"/>
                <w:color w:val="005CA9"/>
                <w:sz w:val="18"/>
                <w:szCs w:val="18"/>
              </w:rPr>
            </w:pPr>
            <w:r w:rsidRPr="00EB00CB">
              <w:rPr>
                <w:rFonts w:ascii="CAIXA Std Book" w:eastAsia="Times New Roman" w:hAnsi="CAIXA Std Book" w:cs="Calibri"/>
                <w:color w:val="005CA9"/>
                <w:sz w:val="18"/>
                <w:szCs w:val="18"/>
              </w:rPr>
              <w:t xml:space="preserve">Outros </w:t>
            </w:r>
            <w:r w:rsidR="005C26D9">
              <w:rPr>
                <w:rFonts w:ascii="CAIXA Std Book" w:eastAsia="Times New Roman" w:hAnsi="CAIXA Std Book" w:cs="Calibri"/>
                <w:color w:val="005CA9"/>
                <w:sz w:val="18"/>
                <w:szCs w:val="18"/>
              </w:rPr>
              <w:t>ativos financeiros</w:t>
            </w:r>
            <w:r w:rsidRPr="00EB00CB">
              <w:rPr>
                <w:rFonts w:ascii="CAIXA Std Book" w:eastAsia="Times New Roman" w:hAnsi="CAIXA Std Book" w:cs="Calibri"/>
                <w:color w:val="005CA9"/>
                <w:sz w:val="18"/>
                <w:szCs w:val="18"/>
              </w:rPr>
              <w:t xml:space="preserve"> (</w:t>
            </w:r>
            <w:r w:rsidRPr="00EB00CB">
              <w:rPr>
                <w:rFonts w:ascii="CAIXA Std Book" w:eastAsia="Times New Roman" w:hAnsi="CAIXA Std Book" w:cs="Calibri"/>
                <w:i/>
                <w:iCs/>
                <w:color w:val="005CA9"/>
                <w:sz w:val="18"/>
                <w:szCs w:val="18"/>
              </w:rPr>
              <w:t>Royalties</w:t>
            </w:r>
            <w:r w:rsidRPr="00EB00CB">
              <w:rPr>
                <w:rFonts w:ascii="CAIXA Std Book" w:eastAsia="Times New Roman" w:hAnsi="CAIXA Std Book" w:cs="Calibri"/>
                <w:color w:val="005CA9"/>
                <w:sz w:val="18"/>
                <w:szCs w:val="18"/>
              </w:rPr>
              <w:t>)</w:t>
            </w:r>
          </w:p>
        </w:tc>
        <w:tc>
          <w:tcPr>
            <w:tcW w:w="680" w:type="pct"/>
            <w:tcBorders>
              <w:top w:val="nil"/>
              <w:left w:val="nil"/>
              <w:bottom w:val="nil"/>
              <w:right w:val="nil"/>
            </w:tcBorders>
            <w:noWrap/>
            <w:vAlign w:val="center"/>
            <w:hideMark/>
          </w:tcPr>
          <w:p w14:paraId="7B5785D0" w14:textId="091A9FA1" w:rsidR="00EB00CB" w:rsidRPr="00EB00CB" w:rsidRDefault="00C674D7" w:rsidP="005C26D9">
            <w:pPr>
              <w:jc w:val="right"/>
              <w:rPr>
                <w:rFonts w:ascii="CAIXA Std Book" w:eastAsia="Times New Roman" w:hAnsi="CAIXA Std Book" w:cs="Calibri"/>
                <w:color w:val="005CA9"/>
                <w:sz w:val="18"/>
                <w:szCs w:val="18"/>
              </w:rPr>
            </w:pPr>
            <w:r w:rsidRPr="00C674D7">
              <w:rPr>
                <w:rFonts w:ascii="CAIXA Std Book" w:hAnsi="CAIXA Std Book" w:cs="Arial"/>
                <w:color w:val="005CA9"/>
                <w:sz w:val="18"/>
                <w:szCs w:val="18"/>
              </w:rPr>
              <w:t>106.819</w:t>
            </w:r>
          </w:p>
        </w:tc>
        <w:tc>
          <w:tcPr>
            <w:tcW w:w="680" w:type="pct"/>
            <w:tcBorders>
              <w:top w:val="nil"/>
              <w:left w:val="nil"/>
              <w:bottom w:val="nil"/>
              <w:right w:val="nil"/>
            </w:tcBorders>
            <w:noWrap/>
            <w:vAlign w:val="center"/>
            <w:hideMark/>
          </w:tcPr>
          <w:p w14:paraId="67B564A3" w14:textId="2D4ECC98" w:rsidR="00EB00CB" w:rsidRPr="00EB00CB" w:rsidRDefault="00C97774" w:rsidP="00EB00CB">
            <w:pPr>
              <w:ind w:firstLineChars="100" w:firstLine="180"/>
              <w:jc w:val="right"/>
              <w:rPr>
                <w:rFonts w:ascii="CAIXA Std Book" w:eastAsia="Times New Roman" w:hAnsi="CAIXA Std Book" w:cs="Calibri"/>
                <w:color w:val="005CA9"/>
                <w:sz w:val="18"/>
                <w:szCs w:val="18"/>
              </w:rPr>
            </w:pPr>
            <w:r w:rsidRPr="002D18B9">
              <w:rPr>
                <w:rFonts w:ascii="CAIXA Std Book" w:hAnsi="CAIXA Std Book" w:cs="Arial"/>
                <w:color w:val="005CA9"/>
                <w:sz w:val="18"/>
                <w:szCs w:val="18"/>
              </w:rPr>
              <w:t>(126.969)</w:t>
            </w:r>
          </w:p>
        </w:tc>
        <w:tc>
          <w:tcPr>
            <w:tcW w:w="680" w:type="pct"/>
            <w:tcBorders>
              <w:top w:val="nil"/>
              <w:left w:val="nil"/>
              <w:bottom w:val="nil"/>
              <w:right w:val="nil"/>
            </w:tcBorders>
            <w:vAlign w:val="center"/>
            <w:hideMark/>
          </w:tcPr>
          <w:p w14:paraId="34E2A698" w14:textId="7C070F3E" w:rsidR="00EB00CB" w:rsidRPr="00EB00CB" w:rsidRDefault="00E808DB" w:rsidP="00EB00CB">
            <w:pPr>
              <w:jc w:val="right"/>
              <w:rPr>
                <w:rFonts w:ascii="CAIXA Std Book" w:eastAsia="Times New Roman" w:hAnsi="CAIXA Std Book" w:cs="Calibri"/>
                <w:color w:val="005CA9"/>
                <w:sz w:val="18"/>
                <w:szCs w:val="18"/>
              </w:rPr>
            </w:pPr>
            <w:r w:rsidRPr="00E808DB">
              <w:rPr>
                <w:rFonts w:ascii="CAIXA Std Book" w:hAnsi="CAIXA Std Book" w:cs="Arial"/>
                <w:color w:val="005CA9"/>
                <w:sz w:val="18"/>
                <w:szCs w:val="18"/>
              </w:rPr>
              <w:t>106.819</w:t>
            </w:r>
          </w:p>
        </w:tc>
        <w:tc>
          <w:tcPr>
            <w:tcW w:w="680" w:type="pct"/>
            <w:tcBorders>
              <w:top w:val="nil"/>
              <w:left w:val="nil"/>
              <w:bottom w:val="nil"/>
              <w:right w:val="nil"/>
            </w:tcBorders>
            <w:vAlign w:val="center"/>
            <w:hideMark/>
          </w:tcPr>
          <w:p w14:paraId="761DE5D7" w14:textId="2584A2A8" w:rsidR="00EB00CB" w:rsidRPr="00EB00CB" w:rsidRDefault="00850CA1" w:rsidP="00EB00CB">
            <w:pPr>
              <w:jc w:val="right"/>
              <w:rPr>
                <w:rFonts w:ascii="CAIXA Std Book" w:eastAsia="Times New Roman" w:hAnsi="CAIXA Std Book" w:cs="Calibri"/>
                <w:color w:val="005CA9"/>
                <w:sz w:val="18"/>
                <w:szCs w:val="18"/>
              </w:rPr>
            </w:pPr>
            <w:r w:rsidRPr="004635C9">
              <w:rPr>
                <w:rFonts w:ascii="CAIXA Std Book" w:hAnsi="CAIXA Std Book" w:cs="Arial"/>
                <w:color w:val="005CA9"/>
                <w:sz w:val="18"/>
                <w:szCs w:val="18"/>
              </w:rPr>
              <w:t>(126.969)</w:t>
            </w:r>
          </w:p>
        </w:tc>
      </w:tr>
      <w:tr w:rsidR="00805005" w:rsidRPr="00EB00CB" w14:paraId="74296F5E" w14:textId="77777777" w:rsidTr="00686021">
        <w:trPr>
          <w:trHeight w:val="283"/>
        </w:trPr>
        <w:tc>
          <w:tcPr>
            <w:tcW w:w="2281" w:type="pct"/>
            <w:tcBorders>
              <w:top w:val="nil"/>
              <w:left w:val="nil"/>
              <w:bottom w:val="nil"/>
              <w:right w:val="nil"/>
            </w:tcBorders>
            <w:shd w:val="clear" w:color="auto" w:fill="005CA9"/>
            <w:noWrap/>
            <w:vAlign w:val="center"/>
            <w:hideMark/>
          </w:tcPr>
          <w:p w14:paraId="582F722C" w14:textId="77777777" w:rsidR="00EB00CB" w:rsidRPr="00EB00CB" w:rsidRDefault="00EB00CB" w:rsidP="00EB00CB">
            <w:pPr>
              <w:rPr>
                <w:rFonts w:ascii="CAIXA Std Book" w:eastAsia="Times New Roman" w:hAnsi="CAIXA Std Book" w:cs="Calibri"/>
                <w:b/>
                <w:bCs/>
                <w:color w:val="FFFFFF"/>
                <w:sz w:val="18"/>
                <w:szCs w:val="18"/>
              </w:rPr>
            </w:pPr>
            <w:r w:rsidRPr="00EB00CB">
              <w:rPr>
                <w:rFonts w:ascii="CAIXA Std Book" w:eastAsia="Times New Roman" w:hAnsi="CAIXA Std Book" w:cs="Calibri"/>
                <w:b/>
                <w:bCs/>
                <w:color w:val="FFFFFF"/>
                <w:sz w:val="18"/>
                <w:szCs w:val="18"/>
              </w:rPr>
              <w:t>Total</w:t>
            </w:r>
          </w:p>
        </w:tc>
        <w:tc>
          <w:tcPr>
            <w:tcW w:w="680" w:type="pct"/>
            <w:tcBorders>
              <w:top w:val="nil"/>
              <w:left w:val="nil"/>
              <w:bottom w:val="nil"/>
              <w:right w:val="nil"/>
            </w:tcBorders>
            <w:shd w:val="clear" w:color="auto" w:fill="005CA9"/>
            <w:vAlign w:val="center"/>
          </w:tcPr>
          <w:p w14:paraId="2F3BF5E6" w14:textId="6EC37D01" w:rsidR="00EB00CB" w:rsidRPr="00EB00CB" w:rsidRDefault="00C674D7" w:rsidP="00EB00CB">
            <w:pPr>
              <w:jc w:val="right"/>
              <w:rPr>
                <w:rFonts w:ascii="CAIXA Std Book" w:eastAsia="Times New Roman" w:hAnsi="CAIXA Std Book" w:cs="Calibri"/>
                <w:b/>
                <w:bCs/>
                <w:color w:val="FFFFFF"/>
                <w:sz w:val="18"/>
                <w:szCs w:val="18"/>
              </w:rPr>
            </w:pPr>
            <w:r w:rsidRPr="00C674D7">
              <w:rPr>
                <w:rFonts w:ascii="CAIXA Std Book" w:hAnsi="CAIXA Std Book" w:cs="Arial"/>
                <w:b/>
                <w:bCs/>
                <w:color w:val="FFFFFF"/>
                <w:sz w:val="18"/>
                <w:szCs w:val="18"/>
              </w:rPr>
              <w:t>(644.280)</w:t>
            </w:r>
          </w:p>
        </w:tc>
        <w:tc>
          <w:tcPr>
            <w:tcW w:w="680" w:type="pct"/>
            <w:tcBorders>
              <w:top w:val="nil"/>
              <w:left w:val="nil"/>
              <w:bottom w:val="nil"/>
              <w:right w:val="nil"/>
            </w:tcBorders>
            <w:shd w:val="clear" w:color="auto" w:fill="005CA9"/>
            <w:noWrap/>
            <w:vAlign w:val="center"/>
          </w:tcPr>
          <w:p w14:paraId="2A555252" w14:textId="430BA30F" w:rsidR="00EB00CB" w:rsidRPr="00EB00CB" w:rsidRDefault="00C97774" w:rsidP="00EB00CB">
            <w:pPr>
              <w:jc w:val="right"/>
              <w:rPr>
                <w:rFonts w:ascii="CAIXA Std Book" w:eastAsia="Times New Roman" w:hAnsi="CAIXA Std Book" w:cs="Calibri"/>
                <w:b/>
                <w:bCs/>
                <w:color w:val="FFFFFF"/>
                <w:sz w:val="18"/>
                <w:szCs w:val="18"/>
              </w:rPr>
            </w:pPr>
            <w:r>
              <w:rPr>
                <w:rFonts w:ascii="CAIXA Std Book" w:hAnsi="CAIXA Std Book" w:cs="Calibri"/>
                <w:b/>
                <w:color w:val="FFFFFF"/>
                <w:sz w:val="18"/>
                <w:szCs w:val="18"/>
              </w:rPr>
              <w:t>1.269.984</w:t>
            </w:r>
          </w:p>
        </w:tc>
        <w:tc>
          <w:tcPr>
            <w:tcW w:w="680" w:type="pct"/>
            <w:tcBorders>
              <w:top w:val="nil"/>
              <w:left w:val="nil"/>
              <w:bottom w:val="nil"/>
              <w:right w:val="nil"/>
            </w:tcBorders>
            <w:shd w:val="clear" w:color="auto" w:fill="005CA9"/>
            <w:vAlign w:val="center"/>
          </w:tcPr>
          <w:p w14:paraId="2643DE7F" w14:textId="35E0BE67" w:rsidR="00EB00CB" w:rsidRPr="00EB00CB" w:rsidRDefault="00E808DB" w:rsidP="00EB00CB">
            <w:pPr>
              <w:jc w:val="right"/>
              <w:rPr>
                <w:rFonts w:ascii="CAIXA Std Book" w:eastAsia="Times New Roman" w:hAnsi="CAIXA Std Book" w:cs="Calibri"/>
                <w:b/>
                <w:bCs/>
                <w:color w:val="FFFFFF"/>
                <w:sz w:val="18"/>
                <w:szCs w:val="18"/>
              </w:rPr>
            </w:pPr>
            <w:r w:rsidRPr="00E808DB">
              <w:rPr>
                <w:rFonts w:ascii="CAIXA Std Book" w:hAnsi="CAIXA Std Book" w:cs="Arial"/>
                <w:b/>
                <w:bCs/>
                <w:color w:val="FFFFFF"/>
                <w:sz w:val="18"/>
                <w:szCs w:val="18"/>
              </w:rPr>
              <w:t>(651.784)</w:t>
            </w:r>
          </w:p>
        </w:tc>
        <w:tc>
          <w:tcPr>
            <w:tcW w:w="680" w:type="pct"/>
            <w:tcBorders>
              <w:top w:val="nil"/>
              <w:left w:val="nil"/>
              <w:bottom w:val="nil"/>
              <w:right w:val="nil"/>
            </w:tcBorders>
            <w:shd w:val="clear" w:color="auto" w:fill="005CA9"/>
            <w:vAlign w:val="center"/>
          </w:tcPr>
          <w:p w14:paraId="14BB6549" w14:textId="6C60BAA8" w:rsidR="00EB00CB" w:rsidRPr="00EB00CB" w:rsidRDefault="00850CA1" w:rsidP="00EB00CB">
            <w:pPr>
              <w:jc w:val="right"/>
              <w:rPr>
                <w:rFonts w:ascii="CAIXA Std Book" w:eastAsia="Times New Roman" w:hAnsi="CAIXA Std Book" w:cs="Calibri"/>
                <w:b/>
                <w:bCs/>
                <w:color w:val="FFFFFF"/>
                <w:sz w:val="18"/>
                <w:szCs w:val="18"/>
              </w:rPr>
            </w:pPr>
            <w:r w:rsidRPr="004635C9">
              <w:rPr>
                <w:rFonts w:ascii="CAIXA Std Book" w:hAnsi="CAIXA Std Book" w:cs="Calibri"/>
                <w:b/>
                <w:color w:val="FFFFFF"/>
                <w:sz w:val="18"/>
                <w:szCs w:val="18"/>
              </w:rPr>
              <w:t>1.270.3</w:t>
            </w:r>
            <w:r>
              <w:rPr>
                <w:rFonts w:ascii="CAIXA Std Book" w:hAnsi="CAIXA Std Book" w:cs="Calibri"/>
                <w:b/>
                <w:color w:val="FFFFFF"/>
                <w:sz w:val="18"/>
                <w:szCs w:val="18"/>
              </w:rPr>
              <w:t>97</w:t>
            </w:r>
          </w:p>
        </w:tc>
      </w:tr>
    </w:tbl>
    <w:p w14:paraId="3E60C395" w14:textId="77777777" w:rsidR="004249E8" w:rsidRDefault="004249E8">
      <w:pPr>
        <w:rPr>
          <w:rFonts w:ascii="CAIXA Std Book" w:hAnsi="CAIXA Std Book"/>
          <w:b/>
          <w:color w:val="005CA9"/>
        </w:rPr>
      </w:pPr>
      <w:bookmarkStart w:id="138" w:name="_Toc217914349"/>
      <w:r>
        <w:br w:type="page"/>
      </w:r>
    </w:p>
    <w:p w14:paraId="4DC7F886" w14:textId="73B1836C" w:rsidR="00EC347F" w:rsidRDefault="00EC347F" w:rsidP="00B735D2">
      <w:pPr>
        <w:pStyle w:val="Ttulo1"/>
      </w:pPr>
      <w:bookmarkStart w:id="139" w:name="_Toc229588499"/>
      <w:r w:rsidRPr="00E95E29">
        <w:t>Nota   2</w:t>
      </w:r>
      <w:r w:rsidR="00323B4E">
        <w:t>3</w:t>
      </w:r>
      <w:r w:rsidRPr="00E95E29">
        <w:t xml:space="preserve"> – Ganhos e perdas com a negociação de </w:t>
      </w:r>
      <w:bookmarkEnd w:id="138"/>
      <w:r w:rsidR="00DE16D4">
        <w:t>instrumentos financeiros</w:t>
      </w:r>
      <w:bookmarkEnd w:id="139"/>
    </w:p>
    <w:tbl>
      <w:tblPr>
        <w:tblW w:w="5000" w:type="pct"/>
        <w:tblCellMar>
          <w:left w:w="70" w:type="dxa"/>
          <w:right w:w="70" w:type="dxa"/>
        </w:tblCellMar>
        <w:tblLook w:val="04A0" w:firstRow="1" w:lastRow="0" w:firstColumn="1" w:lastColumn="0" w:noHBand="0" w:noVBand="1"/>
      </w:tblPr>
      <w:tblGrid>
        <w:gridCol w:w="4679"/>
        <w:gridCol w:w="1240"/>
        <w:gridCol w:w="1239"/>
        <w:gridCol w:w="1239"/>
        <w:gridCol w:w="1241"/>
      </w:tblGrid>
      <w:tr w:rsidR="003B077A" w:rsidRPr="0047135A" w14:paraId="41833BE2" w14:textId="77777777" w:rsidTr="00DE16D4">
        <w:trPr>
          <w:trHeight w:val="283"/>
        </w:trPr>
        <w:tc>
          <w:tcPr>
            <w:tcW w:w="2427" w:type="pct"/>
            <w:vMerge w:val="restart"/>
            <w:tcBorders>
              <w:top w:val="nil"/>
              <w:left w:val="nil"/>
              <w:bottom w:val="nil"/>
              <w:right w:val="nil"/>
            </w:tcBorders>
            <w:shd w:val="clear" w:color="auto" w:fill="005CA9"/>
            <w:vAlign w:val="center"/>
            <w:hideMark/>
          </w:tcPr>
          <w:p w14:paraId="1873973D" w14:textId="77777777" w:rsidR="0047135A" w:rsidRPr="0047135A" w:rsidRDefault="0047135A" w:rsidP="0047135A">
            <w:pPr>
              <w:jc w:val="center"/>
              <w:rPr>
                <w:rFonts w:ascii="CAIXA Std Book" w:eastAsia="Times New Roman" w:hAnsi="CAIXA Std Book" w:cs="Calibri"/>
                <w:b/>
                <w:bCs/>
                <w:color w:val="FFFFFF"/>
                <w:sz w:val="18"/>
                <w:szCs w:val="18"/>
              </w:rPr>
            </w:pPr>
            <w:r w:rsidRPr="0047135A">
              <w:rPr>
                <w:rFonts w:ascii="CAIXA Std Book" w:eastAsia="Times New Roman" w:hAnsi="CAIXA Std Book" w:cs="Calibri"/>
                <w:b/>
                <w:bCs/>
                <w:color w:val="FFFFFF"/>
                <w:sz w:val="18"/>
                <w:szCs w:val="18"/>
              </w:rPr>
              <w:t>Descrição</w:t>
            </w:r>
          </w:p>
        </w:tc>
        <w:tc>
          <w:tcPr>
            <w:tcW w:w="1286" w:type="pct"/>
            <w:gridSpan w:val="2"/>
            <w:tcBorders>
              <w:top w:val="nil"/>
              <w:left w:val="nil"/>
              <w:bottom w:val="single" w:sz="4" w:space="0" w:color="FFFFFF"/>
              <w:right w:val="nil"/>
            </w:tcBorders>
            <w:shd w:val="clear" w:color="auto" w:fill="005CA9"/>
            <w:vAlign w:val="center"/>
            <w:hideMark/>
          </w:tcPr>
          <w:p w14:paraId="257DCB4A" w14:textId="77777777" w:rsidR="0047135A" w:rsidRPr="0047135A" w:rsidRDefault="0047135A" w:rsidP="0047135A">
            <w:pPr>
              <w:jc w:val="center"/>
              <w:rPr>
                <w:rFonts w:ascii="CAIXA Std Book" w:eastAsia="Times New Roman" w:hAnsi="CAIXA Std Book" w:cs="Calibri"/>
                <w:b/>
                <w:bCs/>
                <w:color w:val="FFFFFF"/>
                <w:sz w:val="18"/>
                <w:szCs w:val="18"/>
              </w:rPr>
            </w:pPr>
            <w:r w:rsidRPr="0047135A">
              <w:rPr>
                <w:rFonts w:ascii="CAIXA Std Book" w:eastAsia="Times New Roman" w:hAnsi="CAIXA Std Book" w:cs="Calibri"/>
                <w:b/>
                <w:bCs/>
                <w:color w:val="FFFFFF"/>
                <w:sz w:val="18"/>
                <w:szCs w:val="18"/>
              </w:rPr>
              <w:t>Individual</w:t>
            </w:r>
          </w:p>
        </w:tc>
        <w:tc>
          <w:tcPr>
            <w:tcW w:w="1287" w:type="pct"/>
            <w:gridSpan w:val="2"/>
            <w:tcBorders>
              <w:top w:val="nil"/>
              <w:left w:val="nil"/>
              <w:bottom w:val="single" w:sz="4" w:space="0" w:color="FFFFFF"/>
              <w:right w:val="nil"/>
            </w:tcBorders>
            <w:shd w:val="clear" w:color="auto" w:fill="005CA9"/>
            <w:vAlign w:val="center"/>
            <w:hideMark/>
          </w:tcPr>
          <w:p w14:paraId="65EC9E56" w14:textId="77777777" w:rsidR="0047135A" w:rsidRPr="0047135A" w:rsidRDefault="0047135A" w:rsidP="0047135A">
            <w:pPr>
              <w:jc w:val="center"/>
              <w:rPr>
                <w:rFonts w:ascii="CAIXA Std Book" w:eastAsia="Times New Roman" w:hAnsi="CAIXA Std Book" w:cs="Calibri"/>
                <w:b/>
                <w:bCs/>
                <w:color w:val="FFFFFF"/>
                <w:sz w:val="18"/>
                <w:szCs w:val="18"/>
              </w:rPr>
            </w:pPr>
            <w:r w:rsidRPr="0047135A">
              <w:rPr>
                <w:rFonts w:ascii="CAIXA Std Book" w:eastAsia="Times New Roman" w:hAnsi="CAIXA Std Book" w:cs="Calibri"/>
                <w:b/>
                <w:bCs/>
                <w:color w:val="FFFFFF"/>
                <w:sz w:val="18"/>
                <w:szCs w:val="18"/>
              </w:rPr>
              <w:t>Consolidado</w:t>
            </w:r>
          </w:p>
        </w:tc>
      </w:tr>
      <w:tr w:rsidR="003B077A" w:rsidRPr="0047135A" w14:paraId="5697DCFB" w14:textId="77777777" w:rsidTr="006F10C6">
        <w:trPr>
          <w:trHeight w:val="283"/>
        </w:trPr>
        <w:tc>
          <w:tcPr>
            <w:tcW w:w="2427" w:type="pct"/>
            <w:vMerge/>
            <w:tcBorders>
              <w:top w:val="nil"/>
              <w:left w:val="nil"/>
              <w:bottom w:val="nil"/>
              <w:right w:val="nil"/>
            </w:tcBorders>
            <w:shd w:val="clear" w:color="auto" w:fill="005CA9"/>
            <w:vAlign w:val="center"/>
            <w:hideMark/>
          </w:tcPr>
          <w:p w14:paraId="629D237E" w14:textId="77777777" w:rsidR="0047135A" w:rsidRPr="0047135A" w:rsidRDefault="0047135A" w:rsidP="0047135A">
            <w:pPr>
              <w:rPr>
                <w:rFonts w:ascii="CAIXA Std Book" w:eastAsia="Times New Roman" w:hAnsi="CAIXA Std Book" w:cs="Calibri"/>
                <w:b/>
                <w:bCs/>
                <w:color w:val="FFFFFF"/>
                <w:sz w:val="18"/>
                <w:szCs w:val="18"/>
              </w:rPr>
            </w:pPr>
          </w:p>
        </w:tc>
        <w:tc>
          <w:tcPr>
            <w:tcW w:w="643" w:type="pct"/>
            <w:tcBorders>
              <w:top w:val="single" w:sz="4" w:space="0" w:color="FFFFFF"/>
              <w:left w:val="nil"/>
              <w:bottom w:val="single" w:sz="4" w:space="0" w:color="FFFFFF" w:themeColor="background1"/>
              <w:right w:val="nil"/>
            </w:tcBorders>
            <w:shd w:val="clear" w:color="auto" w:fill="005CA9"/>
            <w:vAlign w:val="center"/>
            <w:hideMark/>
          </w:tcPr>
          <w:p w14:paraId="70FD9DE2" w14:textId="6988D060" w:rsidR="00062732" w:rsidRPr="0047135A" w:rsidRDefault="00062732" w:rsidP="0047135A">
            <w:pPr>
              <w:jc w:val="center"/>
              <w:rPr>
                <w:rFonts w:ascii="CAIXA Std Book" w:eastAsia="Times New Roman" w:hAnsi="CAIXA Std Book" w:cs="Calibri"/>
                <w:b/>
                <w:bCs/>
                <w:color w:val="FFFFFF"/>
                <w:sz w:val="18"/>
                <w:szCs w:val="18"/>
              </w:rPr>
            </w:pPr>
            <w:r w:rsidRPr="0047135A">
              <w:rPr>
                <w:rFonts w:ascii="CAIXA Std Book" w:eastAsia="Times New Roman" w:hAnsi="CAIXA Std Book" w:cs="Calibri"/>
                <w:b/>
                <w:bCs/>
                <w:color w:val="FFFFFF"/>
                <w:sz w:val="18"/>
                <w:szCs w:val="18"/>
              </w:rPr>
              <w:t>202</w:t>
            </w:r>
            <w:r>
              <w:rPr>
                <w:rFonts w:ascii="CAIXA Std Book" w:eastAsia="Times New Roman" w:hAnsi="CAIXA Std Book" w:cs="Calibri"/>
                <w:b/>
                <w:bCs/>
                <w:color w:val="FFFFFF"/>
                <w:sz w:val="18"/>
                <w:szCs w:val="18"/>
              </w:rPr>
              <w:t>6</w:t>
            </w:r>
          </w:p>
        </w:tc>
        <w:tc>
          <w:tcPr>
            <w:tcW w:w="643" w:type="pct"/>
            <w:tcBorders>
              <w:top w:val="single" w:sz="4" w:space="0" w:color="FFFFFF"/>
              <w:left w:val="nil"/>
              <w:bottom w:val="single" w:sz="4" w:space="0" w:color="FFFFFF" w:themeColor="background1"/>
              <w:right w:val="nil"/>
            </w:tcBorders>
            <w:shd w:val="clear" w:color="auto" w:fill="005CA9"/>
            <w:vAlign w:val="center"/>
          </w:tcPr>
          <w:p w14:paraId="4167832C" w14:textId="77777777" w:rsidR="0047135A" w:rsidRPr="0047135A" w:rsidRDefault="0047135A" w:rsidP="0047135A">
            <w:pPr>
              <w:jc w:val="center"/>
              <w:rPr>
                <w:rFonts w:ascii="CAIXA Std Book" w:eastAsia="Times New Roman" w:hAnsi="CAIXA Std Book" w:cs="Calibri"/>
                <w:b/>
                <w:bCs/>
                <w:color w:val="FFFFFF"/>
                <w:sz w:val="18"/>
                <w:szCs w:val="18"/>
              </w:rPr>
            </w:pPr>
            <w:r w:rsidRPr="0047135A">
              <w:rPr>
                <w:rFonts w:ascii="CAIXA Std Book" w:eastAsia="Times New Roman" w:hAnsi="CAIXA Std Book" w:cs="Calibri"/>
                <w:b/>
                <w:bCs/>
                <w:color w:val="FFFFFF"/>
                <w:sz w:val="18"/>
                <w:szCs w:val="18"/>
              </w:rPr>
              <w:t>2025</w:t>
            </w:r>
          </w:p>
        </w:tc>
        <w:tc>
          <w:tcPr>
            <w:tcW w:w="643" w:type="pct"/>
            <w:tcBorders>
              <w:top w:val="single" w:sz="4" w:space="0" w:color="FFFFFF"/>
              <w:left w:val="nil"/>
              <w:bottom w:val="single" w:sz="4" w:space="0" w:color="FFFFFF" w:themeColor="background1"/>
              <w:right w:val="nil"/>
            </w:tcBorders>
            <w:shd w:val="clear" w:color="auto" w:fill="005CA9"/>
            <w:vAlign w:val="center"/>
            <w:hideMark/>
          </w:tcPr>
          <w:p w14:paraId="713616D0" w14:textId="0E167E57" w:rsidR="00062732" w:rsidRPr="0047135A" w:rsidRDefault="00062732" w:rsidP="0047135A">
            <w:pPr>
              <w:jc w:val="center"/>
              <w:rPr>
                <w:rFonts w:ascii="CAIXA Std Book" w:eastAsia="Times New Roman" w:hAnsi="CAIXA Std Book" w:cs="Calibri"/>
                <w:b/>
                <w:bCs/>
                <w:color w:val="FFFFFF"/>
                <w:sz w:val="18"/>
                <w:szCs w:val="18"/>
              </w:rPr>
            </w:pPr>
            <w:r w:rsidRPr="0047135A">
              <w:rPr>
                <w:rFonts w:ascii="CAIXA Std Book" w:eastAsia="Times New Roman" w:hAnsi="CAIXA Std Book" w:cs="Calibri"/>
                <w:b/>
                <w:bCs/>
                <w:color w:val="FFFFFF"/>
                <w:sz w:val="18"/>
                <w:szCs w:val="18"/>
              </w:rPr>
              <w:t>202</w:t>
            </w:r>
            <w:r>
              <w:rPr>
                <w:rFonts w:ascii="CAIXA Std Book" w:eastAsia="Times New Roman" w:hAnsi="CAIXA Std Book" w:cs="Calibri"/>
                <w:b/>
                <w:bCs/>
                <w:color w:val="FFFFFF"/>
                <w:sz w:val="18"/>
                <w:szCs w:val="18"/>
              </w:rPr>
              <w:t>6</w:t>
            </w:r>
          </w:p>
        </w:tc>
        <w:tc>
          <w:tcPr>
            <w:tcW w:w="644" w:type="pct"/>
            <w:tcBorders>
              <w:top w:val="single" w:sz="4" w:space="0" w:color="FFFFFF"/>
              <w:left w:val="nil"/>
              <w:bottom w:val="single" w:sz="4" w:space="0" w:color="FFFFFF" w:themeColor="background1"/>
              <w:right w:val="nil"/>
            </w:tcBorders>
            <w:shd w:val="clear" w:color="auto" w:fill="005CA9"/>
            <w:vAlign w:val="center"/>
          </w:tcPr>
          <w:p w14:paraId="3B200620" w14:textId="77777777" w:rsidR="0047135A" w:rsidRPr="0047135A" w:rsidRDefault="0047135A" w:rsidP="0047135A">
            <w:pPr>
              <w:jc w:val="center"/>
              <w:rPr>
                <w:rFonts w:ascii="CAIXA Std Book" w:eastAsia="Times New Roman" w:hAnsi="CAIXA Std Book" w:cs="Calibri"/>
                <w:b/>
                <w:bCs/>
                <w:color w:val="FFFFFF"/>
                <w:sz w:val="18"/>
                <w:szCs w:val="18"/>
              </w:rPr>
            </w:pPr>
            <w:r w:rsidRPr="0047135A">
              <w:rPr>
                <w:rFonts w:ascii="CAIXA Std Book" w:eastAsia="Times New Roman" w:hAnsi="CAIXA Std Book" w:cs="Calibri"/>
                <w:b/>
                <w:bCs/>
                <w:color w:val="FFFFFF"/>
                <w:sz w:val="18"/>
                <w:szCs w:val="18"/>
              </w:rPr>
              <w:t>2025</w:t>
            </w:r>
          </w:p>
        </w:tc>
      </w:tr>
      <w:tr w:rsidR="001F2583" w:rsidRPr="0047135A" w14:paraId="3C95B27C" w14:textId="77777777" w:rsidTr="006F10C6">
        <w:trPr>
          <w:trHeight w:val="283"/>
        </w:trPr>
        <w:tc>
          <w:tcPr>
            <w:tcW w:w="2427" w:type="pct"/>
            <w:vMerge/>
            <w:tcBorders>
              <w:top w:val="nil"/>
              <w:left w:val="nil"/>
              <w:bottom w:val="nil"/>
              <w:right w:val="nil"/>
            </w:tcBorders>
            <w:shd w:val="clear" w:color="auto" w:fill="005CA9"/>
            <w:vAlign w:val="center"/>
            <w:hideMark/>
          </w:tcPr>
          <w:p w14:paraId="1B055D7B" w14:textId="77777777" w:rsidR="0047135A" w:rsidRPr="0047135A" w:rsidRDefault="0047135A" w:rsidP="0047135A">
            <w:pPr>
              <w:rPr>
                <w:rFonts w:ascii="CAIXA Std Book" w:eastAsia="Times New Roman" w:hAnsi="CAIXA Std Book" w:cs="Calibri"/>
                <w:b/>
                <w:bCs/>
                <w:color w:val="FFFFFF"/>
                <w:sz w:val="18"/>
                <w:szCs w:val="18"/>
              </w:rPr>
            </w:pPr>
          </w:p>
        </w:tc>
        <w:tc>
          <w:tcPr>
            <w:tcW w:w="643" w:type="pct"/>
            <w:tcBorders>
              <w:top w:val="single" w:sz="4" w:space="0" w:color="FFFFFF" w:themeColor="background1"/>
              <w:left w:val="nil"/>
              <w:bottom w:val="nil"/>
              <w:right w:val="nil"/>
            </w:tcBorders>
            <w:shd w:val="clear" w:color="auto" w:fill="005CA9"/>
            <w:vAlign w:val="center"/>
            <w:hideMark/>
          </w:tcPr>
          <w:p w14:paraId="37DFF86C" w14:textId="22474CC9" w:rsidR="0047135A" w:rsidRPr="0047135A" w:rsidRDefault="00062732" w:rsidP="0047135A">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1</w:t>
            </w:r>
            <w:r w:rsidRPr="00EB00CB">
              <w:rPr>
                <w:rFonts w:ascii="CAIXA Std Book" w:eastAsia="Times New Roman" w:hAnsi="CAIXA Std Book" w:cs="Calibri"/>
                <w:b/>
                <w:bCs/>
                <w:color w:val="FFFFFF"/>
                <w:sz w:val="18"/>
                <w:szCs w:val="18"/>
              </w:rPr>
              <w:t xml:space="preserve">º </w:t>
            </w:r>
            <w:r>
              <w:rPr>
                <w:rFonts w:ascii="CAIXA Std Book" w:eastAsia="Times New Roman" w:hAnsi="CAIXA Std Book" w:cs="Calibri"/>
                <w:b/>
                <w:bCs/>
                <w:color w:val="FFFFFF"/>
                <w:sz w:val="18"/>
                <w:szCs w:val="18"/>
              </w:rPr>
              <w:t>trimestre</w:t>
            </w:r>
          </w:p>
        </w:tc>
        <w:tc>
          <w:tcPr>
            <w:tcW w:w="643" w:type="pct"/>
            <w:tcBorders>
              <w:top w:val="single" w:sz="4" w:space="0" w:color="FFFFFF" w:themeColor="background1"/>
              <w:left w:val="nil"/>
              <w:bottom w:val="nil"/>
              <w:right w:val="nil"/>
            </w:tcBorders>
            <w:shd w:val="clear" w:color="auto" w:fill="005CA9"/>
            <w:vAlign w:val="center"/>
            <w:hideMark/>
          </w:tcPr>
          <w:p w14:paraId="264A1EAD" w14:textId="1732C154" w:rsidR="0047135A" w:rsidRPr="0047135A" w:rsidRDefault="00062732" w:rsidP="0047135A">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1</w:t>
            </w:r>
            <w:r w:rsidRPr="00EB00CB">
              <w:rPr>
                <w:rFonts w:ascii="CAIXA Std Book" w:eastAsia="Times New Roman" w:hAnsi="CAIXA Std Book" w:cs="Calibri"/>
                <w:b/>
                <w:bCs/>
                <w:color w:val="FFFFFF"/>
                <w:sz w:val="18"/>
                <w:szCs w:val="18"/>
              </w:rPr>
              <w:t xml:space="preserve">º </w:t>
            </w:r>
            <w:r>
              <w:rPr>
                <w:rFonts w:ascii="CAIXA Std Book" w:eastAsia="Times New Roman" w:hAnsi="CAIXA Std Book" w:cs="Calibri"/>
                <w:b/>
                <w:bCs/>
                <w:color w:val="FFFFFF"/>
                <w:sz w:val="18"/>
                <w:szCs w:val="18"/>
              </w:rPr>
              <w:t>trimestre</w:t>
            </w:r>
          </w:p>
        </w:tc>
        <w:tc>
          <w:tcPr>
            <w:tcW w:w="643" w:type="pct"/>
            <w:tcBorders>
              <w:top w:val="single" w:sz="4" w:space="0" w:color="FFFFFF" w:themeColor="background1"/>
              <w:left w:val="nil"/>
              <w:bottom w:val="nil"/>
              <w:right w:val="nil"/>
            </w:tcBorders>
            <w:shd w:val="clear" w:color="auto" w:fill="005CA9"/>
            <w:vAlign w:val="center"/>
            <w:hideMark/>
          </w:tcPr>
          <w:p w14:paraId="0487ABB7" w14:textId="624FB2CA" w:rsidR="0047135A" w:rsidRPr="0047135A" w:rsidRDefault="00062732" w:rsidP="0047135A">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1</w:t>
            </w:r>
            <w:r w:rsidRPr="00EB00CB">
              <w:rPr>
                <w:rFonts w:ascii="CAIXA Std Book" w:eastAsia="Times New Roman" w:hAnsi="CAIXA Std Book" w:cs="Calibri"/>
                <w:b/>
                <w:bCs/>
                <w:color w:val="FFFFFF"/>
                <w:sz w:val="18"/>
                <w:szCs w:val="18"/>
              </w:rPr>
              <w:t xml:space="preserve">º </w:t>
            </w:r>
            <w:r>
              <w:rPr>
                <w:rFonts w:ascii="CAIXA Std Book" w:eastAsia="Times New Roman" w:hAnsi="CAIXA Std Book" w:cs="Calibri"/>
                <w:b/>
                <w:bCs/>
                <w:color w:val="FFFFFF"/>
                <w:sz w:val="18"/>
                <w:szCs w:val="18"/>
              </w:rPr>
              <w:t>trimestre</w:t>
            </w:r>
          </w:p>
        </w:tc>
        <w:tc>
          <w:tcPr>
            <w:tcW w:w="644" w:type="pct"/>
            <w:tcBorders>
              <w:top w:val="single" w:sz="4" w:space="0" w:color="FFFFFF" w:themeColor="background1"/>
              <w:left w:val="nil"/>
              <w:bottom w:val="nil"/>
              <w:right w:val="nil"/>
            </w:tcBorders>
            <w:shd w:val="clear" w:color="auto" w:fill="005CA9"/>
            <w:vAlign w:val="center"/>
            <w:hideMark/>
          </w:tcPr>
          <w:p w14:paraId="63D34F4A" w14:textId="375BCA1A" w:rsidR="0047135A" w:rsidRPr="0047135A" w:rsidRDefault="00062732" w:rsidP="0047135A">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1</w:t>
            </w:r>
            <w:r w:rsidRPr="00EB00CB">
              <w:rPr>
                <w:rFonts w:ascii="CAIXA Std Book" w:eastAsia="Times New Roman" w:hAnsi="CAIXA Std Book" w:cs="Calibri"/>
                <w:b/>
                <w:bCs/>
                <w:color w:val="FFFFFF"/>
                <w:sz w:val="18"/>
                <w:szCs w:val="18"/>
              </w:rPr>
              <w:t xml:space="preserve">º </w:t>
            </w:r>
            <w:r>
              <w:rPr>
                <w:rFonts w:ascii="CAIXA Std Book" w:eastAsia="Times New Roman" w:hAnsi="CAIXA Std Book" w:cs="Calibri"/>
                <w:b/>
                <w:bCs/>
                <w:color w:val="FFFFFF"/>
                <w:sz w:val="18"/>
                <w:szCs w:val="18"/>
              </w:rPr>
              <w:t>trimestre</w:t>
            </w:r>
          </w:p>
        </w:tc>
      </w:tr>
      <w:tr w:rsidR="001F2583" w:rsidRPr="0047135A" w14:paraId="5F446FE3" w14:textId="77777777" w:rsidTr="006F10C6">
        <w:trPr>
          <w:trHeight w:val="283"/>
        </w:trPr>
        <w:tc>
          <w:tcPr>
            <w:tcW w:w="2427" w:type="pct"/>
            <w:tcBorders>
              <w:top w:val="nil"/>
              <w:left w:val="nil"/>
              <w:bottom w:val="nil"/>
              <w:right w:val="nil"/>
            </w:tcBorders>
            <w:shd w:val="clear" w:color="auto" w:fill="D0E0E3"/>
            <w:noWrap/>
            <w:vAlign w:val="center"/>
            <w:hideMark/>
          </w:tcPr>
          <w:p w14:paraId="55ED0867" w14:textId="33D50E1A" w:rsidR="0047135A" w:rsidRPr="0047135A" w:rsidRDefault="00333471" w:rsidP="0047135A">
            <w:pPr>
              <w:rPr>
                <w:rFonts w:ascii="CAIXA Std Book" w:eastAsia="Times New Roman" w:hAnsi="CAIXA Std Book" w:cs="Calibri"/>
                <w:b/>
                <w:bCs/>
                <w:color w:val="005CA9"/>
                <w:sz w:val="18"/>
                <w:szCs w:val="18"/>
              </w:rPr>
            </w:pPr>
            <w:r w:rsidRPr="0047135A">
              <w:rPr>
                <w:rFonts w:ascii="CAIXA Std Book" w:eastAsia="Times New Roman" w:hAnsi="CAIXA Std Book" w:cs="Calibri"/>
                <w:b/>
                <w:bCs/>
                <w:color w:val="005CA9"/>
                <w:sz w:val="18"/>
                <w:szCs w:val="18"/>
              </w:rPr>
              <w:t>Ao valor justo por meio do resultado</w:t>
            </w:r>
          </w:p>
        </w:tc>
        <w:tc>
          <w:tcPr>
            <w:tcW w:w="643" w:type="pct"/>
            <w:tcBorders>
              <w:top w:val="nil"/>
              <w:left w:val="nil"/>
              <w:bottom w:val="nil"/>
              <w:right w:val="nil"/>
            </w:tcBorders>
            <w:shd w:val="clear" w:color="auto" w:fill="D0E0E3"/>
            <w:noWrap/>
            <w:vAlign w:val="center"/>
          </w:tcPr>
          <w:p w14:paraId="01682A98" w14:textId="07047A7A" w:rsidR="0047135A" w:rsidRPr="0047135A" w:rsidRDefault="00E30D5B" w:rsidP="00DE16D4">
            <w:pPr>
              <w:jc w:val="right"/>
              <w:rPr>
                <w:rFonts w:ascii="CAIXA Std Book" w:eastAsia="Times New Roman" w:hAnsi="CAIXA Std Book" w:cs="Calibri"/>
                <w:b/>
                <w:bCs/>
                <w:color w:val="005CA9"/>
                <w:sz w:val="18"/>
                <w:szCs w:val="18"/>
              </w:rPr>
            </w:pPr>
            <w:r w:rsidRPr="00BB4F92">
              <w:rPr>
                <w:rFonts w:ascii="CAIXA Std Book" w:hAnsi="CAIXA Std Book" w:cs="Arial"/>
                <w:b/>
                <w:bCs/>
                <w:color w:val="005CA9"/>
                <w:sz w:val="18"/>
                <w:szCs w:val="18"/>
              </w:rPr>
              <w:t>(296.896)</w:t>
            </w:r>
          </w:p>
        </w:tc>
        <w:tc>
          <w:tcPr>
            <w:tcW w:w="643" w:type="pct"/>
            <w:tcBorders>
              <w:top w:val="nil"/>
              <w:left w:val="nil"/>
              <w:bottom w:val="nil"/>
              <w:right w:val="nil"/>
            </w:tcBorders>
            <w:shd w:val="clear" w:color="auto" w:fill="D0E0E3"/>
            <w:vAlign w:val="center"/>
          </w:tcPr>
          <w:p w14:paraId="1436AE29" w14:textId="59CEFCC7" w:rsidR="0047135A" w:rsidRPr="0047135A" w:rsidRDefault="009E2949" w:rsidP="00DE16D4">
            <w:pPr>
              <w:jc w:val="right"/>
              <w:rPr>
                <w:rFonts w:ascii="CAIXA Std Book" w:eastAsia="Times New Roman" w:hAnsi="CAIXA Std Book" w:cs="Calibri"/>
                <w:b/>
                <w:bCs/>
                <w:color w:val="005CA9"/>
                <w:sz w:val="18"/>
                <w:szCs w:val="18"/>
              </w:rPr>
            </w:pPr>
            <w:r w:rsidRPr="002A1124">
              <w:rPr>
                <w:rFonts w:ascii="CAIXA Std Book" w:hAnsi="CAIXA Std Book" w:cs="Arial"/>
                <w:b/>
                <w:color w:val="005CA9"/>
                <w:sz w:val="18"/>
                <w:szCs w:val="18"/>
              </w:rPr>
              <w:t>(763.909</w:t>
            </w:r>
            <w:r>
              <w:rPr>
                <w:rFonts w:ascii="CAIXA Std Book" w:hAnsi="CAIXA Std Book" w:cs="Arial"/>
                <w:b/>
                <w:color w:val="005CA9"/>
                <w:sz w:val="18"/>
                <w:szCs w:val="18"/>
              </w:rPr>
              <w:t>)</w:t>
            </w:r>
          </w:p>
        </w:tc>
        <w:tc>
          <w:tcPr>
            <w:tcW w:w="643" w:type="pct"/>
            <w:tcBorders>
              <w:top w:val="nil"/>
              <w:left w:val="nil"/>
              <w:bottom w:val="nil"/>
              <w:right w:val="nil"/>
            </w:tcBorders>
            <w:shd w:val="clear" w:color="auto" w:fill="D0E0E3"/>
            <w:vAlign w:val="center"/>
          </w:tcPr>
          <w:p w14:paraId="10C4236E" w14:textId="6783A596" w:rsidR="0047135A" w:rsidRPr="0047135A" w:rsidRDefault="006635E5" w:rsidP="00DE16D4">
            <w:pPr>
              <w:jc w:val="right"/>
              <w:rPr>
                <w:rFonts w:ascii="CAIXA Std Book" w:eastAsia="Times New Roman" w:hAnsi="CAIXA Std Book" w:cs="Calibri"/>
                <w:b/>
                <w:bCs/>
                <w:color w:val="005CA9"/>
                <w:sz w:val="18"/>
                <w:szCs w:val="18"/>
              </w:rPr>
            </w:pPr>
            <w:r w:rsidRPr="006635E5">
              <w:rPr>
                <w:rFonts w:ascii="CAIXA Std Book" w:hAnsi="CAIXA Std Book" w:cs="Arial"/>
                <w:b/>
                <w:bCs/>
                <w:color w:val="005CA9"/>
                <w:sz w:val="18"/>
                <w:szCs w:val="18"/>
              </w:rPr>
              <w:t>(296.945)</w:t>
            </w:r>
          </w:p>
        </w:tc>
        <w:tc>
          <w:tcPr>
            <w:tcW w:w="644" w:type="pct"/>
            <w:tcBorders>
              <w:top w:val="nil"/>
              <w:left w:val="nil"/>
              <w:bottom w:val="nil"/>
              <w:right w:val="nil"/>
            </w:tcBorders>
            <w:shd w:val="clear" w:color="auto" w:fill="D0E0E3"/>
            <w:vAlign w:val="center"/>
          </w:tcPr>
          <w:p w14:paraId="4F8FEB58" w14:textId="2A8F7128" w:rsidR="0047135A" w:rsidRPr="0047135A" w:rsidRDefault="00AD6483" w:rsidP="00DE16D4">
            <w:pPr>
              <w:jc w:val="right"/>
              <w:rPr>
                <w:rFonts w:ascii="CAIXA Std Book" w:eastAsia="Times New Roman" w:hAnsi="CAIXA Std Book" w:cs="Calibri"/>
                <w:b/>
                <w:bCs/>
                <w:color w:val="005CA9"/>
                <w:sz w:val="18"/>
                <w:szCs w:val="18"/>
              </w:rPr>
            </w:pPr>
            <w:r w:rsidRPr="00192014">
              <w:rPr>
                <w:rFonts w:ascii="CAIXA Std Book" w:hAnsi="CAIXA Std Book" w:cs="Arial"/>
                <w:b/>
                <w:color w:val="005CA9"/>
                <w:sz w:val="18"/>
                <w:szCs w:val="18"/>
              </w:rPr>
              <w:t>(764.096)</w:t>
            </w:r>
          </w:p>
        </w:tc>
      </w:tr>
      <w:tr w:rsidR="001F2583" w:rsidRPr="0047135A" w14:paraId="412D2179" w14:textId="77777777" w:rsidTr="006F10C6">
        <w:trPr>
          <w:trHeight w:val="283"/>
        </w:trPr>
        <w:tc>
          <w:tcPr>
            <w:tcW w:w="2427" w:type="pct"/>
            <w:tcBorders>
              <w:top w:val="nil"/>
              <w:left w:val="nil"/>
              <w:bottom w:val="nil"/>
              <w:right w:val="nil"/>
            </w:tcBorders>
            <w:noWrap/>
            <w:vAlign w:val="center"/>
            <w:hideMark/>
          </w:tcPr>
          <w:p w14:paraId="5F85429C" w14:textId="77777777" w:rsidR="0047135A" w:rsidRPr="0047135A" w:rsidRDefault="0047135A" w:rsidP="0047135A">
            <w:pPr>
              <w:ind w:firstLineChars="100" w:firstLine="180"/>
              <w:rPr>
                <w:rFonts w:ascii="CAIXA Std Book" w:eastAsia="Times New Roman" w:hAnsi="CAIXA Std Book" w:cs="Calibri"/>
                <w:color w:val="005CA9"/>
                <w:sz w:val="18"/>
                <w:szCs w:val="18"/>
              </w:rPr>
            </w:pPr>
            <w:r w:rsidRPr="0047135A">
              <w:rPr>
                <w:rFonts w:ascii="CAIXA Std Book" w:eastAsia="Times New Roman" w:hAnsi="CAIXA Std Book" w:cs="Calibri"/>
                <w:color w:val="005CA9"/>
                <w:sz w:val="18"/>
                <w:szCs w:val="18"/>
              </w:rPr>
              <w:t>Títulos públicos federais brasileiros</w:t>
            </w:r>
          </w:p>
        </w:tc>
        <w:tc>
          <w:tcPr>
            <w:tcW w:w="643" w:type="pct"/>
            <w:tcBorders>
              <w:top w:val="nil"/>
              <w:left w:val="nil"/>
              <w:bottom w:val="nil"/>
              <w:right w:val="nil"/>
            </w:tcBorders>
            <w:noWrap/>
            <w:vAlign w:val="center"/>
            <w:hideMark/>
          </w:tcPr>
          <w:p w14:paraId="16595123" w14:textId="51DB41F5" w:rsidR="0047135A" w:rsidRPr="0047135A" w:rsidRDefault="00E30D5B" w:rsidP="00DE16D4">
            <w:pPr>
              <w:jc w:val="right"/>
              <w:rPr>
                <w:rFonts w:ascii="CAIXA Std Book" w:eastAsia="Times New Roman" w:hAnsi="CAIXA Std Book" w:cs="Calibri"/>
                <w:color w:val="005CA9"/>
                <w:sz w:val="18"/>
                <w:szCs w:val="18"/>
              </w:rPr>
            </w:pPr>
            <w:r w:rsidRPr="00BB4F92">
              <w:rPr>
                <w:rFonts w:ascii="CAIXA Std Book" w:hAnsi="CAIXA Std Book" w:cs="Arial"/>
                <w:color w:val="005CA9"/>
                <w:sz w:val="18"/>
                <w:szCs w:val="18"/>
              </w:rPr>
              <w:t>(262.549)</w:t>
            </w:r>
          </w:p>
        </w:tc>
        <w:tc>
          <w:tcPr>
            <w:tcW w:w="643" w:type="pct"/>
            <w:tcBorders>
              <w:top w:val="nil"/>
              <w:left w:val="nil"/>
              <w:bottom w:val="nil"/>
              <w:right w:val="nil"/>
            </w:tcBorders>
            <w:vAlign w:val="center"/>
            <w:hideMark/>
          </w:tcPr>
          <w:p w14:paraId="7B8A65DB" w14:textId="74C4386E" w:rsidR="0047135A" w:rsidRPr="0047135A" w:rsidRDefault="009E2949" w:rsidP="00DE16D4">
            <w:pPr>
              <w:jc w:val="right"/>
              <w:rPr>
                <w:rFonts w:ascii="CAIXA Std Book" w:eastAsia="Times New Roman" w:hAnsi="CAIXA Std Book" w:cs="Calibri"/>
                <w:color w:val="005CA9"/>
                <w:sz w:val="18"/>
                <w:szCs w:val="18"/>
              </w:rPr>
            </w:pPr>
            <w:r w:rsidRPr="00EC7EE7">
              <w:rPr>
                <w:rFonts w:ascii="CAIXA Std Book" w:hAnsi="CAIXA Std Book" w:cs="Arial"/>
                <w:color w:val="005CA9"/>
                <w:sz w:val="18"/>
                <w:szCs w:val="18"/>
              </w:rPr>
              <w:t>(763.909)</w:t>
            </w:r>
          </w:p>
        </w:tc>
        <w:tc>
          <w:tcPr>
            <w:tcW w:w="643" w:type="pct"/>
            <w:tcBorders>
              <w:top w:val="nil"/>
              <w:left w:val="nil"/>
              <w:bottom w:val="nil"/>
              <w:right w:val="nil"/>
            </w:tcBorders>
            <w:vAlign w:val="center"/>
            <w:hideMark/>
          </w:tcPr>
          <w:p w14:paraId="077280F7" w14:textId="40745956" w:rsidR="0047135A" w:rsidRPr="0047135A" w:rsidRDefault="006635E5" w:rsidP="00DE16D4">
            <w:pPr>
              <w:jc w:val="right"/>
              <w:rPr>
                <w:rFonts w:ascii="CAIXA Std Book" w:eastAsia="Times New Roman" w:hAnsi="CAIXA Std Book" w:cs="Calibri"/>
                <w:color w:val="005CA9"/>
                <w:sz w:val="18"/>
                <w:szCs w:val="18"/>
              </w:rPr>
            </w:pPr>
            <w:r w:rsidRPr="006635E5">
              <w:rPr>
                <w:rFonts w:ascii="CAIXA Std Book" w:hAnsi="CAIXA Std Book" w:cs="Arial"/>
                <w:color w:val="005CA9"/>
                <w:sz w:val="18"/>
                <w:szCs w:val="18"/>
              </w:rPr>
              <w:t>(262.598)</w:t>
            </w:r>
          </w:p>
        </w:tc>
        <w:tc>
          <w:tcPr>
            <w:tcW w:w="644" w:type="pct"/>
            <w:tcBorders>
              <w:top w:val="nil"/>
              <w:left w:val="nil"/>
              <w:bottom w:val="nil"/>
              <w:right w:val="nil"/>
            </w:tcBorders>
            <w:vAlign w:val="center"/>
            <w:hideMark/>
          </w:tcPr>
          <w:p w14:paraId="4ECA47B1" w14:textId="5BF4D45C" w:rsidR="0047135A" w:rsidRPr="0047135A" w:rsidRDefault="00AD6483" w:rsidP="00DE16D4">
            <w:pPr>
              <w:jc w:val="right"/>
              <w:rPr>
                <w:rFonts w:ascii="CAIXA Std Book" w:eastAsia="Times New Roman" w:hAnsi="CAIXA Std Book" w:cs="Calibri"/>
                <w:color w:val="005CA9"/>
                <w:sz w:val="18"/>
                <w:szCs w:val="18"/>
              </w:rPr>
            </w:pPr>
            <w:r w:rsidRPr="003622F3">
              <w:rPr>
                <w:rFonts w:ascii="CAIXA Std Book" w:hAnsi="CAIXA Std Book" w:cs="Arial"/>
                <w:color w:val="005CA9"/>
                <w:sz w:val="18"/>
                <w:szCs w:val="18"/>
              </w:rPr>
              <w:t>(764.</w:t>
            </w:r>
            <w:r w:rsidRPr="00AF65F9">
              <w:rPr>
                <w:rFonts w:ascii="CAIXA Std Book" w:hAnsi="CAIXA Std Book" w:cs="Arial"/>
                <w:color w:val="005CA9"/>
                <w:sz w:val="18"/>
                <w:szCs w:val="18"/>
              </w:rPr>
              <w:t>096</w:t>
            </w:r>
            <w:r w:rsidRPr="003622F3">
              <w:rPr>
                <w:rFonts w:ascii="CAIXA Std Book" w:hAnsi="CAIXA Std Book" w:cs="Arial"/>
                <w:color w:val="005CA9"/>
                <w:sz w:val="18"/>
                <w:szCs w:val="18"/>
              </w:rPr>
              <w:t>)</w:t>
            </w:r>
          </w:p>
        </w:tc>
      </w:tr>
      <w:tr w:rsidR="00104499" w:rsidRPr="0047135A" w14:paraId="2BE587EC" w14:textId="77777777" w:rsidTr="006F10C6">
        <w:trPr>
          <w:trHeight w:val="283"/>
        </w:trPr>
        <w:tc>
          <w:tcPr>
            <w:tcW w:w="2427" w:type="pct"/>
            <w:tcBorders>
              <w:top w:val="nil"/>
              <w:left w:val="nil"/>
              <w:bottom w:val="nil"/>
              <w:right w:val="nil"/>
            </w:tcBorders>
            <w:noWrap/>
            <w:vAlign w:val="center"/>
          </w:tcPr>
          <w:p w14:paraId="191D4D68" w14:textId="281A7DFE" w:rsidR="00104499" w:rsidRPr="0047135A" w:rsidRDefault="00104499" w:rsidP="00E30D5B">
            <w:pPr>
              <w:ind w:firstLineChars="100" w:firstLine="180"/>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Ações</w:t>
            </w:r>
          </w:p>
        </w:tc>
        <w:tc>
          <w:tcPr>
            <w:tcW w:w="643" w:type="pct"/>
            <w:tcBorders>
              <w:top w:val="nil"/>
              <w:left w:val="nil"/>
              <w:bottom w:val="nil"/>
              <w:right w:val="nil"/>
            </w:tcBorders>
            <w:noWrap/>
            <w:vAlign w:val="center"/>
          </w:tcPr>
          <w:p w14:paraId="142F4F26" w14:textId="34228095" w:rsidR="00104499" w:rsidRPr="00BB4F92" w:rsidRDefault="00754AB1" w:rsidP="00DE16D4">
            <w:pPr>
              <w:jc w:val="right"/>
              <w:rPr>
                <w:rFonts w:ascii="CAIXA Std Book" w:hAnsi="CAIXA Std Book" w:cs="Arial"/>
                <w:color w:val="005CA9"/>
                <w:sz w:val="18"/>
                <w:szCs w:val="18"/>
              </w:rPr>
            </w:pPr>
            <w:r w:rsidRPr="00BB4F92">
              <w:rPr>
                <w:rFonts w:ascii="CAIXA Std Book" w:hAnsi="CAIXA Std Book" w:cs="Arial"/>
                <w:color w:val="005CA9"/>
                <w:sz w:val="18"/>
                <w:szCs w:val="18"/>
              </w:rPr>
              <w:t>(34.347)</w:t>
            </w:r>
          </w:p>
        </w:tc>
        <w:tc>
          <w:tcPr>
            <w:tcW w:w="643" w:type="pct"/>
            <w:tcBorders>
              <w:top w:val="nil"/>
              <w:left w:val="nil"/>
              <w:bottom w:val="nil"/>
              <w:right w:val="nil"/>
            </w:tcBorders>
            <w:vAlign w:val="center"/>
          </w:tcPr>
          <w:p w14:paraId="75FC1967" w14:textId="24EFF80B" w:rsidR="00104499" w:rsidRPr="00EC7EE7" w:rsidRDefault="00DE16D4" w:rsidP="00DE16D4">
            <w:pPr>
              <w:jc w:val="center"/>
              <w:rPr>
                <w:rFonts w:ascii="CAIXA Std Book" w:hAnsi="CAIXA Std Book" w:cs="Arial"/>
                <w:color w:val="005CA9"/>
                <w:sz w:val="18"/>
                <w:szCs w:val="18"/>
              </w:rPr>
            </w:pPr>
            <w:r>
              <w:rPr>
                <w:rFonts w:ascii="CAIXA Std Book" w:hAnsi="CAIXA Std Book" w:cs="Arial"/>
                <w:color w:val="005CA9"/>
                <w:sz w:val="18"/>
                <w:szCs w:val="18"/>
              </w:rPr>
              <w:t>-</w:t>
            </w:r>
          </w:p>
        </w:tc>
        <w:tc>
          <w:tcPr>
            <w:tcW w:w="643" w:type="pct"/>
            <w:tcBorders>
              <w:top w:val="nil"/>
              <w:left w:val="nil"/>
              <w:bottom w:val="nil"/>
              <w:right w:val="nil"/>
            </w:tcBorders>
            <w:vAlign w:val="center"/>
          </w:tcPr>
          <w:p w14:paraId="636771E3" w14:textId="6CF87A8B" w:rsidR="00104499" w:rsidRPr="0047135A" w:rsidRDefault="00E71C42" w:rsidP="00DE16D4">
            <w:pPr>
              <w:jc w:val="right"/>
              <w:rPr>
                <w:rFonts w:ascii="CAIXA Std Book" w:eastAsia="Times New Roman" w:hAnsi="CAIXA Std Book" w:cs="Calibri"/>
                <w:color w:val="005CA9"/>
                <w:sz w:val="18"/>
                <w:szCs w:val="18"/>
              </w:rPr>
            </w:pPr>
            <w:r w:rsidRPr="00E71C42">
              <w:rPr>
                <w:rFonts w:ascii="CAIXA Std Book" w:hAnsi="CAIXA Std Book" w:cs="Arial"/>
                <w:color w:val="005CA9"/>
                <w:sz w:val="18"/>
                <w:szCs w:val="18"/>
              </w:rPr>
              <w:t>(34.347)</w:t>
            </w:r>
          </w:p>
        </w:tc>
        <w:tc>
          <w:tcPr>
            <w:tcW w:w="644" w:type="pct"/>
            <w:tcBorders>
              <w:top w:val="nil"/>
              <w:left w:val="nil"/>
              <w:bottom w:val="nil"/>
              <w:right w:val="nil"/>
            </w:tcBorders>
            <w:vAlign w:val="center"/>
          </w:tcPr>
          <w:p w14:paraId="1288F9D8" w14:textId="250B9298" w:rsidR="00104499" w:rsidRPr="003622F3" w:rsidRDefault="00DE16D4" w:rsidP="00DE16D4">
            <w:pPr>
              <w:jc w:val="center"/>
              <w:rPr>
                <w:rFonts w:ascii="CAIXA Std Book" w:hAnsi="CAIXA Std Book" w:cs="Arial"/>
                <w:color w:val="005CA9"/>
                <w:sz w:val="18"/>
                <w:szCs w:val="18"/>
              </w:rPr>
            </w:pPr>
            <w:r>
              <w:rPr>
                <w:rFonts w:ascii="CAIXA Std Book" w:hAnsi="CAIXA Std Book" w:cs="Arial"/>
                <w:color w:val="005CA9"/>
                <w:sz w:val="18"/>
                <w:szCs w:val="18"/>
              </w:rPr>
              <w:t>-</w:t>
            </w:r>
          </w:p>
        </w:tc>
      </w:tr>
      <w:tr w:rsidR="004D11F8" w:rsidRPr="0047135A" w14:paraId="06460F24" w14:textId="77777777" w:rsidTr="006F10C6">
        <w:trPr>
          <w:trHeight w:val="283"/>
        </w:trPr>
        <w:tc>
          <w:tcPr>
            <w:tcW w:w="2427" w:type="pct"/>
            <w:tcBorders>
              <w:top w:val="nil"/>
              <w:left w:val="nil"/>
              <w:bottom w:val="nil"/>
              <w:right w:val="nil"/>
            </w:tcBorders>
            <w:shd w:val="clear" w:color="auto" w:fill="D0E0E3"/>
            <w:noWrap/>
            <w:vAlign w:val="center"/>
            <w:hideMark/>
          </w:tcPr>
          <w:p w14:paraId="029B9B11" w14:textId="35ACD1BB" w:rsidR="004D11F8" w:rsidRPr="0047135A" w:rsidRDefault="004D11F8" w:rsidP="004D11F8">
            <w:pPr>
              <w:rPr>
                <w:rFonts w:ascii="CAIXA Std Book" w:eastAsia="Times New Roman" w:hAnsi="CAIXA Std Book" w:cs="Calibri"/>
                <w:b/>
                <w:bCs/>
                <w:color w:val="005CA9"/>
                <w:sz w:val="18"/>
                <w:szCs w:val="18"/>
              </w:rPr>
            </w:pPr>
            <w:r w:rsidRPr="0047135A">
              <w:rPr>
                <w:rFonts w:ascii="CAIXA Std Book" w:eastAsia="Times New Roman" w:hAnsi="CAIXA Std Book" w:cs="Calibri"/>
                <w:b/>
                <w:bCs/>
                <w:color w:val="005CA9"/>
                <w:sz w:val="18"/>
                <w:szCs w:val="18"/>
              </w:rPr>
              <w:t>Ao valor justo por meio do resultado</w:t>
            </w:r>
            <w:r>
              <w:rPr>
                <w:rFonts w:ascii="CAIXA Std Book" w:eastAsia="Times New Roman" w:hAnsi="CAIXA Std Book" w:cs="Calibri"/>
                <w:b/>
                <w:bCs/>
                <w:color w:val="005CA9"/>
                <w:sz w:val="18"/>
                <w:szCs w:val="18"/>
              </w:rPr>
              <w:t xml:space="preserve"> abrangente</w:t>
            </w:r>
          </w:p>
        </w:tc>
        <w:tc>
          <w:tcPr>
            <w:tcW w:w="643" w:type="pct"/>
            <w:tcBorders>
              <w:top w:val="nil"/>
              <w:left w:val="nil"/>
              <w:bottom w:val="nil"/>
              <w:right w:val="nil"/>
            </w:tcBorders>
            <w:shd w:val="clear" w:color="auto" w:fill="D0E0E3"/>
            <w:noWrap/>
            <w:vAlign w:val="center"/>
          </w:tcPr>
          <w:p w14:paraId="269892D9" w14:textId="0B49E4F3" w:rsidR="004D11F8" w:rsidRPr="0047135A" w:rsidRDefault="008C13B3" w:rsidP="00DE16D4">
            <w:pPr>
              <w:jc w:val="right"/>
              <w:rPr>
                <w:rFonts w:ascii="CAIXA Std Book" w:eastAsia="Times New Roman" w:hAnsi="CAIXA Std Book" w:cs="Calibri"/>
                <w:b/>
                <w:bCs/>
                <w:color w:val="005CA9"/>
                <w:sz w:val="18"/>
                <w:szCs w:val="18"/>
              </w:rPr>
            </w:pPr>
            <w:r w:rsidRPr="00BB4F92">
              <w:rPr>
                <w:rFonts w:ascii="CAIXA Std Book" w:hAnsi="CAIXA Std Book" w:cs="Arial"/>
                <w:b/>
                <w:bCs/>
                <w:color w:val="005CA9"/>
                <w:sz w:val="18"/>
                <w:szCs w:val="18"/>
              </w:rPr>
              <w:t>119.548</w:t>
            </w:r>
          </w:p>
        </w:tc>
        <w:tc>
          <w:tcPr>
            <w:tcW w:w="643" w:type="pct"/>
            <w:tcBorders>
              <w:top w:val="nil"/>
              <w:left w:val="nil"/>
              <w:bottom w:val="nil"/>
              <w:right w:val="nil"/>
            </w:tcBorders>
            <w:shd w:val="clear" w:color="auto" w:fill="D0E0E3"/>
            <w:vAlign w:val="center"/>
          </w:tcPr>
          <w:p w14:paraId="4646671A" w14:textId="792F74F5" w:rsidR="004D11F8" w:rsidRPr="00DE16D4" w:rsidRDefault="004D11F8" w:rsidP="00DE16D4">
            <w:pPr>
              <w:jc w:val="right"/>
              <w:rPr>
                <w:rFonts w:ascii="CAIXA Std Book" w:eastAsia="Times New Roman" w:hAnsi="CAIXA Std Book" w:cs="Calibri"/>
                <w:b/>
                <w:bCs/>
                <w:color w:val="005CA9"/>
                <w:sz w:val="18"/>
                <w:szCs w:val="18"/>
              </w:rPr>
            </w:pPr>
            <w:r w:rsidRPr="00DE16D4">
              <w:rPr>
                <w:rFonts w:ascii="CAIXA Std Book" w:hAnsi="CAIXA Std Book" w:cs="Arial"/>
                <w:b/>
                <w:bCs/>
                <w:color w:val="005CA9"/>
                <w:sz w:val="18"/>
                <w:szCs w:val="18"/>
              </w:rPr>
              <w:t>98.581</w:t>
            </w:r>
          </w:p>
        </w:tc>
        <w:tc>
          <w:tcPr>
            <w:tcW w:w="643" w:type="pct"/>
            <w:tcBorders>
              <w:top w:val="nil"/>
              <w:left w:val="nil"/>
              <w:bottom w:val="nil"/>
              <w:right w:val="nil"/>
            </w:tcBorders>
            <w:shd w:val="clear" w:color="auto" w:fill="D0E0E3"/>
            <w:vAlign w:val="center"/>
          </w:tcPr>
          <w:p w14:paraId="15EE19E1" w14:textId="31C120A3" w:rsidR="004D11F8" w:rsidRPr="00DE16D4" w:rsidRDefault="006F10C6" w:rsidP="00DE16D4">
            <w:pPr>
              <w:jc w:val="right"/>
              <w:rPr>
                <w:rFonts w:ascii="CAIXA Std Book" w:eastAsia="Times New Roman" w:hAnsi="CAIXA Std Book" w:cs="Calibri"/>
                <w:b/>
                <w:bCs/>
                <w:color w:val="005CA9"/>
                <w:sz w:val="18"/>
                <w:szCs w:val="18"/>
              </w:rPr>
            </w:pPr>
            <w:r w:rsidRPr="006F10C6">
              <w:rPr>
                <w:rFonts w:ascii="CAIXA Std Book" w:hAnsi="CAIXA Std Book" w:cs="Arial"/>
                <w:b/>
                <w:bCs/>
                <w:color w:val="005CA9"/>
                <w:sz w:val="18"/>
                <w:szCs w:val="18"/>
              </w:rPr>
              <w:t>119.548</w:t>
            </w:r>
          </w:p>
        </w:tc>
        <w:tc>
          <w:tcPr>
            <w:tcW w:w="644" w:type="pct"/>
            <w:tcBorders>
              <w:top w:val="nil"/>
              <w:left w:val="nil"/>
              <w:bottom w:val="nil"/>
              <w:right w:val="nil"/>
            </w:tcBorders>
            <w:shd w:val="clear" w:color="auto" w:fill="D0E0E3"/>
            <w:vAlign w:val="center"/>
          </w:tcPr>
          <w:p w14:paraId="6A638083" w14:textId="05BA925C" w:rsidR="004D11F8" w:rsidRPr="00DE16D4" w:rsidRDefault="004D11F8" w:rsidP="00DE16D4">
            <w:pPr>
              <w:jc w:val="right"/>
              <w:rPr>
                <w:rFonts w:ascii="CAIXA Std Book" w:eastAsia="Times New Roman" w:hAnsi="CAIXA Std Book" w:cs="Calibri"/>
                <w:b/>
                <w:bCs/>
                <w:color w:val="005CA9"/>
                <w:sz w:val="18"/>
                <w:szCs w:val="18"/>
              </w:rPr>
            </w:pPr>
            <w:r w:rsidRPr="00DE16D4">
              <w:rPr>
                <w:rFonts w:ascii="CAIXA Std Book" w:hAnsi="CAIXA Std Book" w:cs="Arial"/>
                <w:b/>
                <w:bCs/>
                <w:color w:val="005CA9"/>
                <w:sz w:val="18"/>
                <w:szCs w:val="18"/>
              </w:rPr>
              <w:t>98.581</w:t>
            </w:r>
          </w:p>
        </w:tc>
      </w:tr>
      <w:tr w:rsidR="004D11F8" w:rsidRPr="0047135A" w14:paraId="79A9C145" w14:textId="77777777" w:rsidTr="006F10C6">
        <w:trPr>
          <w:trHeight w:val="283"/>
        </w:trPr>
        <w:tc>
          <w:tcPr>
            <w:tcW w:w="2427" w:type="pct"/>
            <w:tcBorders>
              <w:top w:val="nil"/>
              <w:left w:val="nil"/>
              <w:bottom w:val="nil"/>
              <w:right w:val="nil"/>
            </w:tcBorders>
            <w:noWrap/>
            <w:vAlign w:val="center"/>
          </w:tcPr>
          <w:p w14:paraId="506D55F8" w14:textId="713C5C11" w:rsidR="004D11F8" w:rsidRPr="0047135A" w:rsidRDefault="004D11F8" w:rsidP="004D11F8">
            <w:pPr>
              <w:ind w:firstLineChars="100" w:firstLine="180"/>
              <w:rPr>
                <w:rFonts w:ascii="CAIXA Std Book" w:eastAsia="Times New Roman" w:hAnsi="CAIXA Std Book" w:cs="Calibri"/>
                <w:color w:val="005CA9"/>
                <w:sz w:val="18"/>
                <w:szCs w:val="18"/>
              </w:rPr>
            </w:pPr>
            <w:r w:rsidRPr="0047135A">
              <w:rPr>
                <w:rFonts w:ascii="CAIXA Std Book" w:eastAsia="Times New Roman" w:hAnsi="CAIXA Std Book" w:cs="Calibri"/>
                <w:color w:val="005CA9"/>
                <w:sz w:val="18"/>
                <w:szCs w:val="18"/>
              </w:rPr>
              <w:t>Títulos públicos federais brasileiros</w:t>
            </w:r>
          </w:p>
        </w:tc>
        <w:tc>
          <w:tcPr>
            <w:tcW w:w="643" w:type="pct"/>
            <w:tcBorders>
              <w:top w:val="nil"/>
              <w:left w:val="nil"/>
              <w:bottom w:val="nil"/>
              <w:right w:val="nil"/>
            </w:tcBorders>
            <w:noWrap/>
            <w:vAlign w:val="center"/>
          </w:tcPr>
          <w:p w14:paraId="0D87F6B2" w14:textId="7780FCF6" w:rsidR="004D11F8" w:rsidRPr="0047135A" w:rsidRDefault="001A6EF1" w:rsidP="00DE16D4">
            <w:pPr>
              <w:jc w:val="right"/>
              <w:rPr>
                <w:rFonts w:ascii="CAIXA Std Book" w:eastAsia="Times New Roman" w:hAnsi="CAIXA Std Book" w:cs="Calibri"/>
                <w:color w:val="005CA9"/>
                <w:sz w:val="18"/>
                <w:szCs w:val="18"/>
              </w:rPr>
            </w:pPr>
            <w:r w:rsidRPr="00BB4F92">
              <w:rPr>
                <w:rFonts w:ascii="CAIXA Std Book" w:hAnsi="CAIXA Std Book" w:cs="Arial"/>
                <w:color w:val="005CA9"/>
                <w:sz w:val="18"/>
                <w:szCs w:val="18"/>
              </w:rPr>
              <w:t>118.473</w:t>
            </w:r>
          </w:p>
        </w:tc>
        <w:tc>
          <w:tcPr>
            <w:tcW w:w="643" w:type="pct"/>
            <w:tcBorders>
              <w:top w:val="nil"/>
              <w:left w:val="nil"/>
              <w:bottom w:val="nil"/>
              <w:right w:val="nil"/>
            </w:tcBorders>
            <w:vAlign w:val="center"/>
          </w:tcPr>
          <w:p w14:paraId="340FB7D9" w14:textId="6B399953" w:rsidR="004D11F8" w:rsidRPr="00EC7EE7" w:rsidRDefault="004D11F8" w:rsidP="00DE16D4">
            <w:pPr>
              <w:jc w:val="right"/>
              <w:rPr>
                <w:rFonts w:ascii="CAIXA Std Book" w:hAnsi="CAIXA Std Book" w:cs="Arial"/>
                <w:color w:val="005CA9"/>
                <w:sz w:val="18"/>
                <w:szCs w:val="18"/>
              </w:rPr>
            </w:pPr>
            <w:r>
              <w:rPr>
                <w:rFonts w:ascii="CAIXA Std Book" w:hAnsi="CAIXA Std Book" w:cs="Arial"/>
                <w:color w:val="005CA9"/>
                <w:sz w:val="18"/>
                <w:szCs w:val="18"/>
              </w:rPr>
              <w:t>98.657</w:t>
            </w:r>
          </w:p>
        </w:tc>
        <w:tc>
          <w:tcPr>
            <w:tcW w:w="643" w:type="pct"/>
            <w:tcBorders>
              <w:top w:val="nil"/>
              <w:left w:val="nil"/>
              <w:bottom w:val="nil"/>
              <w:right w:val="nil"/>
            </w:tcBorders>
            <w:vAlign w:val="center"/>
          </w:tcPr>
          <w:p w14:paraId="5A0CC79D" w14:textId="01862261" w:rsidR="004D11F8" w:rsidRPr="0047135A" w:rsidRDefault="006F10C6" w:rsidP="00DE16D4">
            <w:pPr>
              <w:jc w:val="right"/>
              <w:rPr>
                <w:rFonts w:ascii="CAIXA Std Book" w:eastAsia="Times New Roman" w:hAnsi="CAIXA Std Book" w:cs="Calibri"/>
                <w:color w:val="005CA9"/>
                <w:sz w:val="18"/>
                <w:szCs w:val="18"/>
              </w:rPr>
            </w:pPr>
            <w:r w:rsidRPr="006F10C6">
              <w:rPr>
                <w:rFonts w:ascii="CAIXA Std Book" w:hAnsi="CAIXA Std Book" w:cs="Arial"/>
                <w:color w:val="005CA9"/>
                <w:sz w:val="18"/>
                <w:szCs w:val="18"/>
              </w:rPr>
              <w:t>118.473</w:t>
            </w:r>
          </w:p>
        </w:tc>
        <w:tc>
          <w:tcPr>
            <w:tcW w:w="644" w:type="pct"/>
            <w:tcBorders>
              <w:top w:val="nil"/>
              <w:left w:val="nil"/>
              <w:bottom w:val="nil"/>
              <w:right w:val="nil"/>
            </w:tcBorders>
            <w:vAlign w:val="center"/>
          </w:tcPr>
          <w:p w14:paraId="3752AC53" w14:textId="618D785C" w:rsidR="004D11F8" w:rsidRPr="00EC7EE7" w:rsidRDefault="004D11F8" w:rsidP="00DE16D4">
            <w:pPr>
              <w:jc w:val="right"/>
              <w:rPr>
                <w:rFonts w:ascii="CAIXA Std Book" w:hAnsi="CAIXA Std Book" w:cs="Arial"/>
                <w:color w:val="005CA9"/>
                <w:sz w:val="18"/>
                <w:szCs w:val="18"/>
              </w:rPr>
            </w:pPr>
            <w:r>
              <w:rPr>
                <w:rFonts w:ascii="CAIXA Std Book" w:hAnsi="CAIXA Std Book" w:cs="Arial"/>
                <w:color w:val="005CA9"/>
                <w:sz w:val="18"/>
                <w:szCs w:val="18"/>
              </w:rPr>
              <w:t>98.657</w:t>
            </w:r>
          </w:p>
        </w:tc>
      </w:tr>
      <w:tr w:rsidR="004D11F8" w:rsidRPr="0047135A" w14:paraId="4DAFC880" w14:textId="77777777" w:rsidTr="006F10C6">
        <w:trPr>
          <w:trHeight w:val="283"/>
        </w:trPr>
        <w:tc>
          <w:tcPr>
            <w:tcW w:w="2427" w:type="pct"/>
            <w:tcBorders>
              <w:top w:val="nil"/>
              <w:left w:val="nil"/>
              <w:bottom w:val="nil"/>
              <w:right w:val="nil"/>
            </w:tcBorders>
            <w:noWrap/>
            <w:vAlign w:val="center"/>
            <w:hideMark/>
          </w:tcPr>
          <w:p w14:paraId="48BF7A9F" w14:textId="260C9022" w:rsidR="004D11F8" w:rsidRPr="0047135A" w:rsidRDefault="004D11F8" w:rsidP="004D11F8">
            <w:pPr>
              <w:ind w:firstLineChars="100" w:firstLine="180"/>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Títulos privados de entidades não financeiras</w:t>
            </w:r>
          </w:p>
        </w:tc>
        <w:tc>
          <w:tcPr>
            <w:tcW w:w="643" w:type="pct"/>
            <w:tcBorders>
              <w:top w:val="nil"/>
              <w:left w:val="nil"/>
              <w:bottom w:val="nil"/>
              <w:right w:val="nil"/>
            </w:tcBorders>
            <w:noWrap/>
            <w:vAlign w:val="center"/>
            <w:hideMark/>
          </w:tcPr>
          <w:p w14:paraId="74CFF57C" w14:textId="4A86802C" w:rsidR="004D11F8" w:rsidRPr="0047135A" w:rsidRDefault="003145F2" w:rsidP="00DE16D4">
            <w:pPr>
              <w:jc w:val="right"/>
              <w:rPr>
                <w:rFonts w:ascii="CAIXA Std Book" w:eastAsia="Times New Roman" w:hAnsi="CAIXA Std Book" w:cs="Calibri"/>
                <w:color w:val="005CA9"/>
                <w:sz w:val="18"/>
                <w:szCs w:val="18"/>
              </w:rPr>
            </w:pPr>
            <w:r w:rsidRPr="00BB4F92">
              <w:rPr>
                <w:rFonts w:ascii="CAIXA Std Book" w:hAnsi="CAIXA Std Book" w:cs="Arial"/>
                <w:color w:val="005CA9"/>
                <w:sz w:val="18"/>
                <w:szCs w:val="18"/>
              </w:rPr>
              <w:t>1.075</w:t>
            </w:r>
          </w:p>
        </w:tc>
        <w:tc>
          <w:tcPr>
            <w:tcW w:w="643" w:type="pct"/>
            <w:tcBorders>
              <w:top w:val="nil"/>
              <w:left w:val="nil"/>
              <w:bottom w:val="nil"/>
              <w:right w:val="nil"/>
            </w:tcBorders>
            <w:vAlign w:val="center"/>
            <w:hideMark/>
          </w:tcPr>
          <w:p w14:paraId="69097A13" w14:textId="5319E4D1" w:rsidR="004D11F8" w:rsidRPr="0047135A" w:rsidRDefault="004D11F8" w:rsidP="00DE16D4">
            <w:pPr>
              <w:jc w:val="right"/>
              <w:rPr>
                <w:rFonts w:ascii="CAIXA Std Book" w:eastAsia="Times New Roman" w:hAnsi="CAIXA Std Book" w:cs="Calibri"/>
                <w:color w:val="005CA9"/>
                <w:sz w:val="18"/>
                <w:szCs w:val="18"/>
              </w:rPr>
            </w:pPr>
            <w:r w:rsidRPr="00EC7EE7">
              <w:rPr>
                <w:rFonts w:ascii="CAIXA Std Book" w:hAnsi="CAIXA Std Book" w:cs="Arial"/>
                <w:color w:val="005CA9"/>
                <w:sz w:val="18"/>
                <w:szCs w:val="18"/>
              </w:rPr>
              <w:t>(76)</w:t>
            </w:r>
          </w:p>
        </w:tc>
        <w:tc>
          <w:tcPr>
            <w:tcW w:w="643" w:type="pct"/>
            <w:tcBorders>
              <w:top w:val="nil"/>
              <w:left w:val="nil"/>
              <w:bottom w:val="nil"/>
              <w:right w:val="nil"/>
            </w:tcBorders>
            <w:vAlign w:val="center"/>
            <w:hideMark/>
          </w:tcPr>
          <w:p w14:paraId="2B9D17A0" w14:textId="7E433C62" w:rsidR="004D11F8" w:rsidRPr="0047135A" w:rsidRDefault="004D787C" w:rsidP="00DE16D4">
            <w:pPr>
              <w:jc w:val="right"/>
              <w:rPr>
                <w:rFonts w:ascii="CAIXA Std Book" w:eastAsia="Times New Roman" w:hAnsi="CAIXA Std Book" w:cs="Calibri"/>
                <w:color w:val="005CA9"/>
                <w:sz w:val="18"/>
                <w:szCs w:val="18"/>
              </w:rPr>
            </w:pPr>
            <w:r w:rsidRPr="004D787C">
              <w:rPr>
                <w:rFonts w:ascii="CAIXA Std Book" w:hAnsi="CAIXA Std Book" w:cs="Arial"/>
                <w:color w:val="005CA9"/>
                <w:sz w:val="18"/>
                <w:szCs w:val="18"/>
              </w:rPr>
              <w:t>1.075</w:t>
            </w:r>
          </w:p>
        </w:tc>
        <w:tc>
          <w:tcPr>
            <w:tcW w:w="644" w:type="pct"/>
            <w:tcBorders>
              <w:top w:val="nil"/>
              <w:left w:val="nil"/>
              <w:bottom w:val="nil"/>
              <w:right w:val="nil"/>
            </w:tcBorders>
            <w:vAlign w:val="center"/>
            <w:hideMark/>
          </w:tcPr>
          <w:p w14:paraId="44A01E1B" w14:textId="09C9D06E" w:rsidR="004D11F8" w:rsidRPr="0047135A" w:rsidRDefault="004D11F8" w:rsidP="00DE16D4">
            <w:pPr>
              <w:jc w:val="right"/>
              <w:rPr>
                <w:rFonts w:ascii="CAIXA Std Book" w:eastAsia="Times New Roman" w:hAnsi="CAIXA Std Book" w:cs="Calibri"/>
                <w:color w:val="005CA9"/>
                <w:sz w:val="18"/>
                <w:szCs w:val="18"/>
              </w:rPr>
            </w:pPr>
            <w:r w:rsidRPr="00EC7EE7">
              <w:rPr>
                <w:rFonts w:ascii="CAIXA Std Book" w:hAnsi="CAIXA Std Book" w:cs="Arial"/>
                <w:color w:val="005CA9"/>
                <w:sz w:val="18"/>
                <w:szCs w:val="18"/>
              </w:rPr>
              <w:t>(76)</w:t>
            </w:r>
          </w:p>
        </w:tc>
      </w:tr>
      <w:tr w:rsidR="00760AA1" w:rsidRPr="0047135A" w14:paraId="569C41ED" w14:textId="77777777" w:rsidTr="006F10C6">
        <w:trPr>
          <w:trHeight w:val="283"/>
        </w:trPr>
        <w:tc>
          <w:tcPr>
            <w:tcW w:w="2427" w:type="pct"/>
            <w:tcBorders>
              <w:top w:val="nil"/>
              <w:left w:val="nil"/>
              <w:bottom w:val="nil"/>
              <w:right w:val="nil"/>
            </w:tcBorders>
            <w:shd w:val="clear" w:color="auto" w:fill="D0E0E3"/>
            <w:noWrap/>
            <w:vAlign w:val="center"/>
            <w:hideMark/>
          </w:tcPr>
          <w:p w14:paraId="1FFD7529" w14:textId="2604A67A" w:rsidR="00760AA1" w:rsidRPr="0047135A" w:rsidRDefault="00760AA1" w:rsidP="00760AA1">
            <w:pPr>
              <w:rPr>
                <w:rFonts w:ascii="CAIXA Std Book" w:eastAsia="Times New Roman" w:hAnsi="CAIXA Std Book" w:cs="Calibri"/>
                <w:b/>
                <w:bCs/>
                <w:color w:val="005CA9"/>
                <w:sz w:val="18"/>
                <w:szCs w:val="18"/>
              </w:rPr>
            </w:pPr>
            <w:r>
              <w:rPr>
                <w:rFonts w:ascii="CAIXA Std Book" w:eastAsia="Times New Roman" w:hAnsi="CAIXA Std Book" w:cs="Calibri"/>
                <w:b/>
                <w:bCs/>
                <w:color w:val="005CA9"/>
                <w:sz w:val="18"/>
                <w:szCs w:val="18"/>
              </w:rPr>
              <w:t>Ao custo amortizado</w:t>
            </w:r>
          </w:p>
        </w:tc>
        <w:tc>
          <w:tcPr>
            <w:tcW w:w="643" w:type="pct"/>
            <w:tcBorders>
              <w:top w:val="nil"/>
              <w:left w:val="nil"/>
              <w:bottom w:val="nil"/>
              <w:right w:val="nil"/>
            </w:tcBorders>
            <w:shd w:val="clear" w:color="auto" w:fill="D0E0E3"/>
            <w:noWrap/>
            <w:vAlign w:val="center"/>
          </w:tcPr>
          <w:p w14:paraId="59846548" w14:textId="40BF1C73" w:rsidR="00760AA1" w:rsidRPr="00BB4F92" w:rsidRDefault="00760AA1" w:rsidP="00DE16D4">
            <w:pPr>
              <w:jc w:val="right"/>
              <w:rPr>
                <w:rFonts w:ascii="CAIXA Std Book" w:eastAsia="Times New Roman" w:hAnsi="CAIXA Std Book" w:cs="Calibri"/>
                <w:b/>
                <w:bCs/>
                <w:color w:val="005CA9"/>
                <w:sz w:val="18"/>
                <w:szCs w:val="18"/>
              </w:rPr>
            </w:pPr>
            <w:r w:rsidRPr="00BB4F92">
              <w:rPr>
                <w:rFonts w:ascii="CAIXA Std Book" w:hAnsi="CAIXA Std Book" w:cs="Arial"/>
                <w:b/>
                <w:bCs/>
                <w:color w:val="005CA9"/>
                <w:sz w:val="18"/>
                <w:szCs w:val="18"/>
              </w:rPr>
              <w:t>(</w:t>
            </w:r>
            <w:r w:rsidR="0080019E">
              <w:rPr>
                <w:rFonts w:ascii="CAIXA Std Book" w:hAnsi="CAIXA Std Book" w:cs="Arial"/>
                <w:b/>
                <w:bCs/>
                <w:color w:val="005CA9"/>
                <w:sz w:val="18"/>
                <w:szCs w:val="18"/>
              </w:rPr>
              <w:t>9</w:t>
            </w:r>
            <w:r w:rsidRPr="00BB4F92">
              <w:rPr>
                <w:rFonts w:ascii="CAIXA Std Book" w:hAnsi="CAIXA Std Book" w:cs="Arial"/>
                <w:b/>
                <w:bCs/>
                <w:color w:val="005CA9"/>
                <w:sz w:val="18"/>
                <w:szCs w:val="18"/>
              </w:rPr>
              <w:t>)</w:t>
            </w:r>
          </w:p>
        </w:tc>
        <w:tc>
          <w:tcPr>
            <w:tcW w:w="643" w:type="pct"/>
            <w:tcBorders>
              <w:top w:val="nil"/>
              <w:left w:val="nil"/>
              <w:bottom w:val="nil"/>
              <w:right w:val="nil"/>
            </w:tcBorders>
            <w:shd w:val="clear" w:color="auto" w:fill="D0E0E3"/>
            <w:vAlign w:val="center"/>
          </w:tcPr>
          <w:p w14:paraId="472E6E9F" w14:textId="634711A5" w:rsidR="00760AA1" w:rsidRPr="0047135A" w:rsidRDefault="00DE16D4" w:rsidP="00DE16D4">
            <w:pPr>
              <w:jc w:val="center"/>
              <w:rPr>
                <w:rFonts w:ascii="CAIXA Std Book" w:eastAsia="Times New Roman" w:hAnsi="CAIXA Std Book" w:cs="Calibri"/>
                <w:b/>
                <w:bCs/>
                <w:color w:val="005CA9"/>
                <w:sz w:val="18"/>
                <w:szCs w:val="18"/>
              </w:rPr>
            </w:pPr>
            <w:r>
              <w:rPr>
                <w:rFonts w:ascii="CAIXA Std Book" w:eastAsia="Times New Roman" w:hAnsi="CAIXA Std Book" w:cs="Calibri"/>
                <w:b/>
                <w:bCs/>
                <w:color w:val="005CA9"/>
                <w:sz w:val="18"/>
                <w:szCs w:val="18"/>
              </w:rPr>
              <w:t>-</w:t>
            </w:r>
          </w:p>
        </w:tc>
        <w:tc>
          <w:tcPr>
            <w:tcW w:w="643" w:type="pct"/>
            <w:tcBorders>
              <w:top w:val="nil"/>
              <w:left w:val="nil"/>
              <w:bottom w:val="nil"/>
              <w:right w:val="nil"/>
            </w:tcBorders>
            <w:shd w:val="clear" w:color="auto" w:fill="D0E0E3"/>
            <w:vAlign w:val="center"/>
          </w:tcPr>
          <w:p w14:paraId="5B56A014" w14:textId="4FCC5435" w:rsidR="00760AA1" w:rsidRPr="0047135A" w:rsidRDefault="00810127" w:rsidP="00DE16D4">
            <w:pPr>
              <w:jc w:val="right"/>
              <w:rPr>
                <w:rFonts w:ascii="CAIXA Std Book" w:eastAsia="Times New Roman" w:hAnsi="CAIXA Std Book" w:cs="Calibri"/>
                <w:b/>
                <w:bCs/>
                <w:color w:val="005CA9"/>
                <w:sz w:val="18"/>
                <w:szCs w:val="18"/>
              </w:rPr>
            </w:pPr>
            <w:r w:rsidRPr="00BB4F92">
              <w:rPr>
                <w:rFonts w:ascii="CAIXA Std Book" w:hAnsi="CAIXA Std Book" w:cs="Arial"/>
                <w:b/>
                <w:bCs/>
                <w:color w:val="005CA9"/>
                <w:sz w:val="18"/>
                <w:szCs w:val="18"/>
              </w:rPr>
              <w:t>(</w:t>
            </w:r>
            <w:r w:rsidR="0080019E">
              <w:rPr>
                <w:rFonts w:ascii="CAIXA Std Book" w:hAnsi="CAIXA Std Book" w:cs="Arial"/>
                <w:b/>
                <w:bCs/>
                <w:color w:val="005CA9"/>
                <w:sz w:val="18"/>
                <w:szCs w:val="18"/>
              </w:rPr>
              <w:t>9</w:t>
            </w:r>
            <w:r w:rsidRPr="00BB4F92">
              <w:rPr>
                <w:rFonts w:ascii="CAIXA Std Book" w:hAnsi="CAIXA Std Book" w:cs="Arial"/>
                <w:b/>
                <w:bCs/>
                <w:color w:val="005CA9"/>
                <w:sz w:val="18"/>
                <w:szCs w:val="18"/>
              </w:rPr>
              <w:t>)</w:t>
            </w:r>
          </w:p>
        </w:tc>
        <w:tc>
          <w:tcPr>
            <w:tcW w:w="644" w:type="pct"/>
            <w:tcBorders>
              <w:top w:val="nil"/>
              <w:left w:val="nil"/>
              <w:bottom w:val="nil"/>
              <w:right w:val="nil"/>
            </w:tcBorders>
            <w:shd w:val="clear" w:color="auto" w:fill="D0E0E3"/>
            <w:vAlign w:val="center"/>
          </w:tcPr>
          <w:p w14:paraId="254802B3" w14:textId="25DCC03E" w:rsidR="00760AA1" w:rsidRPr="0047135A" w:rsidRDefault="00DE16D4" w:rsidP="00DE16D4">
            <w:pPr>
              <w:jc w:val="center"/>
              <w:rPr>
                <w:rFonts w:ascii="CAIXA Std Book" w:eastAsia="Times New Roman" w:hAnsi="CAIXA Std Book" w:cs="Calibri"/>
                <w:b/>
                <w:bCs/>
                <w:color w:val="005CA9"/>
                <w:sz w:val="18"/>
                <w:szCs w:val="18"/>
              </w:rPr>
            </w:pPr>
            <w:r>
              <w:rPr>
                <w:rFonts w:ascii="CAIXA Std Book" w:eastAsia="Times New Roman" w:hAnsi="CAIXA Std Book" w:cs="Calibri"/>
                <w:b/>
                <w:bCs/>
                <w:color w:val="005CA9"/>
                <w:sz w:val="18"/>
                <w:szCs w:val="18"/>
              </w:rPr>
              <w:t>-</w:t>
            </w:r>
          </w:p>
        </w:tc>
      </w:tr>
      <w:tr w:rsidR="00760AA1" w:rsidRPr="0047135A" w14:paraId="43552474" w14:textId="77777777" w:rsidTr="006F10C6">
        <w:trPr>
          <w:trHeight w:val="283"/>
        </w:trPr>
        <w:tc>
          <w:tcPr>
            <w:tcW w:w="2427" w:type="pct"/>
            <w:tcBorders>
              <w:top w:val="nil"/>
              <w:left w:val="nil"/>
              <w:bottom w:val="nil"/>
              <w:right w:val="nil"/>
            </w:tcBorders>
            <w:noWrap/>
            <w:vAlign w:val="center"/>
          </w:tcPr>
          <w:p w14:paraId="406DB2C8" w14:textId="6455E0DF" w:rsidR="00760AA1" w:rsidRDefault="00A129A4" w:rsidP="00760AA1">
            <w:pPr>
              <w:ind w:firstLineChars="100" w:firstLine="180"/>
              <w:rPr>
                <w:rFonts w:ascii="CAIXA Std Book" w:eastAsia="Times New Roman" w:hAnsi="CAIXA Std Book" w:cs="Calibri"/>
                <w:color w:val="005CA9"/>
                <w:sz w:val="18"/>
                <w:szCs w:val="18"/>
              </w:rPr>
            </w:pPr>
            <w:r>
              <w:rPr>
                <w:rFonts w:ascii="CAIXA Std Book" w:eastAsia="Times New Roman" w:hAnsi="CAIXA Std Book" w:cs="Calibri"/>
                <w:color w:val="005CA9"/>
                <w:sz w:val="18"/>
                <w:szCs w:val="18"/>
              </w:rPr>
              <w:t>Financiamentos imobiliários</w:t>
            </w:r>
            <w:r w:rsidR="00026077">
              <w:rPr>
                <w:rFonts w:ascii="CAIXA Std Book" w:eastAsia="Times New Roman" w:hAnsi="CAIXA Std Book" w:cs="Calibri"/>
                <w:color w:val="005CA9"/>
                <w:sz w:val="18"/>
                <w:szCs w:val="18"/>
              </w:rPr>
              <w:t xml:space="preserve"> (Cessão)</w:t>
            </w:r>
          </w:p>
        </w:tc>
        <w:tc>
          <w:tcPr>
            <w:tcW w:w="643" w:type="pct"/>
            <w:tcBorders>
              <w:top w:val="nil"/>
              <w:left w:val="nil"/>
              <w:bottom w:val="nil"/>
              <w:right w:val="nil"/>
            </w:tcBorders>
            <w:noWrap/>
            <w:vAlign w:val="center"/>
          </w:tcPr>
          <w:p w14:paraId="4B7086D6" w14:textId="3EFD0FA8" w:rsidR="00760AA1" w:rsidRPr="00BB4F92" w:rsidRDefault="00760AA1" w:rsidP="00DE16D4">
            <w:pPr>
              <w:jc w:val="right"/>
              <w:rPr>
                <w:rFonts w:ascii="CAIXA Std Book" w:hAnsi="CAIXA Std Book" w:cs="Arial"/>
                <w:color w:val="005CA9"/>
                <w:sz w:val="18"/>
                <w:szCs w:val="18"/>
              </w:rPr>
            </w:pPr>
            <w:r w:rsidRPr="00BB4F92">
              <w:rPr>
                <w:rFonts w:ascii="CAIXA Std Book" w:hAnsi="CAIXA Std Book" w:cs="Arial"/>
                <w:color w:val="005CA9"/>
                <w:sz w:val="18"/>
                <w:szCs w:val="18"/>
              </w:rPr>
              <w:t>(</w:t>
            </w:r>
            <w:r w:rsidR="0080019E">
              <w:rPr>
                <w:rFonts w:ascii="CAIXA Std Book" w:hAnsi="CAIXA Std Book" w:cs="Arial"/>
                <w:color w:val="005CA9"/>
                <w:sz w:val="18"/>
                <w:szCs w:val="18"/>
              </w:rPr>
              <w:t>9</w:t>
            </w:r>
            <w:r w:rsidRPr="00BB4F92">
              <w:rPr>
                <w:rFonts w:ascii="CAIXA Std Book" w:hAnsi="CAIXA Std Book" w:cs="Arial"/>
                <w:color w:val="005CA9"/>
                <w:sz w:val="18"/>
                <w:szCs w:val="18"/>
              </w:rPr>
              <w:t>)</w:t>
            </w:r>
          </w:p>
        </w:tc>
        <w:tc>
          <w:tcPr>
            <w:tcW w:w="643" w:type="pct"/>
            <w:tcBorders>
              <w:top w:val="nil"/>
              <w:left w:val="nil"/>
              <w:bottom w:val="nil"/>
              <w:right w:val="nil"/>
            </w:tcBorders>
            <w:vAlign w:val="center"/>
          </w:tcPr>
          <w:p w14:paraId="36F193F6" w14:textId="387CC6A0" w:rsidR="00760AA1" w:rsidRPr="00EC7EE7" w:rsidRDefault="00DE16D4" w:rsidP="00DE16D4">
            <w:pPr>
              <w:jc w:val="center"/>
              <w:rPr>
                <w:rFonts w:ascii="CAIXA Std Book" w:hAnsi="CAIXA Std Book" w:cs="Arial"/>
                <w:color w:val="005CA9"/>
                <w:sz w:val="18"/>
                <w:szCs w:val="18"/>
              </w:rPr>
            </w:pPr>
            <w:r>
              <w:rPr>
                <w:rFonts w:ascii="CAIXA Std Book" w:hAnsi="CAIXA Std Book" w:cs="Arial"/>
                <w:color w:val="005CA9"/>
                <w:sz w:val="18"/>
                <w:szCs w:val="18"/>
              </w:rPr>
              <w:t>-</w:t>
            </w:r>
          </w:p>
        </w:tc>
        <w:tc>
          <w:tcPr>
            <w:tcW w:w="643" w:type="pct"/>
            <w:tcBorders>
              <w:top w:val="nil"/>
              <w:left w:val="nil"/>
              <w:bottom w:val="nil"/>
              <w:right w:val="nil"/>
            </w:tcBorders>
            <w:vAlign w:val="center"/>
          </w:tcPr>
          <w:p w14:paraId="6CC6247F" w14:textId="34A9937F" w:rsidR="00760AA1" w:rsidRPr="0047135A" w:rsidRDefault="00810127" w:rsidP="00DE16D4">
            <w:pPr>
              <w:jc w:val="right"/>
              <w:rPr>
                <w:rFonts w:ascii="CAIXA Std Book" w:eastAsia="Times New Roman" w:hAnsi="CAIXA Std Book" w:cs="Calibri"/>
                <w:color w:val="005CA9"/>
                <w:sz w:val="18"/>
                <w:szCs w:val="18"/>
              </w:rPr>
            </w:pPr>
            <w:r w:rsidRPr="00BB4F92">
              <w:rPr>
                <w:rFonts w:ascii="CAIXA Std Book" w:hAnsi="CAIXA Std Book" w:cs="Arial"/>
                <w:color w:val="005CA9"/>
                <w:sz w:val="18"/>
                <w:szCs w:val="18"/>
              </w:rPr>
              <w:t>(</w:t>
            </w:r>
            <w:r w:rsidR="0080019E">
              <w:rPr>
                <w:rFonts w:ascii="CAIXA Std Book" w:hAnsi="CAIXA Std Book" w:cs="Arial"/>
                <w:color w:val="005CA9"/>
                <w:sz w:val="18"/>
                <w:szCs w:val="18"/>
              </w:rPr>
              <w:t>9</w:t>
            </w:r>
            <w:r w:rsidRPr="00BB4F92">
              <w:rPr>
                <w:rFonts w:ascii="CAIXA Std Book" w:hAnsi="CAIXA Std Book" w:cs="Arial"/>
                <w:color w:val="005CA9"/>
                <w:sz w:val="18"/>
                <w:szCs w:val="18"/>
              </w:rPr>
              <w:t>)</w:t>
            </w:r>
          </w:p>
        </w:tc>
        <w:tc>
          <w:tcPr>
            <w:tcW w:w="644" w:type="pct"/>
            <w:tcBorders>
              <w:top w:val="nil"/>
              <w:left w:val="nil"/>
              <w:bottom w:val="nil"/>
              <w:right w:val="nil"/>
            </w:tcBorders>
            <w:vAlign w:val="center"/>
          </w:tcPr>
          <w:p w14:paraId="08731E11" w14:textId="20C7D561" w:rsidR="00760AA1" w:rsidRPr="00EC7EE7" w:rsidRDefault="00DE16D4" w:rsidP="00DE16D4">
            <w:pPr>
              <w:jc w:val="center"/>
              <w:rPr>
                <w:rFonts w:ascii="CAIXA Std Book" w:hAnsi="CAIXA Std Book" w:cs="Arial"/>
                <w:color w:val="005CA9"/>
                <w:sz w:val="18"/>
                <w:szCs w:val="18"/>
              </w:rPr>
            </w:pPr>
            <w:r>
              <w:rPr>
                <w:rFonts w:ascii="CAIXA Std Book" w:hAnsi="CAIXA Std Book" w:cs="Arial"/>
                <w:color w:val="005CA9"/>
                <w:sz w:val="18"/>
                <w:szCs w:val="18"/>
              </w:rPr>
              <w:t>-</w:t>
            </w:r>
          </w:p>
        </w:tc>
      </w:tr>
      <w:tr w:rsidR="003A6EA3" w:rsidRPr="0047135A" w14:paraId="7E97952B" w14:textId="77777777" w:rsidTr="006F10C6">
        <w:trPr>
          <w:trHeight w:val="283"/>
        </w:trPr>
        <w:tc>
          <w:tcPr>
            <w:tcW w:w="2427" w:type="pct"/>
            <w:tcBorders>
              <w:top w:val="nil"/>
              <w:left w:val="nil"/>
              <w:bottom w:val="nil"/>
              <w:right w:val="nil"/>
            </w:tcBorders>
            <w:shd w:val="clear" w:color="auto" w:fill="005CA9"/>
            <w:noWrap/>
            <w:vAlign w:val="center"/>
            <w:hideMark/>
          </w:tcPr>
          <w:p w14:paraId="6BABB668" w14:textId="77777777" w:rsidR="003A6EA3" w:rsidRPr="0047135A" w:rsidRDefault="003A6EA3" w:rsidP="003A6EA3">
            <w:pPr>
              <w:rPr>
                <w:rFonts w:ascii="CAIXA Std Book" w:eastAsia="Times New Roman" w:hAnsi="CAIXA Std Book" w:cs="Calibri"/>
                <w:b/>
                <w:bCs/>
                <w:color w:val="FFFFFF"/>
                <w:sz w:val="18"/>
                <w:szCs w:val="18"/>
              </w:rPr>
            </w:pPr>
            <w:r w:rsidRPr="0047135A">
              <w:rPr>
                <w:rFonts w:ascii="CAIXA Std Book" w:eastAsia="Times New Roman" w:hAnsi="CAIXA Std Book" w:cs="Calibri"/>
                <w:b/>
                <w:bCs/>
                <w:color w:val="FFFFFF"/>
                <w:sz w:val="18"/>
                <w:szCs w:val="18"/>
              </w:rPr>
              <w:t>Total</w:t>
            </w:r>
          </w:p>
        </w:tc>
        <w:tc>
          <w:tcPr>
            <w:tcW w:w="643" w:type="pct"/>
            <w:tcBorders>
              <w:top w:val="nil"/>
              <w:left w:val="nil"/>
              <w:bottom w:val="nil"/>
              <w:right w:val="nil"/>
            </w:tcBorders>
            <w:shd w:val="clear" w:color="auto" w:fill="005CA9"/>
            <w:vAlign w:val="center"/>
          </w:tcPr>
          <w:p w14:paraId="3581A0CE" w14:textId="57FBF87B" w:rsidR="003A6EA3" w:rsidRPr="0047135A" w:rsidRDefault="00523CB5" w:rsidP="00DE16D4">
            <w:pPr>
              <w:jc w:val="right"/>
              <w:rPr>
                <w:rFonts w:ascii="CAIXA Std Book" w:eastAsia="Times New Roman" w:hAnsi="CAIXA Std Book" w:cs="Calibri"/>
                <w:b/>
                <w:bCs/>
                <w:color w:val="FFFFFF"/>
                <w:sz w:val="18"/>
                <w:szCs w:val="18"/>
              </w:rPr>
            </w:pPr>
            <w:r w:rsidRPr="00BB4F92">
              <w:rPr>
                <w:rFonts w:ascii="CAIXA Std Book" w:hAnsi="CAIXA Std Book" w:cs="Arial"/>
                <w:b/>
                <w:bCs/>
                <w:color w:val="FFFFFF"/>
                <w:sz w:val="18"/>
                <w:szCs w:val="18"/>
              </w:rPr>
              <w:t>(177.35</w:t>
            </w:r>
            <w:r w:rsidR="0080019E">
              <w:rPr>
                <w:rFonts w:ascii="CAIXA Std Book" w:hAnsi="CAIXA Std Book" w:cs="Arial"/>
                <w:b/>
                <w:bCs/>
                <w:color w:val="FFFFFF"/>
                <w:sz w:val="18"/>
                <w:szCs w:val="18"/>
              </w:rPr>
              <w:t>7</w:t>
            </w:r>
            <w:r w:rsidRPr="00BB4F92">
              <w:rPr>
                <w:rFonts w:ascii="CAIXA Std Book" w:hAnsi="CAIXA Std Book" w:cs="Arial"/>
                <w:b/>
                <w:bCs/>
                <w:color w:val="FFFFFF"/>
                <w:sz w:val="18"/>
                <w:szCs w:val="18"/>
              </w:rPr>
              <w:t>)</w:t>
            </w:r>
          </w:p>
        </w:tc>
        <w:tc>
          <w:tcPr>
            <w:tcW w:w="643" w:type="pct"/>
            <w:tcBorders>
              <w:top w:val="nil"/>
              <w:left w:val="nil"/>
              <w:bottom w:val="nil"/>
              <w:right w:val="nil"/>
            </w:tcBorders>
            <w:shd w:val="clear" w:color="auto" w:fill="005CA9"/>
            <w:vAlign w:val="center"/>
          </w:tcPr>
          <w:p w14:paraId="4902BD67" w14:textId="236C01B7" w:rsidR="003A6EA3" w:rsidRPr="0047135A" w:rsidRDefault="003A6EA3" w:rsidP="00DE16D4">
            <w:pPr>
              <w:jc w:val="right"/>
              <w:rPr>
                <w:rFonts w:ascii="CAIXA Std Book" w:eastAsia="Times New Roman" w:hAnsi="CAIXA Std Book" w:cs="Calibri"/>
                <w:b/>
                <w:bCs/>
                <w:color w:val="FFFFFF"/>
                <w:sz w:val="18"/>
                <w:szCs w:val="18"/>
              </w:rPr>
            </w:pPr>
            <w:r w:rsidRPr="00EC7EE7">
              <w:rPr>
                <w:rFonts w:ascii="CAIXA Std Book" w:hAnsi="CAIXA Std Book" w:cs="Arial"/>
                <w:b/>
                <w:color w:val="FFFFFF"/>
                <w:sz w:val="18"/>
                <w:szCs w:val="18"/>
              </w:rPr>
              <w:t>(665.328)</w:t>
            </w:r>
          </w:p>
        </w:tc>
        <w:tc>
          <w:tcPr>
            <w:tcW w:w="643" w:type="pct"/>
            <w:tcBorders>
              <w:top w:val="nil"/>
              <w:left w:val="nil"/>
              <w:bottom w:val="nil"/>
              <w:right w:val="nil"/>
            </w:tcBorders>
            <w:shd w:val="clear" w:color="auto" w:fill="005CA9"/>
            <w:vAlign w:val="center"/>
          </w:tcPr>
          <w:p w14:paraId="0928E599" w14:textId="68D8707D" w:rsidR="003A6EA3" w:rsidRPr="0047135A" w:rsidRDefault="00810127" w:rsidP="00DE16D4">
            <w:pPr>
              <w:jc w:val="right"/>
              <w:rPr>
                <w:rFonts w:ascii="CAIXA Std Book" w:eastAsia="Times New Roman" w:hAnsi="CAIXA Std Book" w:cs="Calibri"/>
                <w:b/>
                <w:bCs/>
                <w:color w:val="FFFFFF"/>
                <w:sz w:val="18"/>
                <w:szCs w:val="18"/>
              </w:rPr>
            </w:pPr>
            <w:r w:rsidRPr="00810127">
              <w:rPr>
                <w:rFonts w:ascii="CAIXA Std Book" w:hAnsi="CAIXA Std Book" w:cs="Arial"/>
                <w:b/>
                <w:bCs/>
                <w:color w:val="FFFFFF"/>
                <w:sz w:val="18"/>
                <w:szCs w:val="18"/>
              </w:rPr>
              <w:t>(177.</w:t>
            </w:r>
            <w:r w:rsidR="00F934A6" w:rsidRPr="00B631DD">
              <w:rPr>
                <w:rFonts w:ascii="CAIXA Std Book" w:hAnsi="CAIXA Std Book" w:cs="Arial"/>
                <w:b/>
                <w:bCs/>
                <w:color w:val="FFFFFF"/>
                <w:sz w:val="18"/>
                <w:szCs w:val="18"/>
              </w:rPr>
              <w:t>40</w:t>
            </w:r>
            <w:r w:rsidR="0080019E">
              <w:rPr>
                <w:rFonts w:ascii="CAIXA Std Book" w:hAnsi="CAIXA Std Book" w:cs="Arial"/>
                <w:b/>
                <w:bCs/>
                <w:color w:val="FFFFFF"/>
                <w:sz w:val="18"/>
                <w:szCs w:val="18"/>
              </w:rPr>
              <w:t>6</w:t>
            </w:r>
            <w:r w:rsidRPr="00810127">
              <w:rPr>
                <w:rFonts w:ascii="CAIXA Std Book" w:hAnsi="CAIXA Std Book" w:cs="Arial"/>
                <w:b/>
                <w:bCs/>
                <w:color w:val="FFFFFF"/>
                <w:sz w:val="18"/>
                <w:szCs w:val="18"/>
              </w:rPr>
              <w:t>)</w:t>
            </w:r>
          </w:p>
        </w:tc>
        <w:tc>
          <w:tcPr>
            <w:tcW w:w="644" w:type="pct"/>
            <w:tcBorders>
              <w:top w:val="nil"/>
              <w:left w:val="nil"/>
              <w:bottom w:val="nil"/>
              <w:right w:val="nil"/>
            </w:tcBorders>
            <w:shd w:val="clear" w:color="auto" w:fill="005CA9"/>
            <w:vAlign w:val="center"/>
          </w:tcPr>
          <w:p w14:paraId="00FCD582" w14:textId="1E4DD17F" w:rsidR="003A6EA3" w:rsidRPr="0047135A" w:rsidRDefault="003A6EA3" w:rsidP="00DE16D4">
            <w:pPr>
              <w:jc w:val="right"/>
              <w:rPr>
                <w:rFonts w:ascii="CAIXA Std Book" w:eastAsia="Times New Roman" w:hAnsi="CAIXA Std Book" w:cs="Calibri"/>
                <w:b/>
                <w:bCs/>
                <w:color w:val="FFFFFF"/>
                <w:sz w:val="18"/>
                <w:szCs w:val="18"/>
              </w:rPr>
            </w:pPr>
            <w:r w:rsidRPr="003622F3">
              <w:rPr>
                <w:rFonts w:ascii="CAIXA Std Book" w:hAnsi="CAIXA Std Book" w:cs="Arial"/>
                <w:b/>
                <w:color w:val="FFFFFF"/>
                <w:sz w:val="18"/>
                <w:szCs w:val="18"/>
              </w:rPr>
              <w:t>(665.</w:t>
            </w:r>
            <w:r w:rsidRPr="00192014">
              <w:rPr>
                <w:rFonts w:ascii="CAIXA Std Book" w:hAnsi="CAIXA Std Book" w:cs="Arial"/>
                <w:b/>
                <w:color w:val="FFFFFF"/>
                <w:sz w:val="18"/>
                <w:szCs w:val="18"/>
              </w:rPr>
              <w:t>515)</w:t>
            </w:r>
          </w:p>
        </w:tc>
      </w:tr>
    </w:tbl>
    <w:p w14:paraId="397E924F" w14:textId="0CEABC1F" w:rsidR="00087E61" w:rsidRPr="00E95E29" w:rsidRDefault="00087E61" w:rsidP="00B735D2">
      <w:pPr>
        <w:pStyle w:val="Ttulo1"/>
      </w:pPr>
      <w:bookmarkStart w:id="140" w:name="_Toc217914350"/>
      <w:bookmarkStart w:id="141" w:name="_Toc229588500"/>
      <w:r w:rsidRPr="00E95E29">
        <w:t>Nota   2</w:t>
      </w:r>
      <w:r w:rsidR="00323B4E">
        <w:t>4</w:t>
      </w:r>
      <w:r w:rsidR="00E82528" w:rsidRPr="00E95E29">
        <w:t xml:space="preserve"> </w:t>
      </w:r>
      <w:r w:rsidRPr="00E95E29">
        <w:t xml:space="preserve">– </w:t>
      </w:r>
      <w:r w:rsidR="00FC3B72" w:rsidRPr="00E95E29">
        <w:t>Receitas de prestação de serviços e rendas de tarifas bancárias</w:t>
      </w:r>
      <w:bookmarkEnd w:id="140"/>
      <w:bookmarkEnd w:id="141"/>
    </w:p>
    <w:tbl>
      <w:tblPr>
        <w:tblW w:w="5000" w:type="pct"/>
        <w:tblCellMar>
          <w:left w:w="70" w:type="dxa"/>
          <w:right w:w="70" w:type="dxa"/>
        </w:tblCellMar>
        <w:tblLook w:val="04A0" w:firstRow="1" w:lastRow="0" w:firstColumn="1" w:lastColumn="0" w:noHBand="0" w:noVBand="1"/>
      </w:tblPr>
      <w:tblGrid>
        <w:gridCol w:w="4669"/>
        <w:gridCol w:w="1243"/>
        <w:gridCol w:w="1245"/>
        <w:gridCol w:w="1243"/>
        <w:gridCol w:w="1238"/>
      </w:tblGrid>
      <w:tr w:rsidR="00656365" w:rsidRPr="00656365" w14:paraId="4D013DE4" w14:textId="77777777" w:rsidTr="00CC0BB6">
        <w:trPr>
          <w:trHeight w:val="283"/>
        </w:trPr>
        <w:tc>
          <w:tcPr>
            <w:tcW w:w="2422" w:type="pct"/>
            <w:vMerge w:val="restart"/>
            <w:tcBorders>
              <w:top w:val="single" w:sz="4" w:space="0" w:color="FFFFFF"/>
              <w:left w:val="nil"/>
              <w:bottom w:val="single" w:sz="4" w:space="0" w:color="FFFFFF"/>
              <w:right w:val="nil"/>
            </w:tcBorders>
            <w:shd w:val="clear" w:color="000000" w:fill="005CA9"/>
            <w:vAlign w:val="center"/>
            <w:hideMark/>
          </w:tcPr>
          <w:p w14:paraId="4BABD571" w14:textId="77777777" w:rsidR="00656365" w:rsidRPr="00656365" w:rsidRDefault="00656365" w:rsidP="00656365">
            <w:pPr>
              <w:jc w:val="center"/>
              <w:rPr>
                <w:rFonts w:ascii="CAIXA Std Book" w:eastAsia="Times New Roman" w:hAnsi="CAIXA Std Book" w:cs="Times New Roman"/>
                <w:b/>
                <w:bCs/>
                <w:color w:val="FFFFFF"/>
                <w:sz w:val="18"/>
                <w:szCs w:val="18"/>
              </w:rPr>
            </w:pPr>
            <w:bookmarkStart w:id="142" w:name="_Toc217914351"/>
            <w:r w:rsidRPr="00656365">
              <w:rPr>
                <w:rFonts w:ascii="CAIXA Std Book" w:eastAsia="Times New Roman" w:hAnsi="CAIXA Std Book" w:cs="Times New Roman"/>
                <w:b/>
                <w:bCs/>
                <w:color w:val="FFFFFF"/>
                <w:sz w:val="18"/>
                <w:szCs w:val="18"/>
              </w:rPr>
              <w:t>Descrição</w:t>
            </w:r>
          </w:p>
        </w:tc>
        <w:tc>
          <w:tcPr>
            <w:tcW w:w="1291" w:type="pct"/>
            <w:gridSpan w:val="2"/>
            <w:tcBorders>
              <w:top w:val="single" w:sz="4" w:space="0" w:color="FFFFFF"/>
              <w:left w:val="nil"/>
              <w:bottom w:val="single" w:sz="4" w:space="0" w:color="FFFFFF" w:themeColor="background1"/>
              <w:right w:val="nil"/>
            </w:tcBorders>
            <w:shd w:val="clear" w:color="000000" w:fill="005CA9"/>
            <w:vAlign w:val="center"/>
            <w:hideMark/>
          </w:tcPr>
          <w:p w14:paraId="1A282EB0" w14:textId="77777777" w:rsidR="00656365" w:rsidRPr="00656365" w:rsidRDefault="00656365" w:rsidP="00656365">
            <w:pPr>
              <w:jc w:val="center"/>
              <w:rPr>
                <w:rFonts w:ascii="CAIXA Std Book" w:eastAsia="Times New Roman" w:hAnsi="CAIXA Std Book" w:cs="Times New Roman"/>
                <w:b/>
                <w:bCs/>
                <w:color w:val="FFFFFF"/>
                <w:sz w:val="18"/>
                <w:szCs w:val="18"/>
              </w:rPr>
            </w:pPr>
            <w:r w:rsidRPr="00656365">
              <w:rPr>
                <w:rFonts w:ascii="CAIXA Std Book" w:eastAsia="Times New Roman" w:hAnsi="CAIXA Std Book" w:cs="Times New Roman"/>
                <w:b/>
                <w:bCs/>
                <w:color w:val="FFFFFF"/>
                <w:sz w:val="18"/>
                <w:szCs w:val="18"/>
              </w:rPr>
              <w:t>Individual</w:t>
            </w:r>
          </w:p>
        </w:tc>
        <w:tc>
          <w:tcPr>
            <w:tcW w:w="1287" w:type="pct"/>
            <w:gridSpan w:val="2"/>
            <w:tcBorders>
              <w:top w:val="single" w:sz="4" w:space="0" w:color="FFFFFF"/>
              <w:left w:val="nil"/>
              <w:bottom w:val="single" w:sz="4" w:space="0" w:color="FFFFFF" w:themeColor="background1"/>
              <w:right w:val="nil"/>
            </w:tcBorders>
            <w:shd w:val="clear" w:color="000000" w:fill="005CA9"/>
            <w:vAlign w:val="center"/>
            <w:hideMark/>
          </w:tcPr>
          <w:p w14:paraId="1293D93A" w14:textId="77777777" w:rsidR="00656365" w:rsidRPr="00656365" w:rsidRDefault="00656365" w:rsidP="00656365">
            <w:pPr>
              <w:jc w:val="center"/>
              <w:rPr>
                <w:rFonts w:ascii="CAIXA Std Book" w:eastAsia="Times New Roman" w:hAnsi="CAIXA Std Book" w:cs="Times New Roman"/>
                <w:b/>
                <w:bCs/>
                <w:color w:val="FFFFFF"/>
                <w:sz w:val="18"/>
                <w:szCs w:val="18"/>
              </w:rPr>
            </w:pPr>
            <w:r w:rsidRPr="00656365">
              <w:rPr>
                <w:rFonts w:ascii="CAIXA Std Book" w:eastAsia="Times New Roman" w:hAnsi="CAIXA Std Book" w:cs="Times New Roman"/>
                <w:b/>
                <w:bCs/>
                <w:color w:val="FFFFFF"/>
                <w:sz w:val="18"/>
                <w:szCs w:val="18"/>
              </w:rPr>
              <w:t>Consolidado</w:t>
            </w:r>
          </w:p>
        </w:tc>
      </w:tr>
      <w:tr w:rsidR="00656365" w:rsidRPr="00656365" w14:paraId="0822EFE1" w14:textId="77777777" w:rsidTr="00CC0BB6">
        <w:trPr>
          <w:trHeight w:val="283"/>
        </w:trPr>
        <w:tc>
          <w:tcPr>
            <w:tcW w:w="2422" w:type="pct"/>
            <w:vMerge/>
            <w:tcBorders>
              <w:top w:val="single" w:sz="4" w:space="0" w:color="FFFFFF"/>
              <w:left w:val="nil"/>
              <w:bottom w:val="single" w:sz="4" w:space="0" w:color="FFFFFF"/>
              <w:right w:val="nil"/>
            </w:tcBorders>
            <w:vAlign w:val="center"/>
            <w:hideMark/>
          </w:tcPr>
          <w:p w14:paraId="43B03A08" w14:textId="77777777" w:rsidR="00656365" w:rsidRPr="00656365" w:rsidRDefault="00656365" w:rsidP="00656365">
            <w:pPr>
              <w:rPr>
                <w:rFonts w:ascii="CAIXA Std Book" w:eastAsia="Times New Roman" w:hAnsi="CAIXA Std Book" w:cs="Times New Roman"/>
                <w:b/>
                <w:bCs/>
                <w:color w:val="FFFFFF"/>
                <w:sz w:val="18"/>
                <w:szCs w:val="18"/>
              </w:rPr>
            </w:pPr>
          </w:p>
        </w:tc>
        <w:tc>
          <w:tcPr>
            <w:tcW w:w="645" w:type="pct"/>
            <w:tcBorders>
              <w:top w:val="single" w:sz="4" w:space="0" w:color="FFFFFF" w:themeColor="background1"/>
              <w:left w:val="nil"/>
              <w:bottom w:val="single" w:sz="4" w:space="0" w:color="FFFFFF"/>
              <w:right w:val="nil"/>
            </w:tcBorders>
            <w:shd w:val="clear" w:color="000000" w:fill="005CA9"/>
            <w:vAlign w:val="center"/>
            <w:hideMark/>
          </w:tcPr>
          <w:p w14:paraId="5AAF1574" w14:textId="2BBC203A" w:rsidR="00656365" w:rsidRPr="00656365" w:rsidRDefault="00656365" w:rsidP="00656365">
            <w:pPr>
              <w:jc w:val="center"/>
              <w:rPr>
                <w:rFonts w:ascii="CAIXA Std Book" w:eastAsia="Times New Roman" w:hAnsi="CAIXA Std Book" w:cs="Times New Roman"/>
                <w:b/>
                <w:bCs/>
                <w:color w:val="FFFFFF"/>
                <w:sz w:val="18"/>
                <w:szCs w:val="18"/>
              </w:rPr>
            </w:pPr>
            <w:r w:rsidRPr="00656365">
              <w:rPr>
                <w:rFonts w:ascii="CAIXA Std Book" w:eastAsia="Times New Roman" w:hAnsi="CAIXA Std Book" w:cs="Times New Roman"/>
                <w:b/>
                <w:bCs/>
                <w:color w:val="FFFFFF"/>
                <w:sz w:val="18"/>
                <w:szCs w:val="18"/>
              </w:rPr>
              <w:t>202</w:t>
            </w:r>
            <w:r w:rsidR="00152BB7">
              <w:rPr>
                <w:rFonts w:ascii="CAIXA Std Book" w:eastAsia="Times New Roman" w:hAnsi="CAIXA Std Book" w:cs="Times New Roman"/>
                <w:b/>
                <w:bCs/>
                <w:color w:val="FFFFFF"/>
                <w:sz w:val="18"/>
                <w:szCs w:val="18"/>
              </w:rPr>
              <w:t>6</w:t>
            </w:r>
          </w:p>
        </w:tc>
        <w:tc>
          <w:tcPr>
            <w:tcW w:w="646" w:type="pct"/>
            <w:tcBorders>
              <w:top w:val="single" w:sz="4" w:space="0" w:color="FFFFFF" w:themeColor="background1"/>
              <w:left w:val="nil"/>
              <w:bottom w:val="single" w:sz="4" w:space="0" w:color="FFFFFF"/>
              <w:right w:val="nil"/>
            </w:tcBorders>
            <w:shd w:val="clear" w:color="000000" w:fill="005CA9"/>
            <w:vAlign w:val="center"/>
            <w:hideMark/>
          </w:tcPr>
          <w:p w14:paraId="09D6E719" w14:textId="3D4D0FE8" w:rsidR="00656365" w:rsidRPr="00656365" w:rsidRDefault="00656365" w:rsidP="00656365">
            <w:pPr>
              <w:jc w:val="center"/>
              <w:rPr>
                <w:rFonts w:ascii="CAIXA Std Book" w:eastAsia="Times New Roman" w:hAnsi="CAIXA Std Book" w:cs="Times New Roman"/>
                <w:b/>
                <w:bCs/>
                <w:color w:val="FFFFFF"/>
                <w:sz w:val="18"/>
                <w:szCs w:val="18"/>
              </w:rPr>
            </w:pPr>
            <w:r w:rsidRPr="00656365">
              <w:rPr>
                <w:rFonts w:ascii="CAIXA Std Book" w:eastAsia="Times New Roman" w:hAnsi="CAIXA Std Book" w:cs="Times New Roman"/>
                <w:b/>
                <w:bCs/>
                <w:color w:val="FFFFFF"/>
                <w:sz w:val="18"/>
                <w:szCs w:val="18"/>
              </w:rPr>
              <w:t>202</w:t>
            </w:r>
            <w:r w:rsidR="00152BB7">
              <w:rPr>
                <w:rFonts w:ascii="CAIXA Std Book" w:eastAsia="Times New Roman" w:hAnsi="CAIXA Std Book" w:cs="Times New Roman"/>
                <w:b/>
                <w:bCs/>
                <w:color w:val="FFFFFF"/>
                <w:sz w:val="18"/>
                <w:szCs w:val="18"/>
              </w:rPr>
              <w:t>5</w:t>
            </w:r>
          </w:p>
        </w:tc>
        <w:tc>
          <w:tcPr>
            <w:tcW w:w="645" w:type="pct"/>
            <w:tcBorders>
              <w:top w:val="single" w:sz="4" w:space="0" w:color="FFFFFF" w:themeColor="background1"/>
              <w:left w:val="nil"/>
              <w:bottom w:val="single" w:sz="4" w:space="0" w:color="FFFFFF"/>
              <w:right w:val="nil"/>
            </w:tcBorders>
            <w:shd w:val="clear" w:color="000000" w:fill="005CA9"/>
            <w:vAlign w:val="center"/>
            <w:hideMark/>
          </w:tcPr>
          <w:p w14:paraId="146C6966" w14:textId="498532F0" w:rsidR="00656365" w:rsidRPr="00656365" w:rsidRDefault="00656365" w:rsidP="00656365">
            <w:pPr>
              <w:jc w:val="center"/>
              <w:rPr>
                <w:rFonts w:ascii="CAIXA Std Book" w:eastAsia="Times New Roman" w:hAnsi="CAIXA Std Book" w:cs="Times New Roman"/>
                <w:b/>
                <w:bCs/>
                <w:color w:val="FFFFFF"/>
                <w:sz w:val="18"/>
                <w:szCs w:val="18"/>
              </w:rPr>
            </w:pPr>
            <w:r w:rsidRPr="00656365">
              <w:rPr>
                <w:rFonts w:ascii="CAIXA Std Book" w:eastAsia="Times New Roman" w:hAnsi="CAIXA Std Book" w:cs="Times New Roman"/>
                <w:b/>
                <w:bCs/>
                <w:color w:val="FFFFFF"/>
                <w:sz w:val="18"/>
                <w:szCs w:val="18"/>
              </w:rPr>
              <w:t>202</w:t>
            </w:r>
            <w:r w:rsidR="00CF50CB">
              <w:rPr>
                <w:rFonts w:ascii="CAIXA Std Book" w:eastAsia="Times New Roman" w:hAnsi="CAIXA Std Book" w:cs="Times New Roman"/>
                <w:b/>
                <w:bCs/>
                <w:color w:val="FFFFFF"/>
                <w:sz w:val="18"/>
                <w:szCs w:val="18"/>
              </w:rPr>
              <w:t>6</w:t>
            </w:r>
          </w:p>
        </w:tc>
        <w:tc>
          <w:tcPr>
            <w:tcW w:w="642" w:type="pct"/>
            <w:tcBorders>
              <w:top w:val="single" w:sz="4" w:space="0" w:color="FFFFFF" w:themeColor="background1"/>
              <w:left w:val="nil"/>
              <w:bottom w:val="single" w:sz="4" w:space="0" w:color="FFFFFF"/>
              <w:right w:val="nil"/>
            </w:tcBorders>
            <w:shd w:val="clear" w:color="000000" w:fill="005CA9"/>
            <w:vAlign w:val="center"/>
            <w:hideMark/>
          </w:tcPr>
          <w:p w14:paraId="1E143431" w14:textId="17A1ABFB" w:rsidR="00656365" w:rsidRPr="00656365" w:rsidRDefault="00656365" w:rsidP="00656365">
            <w:pPr>
              <w:jc w:val="center"/>
              <w:rPr>
                <w:rFonts w:ascii="CAIXA Std Book" w:eastAsia="Times New Roman" w:hAnsi="CAIXA Std Book" w:cs="Times New Roman"/>
                <w:b/>
                <w:bCs/>
                <w:color w:val="FFFFFF"/>
                <w:sz w:val="18"/>
                <w:szCs w:val="18"/>
              </w:rPr>
            </w:pPr>
            <w:r w:rsidRPr="00656365">
              <w:rPr>
                <w:rFonts w:ascii="CAIXA Std Book" w:eastAsia="Times New Roman" w:hAnsi="CAIXA Std Book" w:cs="Times New Roman"/>
                <w:b/>
                <w:bCs/>
                <w:color w:val="FFFFFF"/>
                <w:sz w:val="18"/>
                <w:szCs w:val="18"/>
              </w:rPr>
              <w:t>202</w:t>
            </w:r>
            <w:r w:rsidR="00CF50CB">
              <w:rPr>
                <w:rFonts w:ascii="CAIXA Std Book" w:eastAsia="Times New Roman" w:hAnsi="CAIXA Std Book" w:cs="Times New Roman"/>
                <w:b/>
                <w:bCs/>
                <w:color w:val="FFFFFF"/>
                <w:sz w:val="18"/>
                <w:szCs w:val="18"/>
              </w:rPr>
              <w:t>5</w:t>
            </w:r>
          </w:p>
        </w:tc>
      </w:tr>
      <w:tr w:rsidR="00656365" w:rsidRPr="00656365" w14:paraId="1631F74A" w14:textId="77777777" w:rsidTr="00CC0BB6">
        <w:trPr>
          <w:trHeight w:val="283"/>
        </w:trPr>
        <w:tc>
          <w:tcPr>
            <w:tcW w:w="2422" w:type="pct"/>
            <w:vMerge/>
            <w:tcBorders>
              <w:top w:val="single" w:sz="4" w:space="0" w:color="FFFFFF"/>
              <w:left w:val="nil"/>
              <w:bottom w:val="single" w:sz="4" w:space="0" w:color="FFFFFF"/>
              <w:right w:val="nil"/>
            </w:tcBorders>
            <w:vAlign w:val="center"/>
            <w:hideMark/>
          </w:tcPr>
          <w:p w14:paraId="3F59476E" w14:textId="77777777" w:rsidR="00656365" w:rsidRPr="00656365" w:rsidRDefault="00656365" w:rsidP="00656365">
            <w:pPr>
              <w:rPr>
                <w:rFonts w:ascii="CAIXA Std Book" w:eastAsia="Times New Roman" w:hAnsi="CAIXA Std Book" w:cs="Times New Roman"/>
                <w:b/>
                <w:bCs/>
                <w:color w:val="FFFFFF"/>
                <w:sz w:val="18"/>
                <w:szCs w:val="18"/>
              </w:rPr>
            </w:pPr>
          </w:p>
        </w:tc>
        <w:tc>
          <w:tcPr>
            <w:tcW w:w="645" w:type="pct"/>
            <w:tcBorders>
              <w:top w:val="nil"/>
              <w:left w:val="nil"/>
              <w:bottom w:val="nil"/>
              <w:right w:val="nil"/>
            </w:tcBorders>
            <w:shd w:val="clear" w:color="000000" w:fill="005CA9"/>
            <w:vAlign w:val="center"/>
            <w:hideMark/>
          </w:tcPr>
          <w:p w14:paraId="5F1625BE" w14:textId="77777777" w:rsidR="00656365" w:rsidRPr="00656365" w:rsidRDefault="00656365" w:rsidP="00656365">
            <w:pPr>
              <w:jc w:val="center"/>
              <w:rPr>
                <w:rFonts w:ascii="CAIXA Std Book" w:eastAsia="Times New Roman" w:hAnsi="CAIXA Std Book" w:cs="Times New Roman"/>
                <w:b/>
                <w:bCs/>
                <w:color w:val="FFFFFF"/>
                <w:sz w:val="18"/>
                <w:szCs w:val="18"/>
              </w:rPr>
            </w:pPr>
            <w:r w:rsidRPr="00656365">
              <w:rPr>
                <w:rFonts w:ascii="CAIXA Std Book" w:eastAsia="Times New Roman" w:hAnsi="CAIXA Std Book" w:cs="Times New Roman"/>
                <w:b/>
                <w:bCs/>
                <w:color w:val="FFFFFF"/>
                <w:sz w:val="18"/>
                <w:szCs w:val="18"/>
              </w:rPr>
              <w:t>1º trimestre</w:t>
            </w:r>
          </w:p>
        </w:tc>
        <w:tc>
          <w:tcPr>
            <w:tcW w:w="646" w:type="pct"/>
            <w:tcBorders>
              <w:top w:val="nil"/>
              <w:left w:val="nil"/>
              <w:bottom w:val="nil"/>
              <w:right w:val="nil"/>
            </w:tcBorders>
            <w:shd w:val="clear" w:color="000000" w:fill="005CA9"/>
            <w:vAlign w:val="center"/>
            <w:hideMark/>
          </w:tcPr>
          <w:p w14:paraId="6FB2E19B" w14:textId="77777777" w:rsidR="00656365" w:rsidRPr="00656365" w:rsidRDefault="00656365" w:rsidP="00656365">
            <w:pPr>
              <w:jc w:val="center"/>
              <w:rPr>
                <w:rFonts w:ascii="CAIXA Std Book" w:eastAsia="Times New Roman" w:hAnsi="CAIXA Std Book" w:cs="Times New Roman"/>
                <w:b/>
                <w:bCs/>
                <w:color w:val="FFFFFF"/>
                <w:sz w:val="18"/>
                <w:szCs w:val="18"/>
              </w:rPr>
            </w:pPr>
            <w:r w:rsidRPr="00656365">
              <w:rPr>
                <w:rFonts w:ascii="CAIXA Std Book" w:eastAsia="Times New Roman" w:hAnsi="CAIXA Std Book" w:cs="Times New Roman"/>
                <w:b/>
                <w:bCs/>
                <w:color w:val="FFFFFF"/>
                <w:sz w:val="18"/>
                <w:szCs w:val="18"/>
              </w:rPr>
              <w:t>1º trimestre</w:t>
            </w:r>
          </w:p>
        </w:tc>
        <w:tc>
          <w:tcPr>
            <w:tcW w:w="645" w:type="pct"/>
            <w:tcBorders>
              <w:top w:val="nil"/>
              <w:left w:val="nil"/>
              <w:bottom w:val="nil"/>
              <w:right w:val="nil"/>
            </w:tcBorders>
            <w:shd w:val="clear" w:color="000000" w:fill="005CA9"/>
            <w:vAlign w:val="center"/>
            <w:hideMark/>
          </w:tcPr>
          <w:p w14:paraId="3C85F39D" w14:textId="77777777" w:rsidR="00656365" w:rsidRPr="00656365" w:rsidRDefault="00656365" w:rsidP="00656365">
            <w:pPr>
              <w:jc w:val="center"/>
              <w:rPr>
                <w:rFonts w:ascii="CAIXA Std Book" w:eastAsia="Times New Roman" w:hAnsi="CAIXA Std Book" w:cs="Times New Roman"/>
                <w:b/>
                <w:bCs/>
                <w:color w:val="FFFFFF"/>
                <w:sz w:val="18"/>
                <w:szCs w:val="18"/>
              </w:rPr>
            </w:pPr>
            <w:r w:rsidRPr="00656365">
              <w:rPr>
                <w:rFonts w:ascii="CAIXA Std Book" w:eastAsia="Times New Roman" w:hAnsi="CAIXA Std Book" w:cs="Times New Roman"/>
                <w:b/>
                <w:bCs/>
                <w:color w:val="FFFFFF"/>
                <w:sz w:val="18"/>
                <w:szCs w:val="18"/>
              </w:rPr>
              <w:t>1º trimestre</w:t>
            </w:r>
          </w:p>
        </w:tc>
        <w:tc>
          <w:tcPr>
            <w:tcW w:w="642" w:type="pct"/>
            <w:tcBorders>
              <w:top w:val="nil"/>
              <w:left w:val="nil"/>
              <w:bottom w:val="nil"/>
              <w:right w:val="nil"/>
            </w:tcBorders>
            <w:shd w:val="clear" w:color="000000" w:fill="005CA9"/>
            <w:vAlign w:val="center"/>
            <w:hideMark/>
          </w:tcPr>
          <w:p w14:paraId="79DFB50F" w14:textId="77777777" w:rsidR="00656365" w:rsidRPr="00656365" w:rsidRDefault="00656365" w:rsidP="00656365">
            <w:pPr>
              <w:jc w:val="center"/>
              <w:rPr>
                <w:rFonts w:ascii="CAIXA Std Book" w:eastAsia="Times New Roman" w:hAnsi="CAIXA Std Book" w:cs="Times New Roman"/>
                <w:b/>
                <w:bCs/>
                <w:color w:val="FFFFFF"/>
                <w:sz w:val="18"/>
                <w:szCs w:val="18"/>
              </w:rPr>
            </w:pPr>
            <w:r w:rsidRPr="00656365">
              <w:rPr>
                <w:rFonts w:ascii="CAIXA Std Book" w:eastAsia="Times New Roman" w:hAnsi="CAIXA Std Book" w:cs="Times New Roman"/>
                <w:b/>
                <w:bCs/>
                <w:color w:val="FFFFFF"/>
                <w:sz w:val="18"/>
                <w:szCs w:val="18"/>
              </w:rPr>
              <w:t>1º trimestre</w:t>
            </w:r>
          </w:p>
        </w:tc>
      </w:tr>
      <w:tr w:rsidR="00656365" w:rsidRPr="00656365" w14:paraId="59AA7B0F" w14:textId="77777777" w:rsidTr="00CC0BB6">
        <w:trPr>
          <w:trHeight w:val="283"/>
        </w:trPr>
        <w:tc>
          <w:tcPr>
            <w:tcW w:w="2422" w:type="pct"/>
            <w:tcBorders>
              <w:top w:val="single" w:sz="8" w:space="0" w:color="FFFFFF"/>
              <w:left w:val="nil"/>
              <w:bottom w:val="single" w:sz="8" w:space="0" w:color="FFFFFF"/>
              <w:right w:val="nil"/>
            </w:tcBorders>
            <w:shd w:val="clear" w:color="000000" w:fill="D0E0E3"/>
            <w:noWrap/>
            <w:vAlign w:val="center"/>
            <w:hideMark/>
          </w:tcPr>
          <w:p w14:paraId="15E888A9" w14:textId="2AF79443" w:rsidR="00656365" w:rsidRPr="00656365" w:rsidRDefault="00656365" w:rsidP="00656365">
            <w:pPr>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Serviços de Governo</w:t>
            </w:r>
          </w:p>
        </w:tc>
        <w:tc>
          <w:tcPr>
            <w:tcW w:w="645" w:type="pct"/>
            <w:tcBorders>
              <w:top w:val="single" w:sz="8" w:space="0" w:color="FFFFFF"/>
              <w:left w:val="nil"/>
              <w:bottom w:val="single" w:sz="8" w:space="0" w:color="FFFFFF"/>
              <w:right w:val="nil"/>
            </w:tcBorders>
            <w:shd w:val="clear" w:color="000000" w:fill="D0E0E3"/>
            <w:noWrap/>
            <w:vAlign w:val="center"/>
          </w:tcPr>
          <w:p w14:paraId="14CF6668" w14:textId="76FF93F2" w:rsidR="00656365" w:rsidRPr="00656365" w:rsidRDefault="009F59BE" w:rsidP="00656365">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2.343.694</w:t>
            </w:r>
          </w:p>
        </w:tc>
        <w:tc>
          <w:tcPr>
            <w:tcW w:w="646" w:type="pct"/>
            <w:tcBorders>
              <w:top w:val="single" w:sz="8" w:space="0" w:color="FFFFFF"/>
              <w:left w:val="nil"/>
              <w:bottom w:val="single" w:sz="8" w:space="0" w:color="FFFFFF"/>
              <w:right w:val="nil"/>
            </w:tcBorders>
            <w:shd w:val="clear" w:color="000000" w:fill="D0E0E3"/>
            <w:noWrap/>
            <w:vAlign w:val="center"/>
            <w:hideMark/>
          </w:tcPr>
          <w:p w14:paraId="7398614B" w14:textId="15C7E084" w:rsidR="00656365" w:rsidRPr="00656365" w:rsidRDefault="00152BB7" w:rsidP="00656365">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2.201.455</w:t>
            </w:r>
          </w:p>
        </w:tc>
        <w:tc>
          <w:tcPr>
            <w:tcW w:w="645" w:type="pct"/>
            <w:tcBorders>
              <w:top w:val="single" w:sz="8" w:space="0" w:color="FFFFFF"/>
              <w:left w:val="nil"/>
              <w:bottom w:val="single" w:sz="8" w:space="0" w:color="FFFFFF"/>
              <w:right w:val="nil"/>
            </w:tcBorders>
            <w:shd w:val="clear" w:color="000000" w:fill="D0E0E3"/>
            <w:noWrap/>
            <w:vAlign w:val="center"/>
          </w:tcPr>
          <w:p w14:paraId="37D97F52" w14:textId="7D3EF3B1" w:rsidR="00656365" w:rsidRPr="00656365" w:rsidRDefault="00183B5D" w:rsidP="00656365">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2.937.83</w:t>
            </w:r>
            <w:r w:rsidR="004520B3">
              <w:rPr>
                <w:rFonts w:ascii="CAIXA Std Book" w:hAnsi="CAIXA Std Book" w:cs="Calibri"/>
                <w:b/>
                <w:bCs/>
                <w:color w:val="005CA9"/>
                <w:sz w:val="18"/>
                <w:szCs w:val="18"/>
              </w:rPr>
              <w:t>6</w:t>
            </w:r>
          </w:p>
        </w:tc>
        <w:tc>
          <w:tcPr>
            <w:tcW w:w="642" w:type="pct"/>
            <w:tcBorders>
              <w:top w:val="single" w:sz="8" w:space="0" w:color="FFFFFF"/>
              <w:left w:val="nil"/>
              <w:bottom w:val="single" w:sz="8" w:space="0" w:color="FFFFFF"/>
              <w:right w:val="nil"/>
            </w:tcBorders>
            <w:shd w:val="clear" w:color="000000" w:fill="D0E0E3"/>
            <w:noWrap/>
            <w:vAlign w:val="center"/>
            <w:hideMark/>
          </w:tcPr>
          <w:p w14:paraId="2DF6370B" w14:textId="68F5DED9" w:rsidR="00656365" w:rsidRPr="00656365" w:rsidRDefault="00CF50CB" w:rsidP="00656365">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2.307.581</w:t>
            </w:r>
          </w:p>
        </w:tc>
      </w:tr>
      <w:tr w:rsidR="00656365" w:rsidRPr="00656365" w14:paraId="3BB3279C" w14:textId="77777777" w:rsidTr="00CC0BB6">
        <w:trPr>
          <w:trHeight w:val="283"/>
        </w:trPr>
        <w:tc>
          <w:tcPr>
            <w:tcW w:w="2422" w:type="pct"/>
            <w:tcBorders>
              <w:top w:val="nil"/>
              <w:left w:val="nil"/>
              <w:bottom w:val="nil"/>
              <w:right w:val="nil"/>
            </w:tcBorders>
            <w:shd w:val="clear" w:color="000000" w:fill="D0E0E3"/>
            <w:noWrap/>
            <w:vAlign w:val="center"/>
            <w:hideMark/>
          </w:tcPr>
          <w:p w14:paraId="7C3FD506" w14:textId="4C46C9F1" w:rsidR="00656365" w:rsidRPr="00656365" w:rsidRDefault="00656365" w:rsidP="00656365">
            <w:pPr>
              <w:ind w:firstLineChars="100" w:firstLine="180"/>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Administração e fomento de entidades e programas</w:t>
            </w:r>
          </w:p>
        </w:tc>
        <w:tc>
          <w:tcPr>
            <w:tcW w:w="645" w:type="pct"/>
            <w:tcBorders>
              <w:top w:val="nil"/>
              <w:left w:val="nil"/>
              <w:bottom w:val="nil"/>
              <w:right w:val="nil"/>
            </w:tcBorders>
            <w:shd w:val="clear" w:color="000000" w:fill="D0E0E3"/>
            <w:noWrap/>
            <w:vAlign w:val="center"/>
          </w:tcPr>
          <w:p w14:paraId="37DC3A92" w14:textId="52BDFBF0" w:rsidR="00656365" w:rsidRPr="00656365" w:rsidRDefault="009F59BE" w:rsidP="00656365">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1.754.698</w:t>
            </w:r>
          </w:p>
        </w:tc>
        <w:tc>
          <w:tcPr>
            <w:tcW w:w="646" w:type="pct"/>
            <w:tcBorders>
              <w:top w:val="nil"/>
              <w:left w:val="nil"/>
              <w:bottom w:val="nil"/>
              <w:right w:val="nil"/>
            </w:tcBorders>
            <w:shd w:val="clear" w:color="000000" w:fill="D0E0E3"/>
            <w:noWrap/>
            <w:vAlign w:val="center"/>
            <w:hideMark/>
          </w:tcPr>
          <w:p w14:paraId="16BFC264" w14:textId="3D4B100C" w:rsidR="00656365" w:rsidRPr="00656365" w:rsidRDefault="00152BB7" w:rsidP="00656365">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1.727.307</w:t>
            </w:r>
          </w:p>
        </w:tc>
        <w:tc>
          <w:tcPr>
            <w:tcW w:w="645" w:type="pct"/>
            <w:tcBorders>
              <w:top w:val="nil"/>
              <w:left w:val="nil"/>
              <w:bottom w:val="nil"/>
              <w:right w:val="nil"/>
            </w:tcBorders>
            <w:shd w:val="clear" w:color="000000" w:fill="D0E0E3"/>
            <w:noWrap/>
            <w:vAlign w:val="center"/>
          </w:tcPr>
          <w:p w14:paraId="55913784" w14:textId="7064FFF0" w:rsidR="00656365" w:rsidRPr="00656365" w:rsidRDefault="00183B5D" w:rsidP="00656365">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2.348.84</w:t>
            </w:r>
            <w:r w:rsidR="004520B3">
              <w:rPr>
                <w:rFonts w:ascii="CAIXA Std Book" w:hAnsi="CAIXA Std Book" w:cs="Calibri"/>
                <w:b/>
                <w:bCs/>
                <w:color w:val="005CA9"/>
                <w:sz w:val="18"/>
                <w:szCs w:val="18"/>
              </w:rPr>
              <w:t>0</w:t>
            </w:r>
          </w:p>
        </w:tc>
        <w:tc>
          <w:tcPr>
            <w:tcW w:w="642" w:type="pct"/>
            <w:tcBorders>
              <w:top w:val="nil"/>
              <w:left w:val="nil"/>
              <w:bottom w:val="nil"/>
              <w:right w:val="nil"/>
            </w:tcBorders>
            <w:shd w:val="clear" w:color="000000" w:fill="D0E0E3"/>
            <w:noWrap/>
            <w:vAlign w:val="center"/>
            <w:hideMark/>
          </w:tcPr>
          <w:p w14:paraId="3F0B9DD7" w14:textId="3A2A7C25" w:rsidR="00656365" w:rsidRPr="00656365" w:rsidRDefault="00CF50CB" w:rsidP="00656365">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1.833.433</w:t>
            </w:r>
          </w:p>
        </w:tc>
      </w:tr>
      <w:tr w:rsidR="00656365" w:rsidRPr="00656365" w14:paraId="1EA223FC" w14:textId="77777777" w:rsidTr="00CC0BB6">
        <w:trPr>
          <w:trHeight w:val="283"/>
        </w:trPr>
        <w:tc>
          <w:tcPr>
            <w:tcW w:w="2422" w:type="pct"/>
            <w:tcBorders>
              <w:top w:val="nil"/>
              <w:left w:val="nil"/>
              <w:bottom w:val="nil"/>
              <w:right w:val="nil"/>
            </w:tcBorders>
            <w:noWrap/>
            <w:vAlign w:val="center"/>
            <w:hideMark/>
          </w:tcPr>
          <w:p w14:paraId="630351BA" w14:textId="380AB012" w:rsidR="00656365" w:rsidRPr="00656365" w:rsidRDefault="00656365" w:rsidP="00656365">
            <w:pPr>
              <w:ind w:firstLineChars="200" w:firstLine="360"/>
              <w:rPr>
                <w:rFonts w:ascii="CAIXA Std Book" w:eastAsia="Times New Roman" w:hAnsi="CAIXA Std Book" w:cs="Times New Roman"/>
                <w:color w:val="005CA9"/>
                <w:sz w:val="18"/>
                <w:szCs w:val="18"/>
              </w:rPr>
            </w:pPr>
            <w:r>
              <w:rPr>
                <w:rFonts w:ascii="CAIXA Std Book" w:hAnsi="CAIXA Std Book" w:cs="Calibri"/>
                <w:color w:val="005CA9"/>
                <w:sz w:val="18"/>
                <w:szCs w:val="18"/>
              </w:rPr>
              <w:t>FGTS</w:t>
            </w:r>
          </w:p>
        </w:tc>
        <w:tc>
          <w:tcPr>
            <w:tcW w:w="645" w:type="pct"/>
            <w:tcBorders>
              <w:top w:val="nil"/>
              <w:left w:val="nil"/>
              <w:bottom w:val="nil"/>
              <w:right w:val="nil"/>
            </w:tcBorders>
            <w:vAlign w:val="center"/>
          </w:tcPr>
          <w:p w14:paraId="11634668" w14:textId="0D117C88" w:rsidR="00656365" w:rsidRPr="00656365" w:rsidRDefault="009F59BE"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958.074</w:t>
            </w:r>
          </w:p>
        </w:tc>
        <w:tc>
          <w:tcPr>
            <w:tcW w:w="646" w:type="pct"/>
            <w:tcBorders>
              <w:top w:val="nil"/>
              <w:left w:val="nil"/>
              <w:bottom w:val="nil"/>
              <w:right w:val="nil"/>
            </w:tcBorders>
            <w:vAlign w:val="center"/>
            <w:hideMark/>
          </w:tcPr>
          <w:p w14:paraId="2890C499" w14:textId="0F4EA5D2" w:rsidR="00656365" w:rsidRPr="00656365" w:rsidRDefault="00152BB7"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850.556</w:t>
            </w:r>
          </w:p>
        </w:tc>
        <w:tc>
          <w:tcPr>
            <w:tcW w:w="645" w:type="pct"/>
            <w:tcBorders>
              <w:top w:val="nil"/>
              <w:left w:val="nil"/>
              <w:bottom w:val="nil"/>
              <w:right w:val="nil"/>
            </w:tcBorders>
            <w:vAlign w:val="center"/>
          </w:tcPr>
          <w:p w14:paraId="54D2D9A1" w14:textId="7BA1B9E1" w:rsidR="00656365" w:rsidRPr="00656365" w:rsidRDefault="00183B5D"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958.074</w:t>
            </w:r>
          </w:p>
        </w:tc>
        <w:tc>
          <w:tcPr>
            <w:tcW w:w="642" w:type="pct"/>
            <w:tcBorders>
              <w:top w:val="nil"/>
              <w:left w:val="nil"/>
              <w:bottom w:val="nil"/>
              <w:right w:val="nil"/>
            </w:tcBorders>
            <w:vAlign w:val="center"/>
            <w:hideMark/>
          </w:tcPr>
          <w:p w14:paraId="37F3CA3C" w14:textId="77E44682" w:rsidR="00656365" w:rsidRPr="00656365" w:rsidRDefault="00CF50CB"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850.556</w:t>
            </w:r>
          </w:p>
        </w:tc>
      </w:tr>
      <w:tr w:rsidR="00656365" w:rsidRPr="00656365" w14:paraId="5BC12C86" w14:textId="77777777" w:rsidTr="00CC0BB6">
        <w:trPr>
          <w:trHeight w:val="283"/>
        </w:trPr>
        <w:tc>
          <w:tcPr>
            <w:tcW w:w="2422" w:type="pct"/>
            <w:tcBorders>
              <w:top w:val="nil"/>
              <w:left w:val="nil"/>
              <w:bottom w:val="nil"/>
              <w:right w:val="nil"/>
            </w:tcBorders>
            <w:noWrap/>
            <w:vAlign w:val="center"/>
            <w:hideMark/>
          </w:tcPr>
          <w:p w14:paraId="4D4B3943" w14:textId="37FDE633" w:rsidR="00656365" w:rsidRPr="00656365" w:rsidRDefault="00CC0BB6" w:rsidP="00656365">
            <w:pPr>
              <w:ind w:firstLineChars="200" w:firstLine="360"/>
              <w:rPr>
                <w:rFonts w:ascii="CAIXA Std Book" w:eastAsia="Times New Roman" w:hAnsi="CAIXA Std Book" w:cs="Times New Roman"/>
                <w:color w:val="005CA9"/>
                <w:sz w:val="18"/>
                <w:szCs w:val="18"/>
              </w:rPr>
            </w:pPr>
            <w:r>
              <w:rPr>
                <w:rFonts w:ascii="CAIXA Std Book" w:hAnsi="CAIXA Std Book" w:cs="Calibri"/>
                <w:color w:val="005CA9"/>
                <w:sz w:val="18"/>
                <w:szCs w:val="18"/>
              </w:rPr>
              <w:t>Loterias</w:t>
            </w:r>
          </w:p>
        </w:tc>
        <w:tc>
          <w:tcPr>
            <w:tcW w:w="645" w:type="pct"/>
            <w:tcBorders>
              <w:top w:val="nil"/>
              <w:left w:val="nil"/>
              <w:bottom w:val="nil"/>
              <w:right w:val="nil"/>
            </w:tcBorders>
            <w:vAlign w:val="center"/>
          </w:tcPr>
          <w:p w14:paraId="59E09A74" w14:textId="7F9641BF" w:rsidR="00656365" w:rsidRPr="00656365" w:rsidRDefault="00CC0BB6"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128.919</w:t>
            </w:r>
          </w:p>
        </w:tc>
        <w:tc>
          <w:tcPr>
            <w:tcW w:w="646" w:type="pct"/>
            <w:tcBorders>
              <w:top w:val="nil"/>
              <w:left w:val="nil"/>
              <w:bottom w:val="nil"/>
              <w:right w:val="nil"/>
            </w:tcBorders>
            <w:vAlign w:val="center"/>
            <w:hideMark/>
          </w:tcPr>
          <w:p w14:paraId="18922930" w14:textId="425EECC1" w:rsidR="00656365" w:rsidRPr="00656365" w:rsidRDefault="00CC0BB6"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526.760</w:t>
            </w:r>
          </w:p>
        </w:tc>
        <w:tc>
          <w:tcPr>
            <w:tcW w:w="645" w:type="pct"/>
            <w:tcBorders>
              <w:top w:val="nil"/>
              <w:left w:val="nil"/>
              <w:bottom w:val="nil"/>
              <w:right w:val="nil"/>
            </w:tcBorders>
            <w:vAlign w:val="center"/>
          </w:tcPr>
          <w:p w14:paraId="3A42D022" w14:textId="12B5931B" w:rsidR="00656365" w:rsidRPr="00656365" w:rsidRDefault="00CC0BB6"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723.061</w:t>
            </w:r>
          </w:p>
        </w:tc>
        <w:tc>
          <w:tcPr>
            <w:tcW w:w="642" w:type="pct"/>
            <w:tcBorders>
              <w:top w:val="nil"/>
              <w:left w:val="nil"/>
              <w:bottom w:val="nil"/>
              <w:right w:val="nil"/>
            </w:tcBorders>
            <w:vAlign w:val="center"/>
            <w:hideMark/>
          </w:tcPr>
          <w:p w14:paraId="30377CF2" w14:textId="56AA3B2F" w:rsidR="00656365" w:rsidRPr="00656365" w:rsidRDefault="00CC0BB6"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632.886</w:t>
            </w:r>
          </w:p>
        </w:tc>
      </w:tr>
      <w:tr w:rsidR="00656365" w:rsidRPr="00656365" w14:paraId="5AE1B1CF" w14:textId="77777777" w:rsidTr="00CC0BB6">
        <w:trPr>
          <w:trHeight w:val="283"/>
        </w:trPr>
        <w:tc>
          <w:tcPr>
            <w:tcW w:w="2422" w:type="pct"/>
            <w:tcBorders>
              <w:top w:val="nil"/>
              <w:left w:val="nil"/>
              <w:bottom w:val="nil"/>
              <w:right w:val="nil"/>
            </w:tcBorders>
            <w:noWrap/>
            <w:vAlign w:val="center"/>
            <w:hideMark/>
          </w:tcPr>
          <w:p w14:paraId="1CD5FE01" w14:textId="735C086B" w:rsidR="00656365" w:rsidRPr="00656365" w:rsidRDefault="00CC0BB6" w:rsidP="00656365">
            <w:pPr>
              <w:ind w:firstLineChars="200" w:firstLine="360"/>
              <w:rPr>
                <w:rFonts w:ascii="CAIXA Std Book" w:eastAsia="Times New Roman" w:hAnsi="CAIXA Std Book" w:cs="Times New Roman"/>
                <w:color w:val="005CA9"/>
                <w:sz w:val="18"/>
                <w:szCs w:val="18"/>
              </w:rPr>
            </w:pPr>
            <w:r>
              <w:rPr>
                <w:rFonts w:ascii="CAIXA Std Book" w:hAnsi="CAIXA Std Book" w:cs="Calibri"/>
                <w:color w:val="005CA9"/>
                <w:sz w:val="18"/>
                <w:szCs w:val="18"/>
              </w:rPr>
              <w:t>Programa saneamento</w:t>
            </w:r>
          </w:p>
        </w:tc>
        <w:tc>
          <w:tcPr>
            <w:tcW w:w="645" w:type="pct"/>
            <w:tcBorders>
              <w:top w:val="nil"/>
              <w:left w:val="nil"/>
              <w:bottom w:val="nil"/>
              <w:right w:val="nil"/>
            </w:tcBorders>
            <w:vAlign w:val="center"/>
          </w:tcPr>
          <w:p w14:paraId="587E205D" w14:textId="40F6D968" w:rsidR="00656365" w:rsidRPr="00656365" w:rsidRDefault="00CC0BB6"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130.444</w:t>
            </w:r>
          </w:p>
        </w:tc>
        <w:tc>
          <w:tcPr>
            <w:tcW w:w="646" w:type="pct"/>
            <w:tcBorders>
              <w:top w:val="nil"/>
              <w:left w:val="nil"/>
              <w:bottom w:val="nil"/>
              <w:right w:val="nil"/>
            </w:tcBorders>
            <w:vAlign w:val="center"/>
            <w:hideMark/>
          </w:tcPr>
          <w:p w14:paraId="79AC6BDE" w14:textId="52858A1E" w:rsidR="00656365" w:rsidRPr="00656365" w:rsidRDefault="00CC0BB6"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104.464</w:t>
            </w:r>
          </w:p>
        </w:tc>
        <w:tc>
          <w:tcPr>
            <w:tcW w:w="645" w:type="pct"/>
            <w:tcBorders>
              <w:top w:val="nil"/>
              <w:left w:val="nil"/>
              <w:bottom w:val="nil"/>
              <w:right w:val="nil"/>
            </w:tcBorders>
            <w:vAlign w:val="center"/>
          </w:tcPr>
          <w:p w14:paraId="66B32CEA" w14:textId="242861CB" w:rsidR="00656365" w:rsidRPr="00656365" w:rsidRDefault="00CC0BB6"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130.444</w:t>
            </w:r>
          </w:p>
        </w:tc>
        <w:tc>
          <w:tcPr>
            <w:tcW w:w="642" w:type="pct"/>
            <w:tcBorders>
              <w:top w:val="nil"/>
              <w:left w:val="nil"/>
              <w:bottom w:val="nil"/>
              <w:right w:val="nil"/>
            </w:tcBorders>
            <w:vAlign w:val="center"/>
            <w:hideMark/>
          </w:tcPr>
          <w:p w14:paraId="02CF0439" w14:textId="752BCB89" w:rsidR="00656365" w:rsidRPr="00656365" w:rsidRDefault="00CC0BB6"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104.464</w:t>
            </w:r>
          </w:p>
        </w:tc>
      </w:tr>
      <w:tr w:rsidR="00656365" w:rsidRPr="00656365" w14:paraId="7E8C0436" w14:textId="77777777" w:rsidTr="00CC0BB6">
        <w:trPr>
          <w:trHeight w:val="283"/>
        </w:trPr>
        <w:tc>
          <w:tcPr>
            <w:tcW w:w="2422" w:type="pct"/>
            <w:tcBorders>
              <w:top w:val="nil"/>
              <w:left w:val="nil"/>
              <w:bottom w:val="nil"/>
              <w:right w:val="nil"/>
            </w:tcBorders>
            <w:noWrap/>
            <w:vAlign w:val="center"/>
            <w:hideMark/>
          </w:tcPr>
          <w:p w14:paraId="1F6F2766" w14:textId="32DFC679" w:rsidR="00656365" w:rsidRPr="00656365" w:rsidRDefault="00656365" w:rsidP="00656365">
            <w:pPr>
              <w:ind w:firstLineChars="200" w:firstLine="360"/>
              <w:rPr>
                <w:rFonts w:ascii="CAIXA Std Book" w:eastAsia="Times New Roman" w:hAnsi="CAIXA Std Book" w:cs="Times New Roman"/>
                <w:color w:val="005CA9"/>
                <w:sz w:val="18"/>
                <w:szCs w:val="18"/>
              </w:rPr>
            </w:pPr>
            <w:r>
              <w:rPr>
                <w:rFonts w:ascii="CAIXA Std Book" w:hAnsi="CAIXA Std Book" w:cs="Calibri"/>
                <w:color w:val="005CA9"/>
                <w:sz w:val="18"/>
                <w:szCs w:val="18"/>
              </w:rPr>
              <w:t>Minha Casa Minha Vida</w:t>
            </w:r>
          </w:p>
        </w:tc>
        <w:tc>
          <w:tcPr>
            <w:tcW w:w="645" w:type="pct"/>
            <w:tcBorders>
              <w:top w:val="nil"/>
              <w:left w:val="nil"/>
              <w:bottom w:val="nil"/>
              <w:right w:val="nil"/>
            </w:tcBorders>
            <w:vAlign w:val="center"/>
          </w:tcPr>
          <w:p w14:paraId="06472C54" w14:textId="4DCDDC02" w:rsidR="00656365" w:rsidRPr="00656365" w:rsidRDefault="009F59BE"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105.061</w:t>
            </w:r>
          </w:p>
        </w:tc>
        <w:tc>
          <w:tcPr>
            <w:tcW w:w="646" w:type="pct"/>
            <w:tcBorders>
              <w:top w:val="nil"/>
              <w:left w:val="nil"/>
              <w:bottom w:val="nil"/>
              <w:right w:val="nil"/>
            </w:tcBorders>
            <w:vAlign w:val="center"/>
            <w:hideMark/>
          </w:tcPr>
          <w:p w14:paraId="737C55CC" w14:textId="1AB49E2B" w:rsidR="00656365" w:rsidRPr="00656365" w:rsidRDefault="00152BB7"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61.863</w:t>
            </w:r>
          </w:p>
        </w:tc>
        <w:tc>
          <w:tcPr>
            <w:tcW w:w="645" w:type="pct"/>
            <w:tcBorders>
              <w:top w:val="nil"/>
              <w:left w:val="nil"/>
              <w:bottom w:val="nil"/>
              <w:right w:val="nil"/>
            </w:tcBorders>
            <w:vAlign w:val="center"/>
          </w:tcPr>
          <w:p w14:paraId="03F477A9" w14:textId="0C8EB47E" w:rsidR="00656365" w:rsidRPr="00656365" w:rsidRDefault="00183B5D"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105.061</w:t>
            </w:r>
          </w:p>
        </w:tc>
        <w:tc>
          <w:tcPr>
            <w:tcW w:w="642" w:type="pct"/>
            <w:tcBorders>
              <w:top w:val="nil"/>
              <w:left w:val="nil"/>
              <w:bottom w:val="nil"/>
              <w:right w:val="nil"/>
            </w:tcBorders>
            <w:vAlign w:val="center"/>
            <w:hideMark/>
          </w:tcPr>
          <w:p w14:paraId="549F4E4F" w14:textId="361D89F8" w:rsidR="00656365" w:rsidRPr="00656365" w:rsidRDefault="00CF50CB"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61.863</w:t>
            </w:r>
          </w:p>
        </w:tc>
      </w:tr>
      <w:tr w:rsidR="00656365" w:rsidRPr="00656365" w14:paraId="499F5E4D" w14:textId="77777777" w:rsidTr="00CC0BB6">
        <w:trPr>
          <w:trHeight w:val="283"/>
        </w:trPr>
        <w:tc>
          <w:tcPr>
            <w:tcW w:w="2422" w:type="pct"/>
            <w:tcBorders>
              <w:top w:val="nil"/>
              <w:left w:val="nil"/>
              <w:bottom w:val="nil"/>
              <w:right w:val="nil"/>
            </w:tcBorders>
            <w:noWrap/>
            <w:vAlign w:val="center"/>
            <w:hideMark/>
          </w:tcPr>
          <w:p w14:paraId="5C8A91D0" w14:textId="6C59BC87" w:rsidR="00656365" w:rsidRPr="00656365" w:rsidRDefault="009F59BE" w:rsidP="00656365">
            <w:pPr>
              <w:ind w:firstLineChars="200" w:firstLine="360"/>
              <w:rPr>
                <w:rFonts w:ascii="CAIXA Std Book" w:eastAsia="Times New Roman" w:hAnsi="CAIXA Std Book" w:cs="Times New Roman"/>
                <w:color w:val="005CA9"/>
                <w:sz w:val="18"/>
                <w:szCs w:val="18"/>
              </w:rPr>
            </w:pPr>
            <w:r>
              <w:rPr>
                <w:rFonts w:ascii="CAIXA Std Book" w:hAnsi="CAIXA Std Book" w:cs="Calibri"/>
                <w:color w:val="005CA9"/>
                <w:sz w:val="18"/>
                <w:szCs w:val="18"/>
              </w:rPr>
              <w:t>FIES</w:t>
            </w:r>
          </w:p>
        </w:tc>
        <w:tc>
          <w:tcPr>
            <w:tcW w:w="645" w:type="pct"/>
            <w:tcBorders>
              <w:top w:val="nil"/>
              <w:left w:val="nil"/>
              <w:bottom w:val="nil"/>
              <w:right w:val="nil"/>
            </w:tcBorders>
            <w:vAlign w:val="center"/>
          </w:tcPr>
          <w:p w14:paraId="4B08BEB0" w14:textId="49A26FB8" w:rsidR="00656365" w:rsidRPr="00656365" w:rsidRDefault="009F59BE"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103.862</w:t>
            </w:r>
          </w:p>
        </w:tc>
        <w:tc>
          <w:tcPr>
            <w:tcW w:w="646" w:type="pct"/>
            <w:tcBorders>
              <w:top w:val="nil"/>
              <w:left w:val="nil"/>
              <w:bottom w:val="nil"/>
              <w:right w:val="nil"/>
            </w:tcBorders>
            <w:vAlign w:val="center"/>
            <w:hideMark/>
          </w:tcPr>
          <w:p w14:paraId="298855E2" w14:textId="04F03E8C" w:rsidR="00656365" w:rsidRPr="00656365" w:rsidRDefault="009F59BE"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106.992</w:t>
            </w:r>
          </w:p>
        </w:tc>
        <w:tc>
          <w:tcPr>
            <w:tcW w:w="645" w:type="pct"/>
            <w:tcBorders>
              <w:top w:val="nil"/>
              <w:left w:val="nil"/>
              <w:bottom w:val="nil"/>
              <w:right w:val="nil"/>
            </w:tcBorders>
            <w:vAlign w:val="center"/>
          </w:tcPr>
          <w:p w14:paraId="6E5380D0" w14:textId="59AEF773" w:rsidR="00656365" w:rsidRPr="00656365" w:rsidRDefault="00183B5D"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103.862</w:t>
            </w:r>
          </w:p>
        </w:tc>
        <w:tc>
          <w:tcPr>
            <w:tcW w:w="642" w:type="pct"/>
            <w:tcBorders>
              <w:top w:val="nil"/>
              <w:left w:val="nil"/>
              <w:bottom w:val="nil"/>
              <w:right w:val="nil"/>
            </w:tcBorders>
            <w:vAlign w:val="center"/>
            <w:hideMark/>
          </w:tcPr>
          <w:p w14:paraId="148190DE" w14:textId="092A3514" w:rsidR="00656365" w:rsidRPr="00656365" w:rsidRDefault="009F59BE"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106.992</w:t>
            </w:r>
          </w:p>
        </w:tc>
      </w:tr>
      <w:tr w:rsidR="00656365" w:rsidRPr="00656365" w14:paraId="4E0FFD44" w14:textId="77777777" w:rsidTr="00CC0BB6">
        <w:trPr>
          <w:trHeight w:val="283"/>
        </w:trPr>
        <w:tc>
          <w:tcPr>
            <w:tcW w:w="2422" w:type="pct"/>
            <w:tcBorders>
              <w:top w:val="nil"/>
              <w:left w:val="nil"/>
              <w:bottom w:val="nil"/>
              <w:right w:val="nil"/>
            </w:tcBorders>
            <w:noWrap/>
            <w:vAlign w:val="center"/>
            <w:hideMark/>
          </w:tcPr>
          <w:p w14:paraId="01F19F05" w14:textId="2C5F3CBF" w:rsidR="00656365" w:rsidRPr="00656365" w:rsidRDefault="00656365" w:rsidP="00656365">
            <w:pPr>
              <w:ind w:firstLineChars="200" w:firstLine="360"/>
              <w:rPr>
                <w:rFonts w:ascii="CAIXA Std Book" w:eastAsia="Times New Roman" w:hAnsi="CAIXA Std Book" w:cs="Times New Roman"/>
                <w:color w:val="005CA9"/>
                <w:sz w:val="18"/>
                <w:szCs w:val="18"/>
              </w:rPr>
            </w:pPr>
            <w:r>
              <w:rPr>
                <w:rFonts w:ascii="CAIXA Std Book" w:hAnsi="CAIXA Std Book" w:cs="Calibri"/>
                <w:color w:val="005CA9"/>
                <w:sz w:val="18"/>
                <w:szCs w:val="18"/>
              </w:rPr>
              <w:t>Outras entidades e programas</w:t>
            </w:r>
          </w:p>
        </w:tc>
        <w:tc>
          <w:tcPr>
            <w:tcW w:w="645" w:type="pct"/>
            <w:tcBorders>
              <w:top w:val="nil"/>
              <w:left w:val="nil"/>
              <w:bottom w:val="nil"/>
              <w:right w:val="nil"/>
            </w:tcBorders>
            <w:vAlign w:val="center"/>
          </w:tcPr>
          <w:p w14:paraId="2D6E3DA3" w14:textId="5CAA3557" w:rsidR="00656365" w:rsidRPr="00656365" w:rsidRDefault="009F59BE"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328.338</w:t>
            </w:r>
          </w:p>
        </w:tc>
        <w:tc>
          <w:tcPr>
            <w:tcW w:w="646" w:type="pct"/>
            <w:tcBorders>
              <w:top w:val="nil"/>
              <w:left w:val="nil"/>
              <w:bottom w:val="nil"/>
              <w:right w:val="nil"/>
            </w:tcBorders>
            <w:vAlign w:val="center"/>
            <w:hideMark/>
          </w:tcPr>
          <w:p w14:paraId="793F603E" w14:textId="42970898" w:rsidR="00656365" w:rsidRPr="00656365" w:rsidRDefault="00152BB7"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76.672</w:t>
            </w:r>
          </w:p>
        </w:tc>
        <w:tc>
          <w:tcPr>
            <w:tcW w:w="645" w:type="pct"/>
            <w:tcBorders>
              <w:top w:val="nil"/>
              <w:left w:val="nil"/>
              <w:bottom w:val="nil"/>
              <w:right w:val="nil"/>
            </w:tcBorders>
            <w:vAlign w:val="center"/>
          </w:tcPr>
          <w:p w14:paraId="0F5C2D0D" w14:textId="2857E107" w:rsidR="00656365" w:rsidRPr="00656365" w:rsidRDefault="00183B5D"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328.338</w:t>
            </w:r>
          </w:p>
        </w:tc>
        <w:tc>
          <w:tcPr>
            <w:tcW w:w="642" w:type="pct"/>
            <w:tcBorders>
              <w:top w:val="nil"/>
              <w:left w:val="nil"/>
              <w:bottom w:val="nil"/>
              <w:right w:val="nil"/>
            </w:tcBorders>
            <w:vAlign w:val="center"/>
            <w:hideMark/>
          </w:tcPr>
          <w:p w14:paraId="5E390F62" w14:textId="04913B8A" w:rsidR="00656365" w:rsidRPr="00656365" w:rsidRDefault="00CF50CB" w:rsidP="00656365">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76.672</w:t>
            </w:r>
          </w:p>
        </w:tc>
      </w:tr>
      <w:tr w:rsidR="00656365" w:rsidRPr="00656365" w14:paraId="4517C10E" w14:textId="77777777" w:rsidTr="00CC0BB6">
        <w:trPr>
          <w:trHeight w:val="283"/>
        </w:trPr>
        <w:tc>
          <w:tcPr>
            <w:tcW w:w="2422" w:type="pct"/>
            <w:tcBorders>
              <w:top w:val="single" w:sz="8" w:space="0" w:color="FFFFFF"/>
              <w:left w:val="nil"/>
              <w:bottom w:val="single" w:sz="8" w:space="0" w:color="FFFFFF"/>
              <w:right w:val="nil"/>
            </w:tcBorders>
            <w:shd w:val="clear" w:color="000000" w:fill="D0E0E3"/>
            <w:noWrap/>
            <w:vAlign w:val="center"/>
            <w:hideMark/>
          </w:tcPr>
          <w:p w14:paraId="5673EB4D" w14:textId="3D499BD7" w:rsidR="00656365" w:rsidRPr="00656365" w:rsidRDefault="00656365" w:rsidP="00656365">
            <w:pPr>
              <w:ind w:firstLineChars="100" w:firstLine="180"/>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Transferência de Benefícios</w:t>
            </w:r>
          </w:p>
        </w:tc>
        <w:tc>
          <w:tcPr>
            <w:tcW w:w="645" w:type="pct"/>
            <w:tcBorders>
              <w:top w:val="single" w:sz="8" w:space="0" w:color="FFFFFF"/>
              <w:left w:val="nil"/>
              <w:bottom w:val="single" w:sz="8" w:space="0" w:color="FFFFFF"/>
              <w:right w:val="nil"/>
            </w:tcBorders>
            <w:shd w:val="clear" w:color="000000" w:fill="D0E0E3"/>
            <w:noWrap/>
            <w:vAlign w:val="center"/>
          </w:tcPr>
          <w:p w14:paraId="3816BB65" w14:textId="4BEC4DFD" w:rsidR="00656365" w:rsidRPr="00656365" w:rsidRDefault="009F59BE" w:rsidP="00656365">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480.330</w:t>
            </w:r>
          </w:p>
        </w:tc>
        <w:tc>
          <w:tcPr>
            <w:tcW w:w="646" w:type="pct"/>
            <w:tcBorders>
              <w:top w:val="single" w:sz="8" w:space="0" w:color="FFFFFF"/>
              <w:left w:val="nil"/>
              <w:bottom w:val="single" w:sz="8" w:space="0" w:color="FFFFFF"/>
              <w:right w:val="nil"/>
            </w:tcBorders>
            <w:shd w:val="clear" w:color="000000" w:fill="D0E0E3"/>
            <w:noWrap/>
            <w:vAlign w:val="center"/>
            <w:hideMark/>
          </w:tcPr>
          <w:p w14:paraId="5B1FE409" w14:textId="08F6AE8C" w:rsidR="00656365" w:rsidRPr="00656365" w:rsidRDefault="00152BB7" w:rsidP="00656365">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372.271</w:t>
            </w:r>
          </w:p>
        </w:tc>
        <w:tc>
          <w:tcPr>
            <w:tcW w:w="645" w:type="pct"/>
            <w:tcBorders>
              <w:top w:val="single" w:sz="8" w:space="0" w:color="FFFFFF"/>
              <w:left w:val="nil"/>
              <w:bottom w:val="single" w:sz="8" w:space="0" w:color="FFFFFF"/>
              <w:right w:val="nil"/>
            </w:tcBorders>
            <w:shd w:val="clear" w:color="000000" w:fill="D0E0E3"/>
            <w:noWrap/>
            <w:vAlign w:val="center"/>
          </w:tcPr>
          <w:p w14:paraId="717C1F02" w14:textId="4E6092BF" w:rsidR="00656365" w:rsidRPr="00656365" w:rsidRDefault="00183B5D" w:rsidP="00656365">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480.330</w:t>
            </w:r>
          </w:p>
        </w:tc>
        <w:tc>
          <w:tcPr>
            <w:tcW w:w="642" w:type="pct"/>
            <w:tcBorders>
              <w:top w:val="single" w:sz="8" w:space="0" w:color="FFFFFF"/>
              <w:left w:val="nil"/>
              <w:bottom w:val="single" w:sz="8" w:space="0" w:color="FFFFFF"/>
              <w:right w:val="nil"/>
            </w:tcBorders>
            <w:shd w:val="clear" w:color="000000" w:fill="D0E0E3"/>
            <w:noWrap/>
            <w:vAlign w:val="center"/>
            <w:hideMark/>
          </w:tcPr>
          <w:p w14:paraId="41BE8597" w14:textId="07CF4DDE" w:rsidR="00656365" w:rsidRPr="00656365" w:rsidRDefault="00CF50CB" w:rsidP="00656365">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372.271</w:t>
            </w:r>
          </w:p>
        </w:tc>
      </w:tr>
      <w:tr w:rsidR="00656365" w:rsidRPr="00656365" w14:paraId="032ACAA1" w14:textId="77777777" w:rsidTr="00CC0BB6">
        <w:trPr>
          <w:trHeight w:val="283"/>
        </w:trPr>
        <w:tc>
          <w:tcPr>
            <w:tcW w:w="2422" w:type="pct"/>
            <w:tcBorders>
              <w:top w:val="nil"/>
              <w:left w:val="nil"/>
              <w:bottom w:val="single" w:sz="8" w:space="0" w:color="FFFFFF"/>
              <w:right w:val="nil"/>
            </w:tcBorders>
            <w:shd w:val="clear" w:color="000000" w:fill="D0E0E3"/>
            <w:noWrap/>
            <w:vAlign w:val="center"/>
            <w:hideMark/>
          </w:tcPr>
          <w:p w14:paraId="3B560FB3" w14:textId="6F509D5D" w:rsidR="00656365" w:rsidRPr="00656365" w:rsidRDefault="00656365" w:rsidP="00656365">
            <w:pPr>
              <w:ind w:firstLineChars="100" w:firstLine="180"/>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Garantias prestadas - Agente operador</w:t>
            </w:r>
          </w:p>
        </w:tc>
        <w:tc>
          <w:tcPr>
            <w:tcW w:w="645" w:type="pct"/>
            <w:tcBorders>
              <w:top w:val="nil"/>
              <w:left w:val="nil"/>
              <w:bottom w:val="single" w:sz="8" w:space="0" w:color="FFFFFF"/>
              <w:right w:val="nil"/>
            </w:tcBorders>
            <w:shd w:val="clear" w:color="000000" w:fill="D0E0E3"/>
            <w:noWrap/>
            <w:vAlign w:val="center"/>
          </w:tcPr>
          <w:p w14:paraId="6FA52928" w14:textId="02B1DC12" w:rsidR="00656365" w:rsidRPr="00656365" w:rsidRDefault="009F59BE" w:rsidP="00656365">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108.666</w:t>
            </w:r>
          </w:p>
        </w:tc>
        <w:tc>
          <w:tcPr>
            <w:tcW w:w="646" w:type="pct"/>
            <w:tcBorders>
              <w:top w:val="nil"/>
              <w:left w:val="nil"/>
              <w:bottom w:val="single" w:sz="8" w:space="0" w:color="FFFFFF"/>
              <w:right w:val="nil"/>
            </w:tcBorders>
            <w:shd w:val="clear" w:color="000000" w:fill="D0E0E3"/>
            <w:noWrap/>
            <w:vAlign w:val="center"/>
            <w:hideMark/>
          </w:tcPr>
          <w:p w14:paraId="2E28C949" w14:textId="47FE0A98" w:rsidR="00656365" w:rsidRPr="00656365" w:rsidRDefault="00152BB7" w:rsidP="00656365">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101.877</w:t>
            </w:r>
          </w:p>
        </w:tc>
        <w:tc>
          <w:tcPr>
            <w:tcW w:w="645" w:type="pct"/>
            <w:tcBorders>
              <w:top w:val="nil"/>
              <w:left w:val="nil"/>
              <w:bottom w:val="single" w:sz="8" w:space="0" w:color="FFFFFF"/>
              <w:right w:val="nil"/>
            </w:tcBorders>
            <w:shd w:val="clear" w:color="000000" w:fill="D0E0E3"/>
            <w:noWrap/>
            <w:vAlign w:val="center"/>
          </w:tcPr>
          <w:p w14:paraId="6DBEC2C5" w14:textId="69EA94FB" w:rsidR="00656365" w:rsidRPr="00656365" w:rsidRDefault="00183B5D" w:rsidP="00656365">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108.666</w:t>
            </w:r>
          </w:p>
        </w:tc>
        <w:tc>
          <w:tcPr>
            <w:tcW w:w="642" w:type="pct"/>
            <w:tcBorders>
              <w:top w:val="nil"/>
              <w:left w:val="nil"/>
              <w:bottom w:val="single" w:sz="8" w:space="0" w:color="FFFFFF"/>
              <w:right w:val="nil"/>
            </w:tcBorders>
            <w:shd w:val="clear" w:color="000000" w:fill="D0E0E3"/>
            <w:noWrap/>
            <w:vAlign w:val="center"/>
            <w:hideMark/>
          </w:tcPr>
          <w:p w14:paraId="4A42E3D2" w14:textId="11169F30" w:rsidR="00656365" w:rsidRPr="00656365" w:rsidRDefault="00CF50CB" w:rsidP="00656365">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101.877</w:t>
            </w:r>
          </w:p>
        </w:tc>
      </w:tr>
      <w:tr w:rsidR="00656365" w:rsidRPr="00656365" w14:paraId="1AB3ADCF" w14:textId="77777777" w:rsidTr="00CC0BB6">
        <w:trPr>
          <w:trHeight w:val="283"/>
        </w:trPr>
        <w:tc>
          <w:tcPr>
            <w:tcW w:w="2422" w:type="pct"/>
            <w:tcBorders>
              <w:top w:val="nil"/>
              <w:left w:val="nil"/>
              <w:bottom w:val="single" w:sz="8" w:space="0" w:color="FFFFFF"/>
              <w:right w:val="nil"/>
            </w:tcBorders>
            <w:shd w:val="clear" w:color="000000" w:fill="D0E0E3"/>
            <w:noWrap/>
            <w:vAlign w:val="center"/>
            <w:hideMark/>
          </w:tcPr>
          <w:p w14:paraId="1BAC4613" w14:textId="2561A26E" w:rsidR="00656365" w:rsidRPr="00656365" w:rsidRDefault="00656365" w:rsidP="00656365">
            <w:pPr>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Conta corrente e tarifas bancárias</w:t>
            </w:r>
          </w:p>
        </w:tc>
        <w:tc>
          <w:tcPr>
            <w:tcW w:w="645" w:type="pct"/>
            <w:tcBorders>
              <w:top w:val="nil"/>
              <w:left w:val="nil"/>
              <w:bottom w:val="single" w:sz="8" w:space="0" w:color="FFFFFF"/>
              <w:right w:val="nil"/>
            </w:tcBorders>
            <w:shd w:val="clear" w:color="000000" w:fill="D0E0E3"/>
            <w:noWrap/>
            <w:vAlign w:val="center"/>
          </w:tcPr>
          <w:p w14:paraId="3B091A9A" w14:textId="2DA12217" w:rsidR="00656365" w:rsidRPr="00656365" w:rsidRDefault="009F59BE" w:rsidP="00656365">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951.346</w:t>
            </w:r>
          </w:p>
        </w:tc>
        <w:tc>
          <w:tcPr>
            <w:tcW w:w="646" w:type="pct"/>
            <w:tcBorders>
              <w:top w:val="nil"/>
              <w:left w:val="nil"/>
              <w:bottom w:val="single" w:sz="8" w:space="0" w:color="FFFFFF"/>
              <w:right w:val="nil"/>
            </w:tcBorders>
            <w:shd w:val="clear" w:color="000000" w:fill="D0E0E3"/>
            <w:noWrap/>
            <w:vAlign w:val="center"/>
            <w:hideMark/>
          </w:tcPr>
          <w:p w14:paraId="674E4C4D" w14:textId="004ABBD8" w:rsidR="00656365" w:rsidRPr="00656365" w:rsidRDefault="00152BB7" w:rsidP="00656365">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1.107.575</w:t>
            </w:r>
          </w:p>
        </w:tc>
        <w:tc>
          <w:tcPr>
            <w:tcW w:w="645" w:type="pct"/>
            <w:tcBorders>
              <w:top w:val="nil"/>
              <w:left w:val="nil"/>
              <w:bottom w:val="single" w:sz="8" w:space="0" w:color="FFFFFF"/>
              <w:right w:val="nil"/>
            </w:tcBorders>
            <w:shd w:val="clear" w:color="000000" w:fill="D0E0E3"/>
            <w:noWrap/>
            <w:vAlign w:val="center"/>
          </w:tcPr>
          <w:p w14:paraId="41D21551" w14:textId="67625B17" w:rsidR="00656365" w:rsidRPr="00656365" w:rsidRDefault="00183B5D" w:rsidP="00656365">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951.289</w:t>
            </w:r>
          </w:p>
        </w:tc>
        <w:tc>
          <w:tcPr>
            <w:tcW w:w="642" w:type="pct"/>
            <w:tcBorders>
              <w:top w:val="nil"/>
              <w:left w:val="nil"/>
              <w:bottom w:val="single" w:sz="8" w:space="0" w:color="FFFFFF"/>
              <w:right w:val="nil"/>
            </w:tcBorders>
            <w:shd w:val="clear" w:color="000000" w:fill="D0E0E3"/>
            <w:noWrap/>
            <w:vAlign w:val="center"/>
            <w:hideMark/>
          </w:tcPr>
          <w:p w14:paraId="33889B1E" w14:textId="43EBFC4C" w:rsidR="00656365" w:rsidRPr="00656365" w:rsidRDefault="00CF50CB" w:rsidP="00656365">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1.107.525</w:t>
            </w:r>
          </w:p>
        </w:tc>
      </w:tr>
      <w:tr w:rsidR="00656365" w:rsidRPr="00656365" w14:paraId="7902669E" w14:textId="77777777" w:rsidTr="00CC0BB6">
        <w:trPr>
          <w:trHeight w:val="283"/>
        </w:trPr>
        <w:tc>
          <w:tcPr>
            <w:tcW w:w="2422" w:type="pct"/>
            <w:tcBorders>
              <w:top w:val="nil"/>
              <w:left w:val="nil"/>
              <w:bottom w:val="single" w:sz="8" w:space="0" w:color="FFFFFF"/>
              <w:right w:val="nil"/>
            </w:tcBorders>
            <w:shd w:val="clear" w:color="000000" w:fill="D0E0E3"/>
            <w:noWrap/>
            <w:vAlign w:val="center"/>
            <w:hideMark/>
          </w:tcPr>
          <w:p w14:paraId="7A1FA4DA" w14:textId="1E042A4E" w:rsidR="00656365" w:rsidRPr="00656365" w:rsidRDefault="00656365" w:rsidP="00656365">
            <w:pPr>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Convênio e cobrança</w:t>
            </w:r>
          </w:p>
        </w:tc>
        <w:tc>
          <w:tcPr>
            <w:tcW w:w="645" w:type="pct"/>
            <w:tcBorders>
              <w:top w:val="nil"/>
              <w:left w:val="nil"/>
              <w:bottom w:val="single" w:sz="8" w:space="0" w:color="FFFFFF"/>
              <w:right w:val="nil"/>
            </w:tcBorders>
            <w:shd w:val="clear" w:color="000000" w:fill="D0E0E3"/>
            <w:noWrap/>
            <w:vAlign w:val="center"/>
          </w:tcPr>
          <w:p w14:paraId="2B044A6A" w14:textId="20D7AE48" w:rsidR="00656365" w:rsidRPr="00656365" w:rsidRDefault="009F59BE" w:rsidP="00656365">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462.955</w:t>
            </w:r>
          </w:p>
        </w:tc>
        <w:tc>
          <w:tcPr>
            <w:tcW w:w="646" w:type="pct"/>
            <w:tcBorders>
              <w:top w:val="nil"/>
              <w:left w:val="nil"/>
              <w:bottom w:val="single" w:sz="8" w:space="0" w:color="FFFFFF"/>
              <w:right w:val="nil"/>
            </w:tcBorders>
            <w:shd w:val="clear" w:color="000000" w:fill="D0E0E3"/>
            <w:noWrap/>
            <w:vAlign w:val="center"/>
            <w:hideMark/>
          </w:tcPr>
          <w:p w14:paraId="5EA78ADD" w14:textId="47D50AD5" w:rsidR="00656365" w:rsidRPr="00656365" w:rsidRDefault="00152BB7" w:rsidP="00656365">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493.262</w:t>
            </w:r>
          </w:p>
        </w:tc>
        <w:tc>
          <w:tcPr>
            <w:tcW w:w="645" w:type="pct"/>
            <w:tcBorders>
              <w:top w:val="nil"/>
              <w:left w:val="nil"/>
              <w:bottom w:val="single" w:sz="8" w:space="0" w:color="FFFFFF"/>
              <w:right w:val="nil"/>
            </w:tcBorders>
            <w:shd w:val="clear" w:color="000000" w:fill="D0E0E3"/>
            <w:noWrap/>
            <w:vAlign w:val="center"/>
          </w:tcPr>
          <w:p w14:paraId="5C872FA1" w14:textId="434D6F80" w:rsidR="00656365" w:rsidRPr="00656365" w:rsidRDefault="00183B5D" w:rsidP="00656365">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462.955</w:t>
            </w:r>
          </w:p>
        </w:tc>
        <w:tc>
          <w:tcPr>
            <w:tcW w:w="642" w:type="pct"/>
            <w:tcBorders>
              <w:top w:val="nil"/>
              <w:left w:val="nil"/>
              <w:bottom w:val="single" w:sz="8" w:space="0" w:color="FFFFFF"/>
              <w:right w:val="nil"/>
            </w:tcBorders>
            <w:shd w:val="clear" w:color="000000" w:fill="D0E0E3"/>
            <w:noWrap/>
            <w:vAlign w:val="center"/>
            <w:hideMark/>
          </w:tcPr>
          <w:p w14:paraId="493B0A2E" w14:textId="1B48BEFF" w:rsidR="00656365" w:rsidRPr="00656365" w:rsidRDefault="00CF50CB" w:rsidP="00656365">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493.262</w:t>
            </w:r>
          </w:p>
        </w:tc>
      </w:tr>
      <w:tr w:rsidR="00656365" w:rsidRPr="00656365" w14:paraId="6C3FFA2C" w14:textId="77777777" w:rsidTr="00CC0BB6">
        <w:trPr>
          <w:trHeight w:val="283"/>
        </w:trPr>
        <w:tc>
          <w:tcPr>
            <w:tcW w:w="2422" w:type="pct"/>
            <w:tcBorders>
              <w:top w:val="nil"/>
              <w:left w:val="nil"/>
              <w:bottom w:val="single" w:sz="8" w:space="0" w:color="FFFFFF"/>
              <w:right w:val="nil"/>
            </w:tcBorders>
            <w:shd w:val="clear" w:color="000000" w:fill="D0E0E3"/>
            <w:noWrap/>
            <w:vAlign w:val="center"/>
            <w:hideMark/>
          </w:tcPr>
          <w:p w14:paraId="6C27A86B" w14:textId="71B74BC7" w:rsidR="00656365" w:rsidRPr="00656365" w:rsidRDefault="00656365" w:rsidP="00656365">
            <w:pPr>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Cartões de débito e crédito</w:t>
            </w:r>
          </w:p>
        </w:tc>
        <w:tc>
          <w:tcPr>
            <w:tcW w:w="645" w:type="pct"/>
            <w:tcBorders>
              <w:top w:val="nil"/>
              <w:left w:val="nil"/>
              <w:bottom w:val="single" w:sz="8" w:space="0" w:color="FFFFFF"/>
              <w:right w:val="nil"/>
            </w:tcBorders>
            <w:shd w:val="clear" w:color="000000" w:fill="D0E0E3"/>
            <w:noWrap/>
            <w:vAlign w:val="center"/>
          </w:tcPr>
          <w:p w14:paraId="4874F5CD" w14:textId="1FE2FB65" w:rsidR="00656365" w:rsidRPr="00656365" w:rsidRDefault="009F59BE" w:rsidP="00656365">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32.527</w:t>
            </w:r>
          </w:p>
        </w:tc>
        <w:tc>
          <w:tcPr>
            <w:tcW w:w="646" w:type="pct"/>
            <w:tcBorders>
              <w:top w:val="nil"/>
              <w:left w:val="nil"/>
              <w:bottom w:val="single" w:sz="8" w:space="0" w:color="FFFFFF"/>
              <w:right w:val="nil"/>
            </w:tcBorders>
            <w:shd w:val="clear" w:color="000000" w:fill="D0E0E3"/>
            <w:noWrap/>
            <w:vAlign w:val="center"/>
            <w:hideMark/>
          </w:tcPr>
          <w:p w14:paraId="4A0686B9" w14:textId="78A506D7" w:rsidR="00656365" w:rsidRPr="00656365" w:rsidRDefault="00152BB7" w:rsidP="00656365">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720.788</w:t>
            </w:r>
          </w:p>
        </w:tc>
        <w:tc>
          <w:tcPr>
            <w:tcW w:w="645" w:type="pct"/>
            <w:tcBorders>
              <w:top w:val="nil"/>
              <w:left w:val="nil"/>
              <w:bottom w:val="single" w:sz="8" w:space="0" w:color="FFFFFF"/>
              <w:right w:val="nil"/>
            </w:tcBorders>
            <w:shd w:val="clear" w:color="000000" w:fill="D0E0E3"/>
            <w:noWrap/>
            <w:vAlign w:val="center"/>
          </w:tcPr>
          <w:p w14:paraId="776B4B75" w14:textId="0CBB5BCB" w:rsidR="00656365" w:rsidRPr="00656365" w:rsidRDefault="00183B5D" w:rsidP="00656365">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892.624</w:t>
            </w:r>
          </w:p>
        </w:tc>
        <w:tc>
          <w:tcPr>
            <w:tcW w:w="642" w:type="pct"/>
            <w:tcBorders>
              <w:top w:val="nil"/>
              <w:left w:val="nil"/>
              <w:bottom w:val="single" w:sz="8" w:space="0" w:color="FFFFFF"/>
              <w:right w:val="nil"/>
            </w:tcBorders>
            <w:shd w:val="clear" w:color="000000" w:fill="D0E0E3"/>
            <w:noWrap/>
            <w:vAlign w:val="center"/>
            <w:hideMark/>
          </w:tcPr>
          <w:p w14:paraId="6A3AC90D" w14:textId="58EA3220" w:rsidR="00656365" w:rsidRPr="00656365" w:rsidRDefault="00CF50CB" w:rsidP="00656365">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744.500</w:t>
            </w:r>
          </w:p>
        </w:tc>
      </w:tr>
      <w:tr w:rsidR="00656365" w:rsidRPr="00656365" w14:paraId="515EA33A" w14:textId="77777777" w:rsidTr="00CC0BB6">
        <w:trPr>
          <w:trHeight w:val="283"/>
        </w:trPr>
        <w:tc>
          <w:tcPr>
            <w:tcW w:w="2422" w:type="pct"/>
            <w:tcBorders>
              <w:top w:val="nil"/>
              <w:left w:val="nil"/>
              <w:bottom w:val="single" w:sz="8" w:space="0" w:color="FFFFFF"/>
              <w:right w:val="nil"/>
            </w:tcBorders>
            <w:shd w:val="clear" w:color="000000" w:fill="D0E0E3"/>
            <w:noWrap/>
            <w:vAlign w:val="center"/>
            <w:hideMark/>
          </w:tcPr>
          <w:p w14:paraId="6D6D4CE3" w14:textId="12F9439B" w:rsidR="00656365" w:rsidRPr="00656365" w:rsidRDefault="00656365" w:rsidP="00656365">
            <w:pPr>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Operações de crédito</w:t>
            </w:r>
          </w:p>
        </w:tc>
        <w:tc>
          <w:tcPr>
            <w:tcW w:w="645" w:type="pct"/>
            <w:tcBorders>
              <w:top w:val="nil"/>
              <w:left w:val="nil"/>
              <w:bottom w:val="single" w:sz="8" w:space="0" w:color="FFFFFF"/>
              <w:right w:val="nil"/>
            </w:tcBorders>
            <w:shd w:val="clear" w:color="000000" w:fill="D0E0E3"/>
            <w:noWrap/>
            <w:vAlign w:val="center"/>
          </w:tcPr>
          <w:p w14:paraId="152B97AE" w14:textId="7FA34681" w:rsidR="00656365" w:rsidRPr="00656365" w:rsidRDefault="009F59BE" w:rsidP="00656365">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582.871</w:t>
            </w:r>
          </w:p>
        </w:tc>
        <w:tc>
          <w:tcPr>
            <w:tcW w:w="646" w:type="pct"/>
            <w:tcBorders>
              <w:top w:val="nil"/>
              <w:left w:val="nil"/>
              <w:bottom w:val="single" w:sz="8" w:space="0" w:color="FFFFFF"/>
              <w:right w:val="nil"/>
            </w:tcBorders>
            <w:shd w:val="clear" w:color="000000" w:fill="D0E0E3"/>
            <w:noWrap/>
            <w:vAlign w:val="center"/>
            <w:hideMark/>
          </w:tcPr>
          <w:p w14:paraId="4466A163" w14:textId="3E187740" w:rsidR="00656365" w:rsidRPr="00656365" w:rsidRDefault="00152BB7" w:rsidP="00656365">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527.448</w:t>
            </w:r>
          </w:p>
        </w:tc>
        <w:tc>
          <w:tcPr>
            <w:tcW w:w="645" w:type="pct"/>
            <w:tcBorders>
              <w:top w:val="nil"/>
              <w:left w:val="nil"/>
              <w:bottom w:val="single" w:sz="8" w:space="0" w:color="FFFFFF"/>
              <w:right w:val="nil"/>
            </w:tcBorders>
            <w:shd w:val="clear" w:color="000000" w:fill="D0E0E3"/>
            <w:noWrap/>
            <w:vAlign w:val="center"/>
          </w:tcPr>
          <w:p w14:paraId="304A2F21" w14:textId="0ABD2981" w:rsidR="00656365" w:rsidRPr="00656365" w:rsidRDefault="00183B5D" w:rsidP="00656365">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582.871</w:t>
            </w:r>
          </w:p>
        </w:tc>
        <w:tc>
          <w:tcPr>
            <w:tcW w:w="642" w:type="pct"/>
            <w:tcBorders>
              <w:top w:val="nil"/>
              <w:left w:val="nil"/>
              <w:bottom w:val="single" w:sz="8" w:space="0" w:color="FFFFFF"/>
              <w:right w:val="nil"/>
            </w:tcBorders>
            <w:shd w:val="clear" w:color="000000" w:fill="D0E0E3"/>
            <w:noWrap/>
            <w:vAlign w:val="center"/>
            <w:hideMark/>
          </w:tcPr>
          <w:p w14:paraId="28FEC880" w14:textId="3C209223" w:rsidR="00656365" w:rsidRPr="00656365" w:rsidRDefault="00CF50CB" w:rsidP="00656365">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527.448</w:t>
            </w:r>
          </w:p>
        </w:tc>
      </w:tr>
      <w:tr w:rsidR="00656365" w:rsidRPr="00656365" w14:paraId="5ECF0E28" w14:textId="77777777" w:rsidTr="00CC0BB6">
        <w:trPr>
          <w:trHeight w:val="283"/>
        </w:trPr>
        <w:tc>
          <w:tcPr>
            <w:tcW w:w="2422" w:type="pct"/>
            <w:tcBorders>
              <w:top w:val="nil"/>
              <w:left w:val="nil"/>
              <w:bottom w:val="single" w:sz="8" w:space="0" w:color="FFFFFF"/>
              <w:right w:val="nil"/>
            </w:tcBorders>
            <w:shd w:val="clear" w:color="000000" w:fill="D0E0E3"/>
            <w:noWrap/>
            <w:vAlign w:val="center"/>
            <w:hideMark/>
          </w:tcPr>
          <w:p w14:paraId="36A8C1E9" w14:textId="50DDA508" w:rsidR="00656365" w:rsidRPr="00656365" w:rsidRDefault="00656365" w:rsidP="00656365">
            <w:pPr>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Fundos de investimento</w:t>
            </w:r>
          </w:p>
        </w:tc>
        <w:tc>
          <w:tcPr>
            <w:tcW w:w="645" w:type="pct"/>
            <w:tcBorders>
              <w:top w:val="nil"/>
              <w:left w:val="nil"/>
              <w:bottom w:val="single" w:sz="8" w:space="0" w:color="FFFFFF"/>
              <w:right w:val="nil"/>
            </w:tcBorders>
            <w:shd w:val="clear" w:color="000000" w:fill="D0E0E3"/>
            <w:noWrap/>
            <w:vAlign w:val="center"/>
          </w:tcPr>
          <w:p w14:paraId="0323D952" w14:textId="62110456" w:rsidR="00656365" w:rsidRPr="00656365" w:rsidRDefault="009F59BE" w:rsidP="00656365">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130.799</w:t>
            </w:r>
          </w:p>
        </w:tc>
        <w:tc>
          <w:tcPr>
            <w:tcW w:w="646" w:type="pct"/>
            <w:tcBorders>
              <w:top w:val="nil"/>
              <w:left w:val="nil"/>
              <w:bottom w:val="single" w:sz="8" w:space="0" w:color="FFFFFF"/>
              <w:right w:val="nil"/>
            </w:tcBorders>
            <w:shd w:val="clear" w:color="000000" w:fill="D0E0E3"/>
            <w:noWrap/>
            <w:vAlign w:val="center"/>
            <w:hideMark/>
          </w:tcPr>
          <w:p w14:paraId="1154D1D2" w14:textId="55373137" w:rsidR="00656365" w:rsidRPr="00656365" w:rsidRDefault="00152BB7" w:rsidP="00656365">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117.864</w:t>
            </w:r>
          </w:p>
        </w:tc>
        <w:tc>
          <w:tcPr>
            <w:tcW w:w="645" w:type="pct"/>
            <w:tcBorders>
              <w:top w:val="nil"/>
              <w:left w:val="nil"/>
              <w:bottom w:val="single" w:sz="8" w:space="0" w:color="FFFFFF"/>
              <w:right w:val="nil"/>
            </w:tcBorders>
            <w:shd w:val="clear" w:color="000000" w:fill="D0E0E3"/>
            <w:noWrap/>
            <w:vAlign w:val="center"/>
          </w:tcPr>
          <w:p w14:paraId="7E020D26" w14:textId="15EDFA87" w:rsidR="00656365" w:rsidRPr="00656365" w:rsidRDefault="00183B5D" w:rsidP="00656365">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655.133</w:t>
            </w:r>
          </w:p>
        </w:tc>
        <w:tc>
          <w:tcPr>
            <w:tcW w:w="642" w:type="pct"/>
            <w:tcBorders>
              <w:top w:val="nil"/>
              <w:left w:val="nil"/>
              <w:bottom w:val="single" w:sz="8" w:space="0" w:color="FFFFFF"/>
              <w:right w:val="nil"/>
            </w:tcBorders>
            <w:shd w:val="clear" w:color="000000" w:fill="D0E0E3"/>
            <w:noWrap/>
            <w:vAlign w:val="center"/>
            <w:hideMark/>
          </w:tcPr>
          <w:p w14:paraId="2FBF73ED" w14:textId="7B682298" w:rsidR="00656365" w:rsidRPr="00656365" w:rsidRDefault="00CF50CB" w:rsidP="00656365">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559.210</w:t>
            </w:r>
          </w:p>
        </w:tc>
      </w:tr>
      <w:tr w:rsidR="00656365" w:rsidRPr="00656365" w14:paraId="06445BE7" w14:textId="77777777" w:rsidTr="00CC0BB6">
        <w:trPr>
          <w:trHeight w:val="283"/>
        </w:trPr>
        <w:tc>
          <w:tcPr>
            <w:tcW w:w="2422" w:type="pct"/>
            <w:tcBorders>
              <w:top w:val="nil"/>
              <w:left w:val="nil"/>
              <w:bottom w:val="single" w:sz="8" w:space="0" w:color="FFFFFF"/>
              <w:right w:val="nil"/>
            </w:tcBorders>
            <w:shd w:val="clear" w:color="000000" w:fill="D0E0E3"/>
            <w:noWrap/>
            <w:vAlign w:val="center"/>
            <w:hideMark/>
          </w:tcPr>
          <w:p w14:paraId="485F042D" w14:textId="67866061" w:rsidR="00656365" w:rsidRPr="00656365" w:rsidRDefault="00656365" w:rsidP="00656365">
            <w:pPr>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Seguros</w:t>
            </w:r>
          </w:p>
        </w:tc>
        <w:tc>
          <w:tcPr>
            <w:tcW w:w="645" w:type="pct"/>
            <w:tcBorders>
              <w:top w:val="nil"/>
              <w:left w:val="nil"/>
              <w:bottom w:val="single" w:sz="8" w:space="0" w:color="FFFFFF"/>
              <w:right w:val="nil"/>
            </w:tcBorders>
            <w:shd w:val="clear" w:color="000000" w:fill="D0E0E3"/>
            <w:noWrap/>
            <w:vAlign w:val="center"/>
          </w:tcPr>
          <w:p w14:paraId="002FFE8E" w14:textId="292C5FA0" w:rsidR="00656365" w:rsidRPr="00656365" w:rsidRDefault="009F59BE" w:rsidP="00656365">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231.968</w:t>
            </w:r>
          </w:p>
        </w:tc>
        <w:tc>
          <w:tcPr>
            <w:tcW w:w="646" w:type="pct"/>
            <w:tcBorders>
              <w:top w:val="nil"/>
              <w:left w:val="nil"/>
              <w:bottom w:val="single" w:sz="8" w:space="0" w:color="FFFFFF"/>
              <w:right w:val="nil"/>
            </w:tcBorders>
            <w:shd w:val="clear" w:color="000000" w:fill="D0E0E3"/>
            <w:noWrap/>
            <w:vAlign w:val="center"/>
            <w:hideMark/>
          </w:tcPr>
          <w:p w14:paraId="4C4536A5" w14:textId="65D293EB" w:rsidR="00656365" w:rsidRPr="00656365" w:rsidRDefault="00152BB7" w:rsidP="00656365">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163.831</w:t>
            </w:r>
          </w:p>
        </w:tc>
        <w:tc>
          <w:tcPr>
            <w:tcW w:w="645" w:type="pct"/>
            <w:tcBorders>
              <w:top w:val="nil"/>
              <w:left w:val="nil"/>
              <w:bottom w:val="single" w:sz="8" w:space="0" w:color="FFFFFF"/>
              <w:right w:val="nil"/>
            </w:tcBorders>
            <w:shd w:val="clear" w:color="000000" w:fill="D0E0E3"/>
            <w:noWrap/>
            <w:vAlign w:val="center"/>
          </w:tcPr>
          <w:p w14:paraId="164E4677" w14:textId="023325A4" w:rsidR="00656365" w:rsidRPr="00656365" w:rsidRDefault="00183B5D" w:rsidP="00656365">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690.95</w:t>
            </w:r>
            <w:r w:rsidR="00534F39">
              <w:rPr>
                <w:rFonts w:ascii="CAIXA Std Book" w:hAnsi="CAIXA Std Book" w:cs="Calibri"/>
                <w:b/>
                <w:bCs/>
                <w:color w:val="005CA9"/>
                <w:sz w:val="18"/>
                <w:szCs w:val="18"/>
              </w:rPr>
              <w:t>2</w:t>
            </w:r>
          </w:p>
        </w:tc>
        <w:tc>
          <w:tcPr>
            <w:tcW w:w="642" w:type="pct"/>
            <w:tcBorders>
              <w:top w:val="nil"/>
              <w:left w:val="nil"/>
              <w:bottom w:val="single" w:sz="8" w:space="0" w:color="FFFFFF"/>
              <w:right w:val="nil"/>
            </w:tcBorders>
            <w:shd w:val="clear" w:color="000000" w:fill="D0E0E3"/>
            <w:noWrap/>
            <w:vAlign w:val="center"/>
            <w:hideMark/>
          </w:tcPr>
          <w:p w14:paraId="53F20205" w14:textId="686251DF" w:rsidR="00656365" w:rsidRPr="00656365" w:rsidRDefault="00CF50CB" w:rsidP="00656365">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722.498</w:t>
            </w:r>
          </w:p>
        </w:tc>
      </w:tr>
      <w:tr w:rsidR="00656365" w:rsidRPr="00656365" w14:paraId="05AA44A5" w14:textId="77777777" w:rsidTr="00CC0BB6">
        <w:trPr>
          <w:trHeight w:val="283"/>
        </w:trPr>
        <w:tc>
          <w:tcPr>
            <w:tcW w:w="2422" w:type="pct"/>
            <w:tcBorders>
              <w:top w:val="nil"/>
              <w:left w:val="nil"/>
              <w:bottom w:val="single" w:sz="8" w:space="0" w:color="FFFFFF"/>
              <w:right w:val="nil"/>
            </w:tcBorders>
            <w:shd w:val="clear" w:color="000000" w:fill="D0E0E3"/>
            <w:noWrap/>
            <w:vAlign w:val="center"/>
            <w:hideMark/>
          </w:tcPr>
          <w:p w14:paraId="0786577B" w14:textId="579935BF" w:rsidR="00656365" w:rsidRPr="00656365" w:rsidRDefault="00656365" w:rsidP="00656365">
            <w:pPr>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Outros</w:t>
            </w:r>
          </w:p>
        </w:tc>
        <w:tc>
          <w:tcPr>
            <w:tcW w:w="645" w:type="pct"/>
            <w:tcBorders>
              <w:top w:val="nil"/>
              <w:left w:val="nil"/>
              <w:bottom w:val="single" w:sz="8" w:space="0" w:color="FFFFFF"/>
              <w:right w:val="nil"/>
            </w:tcBorders>
            <w:shd w:val="clear" w:color="000000" w:fill="D0E0E3"/>
            <w:noWrap/>
            <w:vAlign w:val="center"/>
          </w:tcPr>
          <w:p w14:paraId="47D6C3C1" w14:textId="2BAFD4FA" w:rsidR="00656365" w:rsidRPr="00656365" w:rsidRDefault="009F59BE" w:rsidP="00656365">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205.592</w:t>
            </w:r>
          </w:p>
        </w:tc>
        <w:tc>
          <w:tcPr>
            <w:tcW w:w="646" w:type="pct"/>
            <w:tcBorders>
              <w:top w:val="nil"/>
              <w:left w:val="nil"/>
              <w:bottom w:val="single" w:sz="8" w:space="0" w:color="FFFFFF"/>
              <w:right w:val="nil"/>
            </w:tcBorders>
            <w:shd w:val="clear" w:color="000000" w:fill="D0E0E3"/>
            <w:noWrap/>
            <w:vAlign w:val="center"/>
            <w:hideMark/>
          </w:tcPr>
          <w:p w14:paraId="15209430" w14:textId="3AC24161" w:rsidR="00656365" w:rsidRPr="00656365" w:rsidRDefault="00152BB7" w:rsidP="00656365">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96.278</w:t>
            </w:r>
          </w:p>
        </w:tc>
        <w:tc>
          <w:tcPr>
            <w:tcW w:w="645" w:type="pct"/>
            <w:tcBorders>
              <w:top w:val="nil"/>
              <w:left w:val="nil"/>
              <w:bottom w:val="single" w:sz="8" w:space="0" w:color="FFFFFF"/>
              <w:right w:val="nil"/>
            </w:tcBorders>
            <w:shd w:val="clear" w:color="000000" w:fill="D0E0E3"/>
            <w:noWrap/>
            <w:vAlign w:val="center"/>
          </w:tcPr>
          <w:p w14:paraId="1DE1BD72" w14:textId="4D2EEDF0" w:rsidR="00656365" w:rsidRPr="00656365" w:rsidRDefault="00183B5D" w:rsidP="00656365">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181.302</w:t>
            </w:r>
          </w:p>
        </w:tc>
        <w:tc>
          <w:tcPr>
            <w:tcW w:w="642" w:type="pct"/>
            <w:tcBorders>
              <w:top w:val="nil"/>
              <w:left w:val="nil"/>
              <w:bottom w:val="single" w:sz="8" w:space="0" w:color="FFFFFF"/>
              <w:right w:val="nil"/>
            </w:tcBorders>
            <w:shd w:val="clear" w:color="000000" w:fill="D0E0E3"/>
            <w:noWrap/>
            <w:vAlign w:val="center"/>
            <w:hideMark/>
          </w:tcPr>
          <w:p w14:paraId="782D873E" w14:textId="1FD5424D" w:rsidR="00656365" w:rsidRPr="00656365" w:rsidRDefault="00CF50CB" w:rsidP="00656365">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73.352</w:t>
            </w:r>
          </w:p>
        </w:tc>
      </w:tr>
      <w:tr w:rsidR="00656365" w:rsidRPr="00656365" w14:paraId="7F88B164" w14:textId="77777777" w:rsidTr="00CC0BB6">
        <w:trPr>
          <w:trHeight w:val="283"/>
        </w:trPr>
        <w:tc>
          <w:tcPr>
            <w:tcW w:w="2422" w:type="pct"/>
            <w:tcBorders>
              <w:top w:val="nil"/>
              <w:left w:val="nil"/>
              <w:bottom w:val="nil"/>
              <w:right w:val="nil"/>
            </w:tcBorders>
            <w:shd w:val="clear" w:color="000000" w:fill="005CA9"/>
            <w:vAlign w:val="center"/>
            <w:hideMark/>
          </w:tcPr>
          <w:p w14:paraId="70182FCD" w14:textId="3DAE7FB6" w:rsidR="00656365" w:rsidRPr="00656365" w:rsidRDefault="00656365" w:rsidP="00656365">
            <w:pPr>
              <w:rPr>
                <w:rFonts w:ascii="CAIXA Std Book" w:eastAsia="Times New Roman" w:hAnsi="CAIXA Std Book" w:cs="Times New Roman"/>
                <w:b/>
                <w:bCs/>
                <w:color w:val="FFFFFF"/>
                <w:sz w:val="18"/>
                <w:szCs w:val="18"/>
              </w:rPr>
            </w:pPr>
            <w:r>
              <w:rPr>
                <w:rFonts w:ascii="CAIXA Std Book" w:hAnsi="CAIXA Std Book" w:cs="Calibri"/>
                <w:b/>
                <w:color w:val="FFFFFF"/>
                <w:sz w:val="18"/>
                <w:szCs w:val="18"/>
              </w:rPr>
              <w:t>Total</w:t>
            </w:r>
          </w:p>
        </w:tc>
        <w:tc>
          <w:tcPr>
            <w:tcW w:w="645" w:type="pct"/>
            <w:tcBorders>
              <w:top w:val="nil"/>
              <w:left w:val="nil"/>
              <w:bottom w:val="nil"/>
              <w:right w:val="nil"/>
            </w:tcBorders>
            <w:shd w:val="clear" w:color="000000" w:fill="005CA9"/>
            <w:noWrap/>
            <w:vAlign w:val="center"/>
          </w:tcPr>
          <w:p w14:paraId="6AEEBEB6" w14:textId="6A6648B9" w:rsidR="00656365" w:rsidRPr="00656365" w:rsidRDefault="009F59BE" w:rsidP="00656365">
            <w:pPr>
              <w:jc w:val="right"/>
              <w:rPr>
                <w:rFonts w:ascii="CAIXA Std Book" w:eastAsia="Times New Roman" w:hAnsi="CAIXA Std Book" w:cs="Times New Roman"/>
                <w:b/>
                <w:bCs/>
                <w:color w:val="FFFFFF"/>
                <w:sz w:val="18"/>
                <w:szCs w:val="18"/>
              </w:rPr>
            </w:pPr>
            <w:r>
              <w:rPr>
                <w:rFonts w:ascii="CAIXA Std Book" w:hAnsi="CAIXA Std Book" w:cs="Calibri"/>
                <w:b/>
                <w:bCs/>
                <w:color w:val="FFFFFF"/>
                <w:sz w:val="18"/>
                <w:szCs w:val="18"/>
              </w:rPr>
              <w:t>4.941.752</w:t>
            </w:r>
          </w:p>
        </w:tc>
        <w:tc>
          <w:tcPr>
            <w:tcW w:w="646" w:type="pct"/>
            <w:tcBorders>
              <w:top w:val="nil"/>
              <w:left w:val="nil"/>
              <w:bottom w:val="nil"/>
              <w:right w:val="nil"/>
            </w:tcBorders>
            <w:shd w:val="clear" w:color="000000" w:fill="005CA9"/>
            <w:noWrap/>
            <w:vAlign w:val="center"/>
            <w:hideMark/>
          </w:tcPr>
          <w:p w14:paraId="6417340A" w14:textId="4886D9D1" w:rsidR="00656365" w:rsidRPr="00656365" w:rsidRDefault="00152BB7" w:rsidP="00656365">
            <w:pPr>
              <w:jc w:val="right"/>
              <w:rPr>
                <w:rFonts w:ascii="CAIXA Std Book" w:eastAsia="Times New Roman" w:hAnsi="CAIXA Std Book" w:cs="Times New Roman"/>
                <w:b/>
                <w:bCs/>
                <w:color w:val="FFFFFF"/>
                <w:sz w:val="18"/>
                <w:szCs w:val="18"/>
              </w:rPr>
            </w:pPr>
            <w:r>
              <w:rPr>
                <w:rFonts w:ascii="CAIXA Std Book" w:hAnsi="CAIXA Std Book" w:cs="Calibri"/>
                <w:b/>
                <w:color w:val="FFFFFF"/>
                <w:sz w:val="18"/>
                <w:szCs w:val="18"/>
              </w:rPr>
              <w:t>5.428.501</w:t>
            </w:r>
          </w:p>
        </w:tc>
        <w:tc>
          <w:tcPr>
            <w:tcW w:w="645" w:type="pct"/>
            <w:tcBorders>
              <w:top w:val="nil"/>
              <w:left w:val="nil"/>
              <w:bottom w:val="nil"/>
              <w:right w:val="nil"/>
            </w:tcBorders>
            <w:shd w:val="clear" w:color="000000" w:fill="005CA9"/>
            <w:noWrap/>
            <w:vAlign w:val="center"/>
          </w:tcPr>
          <w:p w14:paraId="6934616F" w14:textId="1C6AF9FD" w:rsidR="00656365" w:rsidRPr="00656365" w:rsidRDefault="00183B5D" w:rsidP="00656365">
            <w:pPr>
              <w:jc w:val="right"/>
              <w:rPr>
                <w:rFonts w:ascii="CAIXA Std Book" w:eastAsia="Times New Roman" w:hAnsi="CAIXA Std Book" w:cs="Times New Roman"/>
                <w:b/>
                <w:bCs/>
                <w:color w:val="FFFFFF"/>
                <w:sz w:val="18"/>
                <w:szCs w:val="18"/>
              </w:rPr>
            </w:pPr>
            <w:r>
              <w:rPr>
                <w:rFonts w:ascii="CAIXA Std Book" w:hAnsi="CAIXA Std Book" w:cs="Calibri"/>
                <w:b/>
                <w:bCs/>
                <w:color w:val="FFFFFF"/>
                <w:sz w:val="18"/>
                <w:szCs w:val="18"/>
              </w:rPr>
              <w:t>7.354.962</w:t>
            </w:r>
          </w:p>
        </w:tc>
        <w:tc>
          <w:tcPr>
            <w:tcW w:w="642" w:type="pct"/>
            <w:tcBorders>
              <w:top w:val="nil"/>
              <w:left w:val="nil"/>
              <w:bottom w:val="nil"/>
              <w:right w:val="nil"/>
            </w:tcBorders>
            <w:shd w:val="clear" w:color="000000" w:fill="005CA9"/>
            <w:noWrap/>
            <w:vAlign w:val="center"/>
            <w:hideMark/>
          </w:tcPr>
          <w:p w14:paraId="198ADE8E" w14:textId="5208D18C" w:rsidR="00656365" w:rsidRPr="00656365" w:rsidRDefault="00CF50CB" w:rsidP="00656365">
            <w:pPr>
              <w:jc w:val="right"/>
              <w:rPr>
                <w:rFonts w:ascii="CAIXA Std Book" w:eastAsia="Times New Roman" w:hAnsi="CAIXA Std Book" w:cs="Times New Roman"/>
                <w:b/>
                <w:bCs/>
                <w:color w:val="FFFFFF"/>
                <w:sz w:val="18"/>
                <w:szCs w:val="18"/>
              </w:rPr>
            </w:pPr>
            <w:r>
              <w:rPr>
                <w:rFonts w:ascii="CAIXA Std Book" w:hAnsi="CAIXA Std Book" w:cs="Calibri"/>
                <w:b/>
                <w:color w:val="FFFFFF"/>
                <w:sz w:val="18"/>
                <w:szCs w:val="18"/>
              </w:rPr>
              <w:t>6.535.376</w:t>
            </w:r>
          </w:p>
        </w:tc>
      </w:tr>
    </w:tbl>
    <w:p w14:paraId="46CF7748" w14:textId="77777777" w:rsidR="004249E8" w:rsidRDefault="004249E8">
      <w:pPr>
        <w:rPr>
          <w:rFonts w:ascii="CAIXA Std Book" w:hAnsi="CAIXA Std Book"/>
          <w:b/>
          <w:color w:val="005CA9"/>
        </w:rPr>
      </w:pPr>
      <w:r>
        <w:br w:type="page"/>
      </w:r>
    </w:p>
    <w:p w14:paraId="15C253B5" w14:textId="52815610" w:rsidR="00FC3B72" w:rsidRDefault="00FC3B72" w:rsidP="00B735D2">
      <w:pPr>
        <w:pStyle w:val="Ttulo1"/>
      </w:pPr>
      <w:bookmarkStart w:id="143" w:name="_Toc229588501"/>
      <w:r w:rsidRPr="00E95E29">
        <w:t>Nota   2</w:t>
      </w:r>
      <w:r w:rsidR="00323B4E">
        <w:t>5</w:t>
      </w:r>
      <w:r w:rsidRPr="00E95E29">
        <w:t xml:space="preserve"> – </w:t>
      </w:r>
      <w:r w:rsidR="00354FC7" w:rsidRPr="00E95E29">
        <w:t>Despesas com pessoal</w:t>
      </w:r>
      <w:bookmarkEnd w:id="142"/>
      <w:bookmarkEnd w:id="143"/>
    </w:p>
    <w:p w14:paraId="5FDB537F" w14:textId="41B1394B" w:rsidR="004E74F9" w:rsidRDefault="004E74F9" w:rsidP="00295657">
      <w:pPr>
        <w:pStyle w:val="PargrafodaLista"/>
        <w:numPr>
          <w:ilvl w:val="0"/>
          <w:numId w:val="26"/>
        </w:numPr>
        <w:spacing w:before="240" w:after="120"/>
        <w:ind w:left="567" w:hanging="567"/>
        <w:contextualSpacing w:val="0"/>
        <w:jc w:val="both"/>
        <w:rPr>
          <w:rFonts w:ascii="CAIXA Std Book" w:hAnsi="CAIXA Std Book"/>
          <w:b/>
          <w:color w:val="005CA9"/>
          <w:sz w:val="20"/>
          <w:szCs w:val="20"/>
        </w:rPr>
      </w:pPr>
      <w:r w:rsidRPr="005C7AB4">
        <w:rPr>
          <w:rFonts w:ascii="CAIXA Std Book" w:hAnsi="CAIXA Std Book"/>
          <w:b/>
          <w:color w:val="005CA9"/>
          <w:sz w:val="20"/>
          <w:szCs w:val="20"/>
        </w:rPr>
        <w:t xml:space="preserve">Remuneração </w:t>
      </w:r>
      <w:r>
        <w:rPr>
          <w:rFonts w:ascii="CAIXA Std Book" w:hAnsi="CAIXA Std Book"/>
          <w:b/>
          <w:color w:val="005CA9"/>
          <w:sz w:val="20"/>
          <w:szCs w:val="20"/>
        </w:rPr>
        <w:t>de empregados</w:t>
      </w:r>
    </w:p>
    <w:tbl>
      <w:tblPr>
        <w:tblW w:w="5000" w:type="pct"/>
        <w:tblCellMar>
          <w:left w:w="70" w:type="dxa"/>
          <w:right w:w="70" w:type="dxa"/>
        </w:tblCellMar>
        <w:tblLook w:val="04A0" w:firstRow="1" w:lastRow="0" w:firstColumn="1" w:lastColumn="0" w:noHBand="0" w:noVBand="1"/>
      </w:tblPr>
      <w:tblGrid>
        <w:gridCol w:w="4430"/>
        <w:gridCol w:w="1301"/>
        <w:gridCol w:w="1303"/>
        <w:gridCol w:w="1301"/>
        <w:gridCol w:w="1303"/>
      </w:tblGrid>
      <w:tr w:rsidR="0024374C" w:rsidRPr="0024374C" w14:paraId="1A896D71" w14:textId="77777777" w:rsidTr="006C18D2">
        <w:trPr>
          <w:trHeight w:val="283"/>
        </w:trPr>
        <w:tc>
          <w:tcPr>
            <w:tcW w:w="2298" w:type="pct"/>
            <w:vMerge w:val="restart"/>
            <w:shd w:val="clear" w:color="000000" w:fill="005CA9"/>
            <w:vAlign w:val="center"/>
            <w:hideMark/>
          </w:tcPr>
          <w:p w14:paraId="0ABEF7AC" w14:textId="77777777" w:rsidR="0024374C" w:rsidRPr="0024374C" w:rsidRDefault="0024374C" w:rsidP="0024374C">
            <w:pPr>
              <w:jc w:val="center"/>
              <w:rPr>
                <w:rFonts w:ascii="CAIXA Std Book" w:eastAsia="Times New Roman" w:hAnsi="CAIXA Std Book" w:cs="Times New Roman"/>
                <w:b/>
                <w:bCs/>
                <w:color w:val="FFFFFF"/>
                <w:sz w:val="18"/>
                <w:szCs w:val="18"/>
              </w:rPr>
            </w:pPr>
            <w:r w:rsidRPr="0024374C">
              <w:rPr>
                <w:rFonts w:ascii="CAIXA Std Book" w:eastAsia="Times New Roman" w:hAnsi="CAIXA Std Book" w:cs="Times New Roman"/>
                <w:b/>
                <w:bCs/>
                <w:color w:val="FFFFFF"/>
                <w:sz w:val="18"/>
                <w:szCs w:val="18"/>
              </w:rPr>
              <w:t>Descrição</w:t>
            </w:r>
          </w:p>
        </w:tc>
        <w:tc>
          <w:tcPr>
            <w:tcW w:w="1351" w:type="pct"/>
            <w:gridSpan w:val="2"/>
            <w:tcBorders>
              <w:bottom w:val="single" w:sz="4" w:space="0" w:color="FFFFFF" w:themeColor="background1"/>
            </w:tcBorders>
            <w:shd w:val="clear" w:color="000000" w:fill="005CA9"/>
            <w:noWrap/>
            <w:vAlign w:val="center"/>
            <w:hideMark/>
          </w:tcPr>
          <w:p w14:paraId="5B302A65" w14:textId="77777777" w:rsidR="0024374C" w:rsidRPr="0024374C" w:rsidRDefault="0024374C" w:rsidP="0024374C">
            <w:pPr>
              <w:jc w:val="center"/>
              <w:rPr>
                <w:rFonts w:ascii="CAIXA Std Book" w:eastAsia="Times New Roman" w:hAnsi="CAIXA Std Book" w:cs="Times New Roman"/>
                <w:b/>
                <w:bCs/>
                <w:color w:val="FFFFFF"/>
                <w:sz w:val="18"/>
                <w:szCs w:val="18"/>
              </w:rPr>
            </w:pPr>
            <w:r w:rsidRPr="0024374C">
              <w:rPr>
                <w:rFonts w:ascii="CAIXA Std Book" w:eastAsia="Times New Roman" w:hAnsi="CAIXA Std Book" w:cs="Times New Roman"/>
                <w:b/>
                <w:bCs/>
                <w:color w:val="FFFFFF"/>
                <w:sz w:val="18"/>
                <w:szCs w:val="18"/>
              </w:rPr>
              <w:t>Individual</w:t>
            </w:r>
          </w:p>
        </w:tc>
        <w:tc>
          <w:tcPr>
            <w:tcW w:w="1351" w:type="pct"/>
            <w:gridSpan w:val="2"/>
            <w:tcBorders>
              <w:bottom w:val="single" w:sz="4" w:space="0" w:color="FFFFFF" w:themeColor="background1"/>
            </w:tcBorders>
            <w:shd w:val="clear" w:color="000000" w:fill="005CA9"/>
            <w:noWrap/>
            <w:vAlign w:val="center"/>
            <w:hideMark/>
          </w:tcPr>
          <w:p w14:paraId="61D74546" w14:textId="77777777" w:rsidR="0024374C" w:rsidRPr="0024374C" w:rsidRDefault="0024374C" w:rsidP="0024374C">
            <w:pPr>
              <w:jc w:val="center"/>
              <w:rPr>
                <w:rFonts w:ascii="CAIXA Std Book" w:eastAsia="Times New Roman" w:hAnsi="CAIXA Std Book" w:cs="Times New Roman"/>
                <w:b/>
                <w:bCs/>
                <w:color w:val="FFFFFF"/>
                <w:sz w:val="18"/>
                <w:szCs w:val="18"/>
              </w:rPr>
            </w:pPr>
            <w:r w:rsidRPr="0024374C">
              <w:rPr>
                <w:rFonts w:ascii="CAIXA Std Book" w:eastAsia="Times New Roman" w:hAnsi="CAIXA Std Book" w:cs="Times New Roman"/>
                <w:b/>
                <w:bCs/>
                <w:color w:val="FFFFFF"/>
                <w:sz w:val="18"/>
                <w:szCs w:val="18"/>
              </w:rPr>
              <w:t>Consolidado</w:t>
            </w:r>
          </w:p>
        </w:tc>
      </w:tr>
      <w:tr w:rsidR="0024374C" w:rsidRPr="0024374C" w14:paraId="2AAD7B89" w14:textId="77777777" w:rsidTr="006C18D2">
        <w:trPr>
          <w:trHeight w:val="283"/>
        </w:trPr>
        <w:tc>
          <w:tcPr>
            <w:tcW w:w="2298" w:type="pct"/>
            <w:vMerge/>
            <w:vAlign w:val="center"/>
            <w:hideMark/>
          </w:tcPr>
          <w:p w14:paraId="253847D1" w14:textId="77777777" w:rsidR="0024374C" w:rsidRPr="0024374C" w:rsidRDefault="0024374C" w:rsidP="0024374C">
            <w:pPr>
              <w:rPr>
                <w:rFonts w:ascii="CAIXA Std Book" w:eastAsia="Times New Roman" w:hAnsi="CAIXA Std Book" w:cs="Times New Roman"/>
                <w:b/>
                <w:bCs/>
                <w:color w:val="FFFFFF"/>
                <w:sz w:val="18"/>
                <w:szCs w:val="18"/>
              </w:rPr>
            </w:pPr>
          </w:p>
        </w:tc>
        <w:tc>
          <w:tcPr>
            <w:tcW w:w="675" w:type="pct"/>
            <w:tcBorders>
              <w:top w:val="single" w:sz="4" w:space="0" w:color="FFFFFF" w:themeColor="background1"/>
              <w:bottom w:val="single" w:sz="4" w:space="0" w:color="FFFFFF" w:themeColor="background1"/>
            </w:tcBorders>
            <w:shd w:val="clear" w:color="000000" w:fill="005CA9"/>
            <w:vAlign w:val="center"/>
            <w:hideMark/>
          </w:tcPr>
          <w:p w14:paraId="7B27E681" w14:textId="77777777" w:rsidR="0024374C" w:rsidRPr="0024374C" w:rsidRDefault="0024374C" w:rsidP="0024374C">
            <w:pPr>
              <w:jc w:val="center"/>
              <w:rPr>
                <w:rFonts w:ascii="CAIXA Std Book" w:eastAsia="Times New Roman" w:hAnsi="CAIXA Std Book" w:cs="Times New Roman"/>
                <w:b/>
                <w:bCs/>
                <w:color w:val="FFFFFF"/>
                <w:sz w:val="18"/>
                <w:szCs w:val="18"/>
              </w:rPr>
            </w:pPr>
            <w:r w:rsidRPr="0024374C">
              <w:rPr>
                <w:rFonts w:ascii="CAIXA Std Book" w:eastAsia="Times New Roman" w:hAnsi="CAIXA Std Book" w:cs="Times New Roman"/>
                <w:b/>
                <w:bCs/>
                <w:color w:val="FFFFFF"/>
                <w:sz w:val="18"/>
                <w:szCs w:val="18"/>
              </w:rPr>
              <w:t>2026</w:t>
            </w:r>
          </w:p>
        </w:tc>
        <w:tc>
          <w:tcPr>
            <w:tcW w:w="676" w:type="pct"/>
            <w:tcBorders>
              <w:top w:val="single" w:sz="4" w:space="0" w:color="FFFFFF" w:themeColor="background1"/>
              <w:bottom w:val="single" w:sz="4" w:space="0" w:color="FFFFFF" w:themeColor="background1"/>
            </w:tcBorders>
            <w:shd w:val="clear" w:color="000000" w:fill="005CA9"/>
            <w:vAlign w:val="center"/>
            <w:hideMark/>
          </w:tcPr>
          <w:p w14:paraId="44C2CAF0" w14:textId="77777777" w:rsidR="0024374C" w:rsidRPr="0024374C" w:rsidRDefault="0024374C" w:rsidP="0024374C">
            <w:pPr>
              <w:jc w:val="center"/>
              <w:rPr>
                <w:rFonts w:ascii="CAIXA Std Book" w:eastAsia="Times New Roman" w:hAnsi="CAIXA Std Book" w:cs="Times New Roman"/>
                <w:b/>
                <w:bCs/>
                <w:color w:val="FFFFFF"/>
                <w:sz w:val="18"/>
                <w:szCs w:val="18"/>
              </w:rPr>
            </w:pPr>
            <w:r w:rsidRPr="0024374C">
              <w:rPr>
                <w:rFonts w:ascii="CAIXA Std Book" w:eastAsia="Times New Roman" w:hAnsi="CAIXA Std Book" w:cs="Times New Roman"/>
                <w:b/>
                <w:bCs/>
                <w:color w:val="FFFFFF"/>
                <w:sz w:val="18"/>
                <w:szCs w:val="18"/>
              </w:rPr>
              <w:t>2025</w:t>
            </w:r>
          </w:p>
        </w:tc>
        <w:tc>
          <w:tcPr>
            <w:tcW w:w="675" w:type="pct"/>
            <w:tcBorders>
              <w:top w:val="single" w:sz="4" w:space="0" w:color="FFFFFF" w:themeColor="background1"/>
              <w:bottom w:val="single" w:sz="4" w:space="0" w:color="FFFFFF" w:themeColor="background1"/>
            </w:tcBorders>
            <w:shd w:val="clear" w:color="000000" w:fill="005CA9"/>
            <w:vAlign w:val="center"/>
            <w:hideMark/>
          </w:tcPr>
          <w:p w14:paraId="7FF03E90" w14:textId="77777777" w:rsidR="0024374C" w:rsidRPr="0024374C" w:rsidRDefault="0024374C" w:rsidP="0024374C">
            <w:pPr>
              <w:jc w:val="center"/>
              <w:rPr>
                <w:rFonts w:ascii="CAIXA Std Book" w:eastAsia="Times New Roman" w:hAnsi="CAIXA Std Book" w:cs="Times New Roman"/>
                <w:b/>
                <w:bCs/>
                <w:color w:val="FFFFFF"/>
                <w:sz w:val="18"/>
                <w:szCs w:val="18"/>
              </w:rPr>
            </w:pPr>
            <w:r w:rsidRPr="0024374C">
              <w:rPr>
                <w:rFonts w:ascii="CAIXA Std Book" w:eastAsia="Times New Roman" w:hAnsi="CAIXA Std Book" w:cs="Times New Roman"/>
                <w:b/>
                <w:bCs/>
                <w:color w:val="FFFFFF"/>
                <w:sz w:val="18"/>
                <w:szCs w:val="18"/>
              </w:rPr>
              <w:t>2026</w:t>
            </w:r>
          </w:p>
        </w:tc>
        <w:tc>
          <w:tcPr>
            <w:tcW w:w="676" w:type="pct"/>
            <w:tcBorders>
              <w:top w:val="single" w:sz="4" w:space="0" w:color="FFFFFF" w:themeColor="background1"/>
              <w:bottom w:val="single" w:sz="4" w:space="0" w:color="FFFFFF" w:themeColor="background1"/>
            </w:tcBorders>
            <w:shd w:val="clear" w:color="000000" w:fill="005CA9"/>
            <w:vAlign w:val="center"/>
            <w:hideMark/>
          </w:tcPr>
          <w:p w14:paraId="3E9D114D" w14:textId="77777777" w:rsidR="0024374C" w:rsidRPr="0024374C" w:rsidRDefault="0024374C" w:rsidP="0024374C">
            <w:pPr>
              <w:jc w:val="center"/>
              <w:rPr>
                <w:rFonts w:ascii="CAIXA Std Book" w:eastAsia="Times New Roman" w:hAnsi="CAIXA Std Book" w:cs="Times New Roman"/>
                <w:b/>
                <w:bCs/>
                <w:color w:val="FFFFFF"/>
                <w:sz w:val="18"/>
                <w:szCs w:val="18"/>
              </w:rPr>
            </w:pPr>
            <w:r w:rsidRPr="0024374C">
              <w:rPr>
                <w:rFonts w:ascii="CAIXA Std Book" w:eastAsia="Times New Roman" w:hAnsi="CAIXA Std Book" w:cs="Times New Roman"/>
                <w:b/>
                <w:bCs/>
                <w:color w:val="FFFFFF"/>
                <w:sz w:val="18"/>
                <w:szCs w:val="18"/>
              </w:rPr>
              <w:t>2025</w:t>
            </w:r>
          </w:p>
        </w:tc>
      </w:tr>
      <w:tr w:rsidR="0024374C" w:rsidRPr="0024374C" w14:paraId="4D7A00D7" w14:textId="77777777" w:rsidTr="006C18D2">
        <w:trPr>
          <w:trHeight w:val="283"/>
        </w:trPr>
        <w:tc>
          <w:tcPr>
            <w:tcW w:w="2298" w:type="pct"/>
            <w:vMerge/>
            <w:vAlign w:val="center"/>
            <w:hideMark/>
          </w:tcPr>
          <w:p w14:paraId="5C68F1F6" w14:textId="77777777" w:rsidR="0024374C" w:rsidRPr="0024374C" w:rsidRDefault="0024374C" w:rsidP="0024374C">
            <w:pPr>
              <w:rPr>
                <w:rFonts w:ascii="CAIXA Std Book" w:eastAsia="Times New Roman" w:hAnsi="CAIXA Std Book" w:cs="Times New Roman"/>
                <w:b/>
                <w:bCs/>
                <w:color w:val="FFFFFF"/>
                <w:sz w:val="18"/>
                <w:szCs w:val="18"/>
              </w:rPr>
            </w:pPr>
          </w:p>
        </w:tc>
        <w:tc>
          <w:tcPr>
            <w:tcW w:w="675" w:type="pct"/>
            <w:tcBorders>
              <w:top w:val="single" w:sz="4" w:space="0" w:color="FFFFFF" w:themeColor="background1"/>
            </w:tcBorders>
            <w:shd w:val="clear" w:color="000000" w:fill="005CA9"/>
            <w:vAlign w:val="center"/>
            <w:hideMark/>
          </w:tcPr>
          <w:p w14:paraId="4117573D" w14:textId="77777777" w:rsidR="0024374C" w:rsidRPr="0024374C" w:rsidRDefault="0024374C" w:rsidP="0024374C">
            <w:pPr>
              <w:jc w:val="center"/>
              <w:rPr>
                <w:rFonts w:ascii="CAIXA Std Book" w:eastAsia="Times New Roman" w:hAnsi="CAIXA Std Book" w:cs="Times New Roman"/>
                <w:b/>
                <w:bCs/>
                <w:color w:val="FFFFFF"/>
                <w:sz w:val="18"/>
                <w:szCs w:val="18"/>
              </w:rPr>
            </w:pPr>
            <w:r w:rsidRPr="0024374C">
              <w:rPr>
                <w:rFonts w:ascii="CAIXA Std Book" w:eastAsia="Times New Roman" w:hAnsi="CAIXA Std Book" w:cs="Times New Roman"/>
                <w:b/>
                <w:bCs/>
                <w:color w:val="FFFFFF"/>
                <w:sz w:val="18"/>
                <w:szCs w:val="18"/>
              </w:rPr>
              <w:t>1º trimestre</w:t>
            </w:r>
          </w:p>
        </w:tc>
        <w:tc>
          <w:tcPr>
            <w:tcW w:w="676" w:type="pct"/>
            <w:tcBorders>
              <w:top w:val="single" w:sz="4" w:space="0" w:color="FFFFFF" w:themeColor="background1"/>
            </w:tcBorders>
            <w:shd w:val="clear" w:color="000000" w:fill="005CA9"/>
            <w:vAlign w:val="center"/>
            <w:hideMark/>
          </w:tcPr>
          <w:p w14:paraId="377A9614" w14:textId="77777777" w:rsidR="0024374C" w:rsidRPr="0024374C" w:rsidRDefault="0024374C" w:rsidP="0024374C">
            <w:pPr>
              <w:jc w:val="center"/>
              <w:rPr>
                <w:rFonts w:ascii="CAIXA Std Book" w:eastAsia="Times New Roman" w:hAnsi="CAIXA Std Book" w:cs="Times New Roman"/>
                <w:b/>
                <w:bCs/>
                <w:color w:val="FFFFFF"/>
                <w:sz w:val="18"/>
                <w:szCs w:val="18"/>
              </w:rPr>
            </w:pPr>
            <w:r w:rsidRPr="0024374C">
              <w:rPr>
                <w:rFonts w:ascii="CAIXA Std Book" w:eastAsia="Times New Roman" w:hAnsi="CAIXA Std Book" w:cs="Times New Roman"/>
                <w:b/>
                <w:bCs/>
                <w:color w:val="FFFFFF"/>
                <w:sz w:val="18"/>
                <w:szCs w:val="18"/>
              </w:rPr>
              <w:t>1º trimestre</w:t>
            </w:r>
          </w:p>
        </w:tc>
        <w:tc>
          <w:tcPr>
            <w:tcW w:w="675" w:type="pct"/>
            <w:tcBorders>
              <w:top w:val="single" w:sz="4" w:space="0" w:color="FFFFFF" w:themeColor="background1"/>
            </w:tcBorders>
            <w:shd w:val="clear" w:color="000000" w:fill="005CA9"/>
            <w:vAlign w:val="center"/>
            <w:hideMark/>
          </w:tcPr>
          <w:p w14:paraId="74DC4BB6" w14:textId="77777777" w:rsidR="0024374C" w:rsidRPr="0024374C" w:rsidRDefault="0024374C" w:rsidP="0024374C">
            <w:pPr>
              <w:jc w:val="center"/>
              <w:rPr>
                <w:rFonts w:ascii="CAIXA Std Book" w:eastAsia="Times New Roman" w:hAnsi="CAIXA Std Book" w:cs="Times New Roman"/>
                <w:b/>
                <w:bCs/>
                <w:color w:val="FFFFFF"/>
                <w:sz w:val="18"/>
                <w:szCs w:val="18"/>
              </w:rPr>
            </w:pPr>
            <w:r w:rsidRPr="0024374C">
              <w:rPr>
                <w:rFonts w:ascii="CAIXA Std Book" w:eastAsia="Times New Roman" w:hAnsi="CAIXA Std Book" w:cs="Times New Roman"/>
                <w:b/>
                <w:bCs/>
                <w:color w:val="FFFFFF"/>
                <w:sz w:val="18"/>
                <w:szCs w:val="18"/>
              </w:rPr>
              <w:t>1º trimestre</w:t>
            </w:r>
          </w:p>
        </w:tc>
        <w:tc>
          <w:tcPr>
            <w:tcW w:w="676" w:type="pct"/>
            <w:tcBorders>
              <w:top w:val="single" w:sz="4" w:space="0" w:color="FFFFFF" w:themeColor="background1"/>
            </w:tcBorders>
            <w:shd w:val="clear" w:color="000000" w:fill="005CA9"/>
            <w:vAlign w:val="center"/>
            <w:hideMark/>
          </w:tcPr>
          <w:p w14:paraId="42518C23" w14:textId="77777777" w:rsidR="0024374C" w:rsidRPr="0024374C" w:rsidRDefault="0024374C" w:rsidP="0024374C">
            <w:pPr>
              <w:jc w:val="center"/>
              <w:rPr>
                <w:rFonts w:ascii="CAIXA Std Book" w:eastAsia="Times New Roman" w:hAnsi="CAIXA Std Book" w:cs="Times New Roman"/>
                <w:b/>
                <w:bCs/>
                <w:color w:val="FFFFFF"/>
                <w:sz w:val="18"/>
                <w:szCs w:val="18"/>
              </w:rPr>
            </w:pPr>
            <w:r w:rsidRPr="0024374C">
              <w:rPr>
                <w:rFonts w:ascii="CAIXA Std Book" w:eastAsia="Times New Roman" w:hAnsi="CAIXA Std Book" w:cs="Times New Roman"/>
                <w:b/>
                <w:bCs/>
                <w:color w:val="FFFFFF"/>
                <w:sz w:val="18"/>
                <w:szCs w:val="18"/>
              </w:rPr>
              <w:t>1º trimestre</w:t>
            </w:r>
          </w:p>
        </w:tc>
      </w:tr>
      <w:tr w:rsidR="00652662" w:rsidRPr="0024374C" w14:paraId="62834350" w14:textId="77777777" w:rsidTr="006C18D2">
        <w:trPr>
          <w:trHeight w:val="283"/>
        </w:trPr>
        <w:tc>
          <w:tcPr>
            <w:tcW w:w="2298" w:type="pct"/>
            <w:tcBorders>
              <w:bottom w:val="single" w:sz="4" w:space="0" w:color="FFFFFF" w:themeColor="background1"/>
            </w:tcBorders>
            <w:shd w:val="clear" w:color="auto" w:fill="D0E0E3"/>
            <w:noWrap/>
            <w:vAlign w:val="center"/>
            <w:hideMark/>
          </w:tcPr>
          <w:p w14:paraId="5C7F280C" w14:textId="77777777" w:rsidR="00652662" w:rsidRPr="0024374C" w:rsidRDefault="00652662" w:rsidP="00652662">
            <w:pPr>
              <w:rPr>
                <w:rFonts w:ascii="CAIXA Std Book" w:eastAsia="Times New Roman" w:hAnsi="CAIXA Std Book" w:cs="Times New Roman"/>
                <w:b/>
                <w:bCs/>
                <w:color w:val="005CA9"/>
                <w:sz w:val="18"/>
                <w:szCs w:val="18"/>
              </w:rPr>
            </w:pPr>
            <w:r w:rsidRPr="0024374C">
              <w:rPr>
                <w:rFonts w:ascii="CAIXA Std Book" w:eastAsia="Times New Roman" w:hAnsi="CAIXA Std Book" w:cs="Times New Roman"/>
                <w:b/>
                <w:bCs/>
                <w:color w:val="005CA9"/>
                <w:sz w:val="18"/>
                <w:szCs w:val="18"/>
              </w:rPr>
              <w:t>Salários</w:t>
            </w:r>
          </w:p>
        </w:tc>
        <w:tc>
          <w:tcPr>
            <w:tcW w:w="675" w:type="pct"/>
            <w:tcBorders>
              <w:bottom w:val="single" w:sz="4" w:space="0" w:color="FFFFFF" w:themeColor="background1"/>
            </w:tcBorders>
            <w:shd w:val="clear" w:color="auto" w:fill="D0E0E3"/>
            <w:noWrap/>
            <w:vAlign w:val="center"/>
            <w:hideMark/>
          </w:tcPr>
          <w:p w14:paraId="15303C70" w14:textId="7802D662" w:rsidR="00652662" w:rsidRPr="0024374C" w:rsidRDefault="00652662" w:rsidP="00652662">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(4.678.862)</w:t>
            </w:r>
          </w:p>
        </w:tc>
        <w:tc>
          <w:tcPr>
            <w:tcW w:w="676" w:type="pct"/>
            <w:tcBorders>
              <w:bottom w:val="single" w:sz="4" w:space="0" w:color="FFFFFF" w:themeColor="background1"/>
            </w:tcBorders>
            <w:shd w:val="clear" w:color="auto" w:fill="D0E0E3"/>
            <w:noWrap/>
            <w:vAlign w:val="center"/>
            <w:hideMark/>
          </w:tcPr>
          <w:p w14:paraId="768B53A0" w14:textId="1FE76FFB" w:rsidR="00652662" w:rsidRPr="0024374C" w:rsidRDefault="00652662" w:rsidP="00652662">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(4.379.733)</w:t>
            </w:r>
          </w:p>
        </w:tc>
        <w:tc>
          <w:tcPr>
            <w:tcW w:w="675" w:type="pct"/>
            <w:tcBorders>
              <w:bottom w:val="single" w:sz="4" w:space="0" w:color="FFFFFF" w:themeColor="background1"/>
            </w:tcBorders>
            <w:shd w:val="clear" w:color="auto" w:fill="D0E0E3"/>
            <w:noWrap/>
            <w:vAlign w:val="center"/>
            <w:hideMark/>
          </w:tcPr>
          <w:p w14:paraId="5A141124" w14:textId="0CBFA5C3" w:rsidR="00652662" w:rsidRPr="0024374C" w:rsidRDefault="00652662" w:rsidP="00652662">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(4.746.163)</w:t>
            </w:r>
          </w:p>
        </w:tc>
        <w:tc>
          <w:tcPr>
            <w:tcW w:w="676" w:type="pct"/>
            <w:tcBorders>
              <w:bottom w:val="single" w:sz="4" w:space="0" w:color="FFFFFF" w:themeColor="background1"/>
            </w:tcBorders>
            <w:shd w:val="clear" w:color="auto" w:fill="D0E0E3"/>
            <w:noWrap/>
            <w:vAlign w:val="center"/>
            <w:hideMark/>
          </w:tcPr>
          <w:p w14:paraId="4EE28132" w14:textId="2F46D872" w:rsidR="00652662" w:rsidRPr="0024374C" w:rsidRDefault="00652662" w:rsidP="00652662">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(4.422.954)</w:t>
            </w:r>
          </w:p>
        </w:tc>
      </w:tr>
      <w:tr w:rsidR="00652662" w:rsidRPr="0024374C" w14:paraId="0FBA2297" w14:textId="77777777" w:rsidTr="006C18D2">
        <w:trPr>
          <w:trHeight w:val="283"/>
        </w:trPr>
        <w:tc>
          <w:tcPr>
            <w:tcW w:w="2298" w:type="pct"/>
            <w:tcBorders>
              <w:top w:val="single" w:sz="4" w:space="0" w:color="FFFFFF" w:themeColor="background1"/>
              <w:bottom w:val="single" w:sz="4" w:space="0" w:color="FFFFFF" w:themeColor="background1"/>
            </w:tcBorders>
            <w:shd w:val="clear" w:color="auto" w:fill="D0E0E3"/>
            <w:noWrap/>
            <w:vAlign w:val="center"/>
            <w:hideMark/>
          </w:tcPr>
          <w:p w14:paraId="60BA4055" w14:textId="77777777" w:rsidR="00652662" w:rsidRPr="0024374C" w:rsidRDefault="00652662" w:rsidP="00652662">
            <w:pPr>
              <w:rPr>
                <w:rFonts w:ascii="CAIXA Std Book" w:eastAsia="Times New Roman" w:hAnsi="CAIXA Std Book" w:cs="Times New Roman"/>
                <w:b/>
                <w:bCs/>
                <w:color w:val="005CA9"/>
                <w:sz w:val="18"/>
                <w:szCs w:val="18"/>
              </w:rPr>
            </w:pPr>
            <w:r w:rsidRPr="0024374C">
              <w:rPr>
                <w:rFonts w:ascii="CAIXA Std Book" w:eastAsia="Times New Roman" w:hAnsi="CAIXA Std Book" w:cs="Times New Roman"/>
                <w:b/>
                <w:bCs/>
                <w:color w:val="005CA9"/>
                <w:sz w:val="18"/>
                <w:szCs w:val="18"/>
              </w:rPr>
              <w:t>Benefícios</w:t>
            </w:r>
          </w:p>
        </w:tc>
        <w:tc>
          <w:tcPr>
            <w:tcW w:w="675" w:type="pct"/>
            <w:tcBorders>
              <w:top w:val="single" w:sz="4" w:space="0" w:color="FFFFFF" w:themeColor="background1"/>
              <w:bottom w:val="single" w:sz="4" w:space="0" w:color="FFFFFF" w:themeColor="background1"/>
            </w:tcBorders>
            <w:shd w:val="clear" w:color="auto" w:fill="D0E0E3"/>
            <w:noWrap/>
            <w:vAlign w:val="center"/>
            <w:hideMark/>
          </w:tcPr>
          <w:p w14:paraId="6442E8C6" w14:textId="4BEA6681" w:rsidR="00652662" w:rsidRPr="0024374C" w:rsidRDefault="00652662" w:rsidP="00652662">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(1.153.687)</w:t>
            </w:r>
          </w:p>
        </w:tc>
        <w:tc>
          <w:tcPr>
            <w:tcW w:w="676" w:type="pct"/>
            <w:tcBorders>
              <w:top w:val="single" w:sz="4" w:space="0" w:color="FFFFFF" w:themeColor="background1"/>
              <w:bottom w:val="single" w:sz="4" w:space="0" w:color="FFFFFF" w:themeColor="background1"/>
            </w:tcBorders>
            <w:shd w:val="clear" w:color="auto" w:fill="D0E0E3"/>
            <w:noWrap/>
            <w:vAlign w:val="center"/>
            <w:hideMark/>
          </w:tcPr>
          <w:p w14:paraId="75E8E358" w14:textId="7A6B3B93" w:rsidR="00652662" w:rsidRPr="0024374C" w:rsidRDefault="00652662" w:rsidP="00652662">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(1.005.702)</w:t>
            </w:r>
          </w:p>
        </w:tc>
        <w:tc>
          <w:tcPr>
            <w:tcW w:w="675" w:type="pct"/>
            <w:tcBorders>
              <w:top w:val="single" w:sz="4" w:space="0" w:color="FFFFFF" w:themeColor="background1"/>
              <w:bottom w:val="single" w:sz="4" w:space="0" w:color="FFFFFF" w:themeColor="background1"/>
            </w:tcBorders>
            <w:shd w:val="clear" w:color="auto" w:fill="D0E0E3"/>
            <w:noWrap/>
            <w:vAlign w:val="center"/>
            <w:hideMark/>
          </w:tcPr>
          <w:p w14:paraId="0266AAFF" w14:textId="7ED97900" w:rsidR="00652662" w:rsidRPr="0024374C" w:rsidRDefault="00652662" w:rsidP="00652662">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(1.187.628)</w:t>
            </w:r>
          </w:p>
        </w:tc>
        <w:tc>
          <w:tcPr>
            <w:tcW w:w="676" w:type="pct"/>
            <w:tcBorders>
              <w:top w:val="single" w:sz="4" w:space="0" w:color="FFFFFF" w:themeColor="background1"/>
              <w:bottom w:val="single" w:sz="4" w:space="0" w:color="FFFFFF" w:themeColor="background1"/>
            </w:tcBorders>
            <w:shd w:val="clear" w:color="auto" w:fill="D0E0E3"/>
            <w:noWrap/>
            <w:vAlign w:val="center"/>
            <w:hideMark/>
          </w:tcPr>
          <w:p w14:paraId="37BAAE36" w14:textId="7803E5EA" w:rsidR="00652662" w:rsidRPr="0024374C" w:rsidRDefault="00652662" w:rsidP="00652662">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(1.141.620)</w:t>
            </w:r>
          </w:p>
        </w:tc>
      </w:tr>
      <w:tr w:rsidR="00652662" w:rsidRPr="0024374C" w14:paraId="468874DA" w14:textId="77777777" w:rsidTr="006C18D2">
        <w:trPr>
          <w:trHeight w:val="283"/>
        </w:trPr>
        <w:tc>
          <w:tcPr>
            <w:tcW w:w="2298" w:type="pct"/>
            <w:tcBorders>
              <w:top w:val="single" w:sz="4" w:space="0" w:color="FFFFFF" w:themeColor="background1"/>
              <w:bottom w:val="single" w:sz="4" w:space="0" w:color="FFFFFF" w:themeColor="background1"/>
            </w:tcBorders>
            <w:shd w:val="clear" w:color="auto" w:fill="D0E0E3"/>
            <w:noWrap/>
            <w:vAlign w:val="center"/>
            <w:hideMark/>
          </w:tcPr>
          <w:p w14:paraId="72CDC495" w14:textId="77777777" w:rsidR="00652662" w:rsidRPr="0024374C" w:rsidRDefault="00652662" w:rsidP="00652662">
            <w:pPr>
              <w:rPr>
                <w:rFonts w:ascii="CAIXA Std Book" w:eastAsia="Times New Roman" w:hAnsi="CAIXA Std Book" w:cs="Times New Roman"/>
                <w:b/>
                <w:bCs/>
                <w:color w:val="005CA9"/>
                <w:sz w:val="18"/>
                <w:szCs w:val="18"/>
              </w:rPr>
            </w:pPr>
            <w:r w:rsidRPr="0024374C">
              <w:rPr>
                <w:rFonts w:ascii="CAIXA Std Book" w:eastAsia="Times New Roman" w:hAnsi="CAIXA Std Book" w:cs="Times New Roman"/>
                <w:b/>
                <w:bCs/>
                <w:color w:val="005CA9"/>
                <w:sz w:val="18"/>
                <w:szCs w:val="18"/>
              </w:rPr>
              <w:t>Indenizações trabalhistas</w:t>
            </w:r>
          </w:p>
        </w:tc>
        <w:tc>
          <w:tcPr>
            <w:tcW w:w="675" w:type="pct"/>
            <w:tcBorders>
              <w:top w:val="single" w:sz="4" w:space="0" w:color="FFFFFF" w:themeColor="background1"/>
              <w:bottom w:val="single" w:sz="4" w:space="0" w:color="FFFFFF" w:themeColor="background1"/>
            </w:tcBorders>
            <w:shd w:val="clear" w:color="auto" w:fill="D0E0E3"/>
            <w:noWrap/>
            <w:vAlign w:val="center"/>
            <w:hideMark/>
          </w:tcPr>
          <w:p w14:paraId="5AFB7E24" w14:textId="48983805" w:rsidR="00652662" w:rsidRPr="0024374C" w:rsidRDefault="00652662" w:rsidP="00652662">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(63.787)</w:t>
            </w:r>
          </w:p>
        </w:tc>
        <w:tc>
          <w:tcPr>
            <w:tcW w:w="676" w:type="pct"/>
            <w:tcBorders>
              <w:top w:val="single" w:sz="4" w:space="0" w:color="FFFFFF" w:themeColor="background1"/>
              <w:bottom w:val="single" w:sz="4" w:space="0" w:color="FFFFFF" w:themeColor="background1"/>
            </w:tcBorders>
            <w:shd w:val="clear" w:color="auto" w:fill="D0E0E3"/>
            <w:noWrap/>
            <w:vAlign w:val="center"/>
            <w:hideMark/>
          </w:tcPr>
          <w:p w14:paraId="7D230836" w14:textId="12A9F4F5" w:rsidR="00652662" w:rsidRPr="0024374C" w:rsidRDefault="00652662" w:rsidP="00652662">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(171.993)</w:t>
            </w:r>
          </w:p>
        </w:tc>
        <w:tc>
          <w:tcPr>
            <w:tcW w:w="675" w:type="pct"/>
            <w:tcBorders>
              <w:top w:val="single" w:sz="4" w:space="0" w:color="FFFFFF" w:themeColor="background1"/>
              <w:bottom w:val="single" w:sz="4" w:space="0" w:color="FFFFFF" w:themeColor="background1"/>
            </w:tcBorders>
            <w:shd w:val="clear" w:color="auto" w:fill="D0E0E3"/>
            <w:noWrap/>
            <w:vAlign w:val="center"/>
            <w:hideMark/>
          </w:tcPr>
          <w:p w14:paraId="43FEF75A" w14:textId="1D270604" w:rsidR="00652662" w:rsidRPr="0024374C" w:rsidRDefault="00652662" w:rsidP="00652662">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(63.787)</w:t>
            </w:r>
          </w:p>
        </w:tc>
        <w:tc>
          <w:tcPr>
            <w:tcW w:w="676" w:type="pct"/>
            <w:tcBorders>
              <w:top w:val="single" w:sz="4" w:space="0" w:color="FFFFFF" w:themeColor="background1"/>
              <w:bottom w:val="single" w:sz="4" w:space="0" w:color="FFFFFF" w:themeColor="background1"/>
            </w:tcBorders>
            <w:shd w:val="clear" w:color="auto" w:fill="D0E0E3"/>
            <w:noWrap/>
            <w:vAlign w:val="center"/>
            <w:hideMark/>
          </w:tcPr>
          <w:p w14:paraId="27641BBA" w14:textId="7D1E84F7" w:rsidR="00652662" w:rsidRPr="0024374C" w:rsidRDefault="00652662" w:rsidP="00652662">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(171.993)</w:t>
            </w:r>
          </w:p>
        </w:tc>
      </w:tr>
      <w:tr w:rsidR="00652662" w:rsidRPr="0024374C" w14:paraId="0C62C244" w14:textId="77777777" w:rsidTr="006C18D2">
        <w:trPr>
          <w:trHeight w:val="283"/>
        </w:trPr>
        <w:tc>
          <w:tcPr>
            <w:tcW w:w="2298" w:type="pct"/>
            <w:tcBorders>
              <w:top w:val="single" w:sz="4" w:space="0" w:color="FFFFFF" w:themeColor="background1"/>
              <w:bottom w:val="single" w:sz="4" w:space="0" w:color="FFFFFF" w:themeColor="background1"/>
            </w:tcBorders>
            <w:shd w:val="clear" w:color="auto" w:fill="D0E0E3"/>
            <w:noWrap/>
            <w:vAlign w:val="center"/>
            <w:hideMark/>
          </w:tcPr>
          <w:p w14:paraId="7BF7B791" w14:textId="77777777" w:rsidR="00652662" w:rsidRPr="0024374C" w:rsidRDefault="00652662" w:rsidP="00652662">
            <w:pPr>
              <w:rPr>
                <w:rFonts w:ascii="CAIXA Std Book" w:eastAsia="Times New Roman" w:hAnsi="CAIXA Std Book" w:cs="Times New Roman"/>
                <w:b/>
                <w:bCs/>
                <w:color w:val="005CA9"/>
                <w:sz w:val="18"/>
                <w:szCs w:val="18"/>
              </w:rPr>
            </w:pPr>
            <w:r w:rsidRPr="0024374C">
              <w:rPr>
                <w:rFonts w:ascii="CAIXA Std Book" w:eastAsia="Times New Roman" w:hAnsi="CAIXA Std Book" w:cs="Times New Roman"/>
                <w:b/>
                <w:bCs/>
                <w:color w:val="005CA9"/>
                <w:sz w:val="18"/>
                <w:szCs w:val="18"/>
              </w:rPr>
              <w:t>Outros</w:t>
            </w:r>
          </w:p>
        </w:tc>
        <w:tc>
          <w:tcPr>
            <w:tcW w:w="675" w:type="pct"/>
            <w:tcBorders>
              <w:top w:val="single" w:sz="4" w:space="0" w:color="FFFFFF" w:themeColor="background1"/>
              <w:bottom w:val="single" w:sz="4" w:space="0" w:color="FFFFFF" w:themeColor="background1"/>
            </w:tcBorders>
            <w:shd w:val="clear" w:color="auto" w:fill="D0E0E3"/>
            <w:noWrap/>
            <w:vAlign w:val="center"/>
            <w:hideMark/>
          </w:tcPr>
          <w:p w14:paraId="694A36DA" w14:textId="16DFFCCE" w:rsidR="00652662" w:rsidRPr="0024374C" w:rsidRDefault="00652662" w:rsidP="00652662">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(34.039)</w:t>
            </w:r>
          </w:p>
        </w:tc>
        <w:tc>
          <w:tcPr>
            <w:tcW w:w="676" w:type="pct"/>
            <w:tcBorders>
              <w:top w:val="single" w:sz="4" w:space="0" w:color="FFFFFF" w:themeColor="background1"/>
              <w:bottom w:val="single" w:sz="4" w:space="0" w:color="FFFFFF" w:themeColor="background1"/>
            </w:tcBorders>
            <w:shd w:val="clear" w:color="auto" w:fill="D0E0E3"/>
            <w:noWrap/>
            <w:vAlign w:val="center"/>
            <w:hideMark/>
          </w:tcPr>
          <w:p w14:paraId="5F2728BA" w14:textId="29F23517" w:rsidR="00652662" w:rsidRPr="0024374C" w:rsidRDefault="00652662" w:rsidP="00652662">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(24.537)</w:t>
            </w:r>
          </w:p>
        </w:tc>
        <w:tc>
          <w:tcPr>
            <w:tcW w:w="675" w:type="pct"/>
            <w:tcBorders>
              <w:top w:val="single" w:sz="4" w:space="0" w:color="FFFFFF" w:themeColor="background1"/>
              <w:bottom w:val="single" w:sz="4" w:space="0" w:color="FFFFFF" w:themeColor="background1"/>
            </w:tcBorders>
            <w:shd w:val="clear" w:color="auto" w:fill="D0E0E3"/>
            <w:noWrap/>
            <w:vAlign w:val="center"/>
            <w:hideMark/>
          </w:tcPr>
          <w:p w14:paraId="7C52581C" w14:textId="4BEB8D6B" w:rsidR="00652662" w:rsidRPr="0024374C" w:rsidRDefault="00652662" w:rsidP="00652662">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(40.821)</w:t>
            </w:r>
          </w:p>
        </w:tc>
        <w:tc>
          <w:tcPr>
            <w:tcW w:w="676" w:type="pct"/>
            <w:tcBorders>
              <w:top w:val="single" w:sz="4" w:space="0" w:color="FFFFFF" w:themeColor="background1"/>
              <w:bottom w:val="single" w:sz="4" w:space="0" w:color="FFFFFF" w:themeColor="background1"/>
            </w:tcBorders>
            <w:shd w:val="clear" w:color="auto" w:fill="D0E0E3"/>
            <w:noWrap/>
            <w:vAlign w:val="center"/>
            <w:hideMark/>
          </w:tcPr>
          <w:p w14:paraId="7E0B23A1" w14:textId="269D2873" w:rsidR="00652662" w:rsidRPr="0024374C" w:rsidRDefault="00652662" w:rsidP="00652662">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(30.140)</w:t>
            </w:r>
          </w:p>
        </w:tc>
      </w:tr>
      <w:tr w:rsidR="00652662" w:rsidRPr="0024374C" w14:paraId="12E67F44" w14:textId="77777777" w:rsidTr="006C18D2">
        <w:trPr>
          <w:trHeight w:val="283"/>
        </w:trPr>
        <w:tc>
          <w:tcPr>
            <w:tcW w:w="2298" w:type="pct"/>
            <w:tcBorders>
              <w:top w:val="single" w:sz="4" w:space="0" w:color="FFFFFF" w:themeColor="background1"/>
            </w:tcBorders>
            <w:shd w:val="clear" w:color="auto" w:fill="D0E0E3"/>
            <w:noWrap/>
            <w:vAlign w:val="center"/>
            <w:hideMark/>
          </w:tcPr>
          <w:p w14:paraId="43C35809" w14:textId="77777777" w:rsidR="00652662" w:rsidRPr="0024374C" w:rsidRDefault="00652662" w:rsidP="00652662">
            <w:pPr>
              <w:rPr>
                <w:rFonts w:ascii="CAIXA Std Book" w:eastAsia="Times New Roman" w:hAnsi="CAIXA Std Book" w:cs="Times New Roman"/>
                <w:b/>
                <w:bCs/>
                <w:color w:val="005CA9"/>
                <w:sz w:val="18"/>
                <w:szCs w:val="18"/>
              </w:rPr>
            </w:pPr>
            <w:r w:rsidRPr="0024374C">
              <w:rPr>
                <w:rFonts w:ascii="CAIXA Std Book" w:eastAsia="Times New Roman" w:hAnsi="CAIXA Std Book" w:cs="Times New Roman"/>
                <w:b/>
                <w:bCs/>
                <w:color w:val="005CA9"/>
                <w:sz w:val="18"/>
                <w:szCs w:val="18"/>
              </w:rPr>
              <w:t>Encargos sociais</w:t>
            </w:r>
          </w:p>
        </w:tc>
        <w:tc>
          <w:tcPr>
            <w:tcW w:w="675" w:type="pct"/>
            <w:tcBorders>
              <w:top w:val="single" w:sz="4" w:space="0" w:color="FFFFFF" w:themeColor="background1"/>
            </w:tcBorders>
            <w:shd w:val="clear" w:color="auto" w:fill="D0E0E3"/>
            <w:noWrap/>
            <w:vAlign w:val="center"/>
            <w:hideMark/>
          </w:tcPr>
          <w:p w14:paraId="381526FD" w14:textId="762590CD" w:rsidR="00652662" w:rsidRPr="0024374C" w:rsidRDefault="00652662" w:rsidP="00652662">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(1.949.411)</w:t>
            </w:r>
          </w:p>
        </w:tc>
        <w:tc>
          <w:tcPr>
            <w:tcW w:w="676" w:type="pct"/>
            <w:tcBorders>
              <w:top w:val="single" w:sz="4" w:space="0" w:color="FFFFFF" w:themeColor="background1"/>
            </w:tcBorders>
            <w:shd w:val="clear" w:color="auto" w:fill="D0E0E3"/>
            <w:noWrap/>
            <w:vAlign w:val="center"/>
            <w:hideMark/>
          </w:tcPr>
          <w:p w14:paraId="1E8589F6" w14:textId="1A30FE30" w:rsidR="00652662" w:rsidRPr="0024374C" w:rsidRDefault="00652662" w:rsidP="00652662">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(1.770.291)</w:t>
            </w:r>
          </w:p>
        </w:tc>
        <w:tc>
          <w:tcPr>
            <w:tcW w:w="675" w:type="pct"/>
            <w:tcBorders>
              <w:top w:val="single" w:sz="4" w:space="0" w:color="FFFFFF" w:themeColor="background1"/>
            </w:tcBorders>
            <w:shd w:val="clear" w:color="auto" w:fill="D0E0E3"/>
            <w:noWrap/>
            <w:vAlign w:val="center"/>
            <w:hideMark/>
          </w:tcPr>
          <w:p w14:paraId="040A51E0" w14:textId="649438B3" w:rsidR="00652662" w:rsidRPr="0024374C" w:rsidRDefault="00652662" w:rsidP="00652662">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(1.979.258)</w:t>
            </w:r>
          </w:p>
        </w:tc>
        <w:tc>
          <w:tcPr>
            <w:tcW w:w="676" w:type="pct"/>
            <w:tcBorders>
              <w:top w:val="single" w:sz="4" w:space="0" w:color="FFFFFF" w:themeColor="background1"/>
            </w:tcBorders>
            <w:shd w:val="clear" w:color="auto" w:fill="D0E0E3"/>
            <w:noWrap/>
            <w:vAlign w:val="center"/>
            <w:hideMark/>
          </w:tcPr>
          <w:p w14:paraId="1AF3B7FF" w14:textId="25500CE3" w:rsidR="00652662" w:rsidRPr="0024374C" w:rsidRDefault="00652662" w:rsidP="00652662">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(1.789.781)</w:t>
            </w:r>
          </w:p>
        </w:tc>
      </w:tr>
      <w:tr w:rsidR="00652662" w:rsidRPr="0024374C" w14:paraId="25D56DFC" w14:textId="77777777" w:rsidTr="006C18D2">
        <w:trPr>
          <w:trHeight w:val="283"/>
        </w:trPr>
        <w:tc>
          <w:tcPr>
            <w:tcW w:w="2298" w:type="pct"/>
            <w:vAlign w:val="center"/>
            <w:hideMark/>
          </w:tcPr>
          <w:p w14:paraId="2FAD0E13" w14:textId="77777777" w:rsidR="00652662" w:rsidRPr="0024374C" w:rsidRDefault="00652662" w:rsidP="00652662">
            <w:pPr>
              <w:ind w:firstLineChars="100" w:firstLine="180"/>
              <w:rPr>
                <w:rFonts w:ascii="CAIXA Std Book" w:eastAsia="Times New Roman" w:hAnsi="CAIXA Std Book" w:cs="Times New Roman"/>
                <w:color w:val="005CA9"/>
                <w:sz w:val="18"/>
                <w:szCs w:val="18"/>
              </w:rPr>
            </w:pPr>
            <w:r w:rsidRPr="0024374C">
              <w:rPr>
                <w:rFonts w:ascii="CAIXA Std Book" w:eastAsia="Times New Roman" w:hAnsi="CAIXA Std Book" w:cs="Times New Roman"/>
                <w:color w:val="005CA9"/>
                <w:sz w:val="18"/>
                <w:szCs w:val="18"/>
              </w:rPr>
              <w:t>Previdência social</w:t>
            </w:r>
          </w:p>
        </w:tc>
        <w:tc>
          <w:tcPr>
            <w:tcW w:w="675" w:type="pct"/>
            <w:noWrap/>
            <w:vAlign w:val="center"/>
            <w:hideMark/>
          </w:tcPr>
          <w:p w14:paraId="1D01B57D" w14:textId="0B0B1C7C" w:rsidR="00652662" w:rsidRPr="0024374C" w:rsidRDefault="00652662" w:rsidP="00652662">
            <w:pPr>
              <w:ind w:firstLineChars="100" w:firstLine="180"/>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(1.079.107)</w:t>
            </w:r>
          </w:p>
        </w:tc>
        <w:tc>
          <w:tcPr>
            <w:tcW w:w="676" w:type="pct"/>
            <w:noWrap/>
            <w:vAlign w:val="center"/>
            <w:hideMark/>
          </w:tcPr>
          <w:p w14:paraId="659C33EE" w14:textId="4450877B" w:rsidR="00652662" w:rsidRPr="0024374C" w:rsidRDefault="00652662" w:rsidP="00652662">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(998.879)</w:t>
            </w:r>
          </w:p>
        </w:tc>
        <w:tc>
          <w:tcPr>
            <w:tcW w:w="675" w:type="pct"/>
            <w:noWrap/>
            <w:vAlign w:val="center"/>
            <w:hideMark/>
          </w:tcPr>
          <w:p w14:paraId="34812227" w14:textId="606A49A1" w:rsidR="00652662" w:rsidRPr="0024374C" w:rsidRDefault="00652662" w:rsidP="00652662">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(1.095.951)</w:t>
            </w:r>
          </w:p>
        </w:tc>
        <w:tc>
          <w:tcPr>
            <w:tcW w:w="676" w:type="pct"/>
            <w:noWrap/>
            <w:vAlign w:val="center"/>
            <w:hideMark/>
          </w:tcPr>
          <w:p w14:paraId="59081333" w14:textId="68979E6C" w:rsidR="00652662" w:rsidRPr="0024374C" w:rsidRDefault="00652662" w:rsidP="00652662">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(1.009.851)</w:t>
            </w:r>
          </w:p>
        </w:tc>
      </w:tr>
      <w:tr w:rsidR="00652662" w:rsidRPr="0024374C" w14:paraId="1C2EA031" w14:textId="77777777" w:rsidTr="006C18D2">
        <w:trPr>
          <w:trHeight w:val="283"/>
        </w:trPr>
        <w:tc>
          <w:tcPr>
            <w:tcW w:w="2298" w:type="pct"/>
            <w:vAlign w:val="center"/>
            <w:hideMark/>
          </w:tcPr>
          <w:p w14:paraId="07E929F4" w14:textId="77777777" w:rsidR="00652662" w:rsidRPr="0024374C" w:rsidRDefault="00652662" w:rsidP="00652662">
            <w:pPr>
              <w:ind w:firstLineChars="100" w:firstLine="180"/>
              <w:rPr>
                <w:rFonts w:ascii="CAIXA Std Book" w:eastAsia="Times New Roman" w:hAnsi="CAIXA Std Book" w:cs="Times New Roman"/>
                <w:color w:val="005CA9"/>
                <w:sz w:val="18"/>
                <w:szCs w:val="18"/>
              </w:rPr>
            </w:pPr>
            <w:r w:rsidRPr="0024374C">
              <w:rPr>
                <w:rFonts w:ascii="CAIXA Std Book" w:eastAsia="Times New Roman" w:hAnsi="CAIXA Std Book" w:cs="Times New Roman"/>
                <w:color w:val="005CA9"/>
                <w:sz w:val="18"/>
                <w:szCs w:val="18"/>
              </w:rPr>
              <w:t>FGTS</w:t>
            </w:r>
          </w:p>
        </w:tc>
        <w:tc>
          <w:tcPr>
            <w:tcW w:w="675" w:type="pct"/>
            <w:noWrap/>
            <w:vAlign w:val="center"/>
            <w:hideMark/>
          </w:tcPr>
          <w:p w14:paraId="16FB1B1C" w14:textId="1BA57585" w:rsidR="00652662" w:rsidRPr="0024374C" w:rsidRDefault="00652662" w:rsidP="00652662">
            <w:pPr>
              <w:ind w:firstLineChars="100" w:firstLine="180"/>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(359.635)</w:t>
            </w:r>
          </w:p>
        </w:tc>
        <w:tc>
          <w:tcPr>
            <w:tcW w:w="676" w:type="pct"/>
            <w:noWrap/>
            <w:vAlign w:val="center"/>
            <w:hideMark/>
          </w:tcPr>
          <w:p w14:paraId="3A4BADC1" w14:textId="359A3274" w:rsidR="00652662" w:rsidRPr="0024374C" w:rsidRDefault="00652662" w:rsidP="00652662">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(333.189)</w:t>
            </w:r>
          </w:p>
        </w:tc>
        <w:tc>
          <w:tcPr>
            <w:tcW w:w="675" w:type="pct"/>
            <w:noWrap/>
            <w:vAlign w:val="center"/>
            <w:hideMark/>
          </w:tcPr>
          <w:p w14:paraId="0455A1E1" w14:textId="778E5C63" w:rsidR="00652662" w:rsidRPr="0024374C" w:rsidRDefault="00652662" w:rsidP="00652662">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(365.113)</w:t>
            </w:r>
          </w:p>
        </w:tc>
        <w:tc>
          <w:tcPr>
            <w:tcW w:w="676" w:type="pct"/>
            <w:noWrap/>
            <w:vAlign w:val="center"/>
            <w:hideMark/>
          </w:tcPr>
          <w:p w14:paraId="642FE344" w14:textId="2B7B3069" w:rsidR="00652662" w:rsidRPr="0024374C" w:rsidRDefault="00652662" w:rsidP="00652662">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(336.749)</w:t>
            </w:r>
          </w:p>
        </w:tc>
      </w:tr>
      <w:tr w:rsidR="00652662" w:rsidRPr="0024374C" w14:paraId="6AFC9E11" w14:textId="77777777" w:rsidTr="006C18D2">
        <w:trPr>
          <w:trHeight w:val="283"/>
        </w:trPr>
        <w:tc>
          <w:tcPr>
            <w:tcW w:w="2298" w:type="pct"/>
            <w:vAlign w:val="center"/>
            <w:hideMark/>
          </w:tcPr>
          <w:p w14:paraId="43C42E46" w14:textId="77777777" w:rsidR="00652662" w:rsidRPr="0024374C" w:rsidRDefault="00652662" w:rsidP="00652662">
            <w:pPr>
              <w:ind w:firstLineChars="100" w:firstLine="180"/>
              <w:rPr>
                <w:rFonts w:ascii="CAIXA Std Book" w:eastAsia="Times New Roman" w:hAnsi="CAIXA Std Book" w:cs="Times New Roman"/>
                <w:color w:val="005CA9"/>
                <w:sz w:val="18"/>
                <w:szCs w:val="18"/>
              </w:rPr>
            </w:pPr>
            <w:r w:rsidRPr="0024374C">
              <w:rPr>
                <w:rFonts w:ascii="CAIXA Std Book" w:eastAsia="Times New Roman" w:hAnsi="CAIXA Std Book" w:cs="Times New Roman"/>
                <w:color w:val="005CA9"/>
                <w:sz w:val="18"/>
                <w:szCs w:val="18"/>
              </w:rPr>
              <w:t>Previdência complementar</w:t>
            </w:r>
          </w:p>
        </w:tc>
        <w:tc>
          <w:tcPr>
            <w:tcW w:w="675" w:type="pct"/>
            <w:noWrap/>
            <w:vAlign w:val="center"/>
            <w:hideMark/>
          </w:tcPr>
          <w:p w14:paraId="58300F4A" w14:textId="2FFCFC18" w:rsidR="00652662" w:rsidRPr="0024374C" w:rsidRDefault="00652662" w:rsidP="00652662">
            <w:pPr>
              <w:ind w:firstLineChars="100" w:firstLine="180"/>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(397.865)</w:t>
            </w:r>
          </w:p>
        </w:tc>
        <w:tc>
          <w:tcPr>
            <w:tcW w:w="676" w:type="pct"/>
            <w:noWrap/>
            <w:vAlign w:val="center"/>
            <w:hideMark/>
          </w:tcPr>
          <w:p w14:paraId="46C77E3F" w14:textId="175FF74B" w:rsidR="00652662" w:rsidRPr="0024374C" w:rsidRDefault="00652662" w:rsidP="00652662">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(333.993)</w:t>
            </w:r>
          </w:p>
        </w:tc>
        <w:tc>
          <w:tcPr>
            <w:tcW w:w="675" w:type="pct"/>
            <w:noWrap/>
            <w:vAlign w:val="center"/>
            <w:hideMark/>
          </w:tcPr>
          <w:p w14:paraId="6E431418" w14:textId="579EB22A" w:rsidR="00652662" w:rsidRPr="0024374C" w:rsidRDefault="00652662" w:rsidP="00652662">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(404.002)</w:t>
            </w:r>
          </w:p>
        </w:tc>
        <w:tc>
          <w:tcPr>
            <w:tcW w:w="676" w:type="pct"/>
            <w:noWrap/>
            <w:vAlign w:val="center"/>
            <w:hideMark/>
          </w:tcPr>
          <w:p w14:paraId="1E66DB6D" w14:textId="7E25DEC1" w:rsidR="00652662" w:rsidRPr="0024374C" w:rsidRDefault="00652662" w:rsidP="00652662">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(338.106)</w:t>
            </w:r>
          </w:p>
        </w:tc>
      </w:tr>
      <w:tr w:rsidR="00652662" w:rsidRPr="0024374C" w14:paraId="06F65D67" w14:textId="77777777" w:rsidTr="006C18D2">
        <w:trPr>
          <w:trHeight w:val="283"/>
        </w:trPr>
        <w:tc>
          <w:tcPr>
            <w:tcW w:w="2298" w:type="pct"/>
            <w:vAlign w:val="center"/>
            <w:hideMark/>
          </w:tcPr>
          <w:p w14:paraId="7848D83A" w14:textId="77777777" w:rsidR="00652662" w:rsidRPr="0024374C" w:rsidRDefault="00652662" w:rsidP="00652662">
            <w:pPr>
              <w:ind w:firstLineChars="100" w:firstLine="180"/>
              <w:rPr>
                <w:rFonts w:ascii="CAIXA Std Book" w:eastAsia="Times New Roman" w:hAnsi="CAIXA Std Book" w:cs="Times New Roman"/>
                <w:color w:val="005CA9"/>
                <w:sz w:val="18"/>
                <w:szCs w:val="18"/>
              </w:rPr>
            </w:pPr>
            <w:r w:rsidRPr="0024374C">
              <w:rPr>
                <w:rFonts w:ascii="CAIXA Std Book" w:eastAsia="Times New Roman" w:hAnsi="CAIXA Std Book" w:cs="Times New Roman"/>
                <w:color w:val="005CA9"/>
                <w:sz w:val="18"/>
                <w:szCs w:val="18"/>
              </w:rPr>
              <w:t>Outros encargos</w:t>
            </w:r>
          </w:p>
        </w:tc>
        <w:tc>
          <w:tcPr>
            <w:tcW w:w="675" w:type="pct"/>
            <w:noWrap/>
            <w:vAlign w:val="center"/>
            <w:hideMark/>
          </w:tcPr>
          <w:p w14:paraId="1D9C1232" w14:textId="0DDF88BA" w:rsidR="00652662" w:rsidRPr="0024374C" w:rsidRDefault="00652662" w:rsidP="00652662">
            <w:pPr>
              <w:ind w:firstLineChars="100" w:firstLine="180"/>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(112.804)</w:t>
            </w:r>
          </w:p>
        </w:tc>
        <w:tc>
          <w:tcPr>
            <w:tcW w:w="676" w:type="pct"/>
            <w:noWrap/>
            <w:vAlign w:val="center"/>
            <w:hideMark/>
          </w:tcPr>
          <w:p w14:paraId="0772DC03" w14:textId="538D0FBA" w:rsidR="00652662" w:rsidRPr="0024374C" w:rsidRDefault="00652662" w:rsidP="00652662">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(104.230)</w:t>
            </w:r>
          </w:p>
        </w:tc>
        <w:tc>
          <w:tcPr>
            <w:tcW w:w="675" w:type="pct"/>
            <w:noWrap/>
            <w:vAlign w:val="center"/>
            <w:hideMark/>
          </w:tcPr>
          <w:p w14:paraId="5C6F1C61" w14:textId="65A12956" w:rsidR="00652662" w:rsidRPr="0024374C" w:rsidRDefault="00652662" w:rsidP="00652662">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(114.192)</w:t>
            </w:r>
          </w:p>
        </w:tc>
        <w:tc>
          <w:tcPr>
            <w:tcW w:w="676" w:type="pct"/>
            <w:noWrap/>
            <w:vAlign w:val="center"/>
            <w:hideMark/>
          </w:tcPr>
          <w:p w14:paraId="2DA0A568" w14:textId="72BBAF1E" w:rsidR="00652662" w:rsidRPr="0024374C" w:rsidRDefault="00652662" w:rsidP="00652662">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(105.075)</w:t>
            </w:r>
          </w:p>
        </w:tc>
      </w:tr>
      <w:tr w:rsidR="00652662" w:rsidRPr="0024374C" w14:paraId="42826122" w14:textId="77777777" w:rsidTr="006C18D2">
        <w:trPr>
          <w:trHeight w:val="283"/>
        </w:trPr>
        <w:tc>
          <w:tcPr>
            <w:tcW w:w="2298" w:type="pct"/>
            <w:shd w:val="clear" w:color="000000" w:fill="005CA9"/>
            <w:noWrap/>
            <w:vAlign w:val="center"/>
            <w:hideMark/>
          </w:tcPr>
          <w:p w14:paraId="3469EAFF" w14:textId="77777777" w:rsidR="00652662" w:rsidRPr="0024374C" w:rsidRDefault="00652662" w:rsidP="00652662">
            <w:pPr>
              <w:rPr>
                <w:rFonts w:ascii="CAIXA Std Book" w:eastAsia="Times New Roman" w:hAnsi="CAIXA Std Book" w:cs="Times New Roman"/>
                <w:b/>
                <w:bCs/>
                <w:color w:val="FFFFFF"/>
                <w:sz w:val="18"/>
                <w:szCs w:val="18"/>
              </w:rPr>
            </w:pPr>
            <w:r w:rsidRPr="0024374C">
              <w:rPr>
                <w:rFonts w:ascii="CAIXA Std Book" w:eastAsia="Times New Roman" w:hAnsi="CAIXA Std Book" w:cs="Times New Roman"/>
                <w:b/>
                <w:bCs/>
                <w:color w:val="FFFFFF"/>
                <w:sz w:val="18"/>
                <w:szCs w:val="18"/>
              </w:rPr>
              <w:t>Total</w:t>
            </w:r>
          </w:p>
        </w:tc>
        <w:tc>
          <w:tcPr>
            <w:tcW w:w="675" w:type="pct"/>
            <w:shd w:val="clear" w:color="000000" w:fill="005CA9"/>
            <w:noWrap/>
            <w:vAlign w:val="center"/>
            <w:hideMark/>
          </w:tcPr>
          <w:p w14:paraId="5E69036A" w14:textId="2539FACD" w:rsidR="00652662" w:rsidRPr="0024374C" w:rsidRDefault="00652662" w:rsidP="00652662">
            <w:pPr>
              <w:jc w:val="right"/>
              <w:rPr>
                <w:rFonts w:ascii="CAIXA Std Book" w:eastAsia="Times New Roman" w:hAnsi="CAIXA Std Book" w:cs="Times New Roman"/>
                <w:b/>
                <w:bCs/>
                <w:color w:val="FFFFFF"/>
                <w:sz w:val="18"/>
                <w:szCs w:val="18"/>
              </w:rPr>
            </w:pPr>
            <w:r>
              <w:rPr>
                <w:rFonts w:ascii="CAIXA Std Book" w:hAnsi="CAIXA Std Book" w:cs="Calibri"/>
                <w:b/>
                <w:bCs/>
                <w:color w:val="FFFFFF"/>
                <w:sz w:val="18"/>
                <w:szCs w:val="18"/>
              </w:rPr>
              <w:t>(7.879.786)</w:t>
            </w:r>
          </w:p>
        </w:tc>
        <w:tc>
          <w:tcPr>
            <w:tcW w:w="676" w:type="pct"/>
            <w:shd w:val="clear" w:color="000000" w:fill="005CA9"/>
            <w:noWrap/>
            <w:vAlign w:val="center"/>
            <w:hideMark/>
          </w:tcPr>
          <w:p w14:paraId="7DB4DDFC" w14:textId="3C574957" w:rsidR="00652662" w:rsidRPr="0024374C" w:rsidRDefault="00652662" w:rsidP="00652662">
            <w:pPr>
              <w:jc w:val="right"/>
              <w:rPr>
                <w:rFonts w:ascii="CAIXA Std Book" w:eastAsia="Times New Roman" w:hAnsi="CAIXA Std Book" w:cs="Times New Roman"/>
                <w:b/>
                <w:bCs/>
                <w:color w:val="FFFFFF"/>
                <w:sz w:val="18"/>
                <w:szCs w:val="18"/>
              </w:rPr>
            </w:pPr>
            <w:r>
              <w:rPr>
                <w:rFonts w:ascii="CAIXA Std Book" w:hAnsi="CAIXA Std Book" w:cs="Calibri"/>
                <w:b/>
                <w:bCs/>
                <w:color w:val="FFFFFF"/>
                <w:sz w:val="18"/>
                <w:szCs w:val="18"/>
              </w:rPr>
              <w:t>(7.352.256)</w:t>
            </w:r>
          </w:p>
        </w:tc>
        <w:tc>
          <w:tcPr>
            <w:tcW w:w="675" w:type="pct"/>
            <w:shd w:val="clear" w:color="000000" w:fill="005CA9"/>
            <w:noWrap/>
            <w:vAlign w:val="center"/>
            <w:hideMark/>
          </w:tcPr>
          <w:p w14:paraId="1EB4FCA4" w14:textId="7BA5514A" w:rsidR="00652662" w:rsidRPr="0024374C" w:rsidRDefault="00652662" w:rsidP="00652662">
            <w:pPr>
              <w:jc w:val="right"/>
              <w:rPr>
                <w:rFonts w:ascii="CAIXA Std Book" w:eastAsia="Times New Roman" w:hAnsi="CAIXA Std Book" w:cs="Times New Roman"/>
                <w:b/>
                <w:bCs/>
                <w:color w:val="FFFFFF"/>
                <w:sz w:val="18"/>
                <w:szCs w:val="18"/>
              </w:rPr>
            </w:pPr>
            <w:r>
              <w:rPr>
                <w:rFonts w:ascii="CAIXA Std Book" w:hAnsi="CAIXA Std Book" w:cs="Calibri"/>
                <w:b/>
                <w:bCs/>
                <w:color w:val="FFFFFF"/>
                <w:sz w:val="18"/>
                <w:szCs w:val="18"/>
              </w:rPr>
              <w:t>(8.017.657)</w:t>
            </w:r>
          </w:p>
        </w:tc>
        <w:tc>
          <w:tcPr>
            <w:tcW w:w="676" w:type="pct"/>
            <w:shd w:val="clear" w:color="000000" w:fill="005CA9"/>
            <w:noWrap/>
            <w:vAlign w:val="center"/>
            <w:hideMark/>
          </w:tcPr>
          <w:p w14:paraId="204CEF3B" w14:textId="102C770D" w:rsidR="00652662" w:rsidRPr="0024374C" w:rsidRDefault="00652662" w:rsidP="00652662">
            <w:pPr>
              <w:jc w:val="right"/>
              <w:rPr>
                <w:rFonts w:ascii="CAIXA Std Book" w:eastAsia="Times New Roman" w:hAnsi="CAIXA Std Book" w:cs="Times New Roman"/>
                <w:b/>
                <w:bCs/>
                <w:color w:val="FFFFFF"/>
                <w:sz w:val="18"/>
                <w:szCs w:val="18"/>
              </w:rPr>
            </w:pPr>
            <w:r>
              <w:rPr>
                <w:rFonts w:ascii="CAIXA Std Book" w:hAnsi="CAIXA Std Book" w:cs="Calibri"/>
                <w:b/>
                <w:bCs/>
                <w:color w:val="FFFFFF"/>
                <w:sz w:val="18"/>
                <w:szCs w:val="18"/>
              </w:rPr>
              <w:t>(7.556.488)</w:t>
            </w:r>
          </w:p>
        </w:tc>
      </w:tr>
    </w:tbl>
    <w:p w14:paraId="69D1D409" w14:textId="47EB03C2" w:rsidR="001C6FE1" w:rsidRDefault="001C6FE1" w:rsidP="00295657">
      <w:pPr>
        <w:pStyle w:val="PargrafodaLista"/>
        <w:numPr>
          <w:ilvl w:val="0"/>
          <w:numId w:val="26"/>
        </w:numPr>
        <w:spacing w:before="240" w:after="120"/>
        <w:ind w:left="567" w:hanging="567"/>
        <w:contextualSpacing w:val="0"/>
        <w:jc w:val="both"/>
        <w:rPr>
          <w:rFonts w:ascii="CAIXA Std Book" w:hAnsi="CAIXA Std Book"/>
          <w:b/>
          <w:color w:val="005CA9"/>
          <w:sz w:val="20"/>
          <w:szCs w:val="20"/>
        </w:rPr>
      </w:pPr>
      <w:r w:rsidRPr="005C7AB4">
        <w:rPr>
          <w:rFonts w:ascii="CAIXA Std Book" w:hAnsi="CAIXA Std Book"/>
          <w:b/>
          <w:color w:val="005CA9"/>
          <w:sz w:val="20"/>
          <w:szCs w:val="20"/>
        </w:rPr>
        <w:t xml:space="preserve">Remuneração </w:t>
      </w:r>
      <w:r w:rsidR="00D71FEF">
        <w:rPr>
          <w:rFonts w:ascii="CAIXA Std Book" w:hAnsi="CAIXA Std Book"/>
          <w:b/>
          <w:color w:val="005CA9"/>
          <w:sz w:val="20"/>
          <w:szCs w:val="20"/>
        </w:rPr>
        <w:t>m</w:t>
      </w:r>
      <w:r w:rsidRPr="005C7AB4">
        <w:rPr>
          <w:rFonts w:ascii="CAIXA Std Book" w:hAnsi="CAIXA Std Book"/>
          <w:b/>
          <w:color w:val="005CA9"/>
          <w:sz w:val="20"/>
          <w:szCs w:val="20"/>
        </w:rPr>
        <w:t>édia (em reais)</w:t>
      </w:r>
    </w:p>
    <w:tbl>
      <w:tblPr>
        <w:tblW w:w="5000" w:type="pct"/>
        <w:tblCellMar>
          <w:left w:w="70" w:type="dxa"/>
          <w:right w:w="70" w:type="dxa"/>
        </w:tblCellMar>
        <w:tblLook w:val="04A0" w:firstRow="1" w:lastRow="0" w:firstColumn="1" w:lastColumn="0" w:noHBand="0" w:noVBand="1"/>
      </w:tblPr>
      <w:tblGrid>
        <w:gridCol w:w="6238"/>
        <w:gridCol w:w="1700"/>
        <w:gridCol w:w="1700"/>
      </w:tblGrid>
      <w:tr w:rsidR="00FC54CF" w:rsidRPr="00FC54CF" w14:paraId="374E695B" w14:textId="77777777" w:rsidTr="006C18D2">
        <w:trPr>
          <w:trHeight w:val="283"/>
        </w:trPr>
        <w:tc>
          <w:tcPr>
            <w:tcW w:w="3236" w:type="pct"/>
            <w:vMerge w:val="restart"/>
            <w:tcBorders>
              <w:top w:val="nil"/>
              <w:left w:val="nil"/>
              <w:right w:val="nil"/>
            </w:tcBorders>
            <w:shd w:val="clear" w:color="000000" w:fill="005CA9"/>
            <w:vAlign w:val="center"/>
            <w:hideMark/>
          </w:tcPr>
          <w:p w14:paraId="67499DD5" w14:textId="77777777" w:rsidR="00FC54CF" w:rsidRPr="00FC54CF" w:rsidRDefault="00FC54CF" w:rsidP="00FC54CF">
            <w:pPr>
              <w:jc w:val="center"/>
              <w:rPr>
                <w:rFonts w:ascii="CAIXA Std Book" w:eastAsia="Times New Roman" w:hAnsi="CAIXA Std Book" w:cs="Times New Roman"/>
                <w:b/>
                <w:bCs/>
                <w:color w:val="FFFFFF"/>
                <w:sz w:val="18"/>
                <w:szCs w:val="18"/>
              </w:rPr>
            </w:pPr>
            <w:r w:rsidRPr="00FC54CF">
              <w:rPr>
                <w:rFonts w:ascii="CAIXA Std Book" w:eastAsia="Times New Roman" w:hAnsi="CAIXA Std Book" w:cs="Times New Roman"/>
                <w:b/>
                <w:bCs/>
                <w:color w:val="FFFFFF"/>
                <w:sz w:val="18"/>
                <w:szCs w:val="18"/>
              </w:rPr>
              <w:t>Descrição (1)</w:t>
            </w:r>
          </w:p>
        </w:tc>
        <w:tc>
          <w:tcPr>
            <w:tcW w:w="1764" w:type="pct"/>
            <w:gridSpan w:val="2"/>
            <w:tcBorders>
              <w:top w:val="nil"/>
              <w:left w:val="nil"/>
              <w:bottom w:val="single" w:sz="4" w:space="0" w:color="FFFFFF" w:themeColor="background1"/>
              <w:right w:val="nil"/>
            </w:tcBorders>
            <w:shd w:val="clear" w:color="000000" w:fill="005CA9"/>
            <w:vAlign w:val="center"/>
            <w:hideMark/>
          </w:tcPr>
          <w:p w14:paraId="0E38E24D" w14:textId="77777777" w:rsidR="00FC54CF" w:rsidRPr="00FC54CF" w:rsidRDefault="00FC54CF" w:rsidP="00FC54CF">
            <w:pPr>
              <w:jc w:val="center"/>
              <w:rPr>
                <w:rFonts w:ascii="CAIXA Std Book" w:eastAsia="Times New Roman" w:hAnsi="CAIXA Std Book" w:cs="Times New Roman"/>
                <w:b/>
                <w:bCs/>
                <w:color w:val="FFFFFF"/>
                <w:sz w:val="18"/>
                <w:szCs w:val="18"/>
              </w:rPr>
            </w:pPr>
            <w:r w:rsidRPr="00FC54CF">
              <w:rPr>
                <w:rFonts w:ascii="CAIXA Std Book" w:eastAsia="Times New Roman" w:hAnsi="CAIXA Std Book" w:cs="Times New Roman"/>
                <w:b/>
                <w:bCs/>
                <w:color w:val="FFFFFF"/>
                <w:sz w:val="18"/>
                <w:szCs w:val="18"/>
              </w:rPr>
              <w:t>Individual</w:t>
            </w:r>
          </w:p>
        </w:tc>
      </w:tr>
      <w:tr w:rsidR="00FC54CF" w:rsidRPr="00FC54CF" w14:paraId="6C8209C6" w14:textId="77777777" w:rsidTr="006C18D2">
        <w:trPr>
          <w:trHeight w:val="283"/>
        </w:trPr>
        <w:tc>
          <w:tcPr>
            <w:tcW w:w="3236" w:type="pct"/>
            <w:vMerge/>
            <w:tcBorders>
              <w:top w:val="nil"/>
              <w:left w:val="nil"/>
              <w:right w:val="nil"/>
            </w:tcBorders>
            <w:vAlign w:val="center"/>
            <w:hideMark/>
          </w:tcPr>
          <w:p w14:paraId="562CA98A" w14:textId="77777777" w:rsidR="00FC54CF" w:rsidRPr="00FC54CF" w:rsidRDefault="00FC54CF" w:rsidP="00FC54CF">
            <w:pPr>
              <w:rPr>
                <w:rFonts w:ascii="CAIXA Std Book" w:eastAsia="Times New Roman" w:hAnsi="CAIXA Std Book" w:cs="Times New Roman"/>
                <w:b/>
                <w:bCs/>
                <w:color w:val="FFFFFF"/>
                <w:sz w:val="18"/>
                <w:szCs w:val="18"/>
              </w:rPr>
            </w:pPr>
          </w:p>
        </w:tc>
        <w:tc>
          <w:tcPr>
            <w:tcW w:w="882" w:type="pct"/>
            <w:tcBorders>
              <w:top w:val="single" w:sz="4" w:space="0" w:color="FFFFFF" w:themeColor="background1"/>
              <w:left w:val="nil"/>
              <w:bottom w:val="single" w:sz="4" w:space="0" w:color="FFFFFF" w:themeColor="background1"/>
              <w:right w:val="nil"/>
            </w:tcBorders>
            <w:shd w:val="clear" w:color="000000" w:fill="005CA9"/>
            <w:vAlign w:val="center"/>
            <w:hideMark/>
          </w:tcPr>
          <w:p w14:paraId="0A70F90A" w14:textId="77777777" w:rsidR="00FC54CF" w:rsidRPr="00FC54CF" w:rsidRDefault="00FC54CF" w:rsidP="00FC54CF">
            <w:pPr>
              <w:jc w:val="center"/>
              <w:rPr>
                <w:rFonts w:ascii="CAIXA Std Book" w:eastAsia="Times New Roman" w:hAnsi="CAIXA Std Book" w:cs="Times New Roman"/>
                <w:b/>
                <w:bCs/>
                <w:color w:val="FFFFFF"/>
                <w:sz w:val="18"/>
                <w:szCs w:val="18"/>
              </w:rPr>
            </w:pPr>
            <w:r w:rsidRPr="00FC54CF">
              <w:rPr>
                <w:rFonts w:ascii="CAIXA Std Book" w:eastAsia="Times New Roman" w:hAnsi="CAIXA Std Book" w:cs="Times New Roman"/>
                <w:b/>
                <w:bCs/>
                <w:color w:val="FFFFFF"/>
                <w:sz w:val="18"/>
                <w:szCs w:val="18"/>
              </w:rPr>
              <w:t>2026</w:t>
            </w:r>
          </w:p>
        </w:tc>
        <w:tc>
          <w:tcPr>
            <w:tcW w:w="882" w:type="pct"/>
            <w:tcBorders>
              <w:top w:val="single" w:sz="4" w:space="0" w:color="FFFFFF" w:themeColor="background1"/>
              <w:left w:val="nil"/>
              <w:bottom w:val="single" w:sz="4" w:space="0" w:color="FFFFFF" w:themeColor="background1"/>
              <w:right w:val="nil"/>
            </w:tcBorders>
            <w:shd w:val="clear" w:color="000000" w:fill="005CA9"/>
            <w:vAlign w:val="center"/>
            <w:hideMark/>
          </w:tcPr>
          <w:p w14:paraId="2B0EA94F" w14:textId="77777777" w:rsidR="00FC54CF" w:rsidRPr="00FC54CF" w:rsidRDefault="00FC54CF" w:rsidP="00FC54CF">
            <w:pPr>
              <w:jc w:val="center"/>
              <w:rPr>
                <w:rFonts w:ascii="CAIXA Std Book" w:eastAsia="Times New Roman" w:hAnsi="CAIXA Std Book" w:cs="Times New Roman"/>
                <w:b/>
                <w:bCs/>
                <w:color w:val="FFFFFF"/>
                <w:sz w:val="18"/>
                <w:szCs w:val="18"/>
              </w:rPr>
            </w:pPr>
            <w:r w:rsidRPr="00FC54CF">
              <w:rPr>
                <w:rFonts w:ascii="CAIXA Std Book" w:eastAsia="Times New Roman" w:hAnsi="CAIXA Std Book" w:cs="Times New Roman"/>
                <w:b/>
                <w:bCs/>
                <w:color w:val="FFFFFF"/>
                <w:sz w:val="18"/>
                <w:szCs w:val="18"/>
              </w:rPr>
              <w:t>2025</w:t>
            </w:r>
          </w:p>
        </w:tc>
      </w:tr>
      <w:tr w:rsidR="00FC54CF" w:rsidRPr="00FC54CF" w14:paraId="5114BF52" w14:textId="77777777" w:rsidTr="006C18D2">
        <w:trPr>
          <w:trHeight w:val="283"/>
        </w:trPr>
        <w:tc>
          <w:tcPr>
            <w:tcW w:w="3236" w:type="pct"/>
            <w:vMerge/>
            <w:tcBorders>
              <w:top w:val="single" w:sz="4" w:space="0" w:color="FFFFFF" w:themeColor="background1"/>
              <w:left w:val="nil"/>
              <w:right w:val="nil"/>
            </w:tcBorders>
            <w:vAlign w:val="center"/>
            <w:hideMark/>
          </w:tcPr>
          <w:p w14:paraId="53BDD51C" w14:textId="77777777" w:rsidR="00FC54CF" w:rsidRPr="00FC54CF" w:rsidRDefault="00FC54CF" w:rsidP="00FC54CF">
            <w:pPr>
              <w:rPr>
                <w:rFonts w:ascii="CAIXA Std Book" w:eastAsia="Times New Roman" w:hAnsi="CAIXA Std Book" w:cs="Times New Roman"/>
                <w:b/>
                <w:bCs/>
                <w:color w:val="FFFFFF"/>
                <w:sz w:val="18"/>
                <w:szCs w:val="18"/>
              </w:rPr>
            </w:pPr>
          </w:p>
        </w:tc>
        <w:tc>
          <w:tcPr>
            <w:tcW w:w="882" w:type="pct"/>
            <w:tcBorders>
              <w:top w:val="single" w:sz="4" w:space="0" w:color="FFFFFF" w:themeColor="background1"/>
              <w:left w:val="nil"/>
              <w:right w:val="nil"/>
            </w:tcBorders>
            <w:shd w:val="clear" w:color="000000" w:fill="005CA9"/>
            <w:vAlign w:val="center"/>
            <w:hideMark/>
          </w:tcPr>
          <w:p w14:paraId="34A56778" w14:textId="77777777" w:rsidR="00FC54CF" w:rsidRPr="00FC54CF" w:rsidRDefault="00FC54CF" w:rsidP="00FC54CF">
            <w:pPr>
              <w:jc w:val="center"/>
              <w:rPr>
                <w:rFonts w:ascii="CAIXA Std Book" w:eastAsia="Times New Roman" w:hAnsi="CAIXA Std Book" w:cs="Times New Roman"/>
                <w:b/>
                <w:bCs/>
                <w:color w:val="FFFFFF"/>
                <w:sz w:val="18"/>
                <w:szCs w:val="18"/>
              </w:rPr>
            </w:pPr>
            <w:r w:rsidRPr="00FC54CF">
              <w:rPr>
                <w:rFonts w:ascii="CAIXA Std Book" w:eastAsia="Times New Roman" w:hAnsi="CAIXA Std Book" w:cs="Calibri"/>
                <w:b/>
                <w:bCs/>
                <w:color w:val="FFFFFF"/>
                <w:sz w:val="18"/>
                <w:szCs w:val="18"/>
              </w:rPr>
              <w:t>1º trimestre</w:t>
            </w:r>
          </w:p>
        </w:tc>
        <w:tc>
          <w:tcPr>
            <w:tcW w:w="882" w:type="pct"/>
            <w:tcBorders>
              <w:top w:val="single" w:sz="4" w:space="0" w:color="FFFFFF" w:themeColor="background1"/>
              <w:left w:val="nil"/>
              <w:right w:val="nil"/>
            </w:tcBorders>
            <w:shd w:val="clear" w:color="000000" w:fill="005CA9"/>
            <w:vAlign w:val="center"/>
            <w:hideMark/>
          </w:tcPr>
          <w:p w14:paraId="487F2755" w14:textId="77777777" w:rsidR="00FC54CF" w:rsidRPr="00FC54CF" w:rsidRDefault="00FC54CF" w:rsidP="00FC54CF">
            <w:pPr>
              <w:jc w:val="center"/>
              <w:rPr>
                <w:rFonts w:ascii="CAIXA Std Book" w:eastAsia="Times New Roman" w:hAnsi="CAIXA Std Book" w:cs="Times New Roman"/>
                <w:b/>
                <w:bCs/>
                <w:color w:val="FFFFFF"/>
                <w:sz w:val="18"/>
                <w:szCs w:val="18"/>
              </w:rPr>
            </w:pPr>
            <w:r w:rsidRPr="00FC54CF">
              <w:rPr>
                <w:rFonts w:ascii="CAIXA Std Book" w:eastAsia="Times New Roman" w:hAnsi="CAIXA Std Book" w:cs="Calibri"/>
                <w:b/>
                <w:bCs/>
                <w:color w:val="FFFFFF"/>
                <w:sz w:val="18"/>
                <w:szCs w:val="18"/>
              </w:rPr>
              <w:t>1º trimestre</w:t>
            </w:r>
          </w:p>
        </w:tc>
      </w:tr>
      <w:tr w:rsidR="00FC54CF" w:rsidRPr="00FC54CF" w14:paraId="2B1C921C" w14:textId="77777777" w:rsidTr="006C18D2">
        <w:trPr>
          <w:trHeight w:val="283"/>
        </w:trPr>
        <w:tc>
          <w:tcPr>
            <w:tcW w:w="3236" w:type="pct"/>
            <w:tcBorders>
              <w:left w:val="nil"/>
              <w:bottom w:val="nil"/>
              <w:right w:val="nil"/>
            </w:tcBorders>
            <w:noWrap/>
            <w:vAlign w:val="center"/>
            <w:hideMark/>
          </w:tcPr>
          <w:p w14:paraId="23FC85A8" w14:textId="77777777" w:rsidR="00FC54CF" w:rsidRPr="00FC54CF" w:rsidRDefault="00FC54CF" w:rsidP="00FC54CF">
            <w:pPr>
              <w:rPr>
                <w:rFonts w:ascii="CAIXA Std Book" w:eastAsia="Times New Roman" w:hAnsi="CAIXA Std Book" w:cs="Times New Roman"/>
                <w:color w:val="005CA9"/>
                <w:sz w:val="18"/>
                <w:szCs w:val="18"/>
              </w:rPr>
            </w:pPr>
            <w:r w:rsidRPr="00FC54CF">
              <w:rPr>
                <w:rFonts w:ascii="CAIXA Std Book" w:eastAsia="Times New Roman" w:hAnsi="CAIXA Std Book" w:cs="Times New Roman"/>
                <w:color w:val="005CA9"/>
                <w:sz w:val="18"/>
                <w:szCs w:val="18"/>
              </w:rPr>
              <w:t>Maior salário</w:t>
            </w:r>
          </w:p>
        </w:tc>
        <w:tc>
          <w:tcPr>
            <w:tcW w:w="882" w:type="pct"/>
            <w:tcBorders>
              <w:left w:val="nil"/>
              <w:bottom w:val="nil"/>
              <w:right w:val="nil"/>
            </w:tcBorders>
            <w:noWrap/>
            <w:vAlign w:val="bottom"/>
            <w:hideMark/>
          </w:tcPr>
          <w:p w14:paraId="29A041D8" w14:textId="7AE1DE5F" w:rsidR="00FC54CF" w:rsidRPr="00FC54CF" w:rsidRDefault="00047450" w:rsidP="00047450">
            <w:pPr>
              <w:jc w:val="right"/>
              <w:rPr>
                <w:rFonts w:ascii="CAIXA Std Book" w:eastAsia="Times New Roman" w:hAnsi="CAIXA Std Book" w:cs="Times New Roman"/>
                <w:color w:val="005CA9"/>
                <w:sz w:val="18"/>
                <w:szCs w:val="18"/>
              </w:rPr>
            </w:pPr>
            <w:r w:rsidRPr="00047450">
              <w:rPr>
                <w:rFonts w:ascii="CAIXA Std Book" w:hAnsi="CAIXA Std Book"/>
                <w:bCs/>
                <w:color w:val="005CA9"/>
                <w:sz w:val="18"/>
                <w:szCs w:val="18"/>
              </w:rPr>
              <w:t>82.045</w:t>
            </w:r>
          </w:p>
        </w:tc>
        <w:tc>
          <w:tcPr>
            <w:tcW w:w="882" w:type="pct"/>
            <w:tcBorders>
              <w:left w:val="nil"/>
              <w:bottom w:val="nil"/>
              <w:right w:val="nil"/>
            </w:tcBorders>
            <w:noWrap/>
            <w:vAlign w:val="center"/>
            <w:hideMark/>
          </w:tcPr>
          <w:p w14:paraId="040ABDB6" w14:textId="2D2EEC9C" w:rsidR="00FC54CF" w:rsidRPr="00FC54CF" w:rsidRDefault="003F378F" w:rsidP="00FC54CF">
            <w:pPr>
              <w:jc w:val="right"/>
              <w:rPr>
                <w:rFonts w:ascii="CAIXA Std Book" w:eastAsia="Times New Roman" w:hAnsi="CAIXA Std Book" w:cs="Times New Roman"/>
                <w:color w:val="005CA9"/>
                <w:sz w:val="18"/>
                <w:szCs w:val="18"/>
              </w:rPr>
            </w:pPr>
            <w:r w:rsidRPr="00225028">
              <w:rPr>
                <w:rFonts w:ascii="CAIXA Std Book" w:hAnsi="CAIXA Std Book"/>
                <w:bCs/>
                <w:color w:val="005CA9"/>
                <w:sz w:val="18"/>
                <w:szCs w:val="18"/>
              </w:rPr>
              <w:t>76.631</w:t>
            </w:r>
          </w:p>
        </w:tc>
      </w:tr>
      <w:tr w:rsidR="00FC54CF" w:rsidRPr="00FC54CF" w14:paraId="04E7369F" w14:textId="77777777" w:rsidTr="00CA701B">
        <w:trPr>
          <w:trHeight w:val="283"/>
        </w:trPr>
        <w:tc>
          <w:tcPr>
            <w:tcW w:w="3236" w:type="pct"/>
            <w:tcBorders>
              <w:top w:val="nil"/>
              <w:left w:val="nil"/>
              <w:bottom w:val="nil"/>
              <w:right w:val="nil"/>
            </w:tcBorders>
            <w:noWrap/>
            <w:vAlign w:val="center"/>
            <w:hideMark/>
          </w:tcPr>
          <w:p w14:paraId="021E0F59" w14:textId="77777777" w:rsidR="00FC54CF" w:rsidRPr="00FC54CF" w:rsidRDefault="00FC54CF" w:rsidP="00FC54CF">
            <w:pPr>
              <w:rPr>
                <w:rFonts w:ascii="CAIXA Std Book" w:eastAsia="Times New Roman" w:hAnsi="CAIXA Std Book" w:cs="Times New Roman"/>
                <w:color w:val="005CA9"/>
                <w:sz w:val="18"/>
                <w:szCs w:val="18"/>
              </w:rPr>
            </w:pPr>
            <w:r w:rsidRPr="00FC54CF">
              <w:rPr>
                <w:rFonts w:ascii="CAIXA Std Book" w:eastAsia="Times New Roman" w:hAnsi="CAIXA Std Book" w:cs="Times New Roman"/>
                <w:color w:val="005CA9"/>
                <w:sz w:val="18"/>
                <w:szCs w:val="18"/>
              </w:rPr>
              <w:t>Salário médio</w:t>
            </w:r>
          </w:p>
        </w:tc>
        <w:tc>
          <w:tcPr>
            <w:tcW w:w="882" w:type="pct"/>
            <w:tcBorders>
              <w:top w:val="nil"/>
              <w:left w:val="nil"/>
              <w:bottom w:val="nil"/>
              <w:right w:val="nil"/>
            </w:tcBorders>
            <w:noWrap/>
            <w:vAlign w:val="bottom"/>
            <w:hideMark/>
          </w:tcPr>
          <w:p w14:paraId="563F6E45" w14:textId="461CEE54" w:rsidR="00FC54CF" w:rsidRPr="00FC54CF" w:rsidRDefault="00047450" w:rsidP="00047450">
            <w:pPr>
              <w:jc w:val="right"/>
              <w:rPr>
                <w:rFonts w:ascii="CAIXA Std Book" w:eastAsia="Times New Roman" w:hAnsi="CAIXA Std Book" w:cs="Times New Roman"/>
                <w:color w:val="005CA9"/>
                <w:sz w:val="18"/>
                <w:szCs w:val="18"/>
              </w:rPr>
            </w:pPr>
            <w:r w:rsidRPr="00047450">
              <w:rPr>
                <w:rFonts w:ascii="CAIXA Std Book" w:hAnsi="CAIXA Std Book"/>
                <w:bCs/>
                <w:color w:val="005CA9"/>
                <w:sz w:val="18"/>
                <w:szCs w:val="18"/>
              </w:rPr>
              <w:t>16.094</w:t>
            </w:r>
          </w:p>
        </w:tc>
        <w:tc>
          <w:tcPr>
            <w:tcW w:w="882" w:type="pct"/>
            <w:tcBorders>
              <w:top w:val="nil"/>
              <w:left w:val="nil"/>
              <w:bottom w:val="nil"/>
              <w:right w:val="nil"/>
            </w:tcBorders>
            <w:noWrap/>
            <w:vAlign w:val="center"/>
            <w:hideMark/>
          </w:tcPr>
          <w:p w14:paraId="5A763BF6" w14:textId="08F8FCC6" w:rsidR="00FC54CF" w:rsidRPr="00FC54CF" w:rsidRDefault="00FC54CF" w:rsidP="00FC54CF">
            <w:pPr>
              <w:jc w:val="right"/>
              <w:rPr>
                <w:rFonts w:ascii="CAIXA Std Book" w:eastAsia="Times New Roman" w:hAnsi="CAIXA Std Book" w:cs="Times New Roman"/>
                <w:color w:val="005CA9"/>
                <w:sz w:val="18"/>
                <w:szCs w:val="18"/>
              </w:rPr>
            </w:pPr>
            <w:r w:rsidRPr="00FC54CF">
              <w:rPr>
                <w:rFonts w:ascii="CAIXA Std Book" w:eastAsia="Times New Roman" w:hAnsi="CAIXA Std Book" w:cs="Times New Roman"/>
                <w:color w:val="005CA9"/>
                <w:sz w:val="18"/>
                <w:szCs w:val="18"/>
              </w:rPr>
              <w:t>15.</w:t>
            </w:r>
            <w:r w:rsidR="003F378F" w:rsidRPr="005E649F">
              <w:rPr>
                <w:rFonts w:ascii="CAIXA Std Book" w:hAnsi="CAIXA Std Book"/>
                <w:bCs/>
                <w:color w:val="005CA9"/>
                <w:sz w:val="18"/>
                <w:szCs w:val="18"/>
              </w:rPr>
              <w:t>026</w:t>
            </w:r>
          </w:p>
        </w:tc>
      </w:tr>
      <w:tr w:rsidR="00FC54CF" w:rsidRPr="00FC54CF" w14:paraId="262210C8" w14:textId="77777777" w:rsidTr="00CA701B">
        <w:trPr>
          <w:trHeight w:val="283"/>
        </w:trPr>
        <w:tc>
          <w:tcPr>
            <w:tcW w:w="3236" w:type="pct"/>
            <w:tcBorders>
              <w:top w:val="nil"/>
              <w:left w:val="nil"/>
              <w:right w:val="nil"/>
            </w:tcBorders>
            <w:noWrap/>
            <w:vAlign w:val="center"/>
            <w:hideMark/>
          </w:tcPr>
          <w:p w14:paraId="3527149B" w14:textId="77777777" w:rsidR="00FC54CF" w:rsidRPr="00FC54CF" w:rsidRDefault="00FC54CF" w:rsidP="00FC54CF">
            <w:pPr>
              <w:rPr>
                <w:rFonts w:ascii="CAIXA Std Book" w:eastAsia="Times New Roman" w:hAnsi="CAIXA Std Book" w:cs="Times New Roman"/>
                <w:color w:val="005CA9"/>
                <w:sz w:val="18"/>
                <w:szCs w:val="18"/>
              </w:rPr>
            </w:pPr>
            <w:r w:rsidRPr="00FC54CF">
              <w:rPr>
                <w:rFonts w:ascii="CAIXA Std Book" w:eastAsia="Times New Roman" w:hAnsi="CAIXA Std Book" w:cs="Times New Roman"/>
                <w:color w:val="005CA9"/>
                <w:sz w:val="18"/>
                <w:szCs w:val="18"/>
              </w:rPr>
              <w:t>Menor salário</w:t>
            </w:r>
          </w:p>
        </w:tc>
        <w:tc>
          <w:tcPr>
            <w:tcW w:w="882" w:type="pct"/>
            <w:tcBorders>
              <w:top w:val="nil"/>
              <w:left w:val="nil"/>
              <w:right w:val="nil"/>
            </w:tcBorders>
            <w:noWrap/>
            <w:vAlign w:val="bottom"/>
            <w:hideMark/>
          </w:tcPr>
          <w:p w14:paraId="374E438B" w14:textId="5EEFE441" w:rsidR="00FC54CF" w:rsidRPr="00FC54CF" w:rsidRDefault="00047450" w:rsidP="00047450">
            <w:pPr>
              <w:jc w:val="right"/>
              <w:rPr>
                <w:rFonts w:ascii="CAIXA Std Book" w:eastAsia="Times New Roman" w:hAnsi="CAIXA Std Book" w:cs="Times New Roman"/>
                <w:color w:val="005CA9"/>
                <w:sz w:val="18"/>
                <w:szCs w:val="18"/>
              </w:rPr>
            </w:pPr>
            <w:r w:rsidRPr="00047450">
              <w:rPr>
                <w:rFonts w:ascii="CAIXA Std Book" w:hAnsi="CAIXA Std Book"/>
                <w:bCs/>
                <w:color w:val="005CA9"/>
                <w:sz w:val="18"/>
                <w:szCs w:val="18"/>
              </w:rPr>
              <w:t>4.161</w:t>
            </w:r>
          </w:p>
        </w:tc>
        <w:tc>
          <w:tcPr>
            <w:tcW w:w="882" w:type="pct"/>
            <w:tcBorders>
              <w:top w:val="nil"/>
              <w:left w:val="nil"/>
              <w:right w:val="nil"/>
            </w:tcBorders>
            <w:noWrap/>
            <w:vAlign w:val="center"/>
            <w:hideMark/>
          </w:tcPr>
          <w:p w14:paraId="5081FF0A" w14:textId="284F61FC" w:rsidR="00FC54CF" w:rsidRPr="00FC54CF" w:rsidRDefault="003F378F" w:rsidP="00FC54CF">
            <w:pPr>
              <w:jc w:val="right"/>
              <w:rPr>
                <w:rFonts w:ascii="CAIXA Std Book" w:eastAsia="Times New Roman" w:hAnsi="CAIXA Std Book" w:cs="Times New Roman"/>
                <w:color w:val="005CA9"/>
                <w:sz w:val="18"/>
                <w:szCs w:val="18"/>
              </w:rPr>
            </w:pPr>
            <w:r w:rsidRPr="005E649F">
              <w:rPr>
                <w:rFonts w:ascii="CAIXA Std Book" w:hAnsi="CAIXA Std Book"/>
                <w:bCs/>
                <w:color w:val="005CA9"/>
                <w:sz w:val="18"/>
                <w:szCs w:val="18"/>
              </w:rPr>
              <w:t>3.937</w:t>
            </w:r>
          </w:p>
        </w:tc>
      </w:tr>
      <w:tr w:rsidR="00FC54CF" w:rsidRPr="00FC54CF" w14:paraId="168C197C" w14:textId="77777777" w:rsidTr="00CA701B">
        <w:trPr>
          <w:trHeight w:val="283"/>
        </w:trPr>
        <w:tc>
          <w:tcPr>
            <w:tcW w:w="3236" w:type="pct"/>
            <w:tcBorders>
              <w:top w:val="nil"/>
              <w:left w:val="nil"/>
              <w:bottom w:val="single" w:sz="4" w:space="0" w:color="005CA9"/>
              <w:right w:val="nil"/>
            </w:tcBorders>
            <w:noWrap/>
            <w:vAlign w:val="center"/>
            <w:hideMark/>
          </w:tcPr>
          <w:p w14:paraId="03EA7C96" w14:textId="77777777" w:rsidR="00FC54CF" w:rsidRPr="00FC54CF" w:rsidRDefault="00FC54CF" w:rsidP="00FC54CF">
            <w:pPr>
              <w:rPr>
                <w:rFonts w:ascii="CAIXA Std Book" w:eastAsia="Times New Roman" w:hAnsi="CAIXA Std Book" w:cs="Times New Roman"/>
                <w:color w:val="005CA9"/>
                <w:sz w:val="18"/>
                <w:szCs w:val="18"/>
              </w:rPr>
            </w:pPr>
            <w:r w:rsidRPr="00FC54CF">
              <w:rPr>
                <w:rFonts w:ascii="CAIXA Std Book" w:eastAsia="Times New Roman" w:hAnsi="CAIXA Std Book" w:cs="Times New Roman"/>
                <w:color w:val="005CA9"/>
                <w:sz w:val="18"/>
                <w:szCs w:val="18"/>
              </w:rPr>
              <w:t>Benefícios</w:t>
            </w:r>
          </w:p>
        </w:tc>
        <w:tc>
          <w:tcPr>
            <w:tcW w:w="882" w:type="pct"/>
            <w:tcBorders>
              <w:top w:val="nil"/>
              <w:left w:val="nil"/>
              <w:bottom w:val="single" w:sz="4" w:space="0" w:color="005CA9"/>
              <w:right w:val="nil"/>
            </w:tcBorders>
            <w:noWrap/>
            <w:vAlign w:val="bottom"/>
            <w:hideMark/>
          </w:tcPr>
          <w:p w14:paraId="55BA353F" w14:textId="12730463" w:rsidR="00FC54CF" w:rsidRPr="00047450" w:rsidRDefault="00047450" w:rsidP="00047450">
            <w:pPr>
              <w:jc w:val="right"/>
              <w:rPr>
                <w:rFonts w:ascii="CAIXA Std Book" w:hAnsi="CAIXA Std Book"/>
                <w:color w:val="005CA9"/>
                <w:sz w:val="18"/>
                <w:szCs w:val="18"/>
              </w:rPr>
            </w:pPr>
            <w:r w:rsidRPr="00047450">
              <w:rPr>
                <w:rFonts w:ascii="CAIXA Std Book" w:hAnsi="CAIXA Std Book"/>
                <w:bCs/>
                <w:color w:val="005CA9"/>
                <w:sz w:val="18"/>
                <w:szCs w:val="18"/>
              </w:rPr>
              <w:t>5.122</w:t>
            </w:r>
          </w:p>
        </w:tc>
        <w:tc>
          <w:tcPr>
            <w:tcW w:w="882" w:type="pct"/>
            <w:tcBorders>
              <w:top w:val="nil"/>
              <w:left w:val="nil"/>
              <w:bottom w:val="single" w:sz="4" w:space="0" w:color="005CA9"/>
              <w:right w:val="nil"/>
            </w:tcBorders>
            <w:noWrap/>
            <w:vAlign w:val="center"/>
            <w:hideMark/>
          </w:tcPr>
          <w:p w14:paraId="639998E9" w14:textId="1DFC6DD0" w:rsidR="00FC54CF" w:rsidRPr="00FC54CF" w:rsidRDefault="00FC54CF" w:rsidP="00FC54CF">
            <w:pPr>
              <w:jc w:val="right"/>
              <w:rPr>
                <w:rFonts w:ascii="CAIXA Std Book" w:eastAsia="Times New Roman" w:hAnsi="CAIXA Std Book" w:cs="Times New Roman"/>
                <w:color w:val="005CA9"/>
                <w:sz w:val="18"/>
                <w:szCs w:val="18"/>
              </w:rPr>
            </w:pPr>
            <w:r w:rsidRPr="00FC54CF">
              <w:rPr>
                <w:rFonts w:ascii="CAIXA Std Book" w:eastAsia="Times New Roman" w:hAnsi="CAIXA Std Book" w:cs="Times New Roman"/>
                <w:color w:val="005CA9"/>
                <w:sz w:val="18"/>
                <w:szCs w:val="18"/>
              </w:rPr>
              <w:t>4.</w:t>
            </w:r>
            <w:r w:rsidR="003F378F">
              <w:rPr>
                <w:rFonts w:ascii="CAIXA Std Book" w:hAnsi="CAIXA Std Book"/>
                <w:bCs/>
                <w:color w:val="005CA9"/>
                <w:sz w:val="18"/>
                <w:szCs w:val="18"/>
              </w:rPr>
              <w:t>779</w:t>
            </w:r>
          </w:p>
        </w:tc>
      </w:tr>
    </w:tbl>
    <w:p w14:paraId="1433470A" w14:textId="5133621C" w:rsidR="00C03D3C" w:rsidRPr="00C03D3C" w:rsidRDefault="00C03D3C" w:rsidP="008048E1">
      <w:pPr>
        <w:rPr>
          <w:rFonts w:ascii="CAIXA Std Book" w:hAnsi="CAIXA Std Book" w:cs="Symbol"/>
          <w:color w:val="005CA9"/>
          <w:sz w:val="16"/>
          <w:szCs w:val="16"/>
        </w:rPr>
      </w:pPr>
      <w:r w:rsidRPr="00906615">
        <w:rPr>
          <w:rFonts w:ascii="CAIXA Std Book" w:hAnsi="CAIXA Std Book" w:cs="Symbol"/>
          <w:color w:val="005CA9"/>
          <w:sz w:val="16"/>
          <w:szCs w:val="16"/>
        </w:rPr>
        <w:t>(</w:t>
      </w:r>
      <w:r w:rsidR="0097082B" w:rsidRPr="00906615">
        <w:rPr>
          <w:rFonts w:ascii="CAIXA Std Book" w:hAnsi="CAIXA Std Book" w:cs="Symbol"/>
          <w:color w:val="005CA9"/>
          <w:sz w:val="16"/>
          <w:szCs w:val="16"/>
        </w:rPr>
        <w:t>1</w:t>
      </w:r>
      <w:r w:rsidRPr="00906615">
        <w:rPr>
          <w:rFonts w:ascii="CAIXA Std Book" w:hAnsi="CAIXA Std Book" w:cs="Symbol"/>
          <w:color w:val="005CA9"/>
          <w:sz w:val="16"/>
          <w:szCs w:val="16"/>
        </w:rPr>
        <w:t xml:space="preserve">) </w:t>
      </w:r>
      <w:r w:rsidR="00BE0C44" w:rsidRPr="00D37B4E">
        <w:rPr>
          <w:rFonts w:ascii="CAIXA Std Book" w:hAnsi="CAIXA Std Book" w:cs="Symbol"/>
          <w:color w:val="005CA9"/>
          <w:sz w:val="16"/>
          <w:szCs w:val="16"/>
        </w:rPr>
        <w:t>N</w:t>
      </w:r>
      <w:r w:rsidR="00063539" w:rsidRPr="00D37B4E">
        <w:rPr>
          <w:rFonts w:ascii="CAIXA Std Book" w:hAnsi="CAIXA Std Book" w:cs="Symbol"/>
          <w:color w:val="005CA9"/>
          <w:sz w:val="16"/>
          <w:szCs w:val="16"/>
        </w:rPr>
        <w:t xml:space="preserve">o </w:t>
      </w:r>
      <w:r w:rsidR="001C5087">
        <w:rPr>
          <w:rFonts w:ascii="CAIXA Std Book" w:hAnsi="CAIXA Std Book" w:cs="Symbol"/>
          <w:color w:val="005CA9"/>
          <w:sz w:val="16"/>
          <w:szCs w:val="16"/>
        </w:rPr>
        <w:t>1º</w:t>
      </w:r>
      <w:r w:rsidR="00DA1254">
        <w:rPr>
          <w:rFonts w:ascii="CAIXA Std Book" w:hAnsi="CAIXA Std Book" w:cs="Symbol"/>
          <w:color w:val="005CA9"/>
          <w:sz w:val="16"/>
          <w:szCs w:val="16"/>
        </w:rPr>
        <w:t xml:space="preserve"> trimestre</w:t>
      </w:r>
      <w:r w:rsidR="00F96025" w:rsidRPr="00D37B4E">
        <w:rPr>
          <w:rFonts w:ascii="CAIXA Std Book" w:hAnsi="CAIXA Std Book" w:cs="Symbol"/>
          <w:color w:val="005CA9"/>
          <w:sz w:val="16"/>
          <w:szCs w:val="16"/>
        </w:rPr>
        <w:t xml:space="preserve"> de </w:t>
      </w:r>
      <w:r w:rsidR="006132FF">
        <w:rPr>
          <w:rFonts w:ascii="CAIXA Std Book" w:hAnsi="CAIXA Std Book" w:cs="Symbol"/>
          <w:color w:val="005CA9"/>
          <w:sz w:val="16"/>
          <w:szCs w:val="16"/>
        </w:rPr>
        <w:t>202</w:t>
      </w:r>
      <w:r w:rsidR="00DA1254">
        <w:rPr>
          <w:rFonts w:ascii="CAIXA Std Book" w:hAnsi="CAIXA Std Book" w:cs="Symbol"/>
          <w:color w:val="005CA9"/>
          <w:sz w:val="16"/>
          <w:szCs w:val="16"/>
        </w:rPr>
        <w:t>6</w:t>
      </w:r>
      <w:r w:rsidR="00BE0C44" w:rsidRPr="00D37B4E">
        <w:rPr>
          <w:rFonts w:ascii="CAIXA Std Book" w:hAnsi="CAIXA Std Book" w:cs="Symbol"/>
          <w:color w:val="005CA9"/>
          <w:sz w:val="16"/>
          <w:szCs w:val="16"/>
        </w:rPr>
        <w:t xml:space="preserve"> </w:t>
      </w:r>
      <w:r w:rsidR="00347465" w:rsidRPr="00D37B4E">
        <w:rPr>
          <w:rFonts w:ascii="CAIXA Std Book" w:hAnsi="CAIXA Std Book" w:cs="Symbol"/>
          <w:color w:val="005CA9"/>
          <w:sz w:val="16"/>
          <w:szCs w:val="16"/>
        </w:rPr>
        <w:t>foram</w:t>
      </w:r>
      <w:r w:rsidR="00BE0C44" w:rsidRPr="00D37B4E">
        <w:rPr>
          <w:rFonts w:ascii="CAIXA Std Book" w:hAnsi="CAIXA Std Book" w:cs="Symbol"/>
          <w:color w:val="005CA9"/>
          <w:sz w:val="16"/>
          <w:szCs w:val="16"/>
        </w:rPr>
        <w:t xml:space="preserve"> contratados</w:t>
      </w:r>
      <w:r w:rsidR="00267F58" w:rsidRPr="00D37B4E">
        <w:rPr>
          <w:rFonts w:ascii="CAIXA Std Book" w:hAnsi="CAIXA Std Book" w:cs="Symbol"/>
          <w:color w:val="005CA9"/>
          <w:sz w:val="16"/>
          <w:szCs w:val="16"/>
        </w:rPr>
        <w:t xml:space="preserve"> </w:t>
      </w:r>
      <w:r w:rsidR="00E570C9">
        <w:rPr>
          <w:rFonts w:ascii="CAIXA Std Book" w:hAnsi="CAIXA Std Book" w:cs="Symbol"/>
          <w:color w:val="005CA9"/>
          <w:sz w:val="16"/>
          <w:szCs w:val="16"/>
        </w:rPr>
        <w:t>31</w:t>
      </w:r>
      <w:r w:rsidR="00982BC5" w:rsidRPr="00D37B4E">
        <w:rPr>
          <w:rFonts w:ascii="CAIXA Std Book" w:hAnsi="CAIXA Std Book" w:cs="Symbol"/>
          <w:color w:val="005CA9"/>
          <w:sz w:val="16"/>
          <w:szCs w:val="16"/>
        </w:rPr>
        <w:t xml:space="preserve"> </w:t>
      </w:r>
      <w:r w:rsidR="00982BC5" w:rsidRPr="007A471B">
        <w:rPr>
          <w:rFonts w:ascii="CAIXA Std Book" w:hAnsi="CAIXA Std Book" w:cs="Symbol"/>
          <w:color w:val="005CA9"/>
          <w:sz w:val="16"/>
          <w:szCs w:val="16"/>
        </w:rPr>
        <w:t>empregados</w:t>
      </w:r>
      <w:r w:rsidR="009F4BA1">
        <w:rPr>
          <w:rFonts w:ascii="CAIXA Std Book" w:hAnsi="CAIXA Std Book" w:cs="Symbol"/>
          <w:color w:val="005CA9"/>
          <w:sz w:val="16"/>
          <w:szCs w:val="16"/>
        </w:rPr>
        <w:t xml:space="preserve"> (</w:t>
      </w:r>
      <w:r w:rsidR="00C92E24" w:rsidRPr="00C92E24">
        <w:rPr>
          <w:rFonts w:ascii="CAIXA Std Book" w:hAnsi="CAIXA Std Book" w:cs="Symbol"/>
          <w:color w:val="005CA9"/>
          <w:sz w:val="16"/>
          <w:szCs w:val="16"/>
        </w:rPr>
        <w:t xml:space="preserve">1º trimestre de </w:t>
      </w:r>
      <w:r w:rsidR="005F5B4E" w:rsidRPr="00C92E24">
        <w:rPr>
          <w:rFonts w:ascii="CAIXA Std Book" w:hAnsi="CAIXA Std Book" w:cs="Symbol"/>
          <w:color w:val="005CA9"/>
          <w:sz w:val="16"/>
          <w:szCs w:val="16"/>
        </w:rPr>
        <w:t xml:space="preserve">2025 </w:t>
      </w:r>
      <w:r w:rsidR="005F5B4E">
        <w:rPr>
          <w:rFonts w:ascii="CAIXA Std Book" w:hAnsi="CAIXA Std Book" w:cs="Symbol"/>
          <w:color w:val="005CA9"/>
          <w:sz w:val="16"/>
          <w:szCs w:val="16"/>
        </w:rPr>
        <w:t>-</w:t>
      </w:r>
      <w:r w:rsidR="00C92E24">
        <w:rPr>
          <w:rFonts w:ascii="CAIXA Std Book" w:hAnsi="CAIXA Std Book" w:cs="Symbol"/>
          <w:color w:val="005CA9"/>
          <w:sz w:val="16"/>
          <w:szCs w:val="16"/>
        </w:rPr>
        <w:t xml:space="preserve"> </w:t>
      </w:r>
      <w:r w:rsidR="00C92E24" w:rsidRPr="00C92E24">
        <w:rPr>
          <w:rFonts w:ascii="CAIXA Std Book" w:hAnsi="CAIXA Std Book" w:cs="Symbol"/>
          <w:color w:val="005CA9"/>
          <w:sz w:val="16"/>
          <w:szCs w:val="16"/>
        </w:rPr>
        <w:t>463 empregados</w:t>
      </w:r>
      <w:r w:rsidR="00C92E24">
        <w:rPr>
          <w:rFonts w:ascii="CAIXA Std Book" w:hAnsi="CAIXA Std Book" w:cs="Symbol"/>
          <w:color w:val="005CA9"/>
          <w:sz w:val="16"/>
          <w:szCs w:val="16"/>
        </w:rPr>
        <w:t>)</w:t>
      </w:r>
      <w:r w:rsidR="00982BC5" w:rsidRPr="007A471B">
        <w:rPr>
          <w:rFonts w:ascii="CAIXA Std Book" w:hAnsi="CAIXA Std Book" w:cs="Symbol"/>
          <w:color w:val="005CA9"/>
          <w:sz w:val="16"/>
          <w:szCs w:val="16"/>
        </w:rPr>
        <w:t>.</w:t>
      </w:r>
    </w:p>
    <w:p w14:paraId="1047B591" w14:textId="77777777" w:rsidR="004249E8" w:rsidRDefault="004249E8">
      <w:pPr>
        <w:rPr>
          <w:rFonts w:ascii="CAIXA Std Book" w:hAnsi="CAIXA Std Book"/>
          <w:b/>
          <w:color w:val="005CA9"/>
        </w:rPr>
      </w:pPr>
      <w:bookmarkStart w:id="144" w:name="_Toc217914352"/>
      <w:r>
        <w:br w:type="page"/>
      </w:r>
    </w:p>
    <w:p w14:paraId="14773820" w14:textId="684092AC" w:rsidR="00354FC7" w:rsidRPr="00E95E29" w:rsidRDefault="00354FC7" w:rsidP="00B735D2">
      <w:pPr>
        <w:pStyle w:val="Ttulo1"/>
      </w:pPr>
      <w:bookmarkStart w:id="145" w:name="_Toc229588502"/>
      <w:r w:rsidRPr="00E95E29">
        <w:t>N</w:t>
      </w:r>
      <w:bookmarkStart w:id="146" w:name="_Toc199664423"/>
      <w:r w:rsidRPr="00E95E29">
        <w:t>ota   2</w:t>
      </w:r>
      <w:r w:rsidR="00EF04CD">
        <w:t>6</w:t>
      </w:r>
      <w:r w:rsidRPr="00E95E29">
        <w:t xml:space="preserve"> – Outras despesas administrativas</w:t>
      </w:r>
      <w:bookmarkEnd w:id="144"/>
      <w:bookmarkEnd w:id="145"/>
      <w:bookmarkEnd w:id="146"/>
    </w:p>
    <w:tbl>
      <w:tblPr>
        <w:tblW w:w="5000" w:type="pct"/>
        <w:tblCellMar>
          <w:left w:w="70" w:type="dxa"/>
          <w:right w:w="70" w:type="dxa"/>
        </w:tblCellMar>
        <w:tblLook w:val="04A0" w:firstRow="1" w:lastRow="0" w:firstColumn="1" w:lastColumn="0" w:noHBand="0" w:noVBand="1"/>
      </w:tblPr>
      <w:tblGrid>
        <w:gridCol w:w="4310"/>
        <w:gridCol w:w="1330"/>
        <w:gridCol w:w="1334"/>
        <w:gridCol w:w="1332"/>
        <w:gridCol w:w="1332"/>
      </w:tblGrid>
      <w:tr w:rsidR="008E068E" w:rsidRPr="008E068E" w14:paraId="058B29BB" w14:textId="77777777" w:rsidTr="00E06E0A">
        <w:trPr>
          <w:trHeight w:val="300"/>
        </w:trPr>
        <w:tc>
          <w:tcPr>
            <w:tcW w:w="2236" w:type="pct"/>
            <w:vMerge w:val="restart"/>
            <w:tcBorders>
              <w:top w:val="nil"/>
              <w:left w:val="nil"/>
              <w:right w:val="nil"/>
            </w:tcBorders>
            <w:shd w:val="clear" w:color="000000" w:fill="005CA9"/>
            <w:vAlign w:val="center"/>
            <w:hideMark/>
          </w:tcPr>
          <w:p w14:paraId="36B25370" w14:textId="77777777" w:rsidR="008E068E" w:rsidRPr="008E068E" w:rsidRDefault="008E068E" w:rsidP="008E068E">
            <w:pPr>
              <w:jc w:val="center"/>
              <w:rPr>
                <w:rFonts w:ascii="CAIXA Std Book" w:eastAsia="Times New Roman" w:hAnsi="CAIXA Std Book" w:cs="Times New Roman"/>
                <w:b/>
                <w:bCs/>
                <w:color w:val="FFFFFF"/>
                <w:sz w:val="18"/>
                <w:szCs w:val="18"/>
              </w:rPr>
            </w:pPr>
            <w:bookmarkStart w:id="147" w:name="_Toc217914353"/>
            <w:r w:rsidRPr="008E068E">
              <w:rPr>
                <w:rFonts w:ascii="CAIXA Std Book" w:eastAsia="Times New Roman" w:hAnsi="CAIXA Std Book" w:cs="Times New Roman"/>
                <w:b/>
                <w:bCs/>
                <w:color w:val="FFFFFF"/>
                <w:sz w:val="18"/>
                <w:szCs w:val="18"/>
              </w:rPr>
              <w:t>Descrição</w:t>
            </w:r>
          </w:p>
        </w:tc>
        <w:tc>
          <w:tcPr>
            <w:tcW w:w="1382" w:type="pct"/>
            <w:gridSpan w:val="2"/>
            <w:tcBorders>
              <w:top w:val="nil"/>
              <w:left w:val="nil"/>
              <w:bottom w:val="single" w:sz="4" w:space="0" w:color="FFFFFF" w:themeColor="background1"/>
              <w:right w:val="nil"/>
            </w:tcBorders>
            <w:shd w:val="clear" w:color="000000" w:fill="005CA9"/>
            <w:noWrap/>
            <w:vAlign w:val="center"/>
            <w:hideMark/>
          </w:tcPr>
          <w:p w14:paraId="7237AD93" w14:textId="77777777" w:rsidR="008E068E" w:rsidRPr="008E068E" w:rsidRDefault="008E068E" w:rsidP="008E068E">
            <w:pPr>
              <w:jc w:val="center"/>
              <w:rPr>
                <w:rFonts w:ascii="CAIXA Std Book" w:eastAsia="Times New Roman" w:hAnsi="CAIXA Std Book" w:cs="Times New Roman"/>
                <w:b/>
                <w:bCs/>
                <w:color w:val="FFFFFF"/>
                <w:sz w:val="18"/>
                <w:szCs w:val="18"/>
              </w:rPr>
            </w:pPr>
            <w:r w:rsidRPr="008E068E">
              <w:rPr>
                <w:rFonts w:ascii="CAIXA Std Book" w:eastAsia="Times New Roman" w:hAnsi="CAIXA Std Book" w:cs="Times New Roman"/>
                <w:b/>
                <w:bCs/>
                <w:color w:val="FFFFFF"/>
                <w:sz w:val="18"/>
                <w:szCs w:val="18"/>
              </w:rPr>
              <w:t>Individual</w:t>
            </w:r>
          </w:p>
        </w:tc>
        <w:tc>
          <w:tcPr>
            <w:tcW w:w="1382" w:type="pct"/>
            <w:gridSpan w:val="2"/>
            <w:tcBorders>
              <w:top w:val="nil"/>
              <w:left w:val="nil"/>
              <w:bottom w:val="single" w:sz="4" w:space="0" w:color="FFFFFF" w:themeColor="background1"/>
              <w:right w:val="nil"/>
            </w:tcBorders>
            <w:shd w:val="clear" w:color="000000" w:fill="005CA9"/>
            <w:noWrap/>
            <w:vAlign w:val="center"/>
            <w:hideMark/>
          </w:tcPr>
          <w:p w14:paraId="5D0AE1F4" w14:textId="77777777" w:rsidR="008E068E" w:rsidRPr="008E068E" w:rsidRDefault="008E068E" w:rsidP="008E068E">
            <w:pPr>
              <w:jc w:val="center"/>
              <w:rPr>
                <w:rFonts w:ascii="CAIXA Std Book" w:eastAsia="Times New Roman" w:hAnsi="CAIXA Std Book" w:cs="Times New Roman"/>
                <w:b/>
                <w:bCs/>
                <w:color w:val="FFFFFF"/>
                <w:sz w:val="18"/>
                <w:szCs w:val="18"/>
              </w:rPr>
            </w:pPr>
            <w:r w:rsidRPr="008E068E">
              <w:rPr>
                <w:rFonts w:ascii="CAIXA Std Book" w:eastAsia="Times New Roman" w:hAnsi="CAIXA Std Book" w:cs="Times New Roman"/>
                <w:b/>
                <w:bCs/>
                <w:color w:val="FFFFFF"/>
                <w:sz w:val="18"/>
                <w:szCs w:val="18"/>
              </w:rPr>
              <w:t>Consolidado</w:t>
            </w:r>
          </w:p>
        </w:tc>
      </w:tr>
      <w:tr w:rsidR="008E068E" w:rsidRPr="008E068E" w14:paraId="39D357E4" w14:textId="77777777" w:rsidTr="00E06E0A">
        <w:trPr>
          <w:trHeight w:val="300"/>
        </w:trPr>
        <w:tc>
          <w:tcPr>
            <w:tcW w:w="2236" w:type="pct"/>
            <w:vMerge/>
            <w:tcBorders>
              <w:top w:val="nil"/>
              <w:left w:val="nil"/>
              <w:right w:val="nil"/>
            </w:tcBorders>
            <w:vAlign w:val="center"/>
            <w:hideMark/>
          </w:tcPr>
          <w:p w14:paraId="46CCA77A" w14:textId="77777777" w:rsidR="008E068E" w:rsidRPr="008E068E" w:rsidRDefault="008E068E" w:rsidP="008E068E">
            <w:pPr>
              <w:rPr>
                <w:rFonts w:ascii="CAIXA Std Book" w:eastAsia="Times New Roman" w:hAnsi="CAIXA Std Book" w:cs="Times New Roman"/>
                <w:b/>
                <w:bCs/>
                <w:color w:val="FFFFFF"/>
                <w:sz w:val="18"/>
                <w:szCs w:val="18"/>
              </w:rPr>
            </w:pPr>
          </w:p>
        </w:tc>
        <w:tc>
          <w:tcPr>
            <w:tcW w:w="690" w:type="pct"/>
            <w:tcBorders>
              <w:top w:val="single" w:sz="4" w:space="0" w:color="FFFFFF" w:themeColor="background1"/>
              <w:left w:val="nil"/>
              <w:bottom w:val="single" w:sz="4" w:space="0" w:color="FFFFFF" w:themeColor="background1"/>
              <w:right w:val="nil"/>
            </w:tcBorders>
            <w:shd w:val="clear" w:color="000000" w:fill="005CA9"/>
            <w:vAlign w:val="center"/>
            <w:hideMark/>
          </w:tcPr>
          <w:p w14:paraId="3441C42B" w14:textId="77777777" w:rsidR="008E068E" w:rsidRPr="008E068E" w:rsidRDefault="008E068E" w:rsidP="008E068E">
            <w:pPr>
              <w:jc w:val="center"/>
              <w:rPr>
                <w:rFonts w:ascii="CAIXA Std Book" w:eastAsia="Times New Roman" w:hAnsi="CAIXA Std Book" w:cs="Times New Roman"/>
                <w:b/>
                <w:bCs/>
                <w:color w:val="FFFFFF"/>
                <w:sz w:val="18"/>
                <w:szCs w:val="18"/>
              </w:rPr>
            </w:pPr>
            <w:r w:rsidRPr="008E068E">
              <w:rPr>
                <w:rFonts w:ascii="CAIXA Std Book" w:eastAsia="Times New Roman" w:hAnsi="CAIXA Std Book" w:cs="Times New Roman"/>
                <w:b/>
                <w:bCs/>
                <w:color w:val="FFFFFF"/>
                <w:sz w:val="18"/>
                <w:szCs w:val="18"/>
              </w:rPr>
              <w:t>2026</w:t>
            </w:r>
          </w:p>
        </w:tc>
        <w:tc>
          <w:tcPr>
            <w:tcW w:w="692" w:type="pct"/>
            <w:tcBorders>
              <w:top w:val="single" w:sz="4" w:space="0" w:color="FFFFFF" w:themeColor="background1"/>
              <w:left w:val="nil"/>
              <w:bottom w:val="single" w:sz="4" w:space="0" w:color="FFFFFF" w:themeColor="background1"/>
              <w:right w:val="nil"/>
            </w:tcBorders>
            <w:shd w:val="clear" w:color="000000" w:fill="005CA9"/>
            <w:vAlign w:val="center"/>
            <w:hideMark/>
          </w:tcPr>
          <w:p w14:paraId="5A0F7F16" w14:textId="77777777" w:rsidR="008E068E" w:rsidRPr="008E068E" w:rsidRDefault="008E068E" w:rsidP="008E068E">
            <w:pPr>
              <w:jc w:val="center"/>
              <w:rPr>
                <w:rFonts w:ascii="CAIXA Std Book" w:eastAsia="Times New Roman" w:hAnsi="CAIXA Std Book" w:cs="Times New Roman"/>
                <w:b/>
                <w:bCs/>
                <w:color w:val="FFFFFF"/>
                <w:sz w:val="18"/>
                <w:szCs w:val="18"/>
              </w:rPr>
            </w:pPr>
            <w:r w:rsidRPr="008E068E">
              <w:rPr>
                <w:rFonts w:ascii="CAIXA Std Book" w:eastAsia="Times New Roman" w:hAnsi="CAIXA Std Book" w:cs="Times New Roman"/>
                <w:b/>
                <w:bCs/>
                <w:color w:val="FFFFFF"/>
                <w:sz w:val="18"/>
                <w:szCs w:val="18"/>
              </w:rPr>
              <w:t>2025</w:t>
            </w:r>
          </w:p>
        </w:tc>
        <w:tc>
          <w:tcPr>
            <w:tcW w:w="691" w:type="pct"/>
            <w:tcBorders>
              <w:top w:val="single" w:sz="4" w:space="0" w:color="FFFFFF" w:themeColor="background1"/>
              <w:left w:val="nil"/>
              <w:bottom w:val="single" w:sz="4" w:space="0" w:color="FFFFFF" w:themeColor="background1"/>
              <w:right w:val="nil"/>
            </w:tcBorders>
            <w:shd w:val="clear" w:color="000000" w:fill="005CA9"/>
            <w:vAlign w:val="center"/>
            <w:hideMark/>
          </w:tcPr>
          <w:p w14:paraId="1F8B4430" w14:textId="77777777" w:rsidR="008E068E" w:rsidRPr="008E068E" w:rsidRDefault="008E068E" w:rsidP="008E068E">
            <w:pPr>
              <w:jc w:val="center"/>
              <w:rPr>
                <w:rFonts w:ascii="CAIXA Std Book" w:eastAsia="Times New Roman" w:hAnsi="CAIXA Std Book" w:cs="Times New Roman"/>
                <w:b/>
                <w:bCs/>
                <w:color w:val="FFFFFF"/>
                <w:sz w:val="18"/>
                <w:szCs w:val="18"/>
              </w:rPr>
            </w:pPr>
            <w:r w:rsidRPr="008E068E">
              <w:rPr>
                <w:rFonts w:ascii="CAIXA Std Book" w:eastAsia="Times New Roman" w:hAnsi="CAIXA Std Book" w:cs="Times New Roman"/>
                <w:b/>
                <w:bCs/>
                <w:color w:val="FFFFFF"/>
                <w:sz w:val="18"/>
                <w:szCs w:val="18"/>
              </w:rPr>
              <w:t>2026</w:t>
            </w:r>
          </w:p>
        </w:tc>
        <w:tc>
          <w:tcPr>
            <w:tcW w:w="691" w:type="pct"/>
            <w:tcBorders>
              <w:top w:val="single" w:sz="4" w:space="0" w:color="FFFFFF" w:themeColor="background1"/>
              <w:left w:val="nil"/>
              <w:bottom w:val="single" w:sz="4" w:space="0" w:color="FFFFFF" w:themeColor="background1"/>
              <w:right w:val="nil"/>
            </w:tcBorders>
            <w:shd w:val="clear" w:color="000000" w:fill="005CA9"/>
            <w:vAlign w:val="center"/>
            <w:hideMark/>
          </w:tcPr>
          <w:p w14:paraId="3CC3AD12" w14:textId="77777777" w:rsidR="008E068E" w:rsidRPr="008E068E" w:rsidRDefault="008E068E" w:rsidP="008E068E">
            <w:pPr>
              <w:jc w:val="center"/>
              <w:rPr>
                <w:rFonts w:ascii="CAIXA Std Book" w:eastAsia="Times New Roman" w:hAnsi="CAIXA Std Book" w:cs="Times New Roman"/>
                <w:b/>
                <w:bCs/>
                <w:color w:val="FFFFFF"/>
                <w:sz w:val="18"/>
                <w:szCs w:val="18"/>
              </w:rPr>
            </w:pPr>
            <w:r w:rsidRPr="008E068E">
              <w:rPr>
                <w:rFonts w:ascii="CAIXA Std Book" w:eastAsia="Times New Roman" w:hAnsi="CAIXA Std Book" w:cs="Times New Roman"/>
                <w:b/>
                <w:bCs/>
                <w:color w:val="FFFFFF"/>
                <w:sz w:val="18"/>
                <w:szCs w:val="18"/>
              </w:rPr>
              <w:t>2025</w:t>
            </w:r>
          </w:p>
        </w:tc>
      </w:tr>
      <w:tr w:rsidR="008E068E" w:rsidRPr="008E068E" w14:paraId="03F0F31F" w14:textId="77777777" w:rsidTr="00E06E0A">
        <w:trPr>
          <w:trHeight w:val="288"/>
        </w:trPr>
        <w:tc>
          <w:tcPr>
            <w:tcW w:w="2236" w:type="pct"/>
            <w:vMerge/>
            <w:tcBorders>
              <w:top w:val="nil"/>
              <w:left w:val="nil"/>
              <w:bottom w:val="nil"/>
              <w:right w:val="nil"/>
            </w:tcBorders>
            <w:vAlign w:val="center"/>
            <w:hideMark/>
          </w:tcPr>
          <w:p w14:paraId="7BDFA32F" w14:textId="77777777" w:rsidR="008E068E" w:rsidRPr="008E068E" w:rsidRDefault="008E068E" w:rsidP="008E068E">
            <w:pPr>
              <w:rPr>
                <w:rFonts w:ascii="CAIXA Std Book" w:eastAsia="Times New Roman" w:hAnsi="CAIXA Std Book" w:cs="Times New Roman"/>
                <w:b/>
                <w:bCs/>
                <w:color w:val="FFFFFF"/>
                <w:sz w:val="18"/>
                <w:szCs w:val="18"/>
              </w:rPr>
            </w:pPr>
          </w:p>
        </w:tc>
        <w:tc>
          <w:tcPr>
            <w:tcW w:w="690" w:type="pct"/>
            <w:tcBorders>
              <w:top w:val="single" w:sz="4" w:space="0" w:color="FFFFFF" w:themeColor="background1"/>
              <w:left w:val="nil"/>
              <w:bottom w:val="nil"/>
              <w:right w:val="nil"/>
            </w:tcBorders>
            <w:shd w:val="clear" w:color="000000" w:fill="005CA9"/>
            <w:vAlign w:val="center"/>
            <w:hideMark/>
          </w:tcPr>
          <w:p w14:paraId="4D844EB7" w14:textId="77777777" w:rsidR="008E068E" w:rsidRPr="008E068E" w:rsidRDefault="008E068E" w:rsidP="008E068E">
            <w:pPr>
              <w:jc w:val="center"/>
              <w:rPr>
                <w:rFonts w:ascii="CAIXA Std Book" w:eastAsia="Times New Roman" w:hAnsi="CAIXA Std Book" w:cs="Times New Roman"/>
                <w:b/>
                <w:bCs/>
                <w:color w:val="FFFFFF"/>
                <w:sz w:val="18"/>
                <w:szCs w:val="18"/>
              </w:rPr>
            </w:pPr>
            <w:r w:rsidRPr="008E068E">
              <w:rPr>
                <w:rFonts w:ascii="CAIXA Std Book" w:eastAsia="Times New Roman" w:hAnsi="CAIXA Std Book" w:cs="Times New Roman"/>
                <w:b/>
                <w:bCs/>
                <w:color w:val="FFFFFF"/>
                <w:sz w:val="18"/>
                <w:szCs w:val="18"/>
              </w:rPr>
              <w:t>1º trimestre</w:t>
            </w:r>
          </w:p>
        </w:tc>
        <w:tc>
          <w:tcPr>
            <w:tcW w:w="692" w:type="pct"/>
            <w:tcBorders>
              <w:top w:val="single" w:sz="4" w:space="0" w:color="FFFFFF" w:themeColor="background1"/>
              <w:left w:val="nil"/>
              <w:bottom w:val="nil"/>
              <w:right w:val="nil"/>
            </w:tcBorders>
            <w:shd w:val="clear" w:color="000000" w:fill="005CA9"/>
            <w:vAlign w:val="center"/>
            <w:hideMark/>
          </w:tcPr>
          <w:p w14:paraId="67CC9A12" w14:textId="77777777" w:rsidR="008E068E" w:rsidRPr="008E068E" w:rsidRDefault="008E068E" w:rsidP="008E068E">
            <w:pPr>
              <w:jc w:val="center"/>
              <w:rPr>
                <w:rFonts w:ascii="CAIXA Std Book" w:eastAsia="Times New Roman" w:hAnsi="CAIXA Std Book" w:cs="Times New Roman"/>
                <w:b/>
                <w:bCs/>
                <w:color w:val="FFFFFF"/>
                <w:sz w:val="18"/>
                <w:szCs w:val="18"/>
              </w:rPr>
            </w:pPr>
            <w:r w:rsidRPr="008E068E">
              <w:rPr>
                <w:rFonts w:ascii="CAIXA Std Book" w:eastAsia="Times New Roman" w:hAnsi="CAIXA Std Book" w:cs="Times New Roman"/>
                <w:b/>
                <w:bCs/>
                <w:color w:val="FFFFFF"/>
                <w:sz w:val="18"/>
                <w:szCs w:val="18"/>
              </w:rPr>
              <w:t>1º trimestre</w:t>
            </w:r>
          </w:p>
        </w:tc>
        <w:tc>
          <w:tcPr>
            <w:tcW w:w="691" w:type="pct"/>
            <w:tcBorders>
              <w:top w:val="single" w:sz="4" w:space="0" w:color="FFFFFF" w:themeColor="background1"/>
              <w:left w:val="nil"/>
              <w:bottom w:val="nil"/>
              <w:right w:val="nil"/>
            </w:tcBorders>
            <w:shd w:val="clear" w:color="000000" w:fill="005CA9"/>
            <w:vAlign w:val="center"/>
            <w:hideMark/>
          </w:tcPr>
          <w:p w14:paraId="2F3F8B58" w14:textId="77777777" w:rsidR="008E068E" w:rsidRPr="008E068E" w:rsidRDefault="008E068E" w:rsidP="008E068E">
            <w:pPr>
              <w:jc w:val="center"/>
              <w:rPr>
                <w:rFonts w:ascii="CAIXA Std Book" w:eastAsia="Times New Roman" w:hAnsi="CAIXA Std Book" w:cs="Times New Roman"/>
                <w:b/>
                <w:bCs/>
                <w:color w:val="FFFFFF"/>
                <w:sz w:val="18"/>
                <w:szCs w:val="18"/>
              </w:rPr>
            </w:pPr>
            <w:r w:rsidRPr="008E068E">
              <w:rPr>
                <w:rFonts w:ascii="CAIXA Std Book" w:eastAsia="Times New Roman" w:hAnsi="CAIXA Std Book" w:cs="Times New Roman"/>
                <w:b/>
                <w:bCs/>
                <w:color w:val="FFFFFF"/>
                <w:sz w:val="18"/>
                <w:szCs w:val="18"/>
              </w:rPr>
              <w:t>1º trimestre</w:t>
            </w:r>
          </w:p>
        </w:tc>
        <w:tc>
          <w:tcPr>
            <w:tcW w:w="691" w:type="pct"/>
            <w:tcBorders>
              <w:top w:val="single" w:sz="4" w:space="0" w:color="FFFFFF" w:themeColor="background1"/>
              <w:left w:val="nil"/>
              <w:bottom w:val="nil"/>
              <w:right w:val="nil"/>
            </w:tcBorders>
            <w:shd w:val="clear" w:color="000000" w:fill="005CA9"/>
            <w:vAlign w:val="center"/>
            <w:hideMark/>
          </w:tcPr>
          <w:p w14:paraId="33D16A8A" w14:textId="77777777" w:rsidR="008E068E" w:rsidRPr="008E068E" w:rsidRDefault="008E068E" w:rsidP="008E068E">
            <w:pPr>
              <w:jc w:val="center"/>
              <w:rPr>
                <w:rFonts w:ascii="CAIXA Std Book" w:eastAsia="Times New Roman" w:hAnsi="CAIXA Std Book" w:cs="Times New Roman"/>
                <w:b/>
                <w:bCs/>
                <w:color w:val="FFFFFF"/>
                <w:sz w:val="18"/>
                <w:szCs w:val="18"/>
              </w:rPr>
            </w:pPr>
            <w:r w:rsidRPr="008E068E">
              <w:rPr>
                <w:rFonts w:ascii="CAIXA Std Book" w:eastAsia="Times New Roman" w:hAnsi="CAIXA Std Book" w:cs="Times New Roman"/>
                <w:b/>
                <w:bCs/>
                <w:color w:val="FFFFFF"/>
                <w:sz w:val="18"/>
                <w:szCs w:val="18"/>
              </w:rPr>
              <w:t>1º trimestre</w:t>
            </w:r>
          </w:p>
        </w:tc>
      </w:tr>
      <w:tr w:rsidR="00194E96" w:rsidRPr="008E068E" w14:paraId="5D1B6274" w14:textId="77777777" w:rsidTr="00194E96">
        <w:trPr>
          <w:trHeight w:val="288"/>
        </w:trPr>
        <w:tc>
          <w:tcPr>
            <w:tcW w:w="2236" w:type="pct"/>
            <w:tcBorders>
              <w:top w:val="nil"/>
              <w:left w:val="nil"/>
              <w:bottom w:val="nil"/>
              <w:right w:val="nil"/>
            </w:tcBorders>
            <w:vAlign w:val="center"/>
            <w:hideMark/>
          </w:tcPr>
          <w:p w14:paraId="4DABAE93" w14:textId="5F9FFF95" w:rsidR="00194E96" w:rsidRPr="008E068E" w:rsidRDefault="00194E96" w:rsidP="00194E96">
            <w:pPr>
              <w:rPr>
                <w:rFonts w:ascii="CAIXA Std Book" w:eastAsia="Times New Roman" w:hAnsi="CAIXA Std Book" w:cs="Times New Roman"/>
                <w:color w:val="005CA9"/>
                <w:sz w:val="18"/>
                <w:szCs w:val="18"/>
              </w:rPr>
            </w:pPr>
            <w:r>
              <w:rPr>
                <w:rFonts w:ascii="CAIXA Std Book" w:hAnsi="CAIXA Std Book" w:cs="Calibri"/>
                <w:color w:val="005CA9"/>
                <w:sz w:val="18"/>
                <w:szCs w:val="18"/>
              </w:rPr>
              <w:t>Processamento de dados</w:t>
            </w:r>
          </w:p>
        </w:tc>
        <w:tc>
          <w:tcPr>
            <w:tcW w:w="690" w:type="pct"/>
            <w:tcBorders>
              <w:top w:val="nil"/>
              <w:left w:val="nil"/>
              <w:bottom w:val="nil"/>
              <w:right w:val="nil"/>
            </w:tcBorders>
            <w:noWrap/>
            <w:vAlign w:val="center"/>
            <w:hideMark/>
          </w:tcPr>
          <w:p w14:paraId="4E550DBA" w14:textId="6AE0897C"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(442.230)</w:t>
            </w:r>
          </w:p>
        </w:tc>
        <w:tc>
          <w:tcPr>
            <w:tcW w:w="692" w:type="pct"/>
            <w:tcBorders>
              <w:top w:val="nil"/>
              <w:left w:val="nil"/>
              <w:bottom w:val="nil"/>
              <w:right w:val="nil"/>
            </w:tcBorders>
            <w:noWrap/>
            <w:vAlign w:val="center"/>
            <w:hideMark/>
          </w:tcPr>
          <w:p w14:paraId="2FFC679F" w14:textId="43073B14"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(470.646)</w:t>
            </w:r>
          </w:p>
        </w:tc>
        <w:tc>
          <w:tcPr>
            <w:tcW w:w="691" w:type="pct"/>
            <w:tcBorders>
              <w:top w:val="nil"/>
              <w:left w:val="nil"/>
              <w:bottom w:val="nil"/>
              <w:right w:val="nil"/>
            </w:tcBorders>
            <w:noWrap/>
            <w:vAlign w:val="center"/>
            <w:hideMark/>
          </w:tcPr>
          <w:p w14:paraId="01200A72" w14:textId="077250CD"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(448.552)</w:t>
            </w:r>
          </w:p>
        </w:tc>
        <w:tc>
          <w:tcPr>
            <w:tcW w:w="691" w:type="pct"/>
            <w:tcBorders>
              <w:top w:val="nil"/>
              <w:left w:val="nil"/>
              <w:bottom w:val="nil"/>
              <w:right w:val="nil"/>
            </w:tcBorders>
            <w:noWrap/>
            <w:vAlign w:val="center"/>
            <w:hideMark/>
          </w:tcPr>
          <w:p w14:paraId="453D560F" w14:textId="4792767A"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(475.251)</w:t>
            </w:r>
          </w:p>
        </w:tc>
      </w:tr>
      <w:tr w:rsidR="00194E96" w:rsidRPr="008E068E" w14:paraId="375AD273" w14:textId="77777777" w:rsidTr="00194E96">
        <w:trPr>
          <w:trHeight w:val="288"/>
        </w:trPr>
        <w:tc>
          <w:tcPr>
            <w:tcW w:w="2236" w:type="pct"/>
            <w:tcBorders>
              <w:top w:val="nil"/>
              <w:left w:val="nil"/>
              <w:bottom w:val="nil"/>
              <w:right w:val="nil"/>
            </w:tcBorders>
            <w:vAlign w:val="center"/>
            <w:hideMark/>
          </w:tcPr>
          <w:p w14:paraId="7E9CDBBF" w14:textId="141E5CB3" w:rsidR="00194E96" w:rsidRPr="008E068E" w:rsidRDefault="00194E96" w:rsidP="00194E96">
            <w:pPr>
              <w:rPr>
                <w:rFonts w:ascii="CAIXA Std Book" w:eastAsia="Times New Roman" w:hAnsi="CAIXA Std Book" w:cs="Times New Roman"/>
                <w:color w:val="005CA9"/>
                <w:sz w:val="18"/>
                <w:szCs w:val="18"/>
              </w:rPr>
            </w:pPr>
            <w:bookmarkStart w:id="148" w:name="RANGE!K41"/>
            <w:r>
              <w:rPr>
                <w:rFonts w:ascii="CAIXA Std Book" w:hAnsi="CAIXA Std Book" w:cs="Calibri"/>
                <w:color w:val="005CA9"/>
                <w:sz w:val="18"/>
                <w:szCs w:val="18"/>
              </w:rPr>
              <w:t>Depreciação/</w:t>
            </w:r>
            <w:r w:rsidRPr="00E6305E">
              <w:rPr>
                <w:rFonts w:ascii="CAIXA Std Book" w:hAnsi="CAIXA Std Book" w:cs="Calibri"/>
                <w:i/>
                <w:color w:val="005CA9"/>
                <w:sz w:val="18"/>
                <w:szCs w:val="18"/>
              </w:rPr>
              <w:t>Impairment</w:t>
            </w:r>
            <w:bookmarkEnd w:id="148"/>
          </w:p>
        </w:tc>
        <w:tc>
          <w:tcPr>
            <w:tcW w:w="690" w:type="pct"/>
            <w:tcBorders>
              <w:top w:val="nil"/>
              <w:left w:val="nil"/>
              <w:bottom w:val="nil"/>
              <w:right w:val="nil"/>
            </w:tcBorders>
            <w:noWrap/>
            <w:vAlign w:val="center"/>
            <w:hideMark/>
          </w:tcPr>
          <w:p w14:paraId="62A725E5" w14:textId="58D81464"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(420.086)</w:t>
            </w:r>
          </w:p>
        </w:tc>
        <w:tc>
          <w:tcPr>
            <w:tcW w:w="692" w:type="pct"/>
            <w:tcBorders>
              <w:top w:val="nil"/>
              <w:left w:val="nil"/>
              <w:bottom w:val="nil"/>
              <w:right w:val="nil"/>
            </w:tcBorders>
            <w:noWrap/>
            <w:vAlign w:val="center"/>
            <w:hideMark/>
          </w:tcPr>
          <w:p w14:paraId="4165B79B" w14:textId="749313A5"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(231.786)</w:t>
            </w:r>
          </w:p>
        </w:tc>
        <w:tc>
          <w:tcPr>
            <w:tcW w:w="691" w:type="pct"/>
            <w:tcBorders>
              <w:top w:val="nil"/>
              <w:left w:val="nil"/>
              <w:bottom w:val="nil"/>
              <w:right w:val="nil"/>
            </w:tcBorders>
            <w:noWrap/>
            <w:vAlign w:val="center"/>
            <w:hideMark/>
          </w:tcPr>
          <w:p w14:paraId="764180FC" w14:textId="4965A08B"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(420.627)</w:t>
            </w:r>
          </w:p>
        </w:tc>
        <w:tc>
          <w:tcPr>
            <w:tcW w:w="691" w:type="pct"/>
            <w:tcBorders>
              <w:top w:val="nil"/>
              <w:left w:val="nil"/>
              <w:bottom w:val="nil"/>
              <w:right w:val="nil"/>
            </w:tcBorders>
            <w:noWrap/>
            <w:vAlign w:val="center"/>
            <w:hideMark/>
          </w:tcPr>
          <w:p w14:paraId="49FE2EEB" w14:textId="5ACCDB39"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(231.786)</w:t>
            </w:r>
          </w:p>
        </w:tc>
      </w:tr>
      <w:tr w:rsidR="00194E96" w:rsidRPr="008E068E" w14:paraId="7AC5D38E" w14:textId="77777777" w:rsidTr="00194E96">
        <w:trPr>
          <w:trHeight w:val="288"/>
        </w:trPr>
        <w:tc>
          <w:tcPr>
            <w:tcW w:w="2236" w:type="pct"/>
            <w:tcBorders>
              <w:top w:val="nil"/>
              <w:left w:val="nil"/>
              <w:bottom w:val="nil"/>
              <w:right w:val="nil"/>
            </w:tcBorders>
            <w:vAlign w:val="center"/>
            <w:hideMark/>
          </w:tcPr>
          <w:p w14:paraId="324860E4" w14:textId="0DECB0CD" w:rsidR="00194E96" w:rsidRPr="008E068E" w:rsidRDefault="00194E96" w:rsidP="00194E96">
            <w:pPr>
              <w:rPr>
                <w:rFonts w:ascii="CAIXA Std Book" w:eastAsia="Times New Roman" w:hAnsi="CAIXA Std Book" w:cs="Times New Roman"/>
                <w:color w:val="005CA9"/>
                <w:sz w:val="18"/>
                <w:szCs w:val="18"/>
              </w:rPr>
            </w:pPr>
            <w:r>
              <w:rPr>
                <w:rFonts w:ascii="CAIXA Std Book" w:hAnsi="CAIXA Std Book" w:cs="Calibri"/>
                <w:color w:val="005CA9"/>
                <w:sz w:val="18"/>
                <w:szCs w:val="18"/>
              </w:rPr>
              <w:t>Amortização/</w:t>
            </w:r>
            <w:r w:rsidRPr="00E6305E">
              <w:rPr>
                <w:rFonts w:ascii="CAIXA Std Book" w:hAnsi="CAIXA Std Book" w:cs="Calibri"/>
                <w:i/>
                <w:color w:val="005CA9"/>
                <w:sz w:val="18"/>
                <w:szCs w:val="18"/>
              </w:rPr>
              <w:t>Impairment</w:t>
            </w:r>
          </w:p>
        </w:tc>
        <w:tc>
          <w:tcPr>
            <w:tcW w:w="690" w:type="pct"/>
            <w:tcBorders>
              <w:top w:val="nil"/>
              <w:left w:val="nil"/>
              <w:bottom w:val="nil"/>
              <w:right w:val="nil"/>
            </w:tcBorders>
            <w:noWrap/>
            <w:vAlign w:val="center"/>
            <w:hideMark/>
          </w:tcPr>
          <w:p w14:paraId="1DB9DFE0" w14:textId="0002F4AD"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(413.955)</w:t>
            </w:r>
          </w:p>
        </w:tc>
        <w:tc>
          <w:tcPr>
            <w:tcW w:w="692" w:type="pct"/>
            <w:tcBorders>
              <w:top w:val="nil"/>
              <w:left w:val="nil"/>
              <w:bottom w:val="nil"/>
              <w:right w:val="nil"/>
            </w:tcBorders>
            <w:noWrap/>
            <w:vAlign w:val="center"/>
            <w:hideMark/>
          </w:tcPr>
          <w:p w14:paraId="7ECE4E11" w14:textId="0C713198"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(316.395)</w:t>
            </w:r>
          </w:p>
        </w:tc>
        <w:tc>
          <w:tcPr>
            <w:tcW w:w="691" w:type="pct"/>
            <w:tcBorders>
              <w:top w:val="nil"/>
              <w:left w:val="nil"/>
              <w:bottom w:val="nil"/>
              <w:right w:val="nil"/>
            </w:tcBorders>
            <w:noWrap/>
            <w:vAlign w:val="center"/>
            <w:hideMark/>
          </w:tcPr>
          <w:p w14:paraId="4B95DD22" w14:textId="6D885628"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(415.455)</w:t>
            </w:r>
          </w:p>
        </w:tc>
        <w:tc>
          <w:tcPr>
            <w:tcW w:w="691" w:type="pct"/>
            <w:tcBorders>
              <w:top w:val="nil"/>
              <w:left w:val="nil"/>
              <w:bottom w:val="nil"/>
              <w:right w:val="nil"/>
            </w:tcBorders>
            <w:noWrap/>
            <w:vAlign w:val="center"/>
            <w:hideMark/>
          </w:tcPr>
          <w:p w14:paraId="4F513E0A" w14:textId="225E1E36"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(317.899)</w:t>
            </w:r>
          </w:p>
        </w:tc>
      </w:tr>
      <w:tr w:rsidR="00194E96" w:rsidRPr="008E068E" w14:paraId="65DF7DA7" w14:textId="77777777" w:rsidTr="00194E96">
        <w:trPr>
          <w:trHeight w:val="288"/>
        </w:trPr>
        <w:tc>
          <w:tcPr>
            <w:tcW w:w="2236" w:type="pct"/>
            <w:tcBorders>
              <w:top w:val="nil"/>
              <w:left w:val="nil"/>
              <w:bottom w:val="nil"/>
              <w:right w:val="nil"/>
            </w:tcBorders>
            <w:vAlign w:val="center"/>
            <w:hideMark/>
          </w:tcPr>
          <w:p w14:paraId="1251EB32" w14:textId="3E33A99E" w:rsidR="00194E96" w:rsidRPr="008E068E" w:rsidRDefault="00CB2F5A" w:rsidP="00194E96">
            <w:pPr>
              <w:rPr>
                <w:rFonts w:ascii="CAIXA Std Book" w:eastAsia="Times New Roman" w:hAnsi="CAIXA Std Book" w:cs="Times New Roman"/>
                <w:color w:val="005CA9"/>
                <w:sz w:val="18"/>
                <w:szCs w:val="18"/>
              </w:rPr>
            </w:pPr>
            <w:r>
              <w:rPr>
                <w:rFonts w:ascii="CAIXA Std Book" w:hAnsi="CAIXA Std Book" w:cs="Calibri"/>
                <w:color w:val="005CA9"/>
                <w:sz w:val="18"/>
                <w:szCs w:val="18"/>
              </w:rPr>
              <w:t>Aluguéis</w:t>
            </w:r>
            <w:r w:rsidR="00194E96">
              <w:rPr>
                <w:rFonts w:ascii="CAIXA Std Book" w:hAnsi="CAIXA Std Book" w:cs="Calibri"/>
                <w:color w:val="005CA9"/>
                <w:sz w:val="18"/>
                <w:szCs w:val="18"/>
              </w:rPr>
              <w:t xml:space="preserve"> e arrendamento de bens</w:t>
            </w:r>
          </w:p>
        </w:tc>
        <w:tc>
          <w:tcPr>
            <w:tcW w:w="690" w:type="pct"/>
            <w:tcBorders>
              <w:top w:val="nil"/>
              <w:left w:val="nil"/>
              <w:bottom w:val="nil"/>
              <w:right w:val="nil"/>
            </w:tcBorders>
            <w:noWrap/>
            <w:vAlign w:val="center"/>
            <w:hideMark/>
          </w:tcPr>
          <w:p w14:paraId="6BB89356" w14:textId="0FB9CAB9"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(324.386)</w:t>
            </w:r>
          </w:p>
        </w:tc>
        <w:tc>
          <w:tcPr>
            <w:tcW w:w="692" w:type="pct"/>
            <w:tcBorders>
              <w:top w:val="nil"/>
              <w:left w:val="nil"/>
              <w:bottom w:val="nil"/>
              <w:right w:val="nil"/>
            </w:tcBorders>
            <w:noWrap/>
            <w:vAlign w:val="center"/>
            <w:hideMark/>
          </w:tcPr>
          <w:p w14:paraId="22F93099" w14:textId="65A2CB29"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(444.839)</w:t>
            </w:r>
          </w:p>
        </w:tc>
        <w:tc>
          <w:tcPr>
            <w:tcW w:w="691" w:type="pct"/>
            <w:tcBorders>
              <w:top w:val="nil"/>
              <w:left w:val="nil"/>
              <w:bottom w:val="nil"/>
              <w:right w:val="nil"/>
            </w:tcBorders>
            <w:noWrap/>
            <w:vAlign w:val="center"/>
            <w:hideMark/>
          </w:tcPr>
          <w:p w14:paraId="4CCA15DA" w14:textId="3158C753"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(324.551)</w:t>
            </w:r>
          </w:p>
        </w:tc>
        <w:tc>
          <w:tcPr>
            <w:tcW w:w="691" w:type="pct"/>
            <w:tcBorders>
              <w:top w:val="nil"/>
              <w:left w:val="nil"/>
              <w:bottom w:val="nil"/>
              <w:right w:val="nil"/>
            </w:tcBorders>
            <w:noWrap/>
            <w:vAlign w:val="center"/>
            <w:hideMark/>
          </w:tcPr>
          <w:p w14:paraId="7FB535D7" w14:textId="35E3966A"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(444.839)</w:t>
            </w:r>
          </w:p>
        </w:tc>
      </w:tr>
      <w:tr w:rsidR="00194E96" w:rsidRPr="008E068E" w14:paraId="565ADCE6" w14:textId="77777777" w:rsidTr="00194E96">
        <w:trPr>
          <w:trHeight w:val="288"/>
        </w:trPr>
        <w:tc>
          <w:tcPr>
            <w:tcW w:w="2236" w:type="pct"/>
            <w:tcBorders>
              <w:top w:val="nil"/>
              <w:left w:val="nil"/>
              <w:bottom w:val="nil"/>
              <w:right w:val="nil"/>
            </w:tcBorders>
            <w:vAlign w:val="center"/>
            <w:hideMark/>
          </w:tcPr>
          <w:p w14:paraId="49E455F2" w14:textId="24F12160" w:rsidR="00194E96" w:rsidRPr="008E068E" w:rsidRDefault="00194E96" w:rsidP="00194E96">
            <w:pPr>
              <w:rPr>
                <w:rFonts w:ascii="CAIXA Std Book" w:eastAsia="Times New Roman" w:hAnsi="CAIXA Std Book" w:cs="Times New Roman"/>
                <w:color w:val="005CA9"/>
                <w:sz w:val="18"/>
                <w:szCs w:val="18"/>
              </w:rPr>
            </w:pPr>
            <w:r>
              <w:rPr>
                <w:rFonts w:ascii="CAIXA Std Book" w:hAnsi="CAIXA Std Book" w:cs="Calibri"/>
                <w:color w:val="005CA9"/>
                <w:sz w:val="18"/>
                <w:szCs w:val="18"/>
              </w:rPr>
              <w:t>Manutenção e conservação de bens</w:t>
            </w:r>
          </w:p>
        </w:tc>
        <w:tc>
          <w:tcPr>
            <w:tcW w:w="690" w:type="pct"/>
            <w:tcBorders>
              <w:top w:val="nil"/>
              <w:left w:val="nil"/>
              <w:bottom w:val="nil"/>
              <w:right w:val="nil"/>
            </w:tcBorders>
            <w:noWrap/>
            <w:vAlign w:val="center"/>
            <w:hideMark/>
          </w:tcPr>
          <w:p w14:paraId="57C1FC6E" w14:textId="770E437C"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(293.970)</w:t>
            </w:r>
          </w:p>
        </w:tc>
        <w:tc>
          <w:tcPr>
            <w:tcW w:w="692" w:type="pct"/>
            <w:tcBorders>
              <w:top w:val="nil"/>
              <w:left w:val="nil"/>
              <w:bottom w:val="nil"/>
              <w:right w:val="nil"/>
            </w:tcBorders>
            <w:noWrap/>
            <w:vAlign w:val="center"/>
            <w:hideMark/>
          </w:tcPr>
          <w:p w14:paraId="47FDE7CB" w14:textId="793FEA39"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(308.274)</w:t>
            </w:r>
          </w:p>
        </w:tc>
        <w:tc>
          <w:tcPr>
            <w:tcW w:w="691" w:type="pct"/>
            <w:tcBorders>
              <w:top w:val="nil"/>
              <w:left w:val="nil"/>
              <w:bottom w:val="nil"/>
              <w:right w:val="nil"/>
            </w:tcBorders>
            <w:noWrap/>
            <w:vAlign w:val="center"/>
            <w:hideMark/>
          </w:tcPr>
          <w:p w14:paraId="72B23CCC" w14:textId="2409886A"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(294.223)</w:t>
            </w:r>
          </w:p>
        </w:tc>
        <w:tc>
          <w:tcPr>
            <w:tcW w:w="691" w:type="pct"/>
            <w:tcBorders>
              <w:top w:val="nil"/>
              <w:left w:val="nil"/>
              <w:bottom w:val="nil"/>
              <w:right w:val="nil"/>
            </w:tcBorders>
            <w:noWrap/>
            <w:vAlign w:val="center"/>
            <w:hideMark/>
          </w:tcPr>
          <w:p w14:paraId="3AD34716" w14:textId="1CC32027"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(308.274)</w:t>
            </w:r>
          </w:p>
        </w:tc>
      </w:tr>
      <w:tr w:rsidR="00194E96" w:rsidRPr="008E068E" w14:paraId="78C74429" w14:textId="77777777" w:rsidTr="00194E96">
        <w:trPr>
          <w:trHeight w:val="288"/>
        </w:trPr>
        <w:tc>
          <w:tcPr>
            <w:tcW w:w="2236" w:type="pct"/>
            <w:tcBorders>
              <w:top w:val="nil"/>
              <w:left w:val="nil"/>
              <w:bottom w:val="nil"/>
              <w:right w:val="nil"/>
            </w:tcBorders>
            <w:vAlign w:val="center"/>
            <w:hideMark/>
          </w:tcPr>
          <w:p w14:paraId="76D94F73" w14:textId="6EB59D44" w:rsidR="00194E96" w:rsidRPr="008E068E" w:rsidRDefault="00194E96" w:rsidP="00194E96">
            <w:pPr>
              <w:rPr>
                <w:rFonts w:ascii="CAIXA Std Book" w:eastAsia="Times New Roman" w:hAnsi="CAIXA Std Book" w:cs="Times New Roman"/>
                <w:color w:val="005CA9"/>
                <w:sz w:val="18"/>
                <w:szCs w:val="18"/>
              </w:rPr>
            </w:pPr>
            <w:r>
              <w:rPr>
                <w:rFonts w:ascii="CAIXA Std Book" w:hAnsi="CAIXA Std Book" w:cs="Calibri"/>
                <w:color w:val="005CA9"/>
                <w:sz w:val="18"/>
                <w:szCs w:val="18"/>
              </w:rPr>
              <w:t>Serviços de terceiros</w:t>
            </w:r>
          </w:p>
        </w:tc>
        <w:tc>
          <w:tcPr>
            <w:tcW w:w="690" w:type="pct"/>
            <w:tcBorders>
              <w:top w:val="nil"/>
              <w:left w:val="nil"/>
              <w:bottom w:val="nil"/>
              <w:right w:val="nil"/>
            </w:tcBorders>
            <w:noWrap/>
            <w:vAlign w:val="center"/>
            <w:hideMark/>
          </w:tcPr>
          <w:p w14:paraId="09C9DE33" w14:textId="04B54340"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(288.703)</w:t>
            </w:r>
          </w:p>
        </w:tc>
        <w:tc>
          <w:tcPr>
            <w:tcW w:w="692" w:type="pct"/>
            <w:tcBorders>
              <w:top w:val="nil"/>
              <w:left w:val="nil"/>
              <w:bottom w:val="nil"/>
              <w:right w:val="nil"/>
            </w:tcBorders>
            <w:noWrap/>
            <w:vAlign w:val="center"/>
            <w:hideMark/>
          </w:tcPr>
          <w:p w14:paraId="205E01E7" w14:textId="38E1A1E0"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(272.769)</w:t>
            </w:r>
          </w:p>
        </w:tc>
        <w:tc>
          <w:tcPr>
            <w:tcW w:w="691" w:type="pct"/>
            <w:tcBorders>
              <w:top w:val="nil"/>
              <w:left w:val="nil"/>
              <w:bottom w:val="nil"/>
              <w:right w:val="nil"/>
            </w:tcBorders>
            <w:noWrap/>
            <w:vAlign w:val="center"/>
            <w:hideMark/>
          </w:tcPr>
          <w:p w14:paraId="517BB74F" w14:textId="430BEDFC"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(288.703)</w:t>
            </w:r>
          </w:p>
        </w:tc>
        <w:tc>
          <w:tcPr>
            <w:tcW w:w="691" w:type="pct"/>
            <w:tcBorders>
              <w:top w:val="nil"/>
              <w:left w:val="nil"/>
              <w:bottom w:val="nil"/>
              <w:right w:val="nil"/>
            </w:tcBorders>
            <w:noWrap/>
            <w:vAlign w:val="center"/>
            <w:hideMark/>
          </w:tcPr>
          <w:p w14:paraId="12343AFA" w14:textId="3BB5ADB2"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(272.769)</w:t>
            </w:r>
          </w:p>
        </w:tc>
      </w:tr>
      <w:tr w:rsidR="00194E96" w:rsidRPr="008E068E" w14:paraId="1A7506E9" w14:textId="77777777" w:rsidTr="00194E96">
        <w:trPr>
          <w:trHeight w:val="288"/>
        </w:trPr>
        <w:tc>
          <w:tcPr>
            <w:tcW w:w="2236" w:type="pct"/>
            <w:tcBorders>
              <w:top w:val="nil"/>
              <w:left w:val="nil"/>
              <w:bottom w:val="nil"/>
              <w:right w:val="nil"/>
            </w:tcBorders>
            <w:vAlign w:val="center"/>
            <w:hideMark/>
          </w:tcPr>
          <w:p w14:paraId="0F8ED3B5" w14:textId="59E5BB1D" w:rsidR="00194E96" w:rsidRPr="008E068E" w:rsidRDefault="00194E96" w:rsidP="00194E96">
            <w:pPr>
              <w:rPr>
                <w:rFonts w:ascii="CAIXA Std Book" w:eastAsia="Times New Roman" w:hAnsi="CAIXA Std Book" w:cs="Times New Roman"/>
                <w:color w:val="005CA9"/>
                <w:sz w:val="18"/>
                <w:szCs w:val="18"/>
              </w:rPr>
            </w:pPr>
            <w:r>
              <w:rPr>
                <w:rFonts w:ascii="CAIXA Std Book" w:hAnsi="CAIXA Std Book" w:cs="Calibri"/>
                <w:color w:val="005CA9"/>
                <w:sz w:val="18"/>
                <w:szCs w:val="18"/>
              </w:rPr>
              <w:t>Serviços de vigilância e segurança</w:t>
            </w:r>
          </w:p>
        </w:tc>
        <w:tc>
          <w:tcPr>
            <w:tcW w:w="690" w:type="pct"/>
            <w:tcBorders>
              <w:top w:val="nil"/>
              <w:left w:val="nil"/>
              <w:bottom w:val="nil"/>
              <w:right w:val="nil"/>
            </w:tcBorders>
            <w:noWrap/>
            <w:vAlign w:val="center"/>
            <w:hideMark/>
          </w:tcPr>
          <w:p w14:paraId="755C6F23" w14:textId="43D554A3"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(256.803)</w:t>
            </w:r>
          </w:p>
        </w:tc>
        <w:tc>
          <w:tcPr>
            <w:tcW w:w="692" w:type="pct"/>
            <w:tcBorders>
              <w:top w:val="nil"/>
              <w:left w:val="nil"/>
              <w:bottom w:val="nil"/>
              <w:right w:val="nil"/>
            </w:tcBorders>
            <w:noWrap/>
            <w:vAlign w:val="center"/>
            <w:hideMark/>
          </w:tcPr>
          <w:p w14:paraId="76208E3E" w14:textId="6A1CDC49"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(244.134)</w:t>
            </w:r>
          </w:p>
        </w:tc>
        <w:tc>
          <w:tcPr>
            <w:tcW w:w="691" w:type="pct"/>
            <w:tcBorders>
              <w:top w:val="nil"/>
              <w:left w:val="nil"/>
              <w:bottom w:val="nil"/>
              <w:right w:val="nil"/>
            </w:tcBorders>
            <w:noWrap/>
            <w:vAlign w:val="center"/>
            <w:hideMark/>
          </w:tcPr>
          <w:p w14:paraId="59FDDC87" w14:textId="703BCC03"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(256.803)</w:t>
            </w:r>
          </w:p>
        </w:tc>
        <w:tc>
          <w:tcPr>
            <w:tcW w:w="691" w:type="pct"/>
            <w:tcBorders>
              <w:top w:val="nil"/>
              <w:left w:val="nil"/>
              <w:bottom w:val="nil"/>
              <w:right w:val="nil"/>
            </w:tcBorders>
            <w:noWrap/>
            <w:vAlign w:val="center"/>
            <w:hideMark/>
          </w:tcPr>
          <w:p w14:paraId="7B02188E" w14:textId="410E73B8"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(244.134)</w:t>
            </w:r>
          </w:p>
        </w:tc>
      </w:tr>
      <w:tr w:rsidR="00194E96" w:rsidRPr="008E068E" w14:paraId="6A85F775" w14:textId="77777777" w:rsidTr="00194E96">
        <w:trPr>
          <w:trHeight w:val="288"/>
        </w:trPr>
        <w:tc>
          <w:tcPr>
            <w:tcW w:w="2236" w:type="pct"/>
            <w:tcBorders>
              <w:top w:val="nil"/>
              <w:left w:val="nil"/>
              <w:bottom w:val="nil"/>
              <w:right w:val="nil"/>
            </w:tcBorders>
            <w:noWrap/>
            <w:vAlign w:val="center"/>
            <w:hideMark/>
          </w:tcPr>
          <w:p w14:paraId="1696CDEC" w14:textId="44089C40" w:rsidR="00194E96" w:rsidRPr="008E068E" w:rsidRDefault="00194E96" w:rsidP="00194E96">
            <w:pPr>
              <w:rPr>
                <w:rFonts w:ascii="CAIXA Std Book" w:eastAsia="Times New Roman" w:hAnsi="CAIXA Std Book" w:cs="Times New Roman"/>
                <w:color w:val="005CA9"/>
                <w:sz w:val="18"/>
                <w:szCs w:val="18"/>
              </w:rPr>
            </w:pPr>
            <w:r>
              <w:rPr>
                <w:rFonts w:ascii="CAIXA Std Book" w:hAnsi="CAIXA Std Book" w:cs="Calibri"/>
                <w:color w:val="005CA9"/>
                <w:sz w:val="18"/>
                <w:szCs w:val="18"/>
              </w:rPr>
              <w:t>Serviços especializados</w:t>
            </w:r>
          </w:p>
        </w:tc>
        <w:tc>
          <w:tcPr>
            <w:tcW w:w="690" w:type="pct"/>
            <w:tcBorders>
              <w:top w:val="nil"/>
              <w:left w:val="nil"/>
              <w:bottom w:val="nil"/>
              <w:right w:val="nil"/>
            </w:tcBorders>
            <w:noWrap/>
            <w:vAlign w:val="center"/>
            <w:hideMark/>
          </w:tcPr>
          <w:p w14:paraId="32668FD5" w14:textId="627A3195"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(214.615)</w:t>
            </w:r>
          </w:p>
        </w:tc>
        <w:tc>
          <w:tcPr>
            <w:tcW w:w="692" w:type="pct"/>
            <w:tcBorders>
              <w:top w:val="nil"/>
              <w:left w:val="nil"/>
              <w:bottom w:val="nil"/>
              <w:right w:val="nil"/>
            </w:tcBorders>
            <w:noWrap/>
            <w:vAlign w:val="center"/>
            <w:hideMark/>
          </w:tcPr>
          <w:p w14:paraId="23A8A197" w14:textId="04CD15DF"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(161.633)</w:t>
            </w:r>
          </w:p>
        </w:tc>
        <w:tc>
          <w:tcPr>
            <w:tcW w:w="691" w:type="pct"/>
            <w:tcBorders>
              <w:top w:val="nil"/>
              <w:left w:val="nil"/>
              <w:bottom w:val="nil"/>
              <w:right w:val="nil"/>
            </w:tcBorders>
            <w:noWrap/>
            <w:vAlign w:val="center"/>
            <w:hideMark/>
          </w:tcPr>
          <w:p w14:paraId="174BF513" w14:textId="4ACCBF56"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(239.209)</w:t>
            </w:r>
          </w:p>
        </w:tc>
        <w:tc>
          <w:tcPr>
            <w:tcW w:w="691" w:type="pct"/>
            <w:tcBorders>
              <w:top w:val="nil"/>
              <w:left w:val="nil"/>
              <w:bottom w:val="nil"/>
              <w:right w:val="nil"/>
            </w:tcBorders>
            <w:noWrap/>
            <w:vAlign w:val="center"/>
            <w:hideMark/>
          </w:tcPr>
          <w:p w14:paraId="58059DDC" w14:textId="2BD53058"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(168.623)</w:t>
            </w:r>
          </w:p>
        </w:tc>
      </w:tr>
      <w:tr w:rsidR="00194E96" w:rsidRPr="008E068E" w14:paraId="03FE5073" w14:textId="77777777" w:rsidTr="00194E96">
        <w:trPr>
          <w:trHeight w:val="288"/>
        </w:trPr>
        <w:tc>
          <w:tcPr>
            <w:tcW w:w="2236" w:type="pct"/>
            <w:tcBorders>
              <w:top w:val="nil"/>
              <w:left w:val="nil"/>
              <w:bottom w:val="nil"/>
              <w:right w:val="nil"/>
            </w:tcBorders>
            <w:vAlign w:val="center"/>
            <w:hideMark/>
          </w:tcPr>
          <w:p w14:paraId="30732AFB" w14:textId="184D3E7A" w:rsidR="00194E96" w:rsidRPr="008E068E" w:rsidRDefault="00194E96" w:rsidP="00194E96">
            <w:pPr>
              <w:rPr>
                <w:rFonts w:ascii="CAIXA Std Book" w:eastAsia="Times New Roman" w:hAnsi="CAIXA Std Book" w:cs="Times New Roman"/>
                <w:color w:val="005CA9"/>
                <w:sz w:val="18"/>
                <w:szCs w:val="18"/>
              </w:rPr>
            </w:pPr>
            <w:r>
              <w:rPr>
                <w:rFonts w:ascii="CAIXA Std Book" w:hAnsi="CAIXA Std Book" w:cs="Calibri"/>
                <w:color w:val="005CA9"/>
                <w:sz w:val="18"/>
                <w:szCs w:val="18"/>
              </w:rPr>
              <w:t>Serviços de transporte</w:t>
            </w:r>
          </w:p>
        </w:tc>
        <w:tc>
          <w:tcPr>
            <w:tcW w:w="690" w:type="pct"/>
            <w:tcBorders>
              <w:top w:val="nil"/>
              <w:left w:val="nil"/>
              <w:bottom w:val="nil"/>
              <w:right w:val="nil"/>
            </w:tcBorders>
            <w:noWrap/>
            <w:vAlign w:val="center"/>
            <w:hideMark/>
          </w:tcPr>
          <w:p w14:paraId="4D44B31A" w14:textId="2CAC5B3D"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(171.113)</w:t>
            </w:r>
          </w:p>
        </w:tc>
        <w:tc>
          <w:tcPr>
            <w:tcW w:w="692" w:type="pct"/>
            <w:tcBorders>
              <w:top w:val="nil"/>
              <w:left w:val="nil"/>
              <w:bottom w:val="nil"/>
              <w:right w:val="nil"/>
            </w:tcBorders>
            <w:noWrap/>
            <w:vAlign w:val="center"/>
            <w:hideMark/>
          </w:tcPr>
          <w:p w14:paraId="5F97D711" w14:textId="6B3500A2"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(205.696)</w:t>
            </w:r>
          </w:p>
        </w:tc>
        <w:tc>
          <w:tcPr>
            <w:tcW w:w="691" w:type="pct"/>
            <w:tcBorders>
              <w:top w:val="nil"/>
              <w:left w:val="nil"/>
              <w:bottom w:val="nil"/>
              <w:right w:val="nil"/>
            </w:tcBorders>
            <w:noWrap/>
            <w:vAlign w:val="center"/>
            <w:hideMark/>
          </w:tcPr>
          <w:p w14:paraId="5F229339" w14:textId="6B664002"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(171.113)</w:t>
            </w:r>
          </w:p>
        </w:tc>
        <w:tc>
          <w:tcPr>
            <w:tcW w:w="691" w:type="pct"/>
            <w:tcBorders>
              <w:top w:val="nil"/>
              <w:left w:val="nil"/>
              <w:bottom w:val="nil"/>
              <w:right w:val="nil"/>
            </w:tcBorders>
            <w:noWrap/>
            <w:vAlign w:val="center"/>
            <w:hideMark/>
          </w:tcPr>
          <w:p w14:paraId="4C76C8B3" w14:textId="4CB281FD"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(205.696)</w:t>
            </w:r>
          </w:p>
        </w:tc>
      </w:tr>
      <w:tr w:rsidR="00194E96" w:rsidRPr="008E068E" w14:paraId="4471D2B4" w14:textId="77777777" w:rsidTr="00194E96">
        <w:trPr>
          <w:trHeight w:val="288"/>
        </w:trPr>
        <w:tc>
          <w:tcPr>
            <w:tcW w:w="2236" w:type="pct"/>
            <w:tcBorders>
              <w:top w:val="nil"/>
              <w:left w:val="nil"/>
              <w:bottom w:val="nil"/>
              <w:right w:val="nil"/>
            </w:tcBorders>
            <w:vAlign w:val="center"/>
            <w:hideMark/>
          </w:tcPr>
          <w:p w14:paraId="4E6101F3" w14:textId="030D6804" w:rsidR="00194E96" w:rsidRPr="008E068E" w:rsidRDefault="00194E96" w:rsidP="00194E96">
            <w:pPr>
              <w:rPr>
                <w:rFonts w:ascii="CAIXA Std Book" w:eastAsia="Times New Roman" w:hAnsi="CAIXA Std Book" w:cs="Times New Roman"/>
                <w:color w:val="005CA9"/>
                <w:sz w:val="18"/>
                <w:szCs w:val="18"/>
              </w:rPr>
            </w:pPr>
            <w:r>
              <w:rPr>
                <w:rFonts w:ascii="CAIXA Std Book" w:hAnsi="CAIXA Std Book" w:cs="Calibri"/>
                <w:color w:val="005CA9"/>
                <w:sz w:val="18"/>
                <w:szCs w:val="18"/>
              </w:rPr>
              <w:t>Água e energia</w:t>
            </w:r>
          </w:p>
        </w:tc>
        <w:tc>
          <w:tcPr>
            <w:tcW w:w="690" w:type="pct"/>
            <w:tcBorders>
              <w:top w:val="nil"/>
              <w:left w:val="nil"/>
              <w:bottom w:val="nil"/>
              <w:right w:val="nil"/>
            </w:tcBorders>
            <w:noWrap/>
            <w:vAlign w:val="center"/>
            <w:hideMark/>
          </w:tcPr>
          <w:p w14:paraId="7A94ADA0" w14:textId="7731AB16"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(137.264)</w:t>
            </w:r>
          </w:p>
        </w:tc>
        <w:tc>
          <w:tcPr>
            <w:tcW w:w="692" w:type="pct"/>
            <w:tcBorders>
              <w:top w:val="nil"/>
              <w:left w:val="nil"/>
              <w:bottom w:val="nil"/>
              <w:right w:val="nil"/>
            </w:tcBorders>
            <w:noWrap/>
            <w:vAlign w:val="center"/>
            <w:hideMark/>
          </w:tcPr>
          <w:p w14:paraId="34D5D7F9" w14:textId="477D6593"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(136.701)</w:t>
            </w:r>
          </w:p>
        </w:tc>
        <w:tc>
          <w:tcPr>
            <w:tcW w:w="691" w:type="pct"/>
            <w:tcBorders>
              <w:top w:val="nil"/>
              <w:left w:val="nil"/>
              <w:bottom w:val="nil"/>
              <w:right w:val="nil"/>
            </w:tcBorders>
            <w:noWrap/>
            <w:vAlign w:val="center"/>
            <w:hideMark/>
          </w:tcPr>
          <w:p w14:paraId="0ACB473F" w14:textId="30AE9889"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(137.274)</w:t>
            </w:r>
          </w:p>
        </w:tc>
        <w:tc>
          <w:tcPr>
            <w:tcW w:w="691" w:type="pct"/>
            <w:tcBorders>
              <w:top w:val="nil"/>
              <w:left w:val="nil"/>
              <w:bottom w:val="nil"/>
              <w:right w:val="nil"/>
            </w:tcBorders>
            <w:noWrap/>
            <w:vAlign w:val="center"/>
            <w:hideMark/>
          </w:tcPr>
          <w:p w14:paraId="337902EB" w14:textId="351E9B55"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(136.701)</w:t>
            </w:r>
          </w:p>
        </w:tc>
      </w:tr>
      <w:tr w:rsidR="00194E96" w:rsidRPr="008E068E" w14:paraId="7F34D01C" w14:textId="77777777" w:rsidTr="00194E96">
        <w:trPr>
          <w:trHeight w:val="288"/>
        </w:trPr>
        <w:tc>
          <w:tcPr>
            <w:tcW w:w="2236" w:type="pct"/>
            <w:tcBorders>
              <w:top w:val="nil"/>
              <w:left w:val="nil"/>
              <w:bottom w:val="nil"/>
              <w:right w:val="nil"/>
            </w:tcBorders>
            <w:vAlign w:val="center"/>
            <w:hideMark/>
          </w:tcPr>
          <w:p w14:paraId="5DAD1B5B" w14:textId="19E780CA" w:rsidR="00194E96" w:rsidRPr="008E068E" w:rsidRDefault="00194E96" w:rsidP="00194E96">
            <w:pPr>
              <w:rPr>
                <w:rFonts w:ascii="CAIXA Std Book" w:eastAsia="Times New Roman" w:hAnsi="CAIXA Std Book" w:cs="Times New Roman"/>
                <w:color w:val="005CA9"/>
                <w:sz w:val="18"/>
                <w:szCs w:val="18"/>
              </w:rPr>
            </w:pPr>
            <w:r>
              <w:rPr>
                <w:rFonts w:ascii="CAIXA Std Book" w:hAnsi="CAIXA Std Book" w:cs="Calibri"/>
                <w:color w:val="005CA9"/>
                <w:sz w:val="18"/>
                <w:szCs w:val="18"/>
              </w:rPr>
              <w:t>Serviços do sistema financeiro</w:t>
            </w:r>
          </w:p>
        </w:tc>
        <w:tc>
          <w:tcPr>
            <w:tcW w:w="690" w:type="pct"/>
            <w:tcBorders>
              <w:top w:val="nil"/>
              <w:left w:val="nil"/>
              <w:bottom w:val="nil"/>
              <w:right w:val="nil"/>
            </w:tcBorders>
            <w:noWrap/>
            <w:vAlign w:val="center"/>
            <w:hideMark/>
          </w:tcPr>
          <w:p w14:paraId="54FF5556" w14:textId="7239E45E"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(122.877)</w:t>
            </w:r>
          </w:p>
        </w:tc>
        <w:tc>
          <w:tcPr>
            <w:tcW w:w="692" w:type="pct"/>
            <w:tcBorders>
              <w:top w:val="nil"/>
              <w:left w:val="nil"/>
              <w:bottom w:val="nil"/>
              <w:right w:val="nil"/>
            </w:tcBorders>
            <w:noWrap/>
            <w:vAlign w:val="center"/>
            <w:hideMark/>
          </w:tcPr>
          <w:p w14:paraId="6279B7EE" w14:textId="31FAD7D8"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(127.987)</w:t>
            </w:r>
          </w:p>
        </w:tc>
        <w:tc>
          <w:tcPr>
            <w:tcW w:w="691" w:type="pct"/>
            <w:tcBorders>
              <w:top w:val="nil"/>
              <w:left w:val="nil"/>
              <w:bottom w:val="nil"/>
              <w:right w:val="nil"/>
            </w:tcBorders>
            <w:noWrap/>
            <w:vAlign w:val="center"/>
            <w:hideMark/>
          </w:tcPr>
          <w:p w14:paraId="729210AE" w14:textId="7F37504F"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(123.316)</w:t>
            </w:r>
          </w:p>
        </w:tc>
        <w:tc>
          <w:tcPr>
            <w:tcW w:w="691" w:type="pct"/>
            <w:tcBorders>
              <w:top w:val="nil"/>
              <w:left w:val="nil"/>
              <w:bottom w:val="nil"/>
              <w:right w:val="nil"/>
            </w:tcBorders>
            <w:noWrap/>
            <w:vAlign w:val="center"/>
            <w:hideMark/>
          </w:tcPr>
          <w:p w14:paraId="6896E0A4" w14:textId="0810D48C"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(128.257)</w:t>
            </w:r>
          </w:p>
        </w:tc>
      </w:tr>
      <w:tr w:rsidR="00194E96" w:rsidRPr="008E068E" w14:paraId="57A5BBFE" w14:textId="77777777" w:rsidTr="00194E96">
        <w:trPr>
          <w:trHeight w:val="288"/>
        </w:trPr>
        <w:tc>
          <w:tcPr>
            <w:tcW w:w="2236" w:type="pct"/>
            <w:tcBorders>
              <w:top w:val="nil"/>
              <w:left w:val="nil"/>
              <w:bottom w:val="nil"/>
              <w:right w:val="nil"/>
            </w:tcBorders>
            <w:vAlign w:val="center"/>
            <w:hideMark/>
          </w:tcPr>
          <w:p w14:paraId="2820CEE4" w14:textId="56D04788" w:rsidR="00194E96" w:rsidRPr="008E068E" w:rsidRDefault="00194E96" w:rsidP="00194E96">
            <w:pPr>
              <w:rPr>
                <w:rFonts w:ascii="CAIXA Std Book" w:eastAsia="Times New Roman" w:hAnsi="CAIXA Std Book" w:cs="Times New Roman"/>
                <w:color w:val="005CA9"/>
                <w:sz w:val="18"/>
                <w:szCs w:val="18"/>
              </w:rPr>
            </w:pPr>
            <w:r>
              <w:rPr>
                <w:rFonts w:ascii="CAIXA Std Book" w:hAnsi="CAIXA Std Book" w:cs="Calibri"/>
                <w:color w:val="005CA9"/>
                <w:sz w:val="18"/>
                <w:szCs w:val="18"/>
              </w:rPr>
              <w:t>Propaganda e publicidade</w:t>
            </w:r>
          </w:p>
        </w:tc>
        <w:tc>
          <w:tcPr>
            <w:tcW w:w="690" w:type="pct"/>
            <w:tcBorders>
              <w:top w:val="nil"/>
              <w:left w:val="nil"/>
              <w:bottom w:val="nil"/>
              <w:right w:val="nil"/>
            </w:tcBorders>
            <w:noWrap/>
            <w:vAlign w:val="center"/>
            <w:hideMark/>
          </w:tcPr>
          <w:p w14:paraId="0DADB91A" w14:textId="08B6BD6E"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(111.505)</w:t>
            </w:r>
          </w:p>
        </w:tc>
        <w:tc>
          <w:tcPr>
            <w:tcW w:w="692" w:type="pct"/>
            <w:tcBorders>
              <w:top w:val="nil"/>
              <w:left w:val="nil"/>
              <w:bottom w:val="nil"/>
              <w:right w:val="nil"/>
            </w:tcBorders>
            <w:noWrap/>
            <w:vAlign w:val="center"/>
            <w:hideMark/>
          </w:tcPr>
          <w:p w14:paraId="5CA2DDBB" w14:textId="658DCBC6"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(81.273)</w:t>
            </w:r>
          </w:p>
        </w:tc>
        <w:tc>
          <w:tcPr>
            <w:tcW w:w="691" w:type="pct"/>
            <w:tcBorders>
              <w:top w:val="nil"/>
              <w:left w:val="nil"/>
              <w:bottom w:val="nil"/>
              <w:right w:val="nil"/>
            </w:tcBorders>
            <w:noWrap/>
            <w:vAlign w:val="center"/>
            <w:hideMark/>
          </w:tcPr>
          <w:p w14:paraId="6F212D1E" w14:textId="0BCF4838"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(112.518)</w:t>
            </w:r>
          </w:p>
        </w:tc>
        <w:tc>
          <w:tcPr>
            <w:tcW w:w="691" w:type="pct"/>
            <w:tcBorders>
              <w:top w:val="nil"/>
              <w:left w:val="nil"/>
              <w:bottom w:val="nil"/>
              <w:right w:val="nil"/>
            </w:tcBorders>
            <w:noWrap/>
            <w:vAlign w:val="center"/>
            <w:hideMark/>
          </w:tcPr>
          <w:p w14:paraId="66CCBE19" w14:textId="2A12454A"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(81.590)</w:t>
            </w:r>
          </w:p>
        </w:tc>
      </w:tr>
      <w:tr w:rsidR="00194E96" w:rsidRPr="008E068E" w14:paraId="78316917" w14:textId="77777777" w:rsidTr="00194E96">
        <w:trPr>
          <w:trHeight w:val="288"/>
        </w:trPr>
        <w:tc>
          <w:tcPr>
            <w:tcW w:w="2236" w:type="pct"/>
            <w:tcBorders>
              <w:top w:val="nil"/>
              <w:left w:val="nil"/>
              <w:bottom w:val="nil"/>
              <w:right w:val="nil"/>
            </w:tcBorders>
            <w:vAlign w:val="center"/>
            <w:hideMark/>
          </w:tcPr>
          <w:p w14:paraId="0C29E33B" w14:textId="1FD62B18" w:rsidR="00194E96" w:rsidRPr="008E068E" w:rsidRDefault="00194E96" w:rsidP="00194E96">
            <w:pPr>
              <w:rPr>
                <w:rFonts w:ascii="CAIXA Std Book" w:eastAsia="Times New Roman" w:hAnsi="CAIXA Std Book" w:cs="Times New Roman"/>
                <w:color w:val="005CA9"/>
                <w:sz w:val="18"/>
                <w:szCs w:val="18"/>
              </w:rPr>
            </w:pPr>
            <w:r>
              <w:rPr>
                <w:rFonts w:ascii="CAIXA Std Book" w:hAnsi="CAIXA Std Book" w:cs="Calibri"/>
                <w:color w:val="005CA9"/>
                <w:sz w:val="18"/>
                <w:szCs w:val="18"/>
              </w:rPr>
              <w:t>Comunicações</w:t>
            </w:r>
          </w:p>
        </w:tc>
        <w:tc>
          <w:tcPr>
            <w:tcW w:w="690" w:type="pct"/>
            <w:tcBorders>
              <w:top w:val="nil"/>
              <w:left w:val="nil"/>
              <w:bottom w:val="nil"/>
              <w:right w:val="nil"/>
            </w:tcBorders>
            <w:noWrap/>
            <w:vAlign w:val="center"/>
            <w:hideMark/>
          </w:tcPr>
          <w:p w14:paraId="3DFF0DC0" w14:textId="19F90386"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(86.158)</w:t>
            </w:r>
          </w:p>
        </w:tc>
        <w:tc>
          <w:tcPr>
            <w:tcW w:w="692" w:type="pct"/>
            <w:tcBorders>
              <w:top w:val="nil"/>
              <w:left w:val="nil"/>
              <w:bottom w:val="nil"/>
              <w:right w:val="nil"/>
            </w:tcBorders>
            <w:noWrap/>
            <w:vAlign w:val="center"/>
            <w:hideMark/>
          </w:tcPr>
          <w:p w14:paraId="7CBF44E1" w14:textId="0108E4C7"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(137.326)</w:t>
            </w:r>
          </w:p>
        </w:tc>
        <w:tc>
          <w:tcPr>
            <w:tcW w:w="691" w:type="pct"/>
            <w:tcBorders>
              <w:top w:val="nil"/>
              <w:left w:val="nil"/>
              <w:bottom w:val="nil"/>
              <w:right w:val="nil"/>
            </w:tcBorders>
            <w:noWrap/>
            <w:vAlign w:val="center"/>
            <w:hideMark/>
          </w:tcPr>
          <w:p w14:paraId="50C26C8A" w14:textId="4D3D6981"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(86.165)</w:t>
            </w:r>
          </w:p>
        </w:tc>
        <w:tc>
          <w:tcPr>
            <w:tcW w:w="691" w:type="pct"/>
            <w:tcBorders>
              <w:top w:val="nil"/>
              <w:left w:val="nil"/>
              <w:bottom w:val="nil"/>
              <w:right w:val="nil"/>
            </w:tcBorders>
            <w:noWrap/>
            <w:vAlign w:val="center"/>
            <w:hideMark/>
          </w:tcPr>
          <w:p w14:paraId="4DCACD43" w14:textId="48055115"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(137.331)</w:t>
            </w:r>
          </w:p>
        </w:tc>
      </w:tr>
      <w:tr w:rsidR="00194E96" w:rsidRPr="008E068E" w14:paraId="0DC4B1AB" w14:textId="77777777" w:rsidTr="00194E96">
        <w:trPr>
          <w:trHeight w:val="288"/>
        </w:trPr>
        <w:tc>
          <w:tcPr>
            <w:tcW w:w="2236" w:type="pct"/>
            <w:tcBorders>
              <w:top w:val="nil"/>
              <w:left w:val="nil"/>
              <w:bottom w:val="nil"/>
              <w:right w:val="nil"/>
            </w:tcBorders>
            <w:noWrap/>
            <w:vAlign w:val="center"/>
            <w:hideMark/>
          </w:tcPr>
          <w:p w14:paraId="1A998AD3" w14:textId="0E4A7CD5" w:rsidR="00194E96" w:rsidRPr="008E068E" w:rsidRDefault="00194E96" w:rsidP="00194E96">
            <w:pPr>
              <w:rPr>
                <w:rFonts w:ascii="CAIXA Std Book" w:eastAsia="Times New Roman" w:hAnsi="CAIXA Std Book" w:cs="Times New Roman"/>
                <w:color w:val="005CA9"/>
                <w:sz w:val="18"/>
                <w:szCs w:val="18"/>
              </w:rPr>
            </w:pPr>
            <w:r>
              <w:rPr>
                <w:rFonts w:ascii="CAIXA Std Book" w:hAnsi="CAIXA Std Book" w:cs="Calibri"/>
                <w:color w:val="005CA9"/>
                <w:sz w:val="18"/>
                <w:szCs w:val="18"/>
              </w:rPr>
              <w:t>Promoções e relações publicas</w:t>
            </w:r>
          </w:p>
        </w:tc>
        <w:tc>
          <w:tcPr>
            <w:tcW w:w="690" w:type="pct"/>
            <w:tcBorders>
              <w:top w:val="nil"/>
              <w:left w:val="nil"/>
              <w:bottom w:val="nil"/>
              <w:right w:val="nil"/>
            </w:tcBorders>
            <w:noWrap/>
            <w:vAlign w:val="center"/>
            <w:hideMark/>
          </w:tcPr>
          <w:p w14:paraId="0F6F70AF" w14:textId="0F04620E"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(48.580)</w:t>
            </w:r>
          </w:p>
        </w:tc>
        <w:tc>
          <w:tcPr>
            <w:tcW w:w="692" w:type="pct"/>
            <w:tcBorders>
              <w:top w:val="nil"/>
              <w:left w:val="nil"/>
              <w:bottom w:val="nil"/>
              <w:right w:val="nil"/>
            </w:tcBorders>
            <w:noWrap/>
            <w:vAlign w:val="center"/>
            <w:hideMark/>
          </w:tcPr>
          <w:p w14:paraId="4142AD9C" w14:textId="36327B3E"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(33.400)</w:t>
            </w:r>
          </w:p>
        </w:tc>
        <w:tc>
          <w:tcPr>
            <w:tcW w:w="691" w:type="pct"/>
            <w:tcBorders>
              <w:top w:val="nil"/>
              <w:left w:val="nil"/>
              <w:bottom w:val="nil"/>
              <w:right w:val="nil"/>
            </w:tcBorders>
            <w:noWrap/>
            <w:vAlign w:val="center"/>
            <w:hideMark/>
          </w:tcPr>
          <w:p w14:paraId="360B10D0" w14:textId="49AED04A"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(48.587)</w:t>
            </w:r>
          </w:p>
        </w:tc>
        <w:tc>
          <w:tcPr>
            <w:tcW w:w="691" w:type="pct"/>
            <w:tcBorders>
              <w:top w:val="nil"/>
              <w:left w:val="nil"/>
              <w:bottom w:val="nil"/>
              <w:right w:val="nil"/>
            </w:tcBorders>
            <w:noWrap/>
            <w:vAlign w:val="center"/>
            <w:hideMark/>
          </w:tcPr>
          <w:p w14:paraId="6190DEEA" w14:textId="52798DC2"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(33.427)</w:t>
            </w:r>
          </w:p>
        </w:tc>
      </w:tr>
      <w:tr w:rsidR="00194E96" w:rsidRPr="008E068E" w14:paraId="7BF34116" w14:textId="77777777" w:rsidTr="00194E96">
        <w:trPr>
          <w:trHeight w:val="288"/>
        </w:trPr>
        <w:tc>
          <w:tcPr>
            <w:tcW w:w="2236" w:type="pct"/>
            <w:tcBorders>
              <w:top w:val="nil"/>
              <w:left w:val="nil"/>
              <w:bottom w:val="nil"/>
              <w:right w:val="nil"/>
            </w:tcBorders>
            <w:noWrap/>
            <w:vAlign w:val="center"/>
            <w:hideMark/>
          </w:tcPr>
          <w:p w14:paraId="4DE0ADDC" w14:textId="634BA54D" w:rsidR="00194E96" w:rsidRPr="008E068E" w:rsidRDefault="00194E96" w:rsidP="00194E96">
            <w:pPr>
              <w:rPr>
                <w:rFonts w:ascii="CAIXA Std Book" w:eastAsia="Times New Roman" w:hAnsi="CAIXA Std Book" w:cs="Times New Roman"/>
                <w:color w:val="005CA9"/>
                <w:sz w:val="18"/>
                <w:szCs w:val="18"/>
              </w:rPr>
            </w:pPr>
            <w:r>
              <w:rPr>
                <w:rFonts w:ascii="CAIXA Std Book" w:hAnsi="CAIXA Std Book" w:cs="Calibri"/>
                <w:color w:val="005CA9"/>
                <w:sz w:val="18"/>
                <w:szCs w:val="18"/>
              </w:rPr>
              <w:t>Material</w:t>
            </w:r>
          </w:p>
        </w:tc>
        <w:tc>
          <w:tcPr>
            <w:tcW w:w="690" w:type="pct"/>
            <w:tcBorders>
              <w:top w:val="nil"/>
              <w:left w:val="nil"/>
              <w:bottom w:val="nil"/>
              <w:right w:val="nil"/>
            </w:tcBorders>
            <w:noWrap/>
            <w:vAlign w:val="center"/>
            <w:hideMark/>
          </w:tcPr>
          <w:p w14:paraId="3F7AA85D" w14:textId="1C403461"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(2.326)</w:t>
            </w:r>
          </w:p>
        </w:tc>
        <w:tc>
          <w:tcPr>
            <w:tcW w:w="692" w:type="pct"/>
            <w:tcBorders>
              <w:top w:val="nil"/>
              <w:left w:val="nil"/>
              <w:bottom w:val="nil"/>
              <w:right w:val="nil"/>
            </w:tcBorders>
            <w:noWrap/>
            <w:vAlign w:val="center"/>
            <w:hideMark/>
          </w:tcPr>
          <w:p w14:paraId="5F99D0A6" w14:textId="66262C1A"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(9.739)</w:t>
            </w:r>
          </w:p>
        </w:tc>
        <w:tc>
          <w:tcPr>
            <w:tcW w:w="691" w:type="pct"/>
            <w:tcBorders>
              <w:top w:val="nil"/>
              <w:left w:val="nil"/>
              <w:bottom w:val="nil"/>
              <w:right w:val="nil"/>
            </w:tcBorders>
            <w:noWrap/>
            <w:vAlign w:val="center"/>
            <w:hideMark/>
          </w:tcPr>
          <w:p w14:paraId="2AE65A7B" w14:textId="6176CA7E"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(2.334)</w:t>
            </w:r>
          </w:p>
        </w:tc>
        <w:tc>
          <w:tcPr>
            <w:tcW w:w="691" w:type="pct"/>
            <w:tcBorders>
              <w:top w:val="nil"/>
              <w:left w:val="nil"/>
              <w:bottom w:val="nil"/>
              <w:right w:val="nil"/>
            </w:tcBorders>
            <w:noWrap/>
            <w:vAlign w:val="center"/>
            <w:hideMark/>
          </w:tcPr>
          <w:p w14:paraId="6229E2EB" w14:textId="254336F1"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(9.744)</w:t>
            </w:r>
          </w:p>
        </w:tc>
      </w:tr>
      <w:tr w:rsidR="00194E96" w:rsidRPr="008E068E" w14:paraId="45A8FC5C" w14:textId="77777777" w:rsidTr="00194E96">
        <w:trPr>
          <w:trHeight w:val="288"/>
        </w:trPr>
        <w:tc>
          <w:tcPr>
            <w:tcW w:w="2236" w:type="pct"/>
            <w:tcBorders>
              <w:top w:val="nil"/>
              <w:left w:val="nil"/>
              <w:bottom w:val="nil"/>
              <w:right w:val="nil"/>
            </w:tcBorders>
            <w:noWrap/>
            <w:vAlign w:val="center"/>
            <w:hideMark/>
          </w:tcPr>
          <w:p w14:paraId="3E14E287" w14:textId="315AE36F" w:rsidR="00194E96" w:rsidRPr="008E068E" w:rsidRDefault="00194E96" w:rsidP="00194E96">
            <w:pPr>
              <w:rPr>
                <w:rFonts w:ascii="CAIXA Std Book" w:eastAsia="Times New Roman" w:hAnsi="CAIXA Std Book" w:cs="Times New Roman"/>
                <w:color w:val="005CA9"/>
                <w:sz w:val="18"/>
                <w:szCs w:val="18"/>
              </w:rPr>
            </w:pPr>
            <w:r>
              <w:rPr>
                <w:rFonts w:ascii="CAIXA Std Book" w:hAnsi="CAIXA Std Book" w:cs="Calibri"/>
                <w:color w:val="005CA9"/>
                <w:sz w:val="18"/>
                <w:szCs w:val="18"/>
              </w:rPr>
              <w:t>Outras</w:t>
            </w:r>
          </w:p>
        </w:tc>
        <w:tc>
          <w:tcPr>
            <w:tcW w:w="690" w:type="pct"/>
            <w:tcBorders>
              <w:top w:val="nil"/>
              <w:left w:val="nil"/>
              <w:bottom w:val="nil"/>
              <w:right w:val="nil"/>
            </w:tcBorders>
            <w:noWrap/>
            <w:vAlign w:val="center"/>
            <w:hideMark/>
          </w:tcPr>
          <w:p w14:paraId="4243207F" w14:textId="1E9F75FF"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(120.835)</w:t>
            </w:r>
          </w:p>
        </w:tc>
        <w:tc>
          <w:tcPr>
            <w:tcW w:w="692" w:type="pct"/>
            <w:tcBorders>
              <w:top w:val="nil"/>
              <w:left w:val="nil"/>
              <w:bottom w:val="nil"/>
              <w:right w:val="nil"/>
            </w:tcBorders>
            <w:noWrap/>
            <w:vAlign w:val="center"/>
            <w:hideMark/>
          </w:tcPr>
          <w:p w14:paraId="24427E9B" w14:textId="667E852F"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(106.964)</w:t>
            </w:r>
          </w:p>
        </w:tc>
        <w:tc>
          <w:tcPr>
            <w:tcW w:w="691" w:type="pct"/>
            <w:tcBorders>
              <w:top w:val="nil"/>
              <w:left w:val="nil"/>
              <w:bottom w:val="nil"/>
              <w:right w:val="nil"/>
            </w:tcBorders>
            <w:noWrap/>
            <w:vAlign w:val="center"/>
            <w:hideMark/>
          </w:tcPr>
          <w:p w14:paraId="25FFCB50" w14:textId="1EC85C34"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(123.995)</w:t>
            </w:r>
          </w:p>
        </w:tc>
        <w:tc>
          <w:tcPr>
            <w:tcW w:w="691" w:type="pct"/>
            <w:tcBorders>
              <w:top w:val="nil"/>
              <w:left w:val="nil"/>
              <w:bottom w:val="nil"/>
              <w:right w:val="nil"/>
            </w:tcBorders>
            <w:noWrap/>
            <w:vAlign w:val="center"/>
            <w:hideMark/>
          </w:tcPr>
          <w:p w14:paraId="61278F15" w14:textId="07860199" w:rsidR="00194E96" w:rsidRPr="008E068E" w:rsidRDefault="00194E96" w:rsidP="00194E96">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(108.374)</w:t>
            </w:r>
          </w:p>
        </w:tc>
      </w:tr>
      <w:tr w:rsidR="00194E96" w:rsidRPr="008E068E" w14:paraId="50AB9A8E" w14:textId="77777777" w:rsidTr="00194E96">
        <w:trPr>
          <w:trHeight w:val="288"/>
        </w:trPr>
        <w:tc>
          <w:tcPr>
            <w:tcW w:w="2236" w:type="pct"/>
            <w:tcBorders>
              <w:top w:val="nil"/>
              <w:left w:val="nil"/>
              <w:bottom w:val="nil"/>
              <w:right w:val="nil"/>
            </w:tcBorders>
            <w:shd w:val="clear" w:color="000000" w:fill="005CA9"/>
            <w:noWrap/>
            <w:vAlign w:val="center"/>
            <w:hideMark/>
          </w:tcPr>
          <w:p w14:paraId="7EE62631" w14:textId="264AE6EA" w:rsidR="00194E96" w:rsidRPr="008E068E" w:rsidRDefault="00194E96" w:rsidP="00194E96">
            <w:pPr>
              <w:rPr>
                <w:rFonts w:ascii="CAIXA Std Book" w:eastAsia="Times New Roman" w:hAnsi="CAIXA Std Book" w:cs="Times New Roman"/>
                <w:b/>
                <w:bCs/>
                <w:color w:val="FFFFFF"/>
                <w:sz w:val="18"/>
                <w:szCs w:val="18"/>
              </w:rPr>
            </w:pPr>
            <w:r>
              <w:rPr>
                <w:rFonts w:ascii="CAIXA Std Book" w:hAnsi="CAIXA Std Book" w:cs="Calibri"/>
                <w:b/>
                <w:bCs/>
                <w:color w:val="FFFFFF"/>
                <w:sz w:val="18"/>
                <w:szCs w:val="18"/>
              </w:rPr>
              <w:t>Total</w:t>
            </w:r>
          </w:p>
        </w:tc>
        <w:tc>
          <w:tcPr>
            <w:tcW w:w="690" w:type="pct"/>
            <w:tcBorders>
              <w:top w:val="nil"/>
              <w:left w:val="nil"/>
              <w:bottom w:val="nil"/>
              <w:right w:val="nil"/>
            </w:tcBorders>
            <w:shd w:val="clear" w:color="000000" w:fill="005CA9"/>
            <w:noWrap/>
            <w:vAlign w:val="center"/>
            <w:hideMark/>
          </w:tcPr>
          <w:p w14:paraId="5E541EA9" w14:textId="3AF801BB" w:rsidR="00194E96" w:rsidRPr="008E068E" w:rsidRDefault="00194E96" w:rsidP="00194E96">
            <w:pPr>
              <w:jc w:val="right"/>
              <w:rPr>
                <w:rFonts w:ascii="CAIXA Std Book" w:eastAsia="Times New Roman" w:hAnsi="CAIXA Std Book" w:cs="Times New Roman"/>
                <w:b/>
                <w:bCs/>
                <w:color w:val="FFFFFF"/>
                <w:sz w:val="18"/>
                <w:szCs w:val="18"/>
              </w:rPr>
            </w:pPr>
            <w:r>
              <w:rPr>
                <w:rFonts w:ascii="CAIXA Std Book" w:hAnsi="CAIXA Std Book" w:cs="Calibri"/>
                <w:b/>
                <w:bCs/>
                <w:color w:val="FFFFFF"/>
                <w:sz w:val="18"/>
                <w:szCs w:val="18"/>
              </w:rPr>
              <w:t>(3.455.406)</w:t>
            </w:r>
          </w:p>
        </w:tc>
        <w:tc>
          <w:tcPr>
            <w:tcW w:w="692" w:type="pct"/>
            <w:tcBorders>
              <w:top w:val="nil"/>
              <w:left w:val="nil"/>
              <w:bottom w:val="nil"/>
              <w:right w:val="nil"/>
            </w:tcBorders>
            <w:shd w:val="clear" w:color="000000" w:fill="005CA9"/>
            <w:noWrap/>
            <w:vAlign w:val="center"/>
            <w:hideMark/>
          </w:tcPr>
          <w:p w14:paraId="5C2912C8" w14:textId="576730C8" w:rsidR="00194E96" w:rsidRPr="008E068E" w:rsidRDefault="00194E96" w:rsidP="00194E96">
            <w:pPr>
              <w:jc w:val="right"/>
              <w:rPr>
                <w:rFonts w:ascii="CAIXA Std Book" w:eastAsia="Times New Roman" w:hAnsi="CAIXA Std Book" w:cs="Times New Roman"/>
                <w:b/>
                <w:bCs/>
                <w:color w:val="FFFFFF"/>
                <w:sz w:val="18"/>
                <w:szCs w:val="18"/>
              </w:rPr>
            </w:pPr>
            <w:r>
              <w:rPr>
                <w:rFonts w:ascii="CAIXA Std Book" w:hAnsi="CAIXA Std Book" w:cs="Calibri"/>
                <w:b/>
                <w:bCs/>
                <w:color w:val="FFFFFF"/>
                <w:sz w:val="18"/>
                <w:szCs w:val="18"/>
              </w:rPr>
              <w:t>(3.289.562)</w:t>
            </w:r>
          </w:p>
        </w:tc>
        <w:tc>
          <w:tcPr>
            <w:tcW w:w="691" w:type="pct"/>
            <w:tcBorders>
              <w:top w:val="nil"/>
              <w:left w:val="nil"/>
              <w:bottom w:val="nil"/>
              <w:right w:val="nil"/>
            </w:tcBorders>
            <w:shd w:val="clear" w:color="000000" w:fill="005CA9"/>
            <w:noWrap/>
            <w:vAlign w:val="center"/>
            <w:hideMark/>
          </w:tcPr>
          <w:p w14:paraId="2EC2773F" w14:textId="2CC75E4C" w:rsidR="00194E96" w:rsidRPr="008E068E" w:rsidRDefault="00194E96" w:rsidP="00194E96">
            <w:pPr>
              <w:jc w:val="right"/>
              <w:rPr>
                <w:rFonts w:ascii="CAIXA Std Book" w:eastAsia="Times New Roman" w:hAnsi="CAIXA Std Book" w:cs="Times New Roman"/>
                <w:b/>
                <w:bCs/>
                <w:color w:val="FFFFFF"/>
                <w:sz w:val="18"/>
                <w:szCs w:val="18"/>
              </w:rPr>
            </w:pPr>
            <w:r>
              <w:rPr>
                <w:rFonts w:ascii="CAIXA Std Book" w:hAnsi="CAIXA Std Book" w:cs="Calibri"/>
                <w:b/>
                <w:bCs/>
                <w:color w:val="FFFFFF"/>
                <w:sz w:val="18"/>
                <w:szCs w:val="18"/>
              </w:rPr>
              <w:t>(3.493.425)</w:t>
            </w:r>
          </w:p>
        </w:tc>
        <w:tc>
          <w:tcPr>
            <w:tcW w:w="691" w:type="pct"/>
            <w:tcBorders>
              <w:top w:val="nil"/>
              <w:left w:val="nil"/>
              <w:bottom w:val="nil"/>
              <w:right w:val="nil"/>
            </w:tcBorders>
            <w:shd w:val="clear" w:color="000000" w:fill="005CA9"/>
            <w:noWrap/>
            <w:vAlign w:val="center"/>
            <w:hideMark/>
          </w:tcPr>
          <w:p w14:paraId="756577A3" w14:textId="777943D3" w:rsidR="00194E96" w:rsidRPr="008E068E" w:rsidRDefault="00194E96" w:rsidP="00194E96">
            <w:pPr>
              <w:jc w:val="right"/>
              <w:rPr>
                <w:rFonts w:ascii="CAIXA Std Book" w:eastAsia="Times New Roman" w:hAnsi="CAIXA Std Book" w:cs="Times New Roman"/>
                <w:b/>
                <w:bCs/>
                <w:color w:val="FFFFFF"/>
                <w:sz w:val="18"/>
                <w:szCs w:val="18"/>
              </w:rPr>
            </w:pPr>
            <w:r>
              <w:rPr>
                <w:rFonts w:ascii="CAIXA Std Book" w:hAnsi="CAIXA Std Book" w:cs="Calibri"/>
                <w:b/>
                <w:bCs/>
                <w:color w:val="FFFFFF"/>
                <w:sz w:val="18"/>
                <w:szCs w:val="18"/>
              </w:rPr>
              <w:t>(3.304.695)</w:t>
            </w:r>
          </w:p>
        </w:tc>
      </w:tr>
    </w:tbl>
    <w:p w14:paraId="6763F02D" w14:textId="14AD7462" w:rsidR="00354FC7" w:rsidRDefault="00354FC7" w:rsidP="00B735D2">
      <w:pPr>
        <w:pStyle w:val="Ttulo1"/>
      </w:pPr>
      <w:bookmarkStart w:id="149" w:name="_Toc229588503"/>
      <w:r w:rsidRPr="00E95E29">
        <w:t xml:space="preserve">Nota   </w:t>
      </w:r>
      <w:r w:rsidR="00C05471" w:rsidRPr="00E95E29">
        <w:t>2</w:t>
      </w:r>
      <w:r w:rsidR="00EF04CD">
        <w:t>7</w:t>
      </w:r>
      <w:r w:rsidRPr="00E95E29">
        <w:t xml:space="preserve"> – </w:t>
      </w:r>
      <w:r w:rsidR="005A7588" w:rsidRPr="00E95E29">
        <w:t>Despesas tributárias</w:t>
      </w:r>
      <w:bookmarkEnd w:id="147"/>
      <w:bookmarkEnd w:id="149"/>
    </w:p>
    <w:tbl>
      <w:tblPr>
        <w:tblW w:w="5000" w:type="pct"/>
        <w:tblCellMar>
          <w:left w:w="70" w:type="dxa"/>
          <w:right w:w="70" w:type="dxa"/>
        </w:tblCellMar>
        <w:tblLook w:val="04A0" w:firstRow="1" w:lastRow="0" w:firstColumn="1" w:lastColumn="0" w:noHBand="0" w:noVBand="1"/>
      </w:tblPr>
      <w:tblGrid>
        <w:gridCol w:w="4300"/>
        <w:gridCol w:w="1334"/>
        <w:gridCol w:w="1334"/>
        <w:gridCol w:w="1334"/>
        <w:gridCol w:w="1336"/>
      </w:tblGrid>
      <w:tr w:rsidR="00956E1F" w:rsidRPr="00956E1F" w14:paraId="6E6C50EA" w14:textId="77777777" w:rsidTr="0042033B">
        <w:trPr>
          <w:trHeight w:val="283"/>
        </w:trPr>
        <w:tc>
          <w:tcPr>
            <w:tcW w:w="2231" w:type="pct"/>
            <w:vMerge w:val="restart"/>
            <w:tcBorders>
              <w:top w:val="nil"/>
              <w:left w:val="nil"/>
              <w:bottom w:val="nil"/>
              <w:right w:val="nil"/>
            </w:tcBorders>
            <w:shd w:val="clear" w:color="000000" w:fill="005CA9"/>
            <w:vAlign w:val="center"/>
            <w:hideMark/>
          </w:tcPr>
          <w:p w14:paraId="351BB4E8" w14:textId="77777777" w:rsidR="00956E1F" w:rsidRPr="00956E1F" w:rsidRDefault="00956E1F" w:rsidP="00956E1F">
            <w:pPr>
              <w:jc w:val="center"/>
              <w:rPr>
                <w:rFonts w:ascii="CAIXA Std Book" w:eastAsia="Times New Roman" w:hAnsi="CAIXA Std Book" w:cs="Times New Roman"/>
                <w:b/>
                <w:bCs/>
                <w:color w:val="FFFFFF"/>
                <w:sz w:val="18"/>
                <w:szCs w:val="18"/>
              </w:rPr>
            </w:pPr>
            <w:r w:rsidRPr="00956E1F">
              <w:rPr>
                <w:rFonts w:ascii="CAIXA Std Book" w:eastAsia="Times New Roman" w:hAnsi="CAIXA Std Book" w:cs="Times New Roman"/>
                <w:b/>
                <w:bCs/>
                <w:color w:val="FFFFFF"/>
                <w:sz w:val="18"/>
                <w:szCs w:val="18"/>
              </w:rPr>
              <w:t>Descrição</w:t>
            </w:r>
          </w:p>
        </w:tc>
        <w:tc>
          <w:tcPr>
            <w:tcW w:w="1384" w:type="pct"/>
            <w:gridSpan w:val="2"/>
            <w:tcBorders>
              <w:top w:val="nil"/>
              <w:left w:val="nil"/>
              <w:bottom w:val="single" w:sz="4" w:space="0" w:color="FFFFFF" w:themeColor="background1"/>
              <w:right w:val="nil"/>
            </w:tcBorders>
            <w:shd w:val="clear" w:color="000000" w:fill="005CA9"/>
            <w:noWrap/>
            <w:vAlign w:val="center"/>
            <w:hideMark/>
          </w:tcPr>
          <w:p w14:paraId="02F7FEE7" w14:textId="77777777" w:rsidR="00956E1F" w:rsidRPr="00956E1F" w:rsidRDefault="00956E1F" w:rsidP="00956E1F">
            <w:pPr>
              <w:jc w:val="center"/>
              <w:rPr>
                <w:rFonts w:ascii="CAIXA Std Book" w:eastAsia="Times New Roman" w:hAnsi="CAIXA Std Book" w:cs="Times New Roman"/>
                <w:b/>
                <w:bCs/>
                <w:color w:val="FFFFFF"/>
                <w:sz w:val="18"/>
                <w:szCs w:val="18"/>
              </w:rPr>
            </w:pPr>
            <w:r w:rsidRPr="00956E1F">
              <w:rPr>
                <w:rFonts w:ascii="CAIXA Std Book" w:eastAsia="Times New Roman" w:hAnsi="CAIXA Std Book" w:cs="Times New Roman"/>
                <w:b/>
                <w:bCs/>
                <w:color w:val="FFFFFF"/>
                <w:sz w:val="18"/>
                <w:szCs w:val="18"/>
              </w:rPr>
              <w:t>Individual</w:t>
            </w:r>
          </w:p>
        </w:tc>
        <w:tc>
          <w:tcPr>
            <w:tcW w:w="1385" w:type="pct"/>
            <w:gridSpan w:val="2"/>
            <w:tcBorders>
              <w:top w:val="nil"/>
              <w:left w:val="nil"/>
              <w:bottom w:val="single" w:sz="4" w:space="0" w:color="FFFFFF" w:themeColor="background1"/>
              <w:right w:val="nil"/>
            </w:tcBorders>
            <w:shd w:val="clear" w:color="000000" w:fill="005CA9"/>
            <w:noWrap/>
            <w:vAlign w:val="center"/>
            <w:hideMark/>
          </w:tcPr>
          <w:p w14:paraId="7EFA967E" w14:textId="77777777" w:rsidR="00956E1F" w:rsidRPr="00956E1F" w:rsidRDefault="00956E1F" w:rsidP="00956E1F">
            <w:pPr>
              <w:jc w:val="center"/>
              <w:rPr>
                <w:rFonts w:ascii="CAIXA Std Book" w:eastAsia="Times New Roman" w:hAnsi="CAIXA Std Book" w:cs="Times New Roman"/>
                <w:b/>
                <w:bCs/>
                <w:color w:val="FFFFFF"/>
                <w:sz w:val="18"/>
                <w:szCs w:val="18"/>
              </w:rPr>
            </w:pPr>
            <w:r w:rsidRPr="00956E1F">
              <w:rPr>
                <w:rFonts w:ascii="CAIXA Std Book" w:eastAsia="Times New Roman" w:hAnsi="CAIXA Std Book" w:cs="Times New Roman"/>
                <w:b/>
                <w:bCs/>
                <w:color w:val="FFFFFF"/>
                <w:sz w:val="18"/>
                <w:szCs w:val="18"/>
              </w:rPr>
              <w:t>Consolidado</w:t>
            </w:r>
          </w:p>
        </w:tc>
      </w:tr>
      <w:tr w:rsidR="00956E1F" w:rsidRPr="00956E1F" w14:paraId="15A3FF52" w14:textId="77777777" w:rsidTr="0042033B">
        <w:trPr>
          <w:trHeight w:val="283"/>
        </w:trPr>
        <w:tc>
          <w:tcPr>
            <w:tcW w:w="2231" w:type="pct"/>
            <w:vMerge/>
            <w:tcBorders>
              <w:top w:val="nil"/>
              <w:left w:val="nil"/>
              <w:bottom w:val="nil"/>
              <w:right w:val="nil"/>
            </w:tcBorders>
            <w:vAlign w:val="center"/>
            <w:hideMark/>
          </w:tcPr>
          <w:p w14:paraId="4C691C90" w14:textId="77777777" w:rsidR="00956E1F" w:rsidRPr="00956E1F" w:rsidRDefault="00956E1F" w:rsidP="00956E1F">
            <w:pPr>
              <w:rPr>
                <w:rFonts w:ascii="CAIXA Std Book" w:eastAsia="Times New Roman" w:hAnsi="CAIXA Std Book" w:cs="Times New Roman"/>
                <w:b/>
                <w:bCs/>
                <w:color w:val="FFFFFF"/>
                <w:sz w:val="18"/>
                <w:szCs w:val="18"/>
              </w:rPr>
            </w:pPr>
          </w:p>
        </w:tc>
        <w:tc>
          <w:tcPr>
            <w:tcW w:w="692" w:type="pct"/>
            <w:tcBorders>
              <w:top w:val="single" w:sz="4" w:space="0" w:color="FFFFFF" w:themeColor="background1"/>
              <w:left w:val="nil"/>
              <w:bottom w:val="single" w:sz="4" w:space="0" w:color="FFFFFF" w:themeColor="background1"/>
              <w:right w:val="nil"/>
            </w:tcBorders>
            <w:shd w:val="clear" w:color="000000" w:fill="005CA9"/>
            <w:vAlign w:val="center"/>
            <w:hideMark/>
          </w:tcPr>
          <w:p w14:paraId="7779AE61" w14:textId="77777777" w:rsidR="00956E1F" w:rsidRPr="00956E1F" w:rsidRDefault="00956E1F" w:rsidP="00956E1F">
            <w:pPr>
              <w:jc w:val="center"/>
              <w:rPr>
                <w:rFonts w:ascii="CAIXA Std Book" w:eastAsia="Times New Roman" w:hAnsi="CAIXA Std Book" w:cs="Times New Roman"/>
                <w:b/>
                <w:bCs/>
                <w:color w:val="FFFFFF"/>
                <w:sz w:val="18"/>
                <w:szCs w:val="18"/>
              </w:rPr>
            </w:pPr>
            <w:r w:rsidRPr="00956E1F">
              <w:rPr>
                <w:rFonts w:ascii="CAIXA Std Book" w:eastAsia="Times New Roman" w:hAnsi="CAIXA Std Book" w:cs="Times New Roman"/>
                <w:b/>
                <w:bCs/>
                <w:color w:val="FFFFFF"/>
                <w:sz w:val="18"/>
                <w:szCs w:val="18"/>
              </w:rPr>
              <w:t>2026</w:t>
            </w:r>
          </w:p>
        </w:tc>
        <w:tc>
          <w:tcPr>
            <w:tcW w:w="692" w:type="pct"/>
            <w:tcBorders>
              <w:top w:val="single" w:sz="4" w:space="0" w:color="FFFFFF" w:themeColor="background1"/>
              <w:left w:val="nil"/>
              <w:bottom w:val="single" w:sz="4" w:space="0" w:color="FFFFFF" w:themeColor="background1"/>
              <w:right w:val="nil"/>
            </w:tcBorders>
            <w:shd w:val="clear" w:color="000000" w:fill="005CA9"/>
            <w:vAlign w:val="center"/>
            <w:hideMark/>
          </w:tcPr>
          <w:p w14:paraId="1223B8ED" w14:textId="77777777" w:rsidR="00956E1F" w:rsidRPr="00956E1F" w:rsidRDefault="00956E1F" w:rsidP="00956E1F">
            <w:pPr>
              <w:jc w:val="center"/>
              <w:rPr>
                <w:rFonts w:ascii="CAIXA Std Book" w:eastAsia="Times New Roman" w:hAnsi="CAIXA Std Book" w:cs="Times New Roman"/>
                <w:b/>
                <w:bCs/>
                <w:color w:val="FFFFFF"/>
                <w:sz w:val="18"/>
                <w:szCs w:val="18"/>
              </w:rPr>
            </w:pPr>
            <w:r w:rsidRPr="00956E1F">
              <w:rPr>
                <w:rFonts w:ascii="CAIXA Std Book" w:eastAsia="Times New Roman" w:hAnsi="CAIXA Std Book" w:cs="Times New Roman"/>
                <w:b/>
                <w:bCs/>
                <w:color w:val="FFFFFF"/>
                <w:sz w:val="18"/>
                <w:szCs w:val="18"/>
              </w:rPr>
              <w:t>2025</w:t>
            </w:r>
          </w:p>
        </w:tc>
        <w:tc>
          <w:tcPr>
            <w:tcW w:w="692" w:type="pct"/>
            <w:tcBorders>
              <w:top w:val="single" w:sz="4" w:space="0" w:color="FFFFFF" w:themeColor="background1"/>
              <w:left w:val="nil"/>
              <w:bottom w:val="single" w:sz="4" w:space="0" w:color="FFFFFF" w:themeColor="background1"/>
              <w:right w:val="nil"/>
            </w:tcBorders>
            <w:shd w:val="clear" w:color="000000" w:fill="005CA9"/>
            <w:vAlign w:val="center"/>
            <w:hideMark/>
          </w:tcPr>
          <w:p w14:paraId="7F7A0EF8" w14:textId="77777777" w:rsidR="00956E1F" w:rsidRPr="00956E1F" w:rsidRDefault="00956E1F" w:rsidP="00956E1F">
            <w:pPr>
              <w:jc w:val="center"/>
              <w:rPr>
                <w:rFonts w:ascii="CAIXA Std Book" w:eastAsia="Times New Roman" w:hAnsi="CAIXA Std Book" w:cs="Times New Roman"/>
                <w:b/>
                <w:bCs/>
                <w:color w:val="FFFFFF"/>
                <w:sz w:val="18"/>
                <w:szCs w:val="18"/>
              </w:rPr>
            </w:pPr>
            <w:r w:rsidRPr="00956E1F">
              <w:rPr>
                <w:rFonts w:ascii="CAIXA Std Book" w:eastAsia="Times New Roman" w:hAnsi="CAIXA Std Book" w:cs="Times New Roman"/>
                <w:b/>
                <w:bCs/>
                <w:color w:val="FFFFFF"/>
                <w:sz w:val="18"/>
                <w:szCs w:val="18"/>
              </w:rPr>
              <w:t>2026</w:t>
            </w:r>
          </w:p>
        </w:tc>
        <w:tc>
          <w:tcPr>
            <w:tcW w:w="693" w:type="pct"/>
            <w:tcBorders>
              <w:top w:val="single" w:sz="4" w:space="0" w:color="FFFFFF" w:themeColor="background1"/>
              <w:left w:val="nil"/>
              <w:bottom w:val="single" w:sz="4" w:space="0" w:color="FFFFFF" w:themeColor="background1"/>
              <w:right w:val="nil"/>
            </w:tcBorders>
            <w:shd w:val="clear" w:color="000000" w:fill="005CA9"/>
            <w:vAlign w:val="center"/>
            <w:hideMark/>
          </w:tcPr>
          <w:p w14:paraId="089D4D1D" w14:textId="77777777" w:rsidR="00956E1F" w:rsidRPr="00956E1F" w:rsidRDefault="00956E1F" w:rsidP="00956E1F">
            <w:pPr>
              <w:jc w:val="center"/>
              <w:rPr>
                <w:rFonts w:ascii="CAIXA Std Book" w:eastAsia="Times New Roman" w:hAnsi="CAIXA Std Book" w:cs="Times New Roman"/>
                <w:b/>
                <w:bCs/>
                <w:color w:val="FFFFFF"/>
                <w:sz w:val="18"/>
                <w:szCs w:val="18"/>
              </w:rPr>
            </w:pPr>
            <w:r w:rsidRPr="00956E1F">
              <w:rPr>
                <w:rFonts w:ascii="CAIXA Std Book" w:eastAsia="Times New Roman" w:hAnsi="CAIXA Std Book" w:cs="Times New Roman"/>
                <w:b/>
                <w:bCs/>
                <w:color w:val="FFFFFF"/>
                <w:sz w:val="18"/>
                <w:szCs w:val="18"/>
              </w:rPr>
              <w:t>2025</w:t>
            </w:r>
          </w:p>
        </w:tc>
      </w:tr>
      <w:tr w:rsidR="00956E1F" w:rsidRPr="00956E1F" w14:paraId="014FE9CE" w14:textId="77777777" w:rsidTr="0042033B">
        <w:trPr>
          <w:trHeight w:val="283"/>
        </w:trPr>
        <w:tc>
          <w:tcPr>
            <w:tcW w:w="2231" w:type="pct"/>
            <w:vMerge/>
            <w:tcBorders>
              <w:top w:val="nil"/>
              <w:left w:val="nil"/>
              <w:bottom w:val="nil"/>
              <w:right w:val="nil"/>
            </w:tcBorders>
            <w:vAlign w:val="center"/>
            <w:hideMark/>
          </w:tcPr>
          <w:p w14:paraId="4F869F97" w14:textId="77777777" w:rsidR="00956E1F" w:rsidRPr="00956E1F" w:rsidRDefault="00956E1F" w:rsidP="00956E1F">
            <w:pPr>
              <w:rPr>
                <w:rFonts w:ascii="CAIXA Std Book" w:eastAsia="Times New Roman" w:hAnsi="CAIXA Std Book" w:cs="Times New Roman"/>
                <w:b/>
                <w:bCs/>
                <w:color w:val="FFFFFF"/>
                <w:sz w:val="18"/>
                <w:szCs w:val="18"/>
              </w:rPr>
            </w:pPr>
          </w:p>
        </w:tc>
        <w:tc>
          <w:tcPr>
            <w:tcW w:w="692" w:type="pct"/>
            <w:tcBorders>
              <w:top w:val="single" w:sz="4" w:space="0" w:color="FFFFFF" w:themeColor="background1"/>
              <w:left w:val="nil"/>
              <w:bottom w:val="nil"/>
              <w:right w:val="nil"/>
            </w:tcBorders>
            <w:shd w:val="clear" w:color="000000" w:fill="005CA9"/>
            <w:vAlign w:val="center"/>
            <w:hideMark/>
          </w:tcPr>
          <w:p w14:paraId="7AA54389" w14:textId="77777777" w:rsidR="00956E1F" w:rsidRPr="00956E1F" w:rsidRDefault="00956E1F" w:rsidP="00956E1F">
            <w:pPr>
              <w:jc w:val="center"/>
              <w:rPr>
                <w:rFonts w:ascii="CAIXA Std Book" w:eastAsia="Times New Roman" w:hAnsi="CAIXA Std Book" w:cs="Times New Roman"/>
                <w:b/>
                <w:bCs/>
                <w:color w:val="FFFFFF"/>
                <w:sz w:val="18"/>
                <w:szCs w:val="18"/>
              </w:rPr>
            </w:pPr>
            <w:r w:rsidRPr="00956E1F">
              <w:rPr>
                <w:rFonts w:ascii="CAIXA Std Book" w:eastAsia="Times New Roman" w:hAnsi="CAIXA Std Book" w:cs="Times New Roman"/>
                <w:b/>
                <w:bCs/>
                <w:color w:val="FFFFFF"/>
                <w:sz w:val="18"/>
                <w:szCs w:val="18"/>
              </w:rPr>
              <w:t>1º trimestre</w:t>
            </w:r>
          </w:p>
        </w:tc>
        <w:tc>
          <w:tcPr>
            <w:tcW w:w="692" w:type="pct"/>
            <w:tcBorders>
              <w:top w:val="single" w:sz="4" w:space="0" w:color="FFFFFF" w:themeColor="background1"/>
              <w:left w:val="nil"/>
              <w:bottom w:val="nil"/>
              <w:right w:val="nil"/>
            </w:tcBorders>
            <w:shd w:val="clear" w:color="000000" w:fill="005CA9"/>
            <w:vAlign w:val="center"/>
            <w:hideMark/>
          </w:tcPr>
          <w:p w14:paraId="311CDD40" w14:textId="77777777" w:rsidR="00956E1F" w:rsidRPr="00956E1F" w:rsidRDefault="00956E1F" w:rsidP="00956E1F">
            <w:pPr>
              <w:jc w:val="center"/>
              <w:rPr>
                <w:rFonts w:ascii="CAIXA Std Book" w:eastAsia="Times New Roman" w:hAnsi="CAIXA Std Book" w:cs="Times New Roman"/>
                <w:b/>
                <w:bCs/>
                <w:color w:val="FFFFFF"/>
                <w:sz w:val="18"/>
                <w:szCs w:val="18"/>
              </w:rPr>
            </w:pPr>
            <w:r w:rsidRPr="00956E1F">
              <w:rPr>
                <w:rFonts w:ascii="CAIXA Std Book" w:eastAsia="Times New Roman" w:hAnsi="CAIXA Std Book" w:cs="Times New Roman"/>
                <w:b/>
                <w:bCs/>
                <w:color w:val="FFFFFF"/>
                <w:sz w:val="18"/>
                <w:szCs w:val="18"/>
              </w:rPr>
              <w:t>1º trimestre</w:t>
            </w:r>
          </w:p>
        </w:tc>
        <w:tc>
          <w:tcPr>
            <w:tcW w:w="692" w:type="pct"/>
            <w:tcBorders>
              <w:top w:val="single" w:sz="4" w:space="0" w:color="FFFFFF" w:themeColor="background1"/>
              <w:left w:val="nil"/>
              <w:bottom w:val="nil"/>
              <w:right w:val="nil"/>
            </w:tcBorders>
            <w:shd w:val="clear" w:color="000000" w:fill="005CA9"/>
            <w:vAlign w:val="center"/>
            <w:hideMark/>
          </w:tcPr>
          <w:p w14:paraId="3B60AB1B" w14:textId="77777777" w:rsidR="00956E1F" w:rsidRPr="00956E1F" w:rsidRDefault="00956E1F" w:rsidP="00956E1F">
            <w:pPr>
              <w:jc w:val="center"/>
              <w:rPr>
                <w:rFonts w:ascii="CAIXA Std Book" w:eastAsia="Times New Roman" w:hAnsi="CAIXA Std Book" w:cs="Times New Roman"/>
                <w:b/>
                <w:bCs/>
                <w:color w:val="FFFFFF"/>
                <w:sz w:val="18"/>
                <w:szCs w:val="18"/>
              </w:rPr>
            </w:pPr>
            <w:r w:rsidRPr="00956E1F">
              <w:rPr>
                <w:rFonts w:ascii="CAIXA Std Book" w:eastAsia="Times New Roman" w:hAnsi="CAIXA Std Book" w:cs="Times New Roman"/>
                <w:b/>
                <w:bCs/>
                <w:color w:val="FFFFFF"/>
                <w:sz w:val="18"/>
                <w:szCs w:val="18"/>
              </w:rPr>
              <w:t>1º trimestre</w:t>
            </w:r>
          </w:p>
        </w:tc>
        <w:tc>
          <w:tcPr>
            <w:tcW w:w="693" w:type="pct"/>
            <w:tcBorders>
              <w:top w:val="single" w:sz="4" w:space="0" w:color="FFFFFF" w:themeColor="background1"/>
              <w:left w:val="nil"/>
              <w:bottom w:val="nil"/>
              <w:right w:val="nil"/>
            </w:tcBorders>
            <w:shd w:val="clear" w:color="000000" w:fill="005CA9"/>
            <w:vAlign w:val="center"/>
            <w:hideMark/>
          </w:tcPr>
          <w:p w14:paraId="0690EFE5" w14:textId="77777777" w:rsidR="00956E1F" w:rsidRPr="00956E1F" w:rsidRDefault="00956E1F" w:rsidP="00956E1F">
            <w:pPr>
              <w:jc w:val="center"/>
              <w:rPr>
                <w:rFonts w:ascii="CAIXA Std Book" w:eastAsia="Times New Roman" w:hAnsi="CAIXA Std Book" w:cs="Times New Roman"/>
                <w:b/>
                <w:bCs/>
                <w:color w:val="FFFFFF"/>
                <w:sz w:val="18"/>
                <w:szCs w:val="18"/>
              </w:rPr>
            </w:pPr>
            <w:r w:rsidRPr="00956E1F">
              <w:rPr>
                <w:rFonts w:ascii="CAIXA Std Book" w:eastAsia="Times New Roman" w:hAnsi="CAIXA Std Book" w:cs="Times New Roman"/>
                <w:b/>
                <w:bCs/>
                <w:color w:val="FFFFFF"/>
                <w:sz w:val="18"/>
                <w:szCs w:val="18"/>
              </w:rPr>
              <w:t>1º trimestre</w:t>
            </w:r>
          </w:p>
        </w:tc>
      </w:tr>
      <w:tr w:rsidR="00C07FB4" w:rsidRPr="00956E1F" w14:paraId="54833CD4" w14:textId="77777777" w:rsidTr="00C07FB4">
        <w:trPr>
          <w:trHeight w:val="283"/>
        </w:trPr>
        <w:tc>
          <w:tcPr>
            <w:tcW w:w="2231" w:type="pct"/>
            <w:tcBorders>
              <w:top w:val="nil"/>
              <w:left w:val="nil"/>
              <w:bottom w:val="nil"/>
              <w:right w:val="nil"/>
            </w:tcBorders>
            <w:vAlign w:val="center"/>
            <w:hideMark/>
          </w:tcPr>
          <w:p w14:paraId="71C92D7E" w14:textId="77777777" w:rsidR="00C07FB4" w:rsidRPr="00956E1F" w:rsidRDefault="00C07FB4" w:rsidP="00C07FB4">
            <w:pPr>
              <w:rPr>
                <w:rFonts w:ascii="CAIXA Std Book" w:eastAsia="Times New Roman" w:hAnsi="CAIXA Std Book" w:cs="Times New Roman"/>
                <w:color w:val="005CA9"/>
                <w:sz w:val="18"/>
                <w:szCs w:val="18"/>
              </w:rPr>
            </w:pPr>
            <w:r w:rsidRPr="00956E1F">
              <w:rPr>
                <w:rFonts w:ascii="CAIXA Std Book" w:eastAsia="Times New Roman" w:hAnsi="CAIXA Std Book" w:cs="Times New Roman"/>
                <w:color w:val="005CA9"/>
                <w:sz w:val="18"/>
                <w:szCs w:val="18"/>
              </w:rPr>
              <w:t>COFINS</w:t>
            </w:r>
          </w:p>
        </w:tc>
        <w:tc>
          <w:tcPr>
            <w:tcW w:w="692" w:type="pct"/>
            <w:tcBorders>
              <w:top w:val="nil"/>
              <w:left w:val="nil"/>
              <w:bottom w:val="nil"/>
              <w:right w:val="nil"/>
            </w:tcBorders>
            <w:noWrap/>
            <w:vAlign w:val="center"/>
            <w:hideMark/>
          </w:tcPr>
          <w:p w14:paraId="4DE33AAD" w14:textId="547CD743" w:rsidR="00C07FB4" w:rsidRPr="00956E1F" w:rsidRDefault="00C07FB4" w:rsidP="00C07FB4">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(755.821)</w:t>
            </w:r>
          </w:p>
        </w:tc>
        <w:tc>
          <w:tcPr>
            <w:tcW w:w="692" w:type="pct"/>
            <w:tcBorders>
              <w:top w:val="nil"/>
              <w:left w:val="nil"/>
              <w:bottom w:val="nil"/>
              <w:right w:val="nil"/>
            </w:tcBorders>
            <w:noWrap/>
            <w:vAlign w:val="center"/>
            <w:hideMark/>
          </w:tcPr>
          <w:p w14:paraId="214EE6A0" w14:textId="3C6AC0AC" w:rsidR="00C07FB4" w:rsidRPr="00956E1F" w:rsidRDefault="00C07FB4" w:rsidP="00C07FB4">
            <w:pPr>
              <w:jc w:val="right"/>
              <w:rPr>
                <w:rFonts w:ascii="CAIXA Std Book" w:eastAsia="Times New Roman" w:hAnsi="CAIXA Std Book" w:cs="Times New Roman"/>
                <w:color w:val="005CA9"/>
                <w:sz w:val="18"/>
                <w:szCs w:val="18"/>
              </w:rPr>
            </w:pPr>
            <w:r>
              <w:rPr>
                <w:rFonts w:ascii="CAIXA Std Book" w:eastAsia="Times New Roman" w:hAnsi="CAIXA Std Book" w:cs="Times New Roman"/>
                <w:color w:val="005CA9"/>
                <w:sz w:val="18"/>
                <w:szCs w:val="18"/>
              </w:rPr>
              <w:t>(</w:t>
            </w:r>
            <w:r w:rsidRPr="00956E1F">
              <w:rPr>
                <w:rFonts w:ascii="CAIXA Std Book" w:eastAsia="Times New Roman" w:hAnsi="CAIXA Std Book" w:cs="Times New Roman"/>
                <w:color w:val="005CA9"/>
                <w:sz w:val="18"/>
                <w:szCs w:val="18"/>
              </w:rPr>
              <w:t>683.599</w:t>
            </w:r>
            <w:r>
              <w:rPr>
                <w:rFonts w:ascii="CAIXA Std Book" w:eastAsia="Times New Roman" w:hAnsi="CAIXA Std Book" w:cs="Times New Roman"/>
                <w:color w:val="005CA9"/>
                <w:sz w:val="18"/>
                <w:szCs w:val="18"/>
              </w:rPr>
              <w:t>)</w:t>
            </w:r>
          </w:p>
        </w:tc>
        <w:tc>
          <w:tcPr>
            <w:tcW w:w="692" w:type="pct"/>
            <w:tcBorders>
              <w:top w:val="nil"/>
              <w:left w:val="nil"/>
              <w:bottom w:val="nil"/>
              <w:right w:val="nil"/>
            </w:tcBorders>
            <w:noWrap/>
            <w:vAlign w:val="center"/>
            <w:hideMark/>
          </w:tcPr>
          <w:p w14:paraId="6AF2518D" w14:textId="4FC8EF56" w:rsidR="00C07FB4" w:rsidRPr="00956E1F" w:rsidRDefault="00C07FB4" w:rsidP="00C07FB4">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(927.397)</w:t>
            </w:r>
          </w:p>
        </w:tc>
        <w:tc>
          <w:tcPr>
            <w:tcW w:w="693" w:type="pct"/>
            <w:tcBorders>
              <w:top w:val="nil"/>
              <w:left w:val="nil"/>
              <w:bottom w:val="nil"/>
              <w:right w:val="nil"/>
            </w:tcBorders>
            <w:noWrap/>
            <w:vAlign w:val="center"/>
            <w:hideMark/>
          </w:tcPr>
          <w:p w14:paraId="6D2F8EB9" w14:textId="0F864189" w:rsidR="00C07FB4" w:rsidRPr="00956E1F" w:rsidRDefault="00C07FB4" w:rsidP="00C07FB4">
            <w:pPr>
              <w:jc w:val="right"/>
              <w:rPr>
                <w:rFonts w:ascii="CAIXA Std Book" w:eastAsia="Times New Roman" w:hAnsi="CAIXA Std Book" w:cs="Times New Roman"/>
                <w:color w:val="005CA9"/>
                <w:sz w:val="18"/>
                <w:szCs w:val="18"/>
              </w:rPr>
            </w:pPr>
            <w:r>
              <w:rPr>
                <w:rFonts w:ascii="CAIXA Std Book" w:eastAsia="Times New Roman" w:hAnsi="CAIXA Std Book" w:cs="Times New Roman"/>
                <w:color w:val="005CA9"/>
                <w:sz w:val="18"/>
                <w:szCs w:val="18"/>
              </w:rPr>
              <w:t>(</w:t>
            </w:r>
            <w:r w:rsidRPr="00956E1F">
              <w:rPr>
                <w:rFonts w:ascii="CAIXA Std Book" w:eastAsia="Times New Roman" w:hAnsi="CAIXA Std Book" w:cs="Times New Roman"/>
                <w:color w:val="005CA9"/>
                <w:sz w:val="18"/>
                <w:szCs w:val="18"/>
              </w:rPr>
              <w:t>762.816</w:t>
            </w:r>
            <w:r>
              <w:rPr>
                <w:rFonts w:ascii="CAIXA Std Book" w:eastAsia="Times New Roman" w:hAnsi="CAIXA Std Book" w:cs="Times New Roman"/>
                <w:color w:val="005CA9"/>
                <w:sz w:val="18"/>
                <w:szCs w:val="18"/>
              </w:rPr>
              <w:t>)</w:t>
            </w:r>
          </w:p>
        </w:tc>
      </w:tr>
      <w:tr w:rsidR="00C07FB4" w:rsidRPr="00956E1F" w14:paraId="1704361A" w14:textId="77777777" w:rsidTr="00C07FB4">
        <w:trPr>
          <w:trHeight w:val="283"/>
        </w:trPr>
        <w:tc>
          <w:tcPr>
            <w:tcW w:w="2231" w:type="pct"/>
            <w:tcBorders>
              <w:top w:val="nil"/>
              <w:left w:val="nil"/>
              <w:bottom w:val="nil"/>
              <w:right w:val="nil"/>
            </w:tcBorders>
            <w:vAlign w:val="center"/>
            <w:hideMark/>
          </w:tcPr>
          <w:p w14:paraId="49C160F7" w14:textId="77777777" w:rsidR="00C07FB4" w:rsidRPr="00956E1F" w:rsidRDefault="00C07FB4" w:rsidP="00C07FB4">
            <w:pPr>
              <w:rPr>
                <w:rFonts w:ascii="CAIXA Std Book" w:eastAsia="Times New Roman" w:hAnsi="CAIXA Std Book" w:cs="Times New Roman"/>
                <w:color w:val="005CA9"/>
                <w:sz w:val="18"/>
                <w:szCs w:val="18"/>
              </w:rPr>
            </w:pPr>
            <w:r w:rsidRPr="00956E1F">
              <w:rPr>
                <w:rFonts w:ascii="CAIXA Std Book" w:eastAsia="Times New Roman" w:hAnsi="CAIXA Std Book" w:cs="Times New Roman"/>
                <w:color w:val="005CA9"/>
                <w:sz w:val="18"/>
                <w:szCs w:val="18"/>
              </w:rPr>
              <w:t>ISS</w:t>
            </w:r>
          </w:p>
        </w:tc>
        <w:tc>
          <w:tcPr>
            <w:tcW w:w="692" w:type="pct"/>
            <w:tcBorders>
              <w:top w:val="nil"/>
              <w:left w:val="nil"/>
              <w:bottom w:val="nil"/>
              <w:right w:val="nil"/>
            </w:tcBorders>
            <w:noWrap/>
            <w:vAlign w:val="center"/>
            <w:hideMark/>
          </w:tcPr>
          <w:p w14:paraId="1AB1B64E" w14:textId="2BD578AD" w:rsidR="00C07FB4" w:rsidRPr="00956E1F" w:rsidRDefault="00C07FB4" w:rsidP="00C07FB4">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(169.634)</w:t>
            </w:r>
          </w:p>
        </w:tc>
        <w:tc>
          <w:tcPr>
            <w:tcW w:w="692" w:type="pct"/>
            <w:tcBorders>
              <w:top w:val="nil"/>
              <w:left w:val="nil"/>
              <w:bottom w:val="nil"/>
              <w:right w:val="nil"/>
            </w:tcBorders>
            <w:noWrap/>
            <w:vAlign w:val="center"/>
            <w:hideMark/>
          </w:tcPr>
          <w:p w14:paraId="2EAB8842" w14:textId="65913058" w:rsidR="00C07FB4" w:rsidRPr="00956E1F" w:rsidRDefault="00C07FB4" w:rsidP="00C07FB4">
            <w:pPr>
              <w:jc w:val="right"/>
              <w:rPr>
                <w:rFonts w:ascii="CAIXA Std Book" w:eastAsia="Times New Roman" w:hAnsi="CAIXA Std Book" w:cs="Times New Roman"/>
                <w:color w:val="005CA9"/>
                <w:sz w:val="18"/>
                <w:szCs w:val="18"/>
              </w:rPr>
            </w:pPr>
            <w:r>
              <w:rPr>
                <w:rFonts w:ascii="CAIXA Std Book" w:eastAsia="Times New Roman" w:hAnsi="CAIXA Std Book" w:cs="Times New Roman"/>
                <w:color w:val="005CA9"/>
                <w:sz w:val="18"/>
                <w:szCs w:val="18"/>
              </w:rPr>
              <w:t>(</w:t>
            </w:r>
            <w:r w:rsidRPr="00956E1F">
              <w:rPr>
                <w:rFonts w:ascii="CAIXA Std Book" w:eastAsia="Times New Roman" w:hAnsi="CAIXA Std Book" w:cs="Times New Roman"/>
                <w:color w:val="005CA9"/>
                <w:sz w:val="18"/>
                <w:szCs w:val="18"/>
              </w:rPr>
              <w:t>139.153</w:t>
            </w:r>
            <w:r>
              <w:rPr>
                <w:rFonts w:ascii="CAIXA Std Book" w:eastAsia="Times New Roman" w:hAnsi="CAIXA Std Book" w:cs="Times New Roman"/>
                <w:color w:val="005CA9"/>
                <w:sz w:val="18"/>
                <w:szCs w:val="18"/>
              </w:rPr>
              <w:t>)</w:t>
            </w:r>
          </w:p>
        </w:tc>
        <w:tc>
          <w:tcPr>
            <w:tcW w:w="692" w:type="pct"/>
            <w:tcBorders>
              <w:top w:val="nil"/>
              <w:left w:val="nil"/>
              <w:bottom w:val="nil"/>
              <w:right w:val="nil"/>
            </w:tcBorders>
            <w:noWrap/>
            <w:vAlign w:val="center"/>
            <w:hideMark/>
          </w:tcPr>
          <w:p w14:paraId="05970F1E" w14:textId="29FEAB2A" w:rsidR="00C07FB4" w:rsidRPr="00956E1F" w:rsidRDefault="00C07FB4" w:rsidP="00C07FB4">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(245.761)</w:t>
            </w:r>
          </w:p>
        </w:tc>
        <w:tc>
          <w:tcPr>
            <w:tcW w:w="693" w:type="pct"/>
            <w:tcBorders>
              <w:top w:val="nil"/>
              <w:left w:val="nil"/>
              <w:bottom w:val="nil"/>
              <w:right w:val="nil"/>
            </w:tcBorders>
            <w:noWrap/>
            <w:vAlign w:val="center"/>
            <w:hideMark/>
          </w:tcPr>
          <w:p w14:paraId="0F2B9BC9" w14:textId="16CE2995" w:rsidR="00C07FB4" w:rsidRPr="00956E1F" w:rsidRDefault="00C07FB4" w:rsidP="00C07FB4">
            <w:pPr>
              <w:jc w:val="right"/>
              <w:rPr>
                <w:rFonts w:ascii="CAIXA Std Book" w:eastAsia="Times New Roman" w:hAnsi="CAIXA Std Book" w:cs="Times New Roman"/>
                <w:color w:val="005CA9"/>
                <w:sz w:val="18"/>
                <w:szCs w:val="18"/>
              </w:rPr>
            </w:pPr>
            <w:r>
              <w:rPr>
                <w:rFonts w:ascii="CAIXA Std Book" w:eastAsia="Times New Roman" w:hAnsi="CAIXA Std Book" w:cs="Times New Roman"/>
                <w:color w:val="005CA9"/>
                <w:sz w:val="18"/>
                <w:szCs w:val="18"/>
              </w:rPr>
              <w:t>(</w:t>
            </w:r>
            <w:r w:rsidRPr="00956E1F">
              <w:rPr>
                <w:rFonts w:ascii="CAIXA Std Book" w:eastAsia="Times New Roman" w:hAnsi="CAIXA Std Book" w:cs="Times New Roman"/>
                <w:color w:val="005CA9"/>
                <w:sz w:val="18"/>
                <w:szCs w:val="18"/>
              </w:rPr>
              <w:t>172.112</w:t>
            </w:r>
            <w:r>
              <w:rPr>
                <w:rFonts w:ascii="CAIXA Std Book" w:eastAsia="Times New Roman" w:hAnsi="CAIXA Std Book" w:cs="Times New Roman"/>
                <w:color w:val="005CA9"/>
                <w:sz w:val="18"/>
                <w:szCs w:val="18"/>
              </w:rPr>
              <w:t>)</w:t>
            </w:r>
          </w:p>
        </w:tc>
      </w:tr>
      <w:tr w:rsidR="00C07FB4" w:rsidRPr="00956E1F" w14:paraId="18B6E820" w14:textId="77777777" w:rsidTr="00C07FB4">
        <w:trPr>
          <w:trHeight w:val="283"/>
        </w:trPr>
        <w:tc>
          <w:tcPr>
            <w:tcW w:w="2231" w:type="pct"/>
            <w:tcBorders>
              <w:top w:val="nil"/>
              <w:left w:val="nil"/>
              <w:bottom w:val="nil"/>
              <w:right w:val="nil"/>
            </w:tcBorders>
            <w:vAlign w:val="center"/>
            <w:hideMark/>
          </w:tcPr>
          <w:p w14:paraId="179C533F" w14:textId="77777777" w:rsidR="00C07FB4" w:rsidRPr="00956E1F" w:rsidRDefault="00C07FB4" w:rsidP="00C07FB4">
            <w:pPr>
              <w:rPr>
                <w:rFonts w:ascii="CAIXA Std Book" w:eastAsia="Times New Roman" w:hAnsi="CAIXA Std Book" w:cs="Times New Roman"/>
                <w:color w:val="005CA9"/>
                <w:sz w:val="18"/>
                <w:szCs w:val="18"/>
              </w:rPr>
            </w:pPr>
            <w:r w:rsidRPr="00956E1F">
              <w:rPr>
                <w:rFonts w:ascii="CAIXA Std Book" w:eastAsia="Times New Roman" w:hAnsi="CAIXA Std Book" w:cs="Times New Roman"/>
                <w:color w:val="005CA9"/>
                <w:sz w:val="18"/>
                <w:szCs w:val="18"/>
              </w:rPr>
              <w:t>PIS/PASEP</w:t>
            </w:r>
          </w:p>
        </w:tc>
        <w:tc>
          <w:tcPr>
            <w:tcW w:w="692" w:type="pct"/>
            <w:tcBorders>
              <w:top w:val="nil"/>
              <w:left w:val="nil"/>
              <w:bottom w:val="nil"/>
              <w:right w:val="nil"/>
            </w:tcBorders>
            <w:noWrap/>
            <w:vAlign w:val="center"/>
            <w:hideMark/>
          </w:tcPr>
          <w:p w14:paraId="63325C85" w14:textId="414A655F" w:rsidR="00C07FB4" w:rsidRPr="00956E1F" w:rsidRDefault="00C07FB4" w:rsidP="00C07FB4">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(122.873)</w:t>
            </w:r>
          </w:p>
        </w:tc>
        <w:tc>
          <w:tcPr>
            <w:tcW w:w="692" w:type="pct"/>
            <w:tcBorders>
              <w:top w:val="nil"/>
              <w:left w:val="nil"/>
              <w:bottom w:val="nil"/>
              <w:right w:val="nil"/>
            </w:tcBorders>
            <w:noWrap/>
            <w:vAlign w:val="center"/>
            <w:hideMark/>
          </w:tcPr>
          <w:p w14:paraId="1E1442D8" w14:textId="2800C6D9" w:rsidR="00C07FB4" w:rsidRPr="00956E1F" w:rsidRDefault="00C07FB4" w:rsidP="00C07FB4">
            <w:pPr>
              <w:jc w:val="right"/>
              <w:rPr>
                <w:rFonts w:ascii="CAIXA Std Book" w:eastAsia="Times New Roman" w:hAnsi="CAIXA Std Book" w:cs="Times New Roman"/>
                <w:color w:val="005CA9"/>
                <w:sz w:val="18"/>
                <w:szCs w:val="18"/>
              </w:rPr>
            </w:pPr>
            <w:r>
              <w:rPr>
                <w:rFonts w:ascii="CAIXA Std Book" w:eastAsia="Times New Roman" w:hAnsi="CAIXA Std Book" w:cs="Times New Roman"/>
                <w:color w:val="005CA9"/>
                <w:sz w:val="18"/>
                <w:szCs w:val="18"/>
              </w:rPr>
              <w:t>(</w:t>
            </w:r>
            <w:r w:rsidRPr="00956E1F">
              <w:rPr>
                <w:rFonts w:ascii="CAIXA Std Book" w:eastAsia="Times New Roman" w:hAnsi="CAIXA Std Book" w:cs="Times New Roman"/>
                <w:color w:val="005CA9"/>
                <w:sz w:val="18"/>
                <w:szCs w:val="18"/>
              </w:rPr>
              <w:t>111.098</w:t>
            </w:r>
            <w:r>
              <w:rPr>
                <w:rFonts w:ascii="CAIXA Std Book" w:eastAsia="Times New Roman" w:hAnsi="CAIXA Std Book" w:cs="Times New Roman"/>
                <w:color w:val="005CA9"/>
                <w:sz w:val="18"/>
                <w:szCs w:val="18"/>
              </w:rPr>
              <w:t>)</w:t>
            </w:r>
          </w:p>
        </w:tc>
        <w:tc>
          <w:tcPr>
            <w:tcW w:w="692" w:type="pct"/>
            <w:tcBorders>
              <w:top w:val="nil"/>
              <w:left w:val="nil"/>
              <w:bottom w:val="nil"/>
              <w:right w:val="nil"/>
            </w:tcBorders>
            <w:noWrap/>
            <w:vAlign w:val="center"/>
            <w:hideMark/>
          </w:tcPr>
          <w:p w14:paraId="0A551ADC" w14:textId="7A943536" w:rsidR="00C07FB4" w:rsidRPr="00956E1F" w:rsidRDefault="00C07FB4" w:rsidP="00C07FB4">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(158.557)</w:t>
            </w:r>
          </w:p>
        </w:tc>
        <w:tc>
          <w:tcPr>
            <w:tcW w:w="693" w:type="pct"/>
            <w:tcBorders>
              <w:top w:val="nil"/>
              <w:left w:val="nil"/>
              <w:bottom w:val="nil"/>
              <w:right w:val="nil"/>
            </w:tcBorders>
            <w:noWrap/>
            <w:vAlign w:val="center"/>
            <w:hideMark/>
          </w:tcPr>
          <w:p w14:paraId="7DF41AD9" w14:textId="4BDE6DDC" w:rsidR="00C07FB4" w:rsidRPr="00956E1F" w:rsidRDefault="00C07FB4" w:rsidP="00C07FB4">
            <w:pPr>
              <w:jc w:val="right"/>
              <w:rPr>
                <w:rFonts w:ascii="CAIXA Std Book" w:eastAsia="Times New Roman" w:hAnsi="CAIXA Std Book" w:cs="Times New Roman"/>
                <w:color w:val="005CA9"/>
                <w:sz w:val="18"/>
                <w:szCs w:val="18"/>
              </w:rPr>
            </w:pPr>
            <w:r>
              <w:rPr>
                <w:rFonts w:ascii="CAIXA Std Book" w:eastAsia="Times New Roman" w:hAnsi="CAIXA Std Book" w:cs="Times New Roman"/>
                <w:color w:val="005CA9"/>
                <w:sz w:val="18"/>
                <w:szCs w:val="18"/>
              </w:rPr>
              <w:t>(</w:t>
            </w:r>
            <w:r w:rsidRPr="00956E1F">
              <w:rPr>
                <w:rFonts w:ascii="CAIXA Std Book" w:eastAsia="Times New Roman" w:hAnsi="CAIXA Std Book" w:cs="Times New Roman"/>
                <w:color w:val="005CA9"/>
                <w:sz w:val="18"/>
                <w:szCs w:val="18"/>
              </w:rPr>
              <w:t>127.156</w:t>
            </w:r>
            <w:r>
              <w:rPr>
                <w:rFonts w:ascii="CAIXA Std Book" w:eastAsia="Times New Roman" w:hAnsi="CAIXA Std Book" w:cs="Times New Roman"/>
                <w:color w:val="005CA9"/>
                <w:sz w:val="18"/>
                <w:szCs w:val="18"/>
              </w:rPr>
              <w:t>)</w:t>
            </w:r>
          </w:p>
        </w:tc>
      </w:tr>
      <w:tr w:rsidR="00C07FB4" w:rsidRPr="00956E1F" w14:paraId="14F41965" w14:textId="77777777" w:rsidTr="00C07FB4">
        <w:trPr>
          <w:trHeight w:val="283"/>
        </w:trPr>
        <w:tc>
          <w:tcPr>
            <w:tcW w:w="2231" w:type="pct"/>
            <w:tcBorders>
              <w:top w:val="nil"/>
              <w:left w:val="nil"/>
              <w:bottom w:val="nil"/>
              <w:right w:val="nil"/>
            </w:tcBorders>
            <w:vAlign w:val="center"/>
            <w:hideMark/>
          </w:tcPr>
          <w:p w14:paraId="3BF3DFAE" w14:textId="77777777" w:rsidR="00C07FB4" w:rsidRPr="00956E1F" w:rsidRDefault="00C07FB4" w:rsidP="00C07FB4">
            <w:pPr>
              <w:rPr>
                <w:rFonts w:ascii="CAIXA Std Book" w:eastAsia="Times New Roman" w:hAnsi="CAIXA Std Book" w:cs="Times New Roman"/>
                <w:color w:val="005CA9"/>
                <w:sz w:val="18"/>
                <w:szCs w:val="18"/>
              </w:rPr>
            </w:pPr>
            <w:r w:rsidRPr="00956E1F">
              <w:rPr>
                <w:rFonts w:ascii="CAIXA Std Book" w:eastAsia="Times New Roman" w:hAnsi="CAIXA Std Book" w:cs="Times New Roman"/>
                <w:color w:val="005CA9"/>
                <w:sz w:val="18"/>
                <w:szCs w:val="18"/>
              </w:rPr>
              <w:t>IPTU</w:t>
            </w:r>
          </w:p>
        </w:tc>
        <w:tc>
          <w:tcPr>
            <w:tcW w:w="692" w:type="pct"/>
            <w:tcBorders>
              <w:top w:val="nil"/>
              <w:left w:val="nil"/>
              <w:bottom w:val="nil"/>
              <w:right w:val="nil"/>
            </w:tcBorders>
            <w:noWrap/>
            <w:vAlign w:val="center"/>
            <w:hideMark/>
          </w:tcPr>
          <w:p w14:paraId="15D8D7B3" w14:textId="48C8010D" w:rsidR="00C07FB4" w:rsidRPr="00956E1F" w:rsidRDefault="00C07FB4" w:rsidP="00C07FB4">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(84.545)</w:t>
            </w:r>
          </w:p>
        </w:tc>
        <w:tc>
          <w:tcPr>
            <w:tcW w:w="692" w:type="pct"/>
            <w:tcBorders>
              <w:top w:val="nil"/>
              <w:left w:val="nil"/>
              <w:bottom w:val="nil"/>
              <w:right w:val="nil"/>
            </w:tcBorders>
            <w:noWrap/>
            <w:vAlign w:val="center"/>
            <w:hideMark/>
          </w:tcPr>
          <w:p w14:paraId="3AD7BE6D" w14:textId="4AA3E00D" w:rsidR="00C07FB4" w:rsidRPr="00956E1F" w:rsidRDefault="00C07FB4" w:rsidP="00C07FB4">
            <w:pPr>
              <w:jc w:val="right"/>
              <w:rPr>
                <w:rFonts w:ascii="CAIXA Std Book" w:eastAsia="Times New Roman" w:hAnsi="CAIXA Std Book" w:cs="Times New Roman"/>
                <w:color w:val="005CA9"/>
                <w:sz w:val="18"/>
                <w:szCs w:val="18"/>
              </w:rPr>
            </w:pPr>
            <w:r>
              <w:rPr>
                <w:rFonts w:ascii="CAIXA Std Book" w:eastAsia="Times New Roman" w:hAnsi="CAIXA Std Book" w:cs="Times New Roman"/>
                <w:color w:val="005CA9"/>
                <w:sz w:val="18"/>
                <w:szCs w:val="18"/>
              </w:rPr>
              <w:t>(</w:t>
            </w:r>
            <w:r w:rsidRPr="00956E1F">
              <w:rPr>
                <w:rFonts w:ascii="CAIXA Std Book" w:eastAsia="Times New Roman" w:hAnsi="CAIXA Std Book" w:cs="Times New Roman"/>
                <w:color w:val="005CA9"/>
                <w:sz w:val="18"/>
                <w:szCs w:val="18"/>
              </w:rPr>
              <w:t>77.046</w:t>
            </w:r>
            <w:r>
              <w:rPr>
                <w:rFonts w:ascii="CAIXA Std Book" w:eastAsia="Times New Roman" w:hAnsi="CAIXA Std Book" w:cs="Times New Roman"/>
                <w:color w:val="005CA9"/>
                <w:sz w:val="18"/>
                <w:szCs w:val="18"/>
              </w:rPr>
              <w:t>)</w:t>
            </w:r>
          </w:p>
        </w:tc>
        <w:tc>
          <w:tcPr>
            <w:tcW w:w="692" w:type="pct"/>
            <w:tcBorders>
              <w:top w:val="nil"/>
              <w:left w:val="nil"/>
              <w:bottom w:val="nil"/>
              <w:right w:val="nil"/>
            </w:tcBorders>
            <w:noWrap/>
            <w:vAlign w:val="center"/>
            <w:hideMark/>
          </w:tcPr>
          <w:p w14:paraId="01B1319F" w14:textId="44A4B593" w:rsidR="00C07FB4" w:rsidRPr="00956E1F" w:rsidRDefault="00C07FB4" w:rsidP="00C07FB4">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(84.545)</w:t>
            </w:r>
          </w:p>
        </w:tc>
        <w:tc>
          <w:tcPr>
            <w:tcW w:w="693" w:type="pct"/>
            <w:tcBorders>
              <w:top w:val="nil"/>
              <w:left w:val="nil"/>
              <w:bottom w:val="nil"/>
              <w:right w:val="nil"/>
            </w:tcBorders>
            <w:noWrap/>
            <w:vAlign w:val="center"/>
            <w:hideMark/>
          </w:tcPr>
          <w:p w14:paraId="05C941F5" w14:textId="0ECA2E39" w:rsidR="00C07FB4" w:rsidRPr="00956E1F" w:rsidRDefault="00C07FB4" w:rsidP="00C07FB4">
            <w:pPr>
              <w:jc w:val="right"/>
              <w:rPr>
                <w:rFonts w:ascii="CAIXA Std Book" w:eastAsia="Times New Roman" w:hAnsi="CAIXA Std Book" w:cs="Times New Roman"/>
                <w:color w:val="005CA9"/>
                <w:sz w:val="18"/>
                <w:szCs w:val="18"/>
              </w:rPr>
            </w:pPr>
            <w:r>
              <w:rPr>
                <w:rFonts w:ascii="CAIXA Std Book" w:eastAsia="Times New Roman" w:hAnsi="CAIXA Std Book" w:cs="Times New Roman"/>
                <w:color w:val="005CA9"/>
                <w:sz w:val="18"/>
                <w:szCs w:val="18"/>
              </w:rPr>
              <w:t>(</w:t>
            </w:r>
            <w:r w:rsidRPr="00956E1F">
              <w:rPr>
                <w:rFonts w:ascii="CAIXA Std Book" w:eastAsia="Times New Roman" w:hAnsi="CAIXA Std Book" w:cs="Times New Roman"/>
                <w:color w:val="005CA9"/>
                <w:sz w:val="18"/>
                <w:szCs w:val="18"/>
              </w:rPr>
              <w:t>77.046</w:t>
            </w:r>
            <w:r>
              <w:rPr>
                <w:rFonts w:ascii="CAIXA Std Book" w:eastAsia="Times New Roman" w:hAnsi="CAIXA Std Book" w:cs="Times New Roman"/>
                <w:color w:val="005CA9"/>
                <w:sz w:val="18"/>
                <w:szCs w:val="18"/>
              </w:rPr>
              <w:t>)</w:t>
            </w:r>
          </w:p>
        </w:tc>
      </w:tr>
      <w:tr w:rsidR="00C07FB4" w:rsidRPr="00956E1F" w14:paraId="1911CF1D" w14:textId="77777777" w:rsidTr="00C07FB4">
        <w:trPr>
          <w:trHeight w:val="283"/>
        </w:trPr>
        <w:tc>
          <w:tcPr>
            <w:tcW w:w="2231" w:type="pct"/>
            <w:tcBorders>
              <w:top w:val="nil"/>
              <w:left w:val="nil"/>
              <w:bottom w:val="nil"/>
              <w:right w:val="nil"/>
            </w:tcBorders>
            <w:vAlign w:val="center"/>
            <w:hideMark/>
          </w:tcPr>
          <w:p w14:paraId="737EE370" w14:textId="77777777" w:rsidR="00C07FB4" w:rsidRPr="00956E1F" w:rsidRDefault="00C07FB4" w:rsidP="00C07FB4">
            <w:pPr>
              <w:rPr>
                <w:rFonts w:ascii="CAIXA Std Book" w:eastAsia="Times New Roman" w:hAnsi="CAIXA Std Book" w:cs="Times New Roman"/>
                <w:color w:val="005CA9"/>
                <w:sz w:val="18"/>
                <w:szCs w:val="18"/>
              </w:rPr>
            </w:pPr>
            <w:r w:rsidRPr="00956E1F">
              <w:rPr>
                <w:rFonts w:ascii="CAIXA Std Book" w:eastAsia="Times New Roman" w:hAnsi="CAIXA Std Book" w:cs="Times New Roman"/>
                <w:color w:val="005CA9"/>
                <w:sz w:val="18"/>
                <w:szCs w:val="18"/>
              </w:rPr>
              <w:t>Outras</w:t>
            </w:r>
          </w:p>
        </w:tc>
        <w:tc>
          <w:tcPr>
            <w:tcW w:w="692" w:type="pct"/>
            <w:tcBorders>
              <w:top w:val="nil"/>
              <w:left w:val="nil"/>
              <w:bottom w:val="nil"/>
              <w:right w:val="nil"/>
            </w:tcBorders>
            <w:noWrap/>
            <w:vAlign w:val="center"/>
            <w:hideMark/>
          </w:tcPr>
          <w:p w14:paraId="65E833A3" w14:textId="2F29987A" w:rsidR="00C07FB4" w:rsidRPr="00956E1F" w:rsidRDefault="00C07FB4" w:rsidP="00C07FB4">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(15.348)</w:t>
            </w:r>
          </w:p>
        </w:tc>
        <w:tc>
          <w:tcPr>
            <w:tcW w:w="692" w:type="pct"/>
            <w:tcBorders>
              <w:top w:val="nil"/>
              <w:left w:val="nil"/>
              <w:bottom w:val="nil"/>
              <w:right w:val="nil"/>
            </w:tcBorders>
            <w:noWrap/>
            <w:vAlign w:val="center"/>
            <w:hideMark/>
          </w:tcPr>
          <w:p w14:paraId="1811E4AF" w14:textId="2C45C99A" w:rsidR="00C07FB4" w:rsidRPr="00956E1F" w:rsidRDefault="00C07FB4" w:rsidP="00C07FB4">
            <w:pPr>
              <w:jc w:val="right"/>
              <w:rPr>
                <w:rFonts w:ascii="CAIXA Std Book" w:eastAsia="Times New Roman" w:hAnsi="CAIXA Std Book" w:cs="Times New Roman"/>
                <w:color w:val="005CA9"/>
                <w:sz w:val="18"/>
                <w:szCs w:val="18"/>
              </w:rPr>
            </w:pPr>
            <w:r>
              <w:rPr>
                <w:rFonts w:ascii="CAIXA Std Book" w:eastAsia="Times New Roman" w:hAnsi="CAIXA Std Book" w:cs="Times New Roman"/>
                <w:color w:val="005CA9"/>
                <w:sz w:val="18"/>
                <w:szCs w:val="18"/>
              </w:rPr>
              <w:t>(</w:t>
            </w:r>
            <w:r w:rsidRPr="00956E1F">
              <w:rPr>
                <w:rFonts w:ascii="CAIXA Std Book" w:eastAsia="Times New Roman" w:hAnsi="CAIXA Std Book" w:cs="Times New Roman"/>
                <w:color w:val="005CA9"/>
                <w:sz w:val="18"/>
                <w:szCs w:val="18"/>
              </w:rPr>
              <w:t>13.061</w:t>
            </w:r>
            <w:r>
              <w:rPr>
                <w:rFonts w:ascii="CAIXA Std Book" w:eastAsia="Times New Roman" w:hAnsi="CAIXA Std Book" w:cs="Times New Roman"/>
                <w:color w:val="005CA9"/>
                <w:sz w:val="18"/>
                <w:szCs w:val="18"/>
              </w:rPr>
              <w:t>)</w:t>
            </w:r>
          </w:p>
        </w:tc>
        <w:tc>
          <w:tcPr>
            <w:tcW w:w="692" w:type="pct"/>
            <w:tcBorders>
              <w:top w:val="nil"/>
              <w:left w:val="nil"/>
              <w:bottom w:val="nil"/>
              <w:right w:val="nil"/>
            </w:tcBorders>
            <w:noWrap/>
            <w:vAlign w:val="center"/>
            <w:hideMark/>
          </w:tcPr>
          <w:p w14:paraId="017ED9B5" w14:textId="61E9F36B" w:rsidR="00C07FB4" w:rsidRPr="00956E1F" w:rsidRDefault="00C07FB4" w:rsidP="00C07FB4">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(34.943)</w:t>
            </w:r>
          </w:p>
        </w:tc>
        <w:tc>
          <w:tcPr>
            <w:tcW w:w="693" w:type="pct"/>
            <w:tcBorders>
              <w:top w:val="nil"/>
              <w:left w:val="nil"/>
              <w:bottom w:val="nil"/>
              <w:right w:val="nil"/>
            </w:tcBorders>
            <w:noWrap/>
            <w:vAlign w:val="center"/>
            <w:hideMark/>
          </w:tcPr>
          <w:p w14:paraId="7A7296D8" w14:textId="3292480D" w:rsidR="00C07FB4" w:rsidRPr="00956E1F" w:rsidRDefault="00C07FB4" w:rsidP="00C07FB4">
            <w:pPr>
              <w:jc w:val="right"/>
              <w:rPr>
                <w:rFonts w:ascii="CAIXA Std Book" w:eastAsia="Times New Roman" w:hAnsi="CAIXA Std Book" w:cs="Times New Roman"/>
                <w:color w:val="005CA9"/>
                <w:sz w:val="18"/>
                <w:szCs w:val="18"/>
              </w:rPr>
            </w:pPr>
            <w:r>
              <w:rPr>
                <w:rFonts w:ascii="CAIXA Std Book" w:eastAsia="Times New Roman" w:hAnsi="CAIXA Std Book" w:cs="Times New Roman"/>
                <w:color w:val="005CA9"/>
                <w:sz w:val="18"/>
                <w:szCs w:val="18"/>
              </w:rPr>
              <w:t>(</w:t>
            </w:r>
            <w:r w:rsidRPr="00956E1F">
              <w:rPr>
                <w:rFonts w:ascii="CAIXA Std Book" w:eastAsia="Times New Roman" w:hAnsi="CAIXA Std Book" w:cs="Times New Roman"/>
                <w:color w:val="005CA9"/>
                <w:sz w:val="18"/>
                <w:szCs w:val="18"/>
              </w:rPr>
              <w:t>14.121</w:t>
            </w:r>
            <w:r>
              <w:rPr>
                <w:rFonts w:ascii="CAIXA Std Book" w:eastAsia="Times New Roman" w:hAnsi="CAIXA Std Book" w:cs="Times New Roman"/>
                <w:color w:val="005CA9"/>
                <w:sz w:val="18"/>
                <w:szCs w:val="18"/>
              </w:rPr>
              <w:t>)</w:t>
            </w:r>
          </w:p>
        </w:tc>
      </w:tr>
      <w:tr w:rsidR="00C07FB4" w:rsidRPr="00956E1F" w14:paraId="5F11B8AD" w14:textId="77777777" w:rsidTr="00C07FB4">
        <w:trPr>
          <w:trHeight w:val="283"/>
        </w:trPr>
        <w:tc>
          <w:tcPr>
            <w:tcW w:w="2231" w:type="pct"/>
            <w:tcBorders>
              <w:top w:val="nil"/>
              <w:left w:val="single" w:sz="8" w:space="0" w:color="FFFFFF"/>
              <w:bottom w:val="nil"/>
              <w:right w:val="nil"/>
            </w:tcBorders>
            <w:shd w:val="clear" w:color="000000" w:fill="005CA9"/>
            <w:noWrap/>
            <w:vAlign w:val="center"/>
            <w:hideMark/>
          </w:tcPr>
          <w:p w14:paraId="5B43471A" w14:textId="77777777" w:rsidR="00C07FB4" w:rsidRPr="00956E1F" w:rsidRDefault="00C07FB4" w:rsidP="00C07FB4">
            <w:pPr>
              <w:rPr>
                <w:rFonts w:ascii="CAIXA Std Book" w:eastAsia="Times New Roman" w:hAnsi="CAIXA Std Book" w:cs="Times New Roman"/>
                <w:b/>
                <w:bCs/>
                <w:color w:val="FFFFFF"/>
                <w:sz w:val="18"/>
                <w:szCs w:val="18"/>
              </w:rPr>
            </w:pPr>
            <w:r w:rsidRPr="00956E1F">
              <w:rPr>
                <w:rFonts w:ascii="CAIXA Std Book" w:eastAsia="Times New Roman" w:hAnsi="CAIXA Std Book" w:cs="Times New Roman"/>
                <w:b/>
                <w:bCs/>
                <w:color w:val="FFFFFF"/>
                <w:sz w:val="18"/>
                <w:szCs w:val="18"/>
              </w:rPr>
              <w:t>Total</w:t>
            </w:r>
          </w:p>
        </w:tc>
        <w:tc>
          <w:tcPr>
            <w:tcW w:w="692" w:type="pct"/>
            <w:tcBorders>
              <w:top w:val="nil"/>
              <w:left w:val="nil"/>
              <w:bottom w:val="nil"/>
              <w:right w:val="nil"/>
            </w:tcBorders>
            <w:shd w:val="clear" w:color="000000" w:fill="005CA9"/>
            <w:noWrap/>
            <w:vAlign w:val="center"/>
            <w:hideMark/>
          </w:tcPr>
          <w:p w14:paraId="3F0B99CB" w14:textId="742C6EAC" w:rsidR="00C07FB4" w:rsidRPr="00956E1F" w:rsidRDefault="00C07FB4" w:rsidP="00C07FB4">
            <w:pPr>
              <w:jc w:val="right"/>
              <w:rPr>
                <w:rFonts w:ascii="CAIXA Std Book" w:eastAsia="Times New Roman" w:hAnsi="CAIXA Std Book" w:cs="Times New Roman"/>
                <w:b/>
                <w:bCs/>
                <w:color w:val="FFFFFF"/>
                <w:sz w:val="18"/>
                <w:szCs w:val="18"/>
              </w:rPr>
            </w:pPr>
            <w:r>
              <w:rPr>
                <w:rFonts w:ascii="CAIXA Std Book" w:hAnsi="CAIXA Std Book" w:cs="Calibri"/>
                <w:b/>
                <w:bCs/>
                <w:color w:val="FFFFFF"/>
                <w:sz w:val="18"/>
                <w:szCs w:val="18"/>
              </w:rPr>
              <w:t>(1.148.221)</w:t>
            </w:r>
          </w:p>
        </w:tc>
        <w:tc>
          <w:tcPr>
            <w:tcW w:w="692" w:type="pct"/>
            <w:tcBorders>
              <w:top w:val="nil"/>
              <w:left w:val="nil"/>
              <w:bottom w:val="nil"/>
              <w:right w:val="nil"/>
            </w:tcBorders>
            <w:shd w:val="clear" w:color="000000" w:fill="005CA9"/>
            <w:noWrap/>
            <w:vAlign w:val="center"/>
            <w:hideMark/>
          </w:tcPr>
          <w:p w14:paraId="3B17E96C" w14:textId="4C7692EA" w:rsidR="00C07FB4" w:rsidRPr="00956E1F" w:rsidRDefault="00C07FB4" w:rsidP="00C07FB4">
            <w:pPr>
              <w:jc w:val="right"/>
              <w:rPr>
                <w:rFonts w:ascii="CAIXA Std Book" w:eastAsia="Times New Roman" w:hAnsi="CAIXA Std Book" w:cs="Times New Roman"/>
                <w:b/>
                <w:bCs/>
                <w:color w:val="FFFFFF"/>
                <w:sz w:val="18"/>
                <w:szCs w:val="18"/>
              </w:rPr>
            </w:pPr>
            <w:r>
              <w:rPr>
                <w:rFonts w:ascii="CAIXA Std Book" w:eastAsia="Times New Roman" w:hAnsi="CAIXA Std Book" w:cs="Times New Roman"/>
                <w:b/>
                <w:color w:val="FFFFFF"/>
                <w:sz w:val="18"/>
                <w:szCs w:val="18"/>
              </w:rPr>
              <w:t>(</w:t>
            </w:r>
            <w:r w:rsidRPr="00956E1F">
              <w:rPr>
                <w:rFonts w:ascii="CAIXA Std Book" w:eastAsia="Times New Roman" w:hAnsi="CAIXA Std Book" w:cs="Times New Roman"/>
                <w:b/>
                <w:color w:val="FFFFFF"/>
                <w:sz w:val="18"/>
                <w:szCs w:val="18"/>
              </w:rPr>
              <w:t>1.023.957</w:t>
            </w:r>
            <w:r>
              <w:rPr>
                <w:rFonts w:ascii="CAIXA Std Book" w:eastAsia="Times New Roman" w:hAnsi="CAIXA Std Book" w:cs="Times New Roman"/>
                <w:b/>
                <w:color w:val="FFFFFF"/>
                <w:sz w:val="18"/>
                <w:szCs w:val="18"/>
              </w:rPr>
              <w:t>)</w:t>
            </w:r>
          </w:p>
        </w:tc>
        <w:tc>
          <w:tcPr>
            <w:tcW w:w="692" w:type="pct"/>
            <w:tcBorders>
              <w:top w:val="nil"/>
              <w:left w:val="nil"/>
              <w:bottom w:val="nil"/>
              <w:right w:val="nil"/>
            </w:tcBorders>
            <w:shd w:val="clear" w:color="000000" w:fill="005CA9"/>
            <w:noWrap/>
            <w:vAlign w:val="center"/>
            <w:hideMark/>
          </w:tcPr>
          <w:p w14:paraId="1F62A48F" w14:textId="69CA561B" w:rsidR="00C07FB4" w:rsidRPr="00956E1F" w:rsidRDefault="00C07FB4" w:rsidP="00C07FB4">
            <w:pPr>
              <w:jc w:val="right"/>
              <w:rPr>
                <w:rFonts w:ascii="CAIXA Std Book" w:eastAsia="Times New Roman" w:hAnsi="CAIXA Std Book" w:cs="Times New Roman"/>
                <w:b/>
                <w:bCs/>
                <w:color w:val="FFFFFF"/>
                <w:sz w:val="18"/>
                <w:szCs w:val="18"/>
              </w:rPr>
            </w:pPr>
            <w:r>
              <w:rPr>
                <w:rFonts w:ascii="CAIXA Std Book" w:hAnsi="CAIXA Std Book" w:cs="Calibri"/>
                <w:b/>
                <w:bCs/>
                <w:color w:val="FFFFFF"/>
                <w:sz w:val="18"/>
                <w:szCs w:val="18"/>
              </w:rPr>
              <w:t>(1.451.203)</w:t>
            </w:r>
          </w:p>
        </w:tc>
        <w:tc>
          <w:tcPr>
            <w:tcW w:w="693" w:type="pct"/>
            <w:tcBorders>
              <w:top w:val="nil"/>
              <w:left w:val="nil"/>
              <w:bottom w:val="nil"/>
              <w:right w:val="nil"/>
            </w:tcBorders>
            <w:shd w:val="clear" w:color="000000" w:fill="005CA9"/>
            <w:noWrap/>
            <w:vAlign w:val="center"/>
            <w:hideMark/>
          </w:tcPr>
          <w:p w14:paraId="264FD100" w14:textId="238C402D" w:rsidR="00C07FB4" w:rsidRPr="00956E1F" w:rsidRDefault="00C07FB4" w:rsidP="00C07FB4">
            <w:pPr>
              <w:jc w:val="right"/>
              <w:rPr>
                <w:rFonts w:ascii="CAIXA Std Book" w:eastAsia="Times New Roman" w:hAnsi="CAIXA Std Book" w:cs="Times New Roman"/>
                <w:b/>
                <w:bCs/>
                <w:color w:val="FFFFFF"/>
                <w:sz w:val="18"/>
                <w:szCs w:val="18"/>
              </w:rPr>
            </w:pPr>
            <w:r>
              <w:rPr>
                <w:rFonts w:ascii="CAIXA Std Book" w:eastAsia="Times New Roman" w:hAnsi="CAIXA Std Book" w:cs="Times New Roman"/>
                <w:b/>
                <w:color w:val="FFFFFF"/>
                <w:sz w:val="18"/>
                <w:szCs w:val="18"/>
              </w:rPr>
              <w:t>(</w:t>
            </w:r>
            <w:r w:rsidRPr="00956E1F">
              <w:rPr>
                <w:rFonts w:ascii="CAIXA Std Book" w:eastAsia="Times New Roman" w:hAnsi="CAIXA Std Book" w:cs="Times New Roman"/>
                <w:b/>
                <w:color w:val="FFFFFF"/>
                <w:sz w:val="18"/>
                <w:szCs w:val="18"/>
              </w:rPr>
              <w:t>1.153.251</w:t>
            </w:r>
            <w:r>
              <w:rPr>
                <w:rFonts w:ascii="CAIXA Std Book" w:eastAsia="Times New Roman" w:hAnsi="CAIXA Std Book" w:cs="Times New Roman"/>
                <w:b/>
                <w:color w:val="FFFFFF"/>
                <w:sz w:val="18"/>
                <w:szCs w:val="18"/>
              </w:rPr>
              <w:t>)</w:t>
            </w:r>
          </w:p>
        </w:tc>
      </w:tr>
    </w:tbl>
    <w:p w14:paraId="57079AA4" w14:textId="77777777" w:rsidR="004249E8" w:rsidRDefault="004249E8">
      <w:pPr>
        <w:rPr>
          <w:rFonts w:ascii="CAIXA Std Book" w:hAnsi="CAIXA Std Book"/>
          <w:b/>
          <w:color w:val="005CA9"/>
        </w:rPr>
      </w:pPr>
      <w:bookmarkStart w:id="150" w:name="_Toc217914354"/>
      <w:r>
        <w:br w:type="page"/>
      </w:r>
    </w:p>
    <w:p w14:paraId="34A0803C" w14:textId="2A0D306D" w:rsidR="00354FC7" w:rsidRDefault="00354FC7" w:rsidP="00B735D2">
      <w:pPr>
        <w:pStyle w:val="Ttulo1"/>
      </w:pPr>
      <w:bookmarkStart w:id="151" w:name="_Toc229588504"/>
      <w:r w:rsidRPr="00E95E29">
        <w:t xml:space="preserve">Nota   </w:t>
      </w:r>
      <w:r w:rsidR="00212C9B">
        <w:t>2</w:t>
      </w:r>
      <w:r w:rsidR="00EF04CD">
        <w:t>8</w:t>
      </w:r>
      <w:r w:rsidRPr="00E95E29">
        <w:t xml:space="preserve"> – </w:t>
      </w:r>
      <w:r w:rsidR="005A7588" w:rsidRPr="00E95E29">
        <w:t>Outras receitas</w:t>
      </w:r>
      <w:bookmarkEnd w:id="150"/>
      <w:bookmarkEnd w:id="151"/>
    </w:p>
    <w:tbl>
      <w:tblPr>
        <w:tblW w:w="5000" w:type="pct"/>
        <w:tblCellMar>
          <w:left w:w="0" w:type="dxa"/>
          <w:right w:w="0" w:type="dxa"/>
        </w:tblCellMar>
        <w:tblLook w:val="04A0" w:firstRow="1" w:lastRow="0" w:firstColumn="1" w:lastColumn="0" w:noHBand="0" w:noVBand="1"/>
      </w:tblPr>
      <w:tblGrid>
        <w:gridCol w:w="4253"/>
        <w:gridCol w:w="1346"/>
        <w:gridCol w:w="1347"/>
        <w:gridCol w:w="1345"/>
        <w:gridCol w:w="1347"/>
      </w:tblGrid>
      <w:tr w:rsidR="00D54FDB" w14:paraId="22B1282E" w14:textId="77777777" w:rsidTr="00850536">
        <w:trPr>
          <w:trHeight w:val="272"/>
        </w:trPr>
        <w:tc>
          <w:tcPr>
            <w:tcW w:w="2206" w:type="pct"/>
            <w:vMerge w:val="restart"/>
            <w:tcBorders>
              <w:top w:val="single" w:sz="4" w:space="0" w:color="FFFFFF"/>
              <w:left w:val="nil"/>
              <w:bottom w:val="single" w:sz="4" w:space="0" w:color="FFFFFF"/>
              <w:right w:val="nil"/>
            </w:tcBorders>
            <w:shd w:val="clear" w:color="000000" w:fill="005CA9"/>
            <w:tcMar>
              <w:top w:w="15" w:type="dxa"/>
              <w:left w:w="15" w:type="dxa"/>
              <w:bottom w:w="0" w:type="dxa"/>
              <w:right w:w="15" w:type="dxa"/>
            </w:tcMar>
            <w:vAlign w:val="center"/>
            <w:hideMark/>
          </w:tcPr>
          <w:p w14:paraId="0B13B3F9" w14:textId="77777777" w:rsidR="00D54FDB" w:rsidRDefault="00D54FDB">
            <w:pPr>
              <w:jc w:val="center"/>
              <w:rPr>
                <w:rFonts w:ascii="CAIXA Std Book" w:hAnsi="CAIXA Std Book"/>
                <w:b/>
                <w:bCs/>
                <w:color w:val="FFFFFF"/>
                <w:sz w:val="18"/>
                <w:szCs w:val="18"/>
              </w:rPr>
            </w:pPr>
            <w:r>
              <w:rPr>
                <w:rFonts w:ascii="CAIXA Std Book" w:hAnsi="CAIXA Std Book"/>
                <w:b/>
                <w:bCs/>
                <w:color w:val="FFFFFF"/>
                <w:sz w:val="18"/>
                <w:szCs w:val="18"/>
              </w:rPr>
              <w:t>Descrição</w:t>
            </w:r>
          </w:p>
        </w:tc>
        <w:tc>
          <w:tcPr>
            <w:tcW w:w="1397" w:type="pct"/>
            <w:gridSpan w:val="2"/>
            <w:tcBorders>
              <w:top w:val="single" w:sz="4" w:space="0" w:color="FFFFFF"/>
              <w:left w:val="nil"/>
              <w:bottom w:val="single" w:sz="4" w:space="0" w:color="FFFFFF"/>
              <w:right w:val="nil"/>
            </w:tcBorders>
            <w:shd w:val="clear" w:color="000000" w:fill="005CA9"/>
            <w:tcMar>
              <w:top w:w="15" w:type="dxa"/>
              <w:left w:w="15" w:type="dxa"/>
              <w:bottom w:w="0" w:type="dxa"/>
              <w:right w:w="15" w:type="dxa"/>
            </w:tcMar>
            <w:vAlign w:val="center"/>
            <w:hideMark/>
          </w:tcPr>
          <w:p w14:paraId="0DEC00E5" w14:textId="77777777" w:rsidR="00D54FDB" w:rsidRDefault="00D54FDB">
            <w:pPr>
              <w:jc w:val="center"/>
              <w:rPr>
                <w:rFonts w:ascii="CAIXA Std Book" w:hAnsi="CAIXA Std Book"/>
                <w:b/>
                <w:bCs/>
                <w:color w:val="FFFFFF"/>
                <w:sz w:val="18"/>
                <w:szCs w:val="18"/>
              </w:rPr>
            </w:pPr>
            <w:r>
              <w:rPr>
                <w:rFonts w:ascii="CAIXA Std Book" w:hAnsi="CAIXA Std Book"/>
                <w:b/>
                <w:bCs/>
                <w:color w:val="FFFFFF"/>
                <w:sz w:val="18"/>
                <w:szCs w:val="18"/>
              </w:rPr>
              <w:t>Individual</w:t>
            </w:r>
          </w:p>
        </w:tc>
        <w:tc>
          <w:tcPr>
            <w:tcW w:w="1397" w:type="pct"/>
            <w:gridSpan w:val="2"/>
            <w:tcBorders>
              <w:top w:val="single" w:sz="4" w:space="0" w:color="FFFFFF"/>
              <w:left w:val="nil"/>
              <w:bottom w:val="single" w:sz="4" w:space="0" w:color="FFFFFF"/>
              <w:right w:val="nil"/>
            </w:tcBorders>
            <w:shd w:val="clear" w:color="000000" w:fill="005CA9"/>
            <w:tcMar>
              <w:top w:w="15" w:type="dxa"/>
              <w:left w:w="15" w:type="dxa"/>
              <w:bottom w:w="0" w:type="dxa"/>
              <w:right w:w="15" w:type="dxa"/>
            </w:tcMar>
            <w:vAlign w:val="center"/>
            <w:hideMark/>
          </w:tcPr>
          <w:p w14:paraId="31EB15D4" w14:textId="77777777" w:rsidR="00D54FDB" w:rsidRDefault="00D54FDB">
            <w:pPr>
              <w:jc w:val="center"/>
              <w:rPr>
                <w:rFonts w:ascii="CAIXA Std Book" w:hAnsi="CAIXA Std Book"/>
                <w:b/>
                <w:bCs/>
                <w:color w:val="FFFFFF"/>
                <w:sz w:val="18"/>
                <w:szCs w:val="18"/>
              </w:rPr>
            </w:pPr>
            <w:r>
              <w:rPr>
                <w:rFonts w:ascii="CAIXA Std Book" w:hAnsi="CAIXA Std Book"/>
                <w:b/>
                <w:bCs/>
                <w:color w:val="FFFFFF"/>
                <w:sz w:val="18"/>
                <w:szCs w:val="18"/>
              </w:rPr>
              <w:t>Consolidado</w:t>
            </w:r>
          </w:p>
        </w:tc>
      </w:tr>
      <w:tr w:rsidR="00D54FDB" w14:paraId="3E434D19" w14:textId="77777777" w:rsidTr="00850536">
        <w:trPr>
          <w:trHeight w:val="272"/>
        </w:trPr>
        <w:tc>
          <w:tcPr>
            <w:tcW w:w="2206" w:type="pct"/>
            <w:vMerge/>
            <w:tcBorders>
              <w:top w:val="single" w:sz="4" w:space="0" w:color="FFFFFF"/>
              <w:left w:val="nil"/>
              <w:bottom w:val="single" w:sz="4" w:space="0" w:color="FFFFFF"/>
              <w:right w:val="nil"/>
            </w:tcBorders>
            <w:vAlign w:val="center"/>
            <w:hideMark/>
          </w:tcPr>
          <w:p w14:paraId="015F2F1A" w14:textId="77777777" w:rsidR="00D54FDB" w:rsidRDefault="00D54FDB">
            <w:pPr>
              <w:rPr>
                <w:rFonts w:ascii="CAIXA Std Book" w:hAnsi="CAIXA Std Book"/>
                <w:b/>
                <w:bCs/>
                <w:color w:val="FFFFFF"/>
                <w:sz w:val="18"/>
                <w:szCs w:val="18"/>
              </w:rPr>
            </w:pPr>
          </w:p>
        </w:tc>
        <w:tc>
          <w:tcPr>
            <w:tcW w:w="698" w:type="pct"/>
            <w:tcBorders>
              <w:top w:val="nil"/>
              <w:left w:val="nil"/>
              <w:bottom w:val="single" w:sz="4" w:space="0" w:color="FFFFFF"/>
              <w:right w:val="nil"/>
            </w:tcBorders>
            <w:shd w:val="clear" w:color="000000" w:fill="005CA9"/>
            <w:tcMar>
              <w:top w:w="15" w:type="dxa"/>
              <w:left w:w="15" w:type="dxa"/>
              <w:bottom w:w="0" w:type="dxa"/>
              <w:right w:w="15" w:type="dxa"/>
            </w:tcMar>
            <w:vAlign w:val="center"/>
            <w:hideMark/>
          </w:tcPr>
          <w:p w14:paraId="3B9EA960" w14:textId="30E7E026" w:rsidR="00D54FDB" w:rsidRDefault="00D54FDB">
            <w:pPr>
              <w:jc w:val="center"/>
              <w:rPr>
                <w:rFonts w:ascii="CAIXA Std Book" w:hAnsi="CAIXA Std Book"/>
                <w:b/>
                <w:bCs/>
                <w:color w:val="FFFFFF"/>
                <w:sz w:val="18"/>
                <w:szCs w:val="18"/>
              </w:rPr>
            </w:pPr>
            <w:r>
              <w:rPr>
                <w:rFonts w:ascii="CAIXA Std Book" w:hAnsi="CAIXA Std Book"/>
                <w:b/>
                <w:bCs/>
                <w:color w:val="FFFFFF"/>
                <w:sz w:val="18"/>
                <w:szCs w:val="18"/>
              </w:rPr>
              <w:t>202</w:t>
            </w:r>
            <w:r w:rsidR="00FE7CE6">
              <w:rPr>
                <w:rFonts w:ascii="CAIXA Std Book" w:hAnsi="CAIXA Std Book"/>
                <w:b/>
                <w:bCs/>
                <w:color w:val="FFFFFF"/>
                <w:sz w:val="18"/>
                <w:szCs w:val="18"/>
              </w:rPr>
              <w:t>6</w:t>
            </w:r>
          </w:p>
        </w:tc>
        <w:tc>
          <w:tcPr>
            <w:tcW w:w="699" w:type="pct"/>
            <w:tcBorders>
              <w:top w:val="nil"/>
              <w:left w:val="nil"/>
              <w:bottom w:val="single" w:sz="4" w:space="0" w:color="FFFFFF"/>
              <w:right w:val="nil"/>
            </w:tcBorders>
            <w:shd w:val="clear" w:color="000000" w:fill="005CA9"/>
            <w:tcMar>
              <w:top w:w="15" w:type="dxa"/>
              <w:left w:w="15" w:type="dxa"/>
              <w:bottom w:w="0" w:type="dxa"/>
              <w:right w:w="15" w:type="dxa"/>
            </w:tcMar>
            <w:vAlign w:val="center"/>
            <w:hideMark/>
          </w:tcPr>
          <w:p w14:paraId="50D492CE" w14:textId="67CD8C4B" w:rsidR="00D54FDB" w:rsidRDefault="00D54FDB">
            <w:pPr>
              <w:jc w:val="center"/>
              <w:rPr>
                <w:rFonts w:ascii="CAIXA Std Book" w:hAnsi="CAIXA Std Book"/>
                <w:b/>
                <w:bCs/>
                <w:color w:val="FFFFFF"/>
                <w:sz w:val="18"/>
                <w:szCs w:val="18"/>
              </w:rPr>
            </w:pPr>
            <w:r>
              <w:rPr>
                <w:rFonts w:ascii="CAIXA Std Book" w:hAnsi="CAIXA Std Book"/>
                <w:b/>
                <w:bCs/>
                <w:color w:val="FFFFFF"/>
                <w:sz w:val="18"/>
                <w:szCs w:val="18"/>
              </w:rPr>
              <w:t>202</w:t>
            </w:r>
            <w:r w:rsidR="00FE7CE6">
              <w:rPr>
                <w:rFonts w:ascii="CAIXA Std Book" w:hAnsi="CAIXA Std Book"/>
                <w:b/>
                <w:bCs/>
                <w:color w:val="FFFFFF"/>
                <w:sz w:val="18"/>
                <w:szCs w:val="18"/>
              </w:rPr>
              <w:t>5</w:t>
            </w:r>
          </w:p>
        </w:tc>
        <w:tc>
          <w:tcPr>
            <w:tcW w:w="698" w:type="pct"/>
            <w:tcBorders>
              <w:top w:val="nil"/>
              <w:left w:val="nil"/>
              <w:bottom w:val="single" w:sz="4" w:space="0" w:color="FFFFFF"/>
              <w:right w:val="nil"/>
            </w:tcBorders>
            <w:shd w:val="clear" w:color="000000" w:fill="005CA9"/>
            <w:tcMar>
              <w:top w:w="15" w:type="dxa"/>
              <w:left w:w="15" w:type="dxa"/>
              <w:bottom w:w="0" w:type="dxa"/>
              <w:right w:w="15" w:type="dxa"/>
            </w:tcMar>
            <w:vAlign w:val="center"/>
            <w:hideMark/>
          </w:tcPr>
          <w:p w14:paraId="0610C05B" w14:textId="3D2FAB30" w:rsidR="00D54FDB" w:rsidRDefault="00D54FDB">
            <w:pPr>
              <w:jc w:val="center"/>
              <w:rPr>
                <w:rFonts w:ascii="CAIXA Std Book" w:hAnsi="CAIXA Std Book"/>
                <w:b/>
                <w:bCs/>
                <w:color w:val="FFFFFF"/>
                <w:sz w:val="18"/>
                <w:szCs w:val="18"/>
              </w:rPr>
            </w:pPr>
            <w:r>
              <w:rPr>
                <w:rFonts w:ascii="CAIXA Std Book" w:hAnsi="CAIXA Std Book"/>
                <w:b/>
                <w:bCs/>
                <w:color w:val="FFFFFF"/>
                <w:sz w:val="18"/>
                <w:szCs w:val="18"/>
              </w:rPr>
              <w:t>202</w:t>
            </w:r>
            <w:r w:rsidR="00FE7CE6">
              <w:rPr>
                <w:rFonts w:ascii="CAIXA Std Book" w:hAnsi="CAIXA Std Book"/>
                <w:b/>
                <w:bCs/>
                <w:color w:val="FFFFFF"/>
                <w:sz w:val="18"/>
                <w:szCs w:val="18"/>
              </w:rPr>
              <w:t>6</w:t>
            </w:r>
          </w:p>
        </w:tc>
        <w:tc>
          <w:tcPr>
            <w:tcW w:w="699" w:type="pct"/>
            <w:tcBorders>
              <w:top w:val="nil"/>
              <w:left w:val="nil"/>
              <w:bottom w:val="single" w:sz="4" w:space="0" w:color="FFFFFF"/>
              <w:right w:val="nil"/>
            </w:tcBorders>
            <w:shd w:val="clear" w:color="000000" w:fill="005CA9"/>
            <w:tcMar>
              <w:top w:w="15" w:type="dxa"/>
              <w:left w:w="15" w:type="dxa"/>
              <w:bottom w:w="0" w:type="dxa"/>
              <w:right w:w="15" w:type="dxa"/>
            </w:tcMar>
            <w:vAlign w:val="center"/>
            <w:hideMark/>
          </w:tcPr>
          <w:p w14:paraId="4BB01C87" w14:textId="3AADE2FA" w:rsidR="00D54FDB" w:rsidRDefault="00D54FDB">
            <w:pPr>
              <w:jc w:val="center"/>
              <w:rPr>
                <w:rFonts w:ascii="CAIXA Std Book" w:hAnsi="CAIXA Std Book"/>
                <w:b/>
                <w:bCs/>
                <w:color w:val="FFFFFF"/>
                <w:sz w:val="18"/>
                <w:szCs w:val="18"/>
              </w:rPr>
            </w:pPr>
            <w:r>
              <w:rPr>
                <w:rFonts w:ascii="CAIXA Std Book" w:hAnsi="CAIXA Std Book"/>
                <w:b/>
                <w:bCs/>
                <w:color w:val="FFFFFF"/>
                <w:sz w:val="18"/>
                <w:szCs w:val="18"/>
              </w:rPr>
              <w:t>202</w:t>
            </w:r>
            <w:r w:rsidR="00FE7CE6">
              <w:rPr>
                <w:rFonts w:ascii="CAIXA Std Book" w:hAnsi="CAIXA Std Book"/>
                <w:b/>
                <w:bCs/>
                <w:color w:val="FFFFFF"/>
                <w:sz w:val="18"/>
                <w:szCs w:val="18"/>
              </w:rPr>
              <w:t>5</w:t>
            </w:r>
          </w:p>
        </w:tc>
      </w:tr>
      <w:tr w:rsidR="00D54FDB" w14:paraId="10BC5792" w14:textId="77777777" w:rsidTr="00850536">
        <w:trPr>
          <w:trHeight w:val="272"/>
        </w:trPr>
        <w:tc>
          <w:tcPr>
            <w:tcW w:w="2206" w:type="pct"/>
            <w:vMerge/>
            <w:tcBorders>
              <w:top w:val="single" w:sz="4" w:space="0" w:color="FFFFFF"/>
              <w:left w:val="nil"/>
              <w:bottom w:val="single" w:sz="4" w:space="0" w:color="FFFFFF"/>
              <w:right w:val="nil"/>
            </w:tcBorders>
            <w:vAlign w:val="center"/>
            <w:hideMark/>
          </w:tcPr>
          <w:p w14:paraId="36F17AB2" w14:textId="77777777" w:rsidR="00D54FDB" w:rsidRDefault="00D54FDB">
            <w:pPr>
              <w:rPr>
                <w:rFonts w:ascii="CAIXA Std Book" w:hAnsi="CAIXA Std Book"/>
                <w:b/>
                <w:bCs/>
                <w:color w:val="FFFFFF"/>
                <w:sz w:val="18"/>
                <w:szCs w:val="18"/>
              </w:rPr>
            </w:pPr>
          </w:p>
        </w:tc>
        <w:tc>
          <w:tcPr>
            <w:tcW w:w="698" w:type="pct"/>
            <w:tcBorders>
              <w:top w:val="nil"/>
              <w:left w:val="nil"/>
              <w:bottom w:val="nil"/>
              <w:right w:val="nil"/>
            </w:tcBorders>
            <w:shd w:val="clear" w:color="000000" w:fill="005CA9"/>
            <w:tcMar>
              <w:top w:w="15" w:type="dxa"/>
              <w:left w:w="15" w:type="dxa"/>
              <w:bottom w:w="0" w:type="dxa"/>
              <w:right w:w="15" w:type="dxa"/>
            </w:tcMar>
            <w:vAlign w:val="center"/>
            <w:hideMark/>
          </w:tcPr>
          <w:p w14:paraId="68FCC47F" w14:textId="77777777" w:rsidR="00D54FDB" w:rsidRDefault="00D54FDB">
            <w:pPr>
              <w:jc w:val="center"/>
              <w:rPr>
                <w:rFonts w:ascii="CAIXA Std Book" w:hAnsi="CAIXA Std Book"/>
                <w:b/>
                <w:bCs/>
                <w:color w:val="FFFFFF"/>
                <w:sz w:val="18"/>
                <w:szCs w:val="18"/>
              </w:rPr>
            </w:pPr>
            <w:r>
              <w:rPr>
                <w:rFonts w:ascii="CAIXA Std Book" w:hAnsi="CAIXA Std Book"/>
                <w:b/>
                <w:bCs/>
                <w:color w:val="FFFFFF"/>
                <w:sz w:val="18"/>
                <w:szCs w:val="18"/>
              </w:rPr>
              <w:t>1º trimestre</w:t>
            </w:r>
          </w:p>
        </w:tc>
        <w:tc>
          <w:tcPr>
            <w:tcW w:w="699" w:type="pct"/>
            <w:tcBorders>
              <w:top w:val="nil"/>
              <w:left w:val="nil"/>
              <w:bottom w:val="nil"/>
              <w:right w:val="nil"/>
            </w:tcBorders>
            <w:shd w:val="clear" w:color="000000" w:fill="005CA9"/>
            <w:tcMar>
              <w:top w:w="15" w:type="dxa"/>
              <w:left w:w="15" w:type="dxa"/>
              <w:bottom w:w="0" w:type="dxa"/>
              <w:right w:w="15" w:type="dxa"/>
            </w:tcMar>
            <w:vAlign w:val="center"/>
            <w:hideMark/>
          </w:tcPr>
          <w:p w14:paraId="440B2111" w14:textId="77777777" w:rsidR="00D54FDB" w:rsidRDefault="00D54FDB">
            <w:pPr>
              <w:jc w:val="center"/>
              <w:rPr>
                <w:rFonts w:ascii="CAIXA Std Book" w:hAnsi="CAIXA Std Book"/>
                <w:b/>
                <w:bCs/>
                <w:color w:val="FFFFFF"/>
                <w:sz w:val="18"/>
                <w:szCs w:val="18"/>
              </w:rPr>
            </w:pPr>
            <w:r>
              <w:rPr>
                <w:rFonts w:ascii="CAIXA Std Book" w:hAnsi="CAIXA Std Book"/>
                <w:b/>
                <w:bCs/>
                <w:color w:val="FFFFFF"/>
                <w:sz w:val="18"/>
                <w:szCs w:val="18"/>
              </w:rPr>
              <w:t>1º trimestre</w:t>
            </w:r>
          </w:p>
        </w:tc>
        <w:tc>
          <w:tcPr>
            <w:tcW w:w="698" w:type="pct"/>
            <w:tcBorders>
              <w:top w:val="nil"/>
              <w:left w:val="nil"/>
              <w:bottom w:val="nil"/>
              <w:right w:val="nil"/>
            </w:tcBorders>
            <w:shd w:val="clear" w:color="000000" w:fill="005CA9"/>
            <w:tcMar>
              <w:top w:w="15" w:type="dxa"/>
              <w:left w:w="15" w:type="dxa"/>
              <w:bottom w:w="0" w:type="dxa"/>
              <w:right w:w="15" w:type="dxa"/>
            </w:tcMar>
            <w:vAlign w:val="center"/>
            <w:hideMark/>
          </w:tcPr>
          <w:p w14:paraId="7A005659" w14:textId="77777777" w:rsidR="00D54FDB" w:rsidRDefault="00D54FDB">
            <w:pPr>
              <w:jc w:val="center"/>
              <w:rPr>
                <w:rFonts w:ascii="CAIXA Std Book" w:hAnsi="CAIXA Std Book"/>
                <w:b/>
                <w:bCs/>
                <w:color w:val="FFFFFF"/>
                <w:sz w:val="18"/>
                <w:szCs w:val="18"/>
              </w:rPr>
            </w:pPr>
            <w:r>
              <w:rPr>
                <w:rFonts w:ascii="CAIXA Std Book" w:hAnsi="CAIXA Std Book"/>
                <w:b/>
                <w:bCs/>
                <w:color w:val="FFFFFF"/>
                <w:sz w:val="18"/>
                <w:szCs w:val="18"/>
              </w:rPr>
              <w:t>1º trimestre</w:t>
            </w:r>
          </w:p>
        </w:tc>
        <w:tc>
          <w:tcPr>
            <w:tcW w:w="699" w:type="pct"/>
            <w:tcBorders>
              <w:top w:val="nil"/>
              <w:left w:val="nil"/>
              <w:bottom w:val="nil"/>
              <w:right w:val="nil"/>
            </w:tcBorders>
            <w:shd w:val="clear" w:color="000000" w:fill="005CA9"/>
            <w:tcMar>
              <w:top w:w="15" w:type="dxa"/>
              <w:left w:w="15" w:type="dxa"/>
              <w:bottom w:w="0" w:type="dxa"/>
              <w:right w:w="15" w:type="dxa"/>
            </w:tcMar>
            <w:vAlign w:val="center"/>
            <w:hideMark/>
          </w:tcPr>
          <w:p w14:paraId="79FD97FA" w14:textId="77777777" w:rsidR="00D54FDB" w:rsidRDefault="00D54FDB">
            <w:pPr>
              <w:jc w:val="center"/>
              <w:rPr>
                <w:rFonts w:ascii="CAIXA Std Book" w:hAnsi="CAIXA Std Book"/>
                <w:b/>
                <w:bCs/>
                <w:color w:val="FFFFFF"/>
                <w:sz w:val="18"/>
                <w:szCs w:val="18"/>
              </w:rPr>
            </w:pPr>
            <w:r>
              <w:rPr>
                <w:rFonts w:ascii="CAIXA Std Book" w:hAnsi="CAIXA Std Book"/>
                <w:b/>
                <w:bCs/>
                <w:color w:val="FFFFFF"/>
                <w:sz w:val="18"/>
                <w:szCs w:val="18"/>
              </w:rPr>
              <w:t>1º trimestre</w:t>
            </w:r>
          </w:p>
        </w:tc>
      </w:tr>
      <w:tr w:rsidR="00D54FDB" w14:paraId="125FB92C" w14:textId="77777777" w:rsidTr="00850536">
        <w:trPr>
          <w:trHeight w:val="272"/>
        </w:trPr>
        <w:tc>
          <w:tcPr>
            <w:tcW w:w="2206" w:type="pct"/>
            <w:tcBorders>
              <w:top w:val="single" w:sz="4" w:space="0" w:color="FFFFFF"/>
              <w:left w:val="nil"/>
              <w:bottom w:val="single" w:sz="4" w:space="0" w:color="FFFFFF"/>
              <w:right w:val="nil"/>
            </w:tcBorders>
            <w:noWrap/>
            <w:tcMar>
              <w:top w:w="15" w:type="dxa"/>
              <w:left w:w="15" w:type="dxa"/>
              <w:bottom w:w="0" w:type="dxa"/>
              <w:right w:w="15" w:type="dxa"/>
            </w:tcMar>
            <w:vAlign w:val="center"/>
            <w:hideMark/>
          </w:tcPr>
          <w:p w14:paraId="2478385C" w14:textId="785C6D9F" w:rsidR="00D54FDB" w:rsidRDefault="00E1506F">
            <w:pPr>
              <w:rPr>
                <w:rFonts w:ascii="CAIXA Std Book" w:hAnsi="CAIXA Std Book"/>
                <w:color w:val="005CA9"/>
                <w:sz w:val="18"/>
                <w:szCs w:val="18"/>
              </w:rPr>
            </w:pPr>
            <w:r>
              <w:rPr>
                <w:rFonts w:ascii="CAIXA Std Book" w:hAnsi="CAIXA Std Book" w:cs="Calibri"/>
                <w:color w:val="005CA9"/>
                <w:sz w:val="18"/>
                <w:szCs w:val="18"/>
              </w:rPr>
              <w:t>Variação cambial</w:t>
            </w:r>
            <w:r w:rsidR="003D0CCD">
              <w:rPr>
                <w:rFonts w:ascii="CAIXA Std Book" w:hAnsi="CAIXA Std Book" w:cs="Calibri"/>
                <w:color w:val="005CA9"/>
                <w:sz w:val="18"/>
                <w:szCs w:val="18"/>
              </w:rPr>
              <w:t xml:space="preserve"> (1)</w:t>
            </w:r>
          </w:p>
        </w:tc>
        <w:tc>
          <w:tcPr>
            <w:tcW w:w="698" w:type="pct"/>
            <w:tcBorders>
              <w:top w:val="single" w:sz="4" w:space="0" w:color="FFFFFF"/>
              <w:left w:val="nil"/>
              <w:bottom w:val="single" w:sz="4" w:space="0" w:color="FFFFFF"/>
              <w:right w:val="nil"/>
            </w:tcBorders>
            <w:tcMar>
              <w:top w:w="15" w:type="dxa"/>
              <w:left w:w="15" w:type="dxa"/>
              <w:bottom w:w="0" w:type="dxa"/>
              <w:right w:w="15" w:type="dxa"/>
            </w:tcMar>
            <w:vAlign w:val="center"/>
          </w:tcPr>
          <w:p w14:paraId="3316DD5E" w14:textId="697E6B24" w:rsidR="00D54FDB" w:rsidRDefault="00E1506F" w:rsidP="00D54FDB">
            <w:pPr>
              <w:jc w:val="right"/>
              <w:rPr>
                <w:rFonts w:ascii="CAIXA Std Book" w:hAnsi="CAIXA Std Book"/>
                <w:color w:val="005CA9"/>
                <w:sz w:val="18"/>
                <w:szCs w:val="18"/>
              </w:rPr>
            </w:pPr>
            <w:r>
              <w:rPr>
                <w:rFonts w:ascii="CAIXA Std Book" w:hAnsi="CAIXA Std Book" w:cs="Calibri"/>
                <w:color w:val="005CA9"/>
                <w:sz w:val="18"/>
                <w:szCs w:val="18"/>
              </w:rPr>
              <w:t>2.360.257</w:t>
            </w:r>
          </w:p>
        </w:tc>
        <w:tc>
          <w:tcPr>
            <w:tcW w:w="699" w:type="pct"/>
            <w:tcBorders>
              <w:top w:val="single" w:sz="4" w:space="0" w:color="FFFFFF"/>
              <w:left w:val="nil"/>
              <w:bottom w:val="single" w:sz="4" w:space="0" w:color="FFFFFF"/>
              <w:right w:val="nil"/>
            </w:tcBorders>
            <w:noWrap/>
            <w:tcMar>
              <w:top w:w="15" w:type="dxa"/>
              <w:left w:w="15" w:type="dxa"/>
              <w:bottom w:w="0" w:type="dxa"/>
              <w:right w:w="15" w:type="dxa"/>
            </w:tcMar>
            <w:vAlign w:val="center"/>
            <w:hideMark/>
          </w:tcPr>
          <w:p w14:paraId="0F371E9E" w14:textId="27564EBD" w:rsidR="00D54FDB" w:rsidRPr="00585B2F" w:rsidRDefault="00E1506F" w:rsidP="002D1520">
            <w:pPr>
              <w:jc w:val="center"/>
              <w:rPr>
                <w:rFonts w:ascii="CAIXA Std Book" w:hAnsi="CAIXA Std Book"/>
                <w:color w:val="005CA9"/>
                <w:sz w:val="18"/>
                <w:szCs w:val="18"/>
              </w:rPr>
            </w:pPr>
            <w:r w:rsidRPr="00585B2F">
              <w:rPr>
                <w:rFonts w:ascii="CAIXA Std Book" w:hAnsi="CAIXA Std Book"/>
                <w:color w:val="005CA9"/>
                <w:sz w:val="18"/>
                <w:szCs w:val="18"/>
              </w:rPr>
              <w:t>-</w:t>
            </w:r>
          </w:p>
        </w:tc>
        <w:tc>
          <w:tcPr>
            <w:tcW w:w="698" w:type="pct"/>
            <w:tcBorders>
              <w:top w:val="single" w:sz="4" w:space="0" w:color="FFFFFF"/>
              <w:left w:val="nil"/>
              <w:bottom w:val="single" w:sz="4" w:space="0" w:color="FFFFFF"/>
              <w:right w:val="nil"/>
            </w:tcBorders>
            <w:tcMar>
              <w:top w:w="15" w:type="dxa"/>
              <w:left w:w="15" w:type="dxa"/>
              <w:bottom w:w="0" w:type="dxa"/>
              <w:right w:w="15" w:type="dxa"/>
            </w:tcMar>
            <w:vAlign w:val="center"/>
          </w:tcPr>
          <w:p w14:paraId="509E411B" w14:textId="2DEA0D02" w:rsidR="00D54FDB" w:rsidRDefault="00E06989" w:rsidP="00D54FDB">
            <w:pPr>
              <w:jc w:val="right"/>
              <w:rPr>
                <w:rFonts w:ascii="CAIXA Std Book" w:hAnsi="CAIXA Std Book"/>
                <w:color w:val="005CA9"/>
                <w:sz w:val="18"/>
                <w:szCs w:val="18"/>
              </w:rPr>
            </w:pPr>
            <w:r>
              <w:rPr>
                <w:rFonts w:ascii="CAIXA Std Book" w:hAnsi="CAIXA Std Book" w:cs="Calibri"/>
                <w:color w:val="005CA9"/>
                <w:sz w:val="18"/>
                <w:szCs w:val="18"/>
              </w:rPr>
              <w:t>2.360.257</w:t>
            </w:r>
          </w:p>
        </w:tc>
        <w:tc>
          <w:tcPr>
            <w:tcW w:w="699" w:type="pct"/>
            <w:tcBorders>
              <w:top w:val="single" w:sz="4" w:space="0" w:color="FFFFFF"/>
              <w:left w:val="nil"/>
              <w:bottom w:val="single" w:sz="4" w:space="0" w:color="FFFFFF"/>
              <w:right w:val="nil"/>
            </w:tcBorders>
            <w:tcMar>
              <w:top w:w="15" w:type="dxa"/>
              <w:left w:w="15" w:type="dxa"/>
              <w:bottom w:w="0" w:type="dxa"/>
              <w:right w:w="15" w:type="dxa"/>
            </w:tcMar>
            <w:vAlign w:val="center"/>
            <w:hideMark/>
          </w:tcPr>
          <w:p w14:paraId="62347B01" w14:textId="388CF44A" w:rsidR="00D54FDB" w:rsidRDefault="00E1506F" w:rsidP="00F51CA6">
            <w:pPr>
              <w:jc w:val="center"/>
              <w:rPr>
                <w:rFonts w:ascii="CAIXA Std Book" w:hAnsi="CAIXA Std Book"/>
                <w:color w:val="005CA9"/>
                <w:sz w:val="18"/>
                <w:szCs w:val="18"/>
              </w:rPr>
            </w:pPr>
            <w:r>
              <w:rPr>
                <w:rFonts w:ascii="CAIXA Std Book" w:hAnsi="CAIXA Std Book" w:cs="Calibri"/>
                <w:color w:val="005CA9"/>
                <w:sz w:val="18"/>
                <w:szCs w:val="18"/>
              </w:rPr>
              <w:t>-</w:t>
            </w:r>
          </w:p>
        </w:tc>
      </w:tr>
      <w:tr w:rsidR="00E1506F" w14:paraId="4FB182D2" w14:textId="77777777" w:rsidTr="00850536">
        <w:trPr>
          <w:trHeight w:val="272"/>
        </w:trPr>
        <w:tc>
          <w:tcPr>
            <w:tcW w:w="2206" w:type="pct"/>
            <w:tcBorders>
              <w:top w:val="single" w:sz="4" w:space="0" w:color="FFFFFF"/>
              <w:left w:val="nil"/>
              <w:bottom w:val="single" w:sz="4" w:space="0" w:color="FFFFFF"/>
              <w:right w:val="nil"/>
            </w:tcBorders>
            <w:noWrap/>
            <w:tcMar>
              <w:top w:w="15" w:type="dxa"/>
              <w:left w:w="15" w:type="dxa"/>
              <w:bottom w:w="0" w:type="dxa"/>
              <w:right w:w="15" w:type="dxa"/>
            </w:tcMar>
            <w:vAlign w:val="center"/>
          </w:tcPr>
          <w:p w14:paraId="1FDA308F" w14:textId="22C60A0F" w:rsidR="00E1506F" w:rsidRDefault="00E1506F" w:rsidP="00E1506F">
            <w:pPr>
              <w:rPr>
                <w:rFonts w:ascii="CAIXA Std Book" w:hAnsi="CAIXA Std Book"/>
                <w:color w:val="005CA9"/>
                <w:sz w:val="18"/>
                <w:szCs w:val="18"/>
              </w:rPr>
            </w:pPr>
            <w:r>
              <w:rPr>
                <w:rFonts w:ascii="CAIXA Std Book" w:hAnsi="CAIXA Std Book" w:cs="Calibri"/>
                <w:color w:val="005CA9"/>
                <w:sz w:val="18"/>
                <w:szCs w:val="18"/>
              </w:rPr>
              <w:t>Comissões e taxas</w:t>
            </w:r>
            <w:r w:rsidR="00485709">
              <w:rPr>
                <w:rFonts w:ascii="CAIXA Std Book" w:hAnsi="CAIXA Std Book" w:cs="Calibri"/>
                <w:color w:val="005CA9"/>
                <w:sz w:val="18"/>
                <w:szCs w:val="18"/>
              </w:rPr>
              <w:t xml:space="preserve"> </w:t>
            </w:r>
            <w:r>
              <w:rPr>
                <w:rFonts w:ascii="CAIXA Std Book" w:hAnsi="CAIXA Std Book" w:cs="Calibri"/>
                <w:color w:val="005CA9"/>
                <w:sz w:val="18"/>
                <w:szCs w:val="18"/>
              </w:rPr>
              <w:t>– agente financeiro FGTS</w:t>
            </w:r>
          </w:p>
        </w:tc>
        <w:tc>
          <w:tcPr>
            <w:tcW w:w="698" w:type="pct"/>
            <w:tcBorders>
              <w:top w:val="single" w:sz="4" w:space="0" w:color="FFFFFF"/>
              <w:left w:val="nil"/>
              <w:bottom w:val="single" w:sz="4" w:space="0" w:color="FFFFFF"/>
              <w:right w:val="nil"/>
            </w:tcBorders>
            <w:tcMar>
              <w:top w:w="15" w:type="dxa"/>
              <w:left w:w="15" w:type="dxa"/>
              <w:bottom w:w="0" w:type="dxa"/>
              <w:right w:w="15" w:type="dxa"/>
            </w:tcMar>
            <w:vAlign w:val="center"/>
          </w:tcPr>
          <w:p w14:paraId="10859553" w14:textId="0355CE5E" w:rsidR="00E1506F" w:rsidRDefault="00E1506F" w:rsidP="00E1506F">
            <w:pPr>
              <w:jc w:val="right"/>
              <w:rPr>
                <w:rFonts w:ascii="CAIXA Std Book" w:hAnsi="CAIXA Std Book"/>
                <w:color w:val="005CA9"/>
                <w:sz w:val="18"/>
                <w:szCs w:val="18"/>
              </w:rPr>
            </w:pPr>
            <w:r>
              <w:rPr>
                <w:rFonts w:ascii="CAIXA Std Book" w:hAnsi="CAIXA Std Book" w:cs="Calibri"/>
                <w:color w:val="005CA9"/>
                <w:sz w:val="18"/>
                <w:szCs w:val="18"/>
              </w:rPr>
              <w:t>548.913</w:t>
            </w:r>
          </w:p>
        </w:tc>
        <w:tc>
          <w:tcPr>
            <w:tcW w:w="699" w:type="pct"/>
            <w:tcBorders>
              <w:top w:val="single" w:sz="4" w:space="0" w:color="FFFFFF"/>
              <w:left w:val="nil"/>
              <w:bottom w:val="single" w:sz="4" w:space="0" w:color="FFFFFF"/>
              <w:right w:val="nil"/>
            </w:tcBorders>
            <w:noWrap/>
            <w:tcMar>
              <w:top w:w="15" w:type="dxa"/>
              <w:left w:w="15" w:type="dxa"/>
              <w:bottom w:w="0" w:type="dxa"/>
              <w:right w:w="15" w:type="dxa"/>
            </w:tcMar>
            <w:vAlign w:val="center"/>
          </w:tcPr>
          <w:p w14:paraId="6FBE4D8B" w14:textId="0DDA8EB2" w:rsidR="00E1506F" w:rsidRDefault="00E1506F" w:rsidP="00E1506F">
            <w:pPr>
              <w:jc w:val="right"/>
              <w:rPr>
                <w:rFonts w:ascii="CAIXA Std Book" w:hAnsi="CAIXA Std Book"/>
                <w:color w:val="005CA9"/>
                <w:sz w:val="18"/>
                <w:szCs w:val="18"/>
              </w:rPr>
            </w:pPr>
            <w:r>
              <w:rPr>
                <w:rFonts w:ascii="CAIXA Std Book" w:hAnsi="CAIXA Std Book" w:cs="Calibri"/>
                <w:color w:val="005CA9"/>
                <w:sz w:val="18"/>
                <w:szCs w:val="18"/>
              </w:rPr>
              <w:t>617.059</w:t>
            </w:r>
          </w:p>
        </w:tc>
        <w:tc>
          <w:tcPr>
            <w:tcW w:w="698" w:type="pct"/>
            <w:tcBorders>
              <w:top w:val="single" w:sz="4" w:space="0" w:color="FFFFFF"/>
              <w:left w:val="nil"/>
              <w:bottom w:val="single" w:sz="4" w:space="0" w:color="FFFFFF"/>
              <w:right w:val="nil"/>
            </w:tcBorders>
            <w:tcMar>
              <w:top w:w="15" w:type="dxa"/>
              <w:left w:w="15" w:type="dxa"/>
              <w:bottom w:w="0" w:type="dxa"/>
              <w:right w:w="15" w:type="dxa"/>
            </w:tcMar>
            <w:vAlign w:val="center"/>
          </w:tcPr>
          <w:p w14:paraId="72B1B6C5" w14:textId="0701C6B1" w:rsidR="00E1506F" w:rsidRDefault="00E06989" w:rsidP="00E1506F">
            <w:pPr>
              <w:jc w:val="right"/>
              <w:rPr>
                <w:rFonts w:ascii="CAIXA Std Book" w:hAnsi="CAIXA Std Book"/>
                <w:color w:val="005CA9"/>
                <w:sz w:val="18"/>
                <w:szCs w:val="18"/>
              </w:rPr>
            </w:pPr>
            <w:r>
              <w:rPr>
                <w:rFonts w:ascii="CAIXA Std Book" w:hAnsi="CAIXA Std Book" w:cs="Calibri"/>
                <w:color w:val="005CA9"/>
                <w:sz w:val="18"/>
                <w:szCs w:val="18"/>
              </w:rPr>
              <w:t>548.913</w:t>
            </w:r>
          </w:p>
        </w:tc>
        <w:tc>
          <w:tcPr>
            <w:tcW w:w="699" w:type="pct"/>
            <w:tcBorders>
              <w:top w:val="single" w:sz="4" w:space="0" w:color="FFFFFF"/>
              <w:left w:val="nil"/>
              <w:bottom w:val="single" w:sz="4" w:space="0" w:color="FFFFFF"/>
              <w:right w:val="nil"/>
            </w:tcBorders>
            <w:tcMar>
              <w:top w:w="15" w:type="dxa"/>
              <w:left w:w="15" w:type="dxa"/>
              <w:bottom w:w="0" w:type="dxa"/>
              <w:right w:w="15" w:type="dxa"/>
            </w:tcMar>
            <w:vAlign w:val="center"/>
          </w:tcPr>
          <w:p w14:paraId="26BD855A" w14:textId="7C8B8635" w:rsidR="00E1506F" w:rsidRDefault="00E1506F" w:rsidP="00E1506F">
            <w:pPr>
              <w:jc w:val="right"/>
              <w:rPr>
                <w:rFonts w:ascii="CAIXA Std Book" w:hAnsi="CAIXA Std Book"/>
                <w:color w:val="005CA9"/>
                <w:sz w:val="18"/>
                <w:szCs w:val="18"/>
              </w:rPr>
            </w:pPr>
            <w:r>
              <w:rPr>
                <w:rFonts w:ascii="CAIXA Std Book" w:hAnsi="CAIXA Std Book" w:cs="Calibri"/>
                <w:color w:val="005CA9"/>
                <w:sz w:val="18"/>
                <w:szCs w:val="18"/>
              </w:rPr>
              <w:t>593.963</w:t>
            </w:r>
          </w:p>
        </w:tc>
      </w:tr>
      <w:tr w:rsidR="00D54FDB" w14:paraId="12304EB4" w14:textId="77777777" w:rsidTr="00850536">
        <w:trPr>
          <w:trHeight w:val="272"/>
        </w:trPr>
        <w:tc>
          <w:tcPr>
            <w:tcW w:w="2206" w:type="pct"/>
            <w:tcBorders>
              <w:top w:val="nil"/>
              <w:left w:val="nil"/>
              <w:bottom w:val="single" w:sz="4" w:space="0" w:color="FFFFFF"/>
              <w:right w:val="nil"/>
            </w:tcBorders>
            <w:noWrap/>
            <w:tcMar>
              <w:top w:w="15" w:type="dxa"/>
              <w:left w:w="15" w:type="dxa"/>
              <w:bottom w:w="0" w:type="dxa"/>
              <w:right w:w="15" w:type="dxa"/>
            </w:tcMar>
            <w:vAlign w:val="center"/>
            <w:hideMark/>
          </w:tcPr>
          <w:p w14:paraId="7D4F7E5C" w14:textId="500BDF14" w:rsidR="00D54FDB" w:rsidRDefault="00E1506F">
            <w:pPr>
              <w:rPr>
                <w:rFonts w:ascii="CAIXA Std Book" w:hAnsi="CAIXA Std Book"/>
                <w:color w:val="005CA9"/>
                <w:sz w:val="18"/>
                <w:szCs w:val="18"/>
              </w:rPr>
            </w:pPr>
            <w:r>
              <w:rPr>
                <w:rFonts w:ascii="CAIXA Std Book" w:hAnsi="CAIXA Std Book" w:cs="Calibri"/>
                <w:color w:val="005CA9"/>
                <w:sz w:val="18"/>
                <w:szCs w:val="18"/>
              </w:rPr>
              <w:t>Recuperação de despesas</w:t>
            </w:r>
          </w:p>
        </w:tc>
        <w:tc>
          <w:tcPr>
            <w:tcW w:w="698" w:type="pct"/>
            <w:tcBorders>
              <w:top w:val="nil"/>
              <w:left w:val="nil"/>
              <w:bottom w:val="single" w:sz="4" w:space="0" w:color="FFFFFF"/>
              <w:right w:val="nil"/>
            </w:tcBorders>
            <w:tcMar>
              <w:top w:w="15" w:type="dxa"/>
              <w:left w:w="15" w:type="dxa"/>
              <w:bottom w:w="0" w:type="dxa"/>
              <w:right w:w="15" w:type="dxa"/>
            </w:tcMar>
            <w:vAlign w:val="center"/>
          </w:tcPr>
          <w:p w14:paraId="6DAF8428" w14:textId="7279EB03" w:rsidR="00D54FDB" w:rsidRDefault="00E1506F" w:rsidP="00D54FDB">
            <w:pPr>
              <w:jc w:val="right"/>
              <w:rPr>
                <w:rFonts w:ascii="CAIXA Std Book" w:hAnsi="CAIXA Std Book"/>
                <w:color w:val="005CA9"/>
                <w:sz w:val="18"/>
                <w:szCs w:val="18"/>
              </w:rPr>
            </w:pPr>
            <w:r>
              <w:rPr>
                <w:rFonts w:ascii="CAIXA Std Book" w:hAnsi="CAIXA Std Book" w:cs="Calibri"/>
                <w:color w:val="005CA9"/>
                <w:sz w:val="18"/>
                <w:szCs w:val="18"/>
              </w:rPr>
              <w:t>491.511</w:t>
            </w:r>
          </w:p>
        </w:tc>
        <w:tc>
          <w:tcPr>
            <w:tcW w:w="699" w:type="pct"/>
            <w:tcBorders>
              <w:top w:val="nil"/>
              <w:left w:val="nil"/>
              <w:bottom w:val="single" w:sz="4" w:space="0" w:color="FFFFFF"/>
              <w:right w:val="nil"/>
            </w:tcBorders>
            <w:noWrap/>
            <w:tcMar>
              <w:top w:w="15" w:type="dxa"/>
              <w:left w:w="15" w:type="dxa"/>
              <w:bottom w:w="0" w:type="dxa"/>
              <w:right w:w="15" w:type="dxa"/>
            </w:tcMar>
            <w:vAlign w:val="center"/>
            <w:hideMark/>
          </w:tcPr>
          <w:p w14:paraId="016DF2BD" w14:textId="26E39D64" w:rsidR="00D54FDB" w:rsidRPr="00850536" w:rsidRDefault="00E1506F" w:rsidP="00D54FDB">
            <w:pPr>
              <w:jc w:val="right"/>
              <w:rPr>
                <w:rFonts w:ascii="CAIXA Std Book" w:hAnsi="CAIXA Std Book"/>
                <w:color w:val="000000"/>
                <w:sz w:val="18"/>
                <w:szCs w:val="18"/>
              </w:rPr>
            </w:pPr>
            <w:r>
              <w:rPr>
                <w:rFonts w:ascii="CAIXA Std Book" w:hAnsi="CAIXA Std Book" w:cs="Calibri"/>
                <w:color w:val="005CA9"/>
                <w:sz w:val="18"/>
                <w:szCs w:val="18"/>
              </w:rPr>
              <w:t>482.777</w:t>
            </w:r>
          </w:p>
        </w:tc>
        <w:tc>
          <w:tcPr>
            <w:tcW w:w="698" w:type="pct"/>
            <w:tcBorders>
              <w:top w:val="nil"/>
              <w:left w:val="nil"/>
              <w:bottom w:val="single" w:sz="4" w:space="0" w:color="FFFFFF"/>
              <w:right w:val="nil"/>
            </w:tcBorders>
            <w:tcMar>
              <w:top w:w="15" w:type="dxa"/>
              <w:left w:w="15" w:type="dxa"/>
              <w:bottom w:w="0" w:type="dxa"/>
              <w:right w:w="15" w:type="dxa"/>
            </w:tcMar>
            <w:vAlign w:val="center"/>
          </w:tcPr>
          <w:p w14:paraId="7205E80A" w14:textId="6A303A48" w:rsidR="00D54FDB" w:rsidRDefault="00E06989" w:rsidP="00D54FDB">
            <w:pPr>
              <w:jc w:val="right"/>
              <w:rPr>
                <w:rFonts w:ascii="CAIXA Std Book" w:hAnsi="CAIXA Std Book"/>
                <w:color w:val="005CA9"/>
                <w:sz w:val="18"/>
                <w:szCs w:val="18"/>
              </w:rPr>
            </w:pPr>
            <w:r>
              <w:rPr>
                <w:rFonts w:ascii="CAIXA Std Book" w:hAnsi="CAIXA Std Book" w:cs="Calibri"/>
                <w:color w:val="005CA9"/>
                <w:sz w:val="18"/>
                <w:szCs w:val="18"/>
              </w:rPr>
              <w:t>455.914</w:t>
            </w:r>
          </w:p>
        </w:tc>
        <w:tc>
          <w:tcPr>
            <w:tcW w:w="699" w:type="pct"/>
            <w:tcBorders>
              <w:top w:val="nil"/>
              <w:left w:val="nil"/>
              <w:bottom w:val="single" w:sz="4" w:space="0" w:color="FFFFFF"/>
              <w:right w:val="nil"/>
            </w:tcBorders>
            <w:tcMar>
              <w:top w:w="15" w:type="dxa"/>
              <w:left w:w="15" w:type="dxa"/>
              <w:bottom w:w="0" w:type="dxa"/>
              <w:right w:w="15" w:type="dxa"/>
            </w:tcMar>
            <w:vAlign w:val="center"/>
            <w:hideMark/>
          </w:tcPr>
          <w:p w14:paraId="67A3CE5A" w14:textId="15F4E097" w:rsidR="00D54FDB" w:rsidRDefault="00E1506F" w:rsidP="00D54FDB">
            <w:pPr>
              <w:jc w:val="right"/>
              <w:rPr>
                <w:rFonts w:ascii="CAIXA Std Book" w:hAnsi="CAIXA Std Book"/>
                <w:color w:val="005CA9"/>
                <w:sz w:val="18"/>
                <w:szCs w:val="18"/>
              </w:rPr>
            </w:pPr>
            <w:r>
              <w:rPr>
                <w:rFonts w:ascii="CAIXA Std Book" w:hAnsi="CAIXA Std Book" w:cs="Calibri"/>
                <w:color w:val="005CA9"/>
                <w:sz w:val="18"/>
                <w:szCs w:val="18"/>
              </w:rPr>
              <w:t>483.648</w:t>
            </w:r>
          </w:p>
        </w:tc>
      </w:tr>
      <w:tr w:rsidR="00D54FDB" w14:paraId="264C705B" w14:textId="77777777" w:rsidTr="00850536">
        <w:trPr>
          <w:trHeight w:val="272"/>
        </w:trPr>
        <w:tc>
          <w:tcPr>
            <w:tcW w:w="2206" w:type="pct"/>
            <w:tcBorders>
              <w:top w:val="nil"/>
              <w:left w:val="nil"/>
              <w:bottom w:val="single" w:sz="4" w:space="0" w:color="FFFFFF"/>
              <w:right w:val="nil"/>
            </w:tcBorders>
            <w:noWrap/>
            <w:tcMar>
              <w:top w:w="15" w:type="dxa"/>
              <w:left w:w="15" w:type="dxa"/>
              <w:bottom w:w="0" w:type="dxa"/>
              <w:right w:w="15" w:type="dxa"/>
            </w:tcMar>
            <w:vAlign w:val="center"/>
            <w:hideMark/>
          </w:tcPr>
          <w:p w14:paraId="62481A78" w14:textId="5AF13F39" w:rsidR="00D54FDB" w:rsidRDefault="00E1506F">
            <w:pPr>
              <w:rPr>
                <w:rFonts w:ascii="CAIXA Std Book" w:hAnsi="CAIXA Std Book"/>
                <w:color w:val="005CA9"/>
                <w:sz w:val="18"/>
                <w:szCs w:val="18"/>
              </w:rPr>
            </w:pPr>
            <w:r>
              <w:rPr>
                <w:rFonts w:ascii="CAIXA Std Book" w:hAnsi="CAIXA Std Book" w:cs="Calibri"/>
                <w:color w:val="005CA9"/>
                <w:sz w:val="18"/>
                <w:szCs w:val="18"/>
              </w:rPr>
              <w:t>Atualização monetária sobre operações diversas</w:t>
            </w:r>
          </w:p>
        </w:tc>
        <w:tc>
          <w:tcPr>
            <w:tcW w:w="698" w:type="pct"/>
            <w:tcBorders>
              <w:top w:val="nil"/>
              <w:left w:val="nil"/>
              <w:bottom w:val="single" w:sz="4" w:space="0" w:color="FFFFFF"/>
              <w:right w:val="nil"/>
            </w:tcBorders>
            <w:tcMar>
              <w:top w:w="15" w:type="dxa"/>
              <w:left w:w="15" w:type="dxa"/>
              <w:bottom w:w="0" w:type="dxa"/>
              <w:right w:w="15" w:type="dxa"/>
            </w:tcMar>
            <w:vAlign w:val="center"/>
          </w:tcPr>
          <w:p w14:paraId="032C4796" w14:textId="74135B53" w:rsidR="00D54FDB" w:rsidRDefault="00E1506F" w:rsidP="00D54FDB">
            <w:pPr>
              <w:jc w:val="right"/>
              <w:rPr>
                <w:rFonts w:ascii="CAIXA Std Book" w:hAnsi="CAIXA Std Book"/>
                <w:color w:val="005CA9"/>
                <w:sz w:val="18"/>
                <w:szCs w:val="18"/>
              </w:rPr>
            </w:pPr>
            <w:r>
              <w:rPr>
                <w:rFonts w:ascii="CAIXA Std Book" w:hAnsi="CAIXA Std Book" w:cs="Calibri"/>
                <w:color w:val="005CA9"/>
                <w:sz w:val="18"/>
                <w:szCs w:val="18"/>
              </w:rPr>
              <w:t>488.979</w:t>
            </w:r>
          </w:p>
        </w:tc>
        <w:tc>
          <w:tcPr>
            <w:tcW w:w="699" w:type="pct"/>
            <w:tcBorders>
              <w:top w:val="nil"/>
              <w:left w:val="nil"/>
              <w:bottom w:val="single" w:sz="4" w:space="0" w:color="FFFFFF"/>
              <w:right w:val="nil"/>
            </w:tcBorders>
            <w:noWrap/>
            <w:tcMar>
              <w:top w:w="15" w:type="dxa"/>
              <w:left w:w="15" w:type="dxa"/>
              <w:bottom w:w="0" w:type="dxa"/>
              <w:right w:w="15" w:type="dxa"/>
            </w:tcMar>
            <w:vAlign w:val="center"/>
            <w:hideMark/>
          </w:tcPr>
          <w:p w14:paraId="54C2FEBD" w14:textId="0ADB4916" w:rsidR="00D54FDB" w:rsidRPr="00850536" w:rsidRDefault="00E1506F" w:rsidP="00D54FDB">
            <w:pPr>
              <w:jc w:val="right"/>
              <w:rPr>
                <w:rFonts w:ascii="CAIXA Std Book" w:hAnsi="CAIXA Std Book"/>
                <w:color w:val="000000"/>
                <w:sz w:val="18"/>
                <w:szCs w:val="18"/>
              </w:rPr>
            </w:pPr>
            <w:r>
              <w:rPr>
                <w:rFonts w:ascii="CAIXA Std Book" w:hAnsi="CAIXA Std Book" w:cs="Calibri"/>
                <w:color w:val="005CA9"/>
                <w:sz w:val="18"/>
                <w:szCs w:val="18"/>
              </w:rPr>
              <w:t>409.636</w:t>
            </w:r>
          </w:p>
        </w:tc>
        <w:tc>
          <w:tcPr>
            <w:tcW w:w="698" w:type="pct"/>
            <w:tcBorders>
              <w:top w:val="nil"/>
              <w:left w:val="nil"/>
              <w:bottom w:val="single" w:sz="4" w:space="0" w:color="FFFFFF"/>
              <w:right w:val="nil"/>
            </w:tcBorders>
            <w:tcMar>
              <w:top w:w="15" w:type="dxa"/>
              <w:left w:w="15" w:type="dxa"/>
              <w:bottom w:w="0" w:type="dxa"/>
              <w:right w:w="15" w:type="dxa"/>
            </w:tcMar>
            <w:vAlign w:val="center"/>
          </w:tcPr>
          <w:p w14:paraId="57B369CF" w14:textId="5738CF05" w:rsidR="00D54FDB" w:rsidRDefault="00E06989" w:rsidP="00D54FDB">
            <w:pPr>
              <w:jc w:val="right"/>
              <w:rPr>
                <w:rFonts w:ascii="CAIXA Std Book" w:hAnsi="CAIXA Std Book"/>
                <w:color w:val="005CA9"/>
                <w:sz w:val="18"/>
                <w:szCs w:val="18"/>
              </w:rPr>
            </w:pPr>
            <w:r>
              <w:rPr>
                <w:rFonts w:ascii="CAIXA Std Book" w:hAnsi="CAIXA Std Book" w:cs="Calibri"/>
                <w:color w:val="005CA9"/>
                <w:sz w:val="18"/>
                <w:szCs w:val="18"/>
              </w:rPr>
              <w:t>470.358</w:t>
            </w:r>
          </w:p>
        </w:tc>
        <w:tc>
          <w:tcPr>
            <w:tcW w:w="699" w:type="pct"/>
            <w:tcBorders>
              <w:top w:val="nil"/>
              <w:left w:val="nil"/>
              <w:bottom w:val="single" w:sz="4" w:space="0" w:color="FFFFFF"/>
              <w:right w:val="nil"/>
            </w:tcBorders>
            <w:tcMar>
              <w:top w:w="15" w:type="dxa"/>
              <w:left w:w="15" w:type="dxa"/>
              <w:bottom w:w="0" w:type="dxa"/>
              <w:right w:w="15" w:type="dxa"/>
            </w:tcMar>
            <w:vAlign w:val="center"/>
            <w:hideMark/>
          </w:tcPr>
          <w:p w14:paraId="18EF102E" w14:textId="58F5A152" w:rsidR="00D54FDB" w:rsidRDefault="00E1506F" w:rsidP="00D54FDB">
            <w:pPr>
              <w:jc w:val="right"/>
              <w:rPr>
                <w:rFonts w:ascii="CAIXA Std Book" w:hAnsi="CAIXA Std Book"/>
                <w:color w:val="005CA9"/>
                <w:sz w:val="18"/>
                <w:szCs w:val="18"/>
              </w:rPr>
            </w:pPr>
            <w:r>
              <w:rPr>
                <w:rFonts w:ascii="CAIXA Std Book" w:hAnsi="CAIXA Std Book" w:cs="Calibri"/>
                <w:color w:val="005CA9"/>
                <w:sz w:val="18"/>
                <w:szCs w:val="18"/>
              </w:rPr>
              <w:t>409.647</w:t>
            </w:r>
          </w:p>
        </w:tc>
      </w:tr>
      <w:tr w:rsidR="00D54FDB" w14:paraId="34FC6FA9" w14:textId="77777777" w:rsidTr="00850536">
        <w:trPr>
          <w:trHeight w:val="272"/>
        </w:trPr>
        <w:tc>
          <w:tcPr>
            <w:tcW w:w="2206" w:type="pct"/>
            <w:tcBorders>
              <w:top w:val="nil"/>
              <w:left w:val="nil"/>
              <w:bottom w:val="single" w:sz="4" w:space="0" w:color="FFFFFF"/>
              <w:right w:val="nil"/>
            </w:tcBorders>
            <w:noWrap/>
            <w:tcMar>
              <w:top w:w="15" w:type="dxa"/>
              <w:left w:w="15" w:type="dxa"/>
              <w:bottom w:w="0" w:type="dxa"/>
              <w:right w:w="15" w:type="dxa"/>
            </w:tcMar>
            <w:vAlign w:val="center"/>
            <w:hideMark/>
          </w:tcPr>
          <w:p w14:paraId="5D7F1D03" w14:textId="7D901966" w:rsidR="00D54FDB" w:rsidRDefault="00E1506F">
            <w:pPr>
              <w:rPr>
                <w:rFonts w:ascii="CAIXA Std Book" w:hAnsi="CAIXA Std Book"/>
                <w:color w:val="005CA9"/>
                <w:sz w:val="18"/>
                <w:szCs w:val="18"/>
              </w:rPr>
            </w:pPr>
            <w:r>
              <w:rPr>
                <w:rFonts w:ascii="CAIXA Std Book" w:hAnsi="CAIXA Std Book" w:cs="Calibri"/>
                <w:color w:val="005CA9"/>
                <w:sz w:val="18"/>
                <w:szCs w:val="18"/>
              </w:rPr>
              <w:t>Direito de uso – Rede CAIXA</w:t>
            </w:r>
          </w:p>
        </w:tc>
        <w:tc>
          <w:tcPr>
            <w:tcW w:w="698" w:type="pct"/>
            <w:tcBorders>
              <w:top w:val="nil"/>
              <w:left w:val="nil"/>
              <w:bottom w:val="single" w:sz="4" w:space="0" w:color="FFFFFF"/>
              <w:right w:val="nil"/>
            </w:tcBorders>
            <w:tcMar>
              <w:top w:w="15" w:type="dxa"/>
              <w:left w:w="15" w:type="dxa"/>
              <w:bottom w:w="0" w:type="dxa"/>
              <w:right w:w="15" w:type="dxa"/>
            </w:tcMar>
            <w:vAlign w:val="center"/>
          </w:tcPr>
          <w:p w14:paraId="7088E0A4" w14:textId="1C2B5E69" w:rsidR="00D54FDB" w:rsidRDefault="00E1506F" w:rsidP="00D54FDB">
            <w:pPr>
              <w:jc w:val="right"/>
              <w:rPr>
                <w:rFonts w:ascii="CAIXA Std Book" w:hAnsi="CAIXA Std Book"/>
                <w:color w:val="005CA9"/>
                <w:sz w:val="18"/>
                <w:szCs w:val="18"/>
              </w:rPr>
            </w:pPr>
            <w:r>
              <w:rPr>
                <w:rFonts w:ascii="CAIXA Std Book" w:hAnsi="CAIXA Std Book" w:cs="Calibri"/>
                <w:color w:val="005CA9"/>
                <w:sz w:val="18"/>
                <w:szCs w:val="18"/>
              </w:rPr>
              <w:t>111.856</w:t>
            </w:r>
          </w:p>
        </w:tc>
        <w:tc>
          <w:tcPr>
            <w:tcW w:w="699" w:type="pct"/>
            <w:tcBorders>
              <w:top w:val="nil"/>
              <w:left w:val="nil"/>
              <w:bottom w:val="single" w:sz="4" w:space="0" w:color="FFFFFF"/>
              <w:right w:val="nil"/>
            </w:tcBorders>
            <w:noWrap/>
            <w:tcMar>
              <w:top w:w="15" w:type="dxa"/>
              <w:left w:w="15" w:type="dxa"/>
              <w:bottom w:w="0" w:type="dxa"/>
              <w:right w:w="15" w:type="dxa"/>
            </w:tcMar>
            <w:vAlign w:val="center"/>
            <w:hideMark/>
          </w:tcPr>
          <w:p w14:paraId="4E1EEAA3" w14:textId="7245FC58" w:rsidR="00D54FDB" w:rsidRPr="00850536" w:rsidRDefault="00E1506F" w:rsidP="00D54FDB">
            <w:pPr>
              <w:jc w:val="right"/>
              <w:rPr>
                <w:rFonts w:ascii="CAIXA Std Book" w:hAnsi="CAIXA Std Book"/>
                <w:color w:val="000000"/>
                <w:sz w:val="18"/>
                <w:szCs w:val="18"/>
              </w:rPr>
            </w:pPr>
            <w:r>
              <w:rPr>
                <w:rFonts w:ascii="CAIXA Std Book" w:hAnsi="CAIXA Std Book" w:cs="Calibri"/>
                <w:color w:val="005CA9"/>
                <w:sz w:val="18"/>
                <w:szCs w:val="18"/>
              </w:rPr>
              <w:t>110.086</w:t>
            </w:r>
          </w:p>
        </w:tc>
        <w:tc>
          <w:tcPr>
            <w:tcW w:w="698" w:type="pct"/>
            <w:tcBorders>
              <w:top w:val="nil"/>
              <w:left w:val="nil"/>
              <w:bottom w:val="single" w:sz="4" w:space="0" w:color="FFFFFF"/>
              <w:right w:val="nil"/>
            </w:tcBorders>
            <w:tcMar>
              <w:top w:w="15" w:type="dxa"/>
              <w:left w:w="15" w:type="dxa"/>
              <w:bottom w:w="0" w:type="dxa"/>
              <w:right w:w="15" w:type="dxa"/>
            </w:tcMar>
            <w:vAlign w:val="center"/>
          </w:tcPr>
          <w:p w14:paraId="131C612F" w14:textId="396ADE1D" w:rsidR="00D54FDB" w:rsidRDefault="00E06989" w:rsidP="00D54FDB">
            <w:pPr>
              <w:jc w:val="right"/>
              <w:rPr>
                <w:rFonts w:ascii="CAIXA Std Book" w:hAnsi="CAIXA Std Book"/>
                <w:color w:val="005CA9"/>
                <w:sz w:val="18"/>
                <w:szCs w:val="18"/>
              </w:rPr>
            </w:pPr>
            <w:r>
              <w:rPr>
                <w:rFonts w:ascii="CAIXA Std Book" w:hAnsi="CAIXA Std Book" w:cs="Calibri"/>
                <w:color w:val="005CA9"/>
                <w:sz w:val="18"/>
                <w:szCs w:val="18"/>
              </w:rPr>
              <w:t>111.856</w:t>
            </w:r>
          </w:p>
        </w:tc>
        <w:tc>
          <w:tcPr>
            <w:tcW w:w="699" w:type="pct"/>
            <w:tcBorders>
              <w:top w:val="nil"/>
              <w:left w:val="nil"/>
              <w:bottom w:val="single" w:sz="4" w:space="0" w:color="FFFFFF"/>
              <w:right w:val="nil"/>
            </w:tcBorders>
            <w:tcMar>
              <w:top w:w="15" w:type="dxa"/>
              <w:left w:w="15" w:type="dxa"/>
              <w:bottom w:w="0" w:type="dxa"/>
              <w:right w:w="15" w:type="dxa"/>
            </w:tcMar>
            <w:vAlign w:val="center"/>
            <w:hideMark/>
          </w:tcPr>
          <w:p w14:paraId="42C9061D" w14:textId="3506ED29" w:rsidR="00D54FDB" w:rsidRDefault="00E1506F" w:rsidP="00D54FDB">
            <w:pPr>
              <w:jc w:val="right"/>
              <w:rPr>
                <w:rFonts w:ascii="CAIXA Std Book" w:hAnsi="CAIXA Std Book"/>
                <w:color w:val="005CA9"/>
                <w:sz w:val="18"/>
                <w:szCs w:val="18"/>
              </w:rPr>
            </w:pPr>
            <w:r>
              <w:rPr>
                <w:rFonts w:ascii="CAIXA Std Book" w:hAnsi="CAIXA Std Book" w:cs="Calibri"/>
                <w:color w:val="005CA9"/>
                <w:sz w:val="18"/>
                <w:szCs w:val="18"/>
              </w:rPr>
              <w:t>110.086</w:t>
            </w:r>
          </w:p>
        </w:tc>
      </w:tr>
      <w:tr w:rsidR="00D54FDB" w14:paraId="0D2F9148" w14:textId="77777777" w:rsidTr="00850536">
        <w:trPr>
          <w:trHeight w:val="272"/>
        </w:trPr>
        <w:tc>
          <w:tcPr>
            <w:tcW w:w="2206" w:type="pct"/>
            <w:tcBorders>
              <w:top w:val="nil"/>
              <w:left w:val="nil"/>
              <w:bottom w:val="single" w:sz="4" w:space="0" w:color="FFFFFF"/>
              <w:right w:val="nil"/>
            </w:tcBorders>
            <w:noWrap/>
            <w:tcMar>
              <w:top w:w="15" w:type="dxa"/>
              <w:left w:w="15" w:type="dxa"/>
              <w:bottom w:w="0" w:type="dxa"/>
              <w:right w:w="15" w:type="dxa"/>
            </w:tcMar>
            <w:vAlign w:val="center"/>
            <w:hideMark/>
          </w:tcPr>
          <w:p w14:paraId="53547A2A" w14:textId="56882952" w:rsidR="00D54FDB" w:rsidRDefault="00E1506F">
            <w:pPr>
              <w:rPr>
                <w:rFonts w:ascii="CAIXA Std Book" w:hAnsi="CAIXA Std Book"/>
                <w:color w:val="005CA9"/>
                <w:sz w:val="18"/>
                <w:szCs w:val="18"/>
              </w:rPr>
            </w:pPr>
            <w:r>
              <w:rPr>
                <w:rFonts w:ascii="CAIXA Std Book" w:hAnsi="CAIXA Std Book" w:cs="Calibri"/>
                <w:color w:val="005CA9"/>
                <w:sz w:val="18"/>
                <w:szCs w:val="18"/>
              </w:rPr>
              <w:t>Recuperação de perdas operacionais</w:t>
            </w:r>
          </w:p>
        </w:tc>
        <w:tc>
          <w:tcPr>
            <w:tcW w:w="698" w:type="pct"/>
            <w:tcBorders>
              <w:top w:val="nil"/>
              <w:left w:val="nil"/>
              <w:bottom w:val="single" w:sz="4" w:space="0" w:color="FFFFFF"/>
              <w:right w:val="nil"/>
            </w:tcBorders>
            <w:tcMar>
              <w:top w:w="15" w:type="dxa"/>
              <w:left w:w="15" w:type="dxa"/>
              <w:bottom w:w="0" w:type="dxa"/>
              <w:right w:w="15" w:type="dxa"/>
            </w:tcMar>
            <w:vAlign w:val="center"/>
          </w:tcPr>
          <w:p w14:paraId="6ADF79F1" w14:textId="40A60841" w:rsidR="00D54FDB" w:rsidRDefault="00E1506F" w:rsidP="00D54FDB">
            <w:pPr>
              <w:jc w:val="right"/>
              <w:rPr>
                <w:rFonts w:ascii="CAIXA Std Book" w:hAnsi="CAIXA Std Book"/>
                <w:color w:val="005CA9"/>
                <w:sz w:val="18"/>
                <w:szCs w:val="18"/>
              </w:rPr>
            </w:pPr>
            <w:r>
              <w:rPr>
                <w:rFonts w:ascii="CAIXA Std Book" w:hAnsi="CAIXA Std Book" w:cs="Calibri"/>
                <w:color w:val="005CA9"/>
                <w:sz w:val="18"/>
                <w:szCs w:val="18"/>
              </w:rPr>
              <w:t>69.680</w:t>
            </w:r>
          </w:p>
        </w:tc>
        <w:tc>
          <w:tcPr>
            <w:tcW w:w="699" w:type="pct"/>
            <w:tcBorders>
              <w:top w:val="nil"/>
              <w:left w:val="nil"/>
              <w:bottom w:val="single" w:sz="4" w:space="0" w:color="FFFFFF"/>
              <w:right w:val="nil"/>
            </w:tcBorders>
            <w:noWrap/>
            <w:tcMar>
              <w:top w:w="15" w:type="dxa"/>
              <w:left w:w="15" w:type="dxa"/>
              <w:bottom w:w="0" w:type="dxa"/>
              <w:right w:w="15" w:type="dxa"/>
            </w:tcMar>
            <w:vAlign w:val="center"/>
            <w:hideMark/>
          </w:tcPr>
          <w:p w14:paraId="1A5606D8" w14:textId="1A4F1ED5" w:rsidR="00D54FDB" w:rsidRPr="00850536" w:rsidRDefault="00E1506F" w:rsidP="00D54FDB">
            <w:pPr>
              <w:jc w:val="right"/>
              <w:rPr>
                <w:rFonts w:ascii="CAIXA Std Book" w:hAnsi="CAIXA Std Book"/>
                <w:color w:val="000000"/>
                <w:sz w:val="18"/>
                <w:szCs w:val="18"/>
              </w:rPr>
            </w:pPr>
            <w:r>
              <w:rPr>
                <w:rFonts w:ascii="CAIXA Std Book" w:hAnsi="CAIXA Std Book" w:cs="Calibri"/>
                <w:color w:val="005CA9"/>
                <w:sz w:val="18"/>
                <w:szCs w:val="18"/>
              </w:rPr>
              <w:t>97.416</w:t>
            </w:r>
          </w:p>
        </w:tc>
        <w:tc>
          <w:tcPr>
            <w:tcW w:w="698" w:type="pct"/>
            <w:tcBorders>
              <w:top w:val="nil"/>
              <w:left w:val="nil"/>
              <w:bottom w:val="single" w:sz="4" w:space="0" w:color="FFFFFF"/>
              <w:right w:val="nil"/>
            </w:tcBorders>
            <w:tcMar>
              <w:top w:w="15" w:type="dxa"/>
              <w:left w:w="15" w:type="dxa"/>
              <w:bottom w:w="0" w:type="dxa"/>
              <w:right w:w="15" w:type="dxa"/>
            </w:tcMar>
            <w:vAlign w:val="center"/>
          </w:tcPr>
          <w:p w14:paraId="71513C58" w14:textId="53D7DC92" w:rsidR="00D54FDB" w:rsidRDefault="00E06989" w:rsidP="00D54FDB">
            <w:pPr>
              <w:jc w:val="right"/>
              <w:rPr>
                <w:rFonts w:ascii="CAIXA Std Book" w:hAnsi="CAIXA Std Book"/>
                <w:color w:val="005CA9"/>
                <w:sz w:val="18"/>
                <w:szCs w:val="18"/>
              </w:rPr>
            </w:pPr>
            <w:r>
              <w:rPr>
                <w:rFonts w:ascii="CAIXA Std Book" w:hAnsi="CAIXA Std Book" w:cs="Calibri"/>
                <w:color w:val="005CA9"/>
                <w:sz w:val="18"/>
                <w:szCs w:val="18"/>
              </w:rPr>
              <w:t>74.338</w:t>
            </w:r>
          </w:p>
        </w:tc>
        <w:tc>
          <w:tcPr>
            <w:tcW w:w="699" w:type="pct"/>
            <w:tcBorders>
              <w:top w:val="nil"/>
              <w:left w:val="nil"/>
              <w:bottom w:val="single" w:sz="4" w:space="0" w:color="FFFFFF"/>
              <w:right w:val="nil"/>
            </w:tcBorders>
            <w:tcMar>
              <w:top w:w="15" w:type="dxa"/>
              <w:left w:w="15" w:type="dxa"/>
              <w:bottom w:w="0" w:type="dxa"/>
              <w:right w:w="15" w:type="dxa"/>
            </w:tcMar>
            <w:vAlign w:val="center"/>
            <w:hideMark/>
          </w:tcPr>
          <w:p w14:paraId="5484FECB" w14:textId="79D6DF85" w:rsidR="00D54FDB" w:rsidRDefault="00E1506F" w:rsidP="00D54FDB">
            <w:pPr>
              <w:jc w:val="right"/>
              <w:rPr>
                <w:rFonts w:ascii="CAIXA Std Book" w:hAnsi="CAIXA Std Book"/>
                <w:color w:val="005CA9"/>
                <w:sz w:val="18"/>
                <w:szCs w:val="18"/>
              </w:rPr>
            </w:pPr>
            <w:r>
              <w:rPr>
                <w:rFonts w:ascii="CAIXA Std Book" w:hAnsi="CAIXA Std Book" w:cs="Calibri"/>
                <w:color w:val="005CA9"/>
                <w:sz w:val="18"/>
                <w:szCs w:val="18"/>
              </w:rPr>
              <w:t>97.416</w:t>
            </w:r>
          </w:p>
        </w:tc>
      </w:tr>
      <w:tr w:rsidR="00D54FDB" w14:paraId="3144E5D6" w14:textId="77777777" w:rsidTr="00850536">
        <w:trPr>
          <w:trHeight w:val="272"/>
        </w:trPr>
        <w:tc>
          <w:tcPr>
            <w:tcW w:w="2206" w:type="pct"/>
            <w:tcBorders>
              <w:top w:val="nil"/>
              <w:left w:val="nil"/>
              <w:bottom w:val="single" w:sz="4" w:space="0" w:color="FFFFFF"/>
              <w:right w:val="nil"/>
            </w:tcBorders>
            <w:noWrap/>
            <w:tcMar>
              <w:top w:w="15" w:type="dxa"/>
              <w:left w:w="15" w:type="dxa"/>
              <w:bottom w:w="0" w:type="dxa"/>
              <w:right w:w="15" w:type="dxa"/>
            </w:tcMar>
            <w:vAlign w:val="center"/>
            <w:hideMark/>
          </w:tcPr>
          <w:p w14:paraId="74E54155" w14:textId="4D9B75BB" w:rsidR="00D54FDB" w:rsidRDefault="00E1506F">
            <w:pPr>
              <w:rPr>
                <w:rFonts w:ascii="CAIXA Std Book" w:hAnsi="CAIXA Std Book"/>
                <w:color w:val="005CA9"/>
                <w:sz w:val="18"/>
                <w:szCs w:val="18"/>
              </w:rPr>
            </w:pPr>
            <w:r>
              <w:rPr>
                <w:rFonts w:ascii="CAIXA Std Book" w:hAnsi="CAIXA Std Book" w:cs="Calibri"/>
                <w:color w:val="005CA9"/>
                <w:sz w:val="18"/>
                <w:szCs w:val="18"/>
              </w:rPr>
              <w:t xml:space="preserve">Avaliação atuarial extraordinária </w:t>
            </w:r>
            <w:r w:rsidR="004D3695">
              <w:rPr>
                <w:rFonts w:ascii="CAIXA Std Book" w:hAnsi="CAIXA Std Book" w:cs="Calibri"/>
                <w:color w:val="005CA9"/>
                <w:sz w:val="18"/>
                <w:szCs w:val="18"/>
              </w:rPr>
              <w:t>(</w:t>
            </w:r>
            <w:r w:rsidR="003D0CCD">
              <w:rPr>
                <w:rFonts w:ascii="CAIXA Std Book" w:hAnsi="CAIXA Std Book" w:cs="Calibri"/>
                <w:color w:val="005CA9"/>
                <w:sz w:val="18"/>
                <w:szCs w:val="18"/>
              </w:rPr>
              <w:t>2</w:t>
            </w:r>
            <w:r w:rsidR="004D3695">
              <w:rPr>
                <w:rFonts w:ascii="CAIXA Std Book" w:hAnsi="CAIXA Std Book" w:cs="Calibri"/>
                <w:color w:val="005CA9"/>
                <w:sz w:val="18"/>
                <w:szCs w:val="18"/>
              </w:rPr>
              <w:t>)</w:t>
            </w:r>
          </w:p>
        </w:tc>
        <w:tc>
          <w:tcPr>
            <w:tcW w:w="698" w:type="pct"/>
            <w:tcBorders>
              <w:top w:val="nil"/>
              <w:left w:val="nil"/>
              <w:bottom w:val="single" w:sz="4" w:space="0" w:color="FFFFFF"/>
              <w:right w:val="nil"/>
            </w:tcBorders>
            <w:tcMar>
              <w:top w:w="15" w:type="dxa"/>
              <w:left w:w="15" w:type="dxa"/>
              <w:bottom w:w="0" w:type="dxa"/>
              <w:right w:w="15" w:type="dxa"/>
            </w:tcMar>
            <w:vAlign w:val="center"/>
          </w:tcPr>
          <w:p w14:paraId="1A085357" w14:textId="32E68CB1" w:rsidR="00D54FDB" w:rsidRDefault="00E1506F" w:rsidP="002D1520">
            <w:pPr>
              <w:jc w:val="center"/>
              <w:rPr>
                <w:rFonts w:ascii="CAIXA Std Book" w:hAnsi="CAIXA Std Book"/>
                <w:color w:val="005CA9"/>
                <w:sz w:val="18"/>
                <w:szCs w:val="18"/>
              </w:rPr>
            </w:pPr>
            <w:r>
              <w:rPr>
                <w:rFonts w:ascii="CAIXA Std Book" w:hAnsi="CAIXA Std Book" w:cs="Calibri"/>
                <w:color w:val="005CA9"/>
                <w:sz w:val="18"/>
                <w:szCs w:val="18"/>
              </w:rPr>
              <w:t>-</w:t>
            </w:r>
          </w:p>
        </w:tc>
        <w:tc>
          <w:tcPr>
            <w:tcW w:w="699" w:type="pct"/>
            <w:tcBorders>
              <w:top w:val="nil"/>
              <w:left w:val="nil"/>
              <w:bottom w:val="single" w:sz="4" w:space="0" w:color="FFFFFF"/>
              <w:right w:val="nil"/>
            </w:tcBorders>
            <w:noWrap/>
            <w:tcMar>
              <w:top w:w="15" w:type="dxa"/>
              <w:left w:w="15" w:type="dxa"/>
              <w:bottom w:w="0" w:type="dxa"/>
              <w:right w:w="15" w:type="dxa"/>
            </w:tcMar>
            <w:vAlign w:val="center"/>
            <w:hideMark/>
          </w:tcPr>
          <w:p w14:paraId="4C71F504" w14:textId="6D84EAD7" w:rsidR="00D54FDB" w:rsidRPr="00850536" w:rsidRDefault="00E1506F" w:rsidP="00D54FDB">
            <w:pPr>
              <w:jc w:val="right"/>
              <w:rPr>
                <w:rFonts w:ascii="CAIXA Std Book" w:hAnsi="CAIXA Std Book"/>
                <w:color w:val="000000"/>
                <w:sz w:val="18"/>
                <w:szCs w:val="18"/>
              </w:rPr>
            </w:pPr>
            <w:r>
              <w:rPr>
                <w:rFonts w:ascii="CAIXA Std Book" w:hAnsi="CAIXA Std Book" w:cs="Calibri"/>
                <w:color w:val="005CA9"/>
                <w:sz w:val="18"/>
                <w:szCs w:val="18"/>
              </w:rPr>
              <w:t>900.784</w:t>
            </w:r>
          </w:p>
        </w:tc>
        <w:tc>
          <w:tcPr>
            <w:tcW w:w="698" w:type="pct"/>
            <w:tcBorders>
              <w:top w:val="nil"/>
              <w:left w:val="nil"/>
              <w:bottom w:val="single" w:sz="4" w:space="0" w:color="FFFFFF"/>
              <w:right w:val="nil"/>
            </w:tcBorders>
            <w:tcMar>
              <w:top w:w="15" w:type="dxa"/>
              <w:left w:w="15" w:type="dxa"/>
              <w:bottom w:w="0" w:type="dxa"/>
              <w:right w:w="15" w:type="dxa"/>
            </w:tcMar>
            <w:vAlign w:val="center"/>
          </w:tcPr>
          <w:p w14:paraId="4AD16E13" w14:textId="1B35A54F" w:rsidR="00D54FDB" w:rsidRDefault="00E06989" w:rsidP="00BB1EA9">
            <w:pPr>
              <w:jc w:val="center"/>
              <w:rPr>
                <w:rFonts w:ascii="CAIXA Std Book" w:hAnsi="CAIXA Std Book"/>
                <w:color w:val="005CA9"/>
                <w:sz w:val="18"/>
                <w:szCs w:val="18"/>
              </w:rPr>
            </w:pPr>
            <w:r>
              <w:rPr>
                <w:rFonts w:ascii="CAIXA Std Book" w:hAnsi="CAIXA Std Book" w:cs="Calibri"/>
                <w:color w:val="005CA9"/>
                <w:sz w:val="18"/>
                <w:szCs w:val="18"/>
              </w:rPr>
              <w:t>-</w:t>
            </w:r>
          </w:p>
        </w:tc>
        <w:tc>
          <w:tcPr>
            <w:tcW w:w="699" w:type="pct"/>
            <w:tcBorders>
              <w:top w:val="nil"/>
              <w:left w:val="nil"/>
              <w:bottom w:val="single" w:sz="4" w:space="0" w:color="FFFFFF"/>
              <w:right w:val="nil"/>
            </w:tcBorders>
            <w:tcMar>
              <w:top w:w="15" w:type="dxa"/>
              <w:left w:w="15" w:type="dxa"/>
              <w:bottom w:w="0" w:type="dxa"/>
              <w:right w:w="15" w:type="dxa"/>
            </w:tcMar>
            <w:vAlign w:val="center"/>
            <w:hideMark/>
          </w:tcPr>
          <w:p w14:paraId="5F789DA6" w14:textId="2925F792" w:rsidR="00D54FDB" w:rsidRDefault="00E1506F" w:rsidP="00D54FDB">
            <w:pPr>
              <w:jc w:val="right"/>
              <w:rPr>
                <w:rFonts w:ascii="CAIXA Std Book" w:hAnsi="CAIXA Std Book"/>
                <w:color w:val="005CA9"/>
                <w:sz w:val="18"/>
                <w:szCs w:val="18"/>
              </w:rPr>
            </w:pPr>
            <w:r>
              <w:rPr>
                <w:rFonts w:ascii="CAIXA Std Book" w:hAnsi="CAIXA Std Book" w:cs="Calibri"/>
                <w:color w:val="005CA9"/>
                <w:sz w:val="18"/>
                <w:szCs w:val="18"/>
              </w:rPr>
              <w:t>900.784</w:t>
            </w:r>
          </w:p>
        </w:tc>
      </w:tr>
      <w:tr w:rsidR="00D54FDB" w14:paraId="52D8AE72" w14:textId="77777777" w:rsidTr="00850536">
        <w:trPr>
          <w:trHeight w:val="272"/>
        </w:trPr>
        <w:tc>
          <w:tcPr>
            <w:tcW w:w="2206" w:type="pct"/>
            <w:tcBorders>
              <w:top w:val="nil"/>
              <w:left w:val="nil"/>
              <w:bottom w:val="single" w:sz="4" w:space="0" w:color="FFFFFF"/>
              <w:right w:val="nil"/>
            </w:tcBorders>
            <w:noWrap/>
            <w:tcMar>
              <w:top w:w="15" w:type="dxa"/>
              <w:left w:w="15" w:type="dxa"/>
              <w:bottom w:w="0" w:type="dxa"/>
              <w:right w:w="15" w:type="dxa"/>
            </w:tcMar>
            <w:vAlign w:val="center"/>
            <w:hideMark/>
          </w:tcPr>
          <w:p w14:paraId="3B32183C" w14:textId="0ED7C805" w:rsidR="00D54FDB" w:rsidRDefault="00E1506F">
            <w:pPr>
              <w:rPr>
                <w:rFonts w:ascii="CAIXA Std Book" w:hAnsi="CAIXA Std Book"/>
                <w:color w:val="005CA9"/>
                <w:sz w:val="18"/>
                <w:szCs w:val="18"/>
              </w:rPr>
            </w:pPr>
            <w:r>
              <w:rPr>
                <w:rFonts w:ascii="CAIXA Std Book" w:hAnsi="CAIXA Std Book" w:cs="Calibri"/>
                <w:color w:val="005CA9"/>
                <w:sz w:val="18"/>
                <w:szCs w:val="18"/>
              </w:rPr>
              <w:t xml:space="preserve">Ganhos na alienação de investimentos </w:t>
            </w:r>
            <w:r w:rsidR="002C6C15">
              <w:rPr>
                <w:rFonts w:ascii="CAIXA Std Book" w:hAnsi="CAIXA Std Book" w:cs="Calibri"/>
                <w:color w:val="005CA9"/>
                <w:sz w:val="18"/>
                <w:szCs w:val="18"/>
              </w:rPr>
              <w:t>(</w:t>
            </w:r>
            <w:r w:rsidR="003D0CCD">
              <w:rPr>
                <w:rFonts w:ascii="CAIXA Std Book" w:hAnsi="CAIXA Std Book" w:cs="Calibri"/>
                <w:color w:val="005CA9"/>
                <w:sz w:val="18"/>
                <w:szCs w:val="18"/>
              </w:rPr>
              <w:t>3</w:t>
            </w:r>
            <w:r w:rsidR="002C6C15">
              <w:rPr>
                <w:rFonts w:ascii="CAIXA Std Book" w:hAnsi="CAIXA Std Book" w:cs="Calibri"/>
                <w:color w:val="005CA9"/>
                <w:sz w:val="18"/>
                <w:szCs w:val="18"/>
              </w:rPr>
              <w:t>)</w:t>
            </w:r>
          </w:p>
        </w:tc>
        <w:tc>
          <w:tcPr>
            <w:tcW w:w="698" w:type="pct"/>
            <w:tcBorders>
              <w:top w:val="nil"/>
              <w:left w:val="nil"/>
              <w:bottom w:val="single" w:sz="4" w:space="0" w:color="FFFFFF"/>
              <w:right w:val="nil"/>
            </w:tcBorders>
            <w:tcMar>
              <w:top w:w="15" w:type="dxa"/>
              <w:left w:w="15" w:type="dxa"/>
              <w:bottom w:w="0" w:type="dxa"/>
              <w:right w:w="15" w:type="dxa"/>
            </w:tcMar>
            <w:vAlign w:val="center"/>
          </w:tcPr>
          <w:p w14:paraId="0BD8994E" w14:textId="6799A990" w:rsidR="00D54FDB" w:rsidRDefault="00E1506F" w:rsidP="002D1520">
            <w:pPr>
              <w:jc w:val="center"/>
              <w:rPr>
                <w:rFonts w:ascii="CAIXA Std Book" w:hAnsi="CAIXA Std Book"/>
                <w:color w:val="005CA9"/>
                <w:sz w:val="18"/>
                <w:szCs w:val="18"/>
              </w:rPr>
            </w:pPr>
            <w:r>
              <w:rPr>
                <w:rFonts w:ascii="CAIXA Std Book" w:hAnsi="CAIXA Std Book" w:cs="Calibri"/>
                <w:color w:val="005CA9"/>
                <w:sz w:val="18"/>
                <w:szCs w:val="18"/>
              </w:rPr>
              <w:t>-</w:t>
            </w:r>
          </w:p>
        </w:tc>
        <w:tc>
          <w:tcPr>
            <w:tcW w:w="699" w:type="pct"/>
            <w:tcBorders>
              <w:top w:val="nil"/>
              <w:left w:val="nil"/>
              <w:bottom w:val="single" w:sz="4" w:space="0" w:color="FFFFFF"/>
              <w:right w:val="nil"/>
            </w:tcBorders>
            <w:noWrap/>
            <w:tcMar>
              <w:top w:w="15" w:type="dxa"/>
              <w:left w:w="15" w:type="dxa"/>
              <w:bottom w:w="0" w:type="dxa"/>
              <w:right w:w="15" w:type="dxa"/>
            </w:tcMar>
            <w:vAlign w:val="center"/>
            <w:hideMark/>
          </w:tcPr>
          <w:p w14:paraId="0F7E0135" w14:textId="78583707" w:rsidR="00D54FDB" w:rsidRPr="00850536" w:rsidRDefault="00E1506F" w:rsidP="00D54FDB">
            <w:pPr>
              <w:jc w:val="right"/>
              <w:rPr>
                <w:rFonts w:ascii="CAIXA Std Book" w:hAnsi="CAIXA Std Book"/>
                <w:color w:val="000000"/>
                <w:sz w:val="18"/>
                <w:szCs w:val="18"/>
              </w:rPr>
            </w:pPr>
            <w:r>
              <w:rPr>
                <w:rFonts w:ascii="CAIXA Std Book" w:hAnsi="CAIXA Std Book" w:cs="Calibri"/>
                <w:color w:val="005CA9"/>
                <w:sz w:val="18"/>
                <w:szCs w:val="18"/>
              </w:rPr>
              <w:t>839.464</w:t>
            </w:r>
          </w:p>
        </w:tc>
        <w:tc>
          <w:tcPr>
            <w:tcW w:w="698" w:type="pct"/>
            <w:tcBorders>
              <w:top w:val="nil"/>
              <w:left w:val="nil"/>
              <w:bottom w:val="single" w:sz="4" w:space="0" w:color="FFFFFF"/>
              <w:right w:val="nil"/>
            </w:tcBorders>
            <w:tcMar>
              <w:top w:w="15" w:type="dxa"/>
              <w:left w:w="15" w:type="dxa"/>
              <w:bottom w:w="0" w:type="dxa"/>
              <w:right w:w="15" w:type="dxa"/>
            </w:tcMar>
            <w:vAlign w:val="center"/>
          </w:tcPr>
          <w:p w14:paraId="700106BF" w14:textId="74137A20" w:rsidR="00D54FDB" w:rsidRDefault="00E06989" w:rsidP="00BB1EA9">
            <w:pPr>
              <w:jc w:val="center"/>
              <w:rPr>
                <w:rFonts w:ascii="CAIXA Std Book" w:hAnsi="CAIXA Std Book"/>
                <w:color w:val="005CA9"/>
                <w:sz w:val="18"/>
                <w:szCs w:val="18"/>
              </w:rPr>
            </w:pPr>
            <w:r>
              <w:rPr>
                <w:rFonts w:ascii="CAIXA Std Book" w:hAnsi="CAIXA Std Book" w:cs="Calibri"/>
                <w:color w:val="005CA9"/>
                <w:sz w:val="18"/>
                <w:szCs w:val="18"/>
              </w:rPr>
              <w:t>-</w:t>
            </w:r>
          </w:p>
        </w:tc>
        <w:tc>
          <w:tcPr>
            <w:tcW w:w="699" w:type="pct"/>
            <w:tcBorders>
              <w:top w:val="nil"/>
              <w:left w:val="nil"/>
              <w:bottom w:val="single" w:sz="4" w:space="0" w:color="FFFFFF"/>
              <w:right w:val="nil"/>
            </w:tcBorders>
            <w:tcMar>
              <w:top w:w="15" w:type="dxa"/>
              <w:left w:w="15" w:type="dxa"/>
              <w:bottom w:w="0" w:type="dxa"/>
              <w:right w:w="15" w:type="dxa"/>
            </w:tcMar>
            <w:vAlign w:val="center"/>
            <w:hideMark/>
          </w:tcPr>
          <w:p w14:paraId="726CCBF0" w14:textId="5457708E" w:rsidR="00D54FDB" w:rsidRDefault="00E1506F" w:rsidP="00D54FDB">
            <w:pPr>
              <w:jc w:val="right"/>
              <w:rPr>
                <w:rFonts w:ascii="CAIXA Std Book" w:hAnsi="CAIXA Std Book"/>
                <w:color w:val="005CA9"/>
                <w:sz w:val="18"/>
                <w:szCs w:val="18"/>
              </w:rPr>
            </w:pPr>
            <w:r>
              <w:rPr>
                <w:rFonts w:ascii="CAIXA Std Book" w:hAnsi="CAIXA Std Book" w:cs="Calibri"/>
                <w:color w:val="005CA9"/>
                <w:sz w:val="18"/>
                <w:szCs w:val="18"/>
              </w:rPr>
              <w:t>839.464</w:t>
            </w:r>
          </w:p>
        </w:tc>
      </w:tr>
      <w:tr w:rsidR="00D54FDB" w14:paraId="1AF0CA8C" w14:textId="77777777" w:rsidTr="00850536">
        <w:trPr>
          <w:trHeight w:val="272"/>
        </w:trPr>
        <w:tc>
          <w:tcPr>
            <w:tcW w:w="2206" w:type="pct"/>
            <w:tcBorders>
              <w:top w:val="nil"/>
              <w:left w:val="nil"/>
              <w:bottom w:val="single" w:sz="4" w:space="0" w:color="FFFFFF"/>
              <w:right w:val="nil"/>
            </w:tcBorders>
            <w:noWrap/>
            <w:tcMar>
              <w:top w:w="15" w:type="dxa"/>
              <w:left w:w="15" w:type="dxa"/>
              <w:bottom w:w="0" w:type="dxa"/>
              <w:right w:w="15" w:type="dxa"/>
            </w:tcMar>
            <w:vAlign w:val="center"/>
            <w:hideMark/>
          </w:tcPr>
          <w:p w14:paraId="5DA939C8" w14:textId="7434B1D8" w:rsidR="00D54FDB" w:rsidRDefault="00D54FDB">
            <w:pPr>
              <w:rPr>
                <w:rFonts w:ascii="CAIXA Std Book" w:hAnsi="CAIXA Std Book"/>
                <w:color w:val="005CA9"/>
                <w:sz w:val="18"/>
                <w:szCs w:val="18"/>
              </w:rPr>
            </w:pPr>
            <w:r>
              <w:rPr>
                <w:rFonts w:ascii="CAIXA Std Book" w:hAnsi="CAIXA Std Book" w:cs="Calibri"/>
                <w:color w:val="005CA9"/>
                <w:sz w:val="18"/>
                <w:szCs w:val="18"/>
              </w:rPr>
              <w:t>Cartão de crédito</w:t>
            </w:r>
          </w:p>
        </w:tc>
        <w:tc>
          <w:tcPr>
            <w:tcW w:w="698" w:type="pct"/>
            <w:tcBorders>
              <w:top w:val="nil"/>
              <w:left w:val="nil"/>
              <w:bottom w:val="single" w:sz="4" w:space="0" w:color="FFFFFF"/>
              <w:right w:val="nil"/>
            </w:tcBorders>
            <w:tcMar>
              <w:top w:w="15" w:type="dxa"/>
              <w:left w:w="15" w:type="dxa"/>
              <w:bottom w:w="0" w:type="dxa"/>
              <w:right w:w="15" w:type="dxa"/>
            </w:tcMar>
            <w:vAlign w:val="center"/>
          </w:tcPr>
          <w:p w14:paraId="401A9CDA" w14:textId="2927C970" w:rsidR="00D54FDB" w:rsidRDefault="00E1506F" w:rsidP="002D1520">
            <w:pPr>
              <w:jc w:val="center"/>
              <w:rPr>
                <w:rFonts w:ascii="CAIXA Std Book" w:hAnsi="CAIXA Std Book"/>
                <w:color w:val="005CA9"/>
                <w:sz w:val="18"/>
                <w:szCs w:val="18"/>
              </w:rPr>
            </w:pPr>
            <w:r>
              <w:rPr>
                <w:rFonts w:ascii="CAIXA Std Book" w:hAnsi="CAIXA Std Book" w:cs="Calibri"/>
                <w:color w:val="005CA9"/>
                <w:sz w:val="18"/>
                <w:szCs w:val="18"/>
              </w:rPr>
              <w:t>-</w:t>
            </w:r>
          </w:p>
        </w:tc>
        <w:tc>
          <w:tcPr>
            <w:tcW w:w="699" w:type="pct"/>
            <w:tcBorders>
              <w:top w:val="nil"/>
              <w:left w:val="nil"/>
              <w:bottom w:val="single" w:sz="4" w:space="0" w:color="FFFFFF"/>
              <w:right w:val="nil"/>
            </w:tcBorders>
            <w:noWrap/>
            <w:tcMar>
              <w:top w:w="15" w:type="dxa"/>
              <w:left w:w="15" w:type="dxa"/>
              <w:bottom w:w="0" w:type="dxa"/>
              <w:right w:w="15" w:type="dxa"/>
            </w:tcMar>
            <w:vAlign w:val="center"/>
            <w:hideMark/>
          </w:tcPr>
          <w:p w14:paraId="58001FF3" w14:textId="7DE3E221" w:rsidR="00D54FDB" w:rsidRPr="00850536" w:rsidRDefault="00FE7CE6" w:rsidP="00D54FDB">
            <w:pPr>
              <w:jc w:val="right"/>
              <w:rPr>
                <w:rFonts w:ascii="CAIXA Std Book" w:hAnsi="CAIXA Std Book"/>
                <w:color w:val="000000"/>
                <w:sz w:val="18"/>
                <w:szCs w:val="18"/>
              </w:rPr>
            </w:pPr>
            <w:r>
              <w:rPr>
                <w:rFonts w:ascii="CAIXA Std Book" w:hAnsi="CAIXA Std Book" w:cs="Calibri"/>
                <w:color w:val="005CA9"/>
                <w:sz w:val="18"/>
                <w:szCs w:val="18"/>
              </w:rPr>
              <w:t>61.937</w:t>
            </w:r>
          </w:p>
        </w:tc>
        <w:tc>
          <w:tcPr>
            <w:tcW w:w="698" w:type="pct"/>
            <w:tcBorders>
              <w:top w:val="nil"/>
              <w:left w:val="nil"/>
              <w:bottom w:val="single" w:sz="4" w:space="0" w:color="FFFFFF"/>
              <w:right w:val="nil"/>
            </w:tcBorders>
            <w:tcMar>
              <w:top w:w="15" w:type="dxa"/>
              <w:left w:w="15" w:type="dxa"/>
              <w:bottom w:w="0" w:type="dxa"/>
              <w:right w:w="15" w:type="dxa"/>
            </w:tcMar>
            <w:vAlign w:val="center"/>
          </w:tcPr>
          <w:p w14:paraId="17D6956E" w14:textId="196BE76C" w:rsidR="00D54FDB" w:rsidRDefault="00847E02" w:rsidP="00D54FDB">
            <w:pPr>
              <w:jc w:val="right"/>
              <w:rPr>
                <w:rFonts w:ascii="CAIXA Std Book" w:hAnsi="CAIXA Std Book"/>
                <w:color w:val="005CA9"/>
                <w:sz w:val="18"/>
                <w:szCs w:val="18"/>
              </w:rPr>
            </w:pPr>
            <w:r w:rsidRPr="00847E02">
              <w:rPr>
                <w:rFonts w:ascii="CAIXA Std Book" w:hAnsi="CAIXA Std Book" w:cs="Calibri"/>
                <w:color w:val="005CA9"/>
                <w:sz w:val="18"/>
                <w:szCs w:val="18"/>
              </w:rPr>
              <w:t>24.035</w:t>
            </w:r>
          </w:p>
        </w:tc>
        <w:tc>
          <w:tcPr>
            <w:tcW w:w="699" w:type="pct"/>
            <w:tcBorders>
              <w:top w:val="nil"/>
              <w:left w:val="nil"/>
              <w:bottom w:val="single" w:sz="4" w:space="0" w:color="FFFFFF"/>
              <w:right w:val="nil"/>
            </w:tcBorders>
            <w:tcMar>
              <w:top w:w="15" w:type="dxa"/>
              <w:left w:w="15" w:type="dxa"/>
              <w:bottom w:w="0" w:type="dxa"/>
              <w:right w:w="15" w:type="dxa"/>
            </w:tcMar>
            <w:vAlign w:val="center"/>
            <w:hideMark/>
          </w:tcPr>
          <w:p w14:paraId="1E2F62DF" w14:textId="3A372789" w:rsidR="00D54FDB" w:rsidRDefault="00FE7CE6" w:rsidP="00D54FDB">
            <w:pPr>
              <w:jc w:val="right"/>
              <w:rPr>
                <w:rFonts w:ascii="CAIXA Std Book" w:hAnsi="CAIXA Std Book"/>
                <w:color w:val="005CA9"/>
                <w:sz w:val="18"/>
                <w:szCs w:val="18"/>
              </w:rPr>
            </w:pPr>
            <w:r>
              <w:rPr>
                <w:rFonts w:ascii="CAIXA Std Book" w:hAnsi="CAIXA Std Book" w:cs="Calibri"/>
                <w:color w:val="005CA9"/>
                <w:sz w:val="18"/>
                <w:szCs w:val="18"/>
              </w:rPr>
              <w:t>61.937</w:t>
            </w:r>
          </w:p>
        </w:tc>
      </w:tr>
      <w:tr w:rsidR="00D54FDB" w14:paraId="36B481AD" w14:textId="77777777" w:rsidTr="00850536">
        <w:trPr>
          <w:trHeight w:val="272"/>
        </w:trPr>
        <w:tc>
          <w:tcPr>
            <w:tcW w:w="2206" w:type="pct"/>
            <w:tcBorders>
              <w:top w:val="nil"/>
              <w:left w:val="nil"/>
              <w:bottom w:val="single" w:sz="4" w:space="0" w:color="FFFFFF"/>
              <w:right w:val="nil"/>
            </w:tcBorders>
            <w:noWrap/>
            <w:tcMar>
              <w:top w:w="15" w:type="dxa"/>
              <w:left w:w="15" w:type="dxa"/>
              <w:bottom w:w="0" w:type="dxa"/>
              <w:right w:w="15" w:type="dxa"/>
            </w:tcMar>
            <w:vAlign w:val="center"/>
            <w:hideMark/>
          </w:tcPr>
          <w:p w14:paraId="229725EB" w14:textId="6F2AE0B5" w:rsidR="00D54FDB" w:rsidRDefault="00D54FDB">
            <w:pPr>
              <w:rPr>
                <w:rFonts w:ascii="CAIXA Std Book" w:hAnsi="CAIXA Std Book"/>
                <w:color w:val="005CA9"/>
                <w:sz w:val="18"/>
                <w:szCs w:val="18"/>
              </w:rPr>
            </w:pPr>
            <w:r>
              <w:rPr>
                <w:rFonts w:ascii="CAIXA Std Book" w:hAnsi="CAIXA Std Book" w:cs="Calibri"/>
                <w:color w:val="005CA9"/>
                <w:sz w:val="18"/>
                <w:szCs w:val="18"/>
              </w:rPr>
              <w:t>Outras</w:t>
            </w:r>
          </w:p>
        </w:tc>
        <w:tc>
          <w:tcPr>
            <w:tcW w:w="698" w:type="pct"/>
            <w:tcBorders>
              <w:top w:val="nil"/>
              <w:left w:val="nil"/>
              <w:bottom w:val="single" w:sz="4" w:space="0" w:color="FFFFFF"/>
              <w:right w:val="nil"/>
            </w:tcBorders>
            <w:tcMar>
              <w:top w:w="15" w:type="dxa"/>
              <w:left w:w="15" w:type="dxa"/>
              <w:bottom w:w="0" w:type="dxa"/>
              <w:right w:w="15" w:type="dxa"/>
            </w:tcMar>
            <w:vAlign w:val="center"/>
          </w:tcPr>
          <w:p w14:paraId="1B965FAC" w14:textId="5AFB62E2" w:rsidR="00D54FDB" w:rsidRDefault="00E1506F" w:rsidP="00D54FDB">
            <w:pPr>
              <w:jc w:val="right"/>
              <w:rPr>
                <w:rFonts w:ascii="CAIXA Std Book" w:hAnsi="CAIXA Std Book"/>
                <w:color w:val="005CA9"/>
                <w:sz w:val="18"/>
                <w:szCs w:val="18"/>
              </w:rPr>
            </w:pPr>
            <w:r>
              <w:rPr>
                <w:rFonts w:ascii="CAIXA Std Book" w:hAnsi="CAIXA Std Book" w:cs="Calibri"/>
                <w:color w:val="005CA9"/>
                <w:sz w:val="18"/>
                <w:szCs w:val="18"/>
              </w:rPr>
              <w:t>144.275</w:t>
            </w:r>
          </w:p>
        </w:tc>
        <w:tc>
          <w:tcPr>
            <w:tcW w:w="699" w:type="pct"/>
            <w:tcBorders>
              <w:top w:val="nil"/>
              <w:left w:val="nil"/>
              <w:bottom w:val="single" w:sz="4" w:space="0" w:color="FFFFFF"/>
              <w:right w:val="nil"/>
            </w:tcBorders>
            <w:noWrap/>
            <w:tcMar>
              <w:top w:w="15" w:type="dxa"/>
              <w:left w:w="15" w:type="dxa"/>
              <w:bottom w:w="0" w:type="dxa"/>
              <w:right w:w="15" w:type="dxa"/>
            </w:tcMar>
            <w:vAlign w:val="center"/>
            <w:hideMark/>
          </w:tcPr>
          <w:p w14:paraId="72E0FEE8" w14:textId="10D94789" w:rsidR="00D54FDB" w:rsidRPr="00850536" w:rsidRDefault="00FE7CE6" w:rsidP="00D54FDB">
            <w:pPr>
              <w:jc w:val="right"/>
              <w:rPr>
                <w:rFonts w:ascii="CAIXA Std Book" w:hAnsi="CAIXA Std Book"/>
                <w:color w:val="000000"/>
                <w:sz w:val="18"/>
                <w:szCs w:val="18"/>
              </w:rPr>
            </w:pPr>
            <w:r>
              <w:rPr>
                <w:rFonts w:ascii="CAIXA Std Book" w:hAnsi="CAIXA Std Book" w:cs="Calibri"/>
                <w:color w:val="005CA9"/>
                <w:sz w:val="18"/>
                <w:szCs w:val="18"/>
              </w:rPr>
              <w:t>173.093</w:t>
            </w:r>
          </w:p>
        </w:tc>
        <w:tc>
          <w:tcPr>
            <w:tcW w:w="698" w:type="pct"/>
            <w:tcBorders>
              <w:top w:val="nil"/>
              <w:left w:val="nil"/>
              <w:bottom w:val="single" w:sz="4" w:space="0" w:color="FFFFFF"/>
              <w:right w:val="nil"/>
            </w:tcBorders>
            <w:tcMar>
              <w:top w:w="15" w:type="dxa"/>
              <w:left w:w="15" w:type="dxa"/>
              <w:bottom w:w="0" w:type="dxa"/>
              <w:right w:w="15" w:type="dxa"/>
            </w:tcMar>
            <w:vAlign w:val="center"/>
          </w:tcPr>
          <w:p w14:paraId="3C9FF7AD" w14:textId="73998D0C" w:rsidR="00D54FDB" w:rsidRDefault="00A0154E" w:rsidP="00D54FDB">
            <w:pPr>
              <w:jc w:val="right"/>
              <w:rPr>
                <w:rFonts w:ascii="CAIXA Std Book" w:hAnsi="CAIXA Std Book"/>
                <w:color w:val="005CA9"/>
                <w:sz w:val="18"/>
                <w:szCs w:val="18"/>
              </w:rPr>
            </w:pPr>
            <w:r w:rsidRPr="00A0154E">
              <w:rPr>
                <w:rFonts w:ascii="CAIXA Std Book" w:hAnsi="CAIXA Std Book" w:cs="Calibri"/>
                <w:color w:val="005CA9"/>
                <w:sz w:val="18"/>
                <w:szCs w:val="18"/>
              </w:rPr>
              <w:t>186.499</w:t>
            </w:r>
          </w:p>
        </w:tc>
        <w:tc>
          <w:tcPr>
            <w:tcW w:w="699" w:type="pct"/>
            <w:tcBorders>
              <w:top w:val="nil"/>
              <w:left w:val="nil"/>
              <w:bottom w:val="single" w:sz="4" w:space="0" w:color="FFFFFF"/>
              <w:right w:val="nil"/>
            </w:tcBorders>
            <w:tcMar>
              <w:top w:w="15" w:type="dxa"/>
              <w:left w:w="15" w:type="dxa"/>
              <w:bottom w:w="0" w:type="dxa"/>
              <w:right w:w="15" w:type="dxa"/>
            </w:tcMar>
            <w:vAlign w:val="center"/>
            <w:hideMark/>
          </w:tcPr>
          <w:p w14:paraId="5FED892E" w14:textId="1FDF9A6D" w:rsidR="00D54FDB" w:rsidRDefault="00FE7CE6" w:rsidP="00D54FDB">
            <w:pPr>
              <w:jc w:val="right"/>
              <w:rPr>
                <w:rFonts w:ascii="CAIXA Std Book" w:hAnsi="CAIXA Std Book"/>
                <w:color w:val="005CA9"/>
                <w:sz w:val="18"/>
                <w:szCs w:val="18"/>
              </w:rPr>
            </w:pPr>
            <w:r>
              <w:rPr>
                <w:rFonts w:ascii="CAIXA Std Book" w:hAnsi="CAIXA Std Book" w:cs="Calibri"/>
                <w:color w:val="005CA9"/>
                <w:sz w:val="18"/>
                <w:szCs w:val="18"/>
              </w:rPr>
              <w:t>216.138</w:t>
            </w:r>
          </w:p>
        </w:tc>
      </w:tr>
      <w:tr w:rsidR="00D54FDB" w14:paraId="5D2611C3" w14:textId="77777777" w:rsidTr="00850536">
        <w:trPr>
          <w:trHeight w:val="272"/>
        </w:trPr>
        <w:tc>
          <w:tcPr>
            <w:tcW w:w="2206" w:type="pct"/>
            <w:tcBorders>
              <w:top w:val="nil"/>
              <w:left w:val="nil"/>
              <w:bottom w:val="single" w:sz="4" w:space="0" w:color="FFFFFF"/>
              <w:right w:val="nil"/>
            </w:tcBorders>
            <w:shd w:val="clear" w:color="000000" w:fill="005CA9"/>
            <w:noWrap/>
            <w:tcMar>
              <w:top w:w="15" w:type="dxa"/>
              <w:left w:w="15" w:type="dxa"/>
              <w:bottom w:w="0" w:type="dxa"/>
              <w:right w:w="15" w:type="dxa"/>
            </w:tcMar>
            <w:vAlign w:val="center"/>
            <w:hideMark/>
          </w:tcPr>
          <w:p w14:paraId="124F97E6" w14:textId="45AF7F84" w:rsidR="00D54FDB" w:rsidRDefault="00D54FDB">
            <w:pPr>
              <w:rPr>
                <w:rFonts w:ascii="CAIXA Std Book" w:hAnsi="CAIXA Std Book"/>
                <w:b/>
                <w:bCs/>
                <w:color w:val="FFFFFF"/>
                <w:sz w:val="18"/>
                <w:szCs w:val="18"/>
              </w:rPr>
            </w:pPr>
            <w:r>
              <w:rPr>
                <w:rFonts w:ascii="CAIXA Std Book" w:hAnsi="CAIXA Std Book" w:cs="Calibri"/>
                <w:b/>
                <w:color w:val="FFFFFF"/>
                <w:sz w:val="18"/>
                <w:szCs w:val="18"/>
              </w:rPr>
              <w:t>Total</w:t>
            </w:r>
          </w:p>
        </w:tc>
        <w:tc>
          <w:tcPr>
            <w:tcW w:w="698" w:type="pct"/>
            <w:tcBorders>
              <w:top w:val="nil"/>
              <w:left w:val="nil"/>
              <w:bottom w:val="single" w:sz="4" w:space="0" w:color="FFFFFF"/>
              <w:right w:val="nil"/>
            </w:tcBorders>
            <w:shd w:val="clear" w:color="000000" w:fill="005CA9"/>
            <w:noWrap/>
            <w:tcMar>
              <w:top w:w="15" w:type="dxa"/>
              <w:left w:w="15" w:type="dxa"/>
              <w:bottom w:w="0" w:type="dxa"/>
              <w:right w:w="15" w:type="dxa"/>
            </w:tcMar>
            <w:vAlign w:val="center"/>
          </w:tcPr>
          <w:p w14:paraId="12830728" w14:textId="78BBBB46" w:rsidR="00D54FDB" w:rsidRDefault="00E1506F" w:rsidP="00D54FDB">
            <w:pPr>
              <w:jc w:val="right"/>
              <w:rPr>
                <w:rFonts w:ascii="CAIXA Std Book" w:hAnsi="CAIXA Std Book"/>
                <w:b/>
                <w:bCs/>
                <w:color w:val="FFFFFF"/>
                <w:sz w:val="18"/>
                <w:szCs w:val="18"/>
              </w:rPr>
            </w:pPr>
            <w:r>
              <w:rPr>
                <w:rFonts w:ascii="CAIXA Std Book" w:hAnsi="CAIXA Std Book" w:cs="Calibri"/>
                <w:b/>
                <w:bCs/>
                <w:color w:val="FFFFFF"/>
                <w:sz w:val="18"/>
                <w:szCs w:val="18"/>
              </w:rPr>
              <w:t>4.215.471</w:t>
            </w:r>
          </w:p>
        </w:tc>
        <w:tc>
          <w:tcPr>
            <w:tcW w:w="699" w:type="pct"/>
            <w:tcBorders>
              <w:top w:val="nil"/>
              <w:left w:val="nil"/>
              <w:bottom w:val="single" w:sz="4" w:space="0" w:color="FFFFFF"/>
              <w:right w:val="nil"/>
            </w:tcBorders>
            <w:shd w:val="clear" w:color="000000" w:fill="005CA9"/>
            <w:noWrap/>
            <w:tcMar>
              <w:top w:w="15" w:type="dxa"/>
              <w:left w:w="15" w:type="dxa"/>
              <w:bottom w:w="0" w:type="dxa"/>
              <w:right w:w="15" w:type="dxa"/>
            </w:tcMar>
            <w:vAlign w:val="center"/>
            <w:hideMark/>
          </w:tcPr>
          <w:p w14:paraId="47B650A3" w14:textId="57126738" w:rsidR="00D54FDB" w:rsidRDefault="00FE7CE6" w:rsidP="00D54FDB">
            <w:pPr>
              <w:jc w:val="right"/>
              <w:rPr>
                <w:rFonts w:ascii="CAIXA Std Book" w:hAnsi="CAIXA Std Book"/>
                <w:b/>
                <w:bCs/>
                <w:color w:val="FFFFFF"/>
                <w:sz w:val="18"/>
                <w:szCs w:val="18"/>
              </w:rPr>
            </w:pPr>
            <w:r>
              <w:rPr>
                <w:rFonts w:ascii="CAIXA Std Book" w:hAnsi="CAIXA Std Book" w:cs="Calibri"/>
                <w:b/>
                <w:color w:val="FFFFFF"/>
                <w:sz w:val="18"/>
                <w:szCs w:val="18"/>
              </w:rPr>
              <w:t>3.692.252</w:t>
            </w:r>
          </w:p>
        </w:tc>
        <w:tc>
          <w:tcPr>
            <w:tcW w:w="698" w:type="pct"/>
            <w:tcBorders>
              <w:top w:val="nil"/>
              <w:left w:val="nil"/>
              <w:bottom w:val="single" w:sz="4" w:space="0" w:color="FFFFFF"/>
              <w:right w:val="nil"/>
            </w:tcBorders>
            <w:shd w:val="clear" w:color="000000" w:fill="005CA9"/>
            <w:noWrap/>
            <w:tcMar>
              <w:top w:w="15" w:type="dxa"/>
              <w:left w:w="15" w:type="dxa"/>
              <w:bottom w:w="0" w:type="dxa"/>
              <w:right w:w="15" w:type="dxa"/>
            </w:tcMar>
            <w:vAlign w:val="center"/>
          </w:tcPr>
          <w:p w14:paraId="38406584" w14:textId="46B468A4" w:rsidR="00D54FDB" w:rsidRDefault="00E06989" w:rsidP="00D54FDB">
            <w:pPr>
              <w:jc w:val="right"/>
              <w:rPr>
                <w:rFonts w:ascii="CAIXA Std Book" w:hAnsi="CAIXA Std Book"/>
                <w:b/>
                <w:bCs/>
                <w:color w:val="FFFFFF"/>
                <w:sz w:val="18"/>
                <w:szCs w:val="18"/>
              </w:rPr>
            </w:pPr>
            <w:r>
              <w:rPr>
                <w:rFonts w:ascii="CAIXA Std Book" w:hAnsi="CAIXA Std Book" w:cs="Calibri"/>
                <w:b/>
                <w:bCs/>
                <w:color w:val="FFFFFF"/>
                <w:sz w:val="18"/>
                <w:szCs w:val="18"/>
              </w:rPr>
              <w:t>4.232.170</w:t>
            </w:r>
          </w:p>
        </w:tc>
        <w:tc>
          <w:tcPr>
            <w:tcW w:w="699" w:type="pct"/>
            <w:tcBorders>
              <w:top w:val="nil"/>
              <w:left w:val="nil"/>
              <w:bottom w:val="single" w:sz="4" w:space="0" w:color="FFFFFF"/>
              <w:right w:val="nil"/>
            </w:tcBorders>
            <w:shd w:val="clear" w:color="000000" w:fill="005CA9"/>
            <w:noWrap/>
            <w:tcMar>
              <w:top w:w="15" w:type="dxa"/>
              <w:left w:w="15" w:type="dxa"/>
              <w:bottom w:w="0" w:type="dxa"/>
              <w:right w:w="15" w:type="dxa"/>
            </w:tcMar>
            <w:vAlign w:val="center"/>
            <w:hideMark/>
          </w:tcPr>
          <w:p w14:paraId="19834CCD" w14:textId="6D415818" w:rsidR="00D54FDB" w:rsidRDefault="00FE7CE6" w:rsidP="00D54FDB">
            <w:pPr>
              <w:jc w:val="right"/>
              <w:rPr>
                <w:rFonts w:ascii="CAIXA Std Book" w:hAnsi="CAIXA Std Book"/>
                <w:b/>
                <w:bCs/>
                <w:color w:val="FFFFFF"/>
                <w:sz w:val="18"/>
                <w:szCs w:val="18"/>
              </w:rPr>
            </w:pPr>
            <w:r>
              <w:rPr>
                <w:rFonts w:ascii="CAIXA Std Book" w:hAnsi="CAIXA Std Book" w:cs="Calibri"/>
                <w:b/>
                <w:color w:val="FFFFFF"/>
                <w:sz w:val="18"/>
                <w:szCs w:val="18"/>
              </w:rPr>
              <w:t>3.713.083</w:t>
            </w:r>
          </w:p>
        </w:tc>
      </w:tr>
    </w:tbl>
    <w:p w14:paraId="49A76C97" w14:textId="77777777" w:rsidR="00013971" w:rsidRDefault="006D7437" w:rsidP="00CE6293">
      <w:pPr>
        <w:jc w:val="both"/>
        <w:rPr>
          <w:rFonts w:ascii="CAIXA Std Book" w:eastAsia="Times New Roman" w:hAnsi="CAIXA Std Book" w:cs="Arial"/>
          <w:color w:val="005CA9"/>
          <w:sz w:val="16"/>
          <w:szCs w:val="16"/>
        </w:rPr>
      </w:pPr>
      <w:r w:rsidRPr="002D1520">
        <w:rPr>
          <w:rFonts w:ascii="CAIXA Std Book" w:eastAsia="Times New Roman" w:hAnsi="CAIXA Std Book" w:cs="Arial"/>
          <w:color w:val="005CA9"/>
          <w:sz w:val="16"/>
          <w:szCs w:val="16"/>
        </w:rPr>
        <w:t xml:space="preserve">(1) </w:t>
      </w:r>
      <w:r w:rsidR="00013971">
        <w:rPr>
          <w:rFonts w:ascii="CAIXA Std Book" w:eastAsia="Times New Roman" w:hAnsi="CAIXA Std Book" w:cs="Arial"/>
          <w:color w:val="005CA9"/>
          <w:sz w:val="16"/>
          <w:szCs w:val="16"/>
        </w:rPr>
        <w:t>Receitas decorrentes de ajustes de variação cambial de ativos e passivos.</w:t>
      </w:r>
      <w:r w:rsidR="00013971" w:rsidRPr="002D1520">
        <w:rPr>
          <w:rFonts w:ascii="CAIXA Std Book" w:eastAsia="Times New Roman" w:hAnsi="CAIXA Std Book" w:cs="Arial"/>
          <w:color w:val="005CA9"/>
          <w:sz w:val="16"/>
          <w:szCs w:val="16"/>
        </w:rPr>
        <w:t xml:space="preserve"> </w:t>
      </w:r>
    </w:p>
    <w:p w14:paraId="18AA29C4" w14:textId="42913754" w:rsidR="00CE6293" w:rsidRPr="002D1520" w:rsidRDefault="00CE6293" w:rsidP="00CE6293">
      <w:pPr>
        <w:jc w:val="both"/>
        <w:rPr>
          <w:rFonts w:ascii="CAIXA Std Book" w:eastAsia="Times New Roman" w:hAnsi="CAIXA Std Book" w:cs="Arial"/>
          <w:color w:val="005CA9"/>
          <w:sz w:val="16"/>
          <w:szCs w:val="16"/>
        </w:rPr>
      </w:pPr>
      <w:r w:rsidRPr="002D1520">
        <w:rPr>
          <w:rFonts w:ascii="CAIXA Std Book" w:eastAsia="Times New Roman" w:hAnsi="CAIXA Std Book" w:cs="Arial"/>
          <w:color w:val="005CA9"/>
          <w:sz w:val="16"/>
          <w:szCs w:val="16"/>
        </w:rPr>
        <w:t>(</w:t>
      </w:r>
      <w:r w:rsidR="003D0CCD" w:rsidRPr="002D1520">
        <w:rPr>
          <w:rFonts w:ascii="CAIXA Std Book" w:eastAsia="Times New Roman" w:hAnsi="CAIXA Std Book" w:cs="Arial"/>
          <w:color w:val="005CA9"/>
          <w:sz w:val="16"/>
          <w:szCs w:val="16"/>
        </w:rPr>
        <w:t>2</w:t>
      </w:r>
      <w:r w:rsidRPr="002D1520">
        <w:rPr>
          <w:rFonts w:ascii="CAIXA Std Book" w:eastAsia="Times New Roman" w:hAnsi="CAIXA Std Book" w:cs="Arial"/>
          <w:color w:val="005CA9"/>
          <w:sz w:val="16"/>
          <w:szCs w:val="16"/>
        </w:rPr>
        <w:t>)</w:t>
      </w:r>
      <w:r w:rsidR="00037E48">
        <w:rPr>
          <w:rFonts w:ascii="CAIXA Std Book" w:eastAsia="Times New Roman" w:hAnsi="CAIXA Std Book" w:cs="Arial"/>
          <w:color w:val="005CA9"/>
          <w:sz w:val="16"/>
          <w:szCs w:val="16"/>
        </w:rPr>
        <w:t xml:space="preserve"> </w:t>
      </w:r>
      <w:r w:rsidRPr="002D1520">
        <w:rPr>
          <w:rFonts w:ascii="CAIXA Std Book" w:eastAsia="Times New Roman" w:hAnsi="CAIXA Std Book" w:cs="Arial"/>
          <w:color w:val="005CA9"/>
          <w:sz w:val="16"/>
          <w:szCs w:val="16"/>
        </w:rPr>
        <w:t>Em março de 2025 foi realizada avaliação atuarial extraordinária, em função das alterações regulamentares do Plano REG/REPLAN ocorridas em fevereiro de 2025 que resultou em reversão de despesa referente a custo do serviço passado</w:t>
      </w:r>
      <w:r w:rsidR="007A6F90">
        <w:rPr>
          <w:rFonts w:ascii="CAIXA Std Book" w:eastAsia="Times New Roman" w:hAnsi="CAIXA Std Book" w:cs="Arial"/>
          <w:color w:val="005CA9"/>
          <w:sz w:val="16"/>
          <w:szCs w:val="16"/>
        </w:rPr>
        <w:t>,</w:t>
      </w:r>
      <w:r w:rsidRPr="002D1520">
        <w:rPr>
          <w:rFonts w:ascii="CAIXA Std Book" w:eastAsia="Times New Roman" w:hAnsi="CAIXA Std Book" w:cs="Arial"/>
          <w:color w:val="005CA9"/>
          <w:sz w:val="16"/>
          <w:szCs w:val="16"/>
        </w:rPr>
        <w:t xml:space="preserve"> no montante de R$ 900.784</w:t>
      </w:r>
      <w:r w:rsidR="0029388E" w:rsidRPr="002D1520">
        <w:rPr>
          <w:rFonts w:ascii="CAIXA Std Book" w:eastAsia="Times New Roman" w:hAnsi="CAIXA Std Book" w:cs="Arial"/>
          <w:color w:val="005CA9"/>
          <w:sz w:val="16"/>
          <w:szCs w:val="16"/>
        </w:rPr>
        <w:t>.</w:t>
      </w:r>
    </w:p>
    <w:p w14:paraId="5310F56E" w14:textId="0240ECC5" w:rsidR="00CE6293" w:rsidRPr="002D1520" w:rsidRDefault="00CE6293" w:rsidP="00CE6293">
      <w:pPr>
        <w:jc w:val="both"/>
        <w:rPr>
          <w:rFonts w:ascii="CAIXA Std Book" w:eastAsia="Times New Roman" w:hAnsi="CAIXA Std Book" w:cs="Arial"/>
          <w:color w:val="005CA9"/>
          <w:sz w:val="16"/>
          <w:szCs w:val="16"/>
        </w:rPr>
      </w:pPr>
      <w:r w:rsidRPr="002D1520">
        <w:rPr>
          <w:rFonts w:ascii="CAIXA Std Book" w:eastAsia="Times New Roman" w:hAnsi="CAIXA Std Book" w:cs="Arial"/>
          <w:color w:val="005CA9"/>
          <w:sz w:val="16"/>
          <w:szCs w:val="16"/>
        </w:rPr>
        <w:t>(</w:t>
      </w:r>
      <w:r w:rsidR="001D72BC" w:rsidRPr="002D1520">
        <w:rPr>
          <w:rFonts w:ascii="CAIXA Std Book" w:eastAsia="Times New Roman" w:hAnsi="CAIXA Std Book" w:cs="Arial"/>
          <w:color w:val="005CA9"/>
          <w:sz w:val="16"/>
          <w:szCs w:val="16"/>
        </w:rPr>
        <w:t>3</w:t>
      </w:r>
      <w:r w:rsidR="00AE3136" w:rsidRPr="002D1520">
        <w:rPr>
          <w:rFonts w:ascii="CAIXA Std Book" w:eastAsia="Times New Roman" w:hAnsi="CAIXA Std Book" w:cs="Arial"/>
          <w:color w:val="005CA9"/>
          <w:sz w:val="16"/>
          <w:szCs w:val="16"/>
        </w:rPr>
        <w:t>) Receita decorrente da alienação de participação na Caixa Seguridade realizada em oferta pública secundária de ações</w:t>
      </w:r>
      <w:r w:rsidR="00850536">
        <w:rPr>
          <w:rFonts w:ascii="CAIXA Std Book" w:eastAsia="Times New Roman" w:hAnsi="CAIXA Std Book" w:cs="Arial"/>
          <w:color w:val="005CA9"/>
          <w:sz w:val="16"/>
          <w:szCs w:val="16"/>
        </w:rPr>
        <w:t>.</w:t>
      </w:r>
    </w:p>
    <w:p w14:paraId="4BB056DC" w14:textId="5520C225" w:rsidR="00D524F1" w:rsidRPr="00E95E29" w:rsidRDefault="00D524F1" w:rsidP="00B735D2">
      <w:pPr>
        <w:pStyle w:val="Ttulo1"/>
      </w:pPr>
      <w:bookmarkStart w:id="152" w:name="_Toc217914355"/>
      <w:bookmarkStart w:id="153" w:name="_Toc229588505"/>
      <w:r w:rsidRPr="00E95E29">
        <w:t xml:space="preserve">Nota   </w:t>
      </w:r>
      <w:r w:rsidR="00EF04CD">
        <w:t>29</w:t>
      </w:r>
      <w:r w:rsidRPr="00E95E29">
        <w:t xml:space="preserve"> – Outras despesas</w:t>
      </w:r>
      <w:bookmarkEnd w:id="152"/>
      <w:bookmarkEnd w:id="153"/>
    </w:p>
    <w:tbl>
      <w:tblPr>
        <w:tblW w:w="5000" w:type="pct"/>
        <w:tblCellMar>
          <w:left w:w="70" w:type="dxa"/>
          <w:right w:w="70" w:type="dxa"/>
        </w:tblCellMar>
        <w:tblLook w:val="04A0" w:firstRow="1" w:lastRow="0" w:firstColumn="1" w:lastColumn="0" w:noHBand="0" w:noVBand="1"/>
      </w:tblPr>
      <w:tblGrid>
        <w:gridCol w:w="4253"/>
        <w:gridCol w:w="1346"/>
        <w:gridCol w:w="1347"/>
        <w:gridCol w:w="1345"/>
        <w:gridCol w:w="1347"/>
      </w:tblGrid>
      <w:tr w:rsidR="00F7724F" w:rsidRPr="00F7724F" w14:paraId="2E1E1C67" w14:textId="77777777" w:rsidTr="00850536">
        <w:trPr>
          <w:trHeight w:val="272"/>
        </w:trPr>
        <w:tc>
          <w:tcPr>
            <w:tcW w:w="2206" w:type="pct"/>
            <w:vMerge w:val="restart"/>
            <w:tcBorders>
              <w:top w:val="single" w:sz="4" w:space="0" w:color="FFFFFF"/>
              <w:left w:val="nil"/>
              <w:bottom w:val="single" w:sz="4" w:space="0" w:color="FFFFFF"/>
              <w:right w:val="nil"/>
            </w:tcBorders>
            <w:shd w:val="clear" w:color="000000" w:fill="005CA9"/>
            <w:vAlign w:val="center"/>
            <w:hideMark/>
          </w:tcPr>
          <w:p w14:paraId="17B9EEFE" w14:textId="77777777" w:rsidR="00F7724F" w:rsidRPr="00F7724F" w:rsidRDefault="00F7724F" w:rsidP="00F7724F">
            <w:pPr>
              <w:jc w:val="center"/>
              <w:rPr>
                <w:rFonts w:ascii="CAIXA Std Book" w:eastAsia="Times New Roman" w:hAnsi="CAIXA Std Book" w:cs="Times New Roman"/>
                <w:b/>
                <w:bCs/>
                <w:color w:val="FFFFFF"/>
                <w:sz w:val="18"/>
                <w:szCs w:val="18"/>
              </w:rPr>
            </w:pPr>
            <w:bookmarkStart w:id="154" w:name="_Toc217914356"/>
            <w:r w:rsidRPr="00F7724F">
              <w:rPr>
                <w:rFonts w:ascii="CAIXA Std Book" w:eastAsia="Times New Roman" w:hAnsi="CAIXA Std Book" w:cs="Times New Roman"/>
                <w:b/>
                <w:bCs/>
                <w:color w:val="FFFFFF"/>
                <w:sz w:val="18"/>
                <w:szCs w:val="18"/>
              </w:rPr>
              <w:t>Descrição</w:t>
            </w:r>
          </w:p>
        </w:tc>
        <w:tc>
          <w:tcPr>
            <w:tcW w:w="1397" w:type="pct"/>
            <w:gridSpan w:val="2"/>
            <w:tcBorders>
              <w:top w:val="single" w:sz="4" w:space="0" w:color="FFFFFF"/>
              <w:left w:val="nil"/>
              <w:bottom w:val="single" w:sz="4" w:space="0" w:color="FFFFFF" w:themeColor="background1"/>
              <w:right w:val="nil"/>
            </w:tcBorders>
            <w:shd w:val="clear" w:color="000000" w:fill="005CA9"/>
            <w:vAlign w:val="center"/>
            <w:hideMark/>
          </w:tcPr>
          <w:p w14:paraId="53125133" w14:textId="77777777" w:rsidR="00F7724F" w:rsidRPr="00F7724F" w:rsidRDefault="00F7724F" w:rsidP="00F7724F">
            <w:pPr>
              <w:jc w:val="center"/>
              <w:rPr>
                <w:rFonts w:ascii="CAIXA Std Book" w:eastAsia="Times New Roman" w:hAnsi="CAIXA Std Book" w:cs="Times New Roman"/>
                <w:b/>
                <w:bCs/>
                <w:color w:val="FFFFFF"/>
                <w:sz w:val="18"/>
                <w:szCs w:val="18"/>
              </w:rPr>
            </w:pPr>
            <w:r w:rsidRPr="00F7724F">
              <w:rPr>
                <w:rFonts w:ascii="CAIXA Std Book" w:eastAsia="Times New Roman" w:hAnsi="CAIXA Std Book" w:cs="Times New Roman"/>
                <w:b/>
                <w:bCs/>
                <w:color w:val="FFFFFF"/>
                <w:sz w:val="18"/>
                <w:szCs w:val="18"/>
              </w:rPr>
              <w:t>Individual</w:t>
            </w:r>
          </w:p>
        </w:tc>
        <w:tc>
          <w:tcPr>
            <w:tcW w:w="1397" w:type="pct"/>
            <w:gridSpan w:val="2"/>
            <w:tcBorders>
              <w:top w:val="single" w:sz="4" w:space="0" w:color="FFFFFF"/>
              <w:left w:val="nil"/>
              <w:bottom w:val="single" w:sz="4" w:space="0" w:color="FFFFFF" w:themeColor="background1"/>
              <w:right w:val="nil"/>
            </w:tcBorders>
            <w:shd w:val="clear" w:color="000000" w:fill="005CA9"/>
            <w:vAlign w:val="center"/>
            <w:hideMark/>
          </w:tcPr>
          <w:p w14:paraId="00C203F2" w14:textId="77777777" w:rsidR="00F7724F" w:rsidRPr="00F7724F" w:rsidRDefault="00F7724F" w:rsidP="00F7724F">
            <w:pPr>
              <w:jc w:val="center"/>
              <w:rPr>
                <w:rFonts w:ascii="CAIXA Std Book" w:eastAsia="Times New Roman" w:hAnsi="CAIXA Std Book" w:cs="Times New Roman"/>
                <w:b/>
                <w:bCs/>
                <w:color w:val="FFFFFF"/>
                <w:sz w:val="18"/>
                <w:szCs w:val="18"/>
              </w:rPr>
            </w:pPr>
            <w:r w:rsidRPr="00F7724F">
              <w:rPr>
                <w:rFonts w:ascii="CAIXA Std Book" w:eastAsia="Times New Roman" w:hAnsi="CAIXA Std Book" w:cs="Times New Roman"/>
                <w:b/>
                <w:bCs/>
                <w:color w:val="FFFFFF"/>
                <w:sz w:val="18"/>
                <w:szCs w:val="18"/>
              </w:rPr>
              <w:t>Consolidado</w:t>
            </w:r>
          </w:p>
        </w:tc>
      </w:tr>
      <w:tr w:rsidR="00F7724F" w:rsidRPr="00F7724F" w14:paraId="3EE7DBB7" w14:textId="77777777" w:rsidTr="00850536">
        <w:trPr>
          <w:trHeight w:val="272"/>
        </w:trPr>
        <w:tc>
          <w:tcPr>
            <w:tcW w:w="2206" w:type="pct"/>
            <w:vMerge/>
            <w:tcBorders>
              <w:top w:val="single" w:sz="4" w:space="0" w:color="FFFFFF"/>
              <w:left w:val="nil"/>
              <w:bottom w:val="single" w:sz="4" w:space="0" w:color="FFFFFF"/>
              <w:right w:val="nil"/>
            </w:tcBorders>
            <w:vAlign w:val="center"/>
            <w:hideMark/>
          </w:tcPr>
          <w:p w14:paraId="54346BD1" w14:textId="77777777" w:rsidR="00F7724F" w:rsidRPr="00F7724F" w:rsidRDefault="00F7724F" w:rsidP="00F7724F">
            <w:pPr>
              <w:rPr>
                <w:rFonts w:ascii="CAIXA Std Book" w:eastAsia="Times New Roman" w:hAnsi="CAIXA Std Book" w:cs="Times New Roman"/>
                <w:b/>
                <w:bCs/>
                <w:color w:val="FFFFFF"/>
                <w:sz w:val="18"/>
                <w:szCs w:val="18"/>
              </w:rPr>
            </w:pPr>
          </w:p>
        </w:tc>
        <w:tc>
          <w:tcPr>
            <w:tcW w:w="698" w:type="pct"/>
            <w:tcBorders>
              <w:top w:val="single" w:sz="4" w:space="0" w:color="FFFFFF" w:themeColor="background1"/>
              <w:left w:val="nil"/>
              <w:bottom w:val="single" w:sz="4" w:space="0" w:color="FFFFFF" w:themeColor="background1"/>
              <w:right w:val="nil"/>
            </w:tcBorders>
            <w:shd w:val="clear" w:color="000000" w:fill="005CA9"/>
            <w:vAlign w:val="center"/>
            <w:hideMark/>
          </w:tcPr>
          <w:p w14:paraId="7A191271" w14:textId="18055B12" w:rsidR="00F7724F" w:rsidRPr="00F7724F" w:rsidRDefault="00F7724F" w:rsidP="00F7724F">
            <w:pPr>
              <w:jc w:val="center"/>
              <w:rPr>
                <w:rFonts w:ascii="CAIXA Std Book" w:eastAsia="Times New Roman" w:hAnsi="CAIXA Std Book" w:cs="Times New Roman"/>
                <w:b/>
                <w:bCs/>
                <w:color w:val="FFFFFF"/>
                <w:sz w:val="18"/>
                <w:szCs w:val="18"/>
              </w:rPr>
            </w:pPr>
            <w:r w:rsidRPr="00F7724F">
              <w:rPr>
                <w:rFonts w:ascii="CAIXA Std Book" w:eastAsia="Times New Roman" w:hAnsi="CAIXA Std Book" w:cs="Times New Roman"/>
                <w:b/>
                <w:bCs/>
                <w:color w:val="FFFFFF"/>
                <w:sz w:val="18"/>
                <w:szCs w:val="18"/>
              </w:rPr>
              <w:t>202</w:t>
            </w:r>
            <w:r w:rsidR="00BB0167">
              <w:rPr>
                <w:rFonts w:ascii="CAIXA Std Book" w:eastAsia="Times New Roman" w:hAnsi="CAIXA Std Book" w:cs="Times New Roman"/>
                <w:b/>
                <w:bCs/>
                <w:color w:val="FFFFFF"/>
                <w:sz w:val="18"/>
                <w:szCs w:val="18"/>
              </w:rPr>
              <w:t>6</w:t>
            </w:r>
          </w:p>
        </w:tc>
        <w:tc>
          <w:tcPr>
            <w:tcW w:w="699" w:type="pct"/>
            <w:tcBorders>
              <w:top w:val="single" w:sz="4" w:space="0" w:color="FFFFFF" w:themeColor="background1"/>
              <w:left w:val="nil"/>
              <w:bottom w:val="single" w:sz="4" w:space="0" w:color="FFFFFF" w:themeColor="background1"/>
              <w:right w:val="nil"/>
            </w:tcBorders>
            <w:shd w:val="clear" w:color="000000" w:fill="005CA9"/>
            <w:vAlign w:val="center"/>
            <w:hideMark/>
          </w:tcPr>
          <w:p w14:paraId="2EE57595" w14:textId="704F138D" w:rsidR="00F7724F" w:rsidRPr="00F7724F" w:rsidRDefault="00F7724F" w:rsidP="00F7724F">
            <w:pPr>
              <w:jc w:val="center"/>
              <w:rPr>
                <w:rFonts w:ascii="CAIXA Std Book" w:eastAsia="Times New Roman" w:hAnsi="CAIXA Std Book" w:cs="Times New Roman"/>
                <w:b/>
                <w:bCs/>
                <w:color w:val="FFFFFF"/>
                <w:sz w:val="18"/>
                <w:szCs w:val="18"/>
              </w:rPr>
            </w:pPr>
            <w:r w:rsidRPr="00F7724F">
              <w:rPr>
                <w:rFonts w:ascii="CAIXA Std Book" w:eastAsia="Times New Roman" w:hAnsi="CAIXA Std Book" w:cs="Times New Roman"/>
                <w:b/>
                <w:bCs/>
                <w:color w:val="FFFFFF"/>
                <w:sz w:val="18"/>
                <w:szCs w:val="18"/>
              </w:rPr>
              <w:t>202</w:t>
            </w:r>
            <w:r w:rsidR="00BB0167">
              <w:rPr>
                <w:rFonts w:ascii="CAIXA Std Book" w:eastAsia="Times New Roman" w:hAnsi="CAIXA Std Book" w:cs="Times New Roman"/>
                <w:b/>
                <w:bCs/>
                <w:color w:val="FFFFFF"/>
                <w:sz w:val="18"/>
                <w:szCs w:val="18"/>
              </w:rPr>
              <w:t>5</w:t>
            </w:r>
          </w:p>
        </w:tc>
        <w:tc>
          <w:tcPr>
            <w:tcW w:w="698" w:type="pct"/>
            <w:tcBorders>
              <w:top w:val="single" w:sz="4" w:space="0" w:color="FFFFFF" w:themeColor="background1"/>
              <w:left w:val="nil"/>
              <w:bottom w:val="single" w:sz="4" w:space="0" w:color="FFFFFF" w:themeColor="background1"/>
              <w:right w:val="nil"/>
            </w:tcBorders>
            <w:shd w:val="clear" w:color="000000" w:fill="005CA9"/>
            <w:vAlign w:val="center"/>
            <w:hideMark/>
          </w:tcPr>
          <w:p w14:paraId="33DCAAC6" w14:textId="41192B47" w:rsidR="00F7724F" w:rsidRPr="00F7724F" w:rsidRDefault="00F7724F" w:rsidP="00F7724F">
            <w:pPr>
              <w:jc w:val="center"/>
              <w:rPr>
                <w:rFonts w:ascii="CAIXA Std Book" w:eastAsia="Times New Roman" w:hAnsi="CAIXA Std Book" w:cs="Times New Roman"/>
                <w:b/>
                <w:bCs/>
                <w:color w:val="FFFFFF"/>
                <w:sz w:val="18"/>
                <w:szCs w:val="18"/>
              </w:rPr>
            </w:pPr>
            <w:r w:rsidRPr="00F7724F">
              <w:rPr>
                <w:rFonts w:ascii="CAIXA Std Book" w:eastAsia="Times New Roman" w:hAnsi="CAIXA Std Book" w:cs="Times New Roman"/>
                <w:b/>
                <w:bCs/>
                <w:color w:val="FFFFFF"/>
                <w:sz w:val="18"/>
                <w:szCs w:val="18"/>
              </w:rPr>
              <w:t>202</w:t>
            </w:r>
            <w:r w:rsidR="00BB0167">
              <w:rPr>
                <w:rFonts w:ascii="CAIXA Std Book" w:eastAsia="Times New Roman" w:hAnsi="CAIXA Std Book" w:cs="Times New Roman"/>
                <w:b/>
                <w:bCs/>
                <w:color w:val="FFFFFF"/>
                <w:sz w:val="18"/>
                <w:szCs w:val="18"/>
              </w:rPr>
              <w:t>6</w:t>
            </w:r>
          </w:p>
        </w:tc>
        <w:tc>
          <w:tcPr>
            <w:tcW w:w="699" w:type="pct"/>
            <w:tcBorders>
              <w:top w:val="single" w:sz="4" w:space="0" w:color="FFFFFF" w:themeColor="background1"/>
              <w:left w:val="nil"/>
              <w:bottom w:val="single" w:sz="4" w:space="0" w:color="FFFFFF" w:themeColor="background1"/>
              <w:right w:val="nil"/>
            </w:tcBorders>
            <w:shd w:val="clear" w:color="000000" w:fill="005CA9"/>
            <w:vAlign w:val="center"/>
            <w:hideMark/>
          </w:tcPr>
          <w:p w14:paraId="33903902" w14:textId="37E24BD3" w:rsidR="00F7724F" w:rsidRPr="00F7724F" w:rsidRDefault="00F7724F" w:rsidP="00F7724F">
            <w:pPr>
              <w:jc w:val="center"/>
              <w:rPr>
                <w:rFonts w:ascii="CAIXA Std Book" w:eastAsia="Times New Roman" w:hAnsi="CAIXA Std Book" w:cs="Times New Roman"/>
                <w:b/>
                <w:bCs/>
                <w:color w:val="FFFFFF"/>
                <w:sz w:val="18"/>
                <w:szCs w:val="18"/>
              </w:rPr>
            </w:pPr>
            <w:r w:rsidRPr="00F7724F">
              <w:rPr>
                <w:rFonts w:ascii="CAIXA Std Book" w:eastAsia="Times New Roman" w:hAnsi="CAIXA Std Book" w:cs="Times New Roman"/>
                <w:b/>
                <w:bCs/>
                <w:color w:val="FFFFFF"/>
                <w:sz w:val="18"/>
                <w:szCs w:val="18"/>
              </w:rPr>
              <w:t>202</w:t>
            </w:r>
            <w:r w:rsidR="00BB0167">
              <w:rPr>
                <w:rFonts w:ascii="CAIXA Std Book" w:eastAsia="Times New Roman" w:hAnsi="CAIXA Std Book" w:cs="Times New Roman"/>
                <w:b/>
                <w:bCs/>
                <w:color w:val="FFFFFF"/>
                <w:sz w:val="18"/>
                <w:szCs w:val="18"/>
              </w:rPr>
              <w:t>5</w:t>
            </w:r>
          </w:p>
        </w:tc>
      </w:tr>
      <w:tr w:rsidR="00F7724F" w:rsidRPr="00F7724F" w14:paraId="475EA996" w14:textId="77777777" w:rsidTr="00850536">
        <w:trPr>
          <w:trHeight w:val="272"/>
        </w:trPr>
        <w:tc>
          <w:tcPr>
            <w:tcW w:w="2206" w:type="pct"/>
            <w:vMerge/>
            <w:tcBorders>
              <w:top w:val="single" w:sz="4" w:space="0" w:color="FFFFFF"/>
              <w:left w:val="nil"/>
              <w:bottom w:val="single" w:sz="4" w:space="0" w:color="FFFFFF"/>
              <w:right w:val="nil"/>
            </w:tcBorders>
            <w:vAlign w:val="center"/>
            <w:hideMark/>
          </w:tcPr>
          <w:p w14:paraId="5FE4DB16" w14:textId="77777777" w:rsidR="00F7724F" w:rsidRPr="00F7724F" w:rsidRDefault="00F7724F" w:rsidP="00F7724F">
            <w:pPr>
              <w:rPr>
                <w:rFonts w:ascii="CAIXA Std Book" w:eastAsia="Times New Roman" w:hAnsi="CAIXA Std Book" w:cs="Times New Roman"/>
                <w:b/>
                <w:bCs/>
                <w:color w:val="FFFFFF"/>
                <w:sz w:val="18"/>
                <w:szCs w:val="18"/>
              </w:rPr>
            </w:pPr>
          </w:p>
        </w:tc>
        <w:tc>
          <w:tcPr>
            <w:tcW w:w="698" w:type="pct"/>
            <w:tcBorders>
              <w:top w:val="single" w:sz="4" w:space="0" w:color="FFFFFF" w:themeColor="background1"/>
              <w:left w:val="nil"/>
              <w:bottom w:val="nil"/>
              <w:right w:val="nil"/>
            </w:tcBorders>
            <w:shd w:val="clear" w:color="000000" w:fill="005CA9"/>
            <w:vAlign w:val="center"/>
            <w:hideMark/>
          </w:tcPr>
          <w:p w14:paraId="69B5D280" w14:textId="77777777" w:rsidR="00F7724F" w:rsidRPr="00F7724F" w:rsidRDefault="00F7724F" w:rsidP="00F7724F">
            <w:pPr>
              <w:jc w:val="center"/>
              <w:rPr>
                <w:rFonts w:ascii="CAIXA Std Book" w:eastAsia="Times New Roman" w:hAnsi="CAIXA Std Book" w:cs="Times New Roman"/>
                <w:b/>
                <w:bCs/>
                <w:color w:val="FFFFFF"/>
                <w:sz w:val="18"/>
                <w:szCs w:val="18"/>
              </w:rPr>
            </w:pPr>
            <w:r w:rsidRPr="00F7724F">
              <w:rPr>
                <w:rFonts w:ascii="CAIXA Std Book" w:eastAsia="Times New Roman" w:hAnsi="CAIXA Std Book" w:cs="Times New Roman"/>
                <w:b/>
                <w:bCs/>
                <w:color w:val="FFFFFF"/>
                <w:sz w:val="18"/>
                <w:szCs w:val="18"/>
              </w:rPr>
              <w:t>1º trimestre</w:t>
            </w:r>
          </w:p>
        </w:tc>
        <w:tc>
          <w:tcPr>
            <w:tcW w:w="699" w:type="pct"/>
            <w:tcBorders>
              <w:top w:val="single" w:sz="4" w:space="0" w:color="FFFFFF" w:themeColor="background1"/>
              <w:left w:val="nil"/>
              <w:bottom w:val="nil"/>
              <w:right w:val="nil"/>
            </w:tcBorders>
            <w:shd w:val="clear" w:color="000000" w:fill="005CA9"/>
            <w:vAlign w:val="center"/>
            <w:hideMark/>
          </w:tcPr>
          <w:p w14:paraId="7F596DD6" w14:textId="77777777" w:rsidR="00F7724F" w:rsidRPr="00F7724F" w:rsidRDefault="00F7724F" w:rsidP="00F7724F">
            <w:pPr>
              <w:jc w:val="center"/>
              <w:rPr>
                <w:rFonts w:ascii="CAIXA Std Book" w:eastAsia="Times New Roman" w:hAnsi="CAIXA Std Book" w:cs="Times New Roman"/>
                <w:b/>
                <w:bCs/>
                <w:color w:val="FFFFFF"/>
                <w:sz w:val="18"/>
                <w:szCs w:val="18"/>
              </w:rPr>
            </w:pPr>
            <w:r w:rsidRPr="00F7724F">
              <w:rPr>
                <w:rFonts w:ascii="CAIXA Std Book" w:eastAsia="Times New Roman" w:hAnsi="CAIXA Std Book" w:cs="Times New Roman"/>
                <w:b/>
                <w:bCs/>
                <w:color w:val="FFFFFF"/>
                <w:sz w:val="18"/>
                <w:szCs w:val="18"/>
              </w:rPr>
              <w:t>1º trimestre</w:t>
            </w:r>
          </w:p>
        </w:tc>
        <w:tc>
          <w:tcPr>
            <w:tcW w:w="698" w:type="pct"/>
            <w:tcBorders>
              <w:top w:val="single" w:sz="4" w:space="0" w:color="FFFFFF" w:themeColor="background1"/>
              <w:left w:val="nil"/>
              <w:bottom w:val="nil"/>
              <w:right w:val="nil"/>
            </w:tcBorders>
            <w:shd w:val="clear" w:color="000000" w:fill="005CA9"/>
            <w:vAlign w:val="center"/>
            <w:hideMark/>
          </w:tcPr>
          <w:p w14:paraId="24D795D1" w14:textId="77777777" w:rsidR="00F7724F" w:rsidRPr="00F7724F" w:rsidRDefault="00F7724F" w:rsidP="00F7724F">
            <w:pPr>
              <w:jc w:val="center"/>
              <w:rPr>
                <w:rFonts w:ascii="CAIXA Std Book" w:eastAsia="Times New Roman" w:hAnsi="CAIXA Std Book" w:cs="Times New Roman"/>
                <w:b/>
                <w:bCs/>
                <w:color w:val="FFFFFF"/>
                <w:sz w:val="18"/>
                <w:szCs w:val="18"/>
              </w:rPr>
            </w:pPr>
            <w:r w:rsidRPr="00F7724F">
              <w:rPr>
                <w:rFonts w:ascii="CAIXA Std Book" w:eastAsia="Times New Roman" w:hAnsi="CAIXA Std Book" w:cs="Times New Roman"/>
                <w:b/>
                <w:bCs/>
                <w:color w:val="FFFFFF"/>
                <w:sz w:val="18"/>
                <w:szCs w:val="18"/>
              </w:rPr>
              <w:t>1º trimestre</w:t>
            </w:r>
          </w:p>
        </w:tc>
        <w:tc>
          <w:tcPr>
            <w:tcW w:w="699" w:type="pct"/>
            <w:tcBorders>
              <w:top w:val="single" w:sz="4" w:space="0" w:color="FFFFFF" w:themeColor="background1"/>
              <w:left w:val="nil"/>
              <w:bottom w:val="nil"/>
              <w:right w:val="nil"/>
            </w:tcBorders>
            <w:shd w:val="clear" w:color="000000" w:fill="005CA9"/>
            <w:vAlign w:val="center"/>
            <w:hideMark/>
          </w:tcPr>
          <w:p w14:paraId="7D9B3C21" w14:textId="77777777" w:rsidR="00F7724F" w:rsidRPr="00F7724F" w:rsidRDefault="00F7724F" w:rsidP="00F7724F">
            <w:pPr>
              <w:jc w:val="center"/>
              <w:rPr>
                <w:rFonts w:ascii="CAIXA Std Book" w:eastAsia="Times New Roman" w:hAnsi="CAIXA Std Book" w:cs="Times New Roman"/>
                <w:b/>
                <w:bCs/>
                <w:color w:val="FFFFFF"/>
                <w:sz w:val="18"/>
                <w:szCs w:val="18"/>
              </w:rPr>
            </w:pPr>
            <w:r w:rsidRPr="00F7724F">
              <w:rPr>
                <w:rFonts w:ascii="CAIXA Std Book" w:eastAsia="Times New Roman" w:hAnsi="CAIXA Std Book" w:cs="Times New Roman"/>
                <w:b/>
                <w:bCs/>
                <w:color w:val="FFFFFF"/>
                <w:sz w:val="18"/>
                <w:szCs w:val="18"/>
              </w:rPr>
              <w:t>1º trimestre</w:t>
            </w:r>
          </w:p>
        </w:tc>
      </w:tr>
      <w:tr w:rsidR="00F7724F" w:rsidRPr="00F7724F" w14:paraId="42C6008E" w14:textId="77777777" w:rsidTr="00850536">
        <w:trPr>
          <w:trHeight w:val="272"/>
        </w:trPr>
        <w:tc>
          <w:tcPr>
            <w:tcW w:w="2206" w:type="pct"/>
            <w:tcBorders>
              <w:top w:val="single" w:sz="4" w:space="0" w:color="FFFFFF"/>
              <w:left w:val="nil"/>
              <w:bottom w:val="single" w:sz="4" w:space="0" w:color="FFFFFF"/>
              <w:right w:val="nil"/>
            </w:tcBorders>
            <w:vAlign w:val="center"/>
            <w:hideMark/>
          </w:tcPr>
          <w:p w14:paraId="159CB30A" w14:textId="664228C5" w:rsidR="00F7724F" w:rsidRPr="00F7724F" w:rsidRDefault="00275BE1" w:rsidP="00F7724F">
            <w:pPr>
              <w:rPr>
                <w:rFonts w:ascii="CAIXA Std Book" w:eastAsia="Times New Roman" w:hAnsi="CAIXA Std Book" w:cs="Times New Roman"/>
                <w:color w:val="005CA9"/>
                <w:sz w:val="18"/>
                <w:szCs w:val="18"/>
              </w:rPr>
            </w:pPr>
            <w:r>
              <w:rPr>
                <w:rFonts w:ascii="CAIXA Std Book" w:hAnsi="CAIXA Std Book" w:cs="Calibri"/>
                <w:color w:val="005CA9"/>
                <w:sz w:val="18"/>
                <w:szCs w:val="18"/>
              </w:rPr>
              <w:t>Variação cambial</w:t>
            </w:r>
            <w:r w:rsidR="00995310">
              <w:rPr>
                <w:rFonts w:ascii="CAIXA Std Book" w:hAnsi="CAIXA Std Book" w:cs="Calibri"/>
                <w:color w:val="005CA9"/>
                <w:sz w:val="18"/>
                <w:szCs w:val="18"/>
              </w:rPr>
              <w:t xml:space="preserve"> (1)</w:t>
            </w:r>
          </w:p>
        </w:tc>
        <w:tc>
          <w:tcPr>
            <w:tcW w:w="698" w:type="pct"/>
            <w:tcBorders>
              <w:top w:val="single" w:sz="4" w:space="0" w:color="FFFFFF"/>
              <w:left w:val="nil"/>
              <w:bottom w:val="single" w:sz="4" w:space="0" w:color="FFFFFF"/>
              <w:right w:val="nil"/>
            </w:tcBorders>
            <w:vAlign w:val="center"/>
            <w:hideMark/>
          </w:tcPr>
          <w:p w14:paraId="378D4E6A" w14:textId="746514E7" w:rsidR="00F7724F" w:rsidRPr="00F7724F" w:rsidRDefault="00275BE1"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(2.146.056)</w:t>
            </w:r>
          </w:p>
        </w:tc>
        <w:tc>
          <w:tcPr>
            <w:tcW w:w="699" w:type="pct"/>
            <w:tcBorders>
              <w:top w:val="single" w:sz="4" w:space="0" w:color="FFFFFF"/>
              <w:left w:val="nil"/>
              <w:bottom w:val="single" w:sz="4" w:space="0" w:color="FFFFFF"/>
              <w:right w:val="nil"/>
            </w:tcBorders>
            <w:noWrap/>
            <w:vAlign w:val="center"/>
            <w:hideMark/>
          </w:tcPr>
          <w:p w14:paraId="430612CC" w14:textId="787D38D6" w:rsidR="00F7724F" w:rsidRPr="00850536" w:rsidRDefault="00275BE1" w:rsidP="00E86E1F">
            <w:pPr>
              <w:jc w:val="center"/>
              <w:rPr>
                <w:rFonts w:ascii="Aptos Narrow" w:eastAsia="Times New Roman" w:hAnsi="Aptos Narrow" w:cs="Times New Roman"/>
                <w:color w:val="000000"/>
                <w:sz w:val="18"/>
                <w:szCs w:val="18"/>
              </w:rPr>
            </w:pPr>
            <w:r>
              <w:rPr>
                <w:rFonts w:ascii="CAIXA Std Book" w:hAnsi="CAIXA Std Book" w:cs="Calibri"/>
                <w:color w:val="005CA9"/>
                <w:sz w:val="18"/>
                <w:szCs w:val="18"/>
              </w:rPr>
              <w:t>-</w:t>
            </w:r>
          </w:p>
        </w:tc>
        <w:tc>
          <w:tcPr>
            <w:tcW w:w="698" w:type="pct"/>
            <w:tcBorders>
              <w:top w:val="single" w:sz="4" w:space="0" w:color="FFFFFF"/>
              <w:left w:val="nil"/>
              <w:bottom w:val="single" w:sz="4" w:space="0" w:color="FFFFFF"/>
              <w:right w:val="nil"/>
            </w:tcBorders>
            <w:vAlign w:val="center"/>
            <w:hideMark/>
          </w:tcPr>
          <w:p w14:paraId="5B0BF13A" w14:textId="7F320C82" w:rsidR="00F7724F" w:rsidRPr="00F7724F" w:rsidRDefault="008604F9"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(2.146.056)</w:t>
            </w:r>
          </w:p>
        </w:tc>
        <w:tc>
          <w:tcPr>
            <w:tcW w:w="699" w:type="pct"/>
            <w:tcBorders>
              <w:top w:val="single" w:sz="4" w:space="0" w:color="FFFFFF"/>
              <w:left w:val="nil"/>
              <w:bottom w:val="single" w:sz="4" w:space="0" w:color="FFFFFF"/>
              <w:right w:val="nil"/>
            </w:tcBorders>
            <w:vAlign w:val="center"/>
            <w:hideMark/>
          </w:tcPr>
          <w:p w14:paraId="74322518" w14:textId="23905292" w:rsidR="00F7724F" w:rsidRPr="00F7724F" w:rsidRDefault="00275BE1" w:rsidP="009A32A2">
            <w:pPr>
              <w:jc w:val="center"/>
              <w:rPr>
                <w:rFonts w:ascii="CAIXA Std Book" w:eastAsia="Times New Roman" w:hAnsi="CAIXA Std Book" w:cs="Times New Roman"/>
                <w:color w:val="005CA9"/>
                <w:sz w:val="18"/>
                <w:szCs w:val="18"/>
              </w:rPr>
            </w:pPr>
            <w:r>
              <w:rPr>
                <w:rFonts w:ascii="CAIXA Std Book" w:hAnsi="CAIXA Std Book" w:cs="Calibri"/>
                <w:color w:val="005CA9"/>
                <w:sz w:val="18"/>
                <w:szCs w:val="18"/>
              </w:rPr>
              <w:t>-</w:t>
            </w:r>
          </w:p>
        </w:tc>
      </w:tr>
      <w:tr w:rsidR="00F7724F" w:rsidRPr="00F7724F" w14:paraId="488072DF" w14:textId="77777777" w:rsidTr="00850536">
        <w:trPr>
          <w:trHeight w:val="272"/>
        </w:trPr>
        <w:tc>
          <w:tcPr>
            <w:tcW w:w="2206" w:type="pct"/>
            <w:tcBorders>
              <w:top w:val="nil"/>
              <w:left w:val="nil"/>
              <w:bottom w:val="single" w:sz="4" w:space="0" w:color="FFFFFF"/>
              <w:right w:val="nil"/>
            </w:tcBorders>
            <w:vAlign w:val="center"/>
            <w:hideMark/>
          </w:tcPr>
          <w:p w14:paraId="411024B9" w14:textId="12B77366" w:rsidR="00F7724F" w:rsidRPr="00F7724F" w:rsidRDefault="00A10D7B" w:rsidP="00F7724F">
            <w:pPr>
              <w:rPr>
                <w:rFonts w:ascii="CAIXA Std Book" w:eastAsia="Times New Roman" w:hAnsi="CAIXA Std Book" w:cs="Times New Roman"/>
                <w:color w:val="005CA9"/>
                <w:sz w:val="18"/>
                <w:szCs w:val="18"/>
              </w:rPr>
            </w:pPr>
            <w:r>
              <w:rPr>
                <w:rFonts w:ascii="CAIXA Std Book" w:hAnsi="CAIXA Std Book" w:cs="Calibri"/>
                <w:color w:val="005CA9"/>
                <w:sz w:val="18"/>
                <w:szCs w:val="18"/>
              </w:rPr>
              <w:t xml:space="preserve">Atualização monetária sobre </w:t>
            </w:r>
            <w:r w:rsidR="00F5794A">
              <w:rPr>
                <w:rFonts w:ascii="CAIXA Std Book" w:hAnsi="CAIXA Std Book" w:cs="Calibri"/>
                <w:color w:val="005CA9"/>
                <w:sz w:val="18"/>
                <w:szCs w:val="18"/>
              </w:rPr>
              <w:t xml:space="preserve">fundos e programas e </w:t>
            </w:r>
            <w:r>
              <w:rPr>
                <w:rFonts w:ascii="CAIXA Std Book" w:hAnsi="CAIXA Std Book" w:cs="Calibri"/>
                <w:color w:val="005CA9"/>
                <w:sz w:val="18"/>
                <w:szCs w:val="18"/>
              </w:rPr>
              <w:t>operações diversas</w:t>
            </w:r>
            <w:r w:rsidR="00893C7D">
              <w:rPr>
                <w:rFonts w:ascii="CAIXA Std Book" w:hAnsi="CAIXA Std Book" w:cs="Calibri"/>
                <w:color w:val="005CA9"/>
                <w:sz w:val="18"/>
                <w:szCs w:val="18"/>
              </w:rPr>
              <w:t xml:space="preserve"> (2)</w:t>
            </w:r>
          </w:p>
        </w:tc>
        <w:tc>
          <w:tcPr>
            <w:tcW w:w="698" w:type="pct"/>
            <w:tcBorders>
              <w:top w:val="nil"/>
              <w:left w:val="nil"/>
              <w:bottom w:val="single" w:sz="4" w:space="0" w:color="FFFFFF"/>
              <w:right w:val="nil"/>
            </w:tcBorders>
            <w:vAlign w:val="center"/>
            <w:hideMark/>
          </w:tcPr>
          <w:p w14:paraId="235D9E95" w14:textId="02E91B8C" w:rsidR="00F7724F" w:rsidRPr="00F7724F" w:rsidRDefault="00A10D7B"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(962.529)</w:t>
            </w:r>
          </w:p>
        </w:tc>
        <w:tc>
          <w:tcPr>
            <w:tcW w:w="699" w:type="pct"/>
            <w:tcBorders>
              <w:top w:val="nil"/>
              <w:left w:val="nil"/>
              <w:bottom w:val="single" w:sz="4" w:space="0" w:color="FFFFFF"/>
              <w:right w:val="nil"/>
            </w:tcBorders>
            <w:noWrap/>
            <w:vAlign w:val="center"/>
            <w:hideMark/>
          </w:tcPr>
          <w:p w14:paraId="599977A5" w14:textId="7C13C9F1" w:rsidR="00F7724F" w:rsidRPr="00850536" w:rsidRDefault="00A10D7B" w:rsidP="00F7724F">
            <w:pPr>
              <w:jc w:val="right"/>
              <w:rPr>
                <w:rFonts w:ascii="Aptos Narrow" w:eastAsia="Times New Roman" w:hAnsi="Aptos Narrow" w:cs="Times New Roman"/>
                <w:color w:val="000000"/>
                <w:sz w:val="18"/>
                <w:szCs w:val="18"/>
              </w:rPr>
            </w:pPr>
            <w:r>
              <w:rPr>
                <w:rFonts w:ascii="CAIXA Std Book" w:hAnsi="CAIXA Std Book" w:cs="Calibri"/>
                <w:color w:val="005CA9"/>
                <w:sz w:val="18"/>
                <w:szCs w:val="18"/>
              </w:rPr>
              <w:t>(376.935)</w:t>
            </w:r>
          </w:p>
        </w:tc>
        <w:tc>
          <w:tcPr>
            <w:tcW w:w="698" w:type="pct"/>
            <w:tcBorders>
              <w:top w:val="nil"/>
              <w:left w:val="nil"/>
              <w:bottom w:val="single" w:sz="4" w:space="0" w:color="FFFFFF"/>
              <w:right w:val="nil"/>
            </w:tcBorders>
            <w:vAlign w:val="center"/>
            <w:hideMark/>
          </w:tcPr>
          <w:p w14:paraId="6F8FD3A6" w14:textId="0DF74144" w:rsidR="00F7724F" w:rsidRPr="00F7724F" w:rsidRDefault="008604F9"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(963.804)</w:t>
            </w:r>
          </w:p>
        </w:tc>
        <w:tc>
          <w:tcPr>
            <w:tcW w:w="699" w:type="pct"/>
            <w:tcBorders>
              <w:top w:val="nil"/>
              <w:left w:val="nil"/>
              <w:bottom w:val="single" w:sz="4" w:space="0" w:color="FFFFFF"/>
              <w:right w:val="nil"/>
            </w:tcBorders>
            <w:vAlign w:val="center"/>
            <w:hideMark/>
          </w:tcPr>
          <w:p w14:paraId="7BB777EB" w14:textId="40A2F725" w:rsidR="00F7724F" w:rsidRPr="00F7724F" w:rsidRDefault="00A10D7B"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(377.964)</w:t>
            </w:r>
          </w:p>
        </w:tc>
      </w:tr>
      <w:tr w:rsidR="00F7724F" w:rsidRPr="00F7724F" w14:paraId="3AFEE890" w14:textId="77777777" w:rsidTr="00850536">
        <w:trPr>
          <w:trHeight w:val="272"/>
        </w:trPr>
        <w:tc>
          <w:tcPr>
            <w:tcW w:w="2206" w:type="pct"/>
            <w:tcBorders>
              <w:top w:val="nil"/>
              <w:left w:val="nil"/>
              <w:bottom w:val="single" w:sz="4" w:space="0" w:color="FFFFFF"/>
              <w:right w:val="nil"/>
            </w:tcBorders>
            <w:vAlign w:val="center"/>
            <w:hideMark/>
          </w:tcPr>
          <w:p w14:paraId="02C3C2A3" w14:textId="41D033CB" w:rsidR="00F7724F" w:rsidRPr="00F7724F" w:rsidRDefault="00A10D7B" w:rsidP="00F7724F">
            <w:pPr>
              <w:rPr>
                <w:rFonts w:ascii="CAIXA Std Book" w:eastAsia="Times New Roman" w:hAnsi="CAIXA Std Book" w:cs="Times New Roman"/>
                <w:color w:val="005CA9"/>
                <w:sz w:val="18"/>
                <w:szCs w:val="18"/>
              </w:rPr>
            </w:pPr>
            <w:r>
              <w:rPr>
                <w:rFonts w:ascii="CAIXA Std Book" w:hAnsi="CAIXA Std Book" w:cs="Calibri"/>
                <w:color w:val="005CA9"/>
                <w:sz w:val="18"/>
                <w:szCs w:val="18"/>
              </w:rPr>
              <w:t>Lotéricos e parceiros comerciais</w:t>
            </w:r>
          </w:p>
        </w:tc>
        <w:tc>
          <w:tcPr>
            <w:tcW w:w="698" w:type="pct"/>
            <w:tcBorders>
              <w:top w:val="nil"/>
              <w:left w:val="nil"/>
              <w:bottom w:val="single" w:sz="4" w:space="0" w:color="FFFFFF"/>
              <w:right w:val="nil"/>
            </w:tcBorders>
            <w:vAlign w:val="center"/>
            <w:hideMark/>
          </w:tcPr>
          <w:p w14:paraId="2B0E90BA" w14:textId="575D6F76" w:rsidR="00F7724F" w:rsidRPr="00F7724F" w:rsidRDefault="00A10D7B"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(743.526)</w:t>
            </w:r>
          </w:p>
        </w:tc>
        <w:tc>
          <w:tcPr>
            <w:tcW w:w="699" w:type="pct"/>
            <w:tcBorders>
              <w:top w:val="nil"/>
              <w:left w:val="nil"/>
              <w:bottom w:val="single" w:sz="4" w:space="0" w:color="FFFFFF"/>
              <w:right w:val="nil"/>
            </w:tcBorders>
            <w:noWrap/>
            <w:vAlign w:val="center"/>
            <w:hideMark/>
          </w:tcPr>
          <w:p w14:paraId="68D2FB2C" w14:textId="64762121" w:rsidR="00F7724F" w:rsidRPr="00850536" w:rsidRDefault="00A10D7B" w:rsidP="00F7724F">
            <w:pPr>
              <w:jc w:val="right"/>
              <w:rPr>
                <w:rFonts w:ascii="Aptos Narrow" w:eastAsia="Times New Roman" w:hAnsi="Aptos Narrow" w:cs="Times New Roman"/>
                <w:color w:val="000000"/>
                <w:sz w:val="18"/>
                <w:szCs w:val="18"/>
              </w:rPr>
            </w:pPr>
            <w:r>
              <w:rPr>
                <w:rFonts w:ascii="CAIXA Std Book" w:hAnsi="CAIXA Std Book" w:cs="Calibri"/>
                <w:color w:val="005CA9"/>
                <w:sz w:val="18"/>
                <w:szCs w:val="18"/>
              </w:rPr>
              <w:t>(770.564)</w:t>
            </w:r>
          </w:p>
        </w:tc>
        <w:tc>
          <w:tcPr>
            <w:tcW w:w="698" w:type="pct"/>
            <w:tcBorders>
              <w:top w:val="nil"/>
              <w:left w:val="nil"/>
              <w:bottom w:val="single" w:sz="4" w:space="0" w:color="FFFFFF"/>
              <w:right w:val="nil"/>
            </w:tcBorders>
            <w:vAlign w:val="center"/>
            <w:hideMark/>
          </w:tcPr>
          <w:p w14:paraId="00FAC265" w14:textId="58953C4E" w:rsidR="00F7724F" w:rsidRPr="00F7724F" w:rsidRDefault="008604F9"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(743.526)</w:t>
            </w:r>
          </w:p>
        </w:tc>
        <w:tc>
          <w:tcPr>
            <w:tcW w:w="699" w:type="pct"/>
            <w:tcBorders>
              <w:top w:val="nil"/>
              <w:left w:val="nil"/>
              <w:bottom w:val="single" w:sz="4" w:space="0" w:color="FFFFFF"/>
              <w:right w:val="nil"/>
            </w:tcBorders>
            <w:vAlign w:val="center"/>
            <w:hideMark/>
          </w:tcPr>
          <w:p w14:paraId="2F005663" w14:textId="0394ED08" w:rsidR="00F7724F" w:rsidRPr="00F7724F" w:rsidRDefault="00A10D7B"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(770.564)</w:t>
            </w:r>
          </w:p>
        </w:tc>
      </w:tr>
      <w:tr w:rsidR="00F7724F" w:rsidRPr="00F7724F" w14:paraId="0249C903" w14:textId="77777777" w:rsidTr="00850536">
        <w:trPr>
          <w:trHeight w:val="272"/>
        </w:trPr>
        <w:tc>
          <w:tcPr>
            <w:tcW w:w="2206" w:type="pct"/>
            <w:tcBorders>
              <w:top w:val="nil"/>
              <w:left w:val="nil"/>
              <w:bottom w:val="single" w:sz="4" w:space="0" w:color="FFFFFF"/>
              <w:right w:val="nil"/>
            </w:tcBorders>
            <w:vAlign w:val="center"/>
            <w:hideMark/>
          </w:tcPr>
          <w:p w14:paraId="602C9E0F" w14:textId="4AD6BF34" w:rsidR="00F7724F" w:rsidRPr="00F7724F" w:rsidRDefault="00A10D7B" w:rsidP="00F7724F">
            <w:pPr>
              <w:rPr>
                <w:rFonts w:ascii="CAIXA Std Book" w:eastAsia="Times New Roman" w:hAnsi="CAIXA Std Book" w:cs="Times New Roman"/>
                <w:color w:val="005CA9"/>
                <w:sz w:val="18"/>
                <w:szCs w:val="18"/>
              </w:rPr>
            </w:pPr>
            <w:r>
              <w:rPr>
                <w:rFonts w:ascii="CAIXA Std Book" w:hAnsi="CAIXA Std Book" w:cs="Calibri"/>
                <w:color w:val="005CA9"/>
                <w:sz w:val="18"/>
                <w:szCs w:val="18"/>
              </w:rPr>
              <w:t>Benefício pós-emprego</w:t>
            </w:r>
          </w:p>
        </w:tc>
        <w:tc>
          <w:tcPr>
            <w:tcW w:w="698" w:type="pct"/>
            <w:tcBorders>
              <w:top w:val="nil"/>
              <w:left w:val="nil"/>
              <w:bottom w:val="single" w:sz="4" w:space="0" w:color="FFFFFF"/>
              <w:right w:val="nil"/>
            </w:tcBorders>
            <w:vAlign w:val="center"/>
            <w:hideMark/>
          </w:tcPr>
          <w:p w14:paraId="2AB8A162" w14:textId="530686EE" w:rsidR="00F7724F" w:rsidRPr="00F7724F" w:rsidRDefault="00A10D7B"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(460.053)</w:t>
            </w:r>
          </w:p>
        </w:tc>
        <w:tc>
          <w:tcPr>
            <w:tcW w:w="699" w:type="pct"/>
            <w:tcBorders>
              <w:top w:val="nil"/>
              <w:left w:val="nil"/>
              <w:bottom w:val="single" w:sz="4" w:space="0" w:color="FFFFFF"/>
              <w:right w:val="nil"/>
            </w:tcBorders>
            <w:noWrap/>
            <w:vAlign w:val="center"/>
            <w:hideMark/>
          </w:tcPr>
          <w:p w14:paraId="0813F0B7" w14:textId="2A5D85A5" w:rsidR="00F7724F" w:rsidRPr="00850536" w:rsidRDefault="00A10D7B" w:rsidP="00F7724F">
            <w:pPr>
              <w:jc w:val="right"/>
              <w:rPr>
                <w:rFonts w:ascii="Aptos Narrow" w:eastAsia="Times New Roman" w:hAnsi="Aptos Narrow" w:cs="Times New Roman"/>
                <w:color w:val="000000"/>
                <w:sz w:val="18"/>
                <w:szCs w:val="18"/>
              </w:rPr>
            </w:pPr>
            <w:r>
              <w:rPr>
                <w:rFonts w:ascii="CAIXA Std Book" w:hAnsi="CAIXA Std Book" w:cs="Calibri"/>
                <w:color w:val="005CA9"/>
                <w:sz w:val="18"/>
                <w:szCs w:val="18"/>
              </w:rPr>
              <w:t>(527.091)</w:t>
            </w:r>
          </w:p>
        </w:tc>
        <w:tc>
          <w:tcPr>
            <w:tcW w:w="698" w:type="pct"/>
            <w:tcBorders>
              <w:top w:val="nil"/>
              <w:left w:val="nil"/>
              <w:bottom w:val="single" w:sz="4" w:space="0" w:color="FFFFFF"/>
              <w:right w:val="nil"/>
            </w:tcBorders>
            <w:vAlign w:val="center"/>
            <w:hideMark/>
          </w:tcPr>
          <w:p w14:paraId="0006543B" w14:textId="183F1383" w:rsidR="00F7724F" w:rsidRPr="00F7724F" w:rsidRDefault="008604F9"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(460.053)</w:t>
            </w:r>
          </w:p>
        </w:tc>
        <w:tc>
          <w:tcPr>
            <w:tcW w:w="699" w:type="pct"/>
            <w:tcBorders>
              <w:top w:val="nil"/>
              <w:left w:val="nil"/>
              <w:bottom w:val="single" w:sz="4" w:space="0" w:color="FFFFFF"/>
              <w:right w:val="nil"/>
            </w:tcBorders>
            <w:vAlign w:val="center"/>
            <w:hideMark/>
          </w:tcPr>
          <w:p w14:paraId="0DDA144F" w14:textId="16C8720B" w:rsidR="00F7724F" w:rsidRPr="00F7724F" w:rsidRDefault="00A10D7B"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(527.091)</w:t>
            </w:r>
          </w:p>
        </w:tc>
      </w:tr>
      <w:tr w:rsidR="00F7724F" w:rsidRPr="00F7724F" w14:paraId="47D42BE1" w14:textId="77777777" w:rsidTr="00850536">
        <w:trPr>
          <w:trHeight w:val="272"/>
        </w:trPr>
        <w:tc>
          <w:tcPr>
            <w:tcW w:w="2206" w:type="pct"/>
            <w:tcBorders>
              <w:top w:val="nil"/>
              <w:left w:val="nil"/>
              <w:bottom w:val="single" w:sz="4" w:space="0" w:color="FFFFFF"/>
              <w:right w:val="nil"/>
            </w:tcBorders>
            <w:vAlign w:val="center"/>
            <w:hideMark/>
          </w:tcPr>
          <w:p w14:paraId="63B11C99" w14:textId="15305F1B" w:rsidR="00F7724F" w:rsidRPr="00F7724F" w:rsidRDefault="00A10D7B" w:rsidP="00F7724F">
            <w:pPr>
              <w:rPr>
                <w:rFonts w:ascii="CAIXA Std Book" w:eastAsia="Times New Roman" w:hAnsi="CAIXA Std Book" w:cs="Times New Roman"/>
                <w:color w:val="005CA9"/>
                <w:sz w:val="18"/>
                <w:szCs w:val="18"/>
              </w:rPr>
            </w:pPr>
            <w:r>
              <w:rPr>
                <w:rFonts w:ascii="CAIXA Std Book" w:hAnsi="CAIXA Std Book" w:cs="Calibri"/>
                <w:color w:val="005CA9"/>
                <w:sz w:val="18"/>
                <w:szCs w:val="18"/>
              </w:rPr>
              <w:t>Perdas de risco operacional</w:t>
            </w:r>
          </w:p>
        </w:tc>
        <w:tc>
          <w:tcPr>
            <w:tcW w:w="698" w:type="pct"/>
            <w:tcBorders>
              <w:top w:val="nil"/>
              <w:left w:val="nil"/>
              <w:bottom w:val="single" w:sz="4" w:space="0" w:color="FFFFFF"/>
              <w:right w:val="nil"/>
            </w:tcBorders>
            <w:vAlign w:val="center"/>
            <w:hideMark/>
          </w:tcPr>
          <w:p w14:paraId="1CA2FD2F" w14:textId="2A48124B" w:rsidR="00F7724F" w:rsidRPr="00F7724F" w:rsidRDefault="00A10D7B"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(441.152)</w:t>
            </w:r>
          </w:p>
        </w:tc>
        <w:tc>
          <w:tcPr>
            <w:tcW w:w="699" w:type="pct"/>
            <w:tcBorders>
              <w:top w:val="nil"/>
              <w:left w:val="nil"/>
              <w:bottom w:val="single" w:sz="4" w:space="0" w:color="FFFFFF"/>
              <w:right w:val="nil"/>
            </w:tcBorders>
            <w:noWrap/>
            <w:vAlign w:val="center"/>
            <w:hideMark/>
          </w:tcPr>
          <w:p w14:paraId="33D7C60C" w14:textId="576ED076" w:rsidR="00F7724F" w:rsidRPr="00850536" w:rsidRDefault="00A10D7B" w:rsidP="00F7724F">
            <w:pPr>
              <w:jc w:val="right"/>
              <w:rPr>
                <w:rFonts w:ascii="Aptos Narrow" w:eastAsia="Times New Roman" w:hAnsi="Aptos Narrow" w:cs="Times New Roman"/>
                <w:color w:val="000000"/>
                <w:sz w:val="18"/>
                <w:szCs w:val="18"/>
              </w:rPr>
            </w:pPr>
            <w:r>
              <w:rPr>
                <w:rFonts w:ascii="CAIXA Std Book" w:hAnsi="CAIXA Std Book" w:cs="Calibri"/>
                <w:color w:val="005CA9"/>
                <w:sz w:val="18"/>
                <w:szCs w:val="18"/>
              </w:rPr>
              <w:t>(396.068)</w:t>
            </w:r>
          </w:p>
        </w:tc>
        <w:tc>
          <w:tcPr>
            <w:tcW w:w="698" w:type="pct"/>
            <w:tcBorders>
              <w:top w:val="nil"/>
              <w:left w:val="nil"/>
              <w:bottom w:val="single" w:sz="4" w:space="0" w:color="FFFFFF"/>
              <w:right w:val="nil"/>
            </w:tcBorders>
            <w:vAlign w:val="center"/>
            <w:hideMark/>
          </w:tcPr>
          <w:p w14:paraId="77D58941" w14:textId="09CB2BEC" w:rsidR="00F7724F" w:rsidRPr="00F7724F" w:rsidRDefault="008604F9"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(453.605)</w:t>
            </w:r>
          </w:p>
        </w:tc>
        <w:tc>
          <w:tcPr>
            <w:tcW w:w="699" w:type="pct"/>
            <w:tcBorders>
              <w:top w:val="nil"/>
              <w:left w:val="nil"/>
              <w:bottom w:val="single" w:sz="4" w:space="0" w:color="FFFFFF"/>
              <w:right w:val="nil"/>
            </w:tcBorders>
            <w:vAlign w:val="center"/>
            <w:hideMark/>
          </w:tcPr>
          <w:p w14:paraId="55FF8D14" w14:textId="7D2DF51A" w:rsidR="00F7724F" w:rsidRPr="00F7724F" w:rsidRDefault="00A10D7B"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(396.068)</w:t>
            </w:r>
          </w:p>
        </w:tc>
      </w:tr>
      <w:tr w:rsidR="00F7724F" w:rsidRPr="00F7724F" w14:paraId="4E27F204" w14:textId="77777777" w:rsidTr="00850536">
        <w:trPr>
          <w:trHeight w:val="272"/>
        </w:trPr>
        <w:tc>
          <w:tcPr>
            <w:tcW w:w="2206" w:type="pct"/>
            <w:tcBorders>
              <w:top w:val="nil"/>
              <w:left w:val="nil"/>
              <w:bottom w:val="single" w:sz="4" w:space="0" w:color="FFFFFF"/>
              <w:right w:val="nil"/>
            </w:tcBorders>
            <w:vAlign w:val="center"/>
            <w:hideMark/>
          </w:tcPr>
          <w:p w14:paraId="31A43AFE" w14:textId="26E33CAE" w:rsidR="00F7724F" w:rsidRPr="00F7724F" w:rsidRDefault="00A10D7B" w:rsidP="00F7724F">
            <w:pPr>
              <w:rPr>
                <w:rFonts w:ascii="CAIXA Std Book" w:eastAsia="Times New Roman" w:hAnsi="CAIXA Std Book" w:cs="Times New Roman"/>
                <w:color w:val="005CA9"/>
                <w:sz w:val="18"/>
                <w:szCs w:val="18"/>
              </w:rPr>
            </w:pPr>
            <w:r>
              <w:rPr>
                <w:rFonts w:ascii="CAIXA Std Book" w:hAnsi="CAIXA Std Book" w:cs="Calibri"/>
                <w:color w:val="005CA9"/>
                <w:sz w:val="18"/>
                <w:szCs w:val="18"/>
              </w:rPr>
              <w:t>Financiamentos imobiliários</w:t>
            </w:r>
          </w:p>
        </w:tc>
        <w:tc>
          <w:tcPr>
            <w:tcW w:w="698" w:type="pct"/>
            <w:tcBorders>
              <w:top w:val="nil"/>
              <w:left w:val="nil"/>
              <w:bottom w:val="single" w:sz="4" w:space="0" w:color="FFFFFF"/>
              <w:right w:val="nil"/>
            </w:tcBorders>
            <w:vAlign w:val="center"/>
            <w:hideMark/>
          </w:tcPr>
          <w:p w14:paraId="0477FD77" w14:textId="4E0E854B" w:rsidR="00F7724F" w:rsidRPr="00F7724F" w:rsidRDefault="00A10D7B"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(379.674)</w:t>
            </w:r>
          </w:p>
        </w:tc>
        <w:tc>
          <w:tcPr>
            <w:tcW w:w="699" w:type="pct"/>
            <w:tcBorders>
              <w:top w:val="nil"/>
              <w:left w:val="nil"/>
              <w:bottom w:val="single" w:sz="4" w:space="0" w:color="FFFFFF"/>
              <w:right w:val="nil"/>
            </w:tcBorders>
            <w:noWrap/>
            <w:vAlign w:val="center"/>
            <w:hideMark/>
          </w:tcPr>
          <w:p w14:paraId="0A4373E2" w14:textId="4219EDF1" w:rsidR="00F7724F" w:rsidRPr="00850536" w:rsidRDefault="00A10D7B" w:rsidP="00F7724F">
            <w:pPr>
              <w:jc w:val="right"/>
              <w:rPr>
                <w:rFonts w:ascii="Aptos Narrow" w:eastAsia="Times New Roman" w:hAnsi="Aptos Narrow" w:cs="Times New Roman"/>
                <w:color w:val="000000"/>
                <w:sz w:val="18"/>
                <w:szCs w:val="18"/>
              </w:rPr>
            </w:pPr>
            <w:r>
              <w:rPr>
                <w:rFonts w:ascii="CAIXA Std Book" w:hAnsi="CAIXA Std Book" w:cs="Calibri"/>
                <w:color w:val="005CA9"/>
                <w:sz w:val="18"/>
                <w:szCs w:val="18"/>
              </w:rPr>
              <w:t>(259.439)</w:t>
            </w:r>
          </w:p>
        </w:tc>
        <w:tc>
          <w:tcPr>
            <w:tcW w:w="698" w:type="pct"/>
            <w:tcBorders>
              <w:top w:val="nil"/>
              <w:left w:val="nil"/>
              <w:bottom w:val="single" w:sz="4" w:space="0" w:color="FFFFFF"/>
              <w:right w:val="nil"/>
            </w:tcBorders>
            <w:vAlign w:val="center"/>
            <w:hideMark/>
          </w:tcPr>
          <w:p w14:paraId="58C15AAD" w14:textId="60A5ACB0" w:rsidR="00F7724F" w:rsidRPr="00F7724F" w:rsidRDefault="008604F9"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(379.674)</w:t>
            </w:r>
          </w:p>
        </w:tc>
        <w:tc>
          <w:tcPr>
            <w:tcW w:w="699" w:type="pct"/>
            <w:tcBorders>
              <w:top w:val="nil"/>
              <w:left w:val="nil"/>
              <w:bottom w:val="single" w:sz="4" w:space="0" w:color="FFFFFF"/>
              <w:right w:val="nil"/>
            </w:tcBorders>
            <w:vAlign w:val="center"/>
            <w:hideMark/>
          </w:tcPr>
          <w:p w14:paraId="0CC073D2" w14:textId="72743489" w:rsidR="00F7724F" w:rsidRPr="00F7724F" w:rsidRDefault="00A10D7B"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(259.439)</w:t>
            </w:r>
          </w:p>
        </w:tc>
      </w:tr>
      <w:tr w:rsidR="00F7724F" w:rsidRPr="00F7724F" w14:paraId="4749CC0B" w14:textId="77777777" w:rsidTr="00850536">
        <w:trPr>
          <w:trHeight w:val="272"/>
        </w:trPr>
        <w:tc>
          <w:tcPr>
            <w:tcW w:w="2206" w:type="pct"/>
            <w:tcBorders>
              <w:top w:val="nil"/>
              <w:left w:val="nil"/>
              <w:bottom w:val="single" w:sz="4" w:space="0" w:color="FFFFFF"/>
              <w:right w:val="nil"/>
            </w:tcBorders>
            <w:vAlign w:val="center"/>
            <w:hideMark/>
          </w:tcPr>
          <w:p w14:paraId="6D7C5C2A" w14:textId="1D1A670E" w:rsidR="00F7724F" w:rsidRPr="00F7724F" w:rsidRDefault="00A10D7B" w:rsidP="00F7724F">
            <w:pPr>
              <w:rPr>
                <w:rFonts w:ascii="CAIXA Std Book" w:eastAsia="Times New Roman" w:hAnsi="CAIXA Std Book" w:cs="Times New Roman"/>
                <w:color w:val="005CA9"/>
                <w:sz w:val="18"/>
                <w:szCs w:val="18"/>
              </w:rPr>
            </w:pPr>
            <w:r>
              <w:rPr>
                <w:rFonts w:ascii="CAIXA Std Book" w:hAnsi="CAIXA Std Book" w:cs="Calibri"/>
                <w:color w:val="005CA9"/>
                <w:sz w:val="18"/>
                <w:szCs w:val="18"/>
              </w:rPr>
              <w:t>Descontos concedidos</w:t>
            </w:r>
          </w:p>
        </w:tc>
        <w:tc>
          <w:tcPr>
            <w:tcW w:w="698" w:type="pct"/>
            <w:tcBorders>
              <w:top w:val="nil"/>
              <w:left w:val="nil"/>
              <w:bottom w:val="single" w:sz="4" w:space="0" w:color="FFFFFF"/>
              <w:right w:val="nil"/>
            </w:tcBorders>
            <w:vAlign w:val="center"/>
            <w:hideMark/>
          </w:tcPr>
          <w:p w14:paraId="56E8B9DB" w14:textId="557BBF5C" w:rsidR="00F7724F" w:rsidRPr="00F7724F" w:rsidRDefault="00A10D7B"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(356.279)</w:t>
            </w:r>
          </w:p>
        </w:tc>
        <w:tc>
          <w:tcPr>
            <w:tcW w:w="699" w:type="pct"/>
            <w:tcBorders>
              <w:top w:val="nil"/>
              <w:left w:val="nil"/>
              <w:bottom w:val="single" w:sz="4" w:space="0" w:color="FFFFFF"/>
              <w:right w:val="nil"/>
            </w:tcBorders>
            <w:noWrap/>
            <w:vAlign w:val="center"/>
            <w:hideMark/>
          </w:tcPr>
          <w:p w14:paraId="392EF77A" w14:textId="63784621" w:rsidR="00F7724F" w:rsidRPr="00850536" w:rsidRDefault="00A10D7B" w:rsidP="00F7724F">
            <w:pPr>
              <w:jc w:val="right"/>
              <w:rPr>
                <w:rFonts w:ascii="Aptos Narrow" w:eastAsia="Times New Roman" w:hAnsi="Aptos Narrow" w:cs="Times New Roman"/>
                <w:color w:val="000000"/>
                <w:sz w:val="18"/>
                <w:szCs w:val="18"/>
              </w:rPr>
            </w:pPr>
            <w:r>
              <w:rPr>
                <w:rFonts w:ascii="CAIXA Std Book" w:hAnsi="CAIXA Std Book" w:cs="Calibri"/>
                <w:color w:val="005CA9"/>
                <w:sz w:val="18"/>
                <w:szCs w:val="18"/>
              </w:rPr>
              <w:t>(198.539)</w:t>
            </w:r>
          </w:p>
        </w:tc>
        <w:tc>
          <w:tcPr>
            <w:tcW w:w="698" w:type="pct"/>
            <w:tcBorders>
              <w:top w:val="nil"/>
              <w:left w:val="nil"/>
              <w:bottom w:val="single" w:sz="4" w:space="0" w:color="FFFFFF"/>
              <w:right w:val="nil"/>
            </w:tcBorders>
            <w:vAlign w:val="center"/>
            <w:hideMark/>
          </w:tcPr>
          <w:p w14:paraId="59D8D2E5" w14:textId="5185DE3D" w:rsidR="00F7724F" w:rsidRPr="00F7724F" w:rsidRDefault="008604F9"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(363.705)</w:t>
            </w:r>
          </w:p>
        </w:tc>
        <w:tc>
          <w:tcPr>
            <w:tcW w:w="699" w:type="pct"/>
            <w:tcBorders>
              <w:top w:val="nil"/>
              <w:left w:val="nil"/>
              <w:bottom w:val="single" w:sz="4" w:space="0" w:color="FFFFFF"/>
              <w:right w:val="nil"/>
            </w:tcBorders>
            <w:vAlign w:val="center"/>
            <w:hideMark/>
          </w:tcPr>
          <w:p w14:paraId="6E1F7148" w14:textId="646F9CC0" w:rsidR="00F7724F" w:rsidRPr="00F7724F" w:rsidRDefault="00A10D7B"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(198.539)</w:t>
            </w:r>
          </w:p>
        </w:tc>
      </w:tr>
      <w:tr w:rsidR="00F7724F" w:rsidRPr="00F7724F" w14:paraId="412B1950" w14:textId="77777777" w:rsidTr="00850536">
        <w:trPr>
          <w:trHeight w:val="272"/>
        </w:trPr>
        <w:tc>
          <w:tcPr>
            <w:tcW w:w="2206" w:type="pct"/>
            <w:tcBorders>
              <w:top w:val="nil"/>
              <w:left w:val="nil"/>
              <w:bottom w:val="single" w:sz="4" w:space="0" w:color="FFFFFF"/>
              <w:right w:val="nil"/>
            </w:tcBorders>
            <w:vAlign w:val="center"/>
            <w:hideMark/>
          </w:tcPr>
          <w:p w14:paraId="7525A99E" w14:textId="384918FE" w:rsidR="00F7724F" w:rsidRPr="00F7724F" w:rsidRDefault="00A10D7B" w:rsidP="00F7724F">
            <w:pPr>
              <w:rPr>
                <w:rFonts w:ascii="CAIXA Std Book" w:eastAsia="Times New Roman" w:hAnsi="CAIXA Std Book" w:cs="Times New Roman"/>
                <w:color w:val="005CA9"/>
                <w:sz w:val="18"/>
                <w:szCs w:val="18"/>
              </w:rPr>
            </w:pPr>
            <w:r>
              <w:rPr>
                <w:rFonts w:ascii="CAIXA Std Book" w:hAnsi="CAIXA Std Book" w:cs="Calibri"/>
                <w:color w:val="005CA9"/>
                <w:sz w:val="18"/>
                <w:szCs w:val="18"/>
              </w:rPr>
              <w:t>Imóveis adjudicados/arrematados</w:t>
            </w:r>
          </w:p>
        </w:tc>
        <w:tc>
          <w:tcPr>
            <w:tcW w:w="698" w:type="pct"/>
            <w:tcBorders>
              <w:top w:val="nil"/>
              <w:left w:val="nil"/>
              <w:bottom w:val="single" w:sz="4" w:space="0" w:color="FFFFFF"/>
              <w:right w:val="nil"/>
            </w:tcBorders>
            <w:vAlign w:val="center"/>
            <w:hideMark/>
          </w:tcPr>
          <w:p w14:paraId="40E91A9E" w14:textId="1AB5CC3A" w:rsidR="00F7724F" w:rsidRPr="00F7724F" w:rsidRDefault="00A10D7B"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(347.557)</w:t>
            </w:r>
          </w:p>
        </w:tc>
        <w:tc>
          <w:tcPr>
            <w:tcW w:w="699" w:type="pct"/>
            <w:tcBorders>
              <w:top w:val="nil"/>
              <w:left w:val="nil"/>
              <w:bottom w:val="single" w:sz="4" w:space="0" w:color="FFFFFF"/>
              <w:right w:val="nil"/>
            </w:tcBorders>
            <w:noWrap/>
            <w:vAlign w:val="center"/>
            <w:hideMark/>
          </w:tcPr>
          <w:p w14:paraId="49AF01EE" w14:textId="06D2A199" w:rsidR="00F7724F" w:rsidRPr="00850536" w:rsidRDefault="00A10D7B" w:rsidP="00F7724F">
            <w:pPr>
              <w:jc w:val="right"/>
              <w:rPr>
                <w:rFonts w:ascii="Aptos Narrow" w:eastAsia="Times New Roman" w:hAnsi="Aptos Narrow" w:cs="Times New Roman"/>
                <w:color w:val="000000"/>
                <w:sz w:val="18"/>
                <w:szCs w:val="18"/>
              </w:rPr>
            </w:pPr>
            <w:r>
              <w:rPr>
                <w:rFonts w:ascii="CAIXA Std Book" w:hAnsi="CAIXA Std Book" w:cs="Calibri"/>
                <w:color w:val="005CA9"/>
                <w:sz w:val="18"/>
                <w:szCs w:val="18"/>
              </w:rPr>
              <w:t>(224.806)</w:t>
            </w:r>
          </w:p>
        </w:tc>
        <w:tc>
          <w:tcPr>
            <w:tcW w:w="698" w:type="pct"/>
            <w:tcBorders>
              <w:top w:val="nil"/>
              <w:left w:val="nil"/>
              <w:bottom w:val="single" w:sz="4" w:space="0" w:color="FFFFFF"/>
              <w:right w:val="nil"/>
            </w:tcBorders>
            <w:vAlign w:val="center"/>
            <w:hideMark/>
          </w:tcPr>
          <w:p w14:paraId="59E9DBD4" w14:textId="310F8B08" w:rsidR="00F7724F" w:rsidRPr="00F7724F" w:rsidRDefault="008604F9"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(347.557)</w:t>
            </w:r>
          </w:p>
        </w:tc>
        <w:tc>
          <w:tcPr>
            <w:tcW w:w="699" w:type="pct"/>
            <w:tcBorders>
              <w:top w:val="nil"/>
              <w:left w:val="nil"/>
              <w:bottom w:val="single" w:sz="4" w:space="0" w:color="FFFFFF"/>
              <w:right w:val="nil"/>
            </w:tcBorders>
            <w:vAlign w:val="center"/>
            <w:hideMark/>
          </w:tcPr>
          <w:p w14:paraId="7BA34215" w14:textId="50138A36" w:rsidR="00F7724F" w:rsidRPr="00F7724F" w:rsidRDefault="00A10D7B"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(224.806)</w:t>
            </w:r>
          </w:p>
        </w:tc>
      </w:tr>
      <w:tr w:rsidR="00F7724F" w:rsidRPr="00F7724F" w14:paraId="0481E69D" w14:textId="77777777" w:rsidTr="00850536">
        <w:trPr>
          <w:trHeight w:val="272"/>
        </w:trPr>
        <w:tc>
          <w:tcPr>
            <w:tcW w:w="2206" w:type="pct"/>
            <w:tcBorders>
              <w:top w:val="nil"/>
              <w:left w:val="nil"/>
              <w:bottom w:val="single" w:sz="4" w:space="0" w:color="FFFFFF"/>
              <w:right w:val="nil"/>
            </w:tcBorders>
            <w:vAlign w:val="center"/>
            <w:hideMark/>
          </w:tcPr>
          <w:p w14:paraId="2D76EB4E" w14:textId="3E0121A7" w:rsidR="00F7724F" w:rsidRPr="00F7724F" w:rsidRDefault="00F7724F" w:rsidP="00F7724F">
            <w:pPr>
              <w:rPr>
                <w:rFonts w:ascii="CAIXA Std Book" w:eastAsia="Times New Roman" w:hAnsi="CAIXA Std Book" w:cs="Times New Roman"/>
                <w:color w:val="005CA9"/>
                <w:sz w:val="18"/>
                <w:szCs w:val="18"/>
              </w:rPr>
            </w:pPr>
            <w:r>
              <w:rPr>
                <w:rFonts w:ascii="CAIXA Std Book" w:hAnsi="CAIXA Std Book" w:cs="Calibri"/>
                <w:color w:val="005CA9"/>
                <w:sz w:val="18"/>
                <w:szCs w:val="18"/>
              </w:rPr>
              <w:t>Alavancagem de negócios</w:t>
            </w:r>
          </w:p>
        </w:tc>
        <w:tc>
          <w:tcPr>
            <w:tcW w:w="698" w:type="pct"/>
            <w:tcBorders>
              <w:top w:val="nil"/>
              <w:left w:val="nil"/>
              <w:bottom w:val="single" w:sz="4" w:space="0" w:color="FFFFFF"/>
              <w:right w:val="nil"/>
            </w:tcBorders>
            <w:vAlign w:val="center"/>
            <w:hideMark/>
          </w:tcPr>
          <w:p w14:paraId="462DCFA0" w14:textId="3B488B8E" w:rsidR="00F7724F" w:rsidRPr="00F7724F" w:rsidRDefault="00275BE1"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(265.814)</w:t>
            </w:r>
          </w:p>
        </w:tc>
        <w:tc>
          <w:tcPr>
            <w:tcW w:w="699" w:type="pct"/>
            <w:tcBorders>
              <w:top w:val="nil"/>
              <w:left w:val="nil"/>
              <w:bottom w:val="single" w:sz="4" w:space="0" w:color="FFFFFF"/>
              <w:right w:val="nil"/>
            </w:tcBorders>
            <w:noWrap/>
            <w:vAlign w:val="center"/>
            <w:hideMark/>
          </w:tcPr>
          <w:p w14:paraId="6683011E" w14:textId="53822F5C" w:rsidR="00F7724F" w:rsidRPr="00850536" w:rsidRDefault="00BB0167" w:rsidP="00F7724F">
            <w:pPr>
              <w:jc w:val="right"/>
              <w:rPr>
                <w:rFonts w:ascii="Aptos Narrow" w:eastAsia="Times New Roman" w:hAnsi="Aptos Narrow" w:cs="Times New Roman"/>
                <w:color w:val="000000"/>
                <w:sz w:val="18"/>
                <w:szCs w:val="18"/>
              </w:rPr>
            </w:pPr>
            <w:r>
              <w:rPr>
                <w:rFonts w:ascii="CAIXA Std Book" w:hAnsi="CAIXA Std Book" w:cs="Calibri"/>
                <w:color w:val="005CA9"/>
                <w:sz w:val="18"/>
                <w:szCs w:val="18"/>
              </w:rPr>
              <w:t>(236.042)</w:t>
            </w:r>
          </w:p>
        </w:tc>
        <w:tc>
          <w:tcPr>
            <w:tcW w:w="698" w:type="pct"/>
            <w:tcBorders>
              <w:top w:val="nil"/>
              <w:left w:val="nil"/>
              <w:bottom w:val="single" w:sz="4" w:space="0" w:color="FFFFFF"/>
              <w:right w:val="nil"/>
            </w:tcBorders>
            <w:vAlign w:val="center"/>
            <w:hideMark/>
          </w:tcPr>
          <w:p w14:paraId="4ACECD7D" w14:textId="380FF95F" w:rsidR="00F7724F" w:rsidRPr="00F7724F" w:rsidRDefault="008604F9"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(265.814)</w:t>
            </w:r>
          </w:p>
        </w:tc>
        <w:tc>
          <w:tcPr>
            <w:tcW w:w="699" w:type="pct"/>
            <w:tcBorders>
              <w:top w:val="nil"/>
              <w:left w:val="nil"/>
              <w:bottom w:val="single" w:sz="4" w:space="0" w:color="FFFFFF"/>
              <w:right w:val="nil"/>
            </w:tcBorders>
            <w:vAlign w:val="center"/>
            <w:hideMark/>
          </w:tcPr>
          <w:p w14:paraId="7AAE1C55" w14:textId="088BC38A" w:rsidR="00F7724F" w:rsidRPr="00F7724F" w:rsidRDefault="00BB0167"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(236.042)</w:t>
            </w:r>
          </w:p>
        </w:tc>
      </w:tr>
      <w:tr w:rsidR="00F7724F" w:rsidRPr="00F7724F" w14:paraId="30EC9C03" w14:textId="77777777" w:rsidTr="00850536">
        <w:trPr>
          <w:trHeight w:val="272"/>
        </w:trPr>
        <w:tc>
          <w:tcPr>
            <w:tcW w:w="2206" w:type="pct"/>
            <w:tcBorders>
              <w:top w:val="nil"/>
              <w:left w:val="nil"/>
              <w:bottom w:val="single" w:sz="4" w:space="0" w:color="FFFFFF"/>
              <w:right w:val="nil"/>
            </w:tcBorders>
            <w:vAlign w:val="center"/>
            <w:hideMark/>
          </w:tcPr>
          <w:p w14:paraId="0678C0B9" w14:textId="288966E0" w:rsidR="00F7724F" w:rsidRPr="00F7724F" w:rsidRDefault="00A10D7B" w:rsidP="00F7724F">
            <w:pPr>
              <w:rPr>
                <w:rFonts w:ascii="CAIXA Std Book" w:eastAsia="Times New Roman" w:hAnsi="CAIXA Std Book" w:cs="Times New Roman"/>
                <w:color w:val="005CA9"/>
                <w:sz w:val="18"/>
                <w:szCs w:val="18"/>
              </w:rPr>
            </w:pPr>
            <w:r>
              <w:rPr>
                <w:rFonts w:ascii="CAIXA Std Book" w:hAnsi="CAIXA Std Book" w:cs="Calibri"/>
                <w:color w:val="005CA9"/>
                <w:sz w:val="18"/>
                <w:szCs w:val="18"/>
              </w:rPr>
              <w:t>Obrigações com fundos e programas</w:t>
            </w:r>
          </w:p>
        </w:tc>
        <w:tc>
          <w:tcPr>
            <w:tcW w:w="698" w:type="pct"/>
            <w:tcBorders>
              <w:top w:val="nil"/>
              <w:left w:val="nil"/>
              <w:bottom w:val="single" w:sz="4" w:space="0" w:color="FFFFFF"/>
              <w:right w:val="nil"/>
            </w:tcBorders>
            <w:vAlign w:val="center"/>
            <w:hideMark/>
          </w:tcPr>
          <w:p w14:paraId="618628B6" w14:textId="37C780EB" w:rsidR="00F7724F" w:rsidRPr="00F7724F" w:rsidRDefault="00A10D7B"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(229.480)</w:t>
            </w:r>
          </w:p>
        </w:tc>
        <w:tc>
          <w:tcPr>
            <w:tcW w:w="699" w:type="pct"/>
            <w:tcBorders>
              <w:top w:val="nil"/>
              <w:left w:val="nil"/>
              <w:bottom w:val="single" w:sz="4" w:space="0" w:color="FFFFFF"/>
              <w:right w:val="nil"/>
            </w:tcBorders>
            <w:noWrap/>
            <w:vAlign w:val="center"/>
            <w:hideMark/>
          </w:tcPr>
          <w:p w14:paraId="72D4AE19" w14:textId="33799330" w:rsidR="00F7724F" w:rsidRPr="00850536" w:rsidRDefault="00A10D7B" w:rsidP="00F7724F">
            <w:pPr>
              <w:jc w:val="right"/>
              <w:rPr>
                <w:rFonts w:ascii="Aptos Narrow" w:eastAsia="Times New Roman" w:hAnsi="Aptos Narrow" w:cs="Times New Roman"/>
                <w:color w:val="000000"/>
                <w:sz w:val="18"/>
                <w:szCs w:val="18"/>
              </w:rPr>
            </w:pPr>
            <w:r>
              <w:rPr>
                <w:rFonts w:ascii="CAIXA Std Book" w:hAnsi="CAIXA Std Book" w:cs="Calibri"/>
                <w:color w:val="005CA9"/>
                <w:sz w:val="18"/>
                <w:szCs w:val="18"/>
              </w:rPr>
              <w:t>(224.889)</w:t>
            </w:r>
          </w:p>
        </w:tc>
        <w:tc>
          <w:tcPr>
            <w:tcW w:w="698" w:type="pct"/>
            <w:tcBorders>
              <w:top w:val="nil"/>
              <w:left w:val="nil"/>
              <w:bottom w:val="single" w:sz="4" w:space="0" w:color="FFFFFF"/>
              <w:right w:val="nil"/>
            </w:tcBorders>
            <w:vAlign w:val="center"/>
            <w:hideMark/>
          </w:tcPr>
          <w:p w14:paraId="6427E912" w14:textId="0DFC9FBC" w:rsidR="00F7724F" w:rsidRPr="00F7724F" w:rsidRDefault="008604F9"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(229.480)</w:t>
            </w:r>
          </w:p>
        </w:tc>
        <w:tc>
          <w:tcPr>
            <w:tcW w:w="699" w:type="pct"/>
            <w:tcBorders>
              <w:top w:val="nil"/>
              <w:left w:val="nil"/>
              <w:bottom w:val="single" w:sz="4" w:space="0" w:color="FFFFFF"/>
              <w:right w:val="nil"/>
            </w:tcBorders>
            <w:vAlign w:val="center"/>
            <w:hideMark/>
          </w:tcPr>
          <w:p w14:paraId="6A253845" w14:textId="66CF475B" w:rsidR="00F7724F" w:rsidRPr="00F7724F" w:rsidRDefault="00A10D7B"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(224.889)</w:t>
            </w:r>
          </w:p>
        </w:tc>
      </w:tr>
      <w:tr w:rsidR="00F7724F" w:rsidRPr="00F7724F" w14:paraId="712BB94B" w14:textId="77777777" w:rsidTr="00850536">
        <w:trPr>
          <w:trHeight w:val="272"/>
        </w:trPr>
        <w:tc>
          <w:tcPr>
            <w:tcW w:w="2206" w:type="pct"/>
            <w:tcBorders>
              <w:top w:val="nil"/>
              <w:left w:val="nil"/>
              <w:bottom w:val="single" w:sz="4" w:space="0" w:color="FFFFFF"/>
              <w:right w:val="nil"/>
            </w:tcBorders>
            <w:vAlign w:val="center"/>
            <w:hideMark/>
          </w:tcPr>
          <w:p w14:paraId="0029FCFB" w14:textId="409E8643" w:rsidR="00F7724F" w:rsidRPr="00F7724F" w:rsidRDefault="00F7724F" w:rsidP="00F7724F">
            <w:pPr>
              <w:rPr>
                <w:rFonts w:ascii="CAIXA Std Book" w:eastAsia="Times New Roman" w:hAnsi="CAIXA Std Book" w:cs="Times New Roman"/>
                <w:color w:val="005CA9"/>
                <w:sz w:val="18"/>
                <w:szCs w:val="18"/>
              </w:rPr>
            </w:pPr>
            <w:r>
              <w:rPr>
                <w:rFonts w:ascii="CAIXA Std Book" w:hAnsi="CAIXA Std Book" w:cs="Calibri"/>
                <w:color w:val="005CA9"/>
                <w:sz w:val="18"/>
                <w:szCs w:val="18"/>
              </w:rPr>
              <w:t>Serviços automatizados</w:t>
            </w:r>
          </w:p>
        </w:tc>
        <w:tc>
          <w:tcPr>
            <w:tcW w:w="698" w:type="pct"/>
            <w:tcBorders>
              <w:top w:val="nil"/>
              <w:left w:val="nil"/>
              <w:bottom w:val="single" w:sz="4" w:space="0" w:color="FFFFFF"/>
              <w:right w:val="nil"/>
            </w:tcBorders>
            <w:vAlign w:val="center"/>
            <w:hideMark/>
          </w:tcPr>
          <w:p w14:paraId="65DACD26" w14:textId="18DDF229" w:rsidR="00F7724F" w:rsidRPr="00F7724F" w:rsidRDefault="00275BE1"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(173.260)</w:t>
            </w:r>
          </w:p>
        </w:tc>
        <w:tc>
          <w:tcPr>
            <w:tcW w:w="699" w:type="pct"/>
            <w:tcBorders>
              <w:top w:val="nil"/>
              <w:left w:val="nil"/>
              <w:bottom w:val="single" w:sz="4" w:space="0" w:color="FFFFFF"/>
              <w:right w:val="nil"/>
            </w:tcBorders>
            <w:noWrap/>
            <w:vAlign w:val="center"/>
            <w:hideMark/>
          </w:tcPr>
          <w:p w14:paraId="15FD0BD7" w14:textId="2DED7CCE" w:rsidR="00F7724F" w:rsidRPr="00850536" w:rsidRDefault="00BB0167" w:rsidP="00F7724F">
            <w:pPr>
              <w:jc w:val="right"/>
              <w:rPr>
                <w:rFonts w:ascii="Aptos Narrow" w:eastAsia="Times New Roman" w:hAnsi="Aptos Narrow" w:cs="Times New Roman"/>
                <w:color w:val="000000"/>
                <w:sz w:val="18"/>
                <w:szCs w:val="18"/>
              </w:rPr>
            </w:pPr>
            <w:r>
              <w:rPr>
                <w:rFonts w:ascii="CAIXA Std Book" w:hAnsi="CAIXA Std Book" w:cs="Calibri"/>
                <w:color w:val="005CA9"/>
                <w:sz w:val="18"/>
                <w:szCs w:val="18"/>
              </w:rPr>
              <w:t>(138.059)</w:t>
            </w:r>
          </w:p>
        </w:tc>
        <w:tc>
          <w:tcPr>
            <w:tcW w:w="698" w:type="pct"/>
            <w:tcBorders>
              <w:top w:val="nil"/>
              <w:left w:val="nil"/>
              <w:bottom w:val="single" w:sz="4" w:space="0" w:color="FFFFFF"/>
              <w:right w:val="nil"/>
            </w:tcBorders>
            <w:vAlign w:val="center"/>
            <w:hideMark/>
          </w:tcPr>
          <w:p w14:paraId="27BC0196" w14:textId="293DC791" w:rsidR="00F7724F" w:rsidRPr="00F7724F" w:rsidRDefault="008604F9"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(173.260)</w:t>
            </w:r>
          </w:p>
        </w:tc>
        <w:tc>
          <w:tcPr>
            <w:tcW w:w="699" w:type="pct"/>
            <w:tcBorders>
              <w:top w:val="nil"/>
              <w:left w:val="nil"/>
              <w:bottom w:val="single" w:sz="4" w:space="0" w:color="FFFFFF"/>
              <w:right w:val="nil"/>
            </w:tcBorders>
            <w:vAlign w:val="center"/>
            <w:hideMark/>
          </w:tcPr>
          <w:p w14:paraId="7295A018" w14:textId="4D9E4A6E" w:rsidR="00F7724F" w:rsidRPr="00F7724F" w:rsidRDefault="00BB0167"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(138.059)</w:t>
            </w:r>
          </w:p>
        </w:tc>
      </w:tr>
      <w:tr w:rsidR="00F7724F" w:rsidRPr="00F7724F" w14:paraId="4FFC6F6F" w14:textId="77777777" w:rsidTr="00850536">
        <w:trPr>
          <w:trHeight w:val="272"/>
        </w:trPr>
        <w:tc>
          <w:tcPr>
            <w:tcW w:w="2206" w:type="pct"/>
            <w:tcBorders>
              <w:top w:val="nil"/>
              <w:left w:val="nil"/>
              <w:bottom w:val="single" w:sz="4" w:space="0" w:color="FFFFFF"/>
              <w:right w:val="nil"/>
            </w:tcBorders>
            <w:vAlign w:val="center"/>
            <w:hideMark/>
          </w:tcPr>
          <w:p w14:paraId="357066C3" w14:textId="5CAED14C" w:rsidR="00F7724F" w:rsidRPr="00F7724F" w:rsidRDefault="00275BE1" w:rsidP="00F7724F">
            <w:pPr>
              <w:rPr>
                <w:rFonts w:ascii="CAIXA Std Book" w:eastAsia="Times New Roman" w:hAnsi="CAIXA Std Book" w:cs="Times New Roman"/>
                <w:color w:val="005CA9"/>
                <w:sz w:val="18"/>
                <w:szCs w:val="18"/>
              </w:rPr>
            </w:pPr>
            <w:r>
              <w:rPr>
                <w:rFonts w:ascii="CAIXA Std Book" w:hAnsi="CAIXA Std Book" w:cs="Calibri"/>
                <w:color w:val="005CA9"/>
                <w:sz w:val="18"/>
                <w:szCs w:val="18"/>
              </w:rPr>
              <w:t>Passivo de arrendamento</w:t>
            </w:r>
          </w:p>
        </w:tc>
        <w:tc>
          <w:tcPr>
            <w:tcW w:w="698" w:type="pct"/>
            <w:tcBorders>
              <w:top w:val="nil"/>
              <w:left w:val="nil"/>
              <w:bottom w:val="single" w:sz="4" w:space="0" w:color="FFFFFF"/>
              <w:right w:val="nil"/>
            </w:tcBorders>
            <w:vAlign w:val="center"/>
            <w:hideMark/>
          </w:tcPr>
          <w:p w14:paraId="34230BB3" w14:textId="53B9AAB8" w:rsidR="00F7724F" w:rsidRPr="00F7724F" w:rsidRDefault="00275BE1"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(130.321)</w:t>
            </w:r>
          </w:p>
        </w:tc>
        <w:tc>
          <w:tcPr>
            <w:tcW w:w="699" w:type="pct"/>
            <w:tcBorders>
              <w:top w:val="nil"/>
              <w:left w:val="nil"/>
              <w:bottom w:val="single" w:sz="4" w:space="0" w:color="FFFFFF"/>
              <w:right w:val="nil"/>
            </w:tcBorders>
            <w:noWrap/>
            <w:vAlign w:val="center"/>
            <w:hideMark/>
          </w:tcPr>
          <w:p w14:paraId="3F84A918" w14:textId="20E9E16F" w:rsidR="00F7724F" w:rsidRPr="00850536" w:rsidRDefault="00275BE1" w:rsidP="00F7724F">
            <w:pPr>
              <w:jc w:val="right"/>
              <w:rPr>
                <w:rFonts w:ascii="Aptos Narrow" w:eastAsia="Times New Roman" w:hAnsi="Aptos Narrow" w:cs="Times New Roman"/>
                <w:color w:val="000000"/>
                <w:sz w:val="18"/>
                <w:szCs w:val="18"/>
              </w:rPr>
            </w:pPr>
            <w:r>
              <w:rPr>
                <w:rFonts w:ascii="CAIXA Std Book" w:hAnsi="CAIXA Std Book" w:cs="Calibri"/>
                <w:color w:val="005CA9"/>
                <w:sz w:val="18"/>
                <w:szCs w:val="18"/>
              </w:rPr>
              <w:t>(9.494)</w:t>
            </w:r>
          </w:p>
        </w:tc>
        <w:tc>
          <w:tcPr>
            <w:tcW w:w="698" w:type="pct"/>
            <w:tcBorders>
              <w:top w:val="nil"/>
              <w:left w:val="nil"/>
              <w:bottom w:val="single" w:sz="4" w:space="0" w:color="FFFFFF"/>
              <w:right w:val="nil"/>
            </w:tcBorders>
            <w:vAlign w:val="center"/>
            <w:hideMark/>
          </w:tcPr>
          <w:p w14:paraId="5F57DA1B" w14:textId="0D2BF29D" w:rsidR="00F7724F" w:rsidRPr="00F7724F" w:rsidRDefault="008604F9"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(130.697)</w:t>
            </w:r>
          </w:p>
        </w:tc>
        <w:tc>
          <w:tcPr>
            <w:tcW w:w="699" w:type="pct"/>
            <w:tcBorders>
              <w:top w:val="nil"/>
              <w:left w:val="nil"/>
              <w:bottom w:val="single" w:sz="4" w:space="0" w:color="FFFFFF"/>
              <w:right w:val="nil"/>
            </w:tcBorders>
            <w:vAlign w:val="center"/>
            <w:hideMark/>
          </w:tcPr>
          <w:p w14:paraId="48571639" w14:textId="68BC7310" w:rsidR="00F7724F" w:rsidRPr="00F7724F" w:rsidRDefault="00275BE1"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(9.494)</w:t>
            </w:r>
          </w:p>
        </w:tc>
      </w:tr>
      <w:tr w:rsidR="00F7724F" w:rsidRPr="00F7724F" w14:paraId="0037827D" w14:textId="77777777" w:rsidTr="00850536">
        <w:trPr>
          <w:trHeight w:val="272"/>
        </w:trPr>
        <w:tc>
          <w:tcPr>
            <w:tcW w:w="2206" w:type="pct"/>
            <w:tcBorders>
              <w:top w:val="nil"/>
              <w:left w:val="nil"/>
              <w:bottom w:val="single" w:sz="4" w:space="0" w:color="FFFFFF"/>
              <w:right w:val="nil"/>
            </w:tcBorders>
            <w:vAlign w:val="center"/>
            <w:hideMark/>
          </w:tcPr>
          <w:p w14:paraId="224BD04A" w14:textId="346BEEE6" w:rsidR="00F7724F" w:rsidRPr="00F7724F" w:rsidRDefault="00275BE1" w:rsidP="00F7724F">
            <w:pPr>
              <w:rPr>
                <w:rFonts w:ascii="CAIXA Std Book" w:eastAsia="Times New Roman" w:hAnsi="CAIXA Std Book" w:cs="Times New Roman"/>
                <w:color w:val="005CA9"/>
                <w:sz w:val="18"/>
                <w:szCs w:val="18"/>
              </w:rPr>
            </w:pPr>
            <w:r>
              <w:rPr>
                <w:rFonts w:ascii="CAIXA Std Book" w:hAnsi="CAIXA Std Book" w:cs="Calibri"/>
                <w:color w:val="005CA9"/>
                <w:sz w:val="18"/>
                <w:szCs w:val="18"/>
              </w:rPr>
              <w:t>Ágio na aquisição de carteiras comerciais</w:t>
            </w:r>
          </w:p>
        </w:tc>
        <w:tc>
          <w:tcPr>
            <w:tcW w:w="698" w:type="pct"/>
            <w:tcBorders>
              <w:top w:val="nil"/>
              <w:left w:val="nil"/>
              <w:bottom w:val="single" w:sz="4" w:space="0" w:color="FFFFFF"/>
              <w:right w:val="nil"/>
            </w:tcBorders>
            <w:vAlign w:val="center"/>
            <w:hideMark/>
          </w:tcPr>
          <w:p w14:paraId="51826DFD" w14:textId="6B10FC00" w:rsidR="00F7724F" w:rsidRPr="00F7724F" w:rsidRDefault="00275BE1"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(98.604)</w:t>
            </w:r>
          </w:p>
        </w:tc>
        <w:tc>
          <w:tcPr>
            <w:tcW w:w="699" w:type="pct"/>
            <w:tcBorders>
              <w:top w:val="nil"/>
              <w:left w:val="nil"/>
              <w:bottom w:val="single" w:sz="4" w:space="0" w:color="FFFFFF"/>
              <w:right w:val="nil"/>
            </w:tcBorders>
            <w:noWrap/>
            <w:vAlign w:val="center"/>
            <w:hideMark/>
          </w:tcPr>
          <w:p w14:paraId="13C26B37" w14:textId="768F2DEB" w:rsidR="00F7724F" w:rsidRPr="00850536" w:rsidRDefault="00275BE1" w:rsidP="00F7724F">
            <w:pPr>
              <w:jc w:val="right"/>
              <w:rPr>
                <w:rFonts w:ascii="Aptos Narrow" w:eastAsia="Times New Roman" w:hAnsi="Aptos Narrow" w:cs="Times New Roman"/>
                <w:color w:val="000000"/>
                <w:sz w:val="18"/>
                <w:szCs w:val="18"/>
              </w:rPr>
            </w:pPr>
            <w:r>
              <w:rPr>
                <w:rFonts w:ascii="CAIXA Std Book" w:hAnsi="CAIXA Std Book" w:cs="Calibri"/>
                <w:color w:val="005CA9"/>
                <w:sz w:val="18"/>
                <w:szCs w:val="18"/>
              </w:rPr>
              <w:t>(94.136)</w:t>
            </w:r>
          </w:p>
        </w:tc>
        <w:tc>
          <w:tcPr>
            <w:tcW w:w="698" w:type="pct"/>
            <w:tcBorders>
              <w:top w:val="nil"/>
              <w:left w:val="nil"/>
              <w:bottom w:val="single" w:sz="4" w:space="0" w:color="FFFFFF"/>
              <w:right w:val="nil"/>
            </w:tcBorders>
            <w:vAlign w:val="center"/>
            <w:hideMark/>
          </w:tcPr>
          <w:p w14:paraId="2497CA77" w14:textId="308076B6" w:rsidR="00F7724F" w:rsidRPr="00F7724F" w:rsidRDefault="008604F9"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(98.604)</w:t>
            </w:r>
          </w:p>
        </w:tc>
        <w:tc>
          <w:tcPr>
            <w:tcW w:w="699" w:type="pct"/>
            <w:tcBorders>
              <w:top w:val="nil"/>
              <w:left w:val="nil"/>
              <w:bottom w:val="single" w:sz="4" w:space="0" w:color="FFFFFF"/>
              <w:right w:val="nil"/>
            </w:tcBorders>
            <w:vAlign w:val="center"/>
            <w:hideMark/>
          </w:tcPr>
          <w:p w14:paraId="6E3EF485" w14:textId="5378D21B" w:rsidR="00F7724F" w:rsidRPr="00F7724F" w:rsidRDefault="00275BE1"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(94.136)</w:t>
            </w:r>
          </w:p>
        </w:tc>
      </w:tr>
      <w:tr w:rsidR="00F7724F" w:rsidRPr="00F7724F" w14:paraId="51B4EFC2" w14:textId="77777777" w:rsidTr="00850536">
        <w:trPr>
          <w:trHeight w:val="272"/>
        </w:trPr>
        <w:tc>
          <w:tcPr>
            <w:tcW w:w="2206" w:type="pct"/>
            <w:tcBorders>
              <w:top w:val="nil"/>
              <w:left w:val="nil"/>
              <w:bottom w:val="single" w:sz="4" w:space="0" w:color="FFFFFF"/>
              <w:right w:val="nil"/>
            </w:tcBorders>
            <w:vAlign w:val="center"/>
            <w:hideMark/>
          </w:tcPr>
          <w:p w14:paraId="6C95A5BD" w14:textId="7E29EF1D" w:rsidR="00F7724F" w:rsidRPr="00F7724F" w:rsidRDefault="00F7724F" w:rsidP="00F7724F">
            <w:pPr>
              <w:rPr>
                <w:rFonts w:ascii="CAIXA Std Book" w:eastAsia="Times New Roman" w:hAnsi="CAIXA Std Book" w:cs="Times New Roman"/>
                <w:color w:val="005CA9"/>
                <w:sz w:val="18"/>
                <w:szCs w:val="18"/>
              </w:rPr>
            </w:pPr>
            <w:r>
              <w:rPr>
                <w:rFonts w:ascii="CAIXA Std Book" w:hAnsi="CAIXA Std Book" w:cs="Calibri"/>
                <w:color w:val="005CA9"/>
                <w:sz w:val="18"/>
                <w:szCs w:val="18"/>
              </w:rPr>
              <w:t>Loterias</w:t>
            </w:r>
          </w:p>
        </w:tc>
        <w:tc>
          <w:tcPr>
            <w:tcW w:w="698" w:type="pct"/>
            <w:tcBorders>
              <w:top w:val="nil"/>
              <w:left w:val="nil"/>
              <w:bottom w:val="single" w:sz="4" w:space="0" w:color="FFFFFF"/>
              <w:right w:val="nil"/>
            </w:tcBorders>
            <w:vAlign w:val="center"/>
            <w:hideMark/>
          </w:tcPr>
          <w:p w14:paraId="44042392" w14:textId="57E8CEC9" w:rsidR="00F7724F" w:rsidRPr="00F7724F" w:rsidRDefault="00275BE1"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(62.434)</w:t>
            </w:r>
          </w:p>
        </w:tc>
        <w:tc>
          <w:tcPr>
            <w:tcW w:w="699" w:type="pct"/>
            <w:tcBorders>
              <w:top w:val="nil"/>
              <w:left w:val="nil"/>
              <w:bottom w:val="single" w:sz="4" w:space="0" w:color="FFFFFF"/>
              <w:right w:val="nil"/>
            </w:tcBorders>
            <w:noWrap/>
            <w:vAlign w:val="center"/>
            <w:hideMark/>
          </w:tcPr>
          <w:p w14:paraId="6DD56D15" w14:textId="760E9656" w:rsidR="00F7724F" w:rsidRPr="00850536" w:rsidRDefault="00BB0167" w:rsidP="00F7724F">
            <w:pPr>
              <w:jc w:val="right"/>
              <w:rPr>
                <w:rFonts w:ascii="Aptos Narrow" w:eastAsia="Times New Roman" w:hAnsi="Aptos Narrow" w:cs="Times New Roman"/>
                <w:color w:val="000000"/>
                <w:sz w:val="18"/>
                <w:szCs w:val="18"/>
              </w:rPr>
            </w:pPr>
            <w:r>
              <w:rPr>
                <w:rFonts w:ascii="CAIXA Std Book" w:hAnsi="CAIXA Std Book" w:cs="Calibri"/>
                <w:color w:val="005CA9"/>
                <w:sz w:val="18"/>
                <w:szCs w:val="18"/>
              </w:rPr>
              <w:t>(70.980)</w:t>
            </w:r>
          </w:p>
        </w:tc>
        <w:tc>
          <w:tcPr>
            <w:tcW w:w="698" w:type="pct"/>
            <w:tcBorders>
              <w:top w:val="nil"/>
              <w:left w:val="nil"/>
              <w:bottom w:val="single" w:sz="4" w:space="0" w:color="FFFFFF"/>
              <w:right w:val="nil"/>
            </w:tcBorders>
            <w:vAlign w:val="center"/>
            <w:hideMark/>
          </w:tcPr>
          <w:p w14:paraId="2FC69EB0" w14:textId="5EF8641C" w:rsidR="00F7724F" w:rsidRPr="00F7724F" w:rsidRDefault="008604F9"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(81.295)</w:t>
            </w:r>
          </w:p>
        </w:tc>
        <w:tc>
          <w:tcPr>
            <w:tcW w:w="699" w:type="pct"/>
            <w:tcBorders>
              <w:top w:val="nil"/>
              <w:left w:val="nil"/>
              <w:bottom w:val="single" w:sz="4" w:space="0" w:color="FFFFFF"/>
              <w:right w:val="nil"/>
            </w:tcBorders>
            <w:vAlign w:val="center"/>
            <w:hideMark/>
          </w:tcPr>
          <w:p w14:paraId="71C29AAE" w14:textId="1C724769" w:rsidR="00F7724F" w:rsidRPr="00F7724F" w:rsidRDefault="00BB0167"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(88.584)</w:t>
            </w:r>
          </w:p>
        </w:tc>
      </w:tr>
      <w:tr w:rsidR="00001A69" w:rsidRPr="00F7724F" w14:paraId="7712862B" w14:textId="77777777" w:rsidTr="00850536">
        <w:trPr>
          <w:trHeight w:val="272"/>
        </w:trPr>
        <w:tc>
          <w:tcPr>
            <w:tcW w:w="2206" w:type="pct"/>
            <w:tcBorders>
              <w:top w:val="nil"/>
              <w:left w:val="nil"/>
              <w:bottom w:val="single" w:sz="4" w:space="0" w:color="FFFFFF"/>
              <w:right w:val="nil"/>
            </w:tcBorders>
            <w:vAlign w:val="center"/>
          </w:tcPr>
          <w:p w14:paraId="48E4E01C" w14:textId="29CE1695" w:rsidR="00001A69" w:rsidRPr="00F7724F" w:rsidRDefault="00001A69" w:rsidP="00001A69">
            <w:pPr>
              <w:rPr>
                <w:rFonts w:ascii="CAIXA Std Book" w:eastAsia="Times New Roman" w:hAnsi="CAIXA Std Book" w:cs="Times New Roman"/>
                <w:color w:val="005CA9"/>
                <w:sz w:val="18"/>
                <w:szCs w:val="18"/>
              </w:rPr>
            </w:pPr>
            <w:r>
              <w:rPr>
                <w:rFonts w:ascii="CAIXA Std Book" w:hAnsi="CAIXA Std Book" w:cs="Calibri"/>
                <w:color w:val="005CA9"/>
                <w:sz w:val="18"/>
                <w:szCs w:val="18"/>
              </w:rPr>
              <w:t>Cartão de débito e crédito</w:t>
            </w:r>
          </w:p>
        </w:tc>
        <w:tc>
          <w:tcPr>
            <w:tcW w:w="698" w:type="pct"/>
            <w:tcBorders>
              <w:top w:val="nil"/>
              <w:left w:val="nil"/>
              <w:bottom w:val="single" w:sz="4" w:space="0" w:color="FFFFFF"/>
              <w:right w:val="nil"/>
            </w:tcBorders>
            <w:vAlign w:val="center"/>
          </w:tcPr>
          <w:p w14:paraId="0F7676F4" w14:textId="0EF765D6" w:rsidR="00001A69" w:rsidRPr="00F7724F" w:rsidRDefault="00001A69" w:rsidP="00001A69">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(44.</w:t>
            </w:r>
            <w:r w:rsidR="00A10D7B">
              <w:rPr>
                <w:rFonts w:ascii="CAIXA Std Book" w:hAnsi="CAIXA Std Book" w:cs="Calibri"/>
                <w:color w:val="005CA9"/>
                <w:sz w:val="18"/>
                <w:szCs w:val="18"/>
              </w:rPr>
              <w:t>519</w:t>
            </w:r>
            <w:r>
              <w:rPr>
                <w:rFonts w:ascii="CAIXA Std Book" w:hAnsi="CAIXA Std Book" w:cs="Calibri"/>
                <w:color w:val="005CA9"/>
                <w:sz w:val="18"/>
                <w:szCs w:val="18"/>
              </w:rPr>
              <w:t>)</w:t>
            </w:r>
          </w:p>
        </w:tc>
        <w:tc>
          <w:tcPr>
            <w:tcW w:w="699" w:type="pct"/>
            <w:tcBorders>
              <w:top w:val="nil"/>
              <w:left w:val="nil"/>
              <w:bottom w:val="single" w:sz="4" w:space="0" w:color="FFFFFF"/>
              <w:right w:val="nil"/>
            </w:tcBorders>
            <w:noWrap/>
            <w:vAlign w:val="center"/>
          </w:tcPr>
          <w:p w14:paraId="4EBE2DE1" w14:textId="5F0483EC" w:rsidR="00001A69" w:rsidRPr="00F7724F" w:rsidRDefault="00001A69" w:rsidP="00001A69">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(434.901)</w:t>
            </w:r>
          </w:p>
        </w:tc>
        <w:tc>
          <w:tcPr>
            <w:tcW w:w="698" w:type="pct"/>
            <w:tcBorders>
              <w:top w:val="nil"/>
              <w:left w:val="nil"/>
              <w:bottom w:val="single" w:sz="4" w:space="0" w:color="FFFFFF"/>
              <w:right w:val="nil"/>
            </w:tcBorders>
            <w:vAlign w:val="center"/>
          </w:tcPr>
          <w:p w14:paraId="70F2F643" w14:textId="0BF46A4F" w:rsidR="00001A69" w:rsidRPr="00F7724F" w:rsidRDefault="008604F9" w:rsidP="00001A69">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(674.357)</w:t>
            </w:r>
          </w:p>
        </w:tc>
        <w:tc>
          <w:tcPr>
            <w:tcW w:w="699" w:type="pct"/>
            <w:tcBorders>
              <w:top w:val="nil"/>
              <w:left w:val="nil"/>
              <w:bottom w:val="single" w:sz="4" w:space="0" w:color="FFFFFF"/>
              <w:right w:val="nil"/>
            </w:tcBorders>
            <w:vAlign w:val="center"/>
          </w:tcPr>
          <w:p w14:paraId="33DE6D44" w14:textId="66FAE053" w:rsidR="00001A69" w:rsidRPr="00F7724F" w:rsidRDefault="00001A69" w:rsidP="00001A69">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(434.901)</w:t>
            </w:r>
          </w:p>
        </w:tc>
      </w:tr>
      <w:tr w:rsidR="00F7724F" w:rsidRPr="00F7724F" w14:paraId="215848C6" w14:textId="77777777" w:rsidTr="00850536">
        <w:trPr>
          <w:trHeight w:val="272"/>
        </w:trPr>
        <w:tc>
          <w:tcPr>
            <w:tcW w:w="2206" w:type="pct"/>
            <w:tcBorders>
              <w:top w:val="nil"/>
              <w:left w:val="nil"/>
              <w:bottom w:val="single" w:sz="4" w:space="0" w:color="FFFFFF"/>
              <w:right w:val="nil"/>
            </w:tcBorders>
            <w:vAlign w:val="center"/>
            <w:hideMark/>
          </w:tcPr>
          <w:p w14:paraId="255ECAB5" w14:textId="513AC1C1" w:rsidR="00F7724F" w:rsidRPr="00F7724F" w:rsidRDefault="00F7724F" w:rsidP="00F7724F">
            <w:pPr>
              <w:rPr>
                <w:rFonts w:ascii="CAIXA Std Book" w:eastAsia="Times New Roman" w:hAnsi="CAIXA Std Book" w:cs="Times New Roman"/>
                <w:color w:val="005CA9"/>
                <w:sz w:val="18"/>
                <w:szCs w:val="18"/>
              </w:rPr>
            </w:pPr>
            <w:r>
              <w:rPr>
                <w:rFonts w:ascii="CAIXA Std Book" w:hAnsi="CAIXA Std Book" w:cs="Calibri"/>
                <w:color w:val="005CA9"/>
                <w:sz w:val="18"/>
                <w:szCs w:val="18"/>
              </w:rPr>
              <w:t>Outras</w:t>
            </w:r>
          </w:p>
        </w:tc>
        <w:tc>
          <w:tcPr>
            <w:tcW w:w="698" w:type="pct"/>
            <w:tcBorders>
              <w:top w:val="nil"/>
              <w:left w:val="nil"/>
              <w:bottom w:val="single" w:sz="4" w:space="0" w:color="FFFFFF"/>
              <w:right w:val="nil"/>
            </w:tcBorders>
            <w:vAlign w:val="center"/>
            <w:hideMark/>
          </w:tcPr>
          <w:p w14:paraId="40934471" w14:textId="52CA615B" w:rsidR="00F7724F" w:rsidRPr="00F7724F" w:rsidRDefault="00A10D7B"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(371.486)</w:t>
            </w:r>
          </w:p>
        </w:tc>
        <w:tc>
          <w:tcPr>
            <w:tcW w:w="699" w:type="pct"/>
            <w:tcBorders>
              <w:top w:val="nil"/>
              <w:left w:val="nil"/>
              <w:bottom w:val="single" w:sz="4" w:space="0" w:color="FFFFFF"/>
              <w:right w:val="nil"/>
            </w:tcBorders>
            <w:noWrap/>
            <w:vAlign w:val="center"/>
            <w:hideMark/>
          </w:tcPr>
          <w:p w14:paraId="6CB56FDA" w14:textId="2CBF1276" w:rsidR="00F7724F" w:rsidRPr="00850536" w:rsidRDefault="00A10D7B" w:rsidP="00F7724F">
            <w:pPr>
              <w:jc w:val="right"/>
              <w:rPr>
                <w:rFonts w:ascii="Aptos Narrow" w:eastAsia="Times New Roman" w:hAnsi="Aptos Narrow" w:cs="Times New Roman"/>
                <w:color w:val="000000"/>
                <w:sz w:val="18"/>
                <w:szCs w:val="18"/>
              </w:rPr>
            </w:pPr>
            <w:r>
              <w:rPr>
                <w:rFonts w:ascii="CAIXA Std Book" w:hAnsi="CAIXA Std Book" w:cs="Calibri"/>
                <w:color w:val="005CA9"/>
                <w:sz w:val="18"/>
                <w:szCs w:val="18"/>
              </w:rPr>
              <w:t>(331.726)</w:t>
            </w:r>
          </w:p>
        </w:tc>
        <w:tc>
          <w:tcPr>
            <w:tcW w:w="698" w:type="pct"/>
            <w:tcBorders>
              <w:top w:val="nil"/>
              <w:left w:val="nil"/>
              <w:bottom w:val="single" w:sz="4" w:space="0" w:color="FFFFFF"/>
              <w:right w:val="nil"/>
            </w:tcBorders>
            <w:vAlign w:val="center"/>
            <w:hideMark/>
          </w:tcPr>
          <w:p w14:paraId="0790DF02" w14:textId="0526CF0E" w:rsidR="00F7724F" w:rsidRPr="00F7724F" w:rsidRDefault="008604F9"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(416.420)</w:t>
            </w:r>
          </w:p>
        </w:tc>
        <w:tc>
          <w:tcPr>
            <w:tcW w:w="699" w:type="pct"/>
            <w:tcBorders>
              <w:top w:val="nil"/>
              <w:left w:val="nil"/>
              <w:bottom w:val="single" w:sz="4" w:space="0" w:color="FFFFFF"/>
              <w:right w:val="nil"/>
            </w:tcBorders>
            <w:vAlign w:val="center"/>
            <w:hideMark/>
          </w:tcPr>
          <w:p w14:paraId="5BC7F6EA" w14:textId="4ADCBEDE" w:rsidR="00F7724F" w:rsidRPr="00F7724F" w:rsidRDefault="00A10D7B" w:rsidP="00F7724F">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(344.161)</w:t>
            </w:r>
          </w:p>
        </w:tc>
      </w:tr>
      <w:tr w:rsidR="00F7724F" w:rsidRPr="00F7724F" w14:paraId="527F6D1A" w14:textId="77777777" w:rsidTr="00850536">
        <w:trPr>
          <w:trHeight w:val="272"/>
        </w:trPr>
        <w:tc>
          <w:tcPr>
            <w:tcW w:w="2206" w:type="pct"/>
            <w:tcBorders>
              <w:top w:val="nil"/>
              <w:left w:val="nil"/>
              <w:bottom w:val="single" w:sz="4" w:space="0" w:color="FFFFFF"/>
              <w:right w:val="nil"/>
            </w:tcBorders>
            <w:shd w:val="clear" w:color="000000" w:fill="005CA9"/>
            <w:noWrap/>
            <w:vAlign w:val="center"/>
            <w:hideMark/>
          </w:tcPr>
          <w:p w14:paraId="37197149" w14:textId="19380F8C" w:rsidR="00F7724F" w:rsidRPr="00F7724F" w:rsidRDefault="00F7724F" w:rsidP="00F7724F">
            <w:pPr>
              <w:rPr>
                <w:rFonts w:ascii="CAIXA Std Book" w:eastAsia="Times New Roman" w:hAnsi="CAIXA Std Book" w:cs="Times New Roman"/>
                <w:b/>
                <w:bCs/>
                <w:color w:val="FFFFFF"/>
                <w:sz w:val="18"/>
                <w:szCs w:val="18"/>
              </w:rPr>
            </w:pPr>
            <w:r>
              <w:rPr>
                <w:rFonts w:ascii="CAIXA Std Book" w:hAnsi="CAIXA Std Book" w:cs="Calibri"/>
                <w:b/>
                <w:color w:val="FFFFFF"/>
                <w:sz w:val="18"/>
                <w:szCs w:val="18"/>
              </w:rPr>
              <w:t>Total</w:t>
            </w:r>
          </w:p>
        </w:tc>
        <w:tc>
          <w:tcPr>
            <w:tcW w:w="698" w:type="pct"/>
            <w:tcBorders>
              <w:top w:val="nil"/>
              <w:left w:val="nil"/>
              <w:bottom w:val="single" w:sz="4" w:space="0" w:color="FFFFFF"/>
              <w:right w:val="nil"/>
            </w:tcBorders>
            <w:shd w:val="clear" w:color="000000" w:fill="005CA9"/>
            <w:noWrap/>
            <w:vAlign w:val="center"/>
            <w:hideMark/>
          </w:tcPr>
          <w:p w14:paraId="661BC72C" w14:textId="58DBBF6B" w:rsidR="00F7724F" w:rsidRPr="00F7724F" w:rsidRDefault="00001A69" w:rsidP="00F7724F">
            <w:pPr>
              <w:jc w:val="right"/>
              <w:rPr>
                <w:rFonts w:ascii="CAIXA Std Book" w:eastAsia="Times New Roman" w:hAnsi="CAIXA Std Book" w:cs="Times New Roman"/>
                <w:b/>
                <w:bCs/>
                <w:color w:val="FFFFFF"/>
                <w:sz w:val="18"/>
                <w:szCs w:val="18"/>
              </w:rPr>
            </w:pPr>
            <w:r>
              <w:rPr>
                <w:rFonts w:ascii="CAIXA Std Book" w:hAnsi="CAIXA Std Book" w:cs="Calibri"/>
                <w:b/>
                <w:bCs/>
                <w:color w:val="FFFFFF"/>
                <w:sz w:val="18"/>
                <w:szCs w:val="18"/>
              </w:rPr>
              <w:t>(7.212.744)</w:t>
            </w:r>
          </w:p>
        </w:tc>
        <w:tc>
          <w:tcPr>
            <w:tcW w:w="699" w:type="pct"/>
            <w:tcBorders>
              <w:top w:val="nil"/>
              <w:left w:val="nil"/>
              <w:bottom w:val="single" w:sz="4" w:space="0" w:color="FFFFFF"/>
              <w:right w:val="nil"/>
            </w:tcBorders>
            <w:shd w:val="clear" w:color="000000" w:fill="005CA9"/>
            <w:noWrap/>
            <w:vAlign w:val="center"/>
            <w:hideMark/>
          </w:tcPr>
          <w:p w14:paraId="52B4D207" w14:textId="4358DF47" w:rsidR="00F7724F" w:rsidRPr="00F7724F" w:rsidRDefault="00BB0167" w:rsidP="00F7724F">
            <w:pPr>
              <w:jc w:val="right"/>
              <w:rPr>
                <w:rFonts w:ascii="CAIXA Std Book" w:eastAsia="Times New Roman" w:hAnsi="CAIXA Std Book" w:cs="Times New Roman"/>
                <w:b/>
                <w:bCs/>
                <w:color w:val="FFFFFF"/>
                <w:sz w:val="18"/>
                <w:szCs w:val="18"/>
              </w:rPr>
            </w:pPr>
            <w:r>
              <w:rPr>
                <w:rFonts w:ascii="CAIXA Std Book" w:hAnsi="CAIXA Std Book" w:cs="Calibri"/>
                <w:b/>
                <w:color w:val="FFFFFF"/>
                <w:sz w:val="18"/>
                <w:szCs w:val="18"/>
              </w:rPr>
              <w:t>(4.293.669)</w:t>
            </w:r>
          </w:p>
        </w:tc>
        <w:tc>
          <w:tcPr>
            <w:tcW w:w="698" w:type="pct"/>
            <w:tcBorders>
              <w:top w:val="nil"/>
              <w:left w:val="nil"/>
              <w:bottom w:val="single" w:sz="4" w:space="0" w:color="FFFFFF"/>
              <w:right w:val="nil"/>
            </w:tcBorders>
            <w:shd w:val="clear" w:color="000000" w:fill="005CA9"/>
            <w:noWrap/>
            <w:vAlign w:val="center"/>
            <w:hideMark/>
          </w:tcPr>
          <w:p w14:paraId="7DEA37B9" w14:textId="3104F96A" w:rsidR="00F7724F" w:rsidRPr="00F7724F" w:rsidRDefault="002F3D8D" w:rsidP="00F7724F">
            <w:pPr>
              <w:jc w:val="right"/>
              <w:rPr>
                <w:rFonts w:ascii="CAIXA Std Book" w:eastAsia="Times New Roman" w:hAnsi="CAIXA Std Book" w:cs="Times New Roman"/>
                <w:b/>
                <w:bCs/>
                <w:color w:val="FFFFFF"/>
                <w:sz w:val="18"/>
                <w:szCs w:val="18"/>
              </w:rPr>
            </w:pPr>
            <w:r w:rsidRPr="002F3D8D">
              <w:rPr>
                <w:rFonts w:ascii="CAIXA Std Book" w:eastAsia="Times New Roman" w:hAnsi="CAIXA Std Book" w:cs="Times New Roman"/>
                <w:b/>
                <w:bCs/>
                <w:color w:val="FFFFFF"/>
                <w:sz w:val="18"/>
                <w:szCs w:val="18"/>
              </w:rPr>
              <w:t>(7.927.907)</w:t>
            </w:r>
          </w:p>
        </w:tc>
        <w:tc>
          <w:tcPr>
            <w:tcW w:w="699" w:type="pct"/>
            <w:tcBorders>
              <w:top w:val="nil"/>
              <w:left w:val="nil"/>
              <w:bottom w:val="single" w:sz="4" w:space="0" w:color="FFFFFF"/>
              <w:right w:val="nil"/>
            </w:tcBorders>
            <w:shd w:val="clear" w:color="000000" w:fill="005CA9"/>
            <w:noWrap/>
            <w:vAlign w:val="center"/>
            <w:hideMark/>
          </w:tcPr>
          <w:p w14:paraId="1D68A49A" w14:textId="227BFF3F" w:rsidR="00F7724F" w:rsidRPr="00F7724F" w:rsidRDefault="00BB0167" w:rsidP="00F7724F">
            <w:pPr>
              <w:jc w:val="right"/>
              <w:rPr>
                <w:rFonts w:ascii="CAIXA Std Book" w:eastAsia="Times New Roman" w:hAnsi="CAIXA Std Book" w:cs="Times New Roman"/>
                <w:b/>
                <w:bCs/>
                <w:color w:val="FFFFFF"/>
                <w:sz w:val="18"/>
                <w:szCs w:val="18"/>
              </w:rPr>
            </w:pPr>
            <w:r>
              <w:rPr>
                <w:rFonts w:ascii="CAIXA Std Book" w:hAnsi="CAIXA Std Book" w:cs="Calibri"/>
                <w:b/>
                <w:color w:val="FFFFFF"/>
                <w:sz w:val="18"/>
                <w:szCs w:val="18"/>
              </w:rPr>
              <w:t>(4.324.737)</w:t>
            </w:r>
          </w:p>
        </w:tc>
      </w:tr>
    </w:tbl>
    <w:p w14:paraId="3D552E77" w14:textId="77777777" w:rsidR="00FF0F31" w:rsidRDefault="006E5040" w:rsidP="006E5040">
      <w:pPr>
        <w:jc w:val="both"/>
        <w:rPr>
          <w:rFonts w:ascii="CAIXA Std Book" w:eastAsia="Times New Roman" w:hAnsi="CAIXA Std Book" w:cs="Arial"/>
          <w:color w:val="005CA9"/>
          <w:sz w:val="16"/>
          <w:szCs w:val="16"/>
        </w:rPr>
      </w:pPr>
      <w:r>
        <w:rPr>
          <w:rFonts w:ascii="CAIXA Std Book" w:eastAsia="Times New Roman" w:hAnsi="CAIXA Std Book" w:cs="Arial"/>
          <w:color w:val="005CA9"/>
          <w:sz w:val="16"/>
          <w:szCs w:val="16"/>
        </w:rPr>
        <w:t>(1)</w:t>
      </w:r>
      <w:r w:rsidR="0087040A">
        <w:rPr>
          <w:rFonts w:ascii="CAIXA Std Book" w:eastAsia="Times New Roman" w:hAnsi="CAIXA Std Book" w:cs="Arial"/>
          <w:color w:val="005CA9"/>
          <w:sz w:val="16"/>
          <w:szCs w:val="16"/>
        </w:rPr>
        <w:t xml:space="preserve"> </w:t>
      </w:r>
      <w:r w:rsidR="00013971">
        <w:rPr>
          <w:rFonts w:ascii="CAIXA Std Book" w:eastAsia="Times New Roman" w:hAnsi="CAIXA Std Book" w:cs="Arial"/>
          <w:color w:val="005CA9"/>
          <w:sz w:val="16"/>
          <w:szCs w:val="16"/>
        </w:rPr>
        <w:t>Despesas decorrentes de v</w:t>
      </w:r>
      <w:r w:rsidR="00424E0E">
        <w:rPr>
          <w:rFonts w:ascii="CAIXA Std Book" w:eastAsia="Times New Roman" w:hAnsi="CAIXA Std Book" w:cs="Arial"/>
          <w:color w:val="005CA9"/>
          <w:sz w:val="16"/>
          <w:szCs w:val="16"/>
        </w:rPr>
        <w:t>ariação cambial d</w:t>
      </w:r>
      <w:r w:rsidR="00013971">
        <w:rPr>
          <w:rFonts w:ascii="CAIXA Std Book" w:eastAsia="Times New Roman" w:hAnsi="CAIXA Std Book" w:cs="Arial"/>
          <w:color w:val="005CA9"/>
          <w:sz w:val="16"/>
          <w:szCs w:val="16"/>
        </w:rPr>
        <w:t>e ativos e passivos.</w:t>
      </w:r>
    </w:p>
    <w:p w14:paraId="22449199" w14:textId="3C88240C" w:rsidR="00E86E1F" w:rsidRPr="006E5040" w:rsidRDefault="00893C7D" w:rsidP="006E5040">
      <w:pPr>
        <w:jc w:val="both"/>
        <w:rPr>
          <w:rFonts w:ascii="CAIXA Std Book" w:eastAsia="Times New Roman" w:hAnsi="CAIXA Std Book" w:cs="Arial"/>
          <w:color w:val="005CA9"/>
          <w:sz w:val="16"/>
          <w:szCs w:val="16"/>
        </w:rPr>
      </w:pPr>
      <w:r>
        <w:rPr>
          <w:rFonts w:ascii="CAIXA Std Book" w:eastAsia="Times New Roman" w:hAnsi="CAIXA Std Book" w:cs="Arial"/>
          <w:color w:val="005CA9"/>
          <w:sz w:val="16"/>
          <w:szCs w:val="16"/>
        </w:rPr>
        <w:t>(2) Inclui o montante de R$ 839.904</w:t>
      </w:r>
      <w:r w:rsidR="00944BA0">
        <w:rPr>
          <w:rFonts w:ascii="CAIXA Std Book" w:eastAsia="Times New Roman" w:hAnsi="CAIXA Std Book" w:cs="Arial"/>
          <w:color w:val="005CA9"/>
          <w:sz w:val="16"/>
          <w:szCs w:val="16"/>
        </w:rPr>
        <w:t xml:space="preserve"> (</w:t>
      </w:r>
      <w:r w:rsidR="00C833AD">
        <w:rPr>
          <w:rFonts w:ascii="CAIXA Std Book" w:eastAsia="Times New Roman" w:hAnsi="CAIXA Std Book" w:cs="Arial"/>
          <w:color w:val="005CA9"/>
          <w:sz w:val="16"/>
          <w:szCs w:val="16"/>
        </w:rPr>
        <w:t xml:space="preserve">1º trimestre de </w:t>
      </w:r>
      <w:r w:rsidR="0022681D">
        <w:rPr>
          <w:rFonts w:ascii="CAIXA Std Book" w:hAnsi="CAIXA Std Book"/>
          <w:color w:val="005CA9"/>
          <w:sz w:val="16"/>
          <w:szCs w:val="16"/>
        </w:rPr>
        <w:t>2025 -</w:t>
      </w:r>
      <w:r w:rsidR="0022681D" w:rsidRPr="000242CA">
        <w:rPr>
          <w:rFonts w:ascii="CAIXA Std Book" w:hAnsi="CAIXA Std Book"/>
          <w:color w:val="005CA9"/>
          <w:sz w:val="16"/>
          <w:szCs w:val="16"/>
        </w:rPr>
        <w:t xml:space="preserve"> </w:t>
      </w:r>
      <w:r w:rsidR="00944BA0">
        <w:rPr>
          <w:rFonts w:ascii="CAIXA Std Book" w:eastAsia="Times New Roman" w:hAnsi="CAIXA Std Book" w:cs="Arial"/>
          <w:color w:val="005CA9"/>
          <w:sz w:val="16"/>
          <w:szCs w:val="16"/>
        </w:rPr>
        <w:t>R$ 2</w:t>
      </w:r>
      <w:r w:rsidR="00A60282">
        <w:rPr>
          <w:rFonts w:ascii="CAIXA Std Book" w:eastAsia="Times New Roman" w:hAnsi="CAIXA Std Book" w:cs="Arial"/>
          <w:color w:val="005CA9"/>
          <w:sz w:val="16"/>
          <w:szCs w:val="16"/>
        </w:rPr>
        <w:t>2</w:t>
      </w:r>
      <w:r w:rsidR="00944BA0">
        <w:rPr>
          <w:rFonts w:ascii="CAIXA Std Book" w:eastAsia="Times New Roman" w:hAnsi="CAIXA Std Book" w:cs="Arial"/>
          <w:color w:val="005CA9"/>
          <w:sz w:val="16"/>
          <w:szCs w:val="16"/>
        </w:rPr>
        <w:t>7.479)</w:t>
      </w:r>
      <w:r>
        <w:rPr>
          <w:rFonts w:ascii="CAIXA Std Book" w:eastAsia="Times New Roman" w:hAnsi="CAIXA Std Book" w:cs="Arial"/>
          <w:color w:val="005CA9"/>
          <w:sz w:val="16"/>
          <w:szCs w:val="16"/>
        </w:rPr>
        <w:t xml:space="preserve"> referente a atualização monetária e juros FCVS e atualização monetária sobre os recursos</w:t>
      </w:r>
      <w:r w:rsidR="00B366C4">
        <w:rPr>
          <w:rFonts w:ascii="CAIXA Std Book" w:eastAsia="Times New Roman" w:hAnsi="CAIXA Std Book" w:cs="Arial"/>
          <w:color w:val="005CA9"/>
          <w:sz w:val="16"/>
          <w:szCs w:val="16"/>
        </w:rPr>
        <w:t xml:space="preserve"> </w:t>
      </w:r>
      <w:r>
        <w:rPr>
          <w:rFonts w:ascii="CAIXA Std Book" w:eastAsia="Times New Roman" w:hAnsi="CAIXA Std Book" w:cs="Arial"/>
          <w:color w:val="005CA9"/>
          <w:sz w:val="16"/>
          <w:szCs w:val="16"/>
        </w:rPr>
        <w:t>disponíveis para pagamento dos benefícios sociais.</w:t>
      </w:r>
      <w:r w:rsidR="00E86E1F" w:rsidRPr="006E5040">
        <w:rPr>
          <w:rFonts w:ascii="CAIXA Std Book" w:eastAsia="Times New Roman" w:hAnsi="CAIXA Std Book" w:cs="Arial"/>
          <w:color w:val="005CA9"/>
          <w:sz w:val="16"/>
          <w:szCs w:val="16"/>
        </w:rPr>
        <w:br w:type="page"/>
      </w:r>
    </w:p>
    <w:p w14:paraId="4E72C70C" w14:textId="24C4858F" w:rsidR="005A7588" w:rsidRDefault="005A7588" w:rsidP="00B735D2">
      <w:pPr>
        <w:pStyle w:val="Ttulo1"/>
      </w:pPr>
      <w:bookmarkStart w:id="155" w:name="_Toc229588506"/>
      <w:r w:rsidRPr="00E95E29">
        <w:t>Nota   3</w:t>
      </w:r>
      <w:r w:rsidR="00EF04CD">
        <w:t>0</w:t>
      </w:r>
      <w:r w:rsidR="00E82528" w:rsidRPr="00E95E29">
        <w:t xml:space="preserve"> </w:t>
      </w:r>
      <w:r w:rsidRPr="00E95E29">
        <w:t xml:space="preserve">– </w:t>
      </w:r>
      <w:r w:rsidR="00C919EA" w:rsidRPr="00E95E29">
        <w:t>Constituição e reversão de provisões</w:t>
      </w:r>
      <w:bookmarkEnd w:id="154"/>
      <w:bookmarkEnd w:id="155"/>
    </w:p>
    <w:tbl>
      <w:tblPr>
        <w:tblW w:w="5000" w:type="pct"/>
        <w:tblCellMar>
          <w:left w:w="70" w:type="dxa"/>
          <w:right w:w="70" w:type="dxa"/>
        </w:tblCellMar>
        <w:tblLook w:val="04A0" w:firstRow="1" w:lastRow="0" w:firstColumn="1" w:lastColumn="0" w:noHBand="0" w:noVBand="1"/>
      </w:tblPr>
      <w:tblGrid>
        <w:gridCol w:w="4565"/>
        <w:gridCol w:w="1140"/>
        <w:gridCol w:w="1262"/>
        <w:gridCol w:w="1334"/>
        <w:gridCol w:w="1337"/>
      </w:tblGrid>
      <w:tr w:rsidR="00E21E82" w:rsidRPr="00E21E82" w14:paraId="14B340E6" w14:textId="77777777" w:rsidTr="00E21E82">
        <w:trPr>
          <w:trHeight w:val="288"/>
        </w:trPr>
        <w:tc>
          <w:tcPr>
            <w:tcW w:w="1945" w:type="pct"/>
            <w:vMerge w:val="restart"/>
            <w:tcBorders>
              <w:top w:val="nil"/>
              <w:left w:val="nil"/>
              <w:bottom w:val="nil"/>
              <w:right w:val="nil"/>
            </w:tcBorders>
            <w:shd w:val="clear" w:color="000000" w:fill="005CA9"/>
            <w:noWrap/>
            <w:vAlign w:val="center"/>
            <w:hideMark/>
          </w:tcPr>
          <w:p w14:paraId="74568F62" w14:textId="77777777" w:rsidR="00E21E82" w:rsidRPr="00E21E82" w:rsidRDefault="00E21E82" w:rsidP="00E21E82">
            <w:pPr>
              <w:jc w:val="center"/>
              <w:rPr>
                <w:rFonts w:ascii="CAIXA Std Book" w:eastAsia="Times New Roman" w:hAnsi="CAIXA Std Book" w:cs="Calibri"/>
                <w:b/>
                <w:bCs/>
                <w:color w:val="FFFFFF"/>
                <w:sz w:val="18"/>
                <w:szCs w:val="18"/>
              </w:rPr>
            </w:pPr>
            <w:r w:rsidRPr="00E21E82">
              <w:rPr>
                <w:rFonts w:ascii="CAIXA Std Book" w:eastAsia="Times New Roman" w:hAnsi="CAIXA Std Book" w:cs="Calibri"/>
                <w:b/>
                <w:bCs/>
                <w:color w:val="FFFFFF"/>
                <w:sz w:val="18"/>
                <w:szCs w:val="18"/>
              </w:rPr>
              <w:t>Descrição</w:t>
            </w:r>
          </w:p>
        </w:tc>
        <w:tc>
          <w:tcPr>
            <w:tcW w:w="1458" w:type="pct"/>
            <w:gridSpan w:val="2"/>
            <w:tcBorders>
              <w:top w:val="nil"/>
              <w:left w:val="nil"/>
              <w:bottom w:val="single" w:sz="4" w:space="0" w:color="FFFFFF"/>
              <w:right w:val="nil"/>
            </w:tcBorders>
            <w:shd w:val="clear" w:color="000000" w:fill="005CA9"/>
            <w:noWrap/>
            <w:vAlign w:val="center"/>
            <w:hideMark/>
          </w:tcPr>
          <w:p w14:paraId="37C78F40" w14:textId="77777777" w:rsidR="00E21E82" w:rsidRPr="00E21E82" w:rsidRDefault="00E21E82" w:rsidP="00E21E82">
            <w:pPr>
              <w:jc w:val="center"/>
              <w:rPr>
                <w:rFonts w:ascii="CAIXA Std Book" w:eastAsia="Times New Roman" w:hAnsi="CAIXA Std Book" w:cs="Calibri"/>
                <w:b/>
                <w:bCs/>
                <w:color w:val="FFFFFF"/>
                <w:sz w:val="18"/>
                <w:szCs w:val="18"/>
              </w:rPr>
            </w:pPr>
            <w:r w:rsidRPr="00E21E82">
              <w:rPr>
                <w:rFonts w:ascii="CAIXA Std Book" w:eastAsia="Times New Roman" w:hAnsi="CAIXA Std Book" w:cs="Calibri"/>
                <w:b/>
                <w:bCs/>
                <w:color w:val="FFFFFF"/>
                <w:sz w:val="18"/>
                <w:szCs w:val="18"/>
              </w:rPr>
              <w:t>Individual</w:t>
            </w:r>
          </w:p>
        </w:tc>
        <w:tc>
          <w:tcPr>
            <w:tcW w:w="1597" w:type="pct"/>
            <w:gridSpan w:val="2"/>
            <w:tcBorders>
              <w:top w:val="nil"/>
              <w:left w:val="nil"/>
              <w:bottom w:val="single" w:sz="4" w:space="0" w:color="FFFFFF"/>
              <w:right w:val="nil"/>
            </w:tcBorders>
            <w:shd w:val="clear" w:color="000000" w:fill="005CA9"/>
            <w:noWrap/>
            <w:vAlign w:val="center"/>
            <w:hideMark/>
          </w:tcPr>
          <w:p w14:paraId="7DCF4C69" w14:textId="77777777" w:rsidR="00E21E82" w:rsidRPr="00E21E82" w:rsidRDefault="00E21E82" w:rsidP="00E21E82">
            <w:pPr>
              <w:jc w:val="center"/>
              <w:rPr>
                <w:rFonts w:ascii="CAIXA Std Book" w:eastAsia="Times New Roman" w:hAnsi="CAIXA Std Book" w:cs="Calibri"/>
                <w:b/>
                <w:bCs/>
                <w:color w:val="FFFFFF"/>
                <w:sz w:val="18"/>
                <w:szCs w:val="18"/>
              </w:rPr>
            </w:pPr>
            <w:r w:rsidRPr="00E21E82">
              <w:rPr>
                <w:rFonts w:ascii="CAIXA Std Book" w:eastAsia="Times New Roman" w:hAnsi="CAIXA Std Book" w:cs="Calibri"/>
                <w:b/>
                <w:bCs/>
                <w:color w:val="FFFFFF"/>
                <w:sz w:val="18"/>
                <w:szCs w:val="18"/>
              </w:rPr>
              <w:t>Consolidado</w:t>
            </w:r>
          </w:p>
        </w:tc>
      </w:tr>
      <w:tr w:rsidR="00E21E82" w:rsidRPr="00E21E82" w14:paraId="4FC98E67" w14:textId="77777777" w:rsidTr="00E21E82">
        <w:trPr>
          <w:trHeight w:val="276"/>
        </w:trPr>
        <w:tc>
          <w:tcPr>
            <w:tcW w:w="1945" w:type="pct"/>
            <w:vMerge/>
            <w:tcBorders>
              <w:top w:val="nil"/>
              <w:left w:val="nil"/>
              <w:bottom w:val="nil"/>
              <w:right w:val="nil"/>
            </w:tcBorders>
            <w:vAlign w:val="center"/>
            <w:hideMark/>
          </w:tcPr>
          <w:p w14:paraId="3BCD68A2" w14:textId="77777777" w:rsidR="00E21E82" w:rsidRPr="00E21E82" w:rsidRDefault="00E21E82" w:rsidP="00E21E82">
            <w:pPr>
              <w:jc w:val="center"/>
              <w:rPr>
                <w:rFonts w:ascii="CAIXA Std Book" w:eastAsia="Times New Roman" w:hAnsi="CAIXA Std Book" w:cs="Calibri"/>
                <w:b/>
                <w:bCs/>
                <w:color w:val="FFFFFF"/>
                <w:sz w:val="18"/>
                <w:szCs w:val="18"/>
              </w:rPr>
            </w:pPr>
          </w:p>
        </w:tc>
        <w:tc>
          <w:tcPr>
            <w:tcW w:w="659" w:type="pct"/>
            <w:tcBorders>
              <w:top w:val="nil"/>
              <w:left w:val="nil"/>
              <w:bottom w:val="single" w:sz="4" w:space="0" w:color="FFFFFF"/>
              <w:right w:val="nil"/>
            </w:tcBorders>
            <w:shd w:val="clear" w:color="000000" w:fill="005CA9"/>
            <w:vAlign w:val="center"/>
            <w:hideMark/>
          </w:tcPr>
          <w:p w14:paraId="5233E7B7" w14:textId="77777777" w:rsidR="00E21E82" w:rsidRPr="00E21E82" w:rsidRDefault="00E21E82" w:rsidP="00E21E82">
            <w:pPr>
              <w:jc w:val="center"/>
              <w:rPr>
                <w:rFonts w:ascii="CAIXA Std Book" w:eastAsia="Times New Roman" w:hAnsi="CAIXA Std Book" w:cs="Calibri"/>
                <w:b/>
                <w:bCs/>
                <w:color w:val="FFFFFF"/>
                <w:sz w:val="18"/>
                <w:szCs w:val="18"/>
              </w:rPr>
            </w:pPr>
            <w:r w:rsidRPr="00E21E82">
              <w:rPr>
                <w:rFonts w:ascii="CAIXA Std Book" w:eastAsia="Times New Roman" w:hAnsi="CAIXA Std Book" w:cs="Calibri"/>
                <w:b/>
                <w:bCs/>
                <w:color w:val="FFFFFF"/>
                <w:sz w:val="18"/>
                <w:szCs w:val="18"/>
              </w:rPr>
              <w:t>2026</w:t>
            </w:r>
          </w:p>
        </w:tc>
        <w:tc>
          <w:tcPr>
            <w:tcW w:w="798" w:type="pct"/>
            <w:tcBorders>
              <w:top w:val="nil"/>
              <w:left w:val="nil"/>
              <w:bottom w:val="single" w:sz="4" w:space="0" w:color="FFFFFF"/>
              <w:right w:val="nil"/>
            </w:tcBorders>
            <w:shd w:val="clear" w:color="000000" w:fill="005CA9"/>
            <w:vAlign w:val="center"/>
            <w:hideMark/>
          </w:tcPr>
          <w:p w14:paraId="2C4D41A8" w14:textId="77777777" w:rsidR="00E21E82" w:rsidRPr="00E21E82" w:rsidRDefault="00E21E82" w:rsidP="00E21E82">
            <w:pPr>
              <w:jc w:val="center"/>
              <w:rPr>
                <w:rFonts w:ascii="CAIXA Std Book" w:eastAsia="Times New Roman" w:hAnsi="CAIXA Std Book" w:cs="Calibri"/>
                <w:b/>
                <w:bCs/>
                <w:color w:val="FFFFFF"/>
                <w:sz w:val="18"/>
                <w:szCs w:val="18"/>
              </w:rPr>
            </w:pPr>
            <w:r w:rsidRPr="00E21E82">
              <w:rPr>
                <w:rFonts w:ascii="CAIXA Std Book" w:eastAsia="Times New Roman" w:hAnsi="CAIXA Std Book" w:cs="Calibri"/>
                <w:b/>
                <w:bCs/>
                <w:color w:val="FFFFFF"/>
                <w:sz w:val="18"/>
                <w:szCs w:val="18"/>
              </w:rPr>
              <w:t>2025</w:t>
            </w:r>
          </w:p>
        </w:tc>
        <w:tc>
          <w:tcPr>
            <w:tcW w:w="798" w:type="pct"/>
            <w:tcBorders>
              <w:top w:val="nil"/>
              <w:left w:val="nil"/>
              <w:bottom w:val="single" w:sz="4" w:space="0" w:color="FFFFFF"/>
              <w:right w:val="nil"/>
            </w:tcBorders>
            <w:shd w:val="clear" w:color="000000" w:fill="005CA9"/>
            <w:vAlign w:val="center"/>
            <w:hideMark/>
          </w:tcPr>
          <w:p w14:paraId="2ADC8C45" w14:textId="77777777" w:rsidR="00E21E82" w:rsidRPr="00E21E82" w:rsidRDefault="00E21E82" w:rsidP="00E21E82">
            <w:pPr>
              <w:jc w:val="center"/>
              <w:rPr>
                <w:rFonts w:ascii="CAIXA Std Book" w:eastAsia="Times New Roman" w:hAnsi="CAIXA Std Book" w:cs="Calibri"/>
                <w:b/>
                <w:bCs/>
                <w:color w:val="FFFFFF"/>
                <w:sz w:val="18"/>
                <w:szCs w:val="18"/>
              </w:rPr>
            </w:pPr>
            <w:r w:rsidRPr="00E21E82">
              <w:rPr>
                <w:rFonts w:ascii="CAIXA Std Book" w:eastAsia="Times New Roman" w:hAnsi="CAIXA Std Book" w:cs="Calibri"/>
                <w:b/>
                <w:bCs/>
                <w:color w:val="FFFFFF"/>
                <w:sz w:val="18"/>
                <w:szCs w:val="18"/>
              </w:rPr>
              <w:t>2026</w:t>
            </w:r>
          </w:p>
        </w:tc>
        <w:tc>
          <w:tcPr>
            <w:tcW w:w="798" w:type="pct"/>
            <w:tcBorders>
              <w:top w:val="nil"/>
              <w:left w:val="nil"/>
              <w:bottom w:val="single" w:sz="4" w:space="0" w:color="FFFFFF"/>
              <w:right w:val="nil"/>
            </w:tcBorders>
            <w:shd w:val="clear" w:color="000000" w:fill="005CA9"/>
            <w:vAlign w:val="center"/>
            <w:hideMark/>
          </w:tcPr>
          <w:p w14:paraId="69FDFC6B" w14:textId="77777777" w:rsidR="00E21E82" w:rsidRPr="00E21E82" w:rsidRDefault="00E21E82" w:rsidP="00E21E82">
            <w:pPr>
              <w:jc w:val="center"/>
              <w:rPr>
                <w:rFonts w:ascii="CAIXA Std Book" w:eastAsia="Times New Roman" w:hAnsi="CAIXA Std Book" w:cs="Calibri"/>
                <w:b/>
                <w:bCs/>
                <w:color w:val="FFFFFF"/>
                <w:sz w:val="18"/>
                <w:szCs w:val="18"/>
              </w:rPr>
            </w:pPr>
            <w:r w:rsidRPr="00E21E82">
              <w:rPr>
                <w:rFonts w:ascii="CAIXA Std Book" w:eastAsia="Times New Roman" w:hAnsi="CAIXA Std Book" w:cs="Calibri"/>
                <w:b/>
                <w:bCs/>
                <w:color w:val="FFFFFF"/>
                <w:sz w:val="18"/>
                <w:szCs w:val="18"/>
              </w:rPr>
              <w:t>2025</w:t>
            </w:r>
          </w:p>
        </w:tc>
      </w:tr>
      <w:tr w:rsidR="00E21E82" w:rsidRPr="00E21E82" w14:paraId="4ABE15A9" w14:textId="77777777" w:rsidTr="00E21E82">
        <w:trPr>
          <w:trHeight w:val="276"/>
        </w:trPr>
        <w:tc>
          <w:tcPr>
            <w:tcW w:w="1945" w:type="pct"/>
            <w:vMerge/>
            <w:tcBorders>
              <w:top w:val="nil"/>
              <w:left w:val="nil"/>
              <w:bottom w:val="nil"/>
              <w:right w:val="nil"/>
            </w:tcBorders>
            <w:vAlign w:val="center"/>
            <w:hideMark/>
          </w:tcPr>
          <w:p w14:paraId="0268F717" w14:textId="77777777" w:rsidR="00E21E82" w:rsidRPr="00E21E82" w:rsidRDefault="00E21E82" w:rsidP="00E21E82">
            <w:pPr>
              <w:jc w:val="center"/>
              <w:rPr>
                <w:rFonts w:ascii="CAIXA Std Book" w:eastAsia="Times New Roman" w:hAnsi="CAIXA Std Book" w:cs="Calibri"/>
                <w:b/>
                <w:bCs/>
                <w:color w:val="FFFFFF"/>
                <w:sz w:val="18"/>
                <w:szCs w:val="18"/>
              </w:rPr>
            </w:pPr>
          </w:p>
        </w:tc>
        <w:tc>
          <w:tcPr>
            <w:tcW w:w="659" w:type="pct"/>
            <w:tcBorders>
              <w:top w:val="nil"/>
              <w:left w:val="nil"/>
              <w:bottom w:val="nil"/>
              <w:right w:val="nil"/>
            </w:tcBorders>
            <w:shd w:val="clear" w:color="000000" w:fill="005CA9"/>
            <w:noWrap/>
            <w:vAlign w:val="center"/>
            <w:hideMark/>
          </w:tcPr>
          <w:p w14:paraId="0FDBCF87" w14:textId="77777777" w:rsidR="00E21E82" w:rsidRPr="00E21E82" w:rsidRDefault="00E21E82" w:rsidP="00E21E82">
            <w:pPr>
              <w:jc w:val="center"/>
              <w:rPr>
                <w:rFonts w:ascii="CAIXA Std Book" w:eastAsia="Times New Roman" w:hAnsi="CAIXA Std Book" w:cs="Calibri"/>
                <w:b/>
                <w:bCs/>
                <w:color w:val="FFFFFF"/>
                <w:sz w:val="18"/>
                <w:szCs w:val="18"/>
              </w:rPr>
            </w:pPr>
            <w:r w:rsidRPr="00E21E82">
              <w:rPr>
                <w:rFonts w:ascii="CAIXA Std Book" w:eastAsia="Times New Roman" w:hAnsi="CAIXA Std Book" w:cs="Calibri"/>
                <w:b/>
                <w:bCs/>
                <w:color w:val="FFFFFF"/>
                <w:sz w:val="18"/>
                <w:szCs w:val="18"/>
              </w:rPr>
              <w:t>1º trimestre</w:t>
            </w:r>
          </w:p>
        </w:tc>
        <w:tc>
          <w:tcPr>
            <w:tcW w:w="798" w:type="pct"/>
            <w:tcBorders>
              <w:top w:val="nil"/>
              <w:left w:val="nil"/>
              <w:bottom w:val="nil"/>
              <w:right w:val="nil"/>
            </w:tcBorders>
            <w:shd w:val="clear" w:color="000000" w:fill="005CA9"/>
            <w:noWrap/>
            <w:vAlign w:val="center"/>
            <w:hideMark/>
          </w:tcPr>
          <w:p w14:paraId="7EB51AED" w14:textId="77777777" w:rsidR="00E21E82" w:rsidRPr="00E21E82" w:rsidRDefault="00E21E82" w:rsidP="00E21E82">
            <w:pPr>
              <w:jc w:val="center"/>
              <w:rPr>
                <w:rFonts w:ascii="CAIXA Std Book" w:eastAsia="Times New Roman" w:hAnsi="CAIXA Std Book" w:cs="Calibri"/>
                <w:b/>
                <w:bCs/>
                <w:color w:val="FFFFFF"/>
                <w:sz w:val="18"/>
                <w:szCs w:val="18"/>
              </w:rPr>
            </w:pPr>
            <w:r w:rsidRPr="00E21E82">
              <w:rPr>
                <w:rFonts w:ascii="CAIXA Std Book" w:eastAsia="Times New Roman" w:hAnsi="CAIXA Std Book" w:cs="Calibri"/>
                <w:b/>
                <w:bCs/>
                <w:color w:val="FFFFFF"/>
                <w:sz w:val="18"/>
                <w:szCs w:val="18"/>
              </w:rPr>
              <w:t>1º trimestre</w:t>
            </w:r>
          </w:p>
        </w:tc>
        <w:tc>
          <w:tcPr>
            <w:tcW w:w="798" w:type="pct"/>
            <w:tcBorders>
              <w:top w:val="nil"/>
              <w:left w:val="nil"/>
              <w:bottom w:val="nil"/>
              <w:right w:val="nil"/>
            </w:tcBorders>
            <w:shd w:val="clear" w:color="000000" w:fill="005CA9"/>
            <w:noWrap/>
            <w:vAlign w:val="center"/>
            <w:hideMark/>
          </w:tcPr>
          <w:p w14:paraId="04D6DF60" w14:textId="77777777" w:rsidR="00E21E82" w:rsidRPr="00E21E82" w:rsidRDefault="00E21E82" w:rsidP="00E21E82">
            <w:pPr>
              <w:jc w:val="center"/>
              <w:rPr>
                <w:rFonts w:ascii="CAIXA Std Book" w:eastAsia="Times New Roman" w:hAnsi="CAIXA Std Book" w:cs="Calibri"/>
                <w:b/>
                <w:bCs/>
                <w:color w:val="FFFFFF"/>
                <w:sz w:val="18"/>
                <w:szCs w:val="18"/>
              </w:rPr>
            </w:pPr>
            <w:r w:rsidRPr="00E21E82">
              <w:rPr>
                <w:rFonts w:ascii="CAIXA Std Book" w:eastAsia="Times New Roman" w:hAnsi="CAIXA Std Book" w:cs="Calibri"/>
                <w:b/>
                <w:bCs/>
                <w:color w:val="FFFFFF"/>
                <w:sz w:val="18"/>
                <w:szCs w:val="18"/>
              </w:rPr>
              <w:t>1º trimestre</w:t>
            </w:r>
          </w:p>
        </w:tc>
        <w:tc>
          <w:tcPr>
            <w:tcW w:w="798" w:type="pct"/>
            <w:tcBorders>
              <w:top w:val="nil"/>
              <w:left w:val="nil"/>
              <w:bottom w:val="nil"/>
              <w:right w:val="nil"/>
            </w:tcBorders>
            <w:shd w:val="clear" w:color="000000" w:fill="005CA9"/>
            <w:noWrap/>
            <w:vAlign w:val="center"/>
            <w:hideMark/>
          </w:tcPr>
          <w:p w14:paraId="4244214B" w14:textId="77777777" w:rsidR="00E21E82" w:rsidRPr="00E21E82" w:rsidRDefault="00E21E82" w:rsidP="00E21E82">
            <w:pPr>
              <w:jc w:val="center"/>
              <w:rPr>
                <w:rFonts w:ascii="CAIXA Std Book" w:eastAsia="Times New Roman" w:hAnsi="CAIXA Std Book" w:cs="Calibri"/>
                <w:b/>
                <w:bCs/>
                <w:color w:val="FFFFFF"/>
                <w:sz w:val="18"/>
                <w:szCs w:val="18"/>
              </w:rPr>
            </w:pPr>
            <w:r w:rsidRPr="00E21E82">
              <w:rPr>
                <w:rFonts w:ascii="CAIXA Std Book" w:eastAsia="Times New Roman" w:hAnsi="CAIXA Std Book" w:cs="Calibri"/>
                <w:b/>
                <w:bCs/>
                <w:color w:val="FFFFFF"/>
                <w:sz w:val="18"/>
                <w:szCs w:val="18"/>
              </w:rPr>
              <w:t>1º trimestre</w:t>
            </w:r>
          </w:p>
        </w:tc>
      </w:tr>
      <w:tr w:rsidR="00E21E82" w:rsidRPr="00E21E82" w14:paraId="7F6F420A" w14:textId="77777777" w:rsidTr="00E21E82">
        <w:trPr>
          <w:trHeight w:val="276"/>
        </w:trPr>
        <w:tc>
          <w:tcPr>
            <w:tcW w:w="1945" w:type="pct"/>
            <w:tcBorders>
              <w:top w:val="nil"/>
              <w:left w:val="nil"/>
              <w:bottom w:val="nil"/>
              <w:right w:val="nil"/>
            </w:tcBorders>
            <w:shd w:val="clear" w:color="000000" w:fill="D0E0E3"/>
            <w:noWrap/>
            <w:vAlign w:val="center"/>
            <w:hideMark/>
          </w:tcPr>
          <w:p w14:paraId="7951BEF2" w14:textId="77777777" w:rsidR="00E21E82" w:rsidRPr="00E21E82" w:rsidRDefault="00E21E82" w:rsidP="00E21E82">
            <w:pPr>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Contingências Judiciais</w:t>
            </w:r>
          </w:p>
        </w:tc>
        <w:tc>
          <w:tcPr>
            <w:tcW w:w="659" w:type="pct"/>
            <w:tcBorders>
              <w:top w:val="nil"/>
              <w:left w:val="nil"/>
              <w:bottom w:val="nil"/>
              <w:right w:val="nil"/>
            </w:tcBorders>
            <w:shd w:val="clear" w:color="000000" w:fill="D0E0E3"/>
            <w:noWrap/>
            <w:vAlign w:val="center"/>
            <w:hideMark/>
          </w:tcPr>
          <w:p w14:paraId="50173FDA" w14:textId="37B653D0" w:rsidR="00E21E82" w:rsidRPr="00E21E82" w:rsidRDefault="00E21E82" w:rsidP="00E21E82">
            <w:pPr>
              <w:jc w:val="right"/>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(1.111.242)</w:t>
            </w:r>
          </w:p>
        </w:tc>
        <w:tc>
          <w:tcPr>
            <w:tcW w:w="798" w:type="pct"/>
            <w:tcBorders>
              <w:top w:val="nil"/>
              <w:left w:val="nil"/>
              <w:bottom w:val="nil"/>
              <w:right w:val="nil"/>
            </w:tcBorders>
            <w:shd w:val="clear" w:color="000000" w:fill="D0E0E3"/>
            <w:noWrap/>
            <w:vAlign w:val="center"/>
            <w:hideMark/>
          </w:tcPr>
          <w:p w14:paraId="26F96471" w14:textId="68BA32FE" w:rsidR="00E21E82" w:rsidRPr="00E21E82" w:rsidRDefault="00E21E82" w:rsidP="00E21E82">
            <w:pPr>
              <w:jc w:val="right"/>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(1.169.052)</w:t>
            </w:r>
          </w:p>
        </w:tc>
        <w:tc>
          <w:tcPr>
            <w:tcW w:w="798" w:type="pct"/>
            <w:tcBorders>
              <w:top w:val="nil"/>
              <w:left w:val="nil"/>
              <w:bottom w:val="nil"/>
              <w:right w:val="nil"/>
            </w:tcBorders>
            <w:shd w:val="clear" w:color="000000" w:fill="D0E0E3"/>
            <w:noWrap/>
            <w:vAlign w:val="center"/>
            <w:hideMark/>
          </w:tcPr>
          <w:p w14:paraId="488EF926" w14:textId="4A4331B5" w:rsidR="00E21E82" w:rsidRPr="00E21E82" w:rsidRDefault="00E21E82" w:rsidP="00E21E82">
            <w:pPr>
              <w:jc w:val="right"/>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(1.111.242)</w:t>
            </w:r>
          </w:p>
        </w:tc>
        <w:tc>
          <w:tcPr>
            <w:tcW w:w="798" w:type="pct"/>
            <w:tcBorders>
              <w:top w:val="nil"/>
              <w:left w:val="nil"/>
              <w:bottom w:val="nil"/>
              <w:right w:val="nil"/>
            </w:tcBorders>
            <w:shd w:val="clear" w:color="000000" w:fill="D0E0E3"/>
            <w:noWrap/>
            <w:vAlign w:val="center"/>
            <w:hideMark/>
          </w:tcPr>
          <w:p w14:paraId="2FF90631" w14:textId="0ED6DB20" w:rsidR="00E21E82" w:rsidRPr="00E21E82" w:rsidRDefault="00E21E82" w:rsidP="00E21E82">
            <w:pPr>
              <w:jc w:val="right"/>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(1.169.052)</w:t>
            </w:r>
          </w:p>
        </w:tc>
      </w:tr>
      <w:tr w:rsidR="00E21E82" w:rsidRPr="00E21E82" w14:paraId="1938F99F" w14:textId="77777777" w:rsidTr="00E21E82">
        <w:trPr>
          <w:trHeight w:val="288"/>
        </w:trPr>
        <w:tc>
          <w:tcPr>
            <w:tcW w:w="1945" w:type="pct"/>
            <w:tcBorders>
              <w:top w:val="nil"/>
              <w:left w:val="nil"/>
              <w:bottom w:val="nil"/>
              <w:right w:val="nil"/>
            </w:tcBorders>
            <w:noWrap/>
            <w:vAlign w:val="center"/>
            <w:hideMark/>
          </w:tcPr>
          <w:p w14:paraId="6A457B55" w14:textId="77777777" w:rsidR="00E21E82" w:rsidRPr="00E21E82" w:rsidRDefault="00E21E82" w:rsidP="00E21E82">
            <w:pPr>
              <w:ind w:firstLineChars="100" w:firstLine="180"/>
              <w:rPr>
                <w:rFonts w:ascii="CAIXA Std Book" w:eastAsia="Times New Roman" w:hAnsi="CAIXA Std Book" w:cs="Calibri"/>
                <w:color w:val="005CA9"/>
                <w:sz w:val="18"/>
                <w:szCs w:val="18"/>
              </w:rPr>
            </w:pPr>
            <w:r w:rsidRPr="00E21E82">
              <w:rPr>
                <w:rFonts w:ascii="CAIXA Std Book" w:eastAsia="Times New Roman" w:hAnsi="CAIXA Std Book" w:cs="Calibri"/>
                <w:color w:val="005CA9"/>
                <w:sz w:val="18"/>
                <w:szCs w:val="18"/>
              </w:rPr>
              <w:t>Trabalhistas</w:t>
            </w:r>
          </w:p>
        </w:tc>
        <w:tc>
          <w:tcPr>
            <w:tcW w:w="659" w:type="pct"/>
            <w:tcBorders>
              <w:top w:val="nil"/>
              <w:left w:val="nil"/>
              <w:bottom w:val="nil"/>
              <w:right w:val="nil"/>
            </w:tcBorders>
            <w:noWrap/>
            <w:vAlign w:val="center"/>
            <w:hideMark/>
          </w:tcPr>
          <w:p w14:paraId="069955E8" w14:textId="63A12374" w:rsidR="00E21E82" w:rsidRPr="00E21E82" w:rsidRDefault="00E21E82" w:rsidP="00E21E82">
            <w:pPr>
              <w:jc w:val="right"/>
              <w:rPr>
                <w:rFonts w:ascii="CAIXA Std Book" w:eastAsia="Times New Roman" w:hAnsi="CAIXA Std Book" w:cs="Calibri"/>
                <w:color w:val="005CA9"/>
                <w:sz w:val="18"/>
                <w:szCs w:val="18"/>
              </w:rPr>
            </w:pPr>
            <w:r w:rsidRPr="00E21E82">
              <w:rPr>
                <w:rFonts w:ascii="CAIXA Std Book" w:eastAsia="Times New Roman" w:hAnsi="CAIXA Std Book" w:cs="Calibri"/>
                <w:color w:val="005CA9"/>
                <w:sz w:val="18"/>
                <w:szCs w:val="18"/>
              </w:rPr>
              <w:t>(826.047)</w:t>
            </w:r>
          </w:p>
        </w:tc>
        <w:tc>
          <w:tcPr>
            <w:tcW w:w="798" w:type="pct"/>
            <w:tcBorders>
              <w:top w:val="nil"/>
              <w:left w:val="nil"/>
              <w:bottom w:val="nil"/>
              <w:right w:val="nil"/>
            </w:tcBorders>
            <w:noWrap/>
            <w:vAlign w:val="center"/>
            <w:hideMark/>
          </w:tcPr>
          <w:p w14:paraId="43815995" w14:textId="37DA0843" w:rsidR="00E21E82" w:rsidRPr="00E21E82" w:rsidRDefault="00E21E82" w:rsidP="00E21E82">
            <w:pPr>
              <w:jc w:val="right"/>
              <w:rPr>
                <w:rFonts w:ascii="CAIXA Std Book" w:eastAsia="Times New Roman" w:hAnsi="CAIXA Std Book" w:cs="Calibri"/>
                <w:color w:val="005CA9"/>
                <w:sz w:val="18"/>
                <w:szCs w:val="18"/>
              </w:rPr>
            </w:pPr>
            <w:r w:rsidRPr="00E21E82">
              <w:rPr>
                <w:rFonts w:ascii="CAIXA Std Book" w:eastAsia="Times New Roman" w:hAnsi="CAIXA Std Book" w:cs="Calibri"/>
                <w:color w:val="005CA9"/>
                <w:sz w:val="18"/>
                <w:szCs w:val="18"/>
              </w:rPr>
              <w:t>(769.452)</w:t>
            </w:r>
          </w:p>
        </w:tc>
        <w:tc>
          <w:tcPr>
            <w:tcW w:w="798" w:type="pct"/>
            <w:tcBorders>
              <w:top w:val="nil"/>
              <w:left w:val="nil"/>
              <w:bottom w:val="nil"/>
              <w:right w:val="nil"/>
            </w:tcBorders>
            <w:noWrap/>
            <w:vAlign w:val="center"/>
            <w:hideMark/>
          </w:tcPr>
          <w:p w14:paraId="54567ABA" w14:textId="427BB421" w:rsidR="00E21E82" w:rsidRPr="00E21E82" w:rsidRDefault="00E21E82" w:rsidP="00E21E82">
            <w:pPr>
              <w:jc w:val="right"/>
              <w:rPr>
                <w:rFonts w:ascii="CAIXA Std Book" w:eastAsia="Times New Roman" w:hAnsi="CAIXA Std Book" w:cs="Calibri"/>
                <w:color w:val="005CA9"/>
                <w:sz w:val="18"/>
                <w:szCs w:val="18"/>
              </w:rPr>
            </w:pPr>
            <w:r w:rsidRPr="00E21E82">
              <w:rPr>
                <w:rFonts w:ascii="CAIXA Std Book" w:eastAsia="Times New Roman" w:hAnsi="CAIXA Std Book" w:cs="Calibri"/>
                <w:color w:val="005CA9"/>
                <w:sz w:val="18"/>
                <w:szCs w:val="18"/>
              </w:rPr>
              <w:t>(826.047)</w:t>
            </w:r>
          </w:p>
        </w:tc>
        <w:tc>
          <w:tcPr>
            <w:tcW w:w="798" w:type="pct"/>
            <w:tcBorders>
              <w:top w:val="nil"/>
              <w:left w:val="nil"/>
              <w:bottom w:val="nil"/>
              <w:right w:val="nil"/>
            </w:tcBorders>
            <w:noWrap/>
            <w:vAlign w:val="center"/>
            <w:hideMark/>
          </w:tcPr>
          <w:p w14:paraId="14AF03FF" w14:textId="1EBA1BE6" w:rsidR="00E21E82" w:rsidRPr="00E21E82" w:rsidRDefault="00E21E82" w:rsidP="00E21E82">
            <w:pPr>
              <w:jc w:val="right"/>
              <w:rPr>
                <w:rFonts w:ascii="CAIXA Std Book" w:eastAsia="Times New Roman" w:hAnsi="CAIXA Std Book" w:cs="Calibri"/>
                <w:color w:val="005CA9"/>
                <w:sz w:val="18"/>
                <w:szCs w:val="18"/>
              </w:rPr>
            </w:pPr>
            <w:r w:rsidRPr="00E21E82">
              <w:rPr>
                <w:rFonts w:ascii="CAIXA Std Book" w:eastAsia="Times New Roman" w:hAnsi="CAIXA Std Book" w:cs="Calibri"/>
                <w:color w:val="005CA9"/>
                <w:sz w:val="18"/>
                <w:szCs w:val="18"/>
              </w:rPr>
              <w:t>(769.452)</w:t>
            </w:r>
          </w:p>
        </w:tc>
      </w:tr>
      <w:tr w:rsidR="00E21E82" w:rsidRPr="00E21E82" w14:paraId="0F41A4C9" w14:textId="77777777" w:rsidTr="00E21E82">
        <w:trPr>
          <w:trHeight w:val="288"/>
        </w:trPr>
        <w:tc>
          <w:tcPr>
            <w:tcW w:w="1945" w:type="pct"/>
            <w:tcBorders>
              <w:top w:val="nil"/>
              <w:left w:val="nil"/>
              <w:bottom w:val="nil"/>
              <w:right w:val="nil"/>
            </w:tcBorders>
            <w:noWrap/>
            <w:vAlign w:val="center"/>
            <w:hideMark/>
          </w:tcPr>
          <w:p w14:paraId="39CD1424" w14:textId="77777777" w:rsidR="00E21E82" w:rsidRPr="00E21E82" w:rsidRDefault="00E21E82" w:rsidP="00E21E82">
            <w:pPr>
              <w:ind w:firstLineChars="100" w:firstLine="180"/>
              <w:rPr>
                <w:rFonts w:ascii="CAIXA Std Book" w:eastAsia="Times New Roman" w:hAnsi="CAIXA Std Book" w:cs="Calibri"/>
                <w:color w:val="005CA9"/>
                <w:sz w:val="18"/>
                <w:szCs w:val="18"/>
              </w:rPr>
            </w:pPr>
            <w:r w:rsidRPr="00E21E82">
              <w:rPr>
                <w:rFonts w:ascii="CAIXA Std Book" w:eastAsia="Times New Roman" w:hAnsi="CAIXA Std Book" w:cs="Calibri"/>
                <w:color w:val="005CA9"/>
                <w:sz w:val="18"/>
                <w:szCs w:val="18"/>
              </w:rPr>
              <w:t>Cíveis</w:t>
            </w:r>
          </w:p>
        </w:tc>
        <w:tc>
          <w:tcPr>
            <w:tcW w:w="659" w:type="pct"/>
            <w:tcBorders>
              <w:top w:val="nil"/>
              <w:left w:val="nil"/>
              <w:bottom w:val="nil"/>
              <w:right w:val="nil"/>
            </w:tcBorders>
            <w:noWrap/>
            <w:vAlign w:val="center"/>
            <w:hideMark/>
          </w:tcPr>
          <w:p w14:paraId="0B8A7895" w14:textId="64CD0C16" w:rsidR="00E21E82" w:rsidRPr="00E21E82" w:rsidRDefault="00E21E82" w:rsidP="00E21E82">
            <w:pPr>
              <w:jc w:val="right"/>
              <w:rPr>
                <w:rFonts w:ascii="CAIXA Std Book" w:eastAsia="Times New Roman" w:hAnsi="CAIXA Std Book" w:cs="Calibri"/>
                <w:color w:val="005CA9"/>
                <w:sz w:val="18"/>
                <w:szCs w:val="18"/>
              </w:rPr>
            </w:pPr>
            <w:r w:rsidRPr="00E21E82">
              <w:rPr>
                <w:rFonts w:ascii="CAIXA Std Book" w:eastAsia="Times New Roman" w:hAnsi="CAIXA Std Book" w:cs="Calibri"/>
                <w:color w:val="005CA9"/>
                <w:sz w:val="18"/>
                <w:szCs w:val="18"/>
              </w:rPr>
              <w:t>(316.077)</w:t>
            </w:r>
          </w:p>
        </w:tc>
        <w:tc>
          <w:tcPr>
            <w:tcW w:w="798" w:type="pct"/>
            <w:tcBorders>
              <w:top w:val="nil"/>
              <w:left w:val="nil"/>
              <w:bottom w:val="nil"/>
              <w:right w:val="nil"/>
            </w:tcBorders>
            <w:noWrap/>
            <w:vAlign w:val="center"/>
            <w:hideMark/>
          </w:tcPr>
          <w:p w14:paraId="5A4094E3" w14:textId="2955976A" w:rsidR="00E21E82" w:rsidRPr="00E21E82" w:rsidRDefault="00E21E82" w:rsidP="00E21E82">
            <w:pPr>
              <w:jc w:val="right"/>
              <w:rPr>
                <w:rFonts w:ascii="CAIXA Std Book" w:eastAsia="Times New Roman" w:hAnsi="CAIXA Std Book" w:cs="Calibri"/>
                <w:color w:val="005CA9"/>
                <w:sz w:val="18"/>
                <w:szCs w:val="18"/>
              </w:rPr>
            </w:pPr>
            <w:r w:rsidRPr="00E21E82">
              <w:rPr>
                <w:rFonts w:ascii="CAIXA Std Book" w:eastAsia="Times New Roman" w:hAnsi="CAIXA Std Book" w:cs="Calibri"/>
                <w:color w:val="005CA9"/>
                <w:sz w:val="18"/>
                <w:szCs w:val="18"/>
              </w:rPr>
              <w:t>(379.818)</w:t>
            </w:r>
          </w:p>
        </w:tc>
        <w:tc>
          <w:tcPr>
            <w:tcW w:w="798" w:type="pct"/>
            <w:tcBorders>
              <w:top w:val="nil"/>
              <w:left w:val="nil"/>
              <w:bottom w:val="nil"/>
              <w:right w:val="nil"/>
            </w:tcBorders>
            <w:noWrap/>
            <w:vAlign w:val="center"/>
            <w:hideMark/>
          </w:tcPr>
          <w:p w14:paraId="7A9CC179" w14:textId="539E74CE" w:rsidR="00E21E82" w:rsidRPr="00E21E82" w:rsidRDefault="00E21E82" w:rsidP="00E21E82">
            <w:pPr>
              <w:jc w:val="right"/>
              <w:rPr>
                <w:rFonts w:ascii="CAIXA Std Book" w:eastAsia="Times New Roman" w:hAnsi="CAIXA Std Book" w:cs="Calibri"/>
                <w:color w:val="005CA9"/>
                <w:sz w:val="18"/>
                <w:szCs w:val="18"/>
              </w:rPr>
            </w:pPr>
            <w:r w:rsidRPr="00E21E82">
              <w:rPr>
                <w:rFonts w:ascii="CAIXA Std Book" w:eastAsia="Times New Roman" w:hAnsi="CAIXA Std Book" w:cs="Calibri"/>
                <w:color w:val="005CA9"/>
                <w:sz w:val="18"/>
                <w:szCs w:val="18"/>
              </w:rPr>
              <w:t>(316.077)</w:t>
            </w:r>
          </w:p>
        </w:tc>
        <w:tc>
          <w:tcPr>
            <w:tcW w:w="798" w:type="pct"/>
            <w:tcBorders>
              <w:top w:val="nil"/>
              <w:left w:val="nil"/>
              <w:bottom w:val="nil"/>
              <w:right w:val="nil"/>
            </w:tcBorders>
            <w:noWrap/>
            <w:vAlign w:val="center"/>
            <w:hideMark/>
          </w:tcPr>
          <w:p w14:paraId="6AB72635" w14:textId="00F3DEA1" w:rsidR="00E21E82" w:rsidRPr="00E21E82" w:rsidRDefault="00E21E82" w:rsidP="00E21E82">
            <w:pPr>
              <w:jc w:val="right"/>
              <w:rPr>
                <w:rFonts w:ascii="CAIXA Std Book" w:eastAsia="Times New Roman" w:hAnsi="CAIXA Std Book" w:cs="Calibri"/>
                <w:color w:val="005CA9"/>
                <w:sz w:val="18"/>
                <w:szCs w:val="18"/>
              </w:rPr>
            </w:pPr>
            <w:r w:rsidRPr="00E21E82">
              <w:rPr>
                <w:rFonts w:ascii="CAIXA Std Book" w:eastAsia="Times New Roman" w:hAnsi="CAIXA Std Book" w:cs="Calibri"/>
                <w:color w:val="005CA9"/>
                <w:sz w:val="18"/>
                <w:szCs w:val="18"/>
              </w:rPr>
              <w:t>(379.818)</w:t>
            </w:r>
          </w:p>
        </w:tc>
      </w:tr>
      <w:tr w:rsidR="00E21E82" w:rsidRPr="00E21E82" w14:paraId="1FBB93D6" w14:textId="77777777" w:rsidTr="00E21E82">
        <w:trPr>
          <w:trHeight w:val="288"/>
        </w:trPr>
        <w:tc>
          <w:tcPr>
            <w:tcW w:w="1945" w:type="pct"/>
            <w:tcBorders>
              <w:top w:val="nil"/>
              <w:left w:val="nil"/>
              <w:bottom w:val="nil"/>
              <w:right w:val="nil"/>
            </w:tcBorders>
            <w:noWrap/>
            <w:vAlign w:val="center"/>
            <w:hideMark/>
          </w:tcPr>
          <w:p w14:paraId="645B6B37" w14:textId="77777777" w:rsidR="00E21E82" w:rsidRPr="00E21E82" w:rsidRDefault="00E21E82" w:rsidP="00E21E82">
            <w:pPr>
              <w:ind w:firstLineChars="100" w:firstLine="180"/>
              <w:rPr>
                <w:rFonts w:ascii="CAIXA Std Book" w:eastAsia="Times New Roman" w:hAnsi="CAIXA Std Book" w:cs="Calibri"/>
                <w:color w:val="005CA9"/>
                <w:sz w:val="18"/>
                <w:szCs w:val="18"/>
              </w:rPr>
            </w:pPr>
            <w:r w:rsidRPr="00E21E82">
              <w:rPr>
                <w:rFonts w:ascii="CAIXA Std Book" w:eastAsia="Times New Roman" w:hAnsi="CAIXA Std Book" w:cs="Calibri"/>
                <w:color w:val="005CA9"/>
                <w:sz w:val="18"/>
                <w:szCs w:val="18"/>
              </w:rPr>
              <w:t>Fiscais</w:t>
            </w:r>
          </w:p>
        </w:tc>
        <w:tc>
          <w:tcPr>
            <w:tcW w:w="659" w:type="pct"/>
            <w:tcBorders>
              <w:top w:val="nil"/>
              <w:left w:val="nil"/>
              <w:bottom w:val="nil"/>
              <w:right w:val="nil"/>
            </w:tcBorders>
            <w:noWrap/>
            <w:vAlign w:val="center"/>
            <w:hideMark/>
          </w:tcPr>
          <w:p w14:paraId="222CFFAA" w14:textId="58724ADD" w:rsidR="00E21E82" w:rsidRPr="00E21E82" w:rsidRDefault="00E21E82" w:rsidP="00E21E82">
            <w:pPr>
              <w:jc w:val="right"/>
              <w:rPr>
                <w:rFonts w:ascii="CAIXA Std Book" w:eastAsia="Times New Roman" w:hAnsi="CAIXA Std Book" w:cs="Calibri"/>
                <w:color w:val="005CA9"/>
                <w:sz w:val="18"/>
                <w:szCs w:val="18"/>
              </w:rPr>
            </w:pPr>
            <w:r w:rsidRPr="00E21E82">
              <w:rPr>
                <w:rFonts w:ascii="CAIXA Std Book" w:eastAsia="Times New Roman" w:hAnsi="CAIXA Std Book" w:cs="Calibri"/>
                <w:color w:val="005CA9"/>
                <w:sz w:val="18"/>
                <w:szCs w:val="18"/>
              </w:rPr>
              <w:t>30.882</w:t>
            </w:r>
          </w:p>
        </w:tc>
        <w:tc>
          <w:tcPr>
            <w:tcW w:w="798" w:type="pct"/>
            <w:tcBorders>
              <w:top w:val="nil"/>
              <w:left w:val="nil"/>
              <w:bottom w:val="nil"/>
              <w:right w:val="nil"/>
            </w:tcBorders>
            <w:noWrap/>
            <w:vAlign w:val="center"/>
            <w:hideMark/>
          </w:tcPr>
          <w:p w14:paraId="3358D8B4" w14:textId="33AEE3C1" w:rsidR="00E21E82" w:rsidRPr="00E21E82" w:rsidRDefault="00E21E82" w:rsidP="00E21E82">
            <w:pPr>
              <w:jc w:val="right"/>
              <w:rPr>
                <w:rFonts w:ascii="CAIXA Std Book" w:eastAsia="Times New Roman" w:hAnsi="CAIXA Std Book" w:cs="Calibri"/>
                <w:color w:val="005CA9"/>
                <w:sz w:val="18"/>
                <w:szCs w:val="18"/>
              </w:rPr>
            </w:pPr>
            <w:r w:rsidRPr="00E21E82">
              <w:rPr>
                <w:rFonts w:ascii="CAIXA Std Book" w:eastAsia="Times New Roman" w:hAnsi="CAIXA Std Book" w:cs="Calibri"/>
                <w:color w:val="005CA9"/>
                <w:sz w:val="18"/>
                <w:szCs w:val="18"/>
              </w:rPr>
              <w:t>(19.782)</w:t>
            </w:r>
          </w:p>
        </w:tc>
        <w:tc>
          <w:tcPr>
            <w:tcW w:w="798" w:type="pct"/>
            <w:tcBorders>
              <w:top w:val="nil"/>
              <w:left w:val="nil"/>
              <w:bottom w:val="nil"/>
              <w:right w:val="nil"/>
            </w:tcBorders>
            <w:noWrap/>
            <w:vAlign w:val="center"/>
            <w:hideMark/>
          </w:tcPr>
          <w:p w14:paraId="727E30DA" w14:textId="395E2704" w:rsidR="00E21E82" w:rsidRPr="00E21E82" w:rsidRDefault="00E21E82" w:rsidP="00E21E82">
            <w:pPr>
              <w:jc w:val="right"/>
              <w:rPr>
                <w:rFonts w:ascii="CAIXA Std Book" w:eastAsia="Times New Roman" w:hAnsi="CAIXA Std Book" w:cs="Calibri"/>
                <w:color w:val="005CA9"/>
                <w:sz w:val="18"/>
                <w:szCs w:val="18"/>
              </w:rPr>
            </w:pPr>
            <w:r w:rsidRPr="00E21E82">
              <w:rPr>
                <w:rFonts w:ascii="CAIXA Std Book" w:eastAsia="Times New Roman" w:hAnsi="CAIXA Std Book" w:cs="Calibri"/>
                <w:color w:val="005CA9"/>
                <w:sz w:val="18"/>
                <w:szCs w:val="18"/>
              </w:rPr>
              <w:t>30.882</w:t>
            </w:r>
          </w:p>
        </w:tc>
        <w:tc>
          <w:tcPr>
            <w:tcW w:w="798" w:type="pct"/>
            <w:tcBorders>
              <w:top w:val="nil"/>
              <w:left w:val="nil"/>
              <w:bottom w:val="nil"/>
              <w:right w:val="nil"/>
            </w:tcBorders>
            <w:noWrap/>
            <w:vAlign w:val="center"/>
            <w:hideMark/>
          </w:tcPr>
          <w:p w14:paraId="6E2515A0" w14:textId="6C0B8B55" w:rsidR="00E21E82" w:rsidRPr="00E21E82" w:rsidRDefault="00E21E82" w:rsidP="00E21E82">
            <w:pPr>
              <w:jc w:val="right"/>
              <w:rPr>
                <w:rFonts w:ascii="CAIXA Std Book" w:eastAsia="Times New Roman" w:hAnsi="CAIXA Std Book" w:cs="Calibri"/>
                <w:color w:val="005CA9"/>
                <w:sz w:val="18"/>
                <w:szCs w:val="18"/>
              </w:rPr>
            </w:pPr>
            <w:r w:rsidRPr="00E21E82">
              <w:rPr>
                <w:rFonts w:ascii="CAIXA Std Book" w:eastAsia="Times New Roman" w:hAnsi="CAIXA Std Book" w:cs="Calibri"/>
                <w:color w:val="005CA9"/>
                <w:sz w:val="18"/>
                <w:szCs w:val="18"/>
              </w:rPr>
              <w:t>(19.782)</w:t>
            </w:r>
          </w:p>
        </w:tc>
      </w:tr>
      <w:tr w:rsidR="00E21E82" w:rsidRPr="00E21E82" w14:paraId="10E14751" w14:textId="77777777" w:rsidTr="00E21E82">
        <w:trPr>
          <w:trHeight w:val="288"/>
        </w:trPr>
        <w:tc>
          <w:tcPr>
            <w:tcW w:w="1945" w:type="pct"/>
            <w:tcBorders>
              <w:top w:val="nil"/>
              <w:left w:val="nil"/>
              <w:bottom w:val="single" w:sz="4" w:space="0" w:color="FFFFFF"/>
              <w:right w:val="nil"/>
            </w:tcBorders>
            <w:shd w:val="clear" w:color="000000" w:fill="D0E0E3"/>
            <w:noWrap/>
            <w:vAlign w:val="center"/>
            <w:hideMark/>
          </w:tcPr>
          <w:p w14:paraId="7A234431" w14:textId="11ED35A4" w:rsidR="00E21E82" w:rsidRPr="00E21E82" w:rsidRDefault="00E21E82" w:rsidP="00E21E82">
            <w:pPr>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Fundo de compensação de variações salariais – FCVS</w:t>
            </w:r>
          </w:p>
        </w:tc>
        <w:tc>
          <w:tcPr>
            <w:tcW w:w="659" w:type="pct"/>
            <w:tcBorders>
              <w:top w:val="nil"/>
              <w:left w:val="nil"/>
              <w:bottom w:val="single" w:sz="4" w:space="0" w:color="FFFFFF"/>
              <w:right w:val="nil"/>
            </w:tcBorders>
            <w:shd w:val="clear" w:color="000000" w:fill="D0E0E3"/>
            <w:noWrap/>
            <w:vAlign w:val="center"/>
            <w:hideMark/>
          </w:tcPr>
          <w:p w14:paraId="35FC08A2" w14:textId="3F7A87A3" w:rsidR="00E21E82" w:rsidRPr="00E21E82" w:rsidRDefault="00E21E82" w:rsidP="00E21E82">
            <w:pPr>
              <w:jc w:val="right"/>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100.337</w:t>
            </w:r>
          </w:p>
        </w:tc>
        <w:tc>
          <w:tcPr>
            <w:tcW w:w="798" w:type="pct"/>
            <w:tcBorders>
              <w:top w:val="nil"/>
              <w:left w:val="nil"/>
              <w:bottom w:val="single" w:sz="4" w:space="0" w:color="FFFFFF"/>
              <w:right w:val="nil"/>
            </w:tcBorders>
            <w:shd w:val="clear" w:color="000000" w:fill="D0E0E3"/>
            <w:noWrap/>
            <w:vAlign w:val="center"/>
            <w:hideMark/>
          </w:tcPr>
          <w:p w14:paraId="20E3FA02" w14:textId="0492C551" w:rsidR="00E21E82" w:rsidRPr="00E21E82" w:rsidRDefault="00E21E82" w:rsidP="00E21E82">
            <w:pPr>
              <w:jc w:val="right"/>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2.369</w:t>
            </w:r>
          </w:p>
        </w:tc>
        <w:tc>
          <w:tcPr>
            <w:tcW w:w="798" w:type="pct"/>
            <w:tcBorders>
              <w:top w:val="nil"/>
              <w:left w:val="nil"/>
              <w:bottom w:val="single" w:sz="4" w:space="0" w:color="FFFFFF"/>
              <w:right w:val="nil"/>
            </w:tcBorders>
            <w:shd w:val="clear" w:color="000000" w:fill="D0E0E3"/>
            <w:noWrap/>
            <w:vAlign w:val="center"/>
            <w:hideMark/>
          </w:tcPr>
          <w:p w14:paraId="64FAD952" w14:textId="0F25ABEC" w:rsidR="00E21E82" w:rsidRPr="00E21E82" w:rsidRDefault="00E21E82" w:rsidP="00E21E82">
            <w:pPr>
              <w:jc w:val="right"/>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100.337</w:t>
            </w:r>
          </w:p>
        </w:tc>
        <w:tc>
          <w:tcPr>
            <w:tcW w:w="798" w:type="pct"/>
            <w:tcBorders>
              <w:top w:val="nil"/>
              <w:left w:val="nil"/>
              <w:bottom w:val="single" w:sz="4" w:space="0" w:color="FFFFFF"/>
              <w:right w:val="nil"/>
            </w:tcBorders>
            <w:shd w:val="clear" w:color="000000" w:fill="D0E0E3"/>
            <w:noWrap/>
            <w:vAlign w:val="center"/>
            <w:hideMark/>
          </w:tcPr>
          <w:p w14:paraId="066FFA48" w14:textId="6916BFF0" w:rsidR="00E21E82" w:rsidRPr="00E21E82" w:rsidRDefault="00E21E82" w:rsidP="00E21E82">
            <w:pPr>
              <w:jc w:val="right"/>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2.369</w:t>
            </w:r>
          </w:p>
        </w:tc>
      </w:tr>
      <w:tr w:rsidR="00E21E82" w:rsidRPr="00E21E82" w14:paraId="7BB21DEB" w14:textId="77777777" w:rsidTr="00E21E82">
        <w:trPr>
          <w:trHeight w:val="288"/>
        </w:trPr>
        <w:tc>
          <w:tcPr>
            <w:tcW w:w="1945" w:type="pct"/>
            <w:tcBorders>
              <w:top w:val="nil"/>
              <w:left w:val="nil"/>
              <w:bottom w:val="single" w:sz="4" w:space="0" w:color="FFFFFF"/>
              <w:right w:val="nil"/>
            </w:tcBorders>
            <w:shd w:val="clear" w:color="000000" w:fill="D0E0E3"/>
            <w:noWrap/>
            <w:vAlign w:val="center"/>
            <w:hideMark/>
          </w:tcPr>
          <w:p w14:paraId="2D79B9E1" w14:textId="77777777" w:rsidR="00E21E82" w:rsidRPr="00E21E82" w:rsidRDefault="00E21E82" w:rsidP="00E21E82">
            <w:pPr>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Pré-pagamento – FGTS</w:t>
            </w:r>
          </w:p>
        </w:tc>
        <w:tc>
          <w:tcPr>
            <w:tcW w:w="659" w:type="pct"/>
            <w:tcBorders>
              <w:top w:val="nil"/>
              <w:left w:val="nil"/>
              <w:bottom w:val="single" w:sz="4" w:space="0" w:color="FFFFFF"/>
              <w:right w:val="nil"/>
            </w:tcBorders>
            <w:shd w:val="clear" w:color="000000" w:fill="D0E0E3"/>
            <w:noWrap/>
            <w:vAlign w:val="center"/>
            <w:hideMark/>
          </w:tcPr>
          <w:p w14:paraId="31DCC335" w14:textId="0F0CC466" w:rsidR="00E21E82" w:rsidRPr="00E21E82" w:rsidRDefault="00E21E82" w:rsidP="00E21E82">
            <w:pPr>
              <w:jc w:val="right"/>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38.403</w:t>
            </w:r>
          </w:p>
        </w:tc>
        <w:tc>
          <w:tcPr>
            <w:tcW w:w="798" w:type="pct"/>
            <w:tcBorders>
              <w:top w:val="nil"/>
              <w:left w:val="nil"/>
              <w:bottom w:val="single" w:sz="4" w:space="0" w:color="FFFFFF"/>
              <w:right w:val="nil"/>
            </w:tcBorders>
            <w:shd w:val="clear" w:color="000000" w:fill="D0E0E3"/>
            <w:noWrap/>
            <w:vAlign w:val="center"/>
            <w:hideMark/>
          </w:tcPr>
          <w:p w14:paraId="7D399341" w14:textId="77D7491B" w:rsidR="00E21E82" w:rsidRPr="00E21E82" w:rsidRDefault="00E21E82" w:rsidP="00E21E82">
            <w:pPr>
              <w:jc w:val="right"/>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(52.562)</w:t>
            </w:r>
          </w:p>
        </w:tc>
        <w:tc>
          <w:tcPr>
            <w:tcW w:w="798" w:type="pct"/>
            <w:tcBorders>
              <w:top w:val="nil"/>
              <w:left w:val="nil"/>
              <w:bottom w:val="single" w:sz="4" w:space="0" w:color="FFFFFF"/>
              <w:right w:val="nil"/>
            </w:tcBorders>
            <w:shd w:val="clear" w:color="000000" w:fill="D0E0E3"/>
            <w:noWrap/>
            <w:vAlign w:val="center"/>
            <w:hideMark/>
          </w:tcPr>
          <w:p w14:paraId="24D31E00" w14:textId="744DBBF1" w:rsidR="00E21E82" w:rsidRPr="00E21E82" w:rsidRDefault="00E21E82" w:rsidP="00E21E82">
            <w:pPr>
              <w:jc w:val="right"/>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38.403</w:t>
            </w:r>
          </w:p>
        </w:tc>
        <w:tc>
          <w:tcPr>
            <w:tcW w:w="798" w:type="pct"/>
            <w:tcBorders>
              <w:top w:val="nil"/>
              <w:left w:val="nil"/>
              <w:bottom w:val="single" w:sz="4" w:space="0" w:color="FFFFFF"/>
              <w:right w:val="nil"/>
            </w:tcBorders>
            <w:shd w:val="clear" w:color="000000" w:fill="D0E0E3"/>
            <w:noWrap/>
            <w:vAlign w:val="center"/>
            <w:hideMark/>
          </w:tcPr>
          <w:p w14:paraId="5232A35E" w14:textId="652FF081" w:rsidR="00E21E82" w:rsidRPr="00E21E82" w:rsidRDefault="00E21E82" w:rsidP="00E21E82">
            <w:pPr>
              <w:jc w:val="right"/>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(52.562)</w:t>
            </w:r>
          </w:p>
        </w:tc>
      </w:tr>
      <w:tr w:rsidR="00E21E82" w:rsidRPr="00E21E82" w14:paraId="3A75BBD6" w14:textId="77777777" w:rsidTr="00E21E82">
        <w:trPr>
          <w:trHeight w:val="288"/>
        </w:trPr>
        <w:tc>
          <w:tcPr>
            <w:tcW w:w="1945" w:type="pct"/>
            <w:tcBorders>
              <w:top w:val="nil"/>
              <w:left w:val="nil"/>
              <w:bottom w:val="single" w:sz="4" w:space="0" w:color="FFFFFF"/>
              <w:right w:val="nil"/>
            </w:tcBorders>
            <w:shd w:val="clear" w:color="000000" w:fill="D0E0E3"/>
            <w:noWrap/>
            <w:vAlign w:val="center"/>
            <w:hideMark/>
          </w:tcPr>
          <w:p w14:paraId="7B32B93A" w14:textId="77777777" w:rsidR="00E21E82" w:rsidRPr="00E21E82" w:rsidRDefault="00E21E82" w:rsidP="00E21E82">
            <w:pPr>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Taxa Performance das carteiras adquiridas</w:t>
            </w:r>
          </w:p>
        </w:tc>
        <w:tc>
          <w:tcPr>
            <w:tcW w:w="659" w:type="pct"/>
            <w:tcBorders>
              <w:top w:val="nil"/>
              <w:left w:val="nil"/>
              <w:bottom w:val="single" w:sz="4" w:space="0" w:color="FFFFFF"/>
              <w:right w:val="nil"/>
            </w:tcBorders>
            <w:shd w:val="clear" w:color="000000" w:fill="D0E0E3"/>
            <w:noWrap/>
            <w:vAlign w:val="center"/>
            <w:hideMark/>
          </w:tcPr>
          <w:p w14:paraId="63F8E5D2" w14:textId="254BDC5F" w:rsidR="00E21E82" w:rsidRPr="00E21E82" w:rsidRDefault="00E21E82" w:rsidP="00E21E82">
            <w:pPr>
              <w:jc w:val="right"/>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22.823</w:t>
            </w:r>
          </w:p>
        </w:tc>
        <w:tc>
          <w:tcPr>
            <w:tcW w:w="798" w:type="pct"/>
            <w:tcBorders>
              <w:top w:val="nil"/>
              <w:left w:val="nil"/>
              <w:bottom w:val="single" w:sz="4" w:space="0" w:color="FFFFFF"/>
              <w:right w:val="nil"/>
            </w:tcBorders>
            <w:shd w:val="clear" w:color="000000" w:fill="D0E0E3"/>
            <w:noWrap/>
            <w:vAlign w:val="center"/>
            <w:hideMark/>
          </w:tcPr>
          <w:p w14:paraId="5E959DF3" w14:textId="6611954C" w:rsidR="00E21E82" w:rsidRPr="00E21E82" w:rsidRDefault="00E21E82" w:rsidP="00E21E82">
            <w:pPr>
              <w:jc w:val="right"/>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22.654</w:t>
            </w:r>
          </w:p>
        </w:tc>
        <w:tc>
          <w:tcPr>
            <w:tcW w:w="798" w:type="pct"/>
            <w:tcBorders>
              <w:top w:val="nil"/>
              <w:left w:val="nil"/>
              <w:bottom w:val="single" w:sz="4" w:space="0" w:color="FFFFFF"/>
              <w:right w:val="nil"/>
            </w:tcBorders>
            <w:shd w:val="clear" w:color="000000" w:fill="D0E0E3"/>
            <w:noWrap/>
            <w:vAlign w:val="center"/>
            <w:hideMark/>
          </w:tcPr>
          <w:p w14:paraId="2CD96C5D" w14:textId="59FC4314" w:rsidR="00E21E82" w:rsidRPr="00E21E82" w:rsidRDefault="00E21E82" w:rsidP="00E21E82">
            <w:pPr>
              <w:jc w:val="right"/>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22.823</w:t>
            </w:r>
          </w:p>
        </w:tc>
        <w:tc>
          <w:tcPr>
            <w:tcW w:w="798" w:type="pct"/>
            <w:tcBorders>
              <w:top w:val="nil"/>
              <w:left w:val="nil"/>
              <w:bottom w:val="single" w:sz="4" w:space="0" w:color="FFFFFF"/>
              <w:right w:val="nil"/>
            </w:tcBorders>
            <w:shd w:val="clear" w:color="000000" w:fill="D0E0E3"/>
            <w:noWrap/>
            <w:vAlign w:val="center"/>
            <w:hideMark/>
          </w:tcPr>
          <w:p w14:paraId="2C1EF3A5" w14:textId="303C17AF" w:rsidR="00E21E82" w:rsidRPr="00E21E82" w:rsidRDefault="00E21E82" w:rsidP="00E21E82">
            <w:pPr>
              <w:jc w:val="right"/>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22.654</w:t>
            </w:r>
          </w:p>
        </w:tc>
      </w:tr>
      <w:tr w:rsidR="00E21E82" w:rsidRPr="00E21E82" w14:paraId="0ACF2FC0" w14:textId="77777777" w:rsidTr="00E21E82">
        <w:trPr>
          <w:trHeight w:val="288"/>
        </w:trPr>
        <w:tc>
          <w:tcPr>
            <w:tcW w:w="1945" w:type="pct"/>
            <w:tcBorders>
              <w:top w:val="nil"/>
              <w:left w:val="nil"/>
              <w:bottom w:val="nil"/>
              <w:right w:val="nil"/>
            </w:tcBorders>
            <w:shd w:val="clear" w:color="000000" w:fill="D0E0E3"/>
            <w:noWrap/>
            <w:vAlign w:val="center"/>
            <w:hideMark/>
          </w:tcPr>
          <w:p w14:paraId="51B3D1BD" w14:textId="0C655398" w:rsidR="00E21E82" w:rsidRPr="00E21E82" w:rsidRDefault="00E21E82" w:rsidP="00E21E82">
            <w:pPr>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Outras</w:t>
            </w:r>
          </w:p>
        </w:tc>
        <w:tc>
          <w:tcPr>
            <w:tcW w:w="659" w:type="pct"/>
            <w:tcBorders>
              <w:top w:val="nil"/>
              <w:left w:val="nil"/>
              <w:bottom w:val="nil"/>
              <w:right w:val="nil"/>
            </w:tcBorders>
            <w:shd w:val="clear" w:color="000000" w:fill="D0E0E3"/>
            <w:noWrap/>
            <w:vAlign w:val="center"/>
            <w:hideMark/>
          </w:tcPr>
          <w:p w14:paraId="7A82270F" w14:textId="309A6B3F" w:rsidR="00E21E82" w:rsidRPr="00E21E82" w:rsidRDefault="00E21E82" w:rsidP="00E21E82">
            <w:pPr>
              <w:jc w:val="right"/>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499</w:t>
            </w:r>
          </w:p>
        </w:tc>
        <w:tc>
          <w:tcPr>
            <w:tcW w:w="798" w:type="pct"/>
            <w:tcBorders>
              <w:top w:val="nil"/>
              <w:left w:val="nil"/>
              <w:bottom w:val="nil"/>
              <w:right w:val="nil"/>
            </w:tcBorders>
            <w:shd w:val="clear" w:color="000000" w:fill="D0E0E3"/>
            <w:noWrap/>
            <w:vAlign w:val="center"/>
            <w:hideMark/>
          </w:tcPr>
          <w:p w14:paraId="6E215DC3" w14:textId="2F110B15" w:rsidR="00E21E82" w:rsidRPr="00E21E82" w:rsidRDefault="00E21E82" w:rsidP="00E21E82">
            <w:pPr>
              <w:jc w:val="right"/>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(18.371)</w:t>
            </w:r>
          </w:p>
        </w:tc>
        <w:tc>
          <w:tcPr>
            <w:tcW w:w="798" w:type="pct"/>
            <w:tcBorders>
              <w:top w:val="nil"/>
              <w:left w:val="nil"/>
              <w:bottom w:val="nil"/>
              <w:right w:val="nil"/>
            </w:tcBorders>
            <w:shd w:val="clear" w:color="000000" w:fill="D0E0E3"/>
            <w:noWrap/>
            <w:vAlign w:val="center"/>
            <w:hideMark/>
          </w:tcPr>
          <w:p w14:paraId="1116F0A9" w14:textId="0B6374A3" w:rsidR="00E21E82" w:rsidRPr="00E21E82" w:rsidRDefault="00E21E82" w:rsidP="00E21E82">
            <w:pPr>
              <w:jc w:val="right"/>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162.272</w:t>
            </w:r>
          </w:p>
        </w:tc>
        <w:tc>
          <w:tcPr>
            <w:tcW w:w="798" w:type="pct"/>
            <w:tcBorders>
              <w:top w:val="nil"/>
              <w:left w:val="nil"/>
              <w:bottom w:val="nil"/>
              <w:right w:val="nil"/>
            </w:tcBorders>
            <w:shd w:val="clear" w:color="000000" w:fill="D0E0E3"/>
            <w:noWrap/>
            <w:vAlign w:val="center"/>
            <w:hideMark/>
          </w:tcPr>
          <w:p w14:paraId="381B4FBF" w14:textId="017E394E" w:rsidR="00E21E82" w:rsidRPr="00E21E82" w:rsidRDefault="00E21E82" w:rsidP="00E21E82">
            <w:pPr>
              <w:jc w:val="right"/>
              <w:rPr>
                <w:rFonts w:ascii="CAIXA Std Book" w:eastAsia="Times New Roman" w:hAnsi="CAIXA Std Book" w:cs="Calibri"/>
                <w:b/>
                <w:bCs/>
                <w:color w:val="005CA9"/>
                <w:sz w:val="18"/>
                <w:szCs w:val="18"/>
              </w:rPr>
            </w:pPr>
            <w:r w:rsidRPr="00E21E82">
              <w:rPr>
                <w:rFonts w:ascii="CAIXA Std Book" w:eastAsia="Times New Roman" w:hAnsi="CAIXA Std Book" w:cs="Calibri"/>
                <w:b/>
                <w:bCs/>
                <w:color w:val="005CA9"/>
                <w:sz w:val="18"/>
                <w:szCs w:val="18"/>
              </w:rPr>
              <w:t>(14.589)</w:t>
            </w:r>
          </w:p>
        </w:tc>
      </w:tr>
      <w:tr w:rsidR="00E21E82" w:rsidRPr="00E21E82" w14:paraId="58EEC12B" w14:textId="77777777" w:rsidTr="00E21E82">
        <w:trPr>
          <w:trHeight w:val="288"/>
        </w:trPr>
        <w:tc>
          <w:tcPr>
            <w:tcW w:w="1945" w:type="pct"/>
            <w:tcBorders>
              <w:top w:val="nil"/>
              <w:left w:val="single" w:sz="8" w:space="0" w:color="FFFFFF"/>
              <w:bottom w:val="nil"/>
              <w:right w:val="nil"/>
            </w:tcBorders>
            <w:shd w:val="clear" w:color="000000" w:fill="005CA9"/>
            <w:noWrap/>
            <w:vAlign w:val="center"/>
            <w:hideMark/>
          </w:tcPr>
          <w:p w14:paraId="496798AA" w14:textId="77777777" w:rsidR="00E21E82" w:rsidRPr="00E21E82" w:rsidRDefault="00E21E82" w:rsidP="00E21E82">
            <w:pPr>
              <w:rPr>
                <w:rFonts w:ascii="CAIXA Std Book" w:eastAsia="Times New Roman" w:hAnsi="CAIXA Std Book" w:cs="Calibri"/>
                <w:b/>
                <w:bCs/>
                <w:color w:val="FFFFFF"/>
                <w:sz w:val="18"/>
                <w:szCs w:val="18"/>
              </w:rPr>
            </w:pPr>
            <w:r w:rsidRPr="00E21E82">
              <w:rPr>
                <w:rFonts w:ascii="CAIXA Std Book" w:eastAsia="Times New Roman" w:hAnsi="CAIXA Std Book" w:cs="Calibri"/>
                <w:b/>
                <w:bCs/>
                <w:color w:val="FFFFFF"/>
                <w:sz w:val="18"/>
                <w:szCs w:val="18"/>
              </w:rPr>
              <w:t>Total</w:t>
            </w:r>
          </w:p>
        </w:tc>
        <w:tc>
          <w:tcPr>
            <w:tcW w:w="659" w:type="pct"/>
            <w:tcBorders>
              <w:top w:val="nil"/>
              <w:left w:val="nil"/>
              <w:bottom w:val="nil"/>
              <w:right w:val="nil"/>
            </w:tcBorders>
            <w:shd w:val="clear" w:color="000000" w:fill="005CA9"/>
            <w:noWrap/>
            <w:vAlign w:val="center"/>
            <w:hideMark/>
          </w:tcPr>
          <w:p w14:paraId="26588947" w14:textId="62691FA1" w:rsidR="00E21E82" w:rsidRPr="00E21E82" w:rsidRDefault="00E21E82" w:rsidP="00E21E82">
            <w:pPr>
              <w:jc w:val="right"/>
              <w:rPr>
                <w:rFonts w:ascii="CAIXA Std Book" w:eastAsia="Times New Roman" w:hAnsi="CAIXA Std Book" w:cs="Calibri"/>
                <w:b/>
                <w:bCs/>
                <w:color w:val="FFFFFF"/>
                <w:sz w:val="18"/>
                <w:szCs w:val="18"/>
              </w:rPr>
            </w:pPr>
            <w:r w:rsidRPr="00E21E82">
              <w:rPr>
                <w:rFonts w:ascii="CAIXA Std Book" w:eastAsia="Times New Roman" w:hAnsi="CAIXA Std Book" w:cs="Calibri"/>
                <w:b/>
                <w:bCs/>
                <w:color w:val="FFFFFF"/>
                <w:sz w:val="18"/>
                <w:szCs w:val="18"/>
              </w:rPr>
              <w:t>(949.180)</w:t>
            </w:r>
          </w:p>
        </w:tc>
        <w:tc>
          <w:tcPr>
            <w:tcW w:w="798" w:type="pct"/>
            <w:tcBorders>
              <w:top w:val="nil"/>
              <w:left w:val="nil"/>
              <w:bottom w:val="nil"/>
              <w:right w:val="nil"/>
            </w:tcBorders>
            <w:shd w:val="clear" w:color="000000" w:fill="005CA9"/>
            <w:noWrap/>
            <w:vAlign w:val="center"/>
            <w:hideMark/>
          </w:tcPr>
          <w:p w14:paraId="2D972244" w14:textId="75EF4977" w:rsidR="00E21E82" w:rsidRPr="00E21E82" w:rsidRDefault="00E21E82" w:rsidP="00E21E82">
            <w:pPr>
              <w:jc w:val="right"/>
              <w:rPr>
                <w:rFonts w:ascii="CAIXA Std Book" w:eastAsia="Times New Roman" w:hAnsi="CAIXA Std Book" w:cs="Calibri"/>
                <w:b/>
                <w:bCs/>
                <w:color w:val="FFFFFF"/>
                <w:sz w:val="18"/>
                <w:szCs w:val="18"/>
              </w:rPr>
            </w:pPr>
            <w:r w:rsidRPr="00E21E82">
              <w:rPr>
                <w:rFonts w:ascii="CAIXA Std Book" w:eastAsia="Times New Roman" w:hAnsi="CAIXA Std Book" w:cs="Calibri"/>
                <w:b/>
                <w:bCs/>
                <w:color w:val="FFFFFF"/>
                <w:sz w:val="18"/>
                <w:szCs w:val="18"/>
              </w:rPr>
              <w:t>(1.214.962)</w:t>
            </w:r>
          </w:p>
        </w:tc>
        <w:tc>
          <w:tcPr>
            <w:tcW w:w="798" w:type="pct"/>
            <w:tcBorders>
              <w:top w:val="nil"/>
              <w:left w:val="nil"/>
              <w:bottom w:val="nil"/>
              <w:right w:val="nil"/>
            </w:tcBorders>
            <w:shd w:val="clear" w:color="000000" w:fill="005CA9"/>
            <w:noWrap/>
            <w:vAlign w:val="center"/>
            <w:hideMark/>
          </w:tcPr>
          <w:p w14:paraId="1A0A4A65" w14:textId="77E247B3" w:rsidR="00E21E82" w:rsidRPr="00E21E82" w:rsidRDefault="00E21E82" w:rsidP="00E21E82">
            <w:pPr>
              <w:jc w:val="right"/>
              <w:rPr>
                <w:rFonts w:ascii="CAIXA Std Book" w:eastAsia="Times New Roman" w:hAnsi="CAIXA Std Book" w:cs="Calibri"/>
                <w:b/>
                <w:bCs/>
                <w:color w:val="FFFFFF"/>
                <w:sz w:val="18"/>
                <w:szCs w:val="18"/>
              </w:rPr>
            </w:pPr>
            <w:r w:rsidRPr="00E21E82">
              <w:rPr>
                <w:rFonts w:ascii="CAIXA Std Book" w:eastAsia="Times New Roman" w:hAnsi="CAIXA Std Book" w:cs="Calibri"/>
                <w:b/>
                <w:bCs/>
                <w:color w:val="FFFFFF"/>
                <w:sz w:val="18"/>
                <w:szCs w:val="18"/>
              </w:rPr>
              <w:t>(787.407)</w:t>
            </w:r>
          </w:p>
        </w:tc>
        <w:tc>
          <w:tcPr>
            <w:tcW w:w="798" w:type="pct"/>
            <w:tcBorders>
              <w:top w:val="nil"/>
              <w:left w:val="nil"/>
              <w:bottom w:val="nil"/>
              <w:right w:val="nil"/>
            </w:tcBorders>
            <w:shd w:val="clear" w:color="000000" w:fill="005CA9"/>
            <w:noWrap/>
            <w:vAlign w:val="center"/>
            <w:hideMark/>
          </w:tcPr>
          <w:p w14:paraId="17D4C74E" w14:textId="3EE58667" w:rsidR="00E21E82" w:rsidRPr="00E21E82" w:rsidRDefault="00E21E82" w:rsidP="00E21E82">
            <w:pPr>
              <w:jc w:val="right"/>
              <w:rPr>
                <w:rFonts w:ascii="CAIXA Std Book" w:eastAsia="Times New Roman" w:hAnsi="CAIXA Std Book" w:cs="Calibri"/>
                <w:b/>
                <w:bCs/>
                <w:color w:val="FFFFFF"/>
                <w:sz w:val="18"/>
                <w:szCs w:val="18"/>
              </w:rPr>
            </w:pPr>
            <w:r w:rsidRPr="00E21E82">
              <w:rPr>
                <w:rFonts w:ascii="CAIXA Std Book" w:eastAsia="Times New Roman" w:hAnsi="CAIXA Std Book" w:cs="Calibri"/>
                <w:b/>
                <w:bCs/>
                <w:color w:val="FFFFFF"/>
                <w:sz w:val="18"/>
                <w:szCs w:val="18"/>
              </w:rPr>
              <w:t>(1.211.180)</w:t>
            </w:r>
          </w:p>
        </w:tc>
      </w:tr>
    </w:tbl>
    <w:p w14:paraId="3A02CAF7" w14:textId="08300BC5" w:rsidR="00D17EB1" w:rsidRDefault="006E53EB" w:rsidP="00B735D2">
      <w:pPr>
        <w:pStyle w:val="Ttulo1"/>
      </w:pPr>
      <w:bookmarkStart w:id="156" w:name="_Toc217914357"/>
      <w:bookmarkStart w:id="157" w:name="_Toc229588507"/>
      <w:r w:rsidRPr="00E95E29">
        <w:t xml:space="preserve">Nota   </w:t>
      </w:r>
      <w:r>
        <w:t>3</w:t>
      </w:r>
      <w:r w:rsidR="00EF04CD">
        <w:t>1</w:t>
      </w:r>
      <w:r w:rsidRPr="00E95E29">
        <w:t xml:space="preserve"> –</w:t>
      </w:r>
      <w:r w:rsidR="00D17EB1" w:rsidRPr="00D17EB1">
        <w:t xml:space="preserve"> </w:t>
      </w:r>
      <w:r w:rsidR="00D17EB1" w:rsidRPr="00FF4346">
        <w:t>Resultado não operacional</w:t>
      </w:r>
      <w:bookmarkEnd w:id="156"/>
      <w:bookmarkEnd w:id="157"/>
    </w:p>
    <w:tbl>
      <w:tblPr>
        <w:tblW w:w="5000" w:type="pct"/>
        <w:tblCellMar>
          <w:left w:w="70" w:type="dxa"/>
          <w:right w:w="70" w:type="dxa"/>
        </w:tblCellMar>
        <w:tblLook w:val="04A0" w:firstRow="1" w:lastRow="0" w:firstColumn="1" w:lastColumn="0" w:noHBand="0" w:noVBand="1"/>
      </w:tblPr>
      <w:tblGrid>
        <w:gridCol w:w="4537"/>
        <w:gridCol w:w="1275"/>
        <w:gridCol w:w="1276"/>
        <w:gridCol w:w="1274"/>
        <w:gridCol w:w="1276"/>
      </w:tblGrid>
      <w:tr w:rsidR="005B2D40" w14:paraId="5214A350" w14:textId="77777777" w:rsidTr="00850536">
        <w:trPr>
          <w:trHeight w:val="300"/>
        </w:trPr>
        <w:tc>
          <w:tcPr>
            <w:tcW w:w="2353" w:type="pct"/>
            <w:vMerge w:val="restart"/>
            <w:tcBorders>
              <w:top w:val="single" w:sz="4" w:space="0" w:color="FFFFFF"/>
              <w:left w:val="nil"/>
              <w:bottom w:val="single" w:sz="4" w:space="0" w:color="FFFFFF"/>
              <w:right w:val="nil"/>
            </w:tcBorders>
            <w:shd w:val="clear" w:color="000000" w:fill="005CA9"/>
            <w:vAlign w:val="center"/>
            <w:hideMark/>
          </w:tcPr>
          <w:p w14:paraId="5E2116CE" w14:textId="77777777" w:rsidR="005B2D40" w:rsidRDefault="005B2D40">
            <w:pPr>
              <w:jc w:val="center"/>
              <w:rPr>
                <w:rFonts w:ascii="CAIXA Std Book" w:hAnsi="CAIXA Std Book" w:cs="Calibri"/>
                <w:b/>
                <w:bCs/>
                <w:color w:val="FFFFFF"/>
                <w:sz w:val="18"/>
                <w:szCs w:val="18"/>
              </w:rPr>
            </w:pPr>
            <w:r>
              <w:rPr>
                <w:rFonts w:ascii="CAIXA Std Book" w:hAnsi="CAIXA Std Book" w:cs="Calibri"/>
                <w:b/>
                <w:bCs/>
                <w:color w:val="FFFFFF"/>
                <w:sz w:val="18"/>
                <w:szCs w:val="18"/>
              </w:rPr>
              <w:t>Descrição</w:t>
            </w:r>
          </w:p>
        </w:tc>
        <w:tc>
          <w:tcPr>
            <w:tcW w:w="1323" w:type="pct"/>
            <w:gridSpan w:val="2"/>
            <w:tcBorders>
              <w:top w:val="single" w:sz="4" w:space="0" w:color="FFFFFF"/>
              <w:left w:val="nil"/>
              <w:bottom w:val="single" w:sz="4" w:space="0" w:color="FFFFFF"/>
              <w:right w:val="nil"/>
            </w:tcBorders>
            <w:shd w:val="clear" w:color="000000" w:fill="005CA9"/>
            <w:noWrap/>
            <w:vAlign w:val="center"/>
            <w:hideMark/>
          </w:tcPr>
          <w:p w14:paraId="3674D519" w14:textId="77777777" w:rsidR="005B2D40" w:rsidRDefault="005B2D40">
            <w:pPr>
              <w:jc w:val="center"/>
              <w:rPr>
                <w:rFonts w:ascii="CAIXA Std Book" w:hAnsi="CAIXA Std Book" w:cs="Calibri"/>
                <w:b/>
                <w:bCs/>
                <w:color w:val="FFFFFF"/>
                <w:sz w:val="18"/>
                <w:szCs w:val="18"/>
              </w:rPr>
            </w:pPr>
            <w:r>
              <w:rPr>
                <w:rFonts w:ascii="CAIXA Std Book" w:hAnsi="CAIXA Std Book" w:cs="Calibri"/>
                <w:b/>
                <w:bCs/>
                <w:color w:val="FFFFFF"/>
                <w:sz w:val="18"/>
                <w:szCs w:val="18"/>
              </w:rPr>
              <w:t>Individual</w:t>
            </w:r>
          </w:p>
        </w:tc>
        <w:tc>
          <w:tcPr>
            <w:tcW w:w="1323" w:type="pct"/>
            <w:gridSpan w:val="2"/>
            <w:tcBorders>
              <w:top w:val="single" w:sz="4" w:space="0" w:color="FFFFFF"/>
              <w:left w:val="nil"/>
              <w:bottom w:val="single" w:sz="4" w:space="0" w:color="FFFFFF"/>
              <w:right w:val="nil"/>
            </w:tcBorders>
            <w:shd w:val="clear" w:color="000000" w:fill="005CA9"/>
            <w:noWrap/>
            <w:vAlign w:val="center"/>
            <w:hideMark/>
          </w:tcPr>
          <w:p w14:paraId="3B1FE804" w14:textId="77777777" w:rsidR="005B2D40" w:rsidRDefault="005B2D40">
            <w:pPr>
              <w:jc w:val="center"/>
              <w:rPr>
                <w:rFonts w:ascii="CAIXA Std Book" w:hAnsi="CAIXA Std Book" w:cs="Calibri"/>
                <w:b/>
                <w:bCs/>
                <w:color w:val="FFFFFF"/>
                <w:sz w:val="18"/>
                <w:szCs w:val="18"/>
              </w:rPr>
            </w:pPr>
            <w:r>
              <w:rPr>
                <w:rFonts w:ascii="CAIXA Std Book" w:hAnsi="CAIXA Std Book" w:cs="Calibri"/>
                <w:b/>
                <w:bCs/>
                <w:color w:val="FFFFFF"/>
                <w:sz w:val="18"/>
                <w:szCs w:val="18"/>
              </w:rPr>
              <w:t>Consolidado</w:t>
            </w:r>
          </w:p>
        </w:tc>
      </w:tr>
      <w:tr w:rsidR="005B2D40" w14:paraId="319FCB3D" w14:textId="77777777" w:rsidTr="00850536">
        <w:trPr>
          <w:trHeight w:val="300"/>
        </w:trPr>
        <w:tc>
          <w:tcPr>
            <w:tcW w:w="2353" w:type="pct"/>
            <w:vMerge/>
            <w:tcBorders>
              <w:top w:val="single" w:sz="4" w:space="0" w:color="FFFFFF"/>
              <w:left w:val="nil"/>
              <w:bottom w:val="single" w:sz="4" w:space="0" w:color="FFFFFF"/>
              <w:right w:val="nil"/>
            </w:tcBorders>
            <w:vAlign w:val="center"/>
            <w:hideMark/>
          </w:tcPr>
          <w:p w14:paraId="7CCA274C" w14:textId="77777777" w:rsidR="005B2D40" w:rsidRDefault="005B2D40">
            <w:pPr>
              <w:rPr>
                <w:rFonts w:ascii="CAIXA Std Book" w:hAnsi="CAIXA Std Book" w:cs="Calibri"/>
                <w:b/>
                <w:bCs/>
                <w:color w:val="FFFFFF"/>
                <w:sz w:val="18"/>
                <w:szCs w:val="18"/>
              </w:rPr>
            </w:pPr>
          </w:p>
        </w:tc>
        <w:tc>
          <w:tcPr>
            <w:tcW w:w="661" w:type="pct"/>
            <w:tcBorders>
              <w:top w:val="nil"/>
              <w:left w:val="nil"/>
              <w:bottom w:val="single" w:sz="4" w:space="0" w:color="FFFFFF"/>
              <w:right w:val="nil"/>
            </w:tcBorders>
            <w:shd w:val="clear" w:color="000000" w:fill="005CA9"/>
            <w:vAlign w:val="center"/>
            <w:hideMark/>
          </w:tcPr>
          <w:p w14:paraId="72529CBF" w14:textId="77777777" w:rsidR="005B2D40" w:rsidRDefault="005B2D40">
            <w:pPr>
              <w:jc w:val="center"/>
              <w:rPr>
                <w:rFonts w:ascii="CAIXA Std Book" w:hAnsi="CAIXA Std Book" w:cs="Calibri"/>
                <w:b/>
                <w:bCs/>
                <w:color w:val="FFFFFF"/>
                <w:sz w:val="18"/>
                <w:szCs w:val="18"/>
              </w:rPr>
            </w:pPr>
            <w:r>
              <w:rPr>
                <w:rFonts w:ascii="CAIXA Std Book" w:hAnsi="CAIXA Std Book" w:cs="Calibri"/>
                <w:b/>
                <w:bCs/>
                <w:color w:val="FFFFFF"/>
                <w:sz w:val="18"/>
                <w:szCs w:val="18"/>
              </w:rPr>
              <w:t>2026</w:t>
            </w:r>
          </w:p>
        </w:tc>
        <w:tc>
          <w:tcPr>
            <w:tcW w:w="662" w:type="pct"/>
            <w:tcBorders>
              <w:top w:val="nil"/>
              <w:left w:val="nil"/>
              <w:bottom w:val="single" w:sz="4" w:space="0" w:color="FFFFFF"/>
              <w:right w:val="nil"/>
            </w:tcBorders>
            <w:shd w:val="clear" w:color="000000" w:fill="005CA9"/>
            <w:vAlign w:val="center"/>
            <w:hideMark/>
          </w:tcPr>
          <w:p w14:paraId="66543B41" w14:textId="77777777" w:rsidR="005B2D40" w:rsidRDefault="005B2D40">
            <w:pPr>
              <w:jc w:val="center"/>
              <w:rPr>
                <w:rFonts w:ascii="CAIXA Std Book" w:hAnsi="CAIXA Std Book" w:cs="Calibri"/>
                <w:b/>
                <w:bCs/>
                <w:color w:val="FFFFFF"/>
                <w:sz w:val="18"/>
                <w:szCs w:val="18"/>
              </w:rPr>
            </w:pPr>
            <w:r>
              <w:rPr>
                <w:rFonts w:ascii="CAIXA Std Book" w:hAnsi="CAIXA Std Book" w:cs="Calibri"/>
                <w:b/>
                <w:bCs/>
                <w:color w:val="FFFFFF"/>
                <w:sz w:val="18"/>
                <w:szCs w:val="18"/>
              </w:rPr>
              <w:t>2025</w:t>
            </w:r>
          </w:p>
        </w:tc>
        <w:tc>
          <w:tcPr>
            <w:tcW w:w="661" w:type="pct"/>
            <w:tcBorders>
              <w:top w:val="nil"/>
              <w:left w:val="nil"/>
              <w:bottom w:val="single" w:sz="4" w:space="0" w:color="FFFFFF"/>
              <w:right w:val="nil"/>
            </w:tcBorders>
            <w:shd w:val="clear" w:color="000000" w:fill="005CA9"/>
            <w:vAlign w:val="center"/>
            <w:hideMark/>
          </w:tcPr>
          <w:p w14:paraId="48720DCC" w14:textId="77777777" w:rsidR="005B2D40" w:rsidRDefault="005B2D40">
            <w:pPr>
              <w:jc w:val="center"/>
              <w:rPr>
                <w:rFonts w:ascii="CAIXA Std Book" w:hAnsi="CAIXA Std Book" w:cs="Calibri"/>
                <w:b/>
                <w:bCs/>
                <w:color w:val="FFFFFF"/>
                <w:sz w:val="18"/>
                <w:szCs w:val="18"/>
              </w:rPr>
            </w:pPr>
            <w:r>
              <w:rPr>
                <w:rFonts w:ascii="CAIXA Std Book" w:hAnsi="CAIXA Std Book" w:cs="Calibri"/>
                <w:b/>
                <w:bCs/>
                <w:color w:val="FFFFFF"/>
                <w:sz w:val="18"/>
                <w:szCs w:val="18"/>
              </w:rPr>
              <w:t>2026</w:t>
            </w:r>
          </w:p>
        </w:tc>
        <w:tc>
          <w:tcPr>
            <w:tcW w:w="662" w:type="pct"/>
            <w:tcBorders>
              <w:top w:val="nil"/>
              <w:left w:val="nil"/>
              <w:bottom w:val="single" w:sz="4" w:space="0" w:color="FFFFFF"/>
              <w:right w:val="nil"/>
            </w:tcBorders>
            <w:shd w:val="clear" w:color="000000" w:fill="005CA9"/>
            <w:vAlign w:val="center"/>
            <w:hideMark/>
          </w:tcPr>
          <w:p w14:paraId="5A881523" w14:textId="77777777" w:rsidR="005B2D40" w:rsidRDefault="005B2D40">
            <w:pPr>
              <w:jc w:val="center"/>
              <w:rPr>
                <w:rFonts w:ascii="CAIXA Std Book" w:hAnsi="CAIXA Std Book" w:cs="Calibri"/>
                <w:b/>
                <w:bCs/>
                <w:color w:val="FFFFFF"/>
                <w:sz w:val="18"/>
                <w:szCs w:val="18"/>
              </w:rPr>
            </w:pPr>
            <w:r>
              <w:rPr>
                <w:rFonts w:ascii="CAIXA Std Book" w:hAnsi="CAIXA Std Book" w:cs="Calibri"/>
                <w:b/>
                <w:bCs/>
                <w:color w:val="FFFFFF"/>
                <w:sz w:val="18"/>
                <w:szCs w:val="18"/>
              </w:rPr>
              <w:t>2025</w:t>
            </w:r>
          </w:p>
        </w:tc>
      </w:tr>
      <w:tr w:rsidR="005B2D40" w14:paraId="5116AB90" w14:textId="77777777" w:rsidTr="00850536">
        <w:trPr>
          <w:trHeight w:val="300"/>
        </w:trPr>
        <w:tc>
          <w:tcPr>
            <w:tcW w:w="2353" w:type="pct"/>
            <w:vMerge/>
            <w:tcBorders>
              <w:top w:val="single" w:sz="4" w:space="0" w:color="FFFFFF"/>
              <w:left w:val="nil"/>
              <w:bottom w:val="single" w:sz="4" w:space="0" w:color="FFFFFF"/>
              <w:right w:val="nil"/>
            </w:tcBorders>
            <w:vAlign w:val="center"/>
            <w:hideMark/>
          </w:tcPr>
          <w:p w14:paraId="5A44AFBC" w14:textId="77777777" w:rsidR="005B2D40" w:rsidRDefault="005B2D40">
            <w:pPr>
              <w:rPr>
                <w:rFonts w:ascii="CAIXA Std Book" w:hAnsi="CAIXA Std Book" w:cs="Calibri"/>
                <w:b/>
                <w:bCs/>
                <w:color w:val="FFFFFF"/>
                <w:sz w:val="18"/>
                <w:szCs w:val="18"/>
              </w:rPr>
            </w:pPr>
          </w:p>
        </w:tc>
        <w:tc>
          <w:tcPr>
            <w:tcW w:w="661" w:type="pct"/>
            <w:tcBorders>
              <w:top w:val="nil"/>
              <w:left w:val="nil"/>
              <w:bottom w:val="single" w:sz="4" w:space="0" w:color="FFFFFF"/>
              <w:right w:val="nil"/>
            </w:tcBorders>
            <w:shd w:val="clear" w:color="000000" w:fill="005CA9"/>
            <w:vAlign w:val="center"/>
            <w:hideMark/>
          </w:tcPr>
          <w:p w14:paraId="1816B191" w14:textId="77777777" w:rsidR="005B2D40" w:rsidRDefault="005B2D40">
            <w:pPr>
              <w:jc w:val="center"/>
              <w:rPr>
                <w:rFonts w:ascii="CAIXA Std Book" w:hAnsi="CAIXA Std Book" w:cs="Calibri"/>
                <w:b/>
                <w:bCs/>
                <w:color w:val="FFFFFF"/>
                <w:sz w:val="18"/>
                <w:szCs w:val="18"/>
              </w:rPr>
            </w:pPr>
            <w:r>
              <w:rPr>
                <w:rFonts w:ascii="CAIXA Std Book" w:hAnsi="CAIXA Std Book" w:cs="Calibri"/>
                <w:b/>
                <w:bCs/>
                <w:color w:val="FFFFFF"/>
                <w:sz w:val="18"/>
                <w:szCs w:val="18"/>
              </w:rPr>
              <w:t>1º trimestre</w:t>
            </w:r>
          </w:p>
        </w:tc>
        <w:tc>
          <w:tcPr>
            <w:tcW w:w="662" w:type="pct"/>
            <w:tcBorders>
              <w:top w:val="nil"/>
              <w:left w:val="nil"/>
              <w:bottom w:val="single" w:sz="4" w:space="0" w:color="FFFFFF"/>
              <w:right w:val="nil"/>
            </w:tcBorders>
            <w:shd w:val="clear" w:color="000000" w:fill="005CA9"/>
            <w:vAlign w:val="center"/>
            <w:hideMark/>
          </w:tcPr>
          <w:p w14:paraId="39A6BB3A" w14:textId="77777777" w:rsidR="005B2D40" w:rsidRDefault="005B2D40">
            <w:pPr>
              <w:jc w:val="center"/>
              <w:rPr>
                <w:rFonts w:ascii="CAIXA Std Book" w:hAnsi="CAIXA Std Book" w:cs="Calibri"/>
                <w:b/>
                <w:bCs/>
                <w:color w:val="FFFFFF"/>
                <w:sz w:val="18"/>
                <w:szCs w:val="18"/>
              </w:rPr>
            </w:pPr>
            <w:r>
              <w:rPr>
                <w:rFonts w:ascii="CAIXA Std Book" w:hAnsi="CAIXA Std Book" w:cs="Calibri"/>
                <w:b/>
                <w:bCs/>
                <w:color w:val="FFFFFF"/>
                <w:sz w:val="18"/>
                <w:szCs w:val="18"/>
              </w:rPr>
              <w:t>1º trimestre</w:t>
            </w:r>
          </w:p>
        </w:tc>
        <w:tc>
          <w:tcPr>
            <w:tcW w:w="661" w:type="pct"/>
            <w:tcBorders>
              <w:top w:val="nil"/>
              <w:left w:val="nil"/>
              <w:bottom w:val="single" w:sz="4" w:space="0" w:color="FFFFFF"/>
              <w:right w:val="nil"/>
            </w:tcBorders>
            <w:shd w:val="clear" w:color="000000" w:fill="005CA9"/>
            <w:vAlign w:val="center"/>
            <w:hideMark/>
          </w:tcPr>
          <w:p w14:paraId="4C6978B6" w14:textId="77777777" w:rsidR="005B2D40" w:rsidRDefault="005B2D40">
            <w:pPr>
              <w:jc w:val="center"/>
              <w:rPr>
                <w:rFonts w:ascii="CAIXA Std Book" w:hAnsi="CAIXA Std Book" w:cs="Calibri"/>
                <w:b/>
                <w:bCs/>
                <w:color w:val="FFFFFF"/>
                <w:sz w:val="18"/>
                <w:szCs w:val="18"/>
              </w:rPr>
            </w:pPr>
            <w:r>
              <w:rPr>
                <w:rFonts w:ascii="CAIXA Std Book" w:hAnsi="CAIXA Std Book" w:cs="Calibri"/>
                <w:b/>
                <w:bCs/>
                <w:color w:val="FFFFFF"/>
                <w:sz w:val="18"/>
                <w:szCs w:val="18"/>
              </w:rPr>
              <w:t>1º trimestre</w:t>
            </w:r>
          </w:p>
        </w:tc>
        <w:tc>
          <w:tcPr>
            <w:tcW w:w="662" w:type="pct"/>
            <w:tcBorders>
              <w:top w:val="nil"/>
              <w:left w:val="nil"/>
              <w:bottom w:val="single" w:sz="4" w:space="0" w:color="FFFFFF"/>
              <w:right w:val="nil"/>
            </w:tcBorders>
            <w:shd w:val="clear" w:color="000000" w:fill="005CA9"/>
            <w:vAlign w:val="center"/>
            <w:hideMark/>
          </w:tcPr>
          <w:p w14:paraId="0548B364" w14:textId="77777777" w:rsidR="005B2D40" w:rsidRDefault="005B2D40">
            <w:pPr>
              <w:jc w:val="center"/>
              <w:rPr>
                <w:rFonts w:ascii="CAIXA Std Book" w:hAnsi="CAIXA Std Book" w:cs="Calibri"/>
                <w:b/>
                <w:bCs/>
                <w:color w:val="FFFFFF"/>
                <w:sz w:val="18"/>
                <w:szCs w:val="18"/>
              </w:rPr>
            </w:pPr>
            <w:r>
              <w:rPr>
                <w:rFonts w:ascii="CAIXA Std Book" w:hAnsi="CAIXA Std Book" w:cs="Calibri"/>
                <w:b/>
                <w:bCs/>
                <w:color w:val="FFFFFF"/>
                <w:sz w:val="18"/>
                <w:szCs w:val="18"/>
              </w:rPr>
              <w:t>1º trimestre</w:t>
            </w:r>
          </w:p>
        </w:tc>
      </w:tr>
      <w:tr w:rsidR="005B2D40" w14:paraId="11BBFB66" w14:textId="77777777" w:rsidTr="00850536">
        <w:trPr>
          <w:trHeight w:val="552"/>
        </w:trPr>
        <w:tc>
          <w:tcPr>
            <w:tcW w:w="2353" w:type="pct"/>
            <w:tcBorders>
              <w:top w:val="nil"/>
              <w:left w:val="nil"/>
              <w:bottom w:val="single" w:sz="4" w:space="0" w:color="FFFFFF"/>
              <w:right w:val="nil"/>
            </w:tcBorders>
            <w:vAlign w:val="center"/>
            <w:hideMark/>
          </w:tcPr>
          <w:p w14:paraId="6DC0A1E7" w14:textId="77777777" w:rsidR="005B2D40" w:rsidRDefault="005B2D40">
            <w:pPr>
              <w:rPr>
                <w:rFonts w:ascii="CAIXA Std Book" w:hAnsi="CAIXA Std Book" w:cs="Calibri"/>
                <w:color w:val="005CA9"/>
                <w:sz w:val="18"/>
                <w:szCs w:val="18"/>
              </w:rPr>
            </w:pPr>
            <w:r>
              <w:rPr>
                <w:rFonts w:ascii="CAIXA Std Book" w:hAnsi="CAIXA Std Book" w:cs="Calibri"/>
                <w:color w:val="005CA9"/>
                <w:sz w:val="18"/>
                <w:szCs w:val="18"/>
              </w:rPr>
              <w:t>Resultado na alienação e baixa de investimentos e ativos não financeiros mantidos para venda</w:t>
            </w:r>
          </w:p>
        </w:tc>
        <w:tc>
          <w:tcPr>
            <w:tcW w:w="661" w:type="pct"/>
            <w:tcBorders>
              <w:top w:val="nil"/>
              <w:left w:val="nil"/>
              <w:bottom w:val="single" w:sz="4" w:space="0" w:color="FFFFFF"/>
              <w:right w:val="nil"/>
            </w:tcBorders>
            <w:vAlign w:val="center"/>
            <w:hideMark/>
          </w:tcPr>
          <w:p w14:paraId="12101F05" w14:textId="77777777" w:rsidR="005B2D40" w:rsidRDefault="005B2D40">
            <w:pPr>
              <w:jc w:val="right"/>
              <w:rPr>
                <w:rFonts w:ascii="CAIXA Std Book" w:hAnsi="CAIXA Std Book" w:cs="Calibri"/>
                <w:color w:val="005CA9"/>
                <w:sz w:val="18"/>
                <w:szCs w:val="18"/>
              </w:rPr>
            </w:pPr>
            <w:r>
              <w:rPr>
                <w:rFonts w:ascii="CAIXA Std Book" w:hAnsi="CAIXA Std Book" w:cs="Calibri"/>
                <w:color w:val="005CA9"/>
                <w:sz w:val="18"/>
                <w:szCs w:val="18"/>
              </w:rPr>
              <w:t>65.843</w:t>
            </w:r>
          </w:p>
        </w:tc>
        <w:tc>
          <w:tcPr>
            <w:tcW w:w="662" w:type="pct"/>
            <w:tcBorders>
              <w:top w:val="nil"/>
              <w:left w:val="nil"/>
              <w:bottom w:val="single" w:sz="4" w:space="0" w:color="FFFFFF"/>
              <w:right w:val="nil"/>
            </w:tcBorders>
            <w:vAlign w:val="center"/>
            <w:hideMark/>
          </w:tcPr>
          <w:p w14:paraId="0F82BF49" w14:textId="77777777" w:rsidR="005B2D40" w:rsidRDefault="005B2D40">
            <w:pPr>
              <w:jc w:val="right"/>
              <w:rPr>
                <w:rFonts w:ascii="CAIXA Std Book" w:hAnsi="CAIXA Std Book" w:cs="Calibri"/>
                <w:color w:val="005CA9"/>
                <w:sz w:val="18"/>
                <w:szCs w:val="18"/>
              </w:rPr>
            </w:pPr>
            <w:r>
              <w:rPr>
                <w:rFonts w:ascii="CAIXA Std Book" w:hAnsi="CAIXA Std Book" w:cs="Calibri"/>
                <w:color w:val="005CA9"/>
                <w:sz w:val="18"/>
                <w:szCs w:val="18"/>
              </w:rPr>
              <w:t>246.242</w:t>
            </w:r>
          </w:p>
        </w:tc>
        <w:tc>
          <w:tcPr>
            <w:tcW w:w="661" w:type="pct"/>
            <w:tcBorders>
              <w:top w:val="nil"/>
              <w:left w:val="nil"/>
              <w:bottom w:val="single" w:sz="4" w:space="0" w:color="FFFFFF"/>
              <w:right w:val="nil"/>
            </w:tcBorders>
            <w:vAlign w:val="center"/>
            <w:hideMark/>
          </w:tcPr>
          <w:p w14:paraId="25F11D67" w14:textId="77777777" w:rsidR="005B2D40" w:rsidRDefault="005B2D40">
            <w:pPr>
              <w:jc w:val="right"/>
              <w:rPr>
                <w:rFonts w:ascii="CAIXA Std Book" w:hAnsi="CAIXA Std Book" w:cs="Calibri"/>
                <w:color w:val="005CA9"/>
                <w:sz w:val="18"/>
                <w:szCs w:val="18"/>
              </w:rPr>
            </w:pPr>
            <w:r>
              <w:rPr>
                <w:rFonts w:ascii="CAIXA Std Book" w:hAnsi="CAIXA Std Book" w:cs="Calibri"/>
                <w:color w:val="005CA9"/>
                <w:sz w:val="18"/>
                <w:szCs w:val="18"/>
              </w:rPr>
              <w:t>65.843</w:t>
            </w:r>
          </w:p>
        </w:tc>
        <w:tc>
          <w:tcPr>
            <w:tcW w:w="662" w:type="pct"/>
            <w:tcBorders>
              <w:top w:val="nil"/>
              <w:left w:val="nil"/>
              <w:bottom w:val="single" w:sz="4" w:space="0" w:color="FFFFFF"/>
              <w:right w:val="nil"/>
            </w:tcBorders>
            <w:vAlign w:val="center"/>
            <w:hideMark/>
          </w:tcPr>
          <w:p w14:paraId="2E01AFA4" w14:textId="77777777" w:rsidR="005B2D40" w:rsidRDefault="005B2D40">
            <w:pPr>
              <w:jc w:val="right"/>
              <w:rPr>
                <w:rFonts w:ascii="CAIXA Std Book" w:hAnsi="CAIXA Std Book" w:cs="Calibri"/>
                <w:color w:val="005CA9"/>
                <w:sz w:val="18"/>
                <w:szCs w:val="18"/>
              </w:rPr>
            </w:pPr>
            <w:r>
              <w:rPr>
                <w:rFonts w:ascii="CAIXA Std Book" w:hAnsi="CAIXA Std Book" w:cs="Calibri"/>
                <w:color w:val="005CA9"/>
                <w:sz w:val="18"/>
                <w:szCs w:val="18"/>
              </w:rPr>
              <w:t>246.242</w:t>
            </w:r>
          </w:p>
        </w:tc>
      </w:tr>
      <w:tr w:rsidR="005B2D40" w14:paraId="734758C0" w14:textId="77777777" w:rsidTr="00850536">
        <w:trPr>
          <w:trHeight w:val="288"/>
        </w:trPr>
        <w:tc>
          <w:tcPr>
            <w:tcW w:w="2353" w:type="pct"/>
            <w:tcBorders>
              <w:top w:val="nil"/>
              <w:left w:val="nil"/>
              <w:bottom w:val="single" w:sz="4" w:space="0" w:color="FFFFFF"/>
              <w:right w:val="nil"/>
            </w:tcBorders>
            <w:vAlign w:val="center"/>
            <w:hideMark/>
          </w:tcPr>
          <w:p w14:paraId="73A84334" w14:textId="77777777" w:rsidR="005B2D40" w:rsidRDefault="005B2D40">
            <w:pPr>
              <w:rPr>
                <w:rFonts w:ascii="CAIXA Std Book" w:hAnsi="CAIXA Std Book" w:cs="Calibri"/>
                <w:color w:val="005CA9"/>
                <w:sz w:val="18"/>
                <w:szCs w:val="18"/>
              </w:rPr>
            </w:pPr>
            <w:r>
              <w:rPr>
                <w:rFonts w:ascii="CAIXA Std Book" w:hAnsi="CAIXA Std Book" w:cs="Calibri"/>
                <w:color w:val="005CA9"/>
                <w:sz w:val="18"/>
                <w:szCs w:val="18"/>
              </w:rPr>
              <w:t xml:space="preserve">Constituição/reversão de provisões </w:t>
            </w:r>
          </w:p>
        </w:tc>
        <w:tc>
          <w:tcPr>
            <w:tcW w:w="661" w:type="pct"/>
            <w:tcBorders>
              <w:top w:val="nil"/>
              <w:left w:val="nil"/>
              <w:bottom w:val="single" w:sz="4" w:space="0" w:color="FFFFFF"/>
              <w:right w:val="nil"/>
            </w:tcBorders>
            <w:vAlign w:val="center"/>
            <w:hideMark/>
          </w:tcPr>
          <w:p w14:paraId="19272937" w14:textId="77777777" w:rsidR="005B2D40" w:rsidRDefault="005B2D40">
            <w:pPr>
              <w:jc w:val="right"/>
              <w:rPr>
                <w:rFonts w:ascii="CAIXA Std Book" w:hAnsi="CAIXA Std Book" w:cs="Calibri"/>
                <w:color w:val="005CA9"/>
                <w:sz w:val="18"/>
                <w:szCs w:val="18"/>
              </w:rPr>
            </w:pPr>
            <w:r>
              <w:rPr>
                <w:rFonts w:ascii="CAIXA Std Book" w:hAnsi="CAIXA Std Book" w:cs="Calibri"/>
                <w:color w:val="005CA9"/>
                <w:sz w:val="18"/>
                <w:szCs w:val="18"/>
              </w:rPr>
              <w:t>(21.643)</w:t>
            </w:r>
          </w:p>
        </w:tc>
        <w:tc>
          <w:tcPr>
            <w:tcW w:w="662" w:type="pct"/>
            <w:tcBorders>
              <w:top w:val="nil"/>
              <w:left w:val="nil"/>
              <w:bottom w:val="single" w:sz="4" w:space="0" w:color="FFFFFF"/>
              <w:right w:val="nil"/>
            </w:tcBorders>
            <w:vAlign w:val="center"/>
            <w:hideMark/>
          </w:tcPr>
          <w:p w14:paraId="0E64D842" w14:textId="77777777" w:rsidR="005B2D40" w:rsidRDefault="005B2D40">
            <w:pPr>
              <w:jc w:val="right"/>
              <w:rPr>
                <w:rFonts w:ascii="CAIXA Std Book" w:hAnsi="CAIXA Std Book" w:cs="Calibri"/>
                <w:color w:val="005CA9"/>
                <w:sz w:val="18"/>
                <w:szCs w:val="18"/>
              </w:rPr>
            </w:pPr>
            <w:r>
              <w:rPr>
                <w:rFonts w:ascii="CAIXA Std Book" w:hAnsi="CAIXA Std Book" w:cs="Calibri"/>
                <w:color w:val="005CA9"/>
                <w:sz w:val="18"/>
                <w:szCs w:val="18"/>
              </w:rPr>
              <w:t>(26.033)</w:t>
            </w:r>
          </w:p>
        </w:tc>
        <w:tc>
          <w:tcPr>
            <w:tcW w:w="661" w:type="pct"/>
            <w:tcBorders>
              <w:top w:val="nil"/>
              <w:left w:val="nil"/>
              <w:bottom w:val="single" w:sz="4" w:space="0" w:color="FFFFFF"/>
              <w:right w:val="nil"/>
            </w:tcBorders>
            <w:vAlign w:val="center"/>
            <w:hideMark/>
          </w:tcPr>
          <w:p w14:paraId="4DC91512" w14:textId="77777777" w:rsidR="005B2D40" w:rsidRDefault="005B2D40">
            <w:pPr>
              <w:jc w:val="right"/>
              <w:rPr>
                <w:rFonts w:ascii="CAIXA Std Book" w:hAnsi="CAIXA Std Book" w:cs="Calibri"/>
                <w:color w:val="005CA9"/>
                <w:sz w:val="18"/>
                <w:szCs w:val="18"/>
              </w:rPr>
            </w:pPr>
            <w:r>
              <w:rPr>
                <w:rFonts w:ascii="CAIXA Std Book" w:hAnsi="CAIXA Std Book" w:cs="Calibri"/>
                <w:color w:val="005CA9"/>
                <w:sz w:val="18"/>
                <w:szCs w:val="18"/>
              </w:rPr>
              <w:t>(21.643)</w:t>
            </w:r>
          </w:p>
        </w:tc>
        <w:tc>
          <w:tcPr>
            <w:tcW w:w="662" w:type="pct"/>
            <w:tcBorders>
              <w:top w:val="nil"/>
              <w:left w:val="nil"/>
              <w:bottom w:val="single" w:sz="4" w:space="0" w:color="FFFFFF"/>
              <w:right w:val="nil"/>
            </w:tcBorders>
            <w:vAlign w:val="center"/>
            <w:hideMark/>
          </w:tcPr>
          <w:p w14:paraId="363A3D1D" w14:textId="77777777" w:rsidR="005B2D40" w:rsidRDefault="005B2D40">
            <w:pPr>
              <w:jc w:val="right"/>
              <w:rPr>
                <w:rFonts w:ascii="CAIXA Std Book" w:hAnsi="CAIXA Std Book" w:cs="Calibri"/>
                <w:color w:val="005CA9"/>
                <w:sz w:val="18"/>
                <w:szCs w:val="18"/>
              </w:rPr>
            </w:pPr>
            <w:r>
              <w:rPr>
                <w:rFonts w:ascii="CAIXA Std Book" w:hAnsi="CAIXA Std Book" w:cs="Calibri"/>
                <w:color w:val="005CA9"/>
                <w:sz w:val="18"/>
                <w:szCs w:val="18"/>
              </w:rPr>
              <w:t>(26.033)</w:t>
            </w:r>
          </w:p>
        </w:tc>
      </w:tr>
      <w:tr w:rsidR="005B2D40" w14:paraId="15DB6DC2" w14:textId="77777777" w:rsidTr="00850536">
        <w:trPr>
          <w:trHeight w:val="288"/>
        </w:trPr>
        <w:tc>
          <w:tcPr>
            <w:tcW w:w="2353" w:type="pct"/>
            <w:tcBorders>
              <w:top w:val="nil"/>
              <w:left w:val="nil"/>
              <w:bottom w:val="single" w:sz="4" w:space="0" w:color="FFFFFF"/>
              <w:right w:val="nil"/>
            </w:tcBorders>
            <w:vAlign w:val="center"/>
            <w:hideMark/>
          </w:tcPr>
          <w:p w14:paraId="1324A814" w14:textId="77777777" w:rsidR="005B2D40" w:rsidRDefault="005B2D40">
            <w:pPr>
              <w:rPr>
                <w:rFonts w:ascii="CAIXA Std Book" w:hAnsi="CAIXA Std Book" w:cs="Calibri"/>
                <w:color w:val="005CA9"/>
                <w:sz w:val="18"/>
                <w:szCs w:val="18"/>
              </w:rPr>
            </w:pPr>
            <w:r>
              <w:rPr>
                <w:rFonts w:ascii="CAIXA Std Book" w:hAnsi="CAIXA Std Book" w:cs="Calibri"/>
                <w:color w:val="005CA9"/>
                <w:sz w:val="18"/>
                <w:szCs w:val="18"/>
              </w:rPr>
              <w:t>Ganhos e perdas de capital</w:t>
            </w:r>
          </w:p>
        </w:tc>
        <w:tc>
          <w:tcPr>
            <w:tcW w:w="661" w:type="pct"/>
            <w:tcBorders>
              <w:top w:val="nil"/>
              <w:left w:val="nil"/>
              <w:bottom w:val="single" w:sz="4" w:space="0" w:color="FFFFFF"/>
              <w:right w:val="nil"/>
            </w:tcBorders>
            <w:vAlign w:val="center"/>
            <w:hideMark/>
          </w:tcPr>
          <w:p w14:paraId="0050B128" w14:textId="77777777" w:rsidR="005B2D40" w:rsidRDefault="005B2D40">
            <w:pPr>
              <w:jc w:val="right"/>
              <w:rPr>
                <w:rFonts w:ascii="CAIXA Std Book" w:hAnsi="CAIXA Std Book" w:cs="Calibri"/>
                <w:color w:val="005CA9"/>
                <w:sz w:val="18"/>
                <w:szCs w:val="18"/>
              </w:rPr>
            </w:pPr>
            <w:r>
              <w:rPr>
                <w:rFonts w:ascii="CAIXA Std Book" w:hAnsi="CAIXA Std Book" w:cs="Calibri"/>
                <w:color w:val="005CA9"/>
                <w:sz w:val="18"/>
                <w:szCs w:val="18"/>
              </w:rPr>
              <w:t>(5.435)</w:t>
            </w:r>
          </w:p>
        </w:tc>
        <w:tc>
          <w:tcPr>
            <w:tcW w:w="662" w:type="pct"/>
            <w:tcBorders>
              <w:top w:val="nil"/>
              <w:left w:val="nil"/>
              <w:bottom w:val="single" w:sz="4" w:space="0" w:color="FFFFFF"/>
              <w:right w:val="nil"/>
            </w:tcBorders>
            <w:vAlign w:val="center"/>
            <w:hideMark/>
          </w:tcPr>
          <w:p w14:paraId="32A8ED40" w14:textId="77777777" w:rsidR="005B2D40" w:rsidRDefault="005B2D40">
            <w:pPr>
              <w:jc w:val="right"/>
              <w:rPr>
                <w:rFonts w:ascii="CAIXA Std Book" w:hAnsi="CAIXA Std Book" w:cs="Calibri"/>
                <w:color w:val="005CA9"/>
                <w:sz w:val="18"/>
                <w:szCs w:val="18"/>
              </w:rPr>
            </w:pPr>
            <w:r>
              <w:rPr>
                <w:rFonts w:ascii="CAIXA Std Book" w:hAnsi="CAIXA Std Book" w:cs="Calibri"/>
                <w:color w:val="005CA9"/>
                <w:sz w:val="18"/>
                <w:szCs w:val="18"/>
              </w:rPr>
              <w:t>8.333</w:t>
            </w:r>
          </w:p>
        </w:tc>
        <w:tc>
          <w:tcPr>
            <w:tcW w:w="661" w:type="pct"/>
            <w:tcBorders>
              <w:top w:val="nil"/>
              <w:left w:val="nil"/>
              <w:bottom w:val="single" w:sz="4" w:space="0" w:color="FFFFFF"/>
              <w:right w:val="nil"/>
            </w:tcBorders>
            <w:vAlign w:val="center"/>
            <w:hideMark/>
          </w:tcPr>
          <w:p w14:paraId="15A2800E" w14:textId="77777777" w:rsidR="005B2D40" w:rsidRDefault="005B2D40">
            <w:pPr>
              <w:jc w:val="right"/>
              <w:rPr>
                <w:rFonts w:ascii="CAIXA Std Book" w:hAnsi="CAIXA Std Book" w:cs="Calibri"/>
                <w:color w:val="005CA9"/>
                <w:sz w:val="18"/>
                <w:szCs w:val="18"/>
              </w:rPr>
            </w:pPr>
            <w:r>
              <w:rPr>
                <w:rFonts w:ascii="CAIXA Std Book" w:hAnsi="CAIXA Std Book" w:cs="Calibri"/>
                <w:color w:val="005CA9"/>
                <w:sz w:val="18"/>
                <w:szCs w:val="18"/>
              </w:rPr>
              <w:t>(5.435)</w:t>
            </w:r>
          </w:p>
        </w:tc>
        <w:tc>
          <w:tcPr>
            <w:tcW w:w="662" w:type="pct"/>
            <w:tcBorders>
              <w:top w:val="nil"/>
              <w:left w:val="nil"/>
              <w:bottom w:val="single" w:sz="4" w:space="0" w:color="FFFFFF"/>
              <w:right w:val="nil"/>
            </w:tcBorders>
            <w:vAlign w:val="center"/>
            <w:hideMark/>
          </w:tcPr>
          <w:p w14:paraId="161745BF" w14:textId="77777777" w:rsidR="005B2D40" w:rsidRDefault="005B2D40">
            <w:pPr>
              <w:jc w:val="right"/>
              <w:rPr>
                <w:rFonts w:ascii="CAIXA Std Book" w:hAnsi="CAIXA Std Book" w:cs="Calibri"/>
                <w:color w:val="005CA9"/>
                <w:sz w:val="18"/>
                <w:szCs w:val="18"/>
              </w:rPr>
            </w:pPr>
            <w:r>
              <w:rPr>
                <w:rFonts w:ascii="CAIXA Std Book" w:hAnsi="CAIXA Std Book" w:cs="Calibri"/>
                <w:color w:val="005CA9"/>
                <w:sz w:val="18"/>
                <w:szCs w:val="18"/>
              </w:rPr>
              <w:t>8.333</w:t>
            </w:r>
          </w:p>
        </w:tc>
      </w:tr>
      <w:tr w:rsidR="005B2D40" w14:paraId="03E76D38" w14:textId="77777777" w:rsidTr="00850536">
        <w:trPr>
          <w:trHeight w:val="288"/>
        </w:trPr>
        <w:tc>
          <w:tcPr>
            <w:tcW w:w="2353" w:type="pct"/>
            <w:tcBorders>
              <w:top w:val="nil"/>
              <w:left w:val="nil"/>
              <w:bottom w:val="single" w:sz="4" w:space="0" w:color="FFFFFF"/>
              <w:right w:val="nil"/>
            </w:tcBorders>
            <w:vAlign w:val="center"/>
            <w:hideMark/>
          </w:tcPr>
          <w:p w14:paraId="1E0E55E3" w14:textId="77777777" w:rsidR="005B2D40" w:rsidRDefault="005B2D40">
            <w:pPr>
              <w:rPr>
                <w:rFonts w:ascii="CAIXA Std Book" w:hAnsi="CAIXA Std Book" w:cs="Calibri"/>
                <w:color w:val="005CA9"/>
                <w:sz w:val="18"/>
                <w:szCs w:val="18"/>
              </w:rPr>
            </w:pPr>
            <w:r>
              <w:rPr>
                <w:rFonts w:ascii="CAIXA Std Book" w:hAnsi="CAIXA Std Book" w:cs="Calibri"/>
                <w:color w:val="005CA9"/>
                <w:sz w:val="18"/>
                <w:szCs w:val="18"/>
              </w:rPr>
              <w:t>Outros (1)</w:t>
            </w:r>
          </w:p>
        </w:tc>
        <w:tc>
          <w:tcPr>
            <w:tcW w:w="661" w:type="pct"/>
            <w:tcBorders>
              <w:top w:val="nil"/>
              <w:left w:val="nil"/>
              <w:bottom w:val="single" w:sz="4" w:space="0" w:color="FFFFFF"/>
              <w:right w:val="nil"/>
            </w:tcBorders>
            <w:vAlign w:val="center"/>
            <w:hideMark/>
          </w:tcPr>
          <w:p w14:paraId="2701B7F6" w14:textId="77777777" w:rsidR="005B2D40" w:rsidRDefault="005B2D40">
            <w:pPr>
              <w:jc w:val="right"/>
              <w:rPr>
                <w:rFonts w:ascii="CAIXA Std Book" w:hAnsi="CAIXA Std Book" w:cs="Calibri"/>
                <w:color w:val="005CA9"/>
                <w:sz w:val="18"/>
                <w:szCs w:val="18"/>
              </w:rPr>
            </w:pPr>
            <w:r>
              <w:rPr>
                <w:rFonts w:ascii="CAIXA Std Book" w:hAnsi="CAIXA Std Book" w:cs="Calibri"/>
                <w:color w:val="005CA9"/>
                <w:sz w:val="18"/>
                <w:szCs w:val="18"/>
              </w:rPr>
              <w:t>(108.574)</w:t>
            </w:r>
          </w:p>
        </w:tc>
        <w:tc>
          <w:tcPr>
            <w:tcW w:w="662" w:type="pct"/>
            <w:tcBorders>
              <w:top w:val="nil"/>
              <w:left w:val="nil"/>
              <w:bottom w:val="single" w:sz="4" w:space="0" w:color="FFFFFF"/>
              <w:right w:val="nil"/>
            </w:tcBorders>
            <w:vAlign w:val="center"/>
            <w:hideMark/>
          </w:tcPr>
          <w:p w14:paraId="07FB31AF" w14:textId="77777777" w:rsidR="005B2D40" w:rsidRDefault="005B2D40">
            <w:pPr>
              <w:jc w:val="right"/>
              <w:rPr>
                <w:rFonts w:ascii="CAIXA Std Book" w:hAnsi="CAIXA Std Book" w:cs="Calibri"/>
                <w:color w:val="005CA9"/>
                <w:sz w:val="18"/>
                <w:szCs w:val="18"/>
              </w:rPr>
            </w:pPr>
            <w:r>
              <w:rPr>
                <w:rFonts w:ascii="CAIXA Std Book" w:hAnsi="CAIXA Std Book" w:cs="Calibri"/>
                <w:color w:val="005CA9"/>
                <w:sz w:val="18"/>
                <w:szCs w:val="18"/>
              </w:rPr>
              <w:t>(211.415)</w:t>
            </w:r>
          </w:p>
        </w:tc>
        <w:tc>
          <w:tcPr>
            <w:tcW w:w="661" w:type="pct"/>
            <w:tcBorders>
              <w:top w:val="nil"/>
              <w:left w:val="nil"/>
              <w:bottom w:val="single" w:sz="4" w:space="0" w:color="FFFFFF"/>
              <w:right w:val="nil"/>
            </w:tcBorders>
            <w:vAlign w:val="center"/>
            <w:hideMark/>
          </w:tcPr>
          <w:p w14:paraId="4AADCDD5" w14:textId="77777777" w:rsidR="005B2D40" w:rsidRDefault="005B2D40">
            <w:pPr>
              <w:jc w:val="right"/>
              <w:rPr>
                <w:rFonts w:ascii="CAIXA Std Book" w:hAnsi="CAIXA Std Book" w:cs="Calibri"/>
                <w:color w:val="005CA9"/>
                <w:sz w:val="18"/>
                <w:szCs w:val="18"/>
              </w:rPr>
            </w:pPr>
            <w:r>
              <w:rPr>
                <w:rFonts w:ascii="CAIXA Std Book" w:hAnsi="CAIXA Std Book" w:cs="Calibri"/>
                <w:color w:val="005CA9"/>
                <w:sz w:val="18"/>
                <w:szCs w:val="18"/>
              </w:rPr>
              <w:t>(108.573)</w:t>
            </w:r>
          </w:p>
        </w:tc>
        <w:tc>
          <w:tcPr>
            <w:tcW w:w="662" w:type="pct"/>
            <w:tcBorders>
              <w:top w:val="nil"/>
              <w:left w:val="nil"/>
              <w:bottom w:val="single" w:sz="4" w:space="0" w:color="FFFFFF"/>
              <w:right w:val="nil"/>
            </w:tcBorders>
            <w:vAlign w:val="center"/>
            <w:hideMark/>
          </w:tcPr>
          <w:p w14:paraId="08BE3442" w14:textId="77777777" w:rsidR="005B2D40" w:rsidRDefault="005B2D40">
            <w:pPr>
              <w:jc w:val="right"/>
              <w:rPr>
                <w:rFonts w:ascii="CAIXA Std Book" w:hAnsi="CAIXA Std Book" w:cs="Calibri"/>
                <w:color w:val="005CA9"/>
                <w:sz w:val="18"/>
                <w:szCs w:val="18"/>
              </w:rPr>
            </w:pPr>
            <w:r>
              <w:rPr>
                <w:rFonts w:ascii="CAIXA Std Book" w:hAnsi="CAIXA Std Book" w:cs="Calibri"/>
                <w:color w:val="005CA9"/>
                <w:sz w:val="18"/>
                <w:szCs w:val="18"/>
              </w:rPr>
              <w:t>(211.415)</w:t>
            </w:r>
          </w:p>
        </w:tc>
      </w:tr>
      <w:tr w:rsidR="005B2D40" w14:paraId="5B99C798" w14:textId="77777777" w:rsidTr="00850536">
        <w:trPr>
          <w:trHeight w:val="288"/>
        </w:trPr>
        <w:tc>
          <w:tcPr>
            <w:tcW w:w="2353" w:type="pct"/>
            <w:tcBorders>
              <w:top w:val="nil"/>
              <w:left w:val="nil"/>
              <w:bottom w:val="single" w:sz="4" w:space="0" w:color="FFFFFF"/>
              <w:right w:val="nil"/>
            </w:tcBorders>
            <w:shd w:val="clear" w:color="000000" w:fill="005CA9"/>
            <w:noWrap/>
            <w:vAlign w:val="center"/>
            <w:hideMark/>
          </w:tcPr>
          <w:p w14:paraId="6055BB62" w14:textId="77777777" w:rsidR="005B2D40" w:rsidRDefault="005B2D40">
            <w:pPr>
              <w:rPr>
                <w:rFonts w:ascii="CAIXA Std Book" w:hAnsi="CAIXA Std Book" w:cs="Calibri"/>
                <w:b/>
                <w:bCs/>
                <w:color w:val="FFFFFF"/>
                <w:sz w:val="18"/>
                <w:szCs w:val="18"/>
              </w:rPr>
            </w:pPr>
            <w:r>
              <w:rPr>
                <w:rFonts w:ascii="CAIXA Std Book" w:hAnsi="CAIXA Std Book" w:cs="Calibri"/>
                <w:b/>
                <w:bCs/>
                <w:color w:val="FFFFFF"/>
                <w:sz w:val="18"/>
                <w:szCs w:val="18"/>
              </w:rPr>
              <w:t>Total</w:t>
            </w:r>
          </w:p>
        </w:tc>
        <w:tc>
          <w:tcPr>
            <w:tcW w:w="661" w:type="pct"/>
            <w:tcBorders>
              <w:top w:val="nil"/>
              <w:left w:val="nil"/>
              <w:bottom w:val="single" w:sz="4" w:space="0" w:color="FFFFFF"/>
              <w:right w:val="nil"/>
            </w:tcBorders>
            <w:shd w:val="clear" w:color="000000" w:fill="005CA9"/>
            <w:noWrap/>
            <w:vAlign w:val="center"/>
            <w:hideMark/>
          </w:tcPr>
          <w:p w14:paraId="540287BA" w14:textId="77777777" w:rsidR="005B2D40" w:rsidRDefault="005B2D40">
            <w:pPr>
              <w:jc w:val="right"/>
              <w:rPr>
                <w:rFonts w:ascii="CAIXA Std Book" w:hAnsi="CAIXA Std Book" w:cs="Calibri"/>
                <w:b/>
                <w:bCs/>
                <w:color w:val="FFFFFF"/>
                <w:sz w:val="18"/>
                <w:szCs w:val="18"/>
              </w:rPr>
            </w:pPr>
            <w:r>
              <w:rPr>
                <w:rFonts w:ascii="CAIXA Std Book" w:hAnsi="CAIXA Std Book" w:cs="Calibri"/>
                <w:b/>
                <w:bCs/>
                <w:color w:val="FFFFFF"/>
                <w:sz w:val="18"/>
                <w:szCs w:val="18"/>
              </w:rPr>
              <w:t>(69.809)</w:t>
            </w:r>
          </w:p>
        </w:tc>
        <w:tc>
          <w:tcPr>
            <w:tcW w:w="662" w:type="pct"/>
            <w:tcBorders>
              <w:top w:val="nil"/>
              <w:left w:val="nil"/>
              <w:bottom w:val="single" w:sz="4" w:space="0" w:color="FFFFFF"/>
              <w:right w:val="nil"/>
            </w:tcBorders>
            <w:shd w:val="clear" w:color="000000" w:fill="005CA9"/>
            <w:noWrap/>
            <w:vAlign w:val="center"/>
            <w:hideMark/>
          </w:tcPr>
          <w:p w14:paraId="001DBE58" w14:textId="77777777" w:rsidR="005B2D40" w:rsidRDefault="005B2D40">
            <w:pPr>
              <w:jc w:val="right"/>
              <w:rPr>
                <w:rFonts w:ascii="CAIXA Std Book" w:hAnsi="CAIXA Std Book" w:cs="Calibri"/>
                <w:b/>
                <w:bCs/>
                <w:color w:val="FFFFFF"/>
                <w:sz w:val="18"/>
                <w:szCs w:val="18"/>
              </w:rPr>
            </w:pPr>
            <w:r>
              <w:rPr>
                <w:rFonts w:ascii="CAIXA Std Book" w:hAnsi="CAIXA Std Book" w:cs="Calibri"/>
                <w:b/>
                <w:bCs/>
                <w:color w:val="FFFFFF"/>
                <w:sz w:val="18"/>
                <w:szCs w:val="18"/>
              </w:rPr>
              <w:t>17.127</w:t>
            </w:r>
          </w:p>
        </w:tc>
        <w:tc>
          <w:tcPr>
            <w:tcW w:w="661" w:type="pct"/>
            <w:tcBorders>
              <w:top w:val="nil"/>
              <w:left w:val="nil"/>
              <w:bottom w:val="single" w:sz="4" w:space="0" w:color="FFFFFF"/>
              <w:right w:val="nil"/>
            </w:tcBorders>
            <w:shd w:val="clear" w:color="000000" w:fill="005CA9"/>
            <w:noWrap/>
            <w:vAlign w:val="center"/>
            <w:hideMark/>
          </w:tcPr>
          <w:p w14:paraId="101BEC4C" w14:textId="77777777" w:rsidR="005B2D40" w:rsidRDefault="005B2D40">
            <w:pPr>
              <w:jc w:val="right"/>
              <w:rPr>
                <w:rFonts w:ascii="CAIXA Std Book" w:hAnsi="CAIXA Std Book" w:cs="Calibri"/>
                <w:b/>
                <w:bCs/>
                <w:color w:val="FFFFFF"/>
                <w:sz w:val="18"/>
                <w:szCs w:val="18"/>
              </w:rPr>
            </w:pPr>
            <w:r>
              <w:rPr>
                <w:rFonts w:ascii="CAIXA Std Book" w:hAnsi="CAIXA Std Book" w:cs="Calibri"/>
                <w:b/>
                <w:bCs/>
                <w:color w:val="FFFFFF"/>
                <w:sz w:val="18"/>
                <w:szCs w:val="18"/>
              </w:rPr>
              <w:t>(69.808)</w:t>
            </w:r>
          </w:p>
        </w:tc>
        <w:tc>
          <w:tcPr>
            <w:tcW w:w="662" w:type="pct"/>
            <w:tcBorders>
              <w:top w:val="nil"/>
              <w:left w:val="nil"/>
              <w:bottom w:val="single" w:sz="4" w:space="0" w:color="FFFFFF"/>
              <w:right w:val="nil"/>
            </w:tcBorders>
            <w:shd w:val="clear" w:color="000000" w:fill="005CA9"/>
            <w:noWrap/>
            <w:vAlign w:val="center"/>
            <w:hideMark/>
          </w:tcPr>
          <w:p w14:paraId="1A44C72D" w14:textId="77777777" w:rsidR="005B2D40" w:rsidRDefault="005B2D40">
            <w:pPr>
              <w:jc w:val="right"/>
              <w:rPr>
                <w:rFonts w:ascii="CAIXA Std Book" w:hAnsi="CAIXA Std Book" w:cs="Calibri"/>
                <w:b/>
                <w:bCs/>
                <w:color w:val="FFFFFF"/>
                <w:sz w:val="18"/>
                <w:szCs w:val="18"/>
              </w:rPr>
            </w:pPr>
            <w:r>
              <w:rPr>
                <w:rFonts w:ascii="CAIXA Std Book" w:hAnsi="CAIXA Std Book" w:cs="Calibri"/>
                <w:b/>
                <w:bCs/>
                <w:color w:val="FFFFFF"/>
                <w:sz w:val="18"/>
                <w:szCs w:val="18"/>
              </w:rPr>
              <w:t>17.127</w:t>
            </w:r>
          </w:p>
        </w:tc>
      </w:tr>
    </w:tbl>
    <w:p w14:paraId="5619CF95" w14:textId="4DC509AA" w:rsidR="000D1F9B" w:rsidRPr="00913AFA" w:rsidRDefault="000D1F9B" w:rsidP="009C1717">
      <w:pPr>
        <w:jc w:val="both"/>
        <w:rPr>
          <w:rFonts w:ascii="CAIXA Std Book" w:eastAsia="Times New Roman" w:hAnsi="CAIXA Std Book" w:cs="Calibri"/>
          <w:color w:val="005CA9"/>
          <w:sz w:val="16"/>
          <w:szCs w:val="16"/>
        </w:rPr>
      </w:pPr>
      <w:r w:rsidRPr="00913AFA">
        <w:rPr>
          <w:rFonts w:ascii="CAIXA Std Book" w:eastAsia="Times New Roman" w:hAnsi="CAIXA Std Book" w:cs="Calibri"/>
          <w:color w:val="005CA9"/>
          <w:sz w:val="16"/>
          <w:szCs w:val="16"/>
        </w:rPr>
        <w:t>(1) Inclui despesas relativas à manutenção, avaliação ou distrato de ativos mantidos para venda (AMV), no montante de R$127.320</w:t>
      </w:r>
      <w:r w:rsidR="00A00BE5" w:rsidRPr="00913AFA">
        <w:rPr>
          <w:rFonts w:ascii="CAIXA Std Book" w:eastAsia="Times New Roman" w:hAnsi="CAIXA Std Book" w:cs="Calibri"/>
          <w:color w:val="005CA9"/>
          <w:sz w:val="16"/>
          <w:szCs w:val="16"/>
        </w:rPr>
        <w:t xml:space="preserve"> (</w:t>
      </w:r>
      <w:r w:rsidR="00366090">
        <w:rPr>
          <w:rFonts w:ascii="CAIXA Std Book" w:eastAsia="Times New Roman" w:hAnsi="CAIXA Std Book" w:cs="Calibri"/>
          <w:color w:val="005CA9"/>
          <w:sz w:val="16"/>
          <w:szCs w:val="16"/>
        </w:rPr>
        <w:t xml:space="preserve">1º trimestre de </w:t>
      </w:r>
      <w:r w:rsidR="00A00BE5" w:rsidRPr="00913AFA">
        <w:rPr>
          <w:rFonts w:ascii="CAIXA Std Book" w:eastAsia="Times New Roman" w:hAnsi="CAIXA Std Book" w:cs="Calibri"/>
          <w:color w:val="005CA9"/>
          <w:sz w:val="16"/>
          <w:szCs w:val="16"/>
        </w:rPr>
        <w:t xml:space="preserve">2025 </w:t>
      </w:r>
      <w:r w:rsidR="00D318E9">
        <w:rPr>
          <w:rFonts w:ascii="CAIXA Std Book" w:eastAsia="Times New Roman" w:hAnsi="CAIXA Std Book" w:cs="Calibri"/>
          <w:color w:val="005CA9"/>
          <w:sz w:val="16"/>
          <w:szCs w:val="16"/>
        </w:rPr>
        <w:t>–</w:t>
      </w:r>
      <w:r w:rsidR="00D66852">
        <w:rPr>
          <w:rFonts w:ascii="CAIXA Std Book" w:eastAsia="Times New Roman" w:hAnsi="CAIXA Std Book" w:cs="Calibri"/>
          <w:color w:val="005CA9"/>
          <w:sz w:val="16"/>
          <w:szCs w:val="16"/>
        </w:rPr>
        <w:t xml:space="preserve"> </w:t>
      </w:r>
      <w:r w:rsidR="00A00BE5" w:rsidRPr="00913AFA">
        <w:rPr>
          <w:rFonts w:ascii="CAIXA Std Book" w:eastAsia="Times New Roman" w:hAnsi="CAIXA Std Book" w:cs="Calibri"/>
          <w:color w:val="005CA9"/>
          <w:sz w:val="16"/>
          <w:szCs w:val="16"/>
        </w:rPr>
        <w:t xml:space="preserve">R$ </w:t>
      </w:r>
      <w:r w:rsidR="00073978" w:rsidRPr="00073978">
        <w:rPr>
          <w:rFonts w:ascii="CAIXA Std Book" w:eastAsia="Times New Roman" w:hAnsi="CAIXA Std Book" w:cs="Calibri"/>
          <w:color w:val="005CA9"/>
          <w:sz w:val="16"/>
          <w:szCs w:val="16"/>
        </w:rPr>
        <w:t>226.982</w:t>
      </w:r>
      <w:r w:rsidR="00A00BE5" w:rsidRPr="00913AFA">
        <w:rPr>
          <w:rFonts w:ascii="CAIXA Std Book" w:eastAsia="Times New Roman" w:hAnsi="CAIXA Std Book" w:cs="Calibri"/>
          <w:color w:val="005CA9"/>
          <w:sz w:val="16"/>
          <w:szCs w:val="16"/>
        </w:rPr>
        <w:t>)</w:t>
      </w:r>
      <w:r w:rsidRPr="00913AFA">
        <w:rPr>
          <w:rFonts w:ascii="CAIXA Std Book" w:eastAsia="Times New Roman" w:hAnsi="CAIXA Std Book" w:cs="Calibri"/>
          <w:color w:val="005CA9"/>
          <w:sz w:val="16"/>
          <w:szCs w:val="16"/>
        </w:rPr>
        <w:t>.</w:t>
      </w:r>
    </w:p>
    <w:p w14:paraId="268D9B2B" w14:textId="231E510A" w:rsidR="00D94989" w:rsidRDefault="00D94989">
      <w:pPr>
        <w:rPr>
          <w:rFonts w:ascii="CAIXA Std Book" w:hAnsi="CAIXA Std Book"/>
          <w:b/>
          <w:color w:val="005CA9"/>
        </w:rPr>
      </w:pPr>
      <w:r>
        <w:br w:type="page"/>
      </w:r>
    </w:p>
    <w:p w14:paraId="6A5BDFF7" w14:textId="7A6F9AAB" w:rsidR="005A7588" w:rsidRPr="00E95E29" w:rsidRDefault="005A7588" w:rsidP="00B735D2">
      <w:pPr>
        <w:pStyle w:val="Ttulo1"/>
      </w:pPr>
      <w:bookmarkStart w:id="158" w:name="_Toc217914358"/>
      <w:bookmarkStart w:id="159" w:name="_Toc229588508"/>
      <w:r w:rsidRPr="00E95E29">
        <w:t>Nota   3</w:t>
      </w:r>
      <w:r w:rsidR="00EF04CD">
        <w:t>2</w:t>
      </w:r>
      <w:r w:rsidRPr="00E95E29">
        <w:t xml:space="preserve"> – </w:t>
      </w:r>
      <w:r w:rsidR="00C919EA" w:rsidRPr="00E95E29">
        <w:t xml:space="preserve">Partes </w:t>
      </w:r>
      <w:r w:rsidR="003173AD">
        <w:t>r</w:t>
      </w:r>
      <w:r w:rsidR="00C919EA" w:rsidRPr="00E95E29">
        <w:t>elacionadas</w:t>
      </w:r>
      <w:bookmarkEnd w:id="158"/>
      <w:bookmarkEnd w:id="159"/>
    </w:p>
    <w:p w14:paraId="602E132C" w14:textId="6E919FA4" w:rsidR="006E5B2B" w:rsidRPr="00DD31F0" w:rsidRDefault="006E5B2B" w:rsidP="00F50163">
      <w:pPr>
        <w:pStyle w:val="wordsection1"/>
        <w:spacing w:before="120" w:beforeAutospacing="0" w:after="120" w:afterAutospacing="0"/>
        <w:jc w:val="both"/>
        <w:rPr>
          <w:rFonts w:ascii="CAIXA Std Book" w:hAnsi="CAIXA Std Book" w:cs="Cambria Math"/>
          <w:color w:val="005CA9"/>
          <w:sz w:val="19"/>
          <w:szCs w:val="19"/>
        </w:rPr>
      </w:pPr>
      <w:bookmarkStart w:id="160" w:name="_Hlk65762986"/>
      <w:r w:rsidRPr="00DD31F0">
        <w:rPr>
          <w:rFonts w:ascii="CAIXA Std Book" w:hAnsi="CAIXA Std Book" w:cs="Cambria Math"/>
          <w:color w:val="005CA9"/>
          <w:sz w:val="19"/>
          <w:szCs w:val="19"/>
        </w:rPr>
        <w:t>As transações com partes relacionadas são realizadas no curso das atividades operacionais da CAIXA</w:t>
      </w:r>
      <w:r w:rsidR="00835891" w:rsidRPr="00DD31F0">
        <w:rPr>
          <w:rFonts w:ascii="CAIXA Std Book" w:hAnsi="CAIXA Std Book" w:cs="Cambria Math"/>
          <w:color w:val="005CA9"/>
          <w:sz w:val="19"/>
          <w:szCs w:val="19"/>
        </w:rPr>
        <w:br/>
      </w:r>
      <w:r w:rsidRPr="00DD31F0">
        <w:rPr>
          <w:rFonts w:ascii="CAIXA Std Book" w:hAnsi="CAIXA Std Book" w:cs="Cambria Math"/>
          <w:color w:val="005CA9"/>
          <w:sz w:val="19"/>
          <w:szCs w:val="19"/>
        </w:rPr>
        <w:t xml:space="preserve"> e de suas atribuições estabelecidas em regulamentação específica.</w:t>
      </w:r>
    </w:p>
    <w:p w14:paraId="62A27B24" w14:textId="77777777" w:rsidR="006E5B2B" w:rsidRPr="00DD31F0" w:rsidRDefault="006E5B2B" w:rsidP="00F50163">
      <w:pPr>
        <w:pStyle w:val="wordsection1"/>
        <w:spacing w:before="120" w:beforeAutospacing="0" w:after="120" w:afterAutospacing="0"/>
        <w:jc w:val="both"/>
        <w:rPr>
          <w:rFonts w:ascii="CAIXA Std Book" w:hAnsi="CAIXA Std Book" w:cs="Cambria Math"/>
          <w:color w:val="005CA9"/>
          <w:sz w:val="19"/>
          <w:szCs w:val="19"/>
        </w:rPr>
      </w:pPr>
      <w:r w:rsidRPr="00DD31F0">
        <w:rPr>
          <w:rFonts w:ascii="CAIXA Std Book" w:hAnsi="CAIXA Std Book" w:cs="Cambria Math"/>
          <w:color w:val="005CA9"/>
          <w:sz w:val="19"/>
          <w:szCs w:val="19"/>
        </w:rPr>
        <w:t>O Código de Conduta dos Empregados e Dirigentes da CAIXA veda aos seus empregados e dirigentes estabelecer relações comerciais ou profissionais, diretamente ou por terceiros, com seus controladores e empresas do mesmo grupo econômico.</w:t>
      </w:r>
    </w:p>
    <w:p w14:paraId="0E5AED19" w14:textId="77777777" w:rsidR="006E5B2B" w:rsidRPr="00DD31F0" w:rsidRDefault="006E5B2B" w:rsidP="00F50163">
      <w:pPr>
        <w:spacing w:before="120" w:after="120"/>
        <w:jc w:val="both"/>
        <w:rPr>
          <w:rFonts w:ascii="CAIXA Std Book" w:hAnsi="CAIXA Std Book"/>
          <w:color w:val="005CA9"/>
          <w:sz w:val="19"/>
          <w:szCs w:val="19"/>
        </w:rPr>
      </w:pPr>
      <w:r w:rsidRPr="00DD31F0">
        <w:rPr>
          <w:rFonts w:ascii="CAIXA Std Book" w:hAnsi="CAIXA Std Book"/>
          <w:color w:val="005CA9"/>
          <w:sz w:val="19"/>
          <w:szCs w:val="19"/>
        </w:rPr>
        <w:t>De acordo com legislação vigente, no que se aplica à CAIXA como empresa pública e suas partes relacionadas, é permitida a realização de operações nas mesmas condições às apresentadas ao mercado, especialmente quanto a limites, taxas de juros, carência, prazos, garantias, bem como critérios para classificação de risco para fins de constituição de provisão para perdas e baixas para prejuízo, não existindo benefícios adicionais ou diferenciados comparativamente às operações realizadas com os demais clientes de mesmo perfil na empresa.</w:t>
      </w:r>
    </w:p>
    <w:p w14:paraId="51468377" w14:textId="77777777" w:rsidR="006E5B2B" w:rsidRPr="00DD31F0" w:rsidRDefault="006E5B2B" w:rsidP="00295657">
      <w:pPr>
        <w:pStyle w:val="wordsection1"/>
        <w:numPr>
          <w:ilvl w:val="0"/>
          <w:numId w:val="33"/>
        </w:numPr>
        <w:autoSpaceDE w:val="0"/>
        <w:autoSpaceDN w:val="0"/>
        <w:adjustRightInd w:val="0"/>
        <w:spacing w:before="240" w:beforeAutospacing="0" w:after="120" w:afterAutospacing="0"/>
        <w:ind w:left="567" w:right="142" w:hanging="567"/>
        <w:jc w:val="both"/>
        <w:rPr>
          <w:rFonts w:ascii="CAIXA Std Book" w:eastAsia="Yu Mincho Light" w:hAnsi="CAIXA Std Book" w:cs="Cambria Math"/>
          <w:b/>
          <w:color w:val="005CA9"/>
          <w:sz w:val="19"/>
          <w:szCs w:val="19"/>
        </w:rPr>
      </w:pPr>
      <w:r w:rsidRPr="00DD31F0">
        <w:rPr>
          <w:rFonts w:ascii="CAIXA Std Book" w:hAnsi="CAIXA Std Book" w:cs="Cambria Math"/>
          <w:b/>
          <w:color w:val="005CA9"/>
          <w:sz w:val="19"/>
          <w:szCs w:val="19"/>
        </w:rPr>
        <w:t>Controladora</w:t>
      </w:r>
    </w:p>
    <w:p w14:paraId="192E4C97" w14:textId="370BF903" w:rsidR="006E5B2B" w:rsidRPr="00DD31F0" w:rsidRDefault="006E5B2B" w:rsidP="00F50163">
      <w:pPr>
        <w:pStyle w:val="wordsection1"/>
        <w:spacing w:before="120" w:beforeAutospacing="0" w:after="120" w:afterAutospacing="0"/>
        <w:jc w:val="both"/>
        <w:rPr>
          <w:rFonts w:ascii="CAIXA Std Book" w:hAnsi="CAIXA Std Book" w:cs="Cambria Math"/>
          <w:color w:val="005CA9"/>
          <w:sz w:val="19"/>
          <w:szCs w:val="19"/>
        </w:rPr>
      </w:pPr>
      <w:r w:rsidRPr="00DD31F0">
        <w:rPr>
          <w:rFonts w:ascii="CAIXA Std Book" w:hAnsi="CAIXA Std Book" w:cs="Cambria Math"/>
          <w:color w:val="005CA9"/>
          <w:sz w:val="19"/>
          <w:szCs w:val="19"/>
        </w:rPr>
        <w:t>Os saldos com a controladora estão representados pelas transações com a União, seus respectivos ministérios, autarquias, secretarias de governo</w:t>
      </w:r>
      <w:r w:rsidR="00850914" w:rsidRPr="00DD31F0">
        <w:rPr>
          <w:rFonts w:ascii="CAIXA Std Book" w:hAnsi="CAIXA Std Book" w:cs="Cambria Math"/>
          <w:color w:val="005CA9"/>
          <w:sz w:val="19"/>
          <w:szCs w:val="19"/>
        </w:rPr>
        <w:t xml:space="preserve"> </w:t>
      </w:r>
      <w:r w:rsidRPr="00DD31F0">
        <w:rPr>
          <w:rFonts w:ascii="CAIXA Std Book" w:hAnsi="CAIXA Std Book" w:cs="Cambria Math"/>
          <w:color w:val="005CA9"/>
          <w:sz w:val="19"/>
          <w:szCs w:val="19"/>
        </w:rPr>
        <w:t>e demais órgãos.</w:t>
      </w:r>
    </w:p>
    <w:p w14:paraId="470C562C" w14:textId="77777777" w:rsidR="000D7009" w:rsidRPr="00DD31F0" w:rsidRDefault="006E5B2B" w:rsidP="00295657">
      <w:pPr>
        <w:pStyle w:val="wordsection1"/>
        <w:numPr>
          <w:ilvl w:val="0"/>
          <w:numId w:val="33"/>
        </w:numPr>
        <w:autoSpaceDE w:val="0"/>
        <w:autoSpaceDN w:val="0"/>
        <w:adjustRightInd w:val="0"/>
        <w:spacing w:before="240" w:beforeAutospacing="0" w:after="120" w:afterAutospacing="0"/>
        <w:ind w:left="567" w:right="142" w:hanging="567"/>
        <w:jc w:val="both"/>
        <w:rPr>
          <w:rFonts w:ascii="CAIXA Std Book" w:hAnsi="CAIXA Std Book" w:cs="Cambria Math"/>
          <w:b/>
          <w:color w:val="005CA9"/>
          <w:sz w:val="19"/>
          <w:szCs w:val="19"/>
        </w:rPr>
      </w:pPr>
      <w:r w:rsidRPr="00DD31F0">
        <w:rPr>
          <w:rFonts w:ascii="CAIXA Std Book" w:hAnsi="CAIXA Std Book" w:cs="Cambria Math"/>
          <w:b/>
          <w:color w:val="005CA9"/>
          <w:sz w:val="19"/>
          <w:szCs w:val="19"/>
        </w:rPr>
        <w:t xml:space="preserve">Controladas </w:t>
      </w:r>
    </w:p>
    <w:p w14:paraId="3297EB98" w14:textId="315A7E8A" w:rsidR="006E5B2B" w:rsidRPr="00DD31F0" w:rsidRDefault="006E5B2B" w:rsidP="00F50163">
      <w:pPr>
        <w:pStyle w:val="wordsection1"/>
        <w:spacing w:before="120" w:beforeAutospacing="0" w:after="120" w:afterAutospacing="0"/>
        <w:jc w:val="both"/>
        <w:rPr>
          <w:rFonts w:ascii="CAIXA Std Book" w:hAnsi="CAIXA Std Book" w:cs="Cambria Math"/>
          <w:b/>
          <w:color w:val="005CA9"/>
          <w:sz w:val="19"/>
          <w:szCs w:val="19"/>
        </w:rPr>
      </w:pPr>
      <w:r w:rsidRPr="00DD31F0">
        <w:rPr>
          <w:rFonts w:ascii="CAIXA Std Book" w:hAnsi="CAIXA Std Book" w:cs="Cambria Math"/>
          <w:color w:val="005CA9"/>
          <w:sz w:val="19"/>
          <w:szCs w:val="19"/>
        </w:rPr>
        <w:t>Em consonância com sua estratégia, a CAIXA realiza negócios através de suas subsidiárias</w:t>
      </w:r>
      <w:r w:rsidR="00FF53B2" w:rsidRPr="00DD31F0">
        <w:rPr>
          <w:rFonts w:ascii="CAIXA Std Book" w:hAnsi="CAIXA Std Book" w:cs="Cambria Math"/>
          <w:color w:val="005CA9"/>
          <w:sz w:val="19"/>
          <w:szCs w:val="19"/>
        </w:rPr>
        <w:t xml:space="preserve"> </w:t>
      </w:r>
      <w:r w:rsidRPr="00DD31F0">
        <w:rPr>
          <w:rFonts w:ascii="CAIXA Std Book" w:hAnsi="CAIXA Std Book" w:cs="Cambria Math"/>
          <w:color w:val="005CA9"/>
          <w:sz w:val="19"/>
          <w:szCs w:val="19"/>
        </w:rPr>
        <w:t xml:space="preserve">Caixa Seguridade, </w:t>
      </w:r>
      <w:r w:rsidRPr="00DD31F0">
        <w:rPr>
          <w:rFonts w:ascii="CAIXA Std Book" w:eastAsia="Futura Lt BT" w:hAnsi="CAIXA Std Book" w:cs="Futura Lt BT"/>
          <w:color w:val="005CA9"/>
          <w:sz w:val="19"/>
          <w:szCs w:val="19"/>
        </w:rPr>
        <w:t>Caixa</w:t>
      </w:r>
      <w:r w:rsidRPr="00DD31F0">
        <w:rPr>
          <w:rFonts w:ascii="CAIXA Std Book" w:hAnsi="CAIXA Std Book" w:cs="Cambria Math"/>
          <w:color w:val="005CA9"/>
          <w:sz w:val="19"/>
          <w:szCs w:val="19"/>
        </w:rPr>
        <w:t xml:space="preserve"> Cartões, </w:t>
      </w:r>
      <w:r w:rsidRPr="00DD31F0">
        <w:rPr>
          <w:rFonts w:ascii="CAIXA Std Book" w:eastAsia="Futura Lt BT" w:hAnsi="CAIXA Std Book" w:cs="Futura Lt BT"/>
          <w:color w:val="005CA9"/>
          <w:sz w:val="19"/>
          <w:szCs w:val="19"/>
        </w:rPr>
        <w:t>Caixa</w:t>
      </w:r>
      <w:r w:rsidRPr="00DD31F0">
        <w:rPr>
          <w:rFonts w:ascii="CAIXA Std Book" w:hAnsi="CAIXA Std Book" w:cs="Cambria Math"/>
          <w:color w:val="005CA9"/>
          <w:sz w:val="19"/>
          <w:szCs w:val="19"/>
        </w:rPr>
        <w:t xml:space="preserve"> Loterias e </w:t>
      </w:r>
      <w:r w:rsidRPr="00DD31F0">
        <w:rPr>
          <w:rFonts w:ascii="CAIXA Std Book" w:eastAsia="Futura Lt BT" w:hAnsi="CAIXA Std Book" w:cs="Futura Lt BT"/>
          <w:color w:val="005CA9"/>
          <w:sz w:val="19"/>
          <w:szCs w:val="19"/>
        </w:rPr>
        <w:t>Caixa</w:t>
      </w:r>
      <w:r w:rsidRPr="00DD31F0">
        <w:rPr>
          <w:rFonts w:ascii="CAIXA Std Book" w:hAnsi="CAIXA Std Book" w:cs="Cambria Math"/>
          <w:color w:val="005CA9"/>
          <w:sz w:val="19"/>
          <w:szCs w:val="19"/>
        </w:rPr>
        <w:t xml:space="preserve"> </w:t>
      </w:r>
      <w:r w:rsidRPr="00DD31F0">
        <w:rPr>
          <w:rFonts w:ascii="CAIXA Std Book" w:hAnsi="CAIXA Std Book" w:cs="Cambria Math"/>
          <w:i/>
          <w:color w:val="005CA9"/>
          <w:sz w:val="19"/>
          <w:szCs w:val="19"/>
        </w:rPr>
        <w:t>Asset</w:t>
      </w:r>
      <w:r w:rsidRPr="00DD31F0">
        <w:rPr>
          <w:rFonts w:ascii="CAIXA Std Book" w:hAnsi="CAIXA Std Book" w:cs="Cambria Math"/>
          <w:color w:val="005CA9"/>
          <w:sz w:val="19"/>
          <w:szCs w:val="19"/>
        </w:rPr>
        <w:t>.</w:t>
      </w:r>
    </w:p>
    <w:p w14:paraId="0935F280" w14:textId="564E666C" w:rsidR="006E5B2B" w:rsidRPr="00DD31F0" w:rsidRDefault="006E5B2B" w:rsidP="00295657">
      <w:pPr>
        <w:pStyle w:val="wordsection1"/>
        <w:numPr>
          <w:ilvl w:val="0"/>
          <w:numId w:val="33"/>
        </w:numPr>
        <w:autoSpaceDE w:val="0"/>
        <w:autoSpaceDN w:val="0"/>
        <w:adjustRightInd w:val="0"/>
        <w:spacing w:before="240" w:beforeAutospacing="0" w:after="120" w:afterAutospacing="0"/>
        <w:ind w:left="567" w:right="142" w:hanging="567"/>
        <w:jc w:val="both"/>
        <w:rPr>
          <w:rFonts w:ascii="CAIXA Std Book" w:eastAsia="Yu Mincho Light" w:hAnsi="CAIXA Std Book" w:cs="Cambria Math"/>
          <w:b/>
          <w:color w:val="005CA9"/>
          <w:sz w:val="19"/>
          <w:szCs w:val="19"/>
        </w:rPr>
      </w:pPr>
      <w:r w:rsidRPr="00DD31F0">
        <w:rPr>
          <w:rFonts w:ascii="CAIXA Std Book" w:hAnsi="CAIXA Std Book" w:cs="Cambria Math"/>
          <w:b/>
          <w:color w:val="005CA9"/>
          <w:sz w:val="19"/>
          <w:szCs w:val="19"/>
        </w:rPr>
        <w:t xml:space="preserve">Controladas em </w:t>
      </w:r>
      <w:r w:rsidR="00C82E8F" w:rsidRPr="00DD31F0">
        <w:rPr>
          <w:rFonts w:ascii="CAIXA Std Book" w:hAnsi="CAIXA Std Book" w:cs="Cambria Math"/>
          <w:b/>
          <w:color w:val="005CA9"/>
          <w:sz w:val="19"/>
          <w:szCs w:val="19"/>
        </w:rPr>
        <w:t>c</w:t>
      </w:r>
      <w:r w:rsidRPr="00DD31F0">
        <w:rPr>
          <w:rFonts w:ascii="CAIXA Std Book" w:hAnsi="CAIXA Std Book" w:cs="Cambria Math"/>
          <w:b/>
          <w:color w:val="005CA9"/>
          <w:sz w:val="19"/>
          <w:szCs w:val="19"/>
        </w:rPr>
        <w:t xml:space="preserve">onjunto </w:t>
      </w:r>
    </w:p>
    <w:p w14:paraId="4DADCD71" w14:textId="125C281A" w:rsidR="006E5B2B" w:rsidRPr="00DD31F0" w:rsidRDefault="006E5B2B" w:rsidP="00653264">
      <w:pPr>
        <w:spacing w:before="120" w:after="120"/>
        <w:ind w:right="139"/>
        <w:jc w:val="both"/>
        <w:rPr>
          <w:rFonts w:ascii="CAIXA Std Book" w:hAnsi="CAIXA Std Book" w:cs="Cambria Math"/>
          <w:color w:val="005CA9"/>
          <w:sz w:val="19"/>
          <w:szCs w:val="19"/>
        </w:rPr>
      </w:pPr>
      <w:r w:rsidRPr="00DD31F0">
        <w:rPr>
          <w:rFonts w:ascii="CAIXA Std Book" w:hAnsi="CAIXA Std Book" w:cs="Cambria Math"/>
          <w:color w:val="005CA9"/>
          <w:sz w:val="19"/>
          <w:szCs w:val="19"/>
        </w:rPr>
        <w:t xml:space="preserve">São </w:t>
      </w:r>
      <w:r w:rsidRPr="00DD31F0">
        <w:rPr>
          <w:rFonts w:ascii="CAIXA Std Book" w:eastAsia="Futura Lt BT" w:hAnsi="CAIXA Std Book" w:cs="Futura Lt BT"/>
          <w:color w:val="005CA9"/>
          <w:sz w:val="19"/>
          <w:szCs w:val="19"/>
        </w:rPr>
        <w:t>controladas em conjunto</w:t>
      </w:r>
      <w:r w:rsidR="0014795A" w:rsidRPr="00DD31F0">
        <w:rPr>
          <w:rFonts w:ascii="CAIXA Std Book" w:eastAsia="Futura Lt BT" w:hAnsi="CAIXA Std Book" w:cs="Futura Lt BT"/>
          <w:color w:val="005CA9"/>
          <w:sz w:val="19"/>
          <w:szCs w:val="19"/>
        </w:rPr>
        <w:t xml:space="preserve"> </w:t>
      </w:r>
      <w:r w:rsidRPr="00DD31F0">
        <w:rPr>
          <w:rFonts w:ascii="CAIXA Std Book" w:hAnsi="CAIXA Std Book" w:cs="Cambria Math"/>
          <w:color w:val="005CA9"/>
          <w:sz w:val="19"/>
          <w:szCs w:val="19"/>
        </w:rPr>
        <w:t xml:space="preserve">as entidades nas quais a CAIXA participa </w:t>
      </w:r>
      <w:r w:rsidR="00812B92" w:rsidRPr="00DD31F0">
        <w:rPr>
          <w:rFonts w:ascii="CAIXA Std Book" w:hAnsi="CAIXA Std Book" w:cs="Cambria Math"/>
          <w:color w:val="005CA9"/>
          <w:sz w:val="19"/>
          <w:szCs w:val="19"/>
        </w:rPr>
        <w:t>indiretamente</w:t>
      </w:r>
      <w:r w:rsidRPr="00DD31F0">
        <w:rPr>
          <w:rFonts w:ascii="CAIXA Std Book" w:hAnsi="CAIXA Std Book" w:cs="Cambria Math"/>
          <w:color w:val="005CA9"/>
          <w:sz w:val="19"/>
          <w:szCs w:val="19"/>
        </w:rPr>
        <w:t xml:space="preserve">, por meio de suas controladas </w:t>
      </w:r>
      <w:r w:rsidRPr="00DD31F0">
        <w:rPr>
          <w:rFonts w:ascii="CAIXA Std Book" w:eastAsia="Futura Lt BT" w:hAnsi="CAIXA Std Book" w:cs="Futura Lt BT"/>
          <w:color w:val="005CA9"/>
          <w:sz w:val="19"/>
          <w:szCs w:val="19"/>
        </w:rPr>
        <w:t>Caixa</w:t>
      </w:r>
      <w:r w:rsidRPr="00DD31F0">
        <w:rPr>
          <w:rFonts w:ascii="CAIXA Std Book" w:hAnsi="CAIXA Std Book" w:cs="Cambria Math"/>
          <w:color w:val="005CA9"/>
          <w:sz w:val="19"/>
          <w:szCs w:val="19"/>
        </w:rPr>
        <w:t xml:space="preserve"> Seguridade e </w:t>
      </w:r>
      <w:r w:rsidRPr="00DD31F0">
        <w:rPr>
          <w:rFonts w:ascii="CAIXA Std Book" w:eastAsia="Futura Lt BT" w:hAnsi="CAIXA Std Book" w:cs="Futura Lt BT"/>
          <w:color w:val="005CA9"/>
          <w:sz w:val="19"/>
          <w:szCs w:val="19"/>
        </w:rPr>
        <w:t>Caixa</w:t>
      </w:r>
      <w:r w:rsidRPr="00DD31F0">
        <w:rPr>
          <w:rFonts w:ascii="CAIXA Std Book" w:hAnsi="CAIXA Std Book" w:cs="Cambria Math"/>
          <w:color w:val="005CA9"/>
          <w:sz w:val="19"/>
          <w:szCs w:val="19"/>
        </w:rPr>
        <w:t xml:space="preserve"> Cartões.</w:t>
      </w:r>
    </w:p>
    <w:p w14:paraId="1FAF3F32" w14:textId="5932CC6B" w:rsidR="006E5B2B" w:rsidRPr="00DD31F0" w:rsidRDefault="006E5B2B" w:rsidP="00295657">
      <w:pPr>
        <w:pStyle w:val="wordsection1"/>
        <w:numPr>
          <w:ilvl w:val="0"/>
          <w:numId w:val="33"/>
        </w:numPr>
        <w:autoSpaceDE w:val="0"/>
        <w:autoSpaceDN w:val="0"/>
        <w:adjustRightInd w:val="0"/>
        <w:spacing w:before="240" w:beforeAutospacing="0" w:after="120" w:afterAutospacing="0"/>
        <w:ind w:left="567" w:hanging="567"/>
        <w:jc w:val="both"/>
        <w:rPr>
          <w:rFonts w:ascii="CAIXA Std Book" w:eastAsia="Yu Mincho Light" w:hAnsi="CAIXA Std Book" w:cs="Cambria Math"/>
          <w:b/>
          <w:color w:val="005CA9"/>
          <w:sz w:val="19"/>
          <w:szCs w:val="19"/>
        </w:rPr>
      </w:pPr>
      <w:r w:rsidRPr="00DD31F0">
        <w:rPr>
          <w:rFonts w:ascii="CAIXA Std Book" w:hAnsi="CAIXA Std Book" w:cs="Cambria Math"/>
          <w:b/>
          <w:color w:val="005CA9"/>
          <w:sz w:val="19"/>
          <w:szCs w:val="19"/>
        </w:rPr>
        <w:t>Coligadas</w:t>
      </w:r>
    </w:p>
    <w:p w14:paraId="21181E28" w14:textId="139E534F" w:rsidR="006E5B2B" w:rsidRPr="00DD31F0" w:rsidRDefault="006E5B2B" w:rsidP="006E5B2B">
      <w:pPr>
        <w:spacing w:before="120" w:after="120"/>
        <w:ind w:right="139"/>
        <w:jc w:val="both"/>
        <w:rPr>
          <w:rFonts w:ascii="CAIXA Std Book" w:eastAsia="Futura Lt BT" w:hAnsi="CAIXA Std Book" w:cs="Futura Lt BT"/>
          <w:color w:val="005CA9"/>
          <w:sz w:val="19"/>
          <w:szCs w:val="19"/>
        </w:rPr>
      </w:pPr>
      <w:r w:rsidRPr="00DD31F0">
        <w:rPr>
          <w:rFonts w:ascii="CAIXA Std Book" w:eastAsia="Futura Lt BT" w:hAnsi="CAIXA Std Book" w:cs="Futura Lt BT"/>
          <w:color w:val="005CA9"/>
          <w:sz w:val="19"/>
          <w:szCs w:val="19"/>
        </w:rPr>
        <w:t>São coligadas diretas da CAIXA</w:t>
      </w:r>
      <w:r w:rsidR="00DB3CC9" w:rsidRPr="00DD31F0">
        <w:rPr>
          <w:rFonts w:ascii="CAIXA Std Book" w:eastAsia="Futura Lt BT" w:hAnsi="CAIXA Std Book" w:cs="Futura Lt BT"/>
          <w:color w:val="005CA9"/>
          <w:sz w:val="19"/>
          <w:szCs w:val="19"/>
        </w:rPr>
        <w:t>,</w:t>
      </w:r>
      <w:r w:rsidRPr="00DD31F0">
        <w:rPr>
          <w:rFonts w:ascii="CAIXA Std Book" w:eastAsia="Futura Lt BT" w:hAnsi="CAIXA Std Book" w:cs="Futura Lt BT"/>
          <w:color w:val="005CA9"/>
          <w:sz w:val="19"/>
          <w:szCs w:val="19"/>
        </w:rPr>
        <w:t xml:space="preserve"> a Núclea, TecBan e Quod</w:t>
      </w:r>
      <w:r w:rsidR="00484B39" w:rsidRPr="00DD31F0">
        <w:rPr>
          <w:rFonts w:ascii="CAIXA Std Book" w:eastAsia="Futura Lt BT" w:hAnsi="CAIXA Std Book" w:cs="Futura Lt BT"/>
          <w:color w:val="005CA9"/>
          <w:sz w:val="19"/>
          <w:szCs w:val="19"/>
        </w:rPr>
        <w:t xml:space="preserve">, </w:t>
      </w:r>
      <w:r w:rsidR="00653264" w:rsidRPr="00DD31F0">
        <w:rPr>
          <w:rFonts w:ascii="CAIXA Std Book" w:eastAsia="Futura Lt BT" w:hAnsi="CAIXA Std Book" w:cs="Futura Lt BT"/>
          <w:color w:val="005CA9"/>
          <w:sz w:val="19"/>
          <w:szCs w:val="19"/>
        </w:rPr>
        <w:t>bem como as empresas pré-operacionais</w:t>
      </w:r>
      <w:r w:rsidR="00653264" w:rsidRPr="00DD31F0">
        <w:rPr>
          <w:rFonts w:ascii="CAIXA Std Book" w:eastAsia="Futura Lt BT" w:hAnsi="CAIXA Std Book" w:cs="Futura Lt BT"/>
          <w:color w:val="005CA9"/>
          <w:sz w:val="19"/>
          <w:szCs w:val="19"/>
        </w:rPr>
        <w:br/>
        <w:t>Caixa Imóveis e Negócios Digitais</w:t>
      </w:r>
      <w:r w:rsidRPr="00DD31F0">
        <w:rPr>
          <w:rFonts w:ascii="CAIXA Std Book" w:eastAsia="Futura Lt BT" w:hAnsi="CAIXA Std Book" w:cs="Futura Lt BT"/>
          <w:color w:val="005CA9"/>
          <w:sz w:val="19"/>
          <w:szCs w:val="19"/>
        </w:rPr>
        <w:t xml:space="preserve">. </w:t>
      </w:r>
    </w:p>
    <w:p w14:paraId="3549B8D4" w14:textId="49CE8C95" w:rsidR="006E5B2B" w:rsidRPr="00DD31F0" w:rsidRDefault="006E5B2B" w:rsidP="00F50163">
      <w:pPr>
        <w:spacing w:before="120" w:after="120"/>
        <w:jc w:val="both"/>
        <w:rPr>
          <w:rFonts w:ascii="CAIXA Std Book" w:eastAsia="Futura Lt BT" w:hAnsi="CAIXA Std Book" w:cs="Futura Lt BT"/>
          <w:color w:val="005CA9"/>
          <w:sz w:val="19"/>
          <w:szCs w:val="19"/>
        </w:rPr>
      </w:pPr>
      <w:r w:rsidRPr="00DD31F0">
        <w:rPr>
          <w:rFonts w:ascii="CAIXA Std Book" w:eastAsia="Futura Lt BT" w:hAnsi="CAIXA Std Book" w:cs="Futura Lt BT"/>
          <w:color w:val="005CA9"/>
          <w:sz w:val="19"/>
          <w:szCs w:val="19"/>
        </w:rPr>
        <w:t xml:space="preserve">Por meio da Caixa Seguridade, é coligada a CNP Seguros </w:t>
      </w:r>
      <w:r w:rsidRPr="00DD31F0">
        <w:rPr>
          <w:rFonts w:ascii="CAIXA Std Book" w:eastAsia="Futura Lt BT" w:hAnsi="CAIXA Std Book" w:cs="Futura Lt BT"/>
          <w:i/>
          <w:color w:val="005CA9"/>
          <w:sz w:val="19"/>
          <w:szCs w:val="19"/>
        </w:rPr>
        <w:t>Holding</w:t>
      </w:r>
      <w:r w:rsidRPr="00DD31F0">
        <w:rPr>
          <w:rFonts w:ascii="CAIXA Std Book" w:eastAsia="Futura Lt BT" w:hAnsi="CAIXA Std Book" w:cs="Futura Lt BT"/>
          <w:color w:val="005CA9"/>
          <w:sz w:val="19"/>
          <w:szCs w:val="19"/>
        </w:rPr>
        <w:t xml:space="preserve"> Brasil S.A., constituída para viabilizar a participação nas empresas do Grupo CNP Seguros, assim como a companhia </w:t>
      </w:r>
      <w:r w:rsidRPr="00DD31F0">
        <w:rPr>
          <w:rFonts w:ascii="CAIXA Std Book" w:eastAsia="Futura Lt BT" w:hAnsi="CAIXA Std Book" w:cs="Futura Lt BT"/>
          <w:i/>
          <w:color w:val="005CA9"/>
          <w:sz w:val="19"/>
          <w:szCs w:val="19"/>
        </w:rPr>
        <w:t>Holding</w:t>
      </w:r>
      <w:r w:rsidRPr="00DD31F0">
        <w:rPr>
          <w:rFonts w:ascii="CAIXA Std Book" w:eastAsia="Futura Lt BT" w:hAnsi="CAIXA Std Book" w:cs="Futura Lt BT"/>
          <w:color w:val="005CA9"/>
          <w:sz w:val="19"/>
          <w:szCs w:val="19"/>
        </w:rPr>
        <w:t xml:space="preserve"> XS1, que possui a XS2 Vida e Previdência S.A. e a Caixa Vida e Previdência S.A. como subsidiárias integrais. </w:t>
      </w:r>
    </w:p>
    <w:p w14:paraId="68445DC0" w14:textId="0627B915" w:rsidR="006E5B2B" w:rsidRPr="00DD31F0" w:rsidRDefault="006E5B2B" w:rsidP="006E5B2B">
      <w:pPr>
        <w:spacing w:before="120" w:after="120"/>
        <w:ind w:right="139"/>
        <w:jc w:val="both"/>
        <w:rPr>
          <w:rFonts w:ascii="CAIXA Std Book" w:hAnsi="CAIXA Std Book"/>
          <w:color w:val="005CA9"/>
          <w:sz w:val="19"/>
          <w:szCs w:val="19"/>
        </w:rPr>
      </w:pPr>
      <w:r w:rsidRPr="00DD31F0">
        <w:rPr>
          <w:rFonts w:ascii="CAIXA Std Book" w:eastAsia="Futura Lt BT" w:hAnsi="CAIXA Std Book" w:cs="Futura Lt BT"/>
          <w:color w:val="005CA9"/>
          <w:sz w:val="19"/>
          <w:szCs w:val="19"/>
        </w:rPr>
        <w:t>A CAIXA mantém transações diversas com a Caixa Seguridade, incluindo suas investidas</w:t>
      </w:r>
      <w:r w:rsidRPr="00DD31F0">
        <w:rPr>
          <w:rFonts w:ascii="CAIXA Std Book" w:hAnsi="CAIXA Std Book"/>
          <w:color w:val="005CA9"/>
          <w:sz w:val="19"/>
          <w:szCs w:val="19"/>
        </w:rPr>
        <w:t>.</w:t>
      </w:r>
    </w:p>
    <w:p w14:paraId="21CD8C8F" w14:textId="3991FB32" w:rsidR="006E5B2B" w:rsidRPr="00DD31F0" w:rsidRDefault="006E5B2B" w:rsidP="00295657">
      <w:pPr>
        <w:pStyle w:val="wordsection1"/>
        <w:numPr>
          <w:ilvl w:val="0"/>
          <w:numId w:val="33"/>
        </w:numPr>
        <w:spacing w:before="240" w:beforeAutospacing="0" w:after="120" w:afterAutospacing="0"/>
        <w:ind w:left="567" w:right="142" w:hanging="567"/>
        <w:jc w:val="both"/>
        <w:rPr>
          <w:rFonts w:ascii="CAIXA Std Book" w:eastAsia="Yu Mincho Light" w:hAnsi="CAIXA Std Book" w:cs="Cambria Math"/>
          <w:b/>
          <w:color w:val="005CA9"/>
          <w:sz w:val="19"/>
          <w:szCs w:val="19"/>
        </w:rPr>
      </w:pPr>
      <w:r w:rsidRPr="00DD31F0">
        <w:rPr>
          <w:rFonts w:ascii="CAIXA Std Book" w:hAnsi="CAIXA Std Book" w:cs="Cambria Math"/>
          <w:b/>
          <w:color w:val="005CA9"/>
          <w:sz w:val="19"/>
          <w:szCs w:val="19"/>
        </w:rPr>
        <w:t>Pessoal</w:t>
      </w:r>
      <w:r w:rsidR="0095595B" w:rsidRPr="00DD31F0">
        <w:rPr>
          <w:rFonts w:ascii="CAIXA Std Book" w:hAnsi="CAIXA Std Book" w:cs="Cambria Math"/>
          <w:b/>
          <w:color w:val="005CA9"/>
          <w:sz w:val="19"/>
          <w:szCs w:val="19"/>
        </w:rPr>
        <w:t>-</w:t>
      </w:r>
      <w:r w:rsidR="00A33D12" w:rsidRPr="00DD31F0">
        <w:rPr>
          <w:rFonts w:ascii="CAIXA Std Book" w:hAnsi="CAIXA Std Book" w:cs="Cambria Math"/>
          <w:b/>
          <w:color w:val="005CA9"/>
          <w:sz w:val="19"/>
          <w:szCs w:val="19"/>
        </w:rPr>
        <w:t>c</w:t>
      </w:r>
      <w:r w:rsidRPr="00DD31F0">
        <w:rPr>
          <w:rFonts w:ascii="CAIXA Std Book" w:hAnsi="CAIXA Std Book" w:cs="Cambria Math"/>
          <w:b/>
          <w:color w:val="005CA9"/>
          <w:sz w:val="19"/>
          <w:szCs w:val="19"/>
        </w:rPr>
        <w:t xml:space="preserve">have da </w:t>
      </w:r>
      <w:r w:rsidR="005D2E73" w:rsidRPr="00DD31F0">
        <w:rPr>
          <w:rFonts w:ascii="CAIXA Std Book" w:hAnsi="CAIXA Std Book" w:cs="Cambria Math"/>
          <w:b/>
          <w:color w:val="005CA9"/>
          <w:sz w:val="19"/>
          <w:szCs w:val="19"/>
        </w:rPr>
        <w:t>A</w:t>
      </w:r>
      <w:r w:rsidRPr="00DD31F0">
        <w:rPr>
          <w:rFonts w:ascii="CAIXA Std Book" w:hAnsi="CAIXA Std Book" w:cs="Cambria Math"/>
          <w:b/>
          <w:color w:val="005CA9"/>
          <w:sz w:val="19"/>
          <w:szCs w:val="19"/>
        </w:rPr>
        <w:t>dministração</w:t>
      </w:r>
    </w:p>
    <w:p w14:paraId="6595FC73" w14:textId="1F96EB60" w:rsidR="006E5B2B" w:rsidRPr="00DD31F0" w:rsidRDefault="00463591" w:rsidP="00F50163">
      <w:pPr>
        <w:spacing w:before="120" w:after="120"/>
        <w:jc w:val="both"/>
        <w:rPr>
          <w:rFonts w:ascii="CAIXA Std Book" w:hAnsi="CAIXA Std Book" w:cs="Cambria Math"/>
          <w:color w:val="005CA9"/>
          <w:sz w:val="19"/>
          <w:szCs w:val="19"/>
        </w:rPr>
      </w:pPr>
      <w:r w:rsidRPr="00DD31F0">
        <w:rPr>
          <w:rFonts w:ascii="CAIXA Std Book" w:eastAsiaTheme="minorHAnsi" w:hAnsi="CAIXA Std Book" w:cs="Cambria Math"/>
          <w:color w:val="005CA9"/>
          <w:sz w:val="19"/>
          <w:szCs w:val="19"/>
        </w:rPr>
        <w:t>Composto pelos</w:t>
      </w:r>
      <w:r w:rsidR="006E5B2B" w:rsidRPr="00DD31F0">
        <w:rPr>
          <w:rFonts w:ascii="CAIXA Std Book" w:eastAsiaTheme="minorHAnsi" w:hAnsi="CAIXA Std Book" w:cs="Cambria Math"/>
          <w:color w:val="005CA9"/>
          <w:sz w:val="19"/>
          <w:szCs w:val="19"/>
        </w:rPr>
        <w:t xml:space="preserve"> membros </w:t>
      </w:r>
      <w:r w:rsidR="00D36B1A" w:rsidRPr="00DD31F0">
        <w:rPr>
          <w:rFonts w:ascii="CAIXA Std Book" w:eastAsiaTheme="minorHAnsi" w:hAnsi="CAIXA Std Book" w:cs="Cambria Math"/>
          <w:color w:val="005CA9"/>
          <w:sz w:val="19"/>
          <w:szCs w:val="19"/>
        </w:rPr>
        <w:t xml:space="preserve">da Diretoria Executiva, </w:t>
      </w:r>
      <w:r w:rsidR="006E5B2B" w:rsidRPr="00DD31F0">
        <w:rPr>
          <w:rFonts w:ascii="CAIXA Std Book" w:eastAsiaTheme="minorHAnsi" w:hAnsi="CAIXA Std Book" w:cs="Cambria Math"/>
          <w:color w:val="005CA9"/>
          <w:sz w:val="19"/>
          <w:szCs w:val="19"/>
        </w:rPr>
        <w:t>do Conselho de Administração, do Conselho Fiscal</w:t>
      </w:r>
      <w:r w:rsidR="009E5F44" w:rsidRPr="00DD31F0">
        <w:rPr>
          <w:rFonts w:ascii="CAIXA Std Book" w:eastAsiaTheme="minorHAnsi" w:hAnsi="CAIXA Std Book" w:cs="Cambria Math"/>
          <w:color w:val="005CA9"/>
          <w:sz w:val="19"/>
          <w:szCs w:val="19"/>
        </w:rPr>
        <w:t xml:space="preserve"> e</w:t>
      </w:r>
      <w:r w:rsidR="006E5B2B" w:rsidRPr="00DD31F0">
        <w:rPr>
          <w:rFonts w:ascii="CAIXA Std Book" w:eastAsiaTheme="minorHAnsi" w:hAnsi="CAIXA Std Book" w:cs="Cambria Math"/>
          <w:color w:val="005CA9"/>
          <w:sz w:val="19"/>
          <w:szCs w:val="19"/>
        </w:rPr>
        <w:t xml:space="preserve"> dos demais órgãos estatutários da CAIXA</w:t>
      </w:r>
      <w:r w:rsidR="00591CDD" w:rsidRPr="00DD31F0">
        <w:rPr>
          <w:rFonts w:ascii="CAIXA Std Book" w:eastAsiaTheme="minorHAnsi" w:hAnsi="CAIXA Std Book" w:cs="Cambria Math"/>
          <w:color w:val="005CA9"/>
          <w:sz w:val="19"/>
          <w:szCs w:val="19"/>
        </w:rPr>
        <w:t xml:space="preserve"> e </w:t>
      </w:r>
      <w:r w:rsidR="00AB664B" w:rsidRPr="00DD31F0">
        <w:rPr>
          <w:rFonts w:ascii="CAIXA Std Book" w:eastAsiaTheme="minorHAnsi" w:hAnsi="CAIXA Std Book" w:cs="Cambria Math"/>
          <w:color w:val="005CA9"/>
          <w:sz w:val="19"/>
          <w:szCs w:val="19"/>
        </w:rPr>
        <w:t>S</w:t>
      </w:r>
      <w:r w:rsidR="00591CDD" w:rsidRPr="00DD31F0">
        <w:rPr>
          <w:rFonts w:ascii="CAIXA Std Book" w:eastAsiaTheme="minorHAnsi" w:hAnsi="CAIXA Std Book" w:cs="Cambria Math"/>
          <w:color w:val="005CA9"/>
          <w:sz w:val="19"/>
          <w:szCs w:val="19"/>
        </w:rPr>
        <w:t>ubsidiárias</w:t>
      </w:r>
      <w:r w:rsidR="006E5B2B" w:rsidRPr="00DD31F0">
        <w:rPr>
          <w:rFonts w:ascii="CAIXA Std Book" w:eastAsiaTheme="minorHAnsi" w:hAnsi="CAIXA Std Book" w:cs="Cambria Math"/>
          <w:color w:val="005CA9"/>
          <w:sz w:val="19"/>
          <w:szCs w:val="19"/>
        </w:rPr>
        <w:t>.</w:t>
      </w:r>
    </w:p>
    <w:p w14:paraId="4602B1F3" w14:textId="77777777" w:rsidR="006E5B2B" w:rsidRPr="00DD31F0" w:rsidRDefault="006E5B2B" w:rsidP="00295657">
      <w:pPr>
        <w:pStyle w:val="wordsection1"/>
        <w:numPr>
          <w:ilvl w:val="0"/>
          <w:numId w:val="33"/>
        </w:numPr>
        <w:spacing w:before="240" w:beforeAutospacing="0" w:after="120" w:afterAutospacing="0"/>
        <w:ind w:left="567" w:right="142" w:hanging="567"/>
        <w:jc w:val="both"/>
        <w:rPr>
          <w:rFonts w:ascii="CAIXA Std Book" w:eastAsia="Yu Mincho Light" w:hAnsi="CAIXA Std Book" w:cs="Cambria Math"/>
          <w:b/>
          <w:color w:val="005CA9"/>
          <w:sz w:val="19"/>
          <w:szCs w:val="19"/>
        </w:rPr>
      </w:pPr>
      <w:r w:rsidRPr="00DD31F0">
        <w:rPr>
          <w:rFonts w:ascii="CAIXA Std Book" w:hAnsi="CAIXA Std Book" w:cs="Cambria Math"/>
          <w:b/>
          <w:color w:val="005CA9"/>
          <w:sz w:val="19"/>
          <w:szCs w:val="19"/>
        </w:rPr>
        <w:t>Outras entidades</w:t>
      </w:r>
    </w:p>
    <w:p w14:paraId="70719FE0" w14:textId="522BE8E4" w:rsidR="006E5B2B" w:rsidRPr="00DD31F0" w:rsidRDefault="006E5B2B" w:rsidP="00F50163">
      <w:pPr>
        <w:spacing w:before="120" w:after="120"/>
        <w:jc w:val="both"/>
        <w:rPr>
          <w:rFonts w:ascii="CAIXA Std Book" w:eastAsia="Futura Lt BT" w:hAnsi="CAIXA Std Book" w:cs="Futura Lt BT"/>
          <w:color w:val="005CA9"/>
          <w:sz w:val="19"/>
          <w:szCs w:val="19"/>
        </w:rPr>
      </w:pPr>
      <w:r w:rsidRPr="00DD31F0">
        <w:rPr>
          <w:rFonts w:ascii="CAIXA Std Book" w:hAnsi="CAIXA Std Book" w:cs="Cambria Math"/>
          <w:color w:val="005CA9"/>
          <w:sz w:val="19"/>
          <w:szCs w:val="19"/>
        </w:rPr>
        <w:t>Esse item é composto por transações com empresas públicas e sociedades de economia mista controladas pelo governo</w:t>
      </w:r>
      <w:r w:rsidR="00AD6531" w:rsidRPr="00DD31F0">
        <w:rPr>
          <w:rFonts w:ascii="CAIXA Std Book" w:hAnsi="CAIXA Std Book" w:cs="Cambria Math"/>
          <w:color w:val="005CA9"/>
          <w:sz w:val="19"/>
          <w:szCs w:val="19"/>
        </w:rPr>
        <w:t xml:space="preserve"> federa</w:t>
      </w:r>
      <w:r w:rsidR="0057388F" w:rsidRPr="00DD31F0">
        <w:rPr>
          <w:rFonts w:ascii="CAIXA Std Book" w:hAnsi="CAIXA Std Book" w:cs="Cambria Math"/>
          <w:color w:val="005CA9"/>
          <w:sz w:val="19"/>
          <w:szCs w:val="19"/>
        </w:rPr>
        <w:t>l</w:t>
      </w:r>
      <w:r w:rsidRPr="00DD31F0">
        <w:rPr>
          <w:rFonts w:ascii="CAIXA Std Book" w:hAnsi="CAIXA Std Book" w:cs="Cambria Math"/>
          <w:color w:val="005CA9"/>
          <w:sz w:val="19"/>
          <w:szCs w:val="19"/>
        </w:rPr>
        <w:t>, tais como Petrobrás, Banco do Brasil, BNDES, Banco do Nordeste</w:t>
      </w:r>
      <w:r w:rsidR="00AC17A6" w:rsidRPr="00DD31F0">
        <w:rPr>
          <w:rFonts w:ascii="CAIXA Std Book" w:hAnsi="CAIXA Std Book" w:cs="Cambria Math"/>
          <w:color w:val="005CA9"/>
          <w:sz w:val="19"/>
          <w:szCs w:val="19"/>
        </w:rPr>
        <w:t>, Correios</w:t>
      </w:r>
      <w:r w:rsidRPr="00DD31F0">
        <w:rPr>
          <w:rFonts w:ascii="CAIXA Std Book" w:hAnsi="CAIXA Std Book" w:cs="Cambria Math"/>
          <w:color w:val="005CA9"/>
          <w:sz w:val="19"/>
          <w:szCs w:val="19"/>
        </w:rPr>
        <w:t xml:space="preserve"> e Emgea</w:t>
      </w:r>
      <w:r w:rsidR="009A68C0" w:rsidRPr="00DD31F0">
        <w:rPr>
          <w:rFonts w:ascii="CAIXA Std Book" w:hAnsi="CAIXA Std Book" w:cs="Cambria Math"/>
          <w:color w:val="005CA9"/>
          <w:sz w:val="19"/>
          <w:szCs w:val="19"/>
        </w:rPr>
        <w:t>,</w:t>
      </w:r>
      <w:r w:rsidRPr="00DD31F0">
        <w:rPr>
          <w:rFonts w:ascii="CAIXA Std Book" w:hAnsi="CAIXA Std Book" w:cs="Cambria Math"/>
          <w:color w:val="005CA9"/>
          <w:sz w:val="19"/>
          <w:szCs w:val="19"/>
        </w:rPr>
        <w:t xml:space="preserve"> </w:t>
      </w:r>
      <w:r w:rsidR="0018415C" w:rsidRPr="00DD31F0">
        <w:rPr>
          <w:rFonts w:ascii="CAIXA Std Book" w:hAnsi="CAIXA Std Book" w:cs="Cambria Math"/>
          <w:color w:val="005CA9"/>
          <w:sz w:val="19"/>
          <w:szCs w:val="19"/>
        </w:rPr>
        <w:t>dentre out</w:t>
      </w:r>
      <w:r w:rsidR="009605A9" w:rsidRPr="00DD31F0">
        <w:rPr>
          <w:rFonts w:ascii="CAIXA Std Book" w:hAnsi="CAIXA Std Book" w:cs="Cambria Math"/>
          <w:color w:val="005CA9"/>
          <w:sz w:val="19"/>
          <w:szCs w:val="19"/>
        </w:rPr>
        <w:t>ras,</w:t>
      </w:r>
      <w:r w:rsidRPr="00DD31F0">
        <w:rPr>
          <w:rFonts w:ascii="CAIXA Std Book" w:hAnsi="CAIXA Std Book" w:cs="Cambria Math"/>
          <w:color w:val="005CA9"/>
          <w:sz w:val="19"/>
          <w:szCs w:val="19"/>
        </w:rPr>
        <w:t xml:space="preserve"> além dos fundos de investimento e fundos de </w:t>
      </w:r>
      <w:r w:rsidRPr="00DD31F0">
        <w:rPr>
          <w:rFonts w:ascii="CAIXA Std Book" w:eastAsia="Futura Lt BT" w:hAnsi="CAIXA Std Book" w:cs="Futura Lt BT"/>
          <w:color w:val="005CA9"/>
          <w:sz w:val="19"/>
          <w:szCs w:val="19"/>
        </w:rPr>
        <w:t>governo operados e/ou administrados pela CAIXA, como FGTS, FAR, FCVS, FIES.</w:t>
      </w:r>
    </w:p>
    <w:p w14:paraId="2BD1245A" w14:textId="623F1ED1" w:rsidR="00170746" w:rsidRPr="00E933F1" w:rsidRDefault="006E5B2B" w:rsidP="00E933F1">
      <w:pPr>
        <w:spacing w:before="120" w:after="120"/>
        <w:jc w:val="both"/>
        <w:rPr>
          <w:rFonts w:ascii="CAIXA Std Book" w:hAnsi="CAIXA Std Book" w:cs="Cambria Math"/>
          <w:color w:val="005CA9"/>
          <w:sz w:val="19"/>
          <w:szCs w:val="19"/>
        </w:rPr>
        <w:sectPr w:rsidR="00170746" w:rsidRPr="00E933F1" w:rsidSect="006907F6">
          <w:headerReference w:type="default" r:id="rId84"/>
          <w:footerReference w:type="even" r:id="rId85"/>
          <w:footerReference w:type="default" r:id="rId86"/>
          <w:headerReference w:type="first" r:id="rId87"/>
          <w:footerReference w:type="first" r:id="rId88"/>
          <w:pgSz w:w="11907" w:h="16840" w:code="9"/>
          <w:pgMar w:top="1985" w:right="851" w:bottom="1418" w:left="1418" w:header="1134" w:footer="709" w:gutter="0"/>
          <w:cols w:space="708"/>
          <w:titlePg/>
          <w:docGrid w:linePitch="360"/>
        </w:sectPr>
      </w:pPr>
      <w:r w:rsidRPr="00DD31F0">
        <w:rPr>
          <w:rFonts w:ascii="CAIXA Std Book" w:eastAsia="Futura Lt BT" w:hAnsi="CAIXA Std Book" w:cs="Futura Lt BT"/>
          <w:color w:val="005CA9"/>
          <w:sz w:val="19"/>
          <w:szCs w:val="19"/>
        </w:rPr>
        <w:t>A Funcef, entidade q</w:t>
      </w:r>
      <w:r w:rsidRPr="00DD31F0">
        <w:rPr>
          <w:rFonts w:ascii="CAIXA Std Book" w:hAnsi="CAIXA Std Book" w:cs="Cambria Math"/>
          <w:color w:val="005CA9"/>
          <w:sz w:val="19"/>
          <w:szCs w:val="19"/>
        </w:rPr>
        <w:t xml:space="preserve">ue administra </w:t>
      </w:r>
      <w:r w:rsidR="00BB1BA3" w:rsidRPr="00DD31F0">
        <w:rPr>
          <w:rFonts w:ascii="CAIXA Std Book" w:hAnsi="CAIXA Std Book" w:cs="Cambria Math"/>
          <w:color w:val="005CA9"/>
          <w:sz w:val="19"/>
          <w:szCs w:val="19"/>
        </w:rPr>
        <w:t xml:space="preserve">o </w:t>
      </w:r>
      <w:r w:rsidRPr="00DD31F0">
        <w:rPr>
          <w:rFonts w:ascii="CAIXA Std Book" w:hAnsi="CAIXA Std Book" w:cs="Cambria Math"/>
          <w:color w:val="005CA9"/>
          <w:sz w:val="19"/>
          <w:szCs w:val="19"/>
        </w:rPr>
        <w:t>plano de benefícios pós</w:t>
      </w:r>
      <w:r w:rsidR="00F15699" w:rsidRPr="00DD31F0">
        <w:rPr>
          <w:rFonts w:ascii="CAIXA Std Book" w:hAnsi="CAIXA Std Book" w:cs="Cambria Math"/>
          <w:color w:val="005CA9"/>
          <w:sz w:val="19"/>
          <w:szCs w:val="19"/>
        </w:rPr>
        <w:t>-</w:t>
      </w:r>
      <w:r w:rsidRPr="00DD31F0">
        <w:rPr>
          <w:rFonts w:ascii="CAIXA Std Book" w:hAnsi="CAIXA Std Book" w:cs="Cambria Math"/>
          <w:color w:val="005CA9"/>
          <w:sz w:val="19"/>
          <w:szCs w:val="19"/>
        </w:rPr>
        <w:t>emprego dos empregados da CAIXA, mantém com a CAIXA contratos de prestação de serviços bancários e de locação de imóveis de propriedade daquela entidade</w:t>
      </w:r>
      <w:r w:rsidR="00463388" w:rsidRPr="00DD31F0">
        <w:rPr>
          <w:rFonts w:ascii="CAIXA Std Book" w:hAnsi="CAIXA Std Book" w:cs="Cambria Math"/>
          <w:color w:val="005CA9"/>
          <w:sz w:val="19"/>
          <w:szCs w:val="19"/>
        </w:rPr>
        <w:t>.</w:t>
      </w:r>
      <w:bookmarkEnd w:id="160"/>
    </w:p>
    <w:p w14:paraId="169BA8AD" w14:textId="1E9B5B49" w:rsidR="00B530A0" w:rsidRPr="00D16B7B" w:rsidRDefault="00B530A0" w:rsidP="00D16B7B">
      <w:pPr>
        <w:spacing w:before="120" w:after="120"/>
        <w:jc w:val="both"/>
        <w:rPr>
          <w:rFonts w:ascii="CAIXA Std Book" w:hAnsi="CAIXA Std Book" w:cs="Cambria Math"/>
          <w:color w:val="005CA9"/>
          <w:sz w:val="19"/>
          <w:szCs w:val="19"/>
        </w:rPr>
      </w:pPr>
    </w:p>
    <w:tbl>
      <w:tblPr>
        <w:tblpPr w:leftFromText="141" w:rightFromText="141" w:vertAnchor="page" w:horzAnchor="margin" w:tblpXSpec="center" w:tblpY="2394"/>
        <w:tblW w:w="5000" w:type="pct"/>
        <w:jc w:val="center"/>
        <w:tblCellMar>
          <w:left w:w="70" w:type="dxa"/>
          <w:right w:w="70" w:type="dxa"/>
        </w:tblCellMar>
        <w:tblLook w:val="04A0" w:firstRow="1" w:lastRow="0" w:firstColumn="1" w:lastColumn="0" w:noHBand="0" w:noVBand="1"/>
      </w:tblPr>
      <w:tblGrid>
        <w:gridCol w:w="3021"/>
        <w:gridCol w:w="1165"/>
        <w:gridCol w:w="957"/>
        <w:gridCol w:w="947"/>
        <w:gridCol w:w="957"/>
        <w:gridCol w:w="662"/>
        <w:gridCol w:w="1045"/>
        <w:gridCol w:w="1130"/>
        <w:gridCol w:w="957"/>
        <w:gridCol w:w="947"/>
        <w:gridCol w:w="817"/>
        <w:gridCol w:w="836"/>
        <w:gridCol w:w="1130"/>
      </w:tblGrid>
      <w:tr w:rsidR="001E7F0C" w:rsidRPr="00A64197" w14:paraId="51ED6DD9" w14:textId="77777777" w:rsidTr="00CD76BF">
        <w:trPr>
          <w:trHeight w:val="283"/>
          <w:jc w:val="center"/>
        </w:trPr>
        <w:tc>
          <w:tcPr>
            <w:tcW w:w="5000" w:type="pct"/>
            <w:gridSpan w:val="13"/>
            <w:tcBorders>
              <w:bottom w:val="single" w:sz="4" w:space="0" w:color="FFFFFF" w:themeColor="background1"/>
            </w:tcBorders>
            <w:shd w:val="clear" w:color="auto" w:fill="005CA9"/>
            <w:vAlign w:val="center"/>
          </w:tcPr>
          <w:p w14:paraId="7CD6A7B9" w14:textId="77777777" w:rsidR="001E7F0C" w:rsidRPr="00931802" w:rsidRDefault="001E7F0C">
            <w:pPr>
              <w:jc w:val="center"/>
              <w:rPr>
                <w:rFonts w:ascii="CAIXA Std Book" w:eastAsia="Times New Roman" w:hAnsi="CAIXA Std Book" w:cs="Calibri"/>
                <w:b/>
                <w:color w:val="FFFFFF"/>
                <w:sz w:val="16"/>
                <w:szCs w:val="16"/>
              </w:rPr>
            </w:pPr>
            <w:r w:rsidRPr="00931802">
              <w:rPr>
                <w:rFonts w:ascii="CAIXA Std Book" w:eastAsia="Times New Roman" w:hAnsi="CAIXA Std Book" w:cs="Calibri"/>
                <w:b/>
                <w:color w:val="FFFFFF"/>
                <w:sz w:val="16"/>
                <w:szCs w:val="16"/>
              </w:rPr>
              <w:t>Individual</w:t>
            </w:r>
          </w:p>
        </w:tc>
      </w:tr>
      <w:tr w:rsidR="001E7F0C" w:rsidRPr="00A64197" w14:paraId="40C0FCDE" w14:textId="77777777" w:rsidTr="00CD76BF">
        <w:trPr>
          <w:trHeight w:val="283"/>
          <w:jc w:val="center"/>
        </w:trPr>
        <w:tc>
          <w:tcPr>
            <w:tcW w:w="1037" w:type="pct"/>
            <w:vMerge w:val="restart"/>
            <w:tcBorders>
              <w:top w:val="single" w:sz="4" w:space="0" w:color="FFFFFF" w:themeColor="background1"/>
              <w:left w:val="nil"/>
              <w:right w:val="nil"/>
            </w:tcBorders>
            <w:shd w:val="clear" w:color="auto" w:fill="005CA9"/>
            <w:vAlign w:val="center"/>
            <w:hideMark/>
          </w:tcPr>
          <w:p w14:paraId="1C9C1199" w14:textId="77777777" w:rsidR="001E7F0C" w:rsidRPr="0019377D" w:rsidRDefault="001E7F0C">
            <w:pPr>
              <w:jc w:val="center"/>
              <w:rPr>
                <w:rFonts w:ascii="CAIXA Std Book" w:eastAsia="Times New Roman" w:hAnsi="CAIXA Std Book" w:cs="Calibri"/>
                <w:b/>
                <w:color w:val="FFFFFF"/>
                <w:sz w:val="14"/>
                <w:szCs w:val="14"/>
              </w:rPr>
            </w:pPr>
            <w:r w:rsidRPr="0019377D">
              <w:rPr>
                <w:rFonts w:ascii="CAIXA Std Book" w:eastAsia="Times New Roman" w:hAnsi="CAIXA Std Book" w:cs="Calibri"/>
                <w:b/>
                <w:color w:val="FFFFFF"/>
                <w:sz w:val="14"/>
                <w:szCs w:val="14"/>
              </w:rPr>
              <w:t>Descrição</w:t>
            </w:r>
          </w:p>
        </w:tc>
        <w:tc>
          <w:tcPr>
            <w:tcW w:w="1967" w:type="pct"/>
            <w:gridSpan w:val="6"/>
            <w:tcBorders>
              <w:top w:val="single" w:sz="4" w:space="0" w:color="FFFFFF" w:themeColor="background1"/>
              <w:bottom w:val="single" w:sz="4" w:space="0" w:color="FFFFFF" w:themeColor="background1"/>
            </w:tcBorders>
            <w:shd w:val="clear" w:color="auto" w:fill="005CA9"/>
            <w:vAlign w:val="center"/>
          </w:tcPr>
          <w:p w14:paraId="22A31D18" w14:textId="77777777" w:rsidR="001E7F0C" w:rsidRPr="0019377D" w:rsidRDefault="001E7F0C">
            <w:pPr>
              <w:jc w:val="center"/>
              <w:rPr>
                <w:rFonts w:ascii="CAIXA Std Book" w:eastAsia="Times New Roman" w:hAnsi="CAIXA Std Book" w:cs="Calibri"/>
                <w:b/>
                <w:color w:val="FFFFFF"/>
                <w:sz w:val="14"/>
                <w:szCs w:val="14"/>
              </w:rPr>
            </w:pPr>
            <w:r w:rsidRPr="0019377D">
              <w:rPr>
                <w:rFonts w:ascii="CAIXA Std Book" w:eastAsia="Times New Roman" w:hAnsi="CAIXA Std Book" w:cs="Arial"/>
                <w:b/>
                <w:color w:val="FFFFFF" w:themeColor="background1"/>
                <w:sz w:val="14"/>
                <w:szCs w:val="14"/>
              </w:rPr>
              <w:t>2026</w:t>
            </w:r>
          </w:p>
        </w:tc>
        <w:tc>
          <w:tcPr>
            <w:tcW w:w="1996" w:type="pct"/>
            <w:gridSpan w:val="6"/>
            <w:tcBorders>
              <w:top w:val="single" w:sz="4" w:space="0" w:color="FFFFFF" w:themeColor="background1"/>
              <w:bottom w:val="single" w:sz="4" w:space="0" w:color="FFFFFF" w:themeColor="background1"/>
            </w:tcBorders>
            <w:shd w:val="clear" w:color="auto" w:fill="005CA9"/>
            <w:vAlign w:val="center"/>
          </w:tcPr>
          <w:p w14:paraId="1D32CBCB" w14:textId="77777777" w:rsidR="001E7F0C" w:rsidRPr="0019377D" w:rsidRDefault="001E7F0C">
            <w:pPr>
              <w:jc w:val="center"/>
              <w:rPr>
                <w:rFonts w:ascii="CAIXA Std Book" w:eastAsia="Times New Roman" w:hAnsi="CAIXA Std Book" w:cs="Calibri"/>
                <w:b/>
                <w:color w:val="FFFFFF"/>
                <w:sz w:val="14"/>
                <w:szCs w:val="14"/>
              </w:rPr>
            </w:pPr>
            <w:r w:rsidRPr="0019377D">
              <w:rPr>
                <w:rFonts w:ascii="CAIXA Std Book" w:eastAsia="Times New Roman" w:hAnsi="CAIXA Std Book" w:cs="Calibri"/>
                <w:b/>
                <w:color w:val="FFFFFF"/>
                <w:sz w:val="14"/>
                <w:szCs w:val="14"/>
              </w:rPr>
              <w:t>2025</w:t>
            </w:r>
          </w:p>
        </w:tc>
      </w:tr>
      <w:tr w:rsidR="001E7F0C" w:rsidRPr="00A64197" w14:paraId="69CAC026" w14:textId="77777777" w:rsidTr="00CD76BF">
        <w:trPr>
          <w:trHeight w:val="283"/>
          <w:jc w:val="center"/>
        </w:trPr>
        <w:tc>
          <w:tcPr>
            <w:tcW w:w="1037" w:type="pct"/>
            <w:vMerge/>
            <w:tcBorders>
              <w:top w:val="single" w:sz="4" w:space="0" w:color="FFFFFF" w:themeColor="background1"/>
              <w:left w:val="nil"/>
              <w:right w:val="nil"/>
            </w:tcBorders>
            <w:shd w:val="clear" w:color="auto" w:fill="005CA9"/>
            <w:vAlign w:val="center"/>
          </w:tcPr>
          <w:p w14:paraId="46B1AD7C" w14:textId="77777777" w:rsidR="001E7F0C" w:rsidRPr="00F2340E" w:rsidRDefault="001E7F0C">
            <w:pPr>
              <w:jc w:val="center"/>
              <w:rPr>
                <w:rFonts w:ascii="CAIXA Std Book" w:eastAsia="Times New Roman" w:hAnsi="CAIXA Std Book" w:cs="Calibri"/>
                <w:b/>
                <w:bCs/>
                <w:color w:val="FFFFFF"/>
                <w:sz w:val="14"/>
                <w:szCs w:val="14"/>
              </w:rPr>
            </w:pPr>
          </w:p>
        </w:tc>
        <w:tc>
          <w:tcPr>
            <w:tcW w:w="1967" w:type="pct"/>
            <w:gridSpan w:val="6"/>
            <w:tcBorders>
              <w:top w:val="single" w:sz="4" w:space="0" w:color="FFFFFF" w:themeColor="background1"/>
              <w:bottom w:val="single" w:sz="4" w:space="0" w:color="FFFFFF" w:themeColor="background1"/>
            </w:tcBorders>
            <w:shd w:val="clear" w:color="auto" w:fill="005CA9"/>
            <w:vAlign w:val="center"/>
          </w:tcPr>
          <w:p w14:paraId="295949E9" w14:textId="77777777" w:rsidR="001E7F0C" w:rsidRPr="0019377D" w:rsidRDefault="001E7F0C">
            <w:pPr>
              <w:jc w:val="center"/>
              <w:rPr>
                <w:rFonts w:ascii="CAIXA Std Book" w:eastAsia="Times New Roman" w:hAnsi="CAIXA Std Book" w:cs="Arial"/>
                <w:b/>
                <w:color w:val="FFFFFF" w:themeColor="background1"/>
                <w:sz w:val="14"/>
                <w:szCs w:val="14"/>
              </w:rPr>
            </w:pPr>
            <w:r w:rsidRPr="0019377D">
              <w:rPr>
                <w:rFonts w:ascii="CAIXA Std Book" w:eastAsia="Times New Roman" w:hAnsi="CAIXA Std Book" w:cs="Arial"/>
                <w:b/>
                <w:color w:val="FFFFFF" w:themeColor="background1"/>
                <w:sz w:val="14"/>
                <w:szCs w:val="14"/>
              </w:rPr>
              <w:t>1º trimestre</w:t>
            </w:r>
          </w:p>
        </w:tc>
        <w:tc>
          <w:tcPr>
            <w:tcW w:w="1996" w:type="pct"/>
            <w:gridSpan w:val="6"/>
            <w:tcBorders>
              <w:top w:val="single" w:sz="4" w:space="0" w:color="FFFFFF" w:themeColor="background1"/>
              <w:bottom w:val="single" w:sz="4" w:space="0" w:color="FFFFFF" w:themeColor="background1"/>
            </w:tcBorders>
            <w:shd w:val="clear" w:color="auto" w:fill="005CA9"/>
            <w:vAlign w:val="center"/>
          </w:tcPr>
          <w:p w14:paraId="61753DA5" w14:textId="77777777" w:rsidR="001E7F0C" w:rsidRPr="0019377D" w:rsidRDefault="001E7F0C">
            <w:pPr>
              <w:jc w:val="center"/>
              <w:rPr>
                <w:rFonts w:ascii="CAIXA Std Book" w:eastAsia="Times New Roman" w:hAnsi="CAIXA Std Book" w:cs="Calibri"/>
                <w:b/>
                <w:color w:val="FFFFFF"/>
                <w:sz w:val="14"/>
                <w:szCs w:val="14"/>
              </w:rPr>
            </w:pPr>
            <w:r w:rsidRPr="0019377D">
              <w:rPr>
                <w:rFonts w:ascii="CAIXA Std Book" w:eastAsia="Times New Roman" w:hAnsi="CAIXA Std Book" w:cs="Arial"/>
                <w:b/>
                <w:color w:val="FFFFFF" w:themeColor="background1"/>
                <w:sz w:val="14"/>
                <w:szCs w:val="14"/>
              </w:rPr>
              <w:t>1º trimestre</w:t>
            </w:r>
          </w:p>
        </w:tc>
      </w:tr>
      <w:tr w:rsidR="001E7F0C" w:rsidRPr="00A64197" w14:paraId="747B843A" w14:textId="77777777" w:rsidTr="00CD76BF">
        <w:trPr>
          <w:trHeight w:val="283"/>
          <w:jc w:val="center"/>
        </w:trPr>
        <w:tc>
          <w:tcPr>
            <w:tcW w:w="1037" w:type="pct"/>
            <w:vMerge/>
            <w:tcBorders>
              <w:left w:val="nil"/>
              <w:bottom w:val="nil"/>
              <w:right w:val="nil"/>
            </w:tcBorders>
            <w:shd w:val="clear" w:color="auto" w:fill="005CA9"/>
            <w:vAlign w:val="center"/>
            <w:hideMark/>
          </w:tcPr>
          <w:p w14:paraId="223A7083" w14:textId="77777777" w:rsidR="001E7F0C" w:rsidRPr="00F2340E" w:rsidRDefault="001E7F0C">
            <w:pPr>
              <w:jc w:val="right"/>
              <w:rPr>
                <w:rFonts w:ascii="CAIXA Std Book" w:eastAsia="Times New Roman" w:hAnsi="CAIXA Std Book" w:cs="Calibri"/>
                <w:b/>
                <w:color w:val="FFFFFF"/>
                <w:sz w:val="14"/>
                <w:szCs w:val="14"/>
              </w:rPr>
            </w:pPr>
          </w:p>
        </w:tc>
        <w:tc>
          <w:tcPr>
            <w:tcW w:w="400" w:type="pct"/>
            <w:tcBorders>
              <w:top w:val="single" w:sz="4" w:space="0" w:color="FFFFFF" w:themeColor="background1"/>
              <w:left w:val="nil"/>
              <w:bottom w:val="nil"/>
              <w:right w:val="nil"/>
            </w:tcBorders>
            <w:shd w:val="clear" w:color="auto" w:fill="005CA9"/>
            <w:vAlign w:val="center"/>
            <w:hideMark/>
          </w:tcPr>
          <w:p w14:paraId="36FB0AFC" w14:textId="77777777" w:rsidR="001E7F0C" w:rsidRPr="0019377D" w:rsidRDefault="001E7F0C">
            <w:pPr>
              <w:jc w:val="center"/>
              <w:rPr>
                <w:rFonts w:ascii="CAIXA Std Book" w:eastAsia="Times New Roman" w:hAnsi="CAIXA Std Book" w:cs="Calibri"/>
                <w:b/>
                <w:color w:val="FFFFFF"/>
                <w:sz w:val="14"/>
                <w:szCs w:val="14"/>
              </w:rPr>
            </w:pPr>
            <w:r w:rsidRPr="0019377D">
              <w:rPr>
                <w:rFonts w:ascii="CAIXA Std Book" w:eastAsia="Times New Roman" w:hAnsi="CAIXA Std Book" w:cs="Arial"/>
                <w:b/>
                <w:color w:val="FFFFFF" w:themeColor="background1"/>
                <w:sz w:val="14"/>
                <w:szCs w:val="14"/>
              </w:rPr>
              <w:t>Controladora</w:t>
            </w:r>
          </w:p>
        </w:tc>
        <w:tc>
          <w:tcPr>
            <w:tcW w:w="328" w:type="pct"/>
            <w:tcBorders>
              <w:top w:val="single" w:sz="4" w:space="0" w:color="FFFFFF" w:themeColor="background1"/>
            </w:tcBorders>
            <w:shd w:val="clear" w:color="auto" w:fill="005CA9"/>
            <w:vAlign w:val="center"/>
          </w:tcPr>
          <w:p w14:paraId="57E144A1" w14:textId="77777777" w:rsidR="001E7F0C" w:rsidRPr="0019377D" w:rsidRDefault="001E7F0C">
            <w:pPr>
              <w:jc w:val="center"/>
              <w:rPr>
                <w:rFonts w:ascii="CAIXA Std Book" w:eastAsia="Times New Roman" w:hAnsi="CAIXA Std Book" w:cs="Calibri"/>
                <w:b/>
                <w:color w:val="FFFFFF"/>
                <w:sz w:val="14"/>
                <w:szCs w:val="14"/>
              </w:rPr>
            </w:pPr>
            <w:r w:rsidRPr="0019377D">
              <w:rPr>
                <w:rFonts w:ascii="CAIXA Std Book" w:eastAsia="Times New Roman" w:hAnsi="CAIXA Std Book" w:cs="Arial"/>
                <w:b/>
                <w:color w:val="FFFFFF" w:themeColor="background1"/>
                <w:sz w:val="14"/>
                <w:szCs w:val="14"/>
              </w:rPr>
              <w:t>Controlada</w:t>
            </w:r>
          </w:p>
        </w:tc>
        <w:tc>
          <w:tcPr>
            <w:tcW w:w="325" w:type="pct"/>
            <w:tcBorders>
              <w:top w:val="single" w:sz="4" w:space="0" w:color="FFFFFF" w:themeColor="background1"/>
              <w:left w:val="nil"/>
              <w:bottom w:val="nil"/>
              <w:right w:val="nil"/>
            </w:tcBorders>
            <w:shd w:val="clear" w:color="auto" w:fill="005CA9"/>
            <w:vAlign w:val="center"/>
            <w:hideMark/>
          </w:tcPr>
          <w:p w14:paraId="7812C195" w14:textId="77777777" w:rsidR="001E7F0C" w:rsidRPr="0019377D" w:rsidRDefault="001E7F0C">
            <w:pPr>
              <w:jc w:val="center"/>
              <w:rPr>
                <w:rFonts w:ascii="CAIXA Std Book" w:eastAsia="Times New Roman" w:hAnsi="CAIXA Std Book" w:cs="Arial"/>
                <w:b/>
                <w:color w:val="FFFFFF" w:themeColor="background1"/>
                <w:sz w:val="14"/>
                <w:szCs w:val="14"/>
              </w:rPr>
            </w:pPr>
            <w:r w:rsidRPr="0019377D">
              <w:rPr>
                <w:rFonts w:ascii="CAIXA Std Book" w:eastAsia="Times New Roman" w:hAnsi="CAIXA Std Book" w:cs="Arial"/>
                <w:b/>
                <w:color w:val="FFFFFF" w:themeColor="background1"/>
                <w:sz w:val="14"/>
                <w:szCs w:val="14"/>
              </w:rPr>
              <w:t>Controladas</w:t>
            </w:r>
          </w:p>
          <w:p w14:paraId="02995CF4" w14:textId="77777777" w:rsidR="001E7F0C" w:rsidRPr="0019377D" w:rsidRDefault="001E7F0C">
            <w:pPr>
              <w:jc w:val="center"/>
              <w:rPr>
                <w:rFonts w:ascii="CAIXA Std Book" w:eastAsia="Times New Roman" w:hAnsi="CAIXA Std Book" w:cs="Calibri"/>
                <w:b/>
                <w:color w:val="FFFFFF"/>
                <w:sz w:val="14"/>
                <w:szCs w:val="14"/>
              </w:rPr>
            </w:pPr>
            <w:r w:rsidRPr="0019377D">
              <w:rPr>
                <w:rFonts w:ascii="CAIXA Std Book" w:eastAsia="Times New Roman" w:hAnsi="CAIXA Std Book" w:cs="Arial"/>
                <w:b/>
                <w:color w:val="FFFFFF" w:themeColor="background1"/>
                <w:sz w:val="14"/>
                <w:szCs w:val="14"/>
              </w:rPr>
              <w:t>em conjunto</w:t>
            </w:r>
          </w:p>
        </w:tc>
        <w:tc>
          <w:tcPr>
            <w:tcW w:w="328" w:type="pct"/>
            <w:tcBorders>
              <w:top w:val="single" w:sz="4" w:space="0" w:color="FFFFFF" w:themeColor="background1"/>
              <w:left w:val="nil"/>
              <w:bottom w:val="nil"/>
              <w:right w:val="nil"/>
            </w:tcBorders>
            <w:shd w:val="clear" w:color="auto" w:fill="005CA9"/>
            <w:vAlign w:val="center"/>
            <w:hideMark/>
          </w:tcPr>
          <w:p w14:paraId="508FBECD" w14:textId="77777777" w:rsidR="001E7F0C" w:rsidRPr="0019377D" w:rsidRDefault="001E7F0C">
            <w:pPr>
              <w:jc w:val="center"/>
              <w:rPr>
                <w:rFonts w:ascii="CAIXA Std Book" w:eastAsia="Times New Roman" w:hAnsi="CAIXA Std Book" w:cs="Calibri"/>
                <w:b/>
                <w:color w:val="FFFFFF"/>
                <w:sz w:val="14"/>
                <w:szCs w:val="14"/>
              </w:rPr>
            </w:pPr>
            <w:r w:rsidRPr="0019377D">
              <w:rPr>
                <w:rFonts w:ascii="CAIXA Std Book" w:eastAsia="Times New Roman" w:hAnsi="CAIXA Std Book" w:cs="Arial"/>
                <w:b/>
                <w:color w:val="FFFFFF" w:themeColor="background1"/>
                <w:sz w:val="14"/>
                <w:szCs w:val="14"/>
              </w:rPr>
              <w:t>Coligada</w:t>
            </w:r>
          </w:p>
        </w:tc>
        <w:tc>
          <w:tcPr>
            <w:tcW w:w="227" w:type="pct"/>
            <w:tcBorders>
              <w:top w:val="single" w:sz="4" w:space="0" w:color="FFFFFF" w:themeColor="background1"/>
              <w:left w:val="nil"/>
              <w:bottom w:val="nil"/>
              <w:right w:val="nil"/>
            </w:tcBorders>
            <w:shd w:val="clear" w:color="auto" w:fill="005CA9"/>
            <w:vAlign w:val="center"/>
          </w:tcPr>
          <w:p w14:paraId="3597A73A" w14:textId="77777777" w:rsidR="001E7F0C" w:rsidRPr="0019377D" w:rsidRDefault="001E7F0C">
            <w:pPr>
              <w:jc w:val="center"/>
              <w:rPr>
                <w:rFonts w:ascii="CAIXA Std Book" w:eastAsia="Times New Roman" w:hAnsi="CAIXA Std Book" w:cs="Arial"/>
                <w:b/>
                <w:color w:val="FFFFFF" w:themeColor="background1"/>
                <w:sz w:val="14"/>
                <w:szCs w:val="14"/>
              </w:rPr>
            </w:pPr>
            <w:r w:rsidRPr="0019377D">
              <w:rPr>
                <w:rFonts w:ascii="CAIXA Std Book" w:eastAsia="Times New Roman" w:hAnsi="CAIXA Std Book" w:cs="Arial"/>
                <w:b/>
                <w:color w:val="FFFFFF" w:themeColor="background1"/>
                <w:sz w:val="14"/>
                <w:szCs w:val="14"/>
              </w:rPr>
              <w:t>Pessoal chave</w:t>
            </w:r>
          </w:p>
        </w:tc>
        <w:tc>
          <w:tcPr>
            <w:tcW w:w="358" w:type="pct"/>
            <w:tcBorders>
              <w:top w:val="single" w:sz="4" w:space="0" w:color="FFFFFF" w:themeColor="background1"/>
              <w:left w:val="nil"/>
              <w:bottom w:val="nil"/>
              <w:right w:val="nil"/>
            </w:tcBorders>
            <w:shd w:val="clear" w:color="auto" w:fill="005CA9"/>
            <w:vAlign w:val="center"/>
            <w:hideMark/>
          </w:tcPr>
          <w:p w14:paraId="15F72401" w14:textId="77777777" w:rsidR="001E7F0C" w:rsidRPr="0019377D" w:rsidRDefault="001E7F0C">
            <w:pPr>
              <w:jc w:val="center"/>
              <w:rPr>
                <w:rFonts w:ascii="CAIXA Std Book" w:eastAsia="Times New Roman" w:hAnsi="CAIXA Std Book" w:cs="Arial"/>
                <w:b/>
                <w:color w:val="FFFFFF" w:themeColor="background1"/>
                <w:sz w:val="14"/>
                <w:szCs w:val="14"/>
              </w:rPr>
            </w:pPr>
            <w:r w:rsidRPr="0019377D">
              <w:rPr>
                <w:rFonts w:ascii="CAIXA Std Book" w:eastAsia="Times New Roman" w:hAnsi="CAIXA Std Book" w:cs="Arial"/>
                <w:b/>
                <w:color w:val="FFFFFF" w:themeColor="background1"/>
                <w:sz w:val="14"/>
                <w:szCs w:val="14"/>
              </w:rPr>
              <w:t>Outras</w:t>
            </w:r>
          </w:p>
          <w:p w14:paraId="452CFC3A" w14:textId="77777777" w:rsidR="001E7F0C" w:rsidRPr="0019377D" w:rsidRDefault="001E7F0C">
            <w:pPr>
              <w:jc w:val="center"/>
              <w:rPr>
                <w:rFonts w:ascii="CAIXA Std Book" w:eastAsia="Times New Roman" w:hAnsi="CAIXA Std Book" w:cs="Calibri"/>
                <w:b/>
                <w:color w:val="FFFFFF"/>
                <w:sz w:val="14"/>
                <w:szCs w:val="14"/>
              </w:rPr>
            </w:pPr>
            <w:r w:rsidRPr="0019377D">
              <w:rPr>
                <w:rFonts w:ascii="CAIXA Std Book" w:eastAsia="Times New Roman" w:hAnsi="CAIXA Std Book" w:cs="Arial"/>
                <w:b/>
                <w:color w:val="FFFFFF" w:themeColor="background1"/>
                <w:sz w:val="14"/>
                <w:szCs w:val="14"/>
              </w:rPr>
              <w:t>entidades</w:t>
            </w:r>
          </w:p>
        </w:tc>
        <w:tc>
          <w:tcPr>
            <w:tcW w:w="388" w:type="pct"/>
            <w:tcBorders>
              <w:top w:val="single" w:sz="4" w:space="0" w:color="FFFFFF" w:themeColor="background1"/>
              <w:left w:val="nil"/>
              <w:bottom w:val="nil"/>
              <w:right w:val="nil"/>
            </w:tcBorders>
            <w:shd w:val="clear" w:color="auto" w:fill="005CA9"/>
            <w:vAlign w:val="center"/>
            <w:hideMark/>
          </w:tcPr>
          <w:p w14:paraId="69D509F2" w14:textId="77777777" w:rsidR="001E7F0C" w:rsidRPr="0019377D" w:rsidRDefault="001E7F0C">
            <w:pPr>
              <w:jc w:val="center"/>
              <w:rPr>
                <w:rFonts w:ascii="CAIXA Std Book" w:eastAsia="Times New Roman" w:hAnsi="CAIXA Std Book" w:cs="Calibri"/>
                <w:b/>
                <w:color w:val="FFFFFF"/>
                <w:sz w:val="14"/>
                <w:szCs w:val="14"/>
              </w:rPr>
            </w:pPr>
            <w:r w:rsidRPr="0019377D">
              <w:rPr>
                <w:rFonts w:ascii="CAIXA Std Book" w:eastAsia="Times New Roman" w:hAnsi="CAIXA Std Book" w:cs="Arial"/>
                <w:b/>
                <w:color w:val="FFFFFF" w:themeColor="background1"/>
                <w:sz w:val="14"/>
                <w:szCs w:val="14"/>
              </w:rPr>
              <w:t>Controladora</w:t>
            </w:r>
          </w:p>
        </w:tc>
        <w:tc>
          <w:tcPr>
            <w:tcW w:w="328" w:type="pct"/>
            <w:tcBorders>
              <w:top w:val="single" w:sz="4" w:space="0" w:color="FFFFFF" w:themeColor="background1"/>
              <w:left w:val="nil"/>
              <w:bottom w:val="nil"/>
              <w:right w:val="nil"/>
            </w:tcBorders>
            <w:shd w:val="clear" w:color="auto" w:fill="005CA9"/>
            <w:vAlign w:val="center"/>
            <w:hideMark/>
          </w:tcPr>
          <w:p w14:paraId="2CEB70B1" w14:textId="77777777" w:rsidR="001E7F0C" w:rsidRPr="0019377D" w:rsidRDefault="001E7F0C">
            <w:pPr>
              <w:jc w:val="center"/>
              <w:rPr>
                <w:rFonts w:ascii="CAIXA Std Book" w:eastAsia="Times New Roman" w:hAnsi="CAIXA Std Book" w:cs="Calibri"/>
                <w:b/>
                <w:color w:val="FFFFFF"/>
                <w:sz w:val="14"/>
                <w:szCs w:val="14"/>
              </w:rPr>
            </w:pPr>
            <w:r w:rsidRPr="0019377D">
              <w:rPr>
                <w:rFonts w:ascii="CAIXA Std Book" w:eastAsia="Times New Roman" w:hAnsi="CAIXA Std Book" w:cs="Arial"/>
                <w:b/>
                <w:color w:val="FFFFFF" w:themeColor="background1"/>
                <w:sz w:val="14"/>
                <w:szCs w:val="14"/>
              </w:rPr>
              <w:t>Controlada</w:t>
            </w:r>
          </w:p>
        </w:tc>
        <w:tc>
          <w:tcPr>
            <w:tcW w:w="325" w:type="pct"/>
            <w:tcBorders>
              <w:top w:val="single" w:sz="4" w:space="0" w:color="FFFFFF" w:themeColor="background1"/>
              <w:left w:val="nil"/>
              <w:bottom w:val="nil"/>
              <w:right w:val="nil"/>
            </w:tcBorders>
            <w:shd w:val="clear" w:color="auto" w:fill="005CA9"/>
            <w:vAlign w:val="center"/>
            <w:hideMark/>
          </w:tcPr>
          <w:p w14:paraId="5F4EFFBB" w14:textId="77777777" w:rsidR="001E7F0C" w:rsidRPr="0019377D" w:rsidRDefault="001E7F0C">
            <w:pPr>
              <w:jc w:val="center"/>
              <w:rPr>
                <w:rFonts w:ascii="CAIXA Std Book" w:eastAsia="Times New Roman" w:hAnsi="CAIXA Std Book" w:cs="Arial"/>
                <w:b/>
                <w:color w:val="FFFFFF" w:themeColor="background1"/>
                <w:sz w:val="14"/>
                <w:szCs w:val="14"/>
              </w:rPr>
            </w:pPr>
            <w:r w:rsidRPr="0019377D">
              <w:rPr>
                <w:rFonts w:ascii="CAIXA Std Book" w:eastAsia="Times New Roman" w:hAnsi="CAIXA Std Book" w:cs="Arial"/>
                <w:b/>
                <w:color w:val="FFFFFF" w:themeColor="background1"/>
                <w:sz w:val="14"/>
                <w:szCs w:val="14"/>
              </w:rPr>
              <w:t>Controladas</w:t>
            </w:r>
          </w:p>
          <w:p w14:paraId="74B58312" w14:textId="77777777" w:rsidR="001E7F0C" w:rsidRPr="0019377D" w:rsidRDefault="001E7F0C">
            <w:pPr>
              <w:jc w:val="center"/>
              <w:rPr>
                <w:rFonts w:ascii="CAIXA Std Book" w:eastAsia="Times New Roman" w:hAnsi="CAIXA Std Book" w:cs="Calibri"/>
                <w:b/>
                <w:color w:val="FFFFFF"/>
                <w:sz w:val="14"/>
                <w:szCs w:val="14"/>
              </w:rPr>
            </w:pPr>
            <w:r w:rsidRPr="0019377D">
              <w:rPr>
                <w:rFonts w:ascii="CAIXA Std Book" w:eastAsia="Times New Roman" w:hAnsi="CAIXA Std Book" w:cs="Arial"/>
                <w:b/>
                <w:color w:val="FFFFFF" w:themeColor="background1"/>
                <w:sz w:val="14"/>
                <w:szCs w:val="14"/>
              </w:rPr>
              <w:t>em conjunto</w:t>
            </w:r>
          </w:p>
        </w:tc>
        <w:tc>
          <w:tcPr>
            <w:tcW w:w="280" w:type="pct"/>
            <w:tcBorders>
              <w:top w:val="single" w:sz="4" w:space="0" w:color="FFFFFF" w:themeColor="background1"/>
              <w:left w:val="nil"/>
              <w:bottom w:val="nil"/>
              <w:right w:val="nil"/>
            </w:tcBorders>
            <w:shd w:val="clear" w:color="auto" w:fill="005CA9"/>
            <w:vAlign w:val="center"/>
            <w:hideMark/>
          </w:tcPr>
          <w:p w14:paraId="72723715" w14:textId="77777777" w:rsidR="001E7F0C" w:rsidRPr="0019377D" w:rsidRDefault="001E7F0C">
            <w:pPr>
              <w:jc w:val="center"/>
              <w:rPr>
                <w:rFonts w:ascii="CAIXA Std Book" w:eastAsia="Times New Roman" w:hAnsi="CAIXA Std Book" w:cs="Calibri"/>
                <w:b/>
                <w:color w:val="FFFFFF"/>
                <w:sz w:val="14"/>
                <w:szCs w:val="14"/>
              </w:rPr>
            </w:pPr>
            <w:r w:rsidRPr="0019377D">
              <w:rPr>
                <w:rFonts w:ascii="CAIXA Std Book" w:eastAsia="Times New Roman" w:hAnsi="CAIXA Std Book" w:cs="Arial"/>
                <w:b/>
                <w:color w:val="FFFFFF" w:themeColor="background1"/>
                <w:sz w:val="14"/>
                <w:szCs w:val="14"/>
              </w:rPr>
              <w:t>Coligada</w:t>
            </w:r>
          </w:p>
        </w:tc>
        <w:tc>
          <w:tcPr>
            <w:tcW w:w="287" w:type="pct"/>
            <w:tcBorders>
              <w:top w:val="single" w:sz="4" w:space="0" w:color="FFFFFF" w:themeColor="background1"/>
              <w:left w:val="nil"/>
              <w:bottom w:val="nil"/>
              <w:right w:val="nil"/>
            </w:tcBorders>
            <w:shd w:val="clear" w:color="auto" w:fill="005CA9"/>
            <w:vAlign w:val="center"/>
          </w:tcPr>
          <w:p w14:paraId="22B8100D" w14:textId="77777777" w:rsidR="001E7F0C" w:rsidRPr="0019377D" w:rsidRDefault="001E7F0C">
            <w:pPr>
              <w:jc w:val="center"/>
              <w:rPr>
                <w:rFonts w:ascii="CAIXA Std Book" w:eastAsia="Times New Roman" w:hAnsi="CAIXA Std Book" w:cs="Arial"/>
                <w:b/>
                <w:color w:val="FFFFFF" w:themeColor="background1"/>
                <w:sz w:val="14"/>
                <w:szCs w:val="14"/>
              </w:rPr>
            </w:pPr>
            <w:r w:rsidRPr="0019377D">
              <w:rPr>
                <w:rFonts w:ascii="CAIXA Std Book" w:eastAsia="Times New Roman" w:hAnsi="CAIXA Std Book" w:cs="Arial"/>
                <w:b/>
                <w:color w:val="FFFFFF" w:themeColor="background1"/>
                <w:sz w:val="14"/>
                <w:szCs w:val="14"/>
              </w:rPr>
              <w:t>Pessoal chave</w:t>
            </w:r>
          </w:p>
        </w:tc>
        <w:tc>
          <w:tcPr>
            <w:tcW w:w="388" w:type="pct"/>
            <w:tcBorders>
              <w:top w:val="single" w:sz="4" w:space="0" w:color="FFFFFF" w:themeColor="background1"/>
              <w:left w:val="nil"/>
              <w:bottom w:val="nil"/>
              <w:right w:val="nil"/>
            </w:tcBorders>
            <w:shd w:val="clear" w:color="auto" w:fill="005CA9"/>
            <w:vAlign w:val="center"/>
            <w:hideMark/>
          </w:tcPr>
          <w:p w14:paraId="0A4C7A19" w14:textId="77777777" w:rsidR="001E7F0C" w:rsidRPr="0019377D" w:rsidRDefault="001E7F0C">
            <w:pPr>
              <w:jc w:val="center"/>
              <w:rPr>
                <w:rFonts w:ascii="CAIXA Std Book" w:eastAsia="Times New Roman" w:hAnsi="CAIXA Std Book" w:cs="Arial"/>
                <w:b/>
                <w:color w:val="FFFFFF" w:themeColor="background1"/>
                <w:sz w:val="14"/>
                <w:szCs w:val="14"/>
              </w:rPr>
            </w:pPr>
            <w:r w:rsidRPr="0019377D">
              <w:rPr>
                <w:rFonts w:ascii="CAIXA Std Book" w:eastAsia="Times New Roman" w:hAnsi="CAIXA Std Book" w:cs="Arial"/>
                <w:b/>
                <w:color w:val="FFFFFF" w:themeColor="background1"/>
                <w:sz w:val="14"/>
                <w:szCs w:val="14"/>
              </w:rPr>
              <w:t>Outras</w:t>
            </w:r>
          </w:p>
          <w:p w14:paraId="32F4CD7A" w14:textId="77777777" w:rsidR="001E7F0C" w:rsidRPr="0019377D" w:rsidRDefault="001E7F0C">
            <w:pPr>
              <w:jc w:val="center"/>
              <w:rPr>
                <w:rFonts w:ascii="CAIXA Std Book" w:eastAsia="Times New Roman" w:hAnsi="CAIXA Std Book" w:cs="Calibri"/>
                <w:b/>
                <w:color w:val="FFFFFF"/>
                <w:sz w:val="14"/>
                <w:szCs w:val="14"/>
              </w:rPr>
            </w:pPr>
            <w:r w:rsidRPr="0019377D">
              <w:rPr>
                <w:rFonts w:ascii="CAIXA Std Book" w:eastAsia="Times New Roman" w:hAnsi="CAIXA Std Book" w:cs="Arial"/>
                <w:b/>
                <w:color w:val="FFFFFF" w:themeColor="background1"/>
                <w:sz w:val="14"/>
                <w:szCs w:val="14"/>
              </w:rPr>
              <w:t>entidades</w:t>
            </w:r>
          </w:p>
        </w:tc>
      </w:tr>
      <w:tr w:rsidR="001E7F0C" w:rsidRPr="00A64197" w14:paraId="52103BF3" w14:textId="77777777" w:rsidTr="005405DF">
        <w:trPr>
          <w:trHeight w:val="283"/>
          <w:jc w:val="center"/>
        </w:trPr>
        <w:tc>
          <w:tcPr>
            <w:tcW w:w="1037" w:type="pct"/>
            <w:tcBorders>
              <w:top w:val="nil"/>
              <w:left w:val="nil"/>
              <w:bottom w:val="nil"/>
              <w:right w:val="nil"/>
            </w:tcBorders>
            <w:shd w:val="clear" w:color="auto" w:fill="D0DFE3"/>
            <w:noWrap/>
            <w:vAlign w:val="center"/>
          </w:tcPr>
          <w:p w14:paraId="418CAD24" w14:textId="77777777" w:rsidR="001E7F0C" w:rsidRPr="00F2340E" w:rsidRDefault="001E7F0C">
            <w:pPr>
              <w:rPr>
                <w:rFonts w:ascii="CAIXA Std Book" w:eastAsia="Times New Roman" w:hAnsi="CAIXA Std Book" w:cs="Arial"/>
                <w:b/>
                <w:color w:val="005CA9"/>
                <w:sz w:val="14"/>
                <w:szCs w:val="14"/>
              </w:rPr>
            </w:pPr>
            <w:r w:rsidRPr="00F2340E">
              <w:rPr>
                <w:rFonts w:ascii="CAIXA Std Book" w:eastAsia="Times New Roman" w:hAnsi="CAIXA Std Book" w:cs="Arial"/>
                <w:b/>
                <w:color w:val="005CA9"/>
                <w:sz w:val="14"/>
                <w:szCs w:val="14"/>
              </w:rPr>
              <w:t>Ativo</w:t>
            </w:r>
          </w:p>
        </w:tc>
        <w:tc>
          <w:tcPr>
            <w:tcW w:w="400" w:type="pct"/>
            <w:tcBorders>
              <w:top w:val="nil"/>
              <w:left w:val="nil"/>
              <w:bottom w:val="nil"/>
              <w:right w:val="nil"/>
            </w:tcBorders>
            <w:shd w:val="clear" w:color="auto" w:fill="D0DFE3"/>
            <w:noWrap/>
            <w:vAlign w:val="center"/>
          </w:tcPr>
          <w:p w14:paraId="4CDB1286" w14:textId="4D47DF2D" w:rsidR="001E7F0C" w:rsidRPr="00F2340E" w:rsidRDefault="006E3A1A">
            <w:pPr>
              <w:jc w:val="right"/>
              <w:rPr>
                <w:rFonts w:ascii="CAIXA Std Book" w:eastAsia="Times New Roman" w:hAnsi="CAIXA Std Book" w:cs="Arial"/>
                <w:b/>
                <w:color w:val="005CA9"/>
                <w:sz w:val="14"/>
                <w:szCs w:val="14"/>
              </w:rPr>
            </w:pPr>
            <w:r w:rsidRPr="006E3A1A">
              <w:rPr>
                <w:rFonts w:ascii="CAIXA Std Book" w:hAnsi="CAIXA Std Book" w:cs="Arial"/>
                <w:b/>
                <w:bCs/>
                <w:color w:val="005CA9"/>
                <w:sz w:val="14"/>
                <w:szCs w:val="14"/>
              </w:rPr>
              <w:t>484.233.329</w:t>
            </w:r>
          </w:p>
        </w:tc>
        <w:tc>
          <w:tcPr>
            <w:tcW w:w="328" w:type="pct"/>
            <w:shd w:val="clear" w:color="auto" w:fill="D0DFE3"/>
            <w:vAlign w:val="center"/>
          </w:tcPr>
          <w:p w14:paraId="0B626D5C" w14:textId="76F31C32" w:rsidR="001E7F0C" w:rsidRPr="00F2340E" w:rsidRDefault="006E3A1A" w:rsidP="0019377D">
            <w:pPr>
              <w:ind w:firstLineChars="100" w:firstLine="140"/>
              <w:jc w:val="right"/>
              <w:rPr>
                <w:rFonts w:ascii="CAIXA Std Book" w:eastAsia="Times New Roman" w:hAnsi="CAIXA Std Book" w:cs="Arial"/>
                <w:b/>
                <w:color w:val="005CA9"/>
                <w:sz w:val="14"/>
                <w:szCs w:val="14"/>
              </w:rPr>
            </w:pPr>
            <w:r w:rsidRPr="006E3A1A">
              <w:rPr>
                <w:rFonts w:ascii="CAIXA Std Book" w:hAnsi="CAIXA Std Book" w:cs="Arial"/>
                <w:b/>
                <w:bCs/>
                <w:color w:val="005CA9"/>
                <w:sz w:val="14"/>
                <w:szCs w:val="14"/>
              </w:rPr>
              <w:t>2.678.910</w:t>
            </w:r>
          </w:p>
        </w:tc>
        <w:tc>
          <w:tcPr>
            <w:tcW w:w="325" w:type="pct"/>
            <w:tcBorders>
              <w:top w:val="nil"/>
              <w:left w:val="nil"/>
              <w:bottom w:val="nil"/>
              <w:right w:val="nil"/>
            </w:tcBorders>
            <w:shd w:val="clear" w:color="auto" w:fill="D0DFE3"/>
            <w:noWrap/>
            <w:vAlign w:val="center"/>
          </w:tcPr>
          <w:p w14:paraId="5A0A0B42" w14:textId="3D2A53CC" w:rsidR="001E7F0C" w:rsidRPr="00F2340E" w:rsidRDefault="0019377D" w:rsidP="0019377D">
            <w:pPr>
              <w:ind w:firstLineChars="100" w:firstLine="140"/>
              <w:jc w:val="right"/>
              <w:rPr>
                <w:rFonts w:ascii="CAIXA Std Book" w:eastAsia="Times New Roman" w:hAnsi="CAIXA Std Book" w:cs="Arial"/>
                <w:b/>
                <w:color w:val="005CA9"/>
                <w:sz w:val="14"/>
                <w:szCs w:val="14"/>
              </w:rPr>
            </w:pPr>
            <w:r w:rsidRPr="0004269D">
              <w:rPr>
                <w:rFonts w:ascii="CAIXA Std Book" w:hAnsi="CAIXA Std Book" w:cs="Arial"/>
                <w:b/>
                <w:bCs/>
                <w:color w:val="005CA9"/>
                <w:sz w:val="14"/>
                <w:szCs w:val="14"/>
              </w:rPr>
              <w:t>368.600</w:t>
            </w:r>
          </w:p>
        </w:tc>
        <w:tc>
          <w:tcPr>
            <w:tcW w:w="328" w:type="pct"/>
            <w:tcBorders>
              <w:top w:val="nil"/>
              <w:left w:val="nil"/>
              <w:bottom w:val="nil"/>
              <w:right w:val="nil"/>
            </w:tcBorders>
            <w:shd w:val="clear" w:color="auto" w:fill="D0DFE3"/>
            <w:noWrap/>
            <w:vAlign w:val="center"/>
          </w:tcPr>
          <w:p w14:paraId="4E5EBC97" w14:textId="1E35E7A2" w:rsidR="001E7F0C" w:rsidRPr="00F2340E" w:rsidRDefault="0019377D" w:rsidP="0019377D">
            <w:pPr>
              <w:ind w:firstLineChars="100" w:firstLine="140"/>
              <w:jc w:val="right"/>
              <w:rPr>
                <w:rFonts w:ascii="CAIXA Std Book" w:eastAsia="Times New Roman" w:hAnsi="CAIXA Std Book" w:cs="Arial"/>
                <w:b/>
                <w:color w:val="005CA9"/>
                <w:sz w:val="14"/>
                <w:szCs w:val="14"/>
              </w:rPr>
            </w:pPr>
            <w:r w:rsidRPr="0004269D">
              <w:rPr>
                <w:rFonts w:ascii="CAIXA Std Book" w:hAnsi="CAIXA Std Book" w:cs="Arial"/>
                <w:b/>
                <w:bCs/>
                <w:color w:val="005CA9"/>
                <w:sz w:val="14"/>
                <w:szCs w:val="14"/>
              </w:rPr>
              <w:t>1.514.009</w:t>
            </w:r>
          </w:p>
        </w:tc>
        <w:tc>
          <w:tcPr>
            <w:tcW w:w="227" w:type="pct"/>
            <w:tcBorders>
              <w:top w:val="nil"/>
              <w:left w:val="nil"/>
              <w:bottom w:val="nil"/>
              <w:right w:val="nil"/>
            </w:tcBorders>
            <w:shd w:val="clear" w:color="auto" w:fill="D0DFE3"/>
            <w:vAlign w:val="center"/>
          </w:tcPr>
          <w:p w14:paraId="2375CFFD" w14:textId="53B7DFB6" w:rsidR="001E7F0C" w:rsidRPr="00F2340E" w:rsidRDefault="0019377D" w:rsidP="0019377D">
            <w:pPr>
              <w:ind w:firstLineChars="100" w:firstLine="140"/>
              <w:jc w:val="right"/>
              <w:rPr>
                <w:rFonts w:ascii="CAIXA Std Book" w:eastAsia="Times New Roman" w:hAnsi="CAIXA Std Book" w:cs="Arial"/>
                <w:b/>
                <w:color w:val="005CA9"/>
                <w:sz w:val="14"/>
                <w:szCs w:val="14"/>
              </w:rPr>
            </w:pPr>
            <w:r w:rsidRPr="0004269D">
              <w:rPr>
                <w:rFonts w:ascii="CAIXA Std Book" w:hAnsi="CAIXA Std Book" w:cs="Arial"/>
                <w:b/>
                <w:bCs/>
                <w:color w:val="005CA9"/>
                <w:sz w:val="14"/>
                <w:szCs w:val="14"/>
              </w:rPr>
              <w:t>3.437</w:t>
            </w:r>
          </w:p>
        </w:tc>
        <w:tc>
          <w:tcPr>
            <w:tcW w:w="358" w:type="pct"/>
            <w:tcBorders>
              <w:top w:val="nil"/>
              <w:left w:val="nil"/>
              <w:bottom w:val="nil"/>
              <w:right w:val="nil"/>
            </w:tcBorders>
            <w:shd w:val="clear" w:color="auto" w:fill="D0DFE3"/>
            <w:vAlign w:val="center"/>
          </w:tcPr>
          <w:p w14:paraId="79B8DC4C" w14:textId="48600E30" w:rsidR="001E7F0C" w:rsidRPr="00F2340E" w:rsidRDefault="006E3A1A" w:rsidP="0019377D">
            <w:pPr>
              <w:ind w:firstLineChars="100" w:firstLine="140"/>
              <w:jc w:val="right"/>
              <w:rPr>
                <w:rFonts w:ascii="CAIXA Std Book" w:eastAsia="Times New Roman" w:hAnsi="CAIXA Std Book" w:cs="Arial"/>
                <w:b/>
                <w:color w:val="005CA9"/>
                <w:sz w:val="14"/>
                <w:szCs w:val="14"/>
              </w:rPr>
            </w:pPr>
            <w:r w:rsidRPr="006E3A1A">
              <w:rPr>
                <w:rFonts w:ascii="CAIXA Std Book" w:hAnsi="CAIXA Std Book" w:cs="Arial"/>
                <w:b/>
                <w:bCs/>
                <w:color w:val="005CA9"/>
                <w:sz w:val="14"/>
                <w:szCs w:val="14"/>
              </w:rPr>
              <w:t>70.642.016</w:t>
            </w:r>
          </w:p>
        </w:tc>
        <w:tc>
          <w:tcPr>
            <w:tcW w:w="388" w:type="pct"/>
            <w:tcBorders>
              <w:top w:val="nil"/>
              <w:left w:val="nil"/>
              <w:bottom w:val="nil"/>
              <w:right w:val="nil"/>
            </w:tcBorders>
            <w:shd w:val="clear" w:color="auto" w:fill="D0DFE3"/>
            <w:vAlign w:val="center"/>
          </w:tcPr>
          <w:p w14:paraId="43E84313" w14:textId="77777777" w:rsidR="001E7F0C" w:rsidRPr="00996C00" w:rsidRDefault="001E7F0C">
            <w:pPr>
              <w:ind w:firstLineChars="100" w:firstLine="140"/>
              <w:jc w:val="right"/>
              <w:rPr>
                <w:rFonts w:ascii="CAIXA Std Book" w:eastAsia="Times New Roman" w:hAnsi="CAIXA Std Book" w:cs="Arial"/>
                <w:b/>
                <w:color w:val="005CA9"/>
                <w:sz w:val="14"/>
                <w:szCs w:val="14"/>
              </w:rPr>
            </w:pPr>
            <w:r w:rsidRPr="00996C00">
              <w:rPr>
                <w:rFonts w:ascii="CAIXA Std Book" w:hAnsi="CAIXA Std Book" w:cs="Calibri"/>
                <w:b/>
                <w:bCs/>
                <w:color w:val="005CA9"/>
                <w:sz w:val="14"/>
                <w:szCs w:val="14"/>
              </w:rPr>
              <w:t>544.196.682</w:t>
            </w:r>
          </w:p>
        </w:tc>
        <w:tc>
          <w:tcPr>
            <w:tcW w:w="328" w:type="pct"/>
            <w:tcBorders>
              <w:top w:val="nil"/>
              <w:left w:val="nil"/>
              <w:bottom w:val="nil"/>
              <w:right w:val="nil"/>
            </w:tcBorders>
            <w:shd w:val="clear" w:color="auto" w:fill="D0DFE3"/>
            <w:vAlign w:val="center"/>
          </w:tcPr>
          <w:p w14:paraId="4062064C" w14:textId="77777777" w:rsidR="001E7F0C" w:rsidRPr="00996C00" w:rsidRDefault="001E7F0C">
            <w:pPr>
              <w:ind w:firstLineChars="100" w:firstLine="140"/>
              <w:jc w:val="right"/>
              <w:rPr>
                <w:rFonts w:ascii="CAIXA Std Book" w:eastAsia="Times New Roman" w:hAnsi="CAIXA Std Book" w:cs="Arial"/>
                <w:b/>
                <w:color w:val="005CA9"/>
                <w:sz w:val="14"/>
                <w:szCs w:val="14"/>
              </w:rPr>
            </w:pPr>
            <w:r w:rsidRPr="00996C00">
              <w:rPr>
                <w:rFonts w:ascii="CAIXA Std Book" w:hAnsi="CAIXA Std Book" w:cs="Calibri"/>
                <w:b/>
                <w:bCs/>
                <w:color w:val="005CA9"/>
                <w:sz w:val="14"/>
                <w:szCs w:val="14"/>
              </w:rPr>
              <w:t>1.754.449</w:t>
            </w:r>
          </w:p>
        </w:tc>
        <w:tc>
          <w:tcPr>
            <w:tcW w:w="325" w:type="pct"/>
            <w:tcBorders>
              <w:top w:val="nil"/>
              <w:left w:val="nil"/>
              <w:bottom w:val="nil"/>
              <w:right w:val="nil"/>
            </w:tcBorders>
            <w:shd w:val="clear" w:color="auto" w:fill="D0DFE3"/>
            <w:vAlign w:val="center"/>
          </w:tcPr>
          <w:p w14:paraId="0B9855A6" w14:textId="77777777" w:rsidR="001E7F0C" w:rsidRPr="00996C00" w:rsidRDefault="001E7F0C">
            <w:pPr>
              <w:ind w:firstLineChars="100" w:firstLine="140"/>
              <w:jc w:val="right"/>
              <w:rPr>
                <w:rFonts w:ascii="CAIXA Std Book" w:eastAsia="Times New Roman" w:hAnsi="CAIXA Std Book" w:cs="Arial"/>
                <w:b/>
                <w:color w:val="005CA9"/>
                <w:sz w:val="14"/>
                <w:szCs w:val="14"/>
              </w:rPr>
            </w:pPr>
            <w:r w:rsidRPr="00996C00">
              <w:rPr>
                <w:rFonts w:ascii="CAIXA Std Book" w:hAnsi="CAIXA Std Book" w:cs="Calibri"/>
                <w:b/>
                <w:bCs/>
                <w:color w:val="005CA9"/>
                <w:sz w:val="14"/>
                <w:szCs w:val="14"/>
              </w:rPr>
              <w:t>165.440</w:t>
            </w:r>
          </w:p>
        </w:tc>
        <w:tc>
          <w:tcPr>
            <w:tcW w:w="280" w:type="pct"/>
            <w:tcBorders>
              <w:top w:val="nil"/>
              <w:left w:val="nil"/>
              <w:bottom w:val="nil"/>
              <w:right w:val="nil"/>
            </w:tcBorders>
            <w:shd w:val="clear" w:color="auto" w:fill="D0DFE3"/>
            <w:vAlign w:val="center"/>
          </w:tcPr>
          <w:p w14:paraId="6E1A7215" w14:textId="77777777" w:rsidR="001E7F0C" w:rsidRPr="00996C00" w:rsidRDefault="001E7F0C">
            <w:pPr>
              <w:jc w:val="right"/>
              <w:rPr>
                <w:rFonts w:ascii="CAIXA Std Book" w:eastAsia="Times New Roman" w:hAnsi="CAIXA Std Book" w:cs="Arial"/>
                <w:b/>
                <w:color w:val="005CA9"/>
                <w:sz w:val="14"/>
                <w:szCs w:val="14"/>
              </w:rPr>
            </w:pPr>
            <w:r w:rsidRPr="00996C00">
              <w:rPr>
                <w:rFonts w:ascii="CAIXA Std Book" w:hAnsi="CAIXA Std Book" w:cs="Calibri"/>
                <w:b/>
                <w:bCs/>
                <w:color w:val="005CA9"/>
                <w:sz w:val="14"/>
                <w:szCs w:val="14"/>
              </w:rPr>
              <w:t>1.417.789</w:t>
            </w:r>
          </w:p>
        </w:tc>
        <w:tc>
          <w:tcPr>
            <w:tcW w:w="287" w:type="pct"/>
            <w:tcBorders>
              <w:top w:val="nil"/>
              <w:left w:val="nil"/>
              <w:bottom w:val="nil"/>
              <w:right w:val="nil"/>
            </w:tcBorders>
            <w:shd w:val="clear" w:color="auto" w:fill="D0DFE3"/>
            <w:vAlign w:val="center"/>
          </w:tcPr>
          <w:p w14:paraId="079772FD" w14:textId="77777777" w:rsidR="001E7F0C" w:rsidRPr="00996C00" w:rsidRDefault="001E7F0C">
            <w:pPr>
              <w:ind w:firstLineChars="100" w:firstLine="140"/>
              <w:jc w:val="right"/>
              <w:rPr>
                <w:rFonts w:ascii="CAIXA Std Book" w:eastAsia="Times New Roman" w:hAnsi="CAIXA Std Book" w:cs="Arial"/>
                <w:b/>
                <w:color w:val="005CA9"/>
                <w:sz w:val="14"/>
                <w:szCs w:val="14"/>
              </w:rPr>
            </w:pPr>
            <w:r w:rsidRPr="00996C00">
              <w:rPr>
                <w:rFonts w:ascii="CAIXA Std Book" w:hAnsi="CAIXA Std Book" w:cs="Calibri"/>
                <w:b/>
                <w:bCs/>
                <w:color w:val="005CA9"/>
                <w:sz w:val="14"/>
                <w:szCs w:val="14"/>
              </w:rPr>
              <w:t>38.257</w:t>
            </w:r>
          </w:p>
        </w:tc>
        <w:tc>
          <w:tcPr>
            <w:tcW w:w="388" w:type="pct"/>
            <w:tcBorders>
              <w:top w:val="nil"/>
              <w:left w:val="nil"/>
              <w:bottom w:val="nil"/>
              <w:right w:val="nil"/>
            </w:tcBorders>
            <w:shd w:val="clear" w:color="auto" w:fill="D0DFE3"/>
            <w:noWrap/>
            <w:vAlign w:val="center"/>
          </w:tcPr>
          <w:p w14:paraId="582301FD" w14:textId="77777777" w:rsidR="001E7F0C" w:rsidRPr="00996C00" w:rsidRDefault="001E7F0C">
            <w:pPr>
              <w:ind w:firstLineChars="100" w:firstLine="140"/>
              <w:jc w:val="right"/>
              <w:rPr>
                <w:rFonts w:ascii="CAIXA Std Book" w:eastAsia="Times New Roman" w:hAnsi="CAIXA Std Book" w:cs="Arial"/>
                <w:b/>
                <w:color w:val="005CA9"/>
                <w:sz w:val="14"/>
                <w:szCs w:val="14"/>
              </w:rPr>
            </w:pPr>
            <w:r w:rsidRPr="00996C00">
              <w:rPr>
                <w:rFonts w:ascii="CAIXA Std Book" w:hAnsi="CAIXA Std Book" w:cs="Calibri"/>
                <w:b/>
                <w:bCs/>
                <w:color w:val="005CA9"/>
                <w:sz w:val="14"/>
                <w:szCs w:val="14"/>
              </w:rPr>
              <w:t>34.178.539</w:t>
            </w:r>
          </w:p>
        </w:tc>
      </w:tr>
      <w:tr w:rsidR="001E7F0C" w:rsidRPr="00A64197" w14:paraId="0CEEDE10" w14:textId="77777777" w:rsidTr="005405DF">
        <w:trPr>
          <w:trHeight w:val="283"/>
          <w:jc w:val="center"/>
        </w:trPr>
        <w:tc>
          <w:tcPr>
            <w:tcW w:w="1037" w:type="pct"/>
            <w:tcBorders>
              <w:top w:val="nil"/>
              <w:left w:val="nil"/>
              <w:bottom w:val="nil"/>
              <w:right w:val="nil"/>
            </w:tcBorders>
            <w:noWrap/>
            <w:vAlign w:val="center"/>
          </w:tcPr>
          <w:p w14:paraId="53D8A87A" w14:textId="77777777" w:rsidR="001E7F0C" w:rsidRPr="0004269D" w:rsidRDefault="001E7F0C">
            <w:pPr>
              <w:rPr>
                <w:rFonts w:ascii="CAIXA Std Book" w:eastAsia="Times New Roman" w:hAnsi="CAIXA Std Book" w:cs="Calibri"/>
                <w:color w:val="005CA9"/>
                <w:sz w:val="14"/>
                <w:szCs w:val="14"/>
              </w:rPr>
            </w:pPr>
            <w:r w:rsidRPr="0004269D">
              <w:rPr>
                <w:rFonts w:ascii="CAIXA Std Book" w:eastAsia="Times New Roman" w:hAnsi="CAIXA Std Book" w:cs="Arial"/>
                <w:color w:val="005CA9"/>
                <w:sz w:val="14"/>
                <w:szCs w:val="14"/>
              </w:rPr>
              <w:t>Disponibilidades</w:t>
            </w:r>
          </w:p>
        </w:tc>
        <w:tc>
          <w:tcPr>
            <w:tcW w:w="400" w:type="pct"/>
            <w:tcBorders>
              <w:top w:val="nil"/>
              <w:left w:val="nil"/>
              <w:bottom w:val="nil"/>
              <w:right w:val="nil"/>
            </w:tcBorders>
            <w:noWrap/>
            <w:vAlign w:val="center"/>
          </w:tcPr>
          <w:p w14:paraId="39C429EF" w14:textId="182A7058" w:rsidR="001E7F0C" w:rsidRPr="00F2340E" w:rsidRDefault="004D2B14" w:rsidP="004D2B14">
            <w:pPr>
              <w:jc w:val="center"/>
              <w:rPr>
                <w:rFonts w:ascii="CAIXA Std Book" w:eastAsia="Times New Roman" w:hAnsi="CAIXA Std Book" w:cs="Calibri"/>
                <w:color w:val="005CA9"/>
                <w:sz w:val="14"/>
                <w:szCs w:val="14"/>
              </w:rPr>
            </w:pPr>
            <w:r w:rsidRPr="0004269D">
              <w:rPr>
                <w:rFonts w:ascii="CAIXA Std Book" w:hAnsi="CAIXA Std Book" w:cs="Arial"/>
                <w:color w:val="005CA9"/>
                <w:sz w:val="14"/>
                <w:szCs w:val="14"/>
              </w:rPr>
              <w:t>-</w:t>
            </w:r>
          </w:p>
        </w:tc>
        <w:tc>
          <w:tcPr>
            <w:tcW w:w="328" w:type="pct"/>
            <w:vAlign w:val="center"/>
          </w:tcPr>
          <w:p w14:paraId="358998F5" w14:textId="2816FB26" w:rsidR="001E7F0C" w:rsidRPr="00F2340E" w:rsidRDefault="004D2B14">
            <w:pPr>
              <w:ind w:firstLineChars="1" w:firstLine="1"/>
              <w:jc w:val="center"/>
              <w:rPr>
                <w:rFonts w:ascii="CAIXA Std Book" w:eastAsia="Times New Roman" w:hAnsi="CAIXA Std Book" w:cs="Arial"/>
                <w:color w:val="005CA9"/>
                <w:sz w:val="14"/>
                <w:szCs w:val="14"/>
              </w:rPr>
            </w:pPr>
            <w:r w:rsidRPr="0004269D">
              <w:rPr>
                <w:rFonts w:ascii="CAIXA Std Book" w:hAnsi="CAIXA Std Book" w:cs="Arial"/>
                <w:color w:val="005CA9"/>
                <w:sz w:val="14"/>
                <w:szCs w:val="14"/>
              </w:rPr>
              <w:t>-</w:t>
            </w:r>
          </w:p>
        </w:tc>
        <w:tc>
          <w:tcPr>
            <w:tcW w:w="325" w:type="pct"/>
            <w:tcBorders>
              <w:top w:val="nil"/>
              <w:left w:val="nil"/>
              <w:bottom w:val="nil"/>
              <w:right w:val="nil"/>
            </w:tcBorders>
            <w:noWrap/>
            <w:vAlign w:val="center"/>
          </w:tcPr>
          <w:p w14:paraId="7ABDAE64" w14:textId="66EF8858" w:rsidR="001E7F0C" w:rsidRPr="00F2340E" w:rsidRDefault="004D2B14">
            <w:pPr>
              <w:jc w:val="center"/>
              <w:rPr>
                <w:rFonts w:ascii="CAIXA Std Book" w:eastAsia="Times New Roman" w:hAnsi="CAIXA Std Book" w:cs="Calibri"/>
                <w:color w:val="005CA9"/>
                <w:sz w:val="14"/>
                <w:szCs w:val="14"/>
              </w:rPr>
            </w:pPr>
            <w:r w:rsidRPr="0004269D">
              <w:rPr>
                <w:rFonts w:ascii="CAIXA Std Book" w:hAnsi="CAIXA Std Book" w:cs="Arial"/>
                <w:color w:val="005CA9"/>
                <w:sz w:val="14"/>
                <w:szCs w:val="14"/>
              </w:rPr>
              <w:t>-</w:t>
            </w:r>
          </w:p>
        </w:tc>
        <w:tc>
          <w:tcPr>
            <w:tcW w:w="328" w:type="pct"/>
            <w:tcBorders>
              <w:top w:val="nil"/>
              <w:left w:val="nil"/>
              <w:bottom w:val="nil"/>
              <w:right w:val="nil"/>
            </w:tcBorders>
            <w:noWrap/>
            <w:vAlign w:val="center"/>
          </w:tcPr>
          <w:p w14:paraId="59D825CB" w14:textId="77A3C7FD" w:rsidR="001E7F0C" w:rsidRPr="00F2340E" w:rsidRDefault="004D2B14">
            <w:pPr>
              <w:ind w:firstLineChars="100" w:firstLine="140"/>
              <w:jc w:val="right"/>
              <w:rPr>
                <w:rFonts w:ascii="CAIXA Std Book" w:eastAsia="Times New Roman" w:hAnsi="CAIXA Std Book" w:cs="Calibri"/>
                <w:color w:val="005CA9"/>
                <w:sz w:val="14"/>
                <w:szCs w:val="14"/>
              </w:rPr>
            </w:pPr>
            <w:r w:rsidRPr="0004269D">
              <w:rPr>
                <w:rFonts w:ascii="CAIXA Std Book" w:hAnsi="CAIXA Std Book" w:cs="Arial"/>
                <w:color w:val="005CA9"/>
                <w:sz w:val="14"/>
                <w:szCs w:val="14"/>
              </w:rPr>
              <w:t>1.511.580</w:t>
            </w:r>
          </w:p>
        </w:tc>
        <w:tc>
          <w:tcPr>
            <w:tcW w:w="227" w:type="pct"/>
            <w:tcBorders>
              <w:top w:val="nil"/>
              <w:left w:val="nil"/>
              <w:bottom w:val="nil"/>
              <w:right w:val="nil"/>
            </w:tcBorders>
            <w:vAlign w:val="center"/>
          </w:tcPr>
          <w:p w14:paraId="542EB323" w14:textId="5F413A86" w:rsidR="001E7F0C" w:rsidRPr="00F2340E" w:rsidRDefault="004D2B14" w:rsidP="004D2B14">
            <w:pPr>
              <w:ind w:firstLineChars="100" w:firstLine="140"/>
              <w:jc w:val="center"/>
              <w:rPr>
                <w:rFonts w:ascii="CAIXA Std Book" w:eastAsia="Times New Roman" w:hAnsi="CAIXA Std Book" w:cs="Calibri"/>
                <w:color w:val="005CA9"/>
                <w:sz w:val="14"/>
                <w:szCs w:val="14"/>
              </w:rPr>
            </w:pPr>
            <w:r w:rsidRPr="0004269D">
              <w:rPr>
                <w:rFonts w:ascii="CAIXA Std Book" w:hAnsi="CAIXA Std Book" w:cs="Arial"/>
                <w:color w:val="005CA9"/>
                <w:sz w:val="14"/>
                <w:szCs w:val="14"/>
              </w:rPr>
              <w:t>-</w:t>
            </w:r>
          </w:p>
        </w:tc>
        <w:tc>
          <w:tcPr>
            <w:tcW w:w="358" w:type="pct"/>
            <w:tcBorders>
              <w:top w:val="nil"/>
              <w:left w:val="nil"/>
              <w:bottom w:val="nil"/>
              <w:right w:val="nil"/>
            </w:tcBorders>
            <w:vAlign w:val="center"/>
          </w:tcPr>
          <w:p w14:paraId="1E9B301E" w14:textId="12345754" w:rsidR="001E7F0C" w:rsidRPr="00F2340E" w:rsidRDefault="004D2B14" w:rsidP="004D2B14">
            <w:pPr>
              <w:ind w:firstLineChars="100" w:firstLine="140"/>
              <w:jc w:val="center"/>
              <w:rPr>
                <w:rFonts w:ascii="CAIXA Std Book" w:eastAsia="Times New Roman" w:hAnsi="CAIXA Std Book" w:cs="Calibri"/>
                <w:color w:val="005CA9"/>
                <w:sz w:val="14"/>
                <w:szCs w:val="14"/>
              </w:rPr>
            </w:pPr>
            <w:r w:rsidRPr="0004269D">
              <w:rPr>
                <w:rFonts w:ascii="CAIXA Std Book" w:hAnsi="CAIXA Std Book" w:cs="Arial"/>
                <w:color w:val="005CA9"/>
                <w:sz w:val="14"/>
                <w:szCs w:val="14"/>
              </w:rPr>
              <w:t>-</w:t>
            </w:r>
          </w:p>
        </w:tc>
        <w:tc>
          <w:tcPr>
            <w:tcW w:w="388" w:type="pct"/>
            <w:tcBorders>
              <w:top w:val="nil"/>
              <w:left w:val="nil"/>
              <w:bottom w:val="nil"/>
              <w:right w:val="nil"/>
            </w:tcBorders>
            <w:vAlign w:val="center"/>
          </w:tcPr>
          <w:p w14:paraId="42919FAD" w14:textId="77777777" w:rsidR="001E7F0C" w:rsidRPr="00996C00" w:rsidRDefault="001E7F0C">
            <w:pPr>
              <w:ind w:firstLineChars="100" w:firstLine="140"/>
              <w:jc w:val="center"/>
              <w:rPr>
                <w:rFonts w:ascii="CAIXA Std Book" w:eastAsia="Times New Roman" w:hAnsi="CAIXA Std Book" w:cs="Calibri"/>
                <w:color w:val="005CA9"/>
                <w:sz w:val="14"/>
                <w:szCs w:val="14"/>
              </w:rPr>
            </w:pPr>
            <w:r w:rsidRPr="00996C00">
              <w:rPr>
                <w:rFonts w:ascii="CAIXA Std Book" w:hAnsi="CAIXA Std Book" w:cs="Calibri"/>
                <w:color w:val="005CA9"/>
                <w:sz w:val="14"/>
                <w:szCs w:val="14"/>
              </w:rPr>
              <w:t>-</w:t>
            </w:r>
          </w:p>
        </w:tc>
        <w:tc>
          <w:tcPr>
            <w:tcW w:w="328" w:type="pct"/>
            <w:tcBorders>
              <w:top w:val="nil"/>
              <w:left w:val="nil"/>
              <w:bottom w:val="nil"/>
              <w:right w:val="nil"/>
            </w:tcBorders>
            <w:vAlign w:val="center"/>
          </w:tcPr>
          <w:p w14:paraId="67A79333" w14:textId="77777777" w:rsidR="001E7F0C" w:rsidRPr="00996C00" w:rsidRDefault="001E7F0C">
            <w:pPr>
              <w:ind w:firstLineChars="100" w:firstLine="140"/>
              <w:jc w:val="center"/>
              <w:rPr>
                <w:rFonts w:ascii="CAIXA Std Book" w:eastAsia="Times New Roman" w:hAnsi="CAIXA Std Book" w:cs="Calibri"/>
                <w:color w:val="005CA9"/>
                <w:sz w:val="14"/>
                <w:szCs w:val="14"/>
              </w:rPr>
            </w:pPr>
            <w:r w:rsidRPr="00996C00">
              <w:rPr>
                <w:rFonts w:ascii="CAIXA Std Book" w:hAnsi="CAIXA Std Book" w:cs="Calibri"/>
                <w:color w:val="005CA9"/>
                <w:sz w:val="14"/>
                <w:szCs w:val="14"/>
              </w:rPr>
              <w:t>-</w:t>
            </w:r>
          </w:p>
        </w:tc>
        <w:tc>
          <w:tcPr>
            <w:tcW w:w="325" w:type="pct"/>
            <w:tcBorders>
              <w:top w:val="nil"/>
              <w:left w:val="nil"/>
              <w:bottom w:val="nil"/>
              <w:right w:val="nil"/>
            </w:tcBorders>
            <w:vAlign w:val="center"/>
          </w:tcPr>
          <w:p w14:paraId="22C70630" w14:textId="77777777" w:rsidR="001E7F0C" w:rsidRPr="00996C00" w:rsidRDefault="001E7F0C">
            <w:pPr>
              <w:ind w:firstLineChars="100" w:firstLine="140"/>
              <w:jc w:val="center"/>
              <w:rPr>
                <w:rFonts w:ascii="CAIXA Std Book" w:eastAsia="Times New Roman" w:hAnsi="CAIXA Std Book" w:cs="Calibri"/>
                <w:color w:val="005CA9"/>
                <w:sz w:val="14"/>
                <w:szCs w:val="14"/>
              </w:rPr>
            </w:pPr>
            <w:r w:rsidRPr="00996C00">
              <w:rPr>
                <w:rFonts w:ascii="CAIXA Std Book" w:hAnsi="CAIXA Std Book" w:cs="Calibri"/>
                <w:color w:val="005CA9"/>
                <w:sz w:val="14"/>
                <w:szCs w:val="14"/>
              </w:rPr>
              <w:t>-</w:t>
            </w:r>
          </w:p>
        </w:tc>
        <w:tc>
          <w:tcPr>
            <w:tcW w:w="280" w:type="pct"/>
            <w:tcBorders>
              <w:top w:val="nil"/>
              <w:left w:val="nil"/>
              <w:bottom w:val="nil"/>
              <w:right w:val="nil"/>
            </w:tcBorders>
            <w:vAlign w:val="center"/>
          </w:tcPr>
          <w:p w14:paraId="4845202D" w14:textId="77777777" w:rsidR="001E7F0C" w:rsidRPr="00996C00" w:rsidRDefault="001E7F0C">
            <w:pPr>
              <w:jc w:val="right"/>
              <w:rPr>
                <w:rFonts w:ascii="CAIXA Std Book" w:eastAsia="Times New Roman" w:hAnsi="CAIXA Std Book" w:cs="Calibri"/>
                <w:color w:val="005CA9"/>
                <w:sz w:val="14"/>
                <w:szCs w:val="14"/>
              </w:rPr>
            </w:pPr>
            <w:r w:rsidRPr="00996C00">
              <w:rPr>
                <w:rFonts w:ascii="CAIXA Std Book" w:hAnsi="CAIXA Std Book" w:cs="Calibri"/>
                <w:color w:val="005CA9"/>
                <w:sz w:val="14"/>
                <w:szCs w:val="14"/>
              </w:rPr>
              <w:t>1.368.460</w:t>
            </w:r>
          </w:p>
        </w:tc>
        <w:tc>
          <w:tcPr>
            <w:tcW w:w="287" w:type="pct"/>
            <w:tcBorders>
              <w:top w:val="nil"/>
              <w:left w:val="nil"/>
              <w:bottom w:val="nil"/>
              <w:right w:val="nil"/>
            </w:tcBorders>
            <w:vAlign w:val="center"/>
          </w:tcPr>
          <w:p w14:paraId="1EF035CB" w14:textId="77777777" w:rsidR="001E7F0C" w:rsidRPr="00996C00" w:rsidRDefault="001E7F0C">
            <w:pPr>
              <w:ind w:firstLineChars="100" w:firstLine="140"/>
              <w:jc w:val="center"/>
              <w:rPr>
                <w:rFonts w:ascii="CAIXA Std Book" w:eastAsia="Times New Roman" w:hAnsi="CAIXA Std Book" w:cs="Calibri"/>
                <w:color w:val="005CA9"/>
                <w:sz w:val="14"/>
                <w:szCs w:val="14"/>
              </w:rPr>
            </w:pPr>
            <w:r w:rsidRPr="00996C00">
              <w:rPr>
                <w:rFonts w:ascii="CAIXA Std Book" w:hAnsi="CAIXA Std Book" w:cs="Calibri"/>
                <w:color w:val="005CA9"/>
                <w:sz w:val="14"/>
                <w:szCs w:val="14"/>
              </w:rPr>
              <w:t>-</w:t>
            </w:r>
          </w:p>
        </w:tc>
        <w:tc>
          <w:tcPr>
            <w:tcW w:w="388" w:type="pct"/>
            <w:tcBorders>
              <w:top w:val="nil"/>
              <w:left w:val="nil"/>
              <w:bottom w:val="nil"/>
              <w:right w:val="nil"/>
            </w:tcBorders>
            <w:noWrap/>
            <w:vAlign w:val="center"/>
          </w:tcPr>
          <w:p w14:paraId="004C5F41" w14:textId="77777777" w:rsidR="001E7F0C" w:rsidRPr="00996C00" w:rsidRDefault="001E7F0C">
            <w:pPr>
              <w:ind w:firstLineChars="100" w:firstLine="140"/>
              <w:jc w:val="center"/>
              <w:rPr>
                <w:rFonts w:ascii="CAIXA Std Book" w:eastAsia="Times New Roman" w:hAnsi="CAIXA Std Book" w:cs="Calibri"/>
                <w:color w:val="005CA9"/>
                <w:sz w:val="14"/>
                <w:szCs w:val="14"/>
              </w:rPr>
            </w:pPr>
            <w:r w:rsidRPr="00996C00">
              <w:rPr>
                <w:rFonts w:ascii="CAIXA Std Book" w:hAnsi="CAIXA Std Book" w:cs="Calibri"/>
                <w:color w:val="005CA9"/>
                <w:sz w:val="14"/>
                <w:szCs w:val="14"/>
              </w:rPr>
              <w:t>-</w:t>
            </w:r>
          </w:p>
        </w:tc>
      </w:tr>
      <w:tr w:rsidR="001E7F0C" w:rsidRPr="00A64197" w14:paraId="1C95EBAE" w14:textId="77777777" w:rsidTr="005405DF">
        <w:trPr>
          <w:trHeight w:val="283"/>
          <w:jc w:val="center"/>
        </w:trPr>
        <w:tc>
          <w:tcPr>
            <w:tcW w:w="1037" w:type="pct"/>
            <w:tcBorders>
              <w:top w:val="nil"/>
              <w:left w:val="nil"/>
              <w:bottom w:val="nil"/>
              <w:right w:val="nil"/>
            </w:tcBorders>
            <w:noWrap/>
            <w:vAlign w:val="center"/>
          </w:tcPr>
          <w:p w14:paraId="42C9CE0D" w14:textId="77777777" w:rsidR="001E7F0C" w:rsidRPr="0004269D" w:rsidRDefault="001E7F0C">
            <w:pPr>
              <w:rPr>
                <w:rFonts w:ascii="CAIXA Std Book" w:eastAsia="Times New Roman" w:hAnsi="CAIXA Std Book" w:cs="Calibri"/>
                <w:color w:val="005CA9"/>
                <w:sz w:val="14"/>
                <w:szCs w:val="14"/>
              </w:rPr>
            </w:pPr>
            <w:r w:rsidRPr="0004269D">
              <w:rPr>
                <w:rFonts w:ascii="CAIXA Std Book" w:eastAsia="Times New Roman" w:hAnsi="CAIXA Std Book" w:cs="Arial"/>
                <w:color w:val="005CA9"/>
                <w:sz w:val="14"/>
                <w:szCs w:val="14"/>
              </w:rPr>
              <w:t>Aplicações interfinanceiras de liquidez</w:t>
            </w:r>
          </w:p>
        </w:tc>
        <w:tc>
          <w:tcPr>
            <w:tcW w:w="400" w:type="pct"/>
            <w:tcBorders>
              <w:top w:val="nil"/>
              <w:left w:val="nil"/>
              <w:bottom w:val="nil"/>
              <w:right w:val="nil"/>
            </w:tcBorders>
            <w:noWrap/>
            <w:vAlign w:val="center"/>
          </w:tcPr>
          <w:p w14:paraId="52F2A074" w14:textId="0B5823C9" w:rsidR="001E7F0C" w:rsidRPr="00F2340E" w:rsidRDefault="004D2B14">
            <w:pPr>
              <w:jc w:val="right"/>
              <w:rPr>
                <w:rFonts w:ascii="CAIXA Std Book" w:eastAsia="Times New Roman" w:hAnsi="CAIXA Std Book" w:cs="Calibri"/>
                <w:color w:val="005CA9"/>
                <w:sz w:val="14"/>
                <w:szCs w:val="14"/>
              </w:rPr>
            </w:pPr>
            <w:r w:rsidRPr="0004269D">
              <w:rPr>
                <w:rFonts w:ascii="CAIXA Std Book" w:hAnsi="CAIXA Std Book" w:cs="Arial"/>
                <w:color w:val="005CA9"/>
                <w:sz w:val="14"/>
                <w:szCs w:val="14"/>
              </w:rPr>
              <w:t>266.276.662</w:t>
            </w:r>
          </w:p>
        </w:tc>
        <w:tc>
          <w:tcPr>
            <w:tcW w:w="328" w:type="pct"/>
            <w:vAlign w:val="center"/>
          </w:tcPr>
          <w:p w14:paraId="41026798" w14:textId="6EAD7EBC" w:rsidR="001E7F0C" w:rsidRPr="00F2340E" w:rsidRDefault="004D2B14">
            <w:pPr>
              <w:jc w:val="center"/>
              <w:rPr>
                <w:rFonts w:ascii="CAIXA Std Book" w:eastAsia="Times New Roman" w:hAnsi="CAIXA Std Book" w:cs="Arial"/>
                <w:color w:val="005CA9"/>
                <w:sz w:val="14"/>
                <w:szCs w:val="14"/>
              </w:rPr>
            </w:pPr>
            <w:r w:rsidRPr="0004269D">
              <w:rPr>
                <w:rFonts w:ascii="CAIXA Std Book" w:hAnsi="CAIXA Std Book" w:cs="Arial"/>
                <w:color w:val="005CA9"/>
                <w:sz w:val="14"/>
                <w:szCs w:val="14"/>
              </w:rPr>
              <w:t>-</w:t>
            </w:r>
          </w:p>
        </w:tc>
        <w:tc>
          <w:tcPr>
            <w:tcW w:w="325" w:type="pct"/>
            <w:tcBorders>
              <w:top w:val="nil"/>
              <w:left w:val="nil"/>
              <w:bottom w:val="nil"/>
              <w:right w:val="nil"/>
            </w:tcBorders>
            <w:noWrap/>
            <w:vAlign w:val="center"/>
          </w:tcPr>
          <w:p w14:paraId="144D09D0" w14:textId="101AD572" w:rsidR="001E7F0C" w:rsidRPr="00F2340E" w:rsidRDefault="004D2B14">
            <w:pPr>
              <w:jc w:val="center"/>
              <w:rPr>
                <w:rFonts w:ascii="CAIXA Std Book" w:eastAsia="Times New Roman" w:hAnsi="CAIXA Std Book" w:cs="Calibri"/>
                <w:color w:val="005CA9"/>
                <w:sz w:val="14"/>
                <w:szCs w:val="14"/>
              </w:rPr>
            </w:pPr>
            <w:r w:rsidRPr="0004269D">
              <w:rPr>
                <w:rFonts w:ascii="CAIXA Std Book" w:hAnsi="CAIXA Std Book" w:cs="Arial"/>
                <w:color w:val="005CA9"/>
                <w:sz w:val="14"/>
                <w:szCs w:val="14"/>
              </w:rPr>
              <w:t>-</w:t>
            </w:r>
          </w:p>
        </w:tc>
        <w:tc>
          <w:tcPr>
            <w:tcW w:w="328" w:type="pct"/>
            <w:tcBorders>
              <w:top w:val="nil"/>
              <w:left w:val="nil"/>
              <w:bottom w:val="nil"/>
              <w:right w:val="nil"/>
            </w:tcBorders>
            <w:noWrap/>
            <w:vAlign w:val="center"/>
          </w:tcPr>
          <w:p w14:paraId="6A7E3100" w14:textId="404ABE44" w:rsidR="001E7F0C" w:rsidRPr="00F2340E" w:rsidRDefault="004D2B14">
            <w:pPr>
              <w:jc w:val="center"/>
              <w:rPr>
                <w:rFonts w:ascii="CAIXA Std Book" w:eastAsia="Times New Roman" w:hAnsi="CAIXA Std Book" w:cs="Calibri"/>
                <w:color w:val="005CA9"/>
                <w:sz w:val="14"/>
                <w:szCs w:val="14"/>
              </w:rPr>
            </w:pPr>
            <w:r w:rsidRPr="0004269D">
              <w:rPr>
                <w:rFonts w:ascii="CAIXA Std Book" w:hAnsi="CAIXA Std Book" w:cs="Arial"/>
                <w:color w:val="005CA9"/>
                <w:sz w:val="14"/>
                <w:szCs w:val="14"/>
              </w:rPr>
              <w:t>-</w:t>
            </w:r>
          </w:p>
        </w:tc>
        <w:tc>
          <w:tcPr>
            <w:tcW w:w="227" w:type="pct"/>
            <w:tcBorders>
              <w:top w:val="nil"/>
              <w:left w:val="nil"/>
              <w:bottom w:val="nil"/>
              <w:right w:val="nil"/>
            </w:tcBorders>
            <w:vAlign w:val="center"/>
          </w:tcPr>
          <w:p w14:paraId="062AAEEF" w14:textId="4AB1E1FE" w:rsidR="001E7F0C" w:rsidRPr="00F2340E" w:rsidRDefault="004D2B14" w:rsidP="004D2B14">
            <w:pPr>
              <w:ind w:firstLineChars="100" w:firstLine="140"/>
              <w:jc w:val="center"/>
              <w:rPr>
                <w:rFonts w:ascii="CAIXA Std Book" w:eastAsia="Times New Roman" w:hAnsi="CAIXA Std Book" w:cs="Calibri"/>
                <w:color w:val="005CA9"/>
                <w:sz w:val="14"/>
                <w:szCs w:val="14"/>
              </w:rPr>
            </w:pPr>
            <w:r w:rsidRPr="0004269D">
              <w:rPr>
                <w:rFonts w:ascii="CAIXA Std Book" w:hAnsi="CAIXA Std Book" w:cs="Arial"/>
                <w:color w:val="005CA9"/>
                <w:sz w:val="14"/>
                <w:szCs w:val="14"/>
              </w:rPr>
              <w:t>-</w:t>
            </w:r>
          </w:p>
        </w:tc>
        <w:tc>
          <w:tcPr>
            <w:tcW w:w="358" w:type="pct"/>
            <w:tcBorders>
              <w:top w:val="nil"/>
              <w:left w:val="nil"/>
              <w:bottom w:val="nil"/>
              <w:right w:val="nil"/>
            </w:tcBorders>
            <w:vAlign w:val="center"/>
          </w:tcPr>
          <w:p w14:paraId="2E85C9D0" w14:textId="646605F2" w:rsidR="001E7F0C" w:rsidRPr="00F2340E" w:rsidRDefault="004D2B14">
            <w:pPr>
              <w:ind w:firstLineChars="100" w:firstLine="140"/>
              <w:jc w:val="right"/>
              <w:rPr>
                <w:rFonts w:ascii="CAIXA Std Book" w:eastAsia="Times New Roman" w:hAnsi="CAIXA Std Book" w:cs="Calibri"/>
                <w:color w:val="005CA9"/>
                <w:sz w:val="14"/>
                <w:szCs w:val="14"/>
              </w:rPr>
            </w:pPr>
            <w:r w:rsidRPr="0004269D">
              <w:rPr>
                <w:rFonts w:ascii="CAIXA Std Book" w:hAnsi="CAIXA Std Book" w:cs="Arial"/>
                <w:color w:val="005CA9"/>
                <w:sz w:val="14"/>
                <w:szCs w:val="14"/>
              </w:rPr>
              <w:t>33.923.955</w:t>
            </w:r>
          </w:p>
        </w:tc>
        <w:tc>
          <w:tcPr>
            <w:tcW w:w="388" w:type="pct"/>
            <w:tcBorders>
              <w:top w:val="nil"/>
              <w:left w:val="nil"/>
              <w:bottom w:val="nil"/>
              <w:right w:val="nil"/>
            </w:tcBorders>
            <w:vAlign w:val="center"/>
          </w:tcPr>
          <w:p w14:paraId="5D9BF2DF" w14:textId="77777777" w:rsidR="001E7F0C" w:rsidRPr="00996C00" w:rsidRDefault="001E7F0C">
            <w:pPr>
              <w:ind w:firstLineChars="100" w:firstLine="140"/>
              <w:jc w:val="right"/>
              <w:rPr>
                <w:rFonts w:ascii="CAIXA Std Book" w:eastAsia="Times New Roman" w:hAnsi="CAIXA Std Book" w:cs="Calibri"/>
                <w:color w:val="005CA9"/>
                <w:sz w:val="14"/>
                <w:szCs w:val="14"/>
              </w:rPr>
            </w:pPr>
            <w:r w:rsidRPr="00996C00">
              <w:rPr>
                <w:rFonts w:ascii="CAIXA Std Book" w:hAnsi="CAIXA Std Book" w:cs="Calibri"/>
                <w:color w:val="005CA9"/>
                <w:sz w:val="14"/>
                <w:szCs w:val="14"/>
              </w:rPr>
              <w:t>253.694.000</w:t>
            </w:r>
          </w:p>
        </w:tc>
        <w:tc>
          <w:tcPr>
            <w:tcW w:w="328" w:type="pct"/>
            <w:tcBorders>
              <w:top w:val="nil"/>
              <w:left w:val="nil"/>
              <w:bottom w:val="nil"/>
              <w:right w:val="nil"/>
            </w:tcBorders>
            <w:vAlign w:val="center"/>
          </w:tcPr>
          <w:p w14:paraId="42C14BB3" w14:textId="77777777" w:rsidR="001E7F0C" w:rsidRPr="00996C00" w:rsidRDefault="001E7F0C">
            <w:pPr>
              <w:ind w:firstLineChars="100" w:firstLine="140"/>
              <w:jc w:val="center"/>
              <w:rPr>
                <w:rFonts w:ascii="CAIXA Std Book" w:eastAsia="Times New Roman" w:hAnsi="CAIXA Std Book" w:cs="Calibri"/>
                <w:color w:val="005CA9"/>
                <w:sz w:val="14"/>
                <w:szCs w:val="14"/>
              </w:rPr>
            </w:pPr>
            <w:r w:rsidRPr="00996C00">
              <w:rPr>
                <w:rFonts w:ascii="CAIXA Std Book" w:hAnsi="CAIXA Std Book" w:cs="Calibri"/>
                <w:color w:val="005CA9"/>
                <w:sz w:val="14"/>
                <w:szCs w:val="14"/>
              </w:rPr>
              <w:t>-</w:t>
            </w:r>
          </w:p>
        </w:tc>
        <w:tc>
          <w:tcPr>
            <w:tcW w:w="325" w:type="pct"/>
            <w:tcBorders>
              <w:top w:val="nil"/>
              <w:left w:val="nil"/>
              <w:bottom w:val="nil"/>
              <w:right w:val="nil"/>
            </w:tcBorders>
            <w:vAlign w:val="center"/>
          </w:tcPr>
          <w:p w14:paraId="0C81E115" w14:textId="77777777" w:rsidR="001E7F0C" w:rsidRPr="00996C00" w:rsidRDefault="001E7F0C">
            <w:pPr>
              <w:ind w:firstLineChars="100" w:firstLine="140"/>
              <w:jc w:val="center"/>
              <w:rPr>
                <w:rFonts w:ascii="CAIXA Std Book" w:eastAsia="Times New Roman" w:hAnsi="CAIXA Std Book" w:cs="Calibri"/>
                <w:color w:val="005CA9"/>
                <w:sz w:val="14"/>
                <w:szCs w:val="14"/>
              </w:rPr>
            </w:pPr>
            <w:r w:rsidRPr="00996C00">
              <w:rPr>
                <w:rFonts w:ascii="CAIXA Std Book" w:hAnsi="CAIXA Std Book" w:cs="Calibri"/>
                <w:color w:val="005CA9"/>
                <w:sz w:val="14"/>
                <w:szCs w:val="14"/>
              </w:rPr>
              <w:t>-</w:t>
            </w:r>
          </w:p>
        </w:tc>
        <w:tc>
          <w:tcPr>
            <w:tcW w:w="280" w:type="pct"/>
            <w:tcBorders>
              <w:top w:val="nil"/>
              <w:left w:val="nil"/>
              <w:bottom w:val="nil"/>
              <w:right w:val="nil"/>
            </w:tcBorders>
            <w:vAlign w:val="center"/>
          </w:tcPr>
          <w:p w14:paraId="6DA487F1" w14:textId="77777777" w:rsidR="001E7F0C" w:rsidRPr="00996C00" w:rsidRDefault="001E7F0C">
            <w:pPr>
              <w:jc w:val="center"/>
              <w:rPr>
                <w:rFonts w:ascii="CAIXA Std Book" w:eastAsia="Times New Roman" w:hAnsi="CAIXA Std Book" w:cs="Calibri"/>
                <w:color w:val="005CA9"/>
                <w:sz w:val="14"/>
                <w:szCs w:val="14"/>
              </w:rPr>
            </w:pPr>
            <w:r w:rsidRPr="00996C00">
              <w:rPr>
                <w:rFonts w:ascii="CAIXA Std Book" w:hAnsi="CAIXA Std Book" w:cs="Calibri"/>
                <w:color w:val="005CA9"/>
                <w:sz w:val="14"/>
                <w:szCs w:val="14"/>
              </w:rPr>
              <w:t>-</w:t>
            </w:r>
          </w:p>
        </w:tc>
        <w:tc>
          <w:tcPr>
            <w:tcW w:w="287" w:type="pct"/>
            <w:tcBorders>
              <w:top w:val="nil"/>
              <w:left w:val="nil"/>
              <w:bottom w:val="nil"/>
              <w:right w:val="nil"/>
            </w:tcBorders>
            <w:vAlign w:val="center"/>
          </w:tcPr>
          <w:p w14:paraId="5C0013EC" w14:textId="77777777" w:rsidR="001E7F0C" w:rsidRPr="00996C00" w:rsidRDefault="001E7F0C">
            <w:pPr>
              <w:ind w:firstLineChars="100" w:firstLine="140"/>
              <w:jc w:val="center"/>
              <w:rPr>
                <w:rFonts w:ascii="CAIXA Std Book" w:eastAsia="Times New Roman" w:hAnsi="CAIXA Std Book" w:cs="Calibri"/>
                <w:color w:val="005CA9"/>
                <w:sz w:val="14"/>
                <w:szCs w:val="14"/>
              </w:rPr>
            </w:pPr>
            <w:r w:rsidRPr="00996C00">
              <w:rPr>
                <w:rFonts w:ascii="CAIXA Std Book" w:hAnsi="CAIXA Std Book" w:cs="Calibri"/>
                <w:color w:val="005CA9"/>
                <w:sz w:val="14"/>
                <w:szCs w:val="14"/>
              </w:rPr>
              <w:t>-</w:t>
            </w:r>
          </w:p>
        </w:tc>
        <w:tc>
          <w:tcPr>
            <w:tcW w:w="388" w:type="pct"/>
            <w:tcBorders>
              <w:top w:val="nil"/>
              <w:left w:val="nil"/>
              <w:bottom w:val="nil"/>
              <w:right w:val="nil"/>
            </w:tcBorders>
            <w:noWrap/>
            <w:vAlign w:val="center"/>
          </w:tcPr>
          <w:p w14:paraId="0A0929D1" w14:textId="77777777" w:rsidR="001E7F0C" w:rsidRPr="00996C00" w:rsidRDefault="001E7F0C">
            <w:pPr>
              <w:ind w:firstLineChars="100" w:firstLine="140"/>
              <w:jc w:val="right"/>
              <w:rPr>
                <w:rFonts w:ascii="CAIXA Std Book" w:eastAsia="Times New Roman" w:hAnsi="CAIXA Std Book" w:cs="Calibri"/>
                <w:color w:val="005CA9"/>
                <w:sz w:val="14"/>
                <w:szCs w:val="14"/>
              </w:rPr>
            </w:pPr>
            <w:r w:rsidRPr="00996C00">
              <w:rPr>
                <w:rFonts w:ascii="CAIXA Std Book" w:hAnsi="CAIXA Std Book" w:cs="Calibri"/>
                <w:color w:val="005CA9"/>
                <w:sz w:val="14"/>
                <w:szCs w:val="14"/>
              </w:rPr>
              <w:t>654.397</w:t>
            </w:r>
          </w:p>
        </w:tc>
      </w:tr>
      <w:tr w:rsidR="001E7F0C" w:rsidRPr="00A64197" w14:paraId="76CF03C8" w14:textId="77777777" w:rsidTr="005405DF">
        <w:trPr>
          <w:trHeight w:val="283"/>
          <w:jc w:val="center"/>
        </w:trPr>
        <w:tc>
          <w:tcPr>
            <w:tcW w:w="1037" w:type="pct"/>
            <w:tcBorders>
              <w:top w:val="nil"/>
              <w:left w:val="nil"/>
              <w:bottom w:val="nil"/>
              <w:right w:val="nil"/>
            </w:tcBorders>
            <w:noWrap/>
            <w:vAlign w:val="center"/>
          </w:tcPr>
          <w:p w14:paraId="3E7F20E4" w14:textId="77777777" w:rsidR="001E7F0C" w:rsidRPr="0004269D" w:rsidRDefault="001E7F0C">
            <w:pPr>
              <w:rPr>
                <w:rFonts w:ascii="CAIXA Std Book" w:eastAsia="Times New Roman" w:hAnsi="CAIXA Std Book" w:cs="Calibri"/>
                <w:color w:val="005CA9"/>
                <w:sz w:val="14"/>
                <w:szCs w:val="14"/>
              </w:rPr>
            </w:pPr>
            <w:r w:rsidRPr="0004269D">
              <w:rPr>
                <w:rFonts w:ascii="CAIXA Std Book" w:eastAsia="Times New Roman" w:hAnsi="CAIXA Std Book" w:cs="Arial"/>
                <w:color w:val="005CA9"/>
                <w:sz w:val="14"/>
                <w:szCs w:val="14"/>
              </w:rPr>
              <w:t>Títulos e valores mobiliários</w:t>
            </w:r>
          </w:p>
        </w:tc>
        <w:tc>
          <w:tcPr>
            <w:tcW w:w="400" w:type="pct"/>
            <w:tcBorders>
              <w:top w:val="nil"/>
              <w:left w:val="nil"/>
              <w:bottom w:val="nil"/>
              <w:right w:val="nil"/>
            </w:tcBorders>
            <w:noWrap/>
            <w:vAlign w:val="center"/>
          </w:tcPr>
          <w:p w14:paraId="2E1DAAE3" w14:textId="28E61F18" w:rsidR="001E7F0C" w:rsidRPr="00F2340E" w:rsidRDefault="006E3A1A">
            <w:pPr>
              <w:jc w:val="right"/>
              <w:rPr>
                <w:rFonts w:ascii="CAIXA Std Book" w:eastAsia="Times New Roman" w:hAnsi="CAIXA Std Book" w:cs="Calibri"/>
                <w:color w:val="005CA9"/>
                <w:sz w:val="14"/>
                <w:szCs w:val="14"/>
              </w:rPr>
            </w:pPr>
            <w:r w:rsidRPr="006E3A1A">
              <w:rPr>
                <w:rFonts w:ascii="CAIXA Std Book" w:hAnsi="CAIXA Std Book" w:cs="Arial"/>
                <w:color w:val="005CA9"/>
                <w:sz w:val="14"/>
                <w:szCs w:val="14"/>
              </w:rPr>
              <w:t>216.953.926</w:t>
            </w:r>
          </w:p>
        </w:tc>
        <w:tc>
          <w:tcPr>
            <w:tcW w:w="328" w:type="pct"/>
            <w:vAlign w:val="center"/>
          </w:tcPr>
          <w:p w14:paraId="43319B0F" w14:textId="0273CDD1" w:rsidR="001E7F0C" w:rsidRPr="00F2340E" w:rsidRDefault="006E3A1A">
            <w:pPr>
              <w:jc w:val="center"/>
              <w:rPr>
                <w:rFonts w:ascii="CAIXA Std Book" w:eastAsia="Times New Roman" w:hAnsi="CAIXA Std Book" w:cs="Arial"/>
                <w:color w:val="005CA9"/>
                <w:sz w:val="14"/>
                <w:szCs w:val="14"/>
              </w:rPr>
            </w:pPr>
            <w:r w:rsidRPr="006E3A1A">
              <w:rPr>
                <w:rFonts w:ascii="CAIXA Std Book" w:hAnsi="CAIXA Std Book" w:cs="Arial"/>
                <w:color w:val="005CA9"/>
                <w:sz w:val="14"/>
                <w:szCs w:val="14"/>
              </w:rPr>
              <w:t>1.417.096</w:t>
            </w:r>
          </w:p>
        </w:tc>
        <w:tc>
          <w:tcPr>
            <w:tcW w:w="325" w:type="pct"/>
            <w:tcBorders>
              <w:top w:val="nil"/>
              <w:left w:val="nil"/>
              <w:bottom w:val="nil"/>
              <w:right w:val="nil"/>
            </w:tcBorders>
            <w:noWrap/>
            <w:vAlign w:val="center"/>
          </w:tcPr>
          <w:p w14:paraId="61166B0F" w14:textId="60CC8AB6" w:rsidR="001E7F0C" w:rsidRPr="00F2340E" w:rsidRDefault="004D2B14">
            <w:pPr>
              <w:jc w:val="center"/>
              <w:rPr>
                <w:rFonts w:ascii="CAIXA Std Book" w:eastAsia="Times New Roman" w:hAnsi="CAIXA Std Book" w:cs="Calibri"/>
                <w:color w:val="005CA9"/>
                <w:sz w:val="14"/>
                <w:szCs w:val="14"/>
              </w:rPr>
            </w:pPr>
            <w:r w:rsidRPr="0004269D">
              <w:rPr>
                <w:rFonts w:ascii="CAIXA Std Book" w:hAnsi="CAIXA Std Book" w:cs="Arial"/>
                <w:color w:val="005CA9"/>
                <w:sz w:val="14"/>
                <w:szCs w:val="14"/>
              </w:rPr>
              <w:t>-</w:t>
            </w:r>
          </w:p>
        </w:tc>
        <w:tc>
          <w:tcPr>
            <w:tcW w:w="328" w:type="pct"/>
            <w:tcBorders>
              <w:top w:val="nil"/>
              <w:left w:val="nil"/>
              <w:bottom w:val="nil"/>
              <w:right w:val="nil"/>
            </w:tcBorders>
            <w:noWrap/>
            <w:vAlign w:val="center"/>
          </w:tcPr>
          <w:p w14:paraId="34160BC5" w14:textId="6945DE3B" w:rsidR="001E7F0C" w:rsidRPr="00F2340E" w:rsidRDefault="004D2B14">
            <w:pPr>
              <w:jc w:val="center"/>
              <w:rPr>
                <w:rFonts w:ascii="CAIXA Std Book" w:eastAsia="Times New Roman" w:hAnsi="CAIXA Std Book" w:cs="Calibri"/>
                <w:color w:val="005CA9"/>
                <w:sz w:val="14"/>
                <w:szCs w:val="14"/>
              </w:rPr>
            </w:pPr>
            <w:r w:rsidRPr="0004269D">
              <w:rPr>
                <w:rFonts w:ascii="CAIXA Std Book" w:hAnsi="CAIXA Std Book" w:cs="Arial"/>
                <w:color w:val="005CA9"/>
                <w:sz w:val="14"/>
                <w:szCs w:val="14"/>
              </w:rPr>
              <w:t>-</w:t>
            </w:r>
          </w:p>
        </w:tc>
        <w:tc>
          <w:tcPr>
            <w:tcW w:w="227" w:type="pct"/>
            <w:tcBorders>
              <w:top w:val="nil"/>
              <w:left w:val="nil"/>
              <w:bottom w:val="nil"/>
              <w:right w:val="nil"/>
            </w:tcBorders>
            <w:vAlign w:val="center"/>
          </w:tcPr>
          <w:p w14:paraId="4CCE5EEE" w14:textId="0A4A7B3C" w:rsidR="001E7F0C" w:rsidRPr="00F2340E" w:rsidRDefault="004D2B14" w:rsidP="004D2B14">
            <w:pPr>
              <w:ind w:firstLine="113"/>
              <w:jc w:val="center"/>
              <w:rPr>
                <w:rFonts w:ascii="CAIXA Std Book" w:eastAsia="Times New Roman" w:hAnsi="CAIXA Std Book" w:cs="Calibri"/>
                <w:color w:val="005CA9"/>
                <w:sz w:val="14"/>
                <w:szCs w:val="14"/>
              </w:rPr>
            </w:pPr>
            <w:r w:rsidRPr="0004269D">
              <w:rPr>
                <w:rFonts w:ascii="CAIXA Std Book" w:hAnsi="CAIXA Std Book" w:cs="Arial"/>
                <w:color w:val="005CA9"/>
                <w:sz w:val="14"/>
                <w:szCs w:val="14"/>
              </w:rPr>
              <w:t>-</w:t>
            </w:r>
          </w:p>
        </w:tc>
        <w:tc>
          <w:tcPr>
            <w:tcW w:w="358" w:type="pct"/>
            <w:tcBorders>
              <w:top w:val="nil"/>
              <w:left w:val="nil"/>
              <w:bottom w:val="nil"/>
              <w:right w:val="nil"/>
            </w:tcBorders>
            <w:vAlign w:val="center"/>
          </w:tcPr>
          <w:p w14:paraId="241CAC8D" w14:textId="7E6EA748" w:rsidR="001E7F0C" w:rsidRPr="00F2340E" w:rsidRDefault="004D2B14" w:rsidP="004D2B14">
            <w:pPr>
              <w:jc w:val="right"/>
              <w:rPr>
                <w:rFonts w:ascii="CAIXA Std Book" w:eastAsia="Times New Roman" w:hAnsi="CAIXA Std Book" w:cs="Calibri"/>
                <w:color w:val="005CA9"/>
                <w:sz w:val="14"/>
                <w:szCs w:val="14"/>
              </w:rPr>
            </w:pPr>
            <w:r w:rsidRPr="0004269D">
              <w:rPr>
                <w:rFonts w:ascii="CAIXA Std Book" w:hAnsi="CAIXA Std Book" w:cs="Arial"/>
                <w:color w:val="005CA9"/>
                <w:sz w:val="14"/>
                <w:szCs w:val="14"/>
              </w:rPr>
              <w:t>3.511</w:t>
            </w:r>
          </w:p>
        </w:tc>
        <w:tc>
          <w:tcPr>
            <w:tcW w:w="388" w:type="pct"/>
            <w:tcBorders>
              <w:top w:val="nil"/>
              <w:left w:val="nil"/>
              <w:bottom w:val="nil"/>
              <w:right w:val="nil"/>
            </w:tcBorders>
            <w:vAlign w:val="center"/>
          </w:tcPr>
          <w:p w14:paraId="7B1459C3" w14:textId="77777777" w:rsidR="001E7F0C" w:rsidRPr="00996C00" w:rsidRDefault="001E7F0C">
            <w:pPr>
              <w:ind w:firstLineChars="100" w:firstLine="140"/>
              <w:jc w:val="right"/>
              <w:rPr>
                <w:rFonts w:ascii="CAIXA Std Book" w:eastAsia="Times New Roman" w:hAnsi="CAIXA Std Book" w:cs="Calibri"/>
                <w:color w:val="005CA9"/>
                <w:sz w:val="14"/>
                <w:szCs w:val="14"/>
              </w:rPr>
            </w:pPr>
            <w:r w:rsidRPr="00996C00">
              <w:rPr>
                <w:rFonts w:ascii="CAIXA Std Book" w:hAnsi="CAIXA Std Book" w:cs="Calibri"/>
                <w:color w:val="005CA9"/>
                <w:sz w:val="14"/>
                <w:szCs w:val="14"/>
              </w:rPr>
              <w:t>289.509.907</w:t>
            </w:r>
          </w:p>
        </w:tc>
        <w:tc>
          <w:tcPr>
            <w:tcW w:w="328" w:type="pct"/>
            <w:tcBorders>
              <w:top w:val="nil"/>
              <w:left w:val="nil"/>
              <w:bottom w:val="nil"/>
              <w:right w:val="nil"/>
            </w:tcBorders>
            <w:vAlign w:val="center"/>
          </w:tcPr>
          <w:p w14:paraId="56C4850D" w14:textId="77777777" w:rsidR="001E7F0C" w:rsidRPr="00996C00" w:rsidRDefault="001E7F0C">
            <w:pPr>
              <w:ind w:firstLineChars="100" w:firstLine="140"/>
              <w:jc w:val="right"/>
              <w:rPr>
                <w:rFonts w:ascii="CAIXA Std Book" w:eastAsia="Times New Roman" w:hAnsi="CAIXA Std Book" w:cs="Calibri"/>
                <w:color w:val="005CA9"/>
                <w:sz w:val="14"/>
                <w:szCs w:val="14"/>
              </w:rPr>
            </w:pPr>
            <w:r w:rsidRPr="00996C00">
              <w:rPr>
                <w:rFonts w:ascii="CAIXA Std Book" w:hAnsi="CAIXA Std Book" w:cs="Calibri"/>
                <w:color w:val="005CA9"/>
                <w:sz w:val="14"/>
                <w:szCs w:val="14"/>
              </w:rPr>
              <w:t>1.379.138</w:t>
            </w:r>
          </w:p>
        </w:tc>
        <w:tc>
          <w:tcPr>
            <w:tcW w:w="325" w:type="pct"/>
            <w:tcBorders>
              <w:top w:val="nil"/>
              <w:left w:val="nil"/>
              <w:bottom w:val="nil"/>
              <w:right w:val="nil"/>
            </w:tcBorders>
            <w:vAlign w:val="center"/>
          </w:tcPr>
          <w:p w14:paraId="4C311D43" w14:textId="77777777" w:rsidR="001E7F0C" w:rsidRPr="00996C00" w:rsidRDefault="001E7F0C">
            <w:pPr>
              <w:ind w:firstLineChars="100" w:firstLine="140"/>
              <w:jc w:val="center"/>
              <w:rPr>
                <w:rFonts w:ascii="CAIXA Std Book" w:eastAsia="Times New Roman" w:hAnsi="CAIXA Std Book" w:cs="Calibri"/>
                <w:color w:val="005CA9"/>
                <w:sz w:val="14"/>
                <w:szCs w:val="14"/>
              </w:rPr>
            </w:pPr>
            <w:r w:rsidRPr="00996C00">
              <w:rPr>
                <w:rFonts w:ascii="CAIXA Std Book" w:hAnsi="CAIXA Std Book" w:cs="Calibri"/>
                <w:color w:val="005CA9"/>
                <w:sz w:val="14"/>
                <w:szCs w:val="14"/>
              </w:rPr>
              <w:t>-</w:t>
            </w:r>
          </w:p>
        </w:tc>
        <w:tc>
          <w:tcPr>
            <w:tcW w:w="280" w:type="pct"/>
            <w:tcBorders>
              <w:top w:val="nil"/>
              <w:left w:val="nil"/>
              <w:bottom w:val="nil"/>
              <w:right w:val="nil"/>
            </w:tcBorders>
            <w:vAlign w:val="center"/>
          </w:tcPr>
          <w:p w14:paraId="133C6F81" w14:textId="77777777" w:rsidR="001E7F0C" w:rsidRPr="00996C00" w:rsidRDefault="001E7F0C">
            <w:pPr>
              <w:jc w:val="center"/>
              <w:rPr>
                <w:rFonts w:ascii="CAIXA Std Book" w:eastAsia="Times New Roman" w:hAnsi="CAIXA Std Book" w:cs="Calibri"/>
                <w:color w:val="005CA9"/>
                <w:sz w:val="14"/>
                <w:szCs w:val="14"/>
              </w:rPr>
            </w:pPr>
            <w:r w:rsidRPr="00996C00">
              <w:rPr>
                <w:rFonts w:ascii="CAIXA Std Book" w:hAnsi="CAIXA Std Book" w:cs="Calibri"/>
                <w:color w:val="005CA9"/>
                <w:sz w:val="14"/>
                <w:szCs w:val="14"/>
              </w:rPr>
              <w:t>-</w:t>
            </w:r>
          </w:p>
        </w:tc>
        <w:tc>
          <w:tcPr>
            <w:tcW w:w="287" w:type="pct"/>
            <w:tcBorders>
              <w:top w:val="nil"/>
              <w:left w:val="nil"/>
              <w:bottom w:val="nil"/>
              <w:right w:val="nil"/>
            </w:tcBorders>
            <w:vAlign w:val="center"/>
          </w:tcPr>
          <w:p w14:paraId="108E6B60" w14:textId="77777777" w:rsidR="001E7F0C" w:rsidRPr="00996C00" w:rsidRDefault="001E7F0C">
            <w:pPr>
              <w:ind w:firstLineChars="100" w:firstLine="140"/>
              <w:jc w:val="center"/>
              <w:rPr>
                <w:rFonts w:ascii="CAIXA Std Book" w:eastAsia="Times New Roman" w:hAnsi="CAIXA Std Book" w:cs="Calibri"/>
                <w:color w:val="005CA9"/>
                <w:sz w:val="14"/>
                <w:szCs w:val="14"/>
              </w:rPr>
            </w:pPr>
            <w:r w:rsidRPr="00996C00">
              <w:rPr>
                <w:rFonts w:ascii="CAIXA Std Book" w:hAnsi="CAIXA Std Book" w:cs="Calibri"/>
                <w:color w:val="005CA9"/>
                <w:sz w:val="14"/>
                <w:szCs w:val="14"/>
              </w:rPr>
              <w:t>-</w:t>
            </w:r>
          </w:p>
        </w:tc>
        <w:tc>
          <w:tcPr>
            <w:tcW w:w="388" w:type="pct"/>
            <w:tcBorders>
              <w:top w:val="nil"/>
              <w:left w:val="nil"/>
              <w:bottom w:val="nil"/>
              <w:right w:val="nil"/>
            </w:tcBorders>
            <w:noWrap/>
            <w:vAlign w:val="center"/>
          </w:tcPr>
          <w:p w14:paraId="42BA0E9A" w14:textId="77777777" w:rsidR="001E7F0C" w:rsidRPr="00996C00" w:rsidRDefault="001E7F0C">
            <w:pPr>
              <w:ind w:firstLineChars="100" w:firstLine="140"/>
              <w:jc w:val="right"/>
              <w:rPr>
                <w:rFonts w:ascii="CAIXA Std Book" w:eastAsia="Times New Roman" w:hAnsi="CAIXA Std Book" w:cs="Calibri"/>
                <w:color w:val="005CA9"/>
                <w:sz w:val="14"/>
                <w:szCs w:val="14"/>
              </w:rPr>
            </w:pPr>
            <w:r w:rsidRPr="00996C00">
              <w:rPr>
                <w:rFonts w:ascii="CAIXA Std Book" w:hAnsi="CAIXA Std Book" w:cs="Calibri"/>
                <w:color w:val="005CA9"/>
                <w:sz w:val="14"/>
                <w:szCs w:val="14"/>
              </w:rPr>
              <w:t>1.268.639</w:t>
            </w:r>
          </w:p>
        </w:tc>
      </w:tr>
      <w:tr w:rsidR="001E7F0C" w:rsidRPr="00A64197" w14:paraId="0BEFA0E5" w14:textId="77777777" w:rsidTr="005405DF">
        <w:trPr>
          <w:trHeight w:val="283"/>
          <w:jc w:val="center"/>
        </w:trPr>
        <w:tc>
          <w:tcPr>
            <w:tcW w:w="1037" w:type="pct"/>
            <w:tcBorders>
              <w:top w:val="nil"/>
              <w:left w:val="nil"/>
              <w:bottom w:val="nil"/>
              <w:right w:val="nil"/>
            </w:tcBorders>
            <w:noWrap/>
            <w:vAlign w:val="center"/>
          </w:tcPr>
          <w:p w14:paraId="7ED107B0" w14:textId="77777777" w:rsidR="001E7F0C" w:rsidRPr="0004269D" w:rsidRDefault="001E7F0C">
            <w:pPr>
              <w:rPr>
                <w:rFonts w:ascii="CAIXA Std Book" w:eastAsia="Times New Roman" w:hAnsi="CAIXA Std Book" w:cs="Arial"/>
                <w:color w:val="005CA9"/>
                <w:sz w:val="14"/>
                <w:szCs w:val="14"/>
              </w:rPr>
            </w:pPr>
            <w:r w:rsidRPr="0004269D">
              <w:rPr>
                <w:rFonts w:ascii="CAIXA Std Book" w:eastAsia="Times New Roman" w:hAnsi="CAIXA Std Book" w:cs="Arial"/>
                <w:color w:val="005CA9"/>
                <w:sz w:val="14"/>
                <w:szCs w:val="14"/>
              </w:rPr>
              <w:t>Rendas a receber</w:t>
            </w:r>
          </w:p>
        </w:tc>
        <w:tc>
          <w:tcPr>
            <w:tcW w:w="400" w:type="pct"/>
            <w:tcBorders>
              <w:top w:val="nil"/>
              <w:left w:val="nil"/>
              <w:bottom w:val="nil"/>
              <w:right w:val="nil"/>
            </w:tcBorders>
            <w:noWrap/>
            <w:vAlign w:val="center"/>
          </w:tcPr>
          <w:p w14:paraId="3420EAD7" w14:textId="0A573734" w:rsidR="001E7F0C" w:rsidRPr="00F2340E" w:rsidRDefault="004D2B14">
            <w:pPr>
              <w:jc w:val="right"/>
              <w:rPr>
                <w:rFonts w:ascii="CAIXA Std Book" w:eastAsia="Times New Roman" w:hAnsi="CAIXA Std Book" w:cs="Calibri"/>
                <w:color w:val="005CA9"/>
                <w:sz w:val="14"/>
                <w:szCs w:val="14"/>
              </w:rPr>
            </w:pPr>
            <w:r w:rsidRPr="0004269D">
              <w:rPr>
                <w:rFonts w:ascii="CAIXA Std Book" w:hAnsi="CAIXA Std Book" w:cs="Arial"/>
                <w:color w:val="005CA9"/>
                <w:sz w:val="14"/>
                <w:szCs w:val="14"/>
              </w:rPr>
              <w:t>680.185</w:t>
            </w:r>
          </w:p>
        </w:tc>
        <w:tc>
          <w:tcPr>
            <w:tcW w:w="328" w:type="pct"/>
            <w:vAlign w:val="center"/>
          </w:tcPr>
          <w:p w14:paraId="6DDE1657" w14:textId="084751F6" w:rsidR="001E7F0C" w:rsidRPr="00F2340E" w:rsidRDefault="004D2B14" w:rsidP="004D2B14">
            <w:pPr>
              <w:jc w:val="right"/>
              <w:rPr>
                <w:rFonts w:ascii="CAIXA Std Book" w:eastAsia="Times New Roman" w:hAnsi="CAIXA Std Book" w:cs="Arial"/>
                <w:color w:val="005CA9"/>
                <w:sz w:val="14"/>
                <w:szCs w:val="14"/>
              </w:rPr>
            </w:pPr>
            <w:r w:rsidRPr="0004269D">
              <w:rPr>
                <w:rFonts w:ascii="CAIXA Std Book" w:hAnsi="CAIXA Std Book" w:cs="Arial"/>
                <w:color w:val="005CA9"/>
                <w:sz w:val="14"/>
                <w:szCs w:val="14"/>
              </w:rPr>
              <w:t>1.237.593</w:t>
            </w:r>
          </w:p>
        </w:tc>
        <w:tc>
          <w:tcPr>
            <w:tcW w:w="325" w:type="pct"/>
            <w:tcBorders>
              <w:top w:val="nil"/>
              <w:left w:val="nil"/>
              <w:bottom w:val="nil"/>
              <w:right w:val="nil"/>
            </w:tcBorders>
            <w:noWrap/>
            <w:vAlign w:val="center"/>
          </w:tcPr>
          <w:p w14:paraId="7C0BF872" w14:textId="6D265B77" w:rsidR="001E7F0C" w:rsidRPr="00F2340E" w:rsidRDefault="004D2B14" w:rsidP="004D2B14">
            <w:pPr>
              <w:jc w:val="right"/>
              <w:rPr>
                <w:rFonts w:ascii="CAIXA Std Book" w:eastAsia="Times New Roman" w:hAnsi="CAIXA Std Book" w:cs="Calibri"/>
                <w:color w:val="005CA9"/>
                <w:sz w:val="14"/>
                <w:szCs w:val="14"/>
              </w:rPr>
            </w:pPr>
            <w:r w:rsidRPr="0004269D">
              <w:rPr>
                <w:rFonts w:ascii="CAIXA Std Book" w:hAnsi="CAIXA Std Book" w:cs="Arial"/>
                <w:color w:val="005CA9"/>
                <w:sz w:val="14"/>
                <w:szCs w:val="14"/>
              </w:rPr>
              <w:t>80.773</w:t>
            </w:r>
          </w:p>
        </w:tc>
        <w:tc>
          <w:tcPr>
            <w:tcW w:w="328" w:type="pct"/>
            <w:tcBorders>
              <w:top w:val="nil"/>
              <w:left w:val="nil"/>
              <w:bottom w:val="nil"/>
              <w:right w:val="nil"/>
            </w:tcBorders>
            <w:noWrap/>
            <w:vAlign w:val="center"/>
          </w:tcPr>
          <w:p w14:paraId="72471C88" w14:textId="71C84D3E" w:rsidR="001E7F0C" w:rsidRPr="00F2340E" w:rsidRDefault="004D2B14" w:rsidP="004D2B14">
            <w:pPr>
              <w:jc w:val="right"/>
              <w:rPr>
                <w:rFonts w:ascii="CAIXA Std Book" w:eastAsia="Times New Roman" w:hAnsi="CAIXA Std Book" w:cs="Calibri"/>
                <w:color w:val="005CA9"/>
                <w:sz w:val="14"/>
                <w:szCs w:val="14"/>
              </w:rPr>
            </w:pPr>
            <w:r w:rsidRPr="0004269D">
              <w:rPr>
                <w:rFonts w:ascii="CAIXA Std Book" w:hAnsi="CAIXA Std Book" w:cs="Arial"/>
                <w:color w:val="005CA9"/>
                <w:sz w:val="14"/>
                <w:szCs w:val="14"/>
              </w:rPr>
              <w:t>2.429</w:t>
            </w:r>
          </w:p>
        </w:tc>
        <w:tc>
          <w:tcPr>
            <w:tcW w:w="227" w:type="pct"/>
            <w:tcBorders>
              <w:top w:val="nil"/>
              <w:left w:val="nil"/>
              <w:bottom w:val="nil"/>
              <w:right w:val="nil"/>
            </w:tcBorders>
            <w:vAlign w:val="center"/>
          </w:tcPr>
          <w:p w14:paraId="2D1E75A2" w14:textId="684D2B7E" w:rsidR="001E7F0C" w:rsidRPr="00F2340E" w:rsidRDefault="004D2B14" w:rsidP="004D2B14">
            <w:pPr>
              <w:ind w:firstLine="113"/>
              <w:jc w:val="center"/>
              <w:rPr>
                <w:rFonts w:ascii="CAIXA Std Book" w:eastAsia="Times New Roman" w:hAnsi="CAIXA Std Book" w:cs="Calibri"/>
                <w:color w:val="005CA9"/>
                <w:sz w:val="14"/>
                <w:szCs w:val="14"/>
              </w:rPr>
            </w:pPr>
            <w:r w:rsidRPr="0004269D">
              <w:rPr>
                <w:rFonts w:ascii="CAIXA Std Book" w:hAnsi="CAIXA Std Book" w:cs="Arial"/>
                <w:color w:val="005CA9"/>
                <w:sz w:val="14"/>
                <w:szCs w:val="14"/>
              </w:rPr>
              <w:t>-</w:t>
            </w:r>
          </w:p>
        </w:tc>
        <w:tc>
          <w:tcPr>
            <w:tcW w:w="358" w:type="pct"/>
            <w:tcBorders>
              <w:top w:val="nil"/>
              <w:left w:val="nil"/>
              <w:bottom w:val="nil"/>
              <w:right w:val="nil"/>
            </w:tcBorders>
            <w:vAlign w:val="center"/>
          </w:tcPr>
          <w:p w14:paraId="049394CF" w14:textId="1FFF10F9" w:rsidR="001E7F0C" w:rsidRPr="00F2340E" w:rsidRDefault="004D2B14" w:rsidP="004D2B14">
            <w:pPr>
              <w:jc w:val="right"/>
              <w:rPr>
                <w:rFonts w:ascii="CAIXA Std Book" w:eastAsia="Times New Roman" w:hAnsi="CAIXA Std Book" w:cs="Calibri"/>
                <w:color w:val="005CA9"/>
                <w:sz w:val="14"/>
                <w:szCs w:val="14"/>
              </w:rPr>
            </w:pPr>
            <w:r w:rsidRPr="0004269D">
              <w:rPr>
                <w:rFonts w:ascii="CAIXA Std Book" w:hAnsi="CAIXA Std Book" w:cs="Arial"/>
                <w:color w:val="005CA9"/>
                <w:sz w:val="14"/>
                <w:szCs w:val="14"/>
              </w:rPr>
              <w:t>420.403</w:t>
            </w:r>
          </w:p>
        </w:tc>
        <w:tc>
          <w:tcPr>
            <w:tcW w:w="388" w:type="pct"/>
            <w:tcBorders>
              <w:top w:val="nil"/>
              <w:left w:val="nil"/>
              <w:bottom w:val="nil"/>
              <w:right w:val="nil"/>
            </w:tcBorders>
            <w:vAlign w:val="center"/>
          </w:tcPr>
          <w:p w14:paraId="2CC06B38" w14:textId="77777777" w:rsidR="001E7F0C" w:rsidRPr="00996C00" w:rsidRDefault="001E7F0C">
            <w:pPr>
              <w:ind w:firstLineChars="100" w:firstLine="140"/>
              <w:jc w:val="right"/>
              <w:rPr>
                <w:rFonts w:ascii="CAIXA Std Book" w:eastAsia="Times New Roman" w:hAnsi="CAIXA Std Book" w:cs="Calibri"/>
                <w:color w:val="005CA9"/>
                <w:sz w:val="14"/>
                <w:szCs w:val="14"/>
              </w:rPr>
            </w:pPr>
            <w:r w:rsidRPr="00996C00">
              <w:rPr>
                <w:rFonts w:ascii="CAIXA Std Book" w:hAnsi="CAIXA Std Book" w:cs="Calibri"/>
                <w:color w:val="005CA9"/>
                <w:sz w:val="14"/>
                <w:szCs w:val="14"/>
              </w:rPr>
              <w:t>662.955</w:t>
            </w:r>
          </w:p>
        </w:tc>
        <w:tc>
          <w:tcPr>
            <w:tcW w:w="328" w:type="pct"/>
            <w:tcBorders>
              <w:top w:val="nil"/>
              <w:left w:val="nil"/>
              <w:bottom w:val="nil"/>
              <w:right w:val="nil"/>
            </w:tcBorders>
            <w:vAlign w:val="center"/>
          </w:tcPr>
          <w:p w14:paraId="6CDE08A6" w14:textId="77777777" w:rsidR="001E7F0C" w:rsidRPr="00996C00" w:rsidRDefault="001E7F0C">
            <w:pPr>
              <w:ind w:firstLineChars="100" w:firstLine="140"/>
              <w:jc w:val="right"/>
              <w:rPr>
                <w:rFonts w:ascii="CAIXA Std Book" w:eastAsia="Times New Roman" w:hAnsi="CAIXA Std Book" w:cs="Calibri"/>
                <w:color w:val="005CA9"/>
                <w:sz w:val="14"/>
                <w:szCs w:val="14"/>
              </w:rPr>
            </w:pPr>
            <w:r w:rsidRPr="00996C00">
              <w:rPr>
                <w:rFonts w:ascii="CAIXA Std Book" w:hAnsi="CAIXA Std Book" w:cs="Calibri"/>
                <w:color w:val="005CA9"/>
                <w:sz w:val="14"/>
                <w:szCs w:val="14"/>
              </w:rPr>
              <w:t>332.622</w:t>
            </w:r>
          </w:p>
        </w:tc>
        <w:tc>
          <w:tcPr>
            <w:tcW w:w="325" w:type="pct"/>
            <w:tcBorders>
              <w:top w:val="nil"/>
              <w:left w:val="nil"/>
              <w:bottom w:val="nil"/>
              <w:right w:val="nil"/>
            </w:tcBorders>
            <w:vAlign w:val="center"/>
          </w:tcPr>
          <w:p w14:paraId="1CFEC92F" w14:textId="77777777" w:rsidR="001E7F0C" w:rsidRPr="00996C00" w:rsidRDefault="001E7F0C">
            <w:pPr>
              <w:ind w:firstLineChars="100" w:firstLine="140"/>
              <w:jc w:val="right"/>
              <w:rPr>
                <w:rFonts w:ascii="CAIXA Std Book" w:eastAsia="Times New Roman" w:hAnsi="CAIXA Std Book" w:cs="Calibri"/>
                <w:color w:val="005CA9"/>
                <w:sz w:val="14"/>
                <w:szCs w:val="14"/>
              </w:rPr>
            </w:pPr>
            <w:r w:rsidRPr="00996C00">
              <w:rPr>
                <w:rFonts w:ascii="CAIXA Std Book" w:hAnsi="CAIXA Std Book" w:cs="Calibri"/>
                <w:color w:val="005CA9"/>
                <w:sz w:val="14"/>
                <w:szCs w:val="14"/>
              </w:rPr>
              <w:t>165.368</w:t>
            </w:r>
          </w:p>
        </w:tc>
        <w:tc>
          <w:tcPr>
            <w:tcW w:w="280" w:type="pct"/>
            <w:tcBorders>
              <w:top w:val="nil"/>
              <w:left w:val="nil"/>
              <w:bottom w:val="nil"/>
              <w:right w:val="nil"/>
            </w:tcBorders>
            <w:vAlign w:val="center"/>
          </w:tcPr>
          <w:p w14:paraId="7578D3BB" w14:textId="77777777" w:rsidR="001E7F0C" w:rsidRPr="00996C00" w:rsidRDefault="001E7F0C">
            <w:pPr>
              <w:jc w:val="right"/>
              <w:rPr>
                <w:rFonts w:ascii="CAIXA Std Book" w:eastAsia="Times New Roman" w:hAnsi="CAIXA Std Book" w:cs="Calibri"/>
                <w:color w:val="005CA9"/>
                <w:sz w:val="14"/>
                <w:szCs w:val="14"/>
              </w:rPr>
            </w:pPr>
            <w:r w:rsidRPr="00996C00">
              <w:rPr>
                <w:rFonts w:ascii="CAIXA Std Book" w:hAnsi="CAIXA Std Book" w:cs="Calibri"/>
                <w:color w:val="005CA9"/>
                <w:sz w:val="14"/>
                <w:szCs w:val="14"/>
              </w:rPr>
              <w:t>49.327</w:t>
            </w:r>
          </w:p>
        </w:tc>
        <w:tc>
          <w:tcPr>
            <w:tcW w:w="287" w:type="pct"/>
            <w:tcBorders>
              <w:top w:val="nil"/>
              <w:left w:val="nil"/>
              <w:bottom w:val="nil"/>
              <w:right w:val="nil"/>
            </w:tcBorders>
            <w:vAlign w:val="center"/>
          </w:tcPr>
          <w:p w14:paraId="375FADF6" w14:textId="77777777" w:rsidR="001E7F0C" w:rsidRPr="00996C00" w:rsidRDefault="001E7F0C">
            <w:pPr>
              <w:ind w:firstLineChars="100" w:firstLine="140"/>
              <w:jc w:val="center"/>
              <w:rPr>
                <w:rFonts w:ascii="CAIXA Std Book" w:eastAsia="Times New Roman" w:hAnsi="CAIXA Std Book" w:cs="Calibri"/>
                <w:color w:val="005CA9"/>
                <w:sz w:val="14"/>
                <w:szCs w:val="14"/>
              </w:rPr>
            </w:pPr>
            <w:r w:rsidRPr="00996C00">
              <w:rPr>
                <w:rFonts w:ascii="CAIXA Std Book" w:hAnsi="CAIXA Std Book" w:cs="Calibri"/>
                <w:color w:val="005CA9"/>
                <w:sz w:val="14"/>
                <w:szCs w:val="14"/>
              </w:rPr>
              <w:t>-</w:t>
            </w:r>
          </w:p>
        </w:tc>
        <w:tc>
          <w:tcPr>
            <w:tcW w:w="388" w:type="pct"/>
            <w:tcBorders>
              <w:top w:val="nil"/>
              <w:left w:val="nil"/>
              <w:bottom w:val="nil"/>
              <w:right w:val="nil"/>
            </w:tcBorders>
            <w:noWrap/>
            <w:vAlign w:val="center"/>
          </w:tcPr>
          <w:p w14:paraId="6CA1881D" w14:textId="77777777" w:rsidR="001E7F0C" w:rsidRPr="00996C00" w:rsidRDefault="001E7F0C">
            <w:pPr>
              <w:ind w:firstLineChars="100" w:firstLine="140"/>
              <w:jc w:val="right"/>
              <w:rPr>
                <w:rFonts w:ascii="CAIXA Std Book" w:eastAsia="Times New Roman" w:hAnsi="CAIXA Std Book" w:cs="Calibri"/>
                <w:color w:val="005CA9"/>
                <w:sz w:val="14"/>
                <w:szCs w:val="14"/>
              </w:rPr>
            </w:pPr>
            <w:r w:rsidRPr="00996C00">
              <w:rPr>
                <w:rFonts w:ascii="CAIXA Std Book" w:hAnsi="CAIXA Std Book" w:cs="Calibri"/>
                <w:color w:val="005CA9"/>
                <w:sz w:val="14"/>
                <w:szCs w:val="14"/>
              </w:rPr>
              <w:t>159.860</w:t>
            </w:r>
          </w:p>
        </w:tc>
      </w:tr>
      <w:tr w:rsidR="001E7F0C" w:rsidRPr="00A64197" w14:paraId="42550F56" w14:textId="77777777" w:rsidTr="005405DF">
        <w:trPr>
          <w:trHeight w:val="283"/>
          <w:jc w:val="center"/>
        </w:trPr>
        <w:tc>
          <w:tcPr>
            <w:tcW w:w="1037" w:type="pct"/>
            <w:tcBorders>
              <w:top w:val="nil"/>
              <w:left w:val="nil"/>
              <w:bottom w:val="nil"/>
              <w:right w:val="nil"/>
            </w:tcBorders>
            <w:noWrap/>
            <w:vAlign w:val="center"/>
          </w:tcPr>
          <w:p w14:paraId="02FC3B73" w14:textId="77777777" w:rsidR="001E7F0C" w:rsidRPr="0004269D" w:rsidRDefault="001E7F0C">
            <w:pPr>
              <w:rPr>
                <w:rFonts w:ascii="CAIXA Std Book" w:eastAsia="Times New Roman" w:hAnsi="CAIXA Std Book" w:cs="Arial"/>
                <w:color w:val="005CA9"/>
                <w:sz w:val="14"/>
                <w:szCs w:val="14"/>
              </w:rPr>
            </w:pPr>
            <w:r w:rsidRPr="0004269D">
              <w:rPr>
                <w:rFonts w:ascii="CAIXA Std Book" w:eastAsia="Times New Roman" w:hAnsi="CAIXA Std Book" w:cs="Arial"/>
                <w:color w:val="005CA9"/>
                <w:sz w:val="14"/>
                <w:szCs w:val="14"/>
              </w:rPr>
              <w:t>Operações de crédito</w:t>
            </w:r>
          </w:p>
        </w:tc>
        <w:tc>
          <w:tcPr>
            <w:tcW w:w="400" w:type="pct"/>
            <w:tcBorders>
              <w:top w:val="nil"/>
              <w:left w:val="nil"/>
              <w:bottom w:val="nil"/>
              <w:right w:val="nil"/>
            </w:tcBorders>
            <w:noWrap/>
            <w:vAlign w:val="center"/>
          </w:tcPr>
          <w:p w14:paraId="21815E7B" w14:textId="4A67E0E3" w:rsidR="001E7F0C" w:rsidRPr="00F2340E" w:rsidRDefault="0019377D" w:rsidP="00C144C2">
            <w:pPr>
              <w:jc w:val="center"/>
              <w:rPr>
                <w:rFonts w:ascii="CAIXA Std Book" w:eastAsia="Times New Roman" w:hAnsi="CAIXA Std Book" w:cs="Calibri"/>
                <w:color w:val="005CA9"/>
                <w:sz w:val="14"/>
                <w:szCs w:val="14"/>
              </w:rPr>
            </w:pPr>
            <w:r w:rsidRPr="0004269D">
              <w:rPr>
                <w:rFonts w:ascii="CAIXA Std Book" w:hAnsi="CAIXA Std Book" w:cs="Arial"/>
                <w:color w:val="005CA9"/>
                <w:sz w:val="14"/>
                <w:szCs w:val="14"/>
              </w:rPr>
              <w:t>-</w:t>
            </w:r>
          </w:p>
        </w:tc>
        <w:tc>
          <w:tcPr>
            <w:tcW w:w="328" w:type="pct"/>
            <w:vAlign w:val="center"/>
          </w:tcPr>
          <w:p w14:paraId="7B1254E5" w14:textId="2D7D76F0" w:rsidR="001E7F0C" w:rsidRPr="00F2340E" w:rsidRDefault="0019377D">
            <w:pPr>
              <w:jc w:val="center"/>
              <w:rPr>
                <w:rFonts w:ascii="CAIXA Std Book" w:eastAsia="Times New Roman" w:hAnsi="CAIXA Std Book" w:cs="Arial"/>
                <w:color w:val="005CA9"/>
                <w:sz w:val="14"/>
                <w:szCs w:val="14"/>
              </w:rPr>
            </w:pPr>
            <w:r w:rsidRPr="0004269D">
              <w:rPr>
                <w:rFonts w:ascii="CAIXA Std Book" w:hAnsi="CAIXA Std Book" w:cs="Arial"/>
                <w:color w:val="005CA9"/>
                <w:sz w:val="14"/>
                <w:szCs w:val="14"/>
              </w:rPr>
              <w:t>-</w:t>
            </w:r>
          </w:p>
        </w:tc>
        <w:tc>
          <w:tcPr>
            <w:tcW w:w="325" w:type="pct"/>
            <w:tcBorders>
              <w:top w:val="nil"/>
              <w:left w:val="nil"/>
              <w:bottom w:val="nil"/>
              <w:right w:val="nil"/>
            </w:tcBorders>
            <w:noWrap/>
            <w:vAlign w:val="center"/>
          </w:tcPr>
          <w:p w14:paraId="094FDF96" w14:textId="1B55BDE4" w:rsidR="001E7F0C" w:rsidRPr="00F2340E" w:rsidRDefault="0019377D">
            <w:pPr>
              <w:jc w:val="center"/>
              <w:rPr>
                <w:rFonts w:ascii="CAIXA Std Book" w:eastAsia="Times New Roman" w:hAnsi="CAIXA Std Book" w:cs="Calibri"/>
                <w:color w:val="005CA9"/>
                <w:sz w:val="14"/>
                <w:szCs w:val="14"/>
              </w:rPr>
            </w:pPr>
            <w:r w:rsidRPr="0004269D">
              <w:rPr>
                <w:rFonts w:ascii="CAIXA Std Book" w:hAnsi="CAIXA Std Book" w:cs="Arial"/>
                <w:color w:val="005CA9"/>
                <w:sz w:val="14"/>
                <w:szCs w:val="14"/>
              </w:rPr>
              <w:t>-</w:t>
            </w:r>
          </w:p>
        </w:tc>
        <w:tc>
          <w:tcPr>
            <w:tcW w:w="328" w:type="pct"/>
            <w:tcBorders>
              <w:top w:val="nil"/>
              <w:left w:val="nil"/>
              <w:bottom w:val="nil"/>
              <w:right w:val="nil"/>
            </w:tcBorders>
            <w:noWrap/>
            <w:vAlign w:val="center"/>
          </w:tcPr>
          <w:p w14:paraId="584143D9" w14:textId="38E46ADE" w:rsidR="001E7F0C" w:rsidRPr="00F2340E" w:rsidRDefault="0019377D">
            <w:pPr>
              <w:jc w:val="center"/>
              <w:rPr>
                <w:rFonts w:ascii="CAIXA Std Book" w:eastAsia="Times New Roman" w:hAnsi="CAIXA Std Book" w:cs="Calibri"/>
                <w:color w:val="005CA9"/>
                <w:sz w:val="14"/>
                <w:szCs w:val="14"/>
              </w:rPr>
            </w:pPr>
            <w:r w:rsidRPr="0004269D">
              <w:rPr>
                <w:rFonts w:ascii="CAIXA Std Book" w:hAnsi="CAIXA Std Book" w:cs="Arial"/>
                <w:color w:val="005CA9"/>
                <w:sz w:val="14"/>
                <w:szCs w:val="14"/>
              </w:rPr>
              <w:t>-</w:t>
            </w:r>
          </w:p>
        </w:tc>
        <w:tc>
          <w:tcPr>
            <w:tcW w:w="227" w:type="pct"/>
            <w:tcBorders>
              <w:top w:val="nil"/>
              <w:left w:val="nil"/>
              <w:bottom w:val="nil"/>
              <w:right w:val="nil"/>
            </w:tcBorders>
            <w:vAlign w:val="center"/>
          </w:tcPr>
          <w:p w14:paraId="5AD4CB2D" w14:textId="34CB85A8" w:rsidR="001E7F0C" w:rsidRPr="00F2340E" w:rsidRDefault="0019377D" w:rsidP="0019377D">
            <w:pPr>
              <w:jc w:val="right"/>
              <w:rPr>
                <w:rFonts w:ascii="CAIXA Std Book" w:eastAsia="Times New Roman" w:hAnsi="CAIXA Std Book" w:cs="Calibri"/>
                <w:color w:val="005CA9"/>
                <w:sz w:val="14"/>
                <w:szCs w:val="14"/>
              </w:rPr>
            </w:pPr>
            <w:r w:rsidRPr="0004269D">
              <w:rPr>
                <w:rFonts w:ascii="CAIXA Std Book" w:hAnsi="CAIXA Std Book" w:cs="Arial"/>
                <w:color w:val="005CA9"/>
                <w:sz w:val="14"/>
                <w:szCs w:val="14"/>
              </w:rPr>
              <w:t>3.034</w:t>
            </w:r>
          </w:p>
        </w:tc>
        <w:tc>
          <w:tcPr>
            <w:tcW w:w="358" w:type="pct"/>
            <w:tcBorders>
              <w:top w:val="nil"/>
              <w:left w:val="nil"/>
              <w:bottom w:val="nil"/>
              <w:right w:val="nil"/>
            </w:tcBorders>
            <w:vAlign w:val="center"/>
          </w:tcPr>
          <w:p w14:paraId="3083540A" w14:textId="09697F85" w:rsidR="001E7F0C" w:rsidRPr="00F2340E" w:rsidRDefault="0019377D" w:rsidP="0019377D">
            <w:pPr>
              <w:jc w:val="right"/>
              <w:rPr>
                <w:rFonts w:ascii="CAIXA Std Book" w:eastAsia="Times New Roman" w:hAnsi="CAIXA Std Book" w:cs="Calibri"/>
                <w:color w:val="005CA9"/>
                <w:sz w:val="14"/>
                <w:szCs w:val="14"/>
              </w:rPr>
            </w:pPr>
            <w:r w:rsidRPr="0004269D">
              <w:rPr>
                <w:rFonts w:ascii="CAIXA Std Book" w:hAnsi="CAIXA Std Book" w:cs="Arial"/>
                <w:color w:val="005CA9"/>
                <w:sz w:val="14"/>
                <w:szCs w:val="14"/>
              </w:rPr>
              <w:t>6.564.908</w:t>
            </w:r>
          </w:p>
        </w:tc>
        <w:tc>
          <w:tcPr>
            <w:tcW w:w="388" w:type="pct"/>
            <w:tcBorders>
              <w:top w:val="nil"/>
              <w:left w:val="nil"/>
              <w:bottom w:val="nil"/>
              <w:right w:val="nil"/>
            </w:tcBorders>
            <w:vAlign w:val="center"/>
          </w:tcPr>
          <w:p w14:paraId="393BE38B" w14:textId="77777777" w:rsidR="001E7F0C" w:rsidRPr="00996C00" w:rsidRDefault="001E7F0C">
            <w:pPr>
              <w:ind w:firstLineChars="100" w:firstLine="140"/>
              <w:jc w:val="right"/>
              <w:rPr>
                <w:rFonts w:ascii="CAIXA Std Book" w:eastAsia="Times New Roman" w:hAnsi="CAIXA Std Book" w:cs="Calibri"/>
                <w:color w:val="005CA9"/>
                <w:sz w:val="14"/>
                <w:szCs w:val="14"/>
              </w:rPr>
            </w:pPr>
            <w:r w:rsidRPr="00996C00">
              <w:rPr>
                <w:rFonts w:ascii="CAIXA Std Book" w:hAnsi="CAIXA Std Book" w:cs="Calibri"/>
                <w:color w:val="005CA9"/>
                <w:sz w:val="14"/>
                <w:szCs w:val="14"/>
              </w:rPr>
              <w:t>29</w:t>
            </w:r>
          </w:p>
        </w:tc>
        <w:tc>
          <w:tcPr>
            <w:tcW w:w="328" w:type="pct"/>
            <w:tcBorders>
              <w:top w:val="nil"/>
              <w:left w:val="nil"/>
              <w:bottom w:val="nil"/>
              <w:right w:val="nil"/>
            </w:tcBorders>
            <w:vAlign w:val="center"/>
          </w:tcPr>
          <w:p w14:paraId="49951227" w14:textId="77777777" w:rsidR="001E7F0C" w:rsidRPr="00996C00" w:rsidRDefault="001E7F0C">
            <w:pPr>
              <w:ind w:firstLineChars="100" w:firstLine="140"/>
              <w:jc w:val="center"/>
              <w:rPr>
                <w:rFonts w:ascii="CAIXA Std Book" w:eastAsia="Times New Roman" w:hAnsi="CAIXA Std Book" w:cs="Calibri"/>
                <w:color w:val="005CA9"/>
                <w:sz w:val="14"/>
                <w:szCs w:val="14"/>
              </w:rPr>
            </w:pPr>
            <w:r w:rsidRPr="00996C00">
              <w:rPr>
                <w:rFonts w:ascii="CAIXA Std Book" w:hAnsi="CAIXA Std Book" w:cs="Calibri"/>
                <w:color w:val="005CA9"/>
                <w:sz w:val="14"/>
                <w:szCs w:val="14"/>
              </w:rPr>
              <w:t>-</w:t>
            </w:r>
          </w:p>
        </w:tc>
        <w:tc>
          <w:tcPr>
            <w:tcW w:w="325" w:type="pct"/>
            <w:tcBorders>
              <w:top w:val="nil"/>
              <w:left w:val="nil"/>
              <w:bottom w:val="nil"/>
              <w:right w:val="nil"/>
            </w:tcBorders>
            <w:vAlign w:val="center"/>
          </w:tcPr>
          <w:p w14:paraId="76E64705" w14:textId="77777777" w:rsidR="001E7F0C" w:rsidRPr="00996C00" w:rsidRDefault="001E7F0C">
            <w:pPr>
              <w:ind w:firstLineChars="100" w:firstLine="140"/>
              <w:jc w:val="center"/>
              <w:rPr>
                <w:rFonts w:ascii="CAIXA Std Book" w:eastAsia="Times New Roman" w:hAnsi="CAIXA Std Book" w:cs="Calibri"/>
                <w:color w:val="005CA9"/>
                <w:sz w:val="14"/>
                <w:szCs w:val="14"/>
              </w:rPr>
            </w:pPr>
            <w:r w:rsidRPr="00996C00">
              <w:rPr>
                <w:rFonts w:ascii="CAIXA Std Book" w:hAnsi="CAIXA Std Book" w:cs="Calibri"/>
                <w:color w:val="005CA9"/>
                <w:sz w:val="14"/>
                <w:szCs w:val="14"/>
              </w:rPr>
              <w:t>-</w:t>
            </w:r>
          </w:p>
        </w:tc>
        <w:tc>
          <w:tcPr>
            <w:tcW w:w="280" w:type="pct"/>
            <w:tcBorders>
              <w:top w:val="nil"/>
              <w:left w:val="nil"/>
              <w:bottom w:val="nil"/>
              <w:right w:val="nil"/>
            </w:tcBorders>
            <w:vAlign w:val="center"/>
          </w:tcPr>
          <w:p w14:paraId="7B3F7762" w14:textId="77777777" w:rsidR="001E7F0C" w:rsidRPr="00996C00" w:rsidRDefault="001E7F0C">
            <w:pPr>
              <w:jc w:val="center"/>
              <w:rPr>
                <w:rFonts w:ascii="CAIXA Std Book" w:eastAsia="Times New Roman" w:hAnsi="CAIXA Std Book" w:cs="Calibri"/>
                <w:color w:val="005CA9"/>
                <w:sz w:val="14"/>
                <w:szCs w:val="14"/>
              </w:rPr>
            </w:pPr>
            <w:r w:rsidRPr="00996C00">
              <w:rPr>
                <w:rFonts w:ascii="CAIXA Std Book" w:hAnsi="CAIXA Std Book" w:cs="Calibri"/>
                <w:color w:val="005CA9"/>
                <w:sz w:val="14"/>
                <w:szCs w:val="14"/>
              </w:rPr>
              <w:t>-</w:t>
            </w:r>
          </w:p>
        </w:tc>
        <w:tc>
          <w:tcPr>
            <w:tcW w:w="287" w:type="pct"/>
            <w:tcBorders>
              <w:top w:val="nil"/>
              <w:left w:val="nil"/>
              <w:bottom w:val="nil"/>
              <w:right w:val="nil"/>
            </w:tcBorders>
            <w:vAlign w:val="center"/>
          </w:tcPr>
          <w:p w14:paraId="4CD3F272" w14:textId="77777777" w:rsidR="001E7F0C" w:rsidRPr="00996C00" w:rsidRDefault="001E7F0C">
            <w:pPr>
              <w:ind w:firstLineChars="100" w:firstLine="140"/>
              <w:jc w:val="right"/>
              <w:rPr>
                <w:rFonts w:ascii="CAIXA Std Book" w:eastAsia="Times New Roman" w:hAnsi="CAIXA Std Book" w:cs="Calibri"/>
                <w:color w:val="005CA9"/>
                <w:sz w:val="14"/>
                <w:szCs w:val="14"/>
              </w:rPr>
            </w:pPr>
            <w:r w:rsidRPr="00996C00">
              <w:rPr>
                <w:rFonts w:ascii="CAIXA Std Book" w:hAnsi="CAIXA Std Book" w:cs="Calibri"/>
                <w:color w:val="005CA9"/>
                <w:sz w:val="14"/>
                <w:szCs w:val="14"/>
              </w:rPr>
              <w:t>36.105</w:t>
            </w:r>
          </w:p>
        </w:tc>
        <w:tc>
          <w:tcPr>
            <w:tcW w:w="388" w:type="pct"/>
            <w:tcBorders>
              <w:top w:val="nil"/>
              <w:left w:val="nil"/>
              <w:bottom w:val="nil"/>
              <w:right w:val="nil"/>
            </w:tcBorders>
            <w:noWrap/>
            <w:vAlign w:val="center"/>
          </w:tcPr>
          <w:p w14:paraId="7A08E563" w14:textId="77777777" w:rsidR="001E7F0C" w:rsidRPr="00996C00" w:rsidRDefault="001E7F0C">
            <w:pPr>
              <w:ind w:firstLineChars="100" w:firstLine="140"/>
              <w:jc w:val="right"/>
              <w:rPr>
                <w:rFonts w:ascii="CAIXA Std Book" w:eastAsia="Times New Roman" w:hAnsi="CAIXA Std Book" w:cs="Calibri"/>
                <w:color w:val="005CA9"/>
                <w:sz w:val="14"/>
                <w:szCs w:val="14"/>
              </w:rPr>
            </w:pPr>
            <w:r w:rsidRPr="00996C00">
              <w:rPr>
                <w:rFonts w:ascii="CAIXA Std Book" w:hAnsi="CAIXA Std Book" w:cs="Calibri"/>
                <w:color w:val="005CA9"/>
                <w:sz w:val="14"/>
                <w:szCs w:val="14"/>
              </w:rPr>
              <w:t>3.191.030</w:t>
            </w:r>
          </w:p>
        </w:tc>
      </w:tr>
      <w:tr w:rsidR="001E7F0C" w:rsidRPr="00A64197" w14:paraId="3AF3E216" w14:textId="77777777" w:rsidTr="005405DF">
        <w:trPr>
          <w:trHeight w:val="283"/>
          <w:jc w:val="center"/>
        </w:trPr>
        <w:tc>
          <w:tcPr>
            <w:tcW w:w="1037" w:type="pct"/>
            <w:tcBorders>
              <w:top w:val="nil"/>
              <w:left w:val="nil"/>
              <w:bottom w:val="nil"/>
              <w:right w:val="nil"/>
            </w:tcBorders>
            <w:noWrap/>
            <w:vAlign w:val="center"/>
          </w:tcPr>
          <w:p w14:paraId="543A2032" w14:textId="77777777" w:rsidR="001E7F0C" w:rsidRPr="0004269D" w:rsidRDefault="001E7F0C">
            <w:pPr>
              <w:rPr>
                <w:rFonts w:ascii="CAIXA Std Book" w:eastAsia="Times New Roman" w:hAnsi="CAIXA Std Book" w:cs="Arial"/>
                <w:color w:val="005CA9"/>
                <w:sz w:val="14"/>
                <w:szCs w:val="14"/>
              </w:rPr>
            </w:pPr>
            <w:r w:rsidRPr="0004269D">
              <w:rPr>
                <w:rFonts w:ascii="CAIXA Std Book" w:eastAsia="Times New Roman" w:hAnsi="CAIXA Std Book" w:cs="Arial"/>
                <w:color w:val="005CA9"/>
                <w:sz w:val="14"/>
                <w:szCs w:val="14"/>
              </w:rPr>
              <w:t>Perdas esperadas em operações de crédito</w:t>
            </w:r>
          </w:p>
        </w:tc>
        <w:tc>
          <w:tcPr>
            <w:tcW w:w="400" w:type="pct"/>
            <w:tcBorders>
              <w:top w:val="nil"/>
              <w:left w:val="nil"/>
              <w:bottom w:val="nil"/>
              <w:right w:val="nil"/>
            </w:tcBorders>
            <w:noWrap/>
            <w:vAlign w:val="center"/>
          </w:tcPr>
          <w:p w14:paraId="54F202B8" w14:textId="55F66C3E" w:rsidR="001E7F0C" w:rsidRPr="00F2340E" w:rsidRDefault="0019377D" w:rsidP="00C144C2">
            <w:pPr>
              <w:jc w:val="center"/>
              <w:rPr>
                <w:rFonts w:ascii="CAIXA Std Book" w:eastAsia="Times New Roman" w:hAnsi="CAIXA Std Book" w:cs="Calibri"/>
                <w:color w:val="005CA9"/>
                <w:sz w:val="14"/>
                <w:szCs w:val="14"/>
              </w:rPr>
            </w:pPr>
            <w:r w:rsidRPr="0004269D">
              <w:rPr>
                <w:rFonts w:ascii="CAIXA Std Book" w:hAnsi="CAIXA Std Book" w:cs="Arial"/>
                <w:color w:val="005CA9"/>
                <w:sz w:val="14"/>
                <w:szCs w:val="14"/>
              </w:rPr>
              <w:t>-</w:t>
            </w:r>
          </w:p>
        </w:tc>
        <w:tc>
          <w:tcPr>
            <w:tcW w:w="328" w:type="pct"/>
            <w:vAlign w:val="center"/>
          </w:tcPr>
          <w:p w14:paraId="635F1D8A" w14:textId="3FAE33AD" w:rsidR="001E7F0C" w:rsidRPr="00F2340E" w:rsidRDefault="0019377D">
            <w:pPr>
              <w:jc w:val="center"/>
              <w:rPr>
                <w:rFonts w:ascii="CAIXA Std Book" w:eastAsia="Times New Roman" w:hAnsi="CAIXA Std Book" w:cs="Arial"/>
                <w:color w:val="005CA9"/>
                <w:sz w:val="14"/>
                <w:szCs w:val="14"/>
              </w:rPr>
            </w:pPr>
            <w:r w:rsidRPr="0004269D">
              <w:rPr>
                <w:rFonts w:ascii="CAIXA Std Book" w:hAnsi="CAIXA Std Book" w:cs="Arial"/>
                <w:color w:val="005CA9"/>
                <w:sz w:val="14"/>
                <w:szCs w:val="14"/>
              </w:rPr>
              <w:t>-</w:t>
            </w:r>
          </w:p>
        </w:tc>
        <w:tc>
          <w:tcPr>
            <w:tcW w:w="325" w:type="pct"/>
            <w:tcBorders>
              <w:top w:val="nil"/>
              <w:left w:val="nil"/>
              <w:bottom w:val="nil"/>
              <w:right w:val="nil"/>
            </w:tcBorders>
            <w:noWrap/>
            <w:vAlign w:val="center"/>
          </w:tcPr>
          <w:p w14:paraId="52FD2906" w14:textId="61D4AD32" w:rsidR="001E7F0C" w:rsidRPr="00F2340E" w:rsidRDefault="0019377D">
            <w:pPr>
              <w:jc w:val="center"/>
              <w:rPr>
                <w:rFonts w:ascii="CAIXA Std Book" w:eastAsia="Times New Roman" w:hAnsi="CAIXA Std Book" w:cs="Calibri"/>
                <w:color w:val="005CA9"/>
                <w:sz w:val="14"/>
                <w:szCs w:val="14"/>
              </w:rPr>
            </w:pPr>
            <w:r w:rsidRPr="0004269D">
              <w:rPr>
                <w:rFonts w:ascii="CAIXA Std Book" w:hAnsi="CAIXA Std Book" w:cs="Arial"/>
                <w:color w:val="005CA9"/>
                <w:sz w:val="14"/>
                <w:szCs w:val="14"/>
              </w:rPr>
              <w:t>-</w:t>
            </w:r>
          </w:p>
        </w:tc>
        <w:tc>
          <w:tcPr>
            <w:tcW w:w="328" w:type="pct"/>
            <w:tcBorders>
              <w:top w:val="nil"/>
              <w:left w:val="nil"/>
              <w:bottom w:val="nil"/>
              <w:right w:val="nil"/>
            </w:tcBorders>
            <w:noWrap/>
            <w:vAlign w:val="center"/>
          </w:tcPr>
          <w:p w14:paraId="551BA89D" w14:textId="5DFEFBFB" w:rsidR="001E7F0C" w:rsidRPr="00F2340E" w:rsidRDefault="0019377D">
            <w:pPr>
              <w:jc w:val="center"/>
              <w:rPr>
                <w:rFonts w:ascii="CAIXA Std Book" w:eastAsia="Times New Roman" w:hAnsi="CAIXA Std Book" w:cs="Calibri"/>
                <w:color w:val="005CA9"/>
                <w:sz w:val="14"/>
                <w:szCs w:val="14"/>
              </w:rPr>
            </w:pPr>
            <w:r w:rsidRPr="0004269D">
              <w:rPr>
                <w:rFonts w:ascii="CAIXA Std Book" w:hAnsi="CAIXA Std Book" w:cs="Arial"/>
                <w:color w:val="005CA9"/>
                <w:sz w:val="14"/>
                <w:szCs w:val="14"/>
              </w:rPr>
              <w:t>-</w:t>
            </w:r>
          </w:p>
        </w:tc>
        <w:tc>
          <w:tcPr>
            <w:tcW w:w="227" w:type="pct"/>
            <w:tcBorders>
              <w:top w:val="nil"/>
              <w:left w:val="nil"/>
              <w:bottom w:val="nil"/>
              <w:right w:val="nil"/>
            </w:tcBorders>
            <w:vAlign w:val="center"/>
          </w:tcPr>
          <w:p w14:paraId="21207C48" w14:textId="4E40E6D0" w:rsidR="001E7F0C" w:rsidRPr="00F2340E" w:rsidRDefault="0019377D" w:rsidP="0019377D">
            <w:pPr>
              <w:jc w:val="right"/>
              <w:rPr>
                <w:rFonts w:ascii="CAIXA Std Book" w:eastAsia="Times New Roman" w:hAnsi="CAIXA Std Book" w:cs="Calibri"/>
                <w:color w:val="005CA9"/>
                <w:sz w:val="14"/>
                <w:szCs w:val="14"/>
              </w:rPr>
            </w:pPr>
            <w:r w:rsidRPr="0004269D">
              <w:rPr>
                <w:rFonts w:ascii="CAIXA Std Book" w:hAnsi="CAIXA Std Book" w:cs="Arial"/>
                <w:color w:val="005CA9"/>
                <w:sz w:val="14"/>
                <w:szCs w:val="14"/>
              </w:rPr>
              <w:t>(17)</w:t>
            </w:r>
          </w:p>
        </w:tc>
        <w:tc>
          <w:tcPr>
            <w:tcW w:w="358" w:type="pct"/>
            <w:tcBorders>
              <w:top w:val="nil"/>
              <w:left w:val="nil"/>
              <w:bottom w:val="nil"/>
              <w:right w:val="nil"/>
            </w:tcBorders>
            <w:vAlign w:val="center"/>
          </w:tcPr>
          <w:p w14:paraId="764CA98C" w14:textId="78CB5A61" w:rsidR="001E7F0C" w:rsidRPr="00F2340E" w:rsidRDefault="0019377D" w:rsidP="0019377D">
            <w:pPr>
              <w:jc w:val="right"/>
              <w:rPr>
                <w:rFonts w:ascii="CAIXA Std Book" w:eastAsia="Times New Roman" w:hAnsi="CAIXA Std Book" w:cs="Calibri"/>
                <w:color w:val="005CA9"/>
                <w:sz w:val="14"/>
                <w:szCs w:val="14"/>
              </w:rPr>
            </w:pPr>
            <w:r w:rsidRPr="0004269D">
              <w:rPr>
                <w:rFonts w:ascii="CAIXA Std Book" w:hAnsi="CAIXA Std Book" w:cs="Arial"/>
                <w:color w:val="005CA9"/>
                <w:sz w:val="14"/>
                <w:szCs w:val="14"/>
              </w:rPr>
              <w:t>(381.538)</w:t>
            </w:r>
          </w:p>
        </w:tc>
        <w:tc>
          <w:tcPr>
            <w:tcW w:w="388" w:type="pct"/>
            <w:tcBorders>
              <w:top w:val="nil"/>
              <w:left w:val="nil"/>
              <w:bottom w:val="nil"/>
              <w:right w:val="nil"/>
            </w:tcBorders>
            <w:vAlign w:val="center"/>
          </w:tcPr>
          <w:p w14:paraId="7611666D" w14:textId="77777777" w:rsidR="001E7F0C" w:rsidRPr="00996C00" w:rsidRDefault="001E7F0C">
            <w:pPr>
              <w:ind w:firstLineChars="100" w:firstLine="140"/>
              <w:jc w:val="center"/>
              <w:rPr>
                <w:rFonts w:ascii="CAIXA Std Book" w:eastAsia="Times New Roman" w:hAnsi="CAIXA Std Book" w:cs="Calibri"/>
                <w:color w:val="005CA9"/>
                <w:sz w:val="14"/>
                <w:szCs w:val="14"/>
              </w:rPr>
            </w:pPr>
            <w:r w:rsidRPr="00996C00">
              <w:rPr>
                <w:rFonts w:ascii="CAIXA Std Book" w:hAnsi="CAIXA Std Book" w:cs="Calibri"/>
                <w:color w:val="005CA9"/>
                <w:sz w:val="14"/>
                <w:szCs w:val="14"/>
              </w:rPr>
              <w:t>-</w:t>
            </w:r>
          </w:p>
        </w:tc>
        <w:tc>
          <w:tcPr>
            <w:tcW w:w="328" w:type="pct"/>
            <w:tcBorders>
              <w:top w:val="nil"/>
              <w:left w:val="nil"/>
              <w:bottom w:val="nil"/>
              <w:right w:val="nil"/>
            </w:tcBorders>
            <w:vAlign w:val="center"/>
          </w:tcPr>
          <w:p w14:paraId="14936C7F" w14:textId="77777777" w:rsidR="001E7F0C" w:rsidRPr="00996C00" w:rsidRDefault="001E7F0C">
            <w:pPr>
              <w:ind w:firstLineChars="100" w:firstLine="140"/>
              <w:jc w:val="center"/>
              <w:rPr>
                <w:rFonts w:ascii="CAIXA Std Book" w:eastAsia="Times New Roman" w:hAnsi="CAIXA Std Book" w:cs="Calibri"/>
                <w:color w:val="005CA9"/>
                <w:sz w:val="14"/>
                <w:szCs w:val="14"/>
              </w:rPr>
            </w:pPr>
            <w:r w:rsidRPr="00996C00">
              <w:rPr>
                <w:rFonts w:ascii="CAIXA Std Book" w:hAnsi="CAIXA Std Book" w:cs="Calibri"/>
                <w:color w:val="005CA9"/>
                <w:sz w:val="14"/>
                <w:szCs w:val="14"/>
              </w:rPr>
              <w:t>-</w:t>
            </w:r>
          </w:p>
        </w:tc>
        <w:tc>
          <w:tcPr>
            <w:tcW w:w="325" w:type="pct"/>
            <w:tcBorders>
              <w:top w:val="nil"/>
              <w:left w:val="nil"/>
              <w:bottom w:val="nil"/>
              <w:right w:val="nil"/>
            </w:tcBorders>
            <w:vAlign w:val="center"/>
          </w:tcPr>
          <w:p w14:paraId="76B5F237" w14:textId="77777777" w:rsidR="001E7F0C" w:rsidRPr="00996C00" w:rsidRDefault="001E7F0C">
            <w:pPr>
              <w:ind w:firstLineChars="100" w:firstLine="140"/>
              <w:jc w:val="center"/>
              <w:rPr>
                <w:rFonts w:ascii="CAIXA Std Book" w:eastAsia="Times New Roman" w:hAnsi="CAIXA Std Book" w:cs="Calibri"/>
                <w:color w:val="005CA9"/>
                <w:sz w:val="14"/>
                <w:szCs w:val="14"/>
              </w:rPr>
            </w:pPr>
            <w:r w:rsidRPr="00996C00">
              <w:rPr>
                <w:rFonts w:ascii="CAIXA Std Book" w:hAnsi="CAIXA Std Book" w:cs="Calibri"/>
                <w:color w:val="005CA9"/>
                <w:sz w:val="14"/>
                <w:szCs w:val="14"/>
              </w:rPr>
              <w:t>-</w:t>
            </w:r>
          </w:p>
        </w:tc>
        <w:tc>
          <w:tcPr>
            <w:tcW w:w="280" w:type="pct"/>
            <w:tcBorders>
              <w:top w:val="nil"/>
              <w:left w:val="nil"/>
              <w:bottom w:val="nil"/>
              <w:right w:val="nil"/>
            </w:tcBorders>
            <w:vAlign w:val="center"/>
          </w:tcPr>
          <w:p w14:paraId="3D1A1D05" w14:textId="77777777" w:rsidR="001E7F0C" w:rsidRPr="00996C00" w:rsidRDefault="001E7F0C">
            <w:pPr>
              <w:jc w:val="center"/>
              <w:rPr>
                <w:rFonts w:ascii="CAIXA Std Book" w:eastAsia="Times New Roman" w:hAnsi="CAIXA Std Book" w:cs="Calibri"/>
                <w:color w:val="005CA9"/>
                <w:sz w:val="14"/>
                <w:szCs w:val="14"/>
              </w:rPr>
            </w:pPr>
            <w:r w:rsidRPr="00996C00">
              <w:rPr>
                <w:rFonts w:ascii="CAIXA Std Book" w:hAnsi="CAIXA Std Book" w:cs="Calibri"/>
                <w:color w:val="005CA9"/>
                <w:sz w:val="14"/>
                <w:szCs w:val="14"/>
              </w:rPr>
              <w:t>-</w:t>
            </w:r>
          </w:p>
        </w:tc>
        <w:tc>
          <w:tcPr>
            <w:tcW w:w="287" w:type="pct"/>
            <w:tcBorders>
              <w:top w:val="nil"/>
              <w:left w:val="nil"/>
              <w:bottom w:val="nil"/>
              <w:right w:val="nil"/>
            </w:tcBorders>
            <w:vAlign w:val="center"/>
          </w:tcPr>
          <w:p w14:paraId="2DD8182B" w14:textId="77777777" w:rsidR="001E7F0C" w:rsidRPr="00996C00" w:rsidRDefault="001E7F0C">
            <w:pPr>
              <w:ind w:firstLineChars="100" w:firstLine="140"/>
              <w:jc w:val="right"/>
              <w:rPr>
                <w:rFonts w:ascii="CAIXA Std Book" w:eastAsia="Times New Roman" w:hAnsi="CAIXA Std Book" w:cs="Calibri"/>
                <w:color w:val="005CA9"/>
                <w:sz w:val="14"/>
                <w:szCs w:val="14"/>
              </w:rPr>
            </w:pPr>
            <w:r w:rsidRPr="00996C00">
              <w:rPr>
                <w:rFonts w:ascii="CAIXA Std Book" w:hAnsi="CAIXA Std Book" w:cs="Calibri"/>
                <w:color w:val="005CA9"/>
                <w:sz w:val="14"/>
                <w:szCs w:val="14"/>
              </w:rPr>
              <w:t>(531)</w:t>
            </w:r>
          </w:p>
        </w:tc>
        <w:tc>
          <w:tcPr>
            <w:tcW w:w="388" w:type="pct"/>
            <w:tcBorders>
              <w:top w:val="nil"/>
              <w:left w:val="nil"/>
              <w:bottom w:val="nil"/>
              <w:right w:val="nil"/>
            </w:tcBorders>
            <w:noWrap/>
            <w:vAlign w:val="center"/>
          </w:tcPr>
          <w:p w14:paraId="5623EACF" w14:textId="77777777" w:rsidR="001E7F0C" w:rsidRPr="00996C00" w:rsidRDefault="001E7F0C">
            <w:pPr>
              <w:ind w:firstLineChars="100" w:firstLine="140"/>
              <w:jc w:val="right"/>
              <w:rPr>
                <w:rFonts w:ascii="CAIXA Std Book" w:eastAsia="Times New Roman" w:hAnsi="CAIXA Std Book" w:cs="Calibri"/>
                <w:color w:val="005CA9"/>
                <w:sz w:val="14"/>
                <w:szCs w:val="14"/>
              </w:rPr>
            </w:pPr>
            <w:r w:rsidRPr="00996C00">
              <w:rPr>
                <w:rFonts w:ascii="CAIXA Std Book" w:hAnsi="CAIXA Std Book" w:cs="Calibri"/>
                <w:color w:val="005CA9"/>
                <w:sz w:val="14"/>
                <w:szCs w:val="14"/>
              </w:rPr>
              <w:t>(411.239)</w:t>
            </w:r>
          </w:p>
        </w:tc>
      </w:tr>
      <w:tr w:rsidR="001E7F0C" w:rsidRPr="00A64197" w14:paraId="62B40F36" w14:textId="77777777" w:rsidTr="005405DF">
        <w:trPr>
          <w:trHeight w:val="283"/>
          <w:jc w:val="center"/>
        </w:trPr>
        <w:tc>
          <w:tcPr>
            <w:tcW w:w="1037" w:type="pct"/>
            <w:tcBorders>
              <w:top w:val="nil"/>
              <w:left w:val="nil"/>
              <w:bottom w:val="nil"/>
              <w:right w:val="nil"/>
            </w:tcBorders>
            <w:noWrap/>
            <w:vAlign w:val="center"/>
          </w:tcPr>
          <w:p w14:paraId="39354C7F" w14:textId="77777777" w:rsidR="001E7F0C" w:rsidRPr="0004269D" w:rsidRDefault="001E7F0C">
            <w:pPr>
              <w:rPr>
                <w:rFonts w:ascii="CAIXA Std Book" w:eastAsia="Times New Roman" w:hAnsi="CAIXA Std Book" w:cs="Calibri"/>
                <w:color w:val="005CA9"/>
                <w:sz w:val="14"/>
                <w:szCs w:val="14"/>
              </w:rPr>
            </w:pPr>
            <w:r w:rsidRPr="0004269D">
              <w:rPr>
                <w:rFonts w:ascii="CAIXA Std Book" w:eastAsia="Times New Roman" w:hAnsi="CAIXA Std Book" w:cs="Arial"/>
                <w:color w:val="005CA9"/>
                <w:sz w:val="14"/>
                <w:szCs w:val="14"/>
              </w:rPr>
              <w:t>Outros ativos financeiros</w:t>
            </w:r>
          </w:p>
        </w:tc>
        <w:tc>
          <w:tcPr>
            <w:tcW w:w="400" w:type="pct"/>
            <w:tcBorders>
              <w:top w:val="nil"/>
              <w:left w:val="nil"/>
              <w:bottom w:val="nil"/>
              <w:right w:val="nil"/>
            </w:tcBorders>
            <w:noWrap/>
            <w:vAlign w:val="center"/>
          </w:tcPr>
          <w:p w14:paraId="4CC46A32" w14:textId="2745CA2F" w:rsidR="001E7F0C" w:rsidRPr="00F2340E" w:rsidRDefault="0019377D">
            <w:pPr>
              <w:ind w:firstLineChars="100" w:firstLine="140"/>
              <w:jc w:val="right"/>
              <w:rPr>
                <w:rFonts w:ascii="CAIXA Std Book" w:eastAsia="Times New Roman" w:hAnsi="CAIXA Std Book" w:cs="Calibri"/>
                <w:color w:val="005CA9"/>
                <w:sz w:val="14"/>
                <w:szCs w:val="14"/>
              </w:rPr>
            </w:pPr>
            <w:r w:rsidRPr="0004269D">
              <w:rPr>
                <w:rFonts w:ascii="CAIXA Std Book" w:hAnsi="CAIXA Std Book" w:cs="Arial"/>
                <w:color w:val="005CA9"/>
                <w:sz w:val="14"/>
                <w:szCs w:val="14"/>
              </w:rPr>
              <w:t>322.558</w:t>
            </w:r>
          </w:p>
        </w:tc>
        <w:tc>
          <w:tcPr>
            <w:tcW w:w="328" w:type="pct"/>
            <w:vAlign w:val="center"/>
          </w:tcPr>
          <w:p w14:paraId="262AD3A3" w14:textId="71EB2D55" w:rsidR="001E7F0C" w:rsidRPr="00F2340E" w:rsidRDefault="0019377D">
            <w:pPr>
              <w:jc w:val="right"/>
              <w:rPr>
                <w:rFonts w:ascii="CAIXA Std Book" w:eastAsia="Times New Roman" w:hAnsi="CAIXA Std Book" w:cs="Arial"/>
                <w:color w:val="005CA9"/>
                <w:sz w:val="14"/>
                <w:szCs w:val="14"/>
              </w:rPr>
            </w:pPr>
            <w:r w:rsidRPr="0004269D">
              <w:rPr>
                <w:rFonts w:ascii="CAIXA Std Book" w:hAnsi="CAIXA Std Book" w:cs="Arial"/>
                <w:color w:val="005CA9"/>
                <w:sz w:val="14"/>
                <w:szCs w:val="14"/>
              </w:rPr>
              <w:t>24.221</w:t>
            </w:r>
          </w:p>
        </w:tc>
        <w:tc>
          <w:tcPr>
            <w:tcW w:w="325" w:type="pct"/>
            <w:tcBorders>
              <w:top w:val="nil"/>
              <w:left w:val="nil"/>
              <w:bottom w:val="nil"/>
              <w:right w:val="nil"/>
            </w:tcBorders>
            <w:noWrap/>
            <w:vAlign w:val="center"/>
          </w:tcPr>
          <w:p w14:paraId="5405D507" w14:textId="66B67F12" w:rsidR="001E7F0C" w:rsidRPr="00F2340E" w:rsidRDefault="0019377D">
            <w:pPr>
              <w:jc w:val="right"/>
              <w:rPr>
                <w:rFonts w:ascii="CAIXA Std Book" w:eastAsia="Times New Roman" w:hAnsi="CAIXA Std Book" w:cs="Calibri"/>
                <w:color w:val="005CA9"/>
                <w:sz w:val="14"/>
                <w:szCs w:val="14"/>
              </w:rPr>
            </w:pPr>
            <w:r w:rsidRPr="0004269D">
              <w:rPr>
                <w:rFonts w:ascii="CAIXA Std Book" w:hAnsi="CAIXA Std Book" w:cs="Arial"/>
                <w:color w:val="005CA9"/>
                <w:sz w:val="14"/>
                <w:szCs w:val="14"/>
              </w:rPr>
              <w:t>287.827</w:t>
            </w:r>
          </w:p>
        </w:tc>
        <w:tc>
          <w:tcPr>
            <w:tcW w:w="328" w:type="pct"/>
            <w:tcBorders>
              <w:top w:val="nil"/>
              <w:left w:val="nil"/>
              <w:bottom w:val="nil"/>
              <w:right w:val="nil"/>
            </w:tcBorders>
            <w:noWrap/>
            <w:vAlign w:val="center"/>
          </w:tcPr>
          <w:p w14:paraId="7ECA4BF3" w14:textId="6486E084" w:rsidR="001E7F0C" w:rsidRPr="00F2340E" w:rsidRDefault="0019377D" w:rsidP="00C144C2">
            <w:pPr>
              <w:jc w:val="center"/>
              <w:rPr>
                <w:rFonts w:ascii="CAIXA Std Book" w:eastAsia="Times New Roman" w:hAnsi="CAIXA Std Book" w:cs="Calibri"/>
                <w:color w:val="005CA9"/>
                <w:sz w:val="14"/>
                <w:szCs w:val="14"/>
              </w:rPr>
            </w:pPr>
            <w:r w:rsidRPr="0004269D">
              <w:rPr>
                <w:rFonts w:ascii="CAIXA Std Book" w:hAnsi="CAIXA Std Book" w:cs="Arial"/>
                <w:color w:val="005CA9"/>
                <w:sz w:val="14"/>
                <w:szCs w:val="14"/>
              </w:rPr>
              <w:t>-</w:t>
            </w:r>
          </w:p>
        </w:tc>
        <w:tc>
          <w:tcPr>
            <w:tcW w:w="227" w:type="pct"/>
            <w:tcBorders>
              <w:top w:val="nil"/>
              <w:left w:val="nil"/>
              <w:bottom w:val="nil"/>
              <w:right w:val="nil"/>
            </w:tcBorders>
            <w:vAlign w:val="center"/>
          </w:tcPr>
          <w:p w14:paraId="31D0A463" w14:textId="70D27EAA" w:rsidR="001E7F0C" w:rsidRPr="00F2340E" w:rsidRDefault="0019377D">
            <w:pPr>
              <w:jc w:val="right"/>
              <w:rPr>
                <w:rFonts w:ascii="CAIXA Std Book" w:eastAsia="Times New Roman" w:hAnsi="CAIXA Std Book" w:cs="Calibri"/>
                <w:color w:val="005CA9"/>
                <w:sz w:val="14"/>
                <w:szCs w:val="14"/>
              </w:rPr>
            </w:pPr>
            <w:r w:rsidRPr="0004269D">
              <w:rPr>
                <w:rFonts w:ascii="CAIXA Std Book" w:hAnsi="CAIXA Std Book" w:cs="Arial"/>
                <w:color w:val="005CA9"/>
                <w:sz w:val="14"/>
                <w:szCs w:val="14"/>
              </w:rPr>
              <w:t>424</w:t>
            </w:r>
          </w:p>
        </w:tc>
        <w:tc>
          <w:tcPr>
            <w:tcW w:w="358" w:type="pct"/>
            <w:tcBorders>
              <w:top w:val="nil"/>
              <w:left w:val="nil"/>
              <w:bottom w:val="nil"/>
              <w:right w:val="nil"/>
            </w:tcBorders>
            <w:vAlign w:val="center"/>
          </w:tcPr>
          <w:p w14:paraId="2C3F2E3A" w14:textId="2D6F467A" w:rsidR="001E7F0C" w:rsidRPr="00F2340E" w:rsidRDefault="006E3A1A">
            <w:pPr>
              <w:jc w:val="right"/>
              <w:rPr>
                <w:rFonts w:ascii="CAIXA Std Book" w:eastAsia="Times New Roman" w:hAnsi="CAIXA Std Book" w:cs="Calibri"/>
                <w:color w:val="005CA9"/>
                <w:sz w:val="14"/>
                <w:szCs w:val="14"/>
              </w:rPr>
            </w:pPr>
            <w:r w:rsidRPr="006E3A1A">
              <w:rPr>
                <w:rFonts w:ascii="CAIXA Std Book" w:hAnsi="CAIXA Std Book" w:cs="Arial"/>
                <w:color w:val="005CA9"/>
                <w:sz w:val="14"/>
                <w:szCs w:val="14"/>
              </w:rPr>
              <w:t>38.885.260</w:t>
            </w:r>
          </w:p>
        </w:tc>
        <w:tc>
          <w:tcPr>
            <w:tcW w:w="388" w:type="pct"/>
            <w:tcBorders>
              <w:top w:val="nil"/>
              <w:left w:val="nil"/>
              <w:bottom w:val="nil"/>
              <w:right w:val="nil"/>
            </w:tcBorders>
            <w:vAlign w:val="center"/>
          </w:tcPr>
          <w:p w14:paraId="0EDD2CC2" w14:textId="77777777" w:rsidR="001E7F0C" w:rsidRPr="00996C00" w:rsidRDefault="001E7F0C">
            <w:pPr>
              <w:jc w:val="right"/>
              <w:rPr>
                <w:rFonts w:ascii="CAIXA Std Book" w:eastAsia="Times New Roman" w:hAnsi="CAIXA Std Book" w:cs="Calibri"/>
                <w:color w:val="005CA9"/>
                <w:sz w:val="14"/>
                <w:szCs w:val="14"/>
              </w:rPr>
            </w:pPr>
            <w:r w:rsidRPr="00996C00">
              <w:rPr>
                <w:rFonts w:ascii="CAIXA Std Book" w:hAnsi="CAIXA Std Book" w:cs="Calibri"/>
                <w:color w:val="005CA9"/>
                <w:sz w:val="14"/>
                <w:szCs w:val="14"/>
              </w:rPr>
              <w:t>329.791</w:t>
            </w:r>
          </w:p>
        </w:tc>
        <w:tc>
          <w:tcPr>
            <w:tcW w:w="328" w:type="pct"/>
            <w:tcBorders>
              <w:top w:val="nil"/>
              <w:left w:val="nil"/>
              <w:bottom w:val="nil"/>
              <w:right w:val="nil"/>
            </w:tcBorders>
            <w:vAlign w:val="center"/>
          </w:tcPr>
          <w:p w14:paraId="560ABF1B" w14:textId="77777777" w:rsidR="001E7F0C" w:rsidRPr="00996C00" w:rsidRDefault="001E7F0C">
            <w:pPr>
              <w:ind w:firstLineChars="100" w:firstLine="140"/>
              <w:jc w:val="right"/>
              <w:rPr>
                <w:rFonts w:ascii="CAIXA Std Book" w:eastAsia="Times New Roman" w:hAnsi="CAIXA Std Book" w:cs="Calibri"/>
                <w:color w:val="005CA9"/>
                <w:sz w:val="14"/>
                <w:szCs w:val="14"/>
              </w:rPr>
            </w:pPr>
            <w:r w:rsidRPr="00996C00">
              <w:rPr>
                <w:rFonts w:ascii="CAIXA Std Book" w:hAnsi="CAIXA Std Book" w:cs="Calibri"/>
                <w:color w:val="005CA9"/>
                <w:sz w:val="14"/>
                <w:szCs w:val="14"/>
              </w:rPr>
              <w:t>42.689</w:t>
            </w:r>
          </w:p>
        </w:tc>
        <w:tc>
          <w:tcPr>
            <w:tcW w:w="325" w:type="pct"/>
            <w:tcBorders>
              <w:top w:val="nil"/>
              <w:left w:val="nil"/>
              <w:bottom w:val="nil"/>
              <w:right w:val="nil"/>
            </w:tcBorders>
            <w:vAlign w:val="center"/>
          </w:tcPr>
          <w:p w14:paraId="75524439" w14:textId="77777777" w:rsidR="001E7F0C" w:rsidRPr="00996C00" w:rsidRDefault="001E7F0C">
            <w:pPr>
              <w:ind w:firstLineChars="100" w:firstLine="140"/>
              <w:jc w:val="right"/>
              <w:rPr>
                <w:rFonts w:ascii="CAIXA Std Book" w:eastAsia="Times New Roman" w:hAnsi="CAIXA Std Book" w:cs="Calibri"/>
                <w:color w:val="005CA9"/>
                <w:sz w:val="14"/>
                <w:szCs w:val="14"/>
              </w:rPr>
            </w:pPr>
            <w:r w:rsidRPr="00996C00">
              <w:rPr>
                <w:rFonts w:ascii="CAIXA Std Book" w:hAnsi="CAIXA Std Book" w:cs="Calibri"/>
                <w:color w:val="005CA9"/>
                <w:sz w:val="14"/>
                <w:szCs w:val="14"/>
              </w:rPr>
              <w:t>72</w:t>
            </w:r>
          </w:p>
        </w:tc>
        <w:tc>
          <w:tcPr>
            <w:tcW w:w="280" w:type="pct"/>
            <w:tcBorders>
              <w:top w:val="nil"/>
              <w:left w:val="nil"/>
              <w:bottom w:val="nil"/>
              <w:right w:val="nil"/>
            </w:tcBorders>
            <w:vAlign w:val="center"/>
          </w:tcPr>
          <w:p w14:paraId="7010419B" w14:textId="77777777" w:rsidR="001E7F0C" w:rsidRPr="00996C00" w:rsidRDefault="001E7F0C">
            <w:pPr>
              <w:jc w:val="right"/>
              <w:rPr>
                <w:rFonts w:ascii="CAIXA Std Book" w:eastAsia="Times New Roman" w:hAnsi="CAIXA Std Book" w:cs="Calibri"/>
                <w:color w:val="005CA9"/>
                <w:sz w:val="14"/>
                <w:szCs w:val="14"/>
              </w:rPr>
            </w:pPr>
            <w:r w:rsidRPr="00996C00">
              <w:rPr>
                <w:rFonts w:ascii="CAIXA Std Book" w:hAnsi="CAIXA Std Book" w:cs="Calibri"/>
                <w:color w:val="005CA9"/>
                <w:sz w:val="14"/>
                <w:szCs w:val="14"/>
              </w:rPr>
              <w:t>2</w:t>
            </w:r>
          </w:p>
        </w:tc>
        <w:tc>
          <w:tcPr>
            <w:tcW w:w="287" w:type="pct"/>
            <w:tcBorders>
              <w:top w:val="nil"/>
              <w:left w:val="nil"/>
              <w:bottom w:val="nil"/>
              <w:right w:val="nil"/>
            </w:tcBorders>
            <w:vAlign w:val="center"/>
          </w:tcPr>
          <w:p w14:paraId="3AB1BDBC" w14:textId="77777777" w:rsidR="001E7F0C" w:rsidRPr="00996C00" w:rsidRDefault="001E7F0C">
            <w:pPr>
              <w:ind w:firstLineChars="100" w:firstLine="140"/>
              <w:jc w:val="right"/>
              <w:rPr>
                <w:rFonts w:ascii="CAIXA Std Book" w:eastAsia="Times New Roman" w:hAnsi="CAIXA Std Book" w:cs="Calibri"/>
                <w:color w:val="005CA9"/>
                <w:sz w:val="14"/>
                <w:szCs w:val="14"/>
              </w:rPr>
            </w:pPr>
            <w:r w:rsidRPr="00996C00">
              <w:rPr>
                <w:rFonts w:ascii="CAIXA Std Book" w:hAnsi="CAIXA Std Book" w:cs="Calibri"/>
                <w:color w:val="005CA9"/>
                <w:sz w:val="14"/>
                <w:szCs w:val="14"/>
              </w:rPr>
              <w:t>2.759</w:t>
            </w:r>
          </w:p>
        </w:tc>
        <w:tc>
          <w:tcPr>
            <w:tcW w:w="388" w:type="pct"/>
            <w:tcBorders>
              <w:top w:val="nil"/>
              <w:left w:val="nil"/>
              <w:bottom w:val="nil"/>
              <w:right w:val="nil"/>
            </w:tcBorders>
            <w:noWrap/>
            <w:vAlign w:val="center"/>
          </w:tcPr>
          <w:p w14:paraId="4FC8BAD3" w14:textId="77777777" w:rsidR="001E7F0C" w:rsidRPr="00996C00" w:rsidRDefault="001E7F0C">
            <w:pPr>
              <w:ind w:firstLineChars="100" w:firstLine="140"/>
              <w:jc w:val="right"/>
              <w:rPr>
                <w:rFonts w:ascii="CAIXA Std Book" w:eastAsia="Times New Roman" w:hAnsi="CAIXA Std Book" w:cs="Calibri"/>
                <w:color w:val="005CA9"/>
                <w:sz w:val="14"/>
                <w:szCs w:val="14"/>
              </w:rPr>
            </w:pPr>
            <w:r w:rsidRPr="00996C00">
              <w:rPr>
                <w:rFonts w:ascii="CAIXA Std Book" w:hAnsi="CAIXA Std Book" w:cs="Calibri"/>
                <w:color w:val="005CA9"/>
                <w:sz w:val="14"/>
                <w:szCs w:val="14"/>
              </w:rPr>
              <w:t>39.019.044</w:t>
            </w:r>
          </w:p>
        </w:tc>
      </w:tr>
      <w:tr w:rsidR="001E7F0C" w:rsidRPr="00A64197" w14:paraId="67D8208D" w14:textId="77777777" w:rsidTr="005405DF">
        <w:trPr>
          <w:trHeight w:val="283"/>
          <w:jc w:val="center"/>
        </w:trPr>
        <w:tc>
          <w:tcPr>
            <w:tcW w:w="1037" w:type="pct"/>
            <w:tcBorders>
              <w:top w:val="nil"/>
              <w:left w:val="nil"/>
              <w:bottom w:val="nil"/>
              <w:right w:val="nil"/>
            </w:tcBorders>
            <w:noWrap/>
            <w:vAlign w:val="center"/>
          </w:tcPr>
          <w:p w14:paraId="30B86D4D" w14:textId="77777777" w:rsidR="001E7F0C" w:rsidRPr="0004269D" w:rsidRDefault="001E7F0C">
            <w:pPr>
              <w:rPr>
                <w:rFonts w:ascii="CAIXA Std Book" w:eastAsia="Times New Roman" w:hAnsi="CAIXA Std Book" w:cs="Arial"/>
                <w:color w:val="005CA9"/>
                <w:sz w:val="13"/>
                <w:szCs w:val="13"/>
              </w:rPr>
            </w:pPr>
            <w:r w:rsidRPr="0004269D">
              <w:rPr>
                <w:rFonts w:ascii="CAIXA Std Book" w:eastAsia="Times New Roman" w:hAnsi="CAIXA Std Book" w:cs="Arial"/>
                <w:color w:val="005CA9"/>
                <w:sz w:val="13"/>
                <w:szCs w:val="13"/>
              </w:rPr>
              <w:t>Perdas esperadas em outros ativos financeiros</w:t>
            </w:r>
          </w:p>
        </w:tc>
        <w:tc>
          <w:tcPr>
            <w:tcW w:w="400" w:type="pct"/>
            <w:tcBorders>
              <w:top w:val="nil"/>
              <w:left w:val="nil"/>
              <w:bottom w:val="nil"/>
              <w:right w:val="nil"/>
            </w:tcBorders>
            <w:noWrap/>
            <w:vAlign w:val="center"/>
          </w:tcPr>
          <w:p w14:paraId="2E45DEEB" w14:textId="1E9D478C" w:rsidR="001E7F0C" w:rsidRPr="00F2340E" w:rsidRDefault="0019377D" w:rsidP="0019377D">
            <w:pPr>
              <w:ind w:firstLineChars="100" w:firstLine="140"/>
              <w:jc w:val="right"/>
              <w:rPr>
                <w:rFonts w:ascii="CAIXA Std Book" w:hAnsi="CAIXA Std Book" w:cs="Arial"/>
                <w:color w:val="005CA9"/>
                <w:sz w:val="14"/>
                <w:szCs w:val="14"/>
              </w:rPr>
            </w:pPr>
            <w:r w:rsidRPr="0004269D">
              <w:rPr>
                <w:rFonts w:ascii="CAIXA Std Book" w:hAnsi="CAIXA Std Book" w:cs="Arial"/>
                <w:color w:val="005CA9"/>
                <w:sz w:val="14"/>
                <w:szCs w:val="14"/>
              </w:rPr>
              <w:t>(2)</w:t>
            </w:r>
          </w:p>
        </w:tc>
        <w:tc>
          <w:tcPr>
            <w:tcW w:w="328" w:type="pct"/>
            <w:vAlign w:val="center"/>
          </w:tcPr>
          <w:p w14:paraId="49859CD6" w14:textId="184230B3" w:rsidR="001E7F0C" w:rsidRPr="00F2340E" w:rsidRDefault="0019377D">
            <w:pPr>
              <w:jc w:val="center"/>
              <w:rPr>
                <w:rFonts w:ascii="CAIXA Std Book" w:hAnsi="CAIXA Std Book" w:cs="Arial"/>
                <w:color w:val="005CA9"/>
                <w:sz w:val="14"/>
                <w:szCs w:val="14"/>
              </w:rPr>
            </w:pPr>
            <w:r w:rsidRPr="0004269D">
              <w:rPr>
                <w:rFonts w:ascii="CAIXA Std Book" w:hAnsi="CAIXA Std Book" w:cs="Arial"/>
                <w:color w:val="005CA9"/>
                <w:sz w:val="14"/>
                <w:szCs w:val="14"/>
              </w:rPr>
              <w:t>-</w:t>
            </w:r>
          </w:p>
        </w:tc>
        <w:tc>
          <w:tcPr>
            <w:tcW w:w="325" w:type="pct"/>
            <w:tcBorders>
              <w:top w:val="nil"/>
              <w:left w:val="nil"/>
              <w:bottom w:val="nil"/>
              <w:right w:val="nil"/>
            </w:tcBorders>
            <w:noWrap/>
            <w:vAlign w:val="center"/>
          </w:tcPr>
          <w:p w14:paraId="25DE91D0" w14:textId="1003E1D3" w:rsidR="001E7F0C" w:rsidRPr="00F2340E" w:rsidRDefault="0019377D">
            <w:pPr>
              <w:jc w:val="center"/>
              <w:rPr>
                <w:rFonts w:ascii="CAIXA Std Book" w:hAnsi="CAIXA Std Book" w:cs="Arial"/>
                <w:color w:val="005CA9"/>
                <w:sz w:val="14"/>
                <w:szCs w:val="14"/>
              </w:rPr>
            </w:pPr>
            <w:r w:rsidRPr="0004269D">
              <w:rPr>
                <w:rFonts w:ascii="CAIXA Std Book" w:hAnsi="CAIXA Std Book" w:cs="Arial"/>
                <w:color w:val="005CA9"/>
                <w:sz w:val="14"/>
                <w:szCs w:val="14"/>
              </w:rPr>
              <w:t>-</w:t>
            </w:r>
          </w:p>
        </w:tc>
        <w:tc>
          <w:tcPr>
            <w:tcW w:w="328" w:type="pct"/>
            <w:tcBorders>
              <w:top w:val="nil"/>
              <w:left w:val="nil"/>
              <w:bottom w:val="nil"/>
              <w:right w:val="nil"/>
            </w:tcBorders>
            <w:noWrap/>
            <w:vAlign w:val="center"/>
          </w:tcPr>
          <w:p w14:paraId="668CAAC2" w14:textId="5BF66860" w:rsidR="001E7F0C" w:rsidRPr="00F2340E" w:rsidRDefault="0019377D" w:rsidP="00C144C2">
            <w:pPr>
              <w:jc w:val="center"/>
              <w:rPr>
                <w:rFonts w:ascii="CAIXA Std Book" w:hAnsi="CAIXA Std Book" w:cs="Arial"/>
                <w:color w:val="005CA9"/>
                <w:sz w:val="14"/>
                <w:szCs w:val="14"/>
              </w:rPr>
            </w:pPr>
            <w:r w:rsidRPr="0004269D">
              <w:rPr>
                <w:rFonts w:ascii="CAIXA Std Book" w:hAnsi="CAIXA Std Book" w:cs="Arial"/>
                <w:color w:val="005CA9"/>
                <w:sz w:val="14"/>
                <w:szCs w:val="14"/>
              </w:rPr>
              <w:t>-</w:t>
            </w:r>
          </w:p>
        </w:tc>
        <w:tc>
          <w:tcPr>
            <w:tcW w:w="227" w:type="pct"/>
            <w:tcBorders>
              <w:top w:val="nil"/>
              <w:left w:val="nil"/>
              <w:bottom w:val="nil"/>
              <w:right w:val="nil"/>
            </w:tcBorders>
            <w:vAlign w:val="center"/>
          </w:tcPr>
          <w:p w14:paraId="3D7FB848" w14:textId="3A454356" w:rsidR="001E7F0C" w:rsidRPr="00F2340E" w:rsidRDefault="0019377D" w:rsidP="0019377D">
            <w:pPr>
              <w:jc w:val="right"/>
              <w:rPr>
                <w:rFonts w:ascii="CAIXA Std Book" w:hAnsi="CAIXA Std Book" w:cs="Arial"/>
                <w:color w:val="005CA9"/>
                <w:sz w:val="14"/>
                <w:szCs w:val="14"/>
              </w:rPr>
            </w:pPr>
            <w:r w:rsidRPr="0004269D">
              <w:rPr>
                <w:rFonts w:ascii="CAIXA Std Book" w:hAnsi="CAIXA Std Book" w:cs="Arial"/>
                <w:color w:val="005CA9"/>
                <w:sz w:val="14"/>
                <w:szCs w:val="14"/>
              </w:rPr>
              <w:t>(4)</w:t>
            </w:r>
          </w:p>
        </w:tc>
        <w:tc>
          <w:tcPr>
            <w:tcW w:w="358" w:type="pct"/>
            <w:tcBorders>
              <w:top w:val="nil"/>
              <w:left w:val="nil"/>
              <w:bottom w:val="nil"/>
              <w:right w:val="nil"/>
            </w:tcBorders>
            <w:vAlign w:val="center"/>
          </w:tcPr>
          <w:p w14:paraId="67CD79E5" w14:textId="25E5B494" w:rsidR="001E7F0C" w:rsidRPr="00F2340E" w:rsidRDefault="006E3A1A" w:rsidP="0019377D">
            <w:pPr>
              <w:jc w:val="right"/>
              <w:rPr>
                <w:rFonts w:ascii="CAIXA Std Book" w:hAnsi="CAIXA Std Book" w:cs="Arial"/>
                <w:color w:val="005CA9"/>
                <w:sz w:val="14"/>
                <w:szCs w:val="14"/>
              </w:rPr>
            </w:pPr>
            <w:r w:rsidRPr="006E3A1A">
              <w:rPr>
                <w:rFonts w:ascii="CAIXA Std Book" w:hAnsi="CAIXA Std Book" w:cs="Arial"/>
                <w:color w:val="005CA9"/>
                <w:sz w:val="14"/>
                <w:szCs w:val="14"/>
              </w:rPr>
              <w:t>(8.774.483)</w:t>
            </w:r>
          </w:p>
        </w:tc>
        <w:tc>
          <w:tcPr>
            <w:tcW w:w="388" w:type="pct"/>
            <w:tcBorders>
              <w:top w:val="nil"/>
              <w:left w:val="nil"/>
              <w:bottom w:val="nil"/>
              <w:right w:val="nil"/>
            </w:tcBorders>
            <w:vAlign w:val="center"/>
          </w:tcPr>
          <w:p w14:paraId="50CA3AEE" w14:textId="77777777" w:rsidR="001E7F0C" w:rsidRPr="00996C00" w:rsidRDefault="001E7F0C">
            <w:pPr>
              <w:jc w:val="center"/>
              <w:rPr>
                <w:rFonts w:ascii="CAIXA Std Book" w:eastAsia="Times New Roman" w:hAnsi="CAIXA Std Book" w:cs="Arial"/>
                <w:color w:val="005CA9"/>
                <w:sz w:val="14"/>
                <w:szCs w:val="14"/>
              </w:rPr>
            </w:pPr>
            <w:r w:rsidRPr="00996C00">
              <w:rPr>
                <w:rFonts w:ascii="CAIXA Std Book" w:hAnsi="CAIXA Std Book" w:cs="Calibri"/>
                <w:color w:val="005CA9"/>
                <w:sz w:val="14"/>
                <w:szCs w:val="14"/>
              </w:rPr>
              <w:t>-</w:t>
            </w:r>
          </w:p>
        </w:tc>
        <w:tc>
          <w:tcPr>
            <w:tcW w:w="328" w:type="pct"/>
            <w:tcBorders>
              <w:top w:val="nil"/>
              <w:left w:val="nil"/>
              <w:bottom w:val="nil"/>
              <w:right w:val="nil"/>
            </w:tcBorders>
            <w:vAlign w:val="center"/>
          </w:tcPr>
          <w:p w14:paraId="79439626" w14:textId="77777777" w:rsidR="001E7F0C" w:rsidRPr="00996C00" w:rsidRDefault="001E7F0C">
            <w:pPr>
              <w:ind w:firstLineChars="100" w:firstLine="140"/>
              <w:jc w:val="center"/>
              <w:rPr>
                <w:rFonts w:ascii="CAIXA Std Book" w:eastAsia="Times New Roman" w:hAnsi="CAIXA Std Book" w:cs="Arial"/>
                <w:color w:val="005CA9"/>
                <w:sz w:val="14"/>
                <w:szCs w:val="14"/>
              </w:rPr>
            </w:pPr>
            <w:r w:rsidRPr="00996C00">
              <w:rPr>
                <w:rFonts w:ascii="CAIXA Std Book" w:hAnsi="CAIXA Std Book" w:cs="Calibri"/>
                <w:color w:val="005CA9"/>
                <w:sz w:val="14"/>
                <w:szCs w:val="14"/>
              </w:rPr>
              <w:t>-</w:t>
            </w:r>
          </w:p>
        </w:tc>
        <w:tc>
          <w:tcPr>
            <w:tcW w:w="325" w:type="pct"/>
            <w:tcBorders>
              <w:top w:val="nil"/>
              <w:left w:val="nil"/>
              <w:bottom w:val="nil"/>
              <w:right w:val="nil"/>
            </w:tcBorders>
            <w:vAlign w:val="center"/>
          </w:tcPr>
          <w:p w14:paraId="30E419E8" w14:textId="77777777" w:rsidR="001E7F0C" w:rsidRPr="00996C00" w:rsidRDefault="001E7F0C">
            <w:pPr>
              <w:ind w:firstLineChars="100" w:firstLine="140"/>
              <w:jc w:val="center"/>
              <w:rPr>
                <w:rFonts w:ascii="CAIXA Std Book" w:eastAsia="Times New Roman" w:hAnsi="CAIXA Std Book" w:cs="Arial"/>
                <w:color w:val="005CA9"/>
                <w:sz w:val="14"/>
                <w:szCs w:val="14"/>
              </w:rPr>
            </w:pPr>
            <w:r w:rsidRPr="00996C00">
              <w:rPr>
                <w:rFonts w:ascii="CAIXA Std Book" w:hAnsi="CAIXA Std Book" w:cs="Calibri"/>
                <w:color w:val="005CA9"/>
                <w:sz w:val="14"/>
                <w:szCs w:val="14"/>
              </w:rPr>
              <w:t>-</w:t>
            </w:r>
          </w:p>
        </w:tc>
        <w:tc>
          <w:tcPr>
            <w:tcW w:w="280" w:type="pct"/>
            <w:tcBorders>
              <w:top w:val="nil"/>
              <w:left w:val="nil"/>
              <w:bottom w:val="nil"/>
              <w:right w:val="nil"/>
            </w:tcBorders>
            <w:vAlign w:val="center"/>
          </w:tcPr>
          <w:p w14:paraId="39C2948D" w14:textId="77777777" w:rsidR="001E7F0C" w:rsidRPr="00996C00" w:rsidRDefault="001E7F0C">
            <w:pPr>
              <w:jc w:val="center"/>
              <w:rPr>
                <w:rFonts w:ascii="CAIXA Std Book" w:eastAsia="Times New Roman" w:hAnsi="CAIXA Std Book" w:cs="Arial"/>
                <w:color w:val="005CA9"/>
                <w:sz w:val="14"/>
                <w:szCs w:val="14"/>
              </w:rPr>
            </w:pPr>
            <w:r w:rsidRPr="00996C00">
              <w:rPr>
                <w:rFonts w:ascii="CAIXA Std Book" w:hAnsi="CAIXA Std Book" w:cs="Calibri"/>
                <w:color w:val="005CA9"/>
                <w:sz w:val="14"/>
                <w:szCs w:val="14"/>
              </w:rPr>
              <w:t>-</w:t>
            </w:r>
          </w:p>
        </w:tc>
        <w:tc>
          <w:tcPr>
            <w:tcW w:w="287" w:type="pct"/>
            <w:tcBorders>
              <w:top w:val="nil"/>
              <w:left w:val="nil"/>
              <w:bottom w:val="nil"/>
              <w:right w:val="nil"/>
            </w:tcBorders>
            <w:vAlign w:val="center"/>
          </w:tcPr>
          <w:p w14:paraId="78C9B2B2" w14:textId="77777777" w:rsidR="001E7F0C" w:rsidRPr="00996C00" w:rsidRDefault="001E7F0C">
            <w:pPr>
              <w:ind w:firstLineChars="100" w:firstLine="140"/>
              <w:jc w:val="right"/>
              <w:rPr>
                <w:rFonts w:ascii="CAIXA Std Book" w:eastAsia="Times New Roman" w:hAnsi="CAIXA Std Book" w:cs="Arial"/>
                <w:color w:val="005CA9"/>
                <w:sz w:val="14"/>
                <w:szCs w:val="14"/>
              </w:rPr>
            </w:pPr>
            <w:r w:rsidRPr="00996C00">
              <w:rPr>
                <w:rFonts w:ascii="CAIXA Std Book" w:hAnsi="CAIXA Std Book" w:cs="Calibri"/>
                <w:color w:val="005CA9"/>
                <w:sz w:val="14"/>
                <w:szCs w:val="14"/>
              </w:rPr>
              <w:t>(76)</w:t>
            </w:r>
          </w:p>
        </w:tc>
        <w:tc>
          <w:tcPr>
            <w:tcW w:w="388" w:type="pct"/>
            <w:tcBorders>
              <w:top w:val="nil"/>
              <w:left w:val="nil"/>
              <w:bottom w:val="nil"/>
              <w:right w:val="nil"/>
            </w:tcBorders>
            <w:noWrap/>
            <w:vAlign w:val="center"/>
          </w:tcPr>
          <w:p w14:paraId="6CD94FD2" w14:textId="77777777" w:rsidR="001E7F0C" w:rsidRPr="00996C00" w:rsidRDefault="001E7F0C">
            <w:pPr>
              <w:ind w:firstLineChars="100" w:firstLine="140"/>
              <w:jc w:val="right"/>
              <w:rPr>
                <w:rFonts w:ascii="CAIXA Std Book" w:eastAsia="Times New Roman" w:hAnsi="CAIXA Std Book" w:cs="Arial"/>
                <w:color w:val="005CA9"/>
                <w:sz w:val="14"/>
                <w:szCs w:val="14"/>
              </w:rPr>
            </w:pPr>
            <w:r w:rsidRPr="00996C00">
              <w:rPr>
                <w:rFonts w:ascii="CAIXA Std Book" w:hAnsi="CAIXA Std Book" w:cs="Calibri"/>
                <w:color w:val="005CA9"/>
                <w:sz w:val="14"/>
                <w:szCs w:val="14"/>
              </w:rPr>
              <w:t>(9.703.192)</w:t>
            </w:r>
          </w:p>
        </w:tc>
      </w:tr>
      <w:tr w:rsidR="001E7F0C" w:rsidRPr="00A64197" w14:paraId="0230CCA5" w14:textId="77777777" w:rsidTr="005405DF">
        <w:trPr>
          <w:trHeight w:val="283"/>
          <w:jc w:val="center"/>
        </w:trPr>
        <w:tc>
          <w:tcPr>
            <w:tcW w:w="1037" w:type="pct"/>
            <w:tcBorders>
              <w:top w:val="nil"/>
              <w:left w:val="nil"/>
              <w:bottom w:val="nil"/>
              <w:right w:val="nil"/>
            </w:tcBorders>
            <w:shd w:val="clear" w:color="auto" w:fill="D0DFE3"/>
            <w:noWrap/>
            <w:vAlign w:val="center"/>
          </w:tcPr>
          <w:p w14:paraId="6965A566" w14:textId="77777777" w:rsidR="001E7F0C" w:rsidRPr="00480973" w:rsidRDefault="001E7F0C">
            <w:pPr>
              <w:rPr>
                <w:rFonts w:ascii="CAIXA Std Book" w:eastAsia="Times New Roman" w:hAnsi="CAIXA Std Book" w:cs="Arial"/>
                <w:b/>
                <w:color w:val="005CA9"/>
                <w:sz w:val="14"/>
                <w:szCs w:val="14"/>
              </w:rPr>
            </w:pPr>
            <w:r w:rsidRPr="00480973">
              <w:rPr>
                <w:rFonts w:ascii="CAIXA Std Book" w:eastAsia="Times New Roman" w:hAnsi="CAIXA Std Book" w:cs="Arial"/>
                <w:b/>
                <w:color w:val="005CA9"/>
                <w:sz w:val="14"/>
                <w:szCs w:val="14"/>
              </w:rPr>
              <w:t>Passivo</w:t>
            </w:r>
          </w:p>
        </w:tc>
        <w:tc>
          <w:tcPr>
            <w:tcW w:w="400" w:type="pct"/>
            <w:tcBorders>
              <w:top w:val="nil"/>
              <w:left w:val="nil"/>
              <w:bottom w:val="nil"/>
              <w:right w:val="nil"/>
            </w:tcBorders>
            <w:shd w:val="clear" w:color="auto" w:fill="D0DFE3"/>
            <w:noWrap/>
            <w:vAlign w:val="center"/>
          </w:tcPr>
          <w:p w14:paraId="7B8734A2" w14:textId="71B13842" w:rsidR="001E7F0C" w:rsidRPr="00F2340E" w:rsidRDefault="005130A2">
            <w:pPr>
              <w:ind w:firstLineChars="100" w:firstLine="140"/>
              <w:jc w:val="right"/>
              <w:rPr>
                <w:rFonts w:ascii="CAIXA Std Book" w:hAnsi="CAIXA Std Book" w:cs="Arial"/>
                <w:color w:val="005CA9"/>
                <w:sz w:val="14"/>
                <w:szCs w:val="14"/>
              </w:rPr>
            </w:pPr>
            <w:r w:rsidRPr="005130A2">
              <w:rPr>
                <w:rFonts w:ascii="CAIXA Std Book" w:hAnsi="CAIXA Std Book" w:cs="Arial"/>
                <w:b/>
                <w:bCs/>
                <w:color w:val="005CA9"/>
                <w:sz w:val="14"/>
                <w:szCs w:val="14"/>
              </w:rPr>
              <w:t>160.645.831</w:t>
            </w:r>
          </w:p>
        </w:tc>
        <w:tc>
          <w:tcPr>
            <w:tcW w:w="328" w:type="pct"/>
            <w:shd w:val="clear" w:color="auto" w:fill="D0DFE3"/>
            <w:vAlign w:val="center"/>
          </w:tcPr>
          <w:p w14:paraId="0CFB315A" w14:textId="019BB8E4" w:rsidR="001E7F0C" w:rsidRPr="00F2340E" w:rsidRDefault="007171B1">
            <w:pPr>
              <w:jc w:val="right"/>
              <w:rPr>
                <w:rFonts w:ascii="CAIXA Std Book" w:hAnsi="CAIXA Std Book" w:cs="Arial"/>
                <w:color w:val="005CA9"/>
                <w:sz w:val="14"/>
                <w:szCs w:val="14"/>
              </w:rPr>
            </w:pPr>
            <w:r w:rsidRPr="00480973">
              <w:rPr>
                <w:rFonts w:ascii="CAIXA Std Book" w:hAnsi="CAIXA Std Book" w:cs="Arial"/>
                <w:b/>
                <w:bCs/>
                <w:color w:val="005CA9"/>
                <w:sz w:val="14"/>
                <w:szCs w:val="14"/>
              </w:rPr>
              <w:t>403.693</w:t>
            </w:r>
          </w:p>
        </w:tc>
        <w:tc>
          <w:tcPr>
            <w:tcW w:w="325" w:type="pct"/>
            <w:tcBorders>
              <w:top w:val="nil"/>
              <w:left w:val="nil"/>
              <w:bottom w:val="nil"/>
              <w:right w:val="nil"/>
            </w:tcBorders>
            <w:shd w:val="clear" w:color="auto" w:fill="D0DFE3"/>
            <w:noWrap/>
            <w:vAlign w:val="center"/>
          </w:tcPr>
          <w:p w14:paraId="1BA0FEF9" w14:textId="4E10A140" w:rsidR="001E7F0C" w:rsidRPr="00F2340E" w:rsidRDefault="007171B1">
            <w:pPr>
              <w:jc w:val="right"/>
              <w:rPr>
                <w:rFonts w:ascii="CAIXA Std Book" w:hAnsi="CAIXA Std Book" w:cs="Arial"/>
                <w:color w:val="005CA9"/>
                <w:sz w:val="14"/>
                <w:szCs w:val="14"/>
              </w:rPr>
            </w:pPr>
            <w:r w:rsidRPr="00480973">
              <w:rPr>
                <w:rFonts w:ascii="CAIXA Std Book" w:hAnsi="CAIXA Std Book" w:cs="Arial"/>
                <w:b/>
                <w:bCs/>
                <w:color w:val="005CA9"/>
                <w:sz w:val="14"/>
                <w:szCs w:val="14"/>
              </w:rPr>
              <w:t>38.806</w:t>
            </w:r>
          </w:p>
        </w:tc>
        <w:tc>
          <w:tcPr>
            <w:tcW w:w="328" w:type="pct"/>
            <w:tcBorders>
              <w:top w:val="nil"/>
              <w:left w:val="nil"/>
              <w:bottom w:val="nil"/>
              <w:right w:val="nil"/>
            </w:tcBorders>
            <w:shd w:val="clear" w:color="auto" w:fill="D0DFE3"/>
            <w:noWrap/>
            <w:vAlign w:val="center"/>
          </w:tcPr>
          <w:p w14:paraId="0A624F8E" w14:textId="6F06E459" w:rsidR="001E7F0C" w:rsidRPr="00F2340E" w:rsidRDefault="007171B1">
            <w:pPr>
              <w:jc w:val="right"/>
              <w:rPr>
                <w:rFonts w:ascii="CAIXA Std Book" w:hAnsi="CAIXA Std Book" w:cs="Arial"/>
                <w:color w:val="005CA9"/>
                <w:sz w:val="14"/>
                <w:szCs w:val="14"/>
              </w:rPr>
            </w:pPr>
            <w:r w:rsidRPr="00480973">
              <w:rPr>
                <w:rFonts w:ascii="CAIXA Std Book" w:hAnsi="CAIXA Std Book" w:cs="Arial"/>
                <w:b/>
                <w:bCs/>
                <w:color w:val="005CA9"/>
                <w:sz w:val="14"/>
                <w:szCs w:val="14"/>
              </w:rPr>
              <w:t>535</w:t>
            </w:r>
          </w:p>
        </w:tc>
        <w:tc>
          <w:tcPr>
            <w:tcW w:w="227" w:type="pct"/>
            <w:tcBorders>
              <w:top w:val="nil"/>
              <w:left w:val="nil"/>
              <w:bottom w:val="nil"/>
              <w:right w:val="nil"/>
            </w:tcBorders>
            <w:shd w:val="clear" w:color="auto" w:fill="D0DFE3"/>
            <w:vAlign w:val="center"/>
          </w:tcPr>
          <w:p w14:paraId="7892BDCB" w14:textId="7673164D" w:rsidR="001E7F0C" w:rsidRPr="00F2340E" w:rsidRDefault="007171B1">
            <w:pPr>
              <w:jc w:val="right"/>
              <w:rPr>
                <w:rFonts w:ascii="CAIXA Std Book" w:hAnsi="CAIXA Std Book" w:cs="Arial"/>
                <w:color w:val="005CA9"/>
                <w:sz w:val="14"/>
                <w:szCs w:val="14"/>
              </w:rPr>
            </w:pPr>
            <w:r w:rsidRPr="00480973">
              <w:rPr>
                <w:rFonts w:ascii="CAIXA Std Book" w:hAnsi="CAIXA Std Book" w:cs="Arial"/>
                <w:b/>
                <w:bCs/>
                <w:color w:val="005CA9"/>
                <w:sz w:val="14"/>
                <w:szCs w:val="14"/>
              </w:rPr>
              <w:t>57.230</w:t>
            </w:r>
          </w:p>
        </w:tc>
        <w:tc>
          <w:tcPr>
            <w:tcW w:w="358" w:type="pct"/>
            <w:tcBorders>
              <w:top w:val="nil"/>
              <w:left w:val="nil"/>
              <w:bottom w:val="nil"/>
              <w:right w:val="nil"/>
            </w:tcBorders>
            <w:shd w:val="clear" w:color="auto" w:fill="D0DFE3"/>
            <w:vAlign w:val="center"/>
          </w:tcPr>
          <w:p w14:paraId="30881254" w14:textId="3A280AF8" w:rsidR="001E7F0C" w:rsidRPr="00F2340E" w:rsidRDefault="005130A2">
            <w:pPr>
              <w:jc w:val="right"/>
              <w:rPr>
                <w:rFonts w:ascii="CAIXA Std Book" w:hAnsi="CAIXA Std Book" w:cs="Arial"/>
                <w:color w:val="005CA9"/>
                <w:sz w:val="14"/>
                <w:szCs w:val="14"/>
              </w:rPr>
            </w:pPr>
            <w:r w:rsidRPr="005130A2">
              <w:rPr>
                <w:rFonts w:ascii="CAIXA Std Book" w:hAnsi="CAIXA Std Book" w:cs="Arial"/>
                <w:b/>
                <w:bCs/>
                <w:color w:val="005CA9"/>
                <w:sz w:val="14"/>
                <w:szCs w:val="14"/>
              </w:rPr>
              <w:t>645.696.411</w:t>
            </w:r>
          </w:p>
        </w:tc>
        <w:tc>
          <w:tcPr>
            <w:tcW w:w="388" w:type="pct"/>
            <w:tcBorders>
              <w:top w:val="nil"/>
              <w:left w:val="nil"/>
              <w:bottom w:val="nil"/>
              <w:right w:val="nil"/>
            </w:tcBorders>
            <w:shd w:val="clear" w:color="auto" w:fill="D0DFE3"/>
            <w:vAlign w:val="center"/>
          </w:tcPr>
          <w:p w14:paraId="6F33E479" w14:textId="77777777" w:rsidR="001E7F0C" w:rsidRPr="00996C00" w:rsidRDefault="001E7F0C">
            <w:pPr>
              <w:jc w:val="right"/>
              <w:rPr>
                <w:rFonts w:ascii="CAIXA Std Book" w:eastAsia="Times New Roman" w:hAnsi="CAIXA Std Book" w:cs="Arial"/>
                <w:color w:val="005CA9"/>
                <w:sz w:val="14"/>
                <w:szCs w:val="14"/>
              </w:rPr>
            </w:pPr>
            <w:r w:rsidRPr="00996C00">
              <w:rPr>
                <w:rFonts w:ascii="CAIXA Std Book" w:hAnsi="CAIXA Std Book" w:cs="Calibri"/>
                <w:b/>
                <w:bCs/>
                <w:color w:val="005CA9"/>
                <w:sz w:val="14"/>
                <w:szCs w:val="14"/>
              </w:rPr>
              <w:t>81.449.770</w:t>
            </w:r>
          </w:p>
        </w:tc>
        <w:tc>
          <w:tcPr>
            <w:tcW w:w="328" w:type="pct"/>
            <w:tcBorders>
              <w:top w:val="nil"/>
              <w:left w:val="nil"/>
              <w:bottom w:val="nil"/>
              <w:right w:val="nil"/>
            </w:tcBorders>
            <w:shd w:val="clear" w:color="auto" w:fill="D0DFE3"/>
            <w:vAlign w:val="center"/>
          </w:tcPr>
          <w:p w14:paraId="34D0EC7F" w14:textId="77777777" w:rsidR="001E7F0C" w:rsidRPr="00996C00" w:rsidRDefault="001E7F0C">
            <w:pPr>
              <w:ind w:firstLineChars="100" w:firstLine="140"/>
              <w:jc w:val="right"/>
              <w:rPr>
                <w:rFonts w:ascii="CAIXA Std Book" w:eastAsia="Times New Roman" w:hAnsi="CAIXA Std Book" w:cs="Arial"/>
                <w:color w:val="005CA9"/>
                <w:sz w:val="14"/>
                <w:szCs w:val="14"/>
              </w:rPr>
            </w:pPr>
            <w:r w:rsidRPr="00996C00">
              <w:rPr>
                <w:rFonts w:ascii="CAIXA Std Book" w:hAnsi="CAIXA Std Book" w:cs="Calibri"/>
                <w:b/>
                <w:bCs/>
                <w:color w:val="005CA9"/>
                <w:sz w:val="14"/>
                <w:szCs w:val="14"/>
              </w:rPr>
              <w:t>586.144</w:t>
            </w:r>
          </w:p>
        </w:tc>
        <w:tc>
          <w:tcPr>
            <w:tcW w:w="325" w:type="pct"/>
            <w:tcBorders>
              <w:top w:val="nil"/>
              <w:left w:val="nil"/>
              <w:bottom w:val="nil"/>
              <w:right w:val="nil"/>
            </w:tcBorders>
            <w:shd w:val="clear" w:color="auto" w:fill="D0DFE3"/>
            <w:vAlign w:val="center"/>
          </w:tcPr>
          <w:p w14:paraId="4E0D8566" w14:textId="77777777" w:rsidR="001E7F0C" w:rsidRPr="00996C00" w:rsidRDefault="001E7F0C">
            <w:pPr>
              <w:ind w:firstLineChars="100" w:firstLine="140"/>
              <w:jc w:val="right"/>
              <w:rPr>
                <w:rFonts w:ascii="CAIXA Std Book" w:eastAsia="Times New Roman" w:hAnsi="CAIXA Std Book" w:cs="Arial"/>
                <w:color w:val="005CA9"/>
                <w:sz w:val="14"/>
                <w:szCs w:val="14"/>
              </w:rPr>
            </w:pPr>
            <w:r w:rsidRPr="00996C00">
              <w:rPr>
                <w:rFonts w:ascii="CAIXA Std Book" w:hAnsi="CAIXA Std Book" w:cs="Calibri"/>
                <w:b/>
                <w:bCs/>
                <w:color w:val="005CA9"/>
                <w:sz w:val="14"/>
                <w:szCs w:val="14"/>
              </w:rPr>
              <w:t>145.551</w:t>
            </w:r>
          </w:p>
        </w:tc>
        <w:tc>
          <w:tcPr>
            <w:tcW w:w="280" w:type="pct"/>
            <w:tcBorders>
              <w:top w:val="nil"/>
              <w:left w:val="nil"/>
              <w:bottom w:val="nil"/>
              <w:right w:val="nil"/>
            </w:tcBorders>
            <w:shd w:val="clear" w:color="auto" w:fill="D0DFE3"/>
            <w:vAlign w:val="center"/>
          </w:tcPr>
          <w:p w14:paraId="77C37BE8" w14:textId="77777777" w:rsidR="001E7F0C" w:rsidRPr="00996C00" w:rsidRDefault="001E7F0C">
            <w:pPr>
              <w:jc w:val="right"/>
              <w:rPr>
                <w:rFonts w:ascii="CAIXA Std Book" w:eastAsia="Times New Roman" w:hAnsi="CAIXA Std Book" w:cs="Arial"/>
                <w:color w:val="005CA9"/>
                <w:sz w:val="14"/>
                <w:szCs w:val="14"/>
              </w:rPr>
            </w:pPr>
            <w:r w:rsidRPr="00996C00">
              <w:rPr>
                <w:rFonts w:ascii="CAIXA Std Book" w:hAnsi="CAIXA Std Book" w:cs="Calibri"/>
                <w:b/>
                <w:bCs/>
                <w:color w:val="005CA9"/>
                <w:sz w:val="14"/>
                <w:szCs w:val="14"/>
              </w:rPr>
              <w:t>207.184</w:t>
            </w:r>
          </w:p>
        </w:tc>
        <w:tc>
          <w:tcPr>
            <w:tcW w:w="287" w:type="pct"/>
            <w:tcBorders>
              <w:top w:val="nil"/>
              <w:left w:val="nil"/>
              <w:bottom w:val="nil"/>
              <w:right w:val="nil"/>
            </w:tcBorders>
            <w:shd w:val="clear" w:color="auto" w:fill="D0DFE3"/>
            <w:vAlign w:val="center"/>
          </w:tcPr>
          <w:p w14:paraId="21757C07" w14:textId="77777777" w:rsidR="001E7F0C" w:rsidRPr="00996C00" w:rsidRDefault="001E7F0C">
            <w:pPr>
              <w:ind w:firstLineChars="100" w:firstLine="140"/>
              <w:jc w:val="right"/>
              <w:rPr>
                <w:rFonts w:ascii="CAIXA Std Book" w:eastAsia="Times New Roman" w:hAnsi="CAIXA Std Book" w:cs="Arial"/>
                <w:color w:val="005CA9"/>
                <w:sz w:val="14"/>
                <w:szCs w:val="14"/>
              </w:rPr>
            </w:pPr>
            <w:r w:rsidRPr="00996C00">
              <w:rPr>
                <w:rFonts w:ascii="CAIXA Std Book" w:hAnsi="CAIXA Std Book" w:cs="Calibri"/>
                <w:b/>
                <w:bCs/>
                <w:color w:val="005CA9"/>
                <w:sz w:val="14"/>
                <w:szCs w:val="14"/>
              </w:rPr>
              <w:t>630.408</w:t>
            </w:r>
          </w:p>
        </w:tc>
        <w:tc>
          <w:tcPr>
            <w:tcW w:w="388" w:type="pct"/>
            <w:tcBorders>
              <w:top w:val="nil"/>
              <w:left w:val="nil"/>
              <w:bottom w:val="nil"/>
              <w:right w:val="nil"/>
            </w:tcBorders>
            <w:shd w:val="clear" w:color="auto" w:fill="D0DFE3"/>
            <w:noWrap/>
            <w:vAlign w:val="center"/>
          </w:tcPr>
          <w:p w14:paraId="3323DF0D" w14:textId="77777777" w:rsidR="001E7F0C" w:rsidRPr="00996C00" w:rsidRDefault="001E7F0C">
            <w:pPr>
              <w:ind w:firstLineChars="100" w:firstLine="140"/>
              <w:jc w:val="right"/>
              <w:rPr>
                <w:rFonts w:ascii="CAIXA Std Book" w:eastAsia="Times New Roman" w:hAnsi="CAIXA Std Book" w:cs="Arial"/>
                <w:color w:val="005CA9"/>
                <w:sz w:val="14"/>
                <w:szCs w:val="14"/>
              </w:rPr>
            </w:pPr>
            <w:r w:rsidRPr="00996C00">
              <w:rPr>
                <w:rFonts w:ascii="CAIXA Std Book" w:hAnsi="CAIXA Std Book" w:cs="Calibri"/>
                <w:b/>
                <w:bCs/>
                <w:color w:val="005CA9"/>
                <w:sz w:val="14"/>
                <w:szCs w:val="14"/>
              </w:rPr>
              <w:t>672.360.079</w:t>
            </w:r>
          </w:p>
        </w:tc>
      </w:tr>
      <w:tr w:rsidR="001E7F0C" w:rsidRPr="00A64197" w14:paraId="20A8B0A5" w14:textId="77777777" w:rsidTr="005405DF">
        <w:trPr>
          <w:trHeight w:val="283"/>
          <w:jc w:val="center"/>
        </w:trPr>
        <w:tc>
          <w:tcPr>
            <w:tcW w:w="1037" w:type="pct"/>
            <w:tcBorders>
              <w:top w:val="nil"/>
              <w:left w:val="nil"/>
              <w:right w:val="nil"/>
            </w:tcBorders>
            <w:noWrap/>
            <w:vAlign w:val="center"/>
          </w:tcPr>
          <w:p w14:paraId="25277E08" w14:textId="77777777" w:rsidR="001E7F0C" w:rsidRPr="00480973" w:rsidRDefault="001E7F0C">
            <w:pPr>
              <w:rPr>
                <w:rFonts w:ascii="CAIXA Std Book" w:eastAsia="Times New Roman" w:hAnsi="CAIXA Std Book" w:cs="Arial"/>
                <w:color w:val="005CA9"/>
                <w:sz w:val="14"/>
                <w:szCs w:val="14"/>
              </w:rPr>
            </w:pPr>
            <w:r w:rsidRPr="00480973">
              <w:rPr>
                <w:rFonts w:ascii="CAIXA Std Book" w:eastAsia="Times New Roman" w:hAnsi="CAIXA Std Book" w:cs="Arial"/>
                <w:color w:val="005CA9"/>
                <w:sz w:val="14"/>
                <w:szCs w:val="14"/>
              </w:rPr>
              <w:t>Recursos de clientes</w:t>
            </w:r>
          </w:p>
        </w:tc>
        <w:tc>
          <w:tcPr>
            <w:tcW w:w="400" w:type="pct"/>
            <w:tcBorders>
              <w:top w:val="nil"/>
              <w:left w:val="nil"/>
              <w:right w:val="nil"/>
            </w:tcBorders>
            <w:noWrap/>
            <w:vAlign w:val="center"/>
          </w:tcPr>
          <w:p w14:paraId="771AB333" w14:textId="779E48E7" w:rsidR="001E7F0C" w:rsidRPr="00F2340E" w:rsidRDefault="007171B1">
            <w:pPr>
              <w:ind w:firstLineChars="100" w:firstLine="140"/>
              <w:jc w:val="right"/>
              <w:rPr>
                <w:rFonts w:ascii="CAIXA Std Book" w:hAnsi="CAIXA Std Book" w:cs="Arial"/>
                <w:color w:val="005CA9"/>
                <w:sz w:val="14"/>
                <w:szCs w:val="14"/>
              </w:rPr>
            </w:pPr>
            <w:r w:rsidRPr="00480973">
              <w:rPr>
                <w:rFonts w:ascii="CAIXA Std Book" w:hAnsi="CAIXA Std Book" w:cs="Arial"/>
                <w:color w:val="005CA9"/>
                <w:sz w:val="14"/>
                <w:szCs w:val="14"/>
              </w:rPr>
              <w:t xml:space="preserve"> 5.387.967</w:t>
            </w:r>
          </w:p>
        </w:tc>
        <w:tc>
          <w:tcPr>
            <w:tcW w:w="328" w:type="pct"/>
            <w:vAlign w:val="center"/>
          </w:tcPr>
          <w:p w14:paraId="5659A882" w14:textId="0E5FCB4B" w:rsidR="001E7F0C" w:rsidRPr="00F2340E" w:rsidRDefault="007171B1" w:rsidP="007171B1">
            <w:pPr>
              <w:jc w:val="right"/>
              <w:rPr>
                <w:rFonts w:ascii="CAIXA Std Book" w:hAnsi="CAIXA Std Book" w:cs="Arial"/>
                <w:color w:val="005CA9"/>
                <w:sz w:val="14"/>
                <w:szCs w:val="14"/>
              </w:rPr>
            </w:pPr>
            <w:r w:rsidRPr="00480973">
              <w:rPr>
                <w:rFonts w:ascii="CAIXA Std Book" w:hAnsi="CAIXA Std Book" w:cs="Arial"/>
                <w:color w:val="005CA9"/>
                <w:sz w:val="14"/>
                <w:szCs w:val="14"/>
              </w:rPr>
              <w:t xml:space="preserve"> 691</w:t>
            </w:r>
          </w:p>
        </w:tc>
        <w:tc>
          <w:tcPr>
            <w:tcW w:w="325" w:type="pct"/>
            <w:tcBorders>
              <w:top w:val="nil"/>
              <w:left w:val="nil"/>
              <w:right w:val="nil"/>
            </w:tcBorders>
            <w:noWrap/>
            <w:vAlign w:val="center"/>
          </w:tcPr>
          <w:p w14:paraId="48A25C2B" w14:textId="0C06BC03" w:rsidR="001E7F0C" w:rsidRPr="00F2340E" w:rsidRDefault="007171B1">
            <w:pPr>
              <w:jc w:val="right"/>
              <w:rPr>
                <w:rFonts w:ascii="CAIXA Std Book" w:hAnsi="CAIXA Std Book" w:cs="Arial"/>
                <w:color w:val="005CA9"/>
                <w:sz w:val="14"/>
                <w:szCs w:val="14"/>
              </w:rPr>
            </w:pPr>
            <w:r w:rsidRPr="00480973">
              <w:rPr>
                <w:rFonts w:ascii="CAIXA Std Book" w:hAnsi="CAIXA Std Book" w:cs="Arial"/>
                <w:color w:val="005CA9"/>
                <w:sz w:val="14"/>
                <w:szCs w:val="14"/>
              </w:rPr>
              <w:t xml:space="preserve"> 18.192</w:t>
            </w:r>
          </w:p>
        </w:tc>
        <w:tc>
          <w:tcPr>
            <w:tcW w:w="328" w:type="pct"/>
            <w:tcBorders>
              <w:top w:val="nil"/>
              <w:left w:val="nil"/>
              <w:right w:val="nil"/>
            </w:tcBorders>
            <w:noWrap/>
            <w:vAlign w:val="center"/>
          </w:tcPr>
          <w:p w14:paraId="17B6A867" w14:textId="796788AB" w:rsidR="001E7F0C" w:rsidRPr="00F2340E" w:rsidRDefault="007171B1" w:rsidP="007171B1">
            <w:pPr>
              <w:jc w:val="right"/>
              <w:rPr>
                <w:rFonts w:ascii="CAIXA Std Book" w:hAnsi="CAIXA Std Book" w:cs="Arial"/>
                <w:color w:val="005CA9"/>
                <w:sz w:val="14"/>
                <w:szCs w:val="14"/>
              </w:rPr>
            </w:pPr>
            <w:r w:rsidRPr="00480973">
              <w:rPr>
                <w:rFonts w:ascii="CAIXA Std Book" w:hAnsi="CAIXA Std Book" w:cs="Arial"/>
                <w:color w:val="005CA9"/>
                <w:sz w:val="14"/>
                <w:szCs w:val="14"/>
              </w:rPr>
              <w:t xml:space="preserve"> 535</w:t>
            </w:r>
          </w:p>
        </w:tc>
        <w:tc>
          <w:tcPr>
            <w:tcW w:w="227" w:type="pct"/>
            <w:tcBorders>
              <w:top w:val="nil"/>
              <w:left w:val="nil"/>
              <w:right w:val="nil"/>
            </w:tcBorders>
            <w:vAlign w:val="center"/>
          </w:tcPr>
          <w:p w14:paraId="55673588" w14:textId="13F2F033" w:rsidR="001E7F0C" w:rsidRPr="00F2340E" w:rsidRDefault="007171B1">
            <w:pPr>
              <w:jc w:val="right"/>
              <w:rPr>
                <w:rFonts w:ascii="CAIXA Std Book" w:hAnsi="CAIXA Std Book" w:cs="Arial"/>
                <w:color w:val="005CA9"/>
                <w:sz w:val="14"/>
                <w:szCs w:val="14"/>
              </w:rPr>
            </w:pPr>
            <w:r w:rsidRPr="00480973">
              <w:rPr>
                <w:rFonts w:ascii="CAIXA Std Book" w:hAnsi="CAIXA Std Book" w:cs="Arial"/>
                <w:color w:val="005CA9"/>
                <w:sz w:val="14"/>
                <w:szCs w:val="14"/>
              </w:rPr>
              <w:t xml:space="preserve"> 57.230</w:t>
            </w:r>
          </w:p>
        </w:tc>
        <w:tc>
          <w:tcPr>
            <w:tcW w:w="358" w:type="pct"/>
            <w:tcBorders>
              <w:top w:val="nil"/>
              <w:left w:val="nil"/>
              <w:right w:val="nil"/>
            </w:tcBorders>
            <w:vAlign w:val="center"/>
          </w:tcPr>
          <w:p w14:paraId="737D927F" w14:textId="69F5938A" w:rsidR="001E7F0C" w:rsidRPr="00F2340E" w:rsidRDefault="007171B1">
            <w:pPr>
              <w:jc w:val="right"/>
              <w:rPr>
                <w:rFonts w:ascii="CAIXA Std Book" w:hAnsi="CAIXA Std Book" w:cs="Arial"/>
                <w:color w:val="005CA9"/>
                <w:sz w:val="14"/>
                <w:szCs w:val="14"/>
              </w:rPr>
            </w:pPr>
            <w:r w:rsidRPr="00480973">
              <w:rPr>
                <w:rFonts w:ascii="CAIXA Std Book" w:hAnsi="CAIXA Std Book" w:cs="Arial"/>
                <w:color w:val="005CA9"/>
                <w:sz w:val="14"/>
                <w:szCs w:val="14"/>
              </w:rPr>
              <w:t xml:space="preserve"> 25.002.890</w:t>
            </w:r>
          </w:p>
        </w:tc>
        <w:tc>
          <w:tcPr>
            <w:tcW w:w="388" w:type="pct"/>
            <w:tcBorders>
              <w:top w:val="nil"/>
              <w:left w:val="nil"/>
              <w:right w:val="nil"/>
            </w:tcBorders>
            <w:vAlign w:val="center"/>
          </w:tcPr>
          <w:p w14:paraId="336A0826" w14:textId="77777777" w:rsidR="001E7F0C" w:rsidRPr="00996C00" w:rsidRDefault="001E7F0C">
            <w:pPr>
              <w:jc w:val="right"/>
              <w:rPr>
                <w:rFonts w:ascii="CAIXA Std Book" w:eastAsia="Times New Roman" w:hAnsi="CAIXA Std Book" w:cs="Arial"/>
                <w:color w:val="005CA9"/>
                <w:sz w:val="14"/>
                <w:szCs w:val="14"/>
              </w:rPr>
            </w:pPr>
            <w:r w:rsidRPr="00996C00">
              <w:rPr>
                <w:rFonts w:ascii="CAIXA Std Book" w:hAnsi="CAIXA Std Book" w:cs="Calibri"/>
                <w:color w:val="005CA9"/>
                <w:sz w:val="14"/>
                <w:szCs w:val="14"/>
              </w:rPr>
              <w:t>4.124.245</w:t>
            </w:r>
          </w:p>
        </w:tc>
        <w:tc>
          <w:tcPr>
            <w:tcW w:w="328" w:type="pct"/>
            <w:tcBorders>
              <w:top w:val="nil"/>
              <w:left w:val="nil"/>
              <w:right w:val="nil"/>
            </w:tcBorders>
            <w:vAlign w:val="center"/>
          </w:tcPr>
          <w:p w14:paraId="05C776F2" w14:textId="77777777" w:rsidR="001E7F0C" w:rsidRPr="00996C00" w:rsidRDefault="001E7F0C">
            <w:pPr>
              <w:ind w:firstLineChars="100" w:firstLine="140"/>
              <w:jc w:val="right"/>
              <w:rPr>
                <w:rFonts w:ascii="CAIXA Std Book" w:eastAsia="Times New Roman" w:hAnsi="CAIXA Std Book" w:cs="Arial"/>
                <w:color w:val="005CA9"/>
                <w:sz w:val="14"/>
                <w:szCs w:val="14"/>
              </w:rPr>
            </w:pPr>
            <w:r w:rsidRPr="00996C00">
              <w:rPr>
                <w:rFonts w:ascii="CAIXA Std Book" w:hAnsi="CAIXA Std Book" w:cs="Calibri"/>
                <w:color w:val="005CA9"/>
                <w:sz w:val="14"/>
                <w:szCs w:val="14"/>
              </w:rPr>
              <w:t>318.103</w:t>
            </w:r>
          </w:p>
        </w:tc>
        <w:tc>
          <w:tcPr>
            <w:tcW w:w="325" w:type="pct"/>
            <w:tcBorders>
              <w:top w:val="nil"/>
              <w:left w:val="nil"/>
              <w:right w:val="nil"/>
            </w:tcBorders>
            <w:vAlign w:val="center"/>
          </w:tcPr>
          <w:p w14:paraId="502ACCEC" w14:textId="77777777" w:rsidR="001E7F0C" w:rsidRPr="00996C00" w:rsidRDefault="001E7F0C">
            <w:pPr>
              <w:ind w:firstLineChars="100" w:firstLine="140"/>
              <w:jc w:val="right"/>
              <w:rPr>
                <w:rFonts w:ascii="CAIXA Std Book" w:eastAsia="Times New Roman" w:hAnsi="CAIXA Std Book" w:cs="Arial"/>
                <w:color w:val="005CA9"/>
                <w:sz w:val="14"/>
                <w:szCs w:val="14"/>
              </w:rPr>
            </w:pPr>
            <w:r w:rsidRPr="00996C00">
              <w:rPr>
                <w:rFonts w:ascii="CAIXA Std Book" w:hAnsi="CAIXA Std Book" w:cs="Calibri"/>
                <w:color w:val="005CA9"/>
                <w:sz w:val="14"/>
                <w:szCs w:val="14"/>
              </w:rPr>
              <w:t>138.053</w:t>
            </w:r>
          </w:p>
        </w:tc>
        <w:tc>
          <w:tcPr>
            <w:tcW w:w="280" w:type="pct"/>
            <w:tcBorders>
              <w:top w:val="nil"/>
              <w:left w:val="nil"/>
              <w:right w:val="nil"/>
            </w:tcBorders>
            <w:vAlign w:val="center"/>
          </w:tcPr>
          <w:p w14:paraId="15045D9E" w14:textId="77777777" w:rsidR="001E7F0C" w:rsidRPr="00996C00" w:rsidRDefault="001E7F0C">
            <w:pPr>
              <w:jc w:val="right"/>
              <w:rPr>
                <w:rFonts w:ascii="CAIXA Std Book" w:eastAsia="Times New Roman" w:hAnsi="CAIXA Std Book" w:cs="Arial"/>
                <w:color w:val="005CA9"/>
                <w:sz w:val="14"/>
                <w:szCs w:val="14"/>
              </w:rPr>
            </w:pPr>
            <w:r w:rsidRPr="00996C00">
              <w:rPr>
                <w:rFonts w:ascii="CAIXA Std Book" w:hAnsi="CAIXA Std Book" w:cs="Calibri"/>
                <w:color w:val="005CA9"/>
                <w:sz w:val="14"/>
                <w:szCs w:val="14"/>
              </w:rPr>
              <w:t>133.547</w:t>
            </w:r>
          </w:p>
        </w:tc>
        <w:tc>
          <w:tcPr>
            <w:tcW w:w="287" w:type="pct"/>
            <w:tcBorders>
              <w:top w:val="nil"/>
              <w:left w:val="nil"/>
              <w:right w:val="nil"/>
            </w:tcBorders>
            <w:vAlign w:val="center"/>
          </w:tcPr>
          <w:p w14:paraId="63882EBE" w14:textId="77777777" w:rsidR="001E7F0C" w:rsidRPr="00996C00" w:rsidRDefault="001E7F0C">
            <w:pPr>
              <w:ind w:firstLineChars="100" w:firstLine="140"/>
              <w:jc w:val="right"/>
              <w:rPr>
                <w:rFonts w:ascii="CAIXA Std Book" w:eastAsia="Times New Roman" w:hAnsi="CAIXA Std Book" w:cs="Arial"/>
                <w:color w:val="005CA9"/>
                <w:sz w:val="14"/>
                <w:szCs w:val="14"/>
              </w:rPr>
            </w:pPr>
            <w:r w:rsidRPr="00996C00">
              <w:rPr>
                <w:rFonts w:ascii="CAIXA Std Book" w:hAnsi="CAIXA Std Book" w:cs="Calibri"/>
                <w:color w:val="005CA9"/>
                <w:sz w:val="14"/>
                <w:szCs w:val="14"/>
              </w:rPr>
              <w:t>630.408</w:t>
            </w:r>
          </w:p>
        </w:tc>
        <w:tc>
          <w:tcPr>
            <w:tcW w:w="388" w:type="pct"/>
            <w:tcBorders>
              <w:top w:val="nil"/>
              <w:left w:val="nil"/>
              <w:right w:val="nil"/>
            </w:tcBorders>
            <w:noWrap/>
            <w:vAlign w:val="center"/>
          </w:tcPr>
          <w:p w14:paraId="7A761FA3" w14:textId="77777777" w:rsidR="001E7F0C" w:rsidRPr="00996C00" w:rsidRDefault="001E7F0C">
            <w:pPr>
              <w:ind w:firstLineChars="100" w:firstLine="140"/>
              <w:jc w:val="right"/>
              <w:rPr>
                <w:rFonts w:ascii="CAIXA Std Book" w:eastAsia="Times New Roman" w:hAnsi="CAIXA Std Book" w:cs="Arial"/>
                <w:color w:val="005CA9"/>
                <w:sz w:val="14"/>
                <w:szCs w:val="14"/>
              </w:rPr>
            </w:pPr>
            <w:r w:rsidRPr="00996C00">
              <w:rPr>
                <w:rFonts w:ascii="CAIXA Std Book" w:hAnsi="CAIXA Std Book" w:cs="Calibri"/>
                <w:color w:val="005CA9"/>
                <w:sz w:val="14"/>
                <w:szCs w:val="14"/>
              </w:rPr>
              <w:t>25.739.004</w:t>
            </w:r>
          </w:p>
        </w:tc>
      </w:tr>
      <w:tr w:rsidR="001E7F0C" w:rsidRPr="00A64197" w14:paraId="685125E0" w14:textId="77777777" w:rsidTr="005405DF">
        <w:trPr>
          <w:trHeight w:val="283"/>
          <w:jc w:val="center"/>
        </w:trPr>
        <w:tc>
          <w:tcPr>
            <w:tcW w:w="1037" w:type="pct"/>
            <w:tcBorders>
              <w:top w:val="nil"/>
              <w:left w:val="nil"/>
              <w:right w:val="nil"/>
            </w:tcBorders>
            <w:noWrap/>
            <w:vAlign w:val="center"/>
          </w:tcPr>
          <w:p w14:paraId="028D6A4F" w14:textId="77777777" w:rsidR="001E7F0C" w:rsidRPr="00480973" w:rsidRDefault="001E7F0C">
            <w:pPr>
              <w:rPr>
                <w:rFonts w:ascii="CAIXA Std Book" w:eastAsia="Times New Roman" w:hAnsi="CAIXA Std Book" w:cs="Arial"/>
                <w:color w:val="005CA9"/>
                <w:sz w:val="14"/>
                <w:szCs w:val="14"/>
              </w:rPr>
            </w:pPr>
            <w:r w:rsidRPr="00480973">
              <w:rPr>
                <w:rFonts w:ascii="CAIXA Std Book" w:eastAsia="Times New Roman" w:hAnsi="CAIXA Std Book" w:cs="Arial"/>
                <w:color w:val="005CA9"/>
                <w:sz w:val="14"/>
                <w:szCs w:val="14"/>
              </w:rPr>
              <w:t>Recursos de instituições financeiras e outras</w:t>
            </w:r>
          </w:p>
        </w:tc>
        <w:tc>
          <w:tcPr>
            <w:tcW w:w="400" w:type="pct"/>
            <w:tcBorders>
              <w:top w:val="nil"/>
              <w:left w:val="nil"/>
              <w:right w:val="nil"/>
            </w:tcBorders>
            <w:noWrap/>
            <w:vAlign w:val="center"/>
          </w:tcPr>
          <w:p w14:paraId="06340D4E" w14:textId="5F856977" w:rsidR="001E7F0C" w:rsidRPr="00F2340E" w:rsidRDefault="005130A2" w:rsidP="00C144C2">
            <w:pPr>
              <w:ind w:firstLineChars="100" w:firstLine="140"/>
              <w:jc w:val="center"/>
              <w:rPr>
                <w:rFonts w:ascii="CAIXA Std Book" w:hAnsi="CAIXA Std Book" w:cs="Arial"/>
                <w:color w:val="005CA9"/>
                <w:sz w:val="14"/>
                <w:szCs w:val="14"/>
              </w:rPr>
            </w:pPr>
            <w:r w:rsidRPr="005130A2">
              <w:rPr>
                <w:rFonts w:ascii="CAIXA Std Book" w:hAnsi="CAIXA Std Book" w:cs="Arial"/>
                <w:color w:val="005CA9"/>
                <w:sz w:val="14"/>
                <w:szCs w:val="14"/>
              </w:rPr>
              <w:t xml:space="preserve"> 1.899.457</w:t>
            </w:r>
          </w:p>
        </w:tc>
        <w:tc>
          <w:tcPr>
            <w:tcW w:w="328" w:type="pct"/>
            <w:vAlign w:val="center"/>
          </w:tcPr>
          <w:p w14:paraId="15EF0A16" w14:textId="211FC5D3" w:rsidR="001E7F0C" w:rsidRPr="00F2340E" w:rsidRDefault="007171B1" w:rsidP="007171B1">
            <w:pPr>
              <w:jc w:val="right"/>
              <w:rPr>
                <w:rFonts w:ascii="CAIXA Std Book" w:hAnsi="CAIXA Std Book" w:cs="Arial"/>
                <w:color w:val="005CA9"/>
                <w:sz w:val="14"/>
                <w:szCs w:val="14"/>
              </w:rPr>
            </w:pPr>
            <w:r w:rsidRPr="00480973">
              <w:rPr>
                <w:rFonts w:ascii="CAIXA Std Book" w:hAnsi="CAIXA Std Book" w:cs="Arial"/>
                <w:color w:val="005CA9"/>
                <w:sz w:val="14"/>
                <w:szCs w:val="14"/>
              </w:rPr>
              <w:t xml:space="preserve"> 360.268</w:t>
            </w:r>
          </w:p>
        </w:tc>
        <w:tc>
          <w:tcPr>
            <w:tcW w:w="325" w:type="pct"/>
            <w:tcBorders>
              <w:top w:val="nil"/>
              <w:left w:val="nil"/>
              <w:right w:val="nil"/>
            </w:tcBorders>
            <w:noWrap/>
            <w:vAlign w:val="center"/>
          </w:tcPr>
          <w:p w14:paraId="0E62A090" w14:textId="5AF4EAD8" w:rsidR="001E7F0C" w:rsidRPr="00F2340E" w:rsidRDefault="007171B1" w:rsidP="00C144C2">
            <w:pPr>
              <w:jc w:val="center"/>
              <w:rPr>
                <w:rFonts w:ascii="CAIXA Std Book" w:hAnsi="CAIXA Std Book" w:cs="Arial"/>
                <w:color w:val="005CA9"/>
                <w:sz w:val="14"/>
                <w:szCs w:val="14"/>
              </w:rPr>
            </w:pPr>
            <w:r w:rsidRPr="00480973">
              <w:rPr>
                <w:rFonts w:ascii="CAIXA Std Book" w:hAnsi="CAIXA Std Book" w:cs="Arial"/>
                <w:color w:val="005CA9"/>
                <w:sz w:val="14"/>
                <w:szCs w:val="14"/>
              </w:rPr>
              <w:t>-</w:t>
            </w:r>
          </w:p>
        </w:tc>
        <w:tc>
          <w:tcPr>
            <w:tcW w:w="328" w:type="pct"/>
            <w:tcBorders>
              <w:top w:val="nil"/>
              <w:left w:val="nil"/>
              <w:right w:val="nil"/>
            </w:tcBorders>
            <w:noWrap/>
            <w:vAlign w:val="center"/>
          </w:tcPr>
          <w:p w14:paraId="78B66FD7" w14:textId="00E24D58" w:rsidR="001E7F0C" w:rsidRPr="00F2340E" w:rsidRDefault="007171B1">
            <w:pPr>
              <w:jc w:val="center"/>
              <w:rPr>
                <w:rFonts w:ascii="CAIXA Std Book" w:hAnsi="CAIXA Std Book" w:cs="Arial"/>
                <w:color w:val="005CA9"/>
                <w:sz w:val="14"/>
                <w:szCs w:val="14"/>
              </w:rPr>
            </w:pPr>
            <w:r w:rsidRPr="00480973">
              <w:rPr>
                <w:rFonts w:ascii="CAIXA Std Book" w:hAnsi="CAIXA Std Book" w:cs="Arial"/>
                <w:color w:val="005CA9"/>
                <w:sz w:val="14"/>
                <w:szCs w:val="14"/>
              </w:rPr>
              <w:t>-</w:t>
            </w:r>
          </w:p>
        </w:tc>
        <w:tc>
          <w:tcPr>
            <w:tcW w:w="227" w:type="pct"/>
            <w:tcBorders>
              <w:top w:val="nil"/>
              <w:left w:val="nil"/>
              <w:right w:val="nil"/>
            </w:tcBorders>
            <w:vAlign w:val="center"/>
          </w:tcPr>
          <w:p w14:paraId="09ED8428" w14:textId="04BDD987" w:rsidR="001E7F0C" w:rsidRPr="00F2340E" w:rsidRDefault="007171B1" w:rsidP="00C144C2">
            <w:pPr>
              <w:jc w:val="center"/>
              <w:rPr>
                <w:rFonts w:ascii="CAIXA Std Book" w:hAnsi="CAIXA Std Book" w:cs="Arial"/>
                <w:color w:val="005CA9"/>
                <w:sz w:val="14"/>
                <w:szCs w:val="14"/>
              </w:rPr>
            </w:pPr>
            <w:r w:rsidRPr="00480973">
              <w:rPr>
                <w:rFonts w:ascii="CAIXA Std Book" w:hAnsi="CAIXA Std Book" w:cs="Arial"/>
                <w:color w:val="005CA9"/>
                <w:sz w:val="14"/>
                <w:szCs w:val="14"/>
              </w:rPr>
              <w:t>-</w:t>
            </w:r>
          </w:p>
        </w:tc>
        <w:tc>
          <w:tcPr>
            <w:tcW w:w="358" w:type="pct"/>
            <w:tcBorders>
              <w:top w:val="nil"/>
              <w:left w:val="nil"/>
              <w:right w:val="nil"/>
            </w:tcBorders>
            <w:vAlign w:val="center"/>
          </w:tcPr>
          <w:p w14:paraId="77F3A3C2" w14:textId="222C895A" w:rsidR="001E7F0C" w:rsidRPr="00F2340E" w:rsidRDefault="005130A2">
            <w:pPr>
              <w:jc w:val="right"/>
              <w:rPr>
                <w:rFonts w:ascii="CAIXA Std Book" w:hAnsi="CAIXA Std Book" w:cs="Arial"/>
                <w:color w:val="005CA9"/>
                <w:sz w:val="14"/>
                <w:szCs w:val="14"/>
              </w:rPr>
            </w:pPr>
            <w:r w:rsidRPr="005130A2">
              <w:rPr>
                <w:rFonts w:ascii="CAIXA Std Book" w:hAnsi="CAIXA Std Book" w:cs="Arial"/>
                <w:color w:val="005CA9"/>
                <w:sz w:val="14"/>
                <w:szCs w:val="14"/>
              </w:rPr>
              <w:t xml:space="preserve"> 614.909.727</w:t>
            </w:r>
          </w:p>
        </w:tc>
        <w:tc>
          <w:tcPr>
            <w:tcW w:w="388" w:type="pct"/>
            <w:tcBorders>
              <w:top w:val="nil"/>
              <w:left w:val="nil"/>
              <w:right w:val="nil"/>
            </w:tcBorders>
            <w:vAlign w:val="center"/>
          </w:tcPr>
          <w:p w14:paraId="58DE3047" w14:textId="77777777" w:rsidR="001E7F0C" w:rsidRPr="00996C00" w:rsidRDefault="001E7F0C">
            <w:pPr>
              <w:jc w:val="right"/>
              <w:rPr>
                <w:rFonts w:ascii="CAIXA Std Book" w:eastAsia="Times New Roman" w:hAnsi="CAIXA Std Book" w:cs="Arial"/>
                <w:color w:val="005CA9"/>
                <w:sz w:val="14"/>
                <w:szCs w:val="14"/>
              </w:rPr>
            </w:pPr>
            <w:r w:rsidRPr="00996C00">
              <w:rPr>
                <w:rFonts w:ascii="CAIXA Std Book" w:eastAsia="Times New Roman" w:hAnsi="CAIXA Std Book" w:cs="Arial"/>
                <w:color w:val="005CA9"/>
                <w:sz w:val="14"/>
                <w:szCs w:val="14"/>
              </w:rPr>
              <w:t>13.690</w:t>
            </w:r>
          </w:p>
        </w:tc>
        <w:tc>
          <w:tcPr>
            <w:tcW w:w="328" w:type="pct"/>
            <w:tcBorders>
              <w:top w:val="nil"/>
              <w:left w:val="nil"/>
              <w:right w:val="nil"/>
            </w:tcBorders>
            <w:vAlign w:val="center"/>
          </w:tcPr>
          <w:p w14:paraId="5EEEF5B9" w14:textId="77777777" w:rsidR="001E7F0C" w:rsidRPr="00996C00" w:rsidRDefault="001E7F0C">
            <w:pPr>
              <w:ind w:firstLineChars="100" w:firstLine="140"/>
              <w:jc w:val="center"/>
              <w:rPr>
                <w:rFonts w:ascii="CAIXA Std Book" w:eastAsia="Times New Roman" w:hAnsi="CAIXA Std Book" w:cs="Arial"/>
                <w:color w:val="005CA9"/>
                <w:sz w:val="14"/>
                <w:szCs w:val="14"/>
              </w:rPr>
            </w:pPr>
            <w:r w:rsidRPr="00996C00">
              <w:rPr>
                <w:rFonts w:ascii="CAIXA Std Book" w:hAnsi="CAIXA Std Book" w:cs="Calibri"/>
                <w:color w:val="005CA9"/>
                <w:sz w:val="14"/>
                <w:szCs w:val="14"/>
              </w:rPr>
              <w:t>-</w:t>
            </w:r>
          </w:p>
        </w:tc>
        <w:tc>
          <w:tcPr>
            <w:tcW w:w="325" w:type="pct"/>
            <w:tcBorders>
              <w:top w:val="nil"/>
              <w:left w:val="nil"/>
              <w:right w:val="nil"/>
            </w:tcBorders>
            <w:vAlign w:val="center"/>
          </w:tcPr>
          <w:p w14:paraId="1055A38F" w14:textId="77777777" w:rsidR="001E7F0C" w:rsidRPr="00996C00" w:rsidRDefault="001E7F0C">
            <w:pPr>
              <w:ind w:firstLineChars="100" w:firstLine="140"/>
              <w:jc w:val="center"/>
              <w:rPr>
                <w:rFonts w:ascii="CAIXA Std Book" w:eastAsia="Times New Roman" w:hAnsi="CAIXA Std Book" w:cs="Arial"/>
                <w:color w:val="005CA9"/>
                <w:sz w:val="14"/>
                <w:szCs w:val="14"/>
              </w:rPr>
            </w:pPr>
            <w:r w:rsidRPr="00996C00">
              <w:rPr>
                <w:rFonts w:ascii="CAIXA Std Book" w:hAnsi="CAIXA Std Book" w:cs="Calibri"/>
                <w:color w:val="005CA9"/>
                <w:sz w:val="14"/>
                <w:szCs w:val="14"/>
              </w:rPr>
              <w:t>-</w:t>
            </w:r>
          </w:p>
        </w:tc>
        <w:tc>
          <w:tcPr>
            <w:tcW w:w="280" w:type="pct"/>
            <w:tcBorders>
              <w:top w:val="nil"/>
              <w:left w:val="nil"/>
              <w:right w:val="nil"/>
            </w:tcBorders>
            <w:vAlign w:val="center"/>
          </w:tcPr>
          <w:p w14:paraId="40706743" w14:textId="77777777" w:rsidR="001E7F0C" w:rsidRPr="00996C00" w:rsidRDefault="001E7F0C">
            <w:pPr>
              <w:jc w:val="center"/>
              <w:rPr>
                <w:rFonts w:ascii="CAIXA Std Book" w:eastAsia="Times New Roman" w:hAnsi="CAIXA Std Book" w:cs="Arial"/>
                <w:color w:val="005CA9"/>
                <w:sz w:val="14"/>
                <w:szCs w:val="14"/>
              </w:rPr>
            </w:pPr>
            <w:r w:rsidRPr="00996C00">
              <w:rPr>
                <w:rFonts w:ascii="CAIXA Std Book" w:hAnsi="CAIXA Std Book" w:cs="Calibri"/>
                <w:color w:val="005CA9"/>
                <w:sz w:val="14"/>
                <w:szCs w:val="14"/>
              </w:rPr>
              <w:t>-</w:t>
            </w:r>
          </w:p>
        </w:tc>
        <w:tc>
          <w:tcPr>
            <w:tcW w:w="287" w:type="pct"/>
            <w:tcBorders>
              <w:top w:val="nil"/>
              <w:left w:val="nil"/>
              <w:right w:val="nil"/>
            </w:tcBorders>
            <w:vAlign w:val="center"/>
          </w:tcPr>
          <w:p w14:paraId="333645AA" w14:textId="77777777" w:rsidR="001E7F0C" w:rsidRPr="00996C00" w:rsidRDefault="001E7F0C">
            <w:pPr>
              <w:ind w:firstLineChars="100" w:firstLine="140"/>
              <w:jc w:val="center"/>
              <w:rPr>
                <w:rFonts w:ascii="CAIXA Std Book" w:eastAsia="Times New Roman" w:hAnsi="CAIXA Std Book" w:cs="Arial"/>
                <w:color w:val="005CA9"/>
                <w:sz w:val="14"/>
                <w:szCs w:val="14"/>
              </w:rPr>
            </w:pPr>
            <w:r w:rsidRPr="00996C00">
              <w:rPr>
                <w:rFonts w:ascii="CAIXA Std Book" w:hAnsi="CAIXA Std Book" w:cs="Calibri"/>
                <w:color w:val="005CA9"/>
                <w:sz w:val="14"/>
                <w:szCs w:val="14"/>
              </w:rPr>
              <w:t>-</w:t>
            </w:r>
          </w:p>
        </w:tc>
        <w:tc>
          <w:tcPr>
            <w:tcW w:w="388" w:type="pct"/>
            <w:tcBorders>
              <w:top w:val="nil"/>
              <w:left w:val="nil"/>
              <w:right w:val="nil"/>
            </w:tcBorders>
            <w:noWrap/>
            <w:vAlign w:val="center"/>
          </w:tcPr>
          <w:p w14:paraId="441B59CF" w14:textId="77777777" w:rsidR="001E7F0C" w:rsidRPr="00996C00" w:rsidRDefault="001E7F0C">
            <w:pPr>
              <w:ind w:firstLineChars="100" w:firstLine="140"/>
              <w:jc w:val="right"/>
              <w:rPr>
                <w:rFonts w:ascii="CAIXA Std Book" w:eastAsia="Times New Roman" w:hAnsi="CAIXA Std Book" w:cs="Arial"/>
                <w:color w:val="005CA9"/>
                <w:sz w:val="14"/>
                <w:szCs w:val="14"/>
              </w:rPr>
            </w:pPr>
            <w:r w:rsidRPr="00996C00">
              <w:rPr>
                <w:rFonts w:ascii="CAIXA Std Book" w:hAnsi="CAIXA Std Book" w:cs="Calibri"/>
                <w:color w:val="005CA9"/>
                <w:sz w:val="14"/>
                <w:szCs w:val="14"/>
              </w:rPr>
              <w:t xml:space="preserve">599.477.004 </w:t>
            </w:r>
          </w:p>
        </w:tc>
      </w:tr>
      <w:tr w:rsidR="001E7F0C" w:rsidRPr="00A64197" w14:paraId="0921319C" w14:textId="77777777" w:rsidTr="005405DF">
        <w:trPr>
          <w:trHeight w:val="283"/>
          <w:jc w:val="center"/>
        </w:trPr>
        <w:tc>
          <w:tcPr>
            <w:tcW w:w="1037" w:type="pct"/>
            <w:tcBorders>
              <w:top w:val="nil"/>
              <w:left w:val="nil"/>
              <w:right w:val="nil"/>
            </w:tcBorders>
            <w:noWrap/>
            <w:vAlign w:val="center"/>
          </w:tcPr>
          <w:p w14:paraId="0C26EDC0" w14:textId="77777777" w:rsidR="001E7F0C" w:rsidRPr="00480973" w:rsidRDefault="001E7F0C">
            <w:pPr>
              <w:rPr>
                <w:rFonts w:ascii="CAIXA Std Book" w:eastAsia="Times New Roman" w:hAnsi="CAIXA Std Book" w:cs="Arial"/>
                <w:color w:val="005CA9"/>
                <w:sz w:val="14"/>
                <w:szCs w:val="14"/>
              </w:rPr>
            </w:pPr>
            <w:r w:rsidRPr="00480973">
              <w:rPr>
                <w:rFonts w:ascii="CAIXA Std Book" w:eastAsia="Times New Roman" w:hAnsi="CAIXA Std Book" w:cs="Arial"/>
                <w:color w:val="005CA9"/>
                <w:sz w:val="14"/>
                <w:szCs w:val="14"/>
              </w:rPr>
              <w:t>Recursos para destinação específica</w:t>
            </w:r>
          </w:p>
        </w:tc>
        <w:tc>
          <w:tcPr>
            <w:tcW w:w="400" w:type="pct"/>
            <w:tcBorders>
              <w:top w:val="nil"/>
              <w:left w:val="nil"/>
              <w:right w:val="nil"/>
            </w:tcBorders>
            <w:noWrap/>
            <w:vAlign w:val="center"/>
          </w:tcPr>
          <w:p w14:paraId="4C7B9D64" w14:textId="4773E0E2" w:rsidR="001E7F0C" w:rsidRPr="00F2340E" w:rsidRDefault="005130A2">
            <w:pPr>
              <w:ind w:firstLineChars="100" w:firstLine="140"/>
              <w:jc w:val="right"/>
              <w:rPr>
                <w:rFonts w:ascii="CAIXA Std Book" w:hAnsi="CAIXA Std Book" w:cs="Arial"/>
                <w:color w:val="005CA9"/>
                <w:sz w:val="14"/>
                <w:szCs w:val="14"/>
              </w:rPr>
            </w:pPr>
            <w:r w:rsidRPr="005130A2">
              <w:rPr>
                <w:rFonts w:ascii="CAIXA Std Book" w:hAnsi="CAIXA Std Book" w:cs="Arial"/>
                <w:color w:val="005CA9"/>
                <w:sz w:val="14"/>
                <w:szCs w:val="14"/>
              </w:rPr>
              <w:t xml:space="preserve"> 153.048.285</w:t>
            </w:r>
          </w:p>
        </w:tc>
        <w:tc>
          <w:tcPr>
            <w:tcW w:w="328" w:type="pct"/>
            <w:vAlign w:val="center"/>
          </w:tcPr>
          <w:p w14:paraId="3D51D979" w14:textId="4D2A7014" w:rsidR="001E7F0C" w:rsidRPr="00F2340E" w:rsidRDefault="007171B1" w:rsidP="007171B1">
            <w:pPr>
              <w:jc w:val="right"/>
              <w:rPr>
                <w:rFonts w:ascii="CAIXA Std Book" w:hAnsi="CAIXA Std Book" w:cs="Arial"/>
                <w:color w:val="005CA9"/>
                <w:sz w:val="14"/>
                <w:szCs w:val="14"/>
              </w:rPr>
            </w:pPr>
            <w:r w:rsidRPr="00480973">
              <w:rPr>
                <w:rFonts w:ascii="CAIXA Std Book" w:hAnsi="CAIXA Std Book" w:cs="Arial"/>
                <w:color w:val="005CA9"/>
                <w:sz w:val="14"/>
                <w:szCs w:val="14"/>
              </w:rPr>
              <w:t xml:space="preserve"> 42.734</w:t>
            </w:r>
          </w:p>
        </w:tc>
        <w:tc>
          <w:tcPr>
            <w:tcW w:w="325" w:type="pct"/>
            <w:tcBorders>
              <w:top w:val="nil"/>
              <w:left w:val="nil"/>
              <w:right w:val="nil"/>
            </w:tcBorders>
            <w:noWrap/>
            <w:vAlign w:val="center"/>
          </w:tcPr>
          <w:p w14:paraId="0810D020" w14:textId="701A84FB" w:rsidR="001E7F0C" w:rsidRPr="00F2340E" w:rsidRDefault="007171B1" w:rsidP="00C144C2">
            <w:pPr>
              <w:jc w:val="center"/>
              <w:rPr>
                <w:rFonts w:ascii="CAIXA Std Book" w:hAnsi="CAIXA Std Book" w:cs="Arial"/>
                <w:color w:val="005CA9"/>
                <w:sz w:val="14"/>
                <w:szCs w:val="14"/>
              </w:rPr>
            </w:pPr>
            <w:r w:rsidRPr="00480973">
              <w:rPr>
                <w:rFonts w:ascii="CAIXA Std Book" w:hAnsi="CAIXA Std Book" w:cs="Arial"/>
                <w:color w:val="005CA9"/>
                <w:sz w:val="14"/>
                <w:szCs w:val="14"/>
              </w:rPr>
              <w:t>-</w:t>
            </w:r>
          </w:p>
        </w:tc>
        <w:tc>
          <w:tcPr>
            <w:tcW w:w="328" w:type="pct"/>
            <w:tcBorders>
              <w:top w:val="nil"/>
              <w:left w:val="nil"/>
              <w:right w:val="nil"/>
            </w:tcBorders>
            <w:noWrap/>
            <w:vAlign w:val="center"/>
          </w:tcPr>
          <w:p w14:paraId="080D14F3" w14:textId="446C8998" w:rsidR="001E7F0C" w:rsidRPr="00F2340E" w:rsidRDefault="007171B1">
            <w:pPr>
              <w:jc w:val="center"/>
              <w:rPr>
                <w:rFonts w:ascii="CAIXA Std Book" w:hAnsi="CAIXA Std Book" w:cs="Arial"/>
                <w:color w:val="005CA9"/>
                <w:sz w:val="14"/>
                <w:szCs w:val="14"/>
              </w:rPr>
            </w:pPr>
            <w:r w:rsidRPr="00480973">
              <w:rPr>
                <w:rFonts w:ascii="CAIXA Std Book" w:hAnsi="CAIXA Std Book" w:cs="Arial"/>
                <w:color w:val="005CA9"/>
                <w:sz w:val="14"/>
                <w:szCs w:val="14"/>
              </w:rPr>
              <w:t>-</w:t>
            </w:r>
          </w:p>
        </w:tc>
        <w:tc>
          <w:tcPr>
            <w:tcW w:w="227" w:type="pct"/>
            <w:tcBorders>
              <w:top w:val="nil"/>
              <w:left w:val="nil"/>
              <w:right w:val="nil"/>
            </w:tcBorders>
            <w:vAlign w:val="center"/>
          </w:tcPr>
          <w:p w14:paraId="78E96007" w14:textId="12E7622A" w:rsidR="001E7F0C" w:rsidRPr="00F2340E" w:rsidRDefault="007171B1" w:rsidP="00C144C2">
            <w:pPr>
              <w:jc w:val="center"/>
              <w:rPr>
                <w:rFonts w:ascii="CAIXA Std Book" w:hAnsi="CAIXA Std Book" w:cs="Arial"/>
                <w:color w:val="005CA9"/>
                <w:sz w:val="14"/>
                <w:szCs w:val="14"/>
              </w:rPr>
            </w:pPr>
            <w:r w:rsidRPr="00480973">
              <w:rPr>
                <w:rFonts w:ascii="CAIXA Std Book" w:hAnsi="CAIXA Std Book" w:cs="Arial"/>
                <w:color w:val="005CA9"/>
                <w:sz w:val="14"/>
                <w:szCs w:val="14"/>
              </w:rPr>
              <w:t>-</w:t>
            </w:r>
          </w:p>
        </w:tc>
        <w:tc>
          <w:tcPr>
            <w:tcW w:w="358" w:type="pct"/>
            <w:tcBorders>
              <w:top w:val="nil"/>
              <w:left w:val="nil"/>
              <w:right w:val="nil"/>
            </w:tcBorders>
            <w:vAlign w:val="center"/>
          </w:tcPr>
          <w:p w14:paraId="2C15DDC3" w14:textId="61552030" w:rsidR="001E7F0C" w:rsidRPr="00F2340E" w:rsidRDefault="005130A2">
            <w:pPr>
              <w:jc w:val="right"/>
              <w:rPr>
                <w:rFonts w:ascii="CAIXA Std Book" w:hAnsi="CAIXA Std Book" w:cs="Arial"/>
                <w:color w:val="005CA9"/>
                <w:sz w:val="14"/>
                <w:szCs w:val="14"/>
              </w:rPr>
            </w:pPr>
            <w:r w:rsidRPr="005130A2">
              <w:rPr>
                <w:rFonts w:ascii="CAIXA Std Book" w:hAnsi="CAIXA Std Book" w:cs="Arial"/>
                <w:color w:val="005CA9"/>
                <w:sz w:val="14"/>
                <w:szCs w:val="14"/>
              </w:rPr>
              <w:t xml:space="preserve"> 3.536.918</w:t>
            </w:r>
          </w:p>
        </w:tc>
        <w:tc>
          <w:tcPr>
            <w:tcW w:w="388" w:type="pct"/>
            <w:tcBorders>
              <w:top w:val="nil"/>
              <w:left w:val="nil"/>
              <w:right w:val="nil"/>
            </w:tcBorders>
            <w:vAlign w:val="center"/>
          </w:tcPr>
          <w:p w14:paraId="5DE946FF" w14:textId="77777777" w:rsidR="001E7F0C" w:rsidRPr="00996C00" w:rsidRDefault="001E7F0C">
            <w:pPr>
              <w:jc w:val="right"/>
              <w:rPr>
                <w:rFonts w:ascii="CAIXA Std Book" w:eastAsia="Times New Roman" w:hAnsi="CAIXA Std Book" w:cs="Arial"/>
                <w:color w:val="005CA9"/>
                <w:sz w:val="14"/>
                <w:szCs w:val="14"/>
              </w:rPr>
            </w:pPr>
            <w:r w:rsidRPr="00996C00">
              <w:rPr>
                <w:rFonts w:ascii="CAIXA Std Book" w:hAnsi="CAIXA Std Book" w:cs="Calibri"/>
                <w:color w:val="005CA9"/>
                <w:sz w:val="14"/>
                <w:szCs w:val="14"/>
              </w:rPr>
              <w:t>36.888.356</w:t>
            </w:r>
          </w:p>
        </w:tc>
        <w:tc>
          <w:tcPr>
            <w:tcW w:w="328" w:type="pct"/>
            <w:tcBorders>
              <w:top w:val="nil"/>
              <w:left w:val="nil"/>
              <w:right w:val="nil"/>
            </w:tcBorders>
            <w:vAlign w:val="center"/>
          </w:tcPr>
          <w:p w14:paraId="59559793" w14:textId="77777777" w:rsidR="001E7F0C" w:rsidRPr="00996C00" w:rsidRDefault="001E7F0C">
            <w:pPr>
              <w:ind w:firstLineChars="100" w:firstLine="140"/>
              <w:jc w:val="right"/>
              <w:rPr>
                <w:rFonts w:ascii="CAIXA Std Book" w:eastAsia="Times New Roman" w:hAnsi="CAIXA Std Book" w:cs="Arial"/>
                <w:color w:val="005CA9"/>
                <w:sz w:val="14"/>
                <w:szCs w:val="14"/>
              </w:rPr>
            </w:pPr>
            <w:r w:rsidRPr="00996C00">
              <w:rPr>
                <w:rFonts w:ascii="CAIXA Std Book" w:hAnsi="CAIXA Std Book" w:cs="Calibri"/>
                <w:color w:val="005CA9"/>
                <w:sz w:val="14"/>
                <w:szCs w:val="14"/>
              </w:rPr>
              <w:t>268.041</w:t>
            </w:r>
          </w:p>
        </w:tc>
        <w:tc>
          <w:tcPr>
            <w:tcW w:w="325" w:type="pct"/>
            <w:tcBorders>
              <w:top w:val="nil"/>
              <w:left w:val="nil"/>
              <w:right w:val="nil"/>
            </w:tcBorders>
            <w:vAlign w:val="center"/>
          </w:tcPr>
          <w:p w14:paraId="43A4D4AB" w14:textId="77777777" w:rsidR="001E7F0C" w:rsidRPr="00996C00" w:rsidRDefault="001E7F0C">
            <w:pPr>
              <w:ind w:firstLineChars="100" w:firstLine="140"/>
              <w:jc w:val="center"/>
              <w:rPr>
                <w:rFonts w:ascii="CAIXA Std Book" w:eastAsia="Times New Roman" w:hAnsi="CAIXA Std Book" w:cs="Arial"/>
                <w:color w:val="005CA9"/>
                <w:sz w:val="14"/>
                <w:szCs w:val="14"/>
              </w:rPr>
            </w:pPr>
            <w:r w:rsidRPr="00996C00">
              <w:rPr>
                <w:rFonts w:ascii="CAIXA Std Book" w:hAnsi="CAIXA Std Book" w:cs="Calibri"/>
                <w:color w:val="005CA9"/>
                <w:sz w:val="14"/>
                <w:szCs w:val="14"/>
              </w:rPr>
              <w:t>-</w:t>
            </w:r>
          </w:p>
        </w:tc>
        <w:tc>
          <w:tcPr>
            <w:tcW w:w="280" w:type="pct"/>
            <w:tcBorders>
              <w:top w:val="nil"/>
              <w:left w:val="nil"/>
              <w:right w:val="nil"/>
            </w:tcBorders>
            <w:vAlign w:val="center"/>
          </w:tcPr>
          <w:p w14:paraId="257F7E09" w14:textId="77777777" w:rsidR="001E7F0C" w:rsidRPr="00996C00" w:rsidRDefault="001E7F0C">
            <w:pPr>
              <w:jc w:val="center"/>
              <w:rPr>
                <w:rFonts w:ascii="CAIXA Std Book" w:eastAsia="Times New Roman" w:hAnsi="CAIXA Std Book" w:cs="Arial"/>
                <w:color w:val="005CA9"/>
                <w:sz w:val="14"/>
                <w:szCs w:val="14"/>
              </w:rPr>
            </w:pPr>
            <w:r w:rsidRPr="00996C00">
              <w:rPr>
                <w:rFonts w:ascii="CAIXA Std Book" w:hAnsi="CAIXA Std Book" w:cs="Calibri"/>
                <w:color w:val="005CA9"/>
                <w:sz w:val="14"/>
                <w:szCs w:val="14"/>
              </w:rPr>
              <w:t>-</w:t>
            </w:r>
          </w:p>
        </w:tc>
        <w:tc>
          <w:tcPr>
            <w:tcW w:w="287" w:type="pct"/>
            <w:tcBorders>
              <w:top w:val="nil"/>
              <w:left w:val="nil"/>
              <w:right w:val="nil"/>
            </w:tcBorders>
            <w:vAlign w:val="center"/>
          </w:tcPr>
          <w:p w14:paraId="2712F7E9" w14:textId="77777777" w:rsidR="001E7F0C" w:rsidRPr="00996C00" w:rsidRDefault="001E7F0C">
            <w:pPr>
              <w:ind w:firstLineChars="100" w:firstLine="140"/>
              <w:jc w:val="center"/>
              <w:rPr>
                <w:rFonts w:ascii="CAIXA Std Book" w:eastAsia="Times New Roman" w:hAnsi="CAIXA Std Book" w:cs="Arial"/>
                <w:color w:val="005CA9"/>
                <w:sz w:val="14"/>
                <w:szCs w:val="14"/>
              </w:rPr>
            </w:pPr>
            <w:r w:rsidRPr="00996C00">
              <w:rPr>
                <w:rFonts w:ascii="CAIXA Std Book" w:hAnsi="CAIXA Std Book" w:cs="Calibri"/>
                <w:color w:val="005CA9"/>
                <w:sz w:val="14"/>
                <w:szCs w:val="14"/>
              </w:rPr>
              <w:t>-</w:t>
            </w:r>
          </w:p>
        </w:tc>
        <w:tc>
          <w:tcPr>
            <w:tcW w:w="388" w:type="pct"/>
            <w:tcBorders>
              <w:top w:val="nil"/>
              <w:left w:val="nil"/>
              <w:right w:val="nil"/>
            </w:tcBorders>
            <w:noWrap/>
            <w:vAlign w:val="center"/>
          </w:tcPr>
          <w:p w14:paraId="1DBD7AEA" w14:textId="77777777" w:rsidR="001E7F0C" w:rsidRPr="00996C00" w:rsidRDefault="001E7F0C">
            <w:pPr>
              <w:ind w:firstLineChars="100" w:firstLine="140"/>
              <w:jc w:val="right"/>
              <w:rPr>
                <w:rFonts w:ascii="CAIXA Std Book" w:eastAsia="Times New Roman" w:hAnsi="CAIXA Std Book" w:cs="Arial"/>
                <w:color w:val="005CA9"/>
                <w:sz w:val="14"/>
                <w:szCs w:val="14"/>
              </w:rPr>
            </w:pPr>
            <w:r w:rsidRPr="00996C00">
              <w:rPr>
                <w:rFonts w:ascii="CAIXA Std Book" w:hAnsi="CAIXA Std Book" w:cs="Calibri"/>
                <w:color w:val="005CA9"/>
                <w:sz w:val="14"/>
                <w:szCs w:val="14"/>
              </w:rPr>
              <w:t>44.916.239</w:t>
            </w:r>
          </w:p>
        </w:tc>
      </w:tr>
      <w:tr w:rsidR="001E7F0C" w:rsidRPr="00A64197" w14:paraId="32BAE568" w14:textId="77777777" w:rsidTr="00920A6D">
        <w:trPr>
          <w:trHeight w:val="283"/>
          <w:jc w:val="center"/>
        </w:trPr>
        <w:tc>
          <w:tcPr>
            <w:tcW w:w="1037" w:type="pct"/>
            <w:tcBorders>
              <w:top w:val="nil"/>
              <w:left w:val="nil"/>
              <w:right w:val="nil"/>
            </w:tcBorders>
            <w:noWrap/>
            <w:vAlign w:val="center"/>
          </w:tcPr>
          <w:p w14:paraId="5978F5E7" w14:textId="77777777" w:rsidR="001E7F0C" w:rsidRPr="00480973" w:rsidRDefault="001E7F0C">
            <w:pPr>
              <w:rPr>
                <w:rFonts w:ascii="CAIXA Std Book" w:eastAsia="Times New Roman" w:hAnsi="CAIXA Std Book" w:cs="Arial"/>
                <w:color w:val="005CA9"/>
                <w:sz w:val="14"/>
                <w:szCs w:val="14"/>
              </w:rPr>
            </w:pPr>
            <w:r w:rsidRPr="00480973">
              <w:rPr>
                <w:rFonts w:ascii="CAIXA Std Book" w:eastAsia="Times New Roman" w:hAnsi="CAIXA Std Book" w:cs="Arial"/>
                <w:color w:val="005CA9"/>
                <w:sz w:val="14"/>
                <w:szCs w:val="14"/>
              </w:rPr>
              <w:t>Obrigações fiscais e previdenciárias</w:t>
            </w:r>
          </w:p>
        </w:tc>
        <w:tc>
          <w:tcPr>
            <w:tcW w:w="400" w:type="pct"/>
            <w:tcBorders>
              <w:top w:val="nil"/>
              <w:left w:val="nil"/>
              <w:right w:val="nil"/>
            </w:tcBorders>
            <w:noWrap/>
            <w:vAlign w:val="center"/>
          </w:tcPr>
          <w:p w14:paraId="107E7CA8" w14:textId="10FF0ACB" w:rsidR="001E7F0C" w:rsidRPr="00F2340E" w:rsidRDefault="00C144C2" w:rsidP="00C144C2">
            <w:pPr>
              <w:ind w:firstLineChars="100" w:firstLine="140"/>
              <w:jc w:val="center"/>
              <w:rPr>
                <w:rFonts w:ascii="CAIXA Std Book" w:hAnsi="CAIXA Std Book" w:cs="Arial"/>
                <w:color w:val="005CA9"/>
                <w:sz w:val="14"/>
                <w:szCs w:val="14"/>
              </w:rPr>
            </w:pPr>
            <w:r w:rsidRPr="00D4544B">
              <w:rPr>
                <w:rFonts w:ascii="CAIXA Std Book" w:hAnsi="CAIXA Std Book" w:cs="Arial"/>
                <w:color w:val="005CA9"/>
                <w:sz w:val="14"/>
                <w:szCs w:val="14"/>
              </w:rPr>
              <w:t>-</w:t>
            </w:r>
          </w:p>
        </w:tc>
        <w:tc>
          <w:tcPr>
            <w:tcW w:w="328" w:type="pct"/>
            <w:vAlign w:val="center"/>
          </w:tcPr>
          <w:p w14:paraId="5F80F56C" w14:textId="234DD3CE" w:rsidR="001E7F0C" w:rsidRPr="00F2340E" w:rsidRDefault="00C144C2">
            <w:pPr>
              <w:jc w:val="center"/>
              <w:rPr>
                <w:rFonts w:ascii="CAIXA Std Book" w:hAnsi="CAIXA Std Book" w:cs="Arial"/>
                <w:color w:val="005CA9"/>
                <w:sz w:val="14"/>
                <w:szCs w:val="14"/>
              </w:rPr>
            </w:pPr>
            <w:r w:rsidRPr="00D4544B">
              <w:rPr>
                <w:rFonts w:ascii="CAIXA Std Book" w:hAnsi="CAIXA Std Book" w:cs="Arial"/>
                <w:color w:val="005CA9"/>
                <w:sz w:val="14"/>
                <w:szCs w:val="14"/>
              </w:rPr>
              <w:t>-</w:t>
            </w:r>
          </w:p>
        </w:tc>
        <w:tc>
          <w:tcPr>
            <w:tcW w:w="325" w:type="pct"/>
            <w:tcBorders>
              <w:top w:val="nil"/>
              <w:left w:val="nil"/>
              <w:right w:val="nil"/>
            </w:tcBorders>
            <w:noWrap/>
            <w:vAlign w:val="center"/>
          </w:tcPr>
          <w:p w14:paraId="71541982" w14:textId="7BC3594D" w:rsidR="001E7F0C" w:rsidRPr="00F2340E" w:rsidRDefault="00C144C2" w:rsidP="00C144C2">
            <w:pPr>
              <w:jc w:val="center"/>
              <w:rPr>
                <w:rFonts w:ascii="CAIXA Std Book" w:hAnsi="CAIXA Std Book" w:cs="Arial"/>
                <w:color w:val="005CA9"/>
                <w:sz w:val="14"/>
                <w:szCs w:val="14"/>
              </w:rPr>
            </w:pPr>
            <w:r w:rsidRPr="00D4544B">
              <w:rPr>
                <w:rFonts w:ascii="CAIXA Std Book" w:hAnsi="CAIXA Std Book" w:cs="Arial"/>
                <w:color w:val="005CA9"/>
                <w:sz w:val="14"/>
                <w:szCs w:val="14"/>
              </w:rPr>
              <w:t>-</w:t>
            </w:r>
          </w:p>
        </w:tc>
        <w:tc>
          <w:tcPr>
            <w:tcW w:w="328" w:type="pct"/>
            <w:tcBorders>
              <w:top w:val="nil"/>
              <w:left w:val="nil"/>
              <w:right w:val="nil"/>
            </w:tcBorders>
            <w:noWrap/>
            <w:vAlign w:val="center"/>
          </w:tcPr>
          <w:p w14:paraId="426371EF" w14:textId="1045EC84" w:rsidR="001E7F0C" w:rsidRPr="00F2340E" w:rsidRDefault="00C144C2">
            <w:pPr>
              <w:jc w:val="center"/>
              <w:rPr>
                <w:rFonts w:ascii="CAIXA Std Book" w:hAnsi="CAIXA Std Book" w:cs="Arial"/>
                <w:color w:val="005CA9"/>
                <w:sz w:val="14"/>
                <w:szCs w:val="14"/>
              </w:rPr>
            </w:pPr>
            <w:r w:rsidRPr="00D4544B">
              <w:rPr>
                <w:rFonts w:ascii="CAIXA Std Book" w:hAnsi="CAIXA Std Book" w:cs="Arial"/>
                <w:color w:val="005CA9"/>
                <w:sz w:val="14"/>
                <w:szCs w:val="14"/>
              </w:rPr>
              <w:t>-</w:t>
            </w:r>
          </w:p>
        </w:tc>
        <w:tc>
          <w:tcPr>
            <w:tcW w:w="227" w:type="pct"/>
            <w:tcBorders>
              <w:top w:val="nil"/>
              <w:left w:val="nil"/>
              <w:right w:val="nil"/>
            </w:tcBorders>
            <w:vAlign w:val="center"/>
          </w:tcPr>
          <w:p w14:paraId="7C16B244" w14:textId="658F3C13" w:rsidR="001E7F0C" w:rsidRPr="00F2340E" w:rsidRDefault="00C144C2" w:rsidP="00C144C2">
            <w:pPr>
              <w:jc w:val="center"/>
              <w:rPr>
                <w:rFonts w:ascii="CAIXA Std Book" w:hAnsi="CAIXA Std Book" w:cs="Arial"/>
                <w:color w:val="005CA9"/>
                <w:sz w:val="14"/>
                <w:szCs w:val="14"/>
              </w:rPr>
            </w:pPr>
            <w:r w:rsidRPr="00D4544B">
              <w:rPr>
                <w:rFonts w:ascii="CAIXA Std Book" w:hAnsi="CAIXA Std Book" w:cs="Arial"/>
                <w:color w:val="005CA9"/>
                <w:sz w:val="14"/>
                <w:szCs w:val="14"/>
              </w:rPr>
              <w:t>-</w:t>
            </w:r>
          </w:p>
        </w:tc>
        <w:tc>
          <w:tcPr>
            <w:tcW w:w="358" w:type="pct"/>
            <w:tcBorders>
              <w:top w:val="nil"/>
              <w:left w:val="nil"/>
              <w:right w:val="nil"/>
            </w:tcBorders>
            <w:vAlign w:val="center"/>
          </w:tcPr>
          <w:p w14:paraId="0DC1CFBF" w14:textId="4300809D" w:rsidR="001E7F0C" w:rsidRPr="00F2340E" w:rsidRDefault="00C144C2" w:rsidP="00C144C2">
            <w:pPr>
              <w:jc w:val="center"/>
              <w:rPr>
                <w:rFonts w:ascii="CAIXA Std Book" w:hAnsi="CAIXA Std Book" w:cs="Arial"/>
                <w:color w:val="005CA9"/>
                <w:sz w:val="14"/>
                <w:szCs w:val="14"/>
              </w:rPr>
            </w:pPr>
            <w:r w:rsidRPr="00D4544B">
              <w:rPr>
                <w:rFonts w:ascii="CAIXA Std Book" w:hAnsi="CAIXA Std Book" w:cs="Arial"/>
                <w:color w:val="005CA9"/>
                <w:sz w:val="14"/>
                <w:szCs w:val="14"/>
              </w:rPr>
              <w:t>-</w:t>
            </w:r>
          </w:p>
        </w:tc>
        <w:tc>
          <w:tcPr>
            <w:tcW w:w="388" w:type="pct"/>
            <w:tcBorders>
              <w:top w:val="nil"/>
              <w:left w:val="nil"/>
              <w:right w:val="nil"/>
            </w:tcBorders>
            <w:vAlign w:val="center"/>
          </w:tcPr>
          <w:p w14:paraId="5F4B7B5F" w14:textId="77777777" w:rsidR="001E7F0C" w:rsidRPr="00996C00" w:rsidRDefault="001E7F0C">
            <w:pPr>
              <w:jc w:val="right"/>
              <w:rPr>
                <w:rFonts w:ascii="CAIXA Std Book" w:eastAsia="Times New Roman" w:hAnsi="CAIXA Std Book" w:cs="Arial"/>
                <w:color w:val="005CA9"/>
                <w:sz w:val="14"/>
                <w:szCs w:val="14"/>
              </w:rPr>
            </w:pPr>
            <w:r w:rsidRPr="00996C00">
              <w:rPr>
                <w:rFonts w:ascii="CAIXA Std Book" w:hAnsi="CAIXA Std Book" w:cs="Calibri"/>
                <w:color w:val="005CA9"/>
                <w:sz w:val="14"/>
                <w:szCs w:val="14"/>
              </w:rPr>
              <w:t>5.660.678</w:t>
            </w:r>
          </w:p>
        </w:tc>
        <w:tc>
          <w:tcPr>
            <w:tcW w:w="328" w:type="pct"/>
            <w:tcBorders>
              <w:top w:val="nil"/>
              <w:left w:val="nil"/>
              <w:right w:val="nil"/>
            </w:tcBorders>
            <w:vAlign w:val="center"/>
          </w:tcPr>
          <w:p w14:paraId="6DC8D30F" w14:textId="77777777" w:rsidR="001E7F0C" w:rsidRPr="00996C00" w:rsidRDefault="001E7F0C">
            <w:pPr>
              <w:ind w:firstLineChars="100" w:firstLine="140"/>
              <w:jc w:val="center"/>
              <w:rPr>
                <w:rFonts w:ascii="CAIXA Std Book" w:eastAsia="Times New Roman" w:hAnsi="CAIXA Std Book" w:cs="Arial"/>
                <w:color w:val="005CA9"/>
                <w:sz w:val="14"/>
                <w:szCs w:val="14"/>
              </w:rPr>
            </w:pPr>
            <w:r w:rsidRPr="00996C00">
              <w:rPr>
                <w:rFonts w:ascii="CAIXA Std Book" w:hAnsi="CAIXA Std Book" w:cs="Calibri"/>
                <w:color w:val="005CA9"/>
                <w:sz w:val="14"/>
                <w:szCs w:val="14"/>
              </w:rPr>
              <w:t>-</w:t>
            </w:r>
          </w:p>
        </w:tc>
        <w:tc>
          <w:tcPr>
            <w:tcW w:w="325" w:type="pct"/>
            <w:tcBorders>
              <w:top w:val="nil"/>
              <w:left w:val="nil"/>
              <w:right w:val="nil"/>
            </w:tcBorders>
            <w:vAlign w:val="center"/>
          </w:tcPr>
          <w:p w14:paraId="4C55E7B3" w14:textId="77777777" w:rsidR="001E7F0C" w:rsidRPr="00996C00" w:rsidRDefault="001E7F0C">
            <w:pPr>
              <w:ind w:firstLineChars="100" w:firstLine="140"/>
              <w:jc w:val="center"/>
              <w:rPr>
                <w:rFonts w:ascii="CAIXA Std Book" w:eastAsia="Times New Roman" w:hAnsi="CAIXA Std Book" w:cs="Arial"/>
                <w:color w:val="005CA9"/>
                <w:sz w:val="14"/>
                <w:szCs w:val="14"/>
              </w:rPr>
            </w:pPr>
            <w:r w:rsidRPr="00996C00">
              <w:rPr>
                <w:rFonts w:ascii="CAIXA Std Book" w:hAnsi="CAIXA Std Book" w:cs="Calibri"/>
                <w:color w:val="005CA9"/>
                <w:sz w:val="14"/>
                <w:szCs w:val="14"/>
              </w:rPr>
              <w:t>-</w:t>
            </w:r>
          </w:p>
        </w:tc>
        <w:tc>
          <w:tcPr>
            <w:tcW w:w="280" w:type="pct"/>
            <w:tcBorders>
              <w:top w:val="nil"/>
              <w:left w:val="nil"/>
              <w:right w:val="nil"/>
            </w:tcBorders>
            <w:vAlign w:val="center"/>
          </w:tcPr>
          <w:p w14:paraId="16A6A49B" w14:textId="77777777" w:rsidR="001E7F0C" w:rsidRPr="00996C00" w:rsidRDefault="001E7F0C">
            <w:pPr>
              <w:jc w:val="center"/>
              <w:rPr>
                <w:rFonts w:ascii="CAIXA Std Book" w:eastAsia="Times New Roman" w:hAnsi="CAIXA Std Book" w:cs="Arial"/>
                <w:color w:val="005CA9"/>
                <w:sz w:val="14"/>
                <w:szCs w:val="14"/>
              </w:rPr>
            </w:pPr>
            <w:r w:rsidRPr="00996C00">
              <w:rPr>
                <w:rFonts w:ascii="CAIXA Std Book" w:hAnsi="CAIXA Std Book" w:cs="Calibri"/>
                <w:color w:val="005CA9"/>
                <w:sz w:val="14"/>
                <w:szCs w:val="14"/>
              </w:rPr>
              <w:t>-</w:t>
            </w:r>
          </w:p>
        </w:tc>
        <w:tc>
          <w:tcPr>
            <w:tcW w:w="287" w:type="pct"/>
            <w:tcBorders>
              <w:top w:val="nil"/>
              <w:left w:val="nil"/>
              <w:right w:val="nil"/>
            </w:tcBorders>
            <w:vAlign w:val="center"/>
          </w:tcPr>
          <w:p w14:paraId="12059B57" w14:textId="77777777" w:rsidR="001E7F0C" w:rsidRPr="00996C00" w:rsidRDefault="001E7F0C">
            <w:pPr>
              <w:ind w:firstLineChars="100" w:firstLine="140"/>
              <w:jc w:val="center"/>
              <w:rPr>
                <w:rFonts w:ascii="CAIXA Std Book" w:eastAsia="Times New Roman" w:hAnsi="CAIXA Std Book" w:cs="Arial"/>
                <w:color w:val="005CA9"/>
                <w:sz w:val="14"/>
                <w:szCs w:val="14"/>
              </w:rPr>
            </w:pPr>
            <w:r w:rsidRPr="00996C00">
              <w:rPr>
                <w:rFonts w:ascii="CAIXA Std Book" w:hAnsi="CAIXA Std Book" w:cs="Calibri"/>
                <w:color w:val="005CA9"/>
                <w:sz w:val="14"/>
                <w:szCs w:val="14"/>
              </w:rPr>
              <w:t>-</w:t>
            </w:r>
          </w:p>
        </w:tc>
        <w:tc>
          <w:tcPr>
            <w:tcW w:w="388" w:type="pct"/>
            <w:tcBorders>
              <w:top w:val="nil"/>
              <w:left w:val="nil"/>
              <w:right w:val="nil"/>
            </w:tcBorders>
            <w:noWrap/>
            <w:vAlign w:val="center"/>
          </w:tcPr>
          <w:p w14:paraId="7C250197" w14:textId="77777777" w:rsidR="001E7F0C" w:rsidRPr="00996C00" w:rsidRDefault="001E7F0C">
            <w:pPr>
              <w:ind w:firstLineChars="100" w:firstLine="140"/>
              <w:jc w:val="right"/>
              <w:rPr>
                <w:rFonts w:ascii="CAIXA Std Book" w:eastAsia="Times New Roman" w:hAnsi="CAIXA Std Book" w:cs="Arial"/>
                <w:color w:val="005CA9"/>
                <w:sz w:val="14"/>
                <w:szCs w:val="14"/>
              </w:rPr>
            </w:pPr>
            <w:r w:rsidRPr="00996C00">
              <w:rPr>
                <w:rFonts w:ascii="CAIXA Std Book" w:hAnsi="CAIXA Std Book" w:cs="Calibri"/>
                <w:color w:val="005CA9"/>
                <w:sz w:val="14"/>
                <w:szCs w:val="14"/>
              </w:rPr>
              <w:t>74.598</w:t>
            </w:r>
          </w:p>
        </w:tc>
      </w:tr>
      <w:tr w:rsidR="001E7F0C" w:rsidRPr="00A64197" w14:paraId="43FF260E" w14:textId="77777777" w:rsidTr="005405DF">
        <w:trPr>
          <w:trHeight w:val="283"/>
          <w:jc w:val="center"/>
        </w:trPr>
        <w:tc>
          <w:tcPr>
            <w:tcW w:w="1037" w:type="pct"/>
            <w:tcBorders>
              <w:top w:val="nil"/>
              <w:left w:val="nil"/>
              <w:right w:val="nil"/>
            </w:tcBorders>
            <w:noWrap/>
            <w:vAlign w:val="center"/>
          </w:tcPr>
          <w:p w14:paraId="46FFA1D2" w14:textId="77777777" w:rsidR="001E7F0C" w:rsidRPr="00480973" w:rsidRDefault="001E7F0C">
            <w:pPr>
              <w:rPr>
                <w:rFonts w:ascii="CAIXA Std Book" w:eastAsia="Times New Roman" w:hAnsi="CAIXA Std Book" w:cs="Arial"/>
                <w:color w:val="005CA9"/>
                <w:sz w:val="14"/>
                <w:szCs w:val="14"/>
              </w:rPr>
            </w:pPr>
            <w:r w:rsidRPr="00480973">
              <w:rPr>
                <w:rFonts w:ascii="CAIXA Std Book" w:eastAsia="Times New Roman" w:hAnsi="CAIXA Std Book" w:cs="Arial"/>
                <w:color w:val="005CA9"/>
                <w:sz w:val="14"/>
                <w:szCs w:val="14"/>
              </w:rPr>
              <w:t>Obrigações diversas</w:t>
            </w:r>
          </w:p>
        </w:tc>
        <w:tc>
          <w:tcPr>
            <w:tcW w:w="400" w:type="pct"/>
            <w:tcBorders>
              <w:top w:val="nil"/>
              <w:left w:val="nil"/>
              <w:right w:val="nil"/>
            </w:tcBorders>
            <w:noWrap/>
            <w:vAlign w:val="center"/>
          </w:tcPr>
          <w:p w14:paraId="57EFC35D" w14:textId="4251338B" w:rsidR="001E7F0C" w:rsidRPr="00F2340E" w:rsidRDefault="005405DF">
            <w:pPr>
              <w:ind w:firstLineChars="100" w:firstLine="140"/>
              <w:jc w:val="right"/>
              <w:rPr>
                <w:rFonts w:ascii="CAIXA Std Book" w:hAnsi="CAIXA Std Book" w:cs="Arial"/>
                <w:color w:val="005CA9"/>
                <w:sz w:val="14"/>
                <w:szCs w:val="14"/>
              </w:rPr>
            </w:pPr>
            <w:r w:rsidRPr="005405DF">
              <w:rPr>
                <w:rFonts w:ascii="CAIXA Std Book" w:hAnsi="CAIXA Std Book" w:cs="Arial"/>
                <w:color w:val="005CA9"/>
                <w:sz w:val="14"/>
                <w:szCs w:val="14"/>
              </w:rPr>
              <w:t xml:space="preserve"> 147.772</w:t>
            </w:r>
          </w:p>
        </w:tc>
        <w:tc>
          <w:tcPr>
            <w:tcW w:w="328" w:type="pct"/>
            <w:vAlign w:val="center"/>
          </w:tcPr>
          <w:p w14:paraId="2426AAF7" w14:textId="788FB081" w:rsidR="001E7F0C" w:rsidRPr="00F2340E" w:rsidRDefault="00480973">
            <w:pPr>
              <w:jc w:val="center"/>
              <w:rPr>
                <w:rFonts w:ascii="CAIXA Std Book" w:hAnsi="CAIXA Std Book" w:cs="Arial"/>
                <w:color w:val="005CA9"/>
                <w:sz w:val="14"/>
                <w:szCs w:val="14"/>
              </w:rPr>
            </w:pPr>
            <w:r w:rsidRPr="00480973">
              <w:rPr>
                <w:rFonts w:ascii="CAIXA Std Book" w:hAnsi="CAIXA Std Book" w:cs="Arial"/>
                <w:color w:val="005CA9"/>
                <w:sz w:val="14"/>
                <w:szCs w:val="14"/>
              </w:rPr>
              <w:t>-</w:t>
            </w:r>
          </w:p>
        </w:tc>
        <w:tc>
          <w:tcPr>
            <w:tcW w:w="325" w:type="pct"/>
            <w:tcBorders>
              <w:top w:val="nil"/>
              <w:left w:val="nil"/>
              <w:right w:val="nil"/>
            </w:tcBorders>
            <w:noWrap/>
            <w:vAlign w:val="center"/>
          </w:tcPr>
          <w:p w14:paraId="7A7999F2" w14:textId="3B733315" w:rsidR="001E7F0C" w:rsidRPr="00F2340E" w:rsidRDefault="00480973">
            <w:pPr>
              <w:jc w:val="right"/>
              <w:rPr>
                <w:rFonts w:ascii="CAIXA Std Book" w:hAnsi="CAIXA Std Book" w:cs="Arial"/>
                <w:color w:val="005CA9"/>
                <w:sz w:val="14"/>
                <w:szCs w:val="14"/>
              </w:rPr>
            </w:pPr>
            <w:r w:rsidRPr="00480973">
              <w:rPr>
                <w:rFonts w:ascii="CAIXA Std Book" w:hAnsi="CAIXA Std Book" w:cs="Arial"/>
                <w:color w:val="005CA9"/>
                <w:sz w:val="14"/>
                <w:szCs w:val="14"/>
              </w:rPr>
              <w:t xml:space="preserve"> 20.614</w:t>
            </w:r>
          </w:p>
        </w:tc>
        <w:tc>
          <w:tcPr>
            <w:tcW w:w="328" w:type="pct"/>
            <w:tcBorders>
              <w:top w:val="nil"/>
              <w:left w:val="nil"/>
              <w:right w:val="nil"/>
            </w:tcBorders>
            <w:noWrap/>
            <w:vAlign w:val="center"/>
          </w:tcPr>
          <w:p w14:paraId="2613DF6A" w14:textId="4D7B8DF6" w:rsidR="001E7F0C" w:rsidRPr="00F2340E" w:rsidRDefault="00480973">
            <w:pPr>
              <w:jc w:val="center"/>
              <w:rPr>
                <w:rFonts w:ascii="CAIXA Std Book" w:hAnsi="CAIXA Std Book" w:cs="Arial"/>
                <w:color w:val="005CA9"/>
                <w:sz w:val="14"/>
                <w:szCs w:val="14"/>
              </w:rPr>
            </w:pPr>
            <w:r w:rsidRPr="00480973">
              <w:rPr>
                <w:rFonts w:ascii="CAIXA Std Book" w:hAnsi="CAIXA Std Book" w:cs="Arial"/>
                <w:color w:val="005CA9"/>
                <w:sz w:val="14"/>
                <w:szCs w:val="14"/>
              </w:rPr>
              <w:t>-</w:t>
            </w:r>
          </w:p>
        </w:tc>
        <w:tc>
          <w:tcPr>
            <w:tcW w:w="227" w:type="pct"/>
            <w:tcBorders>
              <w:top w:val="nil"/>
              <w:left w:val="nil"/>
              <w:right w:val="nil"/>
            </w:tcBorders>
            <w:vAlign w:val="center"/>
          </w:tcPr>
          <w:p w14:paraId="636E9AC8" w14:textId="1801EE56" w:rsidR="001E7F0C" w:rsidRPr="00F2340E" w:rsidRDefault="00480973" w:rsidP="00C144C2">
            <w:pPr>
              <w:jc w:val="center"/>
              <w:rPr>
                <w:rFonts w:ascii="CAIXA Std Book" w:hAnsi="CAIXA Std Book" w:cs="Arial"/>
                <w:color w:val="005CA9"/>
                <w:sz w:val="14"/>
                <w:szCs w:val="14"/>
              </w:rPr>
            </w:pPr>
            <w:r w:rsidRPr="00480973">
              <w:rPr>
                <w:rFonts w:ascii="CAIXA Std Book" w:hAnsi="CAIXA Std Book" w:cs="Arial"/>
                <w:color w:val="005CA9"/>
                <w:sz w:val="14"/>
                <w:szCs w:val="14"/>
              </w:rPr>
              <w:t>-</w:t>
            </w:r>
          </w:p>
        </w:tc>
        <w:tc>
          <w:tcPr>
            <w:tcW w:w="358" w:type="pct"/>
            <w:tcBorders>
              <w:top w:val="nil"/>
              <w:left w:val="nil"/>
              <w:right w:val="nil"/>
            </w:tcBorders>
            <w:vAlign w:val="center"/>
          </w:tcPr>
          <w:p w14:paraId="2534CA1E" w14:textId="1D211629" w:rsidR="001E7F0C" w:rsidRPr="00F2340E" w:rsidRDefault="00480973">
            <w:pPr>
              <w:jc w:val="right"/>
              <w:rPr>
                <w:rFonts w:ascii="CAIXA Std Book" w:hAnsi="CAIXA Std Book" w:cs="Arial"/>
                <w:color w:val="005CA9"/>
                <w:sz w:val="14"/>
                <w:szCs w:val="14"/>
              </w:rPr>
            </w:pPr>
            <w:r w:rsidRPr="00480973">
              <w:rPr>
                <w:rFonts w:ascii="CAIXA Std Book" w:hAnsi="CAIXA Std Book" w:cs="Arial"/>
                <w:color w:val="005CA9"/>
                <w:sz w:val="14"/>
                <w:szCs w:val="14"/>
              </w:rPr>
              <w:t xml:space="preserve"> 2.083.090</w:t>
            </w:r>
          </w:p>
        </w:tc>
        <w:tc>
          <w:tcPr>
            <w:tcW w:w="388" w:type="pct"/>
            <w:tcBorders>
              <w:top w:val="nil"/>
              <w:left w:val="nil"/>
              <w:right w:val="nil"/>
            </w:tcBorders>
            <w:vAlign w:val="center"/>
          </w:tcPr>
          <w:p w14:paraId="753AA41B" w14:textId="77777777" w:rsidR="001E7F0C" w:rsidRPr="00996C00" w:rsidRDefault="001E7F0C">
            <w:pPr>
              <w:jc w:val="right"/>
              <w:rPr>
                <w:rFonts w:ascii="CAIXA Std Book" w:eastAsia="Times New Roman" w:hAnsi="CAIXA Std Book" w:cs="Arial"/>
                <w:color w:val="005CA9"/>
                <w:sz w:val="14"/>
                <w:szCs w:val="14"/>
              </w:rPr>
            </w:pPr>
            <w:r w:rsidRPr="00996C00">
              <w:rPr>
                <w:rFonts w:ascii="CAIXA Std Book" w:hAnsi="CAIXA Std Book" w:cs="Calibri"/>
                <w:color w:val="005CA9"/>
                <w:sz w:val="14"/>
                <w:szCs w:val="14"/>
              </w:rPr>
              <w:t>18.297.605</w:t>
            </w:r>
          </w:p>
        </w:tc>
        <w:tc>
          <w:tcPr>
            <w:tcW w:w="328" w:type="pct"/>
            <w:tcBorders>
              <w:top w:val="nil"/>
              <w:left w:val="nil"/>
              <w:right w:val="nil"/>
            </w:tcBorders>
            <w:vAlign w:val="center"/>
          </w:tcPr>
          <w:p w14:paraId="65B69D63" w14:textId="77777777" w:rsidR="001E7F0C" w:rsidRPr="00996C00" w:rsidRDefault="001E7F0C">
            <w:pPr>
              <w:ind w:firstLineChars="100" w:firstLine="140"/>
              <w:jc w:val="center"/>
              <w:rPr>
                <w:rFonts w:ascii="CAIXA Std Book" w:eastAsia="Times New Roman" w:hAnsi="CAIXA Std Book" w:cs="Arial"/>
                <w:color w:val="005CA9"/>
                <w:sz w:val="14"/>
                <w:szCs w:val="14"/>
              </w:rPr>
            </w:pPr>
            <w:r w:rsidRPr="00996C00">
              <w:rPr>
                <w:rFonts w:ascii="CAIXA Std Book" w:hAnsi="CAIXA Std Book" w:cs="Calibri"/>
                <w:color w:val="005CA9"/>
                <w:sz w:val="14"/>
                <w:szCs w:val="14"/>
              </w:rPr>
              <w:t>-</w:t>
            </w:r>
          </w:p>
        </w:tc>
        <w:tc>
          <w:tcPr>
            <w:tcW w:w="325" w:type="pct"/>
            <w:tcBorders>
              <w:top w:val="nil"/>
              <w:left w:val="nil"/>
              <w:right w:val="nil"/>
            </w:tcBorders>
            <w:vAlign w:val="center"/>
          </w:tcPr>
          <w:p w14:paraId="29C0C94A" w14:textId="77777777" w:rsidR="001E7F0C" w:rsidRPr="00996C00" w:rsidRDefault="001E7F0C">
            <w:pPr>
              <w:ind w:firstLineChars="100" w:firstLine="140"/>
              <w:jc w:val="right"/>
              <w:rPr>
                <w:rFonts w:ascii="CAIXA Std Book" w:eastAsia="Times New Roman" w:hAnsi="CAIXA Std Book" w:cs="Arial"/>
                <w:color w:val="005CA9"/>
                <w:sz w:val="14"/>
                <w:szCs w:val="14"/>
              </w:rPr>
            </w:pPr>
            <w:r w:rsidRPr="00996C00">
              <w:rPr>
                <w:rFonts w:ascii="CAIXA Std Book" w:hAnsi="CAIXA Std Book" w:cs="Calibri"/>
                <w:color w:val="005CA9"/>
                <w:sz w:val="14"/>
                <w:szCs w:val="14"/>
              </w:rPr>
              <w:t>7.498</w:t>
            </w:r>
          </w:p>
        </w:tc>
        <w:tc>
          <w:tcPr>
            <w:tcW w:w="280" w:type="pct"/>
            <w:tcBorders>
              <w:top w:val="nil"/>
              <w:left w:val="nil"/>
              <w:right w:val="nil"/>
            </w:tcBorders>
            <w:vAlign w:val="center"/>
          </w:tcPr>
          <w:p w14:paraId="63F6EC0E" w14:textId="77777777" w:rsidR="001E7F0C" w:rsidRPr="00996C00" w:rsidRDefault="001E7F0C">
            <w:pPr>
              <w:jc w:val="right"/>
              <w:rPr>
                <w:rFonts w:ascii="CAIXA Std Book" w:eastAsia="Times New Roman" w:hAnsi="CAIXA Std Book" w:cs="Arial"/>
                <w:color w:val="005CA9"/>
                <w:sz w:val="14"/>
                <w:szCs w:val="14"/>
              </w:rPr>
            </w:pPr>
            <w:r w:rsidRPr="00996C00">
              <w:rPr>
                <w:rFonts w:ascii="CAIXA Std Book" w:hAnsi="CAIXA Std Book" w:cs="Calibri"/>
                <w:color w:val="005CA9"/>
                <w:sz w:val="14"/>
                <w:szCs w:val="14"/>
              </w:rPr>
              <w:t>73.637</w:t>
            </w:r>
          </w:p>
        </w:tc>
        <w:tc>
          <w:tcPr>
            <w:tcW w:w="287" w:type="pct"/>
            <w:tcBorders>
              <w:top w:val="nil"/>
              <w:left w:val="nil"/>
              <w:right w:val="nil"/>
            </w:tcBorders>
            <w:vAlign w:val="center"/>
          </w:tcPr>
          <w:p w14:paraId="12CABC91" w14:textId="77777777" w:rsidR="001E7F0C" w:rsidRPr="00996C00" w:rsidRDefault="001E7F0C">
            <w:pPr>
              <w:ind w:firstLineChars="100" w:firstLine="140"/>
              <w:jc w:val="center"/>
              <w:rPr>
                <w:rFonts w:ascii="CAIXA Std Book" w:eastAsia="Times New Roman" w:hAnsi="CAIXA Std Book" w:cs="Arial"/>
                <w:color w:val="005CA9"/>
                <w:sz w:val="14"/>
                <w:szCs w:val="14"/>
              </w:rPr>
            </w:pPr>
            <w:r w:rsidRPr="00996C00">
              <w:rPr>
                <w:rFonts w:ascii="CAIXA Std Book" w:hAnsi="CAIXA Std Book" w:cs="Calibri"/>
                <w:color w:val="005CA9"/>
                <w:sz w:val="14"/>
                <w:szCs w:val="14"/>
              </w:rPr>
              <w:t>-</w:t>
            </w:r>
          </w:p>
        </w:tc>
        <w:tc>
          <w:tcPr>
            <w:tcW w:w="388" w:type="pct"/>
            <w:tcBorders>
              <w:top w:val="nil"/>
              <w:left w:val="nil"/>
              <w:right w:val="nil"/>
            </w:tcBorders>
            <w:noWrap/>
            <w:vAlign w:val="center"/>
          </w:tcPr>
          <w:p w14:paraId="06B0B43C" w14:textId="77777777" w:rsidR="001E7F0C" w:rsidRPr="00996C00" w:rsidRDefault="001E7F0C">
            <w:pPr>
              <w:ind w:firstLineChars="100" w:firstLine="140"/>
              <w:jc w:val="right"/>
              <w:rPr>
                <w:rFonts w:ascii="CAIXA Std Book" w:eastAsia="Times New Roman" w:hAnsi="CAIXA Std Book" w:cs="Arial"/>
                <w:color w:val="005CA9"/>
                <w:sz w:val="14"/>
                <w:szCs w:val="14"/>
              </w:rPr>
            </w:pPr>
            <w:r w:rsidRPr="00996C00">
              <w:rPr>
                <w:rFonts w:ascii="CAIXA Std Book" w:hAnsi="CAIXA Std Book" w:cs="Calibri"/>
                <w:color w:val="005CA9"/>
                <w:sz w:val="14"/>
                <w:szCs w:val="14"/>
              </w:rPr>
              <w:t>2.049.970</w:t>
            </w:r>
          </w:p>
        </w:tc>
      </w:tr>
      <w:tr w:rsidR="001E7F0C" w:rsidRPr="00A64197" w14:paraId="76D82F24" w14:textId="77777777" w:rsidTr="005405DF">
        <w:trPr>
          <w:trHeight w:val="283"/>
          <w:jc w:val="center"/>
        </w:trPr>
        <w:tc>
          <w:tcPr>
            <w:tcW w:w="1037" w:type="pct"/>
            <w:tcBorders>
              <w:top w:val="nil"/>
              <w:left w:val="nil"/>
              <w:right w:val="nil"/>
            </w:tcBorders>
            <w:noWrap/>
            <w:vAlign w:val="center"/>
          </w:tcPr>
          <w:p w14:paraId="2E63D322" w14:textId="77777777" w:rsidR="001E7F0C" w:rsidRPr="00480973" w:rsidRDefault="001E7F0C">
            <w:pPr>
              <w:rPr>
                <w:rFonts w:ascii="CAIXA Std Book" w:eastAsia="Times New Roman" w:hAnsi="CAIXA Std Book" w:cs="Arial"/>
                <w:color w:val="005CA9"/>
                <w:sz w:val="14"/>
                <w:szCs w:val="14"/>
              </w:rPr>
            </w:pPr>
            <w:r w:rsidRPr="00480973">
              <w:rPr>
                <w:rFonts w:ascii="CAIXA Std Book" w:eastAsia="Times New Roman" w:hAnsi="CAIXA Std Book" w:cs="Arial"/>
                <w:color w:val="005CA9"/>
                <w:sz w:val="14"/>
                <w:szCs w:val="14"/>
              </w:rPr>
              <w:t>Outros passivos financeiros</w:t>
            </w:r>
          </w:p>
        </w:tc>
        <w:tc>
          <w:tcPr>
            <w:tcW w:w="400" w:type="pct"/>
            <w:tcBorders>
              <w:top w:val="nil"/>
              <w:left w:val="nil"/>
              <w:right w:val="nil"/>
            </w:tcBorders>
            <w:noWrap/>
            <w:vAlign w:val="center"/>
          </w:tcPr>
          <w:p w14:paraId="46A79658" w14:textId="195BF039" w:rsidR="001E7F0C" w:rsidRPr="00F2340E" w:rsidRDefault="00480973">
            <w:pPr>
              <w:ind w:firstLineChars="100" w:firstLine="140"/>
              <w:jc w:val="right"/>
              <w:rPr>
                <w:rFonts w:ascii="CAIXA Std Book" w:hAnsi="CAIXA Std Book" w:cs="Arial"/>
                <w:color w:val="005CA9"/>
                <w:sz w:val="14"/>
                <w:szCs w:val="14"/>
              </w:rPr>
            </w:pPr>
            <w:r w:rsidRPr="00480973">
              <w:rPr>
                <w:rFonts w:ascii="CAIXA Std Book" w:hAnsi="CAIXA Std Book" w:cs="Arial"/>
                <w:color w:val="005CA9"/>
                <w:sz w:val="14"/>
                <w:szCs w:val="14"/>
              </w:rPr>
              <w:t xml:space="preserve"> 162.350</w:t>
            </w:r>
          </w:p>
        </w:tc>
        <w:tc>
          <w:tcPr>
            <w:tcW w:w="328" w:type="pct"/>
            <w:vAlign w:val="center"/>
          </w:tcPr>
          <w:p w14:paraId="263F8364" w14:textId="771B7F90" w:rsidR="001E7F0C" w:rsidRPr="00F2340E" w:rsidRDefault="00480973">
            <w:pPr>
              <w:jc w:val="center"/>
              <w:rPr>
                <w:rFonts w:ascii="CAIXA Std Book" w:hAnsi="CAIXA Std Book" w:cs="Arial"/>
                <w:color w:val="005CA9"/>
                <w:sz w:val="14"/>
                <w:szCs w:val="14"/>
              </w:rPr>
            </w:pPr>
            <w:r w:rsidRPr="00480973">
              <w:rPr>
                <w:rFonts w:ascii="CAIXA Std Book" w:hAnsi="CAIXA Std Book" w:cs="Arial"/>
                <w:color w:val="005CA9"/>
                <w:sz w:val="14"/>
                <w:szCs w:val="14"/>
              </w:rPr>
              <w:t>-</w:t>
            </w:r>
          </w:p>
        </w:tc>
        <w:tc>
          <w:tcPr>
            <w:tcW w:w="325" w:type="pct"/>
            <w:tcBorders>
              <w:top w:val="nil"/>
              <w:left w:val="nil"/>
              <w:right w:val="nil"/>
            </w:tcBorders>
            <w:noWrap/>
            <w:vAlign w:val="center"/>
          </w:tcPr>
          <w:p w14:paraId="6DA04980" w14:textId="74F9B4BD" w:rsidR="001E7F0C" w:rsidRPr="00F2340E" w:rsidRDefault="00480973" w:rsidP="00C144C2">
            <w:pPr>
              <w:jc w:val="center"/>
              <w:rPr>
                <w:rFonts w:ascii="CAIXA Std Book" w:hAnsi="CAIXA Std Book" w:cs="Arial"/>
                <w:color w:val="005CA9"/>
                <w:sz w:val="14"/>
                <w:szCs w:val="14"/>
              </w:rPr>
            </w:pPr>
            <w:r w:rsidRPr="00480973">
              <w:rPr>
                <w:rFonts w:ascii="CAIXA Std Book" w:hAnsi="CAIXA Std Book" w:cs="Arial"/>
                <w:color w:val="005CA9"/>
                <w:sz w:val="14"/>
                <w:szCs w:val="14"/>
              </w:rPr>
              <w:t>-</w:t>
            </w:r>
          </w:p>
        </w:tc>
        <w:tc>
          <w:tcPr>
            <w:tcW w:w="328" w:type="pct"/>
            <w:tcBorders>
              <w:top w:val="nil"/>
              <w:left w:val="nil"/>
              <w:right w:val="nil"/>
            </w:tcBorders>
            <w:noWrap/>
            <w:vAlign w:val="center"/>
          </w:tcPr>
          <w:p w14:paraId="393099DA" w14:textId="2A97B990" w:rsidR="001E7F0C" w:rsidRPr="00F2340E" w:rsidRDefault="00480973">
            <w:pPr>
              <w:jc w:val="center"/>
              <w:rPr>
                <w:rFonts w:ascii="CAIXA Std Book" w:hAnsi="CAIXA Std Book" w:cs="Arial"/>
                <w:color w:val="005CA9"/>
                <w:sz w:val="14"/>
                <w:szCs w:val="14"/>
              </w:rPr>
            </w:pPr>
            <w:r w:rsidRPr="00480973">
              <w:rPr>
                <w:rFonts w:ascii="CAIXA Std Book" w:hAnsi="CAIXA Std Book" w:cs="Arial"/>
                <w:color w:val="005CA9"/>
                <w:sz w:val="14"/>
                <w:szCs w:val="14"/>
              </w:rPr>
              <w:t>-</w:t>
            </w:r>
          </w:p>
        </w:tc>
        <w:tc>
          <w:tcPr>
            <w:tcW w:w="227" w:type="pct"/>
            <w:tcBorders>
              <w:top w:val="nil"/>
              <w:left w:val="nil"/>
              <w:right w:val="nil"/>
            </w:tcBorders>
            <w:vAlign w:val="center"/>
          </w:tcPr>
          <w:p w14:paraId="188B1ED5" w14:textId="19B68961" w:rsidR="001E7F0C" w:rsidRPr="00F2340E" w:rsidRDefault="00480973" w:rsidP="00C144C2">
            <w:pPr>
              <w:jc w:val="center"/>
              <w:rPr>
                <w:rFonts w:ascii="CAIXA Std Book" w:hAnsi="CAIXA Std Book" w:cs="Arial"/>
                <w:color w:val="005CA9"/>
                <w:sz w:val="14"/>
                <w:szCs w:val="14"/>
              </w:rPr>
            </w:pPr>
            <w:r w:rsidRPr="00480973">
              <w:rPr>
                <w:rFonts w:ascii="CAIXA Std Book" w:hAnsi="CAIXA Std Book" w:cs="Arial"/>
                <w:color w:val="005CA9"/>
                <w:sz w:val="14"/>
                <w:szCs w:val="14"/>
              </w:rPr>
              <w:t>-</w:t>
            </w:r>
          </w:p>
        </w:tc>
        <w:tc>
          <w:tcPr>
            <w:tcW w:w="358" w:type="pct"/>
            <w:tcBorders>
              <w:top w:val="nil"/>
              <w:left w:val="nil"/>
              <w:right w:val="nil"/>
            </w:tcBorders>
            <w:vAlign w:val="center"/>
          </w:tcPr>
          <w:p w14:paraId="2C2A94AB" w14:textId="0AC10D55" w:rsidR="001E7F0C" w:rsidRPr="00F2340E" w:rsidRDefault="00480973">
            <w:pPr>
              <w:jc w:val="right"/>
              <w:rPr>
                <w:rFonts w:ascii="CAIXA Std Book" w:hAnsi="CAIXA Std Book" w:cs="Arial"/>
                <w:color w:val="005CA9"/>
                <w:sz w:val="14"/>
                <w:szCs w:val="14"/>
              </w:rPr>
            </w:pPr>
            <w:r w:rsidRPr="00480973">
              <w:rPr>
                <w:rFonts w:ascii="CAIXA Std Book" w:hAnsi="CAIXA Std Book" w:cs="Arial"/>
                <w:color w:val="005CA9"/>
                <w:sz w:val="14"/>
                <w:szCs w:val="14"/>
              </w:rPr>
              <w:t xml:space="preserve"> 163.786</w:t>
            </w:r>
          </w:p>
        </w:tc>
        <w:tc>
          <w:tcPr>
            <w:tcW w:w="388" w:type="pct"/>
            <w:tcBorders>
              <w:top w:val="nil"/>
              <w:left w:val="nil"/>
              <w:right w:val="nil"/>
            </w:tcBorders>
            <w:vAlign w:val="center"/>
          </w:tcPr>
          <w:p w14:paraId="78961BF1" w14:textId="77777777" w:rsidR="001E7F0C" w:rsidRPr="00996C00" w:rsidRDefault="001E7F0C">
            <w:pPr>
              <w:jc w:val="right"/>
              <w:rPr>
                <w:rFonts w:ascii="CAIXA Std Book" w:eastAsia="Times New Roman" w:hAnsi="CAIXA Std Book" w:cs="Arial"/>
                <w:color w:val="005CA9"/>
                <w:sz w:val="14"/>
                <w:szCs w:val="14"/>
              </w:rPr>
            </w:pPr>
            <w:r w:rsidRPr="00996C00">
              <w:rPr>
                <w:rFonts w:ascii="CAIXA Std Book" w:hAnsi="CAIXA Std Book" w:cs="Calibri"/>
                <w:color w:val="005CA9"/>
                <w:sz w:val="14"/>
                <w:szCs w:val="14"/>
              </w:rPr>
              <w:t>16.465.196</w:t>
            </w:r>
          </w:p>
        </w:tc>
        <w:tc>
          <w:tcPr>
            <w:tcW w:w="328" w:type="pct"/>
            <w:tcBorders>
              <w:top w:val="nil"/>
              <w:left w:val="nil"/>
              <w:right w:val="nil"/>
            </w:tcBorders>
            <w:vAlign w:val="center"/>
          </w:tcPr>
          <w:p w14:paraId="31BAD2C1" w14:textId="77777777" w:rsidR="001E7F0C" w:rsidRPr="00996C00" w:rsidRDefault="001E7F0C">
            <w:pPr>
              <w:ind w:firstLineChars="100" w:firstLine="140"/>
              <w:jc w:val="center"/>
              <w:rPr>
                <w:rFonts w:ascii="CAIXA Std Book" w:eastAsia="Times New Roman" w:hAnsi="CAIXA Std Book" w:cs="Arial"/>
                <w:color w:val="005CA9"/>
                <w:sz w:val="14"/>
                <w:szCs w:val="14"/>
              </w:rPr>
            </w:pPr>
            <w:r w:rsidRPr="00996C00">
              <w:rPr>
                <w:rFonts w:ascii="CAIXA Std Book" w:hAnsi="CAIXA Std Book" w:cs="Calibri"/>
                <w:color w:val="005CA9"/>
                <w:sz w:val="14"/>
                <w:szCs w:val="14"/>
              </w:rPr>
              <w:t>-</w:t>
            </w:r>
          </w:p>
        </w:tc>
        <w:tc>
          <w:tcPr>
            <w:tcW w:w="325" w:type="pct"/>
            <w:tcBorders>
              <w:top w:val="nil"/>
              <w:left w:val="nil"/>
              <w:right w:val="nil"/>
            </w:tcBorders>
            <w:vAlign w:val="center"/>
          </w:tcPr>
          <w:p w14:paraId="673406A9" w14:textId="77777777" w:rsidR="001E7F0C" w:rsidRPr="00996C00" w:rsidRDefault="001E7F0C" w:rsidP="00C144C2">
            <w:pPr>
              <w:ind w:firstLineChars="100" w:firstLine="140"/>
              <w:jc w:val="center"/>
              <w:rPr>
                <w:rFonts w:ascii="CAIXA Std Book" w:eastAsia="Times New Roman" w:hAnsi="CAIXA Std Book" w:cs="Arial"/>
                <w:color w:val="005CA9"/>
                <w:sz w:val="14"/>
                <w:szCs w:val="14"/>
              </w:rPr>
            </w:pPr>
            <w:r w:rsidRPr="00996C00">
              <w:rPr>
                <w:rFonts w:ascii="CAIXA Std Book" w:hAnsi="CAIXA Std Book" w:cs="Calibri"/>
                <w:color w:val="005CA9"/>
                <w:sz w:val="14"/>
                <w:szCs w:val="14"/>
              </w:rPr>
              <w:t>-</w:t>
            </w:r>
          </w:p>
        </w:tc>
        <w:tc>
          <w:tcPr>
            <w:tcW w:w="280" w:type="pct"/>
            <w:tcBorders>
              <w:top w:val="nil"/>
              <w:left w:val="nil"/>
              <w:right w:val="nil"/>
            </w:tcBorders>
            <w:vAlign w:val="center"/>
          </w:tcPr>
          <w:p w14:paraId="51F06559" w14:textId="77777777" w:rsidR="001E7F0C" w:rsidRPr="00996C00" w:rsidRDefault="001E7F0C" w:rsidP="00C144C2">
            <w:pPr>
              <w:jc w:val="center"/>
              <w:rPr>
                <w:rFonts w:ascii="CAIXA Std Book" w:eastAsia="Times New Roman" w:hAnsi="CAIXA Std Book" w:cs="Arial"/>
                <w:color w:val="005CA9"/>
                <w:sz w:val="14"/>
                <w:szCs w:val="14"/>
              </w:rPr>
            </w:pPr>
            <w:r w:rsidRPr="00996C00">
              <w:rPr>
                <w:rFonts w:ascii="CAIXA Std Book" w:hAnsi="CAIXA Std Book" w:cs="Calibri"/>
                <w:color w:val="005CA9"/>
                <w:sz w:val="14"/>
                <w:szCs w:val="14"/>
              </w:rPr>
              <w:t>-</w:t>
            </w:r>
          </w:p>
        </w:tc>
        <w:tc>
          <w:tcPr>
            <w:tcW w:w="287" w:type="pct"/>
            <w:tcBorders>
              <w:top w:val="nil"/>
              <w:left w:val="nil"/>
              <w:right w:val="nil"/>
            </w:tcBorders>
            <w:vAlign w:val="center"/>
          </w:tcPr>
          <w:p w14:paraId="0E6CED03" w14:textId="77777777" w:rsidR="001E7F0C" w:rsidRPr="00996C00" w:rsidRDefault="001E7F0C">
            <w:pPr>
              <w:ind w:firstLineChars="100" w:firstLine="140"/>
              <w:jc w:val="center"/>
              <w:rPr>
                <w:rFonts w:ascii="CAIXA Std Book" w:eastAsia="Times New Roman" w:hAnsi="CAIXA Std Book" w:cs="Arial"/>
                <w:color w:val="005CA9"/>
                <w:sz w:val="14"/>
                <w:szCs w:val="14"/>
              </w:rPr>
            </w:pPr>
            <w:r w:rsidRPr="00996C00">
              <w:rPr>
                <w:rFonts w:ascii="CAIXA Std Book" w:hAnsi="CAIXA Std Book" w:cs="Calibri"/>
                <w:color w:val="005CA9"/>
                <w:sz w:val="14"/>
                <w:szCs w:val="14"/>
              </w:rPr>
              <w:t>-</w:t>
            </w:r>
          </w:p>
        </w:tc>
        <w:tc>
          <w:tcPr>
            <w:tcW w:w="388" w:type="pct"/>
            <w:tcBorders>
              <w:top w:val="nil"/>
              <w:left w:val="nil"/>
              <w:right w:val="nil"/>
            </w:tcBorders>
            <w:noWrap/>
            <w:vAlign w:val="center"/>
          </w:tcPr>
          <w:p w14:paraId="03CD523A" w14:textId="77777777" w:rsidR="001E7F0C" w:rsidRPr="00996C00" w:rsidRDefault="001E7F0C">
            <w:pPr>
              <w:ind w:firstLineChars="100" w:firstLine="140"/>
              <w:jc w:val="right"/>
              <w:rPr>
                <w:rFonts w:ascii="CAIXA Std Book" w:eastAsia="Times New Roman" w:hAnsi="CAIXA Std Book" w:cs="Arial"/>
                <w:color w:val="005CA9"/>
                <w:sz w:val="14"/>
                <w:szCs w:val="14"/>
              </w:rPr>
            </w:pPr>
            <w:r w:rsidRPr="00996C00">
              <w:rPr>
                <w:rFonts w:ascii="CAIXA Std Book" w:hAnsi="CAIXA Std Book" w:cs="Calibri"/>
                <w:color w:val="005CA9"/>
                <w:sz w:val="14"/>
                <w:szCs w:val="14"/>
              </w:rPr>
              <w:t>103.264</w:t>
            </w:r>
          </w:p>
        </w:tc>
      </w:tr>
      <w:tr w:rsidR="001E7F0C" w:rsidRPr="00A64197" w14:paraId="21720C0B" w14:textId="77777777" w:rsidTr="005405DF">
        <w:trPr>
          <w:trHeight w:val="283"/>
          <w:jc w:val="center"/>
        </w:trPr>
        <w:tc>
          <w:tcPr>
            <w:tcW w:w="1037" w:type="pct"/>
            <w:tcBorders>
              <w:top w:val="nil"/>
              <w:left w:val="nil"/>
              <w:bottom w:val="nil"/>
              <w:right w:val="nil"/>
            </w:tcBorders>
            <w:shd w:val="clear" w:color="auto" w:fill="D0DFE3"/>
            <w:noWrap/>
            <w:vAlign w:val="center"/>
          </w:tcPr>
          <w:p w14:paraId="5E95817F" w14:textId="77777777" w:rsidR="001E7F0C" w:rsidRPr="00480973" w:rsidRDefault="001E7F0C">
            <w:pPr>
              <w:rPr>
                <w:rFonts w:ascii="CAIXA Std Book" w:eastAsia="Times New Roman" w:hAnsi="CAIXA Std Book" w:cs="Arial"/>
                <w:b/>
                <w:color w:val="005CA9"/>
                <w:sz w:val="14"/>
                <w:szCs w:val="14"/>
              </w:rPr>
            </w:pPr>
            <w:r w:rsidRPr="00480973">
              <w:rPr>
                <w:rFonts w:ascii="CAIXA Std Book" w:eastAsia="Times New Roman" w:hAnsi="CAIXA Std Book" w:cs="Arial"/>
                <w:b/>
                <w:color w:val="005CA9"/>
                <w:sz w:val="14"/>
                <w:szCs w:val="14"/>
              </w:rPr>
              <w:t>Garantias</w:t>
            </w:r>
          </w:p>
        </w:tc>
        <w:tc>
          <w:tcPr>
            <w:tcW w:w="400" w:type="pct"/>
            <w:tcBorders>
              <w:top w:val="nil"/>
              <w:left w:val="nil"/>
              <w:bottom w:val="nil"/>
              <w:right w:val="nil"/>
            </w:tcBorders>
            <w:shd w:val="clear" w:color="auto" w:fill="D0DFE3"/>
            <w:noWrap/>
            <w:vAlign w:val="center"/>
          </w:tcPr>
          <w:p w14:paraId="2895C413" w14:textId="2B29271C" w:rsidR="001E7F0C" w:rsidRPr="00F2340E" w:rsidRDefault="00480973" w:rsidP="00E3704C">
            <w:pPr>
              <w:ind w:firstLineChars="100" w:firstLine="140"/>
              <w:jc w:val="center"/>
              <w:rPr>
                <w:rFonts w:ascii="CAIXA Std Book" w:hAnsi="CAIXA Std Book" w:cs="Arial"/>
                <w:color w:val="005CA9"/>
                <w:sz w:val="14"/>
                <w:szCs w:val="14"/>
              </w:rPr>
            </w:pPr>
            <w:r w:rsidRPr="00480973">
              <w:rPr>
                <w:rFonts w:ascii="CAIXA Std Book" w:hAnsi="CAIXA Std Book" w:cs="Arial"/>
                <w:b/>
                <w:bCs/>
                <w:color w:val="005CA9"/>
                <w:sz w:val="14"/>
                <w:szCs w:val="14"/>
              </w:rPr>
              <w:t>-</w:t>
            </w:r>
          </w:p>
        </w:tc>
        <w:tc>
          <w:tcPr>
            <w:tcW w:w="328" w:type="pct"/>
            <w:shd w:val="clear" w:color="auto" w:fill="D0DFE3"/>
            <w:vAlign w:val="center"/>
          </w:tcPr>
          <w:p w14:paraId="148FC5B3" w14:textId="64CE1D9C" w:rsidR="001E7F0C" w:rsidRPr="00F2340E" w:rsidRDefault="00480973" w:rsidP="00E3704C">
            <w:pPr>
              <w:jc w:val="center"/>
              <w:rPr>
                <w:rFonts w:ascii="CAIXA Std Book" w:hAnsi="CAIXA Std Book" w:cs="Arial"/>
                <w:color w:val="005CA9"/>
                <w:sz w:val="14"/>
                <w:szCs w:val="14"/>
              </w:rPr>
            </w:pPr>
            <w:r w:rsidRPr="00480973">
              <w:rPr>
                <w:rFonts w:ascii="CAIXA Std Book" w:hAnsi="CAIXA Std Book" w:cs="Arial"/>
                <w:b/>
                <w:bCs/>
                <w:color w:val="005CA9"/>
                <w:sz w:val="14"/>
                <w:szCs w:val="14"/>
              </w:rPr>
              <w:t>-</w:t>
            </w:r>
          </w:p>
        </w:tc>
        <w:tc>
          <w:tcPr>
            <w:tcW w:w="325" w:type="pct"/>
            <w:tcBorders>
              <w:top w:val="nil"/>
              <w:left w:val="nil"/>
              <w:bottom w:val="nil"/>
              <w:right w:val="nil"/>
            </w:tcBorders>
            <w:shd w:val="clear" w:color="auto" w:fill="D0DFE3"/>
            <w:noWrap/>
            <w:vAlign w:val="center"/>
          </w:tcPr>
          <w:p w14:paraId="6AA031BA" w14:textId="5252CB9A" w:rsidR="001E7F0C" w:rsidRPr="00F2340E" w:rsidRDefault="00480973" w:rsidP="00E3704C">
            <w:pPr>
              <w:jc w:val="center"/>
              <w:rPr>
                <w:rFonts w:ascii="CAIXA Std Book" w:hAnsi="CAIXA Std Book" w:cs="Arial"/>
                <w:color w:val="005CA9"/>
                <w:sz w:val="14"/>
                <w:szCs w:val="14"/>
              </w:rPr>
            </w:pPr>
            <w:r w:rsidRPr="00480973">
              <w:rPr>
                <w:rFonts w:ascii="CAIXA Std Book" w:hAnsi="CAIXA Std Book" w:cs="Arial"/>
                <w:b/>
                <w:bCs/>
                <w:color w:val="005CA9"/>
                <w:sz w:val="14"/>
                <w:szCs w:val="14"/>
              </w:rPr>
              <w:t>-</w:t>
            </w:r>
          </w:p>
        </w:tc>
        <w:tc>
          <w:tcPr>
            <w:tcW w:w="328" w:type="pct"/>
            <w:tcBorders>
              <w:top w:val="nil"/>
              <w:left w:val="nil"/>
              <w:bottom w:val="nil"/>
              <w:right w:val="nil"/>
            </w:tcBorders>
            <w:shd w:val="clear" w:color="auto" w:fill="D0DFE3"/>
            <w:noWrap/>
            <w:vAlign w:val="center"/>
          </w:tcPr>
          <w:p w14:paraId="1EA09446" w14:textId="4D59BC4B" w:rsidR="001E7F0C" w:rsidRPr="00F2340E" w:rsidRDefault="00480973" w:rsidP="00E3704C">
            <w:pPr>
              <w:jc w:val="center"/>
              <w:rPr>
                <w:rFonts w:ascii="CAIXA Std Book" w:hAnsi="CAIXA Std Book" w:cs="Arial"/>
                <w:color w:val="005CA9"/>
                <w:sz w:val="14"/>
                <w:szCs w:val="14"/>
              </w:rPr>
            </w:pPr>
            <w:r w:rsidRPr="00480973">
              <w:rPr>
                <w:rFonts w:ascii="CAIXA Std Book" w:hAnsi="CAIXA Std Book" w:cs="Arial"/>
                <w:b/>
                <w:bCs/>
                <w:color w:val="005CA9"/>
                <w:sz w:val="14"/>
                <w:szCs w:val="14"/>
              </w:rPr>
              <w:t>-</w:t>
            </w:r>
          </w:p>
        </w:tc>
        <w:tc>
          <w:tcPr>
            <w:tcW w:w="227" w:type="pct"/>
            <w:tcBorders>
              <w:top w:val="nil"/>
              <w:left w:val="nil"/>
              <w:bottom w:val="nil"/>
              <w:right w:val="nil"/>
            </w:tcBorders>
            <w:shd w:val="clear" w:color="auto" w:fill="D0DFE3"/>
            <w:vAlign w:val="center"/>
          </w:tcPr>
          <w:p w14:paraId="116503E5" w14:textId="069971ED" w:rsidR="001E7F0C" w:rsidRPr="00F2340E" w:rsidRDefault="00480973">
            <w:pPr>
              <w:jc w:val="right"/>
              <w:rPr>
                <w:rFonts w:ascii="CAIXA Std Book" w:hAnsi="CAIXA Std Book" w:cs="Arial"/>
                <w:color w:val="005CA9"/>
                <w:sz w:val="14"/>
                <w:szCs w:val="14"/>
              </w:rPr>
            </w:pPr>
            <w:r w:rsidRPr="00480973">
              <w:rPr>
                <w:rFonts w:ascii="CAIXA Std Book" w:hAnsi="CAIXA Std Book" w:cs="Arial"/>
                <w:b/>
                <w:bCs/>
                <w:color w:val="005CA9"/>
                <w:sz w:val="14"/>
                <w:szCs w:val="14"/>
              </w:rPr>
              <w:t>53.358</w:t>
            </w:r>
          </w:p>
        </w:tc>
        <w:tc>
          <w:tcPr>
            <w:tcW w:w="358" w:type="pct"/>
            <w:tcBorders>
              <w:top w:val="nil"/>
              <w:left w:val="nil"/>
              <w:bottom w:val="nil"/>
              <w:right w:val="nil"/>
            </w:tcBorders>
            <w:shd w:val="clear" w:color="auto" w:fill="D0DFE3"/>
            <w:vAlign w:val="center"/>
          </w:tcPr>
          <w:p w14:paraId="6B532016" w14:textId="47B43B0F" w:rsidR="001E7F0C" w:rsidRPr="00F2340E" w:rsidRDefault="00480973">
            <w:pPr>
              <w:jc w:val="right"/>
              <w:rPr>
                <w:rFonts w:ascii="CAIXA Std Book" w:hAnsi="CAIXA Std Book" w:cs="Arial"/>
                <w:color w:val="005CA9"/>
                <w:sz w:val="14"/>
                <w:szCs w:val="14"/>
              </w:rPr>
            </w:pPr>
            <w:r w:rsidRPr="00480973">
              <w:rPr>
                <w:rFonts w:ascii="CAIXA Std Book" w:hAnsi="CAIXA Std Book" w:cs="Arial"/>
                <w:b/>
                <w:bCs/>
                <w:color w:val="005CA9"/>
                <w:sz w:val="14"/>
                <w:szCs w:val="14"/>
              </w:rPr>
              <w:t>60.551.761</w:t>
            </w:r>
          </w:p>
        </w:tc>
        <w:tc>
          <w:tcPr>
            <w:tcW w:w="388" w:type="pct"/>
            <w:tcBorders>
              <w:top w:val="nil"/>
              <w:left w:val="nil"/>
              <w:bottom w:val="nil"/>
              <w:right w:val="nil"/>
            </w:tcBorders>
            <w:shd w:val="clear" w:color="auto" w:fill="D0DFE3"/>
            <w:vAlign w:val="center"/>
          </w:tcPr>
          <w:p w14:paraId="6F02D929" w14:textId="77777777" w:rsidR="001E7F0C" w:rsidRPr="005C31DE" w:rsidRDefault="001E7F0C">
            <w:pPr>
              <w:jc w:val="right"/>
              <w:rPr>
                <w:rFonts w:ascii="CAIXA Std Book" w:eastAsia="Times New Roman" w:hAnsi="CAIXA Std Book" w:cs="Arial"/>
                <w:color w:val="005CA9"/>
                <w:sz w:val="14"/>
                <w:szCs w:val="14"/>
              </w:rPr>
            </w:pPr>
            <w:r w:rsidRPr="005C31DE">
              <w:rPr>
                <w:rFonts w:ascii="CAIXA Std Book" w:hAnsi="CAIXA Std Book" w:cs="Calibri"/>
                <w:b/>
                <w:bCs/>
                <w:color w:val="005CA9"/>
                <w:sz w:val="14"/>
                <w:szCs w:val="14"/>
              </w:rPr>
              <w:t>9.468</w:t>
            </w:r>
          </w:p>
        </w:tc>
        <w:tc>
          <w:tcPr>
            <w:tcW w:w="328" w:type="pct"/>
            <w:tcBorders>
              <w:top w:val="nil"/>
              <w:left w:val="nil"/>
              <w:bottom w:val="nil"/>
              <w:right w:val="nil"/>
            </w:tcBorders>
            <w:shd w:val="clear" w:color="auto" w:fill="D0DFE3"/>
            <w:vAlign w:val="center"/>
          </w:tcPr>
          <w:p w14:paraId="5B51ECC2" w14:textId="77777777" w:rsidR="001E7F0C" w:rsidRPr="005C31DE" w:rsidRDefault="001E7F0C">
            <w:pPr>
              <w:ind w:firstLineChars="100" w:firstLine="140"/>
              <w:jc w:val="center"/>
              <w:rPr>
                <w:rFonts w:ascii="CAIXA Std Book" w:eastAsia="Times New Roman" w:hAnsi="CAIXA Std Book" w:cs="Arial"/>
                <w:color w:val="005CA9"/>
                <w:sz w:val="14"/>
                <w:szCs w:val="14"/>
              </w:rPr>
            </w:pPr>
            <w:r w:rsidRPr="005C31DE">
              <w:rPr>
                <w:rFonts w:ascii="CAIXA Std Book" w:hAnsi="CAIXA Std Book" w:cs="Calibri"/>
                <w:b/>
                <w:bCs/>
                <w:color w:val="005CA9"/>
                <w:sz w:val="14"/>
                <w:szCs w:val="14"/>
              </w:rPr>
              <w:t>-</w:t>
            </w:r>
          </w:p>
        </w:tc>
        <w:tc>
          <w:tcPr>
            <w:tcW w:w="325" w:type="pct"/>
            <w:tcBorders>
              <w:top w:val="nil"/>
              <w:left w:val="nil"/>
              <w:bottom w:val="nil"/>
              <w:right w:val="nil"/>
            </w:tcBorders>
            <w:shd w:val="clear" w:color="auto" w:fill="D0DFE3"/>
            <w:vAlign w:val="center"/>
          </w:tcPr>
          <w:p w14:paraId="70F4B9D9" w14:textId="77777777" w:rsidR="001E7F0C" w:rsidRPr="005C31DE" w:rsidRDefault="001E7F0C">
            <w:pPr>
              <w:ind w:firstLineChars="100" w:firstLine="140"/>
              <w:jc w:val="center"/>
              <w:rPr>
                <w:rFonts w:ascii="CAIXA Std Book" w:eastAsia="Times New Roman" w:hAnsi="CAIXA Std Book" w:cs="Arial"/>
                <w:color w:val="005CA9"/>
                <w:sz w:val="14"/>
                <w:szCs w:val="14"/>
              </w:rPr>
            </w:pPr>
            <w:r w:rsidRPr="005C31DE">
              <w:rPr>
                <w:rFonts w:ascii="CAIXA Std Book" w:hAnsi="CAIXA Std Book" w:cs="Calibri"/>
                <w:b/>
                <w:bCs/>
                <w:color w:val="005CA9"/>
                <w:sz w:val="14"/>
                <w:szCs w:val="14"/>
              </w:rPr>
              <w:t>-</w:t>
            </w:r>
          </w:p>
        </w:tc>
        <w:tc>
          <w:tcPr>
            <w:tcW w:w="280" w:type="pct"/>
            <w:tcBorders>
              <w:top w:val="nil"/>
              <w:left w:val="nil"/>
              <w:bottom w:val="nil"/>
              <w:right w:val="nil"/>
            </w:tcBorders>
            <w:shd w:val="clear" w:color="auto" w:fill="D0DFE3"/>
            <w:vAlign w:val="center"/>
          </w:tcPr>
          <w:p w14:paraId="778A9ED5" w14:textId="77777777" w:rsidR="001E7F0C" w:rsidRPr="005C31DE" w:rsidRDefault="001E7F0C">
            <w:pPr>
              <w:jc w:val="center"/>
              <w:rPr>
                <w:rFonts w:ascii="CAIXA Std Book" w:eastAsia="Times New Roman" w:hAnsi="CAIXA Std Book" w:cs="Arial"/>
                <w:color w:val="005CA9"/>
                <w:sz w:val="14"/>
                <w:szCs w:val="14"/>
              </w:rPr>
            </w:pPr>
            <w:r w:rsidRPr="005C31DE">
              <w:rPr>
                <w:rFonts w:ascii="CAIXA Std Book" w:hAnsi="CAIXA Std Book" w:cs="Calibri"/>
                <w:b/>
                <w:bCs/>
                <w:color w:val="005CA9"/>
                <w:sz w:val="14"/>
                <w:szCs w:val="14"/>
              </w:rPr>
              <w:t>-</w:t>
            </w:r>
          </w:p>
        </w:tc>
        <w:tc>
          <w:tcPr>
            <w:tcW w:w="287" w:type="pct"/>
            <w:tcBorders>
              <w:top w:val="nil"/>
              <w:left w:val="nil"/>
              <w:bottom w:val="nil"/>
              <w:right w:val="nil"/>
            </w:tcBorders>
            <w:shd w:val="clear" w:color="auto" w:fill="D0DFE3"/>
            <w:vAlign w:val="center"/>
          </w:tcPr>
          <w:p w14:paraId="1BFC4BE4" w14:textId="77777777" w:rsidR="001E7F0C" w:rsidRPr="005C31DE" w:rsidRDefault="001E7F0C">
            <w:pPr>
              <w:ind w:firstLineChars="100" w:firstLine="140"/>
              <w:jc w:val="right"/>
              <w:rPr>
                <w:rFonts w:ascii="CAIXA Std Book" w:eastAsia="Times New Roman" w:hAnsi="CAIXA Std Book" w:cs="Arial"/>
                <w:color w:val="005CA9"/>
                <w:sz w:val="14"/>
                <w:szCs w:val="14"/>
              </w:rPr>
            </w:pPr>
            <w:r w:rsidRPr="005C31DE">
              <w:rPr>
                <w:rFonts w:ascii="CAIXA Std Book" w:hAnsi="CAIXA Std Book" w:cs="Calibri"/>
                <w:b/>
                <w:bCs/>
                <w:color w:val="005CA9"/>
                <w:sz w:val="14"/>
                <w:szCs w:val="14"/>
              </w:rPr>
              <w:t>297.757</w:t>
            </w:r>
          </w:p>
        </w:tc>
        <w:tc>
          <w:tcPr>
            <w:tcW w:w="388" w:type="pct"/>
            <w:tcBorders>
              <w:top w:val="nil"/>
              <w:left w:val="nil"/>
              <w:bottom w:val="nil"/>
              <w:right w:val="nil"/>
            </w:tcBorders>
            <w:shd w:val="clear" w:color="auto" w:fill="D0DFE3"/>
            <w:noWrap/>
            <w:vAlign w:val="center"/>
          </w:tcPr>
          <w:p w14:paraId="38F81CB5" w14:textId="77777777" w:rsidR="001E7F0C" w:rsidRPr="005C31DE" w:rsidRDefault="001E7F0C">
            <w:pPr>
              <w:ind w:firstLineChars="100" w:firstLine="140"/>
              <w:jc w:val="right"/>
              <w:rPr>
                <w:rFonts w:ascii="CAIXA Std Book" w:eastAsia="Times New Roman" w:hAnsi="CAIXA Std Book" w:cs="Arial"/>
                <w:color w:val="005CA9"/>
                <w:sz w:val="14"/>
                <w:szCs w:val="14"/>
              </w:rPr>
            </w:pPr>
            <w:r w:rsidRPr="005C31DE">
              <w:rPr>
                <w:rFonts w:ascii="CAIXA Std Book" w:hAnsi="CAIXA Std Book" w:cs="Calibri"/>
                <w:b/>
                <w:bCs/>
                <w:color w:val="005CA9"/>
                <w:sz w:val="14"/>
                <w:szCs w:val="14"/>
              </w:rPr>
              <w:t>37.956.807</w:t>
            </w:r>
          </w:p>
        </w:tc>
      </w:tr>
      <w:tr w:rsidR="001E7F0C" w:rsidRPr="00A64197" w14:paraId="67607CE3" w14:textId="77777777" w:rsidTr="009322CB">
        <w:trPr>
          <w:trHeight w:val="283"/>
          <w:jc w:val="center"/>
        </w:trPr>
        <w:tc>
          <w:tcPr>
            <w:tcW w:w="1037" w:type="pct"/>
            <w:tcBorders>
              <w:top w:val="nil"/>
              <w:left w:val="nil"/>
              <w:right w:val="nil"/>
            </w:tcBorders>
            <w:noWrap/>
            <w:vAlign w:val="center"/>
          </w:tcPr>
          <w:p w14:paraId="2F44D5FE" w14:textId="77777777" w:rsidR="001E7F0C" w:rsidRPr="00480973" w:rsidRDefault="001E7F0C">
            <w:pPr>
              <w:rPr>
                <w:rFonts w:ascii="CAIXA Std Book" w:eastAsia="Times New Roman" w:hAnsi="CAIXA Std Book" w:cs="Arial"/>
                <w:color w:val="005CA9"/>
                <w:sz w:val="14"/>
                <w:szCs w:val="14"/>
              </w:rPr>
            </w:pPr>
            <w:r w:rsidRPr="00480973">
              <w:rPr>
                <w:rFonts w:ascii="CAIXA Std Book" w:eastAsia="Times New Roman" w:hAnsi="CAIXA Std Book" w:cs="Arial"/>
                <w:color w:val="005CA9"/>
                <w:sz w:val="14"/>
                <w:szCs w:val="14"/>
              </w:rPr>
              <w:t>Recebidas</w:t>
            </w:r>
          </w:p>
        </w:tc>
        <w:tc>
          <w:tcPr>
            <w:tcW w:w="400" w:type="pct"/>
            <w:tcBorders>
              <w:top w:val="nil"/>
              <w:left w:val="nil"/>
              <w:right w:val="nil"/>
            </w:tcBorders>
            <w:noWrap/>
            <w:vAlign w:val="center"/>
          </w:tcPr>
          <w:p w14:paraId="7ED23C7F" w14:textId="684A7D7F" w:rsidR="001E7F0C" w:rsidRPr="00480973" w:rsidRDefault="00480973" w:rsidP="00C144C2">
            <w:pPr>
              <w:ind w:firstLineChars="100" w:firstLine="140"/>
              <w:jc w:val="center"/>
              <w:rPr>
                <w:rFonts w:ascii="CAIXA Std Book" w:hAnsi="CAIXA Std Book" w:cs="Arial"/>
                <w:color w:val="005CA9"/>
                <w:sz w:val="14"/>
                <w:szCs w:val="14"/>
              </w:rPr>
            </w:pPr>
            <w:r w:rsidRPr="00480973">
              <w:rPr>
                <w:rFonts w:ascii="CAIXA Std Book" w:hAnsi="CAIXA Std Book" w:cs="Arial"/>
                <w:color w:val="005CA9"/>
                <w:sz w:val="14"/>
                <w:szCs w:val="14"/>
              </w:rPr>
              <w:t>-</w:t>
            </w:r>
          </w:p>
        </w:tc>
        <w:tc>
          <w:tcPr>
            <w:tcW w:w="328" w:type="pct"/>
            <w:vAlign w:val="center"/>
          </w:tcPr>
          <w:p w14:paraId="6267E26C" w14:textId="0CBD632E" w:rsidR="001E7F0C" w:rsidRPr="00480973" w:rsidRDefault="00480973">
            <w:pPr>
              <w:jc w:val="center"/>
              <w:rPr>
                <w:rFonts w:ascii="CAIXA Std Book" w:hAnsi="CAIXA Std Book" w:cs="Arial"/>
                <w:color w:val="005CA9"/>
                <w:sz w:val="14"/>
                <w:szCs w:val="14"/>
              </w:rPr>
            </w:pPr>
            <w:r w:rsidRPr="00480973">
              <w:rPr>
                <w:rFonts w:ascii="CAIXA Std Book" w:hAnsi="CAIXA Std Book" w:cs="Arial"/>
                <w:color w:val="005CA9"/>
                <w:sz w:val="14"/>
                <w:szCs w:val="14"/>
              </w:rPr>
              <w:t>-</w:t>
            </w:r>
          </w:p>
        </w:tc>
        <w:tc>
          <w:tcPr>
            <w:tcW w:w="325" w:type="pct"/>
            <w:tcBorders>
              <w:top w:val="nil"/>
              <w:left w:val="nil"/>
              <w:right w:val="nil"/>
            </w:tcBorders>
            <w:noWrap/>
            <w:vAlign w:val="center"/>
          </w:tcPr>
          <w:p w14:paraId="4666470A" w14:textId="5892A0B8" w:rsidR="001E7F0C" w:rsidRPr="00480973" w:rsidRDefault="00480973" w:rsidP="00C144C2">
            <w:pPr>
              <w:jc w:val="center"/>
              <w:rPr>
                <w:rFonts w:ascii="CAIXA Std Book" w:hAnsi="CAIXA Std Book" w:cs="Arial"/>
                <w:color w:val="005CA9"/>
                <w:sz w:val="14"/>
                <w:szCs w:val="14"/>
              </w:rPr>
            </w:pPr>
            <w:r w:rsidRPr="00480973">
              <w:rPr>
                <w:rFonts w:ascii="CAIXA Std Book" w:hAnsi="CAIXA Std Book" w:cs="Arial"/>
                <w:color w:val="005CA9"/>
                <w:sz w:val="14"/>
                <w:szCs w:val="14"/>
              </w:rPr>
              <w:t>-</w:t>
            </w:r>
          </w:p>
        </w:tc>
        <w:tc>
          <w:tcPr>
            <w:tcW w:w="328" w:type="pct"/>
            <w:tcBorders>
              <w:top w:val="nil"/>
              <w:left w:val="nil"/>
              <w:right w:val="nil"/>
            </w:tcBorders>
            <w:noWrap/>
            <w:vAlign w:val="center"/>
          </w:tcPr>
          <w:p w14:paraId="5CC0237F" w14:textId="0C2C97DA" w:rsidR="001E7F0C" w:rsidRPr="00480973" w:rsidRDefault="00480973">
            <w:pPr>
              <w:jc w:val="center"/>
              <w:rPr>
                <w:rFonts w:ascii="CAIXA Std Book" w:hAnsi="CAIXA Std Book" w:cs="Arial"/>
                <w:color w:val="005CA9"/>
                <w:sz w:val="14"/>
                <w:szCs w:val="14"/>
              </w:rPr>
            </w:pPr>
            <w:r w:rsidRPr="00480973">
              <w:rPr>
                <w:rFonts w:ascii="CAIXA Std Book" w:hAnsi="CAIXA Std Book" w:cs="Arial"/>
                <w:color w:val="005CA9"/>
                <w:sz w:val="14"/>
                <w:szCs w:val="14"/>
              </w:rPr>
              <w:t>-</w:t>
            </w:r>
          </w:p>
        </w:tc>
        <w:tc>
          <w:tcPr>
            <w:tcW w:w="227" w:type="pct"/>
            <w:tcBorders>
              <w:top w:val="nil"/>
              <w:left w:val="nil"/>
              <w:right w:val="nil"/>
            </w:tcBorders>
            <w:vAlign w:val="center"/>
          </w:tcPr>
          <w:p w14:paraId="521EA94F" w14:textId="25CA33FA" w:rsidR="001E7F0C" w:rsidRPr="00480973" w:rsidRDefault="00480973">
            <w:pPr>
              <w:jc w:val="right"/>
              <w:rPr>
                <w:rFonts w:ascii="CAIXA Std Book" w:hAnsi="CAIXA Std Book" w:cs="Arial"/>
                <w:color w:val="005CA9"/>
                <w:sz w:val="14"/>
                <w:szCs w:val="14"/>
              </w:rPr>
            </w:pPr>
            <w:r w:rsidRPr="00480973">
              <w:rPr>
                <w:rFonts w:ascii="CAIXA Std Book" w:hAnsi="CAIXA Std Book" w:cs="Arial"/>
                <w:color w:val="005CA9"/>
                <w:sz w:val="14"/>
                <w:szCs w:val="14"/>
              </w:rPr>
              <w:t>53.358</w:t>
            </w:r>
          </w:p>
        </w:tc>
        <w:tc>
          <w:tcPr>
            <w:tcW w:w="358" w:type="pct"/>
            <w:tcBorders>
              <w:top w:val="nil"/>
              <w:left w:val="nil"/>
              <w:right w:val="nil"/>
            </w:tcBorders>
            <w:vAlign w:val="center"/>
          </w:tcPr>
          <w:p w14:paraId="7D52244C" w14:textId="5938D6FC" w:rsidR="001E7F0C" w:rsidRPr="00480973" w:rsidRDefault="00480973">
            <w:pPr>
              <w:jc w:val="right"/>
              <w:rPr>
                <w:rFonts w:ascii="CAIXA Std Book" w:hAnsi="CAIXA Std Book" w:cs="Arial"/>
                <w:color w:val="005CA9"/>
                <w:sz w:val="14"/>
                <w:szCs w:val="14"/>
              </w:rPr>
            </w:pPr>
            <w:r w:rsidRPr="00480973">
              <w:rPr>
                <w:rFonts w:ascii="CAIXA Std Book" w:hAnsi="CAIXA Std Book" w:cs="Arial"/>
                <w:color w:val="005CA9"/>
                <w:sz w:val="14"/>
                <w:szCs w:val="14"/>
              </w:rPr>
              <w:t>11.875.670</w:t>
            </w:r>
          </w:p>
        </w:tc>
        <w:tc>
          <w:tcPr>
            <w:tcW w:w="388" w:type="pct"/>
            <w:tcBorders>
              <w:top w:val="nil"/>
              <w:left w:val="nil"/>
              <w:right w:val="nil"/>
            </w:tcBorders>
            <w:vAlign w:val="center"/>
          </w:tcPr>
          <w:p w14:paraId="53476754" w14:textId="77777777" w:rsidR="001E7F0C" w:rsidRPr="005C31DE" w:rsidRDefault="001E7F0C">
            <w:pPr>
              <w:jc w:val="right"/>
              <w:rPr>
                <w:rFonts w:ascii="CAIXA Std Book" w:eastAsia="Times New Roman" w:hAnsi="CAIXA Std Book" w:cs="Arial"/>
                <w:color w:val="005CA9"/>
                <w:sz w:val="14"/>
                <w:szCs w:val="14"/>
              </w:rPr>
            </w:pPr>
            <w:r w:rsidRPr="005C31DE">
              <w:rPr>
                <w:rFonts w:ascii="CAIXA Std Book" w:hAnsi="CAIXA Std Book" w:cs="Calibri"/>
                <w:color w:val="005CA9"/>
                <w:sz w:val="14"/>
                <w:szCs w:val="14"/>
              </w:rPr>
              <w:t>9.468</w:t>
            </w:r>
          </w:p>
        </w:tc>
        <w:tc>
          <w:tcPr>
            <w:tcW w:w="328" w:type="pct"/>
            <w:tcBorders>
              <w:top w:val="nil"/>
              <w:left w:val="nil"/>
              <w:right w:val="nil"/>
            </w:tcBorders>
            <w:vAlign w:val="center"/>
          </w:tcPr>
          <w:p w14:paraId="7553D4C2" w14:textId="77777777" w:rsidR="001E7F0C" w:rsidRPr="005C31DE" w:rsidRDefault="001E7F0C">
            <w:pPr>
              <w:ind w:firstLineChars="100" w:firstLine="140"/>
              <w:jc w:val="center"/>
              <w:rPr>
                <w:rFonts w:ascii="CAIXA Std Book" w:eastAsia="Times New Roman" w:hAnsi="CAIXA Std Book" w:cs="Arial"/>
                <w:color w:val="005CA9"/>
                <w:sz w:val="14"/>
                <w:szCs w:val="14"/>
              </w:rPr>
            </w:pPr>
            <w:r w:rsidRPr="005C31DE">
              <w:rPr>
                <w:rFonts w:ascii="CAIXA Std Book" w:hAnsi="CAIXA Std Book" w:cs="Calibri"/>
                <w:color w:val="005CA9"/>
                <w:sz w:val="14"/>
                <w:szCs w:val="14"/>
              </w:rPr>
              <w:t>-</w:t>
            </w:r>
          </w:p>
        </w:tc>
        <w:tc>
          <w:tcPr>
            <w:tcW w:w="325" w:type="pct"/>
            <w:tcBorders>
              <w:top w:val="nil"/>
              <w:left w:val="nil"/>
              <w:right w:val="nil"/>
            </w:tcBorders>
            <w:vAlign w:val="center"/>
          </w:tcPr>
          <w:p w14:paraId="2C160F1D" w14:textId="77777777" w:rsidR="001E7F0C" w:rsidRPr="005C31DE" w:rsidRDefault="001E7F0C">
            <w:pPr>
              <w:ind w:firstLineChars="100" w:firstLine="140"/>
              <w:jc w:val="center"/>
              <w:rPr>
                <w:rFonts w:ascii="CAIXA Std Book" w:eastAsia="Times New Roman" w:hAnsi="CAIXA Std Book" w:cs="Arial"/>
                <w:color w:val="005CA9"/>
                <w:sz w:val="14"/>
                <w:szCs w:val="14"/>
              </w:rPr>
            </w:pPr>
            <w:r w:rsidRPr="005C31DE">
              <w:rPr>
                <w:rFonts w:ascii="CAIXA Std Book" w:hAnsi="CAIXA Std Book" w:cs="Calibri"/>
                <w:color w:val="005CA9"/>
                <w:sz w:val="14"/>
                <w:szCs w:val="14"/>
              </w:rPr>
              <w:t>-</w:t>
            </w:r>
          </w:p>
        </w:tc>
        <w:tc>
          <w:tcPr>
            <w:tcW w:w="280" w:type="pct"/>
            <w:tcBorders>
              <w:top w:val="nil"/>
              <w:left w:val="nil"/>
              <w:right w:val="nil"/>
            </w:tcBorders>
            <w:vAlign w:val="center"/>
          </w:tcPr>
          <w:p w14:paraId="654E9018" w14:textId="77777777" w:rsidR="001E7F0C" w:rsidRPr="005C31DE" w:rsidRDefault="001E7F0C">
            <w:pPr>
              <w:jc w:val="center"/>
              <w:rPr>
                <w:rFonts w:ascii="CAIXA Std Book" w:eastAsia="Times New Roman" w:hAnsi="CAIXA Std Book" w:cs="Arial"/>
                <w:color w:val="005CA9"/>
                <w:sz w:val="14"/>
                <w:szCs w:val="14"/>
              </w:rPr>
            </w:pPr>
            <w:r w:rsidRPr="005C31DE">
              <w:rPr>
                <w:rFonts w:ascii="CAIXA Std Book" w:hAnsi="CAIXA Std Book" w:cs="Calibri"/>
                <w:color w:val="005CA9"/>
                <w:sz w:val="14"/>
                <w:szCs w:val="14"/>
              </w:rPr>
              <w:t>-</w:t>
            </w:r>
          </w:p>
        </w:tc>
        <w:tc>
          <w:tcPr>
            <w:tcW w:w="287" w:type="pct"/>
            <w:tcBorders>
              <w:top w:val="nil"/>
              <w:left w:val="nil"/>
              <w:right w:val="nil"/>
            </w:tcBorders>
            <w:vAlign w:val="center"/>
          </w:tcPr>
          <w:p w14:paraId="11FACA47" w14:textId="77777777" w:rsidR="001E7F0C" w:rsidRPr="005C31DE" w:rsidRDefault="001E7F0C">
            <w:pPr>
              <w:ind w:firstLineChars="100" w:firstLine="140"/>
              <w:jc w:val="right"/>
              <w:rPr>
                <w:rFonts w:ascii="CAIXA Std Book" w:eastAsia="Times New Roman" w:hAnsi="CAIXA Std Book" w:cs="Arial"/>
                <w:color w:val="005CA9"/>
                <w:sz w:val="14"/>
                <w:szCs w:val="14"/>
              </w:rPr>
            </w:pPr>
            <w:r w:rsidRPr="005C31DE">
              <w:rPr>
                <w:rFonts w:ascii="CAIXA Std Book" w:hAnsi="CAIXA Std Book" w:cs="Calibri"/>
                <w:color w:val="005CA9"/>
                <w:sz w:val="14"/>
                <w:szCs w:val="14"/>
              </w:rPr>
              <w:t>297.757</w:t>
            </w:r>
          </w:p>
        </w:tc>
        <w:tc>
          <w:tcPr>
            <w:tcW w:w="388" w:type="pct"/>
            <w:tcBorders>
              <w:top w:val="nil"/>
              <w:left w:val="nil"/>
              <w:right w:val="nil"/>
            </w:tcBorders>
            <w:noWrap/>
            <w:vAlign w:val="center"/>
          </w:tcPr>
          <w:p w14:paraId="5D2ECC4D" w14:textId="77777777" w:rsidR="001E7F0C" w:rsidRPr="005C31DE" w:rsidRDefault="001E7F0C">
            <w:pPr>
              <w:ind w:firstLineChars="100" w:firstLine="140"/>
              <w:jc w:val="right"/>
              <w:rPr>
                <w:rFonts w:ascii="CAIXA Std Book" w:eastAsia="Times New Roman" w:hAnsi="CAIXA Std Book" w:cs="Arial"/>
                <w:color w:val="005CA9"/>
                <w:sz w:val="14"/>
                <w:szCs w:val="14"/>
              </w:rPr>
            </w:pPr>
            <w:r w:rsidRPr="005C31DE">
              <w:rPr>
                <w:rFonts w:ascii="CAIXA Std Book" w:hAnsi="CAIXA Std Book" w:cs="Calibri"/>
                <w:color w:val="005CA9"/>
                <w:sz w:val="14"/>
                <w:szCs w:val="14"/>
              </w:rPr>
              <w:t>7.197.704</w:t>
            </w:r>
          </w:p>
        </w:tc>
      </w:tr>
      <w:tr w:rsidR="001E7F0C" w:rsidRPr="00A64197" w14:paraId="32D8F008" w14:textId="77777777" w:rsidTr="009322CB">
        <w:trPr>
          <w:trHeight w:val="283"/>
          <w:jc w:val="center"/>
        </w:trPr>
        <w:tc>
          <w:tcPr>
            <w:tcW w:w="1037" w:type="pct"/>
            <w:tcBorders>
              <w:top w:val="nil"/>
              <w:left w:val="nil"/>
              <w:bottom w:val="single" w:sz="4" w:space="0" w:color="1F497D" w:themeColor="text2"/>
              <w:right w:val="nil"/>
            </w:tcBorders>
            <w:noWrap/>
            <w:vAlign w:val="center"/>
          </w:tcPr>
          <w:p w14:paraId="7BA40546" w14:textId="77777777" w:rsidR="001E7F0C" w:rsidRPr="00480973" w:rsidRDefault="001E7F0C">
            <w:pPr>
              <w:rPr>
                <w:rFonts w:ascii="CAIXA Std Book" w:eastAsia="Times New Roman" w:hAnsi="CAIXA Std Book" w:cs="Arial"/>
                <w:color w:val="005CA9"/>
                <w:sz w:val="14"/>
                <w:szCs w:val="14"/>
              </w:rPr>
            </w:pPr>
            <w:r w:rsidRPr="00480973">
              <w:rPr>
                <w:rFonts w:ascii="CAIXA Std Book" w:eastAsia="Times New Roman" w:hAnsi="CAIXA Std Book" w:cs="Arial"/>
                <w:color w:val="005CA9"/>
                <w:sz w:val="14"/>
                <w:szCs w:val="14"/>
              </w:rPr>
              <w:t>Prestadas</w:t>
            </w:r>
          </w:p>
        </w:tc>
        <w:tc>
          <w:tcPr>
            <w:tcW w:w="400" w:type="pct"/>
            <w:tcBorders>
              <w:top w:val="nil"/>
              <w:left w:val="nil"/>
              <w:bottom w:val="single" w:sz="4" w:space="0" w:color="1F497D" w:themeColor="text2"/>
              <w:right w:val="nil"/>
            </w:tcBorders>
            <w:noWrap/>
            <w:vAlign w:val="center"/>
          </w:tcPr>
          <w:p w14:paraId="5E6B5573" w14:textId="749C613A" w:rsidR="001E7F0C" w:rsidRPr="00480973" w:rsidRDefault="00480973" w:rsidP="00C144C2">
            <w:pPr>
              <w:ind w:firstLineChars="100" w:firstLine="140"/>
              <w:jc w:val="center"/>
              <w:rPr>
                <w:rFonts w:ascii="CAIXA Std Book" w:hAnsi="CAIXA Std Book" w:cs="Arial"/>
                <w:color w:val="005CA9"/>
                <w:sz w:val="14"/>
                <w:szCs w:val="14"/>
              </w:rPr>
            </w:pPr>
            <w:r w:rsidRPr="00480973">
              <w:rPr>
                <w:rFonts w:ascii="CAIXA Std Book" w:hAnsi="CAIXA Std Book" w:cs="Arial"/>
                <w:color w:val="005CA9"/>
                <w:sz w:val="14"/>
                <w:szCs w:val="14"/>
              </w:rPr>
              <w:t>-</w:t>
            </w:r>
          </w:p>
        </w:tc>
        <w:tc>
          <w:tcPr>
            <w:tcW w:w="328" w:type="pct"/>
            <w:tcBorders>
              <w:bottom w:val="single" w:sz="4" w:space="0" w:color="1F497D" w:themeColor="text2"/>
            </w:tcBorders>
            <w:vAlign w:val="center"/>
          </w:tcPr>
          <w:p w14:paraId="56BA02E7" w14:textId="2E4AEC8D" w:rsidR="001E7F0C" w:rsidRPr="00480973" w:rsidRDefault="00480973" w:rsidP="00C144C2">
            <w:pPr>
              <w:jc w:val="center"/>
              <w:rPr>
                <w:rFonts w:ascii="CAIXA Std Book" w:hAnsi="CAIXA Std Book" w:cs="Arial"/>
                <w:color w:val="005CA9"/>
                <w:sz w:val="14"/>
                <w:szCs w:val="14"/>
              </w:rPr>
            </w:pPr>
            <w:r w:rsidRPr="00480973">
              <w:rPr>
                <w:rFonts w:ascii="CAIXA Std Book" w:hAnsi="CAIXA Std Book" w:cs="Arial"/>
                <w:color w:val="005CA9"/>
                <w:sz w:val="14"/>
                <w:szCs w:val="14"/>
              </w:rPr>
              <w:t>-</w:t>
            </w:r>
          </w:p>
        </w:tc>
        <w:tc>
          <w:tcPr>
            <w:tcW w:w="325" w:type="pct"/>
            <w:tcBorders>
              <w:top w:val="nil"/>
              <w:left w:val="nil"/>
              <w:bottom w:val="single" w:sz="4" w:space="0" w:color="1F497D" w:themeColor="text2"/>
              <w:right w:val="nil"/>
            </w:tcBorders>
            <w:noWrap/>
            <w:vAlign w:val="center"/>
          </w:tcPr>
          <w:p w14:paraId="390E47DD" w14:textId="0B61A814" w:rsidR="001E7F0C" w:rsidRPr="00480973" w:rsidRDefault="00480973" w:rsidP="00C144C2">
            <w:pPr>
              <w:jc w:val="center"/>
              <w:rPr>
                <w:rFonts w:ascii="CAIXA Std Book" w:hAnsi="CAIXA Std Book" w:cs="Arial"/>
                <w:color w:val="005CA9"/>
                <w:sz w:val="14"/>
                <w:szCs w:val="14"/>
              </w:rPr>
            </w:pPr>
            <w:r w:rsidRPr="00480973">
              <w:rPr>
                <w:rFonts w:ascii="CAIXA Std Book" w:hAnsi="CAIXA Std Book" w:cs="Arial"/>
                <w:color w:val="005CA9"/>
                <w:sz w:val="14"/>
                <w:szCs w:val="14"/>
              </w:rPr>
              <w:t>-</w:t>
            </w:r>
          </w:p>
        </w:tc>
        <w:tc>
          <w:tcPr>
            <w:tcW w:w="328" w:type="pct"/>
            <w:tcBorders>
              <w:top w:val="nil"/>
              <w:left w:val="nil"/>
              <w:bottom w:val="single" w:sz="4" w:space="0" w:color="1F497D" w:themeColor="text2"/>
              <w:right w:val="nil"/>
            </w:tcBorders>
            <w:noWrap/>
            <w:vAlign w:val="center"/>
          </w:tcPr>
          <w:p w14:paraId="73E7AAFF" w14:textId="3C79CC5A" w:rsidR="001E7F0C" w:rsidRPr="00480973" w:rsidRDefault="00480973" w:rsidP="00C144C2">
            <w:pPr>
              <w:jc w:val="center"/>
              <w:rPr>
                <w:rFonts w:ascii="CAIXA Std Book" w:hAnsi="CAIXA Std Book" w:cs="Arial"/>
                <w:color w:val="005CA9"/>
                <w:sz w:val="14"/>
                <w:szCs w:val="14"/>
              </w:rPr>
            </w:pPr>
            <w:r w:rsidRPr="00480973">
              <w:rPr>
                <w:rFonts w:ascii="CAIXA Std Book" w:hAnsi="CAIXA Std Book" w:cs="Arial"/>
                <w:color w:val="005CA9"/>
                <w:sz w:val="14"/>
                <w:szCs w:val="14"/>
              </w:rPr>
              <w:t>-</w:t>
            </w:r>
          </w:p>
        </w:tc>
        <w:tc>
          <w:tcPr>
            <w:tcW w:w="227" w:type="pct"/>
            <w:tcBorders>
              <w:top w:val="nil"/>
              <w:left w:val="nil"/>
              <w:bottom w:val="single" w:sz="4" w:space="0" w:color="1F497D" w:themeColor="text2"/>
              <w:right w:val="nil"/>
            </w:tcBorders>
            <w:vAlign w:val="center"/>
          </w:tcPr>
          <w:p w14:paraId="1997DDF1" w14:textId="27A15E4E" w:rsidR="001E7F0C" w:rsidRPr="00480973" w:rsidRDefault="00480973" w:rsidP="00C144C2">
            <w:pPr>
              <w:jc w:val="center"/>
              <w:rPr>
                <w:rFonts w:ascii="CAIXA Std Book" w:hAnsi="CAIXA Std Book" w:cs="Arial"/>
                <w:color w:val="005CA9"/>
                <w:sz w:val="14"/>
                <w:szCs w:val="14"/>
              </w:rPr>
            </w:pPr>
            <w:r w:rsidRPr="00480973">
              <w:rPr>
                <w:rFonts w:ascii="CAIXA Std Book" w:hAnsi="CAIXA Std Book" w:cs="Arial"/>
                <w:color w:val="005CA9"/>
                <w:sz w:val="14"/>
                <w:szCs w:val="14"/>
              </w:rPr>
              <w:t>-</w:t>
            </w:r>
          </w:p>
        </w:tc>
        <w:tc>
          <w:tcPr>
            <w:tcW w:w="358" w:type="pct"/>
            <w:tcBorders>
              <w:top w:val="nil"/>
              <w:left w:val="nil"/>
              <w:bottom w:val="single" w:sz="4" w:space="0" w:color="1F497D" w:themeColor="text2"/>
              <w:right w:val="nil"/>
            </w:tcBorders>
            <w:vAlign w:val="center"/>
          </w:tcPr>
          <w:p w14:paraId="722A3034" w14:textId="74ABA65B" w:rsidR="001E7F0C" w:rsidRPr="00480973" w:rsidRDefault="00480973">
            <w:pPr>
              <w:jc w:val="right"/>
              <w:rPr>
                <w:rFonts w:ascii="CAIXA Std Book" w:hAnsi="CAIXA Std Book" w:cs="Arial"/>
                <w:color w:val="005CA9"/>
                <w:sz w:val="14"/>
                <w:szCs w:val="14"/>
              </w:rPr>
            </w:pPr>
            <w:r w:rsidRPr="00480973">
              <w:rPr>
                <w:rFonts w:ascii="CAIXA Std Book" w:hAnsi="CAIXA Std Book" w:cs="Arial"/>
                <w:color w:val="005CA9"/>
                <w:sz w:val="14"/>
                <w:szCs w:val="14"/>
              </w:rPr>
              <w:t>48.676.091</w:t>
            </w:r>
          </w:p>
        </w:tc>
        <w:tc>
          <w:tcPr>
            <w:tcW w:w="388" w:type="pct"/>
            <w:tcBorders>
              <w:top w:val="nil"/>
              <w:left w:val="nil"/>
              <w:bottom w:val="single" w:sz="4" w:space="0" w:color="1F497D" w:themeColor="text2"/>
              <w:right w:val="nil"/>
            </w:tcBorders>
            <w:vAlign w:val="center"/>
          </w:tcPr>
          <w:p w14:paraId="578829EF" w14:textId="77777777" w:rsidR="001E7F0C" w:rsidRPr="005C31DE" w:rsidRDefault="001E7F0C">
            <w:pPr>
              <w:jc w:val="center"/>
              <w:rPr>
                <w:rFonts w:ascii="CAIXA Std Book" w:eastAsia="Times New Roman" w:hAnsi="CAIXA Std Book" w:cs="Arial"/>
                <w:color w:val="005CA9"/>
                <w:sz w:val="14"/>
                <w:szCs w:val="14"/>
              </w:rPr>
            </w:pPr>
            <w:r w:rsidRPr="005C31DE">
              <w:rPr>
                <w:rFonts w:ascii="CAIXA Std Book" w:hAnsi="CAIXA Std Book" w:cs="Calibri"/>
                <w:color w:val="005CA9"/>
                <w:sz w:val="14"/>
                <w:szCs w:val="14"/>
              </w:rPr>
              <w:t>-</w:t>
            </w:r>
          </w:p>
        </w:tc>
        <w:tc>
          <w:tcPr>
            <w:tcW w:w="328" w:type="pct"/>
            <w:tcBorders>
              <w:top w:val="nil"/>
              <w:left w:val="nil"/>
              <w:bottom w:val="single" w:sz="4" w:space="0" w:color="1F497D" w:themeColor="text2"/>
              <w:right w:val="nil"/>
            </w:tcBorders>
            <w:vAlign w:val="center"/>
          </w:tcPr>
          <w:p w14:paraId="1DBD9729" w14:textId="77777777" w:rsidR="001E7F0C" w:rsidRPr="005C31DE" w:rsidRDefault="001E7F0C">
            <w:pPr>
              <w:ind w:firstLineChars="100" w:firstLine="140"/>
              <w:jc w:val="center"/>
              <w:rPr>
                <w:rFonts w:ascii="CAIXA Std Book" w:eastAsia="Times New Roman" w:hAnsi="CAIXA Std Book" w:cs="Arial"/>
                <w:color w:val="005CA9"/>
                <w:sz w:val="14"/>
                <w:szCs w:val="14"/>
              </w:rPr>
            </w:pPr>
            <w:r w:rsidRPr="005C31DE">
              <w:rPr>
                <w:rFonts w:ascii="CAIXA Std Book" w:hAnsi="CAIXA Std Book" w:cs="Calibri"/>
                <w:color w:val="005CA9"/>
                <w:sz w:val="14"/>
                <w:szCs w:val="14"/>
              </w:rPr>
              <w:t>-</w:t>
            </w:r>
          </w:p>
        </w:tc>
        <w:tc>
          <w:tcPr>
            <w:tcW w:w="325" w:type="pct"/>
            <w:tcBorders>
              <w:top w:val="nil"/>
              <w:left w:val="nil"/>
              <w:bottom w:val="single" w:sz="4" w:space="0" w:color="1F497D" w:themeColor="text2"/>
              <w:right w:val="nil"/>
            </w:tcBorders>
            <w:vAlign w:val="center"/>
          </w:tcPr>
          <w:p w14:paraId="0D5CB180" w14:textId="77777777" w:rsidR="001E7F0C" w:rsidRPr="005C31DE" w:rsidRDefault="001E7F0C">
            <w:pPr>
              <w:ind w:firstLineChars="100" w:firstLine="140"/>
              <w:jc w:val="center"/>
              <w:rPr>
                <w:rFonts w:ascii="CAIXA Std Book" w:eastAsia="Times New Roman" w:hAnsi="CAIXA Std Book" w:cs="Arial"/>
                <w:color w:val="005CA9"/>
                <w:sz w:val="14"/>
                <w:szCs w:val="14"/>
              </w:rPr>
            </w:pPr>
            <w:r w:rsidRPr="005C31DE">
              <w:rPr>
                <w:rFonts w:ascii="CAIXA Std Book" w:hAnsi="CAIXA Std Book" w:cs="Calibri"/>
                <w:color w:val="005CA9"/>
                <w:sz w:val="14"/>
                <w:szCs w:val="14"/>
              </w:rPr>
              <w:t>-</w:t>
            </w:r>
          </w:p>
        </w:tc>
        <w:tc>
          <w:tcPr>
            <w:tcW w:w="280" w:type="pct"/>
            <w:tcBorders>
              <w:top w:val="nil"/>
              <w:left w:val="nil"/>
              <w:bottom w:val="single" w:sz="4" w:space="0" w:color="1F497D" w:themeColor="text2"/>
              <w:right w:val="nil"/>
            </w:tcBorders>
            <w:vAlign w:val="center"/>
          </w:tcPr>
          <w:p w14:paraId="3812386B" w14:textId="77777777" w:rsidR="001E7F0C" w:rsidRPr="005C31DE" w:rsidRDefault="001E7F0C">
            <w:pPr>
              <w:jc w:val="center"/>
              <w:rPr>
                <w:rFonts w:ascii="CAIXA Std Book" w:eastAsia="Times New Roman" w:hAnsi="CAIXA Std Book" w:cs="Arial"/>
                <w:color w:val="005CA9"/>
                <w:sz w:val="14"/>
                <w:szCs w:val="14"/>
              </w:rPr>
            </w:pPr>
            <w:r w:rsidRPr="005C31DE">
              <w:rPr>
                <w:rFonts w:ascii="CAIXA Std Book" w:hAnsi="CAIXA Std Book" w:cs="Calibri"/>
                <w:color w:val="005CA9"/>
                <w:sz w:val="14"/>
                <w:szCs w:val="14"/>
              </w:rPr>
              <w:t>-</w:t>
            </w:r>
          </w:p>
        </w:tc>
        <w:tc>
          <w:tcPr>
            <w:tcW w:w="287" w:type="pct"/>
            <w:tcBorders>
              <w:top w:val="nil"/>
              <w:left w:val="nil"/>
              <w:bottom w:val="single" w:sz="4" w:space="0" w:color="1F497D" w:themeColor="text2"/>
              <w:right w:val="nil"/>
            </w:tcBorders>
            <w:vAlign w:val="center"/>
          </w:tcPr>
          <w:p w14:paraId="2E0B2E33" w14:textId="77777777" w:rsidR="001E7F0C" w:rsidRPr="005C31DE" w:rsidRDefault="001E7F0C">
            <w:pPr>
              <w:ind w:firstLineChars="100" w:firstLine="140"/>
              <w:jc w:val="center"/>
              <w:rPr>
                <w:rFonts w:ascii="CAIXA Std Book" w:eastAsia="Times New Roman" w:hAnsi="CAIXA Std Book" w:cs="Arial"/>
                <w:color w:val="005CA9"/>
                <w:sz w:val="14"/>
                <w:szCs w:val="14"/>
              </w:rPr>
            </w:pPr>
            <w:r w:rsidRPr="005C31DE">
              <w:rPr>
                <w:rFonts w:ascii="CAIXA Std Book" w:hAnsi="CAIXA Std Book" w:cs="Calibri"/>
                <w:color w:val="005CA9"/>
                <w:sz w:val="14"/>
                <w:szCs w:val="14"/>
              </w:rPr>
              <w:t>-</w:t>
            </w:r>
          </w:p>
        </w:tc>
        <w:tc>
          <w:tcPr>
            <w:tcW w:w="388" w:type="pct"/>
            <w:tcBorders>
              <w:top w:val="nil"/>
              <w:left w:val="nil"/>
              <w:bottom w:val="single" w:sz="4" w:space="0" w:color="1F497D" w:themeColor="text2"/>
              <w:right w:val="nil"/>
            </w:tcBorders>
            <w:noWrap/>
            <w:vAlign w:val="center"/>
          </w:tcPr>
          <w:p w14:paraId="7DF81F62" w14:textId="77777777" w:rsidR="001E7F0C" w:rsidRPr="005C31DE" w:rsidRDefault="001E7F0C">
            <w:pPr>
              <w:ind w:firstLineChars="100" w:firstLine="140"/>
              <w:jc w:val="right"/>
              <w:rPr>
                <w:rFonts w:ascii="CAIXA Std Book" w:eastAsia="Times New Roman" w:hAnsi="CAIXA Std Book" w:cs="Arial"/>
                <w:color w:val="005CA9"/>
                <w:sz w:val="14"/>
                <w:szCs w:val="14"/>
              </w:rPr>
            </w:pPr>
            <w:r w:rsidRPr="005C31DE">
              <w:rPr>
                <w:rFonts w:ascii="CAIXA Std Book" w:hAnsi="CAIXA Std Book" w:cs="Calibri"/>
                <w:color w:val="005CA9"/>
                <w:sz w:val="14"/>
                <w:szCs w:val="14"/>
              </w:rPr>
              <w:t>30.759.103</w:t>
            </w:r>
          </w:p>
        </w:tc>
      </w:tr>
    </w:tbl>
    <w:p w14:paraId="599DFE8E" w14:textId="3F404D01" w:rsidR="00A64197" w:rsidRPr="00FF197F" w:rsidRDefault="00B530A0" w:rsidP="00FF197F">
      <w:pPr>
        <w:spacing w:before="120" w:after="120"/>
        <w:jc w:val="both"/>
        <w:rPr>
          <w:rFonts w:ascii="CAIXA Std Book" w:hAnsi="CAIXA Std Book" w:cs="Cambria Math"/>
          <w:color w:val="005CA9"/>
          <w:sz w:val="19"/>
          <w:szCs w:val="19"/>
        </w:rPr>
      </w:pPr>
      <w:r w:rsidRPr="00D16B7B">
        <w:rPr>
          <w:rFonts w:ascii="CAIXA Std Book" w:hAnsi="CAIXA Std Book" w:cs="Cambria Math"/>
          <w:color w:val="005CA9"/>
          <w:sz w:val="19"/>
          <w:szCs w:val="19"/>
        </w:rPr>
        <w:br w:type="page"/>
      </w:r>
    </w:p>
    <w:tbl>
      <w:tblPr>
        <w:tblpPr w:leftFromText="141" w:rightFromText="141" w:vertAnchor="page" w:horzAnchor="margin" w:tblpXSpec="center" w:tblpY="2394"/>
        <w:tblW w:w="5000" w:type="pct"/>
        <w:jc w:val="center"/>
        <w:tblCellMar>
          <w:left w:w="70" w:type="dxa"/>
          <w:right w:w="70" w:type="dxa"/>
        </w:tblCellMar>
        <w:tblLook w:val="04A0" w:firstRow="1" w:lastRow="0" w:firstColumn="1" w:lastColumn="0" w:noHBand="0" w:noVBand="1"/>
      </w:tblPr>
      <w:tblGrid>
        <w:gridCol w:w="3116"/>
        <w:gridCol w:w="1170"/>
        <w:gridCol w:w="1143"/>
        <w:gridCol w:w="1142"/>
        <w:gridCol w:w="1142"/>
        <w:gridCol w:w="1145"/>
        <w:gridCol w:w="1142"/>
        <w:gridCol w:w="1142"/>
        <w:gridCol w:w="1142"/>
        <w:gridCol w:w="1142"/>
        <w:gridCol w:w="1145"/>
      </w:tblGrid>
      <w:tr w:rsidR="007E345B" w:rsidRPr="00A64197" w14:paraId="0EE178F0" w14:textId="77777777" w:rsidTr="00CD76BF">
        <w:trPr>
          <w:trHeight w:val="300"/>
          <w:jc w:val="center"/>
        </w:trPr>
        <w:tc>
          <w:tcPr>
            <w:tcW w:w="5000" w:type="pct"/>
            <w:gridSpan w:val="11"/>
            <w:tcBorders>
              <w:bottom w:val="single" w:sz="4" w:space="0" w:color="FFFFFF" w:themeColor="background1"/>
            </w:tcBorders>
            <w:shd w:val="clear" w:color="auto" w:fill="005CA9"/>
            <w:vAlign w:val="center"/>
          </w:tcPr>
          <w:p w14:paraId="3D98181A" w14:textId="77777777" w:rsidR="007E345B" w:rsidRPr="00D16B7B" w:rsidRDefault="007E345B">
            <w:pPr>
              <w:jc w:val="center"/>
              <w:rPr>
                <w:rFonts w:ascii="CAIXA Std Book" w:eastAsia="Times New Roman" w:hAnsi="CAIXA Std Book" w:cs="Calibri"/>
                <w:b/>
                <w:color w:val="FFFFFF"/>
                <w:sz w:val="14"/>
                <w:szCs w:val="14"/>
              </w:rPr>
            </w:pPr>
            <w:r w:rsidRPr="00D16B7B">
              <w:rPr>
                <w:rFonts w:ascii="CAIXA Std Book" w:eastAsia="Times New Roman" w:hAnsi="CAIXA Std Book" w:cs="Calibri"/>
                <w:b/>
                <w:color w:val="FFFFFF"/>
                <w:sz w:val="14"/>
                <w:szCs w:val="14"/>
              </w:rPr>
              <w:t>Consolidado</w:t>
            </w:r>
          </w:p>
        </w:tc>
      </w:tr>
      <w:tr w:rsidR="007E345B" w:rsidRPr="00A64197" w14:paraId="74DA7248" w14:textId="77777777" w:rsidTr="00CD76BF">
        <w:trPr>
          <w:trHeight w:val="300"/>
          <w:jc w:val="center"/>
        </w:trPr>
        <w:tc>
          <w:tcPr>
            <w:tcW w:w="1069" w:type="pct"/>
            <w:vMerge w:val="restart"/>
            <w:tcBorders>
              <w:top w:val="single" w:sz="4" w:space="0" w:color="FFFFFF" w:themeColor="background1"/>
              <w:left w:val="nil"/>
              <w:right w:val="nil"/>
            </w:tcBorders>
            <w:shd w:val="clear" w:color="auto" w:fill="005CA9"/>
            <w:vAlign w:val="center"/>
            <w:hideMark/>
          </w:tcPr>
          <w:p w14:paraId="7AE93A58" w14:textId="77777777" w:rsidR="007E345B" w:rsidRPr="00D16B7B" w:rsidRDefault="007E345B">
            <w:pPr>
              <w:jc w:val="center"/>
              <w:rPr>
                <w:rFonts w:ascii="CAIXA Std Book" w:eastAsia="Times New Roman" w:hAnsi="CAIXA Std Book" w:cs="Calibri"/>
                <w:b/>
                <w:color w:val="FFFFFF"/>
                <w:sz w:val="14"/>
                <w:szCs w:val="14"/>
              </w:rPr>
            </w:pPr>
            <w:r w:rsidRPr="00D16B7B">
              <w:rPr>
                <w:rFonts w:ascii="CAIXA Std Book" w:eastAsia="Times New Roman" w:hAnsi="CAIXA Std Book" w:cs="Calibri"/>
                <w:b/>
                <w:color w:val="FFFFFF"/>
                <w:sz w:val="14"/>
                <w:szCs w:val="14"/>
              </w:rPr>
              <w:t>Descrição</w:t>
            </w:r>
          </w:p>
        </w:tc>
        <w:tc>
          <w:tcPr>
            <w:tcW w:w="1970" w:type="pct"/>
            <w:gridSpan w:val="5"/>
            <w:tcBorders>
              <w:top w:val="single" w:sz="4" w:space="0" w:color="FFFFFF" w:themeColor="background1"/>
              <w:bottom w:val="single" w:sz="4" w:space="0" w:color="FFFFFF" w:themeColor="background1"/>
            </w:tcBorders>
            <w:shd w:val="clear" w:color="auto" w:fill="005CA9"/>
            <w:vAlign w:val="center"/>
          </w:tcPr>
          <w:p w14:paraId="607033C8" w14:textId="77777777" w:rsidR="007E345B" w:rsidRPr="00D16B7B" w:rsidRDefault="007E345B">
            <w:pPr>
              <w:jc w:val="center"/>
              <w:rPr>
                <w:rFonts w:ascii="CAIXA Std Book" w:eastAsia="Times New Roman" w:hAnsi="CAIXA Std Book" w:cs="Calibri"/>
                <w:b/>
                <w:color w:val="FFFFFF"/>
                <w:sz w:val="14"/>
                <w:szCs w:val="14"/>
              </w:rPr>
            </w:pPr>
            <w:r w:rsidRPr="00D16B7B">
              <w:rPr>
                <w:rFonts w:ascii="CAIXA Std Book" w:eastAsia="Times New Roman" w:hAnsi="CAIXA Std Book" w:cs="Arial"/>
                <w:b/>
                <w:color w:val="FFFFFF" w:themeColor="background1"/>
                <w:sz w:val="14"/>
                <w:szCs w:val="14"/>
              </w:rPr>
              <w:t>2026</w:t>
            </w:r>
          </w:p>
        </w:tc>
        <w:tc>
          <w:tcPr>
            <w:tcW w:w="1960" w:type="pct"/>
            <w:gridSpan w:val="5"/>
            <w:tcBorders>
              <w:top w:val="single" w:sz="4" w:space="0" w:color="FFFFFF" w:themeColor="background1"/>
              <w:bottom w:val="single" w:sz="4" w:space="0" w:color="FFFFFF" w:themeColor="background1"/>
            </w:tcBorders>
            <w:shd w:val="clear" w:color="auto" w:fill="005CA9"/>
            <w:vAlign w:val="center"/>
          </w:tcPr>
          <w:p w14:paraId="4B7F7C90" w14:textId="77777777" w:rsidR="007E345B" w:rsidRPr="00D16B7B" w:rsidRDefault="007E345B">
            <w:pPr>
              <w:jc w:val="center"/>
              <w:rPr>
                <w:rFonts w:ascii="CAIXA Std Book" w:eastAsia="Times New Roman" w:hAnsi="CAIXA Std Book" w:cs="Calibri"/>
                <w:b/>
                <w:color w:val="FFFFFF"/>
                <w:sz w:val="14"/>
                <w:szCs w:val="14"/>
              </w:rPr>
            </w:pPr>
            <w:r w:rsidRPr="00D16B7B">
              <w:rPr>
                <w:rFonts w:ascii="CAIXA Std Book" w:eastAsia="Times New Roman" w:hAnsi="CAIXA Std Book" w:cs="Arial"/>
                <w:b/>
                <w:color w:val="FFFFFF" w:themeColor="background1"/>
                <w:sz w:val="14"/>
                <w:szCs w:val="14"/>
              </w:rPr>
              <w:t>2025</w:t>
            </w:r>
          </w:p>
        </w:tc>
      </w:tr>
      <w:tr w:rsidR="007E345B" w:rsidRPr="00A64197" w14:paraId="2488AD8E" w14:textId="77777777" w:rsidTr="00CD76BF">
        <w:trPr>
          <w:trHeight w:val="300"/>
          <w:jc w:val="center"/>
        </w:trPr>
        <w:tc>
          <w:tcPr>
            <w:tcW w:w="1069" w:type="pct"/>
            <w:vMerge/>
            <w:tcBorders>
              <w:top w:val="single" w:sz="4" w:space="0" w:color="FFFFFF" w:themeColor="background1"/>
              <w:left w:val="nil"/>
              <w:right w:val="nil"/>
            </w:tcBorders>
            <w:shd w:val="clear" w:color="auto" w:fill="005CA9"/>
            <w:vAlign w:val="center"/>
          </w:tcPr>
          <w:p w14:paraId="7B5F296A" w14:textId="77777777" w:rsidR="007E345B" w:rsidRPr="00F2340E" w:rsidRDefault="007E345B">
            <w:pPr>
              <w:jc w:val="center"/>
              <w:rPr>
                <w:rFonts w:ascii="CAIXA Std Book" w:eastAsia="Times New Roman" w:hAnsi="CAIXA Std Book" w:cs="Calibri"/>
                <w:b/>
                <w:bCs/>
                <w:color w:val="FFFFFF"/>
                <w:sz w:val="14"/>
                <w:szCs w:val="14"/>
              </w:rPr>
            </w:pPr>
          </w:p>
        </w:tc>
        <w:tc>
          <w:tcPr>
            <w:tcW w:w="1970" w:type="pct"/>
            <w:gridSpan w:val="5"/>
            <w:tcBorders>
              <w:top w:val="single" w:sz="4" w:space="0" w:color="FFFFFF" w:themeColor="background1"/>
              <w:bottom w:val="single" w:sz="4" w:space="0" w:color="FFFFFF" w:themeColor="background1"/>
            </w:tcBorders>
            <w:shd w:val="clear" w:color="auto" w:fill="005CA9"/>
            <w:vAlign w:val="center"/>
          </w:tcPr>
          <w:p w14:paraId="0CC4D20E" w14:textId="77777777" w:rsidR="007E345B" w:rsidRPr="00D16B7B" w:rsidRDefault="007E345B">
            <w:pPr>
              <w:jc w:val="center"/>
              <w:rPr>
                <w:rFonts w:ascii="CAIXA Std Book" w:eastAsia="Times New Roman" w:hAnsi="CAIXA Std Book" w:cs="Arial"/>
                <w:b/>
                <w:color w:val="FFFFFF" w:themeColor="background1"/>
                <w:sz w:val="14"/>
                <w:szCs w:val="14"/>
              </w:rPr>
            </w:pPr>
            <w:r w:rsidRPr="00D16B7B">
              <w:rPr>
                <w:rFonts w:ascii="CAIXA Std Book" w:eastAsia="Times New Roman" w:hAnsi="CAIXA Std Book" w:cs="Arial"/>
                <w:b/>
                <w:color w:val="FFFFFF" w:themeColor="background1"/>
                <w:sz w:val="14"/>
                <w:szCs w:val="14"/>
              </w:rPr>
              <w:t>1º trimestre</w:t>
            </w:r>
          </w:p>
        </w:tc>
        <w:tc>
          <w:tcPr>
            <w:tcW w:w="1960" w:type="pct"/>
            <w:gridSpan w:val="5"/>
            <w:tcBorders>
              <w:top w:val="single" w:sz="4" w:space="0" w:color="FFFFFF" w:themeColor="background1"/>
              <w:bottom w:val="single" w:sz="4" w:space="0" w:color="FFFFFF" w:themeColor="background1"/>
            </w:tcBorders>
            <w:shd w:val="clear" w:color="auto" w:fill="005CA9"/>
            <w:vAlign w:val="center"/>
          </w:tcPr>
          <w:p w14:paraId="75BB1104" w14:textId="77777777" w:rsidR="007E345B" w:rsidRPr="00D16B7B" w:rsidRDefault="007E345B">
            <w:pPr>
              <w:jc w:val="center"/>
              <w:rPr>
                <w:rFonts w:ascii="CAIXA Std Book" w:eastAsia="Times New Roman" w:hAnsi="CAIXA Std Book" w:cs="Arial"/>
                <w:b/>
                <w:color w:val="FFFFFF" w:themeColor="background1"/>
                <w:sz w:val="14"/>
                <w:szCs w:val="14"/>
              </w:rPr>
            </w:pPr>
            <w:r w:rsidRPr="00D16B7B">
              <w:rPr>
                <w:rFonts w:ascii="CAIXA Std Book" w:eastAsia="Times New Roman" w:hAnsi="CAIXA Std Book" w:cs="Arial"/>
                <w:b/>
                <w:color w:val="FFFFFF" w:themeColor="background1"/>
                <w:sz w:val="14"/>
                <w:szCs w:val="14"/>
              </w:rPr>
              <w:t>1º trimestre</w:t>
            </w:r>
          </w:p>
        </w:tc>
      </w:tr>
      <w:tr w:rsidR="007E345B" w:rsidRPr="00A64197" w14:paraId="06208C76" w14:textId="77777777" w:rsidTr="00CD76BF">
        <w:trPr>
          <w:trHeight w:val="540"/>
          <w:jc w:val="center"/>
        </w:trPr>
        <w:tc>
          <w:tcPr>
            <w:tcW w:w="1069" w:type="pct"/>
            <w:vMerge/>
            <w:tcBorders>
              <w:top w:val="nil"/>
              <w:left w:val="nil"/>
              <w:bottom w:val="nil"/>
              <w:right w:val="nil"/>
            </w:tcBorders>
            <w:shd w:val="clear" w:color="auto" w:fill="005CA9"/>
            <w:vAlign w:val="center"/>
            <w:hideMark/>
          </w:tcPr>
          <w:p w14:paraId="2A76F807" w14:textId="77777777" w:rsidR="007E345B" w:rsidRPr="00F2340E" w:rsidRDefault="007E345B">
            <w:pPr>
              <w:jc w:val="right"/>
              <w:rPr>
                <w:rFonts w:ascii="CAIXA Std Book" w:eastAsia="Times New Roman" w:hAnsi="CAIXA Std Book" w:cs="Calibri"/>
                <w:b/>
                <w:color w:val="FFFFFF"/>
                <w:sz w:val="14"/>
                <w:szCs w:val="14"/>
              </w:rPr>
            </w:pPr>
          </w:p>
        </w:tc>
        <w:tc>
          <w:tcPr>
            <w:tcW w:w="401" w:type="pct"/>
            <w:tcBorders>
              <w:top w:val="single" w:sz="4" w:space="0" w:color="FFFFFF" w:themeColor="background1"/>
              <w:left w:val="nil"/>
              <w:right w:val="nil"/>
            </w:tcBorders>
            <w:shd w:val="clear" w:color="auto" w:fill="005CA9"/>
            <w:vAlign w:val="center"/>
            <w:hideMark/>
          </w:tcPr>
          <w:p w14:paraId="3115FD69" w14:textId="77777777" w:rsidR="007E345B" w:rsidRPr="00D16B7B" w:rsidRDefault="007E345B">
            <w:pPr>
              <w:jc w:val="center"/>
              <w:rPr>
                <w:rFonts w:ascii="CAIXA Std Book" w:eastAsia="Times New Roman" w:hAnsi="CAIXA Std Book" w:cs="Calibri"/>
                <w:b/>
                <w:color w:val="FFFFFF"/>
                <w:sz w:val="14"/>
                <w:szCs w:val="14"/>
              </w:rPr>
            </w:pPr>
            <w:r w:rsidRPr="00D16B7B">
              <w:rPr>
                <w:rFonts w:ascii="CAIXA Std Book" w:eastAsia="Times New Roman" w:hAnsi="CAIXA Std Book" w:cs="Arial"/>
                <w:b/>
                <w:color w:val="FFFFFF" w:themeColor="background1"/>
                <w:sz w:val="14"/>
                <w:szCs w:val="14"/>
              </w:rPr>
              <w:t>Controladora</w:t>
            </w:r>
          </w:p>
        </w:tc>
        <w:tc>
          <w:tcPr>
            <w:tcW w:w="392" w:type="pct"/>
            <w:tcBorders>
              <w:top w:val="single" w:sz="4" w:space="0" w:color="FFFFFF" w:themeColor="background1"/>
              <w:left w:val="nil"/>
              <w:right w:val="nil"/>
            </w:tcBorders>
            <w:shd w:val="clear" w:color="auto" w:fill="005CA9"/>
            <w:vAlign w:val="center"/>
            <w:hideMark/>
          </w:tcPr>
          <w:p w14:paraId="33A768F5" w14:textId="77777777" w:rsidR="007E345B" w:rsidRPr="00D16B7B" w:rsidRDefault="007E345B">
            <w:pPr>
              <w:jc w:val="center"/>
              <w:rPr>
                <w:rFonts w:ascii="CAIXA Std Book" w:eastAsia="Times New Roman" w:hAnsi="CAIXA Std Book" w:cs="Arial"/>
                <w:b/>
                <w:color w:val="FFFFFF" w:themeColor="background1"/>
                <w:sz w:val="14"/>
                <w:szCs w:val="14"/>
              </w:rPr>
            </w:pPr>
            <w:r w:rsidRPr="00D16B7B">
              <w:rPr>
                <w:rFonts w:ascii="CAIXA Std Book" w:eastAsia="Times New Roman" w:hAnsi="CAIXA Std Book" w:cs="Arial"/>
                <w:b/>
                <w:color w:val="FFFFFF" w:themeColor="background1"/>
                <w:sz w:val="14"/>
                <w:szCs w:val="14"/>
              </w:rPr>
              <w:t>Controladas</w:t>
            </w:r>
          </w:p>
          <w:p w14:paraId="3872413E" w14:textId="77777777" w:rsidR="007E345B" w:rsidRPr="00D16B7B" w:rsidRDefault="007E345B">
            <w:pPr>
              <w:jc w:val="center"/>
              <w:rPr>
                <w:rFonts w:ascii="CAIXA Std Book" w:eastAsia="Times New Roman" w:hAnsi="CAIXA Std Book" w:cs="Calibri"/>
                <w:b/>
                <w:color w:val="FFFFFF"/>
                <w:sz w:val="14"/>
                <w:szCs w:val="14"/>
              </w:rPr>
            </w:pPr>
            <w:r w:rsidRPr="00D16B7B">
              <w:rPr>
                <w:rFonts w:ascii="CAIXA Std Book" w:eastAsia="Times New Roman" w:hAnsi="CAIXA Std Book" w:cs="Arial"/>
                <w:b/>
                <w:color w:val="FFFFFF" w:themeColor="background1"/>
                <w:sz w:val="14"/>
                <w:szCs w:val="14"/>
              </w:rPr>
              <w:t>em conjunto</w:t>
            </w:r>
          </w:p>
        </w:tc>
        <w:tc>
          <w:tcPr>
            <w:tcW w:w="392" w:type="pct"/>
            <w:tcBorders>
              <w:top w:val="single" w:sz="4" w:space="0" w:color="FFFFFF" w:themeColor="background1"/>
              <w:left w:val="nil"/>
              <w:right w:val="nil"/>
            </w:tcBorders>
            <w:shd w:val="clear" w:color="auto" w:fill="005CA9"/>
            <w:vAlign w:val="center"/>
            <w:hideMark/>
          </w:tcPr>
          <w:p w14:paraId="123DB0E2" w14:textId="77777777" w:rsidR="007E345B" w:rsidRPr="00D16B7B" w:rsidRDefault="007E345B">
            <w:pPr>
              <w:jc w:val="center"/>
              <w:rPr>
                <w:rFonts w:ascii="CAIXA Std Book" w:eastAsia="Times New Roman" w:hAnsi="CAIXA Std Book" w:cs="Calibri"/>
                <w:b/>
                <w:color w:val="FFFFFF"/>
                <w:sz w:val="14"/>
                <w:szCs w:val="14"/>
              </w:rPr>
            </w:pPr>
            <w:r w:rsidRPr="00D16B7B">
              <w:rPr>
                <w:rFonts w:ascii="CAIXA Std Book" w:eastAsia="Times New Roman" w:hAnsi="CAIXA Std Book" w:cs="Arial"/>
                <w:b/>
                <w:color w:val="FFFFFF" w:themeColor="background1"/>
                <w:sz w:val="14"/>
                <w:szCs w:val="14"/>
              </w:rPr>
              <w:t>Coligada</w:t>
            </w:r>
          </w:p>
        </w:tc>
        <w:tc>
          <w:tcPr>
            <w:tcW w:w="392" w:type="pct"/>
            <w:tcBorders>
              <w:top w:val="single" w:sz="4" w:space="0" w:color="FFFFFF" w:themeColor="background1"/>
              <w:left w:val="nil"/>
              <w:right w:val="nil"/>
            </w:tcBorders>
            <w:shd w:val="clear" w:color="auto" w:fill="005CA9"/>
            <w:vAlign w:val="center"/>
          </w:tcPr>
          <w:p w14:paraId="63B77AE8" w14:textId="77777777" w:rsidR="007E345B" w:rsidRPr="00D16B7B" w:rsidRDefault="007E345B">
            <w:pPr>
              <w:jc w:val="center"/>
              <w:rPr>
                <w:rFonts w:ascii="CAIXA Std Book" w:eastAsia="Times New Roman" w:hAnsi="CAIXA Std Book" w:cs="Arial"/>
                <w:b/>
                <w:color w:val="FFFFFF" w:themeColor="background1"/>
                <w:sz w:val="14"/>
                <w:szCs w:val="14"/>
              </w:rPr>
            </w:pPr>
            <w:r w:rsidRPr="00D16B7B">
              <w:rPr>
                <w:rFonts w:ascii="CAIXA Std Book" w:eastAsia="Times New Roman" w:hAnsi="CAIXA Std Book" w:cs="Arial"/>
                <w:b/>
                <w:color w:val="FFFFFF" w:themeColor="background1"/>
                <w:sz w:val="14"/>
                <w:szCs w:val="14"/>
              </w:rPr>
              <w:t>Pessoal chave</w:t>
            </w:r>
          </w:p>
        </w:tc>
        <w:tc>
          <w:tcPr>
            <w:tcW w:w="393" w:type="pct"/>
            <w:tcBorders>
              <w:top w:val="single" w:sz="4" w:space="0" w:color="FFFFFF" w:themeColor="background1"/>
              <w:left w:val="nil"/>
              <w:right w:val="nil"/>
            </w:tcBorders>
            <w:shd w:val="clear" w:color="auto" w:fill="005CA9"/>
            <w:vAlign w:val="center"/>
            <w:hideMark/>
          </w:tcPr>
          <w:p w14:paraId="10F307F3" w14:textId="77777777" w:rsidR="007E345B" w:rsidRPr="00D16B7B" w:rsidRDefault="007E345B">
            <w:pPr>
              <w:jc w:val="center"/>
              <w:rPr>
                <w:rFonts w:ascii="CAIXA Std Book" w:eastAsia="Times New Roman" w:hAnsi="CAIXA Std Book" w:cs="Arial"/>
                <w:b/>
                <w:color w:val="FFFFFF" w:themeColor="background1"/>
                <w:sz w:val="14"/>
                <w:szCs w:val="14"/>
              </w:rPr>
            </w:pPr>
            <w:r w:rsidRPr="00D16B7B">
              <w:rPr>
                <w:rFonts w:ascii="CAIXA Std Book" w:eastAsia="Times New Roman" w:hAnsi="CAIXA Std Book" w:cs="Arial"/>
                <w:b/>
                <w:color w:val="FFFFFF" w:themeColor="background1"/>
                <w:sz w:val="14"/>
                <w:szCs w:val="14"/>
              </w:rPr>
              <w:t>Outras</w:t>
            </w:r>
          </w:p>
          <w:p w14:paraId="5684BDCF" w14:textId="77777777" w:rsidR="007E345B" w:rsidRPr="00D16B7B" w:rsidRDefault="007E345B">
            <w:pPr>
              <w:jc w:val="center"/>
              <w:rPr>
                <w:rFonts w:ascii="CAIXA Std Book" w:eastAsia="Times New Roman" w:hAnsi="CAIXA Std Book" w:cs="Calibri"/>
                <w:b/>
                <w:color w:val="FFFFFF"/>
                <w:sz w:val="14"/>
                <w:szCs w:val="14"/>
              </w:rPr>
            </w:pPr>
            <w:r w:rsidRPr="00D16B7B">
              <w:rPr>
                <w:rFonts w:ascii="CAIXA Std Book" w:eastAsia="Times New Roman" w:hAnsi="CAIXA Std Book" w:cs="Arial"/>
                <w:b/>
                <w:color w:val="FFFFFF" w:themeColor="background1"/>
                <w:sz w:val="14"/>
                <w:szCs w:val="14"/>
              </w:rPr>
              <w:t>entidades</w:t>
            </w:r>
          </w:p>
        </w:tc>
        <w:tc>
          <w:tcPr>
            <w:tcW w:w="392" w:type="pct"/>
            <w:tcBorders>
              <w:top w:val="single" w:sz="4" w:space="0" w:color="FFFFFF" w:themeColor="background1"/>
              <w:left w:val="nil"/>
              <w:right w:val="nil"/>
            </w:tcBorders>
            <w:shd w:val="clear" w:color="auto" w:fill="005CA9"/>
            <w:vAlign w:val="center"/>
            <w:hideMark/>
          </w:tcPr>
          <w:p w14:paraId="3D728172" w14:textId="77777777" w:rsidR="007E345B" w:rsidRPr="00D16B7B" w:rsidRDefault="007E345B">
            <w:pPr>
              <w:jc w:val="center"/>
              <w:rPr>
                <w:rFonts w:ascii="CAIXA Std Book" w:eastAsia="Times New Roman" w:hAnsi="CAIXA Std Book" w:cs="Calibri"/>
                <w:b/>
                <w:color w:val="FFFFFF"/>
                <w:sz w:val="14"/>
                <w:szCs w:val="14"/>
              </w:rPr>
            </w:pPr>
            <w:r w:rsidRPr="00D16B7B">
              <w:rPr>
                <w:rFonts w:ascii="CAIXA Std Book" w:eastAsia="Times New Roman" w:hAnsi="CAIXA Std Book" w:cs="Arial"/>
                <w:b/>
                <w:color w:val="FFFFFF" w:themeColor="background1"/>
                <w:sz w:val="14"/>
                <w:szCs w:val="14"/>
              </w:rPr>
              <w:t>Controladora</w:t>
            </w:r>
          </w:p>
        </w:tc>
        <w:tc>
          <w:tcPr>
            <w:tcW w:w="392" w:type="pct"/>
            <w:tcBorders>
              <w:top w:val="single" w:sz="4" w:space="0" w:color="FFFFFF" w:themeColor="background1"/>
              <w:left w:val="nil"/>
              <w:right w:val="nil"/>
            </w:tcBorders>
            <w:shd w:val="clear" w:color="auto" w:fill="005CA9"/>
            <w:vAlign w:val="center"/>
            <w:hideMark/>
          </w:tcPr>
          <w:p w14:paraId="6CDCC4AF" w14:textId="77777777" w:rsidR="007E345B" w:rsidRPr="00D16B7B" w:rsidRDefault="007E345B">
            <w:pPr>
              <w:jc w:val="center"/>
              <w:rPr>
                <w:rFonts w:ascii="CAIXA Std Book" w:eastAsia="Times New Roman" w:hAnsi="CAIXA Std Book" w:cs="Arial"/>
                <w:b/>
                <w:color w:val="FFFFFF" w:themeColor="background1"/>
                <w:sz w:val="14"/>
                <w:szCs w:val="14"/>
              </w:rPr>
            </w:pPr>
            <w:r w:rsidRPr="00D16B7B">
              <w:rPr>
                <w:rFonts w:ascii="CAIXA Std Book" w:eastAsia="Times New Roman" w:hAnsi="CAIXA Std Book" w:cs="Arial"/>
                <w:b/>
                <w:color w:val="FFFFFF" w:themeColor="background1"/>
                <w:sz w:val="14"/>
                <w:szCs w:val="14"/>
              </w:rPr>
              <w:t>Controladas</w:t>
            </w:r>
          </w:p>
          <w:p w14:paraId="6C725858" w14:textId="77777777" w:rsidR="007E345B" w:rsidRPr="00D16B7B" w:rsidRDefault="007E345B">
            <w:pPr>
              <w:jc w:val="center"/>
              <w:rPr>
                <w:rFonts w:ascii="CAIXA Std Book" w:eastAsia="Times New Roman" w:hAnsi="CAIXA Std Book" w:cs="Calibri"/>
                <w:b/>
                <w:color w:val="FFFFFF"/>
                <w:sz w:val="14"/>
                <w:szCs w:val="14"/>
              </w:rPr>
            </w:pPr>
            <w:r w:rsidRPr="00D16B7B">
              <w:rPr>
                <w:rFonts w:ascii="CAIXA Std Book" w:eastAsia="Times New Roman" w:hAnsi="CAIXA Std Book" w:cs="Arial"/>
                <w:b/>
                <w:color w:val="FFFFFF" w:themeColor="background1"/>
                <w:sz w:val="14"/>
                <w:szCs w:val="14"/>
              </w:rPr>
              <w:t>em conjunto</w:t>
            </w:r>
          </w:p>
        </w:tc>
        <w:tc>
          <w:tcPr>
            <w:tcW w:w="392" w:type="pct"/>
            <w:tcBorders>
              <w:top w:val="single" w:sz="4" w:space="0" w:color="FFFFFF" w:themeColor="background1"/>
              <w:left w:val="nil"/>
              <w:right w:val="nil"/>
            </w:tcBorders>
            <w:shd w:val="clear" w:color="auto" w:fill="005CA9"/>
            <w:vAlign w:val="center"/>
            <w:hideMark/>
          </w:tcPr>
          <w:p w14:paraId="79B42206" w14:textId="77777777" w:rsidR="007E345B" w:rsidRPr="00D16B7B" w:rsidRDefault="007E345B">
            <w:pPr>
              <w:jc w:val="center"/>
              <w:rPr>
                <w:rFonts w:ascii="CAIXA Std Book" w:eastAsia="Times New Roman" w:hAnsi="CAIXA Std Book" w:cs="Calibri"/>
                <w:b/>
                <w:color w:val="FFFFFF"/>
                <w:sz w:val="14"/>
                <w:szCs w:val="14"/>
              </w:rPr>
            </w:pPr>
            <w:r w:rsidRPr="00D16B7B">
              <w:rPr>
                <w:rFonts w:ascii="CAIXA Std Book" w:eastAsia="Times New Roman" w:hAnsi="CAIXA Std Book" w:cs="Arial"/>
                <w:b/>
                <w:color w:val="FFFFFF" w:themeColor="background1"/>
                <w:sz w:val="14"/>
                <w:szCs w:val="14"/>
              </w:rPr>
              <w:t>Coligada</w:t>
            </w:r>
          </w:p>
        </w:tc>
        <w:tc>
          <w:tcPr>
            <w:tcW w:w="392" w:type="pct"/>
            <w:tcBorders>
              <w:top w:val="single" w:sz="4" w:space="0" w:color="FFFFFF" w:themeColor="background1"/>
              <w:left w:val="nil"/>
              <w:right w:val="nil"/>
            </w:tcBorders>
            <w:shd w:val="clear" w:color="auto" w:fill="005CA9"/>
            <w:vAlign w:val="center"/>
          </w:tcPr>
          <w:p w14:paraId="0E8A3C57" w14:textId="77777777" w:rsidR="007E345B" w:rsidRPr="00D16B7B" w:rsidRDefault="007E345B">
            <w:pPr>
              <w:jc w:val="center"/>
              <w:rPr>
                <w:rFonts w:ascii="CAIXA Std Book" w:eastAsia="Times New Roman" w:hAnsi="CAIXA Std Book" w:cs="Arial"/>
                <w:b/>
                <w:color w:val="FFFFFF" w:themeColor="background1"/>
                <w:sz w:val="14"/>
                <w:szCs w:val="14"/>
              </w:rPr>
            </w:pPr>
            <w:r w:rsidRPr="00D16B7B">
              <w:rPr>
                <w:rFonts w:ascii="CAIXA Std Book" w:eastAsia="Times New Roman" w:hAnsi="CAIXA Std Book" w:cs="Arial"/>
                <w:b/>
                <w:color w:val="FFFFFF" w:themeColor="background1"/>
                <w:sz w:val="14"/>
                <w:szCs w:val="14"/>
              </w:rPr>
              <w:t>Pessoal chave</w:t>
            </w:r>
          </w:p>
        </w:tc>
        <w:tc>
          <w:tcPr>
            <w:tcW w:w="393" w:type="pct"/>
            <w:tcBorders>
              <w:top w:val="single" w:sz="4" w:space="0" w:color="FFFFFF" w:themeColor="background1"/>
              <w:left w:val="nil"/>
              <w:bottom w:val="nil"/>
              <w:right w:val="nil"/>
            </w:tcBorders>
            <w:shd w:val="clear" w:color="auto" w:fill="005CA9"/>
            <w:vAlign w:val="center"/>
            <w:hideMark/>
          </w:tcPr>
          <w:p w14:paraId="68398854" w14:textId="77777777" w:rsidR="007E345B" w:rsidRPr="00D16B7B" w:rsidRDefault="007E345B">
            <w:pPr>
              <w:jc w:val="center"/>
              <w:rPr>
                <w:rFonts w:ascii="CAIXA Std Book" w:eastAsia="Times New Roman" w:hAnsi="CAIXA Std Book" w:cs="Arial"/>
                <w:b/>
                <w:color w:val="FFFFFF" w:themeColor="background1"/>
                <w:sz w:val="14"/>
                <w:szCs w:val="14"/>
              </w:rPr>
            </w:pPr>
            <w:r w:rsidRPr="00D16B7B">
              <w:rPr>
                <w:rFonts w:ascii="CAIXA Std Book" w:eastAsia="Times New Roman" w:hAnsi="CAIXA Std Book" w:cs="Arial"/>
                <w:b/>
                <w:color w:val="FFFFFF" w:themeColor="background1"/>
                <w:sz w:val="14"/>
                <w:szCs w:val="14"/>
              </w:rPr>
              <w:t>Outras</w:t>
            </w:r>
          </w:p>
          <w:p w14:paraId="022FFD99" w14:textId="77777777" w:rsidR="007E345B" w:rsidRPr="00D16B7B" w:rsidRDefault="007E345B">
            <w:pPr>
              <w:jc w:val="center"/>
              <w:rPr>
                <w:rFonts w:ascii="CAIXA Std Book" w:eastAsia="Times New Roman" w:hAnsi="CAIXA Std Book" w:cs="Calibri"/>
                <w:b/>
                <w:color w:val="FFFFFF"/>
                <w:sz w:val="14"/>
                <w:szCs w:val="14"/>
              </w:rPr>
            </w:pPr>
            <w:r w:rsidRPr="00D16B7B">
              <w:rPr>
                <w:rFonts w:ascii="CAIXA Std Book" w:eastAsia="Times New Roman" w:hAnsi="CAIXA Std Book" w:cs="Arial"/>
                <w:b/>
                <w:color w:val="FFFFFF" w:themeColor="background1"/>
                <w:sz w:val="14"/>
                <w:szCs w:val="14"/>
              </w:rPr>
              <w:t>entidades</w:t>
            </w:r>
          </w:p>
        </w:tc>
      </w:tr>
      <w:tr w:rsidR="007E345B" w:rsidRPr="00A64197" w14:paraId="7EA2186F" w14:textId="77777777" w:rsidTr="00CD76BF">
        <w:trPr>
          <w:trHeight w:val="300"/>
          <w:jc w:val="center"/>
        </w:trPr>
        <w:tc>
          <w:tcPr>
            <w:tcW w:w="1069" w:type="pct"/>
            <w:tcBorders>
              <w:top w:val="nil"/>
              <w:left w:val="nil"/>
              <w:bottom w:val="nil"/>
              <w:right w:val="nil"/>
            </w:tcBorders>
            <w:shd w:val="clear" w:color="auto" w:fill="D0DFE3"/>
            <w:noWrap/>
            <w:vAlign w:val="center"/>
          </w:tcPr>
          <w:p w14:paraId="29B92EFD" w14:textId="77777777" w:rsidR="007E345B" w:rsidRPr="00F2340E" w:rsidRDefault="007E345B">
            <w:pPr>
              <w:rPr>
                <w:rFonts w:ascii="CAIXA Std Book" w:eastAsia="Times New Roman" w:hAnsi="CAIXA Std Book" w:cs="Arial"/>
                <w:b/>
                <w:color w:val="005CA9"/>
                <w:sz w:val="14"/>
                <w:szCs w:val="14"/>
              </w:rPr>
            </w:pPr>
            <w:r w:rsidRPr="00F2340E">
              <w:rPr>
                <w:rFonts w:ascii="CAIXA Std Book" w:eastAsia="Times New Roman" w:hAnsi="CAIXA Std Book" w:cs="Arial"/>
                <w:b/>
                <w:color w:val="005CA9"/>
                <w:sz w:val="14"/>
                <w:szCs w:val="14"/>
              </w:rPr>
              <w:t>Ativo</w:t>
            </w:r>
          </w:p>
        </w:tc>
        <w:tc>
          <w:tcPr>
            <w:tcW w:w="401" w:type="pct"/>
            <w:tcBorders>
              <w:left w:val="nil"/>
              <w:bottom w:val="nil"/>
              <w:right w:val="nil"/>
            </w:tcBorders>
            <w:shd w:val="clear" w:color="auto" w:fill="D0DFE3"/>
            <w:noWrap/>
            <w:vAlign w:val="center"/>
          </w:tcPr>
          <w:p w14:paraId="404C5925" w14:textId="4084A015" w:rsidR="007E345B" w:rsidRPr="00F2340E" w:rsidRDefault="00D04AD7">
            <w:pPr>
              <w:jc w:val="right"/>
              <w:rPr>
                <w:rFonts w:ascii="CAIXA Std Book" w:eastAsia="Times New Roman" w:hAnsi="CAIXA Std Book" w:cs="Arial"/>
                <w:b/>
                <w:color w:val="005CA9"/>
                <w:sz w:val="14"/>
                <w:szCs w:val="14"/>
              </w:rPr>
            </w:pPr>
            <w:r w:rsidRPr="00D04AD7">
              <w:rPr>
                <w:rFonts w:ascii="CAIXA Std Book" w:hAnsi="CAIXA Std Book" w:cs="Arial"/>
                <w:b/>
                <w:bCs/>
                <w:color w:val="005CA9"/>
                <w:sz w:val="14"/>
                <w:szCs w:val="14"/>
              </w:rPr>
              <w:t>487.310.987</w:t>
            </w:r>
          </w:p>
        </w:tc>
        <w:tc>
          <w:tcPr>
            <w:tcW w:w="392" w:type="pct"/>
            <w:tcBorders>
              <w:left w:val="nil"/>
              <w:bottom w:val="nil"/>
              <w:right w:val="nil"/>
            </w:tcBorders>
            <w:shd w:val="clear" w:color="auto" w:fill="D0DFE3"/>
            <w:noWrap/>
            <w:vAlign w:val="center"/>
          </w:tcPr>
          <w:p w14:paraId="4C04C8B4" w14:textId="3AFE13A1" w:rsidR="007E345B" w:rsidRPr="00F2340E" w:rsidRDefault="00D04AD7" w:rsidP="00D04AD7">
            <w:pPr>
              <w:ind w:firstLineChars="100" w:firstLine="140"/>
              <w:jc w:val="right"/>
              <w:rPr>
                <w:rFonts w:ascii="CAIXA Std Book" w:eastAsia="Times New Roman" w:hAnsi="CAIXA Std Book" w:cs="Arial"/>
                <w:b/>
                <w:color w:val="005CA9"/>
                <w:sz w:val="14"/>
                <w:szCs w:val="14"/>
              </w:rPr>
            </w:pPr>
            <w:r w:rsidRPr="00D04AD7">
              <w:rPr>
                <w:rFonts w:ascii="CAIXA Std Book" w:hAnsi="CAIXA Std Book" w:cs="Arial"/>
                <w:b/>
                <w:bCs/>
                <w:color w:val="005CA9"/>
                <w:sz w:val="14"/>
                <w:szCs w:val="14"/>
              </w:rPr>
              <w:t>368.600</w:t>
            </w:r>
          </w:p>
        </w:tc>
        <w:tc>
          <w:tcPr>
            <w:tcW w:w="392" w:type="pct"/>
            <w:tcBorders>
              <w:left w:val="nil"/>
              <w:bottom w:val="nil"/>
              <w:right w:val="nil"/>
            </w:tcBorders>
            <w:shd w:val="clear" w:color="auto" w:fill="D0DFE3"/>
            <w:noWrap/>
            <w:vAlign w:val="center"/>
          </w:tcPr>
          <w:p w14:paraId="6E9484E5" w14:textId="4043E4B3" w:rsidR="007E345B" w:rsidRPr="00F2340E" w:rsidRDefault="00D04AD7" w:rsidP="00D04AD7">
            <w:pPr>
              <w:ind w:firstLineChars="100" w:firstLine="140"/>
              <w:jc w:val="right"/>
              <w:rPr>
                <w:rFonts w:ascii="CAIXA Std Book" w:eastAsia="Times New Roman" w:hAnsi="CAIXA Std Book" w:cs="Arial"/>
                <w:b/>
                <w:color w:val="005CA9"/>
                <w:sz w:val="14"/>
                <w:szCs w:val="14"/>
              </w:rPr>
            </w:pPr>
            <w:r w:rsidRPr="00D04AD7">
              <w:rPr>
                <w:rFonts w:ascii="CAIXA Std Book" w:hAnsi="CAIXA Std Book" w:cs="Arial"/>
                <w:b/>
                <w:bCs/>
                <w:color w:val="005CA9"/>
                <w:sz w:val="14"/>
                <w:szCs w:val="14"/>
              </w:rPr>
              <w:t>1.514.074</w:t>
            </w:r>
          </w:p>
        </w:tc>
        <w:tc>
          <w:tcPr>
            <w:tcW w:w="392" w:type="pct"/>
            <w:tcBorders>
              <w:left w:val="nil"/>
              <w:bottom w:val="nil"/>
              <w:right w:val="nil"/>
            </w:tcBorders>
            <w:shd w:val="clear" w:color="auto" w:fill="D0DFE3"/>
            <w:vAlign w:val="center"/>
          </w:tcPr>
          <w:p w14:paraId="52BB276C" w14:textId="07A97F5F" w:rsidR="007E345B" w:rsidRPr="00F2340E" w:rsidRDefault="00D04AD7" w:rsidP="00D04AD7">
            <w:pPr>
              <w:ind w:firstLineChars="100" w:firstLine="140"/>
              <w:jc w:val="right"/>
              <w:rPr>
                <w:rFonts w:ascii="CAIXA Std Book" w:eastAsia="Times New Roman" w:hAnsi="CAIXA Std Book" w:cs="Arial"/>
                <w:b/>
                <w:color w:val="005CA9"/>
                <w:sz w:val="14"/>
                <w:szCs w:val="14"/>
              </w:rPr>
            </w:pPr>
            <w:r w:rsidRPr="00D04AD7">
              <w:rPr>
                <w:rFonts w:ascii="CAIXA Std Book" w:hAnsi="CAIXA Std Book" w:cs="Arial"/>
                <w:b/>
                <w:bCs/>
                <w:color w:val="005CA9"/>
                <w:sz w:val="14"/>
                <w:szCs w:val="14"/>
              </w:rPr>
              <w:t>3.437</w:t>
            </w:r>
          </w:p>
        </w:tc>
        <w:tc>
          <w:tcPr>
            <w:tcW w:w="393" w:type="pct"/>
            <w:tcBorders>
              <w:left w:val="nil"/>
              <w:bottom w:val="nil"/>
              <w:right w:val="nil"/>
            </w:tcBorders>
            <w:shd w:val="clear" w:color="auto" w:fill="D0DFE3"/>
            <w:vAlign w:val="center"/>
          </w:tcPr>
          <w:p w14:paraId="70E4392A" w14:textId="0C8818E9" w:rsidR="007E345B" w:rsidRPr="00F2340E" w:rsidRDefault="00D04AD7" w:rsidP="00D04AD7">
            <w:pPr>
              <w:ind w:firstLineChars="100" w:firstLine="140"/>
              <w:jc w:val="right"/>
              <w:rPr>
                <w:rFonts w:ascii="CAIXA Std Book" w:eastAsia="Times New Roman" w:hAnsi="CAIXA Std Book" w:cs="Arial"/>
                <w:b/>
                <w:color w:val="005CA9"/>
                <w:sz w:val="14"/>
                <w:szCs w:val="14"/>
              </w:rPr>
            </w:pPr>
            <w:r w:rsidRPr="00D04AD7">
              <w:rPr>
                <w:rFonts w:ascii="CAIXA Std Book" w:hAnsi="CAIXA Std Book" w:cs="Arial"/>
                <w:b/>
                <w:bCs/>
                <w:color w:val="005CA9"/>
                <w:sz w:val="14"/>
                <w:szCs w:val="14"/>
              </w:rPr>
              <w:t>70.761.391</w:t>
            </w:r>
          </w:p>
        </w:tc>
        <w:tc>
          <w:tcPr>
            <w:tcW w:w="392" w:type="pct"/>
            <w:tcBorders>
              <w:left w:val="nil"/>
              <w:bottom w:val="nil"/>
              <w:right w:val="nil"/>
            </w:tcBorders>
            <w:shd w:val="clear" w:color="auto" w:fill="D0DFE3"/>
            <w:vAlign w:val="center"/>
          </w:tcPr>
          <w:p w14:paraId="7E7205C7" w14:textId="7C8D02CB" w:rsidR="007E345B" w:rsidRPr="003104FE" w:rsidRDefault="007E345B">
            <w:pPr>
              <w:ind w:firstLineChars="100" w:firstLine="140"/>
              <w:jc w:val="right"/>
              <w:rPr>
                <w:rFonts w:ascii="CAIXA Std Book" w:eastAsia="Times New Roman" w:hAnsi="CAIXA Std Book" w:cs="Arial"/>
                <w:b/>
                <w:color w:val="005CA9"/>
                <w:sz w:val="14"/>
                <w:szCs w:val="14"/>
              </w:rPr>
            </w:pPr>
            <w:r w:rsidRPr="003104FE">
              <w:rPr>
                <w:rFonts w:ascii="CAIXA Std Book" w:hAnsi="CAIXA Std Book" w:cs="Calibri"/>
                <w:b/>
                <w:bCs/>
                <w:color w:val="005CA9"/>
                <w:sz w:val="14"/>
                <w:szCs w:val="14"/>
              </w:rPr>
              <w:t>545.282.425</w:t>
            </w:r>
          </w:p>
        </w:tc>
        <w:tc>
          <w:tcPr>
            <w:tcW w:w="392" w:type="pct"/>
            <w:tcBorders>
              <w:left w:val="nil"/>
              <w:bottom w:val="nil"/>
              <w:right w:val="nil"/>
            </w:tcBorders>
            <w:shd w:val="clear" w:color="auto" w:fill="D0DFE3"/>
            <w:vAlign w:val="center"/>
          </w:tcPr>
          <w:p w14:paraId="77549781" w14:textId="503D3F43" w:rsidR="007E345B" w:rsidRPr="003104FE" w:rsidRDefault="007E345B">
            <w:pPr>
              <w:ind w:firstLineChars="100" w:firstLine="140"/>
              <w:jc w:val="right"/>
              <w:rPr>
                <w:rFonts w:ascii="CAIXA Std Book" w:eastAsia="Times New Roman" w:hAnsi="CAIXA Std Book" w:cs="Arial"/>
                <w:b/>
                <w:color w:val="005CA9"/>
                <w:sz w:val="14"/>
                <w:szCs w:val="14"/>
              </w:rPr>
            </w:pPr>
            <w:r w:rsidRPr="003104FE">
              <w:rPr>
                <w:rFonts w:ascii="CAIXA Std Book" w:hAnsi="CAIXA Std Book" w:cs="Calibri"/>
                <w:b/>
                <w:bCs/>
                <w:color w:val="005CA9"/>
                <w:sz w:val="14"/>
                <w:szCs w:val="14"/>
              </w:rPr>
              <w:t>165.440</w:t>
            </w:r>
          </w:p>
        </w:tc>
        <w:tc>
          <w:tcPr>
            <w:tcW w:w="392" w:type="pct"/>
            <w:tcBorders>
              <w:left w:val="nil"/>
              <w:bottom w:val="nil"/>
              <w:right w:val="nil"/>
            </w:tcBorders>
            <w:shd w:val="clear" w:color="auto" w:fill="D0DFE3"/>
            <w:vAlign w:val="center"/>
          </w:tcPr>
          <w:p w14:paraId="03452594" w14:textId="10042AD4" w:rsidR="007E345B" w:rsidRPr="003104FE" w:rsidRDefault="007E345B">
            <w:pPr>
              <w:jc w:val="right"/>
              <w:rPr>
                <w:rFonts w:ascii="CAIXA Std Book" w:eastAsia="Times New Roman" w:hAnsi="CAIXA Std Book" w:cs="Arial"/>
                <w:b/>
                <w:color w:val="005CA9"/>
                <w:sz w:val="14"/>
                <w:szCs w:val="14"/>
              </w:rPr>
            </w:pPr>
            <w:r w:rsidRPr="003104FE">
              <w:rPr>
                <w:rFonts w:ascii="CAIXA Std Book" w:hAnsi="CAIXA Std Book" w:cs="Calibri"/>
                <w:b/>
                <w:bCs/>
                <w:color w:val="005CA9"/>
                <w:sz w:val="14"/>
                <w:szCs w:val="14"/>
              </w:rPr>
              <w:t>1.573.546</w:t>
            </w:r>
          </w:p>
        </w:tc>
        <w:tc>
          <w:tcPr>
            <w:tcW w:w="392" w:type="pct"/>
            <w:tcBorders>
              <w:left w:val="nil"/>
              <w:bottom w:val="nil"/>
              <w:right w:val="nil"/>
            </w:tcBorders>
            <w:shd w:val="clear" w:color="auto" w:fill="D0DFE3"/>
            <w:vAlign w:val="center"/>
          </w:tcPr>
          <w:p w14:paraId="0EBF6008" w14:textId="0F6430B3" w:rsidR="007E345B" w:rsidRPr="003104FE" w:rsidRDefault="007E345B">
            <w:pPr>
              <w:ind w:firstLineChars="100" w:firstLine="140"/>
              <w:jc w:val="right"/>
              <w:rPr>
                <w:rFonts w:ascii="CAIXA Std Book" w:eastAsia="Times New Roman" w:hAnsi="CAIXA Std Book" w:cs="Arial"/>
                <w:b/>
                <w:color w:val="005CA9"/>
                <w:sz w:val="14"/>
                <w:szCs w:val="14"/>
              </w:rPr>
            </w:pPr>
            <w:r w:rsidRPr="00D16B7B">
              <w:rPr>
                <w:rFonts w:ascii="CAIXA Std Book" w:hAnsi="CAIXA Std Book" w:cs="Calibri"/>
                <w:b/>
                <w:bCs/>
                <w:color w:val="005CA9"/>
                <w:sz w:val="14"/>
                <w:szCs w:val="14"/>
              </w:rPr>
              <w:t>38.257</w:t>
            </w:r>
          </w:p>
        </w:tc>
        <w:tc>
          <w:tcPr>
            <w:tcW w:w="393" w:type="pct"/>
            <w:tcBorders>
              <w:top w:val="nil"/>
              <w:left w:val="nil"/>
              <w:bottom w:val="nil"/>
              <w:right w:val="nil"/>
            </w:tcBorders>
            <w:shd w:val="clear" w:color="auto" w:fill="D0DFE3"/>
            <w:noWrap/>
            <w:vAlign w:val="center"/>
          </w:tcPr>
          <w:p w14:paraId="5ED3CE66" w14:textId="35650E6C" w:rsidR="007E345B" w:rsidRPr="003104FE" w:rsidRDefault="007E345B">
            <w:pPr>
              <w:ind w:firstLineChars="100" w:firstLine="140"/>
              <w:jc w:val="right"/>
              <w:rPr>
                <w:rFonts w:ascii="CAIXA Std Book" w:eastAsia="Times New Roman" w:hAnsi="CAIXA Std Book" w:cs="Arial"/>
                <w:b/>
                <w:color w:val="005CA9"/>
                <w:sz w:val="14"/>
                <w:szCs w:val="14"/>
              </w:rPr>
            </w:pPr>
            <w:r w:rsidRPr="003104FE">
              <w:rPr>
                <w:rFonts w:ascii="CAIXA Std Book" w:hAnsi="CAIXA Std Book" w:cs="Calibri"/>
                <w:b/>
                <w:bCs/>
                <w:color w:val="005CA9"/>
                <w:sz w:val="14"/>
                <w:szCs w:val="14"/>
              </w:rPr>
              <w:t>34.237.255</w:t>
            </w:r>
          </w:p>
        </w:tc>
      </w:tr>
      <w:tr w:rsidR="007E345B" w:rsidRPr="00A64197" w14:paraId="0A1E07A8" w14:textId="77777777" w:rsidTr="009452C5">
        <w:trPr>
          <w:trHeight w:val="300"/>
          <w:jc w:val="center"/>
        </w:trPr>
        <w:tc>
          <w:tcPr>
            <w:tcW w:w="1069" w:type="pct"/>
            <w:tcBorders>
              <w:top w:val="nil"/>
              <w:left w:val="nil"/>
              <w:bottom w:val="nil"/>
              <w:right w:val="nil"/>
            </w:tcBorders>
            <w:noWrap/>
            <w:vAlign w:val="center"/>
          </w:tcPr>
          <w:p w14:paraId="2B90646B" w14:textId="77777777" w:rsidR="007E345B" w:rsidRPr="00D16B7B" w:rsidRDefault="007E345B">
            <w:pPr>
              <w:rPr>
                <w:rFonts w:ascii="CAIXA Std Book" w:eastAsia="Times New Roman" w:hAnsi="CAIXA Std Book" w:cs="Calibri"/>
                <w:color w:val="005CA9"/>
                <w:sz w:val="14"/>
                <w:szCs w:val="14"/>
              </w:rPr>
            </w:pPr>
            <w:r w:rsidRPr="00D16B7B">
              <w:rPr>
                <w:rFonts w:ascii="CAIXA Std Book" w:eastAsia="Times New Roman" w:hAnsi="CAIXA Std Book" w:cs="Arial"/>
                <w:color w:val="005CA9"/>
                <w:sz w:val="14"/>
                <w:szCs w:val="14"/>
              </w:rPr>
              <w:t>Disponibilidades</w:t>
            </w:r>
          </w:p>
        </w:tc>
        <w:tc>
          <w:tcPr>
            <w:tcW w:w="401" w:type="pct"/>
            <w:tcBorders>
              <w:top w:val="nil"/>
              <w:left w:val="nil"/>
              <w:bottom w:val="nil"/>
              <w:right w:val="nil"/>
            </w:tcBorders>
            <w:noWrap/>
            <w:vAlign w:val="center"/>
          </w:tcPr>
          <w:p w14:paraId="5D692DB8" w14:textId="028B097C" w:rsidR="007E345B" w:rsidRPr="00F2340E" w:rsidRDefault="00D04AD7" w:rsidP="00CB09FA">
            <w:pPr>
              <w:jc w:val="center"/>
              <w:rPr>
                <w:rFonts w:ascii="CAIXA Std Book" w:eastAsia="Times New Roman" w:hAnsi="CAIXA Std Book" w:cs="Calibri"/>
                <w:color w:val="005CA9"/>
                <w:sz w:val="14"/>
                <w:szCs w:val="14"/>
              </w:rPr>
            </w:pPr>
            <w:r w:rsidRPr="00D04AD7">
              <w:rPr>
                <w:rFonts w:ascii="CAIXA Std Book" w:hAnsi="CAIXA Std Book" w:cs="Arial"/>
                <w:color w:val="005CA9"/>
                <w:sz w:val="14"/>
                <w:szCs w:val="14"/>
              </w:rPr>
              <w:t>-</w:t>
            </w:r>
          </w:p>
        </w:tc>
        <w:tc>
          <w:tcPr>
            <w:tcW w:w="392" w:type="pct"/>
            <w:tcBorders>
              <w:top w:val="nil"/>
              <w:left w:val="nil"/>
              <w:bottom w:val="nil"/>
              <w:right w:val="nil"/>
            </w:tcBorders>
            <w:noWrap/>
            <w:vAlign w:val="center"/>
          </w:tcPr>
          <w:p w14:paraId="270BC54F" w14:textId="2AF77C71" w:rsidR="007E345B" w:rsidRPr="00F2340E" w:rsidRDefault="00D04AD7">
            <w:pPr>
              <w:jc w:val="center"/>
              <w:rPr>
                <w:rFonts w:ascii="CAIXA Std Book" w:eastAsia="Times New Roman" w:hAnsi="CAIXA Std Book" w:cs="Calibri"/>
                <w:color w:val="005CA9"/>
                <w:sz w:val="14"/>
                <w:szCs w:val="14"/>
              </w:rPr>
            </w:pPr>
            <w:r w:rsidRPr="00D04AD7">
              <w:rPr>
                <w:rFonts w:ascii="CAIXA Std Book" w:hAnsi="CAIXA Std Book" w:cs="Arial"/>
                <w:color w:val="005CA9"/>
                <w:sz w:val="14"/>
                <w:szCs w:val="14"/>
              </w:rPr>
              <w:t>-</w:t>
            </w:r>
          </w:p>
        </w:tc>
        <w:tc>
          <w:tcPr>
            <w:tcW w:w="392" w:type="pct"/>
            <w:tcBorders>
              <w:top w:val="nil"/>
              <w:left w:val="nil"/>
              <w:bottom w:val="nil"/>
              <w:right w:val="nil"/>
            </w:tcBorders>
            <w:noWrap/>
            <w:vAlign w:val="center"/>
          </w:tcPr>
          <w:p w14:paraId="099D3CE5" w14:textId="04E1A21D" w:rsidR="007E345B" w:rsidRPr="00F2340E" w:rsidRDefault="00D04AD7">
            <w:pPr>
              <w:ind w:firstLineChars="100" w:firstLine="140"/>
              <w:jc w:val="right"/>
              <w:rPr>
                <w:rFonts w:ascii="CAIXA Std Book" w:eastAsia="Times New Roman" w:hAnsi="CAIXA Std Book" w:cs="Calibri"/>
                <w:color w:val="005CA9"/>
                <w:sz w:val="14"/>
                <w:szCs w:val="14"/>
              </w:rPr>
            </w:pPr>
            <w:r w:rsidRPr="00D04AD7">
              <w:rPr>
                <w:rFonts w:ascii="CAIXA Std Book" w:hAnsi="CAIXA Std Book" w:cs="Arial"/>
                <w:color w:val="005CA9"/>
                <w:sz w:val="14"/>
                <w:szCs w:val="14"/>
              </w:rPr>
              <w:t>1.511.580</w:t>
            </w:r>
          </w:p>
        </w:tc>
        <w:tc>
          <w:tcPr>
            <w:tcW w:w="392" w:type="pct"/>
            <w:tcBorders>
              <w:top w:val="nil"/>
              <w:left w:val="nil"/>
              <w:bottom w:val="nil"/>
              <w:right w:val="nil"/>
            </w:tcBorders>
            <w:vAlign w:val="center"/>
          </w:tcPr>
          <w:p w14:paraId="7035E4D2" w14:textId="53F26104" w:rsidR="007E345B" w:rsidRPr="00F2340E" w:rsidRDefault="00D04AD7" w:rsidP="009452C5">
            <w:pPr>
              <w:ind w:firstLineChars="19" w:firstLine="27"/>
              <w:jc w:val="center"/>
              <w:rPr>
                <w:rFonts w:ascii="CAIXA Std Book" w:eastAsia="Times New Roman" w:hAnsi="CAIXA Std Book" w:cs="Calibri"/>
                <w:color w:val="005CA9"/>
                <w:sz w:val="14"/>
                <w:szCs w:val="14"/>
              </w:rPr>
            </w:pPr>
            <w:r w:rsidRPr="00D04AD7">
              <w:rPr>
                <w:rFonts w:ascii="CAIXA Std Book" w:hAnsi="CAIXA Std Book" w:cs="Arial"/>
                <w:color w:val="005CA9"/>
                <w:sz w:val="14"/>
                <w:szCs w:val="14"/>
              </w:rPr>
              <w:t>-</w:t>
            </w:r>
          </w:p>
        </w:tc>
        <w:tc>
          <w:tcPr>
            <w:tcW w:w="393" w:type="pct"/>
            <w:tcBorders>
              <w:top w:val="nil"/>
              <w:left w:val="nil"/>
              <w:bottom w:val="nil"/>
              <w:right w:val="nil"/>
            </w:tcBorders>
            <w:vAlign w:val="center"/>
          </w:tcPr>
          <w:p w14:paraId="5E983F01" w14:textId="1480B949" w:rsidR="007E345B" w:rsidRPr="00F2340E" w:rsidRDefault="00D04AD7" w:rsidP="00CB09FA">
            <w:pPr>
              <w:ind w:firstLineChars="100" w:firstLine="140"/>
              <w:jc w:val="center"/>
              <w:rPr>
                <w:rFonts w:ascii="CAIXA Std Book" w:eastAsia="Times New Roman" w:hAnsi="CAIXA Std Book" w:cs="Calibri"/>
                <w:color w:val="005CA9"/>
                <w:sz w:val="14"/>
                <w:szCs w:val="14"/>
              </w:rPr>
            </w:pPr>
            <w:r w:rsidRPr="00D04AD7">
              <w:rPr>
                <w:rFonts w:ascii="CAIXA Std Book" w:hAnsi="CAIXA Std Book" w:cs="Arial"/>
                <w:color w:val="005CA9"/>
                <w:sz w:val="14"/>
                <w:szCs w:val="14"/>
              </w:rPr>
              <w:t>-</w:t>
            </w:r>
          </w:p>
        </w:tc>
        <w:tc>
          <w:tcPr>
            <w:tcW w:w="392" w:type="pct"/>
            <w:tcBorders>
              <w:top w:val="nil"/>
              <w:left w:val="nil"/>
              <w:bottom w:val="nil"/>
              <w:right w:val="nil"/>
            </w:tcBorders>
            <w:vAlign w:val="center"/>
          </w:tcPr>
          <w:p w14:paraId="11B5E6CD" w14:textId="77777777" w:rsidR="007E345B" w:rsidRPr="003104FE" w:rsidRDefault="007E345B" w:rsidP="004701E7">
            <w:pPr>
              <w:ind w:firstLineChars="100" w:firstLine="140"/>
              <w:jc w:val="center"/>
              <w:rPr>
                <w:rFonts w:ascii="CAIXA Std Book" w:eastAsia="Times New Roman" w:hAnsi="CAIXA Std Book" w:cs="Calibri"/>
                <w:color w:val="005CA9"/>
                <w:sz w:val="14"/>
                <w:szCs w:val="14"/>
              </w:rPr>
            </w:pPr>
            <w:r w:rsidRPr="003104FE">
              <w:rPr>
                <w:rFonts w:ascii="CAIXA Std Book" w:eastAsia="Times New Roman" w:hAnsi="CAIXA Std Book" w:cs="Arial"/>
                <w:color w:val="005CA9"/>
                <w:sz w:val="14"/>
                <w:szCs w:val="14"/>
              </w:rPr>
              <w:t>-</w:t>
            </w:r>
          </w:p>
        </w:tc>
        <w:tc>
          <w:tcPr>
            <w:tcW w:w="392" w:type="pct"/>
            <w:tcBorders>
              <w:top w:val="nil"/>
              <w:left w:val="nil"/>
              <w:bottom w:val="nil"/>
              <w:right w:val="nil"/>
            </w:tcBorders>
            <w:vAlign w:val="center"/>
          </w:tcPr>
          <w:p w14:paraId="0A640D5C" w14:textId="77777777" w:rsidR="007E345B" w:rsidRPr="003104FE" w:rsidRDefault="007E345B" w:rsidP="004701E7">
            <w:pPr>
              <w:ind w:firstLineChars="100" w:firstLine="140"/>
              <w:jc w:val="center"/>
              <w:rPr>
                <w:rFonts w:ascii="CAIXA Std Book" w:eastAsia="Times New Roman" w:hAnsi="CAIXA Std Book" w:cs="Calibri"/>
                <w:color w:val="005CA9"/>
                <w:sz w:val="14"/>
                <w:szCs w:val="14"/>
              </w:rPr>
            </w:pPr>
            <w:r w:rsidRPr="003104FE">
              <w:rPr>
                <w:rFonts w:ascii="CAIXA Std Book" w:hAnsi="CAIXA Std Book" w:cs="Calibri"/>
                <w:color w:val="005CA9"/>
                <w:sz w:val="14"/>
                <w:szCs w:val="14"/>
              </w:rPr>
              <w:t>-</w:t>
            </w:r>
          </w:p>
        </w:tc>
        <w:tc>
          <w:tcPr>
            <w:tcW w:w="392" w:type="pct"/>
            <w:tcBorders>
              <w:top w:val="nil"/>
              <w:left w:val="nil"/>
              <w:bottom w:val="nil"/>
              <w:right w:val="nil"/>
            </w:tcBorders>
            <w:vAlign w:val="center"/>
          </w:tcPr>
          <w:p w14:paraId="3B612F74" w14:textId="77777777" w:rsidR="007E345B" w:rsidRPr="003104FE" w:rsidRDefault="007E345B">
            <w:pPr>
              <w:jc w:val="right"/>
              <w:rPr>
                <w:rFonts w:ascii="CAIXA Std Book" w:eastAsia="Times New Roman" w:hAnsi="CAIXA Std Book" w:cs="Calibri"/>
                <w:color w:val="005CA9"/>
                <w:sz w:val="14"/>
                <w:szCs w:val="14"/>
              </w:rPr>
            </w:pPr>
            <w:r w:rsidRPr="003104FE">
              <w:rPr>
                <w:rFonts w:ascii="CAIXA Std Book" w:hAnsi="CAIXA Std Book" w:cs="Calibri"/>
                <w:color w:val="005CA9"/>
                <w:sz w:val="14"/>
                <w:szCs w:val="14"/>
              </w:rPr>
              <w:t>1.368.460</w:t>
            </w:r>
          </w:p>
        </w:tc>
        <w:tc>
          <w:tcPr>
            <w:tcW w:w="392" w:type="pct"/>
            <w:tcBorders>
              <w:top w:val="nil"/>
              <w:left w:val="nil"/>
              <w:bottom w:val="nil"/>
              <w:right w:val="nil"/>
            </w:tcBorders>
            <w:vAlign w:val="center"/>
          </w:tcPr>
          <w:p w14:paraId="1A66555A" w14:textId="77777777" w:rsidR="007E345B" w:rsidRPr="003104FE" w:rsidRDefault="007E345B" w:rsidP="004701E7">
            <w:pPr>
              <w:ind w:firstLineChars="100" w:firstLine="140"/>
              <w:jc w:val="center"/>
              <w:rPr>
                <w:rFonts w:ascii="CAIXA Std Book" w:eastAsia="Times New Roman" w:hAnsi="CAIXA Std Book" w:cs="Calibri"/>
                <w:color w:val="005CA9"/>
                <w:sz w:val="14"/>
                <w:szCs w:val="14"/>
              </w:rPr>
            </w:pPr>
            <w:r w:rsidRPr="003104FE">
              <w:rPr>
                <w:rFonts w:ascii="CAIXA Std Book" w:hAnsi="CAIXA Std Book" w:cs="Calibri"/>
                <w:color w:val="005CA9"/>
                <w:sz w:val="14"/>
                <w:szCs w:val="14"/>
              </w:rPr>
              <w:t>-</w:t>
            </w:r>
          </w:p>
        </w:tc>
        <w:tc>
          <w:tcPr>
            <w:tcW w:w="393" w:type="pct"/>
            <w:tcBorders>
              <w:top w:val="nil"/>
              <w:left w:val="nil"/>
              <w:bottom w:val="nil"/>
              <w:right w:val="nil"/>
            </w:tcBorders>
            <w:noWrap/>
            <w:vAlign w:val="center"/>
          </w:tcPr>
          <w:p w14:paraId="62E519DC" w14:textId="77777777" w:rsidR="007E345B" w:rsidRPr="003104FE" w:rsidRDefault="007E345B" w:rsidP="004701E7">
            <w:pPr>
              <w:ind w:firstLineChars="100" w:firstLine="140"/>
              <w:jc w:val="center"/>
              <w:rPr>
                <w:rFonts w:ascii="CAIXA Std Book" w:eastAsia="Times New Roman" w:hAnsi="CAIXA Std Book" w:cs="Calibri"/>
                <w:color w:val="005CA9"/>
                <w:sz w:val="14"/>
                <w:szCs w:val="14"/>
              </w:rPr>
            </w:pPr>
            <w:r w:rsidRPr="003104FE">
              <w:rPr>
                <w:rFonts w:ascii="CAIXA Std Book" w:hAnsi="CAIXA Std Book" w:cs="Calibri"/>
                <w:color w:val="005CA9"/>
                <w:sz w:val="14"/>
                <w:szCs w:val="14"/>
              </w:rPr>
              <w:t>-</w:t>
            </w:r>
          </w:p>
        </w:tc>
      </w:tr>
      <w:tr w:rsidR="007E345B" w:rsidRPr="00A64197" w14:paraId="33B50C9A" w14:textId="77777777" w:rsidTr="009452C5">
        <w:trPr>
          <w:trHeight w:val="300"/>
          <w:jc w:val="center"/>
        </w:trPr>
        <w:tc>
          <w:tcPr>
            <w:tcW w:w="1069" w:type="pct"/>
            <w:tcBorders>
              <w:top w:val="nil"/>
              <w:left w:val="nil"/>
              <w:bottom w:val="nil"/>
              <w:right w:val="nil"/>
            </w:tcBorders>
            <w:noWrap/>
            <w:vAlign w:val="center"/>
          </w:tcPr>
          <w:p w14:paraId="3D187FBD" w14:textId="77777777" w:rsidR="007E345B" w:rsidRPr="00D16B7B" w:rsidRDefault="007E345B">
            <w:pPr>
              <w:rPr>
                <w:rFonts w:ascii="CAIXA Std Book" w:eastAsia="Times New Roman" w:hAnsi="CAIXA Std Book" w:cs="Calibri"/>
                <w:color w:val="005CA9"/>
                <w:sz w:val="14"/>
                <w:szCs w:val="14"/>
              </w:rPr>
            </w:pPr>
            <w:r w:rsidRPr="00D16B7B">
              <w:rPr>
                <w:rFonts w:ascii="CAIXA Std Book" w:eastAsia="Times New Roman" w:hAnsi="CAIXA Std Book" w:cs="Arial"/>
                <w:color w:val="005CA9"/>
                <w:sz w:val="14"/>
                <w:szCs w:val="14"/>
              </w:rPr>
              <w:t>Aplicações interfinanceiras de liquidez</w:t>
            </w:r>
          </w:p>
        </w:tc>
        <w:tc>
          <w:tcPr>
            <w:tcW w:w="401" w:type="pct"/>
            <w:tcBorders>
              <w:top w:val="nil"/>
              <w:left w:val="nil"/>
              <w:bottom w:val="nil"/>
              <w:right w:val="nil"/>
            </w:tcBorders>
            <w:noWrap/>
            <w:vAlign w:val="center"/>
          </w:tcPr>
          <w:p w14:paraId="6FE948FA" w14:textId="0A0C7D08" w:rsidR="007E345B" w:rsidRPr="00F2340E" w:rsidRDefault="00D04AD7">
            <w:pPr>
              <w:jc w:val="right"/>
              <w:rPr>
                <w:rFonts w:ascii="CAIXA Std Book" w:eastAsia="Times New Roman" w:hAnsi="CAIXA Std Book" w:cs="Calibri"/>
                <w:color w:val="005CA9"/>
                <w:sz w:val="14"/>
                <w:szCs w:val="14"/>
              </w:rPr>
            </w:pPr>
            <w:r w:rsidRPr="00D04AD7">
              <w:rPr>
                <w:rFonts w:ascii="CAIXA Std Book" w:hAnsi="CAIXA Std Book" w:cs="Arial"/>
                <w:color w:val="005CA9"/>
                <w:sz w:val="14"/>
                <w:szCs w:val="14"/>
              </w:rPr>
              <w:t>266.276.662</w:t>
            </w:r>
          </w:p>
        </w:tc>
        <w:tc>
          <w:tcPr>
            <w:tcW w:w="392" w:type="pct"/>
            <w:tcBorders>
              <w:top w:val="nil"/>
              <w:left w:val="nil"/>
              <w:bottom w:val="nil"/>
              <w:right w:val="nil"/>
            </w:tcBorders>
            <w:noWrap/>
            <w:vAlign w:val="center"/>
          </w:tcPr>
          <w:p w14:paraId="63A19E6C" w14:textId="20FCF9A4" w:rsidR="007E345B" w:rsidRPr="00F2340E" w:rsidRDefault="00D04AD7">
            <w:pPr>
              <w:jc w:val="center"/>
              <w:rPr>
                <w:rFonts w:ascii="CAIXA Std Book" w:eastAsia="Times New Roman" w:hAnsi="CAIXA Std Book" w:cs="Calibri"/>
                <w:color w:val="005CA9"/>
                <w:sz w:val="14"/>
                <w:szCs w:val="14"/>
              </w:rPr>
            </w:pPr>
            <w:r w:rsidRPr="00D04AD7">
              <w:rPr>
                <w:rFonts w:ascii="CAIXA Std Book" w:hAnsi="CAIXA Std Book" w:cs="Arial"/>
                <w:color w:val="005CA9"/>
                <w:sz w:val="14"/>
                <w:szCs w:val="14"/>
              </w:rPr>
              <w:t>-</w:t>
            </w:r>
          </w:p>
        </w:tc>
        <w:tc>
          <w:tcPr>
            <w:tcW w:w="392" w:type="pct"/>
            <w:tcBorders>
              <w:top w:val="nil"/>
              <w:left w:val="nil"/>
              <w:bottom w:val="nil"/>
              <w:right w:val="nil"/>
            </w:tcBorders>
            <w:noWrap/>
            <w:vAlign w:val="center"/>
          </w:tcPr>
          <w:p w14:paraId="4A477BF6" w14:textId="2401DD66" w:rsidR="007E345B" w:rsidRPr="00F2340E" w:rsidRDefault="00D04AD7">
            <w:pPr>
              <w:jc w:val="center"/>
              <w:rPr>
                <w:rFonts w:ascii="CAIXA Std Book" w:eastAsia="Times New Roman" w:hAnsi="CAIXA Std Book" w:cs="Calibri"/>
                <w:color w:val="005CA9"/>
                <w:sz w:val="14"/>
                <w:szCs w:val="14"/>
              </w:rPr>
            </w:pPr>
            <w:r w:rsidRPr="00D04AD7">
              <w:rPr>
                <w:rFonts w:ascii="CAIXA Std Book" w:hAnsi="CAIXA Std Book" w:cs="Arial"/>
                <w:color w:val="005CA9"/>
                <w:sz w:val="14"/>
                <w:szCs w:val="14"/>
              </w:rPr>
              <w:t>-</w:t>
            </w:r>
          </w:p>
        </w:tc>
        <w:tc>
          <w:tcPr>
            <w:tcW w:w="392" w:type="pct"/>
            <w:tcBorders>
              <w:top w:val="nil"/>
              <w:left w:val="nil"/>
              <w:bottom w:val="nil"/>
              <w:right w:val="nil"/>
            </w:tcBorders>
            <w:vAlign w:val="center"/>
          </w:tcPr>
          <w:p w14:paraId="336B6755" w14:textId="76975D34" w:rsidR="007E345B" w:rsidRPr="00F2340E" w:rsidRDefault="00D04AD7" w:rsidP="009452C5">
            <w:pPr>
              <w:ind w:firstLineChars="19" w:firstLine="27"/>
              <w:jc w:val="center"/>
              <w:rPr>
                <w:rFonts w:ascii="CAIXA Std Book" w:eastAsia="Times New Roman" w:hAnsi="CAIXA Std Book" w:cs="Calibri"/>
                <w:color w:val="005CA9"/>
                <w:sz w:val="14"/>
                <w:szCs w:val="14"/>
              </w:rPr>
            </w:pPr>
            <w:r w:rsidRPr="00D04AD7">
              <w:rPr>
                <w:rFonts w:ascii="CAIXA Std Book" w:hAnsi="CAIXA Std Book" w:cs="Arial"/>
                <w:color w:val="005CA9"/>
                <w:sz w:val="14"/>
                <w:szCs w:val="14"/>
              </w:rPr>
              <w:t>-</w:t>
            </w:r>
          </w:p>
        </w:tc>
        <w:tc>
          <w:tcPr>
            <w:tcW w:w="393" w:type="pct"/>
            <w:tcBorders>
              <w:top w:val="nil"/>
              <w:left w:val="nil"/>
              <w:bottom w:val="nil"/>
              <w:right w:val="nil"/>
            </w:tcBorders>
            <w:vAlign w:val="center"/>
          </w:tcPr>
          <w:p w14:paraId="3A67EEFD" w14:textId="3994F886" w:rsidR="007E345B" w:rsidRPr="00F2340E" w:rsidRDefault="00D04AD7">
            <w:pPr>
              <w:ind w:firstLineChars="100" w:firstLine="140"/>
              <w:jc w:val="right"/>
              <w:rPr>
                <w:rFonts w:ascii="CAIXA Std Book" w:eastAsia="Times New Roman" w:hAnsi="CAIXA Std Book" w:cs="Calibri"/>
                <w:color w:val="005CA9"/>
                <w:sz w:val="14"/>
                <w:szCs w:val="14"/>
              </w:rPr>
            </w:pPr>
            <w:r w:rsidRPr="00D04AD7">
              <w:rPr>
                <w:rFonts w:ascii="CAIXA Std Book" w:hAnsi="CAIXA Std Book" w:cs="Arial"/>
                <w:color w:val="005CA9"/>
                <w:sz w:val="14"/>
                <w:szCs w:val="14"/>
              </w:rPr>
              <w:t>33.923.955</w:t>
            </w:r>
          </w:p>
        </w:tc>
        <w:tc>
          <w:tcPr>
            <w:tcW w:w="392" w:type="pct"/>
            <w:tcBorders>
              <w:top w:val="nil"/>
              <w:left w:val="nil"/>
              <w:bottom w:val="nil"/>
              <w:right w:val="nil"/>
            </w:tcBorders>
            <w:vAlign w:val="center"/>
          </w:tcPr>
          <w:p w14:paraId="404821D9" w14:textId="77777777" w:rsidR="007E345B" w:rsidRPr="003104FE" w:rsidRDefault="007E345B">
            <w:pPr>
              <w:ind w:firstLineChars="100" w:firstLine="140"/>
              <w:jc w:val="right"/>
              <w:rPr>
                <w:rFonts w:ascii="CAIXA Std Book" w:eastAsia="Times New Roman" w:hAnsi="CAIXA Std Book" w:cs="Calibri"/>
                <w:color w:val="005CA9"/>
                <w:sz w:val="14"/>
                <w:szCs w:val="14"/>
              </w:rPr>
            </w:pPr>
            <w:r w:rsidRPr="003104FE">
              <w:rPr>
                <w:rFonts w:ascii="CAIXA Std Book" w:hAnsi="CAIXA Std Book" w:cs="Calibri"/>
                <w:color w:val="005CA9"/>
                <w:sz w:val="14"/>
                <w:szCs w:val="14"/>
              </w:rPr>
              <w:t>253.694.000</w:t>
            </w:r>
          </w:p>
        </w:tc>
        <w:tc>
          <w:tcPr>
            <w:tcW w:w="392" w:type="pct"/>
            <w:tcBorders>
              <w:top w:val="nil"/>
              <w:left w:val="nil"/>
              <w:bottom w:val="nil"/>
              <w:right w:val="nil"/>
            </w:tcBorders>
            <w:vAlign w:val="center"/>
          </w:tcPr>
          <w:p w14:paraId="2A4755AE" w14:textId="77777777" w:rsidR="007E345B" w:rsidRPr="003104FE" w:rsidRDefault="007E345B" w:rsidP="004701E7">
            <w:pPr>
              <w:ind w:firstLineChars="100" w:firstLine="140"/>
              <w:jc w:val="center"/>
              <w:rPr>
                <w:rFonts w:ascii="CAIXA Std Book" w:eastAsia="Times New Roman" w:hAnsi="CAIXA Std Book" w:cs="Calibri"/>
                <w:color w:val="005CA9"/>
                <w:sz w:val="14"/>
                <w:szCs w:val="14"/>
              </w:rPr>
            </w:pPr>
            <w:r w:rsidRPr="003104FE">
              <w:rPr>
                <w:rFonts w:ascii="CAIXA Std Book" w:hAnsi="CAIXA Std Book" w:cs="Calibri"/>
                <w:color w:val="005CA9"/>
                <w:sz w:val="14"/>
                <w:szCs w:val="14"/>
              </w:rPr>
              <w:t>-</w:t>
            </w:r>
          </w:p>
        </w:tc>
        <w:tc>
          <w:tcPr>
            <w:tcW w:w="392" w:type="pct"/>
            <w:tcBorders>
              <w:top w:val="nil"/>
              <w:left w:val="nil"/>
              <w:bottom w:val="nil"/>
              <w:right w:val="nil"/>
            </w:tcBorders>
            <w:vAlign w:val="center"/>
          </w:tcPr>
          <w:p w14:paraId="0DAEB181" w14:textId="77777777" w:rsidR="007E345B" w:rsidRPr="003104FE" w:rsidRDefault="007E345B" w:rsidP="004701E7">
            <w:pPr>
              <w:jc w:val="center"/>
              <w:rPr>
                <w:rFonts w:ascii="CAIXA Std Book" w:eastAsia="Times New Roman" w:hAnsi="CAIXA Std Book" w:cs="Calibri"/>
                <w:color w:val="005CA9"/>
                <w:sz w:val="14"/>
                <w:szCs w:val="14"/>
              </w:rPr>
            </w:pPr>
            <w:r w:rsidRPr="003104FE">
              <w:rPr>
                <w:rFonts w:ascii="CAIXA Std Book" w:hAnsi="CAIXA Std Book" w:cs="Calibri"/>
                <w:color w:val="005CA9"/>
                <w:sz w:val="14"/>
                <w:szCs w:val="14"/>
              </w:rPr>
              <w:t>-</w:t>
            </w:r>
          </w:p>
        </w:tc>
        <w:tc>
          <w:tcPr>
            <w:tcW w:w="392" w:type="pct"/>
            <w:tcBorders>
              <w:top w:val="nil"/>
              <w:left w:val="nil"/>
              <w:bottom w:val="nil"/>
              <w:right w:val="nil"/>
            </w:tcBorders>
            <w:vAlign w:val="center"/>
          </w:tcPr>
          <w:p w14:paraId="01DC6BAC" w14:textId="77777777" w:rsidR="007E345B" w:rsidRPr="003104FE" w:rsidRDefault="007E345B" w:rsidP="004701E7">
            <w:pPr>
              <w:ind w:firstLineChars="100" w:firstLine="140"/>
              <w:jc w:val="center"/>
              <w:rPr>
                <w:rFonts w:ascii="CAIXA Std Book" w:eastAsia="Times New Roman" w:hAnsi="CAIXA Std Book" w:cs="Calibri"/>
                <w:color w:val="005CA9"/>
                <w:sz w:val="14"/>
                <w:szCs w:val="14"/>
              </w:rPr>
            </w:pPr>
            <w:r w:rsidRPr="003104FE">
              <w:rPr>
                <w:rFonts w:ascii="CAIXA Std Book" w:hAnsi="CAIXA Std Book" w:cs="Calibri"/>
                <w:color w:val="005CA9"/>
                <w:sz w:val="14"/>
                <w:szCs w:val="14"/>
              </w:rPr>
              <w:t>-</w:t>
            </w:r>
          </w:p>
        </w:tc>
        <w:tc>
          <w:tcPr>
            <w:tcW w:w="393" w:type="pct"/>
            <w:tcBorders>
              <w:top w:val="nil"/>
              <w:left w:val="nil"/>
              <w:bottom w:val="nil"/>
              <w:right w:val="nil"/>
            </w:tcBorders>
            <w:noWrap/>
            <w:vAlign w:val="center"/>
          </w:tcPr>
          <w:p w14:paraId="001B55BE" w14:textId="77777777" w:rsidR="007E345B" w:rsidRPr="003104FE" w:rsidRDefault="007E345B">
            <w:pPr>
              <w:ind w:firstLineChars="100" w:firstLine="140"/>
              <w:jc w:val="right"/>
              <w:rPr>
                <w:rFonts w:ascii="CAIXA Std Book" w:eastAsia="Times New Roman" w:hAnsi="CAIXA Std Book" w:cs="Calibri"/>
                <w:color w:val="005CA9"/>
                <w:sz w:val="14"/>
                <w:szCs w:val="14"/>
              </w:rPr>
            </w:pPr>
            <w:r w:rsidRPr="003104FE">
              <w:rPr>
                <w:rFonts w:ascii="CAIXA Std Book" w:hAnsi="CAIXA Std Book" w:cs="Calibri"/>
                <w:color w:val="005CA9"/>
                <w:sz w:val="14"/>
                <w:szCs w:val="14"/>
              </w:rPr>
              <w:t>654.397</w:t>
            </w:r>
          </w:p>
        </w:tc>
      </w:tr>
      <w:tr w:rsidR="007E345B" w:rsidRPr="00A64197" w14:paraId="5D4F3B7A" w14:textId="77777777" w:rsidTr="009452C5">
        <w:trPr>
          <w:trHeight w:val="300"/>
          <w:jc w:val="center"/>
        </w:trPr>
        <w:tc>
          <w:tcPr>
            <w:tcW w:w="1069" w:type="pct"/>
            <w:tcBorders>
              <w:top w:val="nil"/>
              <w:left w:val="nil"/>
              <w:bottom w:val="nil"/>
              <w:right w:val="nil"/>
            </w:tcBorders>
            <w:noWrap/>
            <w:vAlign w:val="center"/>
          </w:tcPr>
          <w:p w14:paraId="43B151B9" w14:textId="77777777" w:rsidR="007E345B" w:rsidRPr="00D16B7B" w:rsidRDefault="007E345B">
            <w:pPr>
              <w:rPr>
                <w:rFonts w:ascii="CAIXA Std Book" w:eastAsia="Times New Roman" w:hAnsi="CAIXA Std Book" w:cs="Calibri"/>
                <w:color w:val="005CA9"/>
                <w:sz w:val="14"/>
                <w:szCs w:val="14"/>
              </w:rPr>
            </w:pPr>
            <w:r w:rsidRPr="00D16B7B">
              <w:rPr>
                <w:rFonts w:ascii="CAIXA Std Book" w:eastAsia="Times New Roman" w:hAnsi="CAIXA Std Book" w:cs="Arial"/>
                <w:color w:val="005CA9"/>
                <w:sz w:val="14"/>
                <w:szCs w:val="14"/>
              </w:rPr>
              <w:t>Títulos e valores mobiliários</w:t>
            </w:r>
          </w:p>
        </w:tc>
        <w:tc>
          <w:tcPr>
            <w:tcW w:w="401" w:type="pct"/>
            <w:tcBorders>
              <w:top w:val="nil"/>
              <w:left w:val="nil"/>
              <w:bottom w:val="nil"/>
              <w:right w:val="nil"/>
            </w:tcBorders>
            <w:noWrap/>
            <w:vAlign w:val="center"/>
          </w:tcPr>
          <w:p w14:paraId="0498F15D" w14:textId="1C2547AB" w:rsidR="007E345B" w:rsidRPr="00F2340E" w:rsidRDefault="00D04AD7">
            <w:pPr>
              <w:jc w:val="right"/>
              <w:rPr>
                <w:rFonts w:ascii="CAIXA Std Book" w:eastAsia="Times New Roman" w:hAnsi="CAIXA Std Book" w:cs="Calibri"/>
                <w:color w:val="005CA9"/>
                <w:sz w:val="14"/>
                <w:szCs w:val="14"/>
              </w:rPr>
            </w:pPr>
            <w:r w:rsidRPr="00D04AD7">
              <w:rPr>
                <w:rFonts w:ascii="CAIXA Std Book" w:hAnsi="CAIXA Std Book" w:cs="Arial"/>
                <w:color w:val="005CA9"/>
                <w:sz w:val="14"/>
                <w:szCs w:val="14"/>
              </w:rPr>
              <w:t>220.031.584</w:t>
            </w:r>
          </w:p>
        </w:tc>
        <w:tc>
          <w:tcPr>
            <w:tcW w:w="392" w:type="pct"/>
            <w:tcBorders>
              <w:top w:val="nil"/>
              <w:left w:val="nil"/>
              <w:bottom w:val="nil"/>
              <w:right w:val="nil"/>
            </w:tcBorders>
            <w:noWrap/>
            <w:vAlign w:val="center"/>
          </w:tcPr>
          <w:p w14:paraId="7A703760" w14:textId="16C49713" w:rsidR="007E345B" w:rsidRPr="00F2340E" w:rsidRDefault="00D04AD7">
            <w:pPr>
              <w:jc w:val="center"/>
              <w:rPr>
                <w:rFonts w:ascii="CAIXA Std Book" w:eastAsia="Times New Roman" w:hAnsi="CAIXA Std Book" w:cs="Calibri"/>
                <w:color w:val="005CA9"/>
                <w:sz w:val="14"/>
                <w:szCs w:val="14"/>
              </w:rPr>
            </w:pPr>
            <w:r w:rsidRPr="00D04AD7">
              <w:rPr>
                <w:rFonts w:ascii="CAIXA Std Book" w:hAnsi="CAIXA Std Book" w:cs="Arial"/>
                <w:color w:val="005CA9"/>
                <w:sz w:val="14"/>
                <w:szCs w:val="14"/>
              </w:rPr>
              <w:t>-</w:t>
            </w:r>
          </w:p>
        </w:tc>
        <w:tc>
          <w:tcPr>
            <w:tcW w:w="392" w:type="pct"/>
            <w:tcBorders>
              <w:top w:val="nil"/>
              <w:left w:val="nil"/>
              <w:bottom w:val="nil"/>
              <w:right w:val="nil"/>
            </w:tcBorders>
            <w:noWrap/>
            <w:vAlign w:val="center"/>
          </w:tcPr>
          <w:p w14:paraId="3E095FBA" w14:textId="0EE4771E" w:rsidR="007E345B" w:rsidRPr="00F2340E" w:rsidRDefault="00D04AD7">
            <w:pPr>
              <w:jc w:val="center"/>
              <w:rPr>
                <w:rFonts w:ascii="CAIXA Std Book" w:eastAsia="Times New Roman" w:hAnsi="CAIXA Std Book" w:cs="Calibri"/>
                <w:color w:val="005CA9"/>
                <w:sz w:val="14"/>
                <w:szCs w:val="14"/>
              </w:rPr>
            </w:pPr>
            <w:r w:rsidRPr="00D04AD7">
              <w:rPr>
                <w:rFonts w:ascii="CAIXA Std Book" w:hAnsi="CAIXA Std Book" w:cs="Arial"/>
                <w:color w:val="005CA9"/>
                <w:sz w:val="14"/>
                <w:szCs w:val="14"/>
              </w:rPr>
              <w:t>-</w:t>
            </w:r>
          </w:p>
        </w:tc>
        <w:tc>
          <w:tcPr>
            <w:tcW w:w="392" w:type="pct"/>
            <w:tcBorders>
              <w:top w:val="nil"/>
              <w:left w:val="nil"/>
              <w:bottom w:val="nil"/>
              <w:right w:val="nil"/>
            </w:tcBorders>
            <w:vAlign w:val="center"/>
          </w:tcPr>
          <w:p w14:paraId="08AA342C" w14:textId="6DBA6AC0" w:rsidR="007E345B" w:rsidRPr="00F2340E" w:rsidRDefault="00D04AD7">
            <w:pPr>
              <w:jc w:val="center"/>
              <w:rPr>
                <w:rFonts w:ascii="CAIXA Std Book" w:eastAsia="Times New Roman" w:hAnsi="CAIXA Std Book" w:cs="Calibri"/>
                <w:color w:val="005CA9"/>
                <w:sz w:val="14"/>
                <w:szCs w:val="14"/>
              </w:rPr>
            </w:pPr>
            <w:r w:rsidRPr="00D04AD7">
              <w:rPr>
                <w:rFonts w:ascii="CAIXA Std Book" w:hAnsi="CAIXA Std Book" w:cs="Arial"/>
                <w:color w:val="005CA9"/>
                <w:sz w:val="14"/>
                <w:szCs w:val="14"/>
              </w:rPr>
              <w:t>-</w:t>
            </w:r>
          </w:p>
        </w:tc>
        <w:tc>
          <w:tcPr>
            <w:tcW w:w="393" w:type="pct"/>
            <w:tcBorders>
              <w:top w:val="nil"/>
              <w:left w:val="nil"/>
              <w:bottom w:val="nil"/>
              <w:right w:val="nil"/>
            </w:tcBorders>
            <w:vAlign w:val="center"/>
          </w:tcPr>
          <w:p w14:paraId="04A0280C" w14:textId="230EFA15" w:rsidR="007E345B" w:rsidRPr="00F2340E" w:rsidRDefault="00D04AD7" w:rsidP="00D04AD7">
            <w:pPr>
              <w:jc w:val="right"/>
              <w:rPr>
                <w:rFonts w:ascii="CAIXA Std Book" w:eastAsia="Times New Roman" w:hAnsi="CAIXA Std Book" w:cs="Calibri"/>
                <w:color w:val="005CA9"/>
                <w:sz w:val="14"/>
                <w:szCs w:val="14"/>
              </w:rPr>
            </w:pPr>
            <w:r w:rsidRPr="00D04AD7">
              <w:rPr>
                <w:rFonts w:ascii="CAIXA Std Book" w:hAnsi="CAIXA Std Book" w:cs="Arial"/>
                <w:color w:val="005CA9"/>
                <w:sz w:val="14"/>
                <w:szCs w:val="14"/>
              </w:rPr>
              <w:t>16.799</w:t>
            </w:r>
          </w:p>
        </w:tc>
        <w:tc>
          <w:tcPr>
            <w:tcW w:w="392" w:type="pct"/>
            <w:tcBorders>
              <w:top w:val="nil"/>
              <w:left w:val="nil"/>
              <w:bottom w:val="nil"/>
              <w:right w:val="nil"/>
            </w:tcBorders>
            <w:vAlign w:val="center"/>
          </w:tcPr>
          <w:p w14:paraId="0F2D0058" w14:textId="77777777" w:rsidR="007E345B" w:rsidRPr="003104FE" w:rsidRDefault="007E345B">
            <w:pPr>
              <w:ind w:firstLineChars="100" w:firstLine="140"/>
              <w:jc w:val="right"/>
              <w:rPr>
                <w:rFonts w:ascii="CAIXA Std Book" w:eastAsia="Times New Roman" w:hAnsi="CAIXA Std Book" w:cs="Calibri"/>
                <w:color w:val="005CA9"/>
                <w:sz w:val="14"/>
                <w:szCs w:val="14"/>
              </w:rPr>
            </w:pPr>
            <w:r w:rsidRPr="003104FE">
              <w:rPr>
                <w:rFonts w:ascii="CAIXA Std Book" w:eastAsia="Times New Roman" w:hAnsi="CAIXA Std Book" w:cs="Arial"/>
                <w:color w:val="005CA9"/>
                <w:sz w:val="14"/>
                <w:szCs w:val="14"/>
              </w:rPr>
              <w:t>290.595.650</w:t>
            </w:r>
          </w:p>
        </w:tc>
        <w:tc>
          <w:tcPr>
            <w:tcW w:w="392" w:type="pct"/>
            <w:tcBorders>
              <w:top w:val="nil"/>
              <w:left w:val="nil"/>
              <w:bottom w:val="nil"/>
              <w:right w:val="nil"/>
            </w:tcBorders>
            <w:vAlign w:val="center"/>
          </w:tcPr>
          <w:p w14:paraId="4C72FB59" w14:textId="77777777" w:rsidR="007E345B" w:rsidRPr="003104FE" w:rsidRDefault="007E345B" w:rsidP="004701E7">
            <w:pPr>
              <w:ind w:firstLineChars="100" w:firstLine="140"/>
              <w:jc w:val="center"/>
              <w:rPr>
                <w:rFonts w:ascii="CAIXA Std Book" w:eastAsia="Times New Roman" w:hAnsi="CAIXA Std Book" w:cs="Calibri"/>
                <w:color w:val="005CA9"/>
                <w:sz w:val="14"/>
                <w:szCs w:val="14"/>
              </w:rPr>
            </w:pPr>
            <w:r w:rsidRPr="003104FE">
              <w:rPr>
                <w:rFonts w:ascii="CAIXA Std Book" w:hAnsi="CAIXA Std Book" w:cs="Calibri"/>
                <w:color w:val="005CA9"/>
                <w:sz w:val="14"/>
                <w:szCs w:val="14"/>
              </w:rPr>
              <w:t>-</w:t>
            </w:r>
          </w:p>
        </w:tc>
        <w:tc>
          <w:tcPr>
            <w:tcW w:w="392" w:type="pct"/>
            <w:tcBorders>
              <w:top w:val="nil"/>
              <w:left w:val="nil"/>
              <w:bottom w:val="nil"/>
              <w:right w:val="nil"/>
            </w:tcBorders>
            <w:vAlign w:val="center"/>
          </w:tcPr>
          <w:p w14:paraId="722154D4" w14:textId="77777777" w:rsidR="007E345B" w:rsidRPr="003104FE" w:rsidRDefault="007E345B" w:rsidP="004701E7">
            <w:pPr>
              <w:jc w:val="center"/>
              <w:rPr>
                <w:rFonts w:ascii="CAIXA Std Book" w:eastAsia="Times New Roman" w:hAnsi="CAIXA Std Book" w:cs="Calibri"/>
                <w:color w:val="005CA9"/>
                <w:sz w:val="14"/>
                <w:szCs w:val="14"/>
              </w:rPr>
            </w:pPr>
            <w:r w:rsidRPr="003104FE">
              <w:rPr>
                <w:rFonts w:ascii="CAIXA Std Book" w:hAnsi="CAIXA Std Book" w:cs="Calibri"/>
                <w:color w:val="005CA9"/>
                <w:sz w:val="14"/>
                <w:szCs w:val="14"/>
              </w:rPr>
              <w:t>-</w:t>
            </w:r>
          </w:p>
        </w:tc>
        <w:tc>
          <w:tcPr>
            <w:tcW w:w="392" w:type="pct"/>
            <w:tcBorders>
              <w:top w:val="nil"/>
              <w:left w:val="nil"/>
              <w:bottom w:val="nil"/>
              <w:right w:val="nil"/>
            </w:tcBorders>
            <w:vAlign w:val="center"/>
          </w:tcPr>
          <w:p w14:paraId="03C03E82" w14:textId="77777777" w:rsidR="007E345B" w:rsidRPr="003104FE" w:rsidRDefault="007E345B" w:rsidP="004701E7">
            <w:pPr>
              <w:ind w:firstLineChars="100" w:firstLine="140"/>
              <w:jc w:val="center"/>
              <w:rPr>
                <w:rFonts w:ascii="CAIXA Std Book" w:eastAsia="Times New Roman" w:hAnsi="CAIXA Std Book" w:cs="Calibri"/>
                <w:color w:val="005CA9"/>
                <w:sz w:val="14"/>
                <w:szCs w:val="14"/>
              </w:rPr>
            </w:pPr>
            <w:r w:rsidRPr="003104FE">
              <w:rPr>
                <w:rFonts w:ascii="CAIXA Std Book" w:hAnsi="CAIXA Std Book" w:cs="Calibri"/>
                <w:color w:val="005CA9"/>
                <w:sz w:val="14"/>
                <w:szCs w:val="14"/>
              </w:rPr>
              <w:t>-</w:t>
            </w:r>
          </w:p>
        </w:tc>
        <w:tc>
          <w:tcPr>
            <w:tcW w:w="393" w:type="pct"/>
            <w:tcBorders>
              <w:top w:val="nil"/>
              <w:left w:val="nil"/>
              <w:bottom w:val="nil"/>
              <w:right w:val="nil"/>
            </w:tcBorders>
            <w:noWrap/>
            <w:vAlign w:val="center"/>
          </w:tcPr>
          <w:p w14:paraId="012AAD83" w14:textId="77777777" w:rsidR="007E345B" w:rsidRPr="003104FE" w:rsidRDefault="007E345B">
            <w:pPr>
              <w:ind w:firstLineChars="100" w:firstLine="140"/>
              <w:jc w:val="right"/>
              <w:rPr>
                <w:rFonts w:ascii="CAIXA Std Book" w:eastAsia="Times New Roman" w:hAnsi="CAIXA Std Book" w:cs="Calibri"/>
                <w:color w:val="005CA9"/>
                <w:sz w:val="14"/>
                <w:szCs w:val="14"/>
              </w:rPr>
            </w:pPr>
            <w:r w:rsidRPr="003104FE">
              <w:rPr>
                <w:rFonts w:ascii="CAIXA Std Book" w:hAnsi="CAIXA Std Book" w:cs="Calibri"/>
                <w:color w:val="005CA9"/>
                <w:sz w:val="14"/>
                <w:szCs w:val="14"/>
              </w:rPr>
              <w:t>1.327.355</w:t>
            </w:r>
          </w:p>
        </w:tc>
      </w:tr>
      <w:tr w:rsidR="007E345B" w:rsidRPr="00A64197" w14:paraId="567841BE" w14:textId="77777777" w:rsidTr="009452C5">
        <w:trPr>
          <w:trHeight w:val="300"/>
          <w:jc w:val="center"/>
        </w:trPr>
        <w:tc>
          <w:tcPr>
            <w:tcW w:w="1069" w:type="pct"/>
            <w:tcBorders>
              <w:top w:val="nil"/>
              <w:left w:val="nil"/>
              <w:bottom w:val="nil"/>
              <w:right w:val="nil"/>
            </w:tcBorders>
            <w:noWrap/>
            <w:vAlign w:val="center"/>
          </w:tcPr>
          <w:p w14:paraId="43A99CB3" w14:textId="77777777" w:rsidR="007E345B" w:rsidRPr="00D16B7B" w:rsidRDefault="007E345B">
            <w:pPr>
              <w:rPr>
                <w:rFonts w:ascii="CAIXA Std Book" w:eastAsia="Times New Roman" w:hAnsi="CAIXA Std Book" w:cs="Arial"/>
                <w:color w:val="005CA9"/>
                <w:sz w:val="14"/>
                <w:szCs w:val="14"/>
              </w:rPr>
            </w:pPr>
            <w:r w:rsidRPr="00D16B7B">
              <w:rPr>
                <w:rFonts w:ascii="CAIXA Std Book" w:eastAsia="Times New Roman" w:hAnsi="CAIXA Std Book" w:cs="Arial"/>
                <w:color w:val="005CA9"/>
                <w:sz w:val="14"/>
                <w:szCs w:val="14"/>
              </w:rPr>
              <w:t>Rendas a receber</w:t>
            </w:r>
          </w:p>
        </w:tc>
        <w:tc>
          <w:tcPr>
            <w:tcW w:w="401" w:type="pct"/>
            <w:tcBorders>
              <w:top w:val="nil"/>
              <w:left w:val="nil"/>
              <w:bottom w:val="nil"/>
              <w:right w:val="nil"/>
            </w:tcBorders>
            <w:noWrap/>
            <w:vAlign w:val="center"/>
          </w:tcPr>
          <w:p w14:paraId="5CED5B1D" w14:textId="5D3B2198" w:rsidR="007E345B" w:rsidRPr="00F2340E" w:rsidRDefault="00D04AD7">
            <w:pPr>
              <w:jc w:val="right"/>
              <w:rPr>
                <w:rFonts w:ascii="CAIXA Std Book" w:eastAsia="Times New Roman" w:hAnsi="CAIXA Std Book" w:cs="Calibri"/>
                <w:color w:val="005CA9"/>
                <w:sz w:val="14"/>
                <w:szCs w:val="14"/>
              </w:rPr>
            </w:pPr>
            <w:r w:rsidRPr="00D04AD7">
              <w:rPr>
                <w:rFonts w:ascii="CAIXA Std Book" w:hAnsi="CAIXA Std Book" w:cs="Arial"/>
                <w:color w:val="005CA9"/>
                <w:sz w:val="14"/>
                <w:szCs w:val="14"/>
              </w:rPr>
              <w:t>680.185</w:t>
            </w:r>
          </w:p>
        </w:tc>
        <w:tc>
          <w:tcPr>
            <w:tcW w:w="392" w:type="pct"/>
            <w:tcBorders>
              <w:top w:val="nil"/>
              <w:left w:val="nil"/>
              <w:bottom w:val="nil"/>
              <w:right w:val="nil"/>
            </w:tcBorders>
            <w:noWrap/>
            <w:vAlign w:val="center"/>
          </w:tcPr>
          <w:p w14:paraId="18CD4A71" w14:textId="52F84740" w:rsidR="007E345B" w:rsidRPr="00F2340E" w:rsidRDefault="00D04AD7" w:rsidP="00D04AD7">
            <w:pPr>
              <w:jc w:val="right"/>
              <w:rPr>
                <w:rFonts w:ascii="CAIXA Std Book" w:eastAsia="Times New Roman" w:hAnsi="CAIXA Std Book" w:cs="Calibri"/>
                <w:color w:val="005CA9"/>
                <w:sz w:val="14"/>
                <w:szCs w:val="14"/>
              </w:rPr>
            </w:pPr>
            <w:r w:rsidRPr="00D04AD7">
              <w:rPr>
                <w:rFonts w:ascii="CAIXA Std Book" w:hAnsi="CAIXA Std Book" w:cs="Arial"/>
                <w:color w:val="005CA9"/>
                <w:sz w:val="14"/>
                <w:szCs w:val="14"/>
              </w:rPr>
              <w:t xml:space="preserve"> 80.773</w:t>
            </w:r>
          </w:p>
        </w:tc>
        <w:tc>
          <w:tcPr>
            <w:tcW w:w="392" w:type="pct"/>
            <w:tcBorders>
              <w:top w:val="nil"/>
              <w:left w:val="nil"/>
              <w:bottom w:val="nil"/>
              <w:right w:val="nil"/>
            </w:tcBorders>
            <w:noWrap/>
            <w:vAlign w:val="center"/>
          </w:tcPr>
          <w:p w14:paraId="16ADA1E7" w14:textId="19D2320D" w:rsidR="007E345B" w:rsidRPr="00F2340E" w:rsidRDefault="00D04AD7" w:rsidP="00D04AD7">
            <w:pPr>
              <w:jc w:val="right"/>
              <w:rPr>
                <w:rFonts w:ascii="CAIXA Std Book" w:eastAsia="Times New Roman" w:hAnsi="CAIXA Std Book" w:cs="Calibri"/>
                <w:color w:val="005CA9"/>
                <w:sz w:val="14"/>
                <w:szCs w:val="14"/>
              </w:rPr>
            </w:pPr>
            <w:r w:rsidRPr="00D04AD7">
              <w:rPr>
                <w:rFonts w:ascii="CAIXA Std Book" w:hAnsi="CAIXA Std Book" w:cs="Arial"/>
                <w:color w:val="005CA9"/>
                <w:sz w:val="14"/>
                <w:szCs w:val="14"/>
              </w:rPr>
              <w:t xml:space="preserve"> 2.494</w:t>
            </w:r>
          </w:p>
        </w:tc>
        <w:tc>
          <w:tcPr>
            <w:tcW w:w="392" w:type="pct"/>
            <w:tcBorders>
              <w:top w:val="nil"/>
              <w:left w:val="nil"/>
              <w:bottom w:val="nil"/>
              <w:right w:val="nil"/>
            </w:tcBorders>
            <w:vAlign w:val="center"/>
          </w:tcPr>
          <w:p w14:paraId="1E28CE05" w14:textId="2FD6E15C" w:rsidR="007E345B" w:rsidRPr="00F2340E" w:rsidRDefault="00D04AD7">
            <w:pPr>
              <w:jc w:val="center"/>
              <w:rPr>
                <w:rFonts w:ascii="CAIXA Std Book" w:eastAsia="Times New Roman" w:hAnsi="CAIXA Std Book" w:cs="Calibri"/>
                <w:color w:val="005CA9"/>
                <w:sz w:val="14"/>
                <w:szCs w:val="14"/>
              </w:rPr>
            </w:pPr>
            <w:r w:rsidRPr="00D04AD7">
              <w:rPr>
                <w:rFonts w:ascii="CAIXA Std Book" w:hAnsi="CAIXA Std Book" w:cs="Arial"/>
                <w:color w:val="005CA9"/>
                <w:sz w:val="14"/>
                <w:szCs w:val="14"/>
              </w:rPr>
              <w:t>-</w:t>
            </w:r>
          </w:p>
        </w:tc>
        <w:tc>
          <w:tcPr>
            <w:tcW w:w="393" w:type="pct"/>
            <w:tcBorders>
              <w:top w:val="nil"/>
              <w:left w:val="nil"/>
              <w:bottom w:val="nil"/>
              <w:right w:val="nil"/>
            </w:tcBorders>
            <w:vAlign w:val="center"/>
          </w:tcPr>
          <w:p w14:paraId="1E746B03" w14:textId="109CC376" w:rsidR="007E345B" w:rsidRPr="00F2340E" w:rsidRDefault="00D04AD7" w:rsidP="00D04AD7">
            <w:pPr>
              <w:jc w:val="right"/>
              <w:rPr>
                <w:rFonts w:ascii="CAIXA Std Book" w:eastAsia="Times New Roman" w:hAnsi="CAIXA Std Book" w:cs="Calibri"/>
                <w:color w:val="005CA9"/>
                <w:sz w:val="14"/>
                <w:szCs w:val="14"/>
              </w:rPr>
            </w:pPr>
            <w:r w:rsidRPr="00D04AD7">
              <w:rPr>
                <w:rFonts w:ascii="CAIXA Std Book" w:hAnsi="CAIXA Std Book" w:cs="Arial"/>
                <w:color w:val="005CA9"/>
                <w:sz w:val="14"/>
                <w:szCs w:val="14"/>
              </w:rPr>
              <w:t>526.490</w:t>
            </w:r>
          </w:p>
        </w:tc>
        <w:tc>
          <w:tcPr>
            <w:tcW w:w="392" w:type="pct"/>
            <w:tcBorders>
              <w:top w:val="nil"/>
              <w:left w:val="nil"/>
              <w:bottom w:val="nil"/>
              <w:right w:val="nil"/>
            </w:tcBorders>
            <w:vAlign w:val="center"/>
          </w:tcPr>
          <w:p w14:paraId="733A19B8" w14:textId="77777777" w:rsidR="007E345B" w:rsidRPr="003104FE" w:rsidRDefault="007E345B">
            <w:pPr>
              <w:ind w:firstLineChars="100" w:firstLine="140"/>
              <w:jc w:val="right"/>
              <w:rPr>
                <w:rFonts w:ascii="CAIXA Std Book" w:eastAsia="Times New Roman" w:hAnsi="CAIXA Std Book" w:cs="Calibri"/>
                <w:color w:val="005CA9"/>
                <w:sz w:val="14"/>
                <w:szCs w:val="14"/>
              </w:rPr>
            </w:pPr>
            <w:r w:rsidRPr="003104FE">
              <w:rPr>
                <w:rFonts w:ascii="CAIXA Std Book" w:eastAsia="Times New Roman" w:hAnsi="CAIXA Std Book" w:cs="Arial"/>
                <w:color w:val="005CA9"/>
                <w:sz w:val="14"/>
                <w:szCs w:val="14"/>
              </w:rPr>
              <w:t>662.955</w:t>
            </w:r>
          </w:p>
        </w:tc>
        <w:tc>
          <w:tcPr>
            <w:tcW w:w="392" w:type="pct"/>
            <w:tcBorders>
              <w:top w:val="nil"/>
              <w:left w:val="nil"/>
              <w:bottom w:val="nil"/>
              <w:right w:val="nil"/>
            </w:tcBorders>
            <w:vAlign w:val="center"/>
          </w:tcPr>
          <w:p w14:paraId="16F99A90" w14:textId="77777777" w:rsidR="007E345B" w:rsidRPr="003104FE" w:rsidRDefault="007E345B">
            <w:pPr>
              <w:ind w:firstLineChars="100" w:firstLine="140"/>
              <w:jc w:val="right"/>
              <w:rPr>
                <w:rFonts w:ascii="CAIXA Std Book" w:eastAsia="Times New Roman" w:hAnsi="CAIXA Std Book" w:cs="Calibri"/>
                <w:color w:val="005CA9"/>
                <w:sz w:val="14"/>
                <w:szCs w:val="14"/>
              </w:rPr>
            </w:pPr>
            <w:r w:rsidRPr="003104FE">
              <w:rPr>
                <w:rFonts w:ascii="CAIXA Std Book" w:hAnsi="CAIXA Std Book" w:cs="Calibri"/>
                <w:color w:val="005CA9"/>
                <w:sz w:val="14"/>
                <w:szCs w:val="14"/>
              </w:rPr>
              <w:t>165.368</w:t>
            </w:r>
          </w:p>
        </w:tc>
        <w:tc>
          <w:tcPr>
            <w:tcW w:w="392" w:type="pct"/>
            <w:tcBorders>
              <w:top w:val="nil"/>
              <w:left w:val="nil"/>
              <w:bottom w:val="nil"/>
              <w:right w:val="nil"/>
            </w:tcBorders>
            <w:vAlign w:val="center"/>
          </w:tcPr>
          <w:p w14:paraId="00AB3D64" w14:textId="77777777" w:rsidR="007E345B" w:rsidRPr="003104FE" w:rsidRDefault="007E345B">
            <w:pPr>
              <w:jc w:val="right"/>
              <w:rPr>
                <w:rFonts w:ascii="CAIXA Std Book" w:eastAsia="Times New Roman" w:hAnsi="CAIXA Std Book" w:cs="Calibri"/>
                <w:color w:val="005CA9"/>
                <w:sz w:val="14"/>
                <w:szCs w:val="14"/>
              </w:rPr>
            </w:pPr>
            <w:r w:rsidRPr="003104FE">
              <w:rPr>
                <w:rFonts w:ascii="CAIXA Std Book" w:hAnsi="CAIXA Std Book" w:cs="Calibri"/>
                <w:color w:val="005CA9"/>
                <w:sz w:val="14"/>
                <w:szCs w:val="14"/>
              </w:rPr>
              <w:t>205.084</w:t>
            </w:r>
          </w:p>
        </w:tc>
        <w:tc>
          <w:tcPr>
            <w:tcW w:w="392" w:type="pct"/>
            <w:tcBorders>
              <w:top w:val="nil"/>
              <w:left w:val="nil"/>
              <w:bottom w:val="nil"/>
              <w:right w:val="nil"/>
            </w:tcBorders>
            <w:vAlign w:val="center"/>
          </w:tcPr>
          <w:p w14:paraId="445EC5D9" w14:textId="77777777" w:rsidR="007E345B" w:rsidRPr="003104FE" w:rsidRDefault="007E345B" w:rsidP="004701E7">
            <w:pPr>
              <w:ind w:firstLineChars="100" w:firstLine="140"/>
              <w:jc w:val="center"/>
              <w:rPr>
                <w:rFonts w:ascii="CAIXA Std Book" w:eastAsia="Times New Roman" w:hAnsi="CAIXA Std Book" w:cs="Calibri"/>
                <w:color w:val="005CA9"/>
                <w:sz w:val="14"/>
                <w:szCs w:val="14"/>
              </w:rPr>
            </w:pPr>
            <w:r w:rsidRPr="003104FE">
              <w:rPr>
                <w:rFonts w:ascii="CAIXA Std Book" w:hAnsi="CAIXA Std Book" w:cs="Calibri"/>
                <w:color w:val="005CA9"/>
                <w:sz w:val="14"/>
                <w:szCs w:val="14"/>
              </w:rPr>
              <w:t>-</w:t>
            </w:r>
          </w:p>
        </w:tc>
        <w:tc>
          <w:tcPr>
            <w:tcW w:w="393" w:type="pct"/>
            <w:tcBorders>
              <w:top w:val="nil"/>
              <w:left w:val="nil"/>
              <w:bottom w:val="nil"/>
              <w:right w:val="nil"/>
            </w:tcBorders>
            <w:noWrap/>
            <w:vAlign w:val="center"/>
          </w:tcPr>
          <w:p w14:paraId="02D8E93C" w14:textId="77777777" w:rsidR="007E345B" w:rsidRPr="003104FE" w:rsidRDefault="007E345B">
            <w:pPr>
              <w:ind w:firstLineChars="100" w:firstLine="140"/>
              <w:jc w:val="right"/>
              <w:rPr>
                <w:rFonts w:ascii="CAIXA Std Book" w:eastAsia="Times New Roman" w:hAnsi="CAIXA Std Book" w:cs="Calibri"/>
                <w:color w:val="005CA9"/>
                <w:sz w:val="14"/>
                <w:szCs w:val="14"/>
              </w:rPr>
            </w:pPr>
            <w:r w:rsidRPr="003104FE">
              <w:rPr>
                <w:rFonts w:ascii="CAIXA Std Book" w:hAnsi="CAIXA Std Book" w:cs="Calibri"/>
                <w:color w:val="005CA9"/>
                <w:sz w:val="14"/>
                <w:szCs w:val="14"/>
              </w:rPr>
              <w:t>159.860</w:t>
            </w:r>
          </w:p>
        </w:tc>
      </w:tr>
      <w:tr w:rsidR="007E345B" w:rsidRPr="00A64197" w14:paraId="40B0ADC6" w14:textId="77777777" w:rsidTr="009452C5">
        <w:trPr>
          <w:trHeight w:val="300"/>
          <w:jc w:val="center"/>
        </w:trPr>
        <w:tc>
          <w:tcPr>
            <w:tcW w:w="1069" w:type="pct"/>
            <w:tcBorders>
              <w:top w:val="nil"/>
              <w:left w:val="nil"/>
              <w:bottom w:val="nil"/>
              <w:right w:val="nil"/>
            </w:tcBorders>
            <w:noWrap/>
            <w:vAlign w:val="center"/>
          </w:tcPr>
          <w:p w14:paraId="5E7EF08A" w14:textId="77777777" w:rsidR="007E345B" w:rsidRPr="00D16B7B" w:rsidRDefault="007E345B">
            <w:pPr>
              <w:rPr>
                <w:rFonts w:ascii="CAIXA Std Book" w:eastAsia="Times New Roman" w:hAnsi="CAIXA Std Book" w:cs="Arial"/>
                <w:color w:val="005CA9"/>
                <w:sz w:val="14"/>
                <w:szCs w:val="14"/>
              </w:rPr>
            </w:pPr>
            <w:r w:rsidRPr="00D16B7B">
              <w:rPr>
                <w:rFonts w:ascii="CAIXA Std Book" w:eastAsia="Times New Roman" w:hAnsi="CAIXA Std Book" w:cs="Arial"/>
                <w:color w:val="005CA9"/>
                <w:sz w:val="14"/>
                <w:szCs w:val="14"/>
              </w:rPr>
              <w:t>Operações de crédito</w:t>
            </w:r>
          </w:p>
        </w:tc>
        <w:tc>
          <w:tcPr>
            <w:tcW w:w="401" w:type="pct"/>
            <w:tcBorders>
              <w:top w:val="nil"/>
              <w:left w:val="nil"/>
              <w:bottom w:val="nil"/>
              <w:right w:val="nil"/>
            </w:tcBorders>
            <w:noWrap/>
            <w:vAlign w:val="center"/>
          </w:tcPr>
          <w:p w14:paraId="46DEB8CC" w14:textId="773D64E0" w:rsidR="007E345B" w:rsidRPr="00F2340E" w:rsidRDefault="00D04AD7" w:rsidP="00CB09FA">
            <w:pPr>
              <w:jc w:val="center"/>
              <w:rPr>
                <w:rFonts w:ascii="CAIXA Std Book" w:eastAsia="Times New Roman" w:hAnsi="CAIXA Std Book" w:cs="Calibri"/>
                <w:color w:val="005CA9"/>
                <w:sz w:val="14"/>
                <w:szCs w:val="14"/>
              </w:rPr>
            </w:pPr>
            <w:r w:rsidRPr="00D04AD7">
              <w:rPr>
                <w:rFonts w:ascii="CAIXA Std Book" w:hAnsi="CAIXA Std Book" w:cs="Arial"/>
                <w:color w:val="005CA9"/>
                <w:sz w:val="14"/>
                <w:szCs w:val="14"/>
              </w:rPr>
              <w:t>-</w:t>
            </w:r>
          </w:p>
        </w:tc>
        <w:tc>
          <w:tcPr>
            <w:tcW w:w="392" w:type="pct"/>
            <w:tcBorders>
              <w:top w:val="nil"/>
              <w:left w:val="nil"/>
              <w:bottom w:val="nil"/>
              <w:right w:val="nil"/>
            </w:tcBorders>
            <w:noWrap/>
            <w:vAlign w:val="center"/>
          </w:tcPr>
          <w:p w14:paraId="69643BB4" w14:textId="0953E309" w:rsidR="007E345B" w:rsidRPr="00F2340E" w:rsidRDefault="00D04AD7">
            <w:pPr>
              <w:jc w:val="center"/>
              <w:rPr>
                <w:rFonts w:ascii="CAIXA Std Book" w:eastAsia="Times New Roman" w:hAnsi="CAIXA Std Book" w:cs="Calibri"/>
                <w:color w:val="005CA9"/>
                <w:sz w:val="14"/>
                <w:szCs w:val="14"/>
              </w:rPr>
            </w:pPr>
            <w:r w:rsidRPr="00D04AD7">
              <w:rPr>
                <w:rFonts w:ascii="CAIXA Std Book" w:hAnsi="CAIXA Std Book" w:cs="Arial"/>
                <w:color w:val="005CA9"/>
                <w:sz w:val="14"/>
                <w:szCs w:val="14"/>
              </w:rPr>
              <w:t>-</w:t>
            </w:r>
          </w:p>
        </w:tc>
        <w:tc>
          <w:tcPr>
            <w:tcW w:w="392" w:type="pct"/>
            <w:tcBorders>
              <w:top w:val="nil"/>
              <w:left w:val="nil"/>
              <w:bottom w:val="nil"/>
              <w:right w:val="nil"/>
            </w:tcBorders>
            <w:noWrap/>
            <w:vAlign w:val="center"/>
          </w:tcPr>
          <w:p w14:paraId="4553612D" w14:textId="723974E8" w:rsidR="007E345B" w:rsidRPr="00F2340E" w:rsidRDefault="00D04AD7">
            <w:pPr>
              <w:jc w:val="center"/>
              <w:rPr>
                <w:rFonts w:ascii="CAIXA Std Book" w:eastAsia="Times New Roman" w:hAnsi="CAIXA Std Book" w:cs="Calibri"/>
                <w:color w:val="005CA9"/>
                <w:sz w:val="14"/>
                <w:szCs w:val="14"/>
              </w:rPr>
            </w:pPr>
            <w:r w:rsidRPr="00D04AD7">
              <w:rPr>
                <w:rFonts w:ascii="CAIXA Std Book" w:hAnsi="CAIXA Std Book" w:cs="Arial"/>
                <w:color w:val="005CA9"/>
                <w:sz w:val="14"/>
                <w:szCs w:val="14"/>
              </w:rPr>
              <w:t>-</w:t>
            </w:r>
          </w:p>
        </w:tc>
        <w:tc>
          <w:tcPr>
            <w:tcW w:w="392" w:type="pct"/>
            <w:tcBorders>
              <w:top w:val="nil"/>
              <w:left w:val="nil"/>
              <w:bottom w:val="nil"/>
              <w:right w:val="nil"/>
            </w:tcBorders>
            <w:vAlign w:val="center"/>
          </w:tcPr>
          <w:p w14:paraId="2AC3CDB2" w14:textId="5D6147EB" w:rsidR="007E345B" w:rsidRPr="00F2340E" w:rsidRDefault="00D04AD7" w:rsidP="00D04AD7">
            <w:pPr>
              <w:jc w:val="right"/>
              <w:rPr>
                <w:rFonts w:ascii="CAIXA Std Book" w:eastAsia="Times New Roman" w:hAnsi="CAIXA Std Book" w:cs="Calibri"/>
                <w:color w:val="005CA9"/>
                <w:sz w:val="14"/>
                <w:szCs w:val="14"/>
              </w:rPr>
            </w:pPr>
            <w:r w:rsidRPr="00D04AD7">
              <w:rPr>
                <w:rFonts w:ascii="CAIXA Std Book" w:hAnsi="CAIXA Std Book" w:cs="Arial"/>
                <w:color w:val="005CA9"/>
                <w:sz w:val="14"/>
                <w:szCs w:val="14"/>
              </w:rPr>
              <w:t>3.034</w:t>
            </w:r>
          </w:p>
        </w:tc>
        <w:tc>
          <w:tcPr>
            <w:tcW w:w="393" w:type="pct"/>
            <w:tcBorders>
              <w:top w:val="nil"/>
              <w:left w:val="nil"/>
              <w:bottom w:val="nil"/>
              <w:right w:val="nil"/>
            </w:tcBorders>
            <w:vAlign w:val="center"/>
          </w:tcPr>
          <w:p w14:paraId="34B6F10B" w14:textId="69033273" w:rsidR="007E345B" w:rsidRPr="00F2340E" w:rsidRDefault="00D04AD7" w:rsidP="00D04AD7">
            <w:pPr>
              <w:jc w:val="right"/>
              <w:rPr>
                <w:rFonts w:ascii="CAIXA Std Book" w:eastAsia="Times New Roman" w:hAnsi="CAIXA Std Book" w:cs="Calibri"/>
                <w:color w:val="005CA9"/>
                <w:sz w:val="14"/>
                <w:szCs w:val="14"/>
              </w:rPr>
            </w:pPr>
            <w:r w:rsidRPr="00D04AD7">
              <w:rPr>
                <w:rFonts w:ascii="CAIXA Std Book" w:hAnsi="CAIXA Std Book" w:cs="Arial"/>
                <w:color w:val="005CA9"/>
                <w:sz w:val="14"/>
                <w:szCs w:val="14"/>
              </w:rPr>
              <w:t>6.564.908</w:t>
            </w:r>
          </w:p>
        </w:tc>
        <w:tc>
          <w:tcPr>
            <w:tcW w:w="392" w:type="pct"/>
            <w:tcBorders>
              <w:top w:val="nil"/>
              <w:left w:val="nil"/>
              <w:bottom w:val="nil"/>
              <w:right w:val="nil"/>
            </w:tcBorders>
            <w:vAlign w:val="center"/>
          </w:tcPr>
          <w:p w14:paraId="694A027E" w14:textId="77777777" w:rsidR="007E345B" w:rsidRPr="003104FE" w:rsidRDefault="007E345B">
            <w:pPr>
              <w:ind w:firstLineChars="100" w:firstLine="140"/>
              <w:jc w:val="right"/>
              <w:rPr>
                <w:rFonts w:ascii="CAIXA Std Book" w:eastAsia="Times New Roman" w:hAnsi="CAIXA Std Book" w:cs="Calibri"/>
                <w:color w:val="005CA9"/>
                <w:sz w:val="14"/>
                <w:szCs w:val="14"/>
              </w:rPr>
            </w:pPr>
            <w:r w:rsidRPr="003104FE">
              <w:rPr>
                <w:rFonts w:ascii="CAIXA Std Book" w:hAnsi="CAIXA Std Book" w:cs="Calibri"/>
                <w:color w:val="005CA9"/>
                <w:sz w:val="14"/>
                <w:szCs w:val="14"/>
              </w:rPr>
              <w:t>29</w:t>
            </w:r>
          </w:p>
        </w:tc>
        <w:tc>
          <w:tcPr>
            <w:tcW w:w="392" w:type="pct"/>
            <w:tcBorders>
              <w:top w:val="nil"/>
              <w:left w:val="nil"/>
              <w:bottom w:val="nil"/>
              <w:right w:val="nil"/>
            </w:tcBorders>
            <w:vAlign w:val="center"/>
          </w:tcPr>
          <w:p w14:paraId="574E9143" w14:textId="77777777" w:rsidR="007E345B" w:rsidRPr="003104FE" w:rsidRDefault="007E345B" w:rsidP="004701E7">
            <w:pPr>
              <w:ind w:firstLineChars="100" w:firstLine="140"/>
              <w:jc w:val="center"/>
              <w:rPr>
                <w:rFonts w:ascii="CAIXA Std Book" w:eastAsia="Times New Roman" w:hAnsi="CAIXA Std Book" w:cs="Calibri"/>
                <w:color w:val="005CA9"/>
                <w:sz w:val="14"/>
                <w:szCs w:val="14"/>
              </w:rPr>
            </w:pPr>
            <w:r w:rsidRPr="003104FE">
              <w:rPr>
                <w:rFonts w:ascii="CAIXA Std Book" w:hAnsi="CAIXA Std Book" w:cs="Calibri"/>
                <w:color w:val="005CA9"/>
                <w:sz w:val="14"/>
                <w:szCs w:val="14"/>
              </w:rPr>
              <w:t>-</w:t>
            </w:r>
          </w:p>
        </w:tc>
        <w:tc>
          <w:tcPr>
            <w:tcW w:w="392" w:type="pct"/>
            <w:tcBorders>
              <w:top w:val="nil"/>
              <w:left w:val="nil"/>
              <w:bottom w:val="nil"/>
              <w:right w:val="nil"/>
            </w:tcBorders>
            <w:vAlign w:val="center"/>
          </w:tcPr>
          <w:p w14:paraId="7C2789FB" w14:textId="77777777" w:rsidR="007E345B" w:rsidRPr="003104FE" w:rsidRDefault="007E345B" w:rsidP="004701E7">
            <w:pPr>
              <w:jc w:val="center"/>
              <w:rPr>
                <w:rFonts w:ascii="CAIXA Std Book" w:eastAsia="Times New Roman" w:hAnsi="CAIXA Std Book" w:cs="Calibri"/>
                <w:color w:val="005CA9"/>
                <w:sz w:val="14"/>
                <w:szCs w:val="14"/>
              </w:rPr>
            </w:pPr>
            <w:r w:rsidRPr="003104FE">
              <w:rPr>
                <w:rFonts w:ascii="CAIXA Std Book" w:hAnsi="CAIXA Std Book" w:cs="Calibri"/>
                <w:color w:val="005CA9"/>
                <w:sz w:val="14"/>
                <w:szCs w:val="14"/>
              </w:rPr>
              <w:t>-</w:t>
            </w:r>
          </w:p>
        </w:tc>
        <w:tc>
          <w:tcPr>
            <w:tcW w:w="392" w:type="pct"/>
            <w:tcBorders>
              <w:top w:val="nil"/>
              <w:left w:val="nil"/>
              <w:bottom w:val="nil"/>
              <w:right w:val="nil"/>
            </w:tcBorders>
            <w:vAlign w:val="center"/>
          </w:tcPr>
          <w:p w14:paraId="13E56FCD" w14:textId="77777777" w:rsidR="007E345B" w:rsidRPr="003104FE" w:rsidRDefault="007E345B">
            <w:pPr>
              <w:ind w:firstLineChars="100" w:firstLine="140"/>
              <w:jc w:val="right"/>
              <w:rPr>
                <w:rFonts w:ascii="CAIXA Std Book" w:eastAsia="Times New Roman" w:hAnsi="CAIXA Std Book" w:cs="Calibri"/>
                <w:color w:val="005CA9"/>
                <w:sz w:val="14"/>
                <w:szCs w:val="14"/>
              </w:rPr>
            </w:pPr>
            <w:r w:rsidRPr="003104FE">
              <w:rPr>
                <w:rFonts w:ascii="CAIXA Std Book" w:hAnsi="CAIXA Std Book" w:cs="Calibri"/>
                <w:color w:val="005CA9"/>
                <w:sz w:val="14"/>
                <w:szCs w:val="14"/>
              </w:rPr>
              <w:t>36.105</w:t>
            </w:r>
          </w:p>
        </w:tc>
        <w:tc>
          <w:tcPr>
            <w:tcW w:w="393" w:type="pct"/>
            <w:tcBorders>
              <w:top w:val="nil"/>
              <w:left w:val="nil"/>
              <w:bottom w:val="nil"/>
              <w:right w:val="nil"/>
            </w:tcBorders>
            <w:noWrap/>
            <w:vAlign w:val="center"/>
          </w:tcPr>
          <w:p w14:paraId="63FECAA3" w14:textId="77777777" w:rsidR="007E345B" w:rsidRPr="003104FE" w:rsidRDefault="007E345B">
            <w:pPr>
              <w:ind w:firstLineChars="100" w:firstLine="140"/>
              <w:jc w:val="right"/>
              <w:rPr>
                <w:rFonts w:ascii="CAIXA Std Book" w:eastAsia="Times New Roman" w:hAnsi="CAIXA Std Book" w:cs="Calibri"/>
                <w:color w:val="005CA9"/>
                <w:sz w:val="14"/>
                <w:szCs w:val="14"/>
              </w:rPr>
            </w:pPr>
            <w:r w:rsidRPr="003104FE">
              <w:rPr>
                <w:rFonts w:ascii="CAIXA Std Book" w:hAnsi="CAIXA Std Book" w:cs="Calibri"/>
                <w:color w:val="005CA9"/>
                <w:sz w:val="14"/>
                <w:szCs w:val="14"/>
              </w:rPr>
              <w:t>3.191.030</w:t>
            </w:r>
          </w:p>
        </w:tc>
      </w:tr>
      <w:tr w:rsidR="007E345B" w:rsidRPr="00A64197" w14:paraId="26E22A1C" w14:textId="77777777" w:rsidTr="009452C5">
        <w:trPr>
          <w:trHeight w:val="300"/>
          <w:jc w:val="center"/>
        </w:trPr>
        <w:tc>
          <w:tcPr>
            <w:tcW w:w="1069" w:type="pct"/>
            <w:tcBorders>
              <w:top w:val="nil"/>
              <w:left w:val="nil"/>
              <w:bottom w:val="nil"/>
              <w:right w:val="nil"/>
            </w:tcBorders>
            <w:noWrap/>
            <w:vAlign w:val="center"/>
          </w:tcPr>
          <w:p w14:paraId="5507679C" w14:textId="77777777" w:rsidR="007E345B" w:rsidRPr="00D16B7B" w:rsidRDefault="007E345B">
            <w:pPr>
              <w:rPr>
                <w:rFonts w:ascii="CAIXA Std Book" w:eastAsia="Times New Roman" w:hAnsi="CAIXA Std Book" w:cs="Arial"/>
                <w:color w:val="005CA9"/>
                <w:sz w:val="14"/>
                <w:szCs w:val="14"/>
              </w:rPr>
            </w:pPr>
            <w:r w:rsidRPr="00D16B7B">
              <w:rPr>
                <w:rFonts w:ascii="CAIXA Std Book" w:eastAsia="Times New Roman" w:hAnsi="CAIXA Std Book" w:cs="Arial"/>
                <w:color w:val="005CA9"/>
                <w:sz w:val="14"/>
                <w:szCs w:val="14"/>
              </w:rPr>
              <w:t>Perdas esperadas em operações de crédito</w:t>
            </w:r>
          </w:p>
        </w:tc>
        <w:tc>
          <w:tcPr>
            <w:tcW w:w="401" w:type="pct"/>
            <w:tcBorders>
              <w:top w:val="nil"/>
              <w:left w:val="nil"/>
              <w:bottom w:val="nil"/>
              <w:right w:val="nil"/>
            </w:tcBorders>
            <w:noWrap/>
            <w:vAlign w:val="center"/>
          </w:tcPr>
          <w:p w14:paraId="181EADFB" w14:textId="7DA0FE2E" w:rsidR="007E345B" w:rsidRPr="00F2340E" w:rsidRDefault="00D04AD7" w:rsidP="00CB09FA">
            <w:pPr>
              <w:jc w:val="center"/>
              <w:rPr>
                <w:rFonts w:ascii="CAIXA Std Book" w:eastAsia="Times New Roman" w:hAnsi="CAIXA Std Book" w:cs="Calibri"/>
                <w:color w:val="005CA9"/>
                <w:sz w:val="14"/>
                <w:szCs w:val="14"/>
              </w:rPr>
            </w:pPr>
            <w:r w:rsidRPr="00D04AD7">
              <w:rPr>
                <w:rFonts w:ascii="CAIXA Std Book" w:hAnsi="CAIXA Std Book" w:cs="Arial"/>
                <w:color w:val="005CA9"/>
                <w:sz w:val="14"/>
                <w:szCs w:val="14"/>
              </w:rPr>
              <w:t>-</w:t>
            </w:r>
          </w:p>
        </w:tc>
        <w:tc>
          <w:tcPr>
            <w:tcW w:w="392" w:type="pct"/>
            <w:tcBorders>
              <w:top w:val="nil"/>
              <w:left w:val="nil"/>
              <w:bottom w:val="nil"/>
              <w:right w:val="nil"/>
            </w:tcBorders>
            <w:noWrap/>
            <w:vAlign w:val="center"/>
          </w:tcPr>
          <w:p w14:paraId="6C0535A5" w14:textId="24442393" w:rsidR="007E345B" w:rsidRPr="00F2340E" w:rsidRDefault="00D04AD7">
            <w:pPr>
              <w:jc w:val="center"/>
              <w:rPr>
                <w:rFonts w:ascii="CAIXA Std Book" w:eastAsia="Times New Roman" w:hAnsi="CAIXA Std Book" w:cs="Calibri"/>
                <w:color w:val="005CA9"/>
                <w:sz w:val="14"/>
                <w:szCs w:val="14"/>
              </w:rPr>
            </w:pPr>
            <w:r w:rsidRPr="00D04AD7">
              <w:rPr>
                <w:rFonts w:ascii="CAIXA Std Book" w:hAnsi="CAIXA Std Book" w:cs="Arial"/>
                <w:color w:val="005CA9"/>
                <w:sz w:val="14"/>
                <w:szCs w:val="14"/>
              </w:rPr>
              <w:t>-</w:t>
            </w:r>
          </w:p>
        </w:tc>
        <w:tc>
          <w:tcPr>
            <w:tcW w:w="392" w:type="pct"/>
            <w:tcBorders>
              <w:top w:val="nil"/>
              <w:left w:val="nil"/>
              <w:bottom w:val="nil"/>
              <w:right w:val="nil"/>
            </w:tcBorders>
            <w:noWrap/>
            <w:vAlign w:val="center"/>
          </w:tcPr>
          <w:p w14:paraId="1EE7F560" w14:textId="6515716D" w:rsidR="007E345B" w:rsidRPr="00F2340E" w:rsidRDefault="00D04AD7">
            <w:pPr>
              <w:jc w:val="center"/>
              <w:rPr>
                <w:rFonts w:ascii="CAIXA Std Book" w:eastAsia="Times New Roman" w:hAnsi="CAIXA Std Book" w:cs="Calibri"/>
                <w:color w:val="005CA9"/>
                <w:sz w:val="14"/>
                <w:szCs w:val="14"/>
              </w:rPr>
            </w:pPr>
            <w:r w:rsidRPr="00D04AD7">
              <w:rPr>
                <w:rFonts w:ascii="CAIXA Std Book" w:hAnsi="CAIXA Std Book" w:cs="Arial"/>
                <w:color w:val="005CA9"/>
                <w:sz w:val="14"/>
                <w:szCs w:val="14"/>
              </w:rPr>
              <w:t>-</w:t>
            </w:r>
          </w:p>
        </w:tc>
        <w:tc>
          <w:tcPr>
            <w:tcW w:w="392" w:type="pct"/>
            <w:tcBorders>
              <w:top w:val="nil"/>
              <w:left w:val="nil"/>
              <w:bottom w:val="nil"/>
              <w:right w:val="nil"/>
            </w:tcBorders>
            <w:vAlign w:val="center"/>
          </w:tcPr>
          <w:p w14:paraId="43BD3639" w14:textId="02AD5731" w:rsidR="007E345B" w:rsidRPr="00F2340E" w:rsidRDefault="00D04AD7" w:rsidP="00D04AD7">
            <w:pPr>
              <w:jc w:val="right"/>
              <w:rPr>
                <w:rFonts w:ascii="CAIXA Std Book" w:eastAsia="Times New Roman" w:hAnsi="CAIXA Std Book" w:cs="Calibri"/>
                <w:color w:val="005CA9"/>
                <w:sz w:val="14"/>
                <w:szCs w:val="14"/>
              </w:rPr>
            </w:pPr>
            <w:r w:rsidRPr="00D04AD7">
              <w:rPr>
                <w:rFonts w:ascii="CAIXA Std Book" w:hAnsi="CAIXA Std Book" w:cs="Arial"/>
                <w:color w:val="005CA9"/>
                <w:sz w:val="14"/>
                <w:szCs w:val="14"/>
              </w:rPr>
              <w:t>(17)</w:t>
            </w:r>
          </w:p>
        </w:tc>
        <w:tc>
          <w:tcPr>
            <w:tcW w:w="393" w:type="pct"/>
            <w:tcBorders>
              <w:top w:val="nil"/>
              <w:left w:val="nil"/>
              <w:bottom w:val="nil"/>
              <w:right w:val="nil"/>
            </w:tcBorders>
            <w:vAlign w:val="center"/>
          </w:tcPr>
          <w:p w14:paraId="4CD5F416" w14:textId="4EF69830" w:rsidR="007E345B" w:rsidRPr="00F2340E" w:rsidRDefault="00D04AD7" w:rsidP="00D04AD7">
            <w:pPr>
              <w:jc w:val="right"/>
              <w:rPr>
                <w:rFonts w:ascii="CAIXA Std Book" w:eastAsia="Times New Roman" w:hAnsi="CAIXA Std Book" w:cs="Calibri"/>
                <w:color w:val="005CA9"/>
                <w:sz w:val="14"/>
                <w:szCs w:val="14"/>
              </w:rPr>
            </w:pPr>
            <w:r w:rsidRPr="00D04AD7">
              <w:rPr>
                <w:rFonts w:ascii="CAIXA Std Book" w:hAnsi="CAIXA Std Book" w:cs="Arial"/>
                <w:color w:val="005CA9"/>
                <w:sz w:val="14"/>
                <w:szCs w:val="14"/>
              </w:rPr>
              <w:t>(381.538)</w:t>
            </w:r>
          </w:p>
        </w:tc>
        <w:tc>
          <w:tcPr>
            <w:tcW w:w="392" w:type="pct"/>
            <w:tcBorders>
              <w:top w:val="nil"/>
              <w:left w:val="nil"/>
              <w:bottom w:val="nil"/>
              <w:right w:val="nil"/>
            </w:tcBorders>
            <w:vAlign w:val="center"/>
          </w:tcPr>
          <w:p w14:paraId="4701BF7E" w14:textId="77777777" w:rsidR="007E345B" w:rsidRPr="003104FE" w:rsidRDefault="007E345B" w:rsidP="004701E7">
            <w:pPr>
              <w:ind w:firstLineChars="100" w:firstLine="140"/>
              <w:jc w:val="center"/>
              <w:rPr>
                <w:rFonts w:ascii="CAIXA Std Book" w:eastAsia="Times New Roman" w:hAnsi="CAIXA Std Book" w:cs="Calibri"/>
                <w:color w:val="005CA9"/>
                <w:sz w:val="14"/>
                <w:szCs w:val="14"/>
              </w:rPr>
            </w:pPr>
            <w:r w:rsidRPr="003104FE">
              <w:rPr>
                <w:rFonts w:ascii="CAIXA Std Book" w:eastAsia="Times New Roman" w:hAnsi="CAIXA Std Book" w:cs="Arial"/>
                <w:color w:val="005CA9"/>
                <w:sz w:val="14"/>
                <w:szCs w:val="14"/>
              </w:rPr>
              <w:t>-</w:t>
            </w:r>
          </w:p>
        </w:tc>
        <w:tc>
          <w:tcPr>
            <w:tcW w:w="392" w:type="pct"/>
            <w:tcBorders>
              <w:top w:val="nil"/>
              <w:left w:val="nil"/>
              <w:bottom w:val="nil"/>
              <w:right w:val="nil"/>
            </w:tcBorders>
            <w:vAlign w:val="center"/>
          </w:tcPr>
          <w:p w14:paraId="291C13E6" w14:textId="77777777" w:rsidR="007E345B" w:rsidRPr="003104FE" w:rsidRDefault="007E345B" w:rsidP="004701E7">
            <w:pPr>
              <w:ind w:firstLineChars="100" w:firstLine="140"/>
              <w:jc w:val="center"/>
              <w:rPr>
                <w:rFonts w:ascii="CAIXA Std Book" w:eastAsia="Times New Roman" w:hAnsi="CAIXA Std Book" w:cs="Calibri"/>
                <w:color w:val="005CA9"/>
                <w:sz w:val="14"/>
                <w:szCs w:val="14"/>
              </w:rPr>
            </w:pPr>
            <w:r w:rsidRPr="003104FE">
              <w:rPr>
                <w:rFonts w:ascii="CAIXA Std Book" w:hAnsi="CAIXA Std Book" w:cs="Calibri"/>
                <w:color w:val="005CA9"/>
                <w:sz w:val="14"/>
                <w:szCs w:val="14"/>
              </w:rPr>
              <w:t>-</w:t>
            </w:r>
          </w:p>
        </w:tc>
        <w:tc>
          <w:tcPr>
            <w:tcW w:w="392" w:type="pct"/>
            <w:tcBorders>
              <w:top w:val="nil"/>
              <w:left w:val="nil"/>
              <w:bottom w:val="nil"/>
              <w:right w:val="nil"/>
            </w:tcBorders>
            <w:vAlign w:val="center"/>
          </w:tcPr>
          <w:p w14:paraId="35343134" w14:textId="77777777" w:rsidR="007E345B" w:rsidRPr="003104FE" w:rsidRDefault="007E345B" w:rsidP="004701E7">
            <w:pPr>
              <w:jc w:val="center"/>
              <w:rPr>
                <w:rFonts w:ascii="CAIXA Std Book" w:eastAsia="Times New Roman" w:hAnsi="CAIXA Std Book" w:cs="Calibri"/>
                <w:color w:val="005CA9"/>
                <w:sz w:val="14"/>
                <w:szCs w:val="14"/>
              </w:rPr>
            </w:pPr>
            <w:r w:rsidRPr="003104FE">
              <w:rPr>
                <w:rFonts w:ascii="CAIXA Std Book" w:hAnsi="CAIXA Std Book" w:cs="Calibri"/>
                <w:color w:val="005CA9"/>
                <w:sz w:val="14"/>
                <w:szCs w:val="14"/>
              </w:rPr>
              <w:t>-</w:t>
            </w:r>
          </w:p>
        </w:tc>
        <w:tc>
          <w:tcPr>
            <w:tcW w:w="392" w:type="pct"/>
            <w:tcBorders>
              <w:top w:val="nil"/>
              <w:left w:val="nil"/>
              <w:bottom w:val="nil"/>
              <w:right w:val="nil"/>
            </w:tcBorders>
            <w:vAlign w:val="center"/>
          </w:tcPr>
          <w:p w14:paraId="2E5058C8" w14:textId="77777777" w:rsidR="007E345B" w:rsidRPr="003104FE" w:rsidRDefault="007E345B">
            <w:pPr>
              <w:ind w:firstLineChars="100" w:firstLine="140"/>
              <w:jc w:val="right"/>
              <w:rPr>
                <w:rFonts w:ascii="CAIXA Std Book" w:eastAsia="Times New Roman" w:hAnsi="CAIXA Std Book" w:cs="Calibri"/>
                <w:color w:val="005CA9"/>
                <w:sz w:val="14"/>
                <w:szCs w:val="14"/>
              </w:rPr>
            </w:pPr>
            <w:r w:rsidRPr="003104FE">
              <w:rPr>
                <w:rFonts w:ascii="CAIXA Std Book" w:hAnsi="CAIXA Std Book" w:cs="Calibri"/>
                <w:color w:val="005CA9"/>
                <w:sz w:val="14"/>
                <w:szCs w:val="14"/>
              </w:rPr>
              <w:t>(531)</w:t>
            </w:r>
          </w:p>
        </w:tc>
        <w:tc>
          <w:tcPr>
            <w:tcW w:w="393" w:type="pct"/>
            <w:tcBorders>
              <w:top w:val="nil"/>
              <w:left w:val="nil"/>
              <w:bottom w:val="nil"/>
              <w:right w:val="nil"/>
            </w:tcBorders>
            <w:noWrap/>
            <w:vAlign w:val="center"/>
          </w:tcPr>
          <w:p w14:paraId="5B6AAFAB" w14:textId="77777777" w:rsidR="007E345B" w:rsidRPr="003104FE" w:rsidRDefault="007E345B">
            <w:pPr>
              <w:ind w:firstLineChars="100" w:firstLine="140"/>
              <w:jc w:val="right"/>
              <w:rPr>
                <w:rFonts w:ascii="CAIXA Std Book" w:eastAsia="Times New Roman" w:hAnsi="CAIXA Std Book" w:cs="Calibri"/>
                <w:color w:val="005CA9"/>
                <w:sz w:val="14"/>
                <w:szCs w:val="14"/>
              </w:rPr>
            </w:pPr>
            <w:r w:rsidRPr="003104FE">
              <w:rPr>
                <w:rFonts w:ascii="CAIXA Std Book" w:hAnsi="CAIXA Std Book" w:cs="Calibri"/>
                <w:color w:val="005CA9"/>
                <w:sz w:val="14"/>
                <w:szCs w:val="14"/>
              </w:rPr>
              <w:t>(411.239)</w:t>
            </w:r>
          </w:p>
        </w:tc>
      </w:tr>
      <w:tr w:rsidR="007E345B" w:rsidRPr="00A64197" w14:paraId="056AA400" w14:textId="77777777" w:rsidTr="009452C5">
        <w:trPr>
          <w:trHeight w:val="300"/>
          <w:jc w:val="center"/>
        </w:trPr>
        <w:tc>
          <w:tcPr>
            <w:tcW w:w="1069" w:type="pct"/>
            <w:tcBorders>
              <w:top w:val="nil"/>
              <w:left w:val="nil"/>
              <w:bottom w:val="nil"/>
              <w:right w:val="nil"/>
            </w:tcBorders>
            <w:noWrap/>
            <w:vAlign w:val="center"/>
          </w:tcPr>
          <w:p w14:paraId="4D7638BB" w14:textId="77777777" w:rsidR="007E345B" w:rsidRPr="00D16B7B" w:rsidRDefault="007E345B">
            <w:pPr>
              <w:rPr>
                <w:rFonts w:ascii="CAIXA Std Book" w:eastAsia="Times New Roman" w:hAnsi="CAIXA Std Book" w:cs="Calibri"/>
                <w:color w:val="005CA9"/>
                <w:sz w:val="14"/>
                <w:szCs w:val="14"/>
              </w:rPr>
            </w:pPr>
            <w:r w:rsidRPr="00D16B7B">
              <w:rPr>
                <w:rFonts w:ascii="CAIXA Std Book" w:eastAsia="Times New Roman" w:hAnsi="CAIXA Std Book" w:cs="Arial"/>
                <w:color w:val="005CA9"/>
                <w:sz w:val="14"/>
                <w:szCs w:val="14"/>
              </w:rPr>
              <w:t>Outros ativos financeiros</w:t>
            </w:r>
          </w:p>
        </w:tc>
        <w:tc>
          <w:tcPr>
            <w:tcW w:w="401" w:type="pct"/>
            <w:tcBorders>
              <w:top w:val="nil"/>
              <w:left w:val="nil"/>
              <w:bottom w:val="nil"/>
              <w:right w:val="nil"/>
            </w:tcBorders>
            <w:noWrap/>
            <w:vAlign w:val="center"/>
          </w:tcPr>
          <w:p w14:paraId="4B6B3F7D" w14:textId="5C305B5D" w:rsidR="007E345B" w:rsidRPr="00F2340E" w:rsidRDefault="00D04AD7">
            <w:pPr>
              <w:ind w:firstLineChars="100" w:firstLine="140"/>
              <w:jc w:val="right"/>
              <w:rPr>
                <w:rFonts w:ascii="CAIXA Std Book" w:eastAsia="Times New Roman" w:hAnsi="CAIXA Std Book" w:cs="Calibri"/>
                <w:color w:val="005CA9"/>
                <w:sz w:val="14"/>
                <w:szCs w:val="14"/>
              </w:rPr>
            </w:pPr>
            <w:r w:rsidRPr="00D04AD7">
              <w:rPr>
                <w:rFonts w:ascii="CAIXA Std Book" w:hAnsi="CAIXA Std Book" w:cs="Arial"/>
                <w:color w:val="005CA9"/>
                <w:sz w:val="14"/>
                <w:szCs w:val="14"/>
              </w:rPr>
              <w:t>322.558</w:t>
            </w:r>
          </w:p>
        </w:tc>
        <w:tc>
          <w:tcPr>
            <w:tcW w:w="392" w:type="pct"/>
            <w:tcBorders>
              <w:top w:val="nil"/>
              <w:left w:val="nil"/>
              <w:bottom w:val="nil"/>
              <w:right w:val="nil"/>
            </w:tcBorders>
            <w:noWrap/>
            <w:vAlign w:val="center"/>
          </w:tcPr>
          <w:p w14:paraId="6C6F8B47" w14:textId="462DEBE1" w:rsidR="007E345B" w:rsidRPr="00F2340E" w:rsidRDefault="00D04AD7">
            <w:pPr>
              <w:jc w:val="right"/>
              <w:rPr>
                <w:rFonts w:ascii="CAIXA Std Book" w:eastAsia="Times New Roman" w:hAnsi="CAIXA Std Book" w:cs="Calibri"/>
                <w:color w:val="005CA9"/>
                <w:sz w:val="14"/>
                <w:szCs w:val="14"/>
              </w:rPr>
            </w:pPr>
            <w:r w:rsidRPr="00D04AD7">
              <w:rPr>
                <w:rFonts w:ascii="CAIXA Std Book" w:hAnsi="CAIXA Std Book" w:cs="Arial"/>
                <w:color w:val="005CA9"/>
                <w:sz w:val="14"/>
                <w:szCs w:val="14"/>
              </w:rPr>
              <w:t>287.827</w:t>
            </w:r>
          </w:p>
        </w:tc>
        <w:tc>
          <w:tcPr>
            <w:tcW w:w="392" w:type="pct"/>
            <w:tcBorders>
              <w:top w:val="nil"/>
              <w:left w:val="nil"/>
              <w:bottom w:val="nil"/>
              <w:right w:val="nil"/>
            </w:tcBorders>
            <w:noWrap/>
            <w:vAlign w:val="center"/>
          </w:tcPr>
          <w:p w14:paraId="0E3F2014" w14:textId="0AD2852B" w:rsidR="007E345B" w:rsidRPr="00F2340E" w:rsidRDefault="00D04AD7" w:rsidP="00CB09FA">
            <w:pPr>
              <w:jc w:val="center"/>
              <w:rPr>
                <w:rFonts w:ascii="CAIXA Std Book" w:eastAsia="Times New Roman" w:hAnsi="CAIXA Std Book" w:cs="Calibri"/>
                <w:color w:val="005CA9"/>
                <w:sz w:val="14"/>
                <w:szCs w:val="14"/>
              </w:rPr>
            </w:pPr>
            <w:r w:rsidRPr="00D04AD7">
              <w:rPr>
                <w:rFonts w:ascii="CAIXA Std Book" w:hAnsi="CAIXA Std Book" w:cs="Arial"/>
                <w:color w:val="005CA9"/>
                <w:sz w:val="14"/>
                <w:szCs w:val="14"/>
              </w:rPr>
              <w:t>-</w:t>
            </w:r>
          </w:p>
        </w:tc>
        <w:tc>
          <w:tcPr>
            <w:tcW w:w="392" w:type="pct"/>
            <w:tcBorders>
              <w:top w:val="nil"/>
              <w:left w:val="nil"/>
              <w:bottom w:val="nil"/>
              <w:right w:val="nil"/>
            </w:tcBorders>
            <w:vAlign w:val="center"/>
          </w:tcPr>
          <w:p w14:paraId="26BE475B" w14:textId="7810DA55" w:rsidR="007E345B" w:rsidRPr="00F2340E" w:rsidRDefault="00D04AD7">
            <w:pPr>
              <w:jc w:val="right"/>
              <w:rPr>
                <w:rFonts w:ascii="CAIXA Std Book" w:eastAsia="Times New Roman" w:hAnsi="CAIXA Std Book" w:cs="Calibri"/>
                <w:color w:val="005CA9"/>
                <w:sz w:val="14"/>
                <w:szCs w:val="14"/>
              </w:rPr>
            </w:pPr>
            <w:r w:rsidRPr="00D04AD7">
              <w:rPr>
                <w:rFonts w:ascii="CAIXA Std Book" w:hAnsi="CAIXA Std Book" w:cs="Arial"/>
                <w:color w:val="005CA9"/>
                <w:sz w:val="14"/>
                <w:szCs w:val="14"/>
              </w:rPr>
              <w:t>424</w:t>
            </w:r>
          </w:p>
        </w:tc>
        <w:tc>
          <w:tcPr>
            <w:tcW w:w="393" w:type="pct"/>
            <w:tcBorders>
              <w:top w:val="nil"/>
              <w:left w:val="nil"/>
              <w:bottom w:val="nil"/>
              <w:right w:val="nil"/>
            </w:tcBorders>
            <w:vAlign w:val="center"/>
          </w:tcPr>
          <w:p w14:paraId="6CC4285A" w14:textId="3AB3428A" w:rsidR="007E345B" w:rsidRPr="00F2340E" w:rsidRDefault="00D04AD7">
            <w:pPr>
              <w:jc w:val="right"/>
              <w:rPr>
                <w:rFonts w:ascii="CAIXA Std Book" w:eastAsia="Times New Roman" w:hAnsi="CAIXA Std Book" w:cs="Calibri"/>
                <w:color w:val="005CA9"/>
                <w:sz w:val="14"/>
                <w:szCs w:val="14"/>
              </w:rPr>
            </w:pPr>
            <w:r w:rsidRPr="00D04AD7">
              <w:rPr>
                <w:rFonts w:ascii="CAIXA Std Book" w:hAnsi="CAIXA Std Book" w:cs="Arial"/>
                <w:color w:val="005CA9"/>
                <w:sz w:val="14"/>
                <w:szCs w:val="14"/>
              </w:rPr>
              <w:t>38.885.260</w:t>
            </w:r>
          </w:p>
        </w:tc>
        <w:tc>
          <w:tcPr>
            <w:tcW w:w="392" w:type="pct"/>
            <w:tcBorders>
              <w:top w:val="nil"/>
              <w:left w:val="nil"/>
              <w:bottom w:val="nil"/>
              <w:right w:val="nil"/>
            </w:tcBorders>
            <w:vAlign w:val="center"/>
          </w:tcPr>
          <w:p w14:paraId="3C4CEAAC" w14:textId="77777777" w:rsidR="007E345B" w:rsidRPr="003104FE" w:rsidRDefault="007E345B">
            <w:pPr>
              <w:jc w:val="right"/>
              <w:rPr>
                <w:rFonts w:ascii="CAIXA Std Book" w:eastAsia="Times New Roman" w:hAnsi="CAIXA Std Book" w:cs="Calibri"/>
                <w:color w:val="005CA9"/>
                <w:sz w:val="14"/>
                <w:szCs w:val="14"/>
              </w:rPr>
            </w:pPr>
            <w:r w:rsidRPr="003104FE">
              <w:rPr>
                <w:rFonts w:ascii="CAIXA Std Book" w:eastAsia="Times New Roman" w:hAnsi="CAIXA Std Book" w:cs="Arial"/>
                <w:color w:val="005CA9"/>
                <w:sz w:val="14"/>
                <w:szCs w:val="14"/>
              </w:rPr>
              <w:t>329.</w:t>
            </w:r>
            <w:r w:rsidRPr="003104FE">
              <w:rPr>
                <w:rFonts w:ascii="CAIXA Std Book" w:hAnsi="CAIXA Std Book" w:cs="Calibri"/>
                <w:color w:val="005CA9"/>
                <w:sz w:val="14"/>
                <w:szCs w:val="14"/>
              </w:rPr>
              <w:t>791</w:t>
            </w:r>
          </w:p>
        </w:tc>
        <w:tc>
          <w:tcPr>
            <w:tcW w:w="392" w:type="pct"/>
            <w:tcBorders>
              <w:top w:val="nil"/>
              <w:left w:val="nil"/>
              <w:bottom w:val="nil"/>
              <w:right w:val="nil"/>
            </w:tcBorders>
            <w:vAlign w:val="center"/>
          </w:tcPr>
          <w:p w14:paraId="6DD3AA90" w14:textId="77777777" w:rsidR="007E345B" w:rsidRPr="003104FE" w:rsidRDefault="007E345B">
            <w:pPr>
              <w:ind w:firstLineChars="100" w:firstLine="140"/>
              <w:jc w:val="right"/>
              <w:rPr>
                <w:rFonts w:ascii="CAIXA Std Book" w:eastAsia="Times New Roman" w:hAnsi="CAIXA Std Book" w:cs="Calibri"/>
                <w:color w:val="005CA9"/>
                <w:sz w:val="14"/>
                <w:szCs w:val="14"/>
              </w:rPr>
            </w:pPr>
            <w:r w:rsidRPr="003104FE">
              <w:rPr>
                <w:rFonts w:ascii="CAIXA Std Book" w:hAnsi="CAIXA Std Book" w:cs="Calibri"/>
                <w:color w:val="005CA9"/>
                <w:sz w:val="14"/>
                <w:szCs w:val="14"/>
              </w:rPr>
              <w:t>72</w:t>
            </w:r>
          </w:p>
        </w:tc>
        <w:tc>
          <w:tcPr>
            <w:tcW w:w="392" w:type="pct"/>
            <w:tcBorders>
              <w:top w:val="nil"/>
              <w:left w:val="nil"/>
              <w:bottom w:val="nil"/>
              <w:right w:val="nil"/>
            </w:tcBorders>
            <w:vAlign w:val="center"/>
          </w:tcPr>
          <w:p w14:paraId="6C434D99" w14:textId="77777777" w:rsidR="007E345B" w:rsidRPr="003104FE" w:rsidRDefault="007E345B">
            <w:pPr>
              <w:jc w:val="right"/>
              <w:rPr>
                <w:rFonts w:ascii="CAIXA Std Book" w:eastAsia="Times New Roman" w:hAnsi="CAIXA Std Book" w:cs="Calibri"/>
                <w:color w:val="005CA9"/>
                <w:sz w:val="14"/>
                <w:szCs w:val="14"/>
              </w:rPr>
            </w:pPr>
            <w:r w:rsidRPr="003104FE">
              <w:rPr>
                <w:rFonts w:ascii="CAIXA Std Book" w:hAnsi="CAIXA Std Book" w:cs="Calibri"/>
                <w:color w:val="005CA9"/>
                <w:sz w:val="14"/>
                <w:szCs w:val="14"/>
              </w:rPr>
              <w:t>2</w:t>
            </w:r>
          </w:p>
        </w:tc>
        <w:tc>
          <w:tcPr>
            <w:tcW w:w="392" w:type="pct"/>
            <w:tcBorders>
              <w:top w:val="nil"/>
              <w:left w:val="nil"/>
              <w:bottom w:val="nil"/>
              <w:right w:val="nil"/>
            </w:tcBorders>
            <w:vAlign w:val="center"/>
          </w:tcPr>
          <w:p w14:paraId="6D04C703" w14:textId="77777777" w:rsidR="007E345B" w:rsidRPr="003104FE" w:rsidRDefault="007E345B">
            <w:pPr>
              <w:ind w:firstLineChars="100" w:firstLine="140"/>
              <w:jc w:val="right"/>
              <w:rPr>
                <w:rFonts w:ascii="CAIXA Std Book" w:eastAsia="Times New Roman" w:hAnsi="CAIXA Std Book" w:cs="Calibri"/>
                <w:color w:val="005CA9"/>
                <w:sz w:val="14"/>
                <w:szCs w:val="14"/>
              </w:rPr>
            </w:pPr>
            <w:r w:rsidRPr="003104FE">
              <w:rPr>
                <w:rFonts w:ascii="CAIXA Std Book" w:hAnsi="CAIXA Std Book" w:cs="Calibri"/>
                <w:color w:val="005CA9"/>
                <w:sz w:val="14"/>
                <w:szCs w:val="14"/>
              </w:rPr>
              <w:t>2.759</w:t>
            </w:r>
          </w:p>
        </w:tc>
        <w:tc>
          <w:tcPr>
            <w:tcW w:w="393" w:type="pct"/>
            <w:tcBorders>
              <w:top w:val="nil"/>
              <w:left w:val="nil"/>
              <w:bottom w:val="nil"/>
              <w:right w:val="nil"/>
            </w:tcBorders>
            <w:noWrap/>
            <w:vAlign w:val="center"/>
          </w:tcPr>
          <w:p w14:paraId="6B53B599" w14:textId="77777777" w:rsidR="007E345B" w:rsidRPr="003104FE" w:rsidRDefault="007E345B">
            <w:pPr>
              <w:ind w:firstLineChars="100" w:firstLine="140"/>
              <w:jc w:val="right"/>
              <w:rPr>
                <w:rFonts w:ascii="CAIXA Std Book" w:eastAsia="Times New Roman" w:hAnsi="CAIXA Std Book" w:cs="Calibri"/>
                <w:color w:val="005CA9"/>
                <w:sz w:val="14"/>
                <w:szCs w:val="14"/>
              </w:rPr>
            </w:pPr>
            <w:r w:rsidRPr="003104FE">
              <w:rPr>
                <w:rFonts w:ascii="CAIXA Std Book" w:hAnsi="CAIXA Std Book" w:cs="Calibri"/>
                <w:color w:val="005CA9"/>
                <w:sz w:val="14"/>
                <w:szCs w:val="14"/>
              </w:rPr>
              <w:t>39.019.044</w:t>
            </w:r>
          </w:p>
        </w:tc>
      </w:tr>
      <w:tr w:rsidR="007E345B" w:rsidRPr="00A64197" w14:paraId="6A689E13" w14:textId="77777777" w:rsidTr="009452C5">
        <w:trPr>
          <w:trHeight w:val="300"/>
          <w:jc w:val="center"/>
        </w:trPr>
        <w:tc>
          <w:tcPr>
            <w:tcW w:w="1069" w:type="pct"/>
            <w:tcBorders>
              <w:top w:val="nil"/>
              <w:left w:val="nil"/>
              <w:bottom w:val="nil"/>
              <w:right w:val="nil"/>
            </w:tcBorders>
            <w:noWrap/>
            <w:vAlign w:val="center"/>
          </w:tcPr>
          <w:p w14:paraId="67223963" w14:textId="77777777" w:rsidR="007E345B" w:rsidRPr="00D16B7B" w:rsidRDefault="007E345B">
            <w:pPr>
              <w:rPr>
                <w:rFonts w:ascii="CAIXA Std Book" w:eastAsia="Times New Roman" w:hAnsi="CAIXA Std Book" w:cs="Arial"/>
                <w:color w:val="005CA9"/>
                <w:sz w:val="14"/>
                <w:szCs w:val="14"/>
              </w:rPr>
            </w:pPr>
            <w:r w:rsidRPr="00D16B7B">
              <w:rPr>
                <w:rFonts w:ascii="CAIXA Std Book" w:eastAsia="Times New Roman" w:hAnsi="CAIXA Std Book" w:cs="Arial"/>
                <w:color w:val="005CA9"/>
                <w:sz w:val="14"/>
                <w:szCs w:val="14"/>
              </w:rPr>
              <w:t>Perdas esperadas em outros ativos financeiros</w:t>
            </w:r>
          </w:p>
        </w:tc>
        <w:tc>
          <w:tcPr>
            <w:tcW w:w="401" w:type="pct"/>
            <w:tcBorders>
              <w:top w:val="nil"/>
              <w:left w:val="nil"/>
              <w:bottom w:val="nil"/>
              <w:right w:val="nil"/>
            </w:tcBorders>
            <w:noWrap/>
            <w:vAlign w:val="center"/>
          </w:tcPr>
          <w:p w14:paraId="27007D4F" w14:textId="4F8B1E6C" w:rsidR="007E345B" w:rsidRPr="00F2340E" w:rsidRDefault="00D04AD7" w:rsidP="00D04AD7">
            <w:pPr>
              <w:ind w:firstLineChars="100" w:firstLine="140"/>
              <w:jc w:val="right"/>
              <w:rPr>
                <w:rFonts w:ascii="CAIXA Std Book" w:hAnsi="CAIXA Std Book" w:cs="Arial"/>
                <w:color w:val="005CA9"/>
                <w:sz w:val="14"/>
                <w:szCs w:val="14"/>
              </w:rPr>
            </w:pPr>
            <w:r w:rsidRPr="00D04AD7">
              <w:rPr>
                <w:rFonts w:ascii="CAIXA Std Book" w:hAnsi="CAIXA Std Book" w:cs="Arial"/>
                <w:color w:val="005CA9"/>
                <w:sz w:val="14"/>
                <w:szCs w:val="14"/>
              </w:rPr>
              <w:t>(2)</w:t>
            </w:r>
          </w:p>
        </w:tc>
        <w:tc>
          <w:tcPr>
            <w:tcW w:w="392" w:type="pct"/>
            <w:tcBorders>
              <w:top w:val="nil"/>
              <w:left w:val="nil"/>
              <w:bottom w:val="nil"/>
              <w:right w:val="nil"/>
            </w:tcBorders>
            <w:noWrap/>
            <w:vAlign w:val="center"/>
          </w:tcPr>
          <w:p w14:paraId="58D3FA38" w14:textId="271AF8F7" w:rsidR="007E345B" w:rsidRPr="00F2340E" w:rsidRDefault="00D04AD7">
            <w:pPr>
              <w:jc w:val="center"/>
              <w:rPr>
                <w:rFonts w:ascii="CAIXA Std Book" w:hAnsi="CAIXA Std Book" w:cs="Arial"/>
                <w:color w:val="005CA9"/>
                <w:sz w:val="14"/>
                <w:szCs w:val="14"/>
              </w:rPr>
            </w:pPr>
            <w:r w:rsidRPr="00D04AD7">
              <w:rPr>
                <w:rFonts w:ascii="CAIXA Std Book" w:hAnsi="CAIXA Std Book" w:cs="Arial"/>
                <w:color w:val="005CA9"/>
                <w:sz w:val="14"/>
                <w:szCs w:val="14"/>
              </w:rPr>
              <w:t>-</w:t>
            </w:r>
          </w:p>
        </w:tc>
        <w:tc>
          <w:tcPr>
            <w:tcW w:w="392" w:type="pct"/>
            <w:tcBorders>
              <w:top w:val="nil"/>
              <w:left w:val="nil"/>
              <w:bottom w:val="nil"/>
              <w:right w:val="nil"/>
            </w:tcBorders>
            <w:noWrap/>
            <w:vAlign w:val="center"/>
          </w:tcPr>
          <w:p w14:paraId="57330ADD" w14:textId="50CDEC81" w:rsidR="007E345B" w:rsidRPr="00F2340E" w:rsidRDefault="00D04AD7" w:rsidP="00CB09FA">
            <w:pPr>
              <w:jc w:val="center"/>
              <w:rPr>
                <w:rFonts w:ascii="CAIXA Std Book" w:hAnsi="CAIXA Std Book" w:cs="Arial"/>
                <w:color w:val="005CA9"/>
                <w:sz w:val="14"/>
                <w:szCs w:val="14"/>
              </w:rPr>
            </w:pPr>
            <w:r w:rsidRPr="00D04AD7">
              <w:rPr>
                <w:rFonts w:ascii="CAIXA Std Book" w:hAnsi="CAIXA Std Book" w:cs="Arial"/>
                <w:color w:val="005CA9"/>
                <w:sz w:val="14"/>
                <w:szCs w:val="14"/>
              </w:rPr>
              <w:t>-</w:t>
            </w:r>
          </w:p>
        </w:tc>
        <w:tc>
          <w:tcPr>
            <w:tcW w:w="392" w:type="pct"/>
            <w:tcBorders>
              <w:top w:val="nil"/>
              <w:left w:val="nil"/>
              <w:bottom w:val="nil"/>
              <w:right w:val="nil"/>
            </w:tcBorders>
            <w:vAlign w:val="center"/>
          </w:tcPr>
          <w:p w14:paraId="5C3495ED" w14:textId="06F6E35D" w:rsidR="007E345B" w:rsidRPr="00F2340E" w:rsidRDefault="00D04AD7" w:rsidP="00D04AD7">
            <w:pPr>
              <w:jc w:val="right"/>
              <w:rPr>
                <w:rFonts w:ascii="CAIXA Std Book" w:hAnsi="CAIXA Std Book" w:cs="Arial"/>
                <w:color w:val="005CA9"/>
                <w:sz w:val="14"/>
                <w:szCs w:val="14"/>
              </w:rPr>
            </w:pPr>
            <w:r w:rsidRPr="00D04AD7">
              <w:rPr>
                <w:rFonts w:ascii="CAIXA Std Book" w:hAnsi="CAIXA Std Book" w:cs="Arial"/>
                <w:color w:val="005CA9"/>
                <w:sz w:val="14"/>
                <w:szCs w:val="14"/>
              </w:rPr>
              <w:t>(4)</w:t>
            </w:r>
          </w:p>
        </w:tc>
        <w:tc>
          <w:tcPr>
            <w:tcW w:w="393" w:type="pct"/>
            <w:tcBorders>
              <w:top w:val="nil"/>
              <w:left w:val="nil"/>
              <w:bottom w:val="nil"/>
              <w:right w:val="nil"/>
            </w:tcBorders>
            <w:vAlign w:val="center"/>
          </w:tcPr>
          <w:p w14:paraId="68689689" w14:textId="487D19BC" w:rsidR="007E345B" w:rsidRPr="00F2340E" w:rsidRDefault="00D04AD7" w:rsidP="00D04AD7">
            <w:pPr>
              <w:jc w:val="right"/>
              <w:rPr>
                <w:rFonts w:ascii="CAIXA Std Book" w:hAnsi="CAIXA Std Book" w:cs="Arial"/>
                <w:color w:val="005CA9"/>
                <w:sz w:val="14"/>
                <w:szCs w:val="14"/>
              </w:rPr>
            </w:pPr>
            <w:r w:rsidRPr="00D04AD7">
              <w:rPr>
                <w:rFonts w:ascii="CAIXA Std Book" w:hAnsi="CAIXA Std Book" w:cs="Arial"/>
                <w:color w:val="005CA9"/>
                <w:sz w:val="14"/>
                <w:szCs w:val="14"/>
              </w:rPr>
              <w:t>(8.774.483)</w:t>
            </w:r>
          </w:p>
        </w:tc>
        <w:tc>
          <w:tcPr>
            <w:tcW w:w="392" w:type="pct"/>
            <w:tcBorders>
              <w:top w:val="nil"/>
              <w:left w:val="nil"/>
              <w:bottom w:val="nil"/>
              <w:right w:val="nil"/>
            </w:tcBorders>
            <w:vAlign w:val="center"/>
          </w:tcPr>
          <w:p w14:paraId="0F640620" w14:textId="77777777" w:rsidR="007E345B" w:rsidRPr="003104FE" w:rsidRDefault="007E345B" w:rsidP="004701E7">
            <w:pPr>
              <w:jc w:val="center"/>
              <w:rPr>
                <w:rFonts w:ascii="CAIXA Std Book" w:eastAsia="Times New Roman" w:hAnsi="CAIXA Std Book" w:cs="Arial"/>
                <w:color w:val="005CA9"/>
                <w:sz w:val="14"/>
                <w:szCs w:val="14"/>
              </w:rPr>
            </w:pPr>
            <w:r w:rsidRPr="003104FE">
              <w:rPr>
                <w:rFonts w:ascii="CAIXA Std Book" w:eastAsia="Times New Roman" w:hAnsi="CAIXA Std Book" w:cs="Arial"/>
                <w:color w:val="005CA9"/>
                <w:sz w:val="14"/>
                <w:szCs w:val="14"/>
              </w:rPr>
              <w:t>-</w:t>
            </w:r>
          </w:p>
        </w:tc>
        <w:tc>
          <w:tcPr>
            <w:tcW w:w="392" w:type="pct"/>
            <w:tcBorders>
              <w:top w:val="nil"/>
              <w:left w:val="nil"/>
              <w:bottom w:val="nil"/>
              <w:right w:val="nil"/>
            </w:tcBorders>
            <w:vAlign w:val="center"/>
          </w:tcPr>
          <w:p w14:paraId="0B4BB2E0" w14:textId="77777777" w:rsidR="007E345B" w:rsidRPr="003104FE" w:rsidRDefault="007E345B" w:rsidP="004701E7">
            <w:pPr>
              <w:ind w:firstLineChars="100" w:firstLine="140"/>
              <w:jc w:val="center"/>
              <w:rPr>
                <w:rFonts w:ascii="CAIXA Std Book" w:eastAsia="Times New Roman" w:hAnsi="CAIXA Std Book" w:cs="Arial"/>
                <w:color w:val="005CA9"/>
                <w:sz w:val="14"/>
                <w:szCs w:val="14"/>
              </w:rPr>
            </w:pPr>
            <w:r w:rsidRPr="003104FE">
              <w:rPr>
                <w:rFonts w:ascii="CAIXA Std Book" w:hAnsi="CAIXA Std Book" w:cs="Calibri"/>
                <w:color w:val="005CA9"/>
                <w:sz w:val="14"/>
                <w:szCs w:val="14"/>
              </w:rPr>
              <w:t>-</w:t>
            </w:r>
          </w:p>
        </w:tc>
        <w:tc>
          <w:tcPr>
            <w:tcW w:w="392" w:type="pct"/>
            <w:tcBorders>
              <w:top w:val="nil"/>
              <w:left w:val="nil"/>
              <w:bottom w:val="nil"/>
              <w:right w:val="nil"/>
            </w:tcBorders>
            <w:vAlign w:val="center"/>
          </w:tcPr>
          <w:p w14:paraId="7219E628" w14:textId="77777777" w:rsidR="007E345B" w:rsidRPr="003104FE" w:rsidRDefault="007E345B" w:rsidP="004701E7">
            <w:pPr>
              <w:jc w:val="center"/>
              <w:rPr>
                <w:rFonts w:ascii="CAIXA Std Book" w:eastAsia="Times New Roman" w:hAnsi="CAIXA Std Book" w:cs="Arial"/>
                <w:color w:val="005CA9"/>
                <w:sz w:val="14"/>
                <w:szCs w:val="14"/>
              </w:rPr>
            </w:pPr>
            <w:r w:rsidRPr="003104FE">
              <w:rPr>
                <w:rFonts w:ascii="CAIXA Std Book" w:hAnsi="CAIXA Std Book" w:cs="Calibri"/>
                <w:color w:val="005CA9"/>
                <w:sz w:val="14"/>
                <w:szCs w:val="14"/>
              </w:rPr>
              <w:t>-</w:t>
            </w:r>
          </w:p>
        </w:tc>
        <w:tc>
          <w:tcPr>
            <w:tcW w:w="392" w:type="pct"/>
            <w:tcBorders>
              <w:top w:val="nil"/>
              <w:left w:val="nil"/>
              <w:bottom w:val="nil"/>
              <w:right w:val="nil"/>
            </w:tcBorders>
            <w:vAlign w:val="center"/>
          </w:tcPr>
          <w:p w14:paraId="669F81DE" w14:textId="77777777" w:rsidR="007E345B" w:rsidRPr="003104FE" w:rsidRDefault="007E345B">
            <w:pPr>
              <w:ind w:firstLineChars="100" w:firstLine="140"/>
              <w:jc w:val="right"/>
              <w:rPr>
                <w:rFonts w:ascii="CAIXA Std Book" w:eastAsia="Times New Roman" w:hAnsi="CAIXA Std Book" w:cs="Arial"/>
                <w:color w:val="005CA9"/>
                <w:sz w:val="14"/>
                <w:szCs w:val="14"/>
              </w:rPr>
            </w:pPr>
            <w:r w:rsidRPr="003104FE">
              <w:rPr>
                <w:rFonts w:ascii="CAIXA Std Book" w:hAnsi="CAIXA Std Book" w:cs="Calibri"/>
                <w:color w:val="005CA9"/>
                <w:sz w:val="14"/>
                <w:szCs w:val="14"/>
              </w:rPr>
              <w:t>(76)</w:t>
            </w:r>
          </w:p>
        </w:tc>
        <w:tc>
          <w:tcPr>
            <w:tcW w:w="393" w:type="pct"/>
            <w:tcBorders>
              <w:top w:val="nil"/>
              <w:left w:val="nil"/>
              <w:bottom w:val="nil"/>
              <w:right w:val="nil"/>
            </w:tcBorders>
            <w:noWrap/>
            <w:vAlign w:val="center"/>
          </w:tcPr>
          <w:p w14:paraId="10460CE0" w14:textId="77777777" w:rsidR="007E345B" w:rsidRPr="003104FE" w:rsidRDefault="007E345B">
            <w:pPr>
              <w:ind w:firstLineChars="100" w:firstLine="140"/>
              <w:jc w:val="right"/>
              <w:rPr>
                <w:rFonts w:ascii="CAIXA Std Book" w:eastAsia="Times New Roman" w:hAnsi="CAIXA Std Book" w:cs="Arial"/>
                <w:color w:val="005CA9"/>
                <w:sz w:val="14"/>
                <w:szCs w:val="14"/>
              </w:rPr>
            </w:pPr>
            <w:r w:rsidRPr="003104FE">
              <w:rPr>
                <w:rFonts w:ascii="CAIXA Std Book" w:hAnsi="CAIXA Std Book" w:cs="Calibri"/>
                <w:color w:val="005CA9"/>
                <w:sz w:val="14"/>
                <w:szCs w:val="14"/>
              </w:rPr>
              <w:t>(9.703.192)</w:t>
            </w:r>
          </w:p>
        </w:tc>
      </w:tr>
      <w:tr w:rsidR="007E345B" w:rsidRPr="00A64197" w14:paraId="28693966" w14:textId="77777777" w:rsidTr="009452C5">
        <w:trPr>
          <w:trHeight w:val="300"/>
          <w:jc w:val="center"/>
        </w:trPr>
        <w:tc>
          <w:tcPr>
            <w:tcW w:w="1069" w:type="pct"/>
            <w:tcBorders>
              <w:top w:val="nil"/>
              <w:left w:val="nil"/>
              <w:bottom w:val="nil"/>
              <w:right w:val="nil"/>
            </w:tcBorders>
            <w:shd w:val="clear" w:color="auto" w:fill="D0DFE3"/>
            <w:noWrap/>
            <w:vAlign w:val="center"/>
          </w:tcPr>
          <w:p w14:paraId="4A8541A7" w14:textId="77777777" w:rsidR="007E345B" w:rsidRPr="00D16B7B" w:rsidRDefault="007E345B">
            <w:pPr>
              <w:rPr>
                <w:rFonts w:ascii="CAIXA Std Book" w:eastAsia="Times New Roman" w:hAnsi="CAIXA Std Book" w:cs="Arial"/>
                <w:b/>
                <w:color w:val="005CA9"/>
                <w:sz w:val="14"/>
                <w:szCs w:val="14"/>
              </w:rPr>
            </w:pPr>
            <w:r w:rsidRPr="00D16B7B">
              <w:rPr>
                <w:rFonts w:ascii="CAIXA Std Book" w:eastAsia="Times New Roman" w:hAnsi="CAIXA Std Book" w:cs="Arial"/>
                <w:b/>
                <w:color w:val="005CA9"/>
                <w:sz w:val="14"/>
                <w:szCs w:val="14"/>
              </w:rPr>
              <w:t>Passivo</w:t>
            </w:r>
          </w:p>
        </w:tc>
        <w:tc>
          <w:tcPr>
            <w:tcW w:w="401" w:type="pct"/>
            <w:tcBorders>
              <w:top w:val="nil"/>
              <w:left w:val="nil"/>
              <w:bottom w:val="nil"/>
              <w:right w:val="nil"/>
            </w:tcBorders>
            <w:shd w:val="clear" w:color="auto" w:fill="D0DFE3"/>
            <w:noWrap/>
            <w:vAlign w:val="center"/>
          </w:tcPr>
          <w:p w14:paraId="75347C15" w14:textId="6ABF028F" w:rsidR="007E345B" w:rsidRPr="00F2340E" w:rsidRDefault="00D04AD7">
            <w:pPr>
              <w:ind w:firstLineChars="100" w:firstLine="140"/>
              <w:jc w:val="right"/>
              <w:rPr>
                <w:rFonts w:ascii="CAIXA Std Book" w:hAnsi="CAIXA Std Book" w:cs="Arial"/>
                <w:color w:val="005CA9"/>
                <w:sz w:val="14"/>
                <w:szCs w:val="14"/>
              </w:rPr>
            </w:pPr>
            <w:r w:rsidRPr="00D04AD7">
              <w:rPr>
                <w:rFonts w:ascii="CAIXA Std Book" w:hAnsi="CAIXA Std Book" w:cs="Arial"/>
                <w:b/>
                <w:bCs/>
                <w:color w:val="005CA9"/>
                <w:sz w:val="14"/>
                <w:szCs w:val="14"/>
              </w:rPr>
              <w:t>160.645.831</w:t>
            </w:r>
          </w:p>
        </w:tc>
        <w:tc>
          <w:tcPr>
            <w:tcW w:w="392" w:type="pct"/>
            <w:tcBorders>
              <w:top w:val="nil"/>
              <w:left w:val="nil"/>
              <w:bottom w:val="nil"/>
              <w:right w:val="nil"/>
            </w:tcBorders>
            <w:shd w:val="clear" w:color="auto" w:fill="D0DFE3"/>
            <w:noWrap/>
            <w:vAlign w:val="center"/>
          </w:tcPr>
          <w:p w14:paraId="7989185A" w14:textId="0C4C2C17" w:rsidR="007E345B" w:rsidRPr="00F2340E" w:rsidRDefault="00D04AD7">
            <w:pPr>
              <w:jc w:val="right"/>
              <w:rPr>
                <w:rFonts w:ascii="CAIXA Std Book" w:hAnsi="CAIXA Std Book" w:cs="Arial"/>
                <w:color w:val="005CA9"/>
                <w:sz w:val="14"/>
                <w:szCs w:val="14"/>
              </w:rPr>
            </w:pPr>
            <w:r w:rsidRPr="00D04AD7">
              <w:rPr>
                <w:rFonts w:ascii="CAIXA Std Book" w:hAnsi="CAIXA Std Book" w:cs="Arial"/>
                <w:b/>
                <w:bCs/>
                <w:color w:val="005CA9"/>
                <w:sz w:val="14"/>
                <w:szCs w:val="14"/>
              </w:rPr>
              <w:t>38.806</w:t>
            </w:r>
          </w:p>
        </w:tc>
        <w:tc>
          <w:tcPr>
            <w:tcW w:w="392" w:type="pct"/>
            <w:tcBorders>
              <w:top w:val="nil"/>
              <w:left w:val="nil"/>
              <w:bottom w:val="nil"/>
              <w:right w:val="nil"/>
            </w:tcBorders>
            <w:shd w:val="clear" w:color="auto" w:fill="D0DFE3"/>
            <w:noWrap/>
            <w:vAlign w:val="center"/>
          </w:tcPr>
          <w:p w14:paraId="1B783619" w14:textId="61441790" w:rsidR="007E345B" w:rsidRPr="00F2340E" w:rsidRDefault="00D04AD7">
            <w:pPr>
              <w:jc w:val="right"/>
              <w:rPr>
                <w:rFonts w:ascii="CAIXA Std Book" w:hAnsi="CAIXA Std Book" w:cs="Arial"/>
                <w:color w:val="005CA9"/>
                <w:sz w:val="14"/>
                <w:szCs w:val="14"/>
              </w:rPr>
            </w:pPr>
            <w:r w:rsidRPr="00D04AD7">
              <w:rPr>
                <w:rFonts w:ascii="CAIXA Std Book" w:hAnsi="CAIXA Std Book" w:cs="Arial"/>
                <w:b/>
                <w:bCs/>
                <w:color w:val="005CA9"/>
                <w:sz w:val="14"/>
                <w:szCs w:val="14"/>
              </w:rPr>
              <w:t>535</w:t>
            </w:r>
          </w:p>
        </w:tc>
        <w:tc>
          <w:tcPr>
            <w:tcW w:w="392" w:type="pct"/>
            <w:tcBorders>
              <w:top w:val="nil"/>
              <w:left w:val="nil"/>
              <w:bottom w:val="nil"/>
              <w:right w:val="nil"/>
            </w:tcBorders>
            <w:shd w:val="clear" w:color="auto" w:fill="D0DFE3"/>
            <w:vAlign w:val="center"/>
          </w:tcPr>
          <w:p w14:paraId="6DC02B3B" w14:textId="0C48EBC6" w:rsidR="007E345B" w:rsidRPr="00F2340E" w:rsidRDefault="00D04AD7">
            <w:pPr>
              <w:jc w:val="right"/>
              <w:rPr>
                <w:rFonts w:ascii="CAIXA Std Book" w:hAnsi="CAIXA Std Book" w:cs="Arial"/>
                <w:color w:val="005CA9"/>
                <w:sz w:val="14"/>
                <w:szCs w:val="14"/>
              </w:rPr>
            </w:pPr>
            <w:r w:rsidRPr="00D04AD7">
              <w:rPr>
                <w:rFonts w:ascii="CAIXA Std Book" w:hAnsi="CAIXA Std Book" w:cs="Arial"/>
                <w:b/>
                <w:bCs/>
                <w:color w:val="005CA9"/>
                <w:sz w:val="14"/>
                <w:szCs w:val="14"/>
              </w:rPr>
              <w:t>57.230</w:t>
            </w:r>
          </w:p>
        </w:tc>
        <w:tc>
          <w:tcPr>
            <w:tcW w:w="393" w:type="pct"/>
            <w:tcBorders>
              <w:top w:val="nil"/>
              <w:left w:val="nil"/>
              <w:bottom w:val="nil"/>
              <w:right w:val="nil"/>
            </w:tcBorders>
            <w:shd w:val="clear" w:color="auto" w:fill="D0DFE3"/>
            <w:vAlign w:val="center"/>
          </w:tcPr>
          <w:p w14:paraId="00476196" w14:textId="6489B317" w:rsidR="007E345B" w:rsidRPr="00F2340E" w:rsidRDefault="00D04AD7">
            <w:pPr>
              <w:jc w:val="right"/>
              <w:rPr>
                <w:rFonts w:ascii="CAIXA Std Book" w:hAnsi="CAIXA Std Book" w:cs="Arial"/>
                <w:color w:val="005CA9"/>
                <w:sz w:val="14"/>
                <w:szCs w:val="14"/>
              </w:rPr>
            </w:pPr>
            <w:r w:rsidRPr="00D04AD7">
              <w:rPr>
                <w:rFonts w:ascii="CAIXA Std Book" w:hAnsi="CAIXA Std Book" w:cs="Arial"/>
                <w:b/>
                <w:bCs/>
                <w:color w:val="005CA9"/>
                <w:sz w:val="14"/>
                <w:szCs w:val="14"/>
              </w:rPr>
              <w:t>645.696.411</w:t>
            </w:r>
          </w:p>
        </w:tc>
        <w:tc>
          <w:tcPr>
            <w:tcW w:w="392" w:type="pct"/>
            <w:tcBorders>
              <w:top w:val="nil"/>
              <w:left w:val="nil"/>
              <w:bottom w:val="nil"/>
              <w:right w:val="nil"/>
            </w:tcBorders>
            <w:shd w:val="clear" w:color="auto" w:fill="D0DFE3"/>
            <w:vAlign w:val="center"/>
          </w:tcPr>
          <w:p w14:paraId="4D776160" w14:textId="77777777" w:rsidR="007E345B" w:rsidRPr="003104FE" w:rsidRDefault="007E345B">
            <w:pPr>
              <w:jc w:val="right"/>
              <w:rPr>
                <w:rFonts w:ascii="CAIXA Std Book" w:eastAsia="Times New Roman" w:hAnsi="CAIXA Std Book" w:cs="Arial"/>
                <w:color w:val="005CA9"/>
                <w:sz w:val="14"/>
                <w:szCs w:val="14"/>
              </w:rPr>
            </w:pPr>
            <w:r w:rsidRPr="003104FE">
              <w:rPr>
                <w:rFonts w:ascii="CAIXA Std Book" w:hAnsi="CAIXA Std Book" w:cs="Calibri"/>
                <w:b/>
                <w:bCs/>
                <w:color w:val="005CA9"/>
                <w:sz w:val="14"/>
                <w:szCs w:val="14"/>
              </w:rPr>
              <w:t>81.449.770</w:t>
            </w:r>
          </w:p>
        </w:tc>
        <w:tc>
          <w:tcPr>
            <w:tcW w:w="392" w:type="pct"/>
            <w:tcBorders>
              <w:top w:val="nil"/>
              <w:left w:val="nil"/>
              <w:bottom w:val="nil"/>
              <w:right w:val="nil"/>
            </w:tcBorders>
            <w:shd w:val="clear" w:color="auto" w:fill="D0DFE3"/>
            <w:vAlign w:val="center"/>
          </w:tcPr>
          <w:p w14:paraId="77DF8E51" w14:textId="77777777" w:rsidR="007E345B" w:rsidRPr="003104FE" w:rsidRDefault="007E345B">
            <w:pPr>
              <w:ind w:firstLineChars="100" w:firstLine="140"/>
              <w:jc w:val="right"/>
              <w:rPr>
                <w:rFonts w:ascii="CAIXA Std Book" w:eastAsia="Times New Roman" w:hAnsi="CAIXA Std Book" w:cs="Arial"/>
                <w:color w:val="005CA9"/>
                <w:sz w:val="14"/>
                <w:szCs w:val="14"/>
              </w:rPr>
            </w:pPr>
            <w:r w:rsidRPr="003104FE">
              <w:rPr>
                <w:rFonts w:ascii="CAIXA Std Book" w:hAnsi="CAIXA Std Book" w:cs="Calibri"/>
                <w:b/>
                <w:bCs/>
                <w:color w:val="005CA9"/>
                <w:sz w:val="14"/>
                <w:szCs w:val="14"/>
              </w:rPr>
              <w:t>145.551</w:t>
            </w:r>
          </w:p>
        </w:tc>
        <w:tc>
          <w:tcPr>
            <w:tcW w:w="392" w:type="pct"/>
            <w:tcBorders>
              <w:top w:val="nil"/>
              <w:left w:val="nil"/>
              <w:bottom w:val="nil"/>
              <w:right w:val="nil"/>
            </w:tcBorders>
            <w:shd w:val="clear" w:color="auto" w:fill="D0DFE3"/>
            <w:vAlign w:val="center"/>
          </w:tcPr>
          <w:p w14:paraId="5663BDF9" w14:textId="77777777" w:rsidR="007E345B" w:rsidRPr="003104FE" w:rsidRDefault="007E345B">
            <w:pPr>
              <w:jc w:val="right"/>
              <w:rPr>
                <w:rFonts w:ascii="CAIXA Std Book" w:eastAsia="Times New Roman" w:hAnsi="CAIXA Std Book" w:cs="Arial"/>
                <w:color w:val="005CA9"/>
                <w:sz w:val="14"/>
                <w:szCs w:val="14"/>
              </w:rPr>
            </w:pPr>
            <w:r w:rsidRPr="003104FE">
              <w:rPr>
                <w:rFonts w:ascii="CAIXA Std Book" w:hAnsi="CAIXA Std Book" w:cs="Calibri"/>
                <w:b/>
                <w:bCs/>
                <w:color w:val="005CA9"/>
                <w:sz w:val="14"/>
                <w:szCs w:val="14"/>
              </w:rPr>
              <w:t>207.184</w:t>
            </w:r>
          </w:p>
        </w:tc>
        <w:tc>
          <w:tcPr>
            <w:tcW w:w="392" w:type="pct"/>
            <w:tcBorders>
              <w:top w:val="nil"/>
              <w:left w:val="nil"/>
              <w:bottom w:val="nil"/>
              <w:right w:val="nil"/>
            </w:tcBorders>
            <w:shd w:val="clear" w:color="auto" w:fill="D0DFE3"/>
            <w:vAlign w:val="center"/>
          </w:tcPr>
          <w:p w14:paraId="4B7BDFBC" w14:textId="77777777" w:rsidR="007E345B" w:rsidRPr="003104FE" w:rsidRDefault="007E345B">
            <w:pPr>
              <w:ind w:firstLineChars="100" w:firstLine="140"/>
              <w:jc w:val="right"/>
              <w:rPr>
                <w:rFonts w:ascii="CAIXA Std Book" w:eastAsia="Times New Roman" w:hAnsi="CAIXA Std Book" w:cs="Arial"/>
                <w:color w:val="005CA9"/>
                <w:sz w:val="14"/>
                <w:szCs w:val="14"/>
              </w:rPr>
            </w:pPr>
            <w:r w:rsidRPr="003104FE">
              <w:rPr>
                <w:rFonts w:ascii="CAIXA Std Book" w:hAnsi="CAIXA Std Book" w:cs="Calibri"/>
                <w:b/>
                <w:bCs/>
                <w:color w:val="005CA9"/>
                <w:sz w:val="14"/>
                <w:szCs w:val="14"/>
              </w:rPr>
              <w:t>630.408</w:t>
            </w:r>
          </w:p>
        </w:tc>
        <w:tc>
          <w:tcPr>
            <w:tcW w:w="393" w:type="pct"/>
            <w:tcBorders>
              <w:top w:val="nil"/>
              <w:left w:val="nil"/>
              <w:bottom w:val="nil"/>
              <w:right w:val="nil"/>
            </w:tcBorders>
            <w:shd w:val="clear" w:color="auto" w:fill="D0DFE3"/>
            <w:noWrap/>
            <w:vAlign w:val="center"/>
          </w:tcPr>
          <w:p w14:paraId="6A4306D0" w14:textId="77777777" w:rsidR="007E345B" w:rsidRPr="003104FE" w:rsidRDefault="007E345B">
            <w:pPr>
              <w:ind w:firstLineChars="100" w:firstLine="140"/>
              <w:jc w:val="right"/>
              <w:rPr>
                <w:rFonts w:ascii="CAIXA Std Book" w:eastAsia="Times New Roman" w:hAnsi="CAIXA Std Book" w:cs="Arial"/>
                <w:color w:val="005CA9"/>
                <w:sz w:val="14"/>
                <w:szCs w:val="14"/>
              </w:rPr>
            </w:pPr>
            <w:r w:rsidRPr="003104FE">
              <w:rPr>
                <w:rFonts w:ascii="CAIXA Std Book" w:hAnsi="CAIXA Std Book" w:cs="Calibri"/>
                <w:b/>
                <w:bCs/>
                <w:color w:val="005CA9"/>
                <w:sz w:val="14"/>
                <w:szCs w:val="14"/>
              </w:rPr>
              <w:t>672.360.079</w:t>
            </w:r>
          </w:p>
        </w:tc>
      </w:tr>
      <w:tr w:rsidR="007E345B" w:rsidRPr="00A64197" w14:paraId="24A39AB9" w14:textId="77777777" w:rsidTr="009452C5">
        <w:trPr>
          <w:trHeight w:val="300"/>
          <w:jc w:val="center"/>
        </w:trPr>
        <w:tc>
          <w:tcPr>
            <w:tcW w:w="1069" w:type="pct"/>
            <w:tcBorders>
              <w:top w:val="nil"/>
              <w:left w:val="nil"/>
              <w:right w:val="nil"/>
            </w:tcBorders>
            <w:noWrap/>
            <w:vAlign w:val="center"/>
          </w:tcPr>
          <w:p w14:paraId="67CBBDBE" w14:textId="77777777" w:rsidR="007E345B" w:rsidRPr="00D16B7B" w:rsidRDefault="007E345B">
            <w:pPr>
              <w:rPr>
                <w:rFonts w:ascii="CAIXA Std Book" w:eastAsia="Times New Roman" w:hAnsi="CAIXA Std Book" w:cs="Arial"/>
                <w:color w:val="005CA9"/>
                <w:sz w:val="14"/>
                <w:szCs w:val="14"/>
              </w:rPr>
            </w:pPr>
            <w:r w:rsidRPr="00D16B7B">
              <w:rPr>
                <w:rFonts w:ascii="CAIXA Std Book" w:eastAsia="Times New Roman" w:hAnsi="CAIXA Std Book" w:cs="Arial"/>
                <w:color w:val="005CA9"/>
                <w:sz w:val="14"/>
                <w:szCs w:val="14"/>
              </w:rPr>
              <w:t>Recursos de clientes</w:t>
            </w:r>
          </w:p>
        </w:tc>
        <w:tc>
          <w:tcPr>
            <w:tcW w:w="401" w:type="pct"/>
            <w:tcBorders>
              <w:top w:val="nil"/>
              <w:left w:val="nil"/>
              <w:right w:val="nil"/>
            </w:tcBorders>
            <w:noWrap/>
            <w:vAlign w:val="center"/>
          </w:tcPr>
          <w:p w14:paraId="0E3B0B00" w14:textId="3CD21066" w:rsidR="007E345B" w:rsidRPr="00F2340E" w:rsidRDefault="00D04AD7">
            <w:pPr>
              <w:ind w:firstLineChars="100" w:firstLine="140"/>
              <w:jc w:val="right"/>
              <w:rPr>
                <w:rFonts w:ascii="CAIXA Std Book" w:hAnsi="CAIXA Std Book" w:cs="Arial"/>
                <w:color w:val="005CA9"/>
                <w:sz w:val="14"/>
                <w:szCs w:val="14"/>
              </w:rPr>
            </w:pPr>
            <w:r w:rsidRPr="00D04AD7">
              <w:rPr>
                <w:rFonts w:ascii="CAIXA Std Book" w:hAnsi="CAIXA Std Book" w:cs="Arial"/>
                <w:color w:val="005CA9"/>
                <w:sz w:val="14"/>
                <w:szCs w:val="14"/>
              </w:rPr>
              <w:t>5.387.967</w:t>
            </w:r>
          </w:p>
        </w:tc>
        <w:tc>
          <w:tcPr>
            <w:tcW w:w="392" w:type="pct"/>
            <w:tcBorders>
              <w:top w:val="nil"/>
              <w:left w:val="nil"/>
              <w:right w:val="nil"/>
            </w:tcBorders>
            <w:noWrap/>
            <w:vAlign w:val="center"/>
          </w:tcPr>
          <w:p w14:paraId="0A21C4D6" w14:textId="0F8CC1E0" w:rsidR="007E345B" w:rsidRPr="00F2340E" w:rsidRDefault="00D04AD7">
            <w:pPr>
              <w:jc w:val="right"/>
              <w:rPr>
                <w:rFonts w:ascii="CAIXA Std Book" w:hAnsi="CAIXA Std Book" w:cs="Arial"/>
                <w:color w:val="005CA9"/>
                <w:sz w:val="14"/>
                <w:szCs w:val="14"/>
              </w:rPr>
            </w:pPr>
            <w:r w:rsidRPr="00D04AD7">
              <w:rPr>
                <w:rFonts w:ascii="CAIXA Std Book" w:hAnsi="CAIXA Std Book" w:cs="Arial"/>
                <w:color w:val="005CA9"/>
                <w:sz w:val="14"/>
                <w:szCs w:val="14"/>
              </w:rPr>
              <w:t>18.192</w:t>
            </w:r>
          </w:p>
        </w:tc>
        <w:tc>
          <w:tcPr>
            <w:tcW w:w="392" w:type="pct"/>
            <w:tcBorders>
              <w:top w:val="nil"/>
              <w:left w:val="nil"/>
              <w:right w:val="nil"/>
            </w:tcBorders>
            <w:noWrap/>
            <w:vAlign w:val="center"/>
          </w:tcPr>
          <w:p w14:paraId="4C89044F" w14:textId="25F672F0" w:rsidR="007E345B" w:rsidRPr="00F2340E" w:rsidRDefault="00D04AD7" w:rsidP="00D04AD7">
            <w:pPr>
              <w:jc w:val="right"/>
              <w:rPr>
                <w:rFonts w:ascii="CAIXA Std Book" w:hAnsi="CAIXA Std Book" w:cs="Arial"/>
                <w:color w:val="005CA9"/>
                <w:sz w:val="14"/>
                <w:szCs w:val="14"/>
              </w:rPr>
            </w:pPr>
            <w:r w:rsidRPr="00D04AD7">
              <w:rPr>
                <w:rFonts w:ascii="CAIXA Std Book" w:hAnsi="CAIXA Std Book" w:cs="Arial"/>
                <w:color w:val="005CA9"/>
                <w:sz w:val="14"/>
                <w:szCs w:val="14"/>
              </w:rPr>
              <w:t>535</w:t>
            </w:r>
          </w:p>
        </w:tc>
        <w:tc>
          <w:tcPr>
            <w:tcW w:w="392" w:type="pct"/>
            <w:tcBorders>
              <w:top w:val="nil"/>
              <w:left w:val="nil"/>
              <w:right w:val="nil"/>
            </w:tcBorders>
            <w:vAlign w:val="center"/>
          </w:tcPr>
          <w:p w14:paraId="3F7717E0" w14:textId="7AA41C61" w:rsidR="007E345B" w:rsidRPr="00F2340E" w:rsidRDefault="00D04AD7">
            <w:pPr>
              <w:jc w:val="right"/>
              <w:rPr>
                <w:rFonts w:ascii="CAIXA Std Book" w:hAnsi="CAIXA Std Book" w:cs="Arial"/>
                <w:color w:val="005CA9"/>
                <w:sz w:val="14"/>
                <w:szCs w:val="14"/>
              </w:rPr>
            </w:pPr>
            <w:r w:rsidRPr="00D04AD7">
              <w:rPr>
                <w:rFonts w:ascii="CAIXA Std Book" w:hAnsi="CAIXA Std Book" w:cs="Arial"/>
                <w:color w:val="005CA9"/>
                <w:sz w:val="14"/>
                <w:szCs w:val="14"/>
              </w:rPr>
              <w:t>57.230</w:t>
            </w:r>
          </w:p>
        </w:tc>
        <w:tc>
          <w:tcPr>
            <w:tcW w:w="393" w:type="pct"/>
            <w:tcBorders>
              <w:top w:val="nil"/>
              <w:left w:val="nil"/>
              <w:right w:val="nil"/>
            </w:tcBorders>
            <w:vAlign w:val="center"/>
          </w:tcPr>
          <w:p w14:paraId="56DBC9A9" w14:textId="11A860FC" w:rsidR="007E345B" w:rsidRPr="00F2340E" w:rsidRDefault="00D04AD7">
            <w:pPr>
              <w:jc w:val="right"/>
              <w:rPr>
                <w:rFonts w:ascii="CAIXA Std Book" w:hAnsi="CAIXA Std Book" w:cs="Arial"/>
                <w:color w:val="005CA9"/>
                <w:sz w:val="14"/>
                <w:szCs w:val="14"/>
              </w:rPr>
            </w:pPr>
            <w:r w:rsidRPr="00D04AD7">
              <w:rPr>
                <w:rFonts w:ascii="CAIXA Std Book" w:hAnsi="CAIXA Std Book" w:cs="Arial"/>
                <w:color w:val="005CA9"/>
                <w:sz w:val="14"/>
                <w:szCs w:val="14"/>
              </w:rPr>
              <w:t>25.002.890</w:t>
            </w:r>
          </w:p>
        </w:tc>
        <w:tc>
          <w:tcPr>
            <w:tcW w:w="392" w:type="pct"/>
            <w:tcBorders>
              <w:top w:val="nil"/>
              <w:left w:val="nil"/>
              <w:right w:val="nil"/>
            </w:tcBorders>
            <w:vAlign w:val="center"/>
          </w:tcPr>
          <w:p w14:paraId="48D437B4" w14:textId="77777777" w:rsidR="007E345B" w:rsidRPr="003104FE" w:rsidRDefault="007E345B">
            <w:pPr>
              <w:jc w:val="right"/>
              <w:rPr>
                <w:rFonts w:ascii="CAIXA Std Book" w:eastAsia="Times New Roman" w:hAnsi="CAIXA Std Book" w:cs="Arial"/>
                <w:color w:val="005CA9"/>
                <w:sz w:val="14"/>
                <w:szCs w:val="14"/>
              </w:rPr>
            </w:pPr>
            <w:r w:rsidRPr="003104FE">
              <w:rPr>
                <w:rFonts w:ascii="CAIXA Std Book" w:eastAsia="Times New Roman" w:hAnsi="CAIXA Std Book" w:cs="Arial"/>
                <w:color w:val="005CA9"/>
                <w:sz w:val="14"/>
                <w:szCs w:val="14"/>
              </w:rPr>
              <w:t>4.124.245</w:t>
            </w:r>
          </w:p>
        </w:tc>
        <w:tc>
          <w:tcPr>
            <w:tcW w:w="392" w:type="pct"/>
            <w:tcBorders>
              <w:top w:val="nil"/>
              <w:left w:val="nil"/>
              <w:right w:val="nil"/>
            </w:tcBorders>
            <w:vAlign w:val="center"/>
          </w:tcPr>
          <w:p w14:paraId="1069D008" w14:textId="77777777" w:rsidR="007E345B" w:rsidRPr="003104FE" w:rsidRDefault="007E345B">
            <w:pPr>
              <w:ind w:firstLineChars="100" w:firstLine="140"/>
              <w:jc w:val="right"/>
              <w:rPr>
                <w:rFonts w:ascii="CAIXA Std Book" w:eastAsia="Times New Roman" w:hAnsi="CAIXA Std Book" w:cs="Arial"/>
                <w:color w:val="005CA9"/>
                <w:sz w:val="14"/>
                <w:szCs w:val="14"/>
              </w:rPr>
            </w:pPr>
            <w:r w:rsidRPr="003104FE">
              <w:rPr>
                <w:rFonts w:ascii="CAIXA Std Book" w:hAnsi="CAIXA Std Book" w:cs="Calibri"/>
                <w:color w:val="005CA9"/>
                <w:sz w:val="14"/>
                <w:szCs w:val="14"/>
              </w:rPr>
              <w:t>138.053</w:t>
            </w:r>
          </w:p>
        </w:tc>
        <w:tc>
          <w:tcPr>
            <w:tcW w:w="392" w:type="pct"/>
            <w:tcBorders>
              <w:top w:val="nil"/>
              <w:left w:val="nil"/>
              <w:right w:val="nil"/>
            </w:tcBorders>
            <w:vAlign w:val="center"/>
          </w:tcPr>
          <w:p w14:paraId="465E7C00" w14:textId="77777777" w:rsidR="007E345B" w:rsidRPr="003104FE" w:rsidRDefault="007E345B">
            <w:pPr>
              <w:jc w:val="right"/>
              <w:rPr>
                <w:rFonts w:ascii="CAIXA Std Book" w:eastAsia="Times New Roman" w:hAnsi="CAIXA Std Book" w:cs="Arial"/>
                <w:color w:val="005CA9"/>
                <w:sz w:val="14"/>
                <w:szCs w:val="14"/>
              </w:rPr>
            </w:pPr>
            <w:r w:rsidRPr="003104FE">
              <w:rPr>
                <w:rFonts w:ascii="CAIXA Std Book" w:hAnsi="CAIXA Std Book" w:cs="Calibri"/>
                <w:color w:val="005CA9"/>
                <w:sz w:val="14"/>
                <w:szCs w:val="14"/>
              </w:rPr>
              <w:t>133.547</w:t>
            </w:r>
          </w:p>
        </w:tc>
        <w:tc>
          <w:tcPr>
            <w:tcW w:w="392" w:type="pct"/>
            <w:tcBorders>
              <w:top w:val="nil"/>
              <w:left w:val="nil"/>
              <w:right w:val="nil"/>
            </w:tcBorders>
            <w:vAlign w:val="center"/>
          </w:tcPr>
          <w:p w14:paraId="31C7F593" w14:textId="77777777" w:rsidR="007E345B" w:rsidRPr="003104FE" w:rsidRDefault="007E345B">
            <w:pPr>
              <w:ind w:firstLineChars="100" w:firstLine="140"/>
              <w:jc w:val="right"/>
              <w:rPr>
                <w:rFonts w:ascii="CAIXA Std Book" w:eastAsia="Times New Roman" w:hAnsi="CAIXA Std Book" w:cs="Arial"/>
                <w:color w:val="005CA9"/>
                <w:sz w:val="14"/>
                <w:szCs w:val="14"/>
              </w:rPr>
            </w:pPr>
            <w:r w:rsidRPr="003104FE">
              <w:rPr>
                <w:rFonts w:ascii="CAIXA Std Book" w:hAnsi="CAIXA Std Book" w:cs="Calibri"/>
                <w:color w:val="005CA9"/>
                <w:sz w:val="14"/>
                <w:szCs w:val="14"/>
              </w:rPr>
              <w:t>630.408</w:t>
            </w:r>
          </w:p>
        </w:tc>
        <w:tc>
          <w:tcPr>
            <w:tcW w:w="393" w:type="pct"/>
            <w:tcBorders>
              <w:top w:val="nil"/>
              <w:left w:val="nil"/>
              <w:right w:val="nil"/>
            </w:tcBorders>
            <w:noWrap/>
            <w:vAlign w:val="center"/>
          </w:tcPr>
          <w:p w14:paraId="5F24DF9E" w14:textId="77777777" w:rsidR="007E345B" w:rsidRPr="003104FE" w:rsidRDefault="007E345B">
            <w:pPr>
              <w:ind w:firstLineChars="100" w:firstLine="140"/>
              <w:jc w:val="right"/>
              <w:rPr>
                <w:rFonts w:ascii="CAIXA Std Book" w:eastAsia="Times New Roman" w:hAnsi="CAIXA Std Book" w:cs="Arial"/>
                <w:color w:val="005CA9"/>
                <w:sz w:val="14"/>
                <w:szCs w:val="14"/>
              </w:rPr>
            </w:pPr>
            <w:r w:rsidRPr="003104FE">
              <w:rPr>
                <w:rFonts w:ascii="CAIXA Std Book" w:hAnsi="CAIXA Std Book" w:cs="Calibri"/>
                <w:color w:val="005CA9"/>
                <w:sz w:val="14"/>
                <w:szCs w:val="14"/>
              </w:rPr>
              <w:t>25.739.004</w:t>
            </w:r>
          </w:p>
        </w:tc>
      </w:tr>
      <w:tr w:rsidR="007E345B" w:rsidRPr="00A64197" w14:paraId="137DA515" w14:textId="77777777" w:rsidTr="009452C5">
        <w:trPr>
          <w:trHeight w:val="300"/>
          <w:jc w:val="center"/>
        </w:trPr>
        <w:tc>
          <w:tcPr>
            <w:tcW w:w="1069" w:type="pct"/>
            <w:tcBorders>
              <w:top w:val="nil"/>
              <w:left w:val="nil"/>
              <w:right w:val="nil"/>
            </w:tcBorders>
            <w:noWrap/>
            <w:vAlign w:val="center"/>
          </w:tcPr>
          <w:p w14:paraId="33737B62" w14:textId="77777777" w:rsidR="007E345B" w:rsidRPr="00D16B7B" w:rsidRDefault="007E345B">
            <w:pPr>
              <w:rPr>
                <w:rFonts w:ascii="CAIXA Std Book" w:eastAsia="Times New Roman" w:hAnsi="CAIXA Std Book" w:cs="Arial"/>
                <w:color w:val="005CA9"/>
                <w:sz w:val="14"/>
                <w:szCs w:val="14"/>
              </w:rPr>
            </w:pPr>
            <w:r w:rsidRPr="00D16B7B">
              <w:rPr>
                <w:rFonts w:ascii="CAIXA Std Book" w:eastAsia="Times New Roman" w:hAnsi="CAIXA Std Book" w:cs="Arial"/>
                <w:color w:val="005CA9"/>
                <w:sz w:val="14"/>
                <w:szCs w:val="14"/>
              </w:rPr>
              <w:t>Recursos de instituições financeiras e outras</w:t>
            </w:r>
          </w:p>
        </w:tc>
        <w:tc>
          <w:tcPr>
            <w:tcW w:w="401" w:type="pct"/>
            <w:tcBorders>
              <w:top w:val="nil"/>
              <w:left w:val="nil"/>
              <w:right w:val="nil"/>
            </w:tcBorders>
            <w:noWrap/>
            <w:vAlign w:val="center"/>
          </w:tcPr>
          <w:p w14:paraId="70511FB6" w14:textId="61CBFAD6" w:rsidR="007E345B" w:rsidRPr="00F2340E" w:rsidRDefault="00D04AD7">
            <w:pPr>
              <w:ind w:firstLineChars="100" w:firstLine="140"/>
              <w:jc w:val="right"/>
              <w:rPr>
                <w:rFonts w:ascii="CAIXA Std Book" w:hAnsi="CAIXA Std Book" w:cs="Arial"/>
                <w:color w:val="005CA9"/>
                <w:sz w:val="14"/>
                <w:szCs w:val="14"/>
              </w:rPr>
            </w:pPr>
            <w:r w:rsidRPr="00D04AD7">
              <w:rPr>
                <w:rFonts w:ascii="CAIXA Std Book" w:hAnsi="CAIXA Std Book" w:cs="Arial"/>
                <w:color w:val="005CA9"/>
                <w:sz w:val="14"/>
                <w:szCs w:val="14"/>
              </w:rPr>
              <w:t>1.899.457</w:t>
            </w:r>
          </w:p>
        </w:tc>
        <w:tc>
          <w:tcPr>
            <w:tcW w:w="392" w:type="pct"/>
            <w:tcBorders>
              <w:top w:val="nil"/>
              <w:left w:val="nil"/>
              <w:right w:val="nil"/>
            </w:tcBorders>
            <w:noWrap/>
            <w:vAlign w:val="center"/>
          </w:tcPr>
          <w:p w14:paraId="733A8366" w14:textId="14C377FA" w:rsidR="007E345B" w:rsidRPr="00F2340E" w:rsidRDefault="00D04AD7" w:rsidP="00CB09FA">
            <w:pPr>
              <w:jc w:val="center"/>
              <w:rPr>
                <w:rFonts w:ascii="CAIXA Std Book" w:hAnsi="CAIXA Std Book" w:cs="Arial"/>
                <w:color w:val="005CA9"/>
                <w:sz w:val="14"/>
                <w:szCs w:val="14"/>
              </w:rPr>
            </w:pPr>
            <w:r w:rsidRPr="00D04AD7">
              <w:rPr>
                <w:rFonts w:ascii="CAIXA Std Book" w:hAnsi="CAIXA Std Book" w:cs="Arial"/>
                <w:color w:val="005CA9"/>
                <w:sz w:val="14"/>
                <w:szCs w:val="14"/>
              </w:rPr>
              <w:t>-</w:t>
            </w:r>
          </w:p>
        </w:tc>
        <w:tc>
          <w:tcPr>
            <w:tcW w:w="392" w:type="pct"/>
            <w:tcBorders>
              <w:top w:val="nil"/>
              <w:left w:val="nil"/>
              <w:right w:val="nil"/>
            </w:tcBorders>
            <w:noWrap/>
            <w:vAlign w:val="center"/>
          </w:tcPr>
          <w:p w14:paraId="26CFCAAE" w14:textId="29DE60CD" w:rsidR="007E345B" w:rsidRPr="00F2340E" w:rsidRDefault="00D04AD7">
            <w:pPr>
              <w:jc w:val="center"/>
              <w:rPr>
                <w:rFonts w:ascii="CAIXA Std Book" w:hAnsi="CAIXA Std Book" w:cs="Arial"/>
                <w:color w:val="005CA9"/>
                <w:sz w:val="14"/>
                <w:szCs w:val="14"/>
              </w:rPr>
            </w:pPr>
            <w:r w:rsidRPr="00D04AD7">
              <w:rPr>
                <w:rFonts w:ascii="CAIXA Std Book" w:hAnsi="CAIXA Std Book" w:cs="Arial"/>
                <w:color w:val="005CA9"/>
                <w:sz w:val="14"/>
                <w:szCs w:val="14"/>
              </w:rPr>
              <w:t>-</w:t>
            </w:r>
          </w:p>
        </w:tc>
        <w:tc>
          <w:tcPr>
            <w:tcW w:w="392" w:type="pct"/>
            <w:tcBorders>
              <w:top w:val="nil"/>
              <w:left w:val="nil"/>
              <w:right w:val="nil"/>
            </w:tcBorders>
            <w:vAlign w:val="center"/>
          </w:tcPr>
          <w:p w14:paraId="0C9F3AF9" w14:textId="53346E0A" w:rsidR="007E345B" w:rsidRPr="00F2340E" w:rsidRDefault="00D04AD7" w:rsidP="00CB09FA">
            <w:pPr>
              <w:jc w:val="center"/>
              <w:rPr>
                <w:rFonts w:ascii="CAIXA Std Book" w:hAnsi="CAIXA Std Book" w:cs="Arial"/>
                <w:color w:val="005CA9"/>
                <w:sz w:val="14"/>
                <w:szCs w:val="14"/>
              </w:rPr>
            </w:pPr>
            <w:r w:rsidRPr="00D04AD7">
              <w:rPr>
                <w:rFonts w:ascii="CAIXA Std Book" w:hAnsi="CAIXA Std Book" w:cs="Arial"/>
                <w:color w:val="005CA9"/>
                <w:sz w:val="14"/>
                <w:szCs w:val="14"/>
              </w:rPr>
              <w:t>-</w:t>
            </w:r>
          </w:p>
        </w:tc>
        <w:tc>
          <w:tcPr>
            <w:tcW w:w="393" w:type="pct"/>
            <w:tcBorders>
              <w:top w:val="nil"/>
              <w:left w:val="nil"/>
              <w:right w:val="nil"/>
            </w:tcBorders>
            <w:vAlign w:val="center"/>
          </w:tcPr>
          <w:p w14:paraId="53A61A0E" w14:textId="039D5F0B" w:rsidR="007E345B" w:rsidRPr="00F2340E" w:rsidRDefault="00D04AD7">
            <w:pPr>
              <w:jc w:val="right"/>
              <w:rPr>
                <w:rFonts w:ascii="CAIXA Std Book" w:hAnsi="CAIXA Std Book" w:cs="Arial"/>
                <w:color w:val="005CA9"/>
                <w:sz w:val="14"/>
                <w:szCs w:val="14"/>
              </w:rPr>
            </w:pPr>
            <w:r w:rsidRPr="00D04AD7">
              <w:rPr>
                <w:rFonts w:ascii="CAIXA Std Book" w:hAnsi="CAIXA Std Book" w:cs="Arial"/>
                <w:color w:val="005CA9"/>
                <w:sz w:val="14"/>
                <w:szCs w:val="14"/>
              </w:rPr>
              <w:t>614.909.727</w:t>
            </w:r>
          </w:p>
        </w:tc>
        <w:tc>
          <w:tcPr>
            <w:tcW w:w="392" w:type="pct"/>
            <w:tcBorders>
              <w:top w:val="nil"/>
              <w:left w:val="nil"/>
              <w:right w:val="nil"/>
            </w:tcBorders>
            <w:vAlign w:val="center"/>
          </w:tcPr>
          <w:p w14:paraId="26425C63" w14:textId="77777777" w:rsidR="007E345B" w:rsidRPr="003104FE" w:rsidRDefault="007E345B">
            <w:pPr>
              <w:jc w:val="right"/>
              <w:rPr>
                <w:rFonts w:ascii="CAIXA Std Book" w:eastAsia="Times New Roman" w:hAnsi="CAIXA Std Book" w:cs="Arial"/>
                <w:color w:val="005CA9"/>
                <w:sz w:val="14"/>
                <w:szCs w:val="14"/>
              </w:rPr>
            </w:pPr>
            <w:r w:rsidRPr="003104FE">
              <w:rPr>
                <w:rFonts w:ascii="CAIXA Std Book" w:eastAsia="Times New Roman" w:hAnsi="CAIXA Std Book" w:cs="Arial"/>
                <w:color w:val="005CA9"/>
                <w:sz w:val="14"/>
                <w:szCs w:val="14"/>
              </w:rPr>
              <w:t>13.690</w:t>
            </w:r>
          </w:p>
        </w:tc>
        <w:tc>
          <w:tcPr>
            <w:tcW w:w="392" w:type="pct"/>
            <w:tcBorders>
              <w:top w:val="nil"/>
              <w:left w:val="nil"/>
              <w:right w:val="nil"/>
            </w:tcBorders>
            <w:vAlign w:val="center"/>
          </w:tcPr>
          <w:p w14:paraId="5ADEF883" w14:textId="77777777" w:rsidR="007E345B" w:rsidRPr="003104FE" w:rsidRDefault="007E345B" w:rsidP="004701E7">
            <w:pPr>
              <w:ind w:firstLineChars="100" w:firstLine="140"/>
              <w:jc w:val="center"/>
              <w:rPr>
                <w:rFonts w:ascii="CAIXA Std Book" w:eastAsia="Times New Roman" w:hAnsi="CAIXA Std Book" w:cs="Arial"/>
                <w:color w:val="005CA9"/>
                <w:sz w:val="14"/>
                <w:szCs w:val="14"/>
              </w:rPr>
            </w:pPr>
            <w:r w:rsidRPr="003104FE">
              <w:rPr>
                <w:rFonts w:ascii="CAIXA Std Book" w:hAnsi="CAIXA Std Book" w:cs="Calibri"/>
                <w:color w:val="005CA9"/>
                <w:sz w:val="14"/>
                <w:szCs w:val="14"/>
              </w:rPr>
              <w:t>-</w:t>
            </w:r>
          </w:p>
        </w:tc>
        <w:tc>
          <w:tcPr>
            <w:tcW w:w="392" w:type="pct"/>
            <w:tcBorders>
              <w:top w:val="nil"/>
              <w:left w:val="nil"/>
              <w:right w:val="nil"/>
            </w:tcBorders>
            <w:vAlign w:val="center"/>
          </w:tcPr>
          <w:p w14:paraId="36F09C6C" w14:textId="77777777" w:rsidR="007E345B" w:rsidRPr="003104FE" w:rsidRDefault="007E345B" w:rsidP="004701E7">
            <w:pPr>
              <w:jc w:val="center"/>
              <w:rPr>
                <w:rFonts w:ascii="CAIXA Std Book" w:eastAsia="Times New Roman" w:hAnsi="CAIXA Std Book" w:cs="Arial"/>
                <w:color w:val="005CA9"/>
                <w:sz w:val="14"/>
                <w:szCs w:val="14"/>
              </w:rPr>
            </w:pPr>
            <w:r w:rsidRPr="003104FE">
              <w:rPr>
                <w:rFonts w:ascii="CAIXA Std Book" w:hAnsi="CAIXA Std Book" w:cs="Calibri"/>
                <w:color w:val="005CA9"/>
                <w:sz w:val="14"/>
                <w:szCs w:val="14"/>
              </w:rPr>
              <w:t>-</w:t>
            </w:r>
          </w:p>
        </w:tc>
        <w:tc>
          <w:tcPr>
            <w:tcW w:w="392" w:type="pct"/>
            <w:tcBorders>
              <w:top w:val="nil"/>
              <w:left w:val="nil"/>
              <w:right w:val="nil"/>
            </w:tcBorders>
            <w:vAlign w:val="center"/>
          </w:tcPr>
          <w:p w14:paraId="47ADA51D" w14:textId="77777777" w:rsidR="007E345B" w:rsidRPr="003104FE" w:rsidRDefault="007E345B" w:rsidP="004701E7">
            <w:pPr>
              <w:ind w:firstLineChars="100" w:firstLine="140"/>
              <w:jc w:val="center"/>
              <w:rPr>
                <w:rFonts w:ascii="CAIXA Std Book" w:eastAsia="Times New Roman" w:hAnsi="CAIXA Std Book" w:cs="Arial"/>
                <w:color w:val="005CA9"/>
                <w:sz w:val="14"/>
                <w:szCs w:val="14"/>
              </w:rPr>
            </w:pPr>
            <w:r w:rsidRPr="003104FE">
              <w:rPr>
                <w:rFonts w:ascii="CAIXA Std Book" w:hAnsi="CAIXA Std Book" w:cs="Calibri"/>
                <w:color w:val="005CA9"/>
                <w:sz w:val="14"/>
                <w:szCs w:val="14"/>
              </w:rPr>
              <w:t>-</w:t>
            </w:r>
          </w:p>
        </w:tc>
        <w:tc>
          <w:tcPr>
            <w:tcW w:w="393" w:type="pct"/>
            <w:tcBorders>
              <w:top w:val="nil"/>
              <w:left w:val="nil"/>
              <w:right w:val="nil"/>
            </w:tcBorders>
            <w:noWrap/>
            <w:vAlign w:val="center"/>
          </w:tcPr>
          <w:p w14:paraId="6BA4271E" w14:textId="00E71077" w:rsidR="007E345B" w:rsidRPr="003104FE" w:rsidRDefault="007E345B">
            <w:pPr>
              <w:ind w:firstLineChars="100" w:firstLine="140"/>
              <w:jc w:val="right"/>
              <w:rPr>
                <w:rFonts w:ascii="CAIXA Std Book" w:eastAsia="Times New Roman" w:hAnsi="CAIXA Std Book" w:cs="Arial"/>
                <w:color w:val="005CA9"/>
                <w:sz w:val="14"/>
                <w:szCs w:val="14"/>
              </w:rPr>
            </w:pPr>
            <w:r w:rsidRPr="003104FE">
              <w:rPr>
                <w:rFonts w:ascii="CAIXA Std Book" w:hAnsi="CAIXA Std Book" w:cs="Calibri"/>
                <w:color w:val="005CA9"/>
                <w:sz w:val="14"/>
                <w:szCs w:val="14"/>
              </w:rPr>
              <w:t>599.477.004</w:t>
            </w:r>
          </w:p>
        </w:tc>
      </w:tr>
      <w:tr w:rsidR="007E345B" w:rsidRPr="00A64197" w14:paraId="61832499" w14:textId="77777777" w:rsidTr="009452C5">
        <w:trPr>
          <w:trHeight w:val="300"/>
          <w:jc w:val="center"/>
        </w:trPr>
        <w:tc>
          <w:tcPr>
            <w:tcW w:w="1069" w:type="pct"/>
            <w:tcBorders>
              <w:top w:val="nil"/>
              <w:left w:val="nil"/>
              <w:right w:val="nil"/>
            </w:tcBorders>
            <w:noWrap/>
            <w:vAlign w:val="center"/>
          </w:tcPr>
          <w:p w14:paraId="5632E1C8" w14:textId="77777777" w:rsidR="007E345B" w:rsidRPr="00D16B7B" w:rsidRDefault="007E345B">
            <w:pPr>
              <w:rPr>
                <w:rFonts w:ascii="CAIXA Std Book" w:eastAsia="Times New Roman" w:hAnsi="CAIXA Std Book" w:cs="Arial"/>
                <w:color w:val="005CA9"/>
                <w:sz w:val="14"/>
                <w:szCs w:val="14"/>
              </w:rPr>
            </w:pPr>
            <w:r w:rsidRPr="00D16B7B">
              <w:rPr>
                <w:rFonts w:ascii="CAIXA Std Book" w:eastAsia="Times New Roman" w:hAnsi="CAIXA Std Book" w:cs="Arial"/>
                <w:color w:val="005CA9"/>
                <w:sz w:val="14"/>
                <w:szCs w:val="14"/>
              </w:rPr>
              <w:t>Recursos para destinação específica</w:t>
            </w:r>
          </w:p>
        </w:tc>
        <w:tc>
          <w:tcPr>
            <w:tcW w:w="401" w:type="pct"/>
            <w:tcBorders>
              <w:top w:val="nil"/>
              <w:left w:val="nil"/>
              <w:right w:val="nil"/>
            </w:tcBorders>
            <w:noWrap/>
            <w:vAlign w:val="center"/>
          </w:tcPr>
          <w:p w14:paraId="790C969C" w14:textId="6962BF27" w:rsidR="007E345B" w:rsidRPr="00F2340E" w:rsidRDefault="00D04AD7">
            <w:pPr>
              <w:ind w:firstLineChars="100" w:firstLine="140"/>
              <w:jc w:val="right"/>
              <w:rPr>
                <w:rFonts w:ascii="CAIXA Std Book" w:hAnsi="CAIXA Std Book" w:cs="Arial"/>
                <w:color w:val="005CA9"/>
                <w:sz w:val="14"/>
                <w:szCs w:val="14"/>
              </w:rPr>
            </w:pPr>
            <w:r w:rsidRPr="00D04AD7">
              <w:rPr>
                <w:rFonts w:ascii="CAIXA Std Book" w:hAnsi="CAIXA Std Book" w:cs="Arial"/>
                <w:color w:val="005CA9"/>
                <w:sz w:val="14"/>
                <w:szCs w:val="14"/>
              </w:rPr>
              <w:t>153.048.285</w:t>
            </w:r>
          </w:p>
        </w:tc>
        <w:tc>
          <w:tcPr>
            <w:tcW w:w="392" w:type="pct"/>
            <w:tcBorders>
              <w:top w:val="nil"/>
              <w:left w:val="nil"/>
              <w:right w:val="nil"/>
            </w:tcBorders>
            <w:noWrap/>
            <w:vAlign w:val="center"/>
          </w:tcPr>
          <w:p w14:paraId="72FAE085" w14:textId="2B741B9B" w:rsidR="007E345B" w:rsidRPr="00F2340E" w:rsidRDefault="00D04AD7" w:rsidP="00CB09FA">
            <w:pPr>
              <w:jc w:val="center"/>
              <w:rPr>
                <w:rFonts w:ascii="CAIXA Std Book" w:hAnsi="CAIXA Std Book" w:cs="Arial"/>
                <w:color w:val="005CA9"/>
                <w:sz w:val="14"/>
                <w:szCs w:val="14"/>
              </w:rPr>
            </w:pPr>
            <w:r w:rsidRPr="00D04AD7">
              <w:rPr>
                <w:rFonts w:ascii="CAIXA Std Book" w:hAnsi="CAIXA Std Book" w:cs="Arial"/>
                <w:color w:val="005CA9"/>
                <w:sz w:val="14"/>
                <w:szCs w:val="14"/>
              </w:rPr>
              <w:t>-</w:t>
            </w:r>
          </w:p>
        </w:tc>
        <w:tc>
          <w:tcPr>
            <w:tcW w:w="392" w:type="pct"/>
            <w:tcBorders>
              <w:top w:val="nil"/>
              <w:left w:val="nil"/>
              <w:right w:val="nil"/>
            </w:tcBorders>
            <w:noWrap/>
            <w:vAlign w:val="center"/>
          </w:tcPr>
          <w:p w14:paraId="1D844647" w14:textId="2053DDFB" w:rsidR="007E345B" w:rsidRPr="00F2340E" w:rsidRDefault="00D04AD7">
            <w:pPr>
              <w:jc w:val="center"/>
              <w:rPr>
                <w:rFonts w:ascii="CAIXA Std Book" w:hAnsi="CAIXA Std Book" w:cs="Arial"/>
                <w:color w:val="005CA9"/>
                <w:sz w:val="14"/>
                <w:szCs w:val="14"/>
              </w:rPr>
            </w:pPr>
            <w:r w:rsidRPr="00D04AD7">
              <w:rPr>
                <w:rFonts w:ascii="CAIXA Std Book" w:hAnsi="CAIXA Std Book" w:cs="Arial"/>
                <w:color w:val="005CA9"/>
                <w:sz w:val="14"/>
                <w:szCs w:val="14"/>
              </w:rPr>
              <w:t>-</w:t>
            </w:r>
          </w:p>
        </w:tc>
        <w:tc>
          <w:tcPr>
            <w:tcW w:w="392" w:type="pct"/>
            <w:tcBorders>
              <w:top w:val="nil"/>
              <w:left w:val="nil"/>
              <w:right w:val="nil"/>
            </w:tcBorders>
            <w:vAlign w:val="center"/>
          </w:tcPr>
          <w:p w14:paraId="7688E449" w14:textId="4C77A366" w:rsidR="007E345B" w:rsidRPr="00F2340E" w:rsidRDefault="00D04AD7" w:rsidP="00CB09FA">
            <w:pPr>
              <w:jc w:val="center"/>
              <w:rPr>
                <w:rFonts w:ascii="CAIXA Std Book" w:hAnsi="CAIXA Std Book" w:cs="Arial"/>
                <w:color w:val="005CA9"/>
                <w:sz w:val="14"/>
                <w:szCs w:val="14"/>
              </w:rPr>
            </w:pPr>
            <w:r w:rsidRPr="00D04AD7">
              <w:rPr>
                <w:rFonts w:ascii="CAIXA Std Book" w:hAnsi="CAIXA Std Book" w:cs="Arial"/>
                <w:color w:val="005CA9"/>
                <w:sz w:val="14"/>
                <w:szCs w:val="14"/>
              </w:rPr>
              <w:t>-</w:t>
            </w:r>
          </w:p>
        </w:tc>
        <w:tc>
          <w:tcPr>
            <w:tcW w:w="393" w:type="pct"/>
            <w:tcBorders>
              <w:top w:val="nil"/>
              <w:left w:val="nil"/>
              <w:right w:val="nil"/>
            </w:tcBorders>
            <w:vAlign w:val="center"/>
          </w:tcPr>
          <w:p w14:paraId="7CAAC432" w14:textId="4753E503" w:rsidR="007E345B" w:rsidRPr="00F2340E" w:rsidRDefault="00D04AD7">
            <w:pPr>
              <w:jc w:val="right"/>
              <w:rPr>
                <w:rFonts w:ascii="CAIXA Std Book" w:hAnsi="CAIXA Std Book" w:cs="Arial"/>
                <w:color w:val="005CA9"/>
                <w:sz w:val="14"/>
                <w:szCs w:val="14"/>
              </w:rPr>
            </w:pPr>
            <w:r w:rsidRPr="00D04AD7">
              <w:rPr>
                <w:rFonts w:ascii="CAIXA Std Book" w:hAnsi="CAIXA Std Book" w:cs="Arial"/>
                <w:color w:val="005CA9"/>
                <w:sz w:val="14"/>
                <w:szCs w:val="14"/>
              </w:rPr>
              <w:t>3.536.918</w:t>
            </w:r>
          </w:p>
        </w:tc>
        <w:tc>
          <w:tcPr>
            <w:tcW w:w="392" w:type="pct"/>
            <w:tcBorders>
              <w:top w:val="nil"/>
              <w:left w:val="nil"/>
              <w:right w:val="nil"/>
            </w:tcBorders>
            <w:vAlign w:val="center"/>
          </w:tcPr>
          <w:p w14:paraId="3E359FC9" w14:textId="77777777" w:rsidR="007E345B" w:rsidRPr="003104FE" w:rsidRDefault="007E345B">
            <w:pPr>
              <w:jc w:val="right"/>
              <w:rPr>
                <w:rFonts w:ascii="CAIXA Std Book" w:eastAsia="Times New Roman" w:hAnsi="CAIXA Std Book" w:cs="Arial"/>
                <w:color w:val="005CA9"/>
                <w:sz w:val="14"/>
                <w:szCs w:val="14"/>
              </w:rPr>
            </w:pPr>
            <w:r w:rsidRPr="003104FE">
              <w:rPr>
                <w:rFonts w:ascii="CAIXA Std Book" w:eastAsia="Times New Roman" w:hAnsi="CAIXA Std Book" w:cs="Arial"/>
                <w:color w:val="005CA9"/>
                <w:sz w:val="14"/>
                <w:szCs w:val="14"/>
              </w:rPr>
              <w:t>36.888.356</w:t>
            </w:r>
          </w:p>
        </w:tc>
        <w:tc>
          <w:tcPr>
            <w:tcW w:w="392" w:type="pct"/>
            <w:tcBorders>
              <w:top w:val="nil"/>
              <w:left w:val="nil"/>
              <w:right w:val="nil"/>
            </w:tcBorders>
            <w:vAlign w:val="center"/>
          </w:tcPr>
          <w:p w14:paraId="2A3FB1F8" w14:textId="77777777" w:rsidR="007E345B" w:rsidRPr="003104FE" w:rsidRDefault="007E345B" w:rsidP="004701E7">
            <w:pPr>
              <w:ind w:firstLineChars="100" w:firstLine="140"/>
              <w:jc w:val="center"/>
              <w:rPr>
                <w:rFonts w:ascii="CAIXA Std Book" w:eastAsia="Times New Roman" w:hAnsi="CAIXA Std Book" w:cs="Arial"/>
                <w:color w:val="005CA9"/>
                <w:sz w:val="14"/>
                <w:szCs w:val="14"/>
              </w:rPr>
            </w:pPr>
            <w:r w:rsidRPr="003104FE">
              <w:rPr>
                <w:rFonts w:ascii="CAIXA Std Book" w:hAnsi="CAIXA Std Book" w:cs="Calibri"/>
                <w:color w:val="005CA9"/>
                <w:sz w:val="14"/>
                <w:szCs w:val="14"/>
              </w:rPr>
              <w:t>-</w:t>
            </w:r>
          </w:p>
        </w:tc>
        <w:tc>
          <w:tcPr>
            <w:tcW w:w="392" w:type="pct"/>
            <w:tcBorders>
              <w:top w:val="nil"/>
              <w:left w:val="nil"/>
              <w:right w:val="nil"/>
            </w:tcBorders>
            <w:vAlign w:val="center"/>
          </w:tcPr>
          <w:p w14:paraId="689B49AA" w14:textId="77777777" w:rsidR="007E345B" w:rsidRPr="003104FE" w:rsidRDefault="007E345B" w:rsidP="004701E7">
            <w:pPr>
              <w:jc w:val="center"/>
              <w:rPr>
                <w:rFonts w:ascii="CAIXA Std Book" w:eastAsia="Times New Roman" w:hAnsi="CAIXA Std Book" w:cs="Arial"/>
                <w:color w:val="005CA9"/>
                <w:sz w:val="14"/>
                <w:szCs w:val="14"/>
              </w:rPr>
            </w:pPr>
            <w:r w:rsidRPr="003104FE">
              <w:rPr>
                <w:rFonts w:ascii="CAIXA Std Book" w:hAnsi="CAIXA Std Book" w:cs="Calibri"/>
                <w:color w:val="005CA9"/>
                <w:sz w:val="14"/>
                <w:szCs w:val="14"/>
              </w:rPr>
              <w:t>-</w:t>
            </w:r>
          </w:p>
        </w:tc>
        <w:tc>
          <w:tcPr>
            <w:tcW w:w="392" w:type="pct"/>
            <w:tcBorders>
              <w:top w:val="nil"/>
              <w:left w:val="nil"/>
              <w:right w:val="nil"/>
            </w:tcBorders>
            <w:vAlign w:val="center"/>
          </w:tcPr>
          <w:p w14:paraId="2865DF0B" w14:textId="77777777" w:rsidR="007E345B" w:rsidRPr="003104FE" w:rsidRDefault="007E345B" w:rsidP="004701E7">
            <w:pPr>
              <w:ind w:firstLineChars="100" w:firstLine="140"/>
              <w:jc w:val="center"/>
              <w:rPr>
                <w:rFonts w:ascii="CAIXA Std Book" w:eastAsia="Times New Roman" w:hAnsi="CAIXA Std Book" w:cs="Arial"/>
                <w:color w:val="005CA9"/>
                <w:sz w:val="14"/>
                <w:szCs w:val="14"/>
              </w:rPr>
            </w:pPr>
            <w:r w:rsidRPr="003104FE">
              <w:rPr>
                <w:rFonts w:ascii="CAIXA Std Book" w:hAnsi="CAIXA Std Book" w:cs="Calibri"/>
                <w:color w:val="005CA9"/>
                <w:sz w:val="14"/>
                <w:szCs w:val="14"/>
              </w:rPr>
              <w:t>-</w:t>
            </w:r>
          </w:p>
        </w:tc>
        <w:tc>
          <w:tcPr>
            <w:tcW w:w="393" w:type="pct"/>
            <w:tcBorders>
              <w:top w:val="nil"/>
              <w:left w:val="nil"/>
              <w:right w:val="nil"/>
            </w:tcBorders>
            <w:noWrap/>
            <w:vAlign w:val="center"/>
          </w:tcPr>
          <w:p w14:paraId="672A6C21" w14:textId="77777777" w:rsidR="007E345B" w:rsidRPr="003104FE" w:rsidRDefault="007E345B">
            <w:pPr>
              <w:ind w:firstLineChars="100" w:firstLine="140"/>
              <w:jc w:val="right"/>
              <w:rPr>
                <w:rFonts w:ascii="CAIXA Std Book" w:eastAsia="Times New Roman" w:hAnsi="CAIXA Std Book" w:cs="Arial"/>
                <w:color w:val="005CA9"/>
                <w:sz w:val="14"/>
                <w:szCs w:val="14"/>
              </w:rPr>
            </w:pPr>
            <w:r w:rsidRPr="003104FE">
              <w:rPr>
                <w:rFonts w:ascii="CAIXA Std Book" w:hAnsi="CAIXA Std Book" w:cs="Calibri"/>
                <w:color w:val="005CA9"/>
                <w:sz w:val="14"/>
                <w:szCs w:val="14"/>
              </w:rPr>
              <w:t>44.916.239</w:t>
            </w:r>
          </w:p>
        </w:tc>
      </w:tr>
      <w:tr w:rsidR="007E345B" w:rsidRPr="00A64197" w14:paraId="3D9EB4AF" w14:textId="77777777" w:rsidTr="009452C5">
        <w:trPr>
          <w:trHeight w:val="300"/>
          <w:jc w:val="center"/>
        </w:trPr>
        <w:tc>
          <w:tcPr>
            <w:tcW w:w="1069" w:type="pct"/>
            <w:tcBorders>
              <w:top w:val="nil"/>
              <w:left w:val="nil"/>
              <w:right w:val="nil"/>
            </w:tcBorders>
            <w:noWrap/>
            <w:vAlign w:val="center"/>
          </w:tcPr>
          <w:p w14:paraId="7F1FF006" w14:textId="77777777" w:rsidR="007E345B" w:rsidRPr="00D16B7B" w:rsidRDefault="007E345B">
            <w:pPr>
              <w:rPr>
                <w:rFonts w:ascii="CAIXA Std Book" w:eastAsia="Times New Roman" w:hAnsi="CAIXA Std Book" w:cs="Arial"/>
                <w:color w:val="005CA9"/>
                <w:sz w:val="14"/>
                <w:szCs w:val="14"/>
              </w:rPr>
            </w:pPr>
            <w:r w:rsidRPr="00D16B7B">
              <w:rPr>
                <w:rFonts w:ascii="CAIXA Std Book" w:eastAsia="Times New Roman" w:hAnsi="CAIXA Std Book" w:cs="Arial"/>
                <w:color w:val="005CA9"/>
                <w:sz w:val="14"/>
                <w:szCs w:val="14"/>
              </w:rPr>
              <w:t>Obrigações fiscais e previdenciárias</w:t>
            </w:r>
          </w:p>
        </w:tc>
        <w:tc>
          <w:tcPr>
            <w:tcW w:w="401" w:type="pct"/>
            <w:tcBorders>
              <w:top w:val="nil"/>
              <w:left w:val="nil"/>
              <w:right w:val="nil"/>
            </w:tcBorders>
            <w:noWrap/>
            <w:vAlign w:val="center"/>
          </w:tcPr>
          <w:p w14:paraId="07480C58" w14:textId="16DF55C7" w:rsidR="007E345B" w:rsidRPr="00F2340E" w:rsidRDefault="00CB09FA" w:rsidP="00CB09FA">
            <w:pPr>
              <w:ind w:firstLineChars="100" w:firstLine="140"/>
              <w:jc w:val="center"/>
              <w:rPr>
                <w:rFonts w:ascii="CAIXA Std Book" w:hAnsi="CAIXA Std Book" w:cs="Arial"/>
                <w:color w:val="005CA9"/>
                <w:sz w:val="14"/>
                <w:szCs w:val="14"/>
              </w:rPr>
            </w:pPr>
            <w:r w:rsidRPr="00CC29E0">
              <w:rPr>
                <w:rFonts w:ascii="CAIXA Std Book" w:hAnsi="CAIXA Std Book" w:cs="Arial"/>
                <w:color w:val="005CA9"/>
                <w:sz w:val="14"/>
                <w:szCs w:val="14"/>
              </w:rPr>
              <w:t>-</w:t>
            </w:r>
          </w:p>
        </w:tc>
        <w:tc>
          <w:tcPr>
            <w:tcW w:w="392" w:type="pct"/>
            <w:tcBorders>
              <w:top w:val="nil"/>
              <w:left w:val="nil"/>
              <w:right w:val="nil"/>
            </w:tcBorders>
            <w:noWrap/>
            <w:vAlign w:val="center"/>
          </w:tcPr>
          <w:p w14:paraId="720E50AD" w14:textId="10EA7CF3" w:rsidR="007E345B" w:rsidRPr="00F2340E" w:rsidRDefault="00CB09FA" w:rsidP="00CB09FA">
            <w:pPr>
              <w:jc w:val="center"/>
              <w:rPr>
                <w:rFonts w:ascii="CAIXA Std Book" w:hAnsi="CAIXA Std Book" w:cs="Arial"/>
                <w:color w:val="005CA9"/>
                <w:sz w:val="14"/>
                <w:szCs w:val="14"/>
              </w:rPr>
            </w:pPr>
            <w:r w:rsidRPr="00CC29E0">
              <w:rPr>
                <w:rFonts w:ascii="CAIXA Std Book" w:hAnsi="CAIXA Std Book" w:cs="Arial"/>
                <w:color w:val="005CA9"/>
                <w:sz w:val="14"/>
                <w:szCs w:val="14"/>
              </w:rPr>
              <w:t>-</w:t>
            </w:r>
          </w:p>
        </w:tc>
        <w:tc>
          <w:tcPr>
            <w:tcW w:w="392" w:type="pct"/>
            <w:tcBorders>
              <w:top w:val="nil"/>
              <w:left w:val="nil"/>
              <w:right w:val="nil"/>
            </w:tcBorders>
            <w:noWrap/>
            <w:vAlign w:val="center"/>
          </w:tcPr>
          <w:p w14:paraId="2A39EC58" w14:textId="0EC83EF6" w:rsidR="007E345B" w:rsidRPr="00F2340E" w:rsidRDefault="00CB09FA">
            <w:pPr>
              <w:jc w:val="center"/>
              <w:rPr>
                <w:rFonts w:ascii="CAIXA Std Book" w:hAnsi="CAIXA Std Book" w:cs="Arial"/>
                <w:color w:val="005CA9"/>
                <w:sz w:val="14"/>
                <w:szCs w:val="14"/>
              </w:rPr>
            </w:pPr>
            <w:r w:rsidRPr="00CC29E0">
              <w:rPr>
                <w:rFonts w:ascii="CAIXA Std Book" w:hAnsi="CAIXA Std Book" w:cs="Arial"/>
                <w:color w:val="005CA9"/>
                <w:sz w:val="14"/>
                <w:szCs w:val="14"/>
              </w:rPr>
              <w:t>-</w:t>
            </w:r>
          </w:p>
        </w:tc>
        <w:tc>
          <w:tcPr>
            <w:tcW w:w="392" w:type="pct"/>
            <w:tcBorders>
              <w:top w:val="nil"/>
              <w:left w:val="nil"/>
              <w:right w:val="nil"/>
            </w:tcBorders>
            <w:vAlign w:val="center"/>
          </w:tcPr>
          <w:p w14:paraId="0B2CAA3D" w14:textId="33241E30" w:rsidR="007E345B" w:rsidRPr="00F2340E" w:rsidRDefault="00CB09FA" w:rsidP="00CB09FA">
            <w:pPr>
              <w:jc w:val="center"/>
              <w:rPr>
                <w:rFonts w:ascii="CAIXA Std Book" w:hAnsi="CAIXA Std Book" w:cs="Arial"/>
                <w:color w:val="005CA9"/>
                <w:sz w:val="14"/>
                <w:szCs w:val="14"/>
              </w:rPr>
            </w:pPr>
            <w:r w:rsidRPr="00CC29E0">
              <w:rPr>
                <w:rFonts w:ascii="CAIXA Std Book" w:hAnsi="CAIXA Std Book" w:cs="Arial"/>
                <w:color w:val="005CA9"/>
                <w:sz w:val="14"/>
                <w:szCs w:val="14"/>
              </w:rPr>
              <w:t>-</w:t>
            </w:r>
          </w:p>
        </w:tc>
        <w:tc>
          <w:tcPr>
            <w:tcW w:w="393" w:type="pct"/>
            <w:tcBorders>
              <w:top w:val="nil"/>
              <w:left w:val="nil"/>
              <w:right w:val="nil"/>
            </w:tcBorders>
            <w:vAlign w:val="center"/>
          </w:tcPr>
          <w:p w14:paraId="4B8B9776" w14:textId="5C7A4092" w:rsidR="007E345B" w:rsidRPr="00F2340E" w:rsidRDefault="00CB09FA" w:rsidP="00CB09FA">
            <w:pPr>
              <w:jc w:val="center"/>
              <w:rPr>
                <w:rFonts w:ascii="CAIXA Std Book" w:hAnsi="CAIXA Std Book" w:cs="Arial"/>
                <w:color w:val="005CA9"/>
                <w:sz w:val="14"/>
                <w:szCs w:val="14"/>
              </w:rPr>
            </w:pPr>
            <w:r w:rsidRPr="00CB09FA">
              <w:rPr>
                <w:rFonts w:ascii="CAIXA Std Book" w:hAnsi="CAIXA Std Book" w:cs="Arial"/>
                <w:color w:val="005CA9"/>
                <w:sz w:val="14"/>
                <w:szCs w:val="14"/>
              </w:rPr>
              <w:t>-</w:t>
            </w:r>
          </w:p>
        </w:tc>
        <w:tc>
          <w:tcPr>
            <w:tcW w:w="392" w:type="pct"/>
            <w:tcBorders>
              <w:top w:val="nil"/>
              <w:left w:val="nil"/>
              <w:right w:val="nil"/>
            </w:tcBorders>
            <w:vAlign w:val="center"/>
          </w:tcPr>
          <w:p w14:paraId="453E77A3" w14:textId="77777777" w:rsidR="007E345B" w:rsidRPr="003104FE" w:rsidRDefault="007E345B">
            <w:pPr>
              <w:jc w:val="right"/>
              <w:rPr>
                <w:rFonts w:ascii="CAIXA Std Book" w:eastAsia="Times New Roman" w:hAnsi="CAIXA Std Book" w:cs="Arial"/>
                <w:color w:val="005CA9"/>
                <w:sz w:val="14"/>
                <w:szCs w:val="14"/>
              </w:rPr>
            </w:pPr>
            <w:r w:rsidRPr="003104FE">
              <w:rPr>
                <w:rFonts w:ascii="CAIXA Std Book" w:eastAsia="Times New Roman" w:hAnsi="CAIXA Std Book" w:cs="Arial"/>
                <w:color w:val="005CA9"/>
                <w:sz w:val="14"/>
                <w:szCs w:val="14"/>
              </w:rPr>
              <w:t>5.660.678</w:t>
            </w:r>
          </w:p>
        </w:tc>
        <w:tc>
          <w:tcPr>
            <w:tcW w:w="392" w:type="pct"/>
            <w:tcBorders>
              <w:top w:val="nil"/>
              <w:left w:val="nil"/>
              <w:right w:val="nil"/>
            </w:tcBorders>
            <w:vAlign w:val="center"/>
          </w:tcPr>
          <w:p w14:paraId="08808607" w14:textId="77777777" w:rsidR="007E345B" w:rsidRPr="003104FE" w:rsidRDefault="007E345B" w:rsidP="004701E7">
            <w:pPr>
              <w:ind w:firstLineChars="100" w:firstLine="140"/>
              <w:jc w:val="center"/>
              <w:rPr>
                <w:rFonts w:ascii="CAIXA Std Book" w:eastAsia="Times New Roman" w:hAnsi="CAIXA Std Book" w:cs="Arial"/>
                <w:color w:val="005CA9"/>
                <w:sz w:val="14"/>
                <w:szCs w:val="14"/>
              </w:rPr>
            </w:pPr>
            <w:r w:rsidRPr="003104FE">
              <w:rPr>
                <w:rFonts w:ascii="CAIXA Std Book" w:hAnsi="CAIXA Std Book" w:cs="Calibri"/>
                <w:color w:val="005CA9"/>
                <w:sz w:val="14"/>
                <w:szCs w:val="14"/>
              </w:rPr>
              <w:t>-</w:t>
            </w:r>
          </w:p>
        </w:tc>
        <w:tc>
          <w:tcPr>
            <w:tcW w:w="392" w:type="pct"/>
            <w:tcBorders>
              <w:top w:val="nil"/>
              <w:left w:val="nil"/>
              <w:right w:val="nil"/>
            </w:tcBorders>
            <w:vAlign w:val="center"/>
          </w:tcPr>
          <w:p w14:paraId="45A27DE7" w14:textId="77777777" w:rsidR="007E345B" w:rsidRPr="003104FE" w:rsidRDefault="007E345B" w:rsidP="004701E7">
            <w:pPr>
              <w:jc w:val="center"/>
              <w:rPr>
                <w:rFonts w:ascii="CAIXA Std Book" w:eastAsia="Times New Roman" w:hAnsi="CAIXA Std Book" w:cs="Arial"/>
                <w:color w:val="005CA9"/>
                <w:sz w:val="14"/>
                <w:szCs w:val="14"/>
              </w:rPr>
            </w:pPr>
            <w:r w:rsidRPr="003104FE">
              <w:rPr>
                <w:rFonts w:ascii="CAIXA Std Book" w:hAnsi="CAIXA Std Book" w:cs="Calibri"/>
                <w:color w:val="005CA9"/>
                <w:sz w:val="14"/>
                <w:szCs w:val="14"/>
              </w:rPr>
              <w:t>-</w:t>
            </w:r>
          </w:p>
        </w:tc>
        <w:tc>
          <w:tcPr>
            <w:tcW w:w="392" w:type="pct"/>
            <w:tcBorders>
              <w:top w:val="nil"/>
              <w:left w:val="nil"/>
              <w:right w:val="nil"/>
            </w:tcBorders>
            <w:vAlign w:val="center"/>
          </w:tcPr>
          <w:p w14:paraId="05C4EC13" w14:textId="77777777" w:rsidR="007E345B" w:rsidRPr="003104FE" w:rsidRDefault="007E345B" w:rsidP="004701E7">
            <w:pPr>
              <w:ind w:firstLineChars="100" w:firstLine="140"/>
              <w:jc w:val="center"/>
              <w:rPr>
                <w:rFonts w:ascii="CAIXA Std Book" w:eastAsia="Times New Roman" w:hAnsi="CAIXA Std Book" w:cs="Arial"/>
                <w:color w:val="005CA9"/>
                <w:sz w:val="14"/>
                <w:szCs w:val="14"/>
              </w:rPr>
            </w:pPr>
            <w:r w:rsidRPr="003104FE">
              <w:rPr>
                <w:rFonts w:ascii="CAIXA Std Book" w:hAnsi="CAIXA Std Book" w:cs="Calibri"/>
                <w:color w:val="005CA9"/>
                <w:sz w:val="14"/>
                <w:szCs w:val="14"/>
              </w:rPr>
              <w:t>-</w:t>
            </w:r>
          </w:p>
        </w:tc>
        <w:tc>
          <w:tcPr>
            <w:tcW w:w="393" w:type="pct"/>
            <w:tcBorders>
              <w:top w:val="nil"/>
              <w:left w:val="nil"/>
              <w:right w:val="nil"/>
            </w:tcBorders>
            <w:noWrap/>
            <w:vAlign w:val="center"/>
          </w:tcPr>
          <w:p w14:paraId="6EA1509E" w14:textId="77777777" w:rsidR="007E345B" w:rsidRPr="003104FE" w:rsidRDefault="007E345B">
            <w:pPr>
              <w:ind w:firstLineChars="100" w:firstLine="140"/>
              <w:jc w:val="right"/>
              <w:rPr>
                <w:rFonts w:ascii="CAIXA Std Book" w:eastAsia="Times New Roman" w:hAnsi="CAIXA Std Book" w:cs="Arial"/>
                <w:color w:val="005CA9"/>
                <w:sz w:val="14"/>
                <w:szCs w:val="14"/>
              </w:rPr>
            </w:pPr>
            <w:r w:rsidRPr="003104FE">
              <w:rPr>
                <w:rFonts w:ascii="CAIXA Std Book" w:hAnsi="CAIXA Std Book" w:cs="Calibri"/>
                <w:color w:val="005CA9"/>
                <w:sz w:val="14"/>
                <w:szCs w:val="14"/>
              </w:rPr>
              <w:t>74.598</w:t>
            </w:r>
          </w:p>
        </w:tc>
      </w:tr>
      <w:tr w:rsidR="007E345B" w:rsidRPr="00A64197" w14:paraId="12340756" w14:textId="77777777" w:rsidTr="009452C5">
        <w:trPr>
          <w:trHeight w:val="300"/>
          <w:jc w:val="center"/>
        </w:trPr>
        <w:tc>
          <w:tcPr>
            <w:tcW w:w="1069" w:type="pct"/>
            <w:tcBorders>
              <w:top w:val="nil"/>
              <w:left w:val="nil"/>
              <w:right w:val="nil"/>
            </w:tcBorders>
            <w:noWrap/>
            <w:vAlign w:val="center"/>
          </w:tcPr>
          <w:p w14:paraId="0C867E03" w14:textId="77777777" w:rsidR="007E345B" w:rsidRPr="00D16B7B" w:rsidRDefault="007E345B">
            <w:pPr>
              <w:rPr>
                <w:rFonts w:ascii="CAIXA Std Book" w:eastAsia="Times New Roman" w:hAnsi="CAIXA Std Book" w:cs="Arial"/>
                <w:color w:val="005CA9"/>
                <w:sz w:val="14"/>
                <w:szCs w:val="14"/>
              </w:rPr>
            </w:pPr>
            <w:r w:rsidRPr="00D16B7B">
              <w:rPr>
                <w:rFonts w:ascii="CAIXA Std Book" w:eastAsia="Times New Roman" w:hAnsi="CAIXA Std Book" w:cs="Arial"/>
                <w:color w:val="005CA9"/>
                <w:sz w:val="14"/>
                <w:szCs w:val="14"/>
              </w:rPr>
              <w:t>Obrigações diversas</w:t>
            </w:r>
          </w:p>
        </w:tc>
        <w:tc>
          <w:tcPr>
            <w:tcW w:w="401" w:type="pct"/>
            <w:tcBorders>
              <w:top w:val="nil"/>
              <w:left w:val="nil"/>
              <w:right w:val="nil"/>
            </w:tcBorders>
            <w:noWrap/>
            <w:vAlign w:val="center"/>
          </w:tcPr>
          <w:p w14:paraId="1E9CE3CD" w14:textId="5F14E329" w:rsidR="007E345B" w:rsidRPr="00F2340E" w:rsidRDefault="00CB09FA">
            <w:pPr>
              <w:ind w:firstLineChars="100" w:firstLine="140"/>
              <w:jc w:val="right"/>
              <w:rPr>
                <w:rFonts w:ascii="CAIXA Std Book" w:hAnsi="CAIXA Std Book" w:cs="Arial"/>
                <w:color w:val="005CA9"/>
                <w:sz w:val="14"/>
                <w:szCs w:val="14"/>
              </w:rPr>
            </w:pPr>
            <w:r w:rsidRPr="00CB09FA">
              <w:rPr>
                <w:rFonts w:ascii="CAIXA Std Book" w:hAnsi="CAIXA Std Book" w:cs="Arial"/>
                <w:color w:val="005CA9"/>
                <w:sz w:val="14"/>
                <w:szCs w:val="14"/>
              </w:rPr>
              <w:t>147.772</w:t>
            </w:r>
          </w:p>
        </w:tc>
        <w:tc>
          <w:tcPr>
            <w:tcW w:w="392" w:type="pct"/>
            <w:tcBorders>
              <w:top w:val="nil"/>
              <w:left w:val="nil"/>
              <w:right w:val="nil"/>
            </w:tcBorders>
            <w:noWrap/>
            <w:vAlign w:val="center"/>
          </w:tcPr>
          <w:p w14:paraId="03DBF77C" w14:textId="36EF5420" w:rsidR="007E345B" w:rsidRPr="00F2340E" w:rsidRDefault="00CB09FA">
            <w:pPr>
              <w:jc w:val="right"/>
              <w:rPr>
                <w:rFonts w:ascii="CAIXA Std Book" w:hAnsi="CAIXA Std Book" w:cs="Arial"/>
                <w:color w:val="005CA9"/>
                <w:sz w:val="14"/>
                <w:szCs w:val="14"/>
              </w:rPr>
            </w:pPr>
            <w:r w:rsidRPr="00CB09FA">
              <w:rPr>
                <w:rFonts w:ascii="CAIXA Std Book" w:hAnsi="CAIXA Std Book" w:cs="Arial"/>
                <w:color w:val="005CA9"/>
                <w:sz w:val="14"/>
                <w:szCs w:val="14"/>
              </w:rPr>
              <w:t>20.614</w:t>
            </w:r>
          </w:p>
        </w:tc>
        <w:tc>
          <w:tcPr>
            <w:tcW w:w="392" w:type="pct"/>
            <w:tcBorders>
              <w:top w:val="nil"/>
              <w:left w:val="nil"/>
              <w:right w:val="nil"/>
            </w:tcBorders>
            <w:noWrap/>
            <w:vAlign w:val="center"/>
          </w:tcPr>
          <w:p w14:paraId="28B1F284" w14:textId="16676486" w:rsidR="007E345B" w:rsidRPr="00F2340E" w:rsidRDefault="00CB09FA">
            <w:pPr>
              <w:jc w:val="center"/>
              <w:rPr>
                <w:rFonts w:ascii="CAIXA Std Book" w:hAnsi="CAIXA Std Book" w:cs="Arial"/>
                <w:color w:val="005CA9"/>
                <w:sz w:val="14"/>
                <w:szCs w:val="14"/>
              </w:rPr>
            </w:pPr>
            <w:r w:rsidRPr="00CB09FA">
              <w:rPr>
                <w:rFonts w:ascii="CAIXA Std Book" w:hAnsi="CAIXA Std Book" w:cs="Arial"/>
                <w:color w:val="005CA9"/>
                <w:sz w:val="14"/>
                <w:szCs w:val="14"/>
              </w:rPr>
              <w:t>-</w:t>
            </w:r>
          </w:p>
        </w:tc>
        <w:tc>
          <w:tcPr>
            <w:tcW w:w="392" w:type="pct"/>
            <w:tcBorders>
              <w:top w:val="nil"/>
              <w:left w:val="nil"/>
              <w:right w:val="nil"/>
            </w:tcBorders>
            <w:vAlign w:val="center"/>
          </w:tcPr>
          <w:p w14:paraId="4DB17AB5" w14:textId="1788370F" w:rsidR="007E345B" w:rsidRPr="00F2340E" w:rsidRDefault="00CB09FA" w:rsidP="00CB09FA">
            <w:pPr>
              <w:jc w:val="center"/>
              <w:rPr>
                <w:rFonts w:ascii="CAIXA Std Book" w:hAnsi="CAIXA Std Book" w:cs="Arial"/>
                <w:color w:val="005CA9"/>
                <w:sz w:val="14"/>
                <w:szCs w:val="14"/>
              </w:rPr>
            </w:pPr>
            <w:r w:rsidRPr="00CB09FA">
              <w:rPr>
                <w:rFonts w:ascii="CAIXA Std Book" w:hAnsi="CAIXA Std Book" w:cs="Arial"/>
                <w:color w:val="005CA9"/>
                <w:sz w:val="14"/>
                <w:szCs w:val="14"/>
              </w:rPr>
              <w:t>-</w:t>
            </w:r>
          </w:p>
        </w:tc>
        <w:tc>
          <w:tcPr>
            <w:tcW w:w="393" w:type="pct"/>
            <w:tcBorders>
              <w:top w:val="nil"/>
              <w:left w:val="nil"/>
              <w:right w:val="nil"/>
            </w:tcBorders>
            <w:vAlign w:val="center"/>
          </w:tcPr>
          <w:p w14:paraId="2CBD59E8" w14:textId="37D6A463" w:rsidR="007E345B" w:rsidRPr="00F2340E" w:rsidRDefault="00CB09FA">
            <w:pPr>
              <w:jc w:val="right"/>
              <w:rPr>
                <w:rFonts w:ascii="CAIXA Std Book" w:hAnsi="CAIXA Std Book" w:cs="Arial"/>
                <w:color w:val="005CA9"/>
                <w:sz w:val="14"/>
                <w:szCs w:val="14"/>
              </w:rPr>
            </w:pPr>
            <w:r w:rsidRPr="00CB09FA">
              <w:rPr>
                <w:rFonts w:ascii="CAIXA Std Book" w:hAnsi="CAIXA Std Book" w:cs="Arial"/>
                <w:color w:val="005CA9"/>
                <w:sz w:val="14"/>
                <w:szCs w:val="14"/>
              </w:rPr>
              <w:t>2.083.090</w:t>
            </w:r>
          </w:p>
        </w:tc>
        <w:tc>
          <w:tcPr>
            <w:tcW w:w="392" w:type="pct"/>
            <w:tcBorders>
              <w:top w:val="nil"/>
              <w:left w:val="nil"/>
              <w:right w:val="nil"/>
            </w:tcBorders>
            <w:vAlign w:val="center"/>
          </w:tcPr>
          <w:p w14:paraId="772EDF30" w14:textId="77777777" w:rsidR="007E345B" w:rsidRPr="003104FE" w:rsidRDefault="007E345B">
            <w:pPr>
              <w:jc w:val="right"/>
              <w:rPr>
                <w:rFonts w:ascii="CAIXA Std Book" w:eastAsia="Times New Roman" w:hAnsi="CAIXA Std Book" w:cs="Arial"/>
                <w:color w:val="005CA9"/>
                <w:sz w:val="14"/>
                <w:szCs w:val="14"/>
              </w:rPr>
            </w:pPr>
            <w:r w:rsidRPr="003104FE">
              <w:rPr>
                <w:rFonts w:ascii="CAIXA Std Book" w:eastAsia="Times New Roman" w:hAnsi="CAIXA Std Book" w:cs="Arial"/>
                <w:color w:val="005CA9"/>
                <w:sz w:val="14"/>
                <w:szCs w:val="14"/>
              </w:rPr>
              <w:t>18.297.605</w:t>
            </w:r>
          </w:p>
        </w:tc>
        <w:tc>
          <w:tcPr>
            <w:tcW w:w="392" w:type="pct"/>
            <w:tcBorders>
              <w:top w:val="nil"/>
              <w:left w:val="nil"/>
              <w:right w:val="nil"/>
            </w:tcBorders>
            <w:vAlign w:val="center"/>
          </w:tcPr>
          <w:p w14:paraId="5C352055" w14:textId="77777777" w:rsidR="007E345B" w:rsidRPr="003104FE" w:rsidRDefault="007E345B">
            <w:pPr>
              <w:ind w:firstLineChars="100" w:firstLine="140"/>
              <w:jc w:val="right"/>
              <w:rPr>
                <w:rFonts w:ascii="CAIXA Std Book" w:eastAsia="Times New Roman" w:hAnsi="CAIXA Std Book" w:cs="Arial"/>
                <w:color w:val="005CA9"/>
                <w:sz w:val="14"/>
                <w:szCs w:val="14"/>
              </w:rPr>
            </w:pPr>
            <w:r w:rsidRPr="003104FE">
              <w:rPr>
                <w:rFonts w:ascii="CAIXA Std Book" w:hAnsi="CAIXA Std Book" w:cs="Calibri"/>
                <w:color w:val="005CA9"/>
                <w:sz w:val="14"/>
                <w:szCs w:val="14"/>
              </w:rPr>
              <w:t>7.498</w:t>
            </w:r>
          </w:p>
        </w:tc>
        <w:tc>
          <w:tcPr>
            <w:tcW w:w="392" w:type="pct"/>
            <w:tcBorders>
              <w:top w:val="nil"/>
              <w:left w:val="nil"/>
              <w:right w:val="nil"/>
            </w:tcBorders>
            <w:vAlign w:val="center"/>
          </w:tcPr>
          <w:p w14:paraId="7D264C4B" w14:textId="77777777" w:rsidR="007E345B" w:rsidRPr="003104FE" w:rsidRDefault="007E345B">
            <w:pPr>
              <w:jc w:val="right"/>
              <w:rPr>
                <w:rFonts w:ascii="CAIXA Std Book" w:eastAsia="Times New Roman" w:hAnsi="CAIXA Std Book" w:cs="Arial"/>
                <w:color w:val="005CA9"/>
                <w:sz w:val="14"/>
                <w:szCs w:val="14"/>
              </w:rPr>
            </w:pPr>
            <w:r w:rsidRPr="003104FE">
              <w:rPr>
                <w:rFonts w:ascii="CAIXA Std Book" w:hAnsi="CAIXA Std Book" w:cs="Calibri"/>
                <w:color w:val="005CA9"/>
                <w:sz w:val="14"/>
                <w:szCs w:val="14"/>
              </w:rPr>
              <w:t>73.637</w:t>
            </w:r>
          </w:p>
        </w:tc>
        <w:tc>
          <w:tcPr>
            <w:tcW w:w="392" w:type="pct"/>
            <w:tcBorders>
              <w:top w:val="nil"/>
              <w:left w:val="nil"/>
              <w:right w:val="nil"/>
            </w:tcBorders>
            <w:vAlign w:val="center"/>
          </w:tcPr>
          <w:p w14:paraId="4149DD45" w14:textId="77777777" w:rsidR="007E345B" w:rsidRPr="003104FE" w:rsidRDefault="007E345B" w:rsidP="004701E7">
            <w:pPr>
              <w:ind w:firstLineChars="100" w:firstLine="140"/>
              <w:jc w:val="center"/>
              <w:rPr>
                <w:rFonts w:ascii="CAIXA Std Book" w:eastAsia="Times New Roman" w:hAnsi="CAIXA Std Book" w:cs="Arial"/>
                <w:color w:val="005CA9"/>
                <w:sz w:val="14"/>
                <w:szCs w:val="14"/>
              </w:rPr>
            </w:pPr>
            <w:r w:rsidRPr="003104FE">
              <w:rPr>
                <w:rFonts w:ascii="CAIXA Std Book" w:hAnsi="CAIXA Std Book" w:cs="Calibri"/>
                <w:color w:val="005CA9"/>
                <w:sz w:val="14"/>
                <w:szCs w:val="14"/>
              </w:rPr>
              <w:t>-</w:t>
            </w:r>
          </w:p>
        </w:tc>
        <w:tc>
          <w:tcPr>
            <w:tcW w:w="393" w:type="pct"/>
            <w:tcBorders>
              <w:top w:val="nil"/>
              <w:left w:val="nil"/>
              <w:right w:val="nil"/>
            </w:tcBorders>
            <w:noWrap/>
            <w:vAlign w:val="center"/>
          </w:tcPr>
          <w:p w14:paraId="49BA7C01" w14:textId="77777777" w:rsidR="007E345B" w:rsidRPr="003104FE" w:rsidRDefault="007E345B">
            <w:pPr>
              <w:ind w:firstLineChars="100" w:firstLine="140"/>
              <w:jc w:val="right"/>
              <w:rPr>
                <w:rFonts w:ascii="CAIXA Std Book" w:eastAsia="Times New Roman" w:hAnsi="CAIXA Std Book" w:cs="Arial"/>
                <w:color w:val="005CA9"/>
                <w:sz w:val="14"/>
                <w:szCs w:val="14"/>
              </w:rPr>
            </w:pPr>
            <w:r w:rsidRPr="003104FE">
              <w:rPr>
                <w:rFonts w:ascii="CAIXA Std Book" w:hAnsi="CAIXA Std Book" w:cs="Calibri"/>
                <w:color w:val="005CA9"/>
                <w:sz w:val="14"/>
                <w:szCs w:val="14"/>
              </w:rPr>
              <w:t>2.049.970</w:t>
            </w:r>
          </w:p>
        </w:tc>
      </w:tr>
      <w:tr w:rsidR="007E345B" w:rsidRPr="00A64197" w14:paraId="2F819D31" w14:textId="77777777" w:rsidTr="009452C5">
        <w:trPr>
          <w:trHeight w:val="300"/>
          <w:jc w:val="center"/>
        </w:trPr>
        <w:tc>
          <w:tcPr>
            <w:tcW w:w="1069" w:type="pct"/>
            <w:tcBorders>
              <w:top w:val="nil"/>
              <w:left w:val="nil"/>
              <w:right w:val="nil"/>
            </w:tcBorders>
            <w:noWrap/>
            <w:vAlign w:val="center"/>
          </w:tcPr>
          <w:p w14:paraId="710A20F7" w14:textId="77777777" w:rsidR="007E345B" w:rsidRPr="00D16B7B" w:rsidRDefault="007E345B">
            <w:pPr>
              <w:rPr>
                <w:rFonts w:ascii="CAIXA Std Book" w:eastAsia="Times New Roman" w:hAnsi="CAIXA Std Book" w:cs="Arial"/>
                <w:color w:val="005CA9"/>
                <w:sz w:val="14"/>
                <w:szCs w:val="14"/>
              </w:rPr>
            </w:pPr>
            <w:r w:rsidRPr="00D16B7B">
              <w:rPr>
                <w:rFonts w:ascii="CAIXA Std Book" w:eastAsia="Times New Roman" w:hAnsi="CAIXA Std Book" w:cs="Arial"/>
                <w:color w:val="005CA9"/>
                <w:sz w:val="14"/>
                <w:szCs w:val="14"/>
              </w:rPr>
              <w:t>Outros passivos financeiros</w:t>
            </w:r>
          </w:p>
        </w:tc>
        <w:tc>
          <w:tcPr>
            <w:tcW w:w="401" w:type="pct"/>
            <w:tcBorders>
              <w:top w:val="nil"/>
              <w:left w:val="nil"/>
              <w:right w:val="nil"/>
            </w:tcBorders>
            <w:noWrap/>
            <w:vAlign w:val="center"/>
          </w:tcPr>
          <w:p w14:paraId="2C9FA2CF" w14:textId="3F5B97AD" w:rsidR="007E345B" w:rsidRPr="00F2340E" w:rsidRDefault="00CB09FA">
            <w:pPr>
              <w:ind w:firstLineChars="100" w:firstLine="140"/>
              <w:jc w:val="right"/>
              <w:rPr>
                <w:rFonts w:ascii="CAIXA Std Book" w:hAnsi="CAIXA Std Book" w:cs="Arial"/>
                <w:color w:val="005CA9"/>
                <w:sz w:val="14"/>
                <w:szCs w:val="14"/>
              </w:rPr>
            </w:pPr>
            <w:r w:rsidRPr="00CB09FA">
              <w:rPr>
                <w:rFonts w:ascii="CAIXA Std Book" w:hAnsi="CAIXA Std Book" w:cs="Arial"/>
                <w:color w:val="005CA9"/>
                <w:sz w:val="14"/>
                <w:szCs w:val="14"/>
              </w:rPr>
              <w:t>162.350</w:t>
            </w:r>
          </w:p>
        </w:tc>
        <w:tc>
          <w:tcPr>
            <w:tcW w:w="392" w:type="pct"/>
            <w:tcBorders>
              <w:top w:val="nil"/>
              <w:left w:val="nil"/>
              <w:right w:val="nil"/>
            </w:tcBorders>
            <w:noWrap/>
            <w:vAlign w:val="center"/>
          </w:tcPr>
          <w:p w14:paraId="0335BB71" w14:textId="56D1812C" w:rsidR="007E345B" w:rsidRPr="00F2340E" w:rsidRDefault="00CB09FA" w:rsidP="00CB09FA">
            <w:pPr>
              <w:jc w:val="center"/>
              <w:rPr>
                <w:rFonts w:ascii="CAIXA Std Book" w:hAnsi="CAIXA Std Book" w:cs="Arial"/>
                <w:color w:val="005CA9"/>
                <w:sz w:val="14"/>
                <w:szCs w:val="14"/>
              </w:rPr>
            </w:pPr>
            <w:r w:rsidRPr="00CB09FA">
              <w:rPr>
                <w:rFonts w:ascii="CAIXA Std Book" w:hAnsi="CAIXA Std Book" w:cs="Arial"/>
                <w:color w:val="005CA9"/>
                <w:sz w:val="14"/>
                <w:szCs w:val="14"/>
              </w:rPr>
              <w:t>-</w:t>
            </w:r>
          </w:p>
        </w:tc>
        <w:tc>
          <w:tcPr>
            <w:tcW w:w="392" w:type="pct"/>
            <w:tcBorders>
              <w:top w:val="nil"/>
              <w:left w:val="nil"/>
              <w:right w:val="nil"/>
            </w:tcBorders>
            <w:noWrap/>
            <w:vAlign w:val="center"/>
          </w:tcPr>
          <w:p w14:paraId="3F64822B" w14:textId="3E5568D3" w:rsidR="007E345B" w:rsidRPr="00F2340E" w:rsidRDefault="00CB09FA">
            <w:pPr>
              <w:jc w:val="center"/>
              <w:rPr>
                <w:rFonts w:ascii="CAIXA Std Book" w:hAnsi="CAIXA Std Book" w:cs="Arial"/>
                <w:color w:val="005CA9"/>
                <w:sz w:val="14"/>
                <w:szCs w:val="14"/>
              </w:rPr>
            </w:pPr>
            <w:r w:rsidRPr="00CB09FA">
              <w:rPr>
                <w:rFonts w:ascii="CAIXA Std Book" w:hAnsi="CAIXA Std Book" w:cs="Arial"/>
                <w:color w:val="005CA9"/>
                <w:sz w:val="14"/>
                <w:szCs w:val="14"/>
              </w:rPr>
              <w:t>-</w:t>
            </w:r>
          </w:p>
        </w:tc>
        <w:tc>
          <w:tcPr>
            <w:tcW w:w="392" w:type="pct"/>
            <w:tcBorders>
              <w:top w:val="nil"/>
              <w:left w:val="nil"/>
              <w:right w:val="nil"/>
            </w:tcBorders>
            <w:vAlign w:val="center"/>
          </w:tcPr>
          <w:p w14:paraId="0DE2743B" w14:textId="6DA33972" w:rsidR="007E345B" w:rsidRPr="00F2340E" w:rsidRDefault="00CB09FA" w:rsidP="00CB09FA">
            <w:pPr>
              <w:jc w:val="center"/>
              <w:rPr>
                <w:rFonts w:ascii="CAIXA Std Book" w:hAnsi="CAIXA Std Book" w:cs="Arial"/>
                <w:color w:val="005CA9"/>
                <w:sz w:val="14"/>
                <w:szCs w:val="14"/>
              </w:rPr>
            </w:pPr>
            <w:r w:rsidRPr="00CB09FA">
              <w:rPr>
                <w:rFonts w:ascii="CAIXA Std Book" w:hAnsi="CAIXA Std Book" w:cs="Arial"/>
                <w:color w:val="005CA9"/>
                <w:sz w:val="14"/>
                <w:szCs w:val="14"/>
              </w:rPr>
              <w:t>-</w:t>
            </w:r>
          </w:p>
        </w:tc>
        <w:tc>
          <w:tcPr>
            <w:tcW w:w="393" w:type="pct"/>
            <w:tcBorders>
              <w:top w:val="nil"/>
              <w:left w:val="nil"/>
              <w:right w:val="nil"/>
            </w:tcBorders>
            <w:vAlign w:val="center"/>
          </w:tcPr>
          <w:p w14:paraId="4391C649" w14:textId="406D29F4" w:rsidR="007E345B" w:rsidRPr="00F2340E" w:rsidRDefault="00CB09FA">
            <w:pPr>
              <w:jc w:val="right"/>
              <w:rPr>
                <w:rFonts w:ascii="CAIXA Std Book" w:hAnsi="CAIXA Std Book" w:cs="Arial"/>
                <w:color w:val="005CA9"/>
                <w:sz w:val="14"/>
                <w:szCs w:val="14"/>
              </w:rPr>
            </w:pPr>
            <w:r w:rsidRPr="00CB09FA">
              <w:rPr>
                <w:rFonts w:ascii="CAIXA Std Book" w:hAnsi="CAIXA Std Book" w:cs="Arial"/>
                <w:color w:val="005CA9"/>
                <w:sz w:val="14"/>
                <w:szCs w:val="14"/>
              </w:rPr>
              <w:t>163.786</w:t>
            </w:r>
          </w:p>
        </w:tc>
        <w:tc>
          <w:tcPr>
            <w:tcW w:w="392" w:type="pct"/>
            <w:tcBorders>
              <w:top w:val="nil"/>
              <w:left w:val="nil"/>
              <w:right w:val="nil"/>
            </w:tcBorders>
            <w:vAlign w:val="center"/>
          </w:tcPr>
          <w:p w14:paraId="4A70C9F7" w14:textId="77777777" w:rsidR="007E345B" w:rsidRPr="003104FE" w:rsidRDefault="007E345B">
            <w:pPr>
              <w:jc w:val="right"/>
              <w:rPr>
                <w:rFonts w:ascii="CAIXA Std Book" w:eastAsia="Times New Roman" w:hAnsi="CAIXA Std Book" w:cs="Arial"/>
                <w:color w:val="005CA9"/>
                <w:sz w:val="14"/>
                <w:szCs w:val="14"/>
              </w:rPr>
            </w:pPr>
            <w:r w:rsidRPr="003104FE">
              <w:rPr>
                <w:rFonts w:ascii="CAIXA Std Book" w:eastAsia="Times New Roman" w:hAnsi="CAIXA Std Book" w:cs="Arial"/>
                <w:color w:val="005CA9"/>
                <w:sz w:val="14"/>
                <w:szCs w:val="14"/>
              </w:rPr>
              <w:t>16.465.196</w:t>
            </w:r>
          </w:p>
        </w:tc>
        <w:tc>
          <w:tcPr>
            <w:tcW w:w="392" w:type="pct"/>
            <w:tcBorders>
              <w:top w:val="nil"/>
              <w:left w:val="nil"/>
              <w:right w:val="nil"/>
            </w:tcBorders>
            <w:vAlign w:val="center"/>
          </w:tcPr>
          <w:p w14:paraId="6400F4B3" w14:textId="77777777" w:rsidR="007E345B" w:rsidRPr="003104FE" w:rsidRDefault="007E345B" w:rsidP="004701E7">
            <w:pPr>
              <w:ind w:firstLineChars="100" w:firstLine="140"/>
              <w:jc w:val="center"/>
              <w:rPr>
                <w:rFonts w:ascii="CAIXA Std Book" w:eastAsia="Times New Roman" w:hAnsi="CAIXA Std Book" w:cs="Arial"/>
                <w:color w:val="005CA9"/>
                <w:sz w:val="14"/>
                <w:szCs w:val="14"/>
              </w:rPr>
            </w:pPr>
            <w:r w:rsidRPr="003104FE">
              <w:rPr>
                <w:rFonts w:ascii="CAIXA Std Book" w:hAnsi="CAIXA Std Book" w:cs="Calibri"/>
                <w:color w:val="005CA9"/>
                <w:sz w:val="14"/>
                <w:szCs w:val="14"/>
              </w:rPr>
              <w:t>-</w:t>
            </w:r>
          </w:p>
        </w:tc>
        <w:tc>
          <w:tcPr>
            <w:tcW w:w="392" w:type="pct"/>
            <w:tcBorders>
              <w:top w:val="nil"/>
              <w:left w:val="nil"/>
              <w:right w:val="nil"/>
            </w:tcBorders>
            <w:vAlign w:val="center"/>
          </w:tcPr>
          <w:p w14:paraId="13B86D6B" w14:textId="77777777" w:rsidR="007E345B" w:rsidRPr="003104FE" w:rsidRDefault="007E345B" w:rsidP="004701E7">
            <w:pPr>
              <w:jc w:val="center"/>
              <w:rPr>
                <w:rFonts w:ascii="CAIXA Std Book" w:eastAsia="Times New Roman" w:hAnsi="CAIXA Std Book" w:cs="Arial"/>
                <w:color w:val="005CA9"/>
                <w:sz w:val="14"/>
                <w:szCs w:val="14"/>
              </w:rPr>
            </w:pPr>
            <w:r w:rsidRPr="003104FE">
              <w:rPr>
                <w:rFonts w:ascii="CAIXA Std Book" w:hAnsi="CAIXA Std Book" w:cs="Calibri"/>
                <w:color w:val="005CA9"/>
                <w:sz w:val="14"/>
                <w:szCs w:val="14"/>
              </w:rPr>
              <w:t>-</w:t>
            </w:r>
          </w:p>
        </w:tc>
        <w:tc>
          <w:tcPr>
            <w:tcW w:w="392" w:type="pct"/>
            <w:tcBorders>
              <w:top w:val="nil"/>
              <w:left w:val="nil"/>
              <w:right w:val="nil"/>
            </w:tcBorders>
            <w:vAlign w:val="center"/>
          </w:tcPr>
          <w:p w14:paraId="254A550D" w14:textId="77777777" w:rsidR="007E345B" w:rsidRPr="003104FE" w:rsidRDefault="007E345B" w:rsidP="004701E7">
            <w:pPr>
              <w:ind w:firstLineChars="100" w:firstLine="140"/>
              <w:jc w:val="center"/>
              <w:rPr>
                <w:rFonts w:ascii="CAIXA Std Book" w:eastAsia="Times New Roman" w:hAnsi="CAIXA Std Book" w:cs="Arial"/>
                <w:color w:val="005CA9"/>
                <w:sz w:val="14"/>
                <w:szCs w:val="14"/>
              </w:rPr>
            </w:pPr>
            <w:r w:rsidRPr="003104FE">
              <w:rPr>
                <w:rFonts w:ascii="CAIXA Std Book" w:hAnsi="CAIXA Std Book" w:cs="Calibri"/>
                <w:color w:val="005CA9"/>
                <w:sz w:val="14"/>
                <w:szCs w:val="14"/>
              </w:rPr>
              <w:t>-</w:t>
            </w:r>
          </w:p>
        </w:tc>
        <w:tc>
          <w:tcPr>
            <w:tcW w:w="393" w:type="pct"/>
            <w:tcBorders>
              <w:top w:val="nil"/>
              <w:left w:val="nil"/>
              <w:right w:val="nil"/>
            </w:tcBorders>
            <w:noWrap/>
            <w:vAlign w:val="center"/>
          </w:tcPr>
          <w:p w14:paraId="2FAD8986" w14:textId="77777777" w:rsidR="007E345B" w:rsidRPr="003104FE" w:rsidRDefault="007E345B">
            <w:pPr>
              <w:ind w:firstLineChars="100" w:firstLine="140"/>
              <w:jc w:val="right"/>
              <w:rPr>
                <w:rFonts w:ascii="CAIXA Std Book" w:eastAsia="Times New Roman" w:hAnsi="CAIXA Std Book" w:cs="Arial"/>
                <w:color w:val="005CA9"/>
                <w:sz w:val="14"/>
                <w:szCs w:val="14"/>
              </w:rPr>
            </w:pPr>
            <w:r w:rsidRPr="003104FE">
              <w:rPr>
                <w:rFonts w:ascii="CAIXA Std Book" w:hAnsi="CAIXA Std Book" w:cs="Calibri"/>
                <w:color w:val="005CA9"/>
                <w:sz w:val="14"/>
                <w:szCs w:val="14"/>
              </w:rPr>
              <w:t>103.264</w:t>
            </w:r>
          </w:p>
        </w:tc>
      </w:tr>
      <w:tr w:rsidR="007E345B" w:rsidRPr="00A64197" w14:paraId="292C8F75" w14:textId="77777777" w:rsidTr="009452C5">
        <w:trPr>
          <w:trHeight w:val="300"/>
          <w:jc w:val="center"/>
        </w:trPr>
        <w:tc>
          <w:tcPr>
            <w:tcW w:w="1069" w:type="pct"/>
            <w:tcBorders>
              <w:top w:val="nil"/>
              <w:left w:val="nil"/>
              <w:bottom w:val="nil"/>
              <w:right w:val="nil"/>
            </w:tcBorders>
            <w:shd w:val="clear" w:color="auto" w:fill="D0DFE3"/>
            <w:noWrap/>
            <w:vAlign w:val="center"/>
          </w:tcPr>
          <w:p w14:paraId="1A782D88" w14:textId="77777777" w:rsidR="007E345B" w:rsidRPr="00D16B7B" w:rsidRDefault="007E345B">
            <w:pPr>
              <w:rPr>
                <w:rFonts w:ascii="CAIXA Std Book" w:eastAsia="Times New Roman" w:hAnsi="CAIXA Std Book" w:cs="Arial"/>
                <w:b/>
                <w:color w:val="005CA9"/>
                <w:sz w:val="14"/>
                <w:szCs w:val="14"/>
              </w:rPr>
            </w:pPr>
            <w:r w:rsidRPr="00D16B7B">
              <w:rPr>
                <w:rFonts w:ascii="CAIXA Std Book" w:eastAsia="Times New Roman" w:hAnsi="CAIXA Std Book" w:cs="Arial"/>
                <w:b/>
                <w:color w:val="005CA9"/>
                <w:sz w:val="14"/>
                <w:szCs w:val="14"/>
              </w:rPr>
              <w:t>Garantias</w:t>
            </w:r>
          </w:p>
        </w:tc>
        <w:tc>
          <w:tcPr>
            <w:tcW w:w="401" w:type="pct"/>
            <w:tcBorders>
              <w:top w:val="nil"/>
              <w:left w:val="nil"/>
              <w:bottom w:val="nil"/>
              <w:right w:val="nil"/>
            </w:tcBorders>
            <w:shd w:val="clear" w:color="auto" w:fill="D0DFE3"/>
            <w:noWrap/>
            <w:vAlign w:val="center"/>
          </w:tcPr>
          <w:p w14:paraId="0F776DE3" w14:textId="07C65416" w:rsidR="007E345B" w:rsidRPr="00F2340E" w:rsidRDefault="00CB09FA" w:rsidP="00920A6D">
            <w:pPr>
              <w:ind w:firstLineChars="100" w:firstLine="140"/>
              <w:jc w:val="center"/>
              <w:rPr>
                <w:rFonts w:ascii="CAIXA Std Book" w:hAnsi="CAIXA Std Book" w:cs="Arial"/>
                <w:color w:val="005CA9"/>
                <w:sz w:val="14"/>
                <w:szCs w:val="14"/>
              </w:rPr>
            </w:pPr>
            <w:r w:rsidRPr="00CB09FA">
              <w:rPr>
                <w:rFonts w:ascii="CAIXA Std Book" w:hAnsi="CAIXA Std Book" w:cs="Arial"/>
                <w:b/>
                <w:bCs/>
                <w:color w:val="005CA9"/>
                <w:sz w:val="14"/>
                <w:szCs w:val="14"/>
              </w:rPr>
              <w:t>-</w:t>
            </w:r>
          </w:p>
        </w:tc>
        <w:tc>
          <w:tcPr>
            <w:tcW w:w="392" w:type="pct"/>
            <w:tcBorders>
              <w:top w:val="nil"/>
              <w:left w:val="nil"/>
              <w:bottom w:val="nil"/>
              <w:right w:val="nil"/>
            </w:tcBorders>
            <w:shd w:val="clear" w:color="auto" w:fill="D0DFE3"/>
            <w:noWrap/>
            <w:vAlign w:val="center"/>
          </w:tcPr>
          <w:p w14:paraId="73BF48C5" w14:textId="5E947B00" w:rsidR="007E345B" w:rsidRPr="00F2340E" w:rsidRDefault="00CB09FA" w:rsidP="00920A6D">
            <w:pPr>
              <w:jc w:val="center"/>
              <w:rPr>
                <w:rFonts w:ascii="CAIXA Std Book" w:hAnsi="CAIXA Std Book" w:cs="Arial"/>
                <w:color w:val="005CA9"/>
                <w:sz w:val="14"/>
                <w:szCs w:val="14"/>
              </w:rPr>
            </w:pPr>
            <w:r w:rsidRPr="00CB09FA">
              <w:rPr>
                <w:rFonts w:ascii="CAIXA Std Book" w:hAnsi="CAIXA Std Book" w:cs="Arial"/>
                <w:b/>
                <w:bCs/>
                <w:color w:val="005CA9"/>
                <w:sz w:val="14"/>
                <w:szCs w:val="14"/>
              </w:rPr>
              <w:t>-</w:t>
            </w:r>
          </w:p>
        </w:tc>
        <w:tc>
          <w:tcPr>
            <w:tcW w:w="392" w:type="pct"/>
            <w:tcBorders>
              <w:top w:val="nil"/>
              <w:left w:val="nil"/>
              <w:bottom w:val="nil"/>
              <w:right w:val="nil"/>
            </w:tcBorders>
            <w:shd w:val="clear" w:color="auto" w:fill="D0DFE3"/>
            <w:noWrap/>
            <w:vAlign w:val="center"/>
          </w:tcPr>
          <w:p w14:paraId="0C57AD53" w14:textId="013F92E2" w:rsidR="007E345B" w:rsidRPr="00F2340E" w:rsidRDefault="00CB09FA" w:rsidP="00920A6D">
            <w:pPr>
              <w:jc w:val="center"/>
              <w:rPr>
                <w:rFonts w:ascii="CAIXA Std Book" w:hAnsi="CAIXA Std Book" w:cs="Arial"/>
                <w:color w:val="005CA9"/>
                <w:sz w:val="14"/>
                <w:szCs w:val="14"/>
              </w:rPr>
            </w:pPr>
            <w:r w:rsidRPr="00CB09FA">
              <w:rPr>
                <w:rFonts w:ascii="CAIXA Std Book" w:hAnsi="CAIXA Std Book" w:cs="Arial"/>
                <w:b/>
                <w:bCs/>
                <w:color w:val="005CA9"/>
                <w:sz w:val="14"/>
                <w:szCs w:val="14"/>
              </w:rPr>
              <w:t>-</w:t>
            </w:r>
          </w:p>
        </w:tc>
        <w:tc>
          <w:tcPr>
            <w:tcW w:w="392" w:type="pct"/>
            <w:tcBorders>
              <w:top w:val="nil"/>
              <w:left w:val="nil"/>
              <w:bottom w:val="nil"/>
              <w:right w:val="nil"/>
            </w:tcBorders>
            <w:shd w:val="clear" w:color="auto" w:fill="D0DFE3"/>
            <w:vAlign w:val="center"/>
          </w:tcPr>
          <w:p w14:paraId="1AA0F117" w14:textId="788590E2" w:rsidR="007E345B" w:rsidRPr="00F2340E" w:rsidRDefault="00CB09FA">
            <w:pPr>
              <w:jc w:val="right"/>
              <w:rPr>
                <w:rFonts w:ascii="CAIXA Std Book" w:hAnsi="CAIXA Std Book" w:cs="Arial"/>
                <w:color w:val="005CA9"/>
                <w:sz w:val="14"/>
                <w:szCs w:val="14"/>
              </w:rPr>
            </w:pPr>
            <w:r w:rsidRPr="00CB09FA">
              <w:rPr>
                <w:rFonts w:ascii="CAIXA Std Book" w:hAnsi="CAIXA Std Book" w:cs="Arial"/>
                <w:b/>
                <w:bCs/>
                <w:color w:val="005CA9"/>
                <w:sz w:val="14"/>
                <w:szCs w:val="14"/>
              </w:rPr>
              <w:t>53.358</w:t>
            </w:r>
          </w:p>
        </w:tc>
        <w:tc>
          <w:tcPr>
            <w:tcW w:w="393" w:type="pct"/>
            <w:tcBorders>
              <w:top w:val="nil"/>
              <w:left w:val="nil"/>
              <w:bottom w:val="nil"/>
              <w:right w:val="nil"/>
            </w:tcBorders>
            <w:shd w:val="clear" w:color="auto" w:fill="D0DFE3"/>
            <w:vAlign w:val="center"/>
          </w:tcPr>
          <w:p w14:paraId="2B4DD214" w14:textId="3714246A" w:rsidR="007E345B" w:rsidRPr="00F2340E" w:rsidRDefault="00CB09FA">
            <w:pPr>
              <w:jc w:val="right"/>
              <w:rPr>
                <w:rFonts w:ascii="CAIXA Std Book" w:hAnsi="CAIXA Std Book" w:cs="Arial"/>
                <w:color w:val="005CA9"/>
                <w:sz w:val="14"/>
                <w:szCs w:val="14"/>
              </w:rPr>
            </w:pPr>
            <w:r w:rsidRPr="00CB09FA">
              <w:rPr>
                <w:rFonts w:ascii="CAIXA Std Book" w:hAnsi="CAIXA Std Book" w:cs="Arial"/>
                <w:b/>
                <w:bCs/>
                <w:color w:val="005CA9"/>
                <w:sz w:val="14"/>
                <w:szCs w:val="14"/>
              </w:rPr>
              <w:t>60.551.761</w:t>
            </w:r>
          </w:p>
        </w:tc>
        <w:tc>
          <w:tcPr>
            <w:tcW w:w="392" w:type="pct"/>
            <w:tcBorders>
              <w:top w:val="nil"/>
              <w:left w:val="nil"/>
              <w:bottom w:val="nil"/>
              <w:right w:val="nil"/>
            </w:tcBorders>
            <w:shd w:val="clear" w:color="auto" w:fill="D0DFE3"/>
            <w:vAlign w:val="center"/>
          </w:tcPr>
          <w:p w14:paraId="6381111F" w14:textId="77777777" w:rsidR="007E345B" w:rsidRPr="003104FE" w:rsidRDefault="007E345B">
            <w:pPr>
              <w:jc w:val="right"/>
              <w:rPr>
                <w:rFonts w:ascii="CAIXA Std Book" w:eastAsia="Times New Roman" w:hAnsi="CAIXA Std Book" w:cs="Arial"/>
                <w:color w:val="005CA9"/>
                <w:sz w:val="14"/>
                <w:szCs w:val="14"/>
              </w:rPr>
            </w:pPr>
            <w:r w:rsidRPr="003104FE">
              <w:rPr>
                <w:rFonts w:ascii="CAIXA Std Book" w:hAnsi="CAIXA Std Book" w:cs="Calibri"/>
                <w:b/>
                <w:bCs/>
                <w:color w:val="005CA9"/>
                <w:sz w:val="14"/>
                <w:szCs w:val="14"/>
              </w:rPr>
              <w:t>9.468</w:t>
            </w:r>
          </w:p>
        </w:tc>
        <w:tc>
          <w:tcPr>
            <w:tcW w:w="392" w:type="pct"/>
            <w:tcBorders>
              <w:top w:val="nil"/>
              <w:left w:val="nil"/>
              <w:bottom w:val="nil"/>
              <w:right w:val="nil"/>
            </w:tcBorders>
            <w:shd w:val="clear" w:color="auto" w:fill="D0DFE3"/>
            <w:vAlign w:val="center"/>
          </w:tcPr>
          <w:p w14:paraId="697AB384" w14:textId="77777777" w:rsidR="007E345B" w:rsidRPr="003104FE" w:rsidRDefault="007E345B" w:rsidP="004701E7">
            <w:pPr>
              <w:ind w:firstLineChars="100" w:firstLine="140"/>
              <w:jc w:val="center"/>
              <w:rPr>
                <w:rFonts w:ascii="CAIXA Std Book" w:eastAsia="Times New Roman" w:hAnsi="CAIXA Std Book" w:cs="Arial"/>
                <w:color w:val="005CA9"/>
                <w:sz w:val="14"/>
                <w:szCs w:val="14"/>
              </w:rPr>
            </w:pPr>
            <w:r w:rsidRPr="003104FE">
              <w:rPr>
                <w:rFonts w:ascii="CAIXA Std Book" w:hAnsi="CAIXA Std Book" w:cs="Calibri"/>
                <w:b/>
                <w:bCs/>
                <w:color w:val="005CA9"/>
                <w:sz w:val="14"/>
                <w:szCs w:val="14"/>
              </w:rPr>
              <w:t>-</w:t>
            </w:r>
          </w:p>
        </w:tc>
        <w:tc>
          <w:tcPr>
            <w:tcW w:w="392" w:type="pct"/>
            <w:tcBorders>
              <w:top w:val="nil"/>
              <w:left w:val="nil"/>
              <w:bottom w:val="nil"/>
              <w:right w:val="nil"/>
            </w:tcBorders>
            <w:shd w:val="clear" w:color="auto" w:fill="D0DFE3"/>
            <w:vAlign w:val="center"/>
          </w:tcPr>
          <w:p w14:paraId="2345C651" w14:textId="77777777" w:rsidR="007E345B" w:rsidRPr="003104FE" w:rsidRDefault="007E345B" w:rsidP="004701E7">
            <w:pPr>
              <w:jc w:val="center"/>
              <w:rPr>
                <w:rFonts w:ascii="CAIXA Std Book" w:eastAsia="Times New Roman" w:hAnsi="CAIXA Std Book" w:cs="Arial"/>
                <w:color w:val="005CA9"/>
                <w:sz w:val="14"/>
                <w:szCs w:val="14"/>
              </w:rPr>
            </w:pPr>
            <w:r w:rsidRPr="003104FE">
              <w:rPr>
                <w:rFonts w:ascii="CAIXA Std Book" w:hAnsi="CAIXA Std Book" w:cs="Calibri"/>
                <w:b/>
                <w:bCs/>
                <w:color w:val="005CA9"/>
                <w:sz w:val="14"/>
                <w:szCs w:val="14"/>
              </w:rPr>
              <w:t>-</w:t>
            </w:r>
          </w:p>
        </w:tc>
        <w:tc>
          <w:tcPr>
            <w:tcW w:w="392" w:type="pct"/>
            <w:tcBorders>
              <w:top w:val="nil"/>
              <w:left w:val="nil"/>
              <w:bottom w:val="nil"/>
              <w:right w:val="nil"/>
            </w:tcBorders>
            <w:shd w:val="clear" w:color="auto" w:fill="D0DFE3"/>
            <w:vAlign w:val="center"/>
          </w:tcPr>
          <w:p w14:paraId="46D5D277" w14:textId="77777777" w:rsidR="007E345B" w:rsidRPr="003104FE" w:rsidRDefault="007E345B">
            <w:pPr>
              <w:ind w:firstLineChars="100" w:firstLine="140"/>
              <w:jc w:val="right"/>
              <w:rPr>
                <w:rFonts w:ascii="CAIXA Std Book" w:eastAsia="Times New Roman" w:hAnsi="CAIXA Std Book" w:cs="Arial"/>
                <w:color w:val="005CA9"/>
                <w:sz w:val="14"/>
                <w:szCs w:val="14"/>
              </w:rPr>
            </w:pPr>
            <w:r w:rsidRPr="003104FE">
              <w:rPr>
                <w:rFonts w:ascii="CAIXA Std Book" w:hAnsi="CAIXA Std Book" w:cs="Calibri"/>
                <w:b/>
                <w:bCs/>
                <w:color w:val="005CA9"/>
                <w:sz w:val="14"/>
                <w:szCs w:val="14"/>
              </w:rPr>
              <w:t>297.757</w:t>
            </w:r>
          </w:p>
        </w:tc>
        <w:tc>
          <w:tcPr>
            <w:tcW w:w="393" w:type="pct"/>
            <w:tcBorders>
              <w:top w:val="nil"/>
              <w:left w:val="nil"/>
              <w:bottom w:val="nil"/>
              <w:right w:val="nil"/>
            </w:tcBorders>
            <w:shd w:val="clear" w:color="auto" w:fill="D0DFE3"/>
            <w:noWrap/>
            <w:vAlign w:val="center"/>
          </w:tcPr>
          <w:p w14:paraId="13F7EC2F" w14:textId="77777777" w:rsidR="007E345B" w:rsidRPr="003104FE" w:rsidRDefault="007E345B">
            <w:pPr>
              <w:ind w:firstLineChars="100" w:firstLine="140"/>
              <w:jc w:val="right"/>
              <w:rPr>
                <w:rFonts w:ascii="CAIXA Std Book" w:eastAsia="Times New Roman" w:hAnsi="CAIXA Std Book" w:cs="Arial"/>
                <w:color w:val="005CA9"/>
                <w:sz w:val="14"/>
                <w:szCs w:val="14"/>
              </w:rPr>
            </w:pPr>
            <w:r w:rsidRPr="003104FE">
              <w:rPr>
                <w:rFonts w:ascii="CAIXA Std Book" w:hAnsi="CAIXA Std Book" w:cs="Calibri"/>
                <w:b/>
                <w:bCs/>
                <w:color w:val="005CA9"/>
                <w:sz w:val="14"/>
                <w:szCs w:val="14"/>
              </w:rPr>
              <w:t>37.956.807</w:t>
            </w:r>
          </w:p>
        </w:tc>
      </w:tr>
      <w:tr w:rsidR="007E345B" w:rsidRPr="00A64197" w14:paraId="35DA7F82" w14:textId="77777777" w:rsidTr="009322CB">
        <w:trPr>
          <w:trHeight w:val="300"/>
          <w:jc w:val="center"/>
        </w:trPr>
        <w:tc>
          <w:tcPr>
            <w:tcW w:w="1069" w:type="pct"/>
            <w:tcBorders>
              <w:top w:val="nil"/>
              <w:left w:val="nil"/>
              <w:right w:val="nil"/>
            </w:tcBorders>
            <w:noWrap/>
            <w:vAlign w:val="center"/>
          </w:tcPr>
          <w:p w14:paraId="2D8840D0" w14:textId="77777777" w:rsidR="007E345B" w:rsidRPr="00D16B7B" w:rsidRDefault="007E345B">
            <w:pPr>
              <w:rPr>
                <w:rFonts w:ascii="CAIXA Std Book" w:eastAsia="Times New Roman" w:hAnsi="CAIXA Std Book" w:cs="Arial"/>
                <w:color w:val="005CA9"/>
                <w:sz w:val="14"/>
                <w:szCs w:val="14"/>
              </w:rPr>
            </w:pPr>
            <w:r w:rsidRPr="00D16B7B">
              <w:rPr>
                <w:rFonts w:ascii="CAIXA Std Book" w:eastAsia="Times New Roman" w:hAnsi="CAIXA Std Book" w:cs="Arial"/>
                <w:color w:val="005CA9"/>
                <w:sz w:val="14"/>
                <w:szCs w:val="14"/>
              </w:rPr>
              <w:t>Recebidas</w:t>
            </w:r>
          </w:p>
        </w:tc>
        <w:tc>
          <w:tcPr>
            <w:tcW w:w="401" w:type="pct"/>
            <w:tcBorders>
              <w:top w:val="nil"/>
              <w:left w:val="nil"/>
              <w:right w:val="nil"/>
            </w:tcBorders>
            <w:noWrap/>
            <w:vAlign w:val="center"/>
          </w:tcPr>
          <w:p w14:paraId="5F2B4613" w14:textId="1679E696" w:rsidR="007E345B" w:rsidRPr="00D16B7B" w:rsidRDefault="00CB09FA" w:rsidP="00CB09FA">
            <w:pPr>
              <w:ind w:firstLineChars="100" w:firstLine="140"/>
              <w:jc w:val="center"/>
              <w:rPr>
                <w:rFonts w:ascii="CAIXA Std Book" w:hAnsi="CAIXA Std Book" w:cs="Arial"/>
                <w:color w:val="005CA9"/>
                <w:sz w:val="14"/>
                <w:szCs w:val="14"/>
              </w:rPr>
            </w:pPr>
            <w:r w:rsidRPr="00CB09FA">
              <w:rPr>
                <w:rFonts w:ascii="CAIXA Std Book" w:hAnsi="CAIXA Std Book" w:cs="Arial"/>
                <w:color w:val="005CA9"/>
                <w:sz w:val="14"/>
                <w:szCs w:val="14"/>
              </w:rPr>
              <w:t>-</w:t>
            </w:r>
          </w:p>
        </w:tc>
        <w:tc>
          <w:tcPr>
            <w:tcW w:w="392" w:type="pct"/>
            <w:tcBorders>
              <w:top w:val="nil"/>
              <w:left w:val="nil"/>
              <w:right w:val="nil"/>
            </w:tcBorders>
            <w:noWrap/>
            <w:vAlign w:val="center"/>
          </w:tcPr>
          <w:p w14:paraId="1A2C30EE" w14:textId="5D8FCEA0" w:rsidR="007E345B" w:rsidRPr="00D16B7B" w:rsidRDefault="00CB09FA" w:rsidP="00CB09FA">
            <w:pPr>
              <w:jc w:val="center"/>
              <w:rPr>
                <w:rFonts w:ascii="CAIXA Std Book" w:hAnsi="CAIXA Std Book" w:cs="Arial"/>
                <w:color w:val="005CA9"/>
                <w:sz w:val="14"/>
                <w:szCs w:val="14"/>
              </w:rPr>
            </w:pPr>
            <w:r w:rsidRPr="00CB09FA">
              <w:rPr>
                <w:rFonts w:ascii="CAIXA Std Book" w:hAnsi="CAIXA Std Book" w:cs="Arial"/>
                <w:color w:val="005CA9"/>
                <w:sz w:val="14"/>
                <w:szCs w:val="14"/>
              </w:rPr>
              <w:t>-</w:t>
            </w:r>
          </w:p>
        </w:tc>
        <w:tc>
          <w:tcPr>
            <w:tcW w:w="392" w:type="pct"/>
            <w:tcBorders>
              <w:top w:val="nil"/>
              <w:left w:val="nil"/>
              <w:right w:val="nil"/>
            </w:tcBorders>
            <w:noWrap/>
            <w:vAlign w:val="center"/>
          </w:tcPr>
          <w:p w14:paraId="2C5DCEC3" w14:textId="70F6AA90" w:rsidR="007E345B" w:rsidRPr="00D16B7B" w:rsidRDefault="00CB09FA">
            <w:pPr>
              <w:jc w:val="center"/>
              <w:rPr>
                <w:rFonts w:ascii="CAIXA Std Book" w:hAnsi="CAIXA Std Book" w:cs="Arial"/>
                <w:color w:val="005CA9"/>
                <w:sz w:val="14"/>
                <w:szCs w:val="14"/>
              </w:rPr>
            </w:pPr>
            <w:r w:rsidRPr="00CB09FA">
              <w:rPr>
                <w:rFonts w:ascii="CAIXA Std Book" w:hAnsi="CAIXA Std Book" w:cs="Arial"/>
                <w:color w:val="005CA9"/>
                <w:sz w:val="14"/>
                <w:szCs w:val="14"/>
              </w:rPr>
              <w:t>-</w:t>
            </w:r>
          </w:p>
        </w:tc>
        <w:tc>
          <w:tcPr>
            <w:tcW w:w="392" w:type="pct"/>
            <w:tcBorders>
              <w:top w:val="nil"/>
              <w:left w:val="nil"/>
              <w:right w:val="nil"/>
            </w:tcBorders>
            <w:vAlign w:val="center"/>
          </w:tcPr>
          <w:p w14:paraId="25D1E070" w14:textId="1AC5C928" w:rsidR="007E345B" w:rsidRPr="00D16B7B" w:rsidRDefault="00CB09FA">
            <w:pPr>
              <w:jc w:val="right"/>
              <w:rPr>
                <w:rFonts w:ascii="CAIXA Std Book" w:hAnsi="CAIXA Std Book" w:cs="Arial"/>
                <w:color w:val="005CA9"/>
                <w:sz w:val="14"/>
                <w:szCs w:val="14"/>
              </w:rPr>
            </w:pPr>
            <w:r w:rsidRPr="00CB09FA">
              <w:rPr>
                <w:rFonts w:ascii="CAIXA Std Book" w:hAnsi="CAIXA Std Book" w:cs="Arial"/>
                <w:color w:val="005CA9"/>
                <w:sz w:val="14"/>
                <w:szCs w:val="14"/>
              </w:rPr>
              <w:t>53.358</w:t>
            </w:r>
          </w:p>
        </w:tc>
        <w:tc>
          <w:tcPr>
            <w:tcW w:w="393" w:type="pct"/>
            <w:tcBorders>
              <w:top w:val="nil"/>
              <w:left w:val="nil"/>
              <w:right w:val="nil"/>
            </w:tcBorders>
            <w:vAlign w:val="center"/>
          </w:tcPr>
          <w:p w14:paraId="7F9BFB1B" w14:textId="30C2C46C" w:rsidR="007E345B" w:rsidRPr="00D16B7B" w:rsidRDefault="00CB09FA">
            <w:pPr>
              <w:jc w:val="right"/>
              <w:rPr>
                <w:rFonts w:ascii="CAIXA Std Book" w:hAnsi="CAIXA Std Book" w:cs="Arial"/>
                <w:color w:val="005CA9"/>
                <w:sz w:val="14"/>
                <w:szCs w:val="14"/>
              </w:rPr>
            </w:pPr>
            <w:r w:rsidRPr="00CB09FA">
              <w:rPr>
                <w:rFonts w:ascii="CAIXA Std Book" w:hAnsi="CAIXA Std Book" w:cs="Arial"/>
                <w:color w:val="005CA9"/>
                <w:sz w:val="14"/>
                <w:szCs w:val="14"/>
              </w:rPr>
              <w:t>11.875.670</w:t>
            </w:r>
          </w:p>
        </w:tc>
        <w:tc>
          <w:tcPr>
            <w:tcW w:w="392" w:type="pct"/>
            <w:tcBorders>
              <w:top w:val="nil"/>
              <w:left w:val="nil"/>
              <w:right w:val="nil"/>
            </w:tcBorders>
            <w:vAlign w:val="center"/>
          </w:tcPr>
          <w:p w14:paraId="1DFD3385" w14:textId="77777777" w:rsidR="007E345B" w:rsidRPr="003104FE" w:rsidRDefault="007E345B">
            <w:pPr>
              <w:jc w:val="right"/>
              <w:rPr>
                <w:rFonts w:ascii="CAIXA Std Book" w:eastAsia="Times New Roman" w:hAnsi="CAIXA Std Book" w:cs="Arial"/>
                <w:color w:val="005CA9"/>
                <w:sz w:val="14"/>
                <w:szCs w:val="14"/>
              </w:rPr>
            </w:pPr>
            <w:r w:rsidRPr="003104FE">
              <w:rPr>
                <w:rFonts w:ascii="CAIXA Std Book" w:eastAsia="Times New Roman" w:hAnsi="CAIXA Std Book" w:cs="Arial"/>
                <w:color w:val="005CA9"/>
                <w:sz w:val="14"/>
                <w:szCs w:val="14"/>
              </w:rPr>
              <w:t>9.468</w:t>
            </w:r>
          </w:p>
        </w:tc>
        <w:tc>
          <w:tcPr>
            <w:tcW w:w="392" w:type="pct"/>
            <w:tcBorders>
              <w:top w:val="nil"/>
              <w:left w:val="nil"/>
              <w:right w:val="nil"/>
            </w:tcBorders>
            <w:vAlign w:val="center"/>
          </w:tcPr>
          <w:p w14:paraId="15AE40C6" w14:textId="77777777" w:rsidR="007E345B" w:rsidRPr="003104FE" w:rsidRDefault="007E345B" w:rsidP="004701E7">
            <w:pPr>
              <w:ind w:firstLineChars="100" w:firstLine="140"/>
              <w:jc w:val="center"/>
              <w:rPr>
                <w:rFonts w:ascii="CAIXA Std Book" w:eastAsia="Times New Roman" w:hAnsi="CAIXA Std Book" w:cs="Arial"/>
                <w:color w:val="005CA9"/>
                <w:sz w:val="14"/>
                <w:szCs w:val="14"/>
              </w:rPr>
            </w:pPr>
            <w:r w:rsidRPr="003104FE">
              <w:rPr>
                <w:rFonts w:ascii="CAIXA Std Book" w:hAnsi="CAIXA Std Book" w:cs="Calibri"/>
                <w:color w:val="005CA9"/>
                <w:sz w:val="14"/>
                <w:szCs w:val="14"/>
              </w:rPr>
              <w:t>-</w:t>
            </w:r>
          </w:p>
        </w:tc>
        <w:tc>
          <w:tcPr>
            <w:tcW w:w="392" w:type="pct"/>
            <w:tcBorders>
              <w:top w:val="nil"/>
              <w:left w:val="nil"/>
              <w:right w:val="nil"/>
            </w:tcBorders>
            <w:vAlign w:val="center"/>
          </w:tcPr>
          <w:p w14:paraId="58F79C08" w14:textId="77777777" w:rsidR="007E345B" w:rsidRPr="003104FE" w:rsidRDefault="007E345B" w:rsidP="004701E7">
            <w:pPr>
              <w:jc w:val="center"/>
              <w:rPr>
                <w:rFonts w:ascii="CAIXA Std Book" w:eastAsia="Times New Roman" w:hAnsi="CAIXA Std Book" w:cs="Arial"/>
                <w:color w:val="005CA9"/>
                <w:sz w:val="14"/>
                <w:szCs w:val="14"/>
              </w:rPr>
            </w:pPr>
            <w:r w:rsidRPr="003104FE">
              <w:rPr>
                <w:rFonts w:ascii="CAIXA Std Book" w:hAnsi="CAIXA Std Book" w:cs="Calibri"/>
                <w:color w:val="005CA9"/>
                <w:sz w:val="14"/>
                <w:szCs w:val="14"/>
              </w:rPr>
              <w:t>-</w:t>
            </w:r>
          </w:p>
        </w:tc>
        <w:tc>
          <w:tcPr>
            <w:tcW w:w="392" w:type="pct"/>
            <w:tcBorders>
              <w:top w:val="nil"/>
              <w:left w:val="nil"/>
              <w:right w:val="nil"/>
            </w:tcBorders>
            <w:vAlign w:val="center"/>
          </w:tcPr>
          <w:p w14:paraId="2E29D046" w14:textId="77777777" w:rsidR="007E345B" w:rsidRPr="003104FE" w:rsidRDefault="007E345B">
            <w:pPr>
              <w:ind w:firstLineChars="100" w:firstLine="140"/>
              <w:jc w:val="right"/>
              <w:rPr>
                <w:rFonts w:ascii="CAIXA Std Book" w:eastAsia="Times New Roman" w:hAnsi="CAIXA Std Book" w:cs="Arial"/>
                <w:color w:val="005CA9"/>
                <w:sz w:val="14"/>
                <w:szCs w:val="14"/>
              </w:rPr>
            </w:pPr>
            <w:r w:rsidRPr="003104FE">
              <w:rPr>
                <w:rFonts w:ascii="CAIXA Std Book" w:hAnsi="CAIXA Std Book" w:cs="Calibri"/>
                <w:color w:val="005CA9"/>
                <w:sz w:val="14"/>
                <w:szCs w:val="14"/>
              </w:rPr>
              <w:t>297.757</w:t>
            </w:r>
          </w:p>
        </w:tc>
        <w:tc>
          <w:tcPr>
            <w:tcW w:w="393" w:type="pct"/>
            <w:tcBorders>
              <w:top w:val="nil"/>
              <w:left w:val="nil"/>
              <w:right w:val="nil"/>
            </w:tcBorders>
            <w:noWrap/>
            <w:vAlign w:val="center"/>
          </w:tcPr>
          <w:p w14:paraId="1527E074" w14:textId="77777777" w:rsidR="007E345B" w:rsidRPr="003104FE" w:rsidRDefault="007E345B">
            <w:pPr>
              <w:ind w:firstLineChars="100" w:firstLine="140"/>
              <w:jc w:val="right"/>
              <w:rPr>
                <w:rFonts w:ascii="CAIXA Std Book" w:eastAsia="Times New Roman" w:hAnsi="CAIXA Std Book" w:cs="Arial"/>
                <w:color w:val="005CA9"/>
                <w:sz w:val="14"/>
                <w:szCs w:val="14"/>
              </w:rPr>
            </w:pPr>
            <w:r w:rsidRPr="003104FE">
              <w:rPr>
                <w:rFonts w:ascii="CAIXA Std Book" w:hAnsi="CAIXA Std Book" w:cs="Calibri"/>
                <w:color w:val="005CA9"/>
                <w:sz w:val="14"/>
                <w:szCs w:val="14"/>
              </w:rPr>
              <w:t>7.197.704</w:t>
            </w:r>
          </w:p>
        </w:tc>
      </w:tr>
      <w:tr w:rsidR="007E345B" w:rsidRPr="00A64197" w14:paraId="6FDE1C6C" w14:textId="77777777" w:rsidTr="009322CB">
        <w:trPr>
          <w:trHeight w:val="300"/>
          <w:jc w:val="center"/>
        </w:trPr>
        <w:tc>
          <w:tcPr>
            <w:tcW w:w="1069" w:type="pct"/>
            <w:tcBorders>
              <w:top w:val="nil"/>
              <w:left w:val="nil"/>
              <w:bottom w:val="single" w:sz="4" w:space="0" w:color="1F497D" w:themeColor="text2"/>
              <w:right w:val="nil"/>
            </w:tcBorders>
            <w:noWrap/>
            <w:vAlign w:val="center"/>
          </w:tcPr>
          <w:p w14:paraId="1A5A6F00" w14:textId="77777777" w:rsidR="007E345B" w:rsidRPr="00D16B7B" w:rsidRDefault="007E345B">
            <w:pPr>
              <w:rPr>
                <w:rFonts w:ascii="CAIXA Std Book" w:eastAsia="Times New Roman" w:hAnsi="CAIXA Std Book" w:cs="Arial"/>
                <w:color w:val="005CA9"/>
                <w:sz w:val="14"/>
                <w:szCs w:val="14"/>
              </w:rPr>
            </w:pPr>
            <w:r w:rsidRPr="00D16B7B">
              <w:rPr>
                <w:rFonts w:ascii="CAIXA Std Book" w:eastAsia="Times New Roman" w:hAnsi="CAIXA Std Book" w:cs="Arial"/>
                <w:color w:val="005CA9"/>
                <w:sz w:val="14"/>
                <w:szCs w:val="14"/>
              </w:rPr>
              <w:t>Prestadas</w:t>
            </w:r>
          </w:p>
        </w:tc>
        <w:tc>
          <w:tcPr>
            <w:tcW w:w="401" w:type="pct"/>
            <w:tcBorders>
              <w:top w:val="nil"/>
              <w:left w:val="nil"/>
              <w:bottom w:val="single" w:sz="4" w:space="0" w:color="1F497D" w:themeColor="text2"/>
              <w:right w:val="nil"/>
            </w:tcBorders>
            <w:noWrap/>
            <w:vAlign w:val="center"/>
          </w:tcPr>
          <w:p w14:paraId="1A612580" w14:textId="04C4C6CB" w:rsidR="007E345B" w:rsidRPr="00D16B7B" w:rsidRDefault="00CB09FA" w:rsidP="00CB09FA">
            <w:pPr>
              <w:ind w:firstLineChars="100" w:firstLine="140"/>
              <w:jc w:val="center"/>
              <w:rPr>
                <w:rFonts w:ascii="CAIXA Std Book" w:hAnsi="CAIXA Std Book" w:cs="Arial"/>
                <w:color w:val="005CA9"/>
                <w:sz w:val="14"/>
                <w:szCs w:val="14"/>
              </w:rPr>
            </w:pPr>
            <w:r w:rsidRPr="00CB09FA">
              <w:rPr>
                <w:rFonts w:ascii="CAIXA Std Book" w:hAnsi="CAIXA Std Book" w:cs="Arial"/>
                <w:color w:val="005CA9"/>
                <w:sz w:val="14"/>
                <w:szCs w:val="14"/>
              </w:rPr>
              <w:t>-</w:t>
            </w:r>
          </w:p>
        </w:tc>
        <w:tc>
          <w:tcPr>
            <w:tcW w:w="392" w:type="pct"/>
            <w:tcBorders>
              <w:top w:val="nil"/>
              <w:left w:val="nil"/>
              <w:bottom w:val="single" w:sz="4" w:space="0" w:color="1F497D" w:themeColor="text2"/>
              <w:right w:val="nil"/>
            </w:tcBorders>
            <w:noWrap/>
            <w:vAlign w:val="center"/>
          </w:tcPr>
          <w:p w14:paraId="1BE85274" w14:textId="0C0B0116" w:rsidR="007E345B" w:rsidRPr="00D16B7B" w:rsidRDefault="00CB09FA" w:rsidP="00CB09FA">
            <w:pPr>
              <w:jc w:val="center"/>
              <w:rPr>
                <w:rFonts w:ascii="CAIXA Std Book" w:hAnsi="CAIXA Std Book" w:cs="Arial"/>
                <w:color w:val="005CA9"/>
                <w:sz w:val="14"/>
                <w:szCs w:val="14"/>
              </w:rPr>
            </w:pPr>
            <w:r w:rsidRPr="00CB09FA">
              <w:rPr>
                <w:rFonts w:ascii="CAIXA Std Book" w:hAnsi="CAIXA Std Book" w:cs="Arial"/>
                <w:color w:val="005CA9"/>
                <w:sz w:val="14"/>
                <w:szCs w:val="14"/>
              </w:rPr>
              <w:t>-</w:t>
            </w:r>
          </w:p>
        </w:tc>
        <w:tc>
          <w:tcPr>
            <w:tcW w:w="392" w:type="pct"/>
            <w:tcBorders>
              <w:top w:val="nil"/>
              <w:left w:val="nil"/>
              <w:bottom w:val="single" w:sz="4" w:space="0" w:color="1F497D" w:themeColor="text2"/>
              <w:right w:val="nil"/>
            </w:tcBorders>
            <w:noWrap/>
            <w:vAlign w:val="center"/>
          </w:tcPr>
          <w:p w14:paraId="3AAFF366" w14:textId="1D356A55" w:rsidR="007E345B" w:rsidRPr="00D16B7B" w:rsidRDefault="00CB09FA" w:rsidP="00CB09FA">
            <w:pPr>
              <w:jc w:val="center"/>
              <w:rPr>
                <w:rFonts w:ascii="CAIXA Std Book" w:hAnsi="CAIXA Std Book" w:cs="Arial"/>
                <w:color w:val="005CA9"/>
                <w:sz w:val="14"/>
                <w:szCs w:val="14"/>
              </w:rPr>
            </w:pPr>
            <w:r w:rsidRPr="00CB09FA">
              <w:rPr>
                <w:rFonts w:ascii="CAIXA Std Book" w:hAnsi="CAIXA Std Book" w:cs="Arial"/>
                <w:color w:val="005CA9"/>
                <w:sz w:val="14"/>
                <w:szCs w:val="14"/>
              </w:rPr>
              <w:t>-</w:t>
            </w:r>
          </w:p>
        </w:tc>
        <w:tc>
          <w:tcPr>
            <w:tcW w:w="392" w:type="pct"/>
            <w:tcBorders>
              <w:top w:val="nil"/>
              <w:left w:val="nil"/>
              <w:bottom w:val="single" w:sz="4" w:space="0" w:color="1F497D" w:themeColor="text2"/>
              <w:right w:val="nil"/>
            </w:tcBorders>
            <w:vAlign w:val="center"/>
          </w:tcPr>
          <w:p w14:paraId="0B195FEF" w14:textId="253D0158" w:rsidR="007E345B" w:rsidRPr="00D16B7B" w:rsidRDefault="00CB09FA" w:rsidP="00CB09FA">
            <w:pPr>
              <w:jc w:val="center"/>
              <w:rPr>
                <w:rFonts w:ascii="CAIXA Std Book" w:hAnsi="CAIXA Std Book" w:cs="Arial"/>
                <w:color w:val="005CA9"/>
                <w:sz w:val="14"/>
                <w:szCs w:val="14"/>
              </w:rPr>
            </w:pPr>
            <w:r w:rsidRPr="00CB09FA">
              <w:rPr>
                <w:rFonts w:ascii="CAIXA Std Book" w:hAnsi="CAIXA Std Book" w:cs="Arial"/>
                <w:color w:val="005CA9"/>
                <w:sz w:val="14"/>
                <w:szCs w:val="14"/>
              </w:rPr>
              <w:t>-</w:t>
            </w:r>
          </w:p>
        </w:tc>
        <w:tc>
          <w:tcPr>
            <w:tcW w:w="393" w:type="pct"/>
            <w:tcBorders>
              <w:top w:val="nil"/>
              <w:left w:val="nil"/>
              <w:bottom w:val="single" w:sz="4" w:space="0" w:color="1F497D" w:themeColor="text2"/>
              <w:right w:val="nil"/>
            </w:tcBorders>
            <w:vAlign w:val="center"/>
          </w:tcPr>
          <w:p w14:paraId="6781F910" w14:textId="3AF62240" w:rsidR="007E345B" w:rsidRPr="00D16B7B" w:rsidRDefault="00CB09FA">
            <w:pPr>
              <w:jc w:val="right"/>
              <w:rPr>
                <w:rFonts w:ascii="CAIXA Std Book" w:hAnsi="CAIXA Std Book" w:cs="Arial"/>
                <w:color w:val="005CA9"/>
                <w:sz w:val="14"/>
                <w:szCs w:val="14"/>
              </w:rPr>
            </w:pPr>
            <w:r w:rsidRPr="00CB09FA">
              <w:rPr>
                <w:rFonts w:ascii="CAIXA Std Book" w:hAnsi="CAIXA Std Book" w:cs="Arial"/>
                <w:color w:val="005CA9"/>
                <w:sz w:val="14"/>
                <w:szCs w:val="14"/>
              </w:rPr>
              <w:t>48.676.091</w:t>
            </w:r>
          </w:p>
        </w:tc>
        <w:tc>
          <w:tcPr>
            <w:tcW w:w="392" w:type="pct"/>
            <w:tcBorders>
              <w:top w:val="nil"/>
              <w:left w:val="nil"/>
              <w:bottom w:val="single" w:sz="4" w:space="0" w:color="1F497D" w:themeColor="text2"/>
              <w:right w:val="nil"/>
            </w:tcBorders>
            <w:vAlign w:val="center"/>
          </w:tcPr>
          <w:p w14:paraId="003CBF38" w14:textId="77777777" w:rsidR="007E345B" w:rsidRPr="003104FE" w:rsidRDefault="007E345B" w:rsidP="004701E7">
            <w:pPr>
              <w:jc w:val="center"/>
              <w:rPr>
                <w:rFonts w:ascii="CAIXA Std Book" w:eastAsia="Times New Roman" w:hAnsi="CAIXA Std Book" w:cs="Arial"/>
                <w:color w:val="005CA9"/>
                <w:sz w:val="14"/>
                <w:szCs w:val="14"/>
              </w:rPr>
            </w:pPr>
            <w:r w:rsidRPr="003104FE">
              <w:rPr>
                <w:rFonts w:ascii="CAIXA Std Book" w:eastAsia="Times New Roman" w:hAnsi="CAIXA Std Book" w:cs="Arial"/>
                <w:color w:val="005CA9"/>
                <w:sz w:val="14"/>
                <w:szCs w:val="14"/>
              </w:rPr>
              <w:t>-</w:t>
            </w:r>
          </w:p>
        </w:tc>
        <w:tc>
          <w:tcPr>
            <w:tcW w:w="392" w:type="pct"/>
            <w:tcBorders>
              <w:top w:val="nil"/>
              <w:left w:val="nil"/>
              <w:bottom w:val="single" w:sz="4" w:space="0" w:color="1F497D" w:themeColor="text2"/>
              <w:right w:val="nil"/>
            </w:tcBorders>
            <w:vAlign w:val="center"/>
          </w:tcPr>
          <w:p w14:paraId="35808A1B" w14:textId="77777777" w:rsidR="007E345B" w:rsidRPr="003104FE" w:rsidRDefault="007E345B" w:rsidP="004701E7">
            <w:pPr>
              <w:ind w:firstLineChars="100" w:firstLine="140"/>
              <w:jc w:val="center"/>
              <w:rPr>
                <w:rFonts w:ascii="CAIXA Std Book" w:eastAsia="Times New Roman" w:hAnsi="CAIXA Std Book" w:cs="Arial"/>
                <w:color w:val="005CA9"/>
                <w:sz w:val="14"/>
                <w:szCs w:val="14"/>
              </w:rPr>
            </w:pPr>
            <w:r w:rsidRPr="003104FE">
              <w:rPr>
                <w:rFonts w:ascii="CAIXA Std Book" w:hAnsi="CAIXA Std Book" w:cs="Calibri"/>
                <w:color w:val="005CA9"/>
                <w:sz w:val="14"/>
                <w:szCs w:val="14"/>
              </w:rPr>
              <w:t>-</w:t>
            </w:r>
          </w:p>
        </w:tc>
        <w:tc>
          <w:tcPr>
            <w:tcW w:w="392" w:type="pct"/>
            <w:tcBorders>
              <w:top w:val="nil"/>
              <w:left w:val="nil"/>
              <w:bottom w:val="single" w:sz="4" w:space="0" w:color="1F497D" w:themeColor="text2"/>
              <w:right w:val="nil"/>
            </w:tcBorders>
            <w:vAlign w:val="center"/>
          </w:tcPr>
          <w:p w14:paraId="1F3F0195" w14:textId="77777777" w:rsidR="007E345B" w:rsidRPr="003104FE" w:rsidRDefault="007E345B" w:rsidP="004701E7">
            <w:pPr>
              <w:jc w:val="center"/>
              <w:rPr>
                <w:rFonts w:ascii="CAIXA Std Book" w:eastAsia="Times New Roman" w:hAnsi="CAIXA Std Book" w:cs="Arial"/>
                <w:color w:val="005CA9"/>
                <w:sz w:val="14"/>
                <w:szCs w:val="14"/>
              </w:rPr>
            </w:pPr>
            <w:r w:rsidRPr="003104FE">
              <w:rPr>
                <w:rFonts w:ascii="CAIXA Std Book" w:hAnsi="CAIXA Std Book" w:cs="Calibri"/>
                <w:color w:val="005CA9"/>
                <w:sz w:val="14"/>
                <w:szCs w:val="14"/>
              </w:rPr>
              <w:t>-</w:t>
            </w:r>
          </w:p>
        </w:tc>
        <w:tc>
          <w:tcPr>
            <w:tcW w:w="392" w:type="pct"/>
            <w:tcBorders>
              <w:top w:val="nil"/>
              <w:left w:val="nil"/>
              <w:bottom w:val="single" w:sz="4" w:space="0" w:color="1F497D" w:themeColor="text2"/>
              <w:right w:val="nil"/>
            </w:tcBorders>
            <w:vAlign w:val="center"/>
          </w:tcPr>
          <w:p w14:paraId="4F2C75D6" w14:textId="77777777" w:rsidR="007E345B" w:rsidRPr="003104FE" w:rsidRDefault="007E345B" w:rsidP="004701E7">
            <w:pPr>
              <w:ind w:firstLineChars="100" w:firstLine="140"/>
              <w:jc w:val="center"/>
              <w:rPr>
                <w:rFonts w:ascii="CAIXA Std Book" w:eastAsia="Times New Roman" w:hAnsi="CAIXA Std Book" w:cs="Arial"/>
                <w:color w:val="005CA9"/>
                <w:sz w:val="14"/>
                <w:szCs w:val="14"/>
              </w:rPr>
            </w:pPr>
            <w:r w:rsidRPr="003104FE">
              <w:rPr>
                <w:rFonts w:ascii="CAIXA Std Book" w:hAnsi="CAIXA Std Book" w:cs="Calibri"/>
                <w:color w:val="005CA9"/>
                <w:sz w:val="14"/>
                <w:szCs w:val="14"/>
              </w:rPr>
              <w:t>-</w:t>
            </w:r>
          </w:p>
        </w:tc>
        <w:tc>
          <w:tcPr>
            <w:tcW w:w="393" w:type="pct"/>
            <w:tcBorders>
              <w:top w:val="nil"/>
              <w:left w:val="nil"/>
              <w:bottom w:val="single" w:sz="4" w:space="0" w:color="1F497D" w:themeColor="text2"/>
              <w:right w:val="nil"/>
            </w:tcBorders>
            <w:noWrap/>
            <w:vAlign w:val="center"/>
          </w:tcPr>
          <w:p w14:paraId="77B1823B" w14:textId="77777777" w:rsidR="007E345B" w:rsidRPr="003104FE" w:rsidRDefault="007E345B">
            <w:pPr>
              <w:ind w:firstLineChars="100" w:firstLine="140"/>
              <w:jc w:val="right"/>
              <w:rPr>
                <w:rFonts w:ascii="CAIXA Std Book" w:eastAsia="Times New Roman" w:hAnsi="CAIXA Std Book" w:cs="Arial"/>
                <w:color w:val="005CA9"/>
                <w:sz w:val="14"/>
                <w:szCs w:val="14"/>
              </w:rPr>
            </w:pPr>
            <w:r w:rsidRPr="003104FE">
              <w:rPr>
                <w:rFonts w:ascii="CAIXA Std Book" w:hAnsi="CAIXA Std Book" w:cs="Calibri"/>
                <w:color w:val="005CA9"/>
                <w:sz w:val="14"/>
                <w:szCs w:val="14"/>
              </w:rPr>
              <w:t>30.759.103</w:t>
            </w:r>
          </w:p>
        </w:tc>
      </w:tr>
    </w:tbl>
    <w:p w14:paraId="1F0A4295" w14:textId="392EFEC9" w:rsidR="00A64197" w:rsidRPr="00D16B7B" w:rsidRDefault="00A64197" w:rsidP="00D16B7B">
      <w:pPr>
        <w:spacing w:before="120" w:after="120"/>
        <w:jc w:val="both"/>
        <w:rPr>
          <w:rFonts w:ascii="CAIXA Std Book" w:hAnsi="CAIXA Std Book"/>
          <w:b/>
          <w:color w:val="005CA9"/>
          <w:sz w:val="20"/>
          <w:szCs w:val="20"/>
        </w:rPr>
      </w:pPr>
      <w:r w:rsidRPr="00D16B7B">
        <w:rPr>
          <w:rFonts w:ascii="CAIXA Std Book" w:hAnsi="CAIXA Std Book"/>
          <w:b/>
          <w:color w:val="005CA9"/>
          <w:sz w:val="20"/>
          <w:szCs w:val="20"/>
        </w:rPr>
        <w:br w:type="page"/>
      </w:r>
    </w:p>
    <w:tbl>
      <w:tblPr>
        <w:tblW w:w="5000" w:type="pct"/>
        <w:jc w:val="center"/>
        <w:tblLayout w:type="fixed"/>
        <w:tblCellMar>
          <w:left w:w="70" w:type="dxa"/>
          <w:right w:w="70" w:type="dxa"/>
        </w:tblCellMar>
        <w:tblLook w:val="04A0" w:firstRow="1" w:lastRow="0" w:firstColumn="1" w:lastColumn="0" w:noHBand="0" w:noVBand="1"/>
      </w:tblPr>
      <w:tblGrid>
        <w:gridCol w:w="2552"/>
        <w:gridCol w:w="1276"/>
        <w:gridCol w:w="1125"/>
        <w:gridCol w:w="1201"/>
        <w:gridCol w:w="1201"/>
        <w:gridCol w:w="1206"/>
        <w:gridCol w:w="1201"/>
        <w:gridCol w:w="1201"/>
        <w:gridCol w:w="1201"/>
        <w:gridCol w:w="1201"/>
        <w:gridCol w:w="1206"/>
      </w:tblGrid>
      <w:tr w:rsidR="0097254E" w:rsidRPr="00E641A8" w14:paraId="4002B91C" w14:textId="77777777" w:rsidTr="001F463B">
        <w:trPr>
          <w:trHeight w:val="283"/>
          <w:jc w:val="center"/>
        </w:trPr>
        <w:tc>
          <w:tcPr>
            <w:tcW w:w="5000" w:type="pct"/>
            <w:gridSpan w:val="11"/>
            <w:tcBorders>
              <w:bottom w:val="single" w:sz="4" w:space="0" w:color="FFFFFF" w:themeColor="background1"/>
            </w:tcBorders>
            <w:shd w:val="clear" w:color="auto" w:fill="005CA9"/>
            <w:vAlign w:val="center"/>
          </w:tcPr>
          <w:p w14:paraId="5C262FC0" w14:textId="77777777" w:rsidR="0097254E" w:rsidRPr="0028570D" w:rsidRDefault="0097254E">
            <w:pPr>
              <w:jc w:val="center"/>
              <w:rPr>
                <w:rFonts w:ascii="CAIXA Std Book" w:eastAsia="Times New Roman" w:hAnsi="CAIXA Std Book" w:cs="Calibri"/>
                <w:b/>
                <w:color w:val="FFFFFF"/>
                <w:sz w:val="14"/>
                <w:szCs w:val="14"/>
              </w:rPr>
            </w:pPr>
            <w:r w:rsidRPr="0028570D">
              <w:rPr>
                <w:rFonts w:ascii="CAIXA Std Book" w:eastAsia="Times New Roman" w:hAnsi="CAIXA Std Book" w:cs="Calibri"/>
                <w:b/>
                <w:color w:val="FFFFFF"/>
                <w:sz w:val="14"/>
                <w:szCs w:val="14"/>
              </w:rPr>
              <w:t>Individual</w:t>
            </w:r>
          </w:p>
        </w:tc>
      </w:tr>
      <w:tr w:rsidR="0097254E" w:rsidRPr="00E641A8" w14:paraId="7F6C0E13" w14:textId="77777777" w:rsidTr="001F463B">
        <w:trPr>
          <w:trHeight w:val="283"/>
          <w:jc w:val="center"/>
        </w:trPr>
        <w:tc>
          <w:tcPr>
            <w:tcW w:w="876" w:type="pct"/>
            <w:vMerge w:val="restart"/>
            <w:tcBorders>
              <w:top w:val="single" w:sz="4" w:space="0" w:color="FFFFFF" w:themeColor="background1"/>
              <w:left w:val="nil"/>
              <w:right w:val="nil"/>
            </w:tcBorders>
            <w:shd w:val="clear" w:color="auto" w:fill="005CA9"/>
            <w:vAlign w:val="center"/>
            <w:hideMark/>
          </w:tcPr>
          <w:p w14:paraId="43843147" w14:textId="77777777" w:rsidR="0097254E" w:rsidRPr="0028570D" w:rsidRDefault="0097254E">
            <w:pPr>
              <w:jc w:val="center"/>
              <w:rPr>
                <w:rFonts w:ascii="CAIXA Std Book" w:eastAsia="Times New Roman" w:hAnsi="CAIXA Std Book" w:cs="Calibri"/>
                <w:b/>
                <w:color w:val="FFFFFF"/>
                <w:sz w:val="14"/>
                <w:szCs w:val="14"/>
              </w:rPr>
            </w:pPr>
            <w:r w:rsidRPr="0028570D">
              <w:rPr>
                <w:rFonts w:ascii="CAIXA Std Book" w:eastAsia="Times New Roman" w:hAnsi="CAIXA Std Book" w:cs="Calibri"/>
                <w:b/>
                <w:color w:val="FFFFFF"/>
                <w:sz w:val="14"/>
                <w:szCs w:val="14"/>
              </w:rPr>
              <w:t>Descrição</w:t>
            </w:r>
          </w:p>
        </w:tc>
        <w:tc>
          <w:tcPr>
            <w:tcW w:w="2062" w:type="pct"/>
            <w:gridSpan w:val="5"/>
            <w:tcBorders>
              <w:top w:val="single" w:sz="4" w:space="0" w:color="FFFFFF" w:themeColor="background1"/>
              <w:bottom w:val="single" w:sz="4" w:space="0" w:color="FFFFFF" w:themeColor="background1"/>
            </w:tcBorders>
            <w:shd w:val="clear" w:color="auto" w:fill="005CA9"/>
            <w:vAlign w:val="center"/>
          </w:tcPr>
          <w:p w14:paraId="41633CEC" w14:textId="77777777" w:rsidR="0097254E" w:rsidRPr="0028570D" w:rsidRDefault="0097254E">
            <w:pPr>
              <w:jc w:val="center"/>
              <w:rPr>
                <w:rFonts w:ascii="CAIXA Std Book" w:eastAsia="Times New Roman" w:hAnsi="CAIXA Std Book" w:cs="Calibri"/>
                <w:b/>
                <w:color w:val="FFFFFF"/>
                <w:sz w:val="14"/>
                <w:szCs w:val="14"/>
              </w:rPr>
            </w:pPr>
            <w:r w:rsidRPr="0028570D">
              <w:rPr>
                <w:rFonts w:ascii="CAIXA Std Book" w:eastAsia="Times New Roman" w:hAnsi="CAIXA Std Book" w:cs="Arial"/>
                <w:b/>
                <w:color w:val="FFFFFF" w:themeColor="background1"/>
                <w:sz w:val="14"/>
                <w:szCs w:val="14"/>
              </w:rPr>
              <w:t>2026</w:t>
            </w:r>
          </w:p>
        </w:tc>
        <w:tc>
          <w:tcPr>
            <w:tcW w:w="2062" w:type="pct"/>
            <w:gridSpan w:val="5"/>
            <w:tcBorders>
              <w:top w:val="single" w:sz="4" w:space="0" w:color="FFFFFF" w:themeColor="background1"/>
              <w:bottom w:val="single" w:sz="4" w:space="0" w:color="FFFFFF" w:themeColor="background1"/>
            </w:tcBorders>
            <w:shd w:val="clear" w:color="auto" w:fill="005CA9"/>
            <w:vAlign w:val="center"/>
          </w:tcPr>
          <w:p w14:paraId="1724F231" w14:textId="77777777" w:rsidR="0097254E" w:rsidRPr="0028570D" w:rsidRDefault="0097254E">
            <w:pPr>
              <w:jc w:val="center"/>
              <w:rPr>
                <w:rFonts w:ascii="CAIXA Std Book" w:eastAsia="Times New Roman" w:hAnsi="CAIXA Std Book" w:cs="Calibri"/>
                <w:b/>
                <w:color w:val="FFFFFF"/>
                <w:sz w:val="14"/>
                <w:szCs w:val="14"/>
              </w:rPr>
            </w:pPr>
            <w:r w:rsidRPr="0028570D">
              <w:rPr>
                <w:rFonts w:ascii="CAIXA Std Book" w:eastAsia="Times New Roman" w:hAnsi="CAIXA Std Book" w:cs="Calibri"/>
                <w:b/>
                <w:color w:val="FFFFFF"/>
                <w:sz w:val="14"/>
                <w:szCs w:val="14"/>
              </w:rPr>
              <w:t>2025</w:t>
            </w:r>
          </w:p>
        </w:tc>
      </w:tr>
      <w:tr w:rsidR="0097254E" w:rsidRPr="00663F75" w14:paraId="0BC6DF91" w14:textId="77777777" w:rsidTr="001F463B">
        <w:trPr>
          <w:trHeight w:val="283"/>
          <w:jc w:val="center"/>
        </w:trPr>
        <w:tc>
          <w:tcPr>
            <w:tcW w:w="876" w:type="pct"/>
            <w:vMerge/>
            <w:tcBorders>
              <w:top w:val="single" w:sz="4" w:space="0" w:color="FFFFFF" w:themeColor="background1"/>
              <w:left w:val="nil"/>
              <w:right w:val="nil"/>
            </w:tcBorders>
            <w:shd w:val="clear" w:color="auto" w:fill="005CA9"/>
            <w:vAlign w:val="center"/>
          </w:tcPr>
          <w:p w14:paraId="6F64EBA8" w14:textId="77777777" w:rsidR="0097254E" w:rsidRPr="0028570D" w:rsidRDefault="0097254E">
            <w:pPr>
              <w:jc w:val="center"/>
              <w:rPr>
                <w:rFonts w:ascii="CAIXA Std Book" w:eastAsia="Times New Roman" w:hAnsi="CAIXA Std Book" w:cs="Calibri"/>
                <w:b/>
                <w:color w:val="FFFFFF"/>
                <w:sz w:val="14"/>
                <w:szCs w:val="14"/>
              </w:rPr>
            </w:pPr>
          </w:p>
        </w:tc>
        <w:tc>
          <w:tcPr>
            <w:tcW w:w="2062" w:type="pct"/>
            <w:gridSpan w:val="5"/>
            <w:tcBorders>
              <w:top w:val="single" w:sz="4" w:space="0" w:color="FFFFFF" w:themeColor="background1"/>
              <w:bottom w:val="single" w:sz="4" w:space="0" w:color="FFFFFF" w:themeColor="background1"/>
            </w:tcBorders>
            <w:shd w:val="clear" w:color="auto" w:fill="005CA9"/>
            <w:vAlign w:val="center"/>
          </w:tcPr>
          <w:p w14:paraId="0DB17682" w14:textId="77777777" w:rsidR="0097254E" w:rsidRPr="0028570D" w:rsidRDefault="0097254E">
            <w:pPr>
              <w:jc w:val="center"/>
              <w:rPr>
                <w:rFonts w:ascii="CAIXA Std Book" w:eastAsia="Times New Roman" w:hAnsi="CAIXA Std Book" w:cs="Arial"/>
                <w:b/>
                <w:color w:val="FFFFFF" w:themeColor="background1"/>
                <w:sz w:val="14"/>
                <w:szCs w:val="14"/>
              </w:rPr>
            </w:pPr>
            <w:r w:rsidRPr="0028570D">
              <w:rPr>
                <w:rFonts w:ascii="CAIXA Std Book" w:eastAsia="Times New Roman" w:hAnsi="CAIXA Std Book" w:cs="Arial"/>
                <w:b/>
                <w:color w:val="FFFFFF" w:themeColor="background1"/>
                <w:sz w:val="14"/>
                <w:szCs w:val="14"/>
              </w:rPr>
              <w:t>1º trimestre</w:t>
            </w:r>
          </w:p>
        </w:tc>
        <w:tc>
          <w:tcPr>
            <w:tcW w:w="2062" w:type="pct"/>
            <w:gridSpan w:val="5"/>
            <w:tcBorders>
              <w:top w:val="single" w:sz="4" w:space="0" w:color="FFFFFF" w:themeColor="background1"/>
              <w:bottom w:val="single" w:sz="4" w:space="0" w:color="FFFFFF" w:themeColor="background1"/>
            </w:tcBorders>
            <w:shd w:val="clear" w:color="auto" w:fill="005CA9"/>
            <w:vAlign w:val="center"/>
          </w:tcPr>
          <w:p w14:paraId="6C1C110C" w14:textId="77777777" w:rsidR="0097254E" w:rsidRPr="0028570D" w:rsidRDefault="0097254E">
            <w:pPr>
              <w:jc w:val="center"/>
              <w:rPr>
                <w:rFonts w:ascii="CAIXA Std Book" w:eastAsia="Times New Roman" w:hAnsi="CAIXA Std Book" w:cs="Calibri"/>
                <w:b/>
                <w:color w:val="FFFFFF"/>
                <w:sz w:val="14"/>
                <w:szCs w:val="14"/>
              </w:rPr>
            </w:pPr>
            <w:r w:rsidRPr="0028570D">
              <w:rPr>
                <w:rFonts w:ascii="CAIXA Std Book" w:eastAsia="Times New Roman" w:hAnsi="CAIXA Std Book" w:cs="Arial"/>
                <w:b/>
                <w:color w:val="FFFFFF" w:themeColor="background1"/>
                <w:sz w:val="14"/>
                <w:szCs w:val="14"/>
              </w:rPr>
              <w:t>1º trimestre</w:t>
            </w:r>
          </w:p>
        </w:tc>
      </w:tr>
      <w:tr w:rsidR="0097254E" w:rsidRPr="00E641A8" w14:paraId="6BBB90A1" w14:textId="77777777" w:rsidTr="001F463B">
        <w:trPr>
          <w:trHeight w:val="283"/>
          <w:jc w:val="center"/>
        </w:trPr>
        <w:tc>
          <w:tcPr>
            <w:tcW w:w="876" w:type="pct"/>
            <w:vMerge/>
            <w:tcBorders>
              <w:top w:val="nil"/>
              <w:left w:val="nil"/>
              <w:bottom w:val="nil"/>
              <w:right w:val="nil"/>
            </w:tcBorders>
            <w:shd w:val="clear" w:color="auto" w:fill="005CA9"/>
            <w:vAlign w:val="center"/>
            <w:hideMark/>
          </w:tcPr>
          <w:p w14:paraId="677B67DC" w14:textId="77777777" w:rsidR="0097254E" w:rsidRPr="0028570D" w:rsidRDefault="0097254E">
            <w:pPr>
              <w:jc w:val="right"/>
              <w:rPr>
                <w:rFonts w:ascii="CAIXA Std Book" w:eastAsia="Times New Roman" w:hAnsi="CAIXA Std Book" w:cs="Calibri"/>
                <w:b/>
                <w:color w:val="FFFFFF"/>
                <w:sz w:val="14"/>
                <w:szCs w:val="14"/>
              </w:rPr>
            </w:pPr>
          </w:p>
        </w:tc>
        <w:tc>
          <w:tcPr>
            <w:tcW w:w="438" w:type="pct"/>
            <w:tcBorders>
              <w:top w:val="single" w:sz="4" w:space="0" w:color="FFFFFF" w:themeColor="background1"/>
              <w:left w:val="nil"/>
              <w:bottom w:val="nil"/>
              <w:right w:val="nil"/>
            </w:tcBorders>
            <w:shd w:val="clear" w:color="auto" w:fill="005CA9"/>
            <w:vAlign w:val="center"/>
            <w:hideMark/>
          </w:tcPr>
          <w:p w14:paraId="044C46E1" w14:textId="77777777" w:rsidR="0097254E" w:rsidRPr="0028570D" w:rsidRDefault="0097254E">
            <w:pPr>
              <w:jc w:val="center"/>
              <w:rPr>
                <w:rFonts w:ascii="CAIXA Std Book" w:eastAsia="Times New Roman" w:hAnsi="CAIXA Std Book" w:cs="Calibri"/>
                <w:b/>
                <w:color w:val="FFFFFF"/>
                <w:sz w:val="14"/>
                <w:szCs w:val="14"/>
              </w:rPr>
            </w:pPr>
            <w:r w:rsidRPr="0028570D">
              <w:rPr>
                <w:rFonts w:ascii="CAIXA Std Book" w:eastAsia="Times New Roman" w:hAnsi="CAIXA Std Book" w:cs="Arial"/>
                <w:b/>
                <w:color w:val="FFFFFF" w:themeColor="background1"/>
                <w:sz w:val="14"/>
                <w:szCs w:val="14"/>
              </w:rPr>
              <w:t>Controladora</w:t>
            </w:r>
          </w:p>
        </w:tc>
        <w:tc>
          <w:tcPr>
            <w:tcW w:w="386" w:type="pct"/>
            <w:tcBorders>
              <w:top w:val="single" w:sz="4" w:space="0" w:color="FFFFFF" w:themeColor="background1"/>
            </w:tcBorders>
            <w:shd w:val="clear" w:color="auto" w:fill="005CA9"/>
            <w:vAlign w:val="center"/>
          </w:tcPr>
          <w:p w14:paraId="7D47E50D" w14:textId="77777777" w:rsidR="0097254E" w:rsidRPr="0028570D" w:rsidRDefault="0097254E">
            <w:pPr>
              <w:jc w:val="center"/>
              <w:rPr>
                <w:rFonts w:ascii="CAIXA Std Book" w:eastAsia="Times New Roman" w:hAnsi="CAIXA Std Book" w:cs="Calibri"/>
                <w:b/>
                <w:color w:val="FFFFFF"/>
                <w:sz w:val="14"/>
                <w:szCs w:val="14"/>
              </w:rPr>
            </w:pPr>
            <w:r w:rsidRPr="0028570D">
              <w:rPr>
                <w:rFonts w:ascii="CAIXA Std Book" w:eastAsia="Times New Roman" w:hAnsi="CAIXA Std Book" w:cs="Arial"/>
                <w:b/>
                <w:color w:val="FFFFFF" w:themeColor="background1"/>
                <w:sz w:val="14"/>
                <w:szCs w:val="14"/>
              </w:rPr>
              <w:t>Controlada</w:t>
            </w:r>
          </w:p>
        </w:tc>
        <w:tc>
          <w:tcPr>
            <w:tcW w:w="412" w:type="pct"/>
            <w:tcBorders>
              <w:top w:val="single" w:sz="4" w:space="0" w:color="FFFFFF" w:themeColor="background1"/>
              <w:left w:val="nil"/>
              <w:bottom w:val="nil"/>
              <w:right w:val="nil"/>
            </w:tcBorders>
            <w:shd w:val="clear" w:color="auto" w:fill="005CA9"/>
            <w:vAlign w:val="center"/>
            <w:hideMark/>
          </w:tcPr>
          <w:p w14:paraId="4A2B1038" w14:textId="77777777" w:rsidR="0097254E" w:rsidRPr="0028570D" w:rsidRDefault="0097254E">
            <w:pPr>
              <w:jc w:val="center"/>
              <w:rPr>
                <w:rFonts w:ascii="CAIXA Std Book" w:eastAsia="Times New Roman" w:hAnsi="CAIXA Std Book" w:cs="Arial"/>
                <w:b/>
                <w:color w:val="FFFFFF" w:themeColor="background1"/>
                <w:sz w:val="14"/>
                <w:szCs w:val="14"/>
              </w:rPr>
            </w:pPr>
            <w:r w:rsidRPr="0028570D">
              <w:rPr>
                <w:rFonts w:ascii="CAIXA Std Book" w:eastAsia="Times New Roman" w:hAnsi="CAIXA Std Book" w:cs="Arial"/>
                <w:b/>
                <w:color w:val="FFFFFF" w:themeColor="background1"/>
                <w:sz w:val="14"/>
                <w:szCs w:val="14"/>
              </w:rPr>
              <w:t>Controladas</w:t>
            </w:r>
          </w:p>
          <w:p w14:paraId="711A0EC8" w14:textId="77777777" w:rsidR="0097254E" w:rsidRPr="0028570D" w:rsidRDefault="0097254E">
            <w:pPr>
              <w:jc w:val="center"/>
              <w:rPr>
                <w:rFonts w:ascii="CAIXA Std Book" w:eastAsia="Times New Roman" w:hAnsi="CAIXA Std Book" w:cs="Calibri"/>
                <w:b/>
                <w:color w:val="FFFFFF"/>
                <w:sz w:val="14"/>
                <w:szCs w:val="14"/>
              </w:rPr>
            </w:pPr>
            <w:r w:rsidRPr="0028570D">
              <w:rPr>
                <w:rFonts w:ascii="CAIXA Std Book" w:eastAsia="Times New Roman" w:hAnsi="CAIXA Std Book" w:cs="Arial"/>
                <w:b/>
                <w:color w:val="FFFFFF" w:themeColor="background1"/>
                <w:sz w:val="14"/>
                <w:szCs w:val="14"/>
              </w:rPr>
              <w:t>em conjunto</w:t>
            </w:r>
          </w:p>
        </w:tc>
        <w:tc>
          <w:tcPr>
            <w:tcW w:w="412" w:type="pct"/>
            <w:tcBorders>
              <w:top w:val="single" w:sz="4" w:space="0" w:color="FFFFFF" w:themeColor="background1"/>
              <w:left w:val="nil"/>
              <w:bottom w:val="nil"/>
              <w:right w:val="nil"/>
            </w:tcBorders>
            <w:shd w:val="clear" w:color="auto" w:fill="005CA9"/>
            <w:vAlign w:val="center"/>
            <w:hideMark/>
          </w:tcPr>
          <w:p w14:paraId="0FB5F1B7" w14:textId="77777777" w:rsidR="0097254E" w:rsidRPr="0028570D" w:rsidRDefault="0097254E">
            <w:pPr>
              <w:jc w:val="center"/>
              <w:rPr>
                <w:rFonts w:ascii="CAIXA Std Book" w:eastAsia="Times New Roman" w:hAnsi="CAIXA Std Book" w:cs="Calibri"/>
                <w:b/>
                <w:color w:val="FFFFFF"/>
                <w:sz w:val="14"/>
                <w:szCs w:val="14"/>
              </w:rPr>
            </w:pPr>
            <w:r w:rsidRPr="0028570D">
              <w:rPr>
                <w:rFonts w:ascii="CAIXA Std Book" w:eastAsia="Times New Roman" w:hAnsi="CAIXA Std Book" w:cs="Arial"/>
                <w:b/>
                <w:color w:val="FFFFFF" w:themeColor="background1"/>
                <w:sz w:val="14"/>
                <w:szCs w:val="14"/>
              </w:rPr>
              <w:t>Coligada</w:t>
            </w:r>
          </w:p>
        </w:tc>
        <w:tc>
          <w:tcPr>
            <w:tcW w:w="414" w:type="pct"/>
            <w:tcBorders>
              <w:top w:val="single" w:sz="4" w:space="0" w:color="FFFFFF" w:themeColor="background1"/>
              <w:left w:val="nil"/>
              <w:bottom w:val="nil"/>
              <w:right w:val="nil"/>
            </w:tcBorders>
            <w:shd w:val="clear" w:color="auto" w:fill="005CA9"/>
            <w:vAlign w:val="center"/>
            <w:hideMark/>
          </w:tcPr>
          <w:p w14:paraId="5206B20D" w14:textId="77777777" w:rsidR="0097254E" w:rsidRPr="0028570D" w:rsidRDefault="0097254E">
            <w:pPr>
              <w:jc w:val="center"/>
              <w:rPr>
                <w:rFonts w:ascii="CAIXA Std Book" w:eastAsia="Times New Roman" w:hAnsi="CAIXA Std Book" w:cs="Arial"/>
                <w:b/>
                <w:color w:val="FFFFFF" w:themeColor="background1"/>
                <w:sz w:val="14"/>
                <w:szCs w:val="14"/>
              </w:rPr>
            </w:pPr>
            <w:r w:rsidRPr="0028570D">
              <w:rPr>
                <w:rFonts w:ascii="CAIXA Std Book" w:eastAsia="Times New Roman" w:hAnsi="CAIXA Std Book" w:cs="Arial"/>
                <w:b/>
                <w:color w:val="FFFFFF" w:themeColor="background1"/>
                <w:sz w:val="14"/>
                <w:szCs w:val="14"/>
              </w:rPr>
              <w:t>Outras</w:t>
            </w:r>
          </w:p>
          <w:p w14:paraId="65E97BE1" w14:textId="77777777" w:rsidR="0097254E" w:rsidRPr="0028570D" w:rsidRDefault="0097254E">
            <w:pPr>
              <w:jc w:val="center"/>
              <w:rPr>
                <w:rFonts w:ascii="CAIXA Std Book" w:eastAsia="Times New Roman" w:hAnsi="CAIXA Std Book" w:cs="Calibri"/>
                <w:b/>
                <w:color w:val="FFFFFF"/>
                <w:sz w:val="14"/>
                <w:szCs w:val="14"/>
              </w:rPr>
            </w:pPr>
            <w:r w:rsidRPr="0028570D">
              <w:rPr>
                <w:rFonts w:ascii="CAIXA Std Book" w:eastAsia="Times New Roman" w:hAnsi="CAIXA Std Book" w:cs="Arial"/>
                <w:b/>
                <w:color w:val="FFFFFF" w:themeColor="background1"/>
                <w:sz w:val="14"/>
                <w:szCs w:val="14"/>
              </w:rPr>
              <w:t>entidades</w:t>
            </w:r>
          </w:p>
        </w:tc>
        <w:tc>
          <w:tcPr>
            <w:tcW w:w="412" w:type="pct"/>
            <w:tcBorders>
              <w:top w:val="single" w:sz="4" w:space="0" w:color="FFFFFF" w:themeColor="background1"/>
              <w:left w:val="nil"/>
              <w:bottom w:val="nil"/>
              <w:right w:val="nil"/>
            </w:tcBorders>
            <w:shd w:val="clear" w:color="auto" w:fill="005CA9"/>
            <w:vAlign w:val="center"/>
            <w:hideMark/>
          </w:tcPr>
          <w:p w14:paraId="49425ACD" w14:textId="77777777" w:rsidR="0097254E" w:rsidRPr="0028570D" w:rsidRDefault="0097254E">
            <w:pPr>
              <w:jc w:val="center"/>
              <w:rPr>
                <w:rFonts w:ascii="CAIXA Std Book" w:eastAsia="Times New Roman" w:hAnsi="CAIXA Std Book" w:cs="Calibri"/>
                <w:b/>
                <w:color w:val="FFFFFF"/>
                <w:sz w:val="14"/>
                <w:szCs w:val="14"/>
              </w:rPr>
            </w:pPr>
            <w:r w:rsidRPr="0028570D">
              <w:rPr>
                <w:rFonts w:ascii="CAIXA Std Book" w:eastAsia="Times New Roman" w:hAnsi="CAIXA Std Book" w:cs="Arial"/>
                <w:b/>
                <w:color w:val="FFFFFF" w:themeColor="background1"/>
                <w:sz w:val="14"/>
                <w:szCs w:val="14"/>
              </w:rPr>
              <w:t>Controladora</w:t>
            </w:r>
          </w:p>
        </w:tc>
        <w:tc>
          <w:tcPr>
            <w:tcW w:w="412" w:type="pct"/>
            <w:tcBorders>
              <w:top w:val="single" w:sz="4" w:space="0" w:color="FFFFFF" w:themeColor="background1"/>
              <w:left w:val="nil"/>
              <w:bottom w:val="nil"/>
              <w:right w:val="nil"/>
            </w:tcBorders>
            <w:shd w:val="clear" w:color="auto" w:fill="005CA9"/>
            <w:vAlign w:val="center"/>
            <w:hideMark/>
          </w:tcPr>
          <w:p w14:paraId="11A2522D" w14:textId="77777777" w:rsidR="0097254E" w:rsidRPr="0028570D" w:rsidRDefault="0097254E">
            <w:pPr>
              <w:jc w:val="center"/>
              <w:rPr>
                <w:rFonts w:ascii="CAIXA Std Book" w:eastAsia="Times New Roman" w:hAnsi="CAIXA Std Book" w:cs="Calibri"/>
                <w:b/>
                <w:color w:val="FFFFFF"/>
                <w:sz w:val="14"/>
                <w:szCs w:val="14"/>
              </w:rPr>
            </w:pPr>
            <w:r w:rsidRPr="0028570D">
              <w:rPr>
                <w:rFonts w:ascii="CAIXA Std Book" w:eastAsia="Times New Roman" w:hAnsi="CAIXA Std Book" w:cs="Arial"/>
                <w:b/>
                <w:color w:val="FFFFFF" w:themeColor="background1"/>
                <w:sz w:val="14"/>
                <w:szCs w:val="14"/>
              </w:rPr>
              <w:t>Controlada</w:t>
            </w:r>
          </w:p>
        </w:tc>
        <w:tc>
          <w:tcPr>
            <w:tcW w:w="412" w:type="pct"/>
            <w:tcBorders>
              <w:top w:val="single" w:sz="4" w:space="0" w:color="FFFFFF" w:themeColor="background1"/>
              <w:left w:val="nil"/>
              <w:bottom w:val="nil"/>
              <w:right w:val="nil"/>
            </w:tcBorders>
            <w:shd w:val="clear" w:color="auto" w:fill="005CA9"/>
            <w:vAlign w:val="center"/>
            <w:hideMark/>
          </w:tcPr>
          <w:p w14:paraId="1B374AD0" w14:textId="77777777" w:rsidR="0097254E" w:rsidRPr="0028570D" w:rsidRDefault="0097254E">
            <w:pPr>
              <w:jc w:val="center"/>
              <w:rPr>
                <w:rFonts w:ascii="CAIXA Std Book" w:eastAsia="Times New Roman" w:hAnsi="CAIXA Std Book" w:cs="Arial"/>
                <w:b/>
                <w:color w:val="FFFFFF" w:themeColor="background1"/>
                <w:sz w:val="14"/>
                <w:szCs w:val="14"/>
              </w:rPr>
            </w:pPr>
            <w:r w:rsidRPr="0028570D">
              <w:rPr>
                <w:rFonts w:ascii="CAIXA Std Book" w:eastAsia="Times New Roman" w:hAnsi="CAIXA Std Book" w:cs="Arial"/>
                <w:b/>
                <w:color w:val="FFFFFF" w:themeColor="background1"/>
                <w:sz w:val="14"/>
                <w:szCs w:val="14"/>
              </w:rPr>
              <w:t>Controladas</w:t>
            </w:r>
          </w:p>
          <w:p w14:paraId="333DC576" w14:textId="77777777" w:rsidR="0097254E" w:rsidRPr="0028570D" w:rsidRDefault="0097254E">
            <w:pPr>
              <w:jc w:val="center"/>
              <w:rPr>
                <w:rFonts w:ascii="CAIXA Std Book" w:eastAsia="Times New Roman" w:hAnsi="CAIXA Std Book" w:cs="Calibri"/>
                <w:b/>
                <w:color w:val="FFFFFF"/>
                <w:sz w:val="14"/>
                <w:szCs w:val="14"/>
              </w:rPr>
            </w:pPr>
            <w:r w:rsidRPr="0028570D">
              <w:rPr>
                <w:rFonts w:ascii="CAIXA Std Book" w:eastAsia="Times New Roman" w:hAnsi="CAIXA Std Book" w:cs="Arial"/>
                <w:b/>
                <w:color w:val="FFFFFF" w:themeColor="background1"/>
                <w:sz w:val="14"/>
                <w:szCs w:val="14"/>
              </w:rPr>
              <w:t>em conjunto</w:t>
            </w:r>
          </w:p>
        </w:tc>
        <w:tc>
          <w:tcPr>
            <w:tcW w:w="412" w:type="pct"/>
            <w:tcBorders>
              <w:top w:val="single" w:sz="4" w:space="0" w:color="FFFFFF" w:themeColor="background1"/>
              <w:left w:val="nil"/>
              <w:bottom w:val="nil"/>
              <w:right w:val="nil"/>
            </w:tcBorders>
            <w:shd w:val="clear" w:color="auto" w:fill="005CA9"/>
            <w:vAlign w:val="center"/>
            <w:hideMark/>
          </w:tcPr>
          <w:p w14:paraId="63CD06AC" w14:textId="77777777" w:rsidR="0097254E" w:rsidRPr="0028570D" w:rsidRDefault="0097254E">
            <w:pPr>
              <w:jc w:val="center"/>
              <w:rPr>
                <w:rFonts w:ascii="CAIXA Std Book" w:eastAsia="Times New Roman" w:hAnsi="CAIXA Std Book" w:cs="Calibri"/>
                <w:b/>
                <w:color w:val="FFFFFF"/>
                <w:sz w:val="14"/>
                <w:szCs w:val="14"/>
              </w:rPr>
            </w:pPr>
            <w:r w:rsidRPr="0028570D">
              <w:rPr>
                <w:rFonts w:ascii="CAIXA Std Book" w:eastAsia="Times New Roman" w:hAnsi="CAIXA Std Book" w:cs="Arial"/>
                <w:b/>
                <w:color w:val="FFFFFF" w:themeColor="background1"/>
                <w:sz w:val="14"/>
                <w:szCs w:val="14"/>
              </w:rPr>
              <w:t>Coligada</w:t>
            </w:r>
          </w:p>
        </w:tc>
        <w:tc>
          <w:tcPr>
            <w:tcW w:w="414" w:type="pct"/>
            <w:tcBorders>
              <w:top w:val="single" w:sz="4" w:space="0" w:color="FFFFFF" w:themeColor="background1"/>
              <w:left w:val="nil"/>
              <w:bottom w:val="nil"/>
              <w:right w:val="nil"/>
            </w:tcBorders>
            <w:shd w:val="clear" w:color="auto" w:fill="005CA9"/>
            <w:vAlign w:val="center"/>
            <w:hideMark/>
          </w:tcPr>
          <w:p w14:paraId="4B85E746" w14:textId="77777777" w:rsidR="0097254E" w:rsidRPr="0028570D" w:rsidRDefault="0097254E">
            <w:pPr>
              <w:jc w:val="center"/>
              <w:rPr>
                <w:rFonts w:ascii="CAIXA Std Book" w:eastAsia="Times New Roman" w:hAnsi="CAIXA Std Book" w:cs="Arial"/>
                <w:b/>
                <w:color w:val="FFFFFF" w:themeColor="background1"/>
                <w:sz w:val="14"/>
                <w:szCs w:val="14"/>
              </w:rPr>
            </w:pPr>
            <w:r w:rsidRPr="0028570D">
              <w:rPr>
                <w:rFonts w:ascii="CAIXA Std Book" w:eastAsia="Times New Roman" w:hAnsi="CAIXA Std Book" w:cs="Arial"/>
                <w:b/>
                <w:color w:val="FFFFFF" w:themeColor="background1"/>
                <w:sz w:val="14"/>
                <w:szCs w:val="14"/>
              </w:rPr>
              <w:t>Outras</w:t>
            </w:r>
          </w:p>
          <w:p w14:paraId="6B064CC2" w14:textId="77777777" w:rsidR="0097254E" w:rsidRPr="0028570D" w:rsidRDefault="0097254E">
            <w:pPr>
              <w:jc w:val="center"/>
              <w:rPr>
                <w:rFonts w:ascii="CAIXA Std Book" w:eastAsia="Times New Roman" w:hAnsi="CAIXA Std Book" w:cs="Calibri"/>
                <w:b/>
                <w:color w:val="FFFFFF"/>
                <w:sz w:val="14"/>
                <w:szCs w:val="14"/>
              </w:rPr>
            </w:pPr>
            <w:r w:rsidRPr="0028570D">
              <w:rPr>
                <w:rFonts w:ascii="CAIXA Std Book" w:eastAsia="Times New Roman" w:hAnsi="CAIXA Std Book" w:cs="Arial"/>
                <w:b/>
                <w:color w:val="FFFFFF" w:themeColor="background1"/>
                <w:sz w:val="14"/>
                <w:szCs w:val="14"/>
              </w:rPr>
              <w:t>entidades</w:t>
            </w:r>
          </w:p>
        </w:tc>
      </w:tr>
      <w:tr w:rsidR="0097254E" w:rsidRPr="00E641A8" w14:paraId="2535F443" w14:textId="77777777" w:rsidTr="0003256B">
        <w:trPr>
          <w:trHeight w:val="283"/>
          <w:jc w:val="center"/>
        </w:trPr>
        <w:tc>
          <w:tcPr>
            <w:tcW w:w="876" w:type="pct"/>
            <w:tcBorders>
              <w:top w:val="nil"/>
              <w:left w:val="nil"/>
              <w:bottom w:val="nil"/>
              <w:right w:val="nil"/>
            </w:tcBorders>
            <w:shd w:val="clear" w:color="auto" w:fill="D0DFE3"/>
            <w:noWrap/>
            <w:vAlign w:val="center"/>
          </w:tcPr>
          <w:p w14:paraId="15A86EE5" w14:textId="77777777" w:rsidR="0097254E" w:rsidRPr="0028570D" w:rsidRDefault="0097254E">
            <w:pPr>
              <w:rPr>
                <w:rFonts w:ascii="CAIXA Std Book" w:eastAsia="Times New Roman" w:hAnsi="CAIXA Std Book" w:cs="Arial"/>
                <w:b/>
                <w:color w:val="005CA9"/>
                <w:sz w:val="14"/>
                <w:szCs w:val="14"/>
              </w:rPr>
            </w:pPr>
            <w:r w:rsidRPr="0028570D">
              <w:rPr>
                <w:rFonts w:ascii="CAIXA Std Book" w:eastAsia="Times New Roman" w:hAnsi="CAIXA Std Book" w:cs="Arial"/>
                <w:b/>
                <w:color w:val="005CA9"/>
                <w:sz w:val="14"/>
                <w:szCs w:val="14"/>
              </w:rPr>
              <w:t>Receitas</w:t>
            </w:r>
          </w:p>
        </w:tc>
        <w:tc>
          <w:tcPr>
            <w:tcW w:w="438" w:type="pct"/>
            <w:tcBorders>
              <w:top w:val="nil"/>
              <w:left w:val="nil"/>
              <w:bottom w:val="nil"/>
              <w:right w:val="nil"/>
            </w:tcBorders>
            <w:shd w:val="clear" w:color="auto" w:fill="D0DFE3"/>
            <w:noWrap/>
            <w:vAlign w:val="center"/>
          </w:tcPr>
          <w:p w14:paraId="79B30B26" w14:textId="354BD27F" w:rsidR="0097254E" w:rsidRPr="0028570D" w:rsidRDefault="000473D4">
            <w:pPr>
              <w:jc w:val="right"/>
              <w:rPr>
                <w:rFonts w:ascii="CAIXA Std Book" w:eastAsia="Times New Roman" w:hAnsi="CAIXA Std Book" w:cs="Arial"/>
                <w:b/>
                <w:color w:val="005CA9"/>
                <w:sz w:val="14"/>
                <w:szCs w:val="14"/>
              </w:rPr>
            </w:pPr>
            <w:r w:rsidRPr="0028570D">
              <w:rPr>
                <w:rFonts w:ascii="CAIXA Std Book" w:hAnsi="CAIXA Std Book" w:cs="Arial"/>
                <w:b/>
                <w:color w:val="005CA9"/>
                <w:sz w:val="14"/>
                <w:szCs w:val="14"/>
              </w:rPr>
              <w:t>1.024.</w:t>
            </w:r>
            <w:r w:rsidR="0028570D" w:rsidRPr="0028570D">
              <w:rPr>
                <w:rFonts w:ascii="CAIXA Std Book" w:hAnsi="CAIXA Std Book" w:cs="Arial"/>
                <w:b/>
                <w:bCs/>
                <w:color w:val="005CA9"/>
                <w:sz w:val="14"/>
                <w:szCs w:val="14"/>
              </w:rPr>
              <w:t>973</w:t>
            </w:r>
          </w:p>
        </w:tc>
        <w:tc>
          <w:tcPr>
            <w:tcW w:w="386" w:type="pct"/>
            <w:shd w:val="clear" w:color="auto" w:fill="D0DFE3"/>
            <w:vAlign w:val="center"/>
          </w:tcPr>
          <w:p w14:paraId="64BFA757" w14:textId="0D6DAE27" w:rsidR="0097254E" w:rsidRPr="0028570D" w:rsidRDefault="0028570D" w:rsidP="0028570D">
            <w:pPr>
              <w:ind w:firstLineChars="100" w:firstLine="140"/>
              <w:jc w:val="right"/>
              <w:rPr>
                <w:rFonts w:ascii="CAIXA Std Book" w:eastAsia="Times New Roman" w:hAnsi="CAIXA Std Book" w:cs="Arial"/>
                <w:b/>
                <w:color w:val="005CA9"/>
                <w:sz w:val="14"/>
                <w:szCs w:val="14"/>
              </w:rPr>
            </w:pPr>
            <w:r w:rsidRPr="0028570D">
              <w:rPr>
                <w:rFonts w:ascii="CAIXA Std Book" w:hAnsi="CAIXA Std Book" w:cs="Arial"/>
                <w:b/>
                <w:bCs/>
                <w:color w:val="005CA9"/>
                <w:sz w:val="14"/>
                <w:szCs w:val="14"/>
              </w:rPr>
              <w:t>8.978</w:t>
            </w:r>
          </w:p>
        </w:tc>
        <w:tc>
          <w:tcPr>
            <w:tcW w:w="412" w:type="pct"/>
            <w:tcBorders>
              <w:top w:val="nil"/>
              <w:left w:val="nil"/>
              <w:bottom w:val="nil"/>
              <w:right w:val="nil"/>
            </w:tcBorders>
            <w:shd w:val="clear" w:color="auto" w:fill="D0DFE3"/>
            <w:noWrap/>
            <w:vAlign w:val="center"/>
          </w:tcPr>
          <w:p w14:paraId="27839C3C" w14:textId="43BEC444" w:rsidR="0097254E" w:rsidRPr="0028570D" w:rsidRDefault="0028570D" w:rsidP="0028570D">
            <w:pPr>
              <w:ind w:firstLineChars="100" w:firstLine="140"/>
              <w:jc w:val="right"/>
              <w:rPr>
                <w:rFonts w:ascii="CAIXA Std Book" w:eastAsia="Times New Roman" w:hAnsi="CAIXA Std Book" w:cs="Arial"/>
                <w:b/>
                <w:color w:val="005CA9"/>
                <w:sz w:val="14"/>
                <w:szCs w:val="14"/>
              </w:rPr>
            </w:pPr>
            <w:r w:rsidRPr="0028570D">
              <w:rPr>
                <w:rFonts w:ascii="CAIXA Std Book" w:hAnsi="CAIXA Std Book" w:cs="Arial"/>
                <w:b/>
                <w:bCs/>
                <w:color w:val="005CA9"/>
                <w:sz w:val="14"/>
                <w:szCs w:val="14"/>
              </w:rPr>
              <w:t>45.339</w:t>
            </w:r>
          </w:p>
        </w:tc>
        <w:tc>
          <w:tcPr>
            <w:tcW w:w="412" w:type="pct"/>
            <w:tcBorders>
              <w:top w:val="nil"/>
              <w:left w:val="nil"/>
              <w:bottom w:val="nil"/>
              <w:right w:val="nil"/>
            </w:tcBorders>
            <w:shd w:val="clear" w:color="auto" w:fill="D0DFE3"/>
            <w:noWrap/>
            <w:vAlign w:val="center"/>
          </w:tcPr>
          <w:p w14:paraId="7F0D6549" w14:textId="087C4417" w:rsidR="0097254E" w:rsidRPr="0028570D" w:rsidRDefault="000473D4" w:rsidP="00240E53">
            <w:pPr>
              <w:ind w:firstLineChars="100" w:firstLine="140"/>
              <w:jc w:val="right"/>
              <w:rPr>
                <w:rFonts w:ascii="CAIXA Std Book" w:eastAsia="Times New Roman" w:hAnsi="CAIXA Std Book" w:cs="Arial"/>
                <w:b/>
                <w:color w:val="005CA9"/>
                <w:sz w:val="14"/>
                <w:szCs w:val="14"/>
              </w:rPr>
            </w:pPr>
            <w:r w:rsidRPr="0028570D">
              <w:rPr>
                <w:rFonts w:ascii="CAIXA Std Book" w:hAnsi="CAIXA Std Book" w:cs="Arial"/>
                <w:b/>
                <w:color w:val="005CA9"/>
                <w:sz w:val="14"/>
                <w:szCs w:val="14"/>
              </w:rPr>
              <w:t>8.909</w:t>
            </w:r>
          </w:p>
        </w:tc>
        <w:tc>
          <w:tcPr>
            <w:tcW w:w="414" w:type="pct"/>
            <w:tcBorders>
              <w:top w:val="nil"/>
              <w:left w:val="nil"/>
              <w:bottom w:val="nil"/>
              <w:right w:val="nil"/>
            </w:tcBorders>
            <w:shd w:val="clear" w:color="auto" w:fill="D0DFE3"/>
            <w:vAlign w:val="center"/>
          </w:tcPr>
          <w:p w14:paraId="3FF3AA44" w14:textId="224CE29A" w:rsidR="0097254E" w:rsidRPr="0028570D" w:rsidRDefault="0003256B" w:rsidP="00240E53">
            <w:pPr>
              <w:jc w:val="right"/>
              <w:rPr>
                <w:rFonts w:ascii="CAIXA Std Book" w:eastAsia="Times New Roman" w:hAnsi="CAIXA Std Book" w:cs="Arial"/>
                <w:b/>
                <w:color w:val="005CA9"/>
                <w:sz w:val="14"/>
                <w:szCs w:val="14"/>
              </w:rPr>
            </w:pPr>
            <w:r w:rsidRPr="0028570D">
              <w:rPr>
                <w:rFonts w:ascii="CAIXA Std Book" w:hAnsi="CAIXA Std Book" w:cs="Arial"/>
                <w:b/>
                <w:color w:val="005CA9"/>
                <w:sz w:val="14"/>
                <w:szCs w:val="14"/>
              </w:rPr>
              <w:t>25.751.894</w:t>
            </w:r>
          </w:p>
        </w:tc>
        <w:tc>
          <w:tcPr>
            <w:tcW w:w="412" w:type="pct"/>
            <w:tcBorders>
              <w:top w:val="nil"/>
              <w:left w:val="nil"/>
              <w:bottom w:val="nil"/>
              <w:right w:val="nil"/>
            </w:tcBorders>
            <w:shd w:val="clear" w:color="auto" w:fill="D0DFE3"/>
            <w:vAlign w:val="center"/>
          </w:tcPr>
          <w:p w14:paraId="01D7B937" w14:textId="77777777" w:rsidR="0097254E" w:rsidRPr="0028570D" w:rsidRDefault="0097254E">
            <w:pPr>
              <w:ind w:firstLineChars="100" w:firstLine="140"/>
              <w:jc w:val="right"/>
              <w:rPr>
                <w:rFonts w:ascii="CAIXA Std Book" w:eastAsia="Times New Roman" w:hAnsi="CAIXA Std Book" w:cs="Arial"/>
                <w:b/>
                <w:color w:val="005CA9"/>
                <w:sz w:val="14"/>
                <w:szCs w:val="14"/>
              </w:rPr>
            </w:pPr>
            <w:r w:rsidRPr="0028570D">
              <w:rPr>
                <w:rFonts w:ascii="CAIXA Std Book" w:hAnsi="CAIXA Std Book" w:cs="Calibri"/>
                <w:b/>
                <w:color w:val="005CA9"/>
                <w:sz w:val="14"/>
                <w:szCs w:val="14"/>
              </w:rPr>
              <w:t>2.141.348</w:t>
            </w:r>
          </w:p>
        </w:tc>
        <w:tc>
          <w:tcPr>
            <w:tcW w:w="412" w:type="pct"/>
            <w:tcBorders>
              <w:top w:val="nil"/>
              <w:left w:val="nil"/>
              <w:bottom w:val="nil"/>
              <w:right w:val="nil"/>
            </w:tcBorders>
            <w:shd w:val="clear" w:color="auto" w:fill="D0DFE3"/>
            <w:vAlign w:val="center"/>
          </w:tcPr>
          <w:p w14:paraId="4BE92389" w14:textId="77777777" w:rsidR="0097254E" w:rsidRPr="0028570D" w:rsidRDefault="0097254E">
            <w:pPr>
              <w:ind w:firstLineChars="100" w:firstLine="140"/>
              <w:jc w:val="right"/>
              <w:rPr>
                <w:rFonts w:ascii="CAIXA Std Book" w:eastAsia="Times New Roman" w:hAnsi="CAIXA Std Book" w:cs="Arial"/>
                <w:b/>
                <w:color w:val="005CA9"/>
                <w:sz w:val="14"/>
                <w:szCs w:val="14"/>
              </w:rPr>
            </w:pPr>
            <w:r w:rsidRPr="0028570D">
              <w:rPr>
                <w:rFonts w:ascii="CAIXA Std Book" w:hAnsi="CAIXA Std Book" w:cs="Calibri"/>
                <w:b/>
                <w:color w:val="005CA9"/>
                <w:sz w:val="14"/>
                <w:szCs w:val="14"/>
              </w:rPr>
              <w:t>260.905</w:t>
            </w:r>
          </w:p>
        </w:tc>
        <w:tc>
          <w:tcPr>
            <w:tcW w:w="412" w:type="pct"/>
            <w:tcBorders>
              <w:top w:val="nil"/>
              <w:left w:val="nil"/>
              <w:bottom w:val="nil"/>
              <w:right w:val="nil"/>
            </w:tcBorders>
            <w:shd w:val="clear" w:color="auto" w:fill="D0DFE3"/>
            <w:vAlign w:val="center"/>
          </w:tcPr>
          <w:p w14:paraId="4A050D39" w14:textId="77777777" w:rsidR="0097254E" w:rsidRPr="0028570D" w:rsidRDefault="0097254E">
            <w:pPr>
              <w:ind w:firstLineChars="100" w:firstLine="140"/>
              <w:jc w:val="right"/>
              <w:rPr>
                <w:rFonts w:ascii="CAIXA Std Book" w:eastAsia="Times New Roman" w:hAnsi="CAIXA Std Book" w:cs="Arial"/>
                <w:b/>
                <w:color w:val="005CA9"/>
                <w:sz w:val="14"/>
                <w:szCs w:val="14"/>
              </w:rPr>
            </w:pPr>
            <w:r w:rsidRPr="0028570D">
              <w:rPr>
                <w:rFonts w:ascii="CAIXA Std Book" w:hAnsi="CAIXA Std Book" w:cs="Calibri"/>
                <w:b/>
                <w:color w:val="005CA9"/>
                <w:sz w:val="14"/>
                <w:szCs w:val="14"/>
              </w:rPr>
              <w:t>4.204</w:t>
            </w:r>
          </w:p>
        </w:tc>
        <w:tc>
          <w:tcPr>
            <w:tcW w:w="412" w:type="pct"/>
            <w:tcBorders>
              <w:top w:val="nil"/>
              <w:left w:val="nil"/>
              <w:bottom w:val="nil"/>
              <w:right w:val="nil"/>
            </w:tcBorders>
            <w:shd w:val="clear" w:color="auto" w:fill="D0DFE3"/>
            <w:vAlign w:val="center"/>
          </w:tcPr>
          <w:p w14:paraId="3ED91501" w14:textId="77777777" w:rsidR="0097254E" w:rsidRPr="0028570D" w:rsidRDefault="0097254E">
            <w:pPr>
              <w:jc w:val="right"/>
              <w:rPr>
                <w:rFonts w:ascii="CAIXA Std Book" w:eastAsia="Times New Roman" w:hAnsi="CAIXA Std Book" w:cs="Arial"/>
                <w:b/>
                <w:color w:val="005CA9"/>
                <w:sz w:val="14"/>
                <w:szCs w:val="14"/>
              </w:rPr>
            </w:pPr>
            <w:r w:rsidRPr="0028570D">
              <w:rPr>
                <w:rFonts w:ascii="CAIXA Std Book" w:hAnsi="CAIXA Std Book" w:cs="Calibri"/>
                <w:b/>
                <w:color w:val="005CA9"/>
                <w:sz w:val="14"/>
                <w:szCs w:val="14"/>
              </w:rPr>
              <w:t>334.626</w:t>
            </w:r>
          </w:p>
        </w:tc>
        <w:tc>
          <w:tcPr>
            <w:tcW w:w="414" w:type="pct"/>
            <w:tcBorders>
              <w:top w:val="nil"/>
              <w:left w:val="nil"/>
              <w:bottom w:val="nil"/>
              <w:right w:val="nil"/>
            </w:tcBorders>
            <w:shd w:val="clear" w:color="auto" w:fill="D0DFE3"/>
            <w:noWrap/>
            <w:vAlign w:val="center"/>
          </w:tcPr>
          <w:p w14:paraId="2907A447" w14:textId="77777777" w:rsidR="0097254E" w:rsidRPr="0028570D" w:rsidRDefault="0097254E">
            <w:pPr>
              <w:ind w:firstLineChars="100" w:firstLine="140"/>
              <w:jc w:val="right"/>
              <w:rPr>
                <w:rFonts w:ascii="CAIXA Std Book" w:eastAsia="Times New Roman" w:hAnsi="CAIXA Std Book" w:cs="Arial"/>
                <w:b/>
                <w:color w:val="005CA9"/>
                <w:sz w:val="14"/>
                <w:szCs w:val="14"/>
              </w:rPr>
            </w:pPr>
            <w:r w:rsidRPr="0028570D">
              <w:rPr>
                <w:rFonts w:ascii="CAIXA Std Book" w:hAnsi="CAIXA Std Book" w:cs="Calibri"/>
                <w:b/>
                <w:color w:val="005CA9"/>
                <w:sz w:val="14"/>
                <w:szCs w:val="14"/>
              </w:rPr>
              <w:t>23.159.352</w:t>
            </w:r>
          </w:p>
        </w:tc>
      </w:tr>
      <w:tr w:rsidR="0097254E" w:rsidRPr="00E641A8" w14:paraId="5F51236B" w14:textId="77777777" w:rsidTr="0003256B">
        <w:trPr>
          <w:trHeight w:val="283"/>
          <w:jc w:val="center"/>
        </w:trPr>
        <w:tc>
          <w:tcPr>
            <w:tcW w:w="876" w:type="pct"/>
            <w:tcBorders>
              <w:top w:val="nil"/>
              <w:left w:val="nil"/>
              <w:bottom w:val="nil"/>
              <w:right w:val="nil"/>
            </w:tcBorders>
            <w:noWrap/>
            <w:vAlign w:val="center"/>
            <w:hideMark/>
          </w:tcPr>
          <w:p w14:paraId="21E87839" w14:textId="77777777" w:rsidR="0097254E" w:rsidRPr="0028570D" w:rsidRDefault="0097254E">
            <w:pPr>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Rendas de prestação de serviços</w:t>
            </w:r>
          </w:p>
        </w:tc>
        <w:tc>
          <w:tcPr>
            <w:tcW w:w="438" w:type="pct"/>
            <w:tcBorders>
              <w:top w:val="nil"/>
              <w:left w:val="nil"/>
              <w:bottom w:val="nil"/>
              <w:right w:val="nil"/>
            </w:tcBorders>
            <w:noWrap/>
            <w:vAlign w:val="center"/>
          </w:tcPr>
          <w:p w14:paraId="6E58D9ED" w14:textId="38D714E6" w:rsidR="0097254E" w:rsidRPr="0028570D" w:rsidRDefault="000473D4">
            <w:pPr>
              <w:jc w:val="right"/>
              <w:rPr>
                <w:rFonts w:ascii="CAIXA Std Book" w:eastAsia="Times New Roman" w:hAnsi="CAIXA Std Book" w:cs="Calibri"/>
                <w:color w:val="005CA9"/>
                <w:sz w:val="14"/>
                <w:szCs w:val="14"/>
              </w:rPr>
            </w:pPr>
            <w:r w:rsidRPr="0028570D">
              <w:rPr>
                <w:rFonts w:ascii="CAIXA Std Book" w:hAnsi="CAIXA Std Book" w:cs="Arial"/>
                <w:color w:val="005CA9"/>
                <w:sz w:val="14"/>
                <w:szCs w:val="14"/>
              </w:rPr>
              <w:t>519.</w:t>
            </w:r>
            <w:r w:rsidR="0028570D" w:rsidRPr="0028570D">
              <w:rPr>
                <w:rFonts w:ascii="CAIXA Std Book" w:hAnsi="CAIXA Std Book" w:cs="Arial"/>
                <w:color w:val="005CA9"/>
                <w:sz w:val="14"/>
                <w:szCs w:val="14"/>
              </w:rPr>
              <w:t>077</w:t>
            </w:r>
          </w:p>
        </w:tc>
        <w:tc>
          <w:tcPr>
            <w:tcW w:w="386" w:type="pct"/>
            <w:vAlign w:val="center"/>
          </w:tcPr>
          <w:p w14:paraId="61AD5447" w14:textId="6FF3D137" w:rsidR="0097254E" w:rsidRPr="0028570D" w:rsidRDefault="0028570D">
            <w:pPr>
              <w:ind w:firstLineChars="1" w:firstLine="1"/>
              <w:jc w:val="center"/>
              <w:rPr>
                <w:rFonts w:ascii="CAIXA Std Book" w:eastAsia="Times New Roman" w:hAnsi="CAIXA Std Book" w:cs="Arial"/>
                <w:color w:val="005CA9"/>
                <w:sz w:val="14"/>
                <w:szCs w:val="14"/>
              </w:rPr>
            </w:pPr>
            <w:r w:rsidRPr="0028570D">
              <w:rPr>
                <w:rFonts w:ascii="CAIXA Std Book" w:hAnsi="CAIXA Std Book" w:cs="Arial"/>
                <w:color w:val="005CA9"/>
                <w:sz w:val="14"/>
                <w:szCs w:val="14"/>
              </w:rPr>
              <w:t>-</w:t>
            </w:r>
          </w:p>
        </w:tc>
        <w:tc>
          <w:tcPr>
            <w:tcW w:w="412" w:type="pct"/>
            <w:tcBorders>
              <w:top w:val="nil"/>
              <w:left w:val="nil"/>
              <w:bottom w:val="nil"/>
              <w:right w:val="nil"/>
            </w:tcBorders>
            <w:noWrap/>
            <w:vAlign w:val="center"/>
          </w:tcPr>
          <w:p w14:paraId="5187194F" w14:textId="6D6B5676" w:rsidR="0097254E" w:rsidRPr="0028570D" w:rsidRDefault="0028570D">
            <w:pPr>
              <w:jc w:val="center"/>
              <w:rPr>
                <w:rFonts w:ascii="CAIXA Std Book" w:eastAsia="Times New Roman" w:hAnsi="CAIXA Std Book" w:cs="Calibri"/>
                <w:color w:val="005CA9"/>
                <w:sz w:val="14"/>
                <w:szCs w:val="14"/>
              </w:rPr>
            </w:pPr>
            <w:r w:rsidRPr="0028570D">
              <w:rPr>
                <w:rFonts w:ascii="CAIXA Std Book" w:hAnsi="CAIXA Std Book" w:cs="Arial"/>
                <w:color w:val="005CA9"/>
                <w:sz w:val="14"/>
                <w:szCs w:val="14"/>
              </w:rPr>
              <w:t>-</w:t>
            </w:r>
          </w:p>
        </w:tc>
        <w:tc>
          <w:tcPr>
            <w:tcW w:w="412" w:type="pct"/>
            <w:tcBorders>
              <w:top w:val="nil"/>
              <w:left w:val="nil"/>
              <w:bottom w:val="nil"/>
              <w:right w:val="nil"/>
            </w:tcBorders>
            <w:noWrap/>
            <w:vAlign w:val="center"/>
          </w:tcPr>
          <w:p w14:paraId="46E2CCA8" w14:textId="7A9DE2EB" w:rsidR="0097254E" w:rsidRPr="0028570D" w:rsidRDefault="0028570D" w:rsidP="0028570D">
            <w:pPr>
              <w:ind w:firstLineChars="100" w:firstLine="140"/>
              <w:jc w:val="right"/>
              <w:rPr>
                <w:rFonts w:ascii="CAIXA Std Book" w:eastAsia="Times New Roman" w:hAnsi="CAIXA Std Book" w:cs="Calibri"/>
                <w:color w:val="005CA9"/>
                <w:sz w:val="14"/>
                <w:szCs w:val="14"/>
              </w:rPr>
            </w:pPr>
            <w:r w:rsidRPr="0028570D">
              <w:rPr>
                <w:rFonts w:ascii="CAIXA Std Book" w:hAnsi="CAIXA Std Book" w:cs="Arial"/>
                <w:color w:val="005CA9"/>
                <w:sz w:val="14"/>
                <w:szCs w:val="14"/>
              </w:rPr>
              <w:t>8.635</w:t>
            </w:r>
          </w:p>
        </w:tc>
        <w:tc>
          <w:tcPr>
            <w:tcW w:w="414" w:type="pct"/>
            <w:tcBorders>
              <w:top w:val="nil"/>
              <w:left w:val="nil"/>
              <w:bottom w:val="nil"/>
              <w:right w:val="nil"/>
            </w:tcBorders>
            <w:vAlign w:val="center"/>
          </w:tcPr>
          <w:p w14:paraId="05D22486" w14:textId="16173B53" w:rsidR="0097254E" w:rsidRPr="0028570D" w:rsidRDefault="0003256B" w:rsidP="0003256B">
            <w:pPr>
              <w:ind w:firstLineChars="100" w:firstLine="140"/>
              <w:jc w:val="right"/>
              <w:rPr>
                <w:rFonts w:ascii="CAIXA Std Book" w:eastAsia="Times New Roman" w:hAnsi="CAIXA Std Book" w:cs="Calibri"/>
                <w:color w:val="005CA9"/>
                <w:sz w:val="14"/>
                <w:szCs w:val="14"/>
              </w:rPr>
            </w:pPr>
            <w:r w:rsidRPr="0028570D">
              <w:rPr>
                <w:rFonts w:ascii="CAIXA Std Book" w:hAnsi="CAIXA Std Book" w:cs="Arial"/>
                <w:color w:val="005CA9"/>
                <w:sz w:val="14"/>
                <w:szCs w:val="14"/>
              </w:rPr>
              <w:t>1.822.277</w:t>
            </w:r>
          </w:p>
        </w:tc>
        <w:tc>
          <w:tcPr>
            <w:tcW w:w="412" w:type="pct"/>
            <w:tcBorders>
              <w:top w:val="nil"/>
              <w:left w:val="nil"/>
              <w:bottom w:val="nil"/>
              <w:right w:val="nil"/>
            </w:tcBorders>
            <w:vAlign w:val="center"/>
          </w:tcPr>
          <w:p w14:paraId="69CFD3D6" w14:textId="77777777" w:rsidR="0097254E" w:rsidRPr="0028570D" w:rsidRDefault="0097254E">
            <w:pPr>
              <w:ind w:firstLineChars="100" w:firstLine="140"/>
              <w:jc w:val="right"/>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1.838.907</w:t>
            </w:r>
          </w:p>
        </w:tc>
        <w:tc>
          <w:tcPr>
            <w:tcW w:w="412" w:type="pct"/>
            <w:tcBorders>
              <w:top w:val="nil"/>
              <w:left w:val="nil"/>
              <w:bottom w:val="nil"/>
              <w:right w:val="nil"/>
            </w:tcBorders>
            <w:vAlign w:val="center"/>
          </w:tcPr>
          <w:p w14:paraId="64FEAA8E" w14:textId="77777777" w:rsidR="0097254E" w:rsidRPr="0028570D" w:rsidRDefault="0097254E">
            <w:pPr>
              <w:ind w:firstLineChars="100" w:firstLine="140"/>
              <w:jc w:val="right"/>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34.576</w:t>
            </w:r>
          </w:p>
        </w:tc>
        <w:tc>
          <w:tcPr>
            <w:tcW w:w="412" w:type="pct"/>
            <w:tcBorders>
              <w:top w:val="nil"/>
              <w:left w:val="nil"/>
              <w:bottom w:val="nil"/>
              <w:right w:val="nil"/>
            </w:tcBorders>
            <w:vAlign w:val="center"/>
          </w:tcPr>
          <w:p w14:paraId="18E2066B" w14:textId="77777777" w:rsidR="0097254E" w:rsidRPr="0028570D" w:rsidRDefault="0097254E">
            <w:pPr>
              <w:ind w:firstLineChars="100" w:firstLine="140"/>
              <w:jc w:val="right"/>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6</w:t>
            </w:r>
          </w:p>
        </w:tc>
        <w:tc>
          <w:tcPr>
            <w:tcW w:w="412" w:type="pct"/>
            <w:tcBorders>
              <w:top w:val="nil"/>
              <w:left w:val="nil"/>
              <w:bottom w:val="nil"/>
              <w:right w:val="nil"/>
            </w:tcBorders>
            <w:vAlign w:val="center"/>
          </w:tcPr>
          <w:p w14:paraId="321D01E0" w14:textId="77777777" w:rsidR="0097254E" w:rsidRPr="0028570D" w:rsidRDefault="0097254E">
            <w:pPr>
              <w:jc w:val="right"/>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334.455</w:t>
            </w:r>
          </w:p>
        </w:tc>
        <w:tc>
          <w:tcPr>
            <w:tcW w:w="414" w:type="pct"/>
            <w:tcBorders>
              <w:top w:val="nil"/>
              <w:left w:val="nil"/>
              <w:bottom w:val="nil"/>
              <w:right w:val="nil"/>
            </w:tcBorders>
            <w:noWrap/>
            <w:vAlign w:val="center"/>
          </w:tcPr>
          <w:p w14:paraId="1DDDC166" w14:textId="77777777" w:rsidR="0097254E" w:rsidRPr="0028570D" w:rsidRDefault="0097254E">
            <w:pPr>
              <w:ind w:firstLineChars="100" w:firstLine="140"/>
              <w:jc w:val="right"/>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20.045.175</w:t>
            </w:r>
          </w:p>
        </w:tc>
      </w:tr>
      <w:tr w:rsidR="0097254E" w:rsidRPr="00E641A8" w14:paraId="52876FE9" w14:textId="77777777" w:rsidTr="0003256B">
        <w:trPr>
          <w:trHeight w:val="283"/>
          <w:jc w:val="center"/>
        </w:trPr>
        <w:tc>
          <w:tcPr>
            <w:tcW w:w="876" w:type="pct"/>
            <w:tcBorders>
              <w:top w:val="nil"/>
              <w:left w:val="nil"/>
              <w:bottom w:val="nil"/>
              <w:right w:val="nil"/>
            </w:tcBorders>
            <w:noWrap/>
            <w:vAlign w:val="center"/>
            <w:hideMark/>
          </w:tcPr>
          <w:p w14:paraId="46C8B702" w14:textId="77777777" w:rsidR="0097254E" w:rsidRPr="0028570D" w:rsidRDefault="0097254E">
            <w:pPr>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Rendas de operações de crédito</w:t>
            </w:r>
          </w:p>
        </w:tc>
        <w:tc>
          <w:tcPr>
            <w:tcW w:w="438" w:type="pct"/>
            <w:tcBorders>
              <w:top w:val="nil"/>
              <w:left w:val="nil"/>
              <w:bottom w:val="nil"/>
              <w:right w:val="nil"/>
            </w:tcBorders>
            <w:noWrap/>
            <w:vAlign w:val="center"/>
          </w:tcPr>
          <w:p w14:paraId="1D219A3A" w14:textId="2E498F53" w:rsidR="0097254E" w:rsidRPr="0028570D" w:rsidRDefault="0003256B">
            <w:pPr>
              <w:jc w:val="right"/>
              <w:rPr>
                <w:rFonts w:ascii="CAIXA Std Book" w:eastAsia="Times New Roman" w:hAnsi="CAIXA Std Book" w:cs="Calibri"/>
                <w:color w:val="005CA9"/>
                <w:sz w:val="14"/>
                <w:szCs w:val="14"/>
              </w:rPr>
            </w:pPr>
            <w:r w:rsidRPr="0028570D">
              <w:rPr>
                <w:rFonts w:ascii="CAIXA Std Book" w:hAnsi="CAIXA Std Book" w:cs="Arial"/>
                <w:color w:val="005CA9"/>
                <w:sz w:val="14"/>
                <w:szCs w:val="14"/>
              </w:rPr>
              <w:t>35.210</w:t>
            </w:r>
          </w:p>
        </w:tc>
        <w:tc>
          <w:tcPr>
            <w:tcW w:w="386" w:type="pct"/>
            <w:vAlign w:val="center"/>
          </w:tcPr>
          <w:p w14:paraId="2D265606" w14:textId="40B51B91" w:rsidR="0097254E" w:rsidRPr="0028570D" w:rsidRDefault="0028570D">
            <w:pPr>
              <w:jc w:val="center"/>
              <w:rPr>
                <w:rFonts w:ascii="CAIXA Std Book" w:eastAsia="Times New Roman" w:hAnsi="CAIXA Std Book" w:cs="Arial"/>
                <w:color w:val="005CA9"/>
                <w:sz w:val="14"/>
                <w:szCs w:val="14"/>
              </w:rPr>
            </w:pPr>
            <w:r w:rsidRPr="0028570D">
              <w:rPr>
                <w:rFonts w:ascii="CAIXA Std Book" w:hAnsi="CAIXA Std Book" w:cs="Arial"/>
                <w:color w:val="005CA9"/>
                <w:sz w:val="14"/>
                <w:szCs w:val="14"/>
              </w:rPr>
              <w:t>-</w:t>
            </w:r>
          </w:p>
        </w:tc>
        <w:tc>
          <w:tcPr>
            <w:tcW w:w="412" w:type="pct"/>
            <w:tcBorders>
              <w:top w:val="nil"/>
              <w:left w:val="nil"/>
              <w:bottom w:val="nil"/>
              <w:right w:val="nil"/>
            </w:tcBorders>
            <w:noWrap/>
            <w:vAlign w:val="center"/>
          </w:tcPr>
          <w:p w14:paraId="32BEEB70" w14:textId="3FF7BA11" w:rsidR="0097254E" w:rsidRPr="0028570D" w:rsidRDefault="0028570D">
            <w:pPr>
              <w:jc w:val="center"/>
              <w:rPr>
                <w:rFonts w:ascii="CAIXA Std Book" w:eastAsia="Times New Roman" w:hAnsi="CAIXA Std Book" w:cs="Calibri"/>
                <w:color w:val="005CA9"/>
                <w:sz w:val="14"/>
                <w:szCs w:val="14"/>
              </w:rPr>
            </w:pPr>
            <w:r w:rsidRPr="0028570D">
              <w:rPr>
                <w:rFonts w:ascii="CAIXA Std Book" w:hAnsi="CAIXA Std Book" w:cs="Arial"/>
                <w:color w:val="005CA9"/>
                <w:sz w:val="14"/>
                <w:szCs w:val="14"/>
              </w:rPr>
              <w:t>-</w:t>
            </w:r>
          </w:p>
        </w:tc>
        <w:tc>
          <w:tcPr>
            <w:tcW w:w="412" w:type="pct"/>
            <w:tcBorders>
              <w:top w:val="nil"/>
              <w:left w:val="nil"/>
              <w:bottom w:val="nil"/>
              <w:right w:val="nil"/>
            </w:tcBorders>
            <w:noWrap/>
            <w:vAlign w:val="center"/>
          </w:tcPr>
          <w:p w14:paraId="615AF78F" w14:textId="1BA54E40" w:rsidR="0097254E" w:rsidRPr="0028570D" w:rsidRDefault="0028570D">
            <w:pPr>
              <w:jc w:val="center"/>
              <w:rPr>
                <w:rFonts w:ascii="CAIXA Std Book" w:eastAsia="Times New Roman" w:hAnsi="CAIXA Std Book" w:cs="Calibri"/>
                <w:color w:val="005CA9"/>
                <w:sz w:val="14"/>
                <w:szCs w:val="14"/>
              </w:rPr>
            </w:pPr>
            <w:r w:rsidRPr="0028570D">
              <w:rPr>
                <w:rFonts w:ascii="CAIXA Std Book" w:hAnsi="CAIXA Std Book" w:cs="Arial"/>
                <w:color w:val="005CA9"/>
                <w:sz w:val="14"/>
                <w:szCs w:val="14"/>
              </w:rPr>
              <w:t>-</w:t>
            </w:r>
          </w:p>
        </w:tc>
        <w:tc>
          <w:tcPr>
            <w:tcW w:w="414" w:type="pct"/>
            <w:tcBorders>
              <w:top w:val="nil"/>
              <w:left w:val="nil"/>
              <w:bottom w:val="nil"/>
              <w:right w:val="nil"/>
            </w:tcBorders>
            <w:vAlign w:val="center"/>
          </w:tcPr>
          <w:p w14:paraId="79D81AE9" w14:textId="33EB423E" w:rsidR="0097254E" w:rsidRPr="0028570D" w:rsidRDefault="0003256B" w:rsidP="0003256B">
            <w:pPr>
              <w:ind w:firstLineChars="100" w:firstLine="140"/>
              <w:jc w:val="right"/>
              <w:rPr>
                <w:rFonts w:ascii="CAIXA Std Book" w:eastAsia="Times New Roman" w:hAnsi="CAIXA Std Book" w:cs="Calibri"/>
                <w:color w:val="005CA9"/>
                <w:sz w:val="14"/>
                <w:szCs w:val="14"/>
              </w:rPr>
            </w:pPr>
            <w:r w:rsidRPr="0028570D">
              <w:rPr>
                <w:rFonts w:ascii="CAIXA Std Book" w:hAnsi="CAIXA Std Book" w:cs="Arial"/>
                <w:color w:val="005CA9"/>
                <w:sz w:val="14"/>
                <w:szCs w:val="14"/>
              </w:rPr>
              <w:t xml:space="preserve"> 21.893.544</w:t>
            </w:r>
          </w:p>
        </w:tc>
        <w:tc>
          <w:tcPr>
            <w:tcW w:w="412" w:type="pct"/>
            <w:tcBorders>
              <w:top w:val="nil"/>
              <w:left w:val="nil"/>
              <w:bottom w:val="nil"/>
              <w:right w:val="nil"/>
            </w:tcBorders>
            <w:vAlign w:val="center"/>
          </w:tcPr>
          <w:p w14:paraId="728D6769" w14:textId="77777777" w:rsidR="0097254E" w:rsidRPr="0028570D" w:rsidRDefault="0097254E">
            <w:pPr>
              <w:ind w:firstLineChars="100" w:firstLine="140"/>
              <w:jc w:val="center"/>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w:t>
            </w:r>
          </w:p>
        </w:tc>
        <w:tc>
          <w:tcPr>
            <w:tcW w:w="412" w:type="pct"/>
            <w:tcBorders>
              <w:top w:val="nil"/>
              <w:left w:val="nil"/>
              <w:bottom w:val="nil"/>
              <w:right w:val="nil"/>
            </w:tcBorders>
            <w:vAlign w:val="center"/>
          </w:tcPr>
          <w:p w14:paraId="35C51045" w14:textId="77777777" w:rsidR="0097254E" w:rsidRPr="0028570D" w:rsidRDefault="0097254E">
            <w:pPr>
              <w:ind w:firstLineChars="100" w:firstLine="140"/>
              <w:jc w:val="right"/>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195.591</w:t>
            </w:r>
          </w:p>
        </w:tc>
        <w:tc>
          <w:tcPr>
            <w:tcW w:w="412" w:type="pct"/>
            <w:tcBorders>
              <w:top w:val="nil"/>
              <w:left w:val="nil"/>
              <w:bottom w:val="nil"/>
              <w:right w:val="nil"/>
            </w:tcBorders>
            <w:vAlign w:val="center"/>
          </w:tcPr>
          <w:p w14:paraId="640DFAE9" w14:textId="77777777" w:rsidR="0097254E" w:rsidRPr="0028570D" w:rsidRDefault="0097254E">
            <w:pPr>
              <w:ind w:firstLineChars="100" w:firstLine="140"/>
              <w:jc w:val="center"/>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w:t>
            </w:r>
          </w:p>
        </w:tc>
        <w:tc>
          <w:tcPr>
            <w:tcW w:w="412" w:type="pct"/>
            <w:tcBorders>
              <w:top w:val="nil"/>
              <w:left w:val="nil"/>
              <w:bottom w:val="nil"/>
              <w:right w:val="nil"/>
            </w:tcBorders>
            <w:vAlign w:val="center"/>
          </w:tcPr>
          <w:p w14:paraId="075FA04E" w14:textId="77777777" w:rsidR="0097254E" w:rsidRPr="0028570D" w:rsidRDefault="0097254E">
            <w:pPr>
              <w:jc w:val="center"/>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w:t>
            </w:r>
          </w:p>
        </w:tc>
        <w:tc>
          <w:tcPr>
            <w:tcW w:w="414" w:type="pct"/>
            <w:tcBorders>
              <w:top w:val="nil"/>
              <w:left w:val="nil"/>
              <w:bottom w:val="nil"/>
              <w:right w:val="nil"/>
            </w:tcBorders>
            <w:noWrap/>
            <w:vAlign w:val="center"/>
          </w:tcPr>
          <w:p w14:paraId="7A9573C6" w14:textId="77777777" w:rsidR="0097254E" w:rsidRPr="0028570D" w:rsidRDefault="0097254E">
            <w:pPr>
              <w:ind w:firstLineChars="100" w:firstLine="140"/>
              <w:jc w:val="center"/>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w:t>
            </w:r>
          </w:p>
        </w:tc>
      </w:tr>
      <w:tr w:rsidR="0097254E" w:rsidRPr="00E641A8" w14:paraId="19576248" w14:textId="77777777" w:rsidTr="0003256B">
        <w:trPr>
          <w:trHeight w:val="283"/>
          <w:jc w:val="center"/>
        </w:trPr>
        <w:tc>
          <w:tcPr>
            <w:tcW w:w="876" w:type="pct"/>
            <w:tcBorders>
              <w:top w:val="nil"/>
              <w:left w:val="nil"/>
              <w:bottom w:val="nil"/>
              <w:right w:val="nil"/>
            </w:tcBorders>
            <w:noWrap/>
            <w:vAlign w:val="center"/>
            <w:hideMark/>
          </w:tcPr>
          <w:p w14:paraId="30DD1696" w14:textId="77777777" w:rsidR="0097254E" w:rsidRPr="0028570D" w:rsidRDefault="0097254E">
            <w:pPr>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Resultado de títulos e valores mobiliários</w:t>
            </w:r>
          </w:p>
        </w:tc>
        <w:tc>
          <w:tcPr>
            <w:tcW w:w="438" w:type="pct"/>
            <w:tcBorders>
              <w:top w:val="nil"/>
              <w:left w:val="nil"/>
              <w:bottom w:val="nil"/>
              <w:right w:val="nil"/>
            </w:tcBorders>
            <w:noWrap/>
            <w:vAlign w:val="center"/>
          </w:tcPr>
          <w:p w14:paraId="2CB84346" w14:textId="570C3FD6" w:rsidR="0097254E" w:rsidRPr="0028570D" w:rsidRDefault="000473D4">
            <w:pPr>
              <w:jc w:val="right"/>
              <w:rPr>
                <w:rFonts w:ascii="CAIXA Std Book" w:eastAsia="Times New Roman" w:hAnsi="CAIXA Std Book" w:cs="Calibri"/>
                <w:color w:val="005CA9"/>
                <w:sz w:val="14"/>
                <w:szCs w:val="14"/>
              </w:rPr>
            </w:pPr>
            <w:r w:rsidRPr="0028570D">
              <w:rPr>
                <w:rFonts w:ascii="CAIXA Std Book" w:hAnsi="CAIXA Std Book" w:cs="Arial"/>
                <w:color w:val="005CA9"/>
                <w:sz w:val="14"/>
                <w:szCs w:val="14"/>
              </w:rPr>
              <w:t>222.</w:t>
            </w:r>
            <w:r w:rsidR="0028570D" w:rsidRPr="0028570D">
              <w:rPr>
                <w:rFonts w:ascii="CAIXA Std Book" w:hAnsi="CAIXA Std Book" w:cs="Arial"/>
                <w:color w:val="005CA9"/>
                <w:sz w:val="14"/>
                <w:szCs w:val="14"/>
              </w:rPr>
              <w:t>341</w:t>
            </w:r>
          </w:p>
        </w:tc>
        <w:tc>
          <w:tcPr>
            <w:tcW w:w="386" w:type="pct"/>
            <w:vAlign w:val="center"/>
          </w:tcPr>
          <w:p w14:paraId="33F9928C" w14:textId="2B26AA59" w:rsidR="0097254E" w:rsidRPr="0028570D" w:rsidRDefault="0028570D">
            <w:pPr>
              <w:jc w:val="center"/>
              <w:rPr>
                <w:rFonts w:ascii="CAIXA Std Book" w:eastAsia="Times New Roman" w:hAnsi="CAIXA Std Book" w:cs="Arial"/>
                <w:color w:val="005CA9"/>
                <w:sz w:val="14"/>
                <w:szCs w:val="14"/>
              </w:rPr>
            </w:pPr>
            <w:r w:rsidRPr="0028570D">
              <w:rPr>
                <w:rFonts w:ascii="CAIXA Std Book" w:hAnsi="CAIXA Std Book" w:cs="Arial"/>
                <w:color w:val="005CA9"/>
                <w:sz w:val="14"/>
                <w:szCs w:val="14"/>
              </w:rPr>
              <w:t>-</w:t>
            </w:r>
          </w:p>
        </w:tc>
        <w:tc>
          <w:tcPr>
            <w:tcW w:w="412" w:type="pct"/>
            <w:tcBorders>
              <w:top w:val="nil"/>
              <w:left w:val="nil"/>
              <w:bottom w:val="nil"/>
              <w:right w:val="nil"/>
            </w:tcBorders>
            <w:noWrap/>
            <w:vAlign w:val="center"/>
          </w:tcPr>
          <w:p w14:paraId="0877CE98" w14:textId="18B41DBF" w:rsidR="0097254E" w:rsidRPr="0028570D" w:rsidRDefault="0028570D">
            <w:pPr>
              <w:jc w:val="center"/>
              <w:rPr>
                <w:rFonts w:ascii="CAIXA Std Book" w:eastAsia="Times New Roman" w:hAnsi="CAIXA Std Book" w:cs="Calibri"/>
                <w:color w:val="005CA9"/>
                <w:sz w:val="14"/>
                <w:szCs w:val="14"/>
              </w:rPr>
            </w:pPr>
            <w:r w:rsidRPr="0028570D">
              <w:rPr>
                <w:rFonts w:ascii="CAIXA Std Book" w:hAnsi="CAIXA Std Book" w:cs="Arial"/>
                <w:color w:val="005CA9"/>
                <w:sz w:val="14"/>
                <w:szCs w:val="14"/>
              </w:rPr>
              <w:t>-</w:t>
            </w:r>
          </w:p>
        </w:tc>
        <w:tc>
          <w:tcPr>
            <w:tcW w:w="412" w:type="pct"/>
            <w:tcBorders>
              <w:top w:val="nil"/>
              <w:left w:val="nil"/>
              <w:bottom w:val="nil"/>
              <w:right w:val="nil"/>
            </w:tcBorders>
            <w:noWrap/>
            <w:vAlign w:val="center"/>
          </w:tcPr>
          <w:p w14:paraId="773D4680" w14:textId="1F4CE6A5" w:rsidR="0097254E" w:rsidRPr="0028570D" w:rsidRDefault="0028570D">
            <w:pPr>
              <w:jc w:val="center"/>
              <w:rPr>
                <w:rFonts w:ascii="CAIXA Std Book" w:eastAsia="Times New Roman" w:hAnsi="CAIXA Std Book" w:cs="Calibri"/>
                <w:color w:val="005CA9"/>
                <w:sz w:val="14"/>
                <w:szCs w:val="14"/>
              </w:rPr>
            </w:pPr>
            <w:r w:rsidRPr="0028570D">
              <w:rPr>
                <w:rFonts w:ascii="CAIXA Std Book" w:hAnsi="CAIXA Std Book" w:cs="Arial"/>
                <w:color w:val="005CA9"/>
                <w:sz w:val="14"/>
                <w:szCs w:val="14"/>
              </w:rPr>
              <w:t>-</w:t>
            </w:r>
          </w:p>
        </w:tc>
        <w:tc>
          <w:tcPr>
            <w:tcW w:w="414" w:type="pct"/>
            <w:tcBorders>
              <w:top w:val="nil"/>
              <w:left w:val="nil"/>
              <w:bottom w:val="nil"/>
              <w:right w:val="nil"/>
            </w:tcBorders>
            <w:vAlign w:val="center"/>
          </w:tcPr>
          <w:p w14:paraId="04C69FEE" w14:textId="7DA11508" w:rsidR="0097254E" w:rsidRPr="0028570D" w:rsidRDefault="0028570D">
            <w:pPr>
              <w:jc w:val="center"/>
              <w:rPr>
                <w:rFonts w:ascii="CAIXA Std Book" w:eastAsia="Times New Roman" w:hAnsi="CAIXA Std Book" w:cs="Calibri"/>
                <w:color w:val="005CA9"/>
                <w:sz w:val="14"/>
                <w:szCs w:val="14"/>
              </w:rPr>
            </w:pPr>
            <w:r w:rsidRPr="0028570D">
              <w:rPr>
                <w:rFonts w:ascii="CAIXA Std Book" w:hAnsi="CAIXA Std Book" w:cs="Arial"/>
                <w:color w:val="005CA9"/>
                <w:sz w:val="14"/>
                <w:szCs w:val="14"/>
              </w:rPr>
              <w:t>-</w:t>
            </w:r>
          </w:p>
        </w:tc>
        <w:tc>
          <w:tcPr>
            <w:tcW w:w="412" w:type="pct"/>
            <w:tcBorders>
              <w:top w:val="nil"/>
              <w:left w:val="nil"/>
              <w:bottom w:val="nil"/>
              <w:right w:val="nil"/>
            </w:tcBorders>
            <w:vAlign w:val="center"/>
          </w:tcPr>
          <w:p w14:paraId="52F211A7" w14:textId="77777777" w:rsidR="0097254E" w:rsidRPr="0028570D" w:rsidRDefault="0097254E">
            <w:pPr>
              <w:ind w:firstLineChars="100" w:firstLine="140"/>
              <w:jc w:val="center"/>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w:t>
            </w:r>
          </w:p>
        </w:tc>
        <w:tc>
          <w:tcPr>
            <w:tcW w:w="412" w:type="pct"/>
            <w:tcBorders>
              <w:top w:val="nil"/>
              <w:left w:val="nil"/>
              <w:bottom w:val="nil"/>
              <w:right w:val="nil"/>
            </w:tcBorders>
            <w:vAlign w:val="center"/>
          </w:tcPr>
          <w:p w14:paraId="2B9C033E" w14:textId="77777777" w:rsidR="0097254E" w:rsidRPr="0028570D" w:rsidRDefault="0097254E">
            <w:pPr>
              <w:ind w:firstLineChars="100" w:firstLine="140"/>
              <w:jc w:val="center"/>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w:t>
            </w:r>
          </w:p>
        </w:tc>
        <w:tc>
          <w:tcPr>
            <w:tcW w:w="412" w:type="pct"/>
            <w:tcBorders>
              <w:top w:val="nil"/>
              <w:left w:val="nil"/>
              <w:bottom w:val="nil"/>
              <w:right w:val="nil"/>
            </w:tcBorders>
            <w:vAlign w:val="center"/>
          </w:tcPr>
          <w:p w14:paraId="1B35379E" w14:textId="77777777" w:rsidR="0097254E" w:rsidRPr="0028570D" w:rsidRDefault="0097254E">
            <w:pPr>
              <w:ind w:firstLineChars="100" w:firstLine="140"/>
              <w:jc w:val="center"/>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w:t>
            </w:r>
          </w:p>
        </w:tc>
        <w:tc>
          <w:tcPr>
            <w:tcW w:w="412" w:type="pct"/>
            <w:tcBorders>
              <w:top w:val="nil"/>
              <w:left w:val="nil"/>
              <w:bottom w:val="nil"/>
              <w:right w:val="nil"/>
            </w:tcBorders>
            <w:vAlign w:val="center"/>
          </w:tcPr>
          <w:p w14:paraId="63A376EC" w14:textId="77777777" w:rsidR="0097254E" w:rsidRPr="0028570D" w:rsidRDefault="0097254E">
            <w:pPr>
              <w:jc w:val="center"/>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w:t>
            </w:r>
          </w:p>
        </w:tc>
        <w:tc>
          <w:tcPr>
            <w:tcW w:w="414" w:type="pct"/>
            <w:tcBorders>
              <w:top w:val="nil"/>
              <w:left w:val="nil"/>
              <w:bottom w:val="nil"/>
              <w:right w:val="nil"/>
            </w:tcBorders>
            <w:noWrap/>
            <w:vAlign w:val="center"/>
          </w:tcPr>
          <w:p w14:paraId="1116235D" w14:textId="77777777" w:rsidR="0097254E" w:rsidRPr="0028570D" w:rsidRDefault="0097254E">
            <w:pPr>
              <w:ind w:firstLineChars="100" w:firstLine="140"/>
              <w:jc w:val="right"/>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110.627</w:t>
            </w:r>
          </w:p>
        </w:tc>
      </w:tr>
      <w:tr w:rsidR="0097254E" w:rsidRPr="00E641A8" w14:paraId="4FBF2CCF" w14:textId="77777777" w:rsidTr="0003256B">
        <w:trPr>
          <w:trHeight w:val="283"/>
          <w:jc w:val="center"/>
        </w:trPr>
        <w:tc>
          <w:tcPr>
            <w:tcW w:w="876" w:type="pct"/>
            <w:tcBorders>
              <w:top w:val="nil"/>
              <w:left w:val="nil"/>
              <w:bottom w:val="nil"/>
              <w:right w:val="nil"/>
            </w:tcBorders>
            <w:noWrap/>
            <w:vAlign w:val="center"/>
            <w:hideMark/>
          </w:tcPr>
          <w:p w14:paraId="4862202C" w14:textId="77777777" w:rsidR="0097254E" w:rsidRPr="0028570D" w:rsidRDefault="0097254E">
            <w:pPr>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Outras receitas operacionais</w:t>
            </w:r>
          </w:p>
        </w:tc>
        <w:tc>
          <w:tcPr>
            <w:tcW w:w="438" w:type="pct"/>
            <w:tcBorders>
              <w:top w:val="nil"/>
              <w:left w:val="nil"/>
              <w:bottom w:val="nil"/>
              <w:right w:val="nil"/>
            </w:tcBorders>
            <w:noWrap/>
            <w:vAlign w:val="center"/>
          </w:tcPr>
          <w:p w14:paraId="777924C7" w14:textId="0BF9E909" w:rsidR="0097254E" w:rsidRPr="0028570D" w:rsidRDefault="000473D4" w:rsidP="000473D4">
            <w:pPr>
              <w:ind w:firstLineChars="100" w:firstLine="140"/>
              <w:jc w:val="right"/>
              <w:rPr>
                <w:rFonts w:ascii="CAIXA Std Book" w:eastAsia="Times New Roman" w:hAnsi="CAIXA Std Book" w:cs="Calibri"/>
                <w:color w:val="005CA9"/>
                <w:sz w:val="14"/>
                <w:szCs w:val="14"/>
              </w:rPr>
            </w:pPr>
            <w:r w:rsidRPr="0028570D">
              <w:rPr>
                <w:rFonts w:ascii="CAIXA Std Book" w:hAnsi="CAIXA Std Book" w:cs="Arial"/>
                <w:color w:val="005CA9"/>
                <w:sz w:val="14"/>
                <w:szCs w:val="14"/>
              </w:rPr>
              <w:t>248.</w:t>
            </w:r>
            <w:r w:rsidR="0028570D" w:rsidRPr="0028570D">
              <w:rPr>
                <w:rFonts w:ascii="CAIXA Std Book" w:hAnsi="CAIXA Std Book" w:cs="Arial"/>
                <w:color w:val="005CA9"/>
                <w:sz w:val="14"/>
                <w:szCs w:val="14"/>
              </w:rPr>
              <w:t>345</w:t>
            </w:r>
          </w:p>
        </w:tc>
        <w:tc>
          <w:tcPr>
            <w:tcW w:w="386" w:type="pct"/>
            <w:vAlign w:val="center"/>
          </w:tcPr>
          <w:p w14:paraId="7D84DC9A" w14:textId="4CEDD0F8" w:rsidR="0097254E" w:rsidRPr="0028570D" w:rsidRDefault="0028570D">
            <w:pPr>
              <w:jc w:val="right"/>
              <w:rPr>
                <w:rFonts w:ascii="CAIXA Std Book" w:eastAsia="Times New Roman" w:hAnsi="CAIXA Std Book" w:cs="Arial"/>
                <w:color w:val="005CA9"/>
                <w:sz w:val="14"/>
                <w:szCs w:val="14"/>
              </w:rPr>
            </w:pPr>
            <w:r w:rsidRPr="0028570D">
              <w:rPr>
                <w:rFonts w:ascii="CAIXA Std Book" w:hAnsi="CAIXA Std Book" w:cs="Arial"/>
                <w:color w:val="005CA9"/>
                <w:sz w:val="14"/>
                <w:szCs w:val="14"/>
              </w:rPr>
              <w:t xml:space="preserve"> 8.978</w:t>
            </w:r>
          </w:p>
        </w:tc>
        <w:tc>
          <w:tcPr>
            <w:tcW w:w="412" w:type="pct"/>
            <w:tcBorders>
              <w:top w:val="nil"/>
              <w:left w:val="nil"/>
              <w:bottom w:val="nil"/>
              <w:right w:val="nil"/>
            </w:tcBorders>
            <w:noWrap/>
            <w:vAlign w:val="center"/>
          </w:tcPr>
          <w:p w14:paraId="6D0FF8F4" w14:textId="122FE856" w:rsidR="0097254E" w:rsidRPr="0028570D" w:rsidRDefault="000473D4">
            <w:pPr>
              <w:jc w:val="right"/>
              <w:rPr>
                <w:rFonts w:ascii="CAIXA Std Book" w:eastAsia="Times New Roman" w:hAnsi="CAIXA Std Book" w:cs="Calibri"/>
                <w:color w:val="005CA9"/>
                <w:sz w:val="14"/>
                <w:szCs w:val="14"/>
              </w:rPr>
            </w:pPr>
            <w:r w:rsidRPr="0028570D">
              <w:rPr>
                <w:rFonts w:ascii="CAIXA Std Book" w:hAnsi="CAIXA Std Book" w:cs="Arial"/>
                <w:color w:val="005CA9"/>
                <w:sz w:val="14"/>
                <w:szCs w:val="14"/>
              </w:rPr>
              <w:t xml:space="preserve"> 45.</w:t>
            </w:r>
            <w:r w:rsidR="0028570D" w:rsidRPr="0028570D">
              <w:rPr>
                <w:rFonts w:ascii="CAIXA Std Book" w:hAnsi="CAIXA Std Book" w:cs="Arial"/>
                <w:color w:val="005CA9"/>
                <w:sz w:val="14"/>
                <w:szCs w:val="14"/>
              </w:rPr>
              <w:t>339</w:t>
            </w:r>
          </w:p>
        </w:tc>
        <w:tc>
          <w:tcPr>
            <w:tcW w:w="412" w:type="pct"/>
            <w:tcBorders>
              <w:top w:val="nil"/>
              <w:left w:val="nil"/>
              <w:bottom w:val="nil"/>
              <w:right w:val="nil"/>
            </w:tcBorders>
            <w:noWrap/>
            <w:vAlign w:val="center"/>
          </w:tcPr>
          <w:p w14:paraId="18CE8FF8" w14:textId="7DBCA917" w:rsidR="0097254E" w:rsidRPr="0028570D" w:rsidRDefault="000473D4">
            <w:pPr>
              <w:jc w:val="right"/>
              <w:rPr>
                <w:rFonts w:ascii="CAIXA Std Book" w:eastAsia="Times New Roman" w:hAnsi="CAIXA Std Book" w:cs="Calibri"/>
                <w:color w:val="005CA9"/>
                <w:sz w:val="14"/>
                <w:szCs w:val="14"/>
              </w:rPr>
            </w:pPr>
            <w:r w:rsidRPr="0028570D">
              <w:rPr>
                <w:rFonts w:ascii="CAIXA Std Book" w:hAnsi="CAIXA Std Book" w:cs="Arial"/>
                <w:color w:val="005CA9"/>
                <w:sz w:val="14"/>
                <w:szCs w:val="14"/>
              </w:rPr>
              <w:t xml:space="preserve"> 274</w:t>
            </w:r>
          </w:p>
        </w:tc>
        <w:tc>
          <w:tcPr>
            <w:tcW w:w="414" w:type="pct"/>
            <w:tcBorders>
              <w:top w:val="nil"/>
              <w:left w:val="nil"/>
              <w:bottom w:val="nil"/>
              <w:right w:val="nil"/>
            </w:tcBorders>
            <w:vAlign w:val="center"/>
          </w:tcPr>
          <w:p w14:paraId="4775E327" w14:textId="78D0C76C" w:rsidR="0097254E" w:rsidRPr="0028570D" w:rsidRDefault="000473D4">
            <w:pPr>
              <w:jc w:val="right"/>
              <w:rPr>
                <w:rFonts w:ascii="CAIXA Std Book" w:eastAsia="Times New Roman" w:hAnsi="CAIXA Std Book" w:cs="Calibri"/>
                <w:color w:val="005CA9"/>
                <w:sz w:val="14"/>
                <w:szCs w:val="14"/>
              </w:rPr>
            </w:pPr>
            <w:r w:rsidRPr="0028570D">
              <w:rPr>
                <w:rFonts w:ascii="CAIXA Std Book" w:hAnsi="CAIXA Std Book" w:cs="Arial"/>
                <w:color w:val="005CA9"/>
                <w:sz w:val="14"/>
                <w:szCs w:val="14"/>
              </w:rPr>
              <w:t xml:space="preserve"> 2.036.</w:t>
            </w:r>
            <w:r w:rsidR="0028570D" w:rsidRPr="0028570D">
              <w:rPr>
                <w:rFonts w:ascii="CAIXA Std Book" w:hAnsi="CAIXA Std Book" w:cs="Arial"/>
                <w:color w:val="005CA9"/>
                <w:sz w:val="14"/>
                <w:szCs w:val="14"/>
              </w:rPr>
              <w:t>073</w:t>
            </w:r>
          </w:p>
        </w:tc>
        <w:tc>
          <w:tcPr>
            <w:tcW w:w="412" w:type="pct"/>
            <w:tcBorders>
              <w:top w:val="nil"/>
              <w:left w:val="nil"/>
              <w:bottom w:val="nil"/>
              <w:right w:val="nil"/>
            </w:tcBorders>
            <w:vAlign w:val="center"/>
          </w:tcPr>
          <w:p w14:paraId="109822A4" w14:textId="77777777" w:rsidR="0097254E" w:rsidRPr="0028570D" w:rsidRDefault="0097254E">
            <w:pPr>
              <w:jc w:val="right"/>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302.441</w:t>
            </w:r>
          </w:p>
        </w:tc>
        <w:tc>
          <w:tcPr>
            <w:tcW w:w="412" w:type="pct"/>
            <w:tcBorders>
              <w:top w:val="nil"/>
              <w:left w:val="nil"/>
              <w:bottom w:val="nil"/>
              <w:right w:val="nil"/>
            </w:tcBorders>
            <w:vAlign w:val="center"/>
          </w:tcPr>
          <w:p w14:paraId="3775AE64" w14:textId="77777777" w:rsidR="0097254E" w:rsidRPr="0028570D" w:rsidRDefault="0097254E">
            <w:pPr>
              <w:ind w:firstLineChars="100" w:firstLine="140"/>
              <w:jc w:val="right"/>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30.738</w:t>
            </w:r>
          </w:p>
        </w:tc>
        <w:tc>
          <w:tcPr>
            <w:tcW w:w="412" w:type="pct"/>
            <w:tcBorders>
              <w:top w:val="nil"/>
              <w:left w:val="nil"/>
              <w:bottom w:val="nil"/>
              <w:right w:val="nil"/>
            </w:tcBorders>
            <w:vAlign w:val="center"/>
          </w:tcPr>
          <w:p w14:paraId="38B010BD" w14:textId="77777777" w:rsidR="0097254E" w:rsidRPr="0028570D" w:rsidRDefault="0097254E">
            <w:pPr>
              <w:ind w:firstLineChars="100" w:firstLine="140"/>
              <w:jc w:val="right"/>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4.198</w:t>
            </w:r>
          </w:p>
        </w:tc>
        <w:tc>
          <w:tcPr>
            <w:tcW w:w="412" w:type="pct"/>
            <w:tcBorders>
              <w:top w:val="nil"/>
              <w:left w:val="nil"/>
              <w:bottom w:val="nil"/>
              <w:right w:val="nil"/>
            </w:tcBorders>
            <w:vAlign w:val="center"/>
          </w:tcPr>
          <w:p w14:paraId="557EF767" w14:textId="77777777" w:rsidR="0097254E" w:rsidRPr="0028570D" w:rsidRDefault="0097254E">
            <w:pPr>
              <w:jc w:val="right"/>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171</w:t>
            </w:r>
          </w:p>
        </w:tc>
        <w:tc>
          <w:tcPr>
            <w:tcW w:w="414" w:type="pct"/>
            <w:tcBorders>
              <w:top w:val="nil"/>
              <w:left w:val="nil"/>
              <w:bottom w:val="nil"/>
              <w:right w:val="nil"/>
            </w:tcBorders>
            <w:noWrap/>
            <w:vAlign w:val="center"/>
          </w:tcPr>
          <w:p w14:paraId="02E614F8" w14:textId="77777777" w:rsidR="0097254E" w:rsidRPr="0028570D" w:rsidRDefault="0097254E">
            <w:pPr>
              <w:ind w:firstLineChars="100" w:firstLine="140"/>
              <w:jc w:val="right"/>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3.003.550</w:t>
            </w:r>
          </w:p>
        </w:tc>
      </w:tr>
      <w:tr w:rsidR="0097254E" w:rsidRPr="00E641A8" w14:paraId="64D8F065" w14:textId="77777777" w:rsidTr="0003256B">
        <w:trPr>
          <w:trHeight w:val="283"/>
          <w:jc w:val="center"/>
        </w:trPr>
        <w:tc>
          <w:tcPr>
            <w:tcW w:w="876" w:type="pct"/>
            <w:tcBorders>
              <w:top w:val="nil"/>
              <w:left w:val="nil"/>
              <w:bottom w:val="nil"/>
              <w:right w:val="nil"/>
            </w:tcBorders>
            <w:shd w:val="clear" w:color="auto" w:fill="D0DFE3"/>
            <w:noWrap/>
            <w:vAlign w:val="center"/>
          </w:tcPr>
          <w:p w14:paraId="7F5B02C4" w14:textId="77777777" w:rsidR="0097254E" w:rsidRPr="0028570D" w:rsidRDefault="0097254E">
            <w:pPr>
              <w:rPr>
                <w:rFonts w:ascii="CAIXA Std Book" w:eastAsia="Times New Roman" w:hAnsi="CAIXA Std Book" w:cs="Arial"/>
                <w:color w:val="005CA9"/>
                <w:sz w:val="14"/>
                <w:szCs w:val="14"/>
              </w:rPr>
            </w:pPr>
            <w:r w:rsidRPr="0028570D">
              <w:rPr>
                <w:rFonts w:ascii="CAIXA Std Book" w:eastAsia="Times New Roman" w:hAnsi="CAIXA Std Book" w:cs="Arial"/>
                <w:b/>
                <w:color w:val="005CA9"/>
                <w:sz w:val="14"/>
                <w:szCs w:val="14"/>
              </w:rPr>
              <w:t>Despesas</w:t>
            </w:r>
          </w:p>
        </w:tc>
        <w:tc>
          <w:tcPr>
            <w:tcW w:w="438" w:type="pct"/>
            <w:tcBorders>
              <w:top w:val="nil"/>
              <w:left w:val="nil"/>
              <w:bottom w:val="nil"/>
              <w:right w:val="nil"/>
            </w:tcBorders>
            <w:shd w:val="clear" w:color="auto" w:fill="D0DFE3"/>
            <w:noWrap/>
            <w:vAlign w:val="center"/>
          </w:tcPr>
          <w:p w14:paraId="6186144F" w14:textId="2D6EC5CB" w:rsidR="0097254E" w:rsidRPr="0028570D" w:rsidRDefault="0003256B" w:rsidP="0003256B">
            <w:pPr>
              <w:ind w:firstLineChars="100" w:firstLine="140"/>
              <w:jc w:val="right"/>
              <w:rPr>
                <w:rFonts w:ascii="CAIXA Std Book" w:hAnsi="CAIXA Std Book" w:cs="Arial"/>
                <w:color w:val="005CA9"/>
                <w:sz w:val="14"/>
                <w:szCs w:val="14"/>
              </w:rPr>
            </w:pPr>
            <w:r w:rsidRPr="0028570D">
              <w:rPr>
                <w:rFonts w:ascii="CAIXA Std Book" w:hAnsi="CAIXA Std Book" w:cs="Arial"/>
                <w:b/>
                <w:color w:val="005CA9"/>
                <w:sz w:val="14"/>
                <w:szCs w:val="14"/>
              </w:rPr>
              <w:t>(2.740.</w:t>
            </w:r>
            <w:r w:rsidR="0028570D" w:rsidRPr="0028570D">
              <w:rPr>
                <w:rFonts w:ascii="CAIXA Std Book" w:hAnsi="CAIXA Std Book" w:cs="Arial"/>
                <w:b/>
                <w:bCs/>
                <w:color w:val="005CA9"/>
                <w:sz w:val="14"/>
                <w:szCs w:val="14"/>
              </w:rPr>
              <w:t>032</w:t>
            </w:r>
            <w:r w:rsidRPr="0028570D">
              <w:rPr>
                <w:rFonts w:ascii="CAIXA Std Book" w:hAnsi="CAIXA Std Book" w:cs="Arial"/>
                <w:b/>
                <w:color w:val="005CA9"/>
                <w:sz w:val="14"/>
                <w:szCs w:val="14"/>
              </w:rPr>
              <w:t>)</w:t>
            </w:r>
          </w:p>
        </w:tc>
        <w:tc>
          <w:tcPr>
            <w:tcW w:w="386" w:type="pct"/>
            <w:shd w:val="clear" w:color="auto" w:fill="D0DFE3"/>
            <w:vAlign w:val="center"/>
          </w:tcPr>
          <w:p w14:paraId="6FC60552" w14:textId="0CE09065" w:rsidR="0097254E" w:rsidRPr="0028570D" w:rsidRDefault="000473D4" w:rsidP="004150B3">
            <w:pPr>
              <w:jc w:val="center"/>
              <w:rPr>
                <w:rFonts w:ascii="CAIXA Std Book" w:hAnsi="CAIXA Std Book" w:cs="Arial"/>
                <w:color w:val="005CA9"/>
                <w:sz w:val="14"/>
                <w:szCs w:val="14"/>
              </w:rPr>
            </w:pPr>
            <w:r w:rsidRPr="0028570D">
              <w:rPr>
                <w:rFonts w:ascii="CAIXA Std Book" w:hAnsi="CAIXA Std Book" w:cs="Arial"/>
                <w:b/>
                <w:color w:val="005CA9"/>
                <w:sz w:val="14"/>
                <w:szCs w:val="14"/>
              </w:rPr>
              <w:t>-</w:t>
            </w:r>
          </w:p>
        </w:tc>
        <w:tc>
          <w:tcPr>
            <w:tcW w:w="412" w:type="pct"/>
            <w:tcBorders>
              <w:top w:val="nil"/>
              <w:left w:val="nil"/>
              <w:bottom w:val="nil"/>
              <w:right w:val="nil"/>
            </w:tcBorders>
            <w:shd w:val="clear" w:color="auto" w:fill="D0DFE3"/>
            <w:noWrap/>
            <w:vAlign w:val="center"/>
          </w:tcPr>
          <w:p w14:paraId="1AC706D7" w14:textId="4453FBCD" w:rsidR="0097254E" w:rsidRPr="0028570D" w:rsidRDefault="000473D4">
            <w:pPr>
              <w:jc w:val="right"/>
              <w:rPr>
                <w:rFonts w:ascii="CAIXA Std Book" w:hAnsi="CAIXA Std Book" w:cs="Arial"/>
                <w:color w:val="005CA9"/>
                <w:sz w:val="14"/>
                <w:szCs w:val="14"/>
              </w:rPr>
            </w:pPr>
            <w:r w:rsidRPr="0028570D">
              <w:rPr>
                <w:rFonts w:ascii="CAIXA Std Book" w:hAnsi="CAIXA Std Book" w:cs="Arial"/>
                <w:b/>
                <w:color w:val="005CA9"/>
                <w:sz w:val="14"/>
                <w:szCs w:val="14"/>
              </w:rPr>
              <w:t>(286.329)</w:t>
            </w:r>
          </w:p>
        </w:tc>
        <w:tc>
          <w:tcPr>
            <w:tcW w:w="412" w:type="pct"/>
            <w:tcBorders>
              <w:top w:val="nil"/>
              <w:left w:val="nil"/>
              <w:bottom w:val="nil"/>
              <w:right w:val="nil"/>
            </w:tcBorders>
            <w:shd w:val="clear" w:color="auto" w:fill="D0DFE3"/>
            <w:noWrap/>
            <w:vAlign w:val="center"/>
          </w:tcPr>
          <w:p w14:paraId="605E16E2" w14:textId="5ED4B4D8" w:rsidR="0097254E" w:rsidRPr="0028570D" w:rsidRDefault="000473D4">
            <w:pPr>
              <w:jc w:val="right"/>
              <w:rPr>
                <w:rFonts w:ascii="CAIXA Std Book" w:hAnsi="CAIXA Std Book" w:cs="Arial"/>
                <w:color w:val="005CA9"/>
                <w:sz w:val="14"/>
                <w:szCs w:val="14"/>
              </w:rPr>
            </w:pPr>
            <w:r w:rsidRPr="0028570D">
              <w:rPr>
                <w:rFonts w:ascii="CAIXA Std Book" w:hAnsi="CAIXA Std Book" w:cs="Arial"/>
                <w:b/>
                <w:color w:val="005CA9"/>
                <w:sz w:val="14"/>
                <w:szCs w:val="14"/>
              </w:rPr>
              <w:t>(196.449)</w:t>
            </w:r>
          </w:p>
        </w:tc>
        <w:tc>
          <w:tcPr>
            <w:tcW w:w="414" w:type="pct"/>
            <w:tcBorders>
              <w:top w:val="nil"/>
              <w:left w:val="nil"/>
              <w:bottom w:val="nil"/>
              <w:right w:val="nil"/>
            </w:tcBorders>
            <w:shd w:val="clear" w:color="auto" w:fill="D0DFE3"/>
            <w:vAlign w:val="center"/>
          </w:tcPr>
          <w:p w14:paraId="14A0BF76" w14:textId="7A95F60D" w:rsidR="0097254E" w:rsidRPr="0028570D" w:rsidRDefault="0003256B">
            <w:pPr>
              <w:jc w:val="right"/>
              <w:rPr>
                <w:rFonts w:ascii="CAIXA Std Book" w:hAnsi="CAIXA Std Book" w:cs="Arial"/>
                <w:color w:val="005CA9"/>
                <w:sz w:val="14"/>
                <w:szCs w:val="14"/>
              </w:rPr>
            </w:pPr>
            <w:r w:rsidRPr="0028570D">
              <w:rPr>
                <w:rFonts w:ascii="CAIXA Std Book" w:hAnsi="CAIXA Std Book" w:cs="Arial"/>
                <w:b/>
                <w:color w:val="005CA9"/>
                <w:sz w:val="14"/>
                <w:szCs w:val="14"/>
              </w:rPr>
              <w:t>(2.638.</w:t>
            </w:r>
            <w:r w:rsidR="0028570D" w:rsidRPr="0028570D">
              <w:rPr>
                <w:rFonts w:ascii="CAIXA Std Book" w:hAnsi="CAIXA Std Book" w:cs="Arial"/>
                <w:b/>
                <w:bCs/>
                <w:color w:val="005CA9"/>
                <w:sz w:val="14"/>
                <w:szCs w:val="14"/>
              </w:rPr>
              <w:t>242</w:t>
            </w:r>
            <w:r w:rsidRPr="0028570D">
              <w:rPr>
                <w:rFonts w:ascii="CAIXA Std Book" w:hAnsi="CAIXA Std Book" w:cs="Arial"/>
                <w:b/>
                <w:color w:val="005CA9"/>
                <w:sz w:val="14"/>
                <w:szCs w:val="14"/>
              </w:rPr>
              <w:t>)</w:t>
            </w:r>
          </w:p>
        </w:tc>
        <w:tc>
          <w:tcPr>
            <w:tcW w:w="412" w:type="pct"/>
            <w:tcBorders>
              <w:top w:val="nil"/>
              <w:left w:val="nil"/>
              <w:bottom w:val="nil"/>
              <w:right w:val="nil"/>
            </w:tcBorders>
            <w:shd w:val="clear" w:color="auto" w:fill="D0DFE3"/>
            <w:vAlign w:val="center"/>
          </w:tcPr>
          <w:p w14:paraId="75DDBFCC" w14:textId="77777777" w:rsidR="0097254E" w:rsidRPr="0028570D" w:rsidRDefault="0097254E">
            <w:pPr>
              <w:jc w:val="right"/>
              <w:rPr>
                <w:rFonts w:ascii="CAIXA Std Book" w:eastAsia="Times New Roman" w:hAnsi="CAIXA Std Book" w:cs="Arial"/>
                <w:color w:val="005CA9"/>
                <w:sz w:val="14"/>
                <w:szCs w:val="14"/>
              </w:rPr>
            </w:pPr>
            <w:r w:rsidRPr="0028570D">
              <w:rPr>
                <w:rFonts w:ascii="CAIXA Std Book" w:hAnsi="CAIXA Std Book" w:cs="Calibri"/>
                <w:b/>
                <w:color w:val="005CA9"/>
                <w:sz w:val="14"/>
                <w:szCs w:val="14"/>
              </w:rPr>
              <w:t>(2.622.173)</w:t>
            </w:r>
          </w:p>
        </w:tc>
        <w:tc>
          <w:tcPr>
            <w:tcW w:w="412" w:type="pct"/>
            <w:tcBorders>
              <w:top w:val="nil"/>
              <w:left w:val="nil"/>
              <w:bottom w:val="nil"/>
              <w:right w:val="nil"/>
            </w:tcBorders>
            <w:shd w:val="clear" w:color="auto" w:fill="D0DFE3"/>
            <w:vAlign w:val="center"/>
          </w:tcPr>
          <w:p w14:paraId="5713DC36" w14:textId="77777777" w:rsidR="0097254E" w:rsidRPr="0028570D" w:rsidRDefault="0097254E">
            <w:pPr>
              <w:ind w:firstLineChars="100" w:firstLine="140"/>
              <w:jc w:val="right"/>
              <w:rPr>
                <w:rFonts w:ascii="CAIXA Std Book" w:eastAsia="Times New Roman" w:hAnsi="CAIXA Std Book" w:cs="Arial"/>
                <w:color w:val="005CA9"/>
                <w:sz w:val="14"/>
                <w:szCs w:val="14"/>
              </w:rPr>
            </w:pPr>
            <w:r w:rsidRPr="0028570D">
              <w:rPr>
                <w:rFonts w:ascii="CAIXA Std Book" w:hAnsi="CAIXA Std Book" w:cs="Calibri"/>
                <w:b/>
                <w:color w:val="005CA9"/>
                <w:sz w:val="14"/>
                <w:szCs w:val="14"/>
              </w:rPr>
              <w:t>(32.109)</w:t>
            </w:r>
          </w:p>
        </w:tc>
        <w:tc>
          <w:tcPr>
            <w:tcW w:w="412" w:type="pct"/>
            <w:tcBorders>
              <w:top w:val="nil"/>
              <w:left w:val="nil"/>
              <w:bottom w:val="nil"/>
              <w:right w:val="nil"/>
            </w:tcBorders>
            <w:shd w:val="clear" w:color="auto" w:fill="D0DFE3"/>
            <w:vAlign w:val="center"/>
          </w:tcPr>
          <w:p w14:paraId="2FF3DB0F" w14:textId="77777777" w:rsidR="0097254E" w:rsidRPr="0028570D" w:rsidRDefault="0097254E">
            <w:pPr>
              <w:ind w:firstLineChars="100" w:firstLine="140"/>
              <w:jc w:val="right"/>
              <w:rPr>
                <w:rFonts w:ascii="CAIXA Std Book" w:eastAsia="Times New Roman" w:hAnsi="CAIXA Std Book" w:cs="Arial"/>
                <w:color w:val="005CA9"/>
                <w:sz w:val="14"/>
                <w:szCs w:val="14"/>
              </w:rPr>
            </w:pPr>
            <w:r w:rsidRPr="0028570D">
              <w:rPr>
                <w:rFonts w:ascii="CAIXA Std Book" w:hAnsi="CAIXA Std Book" w:cs="Calibri"/>
                <w:b/>
                <w:color w:val="005CA9"/>
                <w:sz w:val="14"/>
                <w:szCs w:val="14"/>
              </w:rPr>
              <w:t>(26.252)</w:t>
            </w:r>
          </w:p>
        </w:tc>
        <w:tc>
          <w:tcPr>
            <w:tcW w:w="412" w:type="pct"/>
            <w:tcBorders>
              <w:top w:val="nil"/>
              <w:left w:val="nil"/>
              <w:bottom w:val="nil"/>
              <w:right w:val="nil"/>
            </w:tcBorders>
            <w:shd w:val="clear" w:color="auto" w:fill="D0DFE3"/>
            <w:vAlign w:val="center"/>
          </w:tcPr>
          <w:p w14:paraId="3927A751" w14:textId="77777777" w:rsidR="0097254E" w:rsidRPr="0028570D" w:rsidRDefault="0097254E">
            <w:pPr>
              <w:jc w:val="right"/>
              <w:rPr>
                <w:rFonts w:ascii="CAIXA Std Book" w:eastAsia="Times New Roman" w:hAnsi="CAIXA Std Book" w:cs="Arial"/>
                <w:color w:val="005CA9"/>
                <w:sz w:val="14"/>
                <w:szCs w:val="14"/>
              </w:rPr>
            </w:pPr>
            <w:r w:rsidRPr="0028570D">
              <w:rPr>
                <w:rFonts w:ascii="CAIXA Std Book" w:hAnsi="CAIXA Std Book" w:cs="Calibri"/>
                <w:b/>
                <w:color w:val="005CA9"/>
                <w:sz w:val="14"/>
                <w:szCs w:val="14"/>
              </w:rPr>
              <w:t>(170.365)</w:t>
            </w:r>
          </w:p>
        </w:tc>
        <w:tc>
          <w:tcPr>
            <w:tcW w:w="414" w:type="pct"/>
            <w:tcBorders>
              <w:top w:val="nil"/>
              <w:left w:val="nil"/>
              <w:bottom w:val="nil"/>
              <w:right w:val="nil"/>
            </w:tcBorders>
            <w:shd w:val="clear" w:color="auto" w:fill="D0DFE3"/>
            <w:noWrap/>
            <w:vAlign w:val="center"/>
          </w:tcPr>
          <w:p w14:paraId="414A923C" w14:textId="77777777" w:rsidR="0097254E" w:rsidRPr="0028570D" w:rsidRDefault="0097254E">
            <w:pPr>
              <w:ind w:firstLineChars="100" w:firstLine="140"/>
              <w:jc w:val="right"/>
              <w:rPr>
                <w:rFonts w:ascii="CAIXA Std Book" w:eastAsia="Times New Roman" w:hAnsi="CAIXA Std Book" w:cs="Arial"/>
                <w:color w:val="005CA9"/>
                <w:sz w:val="14"/>
                <w:szCs w:val="14"/>
              </w:rPr>
            </w:pPr>
            <w:r w:rsidRPr="0028570D">
              <w:rPr>
                <w:rFonts w:ascii="CAIXA Std Book" w:hAnsi="CAIXA Std Book" w:cs="Calibri"/>
                <w:b/>
                <w:color w:val="005CA9"/>
                <w:sz w:val="14"/>
                <w:szCs w:val="14"/>
              </w:rPr>
              <w:t>(11.056.656)</w:t>
            </w:r>
          </w:p>
        </w:tc>
      </w:tr>
      <w:tr w:rsidR="0097254E" w:rsidRPr="00E641A8" w14:paraId="651F3499" w14:textId="77777777" w:rsidTr="009322CB">
        <w:trPr>
          <w:trHeight w:val="283"/>
          <w:jc w:val="center"/>
        </w:trPr>
        <w:tc>
          <w:tcPr>
            <w:tcW w:w="876" w:type="pct"/>
            <w:tcBorders>
              <w:top w:val="nil"/>
              <w:left w:val="nil"/>
              <w:right w:val="nil"/>
            </w:tcBorders>
            <w:noWrap/>
            <w:vAlign w:val="center"/>
          </w:tcPr>
          <w:p w14:paraId="718B4268" w14:textId="77777777" w:rsidR="0097254E" w:rsidRPr="0028570D" w:rsidRDefault="0097254E">
            <w:pPr>
              <w:rPr>
                <w:rFonts w:ascii="CAIXA Std Book" w:eastAsia="Times New Roman" w:hAnsi="CAIXA Std Book" w:cs="Arial"/>
                <w:color w:val="005CA9"/>
                <w:sz w:val="14"/>
                <w:szCs w:val="14"/>
              </w:rPr>
            </w:pPr>
            <w:r w:rsidRPr="0028570D">
              <w:rPr>
                <w:rFonts w:ascii="CAIXA Std Book" w:eastAsia="Times New Roman" w:hAnsi="CAIXA Std Book" w:cs="Arial"/>
                <w:color w:val="005CA9"/>
                <w:sz w:val="14"/>
                <w:szCs w:val="14"/>
              </w:rPr>
              <w:t>Despesas operacionais</w:t>
            </w:r>
          </w:p>
        </w:tc>
        <w:tc>
          <w:tcPr>
            <w:tcW w:w="438" w:type="pct"/>
            <w:tcBorders>
              <w:top w:val="nil"/>
              <w:left w:val="nil"/>
              <w:right w:val="nil"/>
            </w:tcBorders>
            <w:noWrap/>
            <w:vAlign w:val="center"/>
          </w:tcPr>
          <w:p w14:paraId="067F8952" w14:textId="245CEE82" w:rsidR="0097254E" w:rsidRPr="0028570D" w:rsidRDefault="0003256B" w:rsidP="0003256B">
            <w:pPr>
              <w:ind w:firstLineChars="100" w:firstLine="140"/>
              <w:jc w:val="right"/>
              <w:rPr>
                <w:rFonts w:ascii="CAIXA Std Book" w:hAnsi="CAIXA Std Book" w:cs="Arial"/>
                <w:color w:val="005CA9"/>
                <w:sz w:val="14"/>
                <w:szCs w:val="14"/>
              </w:rPr>
            </w:pPr>
            <w:r w:rsidRPr="0028570D">
              <w:rPr>
                <w:rFonts w:ascii="CAIXA Std Book" w:hAnsi="CAIXA Std Book" w:cs="Arial"/>
                <w:color w:val="005CA9"/>
                <w:sz w:val="14"/>
                <w:szCs w:val="14"/>
              </w:rPr>
              <w:t>(1.390.</w:t>
            </w:r>
            <w:r w:rsidR="0028570D" w:rsidRPr="0028570D">
              <w:rPr>
                <w:rFonts w:ascii="CAIXA Std Book" w:hAnsi="CAIXA Std Book" w:cs="Arial"/>
                <w:color w:val="005CA9"/>
                <w:sz w:val="14"/>
                <w:szCs w:val="14"/>
              </w:rPr>
              <w:t>029</w:t>
            </w:r>
            <w:r w:rsidRPr="0028570D">
              <w:rPr>
                <w:rFonts w:ascii="CAIXA Std Book" w:hAnsi="CAIXA Std Book" w:cs="Arial"/>
                <w:color w:val="005CA9"/>
                <w:sz w:val="14"/>
                <w:szCs w:val="14"/>
              </w:rPr>
              <w:t>)</w:t>
            </w:r>
          </w:p>
        </w:tc>
        <w:tc>
          <w:tcPr>
            <w:tcW w:w="386" w:type="pct"/>
            <w:vAlign w:val="center"/>
          </w:tcPr>
          <w:p w14:paraId="65C3B3E0" w14:textId="7C19485B" w:rsidR="0097254E" w:rsidRPr="0028570D" w:rsidRDefault="0028570D">
            <w:pPr>
              <w:jc w:val="center"/>
              <w:rPr>
                <w:rFonts w:ascii="CAIXA Std Book" w:hAnsi="CAIXA Std Book" w:cs="Arial"/>
                <w:color w:val="005CA9"/>
                <w:sz w:val="14"/>
                <w:szCs w:val="14"/>
              </w:rPr>
            </w:pPr>
            <w:r w:rsidRPr="0028570D">
              <w:rPr>
                <w:rFonts w:ascii="CAIXA Std Book" w:hAnsi="CAIXA Std Book" w:cs="Arial"/>
                <w:color w:val="005CA9"/>
                <w:sz w:val="14"/>
                <w:szCs w:val="14"/>
              </w:rPr>
              <w:t>-</w:t>
            </w:r>
          </w:p>
        </w:tc>
        <w:tc>
          <w:tcPr>
            <w:tcW w:w="412" w:type="pct"/>
            <w:tcBorders>
              <w:top w:val="nil"/>
              <w:left w:val="nil"/>
              <w:right w:val="nil"/>
            </w:tcBorders>
            <w:noWrap/>
            <w:vAlign w:val="center"/>
          </w:tcPr>
          <w:p w14:paraId="1FD89535" w14:textId="375F98E3" w:rsidR="0097254E" w:rsidRPr="0028570D" w:rsidRDefault="000473D4">
            <w:pPr>
              <w:jc w:val="right"/>
              <w:rPr>
                <w:rFonts w:ascii="CAIXA Std Book" w:hAnsi="CAIXA Std Book" w:cs="Arial"/>
                <w:color w:val="005CA9"/>
                <w:sz w:val="14"/>
                <w:szCs w:val="14"/>
              </w:rPr>
            </w:pPr>
            <w:r w:rsidRPr="0028570D">
              <w:rPr>
                <w:rFonts w:ascii="CAIXA Std Book" w:hAnsi="CAIXA Std Book" w:cs="Arial"/>
                <w:color w:val="005CA9"/>
                <w:sz w:val="14"/>
                <w:szCs w:val="14"/>
              </w:rPr>
              <w:t>(29.393)</w:t>
            </w:r>
          </w:p>
        </w:tc>
        <w:tc>
          <w:tcPr>
            <w:tcW w:w="412" w:type="pct"/>
            <w:tcBorders>
              <w:top w:val="nil"/>
              <w:left w:val="nil"/>
              <w:right w:val="nil"/>
            </w:tcBorders>
            <w:noWrap/>
            <w:vAlign w:val="center"/>
          </w:tcPr>
          <w:p w14:paraId="52E0DD42" w14:textId="643A0CF0" w:rsidR="0097254E" w:rsidRPr="0028570D" w:rsidRDefault="0028570D">
            <w:pPr>
              <w:jc w:val="center"/>
              <w:rPr>
                <w:rFonts w:ascii="CAIXA Std Book" w:hAnsi="CAIXA Std Book" w:cs="Arial"/>
                <w:color w:val="005CA9"/>
                <w:sz w:val="14"/>
                <w:szCs w:val="14"/>
              </w:rPr>
            </w:pPr>
            <w:r w:rsidRPr="0028570D">
              <w:rPr>
                <w:rFonts w:ascii="CAIXA Std Book" w:hAnsi="CAIXA Std Book" w:cs="Arial"/>
                <w:color w:val="005CA9"/>
                <w:sz w:val="14"/>
                <w:szCs w:val="14"/>
              </w:rPr>
              <w:t>-</w:t>
            </w:r>
          </w:p>
        </w:tc>
        <w:tc>
          <w:tcPr>
            <w:tcW w:w="414" w:type="pct"/>
            <w:tcBorders>
              <w:top w:val="nil"/>
              <w:left w:val="nil"/>
              <w:right w:val="nil"/>
            </w:tcBorders>
            <w:vAlign w:val="center"/>
          </w:tcPr>
          <w:p w14:paraId="17950000" w14:textId="3F7246D9" w:rsidR="0097254E" w:rsidRPr="0028570D" w:rsidRDefault="0003256B">
            <w:pPr>
              <w:jc w:val="right"/>
              <w:rPr>
                <w:rFonts w:ascii="CAIXA Std Book" w:hAnsi="CAIXA Std Book" w:cs="Arial"/>
                <w:color w:val="005CA9"/>
                <w:sz w:val="14"/>
                <w:szCs w:val="14"/>
              </w:rPr>
            </w:pPr>
            <w:r w:rsidRPr="0028570D">
              <w:rPr>
                <w:rFonts w:ascii="CAIXA Std Book" w:hAnsi="CAIXA Std Book" w:cs="Arial"/>
                <w:color w:val="005CA9"/>
                <w:sz w:val="14"/>
                <w:szCs w:val="14"/>
              </w:rPr>
              <w:t>(1.252.</w:t>
            </w:r>
            <w:r w:rsidR="0028570D" w:rsidRPr="0028570D">
              <w:rPr>
                <w:rFonts w:ascii="CAIXA Std Book" w:hAnsi="CAIXA Std Book" w:cs="Arial"/>
                <w:color w:val="005CA9"/>
                <w:sz w:val="14"/>
                <w:szCs w:val="14"/>
              </w:rPr>
              <w:t>792</w:t>
            </w:r>
            <w:r w:rsidRPr="0028570D">
              <w:rPr>
                <w:rFonts w:ascii="CAIXA Std Book" w:hAnsi="CAIXA Std Book" w:cs="Arial"/>
                <w:color w:val="005CA9"/>
                <w:sz w:val="14"/>
                <w:szCs w:val="14"/>
              </w:rPr>
              <w:t>)</w:t>
            </w:r>
          </w:p>
        </w:tc>
        <w:tc>
          <w:tcPr>
            <w:tcW w:w="412" w:type="pct"/>
            <w:tcBorders>
              <w:top w:val="nil"/>
              <w:left w:val="nil"/>
              <w:right w:val="nil"/>
            </w:tcBorders>
            <w:vAlign w:val="center"/>
          </w:tcPr>
          <w:p w14:paraId="4A2DBD5E" w14:textId="77777777" w:rsidR="0097254E" w:rsidRPr="0028570D" w:rsidRDefault="0097254E">
            <w:pPr>
              <w:jc w:val="right"/>
              <w:rPr>
                <w:rFonts w:ascii="CAIXA Std Book" w:eastAsia="Times New Roman" w:hAnsi="CAIXA Std Book" w:cs="Arial"/>
                <w:color w:val="005CA9"/>
                <w:sz w:val="14"/>
                <w:szCs w:val="14"/>
              </w:rPr>
            </w:pPr>
            <w:r w:rsidRPr="0028570D">
              <w:rPr>
                <w:rFonts w:ascii="CAIXA Std Book" w:eastAsia="Times New Roman" w:hAnsi="CAIXA Std Book" w:cs="Arial"/>
                <w:color w:val="005CA9"/>
                <w:sz w:val="14"/>
                <w:szCs w:val="14"/>
              </w:rPr>
              <w:t>(1.943.560)</w:t>
            </w:r>
          </w:p>
        </w:tc>
        <w:tc>
          <w:tcPr>
            <w:tcW w:w="412" w:type="pct"/>
            <w:tcBorders>
              <w:top w:val="nil"/>
              <w:left w:val="nil"/>
              <w:right w:val="nil"/>
            </w:tcBorders>
            <w:vAlign w:val="center"/>
          </w:tcPr>
          <w:p w14:paraId="57C68FEC" w14:textId="77777777" w:rsidR="0097254E" w:rsidRPr="0028570D" w:rsidRDefault="0097254E">
            <w:pPr>
              <w:ind w:firstLineChars="100" w:firstLine="140"/>
              <w:jc w:val="right"/>
              <w:rPr>
                <w:rFonts w:ascii="CAIXA Std Book" w:eastAsia="Times New Roman" w:hAnsi="CAIXA Std Book" w:cs="Arial"/>
                <w:color w:val="005CA9"/>
                <w:sz w:val="14"/>
                <w:szCs w:val="14"/>
              </w:rPr>
            </w:pPr>
            <w:r w:rsidRPr="0028570D">
              <w:rPr>
                <w:rFonts w:ascii="CAIXA Std Book" w:eastAsia="Times New Roman" w:hAnsi="CAIXA Std Book" w:cs="Arial"/>
                <w:color w:val="005CA9"/>
                <w:sz w:val="14"/>
                <w:szCs w:val="14"/>
              </w:rPr>
              <w:t>(32.109)</w:t>
            </w:r>
          </w:p>
        </w:tc>
        <w:tc>
          <w:tcPr>
            <w:tcW w:w="412" w:type="pct"/>
            <w:tcBorders>
              <w:top w:val="nil"/>
              <w:left w:val="nil"/>
              <w:right w:val="nil"/>
            </w:tcBorders>
            <w:vAlign w:val="center"/>
          </w:tcPr>
          <w:p w14:paraId="778C233A" w14:textId="77777777" w:rsidR="0097254E" w:rsidRPr="0028570D" w:rsidRDefault="0097254E">
            <w:pPr>
              <w:ind w:firstLineChars="100" w:firstLine="140"/>
              <w:jc w:val="right"/>
              <w:rPr>
                <w:rFonts w:ascii="CAIXA Std Book" w:eastAsia="Times New Roman" w:hAnsi="CAIXA Std Book" w:cs="Arial"/>
                <w:color w:val="005CA9"/>
                <w:sz w:val="14"/>
                <w:szCs w:val="14"/>
              </w:rPr>
            </w:pPr>
            <w:r w:rsidRPr="0028570D">
              <w:rPr>
                <w:rFonts w:ascii="CAIXA Std Book" w:eastAsia="Times New Roman" w:hAnsi="CAIXA Std Book" w:cs="Arial"/>
                <w:color w:val="005CA9"/>
                <w:sz w:val="14"/>
                <w:szCs w:val="14"/>
              </w:rPr>
              <w:t>(3.492)</w:t>
            </w:r>
          </w:p>
        </w:tc>
        <w:tc>
          <w:tcPr>
            <w:tcW w:w="412" w:type="pct"/>
            <w:tcBorders>
              <w:top w:val="nil"/>
              <w:left w:val="nil"/>
              <w:right w:val="nil"/>
            </w:tcBorders>
            <w:vAlign w:val="center"/>
          </w:tcPr>
          <w:p w14:paraId="563067BF" w14:textId="77777777" w:rsidR="0097254E" w:rsidRPr="0028570D" w:rsidRDefault="0097254E">
            <w:pPr>
              <w:jc w:val="right"/>
              <w:rPr>
                <w:rFonts w:ascii="CAIXA Std Book" w:eastAsia="Times New Roman" w:hAnsi="CAIXA Std Book" w:cs="Arial"/>
                <w:color w:val="005CA9"/>
                <w:sz w:val="14"/>
                <w:szCs w:val="14"/>
              </w:rPr>
            </w:pPr>
            <w:r w:rsidRPr="0028570D">
              <w:rPr>
                <w:rFonts w:ascii="CAIXA Std Book" w:eastAsia="Times New Roman" w:hAnsi="CAIXA Std Book" w:cs="Arial"/>
                <w:color w:val="005CA9"/>
                <w:sz w:val="14"/>
                <w:szCs w:val="14"/>
              </w:rPr>
              <w:t>(153.286)</w:t>
            </w:r>
          </w:p>
        </w:tc>
        <w:tc>
          <w:tcPr>
            <w:tcW w:w="414" w:type="pct"/>
            <w:tcBorders>
              <w:top w:val="nil"/>
              <w:left w:val="nil"/>
              <w:right w:val="nil"/>
            </w:tcBorders>
            <w:noWrap/>
            <w:vAlign w:val="center"/>
          </w:tcPr>
          <w:p w14:paraId="1A08F802" w14:textId="77777777" w:rsidR="0097254E" w:rsidRPr="0028570D" w:rsidRDefault="0097254E">
            <w:pPr>
              <w:ind w:firstLineChars="100" w:firstLine="140"/>
              <w:jc w:val="right"/>
              <w:rPr>
                <w:rFonts w:ascii="CAIXA Std Book" w:eastAsia="Times New Roman" w:hAnsi="CAIXA Std Book" w:cs="Arial"/>
                <w:color w:val="005CA9"/>
                <w:sz w:val="14"/>
                <w:szCs w:val="14"/>
              </w:rPr>
            </w:pPr>
            <w:r w:rsidRPr="0028570D">
              <w:rPr>
                <w:rFonts w:ascii="CAIXA Std Book" w:eastAsia="Times New Roman" w:hAnsi="CAIXA Std Book" w:cs="Arial"/>
                <w:color w:val="005CA9"/>
                <w:sz w:val="14"/>
                <w:szCs w:val="14"/>
              </w:rPr>
              <w:t>(334.684)</w:t>
            </w:r>
          </w:p>
        </w:tc>
      </w:tr>
      <w:tr w:rsidR="0097254E" w:rsidRPr="00E641A8" w14:paraId="7315E265" w14:textId="77777777" w:rsidTr="009322CB">
        <w:trPr>
          <w:trHeight w:val="283"/>
          <w:jc w:val="center"/>
        </w:trPr>
        <w:tc>
          <w:tcPr>
            <w:tcW w:w="876" w:type="pct"/>
            <w:tcBorders>
              <w:top w:val="nil"/>
              <w:left w:val="nil"/>
              <w:bottom w:val="single" w:sz="4" w:space="0" w:color="1F497D" w:themeColor="text2"/>
              <w:right w:val="nil"/>
            </w:tcBorders>
            <w:noWrap/>
            <w:vAlign w:val="center"/>
          </w:tcPr>
          <w:p w14:paraId="7931C38B" w14:textId="77777777" w:rsidR="0097254E" w:rsidRPr="0028570D" w:rsidRDefault="0097254E">
            <w:pPr>
              <w:rPr>
                <w:rFonts w:ascii="CAIXA Std Book" w:eastAsia="Times New Roman" w:hAnsi="CAIXA Std Book" w:cs="Arial"/>
                <w:color w:val="005CA9"/>
                <w:sz w:val="14"/>
                <w:szCs w:val="14"/>
              </w:rPr>
            </w:pPr>
            <w:r w:rsidRPr="0028570D">
              <w:rPr>
                <w:rFonts w:ascii="CAIXA Std Book" w:eastAsia="Times New Roman" w:hAnsi="CAIXA Std Book" w:cs="Arial"/>
                <w:color w:val="005CA9"/>
                <w:sz w:val="14"/>
                <w:szCs w:val="14"/>
              </w:rPr>
              <w:t>Outras despesas operacionais</w:t>
            </w:r>
          </w:p>
        </w:tc>
        <w:tc>
          <w:tcPr>
            <w:tcW w:w="438" w:type="pct"/>
            <w:tcBorders>
              <w:top w:val="nil"/>
              <w:left w:val="nil"/>
              <w:bottom w:val="single" w:sz="4" w:space="0" w:color="1F497D" w:themeColor="text2"/>
              <w:right w:val="nil"/>
            </w:tcBorders>
            <w:noWrap/>
            <w:vAlign w:val="center"/>
          </w:tcPr>
          <w:p w14:paraId="0527B644" w14:textId="1DE8C093" w:rsidR="0097254E" w:rsidRPr="0028570D" w:rsidRDefault="000473D4" w:rsidP="000473D4">
            <w:pPr>
              <w:ind w:firstLineChars="100" w:firstLine="140"/>
              <w:jc w:val="right"/>
              <w:rPr>
                <w:rFonts w:ascii="CAIXA Std Book" w:hAnsi="CAIXA Std Book" w:cs="Arial"/>
                <w:color w:val="005CA9"/>
                <w:sz w:val="14"/>
                <w:szCs w:val="14"/>
              </w:rPr>
            </w:pPr>
            <w:r w:rsidRPr="0028570D">
              <w:rPr>
                <w:rFonts w:ascii="CAIXA Std Book" w:hAnsi="CAIXA Std Book" w:cs="Arial"/>
                <w:color w:val="005CA9"/>
                <w:sz w:val="14"/>
                <w:szCs w:val="14"/>
              </w:rPr>
              <w:t>(1.350.</w:t>
            </w:r>
            <w:r w:rsidR="0028570D" w:rsidRPr="0028570D">
              <w:rPr>
                <w:rFonts w:ascii="CAIXA Std Book" w:hAnsi="CAIXA Std Book" w:cs="Arial"/>
                <w:color w:val="005CA9"/>
                <w:sz w:val="14"/>
                <w:szCs w:val="14"/>
              </w:rPr>
              <w:t>003</w:t>
            </w:r>
            <w:r w:rsidRPr="0028570D">
              <w:rPr>
                <w:rFonts w:ascii="CAIXA Std Book" w:hAnsi="CAIXA Std Book" w:cs="Arial"/>
                <w:color w:val="005CA9"/>
                <w:sz w:val="14"/>
                <w:szCs w:val="14"/>
              </w:rPr>
              <w:t>)</w:t>
            </w:r>
          </w:p>
        </w:tc>
        <w:tc>
          <w:tcPr>
            <w:tcW w:w="386" w:type="pct"/>
            <w:tcBorders>
              <w:bottom w:val="single" w:sz="4" w:space="0" w:color="1F497D" w:themeColor="text2"/>
            </w:tcBorders>
            <w:vAlign w:val="center"/>
          </w:tcPr>
          <w:p w14:paraId="5F881176" w14:textId="31A1877F" w:rsidR="0097254E" w:rsidRPr="0028570D" w:rsidRDefault="0028570D" w:rsidP="004150B3">
            <w:pPr>
              <w:jc w:val="center"/>
              <w:rPr>
                <w:rFonts w:ascii="CAIXA Std Book" w:hAnsi="CAIXA Std Book" w:cs="Arial"/>
                <w:color w:val="005CA9"/>
                <w:sz w:val="14"/>
                <w:szCs w:val="14"/>
              </w:rPr>
            </w:pPr>
            <w:r w:rsidRPr="0028570D">
              <w:rPr>
                <w:rFonts w:ascii="CAIXA Std Book" w:hAnsi="CAIXA Std Book" w:cs="Arial"/>
                <w:color w:val="005CA9"/>
                <w:sz w:val="14"/>
                <w:szCs w:val="14"/>
              </w:rPr>
              <w:t>-</w:t>
            </w:r>
          </w:p>
        </w:tc>
        <w:tc>
          <w:tcPr>
            <w:tcW w:w="412" w:type="pct"/>
            <w:tcBorders>
              <w:top w:val="nil"/>
              <w:left w:val="nil"/>
              <w:bottom w:val="single" w:sz="4" w:space="0" w:color="1F497D" w:themeColor="text2"/>
              <w:right w:val="nil"/>
            </w:tcBorders>
            <w:noWrap/>
            <w:vAlign w:val="center"/>
          </w:tcPr>
          <w:p w14:paraId="0212D601" w14:textId="1F7AA939" w:rsidR="0097254E" w:rsidRPr="0028570D" w:rsidRDefault="000473D4">
            <w:pPr>
              <w:jc w:val="right"/>
              <w:rPr>
                <w:rFonts w:ascii="CAIXA Std Book" w:hAnsi="CAIXA Std Book" w:cs="Arial"/>
                <w:color w:val="005CA9"/>
                <w:sz w:val="14"/>
                <w:szCs w:val="14"/>
              </w:rPr>
            </w:pPr>
            <w:r w:rsidRPr="0028570D">
              <w:rPr>
                <w:rFonts w:ascii="CAIXA Std Book" w:hAnsi="CAIXA Std Book" w:cs="Arial"/>
                <w:color w:val="005CA9"/>
                <w:sz w:val="14"/>
                <w:szCs w:val="14"/>
              </w:rPr>
              <w:t>(256.936)</w:t>
            </w:r>
          </w:p>
        </w:tc>
        <w:tc>
          <w:tcPr>
            <w:tcW w:w="412" w:type="pct"/>
            <w:tcBorders>
              <w:top w:val="nil"/>
              <w:left w:val="nil"/>
              <w:bottom w:val="single" w:sz="4" w:space="0" w:color="1F497D" w:themeColor="text2"/>
              <w:right w:val="nil"/>
            </w:tcBorders>
            <w:noWrap/>
            <w:vAlign w:val="center"/>
          </w:tcPr>
          <w:p w14:paraId="27A89AB0" w14:textId="78ED32E5" w:rsidR="0097254E" w:rsidRPr="0028570D" w:rsidRDefault="000473D4">
            <w:pPr>
              <w:jc w:val="right"/>
              <w:rPr>
                <w:rFonts w:ascii="CAIXA Std Book" w:hAnsi="CAIXA Std Book" w:cs="Arial"/>
                <w:color w:val="005CA9"/>
                <w:sz w:val="14"/>
                <w:szCs w:val="14"/>
              </w:rPr>
            </w:pPr>
            <w:r w:rsidRPr="0028570D">
              <w:rPr>
                <w:rFonts w:ascii="CAIXA Std Book" w:hAnsi="CAIXA Std Book" w:cs="Arial"/>
                <w:color w:val="005CA9"/>
                <w:sz w:val="14"/>
                <w:szCs w:val="14"/>
              </w:rPr>
              <w:t>(196.449)</w:t>
            </w:r>
          </w:p>
        </w:tc>
        <w:tc>
          <w:tcPr>
            <w:tcW w:w="414" w:type="pct"/>
            <w:tcBorders>
              <w:top w:val="nil"/>
              <w:left w:val="nil"/>
              <w:bottom w:val="single" w:sz="4" w:space="0" w:color="1F497D" w:themeColor="text2"/>
              <w:right w:val="nil"/>
            </w:tcBorders>
            <w:vAlign w:val="center"/>
          </w:tcPr>
          <w:p w14:paraId="0A431FDE" w14:textId="5DC3B718" w:rsidR="0097254E" w:rsidRPr="0028570D" w:rsidRDefault="0003256B">
            <w:pPr>
              <w:jc w:val="right"/>
              <w:rPr>
                <w:rFonts w:ascii="CAIXA Std Book" w:hAnsi="CAIXA Std Book" w:cs="Arial"/>
                <w:color w:val="005CA9"/>
                <w:sz w:val="14"/>
                <w:szCs w:val="14"/>
              </w:rPr>
            </w:pPr>
            <w:r w:rsidRPr="0028570D">
              <w:rPr>
                <w:rFonts w:ascii="CAIXA Std Book" w:hAnsi="CAIXA Std Book" w:cs="Arial"/>
                <w:color w:val="005CA9"/>
                <w:sz w:val="14"/>
                <w:szCs w:val="14"/>
              </w:rPr>
              <w:t>(1.385.450)</w:t>
            </w:r>
          </w:p>
        </w:tc>
        <w:tc>
          <w:tcPr>
            <w:tcW w:w="412" w:type="pct"/>
            <w:tcBorders>
              <w:top w:val="nil"/>
              <w:left w:val="nil"/>
              <w:bottom w:val="single" w:sz="4" w:space="0" w:color="1F497D" w:themeColor="text2"/>
              <w:right w:val="nil"/>
            </w:tcBorders>
            <w:vAlign w:val="center"/>
          </w:tcPr>
          <w:p w14:paraId="4C2A4E88" w14:textId="77777777" w:rsidR="0097254E" w:rsidRPr="0028570D" w:rsidRDefault="0097254E">
            <w:pPr>
              <w:jc w:val="right"/>
              <w:rPr>
                <w:rFonts w:ascii="CAIXA Std Book" w:eastAsia="Times New Roman" w:hAnsi="CAIXA Std Book" w:cs="Arial"/>
                <w:color w:val="005CA9"/>
                <w:sz w:val="14"/>
                <w:szCs w:val="14"/>
              </w:rPr>
            </w:pPr>
            <w:r w:rsidRPr="0028570D">
              <w:rPr>
                <w:rFonts w:ascii="CAIXA Std Book" w:eastAsia="Times New Roman" w:hAnsi="CAIXA Std Book" w:cs="Arial"/>
                <w:color w:val="005CA9"/>
                <w:sz w:val="14"/>
                <w:szCs w:val="14"/>
              </w:rPr>
              <w:t>(678.613)</w:t>
            </w:r>
          </w:p>
        </w:tc>
        <w:tc>
          <w:tcPr>
            <w:tcW w:w="412" w:type="pct"/>
            <w:tcBorders>
              <w:top w:val="nil"/>
              <w:left w:val="nil"/>
              <w:bottom w:val="single" w:sz="4" w:space="0" w:color="1F497D" w:themeColor="text2"/>
              <w:right w:val="nil"/>
            </w:tcBorders>
            <w:vAlign w:val="center"/>
          </w:tcPr>
          <w:p w14:paraId="0E138ACE" w14:textId="77777777" w:rsidR="0097254E" w:rsidRPr="0028570D" w:rsidRDefault="0097254E">
            <w:pPr>
              <w:ind w:firstLineChars="100" w:firstLine="140"/>
              <w:jc w:val="center"/>
              <w:rPr>
                <w:rFonts w:ascii="CAIXA Std Book" w:eastAsia="Times New Roman" w:hAnsi="CAIXA Std Book" w:cs="Arial"/>
                <w:color w:val="005CA9"/>
                <w:sz w:val="14"/>
                <w:szCs w:val="14"/>
              </w:rPr>
            </w:pPr>
            <w:r w:rsidRPr="0028570D">
              <w:rPr>
                <w:rFonts w:ascii="CAIXA Std Book" w:eastAsia="Times New Roman" w:hAnsi="CAIXA Std Book" w:cs="Arial"/>
                <w:color w:val="005CA9"/>
                <w:sz w:val="14"/>
                <w:szCs w:val="14"/>
              </w:rPr>
              <w:t>-</w:t>
            </w:r>
          </w:p>
        </w:tc>
        <w:tc>
          <w:tcPr>
            <w:tcW w:w="412" w:type="pct"/>
            <w:tcBorders>
              <w:top w:val="nil"/>
              <w:left w:val="nil"/>
              <w:bottom w:val="single" w:sz="4" w:space="0" w:color="1F497D" w:themeColor="text2"/>
              <w:right w:val="nil"/>
            </w:tcBorders>
            <w:vAlign w:val="center"/>
          </w:tcPr>
          <w:p w14:paraId="1EC0BAAF" w14:textId="77777777" w:rsidR="0097254E" w:rsidRPr="0028570D" w:rsidRDefault="0097254E">
            <w:pPr>
              <w:ind w:firstLineChars="100" w:firstLine="140"/>
              <w:jc w:val="right"/>
              <w:rPr>
                <w:rFonts w:ascii="CAIXA Std Book" w:eastAsia="Times New Roman" w:hAnsi="CAIXA Std Book" w:cs="Arial"/>
                <w:color w:val="005CA9"/>
                <w:sz w:val="14"/>
                <w:szCs w:val="14"/>
              </w:rPr>
            </w:pPr>
            <w:r w:rsidRPr="0028570D">
              <w:rPr>
                <w:rFonts w:ascii="CAIXA Std Book" w:eastAsia="Times New Roman" w:hAnsi="CAIXA Std Book" w:cs="Arial"/>
                <w:color w:val="005CA9"/>
                <w:sz w:val="14"/>
                <w:szCs w:val="14"/>
              </w:rPr>
              <w:t>(22.760)</w:t>
            </w:r>
          </w:p>
        </w:tc>
        <w:tc>
          <w:tcPr>
            <w:tcW w:w="412" w:type="pct"/>
            <w:tcBorders>
              <w:top w:val="nil"/>
              <w:left w:val="nil"/>
              <w:bottom w:val="single" w:sz="4" w:space="0" w:color="1F497D" w:themeColor="text2"/>
              <w:right w:val="nil"/>
            </w:tcBorders>
            <w:vAlign w:val="center"/>
          </w:tcPr>
          <w:p w14:paraId="62C687BD" w14:textId="77777777" w:rsidR="0097254E" w:rsidRPr="0028570D" w:rsidRDefault="0097254E">
            <w:pPr>
              <w:jc w:val="right"/>
              <w:rPr>
                <w:rFonts w:ascii="CAIXA Std Book" w:eastAsia="Times New Roman" w:hAnsi="CAIXA Std Book" w:cs="Arial"/>
                <w:color w:val="005CA9"/>
                <w:sz w:val="14"/>
                <w:szCs w:val="14"/>
              </w:rPr>
            </w:pPr>
            <w:r w:rsidRPr="0028570D">
              <w:rPr>
                <w:rFonts w:ascii="CAIXA Std Book" w:eastAsia="Times New Roman" w:hAnsi="CAIXA Std Book" w:cs="Arial"/>
                <w:color w:val="005CA9"/>
                <w:sz w:val="14"/>
                <w:szCs w:val="14"/>
              </w:rPr>
              <w:t>(17.079)</w:t>
            </w:r>
          </w:p>
        </w:tc>
        <w:tc>
          <w:tcPr>
            <w:tcW w:w="414" w:type="pct"/>
            <w:tcBorders>
              <w:top w:val="nil"/>
              <w:left w:val="nil"/>
              <w:bottom w:val="single" w:sz="4" w:space="0" w:color="1F497D" w:themeColor="text2"/>
              <w:right w:val="nil"/>
            </w:tcBorders>
            <w:noWrap/>
            <w:vAlign w:val="center"/>
          </w:tcPr>
          <w:p w14:paraId="75525864" w14:textId="77777777" w:rsidR="0097254E" w:rsidRPr="0028570D" w:rsidRDefault="0097254E">
            <w:pPr>
              <w:ind w:firstLineChars="100" w:firstLine="140"/>
              <w:jc w:val="right"/>
              <w:rPr>
                <w:rFonts w:ascii="CAIXA Std Book" w:eastAsia="Times New Roman" w:hAnsi="CAIXA Std Book" w:cs="Arial"/>
                <w:color w:val="005CA9"/>
                <w:sz w:val="14"/>
                <w:szCs w:val="14"/>
              </w:rPr>
            </w:pPr>
            <w:r w:rsidRPr="0028570D">
              <w:rPr>
                <w:rFonts w:ascii="CAIXA Std Book" w:eastAsia="Times New Roman" w:hAnsi="CAIXA Std Book" w:cs="Arial"/>
                <w:color w:val="005CA9"/>
                <w:sz w:val="14"/>
                <w:szCs w:val="14"/>
              </w:rPr>
              <w:t>(10.721.</w:t>
            </w:r>
            <w:r w:rsidRPr="0028570D">
              <w:rPr>
                <w:rFonts w:ascii="CAIXA Std Book" w:hAnsi="CAIXA Std Book" w:cs="Calibri"/>
                <w:color w:val="005CA9"/>
                <w:sz w:val="14"/>
                <w:szCs w:val="14"/>
              </w:rPr>
              <w:t>972</w:t>
            </w:r>
            <w:r w:rsidRPr="0028570D">
              <w:rPr>
                <w:rFonts w:ascii="CAIXA Std Book" w:eastAsia="Times New Roman" w:hAnsi="CAIXA Std Book" w:cs="Arial"/>
                <w:color w:val="005CA9"/>
                <w:sz w:val="14"/>
                <w:szCs w:val="14"/>
              </w:rPr>
              <w:t>)</w:t>
            </w:r>
          </w:p>
        </w:tc>
      </w:tr>
    </w:tbl>
    <w:p w14:paraId="6536766B" w14:textId="77777777" w:rsidR="008374B9" w:rsidRPr="00D16B7B" w:rsidRDefault="008374B9" w:rsidP="00D16B7B">
      <w:pPr>
        <w:spacing w:before="120" w:after="120"/>
        <w:jc w:val="both"/>
        <w:rPr>
          <w:rFonts w:ascii="CAIXA Std Book" w:hAnsi="CAIXA Std Book"/>
          <w:b/>
          <w:color w:val="005CA9"/>
          <w:sz w:val="20"/>
          <w:szCs w:val="20"/>
        </w:rPr>
      </w:pPr>
    </w:p>
    <w:tbl>
      <w:tblPr>
        <w:tblW w:w="5000" w:type="pct"/>
        <w:jc w:val="center"/>
        <w:tblCellMar>
          <w:left w:w="70" w:type="dxa"/>
          <w:right w:w="70" w:type="dxa"/>
        </w:tblCellMar>
        <w:tblLook w:val="04A0" w:firstRow="1" w:lastRow="0" w:firstColumn="1" w:lastColumn="0" w:noHBand="0" w:noVBand="1"/>
      </w:tblPr>
      <w:tblGrid>
        <w:gridCol w:w="3445"/>
        <w:gridCol w:w="1390"/>
        <w:gridCol w:w="1390"/>
        <w:gridCol w:w="1390"/>
        <w:gridCol w:w="1317"/>
        <w:gridCol w:w="1463"/>
        <w:gridCol w:w="1390"/>
        <w:gridCol w:w="1390"/>
        <w:gridCol w:w="1396"/>
      </w:tblGrid>
      <w:tr w:rsidR="008374B9" w:rsidRPr="00E641A8" w14:paraId="76C7C421" w14:textId="77777777" w:rsidTr="00D16B7B">
        <w:trPr>
          <w:trHeight w:val="283"/>
          <w:jc w:val="center"/>
        </w:trPr>
        <w:tc>
          <w:tcPr>
            <w:tcW w:w="5000" w:type="pct"/>
            <w:gridSpan w:val="9"/>
            <w:tcBorders>
              <w:bottom w:val="single" w:sz="4" w:space="0" w:color="FFFFFF" w:themeColor="background1"/>
            </w:tcBorders>
            <w:shd w:val="clear" w:color="auto" w:fill="005CA9"/>
            <w:vAlign w:val="center"/>
          </w:tcPr>
          <w:p w14:paraId="7569CC19" w14:textId="77777777" w:rsidR="008374B9" w:rsidRPr="0028570D" w:rsidRDefault="008374B9">
            <w:pPr>
              <w:jc w:val="center"/>
              <w:rPr>
                <w:rFonts w:ascii="CAIXA Std Book" w:eastAsia="Times New Roman" w:hAnsi="CAIXA Std Book" w:cs="Calibri"/>
                <w:b/>
                <w:color w:val="FFFFFF"/>
                <w:sz w:val="14"/>
                <w:szCs w:val="14"/>
              </w:rPr>
            </w:pPr>
            <w:r w:rsidRPr="0028570D">
              <w:rPr>
                <w:rFonts w:ascii="CAIXA Std Book" w:eastAsia="Times New Roman" w:hAnsi="CAIXA Std Book" w:cs="Calibri"/>
                <w:b/>
                <w:color w:val="FFFFFF"/>
                <w:sz w:val="14"/>
                <w:szCs w:val="14"/>
              </w:rPr>
              <w:t>Consolidado</w:t>
            </w:r>
          </w:p>
        </w:tc>
      </w:tr>
      <w:tr w:rsidR="008374B9" w:rsidRPr="00E641A8" w14:paraId="5D13C992" w14:textId="77777777" w:rsidTr="00D16B7B">
        <w:trPr>
          <w:trHeight w:val="283"/>
          <w:jc w:val="center"/>
        </w:trPr>
        <w:tc>
          <w:tcPr>
            <w:tcW w:w="1182" w:type="pct"/>
            <w:vMerge w:val="restart"/>
            <w:tcBorders>
              <w:top w:val="single" w:sz="4" w:space="0" w:color="FFFFFF" w:themeColor="background1"/>
              <w:left w:val="nil"/>
              <w:right w:val="nil"/>
            </w:tcBorders>
            <w:shd w:val="clear" w:color="auto" w:fill="005CA9"/>
            <w:vAlign w:val="center"/>
            <w:hideMark/>
          </w:tcPr>
          <w:p w14:paraId="68BC194D" w14:textId="77777777" w:rsidR="008374B9" w:rsidRPr="0028570D" w:rsidRDefault="008374B9">
            <w:pPr>
              <w:jc w:val="center"/>
              <w:rPr>
                <w:rFonts w:ascii="CAIXA Std Book" w:eastAsia="Times New Roman" w:hAnsi="CAIXA Std Book" w:cs="Calibri"/>
                <w:b/>
                <w:color w:val="FFFFFF"/>
                <w:sz w:val="14"/>
                <w:szCs w:val="14"/>
              </w:rPr>
            </w:pPr>
            <w:r w:rsidRPr="0028570D">
              <w:rPr>
                <w:rFonts w:ascii="CAIXA Std Book" w:eastAsia="Times New Roman" w:hAnsi="CAIXA Std Book" w:cs="Calibri"/>
                <w:b/>
                <w:color w:val="FFFFFF"/>
                <w:sz w:val="14"/>
                <w:szCs w:val="14"/>
              </w:rPr>
              <w:t>Descrição</w:t>
            </w:r>
          </w:p>
        </w:tc>
        <w:tc>
          <w:tcPr>
            <w:tcW w:w="1883" w:type="pct"/>
            <w:gridSpan w:val="4"/>
            <w:tcBorders>
              <w:top w:val="single" w:sz="4" w:space="0" w:color="FFFFFF" w:themeColor="background1"/>
              <w:bottom w:val="single" w:sz="4" w:space="0" w:color="FFFFFF" w:themeColor="background1"/>
            </w:tcBorders>
            <w:shd w:val="clear" w:color="auto" w:fill="005CA9"/>
            <w:vAlign w:val="center"/>
          </w:tcPr>
          <w:p w14:paraId="13238DCB" w14:textId="77777777" w:rsidR="008374B9" w:rsidRPr="0028570D" w:rsidRDefault="008374B9">
            <w:pPr>
              <w:jc w:val="center"/>
              <w:rPr>
                <w:rFonts w:ascii="CAIXA Std Book" w:eastAsia="Times New Roman" w:hAnsi="CAIXA Std Book" w:cs="Calibri"/>
                <w:b/>
                <w:color w:val="FFFFFF"/>
                <w:sz w:val="14"/>
                <w:szCs w:val="14"/>
              </w:rPr>
            </w:pPr>
            <w:r w:rsidRPr="0028570D">
              <w:rPr>
                <w:rFonts w:ascii="CAIXA Std Book" w:eastAsia="Times New Roman" w:hAnsi="CAIXA Std Book" w:cs="Arial"/>
                <w:b/>
                <w:color w:val="FFFFFF" w:themeColor="background1"/>
                <w:sz w:val="14"/>
                <w:szCs w:val="14"/>
              </w:rPr>
              <w:t>2026</w:t>
            </w:r>
          </w:p>
        </w:tc>
        <w:tc>
          <w:tcPr>
            <w:tcW w:w="1935" w:type="pct"/>
            <w:gridSpan w:val="4"/>
            <w:tcBorders>
              <w:top w:val="single" w:sz="4" w:space="0" w:color="FFFFFF" w:themeColor="background1"/>
              <w:bottom w:val="single" w:sz="4" w:space="0" w:color="FFFFFF" w:themeColor="background1"/>
            </w:tcBorders>
            <w:shd w:val="clear" w:color="auto" w:fill="005CA9"/>
            <w:vAlign w:val="center"/>
          </w:tcPr>
          <w:p w14:paraId="56037106" w14:textId="77777777" w:rsidR="008374B9" w:rsidRPr="0028570D" w:rsidRDefault="008374B9">
            <w:pPr>
              <w:jc w:val="center"/>
              <w:rPr>
                <w:rFonts w:ascii="CAIXA Std Book" w:eastAsia="Times New Roman" w:hAnsi="CAIXA Std Book" w:cs="Calibri"/>
                <w:b/>
                <w:color w:val="FFFFFF"/>
                <w:sz w:val="14"/>
                <w:szCs w:val="14"/>
              </w:rPr>
            </w:pPr>
            <w:r w:rsidRPr="0028570D">
              <w:rPr>
                <w:rFonts w:ascii="CAIXA Std Book" w:eastAsia="Times New Roman" w:hAnsi="CAIXA Std Book" w:cs="Calibri"/>
                <w:b/>
                <w:color w:val="FFFFFF"/>
                <w:sz w:val="14"/>
                <w:szCs w:val="14"/>
              </w:rPr>
              <w:t>2025</w:t>
            </w:r>
          </w:p>
        </w:tc>
      </w:tr>
      <w:tr w:rsidR="008374B9" w:rsidRPr="00663F75" w14:paraId="7F34FFCD" w14:textId="77777777" w:rsidTr="00D16B7B">
        <w:trPr>
          <w:trHeight w:val="283"/>
          <w:jc w:val="center"/>
        </w:trPr>
        <w:tc>
          <w:tcPr>
            <w:tcW w:w="1182" w:type="pct"/>
            <w:vMerge/>
            <w:tcBorders>
              <w:top w:val="single" w:sz="4" w:space="0" w:color="FFFFFF" w:themeColor="background1"/>
              <w:left w:val="nil"/>
              <w:right w:val="nil"/>
            </w:tcBorders>
            <w:shd w:val="clear" w:color="auto" w:fill="005CA9"/>
            <w:vAlign w:val="center"/>
          </w:tcPr>
          <w:p w14:paraId="5B28D070" w14:textId="77777777" w:rsidR="008374B9" w:rsidRPr="0028570D" w:rsidRDefault="008374B9">
            <w:pPr>
              <w:jc w:val="center"/>
              <w:rPr>
                <w:rFonts w:ascii="CAIXA Std Book" w:eastAsia="Times New Roman" w:hAnsi="CAIXA Std Book" w:cs="Calibri"/>
                <w:b/>
                <w:color w:val="FFFFFF"/>
                <w:sz w:val="14"/>
                <w:szCs w:val="14"/>
              </w:rPr>
            </w:pPr>
          </w:p>
        </w:tc>
        <w:tc>
          <w:tcPr>
            <w:tcW w:w="1883" w:type="pct"/>
            <w:gridSpan w:val="4"/>
            <w:tcBorders>
              <w:top w:val="single" w:sz="4" w:space="0" w:color="FFFFFF" w:themeColor="background1"/>
              <w:bottom w:val="single" w:sz="4" w:space="0" w:color="FFFFFF" w:themeColor="background1"/>
            </w:tcBorders>
            <w:shd w:val="clear" w:color="auto" w:fill="005CA9"/>
            <w:vAlign w:val="center"/>
          </w:tcPr>
          <w:p w14:paraId="47D12FD4" w14:textId="77777777" w:rsidR="008374B9" w:rsidRPr="0028570D" w:rsidRDefault="008374B9">
            <w:pPr>
              <w:jc w:val="center"/>
              <w:rPr>
                <w:rFonts w:ascii="CAIXA Std Book" w:eastAsia="Times New Roman" w:hAnsi="CAIXA Std Book" w:cs="Arial"/>
                <w:b/>
                <w:color w:val="FFFFFF" w:themeColor="background1"/>
                <w:sz w:val="14"/>
                <w:szCs w:val="14"/>
              </w:rPr>
            </w:pPr>
            <w:r w:rsidRPr="0028570D">
              <w:rPr>
                <w:rFonts w:ascii="CAIXA Std Book" w:eastAsia="Times New Roman" w:hAnsi="CAIXA Std Book" w:cs="Arial"/>
                <w:b/>
                <w:color w:val="FFFFFF" w:themeColor="background1"/>
                <w:sz w:val="14"/>
                <w:szCs w:val="14"/>
              </w:rPr>
              <w:t>1º trimestre</w:t>
            </w:r>
          </w:p>
        </w:tc>
        <w:tc>
          <w:tcPr>
            <w:tcW w:w="1935" w:type="pct"/>
            <w:gridSpan w:val="4"/>
            <w:tcBorders>
              <w:top w:val="single" w:sz="4" w:space="0" w:color="FFFFFF" w:themeColor="background1"/>
              <w:bottom w:val="single" w:sz="4" w:space="0" w:color="FFFFFF" w:themeColor="background1"/>
            </w:tcBorders>
            <w:shd w:val="clear" w:color="auto" w:fill="005CA9"/>
            <w:vAlign w:val="center"/>
          </w:tcPr>
          <w:p w14:paraId="3F24BB5F" w14:textId="77777777" w:rsidR="008374B9" w:rsidRPr="0028570D" w:rsidRDefault="008374B9">
            <w:pPr>
              <w:jc w:val="center"/>
              <w:rPr>
                <w:rFonts w:ascii="CAIXA Std Book" w:eastAsia="Times New Roman" w:hAnsi="CAIXA Std Book" w:cs="Calibri"/>
                <w:b/>
                <w:color w:val="FFFFFF"/>
                <w:sz w:val="14"/>
                <w:szCs w:val="14"/>
              </w:rPr>
            </w:pPr>
            <w:r w:rsidRPr="0028570D">
              <w:rPr>
                <w:rFonts w:ascii="CAIXA Std Book" w:eastAsia="Times New Roman" w:hAnsi="CAIXA Std Book" w:cs="Arial"/>
                <w:b/>
                <w:color w:val="FFFFFF" w:themeColor="background1"/>
                <w:sz w:val="14"/>
                <w:szCs w:val="14"/>
              </w:rPr>
              <w:t>1º trimestre</w:t>
            </w:r>
          </w:p>
        </w:tc>
      </w:tr>
      <w:tr w:rsidR="008374B9" w:rsidRPr="00E641A8" w14:paraId="33B424A8" w14:textId="77777777" w:rsidTr="00D16B7B">
        <w:trPr>
          <w:trHeight w:val="283"/>
          <w:jc w:val="center"/>
        </w:trPr>
        <w:tc>
          <w:tcPr>
            <w:tcW w:w="1182" w:type="pct"/>
            <w:vMerge/>
            <w:tcBorders>
              <w:top w:val="nil"/>
              <w:left w:val="nil"/>
              <w:bottom w:val="nil"/>
              <w:right w:val="nil"/>
            </w:tcBorders>
            <w:shd w:val="clear" w:color="auto" w:fill="005CA9"/>
            <w:vAlign w:val="center"/>
            <w:hideMark/>
          </w:tcPr>
          <w:p w14:paraId="2F4668F0" w14:textId="77777777" w:rsidR="008374B9" w:rsidRPr="0028570D" w:rsidRDefault="008374B9">
            <w:pPr>
              <w:jc w:val="right"/>
              <w:rPr>
                <w:rFonts w:ascii="CAIXA Std Book" w:eastAsia="Times New Roman" w:hAnsi="CAIXA Std Book" w:cs="Calibri"/>
                <w:b/>
                <w:color w:val="FFFFFF"/>
                <w:sz w:val="14"/>
                <w:szCs w:val="14"/>
              </w:rPr>
            </w:pPr>
          </w:p>
        </w:tc>
        <w:tc>
          <w:tcPr>
            <w:tcW w:w="477" w:type="pct"/>
            <w:tcBorders>
              <w:top w:val="single" w:sz="4" w:space="0" w:color="FFFFFF" w:themeColor="background1"/>
              <w:left w:val="nil"/>
              <w:bottom w:val="nil"/>
            </w:tcBorders>
            <w:shd w:val="clear" w:color="auto" w:fill="005CA9"/>
            <w:vAlign w:val="center"/>
            <w:hideMark/>
          </w:tcPr>
          <w:p w14:paraId="3B3496A1" w14:textId="77777777" w:rsidR="008374B9" w:rsidRPr="0028570D" w:rsidRDefault="008374B9">
            <w:pPr>
              <w:jc w:val="center"/>
              <w:rPr>
                <w:rFonts w:ascii="CAIXA Std Book" w:eastAsia="Times New Roman" w:hAnsi="CAIXA Std Book" w:cs="Calibri"/>
                <w:b/>
                <w:color w:val="FFFFFF"/>
                <w:sz w:val="14"/>
                <w:szCs w:val="14"/>
              </w:rPr>
            </w:pPr>
            <w:r w:rsidRPr="0028570D">
              <w:rPr>
                <w:rFonts w:ascii="CAIXA Std Book" w:eastAsia="Times New Roman" w:hAnsi="CAIXA Std Book" w:cs="Arial"/>
                <w:b/>
                <w:color w:val="FFFFFF" w:themeColor="background1"/>
                <w:sz w:val="14"/>
                <w:szCs w:val="14"/>
              </w:rPr>
              <w:t>Controladora</w:t>
            </w:r>
          </w:p>
        </w:tc>
        <w:tc>
          <w:tcPr>
            <w:tcW w:w="477" w:type="pct"/>
            <w:tcBorders>
              <w:top w:val="single" w:sz="4" w:space="0" w:color="FFFFFF" w:themeColor="background1"/>
              <w:left w:val="nil"/>
              <w:bottom w:val="nil"/>
              <w:right w:val="nil"/>
            </w:tcBorders>
            <w:shd w:val="clear" w:color="auto" w:fill="005CA9"/>
            <w:vAlign w:val="center"/>
            <w:hideMark/>
          </w:tcPr>
          <w:p w14:paraId="6B83775A" w14:textId="77777777" w:rsidR="008374B9" w:rsidRPr="0028570D" w:rsidRDefault="008374B9">
            <w:pPr>
              <w:jc w:val="center"/>
              <w:rPr>
                <w:rFonts w:ascii="CAIXA Std Book" w:eastAsia="Times New Roman" w:hAnsi="CAIXA Std Book" w:cs="Arial"/>
                <w:b/>
                <w:color w:val="FFFFFF" w:themeColor="background1"/>
                <w:sz w:val="14"/>
                <w:szCs w:val="14"/>
              </w:rPr>
            </w:pPr>
            <w:r w:rsidRPr="0028570D">
              <w:rPr>
                <w:rFonts w:ascii="CAIXA Std Book" w:eastAsia="Times New Roman" w:hAnsi="CAIXA Std Book" w:cs="Arial"/>
                <w:b/>
                <w:color w:val="FFFFFF" w:themeColor="background1"/>
                <w:sz w:val="14"/>
                <w:szCs w:val="14"/>
              </w:rPr>
              <w:t>Controladas</w:t>
            </w:r>
          </w:p>
          <w:p w14:paraId="2D86A1DF" w14:textId="77777777" w:rsidR="008374B9" w:rsidRPr="0028570D" w:rsidRDefault="008374B9">
            <w:pPr>
              <w:jc w:val="center"/>
              <w:rPr>
                <w:rFonts w:ascii="CAIXA Std Book" w:eastAsia="Times New Roman" w:hAnsi="CAIXA Std Book" w:cs="Calibri"/>
                <w:b/>
                <w:color w:val="FFFFFF"/>
                <w:sz w:val="14"/>
                <w:szCs w:val="14"/>
              </w:rPr>
            </w:pPr>
            <w:r w:rsidRPr="0028570D">
              <w:rPr>
                <w:rFonts w:ascii="CAIXA Std Book" w:eastAsia="Times New Roman" w:hAnsi="CAIXA Std Book" w:cs="Arial"/>
                <w:b/>
                <w:color w:val="FFFFFF" w:themeColor="background1"/>
                <w:sz w:val="14"/>
                <w:szCs w:val="14"/>
              </w:rPr>
              <w:t>em conjunto</w:t>
            </w:r>
          </w:p>
        </w:tc>
        <w:tc>
          <w:tcPr>
            <w:tcW w:w="477" w:type="pct"/>
            <w:tcBorders>
              <w:top w:val="single" w:sz="4" w:space="0" w:color="FFFFFF" w:themeColor="background1"/>
              <w:left w:val="nil"/>
              <w:bottom w:val="nil"/>
              <w:right w:val="nil"/>
            </w:tcBorders>
            <w:shd w:val="clear" w:color="auto" w:fill="005CA9"/>
            <w:vAlign w:val="center"/>
            <w:hideMark/>
          </w:tcPr>
          <w:p w14:paraId="20FCAA53" w14:textId="77777777" w:rsidR="008374B9" w:rsidRPr="0028570D" w:rsidRDefault="008374B9">
            <w:pPr>
              <w:jc w:val="center"/>
              <w:rPr>
                <w:rFonts w:ascii="CAIXA Std Book" w:eastAsia="Times New Roman" w:hAnsi="CAIXA Std Book" w:cs="Calibri"/>
                <w:b/>
                <w:color w:val="FFFFFF"/>
                <w:sz w:val="14"/>
                <w:szCs w:val="14"/>
              </w:rPr>
            </w:pPr>
            <w:r w:rsidRPr="0028570D">
              <w:rPr>
                <w:rFonts w:ascii="CAIXA Std Book" w:eastAsia="Times New Roman" w:hAnsi="CAIXA Std Book" w:cs="Arial"/>
                <w:b/>
                <w:color w:val="FFFFFF" w:themeColor="background1"/>
                <w:sz w:val="14"/>
                <w:szCs w:val="14"/>
              </w:rPr>
              <w:t>Coligada</w:t>
            </w:r>
          </w:p>
        </w:tc>
        <w:tc>
          <w:tcPr>
            <w:tcW w:w="452" w:type="pct"/>
            <w:tcBorders>
              <w:top w:val="single" w:sz="4" w:space="0" w:color="FFFFFF" w:themeColor="background1"/>
              <w:left w:val="nil"/>
              <w:bottom w:val="nil"/>
              <w:right w:val="nil"/>
            </w:tcBorders>
            <w:shd w:val="clear" w:color="auto" w:fill="005CA9"/>
            <w:vAlign w:val="center"/>
            <w:hideMark/>
          </w:tcPr>
          <w:p w14:paraId="181F027A" w14:textId="77777777" w:rsidR="008374B9" w:rsidRPr="0028570D" w:rsidRDefault="008374B9">
            <w:pPr>
              <w:jc w:val="center"/>
              <w:rPr>
                <w:rFonts w:ascii="CAIXA Std Book" w:eastAsia="Times New Roman" w:hAnsi="CAIXA Std Book" w:cs="Arial"/>
                <w:b/>
                <w:color w:val="FFFFFF" w:themeColor="background1"/>
                <w:sz w:val="14"/>
                <w:szCs w:val="14"/>
              </w:rPr>
            </w:pPr>
            <w:r w:rsidRPr="0028570D">
              <w:rPr>
                <w:rFonts w:ascii="CAIXA Std Book" w:eastAsia="Times New Roman" w:hAnsi="CAIXA Std Book" w:cs="Arial"/>
                <w:b/>
                <w:color w:val="FFFFFF" w:themeColor="background1"/>
                <w:sz w:val="14"/>
                <w:szCs w:val="14"/>
              </w:rPr>
              <w:t>Outras</w:t>
            </w:r>
          </w:p>
          <w:p w14:paraId="78AED15E" w14:textId="77777777" w:rsidR="008374B9" w:rsidRPr="0028570D" w:rsidRDefault="008374B9">
            <w:pPr>
              <w:jc w:val="center"/>
              <w:rPr>
                <w:rFonts w:ascii="CAIXA Std Book" w:eastAsia="Times New Roman" w:hAnsi="CAIXA Std Book" w:cs="Calibri"/>
                <w:b/>
                <w:color w:val="FFFFFF"/>
                <w:sz w:val="14"/>
                <w:szCs w:val="14"/>
              </w:rPr>
            </w:pPr>
            <w:r w:rsidRPr="0028570D">
              <w:rPr>
                <w:rFonts w:ascii="CAIXA Std Book" w:eastAsia="Times New Roman" w:hAnsi="CAIXA Std Book" w:cs="Arial"/>
                <w:b/>
                <w:color w:val="FFFFFF" w:themeColor="background1"/>
                <w:sz w:val="14"/>
                <w:szCs w:val="14"/>
              </w:rPr>
              <w:t>entidades</w:t>
            </w:r>
          </w:p>
        </w:tc>
        <w:tc>
          <w:tcPr>
            <w:tcW w:w="502" w:type="pct"/>
            <w:tcBorders>
              <w:top w:val="single" w:sz="4" w:space="0" w:color="FFFFFF" w:themeColor="background1"/>
              <w:left w:val="nil"/>
              <w:bottom w:val="nil"/>
              <w:right w:val="nil"/>
            </w:tcBorders>
            <w:shd w:val="clear" w:color="auto" w:fill="005CA9"/>
            <w:vAlign w:val="center"/>
            <w:hideMark/>
          </w:tcPr>
          <w:p w14:paraId="65A2F530" w14:textId="77777777" w:rsidR="008374B9" w:rsidRPr="0028570D" w:rsidRDefault="008374B9">
            <w:pPr>
              <w:jc w:val="center"/>
              <w:rPr>
                <w:rFonts w:ascii="CAIXA Std Book" w:eastAsia="Times New Roman" w:hAnsi="CAIXA Std Book" w:cs="Calibri"/>
                <w:b/>
                <w:color w:val="FFFFFF"/>
                <w:sz w:val="14"/>
                <w:szCs w:val="14"/>
              </w:rPr>
            </w:pPr>
            <w:r w:rsidRPr="0028570D">
              <w:rPr>
                <w:rFonts w:ascii="CAIXA Std Book" w:eastAsia="Times New Roman" w:hAnsi="CAIXA Std Book" w:cs="Arial"/>
                <w:b/>
                <w:color w:val="FFFFFF" w:themeColor="background1"/>
                <w:sz w:val="14"/>
                <w:szCs w:val="14"/>
              </w:rPr>
              <w:t>Controladora</w:t>
            </w:r>
          </w:p>
        </w:tc>
        <w:tc>
          <w:tcPr>
            <w:tcW w:w="477" w:type="pct"/>
            <w:tcBorders>
              <w:top w:val="single" w:sz="4" w:space="0" w:color="FFFFFF" w:themeColor="background1"/>
              <w:left w:val="nil"/>
              <w:bottom w:val="nil"/>
              <w:right w:val="nil"/>
            </w:tcBorders>
            <w:shd w:val="clear" w:color="auto" w:fill="005CA9"/>
            <w:vAlign w:val="center"/>
            <w:hideMark/>
          </w:tcPr>
          <w:p w14:paraId="37A51DF6" w14:textId="77777777" w:rsidR="008374B9" w:rsidRPr="0028570D" w:rsidRDefault="008374B9">
            <w:pPr>
              <w:jc w:val="center"/>
              <w:rPr>
                <w:rFonts w:ascii="CAIXA Std Book" w:eastAsia="Times New Roman" w:hAnsi="CAIXA Std Book" w:cs="Arial"/>
                <w:b/>
                <w:color w:val="FFFFFF" w:themeColor="background1"/>
                <w:sz w:val="14"/>
                <w:szCs w:val="14"/>
              </w:rPr>
            </w:pPr>
            <w:r w:rsidRPr="0028570D">
              <w:rPr>
                <w:rFonts w:ascii="CAIXA Std Book" w:eastAsia="Times New Roman" w:hAnsi="CAIXA Std Book" w:cs="Arial"/>
                <w:b/>
                <w:color w:val="FFFFFF" w:themeColor="background1"/>
                <w:sz w:val="14"/>
                <w:szCs w:val="14"/>
              </w:rPr>
              <w:t>Controladas</w:t>
            </w:r>
          </w:p>
          <w:p w14:paraId="547B32F1" w14:textId="77777777" w:rsidR="008374B9" w:rsidRPr="0028570D" w:rsidRDefault="008374B9">
            <w:pPr>
              <w:jc w:val="center"/>
              <w:rPr>
                <w:rFonts w:ascii="CAIXA Std Book" w:eastAsia="Times New Roman" w:hAnsi="CAIXA Std Book" w:cs="Calibri"/>
                <w:b/>
                <w:color w:val="FFFFFF"/>
                <w:sz w:val="14"/>
                <w:szCs w:val="14"/>
              </w:rPr>
            </w:pPr>
            <w:r w:rsidRPr="0028570D">
              <w:rPr>
                <w:rFonts w:ascii="CAIXA Std Book" w:eastAsia="Times New Roman" w:hAnsi="CAIXA Std Book" w:cs="Arial"/>
                <w:b/>
                <w:color w:val="FFFFFF" w:themeColor="background1"/>
                <w:sz w:val="14"/>
                <w:szCs w:val="14"/>
              </w:rPr>
              <w:t>em conjunto</w:t>
            </w:r>
          </w:p>
        </w:tc>
        <w:tc>
          <w:tcPr>
            <w:tcW w:w="477" w:type="pct"/>
            <w:tcBorders>
              <w:top w:val="single" w:sz="4" w:space="0" w:color="FFFFFF" w:themeColor="background1"/>
              <w:left w:val="nil"/>
              <w:bottom w:val="nil"/>
              <w:right w:val="nil"/>
            </w:tcBorders>
            <w:shd w:val="clear" w:color="auto" w:fill="005CA9"/>
            <w:vAlign w:val="center"/>
            <w:hideMark/>
          </w:tcPr>
          <w:p w14:paraId="155E39D2" w14:textId="77777777" w:rsidR="008374B9" w:rsidRPr="0028570D" w:rsidRDefault="008374B9">
            <w:pPr>
              <w:jc w:val="center"/>
              <w:rPr>
                <w:rFonts w:ascii="CAIXA Std Book" w:eastAsia="Times New Roman" w:hAnsi="CAIXA Std Book" w:cs="Calibri"/>
                <w:b/>
                <w:color w:val="FFFFFF"/>
                <w:sz w:val="14"/>
                <w:szCs w:val="14"/>
              </w:rPr>
            </w:pPr>
            <w:r w:rsidRPr="0028570D">
              <w:rPr>
                <w:rFonts w:ascii="CAIXA Std Book" w:eastAsia="Times New Roman" w:hAnsi="CAIXA Std Book" w:cs="Arial"/>
                <w:b/>
                <w:color w:val="FFFFFF" w:themeColor="background1"/>
                <w:sz w:val="14"/>
                <w:szCs w:val="14"/>
              </w:rPr>
              <w:t>Coligada</w:t>
            </w:r>
          </w:p>
        </w:tc>
        <w:tc>
          <w:tcPr>
            <w:tcW w:w="479" w:type="pct"/>
            <w:tcBorders>
              <w:top w:val="single" w:sz="4" w:space="0" w:color="FFFFFF" w:themeColor="background1"/>
              <w:left w:val="nil"/>
              <w:bottom w:val="nil"/>
              <w:right w:val="nil"/>
            </w:tcBorders>
            <w:shd w:val="clear" w:color="auto" w:fill="005CA9"/>
            <w:vAlign w:val="center"/>
            <w:hideMark/>
          </w:tcPr>
          <w:p w14:paraId="5ADCE0D7" w14:textId="77777777" w:rsidR="008374B9" w:rsidRPr="0028570D" w:rsidRDefault="008374B9">
            <w:pPr>
              <w:jc w:val="center"/>
              <w:rPr>
                <w:rFonts w:ascii="CAIXA Std Book" w:eastAsia="Times New Roman" w:hAnsi="CAIXA Std Book" w:cs="Arial"/>
                <w:b/>
                <w:color w:val="FFFFFF" w:themeColor="background1"/>
                <w:sz w:val="14"/>
                <w:szCs w:val="14"/>
              </w:rPr>
            </w:pPr>
            <w:r w:rsidRPr="0028570D">
              <w:rPr>
                <w:rFonts w:ascii="CAIXA Std Book" w:eastAsia="Times New Roman" w:hAnsi="CAIXA Std Book" w:cs="Arial"/>
                <w:b/>
                <w:color w:val="FFFFFF" w:themeColor="background1"/>
                <w:sz w:val="14"/>
                <w:szCs w:val="14"/>
              </w:rPr>
              <w:t>Outras</w:t>
            </w:r>
          </w:p>
          <w:p w14:paraId="66AA70BE" w14:textId="77777777" w:rsidR="008374B9" w:rsidRPr="0028570D" w:rsidRDefault="008374B9">
            <w:pPr>
              <w:jc w:val="center"/>
              <w:rPr>
                <w:rFonts w:ascii="CAIXA Std Book" w:eastAsia="Times New Roman" w:hAnsi="CAIXA Std Book" w:cs="Calibri"/>
                <w:b/>
                <w:color w:val="FFFFFF"/>
                <w:sz w:val="14"/>
                <w:szCs w:val="14"/>
              </w:rPr>
            </w:pPr>
            <w:r w:rsidRPr="0028570D">
              <w:rPr>
                <w:rFonts w:ascii="CAIXA Std Book" w:eastAsia="Times New Roman" w:hAnsi="CAIXA Std Book" w:cs="Arial"/>
                <w:b/>
                <w:color w:val="FFFFFF" w:themeColor="background1"/>
                <w:sz w:val="14"/>
                <w:szCs w:val="14"/>
              </w:rPr>
              <w:t>entidades</w:t>
            </w:r>
          </w:p>
        </w:tc>
      </w:tr>
      <w:tr w:rsidR="008374B9" w:rsidRPr="00E641A8" w14:paraId="20C05289" w14:textId="77777777" w:rsidTr="00D16B7B">
        <w:trPr>
          <w:trHeight w:val="283"/>
          <w:jc w:val="center"/>
        </w:trPr>
        <w:tc>
          <w:tcPr>
            <w:tcW w:w="1182" w:type="pct"/>
            <w:tcBorders>
              <w:top w:val="nil"/>
              <w:left w:val="nil"/>
              <w:bottom w:val="nil"/>
              <w:right w:val="nil"/>
            </w:tcBorders>
            <w:shd w:val="clear" w:color="auto" w:fill="D0DFE3"/>
            <w:noWrap/>
            <w:vAlign w:val="center"/>
          </w:tcPr>
          <w:p w14:paraId="20EF0FA2" w14:textId="77777777" w:rsidR="008374B9" w:rsidRPr="0028570D" w:rsidRDefault="008374B9">
            <w:pPr>
              <w:rPr>
                <w:rFonts w:ascii="CAIXA Std Book" w:eastAsia="Times New Roman" w:hAnsi="CAIXA Std Book" w:cs="Arial"/>
                <w:b/>
                <w:color w:val="005CA9"/>
                <w:sz w:val="14"/>
                <w:szCs w:val="14"/>
              </w:rPr>
            </w:pPr>
            <w:r w:rsidRPr="0028570D">
              <w:rPr>
                <w:rFonts w:ascii="CAIXA Std Book" w:eastAsia="Times New Roman" w:hAnsi="CAIXA Std Book" w:cs="Arial"/>
                <w:b/>
                <w:color w:val="005CA9"/>
                <w:sz w:val="14"/>
                <w:szCs w:val="14"/>
              </w:rPr>
              <w:t>Receitas</w:t>
            </w:r>
          </w:p>
        </w:tc>
        <w:tc>
          <w:tcPr>
            <w:tcW w:w="477" w:type="pct"/>
            <w:tcBorders>
              <w:top w:val="nil"/>
              <w:left w:val="nil"/>
              <w:bottom w:val="nil"/>
            </w:tcBorders>
            <w:shd w:val="clear" w:color="auto" w:fill="D0DFE3"/>
            <w:noWrap/>
            <w:vAlign w:val="center"/>
          </w:tcPr>
          <w:p w14:paraId="0E378216" w14:textId="310FE1D8" w:rsidR="008374B9" w:rsidRPr="0028570D" w:rsidRDefault="00B9633C" w:rsidP="00B9633C">
            <w:pPr>
              <w:ind w:firstLineChars="100" w:firstLine="140"/>
              <w:jc w:val="right"/>
              <w:rPr>
                <w:rFonts w:ascii="CAIXA Std Book" w:eastAsia="Times New Roman" w:hAnsi="CAIXA Std Book" w:cs="Arial"/>
                <w:b/>
                <w:color w:val="005CA9"/>
                <w:sz w:val="14"/>
                <w:szCs w:val="14"/>
              </w:rPr>
            </w:pPr>
            <w:r w:rsidRPr="00B9633C">
              <w:rPr>
                <w:rFonts w:ascii="CAIXA Std Book" w:hAnsi="CAIXA Std Book" w:cs="Arial"/>
                <w:b/>
                <w:bCs/>
                <w:color w:val="005CA9"/>
                <w:sz w:val="14"/>
                <w:szCs w:val="14"/>
              </w:rPr>
              <w:t>1.057.801</w:t>
            </w:r>
          </w:p>
        </w:tc>
        <w:tc>
          <w:tcPr>
            <w:tcW w:w="477" w:type="pct"/>
            <w:tcBorders>
              <w:top w:val="nil"/>
              <w:left w:val="nil"/>
              <w:bottom w:val="nil"/>
              <w:right w:val="nil"/>
            </w:tcBorders>
            <w:shd w:val="clear" w:color="auto" w:fill="D0DFE3"/>
            <w:noWrap/>
            <w:vAlign w:val="center"/>
          </w:tcPr>
          <w:p w14:paraId="02863D5E" w14:textId="4957D610" w:rsidR="008374B9" w:rsidRPr="0028570D" w:rsidRDefault="00B9633C" w:rsidP="00B9633C">
            <w:pPr>
              <w:ind w:firstLineChars="100" w:firstLine="140"/>
              <w:jc w:val="right"/>
              <w:rPr>
                <w:rFonts w:ascii="CAIXA Std Book" w:eastAsia="Times New Roman" w:hAnsi="CAIXA Std Book" w:cs="Arial"/>
                <w:b/>
                <w:color w:val="005CA9"/>
                <w:sz w:val="14"/>
                <w:szCs w:val="14"/>
              </w:rPr>
            </w:pPr>
            <w:r w:rsidRPr="00B9633C">
              <w:rPr>
                <w:rFonts w:ascii="CAIXA Std Book" w:hAnsi="CAIXA Std Book" w:cs="Arial"/>
                <w:b/>
                <w:bCs/>
                <w:color w:val="005CA9"/>
                <w:sz w:val="14"/>
                <w:szCs w:val="14"/>
              </w:rPr>
              <w:t>45.339</w:t>
            </w:r>
          </w:p>
        </w:tc>
        <w:tc>
          <w:tcPr>
            <w:tcW w:w="477" w:type="pct"/>
            <w:tcBorders>
              <w:top w:val="nil"/>
              <w:left w:val="nil"/>
              <w:bottom w:val="nil"/>
              <w:right w:val="nil"/>
            </w:tcBorders>
            <w:shd w:val="clear" w:color="auto" w:fill="D0DFE3"/>
            <w:noWrap/>
            <w:vAlign w:val="center"/>
          </w:tcPr>
          <w:p w14:paraId="72ECFB8A" w14:textId="49BBFF4D" w:rsidR="008374B9" w:rsidRPr="0028570D" w:rsidRDefault="00B9633C" w:rsidP="00B9633C">
            <w:pPr>
              <w:ind w:firstLineChars="100" w:firstLine="140"/>
              <w:jc w:val="right"/>
              <w:rPr>
                <w:rFonts w:ascii="CAIXA Std Book" w:eastAsia="Times New Roman" w:hAnsi="CAIXA Std Book" w:cs="Arial"/>
                <w:b/>
                <w:color w:val="005CA9"/>
                <w:sz w:val="14"/>
                <w:szCs w:val="14"/>
              </w:rPr>
            </w:pPr>
            <w:r w:rsidRPr="00B9633C">
              <w:rPr>
                <w:rFonts w:ascii="CAIXA Std Book" w:hAnsi="CAIXA Std Book" w:cs="Arial"/>
                <w:b/>
                <w:bCs/>
                <w:color w:val="005CA9"/>
                <w:sz w:val="14"/>
                <w:szCs w:val="14"/>
              </w:rPr>
              <w:t>30.477</w:t>
            </w:r>
          </w:p>
        </w:tc>
        <w:tc>
          <w:tcPr>
            <w:tcW w:w="452" w:type="pct"/>
            <w:tcBorders>
              <w:top w:val="nil"/>
              <w:left w:val="nil"/>
              <w:bottom w:val="nil"/>
              <w:right w:val="nil"/>
            </w:tcBorders>
            <w:shd w:val="clear" w:color="auto" w:fill="D0DFE3"/>
            <w:vAlign w:val="center"/>
          </w:tcPr>
          <w:p w14:paraId="087AC66A" w14:textId="4C3DFE7F" w:rsidR="008374B9" w:rsidRPr="0028570D" w:rsidRDefault="00B9633C" w:rsidP="00B9633C">
            <w:pPr>
              <w:ind w:firstLineChars="100" w:firstLine="140"/>
              <w:jc w:val="right"/>
              <w:rPr>
                <w:rFonts w:ascii="CAIXA Std Book" w:eastAsia="Times New Roman" w:hAnsi="CAIXA Std Book" w:cs="Arial"/>
                <w:b/>
                <w:color w:val="005CA9"/>
                <w:sz w:val="14"/>
                <w:szCs w:val="14"/>
              </w:rPr>
            </w:pPr>
            <w:r w:rsidRPr="00B9633C">
              <w:rPr>
                <w:rFonts w:ascii="CAIXA Std Book" w:hAnsi="CAIXA Std Book" w:cs="Arial"/>
                <w:b/>
                <w:bCs/>
                <w:color w:val="005CA9"/>
                <w:sz w:val="14"/>
                <w:szCs w:val="14"/>
              </w:rPr>
              <w:t>25.751.894</w:t>
            </w:r>
          </w:p>
        </w:tc>
        <w:tc>
          <w:tcPr>
            <w:tcW w:w="502" w:type="pct"/>
            <w:tcBorders>
              <w:top w:val="nil"/>
              <w:left w:val="nil"/>
              <w:bottom w:val="nil"/>
              <w:right w:val="nil"/>
            </w:tcBorders>
            <w:shd w:val="clear" w:color="auto" w:fill="D0DFE3"/>
            <w:vAlign w:val="center"/>
          </w:tcPr>
          <w:p w14:paraId="691A7C7D" w14:textId="77777777" w:rsidR="008374B9" w:rsidRPr="0028570D" w:rsidRDefault="008374B9">
            <w:pPr>
              <w:ind w:firstLineChars="100" w:firstLine="140"/>
              <w:jc w:val="right"/>
              <w:rPr>
                <w:rFonts w:ascii="CAIXA Std Book" w:eastAsia="Times New Roman" w:hAnsi="CAIXA Std Book" w:cs="Arial"/>
                <w:b/>
                <w:color w:val="005CA9"/>
                <w:sz w:val="14"/>
                <w:szCs w:val="14"/>
              </w:rPr>
            </w:pPr>
            <w:r w:rsidRPr="0028570D">
              <w:rPr>
                <w:rFonts w:ascii="CAIXA Std Book" w:hAnsi="CAIXA Std Book" w:cs="Calibri"/>
                <w:b/>
                <w:color w:val="005CA9"/>
                <w:sz w:val="14"/>
                <w:szCs w:val="14"/>
              </w:rPr>
              <w:t>2.200.870</w:t>
            </w:r>
          </w:p>
        </w:tc>
        <w:tc>
          <w:tcPr>
            <w:tcW w:w="477" w:type="pct"/>
            <w:tcBorders>
              <w:top w:val="nil"/>
              <w:left w:val="nil"/>
              <w:bottom w:val="nil"/>
              <w:right w:val="nil"/>
            </w:tcBorders>
            <w:shd w:val="clear" w:color="auto" w:fill="D0DFE3"/>
            <w:vAlign w:val="center"/>
          </w:tcPr>
          <w:p w14:paraId="3826B927" w14:textId="77777777" w:rsidR="008374B9" w:rsidRPr="0028570D" w:rsidRDefault="008374B9">
            <w:pPr>
              <w:ind w:firstLineChars="100" w:firstLine="140"/>
              <w:jc w:val="right"/>
              <w:rPr>
                <w:rFonts w:ascii="CAIXA Std Book" w:eastAsia="Times New Roman" w:hAnsi="CAIXA Std Book" w:cs="Arial"/>
                <w:b/>
                <w:color w:val="005CA9"/>
                <w:sz w:val="14"/>
                <w:szCs w:val="14"/>
              </w:rPr>
            </w:pPr>
            <w:r w:rsidRPr="0028570D">
              <w:rPr>
                <w:rFonts w:ascii="CAIXA Std Book" w:hAnsi="CAIXA Std Book" w:cs="Calibri"/>
                <w:b/>
                <w:color w:val="005CA9"/>
                <w:sz w:val="14"/>
                <w:szCs w:val="14"/>
              </w:rPr>
              <w:t>4.204</w:t>
            </w:r>
          </w:p>
        </w:tc>
        <w:tc>
          <w:tcPr>
            <w:tcW w:w="477" w:type="pct"/>
            <w:tcBorders>
              <w:top w:val="nil"/>
              <w:left w:val="nil"/>
              <w:bottom w:val="nil"/>
              <w:right w:val="nil"/>
            </w:tcBorders>
            <w:shd w:val="clear" w:color="auto" w:fill="D0DFE3"/>
            <w:vAlign w:val="center"/>
          </w:tcPr>
          <w:p w14:paraId="4099DCAB" w14:textId="77777777" w:rsidR="008374B9" w:rsidRPr="0028570D" w:rsidRDefault="008374B9">
            <w:pPr>
              <w:jc w:val="right"/>
              <w:rPr>
                <w:rFonts w:ascii="CAIXA Std Book" w:eastAsia="Times New Roman" w:hAnsi="CAIXA Std Book" w:cs="Arial"/>
                <w:b/>
                <w:color w:val="005CA9"/>
                <w:sz w:val="14"/>
                <w:szCs w:val="14"/>
              </w:rPr>
            </w:pPr>
            <w:r w:rsidRPr="0028570D">
              <w:rPr>
                <w:rFonts w:ascii="CAIXA Std Book" w:hAnsi="CAIXA Std Book" w:cs="Calibri"/>
                <w:b/>
                <w:color w:val="005CA9"/>
                <w:sz w:val="14"/>
                <w:szCs w:val="14"/>
              </w:rPr>
              <w:t>398.321</w:t>
            </w:r>
          </w:p>
        </w:tc>
        <w:tc>
          <w:tcPr>
            <w:tcW w:w="479" w:type="pct"/>
            <w:tcBorders>
              <w:top w:val="nil"/>
              <w:left w:val="nil"/>
              <w:bottom w:val="nil"/>
              <w:right w:val="nil"/>
            </w:tcBorders>
            <w:shd w:val="clear" w:color="auto" w:fill="D0DFE3"/>
            <w:noWrap/>
            <w:vAlign w:val="center"/>
          </w:tcPr>
          <w:p w14:paraId="69B35B3E" w14:textId="77777777" w:rsidR="008374B9" w:rsidRPr="0028570D" w:rsidRDefault="008374B9">
            <w:pPr>
              <w:ind w:firstLineChars="100" w:firstLine="140"/>
              <w:jc w:val="right"/>
              <w:rPr>
                <w:rFonts w:ascii="CAIXA Std Book" w:eastAsia="Times New Roman" w:hAnsi="CAIXA Std Book" w:cs="Arial"/>
                <w:b/>
                <w:color w:val="005CA9"/>
                <w:sz w:val="14"/>
                <w:szCs w:val="14"/>
              </w:rPr>
            </w:pPr>
            <w:r w:rsidRPr="0028570D">
              <w:rPr>
                <w:rFonts w:ascii="CAIXA Std Book" w:hAnsi="CAIXA Std Book" w:cs="Calibri"/>
                <w:b/>
                <w:color w:val="005CA9"/>
                <w:sz w:val="14"/>
                <w:szCs w:val="14"/>
              </w:rPr>
              <w:t>23.159.352</w:t>
            </w:r>
          </w:p>
        </w:tc>
      </w:tr>
      <w:tr w:rsidR="008374B9" w:rsidRPr="00E641A8" w14:paraId="51F78ECF" w14:textId="77777777" w:rsidTr="00D16B7B">
        <w:trPr>
          <w:trHeight w:val="283"/>
          <w:jc w:val="center"/>
        </w:trPr>
        <w:tc>
          <w:tcPr>
            <w:tcW w:w="1182" w:type="pct"/>
            <w:tcBorders>
              <w:top w:val="nil"/>
              <w:left w:val="nil"/>
              <w:bottom w:val="nil"/>
              <w:right w:val="nil"/>
            </w:tcBorders>
            <w:noWrap/>
            <w:vAlign w:val="center"/>
            <w:hideMark/>
          </w:tcPr>
          <w:p w14:paraId="0D2B12A9" w14:textId="77777777" w:rsidR="008374B9" w:rsidRPr="0028570D" w:rsidRDefault="008374B9">
            <w:pPr>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Rendas de prestação de serviços</w:t>
            </w:r>
          </w:p>
        </w:tc>
        <w:tc>
          <w:tcPr>
            <w:tcW w:w="477" w:type="pct"/>
            <w:tcBorders>
              <w:top w:val="nil"/>
              <w:left w:val="nil"/>
              <w:bottom w:val="nil"/>
            </w:tcBorders>
            <w:noWrap/>
            <w:vAlign w:val="center"/>
          </w:tcPr>
          <w:p w14:paraId="48779C69" w14:textId="01591998" w:rsidR="008374B9" w:rsidRPr="0028570D" w:rsidRDefault="00B9633C" w:rsidP="00B9633C">
            <w:pPr>
              <w:ind w:firstLineChars="1" w:firstLine="1"/>
              <w:jc w:val="right"/>
              <w:rPr>
                <w:rFonts w:ascii="CAIXA Std Book" w:eastAsia="Times New Roman" w:hAnsi="CAIXA Std Book" w:cs="Arial"/>
                <w:color w:val="005CA9"/>
                <w:sz w:val="14"/>
                <w:szCs w:val="14"/>
              </w:rPr>
            </w:pPr>
            <w:r w:rsidRPr="00B9633C">
              <w:rPr>
                <w:rFonts w:ascii="CAIXA Std Book" w:hAnsi="CAIXA Std Book" w:cs="Arial"/>
                <w:color w:val="005CA9"/>
                <w:sz w:val="14"/>
                <w:szCs w:val="14"/>
              </w:rPr>
              <w:t>519.077</w:t>
            </w:r>
          </w:p>
        </w:tc>
        <w:tc>
          <w:tcPr>
            <w:tcW w:w="477" w:type="pct"/>
            <w:tcBorders>
              <w:top w:val="nil"/>
              <w:left w:val="nil"/>
              <w:bottom w:val="nil"/>
              <w:right w:val="nil"/>
            </w:tcBorders>
            <w:noWrap/>
            <w:vAlign w:val="center"/>
          </w:tcPr>
          <w:p w14:paraId="2FB838C5" w14:textId="56D726A5" w:rsidR="008374B9" w:rsidRPr="0028570D" w:rsidRDefault="00B9633C">
            <w:pPr>
              <w:jc w:val="center"/>
              <w:rPr>
                <w:rFonts w:ascii="CAIXA Std Book" w:eastAsia="Times New Roman" w:hAnsi="CAIXA Std Book" w:cs="Calibri"/>
                <w:color w:val="005CA9"/>
                <w:sz w:val="14"/>
                <w:szCs w:val="14"/>
              </w:rPr>
            </w:pPr>
            <w:r w:rsidRPr="00B9633C">
              <w:rPr>
                <w:rFonts w:ascii="CAIXA Std Book" w:hAnsi="CAIXA Std Book" w:cs="Arial"/>
                <w:color w:val="005CA9"/>
                <w:sz w:val="14"/>
                <w:szCs w:val="14"/>
              </w:rPr>
              <w:t>-</w:t>
            </w:r>
          </w:p>
        </w:tc>
        <w:tc>
          <w:tcPr>
            <w:tcW w:w="477" w:type="pct"/>
            <w:tcBorders>
              <w:top w:val="nil"/>
              <w:left w:val="nil"/>
              <w:bottom w:val="nil"/>
              <w:right w:val="nil"/>
            </w:tcBorders>
            <w:noWrap/>
            <w:vAlign w:val="center"/>
          </w:tcPr>
          <w:p w14:paraId="4966A220" w14:textId="0E89CD2B" w:rsidR="008374B9" w:rsidRPr="0028570D" w:rsidRDefault="00B9633C">
            <w:pPr>
              <w:ind w:firstLineChars="100" w:firstLine="140"/>
              <w:jc w:val="right"/>
              <w:rPr>
                <w:rFonts w:ascii="CAIXA Std Book" w:eastAsia="Times New Roman" w:hAnsi="CAIXA Std Book" w:cs="Calibri"/>
                <w:color w:val="005CA9"/>
                <w:sz w:val="14"/>
                <w:szCs w:val="14"/>
              </w:rPr>
            </w:pPr>
            <w:r w:rsidRPr="00B9633C">
              <w:rPr>
                <w:rFonts w:ascii="CAIXA Std Book" w:hAnsi="CAIXA Std Book" w:cs="Arial"/>
                <w:color w:val="005CA9"/>
                <w:sz w:val="14"/>
                <w:szCs w:val="14"/>
              </w:rPr>
              <w:t>30.203</w:t>
            </w:r>
          </w:p>
        </w:tc>
        <w:tc>
          <w:tcPr>
            <w:tcW w:w="452" w:type="pct"/>
            <w:tcBorders>
              <w:top w:val="nil"/>
              <w:left w:val="nil"/>
              <w:bottom w:val="nil"/>
              <w:right w:val="nil"/>
            </w:tcBorders>
            <w:vAlign w:val="center"/>
          </w:tcPr>
          <w:p w14:paraId="01668730" w14:textId="5790AAAF" w:rsidR="008374B9" w:rsidRPr="0028570D" w:rsidRDefault="00B9633C">
            <w:pPr>
              <w:ind w:firstLineChars="100" w:firstLine="140"/>
              <w:jc w:val="right"/>
              <w:rPr>
                <w:rFonts w:ascii="CAIXA Std Book" w:eastAsia="Times New Roman" w:hAnsi="CAIXA Std Book" w:cs="Calibri"/>
                <w:color w:val="005CA9"/>
                <w:sz w:val="14"/>
                <w:szCs w:val="14"/>
              </w:rPr>
            </w:pPr>
            <w:r w:rsidRPr="00B9633C">
              <w:rPr>
                <w:rFonts w:ascii="CAIXA Std Book" w:hAnsi="CAIXA Std Book" w:cs="Arial"/>
                <w:color w:val="005CA9"/>
                <w:sz w:val="14"/>
                <w:szCs w:val="14"/>
              </w:rPr>
              <w:t>1.822.277</w:t>
            </w:r>
          </w:p>
        </w:tc>
        <w:tc>
          <w:tcPr>
            <w:tcW w:w="502" w:type="pct"/>
            <w:tcBorders>
              <w:top w:val="nil"/>
              <w:left w:val="nil"/>
              <w:bottom w:val="nil"/>
              <w:right w:val="nil"/>
            </w:tcBorders>
            <w:vAlign w:val="center"/>
          </w:tcPr>
          <w:p w14:paraId="555CDC95" w14:textId="77777777" w:rsidR="008374B9" w:rsidRPr="0028570D" w:rsidRDefault="008374B9">
            <w:pPr>
              <w:ind w:firstLineChars="100" w:firstLine="140"/>
              <w:jc w:val="right"/>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1.838.907</w:t>
            </w:r>
          </w:p>
        </w:tc>
        <w:tc>
          <w:tcPr>
            <w:tcW w:w="477" w:type="pct"/>
            <w:tcBorders>
              <w:top w:val="nil"/>
              <w:left w:val="nil"/>
              <w:bottom w:val="nil"/>
              <w:right w:val="nil"/>
            </w:tcBorders>
            <w:vAlign w:val="center"/>
          </w:tcPr>
          <w:p w14:paraId="6687170B" w14:textId="77777777" w:rsidR="008374B9" w:rsidRPr="0028570D" w:rsidRDefault="008374B9">
            <w:pPr>
              <w:ind w:firstLineChars="100" w:firstLine="140"/>
              <w:jc w:val="right"/>
              <w:rPr>
                <w:rFonts w:ascii="CAIXA Std Book" w:eastAsia="Times New Roman" w:hAnsi="CAIXA Std Book" w:cs="Calibri"/>
                <w:color w:val="005CA9"/>
                <w:sz w:val="14"/>
                <w:szCs w:val="14"/>
              </w:rPr>
            </w:pPr>
            <w:r w:rsidRPr="0028570D">
              <w:rPr>
                <w:rFonts w:ascii="CAIXA Std Book" w:hAnsi="CAIXA Std Book" w:cs="Calibri"/>
                <w:color w:val="005CA9"/>
                <w:sz w:val="14"/>
                <w:szCs w:val="14"/>
              </w:rPr>
              <w:t>6</w:t>
            </w:r>
          </w:p>
        </w:tc>
        <w:tc>
          <w:tcPr>
            <w:tcW w:w="477" w:type="pct"/>
            <w:tcBorders>
              <w:top w:val="nil"/>
              <w:left w:val="nil"/>
              <w:bottom w:val="nil"/>
              <w:right w:val="nil"/>
            </w:tcBorders>
            <w:vAlign w:val="center"/>
          </w:tcPr>
          <w:p w14:paraId="678C0145" w14:textId="77777777" w:rsidR="008374B9" w:rsidRPr="0028570D" w:rsidRDefault="008374B9">
            <w:pPr>
              <w:jc w:val="right"/>
              <w:rPr>
                <w:rFonts w:ascii="CAIXA Std Book" w:eastAsia="Times New Roman" w:hAnsi="CAIXA Std Book" w:cs="Calibri"/>
                <w:color w:val="005CA9"/>
                <w:sz w:val="14"/>
                <w:szCs w:val="14"/>
              </w:rPr>
            </w:pPr>
            <w:r w:rsidRPr="0028570D">
              <w:rPr>
                <w:rFonts w:ascii="CAIXA Std Book" w:hAnsi="CAIXA Std Book" w:cs="Calibri"/>
                <w:color w:val="005CA9"/>
                <w:sz w:val="14"/>
                <w:szCs w:val="14"/>
              </w:rPr>
              <w:t>398.150</w:t>
            </w:r>
          </w:p>
        </w:tc>
        <w:tc>
          <w:tcPr>
            <w:tcW w:w="479" w:type="pct"/>
            <w:tcBorders>
              <w:top w:val="nil"/>
              <w:left w:val="nil"/>
              <w:bottom w:val="nil"/>
              <w:right w:val="nil"/>
            </w:tcBorders>
            <w:noWrap/>
            <w:vAlign w:val="center"/>
          </w:tcPr>
          <w:p w14:paraId="0119B313" w14:textId="77777777" w:rsidR="008374B9" w:rsidRPr="0028570D" w:rsidRDefault="008374B9">
            <w:pPr>
              <w:ind w:firstLineChars="100" w:firstLine="140"/>
              <w:jc w:val="right"/>
              <w:rPr>
                <w:rFonts w:ascii="CAIXA Std Book" w:eastAsia="Times New Roman" w:hAnsi="CAIXA Std Book" w:cs="Calibri"/>
                <w:color w:val="005CA9"/>
                <w:sz w:val="14"/>
                <w:szCs w:val="14"/>
              </w:rPr>
            </w:pPr>
            <w:r w:rsidRPr="0028570D">
              <w:rPr>
                <w:rFonts w:ascii="CAIXA Std Book" w:hAnsi="CAIXA Std Book" w:cs="Calibri"/>
                <w:color w:val="005CA9"/>
                <w:sz w:val="14"/>
                <w:szCs w:val="14"/>
              </w:rPr>
              <w:t>20.045.175</w:t>
            </w:r>
          </w:p>
        </w:tc>
      </w:tr>
      <w:tr w:rsidR="008374B9" w:rsidRPr="00E641A8" w14:paraId="0CF4F251" w14:textId="77777777" w:rsidTr="00D16B7B">
        <w:trPr>
          <w:trHeight w:val="283"/>
          <w:jc w:val="center"/>
        </w:trPr>
        <w:tc>
          <w:tcPr>
            <w:tcW w:w="1182" w:type="pct"/>
            <w:tcBorders>
              <w:top w:val="nil"/>
              <w:left w:val="nil"/>
              <w:bottom w:val="nil"/>
              <w:right w:val="nil"/>
            </w:tcBorders>
            <w:noWrap/>
            <w:vAlign w:val="center"/>
            <w:hideMark/>
          </w:tcPr>
          <w:p w14:paraId="212E69CD" w14:textId="77777777" w:rsidR="008374B9" w:rsidRPr="0028570D" w:rsidRDefault="008374B9">
            <w:pPr>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Rendas de operações de crédito</w:t>
            </w:r>
          </w:p>
        </w:tc>
        <w:tc>
          <w:tcPr>
            <w:tcW w:w="477" w:type="pct"/>
            <w:tcBorders>
              <w:top w:val="nil"/>
              <w:left w:val="nil"/>
              <w:bottom w:val="nil"/>
            </w:tcBorders>
            <w:noWrap/>
            <w:vAlign w:val="center"/>
          </w:tcPr>
          <w:p w14:paraId="0C9DB12C" w14:textId="52378C52" w:rsidR="008374B9" w:rsidRPr="0028570D" w:rsidRDefault="00B9633C" w:rsidP="00B9633C">
            <w:pPr>
              <w:jc w:val="right"/>
              <w:rPr>
                <w:rFonts w:ascii="CAIXA Std Book" w:eastAsia="Times New Roman" w:hAnsi="CAIXA Std Book" w:cs="Arial"/>
                <w:color w:val="005CA9"/>
                <w:sz w:val="14"/>
                <w:szCs w:val="14"/>
              </w:rPr>
            </w:pPr>
            <w:r w:rsidRPr="00B9633C">
              <w:rPr>
                <w:rFonts w:ascii="CAIXA Std Book" w:hAnsi="CAIXA Std Book" w:cs="Arial"/>
                <w:color w:val="005CA9"/>
                <w:sz w:val="14"/>
                <w:szCs w:val="14"/>
              </w:rPr>
              <w:t>35.210</w:t>
            </w:r>
          </w:p>
        </w:tc>
        <w:tc>
          <w:tcPr>
            <w:tcW w:w="477" w:type="pct"/>
            <w:tcBorders>
              <w:top w:val="nil"/>
              <w:left w:val="nil"/>
              <w:bottom w:val="nil"/>
              <w:right w:val="nil"/>
            </w:tcBorders>
            <w:noWrap/>
            <w:vAlign w:val="center"/>
          </w:tcPr>
          <w:p w14:paraId="18A29457" w14:textId="7D6AB25E" w:rsidR="008374B9" w:rsidRPr="0028570D" w:rsidRDefault="00B9633C">
            <w:pPr>
              <w:jc w:val="center"/>
              <w:rPr>
                <w:rFonts w:ascii="CAIXA Std Book" w:eastAsia="Times New Roman" w:hAnsi="CAIXA Std Book" w:cs="Calibri"/>
                <w:color w:val="005CA9"/>
                <w:sz w:val="14"/>
                <w:szCs w:val="14"/>
              </w:rPr>
            </w:pPr>
            <w:r w:rsidRPr="00B9633C">
              <w:rPr>
                <w:rFonts w:ascii="CAIXA Std Book" w:hAnsi="CAIXA Std Book" w:cs="Arial"/>
                <w:color w:val="005CA9"/>
                <w:sz w:val="14"/>
                <w:szCs w:val="14"/>
              </w:rPr>
              <w:t>-</w:t>
            </w:r>
          </w:p>
        </w:tc>
        <w:tc>
          <w:tcPr>
            <w:tcW w:w="477" w:type="pct"/>
            <w:tcBorders>
              <w:top w:val="nil"/>
              <w:left w:val="nil"/>
              <w:bottom w:val="nil"/>
              <w:right w:val="nil"/>
            </w:tcBorders>
            <w:noWrap/>
            <w:vAlign w:val="center"/>
          </w:tcPr>
          <w:p w14:paraId="30219FA7" w14:textId="0149B005" w:rsidR="008374B9" w:rsidRPr="0028570D" w:rsidRDefault="00B9633C">
            <w:pPr>
              <w:jc w:val="center"/>
              <w:rPr>
                <w:rFonts w:ascii="CAIXA Std Book" w:eastAsia="Times New Roman" w:hAnsi="CAIXA Std Book" w:cs="Calibri"/>
                <w:color w:val="005CA9"/>
                <w:sz w:val="14"/>
                <w:szCs w:val="14"/>
              </w:rPr>
            </w:pPr>
            <w:r w:rsidRPr="00B9633C">
              <w:rPr>
                <w:rFonts w:ascii="CAIXA Std Book" w:hAnsi="CAIXA Std Book" w:cs="Arial"/>
                <w:color w:val="005CA9"/>
                <w:sz w:val="14"/>
                <w:szCs w:val="14"/>
              </w:rPr>
              <w:t>-</w:t>
            </w:r>
          </w:p>
        </w:tc>
        <w:tc>
          <w:tcPr>
            <w:tcW w:w="452" w:type="pct"/>
            <w:tcBorders>
              <w:top w:val="nil"/>
              <w:left w:val="nil"/>
              <w:bottom w:val="nil"/>
              <w:right w:val="nil"/>
            </w:tcBorders>
            <w:vAlign w:val="center"/>
          </w:tcPr>
          <w:p w14:paraId="14F69F8A" w14:textId="63F0E106" w:rsidR="008374B9" w:rsidRPr="0028570D" w:rsidRDefault="00B9633C">
            <w:pPr>
              <w:ind w:firstLineChars="100" w:firstLine="140"/>
              <w:jc w:val="right"/>
              <w:rPr>
                <w:rFonts w:ascii="CAIXA Std Book" w:eastAsia="Times New Roman" w:hAnsi="CAIXA Std Book" w:cs="Calibri"/>
                <w:color w:val="005CA9"/>
                <w:sz w:val="14"/>
                <w:szCs w:val="14"/>
              </w:rPr>
            </w:pPr>
            <w:r w:rsidRPr="00B9633C">
              <w:rPr>
                <w:rFonts w:ascii="CAIXA Std Book" w:hAnsi="CAIXA Std Book" w:cs="Arial"/>
                <w:color w:val="005CA9"/>
                <w:sz w:val="14"/>
                <w:szCs w:val="14"/>
              </w:rPr>
              <w:t>21.893.544</w:t>
            </w:r>
          </w:p>
        </w:tc>
        <w:tc>
          <w:tcPr>
            <w:tcW w:w="502" w:type="pct"/>
            <w:tcBorders>
              <w:top w:val="nil"/>
              <w:left w:val="nil"/>
              <w:bottom w:val="nil"/>
              <w:right w:val="nil"/>
            </w:tcBorders>
            <w:vAlign w:val="center"/>
          </w:tcPr>
          <w:p w14:paraId="54532AC0" w14:textId="77777777" w:rsidR="008374B9" w:rsidRPr="0028570D" w:rsidRDefault="008374B9">
            <w:pPr>
              <w:ind w:firstLineChars="100" w:firstLine="140"/>
              <w:jc w:val="center"/>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w:t>
            </w:r>
          </w:p>
        </w:tc>
        <w:tc>
          <w:tcPr>
            <w:tcW w:w="477" w:type="pct"/>
            <w:tcBorders>
              <w:top w:val="nil"/>
              <w:left w:val="nil"/>
              <w:bottom w:val="nil"/>
              <w:right w:val="nil"/>
            </w:tcBorders>
            <w:vAlign w:val="center"/>
          </w:tcPr>
          <w:p w14:paraId="159BFBBE" w14:textId="77777777" w:rsidR="008374B9" w:rsidRPr="0028570D" w:rsidRDefault="008374B9">
            <w:pPr>
              <w:ind w:firstLineChars="100" w:firstLine="140"/>
              <w:jc w:val="center"/>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w:t>
            </w:r>
          </w:p>
        </w:tc>
        <w:tc>
          <w:tcPr>
            <w:tcW w:w="477" w:type="pct"/>
            <w:tcBorders>
              <w:top w:val="nil"/>
              <w:left w:val="nil"/>
              <w:bottom w:val="nil"/>
              <w:right w:val="nil"/>
            </w:tcBorders>
            <w:vAlign w:val="center"/>
          </w:tcPr>
          <w:p w14:paraId="1C156265" w14:textId="77777777" w:rsidR="008374B9" w:rsidRPr="0028570D" w:rsidRDefault="008374B9">
            <w:pPr>
              <w:jc w:val="center"/>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w:t>
            </w:r>
          </w:p>
        </w:tc>
        <w:tc>
          <w:tcPr>
            <w:tcW w:w="479" w:type="pct"/>
            <w:tcBorders>
              <w:top w:val="nil"/>
              <w:left w:val="nil"/>
              <w:bottom w:val="nil"/>
              <w:right w:val="nil"/>
            </w:tcBorders>
            <w:noWrap/>
            <w:vAlign w:val="center"/>
          </w:tcPr>
          <w:p w14:paraId="7B6C8345" w14:textId="77777777" w:rsidR="008374B9" w:rsidRPr="0028570D" w:rsidRDefault="008374B9">
            <w:pPr>
              <w:ind w:firstLineChars="100" w:firstLine="140"/>
              <w:jc w:val="center"/>
              <w:rPr>
                <w:rFonts w:ascii="CAIXA Std Book" w:eastAsia="Times New Roman" w:hAnsi="CAIXA Std Book" w:cs="Calibri"/>
                <w:color w:val="005CA9"/>
                <w:sz w:val="14"/>
                <w:szCs w:val="14"/>
              </w:rPr>
            </w:pPr>
            <w:r w:rsidRPr="0028570D">
              <w:rPr>
                <w:rFonts w:ascii="CAIXA Std Book" w:hAnsi="CAIXA Std Book" w:cs="Calibri"/>
                <w:color w:val="005CA9"/>
                <w:sz w:val="14"/>
                <w:szCs w:val="14"/>
              </w:rPr>
              <w:t>-</w:t>
            </w:r>
          </w:p>
        </w:tc>
      </w:tr>
      <w:tr w:rsidR="008374B9" w:rsidRPr="00E641A8" w14:paraId="4E3660B5" w14:textId="77777777" w:rsidTr="00D16B7B">
        <w:trPr>
          <w:trHeight w:val="283"/>
          <w:jc w:val="center"/>
        </w:trPr>
        <w:tc>
          <w:tcPr>
            <w:tcW w:w="1182" w:type="pct"/>
            <w:tcBorders>
              <w:top w:val="nil"/>
              <w:left w:val="nil"/>
              <w:bottom w:val="nil"/>
              <w:right w:val="nil"/>
            </w:tcBorders>
            <w:noWrap/>
            <w:vAlign w:val="center"/>
            <w:hideMark/>
          </w:tcPr>
          <w:p w14:paraId="2C00D7D5" w14:textId="77777777" w:rsidR="008374B9" w:rsidRPr="0028570D" w:rsidRDefault="008374B9">
            <w:pPr>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Resultado de títulos e valores mobiliários</w:t>
            </w:r>
          </w:p>
        </w:tc>
        <w:tc>
          <w:tcPr>
            <w:tcW w:w="477" w:type="pct"/>
            <w:tcBorders>
              <w:top w:val="nil"/>
              <w:left w:val="nil"/>
              <w:bottom w:val="nil"/>
            </w:tcBorders>
            <w:noWrap/>
            <w:vAlign w:val="center"/>
          </w:tcPr>
          <w:p w14:paraId="3764C804" w14:textId="380F1728" w:rsidR="008374B9" w:rsidRPr="0028570D" w:rsidRDefault="00B9633C" w:rsidP="00B9633C">
            <w:pPr>
              <w:jc w:val="right"/>
              <w:rPr>
                <w:rFonts w:ascii="CAIXA Std Book" w:eastAsia="Times New Roman" w:hAnsi="CAIXA Std Book" w:cs="Arial"/>
                <w:color w:val="005CA9"/>
                <w:sz w:val="14"/>
                <w:szCs w:val="14"/>
              </w:rPr>
            </w:pPr>
            <w:r w:rsidRPr="00B9633C">
              <w:rPr>
                <w:rFonts w:ascii="CAIXA Std Book" w:hAnsi="CAIXA Std Book" w:cs="Arial"/>
                <w:color w:val="005CA9"/>
                <w:sz w:val="14"/>
                <w:szCs w:val="14"/>
              </w:rPr>
              <w:t>255.169</w:t>
            </w:r>
          </w:p>
        </w:tc>
        <w:tc>
          <w:tcPr>
            <w:tcW w:w="477" w:type="pct"/>
            <w:tcBorders>
              <w:top w:val="nil"/>
              <w:left w:val="nil"/>
              <w:bottom w:val="nil"/>
              <w:right w:val="nil"/>
            </w:tcBorders>
            <w:noWrap/>
            <w:vAlign w:val="center"/>
          </w:tcPr>
          <w:p w14:paraId="305A1FCA" w14:textId="5C5C768B" w:rsidR="008374B9" w:rsidRPr="0028570D" w:rsidRDefault="00B9633C">
            <w:pPr>
              <w:jc w:val="center"/>
              <w:rPr>
                <w:rFonts w:ascii="CAIXA Std Book" w:eastAsia="Times New Roman" w:hAnsi="CAIXA Std Book" w:cs="Calibri"/>
                <w:color w:val="005CA9"/>
                <w:sz w:val="14"/>
                <w:szCs w:val="14"/>
              </w:rPr>
            </w:pPr>
            <w:r w:rsidRPr="00B9633C">
              <w:rPr>
                <w:rFonts w:ascii="CAIXA Std Book" w:hAnsi="CAIXA Std Book" w:cs="Arial"/>
                <w:color w:val="005CA9"/>
                <w:sz w:val="14"/>
                <w:szCs w:val="14"/>
              </w:rPr>
              <w:t>-</w:t>
            </w:r>
          </w:p>
        </w:tc>
        <w:tc>
          <w:tcPr>
            <w:tcW w:w="477" w:type="pct"/>
            <w:tcBorders>
              <w:top w:val="nil"/>
              <w:left w:val="nil"/>
              <w:bottom w:val="nil"/>
              <w:right w:val="nil"/>
            </w:tcBorders>
            <w:noWrap/>
            <w:vAlign w:val="center"/>
          </w:tcPr>
          <w:p w14:paraId="0C825629" w14:textId="623C9D14" w:rsidR="008374B9" w:rsidRPr="0028570D" w:rsidRDefault="00B9633C">
            <w:pPr>
              <w:jc w:val="center"/>
              <w:rPr>
                <w:rFonts w:ascii="CAIXA Std Book" w:eastAsia="Times New Roman" w:hAnsi="CAIXA Std Book" w:cs="Calibri"/>
                <w:color w:val="005CA9"/>
                <w:sz w:val="14"/>
                <w:szCs w:val="14"/>
              </w:rPr>
            </w:pPr>
            <w:r w:rsidRPr="00B9633C">
              <w:rPr>
                <w:rFonts w:ascii="CAIXA Std Book" w:hAnsi="CAIXA Std Book" w:cs="Arial"/>
                <w:color w:val="005CA9"/>
                <w:sz w:val="14"/>
                <w:szCs w:val="14"/>
              </w:rPr>
              <w:t>-</w:t>
            </w:r>
          </w:p>
        </w:tc>
        <w:tc>
          <w:tcPr>
            <w:tcW w:w="452" w:type="pct"/>
            <w:tcBorders>
              <w:top w:val="nil"/>
              <w:left w:val="nil"/>
              <w:bottom w:val="nil"/>
              <w:right w:val="nil"/>
            </w:tcBorders>
            <w:vAlign w:val="center"/>
          </w:tcPr>
          <w:p w14:paraId="7F302B32" w14:textId="4A63040C" w:rsidR="008374B9" w:rsidRPr="0028570D" w:rsidRDefault="00B9633C">
            <w:pPr>
              <w:jc w:val="center"/>
              <w:rPr>
                <w:rFonts w:ascii="CAIXA Std Book" w:eastAsia="Times New Roman" w:hAnsi="CAIXA Std Book" w:cs="Calibri"/>
                <w:color w:val="005CA9"/>
                <w:sz w:val="14"/>
                <w:szCs w:val="14"/>
              </w:rPr>
            </w:pPr>
            <w:r w:rsidRPr="00B9633C">
              <w:rPr>
                <w:rFonts w:ascii="CAIXA Std Book" w:hAnsi="CAIXA Std Book" w:cs="Arial"/>
                <w:color w:val="005CA9"/>
                <w:sz w:val="14"/>
                <w:szCs w:val="14"/>
              </w:rPr>
              <w:t>-</w:t>
            </w:r>
          </w:p>
        </w:tc>
        <w:tc>
          <w:tcPr>
            <w:tcW w:w="502" w:type="pct"/>
            <w:tcBorders>
              <w:top w:val="nil"/>
              <w:left w:val="nil"/>
              <w:bottom w:val="nil"/>
              <w:right w:val="nil"/>
            </w:tcBorders>
            <w:vAlign w:val="center"/>
          </w:tcPr>
          <w:p w14:paraId="75F6283A" w14:textId="77777777" w:rsidR="008374B9" w:rsidRPr="0028570D" w:rsidRDefault="008374B9">
            <w:pPr>
              <w:ind w:firstLineChars="100" w:firstLine="140"/>
              <w:jc w:val="center"/>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w:t>
            </w:r>
          </w:p>
        </w:tc>
        <w:tc>
          <w:tcPr>
            <w:tcW w:w="477" w:type="pct"/>
            <w:tcBorders>
              <w:top w:val="nil"/>
              <w:left w:val="nil"/>
              <w:bottom w:val="nil"/>
              <w:right w:val="nil"/>
            </w:tcBorders>
            <w:vAlign w:val="center"/>
          </w:tcPr>
          <w:p w14:paraId="7F723E11" w14:textId="77777777" w:rsidR="008374B9" w:rsidRPr="0028570D" w:rsidRDefault="008374B9">
            <w:pPr>
              <w:ind w:firstLineChars="100" w:firstLine="140"/>
              <w:jc w:val="center"/>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w:t>
            </w:r>
          </w:p>
        </w:tc>
        <w:tc>
          <w:tcPr>
            <w:tcW w:w="477" w:type="pct"/>
            <w:tcBorders>
              <w:top w:val="nil"/>
              <w:left w:val="nil"/>
              <w:bottom w:val="nil"/>
              <w:right w:val="nil"/>
            </w:tcBorders>
            <w:vAlign w:val="center"/>
          </w:tcPr>
          <w:p w14:paraId="5CC3FBE6" w14:textId="77777777" w:rsidR="008374B9" w:rsidRPr="0028570D" w:rsidRDefault="008374B9">
            <w:pPr>
              <w:jc w:val="center"/>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w:t>
            </w:r>
          </w:p>
        </w:tc>
        <w:tc>
          <w:tcPr>
            <w:tcW w:w="479" w:type="pct"/>
            <w:tcBorders>
              <w:top w:val="nil"/>
              <w:left w:val="nil"/>
              <w:bottom w:val="nil"/>
              <w:right w:val="nil"/>
            </w:tcBorders>
            <w:noWrap/>
            <w:vAlign w:val="center"/>
          </w:tcPr>
          <w:p w14:paraId="65A38BC8" w14:textId="77777777" w:rsidR="008374B9" w:rsidRPr="0028570D" w:rsidRDefault="008374B9">
            <w:pPr>
              <w:ind w:firstLineChars="100" w:firstLine="140"/>
              <w:jc w:val="right"/>
              <w:rPr>
                <w:rFonts w:ascii="CAIXA Std Book" w:eastAsia="Times New Roman" w:hAnsi="CAIXA Std Book" w:cs="Calibri"/>
                <w:color w:val="005CA9"/>
                <w:sz w:val="14"/>
                <w:szCs w:val="14"/>
              </w:rPr>
            </w:pPr>
            <w:r w:rsidRPr="0028570D">
              <w:rPr>
                <w:rFonts w:ascii="CAIXA Std Book" w:hAnsi="CAIXA Std Book" w:cs="Calibri"/>
                <w:color w:val="005CA9"/>
                <w:sz w:val="14"/>
                <w:szCs w:val="14"/>
              </w:rPr>
              <w:t>110.627</w:t>
            </w:r>
          </w:p>
        </w:tc>
      </w:tr>
      <w:tr w:rsidR="008374B9" w:rsidRPr="00E641A8" w14:paraId="4906B08B" w14:textId="77777777" w:rsidTr="00D16B7B">
        <w:trPr>
          <w:trHeight w:val="283"/>
          <w:jc w:val="center"/>
        </w:trPr>
        <w:tc>
          <w:tcPr>
            <w:tcW w:w="1182" w:type="pct"/>
            <w:tcBorders>
              <w:top w:val="nil"/>
              <w:left w:val="nil"/>
              <w:bottom w:val="nil"/>
              <w:right w:val="nil"/>
            </w:tcBorders>
            <w:noWrap/>
            <w:vAlign w:val="center"/>
            <w:hideMark/>
          </w:tcPr>
          <w:p w14:paraId="1728CC8F" w14:textId="77777777" w:rsidR="008374B9" w:rsidRPr="0028570D" w:rsidRDefault="008374B9">
            <w:pPr>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Outras receitas operacionais</w:t>
            </w:r>
          </w:p>
        </w:tc>
        <w:tc>
          <w:tcPr>
            <w:tcW w:w="477" w:type="pct"/>
            <w:tcBorders>
              <w:top w:val="nil"/>
              <w:left w:val="nil"/>
              <w:bottom w:val="nil"/>
            </w:tcBorders>
            <w:noWrap/>
            <w:vAlign w:val="center"/>
          </w:tcPr>
          <w:p w14:paraId="133C4465" w14:textId="35F83804" w:rsidR="008374B9" w:rsidRPr="0028570D" w:rsidRDefault="00B9633C">
            <w:pPr>
              <w:jc w:val="right"/>
              <w:rPr>
                <w:rFonts w:ascii="CAIXA Std Book" w:eastAsia="Times New Roman" w:hAnsi="CAIXA Std Book" w:cs="Arial"/>
                <w:color w:val="005CA9"/>
                <w:sz w:val="14"/>
                <w:szCs w:val="14"/>
              </w:rPr>
            </w:pPr>
            <w:r w:rsidRPr="00B9633C">
              <w:rPr>
                <w:rFonts w:ascii="CAIXA Std Book" w:hAnsi="CAIXA Std Book" w:cs="Arial"/>
                <w:color w:val="005CA9"/>
                <w:sz w:val="14"/>
                <w:szCs w:val="14"/>
              </w:rPr>
              <w:t>248.345</w:t>
            </w:r>
          </w:p>
        </w:tc>
        <w:tc>
          <w:tcPr>
            <w:tcW w:w="477" w:type="pct"/>
            <w:tcBorders>
              <w:top w:val="nil"/>
              <w:left w:val="nil"/>
              <w:bottom w:val="nil"/>
              <w:right w:val="nil"/>
            </w:tcBorders>
            <w:noWrap/>
            <w:vAlign w:val="center"/>
          </w:tcPr>
          <w:p w14:paraId="0A18A43F" w14:textId="2AF5A123" w:rsidR="008374B9" w:rsidRPr="0028570D" w:rsidRDefault="00B9633C">
            <w:pPr>
              <w:jc w:val="right"/>
              <w:rPr>
                <w:rFonts w:ascii="CAIXA Std Book" w:eastAsia="Times New Roman" w:hAnsi="CAIXA Std Book" w:cs="Calibri"/>
                <w:color w:val="005CA9"/>
                <w:sz w:val="14"/>
                <w:szCs w:val="14"/>
              </w:rPr>
            </w:pPr>
            <w:r w:rsidRPr="00B9633C">
              <w:rPr>
                <w:rFonts w:ascii="CAIXA Std Book" w:hAnsi="CAIXA Std Book" w:cs="Arial"/>
                <w:color w:val="005CA9"/>
                <w:sz w:val="14"/>
                <w:szCs w:val="14"/>
              </w:rPr>
              <w:t>45.339</w:t>
            </w:r>
          </w:p>
        </w:tc>
        <w:tc>
          <w:tcPr>
            <w:tcW w:w="477" w:type="pct"/>
            <w:tcBorders>
              <w:top w:val="nil"/>
              <w:left w:val="nil"/>
              <w:bottom w:val="nil"/>
              <w:right w:val="nil"/>
            </w:tcBorders>
            <w:noWrap/>
            <w:vAlign w:val="center"/>
          </w:tcPr>
          <w:p w14:paraId="6E61B849" w14:textId="2C337C28" w:rsidR="008374B9" w:rsidRPr="0028570D" w:rsidRDefault="00B9633C">
            <w:pPr>
              <w:jc w:val="right"/>
              <w:rPr>
                <w:rFonts w:ascii="CAIXA Std Book" w:eastAsia="Times New Roman" w:hAnsi="CAIXA Std Book" w:cs="Calibri"/>
                <w:color w:val="005CA9"/>
                <w:sz w:val="14"/>
                <w:szCs w:val="14"/>
              </w:rPr>
            </w:pPr>
            <w:r w:rsidRPr="00B9633C">
              <w:rPr>
                <w:rFonts w:ascii="CAIXA Std Book" w:hAnsi="CAIXA Std Book" w:cs="Arial"/>
                <w:color w:val="005CA9"/>
                <w:sz w:val="14"/>
                <w:szCs w:val="14"/>
              </w:rPr>
              <w:t>274</w:t>
            </w:r>
          </w:p>
        </w:tc>
        <w:tc>
          <w:tcPr>
            <w:tcW w:w="452" w:type="pct"/>
            <w:tcBorders>
              <w:top w:val="nil"/>
              <w:left w:val="nil"/>
              <w:bottom w:val="nil"/>
              <w:right w:val="nil"/>
            </w:tcBorders>
            <w:vAlign w:val="center"/>
          </w:tcPr>
          <w:p w14:paraId="35E7B996" w14:textId="4E2EC619" w:rsidR="008374B9" w:rsidRPr="0028570D" w:rsidRDefault="00B9633C">
            <w:pPr>
              <w:jc w:val="right"/>
              <w:rPr>
                <w:rFonts w:ascii="CAIXA Std Book" w:eastAsia="Times New Roman" w:hAnsi="CAIXA Std Book" w:cs="Calibri"/>
                <w:color w:val="005CA9"/>
                <w:sz w:val="14"/>
                <w:szCs w:val="14"/>
              </w:rPr>
            </w:pPr>
            <w:r w:rsidRPr="00B9633C">
              <w:rPr>
                <w:rFonts w:ascii="CAIXA Std Book" w:hAnsi="CAIXA Std Book" w:cs="Arial"/>
                <w:color w:val="005CA9"/>
                <w:sz w:val="14"/>
                <w:szCs w:val="14"/>
              </w:rPr>
              <w:t>2.036.073</w:t>
            </w:r>
          </w:p>
        </w:tc>
        <w:tc>
          <w:tcPr>
            <w:tcW w:w="502" w:type="pct"/>
            <w:tcBorders>
              <w:top w:val="nil"/>
              <w:left w:val="nil"/>
              <w:bottom w:val="nil"/>
              <w:right w:val="nil"/>
            </w:tcBorders>
            <w:vAlign w:val="center"/>
          </w:tcPr>
          <w:p w14:paraId="15C78D15" w14:textId="77777777" w:rsidR="008374B9" w:rsidRPr="0028570D" w:rsidRDefault="008374B9">
            <w:pPr>
              <w:ind w:firstLineChars="100" w:firstLine="140"/>
              <w:jc w:val="right"/>
              <w:rPr>
                <w:rFonts w:ascii="CAIXA Std Book" w:eastAsia="Times New Roman" w:hAnsi="CAIXA Std Book" w:cs="Calibri"/>
                <w:color w:val="005CA9"/>
                <w:sz w:val="14"/>
                <w:szCs w:val="14"/>
              </w:rPr>
            </w:pPr>
            <w:r w:rsidRPr="0028570D">
              <w:rPr>
                <w:rFonts w:ascii="CAIXA Std Book" w:hAnsi="CAIXA Std Book" w:cs="Calibri"/>
                <w:color w:val="005CA9"/>
                <w:sz w:val="14"/>
                <w:szCs w:val="14"/>
              </w:rPr>
              <w:t>361.963</w:t>
            </w:r>
          </w:p>
        </w:tc>
        <w:tc>
          <w:tcPr>
            <w:tcW w:w="477" w:type="pct"/>
            <w:tcBorders>
              <w:top w:val="nil"/>
              <w:left w:val="nil"/>
              <w:bottom w:val="nil"/>
              <w:right w:val="nil"/>
            </w:tcBorders>
            <w:vAlign w:val="center"/>
          </w:tcPr>
          <w:p w14:paraId="237C0D16" w14:textId="77777777" w:rsidR="008374B9" w:rsidRPr="0028570D" w:rsidRDefault="008374B9">
            <w:pPr>
              <w:ind w:firstLineChars="100" w:firstLine="140"/>
              <w:jc w:val="right"/>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4.198</w:t>
            </w:r>
          </w:p>
        </w:tc>
        <w:tc>
          <w:tcPr>
            <w:tcW w:w="477" w:type="pct"/>
            <w:tcBorders>
              <w:top w:val="nil"/>
              <w:left w:val="nil"/>
              <w:bottom w:val="nil"/>
              <w:right w:val="nil"/>
            </w:tcBorders>
            <w:vAlign w:val="center"/>
          </w:tcPr>
          <w:p w14:paraId="690ED025" w14:textId="77777777" w:rsidR="008374B9" w:rsidRPr="0028570D" w:rsidRDefault="008374B9">
            <w:pPr>
              <w:jc w:val="right"/>
              <w:rPr>
                <w:rFonts w:ascii="CAIXA Std Book" w:eastAsia="Times New Roman" w:hAnsi="CAIXA Std Book" w:cs="Calibri"/>
                <w:color w:val="005CA9"/>
                <w:sz w:val="14"/>
                <w:szCs w:val="14"/>
              </w:rPr>
            </w:pPr>
            <w:r w:rsidRPr="0028570D">
              <w:rPr>
                <w:rFonts w:ascii="CAIXA Std Book" w:eastAsia="Times New Roman" w:hAnsi="CAIXA Std Book" w:cs="Arial"/>
                <w:color w:val="005CA9"/>
                <w:sz w:val="14"/>
                <w:szCs w:val="14"/>
              </w:rPr>
              <w:t>171</w:t>
            </w:r>
          </w:p>
        </w:tc>
        <w:tc>
          <w:tcPr>
            <w:tcW w:w="479" w:type="pct"/>
            <w:tcBorders>
              <w:top w:val="nil"/>
              <w:left w:val="nil"/>
              <w:bottom w:val="nil"/>
              <w:right w:val="nil"/>
            </w:tcBorders>
            <w:noWrap/>
            <w:vAlign w:val="center"/>
          </w:tcPr>
          <w:p w14:paraId="7853FC65" w14:textId="77777777" w:rsidR="008374B9" w:rsidRPr="0028570D" w:rsidRDefault="008374B9">
            <w:pPr>
              <w:ind w:firstLineChars="100" w:firstLine="140"/>
              <w:jc w:val="right"/>
              <w:rPr>
                <w:rFonts w:ascii="CAIXA Std Book" w:eastAsia="Times New Roman" w:hAnsi="CAIXA Std Book" w:cs="Calibri"/>
                <w:color w:val="005CA9"/>
                <w:sz w:val="14"/>
                <w:szCs w:val="14"/>
              </w:rPr>
            </w:pPr>
            <w:r w:rsidRPr="0028570D">
              <w:rPr>
                <w:rFonts w:ascii="CAIXA Std Book" w:hAnsi="CAIXA Std Book" w:cs="Calibri"/>
                <w:color w:val="005CA9"/>
                <w:sz w:val="14"/>
                <w:szCs w:val="14"/>
              </w:rPr>
              <w:t>3.003.550</w:t>
            </w:r>
          </w:p>
        </w:tc>
      </w:tr>
      <w:tr w:rsidR="008374B9" w:rsidRPr="00E641A8" w14:paraId="0F14CD3A" w14:textId="77777777" w:rsidTr="00D16B7B">
        <w:trPr>
          <w:trHeight w:val="283"/>
          <w:jc w:val="center"/>
        </w:trPr>
        <w:tc>
          <w:tcPr>
            <w:tcW w:w="1182" w:type="pct"/>
            <w:tcBorders>
              <w:top w:val="nil"/>
              <w:left w:val="nil"/>
              <w:bottom w:val="nil"/>
              <w:right w:val="nil"/>
            </w:tcBorders>
            <w:shd w:val="clear" w:color="auto" w:fill="D0DFE3"/>
            <w:noWrap/>
            <w:vAlign w:val="center"/>
          </w:tcPr>
          <w:p w14:paraId="0E895988" w14:textId="77777777" w:rsidR="008374B9" w:rsidRPr="0028570D" w:rsidRDefault="008374B9">
            <w:pPr>
              <w:rPr>
                <w:rFonts w:ascii="CAIXA Std Book" w:eastAsia="Times New Roman" w:hAnsi="CAIXA Std Book" w:cs="Arial"/>
                <w:color w:val="005CA9"/>
                <w:sz w:val="14"/>
                <w:szCs w:val="14"/>
              </w:rPr>
            </w:pPr>
            <w:r w:rsidRPr="0028570D">
              <w:rPr>
                <w:rFonts w:ascii="CAIXA Std Book" w:eastAsia="Times New Roman" w:hAnsi="CAIXA Std Book" w:cs="Arial"/>
                <w:b/>
                <w:color w:val="005CA9"/>
                <w:sz w:val="14"/>
                <w:szCs w:val="14"/>
              </w:rPr>
              <w:t>Despesas</w:t>
            </w:r>
          </w:p>
        </w:tc>
        <w:tc>
          <w:tcPr>
            <w:tcW w:w="477" w:type="pct"/>
            <w:tcBorders>
              <w:top w:val="nil"/>
              <w:left w:val="nil"/>
              <w:bottom w:val="nil"/>
            </w:tcBorders>
            <w:shd w:val="clear" w:color="auto" w:fill="D0DFE3"/>
            <w:noWrap/>
            <w:vAlign w:val="center"/>
          </w:tcPr>
          <w:p w14:paraId="463C6E74" w14:textId="5FE2F022" w:rsidR="008374B9" w:rsidRPr="0028570D" w:rsidRDefault="00B9633C">
            <w:pPr>
              <w:jc w:val="right"/>
              <w:rPr>
                <w:rFonts w:ascii="CAIXA Std Book" w:hAnsi="CAIXA Std Book" w:cs="Arial"/>
                <w:color w:val="005CA9"/>
                <w:sz w:val="14"/>
                <w:szCs w:val="14"/>
              </w:rPr>
            </w:pPr>
            <w:r w:rsidRPr="00B9633C">
              <w:rPr>
                <w:rFonts w:ascii="CAIXA Std Book" w:hAnsi="CAIXA Std Book" w:cs="Arial"/>
                <w:b/>
                <w:bCs/>
                <w:color w:val="005CA9"/>
                <w:sz w:val="14"/>
                <w:szCs w:val="14"/>
              </w:rPr>
              <w:t>(2.740.038)</w:t>
            </w:r>
          </w:p>
        </w:tc>
        <w:tc>
          <w:tcPr>
            <w:tcW w:w="477" w:type="pct"/>
            <w:tcBorders>
              <w:top w:val="nil"/>
              <w:left w:val="nil"/>
              <w:bottom w:val="nil"/>
              <w:right w:val="nil"/>
            </w:tcBorders>
            <w:shd w:val="clear" w:color="auto" w:fill="D0DFE3"/>
            <w:noWrap/>
            <w:vAlign w:val="center"/>
          </w:tcPr>
          <w:p w14:paraId="17662CE3" w14:textId="2023305B" w:rsidR="008374B9" w:rsidRPr="0028570D" w:rsidRDefault="00B9633C">
            <w:pPr>
              <w:jc w:val="right"/>
              <w:rPr>
                <w:rFonts w:ascii="CAIXA Std Book" w:hAnsi="CAIXA Std Book" w:cs="Arial"/>
                <w:color w:val="005CA9"/>
                <w:sz w:val="14"/>
                <w:szCs w:val="14"/>
              </w:rPr>
            </w:pPr>
            <w:r w:rsidRPr="00B9633C">
              <w:rPr>
                <w:rFonts w:ascii="CAIXA Std Book" w:hAnsi="CAIXA Std Book" w:cs="Arial"/>
                <w:b/>
                <w:bCs/>
                <w:color w:val="005CA9"/>
                <w:sz w:val="14"/>
                <w:szCs w:val="14"/>
              </w:rPr>
              <w:t>(286.329)</w:t>
            </w:r>
          </w:p>
        </w:tc>
        <w:tc>
          <w:tcPr>
            <w:tcW w:w="477" w:type="pct"/>
            <w:tcBorders>
              <w:top w:val="nil"/>
              <w:left w:val="nil"/>
              <w:bottom w:val="nil"/>
              <w:right w:val="nil"/>
            </w:tcBorders>
            <w:shd w:val="clear" w:color="auto" w:fill="D0DFE3"/>
            <w:noWrap/>
            <w:vAlign w:val="center"/>
          </w:tcPr>
          <w:p w14:paraId="45D4C4A6" w14:textId="0102CB09" w:rsidR="008374B9" w:rsidRPr="0028570D" w:rsidRDefault="00B9633C">
            <w:pPr>
              <w:jc w:val="right"/>
              <w:rPr>
                <w:rFonts w:ascii="CAIXA Std Book" w:hAnsi="CAIXA Std Book" w:cs="Arial"/>
                <w:color w:val="005CA9"/>
                <w:sz w:val="14"/>
                <w:szCs w:val="14"/>
              </w:rPr>
            </w:pPr>
            <w:r w:rsidRPr="00B9633C">
              <w:rPr>
                <w:rFonts w:ascii="CAIXA Std Book" w:hAnsi="CAIXA Std Book" w:cs="Arial"/>
                <w:b/>
                <w:bCs/>
                <w:color w:val="005CA9"/>
                <w:sz w:val="14"/>
                <w:szCs w:val="14"/>
              </w:rPr>
              <w:t>(338.565)</w:t>
            </w:r>
          </w:p>
        </w:tc>
        <w:tc>
          <w:tcPr>
            <w:tcW w:w="452" w:type="pct"/>
            <w:tcBorders>
              <w:top w:val="nil"/>
              <w:left w:val="nil"/>
              <w:bottom w:val="nil"/>
              <w:right w:val="nil"/>
            </w:tcBorders>
            <w:shd w:val="clear" w:color="auto" w:fill="D0DFE3"/>
            <w:vAlign w:val="center"/>
          </w:tcPr>
          <w:p w14:paraId="0E88F963" w14:textId="6333BFAE" w:rsidR="008374B9" w:rsidRPr="0028570D" w:rsidRDefault="00B9633C">
            <w:pPr>
              <w:jc w:val="right"/>
              <w:rPr>
                <w:rFonts w:ascii="CAIXA Std Book" w:hAnsi="CAIXA Std Book" w:cs="Arial"/>
                <w:color w:val="005CA9"/>
                <w:sz w:val="14"/>
                <w:szCs w:val="14"/>
              </w:rPr>
            </w:pPr>
            <w:r w:rsidRPr="00B9633C">
              <w:rPr>
                <w:rFonts w:ascii="CAIXA Std Book" w:hAnsi="CAIXA Std Book" w:cs="Arial"/>
                <w:b/>
                <w:bCs/>
                <w:color w:val="005CA9"/>
                <w:sz w:val="14"/>
                <w:szCs w:val="14"/>
              </w:rPr>
              <w:t>(2.642.740)</w:t>
            </w:r>
          </w:p>
        </w:tc>
        <w:tc>
          <w:tcPr>
            <w:tcW w:w="502" w:type="pct"/>
            <w:tcBorders>
              <w:top w:val="nil"/>
              <w:left w:val="nil"/>
              <w:bottom w:val="nil"/>
              <w:right w:val="nil"/>
            </w:tcBorders>
            <w:shd w:val="clear" w:color="auto" w:fill="D0DFE3"/>
            <w:vAlign w:val="center"/>
          </w:tcPr>
          <w:p w14:paraId="37D3FFB7" w14:textId="77777777" w:rsidR="008374B9" w:rsidRPr="0028570D" w:rsidRDefault="008374B9">
            <w:pPr>
              <w:ind w:firstLineChars="100" w:firstLine="140"/>
              <w:jc w:val="right"/>
              <w:rPr>
                <w:rFonts w:ascii="CAIXA Std Book" w:eastAsia="Times New Roman" w:hAnsi="CAIXA Std Book" w:cs="Arial"/>
                <w:color w:val="005CA9"/>
                <w:sz w:val="14"/>
                <w:szCs w:val="14"/>
              </w:rPr>
            </w:pPr>
            <w:r w:rsidRPr="0028570D">
              <w:rPr>
                <w:rFonts w:ascii="CAIXA Std Book" w:hAnsi="CAIXA Std Book" w:cs="Calibri"/>
                <w:b/>
                <w:color w:val="005CA9"/>
                <w:sz w:val="14"/>
                <w:szCs w:val="14"/>
              </w:rPr>
              <w:t>(2.622.173)</w:t>
            </w:r>
          </w:p>
        </w:tc>
        <w:tc>
          <w:tcPr>
            <w:tcW w:w="477" w:type="pct"/>
            <w:tcBorders>
              <w:top w:val="nil"/>
              <w:left w:val="nil"/>
              <w:bottom w:val="nil"/>
              <w:right w:val="nil"/>
            </w:tcBorders>
            <w:shd w:val="clear" w:color="auto" w:fill="D0DFE3"/>
            <w:vAlign w:val="center"/>
          </w:tcPr>
          <w:p w14:paraId="5B05E486" w14:textId="77777777" w:rsidR="008374B9" w:rsidRPr="0028570D" w:rsidRDefault="008374B9">
            <w:pPr>
              <w:ind w:firstLineChars="100" w:firstLine="140"/>
              <w:jc w:val="right"/>
              <w:rPr>
                <w:rFonts w:ascii="CAIXA Std Book" w:eastAsia="Times New Roman" w:hAnsi="CAIXA Std Book" w:cs="Arial"/>
                <w:color w:val="005CA9"/>
                <w:sz w:val="14"/>
                <w:szCs w:val="14"/>
              </w:rPr>
            </w:pPr>
            <w:r w:rsidRPr="0028570D">
              <w:rPr>
                <w:rFonts w:ascii="CAIXA Std Book" w:hAnsi="CAIXA Std Book" w:cs="Calibri"/>
                <w:b/>
                <w:color w:val="005CA9"/>
                <w:sz w:val="14"/>
                <w:szCs w:val="14"/>
              </w:rPr>
              <w:t>(26.252)</w:t>
            </w:r>
          </w:p>
        </w:tc>
        <w:tc>
          <w:tcPr>
            <w:tcW w:w="477" w:type="pct"/>
            <w:tcBorders>
              <w:top w:val="nil"/>
              <w:left w:val="nil"/>
              <w:bottom w:val="nil"/>
              <w:right w:val="nil"/>
            </w:tcBorders>
            <w:shd w:val="clear" w:color="auto" w:fill="D0DFE3"/>
            <w:vAlign w:val="center"/>
          </w:tcPr>
          <w:p w14:paraId="0C1CC8BE" w14:textId="77777777" w:rsidR="008374B9" w:rsidRPr="0028570D" w:rsidRDefault="008374B9">
            <w:pPr>
              <w:jc w:val="right"/>
              <w:rPr>
                <w:rFonts w:ascii="CAIXA Std Book" w:eastAsia="Times New Roman" w:hAnsi="CAIXA Std Book" w:cs="Arial"/>
                <w:color w:val="005CA9"/>
                <w:sz w:val="14"/>
                <w:szCs w:val="14"/>
              </w:rPr>
            </w:pPr>
            <w:r w:rsidRPr="0028570D">
              <w:rPr>
                <w:rFonts w:ascii="CAIXA Std Book" w:hAnsi="CAIXA Std Book" w:cs="Calibri"/>
                <w:b/>
                <w:color w:val="005CA9"/>
                <w:sz w:val="14"/>
                <w:szCs w:val="14"/>
              </w:rPr>
              <w:t>(170.365)</w:t>
            </w:r>
          </w:p>
        </w:tc>
        <w:tc>
          <w:tcPr>
            <w:tcW w:w="479" w:type="pct"/>
            <w:tcBorders>
              <w:top w:val="nil"/>
              <w:left w:val="nil"/>
              <w:bottom w:val="nil"/>
              <w:right w:val="nil"/>
            </w:tcBorders>
            <w:shd w:val="clear" w:color="auto" w:fill="D0DFE3"/>
            <w:noWrap/>
            <w:vAlign w:val="center"/>
          </w:tcPr>
          <w:p w14:paraId="474DCF41" w14:textId="77777777" w:rsidR="008374B9" w:rsidRPr="0028570D" w:rsidRDefault="008374B9">
            <w:pPr>
              <w:ind w:firstLineChars="100" w:firstLine="140"/>
              <w:jc w:val="right"/>
              <w:rPr>
                <w:rFonts w:ascii="CAIXA Std Book" w:eastAsia="Times New Roman" w:hAnsi="CAIXA Std Book" w:cs="Arial"/>
                <w:color w:val="005CA9"/>
                <w:sz w:val="14"/>
                <w:szCs w:val="14"/>
              </w:rPr>
            </w:pPr>
            <w:r w:rsidRPr="0028570D">
              <w:rPr>
                <w:rFonts w:ascii="CAIXA Std Book" w:hAnsi="CAIXA Std Book" w:cs="Calibri"/>
                <w:b/>
                <w:color w:val="005CA9"/>
                <w:sz w:val="14"/>
                <w:szCs w:val="14"/>
              </w:rPr>
              <w:t>(11.049.475)</w:t>
            </w:r>
          </w:p>
        </w:tc>
      </w:tr>
      <w:tr w:rsidR="008374B9" w:rsidRPr="00E641A8" w14:paraId="01E8B789" w14:textId="77777777" w:rsidTr="009322CB">
        <w:trPr>
          <w:trHeight w:val="283"/>
          <w:jc w:val="center"/>
        </w:trPr>
        <w:tc>
          <w:tcPr>
            <w:tcW w:w="1182" w:type="pct"/>
            <w:tcBorders>
              <w:top w:val="nil"/>
              <w:left w:val="nil"/>
              <w:right w:val="nil"/>
            </w:tcBorders>
            <w:noWrap/>
            <w:vAlign w:val="center"/>
          </w:tcPr>
          <w:p w14:paraId="2C11F107" w14:textId="77777777" w:rsidR="008374B9" w:rsidRPr="0028570D" w:rsidRDefault="008374B9">
            <w:pPr>
              <w:rPr>
                <w:rFonts w:ascii="CAIXA Std Book" w:eastAsia="Times New Roman" w:hAnsi="CAIXA Std Book" w:cs="Arial"/>
                <w:color w:val="005CA9"/>
                <w:sz w:val="14"/>
                <w:szCs w:val="14"/>
              </w:rPr>
            </w:pPr>
            <w:r w:rsidRPr="0028570D">
              <w:rPr>
                <w:rFonts w:ascii="CAIXA Std Book" w:eastAsia="Times New Roman" w:hAnsi="CAIXA Std Book" w:cs="Arial"/>
                <w:color w:val="005CA9"/>
                <w:sz w:val="14"/>
                <w:szCs w:val="14"/>
              </w:rPr>
              <w:t>Despesas operacionais</w:t>
            </w:r>
          </w:p>
        </w:tc>
        <w:tc>
          <w:tcPr>
            <w:tcW w:w="477" w:type="pct"/>
            <w:tcBorders>
              <w:top w:val="nil"/>
              <w:left w:val="nil"/>
            </w:tcBorders>
            <w:noWrap/>
            <w:vAlign w:val="center"/>
          </w:tcPr>
          <w:p w14:paraId="475873E8" w14:textId="534D64E1" w:rsidR="008374B9" w:rsidRPr="0028570D" w:rsidRDefault="00B9633C" w:rsidP="00B9633C">
            <w:pPr>
              <w:jc w:val="right"/>
              <w:rPr>
                <w:rFonts w:ascii="CAIXA Std Book" w:hAnsi="CAIXA Std Book" w:cs="Arial"/>
                <w:color w:val="005CA9"/>
                <w:sz w:val="14"/>
                <w:szCs w:val="14"/>
              </w:rPr>
            </w:pPr>
            <w:r w:rsidRPr="00B9633C">
              <w:rPr>
                <w:rFonts w:ascii="CAIXA Std Book" w:hAnsi="CAIXA Std Book" w:cs="Arial"/>
                <w:color w:val="005CA9"/>
                <w:sz w:val="14"/>
                <w:szCs w:val="14"/>
              </w:rPr>
              <w:t>(1.390.035)</w:t>
            </w:r>
          </w:p>
        </w:tc>
        <w:tc>
          <w:tcPr>
            <w:tcW w:w="477" w:type="pct"/>
            <w:tcBorders>
              <w:top w:val="nil"/>
              <w:left w:val="nil"/>
              <w:right w:val="nil"/>
            </w:tcBorders>
            <w:noWrap/>
            <w:vAlign w:val="center"/>
          </w:tcPr>
          <w:p w14:paraId="2763675F" w14:textId="5B23FBE8" w:rsidR="008374B9" w:rsidRPr="0028570D" w:rsidRDefault="00B9633C">
            <w:pPr>
              <w:jc w:val="right"/>
              <w:rPr>
                <w:rFonts w:ascii="CAIXA Std Book" w:hAnsi="CAIXA Std Book" w:cs="Arial"/>
                <w:color w:val="005CA9"/>
                <w:sz w:val="14"/>
                <w:szCs w:val="14"/>
              </w:rPr>
            </w:pPr>
            <w:r w:rsidRPr="00B9633C">
              <w:rPr>
                <w:rFonts w:ascii="CAIXA Std Book" w:hAnsi="CAIXA Std Book" w:cs="Arial"/>
                <w:color w:val="005CA9"/>
                <w:sz w:val="14"/>
                <w:szCs w:val="14"/>
              </w:rPr>
              <w:t>(29.393)</w:t>
            </w:r>
          </w:p>
        </w:tc>
        <w:tc>
          <w:tcPr>
            <w:tcW w:w="477" w:type="pct"/>
            <w:tcBorders>
              <w:top w:val="nil"/>
              <w:left w:val="nil"/>
              <w:right w:val="nil"/>
            </w:tcBorders>
            <w:noWrap/>
            <w:vAlign w:val="center"/>
          </w:tcPr>
          <w:p w14:paraId="2B81640E" w14:textId="0E83C9E7" w:rsidR="008374B9" w:rsidRPr="0028570D" w:rsidRDefault="00B9633C" w:rsidP="00B9633C">
            <w:pPr>
              <w:jc w:val="right"/>
              <w:rPr>
                <w:rFonts w:ascii="CAIXA Std Book" w:hAnsi="CAIXA Std Book" w:cs="Arial"/>
                <w:color w:val="005CA9"/>
                <w:sz w:val="14"/>
                <w:szCs w:val="14"/>
              </w:rPr>
            </w:pPr>
            <w:r w:rsidRPr="00B9633C">
              <w:rPr>
                <w:rFonts w:ascii="CAIXA Std Book" w:hAnsi="CAIXA Std Book" w:cs="Arial"/>
                <w:color w:val="005CA9"/>
                <w:sz w:val="14"/>
                <w:szCs w:val="14"/>
              </w:rPr>
              <w:t>(142.116)</w:t>
            </w:r>
          </w:p>
        </w:tc>
        <w:tc>
          <w:tcPr>
            <w:tcW w:w="452" w:type="pct"/>
            <w:tcBorders>
              <w:top w:val="nil"/>
              <w:left w:val="nil"/>
              <w:right w:val="nil"/>
            </w:tcBorders>
            <w:vAlign w:val="center"/>
          </w:tcPr>
          <w:p w14:paraId="1DE83DF0" w14:textId="70E5557E" w:rsidR="008374B9" w:rsidRPr="0028570D" w:rsidRDefault="00B9633C">
            <w:pPr>
              <w:jc w:val="right"/>
              <w:rPr>
                <w:rFonts w:ascii="CAIXA Std Book" w:hAnsi="CAIXA Std Book" w:cs="Arial"/>
                <w:color w:val="005CA9"/>
                <w:sz w:val="14"/>
                <w:szCs w:val="14"/>
              </w:rPr>
            </w:pPr>
            <w:r w:rsidRPr="00B9633C">
              <w:rPr>
                <w:rFonts w:ascii="CAIXA Std Book" w:hAnsi="CAIXA Std Book" w:cs="Arial"/>
                <w:color w:val="005CA9"/>
                <w:sz w:val="14"/>
                <w:szCs w:val="14"/>
              </w:rPr>
              <w:t>(1.257.290)</w:t>
            </w:r>
          </w:p>
        </w:tc>
        <w:tc>
          <w:tcPr>
            <w:tcW w:w="502" w:type="pct"/>
            <w:tcBorders>
              <w:top w:val="nil"/>
              <w:left w:val="nil"/>
              <w:right w:val="nil"/>
            </w:tcBorders>
            <w:vAlign w:val="center"/>
          </w:tcPr>
          <w:p w14:paraId="719CD349" w14:textId="77777777" w:rsidR="008374B9" w:rsidRPr="0028570D" w:rsidRDefault="008374B9">
            <w:pPr>
              <w:ind w:firstLineChars="100" w:firstLine="140"/>
              <w:jc w:val="right"/>
              <w:rPr>
                <w:rFonts w:ascii="CAIXA Std Book" w:eastAsia="Times New Roman" w:hAnsi="CAIXA Std Book" w:cs="Arial"/>
                <w:color w:val="005CA9"/>
                <w:sz w:val="14"/>
                <w:szCs w:val="14"/>
              </w:rPr>
            </w:pPr>
            <w:r w:rsidRPr="0028570D">
              <w:rPr>
                <w:rFonts w:ascii="CAIXA Std Book" w:eastAsia="Times New Roman" w:hAnsi="CAIXA Std Book" w:cs="Arial"/>
                <w:color w:val="005CA9"/>
                <w:sz w:val="14"/>
                <w:szCs w:val="14"/>
              </w:rPr>
              <w:t>(1.943.560)</w:t>
            </w:r>
          </w:p>
        </w:tc>
        <w:tc>
          <w:tcPr>
            <w:tcW w:w="477" w:type="pct"/>
            <w:tcBorders>
              <w:top w:val="nil"/>
              <w:left w:val="nil"/>
              <w:right w:val="nil"/>
            </w:tcBorders>
            <w:vAlign w:val="center"/>
          </w:tcPr>
          <w:p w14:paraId="28629314" w14:textId="77777777" w:rsidR="008374B9" w:rsidRPr="0028570D" w:rsidRDefault="008374B9">
            <w:pPr>
              <w:ind w:firstLineChars="100" w:firstLine="140"/>
              <w:jc w:val="right"/>
              <w:rPr>
                <w:rFonts w:ascii="CAIXA Std Book" w:eastAsia="Times New Roman" w:hAnsi="CAIXA Std Book" w:cs="Arial"/>
                <w:color w:val="005CA9"/>
                <w:sz w:val="14"/>
                <w:szCs w:val="14"/>
              </w:rPr>
            </w:pPr>
            <w:r w:rsidRPr="0028570D">
              <w:rPr>
                <w:rFonts w:ascii="CAIXA Std Book" w:eastAsia="Times New Roman" w:hAnsi="CAIXA Std Book" w:cs="Arial"/>
                <w:color w:val="005CA9"/>
                <w:sz w:val="14"/>
                <w:szCs w:val="14"/>
              </w:rPr>
              <w:t>(3.492)</w:t>
            </w:r>
          </w:p>
        </w:tc>
        <w:tc>
          <w:tcPr>
            <w:tcW w:w="477" w:type="pct"/>
            <w:tcBorders>
              <w:top w:val="nil"/>
              <w:left w:val="nil"/>
              <w:right w:val="nil"/>
            </w:tcBorders>
            <w:vAlign w:val="center"/>
          </w:tcPr>
          <w:p w14:paraId="68B12DF8" w14:textId="77777777" w:rsidR="008374B9" w:rsidRPr="0028570D" w:rsidRDefault="008374B9">
            <w:pPr>
              <w:jc w:val="right"/>
              <w:rPr>
                <w:rFonts w:ascii="CAIXA Std Book" w:eastAsia="Times New Roman" w:hAnsi="CAIXA Std Book" w:cs="Arial"/>
                <w:color w:val="005CA9"/>
                <w:sz w:val="14"/>
                <w:szCs w:val="14"/>
              </w:rPr>
            </w:pPr>
            <w:r w:rsidRPr="0028570D">
              <w:rPr>
                <w:rFonts w:ascii="CAIXA Std Book" w:hAnsi="CAIXA Std Book" w:cs="Calibri"/>
                <w:color w:val="005CA9"/>
                <w:sz w:val="14"/>
                <w:szCs w:val="14"/>
              </w:rPr>
              <w:t>(153.286)</w:t>
            </w:r>
          </w:p>
        </w:tc>
        <w:tc>
          <w:tcPr>
            <w:tcW w:w="479" w:type="pct"/>
            <w:tcBorders>
              <w:top w:val="nil"/>
              <w:left w:val="nil"/>
              <w:right w:val="nil"/>
            </w:tcBorders>
            <w:noWrap/>
            <w:vAlign w:val="center"/>
          </w:tcPr>
          <w:p w14:paraId="703D7CC6" w14:textId="77777777" w:rsidR="008374B9" w:rsidRPr="0028570D" w:rsidRDefault="008374B9">
            <w:pPr>
              <w:ind w:firstLineChars="100" w:firstLine="140"/>
              <w:jc w:val="right"/>
              <w:rPr>
                <w:rFonts w:ascii="CAIXA Std Book" w:eastAsia="Times New Roman" w:hAnsi="CAIXA Std Book" w:cs="Arial"/>
                <w:color w:val="005CA9"/>
                <w:sz w:val="14"/>
                <w:szCs w:val="14"/>
              </w:rPr>
            </w:pPr>
            <w:r w:rsidRPr="0028570D">
              <w:rPr>
                <w:rFonts w:ascii="CAIXA Std Book" w:hAnsi="CAIXA Std Book" w:cs="Calibri"/>
                <w:color w:val="005CA9"/>
                <w:sz w:val="14"/>
                <w:szCs w:val="14"/>
              </w:rPr>
              <w:t>(327.503)</w:t>
            </w:r>
          </w:p>
        </w:tc>
      </w:tr>
      <w:tr w:rsidR="008374B9" w:rsidRPr="00E641A8" w14:paraId="1C1F5A8D" w14:textId="77777777" w:rsidTr="009322CB">
        <w:trPr>
          <w:trHeight w:val="283"/>
          <w:jc w:val="center"/>
        </w:trPr>
        <w:tc>
          <w:tcPr>
            <w:tcW w:w="1182" w:type="pct"/>
            <w:tcBorders>
              <w:top w:val="nil"/>
              <w:left w:val="nil"/>
              <w:bottom w:val="single" w:sz="4" w:space="0" w:color="1F497D" w:themeColor="text2"/>
              <w:right w:val="nil"/>
            </w:tcBorders>
            <w:noWrap/>
            <w:vAlign w:val="center"/>
          </w:tcPr>
          <w:p w14:paraId="57D5C322" w14:textId="77777777" w:rsidR="008374B9" w:rsidRPr="0028570D" w:rsidRDefault="008374B9">
            <w:pPr>
              <w:rPr>
                <w:rFonts w:ascii="CAIXA Std Book" w:eastAsia="Times New Roman" w:hAnsi="CAIXA Std Book" w:cs="Arial"/>
                <w:color w:val="005CA9"/>
                <w:sz w:val="14"/>
                <w:szCs w:val="14"/>
              </w:rPr>
            </w:pPr>
            <w:r w:rsidRPr="0028570D">
              <w:rPr>
                <w:rFonts w:ascii="CAIXA Std Book" w:eastAsia="Times New Roman" w:hAnsi="CAIXA Std Book" w:cs="Arial"/>
                <w:color w:val="005CA9"/>
                <w:sz w:val="14"/>
                <w:szCs w:val="14"/>
              </w:rPr>
              <w:t>Outras despesas operacionais</w:t>
            </w:r>
          </w:p>
        </w:tc>
        <w:tc>
          <w:tcPr>
            <w:tcW w:w="477" w:type="pct"/>
            <w:tcBorders>
              <w:top w:val="nil"/>
              <w:left w:val="nil"/>
              <w:bottom w:val="single" w:sz="4" w:space="0" w:color="1F497D" w:themeColor="text2"/>
            </w:tcBorders>
            <w:noWrap/>
            <w:vAlign w:val="center"/>
          </w:tcPr>
          <w:p w14:paraId="3EABCA51" w14:textId="290DB3EB" w:rsidR="008374B9" w:rsidRPr="0028570D" w:rsidRDefault="00B9633C">
            <w:pPr>
              <w:jc w:val="right"/>
              <w:rPr>
                <w:rFonts w:ascii="CAIXA Std Book" w:hAnsi="CAIXA Std Book" w:cs="Arial"/>
                <w:color w:val="005CA9"/>
                <w:sz w:val="14"/>
                <w:szCs w:val="14"/>
              </w:rPr>
            </w:pPr>
            <w:r w:rsidRPr="00B9633C">
              <w:rPr>
                <w:rFonts w:ascii="CAIXA Std Book" w:hAnsi="CAIXA Std Book" w:cs="Arial"/>
                <w:color w:val="005CA9"/>
                <w:sz w:val="14"/>
                <w:szCs w:val="14"/>
              </w:rPr>
              <w:t>(1.350.003)</w:t>
            </w:r>
          </w:p>
        </w:tc>
        <w:tc>
          <w:tcPr>
            <w:tcW w:w="477" w:type="pct"/>
            <w:tcBorders>
              <w:top w:val="nil"/>
              <w:left w:val="nil"/>
              <w:bottom w:val="single" w:sz="4" w:space="0" w:color="1F497D" w:themeColor="text2"/>
              <w:right w:val="nil"/>
            </w:tcBorders>
            <w:noWrap/>
            <w:vAlign w:val="center"/>
          </w:tcPr>
          <w:p w14:paraId="5F7D6389" w14:textId="0DBBFCA4" w:rsidR="008374B9" w:rsidRPr="0028570D" w:rsidRDefault="00B9633C">
            <w:pPr>
              <w:jc w:val="right"/>
              <w:rPr>
                <w:rFonts w:ascii="CAIXA Std Book" w:hAnsi="CAIXA Std Book" w:cs="Arial"/>
                <w:color w:val="005CA9"/>
                <w:sz w:val="14"/>
                <w:szCs w:val="14"/>
              </w:rPr>
            </w:pPr>
            <w:r w:rsidRPr="00B9633C">
              <w:rPr>
                <w:rFonts w:ascii="CAIXA Std Book" w:hAnsi="CAIXA Std Book" w:cs="Arial"/>
                <w:color w:val="005CA9"/>
                <w:sz w:val="14"/>
                <w:szCs w:val="14"/>
              </w:rPr>
              <w:t>(256.936)</w:t>
            </w:r>
          </w:p>
        </w:tc>
        <w:tc>
          <w:tcPr>
            <w:tcW w:w="477" w:type="pct"/>
            <w:tcBorders>
              <w:top w:val="nil"/>
              <w:left w:val="nil"/>
              <w:bottom w:val="single" w:sz="4" w:space="0" w:color="1F497D" w:themeColor="text2"/>
              <w:right w:val="nil"/>
            </w:tcBorders>
            <w:noWrap/>
            <w:vAlign w:val="center"/>
          </w:tcPr>
          <w:p w14:paraId="68605E00" w14:textId="7FD7D0E1" w:rsidR="008374B9" w:rsidRPr="0028570D" w:rsidRDefault="00B9633C">
            <w:pPr>
              <w:jc w:val="right"/>
              <w:rPr>
                <w:rFonts w:ascii="CAIXA Std Book" w:hAnsi="CAIXA Std Book" w:cs="Arial"/>
                <w:color w:val="005CA9"/>
                <w:sz w:val="14"/>
                <w:szCs w:val="14"/>
              </w:rPr>
            </w:pPr>
            <w:r w:rsidRPr="00B9633C">
              <w:rPr>
                <w:rFonts w:ascii="CAIXA Std Book" w:hAnsi="CAIXA Std Book" w:cs="Arial"/>
                <w:color w:val="005CA9"/>
                <w:sz w:val="14"/>
                <w:szCs w:val="14"/>
              </w:rPr>
              <w:t>(196.449)</w:t>
            </w:r>
          </w:p>
        </w:tc>
        <w:tc>
          <w:tcPr>
            <w:tcW w:w="452" w:type="pct"/>
            <w:tcBorders>
              <w:top w:val="nil"/>
              <w:left w:val="nil"/>
              <w:bottom w:val="single" w:sz="4" w:space="0" w:color="1F497D" w:themeColor="text2"/>
              <w:right w:val="nil"/>
            </w:tcBorders>
            <w:vAlign w:val="center"/>
          </w:tcPr>
          <w:p w14:paraId="54032108" w14:textId="15753583" w:rsidR="008374B9" w:rsidRPr="0028570D" w:rsidRDefault="00B9633C">
            <w:pPr>
              <w:jc w:val="right"/>
              <w:rPr>
                <w:rFonts w:ascii="CAIXA Std Book" w:hAnsi="CAIXA Std Book" w:cs="Arial"/>
                <w:color w:val="005CA9"/>
                <w:sz w:val="14"/>
                <w:szCs w:val="14"/>
              </w:rPr>
            </w:pPr>
            <w:r w:rsidRPr="00B9633C">
              <w:rPr>
                <w:rFonts w:ascii="CAIXA Std Book" w:hAnsi="CAIXA Std Book" w:cs="Arial"/>
                <w:color w:val="005CA9"/>
                <w:sz w:val="14"/>
                <w:szCs w:val="14"/>
              </w:rPr>
              <w:t>(1.385.450)</w:t>
            </w:r>
          </w:p>
        </w:tc>
        <w:tc>
          <w:tcPr>
            <w:tcW w:w="502" w:type="pct"/>
            <w:tcBorders>
              <w:top w:val="nil"/>
              <w:left w:val="nil"/>
              <w:bottom w:val="single" w:sz="4" w:space="0" w:color="1F497D" w:themeColor="text2"/>
              <w:right w:val="nil"/>
            </w:tcBorders>
            <w:vAlign w:val="center"/>
          </w:tcPr>
          <w:p w14:paraId="1717137D" w14:textId="77777777" w:rsidR="008374B9" w:rsidRPr="0028570D" w:rsidRDefault="008374B9">
            <w:pPr>
              <w:ind w:firstLineChars="100" w:firstLine="140"/>
              <w:jc w:val="right"/>
              <w:rPr>
                <w:rFonts w:ascii="CAIXA Std Book" w:eastAsia="Times New Roman" w:hAnsi="CAIXA Std Book" w:cs="Arial"/>
                <w:color w:val="005CA9"/>
                <w:sz w:val="14"/>
                <w:szCs w:val="14"/>
              </w:rPr>
            </w:pPr>
            <w:r w:rsidRPr="0028570D">
              <w:rPr>
                <w:rFonts w:ascii="CAIXA Std Book" w:eastAsia="Times New Roman" w:hAnsi="CAIXA Std Book" w:cs="Arial"/>
                <w:color w:val="005CA9"/>
                <w:sz w:val="14"/>
                <w:szCs w:val="14"/>
              </w:rPr>
              <w:t>(678.613)</w:t>
            </w:r>
          </w:p>
        </w:tc>
        <w:tc>
          <w:tcPr>
            <w:tcW w:w="477" w:type="pct"/>
            <w:tcBorders>
              <w:top w:val="nil"/>
              <w:left w:val="nil"/>
              <w:bottom w:val="single" w:sz="4" w:space="0" w:color="1F497D" w:themeColor="text2"/>
              <w:right w:val="nil"/>
            </w:tcBorders>
            <w:vAlign w:val="center"/>
          </w:tcPr>
          <w:p w14:paraId="6B53653E" w14:textId="77777777" w:rsidR="008374B9" w:rsidRPr="0028570D" w:rsidRDefault="008374B9">
            <w:pPr>
              <w:ind w:firstLineChars="100" w:firstLine="140"/>
              <w:jc w:val="right"/>
              <w:rPr>
                <w:rFonts w:ascii="CAIXA Std Book" w:eastAsia="Times New Roman" w:hAnsi="CAIXA Std Book" w:cs="Arial"/>
                <w:color w:val="005CA9"/>
                <w:sz w:val="14"/>
                <w:szCs w:val="14"/>
              </w:rPr>
            </w:pPr>
            <w:r w:rsidRPr="0028570D">
              <w:rPr>
                <w:rFonts w:ascii="CAIXA Std Book" w:eastAsia="Times New Roman" w:hAnsi="CAIXA Std Book" w:cs="Arial"/>
                <w:color w:val="005CA9"/>
                <w:sz w:val="14"/>
                <w:szCs w:val="14"/>
              </w:rPr>
              <w:t>(22.760)</w:t>
            </w:r>
          </w:p>
        </w:tc>
        <w:tc>
          <w:tcPr>
            <w:tcW w:w="477" w:type="pct"/>
            <w:tcBorders>
              <w:top w:val="nil"/>
              <w:left w:val="nil"/>
              <w:bottom w:val="single" w:sz="4" w:space="0" w:color="1F497D" w:themeColor="text2"/>
              <w:right w:val="nil"/>
            </w:tcBorders>
            <w:vAlign w:val="center"/>
          </w:tcPr>
          <w:p w14:paraId="795FFC9F" w14:textId="77777777" w:rsidR="008374B9" w:rsidRPr="0028570D" w:rsidRDefault="008374B9">
            <w:pPr>
              <w:jc w:val="right"/>
              <w:rPr>
                <w:rFonts w:ascii="CAIXA Std Book" w:eastAsia="Times New Roman" w:hAnsi="CAIXA Std Book" w:cs="Arial"/>
                <w:color w:val="005CA9"/>
                <w:sz w:val="14"/>
                <w:szCs w:val="14"/>
              </w:rPr>
            </w:pPr>
            <w:r w:rsidRPr="0028570D">
              <w:rPr>
                <w:rFonts w:ascii="CAIXA Std Book" w:eastAsia="Times New Roman" w:hAnsi="CAIXA Std Book" w:cs="Arial"/>
                <w:color w:val="005CA9"/>
                <w:sz w:val="14"/>
                <w:szCs w:val="14"/>
              </w:rPr>
              <w:t>(17.079)</w:t>
            </w:r>
          </w:p>
        </w:tc>
        <w:tc>
          <w:tcPr>
            <w:tcW w:w="479" w:type="pct"/>
            <w:tcBorders>
              <w:top w:val="nil"/>
              <w:left w:val="nil"/>
              <w:bottom w:val="single" w:sz="4" w:space="0" w:color="1F497D" w:themeColor="text2"/>
              <w:right w:val="nil"/>
            </w:tcBorders>
            <w:noWrap/>
            <w:vAlign w:val="center"/>
          </w:tcPr>
          <w:p w14:paraId="726B5EC3" w14:textId="77777777" w:rsidR="008374B9" w:rsidRPr="0028570D" w:rsidRDefault="008374B9">
            <w:pPr>
              <w:ind w:firstLineChars="100" w:firstLine="140"/>
              <w:jc w:val="right"/>
              <w:rPr>
                <w:rFonts w:ascii="CAIXA Std Book" w:eastAsia="Times New Roman" w:hAnsi="CAIXA Std Book" w:cs="Arial"/>
                <w:color w:val="005CA9"/>
                <w:sz w:val="14"/>
                <w:szCs w:val="14"/>
              </w:rPr>
            </w:pPr>
            <w:r w:rsidRPr="0028570D">
              <w:rPr>
                <w:rFonts w:ascii="CAIXA Std Book" w:hAnsi="CAIXA Std Book" w:cs="Calibri"/>
                <w:color w:val="005CA9"/>
                <w:sz w:val="14"/>
                <w:szCs w:val="14"/>
              </w:rPr>
              <w:t>(10.721.972)</w:t>
            </w:r>
          </w:p>
        </w:tc>
      </w:tr>
    </w:tbl>
    <w:p w14:paraId="116C6B23" w14:textId="77777777" w:rsidR="004451B4" w:rsidRDefault="004451B4">
      <w:pPr>
        <w:rPr>
          <w:rFonts w:ascii="CAIXA Std Book" w:hAnsi="CAIXA Std Book"/>
          <w:b/>
          <w:color w:val="005CA9"/>
          <w:sz w:val="20"/>
          <w:szCs w:val="20"/>
        </w:rPr>
        <w:sectPr w:rsidR="004451B4" w:rsidSect="00D16B7B">
          <w:headerReference w:type="default" r:id="rId89"/>
          <w:footerReference w:type="default" r:id="rId90"/>
          <w:headerReference w:type="first" r:id="rId91"/>
          <w:footerReference w:type="first" r:id="rId92"/>
          <w:pgSz w:w="16840" w:h="11907" w:orient="landscape" w:code="9"/>
          <w:pgMar w:top="1985" w:right="851" w:bottom="1418" w:left="1418" w:header="1134" w:footer="709" w:gutter="0"/>
          <w:cols w:space="708"/>
          <w:titlePg/>
          <w:docGrid w:linePitch="360"/>
        </w:sectPr>
      </w:pPr>
    </w:p>
    <w:p w14:paraId="3D6A62BB" w14:textId="147ACA29" w:rsidR="005026AB" w:rsidRPr="00FF4346" w:rsidRDefault="005026AB" w:rsidP="00295657">
      <w:pPr>
        <w:pStyle w:val="PargrafodaLista"/>
        <w:numPr>
          <w:ilvl w:val="0"/>
          <w:numId w:val="33"/>
        </w:numPr>
        <w:spacing w:before="240" w:after="240"/>
        <w:ind w:left="567" w:hanging="567"/>
        <w:jc w:val="both"/>
        <w:rPr>
          <w:rFonts w:ascii="CAIXA Std Book" w:hAnsi="CAIXA Std Book"/>
          <w:b/>
          <w:color w:val="005CA9"/>
          <w:sz w:val="20"/>
          <w:szCs w:val="20"/>
        </w:rPr>
      </w:pPr>
      <w:bookmarkStart w:id="161" w:name="_Hlk48302948"/>
      <w:r w:rsidRPr="00FF4346">
        <w:rPr>
          <w:rFonts w:ascii="CAIXA Std Book" w:hAnsi="CAIXA Std Book"/>
          <w:b/>
          <w:color w:val="005CA9"/>
          <w:sz w:val="20"/>
          <w:szCs w:val="20"/>
        </w:rPr>
        <w:t xml:space="preserve">Remuneração do </w:t>
      </w:r>
      <w:r w:rsidR="00A33D12">
        <w:rPr>
          <w:rFonts w:ascii="CAIXA Std Book" w:hAnsi="CAIXA Std Book"/>
          <w:b/>
          <w:color w:val="005CA9"/>
          <w:sz w:val="20"/>
          <w:szCs w:val="20"/>
        </w:rPr>
        <w:t>p</w:t>
      </w:r>
      <w:r w:rsidRPr="00FF4346">
        <w:rPr>
          <w:rFonts w:ascii="CAIXA Std Book" w:hAnsi="CAIXA Std Book"/>
          <w:b/>
          <w:color w:val="005CA9"/>
          <w:sz w:val="20"/>
          <w:szCs w:val="20"/>
        </w:rPr>
        <w:t>essoal</w:t>
      </w:r>
      <w:r w:rsidR="0095595B">
        <w:rPr>
          <w:rFonts w:ascii="CAIXA Std Book" w:hAnsi="CAIXA Std Book"/>
          <w:b/>
          <w:color w:val="005CA9"/>
          <w:sz w:val="20"/>
          <w:szCs w:val="20"/>
        </w:rPr>
        <w:t>-</w:t>
      </w:r>
      <w:r w:rsidRPr="00FF4346">
        <w:rPr>
          <w:rFonts w:ascii="CAIXA Std Book" w:hAnsi="CAIXA Std Book"/>
          <w:b/>
          <w:color w:val="005CA9"/>
          <w:sz w:val="20"/>
          <w:szCs w:val="20"/>
        </w:rPr>
        <w:t>chave da administração</w:t>
      </w:r>
    </w:p>
    <w:p w14:paraId="4C7E052A" w14:textId="410BFC16" w:rsidR="00934CB6" w:rsidRDefault="00934CB6" w:rsidP="00F50163">
      <w:pPr>
        <w:spacing w:before="120" w:after="120"/>
        <w:jc w:val="both"/>
        <w:rPr>
          <w:rFonts w:ascii="CAIXA Std Book" w:hAnsi="CAIXA Std Book"/>
          <w:color w:val="005CA9"/>
          <w:sz w:val="20"/>
          <w:szCs w:val="20"/>
        </w:rPr>
      </w:pPr>
      <w:r w:rsidRPr="00934CB6">
        <w:rPr>
          <w:rFonts w:ascii="CAIXA Std Book" w:hAnsi="CAIXA Std Book"/>
          <w:color w:val="005CA9"/>
          <w:sz w:val="20"/>
          <w:szCs w:val="20"/>
        </w:rPr>
        <w:t xml:space="preserve">O montante da remuneração global </w:t>
      </w:r>
      <w:r w:rsidR="00BE6365" w:rsidRPr="00BE6365">
        <w:rPr>
          <w:rFonts w:ascii="CAIXA Std Book" w:hAnsi="CAIXA Std Book"/>
          <w:color w:val="005CA9"/>
          <w:sz w:val="20"/>
          <w:szCs w:val="20"/>
        </w:rPr>
        <w:t xml:space="preserve">do </w:t>
      </w:r>
      <w:r w:rsidR="00D82134">
        <w:rPr>
          <w:rFonts w:ascii="CAIXA Std Book" w:hAnsi="CAIXA Std Book"/>
          <w:color w:val="005CA9"/>
          <w:sz w:val="20"/>
          <w:szCs w:val="20"/>
        </w:rPr>
        <w:t>P</w:t>
      </w:r>
      <w:r w:rsidR="00BE6365" w:rsidRPr="00BE6365">
        <w:rPr>
          <w:rFonts w:ascii="CAIXA Std Book" w:hAnsi="CAIXA Std Book"/>
          <w:color w:val="005CA9"/>
          <w:sz w:val="20"/>
          <w:szCs w:val="20"/>
        </w:rPr>
        <w:t>essoal</w:t>
      </w:r>
      <w:r w:rsidR="0095595B">
        <w:rPr>
          <w:rFonts w:ascii="CAIXA Std Book" w:hAnsi="CAIXA Std Book"/>
          <w:color w:val="005CA9"/>
          <w:sz w:val="20"/>
          <w:szCs w:val="20"/>
        </w:rPr>
        <w:t>-</w:t>
      </w:r>
      <w:r w:rsidR="00BE6365" w:rsidRPr="00BE6365">
        <w:rPr>
          <w:rFonts w:ascii="CAIXA Std Book" w:hAnsi="CAIXA Std Book"/>
          <w:color w:val="005CA9"/>
          <w:sz w:val="20"/>
          <w:szCs w:val="20"/>
        </w:rPr>
        <w:t xml:space="preserve">chave da administração </w:t>
      </w:r>
      <w:r w:rsidRPr="00934CB6">
        <w:rPr>
          <w:rFonts w:ascii="CAIXA Std Book" w:hAnsi="CAIXA Std Book"/>
          <w:color w:val="005CA9"/>
          <w:sz w:val="20"/>
          <w:szCs w:val="20"/>
        </w:rPr>
        <w:t xml:space="preserve">é submetido anualmente pelo Conselho de Administração </w:t>
      </w:r>
      <w:r>
        <w:rPr>
          <w:rFonts w:ascii="CAIXA Std Book" w:hAnsi="CAIXA Std Book"/>
          <w:color w:val="005CA9"/>
          <w:sz w:val="20"/>
          <w:szCs w:val="20"/>
        </w:rPr>
        <w:t xml:space="preserve">à </w:t>
      </w:r>
      <w:r w:rsidRPr="00934CB6">
        <w:rPr>
          <w:rFonts w:ascii="CAIXA Std Book" w:hAnsi="CAIXA Std Book"/>
          <w:color w:val="005CA9"/>
          <w:sz w:val="20"/>
          <w:szCs w:val="20"/>
        </w:rPr>
        <w:t>aprovação da Assembleia Geral da CAIXA.</w:t>
      </w:r>
    </w:p>
    <w:p w14:paraId="68B40CFB" w14:textId="4A1B6287" w:rsidR="005026AB" w:rsidRDefault="00934CB6" w:rsidP="005026AB">
      <w:pPr>
        <w:spacing w:before="120" w:after="240"/>
        <w:jc w:val="both"/>
        <w:rPr>
          <w:rFonts w:ascii="CAIXA Std Book" w:hAnsi="CAIXA Std Book"/>
          <w:color w:val="005CA9"/>
          <w:sz w:val="20"/>
          <w:szCs w:val="20"/>
        </w:rPr>
      </w:pPr>
      <w:r w:rsidRPr="00934CB6">
        <w:rPr>
          <w:rFonts w:ascii="CAIXA Std Book" w:hAnsi="CAIXA Std Book"/>
          <w:color w:val="005CA9"/>
          <w:sz w:val="20"/>
          <w:szCs w:val="20"/>
        </w:rPr>
        <w:t xml:space="preserve">As despesas com remuneração e benefícios </w:t>
      </w:r>
      <w:r w:rsidR="00BC415B">
        <w:rPr>
          <w:rFonts w:ascii="CAIXA Std Book" w:hAnsi="CAIXA Std Book"/>
          <w:color w:val="005CA9"/>
          <w:sz w:val="20"/>
          <w:szCs w:val="20"/>
        </w:rPr>
        <w:t>a</w:t>
      </w:r>
      <w:r w:rsidR="004C7EF1">
        <w:rPr>
          <w:rFonts w:ascii="CAIXA Std Book" w:hAnsi="CAIXA Std Book"/>
          <w:color w:val="005CA9"/>
          <w:sz w:val="20"/>
          <w:szCs w:val="20"/>
        </w:rPr>
        <w:t xml:space="preserve">o </w:t>
      </w:r>
      <w:r w:rsidR="00C22465">
        <w:rPr>
          <w:rFonts w:ascii="CAIXA Std Book" w:hAnsi="CAIXA Std Book"/>
          <w:color w:val="005CA9"/>
          <w:sz w:val="20"/>
          <w:szCs w:val="20"/>
        </w:rPr>
        <w:t>P</w:t>
      </w:r>
      <w:r w:rsidR="004C7EF1">
        <w:rPr>
          <w:rFonts w:ascii="CAIXA Std Book" w:hAnsi="CAIXA Std Book"/>
          <w:color w:val="005CA9"/>
          <w:sz w:val="20"/>
          <w:szCs w:val="20"/>
        </w:rPr>
        <w:t>essoal</w:t>
      </w:r>
      <w:r w:rsidR="0095595B">
        <w:rPr>
          <w:rFonts w:ascii="CAIXA Std Book" w:hAnsi="CAIXA Std Book"/>
          <w:color w:val="005CA9"/>
          <w:sz w:val="20"/>
          <w:szCs w:val="20"/>
        </w:rPr>
        <w:t>-</w:t>
      </w:r>
      <w:r w:rsidR="004C7EF1">
        <w:rPr>
          <w:rFonts w:ascii="CAIXA Std Book" w:hAnsi="CAIXA Std Book"/>
          <w:color w:val="005CA9"/>
          <w:sz w:val="20"/>
          <w:szCs w:val="20"/>
        </w:rPr>
        <w:t xml:space="preserve">chave </w:t>
      </w:r>
      <w:r w:rsidR="00F02D6F">
        <w:rPr>
          <w:rFonts w:ascii="CAIXA Std Book" w:hAnsi="CAIXA Std Book"/>
          <w:color w:val="005CA9"/>
          <w:sz w:val="20"/>
          <w:szCs w:val="20"/>
        </w:rPr>
        <w:t xml:space="preserve">estão </w:t>
      </w:r>
      <w:r w:rsidR="004C7EF1">
        <w:rPr>
          <w:rFonts w:ascii="CAIXA Std Book" w:hAnsi="CAIXA Std Book"/>
          <w:color w:val="005CA9"/>
          <w:sz w:val="20"/>
          <w:szCs w:val="20"/>
        </w:rPr>
        <w:t xml:space="preserve">demonstradas </w:t>
      </w:r>
      <w:r w:rsidR="00F02D6F">
        <w:rPr>
          <w:rFonts w:ascii="CAIXA Std Book" w:hAnsi="CAIXA Std Book"/>
          <w:color w:val="005CA9"/>
          <w:sz w:val="20"/>
          <w:szCs w:val="20"/>
        </w:rPr>
        <w:t>no quadro abaixo</w:t>
      </w:r>
      <w:r w:rsidR="000749A3">
        <w:rPr>
          <w:rFonts w:ascii="CAIXA Std Book" w:hAnsi="CAIXA Std Book"/>
          <w:color w:val="005CA9"/>
          <w:sz w:val="20"/>
          <w:szCs w:val="20"/>
        </w:rPr>
        <w:t>, por colegiado</w:t>
      </w:r>
      <w:r w:rsidRPr="00934CB6">
        <w:rPr>
          <w:rFonts w:ascii="CAIXA Std Book" w:hAnsi="CAIXA Std Book"/>
          <w:color w:val="005CA9"/>
          <w:sz w:val="20"/>
          <w:szCs w:val="20"/>
        </w:rPr>
        <w:t>:</w:t>
      </w:r>
    </w:p>
    <w:tbl>
      <w:tblPr>
        <w:tblW w:w="5000" w:type="pct"/>
        <w:tblLayout w:type="fixed"/>
        <w:tblCellMar>
          <w:left w:w="70" w:type="dxa"/>
          <w:right w:w="70" w:type="dxa"/>
        </w:tblCellMar>
        <w:tblLook w:val="04A0" w:firstRow="1" w:lastRow="0" w:firstColumn="1" w:lastColumn="0" w:noHBand="0" w:noVBand="1"/>
      </w:tblPr>
      <w:tblGrid>
        <w:gridCol w:w="5812"/>
        <w:gridCol w:w="1912"/>
        <w:gridCol w:w="1914"/>
      </w:tblGrid>
      <w:tr w:rsidR="005A4362" w:rsidRPr="00FC54CF" w14:paraId="06261839" w14:textId="77777777" w:rsidTr="00E06E0A">
        <w:trPr>
          <w:trHeight w:val="283"/>
        </w:trPr>
        <w:tc>
          <w:tcPr>
            <w:tcW w:w="3015" w:type="pct"/>
            <w:vMerge w:val="restart"/>
            <w:tcBorders>
              <w:top w:val="nil"/>
              <w:left w:val="nil"/>
              <w:right w:val="nil"/>
            </w:tcBorders>
            <w:shd w:val="clear" w:color="000000" w:fill="005CA9"/>
            <w:vAlign w:val="center"/>
            <w:hideMark/>
          </w:tcPr>
          <w:p w14:paraId="6FF186DE" w14:textId="77777777" w:rsidR="005A4362" w:rsidRPr="00FC54CF" w:rsidRDefault="005A4362">
            <w:pPr>
              <w:jc w:val="center"/>
              <w:rPr>
                <w:rFonts w:ascii="CAIXA Std Book" w:eastAsia="Times New Roman" w:hAnsi="CAIXA Std Book" w:cs="Times New Roman"/>
                <w:b/>
                <w:bCs/>
                <w:color w:val="FFFFFF"/>
                <w:sz w:val="18"/>
                <w:szCs w:val="18"/>
              </w:rPr>
            </w:pPr>
            <w:r w:rsidRPr="00FC54CF">
              <w:rPr>
                <w:rFonts w:ascii="CAIXA Std Book" w:eastAsia="Times New Roman" w:hAnsi="CAIXA Std Book" w:cs="Times New Roman"/>
                <w:b/>
                <w:bCs/>
                <w:color w:val="FFFFFF"/>
                <w:sz w:val="18"/>
                <w:szCs w:val="18"/>
              </w:rPr>
              <w:t>Descrição</w:t>
            </w:r>
          </w:p>
        </w:tc>
        <w:tc>
          <w:tcPr>
            <w:tcW w:w="1985" w:type="pct"/>
            <w:gridSpan w:val="2"/>
            <w:tcBorders>
              <w:top w:val="nil"/>
              <w:left w:val="nil"/>
              <w:bottom w:val="single" w:sz="4" w:space="0" w:color="FFFFFF" w:themeColor="background1"/>
              <w:right w:val="nil"/>
            </w:tcBorders>
            <w:shd w:val="clear" w:color="000000" w:fill="005CA9"/>
            <w:vAlign w:val="center"/>
            <w:hideMark/>
          </w:tcPr>
          <w:p w14:paraId="1FCFE8E3" w14:textId="77777777" w:rsidR="005A4362" w:rsidRPr="00FC54CF" w:rsidRDefault="005A4362">
            <w:pPr>
              <w:jc w:val="center"/>
              <w:rPr>
                <w:rFonts w:ascii="CAIXA Std Book" w:eastAsia="Times New Roman" w:hAnsi="CAIXA Std Book" w:cs="Times New Roman"/>
                <w:b/>
                <w:bCs/>
                <w:color w:val="FFFFFF"/>
                <w:sz w:val="18"/>
                <w:szCs w:val="18"/>
              </w:rPr>
            </w:pPr>
            <w:r w:rsidRPr="00FC54CF">
              <w:rPr>
                <w:rFonts w:ascii="CAIXA Std Book" w:eastAsia="Times New Roman" w:hAnsi="CAIXA Std Book" w:cs="Times New Roman"/>
                <w:b/>
                <w:bCs/>
                <w:color w:val="FFFFFF"/>
                <w:sz w:val="18"/>
                <w:szCs w:val="18"/>
              </w:rPr>
              <w:t>Individual</w:t>
            </w:r>
          </w:p>
        </w:tc>
      </w:tr>
      <w:tr w:rsidR="005A4362" w:rsidRPr="00FC54CF" w14:paraId="6187ACF3" w14:textId="77777777" w:rsidTr="00E06E0A">
        <w:trPr>
          <w:trHeight w:val="283"/>
        </w:trPr>
        <w:tc>
          <w:tcPr>
            <w:tcW w:w="3015" w:type="pct"/>
            <w:vMerge/>
            <w:tcBorders>
              <w:top w:val="nil"/>
              <w:left w:val="nil"/>
              <w:right w:val="nil"/>
            </w:tcBorders>
            <w:vAlign w:val="center"/>
            <w:hideMark/>
          </w:tcPr>
          <w:p w14:paraId="7E7BE851" w14:textId="77777777" w:rsidR="005A4362" w:rsidRPr="00FC54CF" w:rsidRDefault="005A4362">
            <w:pPr>
              <w:rPr>
                <w:rFonts w:ascii="CAIXA Std Book" w:eastAsia="Times New Roman" w:hAnsi="CAIXA Std Book" w:cs="Times New Roman"/>
                <w:b/>
                <w:bCs/>
                <w:color w:val="FFFFFF"/>
                <w:sz w:val="18"/>
                <w:szCs w:val="18"/>
              </w:rPr>
            </w:pPr>
          </w:p>
        </w:tc>
        <w:tc>
          <w:tcPr>
            <w:tcW w:w="992" w:type="pct"/>
            <w:tcBorders>
              <w:top w:val="single" w:sz="4" w:space="0" w:color="FFFFFF" w:themeColor="background1"/>
              <w:left w:val="nil"/>
              <w:bottom w:val="single" w:sz="4" w:space="0" w:color="FFFFFF" w:themeColor="background1"/>
              <w:right w:val="nil"/>
            </w:tcBorders>
            <w:shd w:val="clear" w:color="000000" w:fill="005CA9"/>
            <w:vAlign w:val="center"/>
            <w:hideMark/>
          </w:tcPr>
          <w:p w14:paraId="728C72AB" w14:textId="77777777" w:rsidR="005A4362" w:rsidRPr="00FC54CF" w:rsidRDefault="005A4362">
            <w:pPr>
              <w:jc w:val="center"/>
              <w:rPr>
                <w:rFonts w:ascii="CAIXA Std Book" w:eastAsia="Times New Roman" w:hAnsi="CAIXA Std Book" w:cs="Times New Roman"/>
                <w:b/>
                <w:bCs/>
                <w:color w:val="FFFFFF"/>
                <w:sz w:val="18"/>
                <w:szCs w:val="18"/>
              </w:rPr>
            </w:pPr>
            <w:r w:rsidRPr="00FC54CF">
              <w:rPr>
                <w:rFonts w:ascii="CAIXA Std Book" w:eastAsia="Times New Roman" w:hAnsi="CAIXA Std Book" w:cs="Times New Roman"/>
                <w:b/>
                <w:bCs/>
                <w:color w:val="FFFFFF"/>
                <w:sz w:val="18"/>
                <w:szCs w:val="18"/>
              </w:rPr>
              <w:t>2026</w:t>
            </w:r>
          </w:p>
        </w:tc>
        <w:tc>
          <w:tcPr>
            <w:tcW w:w="993" w:type="pct"/>
            <w:tcBorders>
              <w:top w:val="single" w:sz="4" w:space="0" w:color="FFFFFF" w:themeColor="background1"/>
              <w:left w:val="nil"/>
              <w:bottom w:val="single" w:sz="4" w:space="0" w:color="FFFFFF" w:themeColor="background1"/>
              <w:right w:val="nil"/>
            </w:tcBorders>
            <w:shd w:val="clear" w:color="000000" w:fill="005CA9"/>
            <w:vAlign w:val="center"/>
            <w:hideMark/>
          </w:tcPr>
          <w:p w14:paraId="11180515" w14:textId="77777777" w:rsidR="005A4362" w:rsidRPr="00FC54CF" w:rsidRDefault="005A4362">
            <w:pPr>
              <w:jc w:val="center"/>
              <w:rPr>
                <w:rFonts w:ascii="CAIXA Std Book" w:eastAsia="Times New Roman" w:hAnsi="CAIXA Std Book" w:cs="Times New Roman"/>
                <w:b/>
                <w:bCs/>
                <w:color w:val="FFFFFF"/>
                <w:sz w:val="18"/>
                <w:szCs w:val="18"/>
              </w:rPr>
            </w:pPr>
            <w:r w:rsidRPr="00FC54CF">
              <w:rPr>
                <w:rFonts w:ascii="CAIXA Std Book" w:eastAsia="Times New Roman" w:hAnsi="CAIXA Std Book" w:cs="Times New Roman"/>
                <w:b/>
                <w:bCs/>
                <w:color w:val="FFFFFF"/>
                <w:sz w:val="18"/>
                <w:szCs w:val="18"/>
              </w:rPr>
              <w:t>2025</w:t>
            </w:r>
          </w:p>
        </w:tc>
      </w:tr>
      <w:tr w:rsidR="005A4362" w:rsidRPr="00FC54CF" w14:paraId="2A4703C4" w14:textId="77777777" w:rsidTr="00E06E0A">
        <w:trPr>
          <w:trHeight w:val="283"/>
        </w:trPr>
        <w:tc>
          <w:tcPr>
            <w:tcW w:w="3015" w:type="pct"/>
            <w:vMerge/>
            <w:tcBorders>
              <w:top w:val="nil"/>
              <w:left w:val="nil"/>
              <w:bottom w:val="nil"/>
              <w:right w:val="nil"/>
            </w:tcBorders>
            <w:vAlign w:val="center"/>
            <w:hideMark/>
          </w:tcPr>
          <w:p w14:paraId="2D02DA91" w14:textId="77777777" w:rsidR="005A4362" w:rsidRPr="00FC54CF" w:rsidRDefault="005A4362">
            <w:pPr>
              <w:rPr>
                <w:rFonts w:ascii="CAIXA Std Book" w:eastAsia="Times New Roman" w:hAnsi="CAIXA Std Book" w:cs="Times New Roman"/>
                <w:b/>
                <w:bCs/>
                <w:color w:val="FFFFFF"/>
                <w:sz w:val="18"/>
                <w:szCs w:val="18"/>
              </w:rPr>
            </w:pPr>
          </w:p>
        </w:tc>
        <w:tc>
          <w:tcPr>
            <w:tcW w:w="992" w:type="pct"/>
            <w:tcBorders>
              <w:top w:val="single" w:sz="4" w:space="0" w:color="FFFFFF" w:themeColor="background1"/>
              <w:left w:val="nil"/>
              <w:bottom w:val="nil"/>
              <w:right w:val="nil"/>
            </w:tcBorders>
            <w:shd w:val="clear" w:color="000000" w:fill="005CA9"/>
            <w:vAlign w:val="center"/>
            <w:hideMark/>
          </w:tcPr>
          <w:p w14:paraId="6187C2EB" w14:textId="77777777" w:rsidR="005A4362" w:rsidRPr="00FC54CF" w:rsidRDefault="005A4362">
            <w:pPr>
              <w:jc w:val="center"/>
              <w:rPr>
                <w:rFonts w:ascii="CAIXA Std Book" w:eastAsia="Times New Roman" w:hAnsi="CAIXA Std Book" w:cs="Times New Roman"/>
                <w:b/>
                <w:bCs/>
                <w:color w:val="FFFFFF"/>
                <w:sz w:val="18"/>
                <w:szCs w:val="18"/>
              </w:rPr>
            </w:pPr>
            <w:r w:rsidRPr="00FC54CF">
              <w:rPr>
                <w:rFonts w:ascii="CAIXA Std Book" w:eastAsia="Times New Roman" w:hAnsi="CAIXA Std Book" w:cs="Calibri"/>
                <w:b/>
                <w:bCs/>
                <w:color w:val="FFFFFF"/>
                <w:sz w:val="18"/>
                <w:szCs w:val="18"/>
              </w:rPr>
              <w:t>1º trimestre</w:t>
            </w:r>
          </w:p>
        </w:tc>
        <w:tc>
          <w:tcPr>
            <w:tcW w:w="993" w:type="pct"/>
            <w:tcBorders>
              <w:top w:val="single" w:sz="4" w:space="0" w:color="FFFFFF" w:themeColor="background1"/>
              <w:left w:val="nil"/>
              <w:bottom w:val="nil"/>
              <w:right w:val="nil"/>
            </w:tcBorders>
            <w:shd w:val="clear" w:color="000000" w:fill="005CA9"/>
            <w:vAlign w:val="center"/>
            <w:hideMark/>
          </w:tcPr>
          <w:p w14:paraId="304D8DD5" w14:textId="77777777" w:rsidR="005A4362" w:rsidRPr="00FC54CF" w:rsidRDefault="005A4362">
            <w:pPr>
              <w:jc w:val="center"/>
              <w:rPr>
                <w:rFonts w:ascii="CAIXA Std Book" w:eastAsia="Times New Roman" w:hAnsi="CAIXA Std Book" w:cs="Times New Roman"/>
                <w:b/>
                <w:bCs/>
                <w:color w:val="FFFFFF"/>
                <w:sz w:val="18"/>
                <w:szCs w:val="18"/>
              </w:rPr>
            </w:pPr>
            <w:r w:rsidRPr="00FC54CF">
              <w:rPr>
                <w:rFonts w:ascii="CAIXA Std Book" w:eastAsia="Times New Roman" w:hAnsi="CAIXA Std Book" w:cs="Calibri"/>
                <w:b/>
                <w:bCs/>
                <w:color w:val="FFFFFF"/>
                <w:sz w:val="18"/>
                <w:szCs w:val="18"/>
              </w:rPr>
              <w:t>1º trimestre</w:t>
            </w:r>
          </w:p>
        </w:tc>
      </w:tr>
      <w:tr w:rsidR="005A4362" w:rsidRPr="00440BB0" w14:paraId="4210AF39" w14:textId="77777777" w:rsidTr="00E06E0A">
        <w:trPr>
          <w:trHeight w:val="315"/>
        </w:trPr>
        <w:tc>
          <w:tcPr>
            <w:tcW w:w="3015" w:type="pct"/>
            <w:tcBorders>
              <w:top w:val="nil"/>
              <w:left w:val="nil"/>
              <w:right w:val="nil"/>
            </w:tcBorders>
            <w:shd w:val="clear" w:color="auto" w:fill="D0DFE3"/>
            <w:noWrap/>
            <w:vAlign w:val="center"/>
            <w:hideMark/>
          </w:tcPr>
          <w:p w14:paraId="01683273" w14:textId="77777777" w:rsidR="005A4362" w:rsidRPr="00440BB0" w:rsidRDefault="005A4362">
            <w:pPr>
              <w:rPr>
                <w:rFonts w:ascii="CAIXA Std Book" w:eastAsia="Times New Roman" w:hAnsi="CAIXA Std Book" w:cs="Calibri"/>
                <w:b/>
                <w:bCs/>
                <w:color w:val="005CA9"/>
                <w:sz w:val="18"/>
                <w:szCs w:val="18"/>
              </w:rPr>
            </w:pPr>
            <w:r w:rsidRPr="00440BB0">
              <w:rPr>
                <w:rFonts w:ascii="CAIXA Std Book" w:eastAsia="Times New Roman" w:hAnsi="CAIXA Std Book" w:cs="Calibri"/>
                <w:b/>
                <w:bCs/>
                <w:color w:val="005CA9"/>
                <w:sz w:val="18"/>
                <w:szCs w:val="18"/>
              </w:rPr>
              <w:t>Benefícios de curto prazo</w:t>
            </w:r>
          </w:p>
        </w:tc>
        <w:tc>
          <w:tcPr>
            <w:tcW w:w="992" w:type="pct"/>
            <w:tcBorders>
              <w:top w:val="nil"/>
              <w:left w:val="nil"/>
              <w:right w:val="nil"/>
            </w:tcBorders>
            <w:shd w:val="clear" w:color="auto" w:fill="D0DFE3"/>
            <w:noWrap/>
            <w:vAlign w:val="center"/>
          </w:tcPr>
          <w:p w14:paraId="15641AC1" w14:textId="46DF3A96" w:rsidR="005A4362" w:rsidRPr="00440BB0" w:rsidRDefault="00962E1E">
            <w:pPr>
              <w:jc w:val="right"/>
              <w:rPr>
                <w:rFonts w:ascii="CAIXA Std Book" w:eastAsia="Times New Roman" w:hAnsi="CAIXA Std Book" w:cs="Calibri"/>
                <w:b/>
                <w:bCs/>
                <w:color w:val="005CA9"/>
                <w:sz w:val="18"/>
                <w:szCs w:val="18"/>
              </w:rPr>
            </w:pPr>
            <w:r w:rsidRPr="003D2883">
              <w:rPr>
                <w:rFonts w:ascii="CAIXA Std Book" w:hAnsi="CAIXA Std Book" w:cs="Arial"/>
                <w:b/>
                <w:bCs/>
                <w:color w:val="005CA9"/>
                <w:sz w:val="18"/>
                <w:szCs w:val="18"/>
              </w:rPr>
              <w:t>11.208.100</w:t>
            </w:r>
          </w:p>
        </w:tc>
        <w:tc>
          <w:tcPr>
            <w:tcW w:w="993" w:type="pct"/>
            <w:tcBorders>
              <w:top w:val="nil"/>
              <w:left w:val="nil"/>
              <w:right w:val="nil"/>
            </w:tcBorders>
            <w:shd w:val="clear" w:color="auto" w:fill="D0DFE3"/>
            <w:vAlign w:val="center"/>
          </w:tcPr>
          <w:p w14:paraId="3C6321B3" w14:textId="77777777" w:rsidR="005A4362" w:rsidRPr="00440BB0" w:rsidRDefault="005A4362">
            <w:pPr>
              <w:jc w:val="right"/>
              <w:rPr>
                <w:rFonts w:ascii="CAIXA Std Book" w:eastAsia="Times New Roman" w:hAnsi="CAIXA Std Book" w:cs="Calibri"/>
                <w:b/>
                <w:bCs/>
                <w:color w:val="005CA9"/>
                <w:sz w:val="18"/>
                <w:szCs w:val="18"/>
              </w:rPr>
            </w:pPr>
            <w:r w:rsidRPr="00B54B2B">
              <w:rPr>
                <w:rFonts w:ascii="CAIXA Std Book" w:hAnsi="CAIXA Std Book"/>
                <w:b/>
                <w:color w:val="005CA9"/>
                <w:sz w:val="18"/>
                <w:szCs w:val="18"/>
              </w:rPr>
              <w:t>8.959.</w:t>
            </w:r>
            <w:r>
              <w:rPr>
                <w:rFonts w:ascii="CAIXA Std Book" w:hAnsi="CAIXA Std Book" w:cs="Calibri"/>
                <w:b/>
                <w:bCs/>
                <w:color w:val="005CA9"/>
                <w:sz w:val="18"/>
                <w:szCs w:val="18"/>
              </w:rPr>
              <w:t>801</w:t>
            </w:r>
          </w:p>
        </w:tc>
      </w:tr>
      <w:tr w:rsidR="005A4362" w:rsidRPr="00440BB0" w14:paraId="5A999DEC" w14:textId="77777777" w:rsidTr="00E06E0A">
        <w:trPr>
          <w:trHeight w:val="300"/>
        </w:trPr>
        <w:tc>
          <w:tcPr>
            <w:tcW w:w="3015" w:type="pct"/>
            <w:tcBorders>
              <w:left w:val="nil"/>
              <w:bottom w:val="nil"/>
              <w:right w:val="nil"/>
            </w:tcBorders>
            <w:shd w:val="clear" w:color="auto" w:fill="D0DFE3"/>
            <w:noWrap/>
            <w:vAlign w:val="center"/>
            <w:hideMark/>
          </w:tcPr>
          <w:p w14:paraId="151F021D" w14:textId="77777777" w:rsidR="005A4362" w:rsidRPr="00440BB0" w:rsidRDefault="005A4362">
            <w:pPr>
              <w:ind w:firstLineChars="100" w:firstLine="181"/>
              <w:rPr>
                <w:rFonts w:ascii="CAIXA Std Book" w:eastAsia="Times New Roman" w:hAnsi="CAIXA Std Book" w:cs="Calibri"/>
                <w:b/>
                <w:bCs/>
                <w:color w:val="005CA9"/>
                <w:sz w:val="18"/>
                <w:szCs w:val="18"/>
              </w:rPr>
            </w:pPr>
            <w:r w:rsidRPr="00440BB0">
              <w:rPr>
                <w:rFonts w:ascii="CAIXA Std Book" w:eastAsia="Times New Roman" w:hAnsi="CAIXA Std Book" w:cs="Calibri"/>
                <w:b/>
                <w:bCs/>
                <w:color w:val="005CA9"/>
                <w:sz w:val="18"/>
                <w:szCs w:val="18"/>
              </w:rPr>
              <w:t>Proventos</w:t>
            </w:r>
          </w:p>
        </w:tc>
        <w:tc>
          <w:tcPr>
            <w:tcW w:w="992" w:type="pct"/>
            <w:tcBorders>
              <w:left w:val="nil"/>
              <w:bottom w:val="nil"/>
              <w:right w:val="nil"/>
            </w:tcBorders>
            <w:shd w:val="clear" w:color="auto" w:fill="D0DFE3"/>
            <w:noWrap/>
            <w:vAlign w:val="center"/>
          </w:tcPr>
          <w:p w14:paraId="61A0D54B" w14:textId="6E7D9C8C" w:rsidR="005A4362" w:rsidRPr="00440BB0" w:rsidRDefault="00962E1E">
            <w:pPr>
              <w:jc w:val="right"/>
              <w:rPr>
                <w:rFonts w:ascii="CAIXA Std Book" w:eastAsia="Times New Roman" w:hAnsi="CAIXA Std Book" w:cs="Calibri"/>
                <w:b/>
                <w:bCs/>
                <w:color w:val="005CA9"/>
                <w:sz w:val="18"/>
                <w:szCs w:val="18"/>
              </w:rPr>
            </w:pPr>
            <w:r w:rsidRPr="003D2883">
              <w:rPr>
                <w:rFonts w:ascii="CAIXA Std Book" w:hAnsi="CAIXA Std Book" w:cs="Arial"/>
                <w:b/>
                <w:bCs/>
                <w:color w:val="005CA9"/>
                <w:sz w:val="18"/>
                <w:szCs w:val="18"/>
              </w:rPr>
              <w:t>7.977.610</w:t>
            </w:r>
          </w:p>
        </w:tc>
        <w:tc>
          <w:tcPr>
            <w:tcW w:w="993" w:type="pct"/>
            <w:tcBorders>
              <w:left w:val="nil"/>
              <w:bottom w:val="nil"/>
              <w:right w:val="nil"/>
            </w:tcBorders>
            <w:shd w:val="clear" w:color="auto" w:fill="D0DFE3"/>
            <w:vAlign w:val="center"/>
          </w:tcPr>
          <w:p w14:paraId="72239860" w14:textId="77777777" w:rsidR="005A4362" w:rsidRPr="00440BB0" w:rsidRDefault="005A4362">
            <w:pPr>
              <w:jc w:val="right"/>
              <w:rPr>
                <w:rFonts w:ascii="CAIXA Std Book" w:eastAsia="Times New Roman" w:hAnsi="CAIXA Std Book" w:cs="Calibri"/>
                <w:b/>
                <w:bCs/>
                <w:color w:val="005CA9"/>
                <w:sz w:val="18"/>
                <w:szCs w:val="18"/>
              </w:rPr>
            </w:pPr>
            <w:r w:rsidRPr="00B54B2B">
              <w:rPr>
                <w:rFonts w:ascii="CAIXA Std Book" w:hAnsi="CAIXA Std Book"/>
                <w:b/>
                <w:color w:val="005CA9"/>
                <w:sz w:val="18"/>
                <w:szCs w:val="18"/>
              </w:rPr>
              <w:t>6.365.</w:t>
            </w:r>
            <w:r>
              <w:rPr>
                <w:rFonts w:ascii="CAIXA Std Book" w:hAnsi="CAIXA Std Book" w:cs="Calibri"/>
                <w:b/>
                <w:bCs/>
                <w:color w:val="005CA9"/>
                <w:sz w:val="18"/>
                <w:szCs w:val="18"/>
              </w:rPr>
              <w:t>114</w:t>
            </w:r>
          </w:p>
        </w:tc>
      </w:tr>
      <w:tr w:rsidR="005A4362" w:rsidRPr="00440BB0" w14:paraId="30CD3E40" w14:textId="77777777" w:rsidTr="00962E1E">
        <w:trPr>
          <w:trHeight w:val="300"/>
        </w:trPr>
        <w:tc>
          <w:tcPr>
            <w:tcW w:w="3015" w:type="pct"/>
            <w:tcBorders>
              <w:top w:val="nil"/>
              <w:left w:val="nil"/>
              <w:bottom w:val="nil"/>
              <w:right w:val="nil"/>
            </w:tcBorders>
            <w:shd w:val="clear" w:color="000000" w:fill="FFFFFF"/>
            <w:noWrap/>
            <w:vAlign w:val="center"/>
            <w:hideMark/>
          </w:tcPr>
          <w:p w14:paraId="524C5B19" w14:textId="77777777" w:rsidR="005A4362" w:rsidRPr="00440BB0" w:rsidRDefault="005A4362">
            <w:pPr>
              <w:ind w:firstLineChars="121" w:firstLine="218"/>
              <w:rPr>
                <w:rFonts w:ascii="CAIXA Std Book" w:eastAsia="Times New Roman" w:hAnsi="CAIXA Std Book" w:cs="Calibri"/>
                <w:color w:val="005CA9"/>
                <w:sz w:val="18"/>
                <w:szCs w:val="18"/>
              </w:rPr>
            </w:pPr>
            <w:r w:rsidRPr="00440BB0">
              <w:rPr>
                <w:rFonts w:ascii="CAIXA Std Book" w:eastAsia="Times New Roman" w:hAnsi="CAIXA Std Book" w:cs="Calibri"/>
                <w:color w:val="005CA9"/>
                <w:sz w:val="18"/>
                <w:szCs w:val="18"/>
              </w:rPr>
              <w:t>Diretoria Executiva</w:t>
            </w:r>
          </w:p>
        </w:tc>
        <w:tc>
          <w:tcPr>
            <w:tcW w:w="992" w:type="pct"/>
            <w:tcBorders>
              <w:top w:val="nil"/>
              <w:left w:val="nil"/>
              <w:bottom w:val="nil"/>
              <w:right w:val="nil"/>
            </w:tcBorders>
            <w:shd w:val="clear" w:color="000000" w:fill="FFFFFF"/>
            <w:noWrap/>
            <w:vAlign w:val="center"/>
          </w:tcPr>
          <w:p w14:paraId="564FAB4B" w14:textId="62696313" w:rsidR="005A4362" w:rsidRPr="00440BB0" w:rsidRDefault="00962E1E">
            <w:pPr>
              <w:jc w:val="right"/>
              <w:rPr>
                <w:rFonts w:ascii="CAIXA Std Book" w:eastAsia="Times New Roman" w:hAnsi="CAIXA Std Book" w:cs="Calibri"/>
                <w:color w:val="005CA9"/>
                <w:sz w:val="18"/>
                <w:szCs w:val="18"/>
              </w:rPr>
            </w:pPr>
            <w:r w:rsidRPr="003D2883">
              <w:rPr>
                <w:rFonts w:ascii="CAIXA Std Book" w:hAnsi="CAIXA Std Book" w:cs="Arial"/>
                <w:color w:val="005CA9"/>
                <w:sz w:val="18"/>
                <w:szCs w:val="18"/>
              </w:rPr>
              <w:t>6.800.537</w:t>
            </w:r>
          </w:p>
        </w:tc>
        <w:tc>
          <w:tcPr>
            <w:tcW w:w="993" w:type="pct"/>
            <w:tcBorders>
              <w:top w:val="nil"/>
              <w:left w:val="nil"/>
              <w:bottom w:val="nil"/>
              <w:right w:val="nil"/>
            </w:tcBorders>
            <w:shd w:val="clear" w:color="000000" w:fill="FFFFFF"/>
            <w:vAlign w:val="center"/>
          </w:tcPr>
          <w:p w14:paraId="496B3496" w14:textId="77777777" w:rsidR="005A4362" w:rsidRPr="00440BB0" w:rsidRDefault="005A4362">
            <w:pPr>
              <w:jc w:val="right"/>
              <w:rPr>
                <w:rFonts w:ascii="CAIXA Std Book" w:eastAsia="Times New Roman" w:hAnsi="CAIXA Std Book" w:cs="Calibri"/>
                <w:color w:val="005CA9"/>
                <w:sz w:val="18"/>
                <w:szCs w:val="18"/>
              </w:rPr>
            </w:pPr>
            <w:r w:rsidRPr="00B54B2B">
              <w:rPr>
                <w:rFonts w:ascii="CAIXA Std Book" w:hAnsi="CAIXA Std Book"/>
                <w:color w:val="005CA9"/>
                <w:sz w:val="18"/>
                <w:szCs w:val="18"/>
              </w:rPr>
              <w:t>5.416.980</w:t>
            </w:r>
          </w:p>
        </w:tc>
      </w:tr>
      <w:tr w:rsidR="005A4362" w:rsidRPr="00440BB0" w14:paraId="424BF53E" w14:textId="77777777" w:rsidTr="00962E1E">
        <w:trPr>
          <w:trHeight w:val="300"/>
        </w:trPr>
        <w:tc>
          <w:tcPr>
            <w:tcW w:w="3015" w:type="pct"/>
            <w:tcBorders>
              <w:top w:val="nil"/>
              <w:left w:val="nil"/>
              <w:bottom w:val="nil"/>
              <w:right w:val="nil"/>
            </w:tcBorders>
            <w:shd w:val="clear" w:color="000000" w:fill="FFFFFF"/>
            <w:noWrap/>
            <w:vAlign w:val="center"/>
            <w:hideMark/>
          </w:tcPr>
          <w:p w14:paraId="4CD9FC55" w14:textId="77777777" w:rsidR="005A4362" w:rsidRPr="00440BB0" w:rsidRDefault="005A4362">
            <w:pPr>
              <w:ind w:firstLineChars="121" w:firstLine="218"/>
              <w:rPr>
                <w:rFonts w:ascii="CAIXA Std Book" w:eastAsia="Times New Roman" w:hAnsi="CAIXA Std Book" w:cs="Calibri"/>
                <w:color w:val="005CA9"/>
                <w:sz w:val="18"/>
                <w:szCs w:val="18"/>
              </w:rPr>
            </w:pPr>
            <w:r w:rsidRPr="00440BB0">
              <w:rPr>
                <w:rFonts w:ascii="CAIXA Std Book" w:eastAsia="Times New Roman" w:hAnsi="CAIXA Std Book" w:cs="Calibri"/>
                <w:color w:val="005CA9"/>
                <w:sz w:val="18"/>
                <w:szCs w:val="18"/>
              </w:rPr>
              <w:t>Conselho de Administração </w:t>
            </w:r>
          </w:p>
        </w:tc>
        <w:tc>
          <w:tcPr>
            <w:tcW w:w="992" w:type="pct"/>
            <w:tcBorders>
              <w:top w:val="nil"/>
              <w:left w:val="nil"/>
              <w:bottom w:val="nil"/>
              <w:right w:val="nil"/>
            </w:tcBorders>
            <w:shd w:val="clear" w:color="000000" w:fill="FFFFFF"/>
            <w:noWrap/>
            <w:vAlign w:val="center"/>
          </w:tcPr>
          <w:p w14:paraId="61B235F9" w14:textId="379127FE" w:rsidR="005A4362" w:rsidRPr="00440BB0" w:rsidRDefault="00962E1E">
            <w:pPr>
              <w:jc w:val="right"/>
              <w:rPr>
                <w:rFonts w:ascii="CAIXA Std Book" w:eastAsia="Times New Roman" w:hAnsi="CAIXA Std Book" w:cs="Calibri"/>
                <w:color w:val="005CA9"/>
                <w:sz w:val="18"/>
                <w:szCs w:val="18"/>
              </w:rPr>
            </w:pPr>
            <w:r w:rsidRPr="003D2883">
              <w:rPr>
                <w:rFonts w:ascii="CAIXA Std Book" w:hAnsi="CAIXA Std Book" w:cs="Arial"/>
                <w:color w:val="005CA9"/>
                <w:sz w:val="18"/>
                <w:szCs w:val="18"/>
              </w:rPr>
              <w:t>95.660</w:t>
            </w:r>
          </w:p>
        </w:tc>
        <w:tc>
          <w:tcPr>
            <w:tcW w:w="993" w:type="pct"/>
            <w:tcBorders>
              <w:top w:val="nil"/>
              <w:left w:val="nil"/>
              <w:bottom w:val="nil"/>
              <w:right w:val="nil"/>
            </w:tcBorders>
            <w:shd w:val="clear" w:color="000000" w:fill="FFFFFF"/>
            <w:vAlign w:val="center"/>
          </w:tcPr>
          <w:p w14:paraId="0CCD7D48" w14:textId="77777777" w:rsidR="005A4362" w:rsidRPr="00440BB0" w:rsidRDefault="005A4362">
            <w:pPr>
              <w:jc w:val="right"/>
              <w:rPr>
                <w:rFonts w:ascii="CAIXA Std Book" w:eastAsia="Times New Roman" w:hAnsi="CAIXA Std Book" w:cs="Calibri"/>
                <w:color w:val="005CA9"/>
                <w:sz w:val="18"/>
                <w:szCs w:val="18"/>
              </w:rPr>
            </w:pPr>
            <w:r w:rsidRPr="00B54B2B">
              <w:rPr>
                <w:rFonts w:ascii="CAIXA Std Book" w:hAnsi="CAIXA Std Book"/>
                <w:color w:val="005CA9"/>
                <w:sz w:val="18"/>
                <w:szCs w:val="18"/>
              </w:rPr>
              <w:t>105.543</w:t>
            </w:r>
          </w:p>
        </w:tc>
      </w:tr>
      <w:tr w:rsidR="005A4362" w:rsidRPr="00440BB0" w14:paraId="2BDAD3E9" w14:textId="77777777" w:rsidTr="00962E1E">
        <w:trPr>
          <w:trHeight w:val="300"/>
        </w:trPr>
        <w:tc>
          <w:tcPr>
            <w:tcW w:w="3015" w:type="pct"/>
            <w:tcBorders>
              <w:top w:val="nil"/>
              <w:left w:val="nil"/>
              <w:bottom w:val="nil"/>
              <w:right w:val="nil"/>
            </w:tcBorders>
            <w:shd w:val="clear" w:color="000000" w:fill="FFFFFF"/>
            <w:noWrap/>
            <w:vAlign w:val="center"/>
            <w:hideMark/>
          </w:tcPr>
          <w:p w14:paraId="770C2D4D" w14:textId="77777777" w:rsidR="005A4362" w:rsidRPr="00440BB0" w:rsidRDefault="005A4362">
            <w:pPr>
              <w:ind w:firstLineChars="121" w:firstLine="218"/>
              <w:rPr>
                <w:rFonts w:ascii="CAIXA Std Book" w:eastAsia="Times New Roman" w:hAnsi="CAIXA Std Book" w:cs="Calibri"/>
                <w:color w:val="005CA9"/>
                <w:sz w:val="18"/>
                <w:szCs w:val="18"/>
              </w:rPr>
            </w:pPr>
            <w:r w:rsidRPr="00440BB0">
              <w:rPr>
                <w:rFonts w:ascii="CAIXA Std Book" w:eastAsia="Times New Roman" w:hAnsi="CAIXA Std Book" w:cs="Calibri"/>
                <w:color w:val="005CA9"/>
                <w:sz w:val="18"/>
                <w:szCs w:val="18"/>
              </w:rPr>
              <w:t>Conselho Fiscal </w:t>
            </w:r>
          </w:p>
        </w:tc>
        <w:tc>
          <w:tcPr>
            <w:tcW w:w="992" w:type="pct"/>
            <w:tcBorders>
              <w:top w:val="nil"/>
              <w:left w:val="nil"/>
              <w:bottom w:val="nil"/>
              <w:right w:val="nil"/>
            </w:tcBorders>
            <w:shd w:val="clear" w:color="000000" w:fill="FFFFFF"/>
            <w:noWrap/>
            <w:vAlign w:val="center"/>
          </w:tcPr>
          <w:p w14:paraId="2932E4C0" w14:textId="6F1D3832" w:rsidR="005A4362" w:rsidRPr="00440BB0" w:rsidRDefault="00962E1E">
            <w:pPr>
              <w:jc w:val="right"/>
              <w:rPr>
                <w:rFonts w:ascii="CAIXA Std Book" w:eastAsia="Times New Roman" w:hAnsi="CAIXA Std Book" w:cs="Calibri"/>
                <w:color w:val="005CA9"/>
                <w:sz w:val="18"/>
                <w:szCs w:val="18"/>
              </w:rPr>
            </w:pPr>
            <w:r w:rsidRPr="003D2883">
              <w:rPr>
                <w:rFonts w:ascii="CAIXA Std Book" w:hAnsi="CAIXA Std Book" w:cs="Arial"/>
                <w:color w:val="005CA9"/>
                <w:sz w:val="18"/>
                <w:szCs w:val="18"/>
              </w:rPr>
              <w:t>57.396</w:t>
            </w:r>
          </w:p>
        </w:tc>
        <w:tc>
          <w:tcPr>
            <w:tcW w:w="993" w:type="pct"/>
            <w:tcBorders>
              <w:top w:val="nil"/>
              <w:left w:val="nil"/>
              <w:bottom w:val="nil"/>
              <w:right w:val="nil"/>
            </w:tcBorders>
            <w:shd w:val="clear" w:color="000000" w:fill="FFFFFF"/>
            <w:vAlign w:val="center"/>
          </w:tcPr>
          <w:p w14:paraId="207E644E" w14:textId="77777777" w:rsidR="005A4362" w:rsidRPr="00440BB0" w:rsidRDefault="005A4362">
            <w:pPr>
              <w:jc w:val="right"/>
              <w:rPr>
                <w:rFonts w:ascii="CAIXA Std Book" w:eastAsia="Times New Roman" w:hAnsi="CAIXA Std Book" w:cs="Calibri"/>
                <w:color w:val="005CA9"/>
                <w:sz w:val="18"/>
                <w:szCs w:val="18"/>
              </w:rPr>
            </w:pPr>
            <w:r w:rsidRPr="00B54B2B">
              <w:rPr>
                <w:rFonts w:ascii="CAIXA Std Book" w:hAnsi="CAIXA Std Book"/>
                <w:color w:val="005CA9"/>
                <w:sz w:val="18"/>
                <w:szCs w:val="18"/>
              </w:rPr>
              <w:t>61.000</w:t>
            </w:r>
          </w:p>
        </w:tc>
      </w:tr>
      <w:tr w:rsidR="005A4362" w:rsidRPr="00440BB0" w14:paraId="05748AF6" w14:textId="77777777" w:rsidTr="00962E1E">
        <w:trPr>
          <w:trHeight w:val="300"/>
        </w:trPr>
        <w:tc>
          <w:tcPr>
            <w:tcW w:w="3015" w:type="pct"/>
            <w:tcBorders>
              <w:top w:val="nil"/>
              <w:left w:val="nil"/>
              <w:bottom w:val="nil"/>
              <w:right w:val="nil"/>
            </w:tcBorders>
            <w:shd w:val="clear" w:color="000000" w:fill="FFFFFF"/>
            <w:noWrap/>
            <w:vAlign w:val="center"/>
            <w:hideMark/>
          </w:tcPr>
          <w:p w14:paraId="050067BE" w14:textId="77777777" w:rsidR="005A4362" w:rsidRPr="00440BB0" w:rsidRDefault="005A4362">
            <w:pPr>
              <w:ind w:firstLineChars="121" w:firstLine="218"/>
              <w:rPr>
                <w:rFonts w:ascii="CAIXA Std Book" w:eastAsia="Times New Roman" w:hAnsi="CAIXA Std Book" w:cs="Calibri"/>
                <w:color w:val="005CA9"/>
                <w:sz w:val="18"/>
                <w:szCs w:val="18"/>
              </w:rPr>
            </w:pPr>
            <w:r w:rsidRPr="00440BB0">
              <w:rPr>
                <w:rFonts w:ascii="CAIXA Std Book" w:eastAsia="Times New Roman" w:hAnsi="CAIXA Std Book" w:cs="Calibri"/>
                <w:color w:val="005CA9"/>
                <w:sz w:val="18"/>
                <w:szCs w:val="18"/>
              </w:rPr>
              <w:t>Comitê de Auditoria </w:t>
            </w:r>
          </w:p>
        </w:tc>
        <w:tc>
          <w:tcPr>
            <w:tcW w:w="992" w:type="pct"/>
            <w:tcBorders>
              <w:top w:val="nil"/>
              <w:left w:val="nil"/>
              <w:bottom w:val="nil"/>
              <w:right w:val="nil"/>
            </w:tcBorders>
            <w:shd w:val="clear" w:color="000000" w:fill="FFFFFF"/>
            <w:noWrap/>
            <w:vAlign w:val="center"/>
          </w:tcPr>
          <w:p w14:paraId="7B988C2F" w14:textId="11B82649" w:rsidR="005A4362" w:rsidRPr="00440BB0" w:rsidRDefault="00962E1E">
            <w:pPr>
              <w:jc w:val="right"/>
              <w:rPr>
                <w:rFonts w:ascii="CAIXA Std Book" w:eastAsia="Times New Roman" w:hAnsi="CAIXA Std Book" w:cs="Calibri"/>
                <w:color w:val="005CA9"/>
                <w:sz w:val="18"/>
                <w:szCs w:val="18"/>
              </w:rPr>
            </w:pPr>
            <w:r w:rsidRPr="003D2883">
              <w:rPr>
                <w:rFonts w:ascii="CAIXA Std Book" w:hAnsi="CAIXA Std Book" w:cs="Arial"/>
                <w:color w:val="005CA9"/>
                <w:sz w:val="18"/>
                <w:szCs w:val="18"/>
              </w:rPr>
              <w:t>560.039</w:t>
            </w:r>
          </w:p>
        </w:tc>
        <w:tc>
          <w:tcPr>
            <w:tcW w:w="993" w:type="pct"/>
            <w:tcBorders>
              <w:top w:val="nil"/>
              <w:left w:val="nil"/>
              <w:bottom w:val="nil"/>
              <w:right w:val="nil"/>
            </w:tcBorders>
            <w:shd w:val="clear" w:color="000000" w:fill="FFFFFF"/>
            <w:vAlign w:val="center"/>
          </w:tcPr>
          <w:p w14:paraId="2646CEB4" w14:textId="77777777" w:rsidR="005A4362" w:rsidRPr="00440BB0" w:rsidRDefault="005A4362">
            <w:pPr>
              <w:jc w:val="right"/>
              <w:rPr>
                <w:rFonts w:ascii="CAIXA Std Book" w:eastAsia="Times New Roman" w:hAnsi="CAIXA Std Book" w:cs="Calibri"/>
                <w:color w:val="005CA9"/>
                <w:sz w:val="18"/>
                <w:szCs w:val="18"/>
              </w:rPr>
            </w:pPr>
            <w:r w:rsidRPr="00B54B2B">
              <w:rPr>
                <w:rFonts w:ascii="CAIXA Std Book" w:hAnsi="CAIXA Std Book"/>
                <w:color w:val="005CA9"/>
                <w:sz w:val="18"/>
                <w:szCs w:val="18"/>
              </w:rPr>
              <w:t>429.081</w:t>
            </w:r>
          </w:p>
        </w:tc>
      </w:tr>
      <w:tr w:rsidR="005A4362" w:rsidRPr="00440BB0" w14:paraId="5BB553CA" w14:textId="77777777" w:rsidTr="00962E1E">
        <w:trPr>
          <w:trHeight w:val="300"/>
        </w:trPr>
        <w:tc>
          <w:tcPr>
            <w:tcW w:w="3015" w:type="pct"/>
            <w:tcBorders>
              <w:top w:val="nil"/>
              <w:left w:val="nil"/>
              <w:bottom w:val="nil"/>
              <w:right w:val="nil"/>
            </w:tcBorders>
            <w:shd w:val="clear" w:color="000000" w:fill="FFFFFF"/>
            <w:noWrap/>
            <w:vAlign w:val="center"/>
            <w:hideMark/>
          </w:tcPr>
          <w:p w14:paraId="6303C25A" w14:textId="77777777" w:rsidR="005A4362" w:rsidRPr="00440BB0" w:rsidRDefault="005A4362">
            <w:pPr>
              <w:ind w:firstLineChars="121" w:firstLine="218"/>
              <w:rPr>
                <w:rFonts w:ascii="CAIXA Std Book" w:eastAsia="Times New Roman" w:hAnsi="CAIXA Std Book" w:cs="Calibri"/>
                <w:color w:val="005CA9"/>
                <w:sz w:val="18"/>
                <w:szCs w:val="18"/>
              </w:rPr>
            </w:pPr>
            <w:r w:rsidRPr="00440BB0">
              <w:rPr>
                <w:rFonts w:ascii="CAIXA Std Book" w:eastAsia="Times New Roman" w:hAnsi="CAIXA Std Book" w:cs="Calibri"/>
                <w:color w:val="005CA9"/>
                <w:sz w:val="18"/>
                <w:szCs w:val="18"/>
              </w:rPr>
              <w:t>Comitê Independente de Risco </w:t>
            </w:r>
          </w:p>
        </w:tc>
        <w:tc>
          <w:tcPr>
            <w:tcW w:w="992" w:type="pct"/>
            <w:tcBorders>
              <w:top w:val="nil"/>
              <w:left w:val="nil"/>
              <w:bottom w:val="nil"/>
              <w:right w:val="nil"/>
            </w:tcBorders>
            <w:shd w:val="clear" w:color="000000" w:fill="FFFFFF"/>
            <w:noWrap/>
            <w:vAlign w:val="center"/>
          </w:tcPr>
          <w:p w14:paraId="2243DF5F" w14:textId="2C57388B" w:rsidR="005A4362" w:rsidRPr="00440BB0" w:rsidRDefault="00962E1E">
            <w:pPr>
              <w:jc w:val="right"/>
              <w:rPr>
                <w:rFonts w:ascii="CAIXA Std Book" w:eastAsia="Times New Roman" w:hAnsi="CAIXA Std Book" w:cs="Calibri"/>
                <w:color w:val="005CA9"/>
                <w:sz w:val="18"/>
                <w:szCs w:val="18"/>
              </w:rPr>
            </w:pPr>
            <w:r w:rsidRPr="003D2883">
              <w:rPr>
                <w:rFonts w:ascii="CAIXA Std Book" w:hAnsi="CAIXA Std Book" w:cs="Arial"/>
                <w:color w:val="005CA9"/>
                <w:sz w:val="18"/>
                <w:szCs w:val="18"/>
              </w:rPr>
              <w:t>428.265</w:t>
            </w:r>
          </w:p>
        </w:tc>
        <w:tc>
          <w:tcPr>
            <w:tcW w:w="993" w:type="pct"/>
            <w:tcBorders>
              <w:top w:val="nil"/>
              <w:left w:val="nil"/>
              <w:bottom w:val="nil"/>
              <w:right w:val="nil"/>
            </w:tcBorders>
            <w:shd w:val="clear" w:color="000000" w:fill="FFFFFF"/>
            <w:vAlign w:val="center"/>
          </w:tcPr>
          <w:p w14:paraId="20DD0FD6" w14:textId="77777777" w:rsidR="005A4362" w:rsidRPr="00440BB0" w:rsidRDefault="005A4362">
            <w:pPr>
              <w:jc w:val="right"/>
              <w:rPr>
                <w:rFonts w:ascii="CAIXA Std Book" w:eastAsia="Times New Roman" w:hAnsi="CAIXA Std Book" w:cs="Calibri"/>
                <w:color w:val="005CA9"/>
                <w:sz w:val="18"/>
                <w:szCs w:val="18"/>
              </w:rPr>
            </w:pPr>
            <w:r w:rsidRPr="00B54B2B">
              <w:rPr>
                <w:rFonts w:ascii="CAIXA Std Book" w:hAnsi="CAIXA Std Book"/>
                <w:color w:val="005CA9"/>
                <w:sz w:val="18"/>
                <w:szCs w:val="18"/>
              </w:rPr>
              <w:t>325.892</w:t>
            </w:r>
          </w:p>
        </w:tc>
      </w:tr>
      <w:tr w:rsidR="005A4362" w:rsidRPr="00440BB0" w14:paraId="531B5435" w14:textId="77777777" w:rsidTr="00962E1E">
        <w:trPr>
          <w:trHeight w:val="300"/>
        </w:trPr>
        <w:tc>
          <w:tcPr>
            <w:tcW w:w="3015" w:type="pct"/>
            <w:tcBorders>
              <w:top w:val="nil"/>
              <w:left w:val="nil"/>
              <w:bottom w:val="nil"/>
              <w:right w:val="nil"/>
            </w:tcBorders>
            <w:shd w:val="clear" w:color="000000" w:fill="FFFFFF"/>
            <w:noWrap/>
            <w:vAlign w:val="center"/>
            <w:hideMark/>
          </w:tcPr>
          <w:p w14:paraId="565C5E6C" w14:textId="77777777" w:rsidR="005A4362" w:rsidRPr="00440BB0" w:rsidRDefault="005A4362">
            <w:pPr>
              <w:ind w:firstLineChars="121" w:firstLine="218"/>
              <w:rPr>
                <w:rFonts w:ascii="CAIXA Std Book" w:eastAsia="Times New Roman" w:hAnsi="CAIXA Std Book" w:cs="Calibri"/>
                <w:color w:val="005CA9"/>
                <w:sz w:val="18"/>
                <w:szCs w:val="18"/>
              </w:rPr>
            </w:pPr>
            <w:r w:rsidRPr="00440BB0">
              <w:rPr>
                <w:rFonts w:ascii="CAIXA Std Book" w:eastAsia="Times New Roman" w:hAnsi="CAIXA Std Book" w:cs="Calibri"/>
                <w:color w:val="005CA9"/>
                <w:sz w:val="18"/>
                <w:szCs w:val="18"/>
              </w:rPr>
              <w:t>Comitê de Pessoas, Elegibilidade, Sucessão e Remuneração</w:t>
            </w:r>
          </w:p>
        </w:tc>
        <w:tc>
          <w:tcPr>
            <w:tcW w:w="992" w:type="pct"/>
            <w:tcBorders>
              <w:top w:val="nil"/>
              <w:left w:val="nil"/>
              <w:bottom w:val="nil"/>
              <w:right w:val="nil"/>
            </w:tcBorders>
            <w:shd w:val="clear" w:color="000000" w:fill="FFFFFF"/>
            <w:noWrap/>
            <w:vAlign w:val="center"/>
          </w:tcPr>
          <w:p w14:paraId="309F409C" w14:textId="711CD882" w:rsidR="005A4362" w:rsidRPr="00440BB0" w:rsidRDefault="00962E1E">
            <w:pPr>
              <w:jc w:val="right"/>
              <w:rPr>
                <w:rFonts w:ascii="CAIXA Std Book" w:eastAsia="Times New Roman" w:hAnsi="CAIXA Std Book" w:cs="Calibri"/>
                <w:color w:val="005CA9"/>
                <w:sz w:val="18"/>
                <w:szCs w:val="18"/>
              </w:rPr>
            </w:pPr>
            <w:r w:rsidRPr="003D2883">
              <w:rPr>
                <w:rFonts w:ascii="CAIXA Std Book" w:hAnsi="CAIXA Std Book" w:cs="Arial"/>
                <w:color w:val="005CA9"/>
                <w:sz w:val="18"/>
                <w:szCs w:val="18"/>
              </w:rPr>
              <w:t>35.713</w:t>
            </w:r>
          </w:p>
        </w:tc>
        <w:tc>
          <w:tcPr>
            <w:tcW w:w="993" w:type="pct"/>
            <w:tcBorders>
              <w:top w:val="nil"/>
              <w:left w:val="nil"/>
              <w:bottom w:val="nil"/>
              <w:right w:val="nil"/>
            </w:tcBorders>
            <w:shd w:val="clear" w:color="000000" w:fill="FFFFFF"/>
            <w:vAlign w:val="center"/>
          </w:tcPr>
          <w:p w14:paraId="687E5F4F" w14:textId="77777777" w:rsidR="005A4362" w:rsidRPr="00440BB0" w:rsidRDefault="005A4362">
            <w:pPr>
              <w:jc w:val="right"/>
              <w:rPr>
                <w:rFonts w:ascii="CAIXA Std Book" w:eastAsia="Times New Roman" w:hAnsi="CAIXA Std Book" w:cs="Calibri"/>
                <w:color w:val="005CA9"/>
                <w:sz w:val="18"/>
                <w:szCs w:val="18"/>
              </w:rPr>
            </w:pPr>
            <w:r w:rsidRPr="00B54B2B">
              <w:rPr>
                <w:rFonts w:ascii="CAIXA Std Book" w:hAnsi="CAIXA Std Book"/>
                <w:color w:val="005CA9"/>
                <w:sz w:val="18"/>
                <w:szCs w:val="18"/>
              </w:rPr>
              <w:t>26.618</w:t>
            </w:r>
          </w:p>
        </w:tc>
      </w:tr>
      <w:tr w:rsidR="005A4362" w:rsidRPr="00440BB0" w14:paraId="4CFB6DF7" w14:textId="77777777" w:rsidTr="00962E1E">
        <w:trPr>
          <w:trHeight w:val="300"/>
        </w:trPr>
        <w:tc>
          <w:tcPr>
            <w:tcW w:w="3015" w:type="pct"/>
            <w:tcBorders>
              <w:top w:val="nil"/>
              <w:left w:val="nil"/>
              <w:bottom w:val="nil"/>
              <w:right w:val="nil"/>
            </w:tcBorders>
            <w:shd w:val="clear" w:color="auto" w:fill="D0DFE3"/>
            <w:noWrap/>
            <w:vAlign w:val="center"/>
            <w:hideMark/>
          </w:tcPr>
          <w:p w14:paraId="13C6AE57" w14:textId="77777777" w:rsidR="005A4362" w:rsidRPr="00440BB0" w:rsidRDefault="005A4362">
            <w:pPr>
              <w:ind w:firstLineChars="100" w:firstLine="181"/>
              <w:rPr>
                <w:rFonts w:ascii="CAIXA Std Book" w:eastAsia="Times New Roman" w:hAnsi="CAIXA Std Book" w:cs="Calibri"/>
                <w:b/>
                <w:bCs/>
                <w:color w:val="005CA9"/>
                <w:sz w:val="18"/>
                <w:szCs w:val="18"/>
              </w:rPr>
            </w:pPr>
            <w:r w:rsidRPr="00440BB0">
              <w:rPr>
                <w:rFonts w:ascii="CAIXA Std Book" w:eastAsia="Times New Roman" w:hAnsi="CAIXA Std Book" w:cs="Calibri"/>
                <w:b/>
                <w:bCs/>
                <w:color w:val="005CA9"/>
                <w:sz w:val="18"/>
                <w:szCs w:val="18"/>
              </w:rPr>
              <w:t>Benefícios </w:t>
            </w:r>
          </w:p>
        </w:tc>
        <w:tc>
          <w:tcPr>
            <w:tcW w:w="992" w:type="pct"/>
            <w:tcBorders>
              <w:top w:val="nil"/>
              <w:left w:val="nil"/>
              <w:bottom w:val="nil"/>
              <w:right w:val="nil"/>
            </w:tcBorders>
            <w:shd w:val="clear" w:color="auto" w:fill="D0DFE3"/>
            <w:noWrap/>
            <w:vAlign w:val="center"/>
          </w:tcPr>
          <w:p w14:paraId="481B031E" w14:textId="0ADF3992" w:rsidR="005A4362" w:rsidRPr="00440BB0" w:rsidRDefault="00962E1E">
            <w:pPr>
              <w:jc w:val="right"/>
              <w:rPr>
                <w:rFonts w:ascii="CAIXA Std Book" w:eastAsia="Times New Roman" w:hAnsi="CAIXA Std Book" w:cs="Calibri"/>
                <w:b/>
                <w:bCs/>
                <w:color w:val="005CA9"/>
                <w:sz w:val="18"/>
                <w:szCs w:val="18"/>
              </w:rPr>
            </w:pPr>
            <w:r w:rsidRPr="003D2883">
              <w:rPr>
                <w:rFonts w:ascii="CAIXA Std Book" w:hAnsi="CAIXA Std Book" w:cs="Arial"/>
                <w:b/>
                <w:bCs/>
                <w:color w:val="005CA9"/>
                <w:sz w:val="18"/>
                <w:szCs w:val="18"/>
              </w:rPr>
              <w:t>703.144</w:t>
            </w:r>
          </w:p>
        </w:tc>
        <w:tc>
          <w:tcPr>
            <w:tcW w:w="993" w:type="pct"/>
            <w:tcBorders>
              <w:top w:val="nil"/>
              <w:left w:val="nil"/>
              <w:bottom w:val="nil"/>
              <w:right w:val="nil"/>
            </w:tcBorders>
            <w:shd w:val="clear" w:color="auto" w:fill="D0DFE3"/>
            <w:vAlign w:val="center"/>
          </w:tcPr>
          <w:p w14:paraId="4F5362A0" w14:textId="77777777" w:rsidR="005A4362" w:rsidRPr="00440BB0" w:rsidRDefault="005A4362">
            <w:pPr>
              <w:jc w:val="right"/>
              <w:rPr>
                <w:rFonts w:ascii="CAIXA Std Book" w:eastAsia="Times New Roman" w:hAnsi="CAIXA Std Book" w:cs="Calibri"/>
                <w:b/>
                <w:bCs/>
                <w:color w:val="005CA9"/>
                <w:sz w:val="18"/>
                <w:szCs w:val="18"/>
              </w:rPr>
            </w:pPr>
            <w:r w:rsidRPr="00B54B2B">
              <w:rPr>
                <w:rFonts w:ascii="CAIXA Std Book" w:hAnsi="CAIXA Std Book"/>
                <w:b/>
                <w:color w:val="005CA9"/>
                <w:sz w:val="18"/>
                <w:szCs w:val="18"/>
              </w:rPr>
              <w:t>610.141</w:t>
            </w:r>
          </w:p>
        </w:tc>
      </w:tr>
      <w:tr w:rsidR="005A4362" w:rsidRPr="00440BB0" w14:paraId="0537765B" w14:textId="77777777" w:rsidTr="00962E1E">
        <w:trPr>
          <w:trHeight w:val="300"/>
        </w:trPr>
        <w:tc>
          <w:tcPr>
            <w:tcW w:w="3015" w:type="pct"/>
            <w:tcBorders>
              <w:top w:val="nil"/>
              <w:left w:val="nil"/>
              <w:right w:val="nil"/>
            </w:tcBorders>
            <w:vAlign w:val="center"/>
            <w:hideMark/>
          </w:tcPr>
          <w:p w14:paraId="64B66E67" w14:textId="77777777" w:rsidR="005A4362" w:rsidRPr="00440BB0" w:rsidRDefault="005A4362">
            <w:pPr>
              <w:ind w:firstLineChars="121" w:firstLine="218"/>
              <w:rPr>
                <w:rFonts w:ascii="CAIXA Std Book" w:eastAsia="Times New Roman" w:hAnsi="CAIXA Std Book" w:cs="Calibri"/>
                <w:color w:val="005CA9"/>
                <w:sz w:val="18"/>
                <w:szCs w:val="18"/>
              </w:rPr>
            </w:pPr>
            <w:r w:rsidRPr="00440BB0">
              <w:rPr>
                <w:rFonts w:ascii="CAIXA Std Book" w:eastAsia="Times New Roman" w:hAnsi="CAIXA Std Book" w:cs="Calibri"/>
                <w:color w:val="005CA9"/>
                <w:sz w:val="18"/>
                <w:szCs w:val="18"/>
              </w:rPr>
              <w:t>Diretoria Executiva</w:t>
            </w:r>
          </w:p>
        </w:tc>
        <w:tc>
          <w:tcPr>
            <w:tcW w:w="992" w:type="pct"/>
            <w:tcBorders>
              <w:top w:val="nil"/>
              <w:left w:val="nil"/>
              <w:right w:val="nil"/>
            </w:tcBorders>
            <w:vAlign w:val="center"/>
          </w:tcPr>
          <w:p w14:paraId="45B63ECF" w14:textId="77E408E5" w:rsidR="005A4362" w:rsidRPr="00440BB0" w:rsidRDefault="00962E1E">
            <w:pPr>
              <w:jc w:val="right"/>
              <w:rPr>
                <w:rFonts w:ascii="CAIXA Std Book" w:eastAsia="Times New Roman" w:hAnsi="CAIXA Std Book" w:cs="Calibri"/>
                <w:color w:val="005CA9"/>
                <w:sz w:val="18"/>
                <w:szCs w:val="18"/>
              </w:rPr>
            </w:pPr>
            <w:r w:rsidRPr="003D2883">
              <w:rPr>
                <w:rFonts w:ascii="CAIXA Std Book" w:hAnsi="CAIXA Std Book" w:cs="Arial"/>
                <w:color w:val="005CA9"/>
                <w:sz w:val="18"/>
                <w:szCs w:val="18"/>
              </w:rPr>
              <w:t>703.144</w:t>
            </w:r>
          </w:p>
        </w:tc>
        <w:tc>
          <w:tcPr>
            <w:tcW w:w="993" w:type="pct"/>
            <w:tcBorders>
              <w:top w:val="nil"/>
              <w:left w:val="nil"/>
              <w:right w:val="nil"/>
            </w:tcBorders>
            <w:vAlign w:val="center"/>
          </w:tcPr>
          <w:p w14:paraId="7B94596C" w14:textId="77777777" w:rsidR="005A4362" w:rsidRPr="00440BB0" w:rsidRDefault="005A4362">
            <w:pPr>
              <w:jc w:val="right"/>
              <w:rPr>
                <w:rFonts w:ascii="CAIXA Std Book" w:eastAsia="Times New Roman" w:hAnsi="CAIXA Std Book" w:cs="Calibri"/>
                <w:color w:val="005CA9"/>
                <w:sz w:val="18"/>
                <w:szCs w:val="18"/>
              </w:rPr>
            </w:pPr>
            <w:r>
              <w:rPr>
                <w:rFonts w:ascii="CAIXA Std Book" w:hAnsi="CAIXA Std Book" w:cs="Calibri"/>
                <w:color w:val="005CA9"/>
                <w:sz w:val="18"/>
                <w:szCs w:val="18"/>
              </w:rPr>
              <w:t>610.141</w:t>
            </w:r>
          </w:p>
        </w:tc>
      </w:tr>
      <w:tr w:rsidR="005A4362" w:rsidRPr="00440BB0" w14:paraId="241EA50B" w14:textId="77777777" w:rsidTr="00E06E0A">
        <w:trPr>
          <w:trHeight w:val="315"/>
        </w:trPr>
        <w:tc>
          <w:tcPr>
            <w:tcW w:w="3015" w:type="pct"/>
            <w:tcBorders>
              <w:top w:val="nil"/>
              <w:left w:val="nil"/>
              <w:right w:val="nil"/>
            </w:tcBorders>
            <w:shd w:val="clear" w:color="auto" w:fill="D0DFE3"/>
            <w:noWrap/>
            <w:vAlign w:val="center"/>
            <w:hideMark/>
          </w:tcPr>
          <w:p w14:paraId="3BC426C0" w14:textId="77777777" w:rsidR="005A4362" w:rsidRPr="00440BB0" w:rsidRDefault="005A4362">
            <w:pPr>
              <w:ind w:firstLineChars="100" w:firstLine="181"/>
              <w:rPr>
                <w:rFonts w:ascii="CAIXA Std Book" w:eastAsia="Times New Roman" w:hAnsi="CAIXA Std Book" w:cs="Calibri"/>
                <w:b/>
                <w:bCs/>
                <w:color w:val="005CA9"/>
                <w:sz w:val="18"/>
                <w:szCs w:val="18"/>
              </w:rPr>
            </w:pPr>
            <w:r w:rsidRPr="00440BB0">
              <w:rPr>
                <w:rFonts w:ascii="CAIXA Std Book" w:eastAsia="Times New Roman" w:hAnsi="CAIXA Std Book" w:cs="Calibri"/>
                <w:b/>
                <w:bCs/>
                <w:color w:val="005CA9"/>
                <w:sz w:val="18"/>
                <w:szCs w:val="18"/>
              </w:rPr>
              <w:t>Treinamento </w:t>
            </w:r>
          </w:p>
        </w:tc>
        <w:tc>
          <w:tcPr>
            <w:tcW w:w="992" w:type="pct"/>
            <w:tcBorders>
              <w:top w:val="nil"/>
              <w:left w:val="nil"/>
              <w:right w:val="nil"/>
            </w:tcBorders>
            <w:shd w:val="clear" w:color="auto" w:fill="D0DFE3"/>
            <w:noWrap/>
            <w:vAlign w:val="center"/>
          </w:tcPr>
          <w:p w14:paraId="6F0F553C" w14:textId="74EE6D51" w:rsidR="005A4362" w:rsidRPr="00440BB0" w:rsidRDefault="00962E1E">
            <w:pPr>
              <w:jc w:val="right"/>
              <w:rPr>
                <w:rFonts w:ascii="CAIXA Std Book" w:eastAsia="Times New Roman" w:hAnsi="CAIXA Std Book" w:cs="Calibri"/>
                <w:b/>
                <w:bCs/>
                <w:color w:val="005CA9"/>
                <w:sz w:val="18"/>
                <w:szCs w:val="18"/>
              </w:rPr>
            </w:pPr>
            <w:r w:rsidRPr="003D2883">
              <w:rPr>
                <w:rFonts w:ascii="CAIXA Std Book" w:hAnsi="CAIXA Std Book" w:cs="Arial"/>
                <w:b/>
                <w:bCs/>
                <w:color w:val="005CA9"/>
                <w:sz w:val="18"/>
                <w:szCs w:val="18"/>
              </w:rPr>
              <w:t>114.395</w:t>
            </w:r>
          </w:p>
        </w:tc>
        <w:tc>
          <w:tcPr>
            <w:tcW w:w="993" w:type="pct"/>
            <w:tcBorders>
              <w:top w:val="nil"/>
              <w:left w:val="nil"/>
              <w:right w:val="nil"/>
            </w:tcBorders>
            <w:shd w:val="clear" w:color="auto" w:fill="D0DFE3"/>
            <w:vAlign w:val="center"/>
          </w:tcPr>
          <w:p w14:paraId="3A45D58F" w14:textId="77777777" w:rsidR="005A4362" w:rsidRPr="00440BB0" w:rsidRDefault="005A4362">
            <w:pPr>
              <w:jc w:val="right"/>
              <w:rPr>
                <w:rFonts w:ascii="CAIXA Std Book" w:eastAsia="Times New Roman" w:hAnsi="CAIXA Std Book" w:cs="Calibri"/>
                <w:b/>
                <w:bCs/>
                <w:color w:val="005CA9"/>
                <w:sz w:val="18"/>
                <w:szCs w:val="18"/>
              </w:rPr>
            </w:pPr>
            <w:r w:rsidRPr="00B54B2B">
              <w:rPr>
                <w:rFonts w:ascii="CAIXA Std Book" w:hAnsi="CAIXA Std Book"/>
                <w:b/>
                <w:color w:val="005CA9"/>
                <w:sz w:val="18"/>
                <w:szCs w:val="18"/>
              </w:rPr>
              <w:t>43.022</w:t>
            </w:r>
          </w:p>
        </w:tc>
      </w:tr>
      <w:tr w:rsidR="005A4362" w:rsidRPr="00440BB0" w14:paraId="161B512A" w14:textId="77777777" w:rsidTr="00E06E0A">
        <w:trPr>
          <w:trHeight w:val="315"/>
        </w:trPr>
        <w:tc>
          <w:tcPr>
            <w:tcW w:w="3015" w:type="pct"/>
            <w:tcBorders>
              <w:right w:val="nil"/>
            </w:tcBorders>
            <w:shd w:val="clear" w:color="auto" w:fill="D0DFE3"/>
            <w:noWrap/>
            <w:vAlign w:val="center"/>
            <w:hideMark/>
          </w:tcPr>
          <w:p w14:paraId="46AE6585" w14:textId="77777777" w:rsidR="005A4362" w:rsidRPr="00440BB0" w:rsidRDefault="005A4362">
            <w:pPr>
              <w:ind w:firstLineChars="100" w:firstLine="181"/>
              <w:rPr>
                <w:rFonts w:ascii="CAIXA Std Book" w:eastAsia="Times New Roman" w:hAnsi="CAIXA Std Book" w:cs="Calibri"/>
                <w:b/>
                <w:bCs/>
                <w:color w:val="005CA9"/>
                <w:sz w:val="18"/>
                <w:szCs w:val="18"/>
              </w:rPr>
            </w:pPr>
            <w:r w:rsidRPr="00440BB0">
              <w:rPr>
                <w:rFonts w:ascii="CAIXA Std Book" w:eastAsia="Times New Roman" w:hAnsi="CAIXA Std Book" w:cs="Calibri"/>
                <w:b/>
                <w:bCs/>
                <w:color w:val="005CA9"/>
                <w:sz w:val="18"/>
                <w:szCs w:val="18"/>
              </w:rPr>
              <w:t>Encargos sociais </w:t>
            </w:r>
          </w:p>
        </w:tc>
        <w:tc>
          <w:tcPr>
            <w:tcW w:w="992" w:type="pct"/>
            <w:tcBorders>
              <w:left w:val="nil"/>
              <w:right w:val="nil"/>
            </w:tcBorders>
            <w:shd w:val="clear" w:color="auto" w:fill="D0DFE3"/>
            <w:noWrap/>
            <w:vAlign w:val="center"/>
          </w:tcPr>
          <w:p w14:paraId="2B7986F2" w14:textId="53A75D75" w:rsidR="005A4362" w:rsidRPr="00440BB0" w:rsidRDefault="00962E1E">
            <w:pPr>
              <w:jc w:val="right"/>
              <w:rPr>
                <w:rFonts w:ascii="CAIXA Std Book" w:eastAsia="Times New Roman" w:hAnsi="CAIXA Std Book" w:cs="Calibri"/>
                <w:b/>
                <w:bCs/>
                <w:color w:val="005CA9"/>
                <w:sz w:val="18"/>
                <w:szCs w:val="18"/>
              </w:rPr>
            </w:pPr>
            <w:r w:rsidRPr="003D2883">
              <w:rPr>
                <w:rFonts w:ascii="CAIXA Std Book" w:hAnsi="CAIXA Std Book" w:cs="Arial"/>
                <w:b/>
                <w:bCs/>
                <w:color w:val="005CA9"/>
                <w:sz w:val="18"/>
                <w:szCs w:val="18"/>
              </w:rPr>
              <w:t>2.412.951</w:t>
            </w:r>
          </w:p>
        </w:tc>
        <w:tc>
          <w:tcPr>
            <w:tcW w:w="993" w:type="pct"/>
            <w:tcBorders>
              <w:left w:val="nil"/>
            </w:tcBorders>
            <w:shd w:val="clear" w:color="auto" w:fill="D0DFE3"/>
            <w:vAlign w:val="center"/>
          </w:tcPr>
          <w:p w14:paraId="703AAD68" w14:textId="77777777" w:rsidR="005A4362" w:rsidRPr="00440BB0" w:rsidRDefault="005A4362">
            <w:pPr>
              <w:jc w:val="right"/>
              <w:rPr>
                <w:rFonts w:ascii="CAIXA Std Book" w:eastAsia="Times New Roman" w:hAnsi="CAIXA Std Book" w:cs="Calibri"/>
                <w:b/>
                <w:bCs/>
                <w:color w:val="005CA9"/>
                <w:sz w:val="18"/>
                <w:szCs w:val="18"/>
              </w:rPr>
            </w:pPr>
            <w:r w:rsidRPr="00B54B2B">
              <w:rPr>
                <w:rFonts w:ascii="CAIXA Std Book" w:hAnsi="CAIXA Std Book"/>
                <w:b/>
                <w:color w:val="005CA9"/>
                <w:sz w:val="18"/>
                <w:szCs w:val="18"/>
              </w:rPr>
              <w:t>1.941.524</w:t>
            </w:r>
          </w:p>
        </w:tc>
      </w:tr>
      <w:tr w:rsidR="005A4362" w:rsidRPr="00440BB0" w14:paraId="7F2E9A4B" w14:textId="77777777" w:rsidTr="00E06E0A">
        <w:trPr>
          <w:trHeight w:val="300"/>
        </w:trPr>
        <w:tc>
          <w:tcPr>
            <w:tcW w:w="3015" w:type="pct"/>
            <w:tcBorders>
              <w:left w:val="nil"/>
              <w:right w:val="nil"/>
            </w:tcBorders>
            <w:shd w:val="clear" w:color="auto" w:fill="D0DFE3"/>
            <w:noWrap/>
            <w:vAlign w:val="center"/>
            <w:hideMark/>
          </w:tcPr>
          <w:p w14:paraId="5D2F96E8" w14:textId="77777777" w:rsidR="005A4362" w:rsidRPr="00440BB0" w:rsidRDefault="005A4362">
            <w:pPr>
              <w:rPr>
                <w:rFonts w:ascii="CAIXA Std Book" w:eastAsia="Times New Roman" w:hAnsi="CAIXA Std Book" w:cs="Calibri"/>
                <w:b/>
                <w:bCs/>
                <w:color w:val="005CA9"/>
                <w:sz w:val="18"/>
                <w:szCs w:val="18"/>
              </w:rPr>
            </w:pPr>
            <w:r w:rsidRPr="00440BB0">
              <w:rPr>
                <w:rFonts w:ascii="CAIXA Std Book" w:eastAsia="Times New Roman" w:hAnsi="CAIXA Std Book" w:cs="Calibri"/>
                <w:b/>
                <w:bCs/>
                <w:color w:val="005CA9"/>
                <w:sz w:val="18"/>
                <w:szCs w:val="18"/>
              </w:rPr>
              <w:t>Benefícios pós</w:t>
            </w:r>
            <w:r>
              <w:rPr>
                <w:rFonts w:ascii="CAIXA Std Book" w:eastAsia="Times New Roman" w:hAnsi="CAIXA Std Book" w:cs="Calibri"/>
                <w:b/>
                <w:bCs/>
                <w:color w:val="005CA9"/>
                <w:sz w:val="18"/>
                <w:szCs w:val="18"/>
              </w:rPr>
              <w:t>-</w:t>
            </w:r>
            <w:r w:rsidRPr="00440BB0">
              <w:rPr>
                <w:rFonts w:ascii="CAIXA Std Book" w:eastAsia="Times New Roman" w:hAnsi="CAIXA Std Book" w:cs="Calibri"/>
                <w:b/>
                <w:bCs/>
                <w:color w:val="005CA9"/>
                <w:sz w:val="18"/>
                <w:szCs w:val="18"/>
              </w:rPr>
              <w:t>emprego</w:t>
            </w:r>
            <w:r w:rsidRPr="00440BB0">
              <w:rPr>
                <w:rFonts w:ascii="CAIXA Std Book" w:eastAsia="Times New Roman" w:hAnsi="CAIXA Std Book" w:cs="Calibri"/>
                <w:color w:val="005CA9"/>
                <w:sz w:val="18"/>
                <w:szCs w:val="18"/>
              </w:rPr>
              <w:t> </w:t>
            </w:r>
          </w:p>
        </w:tc>
        <w:tc>
          <w:tcPr>
            <w:tcW w:w="992" w:type="pct"/>
            <w:tcBorders>
              <w:left w:val="nil"/>
              <w:right w:val="nil"/>
            </w:tcBorders>
            <w:shd w:val="clear" w:color="auto" w:fill="D0DFE3"/>
            <w:noWrap/>
            <w:vAlign w:val="center"/>
          </w:tcPr>
          <w:p w14:paraId="05BD244B" w14:textId="64A12216" w:rsidR="005A4362" w:rsidRPr="00440BB0" w:rsidRDefault="00962E1E" w:rsidP="00962E1E">
            <w:pPr>
              <w:jc w:val="center"/>
              <w:rPr>
                <w:rFonts w:ascii="CAIXA Std Book" w:eastAsia="Times New Roman" w:hAnsi="CAIXA Std Book" w:cs="Calibri"/>
                <w:b/>
                <w:bCs/>
                <w:color w:val="005CA9"/>
                <w:sz w:val="18"/>
                <w:szCs w:val="18"/>
              </w:rPr>
            </w:pPr>
            <w:r w:rsidRPr="003D2883">
              <w:rPr>
                <w:rFonts w:ascii="CAIXA Std Book" w:hAnsi="CAIXA Std Book" w:cs="Arial"/>
                <w:b/>
                <w:bCs/>
                <w:color w:val="005CA9"/>
                <w:sz w:val="18"/>
                <w:szCs w:val="18"/>
              </w:rPr>
              <w:t>-</w:t>
            </w:r>
          </w:p>
        </w:tc>
        <w:tc>
          <w:tcPr>
            <w:tcW w:w="993" w:type="pct"/>
            <w:tcBorders>
              <w:left w:val="nil"/>
              <w:right w:val="nil"/>
            </w:tcBorders>
            <w:shd w:val="clear" w:color="auto" w:fill="D0DFE3"/>
            <w:vAlign w:val="center"/>
          </w:tcPr>
          <w:p w14:paraId="4425F4D6" w14:textId="77777777" w:rsidR="005A4362" w:rsidRPr="00440BB0" w:rsidRDefault="005A4362">
            <w:pPr>
              <w:jc w:val="right"/>
              <w:rPr>
                <w:rFonts w:ascii="CAIXA Std Book" w:eastAsia="Times New Roman" w:hAnsi="CAIXA Std Book" w:cs="Calibri"/>
                <w:b/>
                <w:bCs/>
                <w:color w:val="005CA9"/>
                <w:sz w:val="18"/>
                <w:szCs w:val="18"/>
              </w:rPr>
            </w:pPr>
            <w:r w:rsidRPr="00B54B2B">
              <w:rPr>
                <w:rFonts w:ascii="CAIXA Std Book" w:hAnsi="CAIXA Std Book"/>
                <w:b/>
                <w:color w:val="005CA9"/>
                <w:sz w:val="18"/>
                <w:szCs w:val="18"/>
              </w:rPr>
              <w:t>639.584</w:t>
            </w:r>
          </w:p>
        </w:tc>
      </w:tr>
      <w:tr w:rsidR="005A4362" w:rsidRPr="00440BB0" w14:paraId="085B3201" w14:textId="77777777" w:rsidTr="009322CB">
        <w:trPr>
          <w:trHeight w:val="300"/>
        </w:trPr>
        <w:tc>
          <w:tcPr>
            <w:tcW w:w="3015" w:type="pct"/>
            <w:tcBorders>
              <w:top w:val="nil"/>
              <w:left w:val="nil"/>
              <w:bottom w:val="single" w:sz="4" w:space="0" w:color="1F497D" w:themeColor="text2"/>
              <w:right w:val="nil"/>
            </w:tcBorders>
            <w:shd w:val="clear" w:color="000000" w:fill="FFFFFF"/>
            <w:noWrap/>
            <w:vAlign w:val="center"/>
            <w:hideMark/>
          </w:tcPr>
          <w:p w14:paraId="39E2264F" w14:textId="77777777" w:rsidR="005A4362" w:rsidRPr="00440BB0" w:rsidRDefault="005A4362">
            <w:pPr>
              <w:ind w:firstLineChars="100" w:firstLine="180"/>
              <w:rPr>
                <w:rFonts w:ascii="CAIXA Std Book" w:eastAsia="Times New Roman" w:hAnsi="CAIXA Std Book" w:cs="Calibri"/>
                <w:color w:val="005CA9"/>
                <w:sz w:val="18"/>
                <w:szCs w:val="18"/>
              </w:rPr>
            </w:pPr>
            <w:r w:rsidRPr="00440BB0">
              <w:rPr>
                <w:rFonts w:ascii="CAIXA Std Book" w:eastAsia="Times New Roman" w:hAnsi="CAIXA Std Book" w:cs="Calibri"/>
                <w:color w:val="005CA9"/>
                <w:sz w:val="18"/>
                <w:szCs w:val="18"/>
              </w:rPr>
              <w:t>Previdência complementar </w:t>
            </w:r>
          </w:p>
        </w:tc>
        <w:tc>
          <w:tcPr>
            <w:tcW w:w="992" w:type="pct"/>
            <w:tcBorders>
              <w:top w:val="nil"/>
              <w:left w:val="nil"/>
              <w:bottom w:val="single" w:sz="4" w:space="0" w:color="1F497D" w:themeColor="text2"/>
              <w:right w:val="nil"/>
            </w:tcBorders>
            <w:shd w:val="clear" w:color="000000" w:fill="FFFFFF"/>
            <w:noWrap/>
            <w:vAlign w:val="center"/>
          </w:tcPr>
          <w:p w14:paraId="33E4704E" w14:textId="306D0EC7" w:rsidR="005A4362" w:rsidRPr="00440BB0" w:rsidRDefault="00962E1E" w:rsidP="00962E1E">
            <w:pPr>
              <w:jc w:val="center"/>
              <w:rPr>
                <w:rFonts w:ascii="CAIXA Std Book" w:eastAsia="Times New Roman" w:hAnsi="CAIXA Std Book" w:cs="Calibri"/>
                <w:color w:val="005CA9"/>
                <w:sz w:val="18"/>
                <w:szCs w:val="18"/>
              </w:rPr>
            </w:pPr>
            <w:r w:rsidRPr="003D2883">
              <w:rPr>
                <w:rFonts w:ascii="CAIXA Std Book" w:hAnsi="CAIXA Std Book" w:cs="Arial"/>
                <w:color w:val="005CA9"/>
                <w:sz w:val="18"/>
                <w:szCs w:val="18"/>
              </w:rPr>
              <w:t>-</w:t>
            </w:r>
          </w:p>
        </w:tc>
        <w:tc>
          <w:tcPr>
            <w:tcW w:w="993" w:type="pct"/>
            <w:tcBorders>
              <w:top w:val="nil"/>
              <w:left w:val="nil"/>
              <w:bottom w:val="single" w:sz="4" w:space="0" w:color="1F497D" w:themeColor="text2"/>
              <w:right w:val="nil"/>
            </w:tcBorders>
            <w:shd w:val="clear" w:color="000000" w:fill="FFFFFF"/>
            <w:vAlign w:val="center"/>
          </w:tcPr>
          <w:p w14:paraId="5DB51E60" w14:textId="77777777" w:rsidR="005A4362" w:rsidRPr="00440BB0" w:rsidRDefault="005A4362">
            <w:pPr>
              <w:jc w:val="right"/>
              <w:rPr>
                <w:rFonts w:ascii="CAIXA Std Book" w:eastAsia="Times New Roman" w:hAnsi="CAIXA Std Book" w:cs="Calibri"/>
                <w:color w:val="005CA9"/>
                <w:sz w:val="18"/>
                <w:szCs w:val="18"/>
              </w:rPr>
            </w:pPr>
            <w:r w:rsidRPr="00632D85">
              <w:rPr>
                <w:rFonts w:ascii="CAIXA Std Book" w:hAnsi="CAIXA Std Book" w:cs="Calibri"/>
                <w:color w:val="005CA9"/>
                <w:sz w:val="18"/>
                <w:szCs w:val="18"/>
              </w:rPr>
              <w:t>639.584</w:t>
            </w:r>
          </w:p>
        </w:tc>
      </w:tr>
    </w:tbl>
    <w:p w14:paraId="384609B6" w14:textId="15935B1C" w:rsidR="005026AB" w:rsidRPr="00FF4346" w:rsidRDefault="005026AB" w:rsidP="005026AB">
      <w:pPr>
        <w:spacing w:before="240" w:after="120"/>
        <w:jc w:val="both"/>
        <w:rPr>
          <w:rFonts w:ascii="CAIXA Std Book" w:hAnsi="CAIXA Std Book"/>
          <w:color w:val="005CA9"/>
          <w:sz w:val="20"/>
          <w:szCs w:val="20"/>
        </w:rPr>
      </w:pPr>
      <w:r w:rsidRPr="00FF4346">
        <w:rPr>
          <w:rFonts w:ascii="CAIXA Std Book" w:hAnsi="CAIXA Std Book"/>
          <w:color w:val="005CA9"/>
          <w:sz w:val="20"/>
          <w:szCs w:val="20"/>
        </w:rPr>
        <w:t xml:space="preserve">Os benefícios incluem auxílio alimentação, auxílio moradia e plano de saúde aos membros da </w:t>
      </w:r>
      <w:r w:rsidR="00045720">
        <w:rPr>
          <w:rFonts w:ascii="CAIXA Std Book" w:hAnsi="CAIXA Std Book"/>
          <w:color w:val="005CA9"/>
          <w:sz w:val="20"/>
          <w:szCs w:val="20"/>
        </w:rPr>
        <w:t>D</w:t>
      </w:r>
      <w:r w:rsidRPr="00FF4346">
        <w:rPr>
          <w:rFonts w:ascii="CAIXA Std Book" w:hAnsi="CAIXA Std Book"/>
          <w:color w:val="005CA9"/>
          <w:sz w:val="20"/>
          <w:szCs w:val="20"/>
        </w:rPr>
        <w:t xml:space="preserve">iretoria. </w:t>
      </w:r>
    </w:p>
    <w:p w14:paraId="71EF4A6E" w14:textId="11989C72" w:rsidR="005026AB" w:rsidRPr="00FF4346" w:rsidRDefault="005026AB" w:rsidP="005026AB">
      <w:pPr>
        <w:spacing w:before="120" w:after="120"/>
        <w:jc w:val="both"/>
        <w:rPr>
          <w:rFonts w:ascii="CAIXA Std Book" w:hAnsi="CAIXA Std Book"/>
          <w:color w:val="005CA9"/>
          <w:sz w:val="20"/>
          <w:szCs w:val="20"/>
        </w:rPr>
      </w:pPr>
      <w:r w:rsidRPr="00FF4346">
        <w:rPr>
          <w:rFonts w:ascii="CAIXA Std Book" w:hAnsi="CAIXA Std Book"/>
          <w:color w:val="005CA9"/>
          <w:sz w:val="20"/>
          <w:szCs w:val="20"/>
        </w:rPr>
        <w:t xml:space="preserve">No item </w:t>
      </w:r>
      <w:r w:rsidR="003A101E">
        <w:rPr>
          <w:rFonts w:ascii="CAIXA Std Book" w:hAnsi="CAIXA Std Book"/>
          <w:color w:val="005CA9"/>
          <w:sz w:val="20"/>
          <w:szCs w:val="20"/>
        </w:rPr>
        <w:t>p</w:t>
      </w:r>
      <w:r w:rsidRPr="00FF4346">
        <w:rPr>
          <w:rFonts w:ascii="CAIXA Std Book" w:hAnsi="CAIXA Std Book"/>
          <w:color w:val="005CA9"/>
          <w:sz w:val="20"/>
          <w:szCs w:val="20"/>
        </w:rPr>
        <w:t xml:space="preserve">revidência </w:t>
      </w:r>
      <w:r w:rsidR="003A101E">
        <w:rPr>
          <w:rFonts w:ascii="CAIXA Std Book" w:hAnsi="CAIXA Std Book"/>
          <w:color w:val="005CA9"/>
          <w:sz w:val="20"/>
          <w:szCs w:val="20"/>
        </w:rPr>
        <w:t>c</w:t>
      </w:r>
      <w:r w:rsidRPr="00FF4346">
        <w:rPr>
          <w:rFonts w:ascii="CAIXA Std Book" w:hAnsi="CAIXA Std Book"/>
          <w:color w:val="005CA9"/>
          <w:sz w:val="20"/>
          <w:szCs w:val="20"/>
        </w:rPr>
        <w:t xml:space="preserve">omplementar, os benefícios pós-emprego são restritos aos membros da </w:t>
      </w:r>
      <w:r w:rsidR="00045720">
        <w:rPr>
          <w:rFonts w:ascii="CAIXA Std Book" w:hAnsi="CAIXA Std Book"/>
          <w:color w:val="005CA9"/>
          <w:sz w:val="20"/>
          <w:szCs w:val="20"/>
        </w:rPr>
        <w:t>D</w:t>
      </w:r>
      <w:r w:rsidRPr="00FF4346">
        <w:rPr>
          <w:rFonts w:ascii="CAIXA Std Book" w:hAnsi="CAIXA Std Book"/>
          <w:color w:val="005CA9"/>
          <w:sz w:val="20"/>
          <w:szCs w:val="20"/>
        </w:rPr>
        <w:t>iretoria, Conselho de Administração e Conselho Fiscal da CAIXA.</w:t>
      </w:r>
    </w:p>
    <w:p w14:paraId="464E859B" w14:textId="23C4311D" w:rsidR="00936198" w:rsidRDefault="005026AB" w:rsidP="003E59C3">
      <w:pPr>
        <w:spacing w:before="120" w:after="120"/>
        <w:jc w:val="both"/>
        <w:rPr>
          <w:rFonts w:ascii="CAIXA Std Book" w:hAnsi="CAIXA Std Book"/>
          <w:color w:val="005CA9"/>
          <w:sz w:val="20"/>
          <w:szCs w:val="20"/>
        </w:rPr>
      </w:pPr>
      <w:r w:rsidRPr="00FF4346">
        <w:rPr>
          <w:rFonts w:ascii="CAIXA Std Book" w:hAnsi="CAIXA Std Book"/>
          <w:color w:val="005CA9"/>
          <w:sz w:val="20"/>
          <w:szCs w:val="20"/>
        </w:rPr>
        <w:t xml:space="preserve">A CAIXA não possui remuneração baseada em ações ou outros benefícios de longo prazo a seus funcionários e </w:t>
      </w:r>
      <w:r w:rsidR="004110CB">
        <w:rPr>
          <w:rFonts w:ascii="CAIXA Std Book" w:hAnsi="CAIXA Std Book"/>
          <w:color w:val="005CA9"/>
          <w:sz w:val="20"/>
          <w:szCs w:val="20"/>
        </w:rPr>
        <w:t>P</w:t>
      </w:r>
      <w:r w:rsidRPr="00FF4346">
        <w:rPr>
          <w:rFonts w:ascii="CAIXA Std Book" w:hAnsi="CAIXA Std Book"/>
          <w:color w:val="005CA9"/>
          <w:sz w:val="20"/>
          <w:szCs w:val="20"/>
        </w:rPr>
        <w:t>essoal</w:t>
      </w:r>
      <w:r w:rsidR="00FF7574">
        <w:rPr>
          <w:rFonts w:ascii="CAIXA Std Book" w:hAnsi="CAIXA Std Book"/>
          <w:color w:val="005CA9"/>
          <w:sz w:val="20"/>
          <w:szCs w:val="20"/>
        </w:rPr>
        <w:t>-</w:t>
      </w:r>
      <w:r w:rsidRPr="00FF4346">
        <w:rPr>
          <w:rFonts w:ascii="CAIXA Std Book" w:hAnsi="CAIXA Std Book"/>
          <w:color w:val="005CA9"/>
          <w:sz w:val="20"/>
          <w:szCs w:val="20"/>
        </w:rPr>
        <w:t xml:space="preserve">chave da </w:t>
      </w:r>
      <w:r w:rsidR="004110CB">
        <w:rPr>
          <w:rFonts w:ascii="CAIXA Std Book" w:hAnsi="CAIXA Std Book"/>
          <w:color w:val="005CA9"/>
          <w:sz w:val="20"/>
          <w:szCs w:val="20"/>
        </w:rPr>
        <w:t>A</w:t>
      </w:r>
      <w:r w:rsidRPr="00FF4346">
        <w:rPr>
          <w:rFonts w:ascii="CAIXA Std Book" w:hAnsi="CAIXA Std Book"/>
          <w:color w:val="005CA9"/>
          <w:sz w:val="20"/>
          <w:szCs w:val="20"/>
        </w:rPr>
        <w:t>dministração.</w:t>
      </w:r>
      <w:bookmarkEnd w:id="161"/>
      <w:r w:rsidRPr="00FF4346">
        <w:rPr>
          <w:rFonts w:ascii="CAIXA Std Book" w:hAnsi="CAIXA Std Book"/>
          <w:color w:val="005CA9"/>
          <w:sz w:val="20"/>
          <w:szCs w:val="20"/>
        </w:rPr>
        <w:t xml:space="preserve"> </w:t>
      </w:r>
    </w:p>
    <w:p w14:paraId="7BFF9943" w14:textId="77777777" w:rsidR="0055454F" w:rsidRDefault="0055454F" w:rsidP="00295657">
      <w:pPr>
        <w:pStyle w:val="PargrafodaLista"/>
        <w:numPr>
          <w:ilvl w:val="0"/>
          <w:numId w:val="33"/>
        </w:numPr>
        <w:spacing w:before="240" w:after="240"/>
        <w:ind w:left="567" w:hanging="567"/>
        <w:jc w:val="both"/>
        <w:rPr>
          <w:rFonts w:ascii="CAIXA Std Book" w:hAnsi="CAIXA Std Book"/>
          <w:b/>
          <w:color w:val="005CA9"/>
          <w:sz w:val="20"/>
          <w:szCs w:val="20"/>
        </w:rPr>
      </w:pPr>
      <w:r w:rsidRPr="005C7AB4">
        <w:rPr>
          <w:rFonts w:ascii="CAIXA Std Book" w:hAnsi="CAIXA Std Book"/>
          <w:b/>
          <w:color w:val="005CA9"/>
          <w:sz w:val="20"/>
          <w:szCs w:val="20"/>
        </w:rPr>
        <w:t xml:space="preserve">Remuneração </w:t>
      </w:r>
      <w:r>
        <w:rPr>
          <w:rFonts w:ascii="CAIXA Std Book" w:hAnsi="CAIXA Std Book"/>
          <w:b/>
          <w:color w:val="005CA9"/>
          <w:sz w:val="20"/>
          <w:szCs w:val="20"/>
        </w:rPr>
        <w:t>m</w:t>
      </w:r>
      <w:r w:rsidRPr="005C7AB4">
        <w:rPr>
          <w:rFonts w:ascii="CAIXA Std Book" w:hAnsi="CAIXA Std Book"/>
          <w:b/>
          <w:color w:val="005CA9"/>
          <w:sz w:val="20"/>
          <w:szCs w:val="20"/>
        </w:rPr>
        <w:t>édia (em reais)</w:t>
      </w:r>
    </w:p>
    <w:tbl>
      <w:tblPr>
        <w:tblW w:w="5000" w:type="pct"/>
        <w:jc w:val="center"/>
        <w:tblCellMar>
          <w:left w:w="70" w:type="dxa"/>
          <w:right w:w="70" w:type="dxa"/>
        </w:tblCellMar>
        <w:tblLook w:val="04A0" w:firstRow="1" w:lastRow="0" w:firstColumn="1" w:lastColumn="0" w:noHBand="0" w:noVBand="1"/>
      </w:tblPr>
      <w:tblGrid>
        <w:gridCol w:w="5288"/>
        <w:gridCol w:w="1449"/>
        <w:gridCol w:w="1449"/>
        <w:gridCol w:w="1447"/>
      </w:tblGrid>
      <w:tr w:rsidR="000221CD" w:rsidRPr="00052254" w14:paraId="132ABA0F" w14:textId="77777777" w:rsidTr="00D16B7B">
        <w:trPr>
          <w:trHeight w:val="283"/>
          <w:jc w:val="center"/>
        </w:trPr>
        <w:tc>
          <w:tcPr>
            <w:tcW w:w="2745" w:type="pct"/>
            <w:vMerge w:val="restart"/>
            <w:tcBorders>
              <w:top w:val="single" w:sz="4" w:space="0" w:color="FFFFFF"/>
              <w:left w:val="single" w:sz="4" w:space="0" w:color="FFFFFF"/>
              <w:bottom w:val="single" w:sz="4" w:space="0" w:color="FFFFFF"/>
            </w:tcBorders>
            <w:shd w:val="clear" w:color="auto" w:fill="005CA9"/>
            <w:vAlign w:val="center"/>
          </w:tcPr>
          <w:p w14:paraId="4F451379" w14:textId="31A30DD0" w:rsidR="002E3E3A" w:rsidRPr="00052254" w:rsidRDefault="002E3E3A" w:rsidP="00052254">
            <w:pPr>
              <w:jc w:val="center"/>
              <w:rPr>
                <w:rFonts w:ascii="CAIXA Std Book" w:eastAsia="Times New Roman" w:hAnsi="CAIXA Std Book" w:cs="Calibri"/>
                <w:b/>
                <w:bCs/>
                <w:color w:val="FFFFFF"/>
                <w:sz w:val="18"/>
                <w:szCs w:val="18"/>
              </w:rPr>
            </w:pPr>
            <w:r w:rsidRPr="00052254">
              <w:rPr>
                <w:rFonts w:ascii="CAIXA Std Book" w:eastAsia="Times New Roman" w:hAnsi="CAIXA Std Book" w:cs="Calibri"/>
                <w:b/>
                <w:bCs/>
                <w:color w:val="FFFFFF"/>
                <w:sz w:val="18"/>
                <w:szCs w:val="18"/>
              </w:rPr>
              <w:t>Descrição</w:t>
            </w:r>
            <w:r w:rsidR="002B2B6F">
              <w:rPr>
                <w:rFonts w:ascii="CAIXA Std Book" w:eastAsia="Times New Roman" w:hAnsi="CAIXA Std Book" w:cs="Calibri"/>
                <w:b/>
                <w:bCs/>
                <w:color w:val="FFFFFF"/>
                <w:sz w:val="18"/>
                <w:szCs w:val="18"/>
              </w:rPr>
              <w:t xml:space="preserve"> </w:t>
            </w:r>
            <w:r w:rsidR="002C428A">
              <w:rPr>
                <w:rFonts w:ascii="CAIXA Std Book" w:eastAsia="Times New Roman" w:hAnsi="CAIXA Std Book" w:cs="Calibri"/>
                <w:b/>
                <w:bCs/>
                <w:color w:val="FFFFFF"/>
                <w:sz w:val="18"/>
                <w:szCs w:val="18"/>
              </w:rPr>
              <w:t>(1)</w:t>
            </w:r>
          </w:p>
        </w:tc>
        <w:tc>
          <w:tcPr>
            <w:tcW w:w="2255" w:type="pct"/>
            <w:gridSpan w:val="3"/>
            <w:tcBorders>
              <w:top w:val="single" w:sz="4" w:space="0" w:color="FFFFFF"/>
            </w:tcBorders>
            <w:shd w:val="clear" w:color="auto" w:fill="005CA9"/>
            <w:vAlign w:val="center"/>
          </w:tcPr>
          <w:p w14:paraId="17A795CE" w14:textId="375A53C7" w:rsidR="002E3E3A" w:rsidRPr="00052254" w:rsidRDefault="007E52BD">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2026</w:t>
            </w:r>
          </w:p>
        </w:tc>
      </w:tr>
      <w:tr w:rsidR="00BE1DBB" w:rsidRPr="00052254" w14:paraId="167C4EE1" w14:textId="77777777" w:rsidTr="00D16B7B">
        <w:trPr>
          <w:trHeight w:val="283"/>
          <w:jc w:val="center"/>
        </w:trPr>
        <w:tc>
          <w:tcPr>
            <w:tcW w:w="2745" w:type="pct"/>
            <w:vMerge/>
            <w:tcBorders>
              <w:top w:val="single" w:sz="4" w:space="0" w:color="FFFFFF"/>
              <w:left w:val="single" w:sz="4" w:space="0" w:color="FFFFFF"/>
              <w:bottom w:val="single" w:sz="4" w:space="0" w:color="FFFFFF"/>
            </w:tcBorders>
            <w:shd w:val="clear" w:color="auto" w:fill="005CA9"/>
            <w:vAlign w:val="center"/>
          </w:tcPr>
          <w:p w14:paraId="17AFD61F" w14:textId="77777777" w:rsidR="00BE1DBB" w:rsidRPr="00052254" w:rsidRDefault="00BE1DBB" w:rsidP="00052254">
            <w:pPr>
              <w:jc w:val="center"/>
              <w:rPr>
                <w:rFonts w:ascii="CAIXA Std Book" w:eastAsia="Times New Roman" w:hAnsi="CAIXA Std Book" w:cs="Calibri"/>
                <w:b/>
                <w:bCs/>
                <w:color w:val="FFFFFF"/>
                <w:sz w:val="18"/>
                <w:szCs w:val="18"/>
              </w:rPr>
            </w:pPr>
          </w:p>
        </w:tc>
        <w:tc>
          <w:tcPr>
            <w:tcW w:w="2255" w:type="pct"/>
            <w:gridSpan w:val="3"/>
            <w:tcBorders>
              <w:top w:val="single" w:sz="4" w:space="0" w:color="FFFFFF"/>
            </w:tcBorders>
            <w:shd w:val="clear" w:color="auto" w:fill="005CA9"/>
            <w:vAlign w:val="center"/>
          </w:tcPr>
          <w:p w14:paraId="4FB60F78" w14:textId="005BF1A1" w:rsidR="00BE1DBB" w:rsidRDefault="00BE1DBB">
            <w:pPr>
              <w:jc w:val="center"/>
              <w:rPr>
                <w:rFonts w:ascii="CAIXA Std Book" w:eastAsia="Times New Roman" w:hAnsi="CAIXA Std Book" w:cs="Calibri"/>
                <w:b/>
                <w:bCs/>
                <w:color w:val="FFFFFF"/>
                <w:sz w:val="18"/>
                <w:szCs w:val="18"/>
              </w:rPr>
            </w:pPr>
            <w:r w:rsidRPr="00FC54CF">
              <w:rPr>
                <w:rFonts w:ascii="CAIXA Std Book" w:eastAsia="Times New Roman" w:hAnsi="CAIXA Std Book" w:cs="Calibri"/>
                <w:b/>
                <w:bCs/>
                <w:color w:val="FFFFFF"/>
                <w:sz w:val="18"/>
                <w:szCs w:val="18"/>
              </w:rPr>
              <w:t>1º trimestre</w:t>
            </w:r>
          </w:p>
        </w:tc>
      </w:tr>
      <w:tr w:rsidR="000C659A" w:rsidRPr="00052254" w14:paraId="1AA9D38B" w14:textId="77777777" w:rsidTr="00746532">
        <w:trPr>
          <w:trHeight w:val="283"/>
          <w:jc w:val="center"/>
        </w:trPr>
        <w:tc>
          <w:tcPr>
            <w:tcW w:w="2745" w:type="pct"/>
            <w:vMerge/>
            <w:tcBorders>
              <w:top w:val="single" w:sz="4" w:space="0" w:color="FFFFFF"/>
              <w:left w:val="single" w:sz="4" w:space="0" w:color="FFFFFF"/>
              <w:bottom w:val="single" w:sz="4" w:space="0" w:color="FFFFFF"/>
              <w:right w:val="nil"/>
            </w:tcBorders>
            <w:shd w:val="clear" w:color="auto" w:fill="005CA9"/>
            <w:vAlign w:val="center"/>
            <w:hideMark/>
          </w:tcPr>
          <w:p w14:paraId="5AE19A38" w14:textId="77777777" w:rsidR="002E3E3A" w:rsidRPr="00052254" w:rsidRDefault="002E3E3A">
            <w:pPr>
              <w:rPr>
                <w:rFonts w:ascii="CAIXA Std Book" w:eastAsia="Times New Roman" w:hAnsi="CAIXA Std Book" w:cs="Calibri"/>
                <w:b/>
                <w:bCs/>
                <w:color w:val="FFFFFF"/>
                <w:sz w:val="18"/>
                <w:szCs w:val="18"/>
              </w:rPr>
            </w:pPr>
          </w:p>
        </w:tc>
        <w:tc>
          <w:tcPr>
            <w:tcW w:w="752" w:type="pct"/>
            <w:tcBorders>
              <w:top w:val="single" w:sz="4" w:space="0" w:color="FFFFFF" w:themeColor="background1"/>
              <w:left w:val="nil"/>
              <w:right w:val="nil"/>
            </w:tcBorders>
            <w:shd w:val="clear" w:color="auto" w:fill="005CA9"/>
            <w:vAlign w:val="center"/>
            <w:hideMark/>
          </w:tcPr>
          <w:p w14:paraId="1BE63BA6" w14:textId="77777777" w:rsidR="002E3E3A" w:rsidRPr="00052254" w:rsidRDefault="002E3E3A">
            <w:pPr>
              <w:jc w:val="center"/>
              <w:rPr>
                <w:rFonts w:ascii="CAIXA Std Book" w:eastAsia="Times New Roman" w:hAnsi="CAIXA Std Book" w:cs="Calibri"/>
                <w:b/>
                <w:bCs/>
                <w:color w:val="FFFFFF" w:themeColor="background1"/>
                <w:sz w:val="18"/>
                <w:szCs w:val="18"/>
              </w:rPr>
            </w:pPr>
            <w:r w:rsidRPr="00052254">
              <w:rPr>
                <w:rFonts w:ascii="CAIXA Std Book" w:hAnsi="CAIXA Std Book"/>
                <w:b/>
                <w:bCs/>
                <w:color w:val="FFFFFF" w:themeColor="background1"/>
                <w:sz w:val="18"/>
                <w:szCs w:val="18"/>
              </w:rPr>
              <w:t>Maior valor</w:t>
            </w:r>
          </w:p>
        </w:tc>
        <w:tc>
          <w:tcPr>
            <w:tcW w:w="752" w:type="pct"/>
            <w:tcBorders>
              <w:top w:val="single" w:sz="4" w:space="0" w:color="FFFFFF" w:themeColor="background1"/>
              <w:left w:val="nil"/>
              <w:right w:val="nil"/>
            </w:tcBorders>
            <w:shd w:val="clear" w:color="auto" w:fill="005CA9"/>
            <w:vAlign w:val="center"/>
          </w:tcPr>
          <w:p w14:paraId="6A8B18F5" w14:textId="77777777" w:rsidR="002E3E3A" w:rsidRPr="00052254" w:rsidRDefault="002E3E3A">
            <w:pPr>
              <w:jc w:val="center"/>
              <w:rPr>
                <w:rFonts w:ascii="CAIXA Std Book" w:eastAsia="Times New Roman" w:hAnsi="CAIXA Std Book" w:cs="Calibri"/>
                <w:b/>
                <w:bCs/>
                <w:color w:val="FFFFFF" w:themeColor="background1"/>
                <w:sz w:val="18"/>
                <w:szCs w:val="18"/>
              </w:rPr>
            </w:pPr>
            <w:r w:rsidRPr="00052254">
              <w:rPr>
                <w:rFonts w:ascii="CAIXA Std Book" w:eastAsia="Times New Roman" w:hAnsi="CAIXA Std Book" w:cs="Calibri"/>
                <w:b/>
                <w:bCs/>
                <w:color w:val="FFFFFF" w:themeColor="background1"/>
                <w:sz w:val="18"/>
                <w:szCs w:val="18"/>
              </w:rPr>
              <w:t>Valor médio</w:t>
            </w:r>
          </w:p>
        </w:tc>
        <w:tc>
          <w:tcPr>
            <w:tcW w:w="751" w:type="pct"/>
            <w:tcBorders>
              <w:top w:val="single" w:sz="4" w:space="0" w:color="FFFFFF" w:themeColor="background1"/>
              <w:left w:val="nil"/>
            </w:tcBorders>
            <w:shd w:val="clear" w:color="auto" w:fill="005CA9"/>
            <w:vAlign w:val="center"/>
            <w:hideMark/>
          </w:tcPr>
          <w:p w14:paraId="75495E0B" w14:textId="77777777" w:rsidR="002E3E3A" w:rsidRPr="00052254" w:rsidRDefault="002E3E3A">
            <w:pPr>
              <w:jc w:val="center"/>
              <w:rPr>
                <w:rFonts w:ascii="CAIXA Std Book" w:eastAsia="Times New Roman" w:hAnsi="CAIXA Std Book" w:cs="Calibri"/>
                <w:b/>
                <w:bCs/>
                <w:color w:val="FFFFFF" w:themeColor="background1"/>
                <w:sz w:val="18"/>
                <w:szCs w:val="18"/>
              </w:rPr>
            </w:pPr>
            <w:r w:rsidRPr="00052254">
              <w:rPr>
                <w:rFonts w:ascii="CAIXA Std Book" w:hAnsi="CAIXA Std Book"/>
                <w:b/>
                <w:bCs/>
                <w:color w:val="FFFFFF" w:themeColor="background1"/>
                <w:sz w:val="18"/>
                <w:szCs w:val="18"/>
              </w:rPr>
              <w:t>Menor valor</w:t>
            </w:r>
          </w:p>
        </w:tc>
      </w:tr>
      <w:tr w:rsidR="00165917" w:rsidRPr="00052254" w14:paraId="3C1BCF97" w14:textId="77777777" w:rsidTr="009322CB">
        <w:trPr>
          <w:trHeight w:val="283"/>
          <w:jc w:val="center"/>
        </w:trPr>
        <w:tc>
          <w:tcPr>
            <w:tcW w:w="2745" w:type="pct"/>
            <w:tcBorders>
              <w:top w:val="single" w:sz="4" w:space="0" w:color="FFFFFF"/>
              <w:left w:val="single" w:sz="4" w:space="0" w:color="FFFFFF"/>
              <w:right w:val="nil"/>
            </w:tcBorders>
            <w:noWrap/>
            <w:vAlign w:val="center"/>
            <w:hideMark/>
          </w:tcPr>
          <w:p w14:paraId="0025459B" w14:textId="0CC981FE" w:rsidR="0055454F" w:rsidRPr="00052254" w:rsidRDefault="0055454F">
            <w:pPr>
              <w:rPr>
                <w:rFonts w:ascii="CAIXA Std Book" w:eastAsia="Times New Roman" w:hAnsi="CAIXA Std Book" w:cs="Calibri"/>
                <w:color w:val="005CA9"/>
                <w:sz w:val="18"/>
                <w:szCs w:val="18"/>
              </w:rPr>
            </w:pPr>
            <w:r w:rsidRPr="00052254">
              <w:rPr>
                <w:rFonts w:ascii="CAIXA Std Book" w:hAnsi="CAIXA Std Book"/>
                <w:color w:val="005CA9"/>
                <w:sz w:val="18"/>
                <w:szCs w:val="18"/>
              </w:rPr>
              <w:t>Diretoria Executiva</w:t>
            </w:r>
          </w:p>
        </w:tc>
        <w:tc>
          <w:tcPr>
            <w:tcW w:w="752" w:type="pct"/>
            <w:tcBorders>
              <w:left w:val="nil"/>
              <w:right w:val="nil"/>
            </w:tcBorders>
            <w:shd w:val="clear" w:color="000000" w:fill="FFFFFF"/>
            <w:noWrap/>
            <w:vAlign w:val="center"/>
          </w:tcPr>
          <w:p w14:paraId="30EBF113" w14:textId="0DC472CB" w:rsidR="0055454F" w:rsidRPr="00052254" w:rsidRDefault="0098017E" w:rsidP="007C3E38">
            <w:pPr>
              <w:jc w:val="right"/>
              <w:rPr>
                <w:rFonts w:ascii="CAIXA Std Book" w:eastAsia="Times New Roman" w:hAnsi="CAIXA Std Book" w:cs="Calibri"/>
                <w:color w:val="005CA9"/>
                <w:sz w:val="18"/>
                <w:szCs w:val="18"/>
              </w:rPr>
            </w:pPr>
            <w:r>
              <w:rPr>
                <w:rFonts w:ascii="CAIXA Std Book" w:hAnsi="CAIXA Std Book" w:cs="Arial"/>
                <w:color w:val="005CA9"/>
                <w:sz w:val="18"/>
                <w:szCs w:val="18"/>
              </w:rPr>
              <w:t>92.308</w:t>
            </w:r>
          </w:p>
        </w:tc>
        <w:tc>
          <w:tcPr>
            <w:tcW w:w="752" w:type="pct"/>
            <w:tcBorders>
              <w:left w:val="nil"/>
              <w:right w:val="nil"/>
            </w:tcBorders>
            <w:shd w:val="clear" w:color="000000" w:fill="FFFFFF"/>
            <w:vAlign w:val="center"/>
          </w:tcPr>
          <w:p w14:paraId="668C2E5C" w14:textId="4913FB19" w:rsidR="0055454F" w:rsidRPr="00052254" w:rsidRDefault="0098017E" w:rsidP="007C3E38">
            <w:pPr>
              <w:jc w:val="right"/>
              <w:rPr>
                <w:rFonts w:ascii="CAIXA Std Book" w:eastAsia="Times New Roman" w:hAnsi="CAIXA Std Book" w:cs="Calibri"/>
                <w:color w:val="005CA9"/>
                <w:sz w:val="18"/>
                <w:szCs w:val="18"/>
              </w:rPr>
            </w:pPr>
            <w:r>
              <w:rPr>
                <w:rFonts w:ascii="CAIXA Std Book" w:hAnsi="CAIXA Std Book" w:cs="Arial"/>
                <w:color w:val="005CA9"/>
                <w:sz w:val="18"/>
                <w:szCs w:val="18"/>
              </w:rPr>
              <w:t>77.189</w:t>
            </w:r>
          </w:p>
        </w:tc>
        <w:tc>
          <w:tcPr>
            <w:tcW w:w="751" w:type="pct"/>
            <w:tcBorders>
              <w:left w:val="nil"/>
              <w:right w:val="nil"/>
            </w:tcBorders>
            <w:shd w:val="clear" w:color="000000" w:fill="FFFFFF"/>
            <w:noWrap/>
            <w:vAlign w:val="center"/>
          </w:tcPr>
          <w:p w14:paraId="2ADB5A16" w14:textId="4DE02DBB" w:rsidR="0055454F" w:rsidRPr="00052254" w:rsidRDefault="0098017E" w:rsidP="007C3E38">
            <w:pPr>
              <w:jc w:val="right"/>
              <w:rPr>
                <w:rFonts w:ascii="CAIXA Std Book" w:eastAsia="Times New Roman" w:hAnsi="CAIXA Std Book" w:cs="Calibri"/>
                <w:color w:val="005CA9"/>
                <w:sz w:val="18"/>
                <w:szCs w:val="18"/>
              </w:rPr>
            </w:pPr>
            <w:r>
              <w:rPr>
                <w:rFonts w:ascii="CAIXA Std Book" w:hAnsi="CAIXA Std Book" w:cs="Arial"/>
                <w:color w:val="005CA9"/>
                <w:sz w:val="18"/>
                <w:szCs w:val="18"/>
              </w:rPr>
              <w:t>73.517</w:t>
            </w:r>
          </w:p>
        </w:tc>
      </w:tr>
      <w:tr w:rsidR="00165917" w:rsidRPr="00052254" w14:paraId="2178717D" w14:textId="77777777" w:rsidTr="009322CB">
        <w:trPr>
          <w:trHeight w:val="283"/>
          <w:jc w:val="center"/>
        </w:trPr>
        <w:tc>
          <w:tcPr>
            <w:tcW w:w="2745" w:type="pct"/>
            <w:tcBorders>
              <w:left w:val="single" w:sz="4" w:space="0" w:color="FFFFFF"/>
              <w:bottom w:val="single" w:sz="4" w:space="0" w:color="1F497D" w:themeColor="text2"/>
              <w:right w:val="nil"/>
            </w:tcBorders>
            <w:noWrap/>
            <w:vAlign w:val="center"/>
          </w:tcPr>
          <w:p w14:paraId="11F7A648" w14:textId="264D4286" w:rsidR="0055454F" w:rsidRPr="00052254" w:rsidRDefault="0055454F">
            <w:pPr>
              <w:rPr>
                <w:rFonts w:ascii="CAIXA Std Book" w:eastAsia="Times New Roman" w:hAnsi="CAIXA Std Book" w:cs="Calibri"/>
                <w:color w:val="005CA9"/>
                <w:sz w:val="18"/>
                <w:szCs w:val="18"/>
              </w:rPr>
            </w:pPr>
            <w:r w:rsidRPr="00052254">
              <w:rPr>
                <w:rFonts w:ascii="CAIXA Std Book" w:hAnsi="CAIXA Std Book"/>
                <w:color w:val="005CA9"/>
                <w:sz w:val="18"/>
                <w:szCs w:val="18"/>
              </w:rPr>
              <w:t>Conselh</w:t>
            </w:r>
            <w:r w:rsidR="00EC4623">
              <w:rPr>
                <w:rFonts w:ascii="CAIXA Std Book" w:hAnsi="CAIXA Std Book"/>
                <w:color w:val="005CA9"/>
                <w:sz w:val="18"/>
                <w:szCs w:val="18"/>
              </w:rPr>
              <w:t>os</w:t>
            </w:r>
            <w:r w:rsidR="00A351DD">
              <w:rPr>
                <w:rFonts w:ascii="CAIXA Std Book" w:hAnsi="CAIXA Std Book"/>
                <w:color w:val="005CA9"/>
                <w:sz w:val="18"/>
                <w:szCs w:val="18"/>
              </w:rPr>
              <w:t xml:space="preserve"> </w:t>
            </w:r>
            <w:r w:rsidR="007F2D0C">
              <w:rPr>
                <w:rFonts w:ascii="CAIXA Std Book" w:hAnsi="CAIXA Std Book"/>
                <w:color w:val="005CA9"/>
                <w:sz w:val="18"/>
                <w:szCs w:val="18"/>
              </w:rPr>
              <w:t xml:space="preserve">de </w:t>
            </w:r>
            <w:r w:rsidR="00A351DD">
              <w:rPr>
                <w:rFonts w:ascii="CAIXA Std Book" w:hAnsi="CAIXA Std Book"/>
                <w:color w:val="005CA9"/>
                <w:sz w:val="18"/>
                <w:szCs w:val="18"/>
              </w:rPr>
              <w:t>Administração</w:t>
            </w:r>
            <w:r w:rsidR="007F2D0C">
              <w:rPr>
                <w:rFonts w:ascii="CAIXA Std Book" w:hAnsi="CAIXA Std Book"/>
                <w:color w:val="005CA9"/>
                <w:sz w:val="18"/>
                <w:szCs w:val="18"/>
              </w:rPr>
              <w:t xml:space="preserve"> e Fiscal</w:t>
            </w:r>
          </w:p>
        </w:tc>
        <w:tc>
          <w:tcPr>
            <w:tcW w:w="752" w:type="pct"/>
            <w:tcBorders>
              <w:left w:val="nil"/>
              <w:bottom w:val="single" w:sz="4" w:space="0" w:color="1F497D" w:themeColor="text2"/>
              <w:right w:val="nil"/>
            </w:tcBorders>
            <w:shd w:val="clear" w:color="000000" w:fill="FFFFFF"/>
            <w:noWrap/>
            <w:vAlign w:val="center"/>
          </w:tcPr>
          <w:p w14:paraId="64B2C423" w14:textId="46003715" w:rsidR="0055454F" w:rsidRPr="00052254" w:rsidRDefault="0098017E" w:rsidP="007C3E38">
            <w:pPr>
              <w:jc w:val="right"/>
              <w:rPr>
                <w:rFonts w:ascii="CAIXA Std Book" w:eastAsia="Times New Roman" w:hAnsi="CAIXA Std Book" w:cs="Calibri"/>
                <w:color w:val="005CA9"/>
                <w:sz w:val="18"/>
                <w:szCs w:val="18"/>
              </w:rPr>
            </w:pPr>
            <w:r>
              <w:rPr>
                <w:rFonts w:ascii="CAIXA Std Book" w:hAnsi="CAIXA Std Book" w:cs="Arial"/>
                <w:color w:val="005CA9"/>
                <w:sz w:val="18"/>
                <w:szCs w:val="18"/>
              </w:rPr>
              <w:t>6.377</w:t>
            </w:r>
          </w:p>
        </w:tc>
        <w:tc>
          <w:tcPr>
            <w:tcW w:w="752" w:type="pct"/>
            <w:tcBorders>
              <w:left w:val="nil"/>
              <w:bottom w:val="single" w:sz="4" w:space="0" w:color="1F497D" w:themeColor="text2"/>
              <w:right w:val="nil"/>
            </w:tcBorders>
            <w:shd w:val="clear" w:color="000000" w:fill="FFFFFF"/>
            <w:vAlign w:val="center"/>
          </w:tcPr>
          <w:p w14:paraId="391B6475" w14:textId="7577F751" w:rsidR="0055454F" w:rsidRPr="00052254" w:rsidRDefault="0098017E" w:rsidP="007C3E38">
            <w:pPr>
              <w:jc w:val="right"/>
              <w:rPr>
                <w:rFonts w:ascii="CAIXA Std Book" w:eastAsia="Times New Roman" w:hAnsi="CAIXA Std Book" w:cs="Calibri"/>
                <w:color w:val="005CA9"/>
                <w:sz w:val="18"/>
                <w:szCs w:val="18"/>
              </w:rPr>
            </w:pPr>
            <w:r>
              <w:rPr>
                <w:rFonts w:ascii="CAIXA Std Book" w:hAnsi="CAIXA Std Book" w:cs="Arial"/>
                <w:color w:val="005CA9"/>
                <w:sz w:val="18"/>
                <w:szCs w:val="18"/>
              </w:rPr>
              <w:t>6.377</w:t>
            </w:r>
          </w:p>
        </w:tc>
        <w:tc>
          <w:tcPr>
            <w:tcW w:w="751" w:type="pct"/>
            <w:tcBorders>
              <w:left w:val="nil"/>
              <w:bottom w:val="single" w:sz="4" w:space="0" w:color="1F497D" w:themeColor="text2"/>
              <w:right w:val="nil"/>
            </w:tcBorders>
            <w:shd w:val="clear" w:color="000000" w:fill="FFFFFF"/>
            <w:noWrap/>
            <w:vAlign w:val="center"/>
          </w:tcPr>
          <w:p w14:paraId="6AE9AC00" w14:textId="43D69A4E" w:rsidR="0055454F" w:rsidRPr="00052254" w:rsidRDefault="0098017E" w:rsidP="007C3E38">
            <w:pPr>
              <w:jc w:val="right"/>
              <w:rPr>
                <w:rFonts w:ascii="CAIXA Std Book" w:eastAsia="Times New Roman" w:hAnsi="CAIXA Std Book" w:cs="Calibri"/>
                <w:color w:val="005CA9"/>
                <w:sz w:val="18"/>
                <w:szCs w:val="18"/>
              </w:rPr>
            </w:pPr>
            <w:r>
              <w:rPr>
                <w:rFonts w:ascii="CAIXA Std Book" w:hAnsi="CAIXA Std Book" w:cs="Arial"/>
                <w:color w:val="005CA9"/>
                <w:sz w:val="18"/>
                <w:szCs w:val="18"/>
              </w:rPr>
              <w:t>6.377</w:t>
            </w:r>
          </w:p>
        </w:tc>
      </w:tr>
    </w:tbl>
    <w:p w14:paraId="24A69B0F" w14:textId="68AA1A41" w:rsidR="0055454F" w:rsidRPr="00052254" w:rsidRDefault="0055454F" w:rsidP="0055454F">
      <w:pPr>
        <w:rPr>
          <w:rFonts w:ascii="CAIXA Std Book" w:hAnsi="CAIXA Std Book" w:cs="Symbol"/>
          <w:color w:val="005CA9"/>
          <w:sz w:val="16"/>
          <w:szCs w:val="16"/>
        </w:rPr>
      </w:pPr>
      <w:r w:rsidRPr="00052254">
        <w:rPr>
          <w:rFonts w:ascii="CAIXA Std Book" w:hAnsi="CAIXA Std Book" w:cs="Symbol"/>
          <w:color w:val="005CA9"/>
          <w:sz w:val="16"/>
          <w:szCs w:val="16"/>
        </w:rPr>
        <w:t>(1) Remuneração mensal, computad</w:t>
      </w:r>
      <w:r w:rsidR="008815CA">
        <w:rPr>
          <w:rFonts w:ascii="CAIXA Std Book" w:hAnsi="CAIXA Std Book" w:cs="Symbol"/>
          <w:color w:val="005CA9"/>
          <w:sz w:val="16"/>
          <w:szCs w:val="16"/>
        </w:rPr>
        <w:t>a</w:t>
      </w:r>
      <w:r w:rsidRPr="00052254">
        <w:rPr>
          <w:rFonts w:ascii="CAIXA Std Book" w:hAnsi="CAIXA Std Book" w:cs="Symbol"/>
          <w:color w:val="005CA9"/>
          <w:sz w:val="16"/>
          <w:szCs w:val="16"/>
        </w:rPr>
        <w:t>s as vantagens e os benefícios.</w:t>
      </w:r>
    </w:p>
    <w:p w14:paraId="44B55431" w14:textId="77777777" w:rsidR="008051A7" w:rsidRDefault="008051A7">
      <w:pPr>
        <w:rPr>
          <w:rFonts w:ascii="CAIXA Std Book" w:hAnsi="CAIXA Std Book"/>
          <w:b/>
          <w:color w:val="005CA9"/>
        </w:rPr>
      </w:pPr>
      <w:r>
        <w:br w:type="page"/>
      </w:r>
    </w:p>
    <w:p w14:paraId="1B909EAB" w14:textId="478FC04A" w:rsidR="005A7588" w:rsidRDefault="005A7588" w:rsidP="00B735D2">
      <w:pPr>
        <w:pStyle w:val="Ttulo1"/>
      </w:pPr>
      <w:bookmarkStart w:id="162" w:name="_Toc217914359"/>
      <w:bookmarkStart w:id="163" w:name="_Toc229588509"/>
      <w:r w:rsidRPr="00E95E29">
        <w:t>Nota   3</w:t>
      </w:r>
      <w:r w:rsidR="00EF04CD">
        <w:t>3</w:t>
      </w:r>
      <w:r w:rsidR="006B16C6" w:rsidRPr="00E95E29">
        <w:t xml:space="preserve"> </w:t>
      </w:r>
      <w:r w:rsidRPr="00E95E29">
        <w:t xml:space="preserve">– </w:t>
      </w:r>
      <w:r w:rsidR="00FE502E" w:rsidRPr="00E95E29">
        <w:t>Gestão de riscos</w:t>
      </w:r>
      <w:r w:rsidR="00B23A5F" w:rsidRPr="00E95E29">
        <w:t xml:space="preserve"> e de capital</w:t>
      </w:r>
      <w:bookmarkEnd w:id="162"/>
      <w:bookmarkEnd w:id="163"/>
    </w:p>
    <w:p w14:paraId="5CE19E08" w14:textId="77777777" w:rsidR="007C4C63" w:rsidRPr="007C4C63" w:rsidRDefault="007C4C63" w:rsidP="007C4C63">
      <w:pPr>
        <w:spacing w:before="120" w:after="120"/>
        <w:jc w:val="both"/>
        <w:rPr>
          <w:rFonts w:ascii="CAIXA Std Book" w:hAnsi="CAIXA Std Book"/>
          <w:color w:val="005CA9"/>
          <w:sz w:val="20"/>
          <w:szCs w:val="20"/>
        </w:rPr>
      </w:pPr>
      <w:r w:rsidRPr="007C4C63">
        <w:rPr>
          <w:rFonts w:ascii="CAIXA Std Book" w:hAnsi="CAIXA Std Book"/>
          <w:color w:val="005CA9"/>
          <w:sz w:val="20"/>
          <w:szCs w:val="20"/>
        </w:rPr>
        <w:t xml:space="preserve">Na CAIXA, o Gerenciamento de Riscos e de Capital é percebido como fator de diferencial competitivo no mercado financeiro e principal meio para preservação de sua solvência, liquidez e rentabilidade. </w:t>
      </w:r>
    </w:p>
    <w:p w14:paraId="567891FD" w14:textId="77777777" w:rsidR="007C4C63" w:rsidRPr="007C4C63" w:rsidRDefault="007C4C63" w:rsidP="007C4C63">
      <w:pPr>
        <w:spacing w:before="120" w:after="120"/>
        <w:jc w:val="both"/>
        <w:rPr>
          <w:rFonts w:ascii="CAIXA Std Book" w:hAnsi="CAIXA Std Book"/>
          <w:color w:val="005CA9"/>
          <w:sz w:val="20"/>
          <w:szCs w:val="20"/>
        </w:rPr>
      </w:pPr>
      <w:r w:rsidRPr="007C4C63">
        <w:rPr>
          <w:rFonts w:ascii="CAIXA Std Book" w:hAnsi="CAIXA Std Book"/>
          <w:color w:val="005CA9"/>
          <w:sz w:val="20"/>
          <w:szCs w:val="20"/>
        </w:rPr>
        <w:t>O Gerenciamento de Riscos e de Capital é realizado por estruturas dedicadas que abrangem sistemas, rotinas, procedimentos e modelos, e são responsáveis pela identificação, mensuração, avaliação, monitoramento, controle, mitigação e comunicação à Alta Administração, visando suportar a tomada de decisão.</w:t>
      </w:r>
    </w:p>
    <w:p w14:paraId="6A858521" w14:textId="77777777" w:rsidR="007C4C63" w:rsidRPr="007C4C63" w:rsidRDefault="007C4C63" w:rsidP="007C4C63">
      <w:pPr>
        <w:spacing w:before="120" w:after="120"/>
        <w:jc w:val="both"/>
        <w:rPr>
          <w:rFonts w:ascii="CAIXA Std Book" w:hAnsi="CAIXA Std Book"/>
          <w:color w:val="005CA9"/>
          <w:sz w:val="20"/>
          <w:szCs w:val="20"/>
        </w:rPr>
      </w:pPr>
      <w:r w:rsidRPr="007C4C63">
        <w:rPr>
          <w:rFonts w:ascii="CAIXA Std Book" w:hAnsi="CAIXA Std Book"/>
          <w:color w:val="005CA9"/>
          <w:sz w:val="20"/>
          <w:szCs w:val="20"/>
        </w:rPr>
        <w:t xml:space="preserve">Vinculado ao Conselho Diretor, a CAIXA possui o Comitê Independente de Riscos e Capital que abrange as empresas do Conglomerado financeiro CAIXA, bem como seu relacionamento com os demais órgãos da Empresa, observadas as disposições do Estatuto CAIXA, da legislação e das normas em vigor. </w:t>
      </w:r>
    </w:p>
    <w:p w14:paraId="1F51243F" w14:textId="77777777" w:rsidR="007C4C63" w:rsidRPr="007C4C63" w:rsidRDefault="007C4C63" w:rsidP="007C4C63">
      <w:pPr>
        <w:spacing w:before="120" w:after="120"/>
        <w:jc w:val="both"/>
        <w:rPr>
          <w:rFonts w:ascii="CAIXA Std Book" w:hAnsi="CAIXA Std Book"/>
          <w:color w:val="005CA9"/>
          <w:sz w:val="20"/>
          <w:szCs w:val="20"/>
        </w:rPr>
      </w:pPr>
      <w:r w:rsidRPr="007C4C63">
        <w:rPr>
          <w:rFonts w:ascii="CAIXA Std Book" w:hAnsi="CAIXA Std Book"/>
          <w:color w:val="005CA9"/>
          <w:sz w:val="20"/>
          <w:szCs w:val="20"/>
        </w:rPr>
        <w:t>A Superintendência Nacional de Riscos Corporativos – SUCOR, subordinada à DECOR é responsável por propor a Política de Gerenciamento de Riscos e de Capital CAIXA, os Limites de Capital e de Pagamento de Dividendos e Juros sobre Capital Próprio, bem como avaliar e emitir parecer para negócios e demais ações correlatas ao Gerenciamento de Riscos e de Capital do Conglomerado.</w:t>
      </w:r>
    </w:p>
    <w:p w14:paraId="06E855E3" w14:textId="77777777" w:rsidR="00C0572E" w:rsidRPr="00A47C19" w:rsidRDefault="007C4C63" w:rsidP="00C0572E">
      <w:pPr>
        <w:spacing w:before="120" w:after="120"/>
        <w:jc w:val="both"/>
        <w:rPr>
          <w:rFonts w:ascii="CAIXA Std Book" w:hAnsi="CAIXA Std Book"/>
          <w:color w:val="005CA9"/>
          <w:sz w:val="20"/>
          <w:szCs w:val="20"/>
        </w:rPr>
      </w:pPr>
      <w:r w:rsidRPr="007C4C63">
        <w:rPr>
          <w:rFonts w:ascii="CAIXA Std Book" w:hAnsi="CAIXA Std Book"/>
          <w:color w:val="005CA9"/>
          <w:sz w:val="20"/>
          <w:szCs w:val="20"/>
        </w:rPr>
        <w:t>Segundo a Política de Gerenciamento de Riscos e de Capital CAIXA, os modelos de Risco de Crédito, Mercado/Liquidez e Operacional utilizados no processo de Gerenciamento de Riscos da Instituição são validados antes da entrada em produção e monitorados continuamente, a fim de se manterem aderentes à finalidade para a qual foram desenvolvidos.</w:t>
      </w:r>
    </w:p>
    <w:p w14:paraId="19F2140D" w14:textId="34E4C08B" w:rsidR="00C0572E" w:rsidRPr="002A5992" w:rsidRDefault="00C0572E" w:rsidP="00295657">
      <w:pPr>
        <w:pStyle w:val="PargrafodaLista"/>
        <w:numPr>
          <w:ilvl w:val="4"/>
          <w:numId w:val="22"/>
        </w:numPr>
        <w:spacing w:before="240" w:after="120"/>
        <w:ind w:left="567" w:hanging="567"/>
        <w:contextualSpacing w:val="0"/>
        <w:jc w:val="both"/>
        <w:rPr>
          <w:rFonts w:ascii="CAIXA Std Book" w:hAnsi="CAIXA Std Book"/>
          <w:b/>
          <w:color w:val="005CA9"/>
          <w:sz w:val="20"/>
          <w:szCs w:val="20"/>
        </w:rPr>
      </w:pPr>
      <w:r w:rsidRPr="002A5992">
        <w:rPr>
          <w:rFonts w:ascii="CAIXA Std Book" w:hAnsi="CAIXA Std Book"/>
          <w:b/>
          <w:color w:val="005CA9"/>
          <w:sz w:val="20"/>
          <w:szCs w:val="20"/>
        </w:rPr>
        <w:t>Gerenciamento de riscos</w:t>
      </w:r>
    </w:p>
    <w:p w14:paraId="65AB61FB" w14:textId="77777777" w:rsidR="002A263E" w:rsidRPr="002A263E" w:rsidRDefault="002A263E" w:rsidP="002A263E">
      <w:pPr>
        <w:spacing w:before="120" w:after="120"/>
        <w:jc w:val="both"/>
        <w:rPr>
          <w:rFonts w:ascii="CAIXA Std Book" w:hAnsi="CAIXA Std Book"/>
          <w:color w:val="005CA9"/>
          <w:sz w:val="20"/>
          <w:szCs w:val="20"/>
        </w:rPr>
      </w:pPr>
      <w:r w:rsidRPr="002A263E">
        <w:rPr>
          <w:rFonts w:ascii="CAIXA Std Book" w:hAnsi="CAIXA Std Book"/>
          <w:color w:val="005CA9"/>
          <w:sz w:val="20"/>
          <w:szCs w:val="20"/>
        </w:rPr>
        <w:t>O Conglomerado CAIXA reconhece que a assunção e o Gerenciamento de Riscos é parte integrante e fundamental para geração e proteção de valor da Empresa e para a consolidação da imagem da CAIXA como Banco Público sólido, integrado, rentável, eficiente e socialmente responsável.</w:t>
      </w:r>
    </w:p>
    <w:p w14:paraId="7ADAD463" w14:textId="77777777" w:rsidR="00DA2C0C" w:rsidRPr="00DA2C0C" w:rsidRDefault="00DA2C0C" w:rsidP="00DA2C0C">
      <w:pPr>
        <w:spacing w:before="120" w:after="120"/>
        <w:jc w:val="both"/>
        <w:rPr>
          <w:rFonts w:ascii="CAIXA Std Book" w:hAnsi="CAIXA Std Book"/>
          <w:color w:val="005CA9"/>
          <w:sz w:val="20"/>
          <w:szCs w:val="20"/>
        </w:rPr>
      </w:pPr>
      <w:r w:rsidRPr="00DA2C0C">
        <w:rPr>
          <w:rFonts w:ascii="CAIXA Std Book" w:hAnsi="CAIXA Std Book"/>
          <w:color w:val="005CA9"/>
          <w:sz w:val="20"/>
          <w:szCs w:val="20"/>
        </w:rPr>
        <w:t xml:space="preserve">Para isso, a CAIXA adota diretrizes para a gestão dos Riscos de Crédito, de Recuperação de Crédito, de Mercado, de Risco da variação das taxas de juros das operações da carteira bancária (IRRBB), de Liquidez, </w:t>
      </w:r>
      <w:r w:rsidR="00AF226F" w:rsidRPr="00DA2C0C">
        <w:rPr>
          <w:rFonts w:ascii="CAIXA Std Book" w:hAnsi="CAIXA Std Book"/>
          <w:color w:val="005CA9"/>
          <w:sz w:val="20"/>
          <w:szCs w:val="20"/>
        </w:rPr>
        <w:t xml:space="preserve">Operacional, Social, </w:t>
      </w:r>
      <w:r w:rsidR="00AF226F">
        <w:rPr>
          <w:rFonts w:ascii="CAIXA Std Book" w:hAnsi="CAIXA Std Book"/>
          <w:color w:val="005CA9"/>
          <w:sz w:val="20"/>
          <w:szCs w:val="20"/>
        </w:rPr>
        <w:t>A</w:t>
      </w:r>
      <w:r w:rsidR="00AF226F" w:rsidRPr="00DA2C0C">
        <w:rPr>
          <w:rFonts w:ascii="CAIXA Std Book" w:hAnsi="CAIXA Std Book"/>
          <w:color w:val="005CA9"/>
          <w:sz w:val="20"/>
          <w:szCs w:val="20"/>
        </w:rPr>
        <w:t>mbiental e Climático</w:t>
      </w:r>
      <w:r w:rsidRPr="00DA2C0C">
        <w:rPr>
          <w:rFonts w:ascii="CAIXA Std Book" w:hAnsi="CAIXA Std Book"/>
          <w:color w:val="005CA9"/>
          <w:sz w:val="20"/>
          <w:szCs w:val="20"/>
        </w:rPr>
        <w:t>, à Integridade, Reputação, Estratégia, Atuarial, Contágio, Terceiros, Modelo e demais riscos considerados relevantes. O objetivo é manter as exposições em níveis compatíveis com apetite definido pela Administração, preservando a solvência, liquidez e sustentabilidade institucional.</w:t>
      </w:r>
    </w:p>
    <w:p w14:paraId="186CF59A" w14:textId="3AB5A554" w:rsidR="00CF5333" w:rsidRPr="00ED479C" w:rsidRDefault="00DA2C0C" w:rsidP="00CF5333">
      <w:pPr>
        <w:spacing w:before="120" w:after="120"/>
        <w:jc w:val="both"/>
        <w:rPr>
          <w:rFonts w:ascii="CAIXA Std Book" w:hAnsi="CAIXA Std Book"/>
          <w:color w:val="005CA9"/>
          <w:sz w:val="20"/>
          <w:szCs w:val="20"/>
        </w:rPr>
      </w:pPr>
      <w:r w:rsidRPr="00DA2C0C">
        <w:rPr>
          <w:rFonts w:ascii="CAIXA Std Book" w:hAnsi="CAIXA Std Book"/>
          <w:color w:val="005CA9"/>
          <w:sz w:val="20"/>
          <w:szCs w:val="20"/>
        </w:rPr>
        <w:t xml:space="preserve">São mantidas estruturas de Gerenciamento de Risco compatíveis com a natureza das operações, a complexidade e o volume de suas operações, produtos, serviços, atividades e processos. Tais estruturas são compostas por sistemas, rotinas, procedimentos e modelos que possibilitam identificação, mensuração, avaliação, monitoramento, controle, mitigação e comunicação dos riscos relevantes, inclusive simulações em condições normais e de estresse. </w:t>
      </w:r>
    </w:p>
    <w:p w14:paraId="6E585ED4" w14:textId="77777777" w:rsidR="00B74167" w:rsidRPr="00B74167" w:rsidRDefault="00B74167" w:rsidP="00B74167">
      <w:pPr>
        <w:numPr>
          <w:ilvl w:val="4"/>
          <w:numId w:val="22"/>
        </w:numPr>
        <w:spacing w:before="240" w:after="120"/>
        <w:ind w:left="567" w:hanging="567"/>
        <w:jc w:val="both"/>
        <w:rPr>
          <w:rFonts w:ascii="CAIXA Std Book" w:hAnsi="CAIXA Std Book"/>
          <w:b/>
          <w:color w:val="005CA9"/>
          <w:sz w:val="20"/>
          <w:szCs w:val="20"/>
        </w:rPr>
      </w:pPr>
      <w:r w:rsidRPr="00B74167">
        <w:rPr>
          <w:rFonts w:ascii="CAIXA Std Book" w:hAnsi="CAIXA Std Book"/>
          <w:b/>
          <w:color w:val="005CA9"/>
          <w:sz w:val="20"/>
          <w:szCs w:val="20"/>
        </w:rPr>
        <w:t>Gerenciamento de Capital</w:t>
      </w:r>
    </w:p>
    <w:p w14:paraId="4F3AE7B2" w14:textId="77777777" w:rsidR="00B74167" w:rsidRPr="00B74167" w:rsidRDefault="00B74167" w:rsidP="00B74167">
      <w:pPr>
        <w:spacing w:before="120" w:after="120"/>
        <w:jc w:val="both"/>
        <w:rPr>
          <w:rFonts w:ascii="CAIXA Std Book" w:hAnsi="CAIXA Std Book"/>
          <w:color w:val="005CA9"/>
          <w:sz w:val="20"/>
          <w:szCs w:val="20"/>
        </w:rPr>
      </w:pPr>
      <w:r w:rsidRPr="00B74167">
        <w:rPr>
          <w:rFonts w:ascii="CAIXA Std Book" w:hAnsi="CAIXA Std Book"/>
          <w:color w:val="005CA9"/>
          <w:sz w:val="20"/>
          <w:szCs w:val="20"/>
        </w:rPr>
        <w:t>A avaliação da suficiência de Capital considera o Plano Estratégico, a Declaração de Apetite por Riscos (RAS) e os Riscos aos quais a Instituição está exposta. Esse processo é formalizado por meio do Processo Interno de Avaliação da Adequação de Capital (ICAAP) e do Plano de Capital.</w:t>
      </w:r>
    </w:p>
    <w:p w14:paraId="21D77B19" w14:textId="77777777" w:rsidR="00B74167" w:rsidRPr="00B74167" w:rsidRDefault="00B74167" w:rsidP="00B74167">
      <w:pPr>
        <w:spacing w:before="120" w:after="120"/>
        <w:jc w:val="both"/>
        <w:rPr>
          <w:rFonts w:ascii="CAIXA Std Book" w:hAnsi="CAIXA Std Book"/>
          <w:color w:val="005CA9"/>
          <w:sz w:val="20"/>
          <w:szCs w:val="20"/>
        </w:rPr>
      </w:pPr>
      <w:r w:rsidRPr="00B74167">
        <w:rPr>
          <w:rFonts w:ascii="CAIXA Std Book" w:hAnsi="CAIXA Std Book"/>
          <w:color w:val="005CA9"/>
          <w:sz w:val="20"/>
          <w:szCs w:val="20"/>
        </w:rPr>
        <w:t>Os limites mínimos de Capital e as regras de distribuição de resultados são estabelecidos em documentos específicos, como a RAS, aprovada periodicamente pelo Conselho de Administração, e normas internas, garantindo aderência ao planejamento de Capital da Instituição.</w:t>
      </w:r>
    </w:p>
    <w:p w14:paraId="6B758DC9" w14:textId="30819763" w:rsidR="00217BCE" w:rsidRPr="00217BCE" w:rsidRDefault="00B74167" w:rsidP="00217BCE">
      <w:pPr>
        <w:spacing w:before="120" w:after="120"/>
        <w:jc w:val="both"/>
        <w:rPr>
          <w:rFonts w:ascii="CAIXA Std Book" w:hAnsi="CAIXA Std Book"/>
          <w:color w:val="005CA9"/>
          <w:sz w:val="20"/>
          <w:szCs w:val="20"/>
        </w:rPr>
      </w:pPr>
      <w:r w:rsidRPr="00B74167">
        <w:rPr>
          <w:rFonts w:ascii="CAIXA Std Book" w:hAnsi="CAIXA Std Book"/>
          <w:color w:val="005CA9"/>
          <w:sz w:val="20"/>
          <w:szCs w:val="20"/>
        </w:rPr>
        <w:t>A CAIXA adota limites prudenciais para assegurar a solidez de sua estrutura de Capital. A alocação do capital leva em conta fatores estratégicos, negociais e a relação risco retorno. O planejamento de Capital consolida as medidas necessárias ao cumprimento das regras de distribuição de resultados e ao reforço</w:t>
      </w:r>
      <w:r w:rsidR="00217BCE">
        <w:rPr>
          <w:rFonts w:ascii="CAIXA Std Book" w:hAnsi="CAIXA Std Book"/>
          <w:color w:val="005CA9"/>
          <w:sz w:val="20"/>
          <w:szCs w:val="20"/>
        </w:rPr>
        <w:t xml:space="preserve"> </w:t>
      </w:r>
      <w:r w:rsidR="00217BCE" w:rsidRPr="00217BCE">
        <w:rPr>
          <w:rFonts w:ascii="CAIXA Std Book" w:hAnsi="CAIXA Std Book"/>
          <w:color w:val="005CA9"/>
          <w:sz w:val="20"/>
          <w:szCs w:val="20"/>
        </w:rPr>
        <w:t>da resiliência da estrutura de capital, sendo submetido regularmente à deliberação e aprovação do Conselho de Administração.</w:t>
      </w:r>
    </w:p>
    <w:p w14:paraId="25070456" w14:textId="17CD4E56" w:rsidR="00B74167" w:rsidRPr="00ED479C" w:rsidRDefault="00217BCE" w:rsidP="00217BCE">
      <w:pPr>
        <w:spacing w:before="120" w:after="120"/>
        <w:jc w:val="both"/>
        <w:rPr>
          <w:rFonts w:ascii="CAIXA Std Book" w:hAnsi="CAIXA Std Book"/>
          <w:color w:val="005CA9"/>
          <w:sz w:val="20"/>
          <w:szCs w:val="20"/>
        </w:rPr>
      </w:pPr>
      <w:r w:rsidRPr="00217BCE">
        <w:rPr>
          <w:rFonts w:ascii="CAIXA Std Book" w:hAnsi="CAIXA Std Book"/>
          <w:color w:val="005CA9"/>
          <w:sz w:val="20"/>
          <w:szCs w:val="20"/>
        </w:rPr>
        <w:t>A descrição detalhada das estruturas de gerenciamento de riscos e de capital está disponível no sítio: https://ri.caixa.gov.br/informacoes-financeiras/gerenciamento-de-riscos-e-capital/ .</w:t>
      </w:r>
    </w:p>
    <w:p w14:paraId="0276EC40" w14:textId="1DED03FC" w:rsidR="00C0572E" w:rsidRPr="006341E3" w:rsidRDefault="00C0572E" w:rsidP="00295657">
      <w:pPr>
        <w:pStyle w:val="PargrafodaLista"/>
        <w:numPr>
          <w:ilvl w:val="4"/>
          <w:numId w:val="22"/>
        </w:numPr>
        <w:spacing w:before="240" w:after="120"/>
        <w:ind w:left="567" w:hanging="567"/>
        <w:contextualSpacing w:val="0"/>
        <w:jc w:val="both"/>
        <w:rPr>
          <w:rFonts w:ascii="CAIXA Std Book" w:hAnsi="CAIXA Std Book"/>
          <w:b/>
          <w:color w:val="005CA9"/>
          <w:sz w:val="20"/>
          <w:szCs w:val="20"/>
        </w:rPr>
      </w:pPr>
      <w:r w:rsidRPr="006341E3">
        <w:rPr>
          <w:rFonts w:ascii="CAIXA Std Book" w:hAnsi="CAIXA Std Book"/>
          <w:b/>
          <w:color w:val="005CA9"/>
          <w:sz w:val="20"/>
          <w:szCs w:val="20"/>
        </w:rPr>
        <w:t xml:space="preserve">Análise de sensibilidade das posições relevantes </w:t>
      </w:r>
    </w:p>
    <w:p w14:paraId="55D9E983" w14:textId="7AD67E2F" w:rsidR="005E0219" w:rsidRDefault="003A1822" w:rsidP="000D7D81">
      <w:pPr>
        <w:spacing w:before="120" w:after="120"/>
        <w:jc w:val="both"/>
        <w:rPr>
          <w:rFonts w:ascii="CAIXA Std Book" w:hAnsi="CAIXA Std Book"/>
          <w:color w:val="005CA9"/>
          <w:sz w:val="20"/>
          <w:szCs w:val="20"/>
        </w:rPr>
      </w:pPr>
      <w:r w:rsidRPr="006341E3">
        <w:rPr>
          <w:rFonts w:ascii="CAIXA Std Book" w:hAnsi="CAIXA Std Book"/>
          <w:color w:val="005CA9"/>
          <w:sz w:val="20"/>
          <w:szCs w:val="20"/>
        </w:rPr>
        <w:t>A análise de sensibilidade permite verificar o impacto das variações das taxas de juros sobre os preços dos ativos e passivos, por fator de risco. Estes estudos hipotéticos tornam-se ferramenta de gestão do risco de mercado, possibilitando a definição de medidas de mitigação em caso de concretização de tais cenários, uma vez que as exposições são monitoradas diariamente e movimentos adversos do mercado produzem a imediata atuação das unidades envolvidas no processo visando minimizar eventuais perdas que venham a ocorrer</w:t>
      </w:r>
      <w:r w:rsidR="00AC5A4B" w:rsidRPr="00AC5A4B">
        <w:rPr>
          <w:rFonts w:ascii="CAIXA Std Book" w:hAnsi="CAIXA Std Book"/>
          <w:color w:val="005CA9"/>
          <w:sz w:val="20"/>
          <w:szCs w:val="20"/>
        </w:rPr>
        <w:t>.</w:t>
      </w:r>
    </w:p>
    <w:p w14:paraId="4D7BCBA7" w14:textId="6762D1D4" w:rsidR="00C0572E" w:rsidRPr="006341E3" w:rsidRDefault="00A91EBF" w:rsidP="00C0572E">
      <w:pPr>
        <w:spacing w:before="120" w:after="120"/>
        <w:jc w:val="both"/>
        <w:rPr>
          <w:rFonts w:ascii="CAIXA Std Book" w:hAnsi="CAIXA Std Book"/>
          <w:color w:val="005CA9"/>
          <w:sz w:val="20"/>
          <w:szCs w:val="20"/>
        </w:rPr>
      </w:pPr>
      <w:r w:rsidRPr="006341E3">
        <w:rPr>
          <w:rFonts w:ascii="CAIXA Std Book" w:hAnsi="CAIXA Std Book"/>
          <w:color w:val="005CA9"/>
          <w:sz w:val="20"/>
          <w:szCs w:val="20"/>
        </w:rPr>
        <w:t>Os instrumentos objeto da análise de sensibilidade são aqueles avaliados pelo valor justo, no caso os instrumentos da carteira TVM mensurados ao valor justo pelos níveis I – valor cotado em mercado ativo – nível II – valor cotado por meio de dados observáveis de mercado – e nível III – dados não-observáveis de mercado – conforme CPC 046</w:t>
      </w:r>
      <w:r w:rsidR="00BD402E" w:rsidRPr="00BD402E">
        <w:rPr>
          <w:rFonts w:ascii="CAIXA Std Book" w:hAnsi="CAIXA Std Book"/>
          <w:color w:val="005CA9"/>
          <w:sz w:val="20"/>
          <w:szCs w:val="20"/>
        </w:rPr>
        <w:t>/2012</w:t>
      </w:r>
      <w:r w:rsidRPr="006341E3">
        <w:rPr>
          <w:rFonts w:ascii="CAIXA Std Book" w:hAnsi="CAIXA Std Book"/>
          <w:color w:val="005CA9"/>
          <w:sz w:val="20"/>
          <w:szCs w:val="20"/>
        </w:rPr>
        <w:t>.</w:t>
      </w:r>
    </w:p>
    <w:p w14:paraId="5A94268B" w14:textId="6607144C" w:rsidR="00C74A4E" w:rsidRPr="006341E3" w:rsidRDefault="003D0C24" w:rsidP="00C0572E">
      <w:pPr>
        <w:spacing w:before="120" w:after="120"/>
        <w:jc w:val="both"/>
        <w:rPr>
          <w:rFonts w:ascii="CAIXA Std Book" w:hAnsi="CAIXA Std Book"/>
          <w:color w:val="005CA9"/>
          <w:sz w:val="20"/>
          <w:szCs w:val="20"/>
        </w:rPr>
      </w:pPr>
      <w:r w:rsidRPr="006341E3">
        <w:rPr>
          <w:rFonts w:ascii="CAIXA Std Book" w:hAnsi="CAIXA Std Book"/>
          <w:color w:val="005CA9"/>
          <w:sz w:val="20"/>
          <w:szCs w:val="20"/>
        </w:rPr>
        <w:t>As flutuações nas taxas de juros, nas taxas cambiais, de preços de ações e preços de mercadorias podem trazer incertezas futuras aos preços dos ativos atrelados a esses fatores de risco contabilizados no balanço patrimonial. A volatilidade dos fatores de risco, portanto, ocasionam volatilidade nos valores contabilizados no balanço patrimonial</w:t>
      </w:r>
      <w:r w:rsidR="00C74A4E" w:rsidRPr="006341E3">
        <w:rPr>
          <w:rFonts w:ascii="CAIXA Std Book" w:hAnsi="CAIXA Std Book"/>
          <w:color w:val="005CA9"/>
          <w:sz w:val="20"/>
          <w:szCs w:val="20"/>
        </w:rPr>
        <w:t>.</w:t>
      </w:r>
    </w:p>
    <w:p w14:paraId="026DD1EE" w14:textId="1D662E78" w:rsidR="00B3749E" w:rsidRPr="006341E3" w:rsidRDefault="0025522E" w:rsidP="00C0572E">
      <w:pPr>
        <w:spacing w:before="120" w:after="120"/>
        <w:jc w:val="both"/>
        <w:rPr>
          <w:rFonts w:ascii="CAIXA Std Book" w:hAnsi="CAIXA Std Book"/>
          <w:color w:val="005CA9"/>
          <w:sz w:val="20"/>
          <w:szCs w:val="20"/>
        </w:rPr>
      </w:pPr>
      <w:r w:rsidRPr="006341E3">
        <w:rPr>
          <w:rFonts w:ascii="CAIXA Std Book" w:hAnsi="CAIXA Std Book"/>
          <w:color w:val="005CA9"/>
          <w:sz w:val="20"/>
          <w:szCs w:val="20"/>
        </w:rPr>
        <w:t>O exercício de análise de sensibilidade captura possibilidades de volatilidade nos fatores de risco e prevê os impactos nos valores contabilizados nos instrumentos financeiros. Contudo, valem algumas ressalvas importantes quanto à metodologia do exercício:</w:t>
      </w:r>
    </w:p>
    <w:p w14:paraId="25447BAE" w14:textId="452DD5FA" w:rsidR="00BB6CD1" w:rsidRPr="006341E3" w:rsidRDefault="00FE7EDA" w:rsidP="004824F7">
      <w:pPr>
        <w:spacing w:before="120" w:after="120"/>
        <w:ind w:left="357" w:hanging="357"/>
        <w:jc w:val="both"/>
        <w:rPr>
          <w:rFonts w:ascii="CAIXA Std Book" w:hAnsi="CAIXA Std Book"/>
          <w:color w:val="005CA9"/>
          <w:sz w:val="20"/>
          <w:szCs w:val="20"/>
        </w:rPr>
      </w:pPr>
      <w:r w:rsidRPr="006341E3">
        <w:rPr>
          <w:rFonts w:ascii="CAIXA Std Book" w:hAnsi="CAIXA Std Book"/>
          <w:color w:val="005CA9"/>
          <w:sz w:val="20"/>
          <w:szCs w:val="20"/>
        </w:rPr>
        <w:t>(i)</w:t>
      </w:r>
      <w:r w:rsidRPr="006341E3">
        <w:rPr>
          <w:rFonts w:ascii="CAIXA Std Book" w:hAnsi="CAIXA Std Book"/>
          <w:color w:val="005CA9"/>
          <w:sz w:val="20"/>
          <w:szCs w:val="20"/>
        </w:rPr>
        <w:tab/>
      </w:r>
      <w:r w:rsidRPr="00BC5729">
        <w:rPr>
          <w:rFonts w:ascii="CAIXA Std Book" w:hAnsi="CAIXA Std Book"/>
          <w:color w:val="005CA9"/>
          <w:sz w:val="20"/>
          <w:szCs w:val="20"/>
        </w:rPr>
        <w:t>o exercício é aplicado considerando uma composição estática de balanço, ignorando a capacidade de gerenciamento das exposições da instituição. Principalmente para os títulos prefixados da carteira de negociação, a capacidade para proteção (</w:t>
      </w:r>
      <w:r w:rsidRPr="00607366">
        <w:rPr>
          <w:rFonts w:ascii="CAIXA Std Book" w:hAnsi="CAIXA Std Book"/>
          <w:i/>
          <w:iCs/>
          <w:color w:val="005CA9"/>
          <w:sz w:val="20"/>
          <w:szCs w:val="20"/>
        </w:rPr>
        <w:t>hedge</w:t>
      </w:r>
      <w:r w:rsidRPr="00BC5729">
        <w:rPr>
          <w:rFonts w:ascii="CAIXA Std Book" w:hAnsi="CAIXA Std Book"/>
          <w:color w:val="005CA9"/>
          <w:sz w:val="20"/>
          <w:szCs w:val="20"/>
        </w:rPr>
        <w:t>), com a utilização de instrumentos derivativos, é alta;</w:t>
      </w:r>
    </w:p>
    <w:p w14:paraId="52B2D5E6" w14:textId="3452BC24" w:rsidR="00BB6CD1" w:rsidRPr="006341E3" w:rsidRDefault="00BB6CD1" w:rsidP="004824F7">
      <w:pPr>
        <w:spacing w:before="120" w:after="120"/>
        <w:ind w:left="357" w:hanging="357"/>
        <w:jc w:val="both"/>
        <w:rPr>
          <w:rFonts w:ascii="CAIXA Std Book" w:hAnsi="CAIXA Std Book"/>
          <w:color w:val="005CA9"/>
          <w:sz w:val="20"/>
          <w:szCs w:val="20"/>
        </w:rPr>
      </w:pPr>
      <w:r w:rsidRPr="006341E3">
        <w:rPr>
          <w:rFonts w:ascii="CAIXA Std Book" w:hAnsi="CAIXA Std Book"/>
          <w:color w:val="005CA9"/>
          <w:sz w:val="20"/>
          <w:szCs w:val="20"/>
        </w:rPr>
        <w:t>(ii)</w:t>
      </w:r>
      <w:r w:rsidRPr="006341E3">
        <w:rPr>
          <w:rFonts w:ascii="CAIXA Std Book" w:hAnsi="CAIXA Std Book"/>
          <w:color w:val="005CA9"/>
          <w:sz w:val="20"/>
          <w:szCs w:val="20"/>
        </w:rPr>
        <w:tab/>
      </w:r>
      <w:r w:rsidR="009707A9" w:rsidRPr="006341E3">
        <w:rPr>
          <w:rFonts w:ascii="CAIXA Std Book" w:hAnsi="CAIXA Std Book"/>
          <w:color w:val="005CA9"/>
          <w:sz w:val="20"/>
          <w:szCs w:val="20"/>
        </w:rPr>
        <w:t xml:space="preserve"> </w:t>
      </w:r>
      <w:r w:rsidR="009707A9" w:rsidRPr="00194344">
        <w:rPr>
          <w:rFonts w:ascii="CAIXA Std Book" w:hAnsi="CAIXA Std Book"/>
          <w:color w:val="005CA9"/>
          <w:sz w:val="20"/>
          <w:szCs w:val="20"/>
        </w:rPr>
        <w:t xml:space="preserve">não foram aplicados choques ao </w:t>
      </w:r>
      <w:r w:rsidR="009707A9" w:rsidRPr="00607366">
        <w:rPr>
          <w:rFonts w:ascii="CAIXA Std Book" w:hAnsi="CAIXA Std Book"/>
          <w:i/>
          <w:iCs/>
          <w:color w:val="005CA9"/>
          <w:sz w:val="20"/>
          <w:szCs w:val="20"/>
        </w:rPr>
        <w:t>spread</w:t>
      </w:r>
      <w:r w:rsidR="009707A9" w:rsidRPr="00194344">
        <w:rPr>
          <w:rFonts w:ascii="CAIXA Std Book" w:hAnsi="CAIXA Std Book"/>
          <w:color w:val="005CA9"/>
          <w:sz w:val="20"/>
          <w:szCs w:val="20"/>
        </w:rPr>
        <w:t xml:space="preserve"> de crédito dos instrumentos financeiros privados ou aos títulos públicos; e</w:t>
      </w:r>
    </w:p>
    <w:p w14:paraId="27F1DDA8" w14:textId="71DD10BD" w:rsidR="00BB6CD1" w:rsidRPr="006341E3" w:rsidRDefault="00BB6CD1" w:rsidP="004824F7">
      <w:pPr>
        <w:spacing w:before="120" w:after="120"/>
        <w:ind w:left="357" w:hanging="357"/>
        <w:jc w:val="both"/>
        <w:rPr>
          <w:rFonts w:ascii="CAIXA Std Book" w:hAnsi="CAIXA Std Book"/>
          <w:color w:val="005CA9"/>
          <w:sz w:val="20"/>
          <w:szCs w:val="20"/>
        </w:rPr>
      </w:pPr>
      <w:r w:rsidRPr="006341E3">
        <w:rPr>
          <w:rFonts w:ascii="CAIXA Std Book" w:hAnsi="CAIXA Std Book"/>
          <w:color w:val="005CA9"/>
          <w:sz w:val="20"/>
          <w:szCs w:val="20"/>
        </w:rPr>
        <w:t>(iii)</w:t>
      </w:r>
      <w:r w:rsidRPr="006341E3">
        <w:rPr>
          <w:rFonts w:ascii="CAIXA Std Book" w:hAnsi="CAIXA Std Book"/>
          <w:color w:val="005CA9"/>
          <w:sz w:val="20"/>
          <w:szCs w:val="20"/>
        </w:rPr>
        <w:tab/>
      </w:r>
      <w:r w:rsidR="0042217E" w:rsidRPr="006341E3">
        <w:rPr>
          <w:rFonts w:ascii="CAIXA Std Book" w:hAnsi="CAIXA Std Book"/>
          <w:color w:val="005CA9"/>
          <w:sz w:val="20"/>
          <w:szCs w:val="20"/>
        </w:rPr>
        <w:t xml:space="preserve"> </w:t>
      </w:r>
      <w:r w:rsidR="0042217E" w:rsidRPr="00AC4F19">
        <w:rPr>
          <w:rFonts w:ascii="CAIXA Std Book" w:hAnsi="CAIXA Std Book"/>
          <w:color w:val="005CA9"/>
          <w:sz w:val="20"/>
          <w:szCs w:val="20"/>
        </w:rPr>
        <w:t xml:space="preserve">os instrumentos que são objeto de contabilidade de </w:t>
      </w:r>
      <w:r w:rsidR="0042217E" w:rsidRPr="003E596A">
        <w:rPr>
          <w:rFonts w:ascii="CAIXA Std Book" w:hAnsi="CAIXA Std Book"/>
          <w:i/>
          <w:iCs/>
          <w:color w:val="005CA9"/>
          <w:sz w:val="20"/>
          <w:szCs w:val="20"/>
        </w:rPr>
        <w:t>hedge</w:t>
      </w:r>
      <w:r w:rsidR="0042217E" w:rsidRPr="00AC4F19">
        <w:rPr>
          <w:rFonts w:ascii="CAIXA Std Book" w:hAnsi="CAIXA Std Book"/>
          <w:color w:val="005CA9"/>
          <w:sz w:val="20"/>
          <w:szCs w:val="20"/>
        </w:rPr>
        <w:t xml:space="preserve"> (</w:t>
      </w:r>
      <w:r w:rsidR="0042217E" w:rsidRPr="009B7FCE">
        <w:rPr>
          <w:rFonts w:ascii="CAIXA Std Book" w:hAnsi="CAIXA Std Book"/>
          <w:i/>
          <w:iCs/>
          <w:color w:val="005CA9"/>
          <w:sz w:val="20"/>
          <w:szCs w:val="20"/>
        </w:rPr>
        <w:t>hedge</w:t>
      </w:r>
      <w:r w:rsidR="0042217E" w:rsidRPr="005F1504">
        <w:rPr>
          <w:rFonts w:ascii="CAIXA Std Book" w:hAnsi="CAIXA Std Book"/>
          <w:color w:val="005CA9"/>
          <w:sz w:val="20"/>
          <w:szCs w:val="20"/>
        </w:rPr>
        <w:t xml:space="preserve"> </w:t>
      </w:r>
      <w:r w:rsidR="0042217E" w:rsidRPr="009B7FCE">
        <w:rPr>
          <w:rFonts w:ascii="CAIXA Std Book" w:hAnsi="CAIXA Std Book"/>
          <w:i/>
          <w:iCs/>
          <w:color w:val="005CA9"/>
          <w:sz w:val="20"/>
          <w:szCs w:val="20"/>
        </w:rPr>
        <w:t>accounting</w:t>
      </w:r>
      <w:r w:rsidR="0042217E" w:rsidRPr="00AC4F19">
        <w:rPr>
          <w:rFonts w:ascii="CAIXA Std Book" w:hAnsi="CAIXA Std Book"/>
          <w:color w:val="005CA9"/>
          <w:sz w:val="20"/>
          <w:szCs w:val="20"/>
        </w:rPr>
        <w:t xml:space="preserve">) e seus respectivos instrumentos de </w:t>
      </w:r>
      <w:r w:rsidR="0042217E" w:rsidRPr="003E596A">
        <w:rPr>
          <w:rFonts w:ascii="CAIXA Std Book" w:hAnsi="CAIXA Std Book"/>
          <w:i/>
          <w:iCs/>
          <w:color w:val="005CA9"/>
          <w:sz w:val="20"/>
          <w:szCs w:val="20"/>
        </w:rPr>
        <w:t>hedge</w:t>
      </w:r>
      <w:r w:rsidR="0042217E" w:rsidRPr="00AC4F19">
        <w:rPr>
          <w:rFonts w:ascii="CAIXA Std Book" w:hAnsi="CAIXA Std Book"/>
          <w:color w:val="005CA9"/>
          <w:sz w:val="20"/>
          <w:szCs w:val="20"/>
        </w:rPr>
        <w:t xml:space="preserve"> não estão no escopo do exercício, pois a CAIXA acompanha sistematicamente a efetividade dessas estruturas que, de certa forma, estão imunes à choques nos fatores </w:t>
      </w:r>
      <w:r w:rsidRPr="00AC4F19">
        <w:rPr>
          <w:rFonts w:ascii="CAIXA Std Book" w:hAnsi="CAIXA Std Book"/>
          <w:color w:val="005CA9"/>
          <w:sz w:val="20"/>
          <w:szCs w:val="20"/>
        </w:rPr>
        <w:t>de risco.</w:t>
      </w:r>
      <w:r w:rsidR="00F14EC5" w:rsidRPr="00F14EC5">
        <w:rPr>
          <w:rFonts w:ascii="CAIXA Std Book" w:hAnsi="CAIXA Std Book"/>
          <w:color w:val="005CA9"/>
          <w:sz w:val="20"/>
          <w:szCs w:val="20"/>
        </w:rPr>
        <w:t xml:space="preserve">   </w:t>
      </w:r>
    </w:p>
    <w:p w14:paraId="699F15F6" w14:textId="54E1CD97" w:rsidR="00BB6CD1" w:rsidRPr="006341E3" w:rsidRDefault="002E7F34" w:rsidP="00BB6CD1">
      <w:pPr>
        <w:spacing w:before="120" w:after="120"/>
        <w:jc w:val="both"/>
        <w:rPr>
          <w:rFonts w:ascii="CAIXA Std Book" w:hAnsi="CAIXA Std Book"/>
          <w:color w:val="005CA9"/>
          <w:sz w:val="20"/>
          <w:szCs w:val="20"/>
        </w:rPr>
      </w:pPr>
      <w:r w:rsidRPr="006341E3">
        <w:rPr>
          <w:rFonts w:ascii="CAIXA Std Book" w:hAnsi="CAIXA Std Book"/>
          <w:color w:val="005CA9"/>
          <w:sz w:val="20"/>
          <w:szCs w:val="20"/>
        </w:rPr>
        <w:t xml:space="preserve">Destaca-se que os instrumentos que não são avaliados ao valor justo no balanço patrimonial, como os instrumentos financeiros ao custo amortizado da carteira TVM, as disponibilidades, </w:t>
      </w:r>
      <w:r w:rsidR="0093527B" w:rsidRPr="0093527B">
        <w:rPr>
          <w:rFonts w:ascii="CAIXA Std Book" w:hAnsi="CAIXA Std Book"/>
          <w:color w:val="005CA9"/>
          <w:sz w:val="20"/>
          <w:szCs w:val="20"/>
        </w:rPr>
        <w:t>as aplicações/captações interfinanceiras</w:t>
      </w:r>
      <w:r w:rsidRPr="006341E3">
        <w:rPr>
          <w:rFonts w:ascii="CAIXA Std Book" w:hAnsi="CAIXA Std Book"/>
          <w:color w:val="005CA9"/>
          <w:sz w:val="20"/>
          <w:szCs w:val="20"/>
        </w:rPr>
        <w:t xml:space="preserve"> de liquidez, as operações de crédito, os depósitos bancários, os depósitos especiais, bem como outros instrumentos no balanço que são sujeitos ao risco de variação das taxas de juros, têm seus riscos identificados, mensurados, monitorados, mitigados e reportados à governança de riscos da CAIXA, em arcabouço próprio de gerenciamento de riscos, consubstanciados na Resolução CMN nº 4.557/2017 e Circular BCB nº 3.876/2018, e, portanto, não fazem parte do presente exercício</w:t>
      </w:r>
      <w:r w:rsidR="007C27FA" w:rsidRPr="006341E3">
        <w:rPr>
          <w:rFonts w:ascii="CAIXA Std Book" w:hAnsi="CAIXA Std Book"/>
          <w:color w:val="005CA9"/>
          <w:sz w:val="20"/>
          <w:szCs w:val="20"/>
        </w:rPr>
        <w:t>.</w:t>
      </w:r>
    </w:p>
    <w:p w14:paraId="0B232F61" w14:textId="6B23C4B6" w:rsidR="008A0720" w:rsidRPr="00393B88" w:rsidRDefault="00820E84" w:rsidP="008A0720">
      <w:pPr>
        <w:spacing w:before="120" w:after="120"/>
        <w:jc w:val="both"/>
        <w:rPr>
          <w:rFonts w:ascii="CAIXA Std Book" w:hAnsi="CAIXA Std Book"/>
          <w:color w:val="005CA9"/>
          <w:sz w:val="20"/>
          <w:szCs w:val="20"/>
          <w:highlight w:val="yellow"/>
        </w:rPr>
      </w:pPr>
      <w:r w:rsidRPr="004572A4">
        <w:rPr>
          <w:rFonts w:ascii="CAIXA Std Book" w:hAnsi="CAIXA Std Book"/>
          <w:color w:val="005CA9"/>
          <w:sz w:val="20"/>
          <w:szCs w:val="20"/>
        </w:rPr>
        <w:t>As sensibilidades desses instrumentos são analisadas e monitoradas e a instituição separa parte de seu capital para o enfrentamento das perdas decorrentes das variações desses fatores de risco. As informações para esses riscos constam do relatório de Pilar III, disponível no sítio da CAIXA na interne</w:t>
      </w:r>
      <w:r w:rsidRPr="00050CDC">
        <w:rPr>
          <w:rFonts w:ascii="CAIXA Std Book" w:hAnsi="CAIXA Std Book"/>
          <w:color w:val="005CA9"/>
          <w:sz w:val="20"/>
          <w:szCs w:val="20"/>
        </w:rPr>
        <w:t>t</w:t>
      </w:r>
      <w:r w:rsidR="008A0720" w:rsidRPr="00050CDC">
        <w:rPr>
          <w:rFonts w:ascii="CAIXA Std Book" w:hAnsi="CAIXA Std Book"/>
          <w:color w:val="005CA9"/>
          <w:sz w:val="20"/>
          <w:szCs w:val="20"/>
        </w:rPr>
        <w:t xml:space="preserve">. </w:t>
      </w:r>
    </w:p>
    <w:p w14:paraId="2DD39403" w14:textId="3316839A" w:rsidR="00C0572E" w:rsidRPr="00F7480E" w:rsidRDefault="005D5D4A" w:rsidP="00BB6CD1">
      <w:pPr>
        <w:spacing w:before="120" w:after="120"/>
        <w:jc w:val="both"/>
        <w:rPr>
          <w:rFonts w:ascii="CAIXA Std Book" w:hAnsi="CAIXA Std Book"/>
          <w:color w:val="005CA9"/>
          <w:sz w:val="20"/>
          <w:szCs w:val="20"/>
        </w:rPr>
      </w:pPr>
      <w:r w:rsidRPr="008951EF">
        <w:rPr>
          <w:rFonts w:ascii="CAIXA Std Book" w:hAnsi="CAIXA Std Book"/>
          <w:color w:val="005CA9"/>
          <w:sz w:val="20"/>
          <w:szCs w:val="20"/>
        </w:rPr>
        <w:t>As análises de sensibilidade para cada tipo de risco de mercado considerado relevante pela Alta Administração, ao qual a CAIXA estava exposta, incluíram todas as operações relevantes com instrumentos financeiros e consideraram as maiores perdas em cada um dos cenários a seguir</w:t>
      </w:r>
      <w:r w:rsidR="008A0720" w:rsidRPr="00F7480E">
        <w:rPr>
          <w:rFonts w:ascii="CAIXA Std Book" w:hAnsi="CAIXA Std Book"/>
          <w:color w:val="005CA9"/>
          <w:sz w:val="20"/>
          <w:szCs w:val="20"/>
        </w:rPr>
        <w:t>:</w:t>
      </w:r>
    </w:p>
    <w:p w14:paraId="28E2107B" w14:textId="2D5330CE" w:rsidR="00C0572E" w:rsidRPr="00F7480E" w:rsidRDefault="00C0572E" w:rsidP="00C0572E">
      <w:pPr>
        <w:spacing w:before="120" w:after="120"/>
        <w:ind w:left="1276" w:hanging="1276"/>
        <w:jc w:val="both"/>
        <w:rPr>
          <w:rFonts w:ascii="CAIXA Std Book" w:hAnsi="CAIXA Std Book"/>
          <w:color w:val="005CA9"/>
          <w:sz w:val="20"/>
          <w:szCs w:val="20"/>
        </w:rPr>
      </w:pPr>
      <w:r w:rsidRPr="00F7480E">
        <w:rPr>
          <w:rFonts w:ascii="CAIXA Std Book" w:hAnsi="CAIXA Std Book"/>
          <w:color w:val="005CA9"/>
          <w:sz w:val="20"/>
          <w:szCs w:val="20"/>
        </w:rPr>
        <w:t>Cenário I:</w:t>
      </w:r>
      <w:r w:rsidRPr="00F7480E">
        <w:rPr>
          <w:rFonts w:ascii="CAIXA Std Book" w:hAnsi="CAIXA Std Book"/>
          <w:color w:val="005CA9"/>
          <w:sz w:val="20"/>
          <w:szCs w:val="20"/>
        </w:rPr>
        <w:tab/>
      </w:r>
      <w:r w:rsidR="00B33B0C" w:rsidRPr="007C3680">
        <w:rPr>
          <w:rFonts w:ascii="CAIXA Std Book" w:hAnsi="CAIXA Std Book"/>
          <w:color w:val="005CA9"/>
          <w:sz w:val="20"/>
          <w:szCs w:val="20"/>
        </w:rPr>
        <w:t>Cenário provável considerando a trajetória mais provável das variáveis e indicadores macroeconômicos</w:t>
      </w:r>
      <w:r w:rsidR="00903FC2" w:rsidRPr="007C3680">
        <w:rPr>
          <w:rFonts w:ascii="CAIXA Std Book" w:hAnsi="CAIXA Std Book"/>
          <w:color w:val="005CA9"/>
          <w:sz w:val="20"/>
          <w:szCs w:val="20"/>
        </w:rPr>
        <w:t>;</w:t>
      </w:r>
    </w:p>
    <w:p w14:paraId="039F0CEA" w14:textId="1E4D728E" w:rsidR="00C0572E" w:rsidRPr="00F7480E" w:rsidRDefault="00C0572E" w:rsidP="00C0572E">
      <w:pPr>
        <w:spacing w:before="120" w:after="120"/>
        <w:ind w:left="1276" w:hanging="1276"/>
        <w:jc w:val="both"/>
        <w:rPr>
          <w:rFonts w:ascii="CAIXA Std Book" w:hAnsi="CAIXA Std Book"/>
          <w:color w:val="005CA9"/>
          <w:sz w:val="20"/>
          <w:szCs w:val="20"/>
        </w:rPr>
      </w:pPr>
      <w:r w:rsidRPr="00F7480E">
        <w:rPr>
          <w:rFonts w:ascii="CAIXA Std Book" w:hAnsi="CAIXA Std Book"/>
          <w:color w:val="005CA9"/>
          <w:sz w:val="20"/>
          <w:szCs w:val="20"/>
        </w:rPr>
        <w:t>Cenário II:</w:t>
      </w:r>
      <w:r w:rsidRPr="00F7480E">
        <w:rPr>
          <w:rFonts w:ascii="CAIXA Std Book" w:hAnsi="CAIXA Std Book"/>
          <w:color w:val="005CA9"/>
          <w:sz w:val="20"/>
          <w:szCs w:val="20"/>
        </w:rPr>
        <w:tab/>
      </w:r>
      <w:r w:rsidR="004E4DE1" w:rsidRPr="00930FE7">
        <w:rPr>
          <w:rFonts w:ascii="CAIXA Std Book" w:hAnsi="CAIXA Std Book"/>
          <w:color w:val="005CA9"/>
          <w:sz w:val="20"/>
          <w:szCs w:val="20"/>
        </w:rPr>
        <w:t>Cenário eventual que considera um choque paralelo multiplicativo DE 25% ao cenário I para o fator primitivo de risco Cupom SELIC Títulos Públicos e aditivo de 1% para os demais fatores de risco</w:t>
      </w:r>
      <w:r w:rsidR="009C1275" w:rsidRPr="00930FE7">
        <w:rPr>
          <w:rFonts w:ascii="CAIXA Std Book" w:hAnsi="CAIXA Std Book"/>
          <w:color w:val="005CA9"/>
          <w:sz w:val="20"/>
          <w:szCs w:val="20"/>
        </w:rPr>
        <w:t>;</w:t>
      </w:r>
    </w:p>
    <w:p w14:paraId="07BF1267" w14:textId="5FE94787" w:rsidR="00C0572E" w:rsidRPr="00F7480E" w:rsidRDefault="00C0572E" w:rsidP="00C0572E">
      <w:pPr>
        <w:spacing w:before="120" w:after="120"/>
        <w:ind w:left="1276" w:hanging="1276"/>
        <w:jc w:val="both"/>
        <w:rPr>
          <w:rFonts w:ascii="CAIXA Std Book" w:hAnsi="CAIXA Std Book"/>
          <w:color w:val="005CA9"/>
          <w:sz w:val="20"/>
          <w:szCs w:val="20"/>
        </w:rPr>
      </w:pPr>
      <w:r w:rsidRPr="00F7480E">
        <w:rPr>
          <w:rFonts w:ascii="CAIXA Std Book" w:hAnsi="CAIXA Std Book"/>
          <w:color w:val="005CA9"/>
          <w:sz w:val="20"/>
          <w:szCs w:val="20"/>
        </w:rPr>
        <w:t>Cenário III:</w:t>
      </w:r>
      <w:r w:rsidRPr="00F7480E">
        <w:rPr>
          <w:rFonts w:ascii="CAIXA Std Book" w:hAnsi="CAIXA Std Book"/>
          <w:color w:val="005CA9"/>
          <w:sz w:val="20"/>
          <w:szCs w:val="20"/>
        </w:rPr>
        <w:tab/>
      </w:r>
      <w:r w:rsidR="00F72263" w:rsidRPr="001D5046">
        <w:rPr>
          <w:rFonts w:ascii="CAIXA Std Book" w:hAnsi="CAIXA Std Book"/>
          <w:color w:val="005CA9"/>
          <w:sz w:val="20"/>
          <w:szCs w:val="20"/>
        </w:rPr>
        <w:t xml:space="preserve">Cenário eventual que considera um choque paralelo multiplicativo DE 50% ao cenário I para o fator primitivo de risco Cupom SELIC Títulos Públicos e aditivo de </w:t>
      </w:r>
      <w:r w:rsidR="00FA08B6" w:rsidRPr="00FA08B6">
        <w:rPr>
          <w:rFonts w:ascii="CAIXA Std Book" w:hAnsi="CAIXA Std Book"/>
          <w:color w:val="005CA9"/>
          <w:sz w:val="20"/>
          <w:szCs w:val="20"/>
        </w:rPr>
        <w:t>2,</w:t>
      </w:r>
      <w:r w:rsidR="00F72263" w:rsidRPr="001D5046">
        <w:rPr>
          <w:rFonts w:ascii="CAIXA Std Book" w:hAnsi="CAIXA Std Book"/>
          <w:color w:val="005CA9"/>
          <w:sz w:val="20"/>
          <w:szCs w:val="20"/>
        </w:rPr>
        <w:t>5% para os demais fatores de risco</w:t>
      </w:r>
      <w:r w:rsidR="00FA08B6" w:rsidRPr="00FA08B6">
        <w:rPr>
          <w:rFonts w:ascii="CAIXA Std Book" w:hAnsi="CAIXA Std Book"/>
          <w:color w:val="005CA9"/>
          <w:sz w:val="20"/>
          <w:szCs w:val="20"/>
        </w:rPr>
        <w:t>;</w:t>
      </w:r>
    </w:p>
    <w:p w14:paraId="48319F08" w14:textId="74D641B1" w:rsidR="00C0572E" w:rsidRPr="00F7480E" w:rsidRDefault="00C0572E" w:rsidP="00C0572E">
      <w:pPr>
        <w:spacing w:before="120" w:after="120"/>
        <w:ind w:left="1276" w:hanging="1276"/>
        <w:jc w:val="both"/>
        <w:rPr>
          <w:rFonts w:ascii="CAIXA Std Book" w:hAnsi="CAIXA Std Book"/>
          <w:color w:val="005CA9"/>
          <w:sz w:val="20"/>
          <w:szCs w:val="20"/>
        </w:rPr>
      </w:pPr>
      <w:r w:rsidRPr="00F7480E">
        <w:rPr>
          <w:rFonts w:ascii="CAIXA Std Book" w:hAnsi="CAIXA Std Book"/>
          <w:color w:val="005CA9"/>
          <w:sz w:val="20"/>
          <w:szCs w:val="20"/>
        </w:rPr>
        <w:t>Cenário IV:</w:t>
      </w:r>
      <w:r w:rsidRPr="00F7480E">
        <w:rPr>
          <w:rFonts w:ascii="CAIXA Std Book" w:hAnsi="CAIXA Std Book"/>
          <w:color w:val="005CA9"/>
          <w:sz w:val="20"/>
          <w:szCs w:val="20"/>
        </w:rPr>
        <w:tab/>
      </w:r>
      <w:r w:rsidR="00250D0C" w:rsidRPr="008A2EE8">
        <w:rPr>
          <w:rFonts w:ascii="CAIXA Std Book" w:hAnsi="CAIXA Std Book"/>
          <w:color w:val="005CA9"/>
          <w:sz w:val="20"/>
          <w:szCs w:val="20"/>
        </w:rPr>
        <w:t xml:space="preserve">Cenário eventual que considera um choque paralelo multiplicativo </w:t>
      </w:r>
      <w:r w:rsidR="00874CDB" w:rsidRPr="00874CDB">
        <w:rPr>
          <w:rFonts w:ascii="CAIXA Std Book" w:hAnsi="CAIXA Std Book"/>
          <w:color w:val="005CA9"/>
          <w:sz w:val="20"/>
          <w:szCs w:val="20"/>
        </w:rPr>
        <w:t>DE 50</w:t>
      </w:r>
      <w:r w:rsidR="00250D0C" w:rsidRPr="008A2EE8">
        <w:rPr>
          <w:rFonts w:ascii="CAIXA Std Book" w:hAnsi="CAIXA Std Book"/>
          <w:color w:val="005CA9"/>
          <w:sz w:val="20"/>
          <w:szCs w:val="20"/>
        </w:rPr>
        <w:t xml:space="preserve">% ao cenário I para o fator primitivo de risco Cupom SELIC Títulos Públicos e </w:t>
      </w:r>
      <w:r w:rsidR="00874CDB" w:rsidRPr="00874CDB">
        <w:rPr>
          <w:rFonts w:ascii="CAIXA Std Book" w:hAnsi="CAIXA Std Book"/>
          <w:color w:val="005CA9"/>
          <w:sz w:val="20"/>
          <w:szCs w:val="20"/>
        </w:rPr>
        <w:t>aditivo de 5</w:t>
      </w:r>
      <w:r w:rsidR="00250D0C" w:rsidRPr="008A2EE8">
        <w:rPr>
          <w:rFonts w:ascii="CAIXA Std Book" w:hAnsi="CAIXA Std Book"/>
          <w:color w:val="005CA9"/>
          <w:sz w:val="20"/>
          <w:szCs w:val="20"/>
        </w:rPr>
        <w:t>% para os demais fatores de risco</w:t>
      </w:r>
      <w:r w:rsidR="000A4AD7" w:rsidRPr="008A2EE8">
        <w:rPr>
          <w:rFonts w:ascii="CAIXA Std Book" w:hAnsi="CAIXA Std Book"/>
          <w:color w:val="005CA9"/>
          <w:sz w:val="20"/>
          <w:szCs w:val="20"/>
        </w:rPr>
        <w:t>;</w:t>
      </w:r>
    </w:p>
    <w:p w14:paraId="32AED6CA" w14:textId="025FEF87" w:rsidR="00C0572E" w:rsidRPr="00F7480E" w:rsidRDefault="00C0572E" w:rsidP="00C0572E">
      <w:pPr>
        <w:spacing w:before="120" w:after="120"/>
        <w:ind w:left="1276" w:hanging="1276"/>
        <w:jc w:val="both"/>
        <w:rPr>
          <w:rFonts w:ascii="CAIXA Std Book" w:hAnsi="CAIXA Std Book"/>
          <w:color w:val="005CA9"/>
          <w:sz w:val="20"/>
          <w:szCs w:val="20"/>
        </w:rPr>
      </w:pPr>
      <w:r w:rsidRPr="00F7480E">
        <w:rPr>
          <w:rFonts w:ascii="CAIXA Std Book" w:hAnsi="CAIXA Std Book"/>
          <w:color w:val="005CA9"/>
          <w:sz w:val="20"/>
          <w:szCs w:val="20"/>
        </w:rPr>
        <w:t>Cenário V:</w:t>
      </w:r>
      <w:r w:rsidRPr="00F7480E">
        <w:rPr>
          <w:rFonts w:ascii="CAIXA Std Book" w:hAnsi="CAIXA Std Book"/>
          <w:color w:val="005CA9"/>
          <w:sz w:val="20"/>
          <w:szCs w:val="20"/>
        </w:rPr>
        <w:tab/>
      </w:r>
      <w:r w:rsidR="00683E21" w:rsidRPr="00F33D0D">
        <w:rPr>
          <w:rFonts w:ascii="CAIXA Std Book" w:hAnsi="CAIXA Std Book"/>
          <w:color w:val="005CA9"/>
          <w:sz w:val="20"/>
          <w:szCs w:val="20"/>
        </w:rPr>
        <w:t>Cenário eventual que considera um choque paralelo multiplicativo de 0,75% ao cenário I para o fator primitivo de risco Cupom SELIC Títulos Públicos e subtrativo de 1% para os demais fatores de risco;</w:t>
      </w:r>
    </w:p>
    <w:p w14:paraId="7872D7E6" w14:textId="123C3F3C" w:rsidR="00C0572E" w:rsidRPr="00F7480E" w:rsidRDefault="00C0572E" w:rsidP="00C0572E">
      <w:pPr>
        <w:spacing w:before="120" w:after="120"/>
        <w:ind w:left="1276" w:hanging="1276"/>
        <w:jc w:val="both"/>
        <w:rPr>
          <w:rFonts w:ascii="CAIXA Std Book" w:hAnsi="CAIXA Std Book"/>
          <w:color w:val="005CA9"/>
          <w:sz w:val="20"/>
          <w:szCs w:val="20"/>
        </w:rPr>
      </w:pPr>
      <w:r w:rsidRPr="00F7480E">
        <w:rPr>
          <w:rFonts w:ascii="CAIXA Std Book" w:hAnsi="CAIXA Std Book"/>
          <w:color w:val="005CA9"/>
          <w:sz w:val="20"/>
          <w:szCs w:val="20"/>
        </w:rPr>
        <w:t>Cenário VI:</w:t>
      </w:r>
      <w:r w:rsidRPr="00F7480E">
        <w:rPr>
          <w:rFonts w:ascii="CAIXA Std Book" w:hAnsi="CAIXA Std Book"/>
          <w:color w:val="005CA9"/>
          <w:sz w:val="20"/>
          <w:szCs w:val="20"/>
        </w:rPr>
        <w:tab/>
      </w:r>
      <w:r w:rsidR="000B2164" w:rsidRPr="00F7480E">
        <w:rPr>
          <w:rFonts w:ascii="CAIXA Std Book" w:hAnsi="CAIXA Std Book"/>
          <w:color w:val="005CA9"/>
          <w:sz w:val="20"/>
          <w:szCs w:val="20"/>
        </w:rPr>
        <w:t>Cenário eventual que considera um choque paralelo multiplicativo de 0,5% ao cenário I para o fator primitivo de risco Cupom SELIC Títulos Públicos e subtrativo de 2,5% para os demais fatores de risco;</w:t>
      </w:r>
    </w:p>
    <w:p w14:paraId="68D18E8F" w14:textId="523D3C39" w:rsidR="000B7C42" w:rsidRDefault="00C0572E" w:rsidP="00C0572E">
      <w:pPr>
        <w:spacing w:before="120" w:after="240"/>
        <w:ind w:left="1276" w:hanging="1276"/>
        <w:jc w:val="both"/>
        <w:rPr>
          <w:rFonts w:ascii="CAIXA Std Book" w:hAnsi="CAIXA Std Book"/>
          <w:color w:val="005CA9"/>
          <w:sz w:val="20"/>
          <w:szCs w:val="20"/>
        </w:rPr>
      </w:pPr>
      <w:r w:rsidRPr="00F7480E">
        <w:rPr>
          <w:rFonts w:ascii="CAIXA Std Book" w:hAnsi="CAIXA Std Book"/>
          <w:color w:val="005CA9"/>
          <w:sz w:val="20"/>
          <w:szCs w:val="20"/>
        </w:rPr>
        <w:t>Cenário VII:</w:t>
      </w:r>
      <w:r w:rsidRPr="00F7480E">
        <w:rPr>
          <w:rFonts w:ascii="CAIXA Std Book" w:hAnsi="CAIXA Std Book"/>
          <w:color w:val="005CA9"/>
        </w:rPr>
        <w:tab/>
      </w:r>
      <w:r w:rsidR="005D7170" w:rsidRPr="00F7480E">
        <w:rPr>
          <w:rFonts w:ascii="CAIXA Std Book" w:hAnsi="CAIXA Std Book"/>
          <w:color w:val="005CA9"/>
          <w:sz w:val="20"/>
          <w:szCs w:val="20"/>
        </w:rPr>
        <w:t>Cenário eventual que considera um choque paralelo multiplicativo de 0,25% ao cenário I para o fator primitivo de risco Cupom SELIC Títulos Públicos e subtrativo de 5% para os demais fatores de risco</w:t>
      </w:r>
      <w:r w:rsidR="001D4944">
        <w:rPr>
          <w:rFonts w:ascii="CAIXA Std Book" w:hAnsi="CAIXA Std Book"/>
          <w:color w:val="005CA9"/>
          <w:sz w:val="20"/>
          <w:szCs w:val="20"/>
        </w:rPr>
        <w:t>.</w:t>
      </w:r>
    </w:p>
    <w:tbl>
      <w:tblPr>
        <w:tblW w:w="5000" w:type="pct"/>
        <w:tblCellMar>
          <w:left w:w="70" w:type="dxa"/>
          <w:right w:w="70" w:type="dxa"/>
        </w:tblCellMar>
        <w:tblLook w:val="04A0" w:firstRow="1" w:lastRow="0" w:firstColumn="1" w:lastColumn="0" w:noHBand="0" w:noVBand="1"/>
      </w:tblPr>
      <w:tblGrid>
        <w:gridCol w:w="1497"/>
        <w:gridCol w:w="1311"/>
        <w:gridCol w:w="1133"/>
        <w:gridCol w:w="1133"/>
        <w:gridCol w:w="1216"/>
        <w:gridCol w:w="1095"/>
        <w:gridCol w:w="1095"/>
        <w:gridCol w:w="1158"/>
      </w:tblGrid>
      <w:tr w:rsidR="00FF68C9" w:rsidRPr="00FF68C9" w14:paraId="3BC056F0" w14:textId="77777777" w:rsidTr="00FF68C9">
        <w:trPr>
          <w:trHeight w:val="300"/>
        </w:trPr>
        <w:tc>
          <w:tcPr>
            <w:tcW w:w="5000" w:type="pct"/>
            <w:gridSpan w:val="8"/>
            <w:tcBorders>
              <w:top w:val="nil"/>
              <w:left w:val="nil"/>
              <w:bottom w:val="single" w:sz="8" w:space="0" w:color="FFFFFF"/>
              <w:right w:val="nil"/>
            </w:tcBorders>
            <w:shd w:val="clear" w:color="000000" w:fill="005CA9"/>
            <w:vAlign w:val="center"/>
            <w:hideMark/>
          </w:tcPr>
          <w:p w14:paraId="443EE412"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31/03/2026</w:t>
            </w:r>
          </w:p>
        </w:tc>
      </w:tr>
      <w:tr w:rsidR="00FF68C9" w:rsidRPr="00FF68C9" w14:paraId="75D57C97" w14:textId="77777777" w:rsidTr="00962C91">
        <w:trPr>
          <w:trHeight w:val="300"/>
        </w:trPr>
        <w:tc>
          <w:tcPr>
            <w:tcW w:w="776" w:type="pct"/>
            <w:vMerge w:val="restart"/>
            <w:tcBorders>
              <w:top w:val="nil"/>
              <w:left w:val="nil"/>
              <w:bottom w:val="nil"/>
              <w:right w:val="nil"/>
            </w:tcBorders>
            <w:shd w:val="clear" w:color="000000" w:fill="005CA9"/>
            <w:vAlign w:val="center"/>
            <w:hideMark/>
          </w:tcPr>
          <w:p w14:paraId="5CD40B34"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Fator de risco</w:t>
            </w:r>
          </w:p>
        </w:tc>
        <w:tc>
          <w:tcPr>
            <w:tcW w:w="680" w:type="pct"/>
            <w:vMerge w:val="restart"/>
            <w:tcBorders>
              <w:top w:val="nil"/>
              <w:left w:val="nil"/>
              <w:bottom w:val="nil"/>
              <w:right w:val="nil"/>
            </w:tcBorders>
            <w:shd w:val="clear" w:color="000000" w:fill="005CA9"/>
            <w:vAlign w:val="center"/>
            <w:hideMark/>
          </w:tcPr>
          <w:p w14:paraId="4DBEB7CF"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Cenário I - MtM R$ mil</w:t>
            </w:r>
          </w:p>
        </w:tc>
        <w:tc>
          <w:tcPr>
            <w:tcW w:w="1806" w:type="pct"/>
            <w:gridSpan w:val="3"/>
            <w:tcBorders>
              <w:top w:val="single" w:sz="8" w:space="0" w:color="FFFFFF"/>
              <w:left w:val="nil"/>
              <w:bottom w:val="single" w:sz="8" w:space="0" w:color="FFFFFF"/>
              <w:right w:val="nil"/>
            </w:tcBorders>
            <w:shd w:val="clear" w:color="000000" w:fill="005CA9"/>
            <w:vAlign w:val="center"/>
            <w:hideMark/>
          </w:tcPr>
          <w:p w14:paraId="289E6BF3"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Choque de alta nas taxas de juros</w:t>
            </w:r>
          </w:p>
        </w:tc>
        <w:tc>
          <w:tcPr>
            <w:tcW w:w="1737" w:type="pct"/>
            <w:gridSpan w:val="3"/>
            <w:tcBorders>
              <w:top w:val="single" w:sz="8" w:space="0" w:color="FFFFFF"/>
              <w:left w:val="nil"/>
              <w:bottom w:val="single" w:sz="8" w:space="0" w:color="FFFFFF"/>
              <w:right w:val="nil"/>
            </w:tcBorders>
            <w:shd w:val="clear" w:color="000000" w:fill="005CA9"/>
            <w:vAlign w:val="center"/>
            <w:hideMark/>
          </w:tcPr>
          <w:p w14:paraId="60A00465"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Choque de baixa nas taxas de juros</w:t>
            </w:r>
          </w:p>
        </w:tc>
      </w:tr>
      <w:tr w:rsidR="00FF68C9" w:rsidRPr="00FF68C9" w14:paraId="4E4A4C9F" w14:textId="77777777" w:rsidTr="00962C91">
        <w:trPr>
          <w:trHeight w:val="300"/>
        </w:trPr>
        <w:tc>
          <w:tcPr>
            <w:tcW w:w="776" w:type="pct"/>
            <w:vMerge/>
            <w:tcBorders>
              <w:top w:val="nil"/>
              <w:left w:val="nil"/>
              <w:bottom w:val="nil"/>
              <w:right w:val="nil"/>
            </w:tcBorders>
            <w:vAlign w:val="center"/>
            <w:hideMark/>
          </w:tcPr>
          <w:p w14:paraId="1A19AE42" w14:textId="77777777" w:rsidR="00FF68C9" w:rsidRPr="00FF68C9" w:rsidRDefault="00FF68C9" w:rsidP="00FF68C9">
            <w:pPr>
              <w:rPr>
                <w:rFonts w:ascii="CAIXA Std Book" w:eastAsia="Times New Roman" w:hAnsi="CAIXA Std Book" w:cs="Calibri"/>
                <w:b/>
                <w:bCs/>
                <w:color w:val="FFFFFF"/>
                <w:sz w:val="16"/>
                <w:szCs w:val="16"/>
              </w:rPr>
            </w:pPr>
          </w:p>
        </w:tc>
        <w:tc>
          <w:tcPr>
            <w:tcW w:w="680" w:type="pct"/>
            <w:vMerge/>
            <w:tcBorders>
              <w:top w:val="nil"/>
              <w:left w:val="nil"/>
              <w:bottom w:val="nil"/>
              <w:right w:val="nil"/>
            </w:tcBorders>
            <w:vAlign w:val="center"/>
            <w:hideMark/>
          </w:tcPr>
          <w:p w14:paraId="663EE820" w14:textId="77777777" w:rsidR="00FF68C9" w:rsidRPr="00FF68C9" w:rsidRDefault="00FF68C9" w:rsidP="00FF68C9">
            <w:pPr>
              <w:rPr>
                <w:rFonts w:ascii="CAIXA Std Book" w:eastAsia="Times New Roman" w:hAnsi="CAIXA Std Book" w:cs="Calibri"/>
                <w:b/>
                <w:bCs/>
                <w:color w:val="FFFFFF"/>
                <w:sz w:val="16"/>
                <w:szCs w:val="16"/>
              </w:rPr>
            </w:pPr>
          </w:p>
        </w:tc>
        <w:tc>
          <w:tcPr>
            <w:tcW w:w="588" w:type="pct"/>
            <w:tcBorders>
              <w:top w:val="nil"/>
              <w:left w:val="nil"/>
              <w:bottom w:val="single" w:sz="8" w:space="0" w:color="FFFFFF"/>
              <w:right w:val="nil"/>
            </w:tcBorders>
            <w:shd w:val="clear" w:color="000000" w:fill="005CA9"/>
            <w:noWrap/>
            <w:vAlign w:val="center"/>
            <w:hideMark/>
          </w:tcPr>
          <w:p w14:paraId="165BFEC6"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Cenário II</w:t>
            </w:r>
          </w:p>
        </w:tc>
        <w:tc>
          <w:tcPr>
            <w:tcW w:w="588" w:type="pct"/>
            <w:tcBorders>
              <w:top w:val="nil"/>
              <w:left w:val="nil"/>
              <w:bottom w:val="single" w:sz="8" w:space="0" w:color="FFFFFF"/>
              <w:right w:val="nil"/>
            </w:tcBorders>
            <w:shd w:val="clear" w:color="000000" w:fill="005CA9"/>
            <w:noWrap/>
            <w:vAlign w:val="center"/>
            <w:hideMark/>
          </w:tcPr>
          <w:p w14:paraId="6249C207"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Cenário III</w:t>
            </w:r>
          </w:p>
        </w:tc>
        <w:tc>
          <w:tcPr>
            <w:tcW w:w="631" w:type="pct"/>
            <w:tcBorders>
              <w:top w:val="nil"/>
              <w:left w:val="nil"/>
              <w:bottom w:val="single" w:sz="8" w:space="0" w:color="FFFFFF"/>
              <w:right w:val="nil"/>
            </w:tcBorders>
            <w:shd w:val="clear" w:color="000000" w:fill="005CA9"/>
            <w:noWrap/>
            <w:vAlign w:val="center"/>
            <w:hideMark/>
          </w:tcPr>
          <w:p w14:paraId="42A5670D"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Cenário IV</w:t>
            </w:r>
          </w:p>
        </w:tc>
        <w:tc>
          <w:tcPr>
            <w:tcW w:w="568" w:type="pct"/>
            <w:tcBorders>
              <w:top w:val="nil"/>
              <w:left w:val="nil"/>
              <w:bottom w:val="single" w:sz="8" w:space="0" w:color="FFFFFF"/>
              <w:right w:val="nil"/>
            </w:tcBorders>
            <w:shd w:val="clear" w:color="000000" w:fill="005CA9"/>
            <w:noWrap/>
            <w:vAlign w:val="center"/>
            <w:hideMark/>
          </w:tcPr>
          <w:p w14:paraId="5E6F35C3"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Cenário V</w:t>
            </w:r>
          </w:p>
        </w:tc>
        <w:tc>
          <w:tcPr>
            <w:tcW w:w="568" w:type="pct"/>
            <w:tcBorders>
              <w:top w:val="nil"/>
              <w:left w:val="nil"/>
              <w:bottom w:val="single" w:sz="8" w:space="0" w:color="FFFFFF"/>
              <w:right w:val="nil"/>
            </w:tcBorders>
            <w:shd w:val="clear" w:color="000000" w:fill="005CA9"/>
            <w:noWrap/>
            <w:vAlign w:val="center"/>
            <w:hideMark/>
          </w:tcPr>
          <w:p w14:paraId="6B6E6416"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Cenário VI</w:t>
            </w:r>
          </w:p>
        </w:tc>
        <w:tc>
          <w:tcPr>
            <w:tcW w:w="602" w:type="pct"/>
            <w:tcBorders>
              <w:top w:val="nil"/>
              <w:left w:val="nil"/>
              <w:bottom w:val="single" w:sz="8" w:space="0" w:color="FFFFFF"/>
              <w:right w:val="nil"/>
            </w:tcBorders>
            <w:shd w:val="clear" w:color="000000" w:fill="005CA9"/>
            <w:noWrap/>
            <w:vAlign w:val="center"/>
            <w:hideMark/>
          </w:tcPr>
          <w:p w14:paraId="05028F90"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Cenário VII</w:t>
            </w:r>
          </w:p>
        </w:tc>
      </w:tr>
      <w:tr w:rsidR="00FF68C9" w:rsidRPr="00FF68C9" w14:paraId="7A979844" w14:textId="77777777" w:rsidTr="00962C91">
        <w:trPr>
          <w:trHeight w:val="288"/>
        </w:trPr>
        <w:tc>
          <w:tcPr>
            <w:tcW w:w="776" w:type="pct"/>
            <w:vMerge/>
            <w:tcBorders>
              <w:top w:val="nil"/>
              <w:left w:val="nil"/>
              <w:bottom w:val="nil"/>
              <w:right w:val="nil"/>
            </w:tcBorders>
            <w:vAlign w:val="center"/>
            <w:hideMark/>
          </w:tcPr>
          <w:p w14:paraId="136A4A47" w14:textId="77777777" w:rsidR="00FF68C9" w:rsidRPr="00FF68C9" w:rsidRDefault="00FF68C9" w:rsidP="00FF68C9">
            <w:pPr>
              <w:rPr>
                <w:rFonts w:ascii="CAIXA Std Book" w:eastAsia="Times New Roman" w:hAnsi="CAIXA Std Book" w:cs="Calibri"/>
                <w:b/>
                <w:bCs/>
                <w:color w:val="FFFFFF"/>
                <w:sz w:val="16"/>
                <w:szCs w:val="16"/>
              </w:rPr>
            </w:pPr>
          </w:p>
        </w:tc>
        <w:tc>
          <w:tcPr>
            <w:tcW w:w="680" w:type="pct"/>
            <w:vMerge/>
            <w:tcBorders>
              <w:top w:val="nil"/>
              <w:left w:val="nil"/>
              <w:bottom w:val="nil"/>
              <w:right w:val="nil"/>
            </w:tcBorders>
            <w:vAlign w:val="center"/>
            <w:hideMark/>
          </w:tcPr>
          <w:p w14:paraId="6FB04973" w14:textId="77777777" w:rsidR="00FF68C9" w:rsidRPr="00FF68C9" w:rsidRDefault="00FF68C9" w:rsidP="00FF68C9">
            <w:pPr>
              <w:rPr>
                <w:rFonts w:ascii="CAIXA Std Book" w:eastAsia="Times New Roman" w:hAnsi="CAIXA Std Book" w:cs="Calibri"/>
                <w:b/>
                <w:bCs/>
                <w:color w:val="FFFFFF"/>
                <w:sz w:val="16"/>
                <w:szCs w:val="16"/>
              </w:rPr>
            </w:pPr>
          </w:p>
        </w:tc>
        <w:tc>
          <w:tcPr>
            <w:tcW w:w="588" w:type="pct"/>
            <w:tcBorders>
              <w:top w:val="nil"/>
              <w:left w:val="nil"/>
              <w:bottom w:val="nil"/>
              <w:right w:val="nil"/>
            </w:tcBorders>
            <w:shd w:val="clear" w:color="000000" w:fill="005CA9"/>
            <w:vAlign w:val="center"/>
            <w:hideMark/>
          </w:tcPr>
          <w:p w14:paraId="58FEC1CD"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Var. MtM</w:t>
            </w:r>
          </w:p>
        </w:tc>
        <w:tc>
          <w:tcPr>
            <w:tcW w:w="588" w:type="pct"/>
            <w:tcBorders>
              <w:top w:val="nil"/>
              <w:left w:val="nil"/>
              <w:bottom w:val="nil"/>
              <w:right w:val="nil"/>
            </w:tcBorders>
            <w:shd w:val="clear" w:color="000000" w:fill="005CA9"/>
            <w:vAlign w:val="center"/>
            <w:hideMark/>
          </w:tcPr>
          <w:p w14:paraId="405DCD95"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 xml:space="preserve">Var. MtM </w:t>
            </w:r>
          </w:p>
        </w:tc>
        <w:tc>
          <w:tcPr>
            <w:tcW w:w="631" w:type="pct"/>
            <w:tcBorders>
              <w:top w:val="nil"/>
              <w:left w:val="nil"/>
              <w:bottom w:val="nil"/>
              <w:right w:val="nil"/>
            </w:tcBorders>
            <w:shd w:val="clear" w:color="000000" w:fill="005CA9"/>
            <w:vAlign w:val="center"/>
            <w:hideMark/>
          </w:tcPr>
          <w:p w14:paraId="69A4AD7C"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 xml:space="preserve">Var. MtM </w:t>
            </w:r>
          </w:p>
        </w:tc>
        <w:tc>
          <w:tcPr>
            <w:tcW w:w="568" w:type="pct"/>
            <w:tcBorders>
              <w:top w:val="nil"/>
              <w:left w:val="nil"/>
              <w:bottom w:val="nil"/>
              <w:right w:val="nil"/>
            </w:tcBorders>
            <w:shd w:val="clear" w:color="000000" w:fill="005CA9"/>
            <w:vAlign w:val="center"/>
            <w:hideMark/>
          </w:tcPr>
          <w:p w14:paraId="6DA05E83"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 xml:space="preserve">Var. MtM </w:t>
            </w:r>
          </w:p>
        </w:tc>
        <w:tc>
          <w:tcPr>
            <w:tcW w:w="568" w:type="pct"/>
            <w:tcBorders>
              <w:top w:val="nil"/>
              <w:left w:val="nil"/>
              <w:bottom w:val="nil"/>
              <w:right w:val="nil"/>
            </w:tcBorders>
            <w:shd w:val="clear" w:color="000000" w:fill="005CA9"/>
            <w:vAlign w:val="center"/>
            <w:hideMark/>
          </w:tcPr>
          <w:p w14:paraId="3C56BA15"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 xml:space="preserve">Var. MtM </w:t>
            </w:r>
          </w:p>
        </w:tc>
        <w:tc>
          <w:tcPr>
            <w:tcW w:w="602" w:type="pct"/>
            <w:tcBorders>
              <w:top w:val="nil"/>
              <w:left w:val="nil"/>
              <w:bottom w:val="nil"/>
              <w:right w:val="nil"/>
            </w:tcBorders>
            <w:shd w:val="clear" w:color="000000" w:fill="005CA9"/>
            <w:vAlign w:val="center"/>
            <w:hideMark/>
          </w:tcPr>
          <w:p w14:paraId="662D8015"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Var. MtM</w:t>
            </w:r>
          </w:p>
        </w:tc>
      </w:tr>
      <w:tr w:rsidR="00FF68C9" w:rsidRPr="00FF68C9" w14:paraId="722FE0A0" w14:textId="77777777" w:rsidTr="00962C91">
        <w:trPr>
          <w:trHeight w:val="288"/>
        </w:trPr>
        <w:tc>
          <w:tcPr>
            <w:tcW w:w="776" w:type="pct"/>
            <w:vMerge/>
            <w:tcBorders>
              <w:top w:val="nil"/>
              <w:left w:val="nil"/>
              <w:bottom w:val="nil"/>
              <w:right w:val="nil"/>
            </w:tcBorders>
            <w:vAlign w:val="center"/>
            <w:hideMark/>
          </w:tcPr>
          <w:p w14:paraId="24B96576" w14:textId="77777777" w:rsidR="00FF68C9" w:rsidRPr="00FF68C9" w:rsidRDefault="00FF68C9" w:rsidP="00FF68C9">
            <w:pPr>
              <w:rPr>
                <w:rFonts w:ascii="CAIXA Std Book" w:eastAsia="Times New Roman" w:hAnsi="CAIXA Std Book" w:cs="Calibri"/>
                <w:b/>
                <w:bCs/>
                <w:color w:val="FFFFFF"/>
                <w:sz w:val="16"/>
                <w:szCs w:val="16"/>
              </w:rPr>
            </w:pPr>
          </w:p>
        </w:tc>
        <w:tc>
          <w:tcPr>
            <w:tcW w:w="680" w:type="pct"/>
            <w:vMerge/>
            <w:tcBorders>
              <w:top w:val="nil"/>
              <w:left w:val="nil"/>
              <w:bottom w:val="nil"/>
              <w:right w:val="nil"/>
            </w:tcBorders>
            <w:vAlign w:val="center"/>
            <w:hideMark/>
          </w:tcPr>
          <w:p w14:paraId="777623F9" w14:textId="77777777" w:rsidR="00FF68C9" w:rsidRPr="00FF68C9" w:rsidRDefault="00FF68C9" w:rsidP="00FF68C9">
            <w:pPr>
              <w:rPr>
                <w:rFonts w:ascii="CAIXA Std Book" w:eastAsia="Times New Roman" w:hAnsi="CAIXA Std Book" w:cs="Calibri"/>
                <w:b/>
                <w:bCs/>
                <w:color w:val="FFFFFF"/>
                <w:sz w:val="16"/>
                <w:szCs w:val="16"/>
              </w:rPr>
            </w:pPr>
          </w:p>
        </w:tc>
        <w:tc>
          <w:tcPr>
            <w:tcW w:w="588" w:type="pct"/>
            <w:tcBorders>
              <w:top w:val="nil"/>
              <w:left w:val="nil"/>
              <w:bottom w:val="nil"/>
              <w:right w:val="nil"/>
            </w:tcBorders>
            <w:shd w:val="clear" w:color="000000" w:fill="005CA9"/>
            <w:vAlign w:val="center"/>
            <w:hideMark/>
          </w:tcPr>
          <w:p w14:paraId="0A4F0BEF"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 xml:space="preserve"> R$ mil</w:t>
            </w:r>
          </w:p>
        </w:tc>
        <w:tc>
          <w:tcPr>
            <w:tcW w:w="588" w:type="pct"/>
            <w:tcBorders>
              <w:top w:val="nil"/>
              <w:left w:val="nil"/>
              <w:bottom w:val="nil"/>
              <w:right w:val="nil"/>
            </w:tcBorders>
            <w:shd w:val="clear" w:color="000000" w:fill="005CA9"/>
            <w:vAlign w:val="center"/>
            <w:hideMark/>
          </w:tcPr>
          <w:p w14:paraId="158988B3"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R$ mil</w:t>
            </w:r>
          </w:p>
        </w:tc>
        <w:tc>
          <w:tcPr>
            <w:tcW w:w="631" w:type="pct"/>
            <w:tcBorders>
              <w:top w:val="nil"/>
              <w:left w:val="nil"/>
              <w:bottom w:val="nil"/>
              <w:right w:val="nil"/>
            </w:tcBorders>
            <w:shd w:val="clear" w:color="000000" w:fill="005CA9"/>
            <w:vAlign w:val="center"/>
            <w:hideMark/>
          </w:tcPr>
          <w:p w14:paraId="584DE955"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R$ mil</w:t>
            </w:r>
          </w:p>
        </w:tc>
        <w:tc>
          <w:tcPr>
            <w:tcW w:w="568" w:type="pct"/>
            <w:tcBorders>
              <w:top w:val="nil"/>
              <w:left w:val="nil"/>
              <w:bottom w:val="nil"/>
              <w:right w:val="nil"/>
            </w:tcBorders>
            <w:shd w:val="clear" w:color="000000" w:fill="005CA9"/>
            <w:vAlign w:val="center"/>
            <w:hideMark/>
          </w:tcPr>
          <w:p w14:paraId="3FFD4575"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R$ mil</w:t>
            </w:r>
          </w:p>
        </w:tc>
        <w:tc>
          <w:tcPr>
            <w:tcW w:w="568" w:type="pct"/>
            <w:tcBorders>
              <w:top w:val="nil"/>
              <w:left w:val="nil"/>
              <w:bottom w:val="nil"/>
              <w:right w:val="nil"/>
            </w:tcBorders>
            <w:shd w:val="clear" w:color="000000" w:fill="005CA9"/>
            <w:vAlign w:val="center"/>
            <w:hideMark/>
          </w:tcPr>
          <w:p w14:paraId="725E82B3"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R$ mil</w:t>
            </w:r>
          </w:p>
        </w:tc>
        <w:tc>
          <w:tcPr>
            <w:tcW w:w="602" w:type="pct"/>
            <w:tcBorders>
              <w:top w:val="nil"/>
              <w:left w:val="nil"/>
              <w:bottom w:val="nil"/>
              <w:right w:val="nil"/>
            </w:tcBorders>
            <w:shd w:val="clear" w:color="000000" w:fill="005CA9"/>
            <w:vAlign w:val="center"/>
            <w:hideMark/>
          </w:tcPr>
          <w:p w14:paraId="2EC90E21" w14:textId="77777777" w:rsidR="00FF68C9" w:rsidRPr="00FF68C9" w:rsidRDefault="00FF68C9" w:rsidP="00FF68C9">
            <w:pPr>
              <w:jc w:val="cente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 xml:space="preserve"> R$ mil</w:t>
            </w:r>
          </w:p>
        </w:tc>
      </w:tr>
      <w:tr w:rsidR="00FF68C9" w:rsidRPr="00FF68C9" w14:paraId="7D140B6D" w14:textId="77777777" w:rsidTr="00962C91">
        <w:trPr>
          <w:trHeight w:val="288"/>
        </w:trPr>
        <w:tc>
          <w:tcPr>
            <w:tcW w:w="776" w:type="pct"/>
            <w:tcBorders>
              <w:top w:val="nil"/>
              <w:left w:val="nil"/>
              <w:bottom w:val="nil"/>
              <w:right w:val="nil"/>
            </w:tcBorders>
            <w:vAlign w:val="center"/>
            <w:hideMark/>
          </w:tcPr>
          <w:p w14:paraId="31C955C2" w14:textId="77777777" w:rsidR="00FF68C9" w:rsidRPr="00FF68C9" w:rsidRDefault="00FF68C9" w:rsidP="00FF68C9">
            <w:pPr>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CDI</w:t>
            </w:r>
          </w:p>
        </w:tc>
        <w:tc>
          <w:tcPr>
            <w:tcW w:w="680" w:type="pct"/>
            <w:tcBorders>
              <w:top w:val="nil"/>
              <w:left w:val="nil"/>
              <w:bottom w:val="nil"/>
              <w:right w:val="nil"/>
            </w:tcBorders>
            <w:vAlign w:val="center"/>
            <w:hideMark/>
          </w:tcPr>
          <w:p w14:paraId="13EBC23B" w14:textId="71EDD07E"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78.686.302</w:t>
            </w:r>
          </w:p>
        </w:tc>
        <w:tc>
          <w:tcPr>
            <w:tcW w:w="588" w:type="pct"/>
            <w:tcBorders>
              <w:top w:val="nil"/>
              <w:left w:val="nil"/>
              <w:bottom w:val="nil"/>
              <w:right w:val="nil"/>
            </w:tcBorders>
            <w:vAlign w:val="center"/>
            <w:hideMark/>
          </w:tcPr>
          <w:p w14:paraId="5687013D" w14:textId="4B646730"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(2.278.445)</w:t>
            </w:r>
          </w:p>
        </w:tc>
        <w:tc>
          <w:tcPr>
            <w:tcW w:w="588" w:type="pct"/>
            <w:tcBorders>
              <w:top w:val="nil"/>
              <w:left w:val="nil"/>
              <w:bottom w:val="nil"/>
              <w:right w:val="nil"/>
            </w:tcBorders>
            <w:vAlign w:val="center"/>
            <w:hideMark/>
          </w:tcPr>
          <w:p w14:paraId="144756A8" w14:textId="65D76830"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(5.517.740)</w:t>
            </w:r>
          </w:p>
        </w:tc>
        <w:tc>
          <w:tcPr>
            <w:tcW w:w="631" w:type="pct"/>
            <w:tcBorders>
              <w:top w:val="nil"/>
              <w:left w:val="nil"/>
              <w:bottom w:val="nil"/>
              <w:right w:val="nil"/>
            </w:tcBorders>
            <w:vAlign w:val="center"/>
            <w:hideMark/>
          </w:tcPr>
          <w:p w14:paraId="0FD4282D" w14:textId="13C4EBC8"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(10.482.241)</w:t>
            </w:r>
          </w:p>
        </w:tc>
        <w:tc>
          <w:tcPr>
            <w:tcW w:w="568" w:type="pct"/>
            <w:tcBorders>
              <w:top w:val="nil"/>
              <w:left w:val="nil"/>
              <w:bottom w:val="nil"/>
              <w:right w:val="nil"/>
            </w:tcBorders>
            <w:vAlign w:val="center"/>
            <w:hideMark/>
          </w:tcPr>
          <w:p w14:paraId="59160237" w14:textId="0C441CDF"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2.379.978</w:t>
            </w:r>
          </w:p>
        </w:tc>
        <w:tc>
          <w:tcPr>
            <w:tcW w:w="568" w:type="pct"/>
            <w:tcBorders>
              <w:top w:val="nil"/>
              <w:left w:val="nil"/>
              <w:bottom w:val="nil"/>
              <w:right w:val="nil"/>
            </w:tcBorders>
            <w:vAlign w:val="center"/>
            <w:hideMark/>
          </w:tcPr>
          <w:p w14:paraId="3C5FD6D7" w14:textId="20D97654"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6.153.406</w:t>
            </w:r>
          </w:p>
        </w:tc>
        <w:tc>
          <w:tcPr>
            <w:tcW w:w="602" w:type="pct"/>
            <w:tcBorders>
              <w:top w:val="nil"/>
              <w:left w:val="nil"/>
              <w:bottom w:val="nil"/>
              <w:right w:val="nil"/>
            </w:tcBorders>
            <w:vAlign w:val="center"/>
            <w:hideMark/>
          </w:tcPr>
          <w:p w14:paraId="43C1CE4C" w14:textId="1519CCB1"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13.040.493</w:t>
            </w:r>
          </w:p>
        </w:tc>
      </w:tr>
      <w:tr w:rsidR="00FF68C9" w:rsidRPr="00FF68C9" w14:paraId="7A7640E7" w14:textId="77777777" w:rsidTr="00962C91">
        <w:trPr>
          <w:trHeight w:val="288"/>
        </w:trPr>
        <w:tc>
          <w:tcPr>
            <w:tcW w:w="776" w:type="pct"/>
            <w:tcBorders>
              <w:top w:val="nil"/>
              <w:left w:val="nil"/>
              <w:bottom w:val="nil"/>
              <w:right w:val="nil"/>
            </w:tcBorders>
            <w:vAlign w:val="center"/>
            <w:hideMark/>
          </w:tcPr>
          <w:p w14:paraId="0507624A" w14:textId="77777777" w:rsidR="00FF68C9" w:rsidRPr="00FF68C9" w:rsidRDefault="00FF68C9" w:rsidP="00FF68C9">
            <w:pPr>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Pré</w:t>
            </w:r>
          </w:p>
        </w:tc>
        <w:tc>
          <w:tcPr>
            <w:tcW w:w="680" w:type="pct"/>
            <w:tcBorders>
              <w:top w:val="nil"/>
              <w:left w:val="nil"/>
              <w:bottom w:val="nil"/>
              <w:right w:val="nil"/>
            </w:tcBorders>
            <w:vAlign w:val="center"/>
            <w:hideMark/>
          </w:tcPr>
          <w:p w14:paraId="075276F2" w14:textId="1A7013F8"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9.776.143</w:t>
            </w:r>
          </w:p>
        </w:tc>
        <w:tc>
          <w:tcPr>
            <w:tcW w:w="588" w:type="pct"/>
            <w:tcBorders>
              <w:top w:val="nil"/>
              <w:left w:val="nil"/>
              <w:bottom w:val="nil"/>
              <w:right w:val="nil"/>
            </w:tcBorders>
            <w:vAlign w:val="center"/>
            <w:hideMark/>
          </w:tcPr>
          <w:p w14:paraId="01A9CF06" w14:textId="58BAD5CD"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(98.102)</w:t>
            </w:r>
          </w:p>
        </w:tc>
        <w:tc>
          <w:tcPr>
            <w:tcW w:w="588" w:type="pct"/>
            <w:tcBorders>
              <w:top w:val="nil"/>
              <w:left w:val="nil"/>
              <w:bottom w:val="nil"/>
              <w:right w:val="nil"/>
            </w:tcBorders>
            <w:vAlign w:val="center"/>
            <w:hideMark/>
          </w:tcPr>
          <w:p w14:paraId="6A77D9FE" w14:textId="12A908F8"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(240.801)</w:t>
            </w:r>
          </w:p>
        </w:tc>
        <w:tc>
          <w:tcPr>
            <w:tcW w:w="631" w:type="pct"/>
            <w:tcBorders>
              <w:top w:val="nil"/>
              <w:left w:val="nil"/>
              <w:bottom w:val="nil"/>
              <w:right w:val="nil"/>
            </w:tcBorders>
            <w:vAlign w:val="center"/>
            <w:hideMark/>
          </w:tcPr>
          <w:p w14:paraId="12F2C3B0" w14:textId="79C9D05B"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(467.142)</w:t>
            </w:r>
          </w:p>
        </w:tc>
        <w:tc>
          <w:tcPr>
            <w:tcW w:w="568" w:type="pct"/>
            <w:tcBorders>
              <w:top w:val="nil"/>
              <w:left w:val="nil"/>
              <w:bottom w:val="nil"/>
              <w:right w:val="nil"/>
            </w:tcBorders>
            <w:vAlign w:val="center"/>
            <w:hideMark/>
          </w:tcPr>
          <w:p w14:paraId="0649F0C9" w14:textId="35A706EA"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100.527</w:t>
            </w:r>
          </w:p>
        </w:tc>
        <w:tc>
          <w:tcPr>
            <w:tcW w:w="568" w:type="pct"/>
            <w:tcBorders>
              <w:top w:val="nil"/>
              <w:left w:val="nil"/>
              <w:bottom w:val="nil"/>
              <w:right w:val="nil"/>
            </w:tcBorders>
            <w:vAlign w:val="center"/>
            <w:hideMark/>
          </w:tcPr>
          <w:p w14:paraId="5DA70B2F" w14:textId="7ED251CE"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255.937</w:t>
            </w:r>
          </w:p>
        </w:tc>
        <w:tc>
          <w:tcPr>
            <w:tcW w:w="602" w:type="pct"/>
            <w:tcBorders>
              <w:top w:val="nil"/>
              <w:left w:val="nil"/>
              <w:bottom w:val="nil"/>
              <w:right w:val="nil"/>
            </w:tcBorders>
            <w:vAlign w:val="center"/>
            <w:hideMark/>
          </w:tcPr>
          <w:p w14:paraId="6C6504CE" w14:textId="46D5B87C"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527.467</w:t>
            </w:r>
          </w:p>
        </w:tc>
      </w:tr>
      <w:tr w:rsidR="00FF68C9" w:rsidRPr="00FF68C9" w14:paraId="4BC6183B" w14:textId="77777777" w:rsidTr="00962C91">
        <w:trPr>
          <w:trHeight w:val="288"/>
        </w:trPr>
        <w:tc>
          <w:tcPr>
            <w:tcW w:w="776" w:type="pct"/>
            <w:tcBorders>
              <w:top w:val="nil"/>
              <w:left w:val="nil"/>
              <w:bottom w:val="nil"/>
              <w:right w:val="nil"/>
            </w:tcBorders>
            <w:vAlign w:val="center"/>
            <w:hideMark/>
          </w:tcPr>
          <w:p w14:paraId="25A4D7AE" w14:textId="77777777" w:rsidR="00FF68C9" w:rsidRPr="00FF68C9" w:rsidRDefault="00FF68C9" w:rsidP="00FF68C9">
            <w:pPr>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Cupom IPCA</w:t>
            </w:r>
          </w:p>
        </w:tc>
        <w:tc>
          <w:tcPr>
            <w:tcW w:w="680" w:type="pct"/>
            <w:tcBorders>
              <w:top w:val="nil"/>
              <w:left w:val="nil"/>
              <w:bottom w:val="nil"/>
              <w:right w:val="nil"/>
            </w:tcBorders>
            <w:vAlign w:val="center"/>
            <w:hideMark/>
          </w:tcPr>
          <w:p w14:paraId="3FF2E821" w14:textId="4CCFF871"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2.103.668</w:t>
            </w:r>
          </w:p>
        </w:tc>
        <w:tc>
          <w:tcPr>
            <w:tcW w:w="588" w:type="pct"/>
            <w:tcBorders>
              <w:top w:val="nil"/>
              <w:left w:val="nil"/>
              <w:bottom w:val="nil"/>
              <w:right w:val="nil"/>
            </w:tcBorders>
            <w:vAlign w:val="center"/>
            <w:hideMark/>
          </w:tcPr>
          <w:p w14:paraId="64C0237C" w14:textId="617ADB45"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(98.329)</w:t>
            </w:r>
          </w:p>
        </w:tc>
        <w:tc>
          <w:tcPr>
            <w:tcW w:w="588" w:type="pct"/>
            <w:tcBorders>
              <w:top w:val="nil"/>
              <w:left w:val="nil"/>
              <w:bottom w:val="nil"/>
              <w:right w:val="nil"/>
            </w:tcBorders>
            <w:vAlign w:val="center"/>
            <w:hideMark/>
          </w:tcPr>
          <w:p w14:paraId="3A1E42A9" w14:textId="413AC633"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(226.306)</w:t>
            </w:r>
          </w:p>
        </w:tc>
        <w:tc>
          <w:tcPr>
            <w:tcW w:w="631" w:type="pct"/>
            <w:tcBorders>
              <w:top w:val="nil"/>
              <w:left w:val="nil"/>
              <w:bottom w:val="nil"/>
              <w:right w:val="nil"/>
            </w:tcBorders>
            <w:vAlign w:val="center"/>
            <w:hideMark/>
          </w:tcPr>
          <w:p w14:paraId="35F0157A" w14:textId="06D26E18"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(400.162)</w:t>
            </w:r>
          </w:p>
        </w:tc>
        <w:tc>
          <w:tcPr>
            <w:tcW w:w="568" w:type="pct"/>
            <w:tcBorders>
              <w:top w:val="nil"/>
              <w:left w:val="nil"/>
              <w:bottom w:val="nil"/>
              <w:right w:val="nil"/>
            </w:tcBorders>
            <w:vAlign w:val="center"/>
            <w:hideMark/>
          </w:tcPr>
          <w:p w14:paraId="5674B91E" w14:textId="23828C2A"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111.152</w:t>
            </w:r>
          </w:p>
        </w:tc>
        <w:tc>
          <w:tcPr>
            <w:tcW w:w="568" w:type="pct"/>
            <w:tcBorders>
              <w:top w:val="nil"/>
              <w:left w:val="nil"/>
              <w:bottom w:val="nil"/>
              <w:right w:val="nil"/>
            </w:tcBorders>
            <w:vAlign w:val="center"/>
            <w:hideMark/>
          </w:tcPr>
          <w:p w14:paraId="56EE9EE5" w14:textId="7EEBF2EC"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307.913</w:t>
            </w:r>
          </w:p>
        </w:tc>
        <w:tc>
          <w:tcPr>
            <w:tcW w:w="602" w:type="pct"/>
            <w:tcBorders>
              <w:top w:val="nil"/>
              <w:left w:val="nil"/>
              <w:bottom w:val="nil"/>
              <w:right w:val="nil"/>
            </w:tcBorders>
            <w:vAlign w:val="center"/>
            <w:hideMark/>
          </w:tcPr>
          <w:p w14:paraId="1B529FB8" w14:textId="121F410E"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748.784</w:t>
            </w:r>
          </w:p>
        </w:tc>
      </w:tr>
      <w:tr w:rsidR="00FF68C9" w:rsidRPr="00FF68C9" w14:paraId="493B8452" w14:textId="77777777" w:rsidTr="00962C91">
        <w:trPr>
          <w:trHeight w:val="288"/>
        </w:trPr>
        <w:tc>
          <w:tcPr>
            <w:tcW w:w="776" w:type="pct"/>
            <w:tcBorders>
              <w:top w:val="nil"/>
              <w:left w:val="nil"/>
              <w:bottom w:val="nil"/>
              <w:right w:val="nil"/>
            </w:tcBorders>
            <w:vAlign w:val="center"/>
            <w:hideMark/>
          </w:tcPr>
          <w:p w14:paraId="099C66BB" w14:textId="77777777" w:rsidR="00FF68C9" w:rsidRPr="00FF68C9" w:rsidRDefault="00FF68C9" w:rsidP="00FF68C9">
            <w:pPr>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Cupom TR</w:t>
            </w:r>
          </w:p>
        </w:tc>
        <w:tc>
          <w:tcPr>
            <w:tcW w:w="680" w:type="pct"/>
            <w:tcBorders>
              <w:top w:val="nil"/>
              <w:left w:val="nil"/>
              <w:bottom w:val="nil"/>
              <w:right w:val="nil"/>
            </w:tcBorders>
            <w:vAlign w:val="center"/>
            <w:hideMark/>
          </w:tcPr>
          <w:p w14:paraId="501DB87F" w14:textId="711D4AC8"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1.546.927</w:t>
            </w:r>
          </w:p>
        </w:tc>
        <w:tc>
          <w:tcPr>
            <w:tcW w:w="588" w:type="pct"/>
            <w:tcBorders>
              <w:top w:val="nil"/>
              <w:left w:val="nil"/>
              <w:bottom w:val="nil"/>
              <w:right w:val="nil"/>
            </w:tcBorders>
            <w:vAlign w:val="center"/>
            <w:hideMark/>
          </w:tcPr>
          <w:p w14:paraId="1F3BD28E" w14:textId="0BCABDB7"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(64.314)</w:t>
            </w:r>
          </w:p>
        </w:tc>
        <w:tc>
          <w:tcPr>
            <w:tcW w:w="588" w:type="pct"/>
            <w:tcBorders>
              <w:top w:val="nil"/>
              <w:left w:val="nil"/>
              <w:bottom w:val="nil"/>
              <w:right w:val="nil"/>
            </w:tcBorders>
            <w:vAlign w:val="center"/>
            <w:hideMark/>
          </w:tcPr>
          <w:p w14:paraId="55095313" w14:textId="7BDCCE0C"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(151.929)</w:t>
            </w:r>
          </w:p>
        </w:tc>
        <w:tc>
          <w:tcPr>
            <w:tcW w:w="631" w:type="pct"/>
            <w:tcBorders>
              <w:top w:val="nil"/>
              <w:left w:val="nil"/>
              <w:bottom w:val="nil"/>
              <w:right w:val="nil"/>
            </w:tcBorders>
            <w:vAlign w:val="center"/>
            <w:hideMark/>
          </w:tcPr>
          <w:p w14:paraId="61C4D04C" w14:textId="60D9A7E1"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(277.802)</w:t>
            </w:r>
          </w:p>
        </w:tc>
        <w:tc>
          <w:tcPr>
            <w:tcW w:w="568" w:type="pct"/>
            <w:tcBorders>
              <w:top w:val="nil"/>
              <w:left w:val="nil"/>
              <w:bottom w:val="nil"/>
              <w:right w:val="nil"/>
            </w:tcBorders>
            <w:vAlign w:val="center"/>
            <w:hideMark/>
          </w:tcPr>
          <w:p w14:paraId="5677EFFD" w14:textId="3CB69DEA"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69.611</w:t>
            </w:r>
          </w:p>
        </w:tc>
        <w:tc>
          <w:tcPr>
            <w:tcW w:w="568" w:type="pct"/>
            <w:tcBorders>
              <w:top w:val="nil"/>
              <w:left w:val="nil"/>
              <w:bottom w:val="nil"/>
              <w:right w:val="nil"/>
            </w:tcBorders>
            <w:vAlign w:val="center"/>
            <w:hideMark/>
          </w:tcPr>
          <w:p w14:paraId="523EAAD4" w14:textId="399E51DE"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185.211</w:t>
            </w:r>
          </w:p>
        </w:tc>
        <w:tc>
          <w:tcPr>
            <w:tcW w:w="602" w:type="pct"/>
            <w:tcBorders>
              <w:top w:val="nil"/>
              <w:left w:val="nil"/>
              <w:bottom w:val="nil"/>
              <w:right w:val="nil"/>
            </w:tcBorders>
            <w:vAlign w:val="center"/>
            <w:hideMark/>
          </w:tcPr>
          <w:p w14:paraId="492C72C3" w14:textId="5D86B916"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413.435</w:t>
            </w:r>
          </w:p>
        </w:tc>
      </w:tr>
      <w:tr w:rsidR="00FF68C9" w:rsidRPr="00FF68C9" w14:paraId="2E5FD580" w14:textId="77777777" w:rsidTr="00962C91">
        <w:trPr>
          <w:trHeight w:val="288"/>
        </w:trPr>
        <w:tc>
          <w:tcPr>
            <w:tcW w:w="776" w:type="pct"/>
            <w:tcBorders>
              <w:top w:val="nil"/>
              <w:left w:val="nil"/>
              <w:bottom w:val="nil"/>
              <w:right w:val="nil"/>
            </w:tcBorders>
            <w:vAlign w:val="center"/>
            <w:hideMark/>
          </w:tcPr>
          <w:p w14:paraId="0B5023B2" w14:textId="77777777" w:rsidR="00FF68C9" w:rsidRPr="00FF68C9" w:rsidRDefault="00FF68C9" w:rsidP="00FF68C9">
            <w:pPr>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Cupom SELIC</w:t>
            </w:r>
          </w:p>
        </w:tc>
        <w:tc>
          <w:tcPr>
            <w:tcW w:w="680" w:type="pct"/>
            <w:tcBorders>
              <w:top w:val="nil"/>
              <w:left w:val="nil"/>
              <w:bottom w:val="nil"/>
              <w:right w:val="nil"/>
            </w:tcBorders>
            <w:vAlign w:val="center"/>
            <w:hideMark/>
          </w:tcPr>
          <w:p w14:paraId="1C761857" w14:textId="4406967B"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337.825.153</w:t>
            </w:r>
          </w:p>
        </w:tc>
        <w:tc>
          <w:tcPr>
            <w:tcW w:w="588" w:type="pct"/>
            <w:tcBorders>
              <w:top w:val="nil"/>
              <w:left w:val="nil"/>
              <w:bottom w:val="nil"/>
              <w:right w:val="nil"/>
            </w:tcBorders>
            <w:vAlign w:val="center"/>
            <w:hideMark/>
          </w:tcPr>
          <w:p w14:paraId="79908FAD" w14:textId="4BC7B656"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(323.026)</w:t>
            </w:r>
          </w:p>
        </w:tc>
        <w:tc>
          <w:tcPr>
            <w:tcW w:w="588" w:type="pct"/>
            <w:tcBorders>
              <w:top w:val="nil"/>
              <w:left w:val="nil"/>
              <w:bottom w:val="nil"/>
              <w:right w:val="nil"/>
            </w:tcBorders>
            <w:vAlign w:val="center"/>
            <w:hideMark/>
          </w:tcPr>
          <w:p w14:paraId="39E4EA64" w14:textId="47AAF049"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(645.592)</w:t>
            </w:r>
          </w:p>
        </w:tc>
        <w:tc>
          <w:tcPr>
            <w:tcW w:w="631" w:type="pct"/>
            <w:tcBorders>
              <w:top w:val="nil"/>
              <w:left w:val="nil"/>
              <w:bottom w:val="nil"/>
              <w:right w:val="nil"/>
            </w:tcBorders>
            <w:vAlign w:val="center"/>
            <w:hideMark/>
          </w:tcPr>
          <w:p w14:paraId="1E00D2A0" w14:textId="03D101B5"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(967.698)</w:t>
            </w:r>
          </w:p>
        </w:tc>
        <w:tc>
          <w:tcPr>
            <w:tcW w:w="568" w:type="pct"/>
            <w:tcBorders>
              <w:top w:val="nil"/>
              <w:left w:val="nil"/>
              <w:bottom w:val="nil"/>
              <w:right w:val="nil"/>
            </w:tcBorders>
            <w:vAlign w:val="center"/>
            <w:hideMark/>
          </w:tcPr>
          <w:p w14:paraId="209D04DE" w14:textId="6B579464"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323.488</w:t>
            </w:r>
          </w:p>
        </w:tc>
        <w:tc>
          <w:tcPr>
            <w:tcW w:w="568" w:type="pct"/>
            <w:tcBorders>
              <w:top w:val="nil"/>
              <w:left w:val="nil"/>
              <w:bottom w:val="nil"/>
              <w:right w:val="nil"/>
            </w:tcBorders>
            <w:vAlign w:val="center"/>
            <w:hideMark/>
          </w:tcPr>
          <w:p w14:paraId="42D069BA" w14:textId="75BE2A1E"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647.438</w:t>
            </w:r>
          </w:p>
        </w:tc>
        <w:tc>
          <w:tcPr>
            <w:tcW w:w="602" w:type="pct"/>
            <w:tcBorders>
              <w:top w:val="nil"/>
              <w:left w:val="nil"/>
              <w:bottom w:val="nil"/>
              <w:right w:val="nil"/>
            </w:tcBorders>
            <w:vAlign w:val="center"/>
            <w:hideMark/>
          </w:tcPr>
          <w:p w14:paraId="5074DD6F" w14:textId="32F09E4D"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971.850</w:t>
            </w:r>
          </w:p>
        </w:tc>
      </w:tr>
      <w:tr w:rsidR="00FF68C9" w:rsidRPr="00FF68C9" w14:paraId="59B313DD" w14:textId="77777777" w:rsidTr="00962C91">
        <w:trPr>
          <w:trHeight w:val="288"/>
        </w:trPr>
        <w:tc>
          <w:tcPr>
            <w:tcW w:w="776" w:type="pct"/>
            <w:tcBorders>
              <w:top w:val="nil"/>
              <w:left w:val="nil"/>
              <w:bottom w:val="nil"/>
              <w:right w:val="nil"/>
            </w:tcBorders>
            <w:vAlign w:val="center"/>
            <w:hideMark/>
          </w:tcPr>
          <w:p w14:paraId="2D8E51BD" w14:textId="77777777" w:rsidR="00FF68C9" w:rsidRPr="00FF68C9" w:rsidRDefault="00FF68C9" w:rsidP="00FF68C9">
            <w:pPr>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Cupom IGPM</w:t>
            </w:r>
          </w:p>
        </w:tc>
        <w:tc>
          <w:tcPr>
            <w:tcW w:w="680" w:type="pct"/>
            <w:tcBorders>
              <w:top w:val="nil"/>
              <w:left w:val="nil"/>
              <w:bottom w:val="nil"/>
              <w:right w:val="nil"/>
            </w:tcBorders>
            <w:vAlign w:val="center"/>
            <w:hideMark/>
          </w:tcPr>
          <w:p w14:paraId="47E28904" w14:textId="131052FE"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10.831</w:t>
            </w:r>
          </w:p>
        </w:tc>
        <w:tc>
          <w:tcPr>
            <w:tcW w:w="588" w:type="pct"/>
            <w:tcBorders>
              <w:top w:val="nil"/>
              <w:left w:val="nil"/>
              <w:bottom w:val="nil"/>
              <w:right w:val="nil"/>
            </w:tcBorders>
            <w:vAlign w:val="center"/>
            <w:hideMark/>
          </w:tcPr>
          <w:p w14:paraId="58AF319F" w14:textId="744CA067"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(363)</w:t>
            </w:r>
          </w:p>
        </w:tc>
        <w:tc>
          <w:tcPr>
            <w:tcW w:w="588" w:type="pct"/>
            <w:tcBorders>
              <w:top w:val="nil"/>
              <w:left w:val="nil"/>
              <w:bottom w:val="nil"/>
              <w:right w:val="nil"/>
            </w:tcBorders>
            <w:vAlign w:val="center"/>
            <w:hideMark/>
          </w:tcPr>
          <w:p w14:paraId="540F926D" w14:textId="3AB29038"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(874)</w:t>
            </w:r>
          </w:p>
        </w:tc>
        <w:tc>
          <w:tcPr>
            <w:tcW w:w="631" w:type="pct"/>
            <w:tcBorders>
              <w:top w:val="nil"/>
              <w:left w:val="nil"/>
              <w:bottom w:val="nil"/>
              <w:right w:val="nil"/>
            </w:tcBorders>
            <w:vAlign w:val="center"/>
            <w:hideMark/>
          </w:tcPr>
          <w:p w14:paraId="74714E7D" w14:textId="6F539779"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(1.650)</w:t>
            </w:r>
          </w:p>
        </w:tc>
        <w:tc>
          <w:tcPr>
            <w:tcW w:w="568" w:type="pct"/>
            <w:tcBorders>
              <w:top w:val="nil"/>
              <w:left w:val="nil"/>
              <w:bottom w:val="nil"/>
              <w:right w:val="nil"/>
            </w:tcBorders>
            <w:vAlign w:val="center"/>
            <w:hideMark/>
          </w:tcPr>
          <w:p w14:paraId="39DD0B05" w14:textId="58942D5E"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381</w:t>
            </w:r>
          </w:p>
        </w:tc>
        <w:tc>
          <w:tcPr>
            <w:tcW w:w="568" w:type="pct"/>
            <w:tcBorders>
              <w:top w:val="nil"/>
              <w:left w:val="nil"/>
              <w:bottom w:val="nil"/>
              <w:right w:val="nil"/>
            </w:tcBorders>
            <w:vAlign w:val="center"/>
            <w:hideMark/>
          </w:tcPr>
          <w:p w14:paraId="6FFC9129" w14:textId="79985179"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989</w:t>
            </w:r>
          </w:p>
        </w:tc>
        <w:tc>
          <w:tcPr>
            <w:tcW w:w="602" w:type="pct"/>
            <w:tcBorders>
              <w:top w:val="nil"/>
              <w:left w:val="nil"/>
              <w:bottom w:val="nil"/>
              <w:right w:val="nil"/>
            </w:tcBorders>
            <w:vAlign w:val="center"/>
            <w:hideMark/>
          </w:tcPr>
          <w:p w14:paraId="4759C3A3" w14:textId="6F882D00" w:rsidR="00FF68C9" w:rsidRPr="00FF68C9" w:rsidRDefault="00FF68C9" w:rsidP="00FF68C9">
            <w:pPr>
              <w:jc w:val="right"/>
              <w:rPr>
                <w:rFonts w:ascii="CAIXA Std Book" w:eastAsia="Times New Roman" w:hAnsi="CAIXA Std Book" w:cs="Calibri"/>
                <w:color w:val="005CA9"/>
                <w:sz w:val="16"/>
                <w:szCs w:val="16"/>
              </w:rPr>
            </w:pPr>
            <w:r w:rsidRPr="00FF68C9">
              <w:rPr>
                <w:rFonts w:ascii="CAIXA Std Book" w:eastAsia="Times New Roman" w:hAnsi="CAIXA Std Book" w:cs="Calibri"/>
                <w:color w:val="005CA9"/>
                <w:sz w:val="16"/>
                <w:szCs w:val="16"/>
              </w:rPr>
              <w:t>2.110</w:t>
            </w:r>
          </w:p>
        </w:tc>
      </w:tr>
      <w:tr w:rsidR="00FF68C9" w:rsidRPr="00FF68C9" w14:paraId="2FA0BB27" w14:textId="77777777" w:rsidTr="00962C91">
        <w:trPr>
          <w:trHeight w:val="300"/>
        </w:trPr>
        <w:tc>
          <w:tcPr>
            <w:tcW w:w="776" w:type="pct"/>
            <w:tcBorders>
              <w:top w:val="nil"/>
              <w:left w:val="nil"/>
              <w:bottom w:val="single" w:sz="8" w:space="0" w:color="FFFFFF"/>
              <w:right w:val="nil"/>
            </w:tcBorders>
            <w:shd w:val="clear" w:color="000000" w:fill="005CA9"/>
            <w:noWrap/>
            <w:vAlign w:val="center"/>
            <w:hideMark/>
          </w:tcPr>
          <w:p w14:paraId="460DE259" w14:textId="77777777" w:rsidR="00FF68C9" w:rsidRPr="00FF68C9" w:rsidRDefault="00FF68C9" w:rsidP="00FF68C9">
            <w:pP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Taxa de exposição</w:t>
            </w:r>
          </w:p>
        </w:tc>
        <w:tc>
          <w:tcPr>
            <w:tcW w:w="680" w:type="pct"/>
            <w:tcBorders>
              <w:top w:val="nil"/>
              <w:left w:val="nil"/>
              <w:bottom w:val="single" w:sz="8" w:space="0" w:color="FFFFFF"/>
              <w:right w:val="nil"/>
            </w:tcBorders>
            <w:shd w:val="clear" w:color="000000" w:fill="005CA9"/>
            <w:noWrap/>
            <w:vAlign w:val="center"/>
            <w:hideMark/>
          </w:tcPr>
          <w:p w14:paraId="1DB13ABD" w14:textId="6849ABD4" w:rsidR="00FF68C9" w:rsidRPr="00FF68C9" w:rsidRDefault="00FF68C9" w:rsidP="00FF68C9">
            <w:pPr>
              <w:jc w:val="right"/>
              <w:rPr>
                <w:rFonts w:ascii="CAIXA Std Book" w:eastAsia="Times New Roman" w:hAnsi="CAIXA Std Book" w:cs="Calibri"/>
                <w:b/>
                <w:bCs/>
                <w:color w:val="FFFFFF"/>
                <w:sz w:val="16"/>
                <w:szCs w:val="16"/>
              </w:rPr>
            </w:pPr>
            <w:r>
              <w:rPr>
                <w:rFonts w:ascii="CAIXA Std Book" w:hAnsi="CAIXA Std Book" w:cs="Calibri"/>
                <w:b/>
                <w:color w:val="FFFFFF"/>
                <w:sz w:val="16"/>
                <w:szCs w:val="16"/>
              </w:rPr>
              <w:t>429.949.</w:t>
            </w:r>
            <w:r w:rsidR="00962C91">
              <w:rPr>
                <w:rFonts w:ascii="CAIXA Std Book" w:hAnsi="CAIXA Std Book" w:cs="Calibri"/>
                <w:b/>
                <w:bCs/>
                <w:color w:val="FFFFFF"/>
                <w:sz w:val="16"/>
                <w:szCs w:val="16"/>
              </w:rPr>
              <w:t>024</w:t>
            </w:r>
          </w:p>
        </w:tc>
        <w:tc>
          <w:tcPr>
            <w:tcW w:w="588" w:type="pct"/>
            <w:tcBorders>
              <w:top w:val="nil"/>
              <w:left w:val="nil"/>
              <w:bottom w:val="single" w:sz="8" w:space="0" w:color="FFFFFF"/>
              <w:right w:val="nil"/>
            </w:tcBorders>
            <w:shd w:val="clear" w:color="000000" w:fill="005CA9"/>
            <w:noWrap/>
            <w:vAlign w:val="center"/>
            <w:hideMark/>
          </w:tcPr>
          <w:p w14:paraId="3327264C" w14:textId="6E6B2741" w:rsidR="00FF68C9" w:rsidRPr="00FF68C9" w:rsidRDefault="00FF68C9" w:rsidP="00FF68C9">
            <w:pPr>
              <w:jc w:val="right"/>
              <w:rPr>
                <w:rFonts w:ascii="CAIXA Std Book" w:eastAsia="Times New Roman" w:hAnsi="CAIXA Std Book" w:cs="Calibri"/>
                <w:b/>
                <w:bCs/>
                <w:color w:val="FFFFFF"/>
                <w:sz w:val="16"/>
                <w:szCs w:val="16"/>
              </w:rPr>
            </w:pPr>
            <w:r>
              <w:rPr>
                <w:rFonts w:ascii="CAIXA Std Book" w:hAnsi="CAIXA Std Book" w:cs="Calibri"/>
                <w:b/>
                <w:color w:val="FFFFFF"/>
                <w:sz w:val="16"/>
                <w:szCs w:val="16"/>
              </w:rPr>
              <w:t>(2.862.</w:t>
            </w:r>
            <w:r w:rsidR="00962C91">
              <w:rPr>
                <w:rFonts w:ascii="CAIXA Std Book" w:hAnsi="CAIXA Std Book" w:cs="Calibri"/>
                <w:b/>
                <w:bCs/>
                <w:color w:val="FFFFFF"/>
                <w:sz w:val="16"/>
                <w:szCs w:val="16"/>
              </w:rPr>
              <w:t>579</w:t>
            </w:r>
            <w:r>
              <w:rPr>
                <w:rFonts w:ascii="CAIXA Std Book" w:hAnsi="CAIXA Std Book" w:cs="Calibri"/>
                <w:b/>
                <w:color w:val="FFFFFF"/>
                <w:sz w:val="16"/>
                <w:szCs w:val="16"/>
              </w:rPr>
              <w:t>)</w:t>
            </w:r>
          </w:p>
        </w:tc>
        <w:tc>
          <w:tcPr>
            <w:tcW w:w="588" w:type="pct"/>
            <w:tcBorders>
              <w:top w:val="nil"/>
              <w:left w:val="nil"/>
              <w:bottom w:val="single" w:sz="8" w:space="0" w:color="FFFFFF"/>
              <w:right w:val="nil"/>
            </w:tcBorders>
            <w:shd w:val="clear" w:color="000000" w:fill="005CA9"/>
            <w:noWrap/>
            <w:vAlign w:val="center"/>
            <w:hideMark/>
          </w:tcPr>
          <w:p w14:paraId="7FF50FF1" w14:textId="20DCFC9D" w:rsidR="00FF68C9" w:rsidRPr="00FF68C9" w:rsidRDefault="00FF68C9" w:rsidP="00FF68C9">
            <w:pPr>
              <w:jc w:val="right"/>
              <w:rPr>
                <w:rFonts w:ascii="CAIXA Std Book" w:eastAsia="Times New Roman" w:hAnsi="CAIXA Std Book" w:cs="Calibri"/>
                <w:b/>
                <w:bCs/>
                <w:color w:val="FFFFFF"/>
                <w:sz w:val="16"/>
                <w:szCs w:val="16"/>
              </w:rPr>
            </w:pPr>
            <w:r>
              <w:rPr>
                <w:rFonts w:ascii="CAIXA Std Book" w:hAnsi="CAIXA Std Book" w:cs="Calibri"/>
                <w:b/>
                <w:color w:val="FFFFFF"/>
                <w:sz w:val="16"/>
                <w:szCs w:val="16"/>
              </w:rPr>
              <w:t>(6.783.</w:t>
            </w:r>
            <w:r w:rsidR="00962C91">
              <w:rPr>
                <w:rFonts w:ascii="CAIXA Std Book" w:hAnsi="CAIXA Std Book" w:cs="Calibri"/>
                <w:b/>
                <w:bCs/>
                <w:color w:val="FFFFFF"/>
                <w:sz w:val="16"/>
                <w:szCs w:val="16"/>
              </w:rPr>
              <w:t>242</w:t>
            </w:r>
            <w:r>
              <w:rPr>
                <w:rFonts w:ascii="CAIXA Std Book" w:hAnsi="CAIXA Std Book" w:cs="Calibri"/>
                <w:b/>
                <w:color w:val="FFFFFF"/>
                <w:sz w:val="16"/>
                <w:szCs w:val="16"/>
              </w:rPr>
              <w:t>)</w:t>
            </w:r>
          </w:p>
        </w:tc>
        <w:tc>
          <w:tcPr>
            <w:tcW w:w="631" w:type="pct"/>
            <w:tcBorders>
              <w:top w:val="nil"/>
              <w:left w:val="nil"/>
              <w:bottom w:val="single" w:sz="8" w:space="0" w:color="FFFFFF"/>
              <w:right w:val="nil"/>
            </w:tcBorders>
            <w:shd w:val="clear" w:color="000000" w:fill="005CA9"/>
            <w:noWrap/>
            <w:vAlign w:val="center"/>
            <w:hideMark/>
          </w:tcPr>
          <w:p w14:paraId="777184B0" w14:textId="6C9DB59D" w:rsidR="00FF68C9" w:rsidRPr="00FF68C9" w:rsidRDefault="00FF68C9" w:rsidP="00FF68C9">
            <w:pPr>
              <w:jc w:val="right"/>
              <w:rPr>
                <w:rFonts w:ascii="CAIXA Std Book" w:eastAsia="Times New Roman" w:hAnsi="CAIXA Std Book" w:cs="Calibri"/>
                <w:b/>
                <w:bCs/>
                <w:color w:val="FFFFFF"/>
                <w:sz w:val="16"/>
                <w:szCs w:val="16"/>
              </w:rPr>
            </w:pPr>
            <w:r>
              <w:rPr>
                <w:rFonts w:ascii="CAIXA Std Book" w:hAnsi="CAIXA Std Book" w:cs="Calibri"/>
                <w:b/>
                <w:color w:val="FFFFFF"/>
                <w:sz w:val="16"/>
                <w:szCs w:val="16"/>
              </w:rPr>
              <w:t>(12.596.</w:t>
            </w:r>
            <w:r w:rsidR="00962C91">
              <w:rPr>
                <w:rFonts w:ascii="CAIXA Std Book" w:hAnsi="CAIXA Std Book" w:cs="Calibri"/>
                <w:b/>
                <w:bCs/>
                <w:color w:val="FFFFFF"/>
                <w:sz w:val="16"/>
                <w:szCs w:val="16"/>
              </w:rPr>
              <w:t>695</w:t>
            </w:r>
            <w:r>
              <w:rPr>
                <w:rFonts w:ascii="CAIXA Std Book" w:hAnsi="CAIXA Std Book" w:cs="Calibri"/>
                <w:b/>
                <w:color w:val="FFFFFF"/>
                <w:sz w:val="16"/>
                <w:szCs w:val="16"/>
              </w:rPr>
              <w:t>)</w:t>
            </w:r>
          </w:p>
        </w:tc>
        <w:tc>
          <w:tcPr>
            <w:tcW w:w="568" w:type="pct"/>
            <w:tcBorders>
              <w:top w:val="nil"/>
              <w:left w:val="nil"/>
              <w:bottom w:val="single" w:sz="8" w:space="0" w:color="FFFFFF"/>
              <w:right w:val="nil"/>
            </w:tcBorders>
            <w:shd w:val="clear" w:color="000000" w:fill="005CA9"/>
            <w:noWrap/>
            <w:vAlign w:val="center"/>
            <w:hideMark/>
          </w:tcPr>
          <w:p w14:paraId="58FC42C1" w14:textId="389963F7" w:rsidR="00FF68C9" w:rsidRPr="00FF68C9" w:rsidRDefault="00FF68C9" w:rsidP="00FF68C9">
            <w:pPr>
              <w:jc w:val="right"/>
              <w:rPr>
                <w:rFonts w:ascii="CAIXA Std Book" w:eastAsia="Times New Roman" w:hAnsi="CAIXA Std Book" w:cs="Calibri"/>
                <w:b/>
                <w:bCs/>
                <w:color w:val="FFFFFF"/>
                <w:sz w:val="16"/>
                <w:szCs w:val="16"/>
              </w:rPr>
            </w:pPr>
            <w:r>
              <w:rPr>
                <w:rFonts w:ascii="CAIXA Std Book" w:hAnsi="CAIXA Std Book" w:cs="Calibri"/>
                <w:b/>
                <w:color w:val="FFFFFF"/>
                <w:sz w:val="16"/>
                <w:szCs w:val="16"/>
              </w:rPr>
              <w:t>2.985.</w:t>
            </w:r>
            <w:r w:rsidR="00962C91">
              <w:rPr>
                <w:rFonts w:ascii="CAIXA Std Book" w:hAnsi="CAIXA Std Book" w:cs="Calibri"/>
                <w:b/>
                <w:bCs/>
                <w:color w:val="FFFFFF"/>
                <w:sz w:val="16"/>
                <w:szCs w:val="16"/>
              </w:rPr>
              <w:t>137</w:t>
            </w:r>
          </w:p>
        </w:tc>
        <w:tc>
          <w:tcPr>
            <w:tcW w:w="568" w:type="pct"/>
            <w:tcBorders>
              <w:top w:val="nil"/>
              <w:left w:val="nil"/>
              <w:bottom w:val="single" w:sz="8" w:space="0" w:color="FFFFFF"/>
              <w:right w:val="nil"/>
            </w:tcBorders>
            <w:shd w:val="clear" w:color="000000" w:fill="005CA9"/>
            <w:noWrap/>
            <w:vAlign w:val="center"/>
            <w:hideMark/>
          </w:tcPr>
          <w:p w14:paraId="6099D8D4" w14:textId="6CD06B03" w:rsidR="00FF68C9" w:rsidRPr="00FF68C9" w:rsidRDefault="00FF68C9" w:rsidP="00FF68C9">
            <w:pPr>
              <w:jc w:val="right"/>
              <w:rPr>
                <w:rFonts w:ascii="CAIXA Std Book" w:eastAsia="Times New Roman" w:hAnsi="CAIXA Std Book" w:cs="Calibri"/>
                <w:b/>
                <w:bCs/>
                <w:color w:val="FFFFFF"/>
                <w:sz w:val="16"/>
                <w:szCs w:val="16"/>
              </w:rPr>
            </w:pPr>
            <w:r>
              <w:rPr>
                <w:rFonts w:ascii="CAIXA Std Book" w:hAnsi="CAIXA Std Book" w:cs="Calibri"/>
                <w:b/>
                <w:color w:val="FFFFFF"/>
                <w:sz w:val="16"/>
                <w:szCs w:val="16"/>
              </w:rPr>
              <w:t>7.550.</w:t>
            </w:r>
            <w:r w:rsidR="00962C91">
              <w:rPr>
                <w:rFonts w:ascii="CAIXA Std Book" w:hAnsi="CAIXA Std Book" w:cs="Calibri"/>
                <w:b/>
                <w:bCs/>
                <w:color w:val="FFFFFF"/>
                <w:sz w:val="16"/>
                <w:szCs w:val="16"/>
              </w:rPr>
              <w:t>894</w:t>
            </w:r>
          </w:p>
        </w:tc>
        <w:tc>
          <w:tcPr>
            <w:tcW w:w="602" w:type="pct"/>
            <w:tcBorders>
              <w:top w:val="nil"/>
              <w:left w:val="nil"/>
              <w:bottom w:val="single" w:sz="8" w:space="0" w:color="FFFFFF"/>
              <w:right w:val="nil"/>
            </w:tcBorders>
            <w:shd w:val="clear" w:color="000000" w:fill="005CA9"/>
            <w:noWrap/>
            <w:vAlign w:val="center"/>
            <w:hideMark/>
          </w:tcPr>
          <w:p w14:paraId="09201A61" w14:textId="10DB2291" w:rsidR="00FF68C9" w:rsidRPr="00FF68C9" w:rsidRDefault="00FF68C9" w:rsidP="00FF68C9">
            <w:pPr>
              <w:jc w:val="right"/>
              <w:rPr>
                <w:rFonts w:ascii="CAIXA Std Book" w:eastAsia="Times New Roman" w:hAnsi="CAIXA Std Book" w:cs="Calibri"/>
                <w:b/>
                <w:bCs/>
                <w:color w:val="FFFFFF"/>
                <w:sz w:val="16"/>
                <w:szCs w:val="16"/>
              </w:rPr>
            </w:pPr>
            <w:r>
              <w:rPr>
                <w:rFonts w:ascii="CAIXA Std Book" w:hAnsi="CAIXA Std Book" w:cs="Calibri"/>
                <w:b/>
                <w:color w:val="FFFFFF"/>
                <w:sz w:val="16"/>
                <w:szCs w:val="16"/>
              </w:rPr>
              <w:t>15.704.</w:t>
            </w:r>
            <w:r w:rsidR="00962C91">
              <w:rPr>
                <w:rFonts w:ascii="CAIXA Std Book" w:hAnsi="CAIXA Std Book" w:cs="Calibri"/>
                <w:b/>
                <w:bCs/>
                <w:color w:val="FFFFFF"/>
                <w:sz w:val="16"/>
                <w:szCs w:val="16"/>
              </w:rPr>
              <w:t>139</w:t>
            </w:r>
          </w:p>
        </w:tc>
      </w:tr>
      <w:tr w:rsidR="00FF68C9" w:rsidRPr="00FF68C9" w14:paraId="61F3E2F3" w14:textId="77777777" w:rsidTr="00962C91">
        <w:trPr>
          <w:trHeight w:val="288"/>
        </w:trPr>
        <w:tc>
          <w:tcPr>
            <w:tcW w:w="776" w:type="pct"/>
            <w:tcBorders>
              <w:top w:val="nil"/>
              <w:left w:val="nil"/>
              <w:bottom w:val="nil"/>
              <w:right w:val="nil"/>
            </w:tcBorders>
            <w:shd w:val="clear" w:color="000000" w:fill="005CA9"/>
            <w:noWrap/>
            <w:vAlign w:val="center"/>
            <w:hideMark/>
          </w:tcPr>
          <w:p w14:paraId="44389EAF" w14:textId="77777777" w:rsidR="00FF68C9" w:rsidRPr="00FF68C9" w:rsidRDefault="00FF68C9" w:rsidP="00FF68C9">
            <w:pPr>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Variação %</w:t>
            </w:r>
          </w:p>
        </w:tc>
        <w:tc>
          <w:tcPr>
            <w:tcW w:w="680" w:type="pct"/>
            <w:tcBorders>
              <w:top w:val="nil"/>
              <w:left w:val="nil"/>
              <w:bottom w:val="nil"/>
              <w:right w:val="nil"/>
            </w:tcBorders>
            <w:shd w:val="clear" w:color="000000" w:fill="005CA9"/>
            <w:noWrap/>
            <w:vAlign w:val="center"/>
            <w:hideMark/>
          </w:tcPr>
          <w:p w14:paraId="4B2C7F68" w14:textId="77777777" w:rsidR="00FF68C9" w:rsidRPr="00FF68C9" w:rsidRDefault="00FF68C9" w:rsidP="00FF68C9">
            <w:pPr>
              <w:rPr>
                <w:rFonts w:cs="Calibri"/>
                <w:color w:val="000000"/>
                <w:sz w:val="22"/>
                <w:szCs w:val="22"/>
              </w:rPr>
            </w:pPr>
            <w:r w:rsidRPr="00FF68C9">
              <w:rPr>
                <w:rFonts w:cs="Calibri" w:hint="eastAsia"/>
                <w:color w:val="000000"/>
                <w:sz w:val="22"/>
                <w:szCs w:val="22"/>
              </w:rPr>
              <w:t> </w:t>
            </w:r>
          </w:p>
        </w:tc>
        <w:tc>
          <w:tcPr>
            <w:tcW w:w="588" w:type="pct"/>
            <w:tcBorders>
              <w:top w:val="nil"/>
              <w:left w:val="nil"/>
              <w:bottom w:val="nil"/>
              <w:right w:val="nil"/>
            </w:tcBorders>
            <w:shd w:val="clear" w:color="000000" w:fill="005CA9"/>
            <w:noWrap/>
            <w:vAlign w:val="center"/>
            <w:hideMark/>
          </w:tcPr>
          <w:p w14:paraId="05209ED6" w14:textId="77777777" w:rsidR="00FF68C9" w:rsidRPr="00FF68C9" w:rsidRDefault="00FF68C9" w:rsidP="00FF68C9">
            <w:pPr>
              <w:jc w:val="right"/>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-0,67%</w:t>
            </w:r>
          </w:p>
        </w:tc>
        <w:tc>
          <w:tcPr>
            <w:tcW w:w="588" w:type="pct"/>
            <w:tcBorders>
              <w:top w:val="nil"/>
              <w:left w:val="nil"/>
              <w:bottom w:val="nil"/>
              <w:right w:val="nil"/>
            </w:tcBorders>
            <w:shd w:val="clear" w:color="000000" w:fill="005CA9"/>
            <w:noWrap/>
            <w:vAlign w:val="center"/>
            <w:hideMark/>
          </w:tcPr>
          <w:p w14:paraId="4F7A3A5A" w14:textId="77777777" w:rsidR="00FF68C9" w:rsidRPr="00FF68C9" w:rsidRDefault="00FF68C9" w:rsidP="00FF68C9">
            <w:pPr>
              <w:jc w:val="right"/>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-1,58%</w:t>
            </w:r>
          </w:p>
        </w:tc>
        <w:tc>
          <w:tcPr>
            <w:tcW w:w="631" w:type="pct"/>
            <w:tcBorders>
              <w:top w:val="nil"/>
              <w:left w:val="nil"/>
              <w:bottom w:val="nil"/>
              <w:right w:val="nil"/>
            </w:tcBorders>
            <w:shd w:val="clear" w:color="000000" w:fill="005CA9"/>
            <w:noWrap/>
            <w:vAlign w:val="center"/>
            <w:hideMark/>
          </w:tcPr>
          <w:p w14:paraId="1F1D7AE5" w14:textId="77777777" w:rsidR="00FF68C9" w:rsidRPr="00FF68C9" w:rsidRDefault="00FF68C9" w:rsidP="00FF68C9">
            <w:pPr>
              <w:jc w:val="right"/>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-2,93%</w:t>
            </w:r>
          </w:p>
        </w:tc>
        <w:tc>
          <w:tcPr>
            <w:tcW w:w="568" w:type="pct"/>
            <w:tcBorders>
              <w:top w:val="nil"/>
              <w:left w:val="nil"/>
              <w:bottom w:val="nil"/>
              <w:right w:val="nil"/>
            </w:tcBorders>
            <w:shd w:val="clear" w:color="000000" w:fill="005CA9"/>
            <w:noWrap/>
            <w:vAlign w:val="center"/>
            <w:hideMark/>
          </w:tcPr>
          <w:p w14:paraId="490061C2" w14:textId="77777777" w:rsidR="00FF68C9" w:rsidRPr="00FF68C9" w:rsidRDefault="00FF68C9" w:rsidP="00FF68C9">
            <w:pPr>
              <w:jc w:val="right"/>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0,69%</w:t>
            </w:r>
          </w:p>
        </w:tc>
        <w:tc>
          <w:tcPr>
            <w:tcW w:w="568" w:type="pct"/>
            <w:tcBorders>
              <w:top w:val="nil"/>
              <w:left w:val="nil"/>
              <w:bottom w:val="nil"/>
              <w:right w:val="nil"/>
            </w:tcBorders>
            <w:shd w:val="clear" w:color="000000" w:fill="005CA9"/>
            <w:noWrap/>
            <w:vAlign w:val="center"/>
            <w:hideMark/>
          </w:tcPr>
          <w:p w14:paraId="2EB31CA7" w14:textId="77777777" w:rsidR="00FF68C9" w:rsidRPr="00FF68C9" w:rsidRDefault="00FF68C9" w:rsidP="00FF68C9">
            <w:pPr>
              <w:jc w:val="right"/>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1,76%</w:t>
            </w:r>
          </w:p>
        </w:tc>
        <w:tc>
          <w:tcPr>
            <w:tcW w:w="602" w:type="pct"/>
            <w:tcBorders>
              <w:top w:val="nil"/>
              <w:left w:val="nil"/>
              <w:bottom w:val="nil"/>
              <w:right w:val="nil"/>
            </w:tcBorders>
            <w:shd w:val="clear" w:color="000000" w:fill="005CA9"/>
            <w:noWrap/>
            <w:vAlign w:val="center"/>
            <w:hideMark/>
          </w:tcPr>
          <w:p w14:paraId="285F0FF5" w14:textId="77777777" w:rsidR="00FF68C9" w:rsidRPr="00FF68C9" w:rsidRDefault="00FF68C9" w:rsidP="00FF68C9">
            <w:pPr>
              <w:jc w:val="right"/>
              <w:rPr>
                <w:rFonts w:ascii="CAIXA Std Book" w:eastAsia="Times New Roman" w:hAnsi="CAIXA Std Book" w:cs="Calibri"/>
                <w:b/>
                <w:bCs/>
                <w:color w:val="FFFFFF"/>
                <w:sz w:val="16"/>
                <w:szCs w:val="16"/>
              </w:rPr>
            </w:pPr>
            <w:r w:rsidRPr="00FF68C9">
              <w:rPr>
                <w:rFonts w:ascii="CAIXA Std Book" w:eastAsia="Times New Roman" w:hAnsi="CAIXA Std Book" w:cs="Calibri"/>
                <w:b/>
                <w:bCs/>
                <w:color w:val="FFFFFF"/>
                <w:sz w:val="16"/>
                <w:szCs w:val="16"/>
              </w:rPr>
              <w:t>3,65%</w:t>
            </w:r>
          </w:p>
        </w:tc>
      </w:tr>
    </w:tbl>
    <w:p w14:paraId="1D7C2D60" w14:textId="77777777" w:rsidR="003428FA" w:rsidRDefault="003428FA">
      <w:pPr>
        <w:rPr>
          <w:rFonts w:ascii="CAIXA Std Book" w:hAnsi="CAIXA Std Book"/>
          <w:b/>
          <w:color w:val="005CA9"/>
          <w:sz w:val="20"/>
          <w:szCs w:val="20"/>
        </w:rPr>
      </w:pPr>
      <w:r>
        <w:rPr>
          <w:rFonts w:ascii="CAIXA Std Book" w:hAnsi="CAIXA Std Book"/>
          <w:b/>
          <w:color w:val="005CA9"/>
          <w:sz w:val="20"/>
          <w:szCs w:val="20"/>
        </w:rPr>
        <w:br w:type="page"/>
      </w:r>
    </w:p>
    <w:p w14:paraId="11C031C4" w14:textId="77777777" w:rsidR="00790B3E" w:rsidRDefault="00790B3E">
      <w:pPr>
        <w:rPr>
          <w:rFonts w:ascii="CAIXA Std Book" w:hAnsi="CAIXA Std Book"/>
          <w:b/>
          <w:color w:val="005CA9"/>
          <w:sz w:val="20"/>
          <w:szCs w:val="20"/>
        </w:rPr>
      </w:pPr>
    </w:p>
    <w:tbl>
      <w:tblPr>
        <w:tblW w:w="5000" w:type="pct"/>
        <w:tblCellMar>
          <w:left w:w="70" w:type="dxa"/>
          <w:right w:w="70" w:type="dxa"/>
        </w:tblCellMar>
        <w:tblLook w:val="04A0" w:firstRow="1" w:lastRow="0" w:firstColumn="1" w:lastColumn="0" w:noHBand="0" w:noVBand="1"/>
      </w:tblPr>
      <w:tblGrid>
        <w:gridCol w:w="1496"/>
        <w:gridCol w:w="1566"/>
        <w:gridCol w:w="1132"/>
        <w:gridCol w:w="1132"/>
        <w:gridCol w:w="1232"/>
        <w:gridCol w:w="914"/>
        <w:gridCol w:w="1033"/>
        <w:gridCol w:w="1133"/>
      </w:tblGrid>
      <w:tr w:rsidR="00D2624D" w:rsidRPr="00D2624D" w14:paraId="494DB97D" w14:textId="77777777" w:rsidTr="00A92FC1">
        <w:trPr>
          <w:trHeight w:val="283"/>
        </w:trPr>
        <w:tc>
          <w:tcPr>
            <w:tcW w:w="5000" w:type="pct"/>
            <w:gridSpan w:val="8"/>
            <w:tcBorders>
              <w:top w:val="nil"/>
              <w:left w:val="nil"/>
              <w:bottom w:val="single" w:sz="4" w:space="0" w:color="FFFFFF"/>
              <w:right w:val="nil"/>
            </w:tcBorders>
            <w:shd w:val="clear" w:color="000000" w:fill="005CA9"/>
            <w:vAlign w:val="center"/>
            <w:hideMark/>
          </w:tcPr>
          <w:p w14:paraId="186A83C4" w14:textId="3E90BAFF" w:rsidR="00D2624D" w:rsidRPr="00D2624D" w:rsidRDefault="00BC00DB" w:rsidP="00BC00DB">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Times New Roman"/>
                <w:b/>
                <w:bCs/>
                <w:color w:val="FFFFFF"/>
                <w:sz w:val="16"/>
                <w:szCs w:val="16"/>
              </w:rPr>
              <w:t>31/12/2025</w:t>
            </w:r>
          </w:p>
        </w:tc>
      </w:tr>
      <w:tr w:rsidR="00D2624D" w:rsidRPr="00D2624D" w14:paraId="716AF859" w14:textId="77777777" w:rsidTr="00BC00DB">
        <w:trPr>
          <w:trHeight w:val="283"/>
        </w:trPr>
        <w:tc>
          <w:tcPr>
            <w:tcW w:w="776" w:type="pct"/>
            <w:vMerge w:val="restart"/>
            <w:tcBorders>
              <w:top w:val="nil"/>
              <w:left w:val="nil"/>
              <w:bottom w:val="nil"/>
              <w:right w:val="nil"/>
            </w:tcBorders>
            <w:shd w:val="clear" w:color="000000" w:fill="005CA9"/>
            <w:vAlign w:val="center"/>
            <w:hideMark/>
          </w:tcPr>
          <w:p w14:paraId="45D1CE98" w14:textId="77777777" w:rsidR="00D2624D" w:rsidRPr="00D2624D" w:rsidRDefault="00D2624D" w:rsidP="00D2624D">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Fator de risco</w:t>
            </w:r>
          </w:p>
        </w:tc>
        <w:tc>
          <w:tcPr>
            <w:tcW w:w="813" w:type="pct"/>
            <w:vMerge w:val="restart"/>
            <w:tcBorders>
              <w:top w:val="nil"/>
              <w:left w:val="nil"/>
              <w:bottom w:val="nil"/>
              <w:right w:val="nil"/>
            </w:tcBorders>
            <w:shd w:val="clear" w:color="000000" w:fill="005CA9"/>
            <w:vAlign w:val="center"/>
            <w:hideMark/>
          </w:tcPr>
          <w:p w14:paraId="1CEF836C" w14:textId="77777777" w:rsidR="00D2624D" w:rsidRPr="00D2624D" w:rsidRDefault="00D2624D" w:rsidP="00D2624D">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Cenário I - MtM R$ mil</w:t>
            </w:r>
          </w:p>
        </w:tc>
        <w:tc>
          <w:tcPr>
            <w:tcW w:w="1813" w:type="pct"/>
            <w:gridSpan w:val="3"/>
            <w:tcBorders>
              <w:top w:val="single" w:sz="4" w:space="0" w:color="FFFFFF"/>
              <w:left w:val="nil"/>
              <w:bottom w:val="single" w:sz="4" w:space="0" w:color="FFFFFF"/>
              <w:right w:val="nil"/>
            </w:tcBorders>
            <w:shd w:val="clear" w:color="000000" w:fill="005CA9"/>
            <w:vAlign w:val="center"/>
            <w:hideMark/>
          </w:tcPr>
          <w:p w14:paraId="2B9196C9" w14:textId="77777777" w:rsidR="00D2624D" w:rsidRPr="00D2624D" w:rsidRDefault="00D2624D" w:rsidP="00D2624D">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Choque de alta nas taxas de juros</w:t>
            </w:r>
          </w:p>
        </w:tc>
        <w:tc>
          <w:tcPr>
            <w:tcW w:w="1597" w:type="pct"/>
            <w:gridSpan w:val="3"/>
            <w:tcBorders>
              <w:top w:val="single" w:sz="4" w:space="0" w:color="FFFFFF"/>
              <w:left w:val="nil"/>
              <w:bottom w:val="single" w:sz="4" w:space="0" w:color="FFFFFF"/>
              <w:right w:val="nil"/>
            </w:tcBorders>
            <w:shd w:val="clear" w:color="000000" w:fill="005CA9"/>
            <w:vAlign w:val="center"/>
            <w:hideMark/>
          </w:tcPr>
          <w:p w14:paraId="0B525A9D" w14:textId="77777777" w:rsidR="00D2624D" w:rsidRPr="00D2624D" w:rsidRDefault="00D2624D" w:rsidP="00D2624D">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Choque de baixa nas taxas de juros</w:t>
            </w:r>
          </w:p>
        </w:tc>
      </w:tr>
      <w:tr w:rsidR="00D2624D" w:rsidRPr="00D2624D" w14:paraId="644ACBC1" w14:textId="77777777" w:rsidTr="00BC00DB">
        <w:trPr>
          <w:trHeight w:val="283"/>
        </w:trPr>
        <w:tc>
          <w:tcPr>
            <w:tcW w:w="776" w:type="pct"/>
            <w:vMerge/>
            <w:tcBorders>
              <w:top w:val="nil"/>
              <w:left w:val="nil"/>
              <w:bottom w:val="nil"/>
              <w:right w:val="nil"/>
            </w:tcBorders>
            <w:vAlign w:val="center"/>
            <w:hideMark/>
          </w:tcPr>
          <w:p w14:paraId="2FC65AD4" w14:textId="77777777" w:rsidR="00D2624D" w:rsidRPr="00D2624D" w:rsidRDefault="00D2624D" w:rsidP="00D2624D">
            <w:pPr>
              <w:rPr>
                <w:rFonts w:ascii="CAIXA Std Book" w:eastAsia="Times New Roman" w:hAnsi="CAIXA Std Book" w:cs="Times New Roman"/>
                <w:b/>
                <w:bCs/>
                <w:color w:val="FFFFFF"/>
                <w:sz w:val="16"/>
                <w:szCs w:val="16"/>
              </w:rPr>
            </w:pPr>
          </w:p>
        </w:tc>
        <w:tc>
          <w:tcPr>
            <w:tcW w:w="813" w:type="pct"/>
            <w:vMerge/>
            <w:tcBorders>
              <w:top w:val="nil"/>
              <w:left w:val="nil"/>
              <w:bottom w:val="nil"/>
              <w:right w:val="nil"/>
            </w:tcBorders>
            <w:vAlign w:val="center"/>
            <w:hideMark/>
          </w:tcPr>
          <w:p w14:paraId="67975174" w14:textId="77777777" w:rsidR="00D2624D" w:rsidRPr="00D2624D" w:rsidRDefault="00D2624D" w:rsidP="00D2624D">
            <w:pPr>
              <w:rPr>
                <w:rFonts w:ascii="CAIXA Std Book" w:eastAsia="Times New Roman" w:hAnsi="CAIXA Std Book" w:cs="Times New Roman"/>
                <w:b/>
                <w:bCs/>
                <w:color w:val="FFFFFF"/>
                <w:sz w:val="16"/>
                <w:szCs w:val="16"/>
              </w:rPr>
            </w:pPr>
          </w:p>
        </w:tc>
        <w:tc>
          <w:tcPr>
            <w:tcW w:w="587" w:type="pct"/>
            <w:tcBorders>
              <w:top w:val="nil"/>
              <w:left w:val="nil"/>
              <w:bottom w:val="single" w:sz="4" w:space="0" w:color="FFFFFF"/>
              <w:right w:val="nil"/>
            </w:tcBorders>
            <w:shd w:val="clear" w:color="000000" w:fill="005CA9"/>
            <w:noWrap/>
            <w:vAlign w:val="center"/>
            <w:hideMark/>
          </w:tcPr>
          <w:p w14:paraId="331CB232" w14:textId="77777777" w:rsidR="00D2624D" w:rsidRPr="00D2624D" w:rsidRDefault="00D2624D" w:rsidP="00D2624D">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Cenário II</w:t>
            </w:r>
          </w:p>
        </w:tc>
        <w:tc>
          <w:tcPr>
            <w:tcW w:w="587" w:type="pct"/>
            <w:tcBorders>
              <w:top w:val="nil"/>
              <w:left w:val="nil"/>
              <w:bottom w:val="single" w:sz="4" w:space="0" w:color="FFFFFF"/>
              <w:right w:val="nil"/>
            </w:tcBorders>
            <w:shd w:val="clear" w:color="000000" w:fill="005CA9"/>
            <w:noWrap/>
            <w:vAlign w:val="center"/>
            <w:hideMark/>
          </w:tcPr>
          <w:p w14:paraId="6EED06F2" w14:textId="77777777" w:rsidR="00D2624D" w:rsidRPr="00D2624D" w:rsidRDefault="00D2624D" w:rsidP="00D2624D">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Cenário III</w:t>
            </w:r>
          </w:p>
        </w:tc>
        <w:tc>
          <w:tcPr>
            <w:tcW w:w="639" w:type="pct"/>
            <w:tcBorders>
              <w:top w:val="nil"/>
              <w:left w:val="nil"/>
              <w:bottom w:val="single" w:sz="4" w:space="0" w:color="FFFFFF"/>
              <w:right w:val="nil"/>
            </w:tcBorders>
            <w:shd w:val="clear" w:color="000000" w:fill="005CA9"/>
            <w:noWrap/>
            <w:vAlign w:val="center"/>
            <w:hideMark/>
          </w:tcPr>
          <w:p w14:paraId="16306981" w14:textId="77777777" w:rsidR="00D2624D" w:rsidRPr="00D2624D" w:rsidRDefault="00D2624D" w:rsidP="00D2624D">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Cenário IV</w:t>
            </w:r>
          </w:p>
        </w:tc>
        <w:tc>
          <w:tcPr>
            <w:tcW w:w="474" w:type="pct"/>
            <w:tcBorders>
              <w:top w:val="nil"/>
              <w:left w:val="nil"/>
              <w:bottom w:val="single" w:sz="4" w:space="0" w:color="FFFFFF"/>
              <w:right w:val="nil"/>
            </w:tcBorders>
            <w:shd w:val="clear" w:color="000000" w:fill="005CA9"/>
            <w:noWrap/>
            <w:vAlign w:val="center"/>
            <w:hideMark/>
          </w:tcPr>
          <w:p w14:paraId="5A4C2971" w14:textId="77777777" w:rsidR="00D2624D" w:rsidRPr="00D2624D" w:rsidRDefault="00D2624D" w:rsidP="00D2624D">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Cenário V</w:t>
            </w:r>
          </w:p>
        </w:tc>
        <w:tc>
          <w:tcPr>
            <w:tcW w:w="536" w:type="pct"/>
            <w:tcBorders>
              <w:top w:val="nil"/>
              <w:left w:val="nil"/>
              <w:bottom w:val="single" w:sz="4" w:space="0" w:color="FFFFFF"/>
              <w:right w:val="nil"/>
            </w:tcBorders>
            <w:shd w:val="clear" w:color="000000" w:fill="005CA9"/>
            <w:noWrap/>
            <w:vAlign w:val="center"/>
            <w:hideMark/>
          </w:tcPr>
          <w:p w14:paraId="36DEBB01" w14:textId="77777777" w:rsidR="00D2624D" w:rsidRPr="00D2624D" w:rsidRDefault="00D2624D" w:rsidP="00D2624D">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Cenário VI</w:t>
            </w:r>
          </w:p>
        </w:tc>
        <w:tc>
          <w:tcPr>
            <w:tcW w:w="587" w:type="pct"/>
            <w:tcBorders>
              <w:top w:val="nil"/>
              <w:left w:val="nil"/>
              <w:bottom w:val="single" w:sz="4" w:space="0" w:color="FFFFFF"/>
              <w:right w:val="nil"/>
            </w:tcBorders>
            <w:shd w:val="clear" w:color="000000" w:fill="005CA9"/>
            <w:noWrap/>
            <w:vAlign w:val="center"/>
            <w:hideMark/>
          </w:tcPr>
          <w:p w14:paraId="19B8DEDF" w14:textId="77777777" w:rsidR="00D2624D" w:rsidRPr="00D2624D" w:rsidRDefault="00D2624D" w:rsidP="00D2624D">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Cenário VII</w:t>
            </w:r>
          </w:p>
        </w:tc>
      </w:tr>
      <w:tr w:rsidR="00D2624D" w:rsidRPr="00D2624D" w14:paraId="45B1F7D3" w14:textId="77777777" w:rsidTr="00BC00DB">
        <w:trPr>
          <w:trHeight w:val="283"/>
        </w:trPr>
        <w:tc>
          <w:tcPr>
            <w:tcW w:w="776" w:type="pct"/>
            <w:vMerge/>
            <w:tcBorders>
              <w:top w:val="nil"/>
              <w:left w:val="nil"/>
              <w:bottom w:val="nil"/>
              <w:right w:val="nil"/>
            </w:tcBorders>
            <w:vAlign w:val="center"/>
            <w:hideMark/>
          </w:tcPr>
          <w:p w14:paraId="2477948A" w14:textId="77777777" w:rsidR="00D2624D" w:rsidRPr="00D2624D" w:rsidRDefault="00D2624D" w:rsidP="00D2624D">
            <w:pPr>
              <w:rPr>
                <w:rFonts w:ascii="CAIXA Std Book" w:eastAsia="Times New Roman" w:hAnsi="CAIXA Std Book" w:cs="Times New Roman"/>
                <w:b/>
                <w:bCs/>
                <w:color w:val="FFFFFF"/>
                <w:sz w:val="16"/>
                <w:szCs w:val="16"/>
              </w:rPr>
            </w:pPr>
          </w:p>
        </w:tc>
        <w:tc>
          <w:tcPr>
            <w:tcW w:w="813" w:type="pct"/>
            <w:vMerge/>
            <w:tcBorders>
              <w:top w:val="nil"/>
              <w:left w:val="nil"/>
              <w:bottom w:val="nil"/>
              <w:right w:val="nil"/>
            </w:tcBorders>
            <w:vAlign w:val="center"/>
            <w:hideMark/>
          </w:tcPr>
          <w:p w14:paraId="1A8A3B6A" w14:textId="77777777" w:rsidR="00D2624D" w:rsidRPr="00D2624D" w:rsidRDefault="00D2624D" w:rsidP="00D2624D">
            <w:pPr>
              <w:rPr>
                <w:rFonts w:ascii="CAIXA Std Book" w:eastAsia="Times New Roman" w:hAnsi="CAIXA Std Book" w:cs="Times New Roman"/>
                <w:b/>
                <w:bCs/>
                <w:color w:val="FFFFFF"/>
                <w:sz w:val="16"/>
                <w:szCs w:val="16"/>
              </w:rPr>
            </w:pPr>
          </w:p>
        </w:tc>
        <w:tc>
          <w:tcPr>
            <w:tcW w:w="587" w:type="pct"/>
            <w:tcBorders>
              <w:top w:val="nil"/>
              <w:left w:val="nil"/>
              <w:bottom w:val="nil"/>
              <w:right w:val="nil"/>
            </w:tcBorders>
            <w:shd w:val="clear" w:color="000000" w:fill="005CA9"/>
            <w:vAlign w:val="center"/>
            <w:hideMark/>
          </w:tcPr>
          <w:p w14:paraId="44161DB6" w14:textId="77777777" w:rsidR="00D2624D" w:rsidRPr="00D2624D" w:rsidRDefault="00D2624D" w:rsidP="00D2624D">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Var. MtM</w:t>
            </w:r>
          </w:p>
        </w:tc>
        <w:tc>
          <w:tcPr>
            <w:tcW w:w="587" w:type="pct"/>
            <w:tcBorders>
              <w:top w:val="nil"/>
              <w:left w:val="nil"/>
              <w:bottom w:val="nil"/>
              <w:right w:val="nil"/>
            </w:tcBorders>
            <w:shd w:val="clear" w:color="000000" w:fill="005CA9"/>
            <w:vAlign w:val="center"/>
            <w:hideMark/>
          </w:tcPr>
          <w:p w14:paraId="1F7E9E8B" w14:textId="77777777" w:rsidR="00D2624D" w:rsidRPr="00D2624D" w:rsidRDefault="00D2624D" w:rsidP="00D2624D">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 xml:space="preserve">Var. MtM </w:t>
            </w:r>
          </w:p>
        </w:tc>
        <w:tc>
          <w:tcPr>
            <w:tcW w:w="639" w:type="pct"/>
            <w:tcBorders>
              <w:top w:val="nil"/>
              <w:left w:val="nil"/>
              <w:bottom w:val="nil"/>
              <w:right w:val="nil"/>
            </w:tcBorders>
            <w:shd w:val="clear" w:color="000000" w:fill="005CA9"/>
            <w:vAlign w:val="center"/>
            <w:hideMark/>
          </w:tcPr>
          <w:p w14:paraId="579502A7" w14:textId="77777777" w:rsidR="00D2624D" w:rsidRPr="00D2624D" w:rsidRDefault="00D2624D" w:rsidP="00D2624D">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 xml:space="preserve">Var. MtM </w:t>
            </w:r>
          </w:p>
        </w:tc>
        <w:tc>
          <w:tcPr>
            <w:tcW w:w="474" w:type="pct"/>
            <w:tcBorders>
              <w:top w:val="nil"/>
              <w:left w:val="nil"/>
              <w:bottom w:val="nil"/>
              <w:right w:val="nil"/>
            </w:tcBorders>
            <w:shd w:val="clear" w:color="000000" w:fill="005CA9"/>
            <w:vAlign w:val="center"/>
            <w:hideMark/>
          </w:tcPr>
          <w:p w14:paraId="0A939770" w14:textId="77777777" w:rsidR="00D2624D" w:rsidRPr="00D2624D" w:rsidRDefault="00D2624D" w:rsidP="00D2624D">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 xml:space="preserve">Var. MtM </w:t>
            </w:r>
          </w:p>
        </w:tc>
        <w:tc>
          <w:tcPr>
            <w:tcW w:w="536" w:type="pct"/>
            <w:tcBorders>
              <w:top w:val="nil"/>
              <w:left w:val="nil"/>
              <w:bottom w:val="nil"/>
              <w:right w:val="nil"/>
            </w:tcBorders>
            <w:shd w:val="clear" w:color="000000" w:fill="005CA9"/>
            <w:vAlign w:val="center"/>
            <w:hideMark/>
          </w:tcPr>
          <w:p w14:paraId="5B256433" w14:textId="77777777" w:rsidR="00D2624D" w:rsidRPr="00D2624D" w:rsidRDefault="00D2624D" w:rsidP="00D2624D">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 xml:space="preserve">Var. MtM </w:t>
            </w:r>
          </w:p>
        </w:tc>
        <w:tc>
          <w:tcPr>
            <w:tcW w:w="587" w:type="pct"/>
            <w:tcBorders>
              <w:top w:val="nil"/>
              <w:left w:val="nil"/>
              <w:bottom w:val="nil"/>
              <w:right w:val="nil"/>
            </w:tcBorders>
            <w:shd w:val="clear" w:color="000000" w:fill="005CA9"/>
            <w:vAlign w:val="center"/>
            <w:hideMark/>
          </w:tcPr>
          <w:p w14:paraId="4481E16D" w14:textId="77777777" w:rsidR="00D2624D" w:rsidRPr="00D2624D" w:rsidRDefault="00D2624D" w:rsidP="00D2624D">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Var. MtM</w:t>
            </w:r>
          </w:p>
        </w:tc>
      </w:tr>
      <w:tr w:rsidR="00D2624D" w:rsidRPr="00D2624D" w14:paraId="11B2AFA1" w14:textId="77777777" w:rsidTr="00BC00DB">
        <w:trPr>
          <w:trHeight w:val="283"/>
        </w:trPr>
        <w:tc>
          <w:tcPr>
            <w:tcW w:w="776" w:type="pct"/>
            <w:vMerge/>
            <w:tcBorders>
              <w:top w:val="nil"/>
              <w:left w:val="nil"/>
              <w:bottom w:val="nil"/>
              <w:right w:val="nil"/>
            </w:tcBorders>
            <w:vAlign w:val="center"/>
            <w:hideMark/>
          </w:tcPr>
          <w:p w14:paraId="577D42B3" w14:textId="77777777" w:rsidR="00D2624D" w:rsidRPr="00D2624D" w:rsidRDefault="00D2624D" w:rsidP="00D2624D">
            <w:pPr>
              <w:rPr>
                <w:rFonts w:ascii="CAIXA Std Book" w:eastAsia="Times New Roman" w:hAnsi="CAIXA Std Book" w:cs="Times New Roman"/>
                <w:b/>
                <w:bCs/>
                <w:color w:val="FFFFFF"/>
                <w:sz w:val="16"/>
                <w:szCs w:val="16"/>
              </w:rPr>
            </w:pPr>
          </w:p>
        </w:tc>
        <w:tc>
          <w:tcPr>
            <w:tcW w:w="813" w:type="pct"/>
            <w:vMerge/>
            <w:tcBorders>
              <w:top w:val="nil"/>
              <w:left w:val="nil"/>
              <w:bottom w:val="nil"/>
              <w:right w:val="nil"/>
            </w:tcBorders>
            <w:vAlign w:val="center"/>
            <w:hideMark/>
          </w:tcPr>
          <w:p w14:paraId="7B74C030" w14:textId="77777777" w:rsidR="00D2624D" w:rsidRPr="00D2624D" w:rsidRDefault="00D2624D" w:rsidP="00D2624D">
            <w:pPr>
              <w:rPr>
                <w:rFonts w:ascii="CAIXA Std Book" w:eastAsia="Times New Roman" w:hAnsi="CAIXA Std Book" w:cs="Times New Roman"/>
                <w:b/>
                <w:bCs/>
                <w:color w:val="FFFFFF"/>
                <w:sz w:val="16"/>
                <w:szCs w:val="16"/>
              </w:rPr>
            </w:pPr>
          </w:p>
        </w:tc>
        <w:tc>
          <w:tcPr>
            <w:tcW w:w="587" w:type="pct"/>
            <w:tcBorders>
              <w:top w:val="nil"/>
              <w:left w:val="nil"/>
              <w:bottom w:val="nil"/>
              <w:right w:val="nil"/>
            </w:tcBorders>
            <w:shd w:val="clear" w:color="000000" w:fill="005CA9"/>
            <w:vAlign w:val="center"/>
            <w:hideMark/>
          </w:tcPr>
          <w:p w14:paraId="48FDF89C" w14:textId="77777777" w:rsidR="00D2624D" w:rsidRPr="00D2624D" w:rsidRDefault="00D2624D" w:rsidP="00D2624D">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 xml:space="preserve"> R$ mil</w:t>
            </w:r>
          </w:p>
        </w:tc>
        <w:tc>
          <w:tcPr>
            <w:tcW w:w="587" w:type="pct"/>
            <w:tcBorders>
              <w:top w:val="nil"/>
              <w:left w:val="nil"/>
              <w:bottom w:val="nil"/>
              <w:right w:val="nil"/>
            </w:tcBorders>
            <w:shd w:val="clear" w:color="000000" w:fill="005CA9"/>
            <w:vAlign w:val="center"/>
            <w:hideMark/>
          </w:tcPr>
          <w:p w14:paraId="52374639" w14:textId="77777777" w:rsidR="00D2624D" w:rsidRPr="00D2624D" w:rsidRDefault="00D2624D" w:rsidP="00D2624D">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R$ mil</w:t>
            </w:r>
          </w:p>
        </w:tc>
        <w:tc>
          <w:tcPr>
            <w:tcW w:w="639" w:type="pct"/>
            <w:tcBorders>
              <w:top w:val="nil"/>
              <w:left w:val="nil"/>
              <w:bottom w:val="nil"/>
              <w:right w:val="nil"/>
            </w:tcBorders>
            <w:shd w:val="clear" w:color="000000" w:fill="005CA9"/>
            <w:vAlign w:val="center"/>
            <w:hideMark/>
          </w:tcPr>
          <w:p w14:paraId="2D8DD279" w14:textId="77777777" w:rsidR="00D2624D" w:rsidRPr="00D2624D" w:rsidRDefault="00D2624D" w:rsidP="00D2624D">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R$ mil</w:t>
            </w:r>
          </w:p>
        </w:tc>
        <w:tc>
          <w:tcPr>
            <w:tcW w:w="474" w:type="pct"/>
            <w:tcBorders>
              <w:top w:val="nil"/>
              <w:left w:val="nil"/>
              <w:bottom w:val="nil"/>
              <w:right w:val="nil"/>
            </w:tcBorders>
            <w:shd w:val="clear" w:color="000000" w:fill="005CA9"/>
            <w:vAlign w:val="center"/>
            <w:hideMark/>
          </w:tcPr>
          <w:p w14:paraId="34D036A9" w14:textId="77777777" w:rsidR="00D2624D" w:rsidRPr="00D2624D" w:rsidRDefault="00D2624D" w:rsidP="00D2624D">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R$ mil</w:t>
            </w:r>
          </w:p>
        </w:tc>
        <w:tc>
          <w:tcPr>
            <w:tcW w:w="536" w:type="pct"/>
            <w:tcBorders>
              <w:top w:val="nil"/>
              <w:left w:val="nil"/>
              <w:bottom w:val="nil"/>
              <w:right w:val="nil"/>
            </w:tcBorders>
            <w:shd w:val="clear" w:color="000000" w:fill="005CA9"/>
            <w:vAlign w:val="center"/>
            <w:hideMark/>
          </w:tcPr>
          <w:p w14:paraId="32CDCEE8" w14:textId="77777777" w:rsidR="00D2624D" w:rsidRPr="00D2624D" w:rsidRDefault="00D2624D" w:rsidP="00D2624D">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R$ mil</w:t>
            </w:r>
          </w:p>
        </w:tc>
        <w:tc>
          <w:tcPr>
            <w:tcW w:w="587" w:type="pct"/>
            <w:tcBorders>
              <w:top w:val="nil"/>
              <w:left w:val="nil"/>
              <w:bottom w:val="nil"/>
              <w:right w:val="nil"/>
            </w:tcBorders>
            <w:shd w:val="clear" w:color="000000" w:fill="005CA9"/>
            <w:vAlign w:val="center"/>
            <w:hideMark/>
          </w:tcPr>
          <w:p w14:paraId="1C876822" w14:textId="77777777" w:rsidR="00D2624D" w:rsidRPr="00D2624D" w:rsidRDefault="00D2624D" w:rsidP="00D2624D">
            <w:pPr>
              <w:jc w:val="cente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 xml:space="preserve"> R$ mil</w:t>
            </w:r>
          </w:p>
        </w:tc>
      </w:tr>
      <w:tr w:rsidR="00D2624D" w:rsidRPr="00D2624D" w14:paraId="3EBBB792" w14:textId="77777777" w:rsidTr="00BC00DB">
        <w:trPr>
          <w:trHeight w:val="283"/>
        </w:trPr>
        <w:tc>
          <w:tcPr>
            <w:tcW w:w="776" w:type="pct"/>
            <w:tcBorders>
              <w:top w:val="nil"/>
              <w:left w:val="nil"/>
              <w:bottom w:val="nil"/>
              <w:right w:val="nil"/>
            </w:tcBorders>
            <w:vAlign w:val="center"/>
            <w:hideMark/>
          </w:tcPr>
          <w:p w14:paraId="0F086DB6" w14:textId="77777777" w:rsidR="00D2624D" w:rsidRPr="00D2624D" w:rsidRDefault="00D2624D" w:rsidP="00D2624D">
            <w:pPr>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CDI</w:t>
            </w:r>
          </w:p>
        </w:tc>
        <w:tc>
          <w:tcPr>
            <w:tcW w:w="813" w:type="pct"/>
            <w:tcBorders>
              <w:top w:val="nil"/>
              <w:left w:val="nil"/>
              <w:bottom w:val="nil"/>
              <w:right w:val="nil"/>
            </w:tcBorders>
            <w:vAlign w:val="center"/>
            <w:hideMark/>
          </w:tcPr>
          <w:p w14:paraId="516597C3"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78.926.902</w:t>
            </w:r>
          </w:p>
        </w:tc>
        <w:tc>
          <w:tcPr>
            <w:tcW w:w="587" w:type="pct"/>
            <w:tcBorders>
              <w:top w:val="nil"/>
              <w:left w:val="nil"/>
              <w:bottom w:val="nil"/>
              <w:right w:val="nil"/>
            </w:tcBorders>
            <w:vAlign w:val="center"/>
            <w:hideMark/>
          </w:tcPr>
          <w:p w14:paraId="417BF9F8"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(2.312.136)</w:t>
            </w:r>
          </w:p>
        </w:tc>
        <w:tc>
          <w:tcPr>
            <w:tcW w:w="587" w:type="pct"/>
            <w:tcBorders>
              <w:top w:val="nil"/>
              <w:left w:val="nil"/>
              <w:bottom w:val="nil"/>
              <w:right w:val="nil"/>
            </w:tcBorders>
            <w:vAlign w:val="center"/>
            <w:hideMark/>
          </w:tcPr>
          <w:p w14:paraId="4C3168AC"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(5.596.571)</w:t>
            </w:r>
          </w:p>
        </w:tc>
        <w:tc>
          <w:tcPr>
            <w:tcW w:w="639" w:type="pct"/>
            <w:tcBorders>
              <w:top w:val="nil"/>
              <w:left w:val="nil"/>
              <w:bottom w:val="nil"/>
              <w:right w:val="nil"/>
            </w:tcBorders>
            <w:vAlign w:val="center"/>
            <w:hideMark/>
          </w:tcPr>
          <w:p w14:paraId="1E897690"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(10.623.458)</w:t>
            </w:r>
          </w:p>
        </w:tc>
        <w:tc>
          <w:tcPr>
            <w:tcW w:w="474" w:type="pct"/>
            <w:tcBorders>
              <w:top w:val="nil"/>
              <w:left w:val="nil"/>
              <w:bottom w:val="nil"/>
              <w:right w:val="nil"/>
            </w:tcBorders>
            <w:vAlign w:val="center"/>
            <w:hideMark/>
          </w:tcPr>
          <w:p w14:paraId="1A963141"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2.416.780</w:t>
            </w:r>
          </w:p>
        </w:tc>
        <w:tc>
          <w:tcPr>
            <w:tcW w:w="536" w:type="pct"/>
            <w:tcBorders>
              <w:top w:val="nil"/>
              <w:left w:val="nil"/>
              <w:bottom w:val="nil"/>
              <w:right w:val="nil"/>
            </w:tcBorders>
            <w:vAlign w:val="center"/>
            <w:hideMark/>
          </w:tcPr>
          <w:p w14:paraId="0EEC5445"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6.251.712</w:t>
            </w:r>
          </w:p>
        </w:tc>
        <w:tc>
          <w:tcPr>
            <w:tcW w:w="587" w:type="pct"/>
            <w:tcBorders>
              <w:top w:val="nil"/>
              <w:left w:val="nil"/>
              <w:bottom w:val="nil"/>
              <w:right w:val="nil"/>
            </w:tcBorders>
            <w:vAlign w:val="center"/>
            <w:hideMark/>
          </w:tcPr>
          <w:p w14:paraId="1B69A3C0"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13.259.992</w:t>
            </w:r>
          </w:p>
        </w:tc>
      </w:tr>
      <w:tr w:rsidR="00D2624D" w:rsidRPr="00D2624D" w14:paraId="2B882EDE" w14:textId="77777777" w:rsidTr="00BC00DB">
        <w:trPr>
          <w:trHeight w:val="283"/>
        </w:trPr>
        <w:tc>
          <w:tcPr>
            <w:tcW w:w="776" w:type="pct"/>
            <w:tcBorders>
              <w:top w:val="nil"/>
              <w:left w:val="nil"/>
              <w:bottom w:val="nil"/>
              <w:right w:val="nil"/>
            </w:tcBorders>
            <w:vAlign w:val="center"/>
            <w:hideMark/>
          </w:tcPr>
          <w:p w14:paraId="427E2612" w14:textId="77777777" w:rsidR="00D2624D" w:rsidRPr="00D2624D" w:rsidRDefault="00D2624D" w:rsidP="00D2624D">
            <w:pPr>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Pré</w:t>
            </w:r>
          </w:p>
        </w:tc>
        <w:tc>
          <w:tcPr>
            <w:tcW w:w="813" w:type="pct"/>
            <w:tcBorders>
              <w:top w:val="nil"/>
              <w:left w:val="nil"/>
              <w:bottom w:val="nil"/>
              <w:right w:val="nil"/>
            </w:tcBorders>
            <w:vAlign w:val="center"/>
            <w:hideMark/>
          </w:tcPr>
          <w:p w14:paraId="7C8745B2"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11.453.803</w:t>
            </w:r>
          </w:p>
        </w:tc>
        <w:tc>
          <w:tcPr>
            <w:tcW w:w="587" w:type="pct"/>
            <w:tcBorders>
              <w:top w:val="nil"/>
              <w:left w:val="nil"/>
              <w:bottom w:val="nil"/>
              <w:right w:val="nil"/>
            </w:tcBorders>
            <w:vAlign w:val="center"/>
            <w:hideMark/>
          </w:tcPr>
          <w:p w14:paraId="6C89B09A"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(106.927)</w:t>
            </w:r>
          </w:p>
        </w:tc>
        <w:tc>
          <w:tcPr>
            <w:tcW w:w="587" w:type="pct"/>
            <w:tcBorders>
              <w:top w:val="nil"/>
              <w:left w:val="nil"/>
              <w:bottom w:val="nil"/>
              <w:right w:val="nil"/>
            </w:tcBorders>
            <w:vAlign w:val="center"/>
            <w:hideMark/>
          </w:tcPr>
          <w:p w14:paraId="7948F65C"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(261.462)</w:t>
            </w:r>
          </w:p>
        </w:tc>
        <w:tc>
          <w:tcPr>
            <w:tcW w:w="639" w:type="pct"/>
            <w:tcBorders>
              <w:top w:val="nil"/>
              <w:left w:val="nil"/>
              <w:bottom w:val="nil"/>
              <w:right w:val="nil"/>
            </w:tcBorders>
            <w:vAlign w:val="center"/>
            <w:hideMark/>
          </w:tcPr>
          <w:p w14:paraId="7F200F58"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(504.401)</w:t>
            </w:r>
          </w:p>
        </w:tc>
        <w:tc>
          <w:tcPr>
            <w:tcW w:w="474" w:type="pct"/>
            <w:tcBorders>
              <w:top w:val="nil"/>
              <w:left w:val="nil"/>
              <w:bottom w:val="nil"/>
              <w:right w:val="nil"/>
            </w:tcBorders>
            <w:vAlign w:val="center"/>
            <w:hideMark/>
          </w:tcPr>
          <w:p w14:paraId="0BF9A0C7"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110.198</w:t>
            </w:r>
          </w:p>
        </w:tc>
        <w:tc>
          <w:tcPr>
            <w:tcW w:w="536" w:type="pct"/>
            <w:tcBorders>
              <w:top w:val="nil"/>
              <w:left w:val="nil"/>
              <w:bottom w:val="nil"/>
              <w:right w:val="nil"/>
            </w:tcBorders>
            <w:vAlign w:val="center"/>
            <w:hideMark/>
          </w:tcPr>
          <w:p w14:paraId="0299A4E0"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281.923</w:t>
            </w:r>
          </w:p>
        </w:tc>
        <w:tc>
          <w:tcPr>
            <w:tcW w:w="587" w:type="pct"/>
            <w:tcBorders>
              <w:top w:val="nil"/>
              <w:left w:val="nil"/>
              <w:bottom w:val="nil"/>
              <w:right w:val="nil"/>
            </w:tcBorders>
            <w:vAlign w:val="center"/>
            <w:hideMark/>
          </w:tcPr>
          <w:p w14:paraId="5B56C9CA"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586.470</w:t>
            </w:r>
          </w:p>
        </w:tc>
      </w:tr>
      <w:tr w:rsidR="00D2624D" w:rsidRPr="00D2624D" w14:paraId="4A9FDBF3" w14:textId="77777777" w:rsidTr="00BC00DB">
        <w:trPr>
          <w:trHeight w:val="283"/>
        </w:trPr>
        <w:tc>
          <w:tcPr>
            <w:tcW w:w="776" w:type="pct"/>
            <w:tcBorders>
              <w:top w:val="nil"/>
              <w:left w:val="nil"/>
              <w:bottom w:val="nil"/>
              <w:right w:val="nil"/>
            </w:tcBorders>
            <w:vAlign w:val="center"/>
            <w:hideMark/>
          </w:tcPr>
          <w:p w14:paraId="227AB505" w14:textId="77777777" w:rsidR="00D2624D" w:rsidRPr="00D2624D" w:rsidRDefault="00D2624D" w:rsidP="00D2624D">
            <w:pPr>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Cupom IPCA</w:t>
            </w:r>
          </w:p>
        </w:tc>
        <w:tc>
          <w:tcPr>
            <w:tcW w:w="813" w:type="pct"/>
            <w:tcBorders>
              <w:top w:val="nil"/>
              <w:left w:val="nil"/>
              <w:bottom w:val="nil"/>
              <w:right w:val="nil"/>
            </w:tcBorders>
            <w:vAlign w:val="center"/>
            <w:hideMark/>
          </w:tcPr>
          <w:p w14:paraId="587F4766"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2.117.271</w:t>
            </w:r>
          </w:p>
        </w:tc>
        <w:tc>
          <w:tcPr>
            <w:tcW w:w="587" w:type="pct"/>
            <w:tcBorders>
              <w:top w:val="nil"/>
              <w:left w:val="nil"/>
              <w:bottom w:val="nil"/>
              <w:right w:val="nil"/>
            </w:tcBorders>
            <w:vAlign w:val="center"/>
            <w:hideMark/>
          </w:tcPr>
          <w:p w14:paraId="25E2F1F1"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(102.477)</w:t>
            </w:r>
          </w:p>
        </w:tc>
        <w:tc>
          <w:tcPr>
            <w:tcW w:w="587" w:type="pct"/>
            <w:tcBorders>
              <w:top w:val="nil"/>
              <w:left w:val="nil"/>
              <w:bottom w:val="nil"/>
              <w:right w:val="nil"/>
            </w:tcBorders>
            <w:vAlign w:val="center"/>
            <w:hideMark/>
          </w:tcPr>
          <w:p w14:paraId="0E6874E2"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(236.005)</w:t>
            </w:r>
          </w:p>
        </w:tc>
        <w:tc>
          <w:tcPr>
            <w:tcW w:w="639" w:type="pct"/>
            <w:tcBorders>
              <w:top w:val="nil"/>
              <w:left w:val="nil"/>
              <w:bottom w:val="nil"/>
              <w:right w:val="nil"/>
            </w:tcBorders>
            <w:vAlign w:val="center"/>
            <w:hideMark/>
          </w:tcPr>
          <w:p w14:paraId="5858BCC5"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(417.687)</w:t>
            </w:r>
          </w:p>
        </w:tc>
        <w:tc>
          <w:tcPr>
            <w:tcW w:w="474" w:type="pct"/>
            <w:tcBorders>
              <w:top w:val="nil"/>
              <w:left w:val="nil"/>
              <w:bottom w:val="nil"/>
              <w:right w:val="nil"/>
            </w:tcBorders>
            <w:vAlign w:val="center"/>
            <w:hideMark/>
          </w:tcPr>
          <w:p w14:paraId="5F4EB405"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115.726</w:t>
            </w:r>
          </w:p>
        </w:tc>
        <w:tc>
          <w:tcPr>
            <w:tcW w:w="536" w:type="pct"/>
            <w:tcBorders>
              <w:top w:val="nil"/>
              <w:left w:val="nil"/>
              <w:bottom w:val="nil"/>
              <w:right w:val="nil"/>
            </w:tcBorders>
            <w:vAlign w:val="center"/>
            <w:hideMark/>
          </w:tcPr>
          <w:p w14:paraId="695D1794"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320.321</w:t>
            </w:r>
          </w:p>
        </w:tc>
        <w:tc>
          <w:tcPr>
            <w:tcW w:w="587" w:type="pct"/>
            <w:tcBorders>
              <w:top w:val="nil"/>
              <w:left w:val="nil"/>
              <w:bottom w:val="nil"/>
              <w:right w:val="nil"/>
            </w:tcBorders>
            <w:vAlign w:val="center"/>
            <w:hideMark/>
          </w:tcPr>
          <w:p w14:paraId="335E7AF5"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777.777</w:t>
            </w:r>
          </w:p>
        </w:tc>
      </w:tr>
      <w:tr w:rsidR="00D2624D" w:rsidRPr="00D2624D" w14:paraId="1E3F9C90" w14:textId="77777777" w:rsidTr="00BC00DB">
        <w:trPr>
          <w:trHeight w:val="283"/>
        </w:trPr>
        <w:tc>
          <w:tcPr>
            <w:tcW w:w="776" w:type="pct"/>
            <w:tcBorders>
              <w:top w:val="nil"/>
              <w:left w:val="nil"/>
              <w:bottom w:val="nil"/>
              <w:right w:val="nil"/>
            </w:tcBorders>
            <w:vAlign w:val="center"/>
            <w:hideMark/>
          </w:tcPr>
          <w:p w14:paraId="71C5D609" w14:textId="77777777" w:rsidR="00D2624D" w:rsidRPr="00D2624D" w:rsidRDefault="00D2624D" w:rsidP="00D2624D">
            <w:pPr>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Cupom TR</w:t>
            </w:r>
          </w:p>
        </w:tc>
        <w:tc>
          <w:tcPr>
            <w:tcW w:w="813" w:type="pct"/>
            <w:tcBorders>
              <w:top w:val="nil"/>
              <w:left w:val="nil"/>
              <w:bottom w:val="nil"/>
              <w:right w:val="nil"/>
            </w:tcBorders>
            <w:vAlign w:val="center"/>
            <w:hideMark/>
          </w:tcPr>
          <w:p w14:paraId="4DB11287"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1.635.688</w:t>
            </w:r>
          </w:p>
        </w:tc>
        <w:tc>
          <w:tcPr>
            <w:tcW w:w="587" w:type="pct"/>
            <w:tcBorders>
              <w:top w:val="nil"/>
              <w:left w:val="nil"/>
              <w:bottom w:val="nil"/>
              <w:right w:val="nil"/>
            </w:tcBorders>
            <w:vAlign w:val="center"/>
            <w:hideMark/>
          </w:tcPr>
          <w:p w14:paraId="1D20973E"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(67.266)</w:t>
            </w:r>
          </w:p>
        </w:tc>
        <w:tc>
          <w:tcPr>
            <w:tcW w:w="587" w:type="pct"/>
            <w:tcBorders>
              <w:top w:val="nil"/>
              <w:left w:val="nil"/>
              <w:bottom w:val="nil"/>
              <w:right w:val="nil"/>
            </w:tcBorders>
            <w:vAlign w:val="center"/>
            <w:hideMark/>
          </w:tcPr>
          <w:p w14:paraId="0656E2F8"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(158.737)</w:t>
            </w:r>
          </w:p>
        </w:tc>
        <w:tc>
          <w:tcPr>
            <w:tcW w:w="639" w:type="pct"/>
            <w:tcBorders>
              <w:top w:val="nil"/>
              <w:left w:val="nil"/>
              <w:bottom w:val="nil"/>
              <w:right w:val="nil"/>
            </w:tcBorders>
            <w:vAlign w:val="center"/>
            <w:hideMark/>
          </w:tcPr>
          <w:p w14:paraId="4E4DF579"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(289.804)</w:t>
            </w:r>
          </w:p>
        </w:tc>
        <w:tc>
          <w:tcPr>
            <w:tcW w:w="474" w:type="pct"/>
            <w:tcBorders>
              <w:top w:val="nil"/>
              <w:left w:val="nil"/>
              <w:bottom w:val="nil"/>
              <w:right w:val="nil"/>
            </w:tcBorders>
            <w:vAlign w:val="center"/>
            <w:hideMark/>
          </w:tcPr>
          <w:p w14:paraId="1FCEF156"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72.920</w:t>
            </w:r>
          </w:p>
        </w:tc>
        <w:tc>
          <w:tcPr>
            <w:tcW w:w="536" w:type="pct"/>
            <w:tcBorders>
              <w:top w:val="nil"/>
              <w:left w:val="nil"/>
              <w:bottom w:val="nil"/>
              <w:right w:val="nil"/>
            </w:tcBorders>
            <w:vAlign w:val="center"/>
            <w:hideMark/>
          </w:tcPr>
          <w:p w14:paraId="610D2391"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194.266</w:t>
            </w:r>
          </w:p>
        </w:tc>
        <w:tc>
          <w:tcPr>
            <w:tcW w:w="587" w:type="pct"/>
            <w:tcBorders>
              <w:top w:val="nil"/>
              <w:left w:val="nil"/>
              <w:bottom w:val="nil"/>
              <w:right w:val="nil"/>
            </w:tcBorders>
            <w:vAlign w:val="center"/>
            <w:hideMark/>
          </w:tcPr>
          <w:p w14:paraId="501A5BC6"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434.704</w:t>
            </w:r>
          </w:p>
        </w:tc>
      </w:tr>
      <w:tr w:rsidR="00D2624D" w:rsidRPr="00D2624D" w14:paraId="1A010250" w14:textId="77777777" w:rsidTr="00BC00DB">
        <w:trPr>
          <w:trHeight w:val="283"/>
        </w:trPr>
        <w:tc>
          <w:tcPr>
            <w:tcW w:w="776" w:type="pct"/>
            <w:tcBorders>
              <w:top w:val="nil"/>
              <w:left w:val="nil"/>
              <w:bottom w:val="nil"/>
              <w:right w:val="nil"/>
            </w:tcBorders>
            <w:vAlign w:val="center"/>
            <w:hideMark/>
          </w:tcPr>
          <w:p w14:paraId="09660DCB" w14:textId="77777777" w:rsidR="00D2624D" w:rsidRPr="00D2624D" w:rsidRDefault="00D2624D" w:rsidP="00D2624D">
            <w:pPr>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Cupom SELIC</w:t>
            </w:r>
          </w:p>
        </w:tc>
        <w:tc>
          <w:tcPr>
            <w:tcW w:w="813" w:type="pct"/>
            <w:tcBorders>
              <w:top w:val="nil"/>
              <w:left w:val="nil"/>
              <w:bottom w:val="nil"/>
              <w:right w:val="nil"/>
            </w:tcBorders>
            <w:vAlign w:val="center"/>
            <w:hideMark/>
          </w:tcPr>
          <w:p w14:paraId="2B2BD12E"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371.014.921</w:t>
            </w:r>
          </w:p>
        </w:tc>
        <w:tc>
          <w:tcPr>
            <w:tcW w:w="587" w:type="pct"/>
            <w:tcBorders>
              <w:top w:val="nil"/>
              <w:left w:val="nil"/>
              <w:bottom w:val="nil"/>
              <w:right w:val="nil"/>
            </w:tcBorders>
            <w:vAlign w:val="center"/>
            <w:hideMark/>
          </w:tcPr>
          <w:p w14:paraId="4B04A089"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(400.937)</w:t>
            </w:r>
          </w:p>
        </w:tc>
        <w:tc>
          <w:tcPr>
            <w:tcW w:w="587" w:type="pct"/>
            <w:tcBorders>
              <w:top w:val="nil"/>
              <w:left w:val="nil"/>
              <w:bottom w:val="nil"/>
              <w:right w:val="nil"/>
            </w:tcBorders>
            <w:vAlign w:val="center"/>
            <w:hideMark/>
          </w:tcPr>
          <w:p w14:paraId="0B8F84E9"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(801.280)</w:t>
            </w:r>
          </w:p>
        </w:tc>
        <w:tc>
          <w:tcPr>
            <w:tcW w:w="639" w:type="pct"/>
            <w:tcBorders>
              <w:top w:val="nil"/>
              <w:left w:val="nil"/>
              <w:bottom w:val="nil"/>
              <w:right w:val="nil"/>
            </w:tcBorders>
            <w:vAlign w:val="center"/>
            <w:hideMark/>
          </w:tcPr>
          <w:p w14:paraId="1BEA89A8"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(1.201.030)</w:t>
            </w:r>
          </w:p>
        </w:tc>
        <w:tc>
          <w:tcPr>
            <w:tcW w:w="474" w:type="pct"/>
            <w:tcBorders>
              <w:top w:val="nil"/>
              <w:left w:val="nil"/>
              <w:bottom w:val="nil"/>
              <w:right w:val="nil"/>
            </w:tcBorders>
            <w:vAlign w:val="center"/>
            <w:hideMark/>
          </w:tcPr>
          <w:p w14:paraId="0FAFAF8D"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401.532</w:t>
            </w:r>
          </w:p>
        </w:tc>
        <w:tc>
          <w:tcPr>
            <w:tcW w:w="536" w:type="pct"/>
            <w:tcBorders>
              <w:top w:val="nil"/>
              <w:left w:val="nil"/>
              <w:bottom w:val="nil"/>
              <w:right w:val="nil"/>
            </w:tcBorders>
            <w:vAlign w:val="center"/>
            <w:hideMark/>
          </w:tcPr>
          <w:p w14:paraId="61EE6C91"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803.661</w:t>
            </w:r>
          </w:p>
        </w:tc>
        <w:tc>
          <w:tcPr>
            <w:tcW w:w="587" w:type="pct"/>
            <w:tcBorders>
              <w:top w:val="nil"/>
              <w:left w:val="nil"/>
              <w:bottom w:val="nil"/>
              <w:right w:val="nil"/>
            </w:tcBorders>
            <w:vAlign w:val="center"/>
            <w:hideMark/>
          </w:tcPr>
          <w:p w14:paraId="12C7E74C"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1.206.387</w:t>
            </w:r>
          </w:p>
        </w:tc>
      </w:tr>
      <w:tr w:rsidR="00D2624D" w:rsidRPr="00D2624D" w14:paraId="00207D96" w14:textId="77777777" w:rsidTr="00BC00DB">
        <w:trPr>
          <w:trHeight w:val="283"/>
        </w:trPr>
        <w:tc>
          <w:tcPr>
            <w:tcW w:w="776" w:type="pct"/>
            <w:tcBorders>
              <w:top w:val="nil"/>
              <w:left w:val="nil"/>
              <w:bottom w:val="nil"/>
              <w:right w:val="nil"/>
            </w:tcBorders>
            <w:vAlign w:val="center"/>
            <w:hideMark/>
          </w:tcPr>
          <w:p w14:paraId="33C27747" w14:textId="77777777" w:rsidR="00D2624D" w:rsidRPr="00D2624D" w:rsidRDefault="00D2624D" w:rsidP="00D2624D">
            <w:pPr>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Cupom IGPM</w:t>
            </w:r>
          </w:p>
        </w:tc>
        <w:tc>
          <w:tcPr>
            <w:tcW w:w="813" w:type="pct"/>
            <w:tcBorders>
              <w:top w:val="nil"/>
              <w:left w:val="nil"/>
              <w:bottom w:val="nil"/>
              <w:right w:val="nil"/>
            </w:tcBorders>
            <w:vAlign w:val="center"/>
            <w:hideMark/>
          </w:tcPr>
          <w:p w14:paraId="4666ABD2"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11.239</w:t>
            </w:r>
          </w:p>
        </w:tc>
        <w:tc>
          <w:tcPr>
            <w:tcW w:w="587" w:type="pct"/>
            <w:tcBorders>
              <w:top w:val="nil"/>
              <w:left w:val="nil"/>
              <w:bottom w:val="nil"/>
              <w:right w:val="nil"/>
            </w:tcBorders>
            <w:vAlign w:val="center"/>
            <w:hideMark/>
          </w:tcPr>
          <w:p w14:paraId="6BDA66A3"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(384)</w:t>
            </w:r>
          </w:p>
        </w:tc>
        <w:tc>
          <w:tcPr>
            <w:tcW w:w="587" w:type="pct"/>
            <w:tcBorders>
              <w:top w:val="nil"/>
              <w:left w:val="nil"/>
              <w:bottom w:val="nil"/>
              <w:right w:val="nil"/>
            </w:tcBorders>
            <w:vAlign w:val="center"/>
            <w:hideMark/>
          </w:tcPr>
          <w:p w14:paraId="34A062C4"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(925)</w:t>
            </w:r>
          </w:p>
        </w:tc>
        <w:tc>
          <w:tcPr>
            <w:tcW w:w="639" w:type="pct"/>
            <w:tcBorders>
              <w:top w:val="nil"/>
              <w:left w:val="nil"/>
              <w:bottom w:val="nil"/>
              <w:right w:val="nil"/>
            </w:tcBorders>
            <w:vAlign w:val="center"/>
            <w:hideMark/>
          </w:tcPr>
          <w:p w14:paraId="07F9D43F"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(1.742)</w:t>
            </w:r>
          </w:p>
        </w:tc>
        <w:tc>
          <w:tcPr>
            <w:tcW w:w="474" w:type="pct"/>
            <w:tcBorders>
              <w:top w:val="nil"/>
              <w:left w:val="nil"/>
              <w:bottom w:val="nil"/>
              <w:right w:val="nil"/>
            </w:tcBorders>
            <w:vAlign w:val="center"/>
            <w:hideMark/>
          </w:tcPr>
          <w:p w14:paraId="16501C9A"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404</w:t>
            </w:r>
          </w:p>
        </w:tc>
        <w:tc>
          <w:tcPr>
            <w:tcW w:w="536" w:type="pct"/>
            <w:tcBorders>
              <w:top w:val="nil"/>
              <w:left w:val="nil"/>
              <w:bottom w:val="nil"/>
              <w:right w:val="nil"/>
            </w:tcBorders>
            <w:vAlign w:val="center"/>
            <w:hideMark/>
          </w:tcPr>
          <w:p w14:paraId="1A65FDC4"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1.052</w:t>
            </w:r>
          </w:p>
        </w:tc>
        <w:tc>
          <w:tcPr>
            <w:tcW w:w="587" w:type="pct"/>
            <w:tcBorders>
              <w:top w:val="nil"/>
              <w:left w:val="nil"/>
              <w:bottom w:val="nil"/>
              <w:right w:val="nil"/>
            </w:tcBorders>
            <w:vAlign w:val="center"/>
            <w:hideMark/>
          </w:tcPr>
          <w:p w14:paraId="55C4F60F" w14:textId="77777777" w:rsidR="00D2624D" w:rsidRPr="00D2624D" w:rsidRDefault="00D2624D" w:rsidP="00D2624D">
            <w:pPr>
              <w:jc w:val="right"/>
              <w:rPr>
                <w:rFonts w:ascii="CAIXA Std Book" w:eastAsia="Times New Roman" w:hAnsi="CAIXA Std Book" w:cs="Times New Roman"/>
                <w:color w:val="005CA9"/>
                <w:sz w:val="16"/>
                <w:szCs w:val="16"/>
              </w:rPr>
            </w:pPr>
            <w:r w:rsidRPr="00D2624D">
              <w:rPr>
                <w:rFonts w:ascii="CAIXA Std Book" w:eastAsia="Times New Roman" w:hAnsi="CAIXA Std Book" w:cs="Times New Roman"/>
                <w:color w:val="005CA9"/>
                <w:sz w:val="16"/>
                <w:szCs w:val="16"/>
              </w:rPr>
              <w:t>2.252</w:t>
            </w:r>
          </w:p>
        </w:tc>
      </w:tr>
      <w:tr w:rsidR="00D2624D" w:rsidRPr="00D2624D" w14:paraId="288AC9C2" w14:textId="77777777" w:rsidTr="00BC00DB">
        <w:trPr>
          <w:trHeight w:val="283"/>
        </w:trPr>
        <w:tc>
          <w:tcPr>
            <w:tcW w:w="776" w:type="pct"/>
            <w:tcBorders>
              <w:top w:val="nil"/>
              <w:left w:val="nil"/>
              <w:bottom w:val="single" w:sz="4" w:space="0" w:color="FFFFFF"/>
              <w:right w:val="nil"/>
            </w:tcBorders>
            <w:shd w:val="clear" w:color="000000" w:fill="005CA9"/>
            <w:noWrap/>
            <w:vAlign w:val="center"/>
            <w:hideMark/>
          </w:tcPr>
          <w:p w14:paraId="797E98B0" w14:textId="77777777" w:rsidR="00D2624D" w:rsidRPr="00D2624D" w:rsidRDefault="00D2624D" w:rsidP="00D2624D">
            <w:pP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Taxa de exposição</w:t>
            </w:r>
          </w:p>
        </w:tc>
        <w:tc>
          <w:tcPr>
            <w:tcW w:w="813" w:type="pct"/>
            <w:tcBorders>
              <w:top w:val="nil"/>
              <w:left w:val="nil"/>
              <w:bottom w:val="single" w:sz="4" w:space="0" w:color="FFFFFF"/>
              <w:right w:val="nil"/>
            </w:tcBorders>
            <w:shd w:val="clear" w:color="000000" w:fill="005CA9"/>
            <w:noWrap/>
            <w:vAlign w:val="center"/>
            <w:hideMark/>
          </w:tcPr>
          <w:p w14:paraId="08B496CC" w14:textId="77777777" w:rsidR="00D2624D" w:rsidRPr="00D2624D" w:rsidRDefault="00D2624D" w:rsidP="00D2624D">
            <w:pPr>
              <w:jc w:val="right"/>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465.159.824</w:t>
            </w:r>
          </w:p>
        </w:tc>
        <w:tc>
          <w:tcPr>
            <w:tcW w:w="587" w:type="pct"/>
            <w:tcBorders>
              <w:top w:val="nil"/>
              <w:left w:val="nil"/>
              <w:bottom w:val="single" w:sz="4" w:space="0" w:color="FFFFFF"/>
              <w:right w:val="nil"/>
            </w:tcBorders>
            <w:shd w:val="clear" w:color="000000" w:fill="005CA9"/>
            <w:noWrap/>
            <w:vAlign w:val="center"/>
            <w:hideMark/>
          </w:tcPr>
          <w:p w14:paraId="1309BF8B" w14:textId="77777777" w:rsidR="00D2624D" w:rsidRPr="00D2624D" w:rsidRDefault="00D2624D" w:rsidP="00D2624D">
            <w:pPr>
              <w:jc w:val="right"/>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(2.990.127)</w:t>
            </w:r>
          </w:p>
        </w:tc>
        <w:tc>
          <w:tcPr>
            <w:tcW w:w="587" w:type="pct"/>
            <w:tcBorders>
              <w:top w:val="nil"/>
              <w:left w:val="nil"/>
              <w:bottom w:val="single" w:sz="4" w:space="0" w:color="FFFFFF"/>
              <w:right w:val="nil"/>
            </w:tcBorders>
            <w:shd w:val="clear" w:color="000000" w:fill="005CA9"/>
            <w:noWrap/>
            <w:vAlign w:val="center"/>
            <w:hideMark/>
          </w:tcPr>
          <w:p w14:paraId="7805EA25" w14:textId="77777777" w:rsidR="00D2624D" w:rsidRPr="00D2624D" w:rsidRDefault="00D2624D" w:rsidP="00D2624D">
            <w:pPr>
              <w:jc w:val="right"/>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(7.054.980)</w:t>
            </w:r>
          </w:p>
        </w:tc>
        <w:tc>
          <w:tcPr>
            <w:tcW w:w="639" w:type="pct"/>
            <w:tcBorders>
              <w:top w:val="nil"/>
              <w:left w:val="nil"/>
              <w:bottom w:val="single" w:sz="4" w:space="0" w:color="FFFFFF"/>
              <w:right w:val="nil"/>
            </w:tcBorders>
            <w:shd w:val="clear" w:color="000000" w:fill="005CA9"/>
            <w:noWrap/>
            <w:vAlign w:val="center"/>
            <w:hideMark/>
          </w:tcPr>
          <w:p w14:paraId="15F4858E" w14:textId="77777777" w:rsidR="00D2624D" w:rsidRPr="00D2624D" w:rsidRDefault="00D2624D" w:rsidP="00D2624D">
            <w:pPr>
              <w:jc w:val="right"/>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(13.038.122)</w:t>
            </w:r>
          </w:p>
        </w:tc>
        <w:tc>
          <w:tcPr>
            <w:tcW w:w="474" w:type="pct"/>
            <w:tcBorders>
              <w:top w:val="nil"/>
              <w:left w:val="nil"/>
              <w:bottom w:val="single" w:sz="4" w:space="0" w:color="FFFFFF"/>
              <w:right w:val="nil"/>
            </w:tcBorders>
            <w:shd w:val="clear" w:color="000000" w:fill="005CA9"/>
            <w:noWrap/>
            <w:vAlign w:val="center"/>
            <w:hideMark/>
          </w:tcPr>
          <w:p w14:paraId="60B452A7" w14:textId="77777777" w:rsidR="00D2624D" w:rsidRPr="00D2624D" w:rsidRDefault="00D2624D" w:rsidP="00D2624D">
            <w:pPr>
              <w:jc w:val="right"/>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3.117.560</w:t>
            </w:r>
          </w:p>
        </w:tc>
        <w:tc>
          <w:tcPr>
            <w:tcW w:w="536" w:type="pct"/>
            <w:tcBorders>
              <w:top w:val="nil"/>
              <w:left w:val="nil"/>
              <w:bottom w:val="single" w:sz="4" w:space="0" w:color="FFFFFF"/>
              <w:right w:val="nil"/>
            </w:tcBorders>
            <w:shd w:val="clear" w:color="000000" w:fill="005CA9"/>
            <w:noWrap/>
            <w:vAlign w:val="center"/>
            <w:hideMark/>
          </w:tcPr>
          <w:p w14:paraId="00D3C81C" w14:textId="77777777" w:rsidR="00D2624D" w:rsidRPr="00D2624D" w:rsidRDefault="00D2624D" w:rsidP="00D2624D">
            <w:pPr>
              <w:jc w:val="right"/>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7.852.935</w:t>
            </w:r>
          </w:p>
        </w:tc>
        <w:tc>
          <w:tcPr>
            <w:tcW w:w="587" w:type="pct"/>
            <w:tcBorders>
              <w:top w:val="nil"/>
              <w:left w:val="nil"/>
              <w:bottom w:val="single" w:sz="4" w:space="0" w:color="FFFFFF"/>
              <w:right w:val="nil"/>
            </w:tcBorders>
            <w:shd w:val="clear" w:color="000000" w:fill="005CA9"/>
            <w:noWrap/>
            <w:vAlign w:val="center"/>
            <w:hideMark/>
          </w:tcPr>
          <w:p w14:paraId="57B07BD0" w14:textId="77777777" w:rsidR="00D2624D" w:rsidRPr="00D2624D" w:rsidRDefault="00D2624D" w:rsidP="00D2624D">
            <w:pPr>
              <w:jc w:val="right"/>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16.267.582</w:t>
            </w:r>
          </w:p>
        </w:tc>
      </w:tr>
      <w:tr w:rsidR="00D2624D" w:rsidRPr="00D2624D" w14:paraId="10559098" w14:textId="77777777" w:rsidTr="00BC00DB">
        <w:trPr>
          <w:trHeight w:val="283"/>
        </w:trPr>
        <w:tc>
          <w:tcPr>
            <w:tcW w:w="776" w:type="pct"/>
            <w:tcBorders>
              <w:top w:val="nil"/>
              <w:left w:val="nil"/>
              <w:bottom w:val="nil"/>
              <w:right w:val="nil"/>
            </w:tcBorders>
            <w:shd w:val="clear" w:color="000000" w:fill="005CA9"/>
            <w:noWrap/>
            <w:vAlign w:val="center"/>
            <w:hideMark/>
          </w:tcPr>
          <w:p w14:paraId="6F6AEBB2" w14:textId="77777777" w:rsidR="00D2624D" w:rsidRPr="00D2624D" w:rsidRDefault="00D2624D" w:rsidP="00D2624D">
            <w:pPr>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Variação %</w:t>
            </w:r>
          </w:p>
        </w:tc>
        <w:tc>
          <w:tcPr>
            <w:tcW w:w="813" w:type="pct"/>
            <w:tcBorders>
              <w:top w:val="nil"/>
              <w:left w:val="nil"/>
              <w:bottom w:val="nil"/>
              <w:right w:val="nil"/>
            </w:tcBorders>
            <w:shd w:val="clear" w:color="000000" w:fill="005CA9"/>
            <w:noWrap/>
            <w:vAlign w:val="center"/>
            <w:hideMark/>
          </w:tcPr>
          <w:p w14:paraId="73E0EBCB" w14:textId="77777777" w:rsidR="00D2624D" w:rsidRPr="00D2624D" w:rsidRDefault="00D2624D" w:rsidP="00D2624D">
            <w:pPr>
              <w:jc w:val="right"/>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 </w:t>
            </w:r>
          </w:p>
        </w:tc>
        <w:tc>
          <w:tcPr>
            <w:tcW w:w="587" w:type="pct"/>
            <w:tcBorders>
              <w:top w:val="nil"/>
              <w:left w:val="nil"/>
              <w:bottom w:val="nil"/>
              <w:right w:val="nil"/>
            </w:tcBorders>
            <w:shd w:val="clear" w:color="000000" w:fill="005CA9"/>
            <w:noWrap/>
            <w:vAlign w:val="center"/>
            <w:hideMark/>
          </w:tcPr>
          <w:p w14:paraId="16C2CCC0" w14:textId="77777777" w:rsidR="00D2624D" w:rsidRPr="00D2624D" w:rsidRDefault="00D2624D" w:rsidP="00D2624D">
            <w:pPr>
              <w:jc w:val="right"/>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-0,64%</w:t>
            </w:r>
          </w:p>
        </w:tc>
        <w:tc>
          <w:tcPr>
            <w:tcW w:w="587" w:type="pct"/>
            <w:tcBorders>
              <w:top w:val="nil"/>
              <w:left w:val="nil"/>
              <w:bottom w:val="nil"/>
              <w:right w:val="nil"/>
            </w:tcBorders>
            <w:shd w:val="clear" w:color="000000" w:fill="005CA9"/>
            <w:noWrap/>
            <w:vAlign w:val="center"/>
            <w:hideMark/>
          </w:tcPr>
          <w:p w14:paraId="4A359AEC" w14:textId="77777777" w:rsidR="00D2624D" w:rsidRPr="00D2624D" w:rsidRDefault="00D2624D" w:rsidP="00D2624D">
            <w:pPr>
              <w:jc w:val="right"/>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-1,52%</w:t>
            </w:r>
          </w:p>
        </w:tc>
        <w:tc>
          <w:tcPr>
            <w:tcW w:w="639" w:type="pct"/>
            <w:tcBorders>
              <w:top w:val="nil"/>
              <w:left w:val="nil"/>
              <w:bottom w:val="nil"/>
              <w:right w:val="nil"/>
            </w:tcBorders>
            <w:shd w:val="clear" w:color="000000" w:fill="005CA9"/>
            <w:noWrap/>
            <w:vAlign w:val="center"/>
            <w:hideMark/>
          </w:tcPr>
          <w:p w14:paraId="058519EB" w14:textId="77777777" w:rsidR="00D2624D" w:rsidRPr="00D2624D" w:rsidRDefault="00D2624D" w:rsidP="00D2624D">
            <w:pPr>
              <w:jc w:val="right"/>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-2,80%</w:t>
            </w:r>
          </w:p>
        </w:tc>
        <w:tc>
          <w:tcPr>
            <w:tcW w:w="474" w:type="pct"/>
            <w:tcBorders>
              <w:top w:val="nil"/>
              <w:left w:val="nil"/>
              <w:bottom w:val="nil"/>
              <w:right w:val="nil"/>
            </w:tcBorders>
            <w:shd w:val="clear" w:color="000000" w:fill="005CA9"/>
            <w:noWrap/>
            <w:vAlign w:val="center"/>
            <w:hideMark/>
          </w:tcPr>
          <w:p w14:paraId="5E3FF91A" w14:textId="77777777" w:rsidR="00D2624D" w:rsidRPr="00D2624D" w:rsidRDefault="00D2624D" w:rsidP="00D2624D">
            <w:pPr>
              <w:jc w:val="right"/>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0,67%</w:t>
            </w:r>
          </w:p>
        </w:tc>
        <w:tc>
          <w:tcPr>
            <w:tcW w:w="536" w:type="pct"/>
            <w:tcBorders>
              <w:top w:val="nil"/>
              <w:left w:val="nil"/>
              <w:bottom w:val="nil"/>
              <w:right w:val="nil"/>
            </w:tcBorders>
            <w:shd w:val="clear" w:color="000000" w:fill="005CA9"/>
            <w:noWrap/>
            <w:vAlign w:val="center"/>
            <w:hideMark/>
          </w:tcPr>
          <w:p w14:paraId="57444524" w14:textId="77777777" w:rsidR="00D2624D" w:rsidRPr="00D2624D" w:rsidRDefault="00D2624D" w:rsidP="00D2624D">
            <w:pPr>
              <w:jc w:val="right"/>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1,69%</w:t>
            </w:r>
          </w:p>
        </w:tc>
        <w:tc>
          <w:tcPr>
            <w:tcW w:w="587" w:type="pct"/>
            <w:tcBorders>
              <w:top w:val="nil"/>
              <w:left w:val="nil"/>
              <w:bottom w:val="nil"/>
              <w:right w:val="nil"/>
            </w:tcBorders>
            <w:shd w:val="clear" w:color="000000" w:fill="005CA9"/>
            <w:noWrap/>
            <w:vAlign w:val="center"/>
            <w:hideMark/>
          </w:tcPr>
          <w:p w14:paraId="711D6917" w14:textId="77777777" w:rsidR="00D2624D" w:rsidRPr="00D2624D" w:rsidRDefault="00D2624D" w:rsidP="00D2624D">
            <w:pPr>
              <w:jc w:val="right"/>
              <w:rPr>
                <w:rFonts w:ascii="CAIXA Std Book" w:eastAsia="Times New Roman" w:hAnsi="CAIXA Std Book" w:cs="Times New Roman"/>
                <w:b/>
                <w:bCs/>
                <w:color w:val="FFFFFF"/>
                <w:sz w:val="16"/>
                <w:szCs w:val="16"/>
              </w:rPr>
            </w:pPr>
            <w:r w:rsidRPr="00D2624D">
              <w:rPr>
                <w:rFonts w:ascii="CAIXA Std Book" w:eastAsia="Times New Roman" w:hAnsi="CAIXA Std Book" w:cs="Calibri"/>
                <w:b/>
                <w:bCs/>
                <w:color w:val="FFFFFF"/>
                <w:sz w:val="16"/>
                <w:szCs w:val="16"/>
              </w:rPr>
              <w:t>3,50%</w:t>
            </w:r>
          </w:p>
        </w:tc>
      </w:tr>
    </w:tbl>
    <w:p w14:paraId="66145EC9" w14:textId="4C9D170E" w:rsidR="00487AB0" w:rsidRPr="00D21C92" w:rsidRDefault="00C0572E" w:rsidP="00295657">
      <w:pPr>
        <w:pStyle w:val="PargrafodaLista"/>
        <w:numPr>
          <w:ilvl w:val="4"/>
          <w:numId w:val="22"/>
        </w:numPr>
        <w:spacing w:before="240" w:after="120"/>
        <w:ind w:left="567" w:hanging="567"/>
        <w:contextualSpacing w:val="0"/>
        <w:jc w:val="both"/>
        <w:rPr>
          <w:rFonts w:ascii="CAIXA Std Book" w:hAnsi="CAIXA Std Book"/>
          <w:b/>
          <w:color w:val="005CA9"/>
          <w:sz w:val="20"/>
          <w:szCs w:val="20"/>
        </w:rPr>
      </w:pPr>
      <w:r w:rsidRPr="00D21C92">
        <w:rPr>
          <w:rFonts w:ascii="CAIXA Std Book" w:hAnsi="CAIXA Std Book"/>
          <w:b/>
          <w:color w:val="005CA9"/>
          <w:sz w:val="20"/>
          <w:szCs w:val="20"/>
        </w:rPr>
        <w:t>Cálculo da exigência de capital regulamentar</w:t>
      </w:r>
    </w:p>
    <w:p w14:paraId="1C1017F8" w14:textId="77777777" w:rsidR="003B03FC" w:rsidRPr="003B03FC" w:rsidRDefault="003B03FC" w:rsidP="00827E61">
      <w:pPr>
        <w:spacing w:after="120"/>
        <w:jc w:val="both"/>
        <w:rPr>
          <w:rFonts w:ascii="CAIXA Std Book" w:hAnsi="CAIXA Std Book"/>
          <w:color w:val="005CA9"/>
          <w:sz w:val="20"/>
          <w:szCs w:val="20"/>
        </w:rPr>
      </w:pPr>
      <w:r w:rsidRPr="003B03FC">
        <w:rPr>
          <w:rFonts w:ascii="CAIXA Std Book" w:hAnsi="CAIXA Std Book"/>
          <w:color w:val="005CA9"/>
          <w:sz w:val="20"/>
          <w:szCs w:val="20"/>
        </w:rPr>
        <w:t xml:space="preserve">A Resolução CMN n° 5.199/2024 alterou a Resolução CMN n° 4.955/2021 e incluiu no cálculo do Capital Principal o valor absoluto do ajuste negativo registrado no patrimônio líquido, decorrente da aplicação em 1° de janeiro de 2025, dos critérios de constituição de provisão para perdas esperadas previstos na Resolução CMN n° 4.966/2021, observados os percentuais abaixo: </w:t>
      </w:r>
    </w:p>
    <w:p w14:paraId="30744C21" w14:textId="77777777" w:rsidR="00FA2FD4" w:rsidRPr="00FA2FD4" w:rsidRDefault="00FA2FD4" w:rsidP="00FA2FD4">
      <w:pPr>
        <w:spacing w:after="120"/>
        <w:jc w:val="both"/>
        <w:rPr>
          <w:rFonts w:ascii="CAIXA Std Book" w:hAnsi="CAIXA Std Book"/>
          <w:color w:val="005CA9"/>
          <w:sz w:val="20"/>
          <w:szCs w:val="20"/>
        </w:rPr>
      </w:pPr>
      <w:r w:rsidRPr="00FA2FD4">
        <w:rPr>
          <w:rFonts w:ascii="CAIXA Std Book" w:hAnsi="CAIXA Std Book"/>
          <w:color w:val="005CA9"/>
          <w:sz w:val="20"/>
          <w:szCs w:val="20"/>
        </w:rPr>
        <w:t>•</w:t>
      </w:r>
      <w:r w:rsidRPr="00FA2FD4">
        <w:rPr>
          <w:rFonts w:ascii="CAIXA Std Book" w:hAnsi="CAIXA Std Book"/>
          <w:color w:val="005CA9"/>
          <w:sz w:val="20"/>
          <w:szCs w:val="20"/>
        </w:rPr>
        <w:tab/>
        <w:t xml:space="preserve">75%, até 31 de dezembro de 2025; </w:t>
      </w:r>
    </w:p>
    <w:p w14:paraId="789948F4" w14:textId="77777777" w:rsidR="00FA2FD4" w:rsidRPr="00FA2FD4" w:rsidRDefault="00FA2FD4" w:rsidP="00FA2FD4">
      <w:pPr>
        <w:spacing w:after="120"/>
        <w:jc w:val="both"/>
        <w:rPr>
          <w:rFonts w:ascii="CAIXA Std Book" w:hAnsi="CAIXA Std Book"/>
          <w:color w:val="005CA9"/>
          <w:sz w:val="20"/>
          <w:szCs w:val="20"/>
        </w:rPr>
      </w:pPr>
      <w:r w:rsidRPr="00FA2FD4">
        <w:rPr>
          <w:rFonts w:ascii="CAIXA Std Book" w:hAnsi="CAIXA Std Book"/>
          <w:color w:val="005CA9"/>
          <w:sz w:val="20"/>
          <w:szCs w:val="20"/>
        </w:rPr>
        <w:t>•</w:t>
      </w:r>
      <w:r w:rsidRPr="00FA2FD4">
        <w:rPr>
          <w:rFonts w:ascii="CAIXA Std Book" w:hAnsi="CAIXA Std Book"/>
          <w:color w:val="005CA9"/>
          <w:sz w:val="20"/>
          <w:szCs w:val="20"/>
        </w:rPr>
        <w:tab/>
        <w:t xml:space="preserve">50%, até 31 de dezembro de 2026; </w:t>
      </w:r>
    </w:p>
    <w:p w14:paraId="2B90B6F9" w14:textId="77777777" w:rsidR="00FA2FD4" w:rsidRPr="00FA2FD4" w:rsidRDefault="00FA2FD4" w:rsidP="00FA2FD4">
      <w:pPr>
        <w:spacing w:after="120"/>
        <w:jc w:val="both"/>
        <w:rPr>
          <w:rFonts w:ascii="CAIXA Std Book" w:hAnsi="CAIXA Std Book"/>
          <w:color w:val="005CA9"/>
          <w:sz w:val="20"/>
          <w:szCs w:val="20"/>
        </w:rPr>
      </w:pPr>
      <w:r w:rsidRPr="00FA2FD4">
        <w:rPr>
          <w:rFonts w:ascii="CAIXA Std Book" w:hAnsi="CAIXA Std Book"/>
          <w:color w:val="005CA9"/>
          <w:sz w:val="20"/>
          <w:szCs w:val="20"/>
        </w:rPr>
        <w:t>•</w:t>
      </w:r>
      <w:r w:rsidRPr="00FA2FD4">
        <w:rPr>
          <w:rFonts w:ascii="CAIXA Std Book" w:hAnsi="CAIXA Std Book"/>
          <w:color w:val="005CA9"/>
          <w:sz w:val="20"/>
          <w:szCs w:val="20"/>
        </w:rPr>
        <w:tab/>
        <w:t xml:space="preserve">25%, até 31 de dezembro de 2027; e </w:t>
      </w:r>
    </w:p>
    <w:p w14:paraId="69C82B85" w14:textId="77777777" w:rsidR="00FA2FD4" w:rsidRPr="00FA2FD4" w:rsidRDefault="00FA2FD4" w:rsidP="00FA2FD4">
      <w:pPr>
        <w:spacing w:after="120"/>
        <w:jc w:val="both"/>
        <w:rPr>
          <w:rFonts w:ascii="CAIXA Std Book" w:hAnsi="CAIXA Std Book"/>
          <w:color w:val="005CA9"/>
          <w:sz w:val="20"/>
          <w:szCs w:val="20"/>
        </w:rPr>
      </w:pPr>
      <w:r w:rsidRPr="00FA2FD4">
        <w:rPr>
          <w:rFonts w:ascii="CAIXA Std Book" w:hAnsi="CAIXA Std Book"/>
          <w:color w:val="005CA9"/>
          <w:sz w:val="20"/>
          <w:szCs w:val="20"/>
        </w:rPr>
        <w:t>•</w:t>
      </w:r>
      <w:r w:rsidRPr="00FA2FD4">
        <w:rPr>
          <w:rFonts w:ascii="CAIXA Std Book" w:hAnsi="CAIXA Std Book"/>
          <w:color w:val="005CA9"/>
          <w:sz w:val="20"/>
          <w:szCs w:val="20"/>
        </w:rPr>
        <w:tab/>
        <w:t xml:space="preserve">0%, a partir de 1° de janeiro de 2028. </w:t>
      </w:r>
    </w:p>
    <w:p w14:paraId="3F3A8EF1" w14:textId="77777777" w:rsidR="00C0572E" w:rsidRPr="00A47C19" w:rsidRDefault="00C0572E" w:rsidP="00827E61">
      <w:pPr>
        <w:spacing w:after="120"/>
        <w:jc w:val="both"/>
        <w:rPr>
          <w:rFonts w:ascii="CAIXA Std Book" w:hAnsi="CAIXA Std Book"/>
          <w:color w:val="005CA9"/>
          <w:sz w:val="20"/>
          <w:szCs w:val="20"/>
        </w:rPr>
      </w:pPr>
      <w:r w:rsidRPr="00A47C19">
        <w:rPr>
          <w:rFonts w:ascii="CAIXA Std Book" w:hAnsi="CAIXA Std Book"/>
          <w:color w:val="005CA9"/>
          <w:sz w:val="20"/>
          <w:szCs w:val="20"/>
        </w:rPr>
        <w:t>Em conformidade com as Resoluções CMN nº 4.955/2021 e nº 4.958/2021, o cálculo do patrimônio de referência e o cálculo dos requerimentos mínimos de capital consideram o Conglomerado Prudencial.</w:t>
      </w:r>
    </w:p>
    <w:p w14:paraId="215D59B6" w14:textId="0D02664C" w:rsidR="00C0572E" w:rsidRPr="00A47C19" w:rsidRDefault="00C0572E" w:rsidP="00827E61">
      <w:pPr>
        <w:spacing w:after="120"/>
        <w:jc w:val="both"/>
        <w:rPr>
          <w:rFonts w:ascii="CAIXA Std Book" w:hAnsi="CAIXA Std Book"/>
          <w:color w:val="005CA9"/>
          <w:sz w:val="20"/>
          <w:szCs w:val="20"/>
        </w:rPr>
      </w:pPr>
      <w:r w:rsidRPr="00A47C19">
        <w:rPr>
          <w:rFonts w:ascii="CAIXA Std Book" w:hAnsi="CAIXA Std Book"/>
          <w:color w:val="005CA9"/>
          <w:sz w:val="20"/>
          <w:szCs w:val="20"/>
        </w:rPr>
        <w:t>O quadro a seguir apresenta o detalhamento desses indicadores de capital.</w:t>
      </w:r>
    </w:p>
    <w:p w14:paraId="666C2425" w14:textId="77777777" w:rsidR="008F5CB3" w:rsidRDefault="008F5CB3">
      <w:pPr>
        <w:rPr>
          <w:rFonts w:ascii="CAIXA Std Book" w:hAnsi="CAIXA Std Book"/>
          <w:color w:val="005CA9"/>
          <w:sz w:val="20"/>
          <w:szCs w:val="20"/>
        </w:rPr>
      </w:pPr>
      <w:r>
        <w:rPr>
          <w:rFonts w:ascii="CAIXA Std Book" w:hAnsi="CAIXA Std Book"/>
          <w:color w:val="005CA9"/>
          <w:sz w:val="20"/>
          <w:szCs w:val="20"/>
        </w:rPr>
        <w:br w:type="page"/>
      </w:r>
    </w:p>
    <w:tbl>
      <w:tblPr>
        <w:tblW w:w="5000" w:type="pct"/>
        <w:tblCellMar>
          <w:left w:w="0" w:type="dxa"/>
          <w:right w:w="0" w:type="dxa"/>
        </w:tblCellMar>
        <w:tblLook w:val="04A0" w:firstRow="1" w:lastRow="0" w:firstColumn="1" w:lastColumn="0" w:noHBand="0" w:noVBand="1"/>
      </w:tblPr>
      <w:tblGrid>
        <w:gridCol w:w="6796"/>
        <w:gridCol w:w="1421"/>
        <w:gridCol w:w="1421"/>
      </w:tblGrid>
      <w:tr w:rsidR="007E5587" w14:paraId="1A360897" w14:textId="77777777" w:rsidTr="00127353">
        <w:trPr>
          <w:trHeight w:val="288"/>
        </w:trPr>
        <w:tc>
          <w:tcPr>
            <w:tcW w:w="3526" w:type="pct"/>
            <w:tcBorders>
              <w:top w:val="nil"/>
              <w:left w:val="nil"/>
              <w:right w:val="nil"/>
            </w:tcBorders>
            <w:shd w:val="clear" w:color="000000" w:fill="005CA9"/>
            <w:noWrap/>
            <w:tcMar>
              <w:top w:w="15" w:type="dxa"/>
              <w:left w:w="15" w:type="dxa"/>
              <w:bottom w:w="0" w:type="dxa"/>
              <w:right w:w="15" w:type="dxa"/>
            </w:tcMar>
            <w:vAlign w:val="center"/>
            <w:hideMark/>
          </w:tcPr>
          <w:p w14:paraId="5F6834FB" w14:textId="77777777" w:rsidR="007E5587" w:rsidRDefault="007E5587">
            <w:pPr>
              <w:jc w:val="center"/>
              <w:rPr>
                <w:rFonts w:ascii="CAIXA Std Book" w:hAnsi="CAIXA Std Book"/>
                <w:b/>
                <w:bCs/>
                <w:color w:val="FFFFFF"/>
                <w:sz w:val="18"/>
                <w:szCs w:val="18"/>
              </w:rPr>
            </w:pPr>
            <w:r>
              <w:rPr>
                <w:rFonts w:ascii="CAIXA Std Book" w:hAnsi="CAIXA Std Book" w:cs="Calibri"/>
                <w:b/>
                <w:bCs/>
                <w:color w:val="FFFFFF"/>
                <w:sz w:val="18"/>
                <w:szCs w:val="18"/>
              </w:rPr>
              <w:t>Descrição</w:t>
            </w:r>
          </w:p>
        </w:tc>
        <w:tc>
          <w:tcPr>
            <w:tcW w:w="737" w:type="pct"/>
            <w:tcBorders>
              <w:top w:val="nil"/>
              <w:left w:val="nil"/>
              <w:right w:val="nil"/>
            </w:tcBorders>
            <w:shd w:val="clear" w:color="000000" w:fill="005CA9"/>
            <w:noWrap/>
            <w:tcMar>
              <w:top w:w="15" w:type="dxa"/>
              <w:left w:w="15" w:type="dxa"/>
              <w:bottom w:w="0" w:type="dxa"/>
              <w:right w:w="15" w:type="dxa"/>
            </w:tcMar>
            <w:vAlign w:val="center"/>
            <w:hideMark/>
          </w:tcPr>
          <w:p w14:paraId="3BC57BEB" w14:textId="77777777" w:rsidR="007E5587" w:rsidRDefault="007E5587">
            <w:pPr>
              <w:jc w:val="center"/>
              <w:rPr>
                <w:rFonts w:ascii="CAIXA Std Book" w:hAnsi="CAIXA Std Book"/>
                <w:b/>
                <w:bCs/>
                <w:color w:val="FFFFFF"/>
                <w:sz w:val="18"/>
                <w:szCs w:val="18"/>
              </w:rPr>
            </w:pPr>
            <w:r>
              <w:rPr>
                <w:rFonts w:ascii="CAIXA Std Book" w:hAnsi="CAIXA Std Book"/>
                <w:b/>
                <w:bCs/>
                <w:color w:val="FFFFFF"/>
                <w:sz w:val="18"/>
                <w:szCs w:val="18"/>
              </w:rPr>
              <w:t>31/03/2026</w:t>
            </w:r>
          </w:p>
        </w:tc>
        <w:tc>
          <w:tcPr>
            <w:tcW w:w="737" w:type="pct"/>
            <w:tcBorders>
              <w:top w:val="nil"/>
              <w:left w:val="nil"/>
              <w:right w:val="nil"/>
            </w:tcBorders>
            <w:shd w:val="clear" w:color="000000" w:fill="005CA9"/>
            <w:noWrap/>
            <w:tcMar>
              <w:top w:w="15" w:type="dxa"/>
              <w:left w:w="15" w:type="dxa"/>
              <w:bottom w:w="0" w:type="dxa"/>
              <w:right w:w="15" w:type="dxa"/>
            </w:tcMar>
            <w:vAlign w:val="center"/>
            <w:hideMark/>
          </w:tcPr>
          <w:p w14:paraId="222FAE14" w14:textId="77777777" w:rsidR="007E5587" w:rsidRDefault="007E5587">
            <w:pPr>
              <w:jc w:val="center"/>
              <w:rPr>
                <w:rFonts w:ascii="CAIXA Std Book" w:hAnsi="CAIXA Std Book"/>
                <w:b/>
                <w:bCs/>
                <w:color w:val="FFFFFF"/>
                <w:sz w:val="18"/>
                <w:szCs w:val="18"/>
              </w:rPr>
            </w:pPr>
            <w:r>
              <w:rPr>
                <w:rFonts w:ascii="CAIXA Std Book" w:hAnsi="CAIXA Std Book" w:cs="Calibri"/>
                <w:b/>
                <w:bCs/>
                <w:color w:val="FFFFFF"/>
                <w:sz w:val="18"/>
                <w:szCs w:val="18"/>
              </w:rPr>
              <w:t>31/12/2025</w:t>
            </w:r>
          </w:p>
        </w:tc>
      </w:tr>
      <w:tr w:rsidR="007E5587" w14:paraId="7EC14FA2" w14:textId="77777777" w:rsidTr="00127353">
        <w:trPr>
          <w:trHeight w:val="300"/>
        </w:trPr>
        <w:tc>
          <w:tcPr>
            <w:tcW w:w="3526" w:type="pct"/>
            <w:tcBorders>
              <w:top w:val="nil"/>
              <w:left w:val="nil"/>
              <w:bottom w:val="single" w:sz="4" w:space="0" w:color="FFFFFF" w:themeColor="background1"/>
              <w:right w:val="nil"/>
            </w:tcBorders>
            <w:shd w:val="clear" w:color="000000" w:fill="D0E0E3"/>
            <w:noWrap/>
            <w:tcMar>
              <w:top w:w="15" w:type="dxa"/>
              <w:left w:w="15" w:type="dxa"/>
              <w:bottom w:w="0" w:type="dxa"/>
              <w:right w:w="15" w:type="dxa"/>
            </w:tcMar>
            <w:vAlign w:val="center"/>
            <w:hideMark/>
          </w:tcPr>
          <w:p w14:paraId="25F43BBC" w14:textId="77777777" w:rsidR="007E5587" w:rsidRDefault="007E5587">
            <w:pPr>
              <w:rPr>
                <w:rFonts w:ascii="CAIXA Std Book" w:hAnsi="CAIXA Std Book"/>
                <w:b/>
                <w:bCs/>
                <w:color w:val="005CA9"/>
                <w:sz w:val="18"/>
                <w:szCs w:val="18"/>
              </w:rPr>
            </w:pPr>
            <w:r>
              <w:rPr>
                <w:rFonts w:ascii="CAIXA Std Book" w:hAnsi="CAIXA Std Book"/>
                <w:b/>
                <w:bCs/>
                <w:color w:val="005CA9"/>
                <w:sz w:val="18"/>
                <w:szCs w:val="18"/>
              </w:rPr>
              <w:t>Patrimônio de Referência – PR</w:t>
            </w:r>
          </w:p>
        </w:tc>
        <w:tc>
          <w:tcPr>
            <w:tcW w:w="737" w:type="pct"/>
            <w:tcBorders>
              <w:top w:val="nil"/>
              <w:left w:val="nil"/>
              <w:bottom w:val="single" w:sz="4" w:space="0" w:color="FFFFFF" w:themeColor="background1"/>
              <w:right w:val="nil"/>
            </w:tcBorders>
            <w:shd w:val="clear" w:color="auto" w:fill="D0E0E3"/>
            <w:noWrap/>
            <w:tcMar>
              <w:top w:w="15" w:type="dxa"/>
              <w:left w:w="15" w:type="dxa"/>
              <w:bottom w:w="0" w:type="dxa"/>
              <w:right w:w="15" w:type="dxa"/>
            </w:tcMar>
            <w:vAlign w:val="center"/>
            <w:hideMark/>
          </w:tcPr>
          <w:p w14:paraId="25A45B96" w14:textId="51EF90CE" w:rsidR="007E5587" w:rsidRDefault="0055672C" w:rsidP="0055672C">
            <w:pPr>
              <w:jc w:val="right"/>
              <w:rPr>
                <w:rFonts w:ascii="CAIXA Std Book" w:hAnsi="CAIXA Std Book"/>
                <w:b/>
                <w:bCs/>
                <w:color w:val="005CA9"/>
                <w:sz w:val="18"/>
                <w:szCs w:val="18"/>
              </w:rPr>
            </w:pPr>
            <w:r>
              <w:rPr>
                <w:rFonts w:ascii="CAIXA Std Book" w:hAnsi="CAIXA Std Book"/>
                <w:b/>
                <w:bCs/>
                <w:color w:val="005CA9"/>
                <w:sz w:val="18"/>
                <w:szCs w:val="18"/>
              </w:rPr>
              <w:t>153.863.891</w:t>
            </w:r>
          </w:p>
        </w:tc>
        <w:tc>
          <w:tcPr>
            <w:tcW w:w="737" w:type="pct"/>
            <w:tcBorders>
              <w:top w:val="nil"/>
              <w:left w:val="nil"/>
              <w:bottom w:val="single" w:sz="4" w:space="0" w:color="FFFFFF" w:themeColor="background1"/>
              <w:right w:val="nil"/>
            </w:tcBorders>
            <w:shd w:val="clear" w:color="000000" w:fill="D0E0E3"/>
            <w:noWrap/>
            <w:tcMar>
              <w:top w:w="15" w:type="dxa"/>
              <w:left w:w="15" w:type="dxa"/>
              <w:bottom w:w="0" w:type="dxa"/>
              <w:right w:w="15" w:type="dxa"/>
            </w:tcMar>
            <w:vAlign w:val="center"/>
            <w:hideMark/>
          </w:tcPr>
          <w:p w14:paraId="2D5A5D7D" w14:textId="77777777" w:rsidR="007E5587" w:rsidRDefault="007E5587">
            <w:pPr>
              <w:jc w:val="right"/>
              <w:rPr>
                <w:rFonts w:ascii="CAIXA Std Book" w:hAnsi="CAIXA Std Book"/>
                <w:b/>
                <w:bCs/>
                <w:color w:val="005CA9"/>
                <w:sz w:val="18"/>
                <w:szCs w:val="18"/>
              </w:rPr>
            </w:pPr>
            <w:bookmarkStart w:id="164" w:name="RANGE!D3"/>
            <w:r>
              <w:rPr>
                <w:rFonts w:ascii="CAIXA Std Book" w:hAnsi="CAIXA Std Book"/>
                <w:b/>
                <w:bCs/>
                <w:color w:val="005CA9"/>
                <w:sz w:val="18"/>
                <w:szCs w:val="18"/>
              </w:rPr>
              <w:t>157.389.708</w:t>
            </w:r>
            <w:bookmarkEnd w:id="164"/>
          </w:p>
        </w:tc>
      </w:tr>
      <w:tr w:rsidR="007E5587" w14:paraId="32E05DE3" w14:textId="77777777" w:rsidTr="00127353">
        <w:trPr>
          <w:trHeight w:val="300"/>
        </w:trPr>
        <w:tc>
          <w:tcPr>
            <w:tcW w:w="3526" w:type="pct"/>
            <w:tcBorders>
              <w:top w:val="single" w:sz="4" w:space="0" w:color="FFFFFF" w:themeColor="background1"/>
              <w:left w:val="nil"/>
              <w:bottom w:val="single" w:sz="4" w:space="0" w:color="FFFFFF" w:themeColor="background1"/>
              <w:right w:val="nil"/>
            </w:tcBorders>
            <w:shd w:val="clear" w:color="000000" w:fill="D0E0E3"/>
            <w:noWrap/>
            <w:tcMar>
              <w:top w:w="15" w:type="dxa"/>
              <w:left w:w="15" w:type="dxa"/>
              <w:bottom w:w="0" w:type="dxa"/>
              <w:right w:w="15" w:type="dxa"/>
            </w:tcMar>
            <w:vAlign w:val="center"/>
            <w:hideMark/>
          </w:tcPr>
          <w:p w14:paraId="59190824" w14:textId="77777777" w:rsidR="007E5587" w:rsidRDefault="007E5587">
            <w:pPr>
              <w:rPr>
                <w:rFonts w:ascii="CAIXA Std Book" w:hAnsi="CAIXA Std Book"/>
                <w:b/>
                <w:bCs/>
                <w:color w:val="005CA9"/>
                <w:sz w:val="18"/>
                <w:szCs w:val="18"/>
              </w:rPr>
            </w:pPr>
            <w:bookmarkStart w:id="165" w:name="_Hlk65763081" w:colFirst="2" w:colLast="2"/>
            <w:r>
              <w:rPr>
                <w:rFonts w:ascii="CAIXA Std Book" w:hAnsi="CAIXA Std Book"/>
                <w:b/>
                <w:bCs/>
                <w:color w:val="005CA9"/>
                <w:sz w:val="18"/>
                <w:szCs w:val="18"/>
              </w:rPr>
              <w:t>Nível I</w:t>
            </w:r>
          </w:p>
        </w:tc>
        <w:tc>
          <w:tcPr>
            <w:tcW w:w="737" w:type="pct"/>
            <w:tcBorders>
              <w:top w:val="single" w:sz="4" w:space="0" w:color="FFFFFF" w:themeColor="background1"/>
              <w:left w:val="nil"/>
              <w:bottom w:val="single" w:sz="4" w:space="0" w:color="FFFFFF" w:themeColor="background1"/>
              <w:right w:val="nil"/>
            </w:tcBorders>
            <w:shd w:val="clear" w:color="auto" w:fill="D0E0E3"/>
            <w:noWrap/>
            <w:tcMar>
              <w:top w:w="15" w:type="dxa"/>
              <w:left w:w="15" w:type="dxa"/>
              <w:bottom w:w="0" w:type="dxa"/>
              <w:right w:w="15" w:type="dxa"/>
            </w:tcMar>
            <w:vAlign w:val="center"/>
            <w:hideMark/>
          </w:tcPr>
          <w:p w14:paraId="305A2485" w14:textId="182E38A1" w:rsidR="007E5587" w:rsidRDefault="0055672C" w:rsidP="0055672C">
            <w:pPr>
              <w:jc w:val="right"/>
              <w:rPr>
                <w:rFonts w:ascii="CAIXA Std Book" w:hAnsi="CAIXA Std Book"/>
                <w:b/>
                <w:bCs/>
                <w:color w:val="005CA9"/>
                <w:sz w:val="18"/>
                <w:szCs w:val="18"/>
              </w:rPr>
            </w:pPr>
            <w:r>
              <w:rPr>
                <w:rFonts w:ascii="CAIXA Std Book" w:hAnsi="CAIXA Std Book"/>
                <w:b/>
                <w:bCs/>
                <w:color w:val="005CA9"/>
                <w:sz w:val="18"/>
                <w:szCs w:val="18"/>
              </w:rPr>
              <w:t>144.160.168</w:t>
            </w:r>
          </w:p>
        </w:tc>
        <w:tc>
          <w:tcPr>
            <w:tcW w:w="737" w:type="pct"/>
            <w:tcBorders>
              <w:top w:val="single" w:sz="4" w:space="0" w:color="FFFFFF" w:themeColor="background1"/>
              <w:left w:val="nil"/>
              <w:bottom w:val="single" w:sz="4" w:space="0" w:color="FFFFFF" w:themeColor="background1"/>
              <w:right w:val="nil"/>
            </w:tcBorders>
            <w:shd w:val="clear" w:color="000000" w:fill="D0E0E3"/>
            <w:noWrap/>
            <w:tcMar>
              <w:top w:w="15" w:type="dxa"/>
              <w:left w:w="15" w:type="dxa"/>
              <w:bottom w:w="0" w:type="dxa"/>
              <w:right w:w="15" w:type="dxa"/>
            </w:tcMar>
            <w:vAlign w:val="center"/>
            <w:hideMark/>
          </w:tcPr>
          <w:p w14:paraId="0D37DB2F" w14:textId="77777777" w:rsidR="007E5587" w:rsidRDefault="007E5587">
            <w:pPr>
              <w:jc w:val="right"/>
              <w:rPr>
                <w:rFonts w:ascii="CAIXA Std Book" w:hAnsi="CAIXA Std Book"/>
                <w:b/>
                <w:bCs/>
                <w:color w:val="005CA9"/>
                <w:sz w:val="18"/>
                <w:szCs w:val="18"/>
              </w:rPr>
            </w:pPr>
            <w:r>
              <w:rPr>
                <w:rFonts w:ascii="CAIXA Std Book" w:hAnsi="CAIXA Std Book"/>
                <w:b/>
                <w:bCs/>
                <w:color w:val="005CA9"/>
                <w:sz w:val="18"/>
                <w:szCs w:val="18"/>
              </w:rPr>
              <w:t>144.451.411</w:t>
            </w:r>
          </w:p>
        </w:tc>
      </w:tr>
      <w:tr w:rsidR="007E5587" w14:paraId="3DBEC041" w14:textId="77777777" w:rsidTr="00127353">
        <w:trPr>
          <w:trHeight w:val="288"/>
        </w:trPr>
        <w:tc>
          <w:tcPr>
            <w:tcW w:w="3526" w:type="pct"/>
            <w:tcBorders>
              <w:top w:val="single" w:sz="4" w:space="0" w:color="FFFFFF" w:themeColor="background1"/>
              <w:left w:val="nil"/>
              <w:bottom w:val="nil"/>
              <w:right w:val="nil"/>
            </w:tcBorders>
            <w:shd w:val="clear" w:color="000000" w:fill="D0E0E3"/>
            <w:noWrap/>
            <w:tcMar>
              <w:top w:w="15" w:type="dxa"/>
              <w:left w:w="15" w:type="dxa"/>
              <w:bottom w:w="0" w:type="dxa"/>
              <w:right w:w="15" w:type="dxa"/>
            </w:tcMar>
            <w:vAlign w:val="center"/>
            <w:hideMark/>
          </w:tcPr>
          <w:p w14:paraId="647E8FB3" w14:textId="77777777" w:rsidR="007E5587" w:rsidRDefault="007E5587">
            <w:pPr>
              <w:rPr>
                <w:rFonts w:ascii="CAIXA Std Book" w:hAnsi="CAIXA Std Book"/>
                <w:b/>
                <w:bCs/>
                <w:color w:val="005CA9"/>
                <w:sz w:val="18"/>
                <w:szCs w:val="18"/>
              </w:rPr>
            </w:pPr>
            <w:r>
              <w:rPr>
                <w:rFonts w:ascii="CAIXA Std Book" w:hAnsi="CAIXA Std Book"/>
                <w:b/>
                <w:bCs/>
                <w:color w:val="005CA9"/>
                <w:sz w:val="18"/>
                <w:szCs w:val="18"/>
              </w:rPr>
              <w:t>Capital Principal – CP</w:t>
            </w:r>
          </w:p>
        </w:tc>
        <w:tc>
          <w:tcPr>
            <w:tcW w:w="737" w:type="pct"/>
            <w:tcBorders>
              <w:top w:val="single" w:sz="4" w:space="0" w:color="FFFFFF" w:themeColor="background1"/>
              <w:left w:val="nil"/>
              <w:bottom w:val="nil"/>
              <w:right w:val="nil"/>
            </w:tcBorders>
            <w:shd w:val="clear" w:color="auto" w:fill="D0E0E3"/>
            <w:noWrap/>
            <w:tcMar>
              <w:top w:w="15" w:type="dxa"/>
              <w:left w:w="15" w:type="dxa"/>
              <w:bottom w:w="0" w:type="dxa"/>
              <w:right w:w="15" w:type="dxa"/>
            </w:tcMar>
            <w:vAlign w:val="center"/>
            <w:hideMark/>
          </w:tcPr>
          <w:p w14:paraId="665BB5BE" w14:textId="52B47255" w:rsidR="007E5587" w:rsidRDefault="0055672C" w:rsidP="0055672C">
            <w:pPr>
              <w:jc w:val="right"/>
              <w:rPr>
                <w:rFonts w:ascii="CAIXA Std Book" w:hAnsi="CAIXA Std Book"/>
                <w:b/>
                <w:bCs/>
                <w:color w:val="005CA9"/>
                <w:sz w:val="18"/>
                <w:szCs w:val="18"/>
              </w:rPr>
            </w:pPr>
            <w:r>
              <w:rPr>
                <w:rFonts w:ascii="CAIXA Std Book" w:hAnsi="CAIXA Std Book"/>
                <w:b/>
                <w:bCs/>
                <w:color w:val="005CA9"/>
                <w:sz w:val="18"/>
                <w:szCs w:val="18"/>
              </w:rPr>
              <w:t>136.797.627</w:t>
            </w:r>
          </w:p>
        </w:tc>
        <w:tc>
          <w:tcPr>
            <w:tcW w:w="737" w:type="pct"/>
            <w:tcBorders>
              <w:top w:val="single" w:sz="4" w:space="0" w:color="FFFFFF" w:themeColor="background1"/>
              <w:left w:val="nil"/>
              <w:bottom w:val="nil"/>
              <w:right w:val="nil"/>
            </w:tcBorders>
            <w:shd w:val="clear" w:color="000000" w:fill="D0E0E3"/>
            <w:noWrap/>
            <w:tcMar>
              <w:top w:w="15" w:type="dxa"/>
              <w:left w:w="15" w:type="dxa"/>
              <w:bottom w:w="0" w:type="dxa"/>
              <w:right w:w="15" w:type="dxa"/>
            </w:tcMar>
            <w:vAlign w:val="center"/>
            <w:hideMark/>
          </w:tcPr>
          <w:p w14:paraId="6758338E" w14:textId="77777777" w:rsidR="007E5587" w:rsidRDefault="007E5587">
            <w:pPr>
              <w:jc w:val="right"/>
              <w:rPr>
                <w:rFonts w:ascii="CAIXA Std Book" w:hAnsi="CAIXA Std Book"/>
                <w:b/>
                <w:bCs/>
                <w:color w:val="005CA9"/>
                <w:sz w:val="18"/>
                <w:szCs w:val="18"/>
              </w:rPr>
            </w:pPr>
            <w:r>
              <w:rPr>
                <w:rFonts w:ascii="CAIXA Std Book" w:hAnsi="CAIXA Std Book"/>
                <w:b/>
                <w:bCs/>
                <w:color w:val="005CA9"/>
                <w:sz w:val="18"/>
                <w:szCs w:val="18"/>
              </w:rPr>
              <w:t>137.088.871</w:t>
            </w:r>
          </w:p>
        </w:tc>
      </w:tr>
      <w:tr w:rsidR="007E5587" w14:paraId="76AB3206" w14:textId="77777777" w:rsidTr="008F5CB3">
        <w:trPr>
          <w:trHeight w:val="288"/>
        </w:trPr>
        <w:tc>
          <w:tcPr>
            <w:tcW w:w="3526" w:type="pct"/>
            <w:tcBorders>
              <w:top w:val="nil"/>
              <w:left w:val="nil"/>
              <w:bottom w:val="nil"/>
              <w:right w:val="nil"/>
            </w:tcBorders>
            <w:noWrap/>
            <w:tcMar>
              <w:top w:w="15" w:type="dxa"/>
              <w:left w:w="135" w:type="dxa"/>
              <w:bottom w:w="0" w:type="dxa"/>
              <w:right w:w="15" w:type="dxa"/>
            </w:tcMar>
            <w:vAlign w:val="center"/>
            <w:hideMark/>
          </w:tcPr>
          <w:p w14:paraId="59E24625" w14:textId="77777777" w:rsidR="007E5587" w:rsidRDefault="007E5587">
            <w:pPr>
              <w:ind w:firstLineChars="100" w:firstLine="180"/>
              <w:rPr>
                <w:rFonts w:ascii="CAIXA Std Book" w:hAnsi="CAIXA Std Book"/>
                <w:color w:val="005CA9"/>
                <w:sz w:val="18"/>
                <w:szCs w:val="18"/>
              </w:rPr>
            </w:pPr>
            <w:r>
              <w:rPr>
                <w:rFonts w:ascii="CAIXA Std Book" w:hAnsi="CAIXA Std Book"/>
                <w:color w:val="005CA9"/>
                <w:sz w:val="18"/>
                <w:szCs w:val="18"/>
              </w:rPr>
              <w:t>Patrimônio líquido prudencial (1)</w:t>
            </w:r>
          </w:p>
        </w:tc>
        <w:tc>
          <w:tcPr>
            <w:tcW w:w="737" w:type="pct"/>
            <w:tcBorders>
              <w:top w:val="nil"/>
              <w:left w:val="nil"/>
              <w:bottom w:val="nil"/>
              <w:right w:val="nil"/>
            </w:tcBorders>
            <w:noWrap/>
            <w:tcMar>
              <w:top w:w="15" w:type="dxa"/>
              <w:left w:w="135" w:type="dxa"/>
              <w:bottom w:w="0" w:type="dxa"/>
              <w:right w:w="15" w:type="dxa"/>
            </w:tcMar>
            <w:vAlign w:val="center"/>
            <w:hideMark/>
          </w:tcPr>
          <w:p w14:paraId="58A9CCB0" w14:textId="6F930B0E" w:rsidR="007E5587" w:rsidRDefault="0055672C" w:rsidP="0055672C">
            <w:pPr>
              <w:ind w:firstLineChars="100" w:firstLine="180"/>
              <w:jc w:val="right"/>
              <w:rPr>
                <w:rFonts w:ascii="CAIXA Std Book" w:hAnsi="CAIXA Std Book"/>
                <w:color w:val="005CA9"/>
                <w:sz w:val="18"/>
                <w:szCs w:val="18"/>
              </w:rPr>
            </w:pPr>
            <w:r>
              <w:rPr>
                <w:rFonts w:ascii="CAIXA Std Book" w:hAnsi="CAIXA Std Book"/>
                <w:color w:val="005CA9"/>
                <w:sz w:val="18"/>
                <w:szCs w:val="18"/>
              </w:rPr>
              <w:t>151.701.395</w:t>
            </w:r>
          </w:p>
        </w:tc>
        <w:tc>
          <w:tcPr>
            <w:tcW w:w="737" w:type="pct"/>
            <w:tcBorders>
              <w:top w:val="nil"/>
              <w:left w:val="nil"/>
              <w:bottom w:val="nil"/>
              <w:right w:val="nil"/>
            </w:tcBorders>
            <w:noWrap/>
            <w:tcMar>
              <w:top w:w="15" w:type="dxa"/>
              <w:left w:w="15" w:type="dxa"/>
              <w:bottom w:w="0" w:type="dxa"/>
              <w:right w:w="135" w:type="dxa"/>
            </w:tcMar>
            <w:vAlign w:val="center"/>
            <w:hideMark/>
          </w:tcPr>
          <w:p w14:paraId="051E4E36" w14:textId="77777777" w:rsidR="007E5587" w:rsidRDefault="007E5587">
            <w:pPr>
              <w:ind w:firstLineChars="100" w:firstLine="180"/>
              <w:jc w:val="right"/>
              <w:rPr>
                <w:rFonts w:ascii="CAIXA Std Book" w:hAnsi="CAIXA Std Book"/>
                <w:color w:val="005CA9"/>
                <w:sz w:val="18"/>
                <w:szCs w:val="18"/>
              </w:rPr>
            </w:pPr>
            <w:r>
              <w:rPr>
                <w:rFonts w:ascii="CAIXA Std Book" w:hAnsi="CAIXA Std Book"/>
                <w:color w:val="005CA9"/>
                <w:sz w:val="18"/>
                <w:szCs w:val="18"/>
              </w:rPr>
              <w:t>149.567.175</w:t>
            </w:r>
          </w:p>
        </w:tc>
      </w:tr>
      <w:tr w:rsidR="007E5587" w14:paraId="25591CB0" w14:textId="77777777" w:rsidTr="00127353">
        <w:trPr>
          <w:trHeight w:val="288"/>
        </w:trPr>
        <w:tc>
          <w:tcPr>
            <w:tcW w:w="3526" w:type="pct"/>
            <w:tcBorders>
              <w:top w:val="nil"/>
              <w:left w:val="nil"/>
              <w:right w:val="nil"/>
            </w:tcBorders>
            <w:noWrap/>
            <w:tcMar>
              <w:top w:w="15" w:type="dxa"/>
              <w:left w:w="135" w:type="dxa"/>
              <w:bottom w:w="0" w:type="dxa"/>
              <w:right w:w="15" w:type="dxa"/>
            </w:tcMar>
            <w:vAlign w:val="center"/>
            <w:hideMark/>
          </w:tcPr>
          <w:p w14:paraId="20AB0A2A" w14:textId="77777777" w:rsidR="007E5587" w:rsidRDefault="007E5587">
            <w:pPr>
              <w:ind w:firstLineChars="100" w:firstLine="180"/>
              <w:rPr>
                <w:rFonts w:ascii="CAIXA Std Book" w:hAnsi="CAIXA Std Book"/>
                <w:color w:val="005CA9"/>
                <w:sz w:val="18"/>
                <w:szCs w:val="18"/>
              </w:rPr>
            </w:pPr>
            <w:r>
              <w:rPr>
                <w:rFonts w:ascii="CAIXA Std Book" w:hAnsi="CAIXA Std Book"/>
                <w:color w:val="005CA9"/>
                <w:sz w:val="18"/>
                <w:szCs w:val="18"/>
              </w:rPr>
              <w:t>Ajustes prudenciais (c.1)</w:t>
            </w:r>
          </w:p>
        </w:tc>
        <w:tc>
          <w:tcPr>
            <w:tcW w:w="737" w:type="pct"/>
            <w:tcBorders>
              <w:top w:val="nil"/>
              <w:left w:val="nil"/>
              <w:right w:val="nil"/>
            </w:tcBorders>
            <w:noWrap/>
            <w:tcMar>
              <w:top w:w="15" w:type="dxa"/>
              <w:left w:w="135" w:type="dxa"/>
              <w:bottom w:w="0" w:type="dxa"/>
              <w:right w:w="15" w:type="dxa"/>
            </w:tcMar>
            <w:vAlign w:val="center"/>
            <w:hideMark/>
          </w:tcPr>
          <w:p w14:paraId="5CB1BC02" w14:textId="771C12AA" w:rsidR="007E5587" w:rsidRDefault="0055672C" w:rsidP="0055672C">
            <w:pPr>
              <w:ind w:firstLineChars="100" w:firstLine="180"/>
              <w:jc w:val="right"/>
              <w:rPr>
                <w:rFonts w:ascii="CAIXA Std Book" w:hAnsi="CAIXA Std Book"/>
                <w:color w:val="005CA9"/>
                <w:sz w:val="18"/>
                <w:szCs w:val="18"/>
              </w:rPr>
            </w:pPr>
            <w:r>
              <w:rPr>
                <w:rFonts w:ascii="CAIXA Std Book" w:hAnsi="CAIXA Std Book"/>
                <w:color w:val="005CA9"/>
                <w:sz w:val="18"/>
                <w:szCs w:val="18"/>
              </w:rPr>
              <w:t>(14.903.768)</w:t>
            </w:r>
          </w:p>
        </w:tc>
        <w:tc>
          <w:tcPr>
            <w:tcW w:w="737" w:type="pct"/>
            <w:tcBorders>
              <w:top w:val="nil"/>
              <w:left w:val="nil"/>
              <w:right w:val="nil"/>
            </w:tcBorders>
            <w:noWrap/>
            <w:tcMar>
              <w:top w:w="15" w:type="dxa"/>
              <w:left w:w="15" w:type="dxa"/>
              <w:bottom w:w="0" w:type="dxa"/>
              <w:right w:w="15" w:type="dxa"/>
            </w:tcMar>
            <w:vAlign w:val="center"/>
            <w:hideMark/>
          </w:tcPr>
          <w:p w14:paraId="29866EE5" w14:textId="31BE1107" w:rsidR="007E5587" w:rsidRDefault="00ED3111">
            <w:pPr>
              <w:jc w:val="right"/>
              <w:rPr>
                <w:rFonts w:ascii="CAIXA Std Book" w:hAnsi="CAIXA Std Book"/>
                <w:color w:val="005CA9"/>
                <w:sz w:val="18"/>
                <w:szCs w:val="18"/>
              </w:rPr>
            </w:pPr>
            <w:r>
              <w:rPr>
                <w:rFonts w:ascii="CAIXA Std Book" w:hAnsi="CAIXA Std Book"/>
                <w:color w:val="005CA9"/>
                <w:sz w:val="18"/>
                <w:szCs w:val="18"/>
              </w:rPr>
              <w:t>(</w:t>
            </w:r>
            <w:r w:rsidR="007E5587">
              <w:rPr>
                <w:rFonts w:ascii="CAIXA Std Book" w:hAnsi="CAIXA Std Book"/>
                <w:color w:val="005CA9"/>
                <w:sz w:val="18"/>
                <w:szCs w:val="18"/>
              </w:rPr>
              <w:t>12.478.304</w:t>
            </w:r>
            <w:r>
              <w:rPr>
                <w:rFonts w:ascii="CAIXA Std Book" w:hAnsi="CAIXA Std Book"/>
                <w:color w:val="005CA9"/>
                <w:sz w:val="18"/>
                <w:szCs w:val="18"/>
              </w:rPr>
              <w:t>)</w:t>
            </w:r>
          </w:p>
        </w:tc>
      </w:tr>
      <w:tr w:rsidR="007E5587" w14:paraId="5EF1B2D3" w14:textId="77777777" w:rsidTr="00127353">
        <w:trPr>
          <w:trHeight w:val="300"/>
        </w:trPr>
        <w:tc>
          <w:tcPr>
            <w:tcW w:w="3526" w:type="pct"/>
            <w:tcBorders>
              <w:top w:val="nil"/>
              <w:left w:val="nil"/>
              <w:bottom w:val="single" w:sz="4" w:space="0" w:color="FFFFFF" w:themeColor="background1"/>
              <w:right w:val="nil"/>
            </w:tcBorders>
            <w:shd w:val="clear" w:color="000000" w:fill="D0E0E3"/>
            <w:noWrap/>
            <w:tcMar>
              <w:top w:w="15" w:type="dxa"/>
              <w:left w:w="15" w:type="dxa"/>
              <w:bottom w:w="0" w:type="dxa"/>
              <w:right w:w="15" w:type="dxa"/>
            </w:tcMar>
            <w:vAlign w:val="center"/>
            <w:hideMark/>
          </w:tcPr>
          <w:p w14:paraId="66AE4914" w14:textId="77777777" w:rsidR="007E5587" w:rsidRDefault="007E5587">
            <w:pPr>
              <w:rPr>
                <w:rFonts w:ascii="CAIXA Std Book" w:hAnsi="CAIXA Std Book"/>
                <w:b/>
                <w:bCs/>
                <w:color w:val="005CA9"/>
                <w:sz w:val="18"/>
                <w:szCs w:val="18"/>
              </w:rPr>
            </w:pPr>
            <w:r>
              <w:rPr>
                <w:rFonts w:ascii="CAIXA Std Book" w:hAnsi="CAIXA Std Book"/>
                <w:b/>
                <w:bCs/>
                <w:color w:val="005CA9"/>
                <w:sz w:val="18"/>
                <w:szCs w:val="18"/>
              </w:rPr>
              <w:t>Capital Complementar – CC</w:t>
            </w:r>
          </w:p>
        </w:tc>
        <w:tc>
          <w:tcPr>
            <w:tcW w:w="737" w:type="pct"/>
            <w:tcBorders>
              <w:top w:val="nil"/>
              <w:left w:val="nil"/>
              <w:bottom w:val="single" w:sz="4" w:space="0" w:color="FFFFFF" w:themeColor="background1"/>
              <w:right w:val="nil"/>
            </w:tcBorders>
            <w:shd w:val="clear" w:color="auto" w:fill="D0E0E3"/>
            <w:noWrap/>
            <w:tcMar>
              <w:top w:w="15" w:type="dxa"/>
              <w:left w:w="15" w:type="dxa"/>
              <w:bottom w:w="0" w:type="dxa"/>
              <w:right w:w="15" w:type="dxa"/>
            </w:tcMar>
            <w:vAlign w:val="center"/>
            <w:hideMark/>
          </w:tcPr>
          <w:p w14:paraId="4736667F" w14:textId="5B673B40" w:rsidR="007E5587" w:rsidRDefault="0055672C" w:rsidP="0055672C">
            <w:pPr>
              <w:jc w:val="right"/>
              <w:rPr>
                <w:rFonts w:ascii="CAIXA Std Book" w:hAnsi="CAIXA Std Book"/>
                <w:b/>
                <w:bCs/>
                <w:color w:val="005CA9"/>
                <w:sz w:val="18"/>
                <w:szCs w:val="18"/>
              </w:rPr>
            </w:pPr>
            <w:r>
              <w:rPr>
                <w:rFonts w:ascii="CAIXA Std Book" w:hAnsi="CAIXA Std Book"/>
                <w:b/>
                <w:bCs/>
                <w:color w:val="005CA9"/>
                <w:sz w:val="18"/>
                <w:szCs w:val="18"/>
              </w:rPr>
              <w:t>7.362.541</w:t>
            </w:r>
          </w:p>
        </w:tc>
        <w:tc>
          <w:tcPr>
            <w:tcW w:w="737" w:type="pct"/>
            <w:tcBorders>
              <w:top w:val="nil"/>
              <w:left w:val="nil"/>
              <w:bottom w:val="single" w:sz="4" w:space="0" w:color="FFFFFF" w:themeColor="background1"/>
              <w:right w:val="nil"/>
            </w:tcBorders>
            <w:shd w:val="clear" w:color="000000" w:fill="D0E0E3"/>
            <w:noWrap/>
            <w:tcMar>
              <w:top w:w="15" w:type="dxa"/>
              <w:left w:w="15" w:type="dxa"/>
              <w:bottom w:w="0" w:type="dxa"/>
              <w:right w:w="15" w:type="dxa"/>
            </w:tcMar>
            <w:vAlign w:val="center"/>
            <w:hideMark/>
          </w:tcPr>
          <w:p w14:paraId="0D06F500" w14:textId="77777777" w:rsidR="007E5587" w:rsidRDefault="007E5587">
            <w:pPr>
              <w:jc w:val="right"/>
              <w:rPr>
                <w:rFonts w:ascii="CAIXA Std Book" w:hAnsi="CAIXA Std Book"/>
                <w:b/>
                <w:bCs/>
                <w:color w:val="005CA9"/>
                <w:sz w:val="18"/>
                <w:szCs w:val="18"/>
              </w:rPr>
            </w:pPr>
            <w:r>
              <w:rPr>
                <w:rFonts w:ascii="CAIXA Std Book" w:hAnsi="CAIXA Std Book"/>
                <w:b/>
                <w:bCs/>
                <w:color w:val="005CA9"/>
                <w:sz w:val="18"/>
                <w:szCs w:val="18"/>
              </w:rPr>
              <w:t>7.362.541</w:t>
            </w:r>
          </w:p>
        </w:tc>
      </w:tr>
      <w:tr w:rsidR="007E5587" w14:paraId="0DB61A0E" w14:textId="77777777" w:rsidTr="00127353">
        <w:trPr>
          <w:trHeight w:val="300"/>
        </w:trPr>
        <w:tc>
          <w:tcPr>
            <w:tcW w:w="3526" w:type="pct"/>
            <w:tcBorders>
              <w:top w:val="single" w:sz="4" w:space="0" w:color="FFFFFF" w:themeColor="background1"/>
              <w:left w:val="nil"/>
              <w:bottom w:val="single" w:sz="4" w:space="0" w:color="FFFFFF" w:themeColor="background1"/>
              <w:right w:val="nil"/>
            </w:tcBorders>
            <w:shd w:val="clear" w:color="000000" w:fill="D0E0E3"/>
            <w:noWrap/>
            <w:tcMar>
              <w:top w:w="15" w:type="dxa"/>
              <w:left w:w="15" w:type="dxa"/>
              <w:bottom w:w="0" w:type="dxa"/>
              <w:right w:w="15" w:type="dxa"/>
            </w:tcMar>
            <w:vAlign w:val="center"/>
            <w:hideMark/>
          </w:tcPr>
          <w:p w14:paraId="796640D6" w14:textId="77777777" w:rsidR="007E5587" w:rsidRDefault="007E5587">
            <w:pPr>
              <w:rPr>
                <w:rFonts w:ascii="CAIXA Std Book" w:hAnsi="CAIXA Std Book"/>
                <w:b/>
                <w:bCs/>
                <w:color w:val="005CA9"/>
                <w:sz w:val="18"/>
                <w:szCs w:val="18"/>
              </w:rPr>
            </w:pPr>
            <w:r>
              <w:rPr>
                <w:rFonts w:ascii="CAIXA Std Book" w:hAnsi="CAIXA Std Book"/>
                <w:b/>
                <w:bCs/>
                <w:color w:val="005CA9"/>
                <w:sz w:val="18"/>
                <w:szCs w:val="18"/>
              </w:rPr>
              <w:t>Nível II (2)</w:t>
            </w:r>
          </w:p>
        </w:tc>
        <w:tc>
          <w:tcPr>
            <w:tcW w:w="737" w:type="pct"/>
            <w:tcBorders>
              <w:top w:val="single" w:sz="4" w:space="0" w:color="FFFFFF" w:themeColor="background1"/>
              <w:left w:val="nil"/>
              <w:bottom w:val="single" w:sz="4" w:space="0" w:color="FFFFFF" w:themeColor="background1"/>
              <w:right w:val="nil"/>
            </w:tcBorders>
            <w:shd w:val="clear" w:color="auto" w:fill="D0E0E3"/>
            <w:noWrap/>
            <w:tcMar>
              <w:top w:w="15" w:type="dxa"/>
              <w:left w:w="15" w:type="dxa"/>
              <w:bottom w:w="0" w:type="dxa"/>
              <w:right w:w="15" w:type="dxa"/>
            </w:tcMar>
            <w:vAlign w:val="center"/>
            <w:hideMark/>
          </w:tcPr>
          <w:p w14:paraId="62D23911" w14:textId="47713A54" w:rsidR="007E5587" w:rsidRDefault="0055672C" w:rsidP="0055672C">
            <w:pPr>
              <w:jc w:val="right"/>
              <w:rPr>
                <w:rFonts w:ascii="CAIXA Std Book" w:hAnsi="CAIXA Std Book"/>
                <w:b/>
                <w:bCs/>
                <w:color w:val="005CA9"/>
                <w:sz w:val="18"/>
                <w:szCs w:val="18"/>
              </w:rPr>
            </w:pPr>
            <w:r>
              <w:rPr>
                <w:rFonts w:ascii="CAIXA Std Book" w:hAnsi="CAIXA Std Book"/>
                <w:b/>
                <w:bCs/>
                <w:color w:val="005CA9"/>
                <w:sz w:val="18"/>
                <w:szCs w:val="18"/>
              </w:rPr>
              <w:t>9.703.723</w:t>
            </w:r>
          </w:p>
        </w:tc>
        <w:tc>
          <w:tcPr>
            <w:tcW w:w="737" w:type="pct"/>
            <w:tcBorders>
              <w:top w:val="single" w:sz="4" w:space="0" w:color="FFFFFF" w:themeColor="background1"/>
              <w:left w:val="nil"/>
              <w:bottom w:val="single" w:sz="4" w:space="0" w:color="FFFFFF" w:themeColor="background1"/>
              <w:right w:val="nil"/>
            </w:tcBorders>
            <w:shd w:val="clear" w:color="000000" w:fill="D0E0E3"/>
            <w:noWrap/>
            <w:tcMar>
              <w:top w:w="15" w:type="dxa"/>
              <w:left w:w="15" w:type="dxa"/>
              <w:bottom w:w="0" w:type="dxa"/>
              <w:right w:w="15" w:type="dxa"/>
            </w:tcMar>
            <w:vAlign w:val="center"/>
            <w:hideMark/>
          </w:tcPr>
          <w:p w14:paraId="35E42D99" w14:textId="77777777" w:rsidR="007E5587" w:rsidRDefault="007E5587">
            <w:pPr>
              <w:jc w:val="right"/>
              <w:rPr>
                <w:rFonts w:ascii="CAIXA Std Book" w:hAnsi="CAIXA Std Book"/>
                <w:b/>
                <w:bCs/>
                <w:color w:val="005CA9"/>
                <w:sz w:val="18"/>
                <w:szCs w:val="18"/>
              </w:rPr>
            </w:pPr>
            <w:r>
              <w:rPr>
                <w:rFonts w:ascii="CAIXA Std Book" w:hAnsi="CAIXA Std Book"/>
                <w:b/>
                <w:bCs/>
                <w:color w:val="005CA9"/>
                <w:sz w:val="18"/>
                <w:szCs w:val="18"/>
              </w:rPr>
              <w:t>12.938.297</w:t>
            </w:r>
          </w:p>
        </w:tc>
      </w:tr>
      <w:tr w:rsidR="007E5587" w14:paraId="4928B881" w14:textId="77777777" w:rsidTr="00127353">
        <w:trPr>
          <w:trHeight w:val="288"/>
        </w:trPr>
        <w:tc>
          <w:tcPr>
            <w:tcW w:w="3526" w:type="pct"/>
            <w:tcBorders>
              <w:top w:val="single" w:sz="4" w:space="0" w:color="FFFFFF" w:themeColor="background1"/>
              <w:left w:val="nil"/>
              <w:right w:val="nil"/>
            </w:tcBorders>
            <w:shd w:val="clear" w:color="000000" w:fill="D0E0E3"/>
            <w:noWrap/>
            <w:tcMar>
              <w:top w:w="15" w:type="dxa"/>
              <w:left w:w="15" w:type="dxa"/>
              <w:bottom w:w="0" w:type="dxa"/>
              <w:right w:w="15" w:type="dxa"/>
            </w:tcMar>
            <w:vAlign w:val="center"/>
            <w:hideMark/>
          </w:tcPr>
          <w:p w14:paraId="1E124BE7" w14:textId="77777777" w:rsidR="007E5587" w:rsidRDefault="007E5587">
            <w:pPr>
              <w:rPr>
                <w:rFonts w:ascii="CAIXA Std Book" w:hAnsi="CAIXA Std Book"/>
                <w:b/>
                <w:bCs/>
                <w:color w:val="005CA9"/>
                <w:sz w:val="18"/>
                <w:szCs w:val="18"/>
              </w:rPr>
            </w:pPr>
            <w:r>
              <w:rPr>
                <w:rFonts w:ascii="CAIXA Std Book" w:hAnsi="CAIXA Std Book"/>
                <w:b/>
                <w:bCs/>
                <w:color w:val="005CA9"/>
                <w:sz w:val="18"/>
                <w:szCs w:val="18"/>
              </w:rPr>
              <w:t>Ativos ponderados pelo risco – RWA</w:t>
            </w:r>
          </w:p>
        </w:tc>
        <w:tc>
          <w:tcPr>
            <w:tcW w:w="737" w:type="pct"/>
            <w:tcBorders>
              <w:top w:val="single" w:sz="4" w:space="0" w:color="FFFFFF" w:themeColor="background1"/>
              <w:left w:val="nil"/>
              <w:right w:val="nil"/>
            </w:tcBorders>
            <w:shd w:val="clear" w:color="auto" w:fill="D0E0E3"/>
            <w:noWrap/>
            <w:tcMar>
              <w:top w:w="15" w:type="dxa"/>
              <w:left w:w="15" w:type="dxa"/>
              <w:bottom w:w="0" w:type="dxa"/>
              <w:right w:w="15" w:type="dxa"/>
            </w:tcMar>
            <w:vAlign w:val="center"/>
            <w:hideMark/>
          </w:tcPr>
          <w:p w14:paraId="3EF694F7" w14:textId="2F4C1342" w:rsidR="007E5587" w:rsidRDefault="0055672C" w:rsidP="0055672C">
            <w:pPr>
              <w:jc w:val="right"/>
              <w:rPr>
                <w:rFonts w:ascii="CAIXA Std Book" w:hAnsi="CAIXA Std Book"/>
                <w:b/>
                <w:bCs/>
                <w:color w:val="005CA9"/>
                <w:sz w:val="18"/>
                <w:szCs w:val="18"/>
              </w:rPr>
            </w:pPr>
            <w:r>
              <w:rPr>
                <w:rFonts w:ascii="CAIXA Std Book" w:hAnsi="CAIXA Std Book"/>
                <w:b/>
                <w:bCs/>
                <w:color w:val="005CA9"/>
                <w:sz w:val="18"/>
                <w:szCs w:val="18"/>
              </w:rPr>
              <w:t>1.016.653.399</w:t>
            </w:r>
          </w:p>
        </w:tc>
        <w:tc>
          <w:tcPr>
            <w:tcW w:w="737" w:type="pct"/>
            <w:tcBorders>
              <w:top w:val="single" w:sz="4" w:space="0" w:color="FFFFFF" w:themeColor="background1"/>
              <w:left w:val="nil"/>
              <w:right w:val="nil"/>
            </w:tcBorders>
            <w:shd w:val="clear" w:color="000000" w:fill="D0E0E3"/>
            <w:noWrap/>
            <w:tcMar>
              <w:top w:w="15" w:type="dxa"/>
              <w:left w:w="15" w:type="dxa"/>
              <w:bottom w:w="0" w:type="dxa"/>
              <w:right w:w="15" w:type="dxa"/>
            </w:tcMar>
            <w:vAlign w:val="center"/>
            <w:hideMark/>
          </w:tcPr>
          <w:p w14:paraId="14BD9C7A" w14:textId="77777777" w:rsidR="007E5587" w:rsidRDefault="007E5587">
            <w:pPr>
              <w:jc w:val="right"/>
              <w:rPr>
                <w:rFonts w:ascii="CAIXA Std Book" w:hAnsi="CAIXA Std Book"/>
                <w:b/>
                <w:bCs/>
                <w:color w:val="005CA9"/>
                <w:sz w:val="18"/>
                <w:szCs w:val="18"/>
              </w:rPr>
            </w:pPr>
            <w:r>
              <w:rPr>
                <w:rFonts w:ascii="CAIXA Std Book" w:hAnsi="CAIXA Std Book"/>
                <w:b/>
                <w:bCs/>
                <w:color w:val="005CA9"/>
                <w:sz w:val="18"/>
                <w:szCs w:val="18"/>
              </w:rPr>
              <w:t>960.072.334</w:t>
            </w:r>
          </w:p>
        </w:tc>
      </w:tr>
      <w:tr w:rsidR="007E5587" w14:paraId="7BA3FB87" w14:textId="77777777" w:rsidTr="008F5CB3">
        <w:trPr>
          <w:trHeight w:val="288"/>
        </w:trPr>
        <w:tc>
          <w:tcPr>
            <w:tcW w:w="3526" w:type="pct"/>
            <w:tcBorders>
              <w:top w:val="nil"/>
              <w:left w:val="nil"/>
              <w:bottom w:val="nil"/>
              <w:right w:val="nil"/>
            </w:tcBorders>
            <w:noWrap/>
            <w:tcMar>
              <w:top w:w="15" w:type="dxa"/>
              <w:left w:w="135" w:type="dxa"/>
              <w:bottom w:w="0" w:type="dxa"/>
              <w:right w:w="15" w:type="dxa"/>
            </w:tcMar>
            <w:vAlign w:val="center"/>
            <w:hideMark/>
          </w:tcPr>
          <w:p w14:paraId="3A3B11F1" w14:textId="77777777" w:rsidR="007E5587" w:rsidRDefault="007E5587">
            <w:pPr>
              <w:ind w:firstLineChars="100" w:firstLine="180"/>
              <w:rPr>
                <w:rFonts w:ascii="CAIXA Std Book" w:hAnsi="CAIXA Std Book"/>
                <w:color w:val="005CA9"/>
                <w:sz w:val="18"/>
                <w:szCs w:val="18"/>
              </w:rPr>
            </w:pPr>
            <w:r>
              <w:rPr>
                <w:rFonts w:ascii="CAIXA Std Book" w:hAnsi="CAIXA Std Book"/>
                <w:color w:val="005CA9"/>
                <w:sz w:val="18"/>
                <w:szCs w:val="18"/>
              </w:rPr>
              <w:t>Risco de crédito – RWACPAD</w:t>
            </w:r>
          </w:p>
        </w:tc>
        <w:tc>
          <w:tcPr>
            <w:tcW w:w="737" w:type="pct"/>
            <w:tcBorders>
              <w:top w:val="nil"/>
              <w:left w:val="nil"/>
              <w:bottom w:val="nil"/>
              <w:right w:val="nil"/>
            </w:tcBorders>
            <w:noWrap/>
            <w:tcMar>
              <w:top w:w="15" w:type="dxa"/>
              <w:left w:w="135" w:type="dxa"/>
              <w:bottom w:w="0" w:type="dxa"/>
              <w:right w:w="15" w:type="dxa"/>
            </w:tcMar>
            <w:vAlign w:val="center"/>
            <w:hideMark/>
          </w:tcPr>
          <w:p w14:paraId="072C25AB" w14:textId="148B9B27" w:rsidR="007E5587" w:rsidRDefault="0055672C" w:rsidP="0055672C">
            <w:pPr>
              <w:ind w:firstLineChars="100" w:firstLine="180"/>
              <w:jc w:val="right"/>
              <w:rPr>
                <w:rFonts w:ascii="CAIXA Std Book" w:hAnsi="CAIXA Std Book"/>
                <w:color w:val="005CA9"/>
                <w:sz w:val="18"/>
                <w:szCs w:val="18"/>
              </w:rPr>
            </w:pPr>
            <w:r>
              <w:rPr>
                <w:rFonts w:ascii="CAIXA Std Book" w:hAnsi="CAIXA Std Book"/>
                <w:color w:val="005CA9"/>
                <w:sz w:val="18"/>
                <w:szCs w:val="18"/>
              </w:rPr>
              <w:t>846.751.661</w:t>
            </w:r>
          </w:p>
        </w:tc>
        <w:tc>
          <w:tcPr>
            <w:tcW w:w="737" w:type="pct"/>
            <w:tcBorders>
              <w:top w:val="nil"/>
              <w:left w:val="nil"/>
              <w:bottom w:val="nil"/>
              <w:right w:val="nil"/>
            </w:tcBorders>
            <w:noWrap/>
            <w:tcMar>
              <w:top w:w="15" w:type="dxa"/>
              <w:left w:w="15" w:type="dxa"/>
              <w:bottom w:w="0" w:type="dxa"/>
              <w:right w:w="15" w:type="dxa"/>
            </w:tcMar>
            <w:vAlign w:val="center"/>
            <w:hideMark/>
          </w:tcPr>
          <w:p w14:paraId="43ADBFCD" w14:textId="77777777" w:rsidR="007E5587" w:rsidRDefault="007E5587">
            <w:pPr>
              <w:jc w:val="right"/>
              <w:rPr>
                <w:rFonts w:ascii="CAIXA Std Book" w:hAnsi="CAIXA Std Book"/>
                <w:color w:val="005CA9"/>
                <w:sz w:val="18"/>
                <w:szCs w:val="18"/>
              </w:rPr>
            </w:pPr>
            <w:r>
              <w:rPr>
                <w:rFonts w:ascii="CAIXA Std Book" w:hAnsi="CAIXA Std Book"/>
                <w:color w:val="005CA9"/>
                <w:sz w:val="18"/>
                <w:szCs w:val="18"/>
              </w:rPr>
              <w:t>827.493.440</w:t>
            </w:r>
          </w:p>
        </w:tc>
      </w:tr>
      <w:tr w:rsidR="007E5587" w14:paraId="6F4F0286" w14:textId="77777777" w:rsidTr="008F5CB3">
        <w:trPr>
          <w:trHeight w:val="288"/>
        </w:trPr>
        <w:tc>
          <w:tcPr>
            <w:tcW w:w="3526" w:type="pct"/>
            <w:tcBorders>
              <w:top w:val="nil"/>
              <w:left w:val="nil"/>
              <w:bottom w:val="nil"/>
              <w:right w:val="nil"/>
            </w:tcBorders>
            <w:noWrap/>
            <w:tcMar>
              <w:top w:w="15" w:type="dxa"/>
              <w:left w:w="135" w:type="dxa"/>
              <w:bottom w:w="0" w:type="dxa"/>
              <w:right w:w="15" w:type="dxa"/>
            </w:tcMar>
            <w:vAlign w:val="center"/>
            <w:hideMark/>
          </w:tcPr>
          <w:p w14:paraId="5CF56500" w14:textId="77777777" w:rsidR="007E5587" w:rsidRDefault="007E5587">
            <w:pPr>
              <w:ind w:firstLineChars="100" w:firstLine="180"/>
              <w:rPr>
                <w:rFonts w:ascii="CAIXA Std Book" w:hAnsi="CAIXA Std Book"/>
                <w:color w:val="005CA9"/>
                <w:sz w:val="18"/>
                <w:szCs w:val="18"/>
              </w:rPr>
            </w:pPr>
            <w:r>
              <w:rPr>
                <w:rFonts w:ascii="CAIXA Std Book" w:hAnsi="CAIXA Std Book"/>
                <w:color w:val="005CA9"/>
                <w:sz w:val="18"/>
                <w:szCs w:val="18"/>
              </w:rPr>
              <w:t>Risco de mercado – RWAMPAD</w:t>
            </w:r>
          </w:p>
        </w:tc>
        <w:tc>
          <w:tcPr>
            <w:tcW w:w="737" w:type="pct"/>
            <w:tcBorders>
              <w:top w:val="nil"/>
              <w:left w:val="nil"/>
              <w:bottom w:val="nil"/>
              <w:right w:val="nil"/>
            </w:tcBorders>
            <w:noWrap/>
            <w:tcMar>
              <w:top w:w="15" w:type="dxa"/>
              <w:left w:w="135" w:type="dxa"/>
              <w:bottom w:w="0" w:type="dxa"/>
              <w:right w:w="15" w:type="dxa"/>
            </w:tcMar>
            <w:vAlign w:val="center"/>
            <w:hideMark/>
          </w:tcPr>
          <w:p w14:paraId="4D308DB0" w14:textId="4ACBE848" w:rsidR="007E5587" w:rsidRDefault="0055672C" w:rsidP="0055672C">
            <w:pPr>
              <w:ind w:firstLineChars="100" w:firstLine="180"/>
              <w:jc w:val="right"/>
              <w:rPr>
                <w:rFonts w:ascii="CAIXA Std Book" w:hAnsi="CAIXA Std Book"/>
                <w:color w:val="005CA9"/>
                <w:sz w:val="18"/>
                <w:szCs w:val="18"/>
              </w:rPr>
            </w:pPr>
            <w:r>
              <w:rPr>
                <w:rFonts w:ascii="CAIXA Std Book" w:hAnsi="CAIXA Std Book"/>
                <w:color w:val="005CA9"/>
                <w:sz w:val="18"/>
                <w:szCs w:val="18"/>
              </w:rPr>
              <w:t>7.129.514</w:t>
            </w:r>
          </w:p>
        </w:tc>
        <w:tc>
          <w:tcPr>
            <w:tcW w:w="737" w:type="pct"/>
            <w:tcBorders>
              <w:top w:val="nil"/>
              <w:left w:val="nil"/>
              <w:bottom w:val="nil"/>
              <w:right w:val="nil"/>
            </w:tcBorders>
            <w:noWrap/>
            <w:tcMar>
              <w:top w:w="15" w:type="dxa"/>
              <w:left w:w="15" w:type="dxa"/>
              <w:bottom w:w="0" w:type="dxa"/>
              <w:right w:w="15" w:type="dxa"/>
            </w:tcMar>
            <w:vAlign w:val="center"/>
            <w:hideMark/>
          </w:tcPr>
          <w:p w14:paraId="5AB866DD" w14:textId="77777777" w:rsidR="007E5587" w:rsidRDefault="007E5587">
            <w:pPr>
              <w:jc w:val="right"/>
              <w:rPr>
                <w:rFonts w:ascii="CAIXA Std Book" w:hAnsi="CAIXA Std Book"/>
                <w:color w:val="005CA9"/>
                <w:sz w:val="18"/>
                <w:szCs w:val="18"/>
              </w:rPr>
            </w:pPr>
            <w:r>
              <w:rPr>
                <w:rFonts w:ascii="CAIXA Std Book" w:hAnsi="CAIXA Std Book"/>
                <w:color w:val="005CA9"/>
                <w:sz w:val="18"/>
                <w:szCs w:val="18"/>
              </w:rPr>
              <w:t>8.881.416</w:t>
            </w:r>
          </w:p>
        </w:tc>
      </w:tr>
      <w:tr w:rsidR="007E5587" w14:paraId="3DB3A0E5" w14:textId="77777777" w:rsidTr="00127353">
        <w:trPr>
          <w:trHeight w:val="300"/>
        </w:trPr>
        <w:tc>
          <w:tcPr>
            <w:tcW w:w="3526" w:type="pct"/>
            <w:tcBorders>
              <w:top w:val="nil"/>
              <w:left w:val="nil"/>
              <w:right w:val="nil"/>
            </w:tcBorders>
            <w:noWrap/>
            <w:tcMar>
              <w:top w:w="15" w:type="dxa"/>
              <w:left w:w="135" w:type="dxa"/>
              <w:bottom w:w="0" w:type="dxa"/>
              <w:right w:w="15" w:type="dxa"/>
            </w:tcMar>
            <w:vAlign w:val="center"/>
            <w:hideMark/>
          </w:tcPr>
          <w:p w14:paraId="4520D181" w14:textId="77777777" w:rsidR="007E5587" w:rsidRDefault="007E5587">
            <w:pPr>
              <w:ind w:firstLineChars="100" w:firstLine="180"/>
              <w:rPr>
                <w:rFonts w:ascii="CAIXA Std Book" w:hAnsi="CAIXA Std Book"/>
                <w:color w:val="005CA9"/>
                <w:sz w:val="18"/>
                <w:szCs w:val="18"/>
              </w:rPr>
            </w:pPr>
            <w:r>
              <w:rPr>
                <w:rFonts w:ascii="CAIXA Std Book" w:hAnsi="CAIXA Std Book"/>
                <w:color w:val="005CA9"/>
                <w:sz w:val="18"/>
                <w:szCs w:val="18"/>
              </w:rPr>
              <w:t>Risco operacional – RWAOPAD</w:t>
            </w:r>
          </w:p>
        </w:tc>
        <w:tc>
          <w:tcPr>
            <w:tcW w:w="737" w:type="pct"/>
            <w:tcBorders>
              <w:top w:val="nil"/>
              <w:left w:val="nil"/>
              <w:right w:val="nil"/>
            </w:tcBorders>
            <w:noWrap/>
            <w:tcMar>
              <w:top w:w="15" w:type="dxa"/>
              <w:left w:w="135" w:type="dxa"/>
              <w:bottom w:w="0" w:type="dxa"/>
              <w:right w:w="15" w:type="dxa"/>
            </w:tcMar>
            <w:vAlign w:val="center"/>
            <w:hideMark/>
          </w:tcPr>
          <w:p w14:paraId="17122166" w14:textId="50795186" w:rsidR="007E5587" w:rsidRDefault="0055672C" w:rsidP="0055672C">
            <w:pPr>
              <w:ind w:firstLineChars="100" w:firstLine="180"/>
              <w:jc w:val="right"/>
              <w:rPr>
                <w:rFonts w:ascii="CAIXA Std Book" w:hAnsi="CAIXA Std Book"/>
                <w:color w:val="005CA9"/>
                <w:sz w:val="18"/>
                <w:szCs w:val="18"/>
              </w:rPr>
            </w:pPr>
            <w:r>
              <w:rPr>
                <w:rFonts w:ascii="CAIXA Std Book" w:hAnsi="CAIXA Std Book"/>
                <w:color w:val="005CA9"/>
                <w:sz w:val="18"/>
                <w:szCs w:val="18"/>
              </w:rPr>
              <w:t>162.772.224</w:t>
            </w:r>
          </w:p>
        </w:tc>
        <w:tc>
          <w:tcPr>
            <w:tcW w:w="737" w:type="pct"/>
            <w:tcBorders>
              <w:top w:val="nil"/>
              <w:left w:val="nil"/>
              <w:right w:val="nil"/>
            </w:tcBorders>
            <w:noWrap/>
            <w:tcMar>
              <w:top w:w="15" w:type="dxa"/>
              <w:left w:w="15" w:type="dxa"/>
              <w:bottom w:w="0" w:type="dxa"/>
              <w:right w:w="15" w:type="dxa"/>
            </w:tcMar>
            <w:vAlign w:val="center"/>
            <w:hideMark/>
          </w:tcPr>
          <w:p w14:paraId="2D98103C" w14:textId="77777777" w:rsidR="007E5587" w:rsidRDefault="007E5587">
            <w:pPr>
              <w:jc w:val="right"/>
              <w:rPr>
                <w:rFonts w:ascii="CAIXA Std Book" w:hAnsi="CAIXA Std Book"/>
                <w:color w:val="005CA9"/>
                <w:sz w:val="18"/>
                <w:szCs w:val="18"/>
              </w:rPr>
            </w:pPr>
            <w:r>
              <w:rPr>
                <w:rFonts w:ascii="CAIXA Std Book" w:hAnsi="CAIXA Std Book"/>
                <w:color w:val="005CA9"/>
                <w:sz w:val="18"/>
                <w:szCs w:val="18"/>
              </w:rPr>
              <w:t>123.697.478</w:t>
            </w:r>
          </w:p>
        </w:tc>
      </w:tr>
      <w:tr w:rsidR="007E5587" w14:paraId="01C70891" w14:textId="77777777" w:rsidTr="00127353">
        <w:trPr>
          <w:trHeight w:val="300"/>
        </w:trPr>
        <w:tc>
          <w:tcPr>
            <w:tcW w:w="3526" w:type="pct"/>
            <w:tcBorders>
              <w:left w:val="nil"/>
              <w:bottom w:val="single" w:sz="4" w:space="0" w:color="FFFFFF" w:themeColor="background1"/>
              <w:right w:val="nil"/>
            </w:tcBorders>
            <w:shd w:val="clear" w:color="000000" w:fill="D0E0E3"/>
            <w:noWrap/>
            <w:tcMar>
              <w:top w:w="15" w:type="dxa"/>
              <w:left w:w="15" w:type="dxa"/>
              <w:bottom w:w="0" w:type="dxa"/>
              <w:right w:w="15" w:type="dxa"/>
            </w:tcMar>
            <w:vAlign w:val="center"/>
            <w:hideMark/>
          </w:tcPr>
          <w:p w14:paraId="2F303587" w14:textId="77777777" w:rsidR="007E5587" w:rsidRDefault="007E5587">
            <w:pPr>
              <w:rPr>
                <w:rFonts w:ascii="CAIXA Std Book" w:hAnsi="CAIXA Std Book"/>
                <w:b/>
                <w:bCs/>
                <w:color w:val="005CA9"/>
                <w:sz w:val="18"/>
                <w:szCs w:val="18"/>
              </w:rPr>
            </w:pPr>
            <w:r>
              <w:rPr>
                <w:rFonts w:ascii="CAIXA Std Book" w:hAnsi="CAIXA Std Book"/>
                <w:b/>
                <w:bCs/>
                <w:color w:val="005CA9"/>
                <w:sz w:val="18"/>
                <w:szCs w:val="18"/>
              </w:rPr>
              <w:t>Adicional de Capital Principal – ACP</w:t>
            </w:r>
          </w:p>
        </w:tc>
        <w:tc>
          <w:tcPr>
            <w:tcW w:w="737" w:type="pct"/>
            <w:tcBorders>
              <w:left w:val="nil"/>
              <w:bottom w:val="single" w:sz="4" w:space="0" w:color="FFFFFF" w:themeColor="background1"/>
              <w:right w:val="nil"/>
            </w:tcBorders>
            <w:shd w:val="clear" w:color="auto" w:fill="D0E0E3"/>
            <w:noWrap/>
            <w:tcMar>
              <w:top w:w="15" w:type="dxa"/>
              <w:left w:w="15" w:type="dxa"/>
              <w:bottom w:w="0" w:type="dxa"/>
              <w:right w:w="15" w:type="dxa"/>
            </w:tcMar>
            <w:vAlign w:val="center"/>
            <w:hideMark/>
          </w:tcPr>
          <w:p w14:paraId="678248B1" w14:textId="0B334F91" w:rsidR="007E5587" w:rsidRDefault="0055672C" w:rsidP="0055672C">
            <w:pPr>
              <w:jc w:val="right"/>
              <w:rPr>
                <w:rFonts w:ascii="CAIXA Std Book" w:hAnsi="CAIXA Std Book"/>
                <w:b/>
                <w:bCs/>
                <w:color w:val="005CA9"/>
                <w:sz w:val="18"/>
                <w:szCs w:val="18"/>
              </w:rPr>
            </w:pPr>
            <w:r>
              <w:rPr>
                <w:rFonts w:ascii="CAIXA Std Book" w:hAnsi="CAIXA Std Book"/>
                <w:b/>
                <w:bCs/>
                <w:color w:val="005CA9"/>
                <w:sz w:val="18"/>
                <w:szCs w:val="18"/>
              </w:rPr>
              <w:t>35.582.869</w:t>
            </w:r>
          </w:p>
        </w:tc>
        <w:tc>
          <w:tcPr>
            <w:tcW w:w="737" w:type="pct"/>
            <w:tcBorders>
              <w:left w:val="nil"/>
              <w:bottom w:val="single" w:sz="4" w:space="0" w:color="FFFFFF" w:themeColor="background1"/>
              <w:right w:val="nil"/>
            </w:tcBorders>
            <w:shd w:val="clear" w:color="000000" w:fill="D0E0E3"/>
            <w:noWrap/>
            <w:tcMar>
              <w:top w:w="15" w:type="dxa"/>
              <w:left w:w="15" w:type="dxa"/>
              <w:bottom w:w="0" w:type="dxa"/>
              <w:right w:w="15" w:type="dxa"/>
            </w:tcMar>
            <w:vAlign w:val="center"/>
            <w:hideMark/>
          </w:tcPr>
          <w:p w14:paraId="0C2BA78A" w14:textId="77777777" w:rsidR="007E5587" w:rsidRDefault="007E5587">
            <w:pPr>
              <w:jc w:val="right"/>
              <w:rPr>
                <w:rFonts w:ascii="CAIXA Std Book" w:hAnsi="CAIXA Std Book"/>
                <w:b/>
                <w:bCs/>
                <w:color w:val="005CA9"/>
                <w:sz w:val="18"/>
                <w:szCs w:val="18"/>
              </w:rPr>
            </w:pPr>
            <w:r>
              <w:rPr>
                <w:rFonts w:ascii="CAIXA Std Book" w:hAnsi="CAIXA Std Book"/>
                <w:b/>
                <w:bCs/>
                <w:color w:val="005CA9"/>
                <w:sz w:val="18"/>
                <w:szCs w:val="18"/>
              </w:rPr>
              <w:t>33.602.532</w:t>
            </w:r>
          </w:p>
        </w:tc>
      </w:tr>
      <w:tr w:rsidR="007E5587" w14:paraId="48ED686E" w14:textId="77777777" w:rsidTr="00127353">
        <w:trPr>
          <w:trHeight w:val="300"/>
        </w:trPr>
        <w:tc>
          <w:tcPr>
            <w:tcW w:w="3526" w:type="pct"/>
            <w:tcBorders>
              <w:top w:val="single" w:sz="4" w:space="0" w:color="FFFFFF" w:themeColor="background1"/>
              <w:left w:val="nil"/>
              <w:bottom w:val="single" w:sz="4" w:space="0" w:color="FFFFFF" w:themeColor="background1"/>
              <w:right w:val="nil"/>
            </w:tcBorders>
            <w:shd w:val="clear" w:color="000000" w:fill="D0E0E3"/>
            <w:noWrap/>
            <w:tcMar>
              <w:top w:w="15" w:type="dxa"/>
              <w:left w:w="15" w:type="dxa"/>
              <w:bottom w:w="0" w:type="dxa"/>
              <w:right w:w="15" w:type="dxa"/>
            </w:tcMar>
            <w:vAlign w:val="center"/>
            <w:hideMark/>
          </w:tcPr>
          <w:p w14:paraId="4BA05554" w14:textId="77777777" w:rsidR="007E5587" w:rsidRDefault="007E5587">
            <w:pPr>
              <w:rPr>
                <w:rFonts w:ascii="CAIXA Std Book" w:hAnsi="CAIXA Std Book"/>
                <w:b/>
                <w:bCs/>
                <w:color w:val="005CA9"/>
                <w:sz w:val="18"/>
                <w:szCs w:val="18"/>
              </w:rPr>
            </w:pPr>
            <w:r>
              <w:rPr>
                <w:rFonts w:ascii="CAIXA Std Book" w:hAnsi="CAIXA Std Book"/>
                <w:b/>
                <w:bCs/>
                <w:color w:val="005CA9"/>
                <w:sz w:val="18"/>
                <w:szCs w:val="18"/>
              </w:rPr>
              <w:t>Patrimônio de Referência Mínimo Requerido – PRMR (RWA*Fator F) + ACP</w:t>
            </w:r>
          </w:p>
        </w:tc>
        <w:tc>
          <w:tcPr>
            <w:tcW w:w="737" w:type="pct"/>
            <w:tcBorders>
              <w:top w:val="single" w:sz="4" w:space="0" w:color="FFFFFF" w:themeColor="background1"/>
              <w:left w:val="nil"/>
              <w:bottom w:val="single" w:sz="4" w:space="0" w:color="FFFFFF" w:themeColor="background1"/>
              <w:right w:val="nil"/>
            </w:tcBorders>
            <w:shd w:val="clear" w:color="auto" w:fill="D0E0E3"/>
            <w:noWrap/>
            <w:tcMar>
              <w:top w:w="15" w:type="dxa"/>
              <w:left w:w="15" w:type="dxa"/>
              <w:bottom w:w="0" w:type="dxa"/>
              <w:right w:w="15" w:type="dxa"/>
            </w:tcMar>
            <w:vAlign w:val="center"/>
            <w:hideMark/>
          </w:tcPr>
          <w:p w14:paraId="60F64943" w14:textId="2FDB0E79" w:rsidR="007E5587" w:rsidRDefault="0055672C" w:rsidP="0055672C">
            <w:pPr>
              <w:jc w:val="right"/>
              <w:rPr>
                <w:rFonts w:ascii="CAIXA Std Book" w:hAnsi="CAIXA Std Book"/>
                <w:b/>
                <w:bCs/>
                <w:color w:val="005CA9"/>
                <w:sz w:val="18"/>
                <w:szCs w:val="18"/>
              </w:rPr>
            </w:pPr>
            <w:r>
              <w:rPr>
                <w:rFonts w:ascii="CAIXA Std Book" w:hAnsi="CAIXA Std Book"/>
                <w:b/>
                <w:bCs/>
                <w:color w:val="005CA9"/>
                <w:sz w:val="18"/>
                <w:szCs w:val="18"/>
              </w:rPr>
              <w:t>116.915.141</w:t>
            </w:r>
          </w:p>
        </w:tc>
        <w:tc>
          <w:tcPr>
            <w:tcW w:w="737" w:type="pct"/>
            <w:tcBorders>
              <w:top w:val="single" w:sz="4" w:space="0" w:color="FFFFFF" w:themeColor="background1"/>
              <w:left w:val="nil"/>
              <w:bottom w:val="single" w:sz="4" w:space="0" w:color="FFFFFF" w:themeColor="background1"/>
              <w:right w:val="nil"/>
            </w:tcBorders>
            <w:shd w:val="clear" w:color="000000" w:fill="D0E0E3"/>
            <w:tcMar>
              <w:top w:w="15" w:type="dxa"/>
              <w:left w:w="15" w:type="dxa"/>
              <w:bottom w:w="0" w:type="dxa"/>
              <w:right w:w="15" w:type="dxa"/>
            </w:tcMar>
            <w:vAlign w:val="center"/>
            <w:hideMark/>
          </w:tcPr>
          <w:p w14:paraId="636586B3" w14:textId="77777777" w:rsidR="007E5587" w:rsidRDefault="007E5587">
            <w:pPr>
              <w:jc w:val="right"/>
              <w:rPr>
                <w:rFonts w:ascii="CAIXA Std Book" w:hAnsi="CAIXA Std Book"/>
                <w:b/>
                <w:bCs/>
                <w:color w:val="005CA9"/>
                <w:sz w:val="18"/>
                <w:szCs w:val="18"/>
              </w:rPr>
            </w:pPr>
            <w:r>
              <w:rPr>
                <w:rFonts w:ascii="CAIXA Std Book" w:hAnsi="CAIXA Std Book"/>
                <w:b/>
                <w:bCs/>
                <w:color w:val="005CA9"/>
                <w:sz w:val="18"/>
                <w:szCs w:val="18"/>
              </w:rPr>
              <w:t>110.408.318</w:t>
            </w:r>
          </w:p>
        </w:tc>
      </w:tr>
      <w:tr w:rsidR="007E5587" w14:paraId="742315CD" w14:textId="77777777" w:rsidTr="00127353">
        <w:trPr>
          <w:trHeight w:val="300"/>
        </w:trPr>
        <w:tc>
          <w:tcPr>
            <w:tcW w:w="3526" w:type="pct"/>
            <w:tcBorders>
              <w:top w:val="single" w:sz="4" w:space="0" w:color="FFFFFF" w:themeColor="background1"/>
              <w:left w:val="nil"/>
              <w:bottom w:val="single" w:sz="4" w:space="0" w:color="FFFFFF" w:themeColor="background1"/>
              <w:right w:val="nil"/>
            </w:tcBorders>
            <w:shd w:val="clear" w:color="000000" w:fill="D0E0E3"/>
            <w:noWrap/>
            <w:tcMar>
              <w:top w:w="15" w:type="dxa"/>
              <w:left w:w="15" w:type="dxa"/>
              <w:bottom w:w="0" w:type="dxa"/>
              <w:right w:w="15" w:type="dxa"/>
            </w:tcMar>
            <w:vAlign w:val="center"/>
            <w:hideMark/>
          </w:tcPr>
          <w:p w14:paraId="56CC10E9" w14:textId="77777777" w:rsidR="007E5587" w:rsidRDefault="007E5587">
            <w:pPr>
              <w:rPr>
                <w:rFonts w:ascii="CAIXA Std Book" w:hAnsi="CAIXA Std Book"/>
                <w:b/>
                <w:bCs/>
                <w:color w:val="005CA9"/>
                <w:sz w:val="18"/>
                <w:szCs w:val="18"/>
              </w:rPr>
            </w:pPr>
            <w:r>
              <w:rPr>
                <w:rFonts w:ascii="CAIXA Std Book" w:hAnsi="CAIXA Std Book"/>
                <w:b/>
                <w:bCs/>
                <w:color w:val="005CA9"/>
                <w:sz w:val="18"/>
                <w:szCs w:val="18"/>
              </w:rPr>
              <w:t>Risco de mercado – carteira de não negociação – RBAN</w:t>
            </w:r>
          </w:p>
        </w:tc>
        <w:tc>
          <w:tcPr>
            <w:tcW w:w="737" w:type="pct"/>
            <w:tcBorders>
              <w:top w:val="single" w:sz="4" w:space="0" w:color="FFFFFF" w:themeColor="background1"/>
              <w:left w:val="nil"/>
              <w:bottom w:val="single" w:sz="4" w:space="0" w:color="FFFFFF" w:themeColor="background1"/>
              <w:right w:val="nil"/>
            </w:tcBorders>
            <w:shd w:val="clear" w:color="auto" w:fill="D0E0E3"/>
            <w:noWrap/>
            <w:tcMar>
              <w:top w:w="15" w:type="dxa"/>
              <w:left w:w="15" w:type="dxa"/>
              <w:bottom w:w="0" w:type="dxa"/>
              <w:right w:w="15" w:type="dxa"/>
            </w:tcMar>
            <w:vAlign w:val="center"/>
            <w:hideMark/>
          </w:tcPr>
          <w:p w14:paraId="6DB1A963" w14:textId="4922DD66" w:rsidR="007E5587" w:rsidRDefault="0055672C" w:rsidP="0055672C">
            <w:pPr>
              <w:jc w:val="right"/>
              <w:rPr>
                <w:rFonts w:ascii="CAIXA Std Book" w:hAnsi="CAIXA Std Book"/>
                <w:b/>
                <w:bCs/>
                <w:color w:val="005CA9"/>
                <w:sz w:val="18"/>
                <w:szCs w:val="18"/>
              </w:rPr>
            </w:pPr>
            <w:r>
              <w:rPr>
                <w:rFonts w:ascii="CAIXA Std Book" w:hAnsi="CAIXA Std Book"/>
                <w:b/>
                <w:bCs/>
                <w:color w:val="005CA9"/>
                <w:sz w:val="18"/>
                <w:szCs w:val="18"/>
              </w:rPr>
              <w:t>8.773.067</w:t>
            </w:r>
          </w:p>
        </w:tc>
        <w:tc>
          <w:tcPr>
            <w:tcW w:w="737" w:type="pct"/>
            <w:tcBorders>
              <w:top w:val="single" w:sz="4" w:space="0" w:color="FFFFFF" w:themeColor="background1"/>
              <w:left w:val="nil"/>
              <w:bottom w:val="single" w:sz="4" w:space="0" w:color="FFFFFF" w:themeColor="background1"/>
              <w:right w:val="nil"/>
            </w:tcBorders>
            <w:shd w:val="clear" w:color="000000" w:fill="D0E0E3"/>
            <w:noWrap/>
            <w:tcMar>
              <w:top w:w="15" w:type="dxa"/>
              <w:left w:w="15" w:type="dxa"/>
              <w:bottom w:w="0" w:type="dxa"/>
              <w:right w:w="15" w:type="dxa"/>
            </w:tcMar>
            <w:vAlign w:val="center"/>
            <w:hideMark/>
          </w:tcPr>
          <w:p w14:paraId="53BC26A3" w14:textId="77777777" w:rsidR="007E5587" w:rsidRDefault="007E5587">
            <w:pPr>
              <w:jc w:val="right"/>
              <w:rPr>
                <w:rFonts w:ascii="CAIXA Std Book" w:hAnsi="CAIXA Std Book"/>
                <w:b/>
                <w:bCs/>
                <w:color w:val="005CA9"/>
                <w:sz w:val="18"/>
                <w:szCs w:val="18"/>
              </w:rPr>
            </w:pPr>
            <w:r>
              <w:rPr>
                <w:rFonts w:ascii="CAIXA Std Book" w:hAnsi="CAIXA Std Book"/>
                <w:b/>
                <w:bCs/>
                <w:color w:val="005CA9"/>
                <w:sz w:val="18"/>
                <w:szCs w:val="18"/>
              </w:rPr>
              <w:t>9.421.450</w:t>
            </w:r>
          </w:p>
        </w:tc>
      </w:tr>
      <w:tr w:rsidR="007E5587" w14:paraId="49799648" w14:textId="77777777" w:rsidTr="00127353">
        <w:trPr>
          <w:trHeight w:val="300"/>
        </w:trPr>
        <w:tc>
          <w:tcPr>
            <w:tcW w:w="3526" w:type="pct"/>
            <w:tcBorders>
              <w:top w:val="single" w:sz="4" w:space="0" w:color="FFFFFF" w:themeColor="background1"/>
              <w:left w:val="nil"/>
              <w:bottom w:val="single" w:sz="4" w:space="0" w:color="FFFFFF" w:themeColor="background1"/>
              <w:right w:val="nil"/>
            </w:tcBorders>
            <w:shd w:val="clear" w:color="000000" w:fill="D0E0E3"/>
            <w:noWrap/>
            <w:tcMar>
              <w:top w:w="15" w:type="dxa"/>
              <w:left w:w="15" w:type="dxa"/>
              <w:bottom w:w="0" w:type="dxa"/>
              <w:right w:w="15" w:type="dxa"/>
            </w:tcMar>
            <w:vAlign w:val="center"/>
            <w:hideMark/>
          </w:tcPr>
          <w:p w14:paraId="01084A78" w14:textId="77777777" w:rsidR="007E5587" w:rsidRDefault="007E5587">
            <w:pPr>
              <w:rPr>
                <w:rFonts w:ascii="CAIXA Std Book" w:hAnsi="CAIXA Std Book"/>
                <w:b/>
                <w:bCs/>
                <w:color w:val="005CA9"/>
                <w:sz w:val="18"/>
                <w:szCs w:val="18"/>
              </w:rPr>
            </w:pPr>
            <w:r>
              <w:rPr>
                <w:rFonts w:ascii="CAIXA Std Book" w:hAnsi="CAIXA Std Book"/>
                <w:b/>
                <w:bCs/>
                <w:color w:val="005CA9"/>
                <w:sz w:val="18"/>
                <w:szCs w:val="18"/>
              </w:rPr>
              <w:t>Margem de capital (PR – PRMR – RBAN)</w:t>
            </w:r>
          </w:p>
        </w:tc>
        <w:tc>
          <w:tcPr>
            <w:tcW w:w="737" w:type="pct"/>
            <w:tcBorders>
              <w:top w:val="single" w:sz="4" w:space="0" w:color="FFFFFF" w:themeColor="background1"/>
              <w:left w:val="nil"/>
              <w:bottom w:val="single" w:sz="4" w:space="0" w:color="FFFFFF" w:themeColor="background1"/>
              <w:right w:val="nil"/>
            </w:tcBorders>
            <w:shd w:val="clear" w:color="auto" w:fill="D0E0E3"/>
            <w:noWrap/>
            <w:tcMar>
              <w:top w:w="15" w:type="dxa"/>
              <w:left w:w="15" w:type="dxa"/>
              <w:bottom w:w="0" w:type="dxa"/>
              <w:right w:w="15" w:type="dxa"/>
            </w:tcMar>
            <w:vAlign w:val="center"/>
            <w:hideMark/>
          </w:tcPr>
          <w:p w14:paraId="361D8DC6" w14:textId="2E43F5A2" w:rsidR="007E5587" w:rsidRDefault="0055672C" w:rsidP="0055672C">
            <w:pPr>
              <w:jc w:val="right"/>
              <w:rPr>
                <w:rFonts w:ascii="CAIXA Std Book" w:hAnsi="CAIXA Std Book"/>
                <w:b/>
                <w:bCs/>
                <w:color w:val="005CA9"/>
                <w:sz w:val="18"/>
                <w:szCs w:val="18"/>
              </w:rPr>
            </w:pPr>
            <w:r>
              <w:rPr>
                <w:rFonts w:ascii="CAIXA Std Book" w:hAnsi="CAIXA Std Book"/>
                <w:b/>
                <w:bCs/>
                <w:color w:val="005CA9"/>
                <w:sz w:val="18"/>
                <w:szCs w:val="18"/>
              </w:rPr>
              <w:t>28.175.682</w:t>
            </w:r>
          </w:p>
        </w:tc>
        <w:tc>
          <w:tcPr>
            <w:tcW w:w="737" w:type="pct"/>
            <w:tcBorders>
              <w:top w:val="single" w:sz="4" w:space="0" w:color="FFFFFF" w:themeColor="background1"/>
              <w:left w:val="nil"/>
              <w:bottom w:val="single" w:sz="4" w:space="0" w:color="FFFFFF" w:themeColor="background1"/>
              <w:right w:val="nil"/>
            </w:tcBorders>
            <w:shd w:val="clear" w:color="000000" w:fill="D0E0E3"/>
            <w:noWrap/>
            <w:tcMar>
              <w:top w:w="15" w:type="dxa"/>
              <w:left w:w="15" w:type="dxa"/>
              <w:bottom w:w="0" w:type="dxa"/>
              <w:right w:w="15" w:type="dxa"/>
            </w:tcMar>
            <w:vAlign w:val="center"/>
            <w:hideMark/>
          </w:tcPr>
          <w:p w14:paraId="26D4B6E7" w14:textId="77777777" w:rsidR="007E5587" w:rsidRDefault="007E5587">
            <w:pPr>
              <w:jc w:val="right"/>
              <w:rPr>
                <w:rFonts w:ascii="CAIXA Std Book" w:hAnsi="CAIXA Std Book"/>
                <w:b/>
                <w:bCs/>
                <w:color w:val="005CA9"/>
                <w:sz w:val="18"/>
                <w:szCs w:val="18"/>
              </w:rPr>
            </w:pPr>
            <w:r>
              <w:rPr>
                <w:rFonts w:ascii="CAIXA Std Book" w:hAnsi="CAIXA Std Book"/>
                <w:b/>
                <w:bCs/>
                <w:color w:val="005CA9"/>
                <w:sz w:val="18"/>
                <w:szCs w:val="18"/>
              </w:rPr>
              <w:t>37.559.940</w:t>
            </w:r>
          </w:p>
        </w:tc>
      </w:tr>
      <w:tr w:rsidR="007E5587" w14:paraId="7F7E83A9" w14:textId="77777777" w:rsidTr="00127353">
        <w:trPr>
          <w:trHeight w:val="300"/>
        </w:trPr>
        <w:tc>
          <w:tcPr>
            <w:tcW w:w="3526" w:type="pct"/>
            <w:tcBorders>
              <w:top w:val="single" w:sz="4" w:space="0" w:color="FFFFFF" w:themeColor="background1"/>
              <w:left w:val="nil"/>
              <w:bottom w:val="single" w:sz="4" w:space="0" w:color="FFFFFF" w:themeColor="background1"/>
              <w:right w:val="nil"/>
            </w:tcBorders>
            <w:shd w:val="clear" w:color="000000" w:fill="D0E0E3"/>
            <w:noWrap/>
            <w:tcMar>
              <w:top w:w="15" w:type="dxa"/>
              <w:left w:w="15" w:type="dxa"/>
              <w:bottom w:w="0" w:type="dxa"/>
              <w:right w:w="15" w:type="dxa"/>
            </w:tcMar>
            <w:vAlign w:val="center"/>
            <w:hideMark/>
          </w:tcPr>
          <w:p w14:paraId="5887243E" w14:textId="77777777" w:rsidR="007E5587" w:rsidRDefault="007E5587">
            <w:pPr>
              <w:rPr>
                <w:rFonts w:ascii="CAIXA Std Book" w:hAnsi="CAIXA Std Book"/>
                <w:b/>
                <w:bCs/>
                <w:color w:val="005CA9"/>
                <w:sz w:val="18"/>
                <w:szCs w:val="18"/>
              </w:rPr>
            </w:pPr>
            <w:r>
              <w:rPr>
                <w:rFonts w:ascii="CAIXA Std Book" w:hAnsi="CAIXA Std Book"/>
                <w:b/>
                <w:bCs/>
                <w:color w:val="005CA9"/>
                <w:sz w:val="18"/>
                <w:szCs w:val="18"/>
              </w:rPr>
              <w:t>Índice de capital principal (CP / RWA)</w:t>
            </w:r>
          </w:p>
        </w:tc>
        <w:tc>
          <w:tcPr>
            <w:tcW w:w="737" w:type="pct"/>
            <w:tcBorders>
              <w:top w:val="single" w:sz="4" w:space="0" w:color="FFFFFF" w:themeColor="background1"/>
              <w:left w:val="nil"/>
              <w:bottom w:val="single" w:sz="4" w:space="0" w:color="FFFFFF" w:themeColor="background1"/>
              <w:right w:val="nil"/>
            </w:tcBorders>
            <w:shd w:val="clear" w:color="auto" w:fill="D0E0E3"/>
            <w:noWrap/>
            <w:tcMar>
              <w:top w:w="15" w:type="dxa"/>
              <w:left w:w="15" w:type="dxa"/>
              <w:bottom w:w="0" w:type="dxa"/>
              <w:right w:w="15" w:type="dxa"/>
            </w:tcMar>
            <w:vAlign w:val="center"/>
            <w:hideMark/>
          </w:tcPr>
          <w:p w14:paraId="5386416E" w14:textId="45021093" w:rsidR="007E5587" w:rsidRDefault="0055672C" w:rsidP="0055672C">
            <w:pPr>
              <w:jc w:val="right"/>
              <w:rPr>
                <w:rFonts w:ascii="CAIXA Std Book" w:hAnsi="CAIXA Std Book"/>
                <w:b/>
                <w:bCs/>
                <w:color w:val="005CA9"/>
                <w:sz w:val="18"/>
                <w:szCs w:val="18"/>
              </w:rPr>
            </w:pPr>
            <w:r>
              <w:rPr>
                <w:rFonts w:ascii="CAIXA Std Book" w:hAnsi="CAIXA Std Book"/>
                <w:b/>
                <w:bCs/>
                <w:color w:val="005CA9"/>
                <w:sz w:val="18"/>
                <w:szCs w:val="18"/>
              </w:rPr>
              <w:t>13,46%</w:t>
            </w:r>
          </w:p>
        </w:tc>
        <w:tc>
          <w:tcPr>
            <w:tcW w:w="737" w:type="pct"/>
            <w:tcBorders>
              <w:top w:val="single" w:sz="4" w:space="0" w:color="FFFFFF" w:themeColor="background1"/>
              <w:left w:val="nil"/>
              <w:bottom w:val="single" w:sz="4" w:space="0" w:color="FFFFFF" w:themeColor="background1"/>
              <w:right w:val="nil"/>
            </w:tcBorders>
            <w:shd w:val="clear" w:color="000000" w:fill="D0E0E3"/>
            <w:noWrap/>
            <w:tcMar>
              <w:top w:w="15" w:type="dxa"/>
              <w:left w:w="15" w:type="dxa"/>
              <w:bottom w:w="0" w:type="dxa"/>
              <w:right w:w="15" w:type="dxa"/>
            </w:tcMar>
            <w:vAlign w:val="center"/>
            <w:hideMark/>
          </w:tcPr>
          <w:p w14:paraId="6088E9CF" w14:textId="77777777" w:rsidR="007E5587" w:rsidRDefault="007E5587">
            <w:pPr>
              <w:jc w:val="right"/>
              <w:rPr>
                <w:rFonts w:ascii="CAIXA Std Book" w:hAnsi="CAIXA Std Book"/>
                <w:b/>
                <w:bCs/>
                <w:color w:val="005CA9"/>
                <w:sz w:val="18"/>
                <w:szCs w:val="18"/>
              </w:rPr>
            </w:pPr>
            <w:r>
              <w:rPr>
                <w:rFonts w:ascii="CAIXA Std Book" w:hAnsi="CAIXA Std Book"/>
                <w:b/>
                <w:bCs/>
                <w:color w:val="005CA9"/>
                <w:sz w:val="18"/>
                <w:szCs w:val="18"/>
              </w:rPr>
              <w:t>14,28%</w:t>
            </w:r>
          </w:p>
        </w:tc>
      </w:tr>
      <w:tr w:rsidR="007E5587" w14:paraId="612055E8" w14:textId="77777777" w:rsidTr="00127353">
        <w:trPr>
          <w:trHeight w:val="300"/>
        </w:trPr>
        <w:tc>
          <w:tcPr>
            <w:tcW w:w="3526" w:type="pct"/>
            <w:tcBorders>
              <w:top w:val="single" w:sz="4" w:space="0" w:color="FFFFFF" w:themeColor="background1"/>
              <w:left w:val="nil"/>
              <w:bottom w:val="single" w:sz="4" w:space="0" w:color="FFFFFF" w:themeColor="background1"/>
              <w:right w:val="nil"/>
            </w:tcBorders>
            <w:shd w:val="clear" w:color="000000" w:fill="D0E0E3"/>
            <w:noWrap/>
            <w:tcMar>
              <w:top w:w="15" w:type="dxa"/>
              <w:left w:w="15" w:type="dxa"/>
              <w:bottom w:w="0" w:type="dxa"/>
              <w:right w:w="15" w:type="dxa"/>
            </w:tcMar>
            <w:vAlign w:val="center"/>
            <w:hideMark/>
          </w:tcPr>
          <w:p w14:paraId="338DE5F4" w14:textId="77777777" w:rsidR="007E5587" w:rsidRDefault="007E5587">
            <w:pPr>
              <w:rPr>
                <w:rFonts w:ascii="CAIXA Std Book" w:hAnsi="CAIXA Std Book"/>
                <w:b/>
                <w:bCs/>
                <w:color w:val="005CA9"/>
                <w:sz w:val="18"/>
                <w:szCs w:val="18"/>
              </w:rPr>
            </w:pPr>
            <w:r>
              <w:rPr>
                <w:rFonts w:ascii="CAIXA Std Book" w:hAnsi="CAIXA Std Book"/>
                <w:b/>
                <w:bCs/>
                <w:color w:val="005CA9"/>
                <w:sz w:val="18"/>
                <w:szCs w:val="18"/>
              </w:rPr>
              <w:t>Índice de capital nível I (Nível I / RWA)</w:t>
            </w:r>
          </w:p>
        </w:tc>
        <w:tc>
          <w:tcPr>
            <w:tcW w:w="737" w:type="pct"/>
            <w:tcBorders>
              <w:top w:val="single" w:sz="4" w:space="0" w:color="FFFFFF" w:themeColor="background1"/>
              <w:left w:val="nil"/>
              <w:bottom w:val="single" w:sz="4" w:space="0" w:color="FFFFFF" w:themeColor="background1"/>
              <w:right w:val="nil"/>
            </w:tcBorders>
            <w:shd w:val="clear" w:color="auto" w:fill="D0E0E3"/>
            <w:noWrap/>
            <w:tcMar>
              <w:top w:w="15" w:type="dxa"/>
              <w:left w:w="15" w:type="dxa"/>
              <w:bottom w:w="0" w:type="dxa"/>
              <w:right w:w="15" w:type="dxa"/>
            </w:tcMar>
            <w:vAlign w:val="center"/>
            <w:hideMark/>
          </w:tcPr>
          <w:p w14:paraId="65BB8958" w14:textId="4A84E156" w:rsidR="007E5587" w:rsidRDefault="0055672C" w:rsidP="0055672C">
            <w:pPr>
              <w:jc w:val="right"/>
              <w:rPr>
                <w:rFonts w:ascii="CAIXA Std Book" w:hAnsi="CAIXA Std Book"/>
                <w:b/>
                <w:bCs/>
                <w:color w:val="005CA9"/>
                <w:sz w:val="18"/>
                <w:szCs w:val="18"/>
              </w:rPr>
            </w:pPr>
            <w:r>
              <w:rPr>
                <w:rFonts w:ascii="CAIXA Std Book" w:hAnsi="CAIXA Std Book"/>
                <w:b/>
                <w:bCs/>
                <w:color w:val="005CA9"/>
                <w:sz w:val="18"/>
                <w:szCs w:val="18"/>
              </w:rPr>
              <w:t>14,18%</w:t>
            </w:r>
          </w:p>
        </w:tc>
        <w:tc>
          <w:tcPr>
            <w:tcW w:w="737" w:type="pct"/>
            <w:tcBorders>
              <w:top w:val="single" w:sz="4" w:space="0" w:color="FFFFFF" w:themeColor="background1"/>
              <w:left w:val="nil"/>
              <w:bottom w:val="single" w:sz="4" w:space="0" w:color="FFFFFF" w:themeColor="background1"/>
              <w:right w:val="nil"/>
            </w:tcBorders>
            <w:shd w:val="clear" w:color="000000" w:fill="D0E0E3"/>
            <w:noWrap/>
            <w:tcMar>
              <w:top w:w="15" w:type="dxa"/>
              <w:left w:w="15" w:type="dxa"/>
              <w:bottom w:w="0" w:type="dxa"/>
              <w:right w:w="15" w:type="dxa"/>
            </w:tcMar>
            <w:vAlign w:val="center"/>
            <w:hideMark/>
          </w:tcPr>
          <w:p w14:paraId="6690EEA6" w14:textId="77777777" w:rsidR="007E5587" w:rsidRDefault="007E5587">
            <w:pPr>
              <w:jc w:val="right"/>
              <w:rPr>
                <w:rFonts w:ascii="CAIXA Std Book" w:hAnsi="CAIXA Std Book"/>
                <w:b/>
                <w:bCs/>
                <w:color w:val="005CA9"/>
                <w:sz w:val="18"/>
                <w:szCs w:val="18"/>
              </w:rPr>
            </w:pPr>
            <w:r>
              <w:rPr>
                <w:rFonts w:ascii="CAIXA Std Book" w:hAnsi="CAIXA Std Book"/>
                <w:b/>
                <w:bCs/>
                <w:color w:val="005CA9"/>
                <w:sz w:val="18"/>
                <w:szCs w:val="18"/>
              </w:rPr>
              <w:t>15,05%</w:t>
            </w:r>
          </w:p>
        </w:tc>
      </w:tr>
      <w:tr w:rsidR="007E5587" w14:paraId="7AC281E0" w14:textId="77777777" w:rsidTr="00127353">
        <w:trPr>
          <w:trHeight w:val="300"/>
        </w:trPr>
        <w:tc>
          <w:tcPr>
            <w:tcW w:w="3526" w:type="pct"/>
            <w:tcBorders>
              <w:top w:val="single" w:sz="4" w:space="0" w:color="FFFFFF" w:themeColor="background1"/>
              <w:left w:val="nil"/>
              <w:bottom w:val="single" w:sz="4" w:space="0" w:color="FFFFFF" w:themeColor="background1"/>
              <w:right w:val="nil"/>
            </w:tcBorders>
            <w:shd w:val="clear" w:color="000000" w:fill="D0E0E3"/>
            <w:noWrap/>
            <w:tcMar>
              <w:top w:w="15" w:type="dxa"/>
              <w:left w:w="15" w:type="dxa"/>
              <w:bottom w:w="0" w:type="dxa"/>
              <w:right w:w="15" w:type="dxa"/>
            </w:tcMar>
            <w:vAlign w:val="center"/>
            <w:hideMark/>
          </w:tcPr>
          <w:p w14:paraId="308C8BEF" w14:textId="77777777" w:rsidR="007E5587" w:rsidRDefault="007E5587">
            <w:pPr>
              <w:rPr>
                <w:rFonts w:ascii="CAIXA Std Book" w:hAnsi="CAIXA Std Book"/>
                <w:b/>
                <w:bCs/>
                <w:color w:val="005CA9"/>
                <w:sz w:val="18"/>
                <w:szCs w:val="18"/>
              </w:rPr>
            </w:pPr>
            <w:r>
              <w:rPr>
                <w:rFonts w:ascii="CAIXA Std Book" w:hAnsi="CAIXA Std Book"/>
                <w:b/>
                <w:bCs/>
                <w:color w:val="005CA9"/>
                <w:sz w:val="18"/>
                <w:szCs w:val="18"/>
              </w:rPr>
              <w:t>Índice de Basileia (PR / RWA)</w:t>
            </w:r>
          </w:p>
        </w:tc>
        <w:tc>
          <w:tcPr>
            <w:tcW w:w="737" w:type="pct"/>
            <w:tcBorders>
              <w:top w:val="single" w:sz="4" w:space="0" w:color="FFFFFF" w:themeColor="background1"/>
              <w:left w:val="nil"/>
              <w:bottom w:val="single" w:sz="4" w:space="0" w:color="FFFFFF" w:themeColor="background1"/>
              <w:right w:val="nil"/>
            </w:tcBorders>
            <w:shd w:val="clear" w:color="auto" w:fill="D0E0E3"/>
            <w:noWrap/>
            <w:tcMar>
              <w:top w:w="15" w:type="dxa"/>
              <w:left w:w="15" w:type="dxa"/>
              <w:bottom w:w="0" w:type="dxa"/>
              <w:right w:w="15" w:type="dxa"/>
            </w:tcMar>
            <w:vAlign w:val="center"/>
            <w:hideMark/>
          </w:tcPr>
          <w:p w14:paraId="1AE123D2" w14:textId="43282F70" w:rsidR="007E5587" w:rsidRDefault="0055672C" w:rsidP="0055672C">
            <w:pPr>
              <w:jc w:val="right"/>
              <w:rPr>
                <w:rFonts w:ascii="CAIXA Std Book" w:hAnsi="CAIXA Std Book"/>
                <w:b/>
                <w:bCs/>
                <w:color w:val="005CA9"/>
                <w:sz w:val="18"/>
                <w:szCs w:val="18"/>
              </w:rPr>
            </w:pPr>
            <w:r>
              <w:rPr>
                <w:rFonts w:ascii="CAIXA Std Book" w:hAnsi="CAIXA Std Book"/>
                <w:b/>
                <w:bCs/>
                <w:color w:val="005CA9"/>
                <w:sz w:val="18"/>
                <w:szCs w:val="18"/>
              </w:rPr>
              <w:t>15,13%</w:t>
            </w:r>
          </w:p>
        </w:tc>
        <w:tc>
          <w:tcPr>
            <w:tcW w:w="737" w:type="pct"/>
            <w:tcBorders>
              <w:top w:val="single" w:sz="4" w:space="0" w:color="FFFFFF" w:themeColor="background1"/>
              <w:left w:val="nil"/>
              <w:bottom w:val="single" w:sz="4" w:space="0" w:color="FFFFFF" w:themeColor="background1"/>
              <w:right w:val="nil"/>
            </w:tcBorders>
            <w:shd w:val="clear" w:color="000000" w:fill="D0E0E3"/>
            <w:noWrap/>
            <w:tcMar>
              <w:top w:w="15" w:type="dxa"/>
              <w:left w:w="15" w:type="dxa"/>
              <w:bottom w:w="0" w:type="dxa"/>
              <w:right w:w="15" w:type="dxa"/>
            </w:tcMar>
            <w:vAlign w:val="center"/>
            <w:hideMark/>
          </w:tcPr>
          <w:p w14:paraId="4A27FA84" w14:textId="77777777" w:rsidR="007E5587" w:rsidRDefault="007E5587">
            <w:pPr>
              <w:jc w:val="right"/>
              <w:rPr>
                <w:rFonts w:ascii="CAIXA Std Book" w:hAnsi="CAIXA Std Book"/>
                <w:b/>
                <w:bCs/>
                <w:color w:val="005CA9"/>
                <w:sz w:val="18"/>
                <w:szCs w:val="18"/>
              </w:rPr>
            </w:pPr>
            <w:r>
              <w:rPr>
                <w:rFonts w:ascii="CAIXA Std Book" w:hAnsi="CAIXA Std Book"/>
                <w:b/>
                <w:bCs/>
                <w:color w:val="005CA9"/>
                <w:sz w:val="18"/>
                <w:szCs w:val="18"/>
              </w:rPr>
              <w:t>16,39%</w:t>
            </w:r>
          </w:p>
        </w:tc>
      </w:tr>
      <w:tr w:rsidR="007E5587" w14:paraId="37368195" w14:textId="77777777" w:rsidTr="00127353">
        <w:trPr>
          <w:trHeight w:val="288"/>
        </w:trPr>
        <w:tc>
          <w:tcPr>
            <w:tcW w:w="3526" w:type="pct"/>
            <w:tcBorders>
              <w:top w:val="single" w:sz="4" w:space="0" w:color="FFFFFF" w:themeColor="background1"/>
              <w:left w:val="nil"/>
              <w:bottom w:val="single" w:sz="4" w:space="0" w:color="1F497D" w:themeColor="text2"/>
              <w:right w:val="nil"/>
            </w:tcBorders>
            <w:shd w:val="clear" w:color="000000" w:fill="D0E0E3"/>
            <w:noWrap/>
            <w:tcMar>
              <w:top w:w="15" w:type="dxa"/>
              <w:left w:w="15" w:type="dxa"/>
              <w:bottom w:w="0" w:type="dxa"/>
              <w:right w:w="15" w:type="dxa"/>
            </w:tcMar>
            <w:vAlign w:val="center"/>
            <w:hideMark/>
          </w:tcPr>
          <w:p w14:paraId="12FD6C1C" w14:textId="77777777" w:rsidR="007E5587" w:rsidRDefault="007E5587">
            <w:pPr>
              <w:rPr>
                <w:rFonts w:ascii="CAIXA Std Book" w:hAnsi="CAIXA Std Book"/>
                <w:b/>
                <w:bCs/>
                <w:color w:val="005CA9"/>
                <w:sz w:val="18"/>
                <w:szCs w:val="18"/>
              </w:rPr>
            </w:pPr>
            <w:r>
              <w:rPr>
                <w:rFonts w:ascii="CAIXA Std Book" w:hAnsi="CAIXA Std Book"/>
                <w:b/>
                <w:bCs/>
                <w:color w:val="005CA9"/>
                <w:sz w:val="18"/>
                <w:szCs w:val="18"/>
              </w:rPr>
              <w:t>Fator F</w:t>
            </w:r>
          </w:p>
        </w:tc>
        <w:tc>
          <w:tcPr>
            <w:tcW w:w="737" w:type="pct"/>
            <w:tcBorders>
              <w:top w:val="single" w:sz="4" w:space="0" w:color="FFFFFF" w:themeColor="background1"/>
              <w:left w:val="nil"/>
              <w:bottom w:val="single" w:sz="4" w:space="0" w:color="1F497D" w:themeColor="text2"/>
              <w:right w:val="nil"/>
            </w:tcBorders>
            <w:shd w:val="clear" w:color="auto" w:fill="D0E0E3"/>
            <w:noWrap/>
            <w:tcMar>
              <w:top w:w="15" w:type="dxa"/>
              <w:left w:w="15" w:type="dxa"/>
              <w:bottom w:w="0" w:type="dxa"/>
              <w:right w:w="15" w:type="dxa"/>
            </w:tcMar>
            <w:vAlign w:val="center"/>
            <w:hideMark/>
          </w:tcPr>
          <w:p w14:paraId="1F2919DB" w14:textId="4E56AE90" w:rsidR="007E5587" w:rsidRDefault="0055672C" w:rsidP="0055672C">
            <w:pPr>
              <w:jc w:val="right"/>
              <w:rPr>
                <w:rFonts w:ascii="CAIXA Std Book" w:hAnsi="CAIXA Std Book"/>
                <w:b/>
                <w:bCs/>
                <w:color w:val="005CA9"/>
                <w:sz w:val="18"/>
                <w:szCs w:val="18"/>
              </w:rPr>
            </w:pPr>
            <w:r>
              <w:rPr>
                <w:rFonts w:ascii="CAIXA Std Book" w:hAnsi="CAIXA Std Book"/>
                <w:b/>
                <w:bCs/>
                <w:color w:val="005CA9"/>
                <w:sz w:val="18"/>
                <w:szCs w:val="18"/>
              </w:rPr>
              <w:t>8,00%</w:t>
            </w:r>
          </w:p>
        </w:tc>
        <w:tc>
          <w:tcPr>
            <w:tcW w:w="737" w:type="pct"/>
            <w:tcBorders>
              <w:top w:val="single" w:sz="4" w:space="0" w:color="FFFFFF" w:themeColor="background1"/>
              <w:left w:val="nil"/>
              <w:bottom w:val="single" w:sz="4" w:space="0" w:color="1F497D" w:themeColor="text2"/>
              <w:right w:val="nil"/>
            </w:tcBorders>
            <w:shd w:val="clear" w:color="000000" w:fill="D0E0E3"/>
            <w:noWrap/>
            <w:tcMar>
              <w:top w:w="15" w:type="dxa"/>
              <w:left w:w="15" w:type="dxa"/>
              <w:bottom w:w="0" w:type="dxa"/>
              <w:right w:w="15" w:type="dxa"/>
            </w:tcMar>
            <w:vAlign w:val="center"/>
            <w:hideMark/>
          </w:tcPr>
          <w:p w14:paraId="06D1BC6E" w14:textId="77777777" w:rsidR="007E5587" w:rsidRDefault="007E5587">
            <w:pPr>
              <w:jc w:val="right"/>
              <w:rPr>
                <w:rFonts w:ascii="CAIXA Std Book" w:hAnsi="CAIXA Std Book"/>
                <w:b/>
                <w:bCs/>
                <w:color w:val="005CA9"/>
                <w:sz w:val="18"/>
                <w:szCs w:val="18"/>
              </w:rPr>
            </w:pPr>
            <w:r>
              <w:rPr>
                <w:rFonts w:ascii="CAIXA Std Book" w:hAnsi="CAIXA Std Book"/>
                <w:b/>
                <w:bCs/>
                <w:color w:val="005CA9"/>
                <w:sz w:val="18"/>
                <w:szCs w:val="18"/>
              </w:rPr>
              <w:t>8,00%</w:t>
            </w:r>
          </w:p>
        </w:tc>
      </w:tr>
    </w:tbl>
    <w:bookmarkEnd w:id="165"/>
    <w:p w14:paraId="0C68F4C0" w14:textId="451E68D5" w:rsidR="00C0572E" w:rsidRPr="00A47C19" w:rsidRDefault="00C0572E" w:rsidP="003D448E">
      <w:pPr>
        <w:jc w:val="both"/>
        <w:rPr>
          <w:rFonts w:ascii="CAIXA Std Book" w:hAnsi="CAIXA Std Book" w:cs="Symbol"/>
          <w:color w:val="005CA9"/>
          <w:sz w:val="16"/>
          <w:szCs w:val="16"/>
        </w:rPr>
      </w:pPr>
      <w:r w:rsidRPr="00A47C19">
        <w:rPr>
          <w:rFonts w:ascii="CAIXA Std Book" w:hAnsi="CAIXA Std Book" w:cs="Symbol"/>
          <w:color w:val="005CA9"/>
          <w:sz w:val="16"/>
          <w:szCs w:val="16"/>
        </w:rPr>
        <w:t xml:space="preserve">(1) Patrimônio Líquido considera </w:t>
      </w:r>
      <w:r w:rsidR="00CA3A95">
        <w:rPr>
          <w:rFonts w:ascii="CAIXA Std Book" w:hAnsi="CAIXA Std Book" w:cs="Symbol"/>
          <w:color w:val="005CA9"/>
          <w:sz w:val="16"/>
          <w:szCs w:val="16"/>
        </w:rPr>
        <w:t xml:space="preserve">somente </w:t>
      </w:r>
      <w:r w:rsidRPr="00A47C19">
        <w:rPr>
          <w:rFonts w:ascii="CAIXA Std Book" w:hAnsi="CAIXA Std Book" w:cs="Symbol"/>
          <w:color w:val="005CA9"/>
          <w:sz w:val="16"/>
          <w:szCs w:val="16"/>
        </w:rPr>
        <w:t>os instrumentos híbridos de capital e dívida autorizados conforme Resolução CMN nº</w:t>
      </w:r>
      <w:r w:rsidR="003D448E">
        <w:rPr>
          <w:rFonts w:ascii="CAIXA Std Book" w:hAnsi="CAIXA Std Book" w:cs="Symbol"/>
          <w:color w:val="005CA9"/>
          <w:sz w:val="16"/>
          <w:szCs w:val="16"/>
        </w:rPr>
        <w:t xml:space="preserve"> </w:t>
      </w:r>
      <w:r w:rsidR="00036E84">
        <w:rPr>
          <w:rFonts w:ascii="CAIXA Std Book" w:hAnsi="CAIXA Std Book" w:cs="Symbol"/>
          <w:color w:val="005CA9"/>
          <w:sz w:val="16"/>
          <w:szCs w:val="16"/>
        </w:rPr>
        <w:t>4</w:t>
      </w:r>
      <w:r w:rsidRPr="00A47C19">
        <w:rPr>
          <w:rFonts w:ascii="CAIXA Std Book" w:hAnsi="CAIXA Std Book" w:cs="Symbol"/>
          <w:color w:val="005CA9"/>
          <w:sz w:val="16"/>
          <w:szCs w:val="16"/>
        </w:rPr>
        <w:t>.955/2021.</w:t>
      </w:r>
    </w:p>
    <w:p w14:paraId="31822B8A" w14:textId="77777777" w:rsidR="00C0572E" w:rsidRDefault="00C0572E" w:rsidP="00C0572E">
      <w:pPr>
        <w:spacing w:after="240"/>
        <w:rPr>
          <w:rFonts w:ascii="CAIXA Std Book" w:hAnsi="CAIXA Std Book" w:cs="Symbol"/>
          <w:color w:val="005CA9"/>
          <w:sz w:val="16"/>
          <w:szCs w:val="16"/>
        </w:rPr>
      </w:pPr>
      <w:r>
        <w:rPr>
          <w:rFonts w:ascii="CAIXA Std Book" w:hAnsi="CAIXA Std Book" w:cs="Symbol"/>
          <w:color w:val="005CA9"/>
          <w:sz w:val="16"/>
          <w:szCs w:val="16"/>
        </w:rPr>
        <w:t>(2) Consoante ao</w:t>
      </w:r>
      <w:r w:rsidRPr="000209D0">
        <w:rPr>
          <w:rFonts w:ascii="CAIXA Std Book" w:hAnsi="CAIXA Std Book" w:cs="Symbol"/>
          <w:color w:val="005CA9"/>
          <w:sz w:val="16"/>
          <w:szCs w:val="16"/>
        </w:rPr>
        <w:t xml:space="preserve"> disposto no</w:t>
      </w:r>
      <w:r>
        <w:rPr>
          <w:rFonts w:ascii="CAIXA Std Book" w:hAnsi="CAIXA Std Book" w:cs="Symbol"/>
          <w:color w:val="005CA9"/>
          <w:sz w:val="16"/>
          <w:szCs w:val="16"/>
        </w:rPr>
        <w:t>s</w:t>
      </w:r>
      <w:r w:rsidRPr="000209D0">
        <w:rPr>
          <w:rFonts w:ascii="CAIXA Std Book" w:hAnsi="CAIXA Std Book" w:cs="Symbol"/>
          <w:color w:val="005CA9"/>
          <w:sz w:val="16"/>
          <w:szCs w:val="16"/>
        </w:rPr>
        <w:t xml:space="preserve"> art. </w:t>
      </w:r>
      <w:r>
        <w:rPr>
          <w:rFonts w:ascii="CAIXA Std Book" w:hAnsi="CAIXA Std Book" w:cs="Symbol"/>
          <w:color w:val="005CA9"/>
          <w:sz w:val="16"/>
          <w:szCs w:val="16"/>
        </w:rPr>
        <w:t xml:space="preserve">29 e </w:t>
      </w:r>
      <w:r w:rsidRPr="000209D0">
        <w:rPr>
          <w:rFonts w:ascii="CAIXA Std Book" w:hAnsi="CAIXA Std Book" w:cs="Symbol"/>
          <w:color w:val="005CA9"/>
          <w:sz w:val="16"/>
          <w:szCs w:val="16"/>
        </w:rPr>
        <w:t>31 da Resolução CMN nº 4.955/2021</w:t>
      </w:r>
      <w:r>
        <w:rPr>
          <w:rFonts w:ascii="CAIXA Std Book" w:hAnsi="CAIXA Std Book" w:cs="Symbol"/>
          <w:color w:val="005CA9"/>
          <w:sz w:val="16"/>
          <w:szCs w:val="16"/>
        </w:rPr>
        <w:t>.</w:t>
      </w:r>
    </w:p>
    <w:p w14:paraId="1158E0A8" w14:textId="77777777" w:rsidR="005E396F" w:rsidRDefault="005E396F">
      <w:pPr>
        <w:rPr>
          <w:rFonts w:ascii="CAIXA Std Book" w:hAnsi="CAIXA Std Book"/>
          <w:b/>
          <w:color w:val="005CA9"/>
          <w:sz w:val="20"/>
          <w:szCs w:val="20"/>
        </w:rPr>
      </w:pPr>
      <w:r>
        <w:rPr>
          <w:rFonts w:ascii="CAIXA Std Book" w:hAnsi="CAIXA Std Book"/>
          <w:b/>
          <w:color w:val="005CA9"/>
          <w:sz w:val="20"/>
          <w:szCs w:val="20"/>
        </w:rPr>
        <w:br w:type="page"/>
      </w:r>
    </w:p>
    <w:p w14:paraId="38505E28" w14:textId="240E45AC" w:rsidR="00C551BA" w:rsidRDefault="00C0572E" w:rsidP="00014685">
      <w:pPr>
        <w:spacing w:before="240" w:after="240"/>
        <w:ind w:left="851" w:hanging="851"/>
        <w:jc w:val="both"/>
        <w:rPr>
          <w:rFonts w:ascii="CAIXA Std Book" w:hAnsi="CAIXA Std Book"/>
          <w:b/>
          <w:color w:val="005CA9"/>
          <w:sz w:val="20"/>
          <w:szCs w:val="20"/>
        </w:rPr>
      </w:pPr>
      <w:r>
        <w:rPr>
          <w:rFonts w:ascii="CAIXA Std Book" w:hAnsi="CAIXA Std Book"/>
          <w:b/>
          <w:color w:val="005CA9"/>
          <w:sz w:val="20"/>
          <w:szCs w:val="20"/>
        </w:rPr>
        <w:t>(</w:t>
      </w:r>
      <w:r w:rsidR="00EA3ED5">
        <w:rPr>
          <w:rFonts w:ascii="CAIXA Std Book" w:hAnsi="CAIXA Std Book"/>
          <w:b/>
          <w:color w:val="005CA9"/>
          <w:sz w:val="20"/>
          <w:szCs w:val="20"/>
        </w:rPr>
        <w:t>d</w:t>
      </w:r>
      <w:r>
        <w:rPr>
          <w:rFonts w:ascii="CAIXA Std Book" w:hAnsi="CAIXA Std Book"/>
          <w:b/>
          <w:color w:val="005CA9"/>
          <w:sz w:val="20"/>
          <w:szCs w:val="20"/>
        </w:rPr>
        <w:t>.1)</w:t>
      </w:r>
      <w:r>
        <w:rPr>
          <w:rFonts w:ascii="CAIXA Std Book" w:hAnsi="CAIXA Std Book"/>
          <w:b/>
          <w:color w:val="005CA9"/>
          <w:sz w:val="20"/>
          <w:szCs w:val="20"/>
        </w:rPr>
        <w:tab/>
        <w:t>Ajustes prudenciais deduzidos do capital principal</w:t>
      </w:r>
    </w:p>
    <w:tbl>
      <w:tblPr>
        <w:tblW w:w="5000" w:type="pct"/>
        <w:tblCellMar>
          <w:left w:w="70" w:type="dxa"/>
          <w:right w:w="70" w:type="dxa"/>
        </w:tblCellMar>
        <w:tblLook w:val="04A0" w:firstRow="1" w:lastRow="0" w:firstColumn="1" w:lastColumn="0" w:noHBand="0" w:noVBand="1"/>
      </w:tblPr>
      <w:tblGrid>
        <w:gridCol w:w="6348"/>
        <w:gridCol w:w="1586"/>
        <w:gridCol w:w="1704"/>
      </w:tblGrid>
      <w:tr w:rsidR="004F7466" w:rsidRPr="004F7466" w14:paraId="7AD6940B" w14:textId="77777777">
        <w:trPr>
          <w:trHeight w:val="283"/>
        </w:trPr>
        <w:tc>
          <w:tcPr>
            <w:tcW w:w="3293" w:type="pct"/>
            <w:tcBorders>
              <w:top w:val="nil"/>
              <w:left w:val="nil"/>
              <w:bottom w:val="nil"/>
              <w:right w:val="nil"/>
            </w:tcBorders>
            <w:shd w:val="clear" w:color="000000" w:fill="005CA9"/>
            <w:vAlign w:val="center"/>
            <w:hideMark/>
          </w:tcPr>
          <w:p w14:paraId="7E390184" w14:textId="77777777" w:rsidR="004F7466" w:rsidRPr="004F7466" w:rsidRDefault="004F7466" w:rsidP="004F7466">
            <w:pPr>
              <w:jc w:val="center"/>
              <w:rPr>
                <w:rFonts w:ascii="CAIXA Std Book" w:eastAsia="Times New Roman" w:hAnsi="CAIXA Std Book" w:cs="Times New Roman"/>
                <w:b/>
                <w:bCs/>
                <w:color w:val="FFFFFF"/>
                <w:sz w:val="18"/>
                <w:szCs w:val="18"/>
              </w:rPr>
            </w:pPr>
            <w:r w:rsidRPr="004F7466">
              <w:rPr>
                <w:rFonts w:ascii="CAIXA Std Book" w:eastAsia="Times New Roman" w:hAnsi="CAIXA Std Book" w:cs="Times New Roman"/>
                <w:b/>
                <w:bCs/>
                <w:color w:val="FFFFFF"/>
                <w:sz w:val="18"/>
                <w:szCs w:val="18"/>
              </w:rPr>
              <w:t>Descrição</w:t>
            </w:r>
          </w:p>
        </w:tc>
        <w:tc>
          <w:tcPr>
            <w:tcW w:w="823" w:type="pct"/>
            <w:tcBorders>
              <w:top w:val="nil"/>
              <w:left w:val="nil"/>
              <w:bottom w:val="nil"/>
              <w:right w:val="nil"/>
            </w:tcBorders>
            <w:shd w:val="clear" w:color="000000" w:fill="005CA9"/>
            <w:vAlign w:val="center"/>
            <w:hideMark/>
          </w:tcPr>
          <w:p w14:paraId="6BFC0EC0" w14:textId="77777777" w:rsidR="004F7466" w:rsidRPr="004F7466" w:rsidRDefault="004F7466" w:rsidP="004F7466">
            <w:pPr>
              <w:jc w:val="center"/>
              <w:rPr>
                <w:rFonts w:ascii="CAIXA Std Book" w:eastAsia="Times New Roman" w:hAnsi="CAIXA Std Book" w:cs="Times New Roman"/>
                <w:b/>
                <w:bCs/>
                <w:color w:val="FFFFFF"/>
                <w:sz w:val="18"/>
                <w:szCs w:val="18"/>
              </w:rPr>
            </w:pPr>
            <w:r w:rsidRPr="004F7466">
              <w:rPr>
                <w:rFonts w:ascii="CAIXA Std Book" w:eastAsia="Times New Roman" w:hAnsi="CAIXA Std Book" w:cs="Times New Roman"/>
                <w:b/>
                <w:bCs/>
                <w:color w:val="FFFFFF"/>
                <w:sz w:val="18"/>
                <w:szCs w:val="18"/>
              </w:rPr>
              <w:t>31/03/2026</w:t>
            </w:r>
          </w:p>
        </w:tc>
        <w:tc>
          <w:tcPr>
            <w:tcW w:w="884" w:type="pct"/>
            <w:tcBorders>
              <w:top w:val="nil"/>
              <w:left w:val="nil"/>
              <w:bottom w:val="nil"/>
              <w:right w:val="nil"/>
            </w:tcBorders>
            <w:shd w:val="clear" w:color="000000" w:fill="005CA9"/>
            <w:noWrap/>
            <w:vAlign w:val="center"/>
            <w:hideMark/>
          </w:tcPr>
          <w:p w14:paraId="3FCEC7DF" w14:textId="77777777" w:rsidR="004F7466" w:rsidRPr="004F7466" w:rsidRDefault="004F7466" w:rsidP="004F7466">
            <w:pPr>
              <w:jc w:val="center"/>
              <w:rPr>
                <w:rFonts w:ascii="CAIXA Std Book" w:eastAsia="Times New Roman" w:hAnsi="CAIXA Std Book" w:cs="Times New Roman"/>
                <w:b/>
                <w:bCs/>
                <w:color w:val="FFFFFF"/>
                <w:sz w:val="18"/>
                <w:szCs w:val="18"/>
              </w:rPr>
            </w:pPr>
            <w:r w:rsidRPr="004F7466">
              <w:rPr>
                <w:rFonts w:ascii="CAIXA Std Book" w:eastAsia="Times New Roman" w:hAnsi="CAIXA Std Book" w:cs="Times New Roman"/>
                <w:b/>
                <w:bCs/>
                <w:color w:val="FFFFFF"/>
                <w:sz w:val="18"/>
                <w:szCs w:val="18"/>
              </w:rPr>
              <w:t>31/12/2025</w:t>
            </w:r>
          </w:p>
        </w:tc>
      </w:tr>
      <w:tr w:rsidR="004F7466" w:rsidRPr="004F7466" w14:paraId="655C661E" w14:textId="77777777">
        <w:trPr>
          <w:trHeight w:val="283"/>
        </w:trPr>
        <w:tc>
          <w:tcPr>
            <w:tcW w:w="3293" w:type="pct"/>
            <w:tcBorders>
              <w:top w:val="nil"/>
              <w:left w:val="nil"/>
              <w:bottom w:val="single" w:sz="8" w:space="0" w:color="FFFFFF"/>
              <w:right w:val="nil"/>
            </w:tcBorders>
            <w:shd w:val="clear" w:color="000000" w:fill="D0E0E3"/>
            <w:vAlign w:val="center"/>
            <w:hideMark/>
          </w:tcPr>
          <w:p w14:paraId="14FA68A1" w14:textId="77777777" w:rsidR="004F7466" w:rsidRPr="004F7466" w:rsidRDefault="004F7466" w:rsidP="004F7466">
            <w:pPr>
              <w:jc w:val="both"/>
              <w:rPr>
                <w:rFonts w:ascii="CAIXA Std Book" w:eastAsia="Times New Roman" w:hAnsi="CAIXA Std Book" w:cs="Times New Roman"/>
                <w:color w:val="005CA9"/>
                <w:sz w:val="18"/>
                <w:szCs w:val="18"/>
              </w:rPr>
            </w:pPr>
            <w:r w:rsidRPr="004F7466">
              <w:rPr>
                <w:rFonts w:ascii="CAIXA Std Book" w:eastAsia="Times New Roman" w:hAnsi="CAIXA Std Book" w:cs="Times New Roman"/>
                <w:color w:val="005CA9"/>
                <w:sz w:val="18"/>
                <w:szCs w:val="18"/>
              </w:rPr>
              <w:t xml:space="preserve">Ajustes prudenciais relativos a apreçamentos de instrumentos financeiros </w:t>
            </w:r>
          </w:p>
        </w:tc>
        <w:tc>
          <w:tcPr>
            <w:tcW w:w="823" w:type="pct"/>
            <w:tcBorders>
              <w:top w:val="nil"/>
              <w:left w:val="nil"/>
              <w:bottom w:val="single" w:sz="8" w:space="0" w:color="FFFFFF"/>
              <w:right w:val="nil"/>
            </w:tcBorders>
            <w:shd w:val="clear" w:color="000000" w:fill="D0E0E3"/>
            <w:vAlign w:val="center"/>
            <w:hideMark/>
          </w:tcPr>
          <w:p w14:paraId="658C9B10" w14:textId="242B0B92" w:rsidR="004F7466" w:rsidRPr="004F7466" w:rsidRDefault="004E78F3" w:rsidP="004E78F3">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(6.299)</w:t>
            </w:r>
          </w:p>
        </w:tc>
        <w:tc>
          <w:tcPr>
            <w:tcW w:w="884" w:type="pct"/>
            <w:tcBorders>
              <w:top w:val="nil"/>
              <w:left w:val="nil"/>
              <w:bottom w:val="single" w:sz="8" w:space="0" w:color="FFFFFF"/>
              <w:right w:val="nil"/>
            </w:tcBorders>
            <w:shd w:val="clear" w:color="auto" w:fill="D0E0E3"/>
            <w:noWrap/>
            <w:vAlign w:val="center"/>
            <w:hideMark/>
          </w:tcPr>
          <w:p w14:paraId="5E25A5F4" w14:textId="77777777" w:rsidR="004F7466" w:rsidRPr="004F7466" w:rsidRDefault="004F7466" w:rsidP="004F7466">
            <w:pPr>
              <w:jc w:val="right"/>
              <w:rPr>
                <w:rFonts w:ascii="CAIXA Std Book" w:eastAsia="Times New Roman" w:hAnsi="CAIXA Std Book" w:cs="Times New Roman"/>
                <w:color w:val="005CA9"/>
                <w:sz w:val="18"/>
                <w:szCs w:val="18"/>
              </w:rPr>
            </w:pPr>
            <w:r w:rsidRPr="004F7466">
              <w:rPr>
                <w:rFonts w:ascii="CAIXA Std Book" w:eastAsia="Times New Roman" w:hAnsi="CAIXA Std Book" w:cs="Times New Roman"/>
                <w:color w:val="005CA9"/>
                <w:sz w:val="18"/>
                <w:szCs w:val="18"/>
              </w:rPr>
              <w:t>(53.077)</w:t>
            </w:r>
          </w:p>
        </w:tc>
      </w:tr>
      <w:tr w:rsidR="004F7466" w:rsidRPr="004F7466" w14:paraId="6BA0F1A9" w14:textId="77777777">
        <w:trPr>
          <w:trHeight w:val="283"/>
        </w:trPr>
        <w:tc>
          <w:tcPr>
            <w:tcW w:w="3293" w:type="pct"/>
            <w:tcBorders>
              <w:top w:val="nil"/>
              <w:left w:val="nil"/>
              <w:bottom w:val="single" w:sz="8" w:space="0" w:color="FFFFFF"/>
              <w:right w:val="nil"/>
            </w:tcBorders>
            <w:shd w:val="clear" w:color="000000" w:fill="D0E0E3"/>
            <w:vAlign w:val="center"/>
            <w:hideMark/>
          </w:tcPr>
          <w:p w14:paraId="24C67CFE" w14:textId="77777777" w:rsidR="004F7466" w:rsidRPr="004F7466" w:rsidRDefault="004F7466" w:rsidP="004F7466">
            <w:pPr>
              <w:jc w:val="both"/>
              <w:rPr>
                <w:rFonts w:ascii="CAIXA Std Book" w:eastAsia="Times New Roman" w:hAnsi="CAIXA Std Book" w:cs="Times New Roman"/>
                <w:color w:val="005CA9"/>
                <w:sz w:val="18"/>
                <w:szCs w:val="18"/>
              </w:rPr>
            </w:pPr>
            <w:r w:rsidRPr="004F7466">
              <w:rPr>
                <w:rFonts w:ascii="CAIXA Std Book" w:eastAsia="Times New Roman" w:hAnsi="CAIXA Std Book" w:cs="Times New Roman"/>
                <w:color w:val="005CA9"/>
                <w:sz w:val="18"/>
                <w:szCs w:val="18"/>
              </w:rPr>
              <w:t>Ativos intangíveis</w:t>
            </w:r>
          </w:p>
        </w:tc>
        <w:tc>
          <w:tcPr>
            <w:tcW w:w="823" w:type="pct"/>
            <w:tcBorders>
              <w:top w:val="nil"/>
              <w:left w:val="nil"/>
              <w:bottom w:val="single" w:sz="8" w:space="0" w:color="FFFFFF"/>
              <w:right w:val="nil"/>
            </w:tcBorders>
            <w:shd w:val="clear" w:color="000000" w:fill="D0E0E3"/>
            <w:vAlign w:val="center"/>
            <w:hideMark/>
          </w:tcPr>
          <w:p w14:paraId="6DB5EBEB" w14:textId="22679F6E" w:rsidR="004F7466" w:rsidRPr="004F7466" w:rsidRDefault="004E78F3" w:rsidP="004E78F3">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(4.592.903)</w:t>
            </w:r>
          </w:p>
        </w:tc>
        <w:tc>
          <w:tcPr>
            <w:tcW w:w="884" w:type="pct"/>
            <w:tcBorders>
              <w:top w:val="nil"/>
              <w:left w:val="nil"/>
              <w:bottom w:val="single" w:sz="8" w:space="0" w:color="FFFFFF"/>
              <w:right w:val="nil"/>
            </w:tcBorders>
            <w:shd w:val="clear" w:color="000000" w:fill="D0E0E3"/>
            <w:noWrap/>
            <w:vAlign w:val="center"/>
            <w:hideMark/>
          </w:tcPr>
          <w:p w14:paraId="772899CB" w14:textId="77777777" w:rsidR="004F7466" w:rsidRPr="004F7466" w:rsidRDefault="004F7466" w:rsidP="004F7466">
            <w:pPr>
              <w:jc w:val="right"/>
              <w:rPr>
                <w:rFonts w:ascii="CAIXA Std Book" w:eastAsia="Times New Roman" w:hAnsi="CAIXA Std Book" w:cs="Times New Roman"/>
                <w:color w:val="005CA9"/>
                <w:sz w:val="18"/>
                <w:szCs w:val="18"/>
              </w:rPr>
            </w:pPr>
            <w:r w:rsidRPr="004F7466">
              <w:rPr>
                <w:rFonts w:ascii="CAIXA Std Book" w:eastAsia="Times New Roman" w:hAnsi="CAIXA Std Book" w:cs="Times New Roman"/>
                <w:color w:val="005CA9"/>
                <w:sz w:val="18"/>
                <w:szCs w:val="18"/>
              </w:rPr>
              <w:t>(4.629.003)</w:t>
            </w:r>
          </w:p>
        </w:tc>
      </w:tr>
      <w:tr w:rsidR="004F7466" w:rsidRPr="004F7466" w14:paraId="4F6EF4E7" w14:textId="77777777">
        <w:trPr>
          <w:trHeight w:val="283"/>
        </w:trPr>
        <w:tc>
          <w:tcPr>
            <w:tcW w:w="3293" w:type="pct"/>
            <w:tcBorders>
              <w:top w:val="nil"/>
              <w:left w:val="nil"/>
              <w:bottom w:val="single" w:sz="8" w:space="0" w:color="FFFFFF"/>
              <w:right w:val="nil"/>
            </w:tcBorders>
            <w:shd w:val="clear" w:color="000000" w:fill="D0E0E3"/>
            <w:vAlign w:val="center"/>
            <w:hideMark/>
          </w:tcPr>
          <w:p w14:paraId="1863D669" w14:textId="77777777" w:rsidR="004F7466" w:rsidRPr="004F7466" w:rsidRDefault="004F7466" w:rsidP="004F7466">
            <w:pPr>
              <w:jc w:val="both"/>
              <w:rPr>
                <w:rFonts w:ascii="CAIXA Std Book" w:eastAsia="Times New Roman" w:hAnsi="CAIXA Std Book" w:cs="Times New Roman"/>
                <w:color w:val="005CA9"/>
                <w:sz w:val="18"/>
                <w:szCs w:val="18"/>
              </w:rPr>
            </w:pPr>
            <w:r w:rsidRPr="004F7466">
              <w:rPr>
                <w:rFonts w:ascii="CAIXA Std Book" w:eastAsia="Times New Roman" w:hAnsi="CAIXA Std Book" w:cs="Times New Roman"/>
                <w:color w:val="005CA9"/>
                <w:sz w:val="18"/>
                <w:szCs w:val="18"/>
              </w:rPr>
              <w:t>Créditos tributários decorrentes de prejuízos fiscais e de base negativa de Contribuição Social sobre o Lucro Líquido e os originados dessa contribuição relativos a períodos de apuração encerrados até 31 de dezembro de 1998</w:t>
            </w:r>
          </w:p>
        </w:tc>
        <w:tc>
          <w:tcPr>
            <w:tcW w:w="823" w:type="pct"/>
            <w:tcBorders>
              <w:top w:val="nil"/>
              <w:left w:val="nil"/>
              <w:bottom w:val="single" w:sz="8" w:space="0" w:color="FFFFFF"/>
              <w:right w:val="nil"/>
            </w:tcBorders>
            <w:shd w:val="clear" w:color="000000" w:fill="D0E0E3"/>
            <w:vAlign w:val="center"/>
            <w:hideMark/>
          </w:tcPr>
          <w:p w14:paraId="492530EB" w14:textId="7C5C0C0F" w:rsidR="004F7466" w:rsidRPr="004F7466" w:rsidRDefault="004E78F3" w:rsidP="004E78F3">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(6.605.161)</w:t>
            </w:r>
          </w:p>
        </w:tc>
        <w:tc>
          <w:tcPr>
            <w:tcW w:w="884" w:type="pct"/>
            <w:tcBorders>
              <w:top w:val="nil"/>
              <w:left w:val="nil"/>
              <w:bottom w:val="single" w:sz="8" w:space="0" w:color="FFFFFF"/>
              <w:right w:val="nil"/>
            </w:tcBorders>
            <w:shd w:val="clear" w:color="000000" w:fill="D0E0E3"/>
            <w:noWrap/>
            <w:vAlign w:val="center"/>
            <w:hideMark/>
          </w:tcPr>
          <w:p w14:paraId="32D278BF" w14:textId="77777777" w:rsidR="004F7466" w:rsidRPr="004F7466" w:rsidRDefault="004F7466" w:rsidP="004F7466">
            <w:pPr>
              <w:jc w:val="right"/>
              <w:rPr>
                <w:rFonts w:ascii="CAIXA Std Book" w:eastAsia="Times New Roman" w:hAnsi="CAIXA Std Book" w:cs="Times New Roman"/>
                <w:color w:val="005CA9"/>
                <w:sz w:val="18"/>
                <w:szCs w:val="18"/>
              </w:rPr>
            </w:pPr>
            <w:r w:rsidRPr="004F7466">
              <w:rPr>
                <w:rFonts w:ascii="CAIXA Std Book" w:eastAsia="Times New Roman" w:hAnsi="CAIXA Std Book" w:cs="Times New Roman"/>
                <w:color w:val="005CA9"/>
                <w:sz w:val="18"/>
                <w:szCs w:val="18"/>
              </w:rPr>
              <w:t>(3.561.095)</w:t>
            </w:r>
          </w:p>
        </w:tc>
      </w:tr>
      <w:tr w:rsidR="004F7466" w:rsidRPr="004F7466" w14:paraId="14B49371" w14:textId="77777777">
        <w:trPr>
          <w:trHeight w:val="283"/>
        </w:trPr>
        <w:tc>
          <w:tcPr>
            <w:tcW w:w="3293" w:type="pct"/>
            <w:tcBorders>
              <w:top w:val="nil"/>
              <w:left w:val="nil"/>
              <w:bottom w:val="single" w:sz="8" w:space="0" w:color="FFFFFF"/>
              <w:right w:val="nil"/>
            </w:tcBorders>
            <w:shd w:val="clear" w:color="000000" w:fill="D0E0E3"/>
            <w:vAlign w:val="center"/>
            <w:hideMark/>
          </w:tcPr>
          <w:p w14:paraId="6EB620A0" w14:textId="77777777" w:rsidR="004F7466" w:rsidRPr="004F7466" w:rsidRDefault="004F7466" w:rsidP="004F7466">
            <w:pPr>
              <w:jc w:val="both"/>
              <w:rPr>
                <w:rFonts w:ascii="CAIXA Std Book" w:eastAsia="Times New Roman" w:hAnsi="CAIXA Std Book" w:cs="Times New Roman"/>
                <w:color w:val="005CA9"/>
                <w:sz w:val="18"/>
                <w:szCs w:val="18"/>
              </w:rPr>
            </w:pPr>
            <w:r w:rsidRPr="004F7466">
              <w:rPr>
                <w:rFonts w:ascii="CAIXA Std Book" w:eastAsia="Times New Roman" w:hAnsi="CAIXA Std Book" w:cs="Times New Roman"/>
                <w:color w:val="005CA9"/>
                <w:sz w:val="18"/>
                <w:szCs w:val="18"/>
              </w:rPr>
              <w:t>Valor total das deduções relativas às aquisições recíprocas de Capital Principal</w:t>
            </w:r>
          </w:p>
        </w:tc>
        <w:tc>
          <w:tcPr>
            <w:tcW w:w="823" w:type="pct"/>
            <w:tcBorders>
              <w:top w:val="nil"/>
              <w:left w:val="nil"/>
              <w:bottom w:val="single" w:sz="8" w:space="0" w:color="FFFFFF"/>
              <w:right w:val="nil"/>
            </w:tcBorders>
            <w:shd w:val="clear" w:color="000000" w:fill="D0E0E3"/>
            <w:vAlign w:val="center"/>
            <w:hideMark/>
          </w:tcPr>
          <w:p w14:paraId="5C0E8ABE" w14:textId="72479821" w:rsidR="004F7466" w:rsidRPr="004F7466" w:rsidRDefault="004E78F3" w:rsidP="004E78F3">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(292.620)</w:t>
            </w:r>
          </w:p>
        </w:tc>
        <w:tc>
          <w:tcPr>
            <w:tcW w:w="884" w:type="pct"/>
            <w:tcBorders>
              <w:top w:val="nil"/>
              <w:left w:val="nil"/>
              <w:bottom w:val="single" w:sz="8" w:space="0" w:color="FFFFFF"/>
              <w:right w:val="nil"/>
            </w:tcBorders>
            <w:shd w:val="clear" w:color="000000" w:fill="D0E0E3"/>
            <w:noWrap/>
            <w:vAlign w:val="center"/>
            <w:hideMark/>
          </w:tcPr>
          <w:p w14:paraId="34ED752A" w14:textId="77777777" w:rsidR="004F7466" w:rsidRPr="004F7466" w:rsidRDefault="004F7466" w:rsidP="004F7466">
            <w:pPr>
              <w:jc w:val="right"/>
              <w:rPr>
                <w:rFonts w:ascii="CAIXA Std Book" w:eastAsia="Times New Roman" w:hAnsi="CAIXA Std Book" w:cs="Times New Roman"/>
                <w:color w:val="005CA9"/>
                <w:sz w:val="18"/>
                <w:szCs w:val="18"/>
              </w:rPr>
            </w:pPr>
            <w:r w:rsidRPr="004F7466">
              <w:rPr>
                <w:rFonts w:ascii="CAIXA Std Book" w:eastAsia="Times New Roman" w:hAnsi="CAIXA Std Book" w:cs="Times New Roman"/>
                <w:color w:val="005CA9"/>
                <w:sz w:val="18"/>
                <w:szCs w:val="18"/>
              </w:rPr>
              <w:t>(266.749)</w:t>
            </w:r>
          </w:p>
        </w:tc>
      </w:tr>
      <w:tr w:rsidR="004F7466" w:rsidRPr="004F7466" w14:paraId="6BD27D3A" w14:textId="77777777">
        <w:trPr>
          <w:trHeight w:val="283"/>
        </w:trPr>
        <w:tc>
          <w:tcPr>
            <w:tcW w:w="3293" w:type="pct"/>
            <w:tcBorders>
              <w:top w:val="nil"/>
              <w:left w:val="nil"/>
              <w:bottom w:val="single" w:sz="8" w:space="0" w:color="FFFFFF"/>
              <w:right w:val="nil"/>
            </w:tcBorders>
            <w:shd w:val="clear" w:color="000000" w:fill="D0E0E3"/>
            <w:vAlign w:val="center"/>
            <w:hideMark/>
          </w:tcPr>
          <w:p w14:paraId="6E891EF4" w14:textId="77777777" w:rsidR="004F7466" w:rsidRPr="004F7466" w:rsidRDefault="004F7466" w:rsidP="004F7466">
            <w:pPr>
              <w:jc w:val="both"/>
              <w:rPr>
                <w:rFonts w:ascii="CAIXA Std Book" w:eastAsia="Times New Roman" w:hAnsi="CAIXA Std Book" w:cs="Times New Roman"/>
                <w:color w:val="005CA9"/>
                <w:sz w:val="18"/>
                <w:szCs w:val="18"/>
              </w:rPr>
            </w:pPr>
            <w:r w:rsidRPr="004F7466">
              <w:rPr>
                <w:rFonts w:ascii="CAIXA Std Book" w:eastAsia="Times New Roman" w:hAnsi="CAIXA Std Book" w:cs="Times New Roman"/>
                <w:color w:val="005CA9"/>
                <w:sz w:val="18"/>
                <w:szCs w:val="18"/>
              </w:rPr>
              <w:t>Valor total das deduções relativas aos créditos tributários decorrentes de diferenças temporárias que dependam de geração de lucros ou receitas tributáveis futuras para sua realização, que exceda 10% do Capital Principal da própria instituição ou conglomerado, desconsiderando deduções específicas</w:t>
            </w:r>
          </w:p>
        </w:tc>
        <w:tc>
          <w:tcPr>
            <w:tcW w:w="823" w:type="pct"/>
            <w:tcBorders>
              <w:top w:val="nil"/>
              <w:left w:val="nil"/>
              <w:bottom w:val="single" w:sz="8" w:space="0" w:color="FFFFFF"/>
              <w:right w:val="nil"/>
            </w:tcBorders>
            <w:shd w:val="clear" w:color="000000" w:fill="D0E0E3"/>
            <w:vAlign w:val="center"/>
            <w:hideMark/>
          </w:tcPr>
          <w:p w14:paraId="1D756CBB" w14:textId="3FA40D6B" w:rsidR="004F7466" w:rsidRPr="004F7466" w:rsidRDefault="004E78F3" w:rsidP="004E78F3">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(479.259)</w:t>
            </w:r>
          </w:p>
        </w:tc>
        <w:tc>
          <w:tcPr>
            <w:tcW w:w="884" w:type="pct"/>
            <w:tcBorders>
              <w:top w:val="nil"/>
              <w:left w:val="nil"/>
              <w:bottom w:val="single" w:sz="8" w:space="0" w:color="FFFFFF"/>
              <w:right w:val="nil"/>
            </w:tcBorders>
            <w:shd w:val="clear" w:color="000000" w:fill="D0E0E3"/>
            <w:noWrap/>
            <w:vAlign w:val="center"/>
            <w:hideMark/>
          </w:tcPr>
          <w:p w14:paraId="3CD8FF9A" w14:textId="77777777" w:rsidR="004F7466" w:rsidRPr="004F7466" w:rsidRDefault="004F7466" w:rsidP="004F7466">
            <w:pPr>
              <w:jc w:val="right"/>
              <w:rPr>
                <w:rFonts w:ascii="CAIXA Std Book" w:eastAsia="Times New Roman" w:hAnsi="CAIXA Std Book" w:cs="Times New Roman"/>
                <w:color w:val="005CA9"/>
                <w:sz w:val="18"/>
                <w:szCs w:val="18"/>
              </w:rPr>
            </w:pPr>
            <w:r w:rsidRPr="004F7466">
              <w:rPr>
                <w:rFonts w:ascii="CAIXA Std Book" w:eastAsia="Times New Roman" w:hAnsi="CAIXA Std Book" w:cs="Times New Roman"/>
                <w:color w:val="005CA9"/>
                <w:sz w:val="18"/>
                <w:szCs w:val="18"/>
              </w:rPr>
              <w:t>(1.034.707)</w:t>
            </w:r>
          </w:p>
        </w:tc>
      </w:tr>
      <w:tr w:rsidR="004F7466" w:rsidRPr="004F7466" w14:paraId="61683860" w14:textId="77777777">
        <w:trPr>
          <w:trHeight w:val="283"/>
        </w:trPr>
        <w:tc>
          <w:tcPr>
            <w:tcW w:w="3293" w:type="pct"/>
            <w:tcBorders>
              <w:top w:val="nil"/>
              <w:left w:val="nil"/>
              <w:bottom w:val="single" w:sz="8" w:space="0" w:color="FFFFFF"/>
              <w:right w:val="nil"/>
            </w:tcBorders>
            <w:shd w:val="clear" w:color="000000" w:fill="D0E0E3"/>
            <w:vAlign w:val="center"/>
            <w:hideMark/>
          </w:tcPr>
          <w:p w14:paraId="051B0273" w14:textId="77777777" w:rsidR="004F7466" w:rsidRPr="004F7466" w:rsidRDefault="004F7466" w:rsidP="004F7466">
            <w:pPr>
              <w:jc w:val="both"/>
              <w:rPr>
                <w:rFonts w:ascii="CAIXA Std Book" w:eastAsia="Times New Roman" w:hAnsi="CAIXA Std Book" w:cs="Times New Roman"/>
                <w:color w:val="005CA9"/>
                <w:sz w:val="18"/>
                <w:szCs w:val="18"/>
              </w:rPr>
            </w:pPr>
            <w:r w:rsidRPr="004F7466">
              <w:rPr>
                <w:rFonts w:ascii="CAIXA Std Book" w:eastAsia="Times New Roman" w:hAnsi="CAIXA Std Book" w:cs="Times New Roman"/>
                <w:color w:val="005CA9"/>
                <w:sz w:val="18"/>
                <w:szCs w:val="18"/>
              </w:rPr>
              <w:t>Valor que excede, de forma agregada, 15% do Capital Principal da própria instituição ou conglomerado:</w:t>
            </w:r>
          </w:p>
        </w:tc>
        <w:tc>
          <w:tcPr>
            <w:tcW w:w="823" w:type="pct"/>
            <w:tcBorders>
              <w:top w:val="nil"/>
              <w:left w:val="nil"/>
              <w:bottom w:val="nil"/>
              <w:right w:val="nil"/>
            </w:tcBorders>
            <w:shd w:val="clear" w:color="000000" w:fill="D0E0E3"/>
            <w:vAlign w:val="center"/>
            <w:hideMark/>
          </w:tcPr>
          <w:p w14:paraId="7839AA4D" w14:textId="13A39D36" w:rsidR="004F7466" w:rsidRPr="004F7466" w:rsidRDefault="004E78F3" w:rsidP="004E78F3">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(2.927.526)</w:t>
            </w:r>
          </w:p>
        </w:tc>
        <w:tc>
          <w:tcPr>
            <w:tcW w:w="884" w:type="pct"/>
            <w:tcBorders>
              <w:top w:val="nil"/>
              <w:left w:val="nil"/>
              <w:bottom w:val="nil"/>
              <w:right w:val="nil"/>
            </w:tcBorders>
            <w:shd w:val="clear" w:color="000000" w:fill="D0E0E3"/>
            <w:noWrap/>
            <w:vAlign w:val="center"/>
            <w:hideMark/>
          </w:tcPr>
          <w:p w14:paraId="57473279" w14:textId="77777777" w:rsidR="004F7466" w:rsidRPr="004F7466" w:rsidRDefault="004F7466" w:rsidP="004F7466">
            <w:pPr>
              <w:jc w:val="right"/>
              <w:rPr>
                <w:rFonts w:ascii="CAIXA Std Book" w:eastAsia="Times New Roman" w:hAnsi="CAIXA Std Book" w:cs="Times New Roman"/>
                <w:color w:val="005CA9"/>
                <w:sz w:val="18"/>
                <w:szCs w:val="18"/>
              </w:rPr>
            </w:pPr>
            <w:r w:rsidRPr="004F7466">
              <w:rPr>
                <w:rFonts w:ascii="CAIXA Std Book" w:eastAsia="Times New Roman" w:hAnsi="CAIXA Std Book" w:cs="Times New Roman"/>
                <w:color w:val="005CA9"/>
                <w:sz w:val="18"/>
                <w:szCs w:val="18"/>
              </w:rPr>
              <w:t>(2.933.673)</w:t>
            </w:r>
          </w:p>
        </w:tc>
      </w:tr>
      <w:tr w:rsidR="004F7466" w:rsidRPr="004F7466" w14:paraId="38E3C1A1" w14:textId="77777777">
        <w:trPr>
          <w:trHeight w:val="283"/>
        </w:trPr>
        <w:tc>
          <w:tcPr>
            <w:tcW w:w="3293" w:type="pct"/>
            <w:tcBorders>
              <w:top w:val="nil"/>
              <w:left w:val="nil"/>
              <w:bottom w:val="nil"/>
              <w:right w:val="nil"/>
            </w:tcBorders>
            <w:vAlign w:val="center"/>
            <w:hideMark/>
          </w:tcPr>
          <w:p w14:paraId="7647B4B5" w14:textId="77777777" w:rsidR="004F7466" w:rsidRPr="004F7466" w:rsidRDefault="004F7466" w:rsidP="004F7466">
            <w:pPr>
              <w:jc w:val="both"/>
              <w:rPr>
                <w:rFonts w:ascii="CAIXA Std Book" w:eastAsia="Times New Roman" w:hAnsi="CAIXA Std Book" w:cs="Times New Roman"/>
                <w:color w:val="005CA9"/>
                <w:sz w:val="18"/>
                <w:szCs w:val="18"/>
              </w:rPr>
            </w:pPr>
            <w:r w:rsidRPr="004F7466">
              <w:rPr>
                <w:rFonts w:ascii="CAIXA Std Book" w:eastAsia="Times New Roman" w:hAnsi="CAIXA Std Book" w:cs="Times New Roman"/>
                <w:color w:val="005CA9"/>
                <w:sz w:val="18"/>
                <w:szCs w:val="18"/>
              </w:rPr>
              <w:t>(i) do qual: oriundo de participações líquidas significativas em Capital Principal de instituições autorizadas a funcionar pelo Banco Central do Brasil e de instituições financeiras no exterior não consolidadas e em capital social de empresas assemelhadas a instituições financeiras não consolidadas, de sociedades seguradoras, resseguradoras, de capitalização e de entidades abertas de previdência complementar</w:t>
            </w:r>
          </w:p>
        </w:tc>
        <w:tc>
          <w:tcPr>
            <w:tcW w:w="823" w:type="pct"/>
            <w:tcBorders>
              <w:top w:val="nil"/>
              <w:left w:val="nil"/>
              <w:bottom w:val="nil"/>
              <w:right w:val="nil"/>
            </w:tcBorders>
            <w:vAlign w:val="center"/>
            <w:hideMark/>
          </w:tcPr>
          <w:p w14:paraId="37EC6AEE" w14:textId="06D2E435" w:rsidR="004F7466" w:rsidRPr="004F7466" w:rsidRDefault="004E78F3" w:rsidP="004E78F3">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(1.176.986)</w:t>
            </w:r>
          </w:p>
        </w:tc>
        <w:tc>
          <w:tcPr>
            <w:tcW w:w="884" w:type="pct"/>
            <w:tcBorders>
              <w:top w:val="nil"/>
              <w:left w:val="nil"/>
              <w:bottom w:val="nil"/>
              <w:right w:val="nil"/>
            </w:tcBorders>
            <w:noWrap/>
            <w:vAlign w:val="center"/>
            <w:hideMark/>
          </w:tcPr>
          <w:p w14:paraId="03CF0AF3" w14:textId="77777777" w:rsidR="004F7466" w:rsidRPr="004F7466" w:rsidRDefault="004F7466" w:rsidP="004F7466">
            <w:pPr>
              <w:jc w:val="right"/>
              <w:rPr>
                <w:rFonts w:ascii="CAIXA Std Book" w:eastAsia="Times New Roman" w:hAnsi="CAIXA Std Book" w:cs="Times New Roman"/>
                <w:color w:val="005CA9"/>
                <w:sz w:val="18"/>
                <w:szCs w:val="18"/>
              </w:rPr>
            </w:pPr>
            <w:r w:rsidRPr="004F7466">
              <w:rPr>
                <w:rFonts w:ascii="CAIXA Std Book" w:eastAsia="Times New Roman" w:hAnsi="CAIXA Std Book" w:cs="Times New Roman"/>
                <w:color w:val="005CA9"/>
                <w:sz w:val="18"/>
                <w:szCs w:val="18"/>
              </w:rPr>
              <w:t>(1.172.530)</w:t>
            </w:r>
          </w:p>
        </w:tc>
      </w:tr>
      <w:tr w:rsidR="004F7466" w:rsidRPr="004F7466" w14:paraId="4ABF8A7D" w14:textId="77777777">
        <w:trPr>
          <w:trHeight w:val="283"/>
        </w:trPr>
        <w:tc>
          <w:tcPr>
            <w:tcW w:w="3293" w:type="pct"/>
            <w:tcBorders>
              <w:top w:val="nil"/>
              <w:left w:val="nil"/>
              <w:bottom w:val="nil"/>
              <w:right w:val="nil"/>
            </w:tcBorders>
            <w:vAlign w:val="center"/>
            <w:hideMark/>
          </w:tcPr>
          <w:p w14:paraId="1487FD8E" w14:textId="77777777" w:rsidR="004F7466" w:rsidRPr="004F7466" w:rsidRDefault="004F7466" w:rsidP="004F7466">
            <w:pPr>
              <w:jc w:val="both"/>
              <w:rPr>
                <w:rFonts w:ascii="CAIXA Std Book" w:eastAsia="Times New Roman" w:hAnsi="CAIXA Std Book" w:cs="Times New Roman"/>
                <w:color w:val="005CA9"/>
                <w:sz w:val="18"/>
                <w:szCs w:val="18"/>
              </w:rPr>
            </w:pPr>
            <w:r w:rsidRPr="004F7466">
              <w:rPr>
                <w:rFonts w:ascii="CAIXA Std Book" w:eastAsia="Times New Roman" w:hAnsi="CAIXA Std Book" w:cs="Times New Roman"/>
                <w:color w:val="005CA9"/>
                <w:sz w:val="18"/>
                <w:szCs w:val="18"/>
              </w:rPr>
              <w:t>(ii) do qual: oriundo de créditos tributários decorrentes de diferenças temporárias que dependam de geração de lucros ou receitas tributáveis futuras para sua realização</w:t>
            </w:r>
          </w:p>
        </w:tc>
        <w:tc>
          <w:tcPr>
            <w:tcW w:w="823" w:type="pct"/>
            <w:tcBorders>
              <w:top w:val="nil"/>
              <w:left w:val="nil"/>
              <w:bottom w:val="nil"/>
              <w:right w:val="nil"/>
            </w:tcBorders>
            <w:vAlign w:val="center"/>
            <w:hideMark/>
          </w:tcPr>
          <w:p w14:paraId="4016EFAD" w14:textId="63897295" w:rsidR="004F7466" w:rsidRPr="004F7466" w:rsidRDefault="004E78F3" w:rsidP="004E78F3">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(1.750.540)</w:t>
            </w:r>
          </w:p>
        </w:tc>
        <w:tc>
          <w:tcPr>
            <w:tcW w:w="884" w:type="pct"/>
            <w:tcBorders>
              <w:top w:val="nil"/>
              <w:left w:val="nil"/>
              <w:bottom w:val="nil"/>
              <w:right w:val="nil"/>
            </w:tcBorders>
            <w:noWrap/>
            <w:vAlign w:val="center"/>
            <w:hideMark/>
          </w:tcPr>
          <w:p w14:paraId="4AF59770" w14:textId="77777777" w:rsidR="004F7466" w:rsidRPr="004F7466" w:rsidRDefault="004F7466" w:rsidP="004F7466">
            <w:pPr>
              <w:jc w:val="right"/>
              <w:rPr>
                <w:rFonts w:ascii="CAIXA Std Book" w:eastAsia="Times New Roman" w:hAnsi="CAIXA Std Book" w:cs="Times New Roman"/>
                <w:color w:val="005CA9"/>
                <w:sz w:val="18"/>
                <w:szCs w:val="18"/>
              </w:rPr>
            </w:pPr>
            <w:r w:rsidRPr="004F7466">
              <w:rPr>
                <w:rFonts w:ascii="CAIXA Std Book" w:eastAsia="Times New Roman" w:hAnsi="CAIXA Std Book" w:cs="Times New Roman"/>
                <w:color w:val="005CA9"/>
                <w:sz w:val="18"/>
                <w:szCs w:val="18"/>
              </w:rPr>
              <w:t>(1.761.143)</w:t>
            </w:r>
          </w:p>
        </w:tc>
      </w:tr>
      <w:tr w:rsidR="004F7466" w:rsidRPr="004F7466" w14:paraId="493CA5C0" w14:textId="77777777">
        <w:trPr>
          <w:trHeight w:val="283"/>
        </w:trPr>
        <w:tc>
          <w:tcPr>
            <w:tcW w:w="3293" w:type="pct"/>
            <w:tcBorders>
              <w:top w:val="nil"/>
              <w:left w:val="nil"/>
              <w:bottom w:val="nil"/>
              <w:right w:val="nil"/>
            </w:tcBorders>
            <w:shd w:val="clear" w:color="000000" w:fill="005CA9"/>
            <w:vAlign w:val="center"/>
            <w:hideMark/>
          </w:tcPr>
          <w:p w14:paraId="3130BF58" w14:textId="77777777" w:rsidR="004F7466" w:rsidRPr="004F7466" w:rsidRDefault="004F7466" w:rsidP="004F7466">
            <w:pPr>
              <w:rPr>
                <w:rFonts w:ascii="CAIXA Std Book" w:eastAsia="Times New Roman" w:hAnsi="CAIXA Std Book" w:cs="Times New Roman"/>
                <w:b/>
                <w:bCs/>
                <w:color w:val="FFFFFF"/>
                <w:sz w:val="18"/>
                <w:szCs w:val="18"/>
              </w:rPr>
            </w:pPr>
            <w:r w:rsidRPr="004F7466">
              <w:rPr>
                <w:rFonts w:ascii="CAIXA Std Book" w:eastAsia="Times New Roman" w:hAnsi="CAIXA Std Book" w:cs="Times New Roman"/>
                <w:b/>
                <w:bCs/>
                <w:color w:val="FFFFFF"/>
                <w:sz w:val="18"/>
                <w:szCs w:val="18"/>
              </w:rPr>
              <w:t> Total</w:t>
            </w:r>
          </w:p>
        </w:tc>
        <w:tc>
          <w:tcPr>
            <w:tcW w:w="823" w:type="pct"/>
            <w:tcBorders>
              <w:top w:val="nil"/>
              <w:left w:val="nil"/>
              <w:bottom w:val="nil"/>
              <w:right w:val="nil"/>
            </w:tcBorders>
            <w:shd w:val="clear" w:color="000000" w:fill="005CA9"/>
            <w:vAlign w:val="center"/>
            <w:hideMark/>
          </w:tcPr>
          <w:p w14:paraId="362955F5" w14:textId="2AFDBA36" w:rsidR="004F7466" w:rsidRPr="004F7466" w:rsidRDefault="004E78F3" w:rsidP="004E78F3">
            <w:pPr>
              <w:jc w:val="right"/>
              <w:rPr>
                <w:rFonts w:ascii="CAIXA Std Book" w:eastAsia="Times New Roman" w:hAnsi="CAIXA Std Book" w:cs="Times New Roman"/>
                <w:b/>
                <w:bCs/>
                <w:color w:val="FFFFFF"/>
                <w:sz w:val="18"/>
                <w:szCs w:val="18"/>
              </w:rPr>
            </w:pPr>
            <w:r>
              <w:rPr>
                <w:rFonts w:ascii="CAIXA Std Book" w:hAnsi="CAIXA Std Book" w:cs="Calibri"/>
                <w:b/>
                <w:bCs/>
                <w:color w:val="FFFFFF"/>
                <w:sz w:val="18"/>
                <w:szCs w:val="18"/>
              </w:rPr>
              <w:t>(14.903.768)</w:t>
            </w:r>
          </w:p>
        </w:tc>
        <w:tc>
          <w:tcPr>
            <w:tcW w:w="884" w:type="pct"/>
            <w:tcBorders>
              <w:top w:val="nil"/>
              <w:left w:val="nil"/>
              <w:bottom w:val="nil"/>
              <w:right w:val="nil"/>
            </w:tcBorders>
            <w:shd w:val="clear" w:color="auto" w:fill="005CA9"/>
            <w:noWrap/>
            <w:vAlign w:val="center"/>
            <w:hideMark/>
          </w:tcPr>
          <w:p w14:paraId="6AD35A50" w14:textId="77777777" w:rsidR="004F7466" w:rsidRPr="004F7466" w:rsidRDefault="004F7466" w:rsidP="004F7466">
            <w:pPr>
              <w:jc w:val="right"/>
              <w:rPr>
                <w:rFonts w:ascii="CAIXA Std Book" w:eastAsia="Times New Roman" w:hAnsi="CAIXA Std Book" w:cs="Times New Roman"/>
                <w:b/>
                <w:bCs/>
                <w:color w:val="FFFFFF"/>
                <w:sz w:val="18"/>
                <w:szCs w:val="18"/>
              </w:rPr>
            </w:pPr>
            <w:r w:rsidRPr="004F7466">
              <w:rPr>
                <w:rFonts w:ascii="CAIXA Std Book" w:eastAsia="Times New Roman" w:hAnsi="CAIXA Std Book" w:cs="Times New Roman"/>
                <w:b/>
                <w:bCs/>
                <w:color w:val="FFFFFF"/>
                <w:sz w:val="18"/>
                <w:szCs w:val="18"/>
              </w:rPr>
              <w:t>(12.478.304)</w:t>
            </w:r>
          </w:p>
        </w:tc>
      </w:tr>
    </w:tbl>
    <w:p w14:paraId="51A281BD" w14:textId="02D37F32" w:rsidR="00C0572E" w:rsidRDefault="00C0572E" w:rsidP="0098602B">
      <w:pPr>
        <w:spacing w:before="240" w:after="240"/>
        <w:ind w:left="851" w:hanging="851"/>
        <w:jc w:val="both"/>
        <w:rPr>
          <w:rFonts w:ascii="CAIXA Std Book" w:hAnsi="CAIXA Std Book"/>
          <w:b/>
          <w:color w:val="005CA9"/>
          <w:sz w:val="20"/>
          <w:szCs w:val="20"/>
        </w:rPr>
      </w:pPr>
      <w:r w:rsidRPr="003827F9">
        <w:rPr>
          <w:rFonts w:ascii="CAIXA Std Book" w:hAnsi="CAIXA Std Book"/>
          <w:b/>
          <w:color w:val="005CA9"/>
          <w:sz w:val="20"/>
          <w:szCs w:val="20"/>
        </w:rPr>
        <w:t>(</w:t>
      </w:r>
      <w:r w:rsidR="00EA3ED5">
        <w:rPr>
          <w:rFonts w:ascii="CAIXA Std Book" w:hAnsi="CAIXA Std Book"/>
          <w:b/>
          <w:color w:val="005CA9"/>
          <w:sz w:val="20"/>
          <w:szCs w:val="20"/>
        </w:rPr>
        <w:t>d</w:t>
      </w:r>
      <w:r w:rsidRPr="003827F9">
        <w:rPr>
          <w:rFonts w:ascii="CAIXA Std Book" w:hAnsi="CAIXA Std Book"/>
          <w:b/>
          <w:color w:val="005CA9"/>
          <w:sz w:val="20"/>
          <w:szCs w:val="20"/>
        </w:rPr>
        <w:t>.2)</w:t>
      </w:r>
      <w:r w:rsidRPr="003827F9">
        <w:rPr>
          <w:rFonts w:ascii="CAIXA Std Book" w:hAnsi="CAIXA Std Book"/>
          <w:b/>
          <w:color w:val="005CA9"/>
          <w:sz w:val="20"/>
          <w:szCs w:val="20"/>
        </w:rPr>
        <w:tab/>
        <w:t>Indicadores regulatórios versus indicadores observados</w:t>
      </w:r>
    </w:p>
    <w:p w14:paraId="6257FEC8" w14:textId="77777777" w:rsidR="00C0572E" w:rsidRPr="007259F5" w:rsidRDefault="00C0572E" w:rsidP="00C0572E">
      <w:pPr>
        <w:spacing w:before="240" w:after="120"/>
        <w:jc w:val="both"/>
        <w:rPr>
          <w:rFonts w:ascii="CAIXA Std Book" w:hAnsi="CAIXA Std Book"/>
          <w:bCs/>
          <w:color w:val="005CA9"/>
          <w:sz w:val="20"/>
          <w:szCs w:val="20"/>
        </w:rPr>
      </w:pPr>
      <w:r>
        <w:rPr>
          <w:rFonts w:ascii="CAIXA Std Book" w:hAnsi="CAIXA Std Book"/>
          <w:bCs/>
          <w:color w:val="005CA9"/>
          <w:sz w:val="20"/>
          <w:szCs w:val="20"/>
        </w:rPr>
        <w:t>O quadro a seguir demonstra a exigência mínima regulatória estabelecia pela Resolução CMN nº 4.958/2021, bem como os valores observados na CAIXA:</w:t>
      </w:r>
    </w:p>
    <w:tbl>
      <w:tblPr>
        <w:tblW w:w="5000" w:type="pct"/>
        <w:tblCellMar>
          <w:left w:w="0" w:type="dxa"/>
          <w:right w:w="0" w:type="dxa"/>
        </w:tblCellMar>
        <w:tblLook w:val="04A0" w:firstRow="1" w:lastRow="0" w:firstColumn="1" w:lastColumn="0" w:noHBand="0" w:noVBand="1"/>
      </w:tblPr>
      <w:tblGrid>
        <w:gridCol w:w="3744"/>
        <w:gridCol w:w="2018"/>
        <w:gridCol w:w="1939"/>
        <w:gridCol w:w="1937"/>
      </w:tblGrid>
      <w:tr w:rsidR="005B731D" w14:paraId="5197E184" w14:textId="77777777" w:rsidTr="00255901">
        <w:trPr>
          <w:trHeight w:val="312"/>
        </w:trPr>
        <w:tc>
          <w:tcPr>
            <w:tcW w:w="1942" w:type="pct"/>
            <w:tcBorders>
              <w:top w:val="nil"/>
              <w:left w:val="nil"/>
              <w:bottom w:val="nil"/>
              <w:right w:val="nil"/>
            </w:tcBorders>
            <w:shd w:val="clear" w:color="000000" w:fill="005CA9"/>
            <w:noWrap/>
            <w:tcMar>
              <w:top w:w="15" w:type="dxa"/>
              <w:left w:w="15" w:type="dxa"/>
              <w:bottom w:w="0" w:type="dxa"/>
              <w:right w:w="15" w:type="dxa"/>
            </w:tcMar>
            <w:vAlign w:val="center"/>
            <w:hideMark/>
          </w:tcPr>
          <w:p w14:paraId="6A914415" w14:textId="77777777" w:rsidR="005B731D" w:rsidRDefault="005B731D">
            <w:pPr>
              <w:jc w:val="center"/>
              <w:rPr>
                <w:rFonts w:ascii="CAIXA Std Book" w:hAnsi="CAIXA Std Book"/>
                <w:b/>
                <w:bCs/>
                <w:color w:val="FFFFFF"/>
                <w:sz w:val="20"/>
                <w:szCs w:val="20"/>
              </w:rPr>
            </w:pPr>
            <w:r>
              <w:rPr>
                <w:rFonts w:ascii="CAIXA Std Book" w:hAnsi="CAIXA Std Book"/>
                <w:b/>
                <w:bCs/>
                <w:color w:val="FFFFFF"/>
                <w:sz w:val="20"/>
                <w:szCs w:val="20"/>
              </w:rPr>
              <w:t>Descrição</w:t>
            </w:r>
          </w:p>
        </w:tc>
        <w:tc>
          <w:tcPr>
            <w:tcW w:w="1047" w:type="pct"/>
            <w:tcBorders>
              <w:top w:val="nil"/>
              <w:left w:val="nil"/>
              <w:bottom w:val="nil"/>
              <w:right w:val="nil"/>
            </w:tcBorders>
            <w:shd w:val="clear" w:color="000000" w:fill="005CA9"/>
            <w:noWrap/>
            <w:tcMar>
              <w:top w:w="15" w:type="dxa"/>
              <w:left w:w="15" w:type="dxa"/>
              <w:bottom w:w="0" w:type="dxa"/>
              <w:right w:w="15" w:type="dxa"/>
            </w:tcMar>
            <w:vAlign w:val="center"/>
            <w:hideMark/>
          </w:tcPr>
          <w:p w14:paraId="61EDC0F4" w14:textId="77777777" w:rsidR="005B731D" w:rsidRDefault="005B731D">
            <w:pPr>
              <w:jc w:val="center"/>
              <w:rPr>
                <w:rFonts w:ascii="CAIXA Std Book" w:hAnsi="CAIXA Std Book"/>
                <w:b/>
                <w:bCs/>
                <w:color w:val="FFFFFF"/>
                <w:sz w:val="20"/>
                <w:szCs w:val="20"/>
              </w:rPr>
            </w:pPr>
            <w:r>
              <w:rPr>
                <w:rFonts w:ascii="CAIXA Std Book" w:hAnsi="CAIXA Std Book"/>
                <w:b/>
                <w:bCs/>
                <w:color w:val="FFFFFF"/>
                <w:sz w:val="20"/>
                <w:szCs w:val="20"/>
              </w:rPr>
              <w:t>Regulatório</w:t>
            </w:r>
          </w:p>
        </w:tc>
        <w:tc>
          <w:tcPr>
            <w:tcW w:w="1006" w:type="pct"/>
            <w:tcBorders>
              <w:top w:val="nil"/>
              <w:left w:val="nil"/>
              <w:bottom w:val="nil"/>
              <w:right w:val="nil"/>
            </w:tcBorders>
            <w:shd w:val="clear" w:color="000000" w:fill="005CA9"/>
            <w:noWrap/>
            <w:tcMar>
              <w:top w:w="15" w:type="dxa"/>
              <w:left w:w="15" w:type="dxa"/>
              <w:bottom w:w="0" w:type="dxa"/>
              <w:right w:w="15" w:type="dxa"/>
            </w:tcMar>
            <w:vAlign w:val="center"/>
            <w:hideMark/>
          </w:tcPr>
          <w:p w14:paraId="79103CFC" w14:textId="19159D19" w:rsidR="005B731D" w:rsidRDefault="005B731D">
            <w:pPr>
              <w:jc w:val="center"/>
              <w:rPr>
                <w:rFonts w:ascii="CAIXA Std Book" w:hAnsi="CAIXA Std Book"/>
                <w:b/>
                <w:bCs/>
                <w:color w:val="FFFFFF"/>
                <w:sz w:val="20"/>
                <w:szCs w:val="20"/>
              </w:rPr>
            </w:pPr>
            <w:r>
              <w:rPr>
                <w:rFonts w:ascii="CAIXA Std Book" w:hAnsi="CAIXA Std Book"/>
                <w:b/>
                <w:bCs/>
                <w:color w:val="FFFFFF"/>
                <w:sz w:val="20"/>
                <w:szCs w:val="20"/>
              </w:rPr>
              <w:t>31/</w:t>
            </w:r>
            <w:r w:rsidR="00304930">
              <w:rPr>
                <w:rFonts w:ascii="CAIXA Std Book" w:hAnsi="CAIXA Std Book"/>
                <w:b/>
                <w:bCs/>
                <w:color w:val="FFFFFF"/>
                <w:sz w:val="20"/>
                <w:szCs w:val="20"/>
              </w:rPr>
              <w:t>03</w:t>
            </w:r>
            <w:r>
              <w:rPr>
                <w:rFonts w:ascii="CAIXA Std Book" w:hAnsi="CAIXA Std Book"/>
                <w:b/>
                <w:bCs/>
                <w:color w:val="FFFFFF"/>
                <w:sz w:val="20"/>
                <w:szCs w:val="20"/>
              </w:rPr>
              <w:t>/2026</w:t>
            </w:r>
          </w:p>
        </w:tc>
        <w:tc>
          <w:tcPr>
            <w:tcW w:w="1005" w:type="pct"/>
            <w:tcBorders>
              <w:top w:val="nil"/>
              <w:left w:val="nil"/>
              <w:bottom w:val="nil"/>
              <w:right w:val="nil"/>
            </w:tcBorders>
            <w:shd w:val="clear" w:color="000000" w:fill="005CA9"/>
            <w:noWrap/>
            <w:tcMar>
              <w:top w:w="15" w:type="dxa"/>
              <w:left w:w="15" w:type="dxa"/>
              <w:bottom w:w="0" w:type="dxa"/>
              <w:right w:w="15" w:type="dxa"/>
            </w:tcMar>
            <w:vAlign w:val="center"/>
            <w:hideMark/>
          </w:tcPr>
          <w:p w14:paraId="7F008269" w14:textId="77777777" w:rsidR="005B731D" w:rsidRDefault="005B731D">
            <w:pPr>
              <w:jc w:val="center"/>
              <w:rPr>
                <w:rFonts w:ascii="CAIXA Std Book" w:hAnsi="CAIXA Std Book"/>
                <w:b/>
                <w:bCs/>
                <w:color w:val="FFFFFF"/>
                <w:sz w:val="20"/>
                <w:szCs w:val="20"/>
              </w:rPr>
            </w:pPr>
            <w:r>
              <w:rPr>
                <w:rFonts w:ascii="CAIXA Std Book" w:hAnsi="CAIXA Std Book"/>
                <w:b/>
                <w:bCs/>
                <w:color w:val="FFFFFF"/>
                <w:sz w:val="20"/>
                <w:szCs w:val="20"/>
              </w:rPr>
              <w:t>31/12/2025</w:t>
            </w:r>
          </w:p>
        </w:tc>
      </w:tr>
      <w:tr w:rsidR="005B731D" w14:paraId="710690C6" w14:textId="77777777" w:rsidTr="00255901">
        <w:trPr>
          <w:trHeight w:val="312"/>
        </w:trPr>
        <w:tc>
          <w:tcPr>
            <w:tcW w:w="1942" w:type="pct"/>
            <w:noWrap/>
            <w:tcMar>
              <w:top w:w="15" w:type="dxa"/>
              <w:left w:w="15" w:type="dxa"/>
              <w:bottom w:w="0" w:type="dxa"/>
              <w:right w:w="15" w:type="dxa"/>
            </w:tcMar>
            <w:vAlign w:val="center"/>
            <w:hideMark/>
          </w:tcPr>
          <w:p w14:paraId="4AB36A08" w14:textId="4C1D25BC" w:rsidR="005B731D" w:rsidRDefault="005B731D">
            <w:pPr>
              <w:rPr>
                <w:rFonts w:ascii="CAIXA Std Book" w:hAnsi="CAIXA Std Book"/>
                <w:color w:val="005CA9"/>
                <w:sz w:val="20"/>
                <w:szCs w:val="20"/>
              </w:rPr>
            </w:pPr>
            <w:r w:rsidRPr="000C665E">
              <w:rPr>
                <w:rFonts w:ascii="CAIXA Std Book" w:eastAsia="Times New Roman" w:hAnsi="CAIXA Std Book" w:cs="Calibri"/>
                <w:color w:val="005CA9"/>
                <w:sz w:val="20"/>
                <w:szCs w:val="20"/>
              </w:rPr>
              <w:t xml:space="preserve">Índice de </w:t>
            </w:r>
            <w:r>
              <w:rPr>
                <w:rFonts w:ascii="CAIXA Std Book" w:eastAsia="Times New Roman" w:hAnsi="CAIXA Std Book" w:cs="Calibri"/>
                <w:color w:val="005CA9"/>
                <w:sz w:val="20"/>
                <w:szCs w:val="20"/>
              </w:rPr>
              <w:t>c</w:t>
            </w:r>
            <w:r w:rsidRPr="000C665E">
              <w:rPr>
                <w:rFonts w:ascii="CAIXA Std Book" w:eastAsia="Times New Roman" w:hAnsi="CAIXA Std Book" w:cs="Calibri"/>
                <w:color w:val="005CA9"/>
                <w:sz w:val="20"/>
                <w:szCs w:val="20"/>
              </w:rPr>
              <w:t xml:space="preserve">apital </w:t>
            </w:r>
            <w:r>
              <w:rPr>
                <w:rFonts w:ascii="CAIXA Std Book" w:eastAsia="Times New Roman" w:hAnsi="CAIXA Std Book" w:cs="Calibri"/>
                <w:color w:val="005CA9"/>
                <w:sz w:val="20"/>
                <w:szCs w:val="20"/>
              </w:rPr>
              <w:t>p</w:t>
            </w:r>
            <w:r w:rsidRPr="000C665E">
              <w:rPr>
                <w:rFonts w:ascii="CAIXA Std Book" w:eastAsia="Times New Roman" w:hAnsi="CAIXA Std Book" w:cs="Calibri"/>
                <w:color w:val="005CA9"/>
                <w:sz w:val="20"/>
                <w:szCs w:val="20"/>
              </w:rPr>
              <w:t>rincipal</w:t>
            </w:r>
            <w:r>
              <w:rPr>
                <w:rFonts w:ascii="CAIXA Std Book" w:eastAsia="Times New Roman" w:hAnsi="CAIXA Std Book" w:cs="Calibri"/>
                <w:color w:val="005CA9"/>
                <w:sz w:val="20"/>
                <w:szCs w:val="20"/>
              </w:rPr>
              <w:t xml:space="preserve"> (1)</w:t>
            </w:r>
          </w:p>
        </w:tc>
        <w:tc>
          <w:tcPr>
            <w:tcW w:w="1047" w:type="pct"/>
            <w:noWrap/>
            <w:tcMar>
              <w:top w:w="15" w:type="dxa"/>
              <w:left w:w="15" w:type="dxa"/>
              <w:bottom w:w="0" w:type="dxa"/>
              <w:right w:w="15" w:type="dxa"/>
            </w:tcMar>
            <w:vAlign w:val="center"/>
            <w:hideMark/>
          </w:tcPr>
          <w:p w14:paraId="5FF79004" w14:textId="72F920E9" w:rsidR="005B731D" w:rsidRDefault="005B731D">
            <w:pPr>
              <w:jc w:val="center"/>
              <w:rPr>
                <w:rFonts w:ascii="CAIXA Std Book" w:hAnsi="CAIXA Std Book"/>
                <w:color w:val="005CA9"/>
                <w:sz w:val="20"/>
                <w:szCs w:val="20"/>
              </w:rPr>
            </w:pPr>
            <w:r>
              <w:rPr>
                <w:rFonts w:ascii="CAIXA Std Book" w:hAnsi="CAIXA Std Book"/>
                <w:color w:val="005CA9"/>
                <w:sz w:val="20"/>
                <w:szCs w:val="20"/>
              </w:rPr>
              <w:t>8,00%</w:t>
            </w:r>
          </w:p>
        </w:tc>
        <w:tc>
          <w:tcPr>
            <w:tcW w:w="1006" w:type="pct"/>
            <w:noWrap/>
            <w:tcMar>
              <w:top w:w="15" w:type="dxa"/>
              <w:left w:w="15" w:type="dxa"/>
              <w:bottom w:w="0" w:type="dxa"/>
              <w:right w:w="15" w:type="dxa"/>
            </w:tcMar>
            <w:vAlign w:val="center"/>
            <w:hideMark/>
          </w:tcPr>
          <w:p w14:paraId="375CE4DC" w14:textId="5A706F7F" w:rsidR="005B731D" w:rsidRDefault="00255901">
            <w:pPr>
              <w:jc w:val="center"/>
              <w:rPr>
                <w:rFonts w:ascii="CAIXA Std Book" w:hAnsi="CAIXA Std Book"/>
                <w:color w:val="005CA9"/>
                <w:sz w:val="20"/>
                <w:szCs w:val="20"/>
              </w:rPr>
            </w:pPr>
            <w:r>
              <w:rPr>
                <w:rFonts w:ascii="CAIXA Std Book" w:eastAsia="Times New Roman" w:hAnsi="CAIXA Std Book" w:cs="Calibri"/>
                <w:color w:val="005CA9"/>
                <w:sz w:val="20"/>
                <w:szCs w:val="20"/>
              </w:rPr>
              <w:t>13,46%</w:t>
            </w:r>
          </w:p>
        </w:tc>
        <w:tc>
          <w:tcPr>
            <w:tcW w:w="1005" w:type="pct"/>
            <w:tcBorders>
              <w:top w:val="nil"/>
              <w:left w:val="nil"/>
              <w:bottom w:val="nil"/>
              <w:right w:val="nil"/>
            </w:tcBorders>
            <w:noWrap/>
            <w:tcMar>
              <w:top w:w="15" w:type="dxa"/>
              <w:left w:w="15" w:type="dxa"/>
              <w:bottom w:w="0" w:type="dxa"/>
              <w:right w:w="15" w:type="dxa"/>
            </w:tcMar>
            <w:vAlign w:val="center"/>
            <w:hideMark/>
          </w:tcPr>
          <w:p w14:paraId="01C4ABFC" w14:textId="77777777" w:rsidR="005B731D" w:rsidRDefault="005B731D">
            <w:pPr>
              <w:jc w:val="center"/>
              <w:rPr>
                <w:rFonts w:ascii="CAIXA Std Book" w:hAnsi="CAIXA Std Book"/>
                <w:color w:val="005CA9"/>
                <w:sz w:val="20"/>
                <w:szCs w:val="20"/>
              </w:rPr>
            </w:pPr>
            <w:r>
              <w:rPr>
                <w:rFonts w:ascii="CAIXA Std Book" w:hAnsi="CAIXA Std Book"/>
                <w:color w:val="005CA9"/>
                <w:sz w:val="20"/>
                <w:szCs w:val="20"/>
              </w:rPr>
              <w:t>14,28%</w:t>
            </w:r>
          </w:p>
        </w:tc>
      </w:tr>
      <w:tr w:rsidR="005B731D" w14:paraId="008F7391" w14:textId="77777777" w:rsidTr="00255901">
        <w:trPr>
          <w:trHeight w:val="312"/>
        </w:trPr>
        <w:tc>
          <w:tcPr>
            <w:tcW w:w="1942" w:type="pct"/>
            <w:noWrap/>
            <w:tcMar>
              <w:top w:w="15" w:type="dxa"/>
              <w:left w:w="15" w:type="dxa"/>
              <w:bottom w:w="0" w:type="dxa"/>
              <w:right w:w="15" w:type="dxa"/>
            </w:tcMar>
            <w:vAlign w:val="center"/>
            <w:hideMark/>
          </w:tcPr>
          <w:p w14:paraId="23ECFEE9" w14:textId="093B8BE8" w:rsidR="005B731D" w:rsidRDefault="005B731D">
            <w:pPr>
              <w:rPr>
                <w:rFonts w:ascii="CAIXA Std Book" w:hAnsi="CAIXA Std Book"/>
                <w:color w:val="005CA9"/>
                <w:sz w:val="20"/>
                <w:szCs w:val="20"/>
              </w:rPr>
            </w:pPr>
            <w:r w:rsidRPr="000C665E">
              <w:rPr>
                <w:rFonts w:ascii="CAIXA Std Book" w:eastAsia="Times New Roman" w:hAnsi="CAIXA Std Book" w:cs="Calibri"/>
                <w:color w:val="005CA9"/>
                <w:sz w:val="20"/>
                <w:szCs w:val="20"/>
              </w:rPr>
              <w:t xml:space="preserve">Índice de </w:t>
            </w:r>
            <w:r>
              <w:rPr>
                <w:rFonts w:ascii="CAIXA Std Book" w:eastAsia="Times New Roman" w:hAnsi="CAIXA Std Book" w:cs="Calibri"/>
                <w:color w:val="005CA9"/>
                <w:sz w:val="20"/>
                <w:szCs w:val="20"/>
              </w:rPr>
              <w:t>c</w:t>
            </w:r>
            <w:r w:rsidRPr="000C665E">
              <w:rPr>
                <w:rFonts w:ascii="CAIXA Std Book" w:eastAsia="Times New Roman" w:hAnsi="CAIXA Std Book" w:cs="Calibri"/>
                <w:color w:val="005CA9"/>
                <w:sz w:val="20"/>
                <w:szCs w:val="20"/>
              </w:rPr>
              <w:t xml:space="preserve">apital </w:t>
            </w:r>
            <w:r>
              <w:rPr>
                <w:rFonts w:ascii="CAIXA Std Book" w:eastAsia="Times New Roman" w:hAnsi="CAIXA Std Book" w:cs="Calibri"/>
                <w:color w:val="005CA9"/>
                <w:sz w:val="20"/>
                <w:szCs w:val="20"/>
              </w:rPr>
              <w:t>n</w:t>
            </w:r>
            <w:r w:rsidRPr="000C665E">
              <w:rPr>
                <w:rFonts w:ascii="CAIXA Std Book" w:eastAsia="Times New Roman" w:hAnsi="CAIXA Std Book" w:cs="Calibri"/>
                <w:color w:val="005CA9"/>
                <w:sz w:val="20"/>
                <w:szCs w:val="20"/>
              </w:rPr>
              <w:t>ível I</w:t>
            </w:r>
            <w:r>
              <w:rPr>
                <w:rFonts w:ascii="CAIXA Std Book" w:eastAsia="Times New Roman" w:hAnsi="CAIXA Std Book" w:cs="Calibri"/>
                <w:color w:val="005CA9"/>
                <w:sz w:val="20"/>
                <w:szCs w:val="20"/>
              </w:rPr>
              <w:t xml:space="preserve"> (1)</w:t>
            </w:r>
          </w:p>
        </w:tc>
        <w:tc>
          <w:tcPr>
            <w:tcW w:w="1047" w:type="pct"/>
            <w:noWrap/>
            <w:tcMar>
              <w:top w:w="15" w:type="dxa"/>
              <w:left w:w="15" w:type="dxa"/>
              <w:bottom w:w="0" w:type="dxa"/>
              <w:right w:w="15" w:type="dxa"/>
            </w:tcMar>
            <w:vAlign w:val="center"/>
            <w:hideMark/>
          </w:tcPr>
          <w:p w14:paraId="55FBE851" w14:textId="70F88794" w:rsidR="005B731D" w:rsidRDefault="005B731D">
            <w:pPr>
              <w:jc w:val="center"/>
              <w:rPr>
                <w:rFonts w:ascii="CAIXA Std Book" w:hAnsi="CAIXA Std Book"/>
                <w:color w:val="005CA9"/>
                <w:sz w:val="20"/>
                <w:szCs w:val="20"/>
              </w:rPr>
            </w:pPr>
            <w:r>
              <w:rPr>
                <w:rFonts w:ascii="CAIXA Std Book" w:hAnsi="CAIXA Std Book"/>
                <w:color w:val="005CA9"/>
                <w:sz w:val="20"/>
                <w:szCs w:val="20"/>
              </w:rPr>
              <w:t>9,50%</w:t>
            </w:r>
          </w:p>
        </w:tc>
        <w:tc>
          <w:tcPr>
            <w:tcW w:w="1006" w:type="pct"/>
            <w:noWrap/>
            <w:tcMar>
              <w:top w:w="15" w:type="dxa"/>
              <w:left w:w="15" w:type="dxa"/>
              <w:bottom w:w="0" w:type="dxa"/>
              <w:right w:w="15" w:type="dxa"/>
            </w:tcMar>
            <w:vAlign w:val="center"/>
            <w:hideMark/>
          </w:tcPr>
          <w:p w14:paraId="3C0C43B1" w14:textId="097625CA" w:rsidR="005B731D" w:rsidRDefault="00255901">
            <w:pPr>
              <w:jc w:val="center"/>
              <w:rPr>
                <w:rFonts w:ascii="CAIXA Std Book" w:hAnsi="CAIXA Std Book"/>
                <w:color w:val="005CA9"/>
                <w:sz w:val="20"/>
                <w:szCs w:val="20"/>
              </w:rPr>
            </w:pPr>
            <w:r>
              <w:rPr>
                <w:rFonts w:ascii="CAIXA Std Book" w:eastAsia="Times New Roman" w:hAnsi="CAIXA Std Book" w:cs="Calibri"/>
                <w:color w:val="005CA9"/>
                <w:sz w:val="20"/>
                <w:szCs w:val="20"/>
              </w:rPr>
              <w:t>14,18%</w:t>
            </w:r>
          </w:p>
        </w:tc>
        <w:tc>
          <w:tcPr>
            <w:tcW w:w="1005" w:type="pct"/>
            <w:tcBorders>
              <w:top w:val="nil"/>
              <w:left w:val="nil"/>
              <w:bottom w:val="nil"/>
              <w:right w:val="nil"/>
            </w:tcBorders>
            <w:noWrap/>
            <w:tcMar>
              <w:top w:w="15" w:type="dxa"/>
              <w:left w:w="15" w:type="dxa"/>
              <w:bottom w:w="0" w:type="dxa"/>
              <w:right w:w="15" w:type="dxa"/>
            </w:tcMar>
            <w:vAlign w:val="center"/>
            <w:hideMark/>
          </w:tcPr>
          <w:p w14:paraId="3D8DB617" w14:textId="77777777" w:rsidR="005B731D" w:rsidRDefault="005B731D">
            <w:pPr>
              <w:jc w:val="center"/>
              <w:rPr>
                <w:rFonts w:ascii="CAIXA Std Book" w:hAnsi="CAIXA Std Book"/>
                <w:color w:val="005CA9"/>
                <w:sz w:val="20"/>
                <w:szCs w:val="20"/>
              </w:rPr>
            </w:pPr>
            <w:r>
              <w:rPr>
                <w:rFonts w:ascii="CAIXA Std Book" w:hAnsi="CAIXA Std Book"/>
                <w:color w:val="005CA9"/>
                <w:sz w:val="20"/>
                <w:szCs w:val="20"/>
              </w:rPr>
              <w:t>15,05%</w:t>
            </w:r>
          </w:p>
        </w:tc>
      </w:tr>
      <w:tr w:rsidR="005B731D" w14:paraId="0D4296C1" w14:textId="77777777" w:rsidTr="00BC00DB">
        <w:trPr>
          <w:trHeight w:val="312"/>
        </w:trPr>
        <w:tc>
          <w:tcPr>
            <w:tcW w:w="1942" w:type="pct"/>
            <w:noWrap/>
            <w:tcMar>
              <w:top w:w="15" w:type="dxa"/>
              <w:left w:w="15" w:type="dxa"/>
              <w:bottom w:w="0" w:type="dxa"/>
              <w:right w:w="15" w:type="dxa"/>
            </w:tcMar>
            <w:vAlign w:val="center"/>
            <w:hideMark/>
          </w:tcPr>
          <w:p w14:paraId="1A5121AC" w14:textId="1E575B75" w:rsidR="005B731D" w:rsidRDefault="005B731D">
            <w:pPr>
              <w:rPr>
                <w:rFonts w:ascii="CAIXA Std Book" w:hAnsi="CAIXA Std Book"/>
                <w:color w:val="005CA9"/>
                <w:sz w:val="20"/>
                <w:szCs w:val="20"/>
              </w:rPr>
            </w:pPr>
            <w:r w:rsidRPr="000C665E">
              <w:rPr>
                <w:rFonts w:ascii="CAIXA Std Book" w:eastAsia="Times New Roman" w:hAnsi="CAIXA Std Book" w:cs="Calibri"/>
                <w:color w:val="005CA9"/>
                <w:sz w:val="20"/>
                <w:szCs w:val="20"/>
              </w:rPr>
              <w:t xml:space="preserve">Índice de </w:t>
            </w:r>
            <w:r>
              <w:rPr>
                <w:rFonts w:ascii="CAIXA Std Book" w:eastAsia="Times New Roman" w:hAnsi="CAIXA Std Book" w:cs="Calibri"/>
                <w:color w:val="005CA9"/>
                <w:sz w:val="20"/>
                <w:szCs w:val="20"/>
              </w:rPr>
              <w:t>b</w:t>
            </w:r>
            <w:r w:rsidRPr="000C665E">
              <w:rPr>
                <w:rFonts w:ascii="CAIXA Std Book" w:eastAsia="Times New Roman" w:hAnsi="CAIXA Std Book" w:cs="Calibri"/>
                <w:color w:val="005CA9"/>
                <w:sz w:val="20"/>
                <w:szCs w:val="20"/>
              </w:rPr>
              <w:t>asileia</w:t>
            </w:r>
            <w:r>
              <w:rPr>
                <w:rFonts w:ascii="CAIXA Std Book" w:eastAsia="Times New Roman" w:hAnsi="CAIXA Std Book" w:cs="Calibri"/>
                <w:color w:val="005CA9"/>
                <w:sz w:val="20"/>
                <w:szCs w:val="20"/>
              </w:rPr>
              <w:t xml:space="preserve"> (1)</w:t>
            </w:r>
          </w:p>
        </w:tc>
        <w:tc>
          <w:tcPr>
            <w:tcW w:w="1047" w:type="pct"/>
            <w:noWrap/>
            <w:tcMar>
              <w:top w:w="15" w:type="dxa"/>
              <w:left w:w="15" w:type="dxa"/>
              <w:bottom w:w="0" w:type="dxa"/>
              <w:right w:w="15" w:type="dxa"/>
            </w:tcMar>
            <w:vAlign w:val="center"/>
            <w:hideMark/>
          </w:tcPr>
          <w:p w14:paraId="35858C77" w14:textId="28398AE9" w:rsidR="005B731D" w:rsidRDefault="005B731D">
            <w:pPr>
              <w:jc w:val="center"/>
              <w:rPr>
                <w:rFonts w:ascii="CAIXA Std Book" w:hAnsi="CAIXA Std Book"/>
                <w:color w:val="005CA9"/>
                <w:sz w:val="20"/>
                <w:szCs w:val="20"/>
              </w:rPr>
            </w:pPr>
            <w:r>
              <w:rPr>
                <w:rFonts w:ascii="CAIXA Std Book" w:hAnsi="CAIXA Std Book"/>
                <w:color w:val="005CA9"/>
                <w:sz w:val="20"/>
                <w:szCs w:val="20"/>
              </w:rPr>
              <w:t>11,50%</w:t>
            </w:r>
          </w:p>
        </w:tc>
        <w:tc>
          <w:tcPr>
            <w:tcW w:w="1006" w:type="pct"/>
            <w:noWrap/>
            <w:tcMar>
              <w:top w:w="15" w:type="dxa"/>
              <w:left w:w="15" w:type="dxa"/>
              <w:bottom w:w="0" w:type="dxa"/>
              <w:right w:w="15" w:type="dxa"/>
            </w:tcMar>
            <w:vAlign w:val="center"/>
            <w:hideMark/>
          </w:tcPr>
          <w:p w14:paraId="5F6A936C" w14:textId="4292C1EB" w:rsidR="005B731D" w:rsidRDefault="00255901">
            <w:pPr>
              <w:jc w:val="center"/>
              <w:rPr>
                <w:rFonts w:ascii="CAIXA Std Book" w:hAnsi="CAIXA Std Book"/>
                <w:color w:val="005CA9"/>
                <w:sz w:val="20"/>
                <w:szCs w:val="20"/>
              </w:rPr>
            </w:pPr>
            <w:r>
              <w:rPr>
                <w:rFonts w:ascii="CAIXA Std Book" w:eastAsia="Times New Roman" w:hAnsi="CAIXA Std Book" w:cs="Calibri"/>
                <w:color w:val="005CA9"/>
                <w:sz w:val="20"/>
                <w:szCs w:val="20"/>
              </w:rPr>
              <w:t>15,13%</w:t>
            </w:r>
          </w:p>
        </w:tc>
        <w:tc>
          <w:tcPr>
            <w:tcW w:w="1005" w:type="pct"/>
            <w:tcBorders>
              <w:top w:val="nil"/>
              <w:left w:val="nil"/>
              <w:right w:val="nil"/>
            </w:tcBorders>
            <w:noWrap/>
            <w:tcMar>
              <w:top w:w="15" w:type="dxa"/>
              <w:left w:w="15" w:type="dxa"/>
              <w:bottom w:w="0" w:type="dxa"/>
              <w:right w:w="15" w:type="dxa"/>
            </w:tcMar>
            <w:vAlign w:val="center"/>
            <w:hideMark/>
          </w:tcPr>
          <w:p w14:paraId="16A684D5" w14:textId="77777777" w:rsidR="005B731D" w:rsidRDefault="005B731D">
            <w:pPr>
              <w:jc w:val="center"/>
              <w:rPr>
                <w:rFonts w:ascii="CAIXA Std Book" w:hAnsi="CAIXA Std Book"/>
                <w:color w:val="005CA9"/>
                <w:sz w:val="20"/>
                <w:szCs w:val="20"/>
              </w:rPr>
            </w:pPr>
            <w:r>
              <w:rPr>
                <w:rFonts w:ascii="CAIXA Std Book" w:hAnsi="CAIXA Std Book"/>
                <w:color w:val="005CA9"/>
                <w:sz w:val="20"/>
                <w:szCs w:val="20"/>
              </w:rPr>
              <w:t>16,39%</w:t>
            </w:r>
          </w:p>
        </w:tc>
      </w:tr>
      <w:tr w:rsidR="005B731D" w14:paraId="287654E3" w14:textId="77777777" w:rsidTr="00BC00DB">
        <w:trPr>
          <w:trHeight w:val="312"/>
        </w:trPr>
        <w:tc>
          <w:tcPr>
            <w:tcW w:w="1942" w:type="pct"/>
            <w:tcBorders>
              <w:bottom w:val="single" w:sz="4" w:space="0" w:color="1F497D" w:themeColor="text2"/>
            </w:tcBorders>
            <w:noWrap/>
            <w:tcMar>
              <w:top w:w="15" w:type="dxa"/>
              <w:left w:w="15" w:type="dxa"/>
              <w:bottom w:w="0" w:type="dxa"/>
              <w:right w:w="15" w:type="dxa"/>
            </w:tcMar>
            <w:vAlign w:val="center"/>
            <w:hideMark/>
          </w:tcPr>
          <w:p w14:paraId="4E9E2681" w14:textId="3B9F3597" w:rsidR="005B731D" w:rsidRDefault="005B731D">
            <w:pPr>
              <w:rPr>
                <w:rFonts w:ascii="CAIXA Std Book" w:hAnsi="CAIXA Std Book"/>
                <w:color w:val="005CA9"/>
                <w:sz w:val="20"/>
                <w:szCs w:val="20"/>
              </w:rPr>
            </w:pPr>
            <w:r w:rsidRPr="000C665E">
              <w:rPr>
                <w:rFonts w:ascii="CAIXA Std Book" w:eastAsia="Times New Roman" w:hAnsi="CAIXA Std Book" w:cs="Calibri"/>
                <w:color w:val="005CA9"/>
                <w:sz w:val="20"/>
                <w:szCs w:val="20"/>
              </w:rPr>
              <w:t xml:space="preserve">Índice de </w:t>
            </w:r>
            <w:r>
              <w:rPr>
                <w:rFonts w:ascii="CAIXA Std Book" w:eastAsia="Times New Roman" w:hAnsi="CAIXA Std Book" w:cs="Calibri"/>
                <w:color w:val="005CA9"/>
                <w:sz w:val="20"/>
                <w:szCs w:val="20"/>
              </w:rPr>
              <w:t>i</w:t>
            </w:r>
            <w:r w:rsidRPr="000C665E">
              <w:rPr>
                <w:rFonts w:ascii="CAIXA Std Book" w:eastAsia="Times New Roman" w:hAnsi="CAIXA Std Book" w:cs="Calibri"/>
                <w:color w:val="005CA9"/>
                <w:sz w:val="20"/>
                <w:szCs w:val="20"/>
              </w:rPr>
              <w:t>mobilização</w:t>
            </w:r>
            <w:r>
              <w:rPr>
                <w:rFonts w:ascii="CAIXA Std Book" w:eastAsia="Times New Roman" w:hAnsi="CAIXA Std Book" w:cs="Calibri"/>
                <w:color w:val="005CA9"/>
                <w:sz w:val="20"/>
                <w:szCs w:val="20"/>
              </w:rPr>
              <w:t xml:space="preserve"> (2)</w:t>
            </w:r>
          </w:p>
        </w:tc>
        <w:tc>
          <w:tcPr>
            <w:tcW w:w="1047" w:type="pct"/>
            <w:tcBorders>
              <w:bottom w:val="single" w:sz="4" w:space="0" w:color="1F497D" w:themeColor="text2"/>
            </w:tcBorders>
            <w:noWrap/>
            <w:tcMar>
              <w:top w:w="15" w:type="dxa"/>
              <w:left w:w="15" w:type="dxa"/>
              <w:bottom w:w="0" w:type="dxa"/>
              <w:right w:w="15" w:type="dxa"/>
            </w:tcMar>
            <w:vAlign w:val="center"/>
            <w:hideMark/>
          </w:tcPr>
          <w:p w14:paraId="24380C24" w14:textId="1FE3D1DD" w:rsidR="005B731D" w:rsidRDefault="005B731D">
            <w:pPr>
              <w:jc w:val="center"/>
              <w:rPr>
                <w:rFonts w:ascii="CAIXA Std Book" w:hAnsi="CAIXA Std Book"/>
                <w:color w:val="005CA9"/>
                <w:sz w:val="20"/>
                <w:szCs w:val="20"/>
              </w:rPr>
            </w:pPr>
            <w:r>
              <w:rPr>
                <w:rFonts w:ascii="CAIXA Std Book" w:hAnsi="CAIXA Std Book"/>
                <w:color w:val="005CA9"/>
                <w:sz w:val="20"/>
                <w:szCs w:val="20"/>
              </w:rPr>
              <w:t>até 50% do PR</w:t>
            </w:r>
          </w:p>
        </w:tc>
        <w:tc>
          <w:tcPr>
            <w:tcW w:w="1006" w:type="pct"/>
            <w:tcBorders>
              <w:bottom w:val="single" w:sz="4" w:space="0" w:color="1F497D" w:themeColor="text2"/>
            </w:tcBorders>
            <w:noWrap/>
            <w:tcMar>
              <w:top w:w="15" w:type="dxa"/>
              <w:left w:w="15" w:type="dxa"/>
              <w:bottom w:w="0" w:type="dxa"/>
              <w:right w:w="15" w:type="dxa"/>
            </w:tcMar>
            <w:vAlign w:val="center"/>
            <w:hideMark/>
          </w:tcPr>
          <w:p w14:paraId="15367C6D" w14:textId="764DFEFA" w:rsidR="005B731D" w:rsidRDefault="00255901">
            <w:pPr>
              <w:jc w:val="center"/>
              <w:rPr>
                <w:rFonts w:ascii="CAIXA Std Book" w:hAnsi="CAIXA Std Book"/>
                <w:color w:val="005CA9"/>
                <w:sz w:val="20"/>
                <w:szCs w:val="20"/>
              </w:rPr>
            </w:pPr>
            <w:r>
              <w:rPr>
                <w:rFonts w:ascii="CAIXA Std Book" w:eastAsia="Times New Roman" w:hAnsi="CAIXA Std Book" w:cs="Calibri"/>
                <w:color w:val="005CA9"/>
                <w:sz w:val="20"/>
                <w:szCs w:val="20"/>
              </w:rPr>
              <w:t>10,63%</w:t>
            </w:r>
          </w:p>
        </w:tc>
        <w:tc>
          <w:tcPr>
            <w:tcW w:w="1005" w:type="pct"/>
            <w:tcBorders>
              <w:top w:val="nil"/>
              <w:left w:val="nil"/>
              <w:bottom w:val="single" w:sz="4" w:space="0" w:color="1F497D" w:themeColor="text2"/>
              <w:right w:val="nil"/>
            </w:tcBorders>
            <w:noWrap/>
            <w:tcMar>
              <w:top w:w="15" w:type="dxa"/>
              <w:left w:w="15" w:type="dxa"/>
              <w:bottom w:w="0" w:type="dxa"/>
              <w:right w:w="15" w:type="dxa"/>
            </w:tcMar>
            <w:vAlign w:val="center"/>
            <w:hideMark/>
          </w:tcPr>
          <w:p w14:paraId="66500FAD" w14:textId="77777777" w:rsidR="005B731D" w:rsidRDefault="005B731D">
            <w:pPr>
              <w:jc w:val="center"/>
              <w:rPr>
                <w:rFonts w:ascii="CAIXA Std Book" w:hAnsi="CAIXA Std Book"/>
                <w:color w:val="005CA9"/>
                <w:sz w:val="20"/>
                <w:szCs w:val="20"/>
              </w:rPr>
            </w:pPr>
            <w:r>
              <w:rPr>
                <w:rFonts w:ascii="CAIXA Std Book" w:hAnsi="CAIXA Std Book"/>
                <w:color w:val="005CA9"/>
                <w:sz w:val="20"/>
                <w:szCs w:val="20"/>
              </w:rPr>
              <w:t>9,79%</w:t>
            </w:r>
          </w:p>
        </w:tc>
      </w:tr>
    </w:tbl>
    <w:p w14:paraId="0C10D968" w14:textId="23BB6A58" w:rsidR="00C0572E" w:rsidRDefault="00C0572E" w:rsidP="00C0572E">
      <w:pPr>
        <w:rPr>
          <w:rFonts w:ascii="CAIXA Std Book" w:hAnsi="CAIXA Std Book" w:cs="Symbol"/>
          <w:color w:val="005CA9"/>
          <w:sz w:val="16"/>
          <w:szCs w:val="16"/>
        </w:rPr>
      </w:pPr>
      <w:r w:rsidRPr="00A47C19">
        <w:rPr>
          <w:rFonts w:ascii="CAIXA Std Book" w:hAnsi="CAIXA Std Book" w:cs="Symbol"/>
          <w:color w:val="005CA9"/>
          <w:sz w:val="16"/>
          <w:szCs w:val="16"/>
        </w:rPr>
        <w:t xml:space="preserve">(1) </w:t>
      </w:r>
      <w:r>
        <w:rPr>
          <w:rFonts w:ascii="CAIXA Std Book" w:hAnsi="CAIXA Std Book" w:cs="Symbol"/>
          <w:color w:val="005CA9"/>
          <w:sz w:val="16"/>
          <w:szCs w:val="16"/>
        </w:rPr>
        <w:t>Inclui os adicionais de capital principal de conservação, contracíclico e sistêmico, totalizando 3,50%</w:t>
      </w:r>
      <w:r w:rsidR="00260611">
        <w:rPr>
          <w:rFonts w:ascii="CAIXA Std Book" w:hAnsi="CAIXA Std Book" w:cs="Symbol"/>
          <w:color w:val="005CA9"/>
          <w:sz w:val="16"/>
          <w:szCs w:val="16"/>
        </w:rPr>
        <w:t>.</w:t>
      </w:r>
    </w:p>
    <w:p w14:paraId="0408EFE6" w14:textId="26494BF6" w:rsidR="00615058" w:rsidRPr="00260611" w:rsidRDefault="00C0572E" w:rsidP="00260611">
      <w:pPr>
        <w:rPr>
          <w:rFonts w:ascii="CAIXA Std Book" w:hAnsi="CAIXA Std Book" w:cs="Symbol"/>
          <w:color w:val="005CA9"/>
          <w:sz w:val="16"/>
          <w:szCs w:val="16"/>
        </w:rPr>
        <w:sectPr w:rsidR="00615058" w:rsidRPr="00260611" w:rsidSect="006907F6">
          <w:headerReference w:type="default" r:id="rId93"/>
          <w:footerReference w:type="default" r:id="rId94"/>
          <w:headerReference w:type="first" r:id="rId95"/>
          <w:footerReference w:type="first" r:id="rId96"/>
          <w:pgSz w:w="11907" w:h="16840" w:code="9"/>
          <w:pgMar w:top="1985" w:right="851" w:bottom="1418" w:left="1418" w:header="1134" w:footer="709" w:gutter="0"/>
          <w:cols w:space="708"/>
          <w:titlePg/>
          <w:docGrid w:linePitch="360"/>
        </w:sectPr>
      </w:pPr>
      <w:r>
        <w:rPr>
          <w:rFonts w:ascii="CAIXA Std Book" w:hAnsi="CAIXA Std Book" w:cs="Symbol"/>
          <w:color w:val="005CA9"/>
          <w:sz w:val="16"/>
          <w:szCs w:val="16"/>
        </w:rPr>
        <w:t xml:space="preserve">(2) Conforme </w:t>
      </w:r>
      <w:r w:rsidRPr="00A47C19">
        <w:rPr>
          <w:rFonts w:ascii="CAIXA Std Book" w:hAnsi="CAIXA Std Book" w:cs="Symbol"/>
          <w:color w:val="005CA9"/>
          <w:sz w:val="16"/>
          <w:szCs w:val="16"/>
        </w:rPr>
        <w:t>Resolução CMN nº 4.95</w:t>
      </w:r>
      <w:r>
        <w:rPr>
          <w:rFonts w:ascii="CAIXA Std Book" w:hAnsi="CAIXA Std Book" w:cs="Symbol"/>
          <w:color w:val="005CA9"/>
          <w:sz w:val="16"/>
          <w:szCs w:val="16"/>
        </w:rPr>
        <w:t>7</w:t>
      </w:r>
      <w:r w:rsidRPr="00A47C19">
        <w:rPr>
          <w:rFonts w:ascii="CAIXA Std Book" w:hAnsi="CAIXA Std Book" w:cs="Symbol"/>
          <w:color w:val="005CA9"/>
          <w:sz w:val="16"/>
          <w:szCs w:val="16"/>
        </w:rPr>
        <w:t>/2021.</w:t>
      </w:r>
    </w:p>
    <w:p w14:paraId="117A80DB" w14:textId="32BB93D8" w:rsidR="004C5638" w:rsidRPr="00E95E29" w:rsidRDefault="004C5638" w:rsidP="00B735D2">
      <w:pPr>
        <w:pStyle w:val="Ttulo1"/>
      </w:pPr>
      <w:bookmarkStart w:id="166" w:name="_Toc217914360"/>
      <w:bookmarkStart w:id="167" w:name="_Toc229588510"/>
      <w:r w:rsidRPr="00E95E29">
        <w:t>Nota   3</w:t>
      </w:r>
      <w:r w:rsidR="00EF04CD">
        <w:t>4</w:t>
      </w:r>
      <w:r w:rsidRPr="00E95E29">
        <w:t xml:space="preserve"> – </w:t>
      </w:r>
      <w:r>
        <w:t>Valor justo de ativos e passivos financeiros</w:t>
      </w:r>
      <w:bookmarkEnd w:id="166"/>
      <w:bookmarkEnd w:id="167"/>
    </w:p>
    <w:p w14:paraId="4B33CAB5" w14:textId="40BA8D68" w:rsidR="000F15B2" w:rsidRPr="00911F07" w:rsidRDefault="000F15B2" w:rsidP="00295657">
      <w:pPr>
        <w:pStyle w:val="PargrafodaLista"/>
        <w:numPr>
          <w:ilvl w:val="0"/>
          <w:numId w:val="43"/>
        </w:numPr>
        <w:spacing w:before="240" w:after="240"/>
        <w:ind w:left="567" w:hanging="567"/>
        <w:jc w:val="both"/>
        <w:rPr>
          <w:rFonts w:ascii="CAIXA Std Book" w:eastAsia="Times New Roman" w:hAnsi="CAIXA Std Book" w:cs="Arial"/>
          <w:b/>
          <w:bCs/>
          <w:color w:val="005CA9"/>
          <w:sz w:val="20"/>
          <w:szCs w:val="20"/>
        </w:rPr>
      </w:pPr>
      <w:r w:rsidRPr="00911F07">
        <w:rPr>
          <w:rFonts w:ascii="CAIXA Std Book" w:eastAsia="Times New Roman" w:hAnsi="CAIXA Std Book" w:cs="Arial"/>
          <w:b/>
          <w:bCs/>
          <w:color w:val="005CA9"/>
          <w:sz w:val="20"/>
          <w:szCs w:val="20"/>
        </w:rPr>
        <w:t>Hierarquia do valor justo</w:t>
      </w:r>
    </w:p>
    <w:tbl>
      <w:tblPr>
        <w:tblW w:w="5000" w:type="pct"/>
        <w:tblCellMar>
          <w:left w:w="70" w:type="dxa"/>
          <w:right w:w="70" w:type="dxa"/>
        </w:tblCellMar>
        <w:tblLook w:val="04A0" w:firstRow="1" w:lastRow="0" w:firstColumn="1" w:lastColumn="0" w:noHBand="0" w:noVBand="1"/>
      </w:tblPr>
      <w:tblGrid>
        <w:gridCol w:w="7381"/>
        <w:gridCol w:w="1731"/>
        <w:gridCol w:w="1606"/>
        <w:gridCol w:w="1233"/>
        <w:gridCol w:w="1387"/>
        <w:gridCol w:w="1233"/>
      </w:tblGrid>
      <w:tr w:rsidR="006A7F68" w:rsidRPr="006A7F68" w14:paraId="0B8CFE00" w14:textId="77777777" w:rsidTr="00F813BC">
        <w:trPr>
          <w:trHeight w:val="255"/>
        </w:trPr>
        <w:tc>
          <w:tcPr>
            <w:tcW w:w="5000" w:type="pct"/>
            <w:gridSpan w:val="6"/>
            <w:tcBorders>
              <w:bottom w:val="single" w:sz="4" w:space="0" w:color="F2F2F2" w:themeColor="background1" w:themeShade="F2"/>
            </w:tcBorders>
            <w:shd w:val="clear" w:color="000000" w:fill="005CA9"/>
            <w:vAlign w:val="center"/>
            <w:hideMark/>
          </w:tcPr>
          <w:p w14:paraId="2A8A0275" w14:textId="77777777" w:rsidR="006A7F68" w:rsidRPr="006A7F68" w:rsidRDefault="006A7F68" w:rsidP="006A7F68">
            <w:pPr>
              <w:jc w:val="center"/>
              <w:rPr>
                <w:rFonts w:ascii="CAIXA Std Book" w:eastAsia="Times New Roman" w:hAnsi="CAIXA Std Book" w:cs="Times New Roman"/>
                <w:b/>
                <w:bCs/>
                <w:color w:val="FFFFFF"/>
                <w:sz w:val="16"/>
                <w:szCs w:val="16"/>
              </w:rPr>
            </w:pPr>
            <w:r w:rsidRPr="006A7F68">
              <w:rPr>
                <w:rFonts w:ascii="CAIXA Std Book" w:eastAsia="Times New Roman" w:hAnsi="CAIXA Std Book" w:cs="Times New Roman"/>
                <w:b/>
                <w:bCs/>
                <w:color w:val="FFFFFF"/>
                <w:sz w:val="16"/>
                <w:szCs w:val="16"/>
              </w:rPr>
              <w:t>Individual</w:t>
            </w:r>
          </w:p>
        </w:tc>
      </w:tr>
      <w:tr w:rsidR="006A7F68" w:rsidRPr="006A7F68" w14:paraId="41DAD93C" w14:textId="77777777" w:rsidTr="00EC7E6C">
        <w:trPr>
          <w:trHeight w:val="255"/>
        </w:trPr>
        <w:tc>
          <w:tcPr>
            <w:tcW w:w="2533" w:type="pct"/>
            <w:vMerge w:val="restart"/>
            <w:tcBorders>
              <w:top w:val="single" w:sz="4" w:space="0" w:color="F2F2F2" w:themeColor="background1" w:themeShade="F2"/>
            </w:tcBorders>
            <w:shd w:val="clear" w:color="000000" w:fill="005CA9"/>
            <w:vAlign w:val="center"/>
            <w:hideMark/>
          </w:tcPr>
          <w:p w14:paraId="3AF90205" w14:textId="77777777" w:rsidR="006A7F68" w:rsidRPr="006A7F68" w:rsidRDefault="006A7F68" w:rsidP="006A7F68">
            <w:pPr>
              <w:rPr>
                <w:rFonts w:ascii="CAIXA Std Book" w:eastAsia="Times New Roman" w:hAnsi="CAIXA Std Book" w:cs="Times New Roman"/>
                <w:b/>
                <w:bCs/>
                <w:color w:val="FFFFFF"/>
                <w:sz w:val="16"/>
                <w:szCs w:val="16"/>
              </w:rPr>
            </w:pPr>
            <w:r w:rsidRPr="006A7F68">
              <w:rPr>
                <w:rFonts w:ascii="CAIXA Std Book" w:eastAsia="Times New Roman" w:hAnsi="CAIXA Std Book" w:cs="Times New Roman"/>
                <w:b/>
                <w:bCs/>
                <w:color w:val="FFFFFF"/>
                <w:sz w:val="16"/>
                <w:szCs w:val="16"/>
              </w:rPr>
              <w:t>Ativos e passivos financeiros mensurados ao valor justo no balanço patrimonial de forma recorrente</w:t>
            </w:r>
          </w:p>
        </w:tc>
        <w:tc>
          <w:tcPr>
            <w:tcW w:w="594" w:type="pct"/>
            <w:vMerge w:val="restart"/>
            <w:tcBorders>
              <w:top w:val="single" w:sz="4" w:space="0" w:color="F2F2F2" w:themeColor="background1" w:themeShade="F2"/>
            </w:tcBorders>
            <w:shd w:val="clear" w:color="000000" w:fill="005CA9"/>
            <w:vAlign w:val="center"/>
            <w:hideMark/>
          </w:tcPr>
          <w:p w14:paraId="7DCF403F" w14:textId="2BFC3280" w:rsidR="006A7F68" w:rsidRPr="006A7F68" w:rsidRDefault="006A7F68" w:rsidP="006A7F68">
            <w:pPr>
              <w:jc w:val="center"/>
              <w:rPr>
                <w:rFonts w:ascii="CAIXA Std Book" w:eastAsia="Times New Roman" w:hAnsi="CAIXA Std Book" w:cs="Times New Roman"/>
                <w:b/>
                <w:bCs/>
                <w:color w:val="FFFFFF" w:themeColor="background1"/>
                <w:sz w:val="16"/>
                <w:szCs w:val="16"/>
              </w:rPr>
            </w:pPr>
            <w:r w:rsidRPr="006A7F68">
              <w:rPr>
                <w:rFonts w:ascii="CAIXA Std Book" w:eastAsia="Times New Roman" w:hAnsi="CAIXA Std Book" w:cs="Times New Roman"/>
                <w:b/>
                <w:bCs/>
                <w:color w:val="FFFFFF" w:themeColor="background1"/>
                <w:sz w:val="16"/>
                <w:szCs w:val="16"/>
              </w:rPr>
              <w:t>Valor contábil em 31/03/2026</w:t>
            </w:r>
          </w:p>
        </w:tc>
        <w:tc>
          <w:tcPr>
            <w:tcW w:w="551" w:type="pct"/>
            <w:vMerge w:val="restart"/>
            <w:tcBorders>
              <w:top w:val="single" w:sz="4" w:space="0" w:color="F2F2F2" w:themeColor="background1" w:themeShade="F2"/>
            </w:tcBorders>
            <w:shd w:val="clear" w:color="000000" w:fill="005CA9"/>
            <w:vAlign w:val="center"/>
            <w:hideMark/>
          </w:tcPr>
          <w:p w14:paraId="12E0A734" w14:textId="3BDB4B41" w:rsidR="006A7F68" w:rsidRPr="006A7F68" w:rsidRDefault="006A7F68" w:rsidP="006A7F68">
            <w:pPr>
              <w:jc w:val="center"/>
              <w:rPr>
                <w:rFonts w:ascii="CAIXA Std Book" w:eastAsia="Times New Roman" w:hAnsi="CAIXA Std Book" w:cs="Times New Roman"/>
                <w:b/>
                <w:bCs/>
                <w:color w:val="FFFFFF" w:themeColor="background1"/>
                <w:sz w:val="16"/>
                <w:szCs w:val="16"/>
              </w:rPr>
            </w:pPr>
            <w:r w:rsidRPr="006A7F68">
              <w:rPr>
                <w:rFonts w:ascii="CAIXA Std Book" w:eastAsia="Times New Roman" w:hAnsi="CAIXA Std Book" w:cs="Times New Roman"/>
                <w:b/>
                <w:bCs/>
                <w:color w:val="FFFFFF" w:themeColor="background1"/>
                <w:sz w:val="16"/>
                <w:szCs w:val="16"/>
              </w:rPr>
              <w:t xml:space="preserve">Valor </w:t>
            </w:r>
            <w:r w:rsidR="006F69CC">
              <w:rPr>
                <w:rFonts w:ascii="CAIXA Std Book" w:eastAsia="Times New Roman" w:hAnsi="CAIXA Std Book" w:cs="Times New Roman"/>
                <w:b/>
                <w:bCs/>
                <w:color w:val="FFFFFF" w:themeColor="background1"/>
                <w:sz w:val="16"/>
                <w:szCs w:val="16"/>
              </w:rPr>
              <w:t>j</w:t>
            </w:r>
            <w:r w:rsidRPr="006A7F68">
              <w:rPr>
                <w:rFonts w:ascii="CAIXA Std Book" w:eastAsia="Times New Roman" w:hAnsi="CAIXA Std Book" w:cs="Times New Roman"/>
                <w:b/>
                <w:bCs/>
                <w:color w:val="FFFFFF" w:themeColor="background1"/>
                <w:sz w:val="16"/>
                <w:szCs w:val="16"/>
              </w:rPr>
              <w:t>usto em 31/03/2026</w:t>
            </w:r>
          </w:p>
        </w:tc>
        <w:tc>
          <w:tcPr>
            <w:tcW w:w="1322" w:type="pct"/>
            <w:gridSpan w:val="3"/>
            <w:tcBorders>
              <w:top w:val="single" w:sz="4" w:space="0" w:color="F2F2F2" w:themeColor="background1" w:themeShade="F2"/>
              <w:bottom w:val="single" w:sz="4" w:space="0" w:color="F2F2F2" w:themeColor="background1" w:themeShade="F2"/>
            </w:tcBorders>
            <w:shd w:val="clear" w:color="000000" w:fill="005CA9"/>
            <w:noWrap/>
            <w:vAlign w:val="center"/>
            <w:hideMark/>
          </w:tcPr>
          <w:p w14:paraId="4F7B222C" w14:textId="77777777" w:rsidR="006A7F68" w:rsidRPr="006A7F68" w:rsidRDefault="006A7F68" w:rsidP="006A7F68">
            <w:pPr>
              <w:jc w:val="center"/>
              <w:rPr>
                <w:rFonts w:ascii="CAIXA Std Book" w:eastAsia="Times New Roman" w:hAnsi="CAIXA Std Book" w:cs="Times New Roman"/>
                <w:b/>
                <w:bCs/>
                <w:color w:val="FFFFFF"/>
                <w:sz w:val="16"/>
                <w:szCs w:val="16"/>
              </w:rPr>
            </w:pPr>
            <w:r w:rsidRPr="006A7F68">
              <w:rPr>
                <w:rFonts w:ascii="CAIXA Std Book" w:eastAsia="Times New Roman" w:hAnsi="CAIXA Std Book" w:cs="Times New Roman"/>
                <w:b/>
                <w:bCs/>
                <w:color w:val="FFFFFF"/>
                <w:sz w:val="16"/>
                <w:szCs w:val="16"/>
              </w:rPr>
              <w:t>Níveis de valor justo</w:t>
            </w:r>
          </w:p>
        </w:tc>
      </w:tr>
      <w:tr w:rsidR="006A7F68" w:rsidRPr="006A7F68" w14:paraId="763EEBF2" w14:textId="77777777" w:rsidTr="00FA7919">
        <w:trPr>
          <w:trHeight w:val="255"/>
        </w:trPr>
        <w:tc>
          <w:tcPr>
            <w:tcW w:w="2533" w:type="pct"/>
            <w:vMerge/>
            <w:tcBorders>
              <w:top w:val="single" w:sz="4" w:space="0" w:color="F2F2F2" w:themeColor="background1" w:themeShade="F2"/>
            </w:tcBorders>
            <w:vAlign w:val="center"/>
            <w:hideMark/>
          </w:tcPr>
          <w:p w14:paraId="03CCB82E" w14:textId="77777777" w:rsidR="006A7F68" w:rsidRPr="006A7F68" w:rsidRDefault="006A7F68" w:rsidP="006A7F68">
            <w:pPr>
              <w:rPr>
                <w:rFonts w:ascii="CAIXA Std Book" w:eastAsia="Times New Roman" w:hAnsi="CAIXA Std Book" w:cs="Times New Roman"/>
                <w:b/>
                <w:bCs/>
                <w:color w:val="FFFFFF"/>
                <w:sz w:val="16"/>
                <w:szCs w:val="16"/>
              </w:rPr>
            </w:pPr>
          </w:p>
        </w:tc>
        <w:tc>
          <w:tcPr>
            <w:tcW w:w="594" w:type="pct"/>
            <w:vMerge/>
            <w:tcBorders>
              <w:top w:val="single" w:sz="4" w:space="0" w:color="F2F2F2" w:themeColor="background1" w:themeShade="F2"/>
            </w:tcBorders>
            <w:vAlign w:val="center"/>
            <w:hideMark/>
          </w:tcPr>
          <w:p w14:paraId="5FC266F8" w14:textId="77777777" w:rsidR="006A7F68" w:rsidRPr="006A7F68" w:rsidRDefault="006A7F68" w:rsidP="006A7F68">
            <w:pPr>
              <w:rPr>
                <w:rFonts w:ascii="CAIXA Std Book" w:eastAsia="Times New Roman" w:hAnsi="CAIXA Std Book" w:cs="Times New Roman"/>
                <w:b/>
                <w:bCs/>
                <w:color w:val="FFFFFF"/>
                <w:sz w:val="16"/>
                <w:szCs w:val="16"/>
              </w:rPr>
            </w:pPr>
          </w:p>
        </w:tc>
        <w:tc>
          <w:tcPr>
            <w:tcW w:w="551" w:type="pct"/>
            <w:vMerge/>
            <w:tcBorders>
              <w:top w:val="single" w:sz="4" w:space="0" w:color="F2F2F2" w:themeColor="background1" w:themeShade="F2"/>
            </w:tcBorders>
            <w:vAlign w:val="center"/>
            <w:hideMark/>
          </w:tcPr>
          <w:p w14:paraId="3FF52304" w14:textId="77777777" w:rsidR="006A7F68" w:rsidRPr="006A7F68" w:rsidRDefault="006A7F68" w:rsidP="006A7F68">
            <w:pPr>
              <w:rPr>
                <w:rFonts w:ascii="CAIXA Std Book" w:eastAsia="Times New Roman" w:hAnsi="CAIXA Std Book" w:cs="Times New Roman"/>
                <w:b/>
                <w:bCs/>
                <w:color w:val="FFFFFF"/>
                <w:sz w:val="16"/>
                <w:szCs w:val="16"/>
              </w:rPr>
            </w:pPr>
          </w:p>
        </w:tc>
        <w:tc>
          <w:tcPr>
            <w:tcW w:w="423" w:type="pct"/>
            <w:tcBorders>
              <w:top w:val="single" w:sz="4" w:space="0" w:color="F2F2F2" w:themeColor="background1" w:themeShade="F2"/>
            </w:tcBorders>
            <w:shd w:val="clear" w:color="000000" w:fill="005CA9"/>
            <w:noWrap/>
            <w:vAlign w:val="center"/>
            <w:hideMark/>
          </w:tcPr>
          <w:p w14:paraId="3A4D3203" w14:textId="77777777" w:rsidR="006A7F68" w:rsidRPr="006A7F68" w:rsidRDefault="006A7F68" w:rsidP="006A7F68">
            <w:pPr>
              <w:jc w:val="center"/>
              <w:rPr>
                <w:rFonts w:ascii="CAIXA Std Book" w:eastAsia="Times New Roman" w:hAnsi="CAIXA Std Book" w:cs="Times New Roman"/>
                <w:b/>
                <w:bCs/>
                <w:color w:val="FFFFFF"/>
                <w:sz w:val="16"/>
                <w:szCs w:val="16"/>
              </w:rPr>
            </w:pPr>
            <w:r w:rsidRPr="006A7F68">
              <w:rPr>
                <w:rFonts w:ascii="CAIXA Std Book" w:eastAsia="Times New Roman" w:hAnsi="CAIXA Std Book" w:cs="Times New Roman"/>
                <w:b/>
                <w:bCs/>
                <w:color w:val="FFFFFF"/>
                <w:sz w:val="16"/>
                <w:szCs w:val="16"/>
              </w:rPr>
              <w:t>Nível 1</w:t>
            </w:r>
          </w:p>
        </w:tc>
        <w:tc>
          <w:tcPr>
            <w:tcW w:w="476" w:type="pct"/>
            <w:tcBorders>
              <w:top w:val="single" w:sz="4" w:space="0" w:color="F2F2F2" w:themeColor="background1" w:themeShade="F2"/>
            </w:tcBorders>
            <w:shd w:val="clear" w:color="000000" w:fill="005CA9"/>
            <w:noWrap/>
            <w:vAlign w:val="center"/>
            <w:hideMark/>
          </w:tcPr>
          <w:p w14:paraId="3E846399" w14:textId="77777777" w:rsidR="006A7F68" w:rsidRPr="006A7F68" w:rsidRDefault="006A7F68" w:rsidP="006A7F68">
            <w:pPr>
              <w:jc w:val="center"/>
              <w:rPr>
                <w:rFonts w:ascii="CAIXA Std Book" w:eastAsia="Times New Roman" w:hAnsi="CAIXA Std Book" w:cs="Times New Roman"/>
                <w:b/>
                <w:bCs/>
                <w:color w:val="FFFFFF"/>
                <w:sz w:val="16"/>
                <w:szCs w:val="16"/>
              </w:rPr>
            </w:pPr>
            <w:r w:rsidRPr="006A7F68">
              <w:rPr>
                <w:rFonts w:ascii="CAIXA Std Book" w:eastAsia="Times New Roman" w:hAnsi="CAIXA Std Book" w:cs="Times New Roman"/>
                <w:b/>
                <w:bCs/>
                <w:color w:val="FFFFFF"/>
                <w:sz w:val="16"/>
                <w:szCs w:val="16"/>
              </w:rPr>
              <w:t>Nível 2</w:t>
            </w:r>
          </w:p>
        </w:tc>
        <w:tc>
          <w:tcPr>
            <w:tcW w:w="423" w:type="pct"/>
            <w:tcBorders>
              <w:top w:val="single" w:sz="4" w:space="0" w:color="F2F2F2" w:themeColor="background1" w:themeShade="F2"/>
            </w:tcBorders>
            <w:shd w:val="clear" w:color="000000" w:fill="005CA9"/>
            <w:noWrap/>
            <w:vAlign w:val="center"/>
            <w:hideMark/>
          </w:tcPr>
          <w:p w14:paraId="77EDBB7F" w14:textId="77777777" w:rsidR="006A7F68" w:rsidRPr="006A7F68" w:rsidRDefault="006A7F68" w:rsidP="006A7F68">
            <w:pPr>
              <w:jc w:val="center"/>
              <w:rPr>
                <w:rFonts w:ascii="CAIXA Std Book" w:eastAsia="Times New Roman" w:hAnsi="CAIXA Std Book" w:cs="Times New Roman"/>
                <w:b/>
                <w:bCs/>
                <w:color w:val="FFFFFF"/>
                <w:sz w:val="16"/>
                <w:szCs w:val="16"/>
              </w:rPr>
            </w:pPr>
            <w:r w:rsidRPr="006A7F68">
              <w:rPr>
                <w:rFonts w:ascii="CAIXA Std Book" w:eastAsia="Times New Roman" w:hAnsi="CAIXA Std Book" w:cs="Times New Roman"/>
                <w:b/>
                <w:bCs/>
                <w:color w:val="FFFFFF"/>
                <w:sz w:val="16"/>
                <w:szCs w:val="16"/>
              </w:rPr>
              <w:t>Nível 3</w:t>
            </w:r>
          </w:p>
        </w:tc>
      </w:tr>
      <w:tr w:rsidR="006A7F68" w:rsidRPr="006A7F68" w14:paraId="4EB347B2" w14:textId="77777777" w:rsidTr="00FA7919">
        <w:trPr>
          <w:trHeight w:val="255"/>
        </w:trPr>
        <w:tc>
          <w:tcPr>
            <w:tcW w:w="2533" w:type="pct"/>
            <w:tcBorders>
              <w:bottom w:val="single" w:sz="4" w:space="0" w:color="FFFFFF" w:themeColor="background1"/>
            </w:tcBorders>
            <w:shd w:val="clear" w:color="auto" w:fill="D0E0E3"/>
            <w:noWrap/>
            <w:vAlign w:val="center"/>
            <w:hideMark/>
          </w:tcPr>
          <w:p w14:paraId="66EEAA02" w14:textId="77777777" w:rsidR="006A7F68" w:rsidRPr="006A7F68" w:rsidRDefault="006A7F68" w:rsidP="006A7F68">
            <w:pPr>
              <w:rPr>
                <w:rFonts w:ascii="CAIXA Std Book" w:eastAsia="Times New Roman" w:hAnsi="CAIXA Std Book" w:cs="Times New Roman"/>
                <w:b/>
                <w:bCs/>
                <w:color w:val="005CA9"/>
                <w:sz w:val="16"/>
                <w:szCs w:val="16"/>
              </w:rPr>
            </w:pPr>
            <w:r w:rsidRPr="006A7F68">
              <w:rPr>
                <w:rFonts w:ascii="CAIXA Std Book" w:eastAsia="Times New Roman" w:hAnsi="CAIXA Std Book" w:cs="Times New Roman"/>
                <w:b/>
                <w:bCs/>
                <w:color w:val="005CA9"/>
                <w:sz w:val="16"/>
                <w:szCs w:val="16"/>
              </w:rPr>
              <w:t>Ativo</w:t>
            </w:r>
          </w:p>
        </w:tc>
        <w:tc>
          <w:tcPr>
            <w:tcW w:w="594" w:type="pct"/>
            <w:tcBorders>
              <w:bottom w:val="single" w:sz="4" w:space="0" w:color="FFFFFF" w:themeColor="background1"/>
            </w:tcBorders>
            <w:shd w:val="clear" w:color="000000" w:fill="D0E0E3"/>
            <w:vAlign w:val="center"/>
          </w:tcPr>
          <w:p w14:paraId="6CFCFBBF" w14:textId="09D14E52"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Calibri"/>
                <w:b/>
                <w:color w:val="005CA9"/>
                <w:sz w:val="16"/>
                <w:szCs w:val="16"/>
              </w:rPr>
              <w:t>2.270.970.</w:t>
            </w:r>
            <w:r w:rsidR="003D4923" w:rsidRPr="00BC00DB">
              <w:rPr>
                <w:rFonts w:ascii="CAIXA Std Book" w:hAnsi="CAIXA Std Book" w:cs="Calibri"/>
                <w:b/>
                <w:color w:val="005CA9"/>
                <w:sz w:val="16"/>
                <w:szCs w:val="16"/>
              </w:rPr>
              <w:t>991</w:t>
            </w:r>
          </w:p>
        </w:tc>
        <w:tc>
          <w:tcPr>
            <w:tcW w:w="551" w:type="pct"/>
            <w:tcBorders>
              <w:bottom w:val="single" w:sz="4" w:space="0" w:color="FFFFFF" w:themeColor="background1"/>
            </w:tcBorders>
            <w:shd w:val="clear" w:color="auto" w:fill="D0E0E3"/>
            <w:vAlign w:val="center"/>
          </w:tcPr>
          <w:p w14:paraId="4052B33E" w14:textId="40F77E66"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2.054.363.462</w:t>
            </w:r>
          </w:p>
        </w:tc>
        <w:tc>
          <w:tcPr>
            <w:tcW w:w="423" w:type="pct"/>
            <w:tcBorders>
              <w:bottom w:val="single" w:sz="4" w:space="0" w:color="FFFFFF" w:themeColor="background1"/>
            </w:tcBorders>
            <w:shd w:val="clear" w:color="auto" w:fill="D0E0E3"/>
            <w:vAlign w:val="center"/>
          </w:tcPr>
          <w:p w14:paraId="3FB317E2" w14:textId="5FDC5311"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408.734.630</w:t>
            </w:r>
          </w:p>
        </w:tc>
        <w:tc>
          <w:tcPr>
            <w:tcW w:w="476" w:type="pct"/>
            <w:tcBorders>
              <w:bottom w:val="single" w:sz="4" w:space="0" w:color="FFFFFF" w:themeColor="background1"/>
            </w:tcBorders>
            <w:shd w:val="clear" w:color="auto" w:fill="D0E0E3"/>
            <w:vAlign w:val="center"/>
          </w:tcPr>
          <w:p w14:paraId="54A80215" w14:textId="145B1520"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1.624.250.530</w:t>
            </w:r>
          </w:p>
        </w:tc>
        <w:tc>
          <w:tcPr>
            <w:tcW w:w="423" w:type="pct"/>
            <w:tcBorders>
              <w:bottom w:val="single" w:sz="4" w:space="0" w:color="FFFFFF" w:themeColor="background1"/>
            </w:tcBorders>
            <w:shd w:val="clear" w:color="auto" w:fill="D0E0E3"/>
            <w:vAlign w:val="center"/>
          </w:tcPr>
          <w:p w14:paraId="4C64B652" w14:textId="71527432"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21.378.302</w:t>
            </w:r>
          </w:p>
        </w:tc>
      </w:tr>
      <w:tr w:rsidR="006A7F68" w:rsidRPr="006A7F68" w14:paraId="7CA74595" w14:textId="77777777" w:rsidTr="00FA7919">
        <w:trPr>
          <w:trHeight w:val="255"/>
        </w:trPr>
        <w:tc>
          <w:tcPr>
            <w:tcW w:w="2533" w:type="pct"/>
            <w:tcBorders>
              <w:top w:val="single" w:sz="4" w:space="0" w:color="FFFFFF" w:themeColor="background1"/>
            </w:tcBorders>
            <w:shd w:val="clear" w:color="auto" w:fill="D0E0E3"/>
            <w:noWrap/>
            <w:vAlign w:val="center"/>
            <w:hideMark/>
          </w:tcPr>
          <w:p w14:paraId="4ED264AF" w14:textId="77777777" w:rsidR="006A7F68" w:rsidRPr="006A7F68" w:rsidRDefault="006A7F68" w:rsidP="006A7F68">
            <w:pPr>
              <w:rPr>
                <w:rFonts w:ascii="CAIXA Std Book" w:eastAsia="Times New Roman" w:hAnsi="CAIXA Std Book" w:cs="Times New Roman"/>
                <w:b/>
                <w:bCs/>
                <w:color w:val="005CA9"/>
                <w:sz w:val="16"/>
                <w:szCs w:val="16"/>
              </w:rPr>
            </w:pPr>
            <w:r w:rsidRPr="006A7F68">
              <w:rPr>
                <w:rFonts w:ascii="CAIXA Std Book" w:eastAsia="Times New Roman" w:hAnsi="CAIXA Std Book" w:cs="Times New Roman"/>
                <w:b/>
                <w:bCs/>
                <w:color w:val="005CA9"/>
                <w:sz w:val="16"/>
                <w:szCs w:val="16"/>
              </w:rPr>
              <w:t>Ativos financeiros ao valor justo por meio do resultado</w:t>
            </w:r>
          </w:p>
        </w:tc>
        <w:tc>
          <w:tcPr>
            <w:tcW w:w="594" w:type="pct"/>
            <w:tcBorders>
              <w:top w:val="single" w:sz="4" w:space="0" w:color="FFFFFF" w:themeColor="background1"/>
            </w:tcBorders>
            <w:shd w:val="clear" w:color="000000" w:fill="D0E0E3"/>
            <w:vAlign w:val="center"/>
          </w:tcPr>
          <w:p w14:paraId="786D726D" w14:textId="18E9CF41"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Calibri"/>
                <w:b/>
                <w:color w:val="005CA9"/>
                <w:sz w:val="16"/>
                <w:szCs w:val="16"/>
              </w:rPr>
              <w:t>149.617.039</w:t>
            </w:r>
          </w:p>
        </w:tc>
        <w:tc>
          <w:tcPr>
            <w:tcW w:w="551" w:type="pct"/>
            <w:tcBorders>
              <w:top w:val="single" w:sz="4" w:space="0" w:color="FFFFFF" w:themeColor="background1"/>
            </w:tcBorders>
            <w:shd w:val="clear" w:color="auto" w:fill="D0E0E3"/>
            <w:vAlign w:val="center"/>
          </w:tcPr>
          <w:p w14:paraId="19CBAC2C" w14:textId="74A7D6B4"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149.793.650</w:t>
            </w:r>
          </w:p>
        </w:tc>
        <w:tc>
          <w:tcPr>
            <w:tcW w:w="423" w:type="pct"/>
            <w:tcBorders>
              <w:top w:val="single" w:sz="4" w:space="0" w:color="FFFFFF" w:themeColor="background1"/>
            </w:tcBorders>
            <w:shd w:val="clear" w:color="auto" w:fill="D0E0E3"/>
            <w:vAlign w:val="center"/>
          </w:tcPr>
          <w:p w14:paraId="3598CF1B" w14:textId="13330AA8"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144.667.553</w:t>
            </w:r>
          </w:p>
        </w:tc>
        <w:tc>
          <w:tcPr>
            <w:tcW w:w="476" w:type="pct"/>
            <w:tcBorders>
              <w:top w:val="single" w:sz="4" w:space="0" w:color="FFFFFF" w:themeColor="background1"/>
            </w:tcBorders>
            <w:shd w:val="clear" w:color="auto" w:fill="D0E0E3"/>
            <w:vAlign w:val="center"/>
          </w:tcPr>
          <w:p w14:paraId="424DFE59" w14:textId="51188A0F"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2.762.199</w:t>
            </w:r>
          </w:p>
        </w:tc>
        <w:tc>
          <w:tcPr>
            <w:tcW w:w="423" w:type="pct"/>
            <w:tcBorders>
              <w:top w:val="single" w:sz="4" w:space="0" w:color="FFFFFF" w:themeColor="background1"/>
            </w:tcBorders>
            <w:shd w:val="clear" w:color="auto" w:fill="D0E0E3"/>
            <w:vAlign w:val="center"/>
          </w:tcPr>
          <w:p w14:paraId="4523775F" w14:textId="6DA1355B"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2.363.898</w:t>
            </w:r>
          </w:p>
        </w:tc>
      </w:tr>
      <w:tr w:rsidR="006A7F68" w:rsidRPr="006A7F68" w14:paraId="0C8DD5C5" w14:textId="77777777" w:rsidTr="00E57916">
        <w:trPr>
          <w:trHeight w:val="255"/>
        </w:trPr>
        <w:tc>
          <w:tcPr>
            <w:tcW w:w="2533" w:type="pct"/>
            <w:noWrap/>
            <w:vAlign w:val="center"/>
            <w:hideMark/>
          </w:tcPr>
          <w:p w14:paraId="38256FAC" w14:textId="77777777" w:rsidR="006A7F68" w:rsidRPr="006A7F68" w:rsidRDefault="006A7F68" w:rsidP="006A7F68">
            <w:pPr>
              <w:ind w:firstLineChars="100" w:firstLine="160"/>
              <w:rPr>
                <w:rFonts w:ascii="CAIXA Std Book" w:eastAsia="Times New Roman" w:hAnsi="CAIXA Std Book" w:cs="Times New Roman"/>
                <w:color w:val="005CA9"/>
                <w:sz w:val="16"/>
                <w:szCs w:val="16"/>
              </w:rPr>
            </w:pPr>
            <w:r w:rsidRPr="006A7F68">
              <w:rPr>
                <w:rFonts w:ascii="CAIXA Std Book" w:eastAsia="Times New Roman" w:hAnsi="CAIXA Std Book" w:cs="Times New Roman"/>
                <w:color w:val="005CA9"/>
                <w:sz w:val="16"/>
                <w:szCs w:val="16"/>
              </w:rPr>
              <w:t>Títulos e valores mobiliários (líquidos de provisão para perdas associadas ao risco de crédito)</w:t>
            </w:r>
          </w:p>
        </w:tc>
        <w:tc>
          <w:tcPr>
            <w:tcW w:w="594" w:type="pct"/>
            <w:shd w:val="clear" w:color="000000" w:fill="FFFFFF"/>
            <w:vAlign w:val="center"/>
          </w:tcPr>
          <w:p w14:paraId="0F39EDC8" w14:textId="670D44E3"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Calibri"/>
                <w:color w:val="005CA9"/>
                <w:sz w:val="16"/>
                <w:szCs w:val="16"/>
              </w:rPr>
              <w:t>149.269.002</w:t>
            </w:r>
          </w:p>
        </w:tc>
        <w:tc>
          <w:tcPr>
            <w:tcW w:w="551" w:type="pct"/>
            <w:shd w:val="clear" w:color="auto" w:fill="FFFFFF" w:themeFill="background1"/>
            <w:vAlign w:val="center"/>
          </w:tcPr>
          <w:p w14:paraId="3C63D265" w14:textId="341175B4"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149.274.469</w:t>
            </w:r>
          </w:p>
        </w:tc>
        <w:tc>
          <w:tcPr>
            <w:tcW w:w="423" w:type="pct"/>
            <w:shd w:val="clear" w:color="auto" w:fill="FFFFFF" w:themeFill="background1"/>
            <w:noWrap/>
            <w:vAlign w:val="center"/>
          </w:tcPr>
          <w:p w14:paraId="5C8B4422" w14:textId="72260AE7"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144.647.941</w:t>
            </w:r>
          </w:p>
        </w:tc>
        <w:tc>
          <w:tcPr>
            <w:tcW w:w="476" w:type="pct"/>
            <w:shd w:val="clear" w:color="auto" w:fill="FFFFFF" w:themeFill="background1"/>
            <w:noWrap/>
            <w:vAlign w:val="center"/>
          </w:tcPr>
          <w:p w14:paraId="65C1A537" w14:textId="39004C5A"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2.262.630</w:t>
            </w:r>
          </w:p>
        </w:tc>
        <w:tc>
          <w:tcPr>
            <w:tcW w:w="423" w:type="pct"/>
            <w:shd w:val="clear" w:color="auto" w:fill="FFFFFF" w:themeFill="background1"/>
            <w:noWrap/>
            <w:vAlign w:val="center"/>
          </w:tcPr>
          <w:p w14:paraId="50EC1927" w14:textId="068F88D2"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2.363.898</w:t>
            </w:r>
          </w:p>
        </w:tc>
      </w:tr>
      <w:tr w:rsidR="006A7F68" w:rsidRPr="006A7F68" w14:paraId="39C46C92" w14:textId="77777777" w:rsidTr="00E57916">
        <w:trPr>
          <w:trHeight w:val="255"/>
        </w:trPr>
        <w:tc>
          <w:tcPr>
            <w:tcW w:w="2533" w:type="pct"/>
            <w:noWrap/>
            <w:vAlign w:val="center"/>
            <w:hideMark/>
          </w:tcPr>
          <w:p w14:paraId="384EAFEC" w14:textId="77777777" w:rsidR="006A7F68" w:rsidRPr="006A7F68" w:rsidRDefault="006A7F68" w:rsidP="006A7F68">
            <w:pPr>
              <w:ind w:firstLineChars="100" w:firstLine="160"/>
              <w:rPr>
                <w:rFonts w:ascii="CAIXA Std Book" w:eastAsia="Times New Roman" w:hAnsi="CAIXA Std Book" w:cs="Times New Roman"/>
                <w:color w:val="005CA9"/>
                <w:sz w:val="16"/>
                <w:szCs w:val="16"/>
              </w:rPr>
            </w:pPr>
            <w:r w:rsidRPr="006A7F68">
              <w:rPr>
                <w:rFonts w:ascii="CAIXA Std Book" w:eastAsia="Times New Roman" w:hAnsi="CAIXA Std Book" w:cs="Times New Roman"/>
                <w:color w:val="005CA9"/>
                <w:sz w:val="16"/>
                <w:szCs w:val="16"/>
              </w:rPr>
              <w:t>Instrumentos financeiros derivativos</w:t>
            </w:r>
          </w:p>
        </w:tc>
        <w:tc>
          <w:tcPr>
            <w:tcW w:w="594" w:type="pct"/>
            <w:shd w:val="clear" w:color="000000" w:fill="FFFFFF"/>
            <w:vAlign w:val="center"/>
          </w:tcPr>
          <w:p w14:paraId="3DBFC3E8" w14:textId="6135C60F"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Calibri"/>
                <w:color w:val="005CA9"/>
                <w:sz w:val="16"/>
                <w:szCs w:val="16"/>
              </w:rPr>
              <w:t>17.935</w:t>
            </w:r>
          </w:p>
        </w:tc>
        <w:tc>
          <w:tcPr>
            <w:tcW w:w="551" w:type="pct"/>
            <w:shd w:val="clear" w:color="auto" w:fill="FFFFFF" w:themeFill="background1"/>
            <w:vAlign w:val="center"/>
          </w:tcPr>
          <w:p w14:paraId="00CB6697" w14:textId="75BE91DF" w:rsidR="006A7F68" w:rsidRPr="006A7F68" w:rsidRDefault="00A20E6B" w:rsidP="006A7F68">
            <w:pPr>
              <w:jc w:val="right"/>
              <w:rPr>
                <w:rFonts w:ascii="CAIXA Std Book" w:eastAsia="Times New Roman" w:hAnsi="CAIXA Std Book" w:cs="Times New Roman"/>
                <w:color w:val="005CA9"/>
                <w:sz w:val="16"/>
                <w:szCs w:val="16"/>
              </w:rPr>
            </w:pPr>
            <w:r w:rsidRPr="00BB7815">
              <w:rPr>
                <w:rFonts w:ascii="CAIXA Std Book" w:hAnsi="CAIXA Std Book" w:cs="Arial"/>
                <w:color w:val="005CA9"/>
                <w:sz w:val="16"/>
                <w:szCs w:val="16"/>
              </w:rPr>
              <w:t>189.079</w:t>
            </w:r>
          </w:p>
        </w:tc>
        <w:tc>
          <w:tcPr>
            <w:tcW w:w="423" w:type="pct"/>
            <w:shd w:val="clear" w:color="auto" w:fill="FFFFFF" w:themeFill="background1"/>
            <w:noWrap/>
            <w:vAlign w:val="center"/>
          </w:tcPr>
          <w:p w14:paraId="162B5107" w14:textId="31EE02D0" w:rsidR="006A7F68" w:rsidRPr="006A7F68" w:rsidRDefault="00A20E6B" w:rsidP="006A7F68">
            <w:pPr>
              <w:jc w:val="right"/>
              <w:rPr>
                <w:rFonts w:ascii="CAIXA Std Book" w:eastAsia="Times New Roman" w:hAnsi="CAIXA Std Book" w:cs="Times New Roman"/>
                <w:color w:val="005CA9"/>
                <w:sz w:val="16"/>
                <w:szCs w:val="16"/>
              </w:rPr>
            </w:pPr>
            <w:r w:rsidRPr="00BB7815">
              <w:rPr>
                <w:rFonts w:ascii="CAIXA Std Book" w:hAnsi="CAIXA Std Book" w:cs="Arial"/>
                <w:color w:val="005CA9"/>
                <w:sz w:val="16"/>
                <w:szCs w:val="16"/>
              </w:rPr>
              <w:t>19.612</w:t>
            </w:r>
          </w:p>
        </w:tc>
        <w:tc>
          <w:tcPr>
            <w:tcW w:w="476" w:type="pct"/>
            <w:shd w:val="clear" w:color="auto" w:fill="FFFFFF" w:themeFill="background1"/>
            <w:noWrap/>
            <w:vAlign w:val="center"/>
          </w:tcPr>
          <w:p w14:paraId="16D0266E" w14:textId="6CB2FE45" w:rsidR="006A7F68" w:rsidRPr="006A7F68" w:rsidRDefault="00A20E6B" w:rsidP="00A20E6B">
            <w:pPr>
              <w:jc w:val="right"/>
              <w:rPr>
                <w:rFonts w:ascii="CAIXA Std Book" w:eastAsia="Times New Roman" w:hAnsi="CAIXA Std Book" w:cs="Times New Roman"/>
                <w:color w:val="005CA9"/>
                <w:sz w:val="16"/>
                <w:szCs w:val="16"/>
              </w:rPr>
            </w:pPr>
            <w:r w:rsidRPr="00BB7815">
              <w:rPr>
                <w:rFonts w:ascii="CAIXA Std Book" w:hAnsi="CAIXA Std Book" w:cs="Arial"/>
                <w:color w:val="005CA9"/>
                <w:sz w:val="16"/>
                <w:szCs w:val="16"/>
              </w:rPr>
              <w:t>169.467</w:t>
            </w:r>
          </w:p>
        </w:tc>
        <w:tc>
          <w:tcPr>
            <w:tcW w:w="423" w:type="pct"/>
            <w:shd w:val="clear" w:color="auto" w:fill="FFFFFF" w:themeFill="background1"/>
            <w:noWrap/>
            <w:vAlign w:val="center"/>
          </w:tcPr>
          <w:p w14:paraId="4A5F015F" w14:textId="64AE89E2" w:rsidR="006A7F68" w:rsidRPr="006A7F68" w:rsidRDefault="00A20E6B" w:rsidP="006A7F68">
            <w:pPr>
              <w:jc w:val="center"/>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w:t>
            </w:r>
          </w:p>
        </w:tc>
      </w:tr>
      <w:tr w:rsidR="006A7F68" w:rsidRPr="006A7F68" w14:paraId="42262853" w14:textId="77777777" w:rsidTr="00E57916">
        <w:trPr>
          <w:trHeight w:val="255"/>
        </w:trPr>
        <w:tc>
          <w:tcPr>
            <w:tcW w:w="2533" w:type="pct"/>
            <w:noWrap/>
            <w:vAlign w:val="center"/>
            <w:hideMark/>
          </w:tcPr>
          <w:p w14:paraId="3F85F11C" w14:textId="77777777" w:rsidR="006A7F68" w:rsidRPr="006A7F68" w:rsidRDefault="006A7F68" w:rsidP="006A7F68">
            <w:pPr>
              <w:ind w:firstLineChars="100" w:firstLine="160"/>
              <w:rPr>
                <w:rFonts w:ascii="CAIXA Std Book" w:eastAsia="Times New Roman" w:hAnsi="CAIXA Std Book" w:cs="Times New Roman"/>
                <w:color w:val="005CA9"/>
                <w:sz w:val="16"/>
                <w:szCs w:val="16"/>
              </w:rPr>
            </w:pPr>
            <w:r w:rsidRPr="006A7F68">
              <w:rPr>
                <w:rFonts w:ascii="CAIXA Std Book" w:eastAsia="Times New Roman" w:hAnsi="CAIXA Std Book" w:cs="Times New Roman"/>
                <w:color w:val="005CA9"/>
                <w:sz w:val="16"/>
                <w:szCs w:val="16"/>
              </w:rPr>
              <w:t>Outros ativos financeiros</w:t>
            </w:r>
          </w:p>
        </w:tc>
        <w:tc>
          <w:tcPr>
            <w:tcW w:w="594" w:type="pct"/>
            <w:shd w:val="clear" w:color="000000" w:fill="FFFFFF"/>
            <w:vAlign w:val="center"/>
          </w:tcPr>
          <w:p w14:paraId="107F915F" w14:textId="6DF58774"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Calibri"/>
                <w:color w:val="005CA9"/>
                <w:sz w:val="16"/>
                <w:szCs w:val="16"/>
              </w:rPr>
              <w:t>330.102</w:t>
            </w:r>
          </w:p>
        </w:tc>
        <w:tc>
          <w:tcPr>
            <w:tcW w:w="551" w:type="pct"/>
            <w:shd w:val="clear" w:color="auto" w:fill="FFFFFF" w:themeFill="background1"/>
            <w:vAlign w:val="center"/>
          </w:tcPr>
          <w:p w14:paraId="08F8A6F5" w14:textId="0619BE23"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330.102</w:t>
            </w:r>
          </w:p>
        </w:tc>
        <w:tc>
          <w:tcPr>
            <w:tcW w:w="423" w:type="pct"/>
            <w:shd w:val="clear" w:color="auto" w:fill="FFFFFF" w:themeFill="background1"/>
            <w:noWrap/>
            <w:vAlign w:val="center"/>
          </w:tcPr>
          <w:p w14:paraId="4629B662" w14:textId="27D063AC" w:rsidR="006A7F68" w:rsidRPr="006A7F68" w:rsidRDefault="00A20E6B" w:rsidP="006A7F68">
            <w:pPr>
              <w:jc w:val="center"/>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w:t>
            </w:r>
          </w:p>
        </w:tc>
        <w:tc>
          <w:tcPr>
            <w:tcW w:w="476" w:type="pct"/>
            <w:shd w:val="clear" w:color="auto" w:fill="FFFFFF" w:themeFill="background1"/>
            <w:noWrap/>
            <w:vAlign w:val="center"/>
          </w:tcPr>
          <w:p w14:paraId="49469BFA" w14:textId="2B85091D"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330.102</w:t>
            </w:r>
          </w:p>
        </w:tc>
        <w:tc>
          <w:tcPr>
            <w:tcW w:w="423" w:type="pct"/>
            <w:shd w:val="clear" w:color="auto" w:fill="FFFFFF" w:themeFill="background1"/>
            <w:noWrap/>
            <w:vAlign w:val="center"/>
          </w:tcPr>
          <w:p w14:paraId="34DA9F83" w14:textId="133C5077" w:rsidR="006A7F68" w:rsidRPr="006A7F68" w:rsidRDefault="00A20E6B" w:rsidP="006A7F68">
            <w:pPr>
              <w:jc w:val="center"/>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w:t>
            </w:r>
          </w:p>
        </w:tc>
      </w:tr>
      <w:tr w:rsidR="006A7F68" w:rsidRPr="006A7F68" w14:paraId="6A46FA1D" w14:textId="77777777" w:rsidTr="00E57916">
        <w:trPr>
          <w:trHeight w:val="255"/>
        </w:trPr>
        <w:tc>
          <w:tcPr>
            <w:tcW w:w="2533" w:type="pct"/>
            <w:shd w:val="clear" w:color="000000" w:fill="D0E0E3"/>
            <w:noWrap/>
            <w:vAlign w:val="center"/>
            <w:hideMark/>
          </w:tcPr>
          <w:p w14:paraId="4CE5D9C9" w14:textId="77777777" w:rsidR="006A7F68" w:rsidRPr="006A7F68" w:rsidRDefault="006A7F68" w:rsidP="006A7F68">
            <w:pPr>
              <w:rPr>
                <w:rFonts w:ascii="CAIXA Std Book" w:eastAsia="Times New Roman" w:hAnsi="CAIXA Std Book" w:cs="Times New Roman"/>
                <w:b/>
                <w:bCs/>
                <w:color w:val="005CA9"/>
                <w:sz w:val="16"/>
                <w:szCs w:val="16"/>
              </w:rPr>
            </w:pPr>
            <w:r w:rsidRPr="006A7F68">
              <w:rPr>
                <w:rFonts w:ascii="CAIXA Std Book" w:eastAsia="Times New Roman" w:hAnsi="CAIXA Std Book" w:cs="Times New Roman"/>
                <w:b/>
                <w:bCs/>
                <w:color w:val="005CA9"/>
                <w:sz w:val="16"/>
                <w:szCs w:val="16"/>
              </w:rPr>
              <w:t>Ativos financeiros ao valor justo por meio de outros resultados abrangentes</w:t>
            </w:r>
          </w:p>
        </w:tc>
        <w:tc>
          <w:tcPr>
            <w:tcW w:w="594" w:type="pct"/>
            <w:shd w:val="clear" w:color="000000" w:fill="D0E0E3"/>
            <w:noWrap/>
            <w:vAlign w:val="center"/>
          </w:tcPr>
          <w:p w14:paraId="28E0C17F" w14:textId="4661B158"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Calibri"/>
                <w:b/>
                <w:color w:val="005CA9"/>
                <w:sz w:val="16"/>
                <w:szCs w:val="16"/>
              </w:rPr>
              <w:t>552.420.471</w:t>
            </w:r>
          </w:p>
        </w:tc>
        <w:tc>
          <w:tcPr>
            <w:tcW w:w="551" w:type="pct"/>
            <w:shd w:val="clear" w:color="auto" w:fill="D0E0E3"/>
            <w:vAlign w:val="center"/>
          </w:tcPr>
          <w:p w14:paraId="516BF7EF" w14:textId="5B4B2B9F"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551.010.025</w:t>
            </w:r>
          </w:p>
        </w:tc>
        <w:tc>
          <w:tcPr>
            <w:tcW w:w="423" w:type="pct"/>
            <w:shd w:val="clear" w:color="auto" w:fill="D0E0E3"/>
            <w:noWrap/>
            <w:vAlign w:val="center"/>
          </w:tcPr>
          <w:p w14:paraId="36135AA6" w14:textId="2DABA1CE"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264.067.077</w:t>
            </w:r>
          </w:p>
        </w:tc>
        <w:tc>
          <w:tcPr>
            <w:tcW w:w="476" w:type="pct"/>
            <w:shd w:val="clear" w:color="auto" w:fill="D0E0E3"/>
            <w:noWrap/>
            <w:vAlign w:val="center"/>
          </w:tcPr>
          <w:p w14:paraId="1F896F71" w14:textId="25731C7E"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270.662.034</w:t>
            </w:r>
          </w:p>
        </w:tc>
        <w:tc>
          <w:tcPr>
            <w:tcW w:w="423" w:type="pct"/>
            <w:shd w:val="clear" w:color="auto" w:fill="D0E0E3"/>
            <w:noWrap/>
            <w:vAlign w:val="center"/>
          </w:tcPr>
          <w:p w14:paraId="7685136B" w14:textId="6D05428F"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16.280.914</w:t>
            </w:r>
          </w:p>
        </w:tc>
      </w:tr>
      <w:tr w:rsidR="006A7F68" w:rsidRPr="006A7F68" w14:paraId="4FA0FFD0" w14:textId="77777777" w:rsidTr="00E57916">
        <w:trPr>
          <w:trHeight w:val="255"/>
        </w:trPr>
        <w:tc>
          <w:tcPr>
            <w:tcW w:w="2533" w:type="pct"/>
            <w:noWrap/>
            <w:vAlign w:val="center"/>
            <w:hideMark/>
          </w:tcPr>
          <w:p w14:paraId="3FF60952" w14:textId="77777777" w:rsidR="006A7F68" w:rsidRPr="006A7F68" w:rsidRDefault="006A7F68" w:rsidP="006A7F68">
            <w:pPr>
              <w:ind w:firstLineChars="100" w:firstLine="160"/>
              <w:rPr>
                <w:rFonts w:ascii="CAIXA Std Book" w:eastAsia="Times New Roman" w:hAnsi="CAIXA Std Book" w:cs="Times New Roman"/>
                <w:color w:val="005CA9"/>
                <w:sz w:val="16"/>
                <w:szCs w:val="16"/>
              </w:rPr>
            </w:pPr>
            <w:r w:rsidRPr="006A7F68">
              <w:rPr>
                <w:rFonts w:ascii="CAIXA Std Book" w:eastAsia="Times New Roman" w:hAnsi="CAIXA Std Book" w:cs="Times New Roman"/>
                <w:color w:val="005CA9"/>
                <w:sz w:val="16"/>
                <w:szCs w:val="16"/>
              </w:rPr>
              <w:t>Aplicações interfinanceiras de liquidez</w:t>
            </w:r>
          </w:p>
        </w:tc>
        <w:tc>
          <w:tcPr>
            <w:tcW w:w="594" w:type="pct"/>
            <w:shd w:val="clear" w:color="000000" w:fill="FFFFFF"/>
            <w:vAlign w:val="center"/>
          </w:tcPr>
          <w:p w14:paraId="5CD06003" w14:textId="44D0786B"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Calibri"/>
                <w:color w:val="005CA9"/>
                <w:sz w:val="16"/>
                <w:szCs w:val="16"/>
              </w:rPr>
              <w:t>269.531.070</w:t>
            </w:r>
          </w:p>
        </w:tc>
        <w:tc>
          <w:tcPr>
            <w:tcW w:w="551" w:type="pct"/>
            <w:shd w:val="clear" w:color="auto" w:fill="FFFFFF" w:themeFill="background1"/>
            <w:vAlign w:val="center"/>
          </w:tcPr>
          <w:p w14:paraId="41002908" w14:textId="605DF295"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269.555.096</w:t>
            </w:r>
          </w:p>
        </w:tc>
        <w:tc>
          <w:tcPr>
            <w:tcW w:w="423" w:type="pct"/>
            <w:shd w:val="clear" w:color="auto" w:fill="FFFFFF" w:themeFill="background1"/>
            <w:noWrap/>
            <w:vAlign w:val="center"/>
          </w:tcPr>
          <w:p w14:paraId="3E32FEDC" w14:textId="451F7F3A" w:rsidR="006A7F68" w:rsidRPr="006A7F68" w:rsidRDefault="00A20E6B" w:rsidP="006A7F68">
            <w:pPr>
              <w:jc w:val="center"/>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w:t>
            </w:r>
          </w:p>
        </w:tc>
        <w:tc>
          <w:tcPr>
            <w:tcW w:w="476" w:type="pct"/>
            <w:shd w:val="clear" w:color="auto" w:fill="FFFFFF" w:themeFill="background1"/>
            <w:noWrap/>
            <w:vAlign w:val="center"/>
          </w:tcPr>
          <w:p w14:paraId="4568076D" w14:textId="6E807858"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269.555.096</w:t>
            </w:r>
          </w:p>
        </w:tc>
        <w:tc>
          <w:tcPr>
            <w:tcW w:w="423" w:type="pct"/>
            <w:shd w:val="clear" w:color="auto" w:fill="FFFFFF" w:themeFill="background1"/>
            <w:noWrap/>
            <w:vAlign w:val="center"/>
          </w:tcPr>
          <w:p w14:paraId="42F1C1B4" w14:textId="79BFD6A4" w:rsidR="006A7F68" w:rsidRPr="006A7F68" w:rsidRDefault="00A20E6B" w:rsidP="006A7F68">
            <w:pPr>
              <w:jc w:val="center"/>
              <w:rPr>
                <w:rFonts w:ascii="CAIXA Std Book" w:eastAsia="Times New Roman" w:hAnsi="CAIXA Std Book" w:cs="Times New Roman"/>
                <w:color w:val="005CA9"/>
                <w:sz w:val="16"/>
                <w:szCs w:val="16"/>
              </w:rPr>
            </w:pPr>
            <w:r>
              <w:rPr>
                <w:rFonts w:ascii="CAIXA Std Book" w:eastAsia="Times New Roman" w:hAnsi="CAIXA Std Book" w:cs="Times New Roman"/>
                <w:color w:val="005CA9"/>
                <w:sz w:val="16"/>
                <w:szCs w:val="16"/>
              </w:rPr>
              <w:t>-</w:t>
            </w:r>
          </w:p>
        </w:tc>
      </w:tr>
      <w:tr w:rsidR="006A7F68" w:rsidRPr="006A7F68" w14:paraId="20264E7E" w14:textId="77777777" w:rsidTr="00E57916">
        <w:trPr>
          <w:trHeight w:val="255"/>
        </w:trPr>
        <w:tc>
          <w:tcPr>
            <w:tcW w:w="2533" w:type="pct"/>
            <w:noWrap/>
            <w:vAlign w:val="center"/>
            <w:hideMark/>
          </w:tcPr>
          <w:p w14:paraId="6E82BE34" w14:textId="77777777" w:rsidR="006A7F68" w:rsidRPr="006A7F68" w:rsidRDefault="006A7F68" w:rsidP="006A7F68">
            <w:pPr>
              <w:ind w:firstLineChars="100" w:firstLine="160"/>
              <w:rPr>
                <w:rFonts w:ascii="CAIXA Std Book" w:eastAsia="Times New Roman" w:hAnsi="CAIXA Std Book" w:cs="Times New Roman"/>
                <w:color w:val="005CA9"/>
                <w:sz w:val="16"/>
                <w:szCs w:val="16"/>
              </w:rPr>
            </w:pPr>
            <w:r w:rsidRPr="006A7F68">
              <w:rPr>
                <w:rFonts w:ascii="CAIXA Std Book" w:eastAsia="Times New Roman" w:hAnsi="CAIXA Std Book" w:cs="Times New Roman"/>
                <w:color w:val="005CA9"/>
                <w:sz w:val="16"/>
                <w:szCs w:val="16"/>
              </w:rPr>
              <w:t>Títulos e valores mobiliários (líquidos de provisão para perdas associadas ao risco de crédito)</w:t>
            </w:r>
          </w:p>
        </w:tc>
        <w:tc>
          <w:tcPr>
            <w:tcW w:w="594" w:type="pct"/>
            <w:shd w:val="clear" w:color="000000" w:fill="FFFFFF"/>
            <w:vAlign w:val="center"/>
          </w:tcPr>
          <w:p w14:paraId="28C7C375" w14:textId="38839241"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Calibri"/>
                <w:color w:val="005CA9"/>
                <w:sz w:val="16"/>
                <w:szCs w:val="16"/>
              </w:rPr>
              <w:t>282.889.401</w:t>
            </w:r>
          </w:p>
        </w:tc>
        <w:tc>
          <w:tcPr>
            <w:tcW w:w="551" w:type="pct"/>
            <w:shd w:val="clear" w:color="auto" w:fill="FFFFFF" w:themeFill="background1"/>
            <w:vAlign w:val="center"/>
          </w:tcPr>
          <w:p w14:paraId="12A22F02" w14:textId="65617ED0"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281.454.929</w:t>
            </w:r>
          </w:p>
        </w:tc>
        <w:tc>
          <w:tcPr>
            <w:tcW w:w="423" w:type="pct"/>
            <w:shd w:val="clear" w:color="auto" w:fill="FFFFFF" w:themeFill="background1"/>
            <w:noWrap/>
            <w:vAlign w:val="center"/>
          </w:tcPr>
          <w:p w14:paraId="72F2087C" w14:textId="194D15E0"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264.067.077</w:t>
            </w:r>
          </w:p>
        </w:tc>
        <w:tc>
          <w:tcPr>
            <w:tcW w:w="476" w:type="pct"/>
            <w:shd w:val="clear" w:color="auto" w:fill="FFFFFF" w:themeFill="background1"/>
            <w:noWrap/>
            <w:vAlign w:val="center"/>
          </w:tcPr>
          <w:p w14:paraId="4A3C760E" w14:textId="4CFD6CA1"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1.106.938</w:t>
            </w:r>
          </w:p>
        </w:tc>
        <w:tc>
          <w:tcPr>
            <w:tcW w:w="423" w:type="pct"/>
            <w:shd w:val="clear" w:color="auto" w:fill="FFFFFF" w:themeFill="background1"/>
            <w:noWrap/>
            <w:vAlign w:val="center"/>
          </w:tcPr>
          <w:p w14:paraId="0C89DE6A" w14:textId="168A8CF9"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16.280.914</w:t>
            </w:r>
          </w:p>
        </w:tc>
      </w:tr>
      <w:tr w:rsidR="006A7F68" w:rsidRPr="006A7F68" w14:paraId="0FB5B516" w14:textId="77777777" w:rsidTr="00E57916">
        <w:trPr>
          <w:trHeight w:val="255"/>
        </w:trPr>
        <w:tc>
          <w:tcPr>
            <w:tcW w:w="2533" w:type="pct"/>
            <w:shd w:val="clear" w:color="000000" w:fill="D0E0E3"/>
            <w:noWrap/>
            <w:vAlign w:val="center"/>
            <w:hideMark/>
          </w:tcPr>
          <w:p w14:paraId="789E0446" w14:textId="77777777" w:rsidR="006A7F68" w:rsidRPr="006A7F68" w:rsidRDefault="006A7F68" w:rsidP="006A7F68">
            <w:pPr>
              <w:rPr>
                <w:rFonts w:ascii="CAIXA Std Book" w:eastAsia="Times New Roman" w:hAnsi="CAIXA Std Book" w:cs="Times New Roman"/>
                <w:b/>
                <w:bCs/>
                <w:color w:val="005CA9"/>
                <w:sz w:val="16"/>
                <w:szCs w:val="16"/>
              </w:rPr>
            </w:pPr>
            <w:r w:rsidRPr="006A7F68">
              <w:rPr>
                <w:rFonts w:ascii="CAIXA Std Book" w:eastAsia="Times New Roman" w:hAnsi="CAIXA Std Book" w:cs="Times New Roman"/>
                <w:b/>
                <w:bCs/>
                <w:color w:val="005CA9"/>
                <w:sz w:val="16"/>
                <w:szCs w:val="16"/>
              </w:rPr>
              <w:t>Ativos financeiros ao custo amortizado</w:t>
            </w:r>
          </w:p>
        </w:tc>
        <w:tc>
          <w:tcPr>
            <w:tcW w:w="594" w:type="pct"/>
            <w:shd w:val="clear" w:color="000000" w:fill="D0E0E3"/>
            <w:noWrap/>
            <w:vAlign w:val="center"/>
          </w:tcPr>
          <w:p w14:paraId="6116DCBA" w14:textId="3998D60F"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Calibri"/>
                <w:b/>
                <w:color w:val="005CA9"/>
                <w:sz w:val="16"/>
                <w:szCs w:val="16"/>
              </w:rPr>
              <w:t>1.568.933.</w:t>
            </w:r>
            <w:r w:rsidR="003D4923" w:rsidRPr="00BC00DB">
              <w:rPr>
                <w:rFonts w:ascii="CAIXA Std Book" w:hAnsi="CAIXA Std Book" w:cs="Calibri"/>
                <w:b/>
                <w:color w:val="005CA9"/>
                <w:sz w:val="16"/>
                <w:szCs w:val="16"/>
              </w:rPr>
              <w:t>481</w:t>
            </w:r>
          </w:p>
        </w:tc>
        <w:tc>
          <w:tcPr>
            <w:tcW w:w="551" w:type="pct"/>
            <w:shd w:val="clear" w:color="auto" w:fill="D0E0E3"/>
            <w:vAlign w:val="center"/>
          </w:tcPr>
          <w:p w14:paraId="451EA99B" w14:textId="4DE9E787"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1.353.559.787</w:t>
            </w:r>
          </w:p>
        </w:tc>
        <w:tc>
          <w:tcPr>
            <w:tcW w:w="423" w:type="pct"/>
            <w:shd w:val="clear" w:color="auto" w:fill="D0E0E3"/>
            <w:noWrap/>
            <w:vAlign w:val="center"/>
          </w:tcPr>
          <w:p w14:paraId="445D7793" w14:textId="12AA464E" w:rsidR="006A7F68" w:rsidRPr="006A7F68" w:rsidRDefault="00A20E6B" w:rsidP="006A7F68">
            <w:pPr>
              <w:jc w:val="center"/>
              <w:rPr>
                <w:rFonts w:ascii="CAIXA Std Book" w:eastAsia="Times New Roman" w:hAnsi="CAIXA Std Book" w:cs="Times New Roman"/>
                <w:b/>
                <w:bCs/>
                <w:color w:val="005CA9"/>
                <w:sz w:val="16"/>
                <w:szCs w:val="16"/>
              </w:rPr>
            </w:pPr>
            <w:r>
              <w:rPr>
                <w:rFonts w:ascii="CAIXA Std Book" w:eastAsia="Times New Roman" w:hAnsi="CAIXA Std Book" w:cs="Times New Roman"/>
                <w:b/>
                <w:bCs/>
                <w:color w:val="005CA9"/>
                <w:sz w:val="16"/>
                <w:szCs w:val="16"/>
              </w:rPr>
              <w:t>-</w:t>
            </w:r>
          </w:p>
        </w:tc>
        <w:tc>
          <w:tcPr>
            <w:tcW w:w="476" w:type="pct"/>
            <w:shd w:val="clear" w:color="auto" w:fill="D0E0E3"/>
            <w:noWrap/>
            <w:vAlign w:val="center"/>
          </w:tcPr>
          <w:p w14:paraId="50C11B31" w14:textId="2A4C7C66"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1.350.826.297</w:t>
            </w:r>
          </w:p>
        </w:tc>
        <w:tc>
          <w:tcPr>
            <w:tcW w:w="423" w:type="pct"/>
            <w:shd w:val="clear" w:color="auto" w:fill="D0E0E3"/>
            <w:noWrap/>
            <w:vAlign w:val="center"/>
          </w:tcPr>
          <w:p w14:paraId="1B3D0A02" w14:textId="50245A5C"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2.733.490</w:t>
            </w:r>
          </w:p>
        </w:tc>
      </w:tr>
      <w:tr w:rsidR="006A7F68" w:rsidRPr="006A7F68" w14:paraId="70992A2E" w14:textId="77777777" w:rsidTr="00E57916">
        <w:trPr>
          <w:trHeight w:val="255"/>
        </w:trPr>
        <w:tc>
          <w:tcPr>
            <w:tcW w:w="2533" w:type="pct"/>
            <w:noWrap/>
            <w:vAlign w:val="center"/>
            <w:hideMark/>
          </w:tcPr>
          <w:p w14:paraId="48F0D5F9" w14:textId="77777777" w:rsidR="006A7F68" w:rsidRPr="006A7F68" w:rsidRDefault="006A7F68" w:rsidP="006A7F68">
            <w:pPr>
              <w:ind w:firstLineChars="100" w:firstLine="160"/>
              <w:rPr>
                <w:rFonts w:ascii="CAIXA Std Book" w:eastAsia="Times New Roman" w:hAnsi="CAIXA Std Book" w:cs="Times New Roman"/>
                <w:color w:val="005CA9"/>
                <w:sz w:val="16"/>
                <w:szCs w:val="16"/>
              </w:rPr>
            </w:pPr>
            <w:r w:rsidRPr="006A7F68">
              <w:rPr>
                <w:rFonts w:ascii="CAIXA Std Book" w:eastAsia="Times New Roman" w:hAnsi="CAIXA Std Book" w:cs="Times New Roman"/>
                <w:color w:val="005CA9"/>
                <w:sz w:val="16"/>
                <w:szCs w:val="16"/>
              </w:rPr>
              <w:t>Depósitos no banco central</w:t>
            </w:r>
          </w:p>
        </w:tc>
        <w:tc>
          <w:tcPr>
            <w:tcW w:w="594" w:type="pct"/>
            <w:shd w:val="clear" w:color="000000" w:fill="FFFFFF"/>
            <w:vAlign w:val="center"/>
          </w:tcPr>
          <w:p w14:paraId="5A4D8826" w14:textId="65DAC878"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Calibri"/>
                <w:color w:val="005CA9"/>
                <w:sz w:val="16"/>
                <w:szCs w:val="16"/>
              </w:rPr>
              <w:t>121.643.888</w:t>
            </w:r>
          </w:p>
        </w:tc>
        <w:tc>
          <w:tcPr>
            <w:tcW w:w="551" w:type="pct"/>
            <w:shd w:val="clear" w:color="auto" w:fill="FFFFFF" w:themeFill="background1"/>
            <w:vAlign w:val="center"/>
          </w:tcPr>
          <w:p w14:paraId="6B6CF9B6" w14:textId="6F70DA3D"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114.084.317</w:t>
            </w:r>
          </w:p>
        </w:tc>
        <w:tc>
          <w:tcPr>
            <w:tcW w:w="423" w:type="pct"/>
            <w:shd w:val="clear" w:color="auto" w:fill="FFFFFF" w:themeFill="background1"/>
            <w:noWrap/>
            <w:vAlign w:val="center"/>
          </w:tcPr>
          <w:p w14:paraId="4EB4A823" w14:textId="2F61BE42" w:rsidR="006A7F68" w:rsidRPr="006A7F68" w:rsidRDefault="00A20E6B" w:rsidP="006A7F68">
            <w:pPr>
              <w:jc w:val="center"/>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w:t>
            </w:r>
          </w:p>
        </w:tc>
        <w:tc>
          <w:tcPr>
            <w:tcW w:w="476" w:type="pct"/>
            <w:shd w:val="clear" w:color="auto" w:fill="FFFFFF" w:themeFill="background1"/>
            <w:noWrap/>
            <w:vAlign w:val="center"/>
          </w:tcPr>
          <w:p w14:paraId="03A32BA6" w14:textId="706A2724"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114.084.317</w:t>
            </w:r>
          </w:p>
        </w:tc>
        <w:tc>
          <w:tcPr>
            <w:tcW w:w="423" w:type="pct"/>
            <w:shd w:val="clear" w:color="auto" w:fill="FFFFFF" w:themeFill="background1"/>
            <w:noWrap/>
            <w:vAlign w:val="center"/>
          </w:tcPr>
          <w:p w14:paraId="25CE261F" w14:textId="6380F303" w:rsidR="006A7F68" w:rsidRPr="006A7F68" w:rsidRDefault="00A20E6B" w:rsidP="006A7F68">
            <w:pPr>
              <w:jc w:val="center"/>
              <w:rPr>
                <w:rFonts w:ascii="CAIXA Std Book" w:eastAsia="Times New Roman" w:hAnsi="CAIXA Std Book" w:cs="Times New Roman"/>
                <w:color w:val="005CA9"/>
                <w:sz w:val="16"/>
                <w:szCs w:val="16"/>
              </w:rPr>
            </w:pPr>
            <w:r>
              <w:rPr>
                <w:rFonts w:ascii="CAIXA Std Book" w:eastAsia="Times New Roman" w:hAnsi="CAIXA Std Book" w:cs="Times New Roman"/>
                <w:color w:val="005CA9"/>
                <w:sz w:val="16"/>
                <w:szCs w:val="16"/>
              </w:rPr>
              <w:t>-</w:t>
            </w:r>
          </w:p>
        </w:tc>
      </w:tr>
      <w:tr w:rsidR="006A7F68" w:rsidRPr="006A7F68" w14:paraId="79C5C05F" w14:textId="77777777" w:rsidTr="00E57916">
        <w:trPr>
          <w:trHeight w:val="255"/>
        </w:trPr>
        <w:tc>
          <w:tcPr>
            <w:tcW w:w="2533" w:type="pct"/>
            <w:noWrap/>
            <w:vAlign w:val="center"/>
            <w:hideMark/>
          </w:tcPr>
          <w:p w14:paraId="3EF42C62" w14:textId="77777777" w:rsidR="006A7F68" w:rsidRPr="006A7F68" w:rsidRDefault="006A7F68" w:rsidP="006A7F68">
            <w:pPr>
              <w:ind w:firstLineChars="100" w:firstLine="160"/>
              <w:rPr>
                <w:rFonts w:ascii="CAIXA Std Book" w:eastAsia="Times New Roman" w:hAnsi="CAIXA Std Book" w:cs="Times New Roman"/>
                <w:color w:val="005CA9"/>
                <w:sz w:val="16"/>
                <w:szCs w:val="16"/>
              </w:rPr>
            </w:pPr>
            <w:r w:rsidRPr="006A7F68">
              <w:rPr>
                <w:rFonts w:ascii="CAIXA Std Book" w:eastAsia="Times New Roman" w:hAnsi="CAIXA Std Book" w:cs="Times New Roman"/>
                <w:color w:val="005CA9"/>
                <w:sz w:val="16"/>
                <w:szCs w:val="16"/>
              </w:rPr>
              <w:t>Aplicações interfinanceiras de liquidez</w:t>
            </w:r>
          </w:p>
        </w:tc>
        <w:tc>
          <w:tcPr>
            <w:tcW w:w="594" w:type="pct"/>
            <w:shd w:val="clear" w:color="000000" w:fill="FFFFFF"/>
            <w:vAlign w:val="center"/>
          </w:tcPr>
          <w:p w14:paraId="3857873D" w14:textId="3FC55857"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Calibri"/>
                <w:color w:val="005CA9"/>
                <w:sz w:val="16"/>
                <w:szCs w:val="16"/>
              </w:rPr>
              <w:t>8.273.845</w:t>
            </w:r>
          </w:p>
        </w:tc>
        <w:tc>
          <w:tcPr>
            <w:tcW w:w="551" w:type="pct"/>
            <w:shd w:val="clear" w:color="auto" w:fill="FFFFFF" w:themeFill="background1"/>
            <w:vAlign w:val="center"/>
          </w:tcPr>
          <w:p w14:paraId="10EC0E9F" w14:textId="5AB93702"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8.274.570</w:t>
            </w:r>
          </w:p>
        </w:tc>
        <w:tc>
          <w:tcPr>
            <w:tcW w:w="423" w:type="pct"/>
            <w:shd w:val="clear" w:color="auto" w:fill="FFFFFF" w:themeFill="background1"/>
            <w:noWrap/>
            <w:vAlign w:val="center"/>
          </w:tcPr>
          <w:p w14:paraId="4AF9ACF9" w14:textId="66D08F9C" w:rsidR="006A7F68" w:rsidRPr="006A7F68" w:rsidRDefault="00A20E6B" w:rsidP="006A7F68">
            <w:pPr>
              <w:jc w:val="center"/>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w:t>
            </w:r>
          </w:p>
        </w:tc>
        <w:tc>
          <w:tcPr>
            <w:tcW w:w="476" w:type="pct"/>
            <w:shd w:val="clear" w:color="auto" w:fill="FFFFFF" w:themeFill="background1"/>
            <w:noWrap/>
            <w:vAlign w:val="center"/>
          </w:tcPr>
          <w:p w14:paraId="676DA3AC" w14:textId="3FBC83C8"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8.274.570</w:t>
            </w:r>
          </w:p>
        </w:tc>
        <w:tc>
          <w:tcPr>
            <w:tcW w:w="423" w:type="pct"/>
            <w:shd w:val="clear" w:color="auto" w:fill="FFFFFF" w:themeFill="background1"/>
            <w:noWrap/>
            <w:vAlign w:val="center"/>
          </w:tcPr>
          <w:p w14:paraId="742CE7CE" w14:textId="4BAD86A0" w:rsidR="006A7F68" w:rsidRPr="006A7F68" w:rsidRDefault="00A20E6B" w:rsidP="006A7F68">
            <w:pPr>
              <w:jc w:val="center"/>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w:t>
            </w:r>
          </w:p>
        </w:tc>
      </w:tr>
      <w:tr w:rsidR="006A7F68" w:rsidRPr="006A7F68" w14:paraId="5975C01F" w14:textId="77777777" w:rsidTr="00E57916">
        <w:trPr>
          <w:trHeight w:val="255"/>
        </w:trPr>
        <w:tc>
          <w:tcPr>
            <w:tcW w:w="2533" w:type="pct"/>
            <w:noWrap/>
            <w:vAlign w:val="center"/>
            <w:hideMark/>
          </w:tcPr>
          <w:p w14:paraId="3271E424" w14:textId="77777777" w:rsidR="006A7F68" w:rsidRPr="006A7F68" w:rsidRDefault="006A7F68" w:rsidP="006A7F68">
            <w:pPr>
              <w:ind w:firstLineChars="100" w:firstLine="160"/>
              <w:rPr>
                <w:rFonts w:ascii="CAIXA Std Book" w:eastAsia="Times New Roman" w:hAnsi="CAIXA Std Book" w:cs="Times New Roman"/>
                <w:color w:val="005CA9"/>
                <w:sz w:val="16"/>
                <w:szCs w:val="16"/>
              </w:rPr>
            </w:pPr>
            <w:r w:rsidRPr="006A7F68">
              <w:rPr>
                <w:rFonts w:ascii="CAIXA Std Book" w:eastAsia="Times New Roman" w:hAnsi="CAIXA Std Book" w:cs="Times New Roman"/>
                <w:color w:val="005CA9"/>
                <w:sz w:val="16"/>
                <w:szCs w:val="16"/>
              </w:rPr>
              <w:t>Títulos e valores mobiliários (líquidos de provisão para perdas associadas ao risco de crédito)</w:t>
            </w:r>
          </w:p>
        </w:tc>
        <w:tc>
          <w:tcPr>
            <w:tcW w:w="594" w:type="pct"/>
            <w:shd w:val="clear" w:color="000000" w:fill="FFFFFF"/>
            <w:vAlign w:val="center"/>
          </w:tcPr>
          <w:p w14:paraId="5649F4A5" w14:textId="37D3AE12"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Calibri"/>
                <w:color w:val="005CA9"/>
                <w:sz w:val="16"/>
                <w:szCs w:val="16"/>
              </w:rPr>
              <w:t>2.733.490</w:t>
            </w:r>
          </w:p>
        </w:tc>
        <w:tc>
          <w:tcPr>
            <w:tcW w:w="551" w:type="pct"/>
            <w:shd w:val="clear" w:color="auto" w:fill="FFFFFF" w:themeFill="background1"/>
            <w:vAlign w:val="center"/>
          </w:tcPr>
          <w:p w14:paraId="6E3B474A" w14:textId="1D73C33C"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2.733.490</w:t>
            </w:r>
          </w:p>
        </w:tc>
        <w:tc>
          <w:tcPr>
            <w:tcW w:w="423" w:type="pct"/>
            <w:shd w:val="clear" w:color="auto" w:fill="FFFFFF" w:themeFill="background1"/>
            <w:noWrap/>
            <w:vAlign w:val="center"/>
          </w:tcPr>
          <w:p w14:paraId="732ACA8E" w14:textId="41FF2A3A" w:rsidR="006A7F68" w:rsidRPr="006A7F68" w:rsidRDefault="00A20E6B" w:rsidP="006A7F68">
            <w:pPr>
              <w:jc w:val="center"/>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w:t>
            </w:r>
          </w:p>
        </w:tc>
        <w:tc>
          <w:tcPr>
            <w:tcW w:w="476" w:type="pct"/>
            <w:shd w:val="clear" w:color="auto" w:fill="FFFFFF" w:themeFill="background1"/>
            <w:noWrap/>
            <w:vAlign w:val="center"/>
          </w:tcPr>
          <w:p w14:paraId="4BA9A059" w14:textId="2C352B33" w:rsidR="006A7F68" w:rsidRPr="006A7F68" w:rsidRDefault="00A20E6B" w:rsidP="006A7F68">
            <w:pPr>
              <w:jc w:val="center"/>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w:t>
            </w:r>
          </w:p>
        </w:tc>
        <w:tc>
          <w:tcPr>
            <w:tcW w:w="423" w:type="pct"/>
            <w:shd w:val="clear" w:color="auto" w:fill="FFFFFF" w:themeFill="background1"/>
            <w:noWrap/>
            <w:vAlign w:val="center"/>
          </w:tcPr>
          <w:p w14:paraId="45794C6D" w14:textId="05DB868D"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2.733.490</w:t>
            </w:r>
          </w:p>
        </w:tc>
      </w:tr>
      <w:tr w:rsidR="006A7F68" w:rsidRPr="006A7F68" w14:paraId="6F6EBE68" w14:textId="77777777" w:rsidTr="00E57916">
        <w:trPr>
          <w:trHeight w:val="255"/>
        </w:trPr>
        <w:tc>
          <w:tcPr>
            <w:tcW w:w="2533" w:type="pct"/>
            <w:noWrap/>
            <w:vAlign w:val="center"/>
            <w:hideMark/>
          </w:tcPr>
          <w:p w14:paraId="15584CE4" w14:textId="77777777" w:rsidR="006A7F68" w:rsidRPr="006A7F68" w:rsidRDefault="006A7F68" w:rsidP="006A7F68">
            <w:pPr>
              <w:ind w:firstLineChars="100" w:firstLine="160"/>
              <w:rPr>
                <w:rFonts w:ascii="CAIXA Std Book" w:eastAsia="Times New Roman" w:hAnsi="CAIXA Std Book" w:cs="Times New Roman"/>
                <w:color w:val="005CA9"/>
                <w:sz w:val="16"/>
                <w:szCs w:val="16"/>
              </w:rPr>
            </w:pPr>
            <w:r w:rsidRPr="006A7F68">
              <w:rPr>
                <w:rFonts w:ascii="CAIXA Std Book" w:eastAsia="Times New Roman" w:hAnsi="CAIXA Std Book" w:cs="Times New Roman"/>
                <w:color w:val="005CA9"/>
                <w:sz w:val="16"/>
                <w:szCs w:val="16"/>
              </w:rPr>
              <w:t>Operações de crédito</w:t>
            </w:r>
          </w:p>
        </w:tc>
        <w:tc>
          <w:tcPr>
            <w:tcW w:w="594" w:type="pct"/>
            <w:shd w:val="clear" w:color="000000" w:fill="FFFFFF"/>
            <w:vAlign w:val="center"/>
          </w:tcPr>
          <w:p w14:paraId="778A8251" w14:textId="29560166"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Calibri"/>
                <w:color w:val="005CA9"/>
                <w:sz w:val="16"/>
                <w:szCs w:val="16"/>
              </w:rPr>
              <w:t>1.391.815.308</w:t>
            </w:r>
          </w:p>
        </w:tc>
        <w:tc>
          <w:tcPr>
            <w:tcW w:w="551" w:type="pct"/>
            <w:shd w:val="clear" w:color="auto" w:fill="FFFFFF" w:themeFill="background1"/>
            <w:vAlign w:val="center"/>
          </w:tcPr>
          <w:p w14:paraId="17B6662C" w14:textId="160B44C0"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1.184.793.577</w:t>
            </w:r>
          </w:p>
        </w:tc>
        <w:tc>
          <w:tcPr>
            <w:tcW w:w="423" w:type="pct"/>
            <w:shd w:val="clear" w:color="auto" w:fill="FFFFFF" w:themeFill="background1"/>
            <w:noWrap/>
            <w:vAlign w:val="center"/>
          </w:tcPr>
          <w:p w14:paraId="4B7A6C7E" w14:textId="7D0C1D08" w:rsidR="006A7F68" w:rsidRPr="006A7F68" w:rsidRDefault="00A20E6B" w:rsidP="006A7F68">
            <w:pPr>
              <w:jc w:val="center"/>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w:t>
            </w:r>
          </w:p>
        </w:tc>
        <w:tc>
          <w:tcPr>
            <w:tcW w:w="476" w:type="pct"/>
            <w:shd w:val="clear" w:color="auto" w:fill="FFFFFF" w:themeFill="background1"/>
            <w:noWrap/>
            <w:vAlign w:val="center"/>
          </w:tcPr>
          <w:p w14:paraId="32A0F4B1" w14:textId="4E134BC8"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1.184.793.577</w:t>
            </w:r>
          </w:p>
        </w:tc>
        <w:tc>
          <w:tcPr>
            <w:tcW w:w="423" w:type="pct"/>
            <w:shd w:val="clear" w:color="auto" w:fill="FFFFFF" w:themeFill="background1"/>
            <w:noWrap/>
            <w:vAlign w:val="center"/>
          </w:tcPr>
          <w:p w14:paraId="63D7F8C0" w14:textId="53D53886" w:rsidR="006A7F68" w:rsidRPr="006A7F68" w:rsidRDefault="00A20E6B" w:rsidP="006A7F68">
            <w:pPr>
              <w:jc w:val="center"/>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w:t>
            </w:r>
          </w:p>
        </w:tc>
      </w:tr>
      <w:tr w:rsidR="006A7F68" w:rsidRPr="006A7F68" w14:paraId="1A2590B4" w14:textId="77777777" w:rsidTr="00FA7919">
        <w:trPr>
          <w:trHeight w:val="255"/>
        </w:trPr>
        <w:tc>
          <w:tcPr>
            <w:tcW w:w="2533" w:type="pct"/>
            <w:noWrap/>
            <w:vAlign w:val="center"/>
            <w:hideMark/>
          </w:tcPr>
          <w:p w14:paraId="068B81C3" w14:textId="77777777" w:rsidR="006A7F68" w:rsidRPr="006A7F68" w:rsidRDefault="006A7F68" w:rsidP="006A7F68">
            <w:pPr>
              <w:ind w:firstLineChars="100" w:firstLine="160"/>
              <w:rPr>
                <w:rFonts w:ascii="CAIXA Std Book" w:eastAsia="Times New Roman" w:hAnsi="CAIXA Std Book" w:cs="Times New Roman"/>
                <w:color w:val="005CA9"/>
                <w:sz w:val="16"/>
                <w:szCs w:val="16"/>
              </w:rPr>
            </w:pPr>
            <w:r w:rsidRPr="006A7F68">
              <w:rPr>
                <w:rFonts w:ascii="CAIXA Std Book" w:eastAsia="Times New Roman" w:hAnsi="CAIXA Std Book" w:cs="Times New Roman"/>
                <w:color w:val="005CA9"/>
                <w:sz w:val="16"/>
                <w:szCs w:val="16"/>
              </w:rPr>
              <w:t>Outros ativos financeiros (líquidos de provisão para perdas associadas ao risco de crédito)</w:t>
            </w:r>
          </w:p>
        </w:tc>
        <w:tc>
          <w:tcPr>
            <w:tcW w:w="594" w:type="pct"/>
            <w:shd w:val="clear" w:color="000000" w:fill="FFFFFF"/>
            <w:vAlign w:val="center"/>
          </w:tcPr>
          <w:p w14:paraId="30FDD18F" w14:textId="536109BE"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Calibri"/>
                <w:color w:val="005CA9"/>
                <w:sz w:val="16"/>
                <w:szCs w:val="16"/>
              </w:rPr>
              <w:t>44.466.</w:t>
            </w:r>
            <w:r w:rsidR="003D4923" w:rsidRPr="00BC00DB">
              <w:rPr>
                <w:rFonts w:ascii="CAIXA Std Book" w:hAnsi="CAIXA Std Book" w:cs="Calibri"/>
                <w:color w:val="005CA9"/>
                <w:sz w:val="16"/>
                <w:szCs w:val="16"/>
              </w:rPr>
              <w:t>950</w:t>
            </w:r>
          </w:p>
        </w:tc>
        <w:tc>
          <w:tcPr>
            <w:tcW w:w="551" w:type="pct"/>
            <w:shd w:val="clear" w:color="auto" w:fill="FFFFFF" w:themeFill="background1"/>
            <w:vAlign w:val="center"/>
          </w:tcPr>
          <w:p w14:paraId="145D2BE0" w14:textId="4D009D65"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43.673.833</w:t>
            </w:r>
          </w:p>
        </w:tc>
        <w:tc>
          <w:tcPr>
            <w:tcW w:w="423" w:type="pct"/>
            <w:shd w:val="clear" w:color="auto" w:fill="FFFFFF" w:themeFill="background1"/>
            <w:noWrap/>
            <w:vAlign w:val="center"/>
          </w:tcPr>
          <w:p w14:paraId="5568EA72" w14:textId="2AEF435C" w:rsidR="006A7F68" w:rsidRPr="006A7F68" w:rsidRDefault="00A20E6B" w:rsidP="006A7F68">
            <w:pPr>
              <w:jc w:val="center"/>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w:t>
            </w:r>
          </w:p>
        </w:tc>
        <w:tc>
          <w:tcPr>
            <w:tcW w:w="476" w:type="pct"/>
            <w:shd w:val="clear" w:color="auto" w:fill="FFFFFF" w:themeFill="background1"/>
            <w:noWrap/>
            <w:vAlign w:val="center"/>
          </w:tcPr>
          <w:p w14:paraId="34F6E87D" w14:textId="3E31DA8F"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43.673.833</w:t>
            </w:r>
          </w:p>
        </w:tc>
        <w:tc>
          <w:tcPr>
            <w:tcW w:w="423" w:type="pct"/>
            <w:shd w:val="clear" w:color="auto" w:fill="FFFFFF" w:themeFill="background1"/>
            <w:noWrap/>
            <w:vAlign w:val="center"/>
          </w:tcPr>
          <w:p w14:paraId="7F41CB6A" w14:textId="52D8133D" w:rsidR="006A7F68" w:rsidRPr="006A7F68" w:rsidRDefault="00A20E6B" w:rsidP="006A7F68">
            <w:pPr>
              <w:jc w:val="center"/>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w:t>
            </w:r>
          </w:p>
        </w:tc>
      </w:tr>
      <w:tr w:rsidR="006A7F68" w:rsidRPr="006A7F68" w14:paraId="0E0745CB" w14:textId="77777777" w:rsidTr="00FA7919">
        <w:trPr>
          <w:trHeight w:val="255"/>
        </w:trPr>
        <w:tc>
          <w:tcPr>
            <w:tcW w:w="2533" w:type="pct"/>
            <w:tcBorders>
              <w:bottom w:val="single" w:sz="4" w:space="0" w:color="FFFFFF" w:themeColor="background1"/>
            </w:tcBorders>
            <w:shd w:val="clear" w:color="000000" w:fill="D0E0E3"/>
            <w:noWrap/>
            <w:vAlign w:val="center"/>
            <w:hideMark/>
          </w:tcPr>
          <w:p w14:paraId="2E2D1226" w14:textId="77777777" w:rsidR="006A7F68" w:rsidRPr="006A7F68" w:rsidRDefault="006A7F68" w:rsidP="006A7F68">
            <w:pPr>
              <w:rPr>
                <w:rFonts w:ascii="CAIXA Std Book" w:eastAsia="Times New Roman" w:hAnsi="CAIXA Std Book" w:cs="Times New Roman"/>
                <w:b/>
                <w:bCs/>
                <w:color w:val="005CA9"/>
                <w:sz w:val="16"/>
                <w:szCs w:val="16"/>
              </w:rPr>
            </w:pPr>
            <w:r w:rsidRPr="006A7F68">
              <w:rPr>
                <w:rFonts w:ascii="CAIXA Std Book" w:eastAsia="Times New Roman" w:hAnsi="CAIXA Std Book" w:cs="Times New Roman"/>
                <w:b/>
                <w:bCs/>
                <w:color w:val="005CA9"/>
                <w:sz w:val="16"/>
                <w:szCs w:val="16"/>
              </w:rPr>
              <w:t>Passivo</w:t>
            </w:r>
          </w:p>
        </w:tc>
        <w:tc>
          <w:tcPr>
            <w:tcW w:w="594" w:type="pct"/>
            <w:tcBorders>
              <w:bottom w:val="single" w:sz="4" w:space="0" w:color="FFFFFF" w:themeColor="background1"/>
            </w:tcBorders>
            <w:shd w:val="clear" w:color="000000" w:fill="D0E0E3"/>
            <w:vAlign w:val="center"/>
          </w:tcPr>
          <w:p w14:paraId="121DFD98" w14:textId="6E683CFD"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Calibri"/>
                <w:b/>
                <w:color w:val="005CA9"/>
                <w:sz w:val="16"/>
                <w:szCs w:val="16"/>
              </w:rPr>
              <w:t>2.155.745.</w:t>
            </w:r>
            <w:r w:rsidR="003D4923" w:rsidRPr="00BC00DB">
              <w:rPr>
                <w:rFonts w:ascii="CAIXA Std Book" w:hAnsi="CAIXA Std Book" w:cs="Calibri"/>
                <w:b/>
                <w:color w:val="005CA9"/>
                <w:sz w:val="16"/>
                <w:szCs w:val="16"/>
              </w:rPr>
              <w:t>924</w:t>
            </w:r>
          </w:p>
        </w:tc>
        <w:tc>
          <w:tcPr>
            <w:tcW w:w="551" w:type="pct"/>
            <w:tcBorders>
              <w:bottom w:val="single" w:sz="4" w:space="0" w:color="FFFFFF" w:themeColor="background1"/>
            </w:tcBorders>
            <w:shd w:val="clear" w:color="auto" w:fill="D0E0E3"/>
            <w:vAlign w:val="center"/>
          </w:tcPr>
          <w:p w14:paraId="23967621" w14:textId="6311DC5C"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1.847.108.001</w:t>
            </w:r>
          </w:p>
        </w:tc>
        <w:tc>
          <w:tcPr>
            <w:tcW w:w="423" w:type="pct"/>
            <w:tcBorders>
              <w:bottom w:val="single" w:sz="4" w:space="0" w:color="FFFFFF" w:themeColor="background1"/>
            </w:tcBorders>
            <w:shd w:val="clear" w:color="auto" w:fill="D0E0E3"/>
            <w:vAlign w:val="center"/>
          </w:tcPr>
          <w:p w14:paraId="5E3E9585" w14:textId="06A3D548" w:rsidR="006A7F68" w:rsidRPr="006A7F68" w:rsidRDefault="00A20E6B" w:rsidP="00A20E6B">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601.899</w:t>
            </w:r>
          </w:p>
        </w:tc>
        <w:tc>
          <w:tcPr>
            <w:tcW w:w="476" w:type="pct"/>
            <w:tcBorders>
              <w:bottom w:val="single" w:sz="4" w:space="0" w:color="FFFFFF" w:themeColor="background1"/>
            </w:tcBorders>
            <w:shd w:val="clear" w:color="auto" w:fill="D0E0E3"/>
            <w:vAlign w:val="center"/>
          </w:tcPr>
          <w:p w14:paraId="21FAFEBD" w14:textId="02E2B843"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1.061.885.981</w:t>
            </w:r>
          </w:p>
        </w:tc>
        <w:tc>
          <w:tcPr>
            <w:tcW w:w="423" w:type="pct"/>
            <w:tcBorders>
              <w:bottom w:val="single" w:sz="4" w:space="0" w:color="FFFFFF" w:themeColor="background1"/>
            </w:tcBorders>
            <w:shd w:val="clear" w:color="auto" w:fill="D0E0E3"/>
            <w:vAlign w:val="center"/>
          </w:tcPr>
          <w:p w14:paraId="350B4FF5" w14:textId="4270CC6B"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784.620.121</w:t>
            </w:r>
          </w:p>
        </w:tc>
      </w:tr>
      <w:tr w:rsidR="006A7F68" w:rsidRPr="006A7F68" w14:paraId="620FF633" w14:textId="77777777" w:rsidTr="00FA7919">
        <w:trPr>
          <w:trHeight w:val="255"/>
        </w:trPr>
        <w:tc>
          <w:tcPr>
            <w:tcW w:w="2533" w:type="pct"/>
            <w:tcBorders>
              <w:top w:val="single" w:sz="4" w:space="0" w:color="FFFFFF" w:themeColor="background1"/>
            </w:tcBorders>
            <w:shd w:val="clear" w:color="000000" w:fill="D0E0E3"/>
            <w:noWrap/>
            <w:vAlign w:val="center"/>
            <w:hideMark/>
          </w:tcPr>
          <w:p w14:paraId="480D43C7" w14:textId="77777777" w:rsidR="006A7F68" w:rsidRPr="006A7F68" w:rsidRDefault="006A7F68" w:rsidP="006A7F68">
            <w:pPr>
              <w:rPr>
                <w:rFonts w:ascii="CAIXA Std Book" w:eastAsia="Times New Roman" w:hAnsi="CAIXA Std Book" w:cs="Times New Roman"/>
                <w:b/>
                <w:bCs/>
                <w:color w:val="005CA9"/>
                <w:sz w:val="16"/>
                <w:szCs w:val="16"/>
              </w:rPr>
            </w:pPr>
            <w:r w:rsidRPr="006A7F68">
              <w:rPr>
                <w:rFonts w:ascii="CAIXA Std Book" w:eastAsia="Times New Roman" w:hAnsi="CAIXA Std Book" w:cs="Times New Roman"/>
                <w:b/>
                <w:bCs/>
                <w:color w:val="005CA9"/>
                <w:sz w:val="16"/>
                <w:szCs w:val="16"/>
              </w:rPr>
              <w:t>Passivos financeiros ao valor justo por meio do resultado</w:t>
            </w:r>
          </w:p>
        </w:tc>
        <w:tc>
          <w:tcPr>
            <w:tcW w:w="594" w:type="pct"/>
            <w:tcBorders>
              <w:top w:val="single" w:sz="4" w:space="0" w:color="FFFFFF" w:themeColor="background1"/>
            </w:tcBorders>
            <w:shd w:val="clear" w:color="000000" w:fill="D0E0E3"/>
            <w:vAlign w:val="center"/>
          </w:tcPr>
          <w:p w14:paraId="3FEE0AA0" w14:textId="6FE8B0E3"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Calibri"/>
                <w:b/>
                <w:color w:val="005CA9"/>
                <w:sz w:val="16"/>
                <w:szCs w:val="16"/>
              </w:rPr>
              <w:t>1.352.532</w:t>
            </w:r>
          </w:p>
        </w:tc>
        <w:tc>
          <w:tcPr>
            <w:tcW w:w="551" w:type="pct"/>
            <w:tcBorders>
              <w:top w:val="single" w:sz="4" w:space="0" w:color="FFFFFF" w:themeColor="background1"/>
            </w:tcBorders>
            <w:shd w:val="clear" w:color="auto" w:fill="D0E0E3"/>
            <w:vAlign w:val="center"/>
          </w:tcPr>
          <w:p w14:paraId="2A1A7418" w14:textId="26BDF0FD"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1.463.923</w:t>
            </w:r>
          </w:p>
        </w:tc>
        <w:tc>
          <w:tcPr>
            <w:tcW w:w="423" w:type="pct"/>
            <w:tcBorders>
              <w:top w:val="single" w:sz="4" w:space="0" w:color="FFFFFF" w:themeColor="background1"/>
            </w:tcBorders>
            <w:shd w:val="clear" w:color="auto" w:fill="D0E0E3"/>
            <w:vAlign w:val="center"/>
          </w:tcPr>
          <w:p w14:paraId="53E479A2" w14:textId="3A6AE398" w:rsidR="006A7F68" w:rsidRPr="006A7F68" w:rsidRDefault="00A20E6B" w:rsidP="00A20E6B">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601.899</w:t>
            </w:r>
          </w:p>
        </w:tc>
        <w:tc>
          <w:tcPr>
            <w:tcW w:w="476" w:type="pct"/>
            <w:tcBorders>
              <w:top w:val="single" w:sz="4" w:space="0" w:color="FFFFFF" w:themeColor="background1"/>
            </w:tcBorders>
            <w:shd w:val="clear" w:color="auto" w:fill="D0E0E3"/>
            <w:vAlign w:val="center"/>
          </w:tcPr>
          <w:p w14:paraId="7F1B2F8A" w14:textId="670D763D"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862.024</w:t>
            </w:r>
          </w:p>
        </w:tc>
        <w:tc>
          <w:tcPr>
            <w:tcW w:w="423" w:type="pct"/>
            <w:tcBorders>
              <w:top w:val="single" w:sz="4" w:space="0" w:color="FFFFFF" w:themeColor="background1"/>
            </w:tcBorders>
            <w:shd w:val="clear" w:color="auto" w:fill="D0E0E3"/>
            <w:vAlign w:val="center"/>
          </w:tcPr>
          <w:p w14:paraId="50FBAC5B" w14:textId="1B2E2980" w:rsidR="006A7F68" w:rsidRPr="006A7F68" w:rsidRDefault="00A20E6B" w:rsidP="006A7F68">
            <w:pPr>
              <w:jc w:val="center"/>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w:t>
            </w:r>
          </w:p>
        </w:tc>
      </w:tr>
      <w:tr w:rsidR="006A7F68" w:rsidRPr="006A7F68" w14:paraId="0DDA410B" w14:textId="77777777" w:rsidTr="00E57916">
        <w:trPr>
          <w:trHeight w:val="255"/>
        </w:trPr>
        <w:tc>
          <w:tcPr>
            <w:tcW w:w="2533" w:type="pct"/>
            <w:noWrap/>
            <w:vAlign w:val="center"/>
            <w:hideMark/>
          </w:tcPr>
          <w:p w14:paraId="1964E5E3" w14:textId="77777777" w:rsidR="006A7F68" w:rsidRPr="006A7F68" w:rsidRDefault="006A7F68" w:rsidP="006A7F68">
            <w:pPr>
              <w:ind w:firstLineChars="100" w:firstLine="160"/>
              <w:rPr>
                <w:rFonts w:ascii="CAIXA Std Book" w:eastAsia="Times New Roman" w:hAnsi="CAIXA Std Book" w:cs="Times New Roman"/>
                <w:color w:val="005CA9"/>
                <w:sz w:val="16"/>
                <w:szCs w:val="16"/>
              </w:rPr>
            </w:pPr>
            <w:r w:rsidRPr="006A7F68">
              <w:rPr>
                <w:rFonts w:ascii="CAIXA Std Book" w:eastAsia="Times New Roman" w:hAnsi="CAIXA Std Book" w:cs="Times New Roman"/>
                <w:color w:val="005CA9"/>
                <w:sz w:val="16"/>
                <w:szCs w:val="16"/>
              </w:rPr>
              <w:t>Instrumentos financeiros derivativos</w:t>
            </w:r>
          </w:p>
        </w:tc>
        <w:tc>
          <w:tcPr>
            <w:tcW w:w="594" w:type="pct"/>
            <w:shd w:val="clear" w:color="000000" w:fill="FFFFFF"/>
            <w:vAlign w:val="center"/>
          </w:tcPr>
          <w:p w14:paraId="4ED3E365" w14:textId="6CE27C63" w:rsidR="006A7F68" w:rsidRPr="006A7F68" w:rsidRDefault="00A20E6B" w:rsidP="006A7F68">
            <w:pPr>
              <w:jc w:val="right"/>
              <w:rPr>
                <w:rFonts w:ascii="CAIXA Std Book" w:eastAsia="Times New Roman" w:hAnsi="CAIXA Std Book" w:cs="Times New Roman"/>
                <w:color w:val="005CA9"/>
                <w:sz w:val="16"/>
                <w:szCs w:val="16"/>
              </w:rPr>
            </w:pPr>
            <w:r w:rsidRPr="00FA1366">
              <w:rPr>
                <w:rFonts w:ascii="CAIXA Std Book" w:hAnsi="CAIXA Std Book" w:cs="Calibri"/>
                <w:color w:val="005CA9"/>
                <w:sz w:val="16"/>
                <w:szCs w:val="16"/>
              </w:rPr>
              <w:t>1.352.532</w:t>
            </w:r>
          </w:p>
        </w:tc>
        <w:tc>
          <w:tcPr>
            <w:tcW w:w="551" w:type="pct"/>
            <w:shd w:val="clear" w:color="auto" w:fill="FFFFFF" w:themeFill="background1"/>
            <w:vAlign w:val="center"/>
          </w:tcPr>
          <w:p w14:paraId="31C780CB" w14:textId="27C16669" w:rsidR="006A7F68" w:rsidRPr="006A7F68" w:rsidRDefault="00A20E6B" w:rsidP="006A7F68">
            <w:pPr>
              <w:jc w:val="right"/>
              <w:rPr>
                <w:rFonts w:ascii="CAIXA Std Book" w:eastAsia="Times New Roman" w:hAnsi="CAIXA Std Book" w:cs="Times New Roman"/>
                <w:color w:val="005CA9"/>
                <w:sz w:val="16"/>
                <w:szCs w:val="16"/>
              </w:rPr>
            </w:pPr>
            <w:r w:rsidRPr="00FA1366">
              <w:rPr>
                <w:rFonts w:ascii="CAIXA Std Book" w:hAnsi="CAIXA Std Book" w:cs="Arial"/>
                <w:color w:val="005CA9"/>
                <w:sz w:val="16"/>
                <w:szCs w:val="16"/>
              </w:rPr>
              <w:t>1.463.923</w:t>
            </w:r>
          </w:p>
        </w:tc>
        <w:tc>
          <w:tcPr>
            <w:tcW w:w="423" w:type="pct"/>
            <w:shd w:val="clear" w:color="auto" w:fill="FFFFFF" w:themeFill="background1"/>
            <w:noWrap/>
            <w:vAlign w:val="center"/>
          </w:tcPr>
          <w:p w14:paraId="4DA4C330" w14:textId="4AB49969" w:rsidR="006A7F68" w:rsidRPr="006A7F68" w:rsidRDefault="00A20E6B" w:rsidP="00A20E6B">
            <w:pPr>
              <w:jc w:val="right"/>
              <w:rPr>
                <w:rFonts w:ascii="CAIXA Std Book" w:eastAsia="Times New Roman" w:hAnsi="CAIXA Std Book" w:cs="Times New Roman"/>
                <w:color w:val="005CA9"/>
                <w:sz w:val="16"/>
                <w:szCs w:val="16"/>
              </w:rPr>
            </w:pPr>
            <w:r w:rsidRPr="00FA1366">
              <w:rPr>
                <w:rFonts w:ascii="CAIXA Std Book" w:hAnsi="CAIXA Std Book" w:cs="Arial"/>
                <w:color w:val="005CA9"/>
                <w:sz w:val="16"/>
                <w:szCs w:val="16"/>
              </w:rPr>
              <w:t>601.899</w:t>
            </w:r>
          </w:p>
        </w:tc>
        <w:tc>
          <w:tcPr>
            <w:tcW w:w="476" w:type="pct"/>
            <w:shd w:val="clear" w:color="auto" w:fill="FFFFFF" w:themeFill="background1"/>
            <w:noWrap/>
            <w:vAlign w:val="center"/>
          </w:tcPr>
          <w:p w14:paraId="44E0E14D" w14:textId="56235AD7" w:rsidR="006A7F68" w:rsidRPr="006A7F68" w:rsidRDefault="00A20E6B" w:rsidP="006A7F68">
            <w:pPr>
              <w:jc w:val="right"/>
              <w:rPr>
                <w:rFonts w:ascii="CAIXA Std Book" w:eastAsia="Times New Roman" w:hAnsi="CAIXA Std Book" w:cs="Times New Roman"/>
                <w:color w:val="005CA9"/>
                <w:sz w:val="16"/>
                <w:szCs w:val="16"/>
              </w:rPr>
            </w:pPr>
            <w:r w:rsidRPr="00FA1366">
              <w:rPr>
                <w:rFonts w:ascii="CAIXA Std Book" w:hAnsi="CAIXA Std Book" w:cs="Arial"/>
                <w:color w:val="005CA9"/>
                <w:sz w:val="16"/>
                <w:szCs w:val="16"/>
              </w:rPr>
              <w:t>862.024</w:t>
            </w:r>
          </w:p>
        </w:tc>
        <w:tc>
          <w:tcPr>
            <w:tcW w:w="423" w:type="pct"/>
            <w:shd w:val="clear" w:color="auto" w:fill="FFFFFF" w:themeFill="background1"/>
            <w:noWrap/>
            <w:vAlign w:val="center"/>
          </w:tcPr>
          <w:p w14:paraId="02303126" w14:textId="0C442CD9" w:rsidR="006A7F68" w:rsidRPr="006A7F68" w:rsidRDefault="00A20E6B" w:rsidP="006A7F68">
            <w:pPr>
              <w:jc w:val="center"/>
              <w:rPr>
                <w:rFonts w:ascii="CAIXA Std Book" w:eastAsia="Times New Roman" w:hAnsi="CAIXA Std Book" w:cs="Times New Roman"/>
                <w:color w:val="005CA9"/>
                <w:sz w:val="16"/>
                <w:szCs w:val="16"/>
              </w:rPr>
            </w:pPr>
            <w:r w:rsidRPr="00BC00DB">
              <w:rPr>
                <w:rFonts w:ascii="CAIXA Std Book" w:hAnsi="CAIXA Std Book" w:cs="Arial"/>
                <w:b/>
                <w:color w:val="005CA9"/>
                <w:sz w:val="16"/>
                <w:szCs w:val="16"/>
              </w:rPr>
              <w:t>-</w:t>
            </w:r>
          </w:p>
        </w:tc>
      </w:tr>
      <w:tr w:rsidR="006A7F68" w:rsidRPr="006A7F68" w14:paraId="02533D56" w14:textId="77777777" w:rsidTr="00E57916">
        <w:trPr>
          <w:trHeight w:val="255"/>
        </w:trPr>
        <w:tc>
          <w:tcPr>
            <w:tcW w:w="2533" w:type="pct"/>
            <w:shd w:val="clear" w:color="000000" w:fill="D0E0E3"/>
            <w:noWrap/>
            <w:vAlign w:val="center"/>
            <w:hideMark/>
          </w:tcPr>
          <w:p w14:paraId="08FE0C5B" w14:textId="77777777" w:rsidR="006A7F68" w:rsidRPr="006A7F68" w:rsidRDefault="006A7F68" w:rsidP="006A7F68">
            <w:pPr>
              <w:rPr>
                <w:rFonts w:ascii="CAIXA Std Book" w:eastAsia="Times New Roman" w:hAnsi="CAIXA Std Book" w:cs="Times New Roman"/>
                <w:b/>
                <w:bCs/>
                <w:color w:val="005CA9"/>
                <w:sz w:val="16"/>
                <w:szCs w:val="16"/>
              </w:rPr>
            </w:pPr>
            <w:r w:rsidRPr="006A7F68">
              <w:rPr>
                <w:rFonts w:ascii="CAIXA Std Book" w:eastAsia="Times New Roman" w:hAnsi="CAIXA Std Book" w:cs="Times New Roman"/>
                <w:b/>
                <w:bCs/>
                <w:color w:val="005CA9"/>
                <w:sz w:val="16"/>
                <w:szCs w:val="16"/>
              </w:rPr>
              <w:t>Passivos financeiros ao custo amortizado</w:t>
            </w:r>
          </w:p>
        </w:tc>
        <w:tc>
          <w:tcPr>
            <w:tcW w:w="594" w:type="pct"/>
            <w:shd w:val="clear" w:color="000000" w:fill="D0E0E3"/>
            <w:vAlign w:val="center"/>
          </w:tcPr>
          <w:p w14:paraId="152CC2DF" w14:textId="4A42A0C0"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Calibri"/>
                <w:b/>
                <w:color w:val="005CA9"/>
                <w:sz w:val="16"/>
                <w:szCs w:val="16"/>
              </w:rPr>
              <w:t>2.154.393.</w:t>
            </w:r>
            <w:r w:rsidR="003D4923" w:rsidRPr="00BC00DB">
              <w:rPr>
                <w:rFonts w:ascii="CAIXA Std Book" w:hAnsi="CAIXA Std Book" w:cs="Calibri"/>
                <w:b/>
                <w:color w:val="005CA9"/>
                <w:sz w:val="16"/>
                <w:szCs w:val="16"/>
              </w:rPr>
              <w:t>392</w:t>
            </w:r>
          </w:p>
        </w:tc>
        <w:tc>
          <w:tcPr>
            <w:tcW w:w="551" w:type="pct"/>
            <w:shd w:val="clear" w:color="auto" w:fill="D0E0E3"/>
            <w:vAlign w:val="center"/>
          </w:tcPr>
          <w:p w14:paraId="713CA73F" w14:textId="17868E4F"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1.845.644.078</w:t>
            </w:r>
          </w:p>
        </w:tc>
        <w:tc>
          <w:tcPr>
            <w:tcW w:w="423" w:type="pct"/>
            <w:shd w:val="clear" w:color="auto" w:fill="D0E0E3"/>
            <w:vAlign w:val="center"/>
          </w:tcPr>
          <w:p w14:paraId="3EE90B9B" w14:textId="5A7EFE4D" w:rsidR="006A7F68" w:rsidRPr="006A7F68" w:rsidRDefault="00A20E6B" w:rsidP="006A7F68">
            <w:pPr>
              <w:jc w:val="center"/>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w:t>
            </w:r>
          </w:p>
        </w:tc>
        <w:tc>
          <w:tcPr>
            <w:tcW w:w="476" w:type="pct"/>
            <w:shd w:val="clear" w:color="auto" w:fill="D0E0E3"/>
            <w:vAlign w:val="center"/>
          </w:tcPr>
          <w:p w14:paraId="0D6F0C8F" w14:textId="6484F042"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1.061.023.957</w:t>
            </w:r>
          </w:p>
        </w:tc>
        <w:tc>
          <w:tcPr>
            <w:tcW w:w="423" w:type="pct"/>
            <w:shd w:val="clear" w:color="auto" w:fill="D0E0E3"/>
            <w:vAlign w:val="center"/>
          </w:tcPr>
          <w:p w14:paraId="784175DB" w14:textId="746098D8" w:rsidR="006A7F68" w:rsidRPr="006A7F68" w:rsidRDefault="00A20E6B" w:rsidP="006A7F68">
            <w:pPr>
              <w:jc w:val="right"/>
              <w:rPr>
                <w:rFonts w:ascii="CAIXA Std Book" w:eastAsia="Times New Roman" w:hAnsi="CAIXA Std Book" w:cs="Times New Roman"/>
                <w:b/>
                <w:bCs/>
                <w:color w:val="005CA9"/>
                <w:sz w:val="16"/>
                <w:szCs w:val="16"/>
              </w:rPr>
            </w:pPr>
            <w:r w:rsidRPr="00BC00DB">
              <w:rPr>
                <w:rFonts w:ascii="CAIXA Std Book" w:hAnsi="CAIXA Std Book" w:cs="Arial"/>
                <w:b/>
                <w:color w:val="005CA9"/>
                <w:sz w:val="16"/>
                <w:szCs w:val="16"/>
              </w:rPr>
              <w:t>784.620.121</w:t>
            </w:r>
          </w:p>
        </w:tc>
      </w:tr>
      <w:tr w:rsidR="006A7F68" w:rsidRPr="006A7F68" w14:paraId="7043FAD4" w14:textId="77777777" w:rsidTr="00E57916">
        <w:trPr>
          <w:trHeight w:val="255"/>
        </w:trPr>
        <w:tc>
          <w:tcPr>
            <w:tcW w:w="2533" w:type="pct"/>
            <w:noWrap/>
            <w:vAlign w:val="center"/>
            <w:hideMark/>
          </w:tcPr>
          <w:p w14:paraId="4E64B993" w14:textId="77777777" w:rsidR="006A7F68" w:rsidRPr="006A7F68" w:rsidRDefault="006A7F68" w:rsidP="006A7F68">
            <w:pPr>
              <w:ind w:firstLineChars="100" w:firstLine="160"/>
              <w:rPr>
                <w:rFonts w:ascii="CAIXA Std Book" w:eastAsia="Times New Roman" w:hAnsi="CAIXA Std Book" w:cs="Times New Roman"/>
                <w:color w:val="005CA9"/>
                <w:sz w:val="16"/>
                <w:szCs w:val="16"/>
              </w:rPr>
            </w:pPr>
            <w:r w:rsidRPr="006A7F68">
              <w:rPr>
                <w:rFonts w:ascii="CAIXA Std Book" w:eastAsia="Times New Roman" w:hAnsi="CAIXA Std Book" w:cs="Times New Roman"/>
                <w:color w:val="005CA9"/>
                <w:sz w:val="16"/>
                <w:szCs w:val="16"/>
              </w:rPr>
              <w:t>Recursos de clientes</w:t>
            </w:r>
          </w:p>
        </w:tc>
        <w:tc>
          <w:tcPr>
            <w:tcW w:w="594" w:type="pct"/>
            <w:shd w:val="clear" w:color="000000" w:fill="FFFFFF"/>
            <w:vAlign w:val="center"/>
          </w:tcPr>
          <w:p w14:paraId="09301220" w14:textId="03718ADF"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Calibri"/>
                <w:color w:val="005CA9"/>
                <w:sz w:val="16"/>
                <w:szCs w:val="16"/>
              </w:rPr>
              <w:t>855.064.</w:t>
            </w:r>
            <w:r w:rsidR="003D4923" w:rsidRPr="00BC00DB">
              <w:rPr>
                <w:rFonts w:ascii="CAIXA Std Book" w:hAnsi="CAIXA Std Book" w:cs="Calibri"/>
                <w:color w:val="005CA9"/>
                <w:sz w:val="16"/>
                <w:szCs w:val="16"/>
              </w:rPr>
              <w:t>999</w:t>
            </w:r>
          </w:p>
        </w:tc>
        <w:tc>
          <w:tcPr>
            <w:tcW w:w="551" w:type="pct"/>
            <w:shd w:val="clear" w:color="auto" w:fill="FFFFFF" w:themeFill="background1"/>
            <w:vAlign w:val="center"/>
          </w:tcPr>
          <w:p w14:paraId="14341850" w14:textId="4DFB038F"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784.620.121</w:t>
            </w:r>
          </w:p>
        </w:tc>
        <w:tc>
          <w:tcPr>
            <w:tcW w:w="423" w:type="pct"/>
            <w:shd w:val="clear" w:color="auto" w:fill="FFFFFF" w:themeFill="background1"/>
            <w:noWrap/>
            <w:vAlign w:val="center"/>
          </w:tcPr>
          <w:p w14:paraId="2D9581DE" w14:textId="5904740F" w:rsidR="006A7F68" w:rsidRPr="006A7F68" w:rsidRDefault="00A20E6B" w:rsidP="006A7F68">
            <w:pPr>
              <w:jc w:val="center"/>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w:t>
            </w:r>
          </w:p>
        </w:tc>
        <w:tc>
          <w:tcPr>
            <w:tcW w:w="476" w:type="pct"/>
            <w:shd w:val="clear" w:color="auto" w:fill="FFFFFF" w:themeFill="background1"/>
            <w:noWrap/>
            <w:vAlign w:val="center"/>
          </w:tcPr>
          <w:p w14:paraId="5BA3DC17" w14:textId="670E35D2" w:rsidR="006A7F68" w:rsidRPr="006A7F68" w:rsidRDefault="00A20E6B" w:rsidP="006A7F68">
            <w:pPr>
              <w:jc w:val="center"/>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w:t>
            </w:r>
          </w:p>
        </w:tc>
        <w:tc>
          <w:tcPr>
            <w:tcW w:w="423" w:type="pct"/>
            <w:shd w:val="clear" w:color="auto" w:fill="FFFFFF" w:themeFill="background1"/>
            <w:noWrap/>
            <w:vAlign w:val="center"/>
          </w:tcPr>
          <w:p w14:paraId="383F5245" w14:textId="03B0E75C"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784.620.121</w:t>
            </w:r>
          </w:p>
        </w:tc>
      </w:tr>
      <w:tr w:rsidR="006A7F68" w:rsidRPr="006A7F68" w14:paraId="2D3517FE" w14:textId="77777777" w:rsidTr="00E57916">
        <w:trPr>
          <w:trHeight w:val="255"/>
        </w:trPr>
        <w:tc>
          <w:tcPr>
            <w:tcW w:w="2533" w:type="pct"/>
            <w:noWrap/>
            <w:vAlign w:val="center"/>
            <w:hideMark/>
          </w:tcPr>
          <w:p w14:paraId="7AFA8814" w14:textId="77777777" w:rsidR="006A7F68" w:rsidRPr="006A7F68" w:rsidRDefault="006A7F68" w:rsidP="006A7F68">
            <w:pPr>
              <w:ind w:firstLineChars="100" w:firstLine="160"/>
              <w:rPr>
                <w:rFonts w:ascii="CAIXA Std Book" w:eastAsia="Times New Roman" w:hAnsi="CAIXA Std Book" w:cs="Times New Roman"/>
                <w:color w:val="005CA9"/>
                <w:sz w:val="16"/>
                <w:szCs w:val="16"/>
              </w:rPr>
            </w:pPr>
            <w:r w:rsidRPr="006A7F68">
              <w:rPr>
                <w:rFonts w:ascii="CAIXA Std Book" w:eastAsia="Times New Roman" w:hAnsi="CAIXA Std Book" w:cs="Times New Roman"/>
                <w:color w:val="005CA9"/>
                <w:sz w:val="16"/>
                <w:szCs w:val="16"/>
              </w:rPr>
              <w:t>Recursos de instituições financeiras e outras</w:t>
            </w:r>
          </w:p>
        </w:tc>
        <w:tc>
          <w:tcPr>
            <w:tcW w:w="594" w:type="pct"/>
            <w:shd w:val="clear" w:color="000000" w:fill="FFFFFF"/>
            <w:vAlign w:val="center"/>
          </w:tcPr>
          <w:p w14:paraId="78436B36" w14:textId="4EB81FF7"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Calibri"/>
                <w:color w:val="005CA9"/>
                <w:sz w:val="16"/>
                <w:szCs w:val="16"/>
              </w:rPr>
              <w:t>880.591.615</w:t>
            </w:r>
          </w:p>
        </w:tc>
        <w:tc>
          <w:tcPr>
            <w:tcW w:w="551" w:type="pct"/>
            <w:shd w:val="clear" w:color="auto" w:fill="FFFFFF" w:themeFill="background1"/>
            <w:vAlign w:val="center"/>
          </w:tcPr>
          <w:p w14:paraId="4D74F1E0" w14:textId="1EA2C004"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648.949.224</w:t>
            </w:r>
          </w:p>
        </w:tc>
        <w:tc>
          <w:tcPr>
            <w:tcW w:w="423" w:type="pct"/>
            <w:shd w:val="clear" w:color="auto" w:fill="FFFFFF" w:themeFill="background1"/>
            <w:noWrap/>
            <w:vAlign w:val="center"/>
          </w:tcPr>
          <w:p w14:paraId="1A6FF093" w14:textId="60CCB5FD" w:rsidR="006A7F68" w:rsidRPr="006A7F68" w:rsidRDefault="00A20E6B" w:rsidP="006A7F68">
            <w:pPr>
              <w:jc w:val="center"/>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w:t>
            </w:r>
          </w:p>
        </w:tc>
        <w:tc>
          <w:tcPr>
            <w:tcW w:w="476" w:type="pct"/>
            <w:shd w:val="clear" w:color="auto" w:fill="FFFFFF" w:themeFill="background1"/>
            <w:noWrap/>
            <w:vAlign w:val="center"/>
          </w:tcPr>
          <w:p w14:paraId="536CF4D8" w14:textId="368521C8"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648.949.224</w:t>
            </w:r>
          </w:p>
        </w:tc>
        <w:tc>
          <w:tcPr>
            <w:tcW w:w="423" w:type="pct"/>
            <w:shd w:val="clear" w:color="auto" w:fill="FFFFFF" w:themeFill="background1"/>
            <w:noWrap/>
            <w:vAlign w:val="center"/>
          </w:tcPr>
          <w:p w14:paraId="15F9DA36" w14:textId="0848B4A5" w:rsidR="006A7F68" w:rsidRPr="006A7F68" w:rsidRDefault="00A20E6B" w:rsidP="006A7F68">
            <w:pPr>
              <w:jc w:val="center"/>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w:t>
            </w:r>
          </w:p>
        </w:tc>
      </w:tr>
      <w:tr w:rsidR="006A7F68" w:rsidRPr="006A7F68" w14:paraId="6CEBAB8C" w14:textId="77777777" w:rsidTr="00E57916">
        <w:trPr>
          <w:trHeight w:val="255"/>
        </w:trPr>
        <w:tc>
          <w:tcPr>
            <w:tcW w:w="2533" w:type="pct"/>
            <w:noWrap/>
            <w:vAlign w:val="center"/>
            <w:hideMark/>
          </w:tcPr>
          <w:p w14:paraId="68E644F6" w14:textId="77777777" w:rsidR="006A7F68" w:rsidRPr="006A7F68" w:rsidRDefault="006A7F68" w:rsidP="006A7F68">
            <w:pPr>
              <w:ind w:firstLineChars="100" w:firstLine="160"/>
              <w:rPr>
                <w:rFonts w:ascii="CAIXA Std Book" w:eastAsia="Times New Roman" w:hAnsi="CAIXA Std Book" w:cs="Times New Roman"/>
                <w:color w:val="005CA9"/>
                <w:sz w:val="16"/>
                <w:szCs w:val="16"/>
              </w:rPr>
            </w:pPr>
            <w:r w:rsidRPr="006A7F68">
              <w:rPr>
                <w:rFonts w:ascii="CAIXA Std Book" w:eastAsia="Times New Roman" w:hAnsi="CAIXA Std Book" w:cs="Times New Roman"/>
                <w:color w:val="005CA9"/>
                <w:sz w:val="16"/>
                <w:szCs w:val="16"/>
              </w:rPr>
              <w:t>Recursos de emissões de títulos e valores mobiliários</w:t>
            </w:r>
          </w:p>
        </w:tc>
        <w:tc>
          <w:tcPr>
            <w:tcW w:w="594" w:type="pct"/>
            <w:shd w:val="clear" w:color="000000" w:fill="FFFFFF"/>
            <w:vAlign w:val="center"/>
          </w:tcPr>
          <w:p w14:paraId="64F07B77" w14:textId="3F9E6870"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Calibri"/>
                <w:color w:val="005CA9"/>
                <w:sz w:val="16"/>
                <w:szCs w:val="16"/>
              </w:rPr>
              <w:t>383.476.961</w:t>
            </w:r>
          </w:p>
        </w:tc>
        <w:tc>
          <w:tcPr>
            <w:tcW w:w="551" w:type="pct"/>
            <w:shd w:val="clear" w:color="auto" w:fill="FFFFFF" w:themeFill="background1"/>
            <w:vAlign w:val="center"/>
          </w:tcPr>
          <w:p w14:paraId="78BD65DC" w14:textId="4FAFD265"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376.814.916</w:t>
            </w:r>
          </w:p>
        </w:tc>
        <w:tc>
          <w:tcPr>
            <w:tcW w:w="423" w:type="pct"/>
            <w:shd w:val="clear" w:color="auto" w:fill="FFFFFF" w:themeFill="background1"/>
            <w:noWrap/>
            <w:vAlign w:val="center"/>
          </w:tcPr>
          <w:p w14:paraId="14F99CC4" w14:textId="2BC63EAE" w:rsidR="006A7F68" w:rsidRPr="006A7F68" w:rsidRDefault="00A20E6B" w:rsidP="006A7F68">
            <w:pPr>
              <w:jc w:val="center"/>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w:t>
            </w:r>
          </w:p>
        </w:tc>
        <w:tc>
          <w:tcPr>
            <w:tcW w:w="476" w:type="pct"/>
            <w:shd w:val="clear" w:color="auto" w:fill="FFFFFF" w:themeFill="background1"/>
            <w:noWrap/>
            <w:vAlign w:val="center"/>
          </w:tcPr>
          <w:p w14:paraId="46FFB7C9" w14:textId="386F3231"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376.814.916</w:t>
            </w:r>
          </w:p>
        </w:tc>
        <w:tc>
          <w:tcPr>
            <w:tcW w:w="423" w:type="pct"/>
            <w:shd w:val="clear" w:color="auto" w:fill="FFFFFF" w:themeFill="background1"/>
            <w:noWrap/>
            <w:vAlign w:val="center"/>
          </w:tcPr>
          <w:p w14:paraId="5B3A76C8" w14:textId="273B65C4" w:rsidR="006A7F68" w:rsidRPr="006A7F68" w:rsidRDefault="00A20E6B" w:rsidP="006A7F68">
            <w:pPr>
              <w:jc w:val="center"/>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w:t>
            </w:r>
          </w:p>
        </w:tc>
      </w:tr>
      <w:tr w:rsidR="006A7F68" w:rsidRPr="006A7F68" w14:paraId="413243E6" w14:textId="77777777" w:rsidTr="00E57916">
        <w:trPr>
          <w:trHeight w:val="255"/>
        </w:trPr>
        <w:tc>
          <w:tcPr>
            <w:tcW w:w="2533" w:type="pct"/>
            <w:tcBorders>
              <w:bottom w:val="single" w:sz="4" w:space="0" w:color="005CA9"/>
            </w:tcBorders>
            <w:noWrap/>
            <w:vAlign w:val="center"/>
            <w:hideMark/>
          </w:tcPr>
          <w:p w14:paraId="28211259" w14:textId="77777777" w:rsidR="006A7F68" w:rsidRPr="006A7F68" w:rsidRDefault="006A7F68" w:rsidP="006A7F68">
            <w:pPr>
              <w:ind w:firstLineChars="100" w:firstLine="160"/>
              <w:rPr>
                <w:rFonts w:ascii="CAIXA Std Book" w:eastAsia="Times New Roman" w:hAnsi="CAIXA Std Book" w:cs="Times New Roman"/>
                <w:color w:val="005CA9"/>
                <w:sz w:val="16"/>
                <w:szCs w:val="16"/>
              </w:rPr>
            </w:pPr>
            <w:r w:rsidRPr="006A7F68">
              <w:rPr>
                <w:rFonts w:ascii="CAIXA Std Book" w:eastAsia="Times New Roman" w:hAnsi="CAIXA Std Book" w:cs="Times New Roman"/>
                <w:color w:val="005CA9"/>
                <w:sz w:val="16"/>
                <w:szCs w:val="16"/>
              </w:rPr>
              <w:t>Outros passivos financeiros</w:t>
            </w:r>
          </w:p>
        </w:tc>
        <w:tc>
          <w:tcPr>
            <w:tcW w:w="594" w:type="pct"/>
            <w:tcBorders>
              <w:bottom w:val="single" w:sz="4" w:space="0" w:color="005CA9"/>
            </w:tcBorders>
            <w:shd w:val="clear" w:color="000000" w:fill="FFFFFF"/>
            <w:vAlign w:val="center"/>
          </w:tcPr>
          <w:p w14:paraId="17C996CF" w14:textId="594C4C63"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Calibri"/>
                <w:color w:val="005CA9"/>
                <w:sz w:val="16"/>
                <w:szCs w:val="16"/>
              </w:rPr>
              <w:t>35.259.817</w:t>
            </w:r>
          </w:p>
        </w:tc>
        <w:tc>
          <w:tcPr>
            <w:tcW w:w="551" w:type="pct"/>
            <w:tcBorders>
              <w:bottom w:val="single" w:sz="4" w:space="0" w:color="005CA9"/>
            </w:tcBorders>
            <w:shd w:val="clear" w:color="auto" w:fill="FFFFFF" w:themeFill="background1"/>
            <w:vAlign w:val="center"/>
          </w:tcPr>
          <w:p w14:paraId="2BAB38B3" w14:textId="2733815B"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35.259.817</w:t>
            </w:r>
          </w:p>
        </w:tc>
        <w:tc>
          <w:tcPr>
            <w:tcW w:w="423" w:type="pct"/>
            <w:tcBorders>
              <w:bottom w:val="single" w:sz="4" w:space="0" w:color="005CA9"/>
            </w:tcBorders>
            <w:shd w:val="clear" w:color="auto" w:fill="FFFFFF" w:themeFill="background1"/>
            <w:noWrap/>
            <w:vAlign w:val="center"/>
          </w:tcPr>
          <w:p w14:paraId="62AAF907" w14:textId="6CE3F53E" w:rsidR="006A7F68" w:rsidRPr="006A7F68" w:rsidRDefault="00A20E6B" w:rsidP="006A7F68">
            <w:pPr>
              <w:jc w:val="center"/>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w:t>
            </w:r>
          </w:p>
        </w:tc>
        <w:tc>
          <w:tcPr>
            <w:tcW w:w="476" w:type="pct"/>
            <w:tcBorders>
              <w:bottom w:val="single" w:sz="4" w:space="0" w:color="005CA9"/>
            </w:tcBorders>
            <w:shd w:val="clear" w:color="auto" w:fill="FFFFFF" w:themeFill="background1"/>
            <w:vAlign w:val="center"/>
          </w:tcPr>
          <w:p w14:paraId="54205EC1" w14:textId="57BAE913" w:rsidR="006A7F68" w:rsidRPr="006A7F68" w:rsidRDefault="00A20E6B" w:rsidP="006A7F68">
            <w:pPr>
              <w:jc w:val="right"/>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35.259.817</w:t>
            </w:r>
          </w:p>
        </w:tc>
        <w:tc>
          <w:tcPr>
            <w:tcW w:w="423" w:type="pct"/>
            <w:tcBorders>
              <w:bottom w:val="single" w:sz="4" w:space="0" w:color="005CA9"/>
            </w:tcBorders>
            <w:shd w:val="clear" w:color="auto" w:fill="FFFFFF" w:themeFill="background1"/>
            <w:noWrap/>
            <w:vAlign w:val="center"/>
          </w:tcPr>
          <w:p w14:paraId="78DFEA73" w14:textId="7BF209DD" w:rsidR="006A7F68" w:rsidRPr="006A7F68" w:rsidRDefault="00A20E6B" w:rsidP="006A7F68">
            <w:pPr>
              <w:jc w:val="center"/>
              <w:rPr>
                <w:rFonts w:ascii="CAIXA Std Book" w:eastAsia="Times New Roman" w:hAnsi="CAIXA Std Book" w:cs="Times New Roman"/>
                <w:color w:val="005CA9"/>
                <w:sz w:val="16"/>
                <w:szCs w:val="16"/>
              </w:rPr>
            </w:pPr>
            <w:r w:rsidRPr="00BC00DB">
              <w:rPr>
                <w:rFonts w:ascii="CAIXA Std Book" w:hAnsi="CAIXA Std Book" w:cs="Arial"/>
                <w:color w:val="005CA9"/>
                <w:sz w:val="16"/>
                <w:szCs w:val="16"/>
              </w:rPr>
              <w:t>-</w:t>
            </w:r>
          </w:p>
        </w:tc>
      </w:tr>
    </w:tbl>
    <w:p w14:paraId="2387FA90" w14:textId="77777777" w:rsidR="009E06A8" w:rsidRDefault="009E06A8">
      <w:pPr>
        <w:rPr>
          <w:sz w:val="22"/>
          <w:szCs w:val="22"/>
        </w:rPr>
      </w:pPr>
    </w:p>
    <w:tbl>
      <w:tblPr>
        <w:tblW w:w="14100" w:type="dxa"/>
        <w:tblCellMar>
          <w:left w:w="70" w:type="dxa"/>
          <w:right w:w="70" w:type="dxa"/>
        </w:tblCellMar>
        <w:tblLook w:val="04A0" w:firstRow="1" w:lastRow="0" w:firstColumn="1" w:lastColumn="0" w:noHBand="0" w:noVBand="1"/>
      </w:tblPr>
      <w:tblGrid>
        <w:gridCol w:w="7460"/>
        <w:gridCol w:w="1600"/>
        <w:gridCol w:w="1340"/>
        <w:gridCol w:w="1180"/>
        <w:gridCol w:w="1340"/>
        <w:gridCol w:w="1180"/>
      </w:tblGrid>
      <w:tr w:rsidR="00BC1C4E" w:rsidRPr="00BC00DB" w14:paraId="3D6E23FE" w14:textId="77777777" w:rsidTr="00EC7E6C">
        <w:trPr>
          <w:trHeight w:val="272"/>
        </w:trPr>
        <w:tc>
          <w:tcPr>
            <w:tcW w:w="14100" w:type="dxa"/>
            <w:gridSpan w:val="6"/>
            <w:tcBorders>
              <w:top w:val="nil"/>
              <w:left w:val="nil"/>
              <w:bottom w:val="single" w:sz="4" w:space="0" w:color="F2F2F2" w:themeColor="background1" w:themeShade="F2"/>
              <w:right w:val="nil"/>
            </w:tcBorders>
            <w:shd w:val="clear" w:color="000000" w:fill="005CA9"/>
            <w:vAlign w:val="center"/>
            <w:hideMark/>
          </w:tcPr>
          <w:p w14:paraId="3DFD673B" w14:textId="17E889D2" w:rsidR="00BC1C4E" w:rsidRPr="00BC1C4E" w:rsidRDefault="00BC1C4E" w:rsidP="00BC1C4E">
            <w:pPr>
              <w:jc w:val="center"/>
              <w:rPr>
                <w:rFonts w:ascii="CAIXA Std Book" w:eastAsia="Times New Roman" w:hAnsi="CAIXA Std Book" w:cs="Arial"/>
                <w:b/>
                <w:bCs/>
                <w:color w:val="FFFFFF"/>
                <w:sz w:val="16"/>
                <w:szCs w:val="16"/>
              </w:rPr>
            </w:pPr>
            <w:r w:rsidRPr="00BC1C4E">
              <w:rPr>
                <w:rFonts w:ascii="CAIXA Std Book" w:eastAsia="Times New Roman" w:hAnsi="CAIXA Std Book" w:cs="Arial"/>
                <w:b/>
                <w:bCs/>
                <w:color w:val="FFFFFF"/>
                <w:sz w:val="16"/>
                <w:szCs w:val="16"/>
              </w:rPr>
              <w:t>Individual</w:t>
            </w:r>
          </w:p>
        </w:tc>
      </w:tr>
      <w:tr w:rsidR="00BC1C4E" w:rsidRPr="00BC00DB" w14:paraId="37C87553" w14:textId="77777777" w:rsidTr="00EC7E6C">
        <w:trPr>
          <w:trHeight w:val="272"/>
        </w:trPr>
        <w:tc>
          <w:tcPr>
            <w:tcW w:w="7460" w:type="dxa"/>
            <w:vMerge w:val="restart"/>
            <w:tcBorders>
              <w:top w:val="single" w:sz="4" w:space="0" w:color="F2F2F2" w:themeColor="background1" w:themeShade="F2"/>
              <w:left w:val="nil"/>
              <w:right w:val="nil"/>
            </w:tcBorders>
            <w:shd w:val="clear" w:color="000000" w:fill="005CA9"/>
            <w:vAlign w:val="center"/>
            <w:hideMark/>
          </w:tcPr>
          <w:p w14:paraId="45678DC8" w14:textId="77777777" w:rsidR="00BC1C4E" w:rsidRPr="00BC1C4E" w:rsidRDefault="00BC1C4E" w:rsidP="00BC1C4E">
            <w:pPr>
              <w:rPr>
                <w:rFonts w:ascii="CAIXA Std Book" w:eastAsia="Times New Roman" w:hAnsi="CAIXA Std Book" w:cs="Arial"/>
                <w:b/>
                <w:bCs/>
                <w:color w:val="FFFFFF"/>
                <w:sz w:val="16"/>
                <w:szCs w:val="16"/>
              </w:rPr>
            </w:pPr>
            <w:r w:rsidRPr="00BC1C4E">
              <w:rPr>
                <w:rFonts w:ascii="CAIXA Std Book" w:eastAsia="Times New Roman" w:hAnsi="CAIXA Std Book" w:cs="Arial"/>
                <w:b/>
                <w:bCs/>
                <w:color w:val="FFFFFF"/>
                <w:sz w:val="16"/>
                <w:szCs w:val="16"/>
              </w:rPr>
              <w:t>Ativos e passivos financeiros mensurados ao valor justo no balanço patrimonial de forma recorrente</w:t>
            </w:r>
          </w:p>
        </w:tc>
        <w:tc>
          <w:tcPr>
            <w:tcW w:w="1600" w:type="dxa"/>
            <w:vMerge w:val="restart"/>
            <w:tcBorders>
              <w:top w:val="single" w:sz="4" w:space="0" w:color="F2F2F2" w:themeColor="background1" w:themeShade="F2"/>
              <w:left w:val="nil"/>
              <w:right w:val="nil"/>
            </w:tcBorders>
            <w:shd w:val="clear" w:color="000000" w:fill="005CA9"/>
            <w:vAlign w:val="center"/>
            <w:hideMark/>
          </w:tcPr>
          <w:p w14:paraId="30B70893" w14:textId="77777777" w:rsidR="00BC1C4E" w:rsidRPr="00BC1C4E" w:rsidRDefault="00BC1C4E" w:rsidP="00BC1C4E">
            <w:pPr>
              <w:jc w:val="center"/>
              <w:rPr>
                <w:rFonts w:ascii="CAIXA Std Book" w:eastAsia="Times New Roman" w:hAnsi="CAIXA Std Book" w:cs="Arial"/>
                <w:b/>
                <w:bCs/>
                <w:color w:val="FFFFFF"/>
                <w:sz w:val="16"/>
                <w:szCs w:val="16"/>
              </w:rPr>
            </w:pPr>
            <w:r w:rsidRPr="00BC1C4E">
              <w:rPr>
                <w:rFonts w:ascii="CAIXA Std Book" w:eastAsia="Times New Roman" w:hAnsi="CAIXA Std Book" w:cs="Arial"/>
                <w:b/>
                <w:bCs/>
                <w:color w:val="FFFFFF"/>
                <w:sz w:val="16"/>
                <w:szCs w:val="16"/>
              </w:rPr>
              <w:t>Valor contábil em 31/12/2025</w:t>
            </w:r>
          </w:p>
        </w:tc>
        <w:tc>
          <w:tcPr>
            <w:tcW w:w="1340" w:type="dxa"/>
            <w:vMerge w:val="restart"/>
            <w:tcBorders>
              <w:top w:val="single" w:sz="4" w:space="0" w:color="F2F2F2" w:themeColor="background1" w:themeShade="F2"/>
              <w:left w:val="nil"/>
              <w:right w:val="nil"/>
            </w:tcBorders>
            <w:shd w:val="clear" w:color="000000" w:fill="005CA9"/>
            <w:vAlign w:val="center"/>
            <w:hideMark/>
          </w:tcPr>
          <w:p w14:paraId="78D0BDD9" w14:textId="27723001" w:rsidR="00BC1C4E" w:rsidRPr="00BC1C4E" w:rsidRDefault="00BC1C4E" w:rsidP="00BC1C4E">
            <w:pPr>
              <w:jc w:val="center"/>
              <w:rPr>
                <w:rFonts w:ascii="CAIXA Std Book" w:eastAsia="Times New Roman" w:hAnsi="CAIXA Std Book" w:cs="Arial"/>
                <w:b/>
                <w:bCs/>
                <w:color w:val="FFFFFF"/>
                <w:sz w:val="16"/>
                <w:szCs w:val="16"/>
              </w:rPr>
            </w:pPr>
            <w:r w:rsidRPr="00BC1C4E">
              <w:rPr>
                <w:rFonts w:ascii="CAIXA Std Book" w:eastAsia="Times New Roman" w:hAnsi="CAIXA Std Book" w:cs="Arial"/>
                <w:b/>
                <w:bCs/>
                <w:color w:val="FFFFFF"/>
                <w:sz w:val="16"/>
                <w:szCs w:val="16"/>
              </w:rPr>
              <w:t xml:space="preserve">Valor </w:t>
            </w:r>
            <w:r w:rsidR="006F69CC">
              <w:rPr>
                <w:rFonts w:ascii="CAIXA Std Book" w:eastAsia="Times New Roman" w:hAnsi="CAIXA Std Book" w:cs="Arial"/>
                <w:b/>
                <w:bCs/>
                <w:color w:val="FFFFFF"/>
                <w:sz w:val="16"/>
                <w:szCs w:val="16"/>
              </w:rPr>
              <w:t>j</w:t>
            </w:r>
            <w:r w:rsidRPr="00BC1C4E">
              <w:rPr>
                <w:rFonts w:ascii="CAIXA Std Book" w:eastAsia="Times New Roman" w:hAnsi="CAIXA Std Book" w:cs="Arial"/>
                <w:b/>
                <w:bCs/>
                <w:color w:val="FFFFFF"/>
                <w:sz w:val="16"/>
                <w:szCs w:val="16"/>
              </w:rPr>
              <w:t>usto em 31/12/2025</w:t>
            </w:r>
          </w:p>
        </w:tc>
        <w:tc>
          <w:tcPr>
            <w:tcW w:w="3700" w:type="dxa"/>
            <w:gridSpan w:val="3"/>
            <w:tcBorders>
              <w:top w:val="single" w:sz="4" w:space="0" w:color="F2F2F2" w:themeColor="background1" w:themeShade="F2"/>
              <w:left w:val="nil"/>
              <w:bottom w:val="single" w:sz="4" w:space="0" w:color="F2F2F2" w:themeColor="background1" w:themeShade="F2"/>
              <w:right w:val="nil"/>
            </w:tcBorders>
            <w:shd w:val="clear" w:color="000000" w:fill="005CA9"/>
            <w:noWrap/>
            <w:vAlign w:val="center"/>
            <w:hideMark/>
          </w:tcPr>
          <w:p w14:paraId="7B1034D9" w14:textId="77777777" w:rsidR="00BC1C4E" w:rsidRPr="00BC1C4E" w:rsidRDefault="00BC1C4E" w:rsidP="00BC1C4E">
            <w:pPr>
              <w:jc w:val="center"/>
              <w:rPr>
                <w:rFonts w:ascii="CAIXA Std Book" w:eastAsia="Times New Roman" w:hAnsi="CAIXA Std Book" w:cs="Arial"/>
                <w:b/>
                <w:bCs/>
                <w:color w:val="FFFFFF"/>
                <w:sz w:val="16"/>
                <w:szCs w:val="16"/>
              </w:rPr>
            </w:pPr>
            <w:r w:rsidRPr="00BC1C4E">
              <w:rPr>
                <w:rFonts w:ascii="CAIXA Std Book" w:eastAsia="Times New Roman" w:hAnsi="CAIXA Std Book" w:cs="Arial"/>
                <w:b/>
                <w:bCs/>
                <w:color w:val="FFFFFF"/>
                <w:sz w:val="16"/>
                <w:szCs w:val="16"/>
              </w:rPr>
              <w:t>Níveis de valor justo</w:t>
            </w:r>
          </w:p>
        </w:tc>
      </w:tr>
      <w:tr w:rsidR="00BC1C4E" w:rsidRPr="00BC00DB" w14:paraId="4C6A19B0" w14:textId="77777777" w:rsidTr="00EC7E6C">
        <w:trPr>
          <w:trHeight w:val="272"/>
        </w:trPr>
        <w:tc>
          <w:tcPr>
            <w:tcW w:w="7460" w:type="dxa"/>
            <w:vMerge/>
            <w:tcBorders>
              <w:top w:val="single" w:sz="4" w:space="0" w:color="F2F2F2" w:themeColor="background1" w:themeShade="F2"/>
              <w:left w:val="nil"/>
              <w:right w:val="nil"/>
            </w:tcBorders>
            <w:vAlign w:val="center"/>
            <w:hideMark/>
          </w:tcPr>
          <w:p w14:paraId="2049BACF" w14:textId="77777777" w:rsidR="00BC1C4E" w:rsidRPr="00BC1C4E" w:rsidRDefault="00BC1C4E" w:rsidP="00BC1C4E">
            <w:pPr>
              <w:rPr>
                <w:rFonts w:ascii="CAIXA Std Book" w:eastAsia="Times New Roman" w:hAnsi="CAIXA Std Book" w:cs="Arial"/>
                <w:b/>
                <w:bCs/>
                <w:color w:val="FFFFFF"/>
                <w:sz w:val="16"/>
                <w:szCs w:val="16"/>
              </w:rPr>
            </w:pPr>
          </w:p>
        </w:tc>
        <w:tc>
          <w:tcPr>
            <w:tcW w:w="1600" w:type="dxa"/>
            <w:vMerge/>
            <w:tcBorders>
              <w:top w:val="single" w:sz="4" w:space="0" w:color="F2F2F2" w:themeColor="background1" w:themeShade="F2"/>
              <w:left w:val="nil"/>
              <w:right w:val="nil"/>
            </w:tcBorders>
            <w:vAlign w:val="center"/>
            <w:hideMark/>
          </w:tcPr>
          <w:p w14:paraId="47905FE1" w14:textId="77777777" w:rsidR="00BC1C4E" w:rsidRPr="00BC1C4E" w:rsidRDefault="00BC1C4E" w:rsidP="00BC1C4E">
            <w:pPr>
              <w:rPr>
                <w:rFonts w:ascii="CAIXA Std Book" w:eastAsia="Times New Roman" w:hAnsi="CAIXA Std Book" w:cs="Arial"/>
                <w:b/>
                <w:bCs/>
                <w:color w:val="FFFFFF"/>
                <w:sz w:val="16"/>
                <w:szCs w:val="16"/>
              </w:rPr>
            </w:pPr>
          </w:p>
        </w:tc>
        <w:tc>
          <w:tcPr>
            <w:tcW w:w="1340" w:type="dxa"/>
            <w:vMerge/>
            <w:tcBorders>
              <w:top w:val="single" w:sz="4" w:space="0" w:color="F2F2F2" w:themeColor="background1" w:themeShade="F2"/>
              <w:left w:val="nil"/>
              <w:right w:val="nil"/>
            </w:tcBorders>
            <w:vAlign w:val="center"/>
            <w:hideMark/>
          </w:tcPr>
          <w:p w14:paraId="08BB1BED" w14:textId="77777777" w:rsidR="00BC1C4E" w:rsidRPr="00BC1C4E" w:rsidRDefault="00BC1C4E" w:rsidP="00BC1C4E">
            <w:pPr>
              <w:rPr>
                <w:rFonts w:ascii="CAIXA Std Book" w:eastAsia="Times New Roman" w:hAnsi="CAIXA Std Book" w:cs="Arial"/>
                <w:b/>
                <w:bCs/>
                <w:color w:val="FFFFFF"/>
                <w:sz w:val="16"/>
                <w:szCs w:val="16"/>
              </w:rPr>
            </w:pPr>
          </w:p>
        </w:tc>
        <w:tc>
          <w:tcPr>
            <w:tcW w:w="1180" w:type="dxa"/>
            <w:tcBorders>
              <w:top w:val="single" w:sz="4" w:space="0" w:color="F2F2F2" w:themeColor="background1" w:themeShade="F2"/>
              <w:left w:val="nil"/>
              <w:right w:val="nil"/>
            </w:tcBorders>
            <w:shd w:val="clear" w:color="000000" w:fill="005CA9"/>
            <w:noWrap/>
            <w:vAlign w:val="center"/>
            <w:hideMark/>
          </w:tcPr>
          <w:p w14:paraId="0D2AF6C4" w14:textId="77777777" w:rsidR="00BC1C4E" w:rsidRPr="00BC1C4E" w:rsidRDefault="00BC1C4E" w:rsidP="00BC1C4E">
            <w:pPr>
              <w:jc w:val="center"/>
              <w:rPr>
                <w:rFonts w:ascii="CAIXA Std Book" w:eastAsia="Times New Roman" w:hAnsi="CAIXA Std Book" w:cs="Arial"/>
                <w:b/>
                <w:bCs/>
                <w:color w:val="FFFFFF"/>
                <w:sz w:val="16"/>
                <w:szCs w:val="16"/>
              </w:rPr>
            </w:pPr>
            <w:r w:rsidRPr="00BC1C4E">
              <w:rPr>
                <w:rFonts w:ascii="CAIXA Std Book" w:eastAsia="Times New Roman" w:hAnsi="CAIXA Std Book" w:cs="Arial"/>
                <w:b/>
                <w:bCs/>
                <w:color w:val="FFFFFF"/>
                <w:sz w:val="16"/>
                <w:szCs w:val="16"/>
              </w:rPr>
              <w:t>Nível 1</w:t>
            </w:r>
          </w:p>
        </w:tc>
        <w:tc>
          <w:tcPr>
            <w:tcW w:w="1340" w:type="dxa"/>
            <w:tcBorders>
              <w:top w:val="single" w:sz="4" w:space="0" w:color="F2F2F2" w:themeColor="background1" w:themeShade="F2"/>
              <w:left w:val="nil"/>
              <w:right w:val="nil"/>
            </w:tcBorders>
            <w:shd w:val="clear" w:color="000000" w:fill="005CA9"/>
            <w:noWrap/>
            <w:vAlign w:val="center"/>
            <w:hideMark/>
          </w:tcPr>
          <w:p w14:paraId="4449825D" w14:textId="77777777" w:rsidR="00BC1C4E" w:rsidRPr="00BC1C4E" w:rsidRDefault="00BC1C4E" w:rsidP="00BC1C4E">
            <w:pPr>
              <w:jc w:val="center"/>
              <w:rPr>
                <w:rFonts w:ascii="CAIXA Std Book" w:eastAsia="Times New Roman" w:hAnsi="CAIXA Std Book" w:cs="Arial"/>
                <w:b/>
                <w:bCs/>
                <w:color w:val="FFFFFF"/>
                <w:sz w:val="16"/>
                <w:szCs w:val="16"/>
              </w:rPr>
            </w:pPr>
            <w:r w:rsidRPr="00BC1C4E">
              <w:rPr>
                <w:rFonts w:ascii="CAIXA Std Book" w:eastAsia="Times New Roman" w:hAnsi="CAIXA Std Book" w:cs="Arial"/>
                <w:b/>
                <w:bCs/>
                <w:color w:val="FFFFFF"/>
                <w:sz w:val="16"/>
                <w:szCs w:val="16"/>
              </w:rPr>
              <w:t>Nível 2</w:t>
            </w:r>
          </w:p>
        </w:tc>
        <w:tc>
          <w:tcPr>
            <w:tcW w:w="1180" w:type="dxa"/>
            <w:tcBorders>
              <w:top w:val="single" w:sz="4" w:space="0" w:color="F2F2F2" w:themeColor="background1" w:themeShade="F2"/>
              <w:left w:val="nil"/>
              <w:right w:val="nil"/>
            </w:tcBorders>
            <w:shd w:val="clear" w:color="000000" w:fill="005CA9"/>
            <w:noWrap/>
            <w:vAlign w:val="center"/>
            <w:hideMark/>
          </w:tcPr>
          <w:p w14:paraId="531AF65C" w14:textId="77777777" w:rsidR="00BC1C4E" w:rsidRPr="00BC1C4E" w:rsidRDefault="00BC1C4E" w:rsidP="00BC1C4E">
            <w:pPr>
              <w:jc w:val="center"/>
              <w:rPr>
                <w:rFonts w:ascii="CAIXA Std Book" w:eastAsia="Times New Roman" w:hAnsi="CAIXA Std Book" w:cs="Arial"/>
                <w:b/>
                <w:bCs/>
                <w:color w:val="FFFFFF"/>
                <w:sz w:val="16"/>
                <w:szCs w:val="16"/>
              </w:rPr>
            </w:pPr>
            <w:r w:rsidRPr="00BC1C4E">
              <w:rPr>
                <w:rFonts w:ascii="CAIXA Std Book" w:eastAsia="Times New Roman" w:hAnsi="CAIXA Std Book" w:cs="Arial"/>
                <w:b/>
                <w:bCs/>
                <w:color w:val="FFFFFF"/>
                <w:sz w:val="16"/>
                <w:szCs w:val="16"/>
              </w:rPr>
              <w:t>Nível 3</w:t>
            </w:r>
          </w:p>
        </w:tc>
      </w:tr>
      <w:tr w:rsidR="00BC1C4E" w:rsidRPr="00BC00DB" w14:paraId="477C29D5" w14:textId="77777777" w:rsidTr="0096727B">
        <w:trPr>
          <w:trHeight w:val="272"/>
        </w:trPr>
        <w:tc>
          <w:tcPr>
            <w:tcW w:w="7460" w:type="dxa"/>
            <w:tcBorders>
              <w:top w:val="nil"/>
              <w:left w:val="nil"/>
              <w:bottom w:val="single" w:sz="4" w:space="0" w:color="FFFFFF" w:themeColor="background1"/>
              <w:right w:val="nil"/>
            </w:tcBorders>
            <w:shd w:val="clear" w:color="000000" w:fill="D0E0E3"/>
            <w:noWrap/>
            <w:vAlign w:val="center"/>
            <w:hideMark/>
          </w:tcPr>
          <w:p w14:paraId="1D684EDB" w14:textId="77777777" w:rsidR="00BC1C4E" w:rsidRPr="00BC1C4E" w:rsidRDefault="00BC1C4E" w:rsidP="00BC1C4E">
            <w:pPr>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Ativo</w:t>
            </w:r>
          </w:p>
        </w:tc>
        <w:tc>
          <w:tcPr>
            <w:tcW w:w="1600" w:type="dxa"/>
            <w:tcBorders>
              <w:top w:val="nil"/>
              <w:left w:val="nil"/>
              <w:bottom w:val="single" w:sz="4" w:space="0" w:color="FFFFFF" w:themeColor="background1"/>
              <w:right w:val="nil"/>
            </w:tcBorders>
            <w:shd w:val="clear" w:color="000000" w:fill="D0E0E3"/>
            <w:vAlign w:val="center"/>
            <w:hideMark/>
          </w:tcPr>
          <w:p w14:paraId="45A5D9D6"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2.140.132.491</w:t>
            </w:r>
          </w:p>
        </w:tc>
        <w:tc>
          <w:tcPr>
            <w:tcW w:w="1340" w:type="dxa"/>
            <w:tcBorders>
              <w:top w:val="nil"/>
              <w:left w:val="nil"/>
              <w:bottom w:val="single" w:sz="4" w:space="0" w:color="FFFFFF" w:themeColor="background1"/>
              <w:right w:val="nil"/>
            </w:tcBorders>
            <w:shd w:val="clear" w:color="000000" w:fill="D0E0E3"/>
            <w:vAlign w:val="center"/>
            <w:hideMark/>
          </w:tcPr>
          <w:p w14:paraId="06A2BC04"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1.932.069.618</w:t>
            </w:r>
          </w:p>
        </w:tc>
        <w:tc>
          <w:tcPr>
            <w:tcW w:w="1180" w:type="dxa"/>
            <w:tcBorders>
              <w:top w:val="nil"/>
              <w:left w:val="nil"/>
              <w:bottom w:val="single" w:sz="4" w:space="0" w:color="FFFFFF" w:themeColor="background1"/>
              <w:right w:val="nil"/>
            </w:tcBorders>
            <w:shd w:val="clear" w:color="000000" w:fill="D0E0E3"/>
            <w:vAlign w:val="center"/>
            <w:hideMark/>
          </w:tcPr>
          <w:p w14:paraId="2C138DB1"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446.277.333</w:t>
            </w:r>
          </w:p>
        </w:tc>
        <w:tc>
          <w:tcPr>
            <w:tcW w:w="1340" w:type="dxa"/>
            <w:tcBorders>
              <w:top w:val="nil"/>
              <w:left w:val="nil"/>
              <w:bottom w:val="single" w:sz="4" w:space="0" w:color="FFFFFF" w:themeColor="background1"/>
              <w:right w:val="nil"/>
            </w:tcBorders>
            <w:shd w:val="clear" w:color="000000" w:fill="D0E0E3"/>
            <w:vAlign w:val="center"/>
            <w:hideMark/>
          </w:tcPr>
          <w:p w14:paraId="052F8789"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1.465.460.595</w:t>
            </w:r>
          </w:p>
        </w:tc>
        <w:tc>
          <w:tcPr>
            <w:tcW w:w="1180" w:type="dxa"/>
            <w:tcBorders>
              <w:top w:val="nil"/>
              <w:left w:val="nil"/>
              <w:bottom w:val="single" w:sz="4" w:space="0" w:color="FFFFFF" w:themeColor="background1"/>
              <w:right w:val="nil"/>
            </w:tcBorders>
            <w:shd w:val="clear" w:color="000000" w:fill="D0E0E3"/>
            <w:vAlign w:val="center"/>
            <w:hideMark/>
          </w:tcPr>
          <w:p w14:paraId="0B6F4A25"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20.331.690</w:t>
            </w:r>
          </w:p>
        </w:tc>
      </w:tr>
      <w:tr w:rsidR="00BC1C4E" w:rsidRPr="00BC00DB" w14:paraId="76941ABB" w14:textId="77777777" w:rsidTr="0096727B">
        <w:trPr>
          <w:trHeight w:val="272"/>
        </w:trPr>
        <w:tc>
          <w:tcPr>
            <w:tcW w:w="7460" w:type="dxa"/>
            <w:tcBorders>
              <w:top w:val="single" w:sz="4" w:space="0" w:color="FFFFFF" w:themeColor="background1"/>
              <w:left w:val="nil"/>
              <w:bottom w:val="nil"/>
              <w:right w:val="nil"/>
            </w:tcBorders>
            <w:shd w:val="clear" w:color="000000" w:fill="D0E0E3"/>
            <w:noWrap/>
            <w:vAlign w:val="center"/>
            <w:hideMark/>
          </w:tcPr>
          <w:p w14:paraId="015DB9A8" w14:textId="77777777" w:rsidR="00BC1C4E" w:rsidRPr="00BC1C4E" w:rsidRDefault="00BC1C4E" w:rsidP="00BC1C4E">
            <w:pPr>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Ativos financeiros ao valor justo por meio do resultado</w:t>
            </w:r>
          </w:p>
        </w:tc>
        <w:tc>
          <w:tcPr>
            <w:tcW w:w="1600" w:type="dxa"/>
            <w:tcBorders>
              <w:top w:val="single" w:sz="4" w:space="0" w:color="FFFFFF" w:themeColor="background1"/>
              <w:left w:val="nil"/>
              <w:bottom w:val="nil"/>
              <w:right w:val="nil"/>
            </w:tcBorders>
            <w:shd w:val="clear" w:color="000000" w:fill="D0E0E3"/>
            <w:vAlign w:val="center"/>
            <w:hideMark/>
          </w:tcPr>
          <w:p w14:paraId="03A81D61"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157.198.435</w:t>
            </w:r>
          </w:p>
        </w:tc>
        <w:tc>
          <w:tcPr>
            <w:tcW w:w="1340" w:type="dxa"/>
            <w:tcBorders>
              <w:top w:val="single" w:sz="4" w:space="0" w:color="FFFFFF" w:themeColor="background1"/>
              <w:left w:val="nil"/>
              <w:bottom w:val="nil"/>
              <w:right w:val="nil"/>
            </w:tcBorders>
            <w:shd w:val="clear" w:color="000000" w:fill="D0E0E3"/>
            <w:vAlign w:val="center"/>
            <w:hideMark/>
          </w:tcPr>
          <w:p w14:paraId="637BC052"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157.199.001</w:t>
            </w:r>
          </w:p>
        </w:tc>
        <w:tc>
          <w:tcPr>
            <w:tcW w:w="1180" w:type="dxa"/>
            <w:tcBorders>
              <w:top w:val="single" w:sz="4" w:space="0" w:color="FFFFFF" w:themeColor="background1"/>
              <w:left w:val="nil"/>
              <w:bottom w:val="nil"/>
              <w:right w:val="nil"/>
            </w:tcBorders>
            <w:shd w:val="clear" w:color="000000" w:fill="D0E0E3"/>
            <w:vAlign w:val="center"/>
            <w:hideMark/>
          </w:tcPr>
          <w:p w14:paraId="1D8DE3F7"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153.166.180</w:t>
            </w:r>
          </w:p>
        </w:tc>
        <w:tc>
          <w:tcPr>
            <w:tcW w:w="1340" w:type="dxa"/>
            <w:tcBorders>
              <w:top w:val="single" w:sz="4" w:space="0" w:color="FFFFFF" w:themeColor="background1"/>
              <w:left w:val="nil"/>
              <w:bottom w:val="nil"/>
              <w:right w:val="nil"/>
            </w:tcBorders>
            <w:shd w:val="clear" w:color="000000" w:fill="D0E0E3"/>
            <w:vAlign w:val="center"/>
            <w:hideMark/>
          </w:tcPr>
          <w:p w14:paraId="676F2A9C"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2.193.348</w:t>
            </w:r>
          </w:p>
        </w:tc>
        <w:tc>
          <w:tcPr>
            <w:tcW w:w="1180" w:type="dxa"/>
            <w:tcBorders>
              <w:top w:val="single" w:sz="4" w:space="0" w:color="FFFFFF" w:themeColor="background1"/>
              <w:left w:val="nil"/>
              <w:bottom w:val="nil"/>
              <w:right w:val="nil"/>
            </w:tcBorders>
            <w:shd w:val="clear" w:color="000000" w:fill="D0E0E3"/>
            <w:vAlign w:val="center"/>
            <w:hideMark/>
          </w:tcPr>
          <w:p w14:paraId="2EC27F22"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1.839.473</w:t>
            </w:r>
          </w:p>
        </w:tc>
      </w:tr>
      <w:tr w:rsidR="00BC1C4E" w:rsidRPr="00BC00DB" w14:paraId="6AA805BC" w14:textId="77777777" w:rsidTr="00BC00DB">
        <w:trPr>
          <w:trHeight w:val="272"/>
        </w:trPr>
        <w:tc>
          <w:tcPr>
            <w:tcW w:w="7460" w:type="dxa"/>
            <w:tcBorders>
              <w:top w:val="nil"/>
              <w:left w:val="nil"/>
              <w:bottom w:val="nil"/>
              <w:right w:val="nil"/>
            </w:tcBorders>
            <w:noWrap/>
            <w:vAlign w:val="center"/>
            <w:hideMark/>
          </w:tcPr>
          <w:p w14:paraId="2AD280E7" w14:textId="77777777" w:rsidR="00BC1C4E" w:rsidRPr="00BC1C4E" w:rsidRDefault="00BC1C4E" w:rsidP="00BC1C4E">
            <w:pPr>
              <w:ind w:firstLineChars="100" w:firstLine="160"/>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Títulos e valores mobiliários (líquidos de provisão para perdas associadas ao risco de crédito)</w:t>
            </w:r>
          </w:p>
        </w:tc>
        <w:tc>
          <w:tcPr>
            <w:tcW w:w="1600" w:type="dxa"/>
            <w:tcBorders>
              <w:top w:val="nil"/>
              <w:left w:val="nil"/>
              <w:bottom w:val="nil"/>
              <w:right w:val="nil"/>
            </w:tcBorders>
            <w:vAlign w:val="center"/>
            <w:hideMark/>
          </w:tcPr>
          <w:p w14:paraId="68A7F941"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156.938.782</w:t>
            </w:r>
          </w:p>
        </w:tc>
        <w:tc>
          <w:tcPr>
            <w:tcW w:w="1340" w:type="dxa"/>
            <w:tcBorders>
              <w:top w:val="nil"/>
              <w:left w:val="nil"/>
              <w:bottom w:val="nil"/>
              <w:right w:val="nil"/>
            </w:tcBorders>
            <w:vAlign w:val="center"/>
            <w:hideMark/>
          </w:tcPr>
          <w:p w14:paraId="0F121C91"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156.939.348</w:t>
            </w:r>
          </w:p>
        </w:tc>
        <w:tc>
          <w:tcPr>
            <w:tcW w:w="1180" w:type="dxa"/>
            <w:tcBorders>
              <w:top w:val="nil"/>
              <w:left w:val="nil"/>
              <w:bottom w:val="nil"/>
              <w:right w:val="nil"/>
            </w:tcBorders>
            <w:noWrap/>
            <w:vAlign w:val="center"/>
            <w:hideMark/>
          </w:tcPr>
          <w:p w14:paraId="44DE9402"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153.166.134</w:t>
            </w:r>
          </w:p>
        </w:tc>
        <w:tc>
          <w:tcPr>
            <w:tcW w:w="1340" w:type="dxa"/>
            <w:tcBorders>
              <w:top w:val="nil"/>
              <w:left w:val="nil"/>
              <w:bottom w:val="nil"/>
              <w:right w:val="nil"/>
            </w:tcBorders>
            <w:noWrap/>
            <w:vAlign w:val="center"/>
            <w:hideMark/>
          </w:tcPr>
          <w:p w14:paraId="29E0E672"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1.933.741</w:t>
            </w:r>
          </w:p>
        </w:tc>
        <w:tc>
          <w:tcPr>
            <w:tcW w:w="1180" w:type="dxa"/>
            <w:tcBorders>
              <w:top w:val="nil"/>
              <w:left w:val="nil"/>
              <w:bottom w:val="nil"/>
              <w:right w:val="nil"/>
            </w:tcBorders>
            <w:noWrap/>
            <w:vAlign w:val="center"/>
            <w:hideMark/>
          </w:tcPr>
          <w:p w14:paraId="33F57576"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1.839.473</w:t>
            </w:r>
          </w:p>
        </w:tc>
      </w:tr>
      <w:tr w:rsidR="00BC1C4E" w:rsidRPr="00BC00DB" w14:paraId="43B69349" w14:textId="77777777" w:rsidTr="00BC00DB">
        <w:trPr>
          <w:trHeight w:val="272"/>
        </w:trPr>
        <w:tc>
          <w:tcPr>
            <w:tcW w:w="7460" w:type="dxa"/>
            <w:tcBorders>
              <w:top w:val="nil"/>
              <w:left w:val="nil"/>
              <w:bottom w:val="nil"/>
              <w:right w:val="nil"/>
            </w:tcBorders>
            <w:noWrap/>
            <w:vAlign w:val="center"/>
            <w:hideMark/>
          </w:tcPr>
          <w:p w14:paraId="4AF0DD48" w14:textId="77777777" w:rsidR="00BC1C4E" w:rsidRPr="00BC1C4E" w:rsidRDefault="00BC1C4E" w:rsidP="00BC1C4E">
            <w:pPr>
              <w:ind w:firstLineChars="100" w:firstLine="160"/>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Instrumentos financeiros derivativos</w:t>
            </w:r>
          </w:p>
        </w:tc>
        <w:tc>
          <w:tcPr>
            <w:tcW w:w="1600" w:type="dxa"/>
            <w:tcBorders>
              <w:top w:val="nil"/>
              <w:left w:val="nil"/>
              <w:bottom w:val="nil"/>
              <w:right w:val="nil"/>
            </w:tcBorders>
            <w:vAlign w:val="center"/>
            <w:hideMark/>
          </w:tcPr>
          <w:p w14:paraId="1565E0C9"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46</w:t>
            </w:r>
          </w:p>
        </w:tc>
        <w:tc>
          <w:tcPr>
            <w:tcW w:w="1340" w:type="dxa"/>
            <w:tcBorders>
              <w:top w:val="nil"/>
              <w:left w:val="nil"/>
              <w:bottom w:val="nil"/>
              <w:right w:val="nil"/>
            </w:tcBorders>
            <w:vAlign w:val="center"/>
            <w:hideMark/>
          </w:tcPr>
          <w:p w14:paraId="006D3965"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46</w:t>
            </w:r>
          </w:p>
        </w:tc>
        <w:tc>
          <w:tcPr>
            <w:tcW w:w="1180" w:type="dxa"/>
            <w:tcBorders>
              <w:top w:val="nil"/>
              <w:left w:val="nil"/>
              <w:bottom w:val="nil"/>
              <w:right w:val="nil"/>
            </w:tcBorders>
            <w:noWrap/>
            <w:vAlign w:val="center"/>
            <w:hideMark/>
          </w:tcPr>
          <w:p w14:paraId="793F77E8"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46</w:t>
            </w:r>
          </w:p>
        </w:tc>
        <w:tc>
          <w:tcPr>
            <w:tcW w:w="1340" w:type="dxa"/>
            <w:tcBorders>
              <w:top w:val="nil"/>
              <w:left w:val="nil"/>
              <w:bottom w:val="nil"/>
              <w:right w:val="nil"/>
            </w:tcBorders>
            <w:noWrap/>
            <w:vAlign w:val="center"/>
            <w:hideMark/>
          </w:tcPr>
          <w:p w14:paraId="12E80389"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c>
          <w:tcPr>
            <w:tcW w:w="1180" w:type="dxa"/>
            <w:tcBorders>
              <w:top w:val="nil"/>
              <w:left w:val="nil"/>
              <w:bottom w:val="nil"/>
              <w:right w:val="nil"/>
            </w:tcBorders>
            <w:noWrap/>
            <w:vAlign w:val="center"/>
            <w:hideMark/>
          </w:tcPr>
          <w:p w14:paraId="69DC4E59"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r>
      <w:tr w:rsidR="00BC1C4E" w:rsidRPr="00BC00DB" w14:paraId="2D07F88F" w14:textId="77777777" w:rsidTr="00BC00DB">
        <w:trPr>
          <w:trHeight w:val="272"/>
        </w:trPr>
        <w:tc>
          <w:tcPr>
            <w:tcW w:w="7460" w:type="dxa"/>
            <w:tcBorders>
              <w:top w:val="nil"/>
              <w:left w:val="nil"/>
              <w:bottom w:val="nil"/>
              <w:right w:val="nil"/>
            </w:tcBorders>
            <w:noWrap/>
            <w:vAlign w:val="center"/>
            <w:hideMark/>
          </w:tcPr>
          <w:p w14:paraId="4E3D2106" w14:textId="77777777" w:rsidR="00BC1C4E" w:rsidRPr="00BC1C4E" w:rsidRDefault="00BC1C4E" w:rsidP="00BC1C4E">
            <w:pPr>
              <w:ind w:firstLineChars="100" w:firstLine="160"/>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Outros ativos financeiros</w:t>
            </w:r>
          </w:p>
        </w:tc>
        <w:tc>
          <w:tcPr>
            <w:tcW w:w="1600" w:type="dxa"/>
            <w:tcBorders>
              <w:top w:val="nil"/>
              <w:left w:val="nil"/>
              <w:bottom w:val="nil"/>
              <w:right w:val="nil"/>
            </w:tcBorders>
            <w:vAlign w:val="center"/>
            <w:hideMark/>
          </w:tcPr>
          <w:p w14:paraId="1A28C44A"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259.607</w:t>
            </w:r>
          </w:p>
        </w:tc>
        <w:tc>
          <w:tcPr>
            <w:tcW w:w="1340" w:type="dxa"/>
            <w:tcBorders>
              <w:top w:val="nil"/>
              <w:left w:val="nil"/>
              <w:bottom w:val="nil"/>
              <w:right w:val="nil"/>
            </w:tcBorders>
            <w:vAlign w:val="center"/>
            <w:hideMark/>
          </w:tcPr>
          <w:p w14:paraId="28FF0DF2"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259.607</w:t>
            </w:r>
          </w:p>
        </w:tc>
        <w:tc>
          <w:tcPr>
            <w:tcW w:w="1180" w:type="dxa"/>
            <w:tcBorders>
              <w:top w:val="nil"/>
              <w:left w:val="nil"/>
              <w:bottom w:val="nil"/>
              <w:right w:val="nil"/>
            </w:tcBorders>
            <w:noWrap/>
            <w:vAlign w:val="center"/>
            <w:hideMark/>
          </w:tcPr>
          <w:p w14:paraId="5BC6C631"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c>
          <w:tcPr>
            <w:tcW w:w="1340" w:type="dxa"/>
            <w:tcBorders>
              <w:top w:val="nil"/>
              <w:left w:val="nil"/>
              <w:bottom w:val="nil"/>
              <w:right w:val="nil"/>
            </w:tcBorders>
            <w:noWrap/>
            <w:vAlign w:val="center"/>
            <w:hideMark/>
          </w:tcPr>
          <w:p w14:paraId="73AE385D"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259.607</w:t>
            </w:r>
          </w:p>
        </w:tc>
        <w:tc>
          <w:tcPr>
            <w:tcW w:w="1180" w:type="dxa"/>
            <w:tcBorders>
              <w:top w:val="nil"/>
              <w:left w:val="nil"/>
              <w:bottom w:val="nil"/>
              <w:right w:val="nil"/>
            </w:tcBorders>
            <w:noWrap/>
            <w:vAlign w:val="center"/>
            <w:hideMark/>
          </w:tcPr>
          <w:p w14:paraId="7DB53D92"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r>
      <w:tr w:rsidR="00BC1C4E" w:rsidRPr="00BC00DB" w14:paraId="5C637CF1" w14:textId="77777777" w:rsidTr="00BC00DB">
        <w:trPr>
          <w:trHeight w:val="272"/>
        </w:trPr>
        <w:tc>
          <w:tcPr>
            <w:tcW w:w="7460" w:type="dxa"/>
            <w:tcBorders>
              <w:top w:val="nil"/>
              <w:left w:val="nil"/>
              <w:bottom w:val="nil"/>
              <w:right w:val="nil"/>
            </w:tcBorders>
            <w:shd w:val="clear" w:color="000000" w:fill="D0E0E3"/>
            <w:noWrap/>
            <w:vAlign w:val="center"/>
            <w:hideMark/>
          </w:tcPr>
          <w:p w14:paraId="25D75CCB" w14:textId="77777777" w:rsidR="00BC1C4E" w:rsidRPr="00BC1C4E" w:rsidRDefault="00BC1C4E" w:rsidP="00BC1C4E">
            <w:pPr>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Ativos financeiros ao valor justo por meio de outros resultados abrangentes</w:t>
            </w:r>
          </w:p>
        </w:tc>
        <w:tc>
          <w:tcPr>
            <w:tcW w:w="1600" w:type="dxa"/>
            <w:tcBorders>
              <w:top w:val="nil"/>
              <w:left w:val="nil"/>
              <w:bottom w:val="nil"/>
              <w:right w:val="nil"/>
            </w:tcBorders>
            <w:shd w:val="clear" w:color="000000" w:fill="D0E0E3"/>
            <w:noWrap/>
            <w:vAlign w:val="center"/>
            <w:hideMark/>
          </w:tcPr>
          <w:p w14:paraId="520F9F3A"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451.991.763</w:t>
            </w:r>
          </w:p>
        </w:tc>
        <w:tc>
          <w:tcPr>
            <w:tcW w:w="1340" w:type="dxa"/>
            <w:tcBorders>
              <w:top w:val="nil"/>
              <w:left w:val="nil"/>
              <w:bottom w:val="nil"/>
              <w:right w:val="nil"/>
            </w:tcBorders>
            <w:shd w:val="clear" w:color="000000" w:fill="D0E0E3"/>
            <w:vAlign w:val="center"/>
            <w:hideMark/>
          </w:tcPr>
          <w:p w14:paraId="3C5C58D9"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450.574.931</w:t>
            </w:r>
          </w:p>
        </w:tc>
        <w:tc>
          <w:tcPr>
            <w:tcW w:w="1180" w:type="dxa"/>
            <w:tcBorders>
              <w:top w:val="nil"/>
              <w:left w:val="nil"/>
              <w:bottom w:val="nil"/>
              <w:right w:val="nil"/>
            </w:tcBorders>
            <w:shd w:val="clear" w:color="000000" w:fill="D0E0E3"/>
            <w:noWrap/>
            <w:vAlign w:val="center"/>
            <w:hideMark/>
          </w:tcPr>
          <w:p w14:paraId="3DC9626F"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293.111.153</w:t>
            </w:r>
          </w:p>
        </w:tc>
        <w:tc>
          <w:tcPr>
            <w:tcW w:w="1340" w:type="dxa"/>
            <w:tcBorders>
              <w:top w:val="nil"/>
              <w:left w:val="nil"/>
              <w:bottom w:val="nil"/>
              <w:right w:val="nil"/>
            </w:tcBorders>
            <w:shd w:val="clear" w:color="000000" w:fill="D0E0E3"/>
            <w:noWrap/>
            <w:vAlign w:val="center"/>
            <w:hideMark/>
          </w:tcPr>
          <w:p w14:paraId="71D221D9"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141.210.492</w:t>
            </w:r>
          </w:p>
        </w:tc>
        <w:tc>
          <w:tcPr>
            <w:tcW w:w="1180" w:type="dxa"/>
            <w:tcBorders>
              <w:top w:val="nil"/>
              <w:left w:val="nil"/>
              <w:bottom w:val="nil"/>
              <w:right w:val="nil"/>
            </w:tcBorders>
            <w:shd w:val="clear" w:color="000000" w:fill="D0E0E3"/>
            <w:noWrap/>
            <w:vAlign w:val="center"/>
            <w:hideMark/>
          </w:tcPr>
          <w:p w14:paraId="256986C2"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16.253.286</w:t>
            </w:r>
          </w:p>
        </w:tc>
      </w:tr>
      <w:tr w:rsidR="00BC1C4E" w:rsidRPr="00BC00DB" w14:paraId="62DAE290" w14:textId="77777777" w:rsidTr="00BC00DB">
        <w:trPr>
          <w:trHeight w:val="272"/>
        </w:trPr>
        <w:tc>
          <w:tcPr>
            <w:tcW w:w="7460" w:type="dxa"/>
            <w:tcBorders>
              <w:top w:val="nil"/>
              <w:left w:val="nil"/>
              <w:bottom w:val="nil"/>
              <w:right w:val="nil"/>
            </w:tcBorders>
            <w:noWrap/>
            <w:vAlign w:val="center"/>
            <w:hideMark/>
          </w:tcPr>
          <w:p w14:paraId="6FBD19CA" w14:textId="77777777" w:rsidR="00BC1C4E" w:rsidRPr="00BC1C4E" w:rsidRDefault="00BC1C4E" w:rsidP="00BC1C4E">
            <w:pPr>
              <w:ind w:firstLineChars="100" w:firstLine="160"/>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Aplicações interfinanceiras de liquidez</w:t>
            </w:r>
          </w:p>
        </w:tc>
        <w:tc>
          <w:tcPr>
            <w:tcW w:w="1600" w:type="dxa"/>
            <w:tcBorders>
              <w:top w:val="nil"/>
              <w:left w:val="nil"/>
              <w:bottom w:val="nil"/>
              <w:right w:val="nil"/>
            </w:tcBorders>
            <w:vAlign w:val="center"/>
            <w:hideMark/>
          </w:tcPr>
          <w:p w14:paraId="44935E55"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139.988.308</w:t>
            </w:r>
          </w:p>
        </w:tc>
        <w:tc>
          <w:tcPr>
            <w:tcW w:w="1340" w:type="dxa"/>
            <w:tcBorders>
              <w:top w:val="nil"/>
              <w:left w:val="nil"/>
              <w:bottom w:val="nil"/>
              <w:right w:val="nil"/>
            </w:tcBorders>
            <w:vAlign w:val="center"/>
            <w:hideMark/>
          </w:tcPr>
          <w:p w14:paraId="6496B7C5"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139.991.952</w:t>
            </w:r>
          </w:p>
        </w:tc>
        <w:tc>
          <w:tcPr>
            <w:tcW w:w="1180" w:type="dxa"/>
            <w:tcBorders>
              <w:top w:val="nil"/>
              <w:left w:val="nil"/>
              <w:bottom w:val="nil"/>
              <w:right w:val="nil"/>
            </w:tcBorders>
            <w:noWrap/>
            <w:vAlign w:val="center"/>
            <w:hideMark/>
          </w:tcPr>
          <w:p w14:paraId="0514F90E"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c>
          <w:tcPr>
            <w:tcW w:w="1340" w:type="dxa"/>
            <w:tcBorders>
              <w:top w:val="nil"/>
              <w:left w:val="nil"/>
              <w:bottom w:val="nil"/>
              <w:right w:val="nil"/>
            </w:tcBorders>
            <w:noWrap/>
            <w:vAlign w:val="center"/>
            <w:hideMark/>
          </w:tcPr>
          <w:p w14:paraId="10A34490"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139.991.952</w:t>
            </w:r>
          </w:p>
        </w:tc>
        <w:tc>
          <w:tcPr>
            <w:tcW w:w="1180" w:type="dxa"/>
            <w:tcBorders>
              <w:top w:val="nil"/>
              <w:left w:val="nil"/>
              <w:bottom w:val="nil"/>
              <w:right w:val="nil"/>
            </w:tcBorders>
            <w:noWrap/>
            <w:vAlign w:val="center"/>
            <w:hideMark/>
          </w:tcPr>
          <w:p w14:paraId="6289FDCF"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r>
      <w:tr w:rsidR="00BC1C4E" w:rsidRPr="00BC00DB" w14:paraId="58D1D920" w14:textId="77777777" w:rsidTr="00BC00DB">
        <w:trPr>
          <w:trHeight w:val="272"/>
        </w:trPr>
        <w:tc>
          <w:tcPr>
            <w:tcW w:w="7460" w:type="dxa"/>
            <w:tcBorders>
              <w:top w:val="nil"/>
              <w:left w:val="nil"/>
              <w:bottom w:val="nil"/>
              <w:right w:val="nil"/>
            </w:tcBorders>
            <w:noWrap/>
            <w:vAlign w:val="center"/>
            <w:hideMark/>
          </w:tcPr>
          <w:p w14:paraId="02328B87" w14:textId="77777777" w:rsidR="00BC1C4E" w:rsidRPr="00BC1C4E" w:rsidRDefault="00BC1C4E" w:rsidP="00BC1C4E">
            <w:pPr>
              <w:ind w:firstLineChars="100" w:firstLine="160"/>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Títulos e valores mobiliários (líquidos de provisão para perdas associadas ao risco de crédito)</w:t>
            </w:r>
          </w:p>
        </w:tc>
        <w:tc>
          <w:tcPr>
            <w:tcW w:w="1600" w:type="dxa"/>
            <w:tcBorders>
              <w:top w:val="nil"/>
              <w:left w:val="nil"/>
              <w:bottom w:val="nil"/>
              <w:right w:val="nil"/>
            </w:tcBorders>
            <w:vAlign w:val="center"/>
            <w:hideMark/>
          </w:tcPr>
          <w:p w14:paraId="681F6C05"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312.003.455</w:t>
            </w:r>
          </w:p>
        </w:tc>
        <w:tc>
          <w:tcPr>
            <w:tcW w:w="1340" w:type="dxa"/>
            <w:tcBorders>
              <w:top w:val="nil"/>
              <w:left w:val="nil"/>
              <w:bottom w:val="nil"/>
              <w:right w:val="nil"/>
            </w:tcBorders>
            <w:vAlign w:val="center"/>
            <w:hideMark/>
          </w:tcPr>
          <w:p w14:paraId="187FDB94"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310.582.979</w:t>
            </w:r>
          </w:p>
        </w:tc>
        <w:tc>
          <w:tcPr>
            <w:tcW w:w="1180" w:type="dxa"/>
            <w:tcBorders>
              <w:top w:val="nil"/>
              <w:left w:val="nil"/>
              <w:bottom w:val="nil"/>
              <w:right w:val="nil"/>
            </w:tcBorders>
            <w:noWrap/>
            <w:vAlign w:val="center"/>
            <w:hideMark/>
          </w:tcPr>
          <w:p w14:paraId="7C178C7C"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293.111.153</w:t>
            </w:r>
          </w:p>
        </w:tc>
        <w:tc>
          <w:tcPr>
            <w:tcW w:w="1340" w:type="dxa"/>
            <w:tcBorders>
              <w:top w:val="nil"/>
              <w:left w:val="nil"/>
              <w:bottom w:val="nil"/>
              <w:right w:val="nil"/>
            </w:tcBorders>
            <w:noWrap/>
            <w:vAlign w:val="center"/>
            <w:hideMark/>
          </w:tcPr>
          <w:p w14:paraId="2E757B71"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1.218.540</w:t>
            </w:r>
          </w:p>
        </w:tc>
        <w:tc>
          <w:tcPr>
            <w:tcW w:w="1180" w:type="dxa"/>
            <w:tcBorders>
              <w:top w:val="nil"/>
              <w:left w:val="nil"/>
              <w:bottom w:val="nil"/>
              <w:right w:val="nil"/>
            </w:tcBorders>
            <w:noWrap/>
            <w:vAlign w:val="center"/>
            <w:hideMark/>
          </w:tcPr>
          <w:p w14:paraId="6C0D6468"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16.253.286</w:t>
            </w:r>
          </w:p>
        </w:tc>
      </w:tr>
      <w:tr w:rsidR="00BC1C4E" w:rsidRPr="00BC00DB" w14:paraId="41BFA7B0" w14:textId="77777777" w:rsidTr="00BC00DB">
        <w:trPr>
          <w:trHeight w:val="272"/>
        </w:trPr>
        <w:tc>
          <w:tcPr>
            <w:tcW w:w="7460" w:type="dxa"/>
            <w:tcBorders>
              <w:top w:val="nil"/>
              <w:left w:val="nil"/>
              <w:bottom w:val="nil"/>
              <w:right w:val="nil"/>
            </w:tcBorders>
            <w:shd w:val="clear" w:color="000000" w:fill="D0E0E3"/>
            <w:noWrap/>
            <w:vAlign w:val="center"/>
            <w:hideMark/>
          </w:tcPr>
          <w:p w14:paraId="05837779" w14:textId="77777777" w:rsidR="00BC1C4E" w:rsidRPr="00BC1C4E" w:rsidRDefault="00BC1C4E" w:rsidP="00BC1C4E">
            <w:pPr>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Ativos financeiros ao custo amortizado</w:t>
            </w:r>
          </w:p>
        </w:tc>
        <w:tc>
          <w:tcPr>
            <w:tcW w:w="1600" w:type="dxa"/>
            <w:tcBorders>
              <w:top w:val="nil"/>
              <w:left w:val="nil"/>
              <w:bottom w:val="nil"/>
              <w:right w:val="nil"/>
            </w:tcBorders>
            <w:shd w:val="clear" w:color="000000" w:fill="D0E0E3"/>
            <w:noWrap/>
            <w:vAlign w:val="center"/>
            <w:hideMark/>
          </w:tcPr>
          <w:p w14:paraId="1F8AFE14"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1.530.942.293</w:t>
            </w:r>
          </w:p>
        </w:tc>
        <w:tc>
          <w:tcPr>
            <w:tcW w:w="1340" w:type="dxa"/>
            <w:tcBorders>
              <w:top w:val="nil"/>
              <w:left w:val="nil"/>
              <w:bottom w:val="nil"/>
              <w:right w:val="nil"/>
            </w:tcBorders>
            <w:shd w:val="clear" w:color="000000" w:fill="D0E0E3"/>
            <w:vAlign w:val="center"/>
            <w:hideMark/>
          </w:tcPr>
          <w:p w14:paraId="324203AF"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1.324.295.686</w:t>
            </w:r>
          </w:p>
        </w:tc>
        <w:tc>
          <w:tcPr>
            <w:tcW w:w="1180" w:type="dxa"/>
            <w:tcBorders>
              <w:top w:val="nil"/>
              <w:left w:val="nil"/>
              <w:bottom w:val="nil"/>
              <w:right w:val="nil"/>
            </w:tcBorders>
            <w:shd w:val="clear" w:color="000000" w:fill="D0E0E3"/>
            <w:noWrap/>
            <w:vAlign w:val="center"/>
            <w:hideMark/>
          </w:tcPr>
          <w:p w14:paraId="29940FD1" w14:textId="77777777" w:rsidR="00BC1C4E" w:rsidRPr="00BC1C4E" w:rsidRDefault="00BC1C4E" w:rsidP="00BC1C4E">
            <w:pPr>
              <w:jc w:val="center"/>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w:t>
            </w:r>
          </w:p>
        </w:tc>
        <w:tc>
          <w:tcPr>
            <w:tcW w:w="1340" w:type="dxa"/>
            <w:tcBorders>
              <w:top w:val="nil"/>
              <w:left w:val="nil"/>
              <w:bottom w:val="nil"/>
              <w:right w:val="nil"/>
            </w:tcBorders>
            <w:shd w:val="clear" w:color="000000" w:fill="D0E0E3"/>
            <w:noWrap/>
            <w:vAlign w:val="center"/>
            <w:hideMark/>
          </w:tcPr>
          <w:p w14:paraId="302F8417"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1.322.056.755</w:t>
            </w:r>
          </w:p>
        </w:tc>
        <w:tc>
          <w:tcPr>
            <w:tcW w:w="1180" w:type="dxa"/>
            <w:tcBorders>
              <w:top w:val="nil"/>
              <w:left w:val="nil"/>
              <w:bottom w:val="nil"/>
              <w:right w:val="nil"/>
            </w:tcBorders>
            <w:shd w:val="clear" w:color="000000" w:fill="D0E0E3"/>
            <w:noWrap/>
            <w:vAlign w:val="center"/>
            <w:hideMark/>
          </w:tcPr>
          <w:p w14:paraId="29EB44EB"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2.238.931</w:t>
            </w:r>
          </w:p>
        </w:tc>
      </w:tr>
      <w:tr w:rsidR="00BC1C4E" w:rsidRPr="00BC00DB" w14:paraId="5ABF1ED3" w14:textId="77777777" w:rsidTr="00BC00DB">
        <w:trPr>
          <w:trHeight w:val="272"/>
        </w:trPr>
        <w:tc>
          <w:tcPr>
            <w:tcW w:w="7460" w:type="dxa"/>
            <w:tcBorders>
              <w:top w:val="nil"/>
              <w:left w:val="nil"/>
              <w:bottom w:val="nil"/>
              <w:right w:val="nil"/>
            </w:tcBorders>
            <w:noWrap/>
            <w:vAlign w:val="center"/>
            <w:hideMark/>
          </w:tcPr>
          <w:p w14:paraId="7090ED3E" w14:textId="77777777" w:rsidR="00BC1C4E" w:rsidRPr="00BC1C4E" w:rsidRDefault="00BC1C4E" w:rsidP="00BC1C4E">
            <w:pPr>
              <w:ind w:firstLineChars="100" w:firstLine="160"/>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Depósitos no banco central</w:t>
            </w:r>
          </w:p>
        </w:tc>
        <w:tc>
          <w:tcPr>
            <w:tcW w:w="1600" w:type="dxa"/>
            <w:tcBorders>
              <w:top w:val="nil"/>
              <w:left w:val="nil"/>
              <w:bottom w:val="nil"/>
              <w:right w:val="nil"/>
            </w:tcBorders>
            <w:vAlign w:val="center"/>
            <w:hideMark/>
          </w:tcPr>
          <w:p w14:paraId="02EA495B"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116.891.800</w:t>
            </w:r>
          </w:p>
        </w:tc>
        <w:tc>
          <w:tcPr>
            <w:tcW w:w="1340" w:type="dxa"/>
            <w:tcBorders>
              <w:top w:val="nil"/>
              <w:left w:val="nil"/>
              <w:bottom w:val="nil"/>
              <w:right w:val="nil"/>
            </w:tcBorders>
            <w:vAlign w:val="center"/>
            <w:hideMark/>
          </w:tcPr>
          <w:p w14:paraId="710CD5D6"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109.496.183</w:t>
            </w:r>
          </w:p>
        </w:tc>
        <w:tc>
          <w:tcPr>
            <w:tcW w:w="1180" w:type="dxa"/>
            <w:tcBorders>
              <w:top w:val="nil"/>
              <w:left w:val="nil"/>
              <w:bottom w:val="nil"/>
              <w:right w:val="nil"/>
            </w:tcBorders>
            <w:noWrap/>
            <w:vAlign w:val="center"/>
            <w:hideMark/>
          </w:tcPr>
          <w:p w14:paraId="14747247"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c>
          <w:tcPr>
            <w:tcW w:w="1340" w:type="dxa"/>
            <w:tcBorders>
              <w:top w:val="nil"/>
              <w:left w:val="nil"/>
              <w:bottom w:val="nil"/>
              <w:right w:val="nil"/>
            </w:tcBorders>
            <w:noWrap/>
            <w:vAlign w:val="center"/>
            <w:hideMark/>
          </w:tcPr>
          <w:p w14:paraId="5250B7D4"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109.496.183</w:t>
            </w:r>
          </w:p>
        </w:tc>
        <w:tc>
          <w:tcPr>
            <w:tcW w:w="1180" w:type="dxa"/>
            <w:tcBorders>
              <w:top w:val="nil"/>
              <w:left w:val="nil"/>
              <w:bottom w:val="nil"/>
              <w:right w:val="nil"/>
            </w:tcBorders>
            <w:noWrap/>
            <w:vAlign w:val="center"/>
            <w:hideMark/>
          </w:tcPr>
          <w:p w14:paraId="7DA91608"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r>
      <w:tr w:rsidR="00BC1C4E" w:rsidRPr="00BC00DB" w14:paraId="532C765B" w14:textId="77777777" w:rsidTr="00BC00DB">
        <w:trPr>
          <w:trHeight w:val="272"/>
        </w:trPr>
        <w:tc>
          <w:tcPr>
            <w:tcW w:w="7460" w:type="dxa"/>
            <w:tcBorders>
              <w:top w:val="nil"/>
              <w:left w:val="nil"/>
              <w:bottom w:val="nil"/>
              <w:right w:val="nil"/>
            </w:tcBorders>
            <w:noWrap/>
            <w:vAlign w:val="center"/>
            <w:hideMark/>
          </w:tcPr>
          <w:p w14:paraId="710E7079" w14:textId="77777777" w:rsidR="00BC1C4E" w:rsidRPr="00BC1C4E" w:rsidRDefault="00BC1C4E" w:rsidP="00BC1C4E">
            <w:pPr>
              <w:ind w:firstLineChars="100" w:firstLine="160"/>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Aplicações interfinanceiras de liquidez</w:t>
            </w:r>
          </w:p>
        </w:tc>
        <w:tc>
          <w:tcPr>
            <w:tcW w:w="1600" w:type="dxa"/>
            <w:tcBorders>
              <w:top w:val="nil"/>
              <w:left w:val="nil"/>
              <w:bottom w:val="nil"/>
              <w:right w:val="nil"/>
            </w:tcBorders>
            <w:vAlign w:val="center"/>
            <w:hideMark/>
          </w:tcPr>
          <w:p w14:paraId="51FDBA68"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7.808.018</w:t>
            </w:r>
          </w:p>
        </w:tc>
        <w:tc>
          <w:tcPr>
            <w:tcW w:w="1340" w:type="dxa"/>
            <w:tcBorders>
              <w:top w:val="nil"/>
              <w:left w:val="nil"/>
              <w:bottom w:val="nil"/>
              <w:right w:val="nil"/>
            </w:tcBorders>
            <w:vAlign w:val="center"/>
            <w:hideMark/>
          </w:tcPr>
          <w:p w14:paraId="0DE509B7"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7.808.222</w:t>
            </w:r>
          </w:p>
        </w:tc>
        <w:tc>
          <w:tcPr>
            <w:tcW w:w="1180" w:type="dxa"/>
            <w:tcBorders>
              <w:top w:val="nil"/>
              <w:left w:val="nil"/>
              <w:bottom w:val="nil"/>
              <w:right w:val="nil"/>
            </w:tcBorders>
            <w:noWrap/>
            <w:vAlign w:val="center"/>
            <w:hideMark/>
          </w:tcPr>
          <w:p w14:paraId="26B27478"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c>
          <w:tcPr>
            <w:tcW w:w="1340" w:type="dxa"/>
            <w:tcBorders>
              <w:top w:val="nil"/>
              <w:left w:val="nil"/>
              <w:bottom w:val="nil"/>
              <w:right w:val="nil"/>
            </w:tcBorders>
            <w:noWrap/>
            <w:vAlign w:val="center"/>
            <w:hideMark/>
          </w:tcPr>
          <w:p w14:paraId="272AE1E8"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7.808.222</w:t>
            </w:r>
          </w:p>
        </w:tc>
        <w:tc>
          <w:tcPr>
            <w:tcW w:w="1180" w:type="dxa"/>
            <w:tcBorders>
              <w:top w:val="nil"/>
              <w:left w:val="nil"/>
              <w:bottom w:val="nil"/>
              <w:right w:val="nil"/>
            </w:tcBorders>
            <w:noWrap/>
            <w:vAlign w:val="center"/>
            <w:hideMark/>
          </w:tcPr>
          <w:p w14:paraId="3329519B"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r>
      <w:tr w:rsidR="00BC1C4E" w:rsidRPr="00BC00DB" w14:paraId="5F43F1D6" w14:textId="77777777" w:rsidTr="00BC00DB">
        <w:trPr>
          <w:trHeight w:val="272"/>
        </w:trPr>
        <w:tc>
          <w:tcPr>
            <w:tcW w:w="7460" w:type="dxa"/>
            <w:tcBorders>
              <w:top w:val="nil"/>
              <w:left w:val="nil"/>
              <w:bottom w:val="nil"/>
              <w:right w:val="nil"/>
            </w:tcBorders>
            <w:noWrap/>
            <w:vAlign w:val="center"/>
            <w:hideMark/>
          </w:tcPr>
          <w:p w14:paraId="6BC57319" w14:textId="77777777" w:rsidR="00BC1C4E" w:rsidRPr="00BC1C4E" w:rsidRDefault="00BC1C4E" w:rsidP="00BC1C4E">
            <w:pPr>
              <w:ind w:firstLineChars="100" w:firstLine="160"/>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Títulos e valores mobiliários (líquidos de provisão para perdas associadas ao risco de crédito)</w:t>
            </w:r>
          </w:p>
        </w:tc>
        <w:tc>
          <w:tcPr>
            <w:tcW w:w="1600" w:type="dxa"/>
            <w:tcBorders>
              <w:top w:val="nil"/>
              <w:left w:val="nil"/>
              <w:bottom w:val="nil"/>
              <w:right w:val="nil"/>
            </w:tcBorders>
            <w:vAlign w:val="center"/>
            <w:hideMark/>
          </w:tcPr>
          <w:p w14:paraId="10DD7175"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2.238.931</w:t>
            </w:r>
          </w:p>
        </w:tc>
        <w:tc>
          <w:tcPr>
            <w:tcW w:w="1340" w:type="dxa"/>
            <w:tcBorders>
              <w:top w:val="nil"/>
              <w:left w:val="nil"/>
              <w:bottom w:val="nil"/>
              <w:right w:val="nil"/>
            </w:tcBorders>
            <w:vAlign w:val="center"/>
            <w:hideMark/>
          </w:tcPr>
          <w:p w14:paraId="1A565439"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2.238.931</w:t>
            </w:r>
          </w:p>
        </w:tc>
        <w:tc>
          <w:tcPr>
            <w:tcW w:w="1180" w:type="dxa"/>
            <w:tcBorders>
              <w:top w:val="nil"/>
              <w:left w:val="nil"/>
              <w:bottom w:val="nil"/>
              <w:right w:val="nil"/>
            </w:tcBorders>
            <w:noWrap/>
            <w:vAlign w:val="center"/>
            <w:hideMark/>
          </w:tcPr>
          <w:p w14:paraId="7CE9C374"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c>
          <w:tcPr>
            <w:tcW w:w="1340" w:type="dxa"/>
            <w:tcBorders>
              <w:top w:val="nil"/>
              <w:left w:val="nil"/>
              <w:bottom w:val="nil"/>
              <w:right w:val="nil"/>
            </w:tcBorders>
            <w:noWrap/>
            <w:vAlign w:val="center"/>
            <w:hideMark/>
          </w:tcPr>
          <w:p w14:paraId="2EFC348D"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c>
          <w:tcPr>
            <w:tcW w:w="1180" w:type="dxa"/>
            <w:tcBorders>
              <w:top w:val="nil"/>
              <w:left w:val="nil"/>
              <w:bottom w:val="nil"/>
              <w:right w:val="nil"/>
            </w:tcBorders>
            <w:noWrap/>
            <w:vAlign w:val="center"/>
            <w:hideMark/>
          </w:tcPr>
          <w:p w14:paraId="1C78BEFF"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2.238.931</w:t>
            </w:r>
          </w:p>
        </w:tc>
      </w:tr>
      <w:tr w:rsidR="00BC1C4E" w:rsidRPr="00BC00DB" w14:paraId="13845C05" w14:textId="77777777" w:rsidTr="00BC00DB">
        <w:trPr>
          <w:trHeight w:val="272"/>
        </w:trPr>
        <w:tc>
          <w:tcPr>
            <w:tcW w:w="7460" w:type="dxa"/>
            <w:tcBorders>
              <w:top w:val="nil"/>
              <w:left w:val="nil"/>
              <w:bottom w:val="nil"/>
              <w:right w:val="nil"/>
            </w:tcBorders>
            <w:noWrap/>
            <w:vAlign w:val="center"/>
            <w:hideMark/>
          </w:tcPr>
          <w:p w14:paraId="4CA1773B" w14:textId="77777777" w:rsidR="00BC1C4E" w:rsidRPr="00BC1C4E" w:rsidRDefault="00BC1C4E" w:rsidP="00BC1C4E">
            <w:pPr>
              <w:ind w:firstLineChars="100" w:firstLine="160"/>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Operações de crédito</w:t>
            </w:r>
          </w:p>
        </w:tc>
        <w:tc>
          <w:tcPr>
            <w:tcW w:w="1600" w:type="dxa"/>
            <w:tcBorders>
              <w:top w:val="nil"/>
              <w:left w:val="nil"/>
              <w:bottom w:val="nil"/>
              <w:right w:val="nil"/>
            </w:tcBorders>
            <w:vAlign w:val="center"/>
            <w:hideMark/>
          </w:tcPr>
          <w:p w14:paraId="69680020"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1.359.382.759</w:t>
            </w:r>
          </w:p>
        </w:tc>
        <w:tc>
          <w:tcPr>
            <w:tcW w:w="1340" w:type="dxa"/>
            <w:tcBorders>
              <w:top w:val="nil"/>
              <w:left w:val="nil"/>
              <w:bottom w:val="nil"/>
              <w:right w:val="nil"/>
            </w:tcBorders>
            <w:vAlign w:val="center"/>
            <w:hideMark/>
          </w:tcPr>
          <w:p w14:paraId="55D9C8D4"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1.163.634.903</w:t>
            </w:r>
          </w:p>
        </w:tc>
        <w:tc>
          <w:tcPr>
            <w:tcW w:w="1180" w:type="dxa"/>
            <w:tcBorders>
              <w:top w:val="nil"/>
              <w:left w:val="nil"/>
              <w:bottom w:val="nil"/>
              <w:right w:val="nil"/>
            </w:tcBorders>
            <w:noWrap/>
            <w:vAlign w:val="center"/>
            <w:hideMark/>
          </w:tcPr>
          <w:p w14:paraId="1EFA5ADD"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c>
          <w:tcPr>
            <w:tcW w:w="1340" w:type="dxa"/>
            <w:tcBorders>
              <w:top w:val="nil"/>
              <w:left w:val="nil"/>
              <w:bottom w:val="nil"/>
              <w:right w:val="nil"/>
            </w:tcBorders>
            <w:noWrap/>
            <w:vAlign w:val="center"/>
            <w:hideMark/>
          </w:tcPr>
          <w:p w14:paraId="057C8EB4"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1.163.634.903</w:t>
            </w:r>
          </w:p>
        </w:tc>
        <w:tc>
          <w:tcPr>
            <w:tcW w:w="1180" w:type="dxa"/>
            <w:tcBorders>
              <w:top w:val="nil"/>
              <w:left w:val="nil"/>
              <w:bottom w:val="nil"/>
              <w:right w:val="nil"/>
            </w:tcBorders>
            <w:noWrap/>
            <w:vAlign w:val="center"/>
            <w:hideMark/>
          </w:tcPr>
          <w:p w14:paraId="167B4EA2"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r>
      <w:tr w:rsidR="00BC1C4E" w:rsidRPr="00BC00DB" w14:paraId="2422104D" w14:textId="77777777" w:rsidTr="0096727B">
        <w:trPr>
          <w:trHeight w:val="272"/>
        </w:trPr>
        <w:tc>
          <w:tcPr>
            <w:tcW w:w="7460" w:type="dxa"/>
            <w:tcBorders>
              <w:top w:val="nil"/>
              <w:left w:val="nil"/>
              <w:right w:val="nil"/>
            </w:tcBorders>
            <w:noWrap/>
            <w:vAlign w:val="center"/>
            <w:hideMark/>
          </w:tcPr>
          <w:p w14:paraId="57CAE403" w14:textId="77777777" w:rsidR="00BC1C4E" w:rsidRPr="00BC1C4E" w:rsidRDefault="00BC1C4E" w:rsidP="00BC1C4E">
            <w:pPr>
              <w:ind w:firstLineChars="100" w:firstLine="160"/>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Outros ativos financeiros (líquidos de provisão para perdas associadas ao risco de crédito)</w:t>
            </w:r>
          </w:p>
        </w:tc>
        <w:tc>
          <w:tcPr>
            <w:tcW w:w="1600" w:type="dxa"/>
            <w:tcBorders>
              <w:top w:val="nil"/>
              <w:left w:val="nil"/>
              <w:right w:val="nil"/>
            </w:tcBorders>
            <w:vAlign w:val="center"/>
            <w:hideMark/>
          </w:tcPr>
          <w:p w14:paraId="1D9A29C6"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44.620.785</w:t>
            </w:r>
          </w:p>
        </w:tc>
        <w:tc>
          <w:tcPr>
            <w:tcW w:w="1340" w:type="dxa"/>
            <w:tcBorders>
              <w:top w:val="nil"/>
              <w:left w:val="nil"/>
              <w:right w:val="nil"/>
            </w:tcBorders>
            <w:vAlign w:val="center"/>
            <w:hideMark/>
          </w:tcPr>
          <w:p w14:paraId="3E414CDF"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41.117.447</w:t>
            </w:r>
          </w:p>
        </w:tc>
        <w:tc>
          <w:tcPr>
            <w:tcW w:w="1180" w:type="dxa"/>
            <w:tcBorders>
              <w:top w:val="nil"/>
              <w:left w:val="nil"/>
              <w:right w:val="nil"/>
            </w:tcBorders>
            <w:noWrap/>
            <w:vAlign w:val="center"/>
            <w:hideMark/>
          </w:tcPr>
          <w:p w14:paraId="6A2EECD6"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c>
          <w:tcPr>
            <w:tcW w:w="1340" w:type="dxa"/>
            <w:tcBorders>
              <w:top w:val="nil"/>
              <w:left w:val="nil"/>
              <w:right w:val="nil"/>
            </w:tcBorders>
            <w:noWrap/>
            <w:vAlign w:val="center"/>
            <w:hideMark/>
          </w:tcPr>
          <w:p w14:paraId="2540C82D"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41.117.447</w:t>
            </w:r>
          </w:p>
        </w:tc>
        <w:tc>
          <w:tcPr>
            <w:tcW w:w="1180" w:type="dxa"/>
            <w:tcBorders>
              <w:top w:val="nil"/>
              <w:left w:val="nil"/>
              <w:right w:val="nil"/>
            </w:tcBorders>
            <w:noWrap/>
            <w:vAlign w:val="center"/>
            <w:hideMark/>
          </w:tcPr>
          <w:p w14:paraId="414C388B"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r>
      <w:tr w:rsidR="00BC1C4E" w:rsidRPr="00BC00DB" w14:paraId="40D4133C" w14:textId="77777777" w:rsidTr="0096727B">
        <w:trPr>
          <w:trHeight w:val="272"/>
        </w:trPr>
        <w:tc>
          <w:tcPr>
            <w:tcW w:w="7460" w:type="dxa"/>
            <w:tcBorders>
              <w:top w:val="nil"/>
              <w:left w:val="nil"/>
              <w:bottom w:val="single" w:sz="4" w:space="0" w:color="FFFFFF" w:themeColor="background1"/>
              <w:right w:val="nil"/>
            </w:tcBorders>
            <w:shd w:val="clear" w:color="000000" w:fill="D0E0E3"/>
            <w:noWrap/>
            <w:vAlign w:val="center"/>
            <w:hideMark/>
          </w:tcPr>
          <w:p w14:paraId="49D831B7" w14:textId="77777777" w:rsidR="00BC1C4E" w:rsidRPr="00BC1C4E" w:rsidRDefault="00BC1C4E" w:rsidP="00BC1C4E">
            <w:pPr>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Passivo</w:t>
            </w:r>
          </w:p>
        </w:tc>
        <w:tc>
          <w:tcPr>
            <w:tcW w:w="1600" w:type="dxa"/>
            <w:tcBorders>
              <w:top w:val="nil"/>
              <w:left w:val="nil"/>
              <w:bottom w:val="single" w:sz="4" w:space="0" w:color="FFFFFF" w:themeColor="background1"/>
              <w:right w:val="nil"/>
            </w:tcBorders>
            <w:shd w:val="clear" w:color="000000" w:fill="D0E0E3"/>
            <w:vAlign w:val="center"/>
            <w:hideMark/>
          </w:tcPr>
          <w:p w14:paraId="05F807DC"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2.021.376.597</w:t>
            </w:r>
          </w:p>
        </w:tc>
        <w:tc>
          <w:tcPr>
            <w:tcW w:w="1340" w:type="dxa"/>
            <w:tcBorders>
              <w:top w:val="nil"/>
              <w:left w:val="nil"/>
              <w:bottom w:val="single" w:sz="4" w:space="0" w:color="FFFFFF" w:themeColor="background1"/>
              <w:right w:val="nil"/>
            </w:tcBorders>
            <w:shd w:val="clear" w:color="000000" w:fill="D0E0E3"/>
            <w:vAlign w:val="center"/>
            <w:hideMark/>
          </w:tcPr>
          <w:p w14:paraId="17523640"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1.732.138.074</w:t>
            </w:r>
          </w:p>
        </w:tc>
        <w:tc>
          <w:tcPr>
            <w:tcW w:w="1180" w:type="dxa"/>
            <w:tcBorders>
              <w:top w:val="nil"/>
              <w:left w:val="nil"/>
              <w:bottom w:val="single" w:sz="4" w:space="0" w:color="FFFFFF" w:themeColor="background1"/>
              <w:right w:val="nil"/>
            </w:tcBorders>
            <w:shd w:val="clear" w:color="000000" w:fill="D0E0E3"/>
            <w:vAlign w:val="center"/>
            <w:hideMark/>
          </w:tcPr>
          <w:p w14:paraId="47F7F8FC" w14:textId="77777777" w:rsidR="00BC1C4E" w:rsidRPr="00BC1C4E" w:rsidRDefault="00BC1C4E" w:rsidP="00BC1C4E">
            <w:pPr>
              <w:jc w:val="center"/>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w:t>
            </w:r>
          </w:p>
        </w:tc>
        <w:tc>
          <w:tcPr>
            <w:tcW w:w="1340" w:type="dxa"/>
            <w:tcBorders>
              <w:top w:val="nil"/>
              <w:left w:val="nil"/>
              <w:bottom w:val="single" w:sz="4" w:space="0" w:color="FFFFFF" w:themeColor="background1"/>
              <w:right w:val="nil"/>
            </w:tcBorders>
            <w:shd w:val="clear" w:color="000000" w:fill="D0E0E3"/>
            <w:vAlign w:val="center"/>
            <w:hideMark/>
          </w:tcPr>
          <w:p w14:paraId="0F17BD2F"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978.957.230</w:t>
            </w:r>
          </w:p>
        </w:tc>
        <w:tc>
          <w:tcPr>
            <w:tcW w:w="1180" w:type="dxa"/>
            <w:tcBorders>
              <w:top w:val="nil"/>
              <w:left w:val="nil"/>
              <w:bottom w:val="single" w:sz="4" w:space="0" w:color="FFFFFF" w:themeColor="background1"/>
              <w:right w:val="nil"/>
            </w:tcBorders>
            <w:shd w:val="clear" w:color="000000" w:fill="D0E0E3"/>
            <w:vAlign w:val="center"/>
            <w:hideMark/>
          </w:tcPr>
          <w:p w14:paraId="1CC15B30"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753.180.844</w:t>
            </w:r>
          </w:p>
        </w:tc>
      </w:tr>
      <w:tr w:rsidR="00BC1C4E" w:rsidRPr="00BC00DB" w14:paraId="1230BF89" w14:textId="77777777" w:rsidTr="0096727B">
        <w:trPr>
          <w:trHeight w:val="272"/>
        </w:trPr>
        <w:tc>
          <w:tcPr>
            <w:tcW w:w="7460" w:type="dxa"/>
            <w:tcBorders>
              <w:top w:val="single" w:sz="4" w:space="0" w:color="FFFFFF" w:themeColor="background1"/>
              <w:left w:val="nil"/>
              <w:right w:val="nil"/>
            </w:tcBorders>
            <w:shd w:val="clear" w:color="000000" w:fill="D0E0E3"/>
            <w:noWrap/>
            <w:vAlign w:val="center"/>
            <w:hideMark/>
          </w:tcPr>
          <w:p w14:paraId="22F2B3A0" w14:textId="77777777" w:rsidR="00BC1C4E" w:rsidRPr="00BC1C4E" w:rsidRDefault="00BC1C4E" w:rsidP="00BC1C4E">
            <w:pPr>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Passivos financeiros ao valor justo por meio do resultado</w:t>
            </w:r>
          </w:p>
        </w:tc>
        <w:tc>
          <w:tcPr>
            <w:tcW w:w="1600" w:type="dxa"/>
            <w:tcBorders>
              <w:top w:val="single" w:sz="4" w:space="0" w:color="FFFFFF" w:themeColor="background1"/>
              <w:left w:val="nil"/>
              <w:right w:val="nil"/>
            </w:tcBorders>
            <w:shd w:val="clear" w:color="000000" w:fill="D0E0E3"/>
            <w:vAlign w:val="center"/>
            <w:hideMark/>
          </w:tcPr>
          <w:p w14:paraId="53E1B7E6"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372.346</w:t>
            </w:r>
          </w:p>
        </w:tc>
        <w:tc>
          <w:tcPr>
            <w:tcW w:w="1340" w:type="dxa"/>
            <w:tcBorders>
              <w:top w:val="single" w:sz="4" w:space="0" w:color="FFFFFF" w:themeColor="background1"/>
              <w:left w:val="nil"/>
              <w:right w:val="nil"/>
            </w:tcBorders>
            <w:shd w:val="clear" w:color="000000" w:fill="D0E0E3"/>
            <w:vAlign w:val="center"/>
            <w:hideMark/>
          </w:tcPr>
          <w:p w14:paraId="1558C3EE"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372.342</w:t>
            </w:r>
          </w:p>
        </w:tc>
        <w:tc>
          <w:tcPr>
            <w:tcW w:w="1180" w:type="dxa"/>
            <w:tcBorders>
              <w:top w:val="single" w:sz="4" w:space="0" w:color="FFFFFF" w:themeColor="background1"/>
              <w:left w:val="nil"/>
              <w:right w:val="nil"/>
            </w:tcBorders>
            <w:shd w:val="clear" w:color="000000" w:fill="D0E0E3"/>
            <w:vAlign w:val="center"/>
            <w:hideMark/>
          </w:tcPr>
          <w:p w14:paraId="09613EFB" w14:textId="77777777" w:rsidR="00BC1C4E" w:rsidRPr="00BC1C4E" w:rsidRDefault="00BC1C4E" w:rsidP="00BC1C4E">
            <w:pPr>
              <w:jc w:val="center"/>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w:t>
            </w:r>
          </w:p>
        </w:tc>
        <w:tc>
          <w:tcPr>
            <w:tcW w:w="1340" w:type="dxa"/>
            <w:tcBorders>
              <w:top w:val="single" w:sz="4" w:space="0" w:color="FFFFFF" w:themeColor="background1"/>
              <w:left w:val="nil"/>
              <w:right w:val="nil"/>
            </w:tcBorders>
            <w:shd w:val="clear" w:color="000000" w:fill="D0E0E3"/>
            <w:vAlign w:val="center"/>
            <w:hideMark/>
          </w:tcPr>
          <w:p w14:paraId="72B9DB87"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372.342</w:t>
            </w:r>
          </w:p>
        </w:tc>
        <w:tc>
          <w:tcPr>
            <w:tcW w:w="1180" w:type="dxa"/>
            <w:tcBorders>
              <w:top w:val="single" w:sz="4" w:space="0" w:color="FFFFFF" w:themeColor="background1"/>
              <w:left w:val="nil"/>
              <w:right w:val="nil"/>
            </w:tcBorders>
            <w:shd w:val="clear" w:color="000000" w:fill="D0E0E3"/>
            <w:vAlign w:val="center"/>
            <w:hideMark/>
          </w:tcPr>
          <w:p w14:paraId="5F27BAA9" w14:textId="77777777" w:rsidR="00BC1C4E" w:rsidRPr="00BC1C4E" w:rsidRDefault="00BC1C4E" w:rsidP="00BC1C4E">
            <w:pPr>
              <w:jc w:val="center"/>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w:t>
            </w:r>
          </w:p>
        </w:tc>
      </w:tr>
      <w:tr w:rsidR="00BC1C4E" w:rsidRPr="00BC00DB" w14:paraId="4FD2EC63" w14:textId="77777777" w:rsidTr="00BC00DB">
        <w:trPr>
          <w:trHeight w:val="272"/>
        </w:trPr>
        <w:tc>
          <w:tcPr>
            <w:tcW w:w="7460" w:type="dxa"/>
            <w:tcBorders>
              <w:top w:val="nil"/>
              <w:left w:val="nil"/>
              <w:bottom w:val="nil"/>
              <w:right w:val="nil"/>
            </w:tcBorders>
            <w:noWrap/>
            <w:vAlign w:val="center"/>
            <w:hideMark/>
          </w:tcPr>
          <w:p w14:paraId="7330B1F3" w14:textId="77777777" w:rsidR="00BC1C4E" w:rsidRPr="00BC1C4E" w:rsidRDefault="00BC1C4E" w:rsidP="00BC1C4E">
            <w:pPr>
              <w:ind w:firstLineChars="100" w:firstLine="160"/>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Instrumentos financeiros derivativos</w:t>
            </w:r>
          </w:p>
        </w:tc>
        <w:tc>
          <w:tcPr>
            <w:tcW w:w="1600" w:type="dxa"/>
            <w:tcBorders>
              <w:top w:val="nil"/>
              <w:left w:val="nil"/>
              <w:bottom w:val="nil"/>
              <w:right w:val="nil"/>
            </w:tcBorders>
            <w:vAlign w:val="center"/>
            <w:hideMark/>
          </w:tcPr>
          <w:p w14:paraId="2E27A68C"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372.346</w:t>
            </w:r>
          </w:p>
        </w:tc>
        <w:tc>
          <w:tcPr>
            <w:tcW w:w="1340" w:type="dxa"/>
            <w:tcBorders>
              <w:top w:val="nil"/>
              <w:left w:val="nil"/>
              <w:bottom w:val="nil"/>
              <w:right w:val="nil"/>
            </w:tcBorders>
            <w:vAlign w:val="center"/>
            <w:hideMark/>
          </w:tcPr>
          <w:p w14:paraId="422D18A8"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372.342</w:t>
            </w:r>
          </w:p>
        </w:tc>
        <w:tc>
          <w:tcPr>
            <w:tcW w:w="1180" w:type="dxa"/>
            <w:tcBorders>
              <w:top w:val="nil"/>
              <w:left w:val="nil"/>
              <w:bottom w:val="nil"/>
              <w:right w:val="nil"/>
            </w:tcBorders>
            <w:noWrap/>
            <w:vAlign w:val="center"/>
            <w:hideMark/>
          </w:tcPr>
          <w:p w14:paraId="5717D007"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c>
          <w:tcPr>
            <w:tcW w:w="1340" w:type="dxa"/>
            <w:tcBorders>
              <w:top w:val="nil"/>
              <w:left w:val="nil"/>
              <w:bottom w:val="nil"/>
              <w:right w:val="nil"/>
            </w:tcBorders>
            <w:noWrap/>
            <w:vAlign w:val="center"/>
            <w:hideMark/>
          </w:tcPr>
          <w:p w14:paraId="47948511"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372.342</w:t>
            </w:r>
          </w:p>
        </w:tc>
        <w:tc>
          <w:tcPr>
            <w:tcW w:w="1180" w:type="dxa"/>
            <w:tcBorders>
              <w:top w:val="nil"/>
              <w:left w:val="nil"/>
              <w:bottom w:val="nil"/>
              <w:right w:val="nil"/>
            </w:tcBorders>
            <w:noWrap/>
            <w:vAlign w:val="center"/>
            <w:hideMark/>
          </w:tcPr>
          <w:p w14:paraId="27C1C5ED"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r>
      <w:tr w:rsidR="00BC1C4E" w:rsidRPr="00BC00DB" w14:paraId="5C2B4999" w14:textId="77777777" w:rsidTr="0096727B">
        <w:trPr>
          <w:trHeight w:val="272"/>
        </w:trPr>
        <w:tc>
          <w:tcPr>
            <w:tcW w:w="7460" w:type="dxa"/>
            <w:tcBorders>
              <w:left w:val="nil"/>
              <w:bottom w:val="nil"/>
              <w:right w:val="nil"/>
            </w:tcBorders>
            <w:shd w:val="clear" w:color="000000" w:fill="D0E0E3"/>
            <w:noWrap/>
            <w:vAlign w:val="center"/>
            <w:hideMark/>
          </w:tcPr>
          <w:p w14:paraId="69C38341" w14:textId="77777777" w:rsidR="00BC1C4E" w:rsidRPr="00BC1C4E" w:rsidRDefault="00BC1C4E" w:rsidP="00BC1C4E">
            <w:pPr>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Passivos financeiros ao custo amortizado</w:t>
            </w:r>
          </w:p>
        </w:tc>
        <w:tc>
          <w:tcPr>
            <w:tcW w:w="1600" w:type="dxa"/>
            <w:tcBorders>
              <w:left w:val="nil"/>
              <w:bottom w:val="nil"/>
              <w:right w:val="nil"/>
            </w:tcBorders>
            <w:shd w:val="clear" w:color="000000" w:fill="D0E0E3"/>
            <w:vAlign w:val="center"/>
            <w:hideMark/>
          </w:tcPr>
          <w:p w14:paraId="0C8F4708"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2.021.004.251</w:t>
            </w:r>
          </w:p>
        </w:tc>
        <w:tc>
          <w:tcPr>
            <w:tcW w:w="1340" w:type="dxa"/>
            <w:tcBorders>
              <w:left w:val="nil"/>
              <w:bottom w:val="nil"/>
              <w:right w:val="nil"/>
            </w:tcBorders>
            <w:shd w:val="clear" w:color="000000" w:fill="D0E0E3"/>
            <w:vAlign w:val="center"/>
            <w:hideMark/>
          </w:tcPr>
          <w:p w14:paraId="6FA4BF64"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1.731.765.732</w:t>
            </w:r>
          </w:p>
        </w:tc>
        <w:tc>
          <w:tcPr>
            <w:tcW w:w="1180" w:type="dxa"/>
            <w:tcBorders>
              <w:left w:val="nil"/>
              <w:bottom w:val="nil"/>
              <w:right w:val="nil"/>
            </w:tcBorders>
            <w:shd w:val="clear" w:color="000000" w:fill="D0E0E3"/>
            <w:vAlign w:val="center"/>
            <w:hideMark/>
          </w:tcPr>
          <w:p w14:paraId="1E4F5618" w14:textId="77777777" w:rsidR="00BC1C4E" w:rsidRPr="00BC1C4E" w:rsidRDefault="00BC1C4E" w:rsidP="00BC1C4E">
            <w:pPr>
              <w:jc w:val="center"/>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w:t>
            </w:r>
          </w:p>
        </w:tc>
        <w:tc>
          <w:tcPr>
            <w:tcW w:w="1340" w:type="dxa"/>
            <w:tcBorders>
              <w:left w:val="nil"/>
              <w:bottom w:val="nil"/>
              <w:right w:val="nil"/>
            </w:tcBorders>
            <w:shd w:val="clear" w:color="000000" w:fill="D0E0E3"/>
            <w:vAlign w:val="center"/>
            <w:hideMark/>
          </w:tcPr>
          <w:p w14:paraId="64A68672"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978.584.888</w:t>
            </w:r>
          </w:p>
        </w:tc>
        <w:tc>
          <w:tcPr>
            <w:tcW w:w="1180" w:type="dxa"/>
            <w:tcBorders>
              <w:left w:val="nil"/>
              <w:bottom w:val="nil"/>
              <w:right w:val="nil"/>
            </w:tcBorders>
            <w:shd w:val="clear" w:color="000000" w:fill="D0E0E3"/>
            <w:vAlign w:val="center"/>
            <w:hideMark/>
          </w:tcPr>
          <w:p w14:paraId="6380B84D" w14:textId="77777777" w:rsidR="00BC1C4E" w:rsidRPr="00BC1C4E" w:rsidRDefault="00BC1C4E" w:rsidP="00BC1C4E">
            <w:pPr>
              <w:jc w:val="right"/>
              <w:rPr>
                <w:rFonts w:ascii="CAIXA Std Book" w:eastAsia="Times New Roman" w:hAnsi="CAIXA Std Book" w:cs="Arial"/>
                <w:b/>
                <w:bCs/>
                <w:color w:val="005CA9"/>
                <w:sz w:val="16"/>
                <w:szCs w:val="16"/>
              </w:rPr>
            </w:pPr>
            <w:r w:rsidRPr="00BC1C4E">
              <w:rPr>
                <w:rFonts w:ascii="CAIXA Std Book" w:eastAsia="Times New Roman" w:hAnsi="CAIXA Std Book" w:cs="Arial"/>
                <w:b/>
                <w:bCs/>
                <w:color w:val="005CA9"/>
                <w:sz w:val="16"/>
                <w:szCs w:val="16"/>
              </w:rPr>
              <w:t>753.180.844</w:t>
            </w:r>
          </w:p>
        </w:tc>
      </w:tr>
      <w:tr w:rsidR="00BC1C4E" w:rsidRPr="00BC00DB" w14:paraId="6C358F64" w14:textId="77777777" w:rsidTr="00BC00DB">
        <w:trPr>
          <w:trHeight w:val="272"/>
        </w:trPr>
        <w:tc>
          <w:tcPr>
            <w:tcW w:w="7460" w:type="dxa"/>
            <w:tcBorders>
              <w:top w:val="nil"/>
              <w:left w:val="nil"/>
              <w:bottom w:val="nil"/>
              <w:right w:val="nil"/>
            </w:tcBorders>
            <w:noWrap/>
            <w:vAlign w:val="center"/>
            <w:hideMark/>
          </w:tcPr>
          <w:p w14:paraId="03B35471" w14:textId="77777777" w:rsidR="00BC1C4E" w:rsidRPr="00BC1C4E" w:rsidRDefault="00BC1C4E" w:rsidP="00BC1C4E">
            <w:pPr>
              <w:ind w:firstLineChars="100" w:firstLine="160"/>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Recursos de clientes</w:t>
            </w:r>
          </w:p>
        </w:tc>
        <w:tc>
          <w:tcPr>
            <w:tcW w:w="1600" w:type="dxa"/>
            <w:tcBorders>
              <w:top w:val="nil"/>
              <w:left w:val="nil"/>
              <w:bottom w:val="nil"/>
              <w:right w:val="nil"/>
            </w:tcBorders>
            <w:vAlign w:val="center"/>
            <w:hideMark/>
          </w:tcPr>
          <w:p w14:paraId="11BB2F12"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821.927.213</w:t>
            </w:r>
          </w:p>
        </w:tc>
        <w:tc>
          <w:tcPr>
            <w:tcW w:w="1340" w:type="dxa"/>
            <w:tcBorders>
              <w:top w:val="nil"/>
              <w:left w:val="nil"/>
              <w:bottom w:val="nil"/>
              <w:right w:val="nil"/>
            </w:tcBorders>
            <w:vAlign w:val="center"/>
            <w:hideMark/>
          </w:tcPr>
          <w:p w14:paraId="55098BF8"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753.180.844</w:t>
            </w:r>
          </w:p>
        </w:tc>
        <w:tc>
          <w:tcPr>
            <w:tcW w:w="1180" w:type="dxa"/>
            <w:tcBorders>
              <w:top w:val="nil"/>
              <w:left w:val="nil"/>
              <w:bottom w:val="nil"/>
              <w:right w:val="nil"/>
            </w:tcBorders>
            <w:noWrap/>
            <w:vAlign w:val="center"/>
            <w:hideMark/>
          </w:tcPr>
          <w:p w14:paraId="6A4B9F67"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c>
          <w:tcPr>
            <w:tcW w:w="1340" w:type="dxa"/>
            <w:tcBorders>
              <w:top w:val="nil"/>
              <w:left w:val="nil"/>
              <w:bottom w:val="nil"/>
              <w:right w:val="nil"/>
            </w:tcBorders>
            <w:noWrap/>
            <w:vAlign w:val="center"/>
            <w:hideMark/>
          </w:tcPr>
          <w:p w14:paraId="722F2B59"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c>
          <w:tcPr>
            <w:tcW w:w="1180" w:type="dxa"/>
            <w:tcBorders>
              <w:top w:val="nil"/>
              <w:left w:val="nil"/>
              <w:bottom w:val="nil"/>
              <w:right w:val="nil"/>
            </w:tcBorders>
            <w:noWrap/>
            <w:vAlign w:val="center"/>
            <w:hideMark/>
          </w:tcPr>
          <w:p w14:paraId="169EFBFB"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753.180.844</w:t>
            </w:r>
          </w:p>
        </w:tc>
      </w:tr>
      <w:tr w:rsidR="00BC1C4E" w:rsidRPr="00BC00DB" w14:paraId="3514A71F" w14:textId="77777777" w:rsidTr="00BC00DB">
        <w:trPr>
          <w:trHeight w:val="272"/>
        </w:trPr>
        <w:tc>
          <w:tcPr>
            <w:tcW w:w="7460" w:type="dxa"/>
            <w:tcBorders>
              <w:top w:val="nil"/>
              <w:left w:val="nil"/>
              <w:bottom w:val="nil"/>
              <w:right w:val="nil"/>
            </w:tcBorders>
            <w:noWrap/>
            <w:vAlign w:val="center"/>
            <w:hideMark/>
          </w:tcPr>
          <w:p w14:paraId="5DCAECE8" w14:textId="77777777" w:rsidR="00BC1C4E" w:rsidRPr="00BC1C4E" w:rsidRDefault="00BC1C4E" w:rsidP="00BC1C4E">
            <w:pPr>
              <w:ind w:firstLineChars="100" w:firstLine="160"/>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Recursos de instituições financeiras e outras</w:t>
            </w:r>
          </w:p>
        </w:tc>
        <w:tc>
          <w:tcPr>
            <w:tcW w:w="1600" w:type="dxa"/>
            <w:tcBorders>
              <w:top w:val="nil"/>
              <w:left w:val="nil"/>
              <w:bottom w:val="nil"/>
              <w:right w:val="nil"/>
            </w:tcBorders>
            <w:vAlign w:val="center"/>
            <w:hideMark/>
          </w:tcPr>
          <w:p w14:paraId="4CEF6A9B"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793.405.932</w:t>
            </w:r>
          </w:p>
        </w:tc>
        <w:tc>
          <w:tcPr>
            <w:tcW w:w="1340" w:type="dxa"/>
            <w:tcBorders>
              <w:top w:val="nil"/>
              <w:left w:val="nil"/>
              <w:bottom w:val="nil"/>
              <w:right w:val="nil"/>
            </w:tcBorders>
            <w:vAlign w:val="center"/>
            <w:hideMark/>
          </w:tcPr>
          <w:p w14:paraId="17D98C7C"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578.105.351</w:t>
            </w:r>
          </w:p>
        </w:tc>
        <w:tc>
          <w:tcPr>
            <w:tcW w:w="1180" w:type="dxa"/>
            <w:tcBorders>
              <w:top w:val="nil"/>
              <w:left w:val="nil"/>
              <w:bottom w:val="nil"/>
              <w:right w:val="nil"/>
            </w:tcBorders>
            <w:noWrap/>
            <w:vAlign w:val="center"/>
            <w:hideMark/>
          </w:tcPr>
          <w:p w14:paraId="0FEF322A"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c>
          <w:tcPr>
            <w:tcW w:w="1340" w:type="dxa"/>
            <w:tcBorders>
              <w:top w:val="nil"/>
              <w:left w:val="nil"/>
              <w:bottom w:val="nil"/>
              <w:right w:val="nil"/>
            </w:tcBorders>
            <w:noWrap/>
            <w:vAlign w:val="center"/>
            <w:hideMark/>
          </w:tcPr>
          <w:p w14:paraId="666422D0"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578.105.351</w:t>
            </w:r>
          </w:p>
        </w:tc>
        <w:tc>
          <w:tcPr>
            <w:tcW w:w="1180" w:type="dxa"/>
            <w:tcBorders>
              <w:top w:val="nil"/>
              <w:left w:val="nil"/>
              <w:bottom w:val="nil"/>
              <w:right w:val="nil"/>
            </w:tcBorders>
            <w:noWrap/>
            <w:vAlign w:val="center"/>
            <w:hideMark/>
          </w:tcPr>
          <w:p w14:paraId="2A987030"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r>
      <w:tr w:rsidR="00BC1C4E" w:rsidRPr="00BC00DB" w14:paraId="3D75BEEA" w14:textId="77777777" w:rsidTr="00BC00DB">
        <w:trPr>
          <w:trHeight w:val="272"/>
        </w:trPr>
        <w:tc>
          <w:tcPr>
            <w:tcW w:w="7460" w:type="dxa"/>
            <w:tcBorders>
              <w:top w:val="nil"/>
              <w:left w:val="nil"/>
              <w:bottom w:val="nil"/>
              <w:right w:val="nil"/>
            </w:tcBorders>
            <w:noWrap/>
            <w:vAlign w:val="center"/>
            <w:hideMark/>
          </w:tcPr>
          <w:p w14:paraId="745C2740" w14:textId="77777777" w:rsidR="00BC1C4E" w:rsidRPr="00BC1C4E" w:rsidRDefault="00BC1C4E" w:rsidP="00BC1C4E">
            <w:pPr>
              <w:ind w:firstLineChars="100" w:firstLine="160"/>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Recursos de emissões de títulos e valores mobiliários</w:t>
            </w:r>
          </w:p>
        </w:tc>
        <w:tc>
          <w:tcPr>
            <w:tcW w:w="1600" w:type="dxa"/>
            <w:tcBorders>
              <w:top w:val="nil"/>
              <w:left w:val="nil"/>
              <w:bottom w:val="nil"/>
              <w:right w:val="nil"/>
            </w:tcBorders>
            <w:vAlign w:val="center"/>
            <w:hideMark/>
          </w:tcPr>
          <w:p w14:paraId="0E5ABE09"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371.507.164</w:t>
            </w:r>
          </w:p>
        </w:tc>
        <w:tc>
          <w:tcPr>
            <w:tcW w:w="1340" w:type="dxa"/>
            <w:tcBorders>
              <w:top w:val="nil"/>
              <w:left w:val="nil"/>
              <w:bottom w:val="nil"/>
              <w:right w:val="nil"/>
            </w:tcBorders>
            <w:vAlign w:val="center"/>
            <w:hideMark/>
          </w:tcPr>
          <w:p w14:paraId="4A391571"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366.315.595</w:t>
            </w:r>
          </w:p>
        </w:tc>
        <w:tc>
          <w:tcPr>
            <w:tcW w:w="1180" w:type="dxa"/>
            <w:tcBorders>
              <w:top w:val="nil"/>
              <w:left w:val="nil"/>
              <w:bottom w:val="nil"/>
              <w:right w:val="nil"/>
            </w:tcBorders>
            <w:noWrap/>
            <w:vAlign w:val="center"/>
            <w:hideMark/>
          </w:tcPr>
          <w:p w14:paraId="0AF87668"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c>
          <w:tcPr>
            <w:tcW w:w="1340" w:type="dxa"/>
            <w:tcBorders>
              <w:top w:val="nil"/>
              <w:left w:val="nil"/>
              <w:bottom w:val="nil"/>
              <w:right w:val="nil"/>
            </w:tcBorders>
            <w:noWrap/>
            <w:vAlign w:val="center"/>
            <w:hideMark/>
          </w:tcPr>
          <w:p w14:paraId="78E32BE6"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366.315.595</w:t>
            </w:r>
          </w:p>
        </w:tc>
        <w:tc>
          <w:tcPr>
            <w:tcW w:w="1180" w:type="dxa"/>
            <w:tcBorders>
              <w:top w:val="nil"/>
              <w:left w:val="nil"/>
              <w:bottom w:val="nil"/>
              <w:right w:val="nil"/>
            </w:tcBorders>
            <w:noWrap/>
            <w:vAlign w:val="center"/>
            <w:hideMark/>
          </w:tcPr>
          <w:p w14:paraId="3E1818A1"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r>
      <w:tr w:rsidR="00BC1C4E" w:rsidRPr="00BC00DB" w14:paraId="16E93561" w14:textId="77777777" w:rsidTr="00BC00DB">
        <w:trPr>
          <w:trHeight w:val="272"/>
        </w:trPr>
        <w:tc>
          <w:tcPr>
            <w:tcW w:w="7460" w:type="dxa"/>
            <w:tcBorders>
              <w:top w:val="nil"/>
              <w:left w:val="nil"/>
              <w:bottom w:val="single" w:sz="4" w:space="0" w:color="005CA9"/>
              <w:right w:val="nil"/>
            </w:tcBorders>
            <w:noWrap/>
            <w:vAlign w:val="center"/>
            <w:hideMark/>
          </w:tcPr>
          <w:p w14:paraId="6929FC75" w14:textId="77777777" w:rsidR="00BC1C4E" w:rsidRPr="00BC1C4E" w:rsidRDefault="00BC1C4E" w:rsidP="00BC1C4E">
            <w:pPr>
              <w:ind w:firstLineChars="100" w:firstLine="160"/>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Outros passivos financeiros</w:t>
            </w:r>
          </w:p>
        </w:tc>
        <w:tc>
          <w:tcPr>
            <w:tcW w:w="1600" w:type="dxa"/>
            <w:tcBorders>
              <w:top w:val="nil"/>
              <w:left w:val="nil"/>
              <w:bottom w:val="single" w:sz="4" w:space="0" w:color="005CA9"/>
              <w:right w:val="nil"/>
            </w:tcBorders>
            <w:vAlign w:val="center"/>
            <w:hideMark/>
          </w:tcPr>
          <w:p w14:paraId="0AC71276"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34.163.942</w:t>
            </w:r>
          </w:p>
        </w:tc>
        <w:tc>
          <w:tcPr>
            <w:tcW w:w="1340" w:type="dxa"/>
            <w:tcBorders>
              <w:top w:val="nil"/>
              <w:left w:val="nil"/>
              <w:bottom w:val="single" w:sz="4" w:space="0" w:color="005CA9"/>
              <w:right w:val="nil"/>
            </w:tcBorders>
            <w:vAlign w:val="center"/>
            <w:hideMark/>
          </w:tcPr>
          <w:p w14:paraId="121BF94F"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34.163.942</w:t>
            </w:r>
          </w:p>
        </w:tc>
        <w:tc>
          <w:tcPr>
            <w:tcW w:w="1180" w:type="dxa"/>
            <w:tcBorders>
              <w:top w:val="nil"/>
              <w:left w:val="nil"/>
              <w:bottom w:val="single" w:sz="4" w:space="0" w:color="005CA9"/>
              <w:right w:val="nil"/>
            </w:tcBorders>
            <w:noWrap/>
            <w:vAlign w:val="center"/>
            <w:hideMark/>
          </w:tcPr>
          <w:p w14:paraId="56380744"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c>
          <w:tcPr>
            <w:tcW w:w="1340" w:type="dxa"/>
            <w:tcBorders>
              <w:top w:val="nil"/>
              <w:left w:val="nil"/>
              <w:bottom w:val="single" w:sz="4" w:space="0" w:color="005CA9"/>
              <w:right w:val="nil"/>
            </w:tcBorders>
            <w:vAlign w:val="center"/>
            <w:hideMark/>
          </w:tcPr>
          <w:p w14:paraId="3E7BA50D" w14:textId="77777777" w:rsidR="00BC1C4E" w:rsidRPr="00BC1C4E" w:rsidRDefault="00BC1C4E" w:rsidP="00BC1C4E">
            <w:pPr>
              <w:jc w:val="right"/>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34.163.942</w:t>
            </w:r>
          </w:p>
        </w:tc>
        <w:tc>
          <w:tcPr>
            <w:tcW w:w="1180" w:type="dxa"/>
            <w:tcBorders>
              <w:top w:val="nil"/>
              <w:left w:val="nil"/>
              <w:bottom w:val="single" w:sz="4" w:space="0" w:color="005CA9"/>
              <w:right w:val="nil"/>
            </w:tcBorders>
            <w:noWrap/>
            <w:vAlign w:val="center"/>
            <w:hideMark/>
          </w:tcPr>
          <w:p w14:paraId="2877CC66" w14:textId="77777777" w:rsidR="00BC1C4E" w:rsidRPr="00BC1C4E" w:rsidRDefault="00BC1C4E" w:rsidP="00BC1C4E">
            <w:pPr>
              <w:jc w:val="center"/>
              <w:rPr>
                <w:rFonts w:ascii="CAIXA Std Book" w:eastAsia="Times New Roman" w:hAnsi="CAIXA Std Book" w:cs="Arial"/>
                <w:color w:val="005CA9"/>
                <w:sz w:val="16"/>
                <w:szCs w:val="16"/>
              </w:rPr>
            </w:pPr>
            <w:r w:rsidRPr="00BC1C4E">
              <w:rPr>
                <w:rFonts w:ascii="CAIXA Std Book" w:eastAsia="Times New Roman" w:hAnsi="CAIXA Std Book" w:cs="Arial"/>
                <w:color w:val="005CA9"/>
                <w:sz w:val="16"/>
                <w:szCs w:val="16"/>
              </w:rPr>
              <w:t>-</w:t>
            </w:r>
          </w:p>
        </w:tc>
      </w:tr>
    </w:tbl>
    <w:p w14:paraId="693E8E30" w14:textId="77777777" w:rsidR="00780A1D" w:rsidRDefault="00780A1D">
      <w:r>
        <w:br w:type="page"/>
      </w:r>
    </w:p>
    <w:p w14:paraId="1EFCB5A2" w14:textId="77777777" w:rsidR="00DB681C" w:rsidRDefault="00DB681C"/>
    <w:tbl>
      <w:tblPr>
        <w:tblW w:w="14100" w:type="dxa"/>
        <w:tblCellMar>
          <w:left w:w="70" w:type="dxa"/>
          <w:right w:w="70" w:type="dxa"/>
        </w:tblCellMar>
        <w:tblLook w:val="04A0" w:firstRow="1" w:lastRow="0" w:firstColumn="1" w:lastColumn="0" w:noHBand="0" w:noVBand="1"/>
      </w:tblPr>
      <w:tblGrid>
        <w:gridCol w:w="7371"/>
        <w:gridCol w:w="1689"/>
        <w:gridCol w:w="1340"/>
        <w:gridCol w:w="1180"/>
        <w:gridCol w:w="1340"/>
        <w:gridCol w:w="1180"/>
      </w:tblGrid>
      <w:tr w:rsidR="00780A1D" w:rsidRPr="00BC00DB" w14:paraId="37261884" w14:textId="77777777" w:rsidTr="00EC7E6C">
        <w:trPr>
          <w:trHeight w:val="272"/>
        </w:trPr>
        <w:tc>
          <w:tcPr>
            <w:tcW w:w="14100" w:type="dxa"/>
            <w:gridSpan w:val="6"/>
            <w:tcBorders>
              <w:top w:val="nil"/>
              <w:left w:val="nil"/>
              <w:bottom w:val="single" w:sz="4" w:space="0" w:color="F2F2F2" w:themeColor="background1" w:themeShade="F2"/>
              <w:right w:val="nil"/>
            </w:tcBorders>
            <w:shd w:val="clear" w:color="000000" w:fill="005CA9"/>
            <w:vAlign w:val="center"/>
            <w:hideMark/>
          </w:tcPr>
          <w:p w14:paraId="4BAFED0E" w14:textId="77777777" w:rsidR="00780A1D" w:rsidRPr="00780A1D" w:rsidRDefault="00780A1D" w:rsidP="00780A1D">
            <w:pPr>
              <w:jc w:val="center"/>
              <w:rPr>
                <w:rFonts w:ascii="CAIXA Std Book" w:eastAsia="Times New Roman" w:hAnsi="CAIXA Std Book" w:cs="Arial"/>
                <w:b/>
                <w:bCs/>
                <w:color w:val="FFFFFF"/>
                <w:sz w:val="16"/>
                <w:szCs w:val="16"/>
              </w:rPr>
            </w:pPr>
            <w:r w:rsidRPr="00780A1D">
              <w:rPr>
                <w:rFonts w:ascii="CAIXA Std Book" w:eastAsia="Times New Roman" w:hAnsi="CAIXA Std Book" w:cs="Arial"/>
                <w:b/>
                <w:bCs/>
                <w:color w:val="FFFFFF"/>
                <w:sz w:val="16"/>
                <w:szCs w:val="16"/>
              </w:rPr>
              <w:t>Consolidado</w:t>
            </w:r>
          </w:p>
        </w:tc>
      </w:tr>
      <w:tr w:rsidR="00780A1D" w:rsidRPr="00BC00DB" w14:paraId="2788F3B3" w14:textId="77777777" w:rsidTr="00EC7E6C">
        <w:trPr>
          <w:trHeight w:val="272"/>
        </w:trPr>
        <w:tc>
          <w:tcPr>
            <w:tcW w:w="7371" w:type="dxa"/>
            <w:vMerge w:val="restart"/>
            <w:tcBorders>
              <w:top w:val="single" w:sz="4" w:space="0" w:color="F2F2F2" w:themeColor="background1" w:themeShade="F2"/>
              <w:left w:val="nil"/>
              <w:bottom w:val="nil"/>
              <w:right w:val="nil"/>
            </w:tcBorders>
            <w:shd w:val="clear" w:color="000000" w:fill="005CA9"/>
            <w:vAlign w:val="center"/>
            <w:hideMark/>
          </w:tcPr>
          <w:p w14:paraId="4B873F0B" w14:textId="77777777" w:rsidR="00780A1D" w:rsidRPr="00780A1D" w:rsidRDefault="00780A1D" w:rsidP="00780A1D">
            <w:pPr>
              <w:rPr>
                <w:rFonts w:ascii="CAIXA Std Book" w:eastAsia="Times New Roman" w:hAnsi="CAIXA Std Book" w:cs="Arial"/>
                <w:b/>
                <w:bCs/>
                <w:color w:val="FFFFFF"/>
                <w:sz w:val="16"/>
                <w:szCs w:val="16"/>
              </w:rPr>
            </w:pPr>
            <w:r w:rsidRPr="00780A1D">
              <w:rPr>
                <w:rFonts w:ascii="CAIXA Std Book" w:eastAsia="Times New Roman" w:hAnsi="CAIXA Std Book" w:cs="Arial"/>
                <w:b/>
                <w:bCs/>
                <w:color w:val="FFFFFF"/>
                <w:sz w:val="16"/>
                <w:szCs w:val="16"/>
              </w:rPr>
              <w:t>Ativos e passivos financeiros mensurados ao valor justo no balanço patrimonial de forma recorrente</w:t>
            </w:r>
          </w:p>
        </w:tc>
        <w:tc>
          <w:tcPr>
            <w:tcW w:w="1689" w:type="dxa"/>
            <w:vMerge w:val="restart"/>
            <w:tcBorders>
              <w:top w:val="single" w:sz="4" w:space="0" w:color="F2F2F2" w:themeColor="background1" w:themeShade="F2"/>
              <w:left w:val="nil"/>
              <w:bottom w:val="nil"/>
              <w:right w:val="nil"/>
            </w:tcBorders>
            <w:shd w:val="clear" w:color="000000" w:fill="005CA9"/>
            <w:vAlign w:val="center"/>
            <w:hideMark/>
          </w:tcPr>
          <w:p w14:paraId="1E8A6097" w14:textId="77777777" w:rsidR="00780A1D" w:rsidRPr="00780A1D" w:rsidRDefault="00780A1D" w:rsidP="00780A1D">
            <w:pPr>
              <w:jc w:val="center"/>
              <w:rPr>
                <w:rFonts w:ascii="CAIXA Std Book" w:eastAsia="Times New Roman" w:hAnsi="CAIXA Std Book" w:cs="Arial"/>
                <w:b/>
                <w:bCs/>
                <w:color w:val="FFFFFF"/>
                <w:sz w:val="16"/>
                <w:szCs w:val="16"/>
              </w:rPr>
            </w:pPr>
            <w:r w:rsidRPr="00780A1D">
              <w:rPr>
                <w:rFonts w:ascii="CAIXA Std Book" w:eastAsia="Times New Roman" w:hAnsi="CAIXA Std Book" w:cs="Arial"/>
                <w:b/>
                <w:bCs/>
                <w:color w:val="FFFFFF"/>
                <w:sz w:val="16"/>
                <w:szCs w:val="16"/>
              </w:rPr>
              <w:t>Valor contábil em 31/03/2026</w:t>
            </w:r>
          </w:p>
        </w:tc>
        <w:tc>
          <w:tcPr>
            <w:tcW w:w="1340" w:type="dxa"/>
            <w:vMerge w:val="restart"/>
            <w:tcBorders>
              <w:top w:val="single" w:sz="4" w:space="0" w:color="F2F2F2" w:themeColor="background1" w:themeShade="F2"/>
              <w:left w:val="nil"/>
              <w:bottom w:val="nil"/>
              <w:right w:val="nil"/>
            </w:tcBorders>
            <w:shd w:val="clear" w:color="000000" w:fill="005CA9"/>
            <w:vAlign w:val="center"/>
            <w:hideMark/>
          </w:tcPr>
          <w:p w14:paraId="3DA8414B" w14:textId="3D4FFE20" w:rsidR="00780A1D" w:rsidRPr="00780A1D" w:rsidRDefault="00780A1D" w:rsidP="00780A1D">
            <w:pPr>
              <w:jc w:val="center"/>
              <w:rPr>
                <w:rFonts w:ascii="CAIXA Std Book" w:eastAsia="Times New Roman" w:hAnsi="CAIXA Std Book" w:cs="Arial"/>
                <w:b/>
                <w:bCs/>
                <w:color w:val="FFFFFF"/>
                <w:sz w:val="16"/>
                <w:szCs w:val="16"/>
              </w:rPr>
            </w:pPr>
            <w:r w:rsidRPr="00780A1D">
              <w:rPr>
                <w:rFonts w:ascii="CAIXA Std Book" w:eastAsia="Times New Roman" w:hAnsi="CAIXA Std Book" w:cs="Arial"/>
                <w:b/>
                <w:bCs/>
                <w:color w:val="FFFFFF"/>
                <w:sz w:val="16"/>
                <w:szCs w:val="16"/>
              </w:rPr>
              <w:t xml:space="preserve">Valor </w:t>
            </w:r>
            <w:r w:rsidR="007B27B0">
              <w:rPr>
                <w:rFonts w:ascii="CAIXA Std Book" w:eastAsia="Times New Roman" w:hAnsi="CAIXA Std Book" w:cs="Arial"/>
                <w:b/>
                <w:bCs/>
                <w:color w:val="FFFFFF"/>
                <w:sz w:val="16"/>
                <w:szCs w:val="16"/>
              </w:rPr>
              <w:t>j</w:t>
            </w:r>
            <w:r w:rsidRPr="00780A1D">
              <w:rPr>
                <w:rFonts w:ascii="CAIXA Std Book" w:eastAsia="Times New Roman" w:hAnsi="CAIXA Std Book" w:cs="Arial"/>
                <w:b/>
                <w:bCs/>
                <w:color w:val="FFFFFF"/>
                <w:sz w:val="16"/>
                <w:szCs w:val="16"/>
              </w:rPr>
              <w:t>usto em 31/03/2026</w:t>
            </w:r>
          </w:p>
        </w:tc>
        <w:tc>
          <w:tcPr>
            <w:tcW w:w="3700" w:type="dxa"/>
            <w:gridSpan w:val="3"/>
            <w:tcBorders>
              <w:top w:val="single" w:sz="4" w:space="0" w:color="F2F2F2" w:themeColor="background1" w:themeShade="F2"/>
              <w:left w:val="nil"/>
              <w:bottom w:val="single" w:sz="4" w:space="0" w:color="F2F2F2" w:themeColor="background1" w:themeShade="F2"/>
              <w:right w:val="nil"/>
            </w:tcBorders>
            <w:shd w:val="clear" w:color="000000" w:fill="005CA9"/>
            <w:noWrap/>
            <w:vAlign w:val="center"/>
            <w:hideMark/>
          </w:tcPr>
          <w:p w14:paraId="7ADDBC2D" w14:textId="77777777" w:rsidR="00780A1D" w:rsidRPr="00780A1D" w:rsidRDefault="00780A1D" w:rsidP="00780A1D">
            <w:pPr>
              <w:jc w:val="center"/>
              <w:rPr>
                <w:rFonts w:ascii="CAIXA Std Book" w:eastAsia="Times New Roman" w:hAnsi="CAIXA Std Book" w:cs="Arial"/>
                <w:b/>
                <w:bCs/>
                <w:color w:val="FFFFFF"/>
                <w:sz w:val="16"/>
                <w:szCs w:val="16"/>
              </w:rPr>
            </w:pPr>
            <w:r w:rsidRPr="00780A1D">
              <w:rPr>
                <w:rFonts w:ascii="CAIXA Std Book" w:eastAsia="Times New Roman" w:hAnsi="CAIXA Std Book" w:cs="Arial"/>
                <w:b/>
                <w:bCs/>
                <w:color w:val="FFFFFF"/>
                <w:sz w:val="16"/>
                <w:szCs w:val="16"/>
              </w:rPr>
              <w:t>Níveis de valor justo</w:t>
            </w:r>
          </w:p>
        </w:tc>
      </w:tr>
      <w:tr w:rsidR="00780A1D" w:rsidRPr="00BC00DB" w14:paraId="466EE89B" w14:textId="77777777" w:rsidTr="00EC7E6C">
        <w:trPr>
          <w:trHeight w:val="272"/>
        </w:trPr>
        <w:tc>
          <w:tcPr>
            <w:tcW w:w="7371" w:type="dxa"/>
            <w:vMerge/>
            <w:tcBorders>
              <w:top w:val="single" w:sz="4" w:space="0" w:color="F2F2F2" w:themeColor="background1" w:themeShade="F2"/>
              <w:left w:val="nil"/>
              <w:right w:val="nil"/>
            </w:tcBorders>
            <w:vAlign w:val="center"/>
            <w:hideMark/>
          </w:tcPr>
          <w:p w14:paraId="4BF9DC7D" w14:textId="77777777" w:rsidR="00780A1D" w:rsidRPr="00780A1D" w:rsidRDefault="00780A1D" w:rsidP="00780A1D">
            <w:pPr>
              <w:rPr>
                <w:rFonts w:ascii="CAIXA Std Book" w:eastAsia="Times New Roman" w:hAnsi="CAIXA Std Book" w:cs="Arial"/>
                <w:b/>
                <w:bCs/>
                <w:color w:val="FFFFFF"/>
                <w:sz w:val="16"/>
                <w:szCs w:val="16"/>
              </w:rPr>
            </w:pPr>
          </w:p>
        </w:tc>
        <w:tc>
          <w:tcPr>
            <w:tcW w:w="1689" w:type="dxa"/>
            <w:vMerge/>
            <w:tcBorders>
              <w:top w:val="single" w:sz="4" w:space="0" w:color="F2F2F2" w:themeColor="background1" w:themeShade="F2"/>
              <w:left w:val="nil"/>
              <w:right w:val="nil"/>
            </w:tcBorders>
            <w:vAlign w:val="center"/>
            <w:hideMark/>
          </w:tcPr>
          <w:p w14:paraId="4B8C85AB" w14:textId="77777777" w:rsidR="00780A1D" w:rsidRPr="00780A1D" w:rsidRDefault="00780A1D" w:rsidP="00780A1D">
            <w:pPr>
              <w:rPr>
                <w:rFonts w:ascii="CAIXA Std Book" w:eastAsia="Times New Roman" w:hAnsi="CAIXA Std Book" w:cs="Arial"/>
                <w:b/>
                <w:bCs/>
                <w:color w:val="FFFFFF"/>
                <w:sz w:val="16"/>
                <w:szCs w:val="16"/>
              </w:rPr>
            </w:pPr>
          </w:p>
        </w:tc>
        <w:tc>
          <w:tcPr>
            <w:tcW w:w="1340" w:type="dxa"/>
            <w:vMerge/>
            <w:tcBorders>
              <w:top w:val="single" w:sz="4" w:space="0" w:color="F2F2F2" w:themeColor="background1" w:themeShade="F2"/>
              <w:left w:val="nil"/>
              <w:right w:val="nil"/>
            </w:tcBorders>
            <w:vAlign w:val="center"/>
            <w:hideMark/>
          </w:tcPr>
          <w:p w14:paraId="68F0DE4A" w14:textId="77777777" w:rsidR="00780A1D" w:rsidRPr="00780A1D" w:rsidRDefault="00780A1D" w:rsidP="00780A1D">
            <w:pPr>
              <w:rPr>
                <w:rFonts w:ascii="CAIXA Std Book" w:eastAsia="Times New Roman" w:hAnsi="CAIXA Std Book" w:cs="Arial"/>
                <w:b/>
                <w:bCs/>
                <w:color w:val="FFFFFF"/>
                <w:sz w:val="16"/>
                <w:szCs w:val="16"/>
              </w:rPr>
            </w:pPr>
          </w:p>
        </w:tc>
        <w:tc>
          <w:tcPr>
            <w:tcW w:w="1180" w:type="dxa"/>
            <w:tcBorders>
              <w:top w:val="single" w:sz="4" w:space="0" w:color="F2F2F2" w:themeColor="background1" w:themeShade="F2"/>
              <w:left w:val="nil"/>
              <w:right w:val="nil"/>
            </w:tcBorders>
            <w:shd w:val="clear" w:color="000000" w:fill="005CA9"/>
            <w:noWrap/>
            <w:vAlign w:val="center"/>
            <w:hideMark/>
          </w:tcPr>
          <w:p w14:paraId="7B8CAFAB" w14:textId="77777777" w:rsidR="00780A1D" w:rsidRPr="00780A1D" w:rsidRDefault="00780A1D" w:rsidP="00780A1D">
            <w:pPr>
              <w:jc w:val="center"/>
              <w:rPr>
                <w:rFonts w:ascii="CAIXA Std Book" w:eastAsia="Times New Roman" w:hAnsi="CAIXA Std Book" w:cs="Arial"/>
                <w:b/>
                <w:bCs/>
                <w:color w:val="FFFFFF"/>
                <w:sz w:val="16"/>
                <w:szCs w:val="16"/>
              </w:rPr>
            </w:pPr>
            <w:r w:rsidRPr="00780A1D">
              <w:rPr>
                <w:rFonts w:ascii="CAIXA Std Book" w:eastAsia="Times New Roman" w:hAnsi="CAIXA Std Book" w:cs="Arial"/>
                <w:b/>
                <w:bCs/>
                <w:color w:val="FFFFFF"/>
                <w:sz w:val="16"/>
                <w:szCs w:val="16"/>
              </w:rPr>
              <w:t>Nível 1</w:t>
            </w:r>
          </w:p>
        </w:tc>
        <w:tc>
          <w:tcPr>
            <w:tcW w:w="1340" w:type="dxa"/>
            <w:tcBorders>
              <w:top w:val="single" w:sz="4" w:space="0" w:color="F2F2F2" w:themeColor="background1" w:themeShade="F2"/>
              <w:left w:val="nil"/>
              <w:right w:val="nil"/>
            </w:tcBorders>
            <w:shd w:val="clear" w:color="000000" w:fill="005CA9"/>
            <w:noWrap/>
            <w:vAlign w:val="center"/>
            <w:hideMark/>
          </w:tcPr>
          <w:p w14:paraId="5F3C3DD0" w14:textId="77777777" w:rsidR="00780A1D" w:rsidRPr="00780A1D" w:rsidRDefault="00780A1D" w:rsidP="00780A1D">
            <w:pPr>
              <w:jc w:val="center"/>
              <w:rPr>
                <w:rFonts w:ascii="CAIXA Std Book" w:eastAsia="Times New Roman" w:hAnsi="CAIXA Std Book" w:cs="Arial"/>
                <w:b/>
                <w:bCs/>
                <w:color w:val="FFFFFF"/>
                <w:sz w:val="16"/>
                <w:szCs w:val="16"/>
              </w:rPr>
            </w:pPr>
            <w:r w:rsidRPr="00780A1D">
              <w:rPr>
                <w:rFonts w:ascii="CAIXA Std Book" w:eastAsia="Times New Roman" w:hAnsi="CAIXA Std Book" w:cs="Arial"/>
                <w:b/>
                <w:bCs/>
                <w:color w:val="FFFFFF"/>
                <w:sz w:val="16"/>
                <w:szCs w:val="16"/>
              </w:rPr>
              <w:t>Nível 2</w:t>
            </w:r>
          </w:p>
        </w:tc>
        <w:tc>
          <w:tcPr>
            <w:tcW w:w="1180" w:type="dxa"/>
            <w:tcBorders>
              <w:top w:val="single" w:sz="4" w:space="0" w:color="F2F2F2" w:themeColor="background1" w:themeShade="F2"/>
              <w:left w:val="nil"/>
              <w:right w:val="nil"/>
            </w:tcBorders>
            <w:shd w:val="clear" w:color="000000" w:fill="005CA9"/>
            <w:noWrap/>
            <w:vAlign w:val="center"/>
            <w:hideMark/>
          </w:tcPr>
          <w:p w14:paraId="251C36CC" w14:textId="77777777" w:rsidR="00780A1D" w:rsidRPr="00780A1D" w:rsidRDefault="00780A1D" w:rsidP="00780A1D">
            <w:pPr>
              <w:jc w:val="center"/>
              <w:rPr>
                <w:rFonts w:ascii="CAIXA Std Book" w:eastAsia="Times New Roman" w:hAnsi="CAIXA Std Book" w:cs="Arial"/>
                <w:b/>
                <w:bCs/>
                <w:color w:val="FFFFFF"/>
                <w:sz w:val="16"/>
                <w:szCs w:val="16"/>
              </w:rPr>
            </w:pPr>
            <w:r w:rsidRPr="00780A1D">
              <w:rPr>
                <w:rFonts w:ascii="CAIXA Std Book" w:eastAsia="Times New Roman" w:hAnsi="CAIXA Std Book" w:cs="Arial"/>
                <w:b/>
                <w:bCs/>
                <w:color w:val="FFFFFF"/>
                <w:sz w:val="16"/>
                <w:szCs w:val="16"/>
              </w:rPr>
              <w:t>Nível 3</w:t>
            </w:r>
          </w:p>
        </w:tc>
      </w:tr>
      <w:tr w:rsidR="00C840AA" w:rsidRPr="00BC00DB" w14:paraId="4F5E648F" w14:textId="77777777" w:rsidTr="0096727B">
        <w:trPr>
          <w:trHeight w:val="272"/>
        </w:trPr>
        <w:tc>
          <w:tcPr>
            <w:tcW w:w="7371" w:type="dxa"/>
            <w:tcBorders>
              <w:top w:val="nil"/>
              <w:left w:val="nil"/>
              <w:bottom w:val="single" w:sz="4" w:space="0" w:color="FFFFFF" w:themeColor="background1"/>
              <w:right w:val="nil"/>
            </w:tcBorders>
            <w:shd w:val="clear" w:color="000000" w:fill="D0E0E3"/>
            <w:noWrap/>
            <w:vAlign w:val="center"/>
            <w:hideMark/>
          </w:tcPr>
          <w:p w14:paraId="27DE5A80" w14:textId="77777777" w:rsidR="00C840AA" w:rsidRPr="00780A1D" w:rsidRDefault="00C840AA" w:rsidP="00C840AA">
            <w:pPr>
              <w:rPr>
                <w:rFonts w:ascii="CAIXA Std Book" w:eastAsia="Times New Roman" w:hAnsi="CAIXA Std Book" w:cs="Arial"/>
                <w:b/>
                <w:bCs/>
                <w:color w:val="005CA9"/>
                <w:sz w:val="16"/>
                <w:szCs w:val="16"/>
              </w:rPr>
            </w:pPr>
            <w:r w:rsidRPr="00780A1D">
              <w:rPr>
                <w:rFonts w:ascii="CAIXA Std Book" w:eastAsia="Times New Roman" w:hAnsi="CAIXA Std Book" w:cs="Arial"/>
                <w:b/>
                <w:bCs/>
                <w:color w:val="005CA9"/>
                <w:sz w:val="16"/>
                <w:szCs w:val="16"/>
              </w:rPr>
              <w:t>Ativo</w:t>
            </w:r>
          </w:p>
        </w:tc>
        <w:tc>
          <w:tcPr>
            <w:tcW w:w="1689" w:type="dxa"/>
            <w:tcBorders>
              <w:top w:val="nil"/>
              <w:left w:val="nil"/>
              <w:bottom w:val="single" w:sz="4" w:space="0" w:color="FFFFFF" w:themeColor="background1"/>
              <w:right w:val="nil"/>
            </w:tcBorders>
            <w:shd w:val="clear" w:color="000000" w:fill="D0E0E3"/>
            <w:vAlign w:val="center"/>
            <w:hideMark/>
          </w:tcPr>
          <w:p w14:paraId="1842B253" w14:textId="2B34E8DD"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2.293.040.365</w:t>
            </w:r>
          </w:p>
        </w:tc>
        <w:tc>
          <w:tcPr>
            <w:tcW w:w="1340" w:type="dxa"/>
            <w:tcBorders>
              <w:top w:val="nil"/>
              <w:left w:val="nil"/>
              <w:bottom w:val="single" w:sz="4" w:space="0" w:color="FFFFFF" w:themeColor="background1"/>
              <w:right w:val="nil"/>
            </w:tcBorders>
            <w:shd w:val="clear" w:color="000000" w:fill="D0E0E3"/>
            <w:vAlign w:val="center"/>
            <w:hideMark/>
          </w:tcPr>
          <w:p w14:paraId="51BFDB1D" w14:textId="5D7BAA6E"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2.070.387.837</w:t>
            </w:r>
          </w:p>
        </w:tc>
        <w:tc>
          <w:tcPr>
            <w:tcW w:w="1180" w:type="dxa"/>
            <w:tcBorders>
              <w:top w:val="nil"/>
              <w:left w:val="nil"/>
              <w:bottom w:val="single" w:sz="4" w:space="0" w:color="FFFFFF" w:themeColor="background1"/>
              <w:right w:val="nil"/>
            </w:tcBorders>
            <w:shd w:val="clear" w:color="000000" w:fill="D0E0E3"/>
            <w:vAlign w:val="center"/>
            <w:hideMark/>
          </w:tcPr>
          <w:p w14:paraId="4845D3E2" w14:textId="5ACC2575"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408.734.630</w:t>
            </w:r>
          </w:p>
        </w:tc>
        <w:tc>
          <w:tcPr>
            <w:tcW w:w="1340" w:type="dxa"/>
            <w:tcBorders>
              <w:top w:val="nil"/>
              <w:left w:val="nil"/>
              <w:bottom w:val="single" w:sz="4" w:space="0" w:color="FFFFFF" w:themeColor="background1"/>
              <w:right w:val="nil"/>
            </w:tcBorders>
            <w:shd w:val="clear" w:color="000000" w:fill="D0E0E3"/>
            <w:vAlign w:val="center"/>
            <w:hideMark/>
          </w:tcPr>
          <w:p w14:paraId="39DE519B" w14:textId="18267C28"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1.640.274.905</w:t>
            </w:r>
          </w:p>
        </w:tc>
        <w:tc>
          <w:tcPr>
            <w:tcW w:w="1180" w:type="dxa"/>
            <w:tcBorders>
              <w:top w:val="nil"/>
              <w:left w:val="nil"/>
              <w:bottom w:val="single" w:sz="4" w:space="0" w:color="FFFFFF" w:themeColor="background1"/>
              <w:right w:val="nil"/>
            </w:tcBorders>
            <w:shd w:val="clear" w:color="000000" w:fill="D0E0E3"/>
            <w:vAlign w:val="center"/>
            <w:hideMark/>
          </w:tcPr>
          <w:p w14:paraId="20ED6C3F" w14:textId="1B3AE213"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21.378.302</w:t>
            </w:r>
          </w:p>
        </w:tc>
      </w:tr>
      <w:tr w:rsidR="00C840AA" w:rsidRPr="00BC00DB" w14:paraId="01F9731A" w14:textId="77777777" w:rsidTr="0096727B">
        <w:trPr>
          <w:trHeight w:val="272"/>
        </w:trPr>
        <w:tc>
          <w:tcPr>
            <w:tcW w:w="7371" w:type="dxa"/>
            <w:tcBorders>
              <w:top w:val="single" w:sz="4" w:space="0" w:color="FFFFFF" w:themeColor="background1"/>
              <w:left w:val="nil"/>
              <w:bottom w:val="nil"/>
              <w:right w:val="nil"/>
            </w:tcBorders>
            <w:shd w:val="clear" w:color="000000" w:fill="D0E0E3"/>
            <w:noWrap/>
            <w:vAlign w:val="center"/>
            <w:hideMark/>
          </w:tcPr>
          <w:p w14:paraId="73449A36" w14:textId="77777777" w:rsidR="00C840AA" w:rsidRPr="00780A1D" w:rsidRDefault="00C840AA" w:rsidP="00C840AA">
            <w:pPr>
              <w:rPr>
                <w:rFonts w:ascii="CAIXA Std Book" w:eastAsia="Times New Roman" w:hAnsi="CAIXA Std Book" w:cs="Arial"/>
                <w:b/>
                <w:bCs/>
                <w:color w:val="005CA9"/>
                <w:sz w:val="16"/>
                <w:szCs w:val="16"/>
              </w:rPr>
            </w:pPr>
            <w:r w:rsidRPr="00780A1D">
              <w:rPr>
                <w:rFonts w:ascii="CAIXA Std Book" w:eastAsia="Times New Roman" w:hAnsi="CAIXA Std Book" w:cs="Arial"/>
                <w:b/>
                <w:bCs/>
                <w:color w:val="005CA9"/>
                <w:sz w:val="16"/>
                <w:szCs w:val="16"/>
              </w:rPr>
              <w:t>Ativos financeiros ao valor justo por meio do resultado</w:t>
            </w:r>
          </w:p>
        </w:tc>
        <w:tc>
          <w:tcPr>
            <w:tcW w:w="1689" w:type="dxa"/>
            <w:tcBorders>
              <w:top w:val="single" w:sz="4" w:space="0" w:color="FFFFFF" w:themeColor="background1"/>
              <w:left w:val="nil"/>
              <w:bottom w:val="nil"/>
              <w:right w:val="nil"/>
            </w:tcBorders>
            <w:shd w:val="clear" w:color="000000" w:fill="D0E0E3"/>
            <w:vAlign w:val="center"/>
            <w:hideMark/>
          </w:tcPr>
          <w:p w14:paraId="29DD08C6" w14:textId="36EF254A"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153.996.299</w:t>
            </w:r>
          </w:p>
        </w:tc>
        <w:tc>
          <w:tcPr>
            <w:tcW w:w="1340" w:type="dxa"/>
            <w:tcBorders>
              <w:top w:val="single" w:sz="4" w:space="0" w:color="FFFFFF" w:themeColor="background1"/>
              <w:left w:val="nil"/>
              <w:bottom w:val="nil"/>
              <w:right w:val="nil"/>
            </w:tcBorders>
            <w:shd w:val="clear" w:color="000000" w:fill="D0E0E3"/>
            <w:vAlign w:val="center"/>
            <w:hideMark/>
          </w:tcPr>
          <w:p w14:paraId="1FA650D9" w14:textId="4B73092C"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149.794.125</w:t>
            </w:r>
          </w:p>
        </w:tc>
        <w:tc>
          <w:tcPr>
            <w:tcW w:w="1180" w:type="dxa"/>
            <w:tcBorders>
              <w:top w:val="single" w:sz="4" w:space="0" w:color="FFFFFF" w:themeColor="background1"/>
              <w:left w:val="nil"/>
              <w:bottom w:val="nil"/>
              <w:right w:val="nil"/>
            </w:tcBorders>
            <w:shd w:val="clear" w:color="000000" w:fill="D0E0E3"/>
            <w:vAlign w:val="center"/>
            <w:hideMark/>
          </w:tcPr>
          <w:p w14:paraId="4A786228" w14:textId="36558A30"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144.667.553</w:t>
            </w:r>
          </w:p>
        </w:tc>
        <w:tc>
          <w:tcPr>
            <w:tcW w:w="1340" w:type="dxa"/>
            <w:tcBorders>
              <w:top w:val="single" w:sz="4" w:space="0" w:color="FFFFFF" w:themeColor="background1"/>
              <w:left w:val="nil"/>
              <w:bottom w:val="nil"/>
              <w:right w:val="nil"/>
            </w:tcBorders>
            <w:shd w:val="clear" w:color="000000" w:fill="D0E0E3"/>
            <w:vAlign w:val="center"/>
            <w:hideMark/>
          </w:tcPr>
          <w:p w14:paraId="075A83C2" w14:textId="2E77AC36"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2.762.674</w:t>
            </w:r>
          </w:p>
        </w:tc>
        <w:tc>
          <w:tcPr>
            <w:tcW w:w="1180" w:type="dxa"/>
            <w:tcBorders>
              <w:top w:val="single" w:sz="4" w:space="0" w:color="FFFFFF" w:themeColor="background1"/>
              <w:left w:val="nil"/>
              <w:bottom w:val="nil"/>
              <w:right w:val="nil"/>
            </w:tcBorders>
            <w:shd w:val="clear" w:color="000000" w:fill="D0E0E3"/>
            <w:vAlign w:val="center"/>
            <w:hideMark/>
          </w:tcPr>
          <w:p w14:paraId="367D5A2E" w14:textId="35B1875A"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2.363.898</w:t>
            </w:r>
          </w:p>
        </w:tc>
      </w:tr>
      <w:tr w:rsidR="00C840AA" w:rsidRPr="00BC00DB" w14:paraId="439929A4" w14:textId="77777777" w:rsidTr="00BC00DB">
        <w:trPr>
          <w:trHeight w:val="272"/>
        </w:trPr>
        <w:tc>
          <w:tcPr>
            <w:tcW w:w="7371" w:type="dxa"/>
            <w:tcBorders>
              <w:top w:val="nil"/>
              <w:left w:val="nil"/>
              <w:bottom w:val="nil"/>
              <w:right w:val="nil"/>
            </w:tcBorders>
            <w:noWrap/>
            <w:vAlign w:val="center"/>
            <w:hideMark/>
          </w:tcPr>
          <w:p w14:paraId="59C15E7F" w14:textId="77777777" w:rsidR="00C840AA" w:rsidRPr="00780A1D" w:rsidRDefault="00C840AA" w:rsidP="00C840AA">
            <w:pPr>
              <w:ind w:firstLineChars="100" w:firstLine="160"/>
              <w:rPr>
                <w:rFonts w:ascii="CAIXA Std Book" w:eastAsia="Times New Roman" w:hAnsi="CAIXA Std Book" w:cs="Arial"/>
                <w:color w:val="005CA9"/>
                <w:sz w:val="16"/>
                <w:szCs w:val="16"/>
              </w:rPr>
            </w:pPr>
            <w:r w:rsidRPr="00780A1D">
              <w:rPr>
                <w:rFonts w:ascii="CAIXA Std Book" w:eastAsia="Times New Roman" w:hAnsi="CAIXA Std Book" w:cs="Arial"/>
                <w:color w:val="005CA9"/>
                <w:sz w:val="16"/>
                <w:szCs w:val="16"/>
              </w:rPr>
              <w:t>Títulos e valores mobiliários (líquidos de provisão para perdas associadas ao risco de crédito)</w:t>
            </w:r>
          </w:p>
        </w:tc>
        <w:tc>
          <w:tcPr>
            <w:tcW w:w="1689" w:type="dxa"/>
            <w:tcBorders>
              <w:top w:val="nil"/>
              <w:left w:val="nil"/>
              <w:bottom w:val="nil"/>
              <w:right w:val="nil"/>
            </w:tcBorders>
            <w:vAlign w:val="center"/>
            <w:hideMark/>
          </w:tcPr>
          <w:p w14:paraId="6A5314DD" w14:textId="4D0EE741"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153.647.787</w:t>
            </w:r>
          </w:p>
        </w:tc>
        <w:tc>
          <w:tcPr>
            <w:tcW w:w="1340" w:type="dxa"/>
            <w:tcBorders>
              <w:top w:val="nil"/>
              <w:left w:val="nil"/>
              <w:bottom w:val="nil"/>
              <w:right w:val="nil"/>
            </w:tcBorders>
            <w:vAlign w:val="center"/>
            <w:hideMark/>
          </w:tcPr>
          <w:p w14:paraId="10545441" w14:textId="26B670EB"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149.274.469</w:t>
            </w:r>
          </w:p>
        </w:tc>
        <w:tc>
          <w:tcPr>
            <w:tcW w:w="1180" w:type="dxa"/>
            <w:tcBorders>
              <w:top w:val="nil"/>
              <w:left w:val="nil"/>
              <w:bottom w:val="nil"/>
              <w:right w:val="nil"/>
            </w:tcBorders>
            <w:noWrap/>
            <w:vAlign w:val="center"/>
            <w:hideMark/>
          </w:tcPr>
          <w:p w14:paraId="0E30FFA8" w14:textId="4180E300"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144.647.941</w:t>
            </w:r>
          </w:p>
        </w:tc>
        <w:tc>
          <w:tcPr>
            <w:tcW w:w="1340" w:type="dxa"/>
            <w:tcBorders>
              <w:top w:val="nil"/>
              <w:left w:val="nil"/>
              <w:bottom w:val="nil"/>
              <w:right w:val="nil"/>
            </w:tcBorders>
            <w:noWrap/>
            <w:vAlign w:val="center"/>
            <w:hideMark/>
          </w:tcPr>
          <w:p w14:paraId="08CC92CC" w14:textId="48E5A4A4"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2.262.630</w:t>
            </w:r>
          </w:p>
        </w:tc>
        <w:tc>
          <w:tcPr>
            <w:tcW w:w="1180" w:type="dxa"/>
            <w:tcBorders>
              <w:top w:val="nil"/>
              <w:left w:val="nil"/>
              <w:bottom w:val="nil"/>
              <w:right w:val="nil"/>
            </w:tcBorders>
            <w:noWrap/>
            <w:vAlign w:val="center"/>
            <w:hideMark/>
          </w:tcPr>
          <w:p w14:paraId="2B284984" w14:textId="285676C5"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2.363.898</w:t>
            </w:r>
          </w:p>
        </w:tc>
      </w:tr>
      <w:tr w:rsidR="00C840AA" w:rsidRPr="00BC00DB" w14:paraId="354CAC23" w14:textId="77777777" w:rsidTr="00BC00DB">
        <w:trPr>
          <w:trHeight w:val="272"/>
        </w:trPr>
        <w:tc>
          <w:tcPr>
            <w:tcW w:w="7371" w:type="dxa"/>
            <w:tcBorders>
              <w:top w:val="nil"/>
              <w:left w:val="nil"/>
              <w:bottom w:val="nil"/>
              <w:right w:val="nil"/>
            </w:tcBorders>
            <w:noWrap/>
            <w:vAlign w:val="center"/>
            <w:hideMark/>
          </w:tcPr>
          <w:p w14:paraId="65DF4680" w14:textId="77777777" w:rsidR="00C840AA" w:rsidRPr="00780A1D" w:rsidRDefault="00C840AA" w:rsidP="00C840AA">
            <w:pPr>
              <w:ind w:firstLineChars="100" w:firstLine="160"/>
              <w:rPr>
                <w:rFonts w:ascii="CAIXA Std Book" w:eastAsia="Times New Roman" w:hAnsi="CAIXA Std Book" w:cs="Arial"/>
                <w:color w:val="005CA9"/>
                <w:sz w:val="16"/>
                <w:szCs w:val="16"/>
              </w:rPr>
            </w:pPr>
            <w:r w:rsidRPr="00780A1D">
              <w:rPr>
                <w:rFonts w:ascii="CAIXA Std Book" w:eastAsia="Times New Roman" w:hAnsi="CAIXA Std Book" w:cs="Arial"/>
                <w:color w:val="005CA9"/>
                <w:sz w:val="16"/>
                <w:szCs w:val="16"/>
              </w:rPr>
              <w:t>Instrumentos financeiros derivativos</w:t>
            </w:r>
          </w:p>
        </w:tc>
        <w:tc>
          <w:tcPr>
            <w:tcW w:w="1689" w:type="dxa"/>
            <w:tcBorders>
              <w:top w:val="nil"/>
              <w:left w:val="nil"/>
              <w:bottom w:val="nil"/>
              <w:right w:val="nil"/>
            </w:tcBorders>
            <w:vAlign w:val="center"/>
            <w:hideMark/>
          </w:tcPr>
          <w:p w14:paraId="41A0991B" w14:textId="4AD5BBE8"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18.410</w:t>
            </w:r>
          </w:p>
        </w:tc>
        <w:tc>
          <w:tcPr>
            <w:tcW w:w="1340" w:type="dxa"/>
            <w:tcBorders>
              <w:top w:val="nil"/>
              <w:left w:val="nil"/>
              <w:bottom w:val="nil"/>
              <w:right w:val="nil"/>
            </w:tcBorders>
            <w:vAlign w:val="center"/>
            <w:hideMark/>
          </w:tcPr>
          <w:p w14:paraId="491E7D45" w14:textId="1F296A81"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189.554</w:t>
            </w:r>
          </w:p>
        </w:tc>
        <w:tc>
          <w:tcPr>
            <w:tcW w:w="1180" w:type="dxa"/>
            <w:tcBorders>
              <w:top w:val="nil"/>
              <w:left w:val="nil"/>
              <w:bottom w:val="nil"/>
              <w:right w:val="nil"/>
            </w:tcBorders>
            <w:noWrap/>
            <w:vAlign w:val="center"/>
            <w:hideMark/>
          </w:tcPr>
          <w:p w14:paraId="31B89F74" w14:textId="5A705DB8"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19.612</w:t>
            </w:r>
          </w:p>
        </w:tc>
        <w:tc>
          <w:tcPr>
            <w:tcW w:w="1340" w:type="dxa"/>
            <w:tcBorders>
              <w:top w:val="nil"/>
              <w:left w:val="nil"/>
              <w:bottom w:val="nil"/>
              <w:right w:val="nil"/>
            </w:tcBorders>
            <w:noWrap/>
            <w:vAlign w:val="center"/>
            <w:hideMark/>
          </w:tcPr>
          <w:p w14:paraId="12C9E163" w14:textId="573858C6"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169.942</w:t>
            </w:r>
          </w:p>
        </w:tc>
        <w:tc>
          <w:tcPr>
            <w:tcW w:w="1180" w:type="dxa"/>
            <w:tcBorders>
              <w:top w:val="nil"/>
              <w:left w:val="nil"/>
              <w:bottom w:val="nil"/>
              <w:right w:val="nil"/>
            </w:tcBorders>
            <w:noWrap/>
            <w:vAlign w:val="center"/>
            <w:hideMark/>
          </w:tcPr>
          <w:p w14:paraId="65D847F0" w14:textId="7973FC60" w:rsidR="00C840AA" w:rsidRPr="0051267B" w:rsidRDefault="00C840AA" w:rsidP="00C840AA">
            <w:pPr>
              <w:jc w:val="center"/>
              <w:rPr>
                <w:rFonts w:ascii="CAIXA Std Book" w:eastAsia="Times New Roman" w:hAnsi="CAIXA Std Book" w:cs="Arial"/>
                <w:color w:val="005CA9"/>
                <w:sz w:val="16"/>
                <w:szCs w:val="16"/>
              </w:rPr>
            </w:pPr>
            <w:r>
              <w:rPr>
                <w:rFonts w:ascii="CAIXA Std Book" w:eastAsia="Times New Roman" w:hAnsi="CAIXA Std Book" w:cs="Arial"/>
                <w:color w:val="005CA9"/>
                <w:sz w:val="16"/>
                <w:szCs w:val="16"/>
              </w:rPr>
              <w:t>-</w:t>
            </w:r>
          </w:p>
        </w:tc>
      </w:tr>
      <w:tr w:rsidR="00C840AA" w:rsidRPr="00BC00DB" w14:paraId="6696313A" w14:textId="77777777" w:rsidTr="00BC00DB">
        <w:trPr>
          <w:trHeight w:val="272"/>
        </w:trPr>
        <w:tc>
          <w:tcPr>
            <w:tcW w:w="7371" w:type="dxa"/>
            <w:tcBorders>
              <w:top w:val="nil"/>
              <w:left w:val="nil"/>
              <w:bottom w:val="nil"/>
              <w:right w:val="nil"/>
            </w:tcBorders>
            <w:noWrap/>
            <w:vAlign w:val="center"/>
            <w:hideMark/>
          </w:tcPr>
          <w:p w14:paraId="59748E69" w14:textId="77777777" w:rsidR="00C840AA" w:rsidRPr="00780A1D" w:rsidRDefault="00C840AA" w:rsidP="00C840AA">
            <w:pPr>
              <w:ind w:firstLineChars="100" w:firstLine="160"/>
              <w:rPr>
                <w:rFonts w:ascii="CAIXA Std Book" w:eastAsia="Times New Roman" w:hAnsi="CAIXA Std Book" w:cs="Arial"/>
                <w:color w:val="005CA9"/>
                <w:sz w:val="16"/>
                <w:szCs w:val="16"/>
              </w:rPr>
            </w:pPr>
            <w:r w:rsidRPr="00780A1D">
              <w:rPr>
                <w:rFonts w:ascii="CAIXA Std Book" w:eastAsia="Times New Roman" w:hAnsi="CAIXA Std Book" w:cs="Arial"/>
                <w:color w:val="005CA9"/>
                <w:sz w:val="16"/>
                <w:szCs w:val="16"/>
              </w:rPr>
              <w:t>Outros ativos financeiros</w:t>
            </w:r>
          </w:p>
        </w:tc>
        <w:tc>
          <w:tcPr>
            <w:tcW w:w="1689" w:type="dxa"/>
            <w:tcBorders>
              <w:top w:val="nil"/>
              <w:left w:val="nil"/>
              <w:bottom w:val="nil"/>
              <w:right w:val="nil"/>
            </w:tcBorders>
            <w:vAlign w:val="center"/>
            <w:hideMark/>
          </w:tcPr>
          <w:p w14:paraId="678827DC" w14:textId="001030C9"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330.102</w:t>
            </w:r>
          </w:p>
        </w:tc>
        <w:tc>
          <w:tcPr>
            <w:tcW w:w="1340" w:type="dxa"/>
            <w:tcBorders>
              <w:top w:val="nil"/>
              <w:left w:val="nil"/>
              <w:bottom w:val="nil"/>
              <w:right w:val="nil"/>
            </w:tcBorders>
            <w:vAlign w:val="center"/>
            <w:hideMark/>
          </w:tcPr>
          <w:p w14:paraId="6D6E1B54" w14:textId="22CC6D29"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330.102</w:t>
            </w:r>
          </w:p>
        </w:tc>
        <w:tc>
          <w:tcPr>
            <w:tcW w:w="1180" w:type="dxa"/>
            <w:tcBorders>
              <w:top w:val="nil"/>
              <w:left w:val="nil"/>
              <w:bottom w:val="nil"/>
              <w:right w:val="nil"/>
            </w:tcBorders>
            <w:noWrap/>
            <w:vAlign w:val="center"/>
            <w:hideMark/>
          </w:tcPr>
          <w:p w14:paraId="341B61BF" w14:textId="697AD8F5" w:rsidR="00C840AA" w:rsidRPr="0051267B" w:rsidRDefault="00C840AA" w:rsidP="00C840AA">
            <w:pPr>
              <w:jc w:val="center"/>
              <w:rPr>
                <w:rFonts w:ascii="CAIXA Std Book" w:eastAsia="Times New Roman" w:hAnsi="CAIXA Std Book" w:cs="Arial"/>
                <w:color w:val="005CA9"/>
                <w:sz w:val="16"/>
                <w:szCs w:val="16"/>
              </w:rPr>
            </w:pPr>
            <w:r>
              <w:rPr>
                <w:rFonts w:ascii="CAIXA Std Book" w:hAnsi="CAIXA Std Book" w:cs="Arial"/>
                <w:color w:val="005CA9"/>
                <w:sz w:val="16"/>
                <w:szCs w:val="16"/>
              </w:rPr>
              <w:t>-</w:t>
            </w:r>
          </w:p>
        </w:tc>
        <w:tc>
          <w:tcPr>
            <w:tcW w:w="1340" w:type="dxa"/>
            <w:tcBorders>
              <w:top w:val="nil"/>
              <w:left w:val="nil"/>
              <w:bottom w:val="nil"/>
              <w:right w:val="nil"/>
            </w:tcBorders>
            <w:noWrap/>
            <w:vAlign w:val="center"/>
            <w:hideMark/>
          </w:tcPr>
          <w:p w14:paraId="1981BC86" w14:textId="4FB40D66"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330.102</w:t>
            </w:r>
          </w:p>
        </w:tc>
        <w:tc>
          <w:tcPr>
            <w:tcW w:w="1180" w:type="dxa"/>
            <w:tcBorders>
              <w:top w:val="nil"/>
              <w:left w:val="nil"/>
              <w:bottom w:val="nil"/>
              <w:right w:val="nil"/>
            </w:tcBorders>
            <w:noWrap/>
            <w:vAlign w:val="center"/>
            <w:hideMark/>
          </w:tcPr>
          <w:p w14:paraId="212A15E2" w14:textId="03F1B09E" w:rsidR="00C840AA" w:rsidRPr="0051267B" w:rsidRDefault="00C840AA" w:rsidP="00C840AA">
            <w:pPr>
              <w:jc w:val="center"/>
              <w:rPr>
                <w:rFonts w:ascii="CAIXA Std Book" w:eastAsia="Times New Roman" w:hAnsi="CAIXA Std Book" w:cs="Arial"/>
                <w:color w:val="005CA9"/>
                <w:sz w:val="16"/>
                <w:szCs w:val="16"/>
              </w:rPr>
            </w:pPr>
            <w:r>
              <w:rPr>
                <w:rFonts w:ascii="CAIXA Std Book" w:hAnsi="CAIXA Std Book" w:cs="Arial"/>
                <w:color w:val="005CA9"/>
                <w:sz w:val="16"/>
                <w:szCs w:val="16"/>
              </w:rPr>
              <w:t>-</w:t>
            </w:r>
          </w:p>
        </w:tc>
      </w:tr>
      <w:tr w:rsidR="00C840AA" w:rsidRPr="00BC00DB" w14:paraId="54C3D6EE" w14:textId="77777777" w:rsidTr="00BC00DB">
        <w:trPr>
          <w:trHeight w:val="272"/>
        </w:trPr>
        <w:tc>
          <w:tcPr>
            <w:tcW w:w="7371" w:type="dxa"/>
            <w:tcBorders>
              <w:top w:val="nil"/>
              <w:left w:val="nil"/>
              <w:bottom w:val="nil"/>
              <w:right w:val="nil"/>
            </w:tcBorders>
            <w:shd w:val="clear" w:color="000000" w:fill="D0E0E3"/>
            <w:noWrap/>
            <w:vAlign w:val="center"/>
            <w:hideMark/>
          </w:tcPr>
          <w:p w14:paraId="2AEB6BC4" w14:textId="77777777" w:rsidR="00C840AA" w:rsidRPr="00780A1D" w:rsidRDefault="00C840AA" w:rsidP="00C840AA">
            <w:pPr>
              <w:rPr>
                <w:rFonts w:ascii="CAIXA Std Book" w:eastAsia="Times New Roman" w:hAnsi="CAIXA Std Book" w:cs="Arial"/>
                <w:b/>
                <w:bCs/>
                <w:color w:val="005CA9"/>
                <w:sz w:val="16"/>
                <w:szCs w:val="16"/>
              </w:rPr>
            </w:pPr>
            <w:r w:rsidRPr="00780A1D">
              <w:rPr>
                <w:rFonts w:ascii="CAIXA Std Book" w:eastAsia="Times New Roman" w:hAnsi="CAIXA Std Book" w:cs="Arial"/>
                <w:b/>
                <w:bCs/>
                <w:color w:val="005CA9"/>
                <w:sz w:val="16"/>
                <w:szCs w:val="16"/>
              </w:rPr>
              <w:t>Ativos financeiros ao valor justo por meio de outros resultados abrangentes</w:t>
            </w:r>
          </w:p>
        </w:tc>
        <w:tc>
          <w:tcPr>
            <w:tcW w:w="1689" w:type="dxa"/>
            <w:tcBorders>
              <w:top w:val="nil"/>
              <w:left w:val="nil"/>
              <w:bottom w:val="nil"/>
              <w:right w:val="nil"/>
            </w:tcBorders>
            <w:shd w:val="clear" w:color="000000" w:fill="D0E0E3"/>
            <w:noWrap/>
            <w:vAlign w:val="center"/>
            <w:hideMark/>
          </w:tcPr>
          <w:p w14:paraId="2492150C" w14:textId="19DB9BFA"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551.359.999</w:t>
            </w:r>
          </w:p>
        </w:tc>
        <w:tc>
          <w:tcPr>
            <w:tcW w:w="1340" w:type="dxa"/>
            <w:tcBorders>
              <w:top w:val="nil"/>
              <w:left w:val="nil"/>
              <w:bottom w:val="nil"/>
              <w:right w:val="nil"/>
            </w:tcBorders>
            <w:shd w:val="clear" w:color="000000" w:fill="D0E0E3"/>
            <w:vAlign w:val="center"/>
            <w:hideMark/>
          </w:tcPr>
          <w:p w14:paraId="133E34D8" w14:textId="06967A2D"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551.009.550</w:t>
            </w:r>
          </w:p>
        </w:tc>
        <w:tc>
          <w:tcPr>
            <w:tcW w:w="1180" w:type="dxa"/>
            <w:tcBorders>
              <w:top w:val="nil"/>
              <w:left w:val="nil"/>
              <w:bottom w:val="nil"/>
              <w:right w:val="nil"/>
            </w:tcBorders>
            <w:shd w:val="clear" w:color="000000" w:fill="D0E0E3"/>
            <w:noWrap/>
            <w:vAlign w:val="center"/>
            <w:hideMark/>
          </w:tcPr>
          <w:p w14:paraId="547E00E2" w14:textId="1E628584"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264.067.077</w:t>
            </w:r>
          </w:p>
        </w:tc>
        <w:tc>
          <w:tcPr>
            <w:tcW w:w="1340" w:type="dxa"/>
            <w:tcBorders>
              <w:top w:val="nil"/>
              <w:left w:val="nil"/>
              <w:bottom w:val="nil"/>
              <w:right w:val="nil"/>
            </w:tcBorders>
            <w:shd w:val="clear" w:color="000000" w:fill="D0E0E3"/>
            <w:noWrap/>
            <w:vAlign w:val="center"/>
            <w:hideMark/>
          </w:tcPr>
          <w:p w14:paraId="00F4C3B5" w14:textId="1D804990"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270.661.559</w:t>
            </w:r>
          </w:p>
        </w:tc>
        <w:tc>
          <w:tcPr>
            <w:tcW w:w="1180" w:type="dxa"/>
            <w:tcBorders>
              <w:top w:val="nil"/>
              <w:left w:val="nil"/>
              <w:bottom w:val="nil"/>
              <w:right w:val="nil"/>
            </w:tcBorders>
            <w:shd w:val="clear" w:color="000000" w:fill="D0E0E3"/>
            <w:noWrap/>
            <w:vAlign w:val="center"/>
            <w:hideMark/>
          </w:tcPr>
          <w:p w14:paraId="4904B5EB" w14:textId="65C6DC08"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16.280.914</w:t>
            </w:r>
          </w:p>
        </w:tc>
      </w:tr>
      <w:tr w:rsidR="00C840AA" w:rsidRPr="00BC00DB" w14:paraId="7D550D15" w14:textId="77777777" w:rsidTr="00BC00DB">
        <w:trPr>
          <w:trHeight w:val="272"/>
        </w:trPr>
        <w:tc>
          <w:tcPr>
            <w:tcW w:w="7371" w:type="dxa"/>
            <w:tcBorders>
              <w:top w:val="nil"/>
              <w:left w:val="nil"/>
              <w:bottom w:val="nil"/>
              <w:right w:val="nil"/>
            </w:tcBorders>
            <w:noWrap/>
            <w:vAlign w:val="center"/>
            <w:hideMark/>
          </w:tcPr>
          <w:p w14:paraId="7819569A" w14:textId="77777777" w:rsidR="00C840AA" w:rsidRPr="00780A1D" w:rsidRDefault="00C840AA" w:rsidP="00C840AA">
            <w:pPr>
              <w:ind w:firstLineChars="100" w:firstLine="160"/>
              <w:rPr>
                <w:rFonts w:ascii="CAIXA Std Book" w:eastAsia="Times New Roman" w:hAnsi="CAIXA Std Book" w:cs="Arial"/>
                <w:color w:val="005CA9"/>
                <w:sz w:val="16"/>
                <w:szCs w:val="16"/>
              </w:rPr>
            </w:pPr>
            <w:r w:rsidRPr="00780A1D">
              <w:rPr>
                <w:rFonts w:ascii="CAIXA Std Book" w:eastAsia="Times New Roman" w:hAnsi="CAIXA Std Book" w:cs="Arial"/>
                <w:color w:val="005CA9"/>
                <w:sz w:val="16"/>
                <w:szCs w:val="16"/>
              </w:rPr>
              <w:t>Aplicações interfinanceiras de liquidez</w:t>
            </w:r>
          </w:p>
        </w:tc>
        <w:tc>
          <w:tcPr>
            <w:tcW w:w="1689" w:type="dxa"/>
            <w:tcBorders>
              <w:top w:val="nil"/>
              <w:left w:val="nil"/>
              <w:bottom w:val="nil"/>
              <w:right w:val="nil"/>
            </w:tcBorders>
            <w:vAlign w:val="center"/>
            <w:hideMark/>
          </w:tcPr>
          <w:p w14:paraId="7F1C5298" w14:textId="6796CFA3"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269.531.070</w:t>
            </w:r>
          </w:p>
        </w:tc>
        <w:tc>
          <w:tcPr>
            <w:tcW w:w="1340" w:type="dxa"/>
            <w:tcBorders>
              <w:top w:val="nil"/>
              <w:left w:val="nil"/>
              <w:bottom w:val="nil"/>
              <w:right w:val="nil"/>
            </w:tcBorders>
            <w:vAlign w:val="center"/>
            <w:hideMark/>
          </w:tcPr>
          <w:p w14:paraId="7C998CC6" w14:textId="1F0E695C"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269.554.621</w:t>
            </w:r>
          </w:p>
        </w:tc>
        <w:tc>
          <w:tcPr>
            <w:tcW w:w="1180" w:type="dxa"/>
            <w:tcBorders>
              <w:top w:val="nil"/>
              <w:left w:val="nil"/>
              <w:bottom w:val="nil"/>
              <w:right w:val="nil"/>
            </w:tcBorders>
            <w:noWrap/>
            <w:vAlign w:val="center"/>
            <w:hideMark/>
          </w:tcPr>
          <w:p w14:paraId="29BA7600" w14:textId="05F2502F" w:rsidR="00C840AA" w:rsidRPr="0051267B" w:rsidRDefault="00C840AA" w:rsidP="00BC00DB">
            <w:pPr>
              <w:jc w:val="center"/>
              <w:rPr>
                <w:rFonts w:ascii="CAIXA Std Book" w:eastAsia="Times New Roman" w:hAnsi="CAIXA Std Book" w:cs="Arial"/>
                <w:color w:val="005CA9"/>
                <w:sz w:val="16"/>
                <w:szCs w:val="16"/>
              </w:rPr>
            </w:pPr>
            <w:r>
              <w:rPr>
                <w:rFonts w:ascii="CAIXA Std Book" w:hAnsi="CAIXA Std Book" w:cs="Arial"/>
                <w:color w:val="005CA9"/>
                <w:sz w:val="16"/>
                <w:szCs w:val="16"/>
              </w:rPr>
              <w:t>-</w:t>
            </w:r>
          </w:p>
        </w:tc>
        <w:tc>
          <w:tcPr>
            <w:tcW w:w="1340" w:type="dxa"/>
            <w:tcBorders>
              <w:top w:val="nil"/>
              <w:left w:val="nil"/>
              <w:bottom w:val="nil"/>
              <w:right w:val="nil"/>
            </w:tcBorders>
            <w:noWrap/>
            <w:vAlign w:val="center"/>
            <w:hideMark/>
          </w:tcPr>
          <w:p w14:paraId="714DB164" w14:textId="55666FEE"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269.554.621</w:t>
            </w:r>
          </w:p>
        </w:tc>
        <w:tc>
          <w:tcPr>
            <w:tcW w:w="1180" w:type="dxa"/>
            <w:tcBorders>
              <w:top w:val="nil"/>
              <w:left w:val="nil"/>
              <w:bottom w:val="nil"/>
              <w:right w:val="nil"/>
            </w:tcBorders>
            <w:noWrap/>
            <w:vAlign w:val="center"/>
            <w:hideMark/>
          </w:tcPr>
          <w:p w14:paraId="4C9B4FE6" w14:textId="34A07B53" w:rsidR="00C840AA" w:rsidRPr="0051267B" w:rsidRDefault="00C840AA" w:rsidP="00C840AA">
            <w:pPr>
              <w:jc w:val="center"/>
              <w:rPr>
                <w:rFonts w:ascii="CAIXA Std Book" w:eastAsia="Times New Roman" w:hAnsi="CAIXA Std Book" w:cs="Arial"/>
                <w:color w:val="005CA9"/>
                <w:sz w:val="16"/>
                <w:szCs w:val="16"/>
              </w:rPr>
            </w:pPr>
            <w:r>
              <w:rPr>
                <w:rFonts w:ascii="CAIXA Std Book" w:hAnsi="CAIXA Std Book" w:cs="Arial"/>
                <w:color w:val="005CA9"/>
                <w:sz w:val="16"/>
                <w:szCs w:val="16"/>
              </w:rPr>
              <w:t>-</w:t>
            </w:r>
          </w:p>
        </w:tc>
      </w:tr>
      <w:tr w:rsidR="00C840AA" w:rsidRPr="00BC00DB" w14:paraId="51AB9595" w14:textId="77777777" w:rsidTr="00BC00DB">
        <w:trPr>
          <w:trHeight w:val="272"/>
        </w:trPr>
        <w:tc>
          <w:tcPr>
            <w:tcW w:w="7371" w:type="dxa"/>
            <w:tcBorders>
              <w:top w:val="nil"/>
              <w:left w:val="nil"/>
              <w:bottom w:val="nil"/>
              <w:right w:val="nil"/>
            </w:tcBorders>
            <w:noWrap/>
            <w:vAlign w:val="center"/>
            <w:hideMark/>
          </w:tcPr>
          <w:p w14:paraId="42E3D95D" w14:textId="77777777" w:rsidR="00C840AA" w:rsidRPr="00780A1D" w:rsidRDefault="00C840AA" w:rsidP="00C840AA">
            <w:pPr>
              <w:ind w:firstLineChars="100" w:firstLine="160"/>
              <w:rPr>
                <w:rFonts w:ascii="CAIXA Std Book" w:eastAsia="Times New Roman" w:hAnsi="CAIXA Std Book" w:cs="Arial"/>
                <w:color w:val="005CA9"/>
                <w:sz w:val="16"/>
                <w:szCs w:val="16"/>
              </w:rPr>
            </w:pPr>
            <w:r w:rsidRPr="00780A1D">
              <w:rPr>
                <w:rFonts w:ascii="CAIXA Std Book" w:eastAsia="Times New Roman" w:hAnsi="CAIXA Std Book" w:cs="Arial"/>
                <w:color w:val="005CA9"/>
                <w:sz w:val="16"/>
                <w:szCs w:val="16"/>
              </w:rPr>
              <w:t>Títulos e valores mobiliários (líquidos de provisão para perdas associadas ao risco de crédito)</w:t>
            </w:r>
          </w:p>
        </w:tc>
        <w:tc>
          <w:tcPr>
            <w:tcW w:w="1689" w:type="dxa"/>
            <w:tcBorders>
              <w:top w:val="nil"/>
              <w:left w:val="nil"/>
              <w:bottom w:val="nil"/>
              <w:right w:val="nil"/>
            </w:tcBorders>
            <w:vAlign w:val="center"/>
            <w:hideMark/>
          </w:tcPr>
          <w:p w14:paraId="3A168CA4" w14:textId="15BE0CD4"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281.828.929</w:t>
            </w:r>
          </w:p>
        </w:tc>
        <w:tc>
          <w:tcPr>
            <w:tcW w:w="1340" w:type="dxa"/>
            <w:tcBorders>
              <w:top w:val="nil"/>
              <w:left w:val="nil"/>
              <w:bottom w:val="nil"/>
              <w:right w:val="nil"/>
            </w:tcBorders>
            <w:vAlign w:val="center"/>
            <w:hideMark/>
          </w:tcPr>
          <w:p w14:paraId="0E1E50D7" w14:textId="67D1C6F6"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281.454.929</w:t>
            </w:r>
          </w:p>
        </w:tc>
        <w:tc>
          <w:tcPr>
            <w:tcW w:w="1180" w:type="dxa"/>
            <w:tcBorders>
              <w:top w:val="nil"/>
              <w:left w:val="nil"/>
              <w:bottom w:val="nil"/>
              <w:right w:val="nil"/>
            </w:tcBorders>
            <w:noWrap/>
            <w:vAlign w:val="center"/>
            <w:hideMark/>
          </w:tcPr>
          <w:p w14:paraId="3C0FF2BE" w14:textId="7F3E39BA"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264.067.077</w:t>
            </w:r>
          </w:p>
        </w:tc>
        <w:tc>
          <w:tcPr>
            <w:tcW w:w="1340" w:type="dxa"/>
            <w:tcBorders>
              <w:top w:val="nil"/>
              <w:left w:val="nil"/>
              <w:bottom w:val="nil"/>
              <w:right w:val="nil"/>
            </w:tcBorders>
            <w:noWrap/>
            <w:vAlign w:val="center"/>
            <w:hideMark/>
          </w:tcPr>
          <w:p w14:paraId="4AE02410" w14:textId="6707D8F4"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1.106.938</w:t>
            </w:r>
          </w:p>
        </w:tc>
        <w:tc>
          <w:tcPr>
            <w:tcW w:w="1180" w:type="dxa"/>
            <w:tcBorders>
              <w:top w:val="nil"/>
              <w:left w:val="nil"/>
              <w:bottom w:val="nil"/>
              <w:right w:val="nil"/>
            </w:tcBorders>
            <w:noWrap/>
            <w:vAlign w:val="center"/>
            <w:hideMark/>
          </w:tcPr>
          <w:p w14:paraId="13D446C4" w14:textId="2C57D8DD"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16.280.914</w:t>
            </w:r>
          </w:p>
        </w:tc>
      </w:tr>
      <w:tr w:rsidR="00C840AA" w:rsidRPr="00BC00DB" w14:paraId="7CCCE339" w14:textId="77777777" w:rsidTr="00BC00DB">
        <w:trPr>
          <w:trHeight w:val="272"/>
        </w:trPr>
        <w:tc>
          <w:tcPr>
            <w:tcW w:w="7371" w:type="dxa"/>
            <w:tcBorders>
              <w:top w:val="nil"/>
              <w:left w:val="nil"/>
              <w:bottom w:val="nil"/>
              <w:right w:val="nil"/>
            </w:tcBorders>
            <w:shd w:val="clear" w:color="000000" w:fill="D0E0E3"/>
            <w:noWrap/>
            <w:vAlign w:val="center"/>
            <w:hideMark/>
          </w:tcPr>
          <w:p w14:paraId="3E9660CD" w14:textId="77777777" w:rsidR="00C840AA" w:rsidRPr="00780A1D" w:rsidRDefault="00C840AA" w:rsidP="00C840AA">
            <w:pPr>
              <w:rPr>
                <w:rFonts w:ascii="CAIXA Std Book" w:eastAsia="Times New Roman" w:hAnsi="CAIXA Std Book" w:cs="Arial"/>
                <w:b/>
                <w:bCs/>
                <w:color w:val="005CA9"/>
                <w:sz w:val="16"/>
                <w:szCs w:val="16"/>
              </w:rPr>
            </w:pPr>
            <w:r w:rsidRPr="00780A1D">
              <w:rPr>
                <w:rFonts w:ascii="CAIXA Std Book" w:eastAsia="Times New Roman" w:hAnsi="CAIXA Std Book" w:cs="Arial"/>
                <w:b/>
                <w:bCs/>
                <w:color w:val="005CA9"/>
                <w:sz w:val="16"/>
                <w:szCs w:val="16"/>
              </w:rPr>
              <w:t>Ativos financeiros ao custo amortizado</w:t>
            </w:r>
          </w:p>
        </w:tc>
        <w:tc>
          <w:tcPr>
            <w:tcW w:w="1689" w:type="dxa"/>
            <w:tcBorders>
              <w:top w:val="nil"/>
              <w:left w:val="nil"/>
              <w:bottom w:val="nil"/>
              <w:right w:val="nil"/>
            </w:tcBorders>
            <w:shd w:val="clear" w:color="000000" w:fill="D0E0E3"/>
            <w:noWrap/>
            <w:vAlign w:val="center"/>
            <w:hideMark/>
          </w:tcPr>
          <w:p w14:paraId="2A0C72FD" w14:textId="1C39E486"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1.587.684.067</w:t>
            </w:r>
          </w:p>
        </w:tc>
        <w:tc>
          <w:tcPr>
            <w:tcW w:w="1340" w:type="dxa"/>
            <w:tcBorders>
              <w:top w:val="nil"/>
              <w:left w:val="nil"/>
              <w:bottom w:val="nil"/>
              <w:right w:val="nil"/>
            </w:tcBorders>
            <w:shd w:val="clear" w:color="000000" w:fill="D0E0E3"/>
            <w:vAlign w:val="center"/>
            <w:hideMark/>
          </w:tcPr>
          <w:p w14:paraId="3AA41792" w14:textId="55A1A5A5"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1.369.584.162</w:t>
            </w:r>
          </w:p>
        </w:tc>
        <w:tc>
          <w:tcPr>
            <w:tcW w:w="1180" w:type="dxa"/>
            <w:tcBorders>
              <w:top w:val="nil"/>
              <w:left w:val="nil"/>
              <w:bottom w:val="nil"/>
              <w:right w:val="nil"/>
            </w:tcBorders>
            <w:shd w:val="clear" w:color="000000" w:fill="D0E0E3"/>
            <w:noWrap/>
            <w:vAlign w:val="center"/>
            <w:hideMark/>
          </w:tcPr>
          <w:p w14:paraId="442916B4" w14:textId="1EA4F67A" w:rsidR="00C840AA" w:rsidRPr="0051267B" w:rsidRDefault="00C840AA" w:rsidP="00C840AA">
            <w:pPr>
              <w:jc w:val="center"/>
              <w:rPr>
                <w:rFonts w:ascii="CAIXA Std Book" w:eastAsia="Times New Roman" w:hAnsi="CAIXA Std Book" w:cs="Arial"/>
                <w:b/>
                <w:bCs/>
                <w:color w:val="005CA9"/>
                <w:sz w:val="16"/>
                <w:szCs w:val="16"/>
              </w:rPr>
            </w:pPr>
            <w:r>
              <w:rPr>
                <w:rFonts w:ascii="CAIXA Std Book" w:hAnsi="CAIXA Std Book" w:cs="Arial"/>
                <w:b/>
                <w:bCs/>
                <w:color w:val="005CA9"/>
                <w:sz w:val="16"/>
                <w:szCs w:val="16"/>
              </w:rPr>
              <w:t>-</w:t>
            </w:r>
          </w:p>
        </w:tc>
        <w:tc>
          <w:tcPr>
            <w:tcW w:w="1340" w:type="dxa"/>
            <w:tcBorders>
              <w:top w:val="nil"/>
              <w:left w:val="nil"/>
              <w:bottom w:val="nil"/>
              <w:right w:val="nil"/>
            </w:tcBorders>
            <w:shd w:val="clear" w:color="000000" w:fill="D0E0E3"/>
            <w:noWrap/>
            <w:vAlign w:val="center"/>
            <w:hideMark/>
          </w:tcPr>
          <w:p w14:paraId="7758C8FC" w14:textId="5DED2211"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1.366.850.672</w:t>
            </w:r>
          </w:p>
        </w:tc>
        <w:tc>
          <w:tcPr>
            <w:tcW w:w="1180" w:type="dxa"/>
            <w:tcBorders>
              <w:top w:val="nil"/>
              <w:left w:val="nil"/>
              <w:bottom w:val="nil"/>
              <w:right w:val="nil"/>
            </w:tcBorders>
            <w:shd w:val="clear" w:color="000000" w:fill="D0E0E3"/>
            <w:noWrap/>
            <w:vAlign w:val="center"/>
            <w:hideMark/>
          </w:tcPr>
          <w:p w14:paraId="24236455" w14:textId="6B2107F2"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2.733.490</w:t>
            </w:r>
          </w:p>
        </w:tc>
      </w:tr>
      <w:tr w:rsidR="00C840AA" w:rsidRPr="00BC00DB" w14:paraId="65DB3000" w14:textId="77777777" w:rsidTr="00BC00DB">
        <w:trPr>
          <w:trHeight w:val="272"/>
        </w:trPr>
        <w:tc>
          <w:tcPr>
            <w:tcW w:w="7371" w:type="dxa"/>
            <w:tcBorders>
              <w:top w:val="nil"/>
              <w:left w:val="nil"/>
              <w:bottom w:val="nil"/>
              <w:right w:val="nil"/>
            </w:tcBorders>
            <w:noWrap/>
            <w:vAlign w:val="center"/>
            <w:hideMark/>
          </w:tcPr>
          <w:p w14:paraId="5B35F372" w14:textId="77777777" w:rsidR="00C840AA" w:rsidRPr="00780A1D" w:rsidRDefault="00C840AA" w:rsidP="00C840AA">
            <w:pPr>
              <w:ind w:firstLineChars="100" w:firstLine="160"/>
              <w:rPr>
                <w:rFonts w:ascii="CAIXA Std Book" w:eastAsia="Times New Roman" w:hAnsi="CAIXA Std Book" w:cs="Arial"/>
                <w:color w:val="005CA9"/>
                <w:sz w:val="16"/>
                <w:szCs w:val="16"/>
              </w:rPr>
            </w:pPr>
            <w:r w:rsidRPr="00780A1D">
              <w:rPr>
                <w:rFonts w:ascii="CAIXA Std Book" w:eastAsia="Times New Roman" w:hAnsi="CAIXA Std Book" w:cs="Arial"/>
                <w:color w:val="005CA9"/>
                <w:sz w:val="16"/>
                <w:szCs w:val="16"/>
              </w:rPr>
              <w:t>Depósitos no banco central</w:t>
            </w:r>
          </w:p>
        </w:tc>
        <w:tc>
          <w:tcPr>
            <w:tcW w:w="1689" w:type="dxa"/>
            <w:tcBorders>
              <w:top w:val="nil"/>
              <w:left w:val="nil"/>
              <w:bottom w:val="nil"/>
              <w:right w:val="nil"/>
            </w:tcBorders>
            <w:vAlign w:val="center"/>
            <w:hideMark/>
          </w:tcPr>
          <w:p w14:paraId="3FC9526D" w14:textId="02DB12A7"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121.643.888</w:t>
            </w:r>
          </w:p>
        </w:tc>
        <w:tc>
          <w:tcPr>
            <w:tcW w:w="1340" w:type="dxa"/>
            <w:tcBorders>
              <w:top w:val="nil"/>
              <w:left w:val="nil"/>
              <w:bottom w:val="nil"/>
              <w:right w:val="nil"/>
            </w:tcBorders>
            <w:vAlign w:val="center"/>
            <w:hideMark/>
          </w:tcPr>
          <w:p w14:paraId="296BFCA9" w14:textId="7791A96D"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114.084.422</w:t>
            </w:r>
          </w:p>
        </w:tc>
        <w:tc>
          <w:tcPr>
            <w:tcW w:w="1180" w:type="dxa"/>
            <w:tcBorders>
              <w:top w:val="nil"/>
              <w:left w:val="nil"/>
              <w:bottom w:val="nil"/>
              <w:right w:val="nil"/>
            </w:tcBorders>
            <w:noWrap/>
            <w:vAlign w:val="center"/>
            <w:hideMark/>
          </w:tcPr>
          <w:p w14:paraId="2EC8A9CD" w14:textId="735B8710" w:rsidR="00C840AA" w:rsidRPr="0051267B" w:rsidRDefault="00C840AA" w:rsidP="00C840AA">
            <w:pPr>
              <w:jc w:val="center"/>
              <w:rPr>
                <w:rFonts w:ascii="CAIXA Std Book" w:eastAsia="Times New Roman" w:hAnsi="CAIXA Std Book" w:cs="Arial"/>
                <w:color w:val="005CA9"/>
                <w:sz w:val="16"/>
                <w:szCs w:val="16"/>
              </w:rPr>
            </w:pPr>
            <w:r>
              <w:rPr>
                <w:rFonts w:ascii="CAIXA Std Book" w:hAnsi="CAIXA Std Book" w:cs="Arial"/>
                <w:color w:val="005CA9"/>
                <w:sz w:val="16"/>
                <w:szCs w:val="16"/>
              </w:rPr>
              <w:t>-</w:t>
            </w:r>
          </w:p>
        </w:tc>
        <w:tc>
          <w:tcPr>
            <w:tcW w:w="1340" w:type="dxa"/>
            <w:tcBorders>
              <w:top w:val="nil"/>
              <w:left w:val="nil"/>
              <w:bottom w:val="nil"/>
              <w:right w:val="nil"/>
            </w:tcBorders>
            <w:noWrap/>
            <w:vAlign w:val="center"/>
            <w:hideMark/>
          </w:tcPr>
          <w:p w14:paraId="6326DF1C" w14:textId="0792431A"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114.084.422</w:t>
            </w:r>
          </w:p>
        </w:tc>
        <w:tc>
          <w:tcPr>
            <w:tcW w:w="1180" w:type="dxa"/>
            <w:tcBorders>
              <w:top w:val="nil"/>
              <w:left w:val="nil"/>
              <w:bottom w:val="nil"/>
              <w:right w:val="nil"/>
            </w:tcBorders>
            <w:noWrap/>
            <w:vAlign w:val="center"/>
            <w:hideMark/>
          </w:tcPr>
          <w:p w14:paraId="654A1381" w14:textId="453EC300" w:rsidR="00C840AA" w:rsidRPr="0051267B" w:rsidRDefault="00C840AA" w:rsidP="00C840AA">
            <w:pPr>
              <w:jc w:val="center"/>
              <w:rPr>
                <w:rFonts w:ascii="CAIXA Std Book" w:eastAsia="Times New Roman" w:hAnsi="CAIXA Std Book" w:cs="Arial"/>
                <w:color w:val="005CA9"/>
                <w:sz w:val="16"/>
                <w:szCs w:val="16"/>
              </w:rPr>
            </w:pPr>
            <w:r>
              <w:rPr>
                <w:rFonts w:ascii="CAIXA Std Book" w:hAnsi="CAIXA Std Book" w:cs="Arial"/>
                <w:color w:val="005CA9"/>
                <w:sz w:val="16"/>
                <w:szCs w:val="16"/>
              </w:rPr>
              <w:t>-</w:t>
            </w:r>
          </w:p>
        </w:tc>
      </w:tr>
      <w:tr w:rsidR="00C840AA" w:rsidRPr="00BC00DB" w14:paraId="6C6BA91F" w14:textId="77777777" w:rsidTr="00BC00DB">
        <w:trPr>
          <w:trHeight w:val="272"/>
        </w:trPr>
        <w:tc>
          <w:tcPr>
            <w:tcW w:w="7371" w:type="dxa"/>
            <w:tcBorders>
              <w:top w:val="nil"/>
              <w:left w:val="nil"/>
              <w:bottom w:val="nil"/>
              <w:right w:val="nil"/>
            </w:tcBorders>
            <w:noWrap/>
            <w:vAlign w:val="center"/>
            <w:hideMark/>
          </w:tcPr>
          <w:p w14:paraId="24CD5EAC" w14:textId="77777777" w:rsidR="00C840AA" w:rsidRPr="00780A1D" w:rsidRDefault="00C840AA" w:rsidP="00C840AA">
            <w:pPr>
              <w:ind w:firstLineChars="100" w:firstLine="160"/>
              <w:rPr>
                <w:rFonts w:ascii="CAIXA Std Book" w:eastAsia="Times New Roman" w:hAnsi="CAIXA Std Book" w:cs="Arial"/>
                <w:color w:val="005CA9"/>
                <w:sz w:val="16"/>
                <w:szCs w:val="16"/>
              </w:rPr>
            </w:pPr>
            <w:r w:rsidRPr="00780A1D">
              <w:rPr>
                <w:rFonts w:ascii="CAIXA Std Book" w:eastAsia="Times New Roman" w:hAnsi="CAIXA Std Book" w:cs="Arial"/>
                <w:color w:val="005CA9"/>
                <w:sz w:val="16"/>
                <w:szCs w:val="16"/>
              </w:rPr>
              <w:t>Aplicações interfinanceiras de liquidez</w:t>
            </w:r>
          </w:p>
        </w:tc>
        <w:tc>
          <w:tcPr>
            <w:tcW w:w="1689" w:type="dxa"/>
            <w:tcBorders>
              <w:top w:val="nil"/>
              <w:left w:val="nil"/>
              <w:bottom w:val="nil"/>
              <w:right w:val="nil"/>
            </w:tcBorders>
            <w:vAlign w:val="center"/>
            <w:hideMark/>
          </w:tcPr>
          <w:p w14:paraId="75B5AAD2" w14:textId="2AB9C8C2"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8.273.845</w:t>
            </w:r>
          </w:p>
        </w:tc>
        <w:tc>
          <w:tcPr>
            <w:tcW w:w="1340" w:type="dxa"/>
            <w:tcBorders>
              <w:top w:val="nil"/>
              <w:left w:val="nil"/>
              <w:bottom w:val="nil"/>
              <w:right w:val="nil"/>
            </w:tcBorders>
            <w:vAlign w:val="center"/>
            <w:hideMark/>
          </w:tcPr>
          <w:p w14:paraId="55673F49" w14:textId="1ED079E0"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8.274.570</w:t>
            </w:r>
          </w:p>
        </w:tc>
        <w:tc>
          <w:tcPr>
            <w:tcW w:w="1180" w:type="dxa"/>
            <w:tcBorders>
              <w:top w:val="nil"/>
              <w:left w:val="nil"/>
              <w:bottom w:val="nil"/>
              <w:right w:val="nil"/>
            </w:tcBorders>
            <w:noWrap/>
            <w:vAlign w:val="center"/>
            <w:hideMark/>
          </w:tcPr>
          <w:p w14:paraId="74F3BD3E" w14:textId="65CBAB2C" w:rsidR="00C840AA" w:rsidRPr="0051267B" w:rsidRDefault="00C840AA" w:rsidP="00C840AA">
            <w:pPr>
              <w:jc w:val="center"/>
              <w:rPr>
                <w:rFonts w:ascii="CAIXA Std Book" w:eastAsia="Times New Roman" w:hAnsi="CAIXA Std Book" w:cs="Arial"/>
                <w:color w:val="005CA9"/>
                <w:sz w:val="16"/>
                <w:szCs w:val="16"/>
              </w:rPr>
            </w:pPr>
            <w:r>
              <w:rPr>
                <w:rFonts w:ascii="CAIXA Std Book" w:hAnsi="CAIXA Std Book" w:cs="Arial"/>
                <w:color w:val="005CA9"/>
                <w:sz w:val="16"/>
                <w:szCs w:val="16"/>
              </w:rPr>
              <w:t>-</w:t>
            </w:r>
          </w:p>
        </w:tc>
        <w:tc>
          <w:tcPr>
            <w:tcW w:w="1340" w:type="dxa"/>
            <w:tcBorders>
              <w:top w:val="nil"/>
              <w:left w:val="nil"/>
              <w:bottom w:val="nil"/>
              <w:right w:val="nil"/>
            </w:tcBorders>
            <w:noWrap/>
            <w:vAlign w:val="center"/>
            <w:hideMark/>
          </w:tcPr>
          <w:p w14:paraId="45AFD8AD" w14:textId="51042E8E"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8.274.570</w:t>
            </w:r>
          </w:p>
        </w:tc>
        <w:tc>
          <w:tcPr>
            <w:tcW w:w="1180" w:type="dxa"/>
            <w:tcBorders>
              <w:top w:val="nil"/>
              <w:left w:val="nil"/>
              <w:bottom w:val="nil"/>
              <w:right w:val="nil"/>
            </w:tcBorders>
            <w:noWrap/>
            <w:vAlign w:val="center"/>
            <w:hideMark/>
          </w:tcPr>
          <w:p w14:paraId="06184715" w14:textId="05779A5F" w:rsidR="00C840AA" w:rsidRPr="0051267B" w:rsidRDefault="00C840AA" w:rsidP="00C840AA">
            <w:pPr>
              <w:jc w:val="center"/>
              <w:rPr>
                <w:rFonts w:ascii="CAIXA Std Book" w:eastAsia="Times New Roman" w:hAnsi="CAIXA Std Book" w:cs="Arial"/>
                <w:color w:val="005CA9"/>
                <w:sz w:val="16"/>
                <w:szCs w:val="16"/>
              </w:rPr>
            </w:pPr>
            <w:r>
              <w:rPr>
                <w:rFonts w:ascii="CAIXA Std Book" w:hAnsi="CAIXA Std Book" w:cs="Arial"/>
                <w:color w:val="005CA9"/>
                <w:sz w:val="16"/>
                <w:szCs w:val="16"/>
              </w:rPr>
              <w:t>-</w:t>
            </w:r>
          </w:p>
        </w:tc>
      </w:tr>
      <w:tr w:rsidR="00C840AA" w:rsidRPr="00BC00DB" w14:paraId="4B0A54BE" w14:textId="77777777" w:rsidTr="00BC00DB">
        <w:trPr>
          <w:trHeight w:val="272"/>
        </w:trPr>
        <w:tc>
          <w:tcPr>
            <w:tcW w:w="7371" w:type="dxa"/>
            <w:tcBorders>
              <w:top w:val="nil"/>
              <w:left w:val="nil"/>
              <w:bottom w:val="nil"/>
              <w:right w:val="nil"/>
            </w:tcBorders>
            <w:noWrap/>
            <w:vAlign w:val="center"/>
            <w:hideMark/>
          </w:tcPr>
          <w:p w14:paraId="794408D0" w14:textId="77777777" w:rsidR="00C840AA" w:rsidRPr="00780A1D" w:rsidRDefault="00C840AA" w:rsidP="00C840AA">
            <w:pPr>
              <w:ind w:firstLineChars="100" w:firstLine="160"/>
              <w:rPr>
                <w:rFonts w:ascii="CAIXA Std Book" w:eastAsia="Times New Roman" w:hAnsi="CAIXA Std Book" w:cs="Arial"/>
                <w:color w:val="005CA9"/>
                <w:sz w:val="16"/>
                <w:szCs w:val="16"/>
              </w:rPr>
            </w:pPr>
            <w:r w:rsidRPr="00780A1D">
              <w:rPr>
                <w:rFonts w:ascii="CAIXA Std Book" w:eastAsia="Times New Roman" w:hAnsi="CAIXA Std Book" w:cs="Arial"/>
                <w:color w:val="005CA9"/>
                <w:sz w:val="16"/>
                <w:szCs w:val="16"/>
              </w:rPr>
              <w:t>Títulos e valores mobiliários (líquidos de provisão para perdas associadas ao risco de crédito)</w:t>
            </w:r>
          </w:p>
        </w:tc>
        <w:tc>
          <w:tcPr>
            <w:tcW w:w="1689" w:type="dxa"/>
            <w:tcBorders>
              <w:top w:val="nil"/>
              <w:left w:val="nil"/>
              <w:bottom w:val="nil"/>
              <w:right w:val="nil"/>
            </w:tcBorders>
            <w:vAlign w:val="center"/>
            <w:hideMark/>
          </w:tcPr>
          <w:p w14:paraId="42130BD3" w14:textId="0B060D61"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2.733.490</w:t>
            </w:r>
          </w:p>
        </w:tc>
        <w:tc>
          <w:tcPr>
            <w:tcW w:w="1340" w:type="dxa"/>
            <w:tcBorders>
              <w:top w:val="nil"/>
              <w:left w:val="nil"/>
              <w:bottom w:val="nil"/>
              <w:right w:val="nil"/>
            </w:tcBorders>
            <w:vAlign w:val="center"/>
            <w:hideMark/>
          </w:tcPr>
          <w:p w14:paraId="6FB965A8" w14:textId="5000CE27"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2.733.490</w:t>
            </w:r>
          </w:p>
        </w:tc>
        <w:tc>
          <w:tcPr>
            <w:tcW w:w="1180" w:type="dxa"/>
            <w:tcBorders>
              <w:top w:val="nil"/>
              <w:left w:val="nil"/>
              <w:bottom w:val="nil"/>
              <w:right w:val="nil"/>
            </w:tcBorders>
            <w:noWrap/>
            <w:vAlign w:val="center"/>
            <w:hideMark/>
          </w:tcPr>
          <w:p w14:paraId="367DCD3A" w14:textId="38D37F25" w:rsidR="00C840AA" w:rsidRPr="0051267B" w:rsidRDefault="00C840AA" w:rsidP="00C840AA">
            <w:pPr>
              <w:jc w:val="center"/>
              <w:rPr>
                <w:rFonts w:ascii="CAIXA Std Book" w:eastAsia="Times New Roman" w:hAnsi="CAIXA Std Book" w:cs="Arial"/>
                <w:color w:val="005CA9"/>
                <w:sz w:val="16"/>
                <w:szCs w:val="16"/>
              </w:rPr>
            </w:pPr>
            <w:r>
              <w:rPr>
                <w:rFonts w:ascii="CAIXA Std Book" w:hAnsi="CAIXA Std Book" w:cs="Arial"/>
                <w:color w:val="005CA9"/>
                <w:sz w:val="16"/>
                <w:szCs w:val="16"/>
              </w:rPr>
              <w:t>-</w:t>
            </w:r>
          </w:p>
        </w:tc>
        <w:tc>
          <w:tcPr>
            <w:tcW w:w="1340" w:type="dxa"/>
            <w:tcBorders>
              <w:top w:val="nil"/>
              <w:left w:val="nil"/>
              <w:bottom w:val="nil"/>
              <w:right w:val="nil"/>
            </w:tcBorders>
            <w:noWrap/>
            <w:vAlign w:val="center"/>
            <w:hideMark/>
          </w:tcPr>
          <w:p w14:paraId="1336F2D4" w14:textId="2B53F98D" w:rsidR="00C840AA" w:rsidRPr="0051267B" w:rsidRDefault="00BC00DB" w:rsidP="00BC00DB">
            <w:pPr>
              <w:jc w:val="center"/>
              <w:rPr>
                <w:rFonts w:ascii="CAIXA Std Book" w:eastAsia="Times New Roman" w:hAnsi="CAIXA Std Book" w:cs="Arial"/>
                <w:color w:val="005CA9"/>
                <w:sz w:val="16"/>
                <w:szCs w:val="16"/>
              </w:rPr>
            </w:pPr>
            <w:r w:rsidRPr="00BC00DB">
              <w:rPr>
                <w:rFonts w:ascii="CAIXA Std Book" w:eastAsia="Times New Roman" w:hAnsi="CAIXA Std Book" w:cs="Arial"/>
                <w:color w:val="005CA9"/>
                <w:sz w:val="16"/>
                <w:szCs w:val="16"/>
              </w:rPr>
              <w:t>-</w:t>
            </w:r>
          </w:p>
        </w:tc>
        <w:tc>
          <w:tcPr>
            <w:tcW w:w="1180" w:type="dxa"/>
            <w:tcBorders>
              <w:top w:val="nil"/>
              <w:left w:val="nil"/>
              <w:bottom w:val="nil"/>
              <w:right w:val="nil"/>
            </w:tcBorders>
            <w:noWrap/>
            <w:vAlign w:val="center"/>
            <w:hideMark/>
          </w:tcPr>
          <w:p w14:paraId="3E0E70CE" w14:textId="23F6B99F"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2.733.490</w:t>
            </w:r>
          </w:p>
        </w:tc>
      </w:tr>
      <w:tr w:rsidR="00C840AA" w:rsidRPr="00BC00DB" w14:paraId="454E790D" w14:textId="77777777" w:rsidTr="00BC00DB">
        <w:trPr>
          <w:trHeight w:val="272"/>
        </w:trPr>
        <w:tc>
          <w:tcPr>
            <w:tcW w:w="7371" w:type="dxa"/>
            <w:tcBorders>
              <w:top w:val="nil"/>
              <w:left w:val="nil"/>
              <w:bottom w:val="nil"/>
              <w:right w:val="nil"/>
            </w:tcBorders>
            <w:noWrap/>
            <w:vAlign w:val="center"/>
            <w:hideMark/>
          </w:tcPr>
          <w:p w14:paraId="6661E8EB" w14:textId="77777777" w:rsidR="00C840AA" w:rsidRPr="00780A1D" w:rsidRDefault="00C840AA" w:rsidP="00C840AA">
            <w:pPr>
              <w:ind w:firstLineChars="100" w:firstLine="160"/>
              <w:rPr>
                <w:rFonts w:ascii="CAIXA Std Book" w:eastAsia="Times New Roman" w:hAnsi="CAIXA Std Book" w:cs="Arial"/>
                <w:color w:val="005CA9"/>
                <w:sz w:val="16"/>
                <w:szCs w:val="16"/>
              </w:rPr>
            </w:pPr>
            <w:r w:rsidRPr="00780A1D">
              <w:rPr>
                <w:rFonts w:ascii="CAIXA Std Book" w:eastAsia="Times New Roman" w:hAnsi="CAIXA Std Book" w:cs="Arial"/>
                <w:color w:val="005CA9"/>
                <w:sz w:val="16"/>
                <w:szCs w:val="16"/>
              </w:rPr>
              <w:t>Operações de crédito</w:t>
            </w:r>
          </w:p>
        </w:tc>
        <w:tc>
          <w:tcPr>
            <w:tcW w:w="1689" w:type="dxa"/>
            <w:tcBorders>
              <w:top w:val="nil"/>
              <w:left w:val="nil"/>
              <w:bottom w:val="nil"/>
              <w:right w:val="nil"/>
            </w:tcBorders>
            <w:vAlign w:val="center"/>
            <w:hideMark/>
          </w:tcPr>
          <w:p w14:paraId="55316ECA" w14:textId="50B0BF4D"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1.410.089.614</w:t>
            </w:r>
          </w:p>
        </w:tc>
        <w:tc>
          <w:tcPr>
            <w:tcW w:w="1340" w:type="dxa"/>
            <w:tcBorders>
              <w:top w:val="nil"/>
              <w:left w:val="nil"/>
              <w:bottom w:val="nil"/>
              <w:right w:val="nil"/>
            </w:tcBorders>
            <w:vAlign w:val="center"/>
            <w:hideMark/>
          </w:tcPr>
          <w:p w14:paraId="6474190B" w14:textId="6C4636EE"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1.200.350.061</w:t>
            </w:r>
          </w:p>
        </w:tc>
        <w:tc>
          <w:tcPr>
            <w:tcW w:w="1180" w:type="dxa"/>
            <w:tcBorders>
              <w:top w:val="nil"/>
              <w:left w:val="nil"/>
              <w:bottom w:val="nil"/>
              <w:right w:val="nil"/>
            </w:tcBorders>
            <w:noWrap/>
            <w:vAlign w:val="center"/>
            <w:hideMark/>
          </w:tcPr>
          <w:p w14:paraId="54F196C8" w14:textId="2EB5CDEB" w:rsidR="00C840AA" w:rsidRPr="0051267B" w:rsidRDefault="00C840AA" w:rsidP="00C840AA">
            <w:pPr>
              <w:jc w:val="center"/>
              <w:rPr>
                <w:rFonts w:ascii="CAIXA Std Book" w:eastAsia="Times New Roman" w:hAnsi="CAIXA Std Book" w:cs="Arial"/>
                <w:color w:val="005CA9"/>
                <w:sz w:val="16"/>
                <w:szCs w:val="16"/>
              </w:rPr>
            </w:pPr>
            <w:r>
              <w:rPr>
                <w:rFonts w:ascii="CAIXA Std Book" w:hAnsi="CAIXA Std Book" w:cs="Arial"/>
                <w:color w:val="005CA9"/>
                <w:sz w:val="16"/>
                <w:szCs w:val="16"/>
              </w:rPr>
              <w:t>-</w:t>
            </w:r>
          </w:p>
        </w:tc>
        <w:tc>
          <w:tcPr>
            <w:tcW w:w="1340" w:type="dxa"/>
            <w:tcBorders>
              <w:top w:val="nil"/>
              <w:left w:val="nil"/>
              <w:bottom w:val="nil"/>
              <w:right w:val="nil"/>
            </w:tcBorders>
            <w:noWrap/>
            <w:vAlign w:val="center"/>
            <w:hideMark/>
          </w:tcPr>
          <w:p w14:paraId="5332640D" w14:textId="7E539FA8"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1.200.350.061</w:t>
            </w:r>
          </w:p>
        </w:tc>
        <w:tc>
          <w:tcPr>
            <w:tcW w:w="1180" w:type="dxa"/>
            <w:tcBorders>
              <w:top w:val="nil"/>
              <w:left w:val="nil"/>
              <w:bottom w:val="nil"/>
              <w:right w:val="nil"/>
            </w:tcBorders>
            <w:noWrap/>
            <w:vAlign w:val="center"/>
            <w:hideMark/>
          </w:tcPr>
          <w:p w14:paraId="4F35280E" w14:textId="7165B4B3" w:rsidR="00C840AA" w:rsidRPr="0051267B" w:rsidRDefault="00C840AA" w:rsidP="00C840AA">
            <w:pPr>
              <w:jc w:val="center"/>
              <w:rPr>
                <w:rFonts w:ascii="CAIXA Std Book" w:eastAsia="Times New Roman" w:hAnsi="CAIXA Std Book" w:cs="Arial"/>
                <w:color w:val="005CA9"/>
                <w:sz w:val="16"/>
                <w:szCs w:val="16"/>
              </w:rPr>
            </w:pPr>
            <w:r>
              <w:rPr>
                <w:rFonts w:ascii="CAIXA Std Book" w:hAnsi="CAIXA Std Book" w:cs="Arial"/>
                <w:color w:val="005CA9"/>
                <w:sz w:val="16"/>
                <w:szCs w:val="16"/>
              </w:rPr>
              <w:t>-</w:t>
            </w:r>
          </w:p>
        </w:tc>
      </w:tr>
      <w:tr w:rsidR="00C840AA" w:rsidRPr="00BC00DB" w14:paraId="584782C5" w14:textId="77777777" w:rsidTr="0096727B">
        <w:trPr>
          <w:trHeight w:val="272"/>
        </w:trPr>
        <w:tc>
          <w:tcPr>
            <w:tcW w:w="7371" w:type="dxa"/>
            <w:tcBorders>
              <w:top w:val="nil"/>
              <w:left w:val="nil"/>
              <w:right w:val="nil"/>
            </w:tcBorders>
            <w:noWrap/>
            <w:vAlign w:val="center"/>
            <w:hideMark/>
          </w:tcPr>
          <w:p w14:paraId="6E86CB00" w14:textId="77777777" w:rsidR="00C840AA" w:rsidRPr="00780A1D" w:rsidRDefault="00C840AA" w:rsidP="00C840AA">
            <w:pPr>
              <w:ind w:firstLineChars="100" w:firstLine="160"/>
              <w:rPr>
                <w:rFonts w:ascii="CAIXA Std Book" w:eastAsia="Times New Roman" w:hAnsi="CAIXA Std Book" w:cs="Arial"/>
                <w:color w:val="005CA9"/>
                <w:sz w:val="16"/>
                <w:szCs w:val="16"/>
              </w:rPr>
            </w:pPr>
            <w:r w:rsidRPr="00780A1D">
              <w:rPr>
                <w:rFonts w:ascii="CAIXA Std Book" w:eastAsia="Times New Roman" w:hAnsi="CAIXA Std Book" w:cs="Arial"/>
                <w:color w:val="005CA9"/>
                <w:sz w:val="16"/>
                <w:szCs w:val="16"/>
              </w:rPr>
              <w:t>Outros ativos financeiros (líquidos de provisão para perdas associadas ao risco de crédito)</w:t>
            </w:r>
          </w:p>
        </w:tc>
        <w:tc>
          <w:tcPr>
            <w:tcW w:w="1689" w:type="dxa"/>
            <w:tcBorders>
              <w:top w:val="nil"/>
              <w:left w:val="nil"/>
              <w:right w:val="nil"/>
            </w:tcBorders>
            <w:vAlign w:val="center"/>
            <w:hideMark/>
          </w:tcPr>
          <w:p w14:paraId="4426B2B0" w14:textId="13FBCF31"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44.943.230</w:t>
            </w:r>
          </w:p>
        </w:tc>
        <w:tc>
          <w:tcPr>
            <w:tcW w:w="1340" w:type="dxa"/>
            <w:tcBorders>
              <w:top w:val="nil"/>
              <w:left w:val="nil"/>
              <w:right w:val="nil"/>
            </w:tcBorders>
            <w:vAlign w:val="center"/>
            <w:hideMark/>
          </w:tcPr>
          <w:p w14:paraId="1BA1F52A" w14:textId="734AE9D1"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44.141.619</w:t>
            </w:r>
          </w:p>
        </w:tc>
        <w:tc>
          <w:tcPr>
            <w:tcW w:w="1180" w:type="dxa"/>
            <w:tcBorders>
              <w:top w:val="nil"/>
              <w:left w:val="nil"/>
              <w:right w:val="nil"/>
            </w:tcBorders>
            <w:noWrap/>
            <w:vAlign w:val="center"/>
            <w:hideMark/>
          </w:tcPr>
          <w:p w14:paraId="2F46FCF6" w14:textId="7284B530" w:rsidR="00C840AA" w:rsidRPr="0051267B" w:rsidRDefault="00C840AA" w:rsidP="00C840AA">
            <w:pPr>
              <w:jc w:val="center"/>
              <w:rPr>
                <w:rFonts w:ascii="CAIXA Std Book" w:eastAsia="Times New Roman" w:hAnsi="CAIXA Std Book" w:cs="Arial"/>
                <w:color w:val="005CA9"/>
                <w:sz w:val="16"/>
                <w:szCs w:val="16"/>
              </w:rPr>
            </w:pPr>
            <w:r>
              <w:rPr>
                <w:rFonts w:ascii="CAIXA Std Book" w:hAnsi="CAIXA Std Book" w:cs="Arial"/>
                <w:color w:val="005CA9"/>
                <w:sz w:val="16"/>
                <w:szCs w:val="16"/>
              </w:rPr>
              <w:t>-</w:t>
            </w:r>
          </w:p>
        </w:tc>
        <w:tc>
          <w:tcPr>
            <w:tcW w:w="1340" w:type="dxa"/>
            <w:tcBorders>
              <w:top w:val="nil"/>
              <w:left w:val="nil"/>
              <w:right w:val="nil"/>
            </w:tcBorders>
            <w:noWrap/>
            <w:vAlign w:val="center"/>
            <w:hideMark/>
          </w:tcPr>
          <w:p w14:paraId="516345C1" w14:textId="677191E6"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44.141.619</w:t>
            </w:r>
          </w:p>
        </w:tc>
        <w:tc>
          <w:tcPr>
            <w:tcW w:w="1180" w:type="dxa"/>
            <w:tcBorders>
              <w:top w:val="nil"/>
              <w:left w:val="nil"/>
              <w:right w:val="nil"/>
            </w:tcBorders>
            <w:noWrap/>
            <w:vAlign w:val="center"/>
            <w:hideMark/>
          </w:tcPr>
          <w:p w14:paraId="6877D587" w14:textId="4B44B3B3" w:rsidR="00C840AA" w:rsidRPr="0051267B" w:rsidRDefault="00C840AA" w:rsidP="00C840AA">
            <w:pPr>
              <w:jc w:val="center"/>
              <w:rPr>
                <w:rFonts w:ascii="CAIXA Std Book" w:eastAsia="Times New Roman" w:hAnsi="CAIXA Std Book" w:cs="Arial"/>
                <w:color w:val="005CA9"/>
                <w:sz w:val="16"/>
                <w:szCs w:val="16"/>
              </w:rPr>
            </w:pPr>
            <w:r>
              <w:rPr>
                <w:rFonts w:ascii="CAIXA Std Book" w:hAnsi="CAIXA Std Book" w:cs="Arial"/>
                <w:color w:val="005CA9"/>
                <w:sz w:val="16"/>
                <w:szCs w:val="16"/>
              </w:rPr>
              <w:t>-</w:t>
            </w:r>
          </w:p>
        </w:tc>
      </w:tr>
      <w:tr w:rsidR="00C840AA" w:rsidRPr="00BC00DB" w14:paraId="36B5C5B8" w14:textId="77777777" w:rsidTr="0096727B">
        <w:trPr>
          <w:trHeight w:val="272"/>
        </w:trPr>
        <w:tc>
          <w:tcPr>
            <w:tcW w:w="7371" w:type="dxa"/>
            <w:tcBorders>
              <w:top w:val="nil"/>
              <w:left w:val="nil"/>
              <w:bottom w:val="single" w:sz="4" w:space="0" w:color="FFFFFF" w:themeColor="background1"/>
              <w:right w:val="nil"/>
            </w:tcBorders>
            <w:shd w:val="clear" w:color="000000" w:fill="D0E0E3"/>
            <w:noWrap/>
            <w:vAlign w:val="center"/>
            <w:hideMark/>
          </w:tcPr>
          <w:p w14:paraId="4A709A87" w14:textId="77777777" w:rsidR="00C840AA" w:rsidRPr="00780A1D" w:rsidRDefault="00C840AA" w:rsidP="00C840AA">
            <w:pPr>
              <w:rPr>
                <w:rFonts w:ascii="CAIXA Std Book" w:eastAsia="Times New Roman" w:hAnsi="CAIXA Std Book" w:cs="Arial"/>
                <w:b/>
                <w:bCs/>
                <w:color w:val="005CA9"/>
                <w:sz w:val="16"/>
                <w:szCs w:val="16"/>
              </w:rPr>
            </w:pPr>
            <w:r w:rsidRPr="00780A1D">
              <w:rPr>
                <w:rFonts w:ascii="CAIXA Std Book" w:eastAsia="Times New Roman" w:hAnsi="CAIXA Std Book" w:cs="Arial"/>
                <w:b/>
                <w:bCs/>
                <w:color w:val="005CA9"/>
                <w:sz w:val="16"/>
                <w:szCs w:val="16"/>
              </w:rPr>
              <w:t>Passivo</w:t>
            </w:r>
          </w:p>
        </w:tc>
        <w:tc>
          <w:tcPr>
            <w:tcW w:w="1689" w:type="dxa"/>
            <w:tcBorders>
              <w:top w:val="nil"/>
              <w:left w:val="nil"/>
              <w:bottom w:val="single" w:sz="4" w:space="0" w:color="FFFFFF" w:themeColor="background1"/>
              <w:right w:val="nil"/>
            </w:tcBorders>
            <w:shd w:val="clear" w:color="000000" w:fill="D0E0E3"/>
            <w:vAlign w:val="center"/>
            <w:hideMark/>
          </w:tcPr>
          <w:p w14:paraId="5CE51A83" w14:textId="1787BCE3"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2.120.046.494</w:t>
            </w:r>
          </w:p>
        </w:tc>
        <w:tc>
          <w:tcPr>
            <w:tcW w:w="1340" w:type="dxa"/>
            <w:tcBorders>
              <w:top w:val="nil"/>
              <w:left w:val="nil"/>
              <w:bottom w:val="single" w:sz="4" w:space="0" w:color="FFFFFF" w:themeColor="background1"/>
              <w:right w:val="nil"/>
            </w:tcBorders>
            <w:shd w:val="clear" w:color="000000" w:fill="D0E0E3"/>
            <w:vAlign w:val="center"/>
            <w:hideMark/>
          </w:tcPr>
          <w:p w14:paraId="5C36FBE3" w14:textId="5CAC71FD"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1.812.449.023</w:t>
            </w:r>
          </w:p>
        </w:tc>
        <w:tc>
          <w:tcPr>
            <w:tcW w:w="1180" w:type="dxa"/>
            <w:tcBorders>
              <w:top w:val="nil"/>
              <w:left w:val="nil"/>
              <w:bottom w:val="single" w:sz="4" w:space="0" w:color="FFFFFF" w:themeColor="background1"/>
              <w:right w:val="nil"/>
            </w:tcBorders>
            <w:shd w:val="clear" w:color="000000" w:fill="D0E0E3"/>
            <w:vAlign w:val="center"/>
            <w:hideMark/>
          </w:tcPr>
          <w:p w14:paraId="446A2DAC" w14:textId="6BC214DA"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601.899</w:t>
            </w:r>
          </w:p>
        </w:tc>
        <w:tc>
          <w:tcPr>
            <w:tcW w:w="1340" w:type="dxa"/>
            <w:tcBorders>
              <w:top w:val="nil"/>
              <w:left w:val="nil"/>
              <w:bottom w:val="single" w:sz="4" w:space="0" w:color="FFFFFF" w:themeColor="background1"/>
              <w:right w:val="nil"/>
            </w:tcBorders>
            <w:shd w:val="clear" w:color="000000" w:fill="D0E0E3"/>
            <w:vAlign w:val="center"/>
            <w:hideMark/>
          </w:tcPr>
          <w:p w14:paraId="38670324" w14:textId="1226CEA3"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1.027.556.139</w:t>
            </w:r>
          </w:p>
        </w:tc>
        <w:tc>
          <w:tcPr>
            <w:tcW w:w="1180" w:type="dxa"/>
            <w:tcBorders>
              <w:top w:val="nil"/>
              <w:left w:val="nil"/>
              <w:bottom w:val="single" w:sz="4" w:space="0" w:color="FFFFFF" w:themeColor="background1"/>
              <w:right w:val="nil"/>
            </w:tcBorders>
            <w:shd w:val="clear" w:color="000000" w:fill="D0E0E3"/>
            <w:vAlign w:val="center"/>
            <w:hideMark/>
          </w:tcPr>
          <w:p w14:paraId="62F045E1" w14:textId="1173672D"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784.290.985</w:t>
            </w:r>
          </w:p>
        </w:tc>
      </w:tr>
      <w:tr w:rsidR="00C840AA" w:rsidRPr="00BC00DB" w14:paraId="72FBB99A" w14:textId="77777777" w:rsidTr="0096727B">
        <w:trPr>
          <w:trHeight w:val="272"/>
        </w:trPr>
        <w:tc>
          <w:tcPr>
            <w:tcW w:w="7371" w:type="dxa"/>
            <w:tcBorders>
              <w:top w:val="single" w:sz="4" w:space="0" w:color="FFFFFF" w:themeColor="background1"/>
              <w:left w:val="nil"/>
              <w:right w:val="nil"/>
            </w:tcBorders>
            <w:shd w:val="clear" w:color="000000" w:fill="D0E0E3"/>
            <w:noWrap/>
            <w:vAlign w:val="center"/>
            <w:hideMark/>
          </w:tcPr>
          <w:p w14:paraId="766EFCC8" w14:textId="77777777" w:rsidR="00C840AA" w:rsidRPr="00780A1D" w:rsidRDefault="00C840AA" w:rsidP="00C840AA">
            <w:pPr>
              <w:rPr>
                <w:rFonts w:ascii="CAIXA Std Book" w:eastAsia="Times New Roman" w:hAnsi="CAIXA Std Book" w:cs="Arial"/>
                <w:b/>
                <w:bCs/>
                <w:color w:val="005CA9"/>
                <w:sz w:val="16"/>
                <w:szCs w:val="16"/>
              </w:rPr>
            </w:pPr>
            <w:r w:rsidRPr="00780A1D">
              <w:rPr>
                <w:rFonts w:ascii="CAIXA Std Book" w:eastAsia="Times New Roman" w:hAnsi="CAIXA Std Book" w:cs="Arial"/>
                <w:b/>
                <w:bCs/>
                <w:color w:val="005CA9"/>
                <w:sz w:val="16"/>
                <w:szCs w:val="16"/>
              </w:rPr>
              <w:t>Passivos financeiros ao valor justo por meio do resultado</w:t>
            </w:r>
          </w:p>
        </w:tc>
        <w:tc>
          <w:tcPr>
            <w:tcW w:w="1689" w:type="dxa"/>
            <w:tcBorders>
              <w:top w:val="single" w:sz="4" w:space="0" w:color="FFFFFF" w:themeColor="background1"/>
              <w:left w:val="nil"/>
              <w:right w:val="nil"/>
            </w:tcBorders>
            <w:shd w:val="clear" w:color="000000" w:fill="D0E0E3"/>
            <w:vAlign w:val="center"/>
            <w:hideMark/>
          </w:tcPr>
          <w:p w14:paraId="1AE475CD" w14:textId="154189F6"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Calibri"/>
                <w:b/>
                <w:bCs/>
                <w:color w:val="005CA9"/>
                <w:sz w:val="16"/>
                <w:szCs w:val="16"/>
              </w:rPr>
              <w:t>1.352.545</w:t>
            </w:r>
          </w:p>
        </w:tc>
        <w:tc>
          <w:tcPr>
            <w:tcW w:w="1340" w:type="dxa"/>
            <w:tcBorders>
              <w:top w:val="single" w:sz="4" w:space="0" w:color="FFFFFF" w:themeColor="background1"/>
              <w:left w:val="nil"/>
              <w:right w:val="nil"/>
            </w:tcBorders>
            <w:shd w:val="clear" w:color="000000" w:fill="D0E0E3"/>
            <w:vAlign w:val="center"/>
            <w:hideMark/>
          </w:tcPr>
          <w:p w14:paraId="4987F7BD" w14:textId="2560E084"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1.463.936</w:t>
            </w:r>
          </w:p>
        </w:tc>
        <w:tc>
          <w:tcPr>
            <w:tcW w:w="1180" w:type="dxa"/>
            <w:tcBorders>
              <w:top w:val="single" w:sz="4" w:space="0" w:color="FFFFFF" w:themeColor="background1"/>
              <w:left w:val="nil"/>
              <w:right w:val="nil"/>
            </w:tcBorders>
            <w:shd w:val="clear" w:color="000000" w:fill="D0E0E3"/>
            <w:vAlign w:val="center"/>
            <w:hideMark/>
          </w:tcPr>
          <w:p w14:paraId="0037E555" w14:textId="4A0B750F"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601.899</w:t>
            </w:r>
          </w:p>
        </w:tc>
        <w:tc>
          <w:tcPr>
            <w:tcW w:w="1340" w:type="dxa"/>
            <w:tcBorders>
              <w:top w:val="single" w:sz="4" w:space="0" w:color="FFFFFF" w:themeColor="background1"/>
              <w:left w:val="nil"/>
              <w:right w:val="nil"/>
            </w:tcBorders>
            <w:shd w:val="clear" w:color="000000" w:fill="D0E0E3"/>
            <w:vAlign w:val="center"/>
            <w:hideMark/>
          </w:tcPr>
          <w:p w14:paraId="7B658EEB" w14:textId="115652CC"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862.037</w:t>
            </w:r>
          </w:p>
        </w:tc>
        <w:tc>
          <w:tcPr>
            <w:tcW w:w="1180" w:type="dxa"/>
            <w:tcBorders>
              <w:top w:val="single" w:sz="4" w:space="0" w:color="FFFFFF" w:themeColor="background1"/>
              <w:left w:val="nil"/>
              <w:right w:val="nil"/>
            </w:tcBorders>
            <w:shd w:val="clear" w:color="000000" w:fill="D0E0E3"/>
            <w:vAlign w:val="center"/>
            <w:hideMark/>
          </w:tcPr>
          <w:p w14:paraId="0228D18D" w14:textId="3A903950" w:rsidR="00C840AA" w:rsidRPr="0051267B" w:rsidRDefault="00C840AA" w:rsidP="00C840AA">
            <w:pPr>
              <w:jc w:val="center"/>
              <w:rPr>
                <w:rFonts w:ascii="CAIXA Std Book" w:eastAsia="Times New Roman" w:hAnsi="CAIXA Std Book" w:cs="Arial"/>
                <w:b/>
                <w:bCs/>
                <w:color w:val="005CA9"/>
                <w:sz w:val="16"/>
                <w:szCs w:val="16"/>
              </w:rPr>
            </w:pPr>
            <w:r>
              <w:rPr>
                <w:rFonts w:ascii="CAIXA Std Book" w:hAnsi="CAIXA Std Book" w:cs="Arial"/>
                <w:b/>
                <w:bCs/>
                <w:color w:val="005CA9"/>
                <w:sz w:val="16"/>
                <w:szCs w:val="16"/>
              </w:rPr>
              <w:t>-</w:t>
            </w:r>
          </w:p>
        </w:tc>
      </w:tr>
      <w:tr w:rsidR="00C840AA" w:rsidRPr="00BC00DB" w14:paraId="5C8F4378" w14:textId="77777777" w:rsidTr="0096727B">
        <w:trPr>
          <w:trHeight w:val="272"/>
        </w:trPr>
        <w:tc>
          <w:tcPr>
            <w:tcW w:w="7371" w:type="dxa"/>
            <w:tcBorders>
              <w:top w:val="nil"/>
              <w:left w:val="nil"/>
              <w:right w:val="nil"/>
            </w:tcBorders>
            <w:noWrap/>
            <w:vAlign w:val="center"/>
            <w:hideMark/>
          </w:tcPr>
          <w:p w14:paraId="3E0C4FAB" w14:textId="77777777" w:rsidR="00C840AA" w:rsidRPr="00780A1D" w:rsidRDefault="00C840AA" w:rsidP="00C840AA">
            <w:pPr>
              <w:ind w:firstLineChars="100" w:firstLine="160"/>
              <w:rPr>
                <w:rFonts w:ascii="CAIXA Std Book" w:eastAsia="Times New Roman" w:hAnsi="CAIXA Std Book" w:cs="Arial"/>
                <w:color w:val="005CA9"/>
                <w:sz w:val="16"/>
                <w:szCs w:val="16"/>
              </w:rPr>
            </w:pPr>
            <w:r w:rsidRPr="00780A1D">
              <w:rPr>
                <w:rFonts w:ascii="CAIXA Std Book" w:eastAsia="Times New Roman" w:hAnsi="CAIXA Std Book" w:cs="Arial"/>
                <w:color w:val="005CA9"/>
                <w:sz w:val="16"/>
                <w:szCs w:val="16"/>
              </w:rPr>
              <w:t>Instrumentos financeiros derivativos</w:t>
            </w:r>
          </w:p>
        </w:tc>
        <w:tc>
          <w:tcPr>
            <w:tcW w:w="1689" w:type="dxa"/>
            <w:tcBorders>
              <w:top w:val="nil"/>
              <w:left w:val="nil"/>
              <w:right w:val="nil"/>
            </w:tcBorders>
            <w:vAlign w:val="center"/>
            <w:hideMark/>
          </w:tcPr>
          <w:p w14:paraId="7959344D" w14:textId="465AD1F9"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1.352.545</w:t>
            </w:r>
          </w:p>
        </w:tc>
        <w:tc>
          <w:tcPr>
            <w:tcW w:w="1340" w:type="dxa"/>
            <w:tcBorders>
              <w:top w:val="nil"/>
              <w:left w:val="nil"/>
              <w:right w:val="nil"/>
            </w:tcBorders>
            <w:vAlign w:val="center"/>
            <w:hideMark/>
          </w:tcPr>
          <w:p w14:paraId="6E385E5D" w14:textId="28DA9CC1"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color w:val="005CA9"/>
                <w:sz w:val="16"/>
                <w:szCs w:val="16"/>
              </w:rPr>
              <w:t>1.463.936</w:t>
            </w:r>
          </w:p>
        </w:tc>
        <w:tc>
          <w:tcPr>
            <w:tcW w:w="1180" w:type="dxa"/>
            <w:tcBorders>
              <w:top w:val="nil"/>
              <w:left w:val="nil"/>
              <w:right w:val="nil"/>
            </w:tcBorders>
            <w:noWrap/>
            <w:vAlign w:val="center"/>
            <w:hideMark/>
          </w:tcPr>
          <w:p w14:paraId="03890150" w14:textId="08165EB5"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color w:val="005CA9"/>
                <w:sz w:val="16"/>
                <w:szCs w:val="16"/>
              </w:rPr>
              <w:t>601.899</w:t>
            </w:r>
          </w:p>
        </w:tc>
        <w:tc>
          <w:tcPr>
            <w:tcW w:w="1340" w:type="dxa"/>
            <w:tcBorders>
              <w:top w:val="nil"/>
              <w:left w:val="nil"/>
              <w:right w:val="nil"/>
            </w:tcBorders>
            <w:vAlign w:val="center"/>
            <w:hideMark/>
          </w:tcPr>
          <w:p w14:paraId="3A04005A" w14:textId="5F84CD3C"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862.037</w:t>
            </w:r>
          </w:p>
        </w:tc>
        <w:tc>
          <w:tcPr>
            <w:tcW w:w="1180" w:type="dxa"/>
            <w:tcBorders>
              <w:top w:val="nil"/>
              <w:left w:val="nil"/>
              <w:right w:val="nil"/>
            </w:tcBorders>
            <w:noWrap/>
            <w:vAlign w:val="center"/>
            <w:hideMark/>
          </w:tcPr>
          <w:p w14:paraId="468E4F91" w14:textId="1D53E539" w:rsidR="00C840AA" w:rsidRPr="0051267B" w:rsidRDefault="00C840AA" w:rsidP="00C840AA">
            <w:pPr>
              <w:jc w:val="center"/>
              <w:rPr>
                <w:rFonts w:ascii="CAIXA Std Book" w:eastAsia="Times New Roman" w:hAnsi="CAIXA Std Book" w:cs="Arial"/>
                <w:color w:val="005CA9"/>
                <w:sz w:val="16"/>
                <w:szCs w:val="16"/>
              </w:rPr>
            </w:pPr>
            <w:r>
              <w:rPr>
                <w:rFonts w:ascii="CAIXA Std Book" w:hAnsi="CAIXA Std Book" w:cs="Arial"/>
                <w:color w:val="005CA9"/>
                <w:sz w:val="16"/>
                <w:szCs w:val="16"/>
              </w:rPr>
              <w:t>-</w:t>
            </w:r>
          </w:p>
        </w:tc>
      </w:tr>
      <w:tr w:rsidR="00C840AA" w:rsidRPr="00BC00DB" w14:paraId="436174F5" w14:textId="77777777" w:rsidTr="0096727B">
        <w:trPr>
          <w:trHeight w:val="272"/>
        </w:trPr>
        <w:tc>
          <w:tcPr>
            <w:tcW w:w="7371" w:type="dxa"/>
            <w:tcBorders>
              <w:left w:val="nil"/>
              <w:bottom w:val="nil"/>
              <w:right w:val="nil"/>
            </w:tcBorders>
            <w:shd w:val="clear" w:color="000000" w:fill="D0E0E3"/>
            <w:noWrap/>
            <w:vAlign w:val="center"/>
            <w:hideMark/>
          </w:tcPr>
          <w:p w14:paraId="7F1C2B9B" w14:textId="77777777" w:rsidR="00C840AA" w:rsidRPr="00780A1D" w:rsidRDefault="00C840AA" w:rsidP="00C840AA">
            <w:pPr>
              <w:rPr>
                <w:rFonts w:ascii="CAIXA Std Book" w:eastAsia="Times New Roman" w:hAnsi="CAIXA Std Book" w:cs="Arial"/>
                <w:b/>
                <w:bCs/>
                <w:color w:val="005CA9"/>
                <w:sz w:val="16"/>
                <w:szCs w:val="16"/>
              </w:rPr>
            </w:pPr>
            <w:r w:rsidRPr="00780A1D">
              <w:rPr>
                <w:rFonts w:ascii="CAIXA Std Book" w:eastAsia="Times New Roman" w:hAnsi="CAIXA Std Book" w:cs="Arial"/>
                <w:b/>
                <w:bCs/>
                <w:color w:val="005CA9"/>
                <w:sz w:val="16"/>
                <w:szCs w:val="16"/>
              </w:rPr>
              <w:t>Passivos financeiros ao custo amortizado</w:t>
            </w:r>
          </w:p>
        </w:tc>
        <w:tc>
          <w:tcPr>
            <w:tcW w:w="1689" w:type="dxa"/>
            <w:tcBorders>
              <w:left w:val="nil"/>
              <w:bottom w:val="nil"/>
              <w:right w:val="nil"/>
            </w:tcBorders>
            <w:shd w:val="clear" w:color="000000" w:fill="D0E0E3"/>
            <w:vAlign w:val="center"/>
            <w:hideMark/>
          </w:tcPr>
          <w:p w14:paraId="76C1D16A" w14:textId="03467094"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2.118.693.949</w:t>
            </w:r>
          </w:p>
        </w:tc>
        <w:tc>
          <w:tcPr>
            <w:tcW w:w="1340" w:type="dxa"/>
            <w:tcBorders>
              <w:left w:val="nil"/>
              <w:bottom w:val="nil"/>
              <w:right w:val="nil"/>
            </w:tcBorders>
            <w:shd w:val="clear" w:color="000000" w:fill="D0E0E3"/>
            <w:vAlign w:val="center"/>
            <w:hideMark/>
          </w:tcPr>
          <w:p w14:paraId="048BD64F" w14:textId="441ACC3F"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1.810.985.087</w:t>
            </w:r>
          </w:p>
        </w:tc>
        <w:tc>
          <w:tcPr>
            <w:tcW w:w="1180" w:type="dxa"/>
            <w:tcBorders>
              <w:left w:val="nil"/>
              <w:bottom w:val="nil"/>
              <w:right w:val="nil"/>
            </w:tcBorders>
            <w:shd w:val="clear" w:color="000000" w:fill="D0E0E3"/>
            <w:vAlign w:val="center"/>
            <w:hideMark/>
          </w:tcPr>
          <w:p w14:paraId="03A93F7D" w14:textId="5E639D08" w:rsidR="00C840AA" w:rsidRPr="0051267B" w:rsidRDefault="00C840AA" w:rsidP="00C840AA">
            <w:pPr>
              <w:jc w:val="center"/>
              <w:rPr>
                <w:rFonts w:ascii="CAIXA Std Book" w:eastAsia="Times New Roman" w:hAnsi="CAIXA Std Book" w:cs="Arial"/>
                <w:b/>
                <w:bCs/>
                <w:color w:val="005CA9"/>
                <w:sz w:val="16"/>
                <w:szCs w:val="16"/>
              </w:rPr>
            </w:pPr>
            <w:r>
              <w:rPr>
                <w:rFonts w:ascii="CAIXA Std Book" w:hAnsi="CAIXA Std Book" w:cs="Arial"/>
                <w:b/>
                <w:bCs/>
                <w:color w:val="005CA9"/>
                <w:sz w:val="16"/>
                <w:szCs w:val="16"/>
              </w:rPr>
              <w:t>-</w:t>
            </w:r>
          </w:p>
        </w:tc>
        <w:tc>
          <w:tcPr>
            <w:tcW w:w="1340" w:type="dxa"/>
            <w:tcBorders>
              <w:left w:val="nil"/>
              <w:bottom w:val="nil"/>
              <w:right w:val="nil"/>
            </w:tcBorders>
            <w:shd w:val="clear" w:color="000000" w:fill="D0E0E3"/>
            <w:vAlign w:val="center"/>
            <w:hideMark/>
          </w:tcPr>
          <w:p w14:paraId="0EF54706" w14:textId="7D584E01"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1.026.694.102</w:t>
            </w:r>
          </w:p>
        </w:tc>
        <w:tc>
          <w:tcPr>
            <w:tcW w:w="1180" w:type="dxa"/>
            <w:tcBorders>
              <w:left w:val="nil"/>
              <w:bottom w:val="nil"/>
              <w:right w:val="nil"/>
            </w:tcBorders>
            <w:shd w:val="clear" w:color="000000" w:fill="D0E0E3"/>
            <w:vAlign w:val="center"/>
            <w:hideMark/>
          </w:tcPr>
          <w:p w14:paraId="72B275E3" w14:textId="2F2567AF" w:rsidR="00C840AA" w:rsidRPr="0051267B" w:rsidRDefault="00C840AA" w:rsidP="00C840AA">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784.290.985</w:t>
            </w:r>
          </w:p>
        </w:tc>
      </w:tr>
      <w:tr w:rsidR="00C840AA" w:rsidRPr="00BC00DB" w14:paraId="4F084795" w14:textId="77777777" w:rsidTr="00BC00DB">
        <w:trPr>
          <w:trHeight w:val="272"/>
        </w:trPr>
        <w:tc>
          <w:tcPr>
            <w:tcW w:w="7371" w:type="dxa"/>
            <w:tcBorders>
              <w:top w:val="nil"/>
              <w:left w:val="nil"/>
              <w:bottom w:val="nil"/>
              <w:right w:val="nil"/>
            </w:tcBorders>
            <w:noWrap/>
            <w:vAlign w:val="center"/>
            <w:hideMark/>
          </w:tcPr>
          <w:p w14:paraId="0CD0BFA3" w14:textId="77777777" w:rsidR="00C840AA" w:rsidRPr="00780A1D" w:rsidRDefault="00C840AA" w:rsidP="00C840AA">
            <w:pPr>
              <w:ind w:firstLineChars="100" w:firstLine="160"/>
              <w:rPr>
                <w:rFonts w:ascii="CAIXA Std Book" w:eastAsia="Times New Roman" w:hAnsi="CAIXA Std Book" w:cs="Arial"/>
                <w:color w:val="005CA9"/>
                <w:sz w:val="16"/>
                <w:szCs w:val="16"/>
              </w:rPr>
            </w:pPr>
            <w:r w:rsidRPr="00780A1D">
              <w:rPr>
                <w:rFonts w:ascii="CAIXA Std Book" w:eastAsia="Times New Roman" w:hAnsi="CAIXA Std Book" w:cs="Arial"/>
                <w:color w:val="005CA9"/>
                <w:sz w:val="16"/>
                <w:szCs w:val="16"/>
              </w:rPr>
              <w:t>Recursos de clientes</w:t>
            </w:r>
          </w:p>
        </w:tc>
        <w:tc>
          <w:tcPr>
            <w:tcW w:w="1689" w:type="dxa"/>
            <w:tcBorders>
              <w:top w:val="nil"/>
              <w:left w:val="nil"/>
              <w:bottom w:val="nil"/>
              <w:right w:val="nil"/>
            </w:tcBorders>
            <w:vAlign w:val="center"/>
            <w:hideMark/>
          </w:tcPr>
          <w:p w14:paraId="3F548185" w14:textId="3EA66466"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854.705.744</w:t>
            </w:r>
          </w:p>
        </w:tc>
        <w:tc>
          <w:tcPr>
            <w:tcW w:w="1340" w:type="dxa"/>
            <w:tcBorders>
              <w:top w:val="nil"/>
              <w:left w:val="nil"/>
              <w:bottom w:val="nil"/>
              <w:right w:val="nil"/>
            </w:tcBorders>
            <w:vAlign w:val="center"/>
            <w:hideMark/>
          </w:tcPr>
          <w:p w14:paraId="27F992BA" w14:textId="42E6C3A7"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784.290.985</w:t>
            </w:r>
          </w:p>
        </w:tc>
        <w:tc>
          <w:tcPr>
            <w:tcW w:w="1180" w:type="dxa"/>
            <w:tcBorders>
              <w:top w:val="nil"/>
              <w:left w:val="nil"/>
              <w:bottom w:val="nil"/>
              <w:right w:val="nil"/>
            </w:tcBorders>
            <w:noWrap/>
            <w:vAlign w:val="center"/>
            <w:hideMark/>
          </w:tcPr>
          <w:p w14:paraId="2C7EA105" w14:textId="525E4D33" w:rsidR="00C840AA" w:rsidRPr="0051267B" w:rsidRDefault="00C840AA" w:rsidP="00C840AA">
            <w:pPr>
              <w:jc w:val="center"/>
              <w:rPr>
                <w:rFonts w:ascii="CAIXA Std Book" w:eastAsia="Times New Roman" w:hAnsi="CAIXA Std Book" w:cs="Arial"/>
                <w:color w:val="005CA9"/>
                <w:sz w:val="16"/>
                <w:szCs w:val="16"/>
              </w:rPr>
            </w:pPr>
            <w:r>
              <w:rPr>
                <w:rFonts w:ascii="CAIXA Std Book" w:hAnsi="CAIXA Std Book" w:cs="Arial"/>
                <w:color w:val="005CA9"/>
                <w:sz w:val="16"/>
                <w:szCs w:val="16"/>
              </w:rPr>
              <w:t>-</w:t>
            </w:r>
          </w:p>
        </w:tc>
        <w:tc>
          <w:tcPr>
            <w:tcW w:w="1340" w:type="dxa"/>
            <w:tcBorders>
              <w:top w:val="nil"/>
              <w:left w:val="nil"/>
              <w:bottom w:val="nil"/>
              <w:right w:val="nil"/>
            </w:tcBorders>
            <w:noWrap/>
            <w:vAlign w:val="center"/>
            <w:hideMark/>
          </w:tcPr>
          <w:p w14:paraId="10F4002E" w14:textId="6F759BA0" w:rsidR="00C840AA" w:rsidRPr="0051267B" w:rsidRDefault="00C840AA" w:rsidP="00BC00DB">
            <w:pPr>
              <w:jc w:val="center"/>
              <w:rPr>
                <w:rFonts w:ascii="CAIXA Std Book" w:eastAsia="Times New Roman" w:hAnsi="CAIXA Std Book" w:cs="Arial"/>
                <w:color w:val="005CA9"/>
                <w:sz w:val="16"/>
                <w:szCs w:val="16"/>
              </w:rPr>
            </w:pPr>
            <w:r>
              <w:rPr>
                <w:rFonts w:ascii="CAIXA Std Book" w:hAnsi="CAIXA Std Book" w:cs="Arial"/>
                <w:color w:val="005CA9"/>
                <w:sz w:val="16"/>
                <w:szCs w:val="16"/>
              </w:rPr>
              <w:t>-</w:t>
            </w:r>
          </w:p>
        </w:tc>
        <w:tc>
          <w:tcPr>
            <w:tcW w:w="1180" w:type="dxa"/>
            <w:tcBorders>
              <w:top w:val="nil"/>
              <w:left w:val="nil"/>
              <w:bottom w:val="nil"/>
              <w:right w:val="nil"/>
            </w:tcBorders>
            <w:noWrap/>
            <w:vAlign w:val="center"/>
            <w:hideMark/>
          </w:tcPr>
          <w:p w14:paraId="7BB7A37F" w14:textId="6D9CB8A8"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784.290.985</w:t>
            </w:r>
          </w:p>
        </w:tc>
      </w:tr>
      <w:tr w:rsidR="00C840AA" w:rsidRPr="00BC00DB" w14:paraId="14071A06" w14:textId="77777777" w:rsidTr="00BC00DB">
        <w:trPr>
          <w:trHeight w:val="272"/>
        </w:trPr>
        <w:tc>
          <w:tcPr>
            <w:tcW w:w="7371" w:type="dxa"/>
            <w:tcBorders>
              <w:top w:val="nil"/>
              <w:left w:val="nil"/>
              <w:bottom w:val="nil"/>
              <w:right w:val="nil"/>
            </w:tcBorders>
            <w:noWrap/>
            <w:vAlign w:val="center"/>
            <w:hideMark/>
          </w:tcPr>
          <w:p w14:paraId="0BAEF021" w14:textId="77777777" w:rsidR="00C840AA" w:rsidRPr="00780A1D" w:rsidRDefault="00C840AA" w:rsidP="00C840AA">
            <w:pPr>
              <w:ind w:firstLineChars="100" w:firstLine="160"/>
              <w:rPr>
                <w:rFonts w:ascii="CAIXA Std Book" w:eastAsia="Times New Roman" w:hAnsi="CAIXA Std Book" w:cs="Arial"/>
                <w:color w:val="005CA9"/>
                <w:sz w:val="16"/>
                <w:szCs w:val="16"/>
              </w:rPr>
            </w:pPr>
            <w:r w:rsidRPr="00780A1D">
              <w:rPr>
                <w:rFonts w:ascii="CAIXA Std Book" w:eastAsia="Times New Roman" w:hAnsi="CAIXA Std Book" w:cs="Arial"/>
                <w:color w:val="005CA9"/>
                <w:sz w:val="16"/>
                <w:szCs w:val="16"/>
              </w:rPr>
              <w:t>Recursos de instituições financeiras e outras</w:t>
            </w:r>
          </w:p>
        </w:tc>
        <w:tc>
          <w:tcPr>
            <w:tcW w:w="1689" w:type="dxa"/>
            <w:tcBorders>
              <w:top w:val="nil"/>
              <w:left w:val="nil"/>
              <w:bottom w:val="nil"/>
              <w:right w:val="nil"/>
            </w:tcBorders>
            <w:vAlign w:val="center"/>
            <w:hideMark/>
          </w:tcPr>
          <w:p w14:paraId="513EE306" w14:textId="2AA40D4B"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879.094.349</w:t>
            </w:r>
          </w:p>
        </w:tc>
        <w:tc>
          <w:tcPr>
            <w:tcW w:w="1340" w:type="dxa"/>
            <w:tcBorders>
              <w:top w:val="nil"/>
              <w:left w:val="nil"/>
              <w:bottom w:val="nil"/>
              <w:right w:val="nil"/>
            </w:tcBorders>
            <w:vAlign w:val="center"/>
            <w:hideMark/>
          </w:tcPr>
          <w:p w14:paraId="7498507E" w14:textId="4DD33981"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647.846.086</w:t>
            </w:r>
          </w:p>
        </w:tc>
        <w:tc>
          <w:tcPr>
            <w:tcW w:w="1180" w:type="dxa"/>
            <w:tcBorders>
              <w:top w:val="nil"/>
              <w:left w:val="nil"/>
              <w:bottom w:val="nil"/>
              <w:right w:val="nil"/>
            </w:tcBorders>
            <w:noWrap/>
            <w:vAlign w:val="center"/>
            <w:hideMark/>
          </w:tcPr>
          <w:p w14:paraId="1254E085" w14:textId="3C492A1F" w:rsidR="00C840AA" w:rsidRPr="0051267B" w:rsidRDefault="00C840AA" w:rsidP="00C840AA">
            <w:pPr>
              <w:jc w:val="center"/>
              <w:rPr>
                <w:rFonts w:ascii="CAIXA Std Book" w:eastAsia="Times New Roman" w:hAnsi="CAIXA Std Book" w:cs="Arial"/>
                <w:color w:val="005CA9"/>
                <w:sz w:val="16"/>
                <w:szCs w:val="16"/>
              </w:rPr>
            </w:pPr>
            <w:r>
              <w:rPr>
                <w:rFonts w:ascii="CAIXA Std Book" w:hAnsi="CAIXA Std Book" w:cs="Arial"/>
                <w:color w:val="005CA9"/>
                <w:sz w:val="16"/>
                <w:szCs w:val="16"/>
              </w:rPr>
              <w:t>-</w:t>
            </w:r>
          </w:p>
        </w:tc>
        <w:tc>
          <w:tcPr>
            <w:tcW w:w="1340" w:type="dxa"/>
            <w:tcBorders>
              <w:top w:val="nil"/>
              <w:left w:val="nil"/>
              <w:bottom w:val="nil"/>
              <w:right w:val="nil"/>
            </w:tcBorders>
            <w:noWrap/>
            <w:vAlign w:val="center"/>
            <w:hideMark/>
          </w:tcPr>
          <w:p w14:paraId="5D3613C6" w14:textId="4408784B"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647.846.086</w:t>
            </w:r>
          </w:p>
        </w:tc>
        <w:tc>
          <w:tcPr>
            <w:tcW w:w="1180" w:type="dxa"/>
            <w:tcBorders>
              <w:top w:val="nil"/>
              <w:left w:val="nil"/>
              <w:bottom w:val="nil"/>
              <w:right w:val="nil"/>
            </w:tcBorders>
            <w:noWrap/>
            <w:vAlign w:val="center"/>
            <w:hideMark/>
          </w:tcPr>
          <w:p w14:paraId="7EA17B60" w14:textId="6EAC613B" w:rsidR="00C840AA" w:rsidRPr="0051267B" w:rsidRDefault="00C840AA" w:rsidP="00C840AA">
            <w:pPr>
              <w:jc w:val="center"/>
              <w:rPr>
                <w:rFonts w:ascii="CAIXA Std Book" w:eastAsia="Times New Roman" w:hAnsi="CAIXA Std Book" w:cs="Arial"/>
                <w:color w:val="005CA9"/>
                <w:sz w:val="16"/>
                <w:szCs w:val="16"/>
              </w:rPr>
            </w:pPr>
            <w:r>
              <w:rPr>
                <w:rFonts w:ascii="CAIXA Std Book" w:hAnsi="CAIXA Std Book" w:cs="Arial"/>
                <w:color w:val="005CA9"/>
                <w:sz w:val="16"/>
                <w:szCs w:val="16"/>
              </w:rPr>
              <w:t>-</w:t>
            </w:r>
          </w:p>
        </w:tc>
      </w:tr>
      <w:tr w:rsidR="00C840AA" w:rsidRPr="00BC00DB" w14:paraId="7AAB2F0C" w14:textId="77777777" w:rsidTr="00F46878">
        <w:trPr>
          <w:trHeight w:val="272"/>
        </w:trPr>
        <w:tc>
          <w:tcPr>
            <w:tcW w:w="7371" w:type="dxa"/>
            <w:tcBorders>
              <w:top w:val="nil"/>
              <w:left w:val="nil"/>
              <w:right w:val="nil"/>
            </w:tcBorders>
            <w:noWrap/>
            <w:vAlign w:val="center"/>
            <w:hideMark/>
          </w:tcPr>
          <w:p w14:paraId="6F7E0D4D" w14:textId="77777777" w:rsidR="00C840AA" w:rsidRPr="00780A1D" w:rsidRDefault="00C840AA" w:rsidP="00C840AA">
            <w:pPr>
              <w:ind w:firstLineChars="100" w:firstLine="160"/>
              <w:rPr>
                <w:rFonts w:ascii="CAIXA Std Book" w:eastAsia="Times New Roman" w:hAnsi="CAIXA Std Book" w:cs="Arial"/>
                <w:color w:val="005CA9"/>
                <w:sz w:val="16"/>
                <w:szCs w:val="16"/>
              </w:rPr>
            </w:pPr>
            <w:r w:rsidRPr="00780A1D">
              <w:rPr>
                <w:rFonts w:ascii="CAIXA Std Book" w:eastAsia="Times New Roman" w:hAnsi="CAIXA Std Book" w:cs="Arial"/>
                <w:color w:val="005CA9"/>
                <w:sz w:val="16"/>
                <w:szCs w:val="16"/>
              </w:rPr>
              <w:t>Recursos de emissões de títulos e valores mobiliários</w:t>
            </w:r>
          </w:p>
        </w:tc>
        <w:tc>
          <w:tcPr>
            <w:tcW w:w="1689" w:type="dxa"/>
            <w:tcBorders>
              <w:top w:val="nil"/>
              <w:left w:val="nil"/>
              <w:right w:val="nil"/>
            </w:tcBorders>
            <w:vAlign w:val="center"/>
            <w:hideMark/>
          </w:tcPr>
          <w:p w14:paraId="51D13ADB" w14:textId="27A8E72E"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348.034.637</w:t>
            </w:r>
          </w:p>
        </w:tc>
        <w:tc>
          <w:tcPr>
            <w:tcW w:w="1340" w:type="dxa"/>
            <w:tcBorders>
              <w:top w:val="nil"/>
              <w:left w:val="nil"/>
              <w:right w:val="nil"/>
            </w:tcBorders>
            <w:vAlign w:val="center"/>
            <w:hideMark/>
          </w:tcPr>
          <w:p w14:paraId="62CBD55F" w14:textId="0A9F8675"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341.988.797</w:t>
            </w:r>
          </w:p>
        </w:tc>
        <w:tc>
          <w:tcPr>
            <w:tcW w:w="1180" w:type="dxa"/>
            <w:tcBorders>
              <w:top w:val="nil"/>
              <w:left w:val="nil"/>
              <w:right w:val="nil"/>
            </w:tcBorders>
            <w:noWrap/>
            <w:vAlign w:val="center"/>
            <w:hideMark/>
          </w:tcPr>
          <w:p w14:paraId="40C59A58" w14:textId="35AED72A" w:rsidR="00C840AA" w:rsidRPr="0051267B" w:rsidRDefault="00C840AA" w:rsidP="00C840AA">
            <w:pPr>
              <w:jc w:val="center"/>
              <w:rPr>
                <w:rFonts w:ascii="CAIXA Std Book" w:eastAsia="Times New Roman" w:hAnsi="CAIXA Std Book" w:cs="Arial"/>
                <w:color w:val="005CA9"/>
                <w:sz w:val="16"/>
                <w:szCs w:val="16"/>
              </w:rPr>
            </w:pPr>
            <w:r>
              <w:rPr>
                <w:rFonts w:ascii="CAIXA Std Book" w:hAnsi="CAIXA Std Book" w:cs="Arial"/>
                <w:color w:val="005CA9"/>
                <w:sz w:val="16"/>
                <w:szCs w:val="16"/>
              </w:rPr>
              <w:t>-</w:t>
            </w:r>
          </w:p>
        </w:tc>
        <w:tc>
          <w:tcPr>
            <w:tcW w:w="1340" w:type="dxa"/>
            <w:tcBorders>
              <w:top w:val="nil"/>
              <w:left w:val="nil"/>
              <w:right w:val="nil"/>
            </w:tcBorders>
            <w:noWrap/>
            <w:vAlign w:val="center"/>
            <w:hideMark/>
          </w:tcPr>
          <w:p w14:paraId="77BEECF8" w14:textId="0DC96239"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341.988.797</w:t>
            </w:r>
          </w:p>
        </w:tc>
        <w:tc>
          <w:tcPr>
            <w:tcW w:w="1180" w:type="dxa"/>
            <w:tcBorders>
              <w:top w:val="nil"/>
              <w:left w:val="nil"/>
              <w:right w:val="nil"/>
            </w:tcBorders>
            <w:noWrap/>
            <w:vAlign w:val="center"/>
            <w:hideMark/>
          </w:tcPr>
          <w:p w14:paraId="7295DF7A" w14:textId="35DFBAF6" w:rsidR="00C840AA" w:rsidRPr="0051267B" w:rsidRDefault="00C840AA" w:rsidP="00C840AA">
            <w:pPr>
              <w:jc w:val="center"/>
              <w:rPr>
                <w:rFonts w:ascii="CAIXA Std Book" w:eastAsia="Times New Roman" w:hAnsi="CAIXA Std Book" w:cs="Arial"/>
                <w:color w:val="005CA9"/>
                <w:sz w:val="16"/>
                <w:szCs w:val="16"/>
              </w:rPr>
            </w:pPr>
            <w:r>
              <w:rPr>
                <w:rFonts w:ascii="CAIXA Std Book" w:hAnsi="CAIXA Std Book" w:cs="Arial"/>
                <w:color w:val="005CA9"/>
                <w:sz w:val="16"/>
                <w:szCs w:val="16"/>
              </w:rPr>
              <w:t>-</w:t>
            </w:r>
          </w:p>
        </w:tc>
      </w:tr>
      <w:tr w:rsidR="00C840AA" w:rsidRPr="00BC00DB" w14:paraId="57820DAE" w14:textId="77777777" w:rsidTr="00F46878">
        <w:trPr>
          <w:trHeight w:val="272"/>
        </w:trPr>
        <w:tc>
          <w:tcPr>
            <w:tcW w:w="7371" w:type="dxa"/>
            <w:tcBorders>
              <w:top w:val="nil"/>
              <w:left w:val="nil"/>
              <w:bottom w:val="single" w:sz="4" w:space="0" w:color="005CA9"/>
              <w:right w:val="nil"/>
            </w:tcBorders>
            <w:noWrap/>
            <w:vAlign w:val="center"/>
            <w:hideMark/>
          </w:tcPr>
          <w:p w14:paraId="1438D693" w14:textId="77777777" w:rsidR="00C840AA" w:rsidRPr="00780A1D" w:rsidRDefault="00C840AA" w:rsidP="00C840AA">
            <w:pPr>
              <w:ind w:firstLineChars="100" w:firstLine="160"/>
              <w:rPr>
                <w:rFonts w:ascii="CAIXA Std Book" w:eastAsia="Times New Roman" w:hAnsi="CAIXA Std Book" w:cs="Arial"/>
                <w:color w:val="005CA9"/>
                <w:sz w:val="16"/>
                <w:szCs w:val="16"/>
              </w:rPr>
            </w:pPr>
            <w:r w:rsidRPr="00780A1D">
              <w:rPr>
                <w:rFonts w:ascii="CAIXA Std Book" w:eastAsia="Times New Roman" w:hAnsi="CAIXA Std Book" w:cs="Arial"/>
                <w:color w:val="005CA9"/>
                <w:sz w:val="16"/>
                <w:szCs w:val="16"/>
              </w:rPr>
              <w:t>Outros passivos financeiros</w:t>
            </w:r>
          </w:p>
        </w:tc>
        <w:tc>
          <w:tcPr>
            <w:tcW w:w="1689" w:type="dxa"/>
            <w:tcBorders>
              <w:top w:val="nil"/>
              <w:left w:val="nil"/>
              <w:bottom w:val="single" w:sz="4" w:space="0" w:color="005CA9"/>
              <w:right w:val="nil"/>
            </w:tcBorders>
            <w:vAlign w:val="center"/>
            <w:hideMark/>
          </w:tcPr>
          <w:p w14:paraId="638C7894" w14:textId="77C202C8"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36.859.219</w:t>
            </w:r>
          </w:p>
        </w:tc>
        <w:tc>
          <w:tcPr>
            <w:tcW w:w="1340" w:type="dxa"/>
            <w:tcBorders>
              <w:top w:val="nil"/>
              <w:left w:val="nil"/>
              <w:bottom w:val="single" w:sz="4" w:space="0" w:color="005CA9"/>
              <w:right w:val="nil"/>
            </w:tcBorders>
            <w:vAlign w:val="center"/>
            <w:hideMark/>
          </w:tcPr>
          <w:p w14:paraId="1EFAA1EE" w14:textId="1A0023E9"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36.859.219</w:t>
            </w:r>
          </w:p>
        </w:tc>
        <w:tc>
          <w:tcPr>
            <w:tcW w:w="1180" w:type="dxa"/>
            <w:tcBorders>
              <w:top w:val="nil"/>
              <w:left w:val="nil"/>
              <w:bottom w:val="single" w:sz="4" w:space="0" w:color="005CA9"/>
              <w:right w:val="nil"/>
            </w:tcBorders>
            <w:noWrap/>
            <w:vAlign w:val="center"/>
            <w:hideMark/>
          </w:tcPr>
          <w:p w14:paraId="1022EAF9" w14:textId="6D176A28" w:rsidR="00C840AA" w:rsidRPr="0051267B" w:rsidRDefault="00C840AA" w:rsidP="00C840AA">
            <w:pPr>
              <w:jc w:val="center"/>
              <w:rPr>
                <w:rFonts w:ascii="CAIXA Std Book" w:eastAsia="Times New Roman" w:hAnsi="CAIXA Std Book" w:cs="Arial"/>
                <w:color w:val="005CA9"/>
                <w:sz w:val="16"/>
                <w:szCs w:val="16"/>
              </w:rPr>
            </w:pPr>
            <w:r>
              <w:rPr>
                <w:rFonts w:ascii="CAIXA Std Book" w:hAnsi="CAIXA Std Book" w:cs="Arial"/>
                <w:color w:val="005CA9"/>
                <w:sz w:val="16"/>
                <w:szCs w:val="16"/>
              </w:rPr>
              <w:t>-</w:t>
            </w:r>
          </w:p>
        </w:tc>
        <w:tc>
          <w:tcPr>
            <w:tcW w:w="1340" w:type="dxa"/>
            <w:tcBorders>
              <w:top w:val="nil"/>
              <w:left w:val="nil"/>
              <w:bottom w:val="single" w:sz="4" w:space="0" w:color="005CA9"/>
              <w:right w:val="nil"/>
            </w:tcBorders>
            <w:vAlign w:val="center"/>
            <w:hideMark/>
          </w:tcPr>
          <w:p w14:paraId="269D1F2F" w14:textId="25531E1D" w:rsidR="00C840AA" w:rsidRPr="0051267B" w:rsidRDefault="00C840AA" w:rsidP="00C840AA">
            <w:pPr>
              <w:jc w:val="right"/>
              <w:rPr>
                <w:rFonts w:ascii="CAIXA Std Book" w:eastAsia="Times New Roman" w:hAnsi="CAIXA Std Book" w:cs="Arial"/>
                <w:color w:val="005CA9"/>
                <w:sz w:val="16"/>
                <w:szCs w:val="16"/>
              </w:rPr>
            </w:pPr>
            <w:r>
              <w:rPr>
                <w:rFonts w:ascii="CAIXA Std Book" w:hAnsi="CAIXA Std Book" w:cs="Arial"/>
                <w:color w:val="005CA9"/>
                <w:sz w:val="16"/>
                <w:szCs w:val="16"/>
              </w:rPr>
              <w:t>36.859.219</w:t>
            </w:r>
          </w:p>
        </w:tc>
        <w:tc>
          <w:tcPr>
            <w:tcW w:w="1180" w:type="dxa"/>
            <w:tcBorders>
              <w:top w:val="nil"/>
              <w:left w:val="nil"/>
              <w:bottom w:val="single" w:sz="4" w:space="0" w:color="005CA9"/>
              <w:right w:val="nil"/>
            </w:tcBorders>
            <w:noWrap/>
            <w:vAlign w:val="center"/>
            <w:hideMark/>
          </w:tcPr>
          <w:p w14:paraId="74C227E9" w14:textId="1D93D90E" w:rsidR="00C840AA" w:rsidRPr="0051267B" w:rsidRDefault="00C840AA" w:rsidP="00C840AA">
            <w:pPr>
              <w:jc w:val="center"/>
              <w:rPr>
                <w:rFonts w:ascii="CAIXA Std Book" w:eastAsia="Times New Roman" w:hAnsi="CAIXA Std Book" w:cs="Arial"/>
                <w:color w:val="005CA9"/>
                <w:sz w:val="16"/>
                <w:szCs w:val="16"/>
              </w:rPr>
            </w:pPr>
            <w:r>
              <w:rPr>
                <w:rFonts w:ascii="CAIXA Std Book" w:hAnsi="CAIXA Std Book" w:cs="Arial"/>
                <w:color w:val="005CA9"/>
                <w:sz w:val="16"/>
                <w:szCs w:val="16"/>
              </w:rPr>
              <w:t>-</w:t>
            </w:r>
          </w:p>
        </w:tc>
      </w:tr>
    </w:tbl>
    <w:p w14:paraId="4EDA3FF6" w14:textId="77777777" w:rsidR="00117984" w:rsidRDefault="00117984">
      <w:r>
        <w:br w:type="page"/>
      </w:r>
    </w:p>
    <w:tbl>
      <w:tblPr>
        <w:tblW w:w="5000" w:type="pct"/>
        <w:tblCellMar>
          <w:left w:w="70" w:type="dxa"/>
          <w:right w:w="70" w:type="dxa"/>
        </w:tblCellMar>
        <w:tblLook w:val="04A0" w:firstRow="1" w:lastRow="0" w:firstColumn="1" w:lastColumn="0" w:noHBand="0" w:noVBand="1"/>
      </w:tblPr>
      <w:tblGrid>
        <w:gridCol w:w="7406"/>
        <w:gridCol w:w="1754"/>
        <w:gridCol w:w="1626"/>
        <w:gridCol w:w="1206"/>
        <w:gridCol w:w="1373"/>
        <w:gridCol w:w="1206"/>
      </w:tblGrid>
      <w:tr w:rsidR="00805005" w:rsidRPr="00A33BC3" w14:paraId="3637277D" w14:textId="77777777" w:rsidTr="00EC7E6C">
        <w:trPr>
          <w:trHeight w:val="272"/>
        </w:trPr>
        <w:tc>
          <w:tcPr>
            <w:tcW w:w="5000" w:type="pct"/>
            <w:gridSpan w:val="6"/>
            <w:tcBorders>
              <w:top w:val="nil"/>
              <w:left w:val="nil"/>
              <w:bottom w:val="single" w:sz="4" w:space="0" w:color="F2F2F2" w:themeColor="background1" w:themeShade="F2"/>
              <w:right w:val="nil"/>
            </w:tcBorders>
            <w:shd w:val="clear" w:color="000000" w:fill="005CA9"/>
            <w:vAlign w:val="center"/>
            <w:hideMark/>
          </w:tcPr>
          <w:p w14:paraId="6CA5F865" w14:textId="77777777" w:rsidR="006D454C" w:rsidRPr="002811A8" w:rsidRDefault="006D454C" w:rsidP="006D454C">
            <w:pPr>
              <w:jc w:val="center"/>
              <w:rPr>
                <w:rFonts w:ascii="CAIXA Std Book" w:eastAsia="Times New Roman" w:hAnsi="CAIXA Std Book" w:cs="Times New Roman"/>
                <w:b/>
                <w:color w:val="FFFFFF"/>
                <w:sz w:val="16"/>
                <w:szCs w:val="16"/>
              </w:rPr>
            </w:pPr>
            <w:r w:rsidRPr="002811A8">
              <w:rPr>
                <w:rFonts w:ascii="CAIXA Std Book" w:eastAsia="Times New Roman" w:hAnsi="CAIXA Std Book" w:cs="Times New Roman"/>
                <w:b/>
                <w:color w:val="FFFFFF"/>
                <w:sz w:val="16"/>
                <w:szCs w:val="16"/>
              </w:rPr>
              <w:t>Consolidado</w:t>
            </w:r>
          </w:p>
        </w:tc>
      </w:tr>
      <w:tr w:rsidR="007D6CEB" w:rsidRPr="00A33BC3" w14:paraId="677ACA2B" w14:textId="77777777" w:rsidTr="00EC7E6C">
        <w:trPr>
          <w:trHeight w:val="272"/>
        </w:trPr>
        <w:tc>
          <w:tcPr>
            <w:tcW w:w="2541" w:type="pct"/>
            <w:vMerge w:val="restart"/>
            <w:tcBorders>
              <w:top w:val="single" w:sz="4" w:space="0" w:color="F2F2F2" w:themeColor="background1" w:themeShade="F2"/>
              <w:left w:val="nil"/>
              <w:bottom w:val="nil"/>
              <w:right w:val="nil"/>
            </w:tcBorders>
            <w:shd w:val="clear" w:color="000000" w:fill="005CA9"/>
            <w:vAlign w:val="center"/>
            <w:hideMark/>
          </w:tcPr>
          <w:p w14:paraId="7CF2B65B" w14:textId="77777777" w:rsidR="003275C9" w:rsidRPr="002811A8" w:rsidRDefault="003275C9" w:rsidP="006D454C">
            <w:pPr>
              <w:rPr>
                <w:rFonts w:ascii="CAIXA Std Book" w:eastAsia="Times New Roman" w:hAnsi="CAIXA Std Book" w:cs="Times New Roman"/>
                <w:b/>
                <w:color w:val="FFFFFF"/>
                <w:sz w:val="16"/>
                <w:szCs w:val="16"/>
              </w:rPr>
            </w:pPr>
            <w:r w:rsidRPr="002811A8">
              <w:rPr>
                <w:rFonts w:ascii="CAIXA Std Book" w:eastAsia="Times New Roman" w:hAnsi="CAIXA Std Book" w:cs="Times New Roman"/>
                <w:b/>
                <w:color w:val="FFFFFF"/>
                <w:sz w:val="16"/>
                <w:szCs w:val="16"/>
              </w:rPr>
              <w:t>Ativos e passivos financeiros mensurados ao valor justo no balanço patrimonial de forma recorrente</w:t>
            </w:r>
          </w:p>
        </w:tc>
        <w:tc>
          <w:tcPr>
            <w:tcW w:w="602" w:type="pct"/>
            <w:vMerge w:val="restart"/>
            <w:tcBorders>
              <w:top w:val="single" w:sz="4" w:space="0" w:color="F2F2F2" w:themeColor="background1" w:themeShade="F2"/>
              <w:left w:val="nil"/>
              <w:bottom w:val="nil"/>
              <w:right w:val="nil"/>
            </w:tcBorders>
            <w:shd w:val="clear" w:color="000000" w:fill="005CA9"/>
            <w:vAlign w:val="center"/>
            <w:hideMark/>
          </w:tcPr>
          <w:p w14:paraId="064AB9FF" w14:textId="77777777" w:rsidR="003275C9" w:rsidRPr="002811A8" w:rsidRDefault="003275C9" w:rsidP="006D454C">
            <w:pPr>
              <w:jc w:val="center"/>
              <w:rPr>
                <w:rFonts w:ascii="CAIXA Std Book" w:eastAsia="Times New Roman" w:hAnsi="CAIXA Std Book" w:cs="Times New Roman"/>
                <w:b/>
                <w:color w:val="FFFFFF"/>
                <w:sz w:val="16"/>
                <w:szCs w:val="16"/>
              </w:rPr>
            </w:pPr>
            <w:r w:rsidRPr="002811A8">
              <w:rPr>
                <w:rFonts w:ascii="CAIXA Std Book" w:eastAsia="Times New Roman" w:hAnsi="CAIXA Std Book" w:cs="Times New Roman"/>
                <w:b/>
                <w:color w:val="FFFFFF"/>
                <w:sz w:val="16"/>
                <w:szCs w:val="16"/>
              </w:rPr>
              <w:t>Valor contábil em 31/12/2025</w:t>
            </w:r>
          </w:p>
        </w:tc>
        <w:tc>
          <w:tcPr>
            <w:tcW w:w="558" w:type="pct"/>
            <w:vMerge w:val="restart"/>
            <w:tcBorders>
              <w:top w:val="single" w:sz="4" w:space="0" w:color="F2F2F2" w:themeColor="background1" w:themeShade="F2"/>
              <w:left w:val="nil"/>
              <w:bottom w:val="nil"/>
              <w:right w:val="nil"/>
            </w:tcBorders>
            <w:shd w:val="clear" w:color="000000" w:fill="005CA9"/>
            <w:vAlign w:val="center"/>
            <w:hideMark/>
          </w:tcPr>
          <w:p w14:paraId="7BCE25B4" w14:textId="2EE03D71" w:rsidR="003275C9" w:rsidRPr="002811A8" w:rsidRDefault="003275C9" w:rsidP="00992D35">
            <w:pPr>
              <w:jc w:val="center"/>
              <w:rPr>
                <w:rFonts w:ascii="CAIXA Std Book" w:eastAsia="Times New Roman" w:hAnsi="CAIXA Std Book" w:cs="Times New Roman"/>
                <w:b/>
                <w:color w:val="FFFFFF"/>
                <w:sz w:val="16"/>
                <w:szCs w:val="16"/>
              </w:rPr>
            </w:pPr>
            <w:r w:rsidRPr="002811A8">
              <w:rPr>
                <w:rFonts w:ascii="CAIXA Std Book" w:eastAsia="Times New Roman" w:hAnsi="CAIXA Std Book" w:cs="Times New Roman"/>
                <w:b/>
                <w:color w:val="FFFFFF"/>
                <w:sz w:val="16"/>
                <w:szCs w:val="16"/>
              </w:rPr>
              <w:t xml:space="preserve">Valor </w:t>
            </w:r>
            <w:r w:rsidR="006F69CC">
              <w:rPr>
                <w:rFonts w:ascii="CAIXA Std Book" w:eastAsia="Times New Roman" w:hAnsi="CAIXA Std Book" w:cs="Times New Roman"/>
                <w:b/>
                <w:color w:val="FFFFFF"/>
                <w:sz w:val="16"/>
                <w:szCs w:val="16"/>
              </w:rPr>
              <w:t>j</w:t>
            </w:r>
            <w:r w:rsidRPr="002811A8">
              <w:rPr>
                <w:rFonts w:ascii="CAIXA Std Book" w:eastAsia="Times New Roman" w:hAnsi="CAIXA Std Book" w:cs="Times New Roman"/>
                <w:b/>
                <w:color w:val="FFFFFF"/>
                <w:sz w:val="16"/>
                <w:szCs w:val="16"/>
              </w:rPr>
              <w:t>usto em 31/12/2025</w:t>
            </w:r>
          </w:p>
        </w:tc>
        <w:tc>
          <w:tcPr>
            <w:tcW w:w="1299" w:type="pct"/>
            <w:gridSpan w:val="3"/>
            <w:tcBorders>
              <w:top w:val="single" w:sz="4" w:space="0" w:color="F2F2F2" w:themeColor="background1" w:themeShade="F2"/>
              <w:left w:val="nil"/>
              <w:bottom w:val="single" w:sz="4" w:space="0" w:color="F2F2F2" w:themeColor="background1" w:themeShade="F2"/>
              <w:right w:val="nil"/>
            </w:tcBorders>
            <w:shd w:val="clear" w:color="000000" w:fill="005CA9"/>
            <w:noWrap/>
            <w:vAlign w:val="center"/>
            <w:hideMark/>
          </w:tcPr>
          <w:p w14:paraId="2E8961D4" w14:textId="77777777" w:rsidR="003275C9" w:rsidRPr="002811A8" w:rsidRDefault="003275C9" w:rsidP="006D454C">
            <w:pPr>
              <w:jc w:val="center"/>
              <w:rPr>
                <w:rFonts w:ascii="CAIXA Std Book" w:eastAsia="Times New Roman" w:hAnsi="CAIXA Std Book" w:cs="Times New Roman"/>
                <w:b/>
                <w:color w:val="FFFFFF"/>
                <w:sz w:val="16"/>
                <w:szCs w:val="16"/>
              </w:rPr>
            </w:pPr>
            <w:r w:rsidRPr="002811A8">
              <w:rPr>
                <w:rFonts w:ascii="CAIXA Std Book" w:eastAsia="Times New Roman" w:hAnsi="CAIXA Std Book" w:cs="Times New Roman"/>
                <w:b/>
                <w:color w:val="FFFFFF"/>
                <w:sz w:val="16"/>
                <w:szCs w:val="16"/>
              </w:rPr>
              <w:t>Níveis de valor justo</w:t>
            </w:r>
          </w:p>
        </w:tc>
      </w:tr>
      <w:tr w:rsidR="000C1815" w:rsidRPr="00A33BC3" w14:paraId="18D68918" w14:textId="77777777" w:rsidTr="00EC7E6C">
        <w:trPr>
          <w:trHeight w:val="272"/>
        </w:trPr>
        <w:tc>
          <w:tcPr>
            <w:tcW w:w="2541" w:type="pct"/>
            <w:vMerge/>
            <w:tcBorders>
              <w:top w:val="single" w:sz="4" w:space="0" w:color="F2F2F2" w:themeColor="background1" w:themeShade="F2"/>
              <w:left w:val="nil"/>
              <w:right w:val="nil"/>
            </w:tcBorders>
            <w:vAlign w:val="center"/>
            <w:hideMark/>
          </w:tcPr>
          <w:p w14:paraId="6CAAD0C0" w14:textId="77777777" w:rsidR="003275C9" w:rsidRPr="002811A8" w:rsidRDefault="003275C9" w:rsidP="006D454C">
            <w:pPr>
              <w:rPr>
                <w:rFonts w:ascii="CAIXA Std Book" w:eastAsia="Times New Roman" w:hAnsi="CAIXA Std Book" w:cs="Times New Roman"/>
                <w:b/>
                <w:color w:val="FFFFFF"/>
                <w:sz w:val="16"/>
                <w:szCs w:val="16"/>
              </w:rPr>
            </w:pPr>
          </w:p>
        </w:tc>
        <w:tc>
          <w:tcPr>
            <w:tcW w:w="602" w:type="pct"/>
            <w:vMerge/>
            <w:tcBorders>
              <w:top w:val="single" w:sz="4" w:space="0" w:color="F2F2F2" w:themeColor="background1" w:themeShade="F2"/>
              <w:left w:val="nil"/>
              <w:right w:val="nil"/>
            </w:tcBorders>
            <w:vAlign w:val="center"/>
            <w:hideMark/>
          </w:tcPr>
          <w:p w14:paraId="70173CA0" w14:textId="77777777" w:rsidR="003275C9" w:rsidRPr="002811A8" w:rsidRDefault="003275C9" w:rsidP="006D454C">
            <w:pPr>
              <w:rPr>
                <w:rFonts w:ascii="CAIXA Std Book" w:eastAsia="Times New Roman" w:hAnsi="CAIXA Std Book" w:cs="Times New Roman"/>
                <w:b/>
                <w:color w:val="FFFFFF"/>
                <w:sz w:val="16"/>
                <w:szCs w:val="16"/>
              </w:rPr>
            </w:pPr>
          </w:p>
        </w:tc>
        <w:tc>
          <w:tcPr>
            <w:tcW w:w="558" w:type="pct"/>
            <w:vMerge/>
            <w:tcBorders>
              <w:top w:val="single" w:sz="4" w:space="0" w:color="F2F2F2" w:themeColor="background1" w:themeShade="F2"/>
              <w:left w:val="nil"/>
              <w:right w:val="nil"/>
            </w:tcBorders>
            <w:vAlign w:val="center"/>
            <w:hideMark/>
          </w:tcPr>
          <w:p w14:paraId="467DAF19" w14:textId="77777777" w:rsidR="003275C9" w:rsidRPr="002811A8" w:rsidRDefault="003275C9" w:rsidP="002811A8">
            <w:pPr>
              <w:rPr>
                <w:rFonts w:ascii="CAIXA Std Book" w:eastAsia="Times New Roman" w:hAnsi="CAIXA Std Book" w:cs="Times New Roman"/>
                <w:b/>
                <w:color w:val="FFFFFF"/>
                <w:sz w:val="16"/>
                <w:szCs w:val="16"/>
              </w:rPr>
            </w:pPr>
          </w:p>
        </w:tc>
        <w:tc>
          <w:tcPr>
            <w:tcW w:w="414" w:type="pct"/>
            <w:tcBorders>
              <w:top w:val="single" w:sz="4" w:space="0" w:color="F2F2F2" w:themeColor="background1" w:themeShade="F2"/>
              <w:left w:val="nil"/>
              <w:right w:val="nil"/>
            </w:tcBorders>
            <w:shd w:val="clear" w:color="000000" w:fill="005CA9"/>
            <w:noWrap/>
            <w:vAlign w:val="center"/>
            <w:hideMark/>
          </w:tcPr>
          <w:p w14:paraId="5EB33E5A" w14:textId="77777777" w:rsidR="003275C9" w:rsidRPr="002811A8" w:rsidRDefault="003275C9" w:rsidP="006D454C">
            <w:pPr>
              <w:jc w:val="center"/>
              <w:rPr>
                <w:rFonts w:ascii="CAIXA Std Book" w:eastAsia="Times New Roman" w:hAnsi="CAIXA Std Book" w:cs="Times New Roman"/>
                <w:b/>
                <w:color w:val="FFFFFF"/>
                <w:sz w:val="16"/>
                <w:szCs w:val="16"/>
              </w:rPr>
            </w:pPr>
            <w:r w:rsidRPr="002811A8">
              <w:rPr>
                <w:rFonts w:ascii="CAIXA Std Book" w:eastAsia="Times New Roman" w:hAnsi="CAIXA Std Book" w:cs="Times New Roman"/>
                <w:b/>
                <w:color w:val="FFFFFF"/>
                <w:sz w:val="16"/>
                <w:szCs w:val="16"/>
              </w:rPr>
              <w:t>Nível 1</w:t>
            </w:r>
          </w:p>
        </w:tc>
        <w:tc>
          <w:tcPr>
            <w:tcW w:w="471" w:type="pct"/>
            <w:tcBorders>
              <w:top w:val="single" w:sz="4" w:space="0" w:color="F2F2F2" w:themeColor="background1" w:themeShade="F2"/>
              <w:left w:val="nil"/>
              <w:right w:val="nil"/>
            </w:tcBorders>
            <w:shd w:val="clear" w:color="000000" w:fill="005CA9"/>
            <w:noWrap/>
            <w:vAlign w:val="center"/>
            <w:hideMark/>
          </w:tcPr>
          <w:p w14:paraId="1D6BEE98" w14:textId="77777777" w:rsidR="003275C9" w:rsidRPr="002811A8" w:rsidRDefault="003275C9" w:rsidP="006D454C">
            <w:pPr>
              <w:jc w:val="center"/>
              <w:rPr>
                <w:rFonts w:ascii="CAIXA Std Book" w:eastAsia="Times New Roman" w:hAnsi="CAIXA Std Book" w:cs="Times New Roman"/>
                <w:b/>
                <w:color w:val="FFFFFF"/>
                <w:sz w:val="16"/>
                <w:szCs w:val="16"/>
              </w:rPr>
            </w:pPr>
            <w:r w:rsidRPr="002811A8">
              <w:rPr>
                <w:rFonts w:ascii="CAIXA Std Book" w:eastAsia="Times New Roman" w:hAnsi="CAIXA Std Book" w:cs="Times New Roman"/>
                <w:b/>
                <w:color w:val="FFFFFF"/>
                <w:sz w:val="16"/>
                <w:szCs w:val="16"/>
              </w:rPr>
              <w:t>Nível 2</w:t>
            </w:r>
          </w:p>
        </w:tc>
        <w:tc>
          <w:tcPr>
            <w:tcW w:w="414" w:type="pct"/>
            <w:tcBorders>
              <w:top w:val="single" w:sz="4" w:space="0" w:color="F2F2F2" w:themeColor="background1" w:themeShade="F2"/>
              <w:left w:val="nil"/>
              <w:right w:val="nil"/>
            </w:tcBorders>
            <w:shd w:val="clear" w:color="000000" w:fill="005CA9"/>
            <w:noWrap/>
            <w:vAlign w:val="center"/>
            <w:hideMark/>
          </w:tcPr>
          <w:p w14:paraId="50AD0646" w14:textId="77777777" w:rsidR="003275C9" w:rsidRPr="002811A8" w:rsidRDefault="003275C9" w:rsidP="006D454C">
            <w:pPr>
              <w:jc w:val="center"/>
              <w:rPr>
                <w:rFonts w:ascii="CAIXA Std Book" w:eastAsia="Times New Roman" w:hAnsi="CAIXA Std Book" w:cs="Times New Roman"/>
                <w:b/>
                <w:color w:val="FFFFFF"/>
                <w:sz w:val="16"/>
                <w:szCs w:val="16"/>
              </w:rPr>
            </w:pPr>
            <w:r w:rsidRPr="002811A8">
              <w:rPr>
                <w:rFonts w:ascii="CAIXA Std Book" w:eastAsia="Times New Roman" w:hAnsi="CAIXA Std Book" w:cs="Times New Roman"/>
                <w:b/>
                <w:color w:val="FFFFFF"/>
                <w:sz w:val="16"/>
                <w:szCs w:val="16"/>
              </w:rPr>
              <w:t>Nível 3</w:t>
            </w:r>
          </w:p>
        </w:tc>
      </w:tr>
      <w:tr w:rsidR="000C1815" w:rsidRPr="00A33BC3" w14:paraId="3D952A6C" w14:textId="77777777" w:rsidTr="0096727B">
        <w:trPr>
          <w:trHeight w:val="272"/>
        </w:trPr>
        <w:tc>
          <w:tcPr>
            <w:tcW w:w="2541" w:type="pct"/>
            <w:tcBorders>
              <w:top w:val="nil"/>
              <w:left w:val="nil"/>
              <w:bottom w:val="single" w:sz="4" w:space="0" w:color="FFFFFF" w:themeColor="background1"/>
              <w:right w:val="nil"/>
            </w:tcBorders>
            <w:shd w:val="clear" w:color="000000" w:fill="D0E0E3"/>
            <w:noWrap/>
            <w:vAlign w:val="center"/>
            <w:hideMark/>
          </w:tcPr>
          <w:p w14:paraId="79561324" w14:textId="77777777" w:rsidR="00C55316" w:rsidRPr="002811A8" w:rsidRDefault="00C55316" w:rsidP="00C55316">
            <w:pPr>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Ativo</w:t>
            </w:r>
          </w:p>
        </w:tc>
        <w:tc>
          <w:tcPr>
            <w:tcW w:w="602" w:type="pct"/>
            <w:tcBorders>
              <w:top w:val="nil"/>
              <w:left w:val="nil"/>
              <w:bottom w:val="single" w:sz="4" w:space="0" w:color="FFFFFF" w:themeColor="background1"/>
              <w:right w:val="nil"/>
            </w:tcBorders>
            <w:shd w:val="clear" w:color="000000" w:fill="D0E0E3"/>
            <w:vAlign w:val="center"/>
            <w:hideMark/>
          </w:tcPr>
          <w:p w14:paraId="76293978" w14:textId="77777777" w:rsidR="00C55316" w:rsidRPr="002811A8" w:rsidRDefault="00D352D0" w:rsidP="00C55316">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2.162.</w:t>
            </w:r>
            <w:r w:rsidR="00CC5F18" w:rsidRPr="002811A8">
              <w:rPr>
                <w:rFonts w:ascii="CAIXA Std Book" w:eastAsia="Times New Roman" w:hAnsi="CAIXA Std Book" w:cs="Times New Roman"/>
                <w:b/>
                <w:color w:val="005CA9"/>
                <w:sz w:val="16"/>
                <w:szCs w:val="16"/>
              </w:rPr>
              <w:t>306.387</w:t>
            </w:r>
          </w:p>
        </w:tc>
        <w:tc>
          <w:tcPr>
            <w:tcW w:w="558" w:type="pct"/>
            <w:tcBorders>
              <w:top w:val="nil"/>
              <w:left w:val="nil"/>
              <w:bottom w:val="single" w:sz="4" w:space="0" w:color="FFFFFF" w:themeColor="background1"/>
              <w:right w:val="nil"/>
            </w:tcBorders>
            <w:shd w:val="clear" w:color="000000" w:fill="D0E0E3"/>
            <w:vAlign w:val="center"/>
            <w:hideMark/>
          </w:tcPr>
          <w:p w14:paraId="268EB84A" w14:textId="77777777" w:rsidR="00C55316" w:rsidRPr="002811A8" w:rsidRDefault="00EF0795" w:rsidP="00C55316">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1.948.585.116</w:t>
            </w:r>
          </w:p>
        </w:tc>
        <w:tc>
          <w:tcPr>
            <w:tcW w:w="414" w:type="pct"/>
            <w:tcBorders>
              <w:top w:val="nil"/>
              <w:left w:val="nil"/>
              <w:bottom w:val="single" w:sz="4" w:space="0" w:color="FFFFFF" w:themeColor="background1"/>
              <w:right w:val="nil"/>
            </w:tcBorders>
            <w:shd w:val="clear" w:color="000000" w:fill="D0E0E3"/>
            <w:vAlign w:val="center"/>
            <w:hideMark/>
          </w:tcPr>
          <w:p w14:paraId="4C40C6EC" w14:textId="77777777" w:rsidR="00C55316" w:rsidRPr="002811A8" w:rsidRDefault="00D352D0" w:rsidP="00C55316">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446.277.</w:t>
            </w:r>
            <w:r w:rsidR="00EF0795" w:rsidRPr="002811A8">
              <w:rPr>
                <w:rFonts w:ascii="CAIXA Std Book" w:eastAsia="Times New Roman" w:hAnsi="CAIXA Std Book" w:cs="Times New Roman"/>
                <w:b/>
                <w:color w:val="005CA9"/>
                <w:sz w:val="16"/>
                <w:szCs w:val="16"/>
              </w:rPr>
              <w:t>333</w:t>
            </w:r>
          </w:p>
        </w:tc>
        <w:tc>
          <w:tcPr>
            <w:tcW w:w="471" w:type="pct"/>
            <w:tcBorders>
              <w:top w:val="nil"/>
              <w:left w:val="nil"/>
              <w:bottom w:val="single" w:sz="4" w:space="0" w:color="FFFFFF" w:themeColor="background1"/>
              <w:right w:val="nil"/>
            </w:tcBorders>
            <w:shd w:val="clear" w:color="000000" w:fill="D0E0E3"/>
            <w:vAlign w:val="center"/>
            <w:hideMark/>
          </w:tcPr>
          <w:p w14:paraId="6C1C35FB" w14:textId="77777777" w:rsidR="00C55316" w:rsidRPr="002811A8" w:rsidRDefault="00EF0795" w:rsidP="00C55316">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1.481.976.093</w:t>
            </w:r>
          </w:p>
        </w:tc>
        <w:tc>
          <w:tcPr>
            <w:tcW w:w="414" w:type="pct"/>
            <w:tcBorders>
              <w:top w:val="nil"/>
              <w:left w:val="nil"/>
              <w:bottom w:val="single" w:sz="4" w:space="0" w:color="FFFFFF" w:themeColor="background1"/>
              <w:right w:val="nil"/>
            </w:tcBorders>
            <w:shd w:val="clear" w:color="000000" w:fill="D0E0E3"/>
            <w:vAlign w:val="center"/>
            <w:hideMark/>
          </w:tcPr>
          <w:p w14:paraId="114FCDC1" w14:textId="77777777" w:rsidR="00C55316" w:rsidRPr="002811A8" w:rsidRDefault="00D352D0" w:rsidP="00C55316">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20.331.</w:t>
            </w:r>
            <w:r w:rsidR="00807365" w:rsidRPr="002811A8">
              <w:rPr>
                <w:rFonts w:ascii="CAIXA Std Book" w:eastAsia="Times New Roman" w:hAnsi="CAIXA Std Book" w:cs="Times New Roman"/>
                <w:b/>
                <w:color w:val="005CA9"/>
                <w:sz w:val="16"/>
                <w:szCs w:val="16"/>
              </w:rPr>
              <w:t>690</w:t>
            </w:r>
          </w:p>
        </w:tc>
      </w:tr>
      <w:tr w:rsidR="000C1815" w:rsidRPr="00A33BC3" w14:paraId="1B1AF862" w14:textId="77777777" w:rsidTr="0096727B">
        <w:trPr>
          <w:trHeight w:val="272"/>
        </w:trPr>
        <w:tc>
          <w:tcPr>
            <w:tcW w:w="2541" w:type="pct"/>
            <w:tcBorders>
              <w:top w:val="single" w:sz="4" w:space="0" w:color="FFFFFF" w:themeColor="background1"/>
              <w:left w:val="nil"/>
              <w:bottom w:val="nil"/>
              <w:right w:val="nil"/>
            </w:tcBorders>
            <w:shd w:val="clear" w:color="000000" w:fill="D0E0E3"/>
            <w:noWrap/>
            <w:vAlign w:val="center"/>
            <w:hideMark/>
          </w:tcPr>
          <w:p w14:paraId="1E894BC0" w14:textId="77777777" w:rsidR="00C55316" w:rsidRPr="002811A8" w:rsidRDefault="00C55316" w:rsidP="00C55316">
            <w:pPr>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Ativos financeiros ao valor justo por meio do resultado</w:t>
            </w:r>
          </w:p>
        </w:tc>
        <w:tc>
          <w:tcPr>
            <w:tcW w:w="602" w:type="pct"/>
            <w:tcBorders>
              <w:top w:val="single" w:sz="4" w:space="0" w:color="FFFFFF" w:themeColor="background1"/>
              <w:left w:val="nil"/>
              <w:bottom w:val="nil"/>
              <w:right w:val="nil"/>
            </w:tcBorders>
            <w:shd w:val="clear" w:color="000000" w:fill="D0E0E3"/>
            <w:vAlign w:val="center"/>
            <w:hideMark/>
          </w:tcPr>
          <w:p w14:paraId="142BC86A" w14:textId="77777777" w:rsidR="00C55316" w:rsidRPr="002811A8" w:rsidRDefault="00D352D0" w:rsidP="00C55316">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161.</w:t>
            </w:r>
            <w:r w:rsidR="00CC5F18" w:rsidRPr="002811A8">
              <w:rPr>
                <w:rFonts w:ascii="CAIXA Std Book" w:eastAsia="Times New Roman" w:hAnsi="CAIXA Std Book" w:cs="Times New Roman"/>
                <w:b/>
                <w:color w:val="005CA9"/>
                <w:sz w:val="16"/>
                <w:szCs w:val="16"/>
              </w:rPr>
              <w:t>363.222</w:t>
            </w:r>
          </w:p>
        </w:tc>
        <w:tc>
          <w:tcPr>
            <w:tcW w:w="558" w:type="pct"/>
            <w:tcBorders>
              <w:top w:val="single" w:sz="4" w:space="0" w:color="FFFFFF" w:themeColor="background1"/>
              <w:left w:val="nil"/>
              <w:bottom w:val="nil"/>
              <w:right w:val="nil"/>
            </w:tcBorders>
            <w:shd w:val="clear" w:color="000000" w:fill="D0E0E3"/>
            <w:vAlign w:val="center"/>
            <w:hideMark/>
          </w:tcPr>
          <w:p w14:paraId="6EB43ECE" w14:textId="77777777" w:rsidR="00C55316" w:rsidRPr="002811A8" w:rsidRDefault="00EF0795" w:rsidP="00C55316">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157.199.001</w:t>
            </w:r>
          </w:p>
        </w:tc>
        <w:tc>
          <w:tcPr>
            <w:tcW w:w="414" w:type="pct"/>
            <w:tcBorders>
              <w:top w:val="single" w:sz="4" w:space="0" w:color="FFFFFF" w:themeColor="background1"/>
              <w:left w:val="nil"/>
              <w:bottom w:val="nil"/>
              <w:right w:val="nil"/>
            </w:tcBorders>
            <w:shd w:val="clear" w:color="000000" w:fill="D0E0E3"/>
            <w:vAlign w:val="center"/>
            <w:hideMark/>
          </w:tcPr>
          <w:p w14:paraId="13DA5CCD" w14:textId="77777777" w:rsidR="00C55316" w:rsidRPr="002811A8" w:rsidRDefault="00D352D0" w:rsidP="00C55316">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153.166.</w:t>
            </w:r>
            <w:r w:rsidR="00EF0795" w:rsidRPr="002811A8">
              <w:rPr>
                <w:rFonts w:ascii="CAIXA Std Book" w:eastAsia="Times New Roman" w:hAnsi="CAIXA Std Book" w:cs="Times New Roman"/>
                <w:b/>
                <w:color w:val="005CA9"/>
                <w:sz w:val="16"/>
                <w:szCs w:val="16"/>
              </w:rPr>
              <w:t>180</w:t>
            </w:r>
          </w:p>
        </w:tc>
        <w:tc>
          <w:tcPr>
            <w:tcW w:w="471" w:type="pct"/>
            <w:tcBorders>
              <w:top w:val="single" w:sz="4" w:space="0" w:color="FFFFFF" w:themeColor="background1"/>
              <w:left w:val="nil"/>
              <w:bottom w:val="nil"/>
              <w:right w:val="nil"/>
            </w:tcBorders>
            <w:shd w:val="clear" w:color="000000" w:fill="D0E0E3"/>
            <w:vAlign w:val="center"/>
            <w:hideMark/>
          </w:tcPr>
          <w:p w14:paraId="3B26D09B" w14:textId="77777777" w:rsidR="00C55316" w:rsidRPr="002811A8" w:rsidRDefault="00EF0795" w:rsidP="00C55316">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2.193.348</w:t>
            </w:r>
          </w:p>
        </w:tc>
        <w:tc>
          <w:tcPr>
            <w:tcW w:w="414" w:type="pct"/>
            <w:tcBorders>
              <w:top w:val="single" w:sz="4" w:space="0" w:color="FFFFFF" w:themeColor="background1"/>
              <w:left w:val="nil"/>
              <w:bottom w:val="nil"/>
              <w:right w:val="nil"/>
            </w:tcBorders>
            <w:shd w:val="clear" w:color="000000" w:fill="D0E0E3"/>
            <w:vAlign w:val="center"/>
            <w:hideMark/>
          </w:tcPr>
          <w:p w14:paraId="5B1DA39F" w14:textId="77777777" w:rsidR="00C55316" w:rsidRPr="002811A8" w:rsidRDefault="00D352D0" w:rsidP="00C55316">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1.839.473</w:t>
            </w:r>
          </w:p>
        </w:tc>
      </w:tr>
      <w:tr w:rsidR="000C1815" w:rsidRPr="00A33BC3" w14:paraId="457B9F1B" w14:textId="77777777" w:rsidTr="00BC00DB">
        <w:trPr>
          <w:trHeight w:val="272"/>
        </w:trPr>
        <w:tc>
          <w:tcPr>
            <w:tcW w:w="2541" w:type="pct"/>
            <w:tcBorders>
              <w:top w:val="nil"/>
              <w:left w:val="nil"/>
              <w:bottom w:val="nil"/>
              <w:right w:val="nil"/>
            </w:tcBorders>
            <w:noWrap/>
            <w:vAlign w:val="center"/>
            <w:hideMark/>
          </w:tcPr>
          <w:p w14:paraId="74B79779" w14:textId="77777777" w:rsidR="00C55316" w:rsidRPr="002811A8" w:rsidRDefault="00C55316" w:rsidP="00C55316">
            <w:pPr>
              <w:ind w:firstLineChars="100" w:firstLine="160"/>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Títulos e valores mobiliários (líquidos de provisão para perdas associadas ao risco de crédito)</w:t>
            </w:r>
          </w:p>
        </w:tc>
        <w:tc>
          <w:tcPr>
            <w:tcW w:w="602" w:type="pct"/>
            <w:tcBorders>
              <w:top w:val="nil"/>
              <w:left w:val="nil"/>
              <w:bottom w:val="nil"/>
              <w:right w:val="nil"/>
            </w:tcBorders>
            <w:vAlign w:val="center"/>
            <w:hideMark/>
          </w:tcPr>
          <w:p w14:paraId="423AEEEC"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161.103.569</w:t>
            </w:r>
          </w:p>
        </w:tc>
        <w:tc>
          <w:tcPr>
            <w:tcW w:w="558" w:type="pct"/>
            <w:tcBorders>
              <w:top w:val="nil"/>
              <w:left w:val="nil"/>
              <w:bottom w:val="nil"/>
              <w:right w:val="nil"/>
            </w:tcBorders>
            <w:vAlign w:val="center"/>
            <w:hideMark/>
          </w:tcPr>
          <w:p w14:paraId="69ECB836"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156.939.348</w:t>
            </w:r>
          </w:p>
        </w:tc>
        <w:tc>
          <w:tcPr>
            <w:tcW w:w="414" w:type="pct"/>
            <w:tcBorders>
              <w:top w:val="nil"/>
              <w:left w:val="nil"/>
              <w:bottom w:val="nil"/>
              <w:right w:val="nil"/>
            </w:tcBorders>
            <w:noWrap/>
            <w:vAlign w:val="center"/>
            <w:hideMark/>
          </w:tcPr>
          <w:p w14:paraId="3963DFB6"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153.166.134</w:t>
            </w:r>
          </w:p>
        </w:tc>
        <w:tc>
          <w:tcPr>
            <w:tcW w:w="471" w:type="pct"/>
            <w:tcBorders>
              <w:top w:val="nil"/>
              <w:left w:val="nil"/>
              <w:bottom w:val="nil"/>
              <w:right w:val="nil"/>
            </w:tcBorders>
            <w:noWrap/>
            <w:vAlign w:val="center"/>
            <w:hideMark/>
          </w:tcPr>
          <w:p w14:paraId="478A18C4"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1.933.741</w:t>
            </w:r>
          </w:p>
        </w:tc>
        <w:tc>
          <w:tcPr>
            <w:tcW w:w="414" w:type="pct"/>
            <w:tcBorders>
              <w:top w:val="nil"/>
              <w:left w:val="nil"/>
              <w:bottom w:val="nil"/>
              <w:right w:val="nil"/>
            </w:tcBorders>
            <w:noWrap/>
            <w:vAlign w:val="center"/>
            <w:hideMark/>
          </w:tcPr>
          <w:p w14:paraId="17E4F444"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1.839.473</w:t>
            </w:r>
          </w:p>
        </w:tc>
      </w:tr>
      <w:tr w:rsidR="000C1815" w:rsidRPr="00A33BC3" w14:paraId="59D53DA6" w14:textId="77777777" w:rsidTr="00BC00DB">
        <w:trPr>
          <w:trHeight w:val="272"/>
        </w:trPr>
        <w:tc>
          <w:tcPr>
            <w:tcW w:w="2541" w:type="pct"/>
            <w:tcBorders>
              <w:top w:val="nil"/>
              <w:left w:val="nil"/>
              <w:bottom w:val="nil"/>
              <w:right w:val="nil"/>
            </w:tcBorders>
            <w:noWrap/>
            <w:vAlign w:val="center"/>
            <w:hideMark/>
          </w:tcPr>
          <w:p w14:paraId="3293B6CF" w14:textId="77777777" w:rsidR="00C55316" w:rsidRPr="002811A8" w:rsidRDefault="00C55316" w:rsidP="00C55316">
            <w:pPr>
              <w:ind w:firstLineChars="100" w:firstLine="160"/>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Instrumentos financeiros derivativos</w:t>
            </w:r>
          </w:p>
        </w:tc>
        <w:tc>
          <w:tcPr>
            <w:tcW w:w="602" w:type="pct"/>
            <w:tcBorders>
              <w:top w:val="nil"/>
              <w:left w:val="nil"/>
              <w:bottom w:val="nil"/>
              <w:right w:val="nil"/>
            </w:tcBorders>
            <w:vAlign w:val="center"/>
            <w:hideMark/>
          </w:tcPr>
          <w:p w14:paraId="67D90188"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46</w:t>
            </w:r>
          </w:p>
        </w:tc>
        <w:tc>
          <w:tcPr>
            <w:tcW w:w="558" w:type="pct"/>
            <w:tcBorders>
              <w:top w:val="nil"/>
              <w:left w:val="nil"/>
              <w:bottom w:val="nil"/>
              <w:right w:val="nil"/>
            </w:tcBorders>
            <w:vAlign w:val="center"/>
            <w:hideMark/>
          </w:tcPr>
          <w:p w14:paraId="0B1CB28C" w14:textId="77777777" w:rsidR="00C55316" w:rsidRPr="002811A8" w:rsidRDefault="00EF0795"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46</w:t>
            </w:r>
          </w:p>
        </w:tc>
        <w:tc>
          <w:tcPr>
            <w:tcW w:w="414" w:type="pct"/>
            <w:tcBorders>
              <w:top w:val="nil"/>
              <w:left w:val="nil"/>
              <w:bottom w:val="nil"/>
              <w:right w:val="nil"/>
            </w:tcBorders>
            <w:noWrap/>
            <w:vAlign w:val="center"/>
            <w:hideMark/>
          </w:tcPr>
          <w:p w14:paraId="66FA6D2A" w14:textId="77777777" w:rsidR="00C55316" w:rsidRPr="002811A8" w:rsidRDefault="00EF0795" w:rsidP="00005A62">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46</w:t>
            </w:r>
          </w:p>
        </w:tc>
        <w:tc>
          <w:tcPr>
            <w:tcW w:w="471" w:type="pct"/>
            <w:tcBorders>
              <w:top w:val="nil"/>
              <w:left w:val="nil"/>
              <w:bottom w:val="nil"/>
              <w:right w:val="nil"/>
            </w:tcBorders>
            <w:noWrap/>
            <w:vAlign w:val="center"/>
            <w:hideMark/>
          </w:tcPr>
          <w:p w14:paraId="303AC8F6" w14:textId="77777777" w:rsidR="00C55316" w:rsidRPr="002811A8" w:rsidRDefault="00EF0795" w:rsidP="00EF0795">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c>
          <w:tcPr>
            <w:tcW w:w="414" w:type="pct"/>
            <w:tcBorders>
              <w:top w:val="nil"/>
              <w:left w:val="nil"/>
              <w:bottom w:val="nil"/>
              <w:right w:val="nil"/>
            </w:tcBorders>
            <w:noWrap/>
            <w:vAlign w:val="center"/>
            <w:hideMark/>
          </w:tcPr>
          <w:p w14:paraId="5A3C6400"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r>
      <w:tr w:rsidR="000C1815" w:rsidRPr="00A33BC3" w14:paraId="39FDE6D1" w14:textId="77777777" w:rsidTr="00BC00DB">
        <w:trPr>
          <w:trHeight w:val="272"/>
        </w:trPr>
        <w:tc>
          <w:tcPr>
            <w:tcW w:w="2541" w:type="pct"/>
            <w:tcBorders>
              <w:top w:val="nil"/>
              <w:left w:val="nil"/>
              <w:bottom w:val="nil"/>
              <w:right w:val="nil"/>
            </w:tcBorders>
            <w:noWrap/>
            <w:vAlign w:val="center"/>
            <w:hideMark/>
          </w:tcPr>
          <w:p w14:paraId="64AAE77D" w14:textId="77777777" w:rsidR="00C55316" w:rsidRPr="002811A8" w:rsidRDefault="00C55316" w:rsidP="00C55316">
            <w:pPr>
              <w:ind w:firstLineChars="100" w:firstLine="160"/>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Outros ativos financeiros</w:t>
            </w:r>
          </w:p>
        </w:tc>
        <w:tc>
          <w:tcPr>
            <w:tcW w:w="602" w:type="pct"/>
            <w:tcBorders>
              <w:top w:val="nil"/>
              <w:left w:val="nil"/>
              <w:bottom w:val="nil"/>
              <w:right w:val="nil"/>
            </w:tcBorders>
            <w:vAlign w:val="center"/>
            <w:hideMark/>
          </w:tcPr>
          <w:p w14:paraId="0B7F8C9E" w14:textId="77777777" w:rsidR="00C55316" w:rsidRPr="002811A8" w:rsidRDefault="00CC5F18"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259.607</w:t>
            </w:r>
          </w:p>
        </w:tc>
        <w:tc>
          <w:tcPr>
            <w:tcW w:w="558" w:type="pct"/>
            <w:tcBorders>
              <w:top w:val="nil"/>
              <w:left w:val="nil"/>
              <w:bottom w:val="nil"/>
              <w:right w:val="nil"/>
            </w:tcBorders>
            <w:vAlign w:val="center"/>
            <w:hideMark/>
          </w:tcPr>
          <w:p w14:paraId="37423395"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259.607</w:t>
            </w:r>
          </w:p>
        </w:tc>
        <w:tc>
          <w:tcPr>
            <w:tcW w:w="414" w:type="pct"/>
            <w:tcBorders>
              <w:top w:val="nil"/>
              <w:left w:val="nil"/>
              <w:bottom w:val="nil"/>
              <w:right w:val="nil"/>
            </w:tcBorders>
            <w:noWrap/>
            <w:vAlign w:val="center"/>
            <w:hideMark/>
          </w:tcPr>
          <w:p w14:paraId="01C1BF16"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c>
          <w:tcPr>
            <w:tcW w:w="471" w:type="pct"/>
            <w:tcBorders>
              <w:top w:val="nil"/>
              <w:left w:val="nil"/>
              <w:bottom w:val="nil"/>
              <w:right w:val="nil"/>
            </w:tcBorders>
            <w:noWrap/>
            <w:vAlign w:val="center"/>
            <w:hideMark/>
          </w:tcPr>
          <w:p w14:paraId="00CC6E50"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259.607</w:t>
            </w:r>
          </w:p>
        </w:tc>
        <w:tc>
          <w:tcPr>
            <w:tcW w:w="414" w:type="pct"/>
            <w:tcBorders>
              <w:top w:val="nil"/>
              <w:left w:val="nil"/>
              <w:bottom w:val="nil"/>
              <w:right w:val="nil"/>
            </w:tcBorders>
            <w:noWrap/>
            <w:vAlign w:val="center"/>
            <w:hideMark/>
          </w:tcPr>
          <w:p w14:paraId="3DB092D6"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r>
      <w:tr w:rsidR="000C1815" w:rsidRPr="00A33BC3" w14:paraId="1BD28550" w14:textId="77777777" w:rsidTr="00BC00DB">
        <w:trPr>
          <w:trHeight w:val="272"/>
        </w:trPr>
        <w:tc>
          <w:tcPr>
            <w:tcW w:w="2541" w:type="pct"/>
            <w:tcBorders>
              <w:top w:val="nil"/>
              <w:left w:val="nil"/>
              <w:bottom w:val="nil"/>
              <w:right w:val="nil"/>
            </w:tcBorders>
            <w:shd w:val="clear" w:color="000000" w:fill="D0E0E3"/>
            <w:noWrap/>
            <w:vAlign w:val="center"/>
            <w:hideMark/>
          </w:tcPr>
          <w:p w14:paraId="5C8CA6CE" w14:textId="77777777" w:rsidR="00C55316" w:rsidRPr="002811A8" w:rsidRDefault="00C55316" w:rsidP="00C55316">
            <w:pPr>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Ativos financeiros ao valor justo por meio de outros resultados abrangentes</w:t>
            </w:r>
          </w:p>
        </w:tc>
        <w:tc>
          <w:tcPr>
            <w:tcW w:w="602" w:type="pct"/>
            <w:tcBorders>
              <w:top w:val="nil"/>
              <w:left w:val="nil"/>
              <w:bottom w:val="nil"/>
              <w:right w:val="nil"/>
            </w:tcBorders>
            <w:shd w:val="clear" w:color="000000" w:fill="D0E0E3"/>
            <w:noWrap/>
            <w:vAlign w:val="center"/>
            <w:hideMark/>
          </w:tcPr>
          <w:p w14:paraId="1AE82699" w14:textId="77777777" w:rsidR="00C55316" w:rsidRPr="002811A8" w:rsidRDefault="00807365" w:rsidP="00C55316">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450.970.105</w:t>
            </w:r>
          </w:p>
        </w:tc>
        <w:tc>
          <w:tcPr>
            <w:tcW w:w="558" w:type="pct"/>
            <w:tcBorders>
              <w:top w:val="nil"/>
              <w:left w:val="nil"/>
              <w:bottom w:val="nil"/>
              <w:right w:val="nil"/>
            </w:tcBorders>
            <w:shd w:val="clear" w:color="000000" w:fill="D0E0E3"/>
            <w:vAlign w:val="center"/>
            <w:hideMark/>
          </w:tcPr>
          <w:p w14:paraId="571D756D" w14:textId="77777777" w:rsidR="00C55316" w:rsidRPr="002811A8" w:rsidRDefault="00D352D0" w:rsidP="00C55316">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450.765.977</w:t>
            </w:r>
          </w:p>
        </w:tc>
        <w:tc>
          <w:tcPr>
            <w:tcW w:w="414" w:type="pct"/>
            <w:tcBorders>
              <w:top w:val="nil"/>
              <w:left w:val="nil"/>
              <w:bottom w:val="nil"/>
              <w:right w:val="nil"/>
            </w:tcBorders>
            <w:shd w:val="clear" w:color="000000" w:fill="D0E0E3"/>
            <w:noWrap/>
            <w:vAlign w:val="center"/>
            <w:hideMark/>
          </w:tcPr>
          <w:p w14:paraId="202EB921" w14:textId="77777777" w:rsidR="00C55316" w:rsidRPr="002811A8" w:rsidRDefault="00D352D0" w:rsidP="00C55316">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293.111.153</w:t>
            </w:r>
          </w:p>
        </w:tc>
        <w:tc>
          <w:tcPr>
            <w:tcW w:w="471" w:type="pct"/>
            <w:tcBorders>
              <w:top w:val="nil"/>
              <w:left w:val="nil"/>
              <w:bottom w:val="nil"/>
              <w:right w:val="nil"/>
            </w:tcBorders>
            <w:shd w:val="clear" w:color="000000" w:fill="D0E0E3"/>
            <w:noWrap/>
            <w:vAlign w:val="center"/>
            <w:hideMark/>
          </w:tcPr>
          <w:p w14:paraId="3B80FB5C" w14:textId="77777777" w:rsidR="00C55316" w:rsidRPr="002811A8" w:rsidRDefault="00D352D0" w:rsidP="00C55316">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141.401.</w:t>
            </w:r>
            <w:r w:rsidR="00807365" w:rsidRPr="002811A8">
              <w:rPr>
                <w:rFonts w:ascii="CAIXA Std Book" w:eastAsia="Times New Roman" w:hAnsi="CAIXA Std Book" w:cs="Times New Roman"/>
                <w:b/>
                <w:color w:val="005CA9"/>
                <w:sz w:val="16"/>
                <w:szCs w:val="16"/>
              </w:rPr>
              <w:t>538</w:t>
            </w:r>
          </w:p>
        </w:tc>
        <w:tc>
          <w:tcPr>
            <w:tcW w:w="414" w:type="pct"/>
            <w:tcBorders>
              <w:top w:val="nil"/>
              <w:left w:val="nil"/>
              <w:bottom w:val="nil"/>
              <w:right w:val="nil"/>
            </w:tcBorders>
            <w:shd w:val="clear" w:color="000000" w:fill="D0E0E3"/>
            <w:noWrap/>
            <w:vAlign w:val="center"/>
            <w:hideMark/>
          </w:tcPr>
          <w:p w14:paraId="5E37C020" w14:textId="77777777" w:rsidR="00C55316" w:rsidRPr="002811A8" w:rsidRDefault="00D352D0" w:rsidP="00C55316">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16.253.286</w:t>
            </w:r>
          </w:p>
        </w:tc>
      </w:tr>
      <w:tr w:rsidR="000C1815" w:rsidRPr="00A33BC3" w14:paraId="60D6D001" w14:textId="77777777" w:rsidTr="00BC00DB">
        <w:trPr>
          <w:trHeight w:val="272"/>
        </w:trPr>
        <w:tc>
          <w:tcPr>
            <w:tcW w:w="2541" w:type="pct"/>
            <w:tcBorders>
              <w:top w:val="nil"/>
              <w:left w:val="nil"/>
              <w:bottom w:val="nil"/>
              <w:right w:val="nil"/>
            </w:tcBorders>
            <w:noWrap/>
            <w:vAlign w:val="center"/>
            <w:hideMark/>
          </w:tcPr>
          <w:p w14:paraId="765100F0" w14:textId="77777777" w:rsidR="00C55316" w:rsidRPr="002811A8" w:rsidRDefault="00C55316" w:rsidP="00C55316">
            <w:pPr>
              <w:ind w:firstLineChars="100" w:firstLine="160"/>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Aplicações interfinanceiras de liquidez</w:t>
            </w:r>
          </w:p>
        </w:tc>
        <w:tc>
          <w:tcPr>
            <w:tcW w:w="602" w:type="pct"/>
            <w:tcBorders>
              <w:top w:val="nil"/>
              <w:left w:val="nil"/>
              <w:bottom w:val="nil"/>
              <w:right w:val="nil"/>
            </w:tcBorders>
            <w:vAlign w:val="center"/>
            <w:hideMark/>
          </w:tcPr>
          <w:p w14:paraId="1C9DDDD7" w14:textId="77777777" w:rsidR="00C55316" w:rsidRPr="002811A8" w:rsidRDefault="00807365"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139.988.308</w:t>
            </w:r>
          </w:p>
        </w:tc>
        <w:tc>
          <w:tcPr>
            <w:tcW w:w="558" w:type="pct"/>
            <w:tcBorders>
              <w:top w:val="nil"/>
              <w:left w:val="nil"/>
              <w:bottom w:val="nil"/>
              <w:right w:val="nil"/>
            </w:tcBorders>
            <w:vAlign w:val="center"/>
            <w:hideMark/>
          </w:tcPr>
          <w:p w14:paraId="6F54553F"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140.182.998</w:t>
            </w:r>
          </w:p>
        </w:tc>
        <w:tc>
          <w:tcPr>
            <w:tcW w:w="414" w:type="pct"/>
            <w:tcBorders>
              <w:top w:val="nil"/>
              <w:left w:val="nil"/>
              <w:bottom w:val="nil"/>
              <w:right w:val="nil"/>
            </w:tcBorders>
            <w:noWrap/>
            <w:vAlign w:val="center"/>
            <w:hideMark/>
          </w:tcPr>
          <w:p w14:paraId="1157516B"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c>
          <w:tcPr>
            <w:tcW w:w="471" w:type="pct"/>
            <w:tcBorders>
              <w:top w:val="nil"/>
              <w:left w:val="nil"/>
              <w:bottom w:val="nil"/>
              <w:right w:val="nil"/>
            </w:tcBorders>
            <w:noWrap/>
            <w:vAlign w:val="center"/>
            <w:hideMark/>
          </w:tcPr>
          <w:p w14:paraId="5DDB2F57"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140.182.998</w:t>
            </w:r>
          </w:p>
        </w:tc>
        <w:tc>
          <w:tcPr>
            <w:tcW w:w="414" w:type="pct"/>
            <w:tcBorders>
              <w:top w:val="nil"/>
              <w:left w:val="nil"/>
              <w:bottom w:val="nil"/>
              <w:right w:val="nil"/>
            </w:tcBorders>
            <w:noWrap/>
            <w:vAlign w:val="center"/>
            <w:hideMark/>
          </w:tcPr>
          <w:p w14:paraId="3CB402A9"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r>
      <w:tr w:rsidR="000C1815" w:rsidRPr="00A33BC3" w14:paraId="71F1432A" w14:textId="77777777" w:rsidTr="00BC00DB">
        <w:trPr>
          <w:trHeight w:val="272"/>
        </w:trPr>
        <w:tc>
          <w:tcPr>
            <w:tcW w:w="2541" w:type="pct"/>
            <w:tcBorders>
              <w:top w:val="nil"/>
              <w:left w:val="nil"/>
              <w:bottom w:val="nil"/>
              <w:right w:val="nil"/>
            </w:tcBorders>
            <w:noWrap/>
            <w:vAlign w:val="center"/>
            <w:hideMark/>
          </w:tcPr>
          <w:p w14:paraId="2BF6A290" w14:textId="77777777" w:rsidR="00C55316" w:rsidRPr="002811A8" w:rsidRDefault="00C55316" w:rsidP="00C55316">
            <w:pPr>
              <w:ind w:firstLineChars="100" w:firstLine="160"/>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Títulos e valores mobiliários (líquidos de provisão para perdas associadas ao risco de crédito)</w:t>
            </w:r>
          </w:p>
        </w:tc>
        <w:tc>
          <w:tcPr>
            <w:tcW w:w="602" w:type="pct"/>
            <w:tcBorders>
              <w:top w:val="nil"/>
              <w:left w:val="nil"/>
              <w:bottom w:val="nil"/>
              <w:right w:val="nil"/>
            </w:tcBorders>
            <w:vAlign w:val="center"/>
            <w:hideMark/>
          </w:tcPr>
          <w:p w14:paraId="2FC72CE1"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310.981.797</w:t>
            </w:r>
          </w:p>
        </w:tc>
        <w:tc>
          <w:tcPr>
            <w:tcW w:w="558" w:type="pct"/>
            <w:tcBorders>
              <w:top w:val="nil"/>
              <w:left w:val="nil"/>
              <w:bottom w:val="nil"/>
              <w:right w:val="nil"/>
            </w:tcBorders>
            <w:vAlign w:val="center"/>
            <w:hideMark/>
          </w:tcPr>
          <w:p w14:paraId="071180EB"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310.582.979</w:t>
            </w:r>
          </w:p>
        </w:tc>
        <w:tc>
          <w:tcPr>
            <w:tcW w:w="414" w:type="pct"/>
            <w:tcBorders>
              <w:top w:val="nil"/>
              <w:left w:val="nil"/>
              <w:bottom w:val="nil"/>
              <w:right w:val="nil"/>
            </w:tcBorders>
            <w:noWrap/>
            <w:vAlign w:val="center"/>
            <w:hideMark/>
          </w:tcPr>
          <w:p w14:paraId="458B6E4B"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293.111.153</w:t>
            </w:r>
          </w:p>
        </w:tc>
        <w:tc>
          <w:tcPr>
            <w:tcW w:w="471" w:type="pct"/>
            <w:tcBorders>
              <w:top w:val="nil"/>
              <w:left w:val="nil"/>
              <w:bottom w:val="nil"/>
              <w:right w:val="nil"/>
            </w:tcBorders>
            <w:noWrap/>
            <w:vAlign w:val="center"/>
            <w:hideMark/>
          </w:tcPr>
          <w:p w14:paraId="1113128F"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1.218.540</w:t>
            </w:r>
          </w:p>
        </w:tc>
        <w:tc>
          <w:tcPr>
            <w:tcW w:w="414" w:type="pct"/>
            <w:tcBorders>
              <w:top w:val="nil"/>
              <w:left w:val="nil"/>
              <w:bottom w:val="nil"/>
              <w:right w:val="nil"/>
            </w:tcBorders>
            <w:noWrap/>
            <w:vAlign w:val="center"/>
            <w:hideMark/>
          </w:tcPr>
          <w:p w14:paraId="23BBAD3A"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16.253.286</w:t>
            </w:r>
          </w:p>
        </w:tc>
      </w:tr>
      <w:tr w:rsidR="000C1815" w:rsidRPr="00A33BC3" w14:paraId="1CB65A08" w14:textId="77777777" w:rsidTr="00BC00DB">
        <w:trPr>
          <w:trHeight w:val="272"/>
        </w:trPr>
        <w:tc>
          <w:tcPr>
            <w:tcW w:w="2541" w:type="pct"/>
            <w:tcBorders>
              <w:top w:val="nil"/>
              <w:left w:val="nil"/>
              <w:bottom w:val="nil"/>
              <w:right w:val="nil"/>
            </w:tcBorders>
            <w:shd w:val="clear" w:color="000000" w:fill="D0E0E3"/>
            <w:noWrap/>
            <w:vAlign w:val="center"/>
            <w:hideMark/>
          </w:tcPr>
          <w:p w14:paraId="4FAA8BD5" w14:textId="77777777" w:rsidR="00C55316" w:rsidRPr="002811A8" w:rsidRDefault="00C55316" w:rsidP="00C55316">
            <w:pPr>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Ativos financeiros ao custo amortizado</w:t>
            </w:r>
          </w:p>
        </w:tc>
        <w:tc>
          <w:tcPr>
            <w:tcW w:w="602" w:type="pct"/>
            <w:tcBorders>
              <w:top w:val="nil"/>
              <w:left w:val="nil"/>
              <w:bottom w:val="nil"/>
              <w:right w:val="nil"/>
            </w:tcBorders>
            <w:shd w:val="clear" w:color="000000" w:fill="D0E0E3"/>
            <w:noWrap/>
            <w:vAlign w:val="center"/>
            <w:hideMark/>
          </w:tcPr>
          <w:p w14:paraId="5CC341AB" w14:textId="77777777" w:rsidR="00C55316" w:rsidRPr="002811A8" w:rsidRDefault="00D352D0" w:rsidP="00C55316">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1.549.973.060</w:t>
            </w:r>
          </w:p>
        </w:tc>
        <w:tc>
          <w:tcPr>
            <w:tcW w:w="558" w:type="pct"/>
            <w:tcBorders>
              <w:top w:val="nil"/>
              <w:left w:val="nil"/>
              <w:bottom w:val="nil"/>
              <w:right w:val="nil"/>
            </w:tcBorders>
            <w:shd w:val="clear" w:color="000000" w:fill="D0E0E3"/>
            <w:vAlign w:val="center"/>
            <w:hideMark/>
          </w:tcPr>
          <w:p w14:paraId="49BB2E6A" w14:textId="77777777" w:rsidR="00C55316" w:rsidRPr="002811A8" w:rsidRDefault="00D352D0" w:rsidP="00C55316">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1.340.620.</w:t>
            </w:r>
            <w:r w:rsidR="00807365" w:rsidRPr="002811A8">
              <w:rPr>
                <w:rFonts w:ascii="CAIXA Std Book" w:eastAsia="Times New Roman" w:hAnsi="CAIXA Std Book" w:cs="Times New Roman"/>
                <w:b/>
                <w:color w:val="005CA9"/>
                <w:sz w:val="16"/>
                <w:szCs w:val="16"/>
              </w:rPr>
              <w:t>138</w:t>
            </w:r>
          </w:p>
        </w:tc>
        <w:tc>
          <w:tcPr>
            <w:tcW w:w="414" w:type="pct"/>
            <w:tcBorders>
              <w:top w:val="nil"/>
              <w:left w:val="nil"/>
              <w:bottom w:val="nil"/>
              <w:right w:val="nil"/>
            </w:tcBorders>
            <w:shd w:val="clear" w:color="000000" w:fill="D0E0E3"/>
            <w:noWrap/>
            <w:vAlign w:val="center"/>
            <w:hideMark/>
          </w:tcPr>
          <w:p w14:paraId="2CF06490" w14:textId="77777777" w:rsidR="00C55316" w:rsidRPr="002811A8" w:rsidRDefault="00047239" w:rsidP="00C55316">
            <w:pPr>
              <w:jc w:val="center"/>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w:t>
            </w:r>
          </w:p>
        </w:tc>
        <w:tc>
          <w:tcPr>
            <w:tcW w:w="471" w:type="pct"/>
            <w:tcBorders>
              <w:top w:val="nil"/>
              <w:left w:val="nil"/>
              <w:bottom w:val="nil"/>
              <w:right w:val="nil"/>
            </w:tcBorders>
            <w:shd w:val="clear" w:color="000000" w:fill="D0E0E3"/>
            <w:noWrap/>
            <w:vAlign w:val="center"/>
            <w:hideMark/>
          </w:tcPr>
          <w:p w14:paraId="1D4EA9CD" w14:textId="77777777" w:rsidR="00C55316" w:rsidRPr="002811A8" w:rsidRDefault="00D352D0" w:rsidP="00C55316">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1.338.381.</w:t>
            </w:r>
            <w:r w:rsidR="00807365" w:rsidRPr="002811A8">
              <w:rPr>
                <w:rFonts w:ascii="CAIXA Std Book" w:eastAsia="Times New Roman" w:hAnsi="CAIXA Std Book" w:cs="Times New Roman"/>
                <w:b/>
                <w:color w:val="005CA9"/>
                <w:sz w:val="16"/>
                <w:szCs w:val="16"/>
              </w:rPr>
              <w:t>207</w:t>
            </w:r>
          </w:p>
        </w:tc>
        <w:tc>
          <w:tcPr>
            <w:tcW w:w="414" w:type="pct"/>
            <w:tcBorders>
              <w:top w:val="nil"/>
              <w:left w:val="nil"/>
              <w:bottom w:val="nil"/>
              <w:right w:val="nil"/>
            </w:tcBorders>
            <w:shd w:val="clear" w:color="000000" w:fill="D0E0E3"/>
            <w:noWrap/>
            <w:vAlign w:val="center"/>
            <w:hideMark/>
          </w:tcPr>
          <w:p w14:paraId="6DD4EDDE" w14:textId="77777777" w:rsidR="00C55316" w:rsidRPr="002811A8" w:rsidRDefault="00D352D0" w:rsidP="00C55316">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2.238.931</w:t>
            </w:r>
          </w:p>
        </w:tc>
      </w:tr>
      <w:tr w:rsidR="000C1815" w:rsidRPr="00A33BC3" w14:paraId="5EBCB335" w14:textId="77777777" w:rsidTr="00BC00DB">
        <w:trPr>
          <w:trHeight w:val="272"/>
        </w:trPr>
        <w:tc>
          <w:tcPr>
            <w:tcW w:w="2541" w:type="pct"/>
            <w:tcBorders>
              <w:top w:val="nil"/>
              <w:left w:val="nil"/>
              <w:bottom w:val="nil"/>
              <w:right w:val="nil"/>
            </w:tcBorders>
            <w:noWrap/>
            <w:vAlign w:val="center"/>
            <w:hideMark/>
          </w:tcPr>
          <w:p w14:paraId="1AA8AC77" w14:textId="77777777" w:rsidR="00C55316" w:rsidRPr="002811A8" w:rsidRDefault="00C55316" w:rsidP="00C55316">
            <w:pPr>
              <w:ind w:firstLineChars="100" w:firstLine="160"/>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 xml:space="preserve">Depósitos no </w:t>
            </w:r>
            <w:r w:rsidR="00E505C9" w:rsidRPr="002811A8">
              <w:rPr>
                <w:rFonts w:ascii="CAIXA Std Book" w:eastAsia="Times New Roman" w:hAnsi="CAIXA Std Book" w:cs="Times New Roman"/>
                <w:color w:val="005CA9"/>
                <w:sz w:val="16"/>
                <w:szCs w:val="16"/>
              </w:rPr>
              <w:t>b</w:t>
            </w:r>
            <w:r w:rsidRPr="002811A8">
              <w:rPr>
                <w:rFonts w:ascii="CAIXA Std Book" w:eastAsia="Times New Roman" w:hAnsi="CAIXA Std Book" w:cs="Times New Roman"/>
                <w:color w:val="005CA9"/>
                <w:sz w:val="16"/>
                <w:szCs w:val="16"/>
              </w:rPr>
              <w:t xml:space="preserve">anco </w:t>
            </w:r>
            <w:r w:rsidR="00E505C9" w:rsidRPr="002811A8">
              <w:rPr>
                <w:rFonts w:ascii="CAIXA Std Book" w:eastAsia="Times New Roman" w:hAnsi="CAIXA Std Book" w:cs="Times New Roman"/>
                <w:color w:val="005CA9"/>
                <w:sz w:val="16"/>
                <w:szCs w:val="16"/>
              </w:rPr>
              <w:t>c</w:t>
            </w:r>
            <w:r w:rsidRPr="002811A8">
              <w:rPr>
                <w:rFonts w:ascii="CAIXA Std Book" w:eastAsia="Times New Roman" w:hAnsi="CAIXA Std Book" w:cs="Times New Roman"/>
                <w:color w:val="005CA9"/>
                <w:sz w:val="16"/>
                <w:szCs w:val="16"/>
              </w:rPr>
              <w:t>entral</w:t>
            </w:r>
          </w:p>
        </w:tc>
        <w:tc>
          <w:tcPr>
            <w:tcW w:w="602" w:type="pct"/>
            <w:tcBorders>
              <w:top w:val="nil"/>
              <w:left w:val="nil"/>
              <w:bottom w:val="nil"/>
              <w:right w:val="nil"/>
            </w:tcBorders>
            <w:vAlign w:val="center"/>
            <w:hideMark/>
          </w:tcPr>
          <w:p w14:paraId="53ED169D"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116.891.800</w:t>
            </w:r>
          </w:p>
        </w:tc>
        <w:tc>
          <w:tcPr>
            <w:tcW w:w="558" w:type="pct"/>
            <w:tcBorders>
              <w:top w:val="nil"/>
              <w:left w:val="nil"/>
              <w:bottom w:val="nil"/>
              <w:right w:val="nil"/>
            </w:tcBorders>
            <w:vAlign w:val="center"/>
            <w:hideMark/>
          </w:tcPr>
          <w:p w14:paraId="49896684"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109.496.183</w:t>
            </w:r>
          </w:p>
        </w:tc>
        <w:tc>
          <w:tcPr>
            <w:tcW w:w="414" w:type="pct"/>
            <w:tcBorders>
              <w:top w:val="nil"/>
              <w:left w:val="nil"/>
              <w:bottom w:val="nil"/>
              <w:right w:val="nil"/>
            </w:tcBorders>
            <w:noWrap/>
            <w:vAlign w:val="center"/>
            <w:hideMark/>
          </w:tcPr>
          <w:p w14:paraId="372EBBDB"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c>
          <w:tcPr>
            <w:tcW w:w="471" w:type="pct"/>
            <w:tcBorders>
              <w:top w:val="nil"/>
              <w:left w:val="nil"/>
              <w:bottom w:val="nil"/>
              <w:right w:val="nil"/>
            </w:tcBorders>
            <w:noWrap/>
            <w:vAlign w:val="center"/>
            <w:hideMark/>
          </w:tcPr>
          <w:p w14:paraId="16E99B99"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109.496.183</w:t>
            </w:r>
          </w:p>
        </w:tc>
        <w:tc>
          <w:tcPr>
            <w:tcW w:w="414" w:type="pct"/>
            <w:tcBorders>
              <w:top w:val="nil"/>
              <w:left w:val="nil"/>
              <w:bottom w:val="nil"/>
              <w:right w:val="nil"/>
            </w:tcBorders>
            <w:noWrap/>
            <w:vAlign w:val="center"/>
            <w:hideMark/>
          </w:tcPr>
          <w:p w14:paraId="1B030AA9"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r>
      <w:tr w:rsidR="000C1815" w:rsidRPr="00A33BC3" w14:paraId="62C079FA" w14:textId="77777777" w:rsidTr="00BC00DB">
        <w:trPr>
          <w:trHeight w:val="272"/>
        </w:trPr>
        <w:tc>
          <w:tcPr>
            <w:tcW w:w="2541" w:type="pct"/>
            <w:tcBorders>
              <w:top w:val="nil"/>
              <w:left w:val="nil"/>
              <w:bottom w:val="nil"/>
              <w:right w:val="nil"/>
            </w:tcBorders>
            <w:noWrap/>
            <w:vAlign w:val="center"/>
            <w:hideMark/>
          </w:tcPr>
          <w:p w14:paraId="0833F2D7" w14:textId="77777777" w:rsidR="00C55316" w:rsidRPr="002811A8" w:rsidRDefault="00C55316" w:rsidP="00C55316">
            <w:pPr>
              <w:ind w:firstLineChars="100" w:firstLine="160"/>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Aplicações interfinanceiras de liquidez</w:t>
            </w:r>
          </w:p>
        </w:tc>
        <w:tc>
          <w:tcPr>
            <w:tcW w:w="602" w:type="pct"/>
            <w:tcBorders>
              <w:top w:val="nil"/>
              <w:left w:val="nil"/>
              <w:bottom w:val="nil"/>
              <w:right w:val="nil"/>
            </w:tcBorders>
            <w:vAlign w:val="center"/>
            <w:hideMark/>
          </w:tcPr>
          <w:p w14:paraId="4BF7DBE0"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7.808.018</w:t>
            </w:r>
          </w:p>
        </w:tc>
        <w:tc>
          <w:tcPr>
            <w:tcW w:w="558" w:type="pct"/>
            <w:tcBorders>
              <w:top w:val="nil"/>
              <w:left w:val="nil"/>
              <w:bottom w:val="nil"/>
              <w:right w:val="nil"/>
            </w:tcBorders>
            <w:vAlign w:val="center"/>
            <w:hideMark/>
          </w:tcPr>
          <w:p w14:paraId="7EBAFBEF"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7.808.222</w:t>
            </w:r>
          </w:p>
        </w:tc>
        <w:tc>
          <w:tcPr>
            <w:tcW w:w="414" w:type="pct"/>
            <w:tcBorders>
              <w:top w:val="nil"/>
              <w:left w:val="nil"/>
              <w:bottom w:val="nil"/>
              <w:right w:val="nil"/>
            </w:tcBorders>
            <w:noWrap/>
            <w:vAlign w:val="center"/>
            <w:hideMark/>
          </w:tcPr>
          <w:p w14:paraId="665FFEAD"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c>
          <w:tcPr>
            <w:tcW w:w="471" w:type="pct"/>
            <w:tcBorders>
              <w:top w:val="nil"/>
              <w:left w:val="nil"/>
              <w:bottom w:val="nil"/>
              <w:right w:val="nil"/>
            </w:tcBorders>
            <w:noWrap/>
            <w:vAlign w:val="center"/>
            <w:hideMark/>
          </w:tcPr>
          <w:p w14:paraId="0BBA209F"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7.808.222</w:t>
            </w:r>
          </w:p>
        </w:tc>
        <w:tc>
          <w:tcPr>
            <w:tcW w:w="414" w:type="pct"/>
            <w:tcBorders>
              <w:top w:val="nil"/>
              <w:left w:val="nil"/>
              <w:bottom w:val="nil"/>
              <w:right w:val="nil"/>
            </w:tcBorders>
            <w:noWrap/>
            <w:vAlign w:val="center"/>
            <w:hideMark/>
          </w:tcPr>
          <w:p w14:paraId="7E822B35"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r>
      <w:tr w:rsidR="000C1815" w:rsidRPr="00A33BC3" w14:paraId="5C863D3A" w14:textId="77777777" w:rsidTr="00BC00DB">
        <w:trPr>
          <w:trHeight w:val="272"/>
        </w:trPr>
        <w:tc>
          <w:tcPr>
            <w:tcW w:w="2541" w:type="pct"/>
            <w:tcBorders>
              <w:top w:val="nil"/>
              <w:left w:val="nil"/>
              <w:bottom w:val="nil"/>
              <w:right w:val="nil"/>
            </w:tcBorders>
            <w:noWrap/>
            <w:vAlign w:val="center"/>
            <w:hideMark/>
          </w:tcPr>
          <w:p w14:paraId="0D14510D" w14:textId="77777777" w:rsidR="00C55316" w:rsidRPr="002811A8" w:rsidRDefault="00C55316" w:rsidP="00C55316">
            <w:pPr>
              <w:ind w:firstLineChars="100" w:firstLine="160"/>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Títulos e valores mobiliários (líquidos de provisão para perdas associadas ao risco de crédito)</w:t>
            </w:r>
          </w:p>
        </w:tc>
        <w:tc>
          <w:tcPr>
            <w:tcW w:w="602" w:type="pct"/>
            <w:tcBorders>
              <w:top w:val="nil"/>
              <w:left w:val="nil"/>
              <w:bottom w:val="nil"/>
              <w:right w:val="nil"/>
            </w:tcBorders>
            <w:vAlign w:val="center"/>
            <w:hideMark/>
          </w:tcPr>
          <w:p w14:paraId="5F762268"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2.238.931</w:t>
            </w:r>
          </w:p>
        </w:tc>
        <w:tc>
          <w:tcPr>
            <w:tcW w:w="558" w:type="pct"/>
            <w:tcBorders>
              <w:top w:val="nil"/>
              <w:left w:val="nil"/>
              <w:bottom w:val="nil"/>
              <w:right w:val="nil"/>
            </w:tcBorders>
            <w:vAlign w:val="center"/>
            <w:hideMark/>
          </w:tcPr>
          <w:p w14:paraId="5212E2F2"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2.238.931</w:t>
            </w:r>
          </w:p>
        </w:tc>
        <w:tc>
          <w:tcPr>
            <w:tcW w:w="414" w:type="pct"/>
            <w:tcBorders>
              <w:top w:val="nil"/>
              <w:left w:val="nil"/>
              <w:bottom w:val="nil"/>
              <w:right w:val="nil"/>
            </w:tcBorders>
            <w:noWrap/>
            <w:vAlign w:val="center"/>
            <w:hideMark/>
          </w:tcPr>
          <w:p w14:paraId="39993EB9"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c>
          <w:tcPr>
            <w:tcW w:w="471" w:type="pct"/>
            <w:tcBorders>
              <w:top w:val="nil"/>
              <w:left w:val="nil"/>
              <w:bottom w:val="nil"/>
              <w:right w:val="nil"/>
            </w:tcBorders>
            <w:noWrap/>
            <w:vAlign w:val="center"/>
            <w:hideMark/>
          </w:tcPr>
          <w:p w14:paraId="47080CC2"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c>
          <w:tcPr>
            <w:tcW w:w="414" w:type="pct"/>
            <w:tcBorders>
              <w:top w:val="nil"/>
              <w:left w:val="nil"/>
              <w:bottom w:val="nil"/>
              <w:right w:val="nil"/>
            </w:tcBorders>
            <w:noWrap/>
            <w:vAlign w:val="center"/>
            <w:hideMark/>
          </w:tcPr>
          <w:p w14:paraId="1ADE483E"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2.238.931</w:t>
            </w:r>
          </w:p>
        </w:tc>
      </w:tr>
      <w:tr w:rsidR="000C1815" w:rsidRPr="00A33BC3" w14:paraId="3BA6B192" w14:textId="77777777" w:rsidTr="00BC00DB">
        <w:trPr>
          <w:trHeight w:val="272"/>
        </w:trPr>
        <w:tc>
          <w:tcPr>
            <w:tcW w:w="2541" w:type="pct"/>
            <w:tcBorders>
              <w:top w:val="nil"/>
              <w:left w:val="nil"/>
              <w:bottom w:val="nil"/>
              <w:right w:val="nil"/>
            </w:tcBorders>
            <w:noWrap/>
            <w:vAlign w:val="center"/>
            <w:hideMark/>
          </w:tcPr>
          <w:p w14:paraId="24E7B795" w14:textId="77777777" w:rsidR="00C55316" w:rsidRPr="002811A8" w:rsidRDefault="00C55316" w:rsidP="00C55316">
            <w:pPr>
              <w:ind w:firstLineChars="100" w:firstLine="160"/>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Operações de crédito</w:t>
            </w:r>
          </w:p>
        </w:tc>
        <w:tc>
          <w:tcPr>
            <w:tcW w:w="602" w:type="pct"/>
            <w:tcBorders>
              <w:top w:val="nil"/>
              <w:left w:val="nil"/>
              <w:bottom w:val="nil"/>
              <w:right w:val="nil"/>
            </w:tcBorders>
            <w:vAlign w:val="center"/>
            <w:hideMark/>
          </w:tcPr>
          <w:p w14:paraId="687A9CFA"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1.377.893.253</w:t>
            </w:r>
          </w:p>
        </w:tc>
        <w:tc>
          <w:tcPr>
            <w:tcW w:w="558" w:type="pct"/>
            <w:tcBorders>
              <w:top w:val="nil"/>
              <w:left w:val="nil"/>
              <w:bottom w:val="nil"/>
              <w:right w:val="nil"/>
            </w:tcBorders>
            <w:vAlign w:val="center"/>
            <w:hideMark/>
          </w:tcPr>
          <w:p w14:paraId="42E51875"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1.179.479.931</w:t>
            </w:r>
          </w:p>
        </w:tc>
        <w:tc>
          <w:tcPr>
            <w:tcW w:w="414" w:type="pct"/>
            <w:tcBorders>
              <w:top w:val="nil"/>
              <w:left w:val="nil"/>
              <w:bottom w:val="nil"/>
              <w:right w:val="nil"/>
            </w:tcBorders>
            <w:noWrap/>
            <w:vAlign w:val="center"/>
            <w:hideMark/>
          </w:tcPr>
          <w:p w14:paraId="69E82116"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c>
          <w:tcPr>
            <w:tcW w:w="471" w:type="pct"/>
            <w:tcBorders>
              <w:top w:val="nil"/>
              <w:left w:val="nil"/>
              <w:bottom w:val="nil"/>
              <w:right w:val="nil"/>
            </w:tcBorders>
            <w:noWrap/>
            <w:vAlign w:val="center"/>
            <w:hideMark/>
          </w:tcPr>
          <w:p w14:paraId="094A2801"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1.179.479.931</w:t>
            </w:r>
          </w:p>
        </w:tc>
        <w:tc>
          <w:tcPr>
            <w:tcW w:w="414" w:type="pct"/>
            <w:tcBorders>
              <w:top w:val="nil"/>
              <w:left w:val="nil"/>
              <w:bottom w:val="nil"/>
              <w:right w:val="nil"/>
            </w:tcBorders>
            <w:noWrap/>
            <w:vAlign w:val="center"/>
            <w:hideMark/>
          </w:tcPr>
          <w:p w14:paraId="7CED6E20"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r>
      <w:tr w:rsidR="000C1815" w:rsidRPr="00A33BC3" w14:paraId="684E6BCA" w14:textId="77777777" w:rsidTr="0096727B">
        <w:trPr>
          <w:trHeight w:val="272"/>
        </w:trPr>
        <w:tc>
          <w:tcPr>
            <w:tcW w:w="2541" w:type="pct"/>
            <w:tcBorders>
              <w:top w:val="nil"/>
              <w:left w:val="nil"/>
              <w:right w:val="nil"/>
            </w:tcBorders>
            <w:noWrap/>
            <w:vAlign w:val="center"/>
            <w:hideMark/>
          </w:tcPr>
          <w:p w14:paraId="04F6EFE8" w14:textId="77777777" w:rsidR="00C55316" w:rsidRPr="002811A8" w:rsidRDefault="00C55316" w:rsidP="00C55316">
            <w:pPr>
              <w:ind w:firstLineChars="100" w:firstLine="160"/>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Outros ativos financeiros (líquidos de provisão para perdas associadas ao risco de crédito)</w:t>
            </w:r>
          </w:p>
        </w:tc>
        <w:tc>
          <w:tcPr>
            <w:tcW w:w="602" w:type="pct"/>
            <w:tcBorders>
              <w:top w:val="nil"/>
              <w:left w:val="nil"/>
              <w:right w:val="nil"/>
            </w:tcBorders>
            <w:vAlign w:val="center"/>
            <w:hideMark/>
          </w:tcPr>
          <w:p w14:paraId="105E3DCC"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45.141.058</w:t>
            </w:r>
          </w:p>
        </w:tc>
        <w:tc>
          <w:tcPr>
            <w:tcW w:w="558" w:type="pct"/>
            <w:tcBorders>
              <w:top w:val="nil"/>
              <w:left w:val="nil"/>
              <w:right w:val="nil"/>
            </w:tcBorders>
            <w:vAlign w:val="center"/>
            <w:hideMark/>
          </w:tcPr>
          <w:p w14:paraId="0A757C86"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41.596.871</w:t>
            </w:r>
          </w:p>
        </w:tc>
        <w:tc>
          <w:tcPr>
            <w:tcW w:w="414" w:type="pct"/>
            <w:tcBorders>
              <w:top w:val="nil"/>
              <w:left w:val="nil"/>
              <w:right w:val="nil"/>
            </w:tcBorders>
            <w:noWrap/>
            <w:vAlign w:val="center"/>
            <w:hideMark/>
          </w:tcPr>
          <w:p w14:paraId="5836EA1C"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c>
          <w:tcPr>
            <w:tcW w:w="471" w:type="pct"/>
            <w:tcBorders>
              <w:top w:val="nil"/>
              <w:left w:val="nil"/>
              <w:right w:val="nil"/>
            </w:tcBorders>
            <w:noWrap/>
            <w:vAlign w:val="center"/>
            <w:hideMark/>
          </w:tcPr>
          <w:p w14:paraId="4DC00E4F"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41.596.871</w:t>
            </w:r>
          </w:p>
        </w:tc>
        <w:tc>
          <w:tcPr>
            <w:tcW w:w="414" w:type="pct"/>
            <w:tcBorders>
              <w:top w:val="nil"/>
              <w:left w:val="nil"/>
              <w:right w:val="nil"/>
            </w:tcBorders>
            <w:noWrap/>
            <w:vAlign w:val="center"/>
            <w:hideMark/>
          </w:tcPr>
          <w:p w14:paraId="5BF1DA3E"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r>
      <w:tr w:rsidR="000C1815" w:rsidRPr="00A33BC3" w14:paraId="0407260C" w14:textId="77777777" w:rsidTr="0096727B">
        <w:trPr>
          <w:trHeight w:val="272"/>
        </w:trPr>
        <w:tc>
          <w:tcPr>
            <w:tcW w:w="2541" w:type="pct"/>
            <w:tcBorders>
              <w:top w:val="nil"/>
              <w:left w:val="nil"/>
              <w:bottom w:val="single" w:sz="4" w:space="0" w:color="FFFFFF" w:themeColor="background1"/>
              <w:right w:val="nil"/>
            </w:tcBorders>
            <w:shd w:val="clear" w:color="000000" w:fill="D0E0E3"/>
            <w:noWrap/>
            <w:vAlign w:val="center"/>
            <w:hideMark/>
          </w:tcPr>
          <w:p w14:paraId="238A1A79" w14:textId="77777777" w:rsidR="00D34FAC" w:rsidRPr="002811A8" w:rsidRDefault="00D34FAC" w:rsidP="00D34FAC">
            <w:pPr>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Passivo</w:t>
            </w:r>
          </w:p>
        </w:tc>
        <w:tc>
          <w:tcPr>
            <w:tcW w:w="602" w:type="pct"/>
            <w:tcBorders>
              <w:top w:val="nil"/>
              <w:left w:val="nil"/>
              <w:bottom w:val="single" w:sz="4" w:space="0" w:color="FFFFFF" w:themeColor="background1"/>
              <w:right w:val="nil"/>
            </w:tcBorders>
            <w:shd w:val="clear" w:color="000000" w:fill="D0E0E3"/>
            <w:vAlign w:val="center"/>
            <w:hideMark/>
          </w:tcPr>
          <w:p w14:paraId="042651A1" w14:textId="77777777" w:rsidR="00D34FAC" w:rsidRPr="002811A8" w:rsidRDefault="00D352D0" w:rsidP="00D34FAC">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1.986.</w:t>
            </w:r>
            <w:r w:rsidR="00CC5F18" w:rsidRPr="002811A8">
              <w:rPr>
                <w:rFonts w:ascii="CAIXA Std Book" w:eastAsia="Times New Roman" w:hAnsi="CAIXA Std Book" w:cs="Times New Roman"/>
                <w:b/>
                <w:color w:val="005CA9"/>
                <w:sz w:val="16"/>
                <w:szCs w:val="16"/>
              </w:rPr>
              <w:t>161.824</w:t>
            </w:r>
          </w:p>
        </w:tc>
        <w:tc>
          <w:tcPr>
            <w:tcW w:w="558" w:type="pct"/>
            <w:tcBorders>
              <w:top w:val="nil"/>
              <w:left w:val="nil"/>
              <w:bottom w:val="single" w:sz="4" w:space="0" w:color="FFFFFF" w:themeColor="background1"/>
              <w:right w:val="nil"/>
            </w:tcBorders>
            <w:shd w:val="clear" w:color="000000" w:fill="D0E0E3"/>
            <w:vAlign w:val="center"/>
            <w:hideMark/>
          </w:tcPr>
          <w:p w14:paraId="4D162D68" w14:textId="77777777" w:rsidR="00D34FAC" w:rsidRPr="002811A8" w:rsidRDefault="00EF0795" w:rsidP="00D34FAC">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1.698.573.911</w:t>
            </w:r>
          </w:p>
        </w:tc>
        <w:tc>
          <w:tcPr>
            <w:tcW w:w="414" w:type="pct"/>
            <w:tcBorders>
              <w:top w:val="nil"/>
              <w:left w:val="nil"/>
              <w:bottom w:val="single" w:sz="4" w:space="0" w:color="FFFFFF" w:themeColor="background1"/>
              <w:right w:val="nil"/>
            </w:tcBorders>
            <w:shd w:val="clear" w:color="000000" w:fill="D0E0E3"/>
            <w:vAlign w:val="center"/>
            <w:hideMark/>
          </w:tcPr>
          <w:p w14:paraId="66D8D728" w14:textId="77777777" w:rsidR="00D34FAC" w:rsidRPr="002811A8" w:rsidRDefault="00047239" w:rsidP="00D34FAC">
            <w:pPr>
              <w:jc w:val="center"/>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w:t>
            </w:r>
          </w:p>
        </w:tc>
        <w:tc>
          <w:tcPr>
            <w:tcW w:w="471" w:type="pct"/>
            <w:tcBorders>
              <w:top w:val="nil"/>
              <w:left w:val="nil"/>
              <w:bottom w:val="single" w:sz="4" w:space="0" w:color="FFFFFF" w:themeColor="background1"/>
              <w:right w:val="nil"/>
            </w:tcBorders>
            <w:shd w:val="clear" w:color="000000" w:fill="D0E0E3"/>
            <w:vAlign w:val="center"/>
            <w:hideMark/>
          </w:tcPr>
          <w:p w14:paraId="27C2F459" w14:textId="77777777" w:rsidR="00D34FAC" w:rsidRPr="002811A8" w:rsidRDefault="00EF0795" w:rsidP="00D34FAC">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945.899.526</w:t>
            </w:r>
          </w:p>
        </w:tc>
        <w:tc>
          <w:tcPr>
            <w:tcW w:w="414" w:type="pct"/>
            <w:tcBorders>
              <w:top w:val="nil"/>
              <w:left w:val="nil"/>
              <w:bottom w:val="single" w:sz="4" w:space="0" w:color="FFFFFF" w:themeColor="background1"/>
              <w:right w:val="nil"/>
            </w:tcBorders>
            <w:shd w:val="clear" w:color="000000" w:fill="D0E0E3"/>
            <w:vAlign w:val="center"/>
            <w:hideMark/>
          </w:tcPr>
          <w:p w14:paraId="7D24B380" w14:textId="77777777" w:rsidR="00D34FAC" w:rsidRPr="002811A8" w:rsidRDefault="00D352D0" w:rsidP="00D34FAC">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752.</w:t>
            </w:r>
            <w:r w:rsidR="00EF0795" w:rsidRPr="002811A8">
              <w:rPr>
                <w:rFonts w:ascii="CAIXA Std Book" w:eastAsia="Times New Roman" w:hAnsi="CAIXA Std Book" w:cs="Times New Roman"/>
                <w:b/>
                <w:color w:val="005CA9"/>
                <w:sz w:val="16"/>
                <w:szCs w:val="16"/>
              </w:rPr>
              <w:t>674.385</w:t>
            </w:r>
          </w:p>
        </w:tc>
      </w:tr>
      <w:tr w:rsidR="000C1815" w:rsidRPr="00A33BC3" w14:paraId="4477748D" w14:textId="77777777" w:rsidTr="0096727B">
        <w:trPr>
          <w:trHeight w:val="272"/>
        </w:trPr>
        <w:tc>
          <w:tcPr>
            <w:tcW w:w="2541" w:type="pct"/>
            <w:tcBorders>
              <w:top w:val="single" w:sz="4" w:space="0" w:color="FFFFFF" w:themeColor="background1"/>
              <w:left w:val="nil"/>
              <w:right w:val="nil"/>
            </w:tcBorders>
            <w:shd w:val="clear" w:color="000000" w:fill="D0E0E3"/>
            <w:noWrap/>
            <w:vAlign w:val="center"/>
            <w:hideMark/>
          </w:tcPr>
          <w:p w14:paraId="214B473E" w14:textId="77777777" w:rsidR="00C55316" w:rsidRPr="002811A8" w:rsidRDefault="00C55316" w:rsidP="00C55316">
            <w:pPr>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Passivos financeiros ao valor justo por meio do resultado</w:t>
            </w:r>
          </w:p>
        </w:tc>
        <w:tc>
          <w:tcPr>
            <w:tcW w:w="602" w:type="pct"/>
            <w:tcBorders>
              <w:top w:val="single" w:sz="4" w:space="0" w:color="FFFFFF" w:themeColor="background1"/>
              <w:left w:val="nil"/>
              <w:right w:val="nil"/>
            </w:tcBorders>
            <w:shd w:val="clear" w:color="000000" w:fill="D0E0E3"/>
            <w:vAlign w:val="center"/>
            <w:hideMark/>
          </w:tcPr>
          <w:p w14:paraId="5FF8E7CB" w14:textId="77777777" w:rsidR="00C55316" w:rsidRPr="002811A8" w:rsidRDefault="00D352D0" w:rsidP="00C55316">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372.406</w:t>
            </w:r>
          </w:p>
        </w:tc>
        <w:tc>
          <w:tcPr>
            <w:tcW w:w="558" w:type="pct"/>
            <w:tcBorders>
              <w:top w:val="single" w:sz="4" w:space="0" w:color="FFFFFF" w:themeColor="background1"/>
              <w:left w:val="nil"/>
              <w:right w:val="nil"/>
            </w:tcBorders>
            <w:shd w:val="clear" w:color="000000" w:fill="D0E0E3"/>
            <w:vAlign w:val="center"/>
            <w:hideMark/>
          </w:tcPr>
          <w:p w14:paraId="6AE14184" w14:textId="77777777" w:rsidR="00C55316" w:rsidRPr="002811A8" w:rsidRDefault="00EF0795" w:rsidP="00C55316">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372.342</w:t>
            </w:r>
          </w:p>
        </w:tc>
        <w:tc>
          <w:tcPr>
            <w:tcW w:w="414" w:type="pct"/>
            <w:tcBorders>
              <w:top w:val="single" w:sz="4" w:space="0" w:color="FFFFFF" w:themeColor="background1"/>
              <w:left w:val="nil"/>
              <w:right w:val="nil"/>
            </w:tcBorders>
            <w:shd w:val="clear" w:color="000000" w:fill="D0E0E3"/>
            <w:vAlign w:val="center"/>
            <w:hideMark/>
          </w:tcPr>
          <w:p w14:paraId="5E9B5EEF" w14:textId="77777777" w:rsidR="00C55316" w:rsidRPr="002811A8" w:rsidRDefault="00047239" w:rsidP="00C55316">
            <w:pPr>
              <w:jc w:val="center"/>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w:t>
            </w:r>
          </w:p>
        </w:tc>
        <w:tc>
          <w:tcPr>
            <w:tcW w:w="471" w:type="pct"/>
            <w:tcBorders>
              <w:top w:val="single" w:sz="4" w:space="0" w:color="FFFFFF" w:themeColor="background1"/>
              <w:left w:val="nil"/>
              <w:right w:val="nil"/>
            </w:tcBorders>
            <w:shd w:val="clear" w:color="000000" w:fill="D0E0E3"/>
            <w:vAlign w:val="center"/>
            <w:hideMark/>
          </w:tcPr>
          <w:p w14:paraId="0995EBF1" w14:textId="77777777" w:rsidR="00C55316" w:rsidRPr="002811A8" w:rsidRDefault="00EF0795" w:rsidP="00EF2308">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372.342</w:t>
            </w:r>
          </w:p>
        </w:tc>
        <w:tc>
          <w:tcPr>
            <w:tcW w:w="414" w:type="pct"/>
            <w:tcBorders>
              <w:top w:val="single" w:sz="4" w:space="0" w:color="FFFFFF" w:themeColor="background1"/>
              <w:left w:val="nil"/>
              <w:right w:val="nil"/>
            </w:tcBorders>
            <w:shd w:val="clear" w:color="000000" w:fill="D0E0E3"/>
            <w:vAlign w:val="center"/>
            <w:hideMark/>
          </w:tcPr>
          <w:p w14:paraId="57892C5B" w14:textId="77777777" w:rsidR="00C55316" w:rsidRPr="002811A8" w:rsidRDefault="00047239" w:rsidP="00C55316">
            <w:pPr>
              <w:jc w:val="center"/>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w:t>
            </w:r>
          </w:p>
        </w:tc>
      </w:tr>
      <w:tr w:rsidR="000C1815" w:rsidRPr="00A33BC3" w14:paraId="3CB5F304" w14:textId="77777777" w:rsidTr="0096727B">
        <w:trPr>
          <w:trHeight w:val="272"/>
        </w:trPr>
        <w:tc>
          <w:tcPr>
            <w:tcW w:w="2541" w:type="pct"/>
            <w:tcBorders>
              <w:top w:val="nil"/>
              <w:left w:val="nil"/>
              <w:right w:val="nil"/>
            </w:tcBorders>
            <w:noWrap/>
            <w:vAlign w:val="center"/>
            <w:hideMark/>
          </w:tcPr>
          <w:p w14:paraId="35BF28BA" w14:textId="77777777" w:rsidR="00C55316" w:rsidRPr="002811A8" w:rsidRDefault="00C55316" w:rsidP="00C55316">
            <w:pPr>
              <w:ind w:firstLineChars="100" w:firstLine="160"/>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Instrumentos financeiros derivativos</w:t>
            </w:r>
          </w:p>
        </w:tc>
        <w:tc>
          <w:tcPr>
            <w:tcW w:w="602" w:type="pct"/>
            <w:tcBorders>
              <w:top w:val="nil"/>
              <w:left w:val="nil"/>
              <w:right w:val="nil"/>
            </w:tcBorders>
            <w:vAlign w:val="center"/>
            <w:hideMark/>
          </w:tcPr>
          <w:p w14:paraId="018A49CE"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372.406</w:t>
            </w:r>
          </w:p>
        </w:tc>
        <w:tc>
          <w:tcPr>
            <w:tcW w:w="558" w:type="pct"/>
            <w:tcBorders>
              <w:top w:val="nil"/>
              <w:left w:val="nil"/>
              <w:right w:val="nil"/>
            </w:tcBorders>
            <w:vAlign w:val="center"/>
            <w:hideMark/>
          </w:tcPr>
          <w:p w14:paraId="313E1C55" w14:textId="77777777" w:rsidR="00C55316" w:rsidRPr="002811A8" w:rsidRDefault="00EF0795"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372.342</w:t>
            </w:r>
          </w:p>
        </w:tc>
        <w:tc>
          <w:tcPr>
            <w:tcW w:w="414" w:type="pct"/>
            <w:tcBorders>
              <w:top w:val="nil"/>
              <w:left w:val="nil"/>
              <w:right w:val="nil"/>
            </w:tcBorders>
            <w:noWrap/>
            <w:vAlign w:val="center"/>
            <w:hideMark/>
          </w:tcPr>
          <w:p w14:paraId="36D1C112"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c>
          <w:tcPr>
            <w:tcW w:w="471" w:type="pct"/>
            <w:tcBorders>
              <w:top w:val="nil"/>
              <w:left w:val="nil"/>
              <w:right w:val="nil"/>
            </w:tcBorders>
            <w:vAlign w:val="center"/>
            <w:hideMark/>
          </w:tcPr>
          <w:p w14:paraId="27E8ACDD" w14:textId="77777777" w:rsidR="00C55316" w:rsidRPr="002811A8" w:rsidRDefault="00EF0795" w:rsidP="00EF2308">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372.342</w:t>
            </w:r>
          </w:p>
        </w:tc>
        <w:tc>
          <w:tcPr>
            <w:tcW w:w="414" w:type="pct"/>
            <w:tcBorders>
              <w:top w:val="nil"/>
              <w:left w:val="nil"/>
              <w:right w:val="nil"/>
            </w:tcBorders>
            <w:noWrap/>
            <w:vAlign w:val="center"/>
            <w:hideMark/>
          </w:tcPr>
          <w:p w14:paraId="243C69DC"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r>
      <w:tr w:rsidR="000C1815" w:rsidRPr="00A33BC3" w14:paraId="6F73D23F" w14:textId="77777777" w:rsidTr="0096727B">
        <w:trPr>
          <w:trHeight w:val="272"/>
        </w:trPr>
        <w:tc>
          <w:tcPr>
            <w:tcW w:w="2541" w:type="pct"/>
            <w:tcBorders>
              <w:left w:val="nil"/>
              <w:bottom w:val="nil"/>
              <w:right w:val="nil"/>
            </w:tcBorders>
            <w:shd w:val="clear" w:color="000000" w:fill="D0E0E3"/>
            <w:noWrap/>
            <w:vAlign w:val="center"/>
            <w:hideMark/>
          </w:tcPr>
          <w:p w14:paraId="2B38AEFB" w14:textId="77777777" w:rsidR="00E61D7B" w:rsidRPr="002811A8" w:rsidRDefault="00E61D7B" w:rsidP="00E61D7B">
            <w:pPr>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Passivos financeiros ao custo amortizado</w:t>
            </w:r>
          </w:p>
        </w:tc>
        <w:tc>
          <w:tcPr>
            <w:tcW w:w="602" w:type="pct"/>
            <w:tcBorders>
              <w:left w:val="nil"/>
              <w:bottom w:val="nil"/>
              <w:right w:val="nil"/>
            </w:tcBorders>
            <w:shd w:val="clear" w:color="000000" w:fill="D0E0E3"/>
            <w:vAlign w:val="center"/>
            <w:hideMark/>
          </w:tcPr>
          <w:p w14:paraId="389D9472" w14:textId="77777777" w:rsidR="00E61D7B" w:rsidRPr="002811A8" w:rsidRDefault="00D352D0" w:rsidP="00E61D7B">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1.985.</w:t>
            </w:r>
            <w:r w:rsidR="00CC5F18" w:rsidRPr="002811A8">
              <w:rPr>
                <w:rFonts w:ascii="CAIXA Std Book" w:eastAsia="Times New Roman" w:hAnsi="CAIXA Std Book" w:cs="Times New Roman"/>
                <w:b/>
                <w:color w:val="005CA9"/>
                <w:sz w:val="16"/>
                <w:szCs w:val="16"/>
              </w:rPr>
              <w:t>789.418</w:t>
            </w:r>
          </w:p>
        </w:tc>
        <w:tc>
          <w:tcPr>
            <w:tcW w:w="558" w:type="pct"/>
            <w:tcBorders>
              <w:left w:val="nil"/>
              <w:bottom w:val="nil"/>
              <w:right w:val="nil"/>
            </w:tcBorders>
            <w:shd w:val="clear" w:color="000000" w:fill="D0E0E3"/>
            <w:vAlign w:val="center"/>
            <w:hideMark/>
          </w:tcPr>
          <w:p w14:paraId="1054BB46" w14:textId="77777777" w:rsidR="00E61D7B" w:rsidRPr="002811A8" w:rsidRDefault="00D352D0" w:rsidP="00E61D7B">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1.698.</w:t>
            </w:r>
            <w:r w:rsidR="00EF0795" w:rsidRPr="002811A8">
              <w:rPr>
                <w:rFonts w:ascii="CAIXA Std Book" w:eastAsia="Times New Roman" w:hAnsi="CAIXA Std Book" w:cs="Times New Roman"/>
                <w:b/>
                <w:color w:val="005CA9"/>
                <w:sz w:val="16"/>
                <w:szCs w:val="16"/>
              </w:rPr>
              <w:t>201.569</w:t>
            </w:r>
          </w:p>
        </w:tc>
        <w:tc>
          <w:tcPr>
            <w:tcW w:w="414" w:type="pct"/>
            <w:tcBorders>
              <w:left w:val="nil"/>
              <w:bottom w:val="nil"/>
              <w:right w:val="nil"/>
            </w:tcBorders>
            <w:shd w:val="clear" w:color="000000" w:fill="D0E0E3"/>
            <w:vAlign w:val="center"/>
            <w:hideMark/>
          </w:tcPr>
          <w:p w14:paraId="1DA12873" w14:textId="77777777" w:rsidR="00E61D7B" w:rsidRPr="002811A8" w:rsidRDefault="00047239" w:rsidP="00E61D7B">
            <w:pPr>
              <w:jc w:val="center"/>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w:t>
            </w:r>
          </w:p>
        </w:tc>
        <w:tc>
          <w:tcPr>
            <w:tcW w:w="471" w:type="pct"/>
            <w:tcBorders>
              <w:left w:val="nil"/>
              <w:bottom w:val="nil"/>
              <w:right w:val="nil"/>
            </w:tcBorders>
            <w:shd w:val="clear" w:color="000000" w:fill="D0E0E3"/>
            <w:vAlign w:val="center"/>
            <w:hideMark/>
          </w:tcPr>
          <w:p w14:paraId="4A998A36" w14:textId="77777777" w:rsidR="00E61D7B" w:rsidRPr="002811A8" w:rsidRDefault="00D352D0" w:rsidP="00E61D7B">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945.527.184</w:t>
            </w:r>
          </w:p>
        </w:tc>
        <w:tc>
          <w:tcPr>
            <w:tcW w:w="414" w:type="pct"/>
            <w:tcBorders>
              <w:left w:val="nil"/>
              <w:bottom w:val="nil"/>
              <w:right w:val="nil"/>
            </w:tcBorders>
            <w:shd w:val="clear" w:color="000000" w:fill="D0E0E3"/>
            <w:vAlign w:val="center"/>
            <w:hideMark/>
          </w:tcPr>
          <w:p w14:paraId="7F580990" w14:textId="77777777" w:rsidR="00E61D7B" w:rsidRPr="002811A8" w:rsidRDefault="00D352D0" w:rsidP="00E61D7B">
            <w:pPr>
              <w:jc w:val="right"/>
              <w:rPr>
                <w:rFonts w:ascii="CAIXA Std Book" w:eastAsia="Times New Roman" w:hAnsi="CAIXA Std Book" w:cs="Times New Roman"/>
                <w:b/>
                <w:color w:val="005CA9"/>
                <w:sz w:val="16"/>
                <w:szCs w:val="16"/>
              </w:rPr>
            </w:pPr>
            <w:r w:rsidRPr="002811A8">
              <w:rPr>
                <w:rFonts w:ascii="CAIXA Std Book" w:eastAsia="Times New Roman" w:hAnsi="CAIXA Std Book" w:cs="Times New Roman"/>
                <w:b/>
                <w:color w:val="005CA9"/>
                <w:sz w:val="16"/>
                <w:szCs w:val="16"/>
              </w:rPr>
              <w:t>752.</w:t>
            </w:r>
            <w:r w:rsidR="00EF0795" w:rsidRPr="002811A8">
              <w:rPr>
                <w:rFonts w:ascii="CAIXA Std Book" w:eastAsia="Times New Roman" w:hAnsi="CAIXA Std Book" w:cs="Times New Roman"/>
                <w:b/>
                <w:color w:val="005CA9"/>
                <w:sz w:val="16"/>
                <w:szCs w:val="16"/>
              </w:rPr>
              <w:t>674.385</w:t>
            </w:r>
          </w:p>
        </w:tc>
      </w:tr>
      <w:tr w:rsidR="000C1815" w:rsidRPr="00A33BC3" w14:paraId="78CE5F0D" w14:textId="77777777" w:rsidTr="00BC00DB">
        <w:trPr>
          <w:trHeight w:val="272"/>
        </w:trPr>
        <w:tc>
          <w:tcPr>
            <w:tcW w:w="2541" w:type="pct"/>
            <w:tcBorders>
              <w:top w:val="nil"/>
              <w:left w:val="nil"/>
              <w:bottom w:val="nil"/>
              <w:right w:val="nil"/>
            </w:tcBorders>
            <w:noWrap/>
            <w:vAlign w:val="center"/>
            <w:hideMark/>
          </w:tcPr>
          <w:p w14:paraId="49559B52" w14:textId="77777777" w:rsidR="00C55316" w:rsidRPr="002811A8" w:rsidRDefault="00C55316" w:rsidP="00C55316">
            <w:pPr>
              <w:ind w:firstLineChars="100" w:firstLine="160"/>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Recursos de clientes</w:t>
            </w:r>
          </w:p>
        </w:tc>
        <w:tc>
          <w:tcPr>
            <w:tcW w:w="602" w:type="pct"/>
            <w:tcBorders>
              <w:top w:val="nil"/>
              <w:left w:val="nil"/>
              <w:bottom w:val="nil"/>
              <w:right w:val="nil"/>
            </w:tcBorders>
            <w:vAlign w:val="center"/>
            <w:hideMark/>
          </w:tcPr>
          <w:p w14:paraId="743469EF"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821.343.025</w:t>
            </w:r>
          </w:p>
        </w:tc>
        <w:tc>
          <w:tcPr>
            <w:tcW w:w="558" w:type="pct"/>
            <w:tcBorders>
              <w:top w:val="nil"/>
              <w:left w:val="nil"/>
              <w:bottom w:val="nil"/>
              <w:right w:val="nil"/>
            </w:tcBorders>
            <w:vAlign w:val="center"/>
            <w:hideMark/>
          </w:tcPr>
          <w:p w14:paraId="19D0EB2A"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752.</w:t>
            </w:r>
            <w:r w:rsidR="00EF0795" w:rsidRPr="002811A8">
              <w:rPr>
                <w:rFonts w:ascii="CAIXA Std Book" w:eastAsia="Times New Roman" w:hAnsi="CAIXA Std Book" w:cs="Times New Roman"/>
                <w:color w:val="005CA9"/>
                <w:sz w:val="16"/>
                <w:szCs w:val="16"/>
              </w:rPr>
              <w:t>674.385</w:t>
            </w:r>
          </w:p>
        </w:tc>
        <w:tc>
          <w:tcPr>
            <w:tcW w:w="414" w:type="pct"/>
            <w:tcBorders>
              <w:top w:val="nil"/>
              <w:left w:val="nil"/>
              <w:bottom w:val="nil"/>
              <w:right w:val="nil"/>
            </w:tcBorders>
            <w:noWrap/>
            <w:vAlign w:val="center"/>
            <w:hideMark/>
          </w:tcPr>
          <w:p w14:paraId="7EDA6F1D"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c>
          <w:tcPr>
            <w:tcW w:w="471" w:type="pct"/>
            <w:tcBorders>
              <w:top w:val="nil"/>
              <w:left w:val="nil"/>
              <w:bottom w:val="nil"/>
              <w:right w:val="nil"/>
            </w:tcBorders>
            <w:noWrap/>
            <w:vAlign w:val="center"/>
            <w:hideMark/>
          </w:tcPr>
          <w:p w14:paraId="1CE5A8F8"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c>
          <w:tcPr>
            <w:tcW w:w="414" w:type="pct"/>
            <w:tcBorders>
              <w:top w:val="nil"/>
              <w:left w:val="nil"/>
              <w:bottom w:val="nil"/>
              <w:right w:val="nil"/>
            </w:tcBorders>
            <w:noWrap/>
            <w:vAlign w:val="center"/>
            <w:hideMark/>
          </w:tcPr>
          <w:p w14:paraId="318FE845"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752.</w:t>
            </w:r>
            <w:r w:rsidR="00EF0795" w:rsidRPr="002811A8">
              <w:rPr>
                <w:rFonts w:ascii="CAIXA Std Book" w:eastAsia="Times New Roman" w:hAnsi="CAIXA Std Book" w:cs="Times New Roman"/>
                <w:color w:val="005CA9"/>
                <w:sz w:val="16"/>
                <w:szCs w:val="16"/>
              </w:rPr>
              <w:t>674.385</w:t>
            </w:r>
          </w:p>
        </w:tc>
      </w:tr>
      <w:tr w:rsidR="000C1815" w:rsidRPr="00A33BC3" w14:paraId="3675E8E0" w14:textId="77777777" w:rsidTr="00BC00DB">
        <w:trPr>
          <w:trHeight w:val="272"/>
        </w:trPr>
        <w:tc>
          <w:tcPr>
            <w:tcW w:w="2541" w:type="pct"/>
            <w:tcBorders>
              <w:top w:val="nil"/>
              <w:left w:val="nil"/>
              <w:bottom w:val="nil"/>
              <w:right w:val="nil"/>
            </w:tcBorders>
            <w:noWrap/>
            <w:vAlign w:val="center"/>
            <w:hideMark/>
          </w:tcPr>
          <w:p w14:paraId="20217A93" w14:textId="77777777" w:rsidR="00C55316" w:rsidRPr="002811A8" w:rsidRDefault="00C55316" w:rsidP="00C55316">
            <w:pPr>
              <w:ind w:firstLineChars="100" w:firstLine="160"/>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Recursos de instituições financeiras e outras</w:t>
            </w:r>
          </w:p>
        </w:tc>
        <w:tc>
          <w:tcPr>
            <w:tcW w:w="602" w:type="pct"/>
            <w:tcBorders>
              <w:top w:val="nil"/>
              <w:left w:val="nil"/>
              <w:bottom w:val="nil"/>
              <w:right w:val="nil"/>
            </w:tcBorders>
            <w:vAlign w:val="center"/>
            <w:hideMark/>
          </w:tcPr>
          <w:p w14:paraId="3F680ED4" w14:textId="77777777" w:rsidR="00C55316" w:rsidRPr="002811A8" w:rsidRDefault="00CC5F18"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791.926.312</w:t>
            </w:r>
          </w:p>
        </w:tc>
        <w:tc>
          <w:tcPr>
            <w:tcW w:w="558" w:type="pct"/>
            <w:tcBorders>
              <w:top w:val="nil"/>
              <w:left w:val="nil"/>
              <w:bottom w:val="nil"/>
              <w:right w:val="nil"/>
            </w:tcBorders>
            <w:vAlign w:val="center"/>
            <w:hideMark/>
          </w:tcPr>
          <w:p w14:paraId="160DA20D"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577.166.444</w:t>
            </w:r>
          </w:p>
        </w:tc>
        <w:tc>
          <w:tcPr>
            <w:tcW w:w="414" w:type="pct"/>
            <w:tcBorders>
              <w:top w:val="nil"/>
              <w:left w:val="nil"/>
              <w:bottom w:val="nil"/>
              <w:right w:val="nil"/>
            </w:tcBorders>
            <w:noWrap/>
            <w:vAlign w:val="center"/>
            <w:hideMark/>
          </w:tcPr>
          <w:p w14:paraId="240E87B1"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c>
          <w:tcPr>
            <w:tcW w:w="471" w:type="pct"/>
            <w:tcBorders>
              <w:top w:val="nil"/>
              <w:left w:val="nil"/>
              <w:bottom w:val="nil"/>
              <w:right w:val="nil"/>
            </w:tcBorders>
            <w:noWrap/>
            <w:vAlign w:val="center"/>
            <w:hideMark/>
          </w:tcPr>
          <w:p w14:paraId="5C786944"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577.166.444</w:t>
            </w:r>
          </w:p>
        </w:tc>
        <w:tc>
          <w:tcPr>
            <w:tcW w:w="414" w:type="pct"/>
            <w:tcBorders>
              <w:top w:val="nil"/>
              <w:left w:val="nil"/>
              <w:bottom w:val="nil"/>
              <w:right w:val="nil"/>
            </w:tcBorders>
            <w:noWrap/>
            <w:vAlign w:val="center"/>
            <w:hideMark/>
          </w:tcPr>
          <w:p w14:paraId="126B38FC"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r>
      <w:tr w:rsidR="000C1815" w:rsidRPr="00A33BC3" w14:paraId="4D9D0D5E" w14:textId="77777777" w:rsidTr="00BC00DB">
        <w:trPr>
          <w:trHeight w:val="272"/>
        </w:trPr>
        <w:tc>
          <w:tcPr>
            <w:tcW w:w="2541" w:type="pct"/>
            <w:tcBorders>
              <w:top w:val="nil"/>
              <w:left w:val="nil"/>
              <w:bottom w:val="nil"/>
              <w:right w:val="nil"/>
            </w:tcBorders>
            <w:noWrap/>
            <w:vAlign w:val="center"/>
            <w:hideMark/>
          </w:tcPr>
          <w:p w14:paraId="64739E3B" w14:textId="77777777" w:rsidR="00E61D7B" w:rsidRPr="002811A8" w:rsidRDefault="00E61D7B" w:rsidP="00E61D7B">
            <w:pPr>
              <w:ind w:firstLineChars="100" w:firstLine="160"/>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Recursos de emissões de títulos e valores mobiliários</w:t>
            </w:r>
          </w:p>
        </w:tc>
        <w:tc>
          <w:tcPr>
            <w:tcW w:w="602" w:type="pct"/>
            <w:tcBorders>
              <w:top w:val="nil"/>
              <w:left w:val="nil"/>
              <w:bottom w:val="nil"/>
              <w:right w:val="nil"/>
            </w:tcBorders>
            <w:vAlign w:val="center"/>
            <w:hideMark/>
          </w:tcPr>
          <w:p w14:paraId="428A3ADD" w14:textId="77777777" w:rsidR="00E61D7B" w:rsidRPr="002811A8" w:rsidRDefault="00D352D0" w:rsidP="00E61D7B">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336.405.906</w:t>
            </w:r>
          </w:p>
        </w:tc>
        <w:tc>
          <w:tcPr>
            <w:tcW w:w="558" w:type="pct"/>
            <w:tcBorders>
              <w:top w:val="nil"/>
              <w:left w:val="nil"/>
              <w:bottom w:val="nil"/>
              <w:right w:val="nil"/>
            </w:tcBorders>
            <w:vAlign w:val="center"/>
            <w:hideMark/>
          </w:tcPr>
          <w:p w14:paraId="4C010CAC" w14:textId="77777777" w:rsidR="00E61D7B" w:rsidRPr="002811A8" w:rsidRDefault="00D352D0" w:rsidP="00E61D7B">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332.246.565</w:t>
            </w:r>
          </w:p>
        </w:tc>
        <w:tc>
          <w:tcPr>
            <w:tcW w:w="414" w:type="pct"/>
            <w:tcBorders>
              <w:top w:val="nil"/>
              <w:left w:val="nil"/>
              <w:bottom w:val="nil"/>
              <w:right w:val="nil"/>
            </w:tcBorders>
            <w:noWrap/>
            <w:vAlign w:val="center"/>
            <w:hideMark/>
          </w:tcPr>
          <w:p w14:paraId="5F4FFAE6" w14:textId="77777777" w:rsidR="00E61D7B" w:rsidRPr="002811A8" w:rsidRDefault="00047239" w:rsidP="00E61D7B">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c>
          <w:tcPr>
            <w:tcW w:w="471" w:type="pct"/>
            <w:tcBorders>
              <w:top w:val="nil"/>
              <w:left w:val="nil"/>
              <w:bottom w:val="nil"/>
              <w:right w:val="nil"/>
            </w:tcBorders>
            <w:noWrap/>
            <w:vAlign w:val="center"/>
            <w:hideMark/>
          </w:tcPr>
          <w:p w14:paraId="1A593049" w14:textId="77777777" w:rsidR="00E61D7B" w:rsidRPr="002811A8" w:rsidRDefault="00D352D0" w:rsidP="00E61D7B">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332.246.565</w:t>
            </w:r>
          </w:p>
        </w:tc>
        <w:tc>
          <w:tcPr>
            <w:tcW w:w="414" w:type="pct"/>
            <w:tcBorders>
              <w:top w:val="nil"/>
              <w:left w:val="nil"/>
              <w:bottom w:val="nil"/>
              <w:right w:val="nil"/>
            </w:tcBorders>
            <w:noWrap/>
            <w:vAlign w:val="center"/>
            <w:hideMark/>
          </w:tcPr>
          <w:p w14:paraId="6A9E151E" w14:textId="77777777" w:rsidR="00E61D7B" w:rsidRPr="002811A8" w:rsidRDefault="00047239" w:rsidP="00E61D7B">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r>
      <w:tr w:rsidR="000C1815" w:rsidRPr="00A33BC3" w14:paraId="1E6CF6C4" w14:textId="77777777" w:rsidTr="00BC00DB">
        <w:trPr>
          <w:trHeight w:val="272"/>
        </w:trPr>
        <w:tc>
          <w:tcPr>
            <w:tcW w:w="2541" w:type="pct"/>
            <w:tcBorders>
              <w:top w:val="nil"/>
              <w:left w:val="nil"/>
              <w:bottom w:val="single" w:sz="4" w:space="0" w:color="005CA9"/>
              <w:right w:val="nil"/>
            </w:tcBorders>
            <w:noWrap/>
            <w:vAlign w:val="center"/>
            <w:hideMark/>
          </w:tcPr>
          <w:p w14:paraId="1D16B773" w14:textId="77777777" w:rsidR="00C55316" w:rsidRPr="002811A8" w:rsidRDefault="00C55316" w:rsidP="00C55316">
            <w:pPr>
              <w:ind w:firstLineChars="100" w:firstLine="160"/>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Outros passivos financeiros</w:t>
            </w:r>
          </w:p>
        </w:tc>
        <w:tc>
          <w:tcPr>
            <w:tcW w:w="602" w:type="pct"/>
            <w:tcBorders>
              <w:top w:val="nil"/>
              <w:left w:val="nil"/>
              <w:bottom w:val="single" w:sz="4" w:space="0" w:color="005CA9"/>
              <w:right w:val="nil"/>
            </w:tcBorders>
            <w:vAlign w:val="center"/>
            <w:hideMark/>
          </w:tcPr>
          <w:p w14:paraId="0B888AA0"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36.114.175</w:t>
            </w:r>
          </w:p>
        </w:tc>
        <w:tc>
          <w:tcPr>
            <w:tcW w:w="558" w:type="pct"/>
            <w:tcBorders>
              <w:top w:val="nil"/>
              <w:left w:val="nil"/>
              <w:bottom w:val="single" w:sz="4" w:space="0" w:color="005CA9"/>
              <w:right w:val="nil"/>
            </w:tcBorders>
            <w:vAlign w:val="center"/>
            <w:hideMark/>
          </w:tcPr>
          <w:p w14:paraId="103AD96B"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36.114.175</w:t>
            </w:r>
          </w:p>
        </w:tc>
        <w:tc>
          <w:tcPr>
            <w:tcW w:w="414" w:type="pct"/>
            <w:tcBorders>
              <w:top w:val="nil"/>
              <w:left w:val="nil"/>
              <w:bottom w:val="single" w:sz="4" w:space="0" w:color="005CA9"/>
              <w:right w:val="nil"/>
            </w:tcBorders>
            <w:noWrap/>
            <w:vAlign w:val="center"/>
            <w:hideMark/>
          </w:tcPr>
          <w:p w14:paraId="3CB3A7AD"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c>
          <w:tcPr>
            <w:tcW w:w="471" w:type="pct"/>
            <w:tcBorders>
              <w:top w:val="nil"/>
              <w:left w:val="nil"/>
              <w:bottom w:val="single" w:sz="4" w:space="0" w:color="005CA9"/>
              <w:right w:val="nil"/>
            </w:tcBorders>
            <w:vAlign w:val="center"/>
            <w:hideMark/>
          </w:tcPr>
          <w:p w14:paraId="53346E77" w14:textId="77777777" w:rsidR="00C55316" w:rsidRPr="002811A8" w:rsidRDefault="00D352D0" w:rsidP="00C55316">
            <w:pPr>
              <w:jc w:val="right"/>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36.114.175</w:t>
            </w:r>
          </w:p>
        </w:tc>
        <w:tc>
          <w:tcPr>
            <w:tcW w:w="414" w:type="pct"/>
            <w:tcBorders>
              <w:top w:val="nil"/>
              <w:left w:val="nil"/>
              <w:bottom w:val="single" w:sz="4" w:space="0" w:color="005CA9"/>
              <w:right w:val="nil"/>
            </w:tcBorders>
            <w:noWrap/>
            <w:vAlign w:val="center"/>
            <w:hideMark/>
          </w:tcPr>
          <w:p w14:paraId="1D7EA42C" w14:textId="77777777" w:rsidR="00C55316" w:rsidRPr="002811A8" w:rsidRDefault="00047239" w:rsidP="00C55316">
            <w:pPr>
              <w:jc w:val="center"/>
              <w:rPr>
                <w:rFonts w:ascii="CAIXA Std Book" w:eastAsia="Times New Roman" w:hAnsi="CAIXA Std Book" w:cs="Times New Roman"/>
                <w:color w:val="005CA9"/>
                <w:sz w:val="16"/>
                <w:szCs w:val="16"/>
              </w:rPr>
            </w:pPr>
            <w:r w:rsidRPr="002811A8">
              <w:rPr>
                <w:rFonts w:ascii="CAIXA Std Book" w:eastAsia="Times New Roman" w:hAnsi="CAIXA Std Book" w:cs="Times New Roman"/>
                <w:color w:val="005CA9"/>
                <w:sz w:val="16"/>
                <w:szCs w:val="16"/>
              </w:rPr>
              <w:t>-</w:t>
            </w:r>
          </w:p>
        </w:tc>
      </w:tr>
    </w:tbl>
    <w:p w14:paraId="6CDF2769" w14:textId="13024BA6" w:rsidR="004A6285" w:rsidRDefault="004A6285"/>
    <w:p w14:paraId="5A1CD4E1" w14:textId="77777777" w:rsidR="00117984" w:rsidRDefault="00117984">
      <w:r>
        <w:br w:type="page"/>
      </w:r>
    </w:p>
    <w:p w14:paraId="56D4AFE1" w14:textId="75D9B358" w:rsidR="00911F07" w:rsidRPr="00A75D67" w:rsidRDefault="0003401D" w:rsidP="00295657">
      <w:pPr>
        <w:pStyle w:val="PargrafodaLista"/>
        <w:numPr>
          <w:ilvl w:val="0"/>
          <w:numId w:val="43"/>
        </w:numPr>
        <w:spacing w:before="240" w:after="240"/>
        <w:ind w:left="567" w:hanging="567"/>
        <w:jc w:val="both"/>
        <w:rPr>
          <w:rFonts w:ascii="CAIXA Std Book" w:eastAsia="Times New Roman" w:hAnsi="CAIXA Std Book" w:cs="Calibri"/>
          <w:b/>
          <w:bCs/>
          <w:color w:val="005CA9"/>
          <w:sz w:val="20"/>
          <w:szCs w:val="20"/>
        </w:rPr>
      </w:pPr>
      <w:r>
        <w:rPr>
          <w:rFonts w:ascii="CAIXA Std Book" w:eastAsia="Times New Roman" w:hAnsi="CAIXA Std Book" w:cs="Calibri"/>
          <w:b/>
          <w:bCs/>
          <w:color w:val="005CA9"/>
          <w:sz w:val="20"/>
          <w:szCs w:val="20"/>
        </w:rPr>
        <w:t>Movimentação dos a</w:t>
      </w:r>
      <w:r w:rsidR="00B94F23" w:rsidRPr="00A75D67">
        <w:rPr>
          <w:rFonts w:ascii="CAIXA Std Book" w:eastAsia="Times New Roman" w:hAnsi="CAIXA Std Book" w:cs="Calibri"/>
          <w:b/>
          <w:bCs/>
          <w:color w:val="005CA9"/>
          <w:sz w:val="20"/>
          <w:szCs w:val="20"/>
        </w:rPr>
        <w:t xml:space="preserve">tivos </w:t>
      </w:r>
      <w:r w:rsidR="00B82141" w:rsidRPr="00A75D67">
        <w:rPr>
          <w:rFonts w:ascii="CAIXA Std Book" w:eastAsia="Times New Roman" w:hAnsi="CAIXA Std Book" w:cs="Calibri"/>
          <w:b/>
          <w:bCs/>
          <w:color w:val="005CA9"/>
          <w:sz w:val="20"/>
          <w:szCs w:val="20"/>
        </w:rPr>
        <w:t>financeiros mensurados</w:t>
      </w:r>
      <w:r w:rsidR="00D04460">
        <w:rPr>
          <w:rFonts w:ascii="CAIXA Std Book" w:eastAsia="Times New Roman" w:hAnsi="CAIXA Std Book" w:cs="Calibri"/>
          <w:b/>
          <w:bCs/>
          <w:color w:val="005CA9"/>
          <w:sz w:val="20"/>
          <w:szCs w:val="20"/>
        </w:rPr>
        <w:t xml:space="preserve"> a valor justo</w:t>
      </w:r>
      <w:r w:rsidR="00B82141" w:rsidRPr="00A75D67">
        <w:rPr>
          <w:rFonts w:ascii="CAIXA Std Book" w:eastAsia="Times New Roman" w:hAnsi="CAIXA Std Book" w:cs="Calibri"/>
          <w:b/>
          <w:bCs/>
          <w:color w:val="005CA9"/>
          <w:sz w:val="20"/>
          <w:szCs w:val="20"/>
        </w:rPr>
        <w:t xml:space="preserve"> de forma recorrente</w:t>
      </w:r>
      <w:r w:rsidR="00A75D67" w:rsidRPr="00A75D67">
        <w:rPr>
          <w:rFonts w:ascii="CAIXA Std Book" w:eastAsia="Times New Roman" w:hAnsi="CAIXA Std Book" w:cs="Calibri"/>
          <w:b/>
          <w:bCs/>
          <w:color w:val="005CA9"/>
          <w:sz w:val="20"/>
          <w:szCs w:val="20"/>
        </w:rPr>
        <w:t xml:space="preserve"> </w:t>
      </w:r>
      <w:r w:rsidR="00166D3F">
        <w:rPr>
          <w:rFonts w:ascii="CAIXA Std Book" w:eastAsia="Times New Roman" w:hAnsi="CAIXA Std Book" w:cs="Calibri"/>
          <w:b/>
          <w:bCs/>
          <w:color w:val="005CA9"/>
          <w:sz w:val="20"/>
          <w:szCs w:val="20"/>
        </w:rPr>
        <w:t>no</w:t>
      </w:r>
      <w:r w:rsidR="00B94F23" w:rsidRPr="00A75D67">
        <w:rPr>
          <w:rFonts w:ascii="CAIXA Std Book" w:eastAsia="Times New Roman" w:hAnsi="CAIXA Std Book" w:cs="Calibri"/>
          <w:b/>
          <w:bCs/>
          <w:color w:val="005CA9"/>
          <w:sz w:val="20"/>
          <w:szCs w:val="20"/>
        </w:rPr>
        <w:t xml:space="preserve"> nível 3 de hierarquia de valor justo</w:t>
      </w:r>
    </w:p>
    <w:p w14:paraId="149A5F30" w14:textId="77777777" w:rsidR="00117984" w:rsidRPr="00117984" w:rsidRDefault="00117984" w:rsidP="00117984">
      <w:pPr>
        <w:spacing w:after="240"/>
        <w:rPr>
          <w:rFonts w:ascii="CAIXA Std Book" w:eastAsia="Times New Roman" w:hAnsi="CAIXA Std Book" w:cs="Calibri"/>
          <w:color w:val="005CA9"/>
          <w:sz w:val="20"/>
          <w:szCs w:val="20"/>
        </w:rPr>
      </w:pPr>
      <w:r w:rsidRPr="00117984">
        <w:rPr>
          <w:rFonts w:ascii="CAIXA Std Book" w:eastAsia="Times New Roman" w:hAnsi="CAIXA Std Book" w:cs="Calibri"/>
          <w:color w:val="005CA9"/>
          <w:sz w:val="20"/>
          <w:szCs w:val="20"/>
        </w:rPr>
        <w:t>Não houve transferência entre o nível 1 e o nível 2 no período. Para os ativos avaliados no Nível 3, os ganhos, perdas, transferências entre os níveis e o efeito das mensurações estão descritas no quadro abaixo:</w:t>
      </w:r>
    </w:p>
    <w:tbl>
      <w:tblPr>
        <w:tblW w:w="5000" w:type="pct"/>
        <w:tblCellMar>
          <w:left w:w="70" w:type="dxa"/>
          <w:right w:w="70" w:type="dxa"/>
        </w:tblCellMar>
        <w:tblLook w:val="04A0" w:firstRow="1" w:lastRow="0" w:firstColumn="1" w:lastColumn="0" w:noHBand="0" w:noVBand="1"/>
      </w:tblPr>
      <w:tblGrid>
        <w:gridCol w:w="4395"/>
        <w:gridCol w:w="1696"/>
        <w:gridCol w:w="1696"/>
        <w:gridCol w:w="1696"/>
        <w:gridCol w:w="1696"/>
        <w:gridCol w:w="1696"/>
        <w:gridCol w:w="1696"/>
      </w:tblGrid>
      <w:tr w:rsidR="00035291" w:rsidRPr="00035291" w14:paraId="3B2163FD" w14:textId="77777777" w:rsidTr="00066482">
        <w:trPr>
          <w:trHeight w:val="283"/>
        </w:trPr>
        <w:tc>
          <w:tcPr>
            <w:tcW w:w="5000" w:type="pct"/>
            <w:gridSpan w:val="7"/>
            <w:tcBorders>
              <w:bottom w:val="single" w:sz="4" w:space="0" w:color="FFFFFF" w:themeColor="background1"/>
            </w:tcBorders>
            <w:shd w:val="clear" w:color="000000" w:fill="005CA9"/>
            <w:noWrap/>
            <w:vAlign w:val="center"/>
            <w:hideMark/>
          </w:tcPr>
          <w:p w14:paraId="53BAAA3A" w14:textId="77777777" w:rsidR="00035291" w:rsidRPr="00035291" w:rsidRDefault="00035291" w:rsidP="00035291">
            <w:pPr>
              <w:jc w:val="center"/>
              <w:rPr>
                <w:rFonts w:ascii="CAIXA Std Book" w:eastAsia="Times New Roman" w:hAnsi="CAIXA Std Book" w:cs="Calibri"/>
                <w:b/>
                <w:bCs/>
                <w:color w:val="FFFFFF"/>
                <w:sz w:val="16"/>
                <w:szCs w:val="16"/>
              </w:rPr>
            </w:pPr>
            <w:r w:rsidRPr="00035291">
              <w:rPr>
                <w:rFonts w:ascii="CAIXA Std Book" w:eastAsia="Times New Roman" w:hAnsi="CAIXA Std Book" w:cs="Calibri"/>
                <w:b/>
                <w:bCs/>
                <w:color w:val="FFFFFF"/>
                <w:sz w:val="16"/>
                <w:szCs w:val="16"/>
              </w:rPr>
              <w:t>Individual</w:t>
            </w:r>
          </w:p>
        </w:tc>
      </w:tr>
      <w:tr w:rsidR="00035291" w:rsidRPr="00035291" w14:paraId="7AA634B0" w14:textId="77777777" w:rsidTr="00BC00DB">
        <w:trPr>
          <w:trHeight w:val="283"/>
        </w:trPr>
        <w:tc>
          <w:tcPr>
            <w:tcW w:w="1508" w:type="pct"/>
            <w:tcBorders>
              <w:top w:val="single" w:sz="4" w:space="0" w:color="FFFFFF" w:themeColor="background1"/>
            </w:tcBorders>
            <w:shd w:val="clear" w:color="000000" w:fill="005CA9"/>
            <w:noWrap/>
            <w:vAlign w:val="center"/>
            <w:hideMark/>
          </w:tcPr>
          <w:p w14:paraId="0B05B07D" w14:textId="77777777" w:rsidR="00035291" w:rsidRPr="00035291" w:rsidRDefault="00035291" w:rsidP="00035291">
            <w:pPr>
              <w:jc w:val="center"/>
              <w:rPr>
                <w:rFonts w:ascii="CAIXA Std Book" w:eastAsia="Times New Roman" w:hAnsi="CAIXA Std Book" w:cs="Calibri"/>
                <w:b/>
                <w:bCs/>
                <w:color w:val="FFFFFF"/>
                <w:sz w:val="16"/>
                <w:szCs w:val="16"/>
              </w:rPr>
            </w:pPr>
            <w:r w:rsidRPr="00035291">
              <w:rPr>
                <w:rFonts w:ascii="CAIXA Std Book" w:eastAsia="Times New Roman" w:hAnsi="CAIXA Std Book" w:cs="Calibri"/>
                <w:b/>
                <w:bCs/>
                <w:color w:val="FFFFFF"/>
                <w:sz w:val="16"/>
                <w:szCs w:val="16"/>
              </w:rPr>
              <w:t>Descrição</w:t>
            </w:r>
          </w:p>
        </w:tc>
        <w:tc>
          <w:tcPr>
            <w:tcW w:w="582" w:type="pct"/>
            <w:tcBorders>
              <w:top w:val="single" w:sz="4" w:space="0" w:color="FFFFFF" w:themeColor="background1"/>
            </w:tcBorders>
            <w:shd w:val="clear" w:color="000000" w:fill="005CA9"/>
            <w:vAlign w:val="center"/>
            <w:hideMark/>
          </w:tcPr>
          <w:p w14:paraId="74505B23" w14:textId="77777777" w:rsidR="00035291" w:rsidRPr="00035291" w:rsidRDefault="00035291" w:rsidP="00035291">
            <w:pPr>
              <w:jc w:val="center"/>
              <w:rPr>
                <w:rFonts w:ascii="CAIXA Std Book" w:eastAsia="Times New Roman" w:hAnsi="CAIXA Std Book" w:cs="Calibri"/>
                <w:b/>
                <w:bCs/>
                <w:color w:val="FFFFFF"/>
                <w:sz w:val="16"/>
                <w:szCs w:val="16"/>
              </w:rPr>
            </w:pPr>
            <w:r w:rsidRPr="00035291">
              <w:rPr>
                <w:rFonts w:ascii="CAIXA Std Book" w:eastAsia="Times New Roman" w:hAnsi="CAIXA Std Book" w:cs="Calibri"/>
                <w:b/>
                <w:bCs/>
                <w:color w:val="FFFFFF"/>
                <w:sz w:val="16"/>
                <w:szCs w:val="16"/>
              </w:rPr>
              <w:t>Valor justo em 31/12/2025</w:t>
            </w:r>
          </w:p>
        </w:tc>
        <w:tc>
          <w:tcPr>
            <w:tcW w:w="582" w:type="pct"/>
            <w:tcBorders>
              <w:top w:val="single" w:sz="4" w:space="0" w:color="FFFFFF" w:themeColor="background1"/>
            </w:tcBorders>
            <w:shd w:val="clear" w:color="000000" w:fill="005CA9"/>
            <w:vAlign w:val="center"/>
            <w:hideMark/>
          </w:tcPr>
          <w:p w14:paraId="6323A2A5" w14:textId="77777777" w:rsidR="00DF4FBA" w:rsidRDefault="00035291" w:rsidP="00035291">
            <w:pPr>
              <w:jc w:val="center"/>
              <w:rPr>
                <w:rFonts w:ascii="CAIXA Std Book" w:eastAsia="Times New Roman" w:hAnsi="CAIXA Std Book" w:cs="Calibri"/>
                <w:b/>
                <w:bCs/>
                <w:color w:val="FFFFFF"/>
                <w:sz w:val="16"/>
                <w:szCs w:val="16"/>
              </w:rPr>
            </w:pPr>
            <w:r w:rsidRPr="00035291">
              <w:rPr>
                <w:rFonts w:ascii="CAIXA Std Book" w:eastAsia="Times New Roman" w:hAnsi="CAIXA Std Book" w:cs="Calibri"/>
                <w:b/>
                <w:bCs/>
                <w:color w:val="FFFFFF"/>
                <w:sz w:val="16"/>
                <w:szCs w:val="16"/>
              </w:rPr>
              <w:t>Total de ganhos e perdas (realizado/</w:t>
            </w:r>
          </w:p>
          <w:p w14:paraId="49C5429A" w14:textId="691198E6" w:rsidR="00035291" w:rsidRPr="00035291" w:rsidRDefault="00035291" w:rsidP="00035291">
            <w:pPr>
              <w:jc w:val="center"/>
              <w:rPr>
                <w:rFonts w:ascii="CAIXA Std Book" w:eastAsia="Times New Roman" w:hAnsi="CAIXA Std Book" w:cs="Calibri"/>
                <w:b/>
                <w:bCs/>
                <w:color w:val="FFFFFF"/>
                <w:sz w:val="16"/>
                <w:szCs w:val="16"/>
              </w:rPr>
            </w:pPr>
            <w:r w:rsidRPr="00035291">
              <w:rPr>
                <w:rFonts w:ascii="CAIXA Std Book" w:eastAsia="Times New Roman" w:hAnsi="CAIXA Std Book" w:cs="Calibri"/>
                <w:b/>
                <w:bCs/>
                <w:color w:val="FFFFFF"/>
                <w:sz w:val="16"/>
                <w:szCs w:val="16"/>
              </w:rPr>
              <w:t>não realizado)</w:t>
            </w:r>
          </w:p>
        </w:tc>
        <w:tc>
          <w:tcPr>
            <w:tcW w:w="582" w:type="pct"/>
            <w:tcBorders>
              <w:top w:val="single" w:sz="4" w:space="0" w:color="FFFFFF" w:themeColor="background1"/>
            </w:tcBorders>
            <w:shd w:val="clear" w:color="000000" w:fill="005CA9"/>
            <w:vAlign w:val="center"/>
            <w:hideMark/>
          </w:tcPr>
          <w:p w14:paraId="2F98F593" w14:textId="77777777" w:rsidR="00035291" w:rsidRPr="00035291" w:rsidRDefault="00035291" w:rsidP="00035291">
            <w:pPr>
              <w:jc w:val="center"/>
              <w:rPr>
                <w:rFonts w:ascii="CAIXA Std Book" w:eastAsia="Times New Roman" w:hAnsi="CAIXA Std Book" w:cs="Calibri"/>
                <w:b/>
                <w:bCs/>
                <w:color w:val="FFFFFF"/>
                <w:sz w:val="16"/>
                <w:szCs w:val="16"/>
              </w:rPr>
            </w:pPr>
            <w:r w:rsidRPr="00035291">
              <w:rPr>
                <w:rFonts w:ascii="CAIXA Std Book" w:eastAsia="Times New Roman" w:hAnsi="CAIXA Std Book" w:cs="Calibri"/>
                <w:b/>
                <w:bCs/>
                <w:color w:val="FFFFFF"/>
                <w:sz w:val="16"/>
                <w:szCs w:val="16"/>
              </w:rPr>
              <w:t>Compras</w:t>
            </w:r>
          </w:p>
        </w:tc>
        <w:tc>
          <w:tcPr>
            <w:tcW w:w="582" w:type="pct"/>
            <w:tcBorders>
              <w:top w:val="single" w:sz="4" w:space="0" w:color="FFFFFF" w:themeColor="background1"/>
            </w:tcBorders>
            <w:shd w:val="clear" w:color="000000" w:fill="005CA9"/>
            <w:vAlign w:val="center"/>
            <w:hideMark/>
          </w:tcPr>
          <w:p w14:paraId="1A11C3E6" w14:textId="1ED8F274" w:rsidR="00035291" w:rsidRPr="00035291" w:rsidRDefault="00035291" w:rsidP="00035291">
            <w:pPr>
              <w:jc w:val="center"/>
              <w:rPr>
                <w:rFonts w:ascii="CAIXA Std Book" w:eastAsia="Times New Roman" w:hAnsi="CAIXA Std Book" w:cs="Calibri"/>
                <w:b/>
                <w:bCs/>
                <w:color w:val="FFFFFF"/>
                <w:sz w:val="16"/>
                <w:szCs w:val="16"/>
              </w:rPr>
            </w:pPr>
            <w:r w:rsidRPr="00035291">
              <w:rPr>
                <w:rFonts w:ascii="CAIXA Std Book" w:eastAsia="Times New Roman" w:hAnsi="CAIXA Std Book" w:cs="Calibri"/>
                <w:b/>
                <w:bCs/>
                <w:color w:val="FFFFFF"/>
                <w:sz w:val="16"/>
                <w:szCs w:val="16"/>
              </w:rPr>
              <w:t>Vendas/liquidações</w:t>
            </w:r>
          </w:p>
        </w:tc>
        <w:tc>
          <w:tcPr>
            <w:tcW w:w="582" w:type="pct"/>
            <w:tcBorders>
              <w:top w:val="single" w:sz="4" w:space="0" w:color="FFFFFF" w:themeColor="background1"/>
            </w:tcBorders>
            <w:shd w:val="clear" w:color="000000" w:fill="005CA9"/>
            <w:vAlign w:val="center"/>
            <w:hideMark/>
          </w:tcPr>
          <w:p w14:paraId="36950A93" w14:textId="77777777" w:rsidR="00035291" w:rsidRPr="00035291" w:rsidRDefault="00035291" w:rsidP="00035291">
            <w:pPr>
              <w:jc w:val="center"/>
              <w:rPr>
                <w:rFonts w:ascii="CAIXA Std Book" w:eastAsia="Times New Roman" w:hAnsi="CAIXA Std Book" w:cs="Calibri"/>
                <w:b/>
                <w:bCs/>
                <w:color w:val="FFFFFF"/>
                <w:sz w:val="16"/>
                <w:szCs w:val="16"/>
              </w:rPr>
            </w:pPr>
            <w:r w:rsidRPr="00035291">
              <w:rPr>
                <w:rFonts w:ascii="CAIXA Std Book" w:eastAsia="Times New Roman" w:hAnsi="CAIXA Std Book" w:cs="Calibri"/>
                <w:b/>
                <w:bCs/>
                <w:color w:val="FFFFFF"/>
                <w:sz w:val="16"/>
                <w:szCs w:val="16"/>
              </w:rPr>
              <w:t>Transferência do Nível 3 (1)</w:t>
            </w:r>
          </w:p>
        </w:tc>
        <w:tc>
          <w:tcPr>
            <w:tcW w:w="582" w:type="pct"/>
            <w:tcBorders>
              <w:top w:val="single" w:sz="4" w:space="0" w:color="FFFFFF" w:themeColor="background1"/>
            </w:tcBorders>
            <w:shd w:val="clear" w:color="000000" w:fill="005CA9"/>
            <w:vAlign w:val="center"/>
            <w:hideMark/>
          </w:tcPr>
          <w:p w14:paraId="0EC36FD7" w14:textId="5A279D69" w:rsidR="00035291" w:rsidRPr="00035291" w:rsidRDefault="00035291" w:rsidP="00035291">
            <w:pPr>
              <w:jc w:val="center"/>
              <w:rPr>
                <w:rFonts w:ascii="CAIXA Std Book" w:eastAsia="Times New Roman" w:hAnsi="CAIXA Std Book" w:cs="Calibri"/>
                <w:b/>
                <w:bCs/>
                <w:color w:val="FFFFFF"/>
                <w:sz w:val="16"/>
                <w:szCs w:val="16"/>
              </w:rPr>
            </w:pPr>
            <w:r w:rsidRPr="00035291">
              <w:rPr>
                <w:rFonts w:ascii="CAIXA Std Book" w:eastAsia="Times New Roman" w:hAnsi="CAIXA Std Book" w:cs="Calibri"/>
                <w:b/>
                <w:bCs/>
                <w:color w:val="FFFFFF"/>
                <w:sz w:val="16"/>
                <w:szCs w:val="16"/>
              </w:rPr>
              <w:t xml:space="preserve">Valor </w:t>
            </w:r>
            <w:r w:rsidR="008B2530">
              <w:rPr>
                <w:rFonts w:ascii="CAIXA Std Book" w:eastAsia="Times New Roman" w:hAnsi="CAIXA Std Book" w:cs="Calibri"/>
                <w:b/>
                <w:bCs/>
                <w:color w:val="FFFFFF"/>
                <w:sz w:val="16"/>
                <w:szCs w:val="16"/>
              </w:rPr>
              <w:t>j</w:t>
            </w:r>
            <w:r w:rsidRPr="00035291">
              <w:rPr>
                <w:rFonts w:ascii="CAIXA Std Book" w:eastAsia="Times New Roman" w:hAnsi="CAIXA Std Book" w:cs="Calibri"/>
                <w:b/>
                <w:bCs/>
                <w:color w:val="FFFFFF"/>
                <w:sz w:val="16"/>
                <w:szCs w:val="16"/>
              </w:rPr>
              <w:t>usto em 31/03/2026</w:t>
            </w:r>
          </w:p>
        </w:tc>
      </w:tr>
      <w:tr w:rsidR="00035291" w:rsidRPr="00035291" w14:paraId="0BC22B55" w14:textId="77777777" w:rsidTr="00BC00DB">
        <w:trPr>
          <w:trHeight w:val="283"/>
        </w:trPr>
        <w:tc>
          <w:tcPr>
            <w:tcW w:w="1508" w:type="pct"/>
            <w:noWrap/>
            <w:vAlign w:val="center"/>
            <w:hideMark/>
          </w:tcPr>
          <w:p w14:paraId="55403CDF" w14:textId="77777777" w:rsidR="00035291" w:rsidRPr="00035291" w:rsidRDefault="00035291" w:rsidP="00035291">
            <w:pPr>
              <w:rPr>
                <w:rFonts w:ascii="CAIXA Std Book" w:eastAsia="Times New Roman" w:hAnsi="CAIXA Std Book" w:cs="Calibri"/>
                <w:color w:val="005CA9"/>
                <w:sz w:val="16"/>
                <w:szCs w:val="16"/>
              </w:rPr>
            </w:pPr>
            <w:r w:rsidRPr="00035291">
              <w:rPr>
                <w:rFonts w:ascii="CAIXA Std Book" w:eastAsia="Times New Roman" w:hAnsi="CAIXA Std Book" w:cs="Calibri"/>
                <w:color w:val="005CA9"/>
                <w:sz w:val="16"/>
                <w:szCs w:val="16"/>
              </w:rPr>
              <w:t>Títulos e valores mobiliários - VJR</w:t>
            </w:r>
          </w:p>
        </w:tc>
        <w:tc>
          <w:tcPr>
            <w:tcW w:w="582" w:type="pct"/>
            <w:tcBorders>
              <w:top w:val="nil"/>
              <w:left w:val="nil"/>
              <w:bottom w:val="nil"/>
              <w:right w:val="nil"/>
            </w:tcBorders>
            <w:noWrap/>
            <w:vAlign w:val="center"/>
            <w:hideMark/>
          </w:tcPr>
          <w:p w14:paraId="1C6C1772" w14:textId="77777777" w:rsidR="00035291" w:rsidRPr="00035291" w:rsidRDefault="00035291" w:rsidP="00035291">
            <w:pPr>
              <w:jc w:val="right"/>
              <w:rPr>
                <w:rFonts w:ascii="CAIXA Std Book" w:eastAsia="Times New Roman" w:hAnsi="CAIXA Std Book" w:cs="Calibri"/>
                <w:color w:val="005CA9"/>
                <w:sz w:val="16"/>
                <w:szCs w:val="16"/>
              </w:rPr>
            </w:pPr>
            <w:r w:rsidRPr="00035291">
              <w:rPr>
                <w:rFonts w:ascii="CAIXA Std Book" w:eastAsia="Times New Roman" w:hAnsi="CAIXA Std Book" w:cs="Calibri"/>
                <w:color w:val="005CA9"/>
                <w:sz w:val="16"/>
                <w:szCs w:val="16"/>
              </w:rPr>
              <w:t>1.839.473</w:t>
            </w:r>
          </w:p>
        </w:tc>
        <w:tc>
          <w:tcPr>
            <w:tcW w:w="582" w:type="pct"/>
            <w:tcBorders>
              <w:top w:val="nil"/>
              <w:left w:val="nil"/>
              <w:bottom w:val="nil"/>
              <w:right w:val="nil"/>
            </w:tcBorders>
            <w:noWrap/>
            <w:vAlign w:val="center"/>
            <w:hideMark/>
          </w:tcPr>
          <w:p w14:paraId="79CC417C" w14:textId="77777777" w:rsidR="00035291" w:rsidRPr="00035291" w:rsidRDefault="00035291" w:rsidP="00035291">
            <w:pPr>
              <w:jc w:val="right"/>
              <w:rPr>
                <w:rFonts w:ascii="CAIXA Std Book" w:eastAsia="Times New Roman" w:hAnsi="CAIXA Std Book" w:cs="Calibri"/>
                <w:color w:val="005CA9"/>
                <w:sz w:val="16"/>
                <w:szCs w:val="16"/>
              </w:rPr>
            </w:pPr>
            <w:r w:rsidRPr="00035291">
              <w:rPr>
                <w:rFonts w:ascii="CAIXA Std Book" w:eastAsia="Times New Roman" w:hAnsi="CAIXA Std Book" w:cs="Calibri"/>
                <w:color w:val="005CA9"/>
                <w:sz w:val="16"/>
                <w:szCs w:val="16"/>
              </w:rPr>
              <w:t>(31.030)</w:t>
            </w:r>
          </w:p>
        </w:tc>
        <w:tc>
          <w:tcPr>
            <w:tcW w:w="582" w:type="pct"/>
            <w:tcBorders>
              <w:top w:val="nil"/>
              <w:left w:val="nil"/>
              <w:bottom w:val="nil"/>
              <w:right w:val="nil"/>
            </w:tcBorders>
            <w:noWrap/>
            <w:vAlign w:val="center"/>
            <w:hideMark/>
          </w:tcPr>
          <w:p w14:paraId="2BF9206B" w14:textId="77777777" w:rsidR="00035291" w:rsidRPr="00035291" w:rsidRDefault="00035291" w:rsidP="00035291">
            <w:pPr>
              <w:jc w:val="right"/>
              <w:rPr>
                <w:rFonts w:ascii="CAIXA Std Book" w:eastAsia="Times New Roman" w:hAnsi="CAIXA Std Book" w:cs="Calibri"/>
                <w:color w:val="005CA9"/>
                <w:sz w:val="16"/>
                <w:szCs w:val="16"/>
              </w:rPr>
            </w:pPr>
            <w:r w:rsidRPr="00035291">
              <w:rPr>
                <w:rFonts w:ascii="CAIXA Std Book" w:eastAsia="Times New Roman" w:hAnsi="CAIXA Std Book" w:cs="Calibri"/>
                <w:color w:val="005CA9"/>
                <w:sz w:val="16"/>
                <w:szCs w:val="16"/>
              </w:rPr>
              <w:t>928.662</w:t>
            </w:r>
          </w:p>
        </w:tc>
        <w:tc>
          <w:tcPr>
            <w:tcW w:w="582" w:type="pct"/>
            <w:tcBorders>
              <w:top w:val="nil"/>
              <w:left w:val="nil"/>
              <w:bottom w:val="nil"/>
              <w:right w:val="nil"/>
            </w:tcBorders>
            <w:noWrap/>
            <w:vAlign w:val="center"/>
            <w:hideMark/>
          </w:tcPr>
          <w:p w14:paraId="0F5D71C8" w14:textId="77777777" w:rsidR="00035291" w:rsidRPr="00035291" w:rsidRDefault="00035291" w:rsidP="00035291">
            <w:pPr>
              <w:jc w:val="right"/>
              <w:rPr>
                <w:rFonts w:ascii="CAIXA Std Book" w:eastAsia="Times New Roman" w:hAnsi="CAIXA Std Book" w:cs="Calibri"/>
                <w:color w:val="005CA9"/>
                <w:sz w:val="16"/>
                <w:szCs w:val="16"/>
              </w:rPr>
            </w:pPr>
            <w:r w:rsidRPr="00035291">
              <w:rPr>
                <w:rFonts w:ascii="CAIXA Std Book" w:eastAsia="Times New Roman" w:hAnsi="CAIXA Std Book" w:cs="Calibri"/>
                <w:color w:val="005CA9"/>
                <w:sz w:val="16"/>
                <w:szCs w:val="16"/>
              </w:rPr>
              <w:t>(211.102)</w:t>
            </w:r>
          </w:p>
        </w:tc>
        <w:tc>
          <w:tcPr>
            <w:tcW w:w="582" w:type="pct"/>
            <w:tcBorders>
              <w:top w:val="nil"/>
              <w:left w:val="nil"/>
              <w:bottom w:val="nil"/>
              <w:right w:val="nil"/>
            </w:tcBorders>
            <w:noWrap/>
            <w:vAlign w:val="center"/>
            <w:hideMark/>
          </w:tcPr>
          <w:p w14:paraId="0EE2AF05" w14:textId="77777777" w:rsidR="00035291" w:rsidRPr="00035291" w:rsidRDefault="00035291" w:rsidP="00035291">
            <w:pPr>
              <w:jc w:val="right"/>
              <w:rPr>
                <w:rFonts w:ascii="CAIXA Std Book" w:eastAsia="Times New Roman" w:hAnsi="CAIXA Std Book" w:cs="Calibri"/>
                <w:color w:val="005CA9"/>
                <w:sz w:val="16"/>
                <w:szCs w:val="16"/>
              </w:rPr>
            </w:pPr>
            <w:r w:rsidRPr="00035291">
              <w:rPr>
                <w:rFonts w:ascii="CAIXA Std Book" w:eastAsia="Times New Roman" w:hAnsi="CAIXA Std Book" w:cs="Calibri"/>
                <w:color w:val="005CA9"/>
                <w:sz w:val="16"/>
                <w:szCs w:val="16"/>
              </w:rPr>
              <w:t>(162.105)</w:t>
            </w:r>
          </w:p>
        </w:tc>
        <w:tc>
          <w:tcPr>
            <w:tcW w:w="582" w:type="pct"/>
            <w:tcBorders>
              <w:top w:val="nil"/>
              <w:left w:val="nil"/>
              <w:bottom w:val="nil"/>
              <w:right w:val="nil"/>
            </w:tcBorders>
            <w:noWrap/>
            <w:vAlign w:val="center"/>
            <w:hideMark/>
          </w:tcPr>
          <w:p w14:paraId="2961107C" w14:textId="77777777" w:rsidR="00035291" w:rsidRPr="00035291" w:rsidRDefault="00035291" w:rsidP="00035291">
            <w:pPr>
              <w:jc w:val="right"/>
              <w:rPr>
                <w:rFonts w:ascii="CAIXA Std Book" w:eastAsia="Times New Roman" w:hAnsi="CAIXA Std Book" w:cs="Calibri"/>
                <w:color w:val="005CA9"/>
                <w:sz w:val="16"/>
                <w:szCs w:val="16"/>
              </w:rPr>
            </w:pPr>
            <w:r w:rsidRPr="00035291">
              <w:rPr>
                <w:rFonts w:ascii="CAIXA Std Book" w:eastAsia="Times New Roman" w:hAnsi="CAIXA Std Book" w:cs="Calibri"/>
                <w:color w:val="005CA9"/>
                <w:sz w:val="16"/>
                <w:szCs w:val="16"/>
              </w:rPr>
              <w:t>2.363.898</w:t>
            </w:r>
          </w:p>
        </w:tc>
      </w:tr>
      <w:tr w:rsidR="00035291" w:rsidRPr="00035291" w14:paraId="4216F01A" w14:textId="77777777" w:rsidTr="00375F89">
        <w:trPr>
          <w:trHeight w:val="283"/>
        </w:trPr>
        <w:tc>
          <w:tcPr>
            <w:tcW w:w="1508" w:type="pct"/>
            <w:noWrap/>
            <w:vAlign w:val="center"/>
            <w:hideMark/>
          </w:tcPr>
          <w:p w14:paraId="33051DE4" w14:textId="77777777" w:rsidR="00035291" w:rsidRPr="00035291" w:rsidRDefault="00035291" w:rsidP="00035291">
            <w:pPr>
              <w:rPr>
                <w:rFonts w:ascii="CAIXA Std Book" w:eastAsia="Times New Roman" w:hAnsi="CAIXA Std Book" w:cs="Calibri"/>
                <w:color w:val="005CA9"/>
                <w:sz w:val="16"/>
                <w:szCs w:val="16"/>
              </w:rPr>
            </w:pPr>
            <w:r w:rsidRPr="00035291">
              <w:rPr>
                <w:rFonts w:ascii="CAIXA Std Book" w:eastAsia="Times New Roman" w:hAnsi="CAIXA Std Book" w:cs="Calibri"/>
                <w:color w:val="005CA9"/>
                <w:sz w:val="16"/>
                <w:szCs w:val="16"/>
              </w:rPr>
              <w:t>Títulos e valores mobiliários - VJORA</w:t>
            </w:r>
          </w:p>
        </w:tc>
        <w:tc>
          <w:tcPr>
            <w:tcW w:w="582" w:type="pct"/>
            <w:tcBorders>
              <w:top w:val="nil"/>
              <w:left w:val="nil"/>
              <w:bottom w:val="nil"/>
              <w:right w:val="nil"/>
            </w:tcBorders>
            <w:noWrap/>
            <w:vAlign w:val="center"/>
            <w:hideMark/>
          </w:tcPr>
          <w:p w14:paraId="66588EA4" w14:textId="77777777" w:rsidR="00035291" w:rsidRPr="00035291" w:rsidRDefault="00035291" w:rsidP="00035291">
            <w:pPr>
              <w:jc w:val="right"/>
              <w:rPr>
                <w:rFonts w:ascii="CAIXA Std Book" w:eastAsia="Times New Roman" w:hAnsi="CAIXA Std Book" w:cs="Calibri"/>
                <w:color w:val="005CA9"/>
                <w:sz w:val="16"/>
                <w:szCs w:val="16"/>
              </w:rPr>
            </w:pPr>
            <w:r w:rsidRPr="00035291">
              <w:rPr>
                <w:rFonts w:ascii="CAIXA Std Book" w:eastAsia="Times New Roman" w:hAnsi="CAIXA Std Book" w:cs="Calibri"/>
                <w:color w:val="005CA9"/>
                <w:sz w:val="16"/>
                <w:szCs w:val="16"/>
              </w:rPr>
              <w:t>16.253.286</w:t>
            </w:r>
          </w:p>
        </w:tc>
        <w:tc>
          <w:tcPr>
            <w:tcW w:w="582" w:type="pct"/>
            <w:tcBorders>
              <w:top w:val="nil"/>
              <w:left w:val="nil"/>
              <w:bottom w:val="nil"/>
              <w:right w:val="nil"/>
            </w:tcBorders>
            <w:noWrap/>
            <w:vAlign w:val="center"/>
            <w:hideMark/>
          </w:tcPr>
          <w:p w14:paraId="6E65091C" w14:textId="77777777" w:rsidR="00035291" w:rsidRPr="00035291" w:rsidRDefault="00035291" w:rsidP="00035291">
            <w:pPr>
              <w:jc w:val="right"/>
              <w:rPr>
                <w:rFonts w:ascii="CAIXA Std Book" w:eastAsia="Times New Roman" w:hAnsi="CAIXA Std Book" w:cs="Calibri"/>
                <w:color w:val="005CA9"/>
                <w:sz w:val="16"/>
                <w:szCs w:val="16"/>
              </w:rPr>
            </w:pPr>
            <w:r w:rsidRPr="00035291">
              <w:rPr>
                <w:rFonts w:ascii="CAIXA Std Book" w:eastAsia="Times New Roman" w:hAnsi="CAIXA Std Book" w:cs="Calibri"/>
                <w:color w:val="005CA9"/>
                <w:sz w:val="16"/>
                <w:szCs w:val="16"/>
              </w:rPr>
              <w:t>(694.708)</w:t>
            </w:r>
          </w:p>
        </w:tc>
        <w:tc>
          <w:tcPr>
            <w:tcW w:w="582" w:type="pct"/>
            <w:tcBorders>
              <w:top w:val="nil"/>
              <w:left w:val="nil"/>
              <w:bottom w:val="nil"/>
              <w:right w:val="nil"/>
            </w:tcBorders>
            <w:noWrap/>
            <w:vAlign w:val="center"/>
            <w:hideMark/>
          </w:tcPr>
          <w:p w14:paraId="351B67B7" w14:textId="77777777" w:rsidR="00035291" w:rsidRPr="00035291" w:rsidRDefault="00035291" w:rsidP="00035291">
            <w:pPr>
              <w:jc w:val="right"/>
              <w:rPr>
                <w:rFonts w:ascii="CAIXA Std Book" w:eastAsia="Times New Roman" w:hAnsi="CAIXA Std Book" w:cs="Calibri"/>
                <w:color w:val="005CA9"/>
                <w:sz w:val="16"/>
                <w:szCs w:val="16"/>
              </w:rPr>
            </w:pPr>
            <w:r w:rsidRPr="00035291">
              <w:rPr>
                <w:rFonts w:ascii="CAIXA Std Book" w:eastAsia="Times New Roman" w:hAnsi="CAIXA Std Book" w:cs="Calibri"/>
                <w:color w:val="005CA9"/>
                <w:sz w:val="16"/>
                <w:szCs w:val="16"/>
              </w:rPr>
              <w:t>922.197</w:t>
            </w:r>
          </w:p>
        </w:tc>
        <w:tc>
          <w:tcPr>
            <w:tcW w:w="582" w:type="pct"/>
            <w:tcBorders>
              <w:top w:val="nil"/>
              <w:left w:val="nil"/>
              <w:bottom w:val="nil"/>
              <w:right w:val="nil"/>
            </w:tcBorders>
            <w:noWrap/>
            <w:vAlign w:val="center"/>
            <w:hideMark/>
          </w:tcPr>
          <w:p w14:paraId="7766AAB9" w14:textId="77777777" w:rsidR="00035291" w:rsidRPr="00035291" w:rsidRDefault="00035291" w:rsidP="00035291">
            <w:pPr>
              <w:jc w:val="center"/>
              <w:rPr>
                <w:rFonts w:ascii="CAIXA Std Book" w:eastAsia="Times New Roman" w:hAnsi="CAIXA Std Book" w:cs="Calibri"/>
                <w:color w:val="005CA9"/>
                <w:sz w:val="16"/>
                <w:szCs w:val="16"/>
              </w:rPr>
            </w:pPr>
            <w:r w:rsidRPr="00035291">
              <w:rPr>
                <w:rFonts w:ascii="CAIXA Std Book" w:eastAsia="Times New Roman" w:hAnsi="CAIXA Std Book" w:cs="Calibri"/>
                <w:color w:val="005CA9"/>
                <w:sz w:val="16"/>
                <w:szCs w:val="16"/>
              </w:rPr>
              <w:t>-</w:t>
            </w:r>
          </w:p>
        </w:tc>
        <w:tc>
          <w:tcPr>
            <w:tcW w:w="582" w:type="pct"/>
            <w:tcBorders>
              <w:top w:val="nil"/>
              <w:left w:val="nil"/>
              <w:bottom w:val="nil"/>
              <w:right w:val="nil"/>
            </w:tcBorders>
            <w:noWrap/>
            <w:vAlign w:val="center"/>
            <w:hideMark/>
          </w:tcPr>
          <w:p w14:paraId="38B073D8" w14:textId="77777777" w:rsidR="00035291" w:rsidRPr="00035291" w:rsidRDefault="00035291" w:rsidP="00035291">
            <w:pPr>
              <w:jc w:val="right"/>
              <w:rPr>
                <w:rFonts w:ascii="CAIXA Std Book" w:eastAsia="Times New Roman" w:hAnsi="CAIXA Std Book" w:cs="Calibri"/>
                <w:color w:val="005CA9"/>
                <w:sz w:val="16"/>
                <w:szCs w:val="16"/>
              </w:rPr>
            </w:pPr>
            <w:r w:rsidRPr="00035291">
              <w:rPr>
                <w:rFonts w:ascii="CAIXA Std Book" w:eastAsia="Times New Roman" w:hAnsi="CAIXA Std Book" w:cs="Calibri"/>
                <w:color w:val="005CA9"/>
                <w:sz w:val="16"/>
                <w:szCs w:val="16"/>
              </w:rPr>
              <w:t>(199.861)</w:t>
            </w:r>
          </w:p>
        </w:tc>
        <w:tc>
          <w:tcPr>
            <w:tcW w:w="582" w:type="pct"/>
            <w:tcBorders>
              <w:top w:val="nil"/>
              <w:left w:val="nil"/>
              <w:bottom w:val="nil"/>
              <w:right w:val="nil"/>
            </w:tcBorders>
            <w:noWrap/>
            <w:vAlign w:val="center"/>
            <w:hideMark/>
          </w:tcPr>
          <w:p w14:paraId="6458EA07" w14:textId="77777777" w:rsidR="00035291" w:rsidRPr="00035291" w:rsidRDefault="00035291" w:rsidP="00035291">
            <w:pPr>
              <w:jc w:val="right"/>
              <w:rPr>
                <w:rFonts w:ascii="CAIXA Std Book" w:eastAsia="Times New Roman" w:hAnsi="CAIXA Std Book" w:cs="Calibri"/>
                <w:color w:val="005CA9"/>
                <w:sz w:val="16"/>
                <w:szCs w:val="16"/>
              </w:rPr>
            </w:pPr>
            <w:r w:rsidRPr="00035291">
              <w:rPr>
                <w:rFonts w:ascii="CAIXA Std Book" w:eastAsia="Times New Roman" w:hAnsi="CAIXA Std Book" w:cs="Calibri"/>
                <w:color w:val="005CA9"/>
                <w:sz w:val="16"/>
                <w:szCs w:val="16"/>
              </w:rPr>
              <w:t>16.280.914</w:t>
            </w:r>
          </w:p>
        </w:tc>
      </w:tr>
      <w:tr w:rsidR="00035291" w:rsidRPr="00035291" w14:paraId="4E90AFA3" w14:textId="77777777" w:rsidTr="00BC00DB">
        <w:trPr>
          <w:trHeight w:val="283"/>
        </w:trPr>
        <w:tc>
          <w:tcPr>
            <w:tcW w:w="1508" w:type="pct"/>
            <w:shd w:val="clear" w:color="000000" w:fill="005CA9"/>
            <w:noWrap/>
            <w:vAlign w:val="center"/>
            <w:hideMark/>
          </w:tcPr>
          <w:p w14:paraId="0505DBF5" w14:textId="77777777" w:rsidR="00035291" w:rsidRPr="00035291" w:rsidRDefault="00035291" w:rsidP="00035291">
            <w:pPr>
              <w:rPr>
                <w:rFonts w:ascii="CAIXA Std Book" w:eastAsia="Times New Roman" w:hAnsi="CAIXA Std Book" w:cs="Calibri"/>
                <w:b/>
                <w:bCs/>
                <w:color w:val="FFFFFF"/>
                <w:sz w:val="16"/>
                <w:szCs w:val="16"/>
              </w:rPr>
            </w:pPr>
            <w:r w:rsidRPr="00035291">
              <w:rPr>
                <w:rFonts w:ascii="CAIXA Std Book" w:eastAsia="Times New Roman" w:hAnsi="CAIXA Std Book" w:cs="Calibri"/>
                <w:b/>
                <w:bCs/>
                <w:color w:val="FFFFFF"/>
                <w:sz w:val="16"/>
                <w:szCs w:val="16"/>
              </w:rPr>
              <w:t>Total</w:t>
            </w:r>
          </w:p>
        </w:tc>
        <w:tc>
          <w:tcPr>
            <w:tcW w:w="582" w:type="pct"/>
            <w:tcBorders>
              <w:top w:val="nil"/>
              <w:left w:val="nil"/>
              <w:bottom w:val="single" w:sz="8" w:space="0" w:color="FFFFFF"/>
              <w:right w:val="nil"/>
            </w:tcBorders>
            <w:shd w:val="clear" w:color="000000" w:fill="005CA9"/>
            <w:noWrap/>
            <w:vAlign w:val="center"/>
            <w:hideMark/>
          </w:tcPr>
          <w:p w14:paraId="4CD3F68F" w14:textId="206947B2" w:rsidR="00035291" w:rsidRPr="00035291" w:rsidRDefault="00035291" w:rsidP="00035291">
            <w:pPr>
              <w:jc w:val="right"/>
              <w:rPr>
                <w:rFonts w:ascii="CAIXA Std Book" w:eastAsia="Times New Roman" w:hAnsi="CAIXA Std Book" w:cs="Calibri"/>
                <w:b/>
                <w:bCs/>
                <w:color w:val="FFFFFF"/>
                <w:sz w:val="16"/>
                <w:szCs w:val="16"/>
              </w:rPr>
            </w:pPr>
            <w:r w:rsidRPr="00035291">
              <w:rPr>
                <w:rFonts w:ascii="CAIXA Std Book" w:eastAsia="Times New Roman" w:hAnsi="CAIXA Std Book" w:cs="Calibri"/>
                <w:b/>
                <w:bCs/>
                <w:color w:val="FFFFFF"/>
                <w:sz w:val="16"/>
                <w:szCs w:val="16"/>
              </w:rPr>
              <w:t>18.092.</w:t>
            </w:r>
            <w:r w:rsidR="00BF5609">
              <w:rPr>
                <w:rFonts w:ascii="CAIXA Std Book" w:hAnsi="CAIXA Std Book" w:cs="Calibri"/>
                <w:b/>
                <w:bCs/>
                <w:color w:val="FFFFFF"/>
                <w:sz w:val="16"/>
                <w:szCs w:val="16"/>
              </w:rPr>
              <w:t>759</w:t>
            </w:r>
          </w:p>
        </w:tc>
        <w:tc>
          <w:tcPr>
            <w:tcW w:w="582" w:type="pct"/>
            <w:tcBorders>
              <w:top w:val="nil"/>
              <w:left w:val="nil"/>
              <w:bottom w:val="single" w:sz="8" w:space="0" w:color="FFFFFF"/>
              <w:right w:val="nil"/>
            </w:tcBorders>
            <w:shd w:val="clear" w:color="000000" w:fill="005CA9"/>
            <w:noWrap/>
            <w:vAlign w:val="center"/>
            <w:hideMark/>
          </w:tcPr>
          <w:p w14:paraId="7AA69A65" w14:textId="77777777" w:rsidR="00035291" w:rsidRPr="00035291" w:rsidRDefault="00035291" w:rsidP="00035291">
            <w:pPr>
              <w:jc w:val="right"/>
              <w:rPr>
                <w:rFonts w:ascii="CAIXA Std Book" w:eastAsia="Times New Roman" w:hAnsi="CAIXA Std Book" w:cs="Calibri"/>
                <w:b/>
                <w:bCs/>
                <w:color w:val="FFFFFF"/>
                <w:sz w:val="16"/>
                <w:szCs w:val="16"/>
              </w:rPr>
            </w:pPr>
            <w:r w:rsidRPr="00035291">
              <w:rPr>
                <w:rFonts w:ascii="CAIXA Std Book" w:eastAsia="Times New Roman" w:hAnsi="CAIXA Std Book" w:cs="Calibri"/>
                <w:b/>
                <w:bCs/>
                <w:color w:val="FFFFFF"/>
                <w:sz w:val="16"/>
                <w:szCs w:val="16"/>
              </w:rPr>
              <w:t>(725.738)</w:t>
            </w:r>
          </w:p>
        </w:tc>
        <w:tc>
          <w:tcPr>
            <w:tcW w:w="582" w:type="pct"/>
            <w:tcBorders>
              <w:top w:val="nil"/>
              <w:left w:val="nil"/>
              <w:bottom w:val="single" w:sz="8" w:space="0" w:color="FFFFFF"/>
              <w:right w:val="nil"/>
            </w:tcBorders>
            <w:shd w:val="clear" w:color="000000" w:fill="005CA9"/>
            <w:noWrap/>
            <w:vAlign w:val="center"/>
            <w:hideMark/>
          </w:tcPr>
          <w:p w14:paraId="647E1BB6" w14:textId="1F8CEEF0" w:rsidR="00035291" w:rsidRPr="00035291" w:rsidRDefault="00035291" w:rsidP="00035291">
            <w:pPr>
              <w:jc w:val="right"/>
              <w:rPr>
                <w:rFonts w:ascii="CAIXA Std Book" w:eastAsia="Times New Roman" w:hAnsi="CAIXA Std Book" w:cs="Calibri"/>
                <w:b/>
                <w:bCs/>
                <w:color w:val="FFFFFF"/>
                <w:sz w:val="16"/>
                <w:szCs w:val="16"/>
              </w:rPr>
            </w:pPr>
            <w:r w:rsidRPr="00035291">
              <w:rPr>
                <w:rFonts w:ascii="CAIXA Std Book" w:eastAsia="Times New Roman" w:hAnsi="CAIXA Std Book" w:cs="Calibri"/>
                <w:b/>
                <w:bCs/>
                <w:color w:val="FFFFFF"/>
                <w:sz w:val="16"/>
                <w:szCs w:val="16"/>
              </w:rPr>
              <w:t>1.850.</w:t>
            </w:r>
            <w:r w:rsidR="00BF5609">
              <w:rPr>
                <w:rFonts w:ascii="CAIXA Std Book" w:hAnsi="CAIXA Std Book" w:cs="Calibri"/>
                <w:b/>
                <w:bCs/>
                <w:color w:val="FFFFFF"/>
                <w:sz w:val="16"/>
                <w:szCs w:val="16"/>
              </w:rPr>
              <w:t>859</w:t>
            </w:r>
          </w:p>
        </w:tc>
        <w:tc>
          <w:tcPr>
            <w:tcW w:w="582" w:type="pct"/>
            <w:tcBorders>
              <w:top w:val="nil"/>
              <w:left w:val="nil"/>
              <w:bottom w:val="single" w:sz="8" w:space="0" w:color="FFFFFF"/>
              <w:right w:val="nil"/>
            </w:tcBorders>
            <w:shd w:val="clear" w:color="000000" w:fill="005CA9"/>
            <w:noWrap/>
            <w:vAlign w:val="center"/>
            <w:hideMark/>
          </w:tcPr>
          <w:p w14:paraId="54F9FB3E" w14:textId="77777777" w:rsidR="00035291" w:rsidRPr="00035291" w:rsidRDefault="00035291" w:rsidP="00035291">
            <w:pPr>
              <w:jc w:val="right"/>
              <w:rPr>
                <w:rFonts w:ascii="CAIXA Std Book" w:eastAsia="Times New Roman" w:hAnsi="CAIXA Std Book" w:cs="Calibri"/>
                <w:b/>
                <w:bCs/>
                <w:color w:val="FFFFFF"/>
                <w:sz w:val="16"/>
                <w:szCs w:val="16"/>
              </w:rPr>
            </w:pPr>
            <w:r w:rsidRPr="00035291">
              <w:rPr>
                <w:rFonts w:ascii="CAIXA Std Book" w:eastAsia="Times New Roman" w:hAnsi="CAIXA Std Book" w:cs="Calibri"/>
                <w:b/>
                <w:bCs/>
                <w:color w:val="FFFFFF"/>
                <w:sz w:val="16"/>
                <w:szCs w:val="16"/>
              </w:rPr>
              <w:t>(211.102)</w:t>
            </w:r>
          </w:p>
        </w:tc>
        <w:tc>
          <w:tcPr>
            <w:tcW w:w="582" w:type="pct"/>
            <w:tcBorders>
              <w:top w:val="nil"/>
              <w:left w:val="nil"/>
              <w:bottom w:val="single" w:sz="8" w:space="0" w:color="FFFFFF"/>
              <w:right w:val="nil"/>
            </w:tcBorders>
            <w:shd w:val="clear" w:color="000000" w:fill="005CA9"/>
            <w:noWrap/>
            <w:vAlign w:val="center"/>
            <w:hideMark/>
          </w:tcPr>
          <w:p w14:paraId="15286978" w14:textId="579AF2BB" w:rsidR="00035291" w:rsidRPr="00035291" w:rsidRDefault="00035291" w:rsidP="00035291">
            <w:pPr>
              <w:jc w:val="right"/>
              <w:rPr>
                <w:rFonts w:ascii="CAIXA Std Book" w:eastAsia="Times New Roman" w:hAnsi="CAIXA Std Book" w:cs="Calibri"/>
                <w:b/>
                <w:bCs/>
                <w:color w:val="FFFFFF"/>
                <w:sz w:val="16"/>
                <w:szCs w:val="16"/>
              </w:rPr>
            </w:pPr>
            <w:r w:rsidRPr="00035291">
              <w:rPr>
                <w:rFonts w:ascii="CAIXA Std Book" w:eastAsia="Times New Roman" w:hAnsi="CAIXA Std Book" w:cs="Calibri"/>
                <w:b/>
                <w:bCs/>
                <w:color w:val="FFFFFF"/>
                <w:sz w:val="16"/>
                <w:szCs w:val="16"/>
              </w:rPr>
              <w:t>(361.</w:t>
            </w:r>
            <w:r w:rsidR="00BF5609">
              <w:rPr>
                <w:rFonts w:ascii="CAIXA Std Book" w:hAnsi="CAIXA Std Book" w:cs="Calibri"/>
                <w:b/>
                <w:bCs/>
                <w:color w:val="FFFFFF"/>
                <w:sz w:val="16"/>
                <w:szCs w:val="16"/>
              </w:rPr>
              <w:t>966</w:t>
            </w:r>
            <w:r w:rsidRPr="00035291">
              <w:rPr>
                <w:rFonts w:ascii="CAIXA Std Book" w:eastAsia="Times New Roman" w:hAnsi="CAIXA Std Book" w:cs="Calibri"/>
                <w:b/>
                <w:bCs/>
                <w:color w:val="FFFFFF"/>
                <w:sz w:val="16"/>
                <w:szCs w:val="16"/>
              </w:rPr>
              <w:t>)</w:t>
            </w:r>
          </w:p>
        </w:tc>
        <w:tc>
          <w:tcPr>
            <w:tcW w:w="582" w:type="pct"/>
            <w:tcBorders>
              <w:top w:val="nil"/>
              <w:left w:val="nil"/>
              <w:bottom w:val="single" w:sz="8" w:space="0" w:color="FFFFFF"/>
              <w:right w:val="nil"/>
            </w:tcBorders>
            <w:shd w:val="clear" w:color="000000" w:fill="005CA9"/>
            <w:noWrap/>
            <w:vAlign w:val="center"/>
            <w:hideMark/>
          </w:tcPr>
          <w:p w14:paraId="4A62E24E" w14:textId="77777777" w:rsidR="00035291" w:rsidRPr="00035291" w:rsidRDefault="00035291" w:rsidP="00035291">
            <w:pPr>
              <w:jc w:val="right"/>
              <w:rPr>
                <w:rFonts w:ascii="CAIXA Std Book" w:eastAsia="Times New Roman" w:hAnsi="CAIXA Std Book" w:cs="Calibri"/>
                <w:b/>
                <w:bCs/>
                <w:color w:val="FFFFFF"/>
                <w:sz w:val="16"/>
                <w:szCs w:val="16"/>
              </w:rPr>
            </w:pPr>
            <w:r w:rsidRPr="00035291">
              <w:rPr>
                <w:rFonts w:ascii="CAIXA Std Book" w:eastAsia="Times New Roman" w:hAnsi="CAIXA Std Book" w:cs="Calibri"/>
                <w:b/>
                <w:bCs/>
                <w:color w:val="FFFFFF"/>
                <w:sz w:val="16"/>
                <w:szCs w:val="16"/>
              </w:rPr>
              <w:t>18.644.812</w:t>
            </w:r>
          </w:p>
        </w:tc>
      </w:tr>
    </w:tbl>
    <w:p w14:paraId="3F30914B" w14:textId="77777777" w:rsidR="00E80B02" w:rsidRPr="00BC00DB" w:rsidRDefault="00E80B02" w:rsidP="00117984">
      <w:pPr>
        <w:rPr>
          <w:rFonts w:ascii="CAIXA Std Book" w:eastAsia="Times New Roman" w:hAnsi="CAIXA Std Book" w:cs="Calibri"/>
          <w:color w:val="005CA9"/>
          <w:sz w:val="20"/>
          <w:szCs w:val="20"/>
        </w:rPr>
      </w:pPr>
    </w:p>
    <w:tbl>
      <w:tblPr>
        <w:tblW w:w="5000" w:type="pct"/>
        <w:tblCellMar>
          <w:left w:w="70" w:type="dxa"/>
          <w:right w:w="70" w:type="dxa"/>
        </w:tblCellMar>
        <w:tblLook w:val="04A0" w:firstRow="1" w:lastRow="0" w:firstColumn="1" w:lastColumn="0" w:noHBand="0" w:noVBand="1"/>
      </w:tblPr>
      <w:tblGrid>
        <w:gridCol w:w="4395"/>
        <w:gridCol w:w="1696"/>
        <w:gridCol w:w="1696"/>
        <w:gridCol w:w="1696"/>
        <w:gridCol w:w="1696"/>
        <w:gridCol w:w="1696"/>
        <w:gridCol w:w="1696"/>
      </w:tblGrid>
      <w:tr w:rsidR="004D2852" w:rsidRPr="004D2852" w14:paraId="09A992DE" w14:textId="77777777" w:rsidTr="004D2852">
        <w:trPr>
          <w:trHeight w:val="283"/>
        </w:trPr>
        <w:tc>
          <w:tcPr>
            <w:tcW w:w="5000" w:type="pct"/>
            <w:gridSpan w:val="7"/>
            <w:tcBorders>
              <w:top w:val="nil"/>
              <w:left w:val="nil"/>
              <w:bottom w:val="single" w:sz="4" w:space="0" w:color="FFFFFF"/>
              <w:right w:val="nil"/>
            </w:tcBorders>
            <w:shd w:val="clear" w:color="000000" w:fill="005CA9"/>
            <w:noWrap/>
            <w:vAlign w:val="center"/>
            <w:hideMark/>
          </w:tcPr>
          <w:p w14:paraId="7B55123C" w14:textId="77777777" w:rsidR="004D2852" w:rsidRPr="004D2852" w:rsidRDefault="004D2852" w:rsidP="004D2852">
            <w:pPr>
              <w:jc w:val="center"/>
              <w:rPr>
                <w:rFonts w:ascii="CAIXA Std Book" w:eastAsia="Times New Roman" w:hAnsi="CAIXA Std Book" w:cs="Calibri"/>
                <w:b/>
                <w:bCs/>
                <w:color w:val="FFFFFF"/>
                <w:sz w:val="16"/>
                <w:szCs w:val="16"/>
              </w:rPr>
            </w:pPr>
            <w:r w:rsidRPr="004D2852">
              <w:rPr>
                <w:rFonts w:ascii="CAIXA Std Book" w:eastAsia="Times New Roman" w:hAnsi="CAIXA Std Book" w:cs="Calibri"/>
                <w:b/>
                <w:bCs/>
                <w:color w:val="FFFFFF"/>
                <w:sz w:val="16"/>
                <w:szCs w:val="16"/>
              </w:rPr>
              <w:t>Individual</w:t>
            </w:r>
          </w:p>
        </w:tc>
      </w:tr>
      <w:tr w:rsidR="004D2852" w:rsidRPr="004D2852" w14:paraId="071E5D75" w14:textId="77777777" w:rsidTr="00BC00DB">
        <w:trPr>
          <w:trHeight w:val="283"/>
        </w:trPr>
        <w:tc>
          <w:tcPr>
            <w:tcW w:w="1508" w:type="pct"/>
            <w:tcBorders>
              <w:top w:val="nil"/>
              <w:left w:val="nil"/>
              <w:bottom w:val="nil"/>
              <w:right w:val="nil"/>
            </w:tcBorders>
            <w:shd w:val="clear" w:color="000000" w:fill="005CA9"/>
            <w:noWrap/>
            <w:vAlign w:val="center"/>
            <w:hideMark/>
          </w:tcPr>
          <w:p w14:paraId="497406EB" w14:textId="77777777" w:rsidR="004D2852" w:rsidRPr="004D2852" w:rsidRDefault="004D2852" w:rsidP="004D2852">
            <w:pPr>
              <w:jc w:val="center"/>
              <w:rPr>
                <w:rFonts w:ascii="CAIXA Std Book" w:eastAsia="Times New Roman" w:hAnsi="CAIXA Std Book" w:cs="Calibri"/>
                <w:b/>
                <w:bCs/>
                <w:color w:val="FFFFFF"/>
                <w:sz w:val="16"/>
                <w:szCs w:val="16"/>
              </w:rPr>
            </w:pPr>
            <w:r w:rsidRPr="004D2852">
              <w:rPr>
                <w:rFonts w:ascii="CAIXA Std Book" w:eastAsia="Times New Roman" w:hAnsi="CAIXA Std Book" w:cs="Calibri"/>
                <w:b/>
                <w:bCs/>
                <w:color w:val="FFFFFF"/>
                <w:sz w:val="16"/>
                <w:szCs w:val="16"/>
              </w:rPr>
              <w:t>Descrição</w:t>
            </w:r>
          </w:p>
        </w:tc>
        <w:tc>
          <w:tcPr>
            <w:tcW w:w="582" w:type="pct"/>
            <w:tcBorders>
              <w:top w:val="nil"/>
              <w:left w:val="nil"/>
              <w:bottom w:val="nil"/>
              <w:right w:val="nil"/>
            </w:tcBorders>
            <w:shd w:val="clear" w:color="000000" w:fill="005CA9"/>
            <w:vAlign w:val="center"/>
            <w:hideMark/>
          </w:tcPr>
          <w:p w14:paraId="033A4F06" w14:textId="77777777" w:rsidR="004D2852" w:rsidRPr="004D2852" w:rsidRDefault="004D2852" w:rsidP="004D2852">
            <w:pPr>
              <w:jc w:val="center"/>
              <w:rPr>
                <w:rFonts w:ascii="CAIXA Std Book" w:eastAsia="Times New Roman" w:hAnsi="CAIXA Std Book" w:cs="Calibri"/>
                <w:b/>
                <w:bCs/>
                <w:color w:val="FFFFFF"/>
                <w:sz w:val="16"/>
                <w:szCs w:val="16"/>
              </w:rPr>
            </w:pPr>
            <w:r w:rsidRPr="004D2852">
              <w:rPr>
                <w:rFonts w:ascii="CAIXA Std Book" w:eastAsia="Times New Roman" w:hAnsi="CAIXA Std Book" w:cs="Calibri"/>
                <w:b/>
                <w:bCs/>
                <w:color w:val="FFFFFF"/>
                <w:sz w:val="16"/>
                <w:szCs w:val="16"/>
              </w:rPr>
              <w:t>Valor justo em 01/01/2025</w:t>
            </w:r>
          </w:p>
        </w:tc>
        <w:tc>
          <w:tcPr>
            <w:tcW w:w="582" w:type="pct"/>
            <w:tcBorders>
              <w:top w:val="nil"/>
              <w:left w:val="nil"/>
              <w:bottom w:val="nil"/>
              <w:right w:val="nil"/>
            </w:tcBorders>
            <w:shd w:val="clear" w:color="000000" w:fill="005CA9"/>
            <w:vAlign w:val="center"/>
            <w:hideMark/>
          </w:tcPr>
          <w:p w14:paraId="7A760D68" w14:textId="77777777" w:rsidR="008B2530" w:rsidRDefault="004D2852" w:rsidP="004D2852">
            <w:pPr>
              <w:jc w:val="center"/>
              <w:rPr>
                <w:rFonts w:ascii="CAIXA Std Book" w:eastAsia="Times New Roman" w:hAnsi="CAIXA Std Book" w:cs="Calibri"/>
                <w:b/>
                <w:bCs/>
                <w:color w:val="FFFFFF"/>
                <w:sz w:val="16"/>
                <w:szCs w:val="16"/>
              </w:rPr>
            </w:pPr>
            <w:r w:rsidRPr="004D2852">
              <w:rPr>
                <w:rFonts w:ascii="CAIXA Std Book" w:eastAsia="Times New Roman" w:hAnsi="CAIXA Std Book" w:cs="Calibri"/>
                <w:b/>
                <w:bCs/>
                <w:color w:val="FFFFFF"/>
                <w:sz w:val="16"/>
                <w:szCs w:val="16"/>
              </w:rPr>
              <w:t>Total de ganhos e perdas (realizado/</w:t>
            </w:r>
          </w:p>
          <w:p w14:paraId="6EF65100" w14:textId="60F036E0" w:rsidR="004D2852" w:rsidRPr="004D2852" w:rsidRDefault="004D2852" w:rsidP="004D2852">
            <w:pPr>
              <w:jc w:val="center"/>
              <w:rPr>
                <w:rFonts w:ascii="CAIXA Std Book" w:eastAsia="Times New Roman" w:hAnsi="CAIXA Std Book" w:cs="Calibri"/>
                <w:b/>
                <w:bCs/>
                <w:color w:val="FFFFFF"/>
                <w:sz w:val="16"/>
                <w:szCs w:val="16"/>
              </w:rPr>
            </w:pPr>
            <w:r w:rsidRPr="004D2852">
              <w:rPr>
                <w:rFonts w:ascii="CAIXA Std Book" w:eastAsia="Times New Roman" w:hAnsi="CAIXA Std Book" w:cs="Calibri"/>
                <w:b/>
                <w:bCs/>
                <w:color w:val="FFFFFF"/>
                <w:sz w:val="16"/>
                <w:szCs w:val="16"/>
              </w:rPr>
              <w:t>não realizado)</w:t>
            </w:r>
          </w:p>
        </w:tc>
        <w:tc>
          <w:tcPr>
            <w:tcW w:w="582" w:type="pct"/>
            <w:tcBorders>
              <w:top w:val="nil"/>
              <w:left w:val="nil"/>
              <w:bottom w:val="nil"/>
              <w:right w:val="nil"/>
            </w:tcBorders>
            <w:shd w:val="clear" w:color="000000" w:fill="005CA9"/>
            <w:vAlign w:val="center"/>
            <w:hideMark/>
          </w:tcPr>
          <w:p w14:paraId="7A8E5334" w14:textId="77777777" w:rsidR="004D2852" w:rsidRPr="004D2852" w:rsidRDefault="004D2852" w:rsidP="004D2852">
            <w:pPr>
              <w:jc w:val="center"/>
              <w:rPr>
                <w:rFonts w:ascii="CAIXA Std Book" w:eastAsia="Times New Roman" w:hAnsi="CAIXA Std Book" w:cs="Calibri"/>
                <w:b/>
                <w:bCs/>
                <w:color w:val="FFFFFF"/>
                <w:sz w:val="16"/>
                <w:szCs w:val="16"/>
              </w:rPr>
            </w:pPr>
            <w:r w:rsidRPr="004D2852">
              <w:rPr>
                <w:rFonts w:ascii="CAIXA Std Book" w:eastAsia="Times New Roman" w:hAnsi="CAIXA Std Book" w:cs="Calibri"/>
                <w:b/>
                <w:bCs/>
                <w:color w:val="FFFFFF"/>
                <w:sz w:val="16"/>
                <w:szCs w:val="16"/>
              </w:rPr>
              <w:t>Compras</w:t>
            </w:r>
          </w:p>
        </w:tc>
        <w:tc>
          <w:tcPr>
            <w:tcW w:w="582" w:type="pct"/>
            <w:tcBorders>
              <w:top w:val="nil"/>
              <w:left w:val="nil"/>
              <w:bottom w:val="nil"/>
              <w:right w:val="nil"/>
            </w:tcBorders>
            <w:shd w:val="clear" w:color="000000" w:fill="005CA9"/>
            <w:vAlign w:val="center"/>
            <w:hideMark/>
          </w:tcPr>
          <w:p w14:paraId="411AD984" w14:textId="03DA18A5" w:rsidR="004D2852" w:rsidRPr="004D2852" w:rsidRDefault="004D2852" w:rsidP="004D2852">
            <w:pPr>
              <w:jc w:val="center"/>
              <w:rPr>
                <w:rFonts w:ascii="CAIXA Std Book" w:eastAsia="Times New Roman" w:hAnsi="CAIXA Std Book" w:cs="Calibri"/>
                <w:b/>
                <w:bCs/>
                <w:color w:val="FFFFFF"/>
                <w:sz w:val="16"/>
                <w:szCs w:val="16"/>
              </w:rPr>
            </w:pPr>
            <w:r w:rsidRPr="004D2852">
              <w:rPr>
                <w:rFonts w:ascii="CAIXA Std Book" w:eastAsia="Times New Roman" w:hAnsi="CAIXA Std Book" w:cs="Calibri"/>
                <w:b/>
                <w:bCs/>
                <w:color w:val="FFFFFF"/>
                <w:sz w:val="16"/>
                <w:szCs w:val="16"/>
              </w:rPr>
              <w:t>Vendas/liquidações</w:t>
            </w:r>
          </w:p>
        </w:tc>
        <w:tc>
          <w:tcPr>
            <w:tcW w:w="582" w:type="pct"/>
            <w:tcBorders>
              <w:top w:val="nil"/>
              <w:left w:val="nil"/>
              <w:bottom w:val="nil"/>
              <w:right w:val="nil"/>
            </w:tcBorders>
            <w:shd w:val="clear" w:color="000000" w:fill="005CA9"/>
            <w:vAlign w:val="center"/>
            <w:hideMark/>
          </w:tcPr>
          <w:p w14:paraId="3E177EE3" w14:textId="77777777" w:rsidR="004D2852" w:rsidRPr="004D2852" w:rsidRDefault="004D2852" w:rsidP="004D2852">
            <w:pPr>
              <w:jc w:val="center"/>
              <w:rPr>
                <w:rFonts w:ascii="CAIXA Std Book" w:eastAsia="Times New Roman" w:hAnsi="CAIXA Std Book" w:cs="Calibri"/>
                <w:b/>
                <w:bCs/>
                <w:color w:val="FFFFFF"/>
                <w:sz w:val="16"/>
                <w:szCs w:val="16"/>
              </w:rPr>
            </w:pPr>
            <w:r w:rsidRPr="004D2852">
              <w:rPr>
                <w:rFonts w:ascii="CAIXA Std Book" w:eastAsia="Times New Roman" w:hAnsi="CAIXA Std Book" w:cs="Calibri"/>
                <w:b/>
                <w:bCs/>
                <w:color w:val="FFFFFF"/>
                <w:sz w:val="16"/>
                <w:szCs w:val="16"/>
              </w:rPr>
              <w:t>Transferência do Nível 3 (1)</w:t>
            </w:r>
          </w:p>
        </w:tc>
        <w:tc>
          <w:tcPr>
            <w:tcW w:w="582" w:type="pct"/>
            <w:tcBorders>
              <w:top w:val="nil"/>
              <w:left w:val="nil"/>
              <w:bottom w:val="nil"/>
              <w:right w:val="nil"/>
            </w:tcBorders>
            <w:shd w:val="clear" w:color="000000" w:fill="005CA9"/>
            <w:vAlign w:val="center"/>
            <w:hideMark/>
          </w:tcPr>
          <w:p w14:paraId="266B8D74" w14:textId="624226D7" w:rsidR="004D2852" w:rsidRPr="004D2852" w:rsidRDefault="004D2852" w:rsidP="004D2852">
            <w:pPr>
              <w:jc w:val="center"/>
              <w:rPr>
                <w:rFonts w:ascii="CAIXA Std Book" w:eastAsia="Times New Roman" w:hAnsi="CAIXA Std Book" w:cs="Calibri"/>
                <w:b/>
                <w:bCs/>
                <w:color w:val="FFFFFF"/>
                <w:sz w:val="16"/>
                <w:szCs w:val="16"/>
              </w:rPr>
            </w:pPr>
            <w:r w:rsidRPr="004D2852">
              <w:rPr>
                <w:rFonts w:ascii="CAIXA Std Book" w:eastAsia="Times New Roman" w:hAnsi="CAIXA Std Book" w:cs="Calibri"/>
                <w:b/>
                <w:bCs/>
                <w:color w:val="FFFFFF"/>
                <w:sz w:val="16"/>
                <w:szCs w:val="16"/>
              </w:rPr>
              <w:t xml:space="preserve">Valor </w:t>
            </w:r>
            <w:r w:rsidR="008B2530">
              <w:rPr>
                <w:rFonts w:ascii="CAIXA Std Book" w:eastAsia="Times New Roman" w:hAnsi="CAIXA Std Book" w:cs="Calibri"/>
                <w:b/>
                <w:bCs/>
                <w:color w:val="FFFFFF"/>
                <w:sz w:val="16"/>
                <w:szCs w:val="16"/>
              </w:rPr>
              <w:t>j</w:t>
            </w:r>
            <w:r w:rsidRPr="004D2852">
              <w:rPr>
                <w:rFonts w:ascii="CAIXA Std Book" w:eastAsia="Times New Roman" w:hAnsi="CAIXA Std Book" w:cs="Calibri"/>
                <w:b/>
                <w:bCs/>
                <w:color w:val="FFFFFF"/>
                <w:sz w:val="16"/>
                <w:szCs w:val="16"/>
              </w:rPr>
              <w:t>usto em 31/12/2025</w:t>
            </w:r>
          </w:p>
        </w:tc>
      </w:tr>
      <w:tr w:rsidR="004D2852" w:rsidRPr="004D2852" w14:paraId="493741E9" w14:textId="77777777" w:rsidTr="00375F89">
        <w:trPr>
          <w:trHeight w:val="283"/>
        </w:trPr>
        <w:tc>
          <w:tcPr>
            <w:tcW w:w="1508" w:type="pct"/>
            <w:tcBorders>
              <w:top w:val="nil"/>
              <w:left w:val="nil"/>
              <w:bottom w:val="nil"/>
              <w:right w:val="nil"/>
            </w:tcBorders>
            <w:noWrap/>
            <w:vAlign w:val="center"/>
            <w:hideMark/>
          </w:tcPr>
          <w:p w14:paraId="32F3FB77" w14:textId="4962750B" w:rsidR="004D2852" w:rsidRPr="004D2852" w:rsidRDefault="004D2852" w:rsidP="004D2852">
            <w:pPr>
              <w:rPr>
                <w:rFonts w:ascii="CAIXA Std Book" w:eastAsia="Times New Roman" w:hAnsi="CAIXA Std Book" w:cs="Calibri"/>
                <w:color w:val="005CA9"/>
                <w:sz w:val="16"/>
                <w:szCs w:val="16"/>
              </w:rPr>
            </w:pPr>
            <w:r w:rsidRPr="004D2852">
              <w:rPr>
                <w:rFonts w:ascii="CAIXA Std Book" w:eastAsia="Times New Roman" w:hAnsi="CAIXA Std Book" w:cs="Calibri"/>
                <w:color w:val="005CA9"/>
                <w:sz w:val="16"/>
                <w:szCs w:val="16"/>
              </w:rPr>
              <w:t>Títulos e valores mobiliários</w:t>
            </w:r>
            <w:r w:rsidR="007C0B46">
              <w:rPr>
                <w:rFonts w:ascii="CAIXA Std Book" w:eastAsia="Times New Roman" w:hAnsi="CAIXA Std Book" w:cs="Calibri"/>
                <w:color w:val="005CA9"/>
                <w:sz w:val="16"/>
                <w:szCs w:val="16"/>
              </w:rPr>
              <w:t xml:space="preserve"> - VJR</w:t>
            </w:r>
          </w:p>
        </w:tc>
        <w:tc>
          <w:tcPr>
            <w:tcW w:w="582" w:type="pct"/>
            <w:tcBorders>
              <w:top w:val="nil"/>
              <w:left w:val="nil"/>
              <w:bottom w:val="nil"/>
              <w:right w:val="nil"/>
            </w:tcBorders>
            <w:noWrap/>
            <w:vAlign w:val="center"/>
            <w:hideMark/>
          </w:tcPr>
          <w:p w14:paraId="5502D347" w14:textId="77777777" w:rsidR="004D2852" w:rsidRPr="004D2852" w:rsidRDefault="004D2852" w:rsidP="004D2852">
            <w:pPr>
              <w:jc w:val="right"/>
              <w:rPr>
                <w:rFonts w:ascii="CAIXA Std Book" w:eastAsia="Times New Roman" w:hAnsi="CAIXA Std Book" w:cs="Calibri"/>
                <w:color w:val="005CA9"/>
                <w:sz w:val="16"/>
                <w:szCs w:val="16"/>
              </w:rPr>
            </w:pPr>
            <w:r w:rsidRPr="004D2852">
              <w:rPr>
                <w:rFonts w:ascii="CAIXA Std Book" w:eastAsia="Times New Roman" w:hAnsi="CAIXA Std Book" w:cs="Calibri"/>
                <w:color w:val="005CA9"/>
                <w:sz w:val="16"/>
                <w:szCs w:val="16"/>
              </w:rPr>
              <w:t>286.312</w:t>
            </w:r>
          </w:p>
        </w:tc>
        <w:tc>
          <w:tcPr>
            <w:tcW w:w="582" w:type="pct"/>
            <w:tcBorders>
              <w:top w:val="nil"/>
              <w:left w:val="nil"/>
              <w:bottom w:val="nil"/>
              <w:right w:val="nil"/>
            </w:tcBorders>
            <w:noWrap/>
            <w:vAlign w:val="center"/>
            <w:hideMark/>
          </w:tcPr>
          <w:p w14:paraId="68703CD5" w14:textId="77777777" w:rsidR="004D2852" w:rsidRPr="004D2852" w:rsidRDefault="004D2852" w:rsidP="004D2852">
            <w:pPr>
              <w:jc w:val="right"/>
              <w:rPr>
                <w:rFonts w:ascii="CAIXA Std Book" w:eastAsia="Times New Roman" w:hAnsi="CAIXA Std Book" w:cs="Calibri"/>
                <w:color w:val="005CA9"/>
                <w:sz w:val="16"/>
                <w:szCs w:val="16"/>
              </w:rPr>
            </w:pPr>
            <w:r w:rsidRPr="004D2852">
              <w:rPr>
                <w:rFonts w:ascii="CAIXA Std Book" w:eastAsia="Times New Roman" w:hAnsi="CAIXA Std Book" w:cs="Calibri"/>
                <w:color w:val="005CA9"/>
                <w:sz w:val="16"/>
                <w:szCs w:val="16"/>
              </w:rPr>
              <w:t>(6.013)</w:t>
            </w:r>
          </w:p>
        </w:tc>
        <w:tc>
          <w:tcPr>
            <w:tcW w:w="582" w:type="pct"/>
            <w:tcBorders>
              <w:top w:val="nil"/>
              <w:left w:val="nil"/>
              <w:bottom w:val="nil"/>
              <w:right w:val="nil"/>
            </w:tcBorders>
            <w:noWrap/>
            <w:vAlign w:val="center"/>
            <w:hideMark/>
          </w:tcPr>
          <w:p w14:paraId="34DAA2C1" w14:textId="77777777" w:rsidR="004D2852" w:rsidRPr="004D2852" w:rsidRDefault="004D2852" w:rsidP="004D2852">
            <w:pPr>
              <w:jc w:val="right"/>
              <w:rPr>
                <w:rFonts w:ascii="CAIXA Std Book" w:eastAsia="Times New Roman" w:hAnsi="CAIXA Std Book" w:cs="Calibri"/>
                <w:color w:val="005CA9"/>
                <w:sz w:val="16"/>
                <w:szCs w:val="16"/>
              </w:rPr>
            </w:pPr>
            <w:r w:rsidRPr="004D2852">
              <w:rPr>
                <w:rFonts w:ascii="CAIXA Std Book" w:eastAsia="Times New Roman" w:hAnsi="CAIXA Std Book" w:cs="Calibri"/>
                <w:color w:val="005CA9"/>
                <w:sz w:val="16"/>
                <w:szCs w:val="16"/>
              </w:rPr>
              <w:t>1.559.174</w:t>
            </w:r>
          </w:p>
        </w:tc>
        <w:tc>
          <w:tcPr>
            <w:tcW w:w="582" w:type="pct"/>
            <w:tcBorders>
              <w:top w:val="nil"/>
              <w:left w:val="nil"/>
              <w:bottom w:val="nil"/>
              <w:right w:val="nil"/>
            </w:tcBorders>
            <w:noWrap/>
            <w:vAlign w:val="center"/>
            <w:hideMark/>
          </w:tcPr>
          <w:p w14:paraId="42A284C1" w14:textId="77777777" w:rsidR="004D2852" w:rsidRPr="004D2852" w:rsidRDefault="004D2852" w:rsidP="004D2852">
            <w:pPr>
              <w:jc w:val="center"/>
              <w:rPr>
                <w:rFonts w:ascii="CAIXA Std Book" w:eastAsia="Times New Roman" w:hAnsi="CAIXA Std Book" w:cs="Calibri"/>
                <w:color w:val="005CA9"/>
                <w:sz w:val="16"/>
                <w:szCs w:val="16"/>
              </w:rPr>
            </w:pPr>
            <w:r w:rsidRPr="004D2852">
              <w:rPr>
                <w:rFonts w:ascii="CAIXA Std Book" w:eastAsia="Times New Roman" w:hAnsi="CAIXA Std Book" w:cs="Calibri"/>
                <w:color w:val="005CA9"/>
                <w:sz w:val="16"/>
                <w:szCs w:val="16"/>
              </w:rPr>
              <w:t>-</w:t>
            </w:r>
          </w:p>
        </w:tc>
        <w:tc>
          <w:tcPr>
            <w:tcW w:w="582" w:type="pct"/>
            <w:tcBorders>
              <w:top w:val="nil"/>
              <w:left w:val="nil"/>
              <w:bottom w:val="nil"/>
              <w:right w:val="nil"/>
            </w:tcBorders>
            <w:noWrap/>
            <w:vAlign w:val="center"/>
            <w:hideMark/>
          </w:tcPr>
          <w:p w14:paraId="6FCBB441" w14:textId="77777777" w:rsidR="004D2852" w:rsidRPr="004D2852" w:rsidRDefault="004D2852" w:rsidP="004D2852">
            <w:pPr>
              <w:jc w:val="center"/>
              <w:rPr>
                <w:rFonts w:ascii="CAIXA Std Book" w:eastAsia="Times New Roman" w:hAnsi="CAIXA Std Book" w:cs="Calibri"/>
                <w:color w:val="005CA9"/>
                <w:sz w:val="16"/>
                <w:szCs w:val="16"/>
              </w:rPr>
            </w:pPr>
            <w:r w:rsidRPr="004D2852">
              <w:rPr>
                <w:rFonts w:ascii="CAIXA Std Book" w:eastAsia="Times New Roman" w:hAnsi="CAIXA Std Book" w:cs="Calibri"/>
                <w:color w:val="005CA9"/>
                <w:sz w:val="16"/>
                <w:szCs w:val="16"/>
              </w:rPr>
              <w:t>-</w:t>
            </w:r>
          </w:p>
        </w:tc>
        <w:tc>
          <w:tcPr>
            <w:tcW w:w="582" w:type="pct"/>
            <w:tcBorders>
              <w:top w:val="nil"/>
              <w:left w:val="nil"/>
              <w:bottom w:val="nil"/>
              <w:right w:val="nil"/>
            </w:tcBorders>
            <w:noWrap/>
            <w:vAlign w:val="center"/>
            <w:hideMark/>
          </w:tcPr>
          <w:p w14:paraId="74CF2123" w14:textId="77777777" w:rsidR="004D2852" w:rsidRPr="004D2852" w:rsidRDefault="004D2852" w:rsidP="004D2852">
            <w:pPr>
              <w:jc w:val="right"/>
              <w:rPr>
                <w:rFonts w:ascii="CAIXA Std Book" w:eastAsia="Times New Roman" w:hAnsi="CAIXA Std Book" w:cs="Calibri"/>
                <w:color w:val="005CA9"/>
                <w:sz w:val="16"/>
                <w:szCs w:val="16"/>
              </w:rPr>
            </w:pPr>
            <w:r w:rsidRPr="004D2852">
              <w:rPr>
                <w:rFonts w:ascii="CAIXA Std Book" w:eastAsia="Times New Roman" w:hAnsi="CAIXA Std Book" w:cs="Calibri"/>
                <w:color w:val="005CA9"/>
                <w:sz w:val="16"/>
                <w:szCs w:val="16"/>
              </w:rPr>
              <w:t>1.839.473</w:t>
            </w:r>
          </w:p>
        </w:tc>
      </w:tr>
      <w:tr w:rsidR="004D2852" w:rsidRPr="004D2852" w14:paraId="462037F7" w14:textId="77777777" w:rsidTr="00BC00DB">
        <w:trPr>
          <w:trHeight w:val="283"/>
        </w:trPr>
        <w:tc>
          <w:tcPr>
            <w:tcW w:w="1508" w:type="pct"/>
            <w:tcBorders>
              <w:top w:val="nil"/>
              <w:left w:val="nil"/>
              <w:bottom w:val="nil"/>
              <w:right w:val="nil"/>
            </w:tcBorders>
            <w:noWrap/>
            <w:vAlign w:val="center"/>
            <w:hideMark/>
          </w:tcPr>
          <w:p w14:paraId="67E86DC5" w14:textId="33E8836B" w:rsidR="004D2852" w:rsidRPr="004D2852" w:rsidRDefault="004D2852" w:rsidP="004D2852">
            <w:pPr>
              <w:rPr>
                <w:rFonts w:ascii="CAIXA Std Book" w:eastAsia="Times New Roman" w:hAnsi="CAIXA Std Book" w:cs="Calibri"/>
                <w:color w:val="005CA9"/>
                <w:sz w:val="16"/>
                <w:szCs w:val="16"/>
              </w:rPr>
            </w:pPr>
            <w:r w:rsidRPr="004D2852">
              <w:rPr>
                <w:rFonts w:ascii="CAIXA Std Book" w:eastAsia="Times New Roman" w:hAnsi="CAIXA Std Book" w:cs="Calibri"/>
                <w:color w:val="005CA9"/>
                <w:sz w:val="16"/>
                <w:szCs w:val="16"/>
              </w:rPr>
              <w:t>Títulos e valores mobiliários</w:t>
            </w:r>
            <w:r w:rsidR="007C0B46">
              <w:rPr>
                <w:rFonts w:ascii="CAIXA Std Book" w:eastAsia="Times New Roman" w:hAnsi="CAIXA Std Book" w:cs="Calibri"/>
                <w:color w:val="005CA9"/>
                <w:sz w:val="16"/>
                <w:szCs w:val="16"/>
              </w:rPr>
              <w:t xml:space="preserve"> - VJORA</w:t>
            </w:r>
          </w:p>
        </w:tc>
        <w:tc>
          <w:tcPr>
            <w:tcW w:w="582" w:type="pct"/>
            <w:tcBorders>
              <w:top w:val="nil"/>
              <w:left w:val="nil"/>
              <w:bottom w:val="nil"/>
              <w:right w:val="nil"/>
            </w:tcBorders>
            <w:noWrap/>
            <w:vAlign w:val="center"/>
            <w:hideMark/>
          </w:tcPr>
          <w:p w14:paraId="5AC80E82" w14:textId="77777777" w:rsidR="004D2852" w:rsidRPr="004D2852" w:rsidRDefault="004D2852" w:rsidP="004D2852">
            <w:pPr>
              <w:jc w:val="right"/>
              <w:rPr>
                <w:rFonts w:ascii="CAIXA Std Book" w:eastAsia="Times New Roman" w:hAnsi="CAIXA Std Book" w:cs="Calibri"/>
                <w:color w:val="005CA9"/>
                <w:sz w:val="16"/>
                <w:szCs w:val="16"/>
              </w:rPr>
            </w:pPr>
            <w:r w:rsidRPr="004D2852">
              <w:rPr>
                <w:rFonts w:ascii="CAIXA Std Book" w:eastAsia="Times New Roman" w:hAnsi="CAIXA Std Book" w:cs="Calibri"/>
                <w:color w:val="005CA9"/>
                <w:sz w:val="16"/>
                <w:szCs w:val="16"/>
              </w:rPr>
              <w:t>9.981.209</w:t>
            </w:r>
          </w:p>
        </w:tc>
        <w:tc>
          <w:tcPr>
            <w:tcW w:w="582" w:type="pct"/>
            <w:tcBorders>
              <w:top w:val="nil"/>
              <w:left w:val="nil"/>
              <w:bottom w:val="nil"/>
              <w:right w:val="nil"/>
            </w:tcBorders>
            <w:noWrap/>
            <w:vAlign w:val="center"/>
            <w:hideMark/>
          </w:tcPr>
          <w:p w14:paraId="47E1794D" w14:textId="77777777" w:rsidR="004D2852" w:rsidRPr="004D2852" w:rsidRDefault="004D2852" w:rsidP="004D2852">
            <w:pPr>
              <w:jc w:val="right"/>
              <w:rPr>
                <w:rFonts w:ascii="CAIXA Std Book" w:eastAsia="Times New Roman" w:hAnsi="CAIXA Std Book" w:cs="Calibri"/>
                <w:color w:val="005CA9"/>
                <w:sz w:val="16"/>
                <w:szCs w:val="16"/>
              </w:rPr>
            </w:pPr>
            <w:r w:rsidRPr="004D2852">
              <w:rPr>
                <w:rFonts w:ascii="CAIXA Std Book" w:eastAsia="Times New Roman" w:hAnsi="CAIXA Std Book" w:cs="Calibri"/>
                <w:color w:val="005CA9"/>
                <w:sz w:val="16"/>
                <w:szCs w:val="16"/>
              </w:rPr>
              <w:t>(182.963)</w:t>
            </w:r>
          </w:p>
        </w:tc>
        <w:tc>
          <w:tcPr>
            <w:tcW w:w="582" w:type="pct"/>
            <w:tcBorders>
              <w:top w:val="nil"/>
              <w:left w:val="nil"/>
              <w:bottom w:val="nil"/>
              <w:right w:val="nil"/>
            </w:tcBorders>
            <w:noWrap/>
            <w:vAlign w:val="center"/>
            <w:hideMark/>
          </w:tcPr>
          <w:p w14:paraId="2FF76447" w14:textId="77777777" w:rsidR="004D2852" w:rsidRPr="004D2852" w:rsidRDefault="004D2852" w:rsidP="004D2852">
            <w:pPr>
              <w:jc w:val="right"/>
              <w:rPr>
                <w:rFonts w:ascii="CAIXA Std Book" w:eastAsia="Times New Roman" w:hAnsi="CAIXA Std Book" w:cs="Calibri"/>
                <w:color w:val="005CA9"/>
                <w:sz w:val="16"/>
                <w:szCs w:val="16"/>
              </w:rPr>
            </w:pPr>
            <w:r w:rsidRPr="004D2852">
              <w:rPr>
                <w:rFonts w:ascii="CAIXA Std Book" w:eastAsia="Times New Roman" w:hAnsi="CAIXA Std Book" w:cs="Calibri"/>
                <w:color w:val="005CA9"/>
                <w:sz w:val="16"/>
                <w:szCs w:val="16"/>
              </w:rPr>
              <w:t>7.330.147</w:t>
            </w:r>
          </w:p>
        </w:tc>
        <w:tc>
          <w:tcPr>
            <w:tcW w:w="582" w:type="pct"/>
            <w:tcBorders>
              <w:top w:val="nil"/>
              <w:left w:val="nil"/>
              <w:bottom w:val="nil"/>
              <w:right w:val="nil"/>
            </w:tcBorders>
            <w:noWrap/>
            <w:vAlign w:val="center"/>
            <w:hideMark/>
          </w:tcPr>
          <w:p w14:paraId="40CEC173" w14:textId="77777777" w:rsidR="004D2852" w:rsidRPr="004D2852" w:rsidRDefault="004D2852" w:rsidP="004D2852">
            <w:pPr>
              <w:jc w:val="right"/>
              <w:rPr>
                <w:rFonts w:ascii="CAIXA Std Book" w:eastAsia="Times New Roman" w:hAnsi="CAIXA Std Book" w:cs="Calibri"/>
                <w:color w:val="005CA9"/>
                <w:sz w:val="16"/>
                <w:szCs w:val="16"/>
              </w:rPr>
            </w:pPr>
            <w:r w:rsidRPr="004D2852">
              <w:rPr>
                <w:rFonts w:ascii="CAIXA Std Book" w:eastAsia="Times New Roman" w:hAnsi="CAIXA Std Book" w:cs="Calibri"/>
                <w:color w:val="005CA9"/>
                <w:sz w:val="16"/>
                <w:szCs w:val="16"/>
              </w:rPr>
              <w:t>(617.186)</w:t>
            </w:r>
          </w:p>
        </w:tc>
        <w:tc>
          <w:tcPr>
            <w:tcW w:w="582" w:type="pct"/>
            <w:tcBorders>
              <w:top w:val="nil"/>
              <w:left w:val="nil"/>
              <w:bottom w:val="nil"/>
              <w:right w:val="nil"/>
            </w:tcBorders>
            <w:noWrap/>
            <w:vAlign w:val="center"/>
            <w:hideMark/>
          </w:tcPr>
          <w:p w14:paraId="56E02175" w14:textId="77777777" w:rsidR="004D2852" w:rsidRPr="004D2852" w:rsidRDefault="004D2852" w:rsidP="004D2852">
            <w:pPr>
              <w:jc w:val="right"/>
              <w:rPr>
                <w:rFonts w:ascii="CAIXA Std Book" w:eastAsia="Times New Roman" w:hAnsi="CAIXA Std Book" w:cs="Calibri"/>
                <w:color w:val="005CA9"/>
                <w:sz w:val="16"/>
                <w:szCs w:val="16"/>
              </w:rPr>
            </w:pPr>
            <w:r w:rsidRPr="004D2852">
              <w:rPr>
                <w:rFonts w:ascii="CAIXA Std Book" w:eastAsia="Times New Roman" w:hAnsi="CAIXA Std Book" w:cs="Calibri"/>
                <w:color w:val="005CA9"/>
                <w:sz w:val="16"/>
                <w:szCs w:val="16"/>
              </w:rPr>
              <w:t>(257.921)</w:t>
            </w:r>
          </w:p>
        </w:tc>
        <w:tc>
          <w:tcPr>
            <w:tcW w:w="582" w:type="pct"/>
            <w:tcBorders>
              <w:top w:val="nil"/>
              <w:left w:val="nil"/>
              <w:bottom w:val="nil"/>
              <w:right w:val="nil"/>
            </w:tcBorders>
            <w:noWrap/>
            <w:vAlign w:val="center"/>
            <w:hideMark/>
          </w:tcPr>
          <w:p w14:paraId="6F7066AF" w14:textId="77777777" w:rsidR="004D2852" w:rsidRPr="004D2852" w:rsidRDefault="004D2852" w:rsidP="004D2852">
            <w:pPr>
              <w:jc w:val="right"/>
              <w:rPr>
                <w:rFonts w:ascii="CAIXA Std Book" w:eastAsia="Times New Roman" w:hAnsi="CAIXA Std Book" w:cs="Calibri"/>
                <w:color w:val="005CA9"/>
                <w:sz w:val="16"/>
                <w:szCs w:val="16"/>
              </w:rPr>
            </w:pPr>
            <w:r w:rsidRPr="004D2852">
              <w:rPr>
                <w:rFonts w:ascii="CAIXA Std Book" w:eastAsia="Times New Roman" w:hAnsi="CAIXA Std Book" w:cs="Calibri"/>
                <w:color w:val="005CA9"/>
                <w:sz w:val="16"/>
                <w:szCs w:val="16"/>
              </w:rPr>
              <w:t>16.253.286</w:t>
            </w:r>
          </w:p>
        </w:tc>
      </w:tr>
      <w:tr w:rsidR="004D2852" w:rsidRPr="004D2852" w14:paraId="2BCBD321" w14:textId="77777777" w:rsidTr="00BC00DB">
        <w:trPr>
          <w:trHeight w:val="283"/>
        </w:trPr>
        <w:tc>
          <w:tcPr>
            <w:tcW w:w="1508" w:type="pct"/>
            <w:tcBorders>
              <w:top w:val="nil"/>
              <w:left w:val="nil"/>
              <w:bottom w:val="nil"/>
              <w:right w:val="nil"/>
            </w:tcBorders>
            <w:shd w:val="clear" w:color="000000" w:fill="005CA9"/>
            <w:noWrap/>
            <w:vAlign w:val="center"/>
            <w:hideMark/>
          </w:tcPr>
          <w:p w14:paraId="5D0FEA40" w14:textId="77777777" w:rsidR="004D2852" w:rsidRPr="004D2852" w:rsidRDefault="004D2852" w:rsidP="004D2852">
            <w:pPr>
              <w:rPr>
                <w:rFonts w:ascii="CAIXA Std Book" w:eastAsia="Times New Roman" w:hAnsi="CAIXA Std Book" w:cs="Calibri"/>
                <w:b/>
                <w:bCs/>
                <w:color w:val="FFFFFF"/>
                <w:sz w:val="16"/>
                <w:szCs w:val="16"/>
              </w:rPr>
            </w:pPr>
            <w:r w:rsidRPr="004D2852">
              <w:rPr>
                <w:rFonts w:ascii="CAIXA Std Book" w:eastAsia="Times New Roman" w:hAnsi="CAIXA Std Book" w:cs="Calibri"/>
                <w:b/>
                <w:bCs/>
                <w:color w:val="FFFFFF"/>
                <w:sz w:val="16"/>
                <w:szCs w:val="16"/>
              </w:rPr>
              <w:t>Total</w:t>
            </w:r>
          </w:p>
        </w:tc>
        <w:tc>
          <w:tcPr>
            <w:tcW w:w="582" w:type="pct"/>
            <w:tcBorders>
              <w:top w:val="nil"/>
              <w:left w:val="nil"/>
              <w:bottom w:val="nil"/>
              <w:right w:val="nil"/>
            </w:tcBorders>
            <w:shd w:val="clear" w:color="000000" w:fill="005CA9"/>
            <w:noWrap/>
            <w:vAlign w:val="center"/>
            <w:hideMark/>
          </w:tcPr>
          <w:p w14:paraId="469A8C31" w14:textId="77777777" w:rsidR="004D2852" w:rsidRPr="004D2852" w:rsidRDefault="004D2852" w:rsidP="004D2852">
            <w:pPr>
              <w:jc w:val="right"/>
              <w:rPr>
                <w:rFonts w:ascii="CAIXA Std Book" w:eastAsia="Times New Roman" w:hAnsi="CAIXA Std Book" w:cs="Calibri"/>
                <w:b/>
                <w:bCs/>
                <w:color w:val="FFFFFF"/>
                <w:sz w:val="16"/>
                <w:szCs w:val="16"/>
              </w:rPr>
            </w:pPr>
            <w:r w:rsidRPr="004D2852">
              <w:rPr>
                <w:rFonts w:ascii="CAIXA Std Book" w:eastAsia="Times New Roman" w:hAnsi="CAIXA Std Book" w:cs="Calibri"/>
                <w:b/>
                <w:bCs/>
                <w:color w:val="FFFFFF"/>
                <w:sz w:val="16"/>
                <w:szCs w:val="16"/>
              </w:rPr>
              <w:t>10.267.521</w:t>
            </w:r>
          </w:p>
        </w:tc>
        <w:tc>
          <w:tcPr>
            <w:tcW w:w="582" w:type="pct"/>
            <w:tcBorders>
              <w:top w:val="nil"/>
              <w:left w:val="nil"/>
              <w:bottom w:val="nil"/>
              <w:right w:val="nil"/>
            </w:tcBorders>
            <w:shd w:val="clear" w:color="000000" w:fill="005CA9"/>
            <w:noWrap/>
            <w:vAlign w:val="center"/>
            <w:hideMark/>
          </w:tcPr>
          <w:p w14:paraId="3200FFB4" w14:textId="77777777" w:rsidR="004D2852" w:rsidRPr="004D2852" w:rsidRDefault="004D2852" w:rsidP="004D2852">
            <w:pPr>
              <w:jc w:val="right"/>
              <w:rPr>
                <w:rFonts w:ascii="CAIXA Std Book" w:eastAsia="Times New Roman" w:hAnsi="CAIXA Std Book" w:cs="Calibri"/>
                <w:b/>
                <w:bCs/>
                <w:color w:val="FFFFFF"/>
                <w:sz w:val="16"/>
                <w:szCs w:val="16"/>
              </w:rPr>
            </w:pPr>
            <w:r w:rsidRPr="004D2852">
              <w:rPr>
                <w:rFonts w:ascii="CAIXA Std Book" w:eastAsia="Times New Roman" w:hAnsi="CAIXA Std Book" w:cs="Calibri"/>
                <w:b/>
                <w:bCs/>
                <w:color w:val="FFFFFF"/>
                <w:sz w:val="16"/>
                <w:szCs w:val="16"/>
              </w:rPr>
              <w:t>(188.976)</w:t>
            </w:r>
          </w:p>
        </w:tc>
        <w:tc>
          <w:tcPr>
            <w:tcW w:w="582" w:type="pct"/>
            <w:tcBorders>
              <w:top w:val="nil"/>
              <w:left w:val="nil"/>
              <w:bottom w:val="nil"/>
              <w:right w:val="nil"/>
            </w:tcBorders>
            <w:shd w:val="clear" w:color="000000" w:fill="005CA9"/>
            <w:noWrap/>
            <w:vAlign w:val="center"/>
            <w:hideMark/>
          </w:tcPr>
          <w:p w14:paraId="6B5E764D" w14:textId="77777777" w:rsidR="004D2852" w:rsidRPr="004D2852" w:rsidRDefault="004D2852" w:rsidP="004D2852">
            <w:pPr>
              <w:jc w:val="right"/>
              <w:rPr>
                <w:rFonts w:ascii="CAIXA Std Book" w:eastAsia="Times New Roman" w:hAnsi="CAIXA Std Book" w:cs="Calibri"/>
                <w:b/>
                <w:bCs/>
                <w:color w:val="FFFFFF"/>
                <w:sz w:val="16"/>
                <w:szCs w:val="16"/>
              </w:rPr>
            </w:pPr>
            <w:r w:rsidRPr="004D2852">
              <w:rPr>
                <w:rFonts w:ascii="CAIXA Std Book" w:eastAsia="Times New Roman" w:hAnsi="CAIXA Std Book" w:cs="Calibri"/>
                <w:b/>
                <w:bCs/>
                <w:color w:val="FFFFFF"/>
                <w:sz w:val="16"/>
                <w:szCs w:val="16"/>
              </w:rPr>
              <w:t>8.889.321</w:t>
            </w:r>
          </w:p>
        </w:tc>
        <w:tc>
          <w:tcPr>
            <w:tcW w:w="582" w:type="pct"/>
            <w:tcBorders>
              <w:top w:val="nil"/>
              <w:left w:val="nil"/>
              <w:bottom w:val="nil"/>
              <w:right w:val="nil"/>
            </w:tcBorders>
            <w:shd w:val="clear" w:color="000000" w:fill="005CA9"/>
            <w:noWrap/>
            <w:vAlign w:val="center"/>
            <w:hideMark/>
          </w:tcPr>
          <w:p w14:paraId="21ED66FA" w14:textId="77777777" w:rsidR="004D2852" w:rsidRPr="004D2852" w:rsidRDefault="004D2852" w:rsidP="004D2852">
            <w:pPr>
              <w:jc w:val="right"/>
              <w:rPr>
                <w:rFonts w:ascii="CAIXA Std Book" w:eastAsia="Times New Roman" w:hAnsi="CAIXA Std Book" w:cs="Calibri"/>
                <w:b/>
                <w:bCs/>
                <w:color w:val="FFFFFF"/>
                <w:sz w:val="16"/>
                <w:szCs w:val="16"/>
              </w:rPr>
            </w:pPr>
            <w:r w:rsidRPr="004D2852">
              <w:rPr>
                <w:rFonts w:ascii="CAIXA Std Book" w:eastAsia="Times New Roman" w:hAnsi="CAIXA Std Book" w:cs="Calibri"/>
                <w:b/>
                <w:bCs/>
                <w:color w:val="FFFFFF"/>
                <w:sz w:val="16"/>
                <w:szCs w:val="16"/>
              </w:rPr>
              <w:t>(617.186)</w:t>
            </w:r>
          </w:p>
        </w:tc>
        <w:tc>
          <w:tcPr>
            <w:tcW w:w="582" w:type="pct"/>
            <w:tcBorders>
              <w:top w:val="nil"/>
              <w:left w:val="nil"/>
              <w:bottom w:val="nil"/>
              <w:right w:val="nil"/>
            </w:tcBorders>
            <w:shd w:val="clear" w:color="000000" w:fill="005CA9"/>
            <w:noWrap/>
            <w:vAlign w:val="center"/>
            <w:hideMark/>
          </w:tcPr>
          <w:p w14:paraId="2B945A2A" w14:textId="77777777" w:rsidR="004D2852" w:rsidRPr="004D2852" w:rsidRDefault="004D2852" w:rsidP="004D2852">
            <w:pPr>
              <w:jc w:val="right"/>
              <w:rPr>
                <w:rFonts w:ascii="CAIXA Std Book" w:eastAsia="Times New Roman" w:hAnsi="CAIXA Std Book" w:cs="Calibri"/>
                <w:b/>
                <w:bCs/>
                <w:color w:val="FFFFFF"/>
                <w:sz w:val="16"/>
                <w:szCs w:val="16"/>
              </w:rPr>
            </w:pPr>
            <w:r w:rsidRPr="004D2852">
              <w:rPr>
                <w:rFonts w:ascii="CAIXA Std Book" w:eastAsia="Times New Roman" w:hAnsi="CAIXA Std Book" w:cs="Calibri"/>
                <w:b/>
                <w:bCs/>
                <w:color w:val="FFFFFF"/>
                <w:sz w:val="16"/>
                <w:szCs w:val="16"/>
              </w:rPr>
              <w:t>(257.921)</w:t>
            </w:r>
          </w:p>
        </w:tc>
        <w:tc>
          <w:tcPr>
            <w:tcW w:w="582" w:type="pct"/>
            <w:tcBorders>
              <w:top w:val="nil"/>
              <w:left w:val="nil"/>
              <w:bottom w:val="nil"/>
              <w:right w:val="nil"/>
            </w:tcBorders>
            <w:shd w:val="clear" w:color="000000" w:fill="005CA9"/>
            <w:noWrap/>
            <w:vAlign w:val="center"/>
            <w:hideMark/>
          </w:tcPr>
          <w:p w14:paraId="7553D2D3" w14:textId="77777777" w:rsidR="004D2852" w:rsidRPr="004D2852" w:rsidRDefault="004D2852" w:rsidP="004D2852">
            <w:pPr>
              <w:jc w:val="right"/>
              <w:rPr>
                <w:rFonts w:ascii="CAIXA Std Book" w:eastAsia="Times New Roman" w:hAnsi="CAIXA Std Book" w:cs="Calibri"/>
                <w:b/>
                <w:bCs/>
                <w:color w:val="FFFFFF"/>
                <w:sz w:val="16"/>
                <w:szCs w:val="16"/>
              </w:rPr>
            </w:pPr>
            <w:r w:rsidRPr="004D2852">
              <w:rPr>
                <w:rFonts w:ascii="CAIXA Std Book" w:eastAsia="Times New Roman" w:hAnsi="CAIXA Std Book" w:cs="Calibri"/>
                <w:b/>
                <w:bCs/>
                <w:color w:val="FFFFFF"/>
                <w:sz w:val="16"/>
                <w:szCs w:val="16"/>
              </w:rPr>
              <w:t>18.092.759</w:t>
            </w:r>
          </w:p>
        </w:tc>
      </w:tr>
    </w:tbl>
    <w:p w14:paraId="7BAE6294" w14:textId="40FB347D" w:rsidR="00910576" w:rsidRPr="00BC00DB" w:rsidRDefault="00910576" w:rsidP="00117984">
      <w:pPr>
        <w:rPr>
          <w:rFonts w:ascii="CAIXA Std Book" w:eastAsia="Times New Roman" w:hAnsi="CAIXA Std Book" w:cs="Calibri"/>
          <w:color w:val="005CA9"/>
          <w:sz w:val="20"/>
          <w:szCs w:val="20"/>
        </w:rPr>
      </w:pPr>
    </w:p>
    <w:tbl>
      <w:tblPr>
        <w:tblW w:w="5003" w:type="pct"/>
        <w:tblInd w:w="-5" w:type="dxa"/>
        <w:tblCellMar>
          <w:left w:w="70" w:type="dxa"/>
          <w:right w:w="70" w:type="dxa"/>
        </w:tblCellMar>
        <w:tblLook w:val="04A0" w:firstRow="1" w:lastRow="0" w:firstColumn="1" w:lastColumn="0" w:noHBand="0" w:noVBand="1"/>
      </w:tblPr>
      <w:tblGrid>
        <w:gridCol w:w="4394"/>
        <w:gridCol w:w="1696"/>
        <w:gridCol w:w="1696"/>
        <w:gridCol w:w="1696"/>
        <w:gridCol w:w="1696"/>
        <w:gridCol w:w="1696"/>
        <w:gridCol w:w="1696"/>
      </w:tblGrid>
      <w:tr w:rsidR="006514C8" w:rsidRPr="006514C8" w14:paraId="602BE1F7" w14:textId="77777777" w:rsidTr="00375F89">
        <w:trPr>
          <w:trHeight w:val="283"/>
        </w:trPr>
        <w:tc>
          <w:tcPr>
            <w:tcW w:w="5000" w:type="pct"/>
            <w:gridSpan w:val="7"/>
            <w:tcBorders>
              <w:top w:val="single" w:sz="4" w:space="0" w:color="FFFFFF"/>
              <w:left w:val="single" w:sz="4" w:space="0" w:color="FFFFFF"/>
              <w:bottom w:val="single" w:sz="4" w:space="0" w:color="FFFFFF"/>
              <w:right w:val="single" w:sz="4" w:space="0" w:color="FFFFFF"/>
            </w:tcBorders>
            <w:shd w:val="clear" w:color="000000" w:fill="005CA9"/>
            <w:vAlign w:val="center"/>
            <w:hideMark/>
          </w:tcPr>
          <w:p w14:paraId="52C16426" w14:textId="77777777" w:rsidR="006514C8" w:rsidRPr="006514C8" w:rsidRDefault="006514C8" w:rsidP="006514C8">
            <w:pPr>
              <w:jc w:val="center"/>
              <w:rPr>
                <w:rFonts w:ascii="CAIXA Std Book" w:eastAsia="Times New Roman" w:hAnsi="CAIXA Std Book" w:cs="Times New Roman"/>
                <w:b/>
                <w:bCs/>
                <w:color w:val="FFFFFF"/>
                <w:sz w:val="16"/>
                <w:szCs w:val="16"/>
              </w:rPr>
            </w:pPr>
            <w:r w:rsidRPr="006514C8">
              <w:rPr>
                <w:rFonts w:ascii="CAIXA Std Book" w:eastAsia="Times New Roman" w:hAnsi="CAIXA Std Book" w:cs="Times New Roman"/>
                <w:b/>
                <w:bCs/>
                <w:color w:val="FFFFFF"/>
                <w:sz w:val="16"/>
                <w:szCs w:val="16"/>
              </w:rPr>
              <w:t>Consolidado</w:t>
            </w:r>
          </w:p>
        </w:tc>
      </w:tr>
      <w:tr w:rsidR="006514C8" w:rsidRPr="006514C8" w14:paraId="238B1756" w14:textId="77777777" w:rsidTr="009676A1">
        <w:trPr>
          <w:trHeight w:val="283"/>
        </w:trPr>
        <w:tc>
          <w:tcPr>
            <w:tcW w:w="1508" w:type="pct"/>
            <w:tcBorders>
              <w:top w:val="nil"/>
              <w:left w:val="nil"/>
              <w:bottom w:val="nil"/>
              <w:right w:val="nil"/>
            </w:tcBorders>
            <w:shd w:val="clear" w:color="000000" w:fill="005CA9"/>
            <w:noWrap/>
            <w:vAlign w:val="center"/>
            <w:hideMark/>
          </w:tcPr>
          <w:p w14:paraId="0E88AA9C" w14:textId="77777777" w:rsidR="006514C8" w:rsidRPr="006514C8" w:rsidRDefault="006514C8" w:rsidP="006514C8">
            <w:pPr>
              <w:jc w:val="center"/>
              <w:rPr>
                <w:rFonts w:ascii="CAIXA Std Book" w:eastAsia="Times New Roman" w:hAnsi="CAIXA Std Book" w:cs="Times New Roman"/>
                <w:b/>
                <w:bCs/>
                <w:color w:val="FFFFFF"/>
                <w:sz w:val="16"/>
                <w:szCs w:val="16"/>
              </w:rPr>
            </w:pPr>
            <w:r w:rsidRPr="006514C8">
              <w:rPr>
                <w:rFonts w:ascii="CAIXA Std Book" w:eastAsia="Times New Roman" w:hAnsi="CAIXA Std Book" w:cs="Times New Roman"/>
                <w:b/>
                <w:bCs/>
                <w:color w:val="FFFFFF"/>
                <w:sz w:val="16"/>
                <w:szCs w:val="16"/>
              </w:rPr>
              <w:t>Descrição</w:t>
            </w:r>
          </w:p>
        </w:tc>
        <w:tc>
          <w:tcPr>
            <w:tcW w:w="582" w:type="pct"/>
            <w:tcBorders>
              <w:top w:val="nil"/>
              <w:left w:val="nil"/>
              <w:bottom w:val="nil"/>
              <w:right w:val="nil"/>
            </w:tcBorders>
            <w:shd w:val="clear" w:color="000000" w:fill="005CA9"/>
            <w:vAlign w:val="center"/>
            <w:hideMark/>
          </w:tcPr>
          <w:p w14:paraId="2C05C909" w14:textId="77777777" w:rsidR="006514C8" w:rsidRPr="006514C8" w:rsidRDefault="006514C8" w:rsidP="006514C8">
            <w:pPr>
              <w:jc w:val="center"/>
              <w:rPr>
                <w:rFonts w:ascii="CAIXA Std Book" w:eastAsia="Times New Roman" w:hAnsi="CAIXA Std Book" w:cs="Times New Roman"/>
                <w:b/>
                <w:bCs/>
                <w:color w:val="FFFFFF"/>
                <w:sz w:val="16"/>
                <w:szCs w:val="16"/>
              </w:rPr>
            </w:pPr>
            <w:r w:rsidRPr="006514C8">
              <w:rPr>
                <w:rFonts w:ascii="CAIXA Std Book" w:eastAsia="Times New Roman" w:hAnsi="CAIXA Std Book" w:cs="Times New Roman"/>
                <w:b/>
                <w:bCs/>
                <w:color w:val="FFFFFF"/>
                <w:sz w:val="16"/>
                <w:szCs w:val="16"/>
              </w:rPr>
              <w:t>Valor justo em 31/12/2025</w:t>
            </w:r>
          </w:p>
        </w:tc>
        <w:tc>
          <w:tcPr>
            <w:tcW w:w="582" w:type="pct"/>
            <w:tcBorders>
              <w:top w:val="nil"/>
              <w:left w:val="nil"/>
              <w:bottom w:val="nil"/>
              <w:right w:val="nil"/>
            </w:tcBorders>
            <w:shd w:val="clear" w:color="000000" w:fill="005CA9"/>
            <w:vAlign w:val="center"/>
            <w:hideMark/>
          </w:tcPr>
          <w:p w14:paraId="45875C54" w14:textId="77777777" w:rsidR="001D775E" w:rsidRDefault="006514C8" w:rsidP="006514C8">
            <w:pPr>
              <w:jc w:val="center"/>
              <w:rPr>
                <w:rFonts w:ascii="CAIXA Std Book" w:eastAsia="Times New Roman" w:hAnsi="CAIXA Std Book" w:cs="Times New Roman"/>
                <w:b/>
                <w:bCs/>
                <w:color w:val="FFFFFF"/>
                <w:sz w:val="16"/>
                <w:szCs w:val="16"/>
              </w:rPr>
            </w:pPr>
            <w:r w:rsidRPr="006514C8">
              <w:rPr>
                <w:rFonts w:ascii="CAIXA Std Book" w:eastAsia="Times New Roman" w:hAnsi="CAIXA Std Book" w:cs="Times New Roman"/>
                <w:b/>
                <w:bCs/>
                <w:color w:val="FFFFFF"/>
                <w:sz w:val="16"/>
                <w:szCs w:val="16"/>
              </w:rPr>
              <w:t>Total de ganhos e perdas (realizado/</w:t>
            </w:r>
          </w:p>
          <w:p w14:paraId="74FE381B" w14:textId="3419315C" w:rsidR="006514C8" w:rsidRPr="006514C8" w:rsidRDefault="006514C8" w:rsidP="006514C8">
            <w:pPr>
              <w:jc w:val="center"/>
              <w:rPr>
                <w:rFonts w:ascii="CAIXA Std Book" w:eastAsia="Times New Roman" w:hAnsi="CAIXA Std Book" w:cs="Times New Roman"/>
                <w:b/>
                <w:bCs/>
                <w:color w:val="FFFFFF"/>
                <w:sz w:val="16"/>
                <w:szCs w:val="16"/>
              </w:rPr>
            </w:pPr>
            <w:r w:rsidRPr="006514C8">
              <w:rPr>
                <w:rFonts w:ascii="CAIXA Std Book" w:eastAsia="Times New Roman" w:hAnsi="CAIXA Std Book" w:cs="Times New Roman"/>
                <w:b/>
                <w:bCs/>
                <w:color w:val="FFFFFF"/>
                <w:sz w:val="16"/>
                <w:szCs w:val="16"/>
              </w:rPr>
              <w:t>não realizado)</w:t>
            </w:r>
          </w:p>
        </w:tc>
        <w:tc>
          <w:tcPr>
            <w:tcW w:w="582" w:type="pct"/>
            <w:tcBorders>
              <w:top w:val="nil"/>
              <w:left w:val="nil"/>
              <w:bottom w:val="nil"/>
              <w:right w:val="nil"/>
            </w:tcBorders>
            <w:shd w:val="clear" w:color="000000" w:fill="005CA9"/>
            <w:vAlign w:val="center"/>
            <w:hideMark/>
          </w:tcPr>
          <w:p w14:paraId="57BB5BD8" w14:textId="77777777" w:rsidR="006514C8" w:rsidRPr="006514C8" w:rsidRDefault="006514C8" w:rsidP="006514C8">
            <w:pPr>
              <w:jc w:val="center"/>
              <w:rPr>
                <w:rFonts w:ascii="CAIXA Std Book" w:eastAsia="Times New Roman" w:hAnsi="CAIXA Std Book" w:cs="Times New Roman"/>
                <w:b/>
                <w:bCs/>
                <w:color w:val="FFFFFF"/>
                <w:sz w:val="16"/>
                <w:szCs w:val="16"/>
              </w:rPr>
            </w:pPr>
            <w:r w:rsidRPr="006514C8">
              <w:rPr>
                <w:rFonts w:ascii="CAIXA Std Book" w:eastAsia="Times New Roman" w:hAnsi="CAIXA Std Book" w:cs="Times New Roman"/>
                <w:b/>
                <w:bCs/>
                <w:color w:val="FFFFFF"/>
                <w:sz w:val="16"/>
                <w:szCs w:val="16"/>
              </w:rPr>
              <w:t>Compras</w:t>
            </w:r>
          </w:p>
        </w:tc>
        <w:tc>
          <w:tcPr>
            <w:tcW w:w="582" w:type="pct"/>
            <w:tcBorders>
              <w:top w:val="nil"/>
              <w:left w:val="nil"/>
              <w:bottom w:val="nil"/>
              <w:right w:val="nil"/>
            </w:tcBorders>
            <w:shd w:val="clear" w:color="000000" w:fill="005CA9"/>
            <w:vAlign w:val="center"/>
            <w:hideMark/>
          </w:tcPr>
          <w:p w14:paraId="49BF4702" w14:textId="74EDEE69" w:rsidR="006514C8" w:rsidRPr="006514C8" w:rsidRDefault="006514C8" w:rsidP="006514C8">
            <w:pPr>
              <w:jc w:val="center"/>
              <w:rPr>
                <w:rFonts w:ascii="CAIXA Std Book" w:eastAsia="Times New Roman" w:hAnsi="CAIXA Std Book" w:cs="Times New Roman"/>
                <w:b/>
                <w:bCs/>
                <w:color w:val="FFFFFF"/>
                <w:sz w:val="16"/>
                <w:szCs w:val="16"/>
              </w:rPr>
            </w:pPr>
            <w:r w:rsidRPr="006514C8">
              <w:rPr>
                <w:rFonts w:ascii="CAIXA Std Book" w:eastAsia="Times New Roman" w:hAnsi="CAIXA Std Book" w:cs="Times New Roman"/>
                <w:b/>
                <w:bCs/>
                <w:color w:val="FFFFFF"/>
                <w:sz w:val="16"/>
                <w:szCs w:val="16"/>
              </w:rPr>
              <w:t>Vendas/liquidações</w:t>
            </w:r>
          </w:p>
        </w:tc>
        <w:tc>
          <w:tcPr>
            <w:tcW w:w="582" w:type="pct"/>
            <w:tcBorders>
              <w:top w:val="nil"/>
              <w:left w:val="nil"/>
              <w:bottom w:val="nil"/>
              <w:right w:val="nil"/>
            </w:tcBorders>
            <w:shd w:val="clear" w:color="000000" w:fill="005CA9"/>
            <w:vAlign w:val="center"/>
            <w:hideMark/>
          </w:tcPr>
          <w:p w14:paraId="4A13F3E3" w14:textId="2F0DBB7C" w:rsidR="006514C8" w:rsidRPr="006514C8" w:rsidRDefault="006514C8" w:rsidP="006514C8">
            <w:pPr>
              <w:jc w:val="center"/>
              <w:rPr>
                <w:rFonts w:ascii="CAIXA Std Book" w:eastAsia="Times New Roman" w:hAnsi="CAIXA Std Book" w:cs="Times New Roman"/>
                <w:b/>
                <w:bCs/>
                <w:color w:val="FFFFFF"/>
                <w:sz w:val="16"/>
                <w:szCs w:val="16"/>
              </w:rPr>
            </w:pPr>
            <w:r w:rsidRPr="006514C8">
              <w:rPr>
                <w:rFonts w:ascii="CAIXA Std Book" w:eastAsia="Times New Roman" w:hAnsi="CAIXA Std Book" w:cs="Times New Roman"/>
                <w:b/>
                <w:bCs/>
                <w:color w:val="FFFFFF"/>
                <w:sz w:val="16"/>
                <w:szCs w:val="16"/>
              </w:rPr>
              <w:t>Transferência do Nível 3 (1)</w:t>
            </w:r>
          </w:p>
        </w:tc>
        <w:tc>
          <w:tcPr>
            <w:tcW w:w="582" w:type="pct"/>
            <w:tcBorders>
              <w:top w:val="nil"/>
              <w:left w:val="nil"/>
              <w:bottom w:val="nil"/>
              <w:right w:val="nil"/>
            </w:tcBorders>
            <w:shd w:val="clear" w:color="000000" w:fill="005CA9"/>
            <w:vAlign w:val="center"/>
            <w:hideMark/>
          </w:tcPr>
          <w:p w14:paraId="7A803556" w14:textId="1FB89972" w:rsidR="006514C8" w:rsidRPr="006514C8" w:rsidRDefault="006514C8" w:rsidP="006514C8">
            <w:pPr>
              <w:jc w:val="center"/>
              <w:rPr>
                <w:rFonts w:ascii="CAIXA Std Book" w:eastAsia="Times New Roman" w:hAnsi="CAIXA Std Book" w:cs="Times New Roman"/>
                <w:b/>
                <w:bCs/>
                <w:color w:val="FFFFFF"/>
                <w:sz w:val="16"/>
                <w:szCs w:val="16"/>
              </w:rPr>
            </w:pPr>
            <w:r w:rsidRPr="006514C8">
              <w:rPr>
                <w:rFonts w:ascii="CAIXA Std Book" w:eastAsia="Times New Roman" w:hAnsi="CAIXA Std Book" w:cs="Times New Roman"/>
                <w:b/>
                <w:bCs/>
                <w:color w:val="FFFFFF"/>
                <w:sz w:val="16"/>
                <w:szCs w:val="16"/>
              </w:rPr>
              <w:t xml:space="preserve">Valor </w:t>
            </w:r>
            <w:r w:rsidR="001E7926">
              <w:rPr>
                <w:rFonts w:ascii="CAIXA Std Book" w:eastAsia="Times New Roman" w:hAnsi="CAIXA Std Book" w:cs="Times New Roman"/>
                <w:b/>
                <w:bCs/>
                <w:color w:val="FFFFFF"/>
                <w:sz w:val="16"/>
                <w:szCs w:val="16"/>
              </w:rPr>
              <w:t>j</w:t>
            </w:r>
            <w:r w:rsidRPr="006514C8">
              <w:rPr>
                <w:rFonts w:ascii="CAIXA Std Book" w:eastAsia="Times New Roman" w:hAnsi="CAIXA Std Book" w:cs="Times New Roman"/>
                <w:b/>
                <w:bCs/>
                <w:color w:val="FFFFFF"/>
                <w:sz w:val="16"/>
                <w:szCs w:val="16"/>
              </w:rPr>
              <w:t>usto em 31/03/2026</w:t>
            </w:r>
          </w:p>
        </w:tc>
      </w:tr>
      <w:tr w:rsidR="006514C8" w:rsidRPr="006514C8" w14:paraId="7A09B885" w14:textId="77777777" w:rsidTr="009676A1">
        <w:trPr>
          <w:trHeight w:val="283"/>
        </w:trPr>
        <w:tc>
          <w:tcPr>
            <w:tcW w:w="1508" w:type="pct"/>
            <w:tcBorders>
              <w:top w:val="nil"/>
              <w:left w:val="nil"/>
              <w:bottom w:val="nil"/>
              <w:right w:val="nil"/>
            </w:tcBorders>
            <w:noWrap/>
            <w:vAlign w:val="center"/>
            <w:hideMark/>
          </w:tcPr>
          <w:p w14:paraId="2A0AF1B8" w14:textId="77777777" w:rsidR="006514C8" w:rsidRPr="006514C8" w:rsidRDefault="006514C8" w:rsidP="006514C8">
            <w:pPr>
              <w:rPr>
                <w:rFonts w:ascii="CAIXA Std Book" w:eastAsia="Times New Roman" w:hAnsi="CAIXA Std Book" w:cs="Times New Roman"/>
                <w:color w:val="005CA9"/>
                <w:sz w:val="16"/>
                <w:szCs w:val="16"/>
              </w:rPr>
            </w:pPr>
            <w:r w:rsidRPr="006514C8">
              <w:rPr>
                <w:rFonts w:ascii="CAIXA Std Book" w:eastAsia="Times New Roman" w:hAnsi="CAIXA Std Book" w:cs="Times New Roman"/>
                <w:color w:val="005CA9"/>
                <w:sz w:val="16"/>
                <w:szCs w:val="16"/>
              </w:rPr>
              <w:t>Títulos e valores mobiliários - VJR</w:t>
            </w:r>
          </w:p>
        </w:tc>
        <w:tc>
          <w:tcPr>
            <w:tcW w:w="582" w:type="pct"/>
            <w:tcBorders>
              <w:top w:val="nil"/>
              <w:left w:val="nil"/>
              <w:bottom w:val="nil"/>
              <w:right w:val="nil"/>
            </w:tcBorders>
            <w:noWrap/>
            <w:vAlign w:val="center"/>
            <w:hideMark/>
          </w:tcPr>
          <w:p w14:paraId="00E7F185" w14:textId="77777777" w:rsidR="006514C8" w:rsidRPr="006514C8" w:rsidRDefault="006514C8" w:rsidP="006514C8">
            <w:pPr>
              <w:jc w:val="right"/>
              <w:rPr>
                <w:rFonts w:ascii="CAIXA Std Book" w:eastAsia="Times New Roman" w:hAnsi="CAIXA Std Book" w:cs="Times New Roman"/>
                <w:color w:val="005CA9"/>
                <w:sz w:val="16"/>
                <w:szCs w:val="16"/>
              </w:rPr>
            </w:pPr>
            <w:r w:rsidRPr="006514C8">
              <w:rPr>
                <w:rFonts w:ascii="CAIXA Std Book" w:eastAsia="Times New Roman" w:hAnsi="CAIXA Std Book" w:cs="Arial"/>
                <w:color w:val="005CA9"/>
                <w:sz w:val="16"/>
                <w:szCs w:val="16"/>
              </w:rPr>
              <w:t>1.839.473</w:t>
            </w:r>
          </w:p>
        </w:tc>
        <w:tc>
          <w:tcPr>
            <w:tcW w:w="582" w:type="pct"/>
            <w:tcBorders>
              <w:top w:val="nil"/>
              <w:left w:val="nil"/>
              <w:bottom w:val="nil"/>
              <w:right w:val="nil"/>
            </w:tcBorders>
            <w:noWrap/>
            <w:vAlign w:val="center"/>
            <w:hideMark/>
          </w:tcPr>
          <w:p w14:paraId="5D292E57" w14:textId="77777777" w:rsidR="006514C8" w:rsidRPr="006514C8" w:rsidRDefault="006514C8" w:rsidP="006514C8">
            <w:pPr>
              <w:jc w:val="right"/>
              <w:rPr>
                <w:rFonts w:ascii="CAIXA Std Book" w:eastAsia="Times New Roman" w:hAnsi="CAIXA Std Book" w:cs="Times New Roman"/>
                <w:color w:val="005CA9"/>
                <w:sz w:val="16"/>
                <w:szCs w:val="16"/>
              </w:rPr>
            </w:pPr>
            <w:r w:rsidRPr="006514C8">
              <w:rPr>
                <w:rFonts w:ascii="CAIXA Std Book" w:eastAsia="Times New Roman" w:hAnsi="CAIXA Std Book" w:cs="Arial"/>
                <w:color w:val="005CA9"/>
                <w:sz w:val="16"/>
                <w:szCs w:val="16"/>
              </w:rPr>
              <w:t>(31.030)</w:t>
            </w:r>
          </w:p>
        </w:tc>
        <w:tc>
          <w:tcPr>
            <w:tcW w:w="582" w:type="pct"/>
            <w:tcBorders>
              <w:top w:val="nil"/>
              <w:left w:val="nil"/>
              <w:bottom w:val="nil"/>
              <w:right w:val="nil"/>
            </w:tcBorders>
            <w:noWrap/>
            <w:vAlign w:val="center"/>
            <w:hideMark/>
          </w:tcPr>
          <w:p w14:paraId="0FE3B433" w14:textId="77777777" w:rsidR="006514C8" w:rsidRPr="006514C8" w:rsidRDefault="006514C8" w:rsidP="006514C8">
            <w:pPr>
              <w:jc w:val="right"/>
              <w:rPr>
                <w:rFonts w:ascii="CAIXA Std Book" w:eastAsia="Times New Roman" w:hAnsi="CAIXA Std Book" w:cs="Times New Roman"/>
                <w:color w:val="005CA9"/>
                <w:sz w:val="16"/>
                <w:szCs w:val="16"/>
              </w:rPr>
            </w:pPr>
            <w:r w:rsidRPr="006514C8">
              <w:rPr>
                <w:rFonts w:ascii="CAIXA Std Book" w:eastAsia="Times New Roman" w:hAnsi="CAIXA Std Book" w:cs="Arial"/>
                <w:color w:val="005CA9"/>
                <w:sz w:val="16"/>
                <w:szCs w:val="16"/>
              </w:rPr>
              <w:t>928.662</w:t>
            </w:r>
          </w:p>
        </w:tc>
        <w:tc>
          <w:tcPr>
            <w:tcW w:w="582" w:type="pct"/>
            <w:tcBorders>
              <w:top w:val="nil"/>
              <w:left w:val="nil"/>
              <w:bottom w:val="nil"/>
              <w:right w:val="nil"/>
            </w:tcBorders>
            <w:noWrap/>
            <w:vAlign w:val="center"/>
            <w:hideMark/>
          </w:tcPr>
          <w:p w14:paraId="2D84B962" w14:textId="77777777" w:rsidR="006514C8" w:rsidRPr="006514C8" w:rsidRDefault="006514C8" w:rsidP="006514C8">
            <w:pPr>
              <w:jc w:val="right"/>
              <w:rPr>
                <w:rFonts w:ascii="CAIXA Std Book" w:eastAsia="Times New Roman" w:hAnsi="CAIXA Std Book" w:cs="Times New Roman"/>
                <w:color w:val="005CA9"/>
                <w:sz w:val="16"/>
                <w:szCs w:val="16"/>
              </w:rPr>
            </w:pPr>
            <w:r w:rsidRPr="006514C8">
              <w:rPr>
                <w:rFonts w:ascii="CAIXA Std Book" w:eastAsia="Times New Roman" w:hAnsi="CAIXA Std Book" w:cs="Arial"/>
                <w:color w:val="005CA9"/>
                <w:sz w:val="16"/>
                <w:szCs w:val="16"/>
              </w:rPr>
              <w:t>(211.102)</w:t>
            </w:r>
          </w:p>
        </w:tc>
        <w:tc>
          <w:tcPr>
            <w:tcW w:w="582" w:type="pct"/>
            <w:tcBorders>
              <w:top w:val="nil"/>
              <w:left w:val="nil"/>
              <w:bottom w:val="nil"/>
              <w:right w:val="nil"/>
            </w:tcBorders>
            <w:noWrap/>
            <w:vAlign w:val="center"/>
            <w:hideMark/>
          </w:tcPr>
          <w:p w14:paraId="57C8A88F" w14:textId="77777777" w:rsidR="006514C8" w:rsidRPr="006514C8" w:rsidRDefault="006514C8" w:rsidP="006514C8">
            <w:pPr>
              <w:jc w:val="right"/>
              <w:rPr>
                <w:rFonts w:ascii="CAIXA Std Book" w:eastAsia="Times New Roman" w:hAnsi="CAIXA Std Book" w:cs="Times New Roman"/>
                <w:color w:val="005CA9"/>
                <w:sz w:val="16"/>
                <w:szCs w:val="16"/>
              </w:rPr>
            </w:pPr>
            <w:r w:rsidRPr="006514C8">
              <w:rPr>
                <w:rFonts w:ascii="CAIXA Std Book" w:eastAsia="Times New Roman" w:hAnsi="CAIXA Std Book" w:cs="Arial"/>
                <w:color w:val="005CA9"/>
                <w:sz w:val="16"/>
                <w:szCs w:val="16"/>
              </w:rPr>
              <w:t>(162.105)</w:t>
            </w:r>
          </w:p>
        </w:tc>
        <w:tc>
          <w:tcPr>
            <w:tcW w:w="582" w:type="pct"/>
            <w:tcBorders>
              <w:top w:val="nil"/>
              <w:left w:val="nil"/>
              <w:bottom w:val="nil"/>
              <w:right w:val="nil"/>
            </w:tcBorders>
            <w:noWrap/>
            <w:vAlign w:val="center"/>
            <w:hideMark/>
          </w:tcPr>
          <w:p w14:paraId="47F76C7C" w14:textId="77777777" w:rsidR="006514C8" w:rsidRPr="006514C8" w:rsidRDefault="006514C8" w:rsidP="006514C8">
            <w:pPr>
              <w:jc w:val="right"/>
              <w:rPr>
                <w:rFonts w:ascii="CAIXA Std Book" w:eastAsia="Times New Roman" w:hAnsi="CAIXA Std Book" w:cs="Times New Roman"/>
                <w:color w:val="005CA9"/>
                <w:sz w:val="16"/>
                <w:szCs w:val="16"/>
              </w:rPr>
            </w:pPr>
            <w:r w:rsidRPr="006514C8">
              <w:rPr>
                <w:rFonts w:ascii="CAIXA Std Book" w:eastAsia="Times New Roman" w:hAnsi="CAIXA Std Book" w:cs="Arial"/>
                <w:color w:val="005CA9"/>
                <w:sz w:val="16"/>
                <w:szCs w:val="16"/>
              </w:rPr>
              <w:t>2.363.898</w:t>
            </w:r>
          </w:p>
        </w:tc>
      </w:tr>
      <w:tr w:rsidR="006514C8" w:rsidRPr="006514C8" w14:paraId="0E452465" w14:textId="77777777" w:rsidTr="009676A1">
        <w:trPr>
          <w:trHeight w:val="283"/>
        </w:trPr>
        <w:tc>
          <w:tcPr>
            <w:tcW w:w="1508" w:type="pct"/>
            <w:tcBorders>
              <w:top w:val="nil"/>
              <w:left w:val="nil"/>
              <w:bottom w:val="nil"/>
              <w:right w:val="nil"/>
            </w:tcBorders>
            <w:noWrap/>
            <w:vAlign w:val="center"/>
            <w:hideMark/>
          </w:tcPr>
          <w:p w14:paraId="61F8C099" w14:textId="77777777" w:rsidR="006514C8" w:rsidRPr="006514C8" w:rsidRDefault="006514C8" w:rsidP="006514C8">
            <w:pPr>
              <w:rPr>
                <w:rFonts w:ascii="CAIXA Std Book" w:eastAsia="Times New Roman" w:hAnsi="CAIXA Std Book" w:cs="Times New Roman"/>
                <w:color w:val="005CA9"/>
                <w:sz w:val="16"/>
                <w:szCs w:val="16"/>
              </w:rPr>
            </w:pPr>
            <w:r w:rsidRPr="006514C8">
              <w:rPr>
                <w:rFonts w:ascii="CAIXA Std Book" w:eastAsia="Times New Roman" w:hAnsi="CAIXA Std Book" w:cs="Times New Roman"/>
                <w:color w:val="005CA9"/>
                <w:sz w:val="16"/>
                <w:szCs w:val="16"/>
              </w:rPr>
              <w:t>Títulos e valores mobiliários - VJORA</w:t>
            </w:r>
          </w:p>
        </w:tc>
        <w:tc>
          <w:tcPr>
            <w:tcW w:w="582" w:type="pct"/>
            <w:tcBorders>
              <w:top w:val="nil"/>
              <w:left w:val="nil"/>
              <w:bottom w:val="nil"/>
              <w:right w:val="nil"/>
            </w:tcBorders>
            <w:noWrap/>
            <w:vAlign w:val="center"/>
            <w:hideMark/>
          </w:tcPr>
          <w:p w14:paraId="1F019835" w14:textId="77777777" w:rsidR="006514C8" w:rsidRPr="006514C8" w:rsidRDefault="006514C8" w:rsidP="006514C8">
            <w:pPr>
              <w:jc w:val="right"/>
              <w:rPr>
                <w:rFonts w:ascii="CAIXA Std Book" w:eastAsia="Times New Roman" w:hAnsi="CAIXA Std Book" w:cs="Times New Roman"/>
                <w:color w:val="005CA9"/>
                <w:sz w:val="16"/>
                <w:szCs w:val="16"/>
              </w:rPr>
            </w:pPr>
            <w:r w:rsidRPr="006514C8">
              <w:rPr>
                <w:rFonts w:ascii="CAIXA Std Book" w:eastAsia="Times New Roman" w:hAnsi="CAIXA Std Book" w:cs="Arial"/>
                <w:color w:val="005CA9"/>
                <w:sz w:val="16"/>
                <w:szCs w:val="16"/>
              </w:rPr>
              <w:t>16.253.286</w:t>
            </w:r>
          </w:p>
        </w:tc>
        <w:tc>
          <w:tcPr>
            <w:tcW w:w="582" w:type="pct"/>
            <w:tcBorders>
              <w:top w:val="nil"/>
              <w:left w:val="nil"/>
              <w:bottom w:val="nil"/>
              <w:right w:val="nil"/>
            </w:tcBorders>
            <w:noWrap/>
            <w:vAlign w:val="center"/>
            <w:hideMark/>
          </w:tcPr>
          <w:p w14:paraId="1B38EEF1" w14:textId="77777777" w:rsidR="006514C8" w:rsidRPr="006514C8" w:rsidRDefault="006514C8" w:rsidP="006514C8">
            <w:pPr>
              <w:jc w:val="right"/>
              <w:rPr>
                <w:rFonts w:ascii="CAIXA Std Book" w:eastAsia="Times New Roman" w:hAnsi="CAIXA Std Book" w:cs="Times New Roman"/>
                <w:color w:val="005CA9"/>
                <w:sz w:val="16"/>
                <w:szCs w:val="16"/>
              </w:rPr>
            </w:pPr>
            <w:r w:rsidRPr="006514C8">
              <w:rPr>
                <w:rFonts w:ascii="CAIXA Std Book" w:eastAsia="Times New Roman" w:hAnsi="CAIXA Std Book" w:cs="Arial"/>
                <w:color w:val="005CA9"/>
                <w:sz w:val="16"/>
                <w:szCs w:val="16"/>
              </w:rPr>
              <w:t>(694.708)</w:t>
            </w:r>
          </w:p>
        </w:tc>
        <w:tc>
          <w:tcPr>
            <w:tcW w:w="582" w:type="pct"/>
            <w:tcBorders>
              <w:top w:val="nil"/>
              <w:left w:val="nil"/>
              <w:bottom w:val="nil"/>
              <w:right w:val="nil"/>
            </w:tcBorders>
            <w:noWrap/>
            <w:vAlign w:val="center"/>
            <w:hideMark/>
          </w:tcPr>
          <w:p w14:paraId="7233442D" w14:textId="77777777" w:rsidR="006514C8" w:rsidRPr="006514C8" w:rsidRDefault="006514C8" w:rsidP="006514C8">
            <w:pPr>
              <w:jc w:val="right"/>
              <w:rPr>
                <w:rFonts w:ascii="CAIXA Std Book" w:eastAsia="Times New Roman" w:hAnsi="CAIXA Std Book" w:cs="Times New Roman"/>
                <w:color w:val="005CA9"/>
                <w:sz w:val="16"/>
                <w:szCs w:val="16"/>
              </w:rPr>
            </w:pPr>
            <w:r w:rsidRPr="006514C8">
              <w:rPr>
                <w:rFonts w:ascii="CAIXA Std Book" w:eastAsia="Times New Roman" w:hAnsi="CAIXA Std Book" w:cs="Arial"/>
                <w:color w:val="005CA9"/>
                <w:sz w:val="16"/>
                <w:szCs w:val="16"/>
              </w:rPr>
              <w:t>922.197</w:t>
            </w:r>
          </w:p>
        </w:tc>
        <w:tc>
          <w:tcPr>
            <w:tcW w:w="582" w:type="pct"/>
            <w:tcBorders>
              <w:top w:val="nil"/>
              <w:left w:val="nil"/>
              <w:bottom w:val="nil"/>
              <w:right w:val="nil"/>
            </w:tcBorders>
            <w:noWrap/>
            <w:vAlign w:val="center"/>
            <w:hideMark/>
          </w:tcPr>
          <w:p w14:paraId="33CB6E21" w14:textId="77777777" w:rsidR="006514C8" w:rsidRPr="006514C8" w:rsidRDefault="006514C8" w:rsidP="00375F89">
            <w:pPr>
              <w:jc w:val="center"/>
              <w:rPr>
                <w:rFonts w:ascii="CAIXA Std Book" w:eastAsia="Times New Roman" w:hAnsi="CAIXA Std Book" w:cs="Times New Roman"/>
                <w:color w:val="005CA9"/>
                <w:sz w:val="16"/>
                <w:szCs w:val="16"/>
              </w:rPr>
            </w:pPr>
            <w:r w:rsidRPr="006514C8">
              <w:rPr>
                <w:rFonts w:ascii="CAIXA Std Book" w:eastAsia="Times New Roman" w:hAnsi="CAIXA Std Book" w:cs="Arial"/>
                <w:color w:val="005CA9"/>
                <w:sz w:val="16"/>
                <w:szCs w:val="16"/>
              </w:rPr>
              <w:t>-</w:t>
            </w:r>
          </w:p>
        </w:tc>
        <w:tc>
          <w:tcPr>
            <w:tcW w:w="582" w:type="pct"/>
            <w:tcBorders>
              <w:top w:val="nil"/>
              <w:left w:val="nil"/>
              <w:bottom w:val="nil"/>
              <w:right w:val="nil"/>
            </w:tcBorders>
            <w:noWrap/>
            <w:vAlign w:val="center"/>
            <w:hideMark/>
          </w:tcPr>
          <w:p w14:paraId="1E4CC487" w14:textId="77777777" w:rsidR="006514C8" w:rsidRPr="006514C8" w:rsidRDefault="006514C8" w:rsidP="006514C8">
            <w:pPr>
              <w:jc w:val="right"/>
              <w:rPr>
                <w:rFonts w:ascii="CAIXA Std Book" w:eastAsia="Times New Roman" w:hAnsi="CAIXA Std Book" w:cs="Times New Roman"/>
                <w:color w:val="005CA9"/>
                <w:sz w:val="16"/>
                <w:szCs w:val="16"/>
              </w:rPr>
            </w:pPr>
            <w:r w:rsidRPr="006514C8">
              <w:rPr>
                <w:rFonts w:ascii="CAIXA Std Book" w:eastAsia="Times New Roman" w:hAnsi="CAIXA Std Book" w:cs="Arial"/>
                <w:color w:val="005CA9"/>
                <w:sz w:val="16"/>
                <w:szCs w:val="16"/>
              </w:rPr>
              <w:t>(199.861)</w:t>
            </w:r>
          </w:p>
        </w:tc>
        <w:tc>
          <w:tcPr>
            <w:tcW w:w="582" w:type="pct"/>
            <w:tcBorders>
              <w:top w:val="nil"/>
              <w:left w:val="nil"/>
              <w:bottom w:val="nil"/>
              <w:right w:val="nil"/>
            </w:tcBorders>
            <w:noWrap/>
            <w:vAlign w:val="center"/>
            <w:hideMark/>
          </w:tcPr>
          <w:p w14:paraId="021C2F09" w14:textId="77777777" w:rsidR="006514C8" w:rsidRPr="006514C8" w:rsidRDefault="006514C8" w:rsidP="006514C8">
            <w:pPr>
              <w:jc w:val="right"/>
              <w:rPr>
                <w:rFonts w:ascii="CAIXA Std Book" w:eastAsia="Times New Roman" w:hAnsi="CAIXA Std Book" w:cs="Times New Roman"/>
                <w:color w:val="005CA9"/>
                <w:sz w:val="16"/>
                <w:szCs w:val="16"/>
              </w:rPr>
            </w:pPr>
            <w:r w:rsidRPr="006514C8">
              <w:rPr>
                <w:rFonts w:ascii="CAIXA Std Book" w:eastAsia="Times New Roman" w:hAnsi="CAIXA Std Book" w:cs="Arial"/>
                <w:color w:val="005CA9"/>
                <w:sz w:val="16"/>
                <w:szCs w:val="16"/>
              </w:rPr>
              <w:t>16.280.914</w:t>
            </w:r>
          </w:p>
        </w:tc>
      </w:tr>
      <w:tr w:rsidR="006514C8" w:rsidRPr="006514C8" w14:paraId="6515FA6D" w14:textId="77777777" w:rsidTr="009676A1">
        <w:trPr>
          <w:trHeight w:val="283"/>
        </w:trPr>
        <w:tc>
          <w:tcPr>
            <w:tcW w:w="1508" w:type="pct"/>
            <w:tcBorders>
              <w:top w:val="nil"/>
              <w:left w:val="nil"/>
              <w:bottom w:val="nil"/>
              <w:right w:val="nil"/>
            </w:tcBorders>
            <w:shd w:val="clear" w:color="000000" w:fill="005CA9"/>
            <w:noWrap/>
            <w:vAlign w:val="center"/>
            <w:hideMark/>
          </w:tcPr>
          <w:p w14:paraId="0D91EC0C" w14:textId="77777777" w:rsidR="006514C8" w:rsidRPr="006514C8" w:rsidRDefault="006514C8" w:rsidP="006514C8">
            <w:pPr>
              <w:rPr>
                <w:rFonts w:ascii="CAIXA Std Book" w:eastAsia="Times New Roman" w:hAnsi="CAIXA Std Book" w:cs="Times New Roman"/>
                <w:b/>
                <w:bCs/>
                <w:color w:val="FFFFFF"/>
                <w:sz w:val="16"/>
                <w:szCs w:val="16"/>
              </w:rPr>
            </w:pPr>
            <w:r w:rsidRPr="006514C8">
              <w:rPr>
                <w:rFonts w:ascii="CAIXA Std Book" w:eastAsia="Times New Roman" w:hAnsi="CAIXA Std Book" w:cs="Times New Roman"/>
                <w:b/>
                <w:bCs/>
                <w:color w:val="FFFFFF"/>
                <w:sz w:val="16"/>
                <w:szCs w:val="16"/>
              </w:rPr>
              <w:t>Total</w:t>
            </w:r>
          </w:p>
        </w:tc>
        <w:tc>
          <w:tcPr>
            <w:tcW w:w="582" w:type="pct"/>
            <w:tcBorders>
              <w:top w:val="nil"/>
              <w:left w:val="nil"/>
              <w:bottom w:val="nil"/>
              <w:right w:val="nil"/>
            </w:tcBorders>
            <w:shd w:val="clear" w:color="000000" w:fill="005CA9"/>
            <w:noWrap/>
            <w:vAlign w:val="center"/>
            <w:hideMark/>
          </w:tcPr>
          <w:p w14:paraId="32193910" w14:textId="77777777" w:rsidR="006514C8" w:rsidRPr="006514C8" w:rsidRDefault="006514C8" w:rsidP="006514C8">
            <w:pPr>
              <w:jc w:val="right"/>
              <w:rPr>
                <w:rFonts w:ascii="CAIXA Std Book" w:eastAsia="Times New Roman" w:hAnsi="CAIXA Std Book" w:cs="Times New Roman"/>
                <w:b/>
                <w:bCs/>
                <w:color w:val="FFFFFF"/>
                <w:sz w:val="16"/>
                <w:szCs w:val="16"/>
              </w:rPr>
            </w:pPr>
            <w:r w:rsidRPr="006514C8">
              <w:rPr>
                <w:rFonts w:ascii="CAIXA Std Book" w:eastAsia="Times New Roman" w:hAnsi="CAIXA Std Book" w:cs="Calibri"/>
                <w:b/>
                <w:bCs/>
                <w:color w:val="FFFFFF"/>
                <w:sz w:val="16"/>
                <w:szCs w:val="16"/>
              </w:rPr>
              <w:t>18.092.759</w:t>
            </w:r>
          </w:p>
        </w:tc>
        <w:tc>
          <w:tcPr>
            <w:tcW w:w="582" w:type="pct"/>
            <w:tcBorders>
              <w:top w:val="nil"/>
              <w:left w:val="nil"/>
              <w:bottom w:val="nil"/>
              <w:right w:val="nil"/>
            </w:tcBorders>
            <w:shd w:val="clear" w:color="000000" w:fill="005CA9"/>
            <w:noWrap/>
            <w:vAlign w:val="center"/>
            <w:hideMark/>
          </w:tcPr>
          <w:p w14:paraId="0CAEF734" w14:textId="77777777" w:rsidR="006514C8" w:rsidRPr="006514C8" w:rsidRDefault="006514C8" w:rsidP="006514C8">
            <w:pPr>
              <w:jc w:val="right"/>
              <w:rPr>
                <w:rFonts w:ascii="CAIXA Std Book" w:eastAsia="Times New Roman" w:hAnsi="CAIXA Std Book" w:cs="Times New Roman"/>
                <w:b/>
                <w:bCs/>
                <w:color w:val="FFFFFF"/>
                <w:sz w:val="16"/>
                <w:szCs w:val="16"/>
              </w:rPr>
            </w:pPr>
            <w:r w:rsidRPr="006514C8">
              <w:rPr>
                <w:rFonts w:ascii="CAIXA Std Book" w:eastAsia="Times New Roman" w:hAnsi="CAIXA Std Book" w:cs="Calibri"/>
                <w:b/>
                <w:bCs/>
                <w:color w:val="FFFFFF"/>
                <w:sz w:val="16"/>
                <w:szCs w:val="16"/>
              </w:rPr>
              <w:t>(725.738)</w:t>
            </w:r>
          </w:p>
        </w:tc>
        <w:tc>
          <w:tcPr>
            <w:tcW w:w="582" w:type="pct"/>
            <w:tcBorders>
              <w:top w:val="nil"/>
              <w:left w:val="nil"/>
              <w:bottom w:val="nil"/>
              <w:right w:val="nil"/>
            </w:tcBorders>
            <w:shd w:val="clear" w:color="000000" w:fill="005CA9"/>
            <w:noWrap/>
            <w:vAlign w:val="center"/>
            <w:hideMark/>
          </w:tcPr>
          <w:p w14:paraId="2F4E37F2" w14:textId="77777777" w:rsidR="006514C8" w:rsidRPr="006514C8" w:rsidRDefault="006514C8" w:rsidP="006514C8">
            <w:pPr>
              <w:jc w:val="right"/>
              <w:rPr>
                <w:rFonts w:ascii="CAIXA Std Book" w:eastAsia="Times New Roman" w:hAnsi="CAIXA Std Book" w:cs="Times New Roman"/>
                <w:b/>
                <w:bCs/>
                <w:color w:val="FFFFFF"/>
                <w:sz w:val="16"/>
                <w:szCs w:val="16"/>
              </w:rPr>
            </w:pPr>
            <w:r w:rsidRPr="006514C8">
              <w:rPr>
                <w:rFonts w:ascii="CAIXA Std Book" w:eastAsia="Times New Roman" w:hAnsi="CAIXA Std Book" w:cs="Calibri"/>
                <w:b/>
                <w:bCs/>
                <w:color w:val="FFFFFF"/>
                <w:sz w:val="16"/>
                <w:szCs w:val="16"/>
              </w:rPr>
              <w:t>1.850.859</w:t>
            </w:r>
          </w:p>
        </w:tc>
        <w:tc>
          <w:tcPr>
            <w:tcW w:w="582" w:type="pct"/>
            <w:tcBorders>
              <w:top w:val="nil"/>
              <w:left w:val="nil"/>
              <w:bottom w:val="nil"/>
              <w:right w:val="nil"/>
            </w:tcBorders>
            <w:shd w:val="clear" w:color="000000" w:fill="005CA9"/>
            <w:noWrap/>
            <w:vAlign w:val="center"/>
            <w:hideMark/>
          </w:tcPr>
          <w:p w14:paraId="66C4FF47" w14:textId="77777777" w:rsidR="006514C8" w:rsidRPr="006514C8" w:rsidRDefault="006514C8" w:rsidP="006514C8">
            <w:pPr>
              <w:jc w:val="right"/>
              <w:rPr>
                <w:rFonts w:ascii="CAIXA Std Book" w:eastAsia="Times New Roman" w:hAnsi="CAIXA Std Book" w:cs="Times New Roman"/>
                <w:b/>
                <w:bCs/>
                <w:color w:val="FFFFFF"/>
                <w:sz w:val="16"/>
                <w:szCs w:val="16"/>
              </w:rPr>
            </w:pPr>
            <w:r w:rsidRPr="006514C8">
              <w:rPr>
                <w:rFonts w:ascii="CAIXA Std Book" w:eastAsia="Times New Roman" w:hAnsi="CAIXA Std Book" w:cs="Calibri"/>
                <w:b/>
                <w:bCs/>
                <w:color w:val="FFFFFF"/>
                <w:sz w:val="16"/>
                <w:szCs w:val="16"/>
              </w:rPr>
              <w:t>(211.102)</w:t>
            </w:r>
          </w:p>
        </w:tc>
        <w:tc>
          <w:tcPr>
            <w:tcW w:w="582" w:type="pct"/>
            <w:tcBorders>
              <w:top w:val="nil"/>
              <w:left w:val="nil"/>
              <w:bottom w:val="nil"/>
              <w:right w:val="nil"/>
            </w:tcBorders>
            <w:shd w:val="clear" w:color="000000" w:fill="005CA9"/>
            <w:noWrap/>
            <w:vAlign w:val="center"/>
            <w:hideMark/>
          </w:tcPr>
          <w:p w14:paraId="2E8221C2" w14:textId="77777777" w:rsidR="006514C8" w:rsidRPr="006514C8" w:rsidRDefault="006514C8" w:rsidP="006514C8">
            <w:pPr>
              <w:jc w:val="right"/>
              <w:rPr>
                <w:rFonts w:ascii="CAIXA Std Book" w:eastAsia="Times New Roman" w:hAnsi="CAIXA Std Book" w:cs="Times New Roman"/>
                <w:b/>
                <w:bCs/>
                <w:color w:val="FFFFFF"/>
                <w:sz w:val="16"/>
                <w:szCs w:val="16"/>
              </w:rPr>
            </w:pPr>
            <w:r w:rsidRPr="006514C8">
              <w:rPr>
                <w:rFonts w:ascii="CAIXA Std Book" w:eastAsia="Times New Roman" w:hAnsi="CAIXA Std Book" w:cs="Calibri"/>
                <w:b/>
                <w:bCs/>
                <w:color w:val="FFFFFF"/>
                <w:sz w:val="16"/>
                <w:szCs w:val="16"/>
              </w:rPr>
              <w:t>(361.966)</w:t>
            </w:r>
          </w:p>
        </w:tc>
        <w:tc>
          <w:tcPr>
            <w:tcW w:w="582" w:type="pct"/>
            <w:tcBorders>
              <w:top w:val="nil"/>
              <w:left w:val="nil"/>
              <w:bottom w:val="nil"/>
              <w:right w:val="nil"/>
            </w:tcBorders>
            <w:shd w:val="clear" w:color="000000" w:fill="005CA9"/>
            <w:noWrap/>
            <w:vAlign w:val="center"/>
            <w:hideMark/>
          </w:tcPr>
          <w:p w14:paraId="5155D695" w14:textId="77777777" w:rsidR="006514C8" w:rsidRPr="006514C8" w:rsidRDefault="006514C8" w:rsidP="006514C8">
            <w:pPr>
              <w:jc w:val="right"/>
              <w:rPr>
                <w:rFonts w:ascii="CAIXA Std Book" w:eastAsia="Times New Roman" w:hAnsi="CAIXA Std Book" w:cs="Times New Roman"/>
                <w:b/>
                <w:bCs/>
                <w:color w:val="FFFFFF"/>
                <w:sz w:val="16"/>
                <w:szCs w:val="16"/>
              </w:rPr>
            </w:pPr>
            <w:r w:rsidRPr="006514C8">
              <w:rPr>
                <w:rFonts w:ascii="CAIXA Std Book" w:eastAsia="Times New Roman" w:hAnsi="CAIXA Std Book" w:cs="Calibri"/>
                <w:b/>
                <w:bCs/>
                <w:color w:val="FFFFFF"/>
                <w:sz w:val="16"/>
                <w:szCs w:val="16"/>
              </w:rPr>
              <w:t>18.644.812</w:t>
            </w:r>
          </w:p>
        </w:tc>
      </w:tr>
    </w:tbl>
    <w:p w14:paraId="319178E4" w14:textId="77777777" w:rsidR="009676A1" w:rsidRDefault="009676A1">
      <w:r>
        <w:br w:type="page"/>
      </w:r>
    </w:p>
    <w:tbl>
      <w:tblPr>
        <w:tblW w:w="5003" w:type="pct"/>
        <w:tblInd w:w="-5" w:type="dxa"/>
        <w:tblCellMar>
          <w:left w:w="70" w:type="dxa"/>
          <w:right w:w="70" w:type="dxa"/>
        </w:tblCellMar>
        <w:tblLook w:val="04A0" w:firstRow="1" w:lastRow="0" w:firstColumn="1" w:lastColumn="0" w:noHBand="0" w:noVBand="1"/>
      </w:tblPr>
      <w:tblGrid>
        <w:gridCol w:w="4398"/>
        <w:gridCol w:w="1697"/>
        <w:gridCol w:w="1697"/>
        <w:gridCol w:w="1697"/>
        <w:gridCol w:w="1697"/>
        <w:gridCol w:w="1697"/>
        <w:gridCol w:w="1697"/>
      </w:tblGrid>
      <w:tr w:rsidR="004A776E" w:rsidRPr="000B6FCC" w14:paraId="641D1C90" w14:textId="77777777" w:rsidTr="00375F89">
        <w:trPr>
          <w:trHeight w:val="283"/>
        </w:trPr>
        <w:tc>
          <w:tcPr>
            <w:tcW w:w="5000" w:type="pct"/>
            <w:gridSpan w:val="7"/>
            <w:tcBorders>
              <w:top w:val="nil"/>
              <w:left w:val="nil"/>
              <w:bottom w:val="single" w:sz="4" w:space="0" w:color="FFFFFF"/>
              <w:right w:val="nil"/>
            </w:tcBorders>
            <w:shd w:val="clear" w:color="000000" w:fill="005CA9"/>
            <w:vAlign w:val="center"/>
            <w:hideMark/>
          </w:tcPr>
          <w:p w14:paraId="1DE48DB5" w14:textId="77777777" w:rsidR="004A776E" w:rsidRPr="000B6FCC" w:rsidRDefault="004A776E">
            <w:pPr>
              <w:jc w:val="center"/>
              <w:rPr>
                <w:rFonts w:ascii="CAIXA Std Book" w:eastAsia="Times New Roman" w:hAnsi="CAIXA Std Book" w:cs="Times New Roman"/>
                <w:b/>
                <w:bCs/>
                <w:color w:val="FFFFFF"/>
                <w:sz w:val="16"/>
                <w:szCs w:val="16"/>
              </w:rPr>
            </w:pPr>
            <w:r w:rsidRPr="000B6FCC">
              <w:rPr>
                <w:rFonts w:ascii="CAIXA Std Book" w:eastAsia="Times New Roman" w:hAnsi="CAIXA Std Book" w:cs="Times New Roman"/>
                <w:b/>
                <w:bCs/>
                <w:color w:val="FFFFFF"/>
                <w:sz w:val="16"/>
                <w:szCs w:val="16"/>
              </w:rPr>
              <w:t>Consolidado</w:t>
            </w:r>
          </w:p>
        </w:tc>
      </w:tr>
      <w:tr w:rsidR="004A776E" w:rsidRPr="000B6FCC" w14:paraId="0B3FED76" w14:textId="77777777" w:rsidTr="00375F89">
        <w:trPr>
          <w:trHeight w:val="283"/>
        </w:trPr>
        <w:tc>
          <w:tcPr>
            <w:tcW w:w="1508" w:type="pct"/>
            <w:tcBorders>
              <w:top w:val="nil"/>
              <w:left w:val="nil"/>
              <w:bottom w:val="nil"/>
              <w:right w:val="nil"/>
            </w:tcBorders>
            <w:shd w:val="clear" w:color="000000" w:fill="005CA9"/>
            <w:noWrap/>
            <w:vAlign w:val="center"/>
            <w:hideMark/>
          </w:tcPr>
          <w:p w14:paraId="4BDDA8E9" w14:textId="77777777" w:rsidR="004A776E" w:rsidRPr="000B6FCC" w:rsidRDefault="004A776E">
            <w:pPr>
              <w:jc w:val="center"/>
              <w:rPr>
                <w:rFonts w:ascii="CAIXA Std Book" w:eastAsia="Times New Roman" w:hAnsi="CAIXA Std Book" w:cs="Times New Roman"/>
                <w:b/>
                <w:bCs/>
                <w:color w:val="FFFFFF"/>
                <w:sz w:val="16"/>
                <w:szCs w:val="16"/>
              </w:rPr>
            </w:pPr>
            <w:r w:rsidRPr="000B6FCC">
              <w:rPr>
                <w:rFonts w:ascii="CAIXA Std Book" w:eastAsia="Times New Roman" w:hAnsi="CAIXA Std Book" w:cs="Times New Roman"/>
                <w:b/>
                <w:bCs/>
                <w:color w:val="FFFFFF"/>
                <w:sz w:val="16"/>
                <w:szCs w:val="16"/>
              </w:rPr>
              <w:t>Descrição</w:t>
            </w:r>
          </w:p>
        </w:tc>
        <w:tc>
          <w:tcPr>
            <w:tcW w:w="582" w:type="pct"/>
            <w:tcBorders>
              <w:top w:val="nil"/>
              <w:left w:val="nil"/>
              <w:bottom w:val="nil"/>
              <w:right w:val="nil"/>
            </w:tcBorders>
            <w:shd w:val="clear" w:color="000000" w:fill="005CA9"/>
            <w:vAlign w:val="center"/>
            <w:hideMark/>
          </w:tcPr>
          <w:p w14:paraId="11A5E25E" w14:textId="77777777" w:rsidR="004A776E" w:rsidRPr="000B6FCC" w:rsidRDefault="004A776E">
            <w:pPr>
              <w:jc w:val="center"/>
              <w:rPr>
                <w:rFonts w:ascii="CAIXA Std Book" w:eastAsia="Times New Roman" w:hAnsi="CAIXA Std Book" w:cs="Times New Roman"/>
                <w:b/>
                <w:bCs/>
                <w:color w:val="FFFFFF"/>
                <w:sz w:val="16"/>
                <w:szCs w:val="16"/>
              </w:rPr>
            </w:pPr>
            <w:r w:rsidRPr="000B6FCC">
              <w:rPr>
                <w:rFonts w:ascii="CAIXA Std Book" w:eastAsia="Times New Roman" w:hAnsi="CAIXA Std Book" w:cs="Times New Roman"/>
                <w:b/>
                <w:bCs/>
                <w:color w:val="FFFFFF"/>
                <w:sz w:val="16"/>
                <w:szCs w:val="16"/>
              </w:rPr>
              <w:t>Valor justo em 01/01/2025</w:t>
            </w:r>
          </w:p>
        </w:tc>
        <w:tc>
          <w:tcPr>
            <w:tcW w:w="582" w:type="pct"/>
            <w:tcBorders>
              <w:top w:val="nil"/>
              <w:left w:val="nil"/>
              <w:bottom w:val="nil"/>
              <w:right w:val="nil"/>
            </w:tcBorders>
            <w:shd w:val="clear" w:color="000000" w:fill="005CA9"/>
            <w:vAlign w:val="center"/>
            <w:hideMark/>
          </w:tcPr>
          <w:p w14:paraId="3F746F0C" w14:textId="77777777" w:rsidR="001D775E" w:rsidRDefault="004A776E">
            <w:pPr>
              <w:jc w:val="center"/>
              <w:rPr>
                <w:rFonts w:ascii="CAIXA Std Book" w:eastAsia="Times New Roman" w:hAnsi="CAIXA Std Book" w:cs="Times New Roman"/>
                <w:b/>
                <w:bCs/>
                <w:color w:val="FFFFFF"/>
                <w:sz w:val="16"/>
                <w:szCs w:val="16"/>
              </w:rPr>
            </w:pPr>
            <w:r w:rsidRPr="000B6FCC">
              <w:rPr>
                <w:rFonts w:ascii="CAIXA Std Book" w:eastAsia="Times New Roman" w:hAnsi="CAIXA Std Book" w:cs="Times New Roman"/>
                <w:b/>
                <w:bCs/>
                <w:color w:val="FFFFFF"/>
                <w:sz w:val="16"/>
                <w:szCs w:val="16"/>
              </w:rPr>
              <w:t>Total de ganhos e perdas (realizado/</w:t>
            </w:r>
          </w:p>
          <w:p w14:paraId="23E9DCF5" w14:textId="66E02190" w:rsidR="004A776E" w:rsidRPr="000B6FCC" w:rsidRDefault="004A776E">
            <w:pPr>
              <w:jc w:val="center"/>
              <w:rPr>
                <w:rFonts w:ascii="CAIXA Std Book" w:eastAsia="Times New Roman" w:hAnsi="CAIXA Std Book" w:cs="Times New Roman"/>
                <w:b/>
                <w:bCs/>
                <w:color w:val="FFFFFF"/>
                <w:sz w:val="16"/>
                <w:szCs w:val="16"/>
              </w:rPr>
            </w:pPr>
            <w:r w:rsidRPr="000B6FCC">
              <w:rPr>
                <w:rFonts w:ascii="CAIXA Std Book" w:eastAsia="Times New Roman" w:hAnsi="CAIXA Std Book" w:cs="Times New Roman"/>
                <w:b/>
                <w:bCs/>
                <w:color w:val="FFFFFF"/>
                <w:sz w:val="16"/>
                <w:szCs w:val="16"/>
              </w:rPr>
              <w:t>não realizado)</w:t>
            </w:r>
          </w:p>
        </w:tc>
        <w:tc>
          <w:tcPr>
            <w:tcW w:w="582" w:type="pct"/>
            <w:tcBorders>
              <w:top w:val="nil"/>
              <w:left w:val="nil"/>
              <w:bottom w:val="nil"/>
              <w:right w:val="nil"/>
            </w:tcBorders>
            <w:shd w:val="clear" w:color="000000" w:fill="005CA9"/>
            <w:vAlign w:val="center"/>
            <w:hideMark/>
          </w:tcPr>
          <w:p w14:paraId="5DCE6E4E" w14:textId="77777777" w:rsidR="004A776E" w:rsidRPr="000B6FCC" w:rsidRDefault="004A776E">
            <w:pPr>
              <w:jc w:val="center"/>
              <w:rPr>
                <w:rFonts w:ascii="CAIXA Std Book" w:eastAsia="Times New Roman" w:hAnsi="CAIXA Std Book" w:cs="Times New Roman"/>
                <w:b/>
                <w:bCs/>
                <w:color w:val="FFFFFF"/>
                <w:sz w:val="16"/>
                <w:szCs w:val="16"/>
              </w:rPr>
            </w:pPr>
            <w:r w:rsidRPr="000B6FCC">
              <w:rPr>
                <w:rFonts w:ascii="CAIXA Std Book" w:eastAsia="Times New Roman" w:hAnsi="CAIXA Std Book" w:cs="Times New Roman"/>
                <w:b/>
                <w:bCs/>
                <w:color w:val="FFFFFF"/>
                <w:sz w:val="16"/>
                <w:szCs w:val="16"/>
              </w:rPr>
              <w:t>Compras</w:t>
            </w:r>
          </w:p>
        </w:tc>
        <w:tc>
          <w:tcPr>
            <w:tcW w:w="582" w:type="pct"/>
            <w:tcBorders>
              <w:top w:val="nil"/>
              <w:left w:val="nil"/>
              <w:bottom w:val="nil"/>
              <w:right w:val="nil"/>
            </w:tcBorders>
            <w:shd w:val="clear" w:color="000000" w:fill="005CA9"/>
            <w:vAlign w:val="center"/>
            <w:hideMark/>
          </w:tcPr>
          <w:p w14:paraId="536A953B" w14:textId="70D5021D" w:rsidR="004A776E" w:rsidRPr="000B6FCC" w:rsidRDefault="004A776E">
            <w:pPr>
              <w:jc w:val="center"/>
              <w:rPr>
                <w:rFonts w:ascii="CAIXA Std Book" w:eastAsia="Times New Roman" w:hAnsi="CAIXA Std Book" w:cs="Times New Roman"/>
                <w:b/>
                <w:bCs/>
                <w:color w:val="FFFFFF"/>
                <w:sz w:val="16"/>
                <w:szCs w:val="16"/>
              </w:rPr>
            </w:pPr>
            <w:r w:rsidRPr="000B6FCC">
              <w:rPr>
                <w:rFonts w:ascii="CAIXA Std Book" w:eastAsia="Times New Roman" w:hAnsi="CAIXA Std Book" w:cs="Times New Roman"/>
                <w:b/>
                <w:bCs/>
                <w:color w:val="FFFFFF"/>
                <w:sz w:val="16"/>
                <w:szCs w:val="16"/>
              </w:rPr>
              <w:t>Vendas/liquidações</w:t>
            </w:r>
          </w:p>
        </w:tc>
        <w:tc>
          <w:tcPr>
            <w:tcW w:w="582" w:type="pct"/>
            <w:tcBorders>
              <w:top w:val="nil"/>
              <w:left w:val="nil"/>
              <w:bottom w:val="nil"/>
              <w:right w:val="nil"/>
            </w:tcBorders>
            <w:shd w:val="clear" w:color="000000" w:fill="005CA9"/>
            <w:vAlign w:val="center"/>
            <w:hideMark/>
          </w:tcPr>
          <w:p w14:paraId="3AEBCBAE" w14:textId="77777777" w:rsidR="004A776E" w:rsidRPr="000B6FCC" w:rsidRDefault="004A776E">
            <w:pPr>
              <w:jc w:val="center"/>
              <w:rPr>
                <w:rFonts w:ascii="CAIXA Std Book" w:eastAsia="Times New Roman" w:hAnsi="CAIXA Std Book" w:cs="Times New Roman"/>
                <w:b/>
                <w:bCs/>
                <w:color w:val="FFFFFF"/>
                <w:sz w:val="16"/>
                <w:szCs w:val="16"/>
              </w:rPr>
            </w:pPr>
            <w:r w:rsidRPr="000B6FCC">
              <w:rPr>
                <w:rFonts w:ascii="CAIXA Std Book" w:eastAsia="Times New Roman" w:hAnsi="CAIXA Std Book" w:cs="Times New Roman"/>
                <w:b/>
                <w:bCs/>
                <w:color w:val="FFFFFF"/>
                <w:sz w:val="16"/>
                <w:szCs w:val="16"/>
              </w:rPr>
              <w:t>Transferência do Nível 3 (1)</w:t>
            </w:r>
          </w:p>
        </w:tc>
        <w:tc>
          <w:tcPr>
            <w:tcW w:w="582" w:type="pct"/>
            <w:tcBorders>
              <w:top w:val="nil"/>
              <w:left w:val="nil"/>
              <w:bottom w:val="nil"/>
              <w:right w:val="nil"/>
            </w:tcBorders>
            <w:shd w:val="clear" w:color="000000" w:fill="005CA9"/>
            <w:vAlign w:val="center"/>
            <w:hideMark/>
          </w:tcPr>
          <w:p w14:paraId="02F1A47C" w14:textId="57CF15FB" w:rsidR="004A776E" w:rsidRPr="000B6FCC" w:rsidRDefault="004A776E">
            <w:pPr>
              <w:jc w:val="center"/>
              <w:rPr>
                <w:rFonts w:ascii="CAIXA Std Book" w:eastAsia="Times New Roman" w:hAnsi="CAIXA Std Book" w:cs="Times New Roman"/>
                <w:b/>
                <w:bCs/>
                <w:color w:val="FFFFFF"/>
                <w:sz w:val="16"/>
                <w:szCs w:val="16"/>
              </w:rPr>
            </w:pPr>
            <w:r w:rsidRPr="000B6FCC">
              <w:rPr>
                <w:rFonts w:ascii="CAIXA Std Book" w:eastAsia="Times New Roman" w:hAnsi="CAIXA Std Book" w:cs="Times New Roman"/>
                <w:b/>
                <w:bCs/>
                <w:color w:val="FFFFFF"/>
                <w:sz w:val="16"/>
                <w:szCs w:val="16"/>
              </w:rPr>
              <w:t xml:space="preserve">Valor </w:t>
            </w:r>
            <w:r w:rsidR="001D775E">
              <w:rPr>
                <w:rFonts w:ascii="CAIXA Std Book" w:eastAsia="Times New Roman" w:hAnsi="CAIXA Std Book" w:cs="Times New Roman"/>
                <w:b/>
                <w:bCs/>
                <w:color w:val="FFFFFF"/>
                <w:sz w:val="16"/>
                <w:szCs w:val="16"/>
              </w:rPr>
              <w:t>j</w:t>
            </w:r>
            <w:r w:rsidRPr="000B6FCC">
              <w:rPr>
                <w:rFonts w:ascii="CAIXA Std Book" w:eastAsia="Times New Roman" w:hAnsi="CAIXA Std Book" w:cs="Times New Roman"/>
                <w:b/>
                <w:bCs/>
                <w:color w:val="FFFFFF"/>
                <w:sz w:val="16"/>
                <w:szCs w:val="16"/>
              </w:rPr>
              <w:t>usto em 31/12/2025</w:t>
            </w:r>
          </w:p>
        </w:tc>
      </w:tr>
      <w:tr w:rsidR="004A776E" w:rsidRPr="000B6FCC" w14:paraId="286100FA" w14:textId="77777777" w:rsidTr="00375F89">
        <w:trPr>
          <w:trHeight w:val="283"/>
        </w:trPr>
        <w:tc>
          <w:tcPr>
            <w:tcW w:w="1508" w:type="pct"/>
            <w:tcBorders>
              <w:top w:val="nil"/>
              <w:left w:val="nil"/>
              <w:bottom w:val="nil"/>
              <w:right w:val="nil"/>
            </w:tcBorders>
            <w:noWrap/>
            <w:vAlign w:val="center"/>
            <w:hideMark/>
          </w:tcPr>
          <w:p w14:paraId="2E857521" w14:textId="77777777" w:rsidR="004A776E" w:rsidRPr="000B6FCC" w:rsidRDefault="004A776E">
            <w:pPr>
              <w:rPr>
                <w:rFonts w:ascii="CAIXA Std Book" w:eastAsia="Times New Roman" w:hAnsi="CAIXA Std Book" w:cs="Times New Roman"/>
                <w:color w:val="005CA9"/>
                <w:sz w:val="16"/>
                <w:szCs w:val="16"/>
              </w:rPr>
            </w:pPr>
            <w:r w:rsidRPr="000B6FCC">
              <w:rPr>
                <w:rFonts w:ascii="CAIXA Std Book" w:eastAsia="Times New Roman" w:hAnsi="CAIXA Std Book" w:cs="Times New Roman"/>
                <w:color w:val="005CA9"/>
                <w:sz w:val="16"/>
                <w:szCs w:val="16"/>
              </w:rPr>
              <w:t>Títulos e valores mobiliários - VJR</w:t>
            </w:r>
          </w:p>
        </w:tc>
        <w:tc>
          <w:tcPr>
            <w:tcW w:w="582" w:type="pct"/>
            <w:tcBorders>
              <w:top w:val="nil"/>
              <w:left w:val="nil"/>
              <w:bottom w:val="nil"/>
              <w:right w:val="nil"/>
            </w:tcBorders>
            <w:noWrap/>
            <w:vAlign w:val="center"/>
            <w:hideMark/>
          </w:tcPr>
          <w:p w14:paraId="50EB325E" w14:textId="77777777" w:rsidR="004A776E" w:rsidRPr="000B6FCC" w:rsidRDefault="004A776E">
            <w:pPr>
              <w:jc w:val="right"/>
              <w:rPr>
                <w:rFonts w:ascii="CAIXA Std Book" w:eastAsia="Times New Roman" w:hAnsi="CAIXA Std Book" w:cs="Times New Roman"/>
                <w:color w:val="005CA9"/>
                <w:sz w:val="16"/>
                <w:szCs w:val="16"/>
              </w:rPr>
            </w:pPr>
            <w:r w:rsidRPr="000B6FCC">
              <w:rPr>
                <w:rFonts w:ascii="CAIXA Std Book" w:eastAsia="Times New Roman" w:hAnsi="CAIXA Std Book" w:cs="Times New Roman"/>
                <w:color w:val="005CA9"/>
                <w:sz w:val="16"/>
                <w:szCs w:val="16"/>
              </w:rPr>
              <w:t>336.590</w:t>
            </w:r>
          </w:p>
        </w:tc>
        <w:tc>
          <w:tcPr>
            <w:tcW w:w="582" w:type="pct"/>
            <w:tcBorders>
              <w:top w:val="nil"/>
              <w:left w:val="nil"/>
              <w:bottom w:val="nil"/>
              <w:right w:val="nil"/>
            </w:tcBorders>
            <w:noWrap/>
            <w:vAlign w:val="center"/>
            <w:hideMark/>
          </w:tcPr>
          <w:p w14:paraId="69F8245D" w14:textId="77777777" w:rsidR="004A776E" w:rsidRPr="000B6FCC" w:rsidRDefault="004A776E">
            <w:pPr>
              <w:jc w:val="right"/>
              <w:rPr>
                <w:rFonts w:ascii="CAIXA Std Book" w:eastAsia="Times New Roman" w:hAnsi="CAIXA Std Book" w:cs="Times New Roman"/>
                <w:color w:val="005CA9"/>
                <w:sz w:val="16"/>
                <w:szCs w:val="16"/>
              </w:rPr>
            </w:pPr>
            <w:r w:rsidRPr="000B6FCC">
              <w:rPr>
                <w:rFonts w:ascii="CAIXA Std Book" w:eastAsia="Times New Roman" w:hAnsi="CAIXA Std Book" w:cs="Times New Roman"/>
                <w:color w:val="005CA9"/>
                <w:sz w:val="16"/>
                <w:szCs w:val="16"/>
              </w:rPr>
              <w:t>(56.291)</w:t>
            </w:r>
          </w:p>
        </w:tc>
        <w:tc>
          <w:tcPr>
            <w:tcW w:w="582" w:type="pct"/>
            <w:tcBorders>
              <w:top w:val="nil"/>
              <w:left w:val="nil"/>
              <w:bottom w:val="nil"/>
              <w:right w:val="nil"/>
            </w:tcBorders>
            <w:noWrap/>
            <w:vAlign w:val="center"/>
            <w:hideMark/>
          </w:tcPr>
          <w:p w14:paraId="6F97EEA1" w14:textId="77777777" w:rsidR="004A776E" w:rsidRPr="000B6FCC" w:rsidRDefault="004A776E">
            <w:pPr>
              <w:jc w:val="right"/>
              <w:rPr>
                <w:rFonts w:ascii="CAIXA Std Book" w:eastAsia="Times New Roman" w:hAnsi="CAIXA Std Book" w:cs="Times New Roman"/>
                <w:color w:val="005CA9"/>
                <w:sz w:val="16"/>
                <w:szCs w:val="16"/>
              </w:rPr>
            </w:pPr>
            <w:r w:rsidRPr="000B6FCC">
              <w:rPr>
                <w:rFonts w:ascii="CAIXA Std Book" w:eastAsia="Times New Roman" w:hAnsi="CAIXA Std Book" w:cs="Times New Roman"/>
                <w:color w:val="005CA9"/>
                <w:sz w:val="16"/>
                <w:szCs w:val="16"/>
              </w:rPr>
              <w:t>1.559.174</w:t>
            </w:r>
          </w:p>
        </w:tc>
        <w:tc>
          <w:tcPr>
            <w:tcW w:w="582" w:type="pct"/>
            <w:tcBorders>
              <w:top w:val="nil"/>
              <w:left w:val="nil"/>
              <w:bottom w:val="nil"/>
              <w:right w:val="nil"/>
            </w:tcBorders>
            <w:noWrap/>
            <w:vAlign w:val="center"/>
            <w:hideMark/>
          </w:tcPr>
          <w:p w14:paraId="32AA9771" w14:textId="77777777" w:rsidR="004A776E" w:rsidRPr="000B6FCC" w:rsidRDefault="004A776E">
            <w:pPr>
              <w:jc w:val="center"/>
              <w:rPr>
                <w:rFonts w:ascii="CAIXA Std Book" w:eastAsia="Times New Roman" w:hAnsi="CAIXA Std Book" w:cs="Times New Roman"/>
                <w:color w:val="005CA9"/>
                <w:sz w:val="16"/>
                <w:szCs w:val="16"/>
              </w:rPr>
            </w:pPr>
            <w:r w:rsidRPr="000B6FCC">
              <w:rPr>
                <w:rFonts w:ascii="CAIXA Std Book" w:eastAsia="Times New Roman" w:hAnsi="CAIXA Std Book" w:cs="Times New Roman"/>
                <w:color w:val="005CA9"/>
                <w:sz w:val="16"/>
                <w:szCs w:val="16"/>
              </w:rPr>
              <w:t>-</w:t>
            </w:r>
          </w:p>
        </w:tc>
        <w:tc>
          <w:tcPr>
            <w:tcW w:w="582" w:type="pct"/>
            <w:tcBorders>
              <w:top w:val="nil"/>
              <w:left w:val="nil"/>
              <w:bottom w:val="nil"/>
              <w:right w:val="nil"/>
            </w:tcBorders>
            <w:noWrap/>
            <w:vAlign w:val="center"/>
            <w:hideMark/>
          </w:tcPr>
          <w:p w14:paraId="558094C1" w14:textId="77777777" w:rsidR="004A776E" w:rsidRPr="000B6FCC" w:rsidRDefault="004A776E">
            <w:pPr>
              <w:jc w:val="center"/>
              <w:rPr>
                <w:rFonts w:ascii="CAIXA Std Book" w:eastAsia="Times New Roman" w:hAnsi="CAIXA Std Book" w:cs="Times New Roman"/>
                <w:color w:val="005CA9"/>
                <w:sz w:val="16"/>
                <w:szCs w:val="16"/>
              </w:rPr>
            </w:pPr>
            <w:r w:rsidRPr="000B6FCC">
              <w:rPr>
                <w:rFonts w:ascii="CAIXA Std Book" w:eastAsia="Times New Roman" w:hAnsi="CAIXA Std Book" w:cs="Times New Roman"/>
                <w:color w:val="005CA9"/>
                <w:sz w:val="16"/>
                <w:szCs w:val="16"/>
              </w:rPr>
              <w:t>-</w:t>
            </w:r>
          </w:p>
        </w:tc>
        <w:tc>
          <w:tcPr>
            <w:tcW w:w="582" w:type="pct"/>
            <w:tcBorders>
              <w:top w:val="nil"/>
              <w:left w:val="nil"/>
              <w:bottom w:val="nil"/>
              <w:right w:val="nil"/>
            </w:tcBorders>
            <w:noWrap/>
            <w:vAlign w:val="center"/>
            <w:hideMark/>
          </w:tcPr>
          <w:p w14:paraId="40D78DA0" w14:textId="77777777" w:rsidR="004A776E" w:rsidRPr="000B6FCC" w:rsidRDefault="004A776E">
            <w:pPr>
              <w:jc w:val="right"/>
              <w:rPr>
                <w:rFonts w:ascii="CAIXA Std Book" w:eastAsia="Times New Roman" w:hAnsi="CAIXA Std Book" w:cs="Times New Roman"/>
                <w:color w:val="005CA9"/>
                <w:sz w:val="16"/>
                <w:szCs w:val="16"/>
              </w:rPr>
            </w:pPr>
            <w:r w:rsidRPr="000B6FCC">
              <w:rPr>
                <w:rFonts w:ascii="CAIXA Std Book" w:eastAsia="Times New Roman" w:hAnsi="CAIXA Std Book" w:cs="Times New Roman"/>
                <w:color w:val="005CA9"/>
                <w:sz w:val="16"/>
                <w:szCs w:val="16"/>
              </w:rPr>
              <w:t>1.839.473</w:t>
            </w:r>
          </w:p>
        </w:tc>
      </w:tr>
      <w:tr w:rsidR="004A776E" w:rsidRPr="000B6FCC" w14:paraId="66D3B41C" w14:textId="77777777" w:rsidTr="00375F89">
        <w:trPr>
          <w:trHeight w:val="283"/>
        </w:trPr>
        <w:tc>
          <w:tcPr>
            <w:tcW w:w="1508" w:type="pct"/>
            <w:tcBorders>
              <w:top w:val="nil"/>
              <w:left w:val="nil"/>
              <w:bottom w:val="nil"/>
              <w:right w:val="nil"/>
            </w:tcBorders>
            <w:noWrap/>
            <w:vAlign w:val="center"/>
            <w:hideMark/>
          </w:tcPr>
          <w:p w14:paraId="2C6F4619" w14:textId="77777777" w:rsidR="004A776E" w:rsidRPr="000B6FCC" w:rsidRDefault="004A776E">
            <w:pPr>
              <w:rPr>
                <w:rFonts w:ascii="CAIXA Std Book" w:eastAsia="Times New Roman" w:hAnsi="CAIXA Std Book" w:cs="Times New Roman"/>
                <w:color w:val="005CA9"/>
                <w:sz w:val="16"/>
                <w:szCs w:val="16"/>
              </w:rPr>
            </w:pPr>
            <w:r w:rsidRPr="000B6FCC">
              <w:rPr>
                <w:rFonts w:ascii="CAIXA Std Book" w:eastAsia="Times New Roman" w:hAnsi="CAIXA Std Book" w:cs="Times New Roman"/>
                <w:color w:val="005CA9"/>
                <w:sz w:val="16"/>
                <w:szCs w:val="16"/>
              </w:rPr>
              <w:t>Títulos e valores mobiliários - VJORA</w:t>
            </w:r>
          </w:p>
        </w:tc>
        <w:tc>
          <w:tcPr>
            <w:tcW w:w="582" w:type="pct"/>
            <w:tcBorders>
              <w:top w:val="nil"/>
              <w:left w:val="nil"/>
              <w:bottom w:val="nil"/>
              <w:right w:val="nil"/>
            </w:tcBorders>
            <w:noWrap/>
            <w:vAlign w:val="center"/>
            <w:hideMark/>
          </w:tcPr>
          <w:p w14:paraId="43E0E74D" w14:textId="77777777" w:rsidR="004A776E" w:rsidRPr="000B6FCC" w:rsidRDefault="004A776E">
            <w:pPr>
              <w:jc w:val="right"/>
              <w:rPr>
                <w:rFonts w:ascii="CAIXA Std Book" w:eastAsia="Times New Roman" w:hAnsi="CAIXA Std Book" w:cs="Times New Roman"/>
                <w:color w:val="005CA9"/>
                <w:sz w:val="16"/>
                <w:szCs w:val="16"/>
              </w:rPr>
            </w:pPr>
            <w:r w:rsidRPr="000B6FCC">
              <w:rPr>
                <w:rFonts w:ascii="CAIXA Std Book" w:eastAsia="Times New Roman" w:hAnsi="CAIXA Std Book" w:cs="Times New Roman"/>
                <w:color w:val="005CA9"/>
                <w:sz w:val="16"/>
                <w:szCs w:val="16"/>
              </w:rPr>
              <w:t>11.276.251</w:t>
            </w:r>
          </w:p>
        </w:tc>
        <w:tc>
          <w:tcPr>
            <w:tcW w:w="582" w:type="pct"/>
            <w:tcBorders>
              <w:top w:val="nil"/>
              <w:left w:val="nil"/>
              <w:bottom w:val="nil"/>
              <w:right w:val="nil"/>
            </w:tcBorders>
            <w:noWrap/>
            <w:vAlign w:val="center"/>
            <w:hideMark/>
          </w:tcPr>
          <w:p w14:paraId="261653FC" w14:textId="77777777" w:rsidR="004A776E" w:rsidRPr="000B6FCC" w:rsidRDefault="004A776E">
            <w:pPr>
              <w:jc w:val="right"/>
              <w:rPr>
                <w:rFonts w:ascii="CAIXA Std Book" w:eastAsia="Times New Roman" w:hAnsi="CAIXA Std Book" w:cs="Times New Roman"/>
                <w:color w:val="005CA9"/>
                <w:sz w:val="16"/>
                <w:szCs w:val="16"/>
              </w:rPr>
            </w:pPr>
            <w:r w:rsidRPr="000B6FCC">
              <w:rPr>
                <w:rFonts w:ascii="CAIXA Std Book" w:eastAsia="Times New Roman" w:hAnsi="CAIXA Std Book" w:cs="Times New Roman"/>
                <w:color w:val="005CA9"/>
                <w:sz w:val="16"/>
                <w:szCs w:val="16"/>
              </w:rPr>
              <w:t>(1.478.005)</w:t>
            </w:r>
          </w:p>
        </w:tc>
        <w:tc>
          <w:tcPr>
            <w:tcW w:w="582" w:type="pct"/>
            <w:tcBorders>
              <w:top w:val="nil"/>
              <w:left w:val="nil"/>
              <w:bottom w:val="nil"/>
              <w:right w:val="nil"/>
            </w:tcBorders>
            <w:noWrap/>
            <w:vAlign w:val="center"/>
            <w:hideMark/>
          </w:tcPr>
          <w:p w14:paraId="41A0AA50" w14:textId="77777777" w:rsidR="004A776E" w:rsidRPr="000B6FCC" w:rsidRDefault="004A776E">
            <w:pPr>
              <w:jc w:val="right"/>
              <w:rPr>
                <w:rFonts w:ascii="CAIXA Std Book" w:eastAsia="Times New Roman" w:hAnsi="CAIXA Std Book" w:cs="Times New Roman"/>
                <w:color w:val="005CA9"/>
                <w:sz w:val="16"/>
                <w:szCs w:val="16"/>
              </w:rPr>
            </w:pPr>
            <w:r w:rsidRPr="000B6FCC">
              <w:rPr>
                <w:rFonts w:ascii="CAIXA Std Book" w:eastAsia="Times New Roman" w:hAnsi="CAIXA Std Book" w:cs="Times New Roman"/>
                <w:color w:val="005CA9"/>
                <w:sz w:val="16"/>
                <w:szCs w:val="16"/>
              </w:rPr>
              <w:t>7.330.147</w:t>
            </w:r>
          </w:p>
        </w:tc>
        <w:tc>
          <w:tcPr>
            <w:tcW w:w="582" w:type="pct"/>
            <w:tcBorders>
              <w:top w:val="nil"/>
              <w:left w:val="nil"/>
              <w:bottom w:val="nil"/>
              <w:right w:val="nil"/>
            </w:tcBorders>
            <w:noWrap/>
            <w:vAlign w:val="center"/>
            <w:hideMark/>
          </w:tcPr>
          <w:p w14:paraId="4BB288A4" w14:textId="77777777" w:rsidR="004A776E" w:rsidRPr="000B6FCC" w:rsidRDefault="004A776E">
            <w:pPr>
              <w:jc w:val="right"/>
              <w:rPr>
                <w:rFonts w:ascii="CAIXA Std Book" w:eastAsia="Times New Roman" w:hAnsi="CAIXA Std Book" w:cs="Times New Roman"/>
                <w:color w:val="005CA9"/>
                <w:sz w:val="16"/>
                <w:szCs w:val="16"/>
              </w:rPr>
            </w:pPr>
            <w:r w:rsidRPr="000B6FCC">
              <w:rPr>
                <w:rFonts w:ascii="CAIXA Std Book" w:eastAsia="Times New Roman" w:hAnsi="CAIXA Std Book" w:cs="Times New Roman"/>
                <w:color w:val="005CA9"/>
                <w:sz w:val="16"/>
                <w:szCs w:val="16"/>
              </w:rPr>
              <w:t>(617.186)</w:t>
            </w:r>
          </w:p>
        </w:tc>
        <w:tc>
          <w:tcPr>
            <w:tcW w:w="582" w:type="pct"/>
            <w:tcBorders>
              <w:top w:val="nil"/>
              <w:left w:val="nil"/>
              <w:bottom w:val="nil"/>
              <w:right w:val="nil"/>
            </w:tcBorders>
            <w:noWrap/>
            <w:vAlign w:val="center"/>
            <w:hideMark/>
          </w:tcPr>
          <w:p w14:paraId="1B30E3A8" w14:textId="77777777" w:rsidR="004A776E" w:rsidRPr="000B6FCC" w:rsidRDefault="004A776E">
            <w:pPr>
              <w:jc w:val="right"/>
              <w:rPr>
                <w:rFonts w:ascii="CAIXA Std Book" w:eastAsia="Times New Roman" w:hAnsi="CAIXA Std Book" w:cs="Times New Roman"/>
                <w:color w:val="005CA9"/>
                <w:sz w:val="16"/>
                <w:szCs w:val="16"/>
              </w:rPr>
            </w:pPr>
            <w:r w:rsidRPr="000B6FCC">
              <w:rPr>
                <w:rFonts w:ascii="CAIXA Std Book" w:eastAsia="Times New Roman" w:hAnsi="CAIXA Std Book" w:cs="Times New Roman"/>
                <w:color w:val="005CA9"/>
                <w:sz w:val="16"/>
                <w:szCs w:val="16"/>
              </w:rPr>
              <w:t>(257.921)</w:t>
            </w:r>
          </w:p>
        </w:tc>
        <w:tc>
          <w:tcPr>
            <w:tcW w:w="582" w:type="pct"/>
            <w:tcBorders>
              <w:top w:val="nil"/>
              <w:left w:val="nil"/>
              <w:bottom w:val="nil"/>
              <w:right w:val="nil"/>
            </w:tcBorders>
            <w:noWrap/>
            <w:vAlign w:val="center"/>
            <w:hideMark/>
          </w:tcPr>
          <w:p w14:paraId="3D9A62F9" w14:textId="77777777" w:rsidR="004A776E" w:rsidRPr="000B6FCC" w:rsidRDefault="004A776E">
            <w:pPr>
              <w:jc w:val="right"/>
              <w:rPr>
                <w:rFonts w:ascii="CAIXA Std Book" w:eastAsia="Times New Roman" w:hAnsi="CAIXA Std Book" w:cs="Times New Roman"/>
                <w:color w:val="005CA9"/>
                <w:sz w:val="16"/>
                <w:szCs w:val="16"/>
              </w:rPr>
            </w:pPr>
            <w:r w:rsidRPr="000B6FCC">
              <w:rPr>
                <w:rFonts w:ascii="CAIXA Std Book" w:eastAsia="Times New Roman" w:hAnsi="CAIXA Std Book" w:cs="Times New Roman"/>
                <w:color w:val="005CA9"/>
                <w:sz w:val="16"/>
                <w:szCs w:val="16"/>
              </w:rPr>
              <w:t>16.253.286</w:t>
            </w:r>
          </w:p>
        </w:tc>
      </w:tr>
      <w:tr w:rsidR="004A776E" w:rsidRPr="000B6FCC" w14:paraId="077047D3" w14:textId="77777777" w:rsidTr="00375F89">
        <w:trPr>
          <w:trHeight w:val="283"/>
        </w:trPr>
        <w:tc>
          <w:tcPr>
            <w:tcW w:w="1508" w:type="pct"/>
            <w:tcBorders>
              <w:top w:val="nil"/>
              <w:left w:val="nil"/>
              <w:bottom w:val="nil"/>
              <w:right w:val="nil"/>
            </w:tcBorders>
            <w:shd w:val="clear" w:color="000000" w:fill="005CA9"/>
            <w:noWrap/>
            <w:vAlign w:val="center"/>
            <w:hideMark/>
          </w:tcPr>
          <w:p w14:paraId="62B18537" w14:textId="77777777" w:rsidR="004A776E" w:rsidRPr="000B6FCC" w:rsidRDefault="004A776E">
            <w:pPr>
              <w:rPr>
                <w:rFonts w:ascii="CAIXA Std Book" w:eastAsia="Times New Roman" w:hAnsi="CAIXA Std Book" w:cs="Times New Roman"/>
                <w:b/>
                <w:bCs/>
                <w:color w:val="FFFFFF"/>
                <w:sz w:val="16"/>
                <w:szCs w:val="16"/>
              </w:rPr>
            </w:pPr>
            <w:r w:rsidRPr="000B6FCC">
              <w:rPr>
                <w:rFonts w:ascii="CAIXA Std Book" w:eastAsia="Times New Roman" w:hAnsi="CAIXA Std Book" w:cs="Times New Roman"/>
                <w:b/>
                <w:bCs/>
                <w:color w:val="FFFFFF"/>
                <w:sz w:val="16"/>
                <w:szCs w:val="16"/>
              </w:rPr>
              <w:t>Total</w:t>
            </w:r>
          </w:p>
        </w:tc>
        <w:tc>
          <w:tcPr>
            <w:tcW w:w="582" w:type="pct"/>
            <w:tcBorders>
              <w:top w:val="nil"/>
              <w:left w:val="nil"/>
              <w:bottom w:val="nil"/>
              <w:right w:val="nil"/>
            </w:tcBorders>
            <w:shd w:val="clear" w:color="000000" w:fill="005CA9"/>
            <w:noWrap/>
            <w:vAlign w:val="center"/>
            <w:hideMark/>
          </w:tcPr>
          <w:p w14:paraId="4F507029" w14:textId="77777777" w:rsidR="004A776E" w:rsidRPr="000B6FCC" w:rsidRDefault="004A776E">
            <w:pPr>
              <w:jc w:val="right"/>
              <w:rPr>
                <w:rFonts w:ascii="CAIXA Std Book" w:eastAsia="Times New Roman" w:hAnsi="CAIXA Std Book" w:cs="Times New Roman"/>
                <w:b/>
                <w:bCs/>
                <w:color w:val="FFFFFF"/>
                <w:sz w:val="16"/>
                <w:szCs w:val="16"/>
              </w:rPr>
            </w:pPr>
            <w:r w:rsidRPr="000B6FCC">
              <w:rPr>
                <w:rFonts w:ascii="CAIXA Std Book" w:eastAsia="Times New Roman" w:hAnsi="CAIXA Std Book" w:cs="Times New Roman"/>
                <w:b/>
                <w:bCs/>
                <w:color w:val="FFFFFF"/>
                <w:sz w:val="16"/>
                <w:szCs w:val="16"/>
              </w:rPr>
              <w:t>11.612.841</w:t>
            </w:r>
          </w:p>
        </w:tc>
        <w:tc>
          <w:tcPr>
            <w:tcW w:w="582" w:type="pct"/>
            <w:tcBorders>
              <w:top w:val="nil"/>
              <w:left w:val="nil"/>
              <w:bottom w:val="nil"/>
              <w:right w:val="nil"/>
            </w:tcBorders>
            <w:shd w:val="clear" w:color="000000" w:fill="005CA9"/>
            <w:noWrap/>
            <w:vAlign w:val="center"/>
            <w:hideMark/>
          </w:tcPr>
          <w:p w14:paraId="5BEBC549" w14:textId="77777777" w:rsidR="004A776E" w:rsidRPr="000B6FCC" w:rsidRDefault="004A776E">
            <w:pPr>
              <w:jc w:val="right"/>
              <w:rPr>
                <w:rFonts w:ascii="CAIXA Std Book" w:eastAsia="Times New Roman" w:hAnsi="CAIXA Std Book" w:cs="Times New Roman"/>
                <w:b/>
                <w:bCs/>
                <w:color w:val="FFFFFF"/>
                <w:sz w:val="16"/>
                <w:szCs w:val="16"/>
              </w:rPr>
            </w:pPr>
            <w:r w:rsidRPr="000B6FCC">
              <w:rPr>
                <w:rFonts w:ascii="CAIXA Std Book" w:eastAsia="Times New Roman" w:hAnsi="CAIXA Std Book" w:cs="Times New Roman"/>
                <w:b/>
                <w:bCs/>
                <w:color w:val="FFFFFF"/>
                <w:sz w:val="16"/>
                <w:szCs w:val="16"/>
              </w:rPr>
              <w:t>(1.534.296)</w:t>
            </w:r>
          </w:p>
        </w:tc>
        <w:tc>
          <w:tcPr>
            <w:tcW w:w="582" w:type="pct"/>
            <w:tcBorders>
              <w:top w:val="nil"/>
              <w:left w:val="nil"/>
              <w:bottom w:val="nil"/>
              <w:right w:val="nil"/>
            </w:tcBorders>
            <w:shd w:val="clear" w:color="000000" w:fill="005CA9"/>
            <w:noWrap/>
            <w:vAlign w:val="center"/>
            <w:hideMark/>
          </w:tcPr>
          <w:p w14:paraId="7EFC6D0A" w14:textId="77777777" w:rsidR="004A776E" w:rsidRPr="000B6FCC" w:rsidRDefault="004A776E">
            <w:pPr>
              <w:jc w:val="right"/>
              <w:rPr>
                <w:rFonts w:ascii="CAIXA Std Book" w:eastAsia="Times New Roman" w:hAnsi="CAIXA Std Book" w:cs="Times New Roman"/>
                <w:b/>
                <w:bCs/>
                <w:color w:val="FFFFFF"/>
                <w:sz w:val="16"/>
                <w:szCs w:val="16"/>
              </w:rPr>
            </w:pPr>
            <w:r w:rsidRPr="000B6FCC">
              <w:rPr>
                <w:rFonts w:ascii="CAIXA Std Book" w:eastAsia="Times New Roman" w:hAnsi="CAIXA Std Book" w:cs="Times New Roman"/>
                <w:b/>
                <w:bCs/>
                <w:color w:val="FFFFFF"/>
                <w:sz w:val="16"/>
                <w:szCs w:val="16"/>
              </w:rPr>
              <w:t>8.889.321</w:t>
            </w:r>
          </w:p>
        </w:tc>
        <w:tc>
          <w:tcPr>
            <w:tcW w:w="582" w:type="pct"/>
            <w:tcBorders>
              <w:top w:val="nil"/>
              <w:left w:val="nil"/>
              <w:bottom w:val="nil"/>
              <w:right w:val="nil"/>
            </w:tcBorders>
            <w:shd w:val="clear" w:color="000000" w:fill="005CA9"/>
            <w:noWrap/>
            <w:vAlign w:val="center"/>
            <w:hideMark/>
          </w:tcPr>
          <w:p w14:paraId="34F00B93" w14:textId="77777777" w:rsidR="004A776E" w:rsidRPr="000B6FCC" w:rsidRDefault="004A776E">
            <w:pPr>
              <w:jc w:val="right"/>
              <w:rPr>
                <w:rFonts w:ascii="CAIXA Std Book" w:eastAsia="Times New Roman" w:hAnsi="CAIXA Std Book" w:cs="Times New Roman"/>
                <w:b/>
                <w:bCs/>
                <w:color w:val="FFFFFF"/>
                <w:sz w:val="16"/>
                <w:szCs w:val="16"/>
              </w:rPr>
            </w:pPr>
            <w:r w:rsidRPr="000B6FCC">
              <w:rPr>
                <w:rFonts w:ascii="CAIXA Std Book" w:eastAsia="Times New Roman" w:hAnsi="CAIXA Std Book" w:cs="Times New Roman"/>
                <w:b/>
                <w:bCs/>
                <w:color w:val="FFFFFF"/>
                <w:sz w:val="16"/>
                <w:szCs w:val="16"/>
              </w:rPr>
              <w:t>(617.186)</w:t>
            </w:r>
          </w:p>
        </w:tc>
        <w:tc>
          <w:tcPr>
            <w:tcW w:w="582" w:type="pct"/>
            <w:tcBorders>
              <w:top w:val="nil"/>
              <w:left w:val="nil"/>
              <w:bottom w:val="nil"/>
              <w:right w:val="nil"/>
            </w:tcBorders>
            <w:shd w:val="clear" w:color="000000" w:fill="005CA9"/>
            <w:noWrap/>
            <w:vAlign w:val="center"/>
            <w:hideMark/>
          </w:tcPr>
          <w:p w14:paraId="77F8D274" w14:textId="77777777" w:rsidR="004A776E" w:rsidRPr="000B6FCC" w:rsidRDefault="004A776E">
            <w:pPr>
              <w:jc w:val="right"/>
              <w:rPr>
                <w:rFonts w:ascii="CAIXA Std Book" w:eastAsia="Times New Roman" w:hAnsi="CAIXA Std Book" w:cs="Times New Roman"/>
                <w:b/>
                <w:bCs/>
                <w:color w:val="FFFFFF"/>
                <w:sz w:val="16"/>
                <w:szCs w:val="16"/>
              </w:rPr>
            </w:pPr>
            <w:r w:rsidRPr="000B6FCC">
              <w:rPr>
                <w:rFonts w:ascii="CAIXA Std Book" w:eastAsia="Times New Roman" w:hAnsi="CAIXA Std Book" w:cs="Times New Roman"/>
                <w:b/>
                <w:bCs/>
                <w:color w:val="FFFFFF"/>
                <w:sz w:val="16"/>
                <w:szCs w:val="16"/>
              </w:rPr>
              <w:t>(257.921)</w:t>
            </w:r>
          </w:p>
        </w:tc>
        <w:tc>
          <w:tcPr>
            <w:tcW w:w="582" w:type="pct"/>
            <w:tcBorders>
              <w:top w:val="nil"/>
              <w:left w:val="nil"/>
              <w:bottom w:val="nil"/>
              <w:right w:val="nil"/>
            </w:tcBorders>
            <w:shd w:val="clear" w:color="000000" w:fill="005CA9"/>
            <w:noWrap/>
            <w:vAlign w:val="center"/>
            <w:hideMark/>
          </w:tcPr>
          <w:p w14:paraId="1FAE93FE" w14:textId="77777777" w:rsidR="004A776E" w:rsidRPr="000B6FCC" w:rsidRDefault="004A776E">
            <w:pPr>
              <w:jc w:val="right"/>
              <w:rPr>
                <w:rFonts w:ascii="CAIXA Std Book" w:eastAsia="Times New Roman" w:hAnsi="CAIXA Std Book" w:cs="Times New Roman"/>
                <w:b/>
                <w:bCs/>
                <w:color w:val="FFFFFF"/>
                <w:sz w:val="16"/>
                <w:szCs w:val="16"/>
              </w:rPr>
            </w:pPr>
            <w:r w:rsidRPr="000B6FCC">
              <w:rPr>
                <w:rFonts w:ascii="CAIXA Std Book" w:eastAsia="Times New Roman" w:hAnsi="CAIXA Std Book" w:cs="Times New Roman"/>
                <w:b/>
                <w:bCs/>
                <w:color w:val="FFFFFF"/>
                <w:sz w:val="16"/>
                <w:szCs w:val="16"/>
              </w:rPr>
              <w:t>18.092.759</w:t>
            </w:r>
          </w:p>
        </w:tc>
      </w:tr>
    </w:tbl>
    <w:p w14:paraId="164A5B1D" w14:textId="5293DB3C" w:rsidR="00314158" w:rsidRPr="00477BF9" w:rsidRDefault="00314158" w:rsidP="00314158">
      <w:pPr>
        <w:rPr>
          <w:rFonts w:ascii="CAIXA Std Book" w:eastAsia="Times New Roman" w:hAnsi="CAIXA Std Book" w:cs="Calibri"/>
          <w:color w:val="005CA9"/>
          <w:sz w:val="16"/>
          <w:szCs w:val="16"/>
        </w:rPr>
      </w:pPr>
      <w:r w:rsidRPr="00477BF9">
        <w:rPr>
          <w:rFonts w:ascii="CAIXA Std Book" w:eastAsia="Times New Roman" w:hAnsi="CAIXA Std Book" w:cs="Calibri"/>
          <w:color w:val="005CA9"/>
          <w:sz w:val="16"/>
          <w:szCs w:val="16"/>
        </w:rPr>
        <w:t xml:space="preserve">(1) </w:t>
      </w:r>
      <w:r>
        <w:rPr>
          <w:rFonts w:ascii="CAIXA Std Book" w:eastAsia="Times New Roman" w:hAnsi="CAIXA Std Book" w:cs="Calibri"/>
          <w:color w:val="005CA9"/>
          <w:sz w:val="16"/>
          <w:szCs w:val="16"/>
        </w:rPr>
        <w:t xml:space="preserve">Títulos transferidos </w:t>
      </w:r>
      <w:r w:rsidR="00C52E4F">
        <w:rPr>
          <w:rFonts w:ascii="CAIXA Std Book" w:eastAsia="Times New Roman" w:hAnsi="CAIXA Std Book" w:cs="Calibri"/>
          <w:color w:val="005CA9"/>
          <w:sz w:val="16"/>
          <w:szCs w:val="16"/>
        </w:rPr>
        <w:t xml:space="preserve">do nível 3 </w:t>
      </w:r>
      <w:r>
        <w:rPr>
          <w:rFonts w:ascii="CAIXA Std Book" w:eastAsia="Times New Roman" w:hAnsi="CAIXA Std Book" w:cs="Calibri"/>
          <w:color w:val="005CA9"/>
          <w:sz w:val="16"/>
          <w:szCs w:val="16"/>
        </w:rPr>
        <w:t xml:space="preserve">para o nível 2 em virtude de mensuração a partir de taxa indicativa de mercado divulgada pela </w:t>
      </w:r>
      <w:r w:rsidR="00CF5C72">
        <w:rPr>
          <w:rFonts w:ascii="CAIXA Std Book" w:eastAsia="Times New Roman" w:hAnsi="CAIXA Std Book" w:cs="Calibri"/>
          <w:color w:val="005CA9"/>
          <w:sz w:val="16"/>
          <w:szCs w:val="16"/>
        </w:rPr>
        <w:t>ANBIMA.</w:t>
      </w:r>
    </w:p>
    <w:p w14:paraId="3CCD079F" w14:textId="753F6CF9" w:rsidR="00875E18" w:rsidRDefault="00875E18"/>
    <w:p w14:paraId="5FB2B72D" w14:textId="051901E9" w:rsidR="001F65CA" w:rsidRPr="001F65CA" w:rsidRDefault="001F65CA" w:rsidP="001F65CA">
      <w:pPr>
        <w:spacing w:after="240"/>
        <w:rPr>
          <w:rFonts w:ascii="CAIXA Std Book" w:eastAsia="Times New Roman" w:hAnsi="CAIXA Std Book" w:cs="Calibri"/>
          <w:color w:val="005CA9"/>
          <w:sz w:val="20"/>
          <w:szCs w:val="20"/>
        </w:rPr>
      </w:pPr>
      <w:r w:rsidRPr="001F65CA">
        <w:rPr>
          <w:rFonts w:ascii="CAIXA Std Book" w:eastAsia="Times New Roman" w:hAnsi="CAIXA Std Book" w:cs="Calibri"/>
          <w:color w:val="005CA9"/>
          <w:sz w:val="20"/>
          <w:szCs w:val="20"/>
        </w:rPr>
        <w:t>Para mensurações de Nível 3 na hierarquia de valor justo foram utilizados os seguintes dados não observáveis:</w:t>
      </w:r>
    </w:p>
    <w:tbl>
      <w:tblPr>
        <w:tblW w:w="5000" w:type="pct"/>
        <w:tblCellMar>
          <w:left w:w="70" w:type="dxa"/>
          <w:right w:w="70" w:type="dxa"/>
        </w:tblCellMar>
        <w:tblLook w:val="04A0" w:firstRow="1" w:lastRow="0" w:firstColumn="1" w:lastColumn="0" w:noHBand="0" w:noVBand="1"/>
      </w:tblPr>
      <w:tblGrid>
        <w:gridCol w:w="5528"/>
        <w:gridCol w:w="9043"/>
      </w:tblGrid>
      <w:tr w:rsidR="00E54693" w:rsidRPr="004A6285" w14:paraId="506F6111" w14:textId="77777777" w:rsidTr="00115111">
        <w:trPr>
          <w:trHeight w:val="540"/>
        </w:trPr>
        <w:tc>
          <w:tcPr>
            <w:tcW w:w="1897" w:type="pct"/>
            <w:tcBorders>
              <w:top w:val="nil"/>
              <w:left w:val="nil"/>
              <w:bottom w:val="nil"/>
              <w:right w:val="nil"/>
            </w:tcBorders>
            <w:shd w:val="clear" w:color="000000" w:fill="005CA9"/>
            <w:noWrap/>
            <w:vAlign w:val="center"/>
            <w:hideMark/>
          </w:tcPr>
          <w:p w14:paraId="12281BF4" w14:textId="77777777" w:rsidR="004A6285" w:rsidRPr="004A6285" w:rsidRDefault="004A6285" w:rsidP="004A6285">
            <w:pPr>
              <w:jc w:val="center"/>
              <w:rPr>
                <w:rFonts w:ascii="CAIXA Std Book" w:eastAsia="Times New Roman" w:hAnsi="CAIXA Std Book" w:cs="Calibri"/>
                <w:b/>
                <w:bCs/>
                <w:color w:val="FFFFFF"/>
                <w:sz w:val="16"/>
                <w:szCs w:val="16"/>
              </w:rPr>
            </w:pPr>
            <w:r w:rsidRPr="004A6285">
              <w:rPr>
                <w:rFonts w:ascii="CAIXA Std Book" w:eastAsia="Times New Roman" w:hAnsi="CAIXA Std Book" w:cs="Calibri"/>
                <w:b/>
                <w:bCs/>
                <w:color w:val="FFFFFF"/>
                <w:sz w:val="16"/>
                <w:szCs w:val="16"/>
              </w:rPr>
              <w:t>Instrumento financeiro</w:t>
            </w:r>
          </w:p>
        </w:tc>
        <w:tc>
          <w:tcPr>
            <w:tcW w:w="3103" w:type="pct"/>
            <w:tcBorders>
              <w:top w:val="nil"/>
              <w:left w:val="nil"/>
              <w:bottom w:val="nil"/>
              <w:right w:val="nil"/>
            </w:tcBorders>
            <w:shd w:val="clear" w:color="000000" w:fill="005CA9"/>
            <w:vAlign w:val="center"/>
            <w:hideMark/>
          </w:tcPr>
          <w:p w14:paraId="27C52028" w14:textId="77777777" w:rsidR="004A6285" w:rsidRPr="004A6285" w:rsidRDefault="004A6285" w:rsidP="004A6285">
            <w:pPr>
              <w:jc w:val="center"/>
              <w:rPr>
                <w:rFonts w:ascii="CAIXA Std Book" w:eastAsia="Times New Roman" w:hAnsi="CAIXA Std Book" w:cs="Calibri"/>
                <w:b/>
                <w:bCs/>
                <w:color w:val="FFFFFF"/>
                <w:sz w:val="16"/>
                <w:szCs w:val="16"/>
              </w:rPr>
            </w:pPr>
            <w:r w:rsidRPr="004A6285">
              <w:rPr>
                <w:rFonts w:ascii="CAIXA Std Book" w:eastAsia="Times New Roman" w:hAnsi="CAIXA Std Book" w:cs="Calibri"/>
                <w:b/>
                <w:bCs/>
                <w:color w:val="FFFFFF"/>
                <w:sz w:val="16"/>
                <w:szCs w:val="16"/>
              </w:rPr>
              <w:t>Descrição da técnica de avaliação para instrumentos classificados no nível 3</w:t>
            </w:r>
          </w:p>
        </w:tc>
      </w:tr>
      <w:tr w:rsidR="00E54693" w:rsidRPr="004A6285" w14:paraId="26FC5E66" w14:textId="77777777" w:rsidTr="00115111">
        <w:trPr>
          <w:trHeight w:val="705"/>
        </w:trPr>
        <w:tc>
          <w:tcPr>
            <w:tcW w:w="1897" w:type="pct"/>
            <w:tcBorders>
              <w:top w:val="nil"/>
              <w:left w:val="nil"/>
              <w:bottom w:val="nil"/>
              <w:right w:val="nil"/>
            </w:tcBorders>
            <w:noWrap/>
            <w:vAlign w:val="center"/>
            <w:hideMark/>
          </w:tcPr>
          <w:p w14:paraId="5BEBAE67" w14:textId="77777777" w:rsidR="004A6285" w:rsidRPr="004A6285" w:rsidRDefault="004A6285" w:rsidP="004A6285">
            <w:pPr>
              <w:ind w:firstLineChars="100" w:firstLine="161"/>
              <w:rPr>
                <w:rFonts w:ascii="CAIXA Std Book" w:eastAsia="Times New Roman" w:hAnsi="CAIXA Std Book" w:cs="Calibri"/>
                <w:b/>
                <w:bCs/>
                <w:color w:val="005CA9"/>
                <w:sz w:val="16"/>
                <w:szCs w:val="16"/>
              </w:rPr>
            </w:pPr>
            <w:r w:rsidRPr="004A6285">
              <w:rPr>
                <w:rFonts w:ascii="CAIXA Std Book" w:eastAsia="Times New Roman" w:hAnsi="CAIXA Std Book" w:cs="Calibri"/>
                <w:b/>
                <w:bCs/>
                <w:color w:val="005CA9"/>
                <w:sz w:val="16"/>
                <w:szCs w:val="16"/>
              </w:rPr>
              <w:t xml:space="preserve">Títulos e </w:t>
            </w:r>
            <w:r w:rsidR="00511CF4">
              <w:rPr>
                <w:rFonts w:ascii="CAIXA Std Book" w:eastAsia="Times New Roman" w:hAnsi="CAIXA Std Book" w:cs="Calibri"/>
                <w:b/>
                <w:bCs/>
                <w:color w:val="005CA9"/>
                <w:sz w:val="16"/>
                <w:szCs w:val="16"/>
              </w:rPr>
              <w:t>v</w:t>
            </w:r>
            <w:r w:rsidRPr="004A6285">
              <w:rPr>
                <w:rFonts w:ascii="CAIXA Std Book" w:eastAsia="Times New Roman" w:hAnsi="CAIXA Std Book" w:cs="Calibri"/>
                <w:b/>
                <w:bCs/>
                <w:color w:val="005CA9"/>
                <w:sz w:val="16"/>
                <w:szCs w:val="16"/>
              </w:rPr>
              <w:t xml:space="preserve">alores </w:t>
            </w:r>
            <w:r w:rsidR="00511CF4">
              <w:rPr>
                <w:rFonts w:ascii="CAIXA Std Book" w:eastAsia="Times New Roman" w:hAnsi="CAIXA Std Book" w:cs="Calibri"/>
                <w:b/>
                <w:bCs/>
                <w:color w:val="005CA9"/>
                <w:sz w:val="16"/>
                <w:szCs w:val="16"/>
              </w:rPr>
              <w:t>m</w:t>
            </w:r>
            <w:r w:rsidRPr="004A6285">
              <w:rPr>
                <w:rFonts w:ascii="CAIXA Std Book" w:eastAsia="Times New Roman" w:hAnsi="CAIXA Std Book" w:cs="Calibri"/>
                <w:b/>
                <w:bCs/>
                <w:color w:val="005CA9"/>
                <w:sz w:val="16"/>
                <w:szCs w:val="16"/>
              </w:rPr>
              <w:t>obiliários (VJR, VJORA e CA)</w:t>
            </w:r>
          </w:p>
        </w:tc>
        <w:tc>
          <w:tcPr>
            <w:tcW w:w="3103" w:type="pct"/>
            <w:tcBorders>
              <w:top w:val="nil"/>
              <w:left w:val="nil"/>
              <w:bottom w:val="nil"/>
              <w:right w:val="nil"/>
            </w:tcBorders>
            <w:vAlign w:val="center"/>
            <w:hideMark/>
          </w:tcPr>
          <w:p w14:paraId="7B8E8E77" w14:textId="77777777" w:rsidR="004A6285" w:rsidRPr="004A6285" w:rsidRDefault="004A6285" w:rsidP="00314158">
            <w:pPr>
              <w:jc w:val="center"/>
              <w:rPr>
                <w:rFonts w:ascii="CAIXA Std Book" w:eastAsia="Times New Roman" w:hAnsi="CAIXA Std Book" w:cs="Calibri"/>
                <w:color w:val="005CA9"/>
                <w:sz w:val="16"/>
                <w:szCs w:val="16"/>
              </w:rPr>
            </w:pPr>
            <w:r w:rsidRPr="004A6285">
              <w:rPr>
                <w:rFonts w:ascii="CAIXA Std Book" w:eastAsia="Times New Roman" w:hAnsi="CAIXA Std Book" w:cs="Calibri"/>
                <w:color w:val="005CA9"/>
                <w:sz w:val="16"/>
                <w:szCs w:val="16"/>
              </w:rPr>
              <w:t xml:space="preserve">Metodologia de fluxo de caixa descontado, onde os instrumentos são evoluídos até o vencimento pela taxa contratada e descontados a valor presente pela curva livre de risco + </w:t>
            </w:r>
            <w:r w:rsidRPr="00E2688D">
              <w:rPr>
                <w:rFonts w:ascii="CAIXA Std Book" w:eastAsia="Times New Roman" w:hAnsi="CAIXA Std Book" w:cs="Calibri"/>
                <w:i/>
                <w:iCs/>
                <w:color w:val="005CA9"/>
                <w:sz w:val="16"/>
                <w:szCs w:val="16"/>
              </w:rPr>
              <w:t>spread</w:t>
            </w:r>
            <w:r w:rsidRPr="004A6285">
              <w:rPr>
                <w:rFonts w:ascii="CAIXA Std Book" w:eastAsia="Times New Roman" w:hAnsi="CAIXA Std Book" w:cs="Calibri"/>
                <w:color w:val="005CA9"/>
                <w:sz w:val="16"/>
                <w:szCs w:val="16"/>
              </w:rPr>
              <w:t xml:space="preserve"> de crédito calculado com base no </w:t>
            </w:r>
            <w:r w:rsidRPr="00C62754">
              <w:rPr>
                <w:rFonts w:ascii="CAIXA Std Book" w:eastAsia="Times New Roman" w:hAnsi="CAIXA Std Book" w:cs="Calibri"/>
                <w:i/>
                <w:iCs/>
                <w:color w:val="005CA9"/>
                <w:sz w:val="16"/>
                <w:szCs w:val="16"/>
              </w:rPr>
              <w:t>rating</w:t>
            </w:r>
            <w:r w:rsidRPr="004A6285">
              <w:rPr>
                <w:rFonts w:ascii="CAIXA Std Book" w:eastAsia="Times New Roman" w:hAnsi="CAIXA Std Book" w:cs="Calibri"/>
                <w:color w:val="005CA9"/>
                <w:sz w:val="16"/>
                <w:szCs w:val="16"/>
              </w:rPr>
              <w:t xml:space="preserve"> estipulado pela caixa + </w:t>
            </w:r>
            <w:r w:rsidRPr="00C62754">
              <w:rPr>
                <w:rFonts w:ascii="CAIXA Std Book" w:eastAsia="Times New Roman" w:hAnsi="CAIXA Std Book" w:cs="Calibri"/>
                <w:i/>
                <w:iCs/>
                <w:color w:val="005CA9"/>
                <w:sz w:val="16"/>
                <w:szCs w:val="16"/>
              </w:rPr>
              <w:t>spread</w:t>
            </w:r>
            <w:r w:rsidRPr="004A6285">
              <w:rPr>
                <w:rFonts w:ascii="CAIXA Std Book" w:eastAsia="Times New Roman" w:hAnsi="CAIXA Std Book" w:cs="Calibri"/>
                <w:color w:val="005CA9"/>
                <w:sz w:val="16"/>
                <w:szCs w:val="16"/>
              </w:rPr>
              <w:t xml:space="preserve"> de resgate antecipado (se houver).</w:t>
            </w:r>
          </w:p>
        </w:tc>
      </w:tr>
      <w:tr w:rsidR="00E54693" w:rsidRPr="004A6285" w14:paraId="3DEEF361" w14:textId="77777777" w:rsidTr="00115111">
        <w:trPr>
          <w:trHeight w:val="810"/>
        </w:trPr>
        <w:tc>
          <w:tcPr>
            <w:tcW w:w="1897" w:type="pct"/>
            <w:tcBorders>
              <w:top w:val="nil"/>
              <w:left w:val="nil"/>
              <w:bottom w:val="nil"/>
              <w:right w:val="nil"/>
            </w:tcBorders>
            <w:noWrap/>
            <w:vAlign w:val="center"/>
            <w:hideMark/>
          </w:tcPr>
          <w:p w14:paraId="3ABE2993" w14:textId="77777777" w:rsidR="004A6285" w:rsidRPr="004A6285" w:rsidRDefault="004A6285" w:rsidP="004A6285">
            <w:pPr>
              <w:ind w:firstLineChars="100" w:firstLine="161"/>
              <w:rPr>
                <w:rFonts w:ascii="CAIXA Std Book" w:eastAsia="Times New Roman" w:hAnsi="CAIXA Std Book" w:cs="Calibri"/>
                <w:b/>
                <w:bCs/>
                <w:color w:val="005CA9"/>
                <w:sz w:val="16"/>
                <w:szCs w:val="16"/>
              </w:rPr>
            </w:pPr>
            <w:r w:rsidRPr="004A6285">
              <w:rPr>
                <w:rFonts w:ascii="CAIXA Std Book" w:eastAsia="Times New Roman" w:hAnsi="CAIXA Std Book" w:cs="Calibri"/>
                <w:b/>
                <w:bCs/>
                <w:color w:val="005CA9"/>
                <w:sz w:val="16"/>
                <w:szCs w:val="16"/>
              </w:rPr>
              <w:t>Instrumentos financeiros derivativos - Derivativo FGTS (1)</w:t>
            </w:r>
          </w:p>
        </w:tc>
        <w:tc>
          <w:tcPr>
            <w:tcW w:w="3103" w:type="pct"/>
            <w:tcBorders>
              <w:top w:val="nil"/>
              <w:left w:val="nil"/>
              <w:bottom w:val="nil"/>
              <w:right w:val="nil"/>
            </w:tcBorders>
            <w:vAlign w:val="center"/>
            <w:hideMark/>
          </w:tcPr>
          <w:p w14:paraId="2C4DC0EC" w14:textId="77777777" w:rsidR="004A6285" w:rsidRPr="004A6285" w:rsidRDefault="004A6285" w:rsidP="00314158">
            <w:pPr>
              <w:jc w:val="center"/>
              <w:rPr>
                <w:rFonts w:ascii="CAIXA Std Book" w:eastAsia="Times New Roman" w:hAnsi="CAIXA Std Book" w:cs="Calibri"/>
                <w:color w:val="005CA9"/>
                <w:sz w:val="16"/>
                <w:szCs w:val="16"/>
              </w:rPr>
            </w:pPr>
            <w:r w:rsidRPr="004A6285">
              <w:rPr>
                <w:rFonts w:ascii="CAIXA Std Book" w:eastAsia="Times New Roman" w:hAnsi="CAIXA Std Book" w:cs="Calibri"/>
                <w:color w:val="005CA9"/>
                <w:sz w:val="16"/>
                <w:szCs w:val="16"/>
              </w:rPr>
              <w:t>Metodologia própria para garantir a rentabilidade aos cotistas dos fundos: CA-FGTS (TR+6%) e FI-FGTS (TR+3%). Se os investimentos forem suficientes para garantir a rentabilidade, não há derivativo, caso sejam insuficientes, é calculado o derivativo passivo que é avaliado através do fluxo de caixa descontado.</w:t>
            </w:r>
          </w:p>
        </w:tc>
      </w:tr>
      <w:tr w:rsidR="00E54693" w:rsidRPr="004A6285" w14:paraId="76BA5E1D" w14:textId="77777777" w:rsidTr="00115111">
        <w:trPr>
          <w:trHeight w:val="285"/>
        </w:trPr>
        <w:tc>
          <w:tcPr>
            <w:tcW w:w="1897" w:type="pct"/>
            <w:tcBorders>
              <w:top w:val="nil"/>
              <w:left w:val="nil"/>
              <w:bottom w:val="single" w:sz="8" w:space="0" w:color="005CA9"/>
              <w:right w:val="nil"/>
            </w:tcBorders>
            <w:vAlign w:val="center"/>
            <w:hideMark/>
          </w:tcPr>
          <w:p w14:paraId="12FB9B52" w14:textId="77777777" w:rsidR="004A6285" w:rsidRPr="004A6285" w:rsidRDefault="004A6285" w:rsidP="004A6285">
            <w:pPr>
              <w:ind w:firstLineChars="100" w:firstLine="161"/>
              <w:rPr>
                <w:rFonts w:ascii="CAIXA Std Book" w:eastAsia="Times New Roman" w:hAnsi="CAIXA Std Book" w:cs="Calibri"/>
                <w:b/>
                <w:bCs/>
                <w:color w:val="005CA9"/>
                <w:sz w:val="16"/>
                <w:szCs w:val="16"/>
              </w:rPr>
            </w:pPr>
            <w:r w:rsidRPr="004A6285">
              <w:rPr>
                <w:rFonts w:ascii="CAIXA Std Book" w:eastAsia="Times New Roman" w:hAnsi="CAIXA Std Book" w:cs="Calibri"/>
                <w:b/>
                <w:bCs/>
                <w:color w:val="005CA9"/>
                <w:sz w:val="16"/>
                <w:szCs w:val="16"/>
              </w:rPr>
              <w:t>Recursos de clientes</w:t>
            </w:r>
          </w:p>
        </w:tc>
        <w:tc>
          <w:tcPr>
            <w:tcW w:w="3103" w:type="pct"/>
            <w:tcBorders>
              <w:top w:val="nil"/>
              <w:left w:val="nil"/>
              <w:bottom w:val="single" w:sz="8" w:space="0" w:color="005CA9"/>
              <w:right w:val="nil"/>
            </w:tcBorders>
            <w:vAlign w:val="center"/>
            <w:hideMark/>
          </w:tcPr>
          <w:p w14:paraId="59824C6A" w14:textId="77777777" w:rsidR="004A6285" w:rsidRPr="004A6285" w:rsidRDefault="004A6285" w:rsidP="00314158">
            <w:pPr>
              <w:jc w:val="center"/>
              <w:rPr>
                <w:rFonts w:ascii="CAIXA Std Book" w:eastAsia="Times New Roman" w:hAnsi="CAIXA Std Book" w:cs="Calibri"/>
                <w:color w:val="005CA9"/>
                <w:sz w:val="16"/>
                <w:szCs w:val="16"/>
              </w:rPr>
            </w:pPr>
            <w:r w:rsidRPr="004A6285">
              <w:rPr>
                <w:rFonts w:ascii="CAIXA Std Book" w:eastAsia="Times New Roman" w:hAnsi="CAIXA Std Book" w:cs="Calibri"/>
                <w:color w:val="005CA9"/>
                <w:sz w:val="16"/>
                <w:szCs w:val="16"/>
              </w:rPr>
              <w:t>Metodologia interna de fluxos sem vencimentos.</w:t>
            </w:r>
          </w:p>
        </w:tc>
      </w:tr>
    </w:tbl>
    <w:p w14:paraId="21467B10" w14:textId="6E43CDEE" w:rsidR="00314158" w:rsidRDefault="00314158" w:rsidP="00314158">
      <w:pPr>
        <w:rPr>
          <w:rFonts w:ascii="CAIXA Std Book" w:hAnsi="CAIXA Std Book"/>
          <w:b/>
          <w:color w:val="005CA9"/>
        </w:rPr>
      </w:pPr>
      <w:r w:rsidRPr="00086AEC">
        <w:rPr>
          <w:rFonts w:ascii="CAIXA Std Book" w:eastAsia="Times New Roman" w:hAnsi="CAIXA Std Book" w:cs="Calibri"/>
          <w:color w:val="005CA9"/>
          <w:sz w:val="16"/>
          <w:szCs w:val="16"/>
        </w:rPr>
        <w:t>(1)</w:t>
      </w:r>
      <w:r>
        <w:rPr>
          <w:rFonts w:ascii="CAIXA Std Book" w:eastAsia="Times New Roman" w:hAnsi="CAIXA Std Book" w:cs="Calibri"/>
          <w:color w:val="005CA9"/>
          <w:sz w:val="16"/>
          <w:szCs w:val="16"/>
        </w:rPr>
        <w:t xml:space="preserve"> Derivativo sem registro no balanço em virtude do cumprimento de garantia de rentabilidade.</w:t>
      </w:r>
      <w:r w:rsidR="00220616" w:rsidRPr="00220616">
        <w:rPr>
          <w:rFonts w:ascii="CAIXA Std Book" w:eastAsia="Times New Roman" w:hAnsi="CAIXA Std Book" w:cs="Calibri"/>
          <w:color w:val="005CA9"/>
          <w:sz w:val="16"/>
          <w:szCs w:val="16"/>
        </w:rPr>
        <w:t xml:space="preserve"> </w:t>
      </w:r>
      <w:r w:rsidR="00C24B47">
        <w:br w:type="page"/>
      </w:r>
    </w:p>
    <w:p w14:paraId="297F4DCC" w14:textId="160D8F7D" w:rsidR="00526F8E" w:rsidRPr="00A956BB" w:rsidRDefault="00FA558A" w:rsidP="00922437">
      <w:pPr>
        <w:pStyle w:val="Ttulo1"/>
        <w:rPr>
          <w:rFonts w:eastAsia="Times New Roman" w:cs="Calibri"/>
          <w:sz w:val="16"/>
          <w:szCs w:val="16"/>
        </w:rPr>
      </w:pPr>
      <w:bookmarkStart w:id="168" w:name="_Toc217914361"/>
      <w:bookmarkStart w:id="169" w:name="_Toc229588511"/>
      <w:r w:rsidRPr="00E95E29">
        <w:t>Nota   3</w:t>
      </w:r>
      <w:r>
        <w:t>5</w:t>
      </w:r>
      <w:r w:rsidRPr="00E95E29">
        <w:t xml:space="preserve"> – </w:t>
      </w:r>
      <w:r>
        <w:t>Balanço patrimonial por prazo</w:t>
      </w:r>
      <w:bookmarkEnd w:id="168"/>
      <w:bookmarkEnd w:id="169"/>
    </w:p>
    <w:tbl>
      <w:tblPr>
        <w:tblW w:w="5000" w:type="pct"/>
        <w:tblLayout w:type="fixed"/>
        <w:tblCellMar>
          <w:left w:w="70" w:type="dxa"/>
          <w:right w:w="70" w:type="dxa"/>
        </w:tblCellMar>
        <w:tblLook w:val="04A0" w:firstRow="1" w:lastRow="0" w:firstColumn="1" w:lastColumn="0" w:noHBand="0" w:noVBand="1"/>
      </w:tblPr>
      <w:tblGrid>
        <w:gridCol w:w="6663"/>
        <w:gridCol w:w="1317"/>
        <w:gridCol w:w="1317"/>
        <w:gridCol w:w="1320"/>
        <w:gridCol w:w="1317"/>
        <w:gridCol w:w="1317"/>
        <w:gridCol w:w="1320"/>
      </w:tblGrid>
      <w:tr w:rsidR="0061673D" w:rsidRPr="00ED0331" w14:paraId="39C6816F" w14:textId="77777777" w:rsidTr="001E6A64">
        <w:trPr>
          <w:trHeight w:val="238"/>
        </w:trPr>
        <w:tc>
          <w:tcPr>
            <w:tcW w:w="5000" w:type="pct"/>
            <w:gridSpan w:val="7"/>
            <w:tcBorders>
              <w:top w:val="nil"/>
              <w:left w:val="nil"/>
              <w:bottom w:val="single" w:sz="4" w:space="0" w:color="FFFFFF" w:themeColor="background1"/>
              <w:right w:val="nil"/>
            </w:tcBorders>
            <w:shd w:val="clear" w:color="auto" w:fill="005CA9"/>
            <w:vAlign w:val="center"/>
          </w:tcPr>
          <w:p w14:paraId="3DE29DA4" w14:textId="26DDA4EF" w:rsidR="0061673D" w:rsidRPr="00F216D4" w:rsidRDefault="00CA722A">
            <w:pPr>
              <w:jc w:val="center"/>
              <w:rPr>
                <w:rFonts w:ascii="CAIXA Std Book" w:eastAsia="Times New Roman" w:hAnsi="CAIXA Std Book" w:cs="Times New Roman"/>
                <w:b/>
                <w:color w:val="FFFFFF"/>
                <w:sz w:val="16"/>
                <w:szCs w:val="16"/>
              </w:rPr>
            </w:pPr>
            <w:r w:rsidRPr="00F216D4">
              <w:rPr>
                <w:rFonts w:ascii="CAIXA Std Book" w:eastAsia="Times New Roman" w:hAnsi="CAIXA Std Book" w:cs="Times New Roman"/>
                <w:b/>
                <w:color w:val="FFFFFF"/>
                <w:sz w:val="16"/>
                <w:szCs w:val="16"/>
              </w:rPr>
              <w:t>Individual</w:t>
            </w:r>
          </w:p>
        </w:tc>
      </w:tr>
      <w:tr w:rsidR="000361CC" w:rsidRPr="00ED0331" w14:paraId="0D83339E" w14:textId="77777777" w:rsidTr="001E6A64">
        <w:trPr>
          <w:trHeight w:val="238"/>
        </w:trPr>
        <w:tc>
          <w:tcPr>
            <w:tcW w:w="2286" w:type="pct"/>
            <w:vMerge w:val="restart"/>
            <w:tcBorders>
              <w:top w:val="single" w:sz="4" w:space="0" w:color="FFFFFF" w:themeColor="background1"/>
              <w:left w:val="nil"/>
              <w:bottom w:val="nil"/>
              <w:right w:val="nil"/>
            </w:tcBorders>
            <w:shd w:val="clear" w:color="auto" w:fill="005CA9"/>
            <w:vAlign w:val="center"/>
            <w:hideMark/>
          </w:tcPr>
          <w:p w14:paraId="12987665" w14:textId="77777777" w:rsidR="00715309" w:rsidRPr="00F216D4" w:rsidRDefault="00715309" w:rsidP="00715309">
            <w:pPr>
              <w:jc w:val="center"/>
              <w:rPr>
                <w:rFonts w:ascii="CAIXA Std Book" w:eastAsia="Times New Roman" w:hAnsi="CAIXA Std Book" w:cs="Times New Roman"/>
                <w:b/>
                <w:color w:val="FFFFFF"/>
                <w:sz w:val="16"/>
                <w:szCs w:val="16"/>
              </w:rPr>
            </w:pPr>
            <w:r w:rsidRPr="00F216D4">
              <w:rPr>
                <w:rFonts w:ascii="CAIXA Std Book" w:eastAsia="Times New Roman" w:hAnsi="CAIXA Std Book" w:cs="Times New Roman"/>
                <w:b/>
                <w:color w:val="FFFFFF"/>
                <w:sz w:val="16"/>
                <w:szCs w:val="16"/>
              </w:rPr>
              <w:t>Ativo</w:t>
            </w:r>
          </w:p>
        </w:tc>
        <w:tc>
          <w:tcPr>
            <w:tcW w:w="1357" w:type="pct"/>
            <w:gridSpan w:val="3"/>
            <w:tcBorders>
              <w:top w:val="single" w:sz="4" w:space="0" w:color="FFFFFF" w:themeColor="background1"/>
              <w:left w:val="nil"/>
              <w:bottom w:val="single" w:sz="4" w:space="0" w:color="FFFFFF" w:themeColor="background1"/>
              <w:right w:val="nil"/>
            </w:tcBorders>
            <w:shd w:val="clear" w:color="auto" w:fill="005CA9"/>
            <w:noWrap/>
            <w:vAlign w:val="center"/>
            <w:hideMark/>
          </w:tcPr>
          <w:p w14:paraId="7E02C5FF" w14:textId="6B7CE2F8" w:rsidR="00715309" w:rsidRPr="00F216D4" w:rsidRDefault="00CA722A" w:rsidP="00F57C10">
            <w:pPr>
              <w:jc w:val="center"/>
              <w:rPr>
                <w:rFonts w:ascii="CAIXA Std Book" w:eastAsia="Times New Roman" w:hAnsi="CAIXA Std Book" w:cs="Times New Roman"/>
                <w:b/>
                <w:color w:val="FFFFFF"/>
                <w:sz w:val="16"/>
                <w:szCs w:val="16"/>
              </w:rPr>
            </w:pPr>
            <w:r w:rsidRPr="00F216D4">
              <w:rPr>
                <w:rFonts w:ascii="CAIXA Std Book" w:eastAsia="Times New Roman" w:hAnsi="CAIXA Std Book" w:cs="Times New Roman"/>
                <w:b/>
                <w:color w:val="FFFFFF"/>
                <w:sz w:val="16"/>
                <w:szCs w:val="16"/>
              </w:rPr>
              <w:t>31/03/2026</w:t>
            </w:r>
          </w:p>
        </w:tc>
        <w:tc>
          <w:tcPr>
            <w:tcW w:w="1357" w:type="pct"/>
            <w:gridSpan w:val="3"/>
            <w:tcBorders>
              <w:top w:val="single" w:sz="4" w:space="0" w:color="FFFFFF" w:themeColor="background1"/>
              <w:left w:val="nil"/>
              <w:bottom w:val="single" w:sz="4" w:space="0" w:color="FFFFFF" w:themeColor="background1"/>
              <w:right w:val="nil"/>
            </w:tcBorders>
            <w:shd w:val="clear" w:color="auto" w:fill="005CA9"/>
            <w:noWrap/>
            <w:vAlign w:val="center"/>
            <w:hideMark/>
          </w:tcPr>
          <w:p w14:paraId="4B72C883" w14:textId="2F6E537F" w:rsidR="00715309" w:rsidRPr="00F216D4" w:rsidRDefault="00CA722A" w:rsidP="00F57C10">
            <w:pPr>
              <w:jc w:val="center"/>
              <w:rPr>
                <w:rFonts w:ascii="CAIXA Std Book" w:eastAsia="Times New Roman" w:hAnsi="CAIXA Std Book" w:cs="Times New Roman"/>
                <w:b/>
                <w:color w:val="FFFFFF"/>
                <w:sz w:val="16"/>
                <w:szCs w:val="16"/>
              </w:rPr>
            </w:pPr>
            <w:r w:rsidRPr="00F216D4">
              <w:rPr>
                <w:rFonts w:ascii="CAIXA Std Book" w:eastAsia="Times New Roman" w:hAnsi="CAIXA Std Book" w:cs="Times New Roman"/>
                <w:b/>
                <w:color w:val="FFFFFF"/>
                <w:sz w:val="16"/>
                <w:szCs w:val="16"/>
              </w:rPr>
              <w:t>31/12/2025</w:t>
            </w:r>
          </w:p>
        </w:tc>
      </w:tr>
      <w:tr w:rsidR="000F3320" w:rsidRPr="00ED0331" w14:paraId="4EEEAE81" w14:textId="77777777" w:rsidTr="00C5159C">
        <w:trPr>
          <w:trHeight w:val="238"/>
        </w:trPr>
        <w:tc>
          <w:tcPr>
            <w:tcW w:w="2286" w:type="pct"/>
            <w:vMerge/>
            <w:tcBorders>
              <w:top w:val="single" w:sz="4" w:space="0" w:color="FFFFFF" w:themeColor="background1"/>
              <w:left w:val="nil"/>
              <w:right w:val="nil"/>
            </w:tcBorders>
            <w:shd w:val="clear" w:color="auto" w:fill="005CA9"/>
            <w:vAlign w:val="center"/>
            <w:hideMark/>
          </w:tcPr>
          <w:p w14:paraId="7D5FE8B2" w14:textId="77777777" w:rsidR="00F57C10" w:rsidRPr="00F216D4" w:rsidRDefault="00F57C10" w:rsidP="00715309">
            <w:pPr>
              <w:rPr>
                <w:rFonts w:ascii="CAIXA Std Book" w:eastAsia="Times New Roman" w:hAnsi="CAIXA Std Book" w:cs="Times New Roman"/>
                <w:b/>
                <w:color w:val="FFFFFF"/>
                <w:sz w:val="16"/>
                <w:szCs w:val="16"/>
              </w:rPr>
            </w:pPr>
          </w:p>
        </w:tc>
        <w:tc>
          <w:tcPr>
            <w:tcW w:w="452" w:type="pct"/>
            <w:tcBorders>
              <w:top w:val="single" w:sz="4" w:space="0" w:color="FFFFFF" w:themeColor="background1"/>
              <w:left w:val="nil"/>
              <w:right w:val="nil"/>
            </w:tcBorders>
            <w:shd w:val="clear" w:color="auto" w:fill="005CA9"/>
            <w:vAlign w:val="center"/>
            <w:hideMark/>
          </w:tcPr>
          <w:p w14:paraId="636EEC9F" w14:textId="77777777" w:rsidR="00F57C10" w:rsidRPr="00F216D4" w:rsidRDefault="00F57C10" w:rsidP="000F3320">
            <w:pPr>
              <w:ind w:left="-712" w:right="-520"/>
              <w:jc w:val="center"/>
              <w:rPr>
                <w:rFonts w:ascii="CAIXA Std Book" w:eastAsia="Times New Roman" w:hAnsi="CAIXA Std Book" w:cs="Times New Roman"/>
                <w:b/>
                <w:color w:val="FFFFFF"/>
                <w:sz w:val="16"/>
                <w:szCs w:val="16"/>
              </w:rPr>
            </w:pPr>
            <w:r w:rsidRPr="00F216D4">
              <w:rPr>
                <w:rFonts w:ascii="CAIXA Std Book" w:eastAsia="Times New Roman" w:hAnsi="CAIXA Std Book" w:cs="Times New Roman"/>
                <w:b/>
                <w:color w:val="FFFFFF"/>
                <w:sz w:val="16"/>
                <w:szCs w:val="16"/>
              </w:rPr>
              <w:t>Até 360 dias</w:t>
            </w:r>
          </w:p>
        </w:tc>
        <w:tc>
          <w:tcPr>
            <w:tcW w:w="452" w:type="pct"/>
            <w:tcBorders>
              <w:top w:val="single" w:sz="4" w:space="0" w:color="FFFFFF" w:themeColor="background1"/>
              <w:left w:val="nil"/>
              <w:right w:val="nil"/>
            </w:tcBorders>
            <w:shd w:val="clear" w:color="auto" w:fill="005CA9"/>
            <w:vAlign w:val="center"/>
            <w:hideMark/>
          </w:tcPr>
          <w:p w14:paraId="3178889F" w14:textId="77777777" w:rsidR="00F57C10" w:rsidRPr="00F216D4" w:rsidRDefault="00F57C10" w:rsidP="00F57C10">
            <w:pPr>
              <w:jc w:val="center"/>
              <w:rPr>
                <w:rFonts w:ascii="CAIXA Std Book" w:eastAsia="Times New Roman" w:hAnsi="CAIXA Std Book" w:cs="Times New Roman"/>
                <w:b/>
                <w:color w:val="FFFFFF"/>
                <w:sz w:val="16"/>
                <w:szCs w:val="16"/>
              </w:rPr>
            </w:pPr>
            <w:r w:rsidRPr="00F216D4">
              <w:rPr>
                <w:rFonts w:ascii="CAIXA Std Book" w:eastAsia="Times New Roman" w:hAnsi="CAIXA Std Book" w:cs="Times New Roman"/>
                <w:b/>
                <w:color w:val="FFFFFF"/>
                <w:sz w:val="16"/>
                <w:szCs w:val="16"/>
              </w:rPr>
              <w:t>Acima de</w:t>
            </w:r>
          </w:p>
          <w:p w14:paraId="781E1513" w14:textId="77777777" w:rsidR="00F57C10" w:rsidRPr="00F216D4" w:rsidRDefault="00F57C10" w:rsidP="00F57C10">
            <w:pPr>
              <w:jc w:val="center"/>
              <w:rPr>
                <w:rFonts w:ascii="CAIXA Std Book" w:eastAsia="Times New Roman" w:hAnsi="CAIXA Std Book" w:cs="Times New Roman"/>
                <w:b/>
                <w:color w:val="FFFFFF"/>
                <w:sz w:val="16"/>
                <w:szCs w:val="16"/>
              </w:rPr>
            </w:pPr>
            <w:r w:rsidRPr="00F216D4">
              <w:rPr>
                <w:rFonts w:ascii="CAIXA Std Book" w:eastAsia="Times New Roman" w:hAnsi="CAIXA Std Book" w:cs="Times New Roman"/>
                <w:b/>
                <w:color w:val="FFFFFF"/>
                <w:sz w:val="16"/>
                <w:szCs w:val="16"/>
              </w:rPr>
              <w:t>360 dias</w:t>
            </w:r>
          </w:p>
        </w:tc>
        <w:tc>
          <w:tcPr>
            <w:tcW w:w="453" w:type="pct"/>
            <w:tcBorders>
              <w:top w:val="single" w:sz="4" w:space="0" w:color="FFFFFF" w:themeColor="background1"/>
              <w:left w:val="nil"/>
              <w:right w:val="nil"/>
            </w:tcBorders>
            <w:shd w:val="clear" w:color="auto" w:fill="005CA9"/>
            <w:vAlign w:val="center"/>
            <w:hideMark/>
          </w:tcPr>
          <w:p w14:paraId="351B6786" w14:textId="77777777" w:rsidR="00F57C10" w:rsidRPr="00F216D4" w:rsidRDefault="00F57C10" w:rsidP="000F3320">
            <w:pPr>
              <w:ind w:left="-80"/>
              <w:jc w:val="center"/>
              <w:rPr>
                <w:rFonts w:ascii="CAIXA Std Book" w:eastAsia="Times New Roman" w:hAnsi="CAIXA Std Book" w:cs="Times New Roman"/>
                <w:b/>
                <w:color w:val="FFFFFF"/>
                <w:sz w:val="16"/>
                <w:szCs w:val="16"/>
              </w:rPr>
            </w:pPr>
            <w:r w:rsidRPr="00F216D4">
              <w:rPr>
                <w:rFonts w:ascii="CAIXA Std Book" w:eastAsia="Times New Roman" w:hAnsi="CAIXA Std Book" w:cs="Times New Roman"/>
                <w:b/>
                <w:color w:val="FFFFFF"/>
                <w:sz w:val="16"/>
                <w:szCs w:val="16"/>
              </w:rPr>
              <w:t>Total</w:t>
            </w:r>
          </w:p>
        </w:tc>
        <w:tc>
          <w:tcPr>
            <w:tcW w:w="452" w:type="pct"/>
            <w:tcBorders>
              <w:top w:val="single" w:sz="4" w:space="0" w:color="FFFFFF" w:themeColor="background1"/>
              <w:left w:val="nil"/>
              <w:right w:val="nil"/>
            </w:tcBorders>
            <w:shd w:val="clear" w:color="auto" w:fill="005CA9"/>
            <w:vAlign w:val="center"/>
            <w:hideMark/>
          </w:tcPr>
          <w:p w14:paraId="775F4FA0" w14:textId="77777777" w:rsidR="00F57C10" w:rsidRPr="00F216D4" w:rsidRDefault="00F57C10" w:rsidP="00F57C10">
            <w:pPr>
              <w:jc w:val="center"/>
              <w:rPr>
                <w:rFonts w:ascii="CAIXA Std Book" w:eastAsia="Times New Roman" w:hAnsi="CAIXA Std Book" w:cs="Times New Roman"/>
                <w:b/>
                <w:color w:val="FFFFFF"/>
                <w:sz w:val="16"/>
                <w:szCs w:val="16"/>
              </w:rPr>
            </w:pPr>
            <w:r w:rsidRPr="00F216D4">
              <w:rPr>
                <w:rFonts w:ascii="CAIXA Std Book" w:eastAsia="Times New Roman" w:hAnsi="CAIXA Std Book" w:cs="Times New Roman"/>
                <w:b/>
                <w:color w:val="FFFFFF"/>
                <w:sz w:val="16"/>
                <w:szCs w:val="16"/>
              </w:rPr>
              <w:t>Até 360 dias</w:t>
            </w:r>
          </w:p>
        </w:tc>
        <w:tc>
          <w:tcPr>
            <w:tcW w:w="452" w:type="pct"/>
            <w:tcBorders>
              <w:top w:val="single" w:sz="4" w:space="0" w:color="FFFFFF" w:themeColor="background1"/>
              <w:left w:val="nil"/>
              <w:right w:val="nil"/>
            </w:tcBorders>
            <w:shd w:val="clear" w:color="auto" w:fill="005CA9"/>
            <w:vAlign w:val="center"/>
            <w:hideMark/>
          </w:tcPr>
          <w:p w14:paraId="1E7EA610" w14:textId="77777777" w:rsidR="00F57C10" w:rsidRPr="00F216D4" w:rsidRDefault="00F57C10" w:rsidP="00F57C10">
            <w:pPr>
              <w:jc w:val="center"/>
              <w:rPr>
                <w:rFonts w:ascii="CAIXA Std Book" w:eastAsia="Times New Roman" w:hAnsi="CAIXA Std Book" w:cs="Times New Roman"/>
                <w:b/>
                <w:color w:val="FFFFFF"/>
                <w:sz w:val="16"/>
                <w:szCs w:val="16"/>
              </w:rPr>
            </w:pPr>
            <w:r w:rsidRPr="00F216D4">
              <w:rPr>
                <w:rFonts w:ascii="CAIXA Std Book" w:eastAsia="Times New Roman" w:hAnsi="CAIXA Std Book" w:cs="Times New Roman"/>
                <w:b/>
                <w:color w:val="FFFFFF"/>
                <w:sz w:val="16"/>
                <w:szCs w:val="16"/>
              </w:rPr>
              <w:t>Acima de</w:t>
            </w:r>
          </w:p>
          <w:p w14:paraId="7BB56DE1" w14:textId="77777777" w:rsidR="00F57C10" w:rsidRPr="00F216D4" w:rsidRDefault="00F57C10" w:rsidP="00F57C10">
            <w:pPr>
              <w:jc w:val="center"/>
              <w:rPr>
                <w:rFonts w:ascii="CAIXA Std Book" w:eastAsia="Times New Roman" w:hAnsi="CAIXA Std Book" w:cs="Times New Roman"/>
                <w:b/>
                <w:color w:val="FFFFFF"/>
                <w:sz w:val="16"/>
                <w:szCs w:val="16"/>
              </w:rPr>
            </w:pPr>
            <w:r w:rsidRPr="00F216D4">
              <w:rPr>
                <w:rFonts w:ascii="CAIXA Std Book" w:eastAsia="Times New Roman" w:hAnsi="CAIXA Std Book" w:cs="Times New Roman"/>
                <w:b/>
                <w:color w:val="FFFFFF"/>
                <w:sz w:val="16"/>
                <w:szCs w:val="16"/>
              </w:rPr>
              <w:t>360 dias</w:t>
            </w:r>
          </w:p>
        </w:tc>
        <w:tc>
          <w:tcPr>
            <w:tcW w:w="453" w:type="pct"/>
            <w:tcBorders>
              <w:top w:val="single" w:sz="4" w:space="0" w:color="FFFFFF" w:themeColor="background1"/>
              <w:left w:val="nil"/>
              <w:right w:val="nil"/>
            </w:tcBorders>
            <w:shd w:val="clear" w:color="auto" w:fill="005CA9"/>
            <w:vAlign w:val="center"/>
            <w:hideMark/>
          </w:tcPr>
          <w:p w14:paraId="7A45482C" w14:textId="77777777" w:rsidR="00F57C10" w:rsidRPr="00F216D4" w:rsidRDefault="00F57C10" w:rsidP="00F57C10">
            <w:pPr>
              <w:jc w:val="center"/>
              <w:rPr>
                <w:rFonts w:ascii="CAIXA Std Book" w:eastAsia="Times New Roman" w:hAnsi="CAIXA Std Book" w:cs="Times New Roman"/>
                <w:b/>
                <w:color w:val="FFFFFF"/>
                <w:sz w:val="16"/>
                <w:szCs w:val="16"/>
              </w:rPr>
            </w:pPr>
            <w:r w:rsidRPr="00F216D4">
              <w:rPr>
                <w:rFonts w:ascii="CAIXA Std Book" w:eastAsia="Times New Roman" w:hAnsi="CAIXA Std Book" w:cs="Times New Roman"/>
                <w:b/>
                <w:color w:val="FFFFFF"/>
                <w:sz w:val="16"/>
                <w:szCs w:val="16"/>
              </w:rPr>
              <w:t>Total</w:t>
            </w:r>
          </w:p>
        </w:tc>
      </w:tr>
      <w:tr w:rsidR="00866EFC" w:rsidRPr="00ED0331" w14:paraId="7A75F73E" w14:textId="77777777" w:rsidTr="00C5159C">
        <w:trPr>
          <w:trHeight w:val="238"/>
        </w:trPr>
        <w:tc>
          <w:tcPr>
            <w:tcW w:w="2286" w:type="pct"/>
            <w:tcBorders>
              <w:top w:val="nil"/>
              <w:left w:val="nil"/>
              <w:bottom w:val="single" w:sz="4" w:space="0" w:color="FFFFFF" w:themeColor="background1"/>
              <w:right w:val="nil"/>
            </w:tcBorders>
            <w:shd w:val="clear" w:color="auto" w:fill="D0E0E3"/>
            <w:noWrap/>
            <w:vAlign w:val="center"/>
            <w:hideMark/>
          </w:tcPr>
          <w:p w14:paraId="35A961B5" w14:textId="77777777" w:rsidR="00866EFC" w:rsidRPr="00F216D4" w:rsidRDefault="00866EFC" w:rsidP="00866EFC">
            <w:pPr>
              <w:rPr>
                <w:rFonts w:ascii="CAIXA Std Book" w:eastAsia="Times New Roman" w:hAnsi="CAIXA Std Book" w:cs="Times New Roman"/>
                <w:b/>
                <w:color w:val="005CA9"/>
                <w:sz w:val="16"/>
                <w:szCs w:val="16"/>
              </w:rPr>
            </w:pPr>
            <w:r w:rsidRPr="00F216D4">
              <w:rPr>
                <w:rFonts w:ascii="CAIXA Std Book" w:eastAsia="Times New Roman" w:hAnsi="CAIXA Std Book" w:cs="Times New Roman"/>
                <w:b/>
                <w:color w:val="005CA9"/>
                <w:sz w:val="16"/>
                <w:szCs w:val="16"/>
              </w:rPr>
              <w:t>Disponibilidades</w:t>
            </w:r>
          </w:p>
        </w:tc>
        <w:tc>
          <w:tcPr>
            <w:tcW w:w="452" w:type="pct"/>
            <w:tcBorders>
              <w:top w:val="nil"/>
              <w:left w:val="nil"/>
              <w:bottom w:val="single" w:sz="4" w:space="0" w:color="FFFFFF" w:themeColor="background1"/>
              <w:right w:val="nil"/>
            </w:tcBorders>
            <w:shd w:val="clear" w:color="000000" w:fill="D0E0E3"/>
            <w:noWrap/>
            <w:vAlign w:val="center"/>
            <w:hideMark/>
          </w:tcPr>
          <w:p w14:paraId="3E16243C" w14:textId="43632E10"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9.470.976</w:t>
            </w:r>
          </w:p>
        </w:tc>
        <w:tc>
          <w:tcPr>
            <w:tcW w:w="452" w:type="pct"/>
            <w:tcBorders>
              <w:top w:val="nil"/>
              <w:left w:val="nil"/>
              <w:bottom w:val="single" w:sz="4" w:space="0" w:color="FFFFFF" w:themeColor="background1"/>
              <w:right w:val="nil"/>
            </w:tcBorders>
            <w:shd w:val="clear" w:color="000000" w:fill="D0E0E3"/>
            <w:noWrap/>
            <w:vAlign w:val="center"/>
            <w:hideMark/>
          </w:tcPr>
          <w:p w14:paraId="7278F693" w14:textId="292EFEB3" w:rsidR="00866EFC" w:rsidRPr="00F216D4" w:rsidRDefault="00866EFC" w:rsidP="00866EFC">
            <w:pPr>
              <w:jc w:val="center"/>
              <w:rPr>
                <w:rFonts w:ascii="CAIXA Std Book" w:eastAsia="Times New Roman" w:hAnsi="CAIXA Std Book" w:cs="Times New Roman"/>
                <w:b/>
                <w:color w:val="005CA9"/>
                <w:sz w:val="16"/>
                <w:szCs w:val="16"/>
              </w:rPr>
            </w:pPr>
            <w:r>
              <w:rPr>
                <w:rFonts w:ascii="CAIXA Std Book" w:hAnsi="CAIXA Std Book" w:cs="Arial"/>
                <w:b/>
                <w:bCs/>
                <w:color w:val="005CA9"/>
                <w:sz w:val="16"/>
                <w:szCs w:val="16"/>
              </w:rPr>
              <w:t>-</w:t>
            </w:r>
          </w:p>
        </w:tc>
        <w:tc>
          <w:tcPr>
            <w:tcW w:w="453" w:type="pct"/>
            <w:tcBorders>
              <w:top w:val="nil"/>
              <w:left w:val="nil"/>
              <w:bottom w:val="single" w:sz="4" w:space="0" w:color="FFFFFF" w:themeColor="background1"/>
              <w:right w:val="nil"/>
            </w:tcBorders>
            <w:shd w:val="clear" w:color="000000" w:fill="D0E0E3"/>
            <w:noWrap/>
            <w:vAlign w:val="center"/>
            <w:hideMark/>
          </w:tcPr>
          <w:p w14:paraId="25984B02" w14:textId="64BC09A1"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9.470.976</w:t>
            </w:r>
          </w:p>
        </w:tc>
        <w:tc>
          <w:tcPr>
            <w:tcW w:w="452" w:type="pct"/>
            <w:tcBorders>
              <w:top w:val="nil"/>
              <w:left w:val="nil"/>
              <w:bottom w:val="single" w:sz="4" w:space="0" w:color="FFFFFF" w:themeColor="background1"/>
              <w:right w:val="nil"/>
            </w:tcBorders>
            <w:shd w:val="clear" w:color="000000" w:fill="D0E0E3"/>
            <w:noWrap/>
            <w:vAlign w:val="center"/>
            <w:hideMark/>
          </w:tcPr>
          <w:p w14:paraId="5E824AE4" w14:textId="1A13DB57"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10.057.712</w:t>
            </w:r>
          </w:p>
        </w:tc>
        <w:tc>
          <w:tcPr>
            <w:tcW w:w="452" w:type="pct"/>
            <w:tcBorders>
              <w:top w:val="nil"/>
              <w:left w:val="nil"/>
              <w:bottom w:val="single" w:sz="4" w:space="0" w:color="FFFFFF" w:themeColor="background1"/>
              <w:right w:val="nil"/>
            </w:tcBorders>
            <w:shd w:val="clear" w:color="000000" w:fill="D0E0E3"/>
            <w:noWrap/>
            <w:vAlign w:val="center"/>
            <w:hideMark/>
          </w:tcPr>
          <w:p w14:paraId="477FEB63" w14:textId="4E220344" w:rsidR="00866EFC" w:rsidRPr="00F216D4" w:rsidRDefault="00866EFC" w:rsidP="00AC4861">
            <w:pPr>
              <w:jc w:val="center"/>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w:t>
            </w:r>
          </w:p>
        </w:tc>
        <w:tc>
          <w:tcPr>
            <w:tcW w:w="453" w:type="pct"/>
            <w:tcBorders>
              <w:top w:val="nil"/>
              <w:left w:val="nil"/>
              <w:bottom w:val="single" w:sz="4" w:space="0" w:color="FFFFFF" w:themeColor="background1"/>
              <w:right w:val="nil"/>
            </w:tcBorders>
            <w:shd w:val="clear" w:color="000000" w:fill="D0E0E3"/>
            <w:noWrap/>
            <w:vAlign w:val="center"/>
            <w:hideMark/>
          </w:tcPr>
          <w:p w14:paraId="117617A6" w14:textId="0DFEF928"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10.057.712</w:t>
            </w:r>
          </w:p>
        </w:tc>
      </w:tr>
      <w:tr w:rsidR="00866EFC" w:rsidRPr="00ED0331" w14:paraId="536228C9" w14:textId="77777777" w:rsidTr="00C5159C">
        <w:trPr>
          <w:trHeight w:val="238"/>
        </w:trPr>
        <w:tc>
          <w:tcPr>
            <w:tcW w:w="2286" w:type="pct"/>
            <w:tcBorders>
              <w:top w:val="single" w:sz="4" w:space="0" w:color="FFFFFF" w:themeColor="background1"/>
              <w:left w:val="nil"/>
              <w:bottom w:val="nil"/>
              <w:right w:val="nil"/>
            </w:tcBorders>
            <w:shd w:val="clear" w:color="auto" w:fill="D0E0E3"/>
            <w:noWrap/>
            <w:vAlign w:val="center"/>
            <w:hideMark/>
          </w:tcPr>
          <w:p w14:paraId="1A9B11B8" w14:textId="77777777" w:rsidR="00866EFC" w:rsidRPr="00F216D4" w:rsidRDefault="00866EFC" w:rsidP="00866EFC">
            <w:pPr>
              <w:rPr>
                <w:rFonts w:ascii="CAIXA Std Book" w:eastAsia="Times New Roman" w:hAnsi="CAIXA Std Book" w:cs="Times New Roman"/>
                <w:b/>
                <w:color w:val="005CA9"/>
                <w:sz w:val="16"/>
                <w:szCs w:val="16"/>
              </w:rPr>
            </w:pPr>
            <w:r w:rsidRPr="00F216D4">
              <w:rPr>
                <w:rFonts w:ascii="CAIXA Std Book" w:eastAsia="Times New Roman" w:hAnsi="CAIXA Std Book" w:cs="Times New Roman"/>
                <w:b/>
                <w:color w:val="005CA9"/>
                <w:sz w:val="16"/>
                <w:szCs w:val="16"/>
              </w:rPr>
              <w:t>Ativos financeiros ao valor justo por meio do resultado</w:t>
            </w:r>
          </w:p>
        </w:tc>
        <w:tc>
          <w:tcPr>
            <w:tcW w:w="452" w:type="pct"/>
            <w:tcBorders>
              <w:top w:val="single" w:sz="4" w:space="0" w:color="FFFFFF" w:themeColor="background1"/>
              <w:left w:val="nil"/>
              <w:bottom w:val="nil"/>
              <w:right w:val="nil"/>
            </w:tcBorders>
            <w:shd w:val="clear" w:color="000000" w:fill="D0E0E3"/>
            <w:noWrap/>
            <w:vAlign w:val="center"/>
            <w:hideMark/>
          </w:tcPr>
          <w:p w14:paraId="4A036DA0" w14:textId="3ABA38D8"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152.998</w:t>
            </w:r>
          </w:p>
        </w:tc>
        <w:tc>
          <w:tcPr>
            <w:tcW w:w="452" w:type="pct"/>
            <w:tcBorders>
              <w:top w:val="single" w:sz="4" w:space="0" w:color="FFFFFF" w:themeColor="background1"/>
              <w:left w:val="nil"/>
              <w:bottom w:val="nil"/>
              <w:right w:val="nil"/>
            </w:tcBorders>
            <w:shd w:val="clear" w:color="000000" w:fill="D0E0E3"/>
            <w:noWrap/>
            <w:vAlign w:val="center"/>
            <w:hideMark/>
          </w:tcPr>
          <w:p w14:paraId="00916C4B" w14:textId="11C2A899"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149.464.041</w:t>
            </w:r>
          </w:p>
        </w:tc>
        <w:tc>
          <w:tcPr>
            <w:tcW w:w="453" w:type="pct"/>
            <w:tcBorders>
              <w:top w:val="single" w:sz="4" w:space="0" w:color="FFFFFF" w:themeColor="background1"/>
              <w:left w:val="nil"/>
              <w:bottom w:val="nil"/>
              <w:right w:val="nil"/>
            </w:tcBorders>
            <w:shd w:val="clear" w:color="000000" w:fill="D0E0E3"/>
            <w:noWrap/>
            <w:vAlign w:val="center"/>
            <w:hideMark/>
          </w:tcPr>
          <w:p w14:paraId="65F43290" w14:textId="4017FDE2"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149.617.039</w:t>
            </w:r>
          </w:p>
        </w:tc>
        <w:tc>
          <w:tcPr>
            <w:tcW w:w="452" w:type="pct"/>
            <w:tcBorders>
              <w:top w:val="single" w:sz="4" w:space="0" w:color="FFFFFF" w:themeColor="background1"/>
              <w:left w:val="nil"/>
              <w:bottom w:val="nil"/>
              <w:right w:val="nil"/>
            </w:tcBorders>
            <w:shd w:val="clear" w:color="000000" w:fill="D0E0E3"/>
            <w:noWrap/>
            <w:vAlign w:val="center"/>
            <w:hideMark/>
          </w:tcPr>
          <w:p w14:paraId="6444BCCA" w14:textId="32B63478"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1.008.036</w:t>
            </w:r>
          </w:p>
        </w:tc>
        <w:tc>
          <w:tcPr>
            <w:tcW w:w="452" w:type="pct"/>
            <w:tcBorders>
              <w:top w:val="single" w:sz="4" w:space="0" w:color="FFFFFF" w:themeColor="background1"/>
              <w:left w:val="nil"/>
              <w:bottom w:val="nil"/>
              <w:right w:val="nil"/>
            </w:tcBorders>
            <w:shd w:val="clear" w:color="000000" w:fill="D0E0E3"/>
            <w:noWrap/>
            <w:vAlign w:val="center"/>
            <w:hideMark/>
          </w:tcPr>
          <w:p w14:paraId="3C0B8E10" w14:textId="29FA2DA7"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156.190.399</w:t>
            </w:r>
          </w:p>
        </w:tc>
        <w:tc>
          <w:tcPr>
            <w:tcW w:w="453" w:type="pct"/>
            <w:tcBorders>
              <w:top w:val="single" w:sz="4" w:space="0" w:color="FFFFFF" w:themeColor="background1"/>
              <w:left w:val="nil"/>
              <w:bottom w:val="nil"/>
              <w:right w:val="nil"/>
            </w:tcBorders>
            <w:shd w:val="clear" w:color="000000" w:fill="D0E0E3"/>
            <w:noWrap/>
            <w:vAlign w:val="center"/>
            <w:hideMark/>
          </w:tcPr>
          <w:p w14:paraId="2255DF3F" w14:textId="51F44B78"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157.198.435</w:t>
            </w:r>
          </w:p>
        </w:tc>
      </w:tr>
      <w:tr w:rsidR="00866EFC" w:rsidRPr="00ED0331" w14:paraId="72EDD848" w14:textId="77777777" w:rsidTr="001E6A64">
        <w:trPr>
          <w:trHeight w:val="238"/>
        </w:trPr>
        <w:tc>
          <w:tcPr>
            <w:tcW w:w="2286" w:type="pct"/>
            <w:tcBorders>
              <w:top w:val="nil"/>
              <w:left w:val="nil"/>
              <w:bottom w:val="nil"/>
              <w:right w:val="nil"/>
            </w:tcBorders>
            <w:noWrap/>
            <w:vAlign w:val="center"/>
            <w:hideMark/>
          </w:tcPr>
          <w:p w14:paraId="77C389FF" w14:textId="77777777" w:rsidR="00866EFC" w:rsidRPr="00F216D4" w:rsidRDefault="00866EFC" w:rsidP="00866EFC">
            <w:pPr>
              <w:ind w:firstLineChars="100" w:firstLine="160"/>
              <w:rPr>
                <w:rFonts w:ascii="CAIXA Std Book" w:eastAsia="Times New Roman" w:hAnsi="CAIXA Std Book" w:cs="Times New Roman"/>
                <w:color w:val="005CA9"/>
                <w:sz w:val="16"/>
                <w:szCs w:val="16"/>
              </w:rPr>
            </w:pPr>
            <w:r w:rsidRPr="00F216D4">
              <w:rPr>
                <w:rFonts w:ascii="CAIXA Std Book" w:eastAsia="Times New Roman" w:hAnsi="CAIXA Std Book" w:cs="Times New Roman"/>
                <w:color w:val="005CA9"/>
                <w:sz w:val="16"/>
                <w:szCs w:val="16"/>
              </w:rPr>
              <w:t>Títulos e valores mobiliários (líquidos de provisão para perdas associadas ao risco de crédito)</w:t>
            </w:r>
          </w:p>
        </w:tc>
        <w:tc>
          <w:tcPr>
            <w:tcW w:w="452" w:type="pct"/>
            <w:tcBorders>
              <w:top w:val="nil"/>
              <w:left w:val="nil"/>
              <w:bottom w:val="nil"/>
              <w:right w:val="nil"/>
            </w:tcBorders>
            <w:noWrap/>
            <w:vAlign w:val="center"/>
            <w:hideMark/>
          </w:tcPr>
          <w:p w14:paraId="2391F9D1" w14:textId="31C0BC23" w:rsidR="00866EFC" w:rsidRPr="00F216D4" w:rsidRDefault="00866EFC" w:rsidP="00866EFC">
            <w:pPr>
              <w:ind w:firstLineChars="100" w:firstLine="160"/>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135.063</w:t>
            </w:r>
          </w:p>
        </w:tc>
        <w:tc>
          <w:tcPr>
            <w:tcW w:w="452" w:type="pct"/>
            <w:tcBorders>
              <w:top w:val="nil"/>
              <w:left w:val="nil"/>
              <w:bottom w:val="nil"/>
              <w:right w:val="nil"/>
            </w:tcBorders>
            <w:noWrap/>
            <w:vAlign w:val="center"/>
            <w:hideMark/>
          </w:tcPr>
          <w:p w14:paraId="32299C45" w14:textId="3C175348"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149.133.939</w:t>
            </w:r>
          </w:p>
        </w:tc>
        <w:tc>
          <w:tcPr>
            <w:tcW w:w="453" w:type="pct"/>
            <w:tcBorders>
              <w:top w:val="nil"/>
              <w:left w:val="nil"/>
              <w:bottom w:val="nil"/>
              <w:right w:val="nil"/>
            </w:tcBorders>
            <w:noWrap/>
            <w:vAlign w:val="center"/>
            <w:hideMark/>
          </w:tcPr>
          <w:p w14:paraId="015CD8A3" w14:textId="461A06C3" w:rsidR="00866EFC" w:rsidRPr="00F216D4" w:rsidRDefault="00866EFC" w:rsidP="00866EFC">
            <w:pPr>
              <w:ind w:firstLineChars="100" w:firstLine="160"/>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149.269.002</w:t>
            </w:r>
          </w:p>
        </w:tc>
        <w:tc>
          <w:tcPr>
            <w:tcW w:w="452" w:type="pct"/>
            <w:tcBorders>
              <w:top w:val="nil"/>
              <w:left w:val="nil"/>
              <w:bottom w:val="nil"/>
              <w:right w:val="nil"/>
            </w:tcBorders>
            <w:noWrap/>
            <w:vAlign w:val="center"/>
            <w:hideMark/>
          </w:tcPr>
          <w:p w14:paraId="61EFA953" w14:textId="70CA7DF8" w:rsidR="00866EFC" w:rsidRPr="00F216D4" w:rsidRDefault="00866EFC" w:rsidP="00866EFC">
            <w:pPr>
              <w:ind w:firstLineChars="100" w:firstLine="160"/>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1.007.990</w:t>
            </w:r>
          </w:p>
        </w:tc>
        <w:tc>
          <w:tcPr>
            <w:tcW w:w="452" w:type="pct"/>
            <w:tcBorders>
              <w:top w:val="nil"/>
              <w:left w:val="nil"/>
              <w:bottom w:val="nil"/>
              <w:right w:val="nil"/>
            </w:tcBorders>
            <w:noWrap/>
            <w:vAlign w:val="center"/>
            <w:hideMark/>
          </w:tcPr>
          <w:p w14:paraId="423FB343" w14:textId="3DD5A7BD" w:rsidR="00866EFC" w:rsidRPr="00F216D4" w:rsidRDefault="00866EFC" w:rsidP="00866EFC">
            <w:pPr>
              <w:ind w:firstLineChars="100" w:firstLine="160"/>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155.930.792</w:t>
            </w:r>
          </w:p>
        </w:tc>
        <w:tc>
          <w:tcPr>
            <w:tcW w:w="453" w:type="pct"/>
            <w:tcBorders>
              <w:top w:val="nil"/>
              <w:left w:val="nil"/>
              <w:bottom w:val="nil"/>
              <w:right w:val="nil"/>
            </w:tcBorders>
            <w:noWrap/>
            <w:vAlign w:val="center"/>
            <w:hideMark/>
          </w:tcPr>
          <w:p w14:paraId="20CCFC0A" w14:textId="757D5421" w:rsidR="00866EFC" w:rsidRPr="00F216D4" w:rsidRDefault="00866EFC" w:rsidP="00866EFC">
            <w:pPr>
              <w:ind w:firstLineChars="100" w:firstLine="160"/>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156.938.782</w:t>
            </w:r>
          </w:p>
        </w:tc>
      </w:tr>
      <w:tr w:rsidR="00866EFC" w:rsidRPr="00ED0331" w14:paraId="2430B05B" w14:textId="77777777" w:rsidTr="001E6A64">
        <w:trPr>
          <w:trHeight w:val="238"/>
        </w:trPr>
        <w:tc>
          <w:tcPr>
            <w:tcW w:w="2286" w:type="pct"/>
            <w:tcBorders>
              <w:top w:val="nil"/>
              <w:left w:val="nil"/>
              <w:bottom w:val="nil"/>
              <w:right w:val="nil"/>
            </w:tcBorders>
            <w:noWrap/>
            <w:vAlign w:val="center"/>
            <w:hideMark/>
          </w:tcPr>
          <w:p w14:paraId="298F3B64" w14:textId="77777777" w:rsidR="00866EFC" w:rsidRPr="00F216D4" w:rsidRDefault="00866EFC" w:rsidP="00866EFC">
            <w:pPr>
              <w:ind w:firstLineChars="100" w:firstLine="160"/>
              <w:rPr>
                <w:rFonts w:ascii="CAIXA Std Book" w:eastAsia="Times New Roman" w:hAnsi="CAIXA Std Book" w:cs="Times New Roman"/>
                <w:color w:val="005CA9"/>
                <w:sz w:val="16"/>
                <w:szCs w:val="16"/>
              </w:rPr>
            </w:pPr>
            <w:r w:rsidRPr="00F216D4">
              <w:rPr>
                <w:rFonts w:ascii="CAIXA Std Book" w:eastAsia="Times New Roman" w:hAnsi="CAIXA Std Book" w:cs="Times New Roman"/>
                <w:color w:val="005CA9"/>
                <w:sz w:val="16"/>
                <w:szCs w:val="16"/>
              </w:rPr>
              <w:t>Instrumentos financeiros derivativos</w:t>
            </w:r>
          </w:p>
        </w:tc>
        <w:tc>
          <w:tcPr>
            <w:tcW w:w="452" w:type="pct"/>
            <w:tcBorders>
              <w:top w:val="nil"/>
              <w:left w:val="nil"/>
              <w:bottom w:val="nil"/>
              <w:right w:val="nil"/>
            </w:tcBorders>
            <w:noWrap/>
            <w:vAlign w:val="center"/>
            <w:hideMark/>
          </w:tcPr>
          <w:p w14:paraId="76E64145" w14:textId="0B54F9F8" w:rsidR="00866EFC" w:rsidRPr="00F216D4" w:rsidRDefault="00866EFC" w:rsidP="00866EFC">
            <w:pPr>
              <w:ind w:firstLineChars="100" w:firstLine="160"/>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17.935</w:t>
            </w:r>
          </w:p>
        </w:tc>
        <w:tc>
          <w:tcPr>
            <w:tcW w:w="452" w:type="pct"/>
            <w:tcBorders>
              <w:top w:val="nil"/>
              <w:left w:val="nil"/>
              <w:bottom w:val="nil"/>
              <w:right w:val="nil"/>
            </w:tcBorders>
            <w:noWrap/>
            <w:vAlign w:val="center"/>
            <w:hideMark/>
          </w:tcPr>
          <w:p w14:paraId="7A62DB04" w14:textId="4D9D0590" w:rsidR="00866EFC" w:rsidRPr="00F216D4" w:rsidRDefault="00866EFC" w:rsidP="00866EFC">
            <w:pPr>
              <w:jc w:val="center"/>
              <w:rPr>
                <w:rFonts w:ascii="CAIXA Std Book" w:eastAsia="Times New Roman" w:hAnsi="CAIXA Std Book" w:cs="Times New Roman"/>
                <w:color w:val="005CA9"/>
                <w:sz w:val="16"/>
                <w:szCs w:val="16"/>
              </w:rPr>
            </w:pPr>
            <w:r>
              <w:rPr>
                <w:rFonts w:ascii="CAIXA Std Book" w:hAnsi="CAIXA Std Book" w:cs="Arial"/>
                <w:color w:val="005CA9"/>
                <w:sz w:val="16"/>
                <w:szCs w:val="16"/>
              </w:rPr>
              <w:t>-</w:t>
            </w:r>
          </w:p>
        </w:tc>
        <w:tc>
          <w:tcPr>
            <w:tcW w:w="453" w:type="pct"/>
            <w:tcBorders>
              <w:top w:val="nil"/>
              <w:left w:val="nil"/>
              <w:bottom w:val="nil"/>
              <w:right w:val="nil"/>
            </w:tcBorders>
            <w:noWrap/>
            <w:vAlign w:val="center"/>
            <w:hideMark/>
          </w:tcPr>
          <w:p w14:paraId="3D791879" w14:textId="2980FCC0" w:rsidR="00866EFC" w:rsidRPr="00F216D4" w:rsidRDefault="00866EFC" w:rsidP="00866EFC">
            <w:pPr>
              <w:ind w:firstLineChars="100" w:firstLine="160"/>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17.935</w:t>
            </w:r>
          </w:p>
        </w:tc>
        <w:tc>
          <w:tcPr>
            <w:tcW w:w="452" w:type="pct"/>
            <w:tcBorders>
              <w:top w:val="nil"/>
              <w:left w:val="nil"/>
              <w:bottom w:val="nil"/>
              <w:right w:val="nil"/>
            </w:tcBorders>
            <w:noWrap/>
            <w:vAlign w:val="center"/>
            <w:hideMark/>
          </w:tcPr>
          <w:p w14:paraId="69ACA2B6" w14:textId="7696666B" w:rsidR="00866EFC" w:rsidRPr="00F216D4" w:rsidRDefault="00866EFC" w:rsidP="00866EFC">
            <w:pPr>
              <w:ind w:firstLineChars="100" w:firstLine="160"/>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46</w:t>
            </w:r>
          </w:p>
        </w:tc>
        <w:tc>
          <w:tcPr>
            <w:tcW w:w="452" w:type="pct"/>
            <w:tcBorders>
              <w:top w:val="nil"/>
              <w:left w:val="nil"/>
              <w:bottom w:val="nil"/>
              <w:right w:val="nil"/>
            </w:tcBorders>
            <w:noWrap/>
            <w:vAlign w:val="center"/>
            <w:hideMark/>
          </w:tcPr>
          <w:p w14:paraId="1EEB0845" w14:textId="02E5EA9F" w:rsidR="00866EFC" w:rsidRPr="00F216D4" w:rsidRDefault="00866EFC" w:rsidP="00AC4861">
            <w:pPr>
              <w:jc w:val="center"/>
              <w:rPr>
                <w:rFonts w:ascii="CAIXA Std Book" w:eastAsia="Times New Roman" w:hAnsi="CAIXA Std Book" w:cs="Times New Roman"/>
                <w:color w:val="005CA9"/>
                <w:sz w:val="16"/>
                <w:szCs w:val="16"/>
              </w:rPr>
            </w:pPr>
            <w:r>
              <w:rPr>
                <w:rFonts w:ascii="CAIXA Std Book" w:hAnsi="CAIXA Std Book" w:cs="Calibri"/>
                <w:color w:val="005CA9"/>
                <w:sz w:val="16"/>
                <w:szCs w:val="16"/>
              </w:rPr>
              <w:t>-</w:t>
            </w:r>
          </w:p>
        </w:tc>
        <w:tc>
          <w:tcPr>
            <w:tcW w:w="453" w:type="pct"/>
            <w:tcBorders>
              <w:top w:val="nil"/>
              <w:left w:val="nil"/>
              <w:bottom w:val="nil"/>
              <w:right w:val="nil"/>
            </w:tcBorders>
            <w:noWrap/>
            <w:vAlign w:val="center"/>
            <w:hideMark/>
          </w:tcPr>
          <w:p w14:paraId="39A904FA" w14:textId="7EB1660F" w:rsidR="00866EFC" w:rsidRPr="00F216D4" w:rsidRDefault="00866EFC" w:rsidP="00AC4861">
            <w:pPr>
              <w:ind w:firstLineChars="100" w:firstLine="160"/>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46</w:t>
            </w:r>
          </w:p>
        </w:tc>
      </w:tr>
      <w:tr w:rsidR="00866EFC" w:rsidRPr="00ED0331" w14:paraId="72DB4D4F" w14:textId="77777777" w:rsidTr="001E6A64">
        <w:trPr>
          <w:trHeight w:val="238"/>
        </w:trPr>
        <w:tc>
          <w:tcPr>
            <w:tcW w:w="2286" w:type="pct"/>
            <w:tcBorders>
              <w:top w:val="nil"/>
              <w:left w:val="nil"/>
              <w:bottom w:val="nil"/>
              <w:right w:val="nil"/>
            </w:tcBorders>
            <w:noWrap/>
            <w:vAlign w:val="center"/>
            <w:hideMark/>
          </w:tcPr>
          <w:p w14:paraId="7AEA5C1C" w14:textId="77777777" w:rsidR="00866EFC" w:rsidRPr="00F216D4" w:rsidRDefault="00866EFC" w:rsidP="00866EFC">
            <w:pPr>
              <w:ind w:firstLineChars="100" w:firstLine="160"/>
              <w:rPr>
                <w:rFonts w:ascii="CAIXA Std Book" w:eastAsia="Times New Roman" w:hAnsi="CAIXA Std Book" w:cs="Times New Roman"/>
                <w:color w:val="005CA9"/>
                <w:sz w:val="16"/>
                <w:szCs w:val="16"/>
              </w:rPr>
            </w:pPr>
            <w:r w:rsidRPr="00F216D4">
              <w:rPr>
                <w:rFonts w:ascii="CAIXA Std Book" w:eastAsia="Times New Roman" w:hAnsi="CAIXA Std Book" w:cs="Times New Roman"/>
                <w:color w:val="005CA9"/>
                <w:sz w:val="16"/>
                <w:szCs w:val="16"/>
              </w:rPr>
              <w:t>Outros ativos financeiros</w:t>
            </w:r>
          </w:p>
        </w:tc>
        <w:tc>
          <w:tcPr>
            <w:tcW w:w="452" w:type="pct"/>
            <w:tcBorders>
              <w:top w:val="nil"/>
              <w:left w:val="nil"/>
              <w:bottom w:val="nil"/>
              <w:right w:val="nil"/>
            </w:tcBorders>
            <w:shd w:val="clear" w:color="000000" w:fill="FFFFFF"/>
            <w:noWrap/>
            <w:vAlign w:val="center"/>
            <w:hideMark/>
          </w:tcPr>
          <w:p w14:paraId="0BDCA233" w14:textId="3D592029" w:rsidR="00866EFC" w:rsidRPr="00347B72" w:rsidRDefault="00866EFC" w:rsidP="00866EFC">
            <w:pPr>
              <w:jc w:val="center"/>
              <w:rPr>
                <w:rFonts w:ascii="CAIXA Std Book" w:eastAsia="Times New Roman" w:hAnsi="CAIXA Std Book" w:cs="Times New Roman"/>
                <w:color w:val="005CA9"/>
                <w:sz w:val="16"/>
                <w:szCs w:val="16"/>
              </w:rPr>
            </w:pPr>
            <w:r>
              <w:rPr>
                <w:rFonts w:ascii="CAIXA Std Book" w:hAnsi="CAIXA Std Book" w:cs="Calibri"/>
                <w:color w:val="005CA9"/>
                <w:sz w:val="16"/>
                <w:szCs w:val="16"/>
              </w:rPr>
              <w:t>-</w:t>
            </w:r>
          </w:p>
        </w:tc>
        <w:tc>
          <w:tcPr>
            <w:tcW w:w="452" w:type="pct"/>
            <w:tcBorders>
              <w:top w:val="nil"/>
              <w:left w:val="nil"/>
              <w:bottom w:val="nil"/>
              <w:right w:val="nil"/>
            </w:tcBorders>
            <w:shd w:val="clear" w:color="000000" w:fill="FFFFFF"/>
            <w:noWrap/>
            <w:vAlign w:val="center"/>
            <w:hideMark/>
          </w:tcPr>
          <w:p w14:paraId="2A47341A" w14:textId="1704CA83"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330.102</w:t>
            </w:r>
          </w:p>
        </w:tc>
        <w:tc>
          <w:tcPr>
            <w:tcW w:w="453" w:type="pct"/>
            <w:tcBorders>
              <w:top w:val="nil"/>
              <w:left w:val="nil"/>
              <w:bottom w:val="nil"/>
              <w:right w:val="nil"/>
            </w:tcBorders>
            <w:shd w:val="clear" w:color="000000" w:fill="FFFFFF"/>
            <w:noWrap/>
            <w:vAlign w:val="center"/>
            <w:hideMark/>
          </w:tcPr>
          <w:p w14:paraId="08A69E6B" w14:textId="1450D8DA" w:rsidR="00866EFC" w:rsidRPr="00347B72"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330.102</w:t>
            </w:r>
          </w:p>
        </w:tc>
        <w:tc>
          <w:tcPr>
            <w:tcW w:w="452" w:type="pct"/>
            <w:tcBorders>
              <w:top w:val="nil"/>
              <w:left w:val="nil"/>
              <w:bottom w:val="nil"/>
              <w:right w:val="nil"/>
            </w:tcBorders>
            <w:shd w:val="clear" w:color="000000" w:fill="FFFFFF"/>
            <w:noWrap/>
            <w:vAlign w:val="center"/>
            <w:hideMark/>
          </w:tcPr>
          <w:p w14:paraId="7B182198" w14:textId="017616F0" w:rsidR="00866EFC" w:rsidRPr="00F216D4" w:rsidRDefault="00866EFC" w:rsidP="00AC4861">
            <w:pPr>
              <w:jc w:val="center"/>
              <w:rPr>
                <w:rFonts w:ascii="CAIXA Std Book" w:eastAsia="Times New Roman" w:hAnsi="CAIXA Std Book" w:cs="Times New Roman"/>
                <w:color w:val="005CA9"/>
                <w:sz w:val="16"/>
                <w:szCs w:val="16"/>
              </w:rPr>
            </w:pPr>
            <w:r>
              <w:rPr>
                <w:rFonts w:ascii="CAIXA Std Book" w:hAnsi="CAIXA Std Book" w:cs="Calibri"/>
                <w:color w:val="005CA9"/>
                <w:sz w:val="16"/>
                <w:szCs w:val="16"/>
              </w:rPr>
              <w:t>-</w:t>
            </w:r>
          </w:p>
        </w:tc>
        <w:tc>
          <w:tcPr>
            <w:tcW w:w="452" w:type="pct"/>
            <w:tcBorders>
              <w:top w:val="nil"/>
              <w:left w:val="nil"/>
              <w:bottom w:val="nil"/>
              <w:right w:val="nil"/>
            </w:tcBorders>
            <w:shd w:val="clear" w:color="000000" w:fill="FFFFFF"/>
            <w:noWrap/>
            <w:vAlign w:val="center"/>
            <w:hideMark/>
          </w:tcPr>
          <w:p w14:paraId="67CDC34C" w14:textId="70E8EBBE"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259.607</w:t>
            </w:r>
          </w:p>
        </w:tc>
        <w:tc>
          <w:tcPr>
            <w:tcW w:w="453" w:type="pct"/>
            <w:tcBorders>
              <w:top w:val="nil"/>
              <w:left w:val="nil"/>
              <w:bottom w:val="nil"/>
              <w:right w:val="nil"/>
            </w:tcBorders>
            <w:shd w:val="clear" w:color="000000" w:fill="FFFFFF"/>
            <w:noWrap/>
            <w:vAlign w:val="center"/>
            <w:hideMark/>
          </w:tcPr>
          <w:p w14:paraId="5BCA16D8" w14:textId="0F83AD11"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259.607</w:t>
            </w:r>
          </w:p>
        </w:tc>
      </w:tr>
      <w:tr w:rsidR="00866EFC" w:rsidRPr="00ED0331" w14:paraId="44B0C811" w14:textId="77777777" w:rsidTr="00682779">
        <w:trPr>
          <w:trHeight w:val="238"/>
        </w:trPr>
        <w:tc>
          <w:tcPr>
            <w:tcW w:w="2286" w:type="pct"/>
            <w:tcBorders>
              <w:top w:val="nil"/>
              <w:left w:val="nil"/>
              <w:bottom w:val="nil"/>
              <w:right w:val="nil"/>
            </w:tcBorders>
            <w:shd w:val="clear" w:color="auto" w:fill="D0E0E3"/>
            <w:noWrap/>
            <w:vAlign w:val="center"/>
            <w:hideMark/>
          </w:tcPr>
          <w:p w14:paraId="6231BEAB" w14:textId="77777777" w:rsidR="00866EFC" w:rsidRPr="00F216D4" w:rsidRDefault="00866EFC" w:rsidP="00866EFC">
            <w:pPr>
              <w:rPr>
                <w:rFonts w:ascii="CAIXA Std Book" w:eastAsia="Times New Roman" w:hAnsi="CAIXA Std Book" w:cs="Times New Roman"/>
                <w:b/>
                <w:color w:val="005CA9"/>
                <w:sz w:val="16"/>
                <w:szCs w:val="16"/>
              </w:rPr>
            </w:pPr>
            <w:r w:rsidRPr="00F216D4">
              <w:rPr>
                <w:rFonts w:ascii="CAIXA Std Book" w:eastAsia="Times New Roman" w:hAnsi="CAIXA Std Book" w:cs="Times New Roman"/>
                <w:b/>
                <w:color w:val="005CA9"/>
                <w:sz w:val="16"/>
                <w:szCs w:val="16"/>
              </w:rPr>
              <w:t>Ativos financeiros ao valor justo por meio de outros resultados abrangentes</w:t>
            </w:r>
          </w:p>
        </w:tc>
        <w:tc>
          <w:tcPr>
            <w:tcW w:w="452" w:type="pct"/>
            <w:tcBorders>
              <w:top w:val="nil"/>
              <w:left w:val="nil"/>
              <w:bottom w:val="nil"/>
              <w:right w:val="nil"/>
            </w:tcBorders>
            <w:shd w:val="clear" w:color="000000" w:fill="D0E0E3"/>
            <w:noWrap/>
            <w:vAlign w:val="center"/>
            <w:hideMark/>
          </w:tcPr>
          <w:p w14:paraId="296C8069" w14:textId="294585F0"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279.525.226</w:t>
            </w:r>
          </w:p>
        </w:tc>
        <w:tc>
          <w:tcPr>
            <w:tcW w:w="452" w:type="pct"/>
            <w:tcBorders>
              <w:top w:val="nil"/>
              <w:left w:val="nil"/>
              <w:bottom w:val="nil"/>
              <w:right w:val="nil"/>
            </w:tcBorders>
            <w:shd w:val="clear" w:color="000000" w:fill="D0E0E3"/>
            <w:noWrap/>
            <w:vAlign w:val="center"/>
            <w:hideMark/>
          </w:tcPr>
          <w:p w14:paraId="42871143" w14:textId="302BDD00"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272.895.245</w:t>
            </w:r>
          </w:p>
        </w:tc>
        <w:tc>
          <w:tcPr>
            <w:tcW w:w="453" w:type="pct"/>
            <w:tcBorders>
              <w:top w:val="nil"/>
              <w:left w:val="nil"/>
              <w:bottom w:val="nil"/>
              <w:right w:val="nil"/>
            </w:tcBorders>
            <w:shd w:val="clear" w:color="000000" w:fill="D0E0E3"/>
            <w:noWrap/>
            <w:vAlign w:val="center"/>
            <w:hideMark/>
          </w:tcPr>
          <w:p w14:paraId="52AE1E5E" w14:textId="6E73A61A"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552.420.471</w:t>
            </w:r>
          </w:p>
        </w:tc>
        <w:tc>
          <w:tcPr>
            <w:tcW w:w="452" w:type="pct"/>
            <w:tcBorders>
              <w:top w:val="nil"/>
              <w:left w:val="nil"/>
              <w:bottom w:val="nil"/>
              <w:right w:val="nil"/>
            </w:tcBorders>
            <w:shd w:val="clear" w:color="000000" w:fill="D0E0E3"/>
            <w:noWrap/>
            <w:vAlign w:val="center"/>
            <w:hideMark/>
          </w:tcPr>
          <w:p w14:paraId="7CCFCC9E" w14:textId="662F3E39"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151.753.564</w:t>
            </w:r>
          </w:p>
        </w:tc>
        <w:tc>
          <w:tcPr>
            <w:tcW w:w="452" w:type="pct"/>
            <w:tcBorders>
              <w:top w:val="nil"/>
              <w:left w:val="nil"/>
              <w:bottom w:val="nil"/>
              <w:right w:val="nil"/>
            </w:tcBorders>
            <w:shd w:val="clear" w:color="000000" w:fill="D0E0E3"/>
            <w:noWrap/>
            <w:vAlign w:val="center"/>
            <w:hideMark/>
          </w:tcPr>
          <w:p w14:paraId="4AE9CCBF" w14:textId="7F4BCF9E"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300.238.199</w:t>
            </w:r>
          </w:p>
        </w:tc>
        <w:tc>
          <w:tcPr>
            <w:tcW w:w="453" w:type="pct"/>
            <w:tcBorders>
              <w:top w:val="nil"/>
              <w:left w:val="nil"/>
              <w:bottom w:val="nil"/>
              <w:right w:val="nil"/>
            </w:tcBorders>
            <w:shd w:val="clear" w:color="000000" w:fill="D0E0E3"/>
            <w:noWrap/>
            <w:vAlign w:val="center"/>
            <w:hideMark/>
          </w:tcPr>
          <w:p w14:paraId="0660A544" w14:textId="464C10CC"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451.991.763</w:t>
            </w:r>
          </w:p>
        </w:tc>
      </w:tr>
      <w:tr w:rsidR="00866EFC" w:rsidRPr="00ED0331" w14:paraId="5C9C8FBC" w14:textId="77777777" w:rsidTr="001E6A64">
        <w:trPr>
          <w:trHeight w:val="238"/>
        </w:trPr>
        <w:tc>
          <w:tcPr>
            <w:tcW w:w="2286" w:type="pct"/>
            <w:tcBorders>
              <w:top w:val="nil"/>
              <w:left w:val="nil"/>
              <w:bottom w:val="nil"/>
              <w:right w:val="nil"/>
            </w:tcBorders>
            <w:noWrap/>
            <w:vAlign w:val="center"/>
            <w:hideMark/>
          </w:tcPr>
          <w:p w14:paraId="4CF80E04" w14:textId="77777777" w:rsidR="00866EFC" w:rsidRPr="00F216D4" w:rsidRDefault="00866EFC" w:rsidP="00866EFC">
            <w:pPr>
              <w:ind w:firstLineChars="100" w:firstLine="160"/>
              <w:rPr>
                <w:rFonts w:ascii="CAIXA Std Book" w:eastAsia="Times New Roman" w:hAnsi="CAIXA Std Book" w:cs="Times New Roman"/>
                <w:color w:val="005CA9"/>
                <w:sz w:val="16"/>
                <w:szCs w:val="16"/>
              </w:rPr>
            </w:pPr>
            <w:r w:rsidRPr="00F216D4">
              <w:rPr>
                <w:rFonts w:ascii="CAIXA Std Book" w:eastAsia="Times New Roman" w:hAnsi="CAIXA Std Book" w:cs="Times New Roman"/>
                <w:color w:val="005CA9"/>
                <w:sz w:val="16"/>
                <w:szCs w:val="16"/>
              </w:rPr>
              <w:t>Aplicações interfinanceiras de liquidez</w:t>
            </w:r>
          </w:p>
        </w:tc>
        <w:tc>
          <w:tcPr>
            <w:tcW w:w="452" w:type="pct"/>
            <w:tcBorders>
              <w:top w:val="nil"/>
              <w:left w:val="nil"/>
              <w:bottom w:val="nil"/>
              <w:right w:val="nil"/>
            </w:tcBorders>
            <w:noWrap/>
            <w:vAlign w:val="center"/>
            <w:hideMark/>
          </w:tcPr>
          <w:p w14:paraId="633E8120" w14:textId="339E5F41"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269.531.070</w:t>
            </w:r>
          </w:p>
        </w:tc>
        <w:tc>
          <w:tcPr>
            <w:tcW w:w="452" w:type="pct"/>
            <w:tcBorders>
              <w:top w:val="nil"/>
              <w:left w:val="nil"/>
              <w:bottom w:val="nil"/>
              <w:right w:val="nil"/>
            </w:tcBorders>
            <w:noWrap/>
            <w:vAlign w:val="center"/>
            <w:hideMark/>
          </w:tcPr>
          <w:p w14:paraId="6FEC8203" w14:textId="2063EF63"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4"/>
                <w:szCs w:val="14"/>
              </w:rPr>
              <w:t>-</w:t>
            </w:r>
          </w:p>
        </w:tc>
        <w:tc>
          <w:tcPr>
            <w:tcW w:w="453" w:type="pct"/>
            <w:tcBorders>
              <w:top w:val="nil"/>
              <w:left w:val="nil"/>
              <w:bottom w:val="nil"/>
              <w:right w:val="nil"/>
            </w:tcBorders>
            <w:noWrap/>
            <w:vAlign w:val="center"/>
            <w:hideMark/>
          </w:tcPr>
          <w:p w14:paraId="5F44A1AD" w14:textId="110230DD"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269.531.070</w:t>
            </w:r>
          </w:p>
        </w:tc>
        <w:tc>
          <w:tcPr>
            <w:tcW w:w="452" w:type="pct"/>
            <w:tcBorders>
              <w:top w:val="nil"/>
              <w:left w:val="nil"/>
              <w:bottom w:val="nil"/>
              <w:right w:val="nil"/>
            </w:tcBorders>
            <w:noWrap/>
            <w:vAlign w:val="center"/>
            <w:hideMark/>
          </w:tcPr>
          <w:p w14:paraId="66FB5BF6" w14:textId="126F4B52"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139.988.308</w:t>
            </w:r>
          </w:p>
        </w:tc>
        <w:tc>
          <w:tcPr>
            <w:tcW w:w="452" w:type="pct"/>
            <w:tcBorders>
              <w:top w:val="nil"/>
              <w:left w:val="nil"/>
              <w:bottom w:val="nil"/>
              <w:right w:val="nil"/>
            </w:tcBorders>
            <w:noWrap/>
            <w:vAlign w:val="center"/>
            <w:hideMark/>
          </w:tcPr>
          <w:p w14:paraId="5403DEB5" w14:textId="44C1289D" w:rsidR="00866EFC" w:rsidRPr="00F216D4" w:rsidRDefault="00866EFC" w:rsidP="00AC4861">
            <w:pPr>
              <w:jc w:val="center"/>
              <w:rPr>
                <w:rFonts w:ascii="CAIXA Std Book" w:eastAsia="Times New Roman" w:hAnsi="CAIXA Std Book" w:cs="Times New Roman"/>
                <w:color w:val="005CA9"/>
                <w:sz w:val="16"/>
                <w:szCs w:val="16"/>
              </w:rPr>
            </w:pPr>
            <w:r>
              <w:rPr>
                <w:rFonts w:ascii="CAIXA Std Book" w:hAnsi="CAIXA Std Book" w:cs="Calibri"/>
                <w:color w:val="005CA9"/>
                <w:sz w:val="16"/>
                <w:szCs w:val="16"/>
              </w:rPr>
              <w:t>-</w:t>
            </w:r>
          </w:p>
        </w:tc>
        <w:tc>
          <w:tcPr>
            <w:tcW w:w="453" w:type="pct"/>
            <w:tcBorders>
              <w:top w:val="nil"/>
              <w:left w:val="nil"/>
              <w:bottom w:val="nil"/>
              <w:right w:val="nil"/>
            </w:tcBorders>
            <w:noWrap/>
            <w:vAlign w:val="center"/>
            <w:hideMark/>
          </w:tcPr>
          <w:p w14:paraId="3383A6A3" w14:textId="49A80423"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139.988.308</w:t>
            </w:r>
          </w:p>
        </w:tc>
      </w:tr>
      <w:tr w:rsidR="00866EFC" w:rsidRPr="00ED0331" w14:paraId="1D2F1C79" w14:textId="77777777" w:rsidTr="001E6A64">
        <w:trPr>
          <w:trHeight w:val="238"/>
        </w:trPr>
        <w:tc>
          <w:tcPr>
            <w:tcW w:w="2286" w:type="pct"/>
            <w:tcBorders>
              <w:top w:val="nil"/>
              <w:left w:val="nil"/>
              <w:bottom w:val="nil"/>
              <w:right w:val="nil"/>
            </w:tcBorders>
            <w:noWrap/>
            <w:vAlign w:val="center"/>
            <w:hideMark/>
          </w:tcPr>
          <w:p w14:paraId="7D42F4F0" w14:textId="77777777" w:rsidR="00866EFC" w:rsidRPr="00F216D4" w:rsidRDefault="00866EFC" w:rsidP="00866EFC">
            <w:pPr>
              <w:ind w:firstLineChars="100" w:firstLine="160"/>
              <w:rPr>
                <w:rFonts w:ascii="CAIXA Std Book" w:eastAsia="Times New Roman" w:hAnsi="CAIXA Std Book" w:cs="Times New Roman"/>
                <w:color w:val="005CA9"/>
                <w:sz w:val="16"/>
                <w:szCs w:val="16"/>
              </w:rPr>
            </w:pPr>
            <w:r w:rsidRPr="00F216D4">
              <w:rPr>
                <w:rFonts w:ascii="CAIXA Std Book" w:eastAsia="Times New Roman" w:hAnsi="CAIXA Std Book" w:cs="Times New Roman"/>
                <w:color w:val="005CA9"/>
                <w:sz w:val="16"/>
                <w:szCs w:val="16"/>
              </w:rPr>
              <w:t>Títulos e valores mobiliários (líquidos de provisão para perdas associadas ao risco de crédito)</w:t>
            </w:r>
          </w:p>
        </w:tc>
        <w:tc>
          <w:tcPr>
            <w:tcW w:w="452" w:type="pct"/>
            <w:tcBorders>
              <w:top w:val="nil"/>
              <w:left w:val="nil"/>
              <w:bottom w:val="nil"/>
              <w:right w:val="nil"/>
            </w:tcBorders>
            <w:noWrap/>
            <w:vAlign w:val="center"/>
            <w:hideMark/>
          </w:tcPr>
          <w:p w14:paraId="0CBB8CA2" w14:textId="7B2700A3"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9.994.156</w:t>
            </w:r>
          </w:p>
        </w:tc>
        <w:tc>
          <w:tcPr>
            <w:tcW w:w="452" w:type="pct"/>
            <w:tcBorders>
              <w:top w:val="nil"/>
              <w:left w:val="nil"/>
              <w:bottom w:val="nil"/>
              <w:right w:val="nil"/>
            </w:tcBorders>
            <w:noWrap/>
            <w:vAlign w:val="center"/>
            <w:hideMark/>
          </w:tcPr>
          <w:p w14:paraId="120ED6A1" w14:textId="7F4C589A"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272.895.245</w:t>
            </w:r>
          </w:p>
        </w:tc>
        <w:tc>
          <w:tcPr>
            <w:tcW w:w="453" w:type="pct"/>
            <w:tcBorders>
              <w:top w:val="nil"/>
              <w:left w:val="nil"/>
              <w:bottom w:val="nil"/>
              <w:right w:val="nil"/>
            </w:tcBorders>
            <w:noWrap/>
            <w:vAlign w:val="center"/>
            <w:hideMark/>
          </w:tcPr>
          <w:p w14:paraId="5E4CA5AB" w14:textId="4970C697"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282.889.401</w:t>
            </w:r>
          </w:p>
        </w:tc>
        <w:tc>
          <w:tcPr>
            <w:tcW w:w="452" w:type="pct"/>
            <w:tcBorders>
              <w:top w:val="nil"/>
              <w:left w:val="nil"/>
              <w:bottom w:val="nil"/>
              <w:right w:val="nil"/>
            </w:tcBorders>
            <w:noWrap/>
            <w:vAlign w:val="center"/>
            <w:hideMark/>
          </w:tcPr>
          <w:p w14:paraId="3D7C8064" w14:textId="6047ED30"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11.765.256</w:t>
            </w:r>
          </w:p>
        </w:tc>
        <w:tc>
          <w:tcPr>
            <w:tcW w:w="452" w:type="pct"/>
            <w:tcBorders>
              <w:top w:val="nil"/>
              <w:left w:val="nil"/>
              <w:bottom w:val="nil"/>
              <w:right w:val="nil"/>
            </w:tcBorders>
            <w:noWrap/>
            <w:vAlign w:val="center"/>
            <w:hideMark/>
          </w:tcPr>
          <w:p w14:paraId="6C564C0D" w14:textId="745EBC54"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300.238.199</w:t>
            </w:r>
          </w:p>
        </w:tc>
        <w:tc>
          <w:tcPr>
            <w:tcW w:w="453" w:type="pct"/>
            <w:tcBorders>
              <w:top w:val="nil"/>
              <w:left w:val="nil"/>
              <w:bottom w:val="nil"/>
              <w:right w:val="nil"/>
            </w:tcBorders>
            <w:noWrap/>
            <w:vAlign w:val="center"/>
            <w:hideMark/>
          </w:tcPr>
          <w:p w14:paraId="45B072C0" w14:textId="5002BFE7"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312.003.455</w:t>
            </w:r>
          </w:p>
        </w:tc>
      </w:tr>
      <w:tr w:rsidR="00866EFC" w:rsidRPr="00ED0331" w14:paraId="12A86972" w14:textId="77777777" w:rsidTr="00682779">
        <w:trPr>
          <w:trHeight w:val="238"/>
        </w:trPr>
        <w:tc>
          <w:tcPr>
            <w:tcW w:w="2286" w:type="pct"/>
            <w:tcBorders>
              <w:top w:val="nil"/>
              <w:left w:val="nil"/>
              <w:bottom w:val="nil"/>
              <w:right w:val="nil"/>
            </w:tcBorders>
            <w:shd w:val="clear" w:color="auto" w:fill="D0E0E3"/>
            <w:noWrap/>
            <w:vAlign w:val="center"/>
            <w:hideMark/>
          </w:tcPr>
          <w:p w14:paraId="336416F0" w14:textId="77777777" w:rsidR="00866EFC" w:rsidRPr="00F216D4" w:rsidRDefault="00866EFC" w:rsidP="00866EFC">
            <w:pPr>
              <w:rPr>
                <w:rFonts w:ascii="CAIXA Std Book" w:eastAsia="Times New Roman" w:hAnsi="CAIXA Std Book" w:cs="Times New Roman"/>
                <w:b/>
                <w:color w:val="005CA9"/>
                <w:sz w:val="16"/>
                <w:szCs w:val="16"/>
              </w:rPr>
            </w:pPr>
            <w:r w:rsidRPr="00F216D4">
              <w:rPr>
                <w:rFonts w:ascii="CAIXA Std Book" w:eastAsia="Times New Roman" w:hAnsi="CAIXA Std Book" w:cs="Times New Roman"/>
                <w:b/>
                <w:color w:val="005CA9"/>
                <w:sz w:val="16"/>
                <w:szCs w:val="16"/>
              </w:rPr>
              <w:t>Ativos financeiros ao custo amortizado</w:t>
            </w:r>
          </w:p>
        </w:tc>
        <w:tc>
          <w:tcPr>
            <w:tcW w:w="452" w:type="pct"/>
            <w:tcBorders>
              <w:top w:val="nil"/>
              <w:left w:val="nil"/>
              <w:bottom w:val="nil"/>
              <w:right w:val="nil"/>
            </w:tcBorders>
            <w:shd w:val="clear" w:color="000000" w:fill="D0E0E3"/>
            <w:noWrap/>
            <w:vAlign w:val="center"/>
            <w:hideMark/>
          </w:tcPr>
          <w:p w14:paraId="21D0CBE2" w14:textId="610398BC"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389.431.136</w:t>
            </w:r>
          </w:p>
        </w:tc>
        <w:tc>
          <w:tcPr>
            <w:tcW w:w="452" w:type="pct"/>
            <w:tcBorders>
              <w:top w:val="nil"/>
              <w:left w:val="nil"/>
              <w:bottom w:val="nil"/>
              <w:right w:val="nil"/>
            </w:tcBorders>
            <w:shd w:val="clear" w:color="000000" w:fill="D0E0E3"/>
            <w:noWrap/>
            <w:vAlign w:val="center"/>
            <w:hideMark/>
          </w:tcPr>
          <w:p w14:paraId="622A56A5" w14:textId="4BB0CD55"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1.179.502.345</w:t>
            </w:r>
          </w:p>
        </w:tc>
        <w:tc>
          <w:tcPr>
            <w:tcW w:w="453" w:type="pct"/>
            <w:tcBorders>
              <w:top w:val="nil"/>
              <w:left w:val="nil"/>
              <w:bottom w:val="nil"/>
              <w:right w:val="nil"/>
            </w:tcBorders>
            <w:shd w:val="clear" w:color="000000" w:fill="D0E0E3"/>
            <w:noWrap/>
            <w:vAlign w:val="center"/>
            <w:hideMark/>
          </w:tcPr>
          <w:p w14:paraId="0D4AE4F7" w14:textId="2A93B87B"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1.568.933.481</w:t>
            </w:r>
          </w:p>
        </w:tc>
        <w:tc>
          <w:tcPr>
            <w:tcW w:w="452" w:type="pct"/>
            <w:tcBorders>
              <w:top w:val="nil"/>
              <w:left w:val="nil"/>
              <w:bottom w:val="nil"/>
              <w:right w:val="nil"/>
            </w:tcBorders>
            <w:shd w:val="clear" w:color="000000" w:fill="D0E0E3"/>
            <w:noWrap/>
            <w:vAlign w:val="center"/>
            <w:hideMark/>
          </w:tcPr>
          <w:p w14:paraId="0D3E9639" w14:textId="5A727ADB"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378.190.759</w:t>
            </w:r>
          </w:p>
        </w:tc>
        <w:tc>
          <w:tcPr>
            <w:tcW w:w="452" w:type="pct"/>
            <w:tcBorders>
              <w:top w:val="nil"/>
              <w:left w:val="nil"/>
              <w:bottom w:val="nil"/>
              <w:right w:val="nil"/>
            </w:tcBorders>
            <w:shd w:val="clear" w:color="000000" w:fill="D0E0E3"/>
            <w:noWrap/>
            <w:vAlign w:val="center"/>
            <w:hideMark/>
          </w:tcPr>
          <w:p w14:paraId="3515CEEA" w14:textId="537E6988"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1.152.751.534</w:t>
            </w:r>
          </w:p>
        </w:tc>
        <w:tc>
          <w:tcPr>
            <w:tcW w:w="453" w:type="pct"/>
            <w:tcBorders>
              <w:top w:val="nil"/>
              <w:left w:val="nil"/>
              <w:bottom w:val="nil"/>
              <w:right w:val="nil"/>
            </w:tcBorders>
            <w:shd w:val="clear" w:color="000000" w:fill="D0E0E3"/>
            <w:noWrap/>
            <w:vAlign w:val="center"/>
            <w:hideMark/>
          </w:tcPr>
          <w:p w14:paraId="20AFC86B" w14:textId="1D76A526"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1.530.942.293</w:t>
            </w:r>
          </w:p>
        </w:tc>
      </w:tr>
      <w:tr w:rsidR="00866EFC" w:rsidRPr="00ED0331" w14:paraId="3DC7D66E" w14:textId="77777777" w:rsidTr="001E6A64">
        <w:trPr>
          <w:trHeight w:val="238"/>
        </w:trPr>
        <w:tc>
          <w:tcPr>
            <w:tcW w:w="2286" w:type="pct"/>
            <w:tcBorders>
              <w:top w:val="nil"/>
              <w:left w:val="nil"/>
              <w:bottom w:val="nil"/>
              <w:right w:val="nil"/>
            </w:tcBorders>
            <w:noWrap/>
            <w:vAlign w:val="center"/>
            <w:hideMark/>
          </w:tcPr>
          <w:p w14:paraId="61E1F335" w14:textId="77777777" w:rsidR="00866EFC" w:rsidRPr="00F216D4" w:rsidRDefault="00866EFC" w:rsidP="00866EFC">
            <w:pPr>
              <w:ind w:firstLineChars="100" w:firstLine="160"/>
              <w:rPr>
                <w:rFonts w:ascii="CAIXA Std Book" w:eastAsia="Times New Roman" w:hAnsi="CAIXA Std Book" w:cs="Times New Roman"/>
                <w:color w:val="005CA9"/>
                <w:sz w:val="16"/>
                <w:szCs w:val="16"/>
              </w:rPr>
            </w:pPr>
            <w:r w:rsidRPr="00F216D4">
              <w:rPr>
                <w:rFonts w:ascii="CAIXA Std Book" w:eastAsia="Times New Roman" w:hAnsi="CAIXA Std Book" w:cs="Times New Roman"/>
                <w:color w:val="005CA9"/>
                <w:sz w:val="16"/>
                <w:szCs w:val="16"/>
              </w:rPr>
              <w:t>Depósitos no Banco Central</w:t>
            </w:r>
          </w:p>
        </w:tc>
        <w:tc>
          <w:tcPr>
            <w:tcW w:w="452" w:type="pct"/>
            <w:tcBorders>
              <w:top w:val="nil"/>
              <w:left w:val="nil"/>
              <w:bottom w:val="nil"/>
              <w:right w:val="nil"/>
            </w:tcBorders>
            <w:noWrap/>
            <w:vAlign w:val="center"/>
            <w:hideMark/>
          </w:tcPr>
          <w:p w14:paraId="343C2C52" w14:textId="018610C8" w:rsidR="00866EFC" w:rsidRPr="00F216D4" w:rsidRDefault="00866EFC" w:rsidP="00866EFC">
            <w:pPr>
              <w:ind w:firstLineChars="100" w:firstLine="160"/>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121.643.888</w:t>
            </w:r>
          </w:p>
        </w:tc>
        <w:tc>
          <w:tcPr>
            <w:tcW w:w="452" w:type="pct"/>
            <w:tcBorders>
              <w:top w:val="nil"/>
              <w:left w:val="nil"/>
              <w:bottom w:val="nil"/>
              <w:right w:val="nil"/>
            </w:tcBorders>
            <w:noWrap/>
            <w:vAlign w:val="center"/>
            <w:hideMark/>
          </w:tcPr>
          <w:p w14:paraId="037D0721" w14:textId="681F1933" w:rsidR="00866EFC" w:rsidRPr="00F216D4" w:rsidRDefault="00866EFC" w:rsidP="000540A8">
            <w:pPr>
              <w:jc w:val="center"/>
              <w:rPr>
                <w:rFonts w:ascii="CAIXA Std Book" w:eastAsia="Times New Roman" w:hAnsi="CAIXA Std Book" w:cs="Times New Roman"/>
                <w:color w:val="005CA9"/>
                <w:sz w:val="16"/>
                <w:szCs w:val="16"/>
              </w:rPr>
            </w:pPr>
            <w:r>
              <w:rPr>
                <w:rFonts w:ascii="CAIXA Std Book" w:hAnsi="CAIXA Std Book" w:cs="Arial"/>
                <w:color w:val="005CA9"/>
                <w:sz w:val="16"/>
                <w:szCs w:val="16"/>
              </w:rPr>
              <w:t>-</w:t>
            </w:r>
          </w:p>
        </w:tc>
        <w:tc>
          <w:tcPr>
            <w:tcW w:w="453" w:type="pct"/>
            <w:tcBorders>
              <w:top w:val="nil"/>
              <w:left w:val="nil"/>
              <w:bottom w:val="nil"/>
              <w:right w:val="nil"/>
            </w:tcBorders>
            <w:noWrap/>
            <w:vAlign w:val="center"/>
            <w:hideMark/>
          </w:tcPr>
          <w:p w14:paraId="6E873F72" w14:textId="5C0A3D4C" w:rsidR="00866EFC" w:rsidRPr="00F216D4" w:rsidRDefault="00866EFC" w:rsidP="00866EFC">
            <w:pPr>
              <w:ind w:firstLineChars="100" w:firstLine="160"/>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121.643.888</w:t>
            </w:r>
          </w:p>
        </w:tc>
        <w:tc>
          <w:tcPr>
            <w:tcW w:w="452" w:type="pct"/>
            <w:tcBorders>
              <w:top w:val="nil"/>
              <w:left w:val="nil"/>
              <w:bottom w:val="nil"/>
              <w:right w:val="nil"/>
            </w:tcBorders>
            <w:noWrap/>
            <w:vAlign w:val="center"/>
            <w:hideMark/>
          </w:tcPr>
          <w:p w14:paraId="5599FD09" w14:textId="63380DFF" w:rsidR="00866EFC" w:rsidRPr="00F216D4" w:rsidRDefault="00866EFC" w:rsidP="00866EFC">
            <w:pPr>
              <w:ind w:firstLineChars="100" w:firstLine="160"/>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116.891.800</w:t>
            </w:r>
          </w:p>
        </w:tc>
        <w:tc>
          <w:tcPr>
            <w:tcW w:w="452" w:type="pct"/>
            <w:tcBorders>
              <w:top w:val="nil"/>
              <w:left w:val="nil"/>
              <w:bottom w:val="nil"/>
              <w:right w:val="nil"/>
            </w:tcBorders>
            <w:noWrap/>
            <w:vAlign w:val="center"/>
            <w:hideMark/>
          </w:tcPr>
          <w:p w14:paraId="0F8D2F98" w14:textId="1158A8F0" w:rsidR="00866EFC" w:rsidRPr="00F216D4" w:rsidRDefault="00866EFC" w:rsidP="00AC4861">
            <w:pPr>
              <w:jc w:val="center"/>
              <w:rPr>
                <w:rFonts w:ascii="CAIXA Std Book" w:eastAsia="Times New Roman" w:hAnsi="CAIXA Std Book" w:cs="Times New Roman"/>
                <w:color w:val="005CA9"/>
                <w:sz w:val="16"/>
                <w:szCs w:val="16"/>
              </w:rPr>
            </w:pPr>
            <w:r>
              <w:rPr>
                <w:rFonts w:ascii="CAIXA Std Book" w:hAnsi="CAIXA Std Book" w:cs="Calibri"/>
                <w:color w:val="005CA9"/>
                <w:sz w:val="16"/>
                <w:szCs w:val="16"/>
              </w:rPr>
              <w:t>-</w:t>
            </w:r>
          </w:p>
        </w:tc>
        <w:tc>
          <w:tcPr>
            <w:tcW w:w="453" w:type="pct"/>
            <w:tcBorders>
              <w:top w:val="nil"/>
              <w:left w:val="nil"/>
              <w:bottom w:val="nil"/>
              <w:right w:val="nil"/>
            </w:tcBorders>
            <w:noWrap/>
            <w:vAlign w:val="center"/>
            <w:hideMark/>
          </w:tcPr>
          <w:p w14:paraId="36678E38" w14:textId="20326FBE" w:rsidR="00866EFC" w:rsidRPr="00F216D4" w:rsidRDefault="00866EFC" w:rsidP="00866EFC">
            <w:pPr>
              <w:ind w:firstLineChars="100" w:firstLine="160"/>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116.891.800</w:t>
            </w:r>
          </w:p>
        </w:tc>
      </w:tr>
      <w:tr w:rsidR="00866EFC" w:rsidRPr="00ED0331" w14:paraId="33FBABCA" w14:textId="77777777" w:rsidTr="001E6A64">
        <w:trPr>
          <w:trHeight w:val="238"/>
        </w:trPr>
        <w:tc>
          <w:tcPr>
            <w:tcW w:w="2286" w:type="pct"/>
            <w:tcBorders>
              <w:top w:val="nil"/>
              <w:left w:val="nil"/>
              <w:bottom w:val="nil"/>
              <w:right w:val="nil"/>
            </w:tcBorders>
            <w:noWrap/>
            <w:vAlign w:val="center"/>
            <w:hideMark/>
          </w:tcPr>
          <w:p w14:paraId="367A1CDE" w14:textId="77777777" w:rsidR="00866EFC" w:rsidRPr="00F216D4" w:rsidRDefault="00866EFC" w:rsidP="00866EFC">
            <w:pPr>
              <w:ind w:firstLineChars="100" w:firstLine="160"/>
              <w:rPr>
                <w:rFonts w:ascii="CAIXA Std Book" w:eastAsia="Times New Roman" w:hAnsi="CAIXA Std Book" w:cs="Times New Roman"/>
                <w:color w:val="005CA9"/>
                <w:sz w:val="16"/>
                <w:szCs w:val="16"/>
              </w:rPr>
            </w:pPr>
            <w:r w:rsidRPr="00F216D4">
              <w:rPr>
                <w:rFonts w:ascii="CAIXA Std Book" w:eastAsia="Times New Roman" w:hAnsi="CAIXA Std Book" w:cs="Times New Roman"/>
                <w:color w:val="005CA9"/>
                <w:sz w:val="16"/>
                <w:szCs w:val="16"/>
              </w:rPr>
              <w:t>Aplicações interfinanceiras de liquidez</w:t>
            </w:r>
          </w:p>
        </w:tc>
        <w:tc>
          <w:tcPr>
            <w:tcW w:w="452" w:type="pct"/>
            <w:tcBorders>
              <w:top w:val="nil"/>
              <w:left w:val="nil"/>
              <w:bottom w:val="nil"/>
              <w:right w:val="nil"/>
            </w:tcBorders>
            <w:noWrap/>
            <w:vAlign w:val="center"/>
            <w:hideMark/>
          </w:tcPr>
          <w:p w14:paraId="05B24180" w14:textId="6BAA51D7"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8.165.618</w:t>
            </w:r>
          </w:p>
        </w:tc>
        <w:tc>
          <w:tcPr>
            <w:tcW w:w="452" w:type="pct"/>
            <w:tcBorders>
              <w:top w:val="nil"/>
              <w:left w:val="nil"/>
              <w:bottom w:val="nil"/>
              <w:right w:val="nil"/>
            </w:tcBorders>
            <w:noWrap/>
            <w:vAlign w:val="center"/>
            <w:hideMark/>
          </w:tcPr>
          <w:p w14:paraId="22877E9A" w14:textId="6406B458"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108.227</w:t>
            </w:r>
          </w:p>
        </w:tc>
        <w:tc>
          <w:tcPr>
            <w:tcW w:w="453" w:type="pct"/>
            <w:tcBorders>
              <w:top w:val="nil"/>
              <w:left w:val="nil"/>
              <w:bottom w:val="nil"/>
              <w:right w:val="nil"/>
            </w:tcBorders>
            <w:noWrap/>
            <w:vAlign w:val="center"/>
            <w:hideMark/>
          </w:tcPr>
          <w:p w14:paraId="4310AF24" w14:textId="1C127B7F"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8.273.845</w:t>
            </w:r>
          </w:p>
        </w:tc>
        <w:tc>
          <w:tcPr>
            <w:tcW w:w="452" w:type="pct"/>
            <w:tcBorders>
              <w:top w:val="nil"/>
              <w:left w:val="nil"/>
              <w:bottom w:val="nil"/>
              <w:right w:val="nil"/>
            </w:tcBorders>
            <w:noWrap/>
            <w:vAlign w:val="center"/>
            <w:hideMark/>
          </w:tcPr>
          <w:p w14:paraId="721BBFB5" w14:textId="2453A5F2"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7.700.213</w:t>
            </w:r>
          </w:p>
        </w:tc>
        <w:tc>
          <w:tcPr>
            <w:tcW w:w="452" w:type="pct"/>
            <w:tcBorders>
              <w:top w:val="nil"/>
              <w:left w:val="nil"/>
              <w:bottom w:val="nil"/>
              <w:right w:val="nil"/>
            </w:tcBorders>
            <w:noWrap/>
            <w:vAlign w:val="center"/>
            <w:hideMark/>
          </w:tcPr>
          <w:p w14:paraId="2D967578" w14:textId="22F8CB66"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107.805</w:t>
            </w:r>
          </w:p>
        </w:tc>
        <w:tc>
          <w:tcPr>
            <w:tcW w:w="453" w:type="pct"/>
            <w:tcBorders>
              <w:top w:val="nil"/>
              <w:left w:val="nil"/>
              <w:bottom w:val="nil"/>
              <w:right w:val="nil"/>
            </w:tcBorders>
            <w:noWrap/>
            <w:vAlign w:val="center"/>
            <w:hideMark/>
          </w:tcPr>
          <w:p w14:paraId="00255A09" w14:textId="34F2962E"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7.808.018</w:t>
            </w:r>
          </w:p>
        </w:tc>
      </w:tr>
      <w:tr w:rsidR="00866EFC" w:rsidRPr="00ED0331" w14:paraId="3C154593" w14:textId="77777777" w:rsidTr="001E6A64">
        <w:trPr>
          <w:trHeight w:val="238"/>
        </w:trPr>
        <w:tc>
          <w:tcPr>
            <w:tcW w:w="2286" w:type="pct"/>
            <w:tcBorders>
              <w:top w:val="nil"/>
              <w:left w:val="nil"/>
              <w:bottom w:val="nil"/>
              <w:right w:val="nil"/>
            </w:tcBorders>
            <w:noWrap/>
            <w:vAlign w:val="center"/>
            <w:hideMark/>
          </w:tcPr>
          <w:p w14:paraId="58FA37C7" w14:textId="77777777" w:rsidR="00866EFC" w:rsidRPr="00F216D4" w:rsidRDefault="00866EFC" w:rsidP="00866EFC">
            <w:pPr>
              <w:ind w:firstLineChars="100" w:firstLine="160"/>
              <w:rPr>
                <w:rFonts w:ascii="CAIXA Std Book" w:eastAsia="Times New Roman" w:hAnsi="CAIXA Std Book" w:cs="Times New Roman"/>
                <w:color w:val="005CA9"/>
                <w:sz w:val="16"/>
                <w:szCs w:val="16"/>
              </w:rPr>
            </w:pPr>
            <w:r w:rsidRPr="00F216D4">
              <w:rPr>
                <w:rFonts w:ascii="CAIXA Std Book" w:eastAsia="Times New Roman" w:hAnsi="CAIXA Std Book" w:cs="Times New Roman"/>
                <w:color w:val="005CA9"/>
                <w:sz w:val="16"/>
                <w:szCs w:val="16"/>
              </w:rPr>
              <w:t>Títulos e valores mobiliários (líquidos de provisão para perdas associadas ao risco de crédito)</w:t>
            </w:r>
          </w:p>
        </w:tc>
        <w:tc>
          <w:tcPr>
            <w:tcW w:w="452" w:type="pct"/>
            <w:tcBorders>
              <w:top w:val="nil"/>
              <w:left w:val="nil"/>
              <w:bottom w:val="nil"/>
              <w:right w:val="nil"/>
            </w:tcBorders>
            <w:shd w:val="clear" w:color="000000" w:fill="FFFFFF"/>
            <w:noWrap/>
            <w:vAlign w:val="center"/>
            <w:hideMark/>
          </w:tcPr>
          <w:p w14:paraId="123ABBE4" w14:textId="7552F7E8" w:rsidR="00866EFC" w:rsidRPr="00F216D4" w:rsidRDefault="00866EFC" w:rsidP="00866EFC">
            <w:pPr>
              <w:jc w:val="center"/>
              <w:rPr>
                <w:rFonts w:ascii="CAIXA Std Book" w:eastAsia="Times New Roman" w:hAnsi="CAIXA Std Book" w:cs="Times New Roman"/>
                <w:color w:val="005CA9"/>
                <w:sz w:val="16"/>
                <w:szCs w:val="16"/>
              </w:rPr>
            </w:pPr>
            <w:r>
              <w:rPr>
                <w:rFonts w:ascii="CAIXA Std Book" w:hAnsi="CAIXA Std Book" w:cs="Arial"/>
                <w:color w:val="005CA9"/>
                <w:sz w:val="16"/>
                <w:szCs w:val="16"/>
              </w:rPr>
              <w:t>-</w:t>
            </w:r>
          </w:p>
        </w:tc>
        <w:tc>
          <w:tcPr>
            <w:tcW w:w="452" w:type="pct"/>
            <w:tcBorders>
              <w:top w:val="nil"/>
              <w:left w:val="nil"/>
              <w:bottom w:val="nil"/>
              <w:right w:val="nil"/>
            </w:tcBorders>
            <w:shd w:val="clear" w:color="000000" w:fill="FFFFFF"/>
            <w:noWrap/>
            <w:vAlign w:val="center"/>
            <w:hideMark/>
          </w:tcPr>
          <w:p w14:paraId="7246D133" w14:textId="3B247D61"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2.733.490</w:t>
            </w:r>
          </w:p>
        </w:tc>
        <w:tc>
          <w:tcPr>
            <w:tcW w:w="453" w:type="pct"/>
            <w:tcBorders>
              <w:top w:val="nil"/>
              <w:left w:val="nil"/>
              <w:bottom w:val="nil"/>
              <w:right w:val="nil"/>
            </w:tcBorders>
            <w:shd w:val="clear" w:color="000000" w:fill="FFFFFF"/>
            <w:noWrap/>
            <w:vAlign w:val="center"/>
            <w:hideMark/>
          </w:tcPr>
          <w:p w14:paraId="21D47449" w14:textId="26D21661"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2.733.490</w:t>
            </w:r>
          </w:p>
        </w:tc>
        <w:tc>
          <w:tcPr>
            <w:tcW w:w="452" w:type="pct"/>
            <w:tcBorders>
              <w:top w:val="nil"/>
              <w:left w:val="nil"/>
              <w:bottom w:val="nil"/>
              <w:right w:val="nil"/>
            </w:tcBorders>
            <w:shd w:val="clear" w:color="000000" w:fill="FFFFFF"/>
            <w:noWrap/>
            <w:vAlign w:val="center"/>
            <w:hideMark/>
          </w:tcPr>
          <w:p w14:paraId="6E7DD794" w14:textId="02EC1032" w:rsidR="00866EFC" w:rsidRPr="00F216D4" w:rsidRDefault="00866EFC" w:rsidP="00AC4861">
            <w:pPr>
              <w:jc w:val="center"/>
              <w:rPr>
                <w:rFonts w:ascii="CAIXA Std Book" w:eastAsia="Times New Roman" w:hAnsi="CAIXA Std Book" w:cs="Times New Roman"/>
                <w:color w:val="005CA9"/>
                <w:sz w:val="16"/>
                <w:szCs w:val="16"/>
              </w:rPr>
            </w:pPr>
            <w:r>
              <w:rPr>
                <w:rFonts w:ascii="CAIXA Std Book" w:hAnsi="CAIXA Std Book" w:cs="Calibri"/>
                <w:color w:val="005CA9"/>
                <w:sz w:val="16"/>
                <w:szCs w:val="16"/>
              </w:rPr>
              <w:t>-</w:t>
            </w:r>
          </w:p>
        </w:tc>
        <w:tc>
          <w:tcPr>
            <w:tcW w:w="452" w:type="pct"/>
            <w:tcBorders>
              <w:top w:val="nil"/>
              <w:left w:val="nil"/>
              <w:bottom w:val="nil"/>
              <w:right w:val="nil"/>
            </w:tcBorders>
            <w:shd w:val="clear" w:color="000000" w:fill="FFFFFF"/>
            <w:noWrap/>
            <w:vAlign w:val="center"/>
            <w:hideMark/>
          </w:tcPr>
          <w:p w14:paraId="6CC43868" w14:textId="74797BC8"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2.238.931</w:t>
            </w:r>
          </w:p>
        </w:tc>
        <w:tc>
          <w:tcPr>
            <w:tcW w:w="453" w:type="pct"/>
            <w:tcBorders>
              <w:top w:val="nil"/>
              <w:left w:val="nil"/>
              <w:bottom w:val="nil"/>
              <w:right w:val="nil"/>
            </w:tcBorders>
            <w:shd w:val="clear" w:color="000000" w:fill="FFFFFF"/>
            <w:noWrap/>
            <w:vAlign w:val="center"/>
            <w:hideMark/>
          </w:tcPr>
          <w:p w14:paraId="3EB4E07F" w14:textId="44098663"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2.238.931</w:t>
            </w:r>
          </w:p>
        </w:tc>
      </w:tr>
      <w:tr w:rsidR="00866EFC" w:rsidRPr="00ED0331" w14:paraId="6E6C28D1" w14:textId="77777777" w:rsidTr="001E6A64">
        <w:trPr>
          <w:trHeight w:val="238"/>
        </w:trPr>
        <w:tc>
          <w:tcPr>
            <w:tcW w:w="2286" w:type="pct"/>
            <w:tcBorders>
              <w:top w:val="nil"/>
              <w:left w:val="nil"/>
              <w:bottom w:val="nil"/>
              <w:right w:val="nil"/>
            </w:tcBorders>
            <w:noWrap/>
            <w:vAlign w:val="center"/>
            <w:hideMark/>
          </w:tcPr>
          <w:p w14:paraId="171ADF4A" w14:textId="77777777" w:rsidR="00866EFC" w:rsidRPr="00F216D4" w:rsidRDefault="00866EFC" w:rsidP="00866EFC">
            <w:pPr>
              <w:ind w:firstLineChars="100" w:firstLine="160"/>
              <w:rPr>
                <w:rFonts w:ascii="CAIXA Std Book" w:eastAsia="Times New Roman" w:hAnsi="CAIXA Std Book" w:cs="Times New Roman"/>
                <w:color w:val="005CA9"/>
                <w:sz w:val="16"/>
                <w:szCs w:val="16"/>
              </w:rPr>
            </w:pPr>
            <w:r w:rsidRPr="00F216D4">
              <w:rPr>
                <w:rFonts w:ascii="CAIXA Std Book" w:eastAsia="Times New Roman" w:hAnsi="CAIXA Std Book" w:cs="Times New Roman"/>
                <w:color w:val="005CA9"/>
                <w:sz w:val="16"/>
                <w:szCs w:val="16"/>
              </w:rPr>
              <w:t>Operações de crédito</w:t>
            </w:r>
          </w:p>
        </w:tc>
        <w:tc>
          <w:tcPr>
            <w:tcW w:w="452" w:type="pct"/>
            <w:tcBorders>
              <w:top w:val="nil"/>
              <w:left w:val="nil"/>
              <w:bottom w:val="nil"/>
              <w:right w:val="nil"/>
            </w:tcBorders>
            <w:shd w:val="clear" w:color="000000" w:fill="FFFFFF"/>
            <w:noWrap/>
            <w:vAlign w:val="center"/>
            <w:hideMark/>
          </w:tcPr>
          <w:p w14:paraId="7CF4C6E9" w14:textId="0014DD0F"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257.278.339</w:t>
            </w:r>
          </w:p>
        </w:tc>
        <w:tc>
          <w:tcPr>
            <w:tcW w:w="452" w:type="pct"/>
            <w:tcBorders>
              <w:top w:val="nil"/>
              <w:left w:val="nil"/>
              <w:bottom w:val="nil"/>
              <w:right w:val="nil"/>
            </w:tcBorders>
            <w:shd w:val="clear" w:color="000000" w:fill="FFFFFF"/>
            <w:noWrap/>
            <w:vAlign w:val="center"/>
            <w:hideMark/>
          </w:tcPr>
          <w:p w14:paraId="557FDF37" w14:textId="041FED3D"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1.134.536.969</w:t>
            </w:r>
          </w:p>
        </w:tc>
        <w:tc>
          <w:tcPr>
            <w:tcW w:w="453" w:type="pct"/>
            <w:tcBorders>
              <w:top w:val="nil"/>
              <w:left w:val="nil"/>
              <w:bottom w:val="nil"/>
              <w:right w:val="nil"/>
            </w:tcBorders>
            <w:shd w:val="clear" w:color="000000" w:fill="FFFFFF"/>
            <w:noWrap/>
            <w:vAlign w:val="center"/>
            <w:hideMark/>
          </w:tcPr>
          <w:p w14:paraId="25A32383" w14:textId="50D7BC98"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1.391.815.308</w:t>
            </w:r>
          </w:p>
        </w:tc>
        <w:tc>
          <w:tcPr>
            <w:tcW w:w="452" w:type="pct"/>
            <w:tcBorders>
              <w:top w:val="nil"/>
              <w:left w:val="nil"/>
              <w:bottom w:val="nil"/>
              <w:right w:val="nil"/>
            </w:tcBorders>
            <w:shd w:val="clear" w:color="000000" w:fill="FFFFFF"/>
            <w:noWrap/>
            <w:vAlign w:val="center"/>
            <w:hideMark/>
          </w:tcPr>
          <w:p w14:paraId="7E962CF5" w14:textId="463D114A"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250.628.755</w:t>
            </w:r>
          </w:p>
        </w:tc>
        <w:tc>
          <w:tcPr>
            <w:tcW w:w="452" w:type="pct"/>
            <w:tcBorders>
              <w:top w:val="nil"/>
              <w:left w:val="nil"/>
              <w:bottom w:val="nil"/>
              <w:right w:val="nil"/>
            </w:tcBorders>
            <w:shd w:val="clear" w:color="000000" w:fill="FFFFFF"/>
            <w:noWrap/>
            <w:vAlign w:val="center"/>
            <w:hideMark/>
          </w:tcPr>
          <w:p w14:paraId="6247A112" w14:textId="6D167B90"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1.108.754.004</w:t>
            </w:r>
          </w:p>
        </w:tc>
        <w:tc>
          <w:tcPr>
            <w:tcW w:w="453" w:type="pct"/>
            <w:tcBorders>
              <w:top w:val="nil"/>
              <w:left w:val="nil"/>
              <w:bottom w:val="nil"/>
              <w:right w:val="nil"/>
            </w:tcBorders>
            <w:shd w:val="clear" w:color="000000" w:fill="FFFFFF"/>
            <w:noWrap/>
            <w:vAlign w:val="center"/>
            <w:hideMark/>
          </w:tcPr>
          <w:p w14:paraId="70FB294B" w14:textId="1BED3E69"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1.359.382.759</w:t>
            </w:r>
          </w:p>
        </w:tc>
      </w:tr>
      <w:tr w:rsidR="00866EFC" w:rsidRPr="00ED0331" w14:paraId="23473275" w14:textId="77777777" w:rsidTr="00C5159C">
        <w:trPr>
          <w:trHeight w:val="238"/>
        </w:trPr>
        <w:tc>
          <w:tcPr>
            <w:tcW w:w="2286" w:type="pct"/>
            <w:tcBorders>
              <w:top w:val="nil"/>
              <w:left w:val="nil"/>
              <w:right w:val="nil"/>
            </w:tcBorders>
            <w:noWrap/>
            <w:vAlign w:val="center"/>
            <w:hideMark/>
          </w:tcPr>
          <w:p w14:paraId="4666BC75" w14:textId="77777777" w:rsidR="00866EFC" w:rsidRPr="00F216D4" w:rsidRDefault="00866EFC" w:rsidP="00866EFC">
            <w:pPr>
              <w:ind w:firstLineChars="100" w:firstLine="160"/>
              <w:rPr>
                <w:rFonts w:ascii="CAIXA Std Book" w:eastAsia="Times New Roman" w:hAnsi="CAIXA Std Book" w:cs="Times New Roman"/>
                <w:color w:val="005CA9"/>
                <w:sz w:val="16"/>
                <w:szCs w:val="16"/>
              </w:rPr>
            </w:pPr>
            <w:r w:rsidRPr="00F216D4">
              <w:rPr>
                <w:rFonts w:ascii="CAIXA Std Book" w:eastAsia="Times New Roman" w:hAnsi="CAIXA Std Book" w:cs="Times New Roman"/>
                <w:color w:val="005CA9"/>
                <w:sz w:val="16"/>
                <w:szCs w:val="16"/>
              </w:rPr>
              <w:t>Outros ativos financeiros (líquidos de provisão para perdas associadas ao risco de crédito)</w:t>
            </w:r>
          </w:p>
        </w:tc>
        <w:tc>
          <w:tcPr>
            <w:tcW w:w="452" w:type="pct"/>
            <w:tcBorders>
              <w:top w:val="nil"/>
              <w:left w:val="nil"/>
              <w:right w:val="nil"/>
            </w:tcBorders>
            <w:noWrap/>
            <w:vAlign w:val="center"/>
            <w:hideMark/>
          </w:tcPr>
          <w:p w14:paraId="6E58A8F2" w14:textId="0631E194"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2.343.291</w:t>
            </w:r>
          </w:p>
        </w:tc>
        <w:tc>
          <w:tcPr>
            <w:tcW w:w="452" w:type="pct"/>
            <w:tcBorders>
              <w:top w:val="nil"/>
              <w:left w:val="nil"/>
              <w:right w:val="nil"/>
            </w:tcBorders>
            <w:noWrap/>
            <w:vAlign w:val="center"/>
            <w:hideMark/>
          </w:tcPr>
          <w:p w14:paraId="5A5640F3" w14:textId="3596695E"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42.123.659</w:t>
            </w:r>
          </w:p>
        </w:tc>
        <w:tc>
          <w:tcPr>
            <w:tcW w:w="453" w:type="pct"/>
            <w:tcBorders>
              <w:top w:val="nil"/>
              <w:left w:val="nil"/>
              <w:right w:val="nil"/>
            </w:tcBorders>
            <w:noWrap/>
            <w:vAlign w:val="center"/>
            <w:hideMark/>
          </w:tcPr>
          <w:p w14:paraId="3A069FFE" w14:textId="6569E9BE"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44.466.950</w:t>
            </w:r>
          </w:p>
        </w:tc>
        <w:tc>
          <w:tcPr>
            <w:tcW w:w="452" w:type="pct"/>
            <w:tcBorders>
              <w:top w:val="nil"/>
              <w:left w:val="nil"/>
              <w:right w:val="nil"/>
            </w:tcBorders>
            <w:noWrap/>
            <w:vAlign w:val="center"/>
            <w:hideMark/>
          </w:tcPr>
          <w:p w14:paraId="2B349476" w14:textId="43952A71"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2.969.991</w:t>
            </w:r>
          </w:p>
        </w:tc>
        <w:tc>
          <w:tcPr>
            <w:tcW w:w="452" w:type="pct"/>
            <w:tcBorders>
              <w:top w:val="nil"/>
              <w:left w:val="nil"/>
              <w:right w:val="nil"/>
            </w:tcBorders>
            <w:noWrap/>
            <w:vAlign w:val="center"/>
            <w:hideMark/>
          </w:tcPr>
          <w:p w14:paraId="1B304DC2" w14:textId="6446FBBA"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41.650.794</w:t>
            </w:r>
          </w:p>
        </w:tc>
        <w:tc>
          <w:tcPr>
            <w:tcW w:w="453" w:type="pct"/>
            <w:tcBorders>
              <w:top w:val="nil"/>
              <w:left w:val="nil"/>
              <w:right w:val="nil"/>
            </w:tcBorders>
            <w:noWrap/>
            <w:vAlign w:val="center"/>
            <w:hideMark/>
          </w:tcPr>
          <w:p w14:paraId="2723CB9E" w14:textId="6DEEC43A"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44.620.785</w:t>
            </w:r>
          </w:p>
        </w:tc>
      </w:tr>
      <w:tr w:rsidR="00866EFC" w:rsidRPr="00ED0331" w14:paraId="37EFB111" w14:textId="77777777" w:rsidTr="00C5159C">
        <w:trPr>
          <w:trHeight w:val="238"/>
        </w:trPr>
        <w:tc>
          <w:tcPr>
            <w:tcW w:w="2286" w:type="pct"/>
            <w:tcBorders>
              <w:top w:val="nil"/>
              <w:left w:val="nil"/>
              <w:bottom w:val="single" w:sz="4" w:space="0" w:color="FFFFFF" w:themeColor="background1"/>
              <w:right w:val="nil"/>
            </w:tcBorders>
            <w:shd w:val="clear" w:color="auto" w:fill="D0E0E3"/>
            <w:noWrap/>
            <w:vAlign w:val="center"/>
            <w:hideMark/>
          </w:tcPr>
          <w:p w14:paraId="7D6785F8" w14:textId="77777777" w:rsidR="00866EFC" w:rsidRPr="00F216D4" w:rsidRDefault="00866EFC" w:rsidP="00866EFC">
            <w:pPr>
              <w:rPr>
                <w:rFonts w:ascii="CAIXA Std Book" w:eastAsia="Times New Roman" w:hAnsi="CAIXA Std Book" w:cs="Times New Roman"/>
                <w:b/>
                <w:color w:val="005CA9"/>
                <w:sz w:val="16"/>
                <w:szCs w:val="16"/>
              </w:rPr>
            </w:pPr>
            <w:r w:rsidRPr="00F216D4">
              <w:rPr>
                <w:rFonts w:ascii="CAIXA Std Book" w:eastAsia="Times New Roman" w:hAnsi="CAIXA Std Book" w:cs="Times New Roman"/>
                <w:b/>
                <w:color w:val="005CA9"/>
                <w:sz w:val="16"/>
                <w:szCs w:val="16"/>
              </w:rPr>
              <w:t>Provisão para perdas associadas ao risco de crédito</w:t>
            </w:r>
          </w:p>
        </w:tc>
        <w:tc>
          <w:tcPr>
            <w:tcW w:w="452" w:type="pct"/>
            <w:tcBorders>
              <w:top w:val="nil"/>
              <w:left w:val="nil"/>
              <w:bottom w:val="single" w:sz="4" w:space="0" w:color="FFFFFF" w:themeColor="background1"/>
              <w:right w:val="nil"/>
            </w:tcBorders>
            <w:shd w:val="clear" w:color="000000" w:fill="D0E0E3"/>
            <w:noWrap/>
            <w:vAlign w:val="center"/>
            <w:hideMark/>
          </w:tcPr>
          <w:p w14:paraId="078B88A3" w14:textId="7BEACD71"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(12.103.834)</w:t>
            </w:r>
          </w:p>
        </w:tc>
        <w:tc>
          <w:tcPr>
            <w:tcW w:w="452" w:type="pct"/>
            <w:tcBorders>
              <w:top w:val="nil"/>
              <w:left w:val="nil"/>
              <w:bottom w:val="single" w:sz="4" w:space="0" w:color="FFFFFF" w:themeColor="background1"/>
              <w:right w:val="nil"/>
            </w:tcBorders>
            <w:shd w:val="clear" w:color="000000" w:fill="D0E0E3"/>
            <w:noWrap/>
            <w:vAlign w:val="center"/>
            <w:hideMark/>
          </w:tcPr>
          <w:p w14:paraId="0F058D57" w14:textId="79D8694D"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(53.375.064)</w:t>
            </w:r>
          </w:p>
        </w:tc>
        <w:tc>
          <w:tcPr>
            <w:tcW w:w="453" w:type="pct"/>
            <w:tcBorders>
              <w:top w:val="nil"/>
              <w:left w:val="nil"/>
              <w:bottom w:val="single" w:sz="4" w:space="0" w:color="FFFFFF" w:themeColor="background1"/>
              <w:right w:val="nil"/>
            </w:tcBorders>
            <w:shd w:val="clear" w:color="000000" w:fill="D0E0E3"/>
            <w:noWrap/>
            <w:vAlign w:val="center"/>
            <w:hideMark/>
          </w:tcPr>
          <w:p w14:paraId="630BF7F4" w14:textId="7E4C958C"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(65.478.898)</w:t>
            </w:r>
          </w:p>
        </w:tc>
        <w:tc>
          <w:tcPr>
            <w:tcW w:w="452" w:type="pct"/>
            <w:tcBorders>
              <w:top w:val="nil"/>
              <w:left w:val="nil"/>
              <w:bottom w:val="single" w:sz="4" w:space="0" w:color="FFFFFF" w:themeColor="background1"/>
              <w:right w:val="nil"/>
            </w:tcBorders>
            <w:shd w:val="clear" w:color="000000" w:fill="D0E0E3"/>
            <w:noWrap/>
            <w:vAlign w:val="center"/>
            <w:hideMark/>
          </w:tcPr>
          <w:p w14:paraId="5D343211" w14:textId="5B120F53"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(11.321.574)</w:t>
            </w:r>
          </w:p>
        </w:tc>
        <w:tc>
          <w:tcPr>
            <w:tcW w:w="452" w:type="pct"/>
            <w:tcBorders>
              <w:top w:val="nil"/>
              <w:left w:val="nil"/>
              <w:bottom w:val="single" w:sz="4" w:space="0" w:color="FFFFFF" w:themeColor="background1"/>
              <w:right w:val="nil"/>
            </w:tcBorders>
            <w:shd w:val="clear" w:color="000000" w:fill="D0E0E3"/>
            <w:noWrap/>
            <w:vAlign w:val="center"/>
            <w:hideMark/>
          </w:tcPr>
          <w:p w14:paraId="36719BA1" w14:textId="5EE2B98B"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(50.085.395)</w:t>
            </w:r>
          </w:p>
        </w:tc>
        <w:tc>
          <w:tcPr>
            <w:tcW w:w="453" w:type="pct"/>
            <w:tcBorders>
              <w:top w:val="nil"/>
              <w:left w:val="nil"/>
              <w:bottom w:val="single" w:sz="4" w:space="0" w:color="FFFFFF" w:themeColor="background1"/>
              <w:right w:val="nil"/>
            </w:tcBorders>
            <w:shd w:val="clear" w:color="000000" w:fill="D0E0E3"/>
            <w:noWrap/>
            <w:vAlign w:val="center"/>
            <w:hideMark/>
          </w:tcPr>
          <w:p w14:paraId="3F6C4714" w14:textId="3AF4F3E5"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(61.406.969)</w:t>
            </w:r>
          </w:p>
        </w:tc>
      </w:tr>
      <w:tr w:rsidR="00866EFC" w:rsidRPr="00ED0331" w14:paraId="4F2FE757" w14:textId="77777777" w:rsidTr="00C5159C">
        <w:trPr>
          <w:trHeight w:val="238"/>
        </w:trPr>
        <w:tc>
          <w:tcPr>
            <w:tcW w:w="2286" w:type="pct"/>
            <w:tcBorders>
              <w:top w:val="single" w:sz="4" w:space="0" w:color="FFFFFF" w:themeColor="background1"/>
              <w:left w:val="nil"/>
              <w:bottom w:val="nil"/>
              <w:right w:val="nil"/>
            </w:tcBorders>
            <w:shd w:val="clear" w:color="auto" w:fill="D0E0E3"/>
            <w:noWrap/>
            <w:vAlign w:val="center"/>
            <w:hideMark/>
          </w:tcPr>
          <w:p w14:paraId="0168BB1C" w14:textId="77777777" w:rsidR="00866EFC" w:rsidRPr="00F216D4" w:rsidRDefault="00866EFC" w:rsidP="00866EFC">
            <w:pPr>
              <w:rPr>
                <w:rFonts w:ascii="CAIXA Std Book" w:eastAsia="Times New Roman" w:hAnsi="CAIXA Std Book" w:cs="Times New Roman"/>
                <w:b/>
                <w:color w:val="005CA9"/>
                <w:sz w:val="16"/>
                <w:szCs w:val="16"/>
              </w:rPr>
            </w:pPr>
            <w:r w:rsidRPr="00F216D4">
              <w:rPr>
                <w:rFonts w:ascii="CAIXA Std Book" w:eastAsia="Times New Roman" w:hAnsi="CAIXA Std Book" w:cs="Times New Roman"/>
                <w:b/>
                <w:color w:val="005CA9"/>
                <w:sz w:val="16"/>
                <w:szCs w:val="16"/>
              </w:rPr>
              <w:t>Ativos fiscais</w:t>
            </w:r>
          </w:p>
        </w:tc>
        <w:tc>
          <w:tcPr>
            <w:tcW w:w="452" w:type="pct"/>
            <w:tcBorders>
              <w:top w:val="single" w:sz="4" w:space="0" w:color="FFFFFF" w:themeColor="background1"/>
              <w:left w:val="nil"/>
              <w:bottom w:val="nil"/>
              <w:right w:val="nil"/>
            </w:tcBorders>
            <w:shd w:val="clear" w:color="000000" w:fill="D0E0E3"/>
            <w:noWrap/>
            <w:vAlign w:val="center"/>
            <w:hideMark/>
          </w:tcPr>
          <w:p w14:paraId="29DEE429" w14:textId="69E4F33B"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14.114.261</w:t>
            </w:r>
          </w:p>
        </w:tc>
        <w:tc>
          <w:tcPr>
            <w:tcW w:w="452" w:type="pct"/>
            <w:tcBorders>
              <w:top w:val="single" w:sz="4" w:space="0" w:color="FFFFFF" w:themeColor="background1"/>
              <w:left w:val="nil"/>
              <w:bottom w:val="nil"/>
              <w:right w:val="nil"/>
            </w:tcBorders>
            <w:shd w:val="clear" w:color="000000" w:fill="D0E0E3"/>
            <w:noWrap/>
            <w:vAlign w:val="center"/>
            <w:hideMark/>
          </w:tcPr>
          <w:p w14:paraId="66E3BB35" w14:textId="28536E75"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64.327.495</w:t>
            </w:r>
          </w:p>
        </w:tc>
        <w:tc>
          <w:tcPr>
            <w:tcW w:w="453" w:type="pct"/>
            <w:tcBorders>
              <w:top w:val="single" w:sz="4" w:space="0" w:color="FFFFFF" w:themeColor="background1"/>
              <w:left w:val="nil"/>
              <w:bottom w:val="nil"/>
              <w:right w:val="nil"/>
            </w:tcBorders>
            <w:shd w:val="clear" w:color="000000" w:fill="D0E0E3"/>
            <w:noWrap/>
            <w:vAlign w:val="center"/>
            <w:hideMark/>
          </w:tcPr>
          <w:p w14:paraId="4991BC14" w14:textId="4B0AFDC7"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78.441.756</w:t>
            </w:r>
          </w:p>
        </w:tc>
        <w:tc>
          <w:tcPr>
            <w:tcW w:w="452" w:type="pct"/>
            <w:tcBorders>
              <w:top w:val="single" w:sz="4" w:space="0" w:color="FFFFFF" w:themeColor="background1"/>
              <w:left w:val="nil"/>
              <w:bottom w:val="nil"/>
              <w:right w:val="nil"/>
            </w:tcBorders>
            <w:shd w:val="clear" w:color="000000" w:fill="D0E0E3"/>
            <w:noWrap/>
            <w:vAlign w:val="center"/>
            <w:hideMark/>
          </w:tcPr>
          <w:p w14:paraId="76E928EC" w14:textId="1CF6AED5"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12.158.150</w:t>
            </w:r>
          </w:p>
        </w:tc>
        <w:tc>
          <w:tcPr>
            <w:tcW w:w="452" w:type="pct"/>
            <w:tcBorders>
              <w:top w:val="single" w:sz="4" w:space="0" w:color="FFFFFF" w:themeColor="background1"/>
              <w:left w:val="nil"/>
              <w:bottom w:val="nil"/>
              <w:right w:val="nil"/>
            </w:tcBorders>
            <w:shd w:val="clear" w:color="000000" w:fill="D0E0E3"/>
            <w:noWrap/>
            <w:vAlign w:val="center"/>
            <w:hideMark/>
          </w:tcPr>
          <w:p w14:paraId="69D3E7E2" w14:textId="4B430178"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64.050.412</w:t>
            </w:r>
          </w:p>
        </w:tc>
        <w:tc>
          <w:tcPr>
            <w:tcW w:w="453" w:type="pct"/>
            <w:tcBorders>
              <w:top w:val="single" w:sz="4" w:space="0" w:color="FFFFFF" w:themeColor="background1"/>
              <w:left w:val="nil"/>
              <w:bottom w:val="nil"/>
              <w:right w:val="nil"/>
            </w:tcBorders>
            <w:shd w:val="clear" w:color="000000" w:fill="D0E0E3"/>
            <w:noWrap/>
            <w:vAlign w:val="center"/>
            <w:hideMark/>
          </w:tcPr>
          <w:p w14:paraId="0173B693" w14:textId="5519F716"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76.208.562</w:t>
            </w:r>
          </w:p>
        </w:tc>
      </w:tr>
      <w:tr w:rsidR="00866EFC" w:rsidRPr="00ED0331" w14:paraId="752F5B72" w14:textId="77777777" w:rsidTr="001E6A64">
        <w:trPr>
          <w:trHeight w:val="238"/>
        </w:trPr>
        <w:tc>
          <w:tcPr>
            <w:tcW w:w="2286" w:type="pct"/>
            <w:tcBorders>
              <w:top w:val="nil"/>
              <w:left w:val="nil"/>
              <w:bottom w:val="nil"/>
              <w:right w:val="nil"/>
            </w:tcBorders>
            <w:noWrap/>
            <w:vAlign w:val="center"/>
            <w:hideMark/>
          </w:tcPr>
          <w:p w14:paraId="7BCAC873" w14:textId="77777777" w:rsidR="00866EFC" w:rsidRPr="00F216D4" w:rsidRDefault="00866EFC" w:rsidP="00866EFC">
            <w:pPr>
              <w:ind w:firstLineChars="100" w:firstLine="160"/>
              <w:rPr>
                <w:rFonts w:ascii="CAIXA Std Book" w:eastAsia="Times New Roman" w:hAnsi="CAIXA Std Book" w:cs="Times New Roman"/>
                <w:color w:val="005CA9"/>
                <w:sz w:val="16"/>
                <w:szCs w:val="16"/>
              </w:rPr>
            </w:pPr>
            <w:r w:rsidRPr="00F216D4">
              <w:rPr>
                <w:rFonts w:ascii="CAIXA Std Book" w:eastAsia="Times New Roman" w:hAnsi="CAIXA Std Book" w:cs="Times New Roman"/>
                <w:color w:val="005CA9"/>
                <w:sz w:val="16"/>
                <w:szCs w:val="16"/>
              </w:rPr>
              <w:t>Correntes</w:t>
            </w:r>
          </w:p>
        </w:tc>
        <w:tc>
          <w:tcPr>
            <w:tcW w:w="452" w:type="pct"/>
            <w:tcBorders>
              <w:top w:val="nil"/>
              <w:left w:val="nil"/>
              <w:bottom w:val="nil"/>
              <w:right w:val="nil"/>
            </w:tcBorders>
            <w:noWrap/>
            <w:vAlign w:val="center"/>
            <w:hideMark/>
          </w:tcPr>
          <w:p w14:paraId="2D78D2E6" w14:textId="1A49286F"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4.174.505</w:t>
            </w:r>
          </w:p>
        </w:tc>
        <w:tc>
          <w:tcPr>
            <w:tcW w:w="452" w:type="pct"/>
            <w:tcBorders>
              <w:top w:val="nil"/>
              <w:left w:val="nil"/>
              <w:bottom w:val="nil"/>
              <w:right w:val="nil"/>
            </w:tcBorders>
            <w:noWrap/>
            <w:vAlign w:val="center"/>
            <w:hideMark/>
          </w:tcPr>
          <w:p w14:paraId="0F3F836C" w14:textId="4FF375EB" w:rsidR="00866EFC" w:rsidRPr="00F216D4" w:rsidRDefault="00866EFC" w:rsidP="000540A8">
            <w:pPr>
              <w:jc w:val="center"/>
              <w:rPr>
                <w:rFonts w:ascii="CAIXA Std Book" w:eastAsia="Times New Roman" w:hAnsi="CAIXA Std Book" w:cs="Times New Roman"/>
                <w:color w:val="005CA9"/>
                <w:sz w:val="16"/>
                <w:szCs w:val="16"/>
              </w:rPr>
            </w:pPr>
            <w:r>
              <w:rPr>
                <w:rFonts w:ascii="CAIXA Std Book" w:hAnsi="CAIXA Std Book" w:cs="Arial"/>
                <w:color w:val="005CA9"/>
                <w:sz w:val="16"/>
                <w:szCs w:val="16"/>
              </w:rPr>
              <w:t>-</w:t>
            </w:r>
          </w:p>
        </w:tc>
        <w:tc>
          <w:tcPr>
            <w:tcW w:w="453" w:type="pct"/>
            <w:tcBorders>
              <w:top w:val="nil"/>
              <w:left w:val="nil"/>
              <w:bottom w:val="nil"/>
              <w:right w:val="nil"/>
            </w:tcBorders>
            <w:noWrap/>
            <w:vAlign w:val="center"/>
            <w:hideMark/>
          </w:tcPr>
          <w:p w14:paraId="12A16CC0" w14:textId="6AEF866D"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4.174.505</w:t>
            </w:r>
          </w:p>
        </w:tc>
        <w:tc>
          <w:tcPr>
            <w:tcW w:w="452" w:type="pct"/>
            <w:tcBorders>
              <w:top w:val="nil"/>
              <w:left w:val="nil"/>
              <w:bottom w:val="nil"/>
              <w:right w:val="nil"/>
            </w:tcBorders>
            <w:noWrap/>
            <w:vAlign w:val="center"/>
            <w:hideMark/>
          </w:tcPr>
          <w:p w14:paraId="55D5C329" w14:textId="14C8E8B9"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4.459.344</w:t>
            </w:r>
          </w:p>
        </w:tc>
        <w:tc>
          <w:tcPr>
            <w:tcW w:w="452" w:type="pct"/>
            <w:tcBorders>
              <w:top w:val="nil"/>
              <w:left w:val="nil"/>
              <w:bottom w:val="nil"/>
              <w:right w:val="nil"/>
            </w:tcBorders>
            <w:noWrap/>
            <w:vAlign w:val="center"/>
            <w:hideMark/>
          </w:tcPr>
          <w:p w14:paraId="04ACEBB1" w14:textId="3831CBBD" w:rsidR="00866EFC" w:rsidRPr="00F216D4" w:rsidRDefault="00866EFC" w:rsidP="00AC4861">
            <w:pPr>
              <w:jc w:val="center"/>
              <w:rPr>
                <w:rFonts w:ascii="CAIXA Std Book" w:eastAsia="Times New Roman" w:hAnsi="CAIXA Std Book" w:cs="Times New Roman"/>
                <w:color w:val="005CA9"/>
                <w:sz w:val="16"/>
                <w:szCs w:val="16"/>
              </w:rPr>
            </w:pPr>
            <w:r>
              <w:rPr>
                <w:rFonts w:ascii="CAIXA Std Book" w:hAnsi="CAIXA Std Book" w:cs="Calibri"/>
                <w:color w:val="005CA9"/>
                <w:sz w:val="16"/>
                <w:szCs w:val="16"/>
              </w:rPr>
              <w:t>-</w:t>
            </w:r>
          </w:p>
        </w:tc>
        <w:tc>
          <w:tcPr>
            <w:tcW w:w="453" w:type="pct"/>
            <w:tcBorders>
              <w:top w:val="nil"/>
              <w:left w:val="nil"/>
              <w:bottom w:val="nil"/>
              <w:right w:val="nil"/>
            </w:tcBorders>
            <w:noWrap/>
            <w:vAlign w:val="center"/>
            <w:hideMark/>
          </w:tcPr>
          <w:p w14:paraId="78DA9913" w14:textId="6B0D70C2"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4.459.344</w:t>
            </w:r>
          </w:p>
        </w:tc>
      </w:tr>
      <w:tr w:rsidR="00866EFC" w:rsidRPr="00ED0331" w14:paraId="110161C0" w14:textId="77777777" w:rsidTr="00C5159C">
        <w:trPr>
          <w:trHeight w:val="238"/>
        </w:trPr>
        <w:tc>
          <w:tcPr>
            <w:tcW w:w="2286" w:type="pct"/>
            <w:tcBorders>
              <w:top w:val="nil"/>
              <w:left w:val="nil"/>
              <w:right w:val="nil"/>
            </w:tcBorders>
            <w:noWrap/>
            <w:vAlign w:val="center"/>
            <w:hideMark/>
          </w:tcPr>
          <w:p w14:paraId="34D413D5" w14:textId="77777777" w:rsidR="00866EFC" w:rsidRPr="00F216D4" w:rsidRDefault="00866EFC" w:rsidP="00866EFC">
            <w:pPr>
              <w:ind w:firstLineChars="100" w:firstLine="160"/>
              <w:rPr>
                <w:rFonts w:ascii="CAIXA Std Book" w:eastAsia="Times New Roman" w:hAnsi="CAIXA Std Book" w:cs="Times New Roman"/>
                <w:color w:val="005CA9"/>
                <w:sz w:val="16"/>
                <w:szCs w:val="16"/>
              </w:rPr>
            </w:pPr>
            <w:r w:rsidRPr="00F216D4">
              <w:rPr>
                <w:rFonts w:ascii="CAIXA Std Book" w:eastAsia="Times New Roman" w:hAnsi="CAIXA Std Book" w:cs="Times New Roman"/>
                <w:color w:val="005CA9"/>
                <w:sz w:val="16"/>
                <w:szCs w:val="16"/>
              </w:rPr>
              <w:t>Diferidos</w:t>
            </w:r>
          </w:p>
        </w:tc>
        <w:tc>
          <w:tcPr>
            <w:tcW w:w="452" w:type="pct"/>
            <w:tcBorders>
              <w:top w:val="nil"/>
              <w:left w:val="nil"/>
              <w:right w:val="nil"/>
            </w:tcBorders>
            <w:noWrap/>
            <w:vAlign w:val="center"/>
            <w:hideMark/>
          </w:tcPr>
          <w:p w14:paraId="4709B01D" w14:textId="3F083999"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9.939.756</w:t>
            </w:r>
          </w:p>
        </w:tc>
        <w:tc>
          <w:tcPr>
            <w:tcW w:w="452" w:type="pct"/>
            <w:tcBorders>
              <w:top w:val="nil"/>
              <w:left w:val="nil"/>
              <w:right w:val="nil"/>
            </w:tcBorders>
            <w:noWrap/>
            <w:vAlign w:val="center"/>
            <w:hideMark/>
          </w:tcPr>
          <w:p w14:paraId="59B62B4A" w14:textId="5EEAB8FD"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64.327.495</w:t>
            </w:r>
          </w:p>
        </w:tc>
        <w:tc>
          <w:tcPr>
            <w:tcW w:w="453" w:type="pct"/>
            <w:tcBorders>
              <w:top w:val="nil"/>
              <w:left w:val="nil"/>
              <w:right w:val="nil"/>
            </w:tcBorders>
            <w:noWrap/>
            <w:vAlign w:val="center"/>
            <w:hideMark/>
          </w:tcPr>
          <w:p w14:paraId="3CA79F28" w14:textId="203E48F0"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74.267.251</w:t>
            </w:r>
          </w:p>
        </w:tc>
        <w:tc>
          <w:tcPr>
            <w:tcW w:w="452" w:type="pct"/>
            <w:tcBorders>
              <w:top w:val="nil"/>
              <w:left w:val="nil"/>
              <w:right w:val="nil"/>
            </w:tcBorders>
            <w:noWrap/>
            <w:vAlign w:val="center"/>
            <w:hideMark/>
          </w:tcPr>
          <w:p w14:paraId="0591A33E" w14:textId="3BFE7453"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7.698.806</w:t>
            </w:r>
          </w:p>
        </w:tc>
        <w:tc>
          <w:tcPr>
            <w:tcW w:w="452" w:type="pct"/>
            <w:tcBorders>
              <w:top w:val="nil"/>
              <w:left w:val="nil"/>
              <w:right w:val="nil"/>
            </w:tcBorders>
            <w:noWrap/>
            <w:vAlign w:val="center"/>
            <w:hideMark/>
          </w:tcPr>
          <w:p w14:paraId="3F302F9B" w14:textId="33B45CD4"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64.050.412</w:t>
            </w:r>
          </w:p>
        </w:tc>
        <w:tc>
          <w:tcPr>
            <w:tcW w:w="453" w:type="pct"/>
            <w:tcBorders>
              <w:top w:val="nil"/>
              <w:left w:val="nil"/>
              <w:right w:val="nil"/>
            </w:tcBorders>
            <w:noWrap/>
            <w:vAlign w:val="center"/>
            <w:hideMark/>
          </w:tcPr>
          <w:p w14:paraId="369F1BFC" w14:textId="7F22BC6F" w:rsidR="00866EFC" w:rsidRPr="00F216D4" w:rsidRDefault="00866EFC" w:rsidP="00866EFC">
            <w:pPr>
              <w:jc w:val="right"/>
              <w:rPr>
                <w:rFonts w:ascii="CAIXA Std Book" w:eastAsia="Times New Roman" w:hAnsi="CAIXA Std Book" w:cs="Times New Roman"/>
                <w:color w:val="005CA9"/>
                <w:sz w:val="16"/>
                <w:szCs w:val="16"/>
              </w:rPr>
            </w:pPr>
            <w:r>
              <w:rPr>
                <w:rFonts w:ascii="CAIXA Std Book" w:hAnsi="CAIXA Std Book" w:cs="Calibri"/>
                <w:color w:val="005CA9"/>
                <w:sz w:val="16"/>
                <w:szCs w:val="16"/>
              </w:rPr>
              <w:t>71.749.218</w:t>
            </w:r>
          </w:p>
        </w:tc>
      </w:tr>
      <w:tr w:rsidR="00866EFC" w:rsidRPr="00ED0331" w14:paraId="388C4CBF" w14:textId="77777777" w:rsidTr="00C5159C">
        <w:trPr>
          <w:trHeight w:val="238"/>
        </w:trPr>
        <w:tc>
          <w:tcPr>
            <w:tcW w:w="2286" w:type="pct"/>
            <w:tcBorders>
              <w:top w:val="nil"/>
              <w:left w:val="nil"/>
              <w:bottom w:val="single" w:sz="4" w:space="0" w:color="FFFFFF" w:themeColor="background1"/>
              <w:right w:val="nil"/>
            </w:tcBorders>
            <w:shd w:val="clear" w:color="auto" w:fill="D0E0E3"/>
            <w:noWrap/>
            <w:vAlign w:val="center"/>
            <w:hideMark/>
          </w:tcPr>
          <w:p w14:paraId="7D0FB5FF" w14:textId="77777777" w:rsidR="00866EFC" w:rsidRPr="00F216D4" w:rsidRDefault="00866EFC" w:rsidP="00866EFC">
            <w:pPr>
              <w:rPr>
                <w:rFonts w:ascii="CAIXA Std Book" w:eastAsia="Times New Roman" w:hAnsi="CAIXA Std Book" w:cs="Times New Roman"/>
                <w:b/>
                <w:color w:val="005CA9"/>
                <w:sz w:val="16"/>
                <w:szCs w:val="16"/>
              </w:rPr>
            </w:pPr>
            <w:r w:rsidRPr="00F216D4">
              <w:rPr>
                <w:rFonts w:ascii="CAIXA Std Book" w:eastAsia="Times New Roman" w:hAnsi="CAIXA Std Book" w:cs="Times New Roman"/>
                <w:b/>
                <w:color w:val="005CA9"/>
                <w:sz w:val="16"/>
                <w:szCs w:val="16"/>
              </w:rPr>
              <w:t>Outros ativos</w:t>
            </w:r>
          </w:p>
        </w:tc>
        <w:tc>
          <w:tcPr>
            <w:tcW w:w="452" w:type="pct"/>
            <w:tcBorders>
              <w:top w:val="nil"/>
              <w:left w:val="nil"/>
              <w:bottom w:val="single" w:sz="4" w:space="0" w:color="FFFFFF" w:themeColor="background1"/>
              <w:right w:val="nil"/>
            </w:tcBorders>
            <w:shd w:val="clear" w:color="000000" w:fill="D0E0E3"/>
            <w:noWrap/>
            <w:vAlign w:val="center"/>
            <w:hideMark/>
          </w:tcPr>
          <w:p w14:paraId="5EC60121" w14:textId="1430D7BE"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14.981.362</w:t>
            </w:r>
          </w:p>
        </w:tc>
        <w:tc>
          <w:tcPr>
            <w:tcW w:w="452" w:type="pct"/>
            <w:tcBorders>
              <w:top w:val="nil"/>
              <w:left w:val="nil"/>
              <w:bottom w:val="single" w:sz="4" w:space="0" w:color="FFFFFF" w:themeColor="background1"/>
              <w:right w:val="nil"/>
            </w:tcBorders>
            <w:shd w:val="clear" w:color="000000" w:fill="D0E0E3"/>
            <w:noWrap/>
            <w:vAlign w:val="center"/>
            <w:hideMark/>
          </w:tcPr>
          <w:p w14:paraId="6D2634D0" w14:textId="6AFDE526"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5.945.689</w:t>
            </w:r>
          </w:p>
        </w:tc>
        <w:tc>
          <w:tcPr>
            <w:tcW w:w="453" w:type="pct"/>
            <w:tcBorders>
              <w:top w:val="nil"/>
              <w:left w:val="nil"/>
              <w:bottom w:val="single" w:sz="4" w:space="0" w:color="FFFFFF" w:themeColor="background1"/>
              <w:right w:val="nil"/>
            </w:tcBorders>
            <w:shd w:val="clear" w:color="000000" w:fill="D0E0E3"/>
            <w:noWrap/>
            <w:vAlign w:val="center"/>
            <w:hideMark/>
          </w:tcPr>
          <w:p w14:paraId="6DC509FE" w14:textId="0243BCCB"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20.927.051</w:t>
            </w:r>
          </w:p>
        </w:tc>
        <w:tc>
          <w:tcPr>
            <w:tcW w:w="452" w:type="pct"/>
            <w:tcBorders>
              <w:top w:val="nil"/>
              <w:left w:val="nil"/>
              <w:bottom w:val="single" w:sz="4" w:space="0" w:color="FFFFFF" w:themeColor="background1"/>
              <w:right w:val="nil"/>
            </w:tcBorders>
            <w:shd w:val="clear" w:color="000000" w:fill="D0E0E3"/>
            <w:noWrap/>
            <w:vAlign w:val="center"/>
            <w:hideMark/>
          </w:tcPr>
          <w:p w14:paraId="3B1D4DFC" w14:textId="6C5466E4"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12.430.370</w:t>
            </w:r>
          </w:p>
        </w:tc>
        <w:tc>
          <w:tcPr>
            <w:tcW w:w="452" w:type="pct"/>
            <w:tcBorders>
              <w:top w:val="nil"/>
              <w:left w:val="nil"/>
              <w:bottom w:val="single" w:sz="4" w:space="0" w:color="FFFFFF" w:themeColor="background1"/>
              <w:right w:val="nil"/>
            </w:tcBorders>
            <w:shd w:val="clear" w:color="000000" w:fill="D0E0E3"/>
            <w:noWrap/>
            <w:vAlign w:val="center"/>
            <w:hideMark/>
          </w:tcPr>
          <w:p w14:paraId="6E4587FF" w14:textId="6E3F7209"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82.091</w:t>
            </w:r>
          </w:p>
        </w:tc>
        <w:tc>
          <w:tcPr>
            <w:tcW w:w="453" w:type="pct"/>
            <w:tcBorders>
              <w:top w:val="nil"/>
              <w:left w:val="nil"/>
              <w:bottom w:val="single" w:sz="4" w:space="0" w:color="FFFFFF" w:themeColor="background1"/>
              <w:right w:val="nil"/>
            </w:tcBorders>
            <w:shd w:val="clear" w:color="000000" w:fill="D0E0E3"/>
            <w:noWrap/>
            <w:vAlign w:val="center"/>
            <w:hideMark/>
          </w:tcPr>
          <w:p w14:paraId="7C7F3E77" w14:textId="05914A31"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12.512.461</w:t>
            </w:r>
          </w:p>
        </w:tc>
      </w:tr>
      <w:tr w:rsidR="00866EFC" w:rsidRPr="00ED0331" w14:paraId="5AC92F98" w14:textId="77777777" w:rsidTr="00C5159C">
        <w:trPr>
          <w:trHeight w:val="238"/>
        </w:trPr>
        <w:tc>
          <w:tcPr>
            <w:tcW w:w="2286" w:type="pct"/>
            <w:tcBorders>
              <w:top w:val="single" w:sz="4" w:space="0" w:color="FFFFFF" w:themeColor="background1"/>
              <w:left w:val="nil"/>
              <w:bottom w:val="single" w:sz="4" w:space="0" w:color="FFFFFF" w:themeColor="background1"/>
              <w:right w:val="nil"/>
            </w:tcBorders>
            <w:shd w:val="clear" w:color="auto" w:fill="D0E0E3"/>
            <w:noWrap/>
            <w:vAlign w:val="center"/>
            <w:hideMark/>
          </w:tcPr>
          <w:p w14:paraId="79691C6A" w14:textId="77777777" w:rsidR="00866EFC" w:rsidRPr="00F216D4" w:rsidRDefault="00866EFC" w:rsidP="00866EFC">
            <w:pPr>
              <w:rPr>
                <w:rFonts w:ascii="CAIXA Std Book" w:eastAsia="Times New Roman" w:hAnsi="CAIXA Std Book" w:cs="Times New Roman"/>
                <w:b/>
                <w:color w:val="005CA9"/>
                <w:sz w:val="16"/>
                <w:szCs w:val="16"/>
              </w:rPr>
            </w:pPr>
            <w:r w:rsidRPr="00F216D4">
              <w:rPr>
                <w:rFonts w:ascii="CAIXA Std Book" w:eastAsia="Times New Roman" w:hAnsi="CAIXA Std Book" w:cs="Times New Roman"/>
                <w:b/>
                <w:color w:val="005CA9"/>
                <w:sz w:val="16"/>
                <w:szCs w:val="16"/>
              </w:rPr>
              <w:t>Investimentos em controladas e coligadas em conjunto</w:t>
            </w:r>
          </w:p>
        </w:tc>
        <w:tc>
          <w:tcPr>
            <w:tcW w:w="452" w:type="pct"/>
            <w:tcBorders>
              <w:top w:val="single" w:sz="4" w:space="0" w:color="FFFFFF" w:themeColor="background1"/>
              <w:left w:val="nil"/>
              <w:bottom w:val="single" w:sz="4" w:space="0" w:color="FFFFFF" w:themeColor="background1"/>
              <w:right w:val="nil"/>
            </w:tcBorders>
            <w:shd w:val="clear" w:color="000000" w:fill="D0E0E3"/>
            <w:noWrap/>
            <w:vAlign w:val="center"/>
            <w:hideMark/>
          </w:tcPr>
          <w:p w14:paraId="50741754" w14:textId="42383FAA" w:rsidR="00866EFC" w:rsidRPr="00F216D4" w:rsidRDefault="00866EFC" w:rsidP="00866EFC">
            <w:pPr>
              <w:jc w:val="center"/>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w:t>
            </w:r>
          </w:p>
        </w:tc>
        <w:tc>
          <w:tcPr>
            <w:tcW w:w="452" w:type="pct"/>
            <w:tcBorders>
              <w:top w:val="single" w:sz="4" w:space="0" w:color="FFFFFF" w:themeColor="background1"/>
              <w:left w:val="nil"/>
              <w:bottom w:val="single" w:sz="4" w:space="0" w:color="FFFFFF" w:themeColor="background1"/>
              <w:right w:val="nil"/>
            </w:tcBorders>
            <w:shd w:val="clear" w:color="000000" w:fill="D0E0E3"/>
            <w:noWrap/>
            <w:vAlign w:val="center"/>
            <w:hideMark/>
          </w:tcPr>
          <w:p w14:paraId="10AFBF12" w14:textId="2FA3AB05"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14.899.203</w:t>
            </w:r>
          </w:p>
        </w:tc>
        <w:tc>
          <w:tcPr>
            <w:tcW w:w="453" w:type="pct"/>
            <w:tcBorders>
              <w:top w:val="single" w:sz="4" w:space="0" w:color="FFFFFF" w:themeColor="background1"/>
              <w:left w:val="nil"/>
              <w:bottom w:val="single" w:sz="4" w:space="0" w:color="FFFFFF" w:themeColor="background1"/>
              <w:right w:val="nil"/>
            </w:tcBorders>
            <w:shd w:val="clear" w:color="000000" w:fill="D0E0E3"/>
            <w:noWrap/>
            <w:vAlign w:val="center"/>
            <w:hideMark/>
          </w:tcPr>
          <w:p w14:paraId="4141C8F1" w14:textId="44A4182E"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14.899.203</w:t>
            </w:r>
          </w:p>
        </w:tc>
        <w:tc>
          <w:tcPr>
            <w:tcW w:w="452" w:type="pct"/>
            <w:tcBorders>
              <w:top w:val="single" w:sz="4" w:space="0" w:color="FFFFFF" w:themeColor="background1"/>
              <w:left w:val="nil"/>
              <w:bottom w:val="single" w:sz="4" w:space="0" w:color="FFFFFF" w:themeColor="background1"/>
              <w:right w:val="nil"/>
            </w:tcBorders>
            <w:shd w:val="clear" w:color="000000" w:fill="D0E0E3"/>
            <w:noWrap/>
            <w:vAlign w:val="center"/>
            <w:hideMark/>
          </w:tcPr>
          <w:p w14:paraId="13C69042" w14:textId="54ABB2E4" w:rsidR="00866EFC" w:rsidRPr="00F216D4" w:rsidRDefault="00866EFC" w:rsidP="00AC4861">
            <w:pPr>
              <w:jc w:val="center"/>
              <w:rPr>
                <w:rFonts w:ascii="CAIXA Std Book" w:eastAsia="Times New Roman" w:hAnsi="CAIXA Std Book" w:cs="Times New Roman"/>
                <w:color w:val="005CA9"/>
                <w:sz w:val="16"/>
                <w:szCs w:val="16"/>
              </w:rPr>
            </w:pPr>
            <w:r>
              <w:rPr>
                <w:rFonts w:ascii="CAIXA Std Book" w:hAnsi="CAIXA Std Book" w:cs="Calibri"/>
                <w:b/>
                <w:bCs/>
                <w:color w:val="005CA9"/>
                <w:sz w:val="16"/>
                <w:szCs w:val="16"/>
              </w:rPr>
              <w:t>-</w:t>
            </w:r>
          </w:p>
        </w:tc>
        <w:tc>
          <w:tcPr>
            <w:tcW w:w="452" w:type="pct"/>
            <w:tcBorders>
              <w:top w:val="single" w:sz="4" w:space="0" w:color="FFFFFF" w:themeColor="background1"/>
              <w:left w:val="nil"/>
              <w:bottom w:val="single" w:sz="4" w:space="0" w:color="FFFFFF" w:themeColor="background1"/>
              <w:right w:val="nil"/>
            </w:tcBorders>
            <w:shd w:val="clear" w:color="000000" w:fill="D0E0E3"/>
            <w:noWrap/>
            <w:vAlign w:val="center"/>
            <w:hideMark/>
          </w:tcPr>
          <w:p w14:paraId="4398EB20" w14:textId="016D6366"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13.831.309</w:t>
            </w:r>
          </w:p>
        </w:tc>
        <w:tc>
          <w:tcPr>
            <w:tcW w:w="453" w:type="pct"/>
            <w:tcBorders>
              <w:top w:val="single" w:sz="4" w:space="0" w:color="FFFFFF" w:themeColor="background1"/>
              <w:left w:val="nil"/>
              <w:bottom w:val="single" w:sz="4" w:space="0" w:color="FFFFFF" w:themeColor="background1"/>
              <w:right w:val="nil"/>
            </w:tcBorders>
            <w:shd w:val="clear" w:color="000000" w:fill="D0E0E3"/>
            <w:noWrap/>
            <w:vAlign w:val="center"/>
            <w:hideMark/>
          </w:tcPr>
          <w:p w14:paraId="5C80F879" w14:textId="5B9BE3D5"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13.831.309</w:t>
            </w:r>
          </w:p>
        </w:tc>
      </w:tr>
      <w:tr w:rsidR="00866EFC" w:rsidRPr="00ED0331" w14:paraId="13C15EB8" w14:textId="77777777" w:rsidTr="00C5159C">
        <w:trPr>
          <w:trHeight w:val="238"/>
        </w:trPr>
        <w:tc>
          <w:tcPr>
            <w:tcW w:w="2286" w:type="pct"/>
            <w:tcBorders>
              <w:top w:val="single" w:sz="4" w:space="0" w:color="FFFFFF" w:themeColor="background1"/>
              <w:left w:val="nil"/>
              <w:bottom w:val="single" w:sz="4" w:space="0" w:color="FFFFFF" w:themeColor="background1"/>
              <w:right w:val="nil"/>
            </w:tcBorders>
            <w:shd w:val="clear" w:color="auto" w:fill="D0E0E3"/>
            <w:noWrap/>
            <w:vAlign w:val="center"/>
            <w:hideMark/>
          </w:tcPr>
          <w:p w14:paraId="7333BACC" w14:textId="77777777" w:rsidR="00866EFC" w:rsidRPr="00F216D4" w:rsidRDefault="00866EFC" w:rsidP="00866EFC">
            <w:pPr>
              <w:rPr>
                <w:rFonts w:ascii="CAIXA Std Book" w:eastAsia="Times New Roman" w:hAnsi="CAIXA Std Book" w:cs="Times New Roman"/>
                <w:b/>
                <w:color w:val="005CA9"/>
                <w:sz w:val="16"/>
                <w:szCs w:val="16"/>
              </w:rPr>
            </w:pPr>
            <w:r w:rsidRPr="00F216D4">
              <w:rPr>
                <w:rFonts w:ascii="CAIXA Std Book" w:eastAsia="Times New Roman" w:hAnsi="CAIXA Std Book" w:cs="Times New Roman"/>
                <w:b/>
                <w:color w:val="005CA9"/>
                <w:sz w:val="16"/>
                <w:szCs w:val="16"/>
              </w:rPr>
              <w:t>Imobilizado de uso</w:t>
            </w:r>
          </w:p>
        </w:tc>
        <w:tc>
          <w:tcPr>
            <w:tcW w:w="452" w:type="pct"/>
            <w:tcBorders>
              <w:top w:val="single" w:sz="4" w:space="0" w:color="FFFFFF" w:themeColor="background1"/>
              <w:left w:val="nil"/>
              <w:bottom w:val="single" w:sz="4" w:space="0" w:color="FFFFFF" w:themeColor="background1"/>
              <w:right w:val="nil"/>
            </w:tcBorders>
            <w:shd w:val="clear" w:color="000000" w:fill="D0E0E3"/>
            <w:noWrap/>
            <w:vAlign w:val="center"/>
            <w:hideMark/>
          </w:tcPr>
          <w:p w14:paraId="2292297C" w14:textId="053BEC59" w:rsidR="00866EFC" w:rsidRPr="00F216D4" w:rsidRDefault="00866EFC" w:rsidP="00866EFC">
            <w:pPr>
              <w:jc w:val="center"/>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w:t>
            </w:r>
          </w:p>
        </w:tc>
        <w:tc>
          <w:tcPr>
            <w:tcW w:w="452" w:type="pct"/>
            <w:tcBorders>
              <w:top w:val="single" w:sz="4" w:space="0" w:color="FFFFFF" w:themeColor="background1"/>
              <w:left w:val="nil"/>
              <w:bottom w:val="single" w:sz="4" w:space="0" w:color="FFFFFF" w:themeColor="background1"/>
              <w:right w:val="nil"/>
            </w:tcBorders>
            <w:shd w:val="clear" w:color="000000" w:fill="D0E0E3"/>
            <w:noWrap/>
            <w:vAlign w:val="center"/>
            <w:hideMark/>
          </w:tcPr>
          <w:p w14:paraId="5C4E39CF" w14:textId="40982CD8"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7.624.454</w:t>
            </w:r>
          </w:p>
        </w:tc>
        <w:tc>
          <w:tcPr>
            <w:tcW w:w="453" w:type="pct"/>
            <w:tcBorders>
              <w:top w:val="single" w:sz="4" w:space="0" w:color="FFFFFF" w:themeColor="background1"/>
              <w:left w:val="nil"/>
              <w:bottom w:val="single" w:sz="4" w:space="0" w:color="FFFFFF" w:themeColor="background1"/>
              <w:right w:val="nil"/>
            </w:tcBorders>
            <w:shd w:val="clear" w:color="000000" w:fill="D0E0E3"/>
            <w:noWrap/>
            <w:vAlign w:val="center"/>
            <w:hideMark/>
          </w:tcPr>
          <w:p w14:paraId="400CAA24" w14:textId="12234B06"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7.624.454</w:t>
            </w:r>
          </w:p>
        </w:tc>
        <w:tc>
          <w:tcPr>
            <w:tcW w:w="452" w:type="pct"/>
            <w:tcBorders>
              <w:top w:val="single" w:sz="4" w:space="0" w:color="FFFFFF" w:themeColor="background1"/>
              <w:left w:val="nil"/>
              <w:bottom w:val="single" w:sz="4" w:space="0" w:color="FFFFFF" w:themeColor="background1"/>
              <w:right w:val="nil"/>
            </w:tcBorders>
            <w:shd w:val="clear" w:color="000000" w:fill="D0E0E3"/>
            <w:noWrap/>
            <w:vAlign w:val="center"/>
            <w:hideMark/>
          </w:tcPr>
          <w:p w14:paraId="40E80F27" w14:textId="3773B917" w:rsidR="00866EFC" w:rsidRPr="00F216D4" w:rsidRDefault="00866EFC" w:rsidP="00AC4861">
            <w:pPr>
              <w:jc w:val="center"/>
              <w:rPr>
                <w:rFonts w:ascii="CAIXA Std Book" w:eastAsia="Times New Roman" w:hAnsi="CAIXA Std Book" w:cs="Times New Roman"/>
                <w:color w:val="005CA9"/>
                <w:sz w:val="16"/>
                <w:szCs w:val="16"/>
              </w:rPr>
            </w:pPr>
            <w:r>
              <w:rPr>
                <w:rFonts w:ascii="CAIXA Std Book" w:hAnsi="CAIXA Std Book" w:cs="Calibri"/>
                <w:b/>
                <w:bCs/>
                <w:color w:val="005CA9"/>
                <w:sz w:val="16"/>
                <w:szCs w:val="16"/>
              </w:rPr>
              <w:t>-</w:t>
            </w:r>
          </w:p>
        </w:tc>
        <w:tc>
          <w:tcPr>
            <w:tcW w:w="452" w:type="pct"/>
            <w:tcBorders>
              <w:top w:val="single" w:sz="4" w:space="0" w:color="FFFFFF" w:themeColor="background1"/>
              <w:left w:val="nil"/>
              <w:bottom w:val="single" w:sz="4" w:space="0" w:color="FFFFFF" w:themeColor="background1"/>
              <w:right w:val="nil"/>
            </w:tcBorders>
            <w:shd w:val="clear" w:color="000000" w:fill="D0E0E3"/>
            <w:noWrap/>
            <w:vAlign w:val="center"/>
            <w:hideMark/>
          </w:tcPr>
          <w:p w14:paraId="219A3079" w14:textId="5838552F"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7.155.400</w:t>
            </w:r>
          </w:p>
        </w:tc>
        <w:tc>
          <w:tcPr>
            <w:tcW w:w="453" w:type="pct"/>
            <w:tcBorders>
              <w:top w:val="single" w:sz="4" w:space="0" w:color="FFFFFF" w:themeColor="background1"/>
              <w:left w:val="nil"/>
              <w:bottom w:val="single" w:sz="4" w:space="0" w:color="FFFFFF" w:themeColor="background1"/>
              <w:right w:val="nil"/>
            </w:tcBorders>
            <w:shd w:val="clear" w:color="000000" w:fill="D0E0E3"/>
            <w:noWrap/>
            <w:vAlign w:val="center"/>
            <w:hideMark/>
          </w:tcPr>
          <w:p w14:paraId="33425B9D" w14:textId="2E28D20E"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7.155.400</w:t>
            </w:r>
          </w:p>
        </w:tc>
      </w:tr>
      <w:tr w:rsidR="00866EFC" w:rsidRPr="00ED0331" w14:paraId="4ADD9099" w14:textId="77777777" w:rsidTr="00C5159C">
        <w:trPr>
          <w:trHeight w:val="238"/>
        </w:trPr>
        <w:tc>
          <w:tcPr>
            <w:tcW w:w="2286" w:type="pct"/>
            <w:tcBorders>
              <w:top w:val="single" w:sz="4" w:space="0" w:color="FFFFFF" w:themeColor="background1"/>
              <w:left w:val="nil"/>
              <w:bottom w:val="single" w:sz="4" w:space="0" w:color="FFFFFF" w:themeColor="background1"/>
              <w:right w:val="nil"/>
            </w:tcBorders>
            <w:shd w:val="clear" w:color="auto" w:fill="D0E0E3"/>
            <w:noWrap/>
            <w:vAlign w:val="center"/>
            <w:hideMark/>
          </w:tcPr>
          <w:p w14:paraId="7C5B73A9" w14:textId="77777777" w:rsidR="00866EFC" w:rsidRPr="00F216D4" w:rsidRDefault="00866EFC" w:rsidP="00866EFC">
            <w:pPr>
              <w:rPr>
                <w:rFonts w:ascii="CAIXA Std Book" w:eastAsia="Times New Roman" w:hAnsi="CAIXA Std Book" w:cs="Times New Roman"/>
                <w:b/>
                <w:color w:val="005CA9"/>
                <w:sz w:val="16"/>
                <w:szCs w:val="16"/>
              </w:rPr>
            </w:pPr>
            <w:r w:rsidRPr="00F216D4">
              <w:rPr>
                <w:rFonts w:ascii="CAIXA Std Book" w:eastAsia="Times New Roman" w:hAnsi="CAIXA Std Book" w:cs="Times New Roman"/>
                <w:b/>
                <w:color w:val="005CA9"/>
                <w:sz w:val="16"/>
                <w:szCs w:val="16"/>
              </w:rPr>
              <w:t>Intangível</w:t>
            </w:r>
          </w:p>
        </w:tc>
        <w:tc>
          <w:tcPr>
            <w:tcW w:w="452" w:type="pct"/>
            <w:tcBorders>
              <w:top w:val="single" w:sz="4" w:space="0" w:color="FFFFFF" w:themeColor="background1"/>
              <w:left w:val="nil"/>
              <w:bottom w:val="single" w:sz="4" w:space="0" w:color="FFFFFF" w:themeColor="background1"/>
              <w:right w:val="nil"/>
            </w:tcBorders>
            <w:shd w:val="clear" w:color="000000" w:fill="D0E0E3"/>
            <w:noWrap/>
            <w:vAlign w:val="center"/>
            <w:hideMark/>
          </w:tcPr>
          <w:p w14:paraId="5B710AC9" w14:textId="36F75DE4" w:rsidR="00866EFC" w:rsidRPr="00F216D4" w:rsidRDefault="00866EFC" w:rsidP="00866EFC">
            <w:pPr>
              <w:jc w:val="center"/>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w:t>
            </w:r>
          </w:p>
        </w:tc>
        <w:tc>
          <w:tcPr>
            <w:tcW w:w="452" w:type="pct"/>
            <w:tcBorders>
              <w:top w:val="single" w:sz="4" w:space="0" w:color="FFFFFF" w:themeColor="background1"/>
              <w:left w:val="nil"/>
              <w:bottom w:val="single" w:sz="4" w:space="0" w:color="FFFFFF" w:themeColor="background1"/>
              <w:right w:val="nil"/>
            </w:tcBorders>
            <w:shd w:val="clear" w:color="000000" w:fill="D0E0E3"/>
            <w:noWrap/>
            <w:vAlign w:val="center"/>
            <w:hideMark/>
          </w:tcPr>
          <w:p w14:paraId="1AB7AC8B" w14:textId="1F5AFA50"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4.567.805</w:t>
            </w:r>
          </w:p>
        </w:tc>
        <w:tc>
          <w:tcPr>
            <w:tcW w:w="453" w:type="pct"/>
            <w:tcBorders>
              <w:top w:val="single" w:sz="4" w:space="0" w:color="FFFFFF" w:themeColor="background1"/>
              <w:left w:val="nil"/>
              <w:bottom w:val="single" w:sz="4" w:space="0" w:color="FFFFFF" w:themeColor="background1"/>
              <w:right w:val="nil"/>
            </w:tcBorders>
            <w:shd w:val="clear" w:color="000000" w:fill="D0E0E3"/>
            <w:noWrap/>
            <w:vAlign w:val="center"/>
            <w:hideMark/>
          </w:tcPr>
          <w:p w14:paraId="13631D13" w14:textId="71473F9B"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4.567.805</w:t>
            </w:r>
          </w:p>
        </w:tc>
        <w:tc>
          <w:tcPr>
            <w:tcW w:w="452" w:type="pct"/>
            <w:tcBorders>
              <w:top w:val="single" w:sz="4" w:space="0" w:color="FFFFFF" w:themeColor="background1"/>
              <w:left w:val="nil"/>
              <w:bottom w:val="single" w:sz="4" w:space="0" w:color="FFFFFF" w:themeColor="background1"/>
              <w:right w:val="nil"/>
            </w:tcBorders>
            <w:shd w:val="clear" w:color="000000" w:fill="D0E0E3"/>
            <w:noWrap/>
            <w:vAlign w:val="center"/>
            <w:hideMark/>
          </w:tcPr>
          <w:p w14:paraId="5C5F2DCE" w14:textId="6153A200" w:rsidR="00866EFC" w:rsidRPr="00F216D4" w:rsidRDefault="00866EFC" w:rsidP="00AC4861">
            <w:pPr>
              <w:jc w:val="center"/>
              <w:rPr>
                <w:rFonts w:ascii="CAIXA Std Book" w:eastAsia="Times New Roman" w:hAnsi="CAIXA Std Book" w:cs="Times New Roman"/>
                <w:color w:val="005CA9"/>
                <w:sz w:val="16"/>
                <w:szCs w:val="16"/>
              </w:rPr>
            </w:pPr>
            <w:r>
              <w:rPr>
                <w:rFonts w:ascii="CAIXA Std Book" w:hAnsi="CAIXA Std Book" w:cs="Calibri"/>
                <w:b/>
                <w:bCs/>
                <w:color w:val="005CA9"/>
                <w:sz w:val="16"/>
                <w:szCs w:val="16"/>
              </w:rPr>
              <w:t>-</w:t>
            </w:r>
          </w:p>
        </w:tc>
        <w:tc>
          <w:tcPr>
            <w:tcW w:w="452" w:type="pct"/>
            <w:tcBorders>
              <w:top w:val="single" w:sz="4" w:space="0" w:color="FFFFFF" w:themeColor="background1"/>
              <w:left w:val="nil"/>
              <w:bottom w:val="single" w:sz="4" w:space="0" w:color="FFFFFF" w:themeColor="background1"/>
              <w:right w:val="nil"/>
            </w:tcBorders>
            <w:shd w:val="clear" w:color="000000" w:fill="D0E0E3"/>
            <w:noWrap/>
            <w:vAlign w:val="center"/>
            <w:hideMark/>
          </w:tcPr>
          <w:p w14:paraId="4A6D11C0" w14:textId="6082978F"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4.607.542</w:t>
            </w:r>
          </w:p>
        </w:tc>
        <w:tc>
          <w:tcPr>
            <w:tcW w:w="453" w:type="pct"/>
            <w:tcBorders>
              <w:top w:val="single" w:sz="4" w:space="0" w:color="FFFFFF" w:themeColor="background1"/>
              <w:left w:val="nil"/>
              <w:bottom w:val="single" w:sz="4" w:space="0" w:color="FFFFFF" w:themeColor="background1"/>
              <w:right w:val="nil"/>
            </w:tcBorders>
            <w:shd w:val="clear" w:color="000000" w:fill="D0E0E3"/>
            <w:noWrap/>
            <w:vAlign w:val="center"/>
            <w:hideMark/>
          </w:tcPr>
          <w:p w14:paraId="554ECB64" w14:textId="6668CE56" w:rsidR="00866EFC" w:rsidRPr="00F216D4" w:rsidRDefault="00866EFC" w:rsidP="00866EFC">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4.607.542</w:t>
            </w:r>
          </w:p>
        </w:tc>
      </w:tr>
      <w:tr w:rsidR="00866EFC" w:rsidRPr="00ED0331" w14:paraId="3C121AE0" w14:textId="77777777" w:rsidTr="00C5159C">
        <w:trPr>
          <w:trHeight w:val="238"/>
        </w:trPr>
        <w:tc>
          <w:tcPr>
            <w:tcW w:w="2286" w:type="pct"/>
            <w:tcBorders>
              <w:top w:val="single" w:sz="4" w:space="0" w:color="FFFFFF" w:themeColor="background1"/>
              <w:left w:val="nil"/>
              <w:bottom w:val="nil"/>
              <w:right w:val="nil"/>
            </w:tcBorders>
            <w:shd w:val="clear" w:color="auto" w:fill="005CA9"/>
            <w:noWrap/>
            <w:vAlign w:val="center"/>
            <w:hideMark/>
          </w:tcPr>
          <w:p w14:paraId="31010C2F" w14:textId="77777777" w:rsidR="00866EFC" w:rsidRPr="00F216D4" w:rsidRDefault="00866EFC" w:rsidP="00866EFC">
            <w:pPr>
              <w:rPr>
                <w:rFonts w:ascii="CAIXA Std Book" w:eastAsia="Times New Roman" w:hAnsi="CAIXA Std Book" w:cs="Times New Roman"/>
                <w:b/>
                <w:color w:val="FFFFFF"/>
                <w:sz w:val="16"/>
                <w:szCs w:val="16"/>
              </w:rPr>
            </w:pPr>
            <w:r w:rsidRPr="00F216D4">
              <w:rPr>
                <w:rFonts w:ascii="CAIXA Std Book" w:eastAsia="Times New Roman" w:hAnsi="CAIXA Std Book" w:cs="Times New Roman"/>
                <w:b/>
                <w:color w:val="FFFFFF"/>
                <w:sz w:val="16"/>
                <w:szCs w:val="16"/>
              </w:rPr>
              <w:t>Total do ativo</w:t>
            </w:r>
          </w:p>
        </w:tc>
        <w:tc>
          <w:tcPr>
            <w:tcW w:w="452" w:type="pct"/>
            <w:tcBorders>
              <w:top w:val="single" w:sz="4" w:space="0" w:color="FFFFFF" w:themeColor="background1"/>
              <w:left w:val="nil"/>
              <w:bottom w:val="nil"/>
              <w:right w:val="nil"/>
            </w:tcBorders>
            <w:shd w:val="clear" w:color="000000" w:fill="005CA9"/>
            <w:noWrap/>
            <w:vAlign w:val="center"/>
            <w:hideMark/>
          </w:tcPr>
          <w:p w14:paraId="103D2F4F" w14:textId="440D4DCE" w:rsidR="00866EFC" w:rsidRPr="00F216D4" w:rsidRDefault="00866EFC" w:rsidP="00866EFC">
            <w:pPr>
              <w:jc w:val="right"/>
              <w:rPr>
                <w:rFonts w:ascii="CAIXA Std Book" w:eastAsia="Times New Roman" w:hAnsi="CAIXA Std Book" w:cs="Times New Roman"/>
                <w:b/>
                <w:color w:val="FFFFFF"/>
                <w:sz w:val="16"/>
                <w:szCs w:val="16"/>
              </w:rPr>
            </w:pPr>
            <w:r>
              <w:rPr>
                <w:rFonts w:ascii="CAIXA Std Book" w:hAnsi="CAIXA Std Book" w:cs="Arial"/>
                <w:b/>
                <w:bCs/>
                <w:color w:val="FFFFFF"/>
                <w:sz w:val="16"/>
                <w:szCs w:val="16"/>
              </w:rPr>
              <w:t>695.572.125</w:t>
            </w:r>
          </w:p>
        </w:tc>
        <w:tc>
          <w:tcPr>
            <w:tcW w:w="452" w:type="pct"/>
            <w:tcBorders>
              <w:top w:val="single" w:sz="4" w:space="0" w:color="FFFFFF" w:themeColor="background1"/>
              <w:left w:val="nil"/>
              <w:bottom w:val="nil"/>
              <w:right w:val="nil"/>
            </w:tcBorders>
            <w:shd w:val="clear" w:color="000000" w:fill="005CA9"/>
            <w:noWrap/>
            <w:vAlign w:val="center"/>
            <w:hideMark/>
          </w:tcPr>
          <w:p w14:paraId="164CA113" w14:textId="28F0FF0D" w:rsidR="00866EFC" w:rsidRPr="00F216D4" w:rsidRDefault="00866EFC" w:rsidP="00866EFC">
            <w:pPr>
              <w:jc w:val="right"/>
              <w:rPr>
                <w:rFonts w:ascii="CAIXA Std Book" w:eastAsia="Times New Roman" w:hAnsi="CAIXA Std Book" w:cs="Times New Roman"/>
                <w:b/>
                <w:color w:val="FFFFFF"/>
                <w:sz w:val="16"/>
                <w:szCs w:val="16"/>
              </w:rPr>
            </w:pPr>
            <w:r>
              <w:rPr>
                <w:rFonts w:ascii="CAIXA Std Book" w:hAnsi="CAIXA Std Book" w:cs="Arial"/>
                <w:b/>
                <w:bCs/>
                <w:color w:val="FFFFFF"/>
                <w:sz w:val="16"/>
                <w:szCs w:val="16"/>
              </w:rPr>
              <w:t>1.645.851.213</w:t>
            </w:r>
          </w:p>
        </w:tc>
        <w:tc>
          <w:tcPr>
            <w:tcW w:w="453" w:type="pct"/>
            <w:tcBorders>
              <w:top w:val="single" w:sz="4" w:space="0" w:color="FFFFFF" w:themeColor="background1"/>
              <w:left w:val="nil"/>
              <w:bottom w:val="nil"/>
              <w:right w:val="nil"/>
            </w:tcBorders>
            <w:shd w:val="clear" w:color="000000" w:fill="005CA9"/>
            <w:noWrap/>
            <w:vAlign w:val="center"/>
            <w:hideMark/>
          </w:tcPr>
          <w:p w14:paraId="14CC124C" w14:textId="6FB98D5C" w:rsidR="00866EFC" w:rsidRPr="00F216D4" w:rsidRDefault="00866EFC" w:rsidP="00866EFC">
            <w:pPr>
              <w:jc w:val="right"/>
              <w:rPr>
                <w:rFonts w:ascii="CAIXA Std Book" w:eastAsia="Times New Roman" w:hAnsi="CAIXA Std Book" w:cs="Times New Roman"/>
                <w:b/>
                <w:color w:val="FFFFFF"/>
                <w:sz w:val="16"/>
                <w:szCs w:val="16"/>
              </w:rPr>
            </w:pPr>
            <w:r>
              <w:rPr>
                <w:rFonts w:ascii="CAIXA Std Book" w:hAnsi="CAIXA Std Book" w:cs="Arial"/>
                <w:b/>
                <w:bCs/>
                <w:color w:val="FFFFFF"/>
                <w:sz w:val="16"/>
                <w:szCs w:val="16"/>
              </w:rPr>
              <w:t>2.341.423.338</w:t>
            </w:r>
          </w:p>
        </w:tc>
        <w:tc>
          <w:tcPr>
            <w:tcW w:w="452" w:type="pct"/>
            <w:tcBorders>
              <w:top w:val="single" w:sz="4" w:space="0" w:color="FFFFFF" w:themeColor="background1"/>
              <w:left w:val="nil"/>
              <w:bottom w:val="nil"/>
              <w:right w:val="nil"/>
            </w:tcBorders>
            <w:shd w:val="clear" w:color="000000" w:fill="005CA9"/>
            <w:noWrap/>
            <w:vAlign w:val="center"/>
            <w:hideMark/>
          </w:tcPr>
          <w:p w14:paraId="73E6B084" w14:textId="5396074B" w:rsidR="00866EFC" w:rsidRPr="00F216D4" w:rsidRDefault="00866EFC" w:rsidP="00866EFC">
            <w:pPr>
              <w:jc w:val="right"/>
              <w:rPr>
                <w:rFonts w:ascii="CAIXA Std Book" w:eastAsia="Times New Roman" w:hAnsi="CAIXA Std Book" w:cs="Times New Roman"/>
                <w:b/>
                <w:color w:val="FFFFFF"/>
                <w:sz w:val="16"/>
                <w:szCs w:val="16"/>
              </w:rPr>
            </w:pPr>
            <w:r>
              <w:rPr>
                <w:rFonts w:ascii="CAIXA Std Book" w:hAnsi="CAIXA Std Book" w:cs="Calibri"/>
                <w:b/>
                <w:bCs/>
                <w:color w:val="FFFFFF"/>
                <w:sz w:val="16"/>
                <w:szCs w:val="16"/>
              </w:rPr>
              <w:t>554.277.017</w:t>
            </w:r>
          </w:p>
        </w:tc>
        <w:tc>
          <w:tcPr>
            <w:tcW w:w="452" w:type="pct"/>
            <w:tcBorders>
              <w:top w:val="single" w:sz="4" w:space="0" w:color="FFFFFF" w:themeColor="background1"/>
              <w:left w:val="nil"/>
              <w:bottom w:val="nil"/>
              <w:right w:val="nil"/>
            </w:tcBorders>
            <w:shd w:val="clear" w:color="000000" w:fill="005CA9"/>
            <w:noWrap/>
            <w:vAlign w:val="center"/>
            <w:hideMark/>
          </w:tcPr>
          <w:p w14:paraId="740EC005" w14:textId="221A2436" w:rsidR="00866EFC" w:rsidRPr="00F216D4" w:rsidRDefault="00866EFC" w:rsidP="00866EFC">
            <w:pPr>
              <w:jc w:val="right"/>
              <w:rPr>
                <w:rFonts w:ascii="CAIXA Std Book" w:eastAsia="Times New Roman" w:hAnsi="CAIXA Std Book" w:cs="Times New Roman"/>
                <w:b/>
                <w:color w:val="FFFFFF"/>
                <w:sz w:val="16"/>
                <w:szCs w:val="16"/>
              </w:rPr>
            </w:pPr>
            <w:r>
              <w:rPr>
                <w:rFonts w:ascii="CAIXA Std Book" w:hAnsi="CAIXA Std Book" w:cs="Calibri"/>
                <w:b/>
                <w:bCs/>
                <w:color w:val="FFFFFF"/>
                <w:sz w:val="16"/>
                <w:szCs w:val="16"/>
              </w:rPr>
              <w:t>1.648.821.491</w:t>
            </w:r>
          </w:p>
        </w:tc>
        <w:tc>
          <w:tcPr>
            <w:tcW w:w="453" w:type="pct"/>
            <w:tcBorders>
              <w:top w:val="single" w:sz="4" w:space="0" w:color="FFFFFF" w:themeColor="background1"/>
              <w:left w:val="nil"/>
              <w:bottom w:val="nil"/>
              <w:right w:val="nil"/>
            </w:tcBorders>
            <w:shd w:val="clear" w:color="000000" w:fill="005CA9"/>
            <w:noWrap/>
            <w:vAlign w:val="center"/>
            <w:hideMark/>
          </w:tcPr>
          <w:p w14:paraId="74E97A9F" w14:textId="7933325C" w:rsidR="00866EFC" w:rsidRPr="00F216D4" w:rsidRDefault="00866EFC" w:rsidP="00866EFC">
            <w:pPr>
              <w:jc w:val="right"/>
              <w:rPr>
                <w:rFonts w:ascii="CAIXA Std Book" w:eastAsia="Times New Roman" w:hAnsi="CAIXA Std Book" w:cs="Times New Roman"/>
                <w:b/>
                <w:color w:val="FFFFFF"/>
                <w:sz w:val="16"/>
                <w:szCs w:val="16"/>
              </w:rPr>
            </w:pPr>
            <w:r>
              <w:rPr>
                <w:rFonts w:ascii="CAIXA Std Book" w:hAnsi="CAIXA Std Book" w:cs="Calibri"/>
                <w:b/>
                <w:bCs/>
                <w:color w:val="FFFFFF"/>
                <w:sz w:val="16"/>
                <w:szCs w:val="16"/>
              </w:rPr>
              <w:t>2.203.098.508</w:t>
            </w:r>
          </w:p>
        </w:tc>
      </w:tr>
    </w:tbl>
    <w:p w14:paraId="4CF2EF1F" w14:textId="77777777" w:rsidR="00160360" w:rsidRDefault="00160360" w:rsidP="00866EFC">
      <w:pPr>
        <w:jc w:val="right"/>
      </w:pPr>
    </w:p>
    <w:tbl>
      <w:tblPr>
        <w:tblW w:w="5000" w:type="pct"/>
        <w:tblCellMar>
          <w:left w:w="70" w:type="dxa"/>
          <w:right w:w="70" w:type="dxa"/>
        </w:tblCellMar>
        <w:tblLook w:val="04A0" w:firstRow="1" w:lastRow="0" w:firstColumn="1" w:lastColumn="0" w:noHBand="0" w:noVBand="1"/>
      </w:tblPr>
      <w:tblGrid>
        <w:gridCol w:w="6639"/>
        <w:gridCol w:w="1323"/>
        <w:gridCol w:w="1323"/>
        <w:gridCol w:w="1323"/>
        <w:gridCol w:w="1323"/>
        <w:gridCol w:w="1323"/>
        <w:gridCol w:w="1317"/>
      </w:tblGrid>
      <w:tr w:rsidR="00ED0331" w:rsidRPr="006F7A41" w14:paraId="4B907440" w14:textId="77777777" w:rsidTr="00117984">
        <w:trPr>
          <w:trHeight w:val="283"/>
        </w:trPr>
        <w:tc>
          <w:tcPr>
            <w:tcW w:w="5000" w:type="pct"/>
            <w:gridSpan w:val="7"/>
            <w:tcBorders>
              <w:top w:val="nil"/>
              <w:left w:val="nil"/>
              <w:bottom w:val="single" w:sz="4" w:space="0" w:color="FFFFFF" w:themeColor="background1"/>
              <w:right w:val="nil"/>
            </w:tcBorders>
            <w:shd w:val="clear" w:color="auto" w:fill="005CA9"/>
            <w:vAlign w:val="center"/>
          </w:tcPr>
          <w:p w14:paraId="6D575CCF" w14:textId="77C304BE" w:rsidR="00ED0331" w:rsidRPr="00160360" w:rsidRDefault="00FC2C30" w:rsidP="00E62DC7">
            <w:pPr>
              <w:jc w:val="center"/>
              <w:rPr>
                <w:rFonts w:ascii="CAIXA Std Book" w:eastAsia="Times New Roman" w:hAnsi="CAIXA Std Book" w:cs="Arial"/>
                <w:b/>
                <w:color w:val="FFFFFF"/>
                <w:sz w:val="16"/>
                <w:szCs w:val="16"/>
              </w:rPr>
            </w:pPr>
            <w:r w:rsidRPr="00160360">
              <w:rPr>
                <w:rFonts w:ascii="CAIXA Std Book" w:eastAsia="Times New Roman" w:hAnsi="CAIXA Std Book" w:cs="Arial"/>
                <w:b/>
                <w:color w:val="FFFFFF"/>
                <w:sz w:val="16"/>
                <w:szCs w:val="16"/>
              </w:rPr>
              <w:t xml:space="preserve">Individual </w:t>
            </w:r>
          </w:p>
        </w:tc>
      </w:tr>
      <w:tr w:rsidR="00A14EA7" w:rsidRPr="006F7A41" w14:paraId="6EDD9636" w14:textId="77777777" w:rsidTr="0054760F">
        <w:trPr>
          <w:trHeight w:val="283"/>
        </w:trPr>
        <w:tc>
          <w:tcPr>
            <w:tcW w:w="2278" w:type="pct"/>
            <w:vMerge w:val="restart"/>
            <w:tcBorders>
              <w:top w:val="single" w:sz="4" w:space="0" w:color="FFFFFF" w:themeColor="background1"/>
              <w:left w:val="nil"/>
              <w:bottom w:val="nil"/>
              <w:right w:val="nil"/>
            </w:tcBorders>
            <w:shd w:val="clear" w:color="auto" w:fill="005CA9"/>
            <w:vAlign w:val="center"/>
            <w:hideMark/>
          </w:tcPr>
          <w:p w14:paraId="5AA9792E" w14:textId="0E479583" w:rsidR="00E62DC7" w:rsidRPr="00160360" w:rsidRDefault="00214527" w:rsidP="00E62DC7">
            <w:pPr>
              <w:jc w:val="center"/>
              <w:rPr>
                <w:rFonts w:ascii="CAIXA Std Book" w:eastAsia="Times New Roman" w:hAnsi="CAIXA Std Book" w:cs="Arial"/>
                <w:b/>
                <w:color w:val="FFFFFF"/>
                <w:sz w:val="16"/>
                <w:szCs w:val="16"/>
              </w:rPr>
            </w:pPr>
            <w:r w:rsidRPr="00160360">
              <w:rPr>
                <w:rFonts w:ascii="CAIXA Std Book" w:hAnsi="CAIXA Std Book"/>
                <w:b/>
                <w:color w:val="005CA9"/>
                <w:sz w:val="16"/>
                <w:szCs w:val="16"/>
              </w:rPr>
              <w:br w:type="page"/>
            </w:r>
            <w:r w:rsidR="00E62DC7" w:rsidRPr="00160360">
              <w:rPr>
                <w:rFonts w:ascii="CAIXA Std Book" w:eastAsia="Times New Roman" w:hAnsi="CAIXA Std Book" w:cs="Arial"/>
                <w:b/>
                <w:color w:val="FFFFFF"/>
                <w:sz w:val="16"/>
                <w:szCs w:val="16"/>
              </w:rPr>
              <w:t>Passivo e patrimônio líquido</w:t>
            </w:r>
          </w:p>
        </w:tc>
        <w:tc>
          <w:tcPr>
            <w:tcW w:w="1362" w:type="pct"/>
            <w:gridSpan w:val="3"/>
            <w:tcBorders>
              <w:top w:val="single" w:sz="4" w:space="0" w:color="FFFFFF" w:themeColor="background1"/>
              <w:left w:val="nil"/>
              <w:bottom w:val="single" w:sz="4" w:space="0" w:color="FFFFFF" w:themeColor="background1"/>
              <w:right w:val="nil"/>
            </w:tcBorders>
            <w:shd w:val="clear" w:color="auto" w:fill="005CA9"/>
            <w:noWrap/>
            <w:vAlign w:val="center"/>
            <w:hideMark/>
          </w:tcPr>
          <w:p w14:paraId="329AC4EF" w14:textId="53761B65" w:rsidR="00E62DC7" w:rsidRPr="00160360" w:rsidRDefault="00FC2C30" w:rsidP="0054760F">
            <w:pPr>
              <w:jc w:val="center"/>
              <w:rPr>
                <w:rFonts w:ascii="CAIXA Std Book" w:eastAsia="Times New Roman" w:hAnsi="CAIXA Std Book" w:cs="Arial"/>
                <w:b/>
                <w:color w:val="F2F2F2"/>
                <w:sz w:val="16"/>
                <w:szCs w:val="16"/>
              </w:rPr>
            </w:pPr>
            <w:r w:rsidRPr="00160360">
              <w:rPr>
                <w:rFonts w:ascii="CAIXA Std Book" w:eastAsia="Times New Roman" w:hAnsi="CAIXA Std Book" w:cs="Arial"/>
                <w:b/>
                <w:color w:val="FFFFFF"/>
                <w:sz w:val="16"/>
                <w:szCs w:val="16"/>
              </w:rPr>
              <w:t>31/03/2026</w:t>
            </w:r>
          </w:p>
        </w:tc>
        <w:tc>
          <w:tcPr>
            <w:tcW w:w="1360" w:type="pct"/>
            <w:gridSpan w:val="3"/>
            <w:tcBorders>
              <w:top w:val="single" w:sz="4" w:space="0" w:color="FFFFFF" w:themeColor="background1"/>
              <w:left w:val="nil"/>
              <w:bottom w:val="single" w:sz="4" w:space="0" w:color="FFFFFF" w:themeColor="background1"/>
              <w:right w:val="nil"/>
            </w:tcBorders>
            <w:shd w:val="clear" w:color="auto" w:fill="005CA9"/>
            <w:noWrap/>
            <w:vAlign w:val="center"/>
            <w:hideMark/>
          </w:tcPr>
          <w:p w14:paraId="7681DBE3" w14:textId="7F8C9A61" w:rsidR="00E62DC7" w:rsidRPr="00160360" w:rsidRDefault="00FC2C30" w:rsidP="0054760F">
            <w:pPr>
              <w:jc w:val="center"/>
              <w:rPr>
                <w:rFonts w:ascii="CAIXA Std Book" w:eastAsia="Times New Roman" w:hAnsi="CAIXA Std Book" w:cs="Arial"/>
                <w:b/>
                <w:color w:val="F2F2F2"/>
                <w:sz w:val="16"/>
                <w:szCs w:val="16"/>
              </w:rPr>
            </w:pPr>
            <w:r w:rsidRPr="00160360">
              <w:rPr>
                <w:rFonts w:ascii="CAIXA Std Book" w:eastAsia="Times New Roman" w:hAnsi="CAIXA Std Book" w:cs="Arial"/>
                <w:b/>
                <w:color w:val="FFFFFF"/>
                <w:sz w:val="16"/>
                <w:szCs w:val="16"/>
              </w:rPr>
              <w:t>31/12/2025</w:t>
            </w:r>
          </w:p>
        </w:tc>
      </w:tr>
      <w:tr w:rsidR="000C1815" w:rsidRPr="006F7A41" w14:paraId="0677B0F5" w14:textId="77777777" w:rsidTr="00972051">
        <w:trPr>
          <w:trHeight w:val="283"/>
        </w:trPr>
        <w:tc>
          <w:tcPr>
            <w:tcW w:w="2278" w:type="pct"/>
            <w:vMerge/>
            <w:tcBorders>
              <w:top w:val="single" w:sz="4" w:space="0" w:color="FFFFFF" w:themeColor="background1"/>
              <w:left w:val="nil"/>
              <w:bottom w:val="nil"/>
              <w:right w:val="nil"/>
            </w:tcBorders>
            <w:shd w:val="clear" w:color="auto" w:fill="005CA9"/>
            <w:vAlign w:val="center"/>
            <w:hideMark/>
          </w:tcPr>
          <w:p w14:paraId="45D89479" w14:textId="77777777" w:rsidR="00E62DC7" w:rsidRPr="00160360" w:rsidRDefault="00E62DC7" w:rsidP="00E62DC7">
            <w:pPr>
              <w:rPr>
                <w:rFonts w:ascii="CAIXA Std Book" w:eastAsia="Times New Roman" w:hAnsi="CAIXA Std Book" w:cs="Arial"/>
                <w:b/>
                <w:color w:val="FFFFFF"/>
                <w:sz w:val="16"/>
                <w:szCs w:val="16"/>
              </w:rPr>
            </w:pPr>
          </w:p>
        </w:tc>
        <w:tc>
          <w:tcPr>
            <w:tcW w:w="454" w:type="pct"/>
            <w:tcBorders>
              <w:top w:val="single" w:sz="4" w:space="0" w:color="FFFFFF" w:themeColor="background1"/>
              <w:left w:val="nil"/>
              <w:bottom w:val="nil"/>
              <w:right w:val="nil"/>
            </w:tcBorders>
            <w:shd w:val="clear" w:color="auto" w:fill="005CA9"/>
            <w:vAlign w:val="center"/>
            <w:hideMark/>
          </w:tcPr>
          <w:p w14:paraId="20C4AD5E" w14:textId="7AC8CEA4" w:rsidR="00E62DC7" w:rsidRPr="00160360" w:rsidRDefault="00E62DC7" w:rsidP="00F57C10">
            <w:pPr>
              <w:jc w:val="center"/>
              <w:rPr>
                <w:rFonts w:ascii="CAIXA Std Book" w:eastAsia="Times New Roman" w:hAnsi="CAIXA Std Book" w:cs="Arial"/>
                <w:b/>
                <w:color w:val="FFFFFF"/>
                <w:sz w:val="16"/>
                <w:szCs w:val="16"/>
              </w:rPr>
            </w:pPr>
            <w:r w:rsidRPr="00160360">
              <w:rPr>
                <w:rFonts w:ascii="CAIXA Std Book" w:eastAsia="Times New Roman" w:hAnsi="CAIXA Std Book" w:cs="Arial"/>
                <w:b/>
                <w:color w:val="FFFFFF"/>
                <w:sz w:val="16"/>
                <w:szCs w:val="16"/>
              </w:rPr>
              <w:t>Até 360 dias</w:t>
            </w:r>
          </w:p>
        </w:tc>
        <w:tc>
          <w:tcPr>
            <w:tcW w:w="454" w:type="pct"/>
            <w:tcBorders>
              <w:top w:val="single" w:sz="4" w:space="0" w:color="FFFFFF" w:themeColor="background1"/>
              <w:left w:val="nil"/>
              <w:bottom w:val="nil"/>
              <w:right w:val="nil"/>
            </w:tcBorders>
            <w:shd w:val="clear" w:color="auto" w:fill="005CA9"/>
            <w:vAlign w:val="center"/>
            <w:hideMark/>
          </w:tcPr>
          <w:p w14:paraId="6EA28E8E" w14:textId="77777777" w:rsidR="00611FE7" w:rsidRPr="00160360" w:rsidRDefault="00E62DC7" w:rsidP="00F57C10">
            <w:pPr>
              <w:jc w:val="center"/>
              <w:rPr>
                <w:rFonts w:ascii="CAIXA Std Book" w:eastAsia="Times New Roman" w:hAnsi="CAIXA Std Book" w:cs="Arial"/>
                <w:b/>
                <w:color w:val="FFFFFF"/>
                <w:sz w:val="16"/>
                <w:szCs w:val="16"/>
              </w:rPr>
            </w:pPr>
            <w:r w:rsidRPr="00160360">
              <w:rPr>
                <w:rFonts w:ascii="CAIXA Std Book" w:eastAsia="Times New Roman" w:hAnsi="CAIXA Std Book" w:cs="Arial"/>
                <w:b/>
                <w:color w:val="FFFFFF"/>
                <w:sz w:val="16"/>
                <w:szCs w:val="16"/>
              </w:rPr>
              <w:t>Acima de</w:t>
            </w:r>
          </w:p>
          <w:p w14:paraId="343BA699" w14:textId="41979100" w:rsidR="00E62DC7" w:rsidRPr="00160360" w:rsidRDefault="00E62DC7" w:rsidP="00F57C10">
            <w:pPr>
              <w:jc w:val="center"/>
              <w:rPr>
                <w:rFonts w:ascii="CAIXA Std Book" w:eastAsia="Times New Roman" w:hAnsi="CAIXA Std Book" w:cs="Arial"/>
                <w:b/>
                <w:color w:val="FFFFFF"/>
                <w:sz w:val="16"/>
                <w:szCs w:val="16"/>
              </w:rPr>
            </w:pPr>
            <w:r w:rsidRPr="00160360">
              <w:rPr>
                <w:rFonts w:ascii="CAIXA Std Book" w:eastAsia="Times New Roman" w:hAnsi="CAIXA Std Book" w:cs="Arial"/>
                <w:b/>
                <w:color w:val="FFFFFF"/>
                <w:sz w:val="16"/>
                <w:szCs w:val="16"/>
              </w:rPr>
              <w:t>360 dias</w:t>
            </w:r>
          </w:p>
        </w:tc>
        <w:tc>
          <w:tcPr>
            <w:tcW w:w="454" w:type="pct"/>
            <w:tcBorders>
              <w:top w:val="single" w:sz="4" w:space="0" w:color="FFFFFF" w:themeColor="background1"/>
              <w:left w:val="nil"/>
              <w:bottom w:val="nil"/>
              <w:right w:val="nil"/>
            </w:tcBorders>
            <w:shd w:val="clear" w:color="auto" w:fill="005CA9"/>
            <w:vAlign w:val="center"/>
            <w:hideMark/>
          </w:tcPr>
          <w:p w14:paraId="6F72FEF1" w14:textId="77777777" w:rsidR="00E62DC7" w:rsidRPr="00160360" w:rsidRDefault="00E62DC7" w:rsidP="00F57C10">
            <w:pPr>
              <w:jc w:val="center"/>
              <w:rPr>
                <w:rFonts w:ascii="CAIXA Std Book" w:eastAsia="Times New Roman" w:hAnsi="CAIXA Std Book" w:cs="Arial"/>
                <w:b/>
                <w:color w:val="FFFFFF"/>
                <w:sz w:val="16"/>
                <w:szCs w:val="16"/>
              </w:rPr>
            </w:pPr>
            <w:r w:rsidRPr="00160360">
              <w:rPr>
                <w:rFonts w:ascii="CAIXA Std Book" w:eastAsia="Times New Roman" w:hAnsi="CAIXA Std Book" w:cs="Arial"/>
                <w:b/>
                <w:color w:val="FFFFFF"/>
                <w:sz w:val="16"/>
                <w:szCs w:val="16"/>
              </w:rPr>
              <w:t>Total</w:t>
            </w:r>
          </w:p>
        </w:tc>
        <w:tc>
          <w:tcPr>
            <w:tcW w:w="454" w:type="pct"/>
            <w:tcBorders>
              <w:top w:val="single" w:sz="4" w:space="0" w:color="FFFFFF" w:themeColor="background1"/>
              <w:left w:val="nil"/>
              <w:bottom w:val="nil"/>
              <w:right w:val="nil"/>
            </w:tcBorders>
            <w:shd w:val="clear" w:color="auto" w:fill="005CA9"/>
            <w:vAlign w:val="center"/>
            <w:hideMark/>
          </w:tcPr>
          <w:p w14:paraId="29AB48B5" w14:textId="04AC564E" w:rsidR="00E62DC7" w:rsidRPr="00160360" w:rsidRDefault="00E62DC7" w:rsidP="00F57C10">
            <w:pPr>
              <w:jc w:val="center"/>
              <w:rPr>
                <w:rFonts w:ascii="CAIXA Std Book" w:eastAsia="Times New Roman" w:hAnsi="CAIXA Std Book" w:cs="Arial"/>
                <w:b/>
                <w:color w:val="FFFFFF"/>
                <w:sz w:val="16"/>
                <w:szCs w:val="16"/>
              </w:rPr>
            </w:pPr>
            <w:r w:rsidRPr="00160360">
              <w:rPr>
                <w:rFonts w:ascii="CAIXA Std Book" w:eastAsia="Times New Roman" w:hAnsi="CAIXA Std Book" w:cs="Arial"/>
                <w:b/>
                <w:color w:val="FFFFFF"/>
                <w:sz w:val="16"/>
                <w:szCs w:val="16"/>
              </w:rPr>
              <w:t>Até 360 dias</w:t>
            </w:r>
          </w:p>
        </w:tc>
        <w:tc>
          <w:tcPr>
            <w:tcW w:w="454" w:type="pct"/>
            <w:tcBorders>
              <w:top w:val="single" w:sz="4" w:space="0" w:color="FFFFFF" w:themeColor="background1"/>
              <w:left w:val="nil"/>
              <w:bottom w:val="nil"/>
              <w:right w:val="nil"/>
            </w:tcBorders>
            <w:shd w:val="clear" w:color="auto" w:fill="005CA9"/>
            <w:vAlign w:val="center"/>
            <w:hideMark/>
          </w:tcPr>
          <w:p w14:paraId="73651359" w14:textId="77777777" w:rsidR="00611FE7" w:rsidRPr="00160360" w:rsidRDefault="00E62DC7" w:rsidP="00F57C10">
            <w:pPr>
              <w:jc w:val="center"/>
              <w:rPr>
                <w:rFonts w:ascii="CAIXA Std Book" w:eastAsia="Times New Roman" w:hAnsi="CAIXA Std Book" w:cs="Arial"/>
                <w:b/>
                <w:color w:val="FFFFFF"/>
                <w:sz w:val="16"/>
                <w:szCs w:val="16"/>
              </w:rPr>
            </w:pPr>
            <w:r w:rsidRPr="00160360">
              <w:rPr>
                <w:rFonts w:ascii="CAIXA Std Book" w:eastAsia="Times New Roman" w:hAnsi="CAIXA Std Book" w:cs="Arial"/>
                <w:b/>
                <w:color w:val="FFFFFF"/>
                <w:sz w:val="16"/>
                <w:szCs w:val="16"/>
              </w:rPr>
              <w:t>Acima de</w:t>
            </w:r>
          </w:p>
          <w:p w14:paraId="2B1103A0" w14:textId="51BA4E92" w:rsidR="00E62DC7" w:rsidRPr="00160360" w:rsidRDefault="00E62DC7" w:rsidP="00F57C10">
            <w:pPr>
              <w:jc w:val="center"/>
              <w:rPr>
                <w:rFonts w:ascii="CAIXA Std Book" w:eastAsia="Times New Roman" w:hAnsi="CAIXA Std Book" w:cs="Arial"/>
                <w:b/>
                <w:color w:val="FFFFFF"/>
                <w:sz w:val="16"/>
                <w:szCs w:val="16"/>
              </w:rPr>
            </w:pPr>
            <w:r w:rsidRPr="00160360">
              <w:rPr>
                <w:rFonts w:ascii="CAIXA Std Book" w:eastAsia="Times New Roman" w:hAnsi="CAIXA Std Book" w:cs="Arial"/>
                <w:b/>
                <w:color w:val="FFFFFF"/>
                <w:sz w:val="16"/>
                <w:szCs w:val="16"/>
              </w:rPr>
              <w:t>360 dias</w:t>
            </w:r>
          </w:p>
        </w:tc>
        <w:tc>
          <w:tcPr>
            <w:tcW w:w="452" w:type="pct"/>
            <w:tcBorders>
              <w:top w:val="single" w:sz="4" w:space="0" w:color="FFFFFF" w:themeColor="background1"/>
              <w:left w:val="nil"/>
              <w:bottom w:val="nil"/>
              <w:right w:val="nil"/>
            </w:tcBorders>
            <w:shd w:val="clear" w:color="auto" w:fill="005CA9"/>
            <w:vAlign w:val="center"/>
            <w:hideMark/>
          </w:tcPr>
          <w:p w14:paraId="46C4C99F" w14:textId="77777777" w:rsidR="00E62DC7" w:rsidRPr="00160360" w:rsidRDefault="00E62DC7" w:rsidP="00F57C10">
            <w:pPr>
              <w:jc w:val="center"/>
              <w:rPr>
                <w:rFonts w:ascii="CAIXA Std Book" w:eastAsia="Times New Roman" w:hAnsi="CAIXA Std Book" w:cs="Arial"/>
                <w:b/>
                <w:color w:val="FFFFFF"/>
                <w:sz w:val="16"/>
                <w:szCs w:val="16"/>
              </w:rPr>
            </w:pPr>
            <w:r w:rsidRPr="00160360">
              <w:rPr>
                <w:rFonts w:ascii="CAIXA Std Book" w:eastAsia="Times New Roman" w:hAnsi="CAIXA Std Book" w:cs="Arial"/>
                <w:b/>
                <w:color w:val="FFFFFF"/>
                <w:sz w:val="16"/>
                <w:szCs w:val="16"/>
              </w:rPr>
              <w:t>Total</w:t>
            </w:r>
          </w:p>
        </w:tc>
      </w:tr>
      <w:tr w:rsidR="000C1815" w:rsidRPr="006F7A41" w14:paraId="239247E0" w14:textId="77777777" w:rsidTr="00972051">
        <w:trPr>
          <w:trHeight w:val="283"/>
        </w:trPr>
        <w:tc>
          <w:tcPr>
            <w:tcW w:w="2278" w:type="pct"/>
            <w:tcBorders>
              <w:top w:val="nil"/>
              <w:left w:val="nil"/>
              <w:bottom w:val="nil"/>
              <w:right w:val="nil"/>
            </w:tcBorders>
            <w:shd w:val="clear" w:color="auto" w:fill="D0E0E3"/>
            <w:noWrap/>
            <w:vAlign w:val="center"/>
            <w:hideMark/>
          </w:tcPr>
          <w:p w14:paraId="38CC5277" w14:textId="77777777" w:rsidR="001829BE" w:rsidRPr="00160360" w:rsidRDefault="001829BE" w:rsidP="001829BE">
            <w:pPr>
              <w:rPr>
                <w:rFonts w:ascii="CAIXA Std Book" w:eastAsia="Times New Roman" w:hAnsi="CAIXA Std Book" w:cs="Arial"/>
                <w:b/>
                <w:color w:val="005CA9"/>
                <w:sz w:val="16"/>
                <w:szCs w:val="16"/>
              </w:rPr>
            </w:pPr>
            <w:r w:rsidRPr="00160360">
              <w:rPr>
                <w:rFonts w:ascii="CAIXA Std Book" w:eastAsia="Times New Roman" w:hAnsi="CAIXA Std Book" w:cs="Arial"/>
                <w:b/>
                <w:color w:val="005CA9"/>
                <w:sz w:val="16"/>
                <w:szCs w:val="16"/>
              </w:rPr>
              <w:t>Passivos financeiros ao valor justo por meio do resultado</w:t>
            </w:r>
          </w:p>
        </w:tc>
        <w:tc>
          <w:tcPr>
            <w:tcW w:w="454" w:type="pct"/>
            <w:tcBorders>
              <w:top w:val="nil"/>
              <w:left w:val="nil"/>
              <w:bottom w:val="nil"/>
              <w:right w:val="nil"/>
            </w:tcBorders>
            <w:shd w:val="clear" w:color="auto" w:fill="D0E0E3"/>
            <w:noWrap/>
            <w:vAlign w:val="center"/>
          </w:tcPr>
          <w:p w14:paraId="11846032" w14:textId="4289B86C" w:rsidR="001829BE" w:rsidRPr="00686AF4" w:rsidRDefault="00C1476C" w:rsidP="001829BE">
            <w:pPr>
              <w:jc w:val="right"/>
              <w:rPr>
                <w:rFonts w:ascii="CAIXA Std Book" w:eastAsia="Times New Roman" w:hAnsi="CAIXA Std Book" w:cs="Arial"/>
                <w:b/>
                <w:color w:val="005CA9"/>
                <w:sz w:val="16"/>
                <w:szCs w:val="16"/>
              </w:rPr>
            </w:pPr>
            <w:r>
              <w:rPr>
                <w:rFonts w:ascii="CAIXA Std Book" w:hAnsi="CAIXA Std Book" w:cs="Calibri"/>
                <w:b/>
                <w:color w:val="005CA9"/>
                <w:sz w:val="16"/>
                <w:szCs w:val="16"/>
              </w:rPr>
              <w:t>654.079</w:t>
            </w:r>
          </w:p>
        </w:tc>
        <w:tc>
          <w:tcPr>
            <w:tcW w:w="454" w:type="pct"/>
            <w:tcBorders>
              <w:top w:val="nil"/>
              <w:left w:val="nil"/>
              <w:bottom w:val="nil"/>
              <w:right w:val="nil"/>
            </w:tcBorders>
            <w:shd w:val="clear" w:color="auto" w:fill="D0E0E3"/>
            <w:noWrap/>
            <w:vAlign w:val="center"/>
          </w:tcPr>
          <w:p w14:paraId="1E6B2426" w14:textId="78E270F0" w:rsidR="001829BE" w:rsidRPr="00686AF4" w:rsidRDefault="00C1476C" w:rsidP="001829BE">
            <w:pPr>
              <w:jc w:val="right"/>
              <w:rPr>
                <w:rFonts w:ascii="CAIXA Std Book" w:eastAsia="Times New Roman" w:hAnsi="CAIXA Std Book" w:cs="Arial"/>
                <w:b/>
                <w:color w:val="005CA9"/>
                <w:sz w:val="16"/>
                <w:szCs w:val="16"/>
              </w:rPr>
            </w:pPr>
            <w:r>
              <w:rPr>
                <w:rFonts w:ascii="CAIXA Std Book" w:hAnsi="CAIXA Std Book" w:cs="Calibri"/>
                <w:b/>
                <w:color w:val="005CA9"/>
                <w:sz w:val="16"/>
                <w:szCs w:val="16"/>
              </w:rPr>
              <w:t>698.453</w:t>
            </w:r>
          </w:p>
        </w:tc>
        <w:tc>
          <w:tcPr>
            <w:tcW w:w="454" w:type="pct"/>
            <w:tcBorders>
              <w:top w:val="nil"/>
              <w:left w:val="nil"/>
              <w:bottom w:val="nil"/>
              <w:right w:val="nil"/>
            </w:tcBorders>
            <w:shd w:val="clear" w:color="auto" w:fill="D0E0E3"/>
            <w:noWrap/>
            <w:vAlign w:val="center"/>
          </w:tcPr>
          <w:p w14:paraId="0F56924F" w14:textId="68204C74" w:rsidR="001829BE" w:rsidRPr="00686AF4" w:rsidRDefault="00C1476C" w:rsidP="001829BE">
            <w:pPr>
              <w:jc w:val="right"/>
              <w:rPr>
                <w:rFonts w:ascii="CAIXA Std Book" w:eastAsia="Times New Roman" w:hAnsi="CAIXA Std Book" w:cs="Arial"/>
                <w:b/>
                <w:color w:val="005CA9"/>
                <w:sz w:val="16"/>
                <w:szCs w:val="16"/>
              </w:rPr>
            </w:pPr>
            <w:r>
              <w:rPr>
                <w:rFonts w:ascii="CAIXA Std Book" w:hAnsi="CAIXA Std Book" w:cs="Calibri"/>
                <w:b/>
                <w:color w:val="005CA9"/>
                <w:sz w:val="16"/>
                <w:szCs w:val="16"/>
              </w:rPr>
              <w:t>1.352.532</w:t>
            </w:r>
          </w:p>
        </w:tc>
        <w:tc>
          <w:tcPr>
            <w:tcW w:w="454" w:type="pct"/>
            <w:tcBorders>
              <w:top w:val="nil"/>
              <w:left w:val="nil"/>
              <w:bottom w:val="nil"/>
              <w:right w:val="nil"/>
            </w:tcBorders>
            <w:shd w:val="clear" w:color="auto" w:fill="D0E0E3"/>
            <w:noWrap/>
            <w:vAlign w:val="center"/>
          </w:tcPr>
          <w:p w14:paraId="0737A5A3" w14:textId="42AC0439" w:rsidR="001829BE" w:rsidRPr="00686AF4" w:rsidRDefault="007B54FD" w:rsidP="007B54FD">
            <w:pPr>
              <w:jc w:val="right"/>
              <w:rPr>
                <w:rFonts w:ascii="CAIXA Std Book" w:eastAsia="Times New Roman" w:hAnsi="CAIXA Std Book" w:cs="Arial"/>
                <w:b/>
                <w:color w:val="005CA9"/>
                <w:sz w:val="16"/>
                <w:szCs w:val="16"/>
              </w:rPr>
            </w:pPr>
            <w:r w:rsidRPr="00686AF4">
              <w:rPr>
                <w:rFonts w:ascii="CAIXA Std Book" w:hAnsi="CAIXA Std Book" w:cs="Calibri"/>
                <w:b/>
                <w:color w:val="005CA9"/>
                <w:sz w:val="16"/>
                <w:szCs w:val="16"/>
              </w:rPr>
              <w:t>21.</w:t>
            </w:r>
            <w:r w:rsidR="00CA722A" w:rsidRPr="00686AF4">
              <w:rPr>
                <w:rFonts w:ascii="CAIXA Std Book" w:hAnsi="CAIXA Std Book" w:cs="Calibri"/>
                <w:b/>
                <w:color w:val="005CA9"/>
                <w:sz w:val="16"/>
                <w:szCs w:val="16"/>
              </w:rPr>
              <w:t>290</w:t>
            </w:r>
          </w:p>
        </w:tc>
        <w:tc>
          <w:tcPr>
            <w:tcW w:w="454" w:type="pct"/>
            <w:tcBorders>
              <w:top w:val="nil"/>
              <w:left w:val="nil"/>
              <w:bottom w:val="nil"/>
              <w:right w:val="nil"/>
            </w:tcBorders>
            <w:shd w:val="clear" w:color="auto" w:fill="D0E0E3"/>
            <w:noWrap/>
            <w:vAlign w:val="center"/>
          </w:tcPr>
          <w:p w14:paraId="7CDA15E2" w14:textId="7132B681" w:rsidR="001829BE" w:rsidRPr="00686AF4" w:rsidRDefault="007B54FD" w:rsidP="007B54FD">
            <w:pPr>
              <w:jc w:val="right"/>
              <w:rPr>
                <w:rFonts w:ascii="CAIXA Std Book" w:eastAsia="Times New Roman" w:hAnsi="CAIXA Std Book" w:cs="Arial"/>
                <w:b/>
                <w:color w:val="005CA9"/>
                <w:sz w:val="16"/>
                <w:szCs w:val="16"/>
              </w:rPr>
            </w:pPr>
            <w:r w:rsidRPr="00686AF4">
              <w:rPr>
                <w:rFonts w:ascii="CAIXA Std Book" w:hAnsi="CAIXA Std Book" w:cs="Calibri"/>
                <w:b/>
                <w:color w:val="005CA9"/>
                <w:sz w:val="16"/>
                <w:szCs w:val="16"/>
              </w:rPr>
              <w:t>351.056</w:t>
            </w:r>
          </w:p>
        </w:tc>
        <w:tc>
          <w:tcPr>
            <w:tcW w:w="452" w:type="pct"/>
            <w:tcBorders>
              <w:top w:val="nil"/>
              <w:left w:val="nil"/>
              <w:bottom w:val="nil"/>
              <w:right w:val="nil"/>
            </w:tcBorders>
            <w:shd w:val="clear" w:color="auto" w:fill="D0E0E3"/>
            <w:noWrap/>
            <w:vAlign w:val="center"/>
          </w:tcPr>
          <w:p w14:paraId="55867DBB" w14:textId="5D254A4C" w:rsidR="001829BE" w:rsidRPr="00686AF4" w:rsidRDefault="007B54FD" w:rsidP="007B54FD">
            <w:pPr>
              <w:jc w:val="right"/>
              <w:rPr>
                <w:rFonts w:ascii="CAIXA Std Book" w:eastAsia="Times New Roman" w:hAnsi="CAIXA Std Book" w:cs="Arial"/>
                <w:b/>
                <w:color w:val="005CA9"/>
                <w:sz w:val="16"/>
                <w:szCs w:val="16"/>
              </w:rPr>
            </w:pPr>
            <w:r w:rsidRPr="00686AF4">
              <w:rPr>
                <w:rFonts w:ascii="CAIXA Std Book" w:hAnsi="CAIXA Std Book" w:cs="Calibri"/>
                <w:b/>
                <w:color w:val="005CA9"/>
                <w:sz w:val="16"/>
                <w:szCs w:val="16"/>
              </w:rPr>
              <w:t>372.</w:t>
            </w:r>
            <w:r w:rsidR="00CA722A" w:rsidRPr="00686AF4">
              <w:rPr>
                <w:rFonts w:ascii="CAIXA Std Book" w:hAnsi="CAIXA Std Book" w:cs="Calibri"/>
                <w:b/>
                <w:color w:val="005CA9"/>
                <w:sz w:val="16"/>
                <w:szCs w:val="16"/>
              </w:rPr>
              <w:t>346</w:t>
            </w:r>
          </w:p>
        </w:tc>
      </w:tr>
      <w:tr w:rsidR="000C1815" w:rsidRPr="006F7A41" w14:paraId="60392393" w14:textId="77777777" w:rsidTr="00972051">
        <w:trPr>
          <w:trHeight w:val="283"/>
        </w:trPr>
        <w:tc>
          <w:tcPr>
            <w:tcW w:w="2278" w:type="pct"/>
            <w:tcBorders>
              <w:top w:val="nil"/>
              <w:left w:val="nil"/>
              <w:bottom w:val="nil"/>
              <w:right w:val="nil"/>
            </w:tcBorders>
            <w:vAlign w:val="center"/>
            <w:hideMark/>
          </w:tcPr>
          <w:p w14:paraId="3DDC2727" w14:textId="6D4E46BD" w:rsidR="00CD4BEA" w:rsidRPr="00160360" w:rsidRDefault="00CD4BEA" w:rsidP="00CD4BEA">
            <w:pPr>
              <w:ind w:firstLineChars="100" w:firstLine="160"/>
              <w:rPr>
                <w:rFonts w:ascii="CAIXA Std Book" w:eastAsia="Times New Roman" w:hAnsi="CAIXA Std Book" w:cs="Arial"/>
                <w:color w:val="005CA9"/>
                <w:sz w:val="16"/>
                <w:szCs w:val="16"/>
              </w:rPr>
            </w:pPr>
            <w:r w:rsidRPr="00160360">
              <w:rPr>
                <w:rFonts w:ascii="CAIXA Std Book" w:eastAsia="Times New Roman" w:hAnsi="CAIXA Std Book" w:cs="Arial"/>
                <w:color w:val="005CA9"/>
                <w:sz w:val="16"/>
                <w:szCs w:val="16"/>
              </w:rPr>
              <w:t>Instrumentos financeiros derivativos</w:t>
            </w:r>
          </w:p>
        </w:tc>
        <w:tc>
          <w:tcPr>
            <w:tcW w:w="454" w:type="pct"/>
            <w:tcBorders>
              <w:top w:val="nil"/>
              <w:left w:val="nil"/>
              <w:bottom w:val="nil"/>
              <w:right w:val="nil"/>
            </w:tcBorders>
            <w:noWrap/>
            <w:vAlign w:val="center"/>
          </w:tcPr>
          <w:p w14:paraId="41D6E7A6" w14:textId="703BBE66" w:rsidR="00CD4BEA" w:rsidRPr="00686AF4" w:rsidRDefault="00C1476C" w:rsidP="00CD4BEA">
            <w:pPr>
              <w:jc w:val="right"/>
              <w:rPr>
                <w:rFonts w:ascii="CAIXA Std Book" w:hAnsi="CAIXA Std Book" w:cs="Arial"/>
                <w:color w:val="005CA9"/>
                <w:sz w:val="16"/>
                <w:szCs w:val="16"/>
              </w:rPr>
            </w:pPr>
            <w:r>
              <w:rPr>
                <w:rFonts w:ascii="CAIXA Std Book" w:hAnsi="CAIXA Std Book" w:cs="Calibri"/>
                <w:color w:val="005CA9"/>
                <w:sz w:val="16"/>
                <w:szCs w:val="16"/>
              </w:rPr>
              <w:t>654.079</w:t>
            </w:r>
          </w:p>
        </w:tc>
        <w:tc>
          <w:tcPr>
            <w:tcW w:w="454" w:type="pct"/>
            <w:tcBorders>
              <w:top w:val="nil"/>
              <w:left w:val="nil"/>
              <w:bottom w:val="nil"/>
              <w:right w:val="nil"/>
            </w:tcBorders>
            <w:noWrap/>
            <w:vAlign w:val="center"/>
          </w:tcPr>
          <w:p w14:paraId="6C819508" w14:textId="2008CF44" w:rsidR="00CD4BEA" w:rsidRPr="00686AF4" w:rsidRDefault="00C1476C" w:rsidP="00CD4BEA">
            <w:pPr>
              <w:jc w:val="right"/>
              <w:rPr>
                <w:rFonts w:ascii="CAIXA Std Book" w:hAnsi="CAIXA Std Book" w:cs="Arial"/>
                <w:color w:val="005CA9"/>
                <w:sz w:val="16"/>
                <w:szCs w:val="16"/>
              </w:rPr>
            </w:pPr>
            <w:r>
              <w:rPr>
                <w:rFonts w:ascii="CAIXA Std Book" w:hAnsi="CAIXA Std Book" w:cs="Calibri"/>
                <w:color w:val="005CA9"/>
                <w:sz w:val="16"/>
                <w:szCs w:val="16"/>
              </w:rPr>
              <w:t>698.453</w:t>
            </w:r>
          </w:p>
        </w:tc>
        <w:tc>
          <w:tcPr>
            <w:tcW w:w="454" w:type="pct"/>
            <w:tcBorders>
              <w:top w:val="nil"/>
              <w:left w:val="nil"/>
              <w:bottom w:val="nil"/>
              <w:right w:val="nil"/>
            </w:tcBorders>
            <w:noWrap/>
            <w:vAlign w:val="center"/>
          </w:tcPr>
          <w:p w14:paraId="423F49EB" w14:textId="7205655A" w:rsidR="00CD4BEA" w:rsidRPr="00686AF4" w:rsidRDefault="00C1476C" w:rsidP="00CD4BEA">
            <w:pPr>
              <w:jc w:val="right"/>
              <w:rPr>
                <w:rFonts w:ascii="CAIXA Std Book" w:hAnsi="CAIXA Std Book" w:cs="Arial"/>
                <w:color w:val="005CA9"/>
                <w:sz w:val="16"/>
                <w:szCs w:val="16"/>
              </w:rPr>
            </w:pPr>
            <w:r>
              <w:rPr>
                <w:rFonts w:ascii="CAIXA Std Book" w:hAnsi="CAIXA Std Book" w:cs="Calibri"/>
                <w:color w:val="005CA9"/>
                <w:sz w:val="16"/>
                <w:szCs w:val="16"/>
              </w:rPr>
              <w:t>1.352.532</w:t>
            </w:r>
          </w:p>
        </w:tc>
        <w:tc>
          <w:tcPr>
            <w:tcW w:w="454" w:type="pct"/>
            <w:tcBorders>
              <w:top w:val="nil"/>
              <w:left w:val="nil"/>
              <w:bottom w:val="nil"/>
              <w:right w:val="nil"/>
            </w:tcBorders>
            <w:noWrap/>
            <w:vAlign w:val="center"/>
          </w:tcPr>
          <w:p w14:paraId="11039983" w14:textId="3F00C282" w:rsidR="00CD4BEA" w:rsidRPr="00686AF4" w:rsidRDefault="00790CA6" w:rsidP="00790CA6">
            <w:pPr>
              <w:jc w:val="right"/>
              <w:rPr>
                <w:rFonts w:ascii="CAIXA Std Book" w:hAnsi="CAIXA Std Book" w:cs="Arial"/>
                <w:color w:val="005CA9"/>
                <w:sz w:val="16"/>
                <w:szCs w:val="16"/>
              </w:rPr>
            </w:pPr>
            <w:r w:rsidRPr="00686AF4">
              <w:rPr>
                <w:rFonts w:ascii="CAIXA Std Book" w:hAnsi="CAIXA Std Book" w:cs="Calibri"/>
                <w:color w:val="005CA9"/>
                <w:sz w:val="16"/>
                <w:szCs w:val="16"/>
              </w:rPr>
              <w:t>21.</w:t>
            </w:r>
            <w:r w:rsidR="00CA722A" w:rsidRPr="00686AF4">
              <w:rPr>
                <w:rFonts w:ascii="CAIXA Std Book" w:hAnsi="CAIXA Std Book" w:cs="Calibri"/>
                <w:color w:val="005CA9"/>
                <w:sz w:val="16"/>
                <w:szCs w:val="16"/>
              </w:rPr>
              <w:t>290</w:t>
            </w:r>
          </w:p>
        </w:tc>
        <w:tc>
          <w:tcPr>
            <w:tcW w:w="454" w:type="pct"/>
            <w:tcBorders>
              <w:top w:val="nil"/>
              <w:left w:val="nil"/>
              <w:bottom w:val="nil"/>
              <w:right w:val="nil"/>
            </w:tcBorders>
            <w:noWrap/>
            <w:vAlign w:val="center"/>
          </w:tcPr>
          <w:p w14:paraId="5224E199" w14:textId="042254AD" w:rsidR="00CD4BEA" w:rsidRPr="00686AF4" w:rsidRDefault="00790CA6" w:rsidP="00790CA6">
            <w:pPr>
              <w:jc w:val="right"/>
              <w:rPr>
                <w:rFonts w:ascii="CAIXA Std Book" w:hAnsi="CAIXA Std Book" w:cs="Arial"/>
                <w:color w:val="005CA9"/>
                <w:sz w:val="16"/>
                <w:szCs w:val="16"/>
              </w:rPr>
            </w:pPr>
            <w:r w:rsidRPr="00686AF4">
              <w:rPr>
                <w:rFonts w:ascii="CAIXA Std Book" w:hAnsi="CAIXA Std Book" w:cs="Calibri"/>
                <w:color w:val="005CA9"/>
                <w:sz w:val="16"/>
                <w:szCs w:val="16"/>
              </w:rPr>
              <w:t>351.056</w:t>
            </w:r>
          </w:p>
        </w:tc>
        <w:tc>
          <w:tcPr>
            <w:tcW w:w="452" w:type="pct"/>
            <w:tcBorders>
              <w:top w:val="nil"/>
              <w:left w:val="nil"/>
              <w:bottom w:val="nil"/>
              <w:right w:val="nil"/>
            </w:tcBorders>
            <w:noWrap/>
            <w:vAlign w:val="center"/>
          </w:tcPr>
          <w:p w14:paraId="6BEF8E76" w14:textId="7560C6C3" w:rsidR="00CD4BEA" w:rsidRPr="00686AF4" w:rsidRDefault="00790CA6" w:rsidP="00790CA6">
            <w:pPr>
              <w:jc w:val="right"/>
              <w:rPr>
                <w:rFonts w:ascii="CAIXA Std Book" w:hAnsi="CAIXA Std Book" w:cs="Arial"/>
                <w:color w:val="005CA9"/>
                <w:sz w:val="16"/>
                <w:szCs w:val="16"/>
              </w:rPr>
            </w:pPr>
            <w:r w:rsidRPr="00686AF4">
              <w:rPr>
                <w:rFonts w:ascii="CAIXA Std Book" w:hAnsi="CAIXA Std Book" w:cs="Calibri"/>
                <w:color w:val="005CA9"/>
                <w:sz w:val="16"/>
                <w:szCs w:val="16"/>
              </w:rPr>
              <w:t>372.</w:t>
            </w:r>
            <w:r w:rsidR="00CA722A" w:rsidRPr="00686AF4">
              <w:rPr>
                <w:rFonts w:ascii="CAIXA Std Book" w:hAnsi="CAIXA Std Book" w:cs="Calibri"/>
                <w:color w:val="005CA9"/>
                <w:sz w:val="16"/>
                <w:szCs w:val="16"/>
              </w:rPr>
              <w:t>346</w:t>
            </w:r>
          </w:p>
        </w:tc>
      </w:tr>
      <w:tr w:rsidR="000C1815" w:rsidRPr="006F7A41" w14:paraId="6811C457" w14:textId="77777777" w:rsidTr="00972051">
        <w:trPr>
          <w:trHeight w:val="283"/>
        </w:trPr>
        <w:tc>
          <w:tcPr>
            <w:tcW w:w="2278" w:type="pct"/>
            <w:tcBorders>
              <w:top w:val="nil"/>
              <w:left w:val="nil"/>
              <w:bottom w:val="nil"/>
              <w:right w:val="nil"/>
            </w:tcBorders>
            <w:shd w:val="clear" w:color="auto" w:fill="D0E0E3"/>
            <w:noWrap/>
            <w:vAlign w:val="center"/>
            <w:hideMark/>
          </w:tcPr>
          <w:p w14:paraId="0B16AF06" w14:textId="77777777" w:rsidR="00A860C2" w:rsidRPr="00160360" w:rsidRDefault="00A860C2" w:rsidP="00A860C2">
            <w:pPr>
              <w:rPr>
                <w:rFonts w:ascii="CAIXA Std Book" w:eastAsia="Times New Roman" w:hAnsi="CAIXA Std Book" w:cs="Arial"/>
                <w:b/>
                <w:color w:val="005CA9"/>
                <w:sz w:val="16"/>
                <w:szCs w:val="16"/>
              </w:rPr>
            </w:pPr>
            <w:r w:rsidRPr="00160360">
              <w:rPr>
                <w:rFonts w:ascii="CAIXA Std Book" w:eastAsia="Times New Roman" w:hAnsi="CAIXA Std Book" w:cs="Arial"/>
                <w:b/>
                <w:color w:val="005CA9"/>
                <w:sz w:val="16"/>
                <w:szCs w:val="16"/>
              </w:rPr>
              <w:t>Passivos financeiros ao custo amortizado</w:t>
            </w:r>
          </w:p>
        </w:tc>
        <w:tc>
          <w:tcPr>
            <w:tcW w:w="454" w:type="pct"/>
            <w:tcBorders>
              <w:top w:val="nil"/>
              <w:left w:val="nil"/>
              <w:bottom w:val="nil"/>
              <w:right w:val="nil"/>
            </w:tcBorders>
            <w:shd w:val="clear" w:color="auto" w:fill="D0E0E3"/>
            <w:noWrap/>
            <w:vAlign w:val="center"/>
          </w:tcPr>
          <w:p w14:paraId="00452CE2" w14:textId="135DBED0" w:rsidR="00A860C2" w:rsidRPr="00686AF4" w:rsidRDefault="00E431F9" w:rsidP="00A860C2">
            <w:pPr>
              <w:jc w:val="right"/>
              <w:rPr>
                <w:rFonts w:ascii="CAIXA Std Book" w:hAnsi="CAIXA Std Book" w:cs="Arial"/>
                <w:b/>
                <w:color w:val="005CA9"/>
                <w:sz w:val="16"/>
                <w:szCs w:val="16"/>
              </w:rPr>
            </w:pPr>
            <w:r>
              <w:rPr>
                <w:rFonts w:ascii="CAIXA Std Book" w:hAnsi="CAIXA Std Book" w:cs="Calibri"/>
                <w:b/>
                <w:color w:val="005CA9"/>
                <w:sz w:val="16"/>
                <w:szCs w:val="16"/>
              </w:rPr>
              <w:t>1.125.076.</w:t>
            </w:r>
            <w:r w:rsidR="00972051">
              <w:rPr>
                <w:rFonts w:ascii="CAIXA Std Book" w:hAnsi="CAIXA Std Book" w:cs="Calibri"/>
                <w:b/>
                <w:bCs/>
                <w:color w:val="005CA9"/>
                <w:sz w:val="16"/>
                <w:szCs w:val="16"/>
              </w:rPr>
              <w:t>787</w:t>
            </w:r>
          </w:p>
        </w:tc>
        <w:tc>
          <w:tcPr>
            <w:tcW w:w="454" w:type="pct"/>
            <w:tcBorders>
              <w:top w:val="nil"/>
              <w:left w:val="nil"/>
              <w:bottom w:val="nil"/>
              <w:right w:val="nil"/>
            </w:tcBorders>
            <w:shd w:val="clear" w:color="auto" w:fill="D0E0E3"/>
            <w:noWrap/>
            <w:vAlign w:val="center"/>
          </w:tcPr>
          <w:p w14:paraId="78D79A50" w14:textId="291820E2" w:rsidR="00A860C2" w:rsidRPr="00686AF4" w:rsidRDefault="00E431F9" w:rsidP="00A860C2">
            <w:pPr>
              <w:jc w:val="right"/>
              <w:rPr>
                <w:rFonts w:ascii="CAIXA Std Book" w:hAnsi="CAIXA Std Book" w:cs="Arial"/>
                <w:b/>
                <w:color w:val="005CA9"/>
                <w:sz w:val="16"/>
                <w:szCs w:val="16"/>
              </w:rPr>
            </w:pPr>
            <w:r>
              <w:rPr>
                <w:rFonts w:ascii="CAIXA Std Book" w:hAnsi="CAIXA Std Book" w:cs="Calibri"/>
                <w:b/>
                <w:color w:val="005CA9"/>
                <w:sz w:val="16"/>
                <w:szCs w:val="16"/>
              </w:rPr>
              <w:t>1.029.316.605</w:t>
            </w:r>
          </w:p>
        </w:tc>
        <w:tc>
          <w:tcPr>
            <w:tcW w:w="454" w:type="pct"/>
            <w:tcBorders>
              <w:top w:val="nil"/>
              <w:left w:val="nil"/>
              <w:bottom w:val="nil"/>
              <w:right w:val="nil"/>
            </w:tcBorders>
            <w:shd w:val="clear" w:color="auto" w:fill="D0E0E3"/>
            <w:noWrap/>
            <w:vAlign w:val="center"/>
          </w:tcPr>
          <w:p w14:paraId="0247E275" w14:textId="5CC7F706" w:rsidR="00A860C2" w:rsidRPr="00686AF4" w:rsidRDefault="00E431F9" w:rsidP="00A860C2">
            <w:pPr>
              <w:jc w:val="right"/>
              <w:rPr>
                <w:rFonts w:ascii="CAIXA Std Book" w:hAnsi="CAIXA Std Book" w:cs="Arial"/>
                <w:b/>
                <w:color w:val="005CA9"/>
                <w:sz w:val="16"/>
                <w:szCs w:val="16"/>
              </w:rPr>
            </w:pPr>
            <w:r>
              <w:rPr>
                <w:rFonts w:ascii="CAIXA Std Book" w:hAnsi="CAIXA Std Book" w:cs="Calibri"/>
                <w:b/>
                <w:color w:val="005CA9"/>
                <w:sz w:val="16"/>
                <w:szCs w:val="16"/>
              </w:rPr>
              <w:t>2.154.393.</w:t>
            </w:r>
            <w:r w:rsidR="00972051">
              <w:rPr>
                <w:rFonts w:ascii="CAIXA Std Book" w:hAnsi="CAIXA Std Book" w:cs="Calibri"/>
                <w:b/>
                <w:bCs/>
                <w:color w:val="005CA9"/>
                <w:sz w:val="16"/>
                <w:szCs w:val="16"/>
              </w:rPr>
              <w:t>392</w:t>
            </w:r>
          </w:p>
        </w:tc>
        <w:tc>
          <w:tcPr>
            <w:tcW w:w="454" w:type="pct"/>
            <w:tcBorders>
              <w:top w:val="nil"/>
              <w:left w:val="nil"/>
              <w:bottom w:val="nil"/>
              <w:right w:val="nil"/>
            </w:tcBorders>
            <w:shd w:val="clear" w:color="auto" w:fill="D0E0E3"/>
            <w:noWrap/>
            <w:vAlign w:val="center"/>
          </w:tcPr>
          <w:p w14:paraId="1AC759E1" w14:textId="407D373C" w:rsidR="00A860C2" w:rsidRPr="00686AF4" w:rsidRDefault="00CA722A" w:rsidP="00A860C2">
            <w:pPr>
              <w:jc w:val="right"/>
              <w:rPr>
                <w:rFonts w:ascii="CAIXA Std Book" w:hAnsi="CAIXA Std Book" w:cs="Arial"/>
                <w:b/>
                <w:color w:val="005CA9"/>
                <w:sz w:val="16"/>
                <w:szCs w:val="16"/>
              </w:rPr>
            </w:pPr>
            <w:r w:rsidRPr="00686AF4">
              <w:rPr>
                <w:rFonts w:ascii="CAIXA Std Book" w:hAnsi="CAIXA Std Book" w:cs="Calibri"/>
                <w:b/>
                <w:color w:val="005CA9"/>
                <w:sz w:val="16"/>
                <w:szCs w:val="16"/>
              </w:rPr>
              <w:t>1.025.344.056</w:t>
            </w:r>
          </w:p>
        </w:tc>
        <w:tc>
          <w:tcPr>
            <w:tcW w:w="454" w:type="pct"/>
            <w:tcBorders>
              <w:top w:val="nil"/>
              <w:left w:val="nil"/>
              <w:bottom w:val="nil"/>
              <w:right w:val="nil"/>
            </w:tcBorders>
            <w:shd w:val="clear" w:color="auto" w:fill="D0E0E3"/>
            <w:noWrap/>
            <w:vAlign w:val="center"/>
          </w:tcPr>
          <w:p w14:paraId="6CCFC921" w14:textId="4B515B40" w:rsidR="00A860C2" w:rsidRPr="00686AF4" w:rsidRDefault="00CA722A" w:rsidP="00A860C2">
            <w:pPr>
              <w:jc w:val="right"/>
              <w:rPr>
                <w:rFonts w:ascii="CAIXA Std Book" w:hAnsi="CAIXA Std Book" w:cs="Arial"/>
                <w:b/>
                <w:color w:val="005CA9"/>
                <w:sz w:val="16"/>
                <w:szCs w:val="16"/>
              </w:rPr>
            </w:pPr>
            <w:r w:rsidRPr="00686AF4">
              <w:rPr>
                <w:rFonts w:ascii="CAIXA Std Book" w:hAnsi="CAIXA Std Book" w:cs="Calibri"/>
                <w:b/>
                <w:color w:val="005CA9"/>
                <w:sz w:val="16"/>
                <w:szCs w:val="16"/>
              </w:rPr>
              <w:t>995.660.195</w:t>
            </w:r>
          </w:p>
        </w:tc>
        <w:tc>
          <w:tcPr>
            <w:tcW w:w="452" w:type="pct"/>
            <w:tcBorders>
              <w:top w:val="nil"/>
              <w:left w:val="nil"/>
              <w:bottom w:val="nil"/>
              <w:right w:val="nil"/>
            </w:tcBorders>
            <w:shd w:val="clear" w:color="auto" w:fill="D0E0E3"/>
            <w:noWrap/>
            <w:vAlign w:val="center"/>
          </w:tcPr>
          <w:p w14:paraId="7A63F743" w14:textId="607133FD" w:rsidR="00A860C2" w:rsidRPr="00686AF4" w:rsidRDefault="00CA722A" w:rsidP="00A860C2">
            <w:pPr>
              <w:jc w:val="right"/>
              <w:rPr>
                <w:rFonts w:ascii="CAIXA Std Book" w:hAnsi="CAIXA Std Book" w:cs="Arial"/>
                <w:b/>
                <w:color w:val="005CA9"/>
                <w:sz w:val="16"/>
                <w:szCs w:val="16"/>
              </w:rPr>
            </w:pPr>
            <w:r w:rsidRPr="00686AF4">
              <w:rPr>
                <w:rFonts w:ascii="CAIXA Std Book" w:hAnsi="CAIXA Std Book" w:cs="Calibri"/>
                <w:b/>
                <w:color w:val="005CA9"/>
                <w:sz w:val="16"/>
                <w:szCs w:val="16"/>
              </w:rPr>
              <w:t>2.021.004.251</w:t>
            </w:r>
          </w:p>
        </w:tc>
      </w:tr>
      <w:tr w:rsidR="000C1815" w:rsidRPr="006F7A41" w14:paraId="27799900" w14:textId="77777777" w:rsidTr="00972051">
        <w:trPr>
          <w:trHeight w:val="283"/>
        </w:trPr>
        <w:tc>
          <w:tcPr>
            <w:tcW w:w="2278" w:type="pct"/>
            <w:tcBorders>
              <w:top w:val="nil"/>
              <w:left w:val="nil"/>
              <w:bottom w:val="nil"/>
              <w:right w:val="nil"/>
            </w:tcBorders>
            <w:noWrap/>
            <w:vAlign w:val="center"/>
            <w:hideMark/>
          </w:tcPr>
          <w:p w14:paraId="0CA63951" w14:textId="77777777" w:rsidR="00E62DC7" w:rsidRPr="00160360" w:rsidRDefault="00E62DC7" w:rsidP="00E62DC7">
            <w:pPr>
              <w:ind w:firstLineChars="100" w:firstLine="160"/>
              <w:rPr>
                <w:rFonts w:ascii="CAIXA Std Book" w:eastAsia="Times New Roman" w:hAnsi="CAIXA Std Book" w:cs="Arial"/>
                <w:color w:val="005CA9"/>
                <w:sz w:val="16"/>
                <w:szCs w:val="16"/>
              </w:rPr>
            </w:pPr>
            <w:r w:rsidRPr="00160360">
              <w:rPr>
                <w:rFonts w:ascii="CAIXA Std Book" w:eastAsia="Times New Roman" w:hAnsi="CAIXA Std Book" w:cs="Arial"/>
                <w:color w:val="005CA9"/>
                <w:sz w:val="16"/>
                <w:szCs w:val="16"/>
              </w:rPr>
              <w:t>Recursos de clientes</w:t>
            </w:r>
          </w:p>
        </w:tc>
        <w:tc>
          <w:tcPr>
            <w:tcW w:w="454" w:type="pct"/>
            <w:tcBorders>
              <w:top w:val="nil"/>
              <w:left w:val="nil"/>
              <w:bottom w:val="nil"/>
              <w:right w:val="nil"/>
            </w:tcBorders>
            <w:noWrap/>
            <w:vAlign w:val="center"/>
          </w:tcPr>
          <w:p w14:paraId="5FF187A1" w14:textId="61EB8D31" w:rsidR="00E62DC7" w:rsidRPr="00966D37" w:rsidRDefault="00966D37" w:rsidP="00E62DC7">
            <w:pPr>
              <w:jc w:val="right"/>
              <w:rPr>
                <w:rFonts w:ascii="CAIXA Std Book" w:hAnsi="CAIXA Std Book" w:cs="Arial"/>
                <w:color w:val="005CA9"/>
                <w:sz w:val="16"/>
                <w:szCs w:val="16"/>
              </w:rPr>
            </w:pPr>
            <w:r>
              <w:rPr>
                <w:rFonts w:ascii="CAIXA Std Book" w:hAnsi="CAIXA Std Book" w:cs="Calibri"/>
                <w:color w:val="005CA9"/>
                <w:sz w:val="16"/>
                <w:szCs w:val="16"/>
              </w:rPr>
              <w:t>703.743.</w:t>
            </w:r>
            <w:r w:rsidR="00972051">
              <w:rPr>
                <w:rFonts w:ascii="CAIXA Std Book" w:hAnsi="CAIXA Std Book" w:cs="Calibri"/>
                <w:color w:val="005CA9"/>
                <w:sz w:val="16"/>
                <w:szCs w:val="16"/>
              </w:rPr>
              <w:t>352</w:t>
            </w:r>
          </w:p>
        </w:tc>
        <w:tc>
          <w:tcPr>
            <w:tcW w:w="454" w:type="pct"/>
            <w:tcBorders>
              <w:top w:val="nil"/>
              <w:left w:val="nil"/>
              <w:bottom w:val="nil"/>
              <w:right w:val="nil"/>
            </w:tcBorders>
            <w:noWrap/>
            <w:vAlign w:val="center"/>
          </w:tcPr>
          <w:p w14:paraId="4FED15F6" w14:textId="6E3BD6B2" w:rsidR="00E62DC7" w:rsidRPr="00856012" w:rsidRDefault="00856012" w:rsidP="00E62DC7">
            <w:pPr>
              <w:jc w:val="right"/>
              <w:rPr>
                <w:rFonts w:ascii="CAIXA Std Book" w:hAnsi="CAIXA Std Book" w:cs="Arial"/>
                <w:color w:val="005CA9"/>
                <w:sz w:val="16"/>
                <w:szCs w:val="16"/>
              </w:rPr>
            </w:pPr>
            <w:r>
              <w:rPr>
                <w:rFonts w:ascii="CAIXA Std Book" w:hAnsi="CAIXA Std Book" w:cs="Calibri"/>
                <w:color w:val="005CA9"/>
                <w:sz w:val="16"/>
                <w:szCs w:val="16"/>
              </w:rPr>
              <w:t>151.321.647</w:t>
            </w:r>
          </w:p>
        </w:tc>
        <w:tc>
          <w:tcPr>
            <w:tcW w:w="454" w:type="pct"/>
            <w:tcBorders>
              <w:top w:val="nil"/>
              <w:left w:val="nil"/>
              <w:bottom w:val="nil"/>
              <w:right w:val="nil"/>
            </w:tcBorders>
            <w:noWrap/>
            <w:vAlign w:val="center"/>
          </w:tcPr>
          <w:p w14:paraId="55705C7A" w14:textId="3BB78AD5" w:rsidR="00E62DC7" w:rsidRPr="00856012" w:rsidRDefault="00856012" w:rsidP="00E62DC7">
            <w:pPr>
              <w:jc w:val="right"/>
              <w:rPr>
                <w:rFonts w:ascii="CAIXA Std Book" w:hAnsi="CAIXA Std Book" w:cs="Arial"/>
                <w:color w:val="005CA9"/>
                <w:sz w:val="16"/>
                <w:szCs w:val="16"/>
              </w:rPr>
            </w:pPr>
            <w:r>
              <w:rPr>
                <w:rFonts w:ascii="CAIXA Std Book" w:hAnsi="CAIXA Std Book" w:cs="Calibri"/>
                <w:color w:val="005CA9"/>
                <w:sz w:val="16"/>
                <w:szCs w:val="16"/>
              </w:rPr>
              <w:t>855.064.</w:t>
            </w:r>
            <w:r w:rsidR="00972051">
              <w:rPr>
                <w:rFonts w:ascii="CAIXA Std Book" w:hAnsi="CAIXA Std Book" w:cs="Calibri"/>
                <w:color w:val="005CA9"/>
                <w:sz w:val="16"/>
                <w:szCs w:val="16"/>
              </w:rPr>
              <w:t>999</w:t>
            </w:r>
          </w:p>
        </w:tc>
        <w:tc>
          <w:tcPr>
            <w:tcW w:w="454" w:type="pct"/>
            <w:tcBorders>
              <w:top w:val="nil"/>
              <w:left w:val="nil"/>
              <w:bottom w:val="nil"/>
              <w:right w:val="nil"/>
            </w:tcBorders>
            <w:noWrap/>
            <w:vAlign w:val="center"/>
          </w:tcPr>
          <w:p w14:paraId="5298938E" w14:textId="79F2FCBF" w:rsidR="00E62DC7" w:rsidRPr="00686AF4" w:rsidRDefault="00553888" w:rsidP="00E62DC7">
            <w:pPr>
              <w:jc w:val="right"/>
              <w:rPr>
                <w:rFonts w:ascii="CAIXA Std Book" w:hAnsi="CAIXA Std Book" w:cs="Arial"/>
                <w:color w:val="005CA9"/>
                <w:sz w:val="16"/>
                <w:szCs w:val="16"/>
              </w:rPr>
            </w:pPr>
            <w:r w:rsidRPr="00686AF4">
              <w:rPr>
                <w:rFonts w:ascii="CAIXA Std Book" w:hAnsi="CAIXA Std Book" w:cs="Calibri"/>
                <w:color w:val="005CA9"/>
                <w:sz w:val="16"/>
                <w:szCs w:val="16"/>
              </w:rPr>
              <w:t>675.</w:t>
            </w:r>
            <w:r w:rsidR="00CA722A" w:rsidRPr="00686AF4">
              <w:rPr>
                <w:rFonts w:ascii="CAIXA Std Book" w:hAnsi="CAIXA Std Book" w:cs="Calibri"/>
                <w:color w:val="005CA9"/>
                <w:sz w:val="16"/>
                <w:szCs w:val="16"/>
              </w:rPr>
              <w:t>949.123</w:t>
            </w:r>
          </w:p>
        </w:tc>
        <w:tc>
          <w:tcPr>
            <w:tcW w:w="454" w:type="pct"/>
            <w:tcBorders>
              <w:top w:val="nil"/>
              <w:left w:val="nil"/>
              <w:bottom w:val="nil"/>
              <w:right w:val="nil"/>
            </w:tcBorders>
            <w:noWrap/>
            <w:vAlign w:val="center"/>
          </w:tcPr>
          <w:p w14:paraId="42618341" w14:textId="4B7CD689" w:rsidR="00E62DC7" w:rsidRPr="00686AF4" w:rsidRDefault="00121BCE" w:rsidP="00E62DC7">
            <w:pPr>
              <w:jc w:val="right"/>
              <w:rPr>
                <w:rFonts w:ascii="CAIXA Std Book" w:hAnsi="CAIXA Std Book" w:cs="Arial"/>
                <w:color w:val="005CA9"/>
                <w:sz w:val="16"/>
                <w:szCs w:val="16"/>
              </w:rPr>
            </w:pPr>
            <w:r w:rsidRPr="00686AF4">
              <w:rPr>
                <w:rFonts w:ascii="CAIXA Std Book" w:hAnsi="CAIXA Std Book" w:cs="Calibri"/>
                <w:color w:val="005CA9"/>
                <w:sz w:val="16"/>
                <w:szCs w:val="16"/>
              </w:rPr>
              <w:t>145.978.090</w:t>
            </w:r>
          </w:p>
        </w:tc>
        <w:tc>
          <w:tcPr>
            <w:tcW w:w="452" w:type="pct"/>
            <w:tcBorders>
              <w:top w:val="nil"/>
              <w:left w:val="nil"/>
              <w:bottom w:val="nil"/>
              <w:right w:val="nil"/>
            </w:tcBorders>
            <w:noWrap/>
            <w:vAlign w:val="center"/>
          </w:tcPr>
          <w:p w14:paraId="31F53832" w14:textId="037E776B" w:rsidR="00E62DC7" w:rsidRPr="00686AF4" w:rsidRDefault="00112938" w:rsidP="00E62DC7">
            <w:pPr>
              <w:jc w:val="right"/>
              <w:rPr>
                <w:rFonts w:ascii="CAIXA Std Book" w:hAnsi="CAIXA Std Book" w:cs="Arial"/>
                <w:color w:val="005CA9"/>
                <w:sz w:val="16"/>
                <w:szCs w:val="16"/>
              </w:rPr>
            </w:pPr>
            <w:r w:rsidRPr="00686AF4">
              <w:rPr>
                <w:rFonts w:ascii="CAIXA Std Book" w:hAnsi="CAIXA Std Book" w:cs="Calibri"/>
                <w:color w:val="005CA9"/>
                <w:sz w:val="16"/>
                <w:szCs w:val="16"/>
              </w:rPr>
              <w:t>821.</w:t>
            </w:r>
            <w:r w:rsidR="00CA722A" w:rsidRPr="00686AF4">
              <w:rPr>
                <w:rFonts w:ascii="CAIXA Std Book" w:hAnsi="CAIXA Std Book" w:cs="Calibri"/>
                <w:color w:val="005CA9"/>
                <w:sz w:val="16"/>
                <w:szCs w:val="16"/>
              </w:rPr>
              <w:t>927.213</w:t>
            </w:r>
          </w:p>
        </w:tc>
      </w:tr>
      <w:tr w:rsidR="000C1815" w:rsidRPr="006F7A41" w14:paraId="0517A8D4" w14:textId="77777777" w:rsidTr="00972051">
        <w:trPr>
          <w:trHeight w:val="283"/>
        </w:trPr>
        <w:tc>
          <w:tcPr>
            <w:tcW w:w="2278" w:type="pct"/>
            <w:tcBorders>
              <w:top w:val="nil"/>
              <w:left w:val="nil"/>
              <w:bottom w:val="nil"/>
              <w:right w:val="nil"/>
            </w:tcBorders>
            <w:noWrap/>
            <w:vAlign w:val="center"/>
            <w:hideMark/>
          </w:tcPr>
          <w:p w14:paraId="7EEF6FBC" w14:textId="77777777" w:rsidR="004862CA" w:rsidRPr="00160360" w:rsidRDefault="004862CA" w:rsidP="004862CA">
            <w:pPr>
              <w:ind w:firstLineChars="100" w:firstLine="160"/>
              <w:rPr>
                <w:rFonts w:ascii="CAIXA Std Book" w:eastAsia="Times New Roman" w:hAnsi="CAIXA Std Book" w:cs="Arial"/>
                <w:color w:val="005CA9"/>
                <w:sz w:val="16"/>
                <w:szCs w:val="16"/>
              </w:rPr>
            </w:pPr>
            <w:r w:rsidRPr="00160360">
              <w:rPr>
                <w:rFonts w:ascii="CAIXA Std Book" w:eastAsia="Times New Roman" w:hAnsi="CAIXA Std Book" w:cs="Arial"/>
                <w:color w:val="005CA9"/>
                <w:sz w:val="16"/>
                <w:szCs w:val="16"/>
              </w:rPr>
              <w:t>Recursos de instituições financeiras e outras</w:t>
            </w:r>
          </w:p>
        </w:tc>
        <w:tc>
          <w:tcPr>
            <w:tcW w:w="454" w:type="pct"/>
            <w:tcBorders>
              <w:top w:val="nil"/>
              <w:left w:val="nil"/>
              <w:bottom w:val="nil"/>
              <w:right w:val="nil"/>
            </w:tcBorders>
            <w:noWrap/>
            <w:vAlign w:val="center"/>
          </w:tcPr>
          <w:p w14:paraId="429E7E3A" w14:textId="1BE9B668" w:rsidR="004862CA" w:rsidRPr="00375F89" w:rsidRDefault="009A00D3" w:rsidP="004862CA">
            <w:pPr>
              <w:jc w:val="right"/>
              <w:rPr>
                <w:rFonts w:ascii="CAIXA Std Book" w:hAnsi="CAIXA Std Book" w:cs="Calibri"/>
                <w:color w:val="005CA9"/>
                <w:sz w:val="16"/>
                <w:szCs w:val="16"/>
              </w:rPr>
            </w:pPr>
            <w:r>
              <w:rPr>
                <w:rFonts w:ascii="CAIXA Std Book" w:hAnsi="CAIXA Std Book" w:cs="Calibri"/>
                <w:color w:val="005CA9"/>
                <w:sz w:val="16"/>
                <w:szCs w:val="16"/>
              </w:rPr>
              <w:t>267.934.831</w:t>
            </w:r>
          </w:p>
        </w:tc>
        <w:tc>
          <w:tcPr>
            <w:tcW w:w="454" w:type="pct"/>
            <w:tcBorders>
              <w:top w:val="nil"/>
              <w:left w:val="nil"/>
              <w:bottom w:val="nil"/>
              <w:right w:val="nil"/>
            </w:tcBorders>
            <w:noWrap/>
            <w:vAlign w:val="center"/>
          </w:tcPr>
          <w:p w14:paraId="555D4585" w14:textId="67A699EC" w:rsidR="004862CA" w:rsidRPr="00B34EFA" w:rsidRDefault="00B34EFA" w:rsidP="004862CA">
            <w:pPr>
              <w:jc w:val="right"/>
              <w:rPr>
                <w:rFonts w:ascii="CAIXA Std Book" w:hAnsi="CAIXA Std Book"/>
                <w:color w:val="005CA9"/>
                <w:sz w:val="16"/>
                <w:szCs w:val="16"/>
              </w:rPr>
            </w:pPr>
            <w:r>
              <w:rPr>
                <w:rFonts w:ascii="CAIXA Std Book" w:hAnsi="CAIXA Std Book" w:cs="Calibri"/>
                <w:color w:val="005CA9"/>
                <w:sz w:val="16"/>
                <w:szCs w:val="16"/>
              </w:rPr>
              <w:t>612.656.784</w:t>
            </w:r>
          </w:p>
        </w:tc>
        <w:tc>
          <w:tcPr>
            <w:tcW w:w="454" w:type="pct"/>
            <w:tcBorders>
              <w:top w:val="nil"/>
              <w:left w:val="nil"/>
              <w:bottom w:val="nil"/>
              <w:right w:val="nil"/>
            </w:tcBorders>
            <w:noWrap/>
            <w:vAlign w:val="center"/>
          </w:tcPr>
          <w:p w14:paraId="7640DFF9" w14:textId="2DE9DA2D" w:rsidR="004862CA" w:rsidRPr="00375F89" w:rsidRDefault="009E59F2" w:rsidP="004862CA">
            <w:pPr>
              <w:jc w:val="right"/>
              <w:rPr>
                <w:rFonts w:ascii="CAIXA Std Book" w:hAnsi="CAIXA Std Book" w:cs="Calibri"/>
                <w:b/>
                <w:color w:val="FFFFFF"/>
                <w:sz w:val="16"/>
                <w:szCs w:val="16"/>
              </w:rPr>
            </w:pPr>
            <w:r>
              <w:rPr>
                <w:rFonts w:ascii="CAIXA Std Book" w:hAnsi="CAIXA Std Book" w:cs="Calibri"/>
                <w:color w:val="005CA9"/>
                <w:sz w:val="16"/>
                <w:szCs w:val="16"/>
              </w:rPr>
              <w:t>880.591.615</w:t>
            </w:r>
          </w:p>
        </w:tc>
        <w:tc>
          <w:tcPr>
            <w:tcW w:w="454" w:type="pct"/>
            <w:tcBorders>
              <w:top w:val="nil"/>
              <w:left w:val="nil"/>
              <w:bottom w:val="nil"/>
              <w:right w:val="nil"/>
            </w:tcBorders>
            <w:noWrap/>
            <w:vAlign w:val="center"/>
          </w:tcPr>
          <w:p w14:paraId="31DD3970" w14:textId="304AFC64" w:rsidR="004862CA" w:rsidRPr="00686AF4" w:rsidRDefault="00CA722A" w:rsidP="004862CA">
            <w:pPr>
              <w:jc w:val="right"/>
              <w:rPr>
                <w:rFonts w:ascii="CAIXA Std Book" w:hAnsi="CAIXA Std Book" w:cs="Arial"/>
                <w:color w:val="005CA9"/>
                <w:sz w:val="16"/>
                <w:szCs w:val="16"/>
                <w:highlight w:val="yellow"/>
              </w:rPr>
            </w:pPr>
            <w:r w:rsidRPr="00686AF4">
              <w:rPr>
                <w:rFonts w:ascii="CAIXA Std Book" w:hAnsi="CAIXA Std Book" w:cs="Calibri"/>
                <w:color w:val="005CA9"/>
                <w:sz w:val="16"/>
                <w:szCs w:val="16"/>
              </w:rPr>
              <w:t>210.830.651</w:t>
            </w:r>
          </w:p>
        </w:tc>
        <w:tc>
          <w:tcPr>
            <w:tcW w:w="454" w:type="pct"/>
            <w:tcBorders>
              <w:top w:val="nil"/>
              <w:left w:val="nil"/>
              <w:bottom w:val="nil"/>
              <w:right w:val="nil"/>
            </w:tcBorders>
            <w:noWrap/>
            <w:vAlign w:val="center"/>
          </w:tcPr>
          <w:p w14:paraId="0EF13969" w14:textId="5D0309C8" w:rsidR="004862CA" w:rsidRPr="00686AF4" w:rsidRDefault="00CD10C0" w:rsidP="004862CA">
            <w:pPr>
              <w:jc w:val="right"/>
              <w:rPr>
                <w:rFonts w:ascii="CAIXA Std Book" w:hAnsi="CAIXA Std Book" w:cs="Arial"/>
                <w:color w:val="005CA9"/>
                <w:sz w:val="16"/>
                <w:szCs w:val="16"/>
                <w:highlight w:val="yellow"/>
              </w:rPr>
            </w:pPr>
            <w:r w:rsidRPr="00686AF4">
              <w:rPr>
                <w:rFonts w:ascii="CAIXA Std Book" w:hAnsi="CAIXA Std Book" w:cs="Calibri"/>
                <w:color w:val="005CA9"/>
                <w:sz w:val="16"/>
                <w:szCs w:val="16"/>
              </w:rPr>
              <w:t>582.575.281</w:t>
            </w:r>
          </w:p>
        </w:tc>
        <w:tc>
          <w:tcPr>
            <w:tcW w:w="452" w:type="pct"/>
            <w:tcBorders>
              <w:top w:val="nil"/>
              <w:left w:val="nil"/>
              <w:bottom w:val="nil"/>
              <w:right w:val="nil"/>
            </w:tcBorders>
            <w:noWrap/>
            <w:vAlign w:val="center"/>
          </w:tcPr>
          <w:p w14:paraId="57341BB4" w14:textId="508AF8B0" w:rsidR="004862CA" w:rsidRPr="00686AF4" w:rsidRDefault="00CA722A" w:rsidP="004862CA">
            <w:pPr>
              <w:jc w:val="right"/>
              <w:rPr>
                <w:rFonts w:ascii="CAIXA Std Book" w:hAnsi="CAIXA Std Book" w:cs="Arial"/>
                <w:color w:val="005CA9"/>
                <w:sz w:val="16"/>
                <w:szCs w:val="16"/>
              </w:rPr>
            </w:pPr>
            <w:r w:rsidRPr="00686AF4">
              <w:rPr>
                <w:rFonts w:ascii="CAIXA Std Book" w:hAnsi="CAIXA Std Book" w:cs="Calibri"/>
                <w:color w:val="005CA9"/>
                <w:sz w:val="16"/>
                <w:szCs w:val="16"/>
              </w:rPr>
              <w:t>793.405.932</w:t>
            </w:r>
          </w:p>
        </w:tc>
      </w:tr>
      <w:tr w:rsidR="000C1815" w:rsidRPr="006F7A41" w14:paraId="0515B107" w14:textId="77777777" w:rsidTr="00972051">
        <w:trPr>
          <w:trHeight w:val="283"/>
        </w:trPr>
        <w:tc>
          <w:tcPr>
            <w:tcW w:w="2278" w:type="pct"/>
            <w:tcBorders>
              <w:top w:val="nil"/>
              <w:left w:val="nil"/>
              <w:bottom w:val="nil"/>
              <w:right w:val="nil"/>
            </w:tcBorders>
            <w:noWrap/>
            <w:vAlign w:val="center"/>
            <w:hideMark/>
          </w:tcPr>
          <w:p w14:paraId="77B477B9" w14:textId="77777777" w:rsidR="00E62DC7" w:rsidRPr="00160360" w:rsidRDefault="00E62DC7" w:rsidP="00E62DC7">
            <w:pPr>
              <w:ind w:firstLineChars="100" w:firstLine="160"/>
              <w:rPr>
                <w:rFonts w:ascii="CAIXA Std Book" w:eastAsia="Times New Roman" w:hAnsi="CAIXA Std Book" w:cs="Arial"/>
                <w:color w:val="005CA9"/>
                <w:sz w:val="16"/>
                <w:szCs w:val="16"/>
              </w:rPr>
            </w:pPr>
            <w:r w:rsidRPr="00160360">
              <w:rPr>
                <w:rFonts w:ascii="CAIXA Std Book" w:eastAsia="Times New Roman" w:hAnsi="CAIXA Std Book" w:cs="Arial"/>
                <w:color w:val="005CA9"/>
                <w:sz w:val="16"/>
                <w:szCs w:val="16"/>
              </w:rPr>
              <w:t>Recursos de emissões de títulos e valores mobiliários</w:t>
            </w:r>
          </w:p>
        </w:tc>
        <w:tc>
          <w:tcPr>
            <w:tcW w:w="454" w:type="pct"/>
            <w:tcBorders>
              <w:top w:val="nil"/>
              <w:left w:val="nil"/>
              <w:bottom w:val="nil"/>
              <w:right w:val="nil"/>
            </w:tcBorders>
            <w:noWrap/>
            <w:vAlign w:val="center"/>
          </w:tcPr>
          <w:p w14:paraId="6161E293" w14:textId="2A4B8300" w:rsidR="00E62DC7" w:rsidRPr="00686AF4" w:rsidRDefault="00B267B6" w:rsidP="00E62DC7">
            <w:pPr>
              <w:jc w:val="right"/>
              <w:rPr>
                <w:rFonts w:ascii="CAIXA Std Book" w:hAnsi="CAIXA Std Book" w:cs="Arial"/>
                <w:color w:val="005CA9"/>
                <w:sz w:val="16"/>
                <w:szCs w:val="16"/>
              </w:rPr>
            </w:pPr>
            <w:r>
              <w:rPr>
                <w:rFonts w:ascii="CAIXA Std Book" w:hAnsi="CAIXA Std Book" w:cs="Calibri"/>
                <w:color w:val="005CA9"/>
                <w:sz w:val="16"/>
                <w:szCs w:val="16"/>
              </w:rPr>
              <w:t>134.158.684</w:t>
            </w:r>
          </w:p>
        </w:tc>
        <w:tc>
          <w:tcPr>
            <w:tcW w:w="454" w:type="pct"/>
            <w:tcBorders>
              <w:top w:val="nil"/>
              <w:left w:val="nil"/>
              <w:bottom w:val="nil"/>
              <w:right w:val="nil"/>
            </w:tcBorders>
            <w:noWrap/>
            <w:vAlign w:val="center"/>
          </w:tcPr>
          <w:p w14:paraId="033E10AD" w14:textId="058DE222" w:rsidR="00E62DC7" w:rsidRPr="00686AF4" w:rsidRDefault="00B267B6" w:rsidP="00E62DC7">
            <w:pPr>
              <w:jc w:val="right"/>
              <w:rPr>
                <w:rFonts w:ascii="CAIXA Std Book" w:hAnsi="CAIXA Std Book" w:cs="Arial"/>
                <w:color w:val="005CA9"/>
                <w:sz w:val="16"/>
                <w:szCs w:val="16"/>
              </w:rPr>
            </w:pPr>
            <w:r>
              <w:rPr>
                <w:rFonts w:ascii="CAIXA Std Book" w:hAnsi="CAIXA Std Book" w:cs="Calibri"/>
                <w:color w:val="005CA9"/>
                <w:sz w:val="16"/>
                <w:szCs w:val="16"/>
              </w:rPr>
              <w:t>249.318.277</w:t>
            </w:r>
          </w:p>
        </w:tc>
        <w:tc>
          <w:tcPr>
            <w:tcW w:w="454" w:type="pct"/>
            <w:tcBorders>
              <w:top w:val="nil"/>
              <w:left w:val="nil"/>
              <w:bottom w:val="nil"/>
              <w:right w:val="nil"/>
            </w:tcBorders>
            <w:noWrap/>
            <w:vAlign w:val="center"/>
          </w:tcPr>
          <w:p w14:paraId="7F126634" w14:textId="4C2BA889" w:rsidR="00E62DC7" w:rsidRPr="00686AF4" w:rsidRDefault="00B267B6" w:rsidP="00E62DC7">
            <w:pPr>
              <w:jc w:val="right"/>
              <w:rPr>
                <w:rFonts w:ascii="CAIXA Std Book" w:hAnsi="CAIXA Std Book" w:cs="Arial"/>
                <w:color w:val="005CA9"/>
                <w:sz w:val="16"/>
                <w:szCs w:val="16"/>
              </w:rPr>
            </w:pPr>
            <w:r>
              <w:rPr>
                <w:rFonts w:ascii="CAIXA Std Book" w:hAnsi="CAIXA Std Book" w:cs="Calibri"/>
                <w:color w:val="005CA9"/>
                <w:sz w:val="16"/>
                <w:szCs w:val="16"/>
              </w:rPr>
              <w:t>383.476.961</w:t>
            </w:r>
          </w:p>
        </w:tc>
        <w:tc>
          <w:tcPr>
            <w:tcW w:w="454" w:type="pct"/>
            <w:tcBorders>
              <w:top w:val="nil"/>
              <w:left w:val="nil"/>
              <w:bottom w:val="nil"/>
              <w:right w:val="nil"/>
            </w:tcBorders>
            <w:noWrap/>
            <w:vAlign w:val="center"/>
          </w:tcPr>
          <w:p w14:paraId="7FE7E348" w14:textId="4D8BC53D" w:rsidR="00E62DC7" w:rsidRPr="00686AF4" w:rsidRDefault="00E66A5F" w:rsidP="00E62DC7">
            <w:pPr>
              <w:jc w:val="right"/>
              <w:rPr>
                <w:rFonts w:ascii="CAIXA Std Book" w:hAnsi="CAIXA Std Book" w:cs="Arial"/>
                <w:color w:val="005CA9"/>
                <w:sz w:val="16"/>
                <w:szCs w:val="16"/>
              </w:rPr>
            </w:pPr>
            <w:r w:rsidRPr="00686AF4">
              <w:rPr>
                <w:rFonts w:ascii="CAIXA Std Book" w:hAnsi="CAIXA Std Book" w:cs="Calibri"/>
                <w:color w:val="005CA9"/>
                <w:sz w:val="16"/>
                <w:szCs w:val="16"/>
              </w:rPr>
              <w:t>120.308.749</w:t>
            </w:r>
          </w:p>
        </w:tc>
        <w:tc>
          <w:tcPr>
            <w:tcW w:w="454" w:type="pct"/>
            <w:tcBorders>
              <w:top w:val="nil"/>
              <w:left w:val="nil"/>
              <w:bottom w:val="nil"/>
              <w:right w:val="nil"/>
            </w:tcBorders>
            <w:noWrap/>
            <w:vAlign w:val="center"/>
          </w:tcPr>
          <w:p w14:paraId="7E0744CD" w14:textId="43A20809" w:rsidR="00E62DC7" w:rsidRPr="00686AF4" w:rsidRDefault="00CA722A" w:rsidP="00E62DC7">
            <w:pPr>
              <w:jc w:val="right"/>
              <w:rPr>
                <w:rFonts w:ascii="CAIXA Std Book" w:hAnsi="CAIXA Std Book" w:cs="Arial"/>
                <w:color w:val="005CA9"/>
                <w:sz w:val="16"/>
                <w:szCs w:val="16"/>
              </w:rPr>
            </w:pPr>
            <w:r w:rsidRPr="00686AF4">
              <w:rPr>
                <w:rFonts w:ascii="CAIXA Std Book" w:hAnsi="CAIXA Std Book" w:cs="Calibri"/>
                <w:color w:val="005CA9"/>
                <w:sz w:val="16"/>
                <w:szCs w:val="16"/>
              </w:rPr>
              <w:t>251.198.415</w:t>
            </w:r>
          </w:p>
        </w:tc>
        <w:tc>
          <w:tcPr>
            <w:tcW w:w="452" w:type="pct"/>
            <w:tcBorders>
              <w:top w:val="nil"/>
              <w:left w:val="nil"/>
              <w:bottom w:val="nil"/>
              <w:right w:val="nil"/>
            </w:tcBorders>
            <w:noWrap/>
            <w:vAlign w:val="center"/>
          </w:tcPr>
          <w:p w14:paraId="77E77237" w14:textId="3BA9E154" w:rsidR="00E62DC7" w:rsidRPr="00686AF4" w:rsidRDefault="00CA722A" w:rsidP="00E62DC7">
            <w:pPr>
              <w:jc w:val="right"/>
              <w:rPr>
                <w:rFonts w:ascii="CAIXA Std Book" w:hAnsi="CAIXA Std Book" w:cs="Arial"/>
                <w:color w:val="005CA9"/>
                <w:sz w:val="16"/>
                <w:szCs w:val="16"/>
              </w:rPr>
            </w:pPr>
            <w:r w:rsidRPr="00686AF4">
              <w:rPr>
                <w:rFonts w:ascii="CAIXA Std Book" w:hAnsi="CAIXA Std Book" w:cs="Calibri"/>
                <w:color w:val="005CA9"/>
                <w:sz w:val="16"/>
                <w:szCs w:val="16"/>
              </w:rPr>
              <w:t>371.507.164</w:t>
            </w:r>
          </w:p>
        </w:tc>
      </w:tr>
      <w:tr w:rsidR="000C1815" w:rsidRPr="006F7A41" w14:paraId="15C9CB0D" w14:textId="77777777" w:rsidTr="00C5159C">
        <w:trPr>
          <w:trHeight w:val="283"/>
        </w:trPr>
        <w:tc>
          <w:tcPr>
            <w:tcW w:w="2278" w:type="pct"/>
            <w:tcBorders>
              <w:top w:val="nil"/>
              <w:left w:val="nil"/>
              <w:right w:val="nil"/>
            </w:tcBorders>
            <w:noWrap/>
            <w:vAlign w:val="center"/>
            <w:hideMark/>
          </w:tcPr>
          <w:p w14:paraId="2C351590" w14:textId="77777777" w:rsidR="00A31D80" w:rsidRPr="00160360" w:rsidRDefault="00A31D80" w:rsidP="00A31D80">
            <w:pPr>
              <w:ind w:firstLineChars="100" w:firstLine="160"/>
              <w:rPr>
                <w:rFonts w:ascii="CAIXA Std Book" w:eastAsia="Times New Roman" w:hAnsi="CAIXA Std Book" w:cs="Arial"/>
                <w:color w:val="005CA9"/>
                <w:sz w:val="16"/>
                <w:szCs w:val="16"/>
              </w:rPr>
            </w:pPr>
            <w:r w:rsidRPr="00160360">
              <w:rPr>
                <w:rFonts w:ascii="CAIXA Std Book" w:eastAsia="Times New Roman" w:hAnsi="CAIXA Std Book" w:cs="Arial"/>
                <w:color w:val="005CA9"/>
                <w:sz w:val="16"/>
                <w:szCs w:val="16"/>
              </w:rPr>
              <w:t>Outros passivos financeiros</w:t>
            </w:r>
          </w:p>
        </w:tc>
        <w:tc>
          <w:tcPr>
            <w:tcW w:w="454" w:type="pct"/>
            <w:tcBorders>
              <w:top w:val="nil"/>
              <w:left w:val="nil"/>
              <w:right w:val="nil"/>
            </w:tcBorders>
            <w:noWrap/>
            <w:vAlign w:val="center"/>
          </w:tcPr>
          <w:p w14:paraId="0B88FBC0" w14:textId="5C938C70" w:rsidR="00A31D80" w:rsidRPr="00686AF4" w:rsidRDefault="00EC5239" w:rsidP="00A31D80">
            <w:pPr>
              <w:jc w:val="right"/>
              <w:rPr>
                <w:rFonts w:ascii="CAIXA Std Book" w:hAnsi="CAIXA Std Book" w:cs="Arial"/>
                <w:color w:val="005CA9"/>
                <w:sz w:val="16"/>
                <w:szCs w:val="16"/>
              </w:rPr>
            </w:pPr>
            <w:r>
              <w:rPr>
                <w:rFonts w:ascii="CAIXA Std Book" w:hAnsi="CAIXA Std Book" w:cs="Calibri"/>
                <w:color w:val="005CA9"/>
                <w:sz w:val="16"/>
                <w:szCs w:val="16"/>
              </w:rPr>
              <w:t>19.239.920</w:t>
            </w:r>
          </w:p>
        </w:tc>
        <w:tc>
          <w:tcPr>
            <w:tcW w:w="454" w:type="pct"/>
            <w:tcBorders>
              <w:top w:val="nil"/>
              <w:left w:val="nil"/>
              <w:right w:val="nil"/>
            </w:tcBorders>
            <w:noWrap/>
            <w:vAlign w:val="center"/>
          </w:tcPr>
          <w:p w14:paraId="212E9E56" w14:textId="6CA75867" w:rsidR="00A31D80" w:rsidRPr="00686AF4" w:rsidRDefault="00EC5239" w:rsidP="00A31D80">
            <w:pPr>
              <w:jc w:val="right"/>
              <w:rPr>
                <w:rFonts w:ascii="CAIXA Std Book" w:hAnsi="CAIXA Std Book" w:cs="Arial"/>
                <w:color w:val="005CA9"/>
                <w:sz w:val="16"/>
                <w:szCs w:val="16"/>
              </w:rPr>
            </w:pPr>
            <w:r>
              <w:rPr>
                <w:rFonts w:ascii="CAIXA Std Book" w:hAnsi="CAIXA Std Book" w:cs="Calibri"/>
                <w:color w:val="005CA9"/>
                <w:sz w:val="16"/>
                <w:szCs w:val="16"/>
              </w:rPr>
              <w:t>16.019.897</w:t>
            </w:r>
          </w:p>
        </w:tc>
        <w:tc>
          <w:tcPr>
            <w:tcW w:w="454" w:type="pct"/>
            <w:tcBorders>
              <w:top w:val="nil"/>
              <w:left w:val="nil"/>
              <w:right w:val="nil"/>
            </w:tcBorders>
            <w:noWrap/>
            <w:vAlign w:val="center"/>
          </w:tcPr>
          <w:p w14:paraId="147D1BD1" w14:textId="2EAB6364" w:rsidR="00A31D80" w:rsidRPr="00686AF4" w:rsidRDefault="00EC5239" w:rsidP="00A31D80">
            <w:pPr>
              <w:jc w:val="right"/>
              <w:rPr>
                <w:rFonts w:ascii="CAIXA Std Book" w:hAnsi="CAIXA Std Book" w:cs="Arial"/>
                <w:color w:val="005CA9"/>
                <w:sz w:val="16"/>
                <w:szCs w:val="16"/>
              </w:rPr>
            </w:pPr>
            <w:r>
              <w:rPr>
                <w:rFonts w:ascii="CAIXA Std Book" w:hAnsi="CAIXA Std Book" w:cs="Calibri"/>
                <w:color w:val="005CA9"/>
                <w:sz w:val="16"/>
                <w:szCs w:val="16"/>
              </w:rPr>
              <w:t>35.259.817</w:t>
            </w:r>
          </w:p>
        </w:tc>
        <w:tc>
          <w:tcPr>
            <w:tcW w:w="454" w:type="pct"/>
            <w:tcBorders>
              <w:top w:val="nil"/>
              <w:left w:val="nil"/>
              <w:right w:val="nil"/>
            </w:tcBorders>
            <w:noWrap/>
            <w:vAlign w:val="center"/>
          </w:tcPr>
          <w:p w14:paraId="1EA0DAD9" w14:textId="1EC705DE" w:rsidR="00A31D80" w:rsidRPr="00686AF4" w:rsidRDefault="00221D08" w:rsidP="00A31D80">
            <w:pPr>
              <w:jc w:val="right"/>
              <w:rPr>
                <w:rFonts w:ascii="CAIXA Std Book" w:hAnsi="CAIXA Std Book" w:cs="Arial"/>
                <w:color w:val="005CA9"/>
                <w:sz w:val="16"/>
                <w:szCs w:val="16"/>
              </w:rPr>
            </w:pPr>
            <w:r w:rsidRPr="00686AF4">
              <w:rPr>
                <w:rFonts w:ascii="CAIXA Std Book" w:hAnsi="CAIXA Std Book" w:cs="Calibri"/>
                <w:color w:val="005CA9"/>
                <w:sz w:val="16"/>
                <w:szCs w:val="16"/>
              </w:rPr>
              <w:t>18.255.533</w:t>
            </w:r>
          </w:p>
        </w:tc>
        <w:tc>
          <w:tcPr>
            <w:tcW w:w="454" w:type="pct"/>
            <w:tcBorders>
              <w:top w:val="nil"/>
              <w:left w:val="nil"/>
              <w:right w:val="nil"/>
            </w:tcBorders>
            <w:noWrap/>
            <w:vAlign w:val="center"/>
          </w:tcPr>
          <w:p w14:paraId="1BF879F8" w14:textId="212CB413" w:rsidR="00A31D80" w:rsidRPr="00686AF4" w:rsidRDefault="00CA722A" w:rsidP="00A31D80">
            <w:pPr>
              <w:jc w:val="right"/>
              <w:rPr>
                <w:rFonts w:ascii="CAIXA Std Book" w:hAnsi="CAIXA Std Book" w:cs="Arial"/>
                <w:color w:val="005CA9"/>
                <w:sz w:val="16"/>
                <w:szCs w:val="16"/>
              </w:rPr>
            </w:pPr>
            <w:r w:rsidRPr="00686AF4">
              <w:rPr>
                <w:rFonts w:ascii="CAIXA Std Book" w:hAnsi="CAIXA Std Book" w:cs="Calibri"/>
                <w:color w:val="005CA9"/>
                <w:sz w:val="16"/>
                <w:szCs w:val="16"/>
              </w:rPr>
              <w:t>15.908.409</w:t>
            </w:r>
          </w:p>
        </w:tc>
        <w:tc>
          <w:tcPr>
            <w:tcW w:w="452" w:type="pct"/>
            <w:tcBorders>
              <w:top w:val="nil"/>
              <w:left w:val="nil"/>
              <w:right w:val="nil"/>
            </w:tcBorders>
            <w:noWrap/>
            <w:vAlign w:val="center"/>
          </w:tcPr>
          <w:p w14:paraId="266BEF58" w14:textId="1A4F6AD7" w:rsidR="00A31D80" w:rsidRPr="00686AF4" w:rsidRDefault="00CA722A" w:rsidP="00A31D80">
            <w:pPr>
              <w:jc w:val="right"/>
              <w:rPr>
                <w:rFonts w:ascii="CAIXA Std Book" w:hAnsi="CAIXA Std Book" w:cs="Arial"/>
                <w:color w:val="005CA9"/>
                <w:sz w:val="16"/>
                <w:szCs w:val="16"/>
              </w:rPr>
            </w:pPr>
            <w:r w:rsidRPr="00686AF4">
              <w:rPr>
                <w:rFonts w:ascii="CAIXA Std Book" w:hAnsi="CAIXA Std Book" w:cs="Calibri"/>
                <w:color w:val="005CA9"/>
                <w:sz w:val="16"/>
                <w:szCs w:val="16"/>
              </w:rPr>
              <w:t>34.163.942</w:t>
            </w:r>
          </w:p>
        </w:tc>
      </w:tr>
      <w:tr w:rsidR="000C1815" w:rsidRPr="006F7A41" w14:paraId="3B438C86" w14:textId="77777777" w:rsidTr="00C5159C">
        <w:trPr>
          <w:trHeight w:val="283"/>
        </w:trPr>
        <w:tc>
          <w:tcPr>
            <w:tcW w:w="2278" w:type="pct"/>
            <w:tcBorders>
              <w:top w:val="nil"/>
              <w:left w:val="nil"/>
              <w:bottom w:val="single" w:sz="4" w:space="0" w:color="FFFFFF" w:themeColor="background1"/>
              <w:right w:val="nil"/>
            </w:tcBorders>
            <w:shd w:val="clear" w:color="auto" w:fill="D0E0E3"/>
            <w:noWrap/>
            <w:vAlign w:val="center"/>
            <w:hideMark/>
          </w:tcPr>
          <w:p w14:paraId="797F8185" w14:textId="77777777" w:rsidR="002E7D83" w:rsidRPr="00160360" w:rsidRDefault="002E7D83" w:rsidP="002E7D83">
            <w:pPr>
              <w:rPr>
                <w:rFonts w:ascii="CAIXA Std Book" w:eastAsia="Times New Roman" w:hAnsi="CAIXA Std Book" w:cs="Arial"/>
                <w:b/>
                <w:color w:val="005CA9"/>
                <w:sz w:val="16"/>
                <w:szCs w:val="16"/>
              </w:rPr>
            </w:pPr>
            <w:r w:rsidRPr="00160360">
              <w:rPr>
                <w:rFonts w:ascii="CAIXA Std Book" w:eastAsia="Times New Roman" w:hAnsi="CAIXA Std Book" w:cs="Arial"/>
                <w:b/>
                <w:color w:val="005CA9"/>
                <w:sz w:val="16"/>
                <w:szCs w:val="16"/>
              </w:rPr>
              <w:t>Provisões</w:t>
            </w:r>
          </w:p>
        </w:tc>
        <w:tc>
          <w:tcPr>
            <w:tcW w:w="454" w:type="pct"/>
            <w:tcBorders>
              <w:top w:val="nil"/>
              <w:left w:val="nil"/>
              <w:bottom w:val="single" w:sz="4" w:space="0" w:color="FFFFFF" w:themeColor="background1"/>
              <w:right w:val="nil"/>
            </w:tcBorders>
            <w:shd w:val="clear" w:color="auto" w:fill="D0E0E3"/>
            <w:noWrap/>
            <w:vAlign w:val="center"/>
          </w:tcPr>
          <w:p w14:paraId="2B98B651" w14:textId="06F267C9" w:rsidR="002E7D83" w:rsidRPr="00686AF4" w:rsidRDefault="00055364" w:rsidP="00E41F3E">
            <w:pPr>
              <w:jc w:val="right"/>
              <w:rPr>
                <w:rFonts w:ascii="CAIXA Std Book" w:hAnsi="CAIXA Std Book" w:cs="Arial"/>
                <w:b/>
                <w:color w:val="005CA9"/>
                <w:sz w:val="16"/>
                <w:szCs w:val="16"/>
              </w:rPr>
            </w:pPr>
            <w:r>
              <w:rPr>
                <w:rFonts w:ascii="CAIXA Std Book" w:hAnsi="CAIXA Std Book" w:cs="Calibri"/>
                <w:b/>
                <w:color w:val="005CA9"/>
                <w:sz w:val="16"/>
                <w:szCs w:val="16"/>
              </w:rPr>
              <w:t>3.227.572</w:t>
            </w:r>
          </w:p>
        </w:tc>
        <w:tc>
          <w:tcPr>
            <w:tcW w:w="454" w:type="pct"/>
            <w:tcBorders>
              <w:top w:val="nil"/>
              <w:left w:val="nil"/>
              <w:bottom w:val="single" w:sz="4" w:space="0" w:color="FFFFFF" w:themeColor="background1"/>
              <w:right w:val="nil"/>
            </w:tcBorders>
            <w:shd w:val="clear" w:color="auto" w:fill="D0E0E3"/>
            <w:noWrap/>
            <w:vAlign w:val="center"/>
          </w:tcPr>
          <w:p w14:paraId="1C970397" w14:textId="17748B9B" w:rsidR="002E7D83" w:rsidRPr="00686AF4" w:rsidRDefault="00055364" w:rsidP="00E41F3E">
            <w:pPr>
              <w:jc w:val="right"/>
              <w:rPr>
                <w:rFonts w:ascii="CAIXA Std Book" w:hAnsi="CAIXA Std Book" w:cs="Arial"/>
                <w:b/>
                <w:color w:val="005CA9"/>
                <w:sz w:val="16"/>
                <w:szCs w:val="16"/>
              </w:rPr>
            </w:pPr>
            <w:r>
              <w:rPr>
                <w:rFonts w:ascii="CAIXA Std Book" w:hAnsi="CAIXA Std Book" w:cs="Calibri"/>
                <w:b/>
                <w:color w:val="005CA9"/>
                <w:sz w:val="16"/>
                <w:szCs w:val="16"/>
              </w:rPr>
              <w:t>6.262.776</w:t>
            </w:r>
          </w:p>
        </w:tc>
        <w:tc>
          <w:tcPr>
            <w:tcW w:w="454" w:type="pct"/>
            <w:tcBorders>
              <w:top w:val="nil"/>
              <w:left w:val="nil"/>
              <w:bottom w:val="single" w:sz="4" w:space="0" w:color="FFFFFF" w:themeColor="background1"/>
              <w:right w:val="nil"/>
            </w:tcBorders>
            <w:shd w:val="clear" w:color="auto" w:fill="D0E0E3"/>
            <w:noWrap/>
            <w:vAlign w:val="center"/>
          </w:tcPr>
          <w:p w14:paraId="68717A3D" w14:textId="7835594A" w:rsidR="002E7D83" w:rsidRPr="00686AF4" w:rsidRDefault="00055364" w:rsidP="00E41F3E">
            <w:pPr>
              <w:jc w:val="right"/>
              <w:rPr>
                <w:rFonts w:ascii="CAIXA Std Book" w:hAnsi="CAIXA Std Book" w:cs="Arial"/>
                <w:b/>
                <w:color w:val="005CA9"/>
                <w:sz w:val="16"/>
                <w:szCs w:val="16"/>
              </w:rPr>
            </w:pPr>
            <w:r>
              <w:rPr>
                <w:rFonts w:ascii="CAIXA Std Book" w:hAnsi="CAIXA Std Book" w:cs="Calibri"/>
                <w:b/>
                <w:color w:val="005CA9"/>
                <w:sz w:val="16"/>
                <w:szCs w:val="16"/>
              </w:rPr>
              <w:t>9.490.348</w:t>
            </w:r>
          </w:p>
        </w:tc>
        <w:tc>
          <w:tcPr>
            <w:tcW w:w="454" w:type="pct"/>
            <w:tcBorders>
              <w:top w:val="nil"/>
              <w:left w:val="nil"/>
              <w:bottom w:val="single" w:sz="4" w:space="0" w:color="FFFFFF" w:themeColor="background1"/>
              <w:right w:val="nil"/>
            </w:tcBorders>
            <w:shd w:val="clear" w:color="auto" w:fill="D0E0E3"/>
            <w:noWrap/>
            <w:vAlign w:val="center"/>
          </w:tcPr>
          <w:p w14:paraId="646B73D0" w14:textId="311A6204" w:rsidR="002E7D83" w:rsidRPr="00686AF4" w:rsidRDefault="00CA722A" w:rsidP="002E7D83">
            <w:pPr>
              <w:jc w:val="right"/>
              <w:rPr>
                <w:rFonts w:ascii="CAIXA Std Book" w:hAnsi="CAIXA Std Book" w:cs="Arial"/>
                <w:b/>
                <w:color w:val="005CA9"/>
                <w:sz w:val="16"/>
                <w:szCs w:val="16"/>
              </w:rPr>
            </w:pPr>
            <w:r w:rsidRPr="00686AF4">
              <w:rPr>
                <w:rFonts w:ascii="CAIXA Std Book" w:hAnsi="CAIXA Std Book" w:cs="Calibri"/>
                <w:b/>
                <w:color w:val="005CA9"/>
                <w:sz w:val="16"/>
                <w:szCs w:val="16"/>
              </w:rPr>
              <w:t>3.256.700</w:t>
            </w:r>
          </w:p>
        </w:tc>
        <w:tc>
          <w:tcPr>
            <w:tcW w:w="454" w:type="pct"/>
            <w:tcBorders>
              <w:top w:val="nil"/>
              <w:left w:val="nil"/>
              <w:bottom w:val="single" w:sz="4" w:space="0" w:color="FFFFFF" w:themeColor="background1"/>
              <w:right w:val="nil"/>
            </w:tcBorders>
            <w:shd w:val="clear" w:color="auto" w:fill="D0E0E3"/>
            <w:noWrap/>
            <w:vAlign w:val="center"/>
          </w:tcPr>
          <w:p w14:paraId="0946E3DC" w14:textId="145FE4F2" w:rsidR="002E7D83" w:rsidRPr="00686AF4" w:rsidRDefault="00CA51B0" w:rsidP="002E7D83">
            <w:pPr>
              <w:jc w:val="right"/>
              <w:rPr>
                <w:rFonts w:ascii="CAIXA Std Book" w:hAnsi="CAIXA Std Book" w:cs="Arial"/>
                <w:b/>
                <w:color w:val="005CA9"/>
                <w:sz w:val="16"/>
                <w:szCs w:val="16"/>
              </w:rPr>
            </w:pPr>
            <w:r w:rsidRPr="00686AF4">
              <w:rPr>
                <w:rFonts w:ascii="CAIXA Std Book" w:hAnsi="CAIXA Std Book" w:cs="Calibri"/>
                <w:b/>
                <w:color w:val="005CA9"/>
                <w:sz w:val="16"/>
                <w:szCs w:val="16"/>
              </w:rPr>
              <w:t>6.168.729</w:t>
            </w:r>
          </w:p>
        </w:tc>
        <w:tc>
          <w:tcPr>
            <w:tcW w:w="452" w:type="pct"/>
            <w:tcBorders>
              <w:top w:val="nil"/>
              <w:left w:val="nil"/>
              <w:bottom w:val="single" w:sz="4" w:space="0" w:color="FFFFFF" w:themeColor="background1"/>
              <w:right w:val="nil"/>
            </w:tcBorders>
            <w:shd w:val="clear" w:color="auto" w:fill="D0E0E3"/>
            <w:noWrap/>
            <w:vAlign w:val="center"/>
          </w:tcPr>
          <w:p w14:paraId="7FA0149B" w14:textId="2A274ABB" w:rsidR="002E7D83" w:rsidRPr="00686AF4" w:rsidRDefault="00CA722A" w:rsidP="002E7D83">
            <w:pPr>
              <w:jc w:val="right"/>
              <w:rPr>
                <w:rFonts w:ascii="CAIXA Std Book" w:hAnsi="CAIXA Std Book" w:cs="Arial"/>
                <w:b/>
                <w:color w:val="005CA9"/>
                <w:sz w:val="16"/>
                <w:szCs w:val="16"/>
              </w:rPr>
            </w:pPr>
            <w:r w:rsidRPr="00686AF4">
              <w:rPr>
                <w:rFonts w:ascii="CAIXA Std Book" w:hAnsi="CAIXA Std Book" w:cs="Calibri"/>
                <w:b/>
                <w:color w:val="005CA9"/>
                <w:sz w:val="16"/>
                <w:szCs w:val="16"/>
              </w:rPr>
              <w:t>9.425.429</w:t>
            </w:r>
          </w:p>
        </w:tc>
      </w:tr>
      <w:tr w:rsidR="000C1815" w:rsidRPr="006F7A41" w14:paraId="60C7D297" w14:textId="77777777" w:rsidTr="00C5159C">
        <w:trPr>
          <w:trHeight w:val="283"/>
        </w:trPr>
        <w:tc>
          <w:tcPr>
            <w:tcW w:w="2278" w:type="pct"/>
            <w:tcBorders>
              <w:top w:val="single" w:sz="4" w:space="0" w:color="FFFFFF" w:themeColor="background1"/>
              <w:left w:val="nil"/>
              <w:bottom w:val="single" w:sz="4" w:space="0" w:color="FFFFFF" w:themeColor="background1"/>
              <w:right w:val="nil"/>
            </w:tcBorders>
            <w:shd w:val="clear" w:color="auto" w:fill="D0E0E3"/>
            <w:noWrap/>
            <w:vAlign w:val="center"/>
            <w:hideMark/>
          </w:tcPr>
          <w:p w14:paraId="2972C13B" w14:textId="77777777" w:rsidR="002E7D83" w:rsidRPr="00160360" w:rsidRDefault="002E7D83" w:rsidP="002E7D83">
            <w:pPr>
              <w:rPr>
                <w:rFonts w:ascii="CAIXA Std Book" w:eastAsia="Times New Roman" w:hAnsi="CAIXA Std Book" w:cs="Arial"/>
                <w:b/>
                <w:color w:val="005CA9"/>
                <w:sz w:val="16"/>
                <w:szCs w:val="16"/>
              </w:rPr>
            </w:pPr>
            <w:r w:rsidRPr="00160360">
              <w:rPr>
                <w:rFonts w:ascii="CAIXA Std Book" w:eastAsia="Times New Roman" w:hAnsi="CAIXA Std Book" w:cs="Arial"/>
                <w:b/>
                <w:color w:val="005CA9"/>
                <w:sz w:val="16"/>
                <w:szCs w:val="16"/>
              </w:rPr>
              <w:t>Perdas esperadas com garantias prestadas e compromissos de empréstimos</w:t>
            </w:r>
          </w:p>
        </w:tc>
        <w:tc>
          <w:tcPr>
            <w:tcW w:w="454" w:type="pct"/>
            <w:tcBorders>
              <w:top w:val="single" w:sz="4" w:space="0" w:color="FFFFFF" w:themeColor="background1"/>
              <w:left w:val="nil"/>
              <w:bottom w:val="single" w:sz="4" w:space="0" w:color="FFFFFF" w:themeColor="background1"/>
              <w:right w:val="nil"/>
            </w:tcBorders>
            <w:shd w:val="clear" w:color="auto" w:fill="D0E0E3"/>
            <w:noWrap/>
            <w:vAlign w:val="center"/>
          </w:tcPr>
          <w:p w14:paraId="326BB207" w14:textId="57D85A49" w:rsidR="002E7D83" w:rsidRPr="00686AF4" w:rsidRDefault="00D05DCC" w:rsidP="00E41F3E">
            <w:pPr>
              <w:jc w:val="right"/>
              <w:rPr>
                <w:rFonts w:ascii="CAIXA Std Book" w:hAnsi="CAIXA Std Book" w:cs="Arial"/>
                <w:b/>
                <w:color w:val="005CA9"/>
                <w:sz w:val="16"/>
                <w:szCs w:val="16"/>
              </w:rPr>
            </w:pPr>
            <w:r>
              <w:rPr>
                <w:rFonts w:ascii="CAIXA Std Book" w:hAnsi="CAIXA Std Book" w:cs="Calibri"/>
                <w:b/>
                <w:color w:val="005CA9"/>
                <w:sz w:val="16"/>
                <w:szCs w:val="16"/>
              </w:rPr>
              <w:t>1.697.</w:t>
            </w:r>
            <w:r w:rsidR="005C5307">
              <w:rPr>
                <w:rFonts w:ascii="CAIXA Std Book" w:hAnsi="CAIXA Std Book" w:cs="Calibri"/>
                <w:b/>
                <w:color w:val="005CA9"/>
                <w:sz w:val="16"/>
                <w:szCs w:val="16"/>
              </w:rPr>
              <w:t>065</w:t>
            </w:r>
          </w:p>
        </w:tc>
        <w:tc>
          <w:tcPr>
            <w:tcW w:w="454" w:type="pct"/>
            <w:tcBorders>
              <w:top w:val="single" w:sz="4" w:space="0" w:color="FFFFFF" w:themeColor="background1"/>
              <w:left w:val="nil"/>
              <w:bottom w:val="single" w:sz="4" w:space="0" w:color="FFFFFF" w:themeColor="background1"/>
              <w:right w:val="nil"/>
            </w:tcBorders>
            <w:shd w:val="clear" w:color="auto" w:fill="D0E0E3"/>
            <w:noWrap/>
            <w:vAlign w:val="center"/>
          </w:tcPr>
          <w:p w14:paraId="689975DB" w14:textId="55CEF2CA" w:rsidR="002E7D83" w:rsidRPr="00686AF4" w:rsidRDefault="00BF442E" w:rsidP="00E41F3E">
            <w:pPr>
              <w:jc w:val="right"/>
              <w:rPr>
                <w:rFonts w:ascii="CAIXA Std Book" w:hAnsi="CAIXA Std Book" w:cs="Arial"/>
                <w:b/>
                <w:color w:val="005CA9"/>
                <w:sz w:val="16"/>
                <w:szCs w:val="16"/>
              </w:rPr>
            </w:pPr>
            <w:r>
              <w:rPr>
                <w:rFonts w:ascii="CAIXA Std Book" w:hAnsi="CAIXA Std Book" w:cs="Calibri"/>
                <w:b/>
                <w:color w:val="005CA9"/>
                <w:sz w:val="16"/>
                <w:szCs w:val="16"/>
              </w:rPr>
              <w:t>811.793</w:t>
            </w:r>
          </w:p>
        </w:tc>
        <w:tc>
          <w:tcPr>
            <w:tcW w:w="454" w:type="pct"/>
            <w:tcBorders>
              <w:top w:val="single" w:sz="4" w:space="0" w:color="FFFFFF" w:themeColor="background1"/>
              <w:left w:val="nil"/>
              <w:bottom w:val="single" w:sz="4" w:space="0" w:color="FFFFFF" w:themeColor="background1"/>
              <w:right w:val="nil"/>
            </w:tcBorders>
            <w:shd w:val="clear" w:color="auto" w:fill="D0E0E3"/>
            <w:noWrap/>
            <w:vAlign w:val="center"/>
          </w:tcPr>
          <w:p w14:paraId="624B3F0E" w14:textId="1734B93C" w:rsidR="002E7D83" w:rsidRPr="00686AF4" w:rsidRDefault="00BF442E" w:rsidP="00E41F3E">
            <w:pPr>
              <w:jc w:val="right"/>
              <w:rPr>
                <w:rFonts w:ascii="CAIXA Std Book" w:hAnsi="CAIXA Std Book" w:cs="Arial"/>
                <w:b/>
                <w:color w:val="005CA9"/>
                <w:sz w:val="16"/>
                <w:szCs w:val="16"/>
              </w:rPr>
            </w:pPr>
            <w:r>
              <w:rPr>
                <w:rFonts w:ascii="CAIXA Std Book" w:hAnsi="CAIXA Std Book" w:cs="Calibri"/>
                <w:b/>
                <w:color w:val="005CA9"/>
                <w:sz w:val="16"/>
                <w:szCs w:val="16"/>
              </w:rPr>
              <w:t>2.508.</w:t>
            </w:r>
            <w:r w:rsidR="005C5307">
              <w:rPr>
                <w:rFonts w:ascii="CAIXA Std Book" w:hAnsi="CAIXA Std Book" w:cs="Calibri"/>
                <w:b/>
                <w:color w:val="005CA9"/>
                <w:sz w:val="16"/>
                <w:szCs w:val="16"/>
              </w:rPr>
              <w:t>858</w:t>
            </w:r>
          </w:p>
        </w:tc>
        <w:tc>
          <w:tcPr>
            <w:tcW w:w="454" w:type="pct"/>
            <w:tcBorders>
              <w:top w:val="single" w:sz="4" w:space="0" w:color="FFFFFF" w:themeColor="background1"/>
              <w:left w:val="nil"/>
              <w:bottom w:val="single" w:sz="4" w:space="0" w:color="FFFFFF" w:themeColor="background1"/>
              <w:right w:val="nil"/>
            </w:tcBorders>
            <w:shd w:val="clear" w:color="auto" w:fill="D0E0E3"/>
            <w:noWrap/>
            <w:vAlign w:val="center"/>
          </w:tcPr>
          <w:p w14:paraId="7BBED685" w14:textId="57808E5B" w:rsidR="002E7D83" w:rsidRPr="00686AF4" w:rsidRDefault="00CA722A" w:rsidP="002E7D83">
            <w:pPr>
              <w:jc w:val="right"/>
              <w:rPr>
                <w:rFonts w:ascii="CAIXA Std Book" w:hAnsi="CAIXA Std Book" w:cs="Arial"/>
                <w:b/>
                <w:color w:val="005CA9"/>
                <w:sz w:val="16"/>
                <w:szCs w:val="16"/>
              </w:rPr>
            </w:pPr>
            <w:r w:rsidRPr="00686AF4">
              <w:rPr>
                <w:rFonts w:ascii="CAIXA Std Book" w:hAnsi="CAIXA Std Book" w:cs="Calibri"/>
                <w:b/>
                <w:color w:val="005CA9"/>
                <w:sz w:val="16"/>
                <w:szCs w:val="16"/>
              </w:rPr>
              <w:t>2.390.011</w:t>
            </w:r>
          </w:p>
        </w:tc>
        <w:tc>
          <w:tcPr>
            <w:tcW w:w="454" w:type="pct"/>
            <w:tcBorders>
              <w:top w:val="single" w:sz="4" w:space="0" w:color="FFFFFF" w:themeColor="background1"/>
              <w:left w:val="nil"/>
              <w:bottom w:val="single" w:sz="4" w:space="0" w:color="FFFFFF" w:themeColor="background1"/>
              <w:right w:val="nil"/>
            </w:tcBorders>
            <w:shd w:val="clear" w:color="auto" w:fill="D0E0E3"/>
            <w:noWrap/>
            <w:vAlign w:val="center"/>
          </w:tcPr>
          <w:p w14:paraId="6338B5BC" w14:textId="75402214" w:rsidR="002E7D83" w:rsidRPr="00686AF4" w:rsidRDefault="00CA722A" w:rsidP="002E7D83">
            <w:pPr>
              <w:jc w:val="right"/>
              <w:rPr>
                <w:rFonts w:ascii="CAIXA Std Book" w:hAnsi="CAIXA Std Book" w:cs="Arial"/>
                <w:b/>
                <w:color w:val="005CA9"/>
                <w:sz w:val="16"/>
                <w:szCs w:val="16"/>
              </w:rPr>
            </w:pPr>
            <w:r w:rsidRPr="00686AF4">
              <w:rPr>
                <w:rFonts w:ascii="CAIXA Std Book" w:hAnsi="CAIXA Std Book" w:cs="Calibri"/>
                <w:b/>
                <w:color w:val="005CA9"/>
                <w:sz w:val="16"/>
                <w:szCs w:val="16"/>
              </w:rPr>
              <w:t>675.332</w:t>
            </w:r>
          </w:p>
        </w:tc>
        <w:tc>
          <w:tcPr>
            <w:tcW w:w="452" w:type="pct"/>
            <w:tcBorders>
              <w:top w:val="single" w:sz="4" w:space="0" w:color="FFFFFF" w:themeColor="background1"/>
              <w:left w:val="nil"/>
              <w:bottom w:val="single" w:sz="4" w:space="0" w:color="FFFFFF" w:themeColor="background1"/>
              <w:right w:val="nil"/>
            </w:tcBorders>
            <w:shd w:val="clear" w:color="auto" w:fill="D0E0E3"/>
            <w:noWrap/>
            <w:vAlign w:val="center"/>
          </w:tcPr>
          <w:p w14:paraId="11A0CC3C" w14:textId="173A16F6" w:rsidR="002E7D83" w:rsidRPr="00686AF4" w:rsidRDefault="00CA722A" w:rsidP="002E7D83">
            <w:pPr>
              <w:jc w:val="right"/>
              <w:rPr>
                <w:rFonts w:ascii="CAIXA Std Book" w:hAnsi="CAIXA Std Book" w:cs="Arial"/>
                <w:b/>
                <w:color w:val="005CA9"/>
                <w:sz w:val="16"/>
                <w:szCs w:val="16"/>
              </w:rPr>
            </w:pPr>
            <w:r w:rsidRPr="00686AF4">
              <w:rPr>
                <w:rFonts w:ascii="CAIXA Std Book" w:hAnsi="CAIXA Std Book" w:cs="Calibri"/>
                <w:b/>
                <w:color w:val="005CA9"/>
                <w:sz w:val="16"/>
                <w:szCs w:val="16"/>
              </w:rPr>
              <w:t>3.065.343</w:t>
            </w:r>
          </w:p>
        </w:tc>
      </w:tr>
      <w:tr w:rsidR="000C1815" w:rsidRPr="006F7A41" w14:paraId="00A08077" w14:textId="77777777" w:rsidTr="00C5159C">
        <w:trPr>
          <w:trHeight w:val="283"/>
        </w:trPr>
        <w:tc>
          <w:tcPr>
            <w:tcW w:w="2278" w:type="pct"/>
            <w:tcBorders>
              <w:top w:val="single" w:sz="4" w:space="0" w:color="FFFFFF" w:themeColor="background1"/>
              <w:left w:val="nil"/>
              <w:bottom w:val="nil"/>
              <w:right w:val="nil"/>
            </w:tcBorders>
            <w:shd w:val="clear" w:color="auto" w:fill="D0E0E3"/>
            <w:noWrap/>
            <w:vAlign w:val="center"/>
            <w:hideMark/>
          </w:tcPr>
          <w:p w14:paraId="6CE6DEEB" w14:textId="77777777" w:rsidR="00300B74" w:rsidRPr="00160360" w:rsidRDefault="00300B74" w:rsidP="00300B74">
            <w:pPr>
              <w:rPr>
                <w:rFonts w:ascii="CAIXA Std Book" w:eastAsia="Times New Roman" w:hAnsi="CAIXA Std Book" w:cs="Arial"/>
                <w:b/>
                <w:color w:val="005CA9"/>
                <w:sz w:val="16"/>
                <w:szCs w:val="16"/>
              </w:rPr>
            </w:pPr>
            <w:r w:rsidRPr="00160360">
              <w:rPr>
                <w:rFonts w:ascii="CAIXA Std Book" w:eastAsia="Times New Roman" w:hAnsi="CAIXA Std Book" w:cs="Arial"/>
                <w:b/>
                <w:color w:val="005CA9"/>
                <w:sz w:val="16"/>
                <w:szCs w:val="16"/>
              </w:rPr>
              <w:t>Passivos fiscais</w:t>
            </w:r>
          </w:p>
        </w:tc>
        <w:tc>
          <w:tcPr>
            <w:tcW w:w="454" w:type="pct"/>
            <w:tcBorders>
              <w:top w:val="single" w:sz="4" w:space="0" w:color="FFFFFF" w:themeColor="background1"/>
              <w:left w:val="nil"/>
              <w:bottom w:val="nil"/>
              <w:right w:val="nil"/>
            </w:tcBorders>
            <w:shd w:val="clear" w:color="auto" w:fill="D0E0E3"/>
            <w:noWrap/>
            <w:vAlign w:val="center"/>
          </w:tcPr>
          <w:p w14:paraId="7002C512" w14:textId="6486B6AD" w:rsidR="00300B74" w:rsidRPr="00686AF4" w:rsidRDefault="004B24D2" w:rsidP="00300B74">
            <w:pPr>
              <w:jc w:val="right"/>
              <w:rPr>
                <w:rFonts w:ascii="CAIXA Std Book" w:hAnsi="CAIXA Std Book" w:cs="Calibri"/>
                <w:b/>
                <w:color w:val="005CA9"/>
                <w:sz w:val="16"/>
                <w:szCs w:val="16"/>
              </w:rPr>
            </w:pPr>
            <w:r>
              <w:rPr>
                <w:rFonts w:ascii="CAIXA Std Book" w:hAnsi="CAIXA Std Book" w:cs="Calibri"/>
                <w:b/>
                <w:color w:val="005CA9"/>
                <w:sz w:val="16"/>
                <w:szCs w:val="16"/>
              </w:rPr>
              <w:t>6.284.787</w:t>
            </w:r>
          </w:p>
        </w:tc>
        <w:tc>
          <w:tcPr>
            <w:tcW w:w="454" w:type="pct"/>
            <w:tcBorders>
              <w:top w:val="single" w:sz="4" w:space="0" w:color="FFFFFF" w:themeColor="background1"/>
              <w:left w:val="nil"/>
              <w:bottom w:val="nil"/>
              <w:right w:val="nil"/>
            </w:tcBorders>
            <w:shd w:val="clear" w:color="auto" w:fill="D0E0E3"/>
            <w:noWrap/>
            <w:vAlign w:val="center"/>
          </w:tcPr>
          <w:p w14:paraId="354F2C5D" w14:textId="6CDAA640" w:rsidR="00300B74" w:rsidRPr="00686AF4" w:rsidRDefault="00972051" w:rsidP="00300B74">
            <w:pPr>
              <w:jc w:val="center"/>
              <w:rPr>
                <w:rFonts w:ascii="CAIXA Std Book" w:hAnsi="CAIXA Std Book" w:cs="Calibri"/>
                <w:b/>
                <w:color w:val="005CA9"/>
                <w:sz w:val="16"/>
                <w:szCs w:val="16"/>
              </w:rPr>
            </w:pPr>
            <w:r>
              <w:rPr>
                <w:rFonts w:ascii="CAIXA Std Book" w:hAnsi="CAIXA Std Book" w:cs="Calibri"/>
                <w:b/>
                <w:bCs/>
                <w:color w:val="005CA9"/>
                <w:sz w:val="16"/>
                <w:szCs w:val="16"/>
              </w:rPr>
              <w:t>-</w:t>
            </w:r>
          </w:p>
        </w:tc>
        <w:tc>
          <w:tcPr>
            <w:tcW w:w="454" w:type="pct"/>
            <w:tcBorders>
              <w:top w:val="single" w:sz="4" w:space="0" w:color="FFFFFF" w:themeColor="background1"/>
              <w:left w:val="nil"/>
              <w:bottom w:val="nil"/>
              <w:right w:val="nil"/>
            </w:tcBorders>
            <w:shd w:val="clear" w:color="auto" w:fill="D0E0E3"/>
            <w:noWrap/>
            <w:vAlign w:val="center"/>
          </w:tcPr>
          <w:p w14:paraId="3965CA1F" w14:textId="6A93BDA3" w:rsidR="00300B74" w:rsidRPr="00686AF4" w:rsidRDefault="004B24D2" w:rsidP="00300B74">
            <w:pPr>
              <w:jc w:val="right"/>
              <w:rPr>
                <w:rFonts w:ascii="CAIXA Std Book" w:hAnsi="CAIXA Std Book" w:cs="Calibri"/>
                <w:b/>
                <w:color w:val="005CA9"/>
                <w:sz w:val="16"/>
                <w:szCs w:val="16"/>
              </w:rPr>
            </w:pPr>
            <w:r>
              <w:rPr>
                <w:rFonts w:ascii="CAIXA Std Book" w:hAnsi="CAIXA Std Book" w:cs="Calibri"/>
                <w:b/>
                <w:color w:val="005CA9"/>
                <w:sz w:val="16"/>
                <w:szCs w:val="16"/>
              </w:rPr>
              <w:t>6.284.787</w:t>
            </w:r>
          </w:p>
        </w:tc>
        <w:tc>
          <w:tcPr>
            <w:tcW w:w="454" w:type="pct"/>
            <w:tcBorders>
              <w:top w:val="single" w:sz="4" w:space="0" w:color="FFFFFF" w:themeColor="background1"/>
              <w:left w:val="nil"/>
              <w:bottom w:val="nil"/>
              <w:right w:val="nil"/>
            </w:tcBorders>
            <w:shd w:val="clear" w:color="auto" w:fill="D0E0E3"/>
            <w:noWrap/>
            <w:vAlign w:val="center"/>
          </w:tcPr>
          <w:p w14:paraId="1107D50A" w14:textId="444473E7" w:rsidR="00300B74" w:rsidRPr="00686AF4" w:rsidRDefault="00CA722A" w:rsidP="00300B74">
            <w:pPr>
              <w:jc w:val="right"/>
              <w:rPr>
                <w:rFonts w:ascii="CAIXA Std Book" w:hAnsi="CAIXA Std Book" w:cs="Calibri"/>
                <w:b/>
                <w:color w:val="005CA9"/>
                <w:sz w:val="16"/>
                <w:szCs w:val="16"/>
              </w:rPr>
            </w:pPr>
            <w:r w:rsidRPr="00686AF4">
              <w:rPr>
                <w:rFonts w:ascii="CAIXA Std Book" w:hAnsi="CAIXA Std Book" w:cs="Calibri"/>
                <w:b/>
                <w:color w:val="005CA9"/>
                <w:sz w:val="16"/>
                <w:szCs w:val="16"/>
              </w:rPr>
              <w:t>6.188.544</w:t>
            </w:r>
          </w:p>
        </w:tc>
        <w:tc>
          <w:tcPr>
            <w:tcW w:w="454" w:type="pct"/>
            <w:tcBorders>
              <w:top w:val="single" w:sz="4" w:space="0" w:color="FFFFFF" w:themeColor="background1"/>
              <w:left w:val="nil"/>
              <w:bottom w:val="nil"/>
              <w:right w:val="nil"/>
            </w:tcBorders>
            <w:shd w:val="clear" w:color="auto" w:fill="D0E0E3"/>
            <w:noWrap/>
            <w:vAlign w:val="center"/>
          </w:tcPr>
          <w:p w14:paraId="7484A8F0" w14:textId="0759CE89" w:rsidR="00300B74" w:rsidRPr="00686AF4" w:rsidRDefault="00972051" w:rsidP="00300B74">
            <w:pPr>
              <w:jc w:val="center"/>
              <w:rPr>
                <w:rFonts w:ascii="CAIXA Std Book" w:hAnsi="CAIXA Std Book" w:cs="Calibri"/>
                <w:b/>
                <w:color w:val="005CA9"/>
                <w:sz w:val="16"/>
                <w:szCs w:val="16"/>
              </w:rPr>
            </w:pPr>
            <w:r>
              <w:rPr>
                <w:rFonts w:ascii="CAIXA Std Book" w:hAnsi="CAIXA Std Book" w:cs="Calibri"/>
                <w:b/>
                <w:bCs/>
                <w:color w:val="005CA9"/>
                <w:sz w:val="16"/>
                <w:szCs w:val="16"/>
              </w:rPr>
              <w:t>-</w:t>
            </w:r>
          </w:p>
        </w:tc>
        <w:tc>
          <w:tcPr>
            <w:tcW w:w="452" w:type="pct"/>
            <w:tcBorders>
              <w:top w:val="single" w:sz="4" w:space="0" w:color="FFFFFF" w:themeColor="background1"/>
              <w:left w:val="nil"/>
              <w:bottom w:val="nil"/>
              <w:right w:val="nil"/>
            </w:tcBorders>
            <w:shd w:val="clear" w:color="auto" w:fill="D0E0E3"/>
            <w:noWrap/>
            <w:vAlign w:val="center"/>
          </w:tcPr>
          <w:p w14:paraId="2051E3E5" w14:textId="58BA5401" w:rsidR="00300B74" w:rsidRPr="00686AF4" w:rsidRDefault="00CA722A" w:rsidP="00300B74">
            <w:pPr>
              <w:jc w:val="right"/>
              <w:rPr>
                <w:rFonts w:ascii="CAIXA Std Book" w:hAnsi="CAIXA Std Book" w:cs="Calibri"/>
                <w:b/>
                <w:color w:val="005CA9"/>
                <w:sz w:val="16"/>
                <w:szCs w:val="16"/>
              </w:rPr>
            </w:pPr>
            <w:r w:rsidRPr="00686AF4">
              <w:rPr>
                <w:rFonts w:ascii="CAIXA Std Book" w:hAnsi="CAIXA Std Book" w:cs="Calibri"/>
                <w:b/>
                <w:color w:val="005CA9"/>
                <w:sz w:val="16"/>
                <w:szCs w:val="16"/>
              </w:rPr>
              <w:t>6.188.544</w:t>
            </w:r>
          </w:p>
        </w:tc>
      </w:tr>
      <w:tr w:rsidR="000C1815" w:rsidRPr="006F7A41" w14:paraId="75F0DFCB" w14:textId="77777777" w:rsidTr="00972051">
        <w:trPr>
          <w:trHeight w:val="283"/>
        </w:trPr>
        <w:tc>
          <w:tcPr>
            <w:tcW w:w="2278" w:type="pct"/>
            <w:tcBorders>
              <w:top w:val="nil"/>
              <w:left w:val="nil"/>
              <w:bottom w:val="nil"/>
              <w:right w:val="nil"/>
            </w:tcBorders>
            <w:noWrap/>
            <w:vAlign w:val="center"/>
            <w:hideMark/>
          </w:tcPr>
          <w:p w14:paraId="286D1885" w14:textId="77777777" w:rsidR="00300B74" w:rsidRPr="00160360" w:rsidRDefault="00300B74" w:rsidP="00300B74">
            <w:pPr>
              <w:ind w:firstLineChars="100" w:firstLine="160"/>
              <w:rPr>
                <w:rFonts w:ascii="CAIXA Std Book" w:eastAsia="Times New Roman" w:hAnsi="CAIXA Std Book" w:cs="Arial"/>
                <w:color w:val="005CA9"/>
                <w:sz w:val="16"/>
                <w:szCs w:val="16"/>
              </w:rPr>
            </w:pPr>
            <w:r w:rsidRPr="00160360">
              <w:rPr>
                <w:rFonts w:ascii="CAIXA Std Book" w:eastAsia="Times New Roman" w:hAnsi="CAIXA Std Book" w:cs="Arial"/>
                <w:color w:val="005CA9"/>
                <w:sz w:val="16"/>
                <w:szCs w:val="16"/>
              </w:rPr>
              <w:t>Correntes</w:t>
            </w:r>
          </w:p>
        </w:tc>
        <w:tc>
          <w:tcPr>
            <w:tcW w:w="454" w:type="pct"/>
            <w:tcBorders>
              <w:top w:val="nil"/>
              <w:left w:val="nil"/>
              <w:bottom w:val="nil"/>
              <w:right w:val="nil"/>
            </w:tcBorders>
            <w:noWrap/>
            <w:vAlign w:val="center"/>
          </w:tcPr>
          <w:p w14:paraId="7C525E23" w14:textId="478D08F1" w:rsidR="00300B74" w:rsidRPr="00686AF4" w:rsidRDefault="004B24D2" w:rsidP="00300B74">
            <w:pPr>
              <w:jc w:val="right"/>
              <w:rPr>
                <w:rFonts w:ascii="CAIXA Std Book" w:hAnsi="CAIXA Std Book" w:cs="Arial"/>
                <w:color w:val="005CA9"/>
                <w:sz w:val="16"/>
                <w:szCs w:val="16"/>
              </w:rPr>
            </w:pPr>
            <w:r>
              <w:rPr>
                <w:rFonts w:ascii="CAIXA Std Book" w:hAnsi="CAIXA Std Book" w:cs="Calibri"/>
                <w:color w:val="005CA9"/>
                <w:sz w:val="16"/>
                <w:szCs w:val="16"/>
              </w:rPr>
              <w:t>1.639.860</w:t>
            </w:r>
          </w:p>
        </w:tc>
        <w:tc>
          <w:tcPr>
            <w:tcW w:w="454" w:type="pct"/>
            <w:tcBorders>
              <w:top w:val="nil"/>
              <w:left w:val="nil"/>
              <w:bottom w:val="nil"/>
              <w:right w:val="nil"/>
            </w:tcBorders>
            <w:noWrap/>
            <w:vAlign w:val="center"/>
          </w:tcPr>
          <w:p w14:paraId="7EF2566A" w14:textId="073839BA" w:rsidR="00300B74" w:rsidRPr="00686AF4" w:rsidRDefault="004B24D2" w:rsidP="00300B74">
            <w:pPr>
              <w:jc w:val="center"/>
              <w:rPr>
                <w:rFonts w:ascii="CAIXA Std Book" w:hAnsi="CAIXA Std Book" w:cs="Arial"/>
                <w:color w:val="005CA9"/>
                <w:sz w:val="16"/>
                <w:szCs w:val="16"/>
              </w:rPr>
            </w:pPr>
            <w:r>
              <w:rPr>
                <w:rFonts w:ascii="CAIXA Std Book" w:hAnsi="CAIXA Std Book" w:cs="Calibri"/>
                <w:color w:val="005CA9"/>
                <w:sz w:val="16"/>
                <w:szCs w:val="16"/>
              </w:rPr>
              <w:t>-</w:t>
            </w:r>
          </w:p>
        </w:tc>
        <w:tc>
          <w:tcPr>
            <w:tcW w:w="454" w:type="pct"/>
            <w:tcBorders>
              <w:top w:val="nil"/>
              <w:left w:val="nil"/>
              <w:bottom w:val="nil"/>
              <w:right w:val="nil"/>
            </w:tcBorders>
            <w:noWrap/>
            <w:vAlign w:val="center"/>
          </w:tcPr>
          <w:p w14:paraId="31EA261B" w14:textId="30D81D0D" w:rsidR="00300B74" w:rsidRPr="00686AF4" w:rsidRDefault="004B24D2" w:rsidP="00300B74">
            <w:pPr>
              <w:jc w:val="right"/>
              <w:rPr>
                <w:rFonts w:ascii="CAIXA Std Book" w:hAnsi="CAIXA Std Book" w:cs="Arial"/>
                <w:color w:val="005CA9"/>
                <w:sz w:val="16"/>
                <w:szCs w:val="16"/>
              </w:rPr>
            </w:pPr>
            <w:r>
              <w:rPr>
                <w:rFonts w:ascii="CAIXA Std Book" w:hAnsi="CAIXA Std Book" w:cs="Calibri"/>
                <w:color w:val="005CA9"/>
                <w:sz w:val="16"/>
                <w:szCs w:val="16"/>
              </w:rPr>
              <w:t>1.639.860</w:t>
            </w:r>
          </w:p>
        </w:tc>
        <w:tc>
          <w:tcPr>
            <w:tcW w:w="454" w:type="pct"/>
            <w:tcBorders>
              <w:top w:val="nil"/>
              <w:left w:val="nil"/>
              <w:bottom w:val="nil"/>
              <w:right w:val="nil"/>
            </w:tcBorders>
            <w:noWrap/>
            <w:vAlign w:val="center"/>
          </w:tcPr>
          <w:p w14:paraId="7EC4AE8D" w14:textId="2C833FBE" w:rsidR="00300B74" w:rsidRPr="00686AF4" w:rsidRDefault="00CA722A" w:rsidP="00300B74">
            <w:pPr>
              <w:jc w:val="right"/>
              <w:rPr>
                <w:rFonts w:ascii="CAIXA Std Book" w:hAnsi="CAIXA Std Book" w:cs="Arial"/>
                <w:color w:val="005CA9"/>
                <w:sz w:val="16"/>
                <w:szCs w:val="16"/>
              </w:rPr>
            </w:pPr>
            <w:r w:rsidRPr="00686AF4">
              <w:rPr>
                <w:rFonts w:ascii="CAIXA Std Book" w:hAnsi="CAIXA Std Book" w:cs="Calibri"/>
                <w:color w:val="005CA9"/>
                <w:sz w:val="16"/>
                <w:szCs w:val="16"/>
              </w:rPr>
              <w:t>1.710.920</w:t>
            </w:r>
          </w:p>
        </w:tc>
        <w:tc>
          <w:tcPr>
            <w:tcW w:w="454" w:type="pct"/>
            <w:tcBorders>
              <w:top w:val="nil"/>
              <w:left w:val="nil"/>
              <w:bottom w:val="nil"/>
              <w:right w:val="nil"/>
            </w:tcBorders>
            <w:noWrap/>
            <w:vAlign w:val="center"/>
          </w:tcPr>
          <w:p w14:paraId="5A6941C5" w14:textId="74C9B282" w:rsidR="00300B74" w:rsidRPr="00686AF4" w:rsidRDefault="006E4EFA" w:rsidP="00300B74">
            <w:pPr>
              <w:jc w:val="center"/>
              <w:rPr>
                <w:rFonts w:ascii="CAIXA Std Book" w:hAnsi="CAIXA Std Book" w:cs="Arial"/>
                <w:color w:val="005CA9"/>
                <w:sz w:val="16"/>
                <w:szCs w:val="16"/>
              </w:rPr>
            </w:pPr>
            <w:r w:rsidRPr="00686AF4">
              <w:rPr>
                <w:rFonts w:ascii="CAIXA Std Book" w:hAnsi="CAIXA Std Book" w:cs="Calibri"/>
                <w:color w:val="005CA9"/>
                <w:sz w:val="16"/>
                <w:szCs w:val="16"/>
              </w:rPr>
              <w:t>-</w:t>
            </w:r>
          </w:p>
        </w:tc>
        <w:tc>
          <w:tcPr>
            <w:tcW w:w="452" w:type="pct"/>
            <w:tcBorders>
              <w:top w:val="nil"/>
              <w:left w:val="nil"/>
              <w:bottom w:val="nil"/>
              <w:right w:val="nil"/>
            </w:tcBorders>
            <w:noWrap/>
            <w:vAlign w:val="center"/>
          </w:tcPr>
          <w:p w14:paraId="130D07CC" w14:textId="2CCB2E8F" w:rsidR="00300B74" w:rsidRPr="00686AF4" w:rsidRDefault="00CA722A" w:rsidP="00300B74">
            <w:pPr>
              <w:jc w:val="right"/>
              <w:rPr>
                <w:rFonts w:ascii="CAIXA Std Book" w:hAnsi="CAIXA Std Book" w:cs="Arial"/>
                <w:color w:val="005CA9"/>
                <w:sz w:val="16"/>
                <w:szCs w:val="16"/>
              </w:rPr>
            </w:pPr>
            <w:r w:rsidRPr="00686AF4">
              <w:rPr>
                <w:rFonts w:ascii="CAIXA Std Book" w:hAnsi="CAIXA Std Book" w:cs="Calibri"/>
                <w:color w:val="005CA9"/>
                <w:sz w:val="16"/>
                <w:szCs w:val="16"/>
              </w:rPr>
              <w:t>1.710.920</w:t>
            </w:r>
          </w:p>
        </w:tc>
      </w:tr>
      <w:tr w:rsidR="000C1815" w:rsidRPr="006F7A41" w14:paraId="21EE4FA8" w14:textId="77777777" w:rsidTr="00C5159C">
        <w:trPr>
          <w:trHeight w:val="283"/>
        </w:trPr>
        <w:tc>
          <w:tcPr>
            <w:tcW w:w="2278" w:type="pct"/>
            <w:tcBorders>
              <w:top w:val="nil"/>
              <w:left w:val="nil"/>
              <w:right w:val="nil"/>
            </w:tcBorders>
            <w:noWrap/>
            <w:vAlign w:val="center"/>
            <w:hideMark/>
          </w:tcPr>
          <w:p w14:paraId="34C661E9" w14:textId="77777777" w:rsidR="00300B74" w:rsidRPr="00160360" w:rsidRDefault="00300B74" w:rsidP="00300B74">
            <w:pPr>
              <w:ind w:firstLineChars="100" w:firstLine="160"/>
              <w:rPr>
                <w:rFonts w:ascii="CAIXA Std Book" w:eastAsia="Times New Roman" w:hAnsi="CAIXA Std Book" w:cs="Arial"/>
                <w:color w:val="005CA9"/>
                <w:sz w:val="16"/>
                <w:szCs w:val="16"/>
              </w:rPr>
            </w:pPr>
            <w:r w:rsidRPr="00160360">
              <w:rPr>
                <w:rFonts w:ascii="CAIXA Std Book" w:eastAsia="Times New Roman" w:hAnsi="CAIXA Std Book" w:cs="Arial"/>
                <w:color w:val="005CA9"/>
                <w:sz w:val="16"/>
                <w:szCs w:val="16"/>
              </w:rPr>
              <w:t>Diferidos</w:t>
            </w:r>
          </w:p>
        </w:tc>
        <w:tc>
          <w:tcPr>
            <w:tcW w:w="454" w:type="pct"/>
            <w:tcBorders>
              <w:top w:val="nil"/>
              <w:left w:val="nil"/>
              <w:right w:val="nil"/>
            </w:tcBorders>
            <w:noWrap/>
            <w:vAlign w:val="center"/>
          </w:tcPr>
          <w:p w14:paraId="39A70887" w14:textId="0B2D457D" w:rsidR="00300B74" w:rsidRPr="00686AF4" w:rsidRDefault="004B24D2" w:rsidP="00300B74">
            <w:pPr>
              <w:jc w:val="right"/>
              <w:rPr>
                <w:rFonts w:ascii="CAIXA Std Book" w:hAnsi="CAIXA Std Book" w:cs="Arial"/>
                <w:color w:val="005CA9"/>
                <w:sz w:val="16"/>
                <w:szCs w:val="16"/>
              </w:rPr>
            </w:pPr>
            <w:r>
              <w:rPr>
                <w:rFonts w:ascii="CAIXA Std Book" w:hAnsi="CAIXA Std Book" w:cs="Calibri"/>
                <w:color w:val="005CA9"/>
                <w:sz w:val="16"/>
                <w:szCs w:val="16"/>
              </w:rPr>
              <w:t>4.644.927</w:t>
            </w:r>
          </w:p>
        </w:tc>
        <w:tc>
          <w:tcPr>
            <w:tcW w:w="454" w:type="pct"/>
            <w:tcBorders>
              <w:top w:val="nil"/>
              <w:left w:val="nil"/>
              <w:right w:val="nil"/>
            </w:tcBorders>
            <w:noWrap/>
            <w:vAlign w:val="center"/>
          </w:tcPr>
          <w:p w14:paraId="57FEF790" w14:textId="5049D807" w:rsidR="00300B74" w:rsidRPr="00686AF4" w:rsidRDefault="004B24D2" w:rsidP="00300B74">
            <w:pPr>
              <w:jc w:val="center"/>
              <w:rPr>
                <w:rFonts w:ascii="CAIXA Std Book" w:hAnsi="CAIXA Std Book" w:cs="Arial"/>
                <w:color w:val="005CA9"/>
                <w:sz w:val="16"/>
                <w:szCs w:val="16"/>
              </w:rPr>
            </w:pPr>
            <w:r>
              <w:rPr>
                <w:rFonts w:ascii="CAIXA Std Book" w:hAnsi="CAIXA Std Book" w:cs="Calibri"/>
                <w:color w:val="005CA9"/>
                <w:sz w:val="16"/>
                <w:szCs w:val="16"/>
              </w:rPr>
              <w:t>-</w:t>
            </w:r>
          </w:p>
        </w:tc>
        <w:tc>
          <w:tcPr>
            <w:tcW w:w="454" w:type="pct"/>
            <w:tcBorders>
              <w:top w:val="nil"/>
              <w:left w:val="nil"/>
              <w:right w:val="nil"/>
            </w:tcBorders>
            <w:noWrap/>
            <w:vAlign w:val="center"/>
          </w:tcPr>
          <w:p w14:paraId="6B6C24F4" w14:textId="388D46F1" w:rsidR="00300B74" w:rsidRPr="00686AF4" w:rsidRDefault="004B24D2" w:rsidP="00300B74">
            <w:pPr>
              <w:jc w:val="right"/>
              <w:rPr>
                <w:rFonts w:ascii="CAIXA Std Book" w:hAnsi="CAIXA Std Book" w:cs="Arial"/>
                <w:color w:val="005CA9"/>
                <w:sz w:val="16"/>
                <w:szCs w:val="16"/>
              </w:rPr>
            </w:pPr>
            <w:r>
              <w:rPr>
                <w:rFonts w:ascii="CAIXA Std Book" w:hAnsi="CAIXA Std Book" w:cs="Calibri"/>
                <w:color w:val="005CA9"/>
                <w:sz w:val="16"/>
                <w:szCs w:val="16"/>
              </w:rPr>
              <w:t>4.644.927</w:t>
            </w:r>
          </w:p>
        </w:tc>
        <w:tc>
          <w:tcPr>
            <w:tcW w:w="454" w:type="pct"/>
            <w:tcBorders>
              <w:top w:val="nil"/>
              <w:left w:val="nil"/>
              <w:right w:val="nil"/>
            </w:tcBorders>
            <w:noWrap/>
            <w:vAlign w:val="center"/>
          </w:tcPr>
          <w:p w14:paraId="2ED29615" w14:textId="2EECF635" w:rsidR="00300B74" w:rsidRPr="00686AF4" w:rsidRDefault="00CA722A" w:rsidP="00300B74">
            <w:pPr>
              <w:jc w:val="right"/>
              <w:rPr>
                <w:rFonts w:ascii="CAIXA Std Book" w:hAnsi="CAIXA Std Book" w:cs="Arial"/>
                <w:color w:val="005CA9"/>
                <w:sz w:val="16"/>
                <w:szCs w:val="16"/>
              </w:rPr>
            </w:pPr>
            <w:r w:rsidRPr="00686AF4">
              <w:rPr>
                <w:rFonts w:ascii="CAIXA Std Book" w:hAnsi="CAIXA Std Book" w:cs="Calibri"/>
                <w:color w:val="005CA9"/>
                <w:sz w:val="16"/>
                <w:szCs w:val="16"/>
              </w:rPr>
              <w:t>4.477.624</w:t>
            </w:r>
          </w:p>
        </w:tc>
        <w:tc>
          <w:tcPr>
            <w:tcW w:w="454" w:type="pct"/>
            <w:tcBorders>
              <w:top w:val="nil"/>
              <w:left w:val="nil"/>
              <w:right w:val="nil"/>
            </w:tcBorders>
            <w:noWrap/>
            <w:vAlign w:val="center"/>
          </w:tcPr>
          <w:p w14:paraId="5FD47DC4" w14:textId="5999A457" w:rsidR="00300B74" w:rsidRPr="00686AF4" w:rsidRDefault="00254161" w:rsidP="00300B74">
            <w:pPr>
              <w:jc w:val="center"/>
              <w:rPr>
                <w:rFonts w:ascii="CAIXA Std Book" w:hAnsi="CAIXA Std Book" w:cs="Arial"/>
                <w:color w:val="005CA9"/>
                <w:sz w:val="16"/>
                <w:szCs w:val="16"/>
              </w:rPr>
            </w:pPr>
            <w:r w:rsidRPr="00686AF4">
              <w:rPr>
                <w:rFonts w:ascii="CAIXA Std Book" w:hAnsi="CAIXA Std Book" w:cs="Calibri"/>
                <w:color w:val="005CA9"/>
                <w:sz w:val="16"/>
                <w:szCs w:val="16"/>
              </w:rPr>
              <w:t>-</w:t>
            </w:r>
          </w:p>
        </w:tc>
        <w:tc>
          <w:tcPr>
            <w:tcW w:w="452" w:type="pct"/>
            <w:tcBorders>
              <w:top w:val="nil"/>
              <w:left w:val="nil"/>
              <w:right w:val="nil"/>
            </w:tcBorders>
            <w:noWrap/>
            <w:vAlign w:val="center"/>
          </w:tcPr>
          <w:p w14:paraId="75E9B5BF" w14:textId="712C0838" w:rsidR="00300B74" w:rsidRPr="00686AF4" w:rsidRDefault="00CA722A" w:rsidP="00300B74">
            <w:pPr>
              <w:jc w:val="right"/>
              <w:rPr>
                <w:rFonts w:ascii="CAIXA Std Book" w:hAnsi="CAIXA Std Book" w:cs="Arial"/>
                <w:color w:val="005CA9"/>
                <w:sz w:val="16"/>
                <w:szCs w:val="16"/>
              </w:rPr>
            </w:pPr>
            <w:r w:rsidRPr="00686AF4">
              <w:rPr>
                <w:rFonts w:ascii="CAIXA Std Book" w:hAnsi="CAIXA Std Book" w:cs="Calibri"/>
                <w:color w:val="005CA9"/>
                <w:sz w:val="16"/>
                <w:szCs w:val="16"/>
              </w:rPr>
              <w:t>4.477.624</w:t>
            </w:r>
          </w:p>
        </w:tc>
      </w:tr>
      <w:tr w:rsidR="000C1815" w:rsidRPr="006F7A41" w14:paraId="01E2A42D" w14:textId="77777777" w:rsidTr="00C5159C">
        <w:trPr>
          <w:trHeight w:val="283"/>
        </w:trPr>
        <w:tc>
          <w:tcPr>
            <w:tcW w:w="2278" w:type="pct"/>
            <w:tcBorders>
              <w:top w:val="nil"/>
              <w:left w:val="nil"/>
              <w:bottom w:val="single" w:sz="4" w:space="0" w:color="FFFFFF" w:themeColor="background1"/>
              <w:right w:val="nil"/>
            </w:tcBorders>
            <w:shd w:val="clear" w:color="auto" w:fill="D0E0E3"/>
            <w:noWrap/>
            <w:vAlign w:val="center"/>
            <w:hideMark/>
          </w:tcPr>
          <w:p w14:paraId="4E72AFD4" w14:textId="77777777" w:rsidR="00E62DC7" w:rsidRPr="00160360" w:rsidRDefault="00E62DC7" w:rsidP="00E62DC7">
            <w:pPr>
              <w:rPr>
                <w:rFonts w:ascii="CAIXA Std Book" w:eastAsia="Times New Roman" w:hAnsi="CAIXA Std Book" w:cs="Arial"/>
                <w:b/>
                <w:color w:val="005CA9"/>
                <w:sz w:val="16"/>
                <w:szCs w:val="16"/>
              </w:rPr>
            </w:pPr>
            <w:r w:rsidRPr="00160360">
              <w:rPr>
                <w:rFonts w:ascii="CAIXA Std Book" w:eastAsia="Times New Roman" w:hAnsi="CAIXA Std Book" w:cs="Arial"/>
                <w:b/>
                <w:color w:val="005CA9"/>
                <w:sz w:val="16"/>
                <w:szCs w:val="16"/>
              </w:rPr>
              <w:t>Passivos atuariais</w:t>
            </w:r>
          </w:p>
        </w:tc>
        <w:tc>
          <w:tcPr>
            <w:tcW w:w="454" w:type="pct"/>
            <w:tcBorders>
              <w:top w:val="nil"/>
              <w:left w:val="nil"/>
              <w:bottom w:val="single" w:sz="4" w:space="0" w:color="FFFFFF" w:themeColor="background1"/>
              <w:right w:val="nil"/>
            </w:tcBorders>
            <w:shd w:val="clear" w:color="auto" w:fill="D0E0E3"/>
            <w:noWrap/>
            <w:vAlign w:val="center"/>
          </w:tcPr>
          <w:p w14:paraId="20D04304" w14:textId="71650932" w:rsidR="00E62DC7" w:rsidRPr="00686AF4" w:rsidRDefault="00DA6AA7" w:rsidP="00A0372D">
            <w:pPr>
              <w:jc w:val="right"/>
              <w:rPr>
                <w:rFonts w:ascii="CAIXA Std Book" w:hAnsi="CAIXA Std Book" w:cs="Calibri"/>
                <w:b/>
                <w:color w:val="005CA9"/>
                <w:sz w:val="16"/>
                <w:szCs w:val="16"/>
              </w:rPr>
            </w:pPr>
            <w:r>
              <w:rPr>
                <w:rFonts w:ascii="CAIXA Std Book" w:hAnsi="CAIXA Std Book" w:cs="Calibri"/>
                <w:b/>
                <w:color w:val="005CA9"/>
                <w:sz w:val="16"/>
                <w:szCs w:val="16"/>
              </w:rPr>
              <w:t>8.122.668</w:t>
            </w:r>
          </w:p>
        </w:tc>
        <w:tc>
          <w:tcPr>
            <w:tcW w:w="454" w:type="pct"/>
            <w:tcBorders>
              <w:top w:val="nil"/>
              <w:left w:val="nil"/>
              <w:bottom w:val="single" w:sz="4" w:space="0" w:color="FFFFFF" w:themeColor="background1"/>
              <w:right w:val="nil"/>
            </w:tcBorders>
            <w:shd w:val="clear" w:color="auto" w:fill="D0E0E3"/>
            <w:noWrap/>
            <w:vAlign w:val="center"/>
          </w:tcPr>
          <w:p w14:paraId="70A7B29D" w14:textId="4EDB9147" w:rsidR="00E62DC7" w:rsidRPr="00686AF4" w:rsidRDefault="00DA6AA7" w:rsidP="00A0372D">
            <w:pPr>
              <w:jc w:val="right"/>
              <w:rPr>
                <w:rFonts w:ascii="CAIXA Std Book" w:hAnsi="CAIXA Std Book" w:cs="Calibri"/>
                <w:b/>
                <w:color w:val="005CA9"/>
                <w:sz w:val="16"/>
                <w:szCs w:val="16"/>
              </w:rPr>
            </w:pPr>
            <w:r>
              <w:rPr>
                <w:rFonts w:ascii="CAIXA Std Book" w:hAnsi="CAIXA Std Book" w:cs="Calibri"/>
                <w:b/>
                <w:color w:val="005CA9"/>
                <w:sz w:val="16"/>
                <w:szCs w:val="16"/>
              </w:rPr>
              <w:t>13.735.</w:t>
            </w:r>
            <w:r w:rsidR="00C93960">
              <w:rPr>
                <w:rFonts w:ascii="CAIXA Std Book" w:hAnsi="CAIXA Std Book" w:cs="Calibri"/>
                <w:b/>
                <w:color w:val="005CA9"/>
                <w:sz w:val="16"/>
                <w:szCs w:val="16"/>
              </w:rPr>
              <w:t>048</w:t>
            </w:r>
          </w:p>
        </w:tc>
        <w:tc>
          <w:tcPr>
            <w:tcW w:w="454" w:type="pct"/>
            <w:tcBorders>
              <w:top w:val="nil"/>
              <w:left w:val="nil"/>
              <w:bottom w:val="single" w:sz="4" w:space="0" w:color="FFFFFF" w:themeColor="background1"/>
              <w:right w:val="nil"/>
            </w:tcBorders>
            <w:shd w:val="clear" w:color="auto" w:fill="D0E0E3"/>
            <w:noWrap/>
            <w:vAlign w:val="center"/>
          </w:tcPr>
          <w:p w14:paraId="6C7C19C8" w14:textId="23797158" w:rsidR="00E62DC7" w:rsidRPr="00686AF4" w:rsidRDefault="00C93960" w:rsidP="00A0372D">
            <w:pPr>
              <w:jc w:val="right"/>
              <w:rPr>
                <w:rFonts w:ascii="CAIXA Std Book" w:hAnsi="CAIXA Std Book" w:cs="Calibri"/>
                <w:b/>
                <w:color w:val="005CA9"/>
                <w:sz w:val="16"/>
                <w:szCs w:val="16"/>
              </w:rPr>
            </w:pPr>
            <w:r>
              <w:rPr>
                <w:rFonts w:ascii="CAIXA Std Book" w:hAnsi="CAIXA Std Book" w:cs="Calibri"/>
                <w:b/>
                <w:color w:val="005CA9"/>
                <w:sz w:val="16"/>
                <w:szCs w:val="16"/>
              </w:rPr>
              <w:t>21.857.716</w:t>
            </w:r>
          </w:p>
        </w:tc>
        <w:tc>
          <w:tcPr>
            <w:tcW w:w="454" w:type="pct"/>
            <w:tcBorders>
              <w:top w:val="nil"/>
              <w:left w:val="nil"/>
              <w:bottom w:val="single" w:sz="4" w:space="0" w:color="FFFFFF" w:themeColor="background1"/>
              <w:right w:val="nil"/>
            </w:tcBorders>
            <w:shd w:val="clear" w:color="auto" w:fill="D0E0E3"/>
            <w:noWrap/>
            <w:vAlign w:val="center"/>
          </w:tcPr>
          <w:p w14:paraId="6FF60B75" w14:textId="1F11DF2A" w:rsidR="00E62DC7" w:rsidRPr="00686AF4" w:rsidRDefault="00A0372D" w:rsidP="00A0372D">
            <w:pPr>
              <w:jc w:val="right"/>
              <w:rPr>
                <w:rFonts w:ascii="CAIXA Std Book" w:hAnsi="CAIXA Std Book" w:cs="Arial"/>
                <w:b/>
                <w:color w:val="005CA9"/>
                <w:sz w:val="16"/>
                <w:szCs w:val="16"/>
              </w:rPr>
            </w:pPr>
            <w:r w:rsidRPr="00686AF4">
              <w:rPr>
                <w:rFonts w:ascii="CAIXA Std Book" w:hAnsi="CAIXA Std Book" w:cs="Calibri"/>
                <w:b/>
                <w:color w:val="005CA9"/>
                <w:sz w:val="16"/>
                <w:szCs w:val="16"/>
              </w:rPr>
              <w:t>8.281.808</w:t>
            </w:r>
          </w:p>
        </w:tc>
        <w:tc>
          <w:tcPr>
            <w:tcW w:w="454" w:type="pct"/>
            <w:tcBorders>
              <w:top w:val="nil"/>
              <w:left w:val="nil"/>
              <w:bottom w:val="single" w:sz="4" w:space="0" w:color="FFFFFF" w:themeColor="background1"/>
              <w:right w:val="nil"/>
            </w:tcBorders>
            <w:shd w:val="clear" w:color="auto" w:fill="D0E0E3"/>
            <w:noWrap/>
            <w:vAlign w:val="center"/>
          </w:tcPr>
          <w:p w14:paraId="4D2286CE" w14:textId="3B17F357" w:rsidR="00E62DC7" w:rsidRPr="00686AF4" w:rsidRDefault="00A0372D" w:rsidP="00A0372D">
            <w:pPr>
              <w:jc w:val="right"/>
              <w:rPr>
                <w:rFonts w:ascii="CAIXA Std Book" w:hAnsi="CAIXA Std Book" w:cs="Arial"/>
                <w:b/>
                <w:color w:val="005CA9"/>
                <w:sz w:val="16"/>
                <w:szCs w:val="16"/>
              </w:rPr>
            </w:pPr>
            <w:r w:rsidRPr="00686AF4">
              <w:rPr>
                <w:rFonts w:ascii="CAIXA Std Book" w:hAnsi="CAIXA Std Book" w:cs="Calibri"/>
                <w:b/>
                <w:color w:val="005CA9"/>
                <w:sz w:val="16"/>
                <w:szCs w:val="16"/>
              </w:rPr>
              <w:t>13.654.905</w:t>
            </w:r>
          </w:p>
        </w:tc>
        <w:tc>
          <w:tcPr>
            <w:tcW w:w="452" w:type="pct"/>
            <w:tcBorders>
              <w:top w:val="nil"/>
              <w:left w:val="nil"/>
              <w:bottom w:val="single" w:sz="4" w:space="0" w:color="FFFFFF" w:themeColor="background1"/>
              <w:right w:val="nil"/>
            </w:tcBorders>
            <w:shd w:val="clear" w:color="auto" w:fill="D0E0E3"/>
            <w:noWrap/>
            <w:vAlign w:val="center"/>
          </w:tcPr>
          <w:p w14:paraId="409A7E0E" w14:textId="2A69A03D" w:rsidR="00E62DC7" w:rsidRPr="00686AF4" w:rsidRDefault="00A0372D" w:rsidP="00A0372D">
            <w:pPr>
              <w:jc w:val="right"/>
              <w:rPr>
                <w:rFonts w:ascii="CAIXA Std Book" w:hAnsi="CAIXA Std Book" w:cs="Arial"/>
                <w:b/>
                <w:color w:val="005CA9"/>
                <w:sz w:val="16"/>
                <w:szCs w:val="16"/>
              </w:rPr>
            </w:pPr>
            <w:r w:rsidRPr="00686AF4">
              <w:rPr>
                <w:rFonts w:ascii="CAIXA Std Book" w:hAnsi="CAIXA Std Book" w:cs="Calibri"/>
                <w:b/>
                <w:color w:val="005CA9"/>
                <w:sz w:val="16"/>
                <w:szCs w:val="16"/>
              </w:rPr>
              <w:t>21.936.713</w:t>
            </w:r>
          </w:p>
        </w:tc>
      </w:tr>
      <w:tr w:rsidR="000C1815" w:rsidRPr="006F7A41" w14:paraId="2F7F0A3C" w14:textId="77777777" w:rsidTr="00C5159C">
        <w:trPr>
          <w:trHeight w:val="283"/>
        </w:trPr>
        <w:tc>
          <w:tcPr>
            <w:tcW w:w="2278" w:type="pct"/>
            <w:tcBorders>
              <w:top w:val="single" w:sz="4" w:space="0" w:color="FFFFFF" w:themeColor="background1"/>
              <w:left w:val="nil"/>
              <w:bottom w:val="single" w:sz="4" w:space="0" w:color="FFFFFF" w:themeColor="background1"/>
              <w:right w:val="nil"/>
            </w:tcBorders>
            <w:shd w:val="clear" w:color="auto" w:fill="D0E0E3"/>
            <w:noWrap/>
            <w:vAlign w:val="center"/>
            <w:hideMark/>
          </w:tcPr>
          <w:p w14:paraId="6EC0F197" w14:textId="77777777" w:rsidR="00E62DC7" w:rsidRPr="00160360" w:rsidRDefault="00E62DC7" w:rsidP="00E62DC7">
            <w:pPr>
              <w:rPr>
                <w:rFonts w:ascii="CAIXA Std Book" w:eastAsia="Times New Roman" w:hAnsi="CAIXA Std Book" w:cs="Arial"/>
                <w:b/>
                <w:color w:val="005CA9"/>
                <w:sz w:val="16"/>
                <w:szCs w:val="16"/>
              </w:rPr>
            </w:pPr>
            <w:r w:rsidRPr="00160360">
              <w:rPr>
                <w:rFonts w:ascii="CAIXA Std Book" w:eastAsia="Times New Roman" w:hAnsi="CAIXA Std Book" w:cs="Arial"/>
                <w:b/>
                <w:color w:val="005CA9"/>
                <w:sz w:val="16"/>
                <w:szCs w:val="16"/>
              </w:rPr>
              <w:t>Outros passivos</w:t>
            </w:r>
          </w:p>
        </w:tc>
        <w:tc>
          <w:tcPr>
            <w:tcW w:w="454" w:type="pct"/>
            <w:tcBorders>
              <w:top w:val="single" w:sz="4" w:space="0" w:color="FFFFFF" w:themeColor="background1"/>
              <w:left w:val="nil"/>
              <w:bottom w:val="single" w:sz="4" w:space="0" w:color="FFFFFF" w:themeColor="background1"/>
              <w:right w:val="nil"/>
            </w:tcBorders>
            <w:shd w:val="clear" w:color="auto" w:fill="D0E0E3"/>
            <w:noWrap/>
            <w:vAlign w:val="center"/>
          </w:tcPr>
          <w:p w14:paraId="7B01243E" w14:textId="594C0B88" w:rsidR="00E62DC7" w:rsidRPr="00686AF4" w:rsidRDefault="00576E01" w:rsidP="00E62DC7">
            <w:pPr>
              <w:jc w:val="right"/>
              <w:rPr>
                <w:rFonts w:ascii="CAIXA Std Book" w:hAnsi="CAIXA Std Book" w:cs="Arial"/>
                <w:b/>
                <w:color w:val="005CA9"/>
                <w:sz w:val="16"/>
                <w:szCs w:val="16"/>
              </w:rPr>
            </w:pPr>
            <w:r>
              <w:rPr>
                <w:rFonts w:ascii="CAIXA Std Book" w:hAnsi="CAIXA Std Book" w:cs="Calibri"/>
                <w:b/>
                <w:color w:val="005CA9"/>
                <w:sz w:val="16"/>
                <w:szCs w:val="16"/>
              </w:rPr>
              <w:t>30.647.289</w:t>
            </w:r>
          </w:p>
        </w:tc>
        <w:tc>
          <w:tcPr>
            <w:tcW w:w="454" w:type="pct"/>
            <w:tcBorders>
              <w:top w:val="single" w:sz="4" w:space="0" w:color="FFFFFF" w:themeColor="background1"/>
              <w:left w:val="nil"/>
              <w:bottom w:val="single" w:sz="4" w:space="0" w:color="FFFFFF" w:themeColor="background1"/>
              <w:right w:val="nil"/>
            </w:tcBorders>
            <w:shd w:val="clear" w:color="auto" w:fill="D0E0E3"/>
            <w:noWrap/>
            <w:vAlign w:val="center"/>
          </w:tcPr>
          <w:p w14:paraId="75D84F23" w14:textId="5B1D304A" w:rsidR="00E62DC7" w:rsidRPr="00686AF4" w:rsidRDefault="00576E01" w:rsidP="00460520">
            <w:pPr>
              <w:jc w:val="center"/>
              <w:rPr>
                <w:rFonts w:ascii="CAIXA Std Book" w:hAnsi="CAIXA Std Book" w:cs="Arial"/>
                <w:b/>
                <w:color w:val="005CA9"/>
                <w:sz w:val="16"/>
                <w:szCs w:val="16"/>
              </w:rPr>
            </w:pPr>
            <w:r>
              <w:rPr>
                <w:rFonts w:ascii="CAIXA Std Book" w:hAnsi="CAIXA Std Book" w:cs="Calibri"/>
                <w:b/>
                <w:color w:val="005CA9"/>
                <w:sz w:val="16"/>
                <w:szCs w:val="16"/>
              </w:rPr>
              <w:t>-</w:t>
            </w:r>
          </w:p>
        </w:tc>
        <w:tc>
          <w:tcPr>
            <w:tcW w:w="454" w:type="pct"/>
            <w:tcBorders>
              <w:top w:val="single" w:sz="4" w:space="0" w:color="FFFFFF" w:themeColor="background1"/>
              <w:left w:val="nil"/>
              <w:bottom w:val="single" w:sz="4" w:space="0" w:color="FFFFFF" w:themeColor="background1"/>
              <w:right w:val="nil"/>
            </w:tcBorders>
            <w:shd w:val="clear" w:color="auto" w:fill="D0E0E3"/>
            <w:noWrap/>
            <w:vAlign w:val="center"/>
          </w:tcPr>
          <w:p w14:paraId="0660F239" w14:textId="6961ED85" w:rsidR="00E62DC7" w:rsidRPr="00686AF4" w:rsidRDefault="00576E01" w:rsidP="00E62DC7">
            <w:pPr>
              <w:jc w:val="right"/>
              <w:rPr>
                <w:rFonts w:ascii="CAIXA Std Book" w:hAnsi="CAIXA Std Book" w:cs="Arial"/>
                <w:b/>
                <w:color w:val="005CA9"/>
                <w:sz w:val="16"/>
                <w:szCs w:val="16"/>
              </w:rPr>
            </w:pPr>
            <w:r>
              <w:rPr>
                <w:rFonts w:ascii="CAIXA Std Book" w:hAnsi="CAIXA Std Book" w:cs="Calibri"/>
                <w:b/>
                <w:color w:val="005CA9"/>
                <w:sz w:val="16"/>
                <w:szCs w:val="16"/>
              </w:rPr>
              <w:t>30.647.289</w:t>
            </w:r>
          </w:p>
        </w:tc>
        <w:tc>
          <w:tcPr>
            <w:tcW w:w="454" w:type="pct"/>
            <w:tcBorders>
              <w:top w:val="single" w:sz="4" w:space="0" w:color="FFFFFF" w:themeColor="background1"/>
              <w:left w:val="nil"/>
              <w:bottom w:val="single" w:sz="4" w:space="0" w:color="FFFFFF" w:themeColor="background1"/>
              <w:right w:val="nil"/>
            </w:tcBorders>
            <w:shd w:val="clear" w:color="auto" w:fill="D0E0E3"/>
            <w:noWrap/>
            <w:vAlign w:val="center"/>
          </w:tcPr>
          <w:p w14:paraId="5039159A" w14:textId="33FFC53E" w:rsidR="00E62DC7" w:rsidRPr="00686AF4" w:rsidRDefault="00CA722A" w:rsidP="00E62DC7">
            <w:pPr>
              <w:jc w:val="right"/>
              <w:rPr>
                <w:rFonts w:ascii="CAIXA Std Book" w:hAnsi="CAIXA Std Book" w:cs="Arial"/>
                <w:b/>
                <w:color w:val="005CA9"/>
                <w:sz w:val="16"/>
                <w:szCs w:val="16"/>
              </w:rPr>
            </w:pPr>
            <w:r w:rsidRPr="00686AF4">
              <w:rPr>
                <w:rFonts w:ascii="CAIXA Std Book" w:hAnsi="CAIXA Std Book" w:cs="Calibri"/>
                <w:b/>
                <w:color w:val="005CA9"/>
                <w:sz w:val="16"/>
                <w:szCs w:val="16"/>
              </w:rPr>
              <w:t>29.310.058</w:t>
            </w:r>
          </w:p>
        </w:tc>
        <w:tc>
          <w:tcPr>
            <w:tcW w:w="454" w:type="pct"/>
            <w:tcBorders>
              <w:top w:val="single" w:sz="4" w:space="0" w:color="FFFFFF" w:themeColor="background1"/>
              <w:left w:val="nil"/>
              <w:bottom w:val="single" w:sz="4" w:space="0" w:color="FFFFFF" w:themeColor="background1"/>
              <w:right w:val="nil"/>
            </w:tcBorders>
            <w:shd w:val="clear" w:color="auto" w:fill="D0E0E3"/>
            <w:noWrap/>
            <w:vAlign w:val="center"/>
          </w:tcPr>
          <w:p w14:paraId="38FE84D2" w14:textId="5D958FE8" w:rsidR="00E62DC7" w:rsidRPr="00686AF4" w:rsidRDefault="00EA6B50" w:rsidP="00477E47">
            <w:pPr>
              <w:jc w:val="center"/>
              <w:rPr>
                <w:rFonts w:ascii="CAIXA Std Book" w:hAnsi="CAIXA Std Book" w:cs="Arial"/>
                <w:b/>
                <w:color w:val="005CA9"/>
                <w:sz w:val="16"/>
                <w:szCs w:val="16"/>
              </w:rPr>
            </w:pPr>
            <w:r w:rsidRPr="00686AF4">
              <w:rPr>
                <w:rFonts w:ascii="CAIXA Std Book" w:hAnsi="CAIXA Std Book" w:cs="Calibri"/>
                <w:b/>
                <w:color w:val="005CA9"/>
                <w:sz w:val="16"/>
                <w:szCs w:val="16"/>
              </w:rPr>
              <w:t>-</w:t>
            </w:r>
          </w:p>
        </w:tc>
        <w:tc>
          <w:tcPr>
            <w:tcW w:w="452" w:type="pct"/>
            <w:tcBorders>
              <w:top w:val="single" w:sz="4" w:space="0" w:color="FFFFFF" w:themeColor="background1"/>
              <w:left w:val="nil"/>
              <w:bottom w:val="single" w:sz="4" w:space="0" w:color="FFFFFF" w:themeColor="background1"/>
              <w:right w:val="nil"/>
            </w:tcBorders>
            <w:shd w:val="clear" w:color="auto" w:fill="D0E0E3"/>
            <w:noWrap/>
            <w:vAlign w:val="center"/>
          </w:tcPr>
          <w:p w14:paraId="173A37E5" w14:textId="23C39912" w:rsidR="00E62DC7" w:rsidRPr="00686AF4" w:rsidRDefault="00CA722A" w:rsidP="00E62DC7">
            <w:pPr>
              <w:jc w:val="right"/>
              <w:rPr>
                <w:rFonts w:ascii="CAIXA Std Book" w:hAnsi="CAIXA Std Book" w:cs="Arial"/>
                <w:b/>
                <w:color w:val="005CA9"/>
                <w:sz w:val="16"/>
                <w:szCs w:val="16"/>
              </w:rPr>
            </w:pPr>
            <w:r w:rsidRPr="00686AF4">
              <w:rPr>
                <w:rFonts w:ascii="CAIXA Std Book" w:hAnsi="CAIXA Std Book" w:cs="Calibri"/>
                <w:b/>
                <w:color w:val="005CA9"/>
                <w:sz w:val="16"/>
                <w:szCs w:val="16"/>
              </w:rPr>
              <w:t>29.310.058</w:t>
            </w:r>
          </w:p>
        </w:tc>
      </w:tr>
      <w:tr w:rsidR="000C1815" w:rsidRPr="006F7A41" w14:paraId="6585D25A" w14:textId="77777777" w:rsidTr="00C5159C">
        <w:trPr>
          <w:trHeight w:val="283"/>
        </w:trPr>
        <w:tc>
          <w:tcPr>
            <w:tcW w:w="2278" w:type="pct"/>
            <w:tcBorders>
              <w:top w:val="single" w:sz="4" w:space="0" w:color="FFFFFF" w:themeColor="background1"/>
              <w:left w:val="nil"/>
              <w:bottom w:val="nil"/>
              <w:right w:val="nil"/>
            </w:tcBorders>
            <w:shd w:val="clear" w:color="auto" w:fill="D0E0E3"/>
            <w:noWrap/>
            <w:vAlign w:val="center"/>
            <w:hideMark/>
          </w:tcPr>
          <w:p w14:paraId="37B8628F" w14:textId="77777777" w:rsidR="00E62DC7" w:rsidRPr="00160360" w:rsidRDefault="00E62DC7" w:rsidP="00E62DC7">
            <w:pPr>
              <w:rPr>
                <w:rFonts w:ascii="CAIXA Std Book" w:eastAsia="Times New Roman" w:hAnsi="CAIXA Std Book" w:cs="Arial"/>
                <w:b/>
                <w:color w:val="005CA9"/>
                <w:sz w:val="16"/>
                <w:szCs w:val="16"/>
              </w:rPr>
            </w:pPr>
            <w:r w:rsidRPr="00160360">
              <w:rPr>
                <w:rFonts w:ascii="CAIXA Std Book" w:eastAsia="Times New Roman" w:hAnsi="CAIXA Std Book" w:cs="Arial"/>
                <w:b/>
                <w:color w:val="005CA9"/>
                <w:sz w:val="16"/>
                <w:szCs w:val="16"/>
              </w:rPr>
              <w:t>Patrimônio líquido</w:t>
            </w:r>
          </w:p>
        </w:tc>
        <w:tc>
          <w:tcPr>
            <w:tcW w:w="454" w:type="pct"/>
            <w:tcBorders>
              <w:top w:val="single" w:sz="4" w:space="0" w:color="FFFFFF" w:themeColor="background1"/>
              <w:left w:val="nil"/>
              <w:bottom w:val="nil"/>
              <w:right w:val="nil"/>
            </w:tcBorders>
            <w:shd w:val="clear" w:color="auto" w:fill="D0E0E3"/>
            <w:noWrap/>
            <w:vAlign w:val="center"/>
          </w:tcPr>
          <w:p w14:paraId="37A9DBB8" w14:textId="61DD9A3C" w:rsidR="00E62DC7" w:rsidRPr="00686AF4" w:rsidRDefault="00586B90" w:rsidP="00A614F2">
            <w:pPr>
              <w:jc w:val="center"/>
              <w:rPr>
                <w:rFonts w:ascii="CAIXA Std Book" w:hAnsi="CAIXA Std Book" w:cs="Arial"/>
                <w:b/>
                <w:color w:val="005CA9"/>
                <w:sz w:val="16"/>
                <w:szCs w:val="16"/>
              </w:rPr>
            </w:pPr>
            <w:r>
              <w:rPr>
                <w:rFonts w:ascii="CAIXA Std Book" w:hAnsi="CAIXA Std Book" w:cs="Calibri"/>
                <w:b/>
                <w:color w:val="005CA9"/>
                <w:sz w:val="16"/>
                <w:szCs w:val="16"/>
              </w:rPr>
              <w:t>-</w:t>
            </w:r>
          </w:p>
        </w:tc>
        <w:tc>
          <w:tcPr>
            <w:tcW w:w="454" w:type="pct"/>
            <w:tcBorders>
              <w:top w:val="single" w:sz="4" w:space="0" w:color="FFFFFF" w:themeColor="background1"/>
              <w:left w:val="nil"/>
              <w:bottom w:val="nil"/>
              <w:right w:val="nil"/>
            </w:tcBorders>
            <w:shd w:val="clear" w:color="auto" w:fill="D0E0E3"/>
            <w:noWrap/>
            <w:vAlign w:val="center"/>
          </w:tcPr>
          <w:p w14:paraId="0A5EFE89" w14:textId="0CFB06D9" w:rsidR="00E62DC7" w:rsidRPr="00686AF4" w:rsidRDefault="008F7DA5" w:rsidP="00A614F2">
            <w:pPr>
              <w:jc w:val="right"/>
              <w:rPr>
                <w:rFonts w:ascii="CAIXA Std Book" w:hAnsi="CAIXA Std Book" w:cs="Arial"/>
                <w:b/>
                <w:color w:val="005CA9"/>
                <w:sz w:val="16"/>
                <w:szCs w:val="16"/>
              </w:rPr>
            </w:pPr>
            <w:r>
              <w:rPr>
                <w:rFonts w:ascii="CAIXA Std Book" w:hAnsi="CAIXA Std Book" w:cs="Calibri"/>
                <w:b/>
                <w:color w:val="005CA9"/>
                <w:sz w:val="16"/>
                <w:szCs w:val="16"/>
              </w:rPr>
              <w:t>114.888.41</w:t>
            </w:r>
            <w:r w:rsidR="00D76271">
              <w:rPr>
                <w:rFonts w:ascii="CAIXA Std Book" w:hAnsi="CAIXA Std Book" w:cs="Calibri"/>
                <w:b/>
                <w:color w:val="005CA9"/>
                <w:sz w:val="16"/>
                <w:szCs w:val="16"/>
              </w:rPr>
              <w:t>6</w:t>
            </w:r>
          </w:p>
        </w:tc>
        <w:tc>
          <w:tcPr>
            <w:tcW w:w="454" w:type="pct"/>
            <w:tcBorders>
              <w:top w:val="single" w:sz="4" w:space="0" w:color="FFFFFF" w:themeColor="background1"/>
              <w:left w:val="nil"/>
              <w:bottom w:val="nil"/>
              <w:right w:val="nil"/>
            </w:tcBorders>
            <w:shd w:val="clear" w:color="auto" w:fill="D0E0E3"/>
            <w:noWrap/>
            <w:vAlign w:val="center"/>
          </w:tcPr>
          <w:p w14:paraId="79577554" w14:textId="30FF637E" w:rsidR="00E62DC7" w:rsidRPr="00686AF4" w:rsidRDefault="008F7DA5" w:rsidP="00A614F2">
            <w:pPr>
              <w:jc w:val="right"/>
              <w:rPr>
                <w:rFonts w:ascii="CAIXA Std Book" w:hAnsi="CAIXA Std Book" w:cs="Arial"/>
                <w:b/>
                <w:color w:val="005CA9"/>
                <w:sz w:val="16"/>
                <w:szCs w:val="16"/>
              </w:rPr>
            </w:pPr>
            <w:r>
              <w:rPr>
                <w:rFonts w:ascii="CAIXA Std Book" w:hAnsi="CAIXA Std Book" w:cs="Calibri"/>
                <w:b/>
                <w:color w:val="005CA9"/>
                <w:sz w:val="16"/>
                <w:szCs w:val="16"/>
              </w:rPr>
              <w:t>114.888.41</w:t>
            </w:r>
            <w:r w:rsidR="00D76271">
              <w:rPr>
                <w:rFonts w:ascii="CAIXA Std Book" w:hAnsi="CAIXA Std Book" w:cs="Calibri"/>
                <w:b/>
                <w:color w:val="005CA9"/>
                <w:sz w:val="16"/>
                <w:szCs w:val="16"/>
              </w:rPr>
              <w:t>6</w:t>
            </w:r>
          </w:p>
        </w:tc>
        <w:tc>
          <w:tcPr>
            <w:tcW w:w="454" w:type="pct"/>
            <w:tcBorders>
              <w:top w:val="single" w:sz="4" w:space="0" w:color="FFFFFF" w:themeColor="background1"/>
              <w:left w:val="nil"/>
              <w:bottom w:val="nil"/>
              <w:right w:val="nil"/>
            </w:tcBorders>
            <w:shd w:val="clear" w:color="auto" w:fill="D0E0E3"/>
            <w:noWrap/>
            <w:vAlign w:val="center"/>
          </w:tcPr>
          <w:p w14:paraId="2B3D141F" w14:textId="0909B0C0" w:rsidR="00E62DC7" w:rsidRPr="00686AF4" w:rsidRDefault="005074FF" w:rsidP="00A614F2">
            <w:pPr>
              <w:jc w:val="center"/>
              <w:rPr>
                <w:rFonts w:ascii="CAIXA Std Book" w:hAnsi="CAIXA Std Book" w:cs="Arial"/>
                <w:b/>
                <w:color w:val="005CA9"/>
                <w:sz w:val="16"/>
                <w:szCs w:val="16"/>
              </w:rPr>
            </w:pPr>
            <w:r w:rsidRPr="00686AF4">
              <w:rPr>
                <w:rFonts w:ascii="CAIXA Std Book" w:hAnsi="CAIXA Std Book" w:cs="Calibri"/>
                <w:b/>
                <w:color w:val="005CA9"/>
                <w:sz w:val="16"/>
                <w:szCs w:val="16"/>
              </w:rPr>
              <w:t>-</w:t>
            </w:r>
          </w:p>
        </w:tc>
        <w:tc>
          <w:tcPr>
            <w:tcW w:w="454" w:type="pct"/>
            <w:tcBorders>
              <w:top w:val="single" w:sz="4" w:space="0" w:color="FFFFFF" w:themeColor="background1"/>
              <w:left w:val="nil"/>
              <w:bottom w:val="nil"/>
              <w:right w:val="nil"/>
            </w:tcBorders>
            <w:shd w:val="clear" w:color="auto" w:fill="D0E0E3"/>
            <w:noWrap/>
            <w:vAlign w:val="center"/>
          </w:tcPr>
          <w:p w14:paraId="6139C5CC" w14:textId="31FAD87C" w:rsidR="00E62DC7" w:rsidRPr="00686AF4" w:rsidRDefault="00CA722A" w:rsidP="00A614F2">
            <w:pPr>
              <w:jc w:val="right"/>
              <w:rPr>
                <w:rFonts w:ascii="CAIXA Std Book" w:hAnsi="CAIXA Std Book" w:cs="Arial"/>
                <w:b/>
                <w:color w:val="005CA9"/>
                <w:sz w:val="16"/>
                <w:szCs w:val="16"/>
              </w:rPr>
            </w:pPr>
            <w:r w:rsidRPr="00686AF4">
              <w:rPr>
                <w:rFonts w:ascii="CAIXA Std Book" w:hAnsi="CAIXA Std Book" w:cs="Calibri"/>
                <w:b/>
                <w:color w:val="005CA9"/>
                <w:sz w:val="16"/>
                <w:szCs w:val="16"/>
              </w:rPr>
              <w:t>111.795.824</w:t>
            </w:r>
          </w:p>
        </w:tc>
        <w:tc>
          <w:tcPr>
            <w:tcW w:w="452" w:type="pct"/>
            <w:tcBorders>
              <w:top w:val="single" w:sz="4" w:space="0" w:color="FFFFFF" w:themeColor="background1"/>
              <w:left w:val="nil"/>
              <w:bottom w:val="nil"/>
              <w:right w:val="nil"/>
            </w:tcBorders>
            <w:shd w:val="clear" w:color="auto" w:fill="D0E0E3"/>
            <w:noWrap/>
            <w:vAlign w:val="center"/>
          </w:tcPr>
          <w:p w14:paraId="00660977" w14:textId="336591A9" w:rsidR="00E62DC7" w:rsidRPr="00686AF4" w:rsidRDefault="00CA722A" w:rsidP="00A614F2">
            <w:pPr>
              <w:jc w:val="right"/>
              <w:rPr>
                <w:rFonts w:ascii="CAIXA Std Book" w:hAnsi="CAIXA Std Book" w:cs="Arial"/>
                <w:b/>
                <w:color w:val="005CA9"/>
                <w:sz w:val="16"/>
                <w:szCs w:val="16"/>
              </w:rPr>
            </w:pPr>
            <w:r w:rsidRPr="00686AF4">
              <w:rPr>
                <w:rFonts w:ascii="CAIXA Std Book" w:hAnsi="CAIXA Std Book" w:cs="Calibri"/>
                <w:b/>
                <w:color w:val="005CA9"/>
                <w:sz w:val="16"/>
                <w:szCs w:val="16"/>
              </w:rPr>
              <w:t>111.795.824</w:t>
            </w:r>
          </w:p>
        </w:tc>
      </w:tr>
      <w:tr w:rsidR="000C1815" w:rsidRPr="006F7A41" w14:paraId="51BEA060" w14:textId="77777777" w:rsidTr="00972051">
        <w:trPr>
          <w:trHeight w:val="283"/>
        </w:trPr>
        <w:tc>
          <w:tcPr>
            <w:tcW w:w="2278" w:type="pct"/>
            <w:tcBorders>
              <w:top w:val="nil"/>
              <w:left w:val="nil"/>
              <w:bottom w:val="nil"/>
              <w:right w:val="nil"/>
            </w:tcBorders>
            <w:shd w:val="clear" w:color="auto" w:fill="005CA9"/>
            <w:noWrap/>
            <w:vAlign w:val="center"/>
            <w:hideMark/>
          </w:tcPr>
          <w:p w14:paraId="59E3A268" w14:textId="77777777" w:rsidR="00E62DC7" w:rsidRPr="00160360" w:rsidRDefault="00E62DC7" w:rsidP="00E62DC7">
            <w:pPr>
              <w:rPr>
                <w:rFonts w:ascii="CAIXA Std Book" w:eastAsia="Times New Roman" w:hAnsi="CAIXA Std Book" w:cs="Arial"/>
                <w:b/>
                <w:color w:val="FFFFFF"/>
                <w:sz w:val="16"/>
                <w:szCs w:val="16"/>
              </w:rPr>
            </w:pPr>
            <w:r w:rsidRPr="00160360">
              <w:rPr>
                <w:rFonts w:ascii="CAIXA Std Book" w:eastAsia="Times New Roman" w:hAnsi="CAIXA Std Book" w:cs="Arial"/>
                <w:b/>
                <w:color w:val="FFFFFF"/>
                <w:sz w:val="16"/>
                <w:szCs w:val="16"/>
              </w:rPr>
              <w:t>Total do passivo e do patrimônio líquido</w:t>
            </w:r>
          </w:p>
        </w:tc>
        <w:tc>
          <w:tcPr>
            <w:tcW w:w="454" w:type="pct"/>
            <w:tcBorders>
              <w:top w:val="nil"/>
              <w:left w:val="nil"/>
              <w:bottom w:val="nil"/>
              <w:right w:val="nil"/>
            </w:tcBorders>
            <w:shd w:val="clear" w:color="auto" w:fill="005CA9"/>
            <w:noWrap/>
            <w:vAlign w:val="center"/>
          </w:tcPr>
          <w:p w14:paraId="0CDA6499" w14:textId="274E8E67" w:rsidR="00E62DC7" w:rsidRPr="00686AF4" w:rsidRDefault="00CD4470" w:rsidP="00E62DC7">
            <w:pPr>
              <w:jc w:val="right"/>
              <w:rPr>
                <w:rFonts w:ascii="CAIXA Std Book" w:eastAsia="Times New Roman" w:hAnsi="CAIXA Std Book" w:cs="Arial"/>
                <w:b/>
                <w:color w:val="FFFFFF"/>
                <w:sz w:val="16"/>
                <w:szCs w:val="16"/>
              </w:rPr>
            </w:pPr>
            <w:r>
              <w:rPr>
                <w:rFonts w:ascii="CAIXA Std Book" w:hAnsi="CAIXA Std Book" w:cs="Calibri"/>
                <w:b/>
                <w:color w:val="FFFFFF"/>
                <w:sz w:val="16"/>
                <w:szCs w:val="16"/>
              </w:rPr>
              <w:t>1.175.710.</w:t>
            </w:r>
            <w:r w:rsidR="00972051">
              <w:rPr>
                <w:rFonts w:ascii="CAIXA Std Book" w:hAnsi="CAIXA Std Book" w:cs="Calibri"/>
                <w:b/>
                <w:bCs/>
                <w:color w:val="FFFFFF"/>
                <w:sz w:val="16"/>
                <w:szCs w:val="16"/>
              </w:rPr>
              <w:t>247</w:t>
            </w:r>
          </w:p>
        </w:tc>
        <w:tc>
          <w:tcPr>
            <w:tcW w:w="454" w:type="pct"/>
            <w:tcBorders>
              <w:top w:val="nil"/>
              <w:left w:val="nil"/>
              <w:bottom w:val="nil"/>
              <w:right w:val="nil"/>
            </w:tcBorders>
            <w:shd w:val="clear" w:color="auto" w:fill="005CA9"/>
            <w:noWrap/>
            <w:vAlign w:val="center"/>
          </w:tcPr>
          <w:p w14:paraId="3151FBE1" w14:textId="732A0A7E" w:rsidR="00E62DC7" w:rsidRPr="00686AF4" w:rsidRDefault="00CD4470" w:rsidP="00E62DC7">
            <w:pPr>
              <w:jc w:val="right"/>
              <w:rPr>
                <w:rFonts w:ascii="CAIXA Std Book" w:eastAsia="Times New Roman" w:hAnsi="CAIXA Std Book" w:cs="Arial"/>
                <w:b/>
                <w:color w:val="FFFFFF"/>
                <w:sz w:val="16"/>
                <w:szCs w:val="16"/>
              </w:rPr>
            </w:pPr>
            <w:r>
              <w:rPr>
                <w:rFonts w:ascii="CAIXA Std Book" w:hAnsi="CAIXA Std Book" w:cs="Calibri"/>
                <w:b/>
                <w:color w:val="FFFFFF"/>
                <w:sz w:val="16"/>
                <w:szCs w:val="16"/>
              </w:rPr>
              <w:t>1.165.713.091</w:t>
            </w:r>
          </w:p>
        </w:tc>
        <w:tc>
          <w:tcPr>
            <w:tcW w:w="454" w:type="pct"/>
            <w:tcBorders>
              <w:top w:val="nil"/>
              <w:left w:val="nil"/>
              <w:bottom w:val="nil"/>
              <w:right w:val="nil"/>
            </w:tcBorders>
            <w:shd w:val="clear" w:color="auto" w:fill="005CA9"/>
            <w:noWrap/>
            <w:vAlign w:val="center"/>
          </w:tcPr>
          <w:p w14:paraId="3138A65B" w14:textId="1B7CEBFC" w:rsidR="00E62DC7" w:rsidRPr="00686AF4" w:rsidRDefault="00CD4470" w:rsidP="00E62DC7">
            <w:pPr>
              <w:jc w:val="right"/>
              <w:rPr>
                <w:rFonts w:ascii="CAIXA Std Book" w:eastAsia="Times New Roman" w:hAnsi="CAIXA Std Book" w:cs="Arial"/>
                <w:b/>
                <w:color w:val="FFFFFF"/>
                <w:sz w:val="16"/>
                <w:szCs w:val="16"/>
              </w:rPr>
            </w:pPr>
            <w:r>
              <w:rPr>
                <w:rFonts w:ascii="CAIXA Std Book" w:hAnsi="CAIXA Std Book" w:cs="Calibri"/>
                <w:b/>
                <w:color w:val="FFFFFF"/>
                <w:sz w:val="16"/>
                <w:szCs w:val="16"/>
              </w:rPr>
              <w:t>2.341.423.</w:t>
            </w:r>
            <w:r w:rsidR="00972051">
              <w:rPr>
                <w:rFonts w:ascii="CAIXA Std Book" w:hAnsi="CAIXA Std Book" w:cs="Calibri"/>
                <w:b/>
                <w:bCs/>
                <w:color w:val="FFFFFF"/>
                <w:sz w:val="16"/>
                <w:szCs w:val="16"/>
              </w:rPr>
              <w:t>338</w:t>
            </w:r>
          </w:p>
        </w:tc>
        <w:tc>
          <w:tcPr>
            <w:tcW w:w="454" w:type="pct"/>
            <w:tcBorders>
              <w:top w:val="nil"/>
              <w:left w:val="nil"/>
              <w:bottom w:val="nil"/>
              <w:right w:val="nil"/>
            </w:tcBorders>
            <w:shd w:val="clear" w:color="auto" w:fill="005CA9"/>
            <w:noWrap/>
            <w:vAlign w:val="center"/>
          </w:tcPr>
          <w:p w14:paraId="6552ACB3" w14:textId="206675E9" w:rsidR="00E62DC7" w:rsidRPr="00686AF4" w:rsidRDefault="00CA722A" w:rsidP="00E62DC7">
            <w:pPr>
              <w:jc w:val="right"/>
              <w:rPr>
                <w:rFonts w:ascii="CAIXA Std Book" w:eastAsia="Times New Roman" w:hAnsi="CAIXA Std Book" w:cs="Arial"/>
                <w:b/>
                <w:color w:val="FFFFFF"/>
                <w:sz w:val="16"/>
                <w:szCs w:val="16"/>
              </w:rPr>
            </w:pPr>
            <w:r w:rsidRPr="00686AF4">
              <w:rPr>
                <w:rFonts w:ascii="CAIXA Std Book" w:hAnsi="CAIXA Std Book" w:cs="Calibri"/>
                <w:b/>
                <w:color w:val="FFFFFF"/>
                <w:sz w:val="16"/>
                <w:szCs w:val="16"/>
              </w:rPr>
              <w:t>1.074.792.467</w:t>
            </w:r>
          </w:p>
        </w:tc>
        <w:tc>
          <w:tcPr>
            <w:tcW w:w="454" w:type="pct"/>
            <w:tcBorders>
              <w:top w:val="nil"/>
              <w:left w:val="nil"/>
              <w:bottom w:val="nil"/>
              <w:right w:val="nil"/>
            </w:tcBorders>
            <w:shd w:val="clear" w:color="auto" w:fill="005CA9"/>
            <w:noWrap/>
            <w:vAlign w:val="center"/>
          </w:tcPr>
          <w:p w14:paraId="2FB83F59" w14:textId="6F427BCC" w:rsidR="00E62DC7" w:rsidRPr="00686AF4" w:rsidRDefault="00CA722A" w:rsidP="00E62DC7">
            <w:pPr>
              <w:jc w:val="right"/>
              <w:rPr>
                <w:rFonts w:ascii="CAIXA Std Book" w:eastAsia="Times New Roman" w:hAnsi="CAIXA Std Book" w:cs="Arial"/>
                <w:b/>
                <w:color w:val="FFFFFF"/>
                <w:sz w:val="16"/>
                <w:szCs w:val="16"/>
              </w:rPr>
            </w:pPr>
            <w:r w:rsidRPr="00686AF4">
              <w:rPr>
                <w:rFonts w:ascii="CAIXA Std Book" w:hAnsi="CAIXA Std Book" w:cs="Calibri"/>
                <w:b/>
                <w:color w:val="FFFFFF"/>
                <w:sz w:val="16"/>
                <w:szCs w:val="16"/>
              </w:rPr>
              <w:t>1.128.306.041</w:t>
            </w:r>
          </w:p>
        </w:tc>
        <w:tc>
          <w:tcPr>
            <w:tcW w:w="452" w:type="pct"/>
            <w:tcBorders>
              <w:top w:val="nil"/>
              <w:left w:val="nil"/>
              <w:bottom w:val="nil"/>
              <w:right w:val="nil"/>
            </w:tcBorders>
            <w:shd w:val="clear" w:color="auto" w:fill="005CA9"/>
            <w:noWrap/>
            <w:vAlign w:val="center"/>
          </w:tcPr>
          <w:p w14:paraId="4A62F786" w14:textId="265E0E9A" w:rsidR="00E62DC7" w:rsidRPr="00686AF4" w:rsidRDefault="00CA722A" w:rsidP="00E62DC7">
            <w:pPr>
              <w:jc w:val="right"/>
              <w:rPr>
                <w:rFonts w:ascii="CAIXA Std Book" w:eastAsia="Times New Roman" w:hAnsi="CAIXA Std Book" w:cs="Arial"/>
                <w:b/>
                <w:color w:val="FFFFFF"/>
                <w:sz w:val="16"/>
                <w:szCs w:val="16"/>
              </w:rPr>
            </w:pPr>
            <w:r w:rsidRPr="00686AF4">
              <w:rPr>
                <w:rFonts w:ascii="CAIXA Std Book" w:hAnsi="CAIXA Std Book" w:cs="Calibri"/>
                <w:b/>
                <w:color w:val="FFFFFF"/>
                <w:sz w:val="16"/>
                <w:szCs w:val="16"/>
              </w:rPr>
              <w:t>2.203.098.508</w:t>
            </w:r>
          </w:p>
        </w:tc>
      </w:tr>
    </w:tbl>
    <w:p w14:paraId="28597091" w14:textId="77777777" w:rsidR="007E044F" w:rsidRDefault="007E044F">
      <w:pPr>
        <w:rPr>
          <w:rFonts w:ascii="CAIXA Std Book" w:hAnsi="CAIXA Std Book"/>
          <w:b/>
          <w:color w:val="005CA9"/>
        </w:rPr>
      </w:pPr>
      <w:r>
        <w:rPr>
          <w:rFonts w:ascii="CAIXA Std Book" w:hAnsi="CAIXA Std Book"/>
          <w:b/>
          <w:color w:val="005CA9"/>
        </w:rPr>
        <w:br w:type="page"/>
      </w:r>
    </w:p>
    <w:tbl>
      <w:tblPr>
        <w:tblW w:w="5000" w:type="pct"/>
        <w:tblLayout w:type="fixed"/>
        <w:tblCellMar>
          <w:left w:w="70" w:type="dxa"/>
          <w:right w:w="70" w:type="dxa"/>
        </w:tblCellMar>
        <w:tblLook w:val="04A0" w:firstRow="1" w:lastRow="0" w:firstColumn="1" w:lastColumn="0" w:noHBand="0" w:noVBand="1"/>
      </w:tblPr>
      <w:tblGrid>
        <w:gridCol w:w="6663"/>
        <w:gridCol w:w="1317"/>
        <w:gridCol w:w="1317"/>
        <w:gridCol w:w="1320"/>
        <w:gridCol w:w="1317"/>
        <w:gridCol w:w="1317"/>
        <w:gridCol w:w="1320"/>
      </w:tblGrid>
      <w:tr w:rsidR="00ED0331" w:rsidRPr="00F43394" w14:paraId="71B38EF5" w14:textId="77777777" w:rsidTr="001E6A64">
        <w:trPr>
          <w:trHeight w:val="255"/>
        </w:trPr>
        <w:tc>
          <w:tcPr>
            <w:tcW w:w="5000" w:type="pct"/>
            <w:gridSpan w:val="7"/>
            <w:tcBorders>
              <w:top w:val="nil"/>
              <w:left w:val="nil"/>
              <w:bottom w:val="single" w:sz="4" w:space="0" w:color="FFFFFF" w:themeColor="background1"/>
              <w:right w:val="nil"/>
            </w:tcBorders>
            <w:shd w:val="clear" w:color="auto" w:fill="005CA9"/>
            <w:vAlign w:val="center"/>
          </w:tcPr>
          <w:p w14:paraId="750F9427" w14:textId="1F1F47B7" w:rsidR="00ED0331" w:rsidRPr="00BC0002" w:rsidRDefault="00BD1BCD">
            <w:pPr>
              <w:jc w:val="center"/>
              <w:rPr>
                <w:rFonts w:ascii="CAIXA Std Book" w:eastAsia="Times New Roman" w:hAnsi="CAIXA Std Book" w:cs="Times New Roman"/>
                <w:b/>
                <w:color w:val="FFFFFF"/>
                <w:sz w:val="16"/>
                <w:szCs w:val="16"/>
              </w:rPr>
            </w:pPr>
            <w:r w:rsidRPr="00BC0002">
              <w:rPr>
                <w:rFonts w:ascii="CAIXA Std Book" w:eastAsia="Times New Roman" w:hAnsi="CAIXA Std Book" w:cs="Times New Roman"/>
                <w:b/>
                <w:color w:val="FFFFFF"/>
                <w:sz w:val="16"/>
                <w:szCs w:val="16"/>
              </w:rPr>
              <w:t>Consolidado</w:t>
            </w:r>
          </w:p>
        </w:tc>
      </w:tr>
      <w:tr w:rsidR="0039647F" w:rsidRPr="00F43394" w14:paraId="6FFAEAE0" w14:textId="77777777" w:rsidTr="001E6A64">
        <w:trPr>
          <w:trHeight w:val="255"/>
        </w:trPr>
        <w:tc>
          <w:tcPr>
            <w:tcW w:w="2286" w:type="pct"/>
            <w:vMerge w:val="restart"/>
            <w:tcBorders>
              <w:top w:val="single" w:sz="4" w:space="0" w:color="FFFFFF" w:themeColor="background1"/>
              <w:left w:val="nil"/>
              <w:bottom w:val="nil"/>
              <w:right w:val="nil"/>
            </w:tcBorders>
            <w:shd w:val="clear" w:color="auto" w:fill="005CA9"/>
            <w:vAlign w:val="center"/>
            <w:hideMark/>
          </w:tcPr>
          <w:p w14:paraId="0EC81DCC" w14:textId="77777777" w:rsidR="0039647F" w:rsidRPr="00BC0002" w:rsidRDefault="0039647F">
            <w:pPr>
              <w:jc w:val="center"/>
              <w:rPr>
                <w:rFonts w:ascii="CAIXA Std Book" w:eastAsia="Times New Roman" w:hAnsi="CAIXA Std Book" w:cs="Times New Roman"/>
                <w:b/>
                <w:color w:val="FFFFFF"/>
                <w:sz w:val="16"/>
                <w:szCs w:val="16"/>
              </w:rPr>
            </w:pPr>
            <w:r w:rsidRPr="00BC0002">
              <w:rPr>
                <w:rFonts w:ascii="CAIXA Std Book" w:eastAsia="Times New Roman" w:hAnsi="CAIXA Std Book" w:cs="Times New Roman"/>
                <w:b/>
                <w:color w:val="FFFFFF"/>
                <w:sz w:val="16"/>
                <w:szCs w:val="16"/>
              </w:rPr>
              <w:t>Ativo</w:t>
            </w:r>
          </w:p>
        </w:tc>
        <w:tc>
          <w:tcPr>
            <w:tcW w:w="1357" w:type="pct"/>
            <w:gridSpan w:val="3"/>
            <w:tcBorders>
              <w:top w:val="single" w:sz="4" w:space="0" w:color="FFFFFF" w:themeColor="background1"/>
              <w:left w:val="nil"/>
              <w:bottom w:val="single" w:sz="4" w:space="0" w:color="FFFFFF" w:themeColor="background1"/>
              <w:right w:val="nil"/>
            </w:tcBorders>
            <w:shd w:val="clear" w:color="auto" w:fill="005CA9"/>
            <w:noWrap/>
            <w:vAlign w:val="center"/>
            <w:hideMark/>
          </w:tcPr>
          <w:p w14:paraId="2E2BCA51" w14:textId="487B4B56" w:rsidR="0039647F" w:rsidRPr="00BC0002" w:rsidRDefault="001E24FA">
            <w:pPr>
              <w:jc w:val="center"/>
              <w:rPr>
                <w:rFonts w:ascii="CAIXA Std Book" w:eastAsia="Times New Roman" w:hAnsi="CAIXA Std Book" w:cs="Times New Roman"/>
                <w:b/>
                <w:color w:val="FFFFFF"/>
                <w:sz w:val="16"/>
                <w:szCs w:val="16"/>
              </w:rPr>
            </w:pPr>
            <w:r w:rsidRPr="00BC0002">
              <w:rPr>
                <w:rFonts w:ascii="CAIXA Std Book" w:eastAsia="Times New Roman" w:hAnsi="CAIXA Std Book" w:cs="Times New Roman"/>
                <w:b/>
                <w:color w:val="FFFFFF"/>
                <w:sz w:val="16"/>
                <w:szCs w:val="16"/>
              </w:rPr>
              <w:t>31/03/2026</w:t>
            </w:r>
          </w:p>
        </w:tc>
        <w:tc>
          <w:tcPr>
            <w:tcW w:w="1357" w:type="pct"/>
            <w:gridSpan w:val="3"/>
            <w:tcBorders>
              <w:top w:val="single" w:sz="4" w:space="0" w:color="FFFFFF" w:themeColor="background1"/>
              <w:left w:val="nil"/>
              <w:bottom w:val="single" w:sz="4" w:space="0" w:color="FFFFFF" w:themeColor="background1"/>
              <w:right w:val="nil"/>
            </w:tcBorders>
            <w:shd w:val="clear" w:color="auto" w:fill="005CA9"/>
            <w:noWrap/>
            <w:vAlign w:val="center"/>
            <w:hideMark/>
          </w:tcPr>
          <w:p w14:paraId="60FD4989" w14:textId="7A3F8947" w:rsidR="0039647F" w:rsidRPr="00BC0002" w:rsidRDefault="001E24FA">
            <w:pPr>
              <w:jc w:val="center"/>
              <w:rPr>
                <w:rFonts w:ascii="CAIXA Std Book" w:eastAsia="Times New Roman" w:hAnsi="CAIXA Std Book" w:cs="Times New Roman"/>
                <w:b/>
                <w:color w:val="FFFFFF"/>
                <w:sz w:val="16"/>
                <w:szCs w:val="16"/>
              </w:rPr>
            </w:pPr>
            <w:r w:rsidRPr="00BC0002">
              <w:rPr>
                <w:rFonts w:ascii="CAIXA Std Book" w:eastAsia="Times New Roman" w:hAnsi="CAIXA Std Book" w:cs="Times New Roman"/>
                <w:b/>
                <w:color w:val="FFFFFF"/>
                <w:sz w:val="16"/>
                <w:szCs w:val="16"/>
              </w:rPr>
              <w:t>31/12/2025</w:t>
            </w:r>
          </w:p>
        </w:tc>
      </w:tr>
      <w:tr w:rsidR="0039647F" w:rsidRPr="00F43394" w14:paraId="36DDABF8" w14:textId="77777777" w:rsidTr="00C5159C">
        <w:trPr>
          <w:trHeight w:val="255"/>
        </w:trPr>
        <w:tc>
          <w:tcPr>
            <w:tcW w:w="2286" w:type="pct"/>
            <w:vMerge/>
            <w:tcBorders>
              <w:top w:val="single" w:sz="4" w:space="0" w:color="FFFFFF" w:themeColor="background1"/>
              <w:left w:val="nil"/>
              <w:right w:val="nil"/>
            </w:tcBorders>
            <w:shd w:val="clear" w:color="auto" w:fill="005CA9"/>
            <w:vAlign w:val="center"/>
            <w:hideMark/>
          </w:tcPr>
          <w:p w14:paraId="081198FA" w14:textId="77777777" w:rsidR="0039647F" w:rsidRPr="00BC0002" w:rsidRDefault="0039647F">
            <w:pPr>
              <w:rPr>
                <w:rFonts w:ascii="CAIXA Std Book" w:eastAsia="Times New Roman" w:hAnsi="CAIXA Std Book" w:cs="Times New Roman"/>
                <w:b/>
                <w:color w:val="FFFFFF"/>
                <w:sz w:val="16"/>
                <w:szCs w:val="16"/>
              </w:rPr>
            </w:pPr>
          </w:p>
        </w:tc>
        <w:tc>
          <w:tcPr>
            <w:tcW w:w="452" w:type="pct"/>
            <w:tcBorders>
              <w:top w:val="single" w:sz="4" w:space="0" w:color="FFFFFF" w:themeColor="background1"/>
              <w:left w:val="nil"/>
              <w:right w:val="nil"/>
            </w:tcBorders>
            <w:shd w:val="clear" w:color="auto" w:fill="005CA9"/>
            <w:vAlign w:val="center"/>
            <w:hideMark/>
          </w:tcPr>
          <w:p w14:paraId="26265D34" w14:textId="77777777" w:rsidR="0039647F" w:rsidRPr="00BC0002" w:rsidRDefault="0039647F">
            <w:pPr>
              <w:ind w:left="-712" w:right="-520"/>
              <w:jc w:val="center"/>
              <w:rPr>
                <w:rFonts w:ascii="CAIXA Std Book" w:eastAsia="Times New Roman" w:hAnsi="CAIXA Std Book" w:cs="Times New Roman"/>
                <w:b/>
                <w:color w:val="FFFFFF"/>
                <w:sz w:val="16"/>
                <w:szCs w:val="16"/>
              </w:rPr>
            </w:pPr>
            <w:r w:rsidRPr="00BC0002">
              <w:rPr>
                <w:rFonts w:ascii="CAIXA Std Book" w:eastAsia="Times New Roman" w:hAnsi="CAIXA Std Book" w:cs="Times New Roman"/>
                <w:b/>
                <w:color w:val="FFFFFF"/>
                <w:sz w:val="16"/>
                <w:szCs w:val="16"/>
              </w:rPr>
              <w:t>Até 360 dias</w:t>
            </w:r>
          </w:p>
        </w:tc>
        <w:tc>
          <w:tcPr>
            <w:tcW w:w="452" w:type="pct"/>
            <w:tcBorders>
              <w:top w:val="single" w:sz="4" w:space="0" w:color="FFFFFF" w:themeColor="background1"/>
              <w:left w:val="nil"/>
              <w:right w:val="nil"/>
            </w:tcBorders>
            <w:shd w:val="clear" w:color="auto" w:fill="005CA9"/>
            <w:vAlign w:val="center"/>
            <w:hideMark/>
          </w:tcPr>
          <w:p w14:paraId="28D25814" w14:textId="77777777" w:rsidR="0039647F" w:rsidRPr="00BC0002" w:rsidRDefault="0039647F">
            <w:pPr>
              <w:jc w:val="center"/>
              <w:rPr>
                <w:rFonts w:ascii="CAIXA Std Book" w:eastAsia="Times New Roman" w:hAnsi="CAIXA Std Book" w:cs="Times New Roman"/>
                <w:b/>
                <w:color w:val="FFFFFF"/>
                <w:sz w:val="16"/>
                <w:szCs w:val="16"/>
              </w:rPr>
            </w:pPr>
            <w:r w:rsidRPr="00BC0002">
              <w:rPr>
                <w:rFonts w:ascii="CAIXA Std Book" w:eastAsia="Times New Roman" w:hAnsi="CAIXA Std Book" w:cs="Times New Roman"/>
                <w:b/>
                <w:color w:val="FFFFFF"/>
                <w:sz w:val="16"/>
                <w:szCs w:val="16"/>
              </w:rPr>
              <w:t>Acima de</w:t>
            </w:r>
          </w:p>
          <w:p w14:paraId="2889B5FB" w14:textId="77777777" w:rsidR="0039647F" w:rsidRPr="00BC0002" w:rsidRDefault="0039647F">
            <w:pPr>
              <w:jc w:val="center"/>
              <w:rPr>
                <w:rFonts w:ascii="CAIXA Std Book" w:eastAsia="Times New Roman" w:hAnsi="CAIXA Std Book" w:cs="Times New Roman"/>
                <w:b/>
                <w:color w:val="FFFFFF"/>
                <w:sz w:val="16"/>
                <w:szCs w:val="16"/>
              </w:rPr>
            </w:pPr>
            <w:r w:rsidRPr="00BC0002">
              <w:rPr>
                <w:rFonts w:ascii="CAIXA Std Book" w:eastAsia="Times New Roman" w:hAnsi="CAIXA Std Book" w:cs="Times New Roman"/>
                <w:b/>
                <w:color w:val="FFFFFF"/>
                <w:sz w:val="16"/>
                <w:szCs w:val="16"/>
              </w:rPr>
              <w:t>360 dias</w:t>
            </w:r>
          </w:p>
        </w:tc>
        <w:tc>
          <w:tcPr>
            <w:tcW w:w="453" w:type="pct"/>
            <w:tcBorders>
              <w:top w:val="single" w:sz="4" w:space="0" w:color="FFFFFF" w:themeColor="background1"/>
              <w:left w:val="nil"/>
              <w:right w:val="nil"/>
            </w:tcBorders>
            <w:shd w:val="clear" w:color="auto" w:fill="005CA9"/>
            <w:vAlign w:val="center"/>
            <w:hideMark/>
          </w:tcPr>
          <w:p w14:paraId="4617394C" w14:textId="77777777" w:rsidR="0039647F" w:rsidRPr="00BC0002" w:rsidRDefault="0039647F">
            <w:pPr>
              <w:ind w:left="-80"/>
              <w:jc w:val="center"/>
              <w:rPr>
                <w:rFonts w:ascii="CAIXA Std Book" w:eastAsia="Times New Roman" w:hAnsi="CAIXA Std Book" w:cs="Times New Roman"/>
                <w:b/>
                <w:color w:val="FFFFFF"/>
                <w:sz w:val="16"/>
                <w:szCs w:val="16"/>
              </w:rPr>
            </w:pPr>
            <w:r w:rsidRPr="00BC0002">
              <w:rPr>
                <w:rFonts w:ascii="CAIXA Std Book" w:eastAsia="Times New Roman" w:hAnsi="CAIXA Std Book" w:cs="Times New Roman"/>
                <w:b/>
                <w:color w:val="FFFFFF"/>
                <w:sz w:val="16"/>
                <w:szCs w:val="16"/>
              </w:rPr>
              <w:t>Total</w:t>
            </w:r>
          </w:p>
        </w:tc>
        <w:tc>
          <w:tcPr>
            <w:tcW w:w="452" w:type="pct"/>
            <w:tcBorders>
              <w:top w:val="single" w:sz="4" w:space="0" w:color="FFFFFF" w:themeColor="background1"/>
              <w:left w:val="nil"/>
              <w:right w:val="nil"/>
            </w:tcBorders>
            <w:shd w:val="clear" w:color="auto" w:fill="005CA9"/>
            <w:vAlign w:val="center"/>
            <w:hideMark/>
          </w:tcPr>
          <w:p w14:paraId="03FDEDA8" w14:textId="77777777" w:rsidR="0039647F" w:rsidRPr="00BC0002" w:rsidRDefault="0039647F">
            <w:pPr>
              <w:jc w:val="center"/>
              <w:rPr>
                <w:rFonts w:ascii="CAIXA Std Book" w:eastAsia="Times New Roman" w:hAnsi="CAIXA Std Book" w:cs="Times New Roman"/>
                <w:b/>
                <w:color w:val="FFFFFF"/>
                <w:sz w:val="16"/>
                <w:szCs w:val="16"/>
              </w:rPr>
            </w:pPr>
            <w:r w:rsidRPr="00BC0002">
              <w:rPr>
                <w:rFonts w:ascii="CAIXA Std Book" w:eastAsia="Times New Roman" w:hAnsi="CAIXA Std Book" w:cs="Times New Roman"/>
                <w:b/>
                <w:color w:val="FFFFFF"/>
                <w:sz w:val="16"/>
                <w:szCs w:val="16"/>
              </w:rPr>
              <w:t>Até 360 dias</w:t>
            </w:r>
          </w:p>
        </w:tc>
        <w:tc>
          <w:tcPr>
            <w:tcW w:w="452" w:type="pct"/>
            <w:tcBorders>
              <w:top w:val="single" w:sz="4" w:space="0" w:color="FFFFFF" w:themeColor="background1"/>
              <w:left w:val="nil"/>
              <w:right w:val="nil"/>
            </w:tcBorders>
            <w:shd w:val="clear" w:color="auto" w:fill="005CA9"/>
            <w:vAlign w:val="center"/>
            <w:hideMark/>
          </w:tcPr>
          <w:p w14:paraId="3F92FFBA" w14:textId="77777777" w:rsidR="0039647F" w:rsidRPr="00BC0002" w:rsidRDefault="0039647F">
            <w:pPr>
              <w:jc w:val="center"/>
              <w:rPr>
                <w:rFonts w:ascii="CAIXA Std Book" w:eastAsia="Times New Roman" w:hAnsi="CAIXA Std Book" w:cs="Times New Roman"/>
                <w:b/>
                <w:color w:val="FFFFFF"/>
                <w:sz w:val="16"/>
                <w:szCs w:val="16"/>
              </w:rPr>
            </w:pPr>
            <w:r w:rsidRPr="00BC0002">
              <w:rPr>
                <w:rFonts w:ascii="CAIXA Std Book" w:eastAsia="Times New Roman" w:hAnsi="CAIXA Std Book" w:cs="Times New Roman"/>
                <w:b/>
                <w:color w:val="FFFFFF"/>
                <w:sz w:val="16"/>
                <w:szCs w:val="16"/>
              </w:rPr>
              <w:t>Acima de</w:t>
            </w:r>
          </w:p>
          <w:p w14:paraId="0569572B" w14:textId="77777777" w:rsidR="0039647F" w:rsidRPr="00BC0002" w:rsidRDefault="0039647F">
            <w:pPr>
              <w:jc w:val="center"/>
              <w:rPr>
                <w:rFonts w:ascii="CAIXA Std Book" w:eastAsia="Times New Roman" w:hAnsi="CAIXA Std Book" w:cs="Times New Roman"/>
                <w:b/>
                <w:color w:val="FFFFFF"/>
                <w:sz w:val="16"/>
                <w:szCs w:val="16"/>
              </w:rPr>
            </w:pPr>
            <w:r w:rsidRPr="00BC0002">
              <w:rPr>
                <w:rFonts w:ascii="CAIXA Std Book" w:eastAsia="Times New Roman" w:hAnsi="CAIXA Std Book" w:cs="Times New Roman"/>
                <w:b/>
                <w:color w:val="FFFFFF"/>
                <w:sz w:val="16"/>
                <w:szCs w:val="16"/>
              </w:rPr>
              <w:t>360 dias</w:t>
            </w:r>
          </w:p>
        </w:tc>
        <w:tc>
          <w:tcPr>
            <w:tcW w:w="453" w:type="pct"/>
            <w:tcBorders>
              <w:top w:val="single" w:sz="4" w:space="0" w:color="FFFFFF" w:themeColor="background1"/>
              <w:left w:val="nil"/>
              <w:right w:val="nil"/>
            </w:tcBorders>
            <w:shd w:val="clear" w:color="auto" w:fill="005CA9"/>
            <w:vAlign w:val="center"/>
            <w:hideMark/>
          </w:tcPr>
          <w:p w14:paraId="3541C2DF" w14:textId="77777777" w:rsidR="0039647F" w:rsidRPr="00BC0002" w:rsidRDefault="0039647F">
            <w:pPr>
              <w:jc w:val="center"/>
              <w:rPr>
                <w:rFonts w:ascii="CAIXA Std Book" w:eastAsia="Times New Roman" w:hAnsi="CAIXA Std Book" w:cs="Times New Roman"/>
                <w:b/>
                <w:color w:val="FFFFFF"/>
                <w:sz w:val="16"/>
                <w:szCs w:val="16"/>
              </w:rPr>
            </w:pPr>
            <w:r w:rsidRPr="00BC0002">
              <w:rPr>
                <w:rFonts w:ascii="CAIXA Std Book" w:eastAsia="Times New Roman" w:hAnsi="CAIXA Std Book" w:cs="Times New Roman"/>
                <w:b/>
                <w:color w:val="FFFFFF"/>
                <w:sz w:val="16"/>
                <w:szCs w:val="16"/>
              </w:rPr>
              <w:t>Total</w:t>
            </w:r>
          </w:p>
        </w:tc>
      </w:tr>
      <w:tr w:rsidR="0039647F" w:rsidRPr="00F43394" w14:paraId="1545C975" w14:textId="77777777" w:rsidTr="00C5159C">
        <w:trPr>
          <w:trHeight w:val="255"/>
        </w:trPr>
        <w:tc>
          <w:tcPr>
            <w:tcW w:w="2286" w:type="pct"/>
            <w:tcBorders>
              <w:top w:val="nil"/>
              <w:left w:val="nil"/>
              <w:bottom w:val="single" w:sz="4" w:space="0" w:color="FFFFFF" w:themeColor="background1"/>
              <w:right w:val="nil"/>
            </w:tcBorders>
            <w:shd w:val="clear" w:color="auto" w:fill="D0E0E3"/>
            <w:noWrap/>
            <w:vAlign w:val="center"/>
            <w:hideMark/>
          </w:tcPr>
          <w:p w14:paraId="711B2374" w14:textId="77777777" w:rsidR="0039647F" w:rsidRPr="00BC0002" w:rsidRDefault="0039647F">
            <w:pPr>
              <w:rPr>
                <w:rFonts w:ascii="CAIXA Std Book" w:eastAsia="Times New Roman" w:hAnsi="CAIXA Std Book" w:cs="Times New Roman"/>
                <w:b/>
                <w:color w:val="005CA9"/>
                <w:sz w:val="16"/>
                <w:szCs w:val="16"/>
              </w:rPr>
            </w:pPr>
            <w:r w:rsidRPr="00BC0002">
              <w:rPr>
                <w:rFonts w:ascii="CAIXA Std Book" w:eastAsia="Times New Roman" w:hAnsi="CAIXA Std Book" w:cs="Times New Roman"/>
                <w:b/>
                <w:color w:val="005CA9"/>
                <w:sz w:val="16"/>
                <w:szCs w:val="16"/>
              </w:rPr>
              <w:t>Disponibilidades</w:t>
            </w:r>
          </w:p>
        </w:tc>
        <w:tc>
          <w:tcPr>
            <w:tcW w:w="452" w:type="pct"/>
            <w:tcBorders>
              <w:top w:val="nil"/>
              <w:left w:val="nil"/>
              <w:bottom w:val="single" w:sz="4" w:space="0" w:color="FFFFFF" w:themeColor="background1"/>
              <w:right w:val="nil"/>
            </w:tcBorders>
            <w:shd w:val="clear" w:color="auto" w:fill="D0E0E3"/>
            <w:noWrap/>
            <w:vAlign w:val="center"/>
            <w:hideMark/>
          </w:tcPr>
          <w:p w14:paraId="392C1B97" w14:textId="75EE687E" w:rsidR="0039647F" w:rsidRPr="00686AF4" w:rsidRDefault="00D459CD">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9.471.240</w:t>
            </w:r>
          </w:p>
        </w:tc>
        <w:tc>
          <w:tcPr>
            <w:tcW w:w="452" w:type="pct"/>
            <w:tcBorders>
              <w:top w:val="nil"/>
              <w:left w:val="nil"/>
              <w:bottom w:val="single" w:sz="4" w:space="0" w:color="FFFFFF" w:themeColor="background1"/>
              <w:right w:val="nil"/>
            </w:tcBorders>
            <w:shd w:val="clear" w:color="auto" w:fill="D0E0E3"/>
            <w:noWrap/>
            <w:vAlign w:val="center"/>
            <w:hideMark/>
          </w:tcPr>
          <w:p w14:paraId="6C2B52D5" w14:textId="60283B67" w:rsidR="0039647F" w:rsidRPr="00686AF4" w:rsidRDefault="00D459CD">
            <w:pPr>
              <w:jc w:val="center"/>
              <w:rPr>
                <w:rFonts w:ascii="CAIXA Std Book" w:eastAsia="Times New Roman" w:hAnsi="CAIXA Std Book" w:cs="Times New Roman"/>
                <w:b/>
                <w:color w:val="005CA9"/>
                <w:sz w:val="16"/>
                <w:szCs w:val="16"/>
              </w:rPr>
            </w:pPr>
            <w:r>
              <w:rPr>
                <w:rFonts w:ascii="CAIXA Std Book" w:hAnsi="CAIXA Std Book" w:cs="Arial"/>
                <w:b/>
                <w:bCs/>
                <w:color w:val="005CA9"/>
                <w:sz w:val="16"/>
                <w:szCs w:val="16"/>
              </w:rPr>
              <w:t>-</w:t>
            </w:r>
          </w:p>
        </w:tc>
        <w:tc>
          <w:tcPr>
            <w:tcW w:w="453" w:type="pct"/>
            <w:tcBorders>
              <w:top w:val="nil"/>
              <w:left w:val="nil"/>
              <w:bottom w:val="single" w:sz="4" w:space="0" w:color="FFFFFF" w:themeColor="background1"/>
              <w:right w:val="nil"/>
            </w:tcBorders>
            <w:shd w:val="clear" w:color="auto" w:fill="D0E0E3"/>
            <w:noWrap/>
            <w:vAlign w:val="center"/>
            <w:hideMark/>
          </w:tcPr>
          <w:p w14:paraId="5515B38F" w14:textId="600DA580" w:rsidR="0039647F" w:rsidRPr="00686AF4" w:rsidRDefault="00D459CD">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9.471.240</w:t>
            </w:r>
          </w:p>
        </w:tc>
        <w:tc>
          <w:tcPr>
            <w:tcW w:w="452" w:type="pct"/>
            <w:tcBorders>
              <w:top w:val="nil"/>
              <w:left w:val="nil"/>
              <w:bottom w:val="single" w:sz="4" w:space="0" w:color="FFFFFF" w:themeColor="background1"/>
              <w:right w:val="nil"/>
            </w:tcBorders>
            <w:shd w:val="clear" w:color="auto" w:fill="D0E0E3"/>
            <w:noWrap/>
            <w:vAlign w:val="center"/>
            <w:hideMark/>
          </w:tcPr>
          <w:p w14:paraId="3C964A4B" w14:textId="77777777" w:rsidR="0039647F" w:rsidRPr="00686AF4" w:rsidRDefault="0039647F">
            <w:pPr>
              <w:jc w:val="right"/>
              <w:rPr>
                <w:rFonts w:ascii="CAIXA Std Book" w:eastAsia="Times New Roman" w:hAnsi="CAIXA Std Book" w:cs="Times New Roman"/>
                <w:b/>
                <w:color w:val="005CA9"/>
                <w:sz w:val="16"/>
                <w:szCs w:val="16"/>
              </w:rPr>
            </w:pPr>
            <w:r w:rsidRPr="00686AF4">
              <w:rPr>
                <w:rFonts w:ascii="CAIXA Std Book" w:eastAsia="Times New Roman" w:hAnsi="CAIXA Std Book" w:cs="Arial"/>
                <w:b/>
                <w:color w:val="005CA9"/>
                <w:sz w:val="16"/>
                <w:szCs w:val="16"/>
              </w:rPr>
              <w:t>10.070.353</w:t>
            </w:r>
          </w:p>
        </w:tc>
        <w:tc>
          <w:tcPr>
            <w:tcW w:w="452" w:type="pct"/>
            <w:tcBorders>
              <w:top w:val="nil"/>
              <w:left w:val="nil"/>
              <w:bottom w:val="single" w:sz="4" w:space="0" w:color="FFFFFF" w:themeColor="background1"/>
              <w:right w:val="nil"/>
            </w:tcBorders>
            <w:shd w:val="clear" w:color="auto" w:fill="D0E0E3"/>
            <w:noWrap/>
            <w:vAlign w:val="center"/>
            <w:hideMark/>
          </w:tcPr>
          <w:p w14:paraId="6CACF4D0" w14:textId="77777777" w:rsidR="0039647F" w:rsidRPr="00686AF4" w:rsidRDefault="0039647F">
            <w:pPr>
              <w:jc w:val="center"/>
              <w:rPr>
                <w:rFonts w:ascii="CAIXA Std Book" w:eastAsia="Times New Roman" w:hAnsi="CAIXA Std Book" w:cs="Times New Roman"/>
                <w:b/>
                <w:color w:val="005CA9"/>
                <w:sz w:val="16"/>
                <w:szCs w:val="16"/>
              </w:rPr>
            </w:pPr>
            <w:r w:rsidRPr="00686AF4">
              <w:rPr>
                <w:rFonts w:ascii="CAIXA Std Book" w:eastAsia="Times New Roman" w:hAnsi="CAIXA Std Book" w:cs="Arial"/>
                <w:b/>
                <w:color w:val="005CA9"/>
                <w:sz w:val="16"/>
                <w:szCs w:val="16"/>
              </w:rPr>
              <w:t>-</w:t>
            </w:r>
          </w:p>
        </w:tc>
        <w:tc>
          <w:tcPr>
            <w:tcW w:w="453" w:type="pct"/>
            <w:tcBorders>
              <w:top w:val="nil"/>
              <w:left w:val="nil"/>
              <w:bottom w:val="single" w:sz="4" w:space="0" w:color="FFFFFF" w:themeColor="background1"/>
              <w:right w:val="nil"/>
            </w:tcBorders>
            <w:shd w:val="clear" w:color="auto" w:fill="D0E0E3"/>
            <w:noWrap/>
            <w:vAlign w:val="center"/>
            <w:hideMark/>
          </w:tcPr>
          <w:p w14:paraId="4238BA09" w14:textId="77777777" w:rsidR="0039647F" w:rsidRPr="00686AF4" w:rsidRDefault="0039647F">
            <w:pPr>
              <w:jc w:val="right"/>
              <w:rPr>
                <w:rFonts w:ascii="CAIXA Std Book" w:eastAsia="Times New Roman" w:hAnsi="CAIXA Std Book" w:cs="Times New Roman"/>
                <w:b/>
                <w:color w:val="005CA9"/>
                <w:sz w:val="16"/>
                <w:szCs w:val="16"/>
              </w:rPr>
            </w:pPr>
            <w:r w:rsidRPr="00686AF4">
              <w:rPr>
                <w:rFonts w:ascii="CAIXA Std Book" w:eastAsia="Times New Roman" w:hAnsi="CAIXA Std Book" w:cs="Arial"/>
                <w:b/>
                <w:color w:val="005CA9"/>
                <w:sz w:val="16"/>
                <w:szCs w:val="16"/>
              </w:rPr>
              <w:t>10.070.353</w:t>
            </w:r>
          </w:p>
        </w:tc>
      </w:tr>
      <w:tr w:rsidR="0039647F" w:rsidRPr="00F43394" w14:paraId="1D036B4F" w14:textId="77777777" w:rsidTr="00C5159C">
        <w:trPr>
          <w:trHeight w:val="255"/>
        </w:trPr>
        <w:tc>
          <w:tcPr>
            <w:tcW w:w="2286" w:type="pct"/>
            <w:tcBorders>
              <w:top w:val="single" w:sz="4" w:space="0" w:color="FFFFFF" w:themeColor="background1"/>
              <w:left w:val="nil"/>
              <w:bottom w:val="nil"/>
              <w:right w:val="nil"/>
            </w:tcBorders>
            <w:shd w:val="clear" w:color="auto" w:fill="D0E0E3"/>
            <w:noWrap/>
            <w:vAlign w:val="center"/>
            <w:hideMark/>
          </w:tcPr>
          <w:p w14:paraId="314E4D58" w14:textId="77777777" w:rsidR="0039647F" w:rsidRPr="00BC0002" w:rsidRDefault="0039647F">
            <w:pPr>
              <w:rPr>
                <w:rFonts w:ascii="CAIXA Std Book" w:eastAsia="Times New Roman" w:hAnsi="CAIXA Std Book" w:cs="Times New Roman"/>
                <w:b/>
                <w:color w:val="005CA9"/>
                <w:sz w:val="16"/>
                <w:szCs w:val="16"/>
              </w:rPr>
            </w:pPr>
            <w:r w:rsidRPr="00BC0002">
              <w:rPr>
                <w:rFonts w:ascii="CAIXA Std Book" w:eastAsia="Times New Roman" w:hAnsi="CAIXA Std Book" w:cs="Times New Roman"/>
                <w:b/>
                <w:color w:val="005CA9"/>
                <w:sz w:val="16"/>
                <w:szCs w:val="16"/>
              </w:rPr>
              <w:t>Ativos financeiros ao valor justo por meio do resultado</w:t>
            </w:r>
          </w:p>
        </w:tc>
        <w:tc>
          <w:tcPr>
            <w:tcW w:w="452" w:type="pct"/>
            <w:tcBorders>
              <w:top w:val="single" w:sz="4" w:space="0" w:color="FFFFFF" w:themeColor="background1"/>
              <w:left w:val="nil"/>
              <w:bottom w:val="nil"/>
              <w:right w:val="nil"/>
            </w:tcBorders>
            <w:shd w:val="clear" w:color="auto" w:fill="D0E0E3"/>
            <w:noWrap/>
            <w:vAlign w:val="center"/>
            <w:hideMark/>
          </w:tcPr>
          <w:p w14:paraId="23F9F985" w14:textId="5FEA5BE7" w:rsidR="0039647F" w:rsidRPr="00686AF4" w:rsidRDefault="00994C9F">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991.350</w:t>
            </w:r>
          </w:p>
        </w:tc>
        <w:tc>
          <w:tcPr>
            <w:tcW w:w="452" w:type="pct"/>
            <w:tcBorders>
              <w:top w:val="single" w:sz="4" w:space="0" w:color="FFFFFF" w:themeColor="background1"/>
              <w:left w:val="nil"/>
              <w:bottom w:val="nil"/>
              <w:right w:val="nil"/>
            </w:tcBorders>
            <w:shd w:val="clear" w:color="auto" w:fill="D0E0E3"/>
            <w:noWrap/>
            <w:vAlign w:val="center"/>
            <w:hideMark/>
          </w:tcPr>
          <w:p w14:paraId="47E620E8" w14:textId="40A72D9F" w:rsidR="0039647F" w:rsidRPr="00686AF4" w:rsidRDefault="00994C9F">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153.004.949</w:t>
            </w:r>
          </w:p>
        </w:tc>
        <w:tc>
          <w:tcPr>
            <w:tcW w:w="453" w:type="pct"/>
            <w:tcBorders>
              <w:top w:val="single" w:sz="4" w:space="0" w:color="FFFFFF" w:themeColor="background1"/>
              <w:left w:val="nil"/>
              <w:bottom w:val="nil"/>
              <w:right w:val="nil"/>
            </w:tcBorders>
            <w:shd w:val="clear" w:color="auto" w:fill="D0E0E3"/>
            <w:noWrap/>
            <w:vAlign w:val="center"/>
            <w:hideMark/>
          </w:tcPr>
          <w:p w14:paraId="628949F5" w14:textId="2CF0647D" w:rsidR="0039647F" w:rsidRPr="00686AF4" w:rsidRDefault="00994C9F">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153.996.299</w:t>
            </w:r>
          </w:p>
        </w:tc>
        <w:tc>
          <w:tcPr>
            <w:tcW w:w="452" w:type="pct"/>
            <w:tcBorders>
              <w:top w:val="single" w:sz="4" w:space="0" w:color="FFFFFF" w:themeColor="background1"/>
              <w:left w:val="nil"/>
              <w:bottom w:val="nil"/>
              <w:right w:val="nil"/>
            </w:tcBorders>
            <w:shd w:val="clear" w:color="auto" w:fill="D0E0E3"/>
            <w:noWrap/>
            <w:vAlign w:val="center"/>
            <w:hideMark/>
          </w:tcPr>
          <w:p w14:paraId="47E72880" w14:textId="77777777" w:rsidR="0039647F" w:rsidRPr="00686AF4" w:rsidRDefault="0039647F">
            <w:pPr>
              <w:jc w:val="right"/>
              <w:rPr>
                <w:rFonts w:ascii="CAIXA Std Book" w:eastAsia="Times New Roman" w:hAnsi="CAIXA Std Book" w:cs="Times New Roman"/>
                <w:b/>
                <w:color w:val="005CA9"/>
                <w:sz w:val="16"/>
                <w:szCs w:val="16"/>
              </w:rPr>
            </w:pPr>
            <w:r w:rsidRPr="00686AF4">
              <w:rPr>
                <w:rFonts w:ascii="CAIXA Std Book" w:eastAsia="Times New Roman" w:hAnsi="CAIXA Std Book" w:cs="Arial"/>
                <w:b/>
                <w:color w:val="005CA9"/>
                <w:sz w:val="16"/>
                <w:szCs w:val="16"/>
              </w:rPr>
              <w:t>1.162.440</w:t>
            </w:r>
          </w:p>
        </w:tc>
        <w:tc>
          <w:tcPr>
            <w:tcW w:w="452" w:type="pct"/>
            <w:tcBorders>
              <w:top w:val="single" w:sz="4" w:space="0" w:color="FFFFFF" w:themeColor="background1"/>
              <w:left w:val="nil"/>
              <w:bottom w:val="nil"/>
              <w:right w:val="nil"/>
            </w:tcBorders>
            <w:shd w:val="clear" w:color="auto" w:fill="D0E0E3"/>
            <w:noWrap/>
            <w:vAlign w:val="center"/>
            <w:hideMark/>
          </w:tcPr>
          <w:p w14:paraId="0A0990F1" w14:textId="77777777" w:rsidR="0039647F" w:rsidRPr="00686AF4" w:rsidRDefault="0039647F">
            <w:pPr>
              <w:jc w:val="right"/>
              <w:rPr>
                <w:rFonts w:ascii="CAIXA Std Book" w:eastAsia="Times New Roman" w:hAnsi="CAIXA Std Book" w:cs="Times New Roman"/>
                <w:b/>
                <w:color w:val="005CA9"/>
                <w:sz w:val="16"/>
                <w:szCs w:val="16"/>
              </w:rPr>
            </w:pPr>
            <w:r w:rsidRPr="00686AF4">
              <w:rPr>
                <w:rFonts w:ascii="CAIXA Std Book" w:eastAsia="Times New Roman" w:hAnsi="CAIXA Std Book" w:cs="Arial"/>
                <w:b/>
                <w:color w:val="005CA9"/>
                <w:sz w:val="16"/>
                <w:szCs w:val="16"/>
              </w:rPr>
              <w:t>160.200.782</w:t>
            </w:r>
          </w:p>
        </w:tc>
        <w:tc>
          <w:tcPr>
            <w:tcW w:w="453" w:type="pct"/>
            <w:tcBorders>
              <w:top w:val="single" w:sz="4" w:space="0" w:color="FFFFFF" w:themeColor="background1"/>
              <w:left w:val="nil"/>
              <w:bottom w:val="nil"/>
              <w:right w:val="nil"/>
            </w:tcBorders>
            <w:shd w:val="clear" w:color="auto" w:fill="D0E0E3"/>
            <w:noWrap/>
            <w:vAlign w:val="center"/>
            <w:hideMark/>
          </w:tcPr>
          <w:p w14:paraId="2C0A2A3F" w14:textId="77777777" w:rsidR="0039647F" w:rsidRPr="00686AF4" w:rsidRDefault="0039647F">
            <w:pPr>
              <w:jc w:val="right"/>
              <w:rPr>
                <w:rFonts w:ascii="CAIXA Std Book" w:eastAsia="Times New Roman" w:hAnsi="CAIXA Std Book" w:cs="Times New Roman"/>
                <w:b/>
                <w:color w:val="005CA9"/>
                <w:sz w:val="16"/>
                <w:szCs w:val="16"/>
              </w:rPr>
            </w:pPr>
            <w:r w:rsidRPr="00686AF4">
              <w:rPr>
                <w:rFonts w:ascii="CAIXA Std Book" w:eastAsia="Times New Roman" w:hAnsi="CAIXA Std Book" w:cs="Arial"/>
                <w:b/>
                <w:color w:val="005CA9"/>
                <w:sz w:val="16"/>
                <w:szCs w:val="16"/>
              </w:rPr>
              <w:t>161.363.222</w:t>
            </w:r>
          </w:p>
        </w:tc>
      </w:tr>
      <w:tr w:rsidR="0039647F" w:rsidRPr="00F43394" w14:paraId="2CD4DB92" w14:textId="77777777" w:rsidTr="001E6A64">
        <w:trPr>
          <w:trHeight w:val="255"/>
        </w:trPr>
        <w:tc>
          <w:tcPr>
            <w:tcW w:w="2286" w:type="pct"/>
            <w:tcBorders>
              <w:top w:val="nil"/>
              <w:left w:val="nil"/>
              <w:bottom w:val="nil"/>
              <w:right w:val="nil"/>
            </w:tcBorders>
            <w:noWrap/>
            <w:vAlign w:val="center"/>
            <w:hideMark/>
          </w:tcPr>
          <w:p w14:paraId="273886EC" w14:textId="77777777" w:rsidR="0039647F" w:rsidRPr="00BC0002" w:rsidRDefault="0039647F">
            <w:pPr>
              <w:ind w:firstLineChars="100" w:firstLine="160"/>
              <w:rPr>
                <w:rFonts w:ascii="CAIXA Std Book" w:eastAsia="Times New Roman" w:hAnsi="CAIXA Std Book" w:cs="Times New Roman"/>
                <w:color w:val="005CA9"/>
                <w:sz w:val="16"/>
                <w:szCs w:val="16"/>
              </w:rPr>
            </w:pPr>
            <w:r w:rsidRPr="00BC0002">
              <w:rPr>
                <w:rFonts w:ascii="CAIXA Std Book" w:eastAsia="Times New Roman" w:hAnsi="CAIXA Std Book" w:cs="Times New Roman"/>
                <w:color w:val="005CA9"/>
                <w:sz w:val="16"/>
                <w:szCs w:val="16"/>
              </w:rPr>
              <w:t>Títulos e valores mobiliários (líquidos de provisão para perdas associadas ao risco de crédito)</w:t>
            </w:r>
          </w:p>
        </w:tc>
        <w:tc>
          <w:tcPr>
            <w:tcW w:w="452" w:type="pct"/>
            <w:tcBorders>
              <w:top w:val="nil"/>
              <w:left w:val="nil"/>
              <w:bottom w:val="nil"/>
              <w:right w:val="nil"/>
            </w:tcBorders>
            <w:noWrap/>
            <w:vAlign w:val="center"/>
            <w:hideMark/>
          </w:tcPr>
          <w:p w14:paraId="3E9CE1AD" w14:textId="36E05BD1" w:rsidR="0039647F" w:rsidRPr="00686AF4" w:rsidRDefault="00256113">
            <w:pPr>
              <w:ind w:firstLineChars="100" w:firstLine="160"/>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972.940</w:t>
            </w:r>
          </w:p>
        </w:tc>
        <w:tc>
          <w:tcPr>
            <w:tcW w:w="452" w:type="pct"/>
            <w:tcBorders>
              <w:top w:val="nil"/>
              <w:left w:val="nil"/>
              <w:bottom w:val="nil"/>
              <w:right w:val="nil"/>
            </w:tcBorders>
            <w:noWrap/>
            <w:vAlign w:val="center"/>
            <w:hideMark/>
          </w:tcPr>
          <w:p w14:paraId="238A90CD" w14:textId="24170399" w:rsidR="0039647F" w:rsidRPr="00686AF4" w:rsidRDefault="00256113">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152.674.847</w:t>
            </w:r>
          </w:p>
        </w:tc>
        <w:tc>
          <w:tcPr>
            <w:tcW w:w="453" w:type="pct"/>
            <w:tcBorders>
              <w:top w:val="nil"/>
              <w:left w:val="nil"/>
              <w:bottom w:val="nil"/>
              <w:right w:val="nil"/>
            </w:tcBorders>
            <w:noWrap/>
            <w:vAlign w:val="center"/>
            <w:hideMark/>
          </w:tcPr>
          <w:p w14:paraId="15E1D1FB" w14:textId="52233E21" w:rsidR="0039647F" w:rsidRPr="00686AF4" w:rsidRDefault="00256113">
            <w:pPr>
              <w:ind w:firstLineChars="100" w:firstLine="160"/>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153.647.787</w:t>
            </w:r>
          </w:p>
        </w:tc>
        <w:tc>
          <w:tcPr>
            <w:tcW w:w="452" w:type="pct"/>
            <w:tcBorders>
              <w:top w:val="nil"/>
              <w:left w:val="nil"/>
              <w:bottom w:val="nil"/>
              <w:right w:val="nil"/>
            </w:tcBorders>
            <w:noWrap/>
            <w:vAlign w:val="center"/>
            <w:hideMark/>
          </w:tcPr>
          <w:p w14:paraId="134144EE" w14:textId="77777777" w:rsidR="0039647F" w:rsidRPr="00686AF4" w:rsidRDefault="0039647F">
            <w:pPr>
              <w:ind w:firstLineChars="100" w:firstLine="160"/>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1.162.394</w:t>
            </w:r>
          </w:p>
        </w:tc>
        <w:tc>
          <w:tcPr>
            <w:tcW w:w="452" w:type="pct"/>
            <w:tcBorders>
              <w:top w:val="nil"/>
              <w:left w:val="nil"/>
              <w:bottom w:val="nil"/>
              <w:right w:val="nil"/>
            </w:tcBorders>
            <w:noWrap/>
            <w:vAlign w:val="center"/>
            <w:hideMark/>
          </w:tcPr>
          <w:p w14:paraId="49FE2185" w14:textId="77777777" w:rsidR="0039647F" w:rsidRPr="00686AF4" w:rsidRDefault="0039647F">
            <w:pPr>
              <w:ind w:firstLineChars="100" w:firstLine="160"/>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159.941.175</w:t>
            </w:r>
          </w:p>
        </w:tc>
        <w:tc>
          <w:tcPr>
            <w:tcW w:w="453" w:type="pct"/>
            <w:tcBorders>
              <w:top w:val="nil"/>
              <w:left w:val="nil"/>
              <w:bottom w:val="nil"/>
              <w:right w:val="nil"/>
            </w:tcBorders>
            <w:noWrap/>
            <w:vAlign w:val="center"/>
            <w:hideMark/>
          </w:tcPr>
          <w:p w14:paraId="3558DAF6" w14:textId="77777777" w:rsidR="0039647F" w:rsidRPr="00686AF4" w:rsidRDefault="0039647F">
            <w:pPr>
              <w:ind w:firstLineChars="100" w:firstLine="160"/>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161.103.569</w:t>
            </w:r>
          </w:p>
        </w:tc>
      </w:tr>
      <w:tr w:rsidR="0039647F" w:rsidRPr="00F43394" w14:paraId="397E0A89" w14:textId="77777777" w:rsidTr="001E6A64">
        <w:trPr>
          <w:trHeight w:val="255"/>
        </w:trPr>
        <w:tc>
          <w:tcPr>
            <w:tcW w:w="2286" w:type="pct"/>
            <w:tcBorders>
              <w:top w:val="nil"/>
              <w:left w:val="nil"/>
              <w:bottom w:val="nil"/>
              <w:right w:val="nil"/>
            </w:tcBorders>
            <w:noWrap/>
            <w:vAlign w:val="center"/>
            <w:hideMark/>
          </w:tcPr>
          <w:p w14:paraId="7CF83F76" w14:textId="77777777" w:rsidR="0039647F" w:rsidRPr="00BC0002" w:rsidRDefault="0039647F">
            <w:pPr>
              <w:ind w:firstLineChars="100" w:firstLine="160"/>
              <w:rPr>
                <w:rFonts w:ascii="CAIXA Std Book" w:eastAsia="Times New Roman" w:hAnsi="CAIXA Std Book" w:cs="Times New Roman"/>
                <w:color w:val="005CA9"/>
                <w:sz w:val="16"/>
                <w:szCs w:val="16"/>
              </w:rPr>
            </w:pPr>
            <w:r w:rsidRPr="00BC0002">
              <w:rPr>
                <w:rFonts w:ascii="CAIXA Std Book" w:eastAsia="Times New Roman" w:hAnsi="CAIXA Std Book" w:cs="Times New Roman"/>
                <w:color w:val="005CA9"/>
                <w:sz w:val="16"/>
                <w:szCs w:val="16"/>
              </w:rPr>
              <w:t>Instrumentos financeiros derivativos</w:t>
            </w:r>
          </w:p>
        </w:tc>
        <w:tc>
          <w:tcPr>
            <w:tcW w:w="452" w:type="pct"/>
            <w:tcBorders>
              <w:top w:val="nil"/>
              <w:left w:val="nil"/>
              <w:bottom w:val="nil"/>
              <w:right w:val="nil"/>
            </w:tcBorders>
            <w:noWrap/>
            <w:vAlign w:val="center"/>
            <w:hideMark/>
          </w:tcPr>
          <w:p w14:paraId="5AA78063" w14:textId="22E71FBE" w:rsidR="0039647F" w:rsidRPr="00686AF4" w:rsidRDefault="005E0B19">
            <w:pPr>
              <w:ind w:firstLineChars="100" w:firstLine="160"/>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18.410</w:t>
            </w:r>
          </w:p>
        </w:tc>
        <w:tc>
          <w:tcPr>
            <w:tcW w:w="452" w:type="pct"/>
            <w:tcBorders>
              <w:top w:val="nil"/>
              <w:left w:val="nil"/>
              <w:bottom w:val="nil"/>
              <w:right w:val="nil"/>
            </w:tcBorders>
            <w:noWrap/>
            <w:vAlign w:val="center"/>
            <w:hideMark/>
          </w:tcPr>
          <w:p w14:paraId="66F52CCE" w14:textId="416182E1" w:rsidR="0039647F" w:rsidRPr="00686AF4" w:rsidRDefault="005E0B19">
            <w:pPr>
              <w:jc w:val="center"/>
              <w:rPr>
                <w:rFonts w:ascii="CAIXA Std Book" w:eastAsia="Times New Roman" w:hAnsi="CAIXA Std Book" w:cs="Times New Roman"/>
                <w:color w:val="005CA9"/>
                <w:sz w:val="16"/>
                <w:szCs w:val="16"/>
              </w:rPr>
            </w:pPr>
            <w:r>
              <w:rPr>
                <w:rFonts w:ascii="CAIXA Std Book" w:hAnsi="CAIXA Std Book" w:cs="Arial"/>
                <w:color w:val="005CA9"/>
                <w:sz w:val="16"/>
                <w:szCs w:val="16"/>
              </w:rPr>
              <w:t>-</w:t>
            </w:r>
          </w:p>
        </w:tc>
        <w:tc>
          <w:tcPr>
            <w:tcW w:w="453" w:type="pct"/>
            <w:tcBorders>
              <w:top w:val="nil"/>
              <w:left w:val="nil"/>
              <w:bottom w:val="nil"/>
              <w:right w:val="nil"/>
            </w:tcBorders>
            <w:noWrap/>
            <w:vAlign w:val="center"/>
            <w:hideMark/>
          </w:tcPr>
          <w:p w14:paraId="66C4C8AE" w14:textId="31F7E2A6" w:rsidR="0039647F" w:rsidRPr="00686AF4" w:rsidRDefault="005E0B19">
            <w:pPr>
              <w:ind w:firstLineChars="100" w:firstLine="160"/>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18.410</w:t>
            </w:r>
          </w:p>
        </w:tc>
        <w:tc>
          <w:tcPr>
            <w:tcW w:w="452" w:type="pct"/>
            <w:tcBorders>
              <w:top w:val="nil"/>
              <w:left w:val="nil"/>
              <w:bottom w:val="nil"/>
              <w:right w:val="nil"/>
            </w:tcBorders>
            <w:noWrap/>
            <w:vAlign w:val="center"/>
            <w:hideMark/>
          </w:tcPr>
          <w:p w14:paraId="26539FFE" w14:textId="77777777" w:rsidR="0039647F" w:rsidRPr="00686AF4" w:rsidRDefault="0039647F">
            <w:pPr>
              <w:ind w:firstLineChars="100" w:firstLine="160"/>
              <w:jc w:val="right"/>
              <w:rPr>
                <w:rFonts w:ascii="CAIXA Std Book" w:eastAsia="Times New Roman" w:hAnsi="CAIXA Std Book" w:cs="Times New Roman"/>
                <w:color w:val="005CA9"/>
                <w:sz w:val="16"/>
                <w:szCs w:val="16"/>
              </w:rPr>
            </w:pPr>
            <w:r w:rsidRPr="00686AF4">
              <w:rPr>
                <w:rFonts w:ascii="CAIXA Std Book" w:eastAsia="Times New Roman" w:hAnsi="CAIXA Std Book" w:cs="Times New Roman"/>
                <w:color w:val="005CA9"/>
                <w:sz w:val="16"/>
                <w:szCs w:val="16"/>
              </w:rPr>
              <w:t>46</w:t>
            </w:r>
          </w:p>
        </w:tc>
        <w:tc>
          <w:tcPr>
            <w:tcW w:w="452" w:type="pct"/>
            <w:tcBorders>
              <w:top w:val="nil"/>
              <w:left w:val="nil"/>
              <w:bottom w:val="nil"/>
              <w:right w:val="nil"/>
            </w:tcBorders>
            <w:noWrap/>
            <w:vAlign w:val="center"/>
            <w:hideMark/>
          </w:tcPr>
          <w:p w14:paraId="712D9283" w14:textId="77777777" w:rsidR="0039647F" w:rsidRPr="00686AF4" w:rsidRDefault="0039647F">
            <w:pPr>
              <w:jc w:val="center"/>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w:t>
            </w:r>
          </w:p>
        </w:tc>
        <w:tc>
          <w:tcPr>
            <w:tcW w:w="453" w:type="pct"/>
            <w:tcBorders>
              <w:top w:val="nil"/>
              <w:left w:val="nil"/>
              <w:bottom w:val="nil"/>
              <w:right w:val="nil"/>
            </w:tcBorders>
            <w:noWrap/>
            <w:vAlign w:val="center"/>
            <w:hideMark/>
          </w:tcPr>
          <w:p w14:paraId="7C5A911D" w14:textId="77777777" w:rsidR="0039647F" w:rsidRPr="00686AF4" w:rsidRDefault="0039647F">
            <w:pPr>
              <w:ind w:firstLineChars="100" w:firstLine="160"/>
              <w:jc w:val="right"/>
              <w:rPr>
                <w:rFonts w:ascii="CAIXA Std Book" w:eastAsia="Times New Roman" w:hAnsi="CAIXA Std Book" w:cs="Times New Roman"/>
                <w:color w:val="005CA9"/>
                <w:sz w:val="16"/>
                <w:szCs w:val="16"/>
              </w:rPr>
            </w:pPr>
            <w:r w:rsidRPr="00686AF4">
              <w:rPr>
                <w:rFonts w:ascii="CAIXA Std Book" w:eastAsia="Times New Roman" w:hAnsi="CAIXA Std Book" w:cs="Times New Roman"/>
                <w:color w:val="005CA9"/>
                <w:sz w:val="16"/>
                <w:szCs w:val="16"/>
              </w:rPr>
              <w:t>46</w:t>
            </w:r>
          </w:p>
        </w:tc>
      </w:tr>
      <w:tr w:rsidR="00B91818" w:rsidRPr="00F43394" w14:paraId="2F21F846" w14:textId="77777777" w:rsidTr="001E6A64">
        <w:trPr>
          <w:trHeight w:val="255"/>
        </w:trPr>
        <w:tc>
          <w:tcPr>
            <w:tcW w:w="2286" w:type="pct"/>
            <w:tcBorders>
              <w:top w:val="nil"/>
              <w:left w:val="nil"/>
              <w:bottom w:val="nil"/>
              <w:right w:val="nil"/>
            </w:tcBorders>
            <w:noWrap/>
            <w:vAlign w:val="center"/>
            <w:hideMark/>
          </w:tcPr>
          <w:p w14:paraId="3366ED22" w14:textId="77777777" w:rsidR="00B91818" w:rsidRPr="00BC0002" w:rsidRDefault="00B91818" w:rsidP="00B91818">
            <w:pPr>
              <w:ind w:firstLineChars="100" w:firstLine="160"/>
              <w:rPr>
                <w:rFonts w:ascii="CAIXA Std Book" w:eastAsia="Times New Roman" w:hAnsi="CAIXA Std Book" w:cs="Times New Roman"/>
                <w:color w:val="005CA9"/>
                <w:sz w:val="16"/>
                <w:szCs w:val="16"/>
              </w:rPr>
            </w:pPr>
            <w:r w:rsidRPr="00BC0002">
              <w:rPr>
                <w:rFonts w:ascii="CAIXA Std Book" w:eastAsia="Times New Roman" w:hAnsi="CAIXA Std Book" w:cs="Times New Roman"/>
                <w:color w:val="005CA9"/>
                <w:sz w:val="16"/>
                <w:szCs w:val="16"/>
              </w:rPr>
              <w:t>Outros ativos financeiros</w:t>
            </w:r>
          </w:p>
        </w:tc>
        <w:tc>
          <w:tcPr>
            <w:tcW w:w="452" w:type="pct"/>
            <w:tcBorders>
              <w:top w:val="nil"/>
              <w:left w:val="nil"/>
              <w:bottom w:val="nil"/>
              <w:right w:val="nil"/>
            </w:tcBorders>
            <w:shd w:val="clear" w:color="000000" w:fill="FFFFFF"/>
            <w:noWrap/>
            <w:vAlign w:val="center"/>
            <w:hideMark/>
          </w:tcPr>
          <w:p w14:paraId="0EA3F025" w14:textId="099403AC" w:rsidR="00B91818" w:rsidRPr="00686AF4" w:rsidRDefault="00B91818" w:rsidP="00B91818">
            <w:pPr>
              <w:jc w:val="center"/>
              <w:rPr>
                <w:rFonts w:ascii="CAIXA Std Book" w:eastAsia="Times New Roman" w:hAnsi="CAIXA Std Book" w:cs="Times New Roman"/>
                <w:color w:val="005CA9"/>
                <w:sz w:val="16"/>
                <w:szCs w:val="16"/>
              </w:rPr>
            </w:pPr>
            <w:r w:rsidRPr="00347B72">
              <w:rPr>
                <w:rFonts w:ascii="CAIXA Std Book" w:eastAsia="Times New Roman" w:hAnsi="CAIXA Std Book" w:cs="Times New Roman"/>
                <w:color w:val="005CA9"/>
                <w:sz w:val="16"/>
                <w:szCs w:val="16"/>
              </w:rPr>
              <w:t>-</w:t>
            </w:r>
          </w:p>
        </w:tc>
        <w:tc>
          <w:tcPr>
            <w:tcW w:w="452" w:type="pct"/>
            <w:tcBorders>
              <w:top w:val="nil"/>
              <w:left w:val="nil"/>
              <w:bottom w:val="nil"/>
              <w:right w:val="nil"/>
            </w:tcBorders>
            <w:shd w:val="clear" w:color="000000" w:fill="FFFFFF"/>
            <w:noWrap/>
            <w:vAlign w:val="center"/>
            <w:hideMark/>
          </w:tcPr>
          <w:p w14:paraId="42407729" w14:textId="0E5D8619" w:rsidR="00B91818" w:rsidRPr="00686AF4" w:rsidRDefault="00B91818" w:rsidP="00B91818">
            <w:pPr>
              <w:jc w:val="right"/>
              <w:rPr>
                <w:rFonts w:ascii="CAIXA Std Book" w:eastAsia="Times New Roman" w:hAnsi="CAIXA Std Book" w:cs="Times New Roman"/>
                <w:color w:val="005CA9"/>
                <w:sz w:val="16"/>
                <w:szCs w:val="16"/>
              </w:rPr>
            </w:pPr>
            <w:r w:rsidRPr="00347B72">
              <w:rPr>
                <w:rFonts w:ascii="CAIXA Std Book" w:hAnsi="CAIXA Std Book" w:cs="Calibri"/>
                <w:color w:val="005CA9"/>
                <w:sz w:val="16"/>
                <w:szCs w:val="16"/>
              </w:rPr>
              <w:t>330.102</w:t>
            </w:r>
          </w:p>
        </w:tc>
        <w:tc>
          <w:tcPr>
            <w:tcW w:w="453" w:type="pct"/>
            <w:tcBorders>
              <w:top w:val="nil"/>
              <w:left w:val="nil"/>
              <w:bottom w:val="nil"/>
              <w:right w:val="nil"/>
            </w:tcBorders>
            <w:shd w:val="clear" w:color="000000" w:fill="FFFFFF"/>
            <w:noWrap/>
            <w:vAlign w:val="center"/>
            <w:hideMark/>
          </w:tcPr>
          <w:p w14:paraId="3E2830D1" w14:textId="34EE31CB" w:rsidR="00B91818" w:rsidRPr="00686AF4" w:rsidRDefault="00B91818" w:rsidP="00B91818">
            <w:pPr>
              <w:jc w:val="right"/>
              <w:rPr>
                <w:rFonts w:ascii="CAIXA Std Book" w:eastAsia="Times New Roman" w:hAnsi="CAIXA Std Book" w:cs="Times New Roman"/>
                <w:color w:val="005CA9"/>
                <w:sz w:val="16"/>
                <w:szCs w:val="16"/>
              </w:rPr>
            </w:pPr>
            <w:r w:rsidRPr="00347B72">
              <w:rPr>
                <w:rFonts w:ascii="CAIXA Std Book" w:hAnsi="CAIXA Std Book" w:cs="Calibri"/>
                <w:color w:val="005CA9"/>
                <w:sz w:val="16"/>
                <w:szCs w:val="16"/>
              </w:rPr>
              <w:t>330.102</w:t>
            </w:r>
          </w:p>
        </w:tc>
        <w:tc>
          <w:tcPr>
            <w:tcW w:w="452" w:type="pct"/>
            <w:tcBorders>
              <w:top w:val="nil"/>
              <w:left w:val="nil"/>
              <w:bottom w:val="nil"/>
              <w:right w:val="nil"/>
            </w:tcBorders>
            <w:shd w:val="clear" w:color="000000" w:fill="FFFFFF"/>
            <w:noWrap/>
            <w:vAlign w:val="center"/>
            <w:hideMark/>
          </w:tcPr>
          <w:p w14:paraId="26E5A25C" w14:textId="77777777" w:rsidR="00B91818" w:rsidRPr="00686AF4" w:rsidRDefault="00B91818" w:rsidP="00B91818">
            <w:pPr>
              <w:jc w:val="center"/>
              <w:rPr>
                <w:rFonts w:ascii="CAIXA Std Book" w:eastAsia="Times New Roman" w:hAnsi="CAIXA Std Book" w:cs="Times New Roman"/>
                <w:color w:val="005CA9"/>
                <w:sz w:val="16"/>
                <w:szCs w:val="16"/>
              </w:rPr>
            </w:pPr>
            <w:r w:rsidRPr="00686AF4">
              <w:rPr>
                <w:rFonts w:ascii="CAIXA Std Book" w:eastAsia="Times New Roman" w:hAnsi="CAIXA Std Book" w:cs="Times New Roman"/>
                <w:color w:val="005CA9"/>
                <w:sz w:val="16"/>
                <w:szCs w:val="16"/>
              </w:rPr>
              <w:t>-</w:t>
            </w:r>
          </w:p>
        </w:tc>
        <w:tc>
          <w:tcPr>
            <w:tcW w:w="452" w:type="pct"/>
            <w:tcBorders>
              <w:top w:val="nil"/>
              <w:left w:val="nil"/>
              <w:bottom w:val="nil"/>
              <w:right w:val="nil"/>
            </w:tcBorders>
            <w:shd w:val="clear" w:color="000000" w:fill="FFFFFF"/>
            <w:noWrap/>
            <w:vAlign w:val="center"/>
            <w:hideMark/>
          </w:tcPr>
          <w:p w14:paraId="5292747E" w14:textId="77777777"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Times New Roman"/>
                <w:color w:val="005CA9"/>
                <w:sz w:val="16"/>
                <w:szCs w:val="16"/>
              </w:rPr>
              <w:t>259.607</w:t>
            </w:r>
          </w:p>
        </w:tc>
        <w:tc>
          <w:tcPr>
            <w:tcW w:w="453" w:type="pct"/>
            <w:tcBorders>
              <w:top w:val="nil"/>
              <w:left w:val="nil"/>
              <w:bottom w:val="nil"/>
              <w:right w:val="nil"/>
            </w:tcBorders>
            <w:shd w:val="clear" w:color="000000" w:fill="FFFFFF"/>
            <w:noWrap/>
            <w:vAlign w:val="center"/>
            <w:hideMark/>
          </w:tcPr>
          <w:p w14:paraId="578BF424" w14:textId="77777777"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Times New Roman"/>
                <w:color w:val="005CA9"/>
                <w:sz w:val="16"/>
                <w:szCs w:val="16"/>
              </w:rPr>
              <w:t>259.607</w:t>
            </w:r>
          </w:p>
        </w:tc>
      </w:tr>
      <w:tr w:rsidR="00B91818" w:rsidRPr="00F43394" w14:paraId="103600A4" w14:textId="77777777" w:rsidTr="001E6A64">
        <w:trPr>
          <w:trHeight w:val="255"/>
        </w:trPr>
        <w:tc>
          <w:tcPr>
            <w:tcW w:w="2286" w:type="pct"/>
            <w:tcBorders>
              <w:top w:val="nil"/>
              <w:left w:val="nil"/>
              <w:bottom w:val="nil"/>
              <w:right w:val="nil"/>
            </w:tcBorders>
            <w:shd w:val="clear" w:color="auto" w:fill="D0E0E3"/>
            <w:noWrap/>
            <w:vAlign w:val="center"/>
            <w:hideMark/>
          </w:tcPr>
          <w:p w14:paraId="453E5E2F" w14:textId="77777777" w:rsidR="00B91818" w:rsidRPr="00BC0002" w:rsidRDefault="00B91818" w:rsidP="00B91818">
            <w:pPr>
              <w:rPr>
                <w:rFonts w:ascii="CAIXA Std Book" w:eastAsia="Times New Roman" w:hAnsi="CAIXA Std Book" w:cs="Times New Roman"/>
                <w:b/>
                <w:color w:val="005CA9"/>
                <w:sz w:val="16"/>
                <w:szCs w:val="16"/>
              </w:rPr>
            </w:pPr>
            <w:r w:rsidRPr="00BC0002">
              <w:rPr>
                <w:rFonts w:ascii="CAIXA Std Book" w:eastAsia="Times New Roman" w:hAnsi="CAIXA Std Book" w:cs="Times New Roman"/>
                <w:b/>
                <w:color w:val="005CA9"/>
                <w:sz w:val="16"/>
                <w:szCs w:val="16"/>
              </w:rPr>
              <w:t>Ativos financeiros ao valor justo por meio de outros resultados abrangentes</w:t>
            </w:r>
          </w:p>
        </w:tc>
        <w:tc>
          <w:tcPr>
            <w:tcW w:w="452" w:type="pct"/>
            <w:tcBorders>
              <w:top w:val="nil"/>
              <w:left w:val="nil"/>
              <w:bottom w:val="nil"/>
              <w:right w:val="nil"/>
            </w:tcBorders>
            <w:shd w:val="clear" w:color="auto" w:fill="D0E0E3"/>
            <w:noWrap/>
            <w:vAlign w:val="center"/>
            <w:hideMark/>
          </w:tcPr>
          <w:p w14:paraId="04B0193A" w14:textId="35A55868" w:rsidR="00B91818" w:rsidRPr="00686AF4" w:rsidRDefault="00B1783E" w:rsidP="00B91818">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278.451.792</w:t>
            </w:r>
          </w:p>
        </w:tc>
        <w:tc>
          <w:tcPr>
            <w:tcW w:w="452" w:type="pct"/>
            <w:tcBorders>
              <w:top w:val="nil"/>
              <w:left w:val="nil"/>
              <w:bottom w:val="nil"/>
              <w:right w:val="nil"/>
            </w:tcBorders>
            <w:shd w:val="clear" w:color="auto" w:fill="D0E0E3"/>
            <w:noWrap/>
            <w:vAlign w:val="center"/>
            <w:hideMark/>
          </w:tcPr>
          <w:p w14:paraId="72C48BFA" w14:textId="03308DCB" w:rsidR="00B91818" w:rsidRPr="00686AF4" w:rsidRDefault="00B1783E" w:rsidP="00B91818">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272.908.207</w:t>
            </w:r>
          </w:p>
        </w:tc>
        <w:tc>
          <w:tcPr>
            <w:tcW w:w="453" w:type="pct"/>
            <w:tcBorders>
              <w:top w:val="nil"/>
              <w:left w:val="nil"/>
              <w:bottom w:val="nil"/>
              <w:right w:val="nil"/>
            </w:tcBorders>
            <w:shd w:val="clear" w:color="auto" w:fill="D0E0E3"/>
            <w:noWrap/>
            <w:vAlign w:val="center"/>
            <w:hideMark/>
          </w:tcPr>
          <w:p w14:paraId="793AE1B7" w14:textId="6EB65BAD" w:rsidR="00B91818" w:rsidRPr="00686AF4" w:rsidRDefault="00B1783E" w:rsidP="00B91818">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551.359.999</w:t>
            </w:r>
          </w:p>
        </w:tc>
        <w:tc>
          <w:tcPr>
            <w:tcW w:w="452" w:type="pct"/>
            <w:tcBorders>
              <w:top w:val="nil"/>
              <w:left w:val="nil"/>
              <w:bottom w:val="nil"/>
              <w:right w:val="nil"/>
            </w:tcBorders>
            <w:shd w:val="clear" w:color="auto" w:fill="D0E0E3"/>
            <w:noWrap/>
            <w:vAlign w:val="center"/>
            <w:hideMark/>
          </w:tcPr>
          <w:p w14:paraId="62F218E6" w14:textId="77777777" w:rsidR="00B91818" w:rsidRPr="00686AF4" w:rsidRDefault="00B91818" w:rsidP="00B91818">
            <w:pPr>
              <w:jc w:val="right"/>
              <w:rPr>
                <w:rFonts w:ascii="CAIXA Std Book" w:eastAsia="Times New Roman" w:hAnsi="CAIXA Std Book" w:cs="Times New Roman"/>
                <w:b/>
                <w:color w:val="005CA9"/>
                <w:sz w:val="16"/>
                <w:szCs w:val="16"/>
              </w:rPr>
            </w:pPr>
            <w:r w:rsidRPr="00686AF4">
              <w:rPr>
                <w:rFonts w:ascii="CAIXA Std Book" w:eastAsia="Times New Roman" w:hAnsi="CAIXA Std Book" w:cs="Arial"/>
                <w:b/>
                <w:color w:val="005CA9"/>
                <w:sz w:val="16"/>
                <w:szCs w:val="16"/>
              </w:rPr>
              <w:t>150.731.906</w:t>
            </w:r>
          </w:p>
        </w:tc>
        <w:tc>
          <w:tcPr>
            <w:tcW w:w="452" w:type="pct"/>
            <w:tcBorders>
              <w:top w:val="nil"/>
              <w:left w:val="nil"/>
              <w:bottom w:val="nil"/>
              <w:right w:val="nil"/>
            </w:tcBorders>
            <w:shd w:val="clear" w:color="auto" w:fill="D0E0E3"/>
            <w:noWrap/>
            <w:vAlign w:val="center"/>
            <w:hideMark/>
          </w:tcPr>
          <w:p w14:paraId="7CB20D49" w14:textId="77777777" w:rsidR="00B91818" w:rsidRPr="00686AF4" w:rsidRDefault="00B91818" w:rsidP="00B91818">
            <w:pPr>
              <w:jc w:val="right"/>
              <w:rPr>
                <w:rFonts w:ascii="CAIXA Std Book" w:eastAsia="Times New Roman" w:hAnsi="CAIXA Std Book" w:cs="Times New Roman"/>
                <w:b/>
                <w:color w:val="005CA9"/>
                <w:sz w:val="16"/>
                <w:szCs w:val="16"/>
              </w:rPr>
            </w:pPr>
            <w:r w:rsidRPr="00686AF4">
              <w:rPr>
                <w:rFonts w:ascii="CAIXA Std Book" w:eastAsia="Times New Roman" w:hAnsi="CAIXA Std Book" w:cs="Arial"/>
                <w:b/>
                <w:color w:val="005CA9"/>
                <w:sz w:val="16"/>
                <w:szCs w:val="16"/>
              </w:rPr>
              <w:t>300.238.199</w:t>
            </w:r>
          </w:p>
        </w:tc>
        <w:tc>
          <w:tcPr>
            <w:tcW w:w="453" w:type="pct"/>
            <w:tcBorders>
              <w:top w:val="nil"/>
              <w:left w:val="nil"/>
              <w:bottom w:val="nil"/>
              <w:right w:val="nil"/>
            </w:tcBorders>
            <w:shd w:val="clear" w:color="auto" w:fill="D0E0E3"/>
            <w:noWrap/>
            <w:vAlign w:val="center"/>
            <w:hideMark/>
          </w:tcPr>
          <w:p w14:paraId="55B4B2A3" w14:textId="77777777" w:rsidR="00B91818" w:rsidRPr="00686AF4" w:rsidRDefault="00B91818" w:rsidP="00B91818">
            <w:pPr>
              <w:jc w:val="right"/>
              <w:rPr>
                <w:rFonts w:ascii="CAIXA Std Book" w:eastAsia="Times New Roman" w:hAnsi="CAIXA Std Book" w:cs="Times New Roman"/>
                <w:b/>
                <w:color w:val="005CA9"/>
                <w:sz w:val="16"/>
                <w:szCs w:val="16"/>
              </w:rPr>
            </w:pPr>
            <w:r w:rsidRPr="00686AF4">
              <w:rPr>
                <w:rFonts w:ascii="CAIXA Std Book" w:eastAsia="Times New Roman" w:hAnsi="CAIXA Std Book" w:cs="Arial"/>
                <w:b/>
                <w:color w:val="005CA9"/>
                <w:sz w:val="16"/>
                <w:szCs w:val="16"/>
              </w:rPr>
              <w:t>450.970.105</w:t>
            </w:r>
          </w:p>
        </w:tc>
      </w:tr>
      <w:tr w:rsidR="00B91818" w:rsidRPr="00F43394" w14:paraId="4FDC9459" w14:textId="77777777" w:rsidTr="001E6A64">
        <w:trPr>
          <w:trHeight w:val="255"/>
        </w:trPr>
        <w:tc>
          <w:tcPr>
            <w:tcW w:w="2286" w:type="pct"/>
            <w:tcBorders>
              <w:top w:val="nil"/>
              <w:left w:val="nil"/>
              <w:bottom w:val="nil"/>
              <w:right w:val="nil"/>
            </w:tcBorders>
            <w:noWrap/>
            <w:vAlign w:val="center"/>
            <w:hideMark/>
          </w:tcPr>
          <w:p w14:paraId="02C35CDD" w14:textId="77777777" w:rsidR="00B91818" w:rsidRPr="00BC0002" w:rsidRDefault="00B91818" w:rsidP="00B91818">
            <w:pPr>
              <w:ind w:firstLineChars="100" w:firstLine="160"/>
              <w:rPr>
                <w:rFonts w:ascii="CAIXA Std Book" w:eastAsia="Times New Roman" w:hAnsi="CAIXA Std Book" w:cs="Times New Roman"/>
                <w:color w:val="005CA9"/>
                <w:sz w:val="16"/>
                <w:szCs w:val="16"/>
              </w:rPr>
            </w:pPr>
            <w:r w:rsidRPr="00BC0002">
              <w:rPr>
                <w:rFonts w:ascii="CAIXA Std Book" w:eastAsia="Times New Roman" w:hAnsi="CAIXA Std Book" w:cs="Times New Roman"/>
                <w:color w:val="005CA9"/>
                <w:sz w:val="16"/>
                <w:szCs w:val="16"/>
              </w:rPr>
              <w:t>Aplicações interfinanceiras de liquidez</w:t>
            </w:r>
          </w:p>
        </w:tc>
        <w:tc>
          <w:tcPr>
            <w:tcW w:w="452" w:type="pct"/>
            <w:tcBorders>
              <w:top w:val="nil"/>
              <w:left w:val="nil"/>
              <w:bottom w:val="nil"/>
              <w:right w:val="nil"/>
            </w:tcBorders>
            <w:noWrap/>
            <w:vAlign w:val="center"/>
            <w:hideMark/>
          </w:tcPr>
          <w:p w14:paraId="1BCE3020" w14:textId="72C09935" w:rsidR="00B91818" w:rsidRPr="00686AF4" w:rsidRDefault="00607AD5" w:rsidP="00B91818">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269.531.070</w:t>
            </w:r>
          </w:p>
        </w:tc>
        <w:tc>
          <w:tcPr>
            <w:tcW w:w="452" w:type="pct"/>
            <w:tcBorders>
              <w:top w:val="nil"/>
              <w:left w:val="nil"/>
              <w:bottom w:val="nil"/>
              <w:right w:val="nil"/>
            </w:tcBorders>
            <w:noWrap/>
            <w:vAlign w:val="center"/>
            <w:hideMark/>
          </w:tcPr>
          <w:p w14:paraId="50190B0D" w14:textId="61C27FB6" w:rsidR="00B91818" w:rsidRPr="00686AF4" w:rsidRDefault="00607AD5" w:rsidP="00B91818">
            <w:pPr>
              <w:jc w:val="center"/>
              <w:rPr>
                <w:rFonts w:ascii="CAIXA Std Book" w:eastAsia="Times New Roman" w:hAnsi="CAIXA Std Book" w:cs="Times New Roman"/>
                <w:color w:val="005CA9"/>
                <w:sz w:val="16"/>
                <w:szCs w:val="16"/>
              </w:rPr>
            </w:pPr>
            <w:r w:rsidRPr="00686AF4">
              <w:rPr>
                <w:rFonts w:ascii="CAIXA Std Book" w:hAnsi="CAIXA Std Book" w:cs="Arial"/>
                <w:color w:val="005CA9"/>
                <w:sz w:val="16"/>
                <w:szCs w:val="16"/>
              </w:rPr>
              <w:t>-</w:t>
            </w:r>
          </w:p>
        </w:tc>
        <w:tc>
          <w:tcPr>
            <w:tcW w:w="453" w:type="pct"/>
            <w:tcBorders>
              <w:top w:val="nil"/>
              <w:left w:val="nil"/>
              <w:bottom w:val="nil"/>
              <w:right w:val="nil"/>
            </w:tcBorders>
            <w:noWrap/>
            <w:vAlign w:val="center"/>
            <w:hideMark/>
          </w:tcPr>
          <w:p w14:paraId="6BC9D0E1" w14:textId="6EF76171" w:rsidR="00B91818" w:rsidRPr="00686AF4" w:rsidRDefault="00607AD5" w:rsidP="00B91818">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269.531.070</w:t>
            </w:r>
          </w:p>
        </w:tc>
        <w:tc>
          <w:tcPr>
            <w:tcW w:w="452" w:type="pct"/>
            <w:tcBorders>
              <w:top w:val="nil"/>
              <w:left w:val="nil"/>
              <w:bottom w:val="nil"/>
              <w:right w:val="nil"/>
            </w:tcBorders>
            <w:noWrap/>
            <w:vAlign w:val="center"/>
            <w:hideMark/>
          </w:tcPr>
          <w:p w14:paraId="385F3BCE" w14:textId="77777777"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139.988.308</w:t>
            </w:r>
          </w:p>
        </w:tc>
        <w:tc>
          <w:tcPr>
            <w:tcW w:w="452" w:type="pct"/>
            <w:tcBorders>
              <w:top w:val="nil"/>
              <w:left w:val="nil"/>
              <w:bottom w:val="nil"/>
              <w:right w:val="nil"/>
            </w:tcBorders>
            <w:noWrap/>
            <w:vAlign w:val="center"/>
            <w:hideMark/>
          </w:tcPr>
          <w:p w14:paraId="38860F40" w14:textId="77777777" w:rsidR="00B91818" w:rsidRPr="00686AF4" w:rsidRDefault="00B91818" w:rsidP="00B91818">
            <w:pPr>
              <w:jc w:val="center"/>
              <w:rPr>
                <w:rFonts w:ascii="CAIXA Std Book" w:eastAsia="Times New Roman" w:hAnsi="CAIXA Std Book" w:cs="Times New Roman"/>
                <w:color w:val="005CA9"/>
                <w:sz w:val="16"/>
                <w:szCs w:val="16"/>
              </w:rPr>
            </w:pPr>
            <w:r w:rsidRPr="00686AF4">
              <w:rPr>
                <w:rFonts w:ascii="CAIXA Std Book" w:eastAsia="Times New Roman" w:hAnsi="CAIXA Std Book" w:cs="Times New Roman"/>
                <w:color w:val="005CA9"/>
                <w:sz w:val="16"/>
                <w:szCs w:val="16"/>
              </w:rPr>
              <w:t>-</w:t>
            </w:r>
          </w:p>
        </w:tc>
        <w:tc>
          <w:tcPr>
            <w:tcW w:w="453" w:type="pct"/>
            <w:tcBorders>
              <w:top w:val="nil"/>
              <w:left w:val="nil"/>
              <w:bottom w:val="nil"/>
              <w:right w:val="nil"/>
            </w:tcBorders>
            <w:noWrap/>
            <w:vAlign w:val="center"/>
            <w:hideMark/>
          </w:tcPr>
          <w:p w14:paraId="0A03D3AF" w14:textId="77777777"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139.988.308</w:t>
            </w:r>
          </w:p>
        </w:tc>
      </w:tr>
      <w:tr w:rsidR="00B91818" w:rsidRPr="00F43394" w14:paraId="0E344393" w14:textId="77777777" w:rsidTr="001E6A64">
        <w:trPr>
          <w:trHeight w:val="255"/>
        </w:trPr>
        <w:tc>
          <w:tcPr>
            <w:tcW w:w="2286" w:type="pct"/>
            <w:tcBorders>
              <w:top w:val="nil"/>
              <w:left w:val="nil"/>
              <w:bottom w:val="nil"/>
              <w:right w:val="nil"/>
            </w:tcBorders>
            <w:noWrap/>
            <w:vAlign w:val="center"/>
            <w:hideMark/>
          </w:tcPr>
          <w:p w14:paraId="5C3407E0" w14:textId="77777777" w:rsidR="00B91818" w:rsidRPr="00BC0002" w:rsidRDefault="00B91818" w:rsidP="00B91818">
            <w:pPr>
              <w:ind w:firstLineChars="100" w:firstLine="160"/>
              <w:rPr>
                <w:rFonts w:ascii="CAIXA Std Book" w:eastAsia="Times New Roman" w:hAnsi="CAIXA Std Book" w:cs="Times New Roman"/>
                <w:color w:val="005CA9"/>
                <w:sz w:val="16"/>
                <w:szCs w:val="16"/>
              </w:rPr>
            </w:pPr>
            <w:r w:rsidRPr="00BC0002">
              <w:rPr>
                <w:rFonts w:ascii="CAIXA Std Book" w:eastAsia="Times New Roman" w:hAnsi="CAIXA Std Book" w:cs="Times New Roman"/>
                <w:color w:val="005CA9"/>
                <w:sz w:val="16"/>
                <w:szCs w:val="16"/>
              </w:rPr>
              <w:t>Títulos e valores mobiliários (líquidos de provisão para perdas associadas ao risco de crédito)</w:t>
            </w:r>
          </w:p>
        </w:tc>
        <w:tc>
          <w:tcPr>
            <w:tcW w:w="452" w:type="pct"/>
            <w:tcBorders>
              <w:top w:val="nil"/>
              <w:left w:val="nil"/>
              <w:bottom w:val="nil"/>
              <w:right w:val="nil"/>
            </w:tcBorders>
            <w:noWrap/>
            <w:vAlign w:val="center"/>
            <w:hideMark/>
          </w:tcPr>
          <w:p w14:paraId="531F0BA5" w14:textId="338FC4A3" w:rsidR="00B91818" w:rsidRPr="00686AF4" w:rsidRDefault="000E011B" w:rsidP="00B91818">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8.920.722</w:t>
            </w:r>
          </w:p>
        </w:tc>
        <w:tc>
          <w:tcPr>
            <w:tcW w:w="452" w:type="pct"/>
            <w:tcBorders>
              <w:top w:val="nil"/>
              <w:left w:val="nil"/>
              <w:bottom w:val="nil"/>
              <w:right w:val="nil"/>
            </w:tcBorders>
            <w:noWrap/>
            <w:vAlign w:val="center"/>
            <w:hideMark/>
          </w:tcPr>
          <w:p w14:paraId="690E88AA" w14:textId="5B00A209" w:rsidR="00B91818" w:rsidRPr="00686AF4" w:rsidRDefault="000E011B" w:rsidP="00B91818">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272.908.207</w:t>
            </w:r>
          </w:p>
        </w:tc>
        <w:tc>
          <w:tcPr>
            <w:tcW w:w="453" w:type="pct"/>
            <w:tcBorders>
              <w:top w:val="nil"/>
              <w:left w:val="nil"/>
              <w:bottom w:val="nil"/>
              <w:right w:val="nil"/>
            </w:tcBorders>
            <w:noWrap/>
            <w:vAlign w:val="center"/>
            <w:hideMark/>
          </w:tcPr>
          <w:p w14:paraId="6D9DC5C9" w14:textId="531B85E5" w:rsidR="00B91818" w:rsidRPr="00686AF4" w:rsidRDefault="000E011B" w:rsidP="00B91818">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281.828.929</w:t>
            </w:r>
          </w:p>
        </w:tc>
        <w:tc>
          <w:tcPr>
            <w:tcW w:w="452" w:type="pct"/>
            <w:tcBorders>
              <w:top w:val="nil"/>
              <w:left w:val="nil"/>
              <w:bottom w:val="nil"/>
              <w:right w:val="nil"/>
            </w:tcBorders>
            <w:noWrap/>
            <w:vAlign w:val="center"/>
            <w:hideMark/>
          </w:tcPr>
          <w:p w14:paraId="58B99CAA" w14:textId="77777777"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10.743.598</w:t>
            </w:r>
          </w:p>
        </w:tc>
        <w:tc>
          <w:tcPr>
            <w:tcW w:w="452" w:type="pct"/>
            <w:tcBorders>
              <w:top w:val="nil"/>
              <w:left w:val="nil"/>
              <w:bottom w:val="nil"/>
              <w:right w:val="nil"/>
            </w:tcBorders>
            <w:noWrap/>
            <w:vAlign w:val="center"/>
            <w:hideMark/>
          </w:tcPr>
          <w:p w14:paraId="63BC0E48" w14:textId="77777777"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300.238.199</w:t>
            </w:r>
          </w:p>
        </w:tc>
        <w:tc>
          <w:tcPr>
            <w:tcW w:w="453" w:type="pct"/>
            <w:tcBorders>
              <w:top w:val="nil"/>
              <w:left w:val="nil"/>
              <w:bottom w:val="nil"/>
              <w:right w:val="nil"/>
            </w:tcBorders>
            <w:noWrap/>
            <w:vAlign w:val="center"/>
            <w:hideMark/>
          </w:tcPr>
          <w:p w14:paraId="407CC8E8" w14:textId="77777777"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310.981.797</w:t>
            </w:r>
          </w:p>
        </w:tc>
      </w:tr>
      <w:tr w:rsidR="00B91818" w:rsidRPr="00F43394" w14:paraId="5D8580CB" w14:textId="77777777" w:rsidTr="001E6A64">
        <w:trPr>
          <w:trHeight w:val="255"/>
        </w:trPr>
        <w:tc>
          <w:tcPr>
            <w:tcW w:w="2286" w:type="pct"/>
            <w:tcBorders>
              <w:top w:val="nil"/>
              <w:left w:val="nil"/>
              <w:bottom w:val="nil"/>
              <w:right w:val="nil"/>
            </w:tcBorders>
            <w:shd w:val="clear" w:color="auto" w:fill="D0E0E3"/>
            <w:noWrap/>
            <w:vAlign w:val="center"/>
            <w:hideMark/>
          </w:tcPr>
          <w:p w14:paraId="06112956" w14:textId="77777777" w:rsidR="00B91818" w:rsidRPr="00BC0002" w:rsidRDefault="00B91818" w:rsidP="00B91818">
            <w:pPr>
              <w:rPr>
                <w:rFonts w:ascii="CAIXA Std Book" w:eastAsia="Times New Roman" w:hAnsi="CAIXA Std Book" w:cs="Times New Roman"/>
                <w:b/>
                <w:color w:val="005CA9"/>
                <w:sz w:val="16"/>
                <w:szCs w:val="16"/>
              </w:rPr>
            </w:pPr>
            <w:r w:rsidRPr="00BC0002">
              <w:rPr>
                <w:rFonts w:ascii="CAIXA Std Book" w:eastAsia="Times New Roman" w:hAnsi="CAIXA Std Book" w:cs="Times New Roman"/>
                <w:b/>
                <w:color w:val="005CA9"/>
                <w:sz w:val="16"/>
                <w:szCs w:val="16"/>
              </w:rPr>
              <w:t>Ativos financeiros ao custo amortizado</w:t>
            </w:r>
          </w:p>
        </w:tc>
        <w:tc>
          <w:tcPr>
            <w:tcW w:w="452" w:type="pct"/>
            <w:tcBorders>
              <w:top w:val="nil"/>
              <w:left w:val="nil"/>
              <w:bottom w:val="nil"/>
              <w:right w:val="nil"/>
            </w:tcBorders>
            <w:shd w:val="clear" w:color="auto" w:fill="D0E0E3"/>
            <w:noWrap/>
            <w:vAlign w:val="center"/>
            <w:hideMark/>
          </w:tcPr>
          <w:p w14:paraId="5B6B6DEE" w14:textId="4ADFC4EF" w:rsidR="00B91818" w:rsidRPr="00686AF4" w:rsidRDefault="00B0777B" w:rsidP="00B91818">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406</w:t>
            </w:r>
            <w:r w:rsidR="00EF6AD9">
              <w:rPr>
                <w:rFonts w:ascii="CAIXA Std Book" w:hAnsi="CAIXA Std Book" w:cs="Calibri"/>
                <w:b/>
                <w:bCs/>
                <w:color w:val="005CA9"/>
                <w:sz w:val="16"/>
                <w:szCs w:val="16"/>
              </w:rPr>
              <w:t>.921.355</w:t>
            </w:r>
          </w:p>
        </w:tc>
        <w:tc>
          <w:tcPr>
            <w:tcW w:w="452" w:type="pct"/>
            <w:tcBorders>
              <w:top w:val="nil"/>
              <w:left w:val="nil"/>
              <w:bottom w:val="nil"/>
              <w:right w:val="nil"/>
            </w:tcBorders>
            <w:shd w:val="clear" w:color="auto" w:fill="D0E0E3"/>
            <w:noWrap/>
            <w:vAlign w:val="center"/>
            <w:hideMark/>
          </w:tcPr>
          <w:p w14:paraId="43652B50" w14:textId="04621AAD" w:rsidR="00B91818" w:rsidRPr="00686AF4" w:rsidRDefault="00EF6AD9" w:rsidP="00B91818">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1.180.762.71</w:t>
            </w:r>
            <w:r w:rsidR="00AC7699">
              <w:rPr>
                <w:rFonts w:ascii="CAIXA Std Book" w:hAnsi="CAIXA Std Book" w:cs="Calibri"/>
                <w:b/>
                <w:bCs/>
                <w:color w:val="005CA9"/>
                <w:sz w:val="16"/>
                <w:szCs w:val="16"/>
              </w:rPr>
              <w:t>2</w:t>
            </w:r>
          </w:p>
        </w:tc>
        <w:tc>
          <w:tcPr>
            <w:tcW w:w="453" w:type="pct"/>
            <w:tcBorders>
              <w:top w:val="nil"/>
              <w:left w:val="nil"/>
              <w:bottom w:val="nil"/>
              <w:right w:val="nil"/>
            </w:tcBorders>
            <w:shd w:val="clear" w:color="auto" w:fill="D0E0E3"/>
            <w:noWrap/>
            <w:vAlign w:val="center"/>
            <w:hideMark/>
          </w:tcPr>
          <w:p w14:paraId="1B3B6C77" w14:textId="7AC5ED0B" w:rsidR="00B91818" w:rsidRPr="00686AF4" w:rsidRDefault="00EF6AD9" w:rsidP="00B91818">
            <w:pPr>
              <w:jc w:val="right"/>
              <w:rPr>
                <w:rFonts w:ascii="CAIXA Std Book" w:eastAsia="Times New Roman" w:hAnsi="CAIXA Std Book" w:cs="Times New Roman"/>
                <w:b/>
                <w:color w:val="005CA9"/>
                <w:sz w:val="16"/>
                <w:szCs w:val="16"/>
              </w:rPr>
            </w:pPr>
            <w:r>
              <w:rPr>
                <w:rFonts w:ascii="CAIXA Std Book" w:hAnsi="CAIXA Std Book" w:cs="Calibri"/>
                <w:b/>
                <w:bCs/>
                <w:color w:val="005CA9"/>
                <w:sz w:val="16"/>
                <w:szCs w:val="16"/>
              </w:rPr>
              <w:t>1.587.684.06</w:t>
            </w:r>
            <w:r w:rsidR="00AC7699">
              <w:rPr>
                <w:rFonts w:ascii="CAIXA Std Book" w:hAnsi="CAIXA Std Book" w:cs="Calibri"/>
                <w:b/>
                <w:bCs/>
                <w:color w:val="005CA9"/>
                <w:sz w:val="16"/>
                <w:szCs w:val="16"/>
              </w:rPr>
              <w:t>7</w:t>
            </w:r>
          </w:p>
        </w:tc>
        <w:tc>
          <w:tcPr>
            <w:tcW w:w="452" w:type="pct"/>
            <w:tcBorders>
              <w:top w:val="nil"/>
              <w:left w:val="nil"/>
              <w:bottom w:val="nil"/>
              <w:right w:val="nil"/>
            </w:tcBorders>
            <w:shd w:val="clear" w:color="auto" w:fill="D0E0E3"/>
            <w:noWrap/>
            <w:vAlign w:val="center"/>
            <w:hideMark/>
          </w:tcPr>
          <w:p w14:paraId="51BCC0E2" w14:textId="77777777" w:rsidR="00B91818" w:rsidRPr="00686AF4" w:rsidRDefault="00B91818" w:rsidP="00B91818">
            <w:pPr>
              <w:jc w:val="right"/>
              <w:rPr>
                <w:rFonts w:ascii="CAIXA Std Book" w:eastAsia="Times New Roman" w:hAnsi="CAIXA Std Book" w:cs="Times New Roman"/>
                <w:b/>
                <w:color w:val="005CA9"/>
                <w:sz w:val="16"/>
                <w:szCs w:val="16"/>
              </w:rPr>
            </w:pPr>
            <w:r w:rsidRPr="00686AF4">
              <w:rPr>
                <w:rFonts w:ascii="CAIXA Std Book" w:eastAsia="Times New Roman" w:hAnsi="CAIXA Std Book" w:cs="Arial"/>
                <w:b/>
                <w:color w:val="005CA9"/>
                <w:sz w:val="16"/>
                <w:szCs w:val="16"/>
              </w:rPr>
              <w:t>396.018.212</w:t>
            </w:r>
          </w:p>
        </w:tc>
        <w:tc>
          <w:tcPr>
            <w:tcW w:w="452" w:type="pct"/>
            <w:tcBorders>
              <w:top w:val="nil"/>
              <w:left w:val="nil"/>
              <w:bottom w:val="nil"/>
              <w:right w:val="nil"/>
            </w:tcBorders>
            <w:shd w:val="clear" w:color="auto" w:fill="D0E0E3"/>
            <w:noWrap/>
            <w:vAlign w:val="center"/>
            <w:hideMark/>
          </w:tcPr>
          <w:p w14:paraId="51408C05" w14:textId="77777777" w:rsidR="00B91818" w:rsidRPr="00686AF4" w:rsidRDefault="00B91818" w:rsidP="00B91818">
            <w:pPr>
              <w:jc w:val="right"/>
              <w:rPr>
                <w:rFonts w:ascii="CAIXA Std Book" w:eastAsia="Times New Roman" w:hAnsi="CAIXA Std Book" w:cs="Times New Roman"/>
                <w:b/>
                <w:color w:val="005CA9"/>
                <w:sz w:val="16"/>
                <w:szCs w:val="16"/>
              </w:rPr>
            </w:pPr>
            <w:r w:rsidRPr="00686AF4">
              <w:rPr>
                <w:rFonts w:ascii="CAIXA Std Book" w:eastAsia="Times New Roman" w:hAnsi="CAIXA Std Book" w:cs="Arial"/>
                <w:b/>
                <w:color w:val="005CA9"/>
                <w:sz w:val="16"/>
                <w:szCs w:val="16"/>
              </w:rPr>
              <w:t>1.153.954.848</w:t>
            </w:r>
          </w:p>
        </w:tc>
        <w:tc>
          <w:tcPr>
            <w:tcW w:w="453" w:type="pct"/>
            <w:tcBorders>
              <w:top w:val="nil"/>
              <w:left w:val="nil"/>
              <w:bottom w:val="nil"/>
              <w:right w:val="nil"/>
            </w:tcBorders>
            <w:shd w:val="clear" w:color="auto" w:fill="D0E0E3"/>
            <w:noWrap/>
            <w:vAlign w:val="center"/>
            <w:hideMark/>
          </w:tcPr>
          <w:p w14:paraId="34488790" w14:textId="77777777" w:rsidR="00B91818" w:rsidRPr="00686AF4" w:rsidRDefault="00B91818" w:rsidP="00B91818">
            <w:pPr>
              <w:jc w:val="right"/>
              <w:rPr>
                <w:rFonts w:ascii="CAIXA Std Book" w:eastAsia="Times New Roman" w:hAnsi="CAIXA Std Book" w:cs="Times New Roman"/>
                <w:b/>
                <w:color w:val="005CA9"/>
                <w:sz w:val="16"/>
                <w:szCs w:val="16"/>
              </w:rPr>
            </w:pPr>
            <w:r w:rsidRPr="00686AF4">
              <w:rPr>
                <w:rFonts w:ascii="CAIXA Std Book" w:eastAsia="Times New Roman" w:hAnsi="CAIXA Std Book" w:cs="Arial"/>
                <w:b/>
                <w:color w:val="005CA9"/>
                <w:sz w:val="16"/>
                <w:szCs w:val="16"/>
              </w:rPr>
              <w:t>1.549.973.060</w:t>
            </w:r>
          </w:p>
        </w:tc>
      </w:tr>
      <w:tr w:rsidR="00B91818" w:rsidRPr="00F43394" w14:paraId="6D13BD88" w14:textId="77777777" w:rsidTr="001E6A64">
        <w:trPr>
          <w:trHeight w:val="255"/>
        </w:trPr>
        <w:tc>
          <w:tcPr>
            <w:tcW w:w="2286" w:type="pct"/>
            <w:tcBorders>
              <w:top w:val="nil"/>
              <w:left w:val="nil"/>
              <w:bottom w:val="nil"/>
              <w:right w:val="nil"/>
            </w:tcBorders>
            <w:noWrap/>
            <w:vAlign w:val="center"/>
            <w:hideMark/>
          </w:tcPr>
          <w:p w14:paraId="65AAD1A6" w14:textId="77777777" w:rsidR="00B91818" w:rsidRPr="00BC0002" w:rsidRDefault="00B91818" w:rsidP="00B91818">
            <w:pPr>
              <w:ind w:firstLineChars="100" w:firstLine="160"/>
              <w:rPr>
                <w:rFonts w:ascii="CAIXA Std Book" w:eastAsia="Times New Roman" w:hAnsi="CAIXA Std Book" w:cs="Times New Roman"/>
                <w:color w:val="005CA9"/>
                <w:sz w:val="16"/>
                <w:szCs w:val="16"/>
              </w:rPr>
            </w:pPr>
            <w:r w:rsidRPr="00BC0002">
              <w:rPr>
                <w:rFonts w:ascii="CAIXA Std Book" w:eastAsia="Times New Roman" w:hAnsi="CAIXA Std Book" w:cs="Times New Roman"/>
                <w:color w:val="005CA9"/>
                <w:sz w:val="16"/>
                <w:szCs w:val="16"/>
              </w:rPr>
              <w:t>Depósitos no Banco Central</w:t>
            </w:r>
          </w:p>
        </w:tc>
        <w:tc>
          <w:tcPr>
            <w:tcW w:w="452" w:type="pct"/>
            <w:tcBorders>
              <w:top w:val="nil"/>
              <w:left w:val="nil"/>
              <w:bottom w:val="nil"/>
              <w:right w:val="nil"/>
            </w:tcBorders>
            <w:noWrap/>
            <w:vAlign w:val="center"/>
            <w:hideMark/>
          </w:tcPr>
          <w:p w14:paraId="6539A857" w14:textId="0441CD8D" w:rsidR="00B91818" w:rsidRPr="00686AF4" w:rsidRDefault="00607AD5" w:rsidP="00607AD5">
            <w:pPr>
              <w:ind w:firstLineChars="100" w:firstLine="160"/>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121.643.888</w:t>
            </w:r>
          </w:p>
        </w:tc>
        <w:tc>
          <w:tcPr>
            <w:tcW w:w="452" w:type="pct"/>
            <w:tcBorders>
              <w:top w:val="nil"/>
              <w:left w:val="nil"/>
              <w:bottom w:val="nil"/>
              <w:right w:val="nil"/>
            </w:tcBorders>
            <w:noWrap/>
            <w:vAlign w:val="center"/>
            <w:hideMark/>
          </w:tcPr>
          <w:p w14:paraId="6FFC060B" w14:textId="5C2E8F37" w:rsidR="00B91818" w:rsidRPr="00686AF4" w:rsidRDefault="00607AD5" w:rsidP="00B91818">
            <w:pPr>
              <w:jc w:val="center"/>
              <w:rPr>
                <w:rFonts w:ascii="CAIXA Std Book" w:eastAsia="Times New Roman" w:hAnsi="CAIXA Std Book" w:cs="Times New Roman"/>
                <w:color w:val="005CA9"/>
                <w:sz w:val="16"/>
                <w:szCs w:val="16"/>
              </w:rPr>
            </w:pPr>
            <w:r>
              <w:rPr>
                <w:rFonts w:ascii="CAIXA Std Book" w:hAnsi="CAIXA Std Book" w:cs="Arial"/>
                <w:color w:val="005CA9"/>
                <w:sz w:val="16"/>
                <w:szCs w:val="16"/>
              </w:rPr>
              <w:t>-</w:t>
            </w:r>
          </w:p>
        </w:tc>
        <w:tc>
          <w:tcPr>
            <w:tcW w:w="453" w:type="pct"/>
            <w:tcBorders>
              <w:top w:val="nil"/>
              <w:left w:val="nil"/>
              <w:bottom w:val="nil"/>
              <w:right w:val="nil"/>
            </w:tcBorders>
            <w:noWrap/>
            <w:vAlign w:val="center"/>
            <w:hideMark/>
          </w:tcPr>
          <w:p w14:paraId="3280B82D" w14:textId="04276E8D" w:rsidR="00B91818" w:rsidRPr="00686AF4" w:rsidRDefault="00607AD5" w:rsidP="00607AD5">
            <w:pPr>
              <w:ind w:firstLineChars="100" w:firstLine="160"/>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121.643.888</w:t>
            </w:r>
          </w:p>
        </w:tc>
        <w:tc>
          <w:tcPr>
            <w:tcW w:w="452" w:type="pct"/>
            <w:tcBorders>
              <w:top w:val="nil"/>
              <w:left w:val="nil"/>
              <w:bottom w:val="nil"/>
              <w:right w:val="nil"/>
            </w:tcBorders>
            <w:noWrap/>
            <w:vAlign w:val="center"/>
            <w:hideMark/>
          </w:tcPr>
          <w:p w14:paraId="0F266AA5" w14:textId="77777777" w:rsidR="00B91818" w:rsidRPr="00686AF4" w:rsidRDefault="00B91818" w:rsidP="00B91818">
            <w:pPr>
              <w:ind w:firstLineChars="100" w:firstLine="160"/>
              <w:jc w:val="right"/>
              <w:rPr>
                <w:rFonts w:ascii="CAIXA Std Book" w:eastAsia="Times New Roman" w:hAnsi="CAIXA Std Book" w:cs="Times New Roman"/>
                <w:color w:val="005CA9"/>
                <w:sz w:val="16"/>
                <w:szCs w:val="16"/>
              </w:rPr>
            </w:pPr>
            <w:r w:rsidRPr="00686AF4">
              <w:rPr>
                <w:rFonts w:ascii="CAIXA Std Book" w:eastAsia="Times New Roman" w:hAnsi="CAIXA Std Book" w:cs="Times New Roman"/>
                <w:color w:val="005CA9"/>
                <w:sz w:val="16"/>
                <w:szCs w:val="16"/>
              </w:rPr>
              <w:t>116.891.800</w:t>
            </w:r>
          </w:p>
        </w:tc>
        <w:tc>
          <w:tcPr>
            <w:tcW w:w="452" w:type="pct"/>
            <w:tcBorders>
              <w:top w:val="nil"/>
              <w:left w:val="nil"/>
              <w:bottom w:val="nil"/>
              <w:right w:val="nil"/>
            </w:tcBorders>
            <w:noWrap/>
            <w:vAlign w:val="center"/>
            <w:hideMark/>
          </w:tcPr>
          <w:p w14:paraId="4FD5FCAE" w14:textId="77777777" w:rsidR="00B91818" w:rsidRPr="00686AF4" w:rsidRDefault="00B91818" w:rsidP="00B91818">
            <w:pPr>
              <w:jc w:val="center"/>
              <w:rPr>
                <w:rFonts w:ascii="CAIXA Std Book" w:eastAsia="Times New Roman" w:hAnsi="CAIXA Std Book" w:cs="Times New Roman"/>
                <w:color w:val="005CA9"/>
                <w:sz w:val="16"/>
                <w:szCs w:val="16"/>
              </w:rPr>
            </w:pPr>
            <w:r w:rsidRPr="00686AF4">
              <w:rPr>
                <w:rFonts w:ascii="CAIXA Std Book" w:eastAsia="Times New Roman" w:hAnsi="CAIXA Std Book" w:cs="Times New Roman"/>
                <w:color w:val="005CA9"/>
                <w:sz w:val="16"/>
                <w:szCs w:val="16"/>
              </w:rPr>
              <w:t>-</w:t>
            </w:r>
          </w:p>
        </w:tc>
        <w:tc>
          <w:tcPr>
            <w:tcW w:w="453" w:type="pct"/>
            <w:tcBorders>
              <w:top w:val="nil"/>
              <w:left w:val="nil"/>
              <w:bottom w:val="nil"/>
              <w:right w:val="nil"/>
            </w:tcBorders>
            <w:noWrap/>
            <w:vAlign w:val="center"/>
            <w:hideMark/>
          </w:tcPr>
          <w:p w14:paraId="5F4B76A7" w14:textId="77777777" w:rsidR="00B91818" w:rsidRPr="00686AF4" w:rsidRDefault="00B91818" w:rsidP="00B91818">
            <w:pPr>
              <w:ind w:firstLineChars="100" w:firstLine="160"/>
              <w:jc w:val="right"/>
              <w:rPr>
                <w:rFonts w:ascii="CAIXA Std Book" w:eastAsia="Times New Roman" w:hAnsi="CAIXA Std Book" w:cs="Times New Roman"/>
                <w:color w:val="005CA9"/>
                <w:sz w:val="16"/>
                <w:szCs w:val="16"/>
              </w:rPr>
            </w:pPr>
            <w:r w:rsidRPr="00686AF4">
              <w:rPr>
                <w:rFonts w:ascii="CAIXA Std Book" w:eastAsia="Times New Roman" w:hAnsi="CAIXA Std Book" w:cs="Times New Roman"/>
                <w:color w:val="005CA9"/>
                <w:sz w:val="16"/>
                <w:szCs w:val="16"/>
              </w:rPr>
              <w:t>116.891.800</w:t>
            </w:r>
          </w:p>
        </w:tc>
      </w:tr>
      <w:tr w:rsidR="00B91818" w:rsidRPr="00F43394" w14:paraId="444F2CBF" w14:textId="77777777" w:rsidTr="001E6A64">
        <w:trPr>
          <w:trHeight w:val="255"/>
        </w:trPr>
        <w:tc>
          <w:tcPr>
            <w:tcW w:w="2286" w:type="pct"/>
            <w:tcBorders>
              <w:top w:val="nil"/>
              <w:left w:val="nil"/>
              <w:bottom w:val="nil"/>
              <w:right w:val="nil"/>
            </w:tcBorders>
            <w:noWrap/>
            <w:vAlign w:val="center"/>
            <w:hideMark/>
          </w:tcPr>
          <w:p w14:paraId="295AF495" w14:textId="77777777" w:rsidR="00B91818" w:rsidRPr="00BC0002" w:rsidRDefault="00B91818" w:rsidP="00B91818">
            <w:pPr>
              <w:ind w:firstLineChars="100" w:firstLine="160"/>
              <w:rPr>
                <w:rFonts w:ascii="CAIXA Std Book" w:eastAsia="Times New Roman" w:hAnsi="CAIXA Std Book" w:cs="Times New Roman"/>
                <w:color w:val="005CA9"/>
                <w:sz w:val="16"/>
                <w:szCs w:val="16"/>
              </w:rPr>
            </w:pPr>
            <w:r w:rsidRPr="00BC0002">
              <w:rPr>
                <w:rFonts w:ascii="CAIXA Std Book" w:eastAsia="Times New Roman" w:hAnsi="CAIXA Std Book" w:cs="Times New Roman"/>
                <w:color w:val="005CA9"/>
                <w:sz w:val="16"/>
                <w:szCs w:val="16"/>
              </w:rPr>
              <w:t>Aplicações interfinanceiras de liquidez</w:t>
            </w:r>
          </w:p>
        </w:tc>
        <w:tc>
          <w:tcPr>
            <w:tcW w:w="452" w:type="pct"/>
            <w:tcBorders>
              <w:top w:val="nil"/>
              <w:left w:val="nil"/>
              <w:bottom w:val="nil"/>
              <w:right w:val="nil"/>
            </w:tcBorders>
            <w:noWrap/>
            <w:vAlign w:val="center"/>
            <w:hideMark/>
          </w:tcPr>
          <w:p w14:paraId="2165BA71" w14:textId="5768CAE5" w:rsidR="00B91818" w:rsidRPr="00916FD7" w:rsidRDefault="00916FD7" w:rsidP="00B91818">
            <w:pPr>
              <w:jc w:val="right"/>
              <w:rPr>
                <w:rFonts w:ascii="CAIXA Std Book" w:eastAsia="Times New Roman" w:hAnsi="CAIXA Std Book" w:cs="Times New Roman"/>
                <w:color w:val="005CA9"/>
                <w:sz w:val="16"/>
                <w:szCs w:val="16"/>
              </w:rPr>
            </w:pPr>
            <w:r w:rsidRPr="00916FD7">
              <w:rPr>
                <w:rFonts w:ascii="CAIXA Std Book" w:hAnsi="CAIXA Std Book"/>
                <w:color w:val="005CA9"/>
                <w:sz w:val="16"/>
                <w:szCs w:val="16"/>
              </w:rPr>
              <w:t>8.165.618</w:t>
            </w:r>
          </w:p>
        </w:tc>
        <w:tc>
          <w:tcPr>
            <w:tcW w:w="452" w:type="pct"/>
            <w:tcBorders>
              <w:top w:val="nil"/>
              <w:left w:val="nil"/>
              <w:bottom w:val="nil"/>
              <w:right w:val="nil"/>
            </w:tcBorders>
            <w:noWrap/>
            <w:vAlign w:val="center"/>
            <w:hideMark/>
          </w:tcPr>
          <w:p w14:paraId="56AE515F" w14:textId="3B668BCF" w:rsidR="00B91818" w:rsidRPr="00AD2EE5" w:rsidRDefault="00AD2EE5" w:rsidP="00B91818">
            <w:pPr>
              <w:jc w:val="right"/>
              <w:rPr>
                <w:rFonts w:ascii="CAIXA Std Book" w:eastAsia="Times New Roman" w:hAnsi="CAIXA Std Book" w:cs="Times New Roman"/>
                <w:color w:val="005CA9"/>
                <w:sz w:val="16"/>
                <w:szCs w:val="16"/>
              </w:rPr>
            </w:pPr>
            <w:r w:rsidRPr="00AD2EE5">
              <w:rPr>
                <w:rFonts w:ascii="CAIXA Std Book" w:hAnsi="CAIXA Std Book"/>
                <w:color w:val="005CA9"/>
                <w:sz w:val="16"/>
                <w:szCs w:val="16"/>
              </w:rPr>
              <w:t>108.227</w:t>
            </w:r>
          </w:p>
        </w:tc>
        <w:tc>
          <w:tcPr>
            <w:tcW w:w="453" w:type="pct"/>
            <w:tcBorders>
              <w:top w:val="nil"/>
              <w:left w:val="nil"/>
              <w:bottom w:val="nil"/>
              <w:right w:val="nil"/>
            </w:tcBorders>
            <w:noWrap/>
            <w:vAlign w:val="center"/>
            <w:hideMark/>
          </w:tcPr>
          <w:p w14:paraId="78749EEC" w14:textId="549BA562" w:rsidR="00B91818" w:rsidRPr="00047583" w:rsidRDefault="00047583" w:rsidP="00B91818">
            <w:pPr>
              <w:jc w:val="right"/>
              <w:rPr>
                <w:rFonts w:ascii="CAIXA Std Book" w:eastAsia="Times New Roman" w:hAnsi="CAIXA Std Book" w:cs="Times New Roman"/>
                <w:color w:val="005CA9"/>
                <w:sz w:val="16"/>
                <w:szCs w:val="16"/>
              </w:rPr>
            </w:pPr>
            <w:r w:rsidRPr="00795C56">
              <w:rPr>
                <w:rFonts w:ascii="CAIXA Std Book" w:hAnsi="CAIXA Std Book"/>
                <w:color w:val="005CA9"/>
                <w:sz w:val="16"/>
                <w:szCs w:val="16"/>
              </w:rPr>
              <w:t>8.273.845</w:t>
            </w:r>
          </w:p>
        </w:tc>
        <w:tc>
          <w:tcPr>
            <w:tcW w:w="452" w:type="pct"/>
            <w:tcBorders>
              <w:top w:val="nil"/>
              <w:left w:val="nil"/>
              <w:bottom w:val="nil"/>
              <w:right w:val="nil"/>
            </w:tcBorders>
            <w:noWrap/>
            <w:vAlign w:val="center"/>
            <w:hideMark/>
          </w:tcPr>
          <w:p w14:paraId="2D01B5C7" w14:textId="77777777" w:rsidR="00B91818" w:rsidRPr="00D03FCC" w:rsidRDefault="00B91818" w:rsidP="00B91818">
            <w:pPr>
              <w:jc w:val="right"/>
              <w:rPr>
                <w:rFonts w:ascii="CAIXA Std Book" w:hAnsi="CAIXA Std Book"/>
                <w:color w:val="005CA9"/>
                <w:sz w:val="16"/>
                <w:szCs w:val="16"/>
              </w:rPr>
            </w:pPr>
            <w:r w:rsidRPr="00D03FCC">
              <w:rPr>
                <w:rFonts w:ascii="CAIXA Std Book" w:hAnsi="CAIXA Std Book"/>
                <w:color w:val="005CA9"/>
                <w:sz w:val="16"/>
                <w:szCs w:val="16"/>
              </w:rPr>
              <w:t>7.700.213</w:t>
            </w:r>
          </w:p>
        </w:tc>
        <w:tc>
          <w:tcPr>
            <w:tcW w:w="452" w:type="pct"/>
            <w:tcBorders>
              <w:top w:val="nil"/>
              <w:left w:val="nil"/>
              <w:bottom w:val="nil"/>
              <w:right w:val="nil"/>
            </w:tcBorders>
            <w:noWrap/>
            <w:vAlign w:val="center"/>
            <w:hideMark/>
          </w:tcPr>
          <w:p w14:paraId="35A75874" w14:textId="77777777"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107.805</w:t>
            </w:r>
          </w:p>
        </w:tc>
        <w:tc>
          <w:tcPr>
            <w:tcW w:w="453" w:type="pct"/>
            <w:tcBorders>
              <w:top w:val="nil"/>
              <w:left w:val="nil"/>
              <w:bottom w:val="nil"/>
              <w:right w:val="nil"/>
            </w:tcBorders>
            <w:noWrap/>
            <w:vAlign w:val="center"/>
            <w:hideMark/>
          </w:tcPr>
          <w:p w14:paraId="6FF926B7" w14:textId="77777777"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7.808.018</w:t>
            </w:r>
          </w:p>
        </w:tc>
      </w:tr>
      <w:tr w:rsidR="00B91818" w:rsidRPr="00F43394" w14:paraId="6CCA0B02" w14:textId="77777777" w:rsidTr="001E6A64">
        <w:trPr>
          <w:trHeight w:val="255"/>
        </w:trPr>
        <w:tc>
          <w:tcPr>
            <w:tcW w:w="2286" w:type="pct"/>
            <w:tcBorders>
              <w:top w:val="nil"/>
              <w:left w:val="nil"/>
              <w:bottom w:val="nil"/>
              <w:right w:val="nil"/>
            </w:tcBorders>
            <w:noWrap/>
            <w:vAlign w:val="center"/>
            <w:hideMark/>
          </w:tcPr>
          <w:p w14:paraId="2C747561" w14:textId="77777777" w:rsidR="00B91818" w:rsidRPr="00BC0002" w:rsidRDefault="00B91818" w:rsidP="00B91818">
            <w:pPr>
              <w:ind w:firstLineChars="100" w:firstLine="160"/>
              <w:rPr>
                <w:rFonts w:ascii="CAIXA Std Book" w:eastAsia="Times New Roman" w:hAnsi="CAIXA Std Book" w:cs="Times New Roman"/>
                <w:color w:val="005CA9"/>
                <w:sz w:val="16"/>
                <w:szCs w:val="16"/>
              </w:rPr>
            </w:pPr>
            <w:r w:rsidRPr="00BC0002">
              <w:rPr>
                <w:rFonts w:ascii="CAIXA Std Book" w:eastAsia="Times New Roman" w:hAnsi="CAIXA Std Book" w:cs="Times New Roman"/>
                <w:color w:val="005CA9"/>
                <w:sz w:val="16"/>
                <w:szCs w:val="16"/>
              </w:rPr>
              <w:t>Títulos e valores mobiliários (líquidos de provisão para perdas associadas ao risco de crédito)</w:t>
            </w:r>
          </w:p>
        </w:tc>
        <w:tc>
          <w:tcPr>
            <w:tcW w:w="452" w:type="pct"/>
            <w:tcBorders>
              <w:top w:val="nil"/>
              <w:left w:val="nil"/>
              <w:bottom w:val="nil"/>
              <w:right w:val="nil"/>
            </w:tcBorders>
            <w:shd w:val="clear" w:color="000000" w:fill="FFFFFF"/>
            <w:noWrap/>
            <w:vAlign w:val="center"/>
            <w:hideMark/>
          </w:tcPr>
          <w:p w14:paraId="0AC7C37D" w14:textId="1ED9BFE1" w:rsidR="00B91818" w:rsidRPr="00686AF4" w:rsidRDefault="00002B51" w:rsidP="00B91818">
            <w:pPr>
              <w:jc w:val="center"/>
              <w:rPr>
                <w:rFonts w:ascii="CAIXA Std Book" w:eastAsia="Times New Roman" w:hAnsi="CAIXA Std Book" w:cs="Times New Roman"/>
                <w:color w:val="005CA9"/>
                <w:sz w:val="16"/>
                <w:szCs w:val="16"/>
              </w:rPr>
            </w:pPr>
            <w:r>
              <w:rPr>
                <w:rFonts w:ascii="CAIXA Std Book" w:hAnsi="CAIXA Std Book" w:cs="Arial"/>
                <w:color w:val="005CA9"/>
                <w:sz w:val="16"/>
                <w:szCs w:val="16"/>
              </w:rPr>
              <w:t>-</w:t>
            </w:r>
          </w:p>
        </w:tc>
        <w:tc>
          <w:tcPr>
            <w:tcW w:w="452" w:type="pct"/>
            <w:tcBorders>
              <w:top w:val="nil"/>
              <w:left w:val="nil"/>
              <w:bottom w:val="nil"/>
              <w:right w:val="nil"/>
            </w:tcBorders>
            <w:shd w:val="clear" w:color="000000" w:fill="FFFFFF"/>
            <w:noWrap/>
            <w:vAlign w:val="center"/>
            <w:hideMark/>
          </w:tcPr>
          <w:p w14:paraId="2CA33D32" w14:textId="5BD939A0" w:rsidR="00B91818" w:rsidRPr="00686AF4" w:rsidRDefault="00002B51" w:rsidP="00B91818">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2.733.490</w:t>
            </w:r>
          </w:p>
        </w:tc>
        <w:tc>
          <w:tcPr>
            <w:tcW w:w="453" w:type="pct"/>
            <w:tcBorders>
              <w:top w:val="nil"/>
              <w:left w:val="nil"/>
              <w:bottom w:val="nil"/>
              <w:right w:val="nil"/>
            </w:tcBorders>
            <w:shd w:val="clear" w:color="000000" w:fill="FFFFFF"/>
            <w:noWrap/>
            <w:vAlign w:val="center"/>
            <w:hideMark/>
          </w:tcPr>
          <w:p w14:paraId="0D6F7624" w14:textId="72845D87" w:rsidR="00B91818" w:rsidRPr="00686AF4" w:rsidRDefault="00002B51" w:rsidP="00B91818">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2.733.490</w:t>
            </w:r>
          </w:p>
        </w:tc>
        <w:tc>
          <w:tcPr>
            <w:tcW w:w="452" w:type="pct"/>
            <w:tcBorders>
              <w:top w:val="nil"/>
              <w:left w:val="nil"/>
              <w:bottom w:val="nil"/>
              <w:right w:val="nil"/>
            </w:tcBorders>
            <w:shd w:val="clear" w:color="000000" w:fill="FFFFFF"/>
            <w:noWrap/>
            <w:vAlign w:val="center"/>
            <w:hideMark/>
          </w:tcPr>
          <w:p w14:paraId="081407CB" w14:textId="77777777" w:rsidR="00B91818" w:rsidRPr="00686AF4" w:rsidRDefault="00B91818" w:rsidP="00B91818">
            <w:pPr>
              <w:jc w:val="center"/>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w:t>
            </w:r>
          </w:p>
        </w:tc>
        <w:tc>
          <w:tcPr>
            <w:tcW w:w="452" w:type="pct"/>
            <w:tcBorders>
              <w:top w:val="nil"/>
              <w:left w:val="nil"/>
              <w:bottom w:val="nil"/>
              <w:right w:val="nil"/>
            </w:tcBorders>
            <w:shd w:val="clear" w:color="000000" w:fill="FFFFFF"/>
            <w:noWrap/>
            <w:vAlign w:val="center"/>
            <w:hideMark/>
          </w:tcPr>
          <w:p w14:paraId="037B9984" w14:textId="77777777"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2.238.931</w:t>
            </w:r>
          </w:p>
        </w:tc>
        <w:tc>
          <w:tcPr>
            <w:tcW w:w="453" w:type="pct"/>
            <w:tcBorders>
              <w:top w:val="nil"/>
              <w:left w:val="nil"/>
              <w:bottom w:val="nil"/>
              <w:right w:val="nil"/>
            </w:tcBorders>
            <w:shd w:val="clear" w:color="000000" w:fill="FFFFFF"/>
            <w:noWrap/>
            <w:vAlign w:val="center"/>
            <w:hideMark/>
          </w:tcPr>
          <w:p w14:paraId="37BD1B38" w14:textId="77777777"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2.238.931</w:t>
            </w:r>
          </w:p>
        </w:tc>
      </w:tr>
      <w:tr w:rsidR="00B91818" w:rsidRPr="00F43394" w14:paraId="11936B70" w14:textId="77777777" w:rsidTr="001E6A64">
        <w:trPr>
          <w:trHeight w:val="255"/>
        </w:trPr>
        <w:tc>
          <w:tcPr>
            <w:tcW w:w="2286" w:type="pct"/>
            <w:tcBorders>
              <w:top w:val="nil"/>
              <w:left w:val="nil"/>
              <w:bottom w:val="nil"/>
              <w:right w:val="nil"/>
            </w:tcBorders>
            <w:noWrap/>
            <w:vAlign w:val="center"/>
            <w:hideMark/>
          </w:tcPr>
          <w:p w14:paraId="1E153980" w14:textId="77777777" w:rsidR="00B91818" w:rsidRPr="00BC0002" w:rsidRDefault="00B91818" w:rsidP="00B91818">
            <w:pPr>
              <w:ind w:firstLineChars="100" w:firstLine="160"/>
              <w:rPr>
                <w:rFonts w:ascii="CAIXA Std Book" w:eastAsia="Times New Roman" w:hAnsi="CAIXA Std Book" w:cs="Times New Roman"/>
                <w:color w:val="005CA9"/>
                <w:sz w:val="16"/>
                <w:szCs w:val="16"/>
              </w:rPr>
            </w:pPr>
            <w:r w:rsidRPr="00BC0002">
              <w:rPr>
                <w:rFonts w:ascii="CAIXA Std Book" w:eastAsia="Times New Roman" w:hAnsi="CAIXA Std Book" w:cs="Times New Roman"/>
                <w:color w:val="005CA9"/>
                <w:sz w:val="16"/>
                <w:szCs w:val="16"/>
              </w:rPr>
              <w:t>Operações de crédito</w:t>
            </w:r>
          </w:p>
        </w:tc>
        <w:tc>
          <w:tcPr>
            <w:tcW w:w="452" w:type="pct"/>
            <w:tcBorders>
              <w:top w:val="nil"/>
              <w:left w:val="nil"/>
              <w:bottom w:val="nil"/>
              <w:right w:val="nil"/>
            </w:tcBorders>
            <w:shd w:val="clear" w:color="000000" w:fill="FFFFFF"/>
            <w:noWrap/>
            <w:vAlign w:val="center"/>
            <w:hideMark/>
          </w:tcPr>
          <w:p w14:paraId="2F4B9B06" w14:textId="69BCF405" w:rsidR="00B91818" w:rsidRPr="00686AF4" w:rsidRDefault="00FE3F46" w:rsidP="00B91818">
            <w:pPr>
              <w:jc w:val="right"/>
              <w:rPr>
                <w:rFonts w:ascii="CAIXA Std Book" w:eastAsia="Times New Roman" w:hAnsi="CAIXA Std Book" w:cs="Times New Roman"/>
                <w:color w:val="005CA9"/>
                <w:sz w:val="16"/>
                <w:szCs w:val="16"/>
              </w:rPr>
            </w:pPr>
            <w:r>
              <w:rPr>
                <w:rFonts w:ascii="CAIXA Std Book" w:eastAsia="Times New Roman" w:hAnsi="CAIXA Std Book" w:cs="Times New Roman"/>
                <w:color w:val="005CA9"/>
                <w:sz w:val="16"/>
                <w:szCs w:val="16"/>
              </w:rPr>
              <w:t>274.</w:t>
            </w:r>
            <w:r w:rsidR="00D25ED9">
              <w:rPr>
                <w:rFonts w:ascii="CAIXA Std Book" w:eastAsia="Times New Roman" w:hAnsi="CAIXA Std Book" w:cs="Times New Roman"/>
                <w:color w:val="005CA9"/>
                <w:sz w:val="16"/>
                <w:szCs w:val="16"/>
              </w:rPr>
              <w:t>251.131</w:t>
            </w:r>
          </w:p>
        </w:tc>
        <w:tc>
          <w:tcPr>
            <w:tcW w:w="452" w:type="pct"/>
            <w:tcBorders>
              <w:top w:val="nil"/>
              <w:left w:val="nil"/>
              <w:bottom w:val="nil"/>
              <w:right w:val="nil"/>
            </w:tcBorders>
            <w:shd w:val="clear" w:color="000000" w:fill="FFFFFF"/>
            <w:noWrap/>
            <w:vAlign w:val="center"/>
            <w:hideMark/>
          </w:tcPr>
          <w:p w14:paraId="0286FF83" w14:textId="52C8B278" w:rsidR="00B91818" w:rsidRPr="00686AF4" w:rsidRDefault="00D25ED9" w:rsidP="00B91818">
            <w:pPr>
              <w:jc w:val="right"/>
              <w:rPr>
                <w:rFonts w:ascii="CAIXA Std Book" w:eastAsia="Times New Roman" w:hAnsi="CAIXA Std Book" w:cs="Times New Roman"/>
                <w:color w:val="005CA9"/>
                <w:sz w:val="16"/>
                <w:szCs w:val="16"/>
              </w:rPr>
            </w:pPr>
            <w:r>
              <w:rPr>
                <w:rFonts w:ascii="CAIXA Std Book" w:eastAsia="Times New Roman" w:hAnsi="CAIXA Std Book" w:cs="Times New Roman"/>
                <w:color w:val="005CA9"/>
                <w:sz w:val="16"/>
                <w:szCs w:val="16"/>
              </w:rPr>
              <w:t>1.135.838.48</w:t>
            </w:r>
            <w:r w:rsidR="00AC7699">
              <w:rPr>
                <w:rFonts w:ascii="CAIXA Std Book" w:eastAsia="Times New Roman" w:hAnsi="CAIXA Std Book" w:cs="Times New Roman"/>
                <w:color w:val="005CA9"/>
                <w:sz w:val="16"/>
                <w:szCs w:val="16"/>
              </w:rPr>
              <w:t>3</w:t>
            </w:r>
          </w:p>
        </w:tc>
        <w:tc>
          <w:tcPr>
            <w:tcW w:w="453" w:type="pct"/>
            <w:tcBorders>
              <w:top w:val="nil"/>
              <w:left w:val="nil"/>
              <w:bottom w:val="nil"/>
              <w:right w:val="nil"/>
            </w:tcBorders>
            <w:shd w:val="clear" w:color="000000" w:fill="FFFFFF"/>
            <w:noWrap/>
            <w:vAlign w:val="center"/>
            <w:hideMark/>
          </w:tcPr>
          <w:p w14:paraId="1004FF43" w14:textId="7117FF8D" w:rsidR="00B91818" w:rsidRPr="00686AF4" w:rsidRDefault="00D25ED9" w:rsidP="00B91818">
            <w:pPr>
              <w:jc w:val="right"/>
              <w:rPr>
                <w:rFonts w:ascii="CAIXA Std Book" w:eastAsia="Times New Roman" w:hAnsi="CAIXA Std Book" w:cs="Times New Roman"/>
                <w:color w:val="005CA9"/>
                <w:sz w:val="16"/>
                <w:szCs w:val="16"/>
              </w:rPr>
            </w:pPr>
            <w:r>
              <w:rPr>
                <w:rFonts w:ascii="CAIXA Std Book" w:eastAsia="Times New Roman" w:hAnsi="CAIXA Std Book" w:cs="Times New Roman"/>
                <w:color w:val="005CA9"/>
                <w:sz w:val="16"/>
                <w:szCs w:val="16"/>
              </w:rPr>
              <w:t>1.410.089.61</w:t>
            </w:r>
            <w:r w:rsidR="00AC7699">
              <w:rPr>
                <w:rFonts w:ascii="CAIXA Std Book" w:eastAsia="Times New Roman" w:hAnsi="CAIXA Std Book" w:cs="Times New Roman"/>
                <w:color w:val="005CA9"/>
                <w:sz w:val="16"/>
                <w:szCs w:val="16"/>
              </w:rPr>
              <w:t>4</w:t>
            </w:r>
          </w:p>
        </w:tc>
        <w:tc>
          <w:tcPr>
            <w:tcW w:w="452" w:type="pct"/>
            <w:tcBorders>
              <w:top w:val="nil"/>
              <w:left w:val="nil"/>
              <w:bottom w:val="nil"/>
              <w:right w:val="nil"/>
            </w:tcBorders>
            <w:shd w:val="clear" w:color="000000" w:fill="FFFFFF"/>
            <w:noWrap/>
            <w:vAlign w:val="center"/>
            <w:hideMark/>
          </w:tcPr>
          <w:p w14:paraId="2AC16970" w14:textId="77777777"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267.893.884</w:t>
            </w:r>
          </w:p>
        </w:tc>
        <w:tc>
          <w:tcPr>
            <w:tcW w:w="452" w:type="pct"/>
            <w:tcBorders>
              <w:top w:val="nil"/>
              <w:left w:val="nil"/>
              <w:bottom w:val="nil"/>
              <w:right w:val="nil"/>
            </w:tcBorders>
            <w:shd w:val="clear" w:color="000000" w:fill="FFFFFF"/>
            <w:noWrap/>
            <w:vAlign w:val="center"/>
            <w:hideMark/>
          </w:tcPr>
          <w:p w14:paraId="58F6ABBA" w14:textId="77777777"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1.109.999.369</w:t>
            </w:r>
          </w:p>
        </w:tc>
        <w:tc>
          <w:tcPr>
            <w:tcW w:w="453" w:type="pct"/>
            <w:tcBorders>
              <w:top w:val="nil"/>
              <w:left w:val="nil"/>
              <w:bottom w:val="nil"/>
              <w:right w:val="nil"/>
            </w:tcBorders>
            <w:shd w:val="clear" w:color="000000" w:fill="FFFFFF"/>
            <w:noWrap/>
            <w:vAlign w:val="center"/>
            <w:hideMark/>
          </w:tcPr>
          <w:p w14:paraId="0A26E7B3" w14:textId="77777777"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1.377.893.253</w:t>
            </w:r>
          </w:p>
        </w:tc>
      </w:tr>
      <w:tr w:rsidR="00B91818" w:rsidRPr="00F43394" w14:paraId="4996E956" w14:textId="77777777" w:rsidTr="00C5159C">
        <w:trPr>
          <w:trHeight w:val="255"/>
        </w:trPr>
        <w:tc>
          <w:tcPr>
            <w:tcW w:w="2286" w:type="pct"/>
            <w:tcBorders>
              <w:top w:val="nil"/>
              <w:left w:val="nil"/>
              <w:right w:val="nil"/>
            </w:tcBorders>
            <w:noWrap/>
            <w:vAlign w:val="center"/>
            <w:hideMark/>
          </w:tcPr>
          <w:p w14:paraId="5F8D5E02" w14:textId="77777777" w:rsidR="00B91818" w:rsidRPr="00BC0002" w:rsidRDefault="00B91818" w:rsidP="00B91818">
            <w:pPr>
              <w:ind w:firstLineChars="100" w:firstLine="160"/>
              <w:rPr>
                <w:rFonts w:ascii="CAIXA Std Book" w:eastAsia="Times New Roman" w:hAnsi="CAIXA Std Book" w:cs="Times New Roman"/>
                <w:color w:val="005CA9"/>
                <w:sz w:val="16"/>
                <w:szCs w:val="16"/>
              </w:rPr>
            </w:pPr>
            <w:r w:rsidRPr="00BC0002">
              <w:rPr>
                <w:rFonts w:ascii="CAIXA Std Book" w:eastAsia="Times New Roman" w:hAnsi="CAIXA Std Book" w:cs="Times New Roman"/>
                <w:color w:val="005CA9"/>
                <w:sz w:val="16"/>
                <w:szCs w:val="16"/>
              </w:rPr>
              <w:t>Outros ativos financeiros (líquidos de provisão para perdas associadas ao risco de crédito)</w:t>
            </w:r>
          </w:p>
        </w:tc>
        <w:tc>
          <w:tcPr>
            <w:tcW w:w="452" w:type="pct"/>
            <w:tcBorders>
              <w:top w:val="nil"/>
              <w:left w:val="nil"/>
              <w:right w:val="nil"/>
            </w:tcBorders>
            <w:noWrap/>
            <w:vAlign w:val="center"/>
            <w:hideMark/>
          </w:tcPr>
          <w:p w14:paraId="4D5C6704" w14:textId="50D3556B"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Times New Roman"/>
                <w:color w:val="005CA9"/>
                <w:sz w:val="16"/>
                <w:szCs w:val="16"/>
              </w:rPr>
              <w:t>2.860.718</w:t>
            </w:r>
          </w:p>
        </w:tc>
        <w:tc>
          <w:tcPr>
            <w:tcW w:w="452" w:type="pct"/>
            <w:tcBorders>
              <w:top w:val="nil"/>
              <w:left w:val="nil"/>
              <w:right w:val="nil"/>
            </w:tcBorders>
            <w:noWrap/>
            <w:vAlign w:val="center"/>
            <w:hideMark/>
          </w:tcPr>
          <w:p w14:paraId="6CE8DAB1" w14:textId="75B829E6"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Times New Roman"/>
                <w:color w:val="005CA9"/>
                <w:sz w:val="16"/>
                <w:szCs w:val="16"/>
              </w:rPr>
              <w:t>42.082.512</w:t>
            </w:r>
          </w:p>
        </w:tc>
        <w:tc>
          <w:tcPr>
            <w:tcW w:w="453" w:type="pct"/>
            <w:tcBorders>
              <w:top w:val="nil"/>
              <w:left w:val="nil"/>
              <w:right w:val="nil"/>
            </w:tcBorders>
            <w:noWrap/>
            <w:vAlign w:val="center"/>
            <w:hideMark/>
          </w:tcPr>
          <w:p w14:paraId="3C1ABB20" w14:textId="669413C9"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Times New Roman"/>
                <w:color w:val="005CA9"/>
                <w:sz w:val="16"/>
                <w:szCs w:val="16"/>
              </w:rPr>
              <w:t>44.943.230</w:t>
            </w:r>
          </w:p>
        </w:tc>
        <w:tc>
          <w:tcPr>
            <w:tcW w:w="452" w:type="pct"/>
            <w:tcBorders>
              <w:top w:val="nil"/>
              <w:left w:val="nil"/>
              <w:right w:val="nil"/>
            </w:tcBorders>
            <w:noWrap/>
            <w:vAlign w:val="center"/>
            <w:hideMark/>
          </w:tcPr>
          <w:p w14:paraId="68899A28" w14:textId="77777777"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3.532.315</w:t>
            </w:r>
          </w:p>
        </w:tc>
        <w:tc>
          <w:tcPr>
            <w:tcW w:w="452" w:type="pct"/>
            <w:tcBorders>
              <w:top w:val="nil"/>
              <w:left w:val="nil"/>
              <w:right w:val="nil"/>
            </w:tcBorders>
            <w:noWrap/>
            <w:vAlign w:val="center"/>
            <w:hideMark/>
          </w:tcPr>
          <w:p w14:paraId="01EBE114" w14:textId="77777777"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41.608.743</w:t>
            </w:r>
          </w:p>
        </w:tc>
        <w:tc>
          <w:tcPr>
            <w:tcW w:w="453" w:type="pct"/>
            <w:tcBorders>
              <w:top w:val="nil"/>
              <w:left w:val="nil"/>
              <w:right w:val="nil"/>
            </w:tcBorders>
            <w:noWrap/>
            <w:vAlign w:val="center"/>
            <w:hideMark/>
          </w:tcPr>
          <w:p w14:paraId="512668FF" w14:textId="77777777"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45.141.058</w:t>
            </w:r>
          </w:p>
        </w:tc>
      </w:tr>
      <w:tr w:rsidR="00B91818" w:rsidRPr="00F43394" w14:paraId="726F10EC" w14:textId="77777777" w:rsidTr="00C5159C">
        <w:trPr>
          <w:trHeight w:val="255"/>
        </w:trPr>
        <w:tc>
          <w:tcPr>
            <w:tcW w:w="2286" w:type="pct"/>
            <w:tcBorders>
              <w:top w:val="nil"/>
              <w:left w:val="nil"/>
              <w:bottom w:val="single" w:sz="4" w:space="0" w:color="FFFFFF" w:themeColor="background1"/>
              <w:right w:val="nil"/>
            </w:tcBorders>
            <w:shd w:val="clear" w:color="auto" w:fill="D0E0E3"/>
            <w:noWrap/>
            <w:vAlign w:val="center"/>
            <w:hideMark/>
          </w:tcPr>
          <w:p w14:paraId="3D826BE6" w14:textId="77777777" w:rsidR="00B91818" w:rsidRPr="00BC0002" w:rsidRDefault="00B91818" w:rsidP="00B91818">
            <w:pPr>
              <w:rPr>
                <w:rFonts w:ascii="CAIXA Std Book" w:eastAsia="Times New Roman" w:hAnsi="CAIXA Std Book" w:cs="Times New Roman"/>
                <w:b/>
                <w:color w:val="005CA9"/>
                <w:sz w:val="16"/>
                <w:szCs w:val="16"/>
              </w:rPr>
            </w:pPr>
            <w:r w:rsidRPr="00BC0002">
              <w:rPr>
                <w:rFonts w:ascii="CAIXA Std Book" w:eastAsia="Times New Roman" w:hAnsi="CAIXA Std Book" w:cs="Times New Roman"/>
                <w:b/>
                <w:color w:val="005CA9"/>
                <w:sz w:val="16"/>
                <w:szCs w:val="16"/>
              </w:rPr>
              <w:t>Provisão para perdas associadas ao risco de crédito</w:t>
            </w:r>
          </w:p>
        </w:tc>
        <w:tc>
          <w:tcPr>
            <w:tcW w:w="452" w:type="pct"/>
            <w:tcBorders>
              <w:top w:val="nil"/>
              <w:left w:val="nil"/>
              <w:bottom w:val="single" w:sz="4" w:space="0" w:color="FFFFFF" w:themeColor="background1"/>
              <w:right w:val="nil"/>
            </w:tcBorders>
            <w:shd w:val="clear" w:color="auto" w:fill="D0E0E3"/>
            <w:noWrap/>
            <w:vAlign w:val="center"/>
          </w:tcPr>
          <w:p w14:paraId="4F72205C" w14:textId="6F2C5561" w:rsidR="00B91818" w:rsidRPr="00686AF4" w:rsidRDefault="00A00053" w:rsidP="00B91818">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(12.968.592)</w:t>
            </w:r>
          </w:p>
        </w:tc>
        <w:tc>
          <w:tcPr>
            <w:tcW w:w="452" w:type="pct"/>
            <w:tcBorders>
              <w:top w:val="nil"/>
              <w:left w:val="nil"/>
              <w:bottom w:val="single" w:sz="4" w:space="0" w:color="FFFFFF" w:themeColor="background1"/>
              <w:right w:val="nil"/>
            </w:tcBorders>
            <w:shd w:val="clear" w:color="auto" w:fill="D0E0E3"/>
            <w:noWrap/>
            <w:vAlign w:val="center"/>
          </w:tcPr>
          <w:p w14:paraId="68504009" w14:textId="12D45504" w:rsidR="00B91818" w:rsidRPr="00686AF4" w:rsidRDefault="00A00053" w:rsidP="00B91818">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(53.710.720)</w:t>
            </w:r>
          </w:p>
        </w:tc>
        <w:tc>
          <w:tcPr>
            <w:tcW w:w="453" w:type="pct"/>
            <w:tcBorders>
              <w:top w:val="nil"/>
              <w:left w:val="nil"/>
              <w:bottom w:val="single" w:sz="4" w:space="0" w:color="FFFFFF" w:themeColor="background1"/>
              <w:right w:val="nil"/>
            </w:tcBorders>
            <w:shd w:val="clear" w:color="auto" w:fill="D0E0E3"/>
            <w:noWrap/>
            <w:vAlign w:val="center"/>
          </w:tcPr>
          <w:p w14:paraId="69B59892" w14:textId="76CE27C8" w:rsidR="00B91818" w:rsidRPr="00686AF4" w:rsidRDefault="00A00053" w:rsidP="00B91818">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(66.679.312)</w:t>
            </w:r>
          </w:p>
        </w:tc>
        <w:tc>
          <w:tcPr>
            <w:tcW w:w="452" w:type="pct"/>
            <w:tcBorders>
              <w:top w:val="nil"/>
              <w:left w:val="nil"/>
              <w:bottom w:val="single" w:sz="4" w:space="0" w:color="FFFFFF" w:themeColor="background1"/>
              <w:right w:val="nil"/>
            </w:tcBorders>
            <w:shd w:val="clear" w:color="auto" w:fill="D0E0E3"/>
            <w:noWrap/>
            <w:vAlign w:val="center"/>
            <w:hideMark/>
          </w:tcPr>
          <w:p w14:paraId="76AB0A2E" w14:textId="4CBEB3C4" w:rsidR="00B91818" w:rsidRPr="00686AF4" w:rsidRDefault="00B91818" w:rsidP="00B91818">
            <w:pPr>
              <w:jc w:val="right"/>
              <w:rPr>
                <w:rFonts w:ascii="CAIXA Std Book" w:eastAsia="Times New Roman" w:hAnsi="CAIXA Std Book" w:cs="Times New Roman"/>
                <w:b/>
                <w:color w:val="005CA9"/>
                <w:sz w:val="16"/>
                <w:szCs w:val="16"/>
              </w:rPr>
            </w:pPr>
            <w:r>
              <w:rPr>
                <w:rFonts w:ascii="CAIXA Std Book" w:eastAsia="Times New Roman" w:hAnsi="CAIXA Std Book" w:cs="Arial"/>
                <w:b/>
                <w:color w:val="005CA9"/>
                <w:sz w:val="16"/>
                <w:szCs w:val="16"/>
              </w:rPr>
              <w:t>(</w:t>
            </w:r>
            <w:r w:rsidRPr="00686AF4">
              <w:rPr>
                <w:rFonts w:ascii="CAIXA Std Book" w:eastAsia="Times New Roman" w:hAnsi="CAIXA Std Book" w:cs="Arial"/>
                <w:b/>
                <w:color w:val="005CA9"/>
                <w:sz w:val="16"/>
                <w:szCs w:val="16"/>
              </w:rPr>
              <w:t>12.192.038</w:t>
            </w:r>
            <w:r>
              <w:rPr>
                <w:rFonts w:ascii="CAIXA Std Book" w:eastAsia="Times New Roman" w:hAnsi="CAIXA Std Book" w:cs="Arial"/>
                <w:b/>
                <w:color w:val="005CA9"/>
                <w:sz w:val="16"/>
                <w:szCs w:val="16"/>
              </w:rPr>
              <w:t>)</w:t>
            </w:r>
          </w:p>
        </w:tc>
        <w:tc>
          <w:tcPr>
            <w:tcW w:w="452" w:type="pct"/>
            <w:tcBorders>
              <w:top w:val="nil"/>
              <w:left w:val="nil"/>
              <w:bottom w:val="single" w:sz="4" w:space="0" w:color="FFFFFF" w:themeColor="background1"/>
              <w:right w:val="nil"/>
            </w:tcBorders>
            <w:shd w:val="clear" w:color="auto" w:fill="D0E0E3"/>
            <w:noWrap/>
            <w:vAlign w:val="center"/>
            <w:hideMark/>
          </w:tcPr>
          <w:p w14:paraId="1AB26B31" w14:textId="57D0AB40" w:rsidR="00B91818" w:rsidRPr="00686AF4" w:rsidRDefault="00B91818" w:rsidP="00B91818">
            <w:pPr>
              <w:jc w:val="right"/>
              <w:rPr>
                <w:rFonts w:ascii="CAIXA Std Book" w:eastAsia="Times New Roman" w:hAnsi="CAIXA Std Book" w:cs="Times New Roman"/>
                <w:b/>
                <w:color w:val="005CA9"/>
                <w:sz w:val="16"/>
                <w:szCs w:val="16"/>
              </w:rPr>
            </w:pPr>
            <w:r>
              <w:rPr>
                <w:rFonts w:ascii="CAIXA Std Book" w:eastAsia="Times New Roman" w:hAnsi="CAIXA Std Book" w:cs="Arial"/>
                <w:b/>
                <w:color w:val="005CA9"/>
                <w:sz w:val="16"/>
                <w:szCs w:val="16"/>
              </w:rPr>
              <w:t>(</w:t>
            </w:r>
            <w:r w:rsidRPr="00686AF4">
              <w:rPr>
                <w:rFonts w:ascii="CAIXA Std Book" w:eastAsia="Times New Roman" w:hAnsi="CAIXA Std Book" w:cs="Arial"/>
                <w:b/>
                <w:color w:val="005CA9"/>
                <w:sz w:val="16"/>
                <w:szCs w:val="16"/>
              </w:rPr>
              <w:t>50.516.845</w:t>
            </w:r>
            <w:r>
              <w:rPr>
                <w:rFonts w:ascii="CAIXA Std Book" w:eastAsia="Times New Roman" w:hAnsi="CAIXA Std Book" w:cs="Arial"/>
                <w:b/>
                <w:color w:val="005CA9"/>
                <w:sz w:val="16"/>
                <w:szCs w:val="16"/>
              </w:rPr>
              <w:t>)</w:t>
            </w:r>
          </w:p>
        </w:tc>
        <w:tc>
          <w:tcPr>
            <w:tcW w:w="453" w:type="pct"/>
            <w:tcBorders>
              <w:top w:val="nil"/>
              <w:left w:val="nil"/>
              <w:bottom w:val="single" w:sz="4" w:space="0" w:color="FFFFFF" w:themeColor="background1"/>
              <w:right w:val="nil"/>
            </w:tcBorders>
            <w:shd w:val="clear" w:color="auto" w:fill="D0E0E3"/>
            <w:noWrap/>
            <w:vAlign w:val="center"/>
            <w:hideMark/>
          </w:tcPr>
          <w:p w14:paraId="49C7009B" w14:textId="5A5ED0E4" w:rsidR="00B91818" w:rsidRPr="00686AF4" w:rsidRDefault="00B91818" w:rsidP="00B91818">
            <w:pPr>
              <w:jc w:val="right"/>
              <w:rPr>
                <w:rFonts w:ascii="CAIXA Std Book" w:eastAsia="Times New Roman" w:hAnsi="CAIXA Std Book" w:cs="Times New Roman"/>
                <w:b/>
                <w:color w:val="005CA9"/>
                <w:sz w:val="16"/>
                <w:szCs w:val="16"/>
              </w:rPr>
            </w:pPr>
            <w:r>
              <w:rPr>
                <w:rFonts w:ascii="CAIXA Std Book" w:eastAsia="Times New Roman" w:hAnsi="CAIXA Std Book" w:cs="Arial"/>
                <w:b/>
                <w:color w:val="005CA9"/>
                <w:sz w:val="16"/>
                <w:szCs w:val="16"/>
              </w:rPr>
              <w:t>(</w:t>
            </w:r>
            <w:r w:rsidRPr="00686AF4">
              <w:rPr>
                <w:rFonts w:ascii="CAIXA Std Book" w:eastAsia="Times New Roman" w:hAnsi="CAIXA Std Book" w:cs="Arial"/>
                <w:b/>
                <w:color w:val="005CA9"/>
                <w:sz w:val="16"/>
                <w:szCs w:val="16"/>
              </w:rPr>
              <w:t>62.708.883</w:t>
            </w:r>
            <w:r>
              <w:rPr>
                <w:rFonts w:ascii="CAIXA Std Book" w:eastAsia="Times New Roman" w:hAnsi="CAIXA Std Book" w:cs="Arial"/>
                <w:b/>
                <w:color w:val="005CA9"/>
                <w:sz w:val="16"/>
                <w:szCs w:val="16"/>
              </w:rPr>
              <w:t>)</w:t>
            </w:r>
          </w:p>
        </w:tc>
      </w:tr>
      <w:tr w:rsidR="00B91818" w:rsidRPr="00F43394" w14:paraId="2AD855E9" w14:textId="77777777" w:rsidTr="00C5159C">
        <w:trPr>
          <w:trHeight w:val="255"/>
        </w:trPr>
        <w:tc>
          <w:tcPr>
            <w:tcW w:w="2286" w:type="pct"/>
            <w:tcBorders>
              <w:top w:val="single" w:sz="4" w:space="0" w:color="FFFFFF" w:themeColor="background1"/>
              <w:left w:val="nil"/>
              <w:bottom w:val="nil"/>
              <w:right w:val="nil"/>
            </w:tcBorders>
            <w:shd w:val="clear" w:color="auto" w:fill="D0E0E3"/>
            <w:noWrap/>
            <w:vAlign w:val="center"/>
            <w:hideMark/>
          </w:tcPr>
          <w:p w14:paraId="29E92D0A" w14:textId="77777777" w:rsidR="00B91818" w:rsidRPr="00BC0002" w:rsidRDefault="00B91818" w:rsidP="00B91818">
            <w:pPr>
              <w:rPr>
                <w:rFonts w:ascii="CAIXA Std Book" w:eastAsia="Times New Roman" w:hAnsi="CAIXA Std Book" w:cs="Times New Roman"/>
                <w:b/>
                <w:color w:val="005CA9"/>
                <w:sz w:val="16"/>
                <w:szCs w:val="16"/>
              </w:rPr>
            </w:pPr>
            <w:r w:rsidRPr="00BC0002">
              <w:rPr>
                <w:rFonts w:ascii="CAIXA Std Book" w:eastAsia="Times New Roman" w:hAnsi="CAIXA Std Book" w:cs="Times New Roman"/>
                <w:b/>
                <w:color w:val="005CA9"/>
                <w:sz w:val="16"/>
                <w:szCs w:val="16"/>
              </w:rPr>
              <w:t>Ativos fiscais</w:t>
            </w:r>
          </w:p>
        </w:tc>
        <w:tc>
          <w:tcPr>
            <w:tcW w:w="452" w:type="pct"/>
            <w:tcBorders>
              <w:top w:val="single" w:sz="4" w:space="0" w:color="FFFFFF" w:themeColor="background1"/>
              <w:left w:val="nil"/>
              <w:bottom w:val="nil"/>
              <w:right w:val="nil"/>
            </w:tcBorders>
            <w:shd w:val="clear" w:color="auto" w:fill="D0E0E3"/>
            <w:noWrap/>
            <w:vAlign w:val="center"/>
            <w:hideMark/>
          </w:tcPr>
          <w:p w14:paraId="7171A37C" w14:textId="6E7A856C" w:rsidR="00B91818" w:rsidRPr="00686AF4" w:rsidRDefault="00295A45" w:rsidP="00B91818">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14.115.033</w:t>
            </w:r>
          </w:p>
        </w:tc>
        <w:tc>
          <w:tcPr>
            <w:tcW w:w="452" w:type="pct"/>
            <w:tcBorders>
              <w:top w:val="single" w:sz="4" w:space="0" w:color="FFFFFF" w:themeColor="background1"/>
              <w:left w:val="nil"/>
              <w:bottom w:val="nil"/>
              <w:right w:val="nil"/>
            </w:tcBorders>
            <w:shd w:val="clear" w:color="auto" w:fill="D0E0E3"/>
            <w:noWrap/>
            <w:vAlign w:val="center"/>
            <w:hideMark/>
          </w:tcPr>
          <w:p w14:paraId="2F99B77F" w14:textId="329A2DF6" w:rsidR="00B91818" w:rsidRPr="00686AF4" w:rsidRDefault="00295A45" w:rsidP="00B91818">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64.460.312</w:t>
            </w:r>
          </w:p>
        </w:tc>
        <w:tc>
          <w:tcPr>
            <w:tcW w:w="453" w:type="pct"/>
            <w:tcBorders>
              <w:top w:val="single" w:sz="4" w:space="0" w:color="FFFFFF" w:themeColor="background1"/>
              <w:left w:val="nil"/>
              <w:bottom w:val="nil"/>
              <w:right w:val="nil"/>
            </w:tcBorders>
            <w:shd w:val="clear" w:color="auto" w:fill="D0E0E3"/>
            <w:noWrap/>
            <w:vAlign w:val="center"/>
            <w:hideMark/>
          </w:tcPr>
          <w:p w14:paraId="372148E5" w14:textId="7DBA1CC0" w:rsidR="00B91818" w:rsidRPr="00686AF4" w:rsidRDefault="00295A45" w:rsidP="00B91818">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78.575.345</w:t>
            </w:r>
          </w:p>
        </w:tc>
        <w:tc>
          <w:tcPr>
            <w:tcW w:w="452" w:type="pct"/>
            <w:tcBorders>
              <w:top w:val="single" w:sz="4" w:space="0" w:color="FFFFFF" w:themeColor="background1"/>
              <w:left w:val="nil"/>
              <w:bottom w:val="nil"/>
              <w:right w:val="nil"/>
            </w:tcBorders>
            <w:shd w:val="clear" w:color="auto" w:fill="D0E0E3"/>
            <w:noWrap/>
            <w:vAlign w:val="center"/>
            <w:hideMark/>
          </w:tcPr>
          <w:p w14:paraId="12F65728" w14:textId="77777777" w:rsidR="00B91818" w:rsidRPr="00686AF4" w:rsidRDefault="00B91818" w:rsidP="00B91818">
            <w:pPr>
              <w:jc w:val="right"/>
              <w:rPr>
                <w:rFonts w:ascii="CAIXA Std Book" w:eastAsia="Times New Roman" w:hAnsi="CAIXA Std Book" w:cs="Times New Roman"/>
                <w:b/>
                <w:color w:val="005CA9"/>
                <w:sz w:val="16"/>
                <w:szCs w:val="16"/>
              </w:rPr>
            </w:pPr>
            <w:r w:rsidRPr="00686AF4">
              <w:rPr>
                <w:rFonts w:ascii="CAIXA Std Book" w:eastAsia="Times New Roman" w:hAnsi="CAIXA Std Book" w:cs="Arial"/>
                <w:b/>
                <w:color w:val="005CA9"/>
                <w:sz w:val="16"/>
                <w:szCs w:val="16"/>
              </w:rPr>
              <w:t>12.159.387</w:t>
            </w:r>
          </w:p>
        </w:tc>
        <w:tc>
          <w:tcPr>
            <w:tcW w:w="452" w:type="pct"/>
            <w:tcBorders>
              <w:top w:val="single" w:sz="4" w:space="0" w:color="FFFFFF" w:themeColor="background1"/>
              <w:left w:val="nil"/>
              <w:bottom w:val="nil"/>
              <w:right w:val="nil"/>
            </w:tcBorders>
            <w:shd w:val="clear" w:color="auto" w:fill="D0E0E3"/>
            <w:noWrap/>
            <w:vAlign w:val="center"/>
            <w:hideMark/>
          </w:tcPr>
          <w:p w14:paraId="0F7A4478" w14:textId="77777777" w:rsidR="00B91818" w:rsidRPr="00686AF4" w:rsidRDefault="00B91818" w:rsidP="00B91818">
            <w:pPr>
              <w:jc w:val="right"/>
              <w:rPr>
                <w:rFonts w:ascii="CAIXA Std Book" w:eastAsia="Times New Roman" w:hAnsi="CAIXA Std Book" w:cs="Times New Roman"/>
                <w:b/>
                <w:color w:val="005CA9"/>
                <w:sz w:val="16"/>
                <w:szCs w:val="16"/>
              </w:rPr>
            </w:pPr>
            <w:r w:rsidRPr="00686AF4">
              <w:rPr>
                <w:rFonts w:ascii="CAIXA Std Book" w:eastAsia="Times New Roman" w:hAnsi="CAIXA Std Book" w:cs="Arial"/>
                <w:b/>
                <w:color w:val="005CA9"/>
                <w:sz w:val="16"/>
                <w:szCs w:val="16"/>
              </w:rPr>
              <w:t>64.204.883</w:t>
            </w:r>
          </w:p>
        </w:tc>
        <w:tc>
          <w:tcPr>
            <w:tcW w:w="453" w:type="pct"/>
            <w:tcBorders>
              <w:top w:val="single" w:sz="4" w:space="0" w:color="FFFFFF" w:themeColor="background1"/>
              <w:left w:val="nil"/>
              <w:bottom w:val="nil"/>
              <w:right w:val="nil"/>
            </w:tcBorders>
            <w:shd w:val="clear" w:color="auto" w:fill="D0E0E3"/>
            <w:noWrap/>
            <w:vAlign w:val="center"/>
            <w:hideMark/>
          </w:tcPr>
          <w:p w14:paraId="60A16624" w14:textId="77777777" w:rsidR="00B91818" w:rsidRPr="00686AF4" w:rsidRDefault="00B91818" w:rsidP="00B91818">
            <w:pPr>
              <w:jc w:val="right"/>
              <w:rPr>
                <w:rFonts w:ascii="CAIXA Std Book" w:eastAsia="Times New Roman" w:hAnsi="CAIXA Std Book" w:cs="Times New Roman"/>
                <w:b/>
                <w:color w:val="005CA9"/>
                <w:sz w:val="16"/>
                <w:szCs w:val="16"/>
              </w:rPr>
            </w:pPr>
            <w:r w:rsidRPr="00686AF4">
              <w:rPr>
                <w:rFonts w:ascii="CAIXA Std Book" w:eastAsia="Times New Roman" w:hAnsi="CAIXA Std Book" w:cs="Arial"/>
                <w:b/>
                <w:color w:val="005CA9"/>
                <w:sz w:val="16"/>
                <w:szCs w:val="16"/>
              </w:rPr>
              <w:t>76.364.270</w:t>
            </w:r>
          </w:p>
        </w:tc>
      </w:tr>
      <w:tr w:rsidR="00B91818" w:rsidRPr="00F43394" w14:paraId="7F3823F4" w14:textId="77777777" w:rsidTr="001E6A64">
        <w:trPr>
          <w:trHeight w:val="255"/>
        </w:trPr>
        <w:tc>
          <w:tcPr>
            <w:tcW w:w="2286" w:type="pct"/>
            <w:tcBorders>
              <w:top w:val="nil"/>
              <w:left w:val="nil"/>
              <w:bottom w:val="nil"/>
              <w:right w:val="nil"/>
            </w:tcBorders>
            <w:noWrap/>
            <w:vAlign w:val="center"/>
            <w:hideMark/>
          </w:tcPr>
          <w:p w14:paraId="48649586" w14:textId="77777777" w:rsidR="00B91818" w:rsidRPr="00BC0002" w:rsidRDefault="00B91818" w:rsidP="00B91818">
            <w:pPr>
              <w:ind w:firstLineChars="100" w:firstLine="160"/>
              <w:rPr>
                <w:rFonts w:ascii="CAIXA Std Book" w:eastAsia="Times New Roman" w:hAnsi="CAIXA Std Book" w:cs="Times New Roman"/>
                <w:color w:val="005CA9"/>
                <w:sz w:val="16"/>
                <w:szCs w:val="16"/>
              </w:rPr>
            </w:pPr>
            <w:r w:rsidRPr="00BC0002">
              <w:rPr>
                <w:rFonts w:ascii="CAIXA Std Book" w:eastAsia="Times New Roman" w:hAnsi="CAIXA Std Book" w:cs="Times New Roman"/>
                <w:color w:val="005CA9"/>
                <w:sz w:val="16"/>
                <w:szCs w:val="16"/>
              </w:rPr>
              <w:t>Correntes</w:t>
            </w:r>
          </w:p>
        </w:tc>
        <w:tc>
          <w:tcPr>
            <w:tcW w:w="452" w:type="pct"/>
            <w:tcBorders>
              <w:top w:val="nil"/>
              <w:left w:val="nil"/>
              <w:bottom w:val="nil"/>
              <w:right w:val="nil"/>
            </w:tcBorders>
            <w:noWrap/>
            <w:vAlign w:val="center"/>
            <w:hideMark/>
          </w:tcPr>
          <w:p w14:paraId="55C91344" w14:textId="638E448A" w:rsidR="00B91818" w:rsidRPr="00686AF4" w:rsidRDefault="005A056E" w:rsidP="00B91818">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4.175.277</w:t>
            </w:r>
          </w:p>
        </w:tc>
        <w:tc>
          <w:tcPr>
            <w:tcW w:w="452" w:type="pct"/>
            <w:tcBorders>
              <w:top w:val="nil"/>
              <w:left w:val="nil"/>
              <w:bottom w:val="nil"/>
              <w:right w:val="nil"/>
            </w:tcBorders>
            <w:noWrap/>
            <w:vAlign w:val="center"/>
            <w:hideMark/>
          </w:tcPr>
          <w:p w14:paraId="1DF4EC86" w14:textId="60FAFDFD" w:rsidR="00B91818" w:rsidRPr="00686AF4" w:rsidRDefault="005A056E" w:rsidP="00B91818">
            <w:pPr>
              <w:jc w:val="center"/>
              <w:rPr>
                <w:rFonts w:ascii="CAIXA Std Book" w:eastAsia="Times New Roman" w:hAnsi="CAIXA Std Book" w:cs="Times New Roman"/>
                <w:color w:val="005CA9"/>
                <w:sz w:val="16"/>
                <w:szCs w:val="16"/>
              </w:rPr>
            </w:pPr>
            <w:r>
              <w:rPr>
                <w:rFonts w:ascii="CAIXA Std Book" w:hAnsi="CAIXA Std Book" w:cs="Arial"/>
                <w:color w:val="005CA9"/>
                <w:sz w:val="16"/>
                <w:szCs w:val="16"/>
              </w:rPr>
              <w:t>-</w:t>
            </w:r>
          </w:p>
        </w:tc>
        <w:tc>
          <w:tcPr>
            <w:tcW w:w="453" w:type="pct"/>
            <w:tcBorders>
              <w:top w:val="nil"/>
              <w:left w:val="nil"/>
              <w:bottom w:val="nil"/>
              <w:right w:val="nil"/>
            </w:tcBorders>
            <w:noWrap/>
            <w:vAlign w:val="center"/>
            <w:hideMark/>
          </w:tcPr>
          <w:p w14:paraId="58229BD5" w14:textId="3AEA4D79" w:rsidR="00B91818" w:rsidRPr="00686AF4" w:rsidRDefault="005A056E" w:rsidP="00B91818">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4.175.277</w:t>
            </w:r>
          </w:p>
        </w:tc>
        <w:tc>
          <w:tcPr>
            <w:tcW w:w="452" w:type="pct"/>
            <w:tcBorders>
              <w:top w:val="nil"/>
              <w:left w:val="nil"/>
              <w:bottom w:val="nil"/>
              <w:right w:val="nil"/>
            </w:tcBorders>
            <w:noWrap/>
            <w:vAlign w:val="center"/>
            <w:hideMark/>
          </w:tcPr>
          <w:p w14:paraId="42C11B56" w14:textId="77777777"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4.460.581</w:t>
            </w:r>
          </w:p>
        </w:tc>
        <w:tc>
          <w:tcPr>
            <w:tcW w:w="452" w:type="pct"/>
            <w:tcBorders>
              <w:top w:val="nil"/>
              <w:left w:val="nil"/>
              <w:bottom w:val="nil"/>
              <w:right w:val="nil"/>
            </w:tcBorders>
            <w:noWrap/>
            <w:vAlign w:val="center"/>
            <w:hideMark/>
          </w:tcPr>
          <w:p w14:paraId="05428DBC" w14:textId="77777777" w:rsidR="00B91818" w:rsidRPr="00686AF4" w:rsidRDefault="00B91818" w:rsidP="00B91818">
            <w:pPr>
              <w:jc w:val="center"/>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w:t>
            </w:r>
          </w:p>
        </w:tc>
        <w:tc>
          <w:tcPr>
            <w:tcW w:w="453" w:type="pct"/>
            <w:tcBorders>
              <w:top w:val="nil"/>
              <w:left w:val="nil"/>
              <w:bottom w:val="nil"/>
              <w:right w:val="nil"/>
            </w:tcBorders>
            <w:noWrap/>
            <w:vAlign w:val="center"/>
            <w:hideMark/>
          </w:tcPr>
          <w:p w14:paraId="65441074" w14:textId="77777777"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4.460.581</w:t>
            </w:r>
          </w:p>
        </w:tc>
      </w:tr>
      <w:tr w:rsidR="00B91818" w:rsidRPr="00F43394" w14:paraId="33F1D4E5" w14:textId="77777777" w:rsidTr="00C5159C">
        <w:trPr>
          <w:trHeight w:val="255"/>
        </w:trPr>
        <w:tc>
          <w:tcPr>
            <w:tcW w:w="2286" w:type="pct"/>
            <w:tcBorders>
              <w:top w:val="nil"/>
              <w:left w:val="nil"/>
              <w:right w:val="nil"/>
            </w:tcBorders>
            <w:noWrap/>
            <w:vAlign w:val="center"/>
            <w:hideMark/>
          </w:tcPr>
          <w:p w14:paraId="27C84479" w14:textId="77777777" w:rsidR="00B91818" w:rsidRPr="00BC0002" w:rsidRDefault="00B91818" w:rsidP="00B91818">
            <w:pPr>
              <w:ind w:firstLineChars="100" w:firstLine="160"/>
              <w:rPr>
                <w:rFonts w:ascii="CAIXA Std Book" w:eastAsia="Times New Roman" w:hAnsi="CAIXA Std Book" w:cs="Times New Roman"/>
                <w:color w:val="005CA9"/>
                <w:sz w:val="16"/>
                <w:szCs w:val="16"/>
              </w:rPr>
            </w:pPr>
            <w:r w:rsidRPr="00BC0002">
              <w:rPr>
                <w:rFonts w:ascii="CAIXA Std Book" w:eastAsia="Times New Roman" w:hAnsi="CAIXA Std Book" w:cs="Times New Roman"/>
                <w:color w:val="005CA9"/>
                <w:sz w:val="16"/>
                <w:szCs w:val="16"/>
              </w:rPr>
              <w:t>Diferidos</w:t>
            </w:r>
          </w:p>
        </w:tc>
        <w:tc>
          <w:tcPr>
            <w:tcW w:w="452" w:type="pct"/>
            <w:tcBorders>
              <w:top w:val="nil"/>
              <w:left w:val="nil"/>
              <w:right w:val="nil"/>
            </w:tcBorders>
            <w:noWrap/>
            <w:vAlign w:val="center"/>
            <w:hideMark/>
          </w:tcPr>
          <w:p w14:paraId="48F7A11C" w14:textId="632538E5" w:rsidR="00B91818" w:rsidRPr="00686AF4" w:rsidRDefault="000871C6" w:rsidP="00B91818">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9.939.756</w:t>
            </w:r>
          </w:p>
        </w:tc>
        <w:tc>
          <w:tcPr>
            <w:tcW w:w="452" w:type="pct"/>
            <w:tcBorders>
              <w:top w:val="nil"/>
              <w:left w:val="nil"/>
              <w:right w:val="nil"/>
            </w:tcBorders>
            <w:noWrap/>
            <w:vAlign w:val="center"/>
            <w:hideMark/>
          </w:tcPr>
          <w:p w14:paraId="5EEC9021" w14:textId="19E97021" w:rsidR="00B91818" w:rsidRPr="00686AF4" w:rsidRDefault="000871C6" w:rsidP="00B91818">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64.460.312</w:t>
            </w:r>
          </w:p>
        </w:tc>
        <w:tc>
          <w:tcPr>
            <w:tcW w:w="453" w:type="pct"/>
            <w:tcBorders>
              <w:top w:val="nil"/>
              <w:left w:val="nil"/>
              <w:right w:val="nil"/>
            </w:tcBorders>
            <w:noWrap/>
            <w:vAlign w:val="center"/>
            <w:hideMark/>
          </w:tcPr>
          <w:p w14:paraId="34621D7A" w14:textId="4E634EE3" w:rsidR="00B91818" w:rsidRPr="00686AF4" w:rsidRDefault="000871C6" w:rsidP="00B91818">
            <w:pPr>
              <w:jc w:val="right"/>
              <w:rPr>
                <w:rFonts w:ascii="CAIXA Std Book" w:eastAsia="Times New Roman" w:hAnsi="CAIXA Std Book" w:cs="Times New Roman"/>
                <w:color w:val="005CA9"/>
                <w:sz w:val="16"/>
                <w:szCs w:val="16"/>
              </w:rPr>
            </w:pPr>
            <w:r>
              <w:rPr>
                <w:rFonts w:ascii="CAIXA Std Book" w:hAnsi="CAIXA Std Book" w:cs="Arial"/>
                <w:color w:val="005CA9"/>
                <w:sz w:val="16"/>
                <w:szCs w:val="16"/>
              </w:rPr>
              <w:t>74.400.068</w:t>
            </w:r>
          </w:p>
        </w:tc>
        <w:tc>
          <w:tcPr>
            <w:tcW w:w="452" w:type="pct"/>
            <w:tcBorders>
              <w:top w:val="nil"/>
              <w:left w:val="nil"/>
              <w:right w:val="nil"/>
            </w:tcBorders>
            <w:noWrap/>
            <w:vAlign w:val="center"/>
            <w:hideMark/>
          </w:tcPr>
          <w:p w14:paraId="3311A2D8" w14:textId="77777777"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7.698.806</w:t>
            </w:r>
          </w:p>
        </w:tc>
        <w:tc>
          <w:tcPr>
            <w:tcW w:w="452" w:type="pct"/>
            <w:tcBorders>
              <w:top w:val="nil"/>
              <w:left w:val="nil"/>
              <w:right w:val="nil"/>
            </w:tcBorders>
            <w:noWrap/>
            <w:vAlign w:val="center"/>
            <w:hideMark/>
          </w:tcPr>
          <w:p w14:paraId="46A103EC" w14:textId="77777777"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64.204.883</w:t>
            </w:r>
          </w:p>
        </w:tc>
        <w:tc>
          <w:tcPr>
            <w:tcW w:w="453" w:type="pct"/>
            <w:tcBorders>
              <w:top w:val="nil"/>
              <w:left w:val="nil"/>
              <w:right w:val="nil"/>
            </w:tcBorders>
            <w:noWrap/>
            <w:vAlign w:val="center"/>
            <w:hideMark/>
          </w:tcPr>
          <w:p w14:paraId="2A204B34" w14:textId="77777777" w:rsidR="00B91818" w:rsidRPr="00686AF4" w:rsidRDefault="00B91818" w:rsidP="00B91818">
            <w:pPr>
              <w:jc w:val="right"/>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71.903.689</w:t>
            </w:r>
          </w:p>
        </w:tc>
      </w:tr>
      <w:tr w:rsidR="00B91818" w:rsidRPr="00F43394" w14:paraId="37BBB7CC" w14:textId="77777777" w:rsidTr="00C5159C">
        <w:trPr>
          <w:trHeight w:val="255"/>
        </w:trPr>
        <w:tc>
          <w:tcPr>
            <w:tcW w:w="2286" w:type="pct"/>
            <w:tcBorders>
              <w:top w:val="nil"/>
              <w:left w:val="nil"/>
              <w:bottom w:val="single" w:sz="4" w:space="0" w:color="FFFFFF" w:themeColor="background1"/>
              <w:right w:val="nil"/>
            </w:tcBorders>
            <w:shd w:val="clear" w:color="auto" w:fill="D0E0E3"/>
            <w:noWrap/>
            <w:vAlign w:val="center"/>
            <w:hideMark/>
          </w:tcPr>
          <w:p w14:paraId="5F812836" w14:textId="77777777" w:rsidR="00B91818" w:rsidRPr="00BC0002" w:rsidRDefault="00B91818" w:rsidP="00B91818">
            <w:pPr>
              <w:rPr>
                <w:rFonts w:ascii="CAIXA Std Book" w:eastAsia="Times New Roman" w:hAnsi="CAIXA Std Book" w:cs="Times New Roman"/>
                <w:b/>
                <w:color w:val="005CA9"/>
                <w:sz w:val="16"/>
                <w:szCs w:val="16"/>
              </w:rPr>
            </w:pPr>
            <w:r w:rsidRPr="00BC0002">
              <w:rPr>
                <w:rFonts w:ascii="CAIXA Std Book" w:eastAsia="Times New Roman" w:hAnsi="CAIXA Std Book" w:cs="Times New Roman"/>
                <w:b/>
                <w:color w:val="005CA9"/>
                <w:sz w:val="16"/>
                <w:szCs w:val="16"/>
              </w:rPr>
              <w:t>Outros ativos</w:t>
            </w:r>
          </w:p>
        </w:tc>
        <w:tc>
          <w:tcPr>
            <w:tcW w:w="452" w:type="pct"/>
            <w:tcBorders>
              <w:top w:val="nil"/>
              <w:left w:val="nil"/>
              <w:bottom w:val="single" w:sz="4" w:space="0" w:color="FFFFFF" w:themeColor="background1"/>
              <w:right w:val="nil"/>
            </w:tcBorders>
            <w:shd w:val="clear" w:color="auto" w:fill="D0E0E3"/>
            <w:noWrap/>
            <w:vAlign w:val="center"/>
            <w:hideMark/>
          </w:tcPr>
          <w:p w14:paraId="78F08358" w14:textId="45785E87" w:rsidR="00B91818" w:rsidRPr="00686AF4" w:rsidRDefault="00FB0B40" w:rsidP="00B91818">
            <w:pPr>
              <w:jc w:val="right"/>
              <w:rPr>
                <w:rFonts w:ascii="CAIXA Std Book" w:eastAsia="Times New Roman" w:hAnsi="CAIXA Std Book" w:cs="Times New Roman"/>
                <w:b/>
                <w:color w:val="005CA9"/>
                <w:sz w:val="16"/>
                <w:szCs w:val="16"/>
              </w:rPr>
            </w:pPr>
            <w:r w:rsidRPr="00686AF4">
              <w:rPr>
                <w:rFonts w:ascii="CAIXA Std Book" w:eastAsia="Times New Roman" w:hAnsi="CAIXA Std Book" w:cs="Times New Roman"/>
                <w:b/>
                <w:color w:val="005CA9"/>
                <w:sz w:val="16"/>
                <w:szCs w:val="16"/>
              </w:rPr>
              <w:t>14.544.739</w:t>
            </w:r>
          </w:p>
        </w:tc>
        <w:tc>
          <w:tcPr>
            <w:tcW w:w="452" w:type="pct"/>
            <w:tcBorders>
              <w:top w:val="nil"/>
              <w:left w:val="nil"/>
              <w:bottom w:val="single" w:sz="4" w:space="0" w:color="FFFFFF" w:themeColor="background1"/>
              <w:right w:val="nil"/>
            </w:tcBorders>
            <w:shd w:val="clear" w:color="auto" w:fill="D0E0E3"/>
            <w:noWrap/>
            <w:vAlign w:val="center"/>
            <w:hideMark/>
          </w:tcPr>
          <w:p w14:paraId="3DEBBE1B" w14:textId="47F785B3" w:rsidR="00B91818" w:rsidRPr="00686AF4" w:rsidRDefault="00D52793" w:rsidP="00B91818">
            <w:pPr>
              <w:jc w:val="right"/>
              <w:rPr>
                <w:rFonts w:ascii="CAIXA Std Book" w:eastAsia="Times New Roman" w:hAnsi="CAIXA Std Book" w:cs="Times New Roman"/>
                <w:b/>
                <w:color w:val="005CA9"/>
                <w:sz w:val="16"/>
                <w:szCs w:val="16"/>
              </w:rPr>
            </w:pPr>
            <w:r w:rsidRPr="00686AF4">
              <w:rPr>
                <w:rFonts w:ascii="CAIXA Std Book" w:eastAsia="Times New Roman" w:hAnsi="CAIXA Std Book" w:cs="Times New Roman"/>
                <w:b/>
                <w:color w:val="005CA9"/>
                <w:sz w:val="16"/>
                <w:szCs w:val="16"/>
              </w:rPr>
              <w:t>5.908.602</w:t>
            </w:r>
          </w:p>
        </w:tc>
        <w:tc>
          <w:tcPr>
            <w:tcW w:w="453" w:type="pct"/>
            <w:tcBorders>
              <w:top w:val="nil"/>
              <w:left w:val="nil"/>
              <w:bottom w:val="single" w:sz="4" w:space="0" w:color="FFFFFF" w:themeColor="background1"/>
              <w:right w:val="nil"/>
            </w:tcBorders>
            <w:shd w:val="clear" w:color="auto" w:fill="D0E0E3"/>
            <w:noWrap/>
            <w:vAlign w:val="center"/>
            <w:hideMark/>
          </w:tcPr>
          <w:p w14:paraId="17E8E475" w14:textId="51021633" w:rsidR="00B91818" w:rsidRPr="00686AF4" w:rsidRDefault="00D52793" w:rsidP="00B91818">
            <w:pPr>
              <w:jc w:val="right"/>
              <w:rPr>
                <w:rFonts w:ascii="CAIXA Std Book" w:eastAsia="Times New Roman" w:hAnsi="CAIXA Std Book" w:cs="Times New Roman"/>
                <w:b/>
                <w:color w:val="005CA9"/>
                <w:sz w:val="16"/>
                <w:szCs w:val="16"/>
              </w:rPr>
            </w:pPr>
            <w:r w:rsidRPr="00686AF4">
              <w:rPr>
                <w:rFonts w:ascii="CAIXA Std Book" w:eastAsia="Times New Roman" w:hAnsi="CAIXA Std Book" w:cs="Times New Roman"/>
                <w:b/>
                <w:color w:val="005CA9"/>
                <w:sz w:val="16"/>
                <w:szCs w:val="16"/>
              </w:rPr>
              <w:t>20.453.341</w:t>
            </w:r>
          </w:p>
        </w:tc>
        <w:tc>
          <w:tcPr>
            <w:tcW w:w="452" w:type="pct"/>
            <w:tcBorders>
              <w:top w:val="nil"/>
              <w:left w:val="nil"/>
              <w:bottom w:val="single" w:sz="4" w:space="0" w:color="FFFFFF" w:themeColor="background1"/>
              <w:right w:val="nil"/>
            </w:tcBorders>
            <w:shd w:val="clear" w:color="auto" w:fill="D0E0E3"/>
            <w:noWrap/>
            <w:vAlign w:val="center"/>
            <w:hideMark/>
          </w:tcPr>
          <w:p w14:paraId="5C911D64" w14:textId="77777777" w:rsidR="00B91818" w:rsidRPr="00686AF4" w:rsidRDefault="00B91818" w:rsidP="00B91818">
            <w:pPr>
              <w:jc w:val="right"/>
              <w:rPr>
                <w:rFonts w:ascii="CAIXA Std Book" w:eastAsia="Times New Roman" w:hAnsi="CAIXA Std Book" w:cs="Times New Roman"/>
                <w:b/>
                <w:color w:val="005CA9"/>
                <w:sz w:val="16"/>
                <w:szCs w:val="16"/>
              </w:rPr>
            </w:pPr>
            <w:r w:rsidRPr="00686AF4">
              <w:rPr>
                <w:rFonts w:ascii="CAIXA Std Book" w:eastAsia="Times New Roman" w:hAnsi="CAIXA Std Book" w:cs="Times New Roman"/>
                <w:b/>
                <w:color w:val="005CA9"/>
                <w:sz w:val="16"/>
                <w:szCs w:val="16"/>
              </w:rPr>
              <w:t>6.661.458</w:t>
            </w:r>
          </w:p>
        </w:tc>
        <w:tc>
          <w:tcPr>
            <w:tcW w:w="452" w:type="pct"/>
            <w:tcBorders>
              <w:top w:val="nil"/>
              <w:left w:val="nil"/>
              <w:bottom w:val="single" w:sz="4" w:space="0" w:color="FFFFFF" w:themeColor="background1"/>
              <w:right w:val="nil"/>
            </w:tcBorders>
            <w:shd w:val="clear" w:color="auto" w:fill="D0E0E3"/>
            <w:noWrap/>
            <w:vAlign w:val="center"/>
            <w:hideMark/>
          </w:tcPr>
          <w:p w14:paraId="46216AB5" w14:textId="77777777" w:rsidR="00B91818" w:rsidRPr="00686AF4" w:rsidRDefault="00B91818" w:rsidP="00B91818">
            <w:pPr>
              <w:jc w:val="right"/>
              <w:rPr>
                <w:rFonts w:ascii="CAIXA Std Book" w:eastAsia="Times New Roman" w:hAnsi="CAIXA Std Book" w:cs="Times New Roman"/>
                <w:b/>
                <w:color w:val="005CA9"/>
                <w:sz w:val="16"/>
                <w:szCs w:val="16"/>
              </w:rPr>
            </w:pPr>
            <w:r w:rsidRPr="00686AF4">
              <w:rPr>
                <w:rFonts w:ascii="CAIXA Std Book" w:eastAsia="Times New Roman" w:hAnsi="CAIXA Std Book" w:cs="Times New Roman"/>
                <w:b/>
                <w:color w:val="005CA9"/>
                <w:sz w:val="16"/>
                <w:szCs w:val="16"/>
              </w:rPr>
              <w:t>5.368.484</w:t>
            </w:r>
          </w:p>
        </w:tc>
        <w:tc>
          <w:tcPr>
            <w:tcW w:w="453" w:type="pct"/>
            <w:tcBorders>
              <w:top w:val="nil"/>
              <w:left w:val="nil"/>
              <w:bottom w:val="single" w:sz="4" w:space="0" w:color="FFFFFF" w:themeColor="background1"/>
              <w:right w:val="nil"/>
            </w:tcBorders>
            <w:shd w:val="clear" w:color="auto" w:fill="D0E0E3"/>
            <w:noWrap/>
            <w:vAlign w:val="center"/>
            <w:hideMark/>
          </w:tcPr>
          <w:p w14:paraId="0B077261" w14:textId="77777777" w:rsidR="00B91818" w:rsidRPr="00686AF4" w:rsidRDefault="00B91818" w:rsidP="00B91818">
            <w:pPr>
              <w:jc w:val="right"/>
              <w:rPr>
                <w:rFonts w:ascii="CAIXA Std Book" w:eastAsia="Times New Roman" w:hAnsi="CAIXA Std Book" w:cs="Times New Roman"/>
                <w:b/>
                <w:color w:val="005CA9"/>
                <w:sz w:val="16"/>
                <w:szCs w:val="16"/>
              </w:rPr>
            </w:pPr>
            <w:r w:rsidRPr="00686AF4">
              <w:rPr>
                <w:rFonts w:ascii="CAIXA Std Book" w:eastAsia="Times New Roman" w:hAnsi="CAIXA Std Book" w:cs="Times New Roman"/>
                <w:b/>
                <w:color w:val="005CA9"/>
                <w:sz w:val="16"/>
                <w:szCs w:val="16"/>
              </w:rPr>
              <w:t>12.029.942</w:t>
            </w:r>
          </w:p>
        </w:tc>
      </w:tr>
      <w:tr w:rsidR="00B91818" w:rsidRPr="00F43394" w14:paraId="2460FFA0" w14:textId="77777777" w:rsidTr="00C5159C">
        <w:trPr>
          <w:trHeight w:val="255"/>
        </w:trPr>
        <w:tc>
          <w:tcPr>
            <w:tcW w:w="2286" w:type="pct"/>
            <w:tcBorders>
              <w:top w:val="single" w:sz="4" w:space="0" w:color="FFFFFF" w:themeColor="background1"/>
              <w:left w:val="nil"/>
              <w:bottom w:val="single" w:sz="4" w:space="0" w:color="FFFFFF" w:themeColor="background1"/>
              <w:right w:val="nil"/>
            </w:tcBorders>
            <w:shd w:val="clear" w:color="auto" w:fill="D0E0E3"/>
            <w:noWrap/>
            <w:vAlign w:val="center"/>
            <w:hideMark/>
          </w:tcPr>
          <w:p w14:paraId="3786EEAB" w14:textId="77777777" w:rsidR="00B91818" w:rsidRPr="00BC0002" w:rsidRDefault="00B91818" w:rsidP="00B91818">
            <w:pPr>
              <w:rPr>
                <w:rFonts w:ascii="CAIXA Std Book" w:eastAsia="Times New Roman" w:hAnsi="CAIXA Std Book" w:cs="Times New Roman"/>
                <w:b/>
                <w:color w:val="005CA9"/>
                <w:sz w:val="16"/>
                <w:szCs w:val="16"/>
              </w:rPr>
            </w:pPr>
            <w:r w:rsidRPr="00BC0002">
              <w:rPr>
                <w:rFonts w:ascii="CAIXA Std Book" w:eastAsia="Times New Roman" w:hAnsi="CAIXA Std Book" w:cs="Times New Roman"/>
                <w:b/>
                <w:color w:val="005CA9"/>
                <w:sz w:val="16"/>
                <w:szCs w:val="16"/>
              </w:rPr>
              <w:t>Investimentos em controladas e coligadas em conjunto</w:t>
            </w:r>
          </w:p>
        </w:tc>
        <w:tc>
          <w:tcPr>
            <w:tcW w:w="452" w:type="pct"/>
            <w:tcBorders>
              <w:top w:val="single" w:sz="4" w:space="0" w:color="FFFFFF" w:themeColor="background1"/>
              <w:left w:val="nil"/>
              <w:bottom w:val="single" w:sz="4" w:space="0" w:color="FFFFFF" w:themeColor="background1"/>
              <w:right w:val="nil"/>
            </w:tcBorders>
            <w:shd w:val="clear" w:color="auto" w:fill="D0E0E3"/>
            <w:noWrap/>
            <w:vAlign w:val="center"/>
            <w:hideMark/>
          </w:tcPr>
          <w:p w14:paraId="4E7EDCA1" w14:textId="536A5F1E" w:rsidR="00B91818" w:rsidRPr="00686AF4" w:rsidRDefault="000E164B" w:rsidP="00B91818">
            <w:pPr>
              <w:jc w:val="center"/>
              <w:rPr>
                <w:rFonts w:ascii="CAIXA Std Book" w:eastAsia="Times New Roman" w:hAnsi="CAIXA Std Book" w:cs="Times New Roman"/>
                <w:b/>
                <w:color w:val="005CA9"/>
                <w:sz w:val="16"/>
                <w:szCs w:val="16"/>
              </w:rPr>
            </w:pPr>
            <w:r>
              <w:rPr>
                <w:rFonts w:ascii="CAIXA Std Book" w:hAnsi="CAIXA Std Book" w:cs="Arial"/>
                <w:b/>
                <w:bCs/>
                <w:color w:val="005CA9"/>
                <w:sz w:val="16"/>
                <w:szCs w:val="16"/>
              </w:rPr>
              <w:t>-</w:t>
            </w:r>
          </w:p>
        </w:tc>
        <w:tc>
          <w:tcPr>
            <w:tcW w:w="452" w:type="pct"/>
            <w:tcBorders>
              <w:top w:val="single" w:sz="4" w:space="0" w:color="FFFFFF" w:themeColor="background1"/>
              <w:left w:val="nil"/>
              <w:bottom w:val="single" w:sz="4" w:space="0" w:color="FFFFFF" w:themeColor="background1"/>
              <w:right w:val="nil"/>
            </w:tcBorders>
            <w:shd w:val="clear" w:color="auto" w:fill="D0E0E3"/>
            <w:noWrap/>
            <w:vAlign w:val="center"/>
            <w:hideMark/>
          </w:tcPr>
          <w:p w14:paraId="73E2E367" w14:textId="6E5B2EBB" w:rsidR="00B91818" w:rsidRPr="00686AF4" w:rsidRDefault="000E164B" w:rsidP="00B91818">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13.858.487</w:t>
            </w:r>
          </w:p>
        </w:tc>
        <w:tc>
          <w:tcPr>
            <w:tcW w:w="453" w:type="pct"/>
            <w:tcBorders>
              <w:top w:val="single" w:sz="4" w:space="0" w:color="FFFFFF" w:themeColor="background1"/>
              <w:left w:val="nil"/>
              <w:bottom w:val="single" w:sz="4" w:space="0" w:color="FFFFFF" w:themeColor="background1"/>
              <w:right w:val="nil"/>
            </w:tcBorders>
            <w:shd w:val="clear" w:color="auto" w:fill="D0E0E3"/>
            <w:noWrap/>
            <w:vAlign w:val="center"/>
            <w:hideMark/>
          </w:tcPr>
          <w:p w14:paraId="623ADB3B" w14:textId="560BD7AC" w:rsidR="00B91818" w:rsidRPr="00686AF4" w:rsidRDefault="000E164B" w:rsidP="00B91818">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13.858.487</w:t>
            </w:r>
          </w:p>
        </w:tc>
        <w:tc>
          <w:tcPr>
            <w:tcW w:w="452" w:type="pct"/>
            <w:tcBorders>
              <w:top w:val="single" w:sz="4" w:space="0" w:color="FFFFFF" w:themeColor="background1"/>
              <w:left w:val="nil"/>
              <w:bottom w:val="single" w:sz="4" w:space="0" w:color="FFFFFF" w:themeColor="background1"/>
              <w:right w:val="nil"/>
            </w:tcBorders>
            <w:shd w:val="clear" w:color="auto" w:fill="D0E0E3"/>
            <w:noWrap/>
            <w:vAlign w:val="center"/>
            <w:hideMark/>
          </w:tcPr>
          <w:p w14:paraId="06F9472B" w14:textId="77777777" w:rsidR="00B91818" w:rsidRPr="00686AF4" w:rsidRDefault="00B91818" w:rsidP="00B91818">
            <w:pPr>
              <w:jc w:val="center"/>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w:t>
            </w:r>
          </w:p>
        </w:tc>
        <w:tc>
          <w:tcPr>
            <w:tcW w:w="452" w:type="pct"/>
            <w:tcBorders>
              <w:top w:val="single" w:sz="4" w:space="0" w:color="FFFFFF" w:themeColor="background1"/>
              <w:left w:val="nil"/>
              <w:bottom w:val="single" w:sz="4" w:space="0" w:color="FFFFFF" w:themeColor="background1"/>
              <w:right w:val="nil"/>
            </w:tcBorders>
            <w:shd w:val="clear" w:color="auto" w:fill="D0E0E3"/>
            <w:noWrap/>
            <w:vAlign w:val="center"/>
            <w:hideMark/>
          </w:tcPr>
          <w:p w14:paraId="242C0335" w14:textId="77777777" w:rsidR="00B91818" w:rsidRPr="00686AF4" w:rsidRDefault="00B91818" w:rsidP="00B91818">
            <w:pPr>
              <w:jc w:val="right"/>
              <w:rPr>
                <w:rFonts w:ascii="CAIXA Std Book" w:eastAsia="Times New Roman" w:hAnsi="CAIXA Std Book" w:cs="Times New Roman"/>
                <w:b/>
                <w:color w:val="005CA9"/>
                <w:sz w:val="16"/>
                <w:szCs w:val="16"/>
              </w:rPr>
            </w:pPr>
            <w:r w:rsidRPr="00686AF4">
              <w:rPr>
                <w:rFonts w:ascii="CAIXA Std Book" w:eastAsia="Times New Roman" w:hAnsi="CAIXA Std Book" w:cs="Arial"/>
                <w:b/>
                <w:color w:val="005CA9"/>
                <w:sz w:val="16"/>
                <w:szCs w:val="16"/>
              </w:rPr>
              <w:t>13.698.375</w:t>
            </w:r>
          </w:p>
        </w:tc>
        <w:tc>
          <w:tcPr>
            <w:tcW w:w="453" w:type="pct"/>
            <w:tcBorders>
              <w:top w:val="single" w:sz="4" w:space="0" w:color="FFFFFF" w:themeColor="background1"/>
              <w:left w:val="nil"/>
              <w:bottom w:val="single" w:sz="4" w:space="0" w:color="FFFFFF" w:themeColor="background1"/>
              <w:right w:val="nil"/>
            </w:tcBorders>
            <w:shd w:val="clear" w:color="auto" w:fill="D0E0E3"/>
            <w:noWrap/>
            <w:vAlign w:val="center"/>
            <w:hideMark/>
          </w:tcPr>
          <w:p w14:paraId="4783BFC7" w14:textId="77777777" w:rsidR="00B91818" w:rsidRPr="00686AF4" w:rsidRDefault="00B91818" w:rsidP="00B91818">
            <w:pPr>
              <w:jc w:val="right"/>
              <w:rPr>
                <w:rFonts w:ascii="CAIXA Std Book" w:eastAsia="Times New Roman" w:hAnsi="CAIXA Std Book" w:cs="Times New Roman"/>
                <w:b/>
                <w:color w:val="005CA9"/>
                <w:sz w:val="16"/>
                <w:szCs w:val="16"/>
              </w:rPr>
            </w:pPr>
            <w:r w:rsidRPr="00686AF4">
              <w:rPr>
                <w:rFonts w:ascii="CAIXA Std Book" w:eastAsia="Times New Roman" w:hAnsi="CAIXA Std Book" w:cs="Arial"/>
                <w:b/>
                <w:color w:val="005CA9"/>
                <w:sz w:val="16"/>
                <w:szCs w:val="16"/>
              </w:rPr>
              <w:t>13.698.375</w:t>
            </w:r>
          </w:p>
        </w:tc>
      </w:tr>
      <w:tr w:rsidR="00B91818" w:rsidRPr="00F43394" w14:paraId="618E28A8" w14:textId="77777777" w:rsidTr="00C5159C">
        <w:trPr>
          <w:trHeight w:val="255"/>
        </w:trPr>
        <w:tc>
          <w:tcPr>
            <w:tcW w:w="2286" w:type="pct"/>
            <w:tcBorders>
              <w:top w:val="single" w:sz="4" w:space="0" w:color="FFFFFF" w:themeColor="background1"/>
              <w:left w:val="nil"/>
              <w:bottom w:val="single" w:sz="4" w:space="0" w:color="FFFFFF" w:themeColor="background1"/>
              <w:right w:val="nil"/>
            </w:tcBorders>
            <w:shd w:val="clear" w:color="auto" w:fill="D0E0E3"/>
            <w:noWrap/>
            <w:vAlign w:val="center"/>
            <w:hideMark/>
          </w:tcPr>
          <w:p w14:paraId="383B57CB" w14:textId="77777777" w:rsidR="00B91818" w:rsidRPr="00BC0002" w:rsidRDefault="00B91818" w:rsidP="00B91818">
            <w:pPr>
              <w:rPr>
                <w:rFonts w:ascii="CAIXA Std Book" w:eastAsia="Times New Roman" w:hAnsi="CAIXA Std Book" w:cs="Times New Roman"/>
                <w:b/>
                <w:color w:val="005CA9"/>
                <w:sz w:val="16"/>
                <w:szCs w:val="16"/>
              </w:rPr>
            </w:pPr>
            <w:r w:rsidRPr="00BC0002">
              <w:rPr>
                <w:rFonts w:ascii="CAIXA Std Book" w:eastAsia="Times New Roman" w:hAnsi="CAIXA Std Book" w:cs="Times New Roman"/>
                <w:b/>
                <w:color w:val="005CA9"/>
                <w:sz w:val="16"/>
                <w:szCs w:val="16"/>
              </w:rPr>
              <w:t>Imobilizado de uso</w:t>
            </w:r>
          </w:p>
        </w:tc>
        <w:tc>
          <w:tcPr>
            <w:tcW w:w="452" w:type="pct"/>
            <w:tcBorders>
              <w:top w:val="single" w:sz="4" w:space="0" w:color="FFFFFF" w:themeColor="background1"/>
              <w:left w:val="nil"/>
              <w:bottom w:val="single" w:sz="4" w:space="0" w:color="FFFFFF" w:themeColor="background1"/>
              <w:right w:val="nil"/>
            </w:tcBorders>
            <w:shd w:val="clear" w:color="auto" w:fill="D0E0E3"/>
            <w:noWrap/>
            <w:vAlign w:val="center"/>
            <w:hideMark/>
          </w:tcPr>
          <w:p w14:paraId="57A3E933" w14:textId="6DAB257F" w:rsidR="00B91818" w:rsidRPr="00686AF4" w:rsidRDefault="000E164B" w:rsidP="00B91818">
            <w:pPr>
              <w:jc w:val="center"/>
              <w:rPr>
                <w:rFonts w:ascii="CAIXA Std Book" w:eastAsia="Times New Roman" w:hAnsi="CAIXA Std Book" w:cs="Times New Roman"/>
                <w:b/>
                <w:color w:val="005CA9"/>
                <w:sz w:val="16"/>
                <w:szCs w:val="16"/>
              </w:rPr>
            </w:pPr>
            <w:r>
              <w:rPr>
                <w:rFonts w:ascii="CAIXA Std Book" w:hAnsi="CAIXA Std Book" w:cs="Arial"/>
                <w:b/>
                <w:bCs/>
                <w:color w:val="005CA9"/>
                <w:sz w:val="16"/>
                <w:szCs w:val="16"/>
              </w:rPr>
              <w:t>-</w:t>
            </w:r>
          </w:p>
        </w:tc>
        <w:tc>
          <w:tcPr>
            <w:tcW w:w="452" w:type="pct"/>
            <w:tcBorders>
              <w:top w:val="single" w:sz="4" w:space="0" w:color="FFFFFF" w:themeColor="background1"/>
              <w:left w:val="nil"/>
              <w:bottom w:val="single" w:sz="4" w:space="0" w:color="FFFFFF" w:themeColor="background1"/>
              <w:right w:val="nil"/>
            </w:tcBorders>
            <w:shd w:val="clear" w:color="auto" w:fill="D0E0E3"/>
            <w:noWrap/>
            <w:vAlign w:val="center"/>
            <w:hideMark/>
          </w:tcPr>
          <w:p w14:paraId="46363D4B" w14:textId="519AFCC2" w:rsidR="00B91818" w:rsidRPr="00686AF4" w:rsidRDefault="000E164B" w:rsidP="00B91818">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7.633.58</w:t>
            </w:r>
            <w:r w:rsidR="006668B8">
              <w:rPr>
                <w:rFonts w:ascii="CAIXA Std Book" w:hAnsi="CAIXA Std Book" w:cs="Arial"/>
                <w:b/>
                <w:bCs/>
                <w:color w:val="005CA9"/>
                <w:sz w:val="16"/>
                <w:szCs w:val="16"/>
              </w:rPr>
              <w:t>2</w:t>
            </w:r>
          </w:p>
        </w:tc>
        <w:tc>
          <w:tcPr>
            <w:tcW w:w="453" w:type="pct"/>
            <w:tcBorders>
              <w:top w:val="single" w:sz="4" w:space="0" w:color="FFFFFF" w:themeColor="background1"/>
              <w:left w:val="nil"/>
              <w:bottom w:val="single" w:sz="4" w:space="0" w:color="FFFFFF" w:themeColor="background1"/>
              <w:right w:val="nil"/>
            </w:tcBorders>
            <w:shd w:val="clear" w:color="auto" w:fill="D0E0E3"/>
            <w:noWrap/>
            <w:vAlign w:val="center"/>
            <w:hideMark/>
          </w:tcPr>
          <w:p w14:paraId="29DA3213" w14:textId="3819EA70" w:rsidR="00B91818" w:rsidRPr="00686AF4" w:rsidRDefault="000E164B" w:rsidP="00B91818">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7.633.58</w:t>
            </w:r>
            <w:r w:rsidR="006668B8">
              <w:rPr>
                <w:rFonts w:ascii="CAIXA Std Book" w:hAnsi="CAIXA Std Book" w:cs="Arial"/>
                <w:b/>
                <w:bCs/>
                <w:color w:val="005CA9"/>
                <w:sz w:val="16"/>
                <w:szCs w:val="16"/>
              </w:rPr>
              <w:t>2</w:t>
            </w:r>
          </w:p>
        </w:tc>
        <w:tc>
          <w:tcPr>
            <w:tcW w:w="452" w:type="pct"/>
            <w:tcBorders>
              <w:top w:val="single" w:sz="4" w:space="0" w:color="FFFFFF" w:themeColor="background1"/>
              <w:left w:val="nil"/>
              <w:bottom w:val="single" w:sz="4" w:space="0" w:color="FFFFFF" w:themeColor="background1"/>
              <w:right w:val="nil"/>
            </w:tcBorders>
            <w:shd w:val="clear" w:color="auto" w:fill="D0E0E3"/>
            <w:noWrap/>
            <w:vAlign w:val="center"/>
            <w:hideMark/>
          </w:tcPr>
          <w:p w14:paraId="32BFD5D9" w14:textId="77777777" w:rsidR="00B91818" w:rsidRPr="00686AF4" w:rsidRDefault="00B91818" w:rsidP="00B91818">
            <w:pPr>
              <w:jc w:val="center"/>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w:t>
            </w:r>
          </w:p>
        </w:tc>
        <w:tc>
          <w:tcPr>
            <w:tcW w:w="452" w:type="pct"/>
            <w:tcBorders>
              <w:top w:val="single" w:sz="4" w:space="0" w:color="FFFFFF" w:themeColor="background1"/>
              <w:left w:val="nil"/>
              <w:bottom w:val="single" w:sz="4" w:space="0" w:color="FFFFFF" w:themeColor="background1"/>
              <w:right w:val="nil"/>
            </w:tcBorders>
            <w:shd w:val="clear" w:color="auto" w:fill="D0E0E3"/>
            <w:noWrap/>
            <w:vAlign w:val="center"/>
            <w:hideMark/>
          </w:tcPr>
          <w:p w14:paraId="047BC299" w14:textId="77777777" w:rsidR="00B91818" w:rsidRPr="00686AF4" w:rsidRDefault="00B91818" w:rsidP="00B91818">
            <w:pPr>
              <w:jc w:val="right"/>
              <w:rPr>
                <w:rFonts w:ascii="CAIXA Std Book" w:eastAsia="Times New Roman" w:hAnsi="CAIXA Std Book" w:cs="Times New Roman"/>
                <w:b/>
                <w:color w:val="005CA9"/>
                <w:sz w:val="16"/>
                <w:szCs w:val="16"/>
              </w:rPr>
            </w:pPr>
            <w:r w:rsidRPr="00686AF4">
              <w:rPr>
                <w:rFonts w:ascii="CAIXA Std Book" w:eastAsia="Times New Roman" w:hAnsi="CAIXA Std Book" w:cs="Arial"/>
                <w:b/>
                <w:color w:val="005CA9"/>
                <w:sz w:val="16"/>
                <w:szCs w:val="16"/>
              </w:rPr>
              <w:t>7.165.069</w:t>
            </w:r>
          </w:p>
        </w:tc>
        <w:tc>
          <w:tcPr>
            <w:tcW w:w="453" w:type="pct"/>
            <w:tcBorders>
              <w:top w:val="single" w:sz="4" w:space="0" w:color="FFFFFF" w:themeColor="background1"/>
              <w:left w:val="nil"/>
              <w:bottom w:val="single" w:sz="4" w:space="0" w:color="FFFFFF" w:themeColor="background1"/>
              <w:right w:val="nil"/>
            </w:tcBorders>
            <w:shd w:val="clear" w:color="auto" w:fill="D0E0E3"/>
            <w:noWrap/>
            <w:vAlign w:val="center"/>
            <w:hideMark/>
          </w:tcPr>
          <w:p w14:paraId="1AE5161D" w14:textId="77777777" w:rsidR="00B91818" w:rsidRPr="00686AF4" w:rsidRDefault="00B91818" w:rsidP="00B91818">
            <w:pPr>
              <w:jc w:val="right"/>
              <w:rPr>
                <w:rFonts w:ascii="CAIXA Std Book" w:eastAsia="Times New Roman" w:hAnsi="CAIXA Std Book" w:cs="Times New Roman"/>
                <w:b/>
                <w:color w:val="005CA9"/>
                <w:sz w:val="16"/>
                <w:szCs w:val="16"/>
              </w:rPr>
            </w:pPr>
            <w:r w:rsidRPr="00686AF4">
              <w:rPr>
                <w:rFonts w:ascii="CAIXA Std Book" w:eastAsia="Times New Roman" w:hAnsi="CAIXA Std Book" w:cs="Arial"/>
                <w:b/>
                <w:color w:val="005CA9"/>
                <w:sz w:val="16"/>
                <w:szCs w:val="16"/>
              </w:rPr>
              <w:t>7.165.069</w:t>
            </w:r>
          </w:p>
        </w:tc>
      </w:tr>
      <w:tr w:rsidR="00B91818" w:rsidRPr="00F43394" w14:paraId="5DE3AAA5" w14:textId="77777777" w:rsidTr="00C5159C">
        <w:trPr>
          <w:trHeight w:val="255"/>
        </w:trPr>
        <w:tc>
          <w:tcPr>
            <w:tcW w:w="2286" w:type="pct"/>
            <w:tcBorders>
              <w:top w:val="single" w:sz="4" w:space="0" w:color="FFFFFF" w:themeColor="background1"/>
              <w:left w:val="nil"/>
              <w:bottom w:val="nil"/>
              <w:right w:val="nil"/>
            </w:tcBorders>
            <w:shd w:val="clear" w:color="auto" w:fill="D0E0E3"/>
            <w:noWrap/>
            <w:vAlign w:val="center"/>
            <w:hideMark/>
          </w:tcPr>
          <w:p w14:paraId="25BA91DF" w14:textId="77777777" w:rsidR="00B91818" w:rsidRPr="00BC0002" w:rsidRDefault="00B91818" w:rsidP="00B91818">
            <w:pPr>
              <w:rPr>
                <w:rFonts w:ascii="CAIXA Std Book" w:eastAsia="Times New Roman" w:hAnsi="CAIXA Std Book" w:cs="Times New Roman"/>
                <w:b/>
                <w:color w:val="005CA9"/>
                <w:sz w:val="16"/>
                <w:szCs w:val="16"/>
              </w:rPr>
            </w:pPr>
            <w:r w:rsidRPr="00BC0002">
              <w:rPr>
                <w:rFonts w:ascii="CAIXA Std Book" w:eastAsia="Times New Roman" w:hAnsi="CAIXA Std Book" w:cs="Times New Roman"/>
                <w:b/>
                <w:color w:val="005CA9"/>
                <w:sz w:val="16"/>
                <w:szCs w:val="16"/>
              </w:rPr>
              <w:t>Intangível</w:t>
            </w:r>
          </w:p>
        </w:tc>
        <w:tc>
          <w:tcPr>
            <w:tcW w:w="452" w:type="pct"/>
            <w:tcBorders>
              <w:top w:val="single" w:sz="4" w:space="0" w:color="FFFFFF" w:themeColor="background1"/>
              <w:left w:val="nil"/>
              <w:bottom w:val="nil"/>
              <w:right w:val="nil"/>
            </w:tcBorders>
            <w:shd w:val="clear" w:color="auto" w:fill="D0E0E3"/>
            <w:noWrap/>
            <w:vAlign w:val="center"/>
            <w:hideMark/>
          </w:tcPr>
          <w:p w14:paraId="017ACD84" w14:textId="07755154" w:rsidR="00B91818" w:rsidRPr="00686AF4" w:rsidRDefault="000E164B" w:rsidP="00B91818">
            <w:pPr>
              <w:jc w:val="center"/>
              <w:rPr>
                <w:rFonts w:ascii="CAIXA Std Book" w:eastAsia="Times New Roman" w:hAnsi="CAIXA Std Book" w:cs="Times New Roman"/>
                <w:b/>
                <w:color w:val="005CA9"/>
                <w:sz w:val="16"/>
                <w:szCs w:val="16"/>
              </w:rPr>
            </w:pPr>
            <w:r>
              <w:rPr>
                <w:rFonts w:ascii="CAIXA Std Book" w:hAnsi="CAIXA Std Book" w:cs="Arial"/>
                <w:b/>
                <w:bCs/>
                <w:color w:val="005CA9"/>
                <w:sz w:val="16"/>
                <w:szCs w:val="16"/>
              </w:rPr>
              <w:t>-</w:t>
            </w:r>
          </w:p>
        </w:tc>
        <w:tc>
          <w:tcPr>
            <w:tcW w:w="452" w:type="pct"/>
            <w:tcBorders>
              <w:top w:val="single" w:sz="4" w:space="0" w:color="FFFFFF" w:themeColor="background1"/>
              <w:left w:val="nil"/>
              <w:bottom w:val="nil"/>
              <w:right w:val="nil"/>
            </w:tcBorders>
            <w:shd w:val="clear" w:color="auto" w:fill="D0E0E3"/>
            <w:noWrap/>
            <w:vAlign w:val="center"/>
            <w:hideMark/>
          </w:tcPr>
          <w:p w14:paraId="5F2AE897" w14:textId="0618A1CB" w:rsidR="00B91818" w:rsidRPr="00686AF4" w:rsidRDefault="000E164B" w:rsidP="00B91818">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4.590.34</w:t>
            </w:r>
            <w:r w:rsidR="00992777">
              <w:rPr>
                <w:rFonts w:ascii="CAIXA Std Book" w:hAnsi="CAIXA Std Book" w:cs="Arial"/>
                <w:b/>
                <w:bCs/>
                <w:color w:val="005CA9"/>
                <w:sz w:val="16"/>
                <w:szCs w:val="16"/>
              </w:rPr>
              <w:t>6</w:t>
            </w:r>
          </w:p>
        </w:tc>
        <w:tc>
          <w:tcPr>
            <w:tcW w:w="453" w:type="pct"/>
            <w:tcBorders>
              <w:top w:val="single" w:sz="4" w:space="0" w:color="FFFFFF" w:themeColor="background1"/>
              <w:left w:val="nil"/>
              <w:bottom w:val="nil"/>
              <w:right w:val="nil"/>
            </w:tcBorders>
            <w:shd w:val="clear" w:color="auto" w:fill="D0E0E3"/>
            <w:noWrap/>
            <w:vAlign w:val="center"/>
            <w:hideMark/>
          </w:tcPr>
          <w:p w14:paraId="0C29C612" w14:textId="764836FD" w:rsidR="00B91818" w:rsidRPr="00686AF4" w:rsidRDefault="000E164B" w:rsidP="00B91818">
            <w:pPr>
              <w:jc w:val="right"/>
              <w:rPr>
                <w:rFonts w:ascii="CAIXA Std Book" w:eastAsia="Times New Roman" w:hAnsi="CAIXA Std Book" w:cs="Times New Roman"/>
                <w:b/>
                <w:color w:val="005CA9"/>
                <w:sz w:val="16"/>
                <w:szCs w:val="16"/>
              </w:rPr>
            </w:pPr>
            <w:r>
              <w:rPr>
                <w:rFonts w:ascii="CAIXA Std Book" w:hAnsi="CAIXA Std Book" w:cs="Arial"/>
                <w:b/>
                <w:bCs/>
                <w:color w:val="005CA9"/>
                <w:sz w:val="16"/>
                <w:szCs w:val="16"/>
              </w:rPr>
              <w:t>4.590.34</w:t>
            </w:r>
            <w:r w:rsidR="00992777">
              <w:rPr>
                <w:rFonts w:ascii="CAIXA Std Book" w:hAnsi="CAIXA Std Book" w:cs="Arial"/>
                <w:b/>
                <w:bCs/>
                <w:color w:val="005CA9"/>
                <w:sz w:val="16"/>
                <w:szCs w:val="16"/>
              </w:rPr>
              <w:t>6</w:t>
            </w:r>
          </w:p>
        </w:tc>
        <w:tc>
          <w:tcPr>
            <w:tcW w:w="452" w:type="pct"/>
            <w:tcBorders>
              <w:top w:val="single" w:sz="4" w:space="0" w:color="FFFFFF" w:themeColor="background1"/>
              <w:left w:val="nil"/>
              <w:bottom w:val="nil"/>
              <w:right w:val="nil"/>
            </w:tcBorders>
            <w:shd w:val="clear" w:color="auto" w:fill="D0E0E3"/>
            <w:noWrap/>
            <w:vAlign w:val="center"/>
            <w:hideMark/>
          </w:tcPr>
          <w:p w14:paraId="39A05DFB" w14:textId="77777777" w:rsidR="00B91818" w:rsidRPr="00686AF4" w:rsidRDefault="00B91818" w:rsidP="00B91818">
            <w:pPr>
              <w:jc w:val="center"/>
              <w:rPr>
                <w:rFonts w:ascii="CAIXA Std Book" w:eastAsia="Times New Roman" w:hAnsi="CAIXA Std Book" w:cs="Times New Roman"/>
                <w:color w:val="005CA9"/>
                <w:sz w:val="16"/>
                <w:szCs w:val="16"/>
              </w:rPr>
            </w:pPr>
            <w:r w:rsidRPr="00686AF4">
              <w:rPr>
                <w:rFonts w:ascii="CAIXA Std Book" w:eastAsia="Times New Roman" w:hAnsi="CAIXA Std Book" w:cs="Arial"/>
                <w:color w:val="005CA9"/>
                <w:sz w:val="16"/>
                <w:szCs w:val="16"/>
              </w:rPr>
              <w:t>-</w:t>
            </w:r>
          </w:p>
        </w:tc>
        <w:tc>
          <w:tcPr>
            <w:tcW w:w="452" w:type="pct"/>
            <w:tcBorders>
              <w:top w:val="single" w:sz="4" w:space="0" w:color="FFFFFF" w:themeColor="background1"/>
              <w:left w:val="nil"/>
              <w:bottom w:val="nil"/>
              <w:right w:val="nil"/>
            </w:tcBorders>
            <w:shd w:val="clear" w:color="auto" w:fill="D0E0E3"/>
            <w:noWrap/>
            <w:vAlign w:val="center"/>
            <w:hideMark/>
          </w:tcPr>
          <w:p w14:paraId="58423DEC" w14:textId="77777777" w:rsidR="00B91818" w:rsidRPr="00686AF4" w:rsidRDefault="00B91818" w:rsidP="00B91818">
            <w:pPr>
              <w:jc w:val="right"/>
              <w:rPr>
                <w:rFonts w:ascii="CAIXA Std Book" w:eastAsia="Times New Roman" w:hAnsi="CAIXA Std Book" w:cs="Times New Roman"/>
                <w:b/>
                <w:color w:val="005CA9"/>
                <w:sz w:val="16"/>
                <w:szCs w:val="16"/>
              </w:rPr>
            </w:pPr>
            <w:r w:rsidRPr="00686AF4">
              <w:rPr>
                <w:rFonts w:ascii="CAIXA Std Book" w:eastAsia="Times New Roman" w:hAnsi="CAIXA Std Book" w:cs="Arial"/>
                <w:b/>
                <w:color w:val="005CA9"/>
                <w:sz w:val="16"/>
                <w:szCs w:val="16"/>
              </w:rPr>
              <w:t>4.631.582</w:t>
            </w:r>
          </w:p>
        </w:tc>
        <w:tc>
          <w:tcPr>
            <w:tcW w:w="453" w:type="pct"/>
            <w:tcBorders>
              <w:top w:val="single" w:sz="4" w:space="0" w:color="FFFFFF" w:themeColor="background1"/>
              <w:left w:val="nil"/>
              <w:bottom w:val="nil"/>
              <w:right w:val="nil"/>
            </w:tcBorders>
            <w:shd w:val="clear" w:color="auto" w:fill="D0E0E3"/>
            <w:noWrap/>
            <w:vAlign w:val="center"/>
            <w:hideMark/>
          </w:tcPr>
          <w:p w14:paraId="004E7B7A" w14:textId="77777777" w:rsidR="00B91818" w:rsidRPr="00686AF4" w:rsidRDefault="00B91818" w:rsidP="00B91818">
            <w:pPr>
              <w:jc w:val="right"/>
              <w:rPr>
                <w:rFonts w:ascii="CAIXA Std Book" w:eastAsia="Times New Roman" w:hAnsi="CAIXA Std Book" w:cs="Times New Roman"/>
                <w:b/>
                <w:color w:val="005CA9"/>
                <w:sz w:val="16"/>
                <w:szCs w:val="16"/>
              </w:rPr>
            </w:pPr>
            <w:r w:rsidRPr="00686AF4">
              <w:rPr>
                <w:rFonts w:ascii="CAIXA Std Book" w:eastAsia="Times New Roman" w:hAnsi="CAIXA Std Book" w:cs="Arial"/>
                <w:b/>
                <w:color w:val="005CA9"/>
                <w:sz w:val="16"/>
                <w:szCs w:val="16"/>
              </w:rPr>
              <w:t>4.631.582</w:t>
            </w:r>
          </w:p>
        </w:tc>
      </w:tr>
      <w:tr w:rsidR="00B91818" w:rsidRPr="00F43394" w14:paraId="38F9E710" w14:textId="77777777" w:rsidTr="001E6A64">
        <w:trPr>
          <w:trHeight w:val="255"/>
        </w:trPr>
        <w:tc>
          <w:tcPr>
            <w:tcW w:w="2286" w:type="pct"/>
            <w:tcBorders>
              <w:top w:val="nil"/>
              <w:left w:val="nil"/>
              <w:bottom w:val="nil"/>
              <w:right w:val="nil"/>
            </w:tcBorders>
            <w:shd w:val="clear" w:color="auto" w:fill="005CA9"/>
            <w:noWrap/>
            <w:vAlign w:val="center"/>
            <w:hideMark/>
          </w:tcPr>
          <w:p w14:paraId="0216660C" w14:textId="77777777" w:rsidR="00B91818" w:rsidRPr="00BC0002" w:rsidRDefault="00B91818" w:rsidP="00B91818">
            <w:pPr>
              <w:rPr>
                <w:rFonts w:ascii="CAIXA Std Book" w:eastAsia="Times New Roman" w:hAnsi="CAIXA Std Book" w:cs="Times New Roman"/>
                <w:b/>
                <w:color w:val="FFFFFF"/>
                <w:sz w:val="16"/>
                <w:szCs w:val="16"/>
              </w:rPr>
            </w:pPr>
            <w:r w:rsidRPr="00BC0002">
              <w:rPr>
                <w:rFonts w:ascii="CAIXA Std Book" w:eastAsia="Times New Roman" w:hAnsi="CAIXA Std Book" w:cs="Times New Roman"/>
                <w:b/>
                <w:color w:val="FFFFFF"/>
                <w:sz w:val="16"/>
                <w:szCs w:val="16"/>
              </w:rPr>
              <w:t>Total do ativo</w:t>
            </w:r>
          </w:p>
        </w:tc>
        <w:tc>
          <w:tcPr>
            <w:tcW w:w="452" w:type="pct"/>
            <w:tcBorders>
              <w:top w:val="nil"/>
              <w:left w:val="nil"/>
              <w:bottom w:val="nil"/>
              <w:right w:val="nil"/>
            </w:tcBorders>
            <w:shd w:val="clear" w:color="auto" w:fill="005CA9"/>
            <w:noWrap/>
            <w:vAlign w:val="center"/>
            <w:hideMark/>
          </w:tcPr>
          <w:p w14:paraId="30557DA7" w14:textId="1C70278B" w:rsidR="00B91818" w:rsidRPr="00686AF4" w:rsidRDefault="00961251" w:rsidP="00B91818">
            <w:pPr>
              <w:jc w:val="right"/>
              <w:rPr>
                <w:rFonts w:ascii="CAIXA Std Book" w:eastAsia="Times New Roman" w:hAnsi="CAIXA Std Book" w:cs="Times New Roman"/>
                <w:b/>
                <w:color w:val="FFFFFF"/>
                <w:sz w:val="16"/>
                <w:szCs w:val="16"/>
              </w:rPr>
            </w:pPr>
            <w:r>
              <w:rPr>
                <w:rFonts w:ascii="CAIXA Std Book" w:hAnsi="CAIXA Std Book" w:cs="Arial"/>
                <w:b/>
                <w:bCs/>
                <w:color w:val="FFFFFF"/>
                <w:sz w:val="16"/>
                <w:szCs w:val="16"/>
              </w:rPr>
              <w:t>711.526.917</w:t>
            </w:r>
          </w:p>
        </w:tc>
        <w:tc>
          <w:tcPr>
            <w:tcW w:w="452" w:type="pct"/>
            <w:tcBorders>
              <w:top w:val="nil"/>
              <w:left w:val="nil"/>
              <w:bottom w:val="nil"/>
              <w:right w:val="nil"/>
            </w:tcBorders>
            <w:shd w:val="clear" w:color="auto" w:fill="005CA9"/>
            <w:noWrap/>
            <w:vAlign w:val="center"/>
            <w:hideMark/>
          </w:tcPr>
          <w:p w14:paraId="5AC23859" w14:textId="2A214DAF" w:rsidR="00B91818" w:rsidRPr="00686AF4" w:rsidRDefault="00961251" w:rsidP="00B91818">
            <w:pPr>
              <w:jc w:val="right"/>
              <w:rPr>
                <w:rFonts w:ascii="CAIXA Std Book" w:eastAsia="Times New Roman" w:hAnsi="CAIXA Std Book" w:cs="Times New Roman"/>
                <w:b/>
                <w:color w:val="FFFFFF"/>
                <w:sz w:val="16"/>
                <w:szCs w:val="16"/>
              </w:rPr>
            </w:pPr>
            <w:r>
              <w:rPr>
                <w:rFonts w:ascii="CAIXA Std Book" w:hAnsi="CAIXA Std Book" w:cs="Arial"/>
                <w:b/>
                <w:bCs/>
                <w:color w:val="FFFFFF"/>
                <w:sz w:val="16"/>
                <w:szCs w:val="16"/>
              </w:rPr>
              <w:t>1.649.416.477</w:t>
            </w:r>
          </w:p>
        </w:tc>
        <w:tc>
          <w:tcPr>
            <w:tcW w:w="453" w:type="pct"/>
            <w:tcBorders>
              <w:top w:val="nil"/>
              <w:left w:val="nil"/>
              <w:bottom w:val="nil"/>
              <w:right w:val="nil"/>
            </w:tcBorders>
            <w:shd w:val="clear" w:color="auto" w:fill="005CA9"/>
            <w:noWrap/>
            <w:vAlign w:val="center"/>
            <w:hideMark/>
          </w:tcPr>
          <w:p w14:paraId="67F8A684" w14:textId="5DF78007" w:rsidR="00B91818" w:rsidRPr="00686AF4" w:rsidRDefault="00961251" w:rsidP="00B91818">
            <w:pPr>
              <w:jc w:val="right"/>
              <w:rPr>
                <w:rFonts w:ascii="CAIXA Std Book" w:eastAsia="Times New Roman" w:hAnsi="CAIXA Std Book" w:cs="Times New Roman"/>
                <w:b/>
                <w:color w:val="FFFFFF"/>
                <w:sz w:val="16"/>
                <w:szCs w:val="16"/>
              </w:rPr>
            </w:pPr>
            <w:r>
              <w:rPr>
                <w:rFonts w:ascii="CAIXA Std Book" w:hAnsi="CAIXA Std Book" w:cs="Arial"/>
                <w:b/>
                <w:bCs/>
                <w:color w:val="FFFFFF"/>
                <w:sz w:val="16"/>
                <w:szCs w:val="16"/>
              </w:rPr>
              <w:t>2.360.943.394</w:t>
            </w:r>
          </w:p>
        </w:tc>
        <w:tc>
          <w:tcPr>
            <w:tcW w:w="452" w:type="pct"/>
            <w:tcBorders>
              <w:top w:val="nil"/>
              <w:left w:val="nil"/>
              <w:bottom w:val="nil"/>
              <w:right w:val="nil"/>
            </w:tcBorders>
            <w:shd w:val="clear" w:color="auto" w:fill="005CA9"/>
            <w:noWrap/>
            <w:vAlign w:val="center"/>
            <w:hideMark/>
          </w:tcPr>
          <w:p w14:paraId="4918FD47" w14:textId="77777777" w:rsidR="00B91818" w:rsidRPr="00686AF4" w:rsidRDefault="00B91818" w:rsidP="00B91818">
            <w:pPr>
              <w:jc w:val="right"/>
              <w:rPr>
                <w:rFonts w:ascii="CAIXA Std Book" w:eastAsia="Times New Roman" w:hAnsi="CAIXA Std Book" w:cs="Times New Roman"/>
                <w:b/>
                <w:color w:val="FFFFFF"/>
                <w:sz w:val="16"/>
                <w:szCs w:val="16"/>
              </w:rPr>
            </w:pPr>
            <w:r w:rsidRPr="00686AF4">
              <w:rPr>
                <w:rFonts w:ascii="CAIXA Std Book" w:eastAsia="Times New Roman" w:hAnsi="CAIXA Std Book" w:cs="Arial"/>
                <w:b/>
                <w:color w:val="FFFFFF"/>
                <w:sz w:val="16"/>
                <w:szCs w:val="16"/>
              </w:rPr>
              <w:t>564.611.718</w:t>
            </w:r>
          </w:p>
        </w:tc>
        <w:tc>
          <w:tcPr>
            <w:tcW w:w="452" w:type="pct"/>
            <w:tcBorders>
              <w:top w:val="nil"/>
              <w:left w:val="nil"/>
              <w:bottom w:val="nil"/>
              <w:right w:val="nil"/>
            </w:tcBorders>
            <w:shd w:val="clear" w:color="auto" w:fill="005CA9"/>
            <w:noWrap/>
            <w:vAlign w:val="center"/>
            <w:hideMark/>
          </w:tcPr>
          <w:p w14:paraId="5EB97923" w14:textId="77777777" w:rsidR="00B91818" w:rsidRPr="00686AF4" w:rsidRDefault="00B91818" w:rsidP="00B91818">
            <w:pPr>
              <w:jc w:val="right"/>
              <w:rPr>
                <w:rFonts w:ascii="CAIXA Std Book" w:eastAsia="Times New Roman" w:hAnsi="CAIXA Std Book" w:cs="Times New Roman"/>
                <w:b/>
                <w:color w:val="FFFFFF"/>
                <w:sz w:val="16"/>
                <w:szCs w:val="16"/>
              </w:rPr>
            </w:pPr>
            <w:r w:rsidRPr="00686AF4">
              <w:rPr>
                <w:rFonts w:ascii="CAIXA Std Book" w:eastAsia="Times New Roman" w:hAnsi="CAIXA Std Book" w:cs="Arial"/>
                <w:b/>
                <w:color w:val="FFFFFF"/>
                <w:sz w:val="16"/>
                <w:szCs w:val="16"/>
              </w:rPr>
              <w:t>1.658.945.377</w:t>
            </w:r>
          </w:p>
        </w:tc>
        <w:tc>
          <w:tcPr>
            <w:tcW w:w="453" w:type="pct"/>
            <w:tcBorders>
              <w:top w:val="nil"/>
              <w:left w:val="nil"/>
              <w:bottom w:val="nil"/>
              <w:right w:val="nil"/>
            </w:tcBorders>
            <w:shd w:val="clear" w:color="auto" w:fill="005CA9"/>
            <w:noWrap/>
            <w:vAlign w:val="center"/>
            <w:hideMark/>
          </w:tcPr>
          <w:p w14:paraId="0C692695" w14:textId="77777777" w:rsidR="00B91818" w:rsidRPr="00686AF4" w:rsidRDefault="00B91818" w:rsidP="00B91818">
            <w:pPr>
              <w:jc w:val="right"/>
              <w:rPr>
                <w:rFonts w:ascii="CAIXA Std Book" w:eastAsia="Times New Roman" w:hAnsi="CAIXA Std Book" w:cs="Times New Roman"/>
                <w:b/>
                <w:color w:val="FFFFFF"/>
                <w:sz w:val="16"/>
                <w:szCs w:val="16"/>
              </w:rPr>
            </w:pPr>
            <w:r w:rsidRPr="00686AF4">
              <w:rPr>
                <w:rFonts w:ascii="CAIXA Std Book" w:eastAsia="Times New Roman" w:hAnsi="CAIXA Std Book" w:cs="Arial"/>
                <w:b/>
                <w:color w:val="FFFFFF"/>
                <w:sz w:val="16"/>
                <w:szCs w:val="16"/>
              </w:rPr>
              <w:t>2.223.557.095</w:t>
            </w:r>
          </w:p>
        </w:tc>
      </w:tr>
    </w:tbl>
    <w:p w14:paraId="7BA49FDE" w14:textId="77777777" w:rsidR="00BC0002" w:rsidRDefault="00BC0002"/>
    <w:tbl>
      <w:tblPr>
        <w:tblW w:w="5000" w:type="pct"/>
        <w:tblCellMar>
          <w:left w:w="70" w:type="dxa"/>
          <w:right w:w="70" w:type="dxa"/>
        </w:tblCellMar>
        <w:tblLook w:val="04A0" w:firstRow="1" w:lastRow="0" w:firstColumn="1" w:lastColumn="0" w:noHBand="0" w:noVBand="1"/>
      </w:tblPr>
      <w:tblGrid>
        <w:gridCol w:w="6573"/>
        <w:gridCol w:w="1332"/>
        <w:gridCol w:w="1332"/>
        <w:gridCol w:w="1335"/>
        <w:gridCol w:w="1332"/>
        <w:gridCol w:w="1332"/>
        <w:gridCol w:w="1335"/>
      </w:tblGrid>
      <w:tr w:rsidR="00ED0331" w:rsidRPr="006F7A41" w14:paraId="4DDDABDF" w14:textId="77777777" w:rsidTr="001C56BD">
        <w:trPr>
          <w:trHeight w:val="283"/>
        </w:trPr>
        <w:tc>
          <w:tcPr>
            <w:tcW w:w="5000" w:type="pct"/>
            <w:gridSpan w:val="7"/>
            <w:tcBorders>
              <w:top w:val="nil"/>
              <w:left w:val="nil"/>
              <w:bottom w:val="single" w:sz="4" w:space="0" w:color="FFFFFF" w:themeColor="background1"/>
              <w:right w:val="nil"/>
            </w:tcBorders>
            <w:shd w:val="clear" w:color="auto" w:fill="005CA9"/>
            <w:vAlign w:val="center"/>
          </w:tcPr>
          <w:p w14:paraId="1DE3F93F" w14:textId="29A80ACC" w:rsidR="00ED0331" w:rsidRPr="0025170C" w:rsidRDefault="009A5A1B">
            <w:pPr>
              <w:jc w:val="center"/>
              <w:rPr>
                <w:rFonts w:ascii="CAIXA Std Book" w:eastAsia="Times New Roman" w:hAnsi="CAIXA Std Book" w:cs="Arial"/>
                <w:b/>
                <w:color w:val="FFFFFF"/>
                <w:sz w:val="16"/>
                <w:szCs w:val="16"/>
              </w:rPr>
            </w:pPr>
            <w:r>
              <w:rPr>
                <w:rFonts w:ascii="CAIXA Std Book" w:eastAsia="Times New Roman" w:hAnsi="CAIXA Std Book" w:cs="Arial"/>
                <w:b/>
                <w:color w:val="FFFFFF"/>
                <w:sz w:val="16"/>
                <w:szCs w:val="16"/>
              </w:rPr>
              <w:t>Consolidado</w:t>
            </w:r>
          </w:p>
        </w:tc>
      </w:tr>
      <w:tr w:rsidR="00AD12DB" w:rsidRPr="006F7A41" w14:paraId="217FCD5A" w14:textId="77777777" w:rsidTr="0054760F">
        <w:trPr>
          <w:trHeight w:val="283"/>
        </w:trPr>
        <w:tc>
          <w:tcPr>
            <w:tcW w:w="2256" w:type="pct"/>
            <w:vMerge w:val="restart"/>
            <w:tcBorders>
              <w:top w:val="single" w:sz="4" w:space="0" w:color="FFFFFF" w:themeColor="background1"/>
              <w:left w:val="nil"/>
              <w:bottom w:val="nil"/>
              <w:right w:val="nil"/>
            </w:tcBorders>
            <w:shd w:val="clear" w:color="auto" w:fill="005CA9"/>
            <w:vAlign w:val="center"/>
            <w:hideMark/>
          </w:tcPr>
          <w:p w14:paraId="15CB2DD6" w14:textId="77777777" w:rsidR="00AD12DB" w:rsidRPr="00E62DC7" w:rsidRDefault="00AD12DB">
            <w:pPr>
              <w:jc w:val="center"/>
              <w:rPr>
                <w:rFonts w:ascii="CAIXA Std Book" w:eastAsia="Times New Roman" w:hAnsi="CAIXA Std Book" w:cs="Arial"/>
                <w:b/>
                <w:bCs/>
                <w:color w:val="FFFFFF"/>
                <w:sz w:val="16"/>
                <w:szCs w:val="16"/>
              </w:rPr>
            </w:pPr>
            <w:r w:rsidRPr="006F7A41">
              <w:rPr>
                <w:rFonts w:ascii="CAIXA Std Book" w:hAnsi="CAIXA Std Book"/>
                <w:b/>
                <w:color w:val="005CA9"/>
                <w:sz w:val="16"/>
                <w:szCs w:val="16"/>
              </w:rPr>
              <w:br w:type="page"/>
            </w:r>
            <w:r w:rsidRPr="00E62DC7">
              <w:rPr>
                <w:rFonts w:ascii="CAIXA Std Book" w:eastAsia="Times New Roman" w:hAnsi="CAIXA Std Book" w:cs="Arial"/>
                <w:b/>
                <w:bCs/>
                <w:color w:val="FFFFFF"/>
                <w:sz w:val="16"/>
                <w:szCs w:val="16"/>
              </w:rPr>
              <w:t>Passivo e patrimônio líquido</w:t>
            </w:r>
          </w:p>
        </w:tc>
        <w:tc>
          <w:tcPr>
            <w:tcW w:w="1372" w:type="pct"/>
            <w:gridSpan w:val="3"/>
            <w:tcBorders>
              <w:top w:val="single" w:sz="4" w:space="0" w:color="FFFFFF" w:themeColor="background1"/>
              <w:left w:val="nil"/>
              <w:bottom w:val="single" w:sz="4" w:space="0" w:color="FFFFFF" w:themeColor="background1"/>
              <w:right w:val="nil"/>
            </w:tcBorders>
            <w:shd w:val="clear" w:color="auto" w:fill="005CA9"/>
            <w:noWrap/>
            <w:vAlign w:val="center"/>
            <w:hideMark/>
          </w:tcPr>
          <w:p w14:paraId="2EAA2A35" w14:textId="7AB3591D" w:rsidR="00AD12DB" w:rsidRPr="006F7A41" w:rsidRDefault="009A5A1B" w:rsidP="0054760F">
            <w:pPr>
              <w:jc w:val="center"/>
              <w:rPr>
                <w:rFonts w:ascii="CAIXA Std Book" w:eastAsia="Times New Roman" w:hAnsi="CAIXA Std Book" w:cs="Arial"/>
                <w:b/>
                <w:color w:val="F2F2F2"/>
                <w:sz w:val="16"/>
                <w:szCs w:val="16"/>
              </w:rPr>
            </w:pPr>
            <w:r>
              <w:rPr>
                <w:rFonts w:ascii="CAIXA Std Book" w:eastAsia="Times New Roman" w:hAnsi="CAIXA Std Book" w:cs="Arial"/>
                <w:b/>
                <w:color w:val="FFFFFF"/>
                <w:sz w:val="16"/>
                <w:szCs w:val="16"/>
              </w:rPr>
              <w:t>31/03/2026</w:t>
            </w:r>
          </w:p>
        </w:tc>
        <w:tc>
          <w:tcPr>
            <w:tcW w:w="1372" w:type="pct"/>
            <w:gridSpan w:val="3"/>
            <w:tcBorders>
              <w:top w:val="single" w:sz="4" w:space="0" w:color="FFFFFF" w:themeColor="background1"/>
              <w:left w:val="nil"/>
              <w:bottom w:val="single" w:sz="4" w:space="0" w:color="FFFFFF" w:themeColor="background1"/>
              <w:right w:val="nil"/>
            </w:tcBorders>
            <w:shd w:val="clear" w:color="auto" w:fill="005CA9"/>
            <w:noWrap/>
            <w:vAlign w:val="center"/>
            <w:hideMark/>
          </w:tcPr>
          <w:p w14:paraId="51220753" w14:textId="09ADF983" w:rsidR="00AD12DB" w:rsidRPr="006F7A41" w:rsidRDefault="009A5A1B" w:rsidP="0054760F">
            <w:pPr>
              <w:jc w:val="center"/>
              <w:rPr>
                <w:rFonts w:ascii="CAIXA Std Book" w:eastAsia="Times New Roman" w:hAnsi="CAIXA Std Book" w:cs="Arial"/>
                <w:b/>
                <w:color w:val="F2F2F2"/>
                <w:sz w:val="16"/>
                <w:szCs w:val="16"/>
              </w:rPr>
            </w:pPr>
            <w:r>
              <w:rPr>
                <w:rFonts w:ascii="CAIXA Std Book" w:eastAsia="Times New Roman" w:hAnsi="CAIXA Std Book" w:cs="Arial"/>
                <w:b/>
                <w:color w:val="FFFFFF"/>
                <w:sz w:val="16"/>
                <w:szCs w:val="16"/>
              </w:rPr>
              <w:t>31/12/2025</w:t>
            </w:r>
          </w:p>
        </w:tc>
      </w:tr>
      <w:tr w:rsidR="00AD12DB" w:rsidRPr="006F7A41" w14:paraId="4B355DC6" w14:textId="77777777" w:rsidTr="001E6A64">
        <w:trPr>
          <w:trHeight w:val="283"/>
        </w:trPr>
        <w:tc>
          <w:tcPr>
            <w:tcW w:w="2256" w:type="pct"/>
            <w:vMerge/>
            <w:tcBorders>
              <w:top w:val="single" w:sz="4" w:space="0" w:color="FFFFFF" w:themeColor="background1"/>
              <w:left w:val="nil"/>
              <w:bottom w:val="nil"/>
              <w:right w:val="nil"/>
            </w:tcBorders>
            <w:shd w:val="clear" w:color="auto" w:fill="005CA9"/>
            <w:vAlign w:val="center"/>
            <w:hideMark/>
          </w:tcPr>
          <w:p w14:paraId="3EF5B323" w14:textId="77777777" w:rsidR="00AD12DB" w:rsidRPr="00E62DC7" w:rsidRDefault="00AD12DB">
            <w:pPr>
              <w:rPr>
                <w:rFonts w:ascii="CAIXA Std Book" w:eastAsia="Times New Roman" w:hAnsi="CAIXA Std Book" w:cs="Arial"/>
                <w:b/>
                <w:bCs/>
                <w:color w:val="FFFFFF"/>
                <w:sz w:val="16"/>
                <w:szCs w:val="16"/>
              </w:rPr>
            </w:pPr>
          </w:p>
        </w:tc>
        <w:tc>
          <w:tcPr>
            <w:tcW w:w="457" w:type="pct"/>
            <w:tcBorders>
              <w:top w:val="single" w:sz="4" w:space="0" w:color="FFFFFF" w:themeColor="background1"/>
              <w:left w:val="nil"/>
              <w:bottom w:val="nil"/>
              <w:right w:val="nil"/>
            </w:tcBorders>
            <w:shd w:val="clear" w:color="auto" w:fill="005CA9"/>
            <w:vAlign w:val="center"/>
            <w:hideMark/>
          </w:tcPr>
          <w:p w14:paraId="72E61D74" w14:textId="77777777" w:rsidR="00AD12DB" w:rsidRPr="00E62DC7" w:rsidRDefault="00AD12DB">
            <w:pPr>
              <w:jc w:val="center"/>
              <w:rPr>
                <w:rFonts w:ascii="CAIXA Std Book" w:eastAsia="Times New Roman" w:hAnsi="CAIXA Std Book" w:cs="Arial"/>
                <w:b/>
                <w:bCs/>
                <w:color w:val="FFFFFF"/>
                <w:sz w:val="16"/>
                <w:szCs w:val="16"/>
              </w:rPr>
            </w:pPr>
            <w:r w:rsidRPr="00E62DC7">
              <w:rPr>
                <w:rFonts w:ascii="CAIXA Std Book" w:eastAsia="Times New Roman" w:hAnsi="CAIXA Std Book" w:cs="Arial"/>
                <w:b/>
                <w:bCs/>
                <w:color w:val="FFFFFF"/>
                <w:sz w:val="16"/>
                <w:szCs w:val="16"/>
              </w:rPr>
              <w:t>Até 360 dias</w:t>
            </w:r>
          </w:p>
        </w:tc>
        <w:tc>
          <w:tcPr>
            <w:tcW w:w="457" w:type="pct"/>
            <w:tcBorders>
              <w:top w:val="single" w:sz="4" w:space="0" w:color="FFFFFF" w:themeColor="background1"/>
              <w:left w:val="nil"/>
              <w:bottom w:val="nil"/>
              <w:right w:val="nil"/>
            </w:tcBorders>
            <w:shd w:val="clear" w:color="auto" w:fill="005CA9"/>
            <w:vAlign w:val="center"/>
            <w:hideMark/>
          </w:tcPr>
          <w:p w14:paraId="0104DFE2" w14:textId="77777777" w:rsidR="00AD12DB" w:rsidRDefault="00AD12DB">
            <w:pPr>
              <w:jc w:val="center"/>
              <w:rPr>
                <w:rFonts w:ascii="CAIXA Std Book" w:eastAsia="Times New Roman" w:hAnsi="CAIXA Std Book" w:cs="Arial"/>
                <w:b/>
                <w:bCs/>
                <w:color w:val="FFFFFF"/>
                <w:sz w:val="16"/>
                <w:szCs w:val="16"/>
              </w:rPr>
            </w:pPr>
            <w:r w:rsidRPr="00E62DC7">
              <w:rPr>
                <w:rFonts w:ascii="CAIXA Std Book" w:eastAsia="Times New Roman" w:hAnsi="CAIXA Std Book" w:cs="Arial"/>
                <w:b/>
                <w:bCs/>
                <w:color w:val="FFFFFF"/>
                <w:sz w:val="16"/>
                <w:szCs w:val="16"/>
              </w:rPr>
              <w:t>Acima de</w:t>
            </w:r>
          </w:p>
          <w:p w14:paraId="330D9494" w14:textId="77777777" w:rsidR="00AD12DB" w:rsidRPr="00E62DC7" w:rsidRDefault="00AD12DB">
            <w:pPr>
              <w:jc w:val="center"/>
              <w:rPr>
                <w:rFonts w:ascii="CAIXA Std Book" w:eastAsia="Times New Roman" w:hAnsi="CAIXA Std Book" w:cs="Arial"/>
                <w:b/>
                <w:bCs/>
                <w:color w:val="FFFFFF"/>
                <w:sz w:val="16"/>
                <w:szCs w:val="16"/>
              </w:rPr>
            </w:pPr>
            <w:r w:rsidRPr="00E62DC7">
              <w:rPr>
                <w:rFonts w:ascii="CAIXA Std Book" w:eastAsia="Times New Roman" w:hAnsi="CAIXA Std Book" w:cs="Arial"/>
                <w:b/>
                <w:bCs/>
                <w:color w:val="FFFFFF"/>
                <w:sz w:val="16"/>
                <w:szCs w:val="16"/>
              </w:rPr>
              <w:t>360 dias</w:t>
            </w:r>
          </w:p>
        </w:tc>
        <w:tc>
          <w:tcPr>
            <w:tcW w:w="457" w:type="pct"/>
            <w:tcBorders>
              <w:top w:val="single" w:sz="4" w:space="0" w:color="FFFFFF" w:themeColor="background1"/>
              <w:left w:val="nil"/>
              <w:bottom w:val="nil"/>
              <w:right w:val="nil"/>
            </w:tcBorders>
            <w:shd w:val="clear" w:color="auto" w:fill="005CA9"/>
            <w:vAlign w:val="center"/>
            <w:hideMark/>
          </w:tcPr>
          <w:p w14:paraId="2B09C371" w14:textId="77777777" w:rsidR="00AD12DB" w:rsidRPr="00E62DC7" w:rsidRDefault="00AD12DB">
            <w:pPr>
              <w:jc w:val="center"/>
              <w:rPr>
                <w:rFonts w:ascii="CAIXA Std Book" w:eastAsia="Times New Roman" w:hAnsi="CAIXA Std Book" w:cs="Arial"/>
                <w:b/>
                <w:bCs/>
                <w:color w:val="FFFFFF"/>
                <w:sz w:val="16"/>
                <w:szCs w:val="16"/>
              </w:rPr>
            </w:pPr>
            <w:r w:rsidRPr="00E62DC7">
              <w:rPr>
                <w:rFonts w:ascii="CAIXA Std Book" w:eastAsia="Times New Roman" w:hAnsi="CAIXA Std Book" w:cs="Arial"/>
                <w:b/>
                <w:bCs/>
                <w:color w:val="FFFFFF"/>
                <w:sz w:val="16"/>
                <w:szCs w:val="16"/>
              </w:rPr>
              <w:t>Total</w:t>
            </w:r>
          </w:p>
        </w:tc>
        <w:tc>
          <w:tcPr>
            <w:tcW w:w="457" w:type="pct"/>
            <w:tcBorders>
              <w:top w:val="single" w:sz="4" w:space="0" w:color="FFFFFF" w:themeColor="background1"/>
              <w:left w:val="nil"/>
              <w:bottom w:val="nil"/>
              <w:right w:val="nil"/>
            </w:tcBorders>
            <w:shd w:val="clear" w:color="auto" w:fill="005CA9"/>
            <w:vAlign w:val="center"/>
            <w:hideMark/>
          </w:tcPr>
          <w:p w14:paraId="309B8494" w14:textId="77777777" w:rsidR="00AD12DB" w:rsidRPr="00E62DC7" w:rsidRDefault="00AD12DB">
            <w:pPr>
              <w:jc w:val="center"/>
              <w:rPr>
                <w:rFonts w:ascii="CAIXA Std Book" w:eastAsia="Times New Roman" w:hAnsi="CAIXA Std Book" w:cs="Arial"/>
                <w:b/>
                <w:bCs/>
                <w:color w:val="FFFFFF"/>
                <w:sz w:val="16"/>
                <w:szCs w:val="16"/>
              </w:rPr>
            </w:pPr>
            <w:r w:rsidRPr="00E62DC7">
              <w:rPr>
                <w:rFonts w:ascii="CAIXA Std Book" w:eastAsia="Times New Roman" w:hAnsi="CAIXA Std Book" w:cs="Arial"/>
                <w:b/>
                <w:bCs/>
                <w:color w:val="FFFFFF"/>
                <w:sz w:val="16"/>
                <w:szCs w:val="16"/>
              </w:rPr>
              <w:t>Até 360 dias</w:t>
            </w:r>
          </w:p>
        </w:tc>
        <w:tc>
          <w:tcPr>
            <w:tcW w:w="457" w:type="pct"/>
            <w:tcBorders>
              <w:top w:val="single" w:sz="4" w:space="0" w:color="FFFFFF" w:themeColor="background1"/>
              <w:left w:val="nil"/>
              <w:bottom w:val="nil"/>
              <w:right w:val="nil"/>
            </w:tcBorders>
            <w:shd w:val="clear" w:color="auto" w:fill="005CA9"/>
            <w:vAlign w:val="center"/>
            <w:hideMark/>
          </w:tcPr>
          <w:p w14:paraId="5939FEA3" w14:textId="77777777" w:rsidR="00AD12DB" w:rsidRDefault="00AD12DB">
            <w:pPr>
              <w:jc w:val="center"/>
              <w:rPr>
                <w:rFonts w:ascii="CAIXA Std Book" w:eastAsia="Times New Roman" w:hAnsi="CAIXA Std Book" w:cs="Arial"/>
                <w:b/>
                <w:bCs/>
                <w:color w:val="FFFFFF"/>
                <w:sz w:val="16"/>
                <w:szCs w:val="16"/>
              </w:rPr>
            </w:pPr>
            <w:r w:rsidRPr="00E62DC7">
              <w:rPr>
                <w:rFonts w:ascii="CAIXA Std Book" w:eastAsia="Times New Roman" w:hAnsi="CAIXA Std Book" w:cs="Arial"/>
                <w:b/>
                <w:bCs/>
                <w:color w:val="FFFFFF"/>
                <w:sz w:val="16"/>
                <w:szCs w:val="16"/>
              </w:rPr>
              <w:t>Acima de</w:t>
            </w:r>
          </w:p>
          <w:p w14:paraId="20EAA5BF" w14:textId="77777777" w:rsidR="00AD12DB" w:rsidRPr="00E62DC7" w:rsidRDefault="00AD12DB">
            <w:pPr>
              <w:jc w:val="center"/>
              <w:rPr>
                <w:rFonts w:ascii="CAIXA Std Book" w:eastAsia="Times New Roman" w:hAnsi="CAIXA Std Book" w:cs="Arial"/>
                <w:b/>
                <w:bCs/>
                <w:color w:val="FFFFFF"/>
                <w:sz w:val="16"/>
                <w:szCs w:val="16"/>
              </w:rPr>
            </w:pPr>
            <w:r w:rsidRPr="00E62DC7">
              <w:rPr>
                <w:rFonts w:ascii="CAIXA Std Book" w:eastAsia="Times New Roman" w:hAnsi="CAIXA Std Book" w:cs="Arial"/>
                <w:b/>
                <w:bCs/>
                <w:color w:val="FFFFFF"/>
                <w:sz w:val="16"/>
                <w:szCs w:val="16"/>
              </w:rPr>
              <w:t>360 dias</w:t>
            </w:r>
          </w:p>
        </w:tc>
        <w:tc>
          <w:tcPr>
            <w:tcW w:w="457" w:type="pct"/>
            <w:tcBorders>
              <w:top w:val="single" w:sz="4" w:space="0" w:color="FFFFFF" w:themeColor="background1"/>
              <w:left w:val="nil"/>
              <w:bottom w:val="nil"/>
              <w:right w:val="nil"/>
            </w:tcBorders>
            <w:shd w:val="clear" w:color="auto" w:fill="005CA9"/>
            <w:vAlign w:val="center"/>
            <w:hideMark/>
          </w:tcPr>
          <w:p w14:paraId="64E5492E" w14:textId="77777777" w:rsidR="00AD12DB" w:rsidRPr="00E62DC7" w:rsidRDefault="00AD12DB">
            <w:pPr>
              <w:jc w:val="center"/>
              <w:rPr>
                <w:rFonts w:ascii="CAIXA Std Book" w:eastAsia="Times New Roman" w:hAnsi="CAIXA Std Book" w:cs="Arial"/>
                <w:b/>
                <w:bCs/>
                <w:color w:val="FFFFFF"/>
                <w:sz w:val="16"/>
                <w:szCs w:val="16"/>
              </w:rPr>
            </w:pPr>
            <w:r w:rsidRPr="00E62DC7">
              <w:rPr>
                <w:rFonts w:ascii="CAIXA Std Book" w:eastAsia="Times New Roman" w:hAnsi="CAIXA Std Book" w:cs="Arial"/>
                <w:b/>
                <w:bCs/>
                <w:color w:val="FFFFFF"/>
                <w:sz w:val="16"/>
                <w:szCs w:val="16"/>
              </w:rPr>
              <w:t>Total</w:t>
            </w:r>
          </w:p>
        </w:tc>
      </w:tr>
      <w:tr w:rsidR="00AD12DB" w:rsidRPr="006F7A41" w14:paraId="09906558" w14:textId="77777777" w:rsidTr="001E6A64">
        <w:trPr>
          <w:trHeight w:val="283"/>
        </w:trPr>
        <w:tc>
          <w:tcPr>
            <w:tcW w:w="2256" w:type="pct"/>
            <w:tcBorders>
              <w:top w:val="nil"/>
              <w:left w:val="nil"/>
              <w:bottom w:val="nil"/>
              <w:right w:val="nil"/>
            </w:tcBorders>
            <w:shd w:val="clear" w:color="auto" w:fill="D0E0E3"/>
            <w:noWrap/>
            <w:vAlign w:val="center"/>
            <w:hideMark/>
          </w:tcPr>
          <w:p w14:paraId="595B5CA1" w14:textId="77777777" w:rsidR="00AD12DB" w:rsidRPr="00E62DC7" w:rsidRDefault="00AD12DB">
            <w:pPr>
              <w:rPr>
                <w:rFonts w:ascii="CAIXA Std Book" w:eastAsia="Times New Roman" w:hAnsi="CAIXA Std Book" w:cs="Arial"/>
                <w:b/>
                <w:bCs/>
                <w:color w:val="005CA9"/>
                <w:sz w:val="16"/>
                <w:szCs w:val="16"/>
              </w:rPr>
            </w:pPr>
            <w:r w:rsidRPr="00E62DC7">
              <w:rPr>
                <w:rFonts w:ascii="CAIXA Std Book" w:eastAsia="Times New Roman" w:hAnsi="CAIXA Std Book" w:cs="Arial"/>
                <w:b/>
                <w:bCs/>
                <w:color w:val="005CA9"/>
                <w:sz w:val="16"/>
                <w:szCs w:val="16"/>
              </w:rPr>
              <w:t>Passivos financeiros ao valor justo por meio do resultado</w:t>
            </w:r>
          </w:p>
        </w:tc>
        <w:tc>
          <w:tcPr>
            <w:tcW w:w="457" w:type="pct"/>
            <w:tcBorders>
              <w:top w:val="nil"/>
              <w:left w:val="nil"/>
              <w:bottom w:val="nil"/>
              <w:right w:val="nil"/>
            </w:tcBorders>
            <w:shd w:val="clear" w:color="auto" w:fill="D0E0E3"/>
            <w:noWrap/>
            <w:vAlign w:val="center"/>
          </w:tcPr>
          <w:p w14:paraId="20FD7551" w14:textId="6B0C6F41" w:rsidR="00AD12DB" w:rsidRPr="001829BE" w:rsidRDefault="00926C66">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654.092</w:t>
            </w:r>
          </w:p>
        </w:tc>
        <w:tc>
          <w:tcPr>
            <w:tcW w:w="457" w:type="pct"/>
            <w:tcBorders>
              <w:top w:val="nil"/>
              <w:left w:val="nil"/>
              <w:bottom w:val="nil"/>
              <w:right w:val="nil"/>
            </w:tcBorders>
            <w:shd w:val="clear" w:color="auto" w:fill="D0E0E3"/>
            <w:noWrap/>
            <w:vAlign w:val="center"/>
          </w:tcPr>
          <w:p w14:paraId="368A5C53" w14:textId="5C5B88E1" w:rsidR="00AD12DB" w:rsidRPr="001829BE" w:rsidRDefault="00926C66">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698.453</w:t>
            </w:r>
          </w:p>
        </w:tc>
        <w:tc>
          <w:tcPr>
            <w:tcW w:w="457" w:type="pct"/>
            <w:tcBorders>
              <w:top w:val="nil"/>
              <w:left w:val="nil"/>
              <w:bottom w:val="nil"/>
              <w:right w:val="nil"/>
            </w:tcBorders>
            <w:shd w:val="clear" w:color="auto" w:fill="D0E0E3"/>
            <w:noWrap/>
            <w:vAlign w:val="center"/>
          </w:tcPr>
          <w:p w14:paraId="7504A2F5" w14:textId="785FE051" w:rsidR="00AD12DB" w:rsidRPr="001829BE" w:rsidRDefault="00926C66">
            <w:pPr>
              <w:jc w:val="right"/>
              <w:rPr>
                <w:rFonts w:ascii="CAIXA Std Book" w:eastAsia="Times New Roman" w:hAnsi="CAIXA Std Book" w:cs="Arial"/>
                <w:b/>
                <w:bCs/>
                <w:color w:val="005CA9"/>
                <w:sz w:val="16"/>
                <w:szCs w:val="16"/>
              </w:rPr>
            </w:pPr>
            <w:r>
              <w:rPr>
                <w:rFonts w:ascii="CAIXA Std Book" w:hAnsi="CAIXA Std Book" w:cs="Arial"/>
                <w:b/>
                <w:bCs/>
                <w:color w:val="005CA9"/>
                <w:sz w:val="16"/>
                <w:szCs w:val="16"/>
              </w:rPr>
              <w:t>1.352.545</w:t>
            </w:r>
          </w:p>
        </w:tc>
        <w:tc>
          <w:tcPr>
            <w:tcW w:w="457" w:type="pct"/>
            <w:tcBorders>
              <w:top w:val="nil"/>
              <w:left w:val="nil"/>
              <w:bottom w:val="nil"/>
              <w:right w:val="nil"/>
            </w:tcBorders>
            <w:shd w:val="clear" w:color="auto" w:fill="D0E0E3"/>
            <w:noWrap/>
            <w:vAlign w:val="center"/>
          </w:tcPr>
          <w:p w14:paraId="4DEC83CB" w14:textId="77777777" w:rsidR="00AD12DB" w:rsidRPr="00E62DC7" w:rsidRDefault="00AD12DB">
            <w:pPr>
              <w:jc w:val="right"/>
              <w:rPr>
                <w:rFonts w:ascii="CAIXA Std Book" w:eastAsia="Times New Roman" w:hAnsi="CAIXA Std Book" w:cs="Arial"/>
                <w:b/>
                <w:bCs/>
                <w:color w:val="005CA9"/>
                <w:sz w:val="16"/>
                <w:szCs w:val="16"/>
              </w:rPr>
            </w:pPr>
            <w:r>
              <w:rPr>
                <w:rFonts w:ascii="CAIXA Std Book" w:hAnsi="CAIXA Std Book" w:cs="Calibri"/>
                <w:b/>
                <w:color w:val="005CA9"/>
                <w:sz w:val="16"/>
                <w:szCs w:val="16"/>
              </w:rPr>
              <w:t>21.350</w:t>
            </w:r>
          </w:p>
        </w:tc>
        <w:tc>
          <w:tcPr>
            <w:tcW w:w="457" w:type="pct"/>
            <w:tcBorders>
              <w:top w:val="nil"/>
              <w:left w:val="nil"/>
              <w:bottom w:val="nil"/>
              <w:right w:val="nil"/>
            </w:tcBorders>
            <w:shd w:val="clear" w:color="auto" w:fill="D0E0E3"/>
            <w:noWrap/>
            <w:vAlign w:val="center"/>
          </w:tcPr>
          <w:p w14:paraId="0588E714" w14:textId="77777777" w:rsidR="00AD12DB" w:rsidRPr="00E62DC7" w:rsidRDefault="00AD12DB">
            <w:pPr>
              <w:jc w:val="right"/>
              <w:rPr>
                <w:rFonts w:ascii="CAIXA Std Book" w:eastAsia="Times New Roman" w:hAnsi="CAIXA Std Book" w:cs="Arial"/>
                <w:b/>
                <w:bCs/>
                <w:color w:val="005CA9"/>
                <w:sz w:val="16"/>
                <w:szCs w:val="16"/>
              </w:rPr>
            </w:pPr>
            <w:r>
              <w:rPr>
                <w:rFonts w:ascii="CAIXA Std Book" w:hAnsi="CAIXA Std Book" w:cs="Calibri"/>
                <w:b/>
                <w:color w:val="005CA9"/>
                <w:sz w:val="16"/>
                <w:szCs w:val="16"/>
              </w:rPr>
              <w:t>351.056</w:t>
            </w:r>
          </w:p>
        </w:tc>
        <w:tc>
          <w:tcPr>
            <w:tcW w:w="457" w:type="pct"/>
            <w:tcBorders>
              <w:top w:val="nil"/>
              <w:left w:val="nil"/>
              <w:bottom w:val="nil"/>
              <w:right w:val="nil"/>
            </w:tcBorders>
            <w:shd w:val="clear" w:color="auto" w:fill="D0E0E3"/>
            <w:noWrap/>
            <w:vAlign w:val="center"/>
          </w:tcPr>
          <w:p w14:paraId="7015A60E" w14:textId="77777777" w:rsidR="00AD12DB" w:rsidRPr="00E62DC7" w:rsidRDefault="00AD12DB">
            <w:pPr>
              <w:jc w:val="right"/>
              <w:rPr>
                <w:rFonts w:ascii="CAIXA Std Book" w:eastAsia="Times New Roman" w:hAnsi="CAIXA Std Book" w:cs="Arial"/>
                <w:b/>
                <w:bCs/>
                <w:color w:val="005CA9"/>
                <w:sz w:val="16"/>
                <w:szCs w:val="16"/>
              </w:rPr>
            </w:pPr>
            <w:r>
              <w:rPr>
                <w:rFonts w:ascii="CAIXA Std Book" w:hAnsi="CAIXA Std Book" w:cs="Calibri"/>
                <w:b/>
                <w:color w:val="005CA9"/>
                <w:sz w:val="16"/>
                <w:szCs w:val="16"/>
              </w:rPr>
              <w:t>372.406</w:t>
            </w:r>
          </w:p>
        </w:tc>
      </w:tr>
      <w:tr w:rsidR="00AD12DB" w:rsidRPr="006F7A41" w14:paraId="795C8024" w14:textId="77777777" w:rsidTr="001E6A64">
        <w:trPr>
          <w:trHeight w:val="283"/>
        </w:trPr>
        <w:tc>
          <w:tcPr>
            <w:tcW w:w="2256" w:type="pct"/>
            <w:tcBorders>
              <w:top w:val="nil"/>
              <w:left w:val="nil"/>
              <w:bottom w:val="nil"/>
              <w:right w:val="nil"/>
            </w:tcBorders>
            <w:vAlign w:val="center"/>
            <w:hideMark/>
          </w:tcPr>
          <w:p w14:paraId="038C96FF" w14:textId="77777777" w:rsidR="00AD12DB" w:rsidRPr="00E62DC7" w:rsidRDefault="00AD12DB">
            <w:pPr>
              <w:ind w:firstLineChars="100" w:firstLine="160"/>
              <w:rPr>
                <w:rFonts w:ascii="CAIXA Std Book" w:eastAsia="Times New Roman" w:hAnsi="CAIXA Std Book" w:cs="Arial"/>
                <w:color w:val="005CA9"/>
                <w:sz w:val="16"/>
                <w:szCs w:val="16"/>
              </w:rPr>
            </w:pPr>
            <w:r w:rsidRPr="00E62DC7">
              <w:rPr>
                <w:rFonts w:ascii="CAIXA Std Book" w:eastAsia="Times New Roman" w:hAnsi="CAIXA Std Book" w:cs="Arial"/>
                <w:color w:val="005CA9"/>
                <w:sz w:val="16"/>
                <w:szCs w:val="16"/>
              </w:rPr>
              <w:t>Instrumentos financeiros derivativos</w:t>
            </w:r>
          </w:p>
        </w:tc>
        <w:tc>
          <w:tcPr>
            <w:tcW w:w="457" w:type="pct"/>
            <w:tcBorders>
              <w:top w:val="nil"/>
              <w:left w:val="nil"/>
              <w:bottom w:val="nil"/>
              <w:right w:val="nil"/>
            </w:tcBorders>
            <w:noWrap/>
            <w:vAlign w:val="center"/>
          </w:tcPr>
          <w:p w14:paraId="438966B0" w14:textId="1861FD35" w:rsidR="00AD12DB" w:rsidRPr="00A614F2" w:rsidRDefault="00926C66">
            <w:pPr>
              <w:jc w:val="right"/>
              <w:rPr>
                <w:rFonts w:ascii="CAIXA Std Book" w:hAnsi="CAIXA Std Book" w:cs="Arial"/>
                <w:color w:val="005CA9"/>
                <w:sz w:val="16"/>
                <w:szCs w:val="16"/>
              </w:rPr>
            </w:pPr>
            <w:r>
              <w:rPr>
                <w:rFonts w:ascii="CAIXA Std Book" w:hAnsi="CAIXA Std Book" w:cs="Arial"/>
                <w:color w:val="005CA9"/>
                <w:sz w:val="16"/>
                <w:szCs w:val="16"/>
              </w:rPr>
              <w:t>654.092</w:t>
            </w:r>
          </w:p>
        </w:tc>
        <w:tc>
          <w:tcPr>
            <w:tcW w:w="457" w:type="pct"/>
            <w:tcBorders>
              <w:top w:val="nil"/>
              <w:left w:val="nil"/>
              <w:bottom w:val="nil"/>
              <w:right w:val="nil"/>
            </w:tcBorders>
            <w:noWrap/>
            <w:vAlign w:val="center"/>
          </w:tcPr>
          <w:p w14:paraId="093554AB" w14:textId="45650651" w:rsidR="00AD12DB" w:rsidRPr="00A614F2" w:rsidRDefault="00926C66">
            <w:pPr>
              <w:jc w:val="right"/>
              <w:rPr>
                <w:rFonts w:ascii="CAIXA Std Book" w:hAnsi="CAIXA Std Book" w:cs="Arial"/>
                <w:color w:val="005CA9"/>
                <w:sz w:val="16"/>
                <w:szCs w:val="16"/>
              </w:rPr>
            </w:pPr>
            <w:r>
              <w:rPr>
                <w:rFonts w:ascii="CAIXA Std Book" w:hAnsi="CAIXA Std Book" w:cs="Arial"/>
                <w:color w:val="005CA9"/>
                <w:sz w:val="16"/>
                <w:szCs w:val="16"/>
              </w:rPr>
              <w:t>698.453</w:t>
            </w:r>
          </w:p>
        </w:tc>
        <w:tc>
          <w:tcPr>
            <w:tcW w:w="457" w:type="pct"/>
            <w:tcBorders>
              <w:top w:val="nil"/>
              <w:left w:val="nil"/>
              <w:bottom w:val="nil"/>
              <w:right w:val="nil"/>
            </w:tcBorders>
            <w:noWrap/>
            <w:vAlign w:val="center"/>
          </w:tcPr>
          <w:p w14:paraId="5DFDD8B8" w14:textId="33ACA190" w:rsidR="00AD12DB" w:rsidRPr="00A614F2" w:rsidRDefault="00926C66">
            <w:pPr>
              <w:jc w:val="right"/>
              <w:rPr>
                <w:rFonts w:ascii="CAIXA Std Book" w:hAnsi="CAIXA Std Book" w:cs="Arial"/>
                <w:color w:val="005CA9"/>
                <w:sz w:val="16"/>
                <w:szCs w:val="16"/>
              </w:rPr>
            </w:pPr>
            <w:r>
              <w:rPr>
                <w:rFonts w:ascii="CAIXA Std Book" w:hAnsi="CAIXA Std Book" w:cs="Arial"/>
                <w:color w:val="005CA9"/>
                <w:sz w:val="16"/>
                <w:szCs w:val="16"/>
              </w:rPr>
              <w:t>1.352.545</w:t>
            </w:r>
          </w:p>
        </w:tc>
        <w:tc>
          <w:tcPr>
            <w:tcW w:w="457" w:type="pct"/>
            <w:tcBorders>
              <w:top w:val="nil"/>
              <w:left w:val="nil"/>
              <w:bottom w:val="nil"/>
              <w:right w:val="nil"/>
            </w:tcBorders>
            <w:noWrap/>
            <w:vAlign w:val="center"/>
          </w:tcPr>
          <w:p w14:paraId="6E6FF850" w14:textId="77777777" w:rsidR="00AD12DB" w:rsidRPr="00A614F2" w:rsidRDefault="00AD12DB">
            <w:pPr>
              <w:jc w:val="right"/>
              <w:rPr>
                <w:rFonts w:ascii="CAIXA Std Book" w:hAnsi="CAIXA Std Book" w:cs="Arial"/>
                <w:color w:val="005CA9"/>
                <w:sz w:val="16"/>
                <w:szCs w:val="16"/>
              </w:rPr>
            </w:pPr>
            <w:r>
              <w:rPr>
                <w:rFonts w:ascii="CAIXA Std Book" w:hAnsi="CAIXA Std Book" w:cs="Calibri"/>
                <w:color w:val="005CA9"/>
                <w:sz w:val="16"/>
                <w:szCs w:val="16"/>
              </w:rPr>
              <w:t>21.350</w:t>
            </w:r>
          </w:p>
        </w:tc>
        <w:tc>
          <w:tcPr>
            <w:tcW w:w="457" w:type="pct"/>
            <w:tcBorders>
              <w:top w:val="nil"/>
              <w:left w:val="nil"/>
              <w:bottom w:val="nil"/>
              <w:right w:val="nil"/>
            </w:tcBorders>
            <w:noWrap/>
            <w:vAlign w:val="center"/>
          </w:tcPr>
          <w:p w14:paraId="5895FD5D" w14:textId="77777777" w:rsidR="00AD12DB" w:rsidRPr="00A614F2" w:rsidRDefault="00AD12DB">
            <w:pPr>
              <w:jc w:val="right"/>
              <w:rPr>
                <w:rFonts w:ascii="CAIXA Std Book" w:hAnsi="CAIXA Std Book" w:cs="Arial"/>
                <w:color w:val="005CA9"/>
                <w:sz w:val="16"/>
                <w:szCs w:val="16"/>
              </w:rPr>
            </w:pPr>
            <w:r>
              <w:rPr>
                <w:rFonts w:ascii="CAIXA Std Book" w:hAnsi="CAIXA Std Book" w:cs="Calibri"/>
                <w:color w:val="005CA9"/>
                <w:sz w:val="16"/>
                <w:szCs w:val="16"/>
              </w:rPr>
              <w:t>351.056</w:t>
            </w:r>
          </w:p>
        </w:tc>
        <w:tc>
          <w:tcPr>
            <w:tcW w:w="457" w:type="pct"/>
            <w:tcBorders>
              <w:top w:val="nil"/>
              <w:left w:val="nil"/>
              <w:bottom w:val="nil"/>
              <w:right w:val="nil"/>
            </w:tcBorders>
            <w:noWrap/>
            <w:vAlign w:val="center"/>
          </w:tcPr>
          <w:p w14:paraId="0D25ACA2" w14:textId="77777777" w:rsidR="00AD12DB" w:rsidRPr="00A614F2" w:rsidRDefault="00AD12DB">
            <w:pPr>
              <w:jc w:val="right"/>
              <w:rPr>
                <w:rFonts w:ascii="CAIXA Std Book" w:hAnsi="CAIXA Std Book" w:cs="Arial"/>
                <w:color w:val="005CA9"/>
                <w:sz w:val="16"/>
                <w:szCs w:val="16"/>
              </w:rPr>
            </w:pPr>
            <w:r>
              <w:rPr>
                <w:rFonts w:ascii="CAIXA Std Book" w:hAnsi="CAIXA Std Book" w:cs="Calibri"/>
                <w:color w:val="005CA9"/>
                <w:sz w:val="16"/>
                <w:szCs w:val="16"/>
              </w:rPr>
              <w:t>372.406</w:t>
            </w:r>
          </w:p>
        </w:tc>
      </w:tr>
      <w:tr w:rsidR="00AD12DB" w:rsidRPr="006F7A41" w14:paraId="4F40A9D4" w14:textId="77777777" w:rsidTr="001E6A64">
        <w:trPr>
          <w:trHeight w:val="283"/>
        </w:trPr>
        <w:tc>
          <w:tcPr>
            <w:tcW w:w="2256" w:type="pct"/>
            <w:tcBorders>
              <w:top w:val="nil"/>
              <w:left w:val="nil"/>
              <w:bottom w:val="nil"/>
              <w:right w:val="nil"/>
            </w:tcBorders>
            <w:shd w:val="clear" w:color="auto" w:fill="D0E0E3"/>
            <w:noWrap/>
            <w:vAlign w:val="center"/>
            <w:hideMark/>
          </w:tcPr>
          <w:p w14:paraId="6CACD53E" w14:textId="77777777" w:rsidR="00AD12DB" w:rsidRPr="00E62DC7" w:rsidRDefault="00AD12DB">
            <w:pPr>
              <w:rPr>
                <w:rFonts w:ascii="CAIXA Std Book" w:eastAsia="Times New Roman" w:hAnsi="CAIXA Std Book" w:cs="Arial"/>
                <w:b/>
                <w:bCs/>
                <w:color w:val="005CA9"/>
                <w:sz w:val="16"/>
                <w:szCs w:val="16"/>
              </w:rPr>
            </w:pPr>
            <w:r w:rsidRPr="008310B2">
              <w:rPr>
                <w:rFonts w:ascii="CAIXA Std Book" w:eastAsia="Times New Roman" w:hAnsi="CAIXA Std Book" w:cs="Arial"/>
                <w:b/>
                <w:color w:val="005CA9"/>
                <w:sz w:val="16"/>
                <w:szCs w:val="16"/>
              </w:rPr>
              <w:t>Passivos financeiros ao custo amortizado</w:t>
            </w:r>
          </w:p>
        </w:tc>
        <w:tc>
          <w:tcPr>
            <w:tcW w:w="457" w:type="pct"/>
            <w:tcBorders>
              <w:top w:val="nil"/>
              <w:left w:val="nil"/>
              <w:bottom w:val="nil"/>
              <w:right w:val="nil"/>
            </w:tcBorders>
            <w:shd w:val="clear" w:color="auto" w:fill="D0E0E3"/>
            <w:noWrap/>
            <w:vAlign w:val="center"/>
          </w:tcPr>
          <w:p w14:paraId="3D7DA894" w14:textId="7BCBBAF6" w:rsidR="00AD12DB" w:rsidRPr="008310B2" w:rsidRDefault="007F6DA1">
            <w:pPr>
              <w:jc w:val="right"/>
              <w:rPr>
                <w:rFonts w:ascii="CAIXA Std Book" w:hAnsi="CAIXA Std Book" w:cs="Arial"/>
                <w:b/>
                <w:color w:val="005CA9"/>
                <w:sz w:val="16"/>
                <w:szCs w:val="16"/>
              </w:rPr>
            </w:pPr>
            <w:r>
              <w:rPr>
                <w:rFonts w:ascii="CAIXA Std Book" w:hAnsi="CAIXA Std Book" w:cs="Arial"/>
                <w:b/>
                <w:bCs/>
                <w:color w:val="005CA9"/>
                <w:sz w:val="16"/>
                <w:szCs w:val="16"/>
              </w:rPr>
              <w:t>1.123.220.266</w:t>
            </w:r>
          </w:p>
        </w:tc>
        <w:tc>
          <w:tcPr>
            <w:tcW w:w="457" w:type="pct"/>
            <w:tcBorders>
              <w:top w:val="nil"/>
              <w:left w:val="nil"/>
              <w:bottom w:val="nil"/>
              <w:right w:val="nil"/>
            </w:tcBorders>
            <w:shd w:val="clear" w:color="auto" w:fill="D0E0E3"/>
            <w:noWrap/>
            <w:vAlign w:val="center"/>
          </w:tcPr>
          <w:p w14:paraId="18B915C0" w14:textId="444C6619" w:rsidR="00AD12DB" w:rsidRPr="008310B2" w:rsidRDefault="007F6DA1">
            <w:pPr>
              <w:jc w:val="right"/>
              <w:rPr>
                <w:rFonts w:ascii="CAIXA Std Book" w:hAnsi="CAIXA Std Book" w:cs="Arial"/>
                <w:b/>
                <w:color w:val="005CA9"/>
                <w:sz w:val="16"/>
                <w:szCs w:val="16"/>
              </w:rPr>
            </w:pPr>
            <w:r>
              <w:rPr>
                <w:rFonts w:ascii="CAIXA Std Book" w:hAnsi="CAIXA Std Book" w:cs="Arial"/>
                <w:b/>
                <w:bCs/>
                <w:color w:val="005CA9"/>
                <w:sz w:val="16"/>
                <w:szCs w:val="16"/>
              </w:rPr>
              <w:t>995.473.683</w:t>
            </w:r>
          </w:p>
        </w:tc>
        <w:tc>
          <w:tcPr>
            <w:tcW w:w="457" w:type="pct"/>
            <w:tcBorders>
              <w:top w:val="nil"/>
              <w:left w:val="nil"/>
              <w:bottom w:val="nil"/>
              <w:right w:val="nil"/>
            </w:tcBorders>
            <w:shd w:val="clear" w:color="auto" w:fill="D0E0E3"/>
            <w:noWrap/>
            <w:vAlign w:val="center"/>
          </w:tcPr>
          <w:p w14:paraId="0F843461" w14:textId="09DA88D9" w:rsidR="00AD12DB" w:rsidRPr="008310B2" w:rsidRDefault="007F6DA1">
            <w:pPr>
              <w:jc w:val="right"/>
              <w:rPr>
                <w:rFonts w:ascii="CAIXA Std Book" w:hAnsi="CAIXA Std Book" w:cs="Arial"/>
                <w:b/>
                <w:color w:val="005CA9"/>
                <w:sz w:val="16"/>
                <w:szCs w:val="16"/>
              </w:rPr>
            </w:pPr>
            <w:r>
              <w:rPr>
                <w:rFonts w:ascii="CAIXA Std Book" w:hAnsi="CAIXA Std Book" w:cs="Arial"/>
                <w:b/>
                <w:bCs/>
                <w:color w:val="005CA9"/>
                <w:sz w:val="16"/>
                <w:szCs w:val="16"/>
              </w:rPr>
              <w:t>2.118.693.949</w:t>
            </w:r>
          </w:p>
        </w:tc>
        <w:tc>
          <w:tcPr>
            <w:tcW w:w="457" w:type="pct"/>
            <w:tcBorders>
              <w:top w:val="nil"/>
              <w:left w:val="nil"/>
              <w:bottom w:val="nil"/>
              <w:right w:val="nil"/>
            </w:tcBorders>
            <w:shd w:val="clear" w:color="auto" w:fill="D0E0E3"/>
            <w:noWrap/>
            <w:vAlign w:val="center"/>
          </w:tcPr>
          <w:p w14:paraId="5DDA279B" w14:textId="77777777" w:rsidR="00AD12DB" w:rsidRPr="008310B2" w:rsidRDefault="00AD12DB">
            <w:pPr>
              <w:jc w:val="right"/>
              <w:rPr>
                <w:rFonts w:ascii="CAIXA Std Book" w:hAnsi="CAIXA Std Book" w:cs="Arial"/>
                <w:b/>
                <w:color w:val="005CA9"/>
                <w:sz w:val="16"/>
                <w:szCs w:val="16"/>
              </w:rPr>
            </w:pPr>
            <w:r>
              <w:rPr>
                <w:rFonts w:ascii="CAIXA Std Book" w:hAnsi="CAIXA Std Book" w:cs="Calibri"/>
                <w:b/>
                <w:color w:val="005CA9"/>
                <w:sz w:val="16"/>
                <w:szCs w:val="16"/>
              </w:rPr>
              <w:t>1.023.280.248</w:t>
            </w:r>
          </w:p>
        </w:tc>
        <w:tc>
          <w:tcPr>
            <w:tcW w:w="457" w:type="pct"/>
            <w:tcBorders>
              <w:top w:val="nil"/>
              <w:left w:val="nil"/>
              <w:bottom w:val="nil"/>
              <w:right w:val="nil"/>
            </w:tcBorders>
            <w:shd w:val="clear" w:color="auto" w:fill="D0E0E3"/>
            <w:noWrap/>
            <w:vAlign w:val="center"/>
          </w:tcPr>
          <w:p w14:paraId="152E5242" w14:textId="77777777" w:rsidR="00AD12DB" w:rsidRPr="008310B2" w:rsidRDefault="00AD12DB">
            <w:pPr>
              <w:jc w:val="right"/>
              <w:rPr>
                <w:rFonts w:ascii="CAIXA Std Book" w:hAnsi="CAIXA Std Book" w:cs="Arial"/>
                <w:b/>
                <w:color w:val="005CA9"/>
                <w:sz w:val="16"/>
                <w:szCs w:val="16"/>
              </w:rPr>
            </w:pPr>
            <w:r>
              <w:rPr>
                <w:rFonts w:ascii="CAIXA Std Book" w:hAnsi="CAIXA Std Book" w:cs="Calibri"/>
                <w:b/>
                <w:color w:val="005CA9"/>
                <w:sz w:val="16"/>
                <w:szCs w:val="16"/>
              </w:rPr>
              <w:t>962.509.170</w:t>
            </w:r>
          </w:p>
        </w:tc>
        <w:tc>
          <w:tcPr>
            <w:tcW w:w="457" w:type="pct"/>
            <w:tcBorders>
              <w:top w:val="nil"/>
              <w:left w:val="nil"/>
              <w:bottom w:val="nil"/>
              <w:right w:val="nil"/>
            </w:tcBorders>
            <w:shd w:val="clear" w:color="auto" w:fill="D0E0E3"/>
            <w:noWrap/>
            <w:vAlign w:val="center"/>
          </w:tcPr>
          <w:p w14:paraId="2D166580" w14:textId="77777777" w:rsidR="00AD12DB" w:rsidRPr="008310B2" w:rsidRDefault="00AD12DB">
            <w:pPr>
              <w:jc w:val="right"/>
              <w:rPr>
                <w:rFonts w:ascii="CAIXA Std Book" w:hAnsi="CAIXA Std Book" w:cs="Arial"/>
                <w:b/>
                <w:color w:val="005CA9"/>
                <w:sz w:val="16"/>
                <w:szCs w:val="16"/>
              </w:rPr>
            </w:pPr>
            <w:r>
              <w:rPr>
                <w:rFonts w:ascii="CAIXA Std Book" w:hAnsi="CAIXA Std Book" w:cs="Calibri"/>
                <w:b/>
                <w:color w:val="005CA9"/>
                <w:sz w:val="16"/>
                <w:szCs w:val="16"/>
              </w:rPr>
              <w:t>1.985.789.418</w:t>
            </w:r>
          </w:p>
        </w:tc>
      </w:tr>
      <w:tr w:rsidR="00AD12DB" w:rsidRPr="006F7A41" w14:paraId="39C7ADF3" w14:textId="77777777" w:rsidTr="001E6A64">
        <w:trPr>
          <w:trHeight w:val="283"/>
        </w:trPr>
        <w:tc>
          <w:tcPr>
            <w:tcW w:w="2256" w:type="pct"/>
            <w:tcBorders>
              <w:top w:val="nil"/>
              <w:left w:val="nil"/>
              <w:bottom w:val="nil"/>
              <w:right w:val="nil"/>
            </w:tcBorders>
            <w:noWrap/>
            <w:vAlign w:val="center"/>
            <w:hideMark/>
          </w:tcPr>
          <w:p w14:paraId="7EC00B0B" w14:textId="77777777" w:rsidR="00AD12DB" w:rsidRPr="00E62DC7" w:rsidRDefault="00AD12DB">
            <w:pPr>
              <w:ind w:firstLineChars="100" w:firstLine="160"/>
              <w:rPr>
                <w:rFonts w:ascii="CAIXA Std Book" w:eastAsia="Times New Roman" w:hAnsi="CAIXA Std Book" w:cs="Arial"/>
                <w:color w:val="005CA9"/>
                <w:sz w:val="16"/>
                <w:szCs w:val="16"/>
              </w:rPr>
            </w:pPr>
            <w:r w:rsidRPr="00E62DC7">
              <w:rPr>
                <w:rFonts w:ascii="CAIXA Std Book" w:eastAsia="Times New Roman" w:hAnsi="CAIXA Std Book" w:cs="Arial"/>
                <w:color w:val="005CA9"/>
                <w:sz w:val="16"/>
                <w:szCs w:val="16"/>
              </w:rPr>
              <w:t>Recursos de clientes</w:t>
            </w:r>
          </w:p>
        </w:tc>
        <w:tc>
          <w:tcPr>
            <w:tcW w:w="457" w:type="pct"/>
            <w:tcBorders>
              <w:top w:val="nil"/>
              <w:left w:val="nil"/>
              <w:bottom w:val="nil"/>
              <w:right w:val="nil"/>
            </w:tcBorders>
            <w:noWrap/>
            <w:vAlign w:val="center"/>
          </w:tcPr>
          <w:p w14:paraId="2874ADD1" w14:textId="431A807B" w:rsidR="00AD12DB" w:rsidRPr="00DA1DC7" w:rsidRDefault="00BC3CE8">
            <w:pPr>
              <w:jc w:val="right"/>
              <w:rPr>
                <w:rFonts w:ascii="CAIXA Std Book" w:hAnsi="CAIXA Std Book" w:cs="Arial"/>
                <w:color w:val="005CA9"/>
                <w:sz w:val="16"/>
                <w:szCs w:val="16"/>
              </w:rPr>
            </w:pPr>
            <w:r w:rsidRPr="00BC3CE8">
              <w:rPr>
                <w:rFonts w:ascii="CAIXA Std Book" w:hAnsi="CAIXA Std Book"/>
                <w:color w:val="005CA9"/>
                <w:sz w:val="16"/>
                <w:szCs w:val="16"/>
              </w:rPr>
              <w:t>703.384.097</w:t>
            </w:r>
          </w:p>
        </w:tc>
        <w:tc>
          <w:tcPr>
            <w:tcW w:w="457" w:type="pct"/>
            <w:tcBorders>
              <w:top w:val="nil"/>
              <w:left w:val="nil"/>
              <w:bottom w:val="nil"/>
              <w:right w:val="nil"/>
            </w:tcBorders>
            <w:noWrap/>
            <w:vAlign w:val="center"/>
          </w:tcPr>
          <w:p w14:paraId="1F3CF87B" w14:textId="3E970090" w:rsidR="00AD12DB" w:rsidRPr="00DA1DC7" w:rsidRDefault="00AA3771">
            <w:pPr>
              <w:jc w:val="right"/>
              <w:rPr>
                <w:rFonts w:ascii="CAIXA Std Book" w:hAnsi="CAIXA Std Book" w:cs="Arial"/>
                <w:color w:val="005CA9"/>
                <w:sz w:val="16"/>
                <w:szCs w:val="16"/>
              </w:rPr>
            </w:pPr>
            <w:r w:rsidRPr="00AA3771">
              <w:rPr>
                <w:rFonts w:ascii="CAIXA Std Book" w:hAnsi="CAIXA Std Book"/>
                <w:color w:val="005CA9"/>
                <w:sz w:val="16"/>
                <w:szCs w:val="16"/>
              </w:rPr>
              <w:t>151.321.647</w:t>
            </w:r>
          </w:p>
        </w:tc>
        <w:tc>
          <w:tcPr>
            <w:tcW w:w="457" w:type="pct"/>
            <w:tcBorders>
              <w:top w:val="nil"/>
              <w:left w:val="nil"/>
              <w:bottom w:val="nil"/>
              <w:right w:val="nil"/>
            </w:tcBorders>
            <w:noWrap/>
            <w:vAlign w:val="center"/>
          </w:tcPr>
          <w:p w14:paraId="01153A17" w14:textId="19E4D223" w:rsidR="00AD12DB" w:rsidRPr="00DA1DC7" w:rsidRDefault="00AA3771">
            <w:pPr>
              <w:jc w:val="right"/>
              <w:rPr>
                <w:rFonts w:ascii="CAIXA Std Book" w:hAnsi="CAIXA Std Book" w:cs="Arial"/>
                <w:color w:val="005CA9"/>
                <w:sz w:val="16"/>
                <w:szCs w:val="16"/>
              </w:rPr>
            </w:pPr>
            <w:r w:rsidRPr="00AA3771">
              <w:rPr>
                <w:rFonts w:ascii="CAIXA Std Book" w:hAnsi="CAIXA Std Book"/>
                <w:color w:val="005CA9"/>
                <w:sz w:val="16"/>
                <w:szCs w:val="16"/>
              </w:rPr>
              <w:t>854.705.744</w:t>
            </w:r>
          </w:p>
        </w:tc>
        <w:tc>
          <w:tcPr>
            <w:tcW w:w="457" w:type="pct"/>
            <w:tcBorders>
              <w:top w:val="nil"/>
              <w:left w:val="nil"/>
              <w:bottom w:val="nil"/>
              <w:right w:val="nil"/>
            </w:tcBorders>
            <w:noWrap/>
            <w:vAlign w:val="center"/>
          </w:tcPr>
          <w:p w14:paraId="266228B3" w14:textId="77777777" w:rsidR="00AD12DB" w:rsidRPr="00DA1DC7" w:rsidRDefault="00AD12DB">
            <w:pPr>
              <w:jc w:val="right"/>
              <w:rPr>
                <w:rFonts w:ascii="CAIXA Std Book" w:hAnsi="CAIXA Std Book" w:cs="Arial"/>
                <w:color w:val="005CA9"/>
                <w:sz w:val="16"/>
                <w:szCs w:val="16"/>
              </w:rPr>
            </w:pPr>
            <w:r>
              <w:rPr>
                <w:rFonts w:ascii="CAIXA Std Book" w:hAnsi="CAIXA Std Book" w:cs="Calibri"/>
                <w:color w:val="005CA9"/>
                <w:sz w:val="16"/>
                <w:szCs w:val="16"/>
              </w:rPr>
              <w:t>675.364.935</w:t>
            </w:r>
          </w:p>
        </w:tc>
        <w:tc>
          <w:tcPr>
            <w:tcW w:w="457" w:type="pct"/>
            <w:tcBorders>
              <w:top w:val="nil"/>
              <w:left w:val="nil"/>
              <w:bottom w:val="nil"/>
              <w:right w:val="nil"/>
            </w:tcBorders>
            <w:noWrap/>
            <w:vAlign w:val="center"/>
          </w:tcPr>
          <w:p w14:paraId="1EC0122E" w14:textId="77777777" w:rsidR="00AD12DB" w:rsidRPr="00DA1DC7" w:rsidRDefault="00AD12DB">
            <w:pPr>
              <w:jc w:val="right"/>
              <w:rPr>
                <w:rFonts w:ascii="CAIXA Std Book" w:hAnsi="CAIXA Std Book" w:cs="Arial"/>
                <w:color w:val="005CA9"/>
                <w:sz w:val="16"/>
                <w:szCs w:val="16"/>
              </w:rPr>
            </w:pPr>
            <w:r>
              <w:rPr>
                <w:rFonts w:ascii="CAIXA Std Book" w:hAnsi="CAIXA Std Book" w:cs="Calibri"/>
                <w:color w:val="005CA9"/>
                <w:sz w:val="16"/>
                <w:szCs w:val="16"/>
              </w:rPr>
              <w:t>145.978.090</w:t>
            </w:r>
          </w:p>
        </w:tc>
        <w:tc>
          <w:tcPr>
            <w:tcW w:w="457" w:type="pct"/>
            <w:tcBorders>
              <w:top w:val="nil"/>
              <w:left w:val="nil"/>
              <w:bottom w:val="nil"/>
              <w:right w:val="nil"/>
            </w:tcBorders>
            <w:noWrap/>
            <w:vAlign w:val="center"/>
          </w:tcPr>
          <w:p w14:paraId="498621B3" w14:textId="77777777" w:rsidR="00AD12DB" w:rsidRPr="00DA1DC7" w:rsidRDefault="00AD12DB">
            <w:pPr>
              <w:jc w:val="right"/>
              <w:rPr>
                <w:rFonts w:ascii="CAIXA Std Book" w:hAnsi="CAIXA Std Book" w:cs="Arial"/>
                <w:color w:val="005CA9"/>
                <w:sz w:val="16"/>
                <w:szCs w:val="16"/>
              </w:rPr>
            </w:pPr>
            <w:r>
              <w:rPr>
                <w:rFonts w:ascii="CAIXA Std Book" w:hAnsi="CAIXA Std Book" w:cs="Calibri"/>
                <w:color w:val="005CA9"/>
                <w:sz w:val="16"/>
                <w:szCs w:val="16"/>
              </w:rPr>
              <w:t>821.343.025</w:t>
            </w:r>
          </w:p>
        </w:tc>
      </w:tr>
      <w:tr w:rsidR="00AD12DB" w:rsidRPr="006F7A41" w14:paraId="765CFE8F" w14:textId="77777777" w:rsidTr="001E6A64">
        <w:trPr>
          <w:trHeight w:val="283"/>
        </w:trPr>
        <w:tc>
          <w:tcPr>
            <w:tcW w:w="2256" w:type="pct"/>
            <w:tcBorders>
              <w:top w:val="nil"/>
              <w:left w:val="nil"/>
              <w:bottom w:val="nil"/>
              <w:right w:val="nil"/>
            </w:tcBorders>
            <w:noWrap/>
            <w:vAlign w:val="center"/>
            <w:hideMark/>
          </w:tcPr>
          <w:p w14:paraId="3C69243C" w14:textId="77777777" w:rsidR="00AD12DB" w:rsidRPr="008310B2" w:rsidRDefault="00AD12DB">
            <w:pPr>
              <w:ind w:firstLineChars="100" w:firstLine="160"/>
              <w:rPr>
                <w:rFonts w:ascii="CAIXA Std Book" w:eastAsia="Times New Roman" w:hAnsi="CAIXA Std Book" w:cs="Arial"/>
                <w:color w:val="005CA9"/>
                <w:sz w:val="16"/>
                <w:szCs w:val="16"/>
              </w:rPr>
            </w:pPr>
            <w:r w:rsidRPr="008310B2">
              <w:rPr>
                <w:rFonts w:ascii="CAIXA Std Book" w:eastAsia="Times New Roman" w:hAnsi="CAIXA Std Book" w:cs="Arial"/>
                <w:color w:val="005CA9"/>
                <w:sz w:val="16"/>
                <w:szCs w:val="16"/>
              </w:rPr>
              <w:t>Recursos de instituições financeiras e outras</w:t>
            </w:r>
          </w:p>
        </w:tc>
        <w:tc>
          <w:tcPr>
            <w:tcW w:w="457" w:type="pct"/>
            <w:tcBorders>
              <w:top w:val="nil"/>
              <w:left w:val="nil"/>
              <w:bottom w:val="nil"/>
              <w:right w:val="nil"/>
            </w:tcBorders>
            <w:noWrap/>
            <w:vAlign w:val="center"/>
          </w:tcPr>
          <w:p w14:paraId="289FED49" w14:textId="43A3AC4F" w:rsidR="00AD12DB" w:rsidRPr="00E649A4" w:rsidRDefault="00302F17">
            <w:pPr>
              <w:jc w:val="right"/>
              <w:rPr>
                <w:rFonts w:ascii="CAIXA Std Book" w:hAnsi="CAIXA Std Book"/>
                <w:color w:val="005CA9"/>
                <w:sz w:val="16"/>
                <w:szCs w:val="16"/>
              </w:rPr>
            </w:pPr>
            <w:r w:rsidRPr="00E649A4">
              <w:rPr>
                <w:rFonts w:ascii="CAIXA Std Book" w:hAnsi="CAIXA Std Book"/>
                <w:color w:val="005CA9"/>
                <w:sz w:val="16"/>
                <w:szCs w:val="16"/>
              </w:rPr>
              <w:t>266.437.565</w:t>
            </w:r>
          </w:p>
        </w:tc>
        <w:tc>
          <w:tcPr>
            <w:tcW w:w="457" w:type="pct"/>
            <w:tcBorders>
              <w:top w:val="nil"/>
              <w:left w:val="nil"/>
              <w:bottom w:val="nil"/>
              <w:right w:val="nil"/>
            </w:tcBorders>
            <w:noWrap/>
            <w:vAlign w:val="center"/>
          </w:tcPr>
          <w:p w14:paraId="1A5EDB0B" w14:textId="43EBA1E7" w:rsidR="00AD12DB" w:rsidRPr="00E649A4" w:rsidRDefault="00076647">
            <w:pPr>
              <w:jc w:val="right"/>
              <w:rPr>
                <w:rFonts w:ascii="CAIXA Std Book" w:hAnsi="CAIXA Std Book"/>
                <w:color w:val="005CA9"/>
                <w:sz w:val="16"/>
                <w:szCs w:val="16"/>
              </w:rPr>
            </w:pPr>
            <w:r w:rsidRPr="00B34EFA">
              <w:rPr>
                <w:rFonts w:ascii="CAIXA Std Book" w:hAnsi="CAIXA Std Book"/>
                <w:color w:val="005CA9"/>
                <w:sz w:val="16"/>
                <w:szCs w:val="16"/>
              </w:rPr>
              <w:t>612.656.784</w:t>
            </w:r>
          </w:p>
        </w:tc>
        <w:tc>
          <w:tcPr>
            <w:tcW w:w="457" w:type="pct"/>
            <w:tcBorders>
              <w:top w:val="nil"/>
              <w:left w:val="nil"/>
              <w:bottom w:val="nil"/>
              <w:right w:val="nil"/>
            </w:tcBorders>
            <w:noWrap/>
            <w:vAlign w:val="center"/>
          </w:tcPr>
          <w:p w14:paraId="44060073" w14:textId="11960463" w:rsidR="00AD12DB" w:rsidRPr="00E649A4" w:rsidRDefault="0015652F">
            <w:pPr>
              <w:jc w:val="right"/>
              <w:rPr>
                <w:rFonts w:ascii="CAIXA Std Book" w:hAnsi="CAIXA Std Book"/>
                <w:color w:val="005CA9"/>
                <w:sz w:val="16"/>
                <w:szCs w:val="16"/>
              </w:rPr>
            </w:pPr>
            <w:r w:rsidRPr="00E649A4">
              <w:rPr>
                <w:rFonts w:ascii="CAIXA Std Book" w:hAnsi="CAIXA Std Book"/>
                <w:color w:val="005CA9"/>
                <w:sz w:val="16"/>
                <w:szCs w:val="16"/>
              </w:rPr>
              <w:t>879.094.349</w:t>
            </w:r>
          </w:p>
        </w:tc>
        <w:tc>
          <w:tcPr>
            <w:tcW w:w="457" w:type="pct"/>
            <w:tcBorders>
              <w:top w:val="nil"/>
              <w:left w:val="nil"/>
              <w:bottom w:val="nil"/>
              <w:right w:val="nil"/>
            </w:tcBorders>
            <w:noWrap/>
            <w:vAlign w:val="center"/>
          </w:tcPr>
          <w:p w14:paraId="354C123F" w14:textId="77777777" w:rsidR="00AD12DB" w:rsidRPr="00C92020" w:rsidRDefault="00AD12DB">
            <w:pPr>
              <w:jc w:val="right"/>
              <w:rPr>
                <w:rFonts w:ascii="CAIXA Std Book" w:hAnsi="CAIXA Std Book" w:cs="Arial"/>
                <w:color w:val="005CA9"/>
                <w:sz w:val="16"/>
                <w:szCs w:val="16"/>
                <w:highlight w:val="yellow"/>
              </w:rPr>
            </w:pPr>
            <w:r w:rsidRPr="00F12A06">
              <w:rPr>
                <w:rFonts w:ascii="CAIXA Std Book" w:hAnsi="CAIXA Std Book" w:cs="Calibri"/>
                <w:color w:val="005CA9"/>
                <w:sz w:val="16"/>
                <w:szCs w:val="16"/>
              </w:rPr>
              <w:t>209.</w:t>
            </w:r>
            <w:r>
              <w:rPr>
                <w:rFonts w:ascii="CAIXA Std Book" w:hAnsi="CAIXA Std Book" w:cs="Calibri"/>
                <w:color w:val="005CA9"/>
                <w:sz w:val="16"/>
                <w:szCs w:val="16"/>
              </w:rPr>
              <w:t>351.031</w:t>
            </w:r>
          </w:p>
        </w:tc>
        <w:tc>
          <w:tcPr>
            <w:tcW w:w="457" w:type="pct"/>
            <w:tcBorders>
              <w:top w:val="nil"/>
              <w:left w:val="nil"/>
              <w:bottom w:val="nil"/>
              <w:right w:val="nil"/>
            </w:tcBorders>
            <w:noWrap/>
            <w:vAlign w:val="center"/>
          </w:tcPr>
          <w:p w14:paraId="4264C5E4" w14:textId="77777777" w:rsidR="00AD12DB" w:rsidRPr="00C92020" w:rsidRDefault="00AD12DB">
            <w:pPr>
              <w:jc w:val="right"/>
              <w:rPr>
                <w:rFonts w:ascii="CAIXA Std Book" w:hAnsi="CAIXA Std Book" w:cs="Arial"/>
                <w:color w:val="005CA9"/>
                <w:sz w:val="16"/>
                <w:szCs w:val="16"/>
                <w:highlight w:val="yellow"/>
              </w:rPr>
            </w:pPr>
            <w:r w:rsidRPr="00F12A06">
              <w:rPr>
                <w:rFonts w:ascii="CAIXA Std Book" w:hAnsi="CAIXA Std Book" w:cs="Calibri"/>
                <w:color w:val="005CA9"/>
                <w:sz w:val="16"/>
                <w:szCs w:val="16"/>
              </w:rPr>
              <w:t>582.575.281</w:t>
            </w:r>
          </w:p>
        </w:tc>
        <w:tc>
          <w:tcPr>
            <w:tcW w:w="457" w:type="pct"/>
            <w:tcBorders>
              <w:top w:val="nil"/>
              <w:left w:val="nil"/>
              <w:bottom w:val="nil"/>
              <w:right w:val="nil"/>
            </w:tcBorders>
            <w:noWrap/>
            <w:vAlign w:val="center"/>
          </w:tcPr>
          <w:p w14:paraId="2F088EDA" w14:textId="77777777" w:rsidR="00AD12DB" w:rsidRPr="000307DD" w:rsidRDefault="00AD12DB">
            <w:pPr>
              <w:jc w:val="right"/>
              <w:rPr>
                <w:rFonts w:ascii="CAIXA Std Book" w:hAnsi="CAIXA Std Book" w:cs="Arial"/>
                <w:color w:val="005CA9"/>
                <w:sz w:val="16"/>
                <w:szCs w:val="16"/>
              </w:rPr>
            </w:pPr>
            <w:r>
              <w:rPr>
                <w:rFonts w:ascii="CAIXA Std Book" w:hAnsi="CAIXA Std Book" w:cs="Calibri"/>
                <w:color w:val="005CA9"/>
                <w:sz w:val="16"/>
                <w:szCs w:val="16"/>
              </w:rPr>
              <w:t>791.926.312</w:t>
            </w:r>
          </w:p>
        </w:tc>
      </w:tr>
      <w:tr w:rsidR="00AD12DB" w:rsidRPr="006F7A41" w14:paraId="36CDC25F" w14:textId="77777777" w:rsidTr="001E6A64">
        <w:trPr>
          <w:trHeight w:val="283"/>
        </w:trPr>
        <w:tc>
          <w:tcPr>
            <w:tcW w:w="2256" w:type="pct"/>
            <w:tcBorders>
              <w:top w:val="nil"/>
              <w:left w:val="nil"/>
              <w:bottom w:val="nil"/>
              <w:right w:val="nil"/>
            </w:tcBorders>
            <w:noWrap/>
            <w:vAlign w:val="center"/>
            <w:hideMark/>
          </w:tcPr>
          <w:p w14:paraId="689EAB15" w14:textId="77777777" w:rsidR="00AD12DB" w:rsidRPr="00E62DC7" w:rsidRDefault="00AD12DB">
            <w:pPr>
              <w:ind w:firstLineChars="100" w:firstLine="160"/>
              <w:rPr>
                <w:rFonts w:ascii="CAIXA Std Book" w:eastAsia="Times New Roman" w:hAnsi="CAIXA Std Book" w:cs="Arial"/>
                <w:color w:val="005CA9"/>
                <w:sz w:val="16"/>
                <w:szCs w:val="16"/>
              </w:rPr>
            </w:pPr>
            <w:r w:rsidRPr="00E62DC7">
              <w:rPr>
                <w:rFonts w:ascii="CAIXA Std Book" w:eastAsia="Times New Roman" w:hAnsi="CAIXA Std Book" w:cs="Arial"/>
                <w:color w:val="005CA9"/>
                <w:sz w:val="16"/>
                <w:szCs w:val="16"/>
              </w:rPr>
              <w:t>Recursos de emissões de títulos e valores mobiliários</w:t>
            </w:r>
          </w:p>
        </w:tc>
        <w:tc>
          <w:tcPr>
            <w:tcW w:w="457" w:type="pct"/>
            <w:tcBorders>
              <w:top w:val="nil"/>
              <w:left w:val="nil"/>
              <w:bottom w:val="nil"/>
              <w:right w:val="nil"/>
            </w:tcBorders>
            <w:noWrap/>
            <w:vAlign w:val="center"/>
          </w:tcPr>
          <w:p w14:paraId="2A163DA4" w14:textId="30764B07" w:rsidR="00AD12DB" w:rsidRPr="00DA1DC7" w:rsidRDefault="00825E86">
            <w:pPr>
              <w:jc w:val="right"/>
              <w:rPr>
                <w:rFonts w:ascii="CAIXA Std Book" w:hAnsi="CAIXA Std Book" w:cs="Arial"/>
                <w:color w:val="005CA9"/>
                <w:sz w:val="16"/>
                <w:szCs w:val="16"/>
              </w:rPr>
            </w:pPr>
            <w:r>
              <w:rPr>
                <w:rFonts w:ascii="CAIXA Std Book" w:hAnsi="CAIXA Std Book" w:cs="Arial"/>
                <w:color w:val="005CA9"/>
                <w:sz w:val="16"/>
                <w:szCs w:val="16"/>
              </w:rPr>
              <w:t>134.158.684</w:t>
            </w:r>
          </w:p>
        </w:tc>
        <w:tc>
          <w:tcPr>
            <w:tcW w:w="457" w:type="pct"/>
            <w:tcBorders>
              <w:top w:val="nil"/>
              <w:left w:val="nil"/>
              <w:bottom w:val="nil"/>
              <w:right w:val="nil"/>
            </w:tcBorders>
            <w:noWrap/>
            <w:vAlign w:val="center"/>
          </w:tcPr>
          <w:p w14:paraId="32477D78" w14:textId="4529156C" w:rsidR="00AD12DB" w:rsidRPr="00DA1DC7" w:rsidRDefault="00825E86">
            <w:pPr>
              <w:jc w:val="right"/>
              <w:rPr>
                <w:rFonts w:ascii="CAIXA Std Book" w:hAnsi="CAIXA Std Book" w:cs="Arial"/>
                <w:color w:val="005CA9"/>
                <w:sz w:val="16"/>
                <w:szCs w:val="16"/>
              </w:rPr>
            </w:pPr>
            <w:r>
              <w:rPr>
                <w:rFonts w:ascii="CAIXA Std Book" w:hAnsi="CAIXA Std Book" w:cs="Arial"/>
                <w:color w:val="005CA9"/>
                <w:sz w:val="16"/>
                <w:szCs w:val="16"/>
              </w:rPr>
              <w:t>213.875.953</w:t>
            </w:r>
          </w:p>
        </w:tc>
        <w:tc>
          <w:tcPr>
            <w:tcW w:w="457" w:type="pct"/>
            <w:tcBorders>
              <w:top w:val="nil"/>
              <w:left w:val="nil"/>
              <w:bottom w:val="nil"/>
              <w:right w:val="nil"/>
            </w:tcBorders>
            <w:noWrap/>
            <w:vAlign w:val="center"/>
          </w:tcPr>
          <w:p w14:paraId="7BA5239B" w14:textId="0C48533D" w:rsidR="00AD12DB" w:rsidRPr="00DA1DC7" w:rsidRDefault="00825E86">
            <w:pPr>
              <w:jc w:val="right"/>
              <w:rPr>
                <w:rFonts w:ascii="CAIXA Std Book" w:hAnsi="CAIXA Std Book" w:cs="Arial"/>
                <w:color w:val="005CA9"/>
                <w:sz w:val="16"/>
                <w:szCs w:val="16"/>
              </w:rPr>
            </w:pPr>
            <w:r w:rsidRPr="000E657F">
              <w:rPr>
                <w:rFonts w:ascii="CAIXA Std Book" w:hAnsi="CAIXA Std Book" w:cs="Arial"/>
                <w:color w:val="005CA9"/>
                <w:sz w:val="16"/>
                <w:szCs w:val="16"/>
              </w:rPr>
              <w:t>348.034.637</w:t>
            </w:r>
          </w:p>
        </w:tc>
        <w:tc>
          <w:tcPr>
            <w:tcW w:w="457" w:type="pct"/>
            <w:tcBorders>
              <w:top w:val="nil"/>
              <w:left w:val="nil"/>
              <w:bottom w:val="nil"/>
              <w:right w:val="nil"/>
            </w:tcBorders>
            <w:noWrap/>
            <w:vAlign w:val="center"/>
          </w:tcPr>
          <w:p w14:paraId="0953E84C" w14:textId="77777777" w:rsidR="00AD12DB" w:rsidRPr="00DA1DC7" w:rsidRDefault="00AD12DB">
            <w:pPr>
              <w:jc w:val="right"/>
              <w:rPr>
                <w:rFonts w:ascii="CAIXA Std Book" w:hAnsi="CAIXA Std Book" w:cs="Arial"/>
                <w:color w:val="005CA9"/>
                <w:sz w:val="16"/>
                <w:szCs w:val="16"/>
              </w:rPr>
            </w:pPr>
            <w:r>
              <w:rPr>
                <w:rFonts w:ascii="CAIXA Std Book" w:hAnsi="CAIXA Std Book" w:cs="Calibri"/>
                <w:color w:val="005CA9"/>
                <w:sz w:val="16"/>
                <w:szCs w:val="16"/>
              </w:rPr>
              <w:t>120.308.749</w:t>
            </w:r>
          </w:p>
        </w:tc>
        <w:tc>
          <w:tcPr>
            <w:tcW w:w="457" w:type="pct"/>
            <w:tcBorders>
              <w:top w:val="nil"/>
              <w:left w:val="nil"/>
              <w:bottom w:val="nil"/>
              <w:right w:val="nil"/>
            </w:tcBorders>
            <w:noWrap/>
            <w:vAlign w:val="center"/>
          </w:tcPr>
          <w:p w14:paraId="7303702A" w14:textId="77777777" w:rsidR="00AD12DB" w:rsidRPr="00DA1DC7" w:rsidRDefault="00AD12DB">
            <w:pPr>
              <w:jc w:val="right"/>
              <w:rPr>
                <w:rFonts w:ascii="CAIXA Std Book" w:hAnsi="CAIXA Std Book" w:cs="Arial"/>
                <w:color w:val="005CA9"/>
                <w:sz w:val="16"/>
                <w:szCs w:val="16"/>
              </w:rPr>
            </w:pPr>
            <w:r>
              <w:rPr>
                <w:rFonts w:ascii="CAIXA Std Book" w:hAnsi="CAIXA Std Book" w:cs="Calibri"/>
                <w:color w:val="005CA9"/>
                <w:sz w:val="16"/>
                <w:szCs w:val="16"/>
              </w:rPr>
              <w:t>216.097.157</w:t>
            </w:r>
          </w:p>
        </w:tc>
        <w:tc>
          <w:tcPr>
            <w:tcW w:w="457" w:type="pct"/>
            <w:tcBorders>
              <w:top w:val="nil"/>
              <w:left w:val="nil"/>
              <w:bottom w:val="nil"/>
              <w:right w:val="nil"/>
            </w:tcBorders>
            <w:noWrap/>
            <w:vAlign w:val="center"/>
          </w:tcPr>
          <w:p w14:paraId="65F3032D" w14:textId="77777777" w:rsidR="00AD12DB" w:rsidRPr="00DA1DC7" w:rsidRDefault="00AD12DB">
            <w:pPr>
              <w:jc w:val="right"/>
              <w:rPr>
                <w:rFonts w:ascii="CAIXA Std Book" w:hAnsi="CAIXA Std Book" w:cs="Arial"/>
                <w:color w:val="005CA9"/>
                <w:sz w:val="16"/>
                <w:szCs w:val="16"/>
              </w:rPr>
            </w:pPr>
            <w:r>
              <w:rPr>
                <w:rFonts w:ascii="CAIXA Std Book" w:hAnsi="CAIXA Std Book" w:cs="Calibri"/>
                <w:color w:val="005CA9"/>
                <w:sz w:val="16"/>
                <w:szCs w:val="16"/>
              </w:rPr>
              <w:t>336.405.906</w:t>
            </w:r>
          </w:p>
        </w:tc>
      </w:tr>
      <w:tr w:rsidR="00AD12DB" w:rsidRPr="006F7A41" w14:paraId="05CC3DDC" w14:textId="77777777" w:rsidTr="00C5159C">
        <w:trPr>
          <w:trHeight w:val="283"/>
        </w:trPr>
        <w:tc>
          <w:tcPr>
            <w:tcW w:w="2256" w:type="pct"/>
            <w:tcBorders>
              <w:top w:val="nil"/>
              <w:left w:val="nil"/>
              <w:right w:val="nil"/>
            </w:tcBorders>
            <w:noWrap/>
            <w:vAlign w:val="center"/>
            <w:hideMark/>
          </w:tcPr>
          <w:p w14:paraId="0EA67501" w14:textId="77777777" w:rsidR="00AD12DB" w:rsidRPr="00E62DC7" w:rsidRDefault="00AD12DB">
            <w:pPr>
              <w:ind w:firstLineChars="100" w:firstLine="160"/>
              <w:rPr>
                <w:rFonts w:ascii="CAIXA Std Book" w:eastAsia="Times New Roman" w:hAnsi="CAIXA Std Book" w:cs="Arial"/>
                <w:color w:val="005CA9"/>
                <w:sz w:val="16"/>
                <w:szCs w:val="16"/>
              </w:rPr>
            </w:pPr>
            <w:r w:rsidRPr="00A31D80">
              <w:rPr>
                <w:rFonts w:ascii="CAIXA Std Book" w:eastAsia="Times New Roman" w:hAnsi="CAIXA Std Book" w:cs="Arial"/>
                <w:color w:val="005CA9"/>
                <w:sz w:val="16"/>
                <w:szCs w:val="16"/>
              </w:rPr>
              <w:t>Outros passivos financeiros</w:t>
            </w:r>
          </w:p>
        </w:tc>
        <w:tc>
          <w:tcPr>
            <w:tcW w:w="457" w:type="pct"/>
            <w:tcBorders>
              <w:top w:val="nil"/>
              <w:left w:val="nil"/>
              <w:right w:val="nil"/>
            </w:tcBorders>
            <w:noWrap/>
            <w:vAlign w:val="center"/>
          </w:tcPr>
          <w:p w14:paraId="22E36D93" w14:textId="5A6599BB" w:rsidR="00AD12DB" w:rsidRPr="00A31D80" w:rsidRDefault="008F2E85">
            <w:pPr>
              <w:jc w:val="right"/>
              <w:rPr>
                <w:rFonts w:ascii="CAIXA Std Book" w:hAnsi="CAIXA Std Book" w:cs="Arial"/>
                <w:color w:val="005CA9"/>
                <w:sz w:val="16"/>
                <w:szCs w:val="16"/>
              </w:rPr>
            </w:pPr>
            <w:r w:rsidRPr="008F2E85">
              <w:rPr>
                <w:rFonts w:ascii="CAIXA Std Book" w:hAnsi="CAIXA Std Book" w:cs="Arial"/>
                <w:color w:val="005CA9"/>
                <w:sz w:val="16"/>
                <w:szCs w:val="16"/>
              </w:rPr>
              <w:t>19.239.920</w:t>
            </w:r>
          </w:p>
        </w:tc>
        <w:tc>
          <w:tcPr>
            <w:tcW w:w="457" w:type="pct"/>
            <w:tcBorders>
              <w:top w:val="nil"/>
              <w:left w:val="nil"/>
              <w:right w:val="nil"/>
            </w:tcBorders>
            <w:noWrap/>
            <w:vAlign w:val="center"/>
          </w:tcPr>
          <w:p w14:paraId="09EF5B73" w14:textId="2CBAE2E5" w:rsidR="00AD12DB" w:rsidRPr="00A31D80" w:rsidRDefault="008F2E85">
            <w:pPr>
              <w:jc w:val="right"/>
              <w:rPr>
                <w:rFonts w:ascii="CAIXA Std Book" w:hAnsi="CAIXA Std Book" w:cs="Arial"/>
                <w:color w:val="005CA9"/>
                <w:sz w:val="16"/>
                <w:szCs w:val="16"/>
              </w:rPr>
            </w:pPr>
            <w:r w:rsidRPr="008F2E85">
              <w:rPr>
                <w:rFonts w:ascii="CAIXA Std Book" w:hAnsi="CAIXA Std Book" w:cs="Arial"/>
                <w:color w:val="005CA9"/>
                <w:sz w:val="16"/>
                <w:szCs w:val="16"/>
              </w:rPr>
              <w:t>17.619.299</w:t>
            </w:r>
          </w:p>
        </w:tc>
        <w:tc>
          <w:tcPr>
            <w:tcW w:w="457" w:type="pct"/>
            <w:tcBorders>
              <w:top w:val="nil"/>
              <w:left w:val="nil"/>
              <w:right w:val="nil"/>
            </w:tcBorders>
            <w:noWrap/>
            <w:vAlign w:val="center"/>
          </w:tcPr>
          <w:p w14:paraId="3E940359" w14:textId="31841171" w:rsidR="00AD12DB" w:rsidRPr="00A31D80" w:rsidRDefault="008F2E85">
            <w:pPr>
              <w:jc w:val="right"/>
              <w:rPr>
                <w:rFonts w:ascii="CAIXA Std Book" w:hAnsi="CAIXA Std Book" w:cs="Arial"/>
                <w:color w:val="005CA9"/>
                <w:sz w:val="16"/>
                <w:szCs w:val="16"/>
              </w:rPr>
            </w:pPr>
            <w:r w:rsidRPr="008F2E85">
              <w:rPr>
                <w:rFonts w:ascii="CAIXA Std Book" w:hAnsi="CAIXA Std Book" w:cs="Arial"/>
                <w:color w:val="005CA9"/>
                <w:sz w:val="16"/>
                <w:szCs w:val="16"/>
              </w:rPr>
              <w:t>36.859.219</w:t>
            </w:r>
          </w:p>
        </w:tc>
        <w:tc>
          <w:tcPr>
            <w:tcW w:w="457" w:type="pct"/>
            <w:tcBorders>
              <w:top w:val="nil"/>
              <w:left w:val="nil"/>
              <w:right w:val="nil"/>
            </w:tcBorders>
            <w:noWrap/>
            <w:vAlign w:val="center"/>
          </w:tcPr>
          <w:p w14:paraId="4F514C7E" w14:textId="77777777" w:rsidR="00AD12DB" w:rsidRPr="00A31D80" w:rsidRDefault="00AD12DB">
            <w:pPr>
              <w:jc w:val="right"/>
              <w:rPr>
                <w:rFonts w:ascii="CAIXA Std Book" w:hAnsi="CAIXA Std Book" w:cs="Arial"/>
                <w:color w:val="005CA9"/>
                <w:sz w:val="16"/>
                <w:szCs w:val="16"/>
              </w:rPr>
            </w:pPr>
            <w:r>
              <w:rPr>
                <w:rFonts w:ascii="CAIXA Std Book" w:hAnsi="CAIXA Std Book" w:cs="Calibri"/>
                <w:color w:val="005CA9"/>
                <w:sz w:val="16"/>
                <w:szCs w:val="16"/>
              </w:rPr>
              <w:t>18.255.533</w:t>
            </w:r>
          </w:p>
        </w:tc>
        <w:tc>
          <w:tcPr>
            <w:tcW w:w="457" w:type="pct"/>
            <w:tcBorders>
              <w:top w:val="nil"/>
              <w:left w:val="nil"/>
              <w:right w:val="nil"/>
            </w:tcBorders>
            <w:noWrap/>
            <w:vAlign w:val="center"/>
          </w:tcPr>
          <w:p w14:paraId="7CF04B78" w14:textId="77777777" w:rsidR="00AD12DB" w:rsidRPr="00A31D80" w:rsidRDefault="00AD12DB">
            <w:pPr>
              <w:jc w:val="right"/>
              <w:rPr>
                <w:rFonts w:ascii="CAIXA Std Book" w:hAnsi="CAIXA Std Book" w:cs="Arial"/>
                <w:color w:val="005CA9"/>
                <w:sz w:val="16"/>
                <w:szCs w:val="16"/>
              </w:rPr>
            </w:pPr>
            <w:r>
              <w:rPr>
                <w:rFonts w:ascii="CAIXA Std Book" w:hAnsi="CAIXA Std Book" w:cs="Calibri"/>
                <w:color w:val="005CA9"/>
                <w:sz w:val="16"/>
                <w:szCs w:val="16"/>
              </w:rPr>
              <w:t>17.858.642</w:t>
            </w:r>
          </w:p>
        </w:tc>
        <w:tc>
          <w:tcPr>
            <w:tcW w:w="457" w:type="pct"/>
            <w:tcBorders>
              <w:top w:val="nil"/>
              <w:left w:val="nil"/>
              <w:right w:val="nil"/>
            </w:tcBorders>
            <w:noWrap/>
            <w:vAlign w:val="center"/>
          </w:tcPr>
          <w:p w14:paraId="298C48A9" w14:textId="77777777" w:rsidR="00AD12DB" w:rsidRPr="00A31D80" w:rsidRDefault="00AD12DB">
            <w:pPr>
              <w:jc w:val="right"/>
              <w:rPr>
                <w:rFonts w:ascii="CAIXA Std Book" w:hAnsi="CAIXA Std Book" w:cs="Arial"/>
                <w:color w:val="005CA9"/>
                <w:sz w:val="16"/>
                <w:szCs w:val="16"/>
              </w:rPr>
            </w:pPr>
            <w:r>
              <w:rPr>
                <w:rFonts w:ascii="CAIXA Std Book" w:hAnsi="CAIXA Std Book" w:cs="Calibri"/>
                <w:color w:val="005CA9"/>
                <w:sz w:val="16"/>
                <w:szCs w:val="16"/>
              </w:rPr>
              <w:t>36.114.175</w:t>
            </w:r>
          </w:p>
        </w:tc>
      </w:tr>
      <w:tr w:rsidR="00AD12DB" w:rsidRPr="006F7A41" w14:paraId="301AEE3D" w14:textId="77777777" w:rsidTr="00C5159C">
        <w:trPr>
          <w:trHeight w:val="283"/>
        </w:trPr>
        <w:tc>
          <w:tcPr>
            <w:tcW w:w="2256" w:type="pct"/>
            <w:tcBorders>
              <w:top w:val="nil"/>
              <w:left w:val="nil"/>
              <w:bottom w:val="single" w:sz="4" w:space="0" w:color="FFFFFF" w:themeColor="background1"/>
              <w:right w:val="nil"/>
            </w:tcBorders>
            <w:shd w:val="clear" w:color="auto" w:fill="D0E0E3"/>
            <w:noWrap/>
            <w:vAlign w:val="center"/>
            <w:hideMark/>
          </w:tcPr>
          <w:p w14:paraId="076DD8D2" w14:textId="77777777" w:rsidR="00AD12DB" w:rsidRPr="00E62DC7" w:rsidRDefault="00AD12DB">
            <w:pPr>
              <w:rPr>
                <w:rFonts w:ascii="CAIXA Std Book" w:eastAsia="Times New Roman" w:hAnsi="CAIXA Std Book" w:cs="Arial"/>
                <w:b/>
                <w:bCs/>
                <w:color w:val="005CA9"/>
                <w:sz w:val="16"/>
                <w:szCs w:val="16"/>
              </w:rPr>
            </w:pPr>
            <w:r w:rsidRPr="00114B04">
              <w:rPr>
                <w:rFonts w:ascii="CAIXA Std Book" w:eastAsia="Times New Roman" w:hAnsi="CAIXA Std Book" w:cs="Arial"/>
                <w:b/>
                <w:bCs/>
                <w:color w:val="005CA9"/>
                <w:sz w:val="16"/>
                <w:szCs w:val="16"/>
              </w:rPr>
              <w:t>Provisões</w:t>
            </w:r>
          </w:p>
        </w:tc>
        <w:tc>
          <w:tcPr>
            <w:tcW w:w="457" w:type="pct"/>
            <w:tcBorders>
              <w:top w:val="nil"/>
              <w:left w:val="nil"/>
              <w:bottom w:val="single" w:sz="4" w:space="0" w:color="FFFFFF" w:themeColor="background1"/>
              <w:right w:val="nil"/>
            </w:tcBorders>
            <w:shd w:val="clear" w:color="auto" w:fill="D0E0E3"/>
            <w:noWrap/>
            <w:vAlign w:val="center"/>
          </w:tcPr>
          <w:p w14:paraId="1C23B719" w14:textId="5E917A22" w:rsidR="00AD12DB" w:rsidRPr="00A614F2" w:rsidRDefault="009C7279">
            <w:pPr>
              <w:jc w:val="right"/>
              <w:rPr>
                <w:rFonts w:ascii="CAIXA Std Book" w:hAnsi="CAIXA Std Book" w:cs="Arial"/>
                <w:b/>
                <w:bCs/>
                <w:color w:val="005CA9"/>
                <w:sz w:val="16"/>
                <w:szCs w:val="16"/>
              </w:rPr>
            </w:pPr>
            <w:r w:rsidRPr="009C7279">
              <w:rPr>
                <w:rFonts w:ascii="CAIXA Std Book" w:hAnsi="CAIXA Std Book" w:cs="Arial"/>
                <w:b/>
                <w:bCs/>
                <w:color w:val="005CA9"/>
                <w:sz w:val="16"/>
                <w:szCs w:val="16"/>
              </w:rPr>
              <w:t>3.241.033</w:t>
            </w:r>
          </w:p>
        </w:tc>
        <w:tc>
          <w:tcPr>
            <w:tcW w:w="457" w:type="pct"/>
            <w:tcBorders>
              <w:top w:val="nil"/>
              <w:left w:val="nil"/>
              <w:bottom w:val="single" w:sz="4" w:space="0" w:color="FFFFFF" w:themeColor="background1"/>
              <w:right w:val="nil"/>
            </w:tcBorders>
            <w:shd w:val="clear" w:color="auto" w:fill="D0E0E3"/>
            <w:noWrap/>
            <w:vAlign w:val="center"/>
          </w:tcPr>
          <w:p w14:paraId="21340683" w14:textId="171D7B8D" w:rsidR="00AD12DB" w:rsidRPr="00A614F2" w:rsidRDefault="009C7279">
            <w:pPr>
              <w:jc w:val="right"/>
              <w:rPr>
                <w:rFonts w:ascii="CAIXA Std Book" w:hAnsi="CAIXA Std Book" w:cs="Arial"/>
                <w:b/>
                <w:bCs/>
                <w:color w:val="005CA9"/>
                <w:sz w:val="16"/>
                <w:szCs w:val="16"/>
              </w:rPr>
            </w:pPr>
            <w:r w:rsidRPr="009C7279">
              <w:rPr>
                <w:rFonts w:ascii="CAIXA Std Book" w:hAnsi="CAIXA Std Book" w:cs="Arial"/>
                <w:b/>
                <w:bCs/>
                <w:color w:val="005CA9"/>
                <w:sz w:val="16"/>
                <w:szCs w:val="16"/>
              </w:rPr>
              <w:t>6.262.776</w:t>
            </w:r>
          </w:p>
        </w:tc>
        <w:tc>
          <w:tcPr>
            <w:tcW w:w="457" w:type="pct"/>
            <w:tcBorders>
              <w:top w:val="nil"/>
              <w:left w:val="nil"/>
              <w:bottom w:val="single" w:sz="4" w:space="0" w:color="FFFFFF" w:themeColor="background1"/>
              <w:right w:val="nil"/>
            </w:tcBorders>
            <w:shd w:val="clear" w:color="auto" w:fill="D0E0E3"/>
            <w:noWrap/>
            <w:vAlign w:val="center"/>
          </w:tcPr>
          <w:p w14:paraId="63EA8D8E" w14:textId="12E0D228" w:rsidR="00AD12DB" w:rsidRPr="00A614F2" w:rsidRDefault="009C7279">
            <w:pPr>
              <w:jc w:val="right"/>
              <w:rPr>
                <w:rFonts w:ascii="CAIXA Std Book" w:hAnsi="CAIXA Std Book" w:cs="Arial"/>
                <w:b/>
                <w:bCs/>
                <w:color w:val="005CA9"/>
                <w:sz w:val="16"/>
                <w:szCs w:val="16"/>
              </w:rPr>
            </w:pPr>
            <w:r w:rsidRPr="009C7279">
              <w:rPr>
                <w:rFonts w:ascii="CAIXA Std Book" w:hAnsi="CAIXA Std Book" w:cs="Arial"/>
                <w:b/>
                <w:bCs/>
                <w:color w:val="005CA9"/>
                <w:sz w:val="16"/>
                <w:szCs w:val="16"/>
              </w:rPr>
              <w:t>9.503.809</w:t>
            </w:r>
          </w:p>
        </w:tc>
        <w:tc>
          <w:tcPr>
            <w:tcW w:w="457" w:type="pct"/>
            <w:tcBorders>
              <w:top w:val="nil"/>
              <w:left w:val="nil"/>
              <w:bottom w:val="single" w:sz="4" w:space="0" w:color="FFFFFF" w:themeColor="background1"/>
              <w:right w:val="nil"/>
            </w:tcBorders>
            <w:shd w:val="clear" w:color="auto" w:fill="D0E0E3"/>
            <w:noWrap/>
            <w:vAlign w:val="center"/>
          </w:tcPr>
          <w:p w14:paraId="384562BE" w14:textId="77777777" w:rsidR="00AD12DB" w:rsidRPr="00A614F2" w:rsidRDefault="00AD12DB">
            <w:pPr>
              <w:jc w:val="right"/>
              <w:rPr>
                <w:rFonts w:ascii="CAIXA Std Book" w:hAnsi="CAIXA Std Book" w:cs="Arial"/>
                <w:b/>
                <w:bCs/>
                <w:color w:val="005CA9"/>
                <w:sz w:val="16"/>
                <w:szCs w:val="16"/>
              </w:rPr>
            </w:pPr>
            <w:r>
              <w:rPr>
                <w:rFonts w:ascii="CAIXA Std Book" w:hAnsi="CAIXA Std Book" w:cs="Calibri"/>
                <w:b/>
                <w:color w:val="005CA9"/>
                <w:sz w:val="16"/>
                <w:szCs w:val="16"/>
              </w:rPr>
              <w:t>3.271.448</w:t>
            </w:r>
          </w:p>
        </w:tc>
        <w:tc>
          <w:tcPr>
            <w:tcW w:w="457" w:type="pct"/>
            <w:tcBorders>
              <w:top w:val="nil"/>
              <w:left w:val="nil"/>
              <w:bottom w:val="single" w:sz="4" w:space="0" w:color="FFFFFF" w:themeColor="background1"/>
              <w:right w:val="nil"/>
            </w:tcBorders>
            <w:shd w:val="clear" w:color="auto" w:fill="D0E0E3"/>
            <w:noWrap/>
            <w:vAlign w:val="center"/>
          </w:tcPr>
          <w:p w14:paraId="58E9EAEA" w14:textId="77777777" w:rsidR="00AD12DB" w:rsidRPr="00A614F2" w:rsidRDefault="00AD12DB">
            <w:pPr>
              <w:jc w:val="right"/>
              <w:rPr>
                <w:rFonts w:ascii="CAIXA Std Book" w:hAnsi="CAIXA Std Book" w:cs="Arial"/>
                <w:b/>
                <w:bCs/>
                <w:color w:val="005CA9"/>
                <w:sz w:val="16"/>
                <w:szCs w:val="16"/>
              </w:rPr>
            </w:pPr>
            <w:r>
              <w:rPr>
                <w:rFonts w:ascii="CAIXA Std Book" w:hAnsi="CAIXA Std Book" w:cs="Calibri"/>
                <w:b/>
                <w:color w:val="005CA9"/>
                <w:sz w:val="16"/>
                <w:szCs w:val="16"/>
              </w:rPr>
              <w:t>6.168.729</w:t>
            </w:r>
          </w:p>
        </w:tc>
        <w:tc>
          <w:tcPr>
            <w:tcW w:w="457" w:type="pct"/>
            <w:tcBorders>
              <w:top w:val="nil"/>
              <w:left w:val="nil"/>
              <w:bottom w:val="single" w:sz="4" w:space="0" w:color="FFFFFF" w:themeColor="background1"/>
              <w:right w:val="nil"/>
            </w:tcBorders>
            <w:shd w:val="clear" w:color="auto" w:fill="D0E0E3"/>
            <w:noWrap/>
            <w:vAlign w:val="center"/>
          </w:tcPr>
          <w:p w14:paraId="20E5EF52" w14:textId="77777777" w:rsidR="00AD12DB" w:rsidRPr="00A614F2" w:rsidRDefault="00AD12DB">
            <w:pPr>
              <w:jc w:val="right"/>
              <w:rPr>
                <w:rFonts w:ascii="CAIXA Std Book" w:hAnsi="CAIXA Std Book" w:cs="Arial"/>
                <w:b/>
                <w:bCs/>
                <w:color w:val="005CA9"/>
                <w:sz w:val="16"/>
                <w:szCs w:val="16"/>
              </w:rPr>
            </w:pPr>
            <w:r>
              <w:rPr>
                <w:rFonts w:ascii="CAIXA Std Book" w:hAnsi="CAIXA Std Book" w:cs="Calibri"/>
                <w:b/>
                <w:color w:val="005CA9"/>
                <w:sz w:val="16"/>
                <w:szCs w:val="16"/>
              </w:rPr>
              <w:t>9.440.177</w:t>
            </w:r>
          </w:p>
        </w:tc>
      </w:tr>
      <w:tr w:rsidR="00AD12DB" w:rsidRPr="006F7A41" w14:paraId="036C2E53" w14:textId="77777777" w:rsidTr="00C5159C">
        <w:trPr>
          <w:trHeight w:val="283"/>
        </w:trPr>
        <w:tc>
          <w:tcPr>
            <w:tcW w:w="2256" w:type="pct"/>
            <w:tcBorders>
              <w:top w:val="single" w:sz="4" w:space="0" w:color="FFFFFF" w:themeColor="background1"/>
              <w:left w:val="nil"/>
              <w:bottom w:val="single" w:sz="4" w:space="0" w:color="FFFFFF" w:themeColor="background1"/>
              <w:right w:val="nil"/>
            </w:tcBorders>
            <w:shd w:val="clear" w:color="auto" w:fill="D0E0E3"/>
            <w:noWrap/>
            <w:vAlign w:val="center"/>
            <w:hideMark/>
          </w:tcPr>
          <w:p w14:paraId="14325EA6" w14:textId="77777777" w:rsidR="00AD12DB" w:rsidRPr="00E62DC7" w:rsidRDefault="00AD12DB">
            <w:pPr>
              <w:rPr>
                <w:rFonts w:ascii="CAIXA Std Book" w:eastAsia="Times New Roman" w:hAnsi="CAIXA Std Book" w:cs="Arial"/>
                <w:b/>
                <w:bCs/>
                <w:color w:val="005CA9"/>
                <w:sz w:val="16"/>
                <w:szCs w:val="16"/>
              </w:rPr>
            </w:pPr>
            <w:r w:rsidRPr="00114B04">
              <w:rPr>
                <w:rFonts w:ascii="CAIXA Std Book" w:eastAsia="Times New Roman" w:hAnsi="CAIXA Std Book" w:cs="Arial"/>
                <w:b/>
                <w:bCs/>
                <w:color w:val="005CA9"/>
                <w:sz w:val="16"/>
                <w:szCs w:val="16"/>
              </w:rPr>
              <w:t>Perdas esperadas com garantias prestadas e compromissos de empréstimos</w:t>
            </w:r>
          </w:p>
        </w:tc>
        <w:tc>
          <w:tcPr>
            <w:tcW w:w="457" w:type="pct"/>
            <w:tcBorders>
              <w:top w:val="single" w:sz="4" w:space="0" w:color="FFFFFF" w:themeColor="background1"/>
              <w:left w:val="nil"/>
              <w:bottom w:val="single" w:sz="4" w:space="0" w:color="FFFFFF" w:themeColor="background1"/>
              <w:right w:val="nil"/>
            </w:tcBorders>
            <w:shd w:val="clear" w:color="auto" w:fill="D0E0E3"/>
            <w:noWrap/>
            <w:vAlign w:val="center"/>
          </w:tcPr>
          <w:p w14:paraId="6B65BA87" w14:textId="29C135D1" w:rsidR="00AD12DB" w:rsidRPr="00A614F2" w:rsidRDefault="00E724D3">
            <w:pPr>
              <w:jc w:val="right"/>
              <w:rPr>
                <w:rFonts w:ascii="CAIXA Std Book" w:hAnsi="CAIXA Std Book" w:cs="Arial"/>
                <w:b/>
                <w:bCs/>
                <w:color w:val="005CA9"/>
                <w:sz w:val="16"/>
                <w:szCs w:val="16"/>
              </w:rPr>
            </w:pPr>
            <w:r w:rsidRPr="00E724D3">
              <w:rPr>
                <w:rFonts w:ascii="CAIXA Std Book" w:hAnsi="CAIXA Std Book" w:cs="Arial"/>
                <w:b/>
                <w:bCs/>
                <w:color w:val="005CA9"/>
                <w:sz w:val="16"/>
                <w:szCs w:val="16"/>
              </w:rPr>
              <w:t>551.142</w:t>
            </w:r>
          </w:p>
        </w:tc>
        <w:tc>
          <w:tcPr>
            <w:tcW w:w="457" w:type="pct"/>
            <w:tcBorders>
              <w:top w:val="single" w:sz="4" w:space="0" w:color="FFFFFF" w:themeColor="background1"/>
              <w:left w:val="nil"/>
              <w:bottom w:val="single" w:sz="4" w:space="0" w:color="FFFFFF" w:themeColor="background1"/>
              <w:right w:val="nil"/>
            </w:tcBorders>
            <w:shd w:val="clear" w:color="auto" w:fill="D0E0E3"/>
            <w:noWrap/>
            <w:vAlign w:val="center"/>
          </w:tcPr>
          <w:p w14:paraId="38B1BE09" w14:textId="28B5F879" w:rsidR="00AD12DB" w:rsidRPr="00A614F2" w:rsidRDefault="000D212B">
            <w:pPr>
              <w:jc w:val="right"/>
              <w:rPr>
                <w:rFonts w:ascii="CAIXA Std Book" w:hAnsi="CAIXA Std Book" w:cs="Arial"/>
                <w:b/>
                <w:bCs/>
                <w:color w:val="005CA9"/>
                <w:sz w:val="16"/>
                <w:szCs w:val="16"/>
              </w:rPr>
            </w:pPr>
            <w:r w:rsidRPr="000D212B">
              <w:rPr>
                <w:rFonts w:ascii="CAIXA Std Book" w:hAnsi="CAIXA Std Book" w:cs="Arial"/>
                <w:b/>
                <w:bCs/>
                <w:color w:val="005CA9"/>
                <w:sz w:val="16"/>
                <w:szCs w:val="16"/>
              </w:rPr>
              <w:t>757.302</w:t>
            </w:r>
          </w:p>
        </w:tc>
        <w:tc>
          <w:tcPr>
            <w:tcW w:w="457" w:type="pct"/>
            <w:tcBorders>
              <w:top w:val="single" w:sz="4" w:space="0" w:color="FFFFFF" w:themeColor="background1"/>
              <w:left w:val="nil"/>
              <w:bottom w:val="single" w:sz="4" w:space="0" w:color="FFFFFF" w:themeColor="background1"/>
              <w:right w:val="nil"/>
            </w:tcBorders>
            <w:shd w:val="clear" w:color="auto" w:fill="D0E0E3"/>
            <w:noWrap/>
            <w:vAlign w:val="center"/>
          </w:tcPr>
          <w:p w14:paraId="15D435D1" w14:textId="282F659C" w:rsidR="00AD12DB" w:rsidRPr="00A614F2" w:rsidRDefault="000D212B">
            <w:pPr>
              <w:jc w:val="right"/>
              <w:rPr>
                <w:rFonts w:ascii="CAIXA Std Book" w:hAnsi="CAIXA Std Book" w:cs="Arial"/>
                <w:b/>
                <w:bCs/>
                <w:color w:val="005CA9"/>
                <w:sz w:val="16"/>
                <w:szCs w:val="16"/>
              </w:rPr>
            </w:pPr>
            <w:r w:rsidRPr="000D212B">
              <w:rPr>
                <w:rFonts w:ascii="CAIXA Std Book" w:hAnsi="CAIXA Std Book" w:cs="Arial"/>
                <w:b/>
                <w:bCs/>
                <w:color w:val="005CA9"/>
                <w:sz w:val="16"/>
                <w:szCs w:val="16"/>
              </w:rPr>
              <w:t>1.308.444</w:t>
            </w:r>
          </w:p>
        </w:tc>
        <w:tc>
          <w:tcPr>
            <w:tcW w:w="457" w:type="pct"/>
            <w:tcBorders>
              <w:top w:val="single" w:sz="4" w:space="0" w:color="FFFFFF" w:themeColor="background1"/>
              <w:left w:val="nil"/>
              <w:bottom w:val="single" w:sz="4" w:space="0" w:color="FFFFFF" w:themeColor="background1"/>
              <w:right w:val="nil"/>
            </w:tcBorders>
            <w:shd w:val="clear" w:color="auto" w:fill="D0E0E3"/>
            <w:noWrap/>
            <w:vAlign w:val="center"/>
          </w:tcPr>
          <w:p w14:paraId="09213E8A" w14:textId="77777777" w:rsidR="00AD12DB" w:rsidRPr="00A614F2" w:rsidRDefault="00AD12DB">
            <w:pPr>
              <w:jc w:val="right"/>
              <w:rPr>
                <w:rFonts w:ascii="CAIXA Std Book" w:hAnsi="CAIXA Std Book" w:cs="Arial"/>
                <w:b/>
                <w:bCs/>
                <w:color w:val="005CA9"/>
                <w:sz w:val="16"/>
                <w:szCs w:val="16"/>
              </w:rPr>
            </w:pPr>
            <w:r>
              <w:rPr>
                <w:rFonts w:ascii="CAIXA Std Book" w:hAnsi="CAIXA Std Book" w:cs="Calibri"/>
                <w:b/>
                <w:color w:val="005CA9"/>
                <w:sz w:val="16"/>
                <w:szCs w:val="16"/>
              </w:rPr>
              <w:t>1.133.445</w:t>
            </w:r>
          </w:p>
        </w:tc>
        <w:tc>
          <w:tcPr>
            <w:tcW w:w="457" w:type="pct"/>
            <w:tcBorders>
              <w:top w:val="single" w:sz="4" w:space="0" w:color="FFFFFF" w:themeColor="background1"/>
              <w:left w:val="nil"/>
              <w:bottom w:val="single" w:sz="4" w:space="0" w:color="FFFFFF" w:themeColor="background1"/>
              <w:right w:val="nil"/>
            </w:tcBorders>
            <w:shd w:val="clear" w:color="auto" w:fill="D0E0E3"/>
            <w:noWrap/>
            <w:vAlign w:val="center"/>
          </w:tcPr>
          <w:p w14:paraId="5B68DCAB" w14:textId="77777777" w:rsidR="00AD12DB" w:rsidRPr="00A614F2" w:rsidRDefault="00AD12DB">
            <w:pPr>
              <w:jc w:val="right"/>
              <w:rPr>
                <w:rFonts w:ascii="CAIXA Std Book" w:hAnsi="CAIXA Std Book" w:cs="Arial"/>
                <w:b/>
                <w:bCs/>
                <w:color w:val="005CA9"/>
                <w:sz w:val="16"/>
                <w:szCs w:val="16"/>
              </w:rPr>
            </w:pPr>
            <w:r>
              <w:rPr>
                <w:rFonts w:ascii="CAIXA Std Book" w:hAnsi="CAIXA Std Book" w:cs="Calibri"/>
                <w:b/>
                <w:color w:val="005CA9"/>
                <w:sz w:val="16"/>
                <w:szCs w:val="16"/>
              </w:rPr>
              <w:t>629.984</w:t>
            </w:r>
          </w:p>
        </w:tc>
        <w:tc>
          <w:tcPr>
            <w:tcW w:w="457" w:type="pct"/>
            <w:tcBorders>
              <w:top w:val="single" w:sz="4" w:space="0" w:color="FFFFFF" w:themeColor="background1"/>
              <w:left w:val="nil"/>
              <w:bottom w:val="single" w:sz="4" w:space="0" w:color="FFFFFF" w:themeColor="background1"/>
              <w:right w:val="nil"/>
            </w:tcBorders>
            <w:shd w:val="clear" w:color="auto" w:fill="D0E0E3"/>
            <w:noWrap/>
            <w:vAlign w:val="center"/>
          </w:tcPr>
          <w:p w14:paraId="60E67039" w14:textId="77777777" w:rsidR="00AD12DB" w:rsidRPr="00A614F2" w:rsidRDefault="00AD12DB">
            <w:pPr>
              <w:jc w:val="right"/>
              <w:rPr>
                <w:rFonts w:ascii="CAIXA Std Book" w:hAnsi="CAIXA Std Book" w:cs="Arial"/>
                <w:b/>
                <w:bCs/>
                <w:color w:val="005CA9"/>
                <w:sz w:val="16"/>
                <w:szCs w:val="16"/>
              </w:rPr>
            </w:pPr>
            <w:r>
              <w:rPr>
                <w:rFonts w:ascii="CAIXA Std Book" w:hAnsi="CAIXA Std Book" w:cs="Calibri"/>
                <w:b/>
                <w:color w:val="005CA9"/>
                <w:sz w:val="16"/>
                <w:szCs w:val="16"/>
              </w:rPr>
              <w:t>1.763.429</w:t>
            </w:r>
          </w:p>
        </w:tc>
      </w:tr>
      <w:tr w:rsidR="00AD12DB" w:rsidRPr="006F7A41" w14:paraId="1BDA9AED" w14:textId="77777777" w:rsidTr="00C5159C">
        <w:trPr>
          <w:trHeight w:val="283"/>
        </w:trPr>
        <w:tc>
          <w:tcPr>
            <w:tcW w:w="2256" w:type="pct"/>
            <w:tcBorders>
              <w:top w:val="single" w:sz="4" w:space="0" w:color="FFFFFF" w:themeColor="background1"/>
              <w:left w:val="nil"/>
              <w:bottom w:val="nil"/>
              <w:right w:val="nil"/>
            </w:tcBorders>
            <w:shd w:val="clear" w:color="auto" w:fill="D0E0E3"/>
            <w:noWrap/>
            <w:vAlign w:val="center"/>
            <w:hideMark/>
          </w:tcPr>
          <w:p w14:paraId="6839E40A" w14:textId="77777777" w:rsidR="00AD12DB" w:rsidRPr="00E62DC7" w:rsidRDefault="00AD12DB">
            <w:pPr>
              <w:rPr>
                <w:rFonts w:ascii="CAIXA Std Book" w:eastAsia="Times New Roman" w:hAnsi="CAIXA Std Book" w:cs="Arial"/>
                <w:b/>
                <w:bCs/>
                <w:color w:val="005CA9"/>
                <w:sz w:val="16"/>
                <w:szCs w:val="16"/>
              </w:rPr>
            </w:pPr>
            <w:r w:rsidRPr="00E62DC7">
              <w:rPr>
                <w:rFonts w:ascii="CAIXA Std Book" w:eastAsia="Times New Roman" w:hAnsi="CAIXA Std Book" w:cs="Arial"/>
                <w:b/>
                <w:bCs/>
                <w:color w:val="005CA9"/>
                <w:sz w:val="16"/>
                <w:szCs w:val="16"/>
              </w:rPr>
              <w:t>Passivos fiscais</w:t>
            </w:r>
          </w:p>
        </w:tc>
        <w:tc>
          <w:tcPr>
            <w:tcW w:w="457" w:type="pct"/>
            <w:tcBorders>
              <w:top w:val="single" w:sz="4" w:space="0" w:color="FFFFFF" w:themeColor="background1"/>
              <w:left w:val="nil"/>
              <w:bottom w:val="nil"/>
              <w:right w:val="nil"/>
            </w:tcBorders>
            <w:shd w:val="clear" w:color="auto" w:fill="D0E0E3"/>
            <w:noWrap/>
            <w:vAlign w:val="center"/>
          </w:tcPr>
          <w:p w14:paraId="0FEE5530" w14:textId="0E4195EB" w:rsidR="00AD12DB" w:rsidRPr="002E7D83" w:rsidRDefault="002112DF">
            <w:pPr>
              <w:jc w:val="right"/>
              <w:rPr>
                <w:rFonts w:ascii="CAIXA Std Book" w:hAnsi="CAIXA Std Book" w:cs="Calibri"/>
                <w:b/>
                <w:color w:val="005CA9"/>
                <w:sz w:val="16"/>
                <w:szCs w:val="16"/>
              </w:rPr>
            </w:pPr>
            <w:r>
              <w:rPr>
                <w:rFonts w:ascii="CAIXA Std Book" w:hAnsi="CAIXA Std Book" w:cs="Arial"/>
                <w:b/>
                <w:bCs/>
                <w:color w:val="005CA9"/>
                <w:sz w:val="16"/>
                <w:szCs w:val="16"/>
              </w:rPr>
              <w:t>6.609.627</w:t>
            </w:r>
          </w:p>
        </w:tc>
        <w:tc>
          <w:tcPr>
            <w:tcW w:w="457" w:type="pct"/>
            <w:tcBorders>
              <w:top w:val="single" w:sz="4" w:space="0" w:color="FFFFFF" w:themeColor="background1"/>
              <w:left w:val="nil"/>
              <w:bottom w:val="nil"/>
              <w:right w:val="nil"/>
            </w:tcBorders>
            <w:shd w:val="clear" w:color="auto" w:fill="D0E0E3"/>
            <w:noWrap/>
            <w:vAlign w:val="center"/>
          </w:tcPr>
          <w:p w14:paraId="4546C816" w14:textId="5FDBD4FC" w:rsidR="00AD12DB" w:rsidRPr="002E7D83" w:rsidRDefault="002112DF">
            <w:pPr>
              <w:jc w:val="center"/>
              <w:rPr>
                <w:rFonts w:ascii="CAIXA Std Book" w:hAnsi="CAIXA Std Book" w:cs="Calibri"/>
                <w:b/>
                <w:color w:val="005CA9"/>
                <w:sz w:val="16"/>
                <w:szCs w:val="16"/>
              </w:rPr>
            </w:pPr>
            <w:r>
              <w:rPr>
                <w:rFonts w:ascii="CAIXA Std Book" w:hAnsi="CAIXA Std Book" w:cs="Arial"/>
                <w:b/>
                <w:bCs/>
                <w:color w:val="005CA9"/>
                <w:sz w:val="16"/>
                <w:szCs w:val="16"/>
              </w:rPr>
              <w:t>-</w:t>
            </w:r>
          </w:p>
        </w:tc>
        <w:tc>
          <w:tcPr>
            <w:tcW w:w="457" w:type="pct"/>
            <w:tcBorders>
              <w:top w:val="single" w:sz="4" w:space="0" w:color="FFFFFF" w:themeColor="background1"/>
              <w:left w:val="nil"/>
              <w:bottom w:val="nil"/>
              <w:right w:val="nil"/>
            </w:tcBorders>
            <w:shd w:val="clear" w:color="auto" w:fill="D0E0E3"/>
            <w:noWrap/>
            <w:vAlign w:val="center"/>
          </w:tcPr>
          <w:p w14:paraId="4776CFEE" w14:textId="3E203FA6" w:rsidR="00AD12DB" w:rsidRPr="002E7D83" w:rsidRDefault="002112DF">
            <w:pPr>
              <w:jc w:val="right"/>
              <w:rPr>
                <w:rFonts w:ascii="CAIXA Std Book" w:hAnsi="CAIXA Std Book" w:cs="Calibri"/>
                <w:b/>
                <w:color w:val="005CA9"/>
                <w:sz w:val="16"/>
                <w:szCs w:val="16"/>
              </w:rPr>
            </w:pPr>
            <w:r>
              <w:rPr>
                <w:rFonts w:ascii="CAIXA Std Book" w:hAnsi="CAIXA Std Book" w:cs="Arial"/>
                <w:b/>
                <w:bCs/>
                <w:color w:val="005CA9"/>
                <w:sz w:val="16"/>
                <w:szCs w:val="16"/>
              </w:rPr>
              <w:t>6.609.627</w:t>
            </w:r>
          </w:p>
        </w:tc>
        <w:tc>
          <w:tcPr>
            <w:tcW w:w="457" w:type="pct"/>
            <w:tcBorders>
              <w:top w:val="single" w:sz="4" w:space="0" w:color="FFFFFF" w:themeColor="background1"/>
              <w:left w:val="nil"/>
              <w:bottom w:val="nil"/>
              <w:right w:val="nil"/>
            </w:tcBorders>
            <w:shd w:val="clear" w:color="auto" w:fill="D0E0E3"/>
            <w:noWrap/>
            <w:vAlign w:val="center"/>
          </w:tcPr>
          <w:p w14:paraId="3413B26E" w14:textId="77777777" w:rsidR="00AD12DB" w:rsidRPr="002E7D83" w:rsidRDefault="00AD12DB">
            <w:pPr>
              <w:jc w:val="right"/>
              <w:rPr>
                <w:rFonts w:ascii="CAIXA Std Book" w:hAnsi="CAIXA Std Book" w:cs="Calibri"/>
                <w:b/>
                <w:color w:val="005CA9"/>
                <w:sz w:val="16"/>
                <w:szCs w:val="16"/>
              </w:rPr>
            </w:pPr>
            <w:r>
              <w:rPr>
                <w:rFonts w:ascii="CAIXA Std Book" w:hAnsi="CAIXA Std Book" w:cs="Calibri"/>
                <w:b/>
                <w:color w:val="005CA9"/>
                <w:sz w:val="16"/>
                <w:szCs w:val="16"/>
              </w:rPr>
              <w:t>6.628.630</w:t>
            </w:r>
          </w:p>
        </w:tc>
        <w:tc>
          <w:tcPr>
            <w:tcW w:w="457" w:type="pct"/>
            <w:tcBorders>
              <w:top w:val="single" w:sz="4" w:space="0" w:color="FFFFFF" w:themeColor="background1"/>
              <w:left w:val="nil"/>
              <w:bottom w:val="nil"/>
              <w:right w:val="nil"/>
            </w:tcBorders>
            <w:shd w:val="clear" w:color="auto" w:fill="D0E0E3"/>
            <w:noWrap/>
            <w:vAlign w:val="center"/>
          </w:tcPr>
          <w:p w14:paraId="72B0FF0C" w14:textId="77777777" w:rsidR="00AD12DB" w:rsidRPr="002E7D83" w:rsidRDefault="00AD12DB">
            <w:pPr>
              <w:jc w:val="center"/>
              <w:rPr>
                <w:rFonts w:ascii="CAIXA Std Book" w:hAnsi="CAIXA Std Book" w:cs="Calibri"/>
                <w:b/>
                <w:color w:val="005CA9"/>
                <w:sz w:val="16"/>
                <w:szCs w:val="16"/>
              </w:rPr>
            </w:pPr>
            <w:r>
              <w:rPr>
                <w:rFonts w:ascii="CAIXA Std Book" w:hAnsi="CAIXA Std Book" w:cs="Calibri"/>
                <w:b/>
                <w:color w:val="005CA9"/>
                <w:sz w:val="16"/>
                <w:szCs w:val="16"/>
              </w:rPr>
              <w:t>-</w:t>
            </w:r>
          </w:p>
        </w:tc>
        <w:tc>
          <w:tcPr>
            <w:tcW w:w="457" w:type="pct"/>
            <w:tcBorders>
              <w:top w:val="single" w:sz="4" w:space="0" w:color="FFFFFF" w:themeColor="background1"/>
              <w:left w:val="nil"/>
              <w:bottom w:val="nil"/>
              <w:right w:val="nil"/>
            </w:tcBorders>
            <w:shd w:val="clear" w:color="auto" w:fill="D0E0E3"/>
            <w:noWrap/>
            <w:vAlign w:val="center"/>
          </w:tcPr>
          <w:p w14:paraId="0B356E71" w14:textId="77777777" w:rsidR="00AD12DB" w:rsidRPr="002E7D83" w:rsidRDefault="00AD12DB">
            <w:pPr>
              <w:jc w:val="right"/>
              <w:rPr>
                <w:rFonts w:ascii="CAIXA Std Book" w:hAnsi="CAIXA Std Book" w:cs="Calibri"/>
                <w:b/>
                <w:color w:val="005CA9"/>
                <w:sz w:val="16"/>
                <w:szCs w:val="16"/>
              </w:rPr>
            </w:pPr>
            <w:r>
              <w:rPr>
                <w:rFonts w:ascii="CAIXA Std Book" w:hAnsi="CAIXA Std Book" w:cs="Calibri"/>
                <w:b/>
                <w:color w:val="005CA9"/>
                <w:sz w:val="16"/>
                <w:szCs w:val="16"/>
              </w:rPr>
              <w:t>6.628.630</w:t>
            </w:r>
          </w:p>
        </w:tc>
      </w:tr>
      <w:tr w:rsidR="00AD12DB" w:rsidRPr="006F7A41" w14:paraId="4EC252DB" w14:textId="77777777" w:rsidTr="001E6A64">
        <w:trPr>
          <w:trHeight w:val="283"/>
        </w:trPr>
        <w:tc>
          <w:tcPr>
            <w:tcW w:w="2256" w:type="pct"/>
            <w:tcBorders>
              <w:top w:val="nil"/>
              <w:left w:val="nil"/>
              <w:bottom w:val="nil"/>
              <w:right w:val="nil"/>
            </w:tcBorders>
            <w:noWrap/>
            <w:vAlign w:val="center"/>
            <w:hideMark/>
          </w:tcPr>
          <w:p w14:paraId="2C764094" w14:textId="77777777" w:rsidR="00AD12DB" w:rsidRPr="00E62DC7" w:rsidRDefault="00AD12DB">
            <w:pPr>
              <w:ind w:firstLineChars="100" w:firstLine="160"/>
              <w:rPr>
                <w:rFonts w:ascii="CAIXA Std Book" w:eastAsia="Times New Roman" w:hAnsi="CAIXA Std Book" w:cs="Arial"/>
                <w:color w:val="005CA9"/>
                <w:sz w:val="16"/>
                <w:szCs w:val="16"/>
              </w:rPr>
            </w:pPr>
            <w:r w:rsidRPr="00E62DC7">
              <w:rPr>
                <w:rFonts w:ascii="CAIXA Std Book" w:eastAsia="Times New Roman" w:hAnsi="CAIXA Std Book" w:cs="Arial"/>
                <w:color w:val="005CA9"/>
                <w:sz w:val="16"/>
                <w:szCs w:val="16"/>
              </w:rPr>
              <w:t>Correntes</w:t>
            </w:r>
          </w:p>
        </w:tc>
        <w:tc>
          <w:tcPr>
            <w:tcW w:w="457" w:type="pct"/>
            <w:tcBorders>
              <w:top w:val="nil"/>
              <w:left w:val="nil"/>
              <w:bottom w:val="nil"/>
              <w:right w:val="nil"/>
            </w:tcBorders>
            <w:noWrap/>
            <w:vAlign w:val="center"/>
          </w:tcPr>
          <w:p w14:paraId="4F98365F" w14:textId="2EBCB05B" w:rsidR="00AD12DB" w:rsidRPr="00DA1DC7" w:rsidRDefault="000B44FE">
            <w:pPr>
              <w:jc w:val="right"/>
              <w:rPr>
                <w:rFonts w:ascii="CAIXA Std Book" w:hAnsi="CAIXA Std Book" w:cs="Arial"/>
                <w:color w:val="005CA9"/>
                <w:sz w:val="16"/>
                <w:szCs w:val="16"/>
              </w:rPr>
            </w:pPr>
            <w:r>
              <w:rPr>
                <w:rFonts w:ascii="CAIXA Std Book" w:hAnsi="CAIXA Std Book" w:cs="Arial"/>
                <w:color w:val="005CA9"/>
                <w:sz w:val="16"/>
                <w:szCs w:val="16"/>
              </w:rPr>
              <w:t>1.960.310</w:t>
            </w:r>
          </w:p>
        </w:tc>
        <w:tc>
          <w:tcPr>
            <w:tcW w:w="457" w:type="pct"/>
            <w:tcBorders>
              <w:top w:val="nil"/>
              <w:left w:val="nil"/>
              <w:bottom w:val="nil"/>
              <w:right w:val="nil"/>
            </w:tcBorders>
            <w:noWrap/>
            <w:vAlign w:val="center"/>
          </w:tcPr>
          <w:p w14:paraId="1D6AB4BA" w14:textId="2D6A1D7C" w:rsidR="00AD12DB" w:rsidRPr="00DA1DC7" w:rsidRDefault="000B44FE">
            <w:pPr>
              <w:jc w:val="center"/>
              <w:rPr>
                <w:rFonts w:ascii="CAIXA Std Book" w:hAnsi="CAIXA Std Book" w:cs="Arial"/>
                <w:color w:val="005CA9"/>
                <w:sz w:val="16"/>
                <w:szCs w:val="16"/>
              </w:rPr>
            </w:pPr>
            <w:r>
              <w:rPr>
                <w:rFonts w:ascii="CAIXA Std Book" w:hAnsi="CAIXA Std Book" w:cs="Arial"/>
                <w:color w:val="005CA9"/>
                <w:sz w:val="16"/>
                <w:szCs w:val="16"/>
              </w:rPr>
              <w:t>-</w:t>
            </w:r>
          </w:p>
        </w:tc>
        <w:tc>
          <w:tcPr>
            <w:tcW w:w="457" w:type="pct"/>
            <w:tcBorders>
              <w:top w:val="nil"/>
              <w:left w:val="nil"/>
              <w:bottom w:val="nil"/>
              <w:right w:val="nil"/>
            </w:tcBorders>
            <w:noWrap/>
            <w:vAlign w:val="center"/>
          </w:tcPr>
          <w:p w14:paraId="21A411B9" w14:textId="16209097" w:rsidR="00AD12DB" w:rsidRPr="00DA1DC7" w:rsidRDefault="002112DF">
            <w:pPr>
              <w:jc w:val="right"/>
              <w:rPr>
                <w:rFonts w:ascii="CAIXA Std Book" w:hAnsi="CAIXA Std Book" w:cs="Arial"/>
                <w:color w:val="005CA9"/>
                <w:sz w:val="16"/>
                <w:szCs w:val="16"/>
              </w:rPr>
            </w:pPr>
            <w:r>
              <w:rPr>
                <w:rFonts w:ascii="CAIXA Std Book" w:hAnsi="CAIXA Std Book" w:cs="Arial"/>
                <w:color w:val="005CA9"/>
                <w:sz w:val="16"/>
                <w:szCs w:val="16"/>
              </w:rPr>
              <w:t>1.960.310</w:t>
            </w:r>
          </w:p>
        </w:tc>
        <w:tc>
          <w:tcPr>
            <w:tcW w:w="457" w:type="pct"/>
            <w:tcBorders>
              <w:top w:val="nil"/>
              <w:left w:val="nil"/>
              <w:bottom w:val="nil"/>
              <w:right w:val="nil"/>
            </w:tcBorders>
            <w:noWrap/>
            <w:vAlign w:val="center"/>
          </w:tcPr>
          <w:p w14:paraId="2E48AAFE" w14:textId="77777777" w:rsidR="00AD12DB" w:rsidRPr="00DA1DC7" w:rsidRDefault="00AD12DB">
            <w:pPr>
              <w:jc w:val="right"/>
              <w:rPr>
                <w:rFonts w:ascii="CAIXA Std Book" w:hAnsi="CAIXA Std Book" w:cs="Arial"/>
                <w:color w:val="005CA9"/>
                <w:sz w:val="16"/>
                <w:szCs w:val="16"/>
              </w:rPr>
            </w:pPr>
            <w:r>
              <w:rPr>
                <w:rFonts w:ascii="CAIXA Std Book" w:hAnsi="CAIXA Std Book" w:cs="Calibri"/>
                <w:color w:val="005CA9"/>
                <w:sz w:val="16"/>
                <w:szCs w:val="16"/>
              </w:rPr>
              <w:t>2.150.508</w:t>
            </w:r>
          </w:p>
        </w:tc>
        <w:tc>
          <w:tcPr>
            <w:tcW w:w="457" w:type="pct"/>
            <w:tcBorders>
              <w:top w:val="nil"/>
              <w:left w:val="nil"/>
              <w:bottom w:val="nil"/>
              <w:right w:val="nil"/>
            </w:tcBorders>
            <w:noWrap/>
            <w:vAlign w:val="center"/>
          </w:tcPr>
          <w:p w14:paraId="34D4A25F" w14:textId="77777777" w:rsidR="00AD12DB" w:rsidRPr="00DA1DC7" w:rsidRDefault="00AD12DB">
            <w:pPr>
              <w:jc w:val="center"/>
              <w:rPr>
                <w:rFonts w:ascii="CAIXA Std Book" w:hAnsi="CAIXA Std Book" w:cs="Arial"/>
                <w:color w:val="005CA9"/>
                <w:sz w:val="16"/>
                <w:szCs w:val="16"/>
              </w:rPr>
            </w:pPr>
            <w:r>
              <w:rPr>
                <w:rFonts w:ascii="CAIXA Std Book" w:hAnsi="CAIXA Std Book" w:cs="Calibri"/>
                <w:color w:val="005CA9"/>
                <w:sz w:val="16"/>
                <w:szCs w:val="16"/>
              </w:rPr>
              <w:t>-</w:t>
            </w:r>
          </w:p>
        </w:tc>
        <w:tc>
          <w:tcPr>
            <w:tcW w:w="457" w:type="pct"/>
            <w:tcBorders>
              <w:top w:val="nil"/>
              <w:left w:val="nil"/>
              <w:bottom w:val="nil"/>
              <w:right w:val="nil"/>
            </w:tcBorders>
            <w:noWrap/>
            <w:vAlign w:val="center"/>
          </w:tcPr>
          <w:p w14:paraId="5C65F705" w14:textId="77777777" w:rsidR="00AD12DB" w:rsidRPr="00DA1DC7" w:rsidRDefault="00AD12DB">
            <w:pPr>
              <w:jc w:val="right"/>
              <w:rPr>
                <w:rFonts w:ascii="CAIXA Std Book" w:hAnsi="CAIXA Std Book" w:cs="Arial"/>
                <w:color w:val="005CA9"/>
                <w:sz w:val="16"/>
                <w:szCs w:val="16"/>
              </w:rPr>
            </w:pPr>
            <w:r>
              <w:rPr>
                <w:rFonts w:ascii="CAIXA Std Book" w:hAnsi="CAIXA Std Book" w:cs="Calibri"/>
                <w:color w:val="005CA9"/>
                <w:sz w:val="16"/>
                <w:szCs w:val="16"/>
              </w:rPr>
              <w:t>2.150.508</w:t>
            </w:r>
          </w:p>
        </w:tc>
      </w:tr>
      <w:tr w:rsidR="00AD12DB" w:rsidRPr="006F7A41" w14:paraId="6B6236EE" w14:textId="77777777" w:rsidTr="00C5159C">
        <w:trPr>
          <w:trHeight w:val="283"/>
        </w:trPr>
        <w:tc>
          <w:tcPr>
            <w:tcW w:w="2256" w:type="pct"/>
            <w:tcBorders>
              <w:top w:val="nil"/>
              <w:left w:val="nil"/>
              <w:right w:val="nil"/>
            </w:tcBorders>
            <w:noWrap/>
            <w:vAlign w:val="center"/>
            <w:hideMark/>
          </w:tcPr>
          <w:p w14:paraId="0FF185CF" w14:textId="77777777" w:rsidR="00AD12DB" w:rsidRPr="00E62DC7" w:rsidRDefault="00AD12DB">
            <w:pPr>
              <w:ind w:firstLineChars="100" w:firstLine="160"/>
              <w:rPr>
                <w:rFonts w:ascii="CAIXA Std Book" w:eastAsia="Times New Roman" w:hAnsi="CAIXA Std Book" w:cs="Arial"/>
                <w:color w:val="005CA9"/>
                <w:sz w:val="16"/>
                <w:szCs w:val="16"/>
              </w:rPr>
            </w:pPr>
            <w:r w:rsidRPr="00E62DC7">
              <w:rPr>
                <w:rFonts w:ascii="CAIXA Std Book" w:eastAsia="Times New Roman" w:hAnsi="CAIXA Std Book" w:cs="Arial"/>
                <w:color w:val="005CA9"/>
                <w:sz w:val="16"/>
                <w:szCs w:val="16"/>
              </w:rPr>
              <w:t>Diferidos</w:t>
            </w:r>
          </w:p>
        </w:tc>
        <w:tc>
          <w:tcPr>
            <w:tcW w:w="457" w:type="pct"/>
            <w:tcBorders>
              <w:top w:val="nil"/>
              <w:left w:val="nil"/>
              <w:right w:val="nil"/>
            </w:tcBorders>
            <w:noWrap/>
            <w:vAlign w:val="center"/>
          </w:tcPr>
          <w:p w14:paraId="3FA71F68" w14:textId="4106C3E4" w:rsidR="00AD12DB" w:rsidRPr="00DA1DC7" w:rsidRDefault="000B44FE">
            <w:pPr>
              <w:jc w:val="right"/>
              <w:rPr>
                <w:rFonts w:ascii="CAIXA Std Book" w:hAnsi="CAIXA Std Book" w:cs="Arial"/>
                <w:color w:val="005CA9"/>
                <w:sz w:val="16"/>
                <w:szCs w:val="16"/>
              </w:rPr>
            </w:pPr>
            <w:r>
              <w:rPr>
                <w:rFonts w:ascii="CAIXA Std Book" w:hAnsi="CAIXA Std Book" w:cs="Arial"/>
                <w:color w:val="005CA9"/>
                <w:sz w:val="16"/>
                <w:szCs w:val="16"/>
              </w:rPr>
              <w:t>4.649.317</w:t>
            </w:r>
          </w:p>
        </w:tc>
        <w:tc>
          <w:tcPr>
            <w:tcW w:w="457" w:type="pct"/>
            <w:tcBorders>
              <w:top w:val="nil"/>
              <w:left w:val="nil"/>
              <w:right w:val="nil"/>
            </w:tcBorders>
            <w:noWrap/>
            <w:vAlign w:val="center"/>
          </w:tcPr>
          <w:p w14:paraId="096C9E05" w14:textId="7C97FDA1" w:rsidR="00AD12DB" w:rsidRPr="00DA1DC7" w:rsidRDefault="000B44FE">
            <w:pPr>
              <w:jc w:val="center"/>
              <w:rPr>
                <w:rFonts w:ascii="CAIXA Std Book" w:hAnsi="CAIXA Std Book" w:cs="Arial"/>
                <w:color w:val="005CA9"/>
                <w:sz w:val="16"/>
                <w:szCs w:val="16"/>
              </w:rPr>
            </w:pPr>
            <w:r>
              <w:rPr>
                <w:rFonts w:ascii="CAIXA Std Book" w:hAnsi="CAIXA Std Book" w:cs="Arial"/>
                <w:color w:val="005CA9"/>
                <w:sz w:val="16"/>
                <w:szCs w:val="16"/>
              </w:rPr>
              <w:t>-</w:t>
            </w:r>
          </w:p>
        </w:tc>
        <w:tc>
          <w:tcPr>
            <w:tcW w:w="457" w:type="pct"/>
            <w:tcBorders>
              <w:top w:val="nil"/>
              <w:left w:val="nil"/>
              <w:right w:val="nil"/>
            </w:tcBorders>
            <w:noWrap/>
            <w:vAlign w:val="center"/>
          </w:tcPr>
          <w:p w14:paraId="26F6D300" w14:textId="1332155F" w:rsidR="00AD12DB" w:rsidRPr="00DA1DC7" w:rsidRDefault="002112DF">
            <w:pPr>
              <w:jc w:val="right"/>
              <w:rPr>
                <w:rFonts w:ascii="CAIXA Std Book" w:hAnsi="CAIXA Std Book" w:cs="Arial"/>
                <w:color w:val="005CA9"/>
                <w:sz w:val="16"/>
                <w:szCs w:val="16"/>
              </w:rPr>
            </w:pPr>
            <w:r>
              <w:rPr>
                <w:rFonts w:ascii="CAIXA Std Book" w:hAnsi="CAIXA Std Book" w:cs="Arial"/>
                <w:color w:val="005CA9"/>
                <w:sz w:val="16"/>
                <w:szCs w:val="16"/>
              </w:rPr>
              <w:t>4.649.317</w:t>
            </w:r>
          </w:p>
        </w:tc>
        <w:tc>
          <w:tcPr>
            <w:tcW w:w="457" w:type="pct"/>
            <w:tcBorders>
              <w:top w:val="nil"/>
              <w:left w:val="nil"/>
              <w:right w:val="nil"/>
            </w:tcBorders>
            <w:noWrap/>
            <w:vAlign w:val="center"/>
          </w:tcPr>
          <w:p w14:paraId="66096EC8" w14:textId="77777777" w:rsidR="00AD12DB" w:rsidRPr="00DA1DC7" w:rsidRDefault="00AD12DB">
            <w:pPr>
              <w:jc w:val="right"/>
              <w:rPr>
                <w:rFonts w:ascii="CAIXA Std Book" w:hAnsi="CAIXA Std Book" w:cs="Arial"/>
                <w:color w:val="005CA9"/>
                <w:sz w:val="16"/>
                <w:szCs w:val="16"/>
              </w:rPr>
            </w:pPr>
            <w:r>
              <w:rPr>
                <w:rFonts w:ascii="CAIXA Std Book" w:hAnsi="CAIXA Std Book" w:cs="Calibri"/>
                <w:color w:val="005CA9"/>
                <w:sz w:val="16"/>
                <w:szCs w:val="16"/>
              </w:rPr>
              <w:t>4.478.122</w:t>
            </w:r>
          </w:p>
        </w:tc>
        <w:tc>
          <w:tcPr>
            <w:tcW w:w="457" w:type="pct"/>
            <w:tcBorders>
              <w:top w:val="nil"/>
              <w:left w:val="nil"/>
              <w:right w:val="nil"/>
            </w:tcBorders>
            <w:noWrap/>
            <w:vAlign w:val="center"/>
          </w:tcPr>
          <w:p w14:paraId="12EBC8F3" w14:textId="77777777" w:rsidR="00AD12DB" w:rsidRPr="00DA1DC7" w:rsidRDefault="00AD12DB">
            <w:pPr>
              <w:jc w:val="center"/>
              <w:rPr>
                <w:rFonts w:ascii="CAIXA Std Book" w:hAnsi="CAIXA Std Book" w:cs="Arial"/>
                <w:color w:val="005CA9"/>
                <w:sz w:val="16"/>
                <w:szCs w:val="16"/>
              </w:rPr>
            </w:pPr>
            <w:r>
              <w:rPr>
                <w:rFonts w:ascii="CAIXA Std Book" w:hAnsi="CAIXA Std Book" w:cs="Calibri"/>
                <w:color w:val="005CA9"/>
                <w:sz w:val="16"/>
                <w:szCs w:val="16"/>
              </w:rPr>
              <w:t>-</w:t>
            </w:r>
          </w:p>
        </w:tc>
        <w:tc>
          <w:tcPr>
            <w:tcW w:w="457" w:type="pct"/>
            <w:tcBorders>
              <w:top w:val="nil"/>
              <w:left w:val="nil"/>
              <w:right w:val="nil"/>
            </w:tcBorders>
            <w:noWrap/>
            <w:vAlign w:val="center"/>
          </w:tcPr>
          <w:p w14:paraId="7A88C108" w14:textId="77777777" w:rsidR="00AD12DB" w:rsidRPr="00DA1DC7" w:rsidRDefault="00AD12DB">
            <w:pPr>
              <w:jc w:val="right"/>
              <w:rPr>
                <w:rFonts w:ascii="CAIXA Std Book" w:hAnsi="CAIXA Std Book" w:cs="Arial"/>
                <w:color w:val="005CA9"/>
                <w:sz w:val="16"/>
                <w:szCs w:val="16"/>
              </w:rPr>
            </w:pPr>
            <w:r>
              <w:rPr>
                <w:rFonts w:ascii="CAIXA Std Book" w:hAnsi="CAIXA Std Book" w:cs="Calibri"/>
                <w:color w:val="005CA9"/>
                <w:sz w:val="16"/>
                <w:szCs w:val="16"/>
              </w:rPr>
              <w:t>4.478.122</w:t>
            </w:r>
          </w:p>
        </w:tc>
      </w:tr>
      <w:tr w:rsidR="00AD12DB" w:rsidRPr="006F7A41" w14:paraId="7469970A" w14:textId="77777777" w:rsidTr="00C5159C">
        <w:trPr>
          <w:trHeight w:val="283"/>
        </w:trPr>
        <w:tc>
          <w:tcPr>
            <w:tcW w:w="2256" w:type="pct"/>
            <w:tcBorders>
              <w:top w:val="nil"/>
              <w:left w:val="nil"/>
              <w:bottom w:val="single" w:sz="4" w:space="0" w:color="FFFFFF" w:themeColor="background1"/>
              <w:right w:val="nil"/>
            </w:tcBorders>
            <w:shd w:val="clear" w:color="auto" w:fill="D0E0E3"/>
            <w:noWrap/>
            <w:vAlign w:val="center"/>
            <w:hideMark/>
          </w:tcPr>
          <w:p w14:paraId="31E23F60" w14:textId="77777777" w:rsidR="00AD12DB" w:rsidRPr="00E62DC7" w:rsidRDefault="00AD12DB">
            <w:pPr>
              <w:rPr>
                <w:rFonts w:ascii="CAIXA Std Book" w:eastAsia="Times New Roman" w:hAnsi="CAIXA Std Book" w:cs="Arial"/>
                <w:b/>
                <w:bCs/>
                <w:color w:val="005CA9"/>
                <w:sz w:val="16"/>
                <w:szCs w:val="16"/>
              </w:rPr>
            </w:pPr>
            <w:r w:rsidRPr="00E62DC7">
              <w:rPr>
                <w:rFonts w:ascii="CAIXA Std Book" w:eastAsia="Times New Roman" w:hAnsi="CAIXA Std Book" w:cs="Arial"/>
                <w:b/>
                <w:bCs/>
                <w:color w:val="005CA9"/>
                <w:sz w:val="16"/>
                <w:szCs w:val="16"/>
              </w:rPr>
              <w:t>Passivos atuariais</w:t>
            </w:r>
          </w:p>
        </w:tc>
        <w:tc>
          <w:tcPr>
            <w:tcW w:w="457" w:type="pct"/>
            <w:tcBorders>
              <w:top w:val="nil"/>
              <w:left w:val="nil"/>
              <w:bottom w:val="single" w:sz="4" w:space="0" w:color="FFFFFF" w:themeColor="background1"/>
              <w:right w:val="nil"/>
            </w:tcBorders>
            <w:shd w:val="clear" w:color="auto" w:fill="D0E0E3"/>
            <w:noWrap/>
            <w:vAlign w:val="center"/>
          </w:tcPr>
          <w:p w14:paraId="4FA6038A" w14:textId="601DC213" w:rsidR="00AD12DB" w:rsidRPr="006F7A41" w:rsidRDefault="00C93960">
            <w:pPr>
              <w:jc w:val="right"/>
              <w:rPr>
                <w:rFonts w:ascii="CAIXA Std Book" w:hAnsi="CAIXA Std Book" w:cs="Calibri"/>
                <w:b/>
                <w:color w:val="005CA9"/>
                <w:sz w:val="16"/>
                <w:szCs w:val="16"/>
              </w:rPr>
            </w:pPr>
            <w:r>
              <w:rPr>
                <w:rFonts w:ascii="CAIXA Std Book" w:hAnsi="CAIXA Std Book" w:cs="Calibri"/>
                <w:b/>
                <w:color w:val="005CA9"/>
                <w:sz w:val="16"/>
                <w:szCs w:val="16"/>
              </w:rPr>
              <w:t>8.122.668</w:t>
            </w:r>
          </w:p>
        </w:tc>
        <w:tc>
          <w:tcPr>
            <w:tcW w:w="457" w:type="pct"/>
            <w:tcBorders>
              <w:top w:val="nil"/>
              <w:left w:val="nil"/>
              <w:bottom w:val="single" w:sz="4" w:space="0" w:color="FFFFFF" w:themeColor="background1"/>
              <w:right w:val="nil"/>
            </w:tcBorders>
            <w:shd w:val="clear" w:color="auto" w:fill="D0E0E3"/>
            <w:noWrap/>
            <w:vAlign w:val="center"/>
          </w:tcPr>
          <w:p w14:paraId="2EE2B1C8" w14:textId="70AB3A87" w:rsidR="00AD12DB" w:rsidRPr="00C50936" w:rsidRDefault="00C93960">
            <w:pPr>
              <w:jc w:val="right"/>
              <w:rPr>
                <w:rFonts w:ascii="CAIXA Std Book" w:hAnsi="CAIXA Std Book" w:cs="Calibri"/>
                <w:b/>
                <w:color w:val="005CA9"/>
                <w:sz w:val="16"/>
                <w:szCs w:val="16"/>
              </w:rPr>
            </w:pPr>
            <w:r>
              <w:rPr>
                <w:rFonts w:ascii="CAIXA Std Book" w:hAnsi="CAIXA Std Book" w:cs="Calibri"/>
                <w:b/>
                <w:color w:val="005CA9"/>
                <w:sz w:val="16"/>
                <w:szCs w:val="16"/>
              </w:rPr>
              <w:t>13.735.048</w:t>
            </w:r>
          </w:p>
        </w:tc>
        <w:tc>
          <w:tcPr>
            <w:tcW w:w="457" w:type="pct"/>
            <w:tcBorders>
              <w:top w:val="nil"/>
              <w:left w:val="nil"/>
              <w:bottom w:val="single" w:sz="4" w:space="0" w:color="FFFFFF" w:themeColor="background1"/>
              <w:right w:val="nil"/>
            </w:tcBorders>
            <w:shd w:val="clear" w:color="auto" w:fill="D0E0E3"/>
            <w:noWrap/>
            <w:vAlign w:val="center"/>
          </w:tcPr>
          <w:p w14:paraId="49CB07AB" w14:textId="73F13A5C" w:rsidR="00AD12DB" w:rsidRPr="00A0372D" w:rsidRDefault="00C93960">
            <w:pPr>
              <w:jc w:val="right"/>
              <w:rPr>
                <w:rFonts w:ascii="CAIXA Std Book" w:hAnsi="CAIXA Std Book" w:cs="Calibri"/>
                <w:b/>
                <w:color w:val="005CA9"/>
                <w:sz w:val="16"/>
                <w:szCs w:val="16"/>
              </w:rPr>
            </w:pPr>
            <w:r>
              <w:rPr>
                <w:rFonts w:ascii="CAIXA Std Book" w:hAnsi="CAIXA Std Book" w:cs="Calibri"/>
                <w:b/>
                <w:color w:val="005CA9"/>
                <w:sz w:val="16"/>
                <w:szCs w:val="16"/>
              </w:rPr>
              <w:t>21.857.716</w:t>
            </w:r>
          </w:p>
        </w:tc>
        <w:tc>
          <w:tcPr>
            <w:tcW w:w="457" w:type="pct"/>
            <w:tcBorders>
              <w:top w:val="nil"/>
              <w:left w:val="nil"/>
              <w:bottom w:val="single" w:sz="4" w:space="0" w:color="FFFFFF" w:themeColor="background1"/>
              <w:right w:val="nil"/>
            </w:tcBorders>
            <w:shd w:val="clear" w:color="auto" w:fill="D0E0E3"/>
            <w:noWrap/>
            <w:vAlign w:val="center"/>
          </w:tcPr>
          <w:p w14:paraId="0CF205F0" w14:textId="77777777" w:rsidR="00AD12DB" w:rsidRPr="00A614F2" w:rsidRDefault="00AD12DB">
            <w:pPr>
              <w:jc w:val="right"/>
              <w:rPr>
                <w:rFonts w:ascii="CAIXA Std Book" w:hAnsi="CAIXA Std Book" w:cs="Arial"/>
                <w:b/>
                <w:color w:val="005CA9"/>
                <w:sz w:val="16"/>
                <w:szCs w:val="16"/>
              </w:rPr>
            </w:pPr>
            <w:r w:rsidRPr="00ED4A4A">
              <w:rPr>
                <w:rFonts w:ascii="CAIXA Std Book" w:hAnsi="CAIXA Std Book" w:cs="Calibri"/>
                <w:b/>
                <w:color w:val="005CA9"/>
                <w:sz w:val="16"/>
                <w:szCs w:val="16"/>
              </w:rPr>
              <w:t>8.281.808</w:t>
            </w:r>
          </w:p>
        </w:tc>
        <w:tc>
          <w:tcPr>
            <w:tcW w:w="457" w:type="pct"/>
            <w:tcBorders>
              <w:top w:val="nil"/>
              <w:left w:val="nil"/>
              <w:bottom w:val="single" w:sz="4" w:space="0" w:color="FFFFFF" w:themeColor="background1"/>
              <w:right w:val="nil"/>
            </w:tcBorders>
            <w:shd w:val="clear" w:color="auto" w:fill="D0E0E3"/>
            <w:noWrap/>
            <w:vAlign w:val="center"/>
          </w:tcPr>
          <w:p w14:paraId="3BDA815C" w14:textId="77777777" w:rsidR="00AD12DB" w:rsidRPr="00A614F2" w:rsidRDefault="00AD12DB">
            <w:pPr>
              <w:jc w:val="right"/>
              <w:rPr>
                <w:rFonts w:ascii="CAIXA Std Book" w:hAnsi="CAIXA Std Book" w:cs="Arial"/>
                <w:b/>
                <w:color w:val="005CA9"/>
                <w:sz w:val="16"/>
                <w:szCs w:val="16"/>
              </w:rPr>
            </w:pPr>
            <w:r w:rsidRPr="00ED4A4A">
              <w:rPr>
                <w:rFonts w:ascii="CAIXA Std Book" w:hAnsi="CAIXA Std Book" w:cs="Calibri"/>
                <w:b/>
                <w:color w:val="005CA9"/>
                <w:sz w:val="16"/>
                <w:szCs w:val="16"/>
              </w:rPr>
              <w:t>13.654.905</w:t>
            </w:r>
          </w:p>
        </w:tc>
        <w:tc>
          <w:tcPr>
            <w:tcW w:w="457" w:type="pct"/>
            <w:tcBorders>
              <w:top w:val="nil"/>
              <w:left w:val="nil"/>
              <w:bottom w:val="single" w:sz="4" w:space="0" w:color="FFFFFF" w:themeColor="background1"/>
              <w:right w:val="nil"/>
            </w:tcBorders>
            <w:shd w:val="clear" w:color="auto" w:fill="D0E0E3"/>
            <w:noWrap/>
            <w:vAlign w:val="center"/>
          </w:tcPr>
          <w:p w14:paraId="48A1709A" w14:textId="77777777" w:rsidR="00AD12DB" w:rsidRPr="00A614F2" w:rsidRDefault="00AD12DB">
            <w:pPr>
              <w:jc w:val="right"/>
              <w:rPr>
                <w:rFonts w:ascii="CAIXA Std Book" w:hAnsi="CAIXA Std Book" w:cs="Arial"/>
                <w:b/>
                <w:color w:val="005CA9"/>
                <w:sz w:val="16"/>
                <w:szCs w:val="16"/>
              </w:rPr>
            </w:pPr>
            <w:r w:rsidRPr="00ED4A4A">
              <w:rPr>
                <w:rFonts w:ascii="CAIXA Std Book" w:hAnsi="CAIXA Std Book" w:cs="Calibri"/>
                <w:b/>
                <w:color w:val="005CA9"/>
                <w:sz w:val="16"/>
                <w:szCs w:val="16"/>
              </w:rPr>
              <w:t>21.936.713</w:t>
            </w:r>
          </w:p>
        </w:tc>
      </w:tr>
      <w:tr w:rsidR="00AD12DB" w:rsidRPr="006F7A41" w14:paraId="661D1E3B" w14:textId="77777777" w:rsidTr="00C5159C">
        <w:trPr>
          <w:trHeight w:val="283"/>
        </w:trPr>
        <w:tc>
          <w:tcPr>
            <w:tcW w:w="2256" w:type="pct"/>
            <w:tcBorders>
              <w:top w:val="single" w:sz="4" w:space="0" w:color="FFFFFF" w:themeColor="background1"/>
              <w:left w:val="nil"/>
              <w:bottom w:val="single" w:sz="4" w:space="0" w:color="FFFFFF" w:themeColor="background1"/>
              <w:right w:val="nil"/>
            </w:tcBorders>
            <w:shd w:val="clear" w:color="auto" w:fill="D0E0E3"/>
            <w:noWrap/>
            <w:vAlign w:val="center"/>
            <w:hideMark/>
          </w:tcPr>
          <w:p w14:paraId="11D44555" w14:textId="77777777" w:rsidR="00AD12DB" w:rsidRPr="00E62DC7" w:rsidRDefault="00AD12DB">
            <w:pPr>
              <w:rPr>
                <w:rFonts w:ascii="CAIXA Std Book" w:eastAsia="Times New Roman" w:hAnsi="CAIXA Std Book" w:cs="Arial"/>
                <w:b/>
                <w:bCs/>
                <w:color w:val="005CA9"/>
                <w:sz w:val="16"/>
                <w:szCs w:val="16"/>
              </w:rPr>
            </w:pPr>
            <w:r w:rsidRPr="00E62DC7">
              <w:rPr>
                <w:rFonts w:ascii="CAIXA Std Book" w:eastAsia="Times New Roman" w:hAnsi="CAIXA Std Book" w:cs="Arial"/>
                <w:b/>
                <w:bCs/>
                <w:color w:val="005CA9"/>
                <w:sz w:val="16"/>
                <w:szCs w:val="16"/>
              </w:rPr>
              <w:t>Outros passivos</w:t>
            </w:r>
          </w:p>
        </w:tc>
        <w:tc>
          <w:tcPr>
            <w:tcW w:w="457" w:type="pct"/>
            <w:tcBorders>
              <w:top w:val="single" w:sz="4" w:space="0" w:color="FFFFFF" w:themeColor="background1"/>
              <w:left w:val="nil"/>
              <w:bottom w:val="single" w:sz="4" w:space="0" w:color="FFFFFF" w:themeColor="background1"/>
              <w:right w:val="nil"/>
            </w:tcBorders>
            <w:shd w:val="clear" w:color="auto" w:fill="D0E0E3"/>
            <w:noWrap/>
            <w:vAlign w:val="center"/>
          </w:tcPr>
          <w:p w14:paraId="17749A89" w14:textId="69ABBAB4" w:rsidR="00AD12DB" w:rsidRPr="00A614F2" w:rsidRDefault="009E4003">
            <w:pPr>
              <w:jc w:val="right"/>
              <w:rPr>
                <w:rFonts w:ascii="CAIXA Std Book" w:hAnsi="CAIXA Std Book" w:cs="Arial"/>
                <w:b/>
                <w:color w:val="005CA9"/>
                <w:sz w:val="16"/>
                <w:szCs w:val="16"/>
              </w:rPr>
            </w:pPr>
            <w:r w:rsidRPr="009E4003">
              <w:rPr>
                <w:rFonts w:ascii="CAIXA Std Book" w:hAnsi="CAIXA Std Book" w:cs="Arial"/>
                <w:b/>
                <w:color w:val="005CA9"/>
                <w:sz w:val="16"/>
                <w:szCs w:val="16"/>
              </w:rPr>
              <w:t>48.463.608</w:t>
            </w:r>
          </w:p>
        </w:tc>
        <w:tc>
          <w:tcPr>
            <w:tcW w:w="457" w:type="pct"/>
            <w:tcBorders>
              <w:top w:val="single" w:sz="4" w:space="0" w:color="FFFFFF" w:themeColor="background1"/>
              <w:left w:val="nil"/>
              <w:bottom w:val="single" w:sz="4" w:space="0" w:color="FFFFFF" w:themeColor="background1"/>
              <w:right w:val="nil"/>
            </w:tcBorders>
            <w:shd w:val="clear" w:color="auto" w:fill="D0E0E3"/>
            <w:noWrap/>
            <w:vAlign w:val="center"/>
          </w:tcPr>
          <w:p w14:paraId="6F592646" w14:textId="7C267D0E" w:rsidR="00AD12DB" w:rsidRPr="00A614F2" w:rsidRDefault="009E4003">
            <w:pPr>
              <w:jc w:val="center"/>
              <w:rPr>
                <w:rFonts w:ascii="CAIXA Std Book" w:hAnsi="CAIXA Std Book" w:cs="Arial"/>
                <w:b/>
                <w:color w:val="005CA9"/>
                <w:sz w:val="16"/>
                <w:szCs w:val="16"/>
              </w:rPr>
            </w:pPr>
            <w:r>
              <w:rPr>
                <w:rFonts w:ascii="CAIXA Std Book" w:hAnsi="CAIXA Std Book" w:cs="Arial"/>
                <w:b/>
                <w:color w:val="005CA9"/>
                <w:sz w:val="16"/>
                <w:szCs w:val="16"/>
              </w:rPr>
              <w:t>-</w:t>
            </w:r>
          </w:p>
        </w:tc>
        <w:tc>
          <w:tcPr>
            <w:tcW w:w="457" w:type="pct"/>
            <w:tcBorders>
              <w:top w:val="single" w:sz="4" w:space="0" w:color="FFFFFF" w:themeColor="background1"/>
              <w:left w:val="nil"/>
              <w:bottom w:val="single" w:sz="4" w:space="0" w:color="FFFFFF" w:themeColor="background1"/>
              <w:right w:val="nil"/>
            </w:tcBorders>
            <w:shd w:val="clear" w:color="auto" w:fill="D0E0E3"/>
            <w:noWrap/>
            <w:vAlign w:val="center"/>
          </w:tcPr>
          <w:p w14:paraId="4A1E4796" w14:textId="704E1951" w:rsidR="00AD12DB" w:rsidRPr="00A614F2" w:rsidRDefault="009E4003">
            <w:pPr>
              <w:jc w:val="right"/>
              <w:rPr>
                <w:rFonts w:ascii="CAIXA Std Book" w:hAnsi="CAIXA Std Book" w:cs="Arial"/>
                <w:b/>
                <w:color w:val="005CA9"/>
                <w:sz w:val="16"/>
                <w:szCs w:val="16"/>
              </w:rPr>
            </w:pPr>
            <w:r w:rsidRPr="009E4003">
              <w:rPr>
                <w:rFonts w:ascii="CAIXA Std Book" w:hAnsi="CAIXA Std Book" w:cs="Arial"/>
                <w:b/>
                <w:color w:val="005CA9"/>
                <w:sz w:val="16"/>
                <w:szCs w:val="16"/>
              </w:rPr>
              <w:t>48.463.608</w:t>
            </w:r>
          </w:p>
        </w:tc>
        <w:tc>
          <w:tcPr>
            <w:tcW w:w="457" w:type="pct"/>
            <w:tcBorders>
              <w:top w:val="single" w:sz="4" w:space="0" w:color="FFFFFF" w:themeColor="background1"/>
              <w:left w:val="nil"/>
              <w:bottom w:val="single" w:sz="4" w:space="0" w:color="FFFFFF" w:themeColor="background1"/>
              <w:right w:val="nil"/>
            </w:tcBorders>
            <w:shd w:val="clear" w:color="auto" w:fill="D0E0E3"/>
            <w:noWrap/>
            <w:vAlign w:val="center"/>
          </w:tcPr>
          <w:p w14:paraId="06AD1E96" w14:textId="77777777" w:rsidR="00AD12DB" w:rsidRPr="00A614F2" w:rsidRDefault="00AD12DB">
            <w:pPr>
              <w:jc w:val="right"/>
              <w:rPr>
                <w:rFonts w:ascii="CAIXA Std Book" w:hAnsi="CAIXA Std Book" w:cs="Arial"/>
                <w:b/>
                <w:color w:val="005CA9"/>
                <w:sz w:val="16"/>
                <w:szCs w:val="16"/>
              </w:rPr>
            </w:pPr>
            <w:r w:rsidRPr="00ED4A4A">
              <w:rPr>
                <w:rFonts w:ascii="CAIXA Std Book" w:hAnsi="CAIXA Std Book" w:cs="Calibri"/>
                <w:b/>
                <w:color w:val="005CA9"/>
                <w:sz w:val="16"/>
                <w:szCs w:val="16"/>
              </w:rPr>
              <w:t>47.953.950</w:t>
            </w:r>
          </w:p>
        </w:tc>
        <w:tc>
          <w:tcPr>
            <w:tcW w:w="457" w:type="pct"/>
            <w:tcBorders>
              <w:top w:val="single" w:sz="4" w:space="0" w:color="FFFFFF" w:themeColor="background1"/>
              <w:left w:val="nil"/>
              <w:bottom w:val="single" w:sz="4" w:space="0" w:color="FFFFFF" w:themeColor="background1"/>
              <w:right w:val="nil"/>
            </w:tcBorders>
            <w:shd w:val="clear" w:color="auto" w:fill="D0E0E3"/>
            <w:noWrap/>
            <w:vAlign w:val="center"/>
          </w:tcPr>
          <w:p w14:paraId="3A7B12D8" w14:textId="77777777" w:rsidR="00AD12DB" w:rsidRPr="00A614F2" w:rsidRDefault="00AD12DB">
            <w:pPr>
              <w:jc w:val="center"/>
              <w:rPr>
                <w:rFonts w:ascii="CAIXA Std Book" w:hAnsi="CAIXA Std Book" w:cs="Arial"/>
                <w:b/>
                <w:color w:val="005CA9"/>
                <w:sz w:val="16"/>
                <w:szCs w:val="16"/>
              </w:rPr>
            </w:pPr>
            <w:r w:rsidRPr="00ED4A4A">
              <w:rPr>
                <w:rFonts w:ascii="CAIXA Std Book" w:hAnsi="CAIXA Std Book" w:cs="Calibri"/>
                <w:b/>
                <w:color w:val="005CA9"/>
                <w:sz w:val="16"/>
                <w:szCs w:val="16"/>
              </w:rPr>
              <w:t>-</w:t>
            </w:r>
          </w:p>
        </w:tc>
        <w:tc>
          <w:tcPr>
            <w:tcW w:w="457" w:type="pct"/>
            <w:tcBorders>
              <w:top w:val="single" w:sz="4" w:space="0" w:color="FFFFFF" w:themeColor="background1"/>
              <w:left w:val="nil"/>
              <w:bottom w:val="single" w:sz="4" w:space="0" w:color="FFFFFF" w:themeColor="background1"/>
              <w:right w:val="nil"/>
            </w:tcBorders>
            <w:shd w:val="clear" w:color="auto" w:fill="D0E0E3"/>
            <w:noWrap/>
            <w:vAlign w:val="center"/>
          </w:tcPr>
          <w:p w14:paraId="1E8EC4B5" w14:textId="77777777" w:rsidR="00AD12DB" w:rsidRPr="00A614F2" w:rsidRDefault="00AD12DB">
            <w:pPr>
              <w:jc w:val="right"/>
              <w:rPr>
                <w:rFonts w:ascii="CAIXA Std Book" w:hAnsi="CAIXA Std Book" w:cs="Arial"/>
                <w:b/>
                <w:color w:val="005CA9"/>
                <w:sz w:val="16"/>
                <w:szCs w:val="16"/>
              </w:rPr>
            </w:pPr>
            <w:r w:rsidRPr="00ED4A4A">
              <w:rPr>
                <w:rFonts w:ascii="CAIXA Std Book" w:hAnsi="CAIXA Std Book" w:cs="Calibri"/>
                <w:b/>
                <w:color w:val="005CA9"/>
                <w:sz w:val="16"/>
                <w:szCs w:val="16"/>
              </w:rPr>
              <w:t>47.953.950</w:t>
            </w:r>
          </w:p>
        </w:tc>
      </w:tr>
      <w:tr w:rsidR="00AD12DB" w:rsidRPr="006F7A41" w14:paraId="0450AC78" w14:textId="77777777" w:rsidTr="00C5159C">
        <w:trPr>
          <w:trHeight w:val="283"/>
        </w:trPr>
        <w:tc>
          <w:tcPr>
            <w:tcW w:w="2256" w:type="pct"/>
            <w:tcBorders>
              <w:top w:val="single" w:sz="4" w:space="0" w:color="FFFFFF" w:themeColor="background1"/>
              <w:left w:val="nil"/>
              <w:bottom w:val="nil"/>
              <w:right w:val="nil"/>
            </w:tcBorders>
            <w:shd w:val="clear" w:color="auto" w:fill="D0E0E3"/>
            <w:noWrap/>
            <w:vAlign w:val="center"/>
            <w:hideMark/>
          </w:tcPr>
          <w:p w14:paraId="061DAC68" w14:textId="77777777" w:rsidR="00AD12DB" w:rsidRPr="00E62DC7" w:rsidRDefault="00AD12DB">
            <w:pPr>
              <w:rPr>
                <w:rFonts w:ascii="CAIXA Std Book" w:eastAsia="Times New Roman" w:hAnsi="CAIXA Std Book" w:cs="Arial"/>
                <w:b/>
                <w:bCs/>
                <w:color w:val="005CA9"/>
                <w:sz w:val="16"/>
                <w:szCs w:val="16"/>
              </w:rPr>
            </w:pPr>
            <w:r w:rsidRPr="00114B04">
              <w:rPr>
                <w:rFonts w:ascii="CAIXA Std Book" w:eastAsia="Times New Roman" w:hAnsi="CAIXA Std Book" w:cs="Arial"/>
                <w:b/>
                <w:bCs/>
                <w:color w:val="005CA9"/>
                <w:sz w:val="16"/>
                <w:szCs w:val="16"/>
              </w:rPr>
              <w:t>Patrimônio líquido</w:t>
            </w:r>
          </w:p>
        </w:tc>
        <w:tc>
          <w:tcPr>
            <w:tcW w:w="457" w:type="pct"/>
            <w:tcBorders>
              <w:top w:val="single" w:sz="4" w:space="0" w:color="FFFFFF" w:themeColor="background1"/>
              <w:left w:val="nil"/>
              <w:bottom w:val="nil"/>
              <w:right w:val="nil"/>
            </w:tcBorders>
            <w:shd w:val="clear" w:color="auto" w:fill="D0E0E3"/>
            <w:noWrap/>
            <w:vAlign w:val="center"/>
          </w:tcPr>
          <w:p w14:paraId="3B6BC5A2" w14:textId="0BE135F6" w:rsidR="00AD12DB" w:rsidRPr="00DC64C2" w:rsidRDefault="0057703B">
            <w:pPr>
              <w:jc w:val="center"/>
              <w:rPr>
                <w:rFonts w:ascii="CAIXA Std Book" w:hAnsi="CAIXA Std Book" w:cs="Arial"/>
                <w:b/>
                <w:color w:val="005CA9"/>
                <w:sz w:val="16"/>
                <w:szCs w:val="16"/>
              </w:rPr>
            </w:pPr>
            <w:r>
              <w:rPr>
                <w:rFonts w:ascii="CAIXA Std Book" w:hAnsi="CAIXA Std Book" w:cs="Arial"/>
                <w:b/>
                <w:bCs/>
                <w:color w:val="005CA9"/>
                <w:sz w:val="16"/>
                <w:szCs w:val="16"/>
              </w:rPr>
              <w:t>-</w:t>
            </w:r>
          </w:p>
        </w:tc>
        <w:tc>
          <w:tcPr>
            <w:tcW w:w="457" w:type="pct"/>
            <w:tcBorders>
              <w:top w:val="single" w:sz="4" w:space="0" w:color="FFFFFF" w:themeColor="background1"/>
              <w:left w:val="nil"/>
              <w:bottom w:val="nil"/>
              <w:right w:val="nil"/>
            </w:tcBorders>
            <w:shd w:val="clear" w:color="auto" w:fill="D0E0E3"/>
            <w:noWrap/>
            <w:vAlign w:val="center"/>
          </w:tcPr>
          <w:p w14:paraId="3089A601" w14:textId="732D2717" w:rsidR="00AD12DB" w:rsidRPr="00DC64C2" w:rsidRDefault="0057703B">
            <w:pPr>
              <w:jc w:val="right"/>
              <w:rPr>
                <w:rFonts w:ascii="CAIXA Std Book" w:hAnsi="CAIXA Std Book" w:cs="Arial"/>
                <w:b/>
                <w:color w:val="005CA9"/>
                <w:sz w:val="16"/>
                <w:szCs w:val="16"/>
              </w:rPr>
            </w:pPr>
            <w:r>
              <w:rPr>
                <w:rFonts w:ascii="CAIXA Std Book" w:hAnsi="CAIXA Std Book" w:cs="Arial"/>
                <w:b/>
                <w:bCs/>
                <w:color w:val="005CA9"/>
                <w:sz w:val="16"/>
                <w:szCs w:val="16"/>
              </w:rPr>
              <w:t>153.153.69</w:t>
            </w:r>
            <w:r w:rsidR="009E24D1">
              <w:rPr>
                <w:rFonts w:ascii="CAIXA Std Book" w:hAnsi="CAIXA Std Book" w:cs="Arial"/>
                <w:b/>
                <w:bCs/>
                <w:color w:val="005CA9"/>
                <w:sz w:val="16"/>
                <w:szCs w:val="16"/>
              </w:rPr>
              <w:t>6</w:t>
            </w:r>
          </w:p>
        </w:tc>
        <w:tc>
          <w:tcPr>
            <w:tcW w:w="457" w:type="pct"/>
            <w:tcBorders>
              <w:top w:val="single" w:sz="4" w:space="0" w:color="FFFFFF" w:themeColor="background1"/>
              <w:left w:val="nil"/>
              <w:bottom w:val="nil"/>
              <w:right w:val="nil"/>
            </w:tcBorders>
            <w:shd w:val="clear" w:color="auto" w:fill="D0E0E3"/>
            <w:noWrap/>
            <w:vAlign w:val="center"/>
          </w:tcPr>
          <w:p w14:paraId="2BB23926" w14:textId="3D159668" w:rsidR="00AD12DB" w:rsidRPr="00DC64C2" w:rsidRDefault="0057703B">
            <w:pPr>
              <w:jc w:val="right"/>
              <w:rPr>
                <w:rFonts w:ascii="CAIXA Std Book" w:hAnsi="CAIXA Std Book" w:cs="Arial"/>
                <w:b/>
                <w:color w:val="005CA9"/>
                <w:sz w:val="16"/>
                <w:szCs w:val="16"/>
              </w:rPr>
            </w:pPr>
            <w:r>
              <w:rPr>
                <w:rFonts w:ascii="CAIXA Std Book" w:hAnsi="CAIXA Std Book" w:cs="Arial"/>
                <w:b/>
                <w:bCs/>
                <w:color w:val="005CA9"/>
                <w:sz w:val="16"/>
                <w:szCs w:val="16"/>
              </w:rPr>
              <w:t>153.153.69</w:t>
            </w:r>
            <w:r w:rsidR="009E24D1">
              <w:rPr>
                <w:rFonts w:ascii="CAIXA Std Book" w:hAnsi="CAIXA Std Book" w:cs="Arial"/>
                <w:b/>
                <w:bCs/>
                <w:color w:val="005CA9"/>
                <w:sz w:val="16"/>
                <w:szCs w:val="16"/>
              </w:rPr>
              <w:t>6</w:t>
            </w:r>
          </w:p>
        </w:tc>
        <w:tc>
          <w:tcPr>
            <w:tcW w:w="457" w:type="pct"/>
            <w:tcBorders>
              <w:top w:val="single" w:sz="4" w:space="0" w:color="FFFFFF" w:themeColor="background1"/>
              <w:left w:val="nil"/>
              <w:bottom w:val="nil"/>
              <w:right w:val="nil"/>
            </w:tcBorders>
            <w:shd w:val="clear" w:color="auto" w:fill="D0E0E3"/>
            <w:noWrap/>
            <w:vAlign w:val="center"/>
          </w:tcPr>
          <w:p w14:paraId="6F4736E7" w14:textId="77777777" w:rsidR="00AD12DB" w:rsidRPr="00DC64C2" w:rsidRDefault="00AD12DB">
            <w:pPr>
              <w:jc w:val="center"/>
              <w:rPr>
                <w:rFonts w:ascii="CAIXA Std Book" w:hAnsi="CAIXA Std Book" w:cs="Arial"/>
                <w:b/>
                <w:color w:val="005CA9"/>
                <w:sz w:val="16"/>
                <w:szCs w:val="16"/>
              </w:rPr>
            </w:pPr>
            <w:r>
              <w:rPr>
                <w:rFonts w:ascii="CAIXA Std Book" w:hAnsi="CAIXA Std Book" w:cs="Calibri"/>
                <w:b/>
                <w:color w:val="005CA9"/>
                <w:sz w:val="16"/>
                <w:szCs w:val="16"/>
              </w:rPr>
              <w:t>-</w:t>
            </w:r>
          </w:p>
        </w:tc>
        <w:tc>
          <w:tcPr>
            <w:tcW w:w="457" w:type="pct"/>
            <w:tcBorders>
              <w:top w:val="single" w:sz="4" w:space="0" w:color="FFFFFF" w:themeColor="background1"/>
              <w:left w:val="nil"/>
              <w:bottom w:val="nil"/>
              <w:right w:val="nil"/>
            </w:tcBorders>
            <w:shd w:val="clear" w:color="auto" w:fill="D0E0E3"/>
            <w:noWrap/>
            <w:vAlign w:val="center"/>
          </w:tcPr>
          <w:p w14:paraId="1A121C6E" w14:textId="77777777" w:rsidR="00AD12DB" w:rsidRPr="00DC64C2" w:rsidRDefault="00AD12DB">
            <w:pPr>
              <w:jc w:val="right"/>
              <w:rPr>
                <w:rFonts w:ascii="CAIXA Std Book" w:hAnsi="CAIXA Std Book" w:cs="Arial"/>
                <w:b/>
                <w:color w:val="005CA9"/>
                <w:sz w:val="16"/>
                <w:szCs w:val="16"/>
              </w:rPr>
            </w:pPr>
            <w:r>
              <w:rPr>
                <w:rFonts w:ascii="CAIXA Std Book" w:hAnsi="CAIXA Std Book" w:cs="Calibri"/>
                <w:b/>
                <w:color w:val="005CA9"/>
                <w:sz w:val="16"/>
                <w:szCs w:val="16"/>
              </w:rPr>
              <w:t>149.672.372</w:t>
            </w:r>
          </w:p>
        </w:tc>
        <w:tc>
          <w:tcPr>
            <w:tcW w:w="457" w:type="pct"/>
            <w:tcBorders>
              <w:top w:val="single" w:sz="4" w:space="0" w:color="FFFFFF" w:themeColor="background1"/>
              <w:left w:val="nil"/>
              <w:bottom w:val="nil"/>
              <w:right w:val="nil"/>
            </w:tcBorders>
            <w:shd w:val="clear" w:color="auto" w:fill="D0E0E3"/>
            <w:noWrap/>
            <w:vAlign w:val="center"/>
          </w:tcPr>
          <w:p w14:paraId="43D959A3" w14:textId="77777777" w:rsidR="00AD12DB" w:rsidRPr="00DC64C2" w:rsidRDefault="00AD12DB">
            <w:pPr>
              <w:jc w:val="right"/>
              <w:rPr>
                <w:rFonts w:ascii="CAIXA Std Book" w:hAnsi="CAIXA Std Book" w:cs="Arial"/>
                <w:b/>
                <w:color w:val="005CA9"/>
                <w:sz w:val="16"/>
                <w:szCs w:val="16"/>
              </w:rPr>
            </w:pPr>
            <w:r>
              <w:rPr>
                <w:rFonts w:ascii="CAIXA Std Book" w:hAnsi="CAIXA Std Book" w:cs="Calibri"/>
                <w:b/>
                <w:color w:val="005CA9"/>
                <w:sz w:val="16"/>
                <w:szCs w:val="16"/>
              </w:rPr>
              <w:t>149.672.372</w:t>
            </w:r>
          </w:p>
        </w:tc>
      </w:tr>
      <w:tr w:rsidR="00AD12DB" w:rsidRPr="006F7A41" w14:paraId="7957EF5B" w14:textId="77777777" w:rsidTr="001E6A64">
        <w:trPr>
          <w:trHeight w:val="283"/>
        </w:trPr>
        <w:tc>
          <w:tcPr>
            <w:tcW w:w="2256" w:type="pct"/>
            <w:tcBorders>
              <w:top w:val="nil"/>
              <w:left w:val="nil"/>
              <w:bottom w:val="nil"/>
              <w:right w:val="nil"/>
            </w:tcBorders>
            <w:shd w:val="clear" w:color="auto" w:fill="005CA9"/>
            <w:noWrap/>
            <w:vAlign w:val="center"/>
            <w:hideMark/>
          </w:tcPr>
          <w:p w14:paraId="25F51A70" w14:textId="77777777" w:rsidR="00AD12DB" w:rsidRPr="00E62DC7" w:rsidRDefault="00AD12DB">
            <w:pPr>
              <w:rPr>
                <w:rFonts w:ascii="CAIXA Std Book" w:eastAsia="Times New Roman" w:hAnsi="CAIXA Std Book" w:cs="Arial"/>
                <w:b/>
                <w:bCs/>
                <w:color w:val="FFFFFF"/>
                <w:sz w:val="16"/>
                <w:szCs w:val="16"/>
              </w:rPr>
            </w:pPr>
            <w:r w:rsidRPr="002E34F4">
              <w:rPr>
                <w:rFonts w:ascii="CAIXA Std Book" w:eastAsia="Times New Roman" w:hAnsi="CAIXA Std Book" w:cs="Arial"/>
                <w:b/>
                <w:color w:val="FFFFFF"/>
                <w:sz w:val="16"/>
                <w:szCs w:val="16"/>
              </w:rPr>
              <w:t>Total do passivo e do patrimônio líquido</w:t>
            </w:r>
          </w:p>
        </w:tc>
        <w:tc>
          <w:tcPr>
            <w:tcW w:w="457" w:type="pct"/>
            <w:tcBorders>
              <w:top w:val="nil"/>
              <w:left w:val="nil"/>
              <w:bottom w:val="nil"/>
              <w:right w:val="nil"/>
            </w:tcBorders>
            <w:shd w:val="clear" w:color="auto" w:fill="005CA9"/>
            <w:noWrap/>
            <w:vAlign w:val="center"/>
          </w:tcPr>
          <w:p w14:paraId="4703FFEC" w14:textId="7A06DD15" w:rsidR="00AD12DB" w:rsidRPr="00E62DC7" w:rsidRDefault="00882026">
            <w:pPr>
              <w:jc w:val="right"/>
              <w:rPr>
                <w:rFonts w:ascii="CAIXA Std Book" w:eastAsia="Times New Roman" w:hAnsi="CAIXA Std Book" w:cs="Arial"/>
                <w:b/>
                <w:bCs/>
                <w:color w:val="FFFFFF"/>
                <w:sz w:val="16"/>
                <w:szCs w:val="16"/>
              </w:rPr>
            </w:pPr>
            <w:r>
              <w:rPr>
                <w:rFonts w:ascii="CAIXA Std Book" w:hAnsi="CAIXA Std Book" w:cs="Arial"/>
                <w:b/>
                <w:bCs/>
                <w:color w:val="FFFFFF"/>
                <w:sz w:val="16"/>
                <w:szCs w:val="16"/>
              </w:rPr>
              <w:t>1.190.862.436</w:t>
            </w:r>
          </w:p>
        </w:tc>
        <w:tc>
          <w:tcPr>
            <w:tcW w:w="457" w:type="pct"/>
            <w:tcBorders>
              <w:top w:val="nil"/>
              <w:left w:val="nil"/>
              <w:bottom w:val="nil"/>
              <w:right w:val="nil"/>
            </w:tcBorders>
            <w:shd w:val="clear" w:color="auto" w:fill="005CA9"/>
            <w:noWrap/>
            <w:vAlign w:val="center"/>
          </w:tcPr>
          <w:p w14:paraId="7F7DD447" w14:textId="1973A5DD" w:rsidR="00AD12DB" w:rsidRPr="00E62DC7" w:rsidRDefault="00882026">
            <w:pPr>
              <w:jc w:val="right"/>
              <w:rPr>
                <w:rFonts w:ascii="CAIXA Std Book" w:eastAsia="Times New Roman" w:hAnsi="CAIXA Std Book" w:cs="Arial"/>
                <w:b/>
                <w:bCs/>
                <w:color w:val="FFFFFF"/>
                <w:sz w:val="16"/>
                <w:szCs w:val="16"/>
              </w:rPr>
            </w:pPr>
            <w:r>
              <w:rPr>
                <w:rFonts w:ascii="CAIXA Std Book" w:hAnsi="CAIXA Std Book" w:cs="Arial"/>
                <w:b/>
                <w:bCs/>
                <w:color w:val="FFFFFF"/>
                <w:sz w:val="16"/>
                <w:szCs w:val="16"/>
              </w:rPr>
              <w:t>1.170.080.958</w:t>
            </w:r>
          </w:p>
        </w:tc>
        <w:tc>
          <w:tcPr>
            <w:tcW w:w="457" w:type="pct"/>
            <w:tcBorders>
              <w:top w:val="nil"/>
              <w:left w:val="nil"/>
              <w:bottom w:val="nil"/>
              <w:right w:val="nil"/>
            </w:tcBorders>
            <w:shd w:val="clear" w:color="auto" w:fill="005CA9"/>
            <w:noWrap/>
            <w:vAlign w:val="center"/>
          </w:tcPr>
          <w:p w14:paraId="194595F1" w14:textId="41B16AA6" w:rsidR="00AD12DB" w:rsidRPr="00E62DC7" w:rsidRDefault="00882026">
            <w:pPr>
              <w:jc w:val="right"/>
              <w:rPr>
                <w:rFonts w:ascii="CAIXA Std Book" w:eastAsia="Times New Roman" w:hAnsi="CAIXA Std Book" w:cs="Arial"/>
                <w:b/>
                <w:bCs/>
                <w:color w:val="FFFFFF"/>
                <w:sz w:val="16"/>
                <w:szCs w:val="16"/>
              </w:rPr>
            </w:pPr>
            <w:r>
              <w:rPr>
                <w:rFonts w:ascii="CAIXA Std Book" w:hAnsi="CAIXA Std Book" w:cs="Arial"/>
                <w:b/>
                <w:bCs/>
                <w:color w:val="FFFFFF"/>
                <w:sz w:val="16"/>
                <w:szCs w:val="16"/>
              </w:rPr>
              <w:t>2.360.943.394</w:t>
            </w:r>
          </w:p>
        </w:tc>
        <w:tc>
          <w:tcPr>
            <w:tcW w:w="457" w:type="pct"/>
            <w:tcBorders>
              <w:top w:val="nil"/>
              <w:left w:val="nil"/>
              <w:bottom w:val="nil"/>
              <w:right w:val="nil"/>
            </w:tcBorders>
            <w:shd w:val="clear" w:color="auto" w:fill="005CA9"/>
            <w:noWrap/>
            <w:vAlign w:val="center"/>
          </w:tcPr>
          <w:p w14:paraId="1D95F2A1" w14:textId="77777777" w:rsidR="00AD12DB" w:rsidRPr="00E62DC7" w:rsidRDefault="00AD12DB">
            <w:pPr>
              <w:jc w:val="right"/>
              <w:rPr>
                <w:rFonts w:ascii="CAIXA Std Book" w:eastAsia="Times New Roman" w:hAnsi="CAIXA Std Book" w:cs="Arial"/>
                <w:b/>
                <w:bCs/>
                <w:color w:val="FFFFFF"/>
                <w:sz w:val="16"/>
                <w:szCs w:val="16"/>
              </w:rPr>
            </w:pPr>
            <w:r>
              <w:rPr>
                <w:rFonts w:ascii="CAIXA Std Book" w:hAnsi="CAIXA Std Book" w:cs="Calibri"/>
                <w:b/>
                <w:color w:val="FFFFFF"/>
                <w:sz w:val="16"/>
                <w:szCs w:val="16"/>
              </w:rPr>
              <w:t>1.090.570.879</w:t>
            </w:r>
          </w:p>
        </w:tc>
        <w:tc>
          <w:tcPr>
            <w:tcW w:w="457" w:type="pct"/>
            <w:tcBorders>
              <w:top w:val="nil"/>
              <w:left w:val="nil"/>
              <w:bottom w:val="nil"/>
              <w:right w:val="nil"/>
            </w:tcBorders>
            <w:shd w:val="clear" w:color="auto" w:fill="005CA9"/>
            <w:noWrap/>
            <w:vAlign w:val="center"/>
          </w:tcPr>
          <w:p w14:paraId="1C89C72F" w14:textId="77777777" w:rsidR="00AD12DB" w:rsidRPr="00E62DC7" w:rsidRDefault="00AD12DB">
            <w:pPr>
              <w:jc w:val="right"/>
              <w:rPr>
                <w:rFonts w:ascii="CAIXA Std Book" w:eastAsia="Times New Roman" w:hAnsi="CAIXA Std Book" w:cs="Arial"/>
                <w:b/>
                <w:bCs/>
                <w:color w:val="FFFFFF"/>
                <w:sz w:val="16"/>
                <w:szCs w:val="16"/>
              </w:rPr>
            </w:pPr>
            <w:r>
              <w:rPr>
                <w:rFonts w:ascii="CAIXA Std Book" w:hAnsi="CAIXA Std Book" w:cs="Calibri"/>
                <w:b/>
                <w:color w:val="FFFFFF"/>
                <w:sz w:val="16"/>
                <w:szCs w:val="16"/>
              </w:rPr>
              <w:t>1.132.986.216</w:t>
            </w:r>
          </w:p>
        </w:tc>
        <w:tc>
          <w:tcPr>
            <w:tcW w:w="457" w:type="pct"/>
            <w:tcBorders>
              <w:top w:val="nil"/>
              <w:left w:val="nil"/>
              <w:bottom w:val="nil"/>
              <w:right w:val="nil"/>
            </w:tcBorders>
            <w:shd w:val="clear" w:color="auto" w:fill="005CA9"/>
            <w:noWrap/>
            <w:vAlign w:val="center"/>
          </w:tcPr>
          <w:p w14:paraId="6CAB0E7E" w14:textId="77777777" w:rsidR="00AD12DB" w:rsidRPr="00E62DC7" w:rsidRDefault="00AD12DB">
            <w:pPr>
              <w:jc w:val="right"/>
              <w:rPr>
                <w:rFonts w:ascii="CAIXA Std Book" w:eastAsia="Times New Roman" w:hAnsi="CAIXA Std Book" w:cs="Arial"/>
                <w:b/>
                <w:bCs/>
                <w:color w:val="FFFFFF"/>
                <w:sz w:val="16"/>
                <w:szCs w:val="16"/>
              </w:rPr>
            </w:pPr>
            <w:r>
              <w:rPr>
                <w:rFonts w:ascii="CAIXA Std Book" w:hAnsi="CAIXA Std Book" w:cs="Calibri"/>
                <w:b/>
                <w:color w:val="FFFFFF"/>
                <w:sz w:val="16"/>
                <w:szCs w:val="16"/>
              </w:rPr>
              <w:t>2.223.557.095</w:t>
            </w:r>
          </w:p>
        </w:tc>
      </w:tr>
    </w:tbl>
    <w:p w14:paraId="16DFEA6D" w14:textId="66550049" w:rsidR="00526F8E" w:rsidRDefault="00526F8E">
      <w:pPr>
        <w:rPr>
          <w:rFonts w:ascii="CAIXA Std Book" w:hAnsi="CAIXA Std Book"/>
          <w:b/>
          <w:color w:val="005CA9"/>
        </w:rPr>
        <w:sectPr w:rsidR="00526F8E" w:rsidSect="00C71F2B">
          <w:headerReference w:type="default" r:id="rId97"/>
          <w:footerReference w:type="even" r:id="rId98"/>
          <w:footerReference w:type="default" r:id="rId99"/>
          <w:headerReference w:type="first" r:id="rId100"/>
          <w:footerReference w:type="first" r:id="rId101"/>
          <w:pgSz w:w="16840" w:h="11907" w:orient="landscape" w:code="9"/>
          <w:pgMar w:top="1418" w:right="851" w:bottom="851" w:left="1418" w:header="1134" w:footer="709" w:gutter="0"/>
          <w:cols w:space="708"/>
          <w:titlePg/>
          <w:docGrid w:linePitch="360"/>
        </w:sectPr>
      </w:pPr>
    </w:p>
    <w:p w14:paraId="78560E5B" w14:textId="201D7885" w:rsidR="00D6747A" w:rsidRPr="00E95E29" w:rsidRDefault="005A7588" w:rsidP="00B735D2">
      <w:pPr>
        <w:pStyle w:val="Ttulo1"/>
      </w:pPr>
      <w:bookmarkStart w:id="170" w:name="_Toc217914362"/>
      <w:bookmarkStart w:id="171" w:name="_Toc229588512"/>
      <w:r w:rsidRPr="00E95E29">
        <w:t>Nota   3</w:t>
      </w:r>
      <w:r w:rsidR="00EF04CD">
        <w:t>6</w:t>
      </w:r>
      <w:r w:rsidR="00E82528" w:rsidRPr="00E95E29">
        <w:t xml:space="preserve"> </w:t>
      </w:r>
      <w:r w:rsidRPr="00E95E29">
        <w:t xml:space="preserve">– </w:t>
      </w:r>
      <w:r w:rsidR="00FE502E" w:rsidRPr="00E95E29">
        <w:t xml:space="preserve">Resultado </w:t>
      </w:r>
      <w:r w:rsidR="003173AD">
        <w:t>r</w:t>
      </w:r>
      <w:r w:rsidR="00FE502E" w:rsidRPr="00E95E29">
        <w:t xml:space="preserve">ecorrente e </w:t>
      </w:r>
      <w:r w:rsidR="003173AD">
        <w:t>n</w:t>
      </w:r>
      <w:r w:rsidR="00FE502E" w:rsidRPr="00E95E29">
        <w:t xml:space="preserve">ão </w:t>
      </w:r>
      <w:r w:rsidR="003173AD">
        <w:t>r</w:t>
      </w:r>
      <w:r w:rsidR="00FE502E" w:rsidRPr="00E95E29">
        <w:t>ecorrente</w:t>
      </w:r>
      <w:bookmarkEnd w:id="170"/>
      <w:bookmarkEnd w:id="171"/>
    </w:p>
    <w:p w14:paraId="40B6E3B3" w14:textId="77777777" w:rsidR="000E683B" w:rsidRPr="00FF4346" w:rsidRDefault="000E683B" w:rsidP="000E683B">
      <w:pPr>
        <w:spacing w:before="120" w:after="240"/>
        <w:jc w:val="both"/>
        <w:rPr>
          <w:rFonts w:ascii="CAIXA Std Book" w:hAnsi="CAIXA Std Book"/>
          <w:color w:val="005CA9"/>
          <w:sz w:val="20"/>
          <w:szCs w:val="20"/>
        </w:rPr>
      </w:pPr>
      <w:bookmarkStart w:id="172" w:name="_Hlk65763109"/>
      <w:r w:rsidRPr="00FF4346">
        <w:rPr>
          <w:rFonts w:ascii="CAIXA Std Book" w:hAnsi="CAIXA Std Book"/>
          <w:color w:val="005CA9"/>
          <w:sz w:val="20"/>
          <w:szCs w:val="20"/>
        </w:rPr>
        <w:t>Conforme Resolução BCB n° 2/2020, destacamos, a seguir, o resultado recorrente e não recorrente, líquido dos efeitos fiscais:</w:t>
      </w:r>
    </w:p>
    <w:tbl>
      <w:tblPr>
        <w:tblW w:w="5000" w:type="pct"/>
        <w:tblCellMar>
          <w:left w:w="70" w:type="dxa"/>
          <w:right w:w="70" w:type="dxa"/>
        </w:tblCellMar>
        <w:tblLook w:val="04A0" w:firstRow="1" w:lastRow="0" w:firstColumn="1" w:lastColumn="0" w:noHBand="0" w:noVBand="1"/>
      </w:tblPr>
      <w:tblGrid>
        <w:gridCol w:w="4253"/>
        <w:gridCol w:w="1346"/>
        <w:gridCol w:w="1347"/>
        <w:gridCol w:w="1345"/>
        <w:gridCol w:w="1347"/>
      </w:tblGrid>
      <w:tr w:rsidR="006D4EA0" w:rsidRPr="006D4EA0" w14:paraId="74F7F167" w14:textId="77777777" w:rsidTr="001C56BD">
        <w:trPr>
          <w:trHeight w:val="283"/>
        </w:trPr>
        <w:tc>
          <w:tcPr>
            <w:tcW w:w="2206" w:type="pct"/>
            <w:vMerge w:val="restart"/>
            <w:tcBorders>
              <w:top w:val="single" w:sz="4" w:space="0" w:color="FFFFFF"/>
              <w:left w:val="nil"/>
              <w:bottom w:val="single" w:sz="4" w:space="0" w:color="FFFFFF"/>
              <w:right w:val="nil"/>
            </w:tcBorders>
            <w:shd w:val="clear" w:color="000000" w:fill="005CA9"/>
            <w:vAlign w:val="center"/>
            <w:hideMark/>
          </w:tcPr>
          <w:bookmarkEnd w:id="172"/>
          <w:p w14:paraId="0AC16ED9" w14:textId="77777777" w:rsidR="006D4EA0" w:rsidRPr="006D4EA0" w:rsidRDefault="006D4EA0" w:rsidP="006D4EA0">
            <w:pPr>
              <w:jc w:val="center"/>
              <w:rPr>
                <w:rFonts w:ascii="CAIXA Std Book" w:eastAsia="Times New Roman" w:hAnsi="CAIXA Std Book" w:cs="Times New Roman"/>
                <w:b/>
                <w:bCs/>
                <w:color w:val="FFFFFF"/>
                <w:sz w:val="18"/>
                <w:szCs w:val="18"/>
              </w:rPr>
            </w:pPr>
            <w:r w:rsidRPr="006D4EA0">
              <w:rPr>
                <w:rFonts w:ascii="CAIXA Std Book" w:eastAsia="Times New Roman" w:hAnsi="CAIXA Std Book" w:cs="Times New Roman"/>
                <w:b/>
                <w:bCs/>
                <w:color w:val="FFFFFF"/>
                <w:sz w:val="18"/>
                <w:szCs w:val="18"/>
              </w:rPr>
              <w:t>Evento</w:t>
            </w:r>
          </w:p>
        </w:tc>
        <w:tc>
          <w:tcPr>
            <w:tcW w:w="1397" w:type="pct"/>
            <w:gridSpan w:val="2"/>
            <w:tcBorders>
              <w:top w:val="single" w:sz="4" w:space="0" w:color="FFFFFF"/>
              <w:left w:val="nil"/>
              <w:bottom w:val="single" w:sz="4" w:space="0" w:color="FFFFFF" w:themeColor="background1"/>
              <w:right w:val="nil"/>
            </w:tcBorders>
            <w:shd w:val="clear" w:color="000000" w:fill="005CA9"/>
            <w:vAlign w:val="center"/>
            <w:hideMark/>
          </w:tcPr>
          <w:p w14:paraId="39C63580" w14:textId="77777777" w:rsidR="006D4EA0" w:rsidRPr="006D4EA0" w:rsidRDefault="006D4EA0" w:rsidP="006D4EA0">
            <w:pPr>
              <w:jc w:val="center"/>
              <w:rPr>
                <w:rFonts w:ascii="CAIXA Std Book" w:eastAsia="Times New Roman" w:hAnsi="CAIXA Std Book" w:cs="Times New Roman"/>
                <w:b/>
                <w:bCs/>
                <w:color w:val="FFFFFF"/>
                <w:sz w:val="18"/>
                <w:szCs w:val="18"/>
              </w:rPr>
            </w:pPr>
            <w:r w:rsidRPr="006D4EA0">
              <w:rPr>
                <w:rFonts w:ascii="CAIXA Std Book" w:eastAsia="Times New Roman" w:hAnsi="CAIXA Std Book" w:cs="Times New Roman"/>
                <w:b/>
                <w:bCs/>
                <w:color w:val="FFFFFF"/>
                <w:sz w:val="18"/>
                <w:szCs w:val="18"/>
              </w:rPr>
              <w:t>Individual</w:t>
            </w:r>
          </w:p>
        </w:tc>
        <w:tc>
          <w:tcPr>
            <w:tcW w:w="1397" w:type="pct"/>
            <w:gridSpan w:val="2"/>
            <w:tcBorders>
              <w:top w:val="single" w:sz="4" w:space="0" w:color="FFFFFF"/>
              <w:left w:val="nil"/>
              <w:bottom w:val="single" w:sz="4" w:space="0" w:color="FFFFFF" w:themeColor="background1"/>
              <w:right w:val="nil"/>
            </w:tcBorders>
            <w:shd w:val="clear" w:color="000000" w:fill="005CA9"/>
            <w:vAlign w:val="center"/>
            <w:hideMark/>
          </w:tcPr>
          <w:p w14:paraId="03FF51F6" w14:textId="77777777" w:rsidR="006D4EA0" w:rsidRPr="006D4EA0" w:rsidRDefault="006D4EA0" w:rsidP="006D4EA0">
            <w:pPr>
              <w:jc w:val="center"/>
              <w:rPr>
                <w:rFonts w:ascii="CAIXA Std Book" w:eastAsia="Times New Roman" w:hAnsi="CAIXA Std Book" w:cs="Times New Roman"/>
                <w:b/>
                <w:bCs/>
                <w:color w:val="FFFFFF"/>
                <w:sz w:val="18"/>
                <w:szCs w:val="18"/>
              </w:rPr>
            </w:pPr>
            <w:r w:rsidRPr="006D4EA0">
              <w:rPr>
                <w:rFonts w:ascii="CAIXA Std Book" w:eastAsia="Times New Roman" w:hAnsi="CAIXA Std Book" w:cs="Times New Roman"/>
                <w:b/>
                <w:bCs/>
                <w:color w:val="FFFFFF"/>
                <w:sz w:val="18"/>
                <w:szCs w:val="18"/>
              </w:rPr>
              <w:t>Consolidado</w:t>
            </w:r>
          </w:p>
        </w:tc>
      </w:tr>
      <w:tr w:rsidR="006D4EA0" w:rsidRPr="006D4EA0" w14:paraId="480DB8B3" w14:textId="77777777" w:rsidTr="00B44A87">
        <w:trPr>
          <w:trHeight w:val="283"/>
        </w:trPr>
        <w:tc>
          <w:tcPr>
            <w:tcW w:w="2206" w:type="pct"/>
            <w:vMerge/>
            <w:tcBorders>
              <w:top w:val="single" w:sz="4" w:space="0" w:color="FFFFFF"/>
              <w:left w:val="nil"/>
              <w:bottom w:val="single" w:sz="4" w:space="0" w:color="FFFFFF"/>
              <w:right w:val="nil"/>
            </w:tcBorders>
            <w:vAlign w:val="center"/>
            <w:hideMark/>
          </w:tcPr>
          <w:p w14:paraId="66F4EE9B" w14:textId="77777777" w:rsidR="006D4EA0" w:rsidRPr="006D4EA0" w:rsidRDefault="006D4EA0" w:rsidP="006D4EA0">
            <w:pPr>
              <w:rPr>
                <w:rFonts w:ascii="CAIXA Std Book" w:eastAsia="Times New Roman" w:hAnsi="CAIXA Std Book" w:cs="Times New Roman"/>
                <w:b/>
                <w:bCs/>
                <w:color w:val="FFFFFF"/>
                <w:sz w:val="18"/>
                <w:szCs w:val="18"/>
              </w:rPr>
            </w:pPr>
          </w:p>
        </w:tc>
        <w:tc>
          <w:tcPr>
            <w:tcW w:w="698" w:type="pct"/>
            <w:tcBorders>
              <w:top w:val="single" w:sz="4" w:space="0" w:color="FFFFFF" w:themeColor="background1"/>
              <w:left w:val="nil"/>
              <w:bottom w:val="single" w:sz="4" w:space="0" w:color="FFFFFF" w:themeColor="background1"/>
              <w:right w:val="nil"/>
            </w:tcBorders>
            <w:shd w:val="clear" w:color="000000" w:fill="005CA9"/>
            <w:vAlign w:val="center"/>
            <w:hideMark/>
          </w:tcPr>
          <w:p w14:paraId="5D72A99E" w14:textId="4FAEAAFA" w:rsidR="006D4EA0" w:rsidRPr="006D4EA0" w:rsidRDefault="006D4EA0" w:rsidP="006D4EA0">
            <w:pPr>
              <w:jc w:val="center"/>
              <w:rPr>
                <w:rFonts w:ascii="CAIXA Std Book" w:eastAsia="Times New Roman" w:hAnsi="CAIXA Std Book" w:cs="Times New Roman"/>
                <w:b/>
                <w:bCs/>
                <w:color w:val="FFFFFF"/>
                <w:sz w:val="18"/>
                <w:szCs w:val="18"/>
              </w:rPr>
            </w:pPr>
            <w:r w:rsidRPr="006D4EA0">
              <w:rPr>
                <w:rFonts w:ascii="CAIXA Std Book" w:eastAsia="Times New Roman" w:hAnsi="CAIXA Std Book" w:cs="Times New Roman"/>
                <w:b/>
                <w:bCs/>
                <w:color w:val="FFFFFF"/>
                <w:sz w:val="18"/>
                <w:szCs w:val="18"/>
              </w:rPr>
              <w:t>202</w:t>
            </w:r>
            <w:r w:rsidR="00405402">
              <w:rPr>
                <w:rFonts w:ascii="CAIXA Std Book" w:eastAsia="Times New Roman" w:hAnsi="CAIXA Std Book" w:cs="Times New Roman"/>
                <w:b/>
                <w:bCs/>
                <w:color w:val="FFFFFF"/>
                <w:sz w:val="18"/>
                <w:szCs w:val="18"/>
              </w:rPr>
              <w:t>6</w:t>
            </w:r>
          </w:p>
        </w:tc>
        <w:tc>
          <w:tcPr>
            <w:tcW w:w="699" w:type="pct"/>
            <w:tcBorders>
              <w:top w:val="single" w:sz="4" w:space="0" w:color="FFFFFF" w:themeColor="background1"/>
              <w:left w:val="nil"/>
              <w:bottom w:val="single" w:sz="4" w:space="0" w:color="FFFFFF" w:themeColor="background1"/>
              <w:right w:val="nil"/>
            </w:tcBorders>
            <w:shd w:val="clear" w:color="000000" w:fill="005CA9"/>
            <w:vAlign w:val="center"/>
            <w:hideMark/>
          </w:tcPr>
          <w:p w14:paraId="12E1EF2A" w14:textId="50B8AF1F" w:rsidR="006D4EA0" w:rsidRPr="006D4EA0" w:rsidRDefault="006D4EA0" w:rsidP="006D4EA0">
            <w:pPr>
              <w:jc w:val="center"/>
              <w:rPr>
                <w:rFonts w:ascii="CAIXA Std Book" w:eastAsia="Times New Roman" w:hAnsi="CAIXA Std Book" w:cs="Times New Roman"/>
                <w:b/>
                <w:bCs/>
                <w:color w:val="FFFFFF"/>
                <w:sz w:val="18"/>
                <w:szCs w:val="18"/>
              </w:rPr>
            </w:pPr>
            <w:r w:rsidRPr="006D4EA0">
              <w:rPr>
                <w:rFonts w:ascii="CAIXA Std Book" w:eastAsia="Times New Roman" w:hAnsi="CAIXA Std Book" w:cs="Times New Roman"/>
                <w:b/>
                <w:bCs/>
                <w:color w:val="FFFFFF"/>
                <w:sz w:val="18"/>
                <w:szCs w:val="18"/>
              </w:rPr>
              <w:t>202</w:t>
            </w:r>
            <w:r w:rsidR="00405402">
              <w:rPr>
                <w:rFonts w:ascii="CAIXA Std Book" w:eastAsia="Times New Roman" w:hAnsi="CAIXA Std Book" w:cs="Times New Roman"/>
                <w:b/>
                <w:bCs/>
                <w:color w:val="FFFFFF"/>
                <w:sz w:val="18"/>
                <w:szCs w:val="18"/>
              </w:rPr>
              <w:t>5</w:t>
            </w:r>
          </w:p>
        </w:tc>
        <w:tc>
          <w:tcPr>
            <w:tcW w:w="698" w:type="pct"/>
            <w:tcBorders>
              <w:top w:val="single" w:sz="4" w:space="0" w:color="FFFFFF" w:themeColor="background1"/>
              <w:left w:val="nil"/>
              <w:bottom w:val="single" w:sz="4" w:space="0" w:color="FFFFFF" w:themeColor="background1"/>
              <w:right w:val="nil"/>
            </w:tcBorders>
            <w:shd w:val="clear" w:color="000000" w:fill="005CA9"/>
            <w:vAlign w:val="center"/>
            <w:hideMark/>
          </w:tcPr>
          <w:p w14:paraId="00A0CCCB" w14:textId="4BC1D303" w:rsidR="006D4EA0" w:rsidRPr="006D4EA0" w:rsidRDefault="006D4EA0" w:rsidP="006D4EA0">
            <w:pPr>
              <w:jc w:val="center"/>
              <w:rPr>
                <w:rFonts w:ascii="CAIXA Std Book" w:eastAsia="Times New Roman" w:hAnsi="CAIXA Std Book" w:cs="Times New Roman"/>
                <w:b/>
                <w:bCs/>
                <w:color w:val="FFFFFF"/>
                <w:sz w:val="18"/>
                <w:szCs w:val="18"/>
              </w:rPr>
            </w:pPr>
            <w:r w:rsidRPr="006D4EA0">
              <w:rPr>
                <w:rFonts w:ascii="CAIXA Std Book" w:eastAsia="Times New Roman" w:hAnsi="CAIXA Std Book" w:cs="Times New Roman"/>
                <w:b/>
                <w:bCs/>
                <w:color w:val="FFFFFF"/>
                <w:sz w:val="18"/>
                <w:szCs w:val="18"/>
              </w:rPr>
              <w:t>202</w:t>
            </w:r>
            <w:r w:rsidR="00405402">
              <w:rPr>
                <w:rFonts w:ascii="CAIXA Std Book" w:eastAsia="Times New Roman" w:hAnsi="CAIXA Std Book" w:cs="Times New Roman"/>
                <w:b/>
                <w:bCs/>
                <w:color w:val="FFFFFF"/>
                <w:sz w:val="18"/>
                <w:szCs w:val="18"/>
              </w:rPr>
              <w:t>6</w:t>
            </w:r>
          </w:p>
        </w:tc>
        <w:tc>
          <w:tcPr>
            <w:tcW w:w="699" w:type="pct"/>
            <w:tcBorders>
              <w:top w:val="single" w:sz="4" w:space="0" w:color="FFFFFF" w:themeColor="background1"/>
              <w:left w:val="nil"/>
              <w:bottom w:val="single" w:sz="4" w:space="0" w:color="FFFFFF" w:themeColor="background1"/>
              <w:right w:val="nil"/>
            </w:tcBorders>
            <w:shd w:val="clear" w:color="000000" w:fill="005CA9"/>
            <w:vAlign w:val="center"/>
            <w:hideMark/>
          </w:tcPr>
          <w:p w14:paraId="33DD3381" w14:textId="69EC5B80" w:rsidR="006D4EA0" w:rsidRPr="006D4EA0" w:rsidRDefault="006D4EA0" w:rsidP="006D4EA0">
            <w:pPr>
              <w:jc w:val="center"/>
              <w:rPr>
                <w:rFonts w:ascii="CAIXA Std Book" w:eastAsia="Times New Roman" w:hAnsi="CAIXA Std Book" w:cs="Times New Roman"/>
                <w:b/>
                <w:bCs/>
                <w:color w:val="FFFFFF"/>
                <w:sz w:val="18"/>
                <w:szCs w:val="18"/>
              </w:rPr>
            </w:pPr>
            <w:r w:rsidRPr="006D4EA0">
              <w:rPr>
                <w:rFonts w:ascii="CAIXA Std Book" w:eastAsia="Times New Roman" w:hAnsi="CAIXA Std Book" w:cs="Times New Roman"/>
                <w:b/>
                <w:bCs/>
                <w:color w:val="FFFFFF"/>
                <w:sz w:val="18"/>
                <w:szCs w:val="18"/>
              </w:rPr>
              <w:t>202</w:t>
            </w:r>
            <w:r w:rsidR="00405402">
              <w:rPr>
                <w:rFonts w:ascii="CAIXA Std Book" w:eastAsia="Times New Roman" w:hAnsi="CAIXA Std Book" w:cs="Times New Roman"/>
                <w:b/>
                <w:bCs/>
                <w:color w:val="FFFFFF"/>
                <w:sz w:val="18"/>
                <w:szCs w:val="18"/>
              </w:rPr>
              <w:t>5</w:t>
            </w:r>
          </w:p>
        </w:tc>
      </w:tr>
      <w:tr w:rsidR="006D4EA0" w:rsidRPr="006D4EA0" w14:paraId="508EBF88" w14:textId="77777777" w:rsidTr="00B44A87">
        <w:trPr>
          <w:trHeight w:val="283"/>
        </w:trPr>
        <w:tc>
          <w:tcPr>
            <w:tcW w:w="2206" w:type="pct"/>
            <w:vMerge/>
            <w:tcBorders>
              <w:top w:val="single" w:sz="4" w:space="0" w:color="FFFFFF"/>
              <w:left w:val="nil"/>
              <w:bottom w:val="single" w:sz="4" w:space="0" w:color="FFFFFF"/>
              <w:right w:val="nil"/>
            </w:tcBorders>
            <w:vAlign w:val="center"/>
            <w:hideMark/>
          </w:tcPr>
          <w:p w14:paraId="51739264" w14:textId="77777777" w:rsidR="006D4EA0" w:rsidRPr="006D4EA0" w:rsidRDefault="006D4EA0" w:rsidP="006D4EA0">
            <w:pPr>
              <w:rPr>
                <w:rFonts w:ascii="CAIXA Std Book" w:eastAsia="Times New Roman" w:hAnsi="CAIXA Std Book" w:cs="Times New Roman"/>
                <w:b/>
                <w:bCs/>
                <w:color w:val="FFFFFF"/>
                <w:sz w:val="18"/>
                <w:szCs w:val="18"/>
              </w:rPr>
            </w:pPr>
          </w:p>
        </w:tc>
        <w:tc>
          <w:tcPr>
            <w:tcW w:w="698" w:type="pct"/>
            <w:tcBorders>
              <w:top w:val="single" w:sz="4" w:space="0" w:color="FFFFFF" w:themeColor="background1"/>
              <w:left w:val="nil"/>
              <w:bottom w:val="nil"/>
              <w:right w:val="nil"/>
            </w:tcBorders>
            <w:shd w:val="clear" w:color="000000" w:fill="005CA9"/>
            <w:vAlign w:val="center"/>
            <w:hideMark/>
          </w:tcPr>
          <w:p w14:paraId="59C3E2F0" w14:textId="77777777" w:rsidR="006D4EA0" w:rsidRPr="006D4EA0" w:rsidRDefault="006D4EA0" w:rsidP="006D4EA0">
            <w:pPr>
              <w:jc w:val="center"/>
              <w:rPr>
                <w:rFonts w:ascii="CAIXA Std Book" w:eastAsia="Times New Roman" w:hAnsi="CAIXA Std Book" w:cs="Times New Roman"/>
                <w:b/>
                <w:bCs/>
                <w:color w:val="FFFFFF"/>
                <w:sz w:val="18"/>
                <w:szCs w:val="18"/>
              </w:rPr>
            </w:pPr>
            <w:r w:rsidRPr="006D4EA0">
              <w:rPr>
                <w:rFonts w:ascii="CAIXA Std Book" w:eastAsia="Times New Roman" w:hAnsi="CAIXA Std Book" w:cs="Times New Roman"/>
                <w:b/>
                <w:bCs/>
                <w:color w:val="FFFFFF"/>
                <w:sz w:val="18"/>
                <w:szCs w:val="18"/>
              </w:rPr>
              <w:t>1º trimestre</w:t>
            </w:r>
          </w:p>
        </w:tc>
        <w:tc>
          <w:tcPr>
            <w:tcW w:w="699" w:type="pct"/>
            <w:tcBorders>
              <w:top w:val="single" w:sz="4" w:space="0" w:color="FFFFFF" w:themeColor="background1"/>
              <w:left w:val="nil"/>
              <w:bottom w:val="nil"/>
              <w:right w:val="nil"/>
            </w:tcBorders>
            <w:shd w:val="clear" w:color="000000" w:fill="005CA9"/>
            <w:vAlign w:val="center"/>
            <w:hideMark/>
          </w:tcPr>
          <w:p w14:paraId="4AE5FE82" w14:textId="77777777" w:rsidR="006D4EA0" w:rsidRPr="006D4EA0" w:rsidRDefault="006D4EA0" w:rsidP="006D4EA0">
            <w:pPr>
              <w:jc w:val="center"/>
              <w:rPr>
                <w:rFonts w:ascii="CAIXA Std Book" w:eastAsia="Times New Roman" w:hAnsi="CAIXA Std Book" w:cs="Times New Roman"/>
                <w:b/>
                <w:bCs/>
                <w:color w:val="FFFFFF"/>
                <w:sz w:val="18"/>
                <w:szCs w:val="18"/>
              </w:rPr>
            </w:pPr>
            <w:r w:rsidRPr="006D4EA0">
              <w:rPr>
                <w:rFonts w:ascii="CAIXA Std Book" w:eastAsia="Times New Roman" w:hAnsi="CAIXA Std Book" w:cs="Times New Roman"/>
                <w:b/>
                <w:bCs/>
                <w:color w:val="FFFFFF"/>
                <w:sz w:val="18"/>
                <w:szCs w:val="18"/>
              </w:rPr>
              <w:t>1º trimestre</w:t>
            </w:r>
          </w:p>
        </w:tc>
        <w:tc>
          <w:tcPr>
            <w:tcW w:w="698" w:type="pct"/>
            <w:tcBorders>
              <w:top w:val="single" w:sz="4" w:space="0" w:color="FFFFFF" w:themeColor="background1"/>
              <w:left w:val="nil"/>
              <w:bottom w:val="nil"/>
              <w:right w:val="nil"/>
            </w:tcBorders>
            <w:shd w:val="clear" w:color="000000" w:fill="005CA9"/>
            <w:vAlign w:val="center"/>
            <w:hideMark/>
          </w:tcPr>
          <w:p w14:paraId="74619B96" w14:textId="77777777" w:rsidR="006D4EA0" w:rsidRPr="006D4EA0" w:rsidRDefault="006D4EA0" w:rsidP="006D4EA0">
            <w:pPr>
              <w:jc w:val="center"/>
              <w:rPr>
                <w:rFonts w:ascii="CAIXA Std Book" w:eastAsia="Times New Roman" w:hAnsi="CAIXA Std Book" w:cs="Times New Roman"/>
                <w:b/>
                <w:bCs/>
                <w:color w:val="FFFFFF"/>
                <w:sz w:val="18"/>
                <w:szCs w:val="18"/>
              </w:rPr>
            </w:pPr>
            <w:r w:rsidRPr="006D4EA0">
              <w:rPr>
                <w:rFonts w:ascii="CAIXA Std Book" w:eastAsia="Times New Roman" w:hAnsi="CAIXA Std Book" w:cs="Times New Roman"/>
                <w:b/>
                <w:bCs/>
                <w:color w:val="FFFFFF"/>
                <w:sz w:val="18"/>
                <w:szCs w:val="18"/>
              </w:rPr>
              <w:t>1º trimestre</w:t>
            </w:r>
          </w:p>
        </w:tc>
        <w:tc>
          <w:tcPr>
            <w:tcW w:w="699" w:type="pct"/>
            <w:tcBorders>
              <w:top w:val="single" w:sz="4" w:space="0" w:color="FFFFFF" w:themeColor="background1"/>
              <w:left w:val="nil"/>
              <w:bottom w:val="nil"/>
              <w:right w:val="nil"/>
            </w:tcBorders>
            <w:shd w:val="clear" w:color="000000" w:fill="005CA9"/>
            <w:vAlign w:val="center"/>
            <w:hideMark/>
          </w:tcPr>
          <w:p w14:paraId="5F9ACBF1" w14:textId="77777777" w:rsidR="006D4EA0" w:rsidRPr="006D4EA0" w:rsidRDefault="006D4EA0" w:rsidP="006D4EA0">
            <w:pPr>
              <w:jc w:val="center"/>
              <w:rPr>
                <w:rFonts w:ascii="CAIXA Std Book" w:eastAsia="Times New Roman" w:hAnsi="CAIXA Std Book" w:cs="Times New Roman"/>
                <w:b/>
                <w:bCs/>
                <w:color w:val="FFFFFF"/>
                <w:sz w:val="18"/>
                <w:szCs w:val="18"/>
              </w:rPr>
            </w:pPr>
            <w:r w:rsidRPr="006D4EA0">
              <w:rPr>
                <w:rFonts w:ascii="CAIXA Std Book" w:eastAsia="Times New Roman" w:hAnsi="CAIXA Std Book" w:cs="Times New Roman"/>
                <w:b/>
                <w:bCs/>
                <w:color w:val="FFFFFF"/>
                <w:sz w:val="18"/>
                <w:szCs w:val="18"/>
              </w:rPr>
              <w:t>1º trimestre</w:t>
            </w:r>
          </w:p>
        </w:tc>
      </w:tr>
      <w:tr w:rsidR="006D4EA0" w:rsidRPr="006D4EA0" w14:paraId="17CE8ABA" w14:textId="77777777" w:rsidTr="00B44A87">
        <w:trPr>
          <w:trHeight w:val="283"/>
        </w:trPr>
        <w:tc>
          <w:tcPr>
            <w:tcW w:w="2206" w:type="pct"/>
            <w:tcBorders>
              <w:top w:val="nil"/>
              <w:left w:val="nil"/>
              <w:bottom w:val="single" w:sz="8" w:space="0" w:color="FFFFFF"/>
              <w:right w:val="nil"/>
            </w:tcBorders>
            <w:shd w:val="clear" w:color="000000" w:fill="D0E0E3"/>
            <w:vAlign w:val="center"/>
            <w:hideMark/>
          </w:tcPr>
          <w:p w14:paraId="0F569C3A" w14:textId="77777777" w:rsidR="006D4EA0" w:rsidRPr="006D4EA0" w:rsidRDefault="006D4EA0" w:rsidP="006D4EA0">
            <w:pPr>
              <w:rPr>
                <w:rFonts w:ascii="CAIXA Std Book" w:eastAsia="Times New Roman" w:hAnsi="CAIXA Std Book" w:cs="Times New Roman"/>
                <w:b/>
                <w:bCs/>
                <w:color w:val="005CA9"/>
                <w:sz w:val="18"/>
                <w:szCs w:val="18"/>
              </w:rPr>
            </w:pPr>
            <w:r w:rsidRPr="006D4EA0">
              <w:rPr>
                <w:rFonts w:ascii="CAIXA Std Book" w:eastAsia="Times New Roman" w:hAnsi="CAIXA Std Book" w:cs="Times New Roman"/>
                <w:b/>
                <w:bCs/>
                <w:color w:val="005CA9"/>
                <w:sz w:val="18"/>
                <w:szCs w:val="18"/>
              </w:rPr>
              <w:t>Lucro líquido contábil (a)</w:t>
            </w:r>
          </w:p>
        </w:tc>
        <w:tc>
          <w:tcPr>
            <w:tcW w:w="698" w:type="pct"/>
            <w:tcBorders>
              <w:top w:val="nil"/>
              <w:left w:val="nil"/>
              <w:bottom w:val="single" w:sz="8" w:space="0" w:color="FFFFFF"/>
              <w:right w:val="nil"/>
            </w:tcBorders>
            <w:shd w:val="clear" w:color="000000" w:fill="D0E0E3"/>
            <w:vAlign w:val="center"/>
          </w:tcPr>
          <w:p w14:paraId="08B40C0E" w14:textId="64BFF05F" w:rsidR="006D4EA0" w:rsidRPr="006D4EA0" w:rsidRDefault="00B44A87" w:rsidP="006D4EA0">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3.093.792</w:t>
            </w:r>
          </w:p>
        </w:tc>
        <w:tc>
          <w:tcPr>
            <w:tcW w:w="699" w:type="pct"/>
            <w:tcBorders>
              <w:top w:val="nil"/>
              <w:left w:val="nil"/>
              <w:bottom w:val="single" w:sz="8" w:space="0" w:color="FFFFFF"/>
              <w:right w:val="nil"/>
            </w:tcBorders>
            <w:shd w:val="clear" w:color="000000" w:fill="D0E0E3"/>
            <w:vAlign w:val="center"/>
            <w:hideMark/>
          </w:tcPr>
          <w:p w14:paraId="7E3F244A" w14:textId="58077D24" w:rsidR="006D4EA0" w:rsidRPr="006D4EA0" w:rsidRDefault="00405402" w:rsidP="006D4EA0">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5.387.708</w:t>
            </w:r>
          </w:p>
        </w:tc>
        <w:tc>
          <w:tcPr>
            <w:tcW w:w="698" w:type="pct"/>
            <w:tcBorders>
              <w:top w:val="nil"/>
              <w:left w:val="nil"/>
              <w:bottom w:val="single" w:sz="8" w:space="0" w:color="FFFFFF"/>
              <w:right w:val="nil"/>
            </w:tcBorders>
            <w:shd w:val="clear" w:color="000000" w:fill="D0E0E3"/>
            <w:vAlign w:val="center"/>
          </w:tcPr>
          <w:p w14:paraId="5760155B" w14:textId="3258C032" w:rsidR="006D4EA0" w:rsidRPr="006D4EA0" w:rsidRDefault="00B44A87" w:rsidP="006D4EA0">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3.468.587</w:t>
            </w:r>
          </w:p>
        </w:tc>
        <w:tc>
          <w:tcPr>
            <w:tcW w:w="699" w:type="pct"/>
            <w:tcBorders>
              <w:top w:val="nil"/>
              <w:left w:val="nil"/>
              <w:bottom w:val="single" w:sz="8" w:space="0" w:color="FFFFFF"/>
              <w:right w:val="nil"/>
            </w:tcBorders>
            <w:shd w:val="clear" w:color="000000" w:fill="D0E0E3"/>
            <w:vAlign w:val="center"/>
            <w:hideMark/>
          </w:tcPr>
          <w:p w14:paraId="1C20223F" w14:textId="41DBE7F6" w:rsidR="006D4EA0" w:rsidRPr="006D4EA0" w:rsidRDefault="00B44A87" w:rsidP="006D4EA0">
            <w:pPr>
              <w:jc w:val="right"/>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6.101.315</w:t>
            </w:r>
          </w:p>
        </w:tc>
      </w:tr>
      <w:tr w:rsidR="006D4EA0" w:rsidRPr="006D4EA0" w14:paraId="5C59C8D0" w14:textId="77777777" w:rsidTr="00B44A87">
        <w:trPr>
          <w:trHeight w:val="283"/>
        </w:trPr>
        <w:tc>
          <w:tcPr>
            <w:tcW w:w="2206" w:type="pct"/>
            <w:tcBorders>
              <w:top w:val="nil"/>
              <w:left w:val="nil"/>
              <w:bottom w:val="single" w:sz="8" w:space="0" w:color="FFFFFF"/>
              <w:right w:val="nil"/>
            </w:tcBorders>
            <w:shd w:val="clear" w:color="000000" w:fill="D0E0E3"/>
            <w:vAlign w:val="center"/>
            <w:hideMark/>
          </w:tcPr>
          <w:p w14:paraId="69ACD21E" w14:textId="77777777" w:rsidR="006D4EA0" w:rsidRPr="006D4EA0" w:rsidRDefault="006D4EA0" w:rsidP="006D4EA0">
            <w:pPr>
              <w:rPr>
                <w:rFonts w:ascii="CAIXA Std Book" w:eastAsia="Times New Roman" w:hAnsi="CAIXA Std Book" w:cs="Times New Roman"/>
                <w:b/>
                <w:bCs/>
                <w:color w:val="005CA9"/>
                <w:sz w:val="18"/>
                <w:szCs w:val="18"/>
              </w:rPr>
            </w:pPr>
            <w:r w:rsidRPr="006D4EA0">
              <w:rPr>
                <w:rFonts w:ascii="CAIXA Std Book" w:eastAsia="Times New Roman" w:hAnsi="CAIXA Std Book" w:cs="Times New Roman"/>
                <w:b/>
                <w:bCs/>
                <w:color w:val="005CA9"/>
                <w:sz w:val="18"/>
                <w:szCs w:val="18"/>
              </w:rPr>
              <w:t>Eventos não recorrentes (b)</w:t>
            </w:r>
          </w:p>
        </w:tc>
        <w:tc>
          <w:tcPr>
            <w:tcW w:w="698" w:type="pct"/>
            <w:tcBorders>
              <w:top w:val="nil"/>
              <w:left w:val="nil"/>
              <w:bottom w:val="single" w:sz="8" w:space="0" w:color="FFFFFF"/>
              <w:right w:val="nil"/>
            </w:tcBorders>
            <w:shd w:val="clear" w:color="000000" w:fill="D0E0E3"/>
            <w:vAlign w:val="center"/>
          </w:tcPr>
          <w:p w14:paraId="2605ACDB" w14:textId="2C5E9CE3" w:rsidR="006D4EA0" w:rsidRPr="006D4EA0" w:rsidRDefault="00B44A87" w:rsidP="00B44A87">
            <w:pPr>
              <w:jc w:val="center"/>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w:t>
            </w:r>
          </w:p>
        </w:tc>
        <w:tc>
          <w:tcPr>
            <w:tcW w:w="699" w:type="pct"/>
            <w:tcBorders>
              <w:top w:val="nil"/>
              <w:left w:val="nil"/>
              <w:bottom w:val="single" w:sz="8" w:space="0" w:color="FFFFFF"/>
              <w:right w:val="nil"/>
            </w:tcBorders>
            <w:shd w:val="clear" w:color="000000" w:fill="D0E0E3"/>
            <w:vAlign w:val="center"/>
            <w:hideMark/>
          </w:tcPr>
          <w:p w14:paraId="42C50CE0" w14:textId="02E6AB41" w:rsidR="006D4EA0" w:rsidRPr="006D4EA0" w:rsidRDefault="00405402" w:rsidP="006D4EA0">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1.647.386</w:t>
            </w:r>
          </w:p>
        </w:tc>
        <w:tc>
          <w:tcPr>
            <w:tcW w:w="698" w:type="pct"/>
            <w:tcBorders>
              <w:top w:val="nil"/>
              <w:left w:val="nil"/>
              <w:bottom w:val="single" w:sz="8" w:space="0" w:color="FFFFFF"/>
              <w:right w:val="nil"/>
            </w:tcBorders>
            <w:shd w:val="clear" w:color="000000" w:fill="D0E0E3"/>
            <w:vAlign w:val="center"/>
          </w:tcPr>
          <w:p w14:paraId="1C8BB383" w14:textId="6644903D" w:rsidR="006D4EA0" w:rsidRPr="006D4EA0" w:rsidRDefault="00B44A87" w:rsidP="00B44A87">
            <w:pPr>
              <w:jc w:val="center"/>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w:t>
            </w:r>
          </w:p>
        </w:tc>
        <w:tc>
          <w:tcPr>
            <w:tcW w:w="699" w:type="pct"/>
            <w:tcBorders>
              <w:top w:val="nil"/>
              <w:left w:val="nil"/>
              <w:bottom w:val="single" w:sz="8" w:space="0" w:color="FFFFFF"/>
              <w:right w:val="nil"/>
            </w:tcBorders>
            <w:shd w:val="clear" w:color="000000" w:fill="D0E0E3"/>
            <w:vAlign w:val="center"/>
            <w:hideMark/>
          </w:tcPr>
          <w:p w14:paraId="36725CAA" w14:textId="10C094B8" w:rsidR="006D4EA0" w:rsidRPr="006D4EA0" w:rsidRDefault="00405402" w:rsidP="006D4EA0">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1.647.386</w:t>
            </w:r>
          </w:p>
        </w:tc>
      </w:tr>
      <w:tr w:rsidR="006D4EA0" w:rsidRPr="006D4EA0" w14:paraId="35BE20ED" w14:textId="77777777" w:rsidTr="00B44A87">
        <w:trPr>
          <w:trHeight w:val="283"/>
        </w:trPr>
        <w:tc>
          <w:tcPr>
            <w:tcW w:w="2206" w:type="pct"/>
            <w:tcBorders>
              <w:top w:val="nil"/>
              <w:left w:val="nil"/>
              <w:bottom w:val="nil"/>
              <w:right w:val="nil"/>
            </w:tcBorders>
            <w:vAlign w:val="center"/>
            <w:hideMark/>
          </w:tcPr>
          <w:p w14:paraId="7B79B258" w14:textId="77777777" w:rsidR="006D4EA0" w:rsidRPr="006D4EA0" w:rsidRDefault="006D4EA0" w:rsidP="006D4EA0">
            <w:pPr>
              <w:ind w:firstLineChars="100" w:firstLine="180"/>
              <w:rPr>
                <w:rFonts w:ascii="CAIXA Std Book" w:eastAsia="Times New Roman" w:hAnsi="CAIXA Std Book" w:cs="Times New Roman"/>
                <w:color w:val="005CA9"/>
                <w:sz w:val="18"/>
                <w:szCs w:val="18"/>
              </w:rPr>
            </w:pPr>
            <w:r w:rsidRPr="006D4EA0">
              <w:rPr>
                <w:rFonts w:ascii="CAIXA Std Book" w:eastAsia="Times New Roman" w:hAnsi="CAIXA Std Book" w:cs="Times New Roman"/>
                <w:color w:val="005CA9"/>
                <w:sz w:val="18"/>
                <w:szCs w:val="18"/>
              </w:rPr>
              <w:t>PDV 2024 (1)</w:t>
            </w:r>
          </w:p>
        </w:tc>
        <w:tc>
          <w:tcPr>
            <w:tcW w:w="698" w:type="pct"/>
            <w:tcBorders>
              <w:top w:val="nil"/>
              <w:left w:val="nil"/>
              <w:bottom w:val="nil"/>
              <w:right w:val="nil"/>
            </w:tcBorders>
            <w:vAlign w:val="center"/>
          </w:tcPr>
          <w:p w14:paraId="06BBD18F" w14:textId="47161CE7" w:rsidR="006D4EA0" w:rsidRPr="006D4EA0" w:rsidRDefault="00B44A87" w:rsidP="00B44A87">
            <w:pPr>
              <w:jc w:val="center"/>
              <w:rPr>
                <w:rFonts w:ascii="CAIXA Std Book" w:eastAsia="Times New Roman" w:hAnsi="CAIXA Std Book" w:cs="Times New Roman"/>
                <w:color w:val="005CA9"/>
                <w:sz w:val="18"/>
                <w:szCs w:val="18"/>
              </w:rPr>
            </w:pPr>
            <w:r>
              <w:rPr>
                <w:rFonts w:ascii="CAIXA Std Book" w:hAnsi="CAIXA Std Book" w:cs="Calibri"/>
                <w:color w:val="005CA9"/>
                <w:sz w:val="18"/>
                <w:szCs w:val="18"/>
              </w:rPr>
              <w:t>-</w:t>
            </w:r>
          </w:p>
        </w:tc>
        <w:tc>
          <w:tcPr>
            <w:tcW w:w="699" w:type="pct"/>
            <w:tcBorders>
              <w:top w:val="nil"/>
              <w:left w:val="nil"/>
              <w:bottom w:val="nil"/>
              <w:right w:val="nil"/>
            </w:tcBorders>
            <w:vAlign w:val="center"/>
            <w:hideMark/>
          </w:tcPr>
          <w:p w14:paraId="6E630A87" w14:textId="0D25C625" w:rsidR="006D4EA0" w:rsidRPr="006D4EA0" w:rsidRDefault="00405402" w:rsidP="006D4EA0">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(92.862)</w:t>
            </w:r>
          </w:p>
        </w:tc>
        <w:tc>
          <w:tcPr>
            <w:tcW w:w="698" w:type="pct"/>
            <w:tcBorders>
              <w:top w:val="nil"/>
              <w:left w:val="nil"/>
              <w:bottom w:val="nil"/>
              <w:right w:val="nil"/>
            </w:tcBorders>
            <w:vAlign w:val="center"/>
          </w:tcPr>
          <w:p w14:paraId="6897C3FE" w14:textId="7D2F317C" w:rsidR="006D4EA0" w:rsidRPr="006D4EA0" w:rsidRDefault="00B44A87" w:rsidP="00B44A87">
            <w:pPr>
              <w:jc w:val="center"/>
              <w:rPr>
                <w:rFonts w:ascii="CAIXA Std Book" w:eastAsia="Times New Roman" w:hAnsi="CAIXA Std Book" w:cs="Times New Roman"/>
                <w:color w:val="005CA9"/>
                <w:sz w:val="18"/>
                <w:szCs w:val="18"/>
              </w:rPr>
            </w:pPr>
            <w:r>
              <w:rPr>
                <w:rFonts w:ascii="CAIXA Std Book" w:hAnsi="CAIXA Std Book" w:cs="Calibri"/>
                <w:color w:val="005CA9"/>
                <w:sz w:val="18"/>
                <w:szCs w:val="18"/>
              </w:rPr>
              <w:t>-</w:t>
            </w:r>
          </w:p>
        </w:tc>
        <w:tc>
          <w:tcPr>
            <w:tcW w:w="699" w:type="pct"/>
            <w:tcBorders>
              <w:top w:val="nil"/>
              <w:left w:val="nil"/>
              <w:bottom w:val="nil"/>
              <w:right w:val="nil"/>
            </w:tcBorders>
            <w:vAlign w:val="center"/>
            <w:hideMark/>
          </w:tcPr>
          <w:p w14:paraId="2146D74B" w14:textId="55248BCA" w:rsidR="006D4EA0" w:rsidRPr="006D4EA0" w:rsidRDefault="00405402" w:rsidP="006D4EA0">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(92.862)</w:t>
            </w:r>
          </w:p>
        </w:tc>
      </w:tr>
      <w:tr w:rsidR="006D4EA0" w:rsidRPr="006D4EA0" w14:paraId="67F5E919" w14:textId="77777777" w:rsidTr="00B44A87">
        <w:trPr>
          <w:trHeight w:val="283"/>
        </w:trPr>
        <w:tc>
          <w:tcPr>
            <w:tcW w:w="2206" w:type="pct"/>
            <w:tcBorders>
              <w:top w:val="nil"/>
              <w:left w:val="nil"/>
              <w:bottom w:val="nil"/>
              <w:right w:val="nil"/>
            </w:tcBorders>
            <w:vAlign w:val="center"/>
            <w:hideMark/>
          </w:tcPr>
          <w:p w14:paraId="5A020547" w14:textId="77777777" w:rsidR="006D4EA0" w:rsidRPr="006D4EA0" w:rsidRDefault="006D4EA0" w:rsidP="006D4EA0">
            <w:pPr>
              <w:ind w:firstLineChars="100" w:firstLine="180"/>
              <w:rPr>
                <w:rFonts w:ascii="CAIXA Std Book" w:eastAsia="Times New Roman" w:hAnsi="CAIXA Std Book" w:cs="Times New Roman"/>
                <w:color w:val="005CA9"/>
                <w:sz w:val="18"/>
                <w:szCs w:val="18"/>
              </w:rPr>
            </w:pPr>
            <w:r w:rsidRPr="006D4EA0">
              <w:rPr>
                <w:rFonts w:ascii="CAIXA Std Book" w:eastAsia="Times New Roman" w:hAnsi="CAIXA Std Book" w:cs="Times New Roman"/>
                <w:color w:val="005CA9"/>
                <w:sz w:val="18"/>
                <w:szCs w:val="18"/>
              </w:rPr>
              <w:t>Avaliação atuarial REG REPLAN (2)</w:t>
            </w:r>
          </w:p>
        </w:tc>
        <w:tc>
          <w:tcPr>
            <w:tcW w:w="698" w:type="pct"/>
            <w:tcBorders>
              <w:top w:val="nil"/>
              <w:left w:val="nil"/>
              <w:bottom w:val="nil"/>
              <w:right w:val="nil"/>
            </w:tcBorders>
            <w:vAlign w:val="center"/>
          </w:tcPr>
          <w:p w14:paraId="1A916530" w14:textId="7613B06D" w:rsidR="006D4EA0" w:rsidRPr="006D4EA0" w:rsidRDefault="00B44A87" w:rsidP="00B44A87">
            <w:pPr>
              <w:jc w:val="center"/>
              <w:rPr>
                <w:rFonts w:ascii="CAIXA Std Book" w:eastAsia="Times New Roman" w:hAnsi="CAIXA Std Book" w:cs="Times New Roman"/>
                <w:color w:val="005CA9"/>
                <w:sz w:val="18"/>
                <w:szCs w:val="18"/>
              </w:rPr>
            </w:pPr>
            <w:r>
              <w:rPr>
                <w:rFonts w:ascii="CAIXA Std Book" w:hAnsi="CAIXA Std Book" w:cs="Calibri"/>
                <w:color w:val="005CA9"/>
                <w:sz w:val="18"/>
                <w:szCs w:val="18"/>
              </w:rPr>
              <w:t>-</w:t>
            </w:r>
          </w:p>
        </w:tc>
        <w:tc>
          <w:tcPr>
            <w:tcW w:w="699" w:type="pct"/>
            <w:tcBorders>
              <w:top w:val="nil"/>
              <w:left w:val="nil"/>
              <w:bottom w:val="nil"/>
              <w:right w:val="nil"/>
            </w:tcBorders>
            <w:vAlign w:val="center"/>
            <w:hideMark/>
          </w:tcPr>
          <w:p w14:paraId="56E3A798" w14:textId="5D696022" w:rsidR="006D4EA0" w:rsidRPr="006D4EA0" w:rsidRDefault="00405402" w:rsidP="006D4EA0">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900.784</w:t>
            </w:r>
          </w:p>
        </w:tc>
        <w:tc>
          <w:tcPr>
            <w:tcW w:w="698" w:type="pct"/>
            <w:tcBorders>
              <w:top w:val="nil"/>
              <w:left w:val="nil"/>
              <w:bottom w:val="nil"/>
              <w:right w:val="nil"/>
            </w:tcBorders>
            <w:vAlign w:val="center"/>
          </w:tcPr>
          <w:p w14:paraId="76A16528" w14:textId="2E99DBEF" w:rsidR="006D4EA0" w:rsidRPr="006D4EA0" w:rsidRDefault="00B44A87" w:rsidP="00B44A87">
            <w:pPr>
              <w:jc w:val="center"/>
              <w:rPr>
                <w:rFonts w:ascii="CAIXA Std Book" w:eastAsia="Times New Roman" w:hAnsi="CAIXA Std Book" w:cs="Times New Roman"/>
                <w:color w:val="005CA9"/>
                <w:sz w:val="18"/>
                <w:szCs w:val="18"/>
              </w:rPr>
            </w:pPr>
            <w:r>
              <w:rPr>
                <w:rFonts w:ascii="CAIXA Std Book" w:hAnsi="CAIXA Std Book" w:cs="Calibri"/>
                <w:color w:val="005CA9"/>
                <w:sz w:val="18"/>
                <w:szCs w:val="18"/>
              </w:rPr>
              <w:t>-</w:t>
            </w:r>
          </w:p>
        </w:tc>
        <w:tc>
          <w:tcPr>
            <w:tcW w:w="699" w:type="pct"/>
            <w:tcBorders>
              <w:top w:val="nil"/>
              <w:left w:val="nil"/>
              <w:bottom w:val="nil"/>
              <w:right w:val="nil"/>
            </w:tcBorders>
            <w:vAlign w:val="center"/>
            <w:hideMark/>
          </w:tcPr>
          <w:p w14:paraId="28B2A1CC" w14:textId="44198822" w:rsidR="006D4EA0" w:rsidRPr="006D4EA0" w:rsidRDefault="00405402" w:rsidP="006D4EA0">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900.784</w:t>
            </w:r>
          </w:p>
        </w:tc>
      </w:tr>
      <w:tr w:rsidR="006D4EA0" w:rsidRPr="006D4EA0" w14:paraId="1D118C12" w14:textId="77777777" w:rsidTr="00B44A87">
        <w:trPr>
          <w:trHeight w:val="283"/>
        </w:trPr>
        <w:tc>
          <w:tcPr>
            <w:tcW w:w="2206" w:type="pct"/>
            <w:tcBorders>
              <w:top w:val="nil"/>
              <w:left w:val="nil"/>
              <w:bottom w:val="nil"/>
              <w:right w:val="nil"/>
            </w:tcBorders>
            <w:vAlign w:val="center"/>
            <w:hideMark/>
          </w:tcPr>
          <w:p w14:paraId="5FFC43B0" w14:textId="77777777" w:rsidR="006D4EA0" w:rsidRPr="006D4EA0" w:rsidRDefault="006D4EA0" w:rsidP="006D4EA0">
            <w:pPr>
              <w:ind w:firstLineChars="100" w:firstLine="180"/>
              <w:rPr>
                <w:rFonts w:ascii="CAIXA Std Book" w:eastAsia="Times New Roman" w:hAnsi="CAIXA Std Book" w:cs="Times New Roman"/>
                <w:color w:val="005CA9"/>
                <w:sz w:val="18"/>
                <w:szCs w:val="18"/>
              </w:rPr>
            </w:pPr>
            <w:r w:rsidRPr="006D4EA0">
              <w:rPr>
                <w:rFonts w:ascii="CAIXA Std Book" w:eastAsia="Times New Roman" w:hAnsi="CAIXA Std Book" w:cs="Times New Roman"/>
                <w:color w:val="005CA9"/>
                <w:sz w:val="18"/>
                <w:szCs w:val="18"/>
              </w:rPr>
              <w:t>Ganho na alienação - CAIXA Seguridade (3)</w:t>
            </w:r>
          </w:p>
        </w:tc>
        <w:tc>
          <w:tcPr>
            <w:tcW w:w="698" w:type="pct"/>
            <w:tcBorders>
              <w:top w:val="nil"/>
              <w:left w:val="nil"/>
              <w:bottom w:val="nil"/>
              <w:right w:val="nil"/>
            </w:tcBorders>
            <w:vAlign w:val="center"/>
          </w:tcPr>
          <w:p w14:paraId="6BBDAE72" w14:textId="228858EB" w:rsidR="006D4EA0" w:rsidRPr="006D4EA0" w:rsidRDefault="00B44A87" w:rsidP="00B44A87">
            <w:pPr>
              <w:jc w:val="center"/>
              <w:rPr>
                <w:rFonts w:ascii="CAIXA Std Book" w:eastAsia="Times New Roman" w:hAnsi="CAIXA Std Book" w:cs="Times New Roman"/>
                <w:color w:val="005CA9"/>
                <w:sz w:val="18"/>
                <w:szCs w:val="18"/>
              </w:rPr>
            </w:pPr>
            <w:r>
              <w:rPr>
                <w:rFonts w:ascii="CAIXA Std Book" w:hAnsi="CAIXA Std Book" w:cs="Calibri"/>
                <w:color w:val="005CA9"/>
                <w:sz w:val="18"/>
                <w:szCs w:val="18"/>
              </w:rPr>
              <w:t>-</w:t>
            </w:r>
          </w:p>
        </w:tc>
        <w:tc>
          <w:tcPr>
            <w:tcW w:w="699" w:type="pct"/>
            <w:tcBorders>
              <w:top w:val="nil"/>
              <w:left w:val="nil"/>
              <w:bottom w:val="nil"/>
              <w:right w:val="nil"/>
            </w:tcBorders>
            <w:vAlign w:val="center"/>
            <w:hideMark/>
          </w:tcPr>
          <w:p w14:paraId="66DA40C0" w14:textId="0A5B8235" w:rsidR="006D4EA0" w:rsidRPr="006D4EA0" w:rsidRDefault="00405402" w:rsidP="006D4EA0">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839.464</w:t>
            </w:r>
          </w:p>
        </w:tc>
        <w:tc>
          <w:tcPr>
            <w:tcW w:w="698" w:type="pct"/>
            <w:tcBorders>
              <w:top w:val="nil"/>
              <w:left w:val="nil"/>
              <w:bottom w:val="nil"/>
              <w:right w:val="nil"/>
            </w:tcBorders>
            <w:vAlign w:val="center"/>
          </w:tcPr>
          <w:p w14:paraId="5DF2F0F9" w14:textId="739EF31B" w:rsidR="006D4EA0" w:rsidRPr="006D4EA0" w:rsidRDefault="00B44A87" w:rsidP="00B44A87">
            <w:pPr>
              <w:jc w:val="center"/>
              <w:rPr>
                <w:rFonts w:ascii="CAIXA Std Book" w:eastAsia="Times New Roman" w:hAnsi="CAIXA Std Book" w:cs="Times New Roman"/>
                <w:color w:val="005CA9"/>
                <w:sz w:val="18"/>
                <w:szCs w:val="18"/>
              </w:rPr>
            </w:pPr>
            <w:r>
              <w:rPr>
                <w:rFonts w:ascii="CAIXA Std Book" w:hAnsi="CAIXA Std Book" w:cs="Calibri"/>
                <w:color w:val="005CA9"/>
                <w:sz w:val="18"/>
                <w:szCs w:val="18"/>
              </w:rPr>
              <w:t>-</w:t>
            </w:r>
          </w:p>
        </w:tc>
        <w:tc>
          <w:tcPr>
            <w:tcW w:w="699" w:type="pct"/>
            <w:tcBorders>
              <w:top w:val="nil"/>
              <w:left w:val="nil"/>
              <w:bottom w:val="nil"/>
              <w:right w:val="nil"/>
            </w:tcBorders>
            <w:vAlign w:val="center"/>
            <w:hideMark/>
          </w:tcPr>
          <w:p w14:paraId="4C135786" w14:textId="6756FF1B" w:rsidR="006D4EA0" w:rsidRPr="006D4EA0" w:rsidRDefault="00405402" w:rsidP="006D4EA0">
            <w:pPr>
              <w:jc w:val="right"/>
              <w:rPr>
                <w:rFonts w:ascii="CAIXA Std Book" w:eastAsia="Times New Roman" w:hAnsi="CAIXA Std Book" w:cs="Times New Roman"/>
                <w:color w:val="005CA9"/>
                <w:sz w:val="18"/>
                <w:szCs w:val="18"/>
              </w:rPr>
            </w:pPr>
            <w:r>
              <w:rPr>
                <w:rFonts w:ascii="CAIXA Std Book" w:hAnsi="CAIXA Std Book" w:cs="Calibri"/>
                <w:color w:val="005CA9"/>
                <w:sz w:val="18"/>
                <w:szCs w:val="18"/>
              </w:rPr>
              <w:t>839.464</w:t>
            </w:r>
          </w:p>
        </w:tc>
      </w:tr>
      <w:tr w:rsidR="006D4EA0" w:rsidRPr="006D4EA0" w14:paraId="642FB2C7" w14:textId="77777777" w:rsidTr="00B44A87">
        <w:trPr>
          <w:trHeight w:val="283"/>
        </w:trPr>
        <w:tc>
          <w:tcPr>
            <w:tcW w:w="2206" w:type="pct"/>
            <w:tcBorders>
              <w:top w:val="nil"/>
              <w:left w:val="nil"/>
              <w:bottom w:val="single" w:sz="8" w:space="0" w:color="FFFFFF"/>
              <w:right w:val="nil"/>
            </w:tcBorders>
            <w:shd w:val="clear" w:color="000000" w:fill="D0E0E3"/>
            <w:vAlign w:val="center"/>
            <w:hideMark/>
          </w:tcPr>
          <w:p w14:paraId="33FE181C" w14:textId="74F274EF" w:rsidR="006D4EA0" w:rsidRPr="006D4EA0" w:rsidRDefault="006D4EA0" w:rsidP="006D4EA0">
            <w:pPr>
              <w:rPr>
                <w:rFonts w:ascii="CAIXA Std Book" w:eastAsia="Times New Roman" w:hAnsi="CAIXA Std Book" w:cs="Times New Roman"/>
                <w:b/>
                <w:bCs/>
                <w:color w:val="005CA9"/>
                <w:sz w:val="18"/>
                <w:szCs w:val="18"/>
              </w:rPr>
            </w:pPr>
            <w:r w:rsidRPr="006D4EA0">
              <w:rPr>
                <w:rFonts w:ascii="CAIXA Std Book" w:eastAsia="Times New Roman" w:hAnsi="CAIXA Std Book" w:cs="Times New Roman"/>
                <w:b/>
                <w:bCs/>
                <w:color w:val="005CA9"/>
                <w:sz w:val="18"/>
                <w:szCs w:val="18"/>
              </w:rPr>
              <w:t>Despesas impactadas pelos eventos (c) (</w:t>
            </w:r>
            <w:r w:rsidR="004C41FE">
              <w:rPr>
                <w:rFonts w:ascii="CAIXA Std Book" w:eastAsia="Times New Roman" w:hAnsi="CAIXA Std Book" w:cs="Times New Roman"/>
                <w:b/>
                <w:bCs/>
                <w:color w:val="005CA9"/>
                <w:sz w:val="18"/>
                <w:szCs w:val="18"/>
              </w:rPr>
              <w:t>4</w:t>
            </w:r>
            <w:r w:rsidRPr="006D4EA0">
              <w:rPr>
                <w:rFonts w:ascii="CAIXA Std Book" w:eastAsia="Times New Roman" w:hAnsi="CAIXA Std Book" w:cs="Times New Roman"/>
                <w:b/>
                <w:bCs/>
                <w:color w:val="005CA9"/>
                <w:sz w:val="18"/>
                <w:szCs w:val="18"/>
              </w:rPr>
              <w:t>)</w:t>
            </w:r>
          </w:p>
        </w:tc>
        <w:tc>
          <w:tcPr>
            <w:tcW w:w="698" w:type="pct"/>
            <w:tcBorders>
              <w:top w:val="nil"/>
              <w:left w:val="nil"/>
              <w:bottom w:val="single" w:sz="8" w:space="0" w:color="FFFFFF"/>
              <w:right w:val="nil"/>
            </w:tcBorders>
            <w:shd w:val="clear" w:color="000000" w:fill="D0E0E3"/>
            <w:vAlign w:val="center"/>
          </w:tcPr>
          <w:p w14:paraId="35EFC3F0" w14:textId="0F85A426" w:rsidR="006D4EA0" w:rsidRPr="006D4EA0" w:rsidRDefault="00B44A87" w:rsidP="00B44A87">
            <w:pPr>
              <w:jc w:val="center"/>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w:t>
            </w:r>
          </w:p>
        </w:tc>
        <w:tc>
          <w:tcPr>
            <w:tcW w:w="699" w:type="pct"/>
            <w:tcBorders>
              <w:top w:val="nil"/>
              <w:left w:val="nil"/>
              <w:bottom w:val="single" w:sz="8" w:space="0" w:color="FFFFFF"/>
              <w:right w:val="nil"/>
            </w:tcBorders>
            <w:shd w:val="clear" w:color="000000" w:fill="D0E0E3"/>
            <w:vAlign w:val="center"/>
            <w:hideMark/>
          </w:tcPr>
          <w:p w14:paraId="4A3C98E4" w14:textId="645B3315" w:rsidR="006D4EA0" w:rsidRPr="006D4EA0" w:rsidRDefault="00405402" w:rsidP="006D4EA0">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(840.628)</w:t>
            </w:r>
          </w:p>
        </w:tc>
        <w:tc>
          <w:tcPr>
            <w:tcW w:w="698" w:type="pct"/>
            <w:tcBorders>
              <w:top w:val="nil"/>
              <w:left w:val="nil"/>
              <w:bottom w:val="single" w:sz="8" w:space="0" w:color="FFFFFF"/>
              <w:right w:val="nil"/>
            </w:tcBorders>
            <w:shd w:val="clear" w:color="000000" w:fill="D0E0E3"/>
            <w:vAlign w:val="center"/>
          </w:tcPr>
          <w:p w14:paraId="11C24057" w14:textId="19C39143" w:rsidR="006D4EA0" w:rsidRPr="006D4EA0" w:rsidRDefault="00B44A87" w:rsidP="00B44A87">
            <w:pPr>
              <w:jc w:val="center"/>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w:t>
            </w:r>
          </w:p>
        </w:tc>
        <w:tc>
          <w:tcPr>
            <w:tcW w:w="699" w:type="pct"/>
            <w:tcBorders>
              <w:top w:val="nil"/>
              <w:left w:val="nil"/>
              <w:bottom w:val="single" w:sz="8" w:space="0" w:color="FFFFFF"/>
              <w:right w:val="nil"/>
            </w:tcBorders>
            <w:shd w:val="clear" w:color="000000" w:fill="D0E0E3"/>
            <w:vAlign w:val="center"/>
            <w:hideMark/>
          </w:tcPr>
          <w:p w14:paraId="642B1774" w14:textId="1DC3495A" w:rsidR="006D4EA0" w:rsidRPr="006D4EA0" w:rsidRDefault="00405402" w:rsidP="006D4EA0">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(834.707)</w:t>
            </w:r>
          </w:p>
        </w:tc>
      </w:tr>
      <w:tr w:rsidR="006D4EA0" w:rsidRPr="006D4EA0" w14:paraId="60E779D2" w14:textId="77777777" w:rsidTr="00B44A87">
        <w:trPr>
          <w:trHeight w:val="283"/>
        </w:trPr>
        <w:tc>
          <w:tcPr>
            <w:tcW w:w="2206" w:type="pct"/>
            <w:tcBorders>
              <w:top w:val="nil"/>
              <w:left w:val="nil"/>
              <w:bottom w:val="single" w:sz="8" w:space="0" w:color="FFFFFF"/>
              <w:right w:val="nil"/>
            </w:tcBorders>
            <w:shd w:val="clear" w:color="000000" w:fill="D0E0E3"/>
            <w:vAlign w:val="center"/>
            <w:hideMark/>
          </w:tcPr>
          <w:p w14:paraId="14EA5CE1" w14:textId="77777777" w:rsidR="006D4EA0" w:rsidRPr="006D4EA0" w:rsidRDefault="006D4EA0" w:rsidP="006D4EA0">
            <w:pPr>
              <w:rPr>
                <w:rFonts w:ascii="CAIXA Std Book" w:eastAsia="Times New Roman" w:hAnsi="CAIXA Std Book" w:cs="Times New Roman"/>
                <w:b/>
                <w:bCs/>
                <w:color w:val="005CA9"/>
                <w:sz w:val="18"/>
                <w:szCs w:val="18"/>
              </w:rPr>
            </w:pPr>
            <w:r w:rsidRPr="006D4EA0">
              <w:rPr>
                <w:rFonts w:ascii="CAIXA Std Book" w:eastAsia="Times New Roman" w:hAnsi="CAIXA Std Book" w:cs="Times New Roman"/>
                <w:b/>
                <w:bCs/>
                <w:color w:val="005CA9"/>
                <w:sz w:val="18"/>
                <w:szCs w:val="18"/>
              </w:rPr>
              <w:t>Resultado não recorrente (d = b + c)</w:t>
            </w:r>
          </w:p>
        </w:tc>
        <w:tc>
          <w:tcPr>
            <w:tcW w:w="698" w:type="pct"/>
            <w:tcBorders>
              <w:top w:val="nil"/>
              <w:left w:val="nil"/>
              <w:bottom w:val="single" w:sz="8" w:space="0" w:color="FFFFFF"/>
              <w:right w:val="nil"/>
            </w:tcBorders>
            <w:shd w:val="clear" w:color="000000" w:fill="D0E0E3"/>
            <w:vAlign w:val="center"/>
          </w:tcPr>
          <w:p w14:paraId="7DF9DC61" w14:textId="67E1B937" w:rsidR="006D4EA0" w:rsidRPr="006D4EA0" w:rsidRDefault="00B44A87" w:rsidP="00B44A87">
            <w:pPr>
              <w:jc w:val="center"/>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w:t>
            </w:r>
          </w:p>
        </w:tc>
        <w:tc>
          <w:tcPr>
            <w:tcW w:w="699" w:type="pct"/>
            <w:tcBorders>
              <w:top w:val="nil"/>
              <w:left w:val="nil"/>
              <w:bottom w:val="single" w:sz="8" w:space="0" w:color="FFFFFF"/>
              <w:right w:val="nil"/>
            </w:tcBorders>
            <w:shd w:val="clear" w:color="000000" w:fill="D0E0E3"/>
            <w:vAlign w:val="center"/>
            <w:hideMark/>
          </w:tcPr>
          <w:p w14:paraId="758881BA" w14:textId="537B9E84" w:rsidR="006D4EA0" w:rsidRPr="006D4EA0" w:rsidRDefault="00405402" w:rsidP="006D4EA0">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806.758</w:t>
            </w:r>
          </w:p>
        </w:tc>
        <w:tc>
          <w:tcPr>
            <w:tcW w:w="698" w:type="pct"/>
            <w:tcBorders>
              <w:top w:val="nil"/>
              <w:left w:val="nil"/>
              <w:bottom w:val="single" w:sz="8" w:space="0" w:color="FFFFFF"/>
              <w:right w:val="nil"/>
            </w:tcBorders>
            <w:shd w:val="clear" w:color="000000" w:fill="D0E0E3"/>
            <w:vAlign w:val="center"/>
          </w:tcPr>
          <w:p w14:paraId="10E5AC97" w14:textId="487D1069" w:rsidR="006D4EA0" w:rsidRPr="006D4EA0" w:rsidRDefault="00B44A87" w:rsidP="00B44A87">
            <w:pPr>
              <w:jc w:val="center"/>
              <w:rPr>
                <w:rFonts w:ascii="CAIXA Std Book" w:eastAsia="Times New Roman" w:hAnsi="CAIXA Std Book" w:cs="Times New Roman"/>
                <w:b/>
                <w:bCs/>
                <w:color w:val="005CA9"/>
                <w:sz w:val="18"/>
                <w:szCs w:val="18"/>
              </w:rPr>
            </w:pPr>
            <w:r>
              <w:rPr>
                <w:rFonts w:ascii="CAIXA Std Book" w:hAnsi="CAIXA Std Book" w:cs="Calibri"/>
                <w:b/>
                <w:bCs/>
                <w:color w:val="005CA9"/>
                <w:sz w:val="18"/>
                <w:szCs w:val="18"/>
              </w:rPr>
              <w:t>-</w:t>
            </w:r>
          </w:p>
        </w:tc>
        <w:tc>
          <w:tcPr>
            <w:tcW w:w="699" w:type="pct"/>
            <w:tcBorders>
              <w:top w:val="nil"/>
              <w:left w:val="nil"/>
              <w:bottom w:val="single" w:sz="8" w:space="0" w:color="FFFFFF"/>
              <w:right w:val="nil"/>
            </w:tcBorders>
            <w:shd w:val="clear" w:color="000000" w:fill="D0E0E3"/>
            <w:vAlign w:val="center"/>
            <w:hideMark/>
          </w:tcPr>
          <w:p w14:paraId="561AE59C" w14:textId="5FD71BAF" w:rsidR="006D4EA0" w:rsidRPr="006D4EA0" w:rsidRDefault="00405402" w:rsidP="006D4EA0">
            <w:pPr>
              <w:jc w:val="right"/>
              <w:rPr>
                <w:rFonts w:ascii="CAIXA Std Book" w:eastAsia="Times New Roman" w:hAnsi="CAIXA Std Book" w:cs="Times New Roman"/>
                <w:b/>
                <w:bCs/>
                <w:color w:val="005CA9"/>
                <w:sz w:val="18"/>
                <w:szCs w:val="18"/>
              </w:rPr>
            </w:pPr>
            <w:r>
              <w:rPr>
                <w:rFonts w:ascii="CAIXA Std Book" w:hAnsi="CAIXA Std Book" w:cs="Calibri"/>
                <w:b/>
                <w:color w:val="005CA9"/>
                <w:sz w:val="18"/>
                <w:szCs w:val="18"/>
              </w:rPr>
              <w:t>812.679</w:t>
            </w:r>
          </w:p>
        </w:tc>
      </w:tr>
      <w:tr w:rsidR="006D4EA0" w:rsidRPr="006D4EA0" w14:paraId="3D51558A" w14:textId="77777777" w:rsidTr="00B44A87">
        <w:trPr>
          <w:trHeight w:val="283"/>
        </w:trPr>
        <w:tc>
          <w:tcPr>
            <w:tcW w:w="2206" w:type="pct"/>
            <w:tcBorders>
              <w:top w:val="nil"/>
              <w:left w:val="nil"/>
              <w:bottom w:val="nil"/>
              <w:right w:val="nil"/>
            </w:tcBorders>
            <w:shd w:val="clear" w:color="000000" w:fill="005CA9"/>
            <w:vAlign w:val="center"/>
            <w:hideMark/>
          </w:tcPr>
          <w:p w14:paraId="2B395990" w14:textId="77777777" w:rsidR="006D4EA0" w:rsidRPr="006D4EA0" w:rsidRDefault="006D4EA0" w:rsidP="006D4EA0">
            <w:pPr>
              <w:rPr>
                <w:rFonts w:ascii="CAIXA Std Book" w:eastAsia="Times New Roman" w:hAnsi="CAIXA Std Book" w:cs="Times New Roman"/>
                <w:b/>
                <w:bCs/>
                <w:color w:val="FFFFFF"/>
                <w:sz w:val="18"/>
                <w:szCs w:val="18"/>
              </w:rPr>
            </w:pPr>
            <w:r w:rsidRPr="006D4EA0">
              <w:rPr>
                <w:rFonts w:ascii="CAIXA Std Book" w:eastAsia="Times New Roman" w:hAnsi="CAIXA Std Book" w:cs="Times New Roman"/>
                <w:b/>
                <w:bCs/>
                <w:color w:val="FFFFFF"/>
                <w:sz w:val="18"/>
                <w:szCs w:val="18"/>
              </w:rPr>
              <w:t>Resultado recorrente regulatório (e = a - d)</w:t>
            </w:r>
          </w:p>
        </w:tc>
        <w:tc>
          <w:tcPr>
            <w:tcW w:w="698" w:type="pct"/>
            <w:tcBorders>
              <w:top w:val="nil"/>
              <w:left w:val="nil"/>
              <w:bottom w:val="nil"/>
              <w:right w:val="nil"/>
            </w:tcBorders>
            <w:shd w:val="clear" w:color="000000" w:fill="005CA9"/>
            <w:vAlign w:val="center"/>
          </w:tcPr>
          <w:p w14:paraId="522DAED8" w14:textId="5A4E01E2" w:rsidR="006D4EA0" w:rsidRPr="006D4EA0" w:rsidRDefault="00B44A87" w:rsidP="006D4EA0">
            <w:pPr>
              <w:jc w:val="right"/>
              <w:rPr>
                <w:rFonts w:ascii="CAIXA Std Book" w:eastAsia="Times New Roman" w:hAnsi="CAIXA Std Book" w:cs="Times New Roman"/>
                <w:b/>
                <w:bCs/>
                <w:color w:val="FFFFFF"/>
                <w:sz w:val="18"/>
                <w:szCs w:val="18"/>
              </w:rPr>
            </w:pPr>
            <w:r>
              <w:rPr>
                <w:rFonts w:ascii="CAIXA Std Book" w:hAnsi="CAIXA Std Book" w:cs="Calibri"/>
                <w:b/>
                <w:bCs/>
                <w:color w:val="FFFFFF"/>
                <w:sz w:val="18"/>
                <w:szCs w:val="18"/>
              </w:rPr>
              <w:t>3.093.792</w:t>
            </w:r>
          </w:p>
        </w:tc>
        <w:tc>
          <w:tcPr>
            <w:tcW w:w="699" w:type="pct"/>
            <w:tcBorders>
              <w:top w:val="nil"/>
              <w:left w:val="nil"/>
              <w:bottom w:val="nil"/>
              <w:right w:val="nil"/>
            </w:tcBorders>
            <w:shd w:val="clear" w:color="000000" w:fill="005CA9"/>
            <w:vAlign w:val="center"/>
            <w:hideMark/>
          </w:tcPr>
          <w:p w14:paraId="3D9983E3" w14:textId="29771A65" w:rsidR="006D4EA0" w:rsidRPr="006D4EA0" w:rsidRDefault="00405402" w:rsidP="006D4EA0">
            <w:pPr>
              <w:jc w:val="right"/>
              <w:rPr>
                <w:rFonts w:ascii="CAIXA Std Book" w:eastAsia="Times New Roman" w:hAnsi="CAIXA Std Book" w:cs="Times New Roman"/>
                <w:b/>
                <w:bCs/>
                <w:color w:val="FFFFFF"/>
                <w:sz w:val="18"/>
                <w:szCs w:val="18"/>
              </w:rPr>
            </w:pPr>
            <w:r>
              <w:rPr>
                <w:rFonts w:ascii="CAIXA Std Book" w:hAnsi="CAIXA Std Book" w:cs="Calibri"/>
                <w:b/>
                <w:color w:val="FFFFFF"/>
                <w:sz w:val="18"/>
                <w:szCs w:val="18"/>
              </w:rPr>
              <w:t>4.580.950</w:t>
            </w:r>
          </w:p>
        </w:tc>
        <w:tc>
          <w:tcPr>
            <w:tcW w:w="698" w:type="pct"/>
            <w:tcBorders>
              <w:top w:val="nil"/>
              <w:left w:val="nil"/>
              <w:bottom w:val="nil"/>
              <w:right w:val="nil"/>
            </w:tcBorders>
            <w:shd w:val="clear" w:color="000000" w:fill="005CA9"/>
            <w:vAlign w:val="center"/>
          </w:tcPr>
          <w:p w14:paraId="45657920" w14:textId="593C5641" w:rsidR="006D4EA0" w:rsidRPr="006D4EA0" w:rsidRDefault="00B44A87" w:rsidP="006D4EA0">
            <w:pPr>
              <w:jc w:val="right"/>
              <w:rPr>
                <w:rFonts w:ascii="CAIXA Std Book" w:eastAsia="Times New Roman" w:hAnsi="CAIXA Std Book" w:cs="Times New Roman"/>
                <w:b/>
                <w:bCs/>
                <w:color w:val="FFFFFF"/>
                <w:sz w:val="18"/>
                <w:szCs w:val="18"/>
              </w:rPr>
            </w:pPr>
            <w:r>
              <w:rPr>
                <w:rFonts w:ascii="CAIXA Std Book" w:hAnsi="CAIXA Std Book" w:cs="Calibri"/>
                <w:b/>
                <w:bCs/>
                <w:color w:val="FFFFFF"/>
                <w:sz w:val="18"/>
                <w:szCs w:val="18"/>
              </w:rPr>
              <w:t>3.468.587</w:t>
            </w:r>
          </w:p>
        </w:tc>
        <w:tc>
          <w:tcPr>
            <w:tcW w:w="699" w:type="pct"/>
            <w:tcBorders>
              <w:top w:val="nil"/>
              <w:left w:val="nil"/>
              <w:bottom w:val="nil"/>
              <w:right w:val="nil"/>
            </w:tcBorders>
            <w:shd w:val="clear" w:color="000000" w:fill="005CA9"/>
            <w:vAlign w:val="center"/>
            <w:hideMark/>
          </w:tcPr>
          <w:p w14:paraId="60E49C69" w14:textId="123BB915" w:rsidR="006D4EA0" w:rsidRPr="006D4EA0" w:rsidRDefault="00B44A87" w:rsidP="006D4EA0">
            <w:pPr>
              <w:jc w:val="right"/>
              <w:rPr>
                <w:rFonts w:ascii="CAIXA Std Book" w:eastAsia="Times New Roman" w:hAnsi="CAIXA Std Book" w:cs="Times New Roman"/>
                <w:b/>
                <w:bCs/>
                <w:color w:val="FFFFFF"/>
                <w:sz w:val="18"/>
                <w:szCs w:val="18"/>
              </w:rPr>
            </w:pPr>
            <w:r>
              <w:rPr>
                <w:rFonts w:ascii="CAIXA Std Book" w:hAnsi="CAIXA Std Book" w:cs="Calibri"/>
                <w:b/>
                <w:bCs/>
                <w:color w:val="FFFFFF"/>
                <w:sz w:val="18"/>
                <w:szCs w:val="18"/>
              </w:rPr>
              <w:t>5.288.636</w:t>
            </w:r>
          </w:p>
        </w:tc>
      </w:tr>
    </w:tbl>
    <w:p w14:paraId="59F475F4" w14:textId="264DE82D" w:rsidR="00B44A87" w:rsidRDefault="00BA1D64" w:rsidP="00295657">
      <w:pPr>
        <w:pStyle w:val="PargrafodaLista"/>
        <w:numPr>
          <w:ilvl w:val="0"/>
          <w:numId w:val="31"/>
        </w:numPr>
        <w:spacing w:before="240" w:after="120"/>
        <w:ind w:left="357" w:hanging="357"/>
        <w:contextualSpacing w:val="0"/>
        <w:jc w:val="both"/>
        <w:rPr>
          <w:rFonts w:ascii="CAIXA Std Book" w:hAnsi="CAIXA Std Book"/>
          <w:b/>
          <w:bCs/>
          <w:color w:val="005CA9"/>
          <w:sz w:val="20"/>
          <w:szCs w:val="20"/>
        </w:rPr>
      </w:pPr>
      <w:r w:rsidRPr="00AC6721">
        <w:rPr>
          <w:rFonts w:ascii="CAIXA Std Book" w:hAnsi="CAIXA Std Book"/>
          <w:b/>
          <w:bCs/>
          <w:color w:val="005CA9"/>
          <w:sz w:val="20"/>
          <w:szCs w:val="20"/>
        </w:rPr>
        <w:t>202</w:t>
      </w:r>
      <w:r w:rsidR="00A75674">
        <w:rPr>
          <w:rFonts w:ascii="CAIXA Std Book" w:hAnsi="CAIXA Std Book"/>
          <w:b/>
          <w:bCs/>
          <w:color w:val="005CA9"/>
          <w:sz w:val="20"/>
          <w:szCs w:val="20"/>
        </w:rPr>
        <w:t>6</w:t>
      </w:r>
    </w:p>
    <w:p w14:paraId="055E4F58" w14:textId="3691FE43" w:rsidR="00B44A87" w:rsidRPr="00A360A6" w:rsidRDefault="00B44A87" w:rsidP="00A360A6">
      <w:pPr>
        <w:spacing w:before="120" w:after="240"/>
        <w:jc w:val="both"/>
        <w:rPr>
          <w:rFonts w:ascii="CAIXA Std Book" w:hAnsi="CAIXA Std Book"/>
          <w:color w:val="005CA9"/>
          <w:sz w:val="20"/>
          <w:szCs w:val="20"/>
        </w:rPr>
      </w:pPr>
      <w:r w:rsidRPr="00A360A6">
        <w:rPr>
          <w:rFonts w:ascii="CAIXA Std Book" w:hAnsi="CAIXA Std Book"/>
          <w:color w:val="005CA9"/>
          <w:sz w:val="20"/>
          <w:szCs w:val="20"/>
        </w:rPr>
        <w:t>Não houve impactos decorrent</w:t>
      </w:r>
      <w:r w:rsidR="00A360A6" w:rsidRPr="00A360A6">
        <w:rPr>
          <w:rFonts w:ascii="CAIXA Std Book" w:hAnsi="CAIXA Std Book"/>
          <w:color w:val="005CA9"/>
          <w:sz w:val="20"/>
          <w:szCs w:val="20"/>
        </w:rPr>
        <w:t>es de eventos não recorrentes no 1º trimestre de 2026.</w:t>
      </w:r>
    </w:p>
    <w:p w14:paraId="25C2E7FC" w14:textId="22BA2399" w:rsidR="00E13BF5" w:rsidRPr="00E31092" w:rsidRDefault="00BA1D64" w:rsidP="00295657">
      <w:pPr>
        <w:pStyle w:val="PargrafodaLista"/>
        <w:numPr>
          <w:ilvl w:val="0"/>
          <w:numId w:val="31"/>
        </w:numPr>
        <w:spacing w:before="240" w:after="120"/>
        <w:ind w:left="357" w:hanging="357"/>
        <w:contextualSpacing w:val="0"/>
        <w:jc w:val="both"/>
        <w:rPr>
          <w:rFonts w:ascii="CAIXA Std Book" w:hAnsi="CAIXA Std Book"/>
          <w:b/>
          <w:bCs/>
          <w:color w:val="005CA9"/>
          <w:sz w:val="20"/>
          <w:szCs w:val="20"/>
        </w:rPr>
      </w:pPr>
      <w:r w:rsidRPr="00A360A6">
        <w:rPr>
          <w:rFonts w:ascii="CAIXA Std Book" w:hAnsi="CAIXA Std Book"/>
          <w:b/>
          <w:bCs/>
          <w:color w:val="005CA9"/>
          <w:sz w:val="20"/>
          <w:szCs w:val="20"/>
        </w:rPr>
        <w:t>202</w:t>
      </w:r>
      <w:r w:rsidR="00B44A87" w:rsidRPr="00A360A6">
        <w:rPr>
          <w:rFonts w:ascii="CAIXA Std Book" w:hAnsi="CAIXA Std Book"/>
          <w:b/>
          <w:bCs/>
          <w:color w:val="005CA9"/>
          <w:sz w:val="20"/>
          <w:szCs w:val="20"/>
        </w:rPr>
        <w:t>5</w:t>
      </w:r>
    </w:p>
    <w:p w14:paraId="4A706EC5" w14:textId="77777777" w:rsidR="005D3184" w:rsidRPr="00A360A6" w:rsidRDefault="00AE794D" w:rsidP="00295657">
      <w:pPr>
        <w:pStyle w:val="PargrafodaLista"/>
        <w:numPr>
          <w:ilvl w:val="3"/>
          <w:numId w:val="29"/>
        </w:numPr>
        <w:spacing w:before="120" w:after="120"/>
        <w:ind w:left="340" w:hanging="340"/>
        <w:contextualSpacing w:val="0"/>
        <w:jc w:val="both"/>
        <w:rPr>
          <w:rFonts w:ascii="CAIXA Std Book" w:hAnsi="CAIXA Std Book"/>
          <w:color w:val="005CA9"/>
          <w:sz w:val="20"/>
          <w:szCs w:val="20"/>
        </w:rPr>
      </w:pPr>
      <w:r w:rsidRPr="00A360A6">
        <w:rPr>
          <w:rFonts w:ascii="CAIXA Std Book" w:hAnsi="CAIXA Std Book"/>
          <w:color w:val="005CA9"/>
          <w:sz w:val="20"/>
          <w:szCs w:val="20"/>
        </w:rPr>
        <w:t>I</w:t>
      </w:r>
      <w:r w:rsidR="0004646B" w:rsidRPr="00A360A6">
        <w:rPr>
          <w:rFonts w:ascii="CAIXA Std Book" w:hAnsi="CAIXA Std Book"/>
          <w:color w:val="005CA9"/>
          <w:sz w:val="20"/>
          <w:szCs w:val="20"/>
        </w:rPr>
        <w:t>ndenização de benefício futuro com auxílio alimentação para aposentados que aderiram ao P</w:t>
      </w:r>
      <w:r w:rsidR="00E43944" w:rsidRPr="00A360A6">
        <w:rPr>
          <w:rFonts w:ascii="CAIXA Std Book" w:hAnsi="CAIXA Std Book"/>
          <w:color w:val="005CA9"/>
          <w:sz w:val="20"/>
          <w:szCs w:val="20"/>
        </w:rPr>
        <w:t>rograma de Desligamento Voluntário</w:t>
      </w:r>
      <w:r w:rsidR="003B76F3" w:rsidRPr="00A360A6">
        <w:rPr>
          <w:rFonts w:ascii="CAIXA Std Book" w:hAnsi="CAIXA Std Book"/>
          <w:color w:val="005CA9"/>
          <w:sz w:val="20"/>
          <w:szCs w:val="20"/>
        </w:rPr>
        <w:t xml:space="preserve"> (PDV)</w:t>
      </w:r>
      <w:r w:rsidR="0004646B" w:rsidRPr="00A360A6">
        <w:rPr>
          <w:rFonts w:ascii="CAIXA Std Book" w:hAnsi="CAIXA Std Book"/>
          <w:color w:val="005CA9"/>
          <w:sz w:val="20"/>
          <w:szCs w:val="20"/>
        </w:rPr>
        <w:t xml:space="preserve"> 2024</w:t>
      </w:r>
      <w:r w:rsidR="005D3184" w:rsidRPr="00A360A6">
        <w:rPr>
          <w:rFonts w:ascii="CAIXA Std Book" w:hAnsi="CAIXA Std Book"/>
          <w:color w:val="005CA9"/>
          <w:sz w:val="20"/>
          <w:szCs w:val="20"/>
        </w:rPr>
        <w:t>;</w:t>
      </w:r>
    </w:p>
    <w:p w14:paraId="6746A6F9" w14:textId="77777777" w:rsidR="005D3184" w:rsidRPr="00A360A6" w:rsidRDefault="00AE794D" w:rsidP="00295657">
      <w:pPr>
        <w:pStyle w:val="PargrafodaLista"/>
        <w:numPr>
          <w:ilvl w:val="3"/>
          <w:numId w:val="29"/>
        </w:numPr>
        <w:spacing w:before="120" w:after="120"/>
        <w:ind w:left="340" w:hanging="340"/>
        <w:contextualSpacing w:val="0"/>
        <w:jc w:val="both"/>
        <w:rPr>
          <w:rFonts w:ascii="CAIXA Std Book" w:hAnsi="CAIXA Std Book"/>
          <w:color w:val="005CA9"/>
          <w:sz w:val="20"/>
          <w:szCs w:val="20"/>
        </w:rPr>
      </w:pPr>
      <w:r w:rsidRPr="00A360A6">
        <w:rPr>
          <w:rFonts w:ascii="CAIXA Std Book" w:hAnsi="CAIXA Std Book"/>
          <w:color w:val="005CA9"/>
          <w:sz w:val="20"/>
          <w:szCs w:val="20"/>
        </w:rPr>
        <w:t>A</w:t>
      </w:r>
      <w:r w:rsidR="008E76E0" w:rsidRPr="00A360A6">
        <w:rPr>
          <w:rFonts w:ascii="CAIXA Std Book" w:hAnsi="CAIXA Std Book"/>
          <w:color w:val="005CA9"/>
          <w:sz w:val="20"/>
          <w:szCs w:val="20"/>
        </w:rPr>
        <w:t xml:space="preserve">valiação atuarial extraordinária </w:t>
      </w:r>
      <w:r w:rsidR="00A00CC2" w:rsidRPr="00A360A6">
        <w:rPr>
          <w:rFonts w:ascii="CAIXA Std Book" w:hAnsi="CAIXA Std Book"/>
          <w:color w:val="005CA9"/>
          <w:sz w:val="20"/>
          <w:szCs w:val="20"/>
        </w:rPr>
        <w:t>do REG/REPLAN por</w:t>
      </w:r>
      <w:r w:rsidR="008E76E0" w:rsidRPr="00A360A6">
        <w:rPr>
          <w:rFonts w:ascii="CAIXA Std Book" w:hAnsi="CAIXA Std Book"/>
          <w:color w:val="005CA9"/>
          <w:sz w:val="20"/>
          <w:szCs w:val="20"/>
        </w:rPr>
        <w:t xml:space="preserve"> alterações regulamentares aprovadas pelos órgãos competentes</w:t>
      </w:r>
      <w:r w:rsidR="005D3184" w:rsidRPr="00A360A6">
        <w:rPr>
          <w:rFonts w:ascii="CAIXA Std Book" w:hAnsi="CAIXA Std Book"/>
          <w:color w:val="005CA9"/>
          <w:sz w:val="20"/>
          <w:szCs w:val="20"/>
        </w:rPr>
        <w:t>;</w:t>
      </w:r>
    </w:p>
    <w:p w14:paraId="0D510C61" w14:textId="77777777" w:rsidR="00AE7428" w:rsidRPr="00A360A6" w:rsidRDefault="008D7C70" w:rsidP="00295657">
      <w:pPr>
        <w:pStyle w:val="PargrafodaLista"/>
        <w:numPr>
          <w:ilvl w:val="3"/>
          <w:numId w:val="29"/>
        </w:numPr>
        <w:spacing w:before="120" w:after="240"/>
        <w:ind w:left="340" w:hanging="340"/>
        <w:contextualSpacing w:val="0"/>
        <w:jc w:val="both"/>
        <w:rPr>
          <w:rFonts w:ascii="CAIXA Std Book" w:hAnsi="CAIXA Std Book"/>
          <w:color w:val="005CA9"/>
          <w:sz w:val="20"/>
          <w:szCs w:val="20"/>
        </w:rPr>
      </w:pPr>
      <w:r w:rsidRPr="00A360A6">
        <w:rPr>
          <w:rFonts w:ascii="CAIXA Std Book" w:hAnsi="CAIXA Std Book"/>
          <w:color w:val="005CA9"/>
          <w:sz w:val="20"/>
          <w:szCs w:val="20"/>
        </w:rPr>
        <w:t>Relativo à alienação de 82.380.893 ações ordinárias, de emissão da CAIXA Seguridade Participações S.A., por meio de oferta pública secundária</w:t>
      </w:r>
      <w:r w:rsidR="005D3184" w:rsidRPr="00A360A6">
        <w:rPr>
          <w:rFonts w:ascii="CAIXA Std Book" w:hAnsi="CAIXA Std Book"/>
          <w:color w:val="005CA9"/>
          <w:sz w:val="20"/>
          <w:szCs w:val="20"/>
        </w:rPr>
        <w:t xml:space="preserve">; </w:t>
      </w:r>
    </w:p>
    <w:p w14:paraId="0E2D6FBD" w14:textId="05AA0A48" w:rsidR="00E31092" w:rsidRPr="00A360A6" w:rsidRDefault="00E31092" w:rsidP="00295657">
      <w:pPr>
        <w:pStyle w:val="PargrafodaLista"/>
        <w:numPr>
          <w:ilvl w:val="3"/>
          <w:numId w:val="29"/>
        </w:numPr>
        <w:spacing w:before="120" w:after="240"/>
        <w:ind w:left="340" w:hanging="340"/>
        <w:contextualSpacing w:val="0"/>
        <w:jc w:val="both"/>
        <w:rPr>
          <w:rFonts w:ascii="CAIXA Std Book" w:hAnsi="CAIXA Std Book"/>
          <w:color w:val="005CA9"/>
          <w:sz w:val="20"/>
          <w:szCs w:val="20"/>
        </w:rPr>
      </w:pPr>
      <w:r w:rsidRPr="00A360A6">
        <w:rPr>
          <w:rFonts w:ascii="CAIXA Std Book" w:hAnsi="CAIXA Std Book"/>
          <w:color w:val="005CA9"/>
          <w:sz w:val="20"/>
          <w:szCs w:val="20"/>
        </w:rPr>
        <w:t>Despesas impactadas pelos eventos incluem efeitos tributários, de despesas de PLR</w:t>
      </w:r>
      <w:r w:rsidR="00AA52C9" w:rsidRPr="00A360A6">
        <w:rPr>
          <w:rFonts w:ascii="CAIXA Std Book" w:hAnsi="CAIXA Std Book"/>
          <w:color w:val="005CA9"/>
          <w:sz w:val="20"/>
          <w:szCs w:val="20"/>
        </w:rPr>
        <w:t xml:space="preserve"> e de IHCD sobre os itens não recorrentes.</w:t>
      </w:r>
    </w:p>
    <w:p w14:paraId="61612E3E" w14:textId="5D198350" w:rsidR="005A7588" w:rsidRPr="00E95E29" w:rsidRDefault="005A7588" w:rsidP="00B735D2">
      <w:pPr>
        <w:pStyle w:val="Ttulo1"/>
      </w:pPr>
      <w:bookmarkStart w:id="173" w:name="_Toc217914363"/>
      <w:bookmarkStart w:id="174" w:name="_Toc229588513"/>
      <w:r w:rsidRPr="00E95E29">
        <w:t>Nota   3</w:t>
      </w:r>
      <w:r w:rsidR="00EF04CD">
        <w:t>7</w:t>
      </w:r>
      <w:r w:rsidRPr="00E95E29">
        <w:t xml:space="preserve"> – </w:t>
      </w:r>
      <w:r w:rsidR="00FE502E" w:rsidRPr="00E95E29">
        <w:t>Outras informações</w:t>
      </w:r>
      <w:bookmarkEnd w:id="173"/>
      <w:bookmarkEnd w:id="174"/>
    </w:p>
    <w:p w14:paraId="5368EDA6" w14:textId="4FB1F036" w:rsidR="003C7BFD" w:rsidRPr="00B04D8D" w:rsidRDefault="003C7BFD" w:rsidP="00AB4D07">
      <w:pPr>
        <w:pStyle w:val="PargrafodaLista"/>
        <w:numPr>
          <w:ilvl w:val="0"/>
          <w:numId w:val="12"/>
        </w:numPr>
        <w:spacing w:before="240" w:after="240"/>
        <w:ind w:left="567" w:hanging="567"/>
        <w:contextualSpacing w:val="0"/>
        <w:rPr>
          <w:rFonts w:ascii="CAIXA Std Book" w:hAnsi="CAIXA Std Book"/>
          <w:color w:val="005CA9"/>
        </w:rPr>
      </w:pPr>
      <w:r w:rsidRPr="00B04D8D">
        <w:rPr>
          <w:rFonts w:ascii="CAIXA Std Book" w:hAnsi="CAIXA Std Book"/>
          <w:b/>
          <w:color w:val="005CA9"/>
          <w:sz w:val="20"/>
          <w:szCs w:val="20"/>
        </w:rPr>
        <w:t xml:space="preserve">Ativos de </w:t>
      </w:r>
      <w:r w:rsidR="009D1BCA">
        <w:rPr>
          <w:rFonts w:ascii="CAIXA Std Book" w:hAnsi="CAIXA Std Book"/>
          <w:b/>
          <w:color w:val="005CA9"/>
          <w:sz w:val="20"/>
          <w:szCs w:val="20"/>
        </w:rPr>
        <w:t>f</w:t>
      </w:r>
      <w:r w:rsidRPr="00B04D8D">
        <w:rPr>
          <w:rFonts w:ascii="CAIXA Std Book" w:hAnsi="CAIXA Std Book"/>
          <w:b/>
          <w:color w:val="005CA9"/>
          <w:sz w:val="20"/>
          <w:szCs w:val="20"/>
        </w:rPr>
        <w:t xml:space="preserve">undos de </w:t>
      </w:r>
      <w:r w:rsidR="009D1BCA">
        <w:rPr>
          <w:rFonts w:ascii="CAIXA Std Book" w:hAnsi="CAIXA Std Book"/>
          <w:b/>
          <w:color w:val="005CA9"/>
          <w:sz w:val="20"/>
          <w:szCs w:val="20"/>
        </w:rPr>
        <w:t>i</w:t>
      </w:r>
      <w:r w:rsidRPr="00B04D8D">
        <w:rPr>
          <w:rFonts w:ascii="CAIXA Std Book" w:hAnsi="CAIXA Std Book"/>
          <w:b/>
          <w:color w:val="005CA9"/>
          <w:sz w:val="20"/>
          <w:szCs w:val="20"/>
        </w:rPr>
        <w:t>nvestimento administrados pela CAIXA</w:t>
      </w:r>
    </w:p>
    <w:tbl>
      <w:tblPr>
        <w:tblW w:w="5000" w:type="pct"/>
        <w:tblCellMar>
          <w:left w:w="70" w:type="dxa"/>
          <w:right w:w="70" w:type="dxa"/>
        </w:tblCellMar>
        <w:tblLook w:val="04A0" w:firstRow="1" w:lastRow="0" w:firstColumn="1" w:lastColumn="0" w:noHBand="0" w:noVBand="1"/>
      </w:tblPr>
      <w:tblGrid>
        <w:gridCol w:w="6546"/>
        <w:gridCol w:w="1546"/>
        <w:gridCol w:w="1546"/>
      </w:tblGrid>
      <w:tr w:rsidR="00805005" w:rsidRPr="001A2331" w14:paraId="5FC85EFB" w14:textId="77777777" w:rsidTr="00DF0245">
        <w:trPr>
          <w:trHeight w:val="283"/>
        </w:trPr>
        <w:tc>
          <w:tcPr>
            <w:tcW w:w="5000" w:type="pct"/>
            <w:gridSpan w:val="3"/>
            <w:tcBorders>
              <w:top w:val="nil"/>
              <w:left w:val="nil"/>
              <w:bottom w:val="single" w:sz="4" w:space="0" w:color="FFFFFF" w:themeColor="background1"/>
              <w:right w:val="nil"/>
            </w:tcBorders>
            <w:shd w:val="clear" w:color="auto" w:fill="005CA9"/>
            <w:vAlign w:val="center"/>
          </w:tcPr>
          <w:p w14:paraId="108BD71E" w14:textId="7DCFC81B" w:rsidR="006F2BBE" w:rsidRDefault="006F2BBE" w:rsidP="001A2331">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Individual</w:t>
            </w:r>
          </w:p>
        </w:tc>
      </w:tr>
      <w:tr w:rsidR="00E54693" w:rsidRPr="001A2331" w14:paraId="2AC1CE23" w14:textId="77777777" w:rsidTr="001C56BD">
        <w:trPr>
          <w:trHeight w:val="283"/>
        </w:trPr>
        <w:tc>
          <w:tcPr>
            <w:tcW w:w="3396" w:type="pct"/>
            <w:tcBorders>
              <w:top w:val="single" w:sz="4" w:space="0" w:color="FFFFFF" w:themeColor="background1"/>
              <w:left w:val="nil"/>
              <w:bottom w:val="nil"/>
              <w:right w:val="nil"/>
            </w:tcBorders>
            <w:shd w:val="clear" w:color="auto" w:fill="005CA9"/>
            <w:vAlign w:val="center"/>
            <w:hideMark/>
          </w:tcPr>
          <w:p w14:paraId="3DD41B18" w14:textId="6E46DE0A" w:rsidR="001A2331" w:rsidRPr="001A2331" w:rsidRDefault="001A2331" w:rsidP="001A2331">
            <w:pPr>
              <w:jc w:val="center"/>
              <w:rPr>
                <w:rFonts w:ascii="CAIXA Std Book" w:eastAsia="Times New Roman" w:hAnsi="CAIXA Std Book" w:cs="Times New Roman"/>
                <w:b/>
                <w:bCs/>
                <w:color w:val="FFFFFF"/>
                <w:sz w:val="18"/>
                <w:szCs w:val="18"/>
              </w:rPr>
            </w:pPr>
            <w:r w:rsidRPr="001A2331">
              <w:rPr>
                <w:rFonts w:ascii="CAIXA Std Book" w:eastAsia="Times New Roman" w:hAnsi="CAIXA Std Book" w:cs="Calibri"/>
                <w:b/>
                <w:bCs/>
                <w:color w:val="FFFFFF"/>
                <w:sz w:val="18"/>
                <w:szCs w:val="18"/>
              </w:rPr>
              <w:t>Descrição</w:t>
            </w:r>
            <w:r w:rsidR="00CE3FAF">
              <w:rPr>
                <w:rFonts w:ascii="CAIXA Std Book" w:eastAsia="Times New Roman" w:hAnsi="CAIXA Std Book" w:cs="Calibri"/>
                <w:b/>
                <w:bCs/>
                <w:color w:val="FFFFFF"/>
                <w:sz w:val="18"/>
                <w:szCs w:val="18"/>
              </w:rPr>
              <w:t xml:space="preserve"> (1)</w:t>
            </w:r>
          </w:p>
        </w:tc>
        <w:tc>
          <w:tcPr>
            <w:tcW w:w="802" w:type="pct"/>
            <w:tcBorders>
              <w:top w:val="single" w:sz="4" w:space="0" w:color="FFFFFF" w:themeColor="background1"/>
            </w:tcBorders>
            <w:shd w:val="clear" w:color="auto" w:fill="005CA9"/>
          </w:tcPr>
          <w:p w14:paraId="0D30A8F7" w14:textId="684C59AA" w:rsidR="00824AA6" w:rsidRDefault="00824AA6" w:rsidP="001A2331">
            <w:pPr>
              <w:jc w:val="center"/>
              <w:rPr>
                <w:rFonts w:ascii="CAIXA Std Book" w:eastAsia="Times New Roman" w:hAnsi="CAIXA Std Book" w:cs="Calibri"/>
                <w:b/>
                <w:bCs/>
                <w:color w:val="FFFFFF"/>
                <w:sz w:val="18"/>
                <w:szCs w:val="18"/>
              </w:rPr>
            </w:pPr>
            <w:r>
              <w:rPr>
                <w:rFonts w:ascii="CAIXA Std Book" w:eastAsia="Times New Roman" w:hAnsi="CAIXA Std Book" w:cs="Calibri"/>
                <w:b/>
                <w:bCs/>
                <w:color w:val="FFFFFF"/>
                <w:sz w:val="18"/>
                <w:szCs w:val="18"/>
              </w:rPr>
              <w:t>31</w:t>
            </w:r>
            <w:r w:rsidRPr="001A2331">
              <w:rPr>
                <w:rFonts w:ascii="CAIXA Std Book" w:eastAsia="Times New Roman" w:hAnsi="CAIXA Std Book" w:cs="Calibri"/>
                <w:b/>
                <w:bCs/>
                <w:color w:val="FFFFFF"/>
                <w:sz w:val="18"/>
                <w:szCs w:val="18"/>
              </w:rPr>
              <w:t>/</w:t>
            </w:r>
            <w:r>
              <w:rPr>
                <w:rFonts w:ascii="CAIXA Std Book" w:eastAsia="Times New Roman" w:hAnsi="CAIXA Std Book" w:cs="Calibri"/>
                <w:b/>
                <w:bCs/>
                <w:color w:val="FFFFFF"/>
                <w:sz w:val="18"/>
                <w:szCs w:val="18"/>
              </w:rPr>
              <w:t>03</w:t>
            </w:r>
            <w:r w:rsidRPr="001A2331">
              <w:rPr>
                <w:rFonts w:ascii="CAIXA Std Book" w:eastAsia="Times New Roman" w:hAnsi="CAIXA Std Book" w:cs="Calibri"/>
                <w:b/>
                <w:bCs/>
                <w:color w:val="FFFFFF"/>
                <w:sz w:val="18"/>
                <w:szCs w:val="18"/>
              </w:rPr>
              <w:t>/202</w:t>
            </w:r>
            <w:r>
              <w:rPr>
                <w:rFonts w:ascii="CAIXA Std Book" w:eastAsia="Times New Roman" w:hAnsi="CAIXA Std Book" w:cs="Calibri"/>
                <w:b/>
                <w:bCs/>
                <w:color w:val="FFFFFF"/>
                <w:sz w:val="18"/>
                <w:szCs w:val="18"/>
              </w:rPr>
              <w:t>6</w:t>
            </w:r>
          </w:p>
        </w:tc>
        <w:tc>
          <w:tcPr>
            <w:tcW w:w="802" w:type="pct"/>
            <w:tcBorders>
              <w:top w:val="single" w:sz="4" w:space="0" w:color="FFFFFF" w:themeColor="background1"/>
              <w:left w:val="nil"/>
              <w:bottom w:val="nil"/>
              <w:right w:val="nil"/>
            </w:tcBorders>
            <w:shd w:val="clear" w:color="auto" w:fill="005CA9"/>
            <w:vAlign w:val="center"/>
            <w:hideMark/>
          </w:tcPr>
          <w:p w14:paraId="0D2049F4" w14:textId="25A384F6" w:rsidR="001A2331" w:rsidRPr="001A2331" w:rsidRDefault="005D7651" w:rsidP="001A2331">
            <w:pPr>
              <w:jc w:val="center"/>
              <w:rPr>
                <w:rFonts w:ascii="CAIXA Std Book" w:eastAsia="Times New Roman" w:hAnsi="CAIXA Std Book" w:cs="Times New Roman"/>
                <w:b/>
                <w:bCs/>
                <w:color w:val="FFFFFF"/>
                <w:sz w:val="18"/>
                <w:szCs w:val="18"/>
              </w:rPr>
            </w:pPr>
            <w:r>
              <w:rPr>
                <w:rFonts w:ascii="CAIXA Std Book" w:eastAsia="Times New Roman" w:hAnsi="CAIXA Std Book" w:cs="Calibri"/>
                <w:b/>
                <w:bCs/>
                <w:color w:val="FFFFFF"/>
                <w:sz w:val="18"/>
                <w:szCs w:val="18"/>
              </w:rPr>
              <w:t>3</w:t>
            </w:r>
            <w:r w:rsidR="00473346">
              <w:rPr>
                <w:rFonts w:ascii="CAIXA Std Book" w:eastAsia="Times New Roman" w:hAnsi="CAIXA Std Book" w:cs="Calibri"/>
                <w:b/>
                <w:bCs/>
                <w:color w:val="FFFFFF"/>
                <w:sz w:val="18"/>
                <w:szCs w:val="18"/>
              </w:rPr>
              <w:t>1</w:t>
            </w:r>
            <w:r w:rsidR="001A2331" w:rsidRPr="001A2331">
              <w:rPr>
                <w:rFonts w:ascii="CAIXA Std Book" w:eastAsia="Times New Roman" w:hAnsi="CAIXA Std Book" w:cs="Calibri"/>
                <w:b/>
                <w:bCs/>
                <w:color w:val="FFFFFF"/>
                <w:sz w:val="18"/>
                <w:szCs w:val="18"/>
              </w:rPr>
              <w:t>/</w:t>
            </w:r>
            <w:r w:rsidR="00473346">
              <w:rPr>
                <w:rFonts w:ascii="CAIXA Std Book" w:eastAsia="Times New Roman" w:hAnsi="CAIXA Std Book" w:cs="Calibri"/>
                <w:b/>
                <w:bCs/>
                <w:color w:val="FFFFFF"/>
                <w:sz w:val="18"/>
                <w:szCs w:val="18"/>
              </w:rPr>
              <w:t>12</w:t>
            </w:r>
            <w:r w:rsidR="001A2331" w:rsidRPr="001A2331">
              <w:rPr>
                <w:rFonts w:ascii="CAIXA Std Book" w:eastAsia="Times New Roman" w:hAnsi="CAIXA Std Book" w:cs="Calibri"/>
                <w:b/>
                <w:bCs/>
                <w:color w:val="FFFFFF"/>
                <w:sz w:val="18"/>
                <w:szCs w:val="18"/>
              </w:rPr>
              <w:t>/2025</w:t>
            </w:r>
          </w:p>
        </w:tc>
      </w:tr>
      <w:tr w:rsidR="00E54693" w:rsidRPr="001A2331" w14:paraId="19C896C6" w14:textId="77777777">
        <w:trPr>
          <w:trHeight w:val="283"/>
        </w:trPr>
        <w:tc>
          <w:tcPr>
            <w:tcW w:w="3396" w:type="pct"/>
            <w:tcBorders>
              <w:top w:val="nil"/>
              <w:left w:val="nil"/>
              <w:bottom w:val="nil"/>
              <w:right w:val="nil"/>
            </w:tcBorders>
            <w:shd w:val="clear" w:color="000000" w:fill="FFFFFF"/>
            <w:noWrap/>
            <w:vAlign w:val="center"/>
            <w:hideMark/>
          </w:tcPr>
          <w:p w14:paraId="680DECE7" w14:textId="77777777" w:rsidR="009C6A8B" w:rsidRPr="001A2331" w:rsidRDefault="009C6A8B" w:rsidP="009C6A8B">
            <w:pPr>
              <w:rPr>
                <w:rFonts w:ascii="CAIXA Std Book" w:eastAsia="Times New Roman" w:hAnsi="CAIXA Std Book" w:cs="Times New Roman"/>
                <w:color w:val="005CA9"/>
                <w:sz w:val="18"/>
                <w:szCs w:val="18"/>
              </w:rPr>
            </w:pPr>
            <w:r w:rsidRPr="001A2331">
              <w:rPr>
                <w:rFonts w:ascii="CAIXA Std Book" w:eastAsia="Times New Roman" w:hAnsi="CAIXA Std Book" w:cs="Times New Roman"/>
                <w:color w:val="005CA9"/>
                <w:sz w:val="18"/>
                <w:szCs w:val="18"/>
              </w:rPr>
              <w:t>Fundos de investimento financeiro</w:t>
            </w:r>
          </w:p>
        </w:tc>
        <w:tc>
          <w:tcPr>
            <w:tcW w:w="802" w:type="pct"/>
            <w:vAlign w:val="center"/>
          </w:tcPr>
          <w:p w14:paraId="667B420F" w14:textId="5E9DAADD" w:rsidR="0060234A" w:rsidRDefault="00361945" w:rsidP="009C6A8B">
            <w:pPr>
              <w:jc w:val="right"/>
              <w:rPr>
                <w:rFonts w:ascii="CAIXA Std Book" w:hAnsi="CAIXA Std Book" w:cs="Arial"/>
                <w:color w:val="005CA9"/>
                <w:sz w:val="18"/>
                <w:szCs w:val="18"/>
              </w:rPr>
            </w:pPr>
            <w:r>
              <w:rPr>
                <w:rFonts w:ascii="CAIXA Std Book" w:hAnsi="CAIXA Std Book" w:cs="Arial"/>
                <w:color w:val="005CA9"/>
                <w:sz w:val="18"/>
                <w:szCs w:val="18"/>
              </w:rPr>
              <w:t>558.488.464</w:t>
            </w:r>
          </w:p>
        </w:tc>
        <w:tc>
          <w:tcPr>
            <w:tcW w:w="802" w:type="pct"/>
            <w:tcBorders>
              <w:top w:val="nil"/>
              <w:left w:val="nil"/>
              <w:bottom w:val="nil"/>
              <w:right w:val="nil"/>
            </w:tcBorders>
            <w:noWrap/>
            <w:vAlign w:val="center"/>
          </w:tcPr>
          <w:p w14:paraId="7946521A" w14:textId="72D813C4" w:rsidR="009C6A8B" w:rsidRPr="001A2331" w:rsidRDefault="00E93CD2" w:rsidP="009C6A8B">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543.567.757</w:t>
            </w:r>
          </w:p>
        </w:tc>
      </w:tr>
      <w:tr w:rsidR="00E54693" w:rsidRPr="001A2331" w14:paraId="5572C06A" w14:textId="77777777">
        <w:trPr>
          <w:trHeight w:val="283"/>
        </w:trPr>
        <w:tc>
          <w:tcPr>
            <w:tcW w:w="3396" w:type="pct"/>
            <w:tcBorders>
              <w:top w:val="nil"/>
              <w:left w:val="nil"/>
              <w:bottom w:val="nil"/>
              <w:right w:val="nil"/>
            </w:tcBorders>
            <w:shd w:val="clear" w:color="000000" w:fill="FFFFFF"/>
            <w:noWrap/>
            <w:vAlign w:val="center"/>
            <w:hideMark/>
          </w:tcPr>
          <w:p w14:paraId="3F4CEFFD" w14:textId="2A58AD36" w:rsidR="009C6A8B" w:rsidRPr="001A2331" w:rsidRDefault="009C6A8B" w:rsidP="009C6A8B">
            <w:pPr>
              <w:rPr>
                <w:rFonts w:ascii="CAIXA Std Book" w:eastAsia="Times New Roman" w:hAnsi="CAIXA Std Book" w:cs="Times New Roman"/>
                <w:color w:val="005CA9"/>
                <w:sz w:val="18"/>
                <w:szCs w:val="18"/>
              </w:rPr>
            </w:pPr>
            <w:r w:rsidRPr="001A2331">
              <w:rPr>
                <w:rFonts w:ascii="CAIXA Std Book" w:eastAsia="Times New Roman" w:hAnsi="CAIXA Std Book" w:cs="Times New Roman"/>
                <w:color w:val="005CA9"/>
                <w:sz w:val="18"/>
                <w:szCs w:val="18"/>
              </w:rPr>
              <w:t xml:space="preserve">Fundos de investimento em cotas </w:t>
            </w:r>
            <w:r>
              <w:rPr>
                <w:rFonts w:ascii="CAIXA Std Book" w:eastAsia="Times New Roman" w:hAnsi="CAIXA Std Book" w:cs="Times New Roman"/>
                <w:color w:val="005CA9"/>
                <w:sz w:val="18"/>
                <w:szCs w:val="18"/>
              </w:rPr>
              <w:t>–</w:t>
            </w:r>
            <w:r w:rsidRPr="001A2331">
              <w:rPr>
                <w:rFonts w:ascii="CAIXA Std Book" w:eastAsia="Times New Roman" w:hAnsi="CAIXA Std Book" w:cs="Times New Roman"/>
                <w:color w:val="005CA9"/>
                <w:sz w:val="18"/>
                <w:szCs w:val="18"/>
              </w:rPr>
              <w:t xml:space="preserve"> FIC (2)</w:t>
            </w:r>
          </w:p>
        </w:tc>
        <w:tc>
          <w:tcPr>
            <w:tcW w:w="802" w:type="pct"/>
            <w:vAlign w:val="center"/>
          </w:tcPr>
          <w:p w14:paraId="28282668" w14:textId="61B0CD61" w:rsidR="0060234A" w:rsidRDefault="00361945" w:rsidP="009C6A8B">
            <w:pPr>
              <w:jc w:val="right"/>
              <w:rPr>
                <w:rFonts w:ascii="CAIXA Std Book" w:hAnsi="CAIXA Std Book" w:cs="Arial"/>
                <w:color w:val="005CA9"/>
                <w:sz w:val="18"/>
                <w:szCs w:val="18"/>
              </w:rPr>
            </w:pPr>
            <w:r>
              <w:rPr>
                <w:rFonts w:ascii="CAIXA Std Book" w:hAnsi="CAIXA Std Book" w:cs="Arial"/>
                <w:color w:val="005CA9"/>
                <w:sz w:val="18"/>
                <w:szCs w:val="18"/>
              </w:rPr>
              <w:t>385.320.610</w:t>
            </w:r>
          </w:p>
        </w:tc>
        <w:tc>
          <w:tcPr>
            <w:tcW w:w="802" w:type="pct"/>
            <w:tcBorders>
              <w:top w:val="nil"/>
              <w:left w:val="nil"/>
              <w:bottom w:val="nil"/>
              <w:right w:val="nil"/>
            </w:tcBorders>
            <w:noWrap/>
            <w:vAlign w:val="center"/>
          </w:tcPr>
          <w:p w14:paraId="059F9062" w14:textId="3C4B19C3" w:rsidR="009C6A8B" w:rsidRPr="001A2331" w:rsidRDefault="00E93CD2" w:rsidP="009C6A8B">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366.102.847</w:t>
            </w:r>
          </w:p>
        </w:tc>
      </w:tr>
      <w:tr w:rsidR="00E54693" w:rsidRPr="001A2331" w14:paraId="71DE1F15" w14:textId="77777777">
        <w:trPr>
          <w:trHeight w:val="283"/>
        </w:trPr>
        <w:tc>
          <w:tcPr>
            <w:tcW w:w="3396" w:type="pct"/>
            <w:tcBorders>
              <w:top w:val="nil"/>
              <w:left w:val="nil"/>
              <w:bottom w:val="nil"/>
              <w:right w:val="nil"/>
            </w:tcBorders>
            <w:shd w:val="clear" w:color="000000" w:fill="FFFFFF"/>
            <w:noWrap/>
            <w:vAlign w:val="center"/>
            <w:hideMark/>
          </w:tcPr>
          <w:p w14:paraId="2E4C80EB" w14:textId="77777777" w:rsidR="009C6A8B" w:rsidRPr="001A2331" w:rsidRDefault="009C6A8B" w:rsidP="009C6A8B">
            <w:pPr>
              <w:rPr>
                <w:rFonts w:ascii="CAIXA Std Book" w:eastAsia="Times New Roman" w:hAnsi="CAIXA Std Book" w:cs="Times New Roman"/>
                <w:color w:val="005CA9"/>
                <w:sz w:val="18"/>
                <w:szCs w:val="18"/>
              </w:rPr>
            </w:pPr>
            <w:r w:rsidRPr="001A2331">
              <w:rPr>
                <w:rFonts w:ascii="CAIXA Std Book" w:eastAsia="Times New Roman" w:hAnsi="CAIXA Std Book" w:cs="Times New Roman"/>
                <w:color w:val="005CA9"/>
                <w:sz w:val="18"/>
                <w:szCs w:val="18"/>
              </w:rPr>
              <w:t>Fundos de ações</w:t>
            </w:r>
          </w:p>
        </w:tc>
        <w:tc>
          <w:tcPr>
            <w:tcW w:w="802" w:type="pct"/>
            <w:vAlign w:val="center"/>
          </w:tcPr>
          <w:p w14:paraId="3D25687B" w14:textId="56C3EE0F" w:rsidR="0060234A" w:rsidRDefault="00361945" w:rsidP="009C6A8B">
            <w:pPr>
              <w:jc w:val="right"/>
              <w:rPr>
                <w:rFonts w:ascii="CAIXA Std Book" w:hAnsi="CAIXA Std Book" w:cs="Arial"/>
                <w:color w:val="005CA9"/>
                <w:sz w:val="18"/>
                <w:szCs w:val="18"/>
              </w:rPr>
            </w:pPr>
            <w:r>
              <w:rPr>
                <w:rFonts w:ascii="CAIXA Std Book" w:hAnsi="CAIXA Std Book" w:cs="Arial"/>
                <w:color w:val="005CA9"/>
                <w:sz w:val="18"/>
                <w:szCs w:val="18"/>
              </w:rPr>
              <w:t>18.860.615</w:t>
            </w:r>
          </w:p>
        </w:tc>
        <w:tc>
          <w:tcPr>
            <w:tcW w:w="802" w:type="pct"/>
            <w:tcBorders>
              <w:top w:val="nil"/>
              <w:left w:val="nil"/>
              <w:bottom w:val="nil"/>
              <w:right w:val="nil"/>
            </w:tcBorders>
            <w:noWrap/>
            <w:vAlign w:val="center"/>
          </w:tcPr>
          <w:p w14:paraId="47FA8C1D" w14:textId="224E9E8E" w:rsidR="009C6A8B" w:rsidRPr="001A2331" w:rsidRDefault="00E93CD2" w:rsidP="009C6A8B">
            <w:pPr>
              <w:jc w:val="right"/>
              <w:rPr>
                <w:rFonts w:ascii="CAIXA Std Book" w:eastAsia="Times New Roman" w:hAnsi="CAIXA Std Book" w:cs="Times New Roman"/>
                <w:color w:val="005CA9"/>
                <w:sz w:val="18"/>
                <w:szCs w:val="18"/>
              </w:rPr>
            </w:pPr>
            <w:r>
              <w:rPr>
                <w:rFonts w:ascii="CAIXA Std Book" w:hAnsi="CAIXA Std Book" w:cs="Arial"/>
                <w:color w:val="005CA9"/>
                <w:sz w:val="18"/>
                <w:szCs w:val="18"/>
              </w:rPr>
              <w:t>17.883.859</w:t>
            </w:r>
          </w:p>
        </w:tc>
      </w:tr>
      <w:tr w:rsidR="00E54693" w:rsidRPr="001A2331" w14:paraId="435B40A3" w14:textId="77777777">
        <w:trPr>
          <w:trHeight w:val="283"/>
        </w:trPr>
        <w:tc>
          <w:tcPr>
            <w:tcW w:w="3396" w:type="pct"/>
            <w:tcBorders>
              <w:top w:val="nil"/>
              <w:left w:val="nil"/>
              <w:bottom w:val="nil"/>
              <w:right w:val="nil"/>
            </w:tcBorders>
            <w:shd w:val="clear" w:color="auto" w:fill="005CA9"/>
            <w:noWrap/>
            <w:vAlign w:val="center"/>
            <w:hideMark/>
          </w:tcPr>
          <w:p w14:paraId="715B4DB4" w14:textId="77777777" w:rsidR="009C6A8B" w:rsidRPr="001A2331" w:rsidRDefault="009C6A8B" w:rsidP="009C6A8B">
            <w:pPr>
              <w:rPr>
                <w:rFonts w:ascii="CAIXA Std Book" w:eastAsia="Times New Roman" w:hAnsi="CAIXA Std Book" w:cs="Times New Roman"/>
                <w:b/>
                <w:bCs/>
                <w:color w:val="FFFFFF"/>
                <w:sz w:val="18"/>
                <w:szCs w:val="18"/>
              </w:rPr>
            </w:pPr>
            <w:r w:rsidRPr="001A2331">
              <w:rPr>
                <w:rFonts w:ascii="CAIXA Std Book" w:eastAsia="Times New Roman" w:hAnsi="CAIXA Std Book" w:cs="Calibri"/>
                <w:b/>
                <w:bCs/>
                <w:color w:val="FFFFFF"/>
                <w:sz w:val="18"/>
                <w:szCs w:val="18"/>
              </w:rPr>
              <w:t>Total</w:t>
            </w:r>
          </w:p>
        </w:tc>
        <w:tc>
          <w:tcPr>
            <w:tcW w:w="802" w:type="pct"/>
            <w:shd w:val="clear" w:color="auto" w:fill="005CA9"/>
            <w:vAlign w:val="center"/>
          </w:tcPr>
          <w:p w14:paraId="5019464A" w14:textId="35909DE6" w:rsidR="0060234A" w:rsidRDefault="00361945" w:rsidP="009C6A8B">
            <w:pPr>
              <w:jc w:val="right"/>
              <w:rPr>
                <w:rFonts w:ascii="CAIXA Std Book" w:hAnsi="CAIXA Std Book" w:cs="Arial"/>
                <w:b/>
                <w:bCs/>
                <w:color w:val="FFFFFF"/>
                <w:sz w:val="18"/>
                <w:szCs w:val="18"/>
              </w:rPr>
            </w:pPr>
            <w:r>
              <w:rPr>
                <w:rFonts w:ascii="CAIXA Std Book" w:hAnsi="CAIXA Std Book" w:cs="Arial"/>
                <w:b/>
                <w:bCs/>
                <w:color w:val="FFFFFF"/>
                <w:sz w:val="18"/>
                <w:szCs w:val="18"/>
              </w:rPr>
              <w:t>962.669.689</w:t>
            </w:r>
          </w:p>
        </w:tc>
        <w:tc>
          <w:tcPr>
            <w:tcW w:w="802" w:type="pct"/>
            <w:tcBorders>
              <w:top w:val="nil"/>
              <w:left w:val="nil"/>
              <w:bottom w:val="nil"/>
              <w:right w:val="nil"/>
            </w:tcBorders>
            <w:shd w:val="clear" w:color="auto" w:fill="005CA9"/>
            <w:noWrap/>
            <w:vAlign w:val="center"/>
          </w:tcPr>
          <w:p w14:paraId="56C0F3F1" w14:textId="426FA4FD" w:rsidR="009C6A8B" w:rsidRPr="001A2331" w:rsidRDefault="00E93CD2" w:rsidP="009C6A8B">
            <w:pPr>
              <w:jc w:val="right"/>
              <w:rPr>
                <w:rFonts w:ascii="CAIXA Std Book" w:eastAsia="Times New Roman" w:hAnsi="CAIXA Std Book" w:cs="Times New Roman"/>
                <w:b/>
                <w:bCs/>
                <w:color w:val="FFFFFF"/>
                <w:sz w:val="18"/>
                <w:szCs w:val="18"/>
              </w:rPr>
            </w:pPr>
            <w:r>
              <w:rPr>
                <w:rFonts w:ascii="CAIXA Std Book" w:hAnsi="CAIXA Std Book" w:cs="Arial"/>
                <w:b/>
                <w:bCs/>
                <w:color w:val="FFFFFF"/>
                <w:sz w:val="18"/>
                <w:szCs w:val="18"/>
              </w:rPr>
              <w:t>927.554.463</w:t>
            </w:r>
          </w:p>
        </w:tc>
      </w:tr>
    </w:tbl>
    <w:p w14:paraId="147F4A12" w14:textId="7E1E1E78" w:rsidR="003C7BFD" w:rsidRPr="00B04D8D" w:rsidRDefault="003C7BFD" w:rsidP="00EF04CD">
      <w:pPr>
        <w:ind w:left="284" w:hanging="284"/>
        <w:rPr>
          <w:rFonts w:ascii="CAIXA Std Book" w:hAnsi="CAIXA Std Book"/>
          <w:color w:val="005CA9"/>
          <w:sz w:val="16"/>
          <w:szCs w:val="16"/>
        </w:rPr>
      </w:pPr>
      <w:r w:rsidRPr="00B04D8D">
        <w:rPr>
          <w:rFonts w:ascii="CAIXA Std Book" w:hAnsi="CAIXA Std Book"/>
          <w:color w:val="005CA9"/>
          <w:sz w:val="16"/>
          <w:szCs w:val="16"/>
        </w:rPr>
        <w:t>(1) A informação apresentada não é auditada pela auditoria independente</w:t>
      </w:r>
      <w:r w:rsidR="006E2CC4">
        <w:rPr>
          <w:rFonts w:ascii="CAIXA Std Book" w:hAnsi="CAIXA Std Book"/>
          <w:color w:val="005CA9"/>
          <w:sz w:val="16"/>
          <w:szCs w:val="16"/>
        </w:rPr>
        <w:t>.</w:t>
      </w:r>
    </w:p>
    <w:p w14:paraId="724959D8" w14:textId="766598F4" w:rsidR="003C7BFD" w:rsidRPr="00B04D8D" w:rsidRDefault="003C7BFD" w:rsidP="003C7BFD">
      <w:pPr>
        <w:ind w:left="425" w:hanging="425"/>
        <w:rPr>
          <w:rFonts w:ascii="CAIXA Std Book" w:hAnsi="CAIXA Std Book"/>
          <w:color w:val="005CA9"/>
          <w:sz w:val="16"/>
          <w:szCs w:val="16"/>
        </w:rPr>
      </w:pPr>
      <w:r w:rsidRPr="00B04D8D">
        <w:rPr>
          <w:rFonts w:ascii="CAIXA Std Book" w:hAnsi="CAIXA Std Book"/>
          <w:color w:val="005CA9"/>
          <w:sz w:val="16"/>
          <w:szCs w:val="16"/>
        </w:rPr>
        <w:t xml:space="preserve">(2) Inclui </w:t>
      </w:r>
      <w:r w:rsidR="00580DA4">
        <w:rPr>
          <w:rFonts w:ascii="CAIXA Std Book" w:hAnsi="CAIXA Std Book"/>
          <w:color w:val="005CA9"/>
          <w:sz w:val="16"/>
          <w:szCs w:val="16"/>
        </w:rPr>
        <w:t>f</w:t>
      </w:r>
      <w:r w:rsidRPr="00B04D8D">
        <w:rPr>
          <w:rFonts w:ascii="CAIXA Std Book" w:hAnsi="CAIXA Std Book"/>
          <w:color w:val="005CA9"/>
          <w:sz w:val="16"/>
          <w:szCs w:val="16"/>
        </w:rPr>
        <w:t>undos de aplicação em cotas, que não são considerados no ranking ANBIMA.</w:t>
      </w:r>
    </w:p>
    <w:p w14:paraId="32A9D176" w14:textId="77777777" w:rsidR="002B698F" w:rsidRDefault="002B698F">
      <w:pPr>
        <w:rPr>
          <w:rFonts w:ascii="CAIXA Std Book" w:hAnsi="CAIXA Std Book"/>
          <w:color w:val="005CA9"/>
          <w:sz w:val="16"/>
          <w:szCs w:val="16"/>
        </w:rPr>
      </w:pPr>
      <w:r>
        <w:rPr>
          <w:rFonts w:ascii="CAIXA Std Book" w:hAnsi="CAIXA Std Book"/>
          <w:color w:val="005CA9"/>
          <w:sz w:val="16"/>
          <w:szCs w:val="16"/>
        </w:rPr>
        <w:br w:type="page"/>
      </w:r>
    </w:p>
    <w:p w14:paraId="457E2864" w14:textId="77E4DE02" w:rsidR="005A7588" w:rsidRPr="00E95E29" w:rsidRDefault="005A7588" w:rsidP="00B735D2">
      <w:pPr>
        <w:pStyle w:val="Ttulo1"/>
      </w:pPr>
      <w:bookmarkStart w:id="175" w:name="_Toc217914364"/>
      <w:bookmarkStart w:id="176" w:name="_Toc229588514"/>
      <w:r w:rsidRPr="00E95E29">
        <w:t xml:space="preserve">Nota   </w:t>
      </w:r>
      <w:r w:rsidR="00F66FAB">
        <w:t>3</w:t>
      </w:r>
      <w:r w:rsidR="00EF04CD">
        <w:t>8</w:t>
      </w:r>
      <w:r w:rsidRPr="00E95E29">
        <w:t xml:space="preserve"> – </w:t>
      </w:r>
      <w:r w:rsidR="00FE502E" w:rsidRPr="00E95E29">
        <w:t>Eventos subsequentes</w:t>
      </w:r>
      <w:bookmarkEnd w:id="175"/>
      <w:bookmarkEnd w:id="176"/>
    </w:p>
    <w:p w14:paraId="1B943CC2" w14:textId="133ADB0E" w:rsidR="00831B16" w:rsidRPr="00831B16" w:rsidRDefault="009D2A3A" w:rsidP="00091188">
      <w:pPr>
        <w:jc w:val="both"/>
        <w:rPr>
          <w:rFonts w:ascii="CAIXA Std Book" w:hAnsi="CAIXA Std Book"/>
          <w:color w:val="005CA9"/>
          <w:sz w:val="20"/>
          <w:szCs w:val="20"/>
        </w:rPr>
      </w:pPr>
      <w:bookmarkStart w:id="177" w:name="_Hlk65763178"/>
      <w:r w:rsidRPr="009D2A3A">
        <w:rPr>
          <w:rFonts w:ascii="CAIXA Std Book" w:hAnsi="CAIXA Std Book"/>
          <w:color w:val="005CA9"/>
          <w:sz w:val="20"/>
          <w:szCs w:val="20"/>
        </w:rPr>
        <w:t>Não houve eventos subsequentes no período</w:t>
      </w:r>
      <w:r w:rsidR="00091188">
        <w:rPr>
          <w:rFonts w:ascii="CAIXA Std Book" w:hAnsi="CAIXA Std Book"/>
          <w:color w:val="005CA9"/>
          <w:sz w:val="20"/>
          <w:szCs w:val="20"/>
        </w:rPr>
        <w:t>.</w:t>
      </w:r>
    </w:p>
    <w:p w14:paraId="722EFBFE" w14:textId="77777777" w:rsidR="0031241E" w:rsidRPr="00B04D8D" w:rsidRDefault="0031241E" w:rsidP="0031241E">
      <w:pPr>
        <w:tabs>
          <w:tab w:val="left" w:pos="4921"/>
          <w:tab w:val="decimal" w:pos="8948"/>
        </w:tabs>
        <w:suppressAutoHyphens/>
        <w:autoSpaceDE w:val="0"/>
        <w:autoSpaceDN w:val="0"/>
        <w:adjustRightInd w:val="0"/>
        <w:jc w:val="both"/>
        <w:rPr>
          <w:rFonts w:ascii="CAIXA Std Book" w:hAnsi="CAIXA Std Book"/>
          <w:color w:val="005CA9"/>
          <w:sz w:val="20"/>
          <w:szCs w:val="20"/>
        </w:rPr>
      </w:pPr>
    </w:p>
    <w:p w14:paraId="03A00211" w14:textId="77777777" w:rsidR="00401D06" w:rsidRDefault="00401D06" w:rsidP="00F6722D">
      <w:pPr>
        <w:tabs>
          <w:tab w:val="left" w:pos="4921"/>
          <w:tab w:val="decimal" w:pos="8948"/>
        </w:tabs>
        <w:suppressAutoHyphens/>
        <w:autoSpaceDE w:val="0"/>
        <w:autoSpaceDN w:val="0"/>
        <w:adjustRightInd w:val="0"/>
        <w:jc w:val="both"/>
        <w:rPr>
          <w:rFonts w:ascii="CAIXA Std Book" w:hAnsi="CAIXA Std Book"/>
          <w:color w:val="005CA9"/>
          <w:sz w:val="20"/>
          <w:szCs w:val="20"/>
          <w:highlight w:val="yellow"/>
        </w:rPr>
      </w:pPr>
    </w:p>
    <w:p w14:paraId="1267C3BB" w14:textId="77777777" w:rsidR="00C84718" w:rsidRDefault="00C84718" w:rsidP="00F6722D">
      <w:pPr>
        <w:tabs>
          <w:tab w:val="left" w:pos="4921"/>
          <w:tab w:val="decimal" w:pos="8948"/>
        </w:tabs>
        <w:suppressAutoHyphens/>
        <w:autoSpaceDE w:val="0"/>
        <w:autoSpaceDN w:val="0"/>
        <w:adjustRightInd w:val="0"/>
        <w:jc w:val="both"/>
        <w:rPr>
          <w:rFonts w:ascii="CAIXA Std Book" w:hAnsi="CAIXA Std Book"/>
          <w:color w:val="005CA9"/>
          <w:sz w:val="20"/>
          <w:szCs w:val="20"/>
          <w:highlight w:val="yellow"/>
        </w:rPr>
      </w:pPr>
    </w:p>
    <w:p w14:paraId="1125CE4D" w14:textId="77777777" w:rsidR="00C84718" w:rsidRDefault="00C84718" w:rsidP="00F6722D">
      <w:pPr>
        <w:tabs>
          <w:tab w:val="left" w:pos="4921"/>
          <w:tab w:val="decimal" w:pos="8948"/>
        </w:tabs>
        <w:suppressAutoHyphens/>
        <w:autoSpaceDE w:val="0"/>
        <w:autoSpaceDN w:val="0"/>
        <w:adjustRightInd w:val="0"/>
        <w:jc w:val="both"/>
        <w:rPr>
          <w:rFonts w:ascii="CAIXA Std Book" w:hAnsi="CAIXA Std Book"/>
          <w:color w:val="005CA9"/>
          <w:sz w:val="20"/>
          <w:szCs w:val="20"/>
          <w:highlight w:val="yellow"/>
        </w:rPr>
      </w:pPr>
    </w:p>
    <w:p w14:paraId="2D0557BE" w14:textId="77777777" w:rsidR="00401D06" w:rsidRPr="00EB3136" w:rsidRDefault="00401D06" w:rsidP="00F6722D">
      <w:pPr>
        <w:tabs>
          <w:tab w:val="left" w:pos="4921"/>
          <w:tab w:val="decimal" w:pos="8948"/>
        </w:tabs>
        <w:suppressAutoHyphens/>
        <w:autoSpaceDE w:val="0"/>
        <w:autoSpaceDN w:val="0"/>
        <w:adjustRightInd w:val="0"/>
        <w:jc w:val="both"/>
        <w:rPr>
          <w:rFonts w:ascii="CAIXA Std Book" w:hAnsi="CAIXA Std Book"/>
          <w:color w:val="005CA9"/>
          <w:sz w:val="20"/>
          <w:szCs w:val="20"/>
        </w:rPr>
      </w:pPr>
    </w:p>
    <w:p w14:paraId="4ABD01FE" w14:textId="21C09DC5" w:rsidR="00F6722D" w:rsidRPr="0021521C" w:rsidRDefault="00A91BAC" w:rsidP="00F6722D">
      <w:pPr>
        <w:tabs>
          <w:tab w:val="left" w:pos="4921"/>
          <w:tab w:val="decimal" w:pos="8948"/>
        </w:tabs>
        <w:suppressAutoHyphens/>
        <w:autoSpaceDE w:val="0"/>
        <w:autoSpaceDN w:val="0"/>
        <w:adjustRightInd w:val="0"/>
        <w:jc w:val="both"/>
        <w:rPr>
          <w:rFonts w:ascii="CAIXA Std Book" w:hAnsi="CAIXA Std Book"/>
          <w:color w:val="005CA9"/>
          <w:sz w:val="20"/>
          <w:szCs w:val="20"/>
        </w:rPr>
      </w:pPr>
      <w:r w:rsidRPr="0021521C">
        <w:rPr>
          <w:rFonts w:ascii="CAIXA Std Book" w:hAnsi="CAIXA Std Book"/>
          <w:color w:val="005CA9"/>
          <w:sz w:val="20"/>
          <w:szCs w:val="20"/>
        </w:rPr>
        <w:t>Carlos Ant</w:t>
      </w:r>
      <w:r w:rsidR="004736AF">
        <w:rPr>
          <w:rFonts w:ascii="CAIXA Std Book" w:hAnsi="CAIXA Std Book"/>
          <w:color w:val="005CA9"/>
          <w:sz w:val="20"/>
          <w:szCs w:val="20"/>
        </w:rPr>
        <w:t>ô</w:t>
      </w:r>
      <w:r w:rsidRPr="0021521C">
        <w:rPr>
          <w:rFonts w:ascii="CAIXA Std Book" w:hAnsi="CAIXA Std Book"/>
          <w:color w:val="005CA9"/>
          <w:sz w:val="20"/>
          <w:szCs w:val="20"/>
        </w:rPr>
        <w:t xml:space="preserve">nio Vieira </w:t>
      </w:r>
      <w:r w:rsidR="008F7DE8" w:rsidRPr="0021521C">
        <w:rPr>
          <w:rFonts w:ascii="CAIXA Std Book" w:hAnsi="CAIXA Std Book"/>
          <w:color w:val="005CA9"/>
          <w:sz w:val="20"/>
          <w:szCs w:val="20"/>
        </w:rPr>
        <w:t>Fernandes</w:t>
      </w:r>
    </w:p>
    <w:p w14:paraId="50A163AC" w14:textId="742F16D3" w:rsidR="00F6722D" w:rsidRPr="0021521C" w:rsidRDefault="00F6722D" w:rsidP="00F6722D">
      <w:pPr>
        <w:tabs>
          <w:tab w:val="left" w:pos="4921"/>
          <w:tab w:val="decimal" w:pos="8948"/>
        </w:tabs>
        <w:suppressAutoHyphens/>
        <w:autoSpaceDE w:val="0"/>
        <w:autoSpaceDN w:val="0"/>
        <w:adjustRightInd w:val="0"/>
        <w:jc w:val="both"/>
        <w:rPr>
          <w:rFonts w:ascii="CAIXA Std Book" w:hAnsi="CAIXA Std Book"/>
          <w:color w:val="005CA9"/>
          <w:sz w:val="20"/>
          <w:szCs w:val="20"/>
        </w:rPr>
      </w:pPr>
      <w:bookmarkStart w:id="178" w:name="_Hlk48230001"/>
      <w:r w:rsidRPr="0021521C">
        <w:rPr>
          <w:rFonts w:ascii="CAIXA Std Book" w:hAnsi="CAIXA Std Book"/>
          <w:color w:val="005CA9"/>
          <w:sz w:val="20"/>
          <w:szCs w:val="20"/>
        </w:rPr>
        <w:t>President</w:t>
      </w:r>
      <w:r w:rsidR="00321762" w:rsidRPr="0021521C">
        <w:rPr>
          <w:rFonts w:ascii="CAIXA Std Book" w:hAnsi="CAIXA Std Book"/>
          <w:color w:val="005CA9"/>
          <w:sz w:val="20"/>
          <w:szCs w:val="20"/>
        </w:rPr>
        <w:t>e</w:t>
      </w:r>
    </w:p>
    <w:p w14:paraId="5A79A45C" w14:textId="77777777" w:rsidR="00F6722D" w:rsidRPr="0021521C" w:rsidRDefault="00F6722D" w:rsidP="00F6722D">
      <w:pPr>
        <w:tabs>
          <w:tab w:val="left" w:pos="0"/>
          <w:tab w:val="left" w:pos="218"/>
          <w:tab w:val="left" w:pos="436"/>
          <w:tab w:val="left" w:pos="4921"/>
          <w:tab w:val="decimal" w:pos="8948"/>
        </w:tabs>
        <w:suppressAutoHyphens/>
        <w:autoSpaceDE w:val="0"/>
        <w:autoSpaceDN w:val="0"/>
        <w:adjustRightInd w:val="0"/>
        <w:jc w:val="both"/>
        <w:rPr>
          <w:rFonts w:ascii="CAIXA Std Book" w:hAnsi="CAIXA Std Book"/>
          <w:color w:val="005CA9"/>
          <w:sz w:val="20"/>
          <w:szCs w:val="20"/>
        </w:rPr>
      </w:pPr>
    </w:p>
    <w:p w14:paraId="1B2C036B" w14:textId="77777777" w:rsidR="00362310" w:rsidRPr="0021521C" w:rsidRDefault="00362310" w:rsidP="00F6722D">
      <w:pPr>
        <w:tabs>
          <w:tab w:val="left" w:pos="0"/>
          <w:tab w:val="left" w:pos="218"/>
          <w:tab w:val="left" w:pos="436"/>
          <w:tab w:val="left" w:pos="4921"/>
          <w:tab w:val="decimal" w:pos="8948"/>
        </w:tabs>
        <w:suppressAutoHyphens/>
        <w:autoSpaceDE w:val="0"/>
        <w:autoSpaceDN w:val="0"/>
        <w:adjustRightInd w:val="0"/>
        <w:jc w:val="both"/>
        <w:rPr>
          <w:rFonts w:ascii="CAIXA Std Book" w:hAnsi="CAIXA Std Book"/>
          <w:color w:val="005CA9"/>
          <w:sz w:val="20"/>
          <w:szCs w:val="20"/>
        </w:rPr>
      </w:pPr>
    </w:p>
    <w:p w14:paraId="498E0B20" w14:textId="77777777" w:rsidR="00362310" w:rsidRPr="0021521C" w:rsidRDefault="00362310" w:rsidP="00F6722D">
      <w:pPr>
        <w:tabs>
          <w:tab w:val="left" w:pos="0"/>
          <w:tab w:val="left" w:pos="218"/>
          <w:tab w:val="left" w:pos="436"/>
          <w:tab w:val="left" w:pos="4921"/>
          <w:tab w:val="decimal" w:pos="8948"/>
        </w:tabs>
        <w:suppressAutoHyphens/>
        <w:autoSpaceDE w:val="0"/>
        <w:autoSpaceDN w:val="0"/>
        <w:adjustRightInd w:val="0"/>
        <w:jc w:val="both"/>
        <w:rPr>
          <w:rFonts w:ascii="CAIXA Std Book" w:hAnsi="CAIXA Std Book"/>
          <w:color w:val="005CA9"/>
          <w:sz w:val="20"/>
          <w:szCs w:val="20"/>
        </w:rPr>
      </w:pPr>
    </w:p>
    <w:p w14:paraId="07A34653" w14:textId="77777777" w:rsidR="00F6722D" w:rsidRPr="0021521C" w:rsidRDefault="00F6722D" w:rsidP="00F6722D">
      <w:pPr>
        <w:tabs>
          <w:tab w:val="left" w:pos="0"/>
          <w:tab w:val="left" w:pos="218"/>
          <w:tab w:val="left" w:pos="436"/>
          <w:tab w:val="left" w:pos="4921"/>
          <w:tab w:val="decimal" w:pos="8948"/>
        </w:tabs>
        <w:suppressAutoHyphens/>
        <w:autoSpaceDE w:val="0"/>
        <w:autoSpaceDN w:val="0"/>
        <w:adjustRightInd w:val="0"/>
        <w:jc w:val="both"/>
        <w:rPr>
          <w:rFonts w:ascii="CAIXA Std Book" w:hAnsi="CAIXA Std Book"/>
          <w:color w:val="005CA9"/>
          <w:sz w:val="20"/>
          <w:szCs w:val="20"/>
        </w:rPr>
      </w:pPr>
    </w:p>
    <w:p w14:paraId="7D322492" w14:textId="0654B2A7" w:rsidR="0031241E" w:rsidRPr="0021521C" w:rsidRDefault="00294832" w:rsidP="0031241E">
      <w:pPr>
        <w:tabs>
          <w:tab w:val="left" w:pos="4921"/>
          <w:tab w:val="decimal" w:pos="8948"/>
        </w:tabs>
        <w:suppressAutoHyphens/>
        <w:autoSpaceDE w:val="0"/>
        <w:autoSpaceDN w:val="0"/>
        <w:adjustRightInd w:val="0"/>
        <w:jc w:val="both"/>
        <w:rPr>
          <w:rFonts w:ascii="CAIXA Std Book" w:hAnsi="CAIXA Std Book"/>
          <w:color w:val="005CA9"/>
          <w:sz w:val="20"/>
          <w:szCs w:val="20"/>
        </w:rPr>
      </w:pPr>
      <w:r w:rsidRPr="00294832">
        <w:rPr>
          <w:rFonts w:ascii="CAIXA Std Book" w:hAnsi="CAIXA Std Book"/>
          <w:color w:val="005CA9"/>
          <w:sz w:val="20"/>
          <w:szCs w:val="20"/>
        </w:rPr>
        <w:t>Adriane Velloso Ferreira</w:t>
      </w:r>
      <w:r w:rsidR="0031241E" w:rsidRPr="0021521C">
        <w:rPr>
          <w:rFonts w:ascii="CAIXA Std Book" w:hAnsi="CAIXA Std Book"/>
          <w:color w:val="005CA9"/>
          <w:sz w:val="20"/>
          <w:szCs w:val="20"/>
        </w:rPr>
        <w:tab/>
      </w:r>
      <w:r w:rsidR="00A960D9" w:rsidRPr="00A960D9">
        <w:rPr>
          <w:rFonts w:ascii="CAIXA Std Book" w:hAnsi="CAIXA Std Book"/>
          <w:color w:val="005CA9"/>
          <w:sz w:val="20"/>
          <w:szCs w:val="20"/>
        </w:rPr>
        <w:t>Adriano Assis Matias</w:t>
      </w:r>
    </w:p>
    <w:p w14:paraId="07B1EA02" w14:textId="09F86BAB" w:rsidR="0031241E" w:rsidRPr="0021521C" w:rsidRDefault="0031241E" w:rsidP="0031241E">
      <w:pPr>
        <w:tabs>
          <w:tab w:val="left" w:pos="4921"/>
          <w:tab w:val="decimal" w:pos="8948"/>
        </w:tabs>
        <w:suppressAutoHyphens/>
        <w:autoSpaceDE w:val="0"/>
        <w:autoSpaceDN w:val="0"/>
        <w:adjustRightInd w:val="0"/>
        <w:jc w:val="both"/>
        <w:rPr>
          <w:rFonts w:ascii="CAIXA Std Book" w:hAnsi="CAIXA Std Book"/>
          <w:color w:val="005CA9"/>
          <w:sz w:val="20"/>
          <w:szCs w:val="20"/>
        </w:rPr>
      </w:pPr>
      <w:r w:rsidRPr="0021521C">
        <w:rPr>
          <w:rFonts w:ascii="CAIXA Std Book" w:hAnsi="CAIXA Std Book"/>
          <w:color w:val="005CA9"/>
          <w:sz w:val="20"/>
          <w:szCs w:val="20"/>
        </w:rPr>
        <w:t>Vice-presidente</w:t>
      </w:r>
      <w:r w:rsidR="00A960D9">
        <w:rPr>
          <w:rFonts w:ascii="CAIXA Std Book" w:hAnsi="CAIXA Std Book"/>
          <w:color w:val="005CA9"/>
          <w:sz w:val="20"/>
          <w:szCs w:val="20"/>
        </w:rPr>
        <w:t xml:space="preserve"> em exercício</w:t>
      </w:r>
      <w:r w:rsidRPr="0021521C">
        <w:tab/>
      </w:r>
      <w:r w:rsidRPr="0021521C">
        <w:rPr>
          <w:rFonts w:ascii="CAIXA Std Book" w:hAnsi="CAIXA Std Book"/>
          <w:color w:val="005CA9"/>
          <w:sz w:val="20"/>
          <w:szCs w:val="20"/>
        </w:rPr>
        <w:t>Vice-presidente</w:t>
      </w:r>
      <w:r w:rsidR="00503CB6" w:rsidRPr="0021521C">
        <w:rPr>
          <w:rFonts w:ascii="CAIXA Std Book" w:hAnsi="CAIXA Std Book"/>
          <w:color w:val="005CA9"/>
          <w:sz w:val="20"/>
          <w:szCs w:val="20"/>
        </w:rPr>
        <w:t xml:space="preserve"> </w:t>
      </w:r>
    </w:p>
    <w:p w14:paraId="4D0E8B02" w14:textId="178E9570" w:rsidR="000B6E89" w:rsidRPr="0021521C" w:rsidRDefault="00A014A3" w:rsidP="67C4AB0B">
      <w:pPr>
        <w:tabs>
          <w:tab w:val="left" w:pos="218"/>
          <w:tab w:val="left" w:pos="436"/>
          <w:tab w:val="left" w:pos="4921"/>
          <w:tab w:val="decimal" w:pos="8948"/>
        </w:tabs>
        <w:suppressAutoHyphens/>
        <w:autoSpaceDE w:val="0"/>
        <w:autoSpaceDN w:val="0"/>
        <w:adjustRightInd w:val="0"/>
        <w:jc w:val="both"/>
        <w:rPr>
          <w:rFonts w:ascii="CAIXA Std Book" w:hAnsi="CAIXA Std Book"/>
          <w:color w:val="005CA9"/>
          <w:sz w:val="20"/>
          <w:szCs w:val="20"/>
        </w:rPr>
      </w:pPr>
      <w:r w:rsidRPr="0021521C">
        <w:tab/>
      </w:r>
      <w:r w:rsidRPr="0021521C">
        <w:tab/>
      </w:r>
      <w:r w:rsidRPr="0021521C">
        <w:tab/>
      </w:r>
    </w:p>
    <w:p w14:paraId="549FB4D3" w14:textId="77777777" w:rsidR="0031241E" w:rsidRPr="0021521C" w:rsidRDefault="0031241E" w:rsidP="0031241E">
      <w:pPr>
        <w:tabs>
          <w:tab w:val="left" w:pos="0"/>
          <w:tab w:val="left" w:pos="218"/>
          <w:tab w:val="left" w:pos="436"/>
          <w:tab w:val="left" w:pos="4921"/>
          <w:tab w:val="decimal" w:pos="8948"/>
        </w:tabs>
        <w:suppressAutoHyphens/>
        <w:autoSpaceDE w:val="0"/>
        <w:autoSpaceDN w:val="0"/>
        <w:adjustRightInd w:val="0"/>
        <w:jc w:val="both"/>
        <w:rPr>
          <w:rFonts w:ascii="CAIXA Std Book" w:hAnsi="CAIXA Std Book"/>
          <w:color w:val="005CA9"/>
          <w:sz w:val="20"/>
          <w:szCs w:val="20"/>
        </w:rPr>
      </w:pPr>
    </w:p>
    <w:p w14:paraId="0DE8E14A" w14:textId="77777777" w:rsidR="0031241E" w:rsidRPr="0021521C" w:rsidRDefault="0031241E" w:rsidP="0031241E">
      <w:pPr>
        <w:tabs>
          <w:tab w:val="left" w:pos="0"/>
          <w:tab w:val="left" w:pos="218"/>
          <w:tab w:val="left" w:pos="436"/>
          <w:tab w:val="left" w:pos="4921"/>
          <w:tab w:val="decimal" w:pos="8948"/>
        </w:tabs>
        <w:suppressAutoHyphens/>
        <w:autoSpaceDE w:val="0"/>
        <w:autoSpaceDN w:val="0"/>
        <w:adjustRightInd w:val="0"/>
        <w:jc w:val="both"/>
        <w:rPr>
          <w:rFonts w:ascii="CAIXA Std Book" w:hAnsi="CAIXA Std Book"/>
          <w:color w:val="005CA9"/>
          <w:sz w:val="20"/>
          <w:szCs w:val="20"/>
        </w:rPr>
      </w:pPr>
    </w:p>
    <w:p w14:paraId="3A17972B" w14:textId="77777777" w:rsidR="0031241E" w:rsidRPr="0021521C" w:rsidRDefault="0031241E" w:rsidP="0031241E">
      <w:pPr>
        <w:tabs>
          <w:tab w:val="left" w:pos="0"/>
          <w:tab w:val="left" w:pos="218"/>
          <w:tab w:val="left" w:pos="436"/>
          <w:tab w:val="left" w:pos="4921"/>
          <w:tab w:val="decimal" w:pos="8948"/>
        </w:tabs>
        <w:suppressAutoHyphens/>
        <w:autoSpaceDE w:val="0"/>
        <w:autoSpaceDN w:val="0"/>
        <w:adjustRightInd w:val="0"/>
        <w:jc w:val="both"/>
        <w:rPr>
          <w:rFonts w:ascii="CAIXA Std Book" w:hAnsi="CAIXA Std Book"/>
          <w:color w:val="005CA9"/>
          <w:sz w:val="20"/>
          <w:szCs w:val="20"/>
        </w:rPr>
      </w:pPr>
    </w:p>
    <w:p w14:paraId="5AE450FB" w14:textId="64C5EBDD" w:rsidR="00A1576D" w:rsidRDefault="00A960D9" w:rsidP="0031241E">
      <w:pPr>
        <w:tabs>
          <w:tab w:val="left" w:pos="4921"/>
          <w:tab w:val="decimal" w:pos="8948"/>
        </w:tabs>
        <w:suppressAutoHyphens/>
        <w:autoSpaceDE w:val="0"/>
        <w:autoSpaceDN w:val="0"/>
        <w:adjustRightInd w:val="0"/>
        <w:jc w:val="both"/>
        <w:rPr>
          <w:rFonts w:ascii="CAIXA Std Book" w:hAnsi="CAIXA Std Book"/>
          <w:color w:val="005CA9"/>
          <w:sz w:val="20"/>
          <w:szCs w:val="20"/>
        </w:rPr>
      </w:pPr>
      <w:r w:rsidRPr="00A960D9">
        <w:rPr>
          <w:rFonts w:ascii="CAIXA Std Book" w:hAnsi="CAIXA Std Book"/>
          <w:color w:val="005CA9"/>
          <w:sz w:val="20"/>
          <w:szCs w:val="20"/>
        </w:rPr>
        <w:t xml:space="preserve">Henriete Alexandra Sartori Bernabé </w:t>
      </w:r>
      <w:r w:rsidR="00FA39EA" w:rsidRPr="0021521C">
        <w:rPr>
          <w:rFonts w:ascii="CAIXA Std Book" w:hAnsi="CAIXA Std Book"/>
          <w:color w:val="005CA9"/>
          <w:sz w:val="20"/>
          <w:szCs w:val="20"/>
        </w:rPr>
        <w:tab/>
      </w:r>
      <w:r w:rsidR="00D64536" w:rsidRPr="00D64536">
        <w:rPr>
          <w:rFonts w:ascii="CAIXA Std Book" w:hAnsi="CAIXA Std Book"/>
          <w:color w:val="005CA9"/>
          <w:sz w:val="20"/>
          <w:szCs w:val="20"/>
        </w:rPr>
        <w:t>Inês da Silva Magalhães</w:t>
      </w:r>
    </w:p>
    <w:p w14:paraId="7EEA0709" w14:textId="6BF2DB28" w:rsidR="0031241E" w:rsidRPr="0021521C" w:rsidRDefault="0031241E" w:rsidP="0031241E">
      <w:pPr>
        <w:tabs>
          <w:tab w:val="left" w:pos="4921"/>
          <w:tab w:val="decimal" w:pos="8948"/>
        </w:tabs>
        <w:suppressAutoHyphens/>
        <w:autoSpaceDE w:val="0"/>
        <w:autoSpaceDN w:val="0"/>
        <w:adjustRightInd w:val="0"/>
        <w:jc w:val="both"/>
        <w:rPr>
          <w:rFonts w:ascii="CAIXA Std Book" w:hAnsi="CAIXA Std Book"/>
          <w:color w:val="005CA9"/>
          <w:sz w:val="20"/>
          <w:szCs w:val="20"/>
        </w:rPr>
      </w:pPr>
      <w:r w:rsidRPr="0021521C">
        <w:rPr>
          <w:rFonts w:ascii="CAIXA Std Book" w:hAnsi="CAIXA Std Book"/>
          <w:color w:val="005CA9"/>
          <w:sz w:val="20"/>
          <w:szCs w:val="20"/>
        </w:rPr>
        <w:t>Vice-presidente</w:t>
      </w:r>
      <w:r w:rsidRPr="0021521C">
        <w:tab/>
      </w:r>
      <w:r w:rsidRPr="0021521C">
        <w:rPr>
          <w:rFonts w:ascii="CAIXA Std Book" w:hAnsi="CAIXA Std Book"/>
          <w:color w:val="005CA9"/>
          <w:sz w:val="20"/>
          <w:szCs w:val="20"/>
        </w:rPr>
        <w:t>Vice-presidente</w:t>
      </w:r>
    </w:p>
    <w:p w14:paraId="752B712F" w14:textId="627591BB" w:rsidR="000B6E89" w:rsidRPr="0021521C" w:rsidRDefault="009A199F" w:rsidP="67C4AB0B">
      <w:pPr>
        <w:tabs>
          <w:tab w:val="left" w:pos="218"/>
          <w:tab w:val="left" w:pos="436"/>
          <w:tab w:val="left" w:pos="4921"/>
          <w:tab w:val="decimal" w:pos="8948"/>
        </w:tabs>
        <w:suppressAutoHyphens/>
        <w:autoSpaceDE w:val="0"/>
        <w:autoSpaceDN w:val="0"/>
        <w:adjustRightInd w:val="0"/>
        <w:jc w:val="both"/>
        <w:rPr>
          <w:rFonts w:ascii="CAIXA Std Book" w:hAnsi="CAIXA Std Book"/>
          <w:color w:val="005CA9"/>
          <w:sz w:val="20"/>
          <w:szCs w:val="20"/>
        </w:rPr>
      </w:pPr>
      <w:r w:rsidRPr="0021521C">
        <w:rPr>
          <w:rFonts w:ascii="CAIXA Std Book" w:hAnsi="CAIXA Std Book"/>
          <w:color w:val="005CA9"/>
          <w:sz w:val="20"/>
          <w:szCs w:val="20"/>
        </w:rPr>
        <w:tab/>
      </w:r>
      <w:r w:rsidRPr="0021521C">
        <w:rPr>
          <w:rFonts w:ascii="CAIXA Std Book" w:hAnsi="CAIXA Std Book"/>
          <w:color w:val="005CA9"/>
          <w:sz w:val="20"/>
          <w:szCs w:val="20"/>
        </w:rPr>
        <w:tab/>
      </w:r>
      <w:r w:rsidR="002F2D2B" w:rsidRPr="0021521C">
        <w:rPr>
          <w:rFonts w:ascii="CAIXA Std Book" w:hAnsi="CAIXA Std Book"/>
          <w:color w:val="005CA9"/>
          <w:sz w:val="20"/>
          <w:szCs w:val="20"/>
        </w:rPr>
        <w:tab/>
      </w:r>
    </w:p>
    <w:p w14:paraId="755FDA61" w14:textId="77777777" w:rsidR="0031241E" w:rsidRPr="0021521C" w:rsidRDefault="0031241E" w:rsidP="0031241E">
      <w:pPr>
        <w:tabs>
          <w:tab w:val="left" w:pos="4921"/>
          <w:tab w:val="decimal" w:pos="8948"/>
        </w:tabs>
        <w:suppressAutoHyphens/>
        <w:autoSpaceDE w:val="0"/>
        <w:autoSpaceDN w:val="0"/>
        <w:adjustRightInd w:val="0"/>
        <w:jc w:val="both"/>
        <w:rPr>
          <w:rFonts w:ascii="CAIXA Std Book" w:hAnsi="CAIXA Std Book"/>
          <w:color w:val="005CA9"/>
          <w:sz w:val="20"/>
          <w:szCs w:val="20"/>
        </w:rPr>
      </w:pPr>
    </w:p>
    <w:p w14:paraId="7949AA94" w14:textId="77777777" w:rsidR="0031241E" w:rsidRPr="0021521C" w:rsidRDefault="0031241E" w:rsidP="0031241E">
      <w:pPr>
        <w:tabs>
          <w:tab w:val="left" w:pos="4921"/>
          <w:tab w:val="decimal" w:pos="8948"/>
        </w:tabs>
        <w:suppressAutoHyphens/>
        <w:autoSpaceDE w:val="0"/>
        <w:autoSpaceDN w:val="0"/>
        <w:adjustRightInd w:val="0"/>
        <w:jc w:val="both"/>
        <w:rPr>
          <w:rFonts w:ascii="CAIXA Std Book" w:hAnsi="CAIXA Std Book"/>
          <w:color w:val="005CA9"/>
          <w:sz w:val="20"/>
          <w:szCs w:val="20"/>
        </w:rPr>
      </w:pPr>
    </w:p>
    <w:p w14:paraId="37D77403" w14:textId="77777777" w:rsidR="002F2D2B" w:rsidRPr="0021521C" w:rsidRDefault="002F2D2B" w:rsidP="0031241E">
      <w:pPr>
        <w:tabs>
          <w:tab w:val="left" w:pos="4921"/>
          <w:tab w:val="decimal" w:pos="8948"/>
        </w:tabs>
        <w:suppressAutoHyphens/>
        <w:autoSpaceDE w:val="0"/>
        <w:autoSpaceDN w:val="0"/>
        <w:adjustRightInd w:val="0"/>
        <w:jc w:val="both"/>
        <w:rPr>
          <w:rFonts w:ascii="CAIXA Std Book" w:hAnsi="CAIXA Std Book"/>
          <w:color w:val="005CA9"/>
          <w:sz w:val="20"/>
          <w:szCs w:val="20"/>
        </w:rPr>
      </w:pPr>
    </w:p>
    <w:p w14:paraId="32558D87" w14:textId="7FEE013C" w:rsidR="00A1576D" w:rsidRDefault="00D64536" w:rsidP="0031241E">
      <w:pPr>
        <w:tabs>
          <w:tab w:val="left" w:pos="4921"/>
          <w:tab w:val="decimal" w:pos="8948"/>
        </w:tabs>
        <w:suppressAutoHyphens/>
        <w:autoSpaceDE w:val="0"/>
        <w:autoSpaceDN w:val="0"/>
        <w:adjustRightInd w:val="0"/>
        <w:jc w:val="both"/>
        <w:rPr>
          <w:rFonts w:ascii="CAIXA Std Book" w:hAnsi="CAIXA Std Book"/>
          <w:color w:val="005CA9"/>
          <w:sz w:val="20"/>
          <w:szCs w:val="20"/>
        </w:rPr>
      </w:pPr>
      <w:r w:rsidRPr="00D64536">
        <w:rPr>
          <w:rFonts w:ascii="CAIXA Std Book" w:hAnsi="CAIXA Std Book"/>
          <w:color w:val="005CA9"/>
          <w:sz w:val="20"/>
          <w:szCs w:val="20"/>
        </w:rPr>
        <w:t>José Marcos de Carvalho Araujo</w:t>
      </w:r>
      <w:r w:rsidR="0031241E" w:rsidRPr="0021521C">
        <w:rPr>
          <w:rFonts w:ascii="CAIXA Std Book" w:hAnsi="CAIXA Std Book"/>
          <w:color w:val="005CA9"/>
          <w:sz w:val="20"/>
          <w:szCs w:val="20"/>
        </w:rPr>
        <w:tab/>
      </w:r>
      <w:r w:rsidRPr="00D64536">
        <w:rPr>
          <w:rFonts w:ascii="CAIXA Std Book" w:hAnsi="CAIXA Std Book"/>
          <w:color w:val="005CA9"/>
          <w:sz w:val="20"/>
          <w:szCs w:val="20"/>
        </w:rPr>
        <w:t>Lúcio Camilo Oliva Pereira</w:t>
      </w:r>
    </w:p>
    <w:p w14:paraId="228CD404" w14:textId="0F14F707" w:rsidR="0031241E" w:rsidRPr="0021521C" w:rsidRDefault="0031241E" w:rsidP="0031241E">
      <w:pPr>
        <w:tabs>
          <w:tab w:val="left" w:pos="4921"/>
          <w:tab w:val="decimal" w:pos="8948"/>
        </w:tabs>
        <w:suppressAutoHyphens/>
        <w:autoSpaceDE w:val="0"/>
        <w:autoSpaceDN w:val="0"/>
        <w:adjustRightInd w:val="0"/>
        <w:jc w:val="both"/>
        <w:rPr>
          <w:rFonts w:ascii="CAIXA Std Book" w:hAnsi="CAIXA Std Book"/>
          <w:color w:val="005CA9"/>
          <w:sz w:val="20"/>
          <w:szCs w:val="20"/>
        </w:rPr>
      </w:pPr>
      <w:r w:rsidRPr="0021521C">
        <w:rPr>
          <w:rFonts w:ascii="CAIXA Std Book" w:hAnsi="CAIXA Std Book"/>
          <w:color w:val="005CA9"/>
          <w:sz w:val="20"/>
          <w:szCs w:val="20"/>
        </w:rPr>
        <w:t>Vice-presidente</w:t>
      </w:r>
      <w:r w:rsidRPr="0021521C">
        <w:rPr>
          <w:rFonts w:ascii="CAIXA Std Book" w:hAnsi="CAIXA Std Book"/>
          <w:color w:val="005CA9"/>
          <w:sz w:val="20"/>
          <w:szCs w:val="20"/>
        </w:rPr>
        <w:tab/>
        <w:t>Vice-presidente</w:t>
      </w:r>
    </w:p>
    <w:p w14:paraId="4B4D6034" w14:textId="11B81507" w:rsidR="002F2D2B" w:rsidRPr="0021521C" w:rsidRDefault="00265404" w:rsidP="002F2D2B">
      <w:pPr>
        <w:tabs>
          <w:tab w:val="left" w:pos="0"/>
          <w:tab w:val="left" w:pos="218"/>
          <w:tab w:val="left" w:pos="436"/>
          <w:tab w:val="left" w:pos="4921"/>
          <w:tab w:val="decimal" w:pos="8948"/>
        </w:tabs>
        <w:suppressAutoHyphens/>
        <w:autoSpaceDE w:val="0"/>
        <w:autoSpaceDN w:val="0"/>
        <w:adjustRightInd w:val="0"/>
        <w:jc w:val="both"/>
        <w:rPr>
          <w:rFonts w:ascii="CAIXA Std Book" w:hAnsi="CAIXA Std Book"/>
          <w:color w:val="005CA9"/>
          <w:sz w:val="20"/>
          <w:szCs w:val="20"/>
        </w:rPr>
      </w:pPr>
      <w:r w:rsidRPr="0021521C">
        <w:rPr>
          <w:rFonts w:ascii="CAIXA Std Book" w:hAnsi="CAIXA Std Book"/>
          <w:color w:val="005CA9"/>
          <w:sz w:val="20"/>
          <w:szCs w:val="20"/>
        </w:rPr>
        <w:tab/>
      </w:r>
      <w:r w:rsidRPr="0021521C">
        <w:rPr>
          <w:rFonts w:ascii="CAIXA Std Book" w:hAnsi="CAIXA Std Book"/>
          <w:color w:val="005CA9"/>
          <w:sz w:val="20"/>
          <w:szCs w:val="20"/>
        </w:rPr>
        <w:tab/>
      </w:r>
      <w:r w:rsidRPr="0021521C">
        <w:rPr>
          <w:rFonts w:ascii="CAIXA Std Book" w:hAnsi="CAIXA Std Book"/>
          <w:color w:val="005CA9"/>
          <w:sz w:val="20"/>
          <w:szCs w:val="20"/>
        </w:rPr>
        <w:tab/>
      </w:r>
    </w:p>
    <w:p w14:paraId="30128D3A" w14:textId="77777777" w:rsidR="0031241E" w:rsidRPr="0021521C" w:rsidRDefault="0031241E" w:rsidP="0031241E">
      <w:pPr>
        <w:tabs>
          <w:tab w:val="left" w:pos="4921"/>
          <w:tab w:val="decimal" w:pos="8948"/>
        </w:tabs>
        <w:suppressAutoHyphens/>
        <w:autoSpaceDE w:val="0"/>
        <w:autoSpaceDN w:val="0"/>
        <w:adjustRightInd w:val="0"/>
        <w:jc w:val="both"/>
        <w:rPr>
          <w:rFonts w:ascii="CAIXA Std Book" w:hAnsi="CAIXA Std Book"/>
          <w:color w:val="005CA9"/>
          <w:sz w:val="20"/>
          <w:szCs w:val="20"/>
        </w:rPr>
      </w:pPr>
    </w:p>
    <w:p w14:paraId="52C0A99C" w14:textId="77777777" w:rsidR="0031241E" w:rsidRPr="0021521C" w:rsidRDefault="0031241E" w:rsidP="0031241E">
      <w:pPr>
        <w:tabs>
          <w:tab w:val="left" w:pos="4921"/>
          <w:tab w:val="decimal" w:pos="8948"/>
        </w:tabs>
        <w:suppressAutoHyphens/>
        <w:autoSpaceDE w:val="0"/>
        <w:autoSpaceDN w:val="0"/>
        <w:adjustRightInd w:val="0"/>
        <w:jc w:val="both"/>
        <w:rPr>
          <w:rFonts w:ascii="CAIXA Std Book" w:hAnsi="CAIXA Std Book"/>
          <w:color w:val="005CA9"/>
          <w:sz w:val="20"/>
          <w:szCs w:val="20"/>
        </w:rPr>
      </w:pPr>
    </w:p>
    <w:p w14:paraId="18EB0000" w14:textId="77777777" w:rsidR="001A6067" w:rsidRPr="0021521C" w:rsidRDefault="001A6067" w:rsidP="001A6067">
      <w:pPr>
        <w:tabs>
          <w:tab w:val="left" w:pos="4921"/>
          <w:tab w:val="decimal" w:pos="8948"/>
        </w:tabs>
        <w:suppressAutoHyphens/>
        <w:autoSpaceDE w:val="0"/>
        <w:autoSpaceDN w:val="0"/>
        <w:adjustRightInd w:val="0"/>
        <w:jc w:val="both"/>
        <w:rPr>
          <w:rFonts w:ascii="CAIXA Std Book" w:hAnsi="CAIXA Std Book"/>
          <w:color w:val="005CA9"/>
          <w:sz w:val="20"/>
          <w:szCs w:val="20"/>
        </w:rPr>
      </w:pPr>
    </w:p>
    <w:p w14:paraId="2C39647C" w14:textId="49909630" w:rsidR="006244A2" w:rsidRPr="0021521C" w:rsidRDefault="002040A2" w:rsidP="006244A2">
      <w:pPr>
        <w:rPr>
          <w:rFonts w:ascii="CAIXA Std Book" w:hAnsi="CAIXA Std Book"/>
          <w:color w:val="005CA9"/>
          <w:sz w:val="20"/>
          <w:szCs w:val="20"/>
        </w:rPr>
      </w:pPr>
      <w:r w:rsidRPr="002040A2">
        <w:rPr>
          <w:rFonts w:ascii="CAIXA Std Book" w:hAnsi="CAIXA Std Book"/>
          <w:color w:val="005CA9"/>
          <w:sz w:val="20"/>
          <w:szCs w:val="20"/>
        </w:rPr>
        <w:t>Paulo César Leopoldino Palácios Seabra</w:t>
      </w:r>
      <w:r w:rsidR="00FA7A32" w:rsidRPr="0021521C">
        <w:rPr>
          <w:rFonts w:ascii="CAIXA Std Book" w:hAnsi="CAIXA Std Book"/>
          <w:color w:val="005CA9"/>
          <w:sz w:val="20"/>
          <w:szCs w:val="20"/>
        </w:rPr>
        <w:tab/>
      </w:r>
      <w:r w:rsidR="00006F68">
        <w:rPr>
          <w:rFonts w:ascii="CAIXA Std Book" w:hAnsi="CAIXA Std Book"/>
          <w:color w:val="005CA9"/>
          <w:sz w:val="20"/>
          <w:szCs w:val="20"/>
        </w:rPr>
        <w:tab/>
      </w:r>
      <w:r w:rsidRPr="002040A2">
        <w:rPr>
          <w:rFonts w:ascii="CAIXA Std Book" w:hAnsi="CAIXA Std Book"/>
          <w:color w:val="005CA9"/>
          <w:sz w:val="20"/>
          <w:szCs w:val="20"/>
        </w:rPr>
        <w:t>Suely Patrão Buhiram</w:t>
      </w:r>
    </w:p>
    <w:p w14:paraId="251D3432" w14:textId="1D739E0A" w:rsidR="0031241E" w:rsidRPr="0021521C" w:rsidRDefault="001A6067" w:rsidP="006244A2">
      <w:pPr>
        <w:rPr>
          <w:rFonts w:ascii="CAIXA Std Book" w:hAnsi="CAIXA Std Book"/>
          <w:color w:val="005CA9"/>
          <w:sz w:val="20"/>
          <w:szCs w:val="20"/>
        </w:rPr>
      </w:pPr>
      <w:r w:rsidRPr="0021521C">
        <w:rPr>
          <w:rFonts w:ascii="CAIXA Std Book" w:hAnsi="CAIXA Std Book"/>
          <w:color w:val="005CA9"/>
          <w:sz w:val="20"/>
          <w:szCs w:val="20"/>
        </w:rPr>
        <w:t>Vice-Presidente</w:t>
      </w:r>
      <w:r w:rsidRPr="0021521C">
        <w:rPr>
          <w:rFonts w:ascii="CAIXA Std Book" w:hAnsi="CAIXA Std Book"/>
          <w:color w:val="005CA9"/>
          <w:sz w:val="20"/>
          <w:szCs w:val="20"/>
        </w:rPr>
        <w:tab/>
      </w:r>
      <w:r w:rsidRPr="0021521C">
        <w:rPr>
          <w:rFonts w:ascii="CAIXA Std Book" w:hAnsi="CAIXA Std Book"/>
          <w:color w:val="005CA9"/>
          <w:sz w:val="20"/>
          <w:szCs w:val="20"/>
        </w:rPr>
        <w:tab/>
      </w:r>
      <w:r w:rsidRPr="0021521C">
        <w:rPr>
          <w:rFonts w:ascii="CAIXA Std Book" w:hAnsi="CAIXA Std Book"/>
          <w:color w:val="005CA9"/>
          <w:sz w:val="20"/>
          <w:szCs w:val="20"/>
        </w:rPr>
        <w:tab/>
      </w:r>
      <w:r w:rsidRPr="0021521C">
        <w:rPr>
          <w:rFonts w:ascii="CAIXA Std Book" w:hAnsi="CAIXA Std Book"/>
          <w:color w:val="005CA9"/>
          <w:sz w:val="20"/>
          <w:szCs w:val="20"/>
        </w:rPr>
        <w:tab/>
      </w:r>
      <w:r w:rsidRPr="0021521C">
        <w:rPr>
          <w:rFonts w:ascii="CAIXA Std Book" w:hAnsi="CAIXA Std Book"/>
          <w:color w:val="005CA9"/>
          <w:sz w:val="20"/>
          <w:szCs w:val="20"/>
        </w:rPr>
        <w:tab/>
      </w:r>
      <w:r w:rsidR="0031241E" w:rsidRPr="0021521C">
        <w:rPr>
          <w:rFonts w:ascii="CAIXA Std Book" w:hAnsi="CAIXA Std Book"/>
          <w:color w:val="005CA9"/>
          <w:sz w:val="20"/>
          <w:szCs w:val="20"/>
        </w:rPr>
        <w:t>Vice-presidente</w:t>
      </w:r>
      <w:r w:rsidR="002040A2">
        <w:rPr>
          <w:rFonts w:ascii="CAIXA Std Book" w:hAnsi="CAIXA Std Book"/>
          <w:color w:val="005CA9"/>
          <w:sz w:val="20"/>
          <w:szCs w:val="20"/>
        </w:rPr>
        <w:t xml:space="preserve"> em exercício</w:t>
      </w:r>
    </w:p>
    <w:p w14:paraId="716BF0F5" w14:textId="30D0BEFE" w:rsidR="002F2D2B" w:rsidRPr="0021521C" w:rsidRDefault="002F2D2B" w:rsidP="002F2D2B">
      <w:pPr>
        <w:tabs>
          <w:tab w:val="left" w:pos="0"/>
          <w:tab w:val="left" w:pos="218"/>
          <w:tab w:val="left" w:pos="436"/>
          <w:tab w:val="left" w:pos="4921"/>
          <w:tab w:val="decimal" w:pos="8948"/>
        </w:tabs>
        <w:suppressAutoHyphens/>
        <w:autoSpaceDE w:val="0"/>
        <w:autoSpaceDN w:val="0"/>
        <w:adjustRightInd w:val="0"/>
        <w:jc w:val="both"/>
        <w:rPr>
          <w:rFonts w:ascii="CAIXA Std Book" w:hAnsi="CAIXA Std Book"/>
          <w:color w:val="005CA9"/>
          <w:sz w:val="20"/>
          <w:szCs w:val="20"/>
        </w:rPr>
      </w:pPr>
      <w:r w:rsidRPr="0021521C">
        <w:rPr>
          <w:rFonts w:ascii="CAIXA Std Book" w:hAnsi="CAIXA Std Book"/>
          <w:color w:val="005CA9"/>
          <w:sz w:val="20"/>
          <w:szCs w:val="20"/>
        </w:rPr>
        <w:tab/>
      </w:r>
      <w:r w:rsidRPr="0021521C">
        <w:rPr>
          <w:rFonts w:ascii="CAIXA Std Book" w:hAnsi="CAIXA Std Book"/>
          <w:color w:val="005CA9"/>
          <w:sz w:val="20"/>
          <w:szCs w:val="20"/>
        </w:rPr>
        <w:tab/>
      </w:r>
      <w:r w:rsidRPr="0021521C">
        <w:rPr>
          <w:rFonts w:ascii="CAIXA Std Book" w:hAnsi="CAIXA Std Book"/>
          <w:color w:val="005CA9"/>
          <w:sz w:val="20"/>
          <w:szCs w:val="20"/>
        </w:rPr>
        <w:tab/>
      </w:r>
    </w:p>
    <w:p w14:paraId="719FB466" w14:textId="77777777" w:rsidR="0031241E" w:rsidRPr="0021521C" w:rsidRDefault="0031241E" w:rsidP="0031241E">
      <w:pPr>
        <w:tabs>
          <w:tab w:val="left" w:pos="4921"/>
          <w:tab w:val="decimal" w:pos="8948"/>
        </w:tabs>
        <w:suppressAutoHyphens/>
        <w:autoSpaceDE w:val="0"/>
        <w:autoSpaceDN w:val="0"/>
        <w:adjustRightInd w:val="0"/>
        <w:jc w:val="both"/>
        <w:rPr>
          <w:rFonts w:ascii="CAIXA Std Book" w:hAnsi="CAIXA Std Book"/>
          <w:color w:val="005CA9"/>
          <w:sz w:val="20"/>
          <w:szCs w:val="20"/>
        </w:rPr>
      </w:pPr>
    </w:p>
    <w:p w14:paraId="16D8B38E" w14:textId="77777777" w:rsidR="0031241E" w:rsidRPr="0021521C" w:rsidRDefault="0031241E" w:rsidP="0031241E">
      <w:pPr>
        <w:tabs>
          <w:tab w:val="left" w:pos="4921"/>
          <w:tab w:val="decimal" w:pos="8948"/>
        </w:tabs>
        <w:suppressAutoHyphens/>
        <w:autoSpaceDE w:val="0"/>
        <w:autoSpaceDN w:val="0"/>
        <w:adjustRightInd w:val="0"/>
        <w:jc w:val="both"/>
        <w:rPr>
          <w:rFonts w:ascii="CAIXA Std Book" w:hAnsi="CAIXA Std Book"/>
          <w:color w:val="005CA9"/>
          <w:sz w:val="20"/>
          <w:szCs w:val="20"/>
        </w:rPr>
      </w:pPr>
    </w:p>
    <w:p w14:paraId="126D03DD" w14:textId="77777777" w:rsidR="0031241E" w:rsidRPr="0021521C" w:rsidRDefault="0031241E" w:rsidP="0031241E">
      <w:pPr>
        <w:tabs>
          <w:tab w:val="left" w:pos="4921"/>
          <w:tab w:val="decimal" w:pos="8948"/>
        </w:tabs>
        <w:suppressAutoHyphens/>
        <w:autoSpaceDE w:val="0"/>
        <w:autoSpaceDN w:val="0"/>
        <w:adjustRightInd w:val="0"/>
        <w:jc w:val="both"/>
        <w:rPr>
          <w:rFonts w:ascii="CAIXA Std Book" w:hAnsi="CAIXA Std Book"/>
          <w:color w:val="005CA9"/>
          <w:sz w:val="20"/>
          <w:szCs w:val="20"/>
        </w:rPr>
      </w:pPr>
    </w:p>
    <w:p w14:paraId="3AF7A06E" w14:textId="77777777" w:rsidR="00F47EA2" w:rsidRPr="0021521C" w:rsidRDefault="00F47EA2" w:rsidP="007D1B39">
      <w:pPr>
        <w:rPr>
          <w:rFonts w:ascii="CAIXA Std Book" w:hAnsi="CAIXA Std Book"/>
          <w:color w:val="005CA9"/>
          <w:sz w:val="20"/>
          <w:szCs w:val="20"/>
        </w:rPr>
      </w:pPr>
    </w:p>
    <w:p w14:paraId="4CA0C730" w14:textId="6E2C77AA" w:rsidR="007D1B39" w:rsidRPr="0021521C" w:rsidRDefault="007D1B39" w:rsidP="007D1B39">
      <w:pPr>
        <w:rPr>
          <w:rFonts w:ascii="CAIXA Std Book" w:hAnsi="CAIXA Std Book"/>
          <w:color w:val="005CA9"/>
          <w:sz w:val="20"/>
          <w:szCs w:val="20"/>
        </w:rPr>
      </w:pPr>
      <w:r w:rsidRPr="0021521C">
        <w:rPr>
          <w:rFonts w:ascii="CAIXA Std Book" w:hAnsi="CAIXA Std Book"/>
          <w:color w:val="005CA9"/>
          <w:sz w:val="20"/>
          <w:szCs w:val="20"/>
        </w:rPr>
        <w:t>Juliana Grigol Fonsechi</w:t>
      </w:r>
    </w:p>
    <w:p w14:paraId="0714B7E1" w14:textId="6DC328AE" w:rsidR="00D023E9" w:rsidRPr="0021521C" w:rsidRDefault="00D023E9" w:rsidP="007D1B39">
      <w:pPr>
        <w:rPr>
          <w:rFonts w:ascii="CAIXA Std Book" w:hAnsi="CAIXA Std Book"/>
          <w:color w:val="005CA9"/>
          <w:sz w:val="20"/>
          <w:szCs w:val="20"/>
        </w:rPr>
      </w:pPr>
      <w:r w:rsidRPr="0021521C">
        <w:rPr>
          <w:rFonts w:ascii="CAIXA Std Book" w:hAnsi="CAIXA Std Book"/>
          <w:color w:val="005CA9"/>
          <w:sz w:val="20"/>
          <w:szCs w:val="20"/>
        </w:rPr>
        <w:t xml:space="preserve">Diretora de </w:t>
      </w:r>
      <w:r w:rsidR="00247E94" w:rsidRPr="0021521C">
        <w:rPr>
          <w:rFonts w:ascii="CAIXA Std Book" w:hAnsi="CAIXA Std Book"/>
          <w:color w:val="005CA9"/>
          <w:sz w:val="20"/>
          <w:szCs w:val="20"/>
        </w:rPr>
        <w:t xml:space="preserve">Contadoria e </w:t>
      </w:r>
      <w:r w:rsidRPr="0021521C">
        <w:rPr>
          <w:rFonts w:ascii="CAIXA Std Book" w:hAnsi="CAIXA Std Book"/>
          <w:color w:val="005CA9"/>
          <w:sz w:val="20"/>
          <w:szCs w:val="20"/>
        </w:rPr>
        <w:t>Controladoria</w:t>
      </w:r>
    </w:p>
    <w:p w14:paraId="354AF0A5" w14:textId="77777777" w:rsidR="007D1B39" w:rsidRPr="0021521C" w:rsidRDefault="007D1B39" w:rsidP="007D1B39">
      <w:pPr>
        <w:rPr>
          <w:rFonts w:ascii="CAIXA Std Book" w:hAnsi="CAIXA Std Book"/>
          <w:color w:val="005CA9"/>
          <w:sz w:val="20"/>
          <w:szCs w:val="20"/>
        </w:rPr>
      </w:pPr>
    </w:p>
    <w:p w14:paraId="6347D194" w14:textId="77777777" w:rsidR="002C5E4A" w:rsidRPr="0021521C" w:rsidRDefault="002C5E4A" w:rsidP="00F6722D">
      <w:pPr>
        <w:autoSpaceDE w:val="0"/>
        <w:autoSpaceDN w:val="0"/>
        <w:adjustRightInd w:val="0"/>
        <w:jc w:val="both"/>
        <w:rPr>
          <w:rFonts w:ascii="CAIXA Std Book" w:hAnsi="CAIXA Std Book"/>
          <w:color w:val="005CA9"/>
          <w:sz w:val="20"/>
          <w:szCs w:val="20"/>
        </w:rPr>
      </w:pPr>
    </w:p>
    <w:p w14:paraId="6480C75C" w14:textId="77777777" w:rsidR="00F6722D" w:rsidRPr="0021521C" w:rsidRDefault="00F6722D" w:rsidP="00F6722D">
      <w:pPr>
        <w:tabs>
          <w:tab w:val="left" w:pos="4921"/>
          <w:tab w:val="decimal" w:pos="8948"/>
        </w:tabs>
        <w:suppressAutoHyphens/>
        <w:autoSpaceDE w:val="0"/>
        <w:autoSpaceDN w:val="0"/>
        <w:adjustRightInd w:val="0"/>
        <w:jc w:val="both"/>
        <w:rPr>
          <w:rFonts w:ascii="CAIXA Std Book" w:hAnsi="CAIXA Std Book"/>
          <w:color w:val="005CA9"/>
          <w:sz w:val="20"/>
          <w:szCs w:val="20"/>
        </w:rPr>
      </w:pPr>
    </w:p>
    <w:p w14:paraId="3B6D02F1" w14:textId="56FD5658" w:rsidR="00F6722D" w:rsidRPr="0021521C" w:rsidRDefault="00205E56" w:rsidP="00F6722D">
      <w:pPr>
        <w:rPr>
          <w:rFonts w:ascii="CAIXA Std Book" w:hAnsi="CAIXA Std Book"/>
          <w:color w:val="005CA9"/>
          <w:sz w:val="20"/>
          <w:szCs w:val="20"/>
        </w:rPr>
      </w:pPr>
      <w:r w:rsidRPr="0021521C">
        <w:rPr>
          <w:rFonts w:ascii="CAIXA Std Book" w:hAnsi="CAIXA Std Book"/>
          <w:color w:val="005CA9"/>
          <w:sz w:val="20"/>
          <w:szCs w:val="20"/>
        </w:rPr>
        <w:t>Ana Paula Fernandes de Rezende Soares</w:t>
      </w:r>
    </w:p>
    <w:p w14:paraId="6016AE51" w14:textId="77777777" w:rsidR="00F6722D" w:rsidRPr="0021521C" w:rsidRDefault="00F6722D" w:rsidP="00F6722D">
      <w:pPr>
        <w:autoSpaceDE w:val="0"/>
        <w:autoSpaceDN w:val="0"/>
        <w:adjustRightInd w:val="0"/>
        <w:jc w:val="both"/>
        <w:rPr>
          <w:rFonts w:ascii="CAIXA Std Book" w:hAnsi="CAIXA Std Book"/>
          <w:color w:val="005CA9"/>
          <w:sz w:val="20"/>
          <w:szCs w:val="20"/>
        </w:rPr>
      </w:pPr>
      <w:r w:rsidRPr="0021521C">
        <w:rPr>
          <w:rFonts w:ascii="CAIXA Std Book" w:hAnsi="CAIXA Std Book"/>
          <w:color w:val="005CA9"/>
          <w:sz w:val="20"/>
          <w:szCs w:val="20"/>
        </w:rPr>
        <w:t>Superintendente Nacional</w:t>
      </w:r>
    </w:p>
    <w:p w14:paraId="70CC929E" w14:textId="46D65DEB" w:rsidR="0097064F" w:rsidRDefault="00F6722D" w:rsidP="00F310A2">
      <w:pPr>
        <w:autoSpaceDE w:val="0"/>
        <w:autoSpaceDN w:val="0"/>
        <w:adjustRightInd w:val="0"/>
        <w:jc w:val="both"/>
        <w:rPr>
          <w:rFonts w:ascii="CAIXA Std Book" w:hAnsi="CAIXA Std Book"/>
          <w:color w:val="005CA9"/>
          <w:sz w:val="20"/>
          <w:szCs w:val="20"/>
        </w:rPr>
      </w:pPr>
      <w:r w:rsidRPr="0021521C">
        <w:rPr>
          <w:rFonts w:ascii="CAIXA Std Book" w:hAnsi="CAIXA Std Book"/>
          <w:color w:val="005CA9"/>
          <w:sz w:val="20"/>
          <w:szCs w:val="20"/>
        </w:rPr>
        <w:t>Contador</w:t>
      </w:r>
      <w:r w:rsidR="007B6262" w:rsidRPr="0021521C">
        <w:rPr>
          <w:rFonts w:ascii="CAIXA Std Book" w:hAnsi="CAIXA Std Book"/>
          <w:color w:val="005CA9"/>
          <w:sz w:val="20"/>
          <w:szCs w:val="20"/>
        </w:rPr>
        <w:t>a</w:t>
      </w:r>
      <w:r w:rsidR="00F310A2" w:rsidRPr="0021521C">
        <w:rPr>
          <w:rFonts w:ascii="CAIXA Std Book" w:hAnsi="CAIXA Std Book"/>
          <w:color w:val="005CA9"/>
          <w:sz w:val="20"/>
          <w:szCs w:val="20"/>
        </w:rPr>
        <w:t xml:space="preserve"> </w:t>
      </w:r>
      <w:r w:rsidRPr="0021521C">
        <w:rPr>
          <w:rFonts w:ascii="CAIXA Std Book" w:hAnsi="CAIXA Std Book"/>
          <w:color w:val="005CA9"/>
          <w:sz w:val="20"/>
          <w:szCs w:val="20"/>
        </w:rPr>
        <w:t>CRC</w:t>
      </w:r>
      <w:r w:rsidR="003178DC" w:rsidRPr="0021521C">
        <w:rPr>
          <w:rFonts w:ascii="CAIXA Std Book" w:hAnsi="CAIXA Std Book"/>
          <w:color w:val="005CA9"/>
          <w:sz w:val="20"/>
          <w:szCs w:val="20"/>
        </w:rPr>
        <w:t>/</w:t>
      </w:r>
      <w:r w:rsidR="00F310A2" w:rsidRPr="0021521C">
        <w:rPr>
          <w:rFonts w:ascii="CAIXA Std Book" w:hAnsi="CAIXA Std Book"/>
          <w:color w:val="005CA9"/>
          <w:sz w:val="20"/>
          <w:szCs w:val="20"/>
        </w:rPr>
        <w:t>DF 021323</w:t>
      </w:r>
    </w:p>
    <w:p w14:paraId="2E4EEFCF" w14:textId="58C68ADD" w:rsidR="008D6754" w:rsidRDefault="008D6754">
      <w:pPr>
        <w:rPr>
          <w:rFonts w:ascii="CAIXA Std Book" w:hAnsi="CAIXA Std Book"/>
          <w:color w:val="005CA9"/>
          <w:sz w:val="20"/>
          <w:szCs w:val="20"/>
        </w:rPr>
        <w:sectPr w:rsidR="008D6754" w:rsidSect="006907F6">
          <w:headerReference w:type="default" r:id="rId102"/>
          <w:footerReference w:type="default" r:id="rId103"/>
          <w:headerReference w:type="first" r:id="rId104"/>
          <w:footerReference w:type="first" r:id="rId105"/>
          <w:pgSz w:w="11907" w:h="16840" w:code="9"/>
          <w:pgMar w:top="1985" w:right="851" w:bottom="1418" w:left="1418" w:header="1134" w:footer="709" w:gutter="0"/>
          <w:cols w:space="708"/>
          <w:titlePg/>
          <w:docGrid w:linePitch="360"/>
        </w:sectPr>
      </w:pPr>
    </w:p>
    <w:p w14:paraId="028C23EA" w14:textId="5BF9F66F" w:rsidR="00CF17FD" w:rsidRDefault="00406BD5" w:rsidP="00B735D2">
      <w:pPr>
        <w:pStyle w:val="Ttulo1"/>
        <w:rPr>
          <w:spacing w:val="-1"/>
        </w:rPr>
      </w:pPr>
      <w:bookmarkStart w:id="179" w:name="_Toc229588515"/>
      <w:r>
        <w:t>Parecer do Conselho Fiscal</w:t>
      </w:r>
      <w:bookmarkEnd w:id="179"/>
    </w:p>
    <w:p w14:paraId="2766EF10" w14:textId="77777777" w:rsidR="00F26500" w:rsidRDefault="00F26500" w:rsidP="00794A1C">
      <w:pPr>
        <w:keepLines/>
        <w:jc w:val="center"/>
        <w:rPr>
          <w:rFonts w:ascii="Arial" w:eastAsia="Times New Roman" w:hAnsi="Arial" w:cs="Times New Roman"/>
          <w:b/>
          <w:sz w:val="22"/>
          <w:szCs w:val="22"/>
          <w:u w:val="single"/>
        </w:rPr>
      </w:pPr>
    </w:p>
    <w:p w14:paraId="5955968F" w14:textId="77777777" w:rsidR="002F024C" w:rsidRPr="00390F18" w:rsidRDefault="002F024C" w:rsidP="002F024C">
      <w:pPr>
        <w:keepLines/>
        <w:ind w:right="-30"/>
        <w:jc w:val="center"/>
        <w:rPr>
          <w:rFonts w:ascii="Arial" w:eastAsia="Times New Roman" w:hAnsi="Arial" w:cs="Times New Roman"/>
          <w:b/>
          <w:u w:val="single"/>
        </w:rPr>
      </w:pPr>
      <w:bookmarkStart w:id="180" w:name="_Hlk89953323"/>
      <w:r w:rsidRPr="004D6FF4">
        <w:rPr>
          <w:rFonts w:ascii="Arial" w:eastAsia="Times New Roman" w:hAnsi="Arial" w:cs="Times New Roman"/>
          <w:b/>
          <w:u w:val="single"/>
        </w:rPr>
        <w:t xml:space="preserve">Parecer nº </w:t>
      </w:r>
      <w:r>
        <w:rPr>
          <w:rFonts w:ascii="Arial" w:eastAsia="Times New Roman" w:hAnsi="Arial" w:cs="Times New Roman"/>
          <w:b/>
          <w:u w:val="single"/>
        </w:rPr>
        <w:t>122</w:t>
      </w:r>
      <w:r w:rsidRPr="004D6FF4">
        <w:rPr>
          <w:rFonts w:ascii="Arial" w:eastAsia="Times New Roman" w:hAnsi="Arial" w:cs="Times New Roman"/>
          <w:b/>
          <w:u w:val="single"/>
        </w:rPr>
        <w:t xml:space="preserve"> </w:t>
      </w:r>
      <w:r>
        <w:rPr>
          <w:rFonts w:ascii="Arial" w:eastAsia="Times New Roman" w:hAnsi="Arial" w:cs="Times New Roman"/>
          <w:b/>
          <w:u w:val="single"/>
        </w:rPr>
        <w:t>–</w:t>
      </w:r>
      <w:r w:rsidRPr="004D6FF4">
        <w:rPr>
          <w:rFonts w:ascii="Arial" w:eastAsia="Times New Roman" w:hAnsi="Arial" w:cs="Times New Roman"/>
          <w:b/>
          <w:u w:val="single"/>
        </w:rPr>
        <w:t xml:space="preserve"> Ata nº </w:t>
      </w:r>
      <w:r>
        <w:rPr>
          <w:rFonts w:ascii="Arial" w:eastAsia="Times New Roman" w:hAnsi="Arial" w:cs="Times New Roman"/>
          <w:b/>
          <w:u w:val="single"/>
        </w:rPr>
        <w:t>904</w:t>
      </w:r>
      <w:r w:rsidRPr="00390F18">
        <w:rPr>
          <w:rFonts w:ascii="Arial" w:eastAsia="Times New Roman" w:hAnsi="Arial" w:cs="Times New Roman"/>
          <w:b/>
          <w:u w:val="single"/>
        </w:rPr>
        <w:t xml:space="preserve">, de </w:t>
      </w:r>
      <w:r>
        <w:rPr>
          <w:rFonts w:ascii="Arial" w:eastAsia="Times New Roman" w:hAnsi="Arial" w:cs="Times New Roman"/>
          <w:b/>
          <w:u w:val="single"/>
        </w:rPr>
        <w:t>12/05/2026</w:t>
      </w:r>
    </w:p>
    <w:bookmarkEnd w:id="180"/>
    <w:p w14:paraId="437DDF7E" w14:textId="77777777" w:rsidR="002F024C" w:rsidRPr="00390F18" w:rsidRDefault="002F024C" w:rsidP="002F024C">
      <w:pPr>
        <w:keepLines/>
        <w:spacing w:line="276" w:lineRule="auto"/>
        <w:ind w:right="-567"/>
        <w:jc w:val="both"/>
        <w:rPr>
          <w:rFonts w:ascii="Arial" w:eastAsia="Times New Roman" w:hAnsi="Arial" w:cs="Times New Roman"/>
          <w:b/>
        </w:rPr>
      </w:pPr>
    </w:p>
    <w:p w14:paraId="4EF3B2B3" w14:textId="77777777" w:rsidR="002F024C" w:rsidRDefault="002F024C" w:rsidP="002F024C">
      <w:pPr>
        <w:keepLines/>
        <w:spacing w:line="276" w:lineRule="auto"/>
        <w:ind w:right="-29"/>
        <w:jc w:val="both"/>
        <w:rPr>
          <w:rFonts w:ascii="Arial" w:eastAsia="Times New Roman" w:hAnsi="Arial" w:cs="Times New Roman"/>
          <w:b/>
        </w:rPr>
      </w:pPr>
      <w:r w:rsidRPr="00390F18">
        <w:rPr>
          <w:rFonts w:ascii="Arial" w:eastAsia="Times New Roman" w:hAnsi="Arial" w:cs="Times New Roman"/>
          <w:b/>
        </w:rPr>
        <w:t xml:space="preserve">Assunto: </w:t>
      </w:r>
      <w:r w:rsidRPr="00FD1ADD">
        <w:rPr>
          <w:rFonts w:ascii="Arial" w:eastAsia="Times New Roman" w:hAnsi="Arial" w:cs="Times New Roman"/>
          <w:b/>
        </w:rPr>
        <w:t xml:space="preserve">Proposta de </w:t>
      </w:r>
      <w:r>
        <w:rPr>
          <w:rFonts w:ascii="Arial" w:eastAsia="Times New Roman" w:hAnsi="Arial" w:cs="Times New Roman"/>
          <w:b/>
        </w:rPr>
        <w:t>a</w:t>
      </w:r>
      <w:r w:rsidRPr="008918F6">
        <w:rPr>
          <w:rFonts w:ascii="Arial" w:eastAsia="Times New Roman" w:hAnsi="Arial" w:cs="Times New Roman"/>
          <w:b/>
        </w:rPr>
        <w:t>preciação e aprovação</w:t>
      </w:r>
      <w:r>
        <w:rPr>
          <w:rFonts w:ascii="Arial" w:eastAsia="Times New Roman" w:hAnsi="Arial" w:cs="Times New Roman"/>
          <w:b/>
        </w:rPr>
        <w:t xml:space="preserve"> da</w:t>
      </w:r>
      <w:r w:rsidRPr="008918F6">
        <w:rPr>
          <w:rFonts w:ascii="Arial" w:eastAsia="Times New Roman" w:hAnsi="Arial" w:cs="Times New Roman"/>
          <w:b/>
        </w:rPr>
        <w:t xml:space="preserve">s Demonstrações Contábeis Intermediárias Individuais e Consolidadas Condensadas e </w:t>
      </w:r>
      <w:r>
        <w:rPr>
          <w:rFonts w:ascii="Arial" w:eastAsia="Times New Roman" w:hAnsi="Arial" w:cs="Times New Roman"/>
          <w:b/>
        </w:rPr>
        <w:t>do</w:t>
      </w:r>
      <w:r w:rsidRPr="008918F6">
        <w:rPr>
          <w:rFonts w:ascii="Arial" w:eastAsia="Times New Roman" w:hAnsi="Arial" w:cs="Times New Roman"/>
          <w:b/>
        </w:rPr>
        <w:t xml:space="preserve"> Acompanhamento da Execução Orçamentária da CAIXA, referentes ao 1º trimestre de 2026.</w:t>
      </w:r>
    </w:p>
    <w:p w14:paraId="761B5344" w14:textId="77777777" w:rsidR="002F024C" w:rsidRPr="00EE6C66" w:rsidRDefault="002F024C" w:rsidP="002F024C">
      <w:pPr>
        <w:keepLines/>
        <w:spacing w:line="276" w:lineRule="auto"/>
        <w:ind w:right="-29"/>
        <w:jc w:val="both"/>
        <w:rPr>
          <w:rFonts w:ascii="Arial" w:eastAsia="Times New Roman" w:hAnsi="Arial" w:cs="Arial"/>
          <w:caps/>
          <w:spacing w:val="8"/>
          <w:highlight w:val="yellow"/>
        </w:rPr>
      </w:pPr>
    </w:p>
    <w:p w14:paraId="11565A88" w14:textId="77777777" w:rsidR="002F024C" w:rsidRDefault="002F024C" w:rsidP="002F024C">
      <w:pPr>
        <w:tabs>
          <w:tab w:val="left" w:pos="9498"/>
        </w:tabs>
        <w:spacing w:line="360" w:lineRule="auto"/>
        <w:ind w:right="-29" w:firstLine="1134"/>
        <w:jc w:val="both"/>
        <w:rPr>
          <w:rFonts w:ascii="Arial" w:eastAsia="Times New Roman" w:hAnsi="Arial" w:cs="Arial"/>
        </w:rPr>
      </w:pPr>
      <w:r w:rsidRPr="00AB359D">
        <w:rPr>
          <w:rFonts w:ascii="Arial" w:eastAsia="Times New Roman" w:hAnsi="Arial" w:cs="Arial"/>
        </w:rPr>
        <w:t xml:space="preserve">O </w:t>
      </w:r>
      <w:r>
        <w:rPr>
          <w:rFonts w:ascii="Arial" w:eastAsia="Times New Roman" w:hAnsi="Arial" w:cs="Arial"/>
        </w:rPr>
        <w:t xml:space="preserve">Conselho Fiscal </w:t>
      </w:r>
      <w:r w:rsidRPr="00AB359D">
        <w:rPr>
          <w:rFonts w:ascii="Arial" w:eastAsia="Times New Roman" w:hAnsi="Arial" w:cs="Arial"/>
        </w:rPr>
        <w:t xml:space="preserve">da Caixa Econômica Federal, em cumprimento ao disposto </w:t>
      </w:r>
      <w:r w:rsidRPr="00A77820">
        <w:rPr>
          <w:rFonts w:ascii="Arial" w:eastAsia="Times New Roman" w:hAnsi="Arial" w:cs="Arial"/>
        </w:rPr>
        <w:t>no</w:t>
      </w:r>
      <w:r>
        <w:rPr>
          <w:rFonts w:ascii="Arial" w:eastAsia="Times New Roman" w:hAnsi="Arial" w:cs="Arial"/>
        </w:rPr>
        <w:t xml:space="preserve"> Artigo 60, incisos II, III e XIV do Estatuto Social da CAIXA,</w:t>
      </w:r>
      <w:r w:rsidRPr="00A77820">
        <w:rPr>
          <w:rFonts w:ascii="Arial" w:eastAsia="Times New Roman" w:hAnsi="Arial" w:cs="Arial"/>
        </w:rPr>
        <w:t xml:space="preserve"> </w:t>
      </w:r>
      <w:r>
        <w:rPr>
          <w:rFonts w:ascii="Arial" w:eastAsia="Times New Roman" w:hAnsi="Arial" w:cs="Arial"/>
          <w:b/>
          <w:bCs/>
        </w:rPr>
        <w:t>examinou</w:t>
      </w:r>
      <w:r w:rsidRPr="00C87D8C">
        <w:rPr>
          <w:rFonts w:ascii="Arial" w:eastAsia="Times New Roman" w:hAnsi="Arial" w:cs="Arial"/>
        </w:rPr>
        <w:t xml:space="preserve"> a </w:t>
      </w:r>
      <w:r>
        <w:rPr>
          <w:rFonts w:ascii="Arial" w:eastAsia="Times New Roman" w:hAnsi="Arial" w:cs="Arial"/>
        </w:rPr>
        <w:t>p</w:t>
      </w:r>
      <w:r w:rsidRPr="008918F6">
        <w:rPr>
          <w:rFonts w:ascii="Arial" w:eastAsia="Times New Roman" w:hAnsi="Arial" w:cs="Arial"/>
        </w:rPr>
        <w:t>roposta de apreciação e aprovação das Demonstrações Contábeis Intermediárias Individuais e Consolidadas Condensadas e do Acompanhamento da Execução Orçamentária da CAIXA, referentes ao</w:t>
      </w:r>
      <w:r>
        <w:rPr>
          <w:rFonts w:ascii="Arial" w:eastAsia="Times New Roman" w:hAnsi="Arial" w:cs="Arial"/>
        </w:rPr>
        <w:t> </w:t>
      </w:r>
      <w:r w:rsidRPr="008918F6">
        <w:rPr>
          <w:rFonts w:ascii="Arial" w:eastAsia="Times New Roman" w:hAnsi="Arial" w:cs="Arial"/>
        </w:rPr>
        <w:t>1º</w:t>
      </w:r>
      <w:r>
        <w:rPr>
          <w:rFonts w:ascii="Arial" w:eastAsia="Times New Roman" w:hAnsi="Arial" w:cs="Arial"/>
        </w:rPr>
        <w:t> </w:t>
      </w:r>
      <w:r w:rsidRPr="008918F6">
        <w:rPr>
          <w:rFonts w:ascii="Arial" w:eastAsia="Times New Roman" w:hAnsi="Arial" w:cs="Arial"/>
        </w:rPr>
        <w:t>trimestre de 2026</w:t>
      </w:r>
      <w:r>
        <w:rPr>
          <w:rFonts w:ascii="Arial" w:eastAsia="Times New Roman" w:hAnsi="Arial" w:cs="Arial"/>
        </w:rPr>
        <w:t xml:space="preserve">, aprovada pela </w:t>
      </w:r>
      <w:r w:rsidRPr="00636A40">
        <w:rPr>
          <w:rFonts w:ascii="Arial" w:eastAsia="Times New Roman" w:hAnsi="Arial" w:cs="Arial"/>
        </w:rPr>
        <w:t xml:space="preserve">Resolução do Conselho de Administração n° </w:t>
      </w:r>
      <w:r>
        <w:rPr>
          <w:rFonts w:ascii="Arial" w:eastAsia="Times New Roman" w:hAnsi="Arial" w:cs="Arial"/>
        </w:rPr>
        <w:t>1850</w:t>
      </w:r>
      <w:r w:rsidRPr="00636A40">
        <w:rPr>
          <w:rFonts w:ascii="Arial" w:eastAsia="Times New Roman" w:hAnsi="Arial" w:cs="Arial"/>
        </w:rPr>
        <w:t>, de</w:t>
      </w:r>
      <w:r>
        <w:rPr>
          <w:rFonts w:ascii="Arial" w:eastAsia="Times New Roman" w:hAnsi="Arial" w:cs="Arial"/>
        </w:rPr>
        <w:t> 11</w:t>
      </w:r>
      <w:r w:rsidRPr="00636A40">
        <w:rPr>
          <w:rFonts w:ascii="Arial" w:eastAsia="Times New Roman" w:hAnsi="Arial" w:cs="Arial"/>
        </w:rPr>
        <w:t>/0</w:t>
      </w:r>
      <w:r>
        <w:rPr>
          <w:rFonts w:ascii="Arial" w:eastAsia="Times New Roman" w:hAnsi="Arial" w:cs="Arial"/>
        </w:rPr>
        <w:t>5</w:t>
      </w:r>
      <w:r w:rsidRPr="00636A40">
        <w:rPr>
          <w:rFonts w:ascii="Arial" w:eastAsia="Times New Roman" w:hAnsi="Arial" w:cs="Arial"/>
        </w:rPr>
        <w:t xml:space="preserve">/2026, e considerando o Parecer do Comitê de Auditoria n° </w:t>
      </w:r>
      <w:r>
        <w:rPr>
          <w:rFonts w:ascii="Arial" w:eastAsia="Times New Roman" w:hAnsi="Arial" w:cs="Arial"/>
        </w:rPr>
        <w:t>181</w:t>
      </w:r>
      <w:r w:rsidRPr="00636A40">
        <w:rPr>
          <w:rFonts w:ascii="Arial" w:eastAsia="Times New Roman" w:hAnsi="Arial" w:cs="Arial"/>
        </w:rPr>
        <w:t xml:space="preserve">, de </w:t>
      </w:r>
      <w:r>
        <w:rPr>
          <w:rFonts w:ascii="Arial" w:eastAsia="Times New Roman" w:hAnsi="Arial" w:cs="Arial"/>
        </w:rPr>
        <w:t>07</w:t>
      </w:r>
      <w:r w:rsidRPr="00636A40">
        <w:rPr>
          <w:rFonts w:ascii="Arial" w:eastAsia="Times New Roman" w:hAnsi="Arial" w:cs="Arial"/>
        </w:rPr>
        <w:t>/0</w:t>
      </w:r>
      <w:r>
        <w:rPr>
          <w:rFonts w:ascii="Arial" w:eastAsia="Times New Roman" w:hAnsi="Arial" w:cs="Arial"/>
        </w:rPr>
        <w:t>5</w:t>
      </w:r>
      <w:r w:rsidRPr="00636A40">
        <w:rPr>
          <w:rFonts w:ascii="Arial" w:eastAsia="Times New Roman" w:hAnsi="Arial" w:cs="Arial"/>
        </w:rPr>
        <w:t xml:space="preserve">/2026, a manifestação da empresa de auditoria independente, KPMG Auditores Independentes, bem como os subsídios e esclarecimentos obtidos durante a reunião, </w:t>
      </w:r>
      <w:r w:rsidRPr="007A2D37">
        <w:rPr>
          <w:rFonts w:ascii="Arial" w:eastAsia="Times New Roman" w:hAnsi="Arial" w:cs="Arial"/>
          <w:b/>
          <w:bCs/>
        </w:rPr>
        <w:t>opinou favoravelmente, por unanimidade</w:t>
      </w:r>
      <w:r w:rsidRPr="00636A40">
        <w:rPr>
          <w:rFonts w:ascii="Arial" w:eastAsia="Times New Roman" w:hAnsi="Arial" w:cs="Arial"/>
        </w:rPr>
        <w:t>, sobre a matéria</w:t>
      </w:r>
      <w:r w:rsidRPr="007661ED">
        <w:rPr>
          <w:rFonts w:ascii="Arial" w:eastAsia="Times New Roman" w:hAnsi="Arial" w:cs="Arial"/>
        </w:rPr>
        <w:t>.</w:t>
      </w:r>
    </w:p>
    <w:p w14:paraId="38DBCC94" w14:textId="77777777" w:rsidR="002F024C" w:rsidRDefault="002F024C" w:rsidP="002F024C">
      <w:pPr>
        <w:keepLines/>
        <w:spacing w:line="276" w:lineRule="auto"/>
        <w:ind w:right="-29"/>
        <w:jc w:val="both"/>
        <w:rPr>
          <w:rFonts w:ascii="Arial" w:eastAsia="Times New Roman" w:hAnsi="Arial" w:cs="Arial"/>
        </w:rPr>
      </w:pPr>
    </w:p>
    <w:p w14:paraId="634413F1" w14:textId="77777777" w:rsidR="002F024C" w:rsidRDefault="002F024C" w:rsidP="002F024C">
      <w:pPr>
        <w:tabs>
          <w:tab w:val="left" w:pos="9498"/>
        </w:tabs>
        <w:spacing w:line="360" w:lineRule="auto"/>
        <w:ind w:right="-29"/>
        <w:jc w:val="both"/>
        <w:rPr>
          <w:rFonts w:ascii="Arial" w:eastAsia="Times New Roman" w:hAnsi="Arial" w:cs="Times New Roman"/>
        </w:rPr>
      </w:pPr>
    </w:p>
    <w:p w14:paraId="45BDFE02" w14:textId="77777777" w:rsidR="002F024C" w:rsidRDefault="002F024C" w:rsidP="002F024C">
      <w:pPr>
        <w:tabs>
          <w:tab w:val="left" w:pos="9498"/>
        </w:tabs>
        <w:spacing w:before="120" w:line="360" w:lineRule="auto"/>
        <w:ind w:right="-29" w:firstLine="1134"/>
        <w:jc w:val="right"/>
        <w:rPr>
          <w:rFonts w:ascii="Arial" w:eastAsia="Times New Roman" w:hAnsi="Arial" w:cs="Times New Roman"/>
        </w:rPr>
      </w:pPr>
      <w:r w:rsidRPr="00390F18">
        <w:rPr>
          <w:rFonts w:ascii="Arial" w:eastAsia="Times New Roman" w:hAnsi="Arial" w:cs="Times New Roman"/>
        </w:rPr>
        <w:t xml:space="preserve">Brasília, </w:t>
      </w:r>
      <w:r>
        <w:rPr>
          <w:rFonts w:ascii="Arial" w:eastAsia="Times New Roman" w:hAnsi="Arial" w:cs="Times New Roman"/>
        </w:rPr>
        <w:t>12 de maio de 2026</w:t>
      </w:r>
      <w:r w:rsidRPr="00390F18">
        <w:rPr>
          <w:rFonts w:ascii="Arial" w:eastAsia="Times New Roman" w:hAnsi="Arial" w:cs="Times New Roman"/>
        </w:rPr>
        <w:t>.</w:t>
      </w:r>
    </w:p>
    <w:p w14:paraId="24C67D6D" w14:textId="77777777" w:rsidR="002F024C" w:rsidRDefault="002F024C" w:rsidP="002F024C">
      <w:pPr>
        <w:tabs>
          <w:tab w:val="left" w:pos="9498"/>
        </w:tabs>
        <w:spacing w:before="120" w:line="360" w:lineRule="auto"/>
        <w:ind w:right="-29" w:firstLine="1134"/>
        <w:jc w:val="right"/>
        <w:rPr>
          <w:rFonts w:ascii="Arial" w:eastAsia="Times New Roman" w:hAnsi="Arial" w:cs="Times New Roman"/>
        </w:rPr>
      </w:pPr>
    </w:p>
    <w:p w14:paraId="6DC68B3F" w14:textId="77777777" w:rsidR="002F024C" w:rsidRDefault="002F024C" w:rsidP="002F024C">
      <w:pPr>
        <w:tabs>
          <w:tab w:val="left" w:pos="9498"/>
        </w:tabs>
        <w:spacing w:before="120" w:line="360" w:lineRule="auto"/>
        <w:ind w:right="-29" w:firstLine="1134"/>
        <w:jc w:val="right"/>
        <w:rPr>
          <w:rFonts w:ascii="Arial" w:eastAsia="Times New Roman" w:hAnsi="Arial" w:cs="Times New Roman"/>
        </w:rPr>
      </w:pPr>
    </w:p>
    <w:tbl>
      <w:tblPr>
        <w:tblpPr w:leftFromText="141" w:rightFromText="141" w:vertAnchor="text" w:horzAnchor="margin" w:tblpX="-15" w:tblpY="251"/>
        <w:tblW w:w="9921" w:type="dxa"/>
        <w:tblCellMar>
          <w:left w:w="70" w:type="dxa"/>
          <w:right w:w="70" w:type="dxa"/>
        </w:tblCellMar>
        <w:tblLook w:val="0000" w:firstRow="0" w:lastRow="0" w:firstColumn="0" w:lastColumn="0" w:noHBand="0" w:noVBand="0"/>
      </w:tblPr>
      <w:tblGrid>
        <w:gridCol w:w="9775"/>
        <w:gridCol w:w="146"/>
      </w:tblGrid>
      <w:tr w:rsidR="002F024C" w:rsidRPr="001E1618" w14:paraId="5698C272" w14:textId="77777777" w:rsidTr="00B74927">
        <w:trPr>
          <w:trHeight w:val="1980"/>
        </w:trPr>
        <w:tc>
          <w:tcPr>
            <w:tcW w:w="9775" w:type="dxa"/>
          </w:tcPr>
          <w:tbl>
            <w:tblPr>
              <w:tblpPr w:leftFromText="141" w:rightFromText="141" w:vertAnchor="text" w:horzAnchor="margin" w:tblpX="-15" w:tblpY="251"/>
              <w:tblW w:w="9356" w:type="dxa"/>
              <w:tblCellMar>
                <w:left w:w="70" w:type="dxa"/>
                <w:right w:w="70" w:type="dxa"/>
              </w:tblCellMar>
              <w:tblLook w:val="0000" w:firstRow="0" w:lastRow="0" w:firstColumn="0" w:lastColumn="0" w:noHBand="0" w:noVBand="0"/>
            </w:tblPr>
            <w:tblGrid>
              <w:gridCol w:w="4820"/>
              <w:gridCol w:w="4536"/>
            </w:tblGrid>
            <w:tr w:rsidR="002F024C" w:rsidRPr="00CF6FB0" w14:paraId="10DA5F75" w14:textId="77777777" w:rsidTr="00C84718">
              <w:trPr>
                <w:trHeight w:val="1980"/>
              </w:trPr>
              <w:tc>
                <w:tcPr>
                  <w:tcW w:w="4820" w:type="dxa"/>
                </w:tcPr>
                <w:p w14:paraId="74D8E91E" w14:textId="77777777" w:rsidR="002F024C" w:rsidRPr="00C67A2B" w:rsidRDefault="002F024C" w:rsidP="00B74927">
                  <w:pPr>
                    <w:ind w:right="113"/>
                    <w:jc w:val="both"/>
                    <w:rPr>
                      <w:rFonts w:ascii="Arial" w:eastAsia="Times New Roman" w:hAnsi="Arial" w:cs="Arial"/>
                      <w:bCs/>
                      <w:lang w:eastAsia="ar-SA"/>
                    </w:rPr>
                  </w:pPr>
                  <w:r w:rsidRPr="00C67A2B">
                    <w:rPr>
                      <w:rFonts w:ascii="Arial" w:eastAsia="Times New Roman" w:hAnsi="Arial" w:cs="Arial"/>
                      <w:bCs/>
                      <w:lang w:eastAsia="ar-SA"/>
                    </w:rPr>
                    <w:t>RENATO DA MOTTA ANDRADE NETO</w:t>
                  </w:r>
                </w:p>
                <w:p w14:paraId="40742034" w14:textId="77777777" w:rsidR="002F024C" w:rsidRPr="00C67A2B" w:rsidRDefault="002F024C" w:rsidP="00B74927">
                  <w:pPr>
                    <w:ind w:right="113"/>
                    <w:jc w:val="both"/>
                    <w:rPr>
                      <w:rFonts w:ascii="Arial" w:eastAsia="Times New Roman" w:hAnsi="Arial" w:cs="Arial"/>
                      <w:lang w:eastAsia="ar-SA"/>
                    </w:rPr>
                  </w:pPr>
                  <w:r w:rsidRPr="00C67A2B">
                    <w:rPr>
                      <w:rFonts w:ascii="Arial" w:eastAsia="Times New Roman" w:hAnsi="Arial" w:cs="Arial"/>
                      <w:lang w:eastAsia="ar-SA"/>
                    </w:rPr>
                    <w:t>Conselheiro Titular</w:t>
                  </w:r>
                </w:p>
              </w:tc>
              <w:tc>
                <w:tcPr>
                  <w:tcW w:w="4536" w:type="dxa"/>
                </w:tcPr>
                <w:p w14:paraId="420451EB" w14:textId="77777777" w:rsidR="002F024C" w:rsidRPr="00C67A2B" w:rsidRDefault="002F024C" w:rsidP="00B74927">
                  <w:pPr>
                    <w:ind w:right="113"/>
                    <w:jc w:val="right"/>
                    <w:rPr>
                      <w:rFonts w:ascii="Arial" w:eastAsia="Times New Roman" w:hAnsi="Arial" w:cs="Arial"/>
                    </w:rPr>
                  </w:pPr>
                  <w:r w:rsidRPr="00C67A2B">
                    <w:rPr>
                      <w:rFonts w:ascii="Arial" w:eastAsia="Times New Roman" w:hAnsi="Arial" w:cs="Arial"/>
                    </w:rPr>
                    <w:t>WAGNER PRIMO FIGUEIREDO NETO</w:t>
                  </w:r>
                </w:p>
                <w:p w14:paraId="3AC774D8" w14:textId="77777777" w:rsidR="002F024C" w:rsidRPr="00C67A2B" w:rsidRDefault="002F024C" w:rsidP="00B74927">
                  <w:pPr>
                    <w:ind w:right="113"/>
                    <w:jc w:val="right"/>
                    <w:rPr>
                      <w:rFonts w:ascii="Arial" w:eastAsia="Times New Roman" w:hAnsi="Arial" w:cs="Arial"/>
                    </w:rPr>
                  </w:pPr>
                  <w:r>
                    <w:rPr>
                      <w:rFonts w:ascii="Arial" w:eastAsia="Times New Roman" w:hAnsi="Arial" w:cs="Arial"/>
                    </w:rPr>
                    <w:t>Presidente</w:t>
                  </w:r>
                </w:p>
              </w:tc>
            </w:tr>
            <w:tr w:rsidR="002F024C" w:rsidRPr="00CF6FB0" w14:paraId="1630E9AA" w14:textId="77777777" w:rsidTr="00C84718">
              <w:trPr>
                <w:trHeight w:val="721"/>
              </w:trPr>
              <w:tc>
                <w:tcPr>
                  <w:tcW w:w="4820" w:type="dxa"/>
                </w:tcPr>
                <w:p w14:paraId="248CCEF1" w14:textId="77777777" w:rsidR="002F024C" w:rsidRPr="00CF6FB0" w:rsidRDefault="002F024C" w:rsidP="00B74927">
                  <w:pPr>
                    <w:ind w:right="113"/>
                    <w:jc w:val="both"/>
                    <w:rPr>
                      <w:rFonts w:ascii="Arial" w:eastAsia="Times New Roman" w:hAnsi="Arial" w:cs="Arial"/>
                      <w:highlight w:val="lightGray"/>
                      <w:lang w:eastAsia="ar-SA"/>
                    </w:rPr>
                  </w:pPr>
                </w:p>
              </w:tc>
              <w:tc>
                <w:tcPr>
                  <w:tcW w:w="4536" w:type="dxa"/>
                </w:tcPr>
                <w:p w14:paraId="48EBB94F" w14:textId="77777777" w:rsidR="002F024C" w:rsidRPr="00CF6FB0" w:rsidRDefault="002F024C" w:rsidP="00895910">
                  <w:pPr>
                    <w:ind w:right="113"/>
                    <w:rPr>
                      <w:rFonts w:ascii="Arial" w:eastAsia="Times New Roman" w:hAnsi="Arial" w:cs="Arial"/>
                    </w:rPr>
                  </w:pPr>
                </w:p>
              </w:tc>
            </w:tr>
          </w:tbl>
          <w:p w14:paraId="6D80C9B0" w14:textId="77777777" w:rsidR="002F024C" w:rsidRPr="001E1618" w:rsidRDefault="002F024C" w:rsidP="00B74927">
            <w:pPr>
              <w:ind w:right="113"/>
              <w:jc w:val="both"/>
              <w:rPr>
                <w:rFonts w:ascii="Arial" w:eastAsia="Times New Roman" w:hAnsi="Arial" w:cs="Arial"/>
                <w:highlight w:val="lightGray"/>
                <w:lang w:eastAsia="ar-SA"/>
              </w:rPr>
            </w:pPr>
          </w:p>
        </w:tc>
        <w:tc>
          <w:tcPr>
            <w:tcW w:w="146" w:type="dxa"/>
          </w:tcPr>
          <w:p w14:paraId="00C66837" w14:textId="77777777" w:rsidR="002F024C" w:rsidRPr="001E1618" w:rsidRDefault="002F024C" w:rsidP="00B74927">
            <w:pPr>
              <w:ind w:right="113"/>
              <w:jc w:val="right"/>
              <w:rPr>
                <w:rFonts w:ascii="Arial" w:eastAsia="Times New Roman" w:hAnsi="Arial" w:cs="Arial"/>
              </w:rPr>
            </w:pPr>
          </w:p>
        </w:tc>
      </w:tr>
    </w:tbl>
    <w:p w14:paraId="3D687FA9" w14:textId="77777777" w:rsidR="002F024C" w:rsidRPr="00BB03D6" w:rsidRDefault="002F024C" w:rsidP="002F024C">
      <w:pPr>
        <w:tabs>
          <w:tab w:val="left" w:pos="3690"/>
        </w:tabs>
      </w:pPr>
    </w:p>
    <w:p w14:paraId="31617275" w14:textId="77777777" w:rsidR="008C7D45" w:rsidRDefault="008C7D45">
      <w:pPr>
        <w:rPr>
          <w:rFonts w:ascii="CAIXA Std Book" w:hAnsi="CAIXA Std Book"/>
          <w:b/>
          <w:color w:val="005CA9"/>
        </w:rPr>
        <w:sectPr w:rsidR="008C7D45" w:rsidSect="007B00EE">
          <w:headerReference w:type="default" r:id="rId106"/>
          <w:footerReference w:type="default" r:id="rId107"/>
          <w:pgSz w:w="11920" w:h="16850"/>
          <w:pgMar w:top="2000" w:right="1133" w:bottom="1140" w:left="1700" w:header="1408" w:footer="954" w:gutter="0"/>
          <w:cols w:space="720"/>
        </w:sectPr>
      </w:pPr>
      <w:bookmarkStart w:id="181" w:name="_Toc229588516"/>
      <w:bookmarkEnd w:id="177"/>
      <w:bookmarkEnd w:id="178"/>
    </w:p>
    <w:p w14:paraId="36BEECD7" w14:textId="536CACBE" w:rsidR="00625850" w:rsidRPr="003D48E2" w:rsidRDefault="00625850" w:rsidP="00625850">
      <w:pPr>
        <w:tabs>
          <w:tab w:val="center" w:pos="7285"/>
        </w:tabs>
        <w:spacing w:before="240" w:after="240"/>
        <w:jc w:val="both"/>
        <w:outlineLvl w:val="0"/>
        <w:rPr>
          <w:rFonts w:ascii="CAIXA Std Book" w:hAnsi="CAIXA Std Book"/>
          <w:b/>
          <w:color w:val="005CA9"/>
        </w:rPr>
      </w:pPr>
      <w:r w:rsidRPr="003D48E2">
        <w:rPr>
          <w:rFonts w:ascii="CAIXA Std Book" w:hAnsi="CAIXA Std Book"/>
          <w:b/>
          <w:color w:val="005CA9"/>
        </w:rPr>
        <w:t>Relatório do Auditor Independente</w:t>
      </w:r>
      <w:bookmarkEnd w:id="181"/>
    </w:p>
    <w:p w14:paraId="4C9B3F4B" w14:textId="77777777" w:rsidR="002D0770" w:rsidRPr="002D0770" w:rsidRDefault="002D0770" w:rsidP="002D0770">
      <w:pPr>
        <w:widowControl w:val="0"/>
        <w:autoSpaceDE w:val="0"/>
        <w:autoSpaceDN w:val="0"/>
        <w:spacing w:before="57"/>
        <w:rPr>
          <w:rFonts w:ascii="Times New Roman" w:eastAsia="Arial" w:hAnsi="Arial" w:cs="Arial"/>
          <w:sz w:val="20"/>
          <w:szCs w:val="20"/>
          <w:lang w:val="pt-PT" w:eastAsia="en-US"/>
        </w:rPr>
      </w:pPr>
    </w:p>
    <w:p w14:paraId="7AD80CF7" w14:textId="77777777" w:rsidR="002D0770" w:rsidRPr="002D0770" w:rsidRDefault="002D0770" w:rsidP="002D0770">
      <w:pPr>
        <w:widowControl w:val="0"/>
        <w:autoSpaceDE w:val="0"/>
        <w:autoSpaceDN w:val="0"/>
        <w:ind w:left="906"/>
        <w:rPr>
          <w:rFonts w:ascii="Arial" w:eastAsia="Arial" w:hAnsi="Arial" w:cs="Arial"/>
          <w:sz w:val="20"/>
          <w:szCs w:val="20"/>
          <w:lang w:val="pt-PT" w:eastAsia="en-US"/>
        </w:rPr>
      </w:pPr>
      <w:r w:rsidRPr="002D0770">
        <w:rPr>
          <w:rFonts w:ascii="Arial" w:eastAsia="Arial" w:hAnsi="Arial" w:cs="Arial"/>
          <w:sz w:val="20"/>
          <w:szCs w:val="20"/>
          <w:lang w:val="pt-PT" w:eastAsia="en-US"/>
        </w:rPr>
        <w:t>KPMG</w:t>
      </w:r>
      <w:r w:rsidRPr="002D0770">
        <w:rPr>
          <w:rFonts w:ascii="Arial" w:eastAsia="Arial" w:hAnsi="Arial" w:cs="Arial"/>
          <w:spacing w:val="-11"/>
          <w:sz w:val="20"/>
          <w:szCs w:val="20"/>
          <w:lang w:val="pt-PT" w:eastAsia="en-US"/>
        </w:rPr>
        <w:t xml:space="preserve"> </w:t>
      </w:r>
      <w:r w:rsidRPr="002D0770">
        <w:rPr>
          <w:rFonts w:ascii="Arial" w:eastAsia="Arial" w:hAnsi="Arial" w:cs="Arial"/>
          <w:sz w:val="20"/>
          <w:szCs w:val="20"/>
          <w:lang w:val="pt-PT" w:eastAsia="en-US"/>
        </w:rPr>
        <w:t>Auditores</w:t>
      </w:r>
      <w:r w:rsidRPr="002D0770">
        <w:rPr>
          <w:rFonts w:ascii="Arial" w:eastAsia="Arial" w:hAnsi="Arial" w:cs="Arial"/>
          <w:spacing w:val="-10"/>
          <w:sz w:val="20"/>
          <w:szCs w:val="20"/>
          <w:lang w:val="pt-PT" w:eastAsia="en-US"/>
        </w:rPr>
        <w:t xml:space="preserve"> </w:t>
      </w:r>
      <w:r w:rsidRPr="002D0770">
        <w:rPr>
          <w:rFonts w:ascii="Arial" w:eastAsia="Arial" w:hAnsi="Arial" w:cs="Arial"/>
          <w:sz w:val="20"/>
          <w:szCs w:val="20"/>
          <w:lang w:val="pt-PT" w:eastAsia="en-US"/>
        </w:rPr>
        <w:t>Independentes</w:t>
      </w:r>
      <w:r w:rsidRPr="002D0770">
        <w:rPr>
          <w:rFonts w:ascii="Arial" w:eastAsia="Arial" w:hAnsi="Arial" w:cs="Arial"/>
          <w:spacing w:val="-9"/>
          <w:sz w:val="20"/>
          <w:szCs w:val="20"/>
          <w:lang w:val="pt-PT" w:eastAsia="en-US"/>
        </w:rPr>
        <w:t xml:space="preserve"> </w:t>
      </w:r>
      <w:r w:rsidRPr="002D0770">
        <w:rPr>
          <w:rFonts w:ascii="Arial" w:eastAsia="Arial" w:hAnsi="Arial" w:cs="Arial"/>
          <w:spacing w:val="-2"/>
          <w:sz w:val="20"/>
          <w:szCs w:val="20"/>
          <w:lang w:val="pt-PT" w:eastAsia="en-US"/>
        </w:rPr>
        <w:t>Ltda.</w:t>
      </w:r>
    </w:p>
    <w:p w14:paraId="4D764F13" w14:textId="77777777" w:rsidR="002D0770" w:rsidRPr="002D0770" w:rsidRDefault="002D0770" w:rsidP="002D0770">
      <w:pPr>
        <w:widowControl w:val="0"/>
        <w:autoSpaceDE w:val="0"/>
        <w:autoSpaceDN w:val="0"/>
        <w:spacing w:before="90" w:line="333" w:lineRule="auto"/>
        <w:ind w:left="906" w:right="2223"/>
        <w:rPr>
          <w:rFonts w:ascii="Arial" w:eastAsia="Arial" w:hAnsi="Arial" w:cs="Arial"/>
          <w:sz w:val="20"/>
          <w:szCs w:val="20"/>
          <w:lang w:val="pt-PT" w:eastAsia="en-US"/>
        </w:rPr>
      </w:pPr>
      <w:r w:rsidRPr="002D0770">
        <w:rPr>
          <w:rFonts w:ascii="Arial" w:eastAsia="Arial" w:hAnsi="Arial" w:cs="Arial"/>
          <w:sz w:val="20"/>
          <w:szCs w:val="20"/>
          <w:lang w:val="pt-PT" w:eastAsia="en-US"/>
        </w:rPr>
        <w:t>SAI/SO,</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Área</w:t>
      </w:r>
      <w:r w:rsidRPr="002D0770">
        <w:rPr>
          <w:rFonts w:ascii="Arial" w:eastAsia="Arial" w:hAnsi="Arial" w:cs="Arial"/>
          <w:spacing w:val="-3"/>
          <w:sz w:val="20"/>
          <w:szCs w:val="20"/>
          <w:lang w:val="pt-PT" w:eastAsia="en-US"/>
        </w:rPr>
        <w:t xml:space="preserve"> </w:t>
      </w:r>
      <w:r w:rsidRPr="002D0770">
        <w:rPr>
          <w:rFonts w:ascii="Arial" w:eastAsia="Arial" w:hAnsi="Arial" w:cs="Arial"/>
          <w:sz w:val="20"/>
          <w:szCs w:val="20"/>
          <w:lang w:val="pt-PT" w:eastAsia="en-US"/>
        </w:rPr>
        <w:t>6580</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w:t>
      </w:r>
      <w:r w:rsidRPr="002D0770">
        <w:rPr>
          <w:rFonts w:ascii="Arial" w:eastAsia="Arial" w:hAnsi="Arial" w:cs="Arial"/>
          <w:spacing w:val="-3"/>
          <w:sz w:val="20"/>
          <w:szCs w:val="20"/>
          <w:lang w:val="pt-PT" w:eastAsia="en-US"/>
        </w:rPr>
        <w:t xml:space="preserve"> </w:t>
      </w:r>
      <w:r w:rsidRPr="002D0770">
        <w:rPr>
          <w:rFonts w:ascii="Arial" w:eastAsia="Arial" w:hAnsi="Arial" w:cs="Arial"/>
          <w:sz w:val="20"/>
          <w:szCs w:val="20"/>
          <w:lang w:val="pt-PT" w:eastAsia="en-US"/>
        </w:rPr>
        <w:t>Bloco</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02,</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3º</w:t>
      </w:r>
      <w:r w:rsidRPr="002D0770">
        <w:rPr>
          <w:rFonts w:ascii="Arial" w:eastAsia="Arial" w:hAnsi="Arial" w:cs="Arial"/>
          <w:spacing w:val="-5"/>
          <w:sz w:val="20"/>
          <w:szCs w:val="20"/>
          <w:lang w:val="pt-PT" w:eastAsia="en-US"/>
        </w:rPr>
        <w:t xml:space="preserve"> </w:t>
      </w:r>
      <w:r w:rsidRPr="002D0770">
        <w:rPr>
          <w:rFonts w:ascii="Arial" w:eastAsia="Arial" w:hAnsi="Arial" w:cs="Arial"/>
          <w:sz w:val="20"/>
          <w:szCs w:val="20"/>
          <w:lang w:val="pt-PT" w:eastAsia="en-US"/>
        </w:rPr>
        <w:t>andar,</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sala</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302 -</w:t>
      </w:r>
      <w:r w:rsidRPr="002D0770">
        <w:rPr>
          <w:rFonts w:ascii="Arial" w:eastAsia="Arial" w:hAnsi="Arial" w:cs="Arial"/>
          <w:spacing w:val="-3"/>
          <w:sz w:val="20"/>
          <w:szCs w:val="20"/>
          <w:lang w:val="pt-PT" w:eastAsia="en-US"/>
        </w:rPr>
        <w:t xml:space="preserve"> </w:t>
      </w:r>
      <w:r w:rsidRPr="002D0770">
        <w:rPr>
          <w:rFonts w:ascii="Arial" w:eastAsia="Arial" w:hAnsi="Arial" w:cs="Arial"/>
          <w:sz w:val="20"/>
          <w:szCs w:val="20"/>
          <w:lang w:val="pt-PT" w:eastAsia="en-US"/>
        </w:rPr>
        <w:t>Torre</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Norte ParkShopping - Zona Industrial (Guará)</w:t>
      </w:r>
    </w:p>
    <w:p w14:paraId="4EC462BE" w14:textId="77777777" w:rsidR="002D0770" w:rsidRPr="002D0770" w:rsidRDefault="002D0770" w:rsidP="002D0770">
      <w:pPr>
        <w:widowControl w:val="0"/>
        <w:autoSpaceDE w:val="0"/>
        <w:autoSpaceDN w:val="0"/>
        <w:spacing w:before="1" w:line="333" w:lineRule="auto"/>
        <w:ind w:left="906" w:right="2223"/>
        <w:rPr>
          <w:rFonts w:ascii="Arial" w:eastAsia="Arial" w:hAnsi="Arial" w:cs="Arial"/>
          <w:sz w:val="20"/>
          <w:szCs w:val="20"/>
          <w:lang w:val="pt-PT" w:eastAsia="en-US"/>
        </w:rPr>
      </w:pPr>
      <w:r w:rsidRPr="002D0770">
        <w:rPr>
          <w:rFonts w:ascii="Arial" w:eastAsia="Arial" w:hAnsi="Arial" w:cs="Arial"/>
          <w:sz w:val="20"/>
          <w:szCs w:val="20"/>
          <w:lang w:val="pt-PT" w:eastAsia="en-US"/>
        </w:rPr>
        <w:t>Caixa</w:t>
      </w:r>
      <w:r w:rsidRPr="002D0770">
        <w:rPr>
          <w:rFonts w:ascii="Arial" w:eastAsia="Arial" w:hAnsi="Arial" w:cs="Arial"/>
          <w:spacing w:val="-3"/>
          <w:sz w:val="20"/>
          <w:szCs w:val="20"/>
          <w:lang w:val="pt-PT" w:eastAsia="en-US"/>
        </w:rPr>
        <w:t xml:space="preserve"> </w:t>
      </w:r>
      <w:r w:rsidRPr="002D0770">
        <w:rPr>
          <w:rFonts w:ascii="Arial" w:eastAsia="Arial" w:hAnsi="Arial" w:cs="Arial"/>
          <w:sz w:val="20"/>
          <w:szCs w:val="20"/>
          <w:lang w:val="pt-PT" w:eastAsia="en-US"/>
        </w:rPr>
        <w:t>Postal</w:t>
      </w:r>
      <w:r w:rsidRPr="002D0770">
        <w:rPr>
          <w:rFonts w:ascii="Arial" w:eastAsia="Arial" w:hAnsi="Arial" w:cs="Arial"/>
          <w:spacing w:val="-6"/>
          <w:sz w:val="20"/>
          <w:szCs w:val="20"/>
          <w:lang w:val="pt-PT" w:eastAsia="en-US"/>
        </w:rPr>
        <w:t xml:space="preserve"> </w:t>
      </w:r>
      <w:r w:rsidRPr="002D0770">
        <w:rPr>
          <w:rFonts w:ascii="Arial" w:eastAsia="Arial" w:hAnsi="Arial" w:cs="Arial"/>
          <w:sz w:val="20"/>
          <w:szCs w:val="20"/>
          <w:lang w:val="pt-PT" w:eastAsia="en-US"/>
        </w:rPr>
        <w:t>11619</w:t>
      </w:r>
      <w:r w:rsidRPr="002D0770">
        <w:rPr>
          <w:rFonts w:ascii="Arial" w:eastAsia="Arial" w:hAnsi="Arial" w:cs="Arial"/>
          <w:spacing w:val="-3"/>
          <w:sz w:val="20"/>
          <w:szCs w:val="20"/>
          <w:lang w:val="pt-PT" w:eastAsia="en-US"/>
        </w:rPr>
        <w:t xml:space="preserve"> </w:t>
      </w:r>
      <w:r w:rsidRPr="002D0770">
        <w:rPr>
          <w:rFonts w:ascii="Arial" w:eastAsia="Arial" w:hAnsi="Arial" w:cs="Arial"/>
          <w:sz w:val="20"/>
          <w:szCs w:val="20"/>
          <w:lang w:val="pt-PT" w:eastAsia="en-US"/>
        </w:rPr>
        <w:t>-</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CEP:</w:t>
      </w:r>
      <w:r w:rsidRPr="002D0770">
        <w:rPr>
          <w:rFonts w:ascii="Arial" w:eastAsia="Arial" w:hAnsi="Arial" w:cs="Arial"/>
          <w:spacing w:val="-3"/>
          <w:sz w:val="20"/>
          <w:szCs w:val="20"/>
          <w:lang w:val="pt-PT" w:eastAsia="en-US"/>
        </w:rPr>
        <w:t xml:space="preserve"> </w:t>
      </w:r>
      <w:r w:rsidRPr="002D0770">
        <w:rPr>
          <w:rFonts w:ascii="Arial" w:eastAsia="Arial" w:hAnsi="Arial" w:cs="Arial"/>
          <w:sz w:val="20"/>
          <w:szCs w:val="20"/>
          <w:lang w:val="pt-PT" w:eastAsia="en-US"/>
        </w:rPr>
        <w:t>71219-900</w:t>
      </w:r>
      <w:r w:rsidRPr="002D0770">
        <w:rPr>
          <w:rFonts w:ascii="Arial" w:eastAsia="Arial" w:hAnsi="Arial" w:cs="Arial"/>
          <w:spacing w:val="-5"/>
          <w:sz w:val="20"/>
          <w:szCs w:val="20"/>
          <w:lang w:val="pt-PT" w:eastAsia="en-US"/>
        </w:rPr>
        <w:t xml:space="preserve"> </w:t>
      </w:r>
      <w:r w:rsidRPr="002D0770">
        <w:rPr>
          <w:rFonts w:ascii="Arial" w:eastAsia="Arial" w:hAnsi="Arial" w:cs="Arial"/>
          <w:sz w:val="20"/>
          <w:szCs w:val="20"/>
          <w:lang w:val="pt-PT" w:eastAsia="en-US"/>
        </w:rPr>
        <w:t>-</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Brasília/DF</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Brasil Telefone +55 (61) 3362 3700</w:t>
      </w:r>
    </w:p>
    <w:p w14:paraId="5F0D00DE" w14:textId="77777777" w:rsidR="002D0770" w:rsidRPr="002D0770" w:rsidRDefault="002D0770" w:rsidP="002D0770">
      <w:pPr>
        <w:widowControl w:val="0"/>
        <w:autoSpaceDE w:val="0"/>
        <w:autoSpaceDN w:val="0"/>
        <w:spacing w:line="230" w:lineRule="exact"/>
        <w:ind w:left="906"/>
        <w:rPr>
          <w:rFonts w:ascii="Arial" w:eastAsia="Arial" w:hAnsi="Arial" w:cs="Arial"/>
          <w:sz w:val="20"/>
          <w:szCs w:val="20"/>
          <w:lang w:val="pt-PT" w:eastAsia="en-US"/>
        </w:rPr>
      </w:pPr>
      <w:r w:rsidRPr="002D0770">
        <w:rPr>
          <w:rFonts w:ascii="Arial" w:eastAsia="Arial" w:hAnsi="Arial" w:cs="Arial"/>
          <w:spacing w:val="-2"/>
          <w:sz w:val="20"/>
          <w:szCs w:val="20"/>
          <w:lang w:val="pt-PT" w:eastAsia="en-US"/>
        </w:rPr>
        <w:t>kpmg.com.br</w:t>
      </w:r>
    </w:p>
    <w:p w14:paraId="10E7296E" w14:textId="77777777" w:rsidR="002D0770" w:rsidRPr="002D0770" w:rsidRDefault="002D0770" w:rsidP="002D0770">
      <w:pPr>
        <w:widowControl w:val="0"/>
        <w:autoSpaceDE w:val="0"/>
        <w:autoSpaceDN w:val="0"/>
        <w:rPr>
          <w:rFonts w:ascii="Arial" w:eastAsia="Arial" w:hAnsi="Arial" w:cs="Arial"/>
          <w:sz w:val="20"/>
          <w:szCs w:val="20"/>
          <w:lang w:val="pt-PT" w:eastAsia="en-US"/>
        </w:rPr>
      </w:pPr>
    </w:p>
    <w:p w14:paraId="0F2D2034" w14:textId="5C19D0FC" w:rsidR="002D0770" w:rsidRPr="008C5526" w:rsidRDefault="00DF6BC1" w:rsidP="00912A62">
      <w:pPr>
        <w:widowControl w:val="0"/>
        <w:autoSpaceDE w:val="0"/>
        <w:autoSpaceDN w:val="0"/>
        <w:spacing w:before="240"/>
        <w:ind w:left="907" w:right="459"/>
        <w:jc w:val="both"/>
        <w:rPr>
          <w:rFonts w:ascii="Arial" w:eastAsia="Arial" w:hAnsi="Arial" w:cs="Arial"/>
          <w:b/>
          <w:bCs/>
          <w:sz w:val="32"/>
          <w:szCs w:val="32"/>
          <w:lang w:val="pt-PT" w:eastAsia="en-US"/>
        </w:rPr>
      </w:pPr>
      <w:r w:rsidRPr="008C5526">
        <w:rPr>
          <w:rFonts w:ascii="Arial" w:eastAsia="Arial" w:hAnsi="Arial" w:cs="Arial"/>
          <w:b/>
          <w:bCs/>
          <w:sz w:val="32"/>
          <w:szCs w:val="32"/>
          <w:lang w:val="pt-PT" w:eastAsia="en-US"/>
        </w:rPr>
        <w:t>Relatório das demonstrações contábeis individuais e consolidadas intermediárias condensadas</w:t>
      </w:r>
    </w:p>
    <w:p w14:paraId="66513A22" w14:textId="77777777" w:rsidR="007C272C" w:rsidRPr="002D0770" w:rsidRDefault="007C272C" w:rsidP="002D0770">
      <w:pPr>
        <w:widowControl w:val="0"/>
        <w:autoSpaceDE w:val="0"/>
        <w:autoSpaceDN w:val="0"/>
        <w:spacing w:before="83"/>
        <w:rPr>
          <w:rFonts w:ascii="Arial" w:eastAsia="Arial" w:hAnsi="Arial" w:cs="Arial"/>
          <w:sz w:val="20"/>
          <w:szCs w:val="20"/>
          <w:lang w:val="pt-PT" w:eastAsia="en-US"/>
        </w:rPr>
      </w:pPr>
    </w:p>
    <w:p w14:paraId="7823519E" w14:textId="77777777" w:rsidR="002D0770" w:rsidRPr="002D0770" w:rsidRDefault="002D0770" w:rsidP="002D0770">
      <w:pPr>
        <w:widowControl w:val="0"/>
        <w:autoSpaceDE w:val="0"/>
        <w:autoSpaceDN w:val="0"/>
        <w:ind w:left="906"/>
        <w:rPr>
          <w:rFonts w:ascii="Arial" w:eastAsia="Arial" w:hAnsi="Arial" w:cs="Arial"/>
          <w:sz w:val="20"/>
          <w:szCs w:val="20"/>
          <w:lang w:val="pt-PT" w:eastAsia="en-US"/>
        </w:rPr>
      </w:pPr>
      <w:r w:rsidRPr="002D0770">
        <w:rPr>
          <w:rFonts w:ascii="Arial" w:eastAsia="Arial" w:hAnsi="Arial" w:cs="Arial"/>
          <w:spacing w:val="-5"/>
          <w:sz w:val="20"/>
          <w:szCs w:val="20"/>
          <w:lang w:val="pt-PT" w:eastAsia="en-US"/>
        </w:rPr>
        <w:t>Aos</w:t>
      </w:r>
    </w:p>
    <w:p w14:paraId="7DFF2310" w14:textId="77777777" w:rsidR="002D0770" w:rsidRPr="002D0770" w:rsidRDefault="002D0770" w:rsidP="002D0770">
      <w:pPr>
        <w:widowControl w:val="0"/>
        <w:autoSpaceDE w:val="0"/>
        <w:autoSpaceDN w:val="0"/>
        <w:spacing w:before="1" w:line="229" w:lineRule="exact"/>
        <w:ind w:left="906"/>
        <w:rPr>
          <w:rFonts w:ascii="Arial" w:eastAsia="Arial" w:hAnsi="Arial" w:cs="Arial"/>
          <w:sz w:val="20"/>
          <w:szCs w:val="20"/>
          <w:lang w:val="pt-PT" w:eastAsia="en-US"/>
        </w:rPr>
      </w:pPr>
      <w:r w:rsidRPr="002D0770">
        <w:rPr>
          <w:rFonts w:ascii="Arial" w:eastAsia="Arial" w:hAnsi="Arial" w:cs="Arial"/>
          <w:sz w:val="20"/>
          <w:szCs w:val="20"/>
          <w:lang w:val="pt-PT" w:eastAsia="en-US"/>
        </w:rPr>
        <w:t>Acionistas,</w:t>
      </w:r>
      <w:r w:rsidRPr="002D0770">
        <w:rPr>
          <w:rFonts w:ascii="Arial" w:eastAsia="Arial" w:hAnsi="Arial" w:cs="Arial"/>
          <w:spacing w:val="-11"/>
          <w:sz w:val="20"/>
          <w:szCs w:val="20"/>
          <w:lang w:val="pt-PT" w:eastAsia="en-US"/>
        </w:rPr>
        <w:t xml:space="preserve"> </w:t>
      </w:r>
      <w:r w:rsidRPr="002D0770">
        <w:rPr>
          <w:rFonts w:ascii="Arial" w:eastAsia="Arial" w:hAnsi="Arial" w:cs="Arial"/>
          <w:sz w:val="20"/>
          <w:szCs w:val="20"/>
          <w:lang w:val="pt-PT" w:eastAsia="en-US"/>
        </w:rPr>
        <w:t>Conselho</w:t>
      </w:r>
      <w:r w:rsidRPr="002D0770">
        <w:rPr>
          <w:rFonts w:ascii="Arial" w:eastAsia="Arial" w:hAnsi="Arial" w:cs="Arial"/>
          <w:spacing w:val="-9"/>
          <w:sz w:val="20"/>
          <w:szCs w:val="20"/>
          <w:lang w:val="pt-PT" w:eastAsia="en-US"/>
        </w:rPr>
        <w:t xml:space="preserve"> </w:t>
      </w:r>
      <w:r w:rsidRPr="002D0770">
        <w:rPr>
          <w:rFonts w:ascii="Arial" w:eastAsia="Arial" w:hAnsi="Arial" w:cs="Arial"/>
          <w:sz w:val="20"/>
          <w:szCs w:val="20"/>
          <w:lang w:val="pt-PT" w:eastAsia="en-US"/>
        </w:rPr>
        <w:t>de</w:t>
      </w:r>
      <w:r w:rsidRPr="002D0770">
        <w:rPr>
          <w:rFonts w:ascii="Arial" w:eastAsia="Arial" w:hAnsi="Arial" w:cs="Arial"/>
          <w:spacing w:val="-9"/>
          <w:sz w:val="20"/>
          <w:szCs w:val="20"/>
          <w:lang w:val="pt-PT" w:eastAsia="en-US"/>
        </w:rPr>
        <w:t xml:space="preserve"> </w:t>
      </w:r>
      <w:r w:rsidRPr="002D0770">
        <w:rPr>
          <w:rFonts w:ascii="Arial" w:eastAsia="Arial" w:hAnsi="Arial" w:cs="Arial"/>
          <w:sz w:val="20"/>
          <w:szCs w:val="20"/>
          <w:lang w:val="pt-PT" w:eastAsia="en-US"/>
        </w:rPr>
        <w:t>Administração</w:t>
      </w:r>
      <w:r w:rsidRPr="002D0770">
        <w:rPr>
          <w:rFonts w:ascii="Arial" w:eastAsia="Arial" w:hAnsi="Arial" w:cs="Arial"/>
          <w:spacing w:val="-10"/>
          <w:sz w:val="20"/>
          <w:szCs w:val="20"/>
          <w:lang w:val="pt-PT" w:eastAsia="en-US"/>
        </w:rPr>
        <w:t xml:space="preserve"> </w:t>
      </w:r>
      <w:r w:rsidRPr="002D0770">
        <w:rPr>
          <w:rFonts w:ascii="Arial" w:eastAsia="Arial" w:hAnsi="Arial" w:cs="Arial"/>
          <w:sz w:val="20"/>
          <w:szCs w:val="20"/>
          <w:lang w:val="pt-PT" w:eastAsia="en-US"/>
        </w:rPr>
        <w:t>e</w:t>
      </w:r>
      <w:r w:rsidRPr="002D0770">
        <w:rPr>
          <w:rFonts w:ascii="Arial" w:eastAsia="Arial" w:hAnsi="Arial" w:cs="Arial"/>
          <w:spacing w:val="-10"/>
          <w:sz w:val="20"/>
          <w:szCs w:val="20"/>
          <w:lang w:val="pt-PT" w:eastAsia="en-US"/>
        </w:rPr>
        <w:t xml:space="preserve"> </w:t>
      </w:r>
      <w:r w:rsidRPr="002D0770">
        <w:rPr>
          <w:rFonts w:ascii="Arial" w:eastAsia="Arial" w:hAnsi="Arial" w:cs="Arial"/>
          <w:sz w:val="20"/>
          <w:szCs w:val="20"/>
          <w:lang w:val="pt-PT" w:eastAsia="en-US"/>
        </w:rPr>
        <w:t>aos</w:t>
      </w:r>
      <w:r w:rsidRPr="002D0770">
        <w:rPr>
          <w:rFonts w:ascii="Arial" w:eastAsia="Arial" w:hAnsi="Arial" w:cs="Arial"/>
          <w:spacing w:val="-8"/>
          <w:sz w:val="20"/>
          <w:szCs w:val="20"/>
          <w:lang w:val="pt-PT" w:eastAsia="en-US"/>
        </w:rPr>
        <w:t xml:space="preserve"> </w:t>
      </w:r>
      <w:r w:rsidRPr="002D0770">
        <w:rPr>
          <w:rFonts w:ascii="Arial" w:eastAsia="Arial" w:hAnsi="Arial" w:cs="Arial"/>
          <w:sz w:val="20"/>
          <w:szCs w:val="20"/>
          <w:lang w:val="pt-PT" w:eastAsia="en-US"/>
        </w:rPr>
        <w:t>Administradores</w:t>
      </w:r>
      <w:r w:rsidRPr="002D0770">
        <w:rPr>
          <w:rFonts w:ascii="Arial" w:eastAsia="Arial" w:hAnsi="Arial" w:cs="Arial"/>
          <w:spacing w:val="-8"/>
          <w:sz w:val="20"/>
          <w:szCs w:val="20"/>
          <w:lang w:val="pt-PT" w:eastAsia="en-US"/>
        </w:rPr>
        <w:t xml:space="preserve"> </w:t>
      </w:r>
      <w:r w:rsidRPr="002D0770">
        <w:rPr>
          <w:rFonts w:ascii="Arial" w:eastAsia="Arial" w:hAnsi="Arial" w:cs="Arial"/>
          <w:spacing w:val="-5"/>
          <w:sz w:val="20"/>
          <w:szCs w:val="20"/>
          <w:lang w:val="pt-PT" w:eastAsia="en-US"/>
        </w:rPr>
        <w:t>da</w:t>
      </w:r>
    </w:p>
    <w:p w14:paraId="3FF12901" w14:textId="77777777" w:rsidR="002D0770" w:rsidRPr="00BE0C56" w:rsidRDefault="002D0770" w:rsidP="00BE0C56">
      <w:pPr>
        <w:widowControl w:val="0"/>
        <w:autoSpaceDE w:val="0"/>
        <w:autoSpaceDN w:val="0"/>
        <w:spacing w:before="1" w:line="229" w:lineRule="exact"/>
        <w:ind w:left="906"/>
        <w:rPr>
          <w:rFonts w:ascii="Arial" w:eastAsia="Arial" w:hAnsi="Arial" w:cs="Arial"/>
          <w:b/>
          <w:bCs/>
          <w:sz w:val="22"/>
          <w:szCs w:val="22"/>
          <w:lang w:val="pt-PT" w:eastAsia="en-US"/>
        </w:rPr>
      </w:pPr>
      <w:r w:rsidRPr="00BE0C56">
        <w:rPr>
          <w:rFonts w:ascii="Arial" w:eastAsia="Arial" w:hAnsi="Arial" w:cs="Arial"/>
          <w:b/>
          <w:bCs/>
          <w:sz w:val="22"/>
          <w:szCs w:val="22"/>
          <w:lang w:val="pt-PT" w:eastAsia="en-US"/>
        </w:rPr>
        <w:t>Caixa Econômica Federal - CAIXA</w:t>
      </w:r>
    </w:p>
    <w:p w14:paraId="21BEDF83" w14:textId="77777777" w:rsidR="002D0770" w:rsidRPr="002D0770" w:rsidRDefault="002D0770" w:rsidP="002D0770">
      <w:pPr>
        <w:widowControl w:val="0"/>
        <w:autoSpaceDE w:val="0"/>
        <w:autoSpaceDN w:val="0"/>
        <w:ind w:left="906"/>
        <w:rPr>
          <w:rFonts w:ascii="Arial" w:eastAsia="Arial" w:hAnsi="Arial" w:cs="Arial"/>
          <w:sz w:val="20"/>
          <w:szCs w:val="20"/>
          <w:lang w:val="pt-PT" w:eastAsia="en-US"/>
        </w:rPr>
      </w:pPr>
      <w:r w:rsidRPr="002D0770">
        <w:rPr>
          <w:rFonts w:ascii="Arial" w:eastAsia="Arial" w:hAnsi="Arial" w:cs="Arial"/>
          <w:sz w:val="20"/>
          <w:szCs w:val="20"/>
          <w:lang w:val="pt-PT" w:eastAsia="en-US"/>
        </w:rPr>
        <w:t>Brasília</w:t>
      </w:r>
      <w:r w:rsidRPr="002D0770">
        <w:rPr>
          <w:rFonts w:ascii="Arial" w:eastAsia="Arial" w:hAnsi="Arial" w:cs="Arial"/>
          <w:spacing w:val="-6"/>
          <w:sz w:val="20"/>
          <w:szCs w:val="20"/>
          <w:lang w:val="pt-PT" w:eastAsia="en-US"/>
        </w:rPr>
        <w:t xml:space="preserve"> </w:t>
      </w:r>
      <w:r w:rsidRPr="002D0770">
        <w:rPr>
          <w:rFonts w:ascii="Arial" w:eastAsia="Arial" w:hAnsi="Arial" w:cs="Arial"/>
          <w:sz w:val="20"/>
          <w:szCs w:val="20"/>
          <w:lang w:val="pt-PT" w:eastAsia="en-US"/>
        </w:rPr>
        <w:t>–</w:t>
      </w:r>
      <w:r w:rsidRPr="002D0770">
        <w:rPr>
          <w:rFonts w:ascii="Arial" w:eastAsia="Arial" w:hAnsi="Arial" w:cs="Arial"/>
          <w:spacing w:val="-5"/>
          <w:sz w:val="20"/>
          <w:szCs w:val="20"/>
          <w:lang w:val="pt-PT" w:eastAsia="en-US"/>
        </w:rPr>
        <w:t xml:space="preserve"> DF</w:t>
      </w:r>
    </w:p>
    <w:p w14:paraId="32915764" w14:textId="77777777" w:rsidR="002D0770" w:rsidRPr="002D0770" w:rsidRDefault="002D0770" w:rsidP="002D0770">
      <w:pPr>
        <w:widowControl w:val="0"/>
        <w:autoSpaceDE w:val="0"/>
        <w:autoSpaceDN w:val="0"/>
        <w:rPr>
          <w:rFonts w:ascii="Arial" w:eastAsia="Arial" w:hAnsi="Arial" w:cs="Arial"/>
          <w:sz w:val="20"/>
          <w:szCs w:val="20"/>
          <w:lang w:val="pt-PT" w:eastAsia="en-US"/>
        </w:rPr>
      </w:pPr>
    </w:p>
    <w:p w14:paraId="0CD27704" w14:textId="77777777" w:rsidR="002D0770" w:rsidRPr="002D0770" w:rsidRDefault="002D0770" w:rsidP="002D0770">
      <w:pPr>
        <w:widowControl w:val="0"/>
        <w:autoSpaceDE w:val="0"/>
        <w:autoSpaceDN w:val="0"/>
        <w:spacing w:before="163"/>
        <w:rPr>
          <w:rFonts w:ascii="Arial" w:eastAsia="Arial" w:hAnsi="Arial" w:cs="Arial"/>
          <w:sz w:val="20"/>
          <w:szCs w:val="20"/>
          <w:lang w:val="pt-PT" w:eastAsia="en-US"/>
        </w:rPr>
      </w:pPr>
    </w:p>
    <w:p w14:paraId="012C8636" w14:textId="77777777" w:rsidR="002D0770" w:rsidRPr="00BE0C56" w:rsidRDefault="002D0770" w:rsidP="00BE0C56">
      <w:pPr>
        <w:widowControl w:val="0"/>
        <w:autoSpaceDE w:val="0"/>
        <w:autoSpaceDN w:val="0"/>
        <w:ind w:left="906" w:right="462"/>
        <w:rPr>
          <w:rFonts w:ascii="Arial" w:eastAsia="Arial" w:hAnsi="Arial" w:cs="Arial"/>
          <w:b/>
          <w:bCs/>
          <w:sz w:val="22"/>
          <w:szCs w:val="22"/>
          <w:lang w:val="pt-PT" w:eastAsia="en-US"/>
        </w:rPr>
      </w:pPr>
      <w:r w:rsidRPr="00BE0C56">
        <w:rPr>
          <w:rFonts w:ascii="Arial" w:eastAsia="Arial" w:hAnsi="Arial" w:cs="Arial"/>
          <w:b/>
          <w:bCs/>
          <w:sz w:val="22"/>
          <w:szCs w:val="22"/>
          <w:lang w:val="pt-PT" w:eastAsia="en-US"/>
        </w:rPr>
        <w:t>Introdução</w:t>
      </w:r>
    </w:p>
    <w:p w14:paraId="24256A1C" w14:textId="77777777" w:rsidR="002D0770" w:rsidRPr="002D0770" w:rsidRDefault="002D0770" w:rsidP="002D0770">
      <w:pPr>
        <w:widowControl w:val="0"/>
        <w:autoSpaceDE w:val="0"/>
        <w:autoSpaceDN w:val="0"/>
        <w:ind w:left="906" w:right="462"/>
        <w:rPr>
          <w:rFonts w:ascii="Arial" w:eastAsia="Arial" w:hAnsi="Arial" w:cs="Arial"/>
          <w:sz w:val="20"/>
          <w:szCs w:val="20"/>
          <w:lang w:val="pt-PT" w:eastAsia="en-US"/>
        </w:rPr>
      </w:pPr>
      <w:r w:rsidRPr="002D0770">
        <w:rPr>
          <w:rFonts w:ascii="Arial" w:eastAsia="Arial" w:hAnsi="Arial" w:cs="Arial"/>
          <w:sz w:val="20"/>
          <w:szCs w:val="20"/>
          <w:lang w:val="pt-PT" w:eastAsia="en-US"/>
        </w:rPr>
        <w:t>Revisamos as demonstrações contábeis individuais e consolidadas intermediárias condensadas da Caixa Econômica Federal (“CAIXA”), referentes ao período findo em 31</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de</w:t>
      </w:r>
      <w:r w:rsidRPr="002D0770">
        <w:rPr>
          <w:rFonts w:ascii="Arial" w:eastAsia="Arial" w:hAnsi="Arial" w:cs="Arial"/>
          <w:spacing w:val="-1"/>
          <w:sz w:val="20"/>
          <w:szCs w:val="20"/>
          <w:lang w:val="pt-PT" w:eastAsia="en-US"/>
        </w:rPr>
        <w:t xml:space="preserve"> </w:t>
      </w:r>
      <w:r w:rsidRPr="002D0770">
        <w:rPr>
          <w:rFonts w:ascii="Arial" w:eastAsia="Arial" w:hAnsi="Arial" w:cs="Arial"/>
          <w:sz w:val="20"/>
          <w:szCs w:val="20"/>
          <w:lang w:val="pt-PT" w:eastAsia="en-US"/>
        </w:rPr>
        <w:t>março de 2026,</w:t>
      </w:r>
      <w:r w:rsidRPr="002D0770">
        <w:rPr>
          <w:rFonts w:ascii="Arial" w:eastAsia="Arial" w:hAnsi="Arial" w:cs="Arial"/>
          <w:spacing w:val="-1"/>
          <w:sz w:val="20"/>
          <w:szCs w:val="20"/>
          <w:lang w:val="pt-PT" w:eastAsia="en-US"/>
        </w:rPr>
        <w:t xml:space="preserve"> </w:t>
      </w:r>
      <w:r w:rsidRPr="002D0770">
        <w:rPr>
          <w:rFonts w:ascii="Arial" w:eastAsia="Arial" w:hAnsi="Arial" w:cs="Arial"/>
          <w:sz w:val="20"/>
          <w:szCs w:val="20"/>
          <w:lang w:val="pt-PT" w:eastAsia="en-US"/>
        </w:rPr>
        <w:t>que compreendem</w:t>
      </w:r>
      <w:r w:rsidRPr="002D0770">
        <w:rPr>
          <w:rFonts w:ascii="Arial" w:eastAsia="Arial" w:hAnsi="Arial" w:cs="Arial"/>
          <w:spacing w:val="-1"/>
          <w:sz w:val="20"/>
          <w:szCs w:val="20"/>
          <w:lang w:val="pt-PT" w:eastAsia="en-US"/>
        </w:rPr>
        <w:t xml:space="preserve"> </w:t>
      </w:r>
      <w:r w:rsidRPr="002D0770">
        <w:rPr>
          <w:rFonts w:ascii="Arial" w:eastAsia="Arial" w:hAnsi="Arial" w:cs="Arial"/>
          <w:sz w:val="20"/>
          <w:szCs w:val="20"/>
          <w:lang w:val="pt-PT" w:eastAsia="en-US"/>
        </w:rPr>
        <w:t>o balanço patrimonial condensado em 31</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de março de 2026 e as respectivas demonstrações condensadas do resultado, do resultado</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abrangente,</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das</w:t>
      </w:r>
      <w:r w:rsidRPr="002D0770">
        <w:rPr>
          <w:rFonts w:ascii="Arial" w:eastAsia="Arial" w:hAnsi="Arial" w:cs="Arial"/>
          <w:spacing w:val="-1"/>
          <w:sz w:val="20"/>
          <w:szCs w:val="20"/>
          <w:lang w:val="pt-PT" w:eastAsia="en-US"/>
        </w:rPr>
        <w:t xml:space="preserve"> </w:t>
      </w:r>
      <w:r w:rsidRPr="002D0770">
        <w:rPr>
          <w:rFonts w:ascii="Arial" w:eastAsia="Arial" w:hAnsi="Arial" w:cs="Arial"/>
          <w:sz w:val="20"/>
          <w:szCs w:val="20"/>
          <w:lang w:val="pt-PT" w:eastAsia="en-US"/>
        </w:rPr>
        <w:t>mutações</w:t>
      </w:r>
      <w:r w:rsidRPr="002D0770">
        <w:rPr>
          <w:rFonts w:ascii="Arial" w:eastAsia="Arial" w:hAnsi="Arial" w:cs="Arial"/>
          <w:spacing w:val="-3"/>
          <w:sz w:val="20"/>
          <w:szCs w:val="20"/>
          <w:lang w:val="pt-PT" w:eastAsia="en-US"/>
        </w:rPr>
        <w:t xml:space="preserve"> </w:t>
      </w:r>
      <w:r w:rsidRPr="002D0770">
        <w:rPr>
          <w:rFonts w:ascii="Arial" w:eastAsia="Arial" w:hAnsi="Arial" w:cs="Arial"/>
          <w:sz w:val="20"/>
          <w:szCs w:val="20"/>
          <w:lang w:val="pt-PT" w:eastAsia="en-US"/>
        </w:rPr>
        <w:t>do</w:t>
      </w:r>
      <w:r w:rsidRPr="002D0770">
        <w:rPr>
          <w:rFonts w:ascii="Arial" w:eastAsia="Arial" w:hAnsi="Arial" w:cs="Arial"/>
          <w:spacing w:val="-3"/>
          <w:sz w:val="20"/>
          <w:szCs w:val="20"/>
          <w:lang w:val="pt-PT" w:eastAsia="en-US"/>
        </w:rPr>
        <w:t xml:space="preserve"> </w:t>
      </w:r>
      <w:r w:rsidRPr="002D0770">
        <w:rPr>
          <w:rFonts w:ascii="Arial" w:eastAsia="Arial" w:hAnsi="Arial" w:cs="Arial"/>
          <w:sz w:val="20"/>
          <w:szCs w:val="20"/>
          <w:lang w:val="pt-PT" w:eastAsia="en-US"/>
        </w:rPr>
        <w:t>patrimônio</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líquido</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e</w:t>
      </w:r>
      <w:r w:rsidRPr="002D0770">
        <w:rPr>
          <w:rFonts w:ascii="Arial" w:eastAsia="Arial" w:hAnsi="Arial" w:cs="Arial"/>
          <w:spacing w:val="-3"/>
          <w:sz w:val="20"/>
          <w:szCs w:val="20"/>
          <w:lang w:val="pt-PT" w:eastAsia="en-US"/>
        </w:rPr>
        <w:t xml:space="preserve"> </w:t>
      </w:r>
      <w:r w:rsidRPr="002D0770">
        <w:rPr>
          <w:rFonts w:ascii="Arial" w:eastAsia="Arial" w:hAnsi="Arial" w:cs="Arial"/>
          <w:sz w:val="20"/>
          <w:szCs w:val="20"/>
          <w:lang w:val="pt-PT" w:eastAsia="en-US"/>
        </w:rPr>
        <w:t>dos</w:t>
      </w:r>
      <w:r w:rsidRPr="002D0770">
        <w:rPr>
          <w:rFonts w:ascii="Arial" w:eastAsia="Arial" w:hAnsi="Arial" w:cs="Arial"/>
          <w:spacing w:val="-3"/>
          <w:sz w:val="20"/>
          <w:szCs w:val="20"/>
          <w:lang w:val="pt-PT" w:eastAsia="en-US"/>
        </w:rPr>
        <w:t xml:space="preserve"> </w:t>
      </w:r>
      <w:r w:rsidRPr="002D0770">
        <w:rPr>
          <w:rFonts w:ascii="Arial" w:eastAsia="Arial" w:hAnsi="Arial" w:cs="Arial"/>
          <w:sz w:val="20"/>
          <w:szCs w:val="20"/>
          <w:lang w:val="pt-PT" w:eastAsia="en-US"/>
        </w:rPr>
        <w:t>fluxos</w:t>
      </w:r>
      <w:r w:rsidRPr="002D0770">
        <w:rPr>
          <w:rFonts w:ascii="Arial" w:eastAsia="Arial" w:hAnsi="Arial" w:cs="Arial"/>
          <w:spacing w:val="-3"/>
          <w:sz w:val="20"/>
          <w:szCs w:val="20"/>
          <w:lang w:val="pt-PT" w:eastAsia="en-US"/>
        </w:rPr>
        <w:t xml:space="preserve"> </w:t>
      </w:r>
      <w:r w:rsidRPr="002D0770">
        <w:rPr>
          <w:rFonts w:ascii="Arial" w:eastAsia="Arial" w:hAnsi="Arial" w:cs="Arial"/>
          <w:sz w:val="20"/>
          <w:szCs w:val="20"/>
          <w:lang w:val="pt-PT" w:eastAsia="en-US"/>
        </w:rPr>
        <w:t>de</w:t>
      </w:r>
      <w:r w:rsidRPr="002D0770">
        <w:rPr>
          <w:rFonts w:ascii="Arial" w:eastAsia="Arial" w:hAnsi="Arial" w:cs="Arial"/>
          <w:spacing w:val="-5"/>
          <w:sz w:val="20"/>
          <w:szCs w:val="20"/>
          <w:lang w:val="pt-PT" w:eastAsia="en-US"/>
        </w:rPr>
        <w:t xml:space="preserve"> </w:t>
      </w:r>
      <w:r w:rsidRPr="002D0770">
        <w:rPr>
          <w:rFonts w:ascii="Arial" w:eastAsia="Arial" w:hAnsi="Arial" w:cs="Arial"/>
          <w:sz w:val="20"/>
          <w:szCs w:val="20"/>
          <w:lang w:val="pt-PT" w:eastAsia="en-US"/>
        </w:rPr>
        <w:t>caixa</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para</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o período de três meses findo naquela data, incluindo as notas explicativas.</w:t>
      </w:r>
    </w:p>
    <w:p w14:paraId="4A647942" w14:textId="77777777" w:rsidR="002D0770" w:rsidRPr="002D0770" w:rsidRDefault="002D0770" w:rsidP="002D0770">
      <w:pPr>
        <w:widowControl w:val="0"/>
        <w:autoSpaceDE w:val="0"/>
        <w:autoSpaceDN w:val="0"/>
        <w:spacing w:before="115"/>
        <w:ind w:left="906" w:right="462"/>
        <w:rPr>
          <w:rFonts w:ascii="Arial" w:eastAsia="Arial" w:hAnsi="Arial" w:cs="Arial"/>
          <w:sz w:val="20"/>
          <w:szCs w:val="20"/>
          <w:lang w:val="pt-PT" w:eastAsia="en-US"/>
        </w:rPr>
      </w:pPr>
      <w:r w:rsidRPr="002D0770">
        <w:rPr>
          <w:rFonts w:ascii="Arial" w:eastAsia="Arial" w:hAnsi="Arial" w:cs="Arial"/>
          <w:sz w:val="20"/>
          <w:szCs w:val="20"/>
          <w:lang w:val="pt-PT" w:eastAsia="en-US"/>
        </w:rPr>
        <w:t>A Administração da CAIXA é responsável pela elaboração e apresentação das demonstrações</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contábeis</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individuais</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e</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consolidadas intermediárias condensadas</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de acordo com as práticas contábeis adotadas no Brasil aplicáveis às instituições autorizadas</w:t>
      </w:r>
      <w:r w:rsidRPr="002D0770">
        <w:rPr>
          <w:rFonts w:ascii="Arial" w:eastAsia="Arial" w:hAnsi="Arial" w:cs="Arial"/>
          <w:spacing w:val="-3"/>
          <w:sz w:val="20"/>
          <w:szCs w:val="20"/>
          <w:lang w:val="pt-PT" w:eastAsia="en-US"/>
        </w:rPr>
        <w:t xml:space="preserve"> </w:t>
      </w:r>
      <w:r w:rsidRPr="002D0770">
        <w:rPr>
          <w:rFonts w:ascii="Arial" w:eastAsia="Arial" w:hAnsi="Arial" w:cs="Arial"/>
          <w:sz w:val="20"/>
          <w:szCs w:val="20"/>
          <w:lang w:val="pt-PT" w:eastAsia="en-US"/>
        </w:rPr>
        <w:t>a</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funcionar</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pelo</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Banco</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Central</w:t>
      </w:r>
      <w:r w:rsidRPr="002D0770">
        <w:rPr>
          <w:rFonts w:ascii="Arial" w:eastAsia="Arial" w:hAnsi="Arial" w:cs="Arial"/>
          <w:spacing w:val="-5"/>
          <w:sz w:val="20"/>
          <w:szCs w:val="20"/>
          <w:lang w:val="pt-PT" w:eastAsia="en-US"/>
        </w:rPr>
        <w:t xml:space="preserve"> </w:t>
      </w:r>
      <w:r w:rsidRPr="002D0770">
        <w:rPr>
          <w:rFonts w:ascii="Arial" w:eastAsia="Arial" w:hAnsi="Arial" w:cs="Arial"/>
          <w:sz w:val="20"/>
          <w:szCs w:val="20"/>
          <w:lang w:val="pt-PT" w:eastAsia="en-US"/>
        </w:rPr>
        <w:t>do</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Brasil.</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Nossa</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responsabilidade</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é</w:t>
      </w:r>
      <w:r w:rsidRPr="002D0770">
        <w:rPr>
          <w:rFonts w:ascii="Arial" w:eastAsia="Arial" w:hAnsi="Arial" w:cs="Arial"/>
          <w:spacing w:val="-3"/>
          <w:sz w:val="20"/>
          <w:szCs w:val="20"/>
          <w:lang w:val="pt-PT" w:eastAsia="en-US"/>
        </w:rPr>
        <w:t xml:space="preserve"> </w:t>
      </w:r>
      <w:r w:rsidRPr="002D0770">
        <w:rPr>
          <w:rFonts w:ascii="Arial" w:eastAsia="Arial" w:hAnsi="Arial" w:cs="Arial"/>
          <w:sz w:val="20"/>
          <w:szCs w:val="20"/>
          <w:lang w:val="pt-PT" w:eastAsia="en-US"/>
        </w:rPr>
        <w:t>a</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de expressar uma conclusão sobre essas demonstrações contábeis intermediárias individuais e consolidadas condensadas com base em nossa revisão.</w:t>
      </w:r>
    </w:p>
    <w:p w14:paraId="0B8CAA17" w14:textId="77777777" w:rsidR="002D0770" w:rsidRPr="002D0770" w:rsidRDefault="002D0770" w:rsidP="002D0770">
      <w:pPr>
        <w:widowControl w:val="0"/>
        <w:autoSpaceDE w:val="0"/>
        <w:autoSpaceDN w:val="0"/>
        <w:spacing w:before="116"/>
        <w:rPr>
          <w:rFonts w:ascii="Arial" w:eastAsia="Arial" w:hAnsi="Arial" w:cs="Arial"/>
          <w:sz w:val="20"/>
          <w:szCs w:val="20"/>
          <w:lang w:val="pt-PT" w:eastAsia="en-US"/>
        </w:rPr>
      </w:pPr>
    </w:p>
    <w:p w14:paraId="2E65ECB4" w14:textId="77777777" w:rsidR="002D0770" w:rsidRPr="00BE0C56" w:rsidRDefault="002D0770" w:rsidP="00BE0C56">
      <w:pPr>
        <w:widowControl w:val="0"/>
        <w:autoSpaceDE w:val="0"/>
        <w:autoSpaceDN w:val="0"/>
        <w:ind w:left="906" w:right="462"/>
        <w:rPr>
          <w:rFonts w:ascii="Arial" w:eastAsia="Arial" w:hAnsi="Arial" w:cs="Arial"/>
          <w:b/>
          <w:bCs/>
          <w:sz w:val="22"/>
          <w:szCs w:val="22"/>
          <w:lang w:val="pt-PT" w:eastAsia="en-US"/>
        </w:rPr>
      </w:pPr>
      <w:r w:rsidRPr="00BE0C56">
        <w:rPr>
          <w:rFonts w:ascii="Arial" w:eastAsia="Arial" w:hAnsi="Arial" w:cs="Arial"/>
          <w:b/>
          <w:bCs/>
          <w:sz w:val="22"/>
          <w:szCs w:val="22"/>
          <w:lang w:val="pt-PT" w:eastAsia="en-US"/>
        </w:rPr>
        <w:t>Alcance da revisão</w:t>
      </w:r>
    </w:p>
    <w:p w14:paraId="17367FA6" w14:textId="77777777" w:rsidR="002D0770" w:rsidRPr="002D0770" w:rsidRDefault="002D0770" w:rsidP="002D0770">
      <w:pPr>
        <w:widowControl w:val="0"/>
        <w:autoSpaceDE w:val="0"/>
        <w:autoSpaceDN w:val="0"/>
        <w:ind w:left="906" w:right="462"/>
        <w:rPr>
          <w:rFonts w:ascii="Arial" w:eastAsia="Arial" w:hAnsi="Arial" w:cs="Arial"/>
          <w:sz w:val="20"/>
          <w:szCs w:val="20"/>
          <w:lang w:val="pt-PT" w:eastAsia="en-US"/>
        </w:rPr>
      </w:pPr>
      <w:r w:rsidRPr="002D0770">
        <w:rPr>
          <w:rFonts w:ascii="Arial" w:eastAsia="Arial" w:hAnsi="Arial" w:cs="Arial"/>
          <w:sz w:val="20"/>
          <w:szCs w:val="20"/>
          <w:lang w:val="pt-PT" w:eastAsia="en-US"/>
        </w:rPr>
        <w:t xml:space="preserve">Conduzimos nossa revisão de acordo com as normas brasileiras e internacionais de revisão de informações intermediárias (NBC TR 2410 - Revisão de Informações Intermediárias Executada pelo Auditor da Entidade e ISRE 2410 - </w:t>
      </w:r>
      <w:r w:rsidRPr="002D0770">
        <w:rPr>
          <w:rFonts w:ascii="Arial" w:eastAsia="Arial" w:hAnsi="Arial" w:cs="Arial"/>
          <w:i/>
          <w:sz w:val="20"/>
          <w:szCs w:val="20"/>
          <w:lang w:val="pt-PT" w:eastAsia="en-US"/>
        </w:rPr>
        <w:t>Review of Interim Financial Information Performed by the Independent Auditor of the Entity</w:t>
      </w:r>
      <w:r w:rsidRPr="002D0770">
        <w:rPr>
          <w:rFonts w:ascii="Arial" w:eastAsia="Arial" w:hAnsi="Arial" w:cs="Arial"/>
          <w:sz w:val="20"/>
          <w:szCs w:val="20"/>
          <w:lang w:val="pt-PT" w:eastAsia="en-US"/>
        </w:rPr>
        <w:t>, respectivamente). Uma revisão de informações intermediárias consiste na realização de indagações, principalmente às pessoas responsáveis pelos assuntos financeiros e contábeis e na aplicação de procedimentos analíticos e de outros procedimentos de revisão. O alcance de uma revisão é significativamente menor do que o de uma auditoria</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conduzida</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de</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acordo</w:t>
      </w:r>
      <w:r w:rsidRPr="002D0770">
        <w:rPr>
          <w:rFonts w:ascii="Arial" w:eastAsia="Arial" w:hAnsi="Arial" w:cs="Arial"/>
          <w:spacing w:val="-5"/>
          <w:sz w:val="20"/>
          <w:szCs w:val="20"/>
          <w:lang w:val="pt-PT" w:eastAsia="en-US"/>
        </w:rPr>
        <w:t xml:space="preserve"> </w:t>
      </w:r>
      <w:r w:rsidRPr="002D0770">
        <w:rPr>
          <w:rFonts w:ascii="Arial" w:eastAsia="Arial" w:hAnsi="Arial" w:cs="Arial"/>
          <w:sz w:val="20"/>
          <w:szCs w:val="20"/>
          <w:lang w:val="pt-PT" w:eastAsia="en-US"/>
        </w:rPr>
        <w:t>com</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as</w:t>
      </w:r>
      <w:r w:rsidRPr="002D0770">
        <w:rPr>
          <w:rFonts w:ascii="Arial" w:eastAsia="Arial" w:hAnsi="Arial" w:cs="Arial"/>
          <w:spacing w:val="-3"/>
          <w:sz w:val="20"/>
          <w:szCs w:val="20"/>
          <w:lang w:val="pt-PT" w:eastAsia="en-US"/>
        </w:rPr>
        <w:t xml:space="preserve"> </w:t>
      </w:r>
      <w:r w:rsidRPr="002D0770">
        <w:rPr>
          <w:rFonts w:ascii="Arial" w:eastAsia="Arial" w:hAnsi="Arial" w:cs="Arial"/>
          <w:sz w:val="20"/>
          <w:szCs w:val="20"/>
          <w:lang w:val="pt-PT" w:eastAsia="en-US"/>
        </w:rPr>
        <w:t>normas</w:t>
      </w:r>
      <w:r w:rsidRPr="002D0770">
        <w:rPr>
          <w:rFonts w:ascii="Arial" w:eastAsia="Arial" w:hAnsi="Arial" w:cs="Arial"/>
          <w:spacing w:val="40"/>
          <w:sz w:val="20"/>
          <w:szCs w:val="20"/>
          <w:lang w:val="pt-PT" w:eastAsia="en-US"/>
        </w:rPr>
        <w:t xml:space="preserve"> </w:t>
      </w:r>
      <w:r w:rsidRPr="002D0770">
        <w:rPr>
          <w:rFonts w:ascii="Arial" w:eastAsia="Arial" w:hAnsi="Arial" w:cs="Arial"/>
          <w:sz w:val="20"/>
          <w:szCs w:val="20"/>
          <w:lang w:val="pt-PT" w:eastAsia="en-US"/>
        </w:rPr>
        <w:t>de</w:t>
      </w:r>
      <w:r w:rsidRPr="002D0770">
        <w:rPr>
          <w:rFonts w:ascii="Arial" w:eastAsia="Arial" w:hAnsi="Arial" w:cs="Arial"/>
          <w:spacing w:val="-3"/>
          <w:sz w:val="20"/>
          <w:szCs w:val="20"/>
          <w:lang w:val="pt-PT" w:eastAsia="en-US"/>
        </w:rPr>
        <w:t xml:space="preserve"> </w:t>
      </w:r>
      <w:r w:rsidRPr="002D0770">
        <w:rPr>
          <w:rFonts w:ascii="Arial" w:eastAsia="Arial" w:hAnsi="Arial" w:cs="Arial"/>
          <w:sz w:val="20"/>
          <w:szCs w:val="20"/>
          <w:lang w:val="pt-PT" w:eastAsia="en-US"/>
        </w:rPr>
        <w:t>auditoria</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e,</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consequentemente,</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não nos permitiu</w:t>
      </w:r>
      <w:r w:rsidRPr="002D0770">
        <w:rPr>
          <w:rFonts w:ascii="Arial" w:eastAsia="Arial" w:hAnsi="Arial" w:cs="Arial"/>
          <w:spacing w:val="40"/>
          <w:sz w:val="20"/>
          <w:szCs w:val="20"/>
          <w:lang w:val="pt-PT" w:eastAsia="en-US"/>
        </w:rPr>
        <w:t xml:space="preserve"> </w:t>
      </w:r>
      <w:r w:rsidRPr="002D0770">
        <w:rPr>
          <w:rFonts w:ascii="Arial" w:eastAsia="Arial" w:hAnsi="Arial" w:cs="Arial"/>
          <w:sz w:val="20"/>
          <w:szCs w:val="20"/>
          <w:lang w:val="pt-PT" w:eastAsia="en-US"/>
        </w:rPr>
        <w:t>obter segurança de que tomamos conhecimento de todos os assuntos significativos que poderiam ser identificados em uma auditoria. Portanto, não expressamos uma opinião de auditoria.</w:t>
      </w:r>
    </w:p>
    <w:p w14:paraId="20CBB702" w14:textId="77777777" w:rsidR="002D0770" w:rsidRPr="002D0770" w:rsidRDefault="002D0770" w:rsidP="002D0770">
      <w:pPr>
        <w:widowControl w:val="0"/>
        <w:autoSpaceDE w:val="0"/>
        <w:autoSpaceDN w:val="0"/>
        <w:rPr>
          <w:rFonts w:ascii="Arial" w:eastAsia="Arial" w:hAnsi="Arial" w:cs="Arial"/>
          <w:sz w:val="20"/>
          <w:szCs w:val="20"/>
          <w:lang w:val="pt-PT" w:eastAsia="en-US"/>
        </w:rPr>
        <w:sectPr w:rsidR="002D0770" w:rsidRPr="002D0770" w:rsidSect="007B00EE">
          <w:headerReference w:type="default" r:id="rId108"/>
          <w:pgSz w:w="11920" w:h="16850"/>
          <w:pgMar w:top="2000" w:right="1133" w:bottom="1140" w:left="1700" w:header="1408" w:footer="954" w:gutter="0"/>
          <w:cols w:space="720"/>
        </w:sectPr>
      </w:pPr>
    </w:p>
    <w:p w14:paraId="3151D4E2" w14:textId="77777777" w:rsidR="002D0770" w:rsidRPr="00BE0C56" w:rsidRDefault="002D0770" w:rsidP="00BE0C56">
      <w:pPr>
        <w:widowControl w:val="0"/>
        <w:autoSpaceDE w:val="0"/>
        <w:autoSpaceDN w:val="0"/>
        <w:ind w:left="906" w:right="462"/>
        <w:rPr>
          <w:rFonts w:ascii="Arial" w:eastAsia="Arial" w:hAnsi="Arial" w:cs="Arial"/>
          <w:b/>
          <w:bCs/>
          <w:spacing w:val="-2"/>
          <w:sz w:val="22"/>
          <w:szCs w:val="22"/>
          <w:lang w:val="pt-PT" w:eastAsia="en-US"/>
        </w:rPr>
      </w:pPr>
      <w:r w:rsidRPr="00BE0C56">
        <w:rPr>
          <w:rFonts w:ascii="Arial" w:eastAsia="Arial" w:hAnsi="Arial" w:cs="Arial"/>
          <w:b/>
          <w:bCs/>
          <w:spacing w:val="-2"/>
          <w:sz w:val="22"/>
          <w:szCs w:val="22"/>
          <w:lang w:val="pt-PT" w:eastAsia="en-US"/>
        </w:rPr>
        <w:t>Conclusão sobre as demonstrações contábeis individuais e consolidadas intermediárias condensadas</w:t>
      </w:r>
    </w:p>
    <w:p w14:paraId="2B60A251" w14:textId="77777777" w:rsidR="002D0770" w:rsidRPr="002D0770" w:rsidRDefault="002D0770" w:rsidP="002D0770">
      <w:pPr>
        <w:widowControl w:val="0"/>
        <w:autoSpaceDE w:val="0"/>
        <w:autoSpaceDN w:val="0"/>
        <w:ind w:left="906" w:right="462"/>
        <w:rPr>
          <w:rFonts w:ascii="Arial" w:eastAsia="Arial" w:hAnsi="Arial" w:cs="Arial"/>
          <w:sz w:val="20"/>
          <w:szCs w:val="20"/>
          <w:lang w:val="pt-PT" w:eastAsia="en-US"/>
        </w:rPr>
      </w:pPr>
      <w:r w:rsidRPr="002D0770">
        <w:rPr>
          <w:rFonts w:ascii="Arial" w:eastAsia="Arial" w:hAnsi="Arial" w:cs="Arial"/>
          <w:sz w:val="20"/>
          <w:szCs w:val="20"/>
          <w:lang w:val="pt-PT" w:eastAsia="en-US"/>
        </w:rPr>
        <w:t>Com</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base</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em</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nossa</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revisão,</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não</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temos</w:t>
      </w:r>
      <w:r w:rsidRPr="002D0770">
        <w:rPr>
          <w:rFonts w:ascii="Arial" w:eastAsia="Arial" w:hAnsi="Arial" w:cs="Arial"/>
          <w:spacing w:val="-1"/>
          <w:sz w:val="20"/>
          <w:szCs w:val="20"/>
          <w:lang w:val="pt-PT" w:eastAsia="en-US"/>
        </w:rPr>
        <w:t xml:space="preserve"> </w:t>
      </w:r>
      <w:r w:rsidRPr="002D0770">
        <w:rPr>
          <w:rFonts w:ascii="Arial" w:eastAsia="Arial" w:hAnsi="Arial" w:cs="Arial"/>
          <w:sz w:val="20"/>
          <w:szCs w:val="20"/>
          <w:lang w:val="pt-PT" w:eastAsia="en-US"/>
        </w:rPr>
        <w:t>conhecimento</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de nenhum</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fato</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que</w:t>
      </w:r>
      <w:r w:rsidRPr="002D0770">
        <w:rPr>
          <w:rFonts w:ascii="Arial" w:eastAsia="Arial" w:hAnsi="Arial" w:cs="Arial"/>
          <w:spacing w:val="-3"/>
          <w:sz w:val="20"/>
          <w:szCs w:val="20"/>
          <w:lang w:val="pt-PT" w:eastAsia="en-US"/>
        </w:rPr>
        <w:t xml:space="preserve"> </w:t>
      </w:r>
      <w:r w:rsidRPr="002D0770">
        <w:rPr>
          <w:rFonts w:ascii="Arial" w:eastAsia="Arial" w:hAnsi="Arial" w:cs="Arial"/>
          <w:sz w:val="20"/>
          <w:szCs w:val="20"/>
          <w:lang w:val="pt-PT" w:eastAsia="en-US"/>
        </w:rPr>
        <w:t>nos</w:t>
      </w:r>
      <w:r w:rsidRPr="002D0770">
        <w:rPr>
          <w:rFonts w:ascii="Arial" w:eastAsia="Arial" w:hAnsi="Arial" w:cs="Arial"/>
          <w:spacing w:val="-1"/>
          <w:sz w:val="20"/>
          <w:szCs w:val="20"/>
          <w:lang w:val="pt-PT" w:eastAsia="en-US"/>
        </w:rPr>
        <w:t xml:space="preserve"> </w:t>
      </w:r>
      <w:r w:rsidRPr="002D0770">
        <w:rPr>
          <w:rFonts w:ascii="Arial" w:eastAsia="Arial" w:hAnsi="Arial" w:cs="Arial"/>
          <w:sz w:val="20"/>
          <w:szCs w:val="20"/>
          <w:lang w:val="pt-PT" w:eastAsia="en-US"/>
        </w:rPr>
        <w:t>leve</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a acreditar que as demonstrações contábeis individuais e consolidadas intermediárias condensadas</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acima</w:t>
      </w:r>
      <w:r w:rsidRPr="002D0770">
        <w:rPr>
          <w:rFonts w:ascii="Arial" w:eastAsia="Arial" w:hAnsi="Arial" w:cs="Arial"/>
          <w:spacing w:val="-5"/>
          <w:sz w:val="20"/>
          <w:szCs w:val="20"/>
          <w:lang w:val="pt-PT" w:eastAsia="en-US"/>
        </w:rPr>
        <w:t xml:space="preserve"> </w:t>
      </w:r>
      <w:r w:rsidRPr="002D0770">
        <w:rPr>
          <w:rFonts w:ascii="Arial" w:eastAsia="Arial" w:hAnsi="Arial" w:cs="Arial"/>
          <w:sz w:val="20"/>
          <w:szCs w:val="20"/>
          <w:lang w:val="pt-PT" w:eastAsia="en-US"/>
        </w:rPr>
        <w:t>referidas,</w:t>
      </w:r>
      <w:r w:rsidRPr="002D0770">
        <w:rPr>
          <w:rFonts w:ascii="Arial" w:eastAsia="Arial" w:hAnsi="Arial" w:cs="Arial"/>
          <w:spacing w:val="-5"/>
          <w:sz w:val="20"/>
          <w:szCs w:val="20"/>
          <w:lang w:val="pt-PT" w:eastAsia="en-US"/>
        </w:rPr>
        <w:t xml:space="preserve"> </w:t>
      </w:r>
      <w:r w:rsidRPr="002D0770">
        <w:rPr>
          <w:rFonts w:ascii="Arial" w:eastAsia="Arial" w:hAnsi="Arial" w:cs="Arial"/>
          <w:sz w:val="20"/>
          <w:szCs w:val="20"/>
          <w:lang w:val="pt-PT" w:eastAsia="en-US"/>
        </w:rPr>
        <w:t>não</w:t>
      </w:r>
      <w:r w:rsidRPr="002D0770">
        <w:rPr>
          <w:rFonts w:ascii="Arial" w:eastAsia="Arial" w:hAnsi="Arial" w:cs="Arial"/>
          <w:spacing w:val="-1"/>
          <w:sz w:val="20"/>
          <w:szCs w:val="20"/>
          <w:lang w:val="pt-PT" w:eastAsia="en-US"/>
        </w:rPr>
        <w:t xml:space="preserve"> </w:t>
      </w:r>
      <w:r w:rsidRPr="002D0770">
        <w:rPr>
          <w:rFonts w:ascii="Arial" w:eastAsia="Arial" w:hAnsi="Arial" w:cs="Arial"/>
          <w:sz w:val="20"/>
          <w:szCs w:val="20"/>
          <w:lang w:val="pt-PT" w:eastAsia="en-US"/>
        </w:rPr>
        <w:t>foram</w:t>
      </w:r>
      <w:r w:rsidRPr="002D0770">
        <w:rPr>
          <w:rFonts w:ascii="Arial" w:eastAsia="Arial" w:hAnsi="Arial" w:cs="Arial"/>
          <w:spacing w:val="-5"/>
          <w:sz w:val="20"/>
          <w:szCs w:val="20"/>
          <w:lang w:val="pt-PT" w:eastAsia="en-US"/>
        </w:rPr>
        <w:t xml:space="preserve"> </w:t>
      </w:r>
      <w:r w:rsidRPr="002D0770">
        <w:rPr>
          <w:rFonts w:ascii="Arial" w:eastAsia="Arial" w:hAnsi="Arial" w:cs="Arial"/>
          <w:sz w:val="20"/>
          <w:szCs w:val="20"/>
          <w:lang w:val="pt-PT" w:eastAsia="en-US"/>
        </w:rPr>
        <w:t>elaboradas,</w:t>
      </w:r>
      <w:r w:rsidRPr="002D0770">
        <w:rPr>
          <w:rFonts w:ascii="Arial" w:eastAsia="Arial" w:hAnsi="Arial" w:cs="Arial"/>
          <w:spacing w:val="-3"/>
          <w:sz w:val="20"/>
          <w:szCs w:val="20"/>
          <w:lang w:val="pt-PT" w:eastAsia="en-US"/>
        </w:rPr>
        <w:t xml:space="preserve"> </w:t>
      </w:r>
      <w:r w:rsidRPr="002D0770">
        <w:rPr>
          <w:rFonts w:ascii="Arial" w:eastAsia="Arial" w:hAnsi="Arial" w:cs="Arial"/>
          <w:sz w:val="20"/>
          <w:szCs w:val="20"/>
          <w:lang w:val="pt-PT" w:eastAsia="en-US"/>
        </w:rPr>
        <w:t>em</w:t>
      </w:r>
      <w:r w:rsidRPr="002D0770">
        <w:rPr>
          <w:rFonts w:ascii="Arial" w:eastAsia="Arial" w:hAnsi="Arial" w:cs="Arial"/>
          <w:spacing w:val="-5"/>
          <w:sz w:val="20"/>
          <w:szCs w:val="20"/>
          <w:lang w:val="pt-PT" w:eastAsia="en-US"/>
        </w:rPr>
        <w:t xml:space="preserve"> </w:t>
      </w:r>
      <w:r w:rsidRPr="002D0770">
        <w:rPr>
          <w:rFonts w:ascii="Arial" w:eastAsia="Arial" w:hAnsi="Arial" w:cs="Arial"/>
          <w:sz w:val="20"/>
          <w:szCs w:val="20"/>
          <w:lang w:val="pt-PT" w:eastAsia="en-US"/>
        </w:rPr>
        <w:t>todos</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os</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aspectos</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relevantes de acordo com as práticas contábeis adotadas no Brasil, aplicáveis às instituições autorizadas a funcionar pelo Banco Central do Brasil.</w:t>
      </w:r>
    </w:p>
    <w:p w14:paraId="353FCA74" w14:textId="77777777" w:rsidR="002D0770" w:rsidRPr="002D0770" w:rsidRDefault="002D0770" w:rsidP="002D0770">
      <w:pPr>
        <w:widowControl w:val="0"/>
        <w:autoSpaceDE w:val="0"/>
        <w:autoSpaceDN w:val="0"/>
        <w:spacing w:before="115"/>
        <w:rPr>
          <w:rFonts w:ascii="Arial" w:eastAsia="Arial" w:hAnsi="Arial" w:cs="Arial"/>
          <w:sz w:val="20"/>
          <w:szCs w:val="20"/>
          <w:lang w:val="pt-PT" w:eastAsia="en-US"/>
        </w:rPr>
      </w:pPr>
    </w:p>
    <w:p w14:paraId="6B46937D" w14:textId="77777777" w:rsidR="002D0770" w:rsidRPr="00BE0C56" w:rsidRDefault="002D0770" w:rsidP="00BE0C56">
      <w:pPr>
        <w:widowControl w:val="0"/>
        <w:autoSpaceDE w:val="0"/>
        <w:autoSpaceDN w:val="0"/>
        <w:spacing w:before="1"/>
        <w:ind w:left="906" w:right="423"/>
        <w:rPr>
          <w:rFonts w:ascii="Arial" w:eastAsia="Arial" w:hAnsi="Arial" w:cs="Arial"/>
          <w:b/>
          <w:bCs/>
          <w:sz w:val="22"/>
          <w:szCs w:val="22"/>
          <w:lang w:val="pt-PT" w:eastAsia="en-US"/>
        </w:rPr>
      </w:pPr>
      <w:r w:rsidRPr="00BE0C56">
        <w:rPr>
          <w:rFonts w:ascii="Arial" w:eastAsia="Arial" w:hAnsi="Arial" w:cs="Arial"/>
          <w:b/>
          <w:bCs/>
          <w:sz w:val="22"/>
          <w:szCs w:val="22"/>
          <w:lang w:val="pt-PT" w:eastAsia="en-US"/>
        </w:rPr>
        <w:t>Outros Assuntos - Demonstrações do valor adicionado</w:t>
      </w:r>
    </w:p>
    <w:p w14:paraId="0D9509F7" w14:textId="77777777" w:rsidR="002D0770" w:rsidRPr="002D0770" w:rsidRDefault="002D0770" w:rsidP="002D0770">
      <w:pPr>
        <w:widowControl w:val="0"/>
        <w:autoSpaceDE w:val="0"/>
        <w:autoSpaceDN w:val="0"/>
        <w:spacing w:before="1"/>
        <w:ind w:left="906" w:right="423"/>
        <w:rPr>
          <w:rFonts w:ascii="Arial" w:eastAsia="Arial" w:hAnsi="Arial" w:cs="Arial"/>
          <w:sz w:val="20"/>
          <w:szCs w:val="20"/>
          <w:lang w:val="pt-PT" w:eastAsia="en-US"/>
        </w:rPr>
      </w:pPr>
      <w:r w:rsidRPr="002D0770">
        <w:rPr>
          <w:rFonts w:ascii="Arial" w:eastAsia="Arial" w:hAnsi="Arial" w:cs="Arial"/>
          <w:sz w:val="20"/>
          <w:szCs w:val="20"/>
          <w:lang w:val="pt-PT" w:eastAsia="en-US"/>
        </w:rPr>
        <w:t>As demonstrações contábeis individuais e consolidadas intermediárias condensadas acima referidas incluem as demonstrações do valor adicionado (DVA), individuais e consolidadas, referentes ao período de três meses findo em 31 de março de 2026, elaboradas sob</w:t>
      </w:r>
      <w:r w:rsidRPr="002D0770">
        <w:rPr>
          <w:rFonts w:ascii="Arial" w:eastAsia="Arial" w:hAnsi="Arial" w:cs="Arial"/>
          <w:spacing w:val="-1"/>
          <w:sz w:val="20"/>
          <w:szCs w:val="20"/>
          <w:lang w:val="pt-PT" w:eastAsia="en-US"/>
        </w:rPr>
        <w:t xml:space="preserve"> </w:t>
      </w:r>
      <w:r w:rsidRPr="002D0770">
        <w:rPr>
          <w:rFonts w:ascii="Arial" w:eastAsia="Arial" w:hAnsi="Arial" w:cs="Arial"/>
          <w:sz w:val="20"/>
          <w:szCs w:val="20"/>
          <w:lang w:val="pt-PT" w:eastAsia="en-US"/>
        </w:rPr>
        <w:t>a responsabilidade da Administração da CAIXA cuja apresentação</w:t>
      </w:r>
      <w:r w:rsidRPr="002D0770">
        <w:rPr>
          <w:rFonts w:ascii="Arial" w:eastAsia="Arial" w:hAnsi="Arial" w:cs="Arial"/>
          <w:spacing w:val="-1"/>
          <w:sz w:val="20"/>
          <w:szCs w:val="20"/>
          <w:lang w:val="pt-PT" w:eastAsia="en-US"/>
        </w:rPr>
        <w:t xml:space="preserve"> </w:t>
      </w:r>
      <w:r w:rsidRPr="002D0770">
        <w:rPr>
          <w:rFonts w:ascii="Arial" w:eastAsia="Arial" w:hAnsi="Arial" w:cs="Arial"/>
          <w:sz w:val="20"/>
          <w:szCs w:val="20"/>
          <w:lang w:val="pt-PT" w:eastAsia="en-US"/>
        </w:rPr>
        <w:t>não é requerida para fins das práticas contábeis adotadas no Brasil aplicáveis às instituições autorizadas a funcionar pelo Banco Central do Brasil. Essas</w:t>
      </w:r>
      <w:r w:rsidRPr="002D0770">
        <w:rPr>
          <w:rFonts w:ascii="Arial" w:eastAsia="Arial" w:hAnsi="Arial" w:cs="Arial"/>
          <w:spacing w:val="40"/>
          <w:sz w:val="20"/>
          <w:szCs w:val="20"/>
          <w:lang w:val="pt-PT" w:eastAsia="en-US"/>
        </w:rPr>
        <w:t xml:space="preserve"> </w:t>
      </w:r>
      <w:r w:rsidRPr="002D0770">
        <w:rPr>
          <w:rFonts w:ascii="Arial" w:eastAsia="Arial" w:hAnsi="Arial" w:cs="Arial"/>
          <w:sz w:val="20"/>
          <w:szCs w:val="20"/>
          <w:lang w:val="pt-PT" w:eastAsia="en-US"/>
        </w:rPr>
        <w:t>demonstrações foram submetidas aos procedimentos de revisão executados em conjunto com a revisão das demonstrações contábeis individuais e consolidadas intermediárias condensadas, com o objetivo de concluir se elas estão conciliadas com as</w:t>
      </w:r>
      <w:r w:rsidRPr="002D0770">
        <w:rPr>
          <w:rFonts w:ascii="Arial" w:eastAsia="Arial" w:hAnsi="Arial" w:cs="Arial"/>
          <w:spacing w:val="-5"/>
          <w:sz w:val="20"/>
          <w:szCs w:val="20"/>
          <w:lang w:val="pt-PT" w:eastAsia="en-US"/>
        </w:rPr>
        <w:t xml:space="preserve"> </w:t>
      </w:r>
      <w:r w:rsidRPr="002D0770">
        <w:rPr>
          <w:rFonts w:ascii="Arial" w:eastAsia="Arial" w:hAnsi="Arial" w:cs="Arial"/>
          <w:sz w:val="20"/>
          <w:szCs w:val="20"/>
          <w:lang w:val="pt-PT" w:eastAsia="en-US"/>
        </w:rPr>
        <w:t>demonstrações</w:t>
      </w:r>
      <w:r w:rsidRPr="002D0770">
        <w:rPr>
          <w:rFonts w:ascii="Arial" w:eastAsia="Arial" w:hAnsi="Arial" w:cs="Arial"/>
          <w:spacing w:val="-5"/>
          <w:sz w:val="20"/>
          <w:szCs w:val="20"/>
          <w:lang w:val="pt-PT" w:eastAsia="en-US"/>
        </w:rPr>
        <w:t xml:space="preserve"> </w:t>
      </w:r>
      <w:r w:rsidRPr="002D0770">
        <w:rPr>
          <w:rFonts w:ascii="Arial" w:eastAsia="Arial" w:hAnsi="Arial" w:cs="Arial"/>
          <w:sz w:val="20"/>
          <w:szCs w:val="20"/>
          <w:lang w:val="pt-PT" w:eastAsia="en-US"/>
        </w:rPr>
        <w:t>contábeis</w:t>
      </w:r>
      <w:r w:rsidRPr="002D0770">
        <w:rPr>
          <w:rFonts w:ascii="Arial" w:eastAsia="Arial" w:hAnsi="Arial" w:cs="Arial"/>
          <w:spacing w:val="-5"/>
          <w:sz w:val="20"/>
          <w:szCs w:val="20"/>
          <w:lang w:val="pt-PT" w:eastAsia="en-US"/>
        </w:rPr>
        <w:t xml:space="preserve"> </w:t>
      </w:r>
      <w:r w:rsidRPr="002D0770">
        <w:rPr>
          <w:rFonts w:ascii="Arial" w:eastAsia="Arial" w:hAnsi="Arial" w:cs="Arial"/>
          <w:sz w:val="20"/>
          <w:szCs w:val="20"/>
          <w:lang w:val="pt-PT" w:eastAsia="en-US"/>
        </w:rPr>
        <w:t>individuais</w:t>
      </w:r>
      <w:r w:rsidRPr="002D0770">
        <w:rPr>
          <w:rFonts w:ascii="Arial" w:eastAsia="Arial" w:hAnsi="Arial" w:cs="Arial"/>
          <w:spacing w:val="-5"/>
          <w:sz w:val="20"/>
          <w:szCs w:val="20"/>
          <w:lang w:val="pt-PT" w:eastAsia="en-US"/>
        </w:rPr>
        <w:t xml:space="preserve"> </w:t>
      </w:r>
      <w:r w:rsidRPr="002D0770">
        <w:rPr>
          <w:rFonts w:ascii="Arial" w:eastAsia="Arial" w:hAnsi="Arial" w:cs="Arial"/>
          <w:sz w:val="20"/>
          <w:szCs w:val="20"/>
          <w:lang w:val="pt-PT" w:eastAsia="en-US"/>
        </w:rPr>
        <w:t>e</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consolidadas</w:t>
      </w:r>
      <w:r w:rsidRPr="002D0770">
        <w:rPr>
          <w:rFonts w:ascii="Arial" w:eastAsia="Arial" w:hAnsi="Arial" w:cs="Arial"/>
          <w:spacing w:val="-5"/>
          <w:sz w:val="20"/>
          <w:szCs w:val="20"/>
          <w:lang w:val="pt-PT" w:eastAsia="en-US"/>
        </w:rPr>
        <w:t xml:space="preserve"> </w:t>
      </w:r>
      <w:r w:rsidRPr="002D0770">
        <w:rPr>
          <w:rFonts w:ascii="Arial" w:eastAsia="Arial" w:hAnsi="Arial" w:cs="Arial"/>
          <w:sz w:val="20"/>
          <w:szCs w:val="20"/>
          <w:lang w:val="pt-PT" w:eastAsia="en-US"/>
        </w:rPr>
        <w:t>e</w:t>
      </w:r>
      <w:r w:rsidRPr="002D0770">
        <w:rPr>
          <w:rFonts w:ascii="Arial" w:eastAsia="Arial" w:hAnsi="Arial" w:cs="Arial"/>
          <w:spacing w:val="-7"/>
          <w:sz w:val="20"/>
          <w:szCs w:val="20"/>
          <w:lang w:val="pt-PT" w:eastAsia="en-US"/>
        </w:rPr>
        <w:t xml:space="preserve"> </w:t>
      </w:r>
      <w:r w:rsidRPr="002D0770">
        <w:rPr>
          <w:rFonts w:ascii="Arial" w:eastAsia="Arial" w:hAnsi="Arial" w:cs="Arial"/>
          <w:sz w:val="20"/>
          <w:szCs w:val="20"/>
          <w:lang w:val="pt-PT" w:eastAsia="en-US"/>
        </w:rPr>
        <w:t>registros</w:t>
      </w:r>
      <w:r w:rsidRPr="002D0770">
        <w:rPr>
          <w:rFonts w:ascii="Arial" w:eastAsia="Arial" w:hAnsi="Arial" w:cs="Arial"/>
          <w:spacing w:val="-5"/>
          <w:sz w:val="20"/>
          <w:szCs w:val="20"/>
          <w:lang w:val="pt-PT" w:eastAsia="en-US"/>
        </w:rPr>
        <w:t xml:space="preserve"> </w:t>
      </w:r>
      <w:r w:rsidRPr="002D0770">
        <w:rPr>
          <w:rFonts w:ascii="Arial" w:eastAsia="Arial" w:hAnsi="Arial" w:cs="Arial"/>
          <w:sz w:val="20"/>
          <w:szCs w:val="20"/>
          <w:lang w:val="pt-PT" w:eastAsia="en-US"/>
        </w:rPr>
        <w:t>contábeis,</w:t>
      </w:r>
      <w:r w:rsidRPr="002D0770">
        <w:rPr>
          <w:rFonts w:ascii="Arial" w:eastAsia="Arial" w:hAnsi="Arial" w:cs="Arial"/>
          <w:spacing w:val="-6"/>
          <w:sz w:val="20"/>
          <w:szCs w:val="20"/>
          <w:lang w:val="pt-PT" w:eastAsia="en-US"/>
        </w:rPr>
        <w:t xml:space="preserve"> </w:t>
      </w:r>
      <w:r w:rsidRPr="002D0770">
        <w:rPr>
          <w:rFonts w:ascii="Arial" w:eastAsia="Arial" w:hAnsi="Arial" w:cs="Arial"/>
          <w:sz w:val="20"/>
          <w:szCs w:val="20"/>
          <w:lang w:val="pt-PT" w:eastAsia="en-US"/>
        </w:rPr>
        <w:t>conforme aplicável, e se sua forma e conteúdo estão de acordo com os critérios definidos no Pronunciamento Técnico CPC 09 - Demonstração do Valor Adicionado. Com base em nossa revisão, não temos conhecimento de nenhum fato que nos leve a acreditar que essas demonstrações do valor adicionado não foram elaboradas, em todos os</w:t>
      </w:r>
      <w:r w:rsidRPr="002D0770">
        <w:rPr>
          <w:rFonts w:ascii="Arial" w:eastAsia="Arial" w:hAnsi="Arial" w:cs="Arial"/>
          <w:spacing w:val="40"/>
          <w:sz w:val="20"/>
          <w:szCs w:val="20"/>
          <w:lang w:val="pt-PT" w:eastAsia="en-US"/>
        </w:rPr>
        <w:t xml:space="preserve"> </w:t>
      </w:r>
      <w:r w:rsidRPr="002D0770">
        <w:rPr>
          <w:rFonts w:ascii="Arial" w:eastAsia="Arial" w:hAnsi="Arial" w:cs="Arial"/>
          <w:sz w:val="20"/>
          <w:szCs w:val="20"/>
          <w:lang w:val="pt-PT" w:eastAsia="en-US"/>
        </w:rPr>
        <w:t>aspectos relevantes, segundo os critérios definidos nessa Norma e de forma consistente em relação às demonstrações contábeis individuais e consolidadas tomadas em conjunto.</w:t>
      </w:r>
    </w:p>
    <w:p w14:paraId="29ABFD68" w14:textId="77777777" w:rsidR="002D0770" w:rsidRPr="002D0770" w:rsidRDefault="002D0770" w:rsidP="002D0770">
      <w:pPr>
        <w:widowControl w:val="0"/>
        <w:autoSpaceDE w:val="0"/>
        <w:autoSpaceDN w:val="0"/>
        <w:spacing w:before="113"/>
        <w:rPr>
          <w:rFonts w:ascii="Arial" w:eastAsia="Arial" w:hAnsi="Arial" w:cs="Arial"/>
          <w:sz w:val="20"/>
          <w:szCs w:val="20"/>
          <w:lang w:val="pt-PT" w:eastAsia="en-US"/>
        </w:rPr>
      </w:pPr>
    </w:p>
    <w:p w14:paraId="46254CDB" w14:textId="77777777" w:rsidR="002D0770" w:rsidRPr="00BE0C56" w:rsidRDefault="002D0770" w:rsidP="00BE0C56">
      <w:pPr>
        <w:widowControl w:val="0"/>
        <w:autoSpaceDE w:val="0"/>
        <w:autoSpaceDN w:val="0"/>
        <w:spacing w:before="1"/>
        <w:ind w:left="906" w:right="462"/>
        <w:rPr>
          <w:rFonts w:ascii="Arial" w:eastAsia="Arial" w:hAnsi="Arial" w:cs="Arial"/>
          <w:b/>
          <w:bCs/>
          <w:sz w:val="22"/>
          <w:szCs w:val="22"/>
          <w:lang w:val="pt-PT" w:eastAsia="en-US"/>
        </w:rPr>
      </w:pPr>
      <w:r w:rsidRPr="00BE0C56">
        <w:rPr>
          <w:rFonts w:ascii="Arial" w:eastAsia="Arial" w:hAnsi="Arial" w:cs="Arial"/>
          <w:b/>
          <w:bCs/>
          <w:sz w:val="22"/>
          <w:szCs w:val="22"/>
          <w:lang w:val="pt-PT" w:eastAsia="en-US"/>
        </w:rPr>
        <w:t>Outros Assuntos - Demonstrações contábeis consolidadas</w:t>
      </w:r>
    </w:p>
    <w:p w14:paraId="200251BD" w14:textId="77777777" w:rsidR="002D0770" w:rsidRPr="002D0770" w:rsidRDefault="002D0770" w:rsidP="002D0770">
      <w:pPr>
        <w:widowControl w:val="0"/>
        <w:autoSpaceDE w:val="0"/>
        <w:autoSpaceDN w:val="0"/>
        <w:spacing w:before="1"/>
        <w:ind w:left="906" w:right="462"/>
        <w:rPr>
          <w:rFonts w:ascii="Arial" w:eastAsia="Arial" w:hAnsi="Arial" w:cs="Arial"/>
          <w:sz w:val="20"/>
          <w:szCs w:val="20"/>
          <w:lang w:val="pt-PT" w:eastAsia="en-US"/>
        </w:rPr>
      </w:pPr>
      <w:r w:rsidRPr="002D0770">
        <w:rPr>
          <w:rFonts w:ascii="Arial" w:eastAsia="Arial" w:hAnsi="Arial" w:cs="Arial"/>
          <w:sz w:val="20"/>
          <w:szCs w:val="20"/>
          <w:lang w:val="pt-PT" w:eastAsia="en-US"/>
        </w:rPr>
        <w:t>Essas demonstrações contábeis consolidadas para o período de três meses findo em 31 de março de 2026, que foram elaboradas de acordo com as práticas contábeis adotadas no Brasil aplicáveis às instituições autorizadas a funcionar pelo Banco Central</w:t>
      </w:r>
      <w:r w:rsidRPr="002D0770">
        <w:rPr>
          <w:rFonts w:ascii="Arial" w:eastAsia="Arial" w:hAnsi="Arial" w:cs="Arial"/>
          <w:spacing w:val="-6"/>
          <w:sz w:val="20"/>
          <w:szCs w:val="20"/>
          <w:lang w:val="pt-PT" w:eastAsia="en-US"/>
        </w:rPr>
        <w:t xml:space="preserve"> </w:t>
      </w:r>
      <w:r w:rsidRPr="002D0770">
        <w:rPr>
          <w:rFonts w:ascii="Arial" w:eastAsia="Arial" w:hAnsi="Arial" w:cs="Arial"/>
          <w:sz w:val="20"/>
          <w:szCs w:val="20"/>
          <w:lang w:val="pt-PT" w:eastAsia="en-US"/>
        </w:rPr>
        <w:t>do</w:t>
      </w:r>
      <w:r w:rsidRPr="002D0770">
        <w:rPr>
          <w:rFonts w:ascii="Arial" w:eastAsia="Arial" w:hAnsi="Arial" w:cs="Arial"/>
          <w:spacing w:val="-5"/>
          <w:sz w:val="20"/>
          <w:szCs w:val="20"/>
          <w:lang w:val="pt-PT" w:eastAsia="en-US"/>
        </w:rPr>
        <w:t xml:space="preserve"> </w:t>
      </w:r>
      <w:r w:rsidRPr="002D0770">
        <w:rPr>
          <w:rFonts w:ascii="Arial" w:eastAsia="Arial" w:hAnsi="Arial" w:cs="Arial"/>
          <w:sz w:val="20"/>
          <w:szCs w:val="20"/>
          <w:lang w:val="pt-PT" w:eastAsia="en-US"/>
        </w:rPr>
        <w:t>Brasil,</w:t>
      </w:r>
      <w:r w:rsidRPr="002D0770">
        <w:rPr>
          <w:rFonts w:ascii="Arial" w:eastAsia="Arial" w:hAnsi="Arial" w:cs="Arial"/>
          <w:spacing w:val="-3"/>
          <w:sz w:val="20"/>
          <w:szCs w:val="20"/>
          <w:lang w:val="pt-PT" w:eastAsia="en-US"/>
        </w:rPr>
        <w:t xml:space="preserve"> </w:t>
      </w:r>
      <w:r w:rsidRPr="002D0770">
        <w:rPr>
          <w:rFonts w:ascii="Arial" w:eastAsia="Arial" w:hAnsi="Arial" w:cs="Arial"/>
          <w:sz w:val="20"/>
          <w:szCs w:val="20"/>
          <w:lang w:val="pt-PT" w:eastAsia="en-US"/>
        </w:rPr>
        <w:t>estão</w:t>
      </w:r>
      <w:r w:rsidRPr="002D0770">
        <w:rPr>
          <w:rFonts w:ascii="Arial" w:eastAsia="Arial" w:hAnsi="Arial" w:cs="Arial"/>
          <w:spacing w:val="-6"/>
          <w:sz w:val="20"/>
          <w:szCs w:val="20"/>
          <w:lang w:val="pt-PT" w:eastAsia="en-US"/>
        </w:rPr>
        <w:t xml:space="preserve"> </w:t>
      </w:r>
      <w:r w:rsidRPr="002D0770">
        <w:rPr>
          <w:rFonts w:ascii="Arial" w:eastAsia="Arial" w:hAnsi="Arial" w:cs="Arial"/>
          <w:sz w:val="20"/>
          <w:szCs w:val="20"/>
          <w:lang w:val="pt-PT" w:eastAsia="en-US"/>
        </w:rPr>
        <w:t>sendo</w:t>
      </w:r>
      <w:r w:rsidRPr="002D0770">
        <w:rPr>
          <w:rFonts w:ascii="Arial" w:eastAsia="Arial" w:hAnsi="Arial" w:cs="Arial"/>
          <w:spacing w:val="-3"/>
          <w:sz w:val="20"/>
          <w:szCs w:val="20"/>
          <w:lang w:val="pt-PT" w:eastAsia="en-US"/>
        </w:rPr>
        <w:t xml:space="preserve"> </w:t>
      </w:r>
      <w:r w:rsidRPr="002D0770">
        <w:rPr>
          <w:rFonts w:ascii="Arial" w:eastAsia="Arial" w:hAnsi="Arial" w:cs="Arial"/>
          <w:sz w:val="20"/>
          <w:szCs w:val="20"/>
          <w:lang w:val="pt-PT" w:eastAsia="en-US"/>
        </w:rPr>
        <w:t>apresentadas</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de</w:t>
      </w:r>
      <w:r w:rsidRPr="002D0770">
        <w:rPr>
          <w:rFonts w:ascii="Arial" w:eastAsia="Arial" w:hAnsi="Arial" w:cs="Arial"/>
          <w:spacing w:val="-4"/>
          <w:sz w:val="20"/>
          <w:szCs w:val="20"/>
          <w:lang w:val="pt-PT" w:eastAsia="en-US"/>
        </w:rPr>
        <w:t xml:space="preserve"> </w:t>
      </w:r>
      <w:r w:rsidRPr="002D0770">
        <w:rPr>
          <w:rFonts w:ascii="Arial" w:eastAsia="Arial" w:hAnsi="Arial" w:cs="Arial"/>
          <w:sz w:val="20"/>
          <w:szCs w:val="20"/>
          <w:lang w:val="pt-PT" w:eastAsia="en-US"/>
        </w:rPr>
        <w:t>maneira</w:t>
      </w:r>
      <w:r w:rsidRPr="002D0770">
        <w:rPr>
          <w:rFonts w:ascii="Arial" w:eastAsia="Arial" w:hAnsi="Arial" w:cs="Arial"/>
          <w:spacing w:val="-5"/>
          <w:sz w:val="20"/>
          <w:szCs w:val="20"/>
          <w:lang w:val="pt-PT" w:eastAsia="en-US"/>
        </w:rPr>
        <w:t xml:space="preserve"> </w:t>
      </w:r>
      <w:r w:rsidRPr="002D0770">
        <w:rPr>
          <w:rFonts w:ascii="Arial" w:eastAsia="Arial" w:hAnsi="Arial" w:cs="Arial"/>
          <w:sz w:val="20"/>
          <w:szCs w:val="20"/>
          <w:lang w:val="pt-PT" w:eastAsia="en-US"/>
        </w:rPr>
        <w:t>adicional,</w:t>
      </w:r>
      <w:r w:rsidRPr="002D0770">
        <w:rPr>
          <w:rFonts w:ascii="Arial" w:eastAsia="Arial" w:hAnsi="Arial" w:cs="Arial"/>
          <w:spacing w:val="-5"/>
          <w:sz w:val="20"/>
          <w:szCs w:val="20"/>
          <w:lang w:val="pt-PT" w:eastAsia="en-US"/>
        </w:rPr>
        <w:t xml:space="preserve"> </w:t>
      </w:r>
      <w:r w:rsidRPr="002D0770">
        <w:rPr>
          <w:rFonts w:ascii="Arial" w:eastAsia="Arial" w:hAnsi="Arial" w:cs="Arial"/>
          <w:sz w:val="20"/>
          <w:szCs w:val="20"/>
          <w:lang w:val="pt-PT" w:eastAsia="en-US"/>
        </w:rPr>
        <w:t>conforme</w:t>
      </w:r>
      <w:r w:rsidRPr="002D0770">
        <w:rPr>
          <w:rFonts w:ascii="Arial" w:eastAsia="Arial" w:hAnsi="Arial" w:cs="Arial"/>
          <w:spacing w:val="-3"/>
          <w:sz w:val="20"/>
          <w:szCs w:val="20"/>
          <w:lang w:val="pt-PT" w:eastAsia="en-US"/>
        </w:rPr>
        <w:t xml:space="preserve"> </w:t>
      </w:r>
      <w:r w:rsidRPr="002D0770">
        <w:rPr>
          <w:rFonts w:ascii="Arial" w:eastAsia="Arial" w:hAnsi="Arial" w:cs="Arial"/>
          <w:sz w:val="20"/>
          <w:szCs w:val="20"/>
          <w:lang w:val="pt-PT" w:eastAsia="en-US"/>
        </w:rPr>
        <w:t xml:space="preserve">faculdade prevista no Art. nº 77 da Resolução CMN nº 4.966/2021, às demonstrações contábeis intermediárias consolidadas condensadas preparadas de acordo com a norma internacional de contabilidade IAS 34 </w:t>
      </w:r>
      <w:r w:rsidRPr="002D0770">
        <w:rPr>
          <w:rFonts w:ascii="Arial" w:eastAsia="Arial" w:hAnsi="Arial" w:cs="Arial"/>
          <w:i/>
          <w:sz w:val="20"/>
          <w:szCs w:val="20"/>
          <w:lang w:val="pt-PT" w:eastAsia="en-US"/>
        </w:rPr>
        <w:t>- Interim Financial Reporting</w:t>
      </w:r>
      <w:r w:rsidRPr="002D0770">
        <w:rPr>
          <w:rFonts w:ascii="Arial" w:eastAsia="Arial" w:hAnsi="Arial" w:cs="Arial"/>
          <w:sz w:val="20"/>
          <w:szCs w:val="20"/>
          <w:lang w:val="pt-PT" w:eastAsia="en-US"/>
        </w:rPr>
        <w:t xml:space="preserve">, emitida pelo </w:t>
      </w:r>
      <w:r w:rsidRPr="002D0770">
        <w:rPr>
          <w:rFonts w:ascii="Arial" w:eastAsia="Arial" w:hAnsi="Arial" w:cs="Arial"/>
          <w:i/>
          <w:sz w:val="20"/>
          <w:szCs w:val="20"/>
          <w:lang w:val="pt-PT" w:eastAsia="en-US"/>
        </w:rPr>
        <w:t>International</w:t>
      </w:r>
      <w:r w:rsidRPr="002D0770">
        <w:rPr>
          <w:rFonts w:ascii="Arial" w:eastAsia="Arial" w:hAnsi="Arial" w:cs="Arial"/>
          <w:i/>
          <w:spacing w:val="-3"/>
          <w:sz w:val="20"/>
          <w:szCs w:val="20"/>
          <w:lang w:val="pt-PT" w:eastAsia="en-US"/>
        </w:rPr>
        <w:t xml:space="preserve"> </w:t>
      </w:r>
      <w:r w:rsidRPr="002D0770">
        <w:rPr>
          <w:rFonts w:ascii="Arial" w:eastAsia="Arial" w:hAnsi="Arial" w:cs="Arial"/>
          <w:i/>
          <w:sz w:val="20"/>
          <w:szCs w:val="20"/>
          <w:lang w:val="pt-PT" w:eastAsia="en-US"/>
        </w:rPr>
        <w:t>Accounting</w:t>
      </w:r>
      <w:r w:rsidRPr="002D0770">
        <w:rPr>
          <w:rFonts w:ascii="Arial" w:eastAsia="Arial" w:hAnsi="Arial" w:cs="Arial"/>
          <w:i/>
          <w:spacing w:val="-1"/>
          <w:sz w:val="20"/>
          <w:szCs w:val="20"/>
          <w:lang w:val="pt-PT" w:eastAsia="en-US"/>
        </w:rPr>
        <w:t xml:space="preserve"> </w:t>
      </w:r>
      <w:r w:rsidRPr="002D0770">
        <w:rPr>
          <w:rFonts w:ascii="Arial" w:eastAsia="Arial" w:hAnsi="Arial" w:cs="Arial"/>
          <w:i/>
          <w:sz w:val="20"/>
          <w:szCs w:val="20"/>
          <w:lang w:val="pt-PT" w:eastAsia="en-US"/>
        </w:rPr>
        <w:t>Standards</w:t>
      </w:r>
      <w:r w:rsidRPr="002D0770">
        <w:rPr>
          <w:rFonts w:ascii="Arial" w:eastAsia="Arial" w:hAnsi="Arial" w:cs="Arial"/>
          <w:i/>
          <w:spacing w:val="-1"/>
          <w:sz w:val="20"/>
          <w:szCs w:val="20"/>
          <w:lang w:val="pt-PT" w:eastAsia="en-US"/>
        </w:rPr>
        <w:t xml:space="preserve"> </w:t>
      </w:r>
      <w:r w:rsidRPr="002D0770">
        <w:rPr>
          <w:rFonts w:ascii="Arial" w:eastAsia="Arial" w:hAnsi="Arial" w:cs="Arial"/>
          <w:i/>
          <w:sz w:val="20"/>
          <w:szCs w:val="20"/>
          <w:lang w:val="pt-PT" w:eastAsia="en-US"/>
        </w:rPr>
        <w:t>Board –</w:t>
      </w:r>
      <w:r w:rsidRPr="002D0770">
        <w:rPr>
          <w:rFonts w:ascii="Arial" w:eastAsia="Arial" w:hAnsi="Arial" w:cs="Arial"/>
          <w:i/>
          <w:spacing w:val="-2"/>
          <w:sz w:val="20"/>
          <w:szCs w:val="20"/>
          <w:lang w:val="pt-PT" w:eastAsia="en-US"/>
        </w:rPr>
        <w:t xml:space="preserve"> </w:t>
      </w:r>
      <w:r w:rsidRPr="002D0770">
        <w:rPr>
          <w:rFonts w:ascii="Arial" w:eastAsia="Arial" w:hAnsi="Arial" w:cs="Arial"/>
          <w:i/>
          <w:sz w:val="20"/>
          <w:szCs w:val="20"/>
          <w:lang w:val="pt-PT" w:eastAsia="en-US"/>
        </w:rPr>
        <w:t>(IASB</w:t>
      </w:r>
      <w:r w:rsidRPr="002D0770">
        <w:rPr>
          <w:rFonts w:ascii="Arial" w:eastAsia="Arial" w:hAnsi="Arial" w:cs="Arial"/>
          <w:sz w:val="20"/>
          <w:szCs w:val="20"/>
          <w:lang w:val="pt-PT" w:eastAsia="en-US"/>
        </w:rPr>
        <w:t>),</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que</w:t>
      </w:r>
      <w:r w:rsidRPr="002D0770">
        <w:rPr>
          <w:rFonts w:ascii="Arial" w:eastAsia="Arial" w:hAnsi="Arial" w:cs="Arial"/>
          <w:spacing w:val="-3"/>
          <w:sz w:val="20"/>
          <w:szCs w:val="20"/>
          <w:lang w:val="pt-PT" w:eastAsia="en-US"/>
        </w:rPr>
        <w:t xml:space="preserve"> </w:t>
      </w:r>
      <w:r w:rsidRPr="002D0770">
        <w:rPr>
          <w:rFonts w:ascii="Arial" w:eastAsia="Arial" w:hAnsi="Arial" w:cs="Arial"/>
          <w:sz w:val="20"/>
          <w:szCs w:val="20"/>
          <w:lang w:val="pt-PT" w:eastAsia="en-US"/>
        </w:rPr>
        <w:t>até</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a</w:t>
      </w:r>
      <w:r w:rsidRPr="002D0770">
        <w:rPr>
          <w:rFonts w:ascii="Arial" w:eastAsia="Arial" w:hAnsi="Arial" w:cs="Arial"/>
          <w:spacing w:val="-1"/>
          <w:sz w:val="20"/>
          <w:szCs w:val="20"/>
          <w:lang w:val="pt-PT" w:eastAsia="en-US"/>
        </w:rPr>
        <w:t xml:space="preserve"> </w:t>
      </w:r>
      <w:r w:rsidRPr="002D0770">
        <w:rPr>
          <w:rFonts w:ascii="Arial" w:eastAsia="Arial" w:hAnsi="Arial" w:cs="Arial"/>
          <w:sz w:val="20"/>
          <w:szCs w:val="20"/>
          <w:lang w:val="pt-PT" w:eastAsia="en-US"/>
        </w:rPr>
        <w:t>presente</w:t>
      </w:r>
      <w:r w:rsidRPr="002D0770">
        <w:rPr>
          <w:rFonts w:ascii="Arial" w:eastAsia="Arial" w:hAnsi="Arial" w:cs="Arial"/>
          <w:spacing w:val="-2"/>
          <w:sz w:val="20"/>
          <w:szCs w:val="20"/>
          <w:lang w:val="pt-PT" w:eastAsia="en-US"/>
        </w:rPr>
        <w:t xml:space="preserve"> </w:t>
      </w:r>
      <w:r w:rsidRPr="002D0770">
        <w:rPr>
          <w:rFonts w:ascii="Arial" w:eastAsia="Arial" w:hAnsi="Arial" w:cs="Arial"/>
          <w:sz w:val="20"/>
          <w:szCs w:val="20"/>
          <w:lang w:val="pt-PT" w:eastAsia="en-US"/>
        </w:rPr>
        <w:t>data</w:t>
      </w:r>
      <w:r w:rsidRPr="002D0770">
        <w:rPr>
          <w:rFonts w:ascii="Arial" w:eastAsia="Arial" w:hAnsi="Arial" w:cs="Arial"/>
          <w:spacing w:val="-1"/>
          <w:sz w:val="20"/>
          <w:szCs w:val="20"/>
          <w:lang w:val="pt-PT" w:eastAsia="en-US"/>
        </w:rPr>
        <w:t xml:space="preserve"> </w:t>
      </w:r>
      <w:r w:rsidRPr="002D0770">
        <w:rPr>
          <w:rFonts w:ascii="Arial" w:eastAsia="Arial" w:hAnsi="Arial" w:cs="Arial"/>
          <w:sz w:val="20"/>
          <w:szCs w:val="20"/>
          <w:lang w:val="pt-PT" w:eastAsia="en-US"/>
        </w:rPr>
        <w:t>não foram elaboradas e divulgadas pela CAIXA.</w:t>
      </w:r>
    </w:p>
    <w:p w14:paraId="140693E2" w14:textId="77777777" w:rsidR="002D0770" w:rsidRPr="002D0770" w:rsidRDefault="002D0770" w:rsidP="002D0770">
      <w:pPr>
        <w:widowControl w:val="0"/>
        <w:autoSpaceDE w:val="0"/>
        <w:autoSpaceDN w:val="0"/>
        <w:rPr>
          <w:rFonts w:ascii="Arial" w:eastAsia="Arial" w:hAnsi="Arial" w:cs="Arial"/>
          <w:sz w:val="20"/>
          <w:szCs w:val="20"/>
          <w:lang w:val="pt-PT" w:eastAsia="en-US"/>
        </w:rPr>
      </w:pPr>
    </w:p>
    <w:p w14:paraId="5B63FEDF" w14:textId="77777777" w:rsidR="002D0770" w:rsidRPr="002D0770" w:rsidRDefault="002D0770" w:rsidP="002D0770">
      <w:pPr>
        <w:widowControl w:val="0"/>
        <w:autoSpaceDE w:val="0"/>
        <w:autoSpaceDN w:val="0"/>
        <w:rPr>
          <w:rFonts w:ascii="Arial" w:eastAsia="Arial" w:hAnsi="Arial" w:cs="Arial"/>
          <w:sz w:val="20"/>
          <w:szCs w:val="20"/>
          <w:lang w:val="pt-PT" w:eastAsia="en-US"/>
        </w:rPr>
      </w:pPr>
    </w:p>
    <w:p w14:paraId="26358C93" w14:textId="77777777" w:rsidR="002D0770" w:rsidRPr="002D0770" w:rsidRDefault="002D0770" w:rsidP="002D0770">
      <w:pPr>
        <w:widowControl w:val="0"/>
        <w:autoSpaceDE w:val="0"/>
        <w:autoSpaceDN w:val="0"/>
        <w:rPr>
          <w:rFonts w:ascii="Arial" w:eastAsia="Arial" w:hAnsi="Arial" w:cs="Arial"/>
          <w:sz w:val="20"/>
          <w:szCs w:val="20"/>
          <w:lang w:val="pt-PT" w:eastAsia="en-US"/>
        </w:rPr>
      </w:pPr>
    </w:p>
    <w:p w14:paraId="6F5EBBE4" w14:textId="77777777" w:rsidR="002D0770" w:rsidRPr="002D0770" w:rsidRDefault="002D0770" w:rsidP="002D0770">
      <w:pPr>
        <w:widowControl w:val="0"/>
        <w:autoSpaceDE w:val="0"/>
        <w:autoSpaceDN w:val="0"/>
        <w:spacing w:before="1"/>
        <w:ind w:left="906"/>
        <w:rPr>
          <w:rFonts w:ascii="Arial" w:eastAsia="Arial" w:hAnsi="Arial" w:cs="Arial"/>
          <w:sz w:val="20"/>
          <w:szCs w:val="20"/>
          <w:lang w:val="pt-PT" w:eastAsia="en-US"/>
        </w:rPr>
      </w:pPr>
      <w:r w:rsidRPr="002D0770">
        <w:rPr>
          <w:rFonts w:ascii="Arial" w:eastAsia="Arial" w:hAnsi="Arial" w:cs="Arial"/>
          <w:sz w:val="20"/>
          <w:szCs w:val="20"/>
          <w:lang w:val="pt-PT" w:eastAsia="en-US"/>
        </w:rPr>
        <w:t>Brasília,</w:t>
      </w:r>
      <w:r w:rsidRPr="002D0770">
        <w:rPr>
          <w:rFonts w:ascii="Arial" w:eastAsia="Arial" w:hAnsi="Arial" w:cs="Arial"/>
          <w:spacing w:val="-3"/>
          <w:sz w:val="20"/>
          <w:szCs w:val="20"/>
          <w:lang w:val="pt-PT" w:eastAsia="en-US"/>
        </w:rPr>
        <w:t xml:space="preserve"> </w:t>
      </w:r>
      <w:r w:rsidRPr="002D0770">
        <w:rPr>
          <w:rFonts w:ascii="Arial" w:eastAsia="Arial" w:hAnsi="Arial" w:cs="Arial"/>
          <w:sz w:val="20"/>
          <w:szCs w:val="20"/>
          <w:lang w:val="pt-PT" w:eastAsia="en-US"/>
        </w:rPr>
        <w:t>12</w:t>
      </w:r>
      <w:r w:rsidRPr="002D0770">
        <w:rPr>
          <w:rFonts w:ascii="Arial" w:eastAsia="Arial" w:hAnsi="Arial" w:cs="Arial"/>
          <w:spacing w:val="-6"/>
          <w:sz w:val="20"/>
          <w:szCs w:val="20"/>
          <w:lang w:val="pt-PT" w:eastAsia="en-US"/>
        </w:rPr>
        <w:t xml:space="preserve"> </w:t>
      </w:r>
      <w:r w:rsidRPr="002D0770">
        <w:rPr>
          <w:rFonts w:ascii="Arial" w:eastAsia="Arial" w:hAnsi="Arial" w:cs="Arial"/>
          <w:sz w:val="20"/>
          <w:szCs w:val="20"/>
          <w:lang w:val="pt-PT" w:eastAsia="en-US"/>
        </w:rPr>
        <w:t>de</w:t>
      </w:r>
      <w:r w:rsidRPr="002D0770">
        <w:rPr>
          <w:rFonts w:ascii="Arial" w:eastAsia="Arial" w:hAnsi="Arial" w:cs="Arial"/>
          <w:spacing w:val="-5"/>
          <w:sz w:val="20"/>
          <w:szCs w:val="20"/>
          <w:lang w:val="pt-PT" w:eastAsia="en-US"/>
        </w:rPr>
        <w:t xml:space="preserve"> </w:t>
      </w:r>
      <w:r w:rsidRPr="002D0770">
        <w:rPr>
          <w:rFonts w:ascii="Arial" w:eastAsia="Arial" w:hAnsi="Arial" w:cs="Arial"/>
          <w:sz w:val="20"/>
          <w:szCs w:val="20"/>
          <w:lang w:val="pt-PT" w:eastAsia="en-US"/>
        </w:rPr>
        <w:t>maio</w:t>
      </w:r>
      <w:r w:rsidRPr="002D0770">
        <w:rPr>
          <w:rFonts w:ascii="Arial" w:eastAsia="Arial" w:hAnsi="Arial" w:cs="Arial"/>
          <w:spacing w:val="-6"/>
          <w:sz w:val="20"/>
          <w:szCs w:val="20"/>
          <w:lang w:val="pt-PT" w:eastAsia="en-US"/>
        </w:rPr>
        <w:t xml:space="preserve"> </w:t>
      </w:r>
      <w:r w:rsidRPr="002D0770">
        <w:rPr>
          <w:rFonts w:ascii="Arial" w:eastAsia="Arial" w:hAnsi="Arial" w:cs="Arial"/>
          <w:sz w:val="20"/>
          <w:szCs w:val="20"/>
          <w:lang w:val="pt-PT" w:eastAsia="en-US"/>
        </w:rPr>
        <w:t>de</w:t>
      </w:r>
      <w:r w:rsidRPr="002D0770">
        <w:rPr>
          <w:rFonts w:ascii="Arial" w:eastAsia="Arial" w:hAnsi="Arial" w:cs="Arial"/>
          <w:spacing w:val="-4"/>
          <w:sz w:val="20"/>
          <w:szCs w:val="20"/>
          <w:lang w:val="pt-PT" w:eastAsia="en-US"/>
        </w:rPr>
        <w:t xml:space="preserve"> 2026</w:t>
      </w:r>
    </w:p>
    <w:p w14:paraId="205B0787" w14:textId="77777777" w:rsidR="002D0770" w:rsidRPr="002D0770" w:rsidRDefault="002D0770" w:rsidP="002D0770">
      <w:pPr>
        <w:widowControl w:val="0"/>
        <w:autoSpaceDE w:val="0"/>
        <w:autoSpaceDN w:val="0"/>
        <w:rPr>
          <w:rFonts w:ascii="Arial" w:eastAsia="Arial" w:hAnsi="Arial" w:cs="Arial"/>
          <w:sz w:val="20"/>
          <w:szCs w:val="20"/>
          <w:lang w:val="pt-PT" w:eastAsia="en-US"/>
        </w:rPr>
      </w:pPr>
    </w:p>
    <w:p w14:paraId="5F3C7685" w14:textId="77777777" w:rsidR="002D0770" w:rsidRPr="002D0770" w:rsidRDefault="002D0770" w:rsidP="002D0770">
      <w:pPr>
        <w:widowControl w:val="0"/>
        <w:autoSpaceDE w:val="0"/>
        <w:autoSpaceDN w:val="0"/>
        <w:spacing w:before="1"/>
        <w:rPr>
          <w:rFonts w:ascii="Arial" w:eastAsia="Arial" w:hAnsi="Arial" w:cs="Arial"/>
          <w:sz w:val="20"/>
          <w:szCs w:val="20"/>
          <w:lang w:val="pt-PT" w:eastAsia="en-US"/>
        </w:rPr>
      </w:pPr>
    </w:p>
    <w:p w14:paraId="2D9BBA2A" w14:textId="77777777" w:rsidR="002D0770" w:rsidRPr="002D0770" w:rsidRDefault="002D0770" w:rsidP="002D0770">
      <w:pPr>
        <w:widowControl w:val="0"/>
        <w:autoSpaceDE w:val="0"/>
        <w:autoSpaceDN w:val="0"/>
        <w:ind w:left="906" w:right="4434"/>
        <w:rPr>
          <w:rFonts w:ascii="Arial" w:eastAsia="Arial" w:hAnsi="Arial" w:cs="Arial"/>
          <w:sz w:val="20"/>
          <w:szCs w:val="20"/>
          <w:lang w:val="pt-PT" w:eastAsia="en-US"/>
        </w:rPr>
      </w:pPr>
      <w:r w:rsidRPr="002D0770">
        <w:rPr>
          <w:rFonts w:ascii="Arial" w:eastAsia="Arial" w:hAnsi="Arial" w:cs="Arial"/>
          <w:sz w:val="20"/>
          <w:szCs w:val="20"/>
          <w:lang w:val="pt-PT" w:eastAsia="en-US"/>
        </w:rPr>
        <w:t>KPMG</w:t>
      </w:r>
      <w:r w:rsidRPr="002D0770">
        <w:rPr>
          <w:rFonts w:ascii="Arial" w:eastAsia="Arial" w:hAnsi="Arial" w:cs="Arial"/>
          <w:spacing w:val="-12"/>
          <w:sz w:val="20"/>
          <w:szCs w:val="20"/>
          <w:lang w:val="pt-PT" w:eastAsia="en-US"/>
        </w:rPr>
        <w:t xml:space="preserve"> </w:t>
      </w:r>
      <w:r w:rsidRPr="002D0770">
        <w:rPr>
          <w:rFonts w:ascii="Arial" w:eastAsia="Arial" w:hAnsi="Arial" w:cs="Arial"/>
          <w:sz w:val="20"/>
          <w:szCs w:val="20"/>
          <w:lang w:val="pt-PT" w:eastAsia="en-US"/>
        </w:rPr>
        <w:t>Auditores</w:t>
      </w:r>
      <w:r w:rsidRPr="002D0770">
        <w:rPr>
          <w:rFonts w:ascii="Arial" w:eastAsia="Arial" w:hAnsi="Arial" w:cs="Arial"/>
          <w:spacing w:val="-12"/>
          <w:sz w:val="20"/>
          <w:szCs w:val="20"/>
          <w:lang w:val="pt-PT" w:eastAsia="en-US"/>
        </w:rPr>
        <w:t xml:space="preserve"> </w:t>
      </w:r>
      <w:r w:rsidRPr="002D0770">
        <w:rPr>
          <w:rFonts w:ascii="Arial" w:eastAsia="Arial" w:hAnsi="Arial" w:cs="Arial"/>
          <w:sz w:val="20"/>
          <w:szCs w:val="20"/>
          <w:lang w:val="pt-PT" w:eastAsia="en-US"/>
        </w:rPr>
        <w:t>Independentes</w:t>
      </w:r>
      <w:r w:rsidRPr="002D0770">
        <w:rPr>
          <w:rFonts w:ascii="Arial" w:eastAsia="Arial" w:hAnsi="Arial" w:cs="Arial"/>
          <w:spacing w:val="-12"/>
          <w:sz w:val="20"/>
          <w:szCs w:val="20"/>
          <w:lang w:val="pt-PT" w:eastAsia="en-US"/>
        </w:rPr>
        <w:t xml:space="preserve"> </w:t>
      </w:r>
      <w:r w:rsidRPr="002D0770">
        <w:rPr>
          <w:rFonts w:ascii="Arial" w:eastAsia="Arial" w:hAnsi="Arial" w:cs="Arial"/>
          <w:sz w:val="20"/>
          <w:szCs w:val="20"/>
          <w:lang w:val="pt-PT" w:eastAsia="en-US"/>
        </w:rPr>
        <w:t>Ltda. CRC SP-014428/F-0</w:t>
      </w:r>
    </w:p>
    <w:p w14:paraId="4A419BAC" w14:textId="77777777" w:rsidR="002D0770" w:rsidRPr="002D0770" w:rsidRDefault="002D0770" w:rsidP="002D0770">
      <w:pPr>
        <w:widowControl w:val="0"/>
        <w:autoSpaceDE w:val="0"/>
        <w:autoSpaceDN w:val="0"/>
        <w:spacing w:before="5"/>
        <w:rPr>
          <w:rFonts w:ascii="Arial" w:eastAsia="Arial" w:hAnsi="Arial" w:cs="Arial"/>
          <w:sz w:val="14"/>
          <w:szCs w:val="20"/>
          <w:lang w:val="pt-PT" w:eastAsia="en-US"/>
        </w:rPr>
      </w:pPr>
      <w:r w:rsidRPr="002D0770">
        <w:rPr>
          <w:rFonts w:ascii="Arial" w:eastAsia="Arial" w:hAnsi="Arial" w:cs="Arial"/>
          <w:noProof/>
          <w:sz w:val="14"/>
          <w:szCs w:val="20"/>
          <w:lang w:val="pt-PT" w:eastAsia="en-US"/>
        </w:rPr>
        <w:drawing>
          <wp:anchor distT="0" distB="0" distL="0" distR="0" simplePos="0" relativeHeight="251658242" behindDoc="1" locked="0" layoutInCell="1" allowOverlap="1" wp14:anchorId="7F01ACDF" wp14:editId="7E51F00D">
            <wp:simplePos x="0" y="0"/>
            <wp:positionH relativeFrom="page">
              <wp:posOffset>1647317</wp:posOffset>
            </wp:positionH>
            <wp:positionV relativeFrom="paragraph">
              <wp:posOffset>120685</wp:posOffset>
            </wp:positionV>
            <wp:extent cx="1619252" cy="331946"/>
            <wp:effectExtent l="0" t="0" r="0" b="0"/>
            <wp:wrapTopAndBottom/>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09" cstate="print"/>
                    <a:stretch>
                      <a:fillRect/>
                    </a:stretch>
                  </pic:blipFill>
                  <pic:spPr>
                    <a:xfrm>
                      <a:off x="0" y="0"/>
                      <a:ext cx="1619252" cy="331946"/>
                    </a:xfrm>
                    <a:prstGeom prst="rect">
                      <a:avLst/>
                    </a:prstGeom>
                  </pic:spPr>
                </pic:pic>
              </a:graphicData>
            </a:graphic>
          </wp:anchor>
        </w:drawing>
      </w:r>
    </w:p>
    <w:p w14:paraId="51FDFB16" w14:textId="77777777" w:rsidR="002D0770" w:rsidRPr="002D0770" w:rsidRDefault="002D0770" w:rsidP="002D0770">
      <w:pPr>
        <w:widowControl w:val="0"/>
        <w:autoSpaceDE w:val="0"/>
        <w:autoSpaceDN w:val="0"/>
        <w:ind w:left="906" w:right="5265"/>
        <w:rPr>
          <w:rFonts w:ascii="Arial" w:eastAsia="Arial" w:hAnsi="Arial" w:cs="Arial"/>
          <w:sz w:val="20"/>
          <w:szCs w:val="20"/>
          <w:lang w:val="pt-PT" w:eastAsia="en-US"/>
        </w:rPr>
      </w:pPr>
      <w:r w:rsidRPr="002D0770">
        <w:rPr>
          <w:rFonts w:ascii="Arial" w:eastAsia="Arial" w:hAnsi="Arial" w:cs="Arial"/>
          <w:sz w:val="20"/>
          <w:szCs w:val="20"/>
          <w:lang w:val="pt-PT" w:eastAsia="en-US"/>
        </w:rPr>
        <w:t>Carlos</w:t>
      </w:r>
      <w:r w:rsidRPr="002D0770">
        <w:rPr>
          <w:rFonts w:ascii="Arial" w:eastAsia="Arial" w:hAnsi="Arial" w:cs="Arial"/>
          <w:spacing w:val="-14"/>
          <w:sz w:val="20"/>
          <w:szCs w:val="20"/>
          <w:lang w:val="pt-PT" w:eastAsia="en-US"/>
        </w:rPr>
        <w:t xml:space="preserve"> </w:t>
      </w:r>
      <w:r w:rsidRPr="002D0770">
        <w:rPr>
          <w:rFonts w:ascii="Arial" w:eastAsia="Arial" w:hAnsi="Arial" w:cs="Arial"/>
          <w:sz w:val="20"/>
          <w:szCs w:val="20"/>
          <w:lang w:val="pt-PT" w:eastAsia="en-US"/>
        </w:rPr>
        <w:t>Massao</w:t>
      </w:r>
      <w:r w:rsidRPr="002D0770">
        <w:rPr>
          <w:rFonts w:ascii="Arial" w:eastAsia="Arial" w:hAnsi="Arial" w:cs="Arial"/>
          <w:spacing w:val="-14"/>
          <w:sz w:val="20"/>
          <w:szCs w:val="20"/>
          <w:lang w:val="pt-PT" w:eastAsia="en-US"/>
        </w:rPr>
        <w:t xml:space="preserve"> </w:t>
      </w:r>
      <w:r w:rsidRPr="002D0770">
        <w:rPr>
          <w:rFonts w:ascii="Arial" w:eastAsia="Arial" w:hAnsi="Arial" w:cs="Arial"/>
          <w:sz w:val="20"/>
          <w:szCs w:val="20"/>
          <w:lang w:val="pt-PT" w:eastAsia="en-US"/>
        </w:rPr>
        <w:t xml:space="preserve">Takauthi </w:t>
      </w:r>
      <w:r w:rsidRPr="002D0770">
        <w:rPr>
          <w:rFonts w:ascii="Arial" w:eastAsia="Arial" w:hAnsi="Arial" w:cs="Arial"/>
          <w:spacing w:val="-2"/>
          <w:sz w:val="20"/>
          <w:szCs w:val="20"/>
          <w:lang w:val="pt-PT" w:eastAsia="en-US"/>
        </w:rPr>
        <w:t>Contador</w:t>
      </w:r>
    </w:p>
    <w:p w14:paraId="17966086" w14:textId="77777777" w:rsidR="002D0770" w:rsidRPr="002D0770" w:rsidRDefault="002D0770" w:rsidP="002D0770">
      <w:pPr>
        <w:widowControl w:val="0"/>
        <w:autoSpaceDE w:val="0"/>
        <w:autoSpaceDN w:val="0"/>
        <w:spacing w:line="228" w:lineRule="exact"/>
        <w:ind w:left="906"/>
        <w:rPr>
          <w:rFonts w:ascii="Arial" w:eastAsia="Arial" w:hAnsi="Arial" w:cs="Arial"/>
          <w:sz w:val="20"/>
          <w:szCs w:val="20"/>
          <w:lang w:val="pt-PT" w:eastAsia="en-US"/>
        </w:rPr>
      </w:pPr>
      <w:r w:rsidRPr="002D0770">
        <w:rPr>
          <w:rFonts w:ascii="Arial" w:eastAsia="Arial" w:hAnsi="Arial" w:cs="Arial"/>
          <w:spacing w:val="-2"/>
          <w:sz w:val="20"/>
          <w:szCs w:val="20"/>
          <w:lang w:val="pt-PT" w:eastAsia="en-US"/>
        </w:rPr>
        <w:t>CRC</w:t>
      </w:r>
      <w:r w:rsidRPr="002D0770">
        <w:rPr>
          <w:rFonts w:ascii="Arial" w:eastAsia="Arial" w:hAnsi="Arial" w:cs="Arial"/>
          <w:spacing w:val="9"/>
          <w:sz w:val="20"/>
          <w:szCs w:val="20"/>
          <w:lang w:val="pt-PT" w:eastAsia="en-US"/>
        </w:rPr>
        <w:t xml:space="preserve"> </w:t>
      </w:r>
      <w:r w:rsidRPr="002D0770">
        <w:rPr>
          <w:rFonts w:ascii="Arial" w:eastAsia="Arial" w:hAnsi="Arial" w:cs="Arial"/>
          <w:spacing w:val="-2"/>
          <w:sz w:val="20"/>
          <w:szCs w:val="20"/>
          <w:lang w:val="pt-PT" w:eastAsia="en-US"/>
        </w:rPr>
        <w:t>1SP-206103/O-</w:t>
      </w:r>
      <w:r w:rsidRPr="002D0770">
        <w:rPr>
          <w:rFonts w:ascii="Arial" w:eastAsia="Arial" w:hAnsi="Arial" w:cs="Arial"/>
          <w:spacing w:val="-10"/>
          <w:sz w:val="20"/>
          <w:szCs w:val="20"/>
          <w:lang w:val="pt-PT" w:eastAsia="en-US"/>
        </w:rPr>
        <w:t>4</w:t>
      </w:r>
    </w:p>
    <w:p w14:paraId="2F25A748" w14:textId="175A91DA" w:rsidR="00BB5647" w:rsidRDefault="00BB5647" w:rsidP="00124AA1">
      <w:pPr>
        <w:pStyle w:val="Corpodetexto"/>
        <w:kinsoku w:val="0"/>
        <w:overflowPunct w:val="0"/>
      </w:pPr>
    </w:p>
    <w:sectPr w:rsidR="00BB5647" w:rsidSect="002D0770">
      <w:pgSz w:w="11920" w:h="16850"/>
      <w:pgMar w:top="2000" w:right="1133" w:bottom="1140" w:left="1700" w:header="1408" w:footer="95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F8F409" w14:textId="77777777" w:rsidR="00C824B2" w:rsidRDefault="00C824B2">
      <w:r>
        <w:separator/>
      </w:r>
    </w:p>
  </w:endnote>
  <w:endnote w:type="continuationSeparator" w:id="0">
    <w:p w14:paraId="42214866" w14:textId="77777777" w:rsidR="00C824B2" w:rsidRDefault="00C824B2">
      <w:r>
        <w:continuationSeparator/>
      </w:r>
    </w:p>
  </w:endnote>
  <w:endnote w:type="continuationNotice" w:id="1">
    <w:p w14:paraId="56641462" w14:textId="77777777" w:rsidR="00C824B2" w:rsidRDefault="00C824B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Light">
    <w:charset w:val="80"/>
    <w:family w:val="roman"/>
    <w:pitch w:val="variable"/>
    <w:sig w:usb0="800002E7" w:usb1="2AC7FCFF" w:usb2="00000012" w:usb3="00000000" w:csb0="0002009F" w:csb1="00000000"/>
  </w:font>
  <w:font w:name="CAIXA Std Book">
    <w:altName w:val="Calibri"/>
    <w:panose1 w:val="020B0503020204030204"/>
    <w:charset w:val="00"/>
    <w:family w:val="swiss"/>
    <w:pitch w:val="variable"/>
    <w:sig w:usb0="A00000EF" w:usb1="4000205B" w:usb2="00000000" w:usb3="00000000" w:csb0="00000093"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BancoDoBrasil Textos">
    <w:altName w:val="Calibri"/>
    <w:charset w:val="00"/>
    <w:family w:val="auto"/>
    <w:pitch w:val="variable"/>
    <w:sig w:usb0="00000003" w:usb1="00000001"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Futura Std Book">
    <w:panose1 w:val="00000000000000000000"/>
    <w:charset w:val="00"/>
    <w:family w:val="swiss"/>
    <w:notTrueType/>
    <w:pitch w:val="variable"/>
    <w:sig w:usb0="800000AF" w:usb1="4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Futura Lt BT">
    <w:altName w:val="Calibri"/>
    <w:charset w:val="00"/>
    <w:family w:val="swiss"/>
    <w:pitch w:val="variable"/>
    <w:sig w:usb0="00000087" w:usb1="00000000" w:usb2="00000000" w:usb3="00000000" w:csb0="0000001B" w:csb1="00000000"/>
  </w:font>
  <w:font w:name="Aptos Narrow">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BFE565" w14:textId="0230B61F" w:rsidR="00091962" w:rsidRDefault="00091962">
    <w:pPr>
      <w:pStyle w:val="Rodap"/>
    </w:pPr>
  </w:p>
  <w:p w14:paraId="395EAF74" w14:textId="77777777" w:rsidR="00091962" w:rsidRDefault="00091962"/>
  <w:p w14:paraId="045A08FB" w14:textId="77777777" w:rsidR="00091962" w:rsidRDefault="00091962"/>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ABCDC5" w14:textId="77777777" w:rsidR="009755B3" w:rsidRDefault="009755B3" w:rsidP="002663A8">
    <w:pPr>
      <w:pStyle w:val="Rodap"/>
      <w:tabs>
        <w:tab w:val="clear" w:pos="4252"/>
        <w:tab w:val="clear" w:pos="8504"/>
        <w:tab w:val="center" w:pos="4820"/>
      </w:tabs>
    </w:pPr>
    <w:r>
      <w:rPr>
        <w:noProof/>
      </w:rPr>
      <w:drawing>
        <wp:anchor distT="0" distB="0" distL="114300" distR="114300" simplePos="0" relativeHeight="251658295" behindDoc="1" locked="0" layoutInCell="1" allowOverlap="1" wp14:anchorId="1BF234E0" wp14:editId="35E327E1">
          <wp:simplePos x="0" y="0"/>
          <wp:positionH relativeFrom="column">
            <wp:posOffset>-970915</wp:posOffset>
          </wp:positionH>
          <wp:positionV relativeFrom="paragraph">
            <wp:posOffset>330835</wp:posOffset>
          </wp:positionV>
          <wp:extent cx="7617460" cy="647065"/>
          <wp:effectExtent l="0" t="0" r="2540" b="635"/>
          <wp:wrapNone/>
          <wp:docPr id="1644164692" name="Imagem 1644164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7617460" cy="647065"/>
                  </a:xfrm>
                  <a:prstGeom prst="rect">
                    <a:avLst/>
                  </a:prstGeom>
                </pic:spPr>
              </pic:pic>
            </a:graphicData>
          </a:graphic>
          <wp14:sizeRelH relativeFrom="page">
            <wp14:pctWidth>0</wp14:pctWidth>
          </wp14:sizeRelH>
          <wp14:sizeRelV relativeFrom="page">
            <wp14:pctHeight>0</wp14:pctHeight>
          </wp14:sizeRelV>
        </wp:anchor>
      </w:drawing>
    </w:r>
  </w:p>
  <w:sdt>
    <w:sdtPr>
      <w:rPr>
        <w:rStyle w:val="Nmerodepgina"/>
        <w:rFonts w:ascii="Arial" w:hAnsi="Arial" w:cs="Arial"/>
        <w:b/>
        <w:bCs/>
        <w:color w:val="FFFFFF" w:themeColor="background1"/>
        <w:sz w:val="36"/>
        <w:szCs w:val="36"/>
      </w:rPr>
      <w:id w:val="1495533791"/>
      <w:docPartObj>
        <w:docPartGallery w:val="Page Numbers (Bottom of Page)"/>
        <w:docPartUnique/>
      </w:docPartObj>
    </w:sdtPr>
    <w:sdtEndPr>
      <w:rPr>
        <w:rStyle w:val="Nmerodepgina"/>
        <w:sz w:val="52"/>
        <w:szCs w:val="52"/>
      </w:rPr>
    </w:sdtEndPr>
    <w:sdtContent>
      <w:p w14:paraId="4C01C5BF" w14:textId="77777777" w:rsidR="009755B3" w:rsidRPr="00D078E7" w:rsidRDefault="009755B3" w:rsidP="00F06837">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896960490"/>
      <w:docPartObj>
        <w:docPartGallery w:val="Page Numbers (Bottom of Page)"/>
        <w:docPartUnique/>
      </w:docPartObj>
    </w:sdtPr>
    <w:sdtEndPr>
      <w:rPr>
        <w:rStyle w:val="Nmerodepgina"/>
        <w:sz w:val="52"/>
        <w:szCs w:val="52"/>
      </w:rPr>
    </w:sdtEndPr>
    <w:sdtContent>
      <w:p w14:paraId="7B0C1FA7" w14:textId="77777777" w:rsidR="009755B3" w:rsidRPr="00D078E7" w:rsidRDefault="009755B3" w:rsidP="00F06837">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259995153"/>
      <w:docPartObj>
        <w:docPartGallery w:val="Page Numbers (Bottom of Page)"/>
        <w:docPartUnique/>
      </w:docPartObj>
    </w:sdtPr>
    <w:sdtEndPr>
      <w:rPr>
        <w:rStyle w:val="Nmerodepgina"/>
        <w:sz w:val="52"/>
        <w:szCs w:val="52"/>
      </w:rPr>
    </w:sdtEndPr>
    <w:sdtContent>
      <w:p w14:paraId="1B273FC2" w14:textId="77777777" w:rsidR="009755B3" w:rsidRPr="00D078E7" w:rsidRDefault="009755B3" w:rsidP="00F06837">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296570077"/>
      <w:docPartObj>
        <w:docPartGallery w:val="Page Numbers (Bottom of Page)"/>
        <w:docPartUnique/>
      </w:docPartObj>
    </w:sdtPr>
    <w:sdtEndPr>
      <w:rPr>
        <w:rStyle w:val="Nmerodepgina"/>
        <w:sz w:val="52"/>
        <w:szCs w:val="52"/>
      </w:rPr>
    </w:sdtEndPr>
    <w:sdtContent>
      <w:p w14:paraId="4BC5B324" w14:textId="77777777" w:rsidR="009755B3" w:rsidRPr="00D078E7" w:rsidRDefault="009755B3" w:rsidP="00F06837">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875198434"/>
      <w:docPartObj>
        <w:docPartGallery w:val="Page Numbers (Bottom of Page)"/>
        <w:docPartUnique/>
      </w:docPartObj>
    </w:sdtPr>
    <w:sdtEndPr>
      <w:rPr>
        <w:rStyle w:val="Nmerodepgina"/>
        <w:sz w:val="52"/>
        <w:szCs w:val="52"/>
      </w:rPr>
    </w:sdtEndPr>
    <w:sdtContent>
      <w:p w14:paraId="7A7658B9" w14:textId="77777777" w:rsidR="009755B3" w:rsidRPr="00D078E7" w:rsidRDefault="009755B3" w:rsidP="00F06837">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688294765"/>
      <w:docPartObj>
        <w:docPartGallery w:val="Page Numbers (Bottom of Page)"/>
        <w:docPartUnique/>
      </w:docPartObj>
    </w:sdtPr>
    <w:sdtEndPr>
      <w:rPr>
        <w:rStyle w:val="Nmerodepgina"/>
        <w:sz w:val="52"/>
        <w:szCs w:val="52"/>
      </w:rPr>
    </w:sdtEndPr>
    <w:sdtContent>
      <w:p w14:paraId="29369995" w14:textId="77777777" w:rsidR="009755B3" w:rsidRPr="00D078E7" w:rsidRDefault="009755B3" w:rsidP="00F06837">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2069177386"/>
      <w:docPartObj>
        <w:docPartGallery w:val="Page Numbers (Bottom of Page)"/>
        <w:docPartUnique/>
      </w:docPartObj>
    </w:sdtPr>
    <w:sdtEndPr>
      <w:rPr>
        <w:rStyle w:val="Nmerodepgina"/>
        <w:sz w:val="52"/>
        <w:szCs w:val="52"/>
      </w:rPr>
    </w:sdtEndPr>
    <w:sdtContent>
      <w:p w14:paraId="2EAEC405" w14:textId="77777777" w:rsidR="009755B3" w:rsidRPr="00D078E7" w:rsidRDefault="009755B3" w:rsidP="00F06837">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31889130"/>
      <w:docPartObj>
        <w:docPartGallery w:val="Page Numbers (Bottom of Page)"/>
        <w:docPartUnique/>
      </w:docPartObj>
    </w:sdtPr>
    <w:sdtEndPr>
      <w:rPr>
        <w:rStyle w:val="Nmerodepgina"/>
        <w:sz w:val="52"/>
        <w:szCs w:val="52"/>
      </w:rPr>
    </w:sdtEndPr>
    <w:sdtContent>
      <w:p w14:paraId="01A2B3F6" w14:textId="77777777" w:rsidR="009755B3" w:rsidRPr="00D078E7" w:rsidRDefault="009755B3" w:rsidP="00F06837">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761756513"/>
      <w:docPartObj>
        <w:docPartGallery w:val="Page Numbers (Bottom of Page)"/>
        <w:docPartUnique/>
      </w:docPartObj>
    </w:sdtPr>
    <w:sdtEndPr>
      <w:rPr>
        <w:rStyle w:val="Nmerodepgina"/>
        <w:sz w:val="52"/>
        <w:szCs w:val="52"/>
      </w:rPr>
    </w:sdtEndPr>
    <w:sdtContent>
      <w:p w14:paraId="59DE8410" w14:textId="77777777" w:rsidR="009755B3" w:rsidRPr="00D078E7" w:rsidRDefault="009755B3" w:rsidP="00CB3E22">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7</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790402744"/>
      <w:docPartObj>
        <w:docPartGallery w:val="Page Numbers (Bottom of Page)"/>
        <w:docPartUnique/>
      </w:docPartObj>
    </w:sdtPr>
    <w:sdtEndPr>
      <w:rPr>
        <w:rStyle w:val="Nmerodepgina"/>
        <w:sz w:val="52"/>
        <w:szCs w:val="52"/>
      </w:rPr>
    </w:sdtEndPr>
    <w:sdtContent>
      <w:p w14:paraId="487D2D49" w14:textId="77777777" w:rsidR="009755B3" w:rsidRPr="00D078E7" w:rsidRDefault="009755B3" w:rsidP="00CB3E22">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7</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2070607973"/>
      <w:docPartObj>
        <w:docPartGallery w:val="Page Numbers (Bottom of Page)"/>
        <w:docPartUnique/>
      </w:docPartObj>
    </w:sdtPr>
    <w:sdtEndPr>
      <w:rPr>
        <w:rStyle w:val="Nmerodepgina"/>
        <w:sz w:val="52"/>
        <w:szCs w:val="52"/>
      </w:rPr>
    </w:sdtEndPr>
    <w:sdtContent>
      <w:p w14:paraId="053F15CD" w14:textId="77777777" w:rsidR="009755B3" w:rsidRPr="00D078E7" w:rsidRDefault="009755B3" w:rsidP="00CB3E22">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7</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140254186"/>
      <w:docPartObj>
        <w:docPartGallery w:val="Page Numbers (Bottom of Page)"/>
        <w:docPartUnique/>
      </w:docPartObj>
    </w:sdtPr>
    <w:sdtEndPr>
      <w:rPr>
        <w:rStyle w:val="Nmerodepgina"/>
        <w:sz w:val="52"/>
        <w:szCs w:val="52"/>
      </w:rPr>
    </w:sdtEndPr>
    <w:sdtContent>
      <w:p w14:paraId="60340980" w14:textId="77777777" w:rsidR="009755B3" w:rsidRPr="00D078E7" w:rsidRDefault="009755B3" w:rsidP="00CB3E22">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7702433"/>
      <w:docPartObj>
        <w:docPartGallery w:val="Page Numbers (Bottom of Page)"/>
        <w:docPartUnique/>
      </w:docPartObj>
    </w:sdtPr>
    <w:sdtEndPr>
      <w:rPr>
        <w:rStyle w:val="Nmerodepgina"/>
        <w:sz w:val="52"/>
        <w:szCs w:val="52"/>
      </w:rPr>
    </w:sdtEndPr>
    <w:sdtContent>
      <w:p w14:paraId="475D5DE6" w14:textId="77777777" w:rsidR="009755B3" w:rsidRPr="00D078E7" w:rsidRDefault="009755B3" w:rsidP="002663A8">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983926263"/>
      <w:docPartObj>
        <w:docPartGallery w:val="Page Numbers (Bottom of Page)"/>
        <w:docPartUnique/>
      </w:docPartObj>
    </w:sdtPr>
    <w:sdtEndPr>
      <w:rPr>
        <w:rStyle w:val="Nmerodepgina"/>
        <w:sz w:val="52"/>
        <w:szCs w:val="52"/>
      </w:rPr>
    </w:sdtEndPr>
    <w:sdtContent>
      <w:p w14:paraId="63E817B2" w14:textId="77777777" w:rsidR="009755B3" w:rsidRPr="00D078E7" w:rsidRDefault="009755B3" w:rsidP="002663A8">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264000142"/>
      <w:docPartObj>
        <w:docPartGallery w:val="Page Numbers (Bottom of Page)"/>
        <w:docPartUnique/>
      </w:docPartObj>
    </w:sdtPr>
    <w:sdtEndPr>
      <w:rPr>
        <w:rStyle w:val="Nmerodepgina"/>
        <w:sz w:val="52"/>
        <w:szCs w:val="52"/>
      </w:rPr>
    </w:sdtEndPr>
    <w:sdtContent>
      <w:p w14:paraId="59E1EB05" w14:textId="77777777" w:rsidR="009755B3" w:rsidRPr="00D078E7" w:rsidRDefault="009755B3" w:rsidP="002663A8">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30785821"/>
      <w:docPartObj>
        <w:docPartGallery w:val="Page Numbers (Bottom of Page)"/>
        <w:docPartUnique/>
      </w:docPartObj>
    </w:sdtPr>
    <w:sdtEndPr>
      <w:rPr>
        <w:rStyle w:val="Nmerodepgina"/>
        <w:sz w:val="52"/>
        <w:szCs w:val="52"/>
      </w:rPr>
    </w:sdtEndPr>
    <w:sdtContent>
      <w:p w14:paraId="4B01F31C" w14:textId="77777777" w:rsidR="009755B3" w:rsidRPr="00D078E7" w:rsidRDefault="009755B3" w:rsidP="00A85534">
        <w:pPr>
          <w:pStyle w:val="Rodap"/>
          <w:framePr w:wrap="notBeside" w:vAnchor="text" w:hAnchor="page" w:x="11121" w:y="41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6</w:t>
        </w:r>
        <w:r w:rsidRPr="00D078E7">
          <w:rPr>
            <w:rStyle w:val="Nmerodepgina"/>
            <w:rFonts w:ascii="Arial" w:hAnsi="Arial" w:cs="Arial"/>
            <w:b/>
            <w:bCs/>
            <w:color w:val="FFFFFF" w:themeColor="background1"/>
            <w:sz w:val="36"/>
            <w:szCs w:val="36"/>
          </w:rPr>
          <w:fldChar w:fldCharType="end"/>
        </w:r>
      </w:p>
    </w:sdtContent>
  </w:sdt>
  <w:p w14:paraId="24D86046" w14:textId="77777777" w:rsidR="009755B3" w:rsidRPr="00C93338" w:rsidRDefault="009755B3" w:rsidP="00A50956">
    <w:pPr>
      <w:pStyle w:val="Rodap"/>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9817C" w14:textId="0B815B2F" w:rsidR="00D0612D" w:rsidRPr="006B2175" w:rsidRDefault="00D0612D" w:rsidP="00B61FB7">
    <w:pPr>
      <w:pStyle w:val="Rodap"/>
      <w:rPr>
        <w:rStyle w:val="Nmerodepgina"/>
        <w:rFonts w:ascii="Arial" w:hAnsi="Arial" w:cs="Arial"/>
        <w:b/>
        <w:bCs/>
        <w:color w:val="FFFFFF" w:themeColor="background1"/>
        <w:sz w:val="40"/>
        <w:szCs w:val="40"/>
      </w:rPr>
    </w:pPr>
    <w:r w:rsidRPr="006B2175">
      <w:rPr>
        <w:noProof/>
        <w:sz w:val="28"/>
        <w:szCs w:val="28"/>
      </w:rPr>
      <w:drawing>
        <wp:anchor distT="0" distB="0" distL="114300" distR="114300" simplePos="0" relativeHeight="251658306" behindDoc="1" locked="0" layoutInCell="1" allowOverlap="1" wp14:anchorId="7453EA9A" wp14:editId="5A4FB744">
          <wp:simplePos x="0" y="0"/>
          <wp:positionH relativeFrom="column">
            <wp:posOffset>-757927</wp:posOffset>
          </wp:positionH>
          <wp:positionV relativeFrom="paragraph">
            <wp:posOffset>383070</wp:posOffset>
          </wp:positionV>
          <wp:extent cx="10534765" cy="659765"/>
          <wp:effectExtent l="0" t="0" r="0" b="6985"/>
          <wp:wrapNone/>
          <wp:docPr id="1370317938" name="Imagem 1370317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10535110" cy="659787"/>
                  </a:xfrm>
                  <a:prstGeom prst="rect">
                    <a:avLst/>
                  </a:prstGeom>
                </pic:spPr>
              </pic:pic>
            </a:graphicData>
          </a:graphic>
          <wp14:sizeRelH relativeFrom="page">
            <wp14:pctWidth>0</wp14:pctWidth>
          </wp14:sizeRelH>
          <wp14:sizeRelV relativeFrom="page">
            <wp14:pctHeight>0</wp14:pctHeight>
          </wp14:sizeRelV>
        </wp:anchor>
      </w:drawing>
    </w:r>
  </w:p>
  <w:sdt>
    <w:sdtPr>
      <w:rPr>
        <w:rStyle w:val="Nmerodepgina"/>
        <w:rFonts w:ascii="Arial" w:hAnsi="Arial" w:cs="Arial"/>
        <w:b/>
        <w:bCs/>
        <w:color w:val="FFFFFF" w:themeColor="background1"/>
        <w:sz w:val="40"/>
        <w:szCs w:val="40"/>
      </w:rPr>
      <w:id w:val="-1954775881"/>
      <w:docPartObj>
        <w:docPartGallery w:val="Page Numbers (Bottom of Page)"/>
        <w:docPartUnique/>
      </w:docPartObj>
    </w:sdtPr>
    <w:sdtEndPr>
      <w:rPr>
        <w:rStyle w:val="Nmerodepgina"/>
        <w:sz w:val="56"/>
        <w:szCs w:val="56"/>
      </w:rPr>
    </w:sdtEndPr>
    <w:sdtContent>
      <w:p w14:paraId="67A425D9" w14:textId="77777777" w:rsidR="00805827" w:rsidRPr="006B2175" w:rsidRDefault="00805827" w:rsidP="00B61FB7">
        <w:pPr>
          <w:pStyle w:val="Rodap"/>
          <w:framePr w:wrap="notBeside" w:vAnchor="text" w:hAnchor="page" w:x="15881" w:y="444"/>
          <w:rPr>
            <w:rStyle w:val="Nmerodepgina"/>
            <w:rFonts w:ascii="Arial" w:hAnsi="Arial" w:cs="Arial"/>
            <w:b/>
            <w:bCs/>
            <w:color w:val="FFFFFF" w:themeColor="background1"/>
            <w:sz w:val="40"/>
            <w:szCs w:val="40"/>
          </w:rPr>
        </w:pPr>
        <w:r w:rsidRPr="006B2175">
          <w:rPr>
            <w:rStyle w:val="Nmerodepgina"/>
            <w:rFonts w:ascii="Arial" w:hAnsi="Arial" w:cs="Arial"/>
            <w:b/>
            <w:bCs/>
            <w:color w:val="FFFFFF" w:themeColor="background1"/>
            <w:sz w:val="40"/>
            <w:szCs w:val="40"/>
          </w:rPr>
          <w:fldChar w:fldCharType="begin"/>
        </w:r>
        <w:r w:rsidRPr="006B2175">
          <w:rPr>
            <w:rStyle w:val="Nmerodepgina"/>
            <w:rFonts w:ascii="Arial" w:hAnsi="Arial" w:cs="Arial"/>
            <w:b/>
            <w:bCs/>
            <w:color w:val="FFFFFF" w:themeColor="background1"/>
            <w:sz w:val="40"/>
            <w:szCs w:val="40"/>
          </w:rPr>
          <w:instrText xml:space="preserve"> PAGE </w:instrText>
        </w:r>
        <w:r w:rsidRPr="006B2175">
          <w:rPr>
            <w:rStyle w:val="Nmerodepgina"/>
            <w:rFonts w:ascii="Arial" w:hAnsi="Arial" w:cs="Arial"/>
            <w:b/>
            <w:bCs/>
            <w:color w:val="FFFFFF" w:themeColor="background1"/>
            <w:sz w:val="40"/>
            <w:szCs w:val="40"/>
          </w:rPr>
          <w:fldChar w:fldCharType="separate"/>
        </w:r>
        <w:r w:rsidRPr="006B2175">
          <w:rPr>
            <w:rStyle w:val="Nmerodepgina"/>
            <w:rFonts w:ascii="Arial" w:hAnsi="Arial" w:cs="Arial"/>
            <w:b/>
            <w:bCs/>
            <w:color w:val="FFFFFF" w:themeColor="background1"/>
            <w:sz w:val="40"/>
            <w:szCs w:val="40"/>
          </w:rPr>
          <w:t>20</w:t>
        </w:r>
        <w:r w:rsidRPr="006B2175">
          <w:rPr>
            <w:rStyle w:val="Nmerodepgina"/>
            <w:rFonts w:ascii="Arial" w:hAnsi="Arial" w:cs="Arial"/>
            <w:b/>
            <w:bCs/>
            <w:color w:val="FFFFFF" w:themeColor="background1"/>
            <w:sz w:val="40"/>
            <w:szCs w:val="40"/>
          </w:rPr>
          <w:fldChar w:fldCharType="end"/>
        </w:r>
      </w:p>
    </w:sdtContent>
  </w:sdt>
  <w:p w14:paraId="03F51FC6" w14:textId="217AB93D" w:rsidR="00C5076F" w:rsidRPr="006A089D" w:rsidRDefault="00C5076F" w:rsidP="006B2175">
    <w:pPr>
      <w:pStyle w:val="Rodap"/>
      <w:tabs>
        <w:tab w:val="clear" w:pos="4252"/>
        <w:tab w:val="clear" w:pos="8504"/>
        <w:tab w:val="left" w:pos="1860"/>
      </w:tabs>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Fonts w:ascii="Arial" w:hAnsi="Arial" w:cs="Arial"/>
        <w:b/>
        <w:bCs/>
        <w:color w:val="FFFFFF" w:themeColor="background1"/>
        <w:sz w:val="36"/>
        <w:szCs w:val="36"/>
      </w:rPr>
      <w:id w:val="-644970099"/>
      <w:docPartObj>
        <w:docPartGallery w:val="Page Numbers (Bottom of Page)"/>
        <w:docPartUnique/>
      </w:docPartObj>
    </w:sdtPr>
    <w:sdtEndPr>
      <w:rPr>
        <w:rStyle w:val="Nmerodepgina"/>
        <w:sz w:val="52"/>
        <w:szCs w:val="52"/>
      </w:rPr>
    </w:sdtEndPr>
    <w:sdtContent>
      <w:p w14:paraId="208A3BF9" w14:textId="77777777" w:rsidR="00D0612D" w:rsidRPr="00D078E7" w:rsidRDefault="00D0612D" w:rsidP="00805827">
        <w:pPr>
          <w:pStyle w:val="Rodap"/>
          <w:framePr w:wrap="notBeside" w:vAnchor="text" w:hAnchor="page" w:x="11181" w:y="320"/>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20</w:t>
        </w:r>
        <w:r w:rsidRPr="00D078E7">
          <w:rPr>
            <w:rStyle w:val="Nmerodepgina"/>
            <w:rFonts w:ascii="Arial" w:hAnsi="Arial" w:cs="Arial"/>
            <w:b/>
            <w:bCs/>
            <w:color w:val="FFFFFF" w:themeColor="background1"/>
            <w:sz w:val="36"/>
            <w:szCs w:val="36"/>
          </w:rPr>
          <w:fldChar w:fldCharType="end"/>
        </w:r>
      </w:p>
    </w:sdtContent>
  </w:sdt>
  <w:p w14:paraId="02BF01A7" w14:textId="1CB4C675" w:rsidR="00C7588A" w:rsidRPr="00993F51" w:rsidRDefault="00D0612D" w:rsidP="00805827">
    <w:pPr>
      <w:pStyle w:val="Rodap"/>
      <w:tabs>
        <w:tab w:val="clear" w:pos="4252"/>
        <w:tab w:val="clear" w:pos="8504"/>
        <w:tab w:val="center" w:pos="4820"/>
      </w:tabs>
      <w:rPr>
        <w:rFonts w:ascii="CAIXA Std Book" w:hAnsi="CAIXA Std Book"/>
        <w:color w:val="2E74B5"/>
        <w:sz w:val="20"/>
        <w:szCs w:val="20"/>
      </w:rPr>
    </w:pPr>
    <w:r>
      <w:rPr>
        <w:noProof/>
      </w:rPr>
      <w:drawing>
        <wp:anchor distT="0" distB="0" distL="114300" distR="114300" simplePos="0" relativeHeight="251658260" behindDoc="1" locked="0" layoutInCell="1" allowOverlap="1" wp14:anchorId="0A604FEB" wp14:editId="2BE6A770">
          <wp:simplePos x="0" y="0"/>
          <wp:positionH relativeFrom="column">
            <wp:posOffset>-927100</wp:posOffset>
          </wp:positionH>
          <wp:positionV relativeFrom="paragraph">
            <wp:posOffset>0</wp:posOffset>
          </wp:positionV>
          <wp:extent cx="7617460" cy="647065"/>
          <wp:effectExtent l="0" t="0" r="2540" b="635"/>
          <wp:wrapNone/>
          <wp:docPr id="176179779" name="Imagem 176179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7617460" cy="647065"/>
                  </a:xfrm>
                  <a:prstGeom prst="rect">
                    <a:avLst/>
                  </a:prstGeom>
                </pic:spPr>
              </pic:pic>
            </a:graphicData>
          </a:graphic>
          <wp14:sizeRelH relativeFrom="page">
            <wp14:pctWidth>0</wp14:pctWidth>
          </wp14:sizeRelH>
          <wp14:sizeRelV relativeFrom="page">
            <wp14:pctHeight>0</wp14:pctHeight>
          </wp14:sizeRelV>
        </wp:anchor>
      </w:drawing>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12D790" w14:textId="719EF166" w:rsidR="000A2DF2" w:rsidRDefault="000A2DF2">
    <w:pPr>
      <w:pStyle w:val="Rodap"/>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Fonts w:ascii="Arial" w:hAnsi="Arial" w:cs="Arial"/>
        <w:b/>
        <w:bCs/>
        <w:color w:val="FFFFFF" w:themeColor="background1"/>
        <w:sz w:val="36"/>
        <w:szCs w:val="36"/>
      </w:rPr>
      <w:id w:val="547263847"/>
      <w:docPartObj>
        <w:docPartGallery w:val="Page Numbers (Bottom of Page)"/>
        <w:docPartUnique/>
      </w:docPartObj>
    </w:sdtPr>
    <w:sdtEndPr>
      <w:rPr>
        <w:rStyle w:val="Nmerodepgina"/>
        <w:sz w:val="52"/>
        <w:szCs w:val="52"/>
      </w:rPr>
    </w:sdtEndPr>
    <w:sdtContent>
      <w:p w14:paraId="7B890707" w14:textId="77777777" w:rsidR="006907F6" w:rsidRPr="00D078E7" w:rsidRDefault="006907F6" w:rsidP="006907F6">
        <w:pPr>
          <w:pStyle w:val="Rodap"/>
          <w:framePr w:wrap="notBeside" w:vAnchor="text" w:hAnchor="page" w:x="15921" w:y="425"/>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24</w:t>
        </w:r>
        <w:r w:rsidRPr="00D078E7">
          <w:rPr>
            <w:rStyle w:val="Nmerodepgina"/>
            <w:rFonts w:ascii="Arial" w:hAnsi="Arial" w:cs="Arial"/>
            <w:b/>
            <w:bCs/>
            <w:color w:val="FFFFFF" w:themeColor="background1"/>
            <w:sz w:val="36"/>
            <w:szCs w:val="36"/>
          </w:rPr>
          <w:fldChar w:fldCharType="end"/>
        </w:r>
      </w:p>
    </w:sdtContent>
  </w:sdt>
  <w:p w14:paraId="062B20AF" w14:textId="2C2452D3" w:rsidR="00AC522E" w:rsidRDefault="006907F6" w:rsidP="006907F6">
    <w:pPr>
      <w:pStyle w:val="Rodap"/>
    </w:pPr>
    <w:r>
      <w:rPr>
        <w:noProof/>
      </w:rPr>
      <w:drawing>
        <wp:anchor distT="0" distB="0" distL="114300" distR="114300" simplePos="0" relativeHeight="251658246" behindDoc="1" locked="0" layoutInCell="1" allowOverlap="1" wp14:anchorId="731EFB24" wp14:editId="04572C69">
          <wp:simplePos x="0" y="0"/>
          <wp:positionH relativeFrom="column">
            <wp:posOffset>-746760</wp:posOffset>
          </wp:positionH>
          <wp:positionV relativeFrom="paragraph">
            <wp:posOffset>50165</wp:posOffset>
          </wp:positionV>
          <wp:extent cx="10525760" cy="659765"/>
          <wp:effectExtent l="0" t="0" r="8890" b="6985"/>
          <wp:wrapNone/>
          <wp:docPr id="259624216" name="Imagem 25962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10525760" cy="659765"/>
                  </a:xfrm>
                  <a:prstGeom prst="rect">
                    <a:avLst/>
                  </a:prstGeom>
                </pic:spPr>
              </pic:pic>
            </a:graphicData>
          </a:graphic>
          <wp14:sizeRelH relativeFrom="page">
            <wp14:pctWidth>0</wp14:pctWidth>
          </wp14:sizeRelH>
          <wp14:sizeRelV relativeFrom="page">
            <wp14:pctHeight>0</wp14:pctHeight>
          </wp14:sizeRelV>
        </wp:anchor>
      </w:drawing>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0C6942" w14:textId="0BAB01D8" w:rsidR="000A2DF2" w:rsidRDefault="000A2DF2">
    <w:pPr>
      <w:pStyle w:val="Rodap"/>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D13780" w14:textId="003C9F3A" w:rsidR="000A2DF2" w:rsidRDefault="000A2DF2">
    <w:pPr>
      <w:pStyle w:val="Rodap"/>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D0657" w14:textId="77777777" w:rsidR="00114802" w:rsidRDefault="00451722" w:rsidP="00451722">
    <w:pPr>
      <w:pStyle w:val="Rodap"/>
      <w:tabs>
        <w:tab w:val="clear" w:pos="4252"/>
        <w:tab w:val="clear" w:pos="8504"/>
        <w:tab w:val="left" w:pos="2440"/>
      </w:tabs>
    </w:pPr>
    <w:r>
      <w:rPr>
        <w:noProof/>
      </w:rPr>
      <w:drawing>
        <wp:anchor distT="0" distB="0" distL="114300" distR="114300" simplePos="0" relativeHeight="251658307" behindDoc="1" locked="0" layoutInCell="1" allowOverlap="1" wp14:anchorId="62AA039D" wp14:editId="3194ECB4">
          <wp:simplePos x="0" y="0"/>
          <wp:positionH relativeFrom="column">
            <wp:posOffset>-917752</wp:posOffset>
          </wp:positionH>
          <wp:positionV relativeFrom="paragraph">
            <wp:posOffset>330835</wp:posOffset>
          </wp:positionV>
          <wp:extent cx="7617460" cy="647065"/>
          <wp:effectExtent l="0" t="0" r="2540" b="635"/>
          <wp:wrapNone/>
          <wp:docPr id="1418183020" name="Imagem 141818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7617460" cy="647065"/>
                  </a:xfrm>
                  <a:prstGeom prst="rect">
                    <a:avLst/>
                  </a:prstGeom>
                </pic:spPr>
              </pic:pic>
            </a:graphicData>
          </a:graphic>
          <wp14:sizeRelH relativeFrom="page">
            <wp14:pctWidth>0</wp14:pctWidth>
          </wp14:sizeRelH>
          <wp14:sizeRelV relativeFrom="page">
            <wp14:pctHeight>0</wp14:pctHeight>
          </wp14:sizeRelV>
        </wp:anchor>
      </w:drawing>
    </w:r>
  </w:p>
  <w:sdt>
    <w:sdtPr>
      <w:rPr>
        <w:rStyle w:val="Nmerodepgina"/>
        <w:rFonts w:ascii="Arial" w:hAnsi="Arial" w:cs="Arial"/>
        <w:b/>
        <w:bCs/>
        <w:color w:val="FFFFFF" w:themeColor="background1"/>
        <w:sz w:val="36"/>
        <w:szCs w:val="36"/>
      </w:rPr>
      <w:id w:val="949812665"/>
      <w:docPartObj>
        <w:docPartGallery w:val="Page Numbers (Bottom of Page)"/>
        <w:docPartUnique/>
      </w:docPartObj>
    </w:sdtPr>
    <w:sdtEndPr>
      <w:rPr>
        <w:rStyle w:val="Nmerodepgina"/>
        <w:sz w:val="52"/>
        <w:szCs w:val="52"/>
      </w:rPr>
    </w:sdtEndPr>
    <w:sdtContent>
      <w:p w14:paraId="7DE922E6" w14:textId="77777777" w:rsidR="00DE41A8" w:rsidRPr="00D078E7" w:rsidRDefault="00DE41A8" w:rsidP="00451722">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sidR="00451722">
          <w:rPr>
            <w:rStyle w:val="Nmerodepgina"/>
            <w:rFonts w:ascii="Arial" w:hAnsi="Arial" w:cs="Arial"/>
            <w:b/>
            <w:bCs/>
            <w:color w:val="FFFFFF" w:themeColor="background1"/>
            <w:sz w:val="36"/>
            <w:szCs w:val="36"/>
          </w:rPr>
          <w:t>43</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521091750"/>
      <w:docPartObj>
        <w:docPartGallery w:val="Page Numbers (Bottom of Page)"/>
        <w:docPartUnique/>
      </w:docPartObj>
    </w:sdtPr>
    <w:sdtEndPr>
      <w:rPr>
        <w:rStyle w:val="Nmerodepgina"/>
        <w:sz w:val="52"/>
        <w:szCs w:val="52"/>
      </w:rPr>
    </w:sdtEndPr>
    <w:sdtContent>
      <w:p w14:paraId="73ECD5F3" w14:textId="77777777" w:rsidR="00451722" w:rsidRPr="00D078E7" w:rsidRDefault="00451722" w:rsidP="00451722">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43</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864400057"/>
      <w:docPartObj>
        <w:docPartGallery w:val="Page Numbers (Bottom of Page)"/>
        <w:docPartUnique/>
      </w:docPartObj>
    </w:sdtPr>
    <w:sdtEndPr>
      <w:rPr>
        <w:rStyle w:val="Nmerodepgina"/>
        <w:sz w:val="52"/>
        <w:szCs w:val="52"/>
      </w:rPr>
    </w:sdtEndPr>
    <w:sdtContent>
      <w:p w14:paraId="5FD8C9FB" w14:textId="77777777" w:rsidR="00451722" w:rsidRPr="00D078E7" w:rsidRDefault="00451722" w:rsidP="00451722">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43</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362878785"/>
      <w:docPartObj>
        <w:docPartGallery w:val="Page Numbers (Bottom of Page)"/>
        <w:docPartUnique/>
      </w:docPartObj>
    </w:sdtPr>
    <w:sdtEndPr>
      <w:rPr>
        <w:rStyle w:val="Nmerodepgina"/>
        <w:sz w:val="52"/>
        <w:szCs w:val="52"/>
      </w:rPr>
    </w:sdtEndPr>
    <w:sdtContent>
      <w:p w14:paraId="1AC98205" w14:textId="77777777" w:rsidR="00451722" w:rsidRPr="00D078E7" w:rsidRDefault="00451722" w:rsidP="00451722">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43</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671139913"/>
      <w:docPartObj>
        <w:docPartGallery w:val="Page Numbers (Bottom of Page)"/>
        <w:docPartUnique/>
      </w:docPartObj>
    </w:sdtPr>
    <w:sdtEndPr>
      <w:rPr>
        <w:rStyle w:val="Nmerodepgina"/>
        <w:sz w:val="52"/>
        <w:szCs w:val="52"/>
      </w:rPr>
    </w:sdtEndPr>
    <w:sdtContent>
      <w:p w14:paraId="3F8DB981" w14:textId="77777777" w:rsidR="00451722" w:rsidRPr="00D078E7" w:rsidRDefault="00451722" w:rsidP="00451722">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43</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249315731"/>
      <w:docPartObj>
        <w:docPartGallery w:val="Page Numbers (Bottom of Page)"/>
        <w:docPartUnique/>
      </w:docPartObj>
    </w:sdtPr>
    <w:sdtEndPr>
      <w:rPr>
        <w:rStyle w:val="Nmerodepgina"/>
        <w:sz w:val="52"/>
        <w:szCs w:val="52"/>
      </w:rPr>
    </w:sdtEndPr>
    <w:sdtContent>
      <w:p w14:paraId="3B1272D7" w14:textId="77777777" w:rsidR="00451722" w:rsidRPr="00D078E7" w:rsidRDefault="00451722" w:rsidP="00451722">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43</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130983413"/>
      <w:docPartObj>
        <w:docPartGallery w:val="Page Numbers (Bottom of Page)"/>
        <w:docPartUnique/>
      </w:docPartObj>
    </w:sdtPr>
    <w:sdtEndPr>
      <w:rPr>
        <w:rStyle w:val="Nmerodepgina"/>
        <w:sz w:val="52"/>
        <w:szCs w:val="52"/>
      </w:rPr>
    </w:sdtEndPr>
    <w:sdtContent>
      <w:p w14:paraId="4DCC67F0" w14:textId="77777777" w:rsidR="00451722" w:rsidRPr="00D078E7" w:rsidRDefault="00451722" w:rsidP="00451722">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43</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670368166"/>
      <w:docPartObj>
        <w:docPartGallery w:val="Page Numbers (Bottom of Page)"/>
        <w:docPartUnique/>
      </w:docPartObj>
    </w:sdtPr>
    <w:sdtEndPr>
      <w:rPr>
        <w:rStyle w:val="Nmerodepgina"/>
        <w:sz w:val="52"/>
        <w:szCs w:val="52"/>
      </w:rPr>
    </w:sdtEndPr>
    <w:sdtContent>
      <w:p w14:paraId="35BC471E" w14:textId="77777777" w:rsidR="00451722" w:rsidRPr="00D078E7" w:rsidRDefault="00451722" w:rsidP="00451722">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43</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90110865"/>
      <w:docPartObj>
        <w:docPartGallery w:val="Page Numbers (Bottom of Page)"/>
        <w:docPartUnique/>
      </w:docPartObj>
    </w:sdtPr>
    <w:sdtEndPr>
      <w:rPr>
        <w:rStyle w:val="Nmerodepgina"/>
        <w:sz w:val="52"/>
        <w:szCs w:val="52"/>
      </w:rPr>
    </w:sdtEndPr>
    <w:sdtContent>
      <w:p w14:paraId="13011714" w14:textId="77777777" w:rsidR="00451722" w:rsidRPr="00D078E7" w:rsidRDefault="00451722" w:rsidP="00451722">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43</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582796645"/>
      <w:docPartObj>
        <w:docPartGallery w:val="Page Numbers (Bottom of Page)"/>
        <w:docPartUnique/>
      </w:docPartObj>
    </w:sdtPr>
    <w:sdtEndPr>
      <w:rPr>
        <w:rStyle w:val="Nmerodepgina"/>
        <w:sz w:val="52"/>
        <w:szCs w:val="52"/>
      </w:rPr>
    </w:sdtEndPr>
    <w:sdtContent>
      <w:p w14:paraId="2BDF1131" w14:textId="77777777" w:rsidR="00451722" w:rsidRPr="00D078E7" w:rsidRDefault="00451722" w:rsidP="00451722">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43</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574395982"/>
      <w:docPartObj>
        <w:docPartGallery w:val="Page Numbers (Bottom of Page)"/>
        <w:docPartUnique/>
      </w:docPartObj>
    </w:sdtPr>
    <w:sdtEndPr>
      <w:rPr>
        <w:rStyle w:val="Nmerodepgina"/>
        <w:sz w:val="52"/>
        <w:szCs w:val="52"/>
      </w:rPr>
    </w:sdtEndPr>
    <w:sdtContent>
      <w:p w14:paraId="27A33DC0" w14:textId="77777777" w:rsidR="00451722" w:rsidRPr="00D078E7" w:rsidRDefault="00451722" w:rsidP="00451722">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43</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2129887458"/>
      <w:docPartObj>
        <w:docPartGallery w:val="Page Numbers (Bottom of Page)"/>
        <w:docPartUnique/>
      </w:docPartObj>
    </w:sdtPr>
    <w:sdtEndPr>
      <w:rPr>
        <w:rStyle w:val="Nmerodepgina"/>
        <w:sz w:val="52"/>
        <w:szCs w:val="52"/>
      </w:rPr>
    </w:sdtEndPr>
    <w:sdtContent>
      <w:p w14:paraId="3C84A406" w14:textId="77777777" w:rsidR="00451722" w:rsidRPr="00D078E7" w:rsidRDefault="00451722" w:rsidP="00451722">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43</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195225417"/>
      <w:docPartObj>
        <w:docPartGallery w:val="Page Numbers (Bottom of Page)"/>
        <w:docPartUnique/>
      </w:docPartObj>
    </w:sdtPr>
    <w:sdtEndPr>
      <w:rPr>
        <w:rStyle w:val="Nmerodepgina"/>
        <w:sz w:val="52"/>
        <w:szCs w:val="52"/>
      </w:rPr>
    </w:sdtEndPr>
    <w:sdtContent>
      <w:p w14:paraId="479559A3" w14:textId="77777777" w:rsidR="00451722" w:rsidRPr="00D078E7" w:rsidRDefault="00451722" w:rsidP="00451722">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43</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542174797"/>
      <w:docPartObj>
        <w:docPartGallery w:val="Page Numbers (Bottom of Page)"/>
        <w:docPartUnique/>
      </w:docPartObj>
    </w:sdtPr>
    <w:sdtEndPr>
      <w:rPr>
        <w:rStyle w:val="Nmerodepgina"/>
        <w:sz w:val="52"/>
        <w:szCs w:val="52"/>
      </w:rPr>
    </w:sdtEndPr>
    <w:sdtContent>
      <w:p w14:paraId="479CABCA" w14:textId="77777777" w:rsidR="00451722" w:rsidRPr="00D078E7" w:rsidRDefault="00451722" w:rsidP="00451722">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43</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651407782"/>
      <w:docPartObj>
        <w:docPartGallery w:val="Page Numbers (Bottom of Page)"/>
        <w:docPartUnique/>
      </w:docPartObj>
    </w:sdtPr>
    <w:sdtEndPr>
      <w:rPr>
        <w:rStyle w:val="Nmerodepgina"/>
        <w:sz w:val="52"/>
        <w:szCs w:val="52"/>
      </w:rPr>
    </w:sdtEndPr>
    <w:sdtContent>
      <w:p w14:paraId="60773B99" w14:textId="77777777" w:rsidR="00451722" w:rsidRPr="00D078E7" w:rsidRDefault="00451722" w:rsidP="00451722">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43</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237869159"/>
      <w:docPartObj>
        <w:docPartGallery w:val="Page Numbers (Bottom of Page)"/>
        <w:docPartUnique/>
      </w:docPartObj>
    </w:sdtPr>
    <w:sdtEndPr>
      <w:rPr>
        <w:rStyle w:val="Nmerodepgina"/>
        <w:sz w:val="52"/>
        <w:szCs w:val="52"/>
      </w:rPr>
    </w:sdtEndPr>
    <w:sdtContent>
      <w:p w14:paraId="593646E7" w14:textId="77777777" w:rsidR="00451722" w:rsidRPr="00D078E7" w:rsidRDefault="00451722" w:rsidP="00451722">
        <w:pPr>
          <w:pStyle w:val="Rodap"/>
          <w:framePr w:wrap="notBeside" w:vAnchor="text" w:hAnchor="page" w:x="11121" w:y="41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43</w:t>
        </w:r>
        <w:r w:rsidRPr="00D078E7">
          <w:rPr>
            <w:rStyle w:val="Nmerodepgina"/>
            <w:rFonts w:ascii="Arial" w:hAnsi="Arial" w:cs="Arial"/>
            <w:b/>
            <w:bCs/>
            <w:color w:val="FFFFFF" w:themeColor="background1"/>
            <w:sz w:val="36"/>
            <w:szCs w:val="36"/>
          </w:rPr>
          <w:fldChar w:fldCharType="end"/>
        </w:r>
      </w:p>
    </w:sdtContent>
  </w:sdt>
  <w:p w14:paraId="124B0275" w14:textId="77777777" w:rsidR="00A80B48" w:rsidRPr="00E63E5A" w:rsidRDefault="00A80B48" w:rsidP="00E63E5A">
    <w:pPr>
      <w:pStyle w:val="Rodap"/>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AFF71" w14:textId="0CEABB5B" w:rsidR="000A2DF2" w:rsidRDefault="000A2DF2">
    <w:pPr>
      <w:pStyle w:val="Rodap"/>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D2723B" w14:textId="59FE2813" w:rsidR="000A2DF2" w:rsidRDefault="000A2DF2">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Fonts w:ascii="Arial" w:hAnsi="Arial" w:cs="Arial"/>
        <w:b/>
        <w:bCs/>
        <w:color w:val="FFFFFF" w:themeColor="background1"/>
        <w:sz w:val="36"/>
        <w:szCs w:val="36"/>
      </w:rPr>
      <w:id w:val="-68417478"/>
      <w:docPartObj>
        <w:docPartGallery w:val="Page Numbers (Bottom of Page)"/>
        <w:docPartUnique/>
      </w:docPartObj>
    </w:sdtPr>
    <w:sdtEndPr>
      <w:rPr>
        <w:rStyle w:val="Nmerodepgina"/>
        <w:sz w:val="52"/>
        <w:szCs w:val="52"/>
      </w:rPr>
    </w:sdtEndPr>
    <w:sdtContent>
      <w:p w14:paraId="2EC15AFC" w14:textId="06898A83" w:rsidR="00C93338" w:rsidRPr="00D078E7" w:rsidRDefault="00C93338" w:rsidP="006A089D">
        <w:pPr>
          <w:pStyle w:val="Rodap"/>
          <w:framePr w:wrap="notBeside" w:vAnchor="text" w:hAnchor="page" w:x="11261" w:y="-198"/>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2</w:t>
        </w:r>
        <w:r w:rsidRPr="00D078E7">
          <w:rPr>
            <w:rStyle w:val="Nmerodepgina"/>
            <w:rFonts w:ascii="Arial" w:hAnsi="Arial" w:cs="Arial"/>
            <w:b/>
            <w:bCs/>
            <w:color w:val="FFFFFF" w:themeColor="background1"/>
            <w:sz w:val="36"/>
            <w:szCs w:val="36"/>
          </w:rPr>
          <w:fldChar w:fldCharType="end"/>
        </w:r>
      </w:p>
    </w:sdtContent>
  </w:sdt>
  <w:p w14:paraId="13EB20CE" w14:textId="2186A153" w:rsidR="00091962" w:rsidRPr="00C93338" w:rsidRDefault="00C93338" w:rsidP="00C93338">
    <w:pPr>
      <w:pStyle w:val="Rodap"/>
    </w:pPr>
    <w:r>
      <w:rPr>
        <w:noProof/>
      </w:rPr>
      <w:drawing>
        <wp:anchor distT="0" distB="0" distL="114300" distR="114300" simplePos="0" relativeHeight="251658243" behindDoc="1" locked="0" layoutInCell="1" allowOverlap="1" wp14:anchorId="57C75336" wp14:editId="2C2770D3">
          <wp:simplePos x="0" y="0"/>
          <wp:positionH relativeFrom="column">
            <wp:posOffset>-962025</wp:posOffset>
          </wp:positionH>
          <wp:positionV relativeFrom="paragraph">
            <wp:posOffset>-379095</wp:posOffset>
          </wp:positionV>
          <wp:extent cx="7617460" cy="647065"/>
          <wp:effectExtent l="0" t="0" r="2540" b="635"/>
          <wp:wrapNone/>
          <wp:docPr id="464737142" name="Imagem 464737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7617460" cy="647065"/>
                  </a:xfrm>
                  <a:prstGeom prst="rect">
                    <a:avLst/>
                  </a:prstGeom>
                </pic:spPr>
              </pic:pic>
            </a:graphicData>
          </a:graphic>
          <wp14:sizeRelH relativeFrom="page">
            <wp14:pctWidth>0</wp14:pctWidth>
          </wp14:sizeRelH>
          <wp14:sizeRelV relativeFrom="page">
            <wp14:pctHeight>0</wp14:pctHeight>
          </wp14:sizeRelV>
        </wp:anchor>
      </w:drawing>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Fonts w:ascii="Arial" w:hAnsi="Arial" w:cs="Arial"/>
        <w:b/>
        <w:bCs/>
        <w:color w:val="FFFFFF" w:themeColor="background1"/>
        <w:sz w:val="36"/>
        <w:szCs w:val="36"/>
      </w:rPr>
      <w:id w:val="1896702128"/>
      <w:docPartObj>
        <w:docPartGallery w:val="Page Numbers (Bottom of Page)"/>
        <w:docPartUnique/>
      </w:docPartObj>
    </w:sdtPr>
    <w:sdtEndPr>
      <w:rPr>
        <w:rStyle w:val="Nmerodepgina"/>
        <w:sz w:val="52"/>
        <w:szCs w:val="52"/>
      </w:rPr>
    </w:sdtEndPr>
    <w:sdtContent>
      <w:p w14:paraId="4821F982" w14:textId="77777777" w:rsidR="000D46A0" w:rsidRPr="00D078E7" w:rsidRDefault="000D46A0" w:rsidP="007D2E7D">
        <w:pPr>
          <w:pStyle w:val="Rodap"/>
          <w:framePr w:wrap="notBeside" w:vAnchor="text" w:hAnchor="page" w:x="15821" w:y="425"/>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33</w:t>
        </w:r>
        <w:r w:rsidRPr="00D078E7">
          <w:rPr>
            <w:rStyle w:val="Nmerodepgina"/>
            <w:rFonts w:ascii="Arial" w:hAnsi="Arial" w:cs="Arial"/>
            <w:b/>
            <w:bCs/>
            <w:color w:val="FFFFFF" w:themeColor="background1"/>
            <w:sz w:val="36"/>
            <w:szCs w:val="36"/>
          </w:rPr>
          <w:fldChar w:fldCharType="end"/>
        </w:r>
      </w:p>
    </w:sdtContent>
  </w:sdt>
  <w:p w14:paraId="55E22A2C" w14:textId="3623A720" w:rsidR="00044D52" w:rsidRDefault="000D46A0" w:rsidP="006907F6">
    <w:pPr>
      <w:pStyle w:val="Rodap"/>
    </w:pPr>
    <w:r>
      <w:rPr>
        <w:noProof/>
      </w:rPr>
      <w:drawing>
        <wp:anchor distT="0" distB="0" distL="114300" distR="114300" simplePos="0" relativeHeight="251658265" behindDoc="1" locked="0" layoutInCell="1" allowOverlap="1" wp14:anchorId="6078C222" wp14:editId="700F4BDF">
          <wp:simplePos x="0" y="0"/>
          <wp:positionH relativeFrom="column">
            <wp:posOffset>-749300</wp:posOffset>
          </wp:positionH>
          <wp:positionV relativeFrom="paragraph">
            <wp:posOffset>50165</wp:posOffset>
          </wp:positionV>
          <wp:extent cx="10525760" cy="659765"/>
          <wp:effectExtent l="0" t="0" r="8890" b="6985"/>
          <wp:wrapNone/>
          <wp:docPr id="1552855651" name="Imagem 1552855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10525760" cy="659765"/>
                  </a:xfrm>
                  <a:prstGeom prst="rect">
                    <a:avLst/>
                  </a:prstGeom>
                </pic:spPr>
              </pic:pic>
            </a:graphicData>
          </a:graphic>
          <wp14:sizeRelH relativeFrom="page">
            <wp14:pctWidth>0</wp14:pctWidth>
          </wp14:sizeRelH>
          <wp14:sizeRelV relativeFrom="page">
            <wp14:pctHeight>0</wp14:pctHeight>
          </wp14:sizeRelV>
        </wp:anchor>
      </w:drawing>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8F7E9E" w14:textId="0CD2C001" w:rsidR="000A2DF2" w:rsidRDefault="000A2DF2">
    <w:pPr>
      <w:pStyle w:val="Rodap"/>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Fonts w:ascii="Arial" w:hAnsi="Arial" w:cs="Arial"/>
        <w:b/>
        <w:bCs/>
        <w:color w:val="FFFFFF" w:themeColor="background1"/>
        <w:sz w:val="36"/>
        <w:szCs w:val="36"/>
      </w:rPr>
      <w:id w:val="1662129136"/>
      <w:docPartObj>
        <w:docPartGallery w:val="Page Numbers (Bottom of Page)"/>
        <w:docPartUnique/>
      </w:docPartObj>
    </w:sdtPr>
    <w:sdtEndPr>
      <w:rPr>
        <w:rStyle w:val="Nmerodepgina"/>
        <w:sz w:val="52"/>
        <w:szCs w:val="52"/>
      </w:rPr>
    </w:sdtEndPr>
    <w:sdtContent>
      <w:p w14:paraId="53188F12" w14:textId="77777777" w:rsidR="00FE63C8" w:rsidRPr="00D078E7" w:rsidRDefault="00FE63C8" w:rsidP="00FE63C8">
        <w:pPr>
          <w:pStyle w:val="Rodap"/>
          <w:framePr w:wrap="notBeside" w:vAnchor="text" w:hAnchor="page" w:x="1584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43</w:t>
        </w:r>
        <w:r w:rsidRPr="00D078E7">
          <w:rPr>
            <w:rStyle w:val="Nmerodepgina"/>
            <w:rFonts w:ascii="Arial" w:hAnsi="Arial" w:cs="Arial"/>
            <w:b/>
            <w:bCs/>
            <w:color w:val="FFFFFF" w:themeColor="background1"/>
            <w:sz w:val="36"/>
            <w:szCs w:val="36"/>
          </w:rPr>
          <w:fldChar w:fldCharType="end"/>
        </w:r>
      </w:p>
    </w:sdtContent>
  </w:sdt>
  <w:p w14:paraId="703582E6" w14:textId="77777777" w:rsidR="00A50956" w:rsidRDefault="00A50956" w:rsidP="00A50956">
    <w:pPr>
      <w:pStyle w:val="Rodap"/>
      <w:tabs>
        <w:tab w:val="clear" w:pos="4252"/>
        <w:tab w:val="clear" w:pos="8504"/>
        <w:tab w:val="left" w:pos="2440"/>
      </w:tabs>
    </w:pPr>
    <w:r>
      <w:rPr>
        <w:noProof/>
      </w:rPr>
      <w:drawing>
        <wp:anchor distT="0" distB="0" distL="114300" distR="114300" simplePos="0" relativeHeight="251658302" behindDoc="1" locked="0" layoutInCell="1" allowOverlap="1" wp14:anchorId="1E6CDDA0" wp14:editId="2D77970E">
          <wp:simplePos x="0" y="0"/>
          <wp:positionH relativeFrom="column">
            <wp:posOffset>-957757</wp:posOffset>
          </wp:positionH>
          <wp:positionV relativeFrom="paragraph">
            <wp:posOffset>330835</wp:posOffset>
          </wp:positionV>
          <wp:extent cx="7617460" cy="647065"/>
          <wp:effectExtent l="0" t="0" r="2540" b="635"/>
          <wp:wrapNone/>
          <wp:docPr id="1425370642" name="Imagem 1425370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7617460" cy="647065"/>
                  </a:xfrm>
                  <a:prstGeom prst="rect">
                    <a:avLst/>
                  </a:prstGeom>
                </pic:spPr>
              </pic:pic>
            </a:graphicData>
          </a:graphic>
          <wp14:sizeRelH relativeFrom="page">
            <wp14:pctWidth>0</wp14:pctWidth>
          </wp14:sizeRelH>
          <wp14:sizeRelV relativeFrom="page">
            <wp14:pctHeight>0</wp14:pctHeight>
          </wp14:sizeRelV>
        </wp:anchor>
      </w:drawing>
    </w:r>
  </w:p>
  <w:sdt>
    <w:sdtPr>
      <w:rPr>
        <w:rStyle w:val="Nmerodepgina"/>
        <w:rFonts w:ascii="Arial" w:hAnsi="Arial" w:cs="Arial"/>
        <w:b/>
        <w:bCs/>
        <w:color w:val="FFFFFF" w:themeColor="background1"/>
        <w:sz w:val="36"/>
        <w:szCs w:val="36"/>
      </w:rPr>
      <w:id w:val="801506045"/>
      <w:docPartObj>
        <w:docPartGallery w:val="Page Numbers (Bottom of Page)"/>
        <w:docPartUnique/>
      </w:docPartObj>
    </w:sdtPr>
    <w:sdtEndPr>
      <w:rPr>
        <w:rStyle w:val="Nmerodepgina"/>
        <w:sz w:val="52"/>
        <w:szCs w:val="52"/>
      </w:rPr>
    </w:sdtEndPr>
    <w:sdtContent>
      <w:p w14:paraId="4FEB97D5" w14:textId="77777777" w:rsidR="00A50956" w:rsidRPr="00D078E7" w:rsidRDefault="00A50956" w:rsidP="00A50956">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11</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58084229"/>
      <w:docPartObj>
        <w:docPartGallery w:val="Page Numbers (Bottom of Page)"/>
        <w:docPartUnique/>
      </w:docPartObj>
    </w:sdtPr>
    <w:sdtEndPr>
      <w:rPr>
        <w:rStyle w:val="Nmerodepgina"/>
        <w:sz w:val="52"/>
        <w:szCs w:val="52"/>
      </w:rPr>
    </w:sdtEndPr>
    <w:sdtContent>
      <w:p w14:paraId="1C2C9DF9" w14:textId="77777777" w:rsidR="00A50956" w:rsidRPr="00D078E7" w:rsidRDefault="00A50956" w:rsidP="00A50956">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11</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901793501"/>
      <w:docPartObj>
        <w:docPartGallery w:val="Page Numbers (Bottom of Page)"/>
        <w:docPartUnique/>
      </w:docPartObj>
    </w:sdtPr>
    <w:sdtEndPr>
      <w:rPr>
        <w:rStyle w:val="Nmerodepgina"/>
        <w:sz w:val="52"/>
        <w:szCs w:val="52"/>
      </w:rPr>
    </w:sdtEndPr>
    <w:sdtContent>
      <w:p w14:paraId="76B519E4" w14:textId="77777777" w:rsidR="00A50956" w:rsidRPr="00D078E7" w:rsidRDefault="00A50956" w:rsidP="00A50956">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11</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727274733"/>
      <w:docPartObj>
        <w:docPartGallery w:val="Page Numbers (Bottom of Page)"/>
        <w:docPartUnique/>
      </w:docPartObj>
    </w:sdtPr>
    <w:sdtEndPr>
      <w:rPr>
        <w:rStyle w:val="Nmerodepgina"/>
        <w:sz w:val="52"/>
        <w:szCs w:val="52"/>
      </w:rPr>
    </w:sdtEndPr>
    <w:sdtContent>
      <w:p w14:paraId="1CAF4820" w14:textId="77777777" w:rsidR="00A50956" w:rsidRPr="00D078E7" w:rsidRDefault="00A50956" w:rsidP="00A50956">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11</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452363688"/>
      <w:docPartObj>
        <w:docPartGallery w:val="Page Numbers (Bottom of Page)"/>
        <w:docPartUnique/>
      </w:docPartObj>
    </w:sdtPr>
    <w:sdtEndPr>
      <w:rPr>
        <w:rStyle w:val="Nmerodepgina"/>
        <w:sz w:val="52"/>
        <w:szCs w:val="52"/>
      </w:rPr>
    </w:sdtEndPr>
    <w:sdtContent>
      <w:p w14:paraId="0B6EB6B0" w14:textId="77777777" w:rsidR="00A50956" w:rsidRPr="00D078E7" w:rsidRDefault="00A50956" w:rsidP="00A50956">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11</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685180610"/>
      <w:docPartObj>
        <w:docPartGallery w:val="Page Numbers (Bottom of Page)"/>
        <w:docPartUnique/>
      </w:docPartObj>
    </w:sdtPr>
    <w:sdtEndPr>
      <w:rPr>
        <w:rStyle w:val="Nmerodepgina"/>
        <w:sz w:val="52"/>
        <w:szCs w:val="52"/>
      </w:rPr>
    </w:sdtEndPr>
    <w:sdtContent>
      <w:p w14:paraId="31634738" w14:textId="77777777" w:rsidR="00A50956" w:rsidRPr="00D078E7" w:rsidRDefault="00A50956" w:rsidP="00A50956">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11</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861814020"/>
      <w:docPartObj>
        <w:docPartGallery w:val="Page Numbers (Bottom of Page)"/>
        <w:docPartUnique/>
      </w:docPartObj>
    </w:sdtPr>
    <w:sdtEndPr>
      <w:rPr>
        <w:rStyle w:val="Nmerodepgina"/>
        <w:sz w:val="52"/>
        <w:szCs w:val="52"/>
      </w:rPr>
    </w:sdtEndPr>
    <w:sdtContent>
      <w:p w14:paraId="48AFFB8C" w14:textId="77777777" w:rsidR="00A50956" w:rsidRPr="00D078E7" w:rsidRDefault="00A50956" w:rsidP="00A50956">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11</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320145934"/>
      <w:docPartObj>
        <w:docPartGallery w:val="Page Numbers (Bottom of Page)"/>
        <w:docPartUnique/>
      </w:docPartObj>
    </w:sdtPr>
    <w:sdtEndPr>
      <w:rPr>
        <w:rStyle w:val="Nmerodepgina"/>
        <w:sz w:val="52"/>
        <w:szCs w:val="52"/>
      </w:rPr>
    </w:sdtEndPr>
    <w:sdtContent>
      <w:p w14:paraId="2251F949" w14:textId="77777777" w:rsidR="00A50956" w:rsidRPr="00D078E7" w:rsidRDefault="00A50956" w:rsidP="00A50956">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11</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976485635"/>
      <w:docPartObj>
        <w:docPartGallery w:val="Page Numbers (Bottom of Page)"/>
        <w:docPartUnique/>
      </w:docPartObj>
    </w:sdtPr>
    <w:sdtEndPr>
      <w:rPr>
        <w:rStyle w:val="Nmerodepgina"/>
        <w:sz w:val="52"/>
        <w:szCs w:val="52"/>
      </w:rPr>
    </w:sdtEndPr>
    <w:sdtContent>
      <w:p w14:paraId="3DD52DAD" w14:textId="77777777" w:rsidR="00A50956" w:rsidRPr="00D078E7" w:rsidRDefault="00A50956" w:rsidP="00A50956">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11</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765500152"/>
      <w:docPartObj>
        <w:docPartGallery w:val="Page Numbers (Bottom of Page)"/>
        <w:docPartUnique/>
      </w:docPartObj>
    </w:sdtPr>
    <w:sdtEndPr>
      <w:rPr>
        <w:rStyle w:val="Nmerodepgina"/>
        <w:sz w:val="52"/>
        <w:szCs w:val="52"/>
      </w:rPr>
    </w:sdtEndPr>
    <w:sdtContent>
      <w:p w14:paraId="36461C9E" w14:textId="77777777" w:rsidR="00A50956" w:rsidRPr="00D078E7" w:rsidRDefault="00A50956" w:rsidP="00A50956">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11</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937791949"/>
      <w:docPartObj>
        <w:docPartGallery w:val="Page Numbers (Bottom of Page)"/>
        <w:docPartUnique/>
      </w:docPartObj>
    </w:sdtPr>
    <w:sdtEndPr>
      <w:rPr>
        <w:rStyle w:val="Nmerodepgina"/>
        <w:sz w:val="52"/>
        <w:szCs w:val="52"/>
      </w:rPr>
    </w:sdtEndPr>
    <w:sdtContent>
      <w:p w14:paraId="3AC499EA" w14:textId="77777777" w:rsidR="00A50956" w:rsidRPr="00D078E7" w:rsidRDefault="00A50956" w:rsidP="00A50956">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11</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262505445"/>
      <w:docPartObj>
        <w:docPartGallery w:val="Page Numbers (Bottom of Page)"/>
        <w:docPartUnique/>
      </w:docPartObj>
    </w:sdtPr>
    <w:sdtEndPr>
      <w:rPr>
        <w:rStyle w:val="Nmerodepgina"/>
        <w:sz w:val="52"/>
        <w:szCs w:val="52"/>
      </w:rPr>
    </w:sdtEndPr>
    <w:sdtContent>
      <w:p w14:paraId="2351688C" w14:textId="77777777" w:rsidR="00A50956" w:rsidRPr="00D078E7" w:rsidRDefault="00A50956" w:rsidP="00A50956">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11</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179697158"/>
      <w:docPartObj>
        <w:docPartGallery w:val="Page Numbers (Bottom of Page)"/>
        <w:docPartUnique/>
      </w:docPartObj>
    </w:sdtPr>
    <w:sdtEndPr>
      <w:rPr>
        <w:rStyle w:val="Nmerodepgina"/>
        <w:sz w:val="52"/>
        <w:szCs w:val="52"/>
      </w:rPr>
    </w:sdtEndPr>
    <w:sdtContent>
      <w:p w14:paraId="052481BA" w14:textId="77777777" w:rsidR="00A50956" w:rsidRPr="00D078E7" w:rsidRDefault="00A50956" w:rsidP="00A50956">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11</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215083749"/>
      <w:docPartObj>
        <w:docPartGallery w:val="Page Numbers (Bottom of Page)"/>
        <w:docPartUnique/>
      </w:docPartObj>
    </w:sdtPr>
    <w:sdtEndPr>
      <w:rPr>
        <w:rStyle w:val="Nmerodepgina"/>
        <w:sz w:val="52"/>
        <w:szCs w:val="52"/>
      </w:rPr>
    </w:sdtEndPr>
    <w:sdtContent>
      <w:p w14:paraId="64917F41" w14:textId="77777777" w:rsidR="00A50956" w:rsidRPr="00D078E7" w:rsidRDefault="00A50956" w:rsidP="00A50956">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11</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80560660"/>
      <w:docPartObj>
        <w:docPartGallery w:val="Page Numbers (Bottom of Page)"/>
        <w:docPartUnique/>
      </w:docPartObj>
    </w:sdtPr>
    <w:sdtEndPr>
      <w:rPr>
        <w:rStyle w:val="Nmerodepgina"/>
        <w:sz w:val="52"/>
        <w:szCs w:val="52"/>
      </w:rPr>
    </w:sdtEndPr>
    <w:sdtContent>
      <w:p w14:paraId="3CCBD3C7" w14:textId="77777777" w:rsidR="00A50956" w:rsidRPr="00D078E7" w:rsidRDefault="00A50956" w:rsidP="00A50956">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11</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311071523"/>
      <w:docPartObj>
        <w:docPartGallery w:val="Page Numbers (Bottom of Page)"/>
        <w:docPartUnique/>
      </w:docPartObj>
    </w:sdtPr>
    <w:sdtEndPr>
      <w:rPr>
        <w:rStyle w:val="Nmerodepgina"/>
        <w:sz w:val="52"/>
        <w:szCs w:val="52"/>
      </w:rPr>
    </w:sdtEndPr>
    <w:sdtContent>
      <w:p w14:paraId="72885A19" w14:textId="77777777" w:rsidR="00A50956" w:rsidRPr="00D078E7" w:rsidRDefault="00A50956" w:rsidP="00A50956">
        <w:pPr>
          <w:pStyle w:val="Rodap"/>
          <w:framePr w:wrap="notBeside" w:vAnchor="text" w:hAnchor="page" w:x="11121" w:y="41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11</w:t>
        </w:r>
        <w:r w:rsidRPr="00D078E7">
          <w:rPr>
            <w:rStyle w:val="Nmerodepgina"/>
            <w:rFonts w:ascii="Arial" w:hAnsi="Arial" w:cs="Arial"/>
            <w:b/>
            <w:bCs/>
            <w:color w:val="FFFFFF" w:themeColor="background1"/>
            <w:sz w:val="36"/>
            <w:szCs w:val="36"/>
          </w:rPr>
          <w:fldChar w:fldCharType="end"/>
        </w:r>
      </w:p>
    </w:sdtContent>
  </w:sdt>
  <w:p w14:paraId="73F564FE" w14:textId="77777777" w:rsidR="00416C76" w:rsidRPr="00C93338" w:rsidRDefault="00416C76" w:rsidP="00A50956">
    <w:pPr>
      <w:pStyle w:val="Rodap"/>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Fonts w:ascii="Arial" w:hAnsi="Arial" w:cs="Arial"/>
        <w:b/>
        <w:bCs/>
        <w:color w:val="FFFFFF" w:themeColor="background1"/>
        <w:sz w:val="36"/>
        <w:szCs w:val="36"/>
      </w:rPr>
      <w:id w:val="-1357112654"/>
      <w:docPartObj>
        <w:docPartGallery w:val="Page Numbers (Bottom of Page)"/>
        <w:docPartUnique/>
      </w:docPartObj>
    </w:sdtPr>
    <w:sdtEndPr>
      <w:rPr>
        <w:rStyle w:val="Nmerodepgina"/>
        <w:sz w:val="52"/>
        <w:szCs w:val="52"/>
      </w:rPr>
    </w:sdtEndPr>
    <w:sdtContent>
      <w:p w14:paraId="3A718BFA" w14:textId="77777777" w:rsidR="00FE63C8" w:rsidRPr="00D078E7" w:rsidRDefault="00FE63C8" w:rsidP="00FE63C8">
        <w:pPr>
          <w:pStyle w:val="Rodap"/>
          <w:framePr w:wrap="notBeside" w:vAnchor="text" w:hAnchor="page" w:x="1584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43</w:t>
        </w:r>
        <w:r w:rsidRPr="00D078E7">
          <w:rPr>
            <w:rStyle w:val="Nmerodepgina"/>
            <w:rFonts w:ascii="Arial" w:hAnsi="Arial" w:cs="Arial"/>
            <w:b/>
            <w:bCs/>
            <w:color w:val="FFFFFF" w:themeColor="background1"/>
            <w:sz w:val="36"/>
            <w:szCs w:val="36"/>
          </w:rPr>
          <w:fldChar w:fldCharType="end"/>
        </w:r>
      </w:p>
    </w:sdtContent>
  </w:sdt>
  <w:p w14:paraId="27E44172" w14:textId="014A3068" w:rsidR="00A50956" w:rsidRDefault="002B5CA3" w:rsidP="00A50956">
    <w:pPr>
      <w:pStyle w:val="Rodap"/>
      <w:tabs>
        <w:tab w:val="clear" w:pos="4252"/>
        <w:tab w:val="clear" w:pos="8504"/>
        <w:tab w:val="left" w:pos="2440"/>
      </w:tabs>
    </w:pPr>
    <w:r>
      <w:rPr>
        <w:noProof/>
      </w:rPr>
      <w:drawing>
        <wp:anchor distT="0" distB="0" distL="114300" distR="114300" simplePos="0" relativeHeight="251658308" behindDoc="1" locked="0" layoutInCell="1" allowOverlap="1" wp14:anchorId="45561016" wp14:editId="59A99462">
          <wp:simplePos x="0" y="0"/>
          <wp:positionH relativeFrom="column">
            <wp:posOffset>-974858</wp:posOffset>
          </wp:positionH>
          <wp:positionV relativeFrom="paragraph">
            <wp:posOffset>326390</wp:posOffset>
          </wp:positionV>
          <wp:extent cx="7676515" cy="647049"/>
          <wp:effectExtent l="0" t="0" r="635" b="1270"/>
          <wp:wrapNone/>
          <wp:docPr id="1598211578" name="Imagem 159821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7698971" cy="648942"/>
                  </a:xfrm>
                  <a:prstGeom prst="rect">
                    <a:avLst/>
                  </a:prstGeom>
                </pic:spPr>
              </pic:pic>
            </a:graphicData>
          </a:graphic>
          <wp14:sizeRelH relativeFrom="page">
            <wp14:pctWidth>0</wp14:pctWidth>
          </wp14:sizeRelH>
          <wp14:sizeRelV relativeFrom="page">
            <wp14:pctHeight>0</wp14:pctHeight>
          </wp14:sizeRelV>
        </wp:anchor>
      </w:drawing>
    </w:r>
  </w:p>
  <w:sdt>
    <w:sdtPr>
      <w:rPr>
        <w:rStyle w:val="Nmerodepgina"/>
        <w:rFonts w:ascii="Arial" w:hAnsi="Arial" w:cs="Arial"/>
        <w:b/>
        <w:bCs/>
        <w:color w:val="FFFFFF" w:themeColor="background1"/>
        <w:sz w:val="36"/>
        <w:szCs w:val="36"/>
      </w:rPr>
      <w:id w:val="1696962789"/>
      <w:docPartObj>
        <w:docPartGallery w:val="Page Numbers (Bottom of Page)"/>
        <w:docPartUnique/>
      </w:docPartObj>
    </w:sdtPr>
    <w:sdtEndPr>
      <w:rPr>
        <w:rStyle w:val="Nmerodepgina"/>
        <w:sz w:val="52"/>
        <w:szCs w:val="52"/>
      </w:rPr>
    </w:sdtEndPr>
    <w:sdtContent>
      <w:p w14:paraId="07A06127" w14:textId="31DE0742" w:rsidR="00A50956" w:rsidRPr="00D078E7" w:rsidRDefault="00A50956" w:rsidP="00A50956">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sidR="002B5CA3">
          <w:rPr>
            <w:rStyle w:val="Nmerodepgina"/>
            <w:rFonts w:ascii="Arial" w:hAnsi="Arial" w:cs="Arial"/>
            <w:b/>
            <w:bCs/>
            <w:color w:val="FFFFFF" w:themeColor="background1"/>
            <w:sz w:val="36"/>
            <w:szCs w:val="36"/>
          </w:rPr>
          <w:t>47</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60156064"/>
      <w:docPartObj>
        <w:docPartGallery w:val="Page Numbers (Bottom of Page)"/>
        <w:docPartUnique/>
      </w:docPartObj>
    </w:sdtPr>
    <w:sdtEndPr>
      <w:rPr>
        <w:rStyle w:val="Nmerodepgina"/>
        <w:sz w:val="52"/>
        <w:szCs w:val="52"/>
      </w:rPr>
    </w:sdtEndPr>
    <w:sdtContent>
      <w:p w14:paraId="3FEEA672" w14:textId="2DC93137" w:rsidR="00A50956" w:rsidRPr="00D078E7" w:rsidRDefault="00A50956" w:rsidP="00A50956">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sidR="002B5CA3">
          <w:rPr>
            <w:rStyle w:val="Nmerodepgina"/>
            <w:rFonts w:ascii="Arial" w:hAnsi="Arial" w:cs="Arial"/>
            <w:b/>
            <w:bCs/>
            <w:color w:val="FFFFFF" w:themeColor="background1"/>
            <w:sz w:val="36"/>
            <w:szCs w:val="36"/>
          </w:rPr>
          <w:t>47</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283006200"/>
      <w:docPartObj>
        <w:docPartGallery w:val="Page Numbers (Bottom of Page)"/>
        <w:docPartUnique/>
      </w:docPartObj>
    </w:sdtPr>
    <w:sdtEndPr>
      <w:rPr>
        <w:rStyle w:val="Nmerodepgina"/>
        <w:sz w:val="52"/>
        <w:szCs w:val="52"/>
      </w:rPr>
    </w:sdtEndPr>
    <w:sdtContent>
      <w:p w14:paraId="60B630B1" w14:textId="1A71D456" w:rsidR="00A50956" w:rsidRPr="00D078E7" w:rsidRDefault="00A50956" w:rsidP="00A50956">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sidR="002B5CA3">
          <w:rPr>
            <w:rStyle w:val="Nmerodepgina"/>
            <w:rFonts w:ascii="Arial" w:hAnsi="Arial" w:cs="Arial"/>
            <w:b/>
            <w:bCs/>
            <w:color w:val="FFFFFF" w:themeColor="background1"/>
            <w:sz w:val="36"/>
            <w:szCs w:val="36"/>
          </w:rPr>
          <w:t>47</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269665497"/>
      <w:docPartObj>
        <w:docPartGallery w:val="Page Numbers (Bottom of Page)"/>
        <w:docPartUnique/>
      </w:docPartObj>
    </w:sdtPr>
    <w:sdtEndPr>
      <w:rPr>
        <w:rStyle w:val="Nmerodepgina"/>
        <w:sz w:val="52"/>
        <w:szCs w:val="52"/>
      </w:rPr>
    </w:sdtEndPr>
    <w:sdtContent>
      <w:p w14:paraId="05E7688F" w14:textId="1BEBBA6A" w:rsidR="00A50956" w:rsidRPr="00D078E7" w:rsidRDefault="00A50956" w:rsidP="00A50956">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sidR="002B5CA3">
          <w:rPr>
            <w:rStyle w:val="Nmerodepgina"/>
            <w:rFonts w:ascii="Arial" w:hAnsi="Arial" w:cs="Arial"/>
            <w:b/>
            <w:bCs/>
            <w:color w:val="FFFFFF" w:themeColor="background1"/>
            <w:sz w:val="36"/>
            <w:szCs w:val="36"/>
          </w:rPr>
          <w:t>47</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2087731603"/>
      <w:docPartObj>
        <w:docPartGallery w:val="Page Numbers (Bottom of Page)"/>
        <w:docPartUnique/>
      </w:docPartObj>
    </w:sdtPr>
    <w:sdtEndPr>
      <w:rPr>
        <w:rStyle w:val="Nmerodepgina"/>
        <w:sz w:val="52"/>
        <w:szCs w:val="52"/>
      </w:rPr>
    </w:sdtEndPr>
    <w:sdtContent>
      <w:p w14:paraId="03CC3B65" w14:textId="77777777" w:rsidR="00A50956" w:rsidRPr="00D078E7" w:rsidRDefault="00A50956" w:rsidP="00A50956">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sidR="002B5CA3">
          <w:rPr>
            <w:rStyle w:val="Nmerodepgina"/>
            <w:rFonts w:ascii="Arial" w:hAnsi="Arial" w:cs="Arial"/>
            <w:b/>
            <w:bCs/>
            <w:color w:val="FFFFFF" w:themeColor="background1"/>
            <w:sz w:val="36"/>
            <w:szCs w:val="36"/>
          </w:rPr>
          <w:t>47</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403216044"/>
      <w:docPartObj>
        <w:docPartGallery w:val="Page Numbers (Bottom of Page)"/>
        <w:docPartUnique/>
      </w:docPartObj>
    </w:sdtPr>
    <w:sdtEndPr>
      <w:rPr>
        <w:rStyle w:val="Nmerodepgina"/>
        <w:sz w:val="52"/>
        <w:szCs w:val="52"/>
      </w:rPr>
    </w:sdtEndPr>
    <w:sdtContent>
      <w:p w14:paraId="4D0F4A30" w14:textId="77777777" w:rsidR="00A50956" w:rsidRPr="00D078E7" w:rsidRDefault="00A50956" w:rsidP="00A50956">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sidR="002B5CA3">
          <w:rPr>
            <w:rStyle w:val="Nmerodepgina"/>
            <w:rFonts w:ascii="Arial" w:hAnsi="Arial" w:cs="Arial"/>
            <w:b/>
            <w:bCs/>
            <w:color w:val="FFFFFF" w:themeColor="background1"/>
            <w:sz w:val="36"/>
            <w:szCs w:val="36"/>
          </w:rPr>
          <w:t>47</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314844495"/>
      <w:docPartObj>
        <w:docPartGallery w:val="Page Numbers (Bottom of Page)"/>
        <w:docPartUnique/>
      </w:docPartObj>
    </w:sdtPr>
    <w:sdtEndPr>
      <w:rPr>
        <w:rStyle w:val="Nmerodepgina"/>
        <w:sz w:val="52"/>
        <w:szCs w:val="52"/>
      </w:rPr>
    </w:sdtEndPr>
    <w:sdtContent>
      <w:p w14:paraId="5E9DEBA0" w14:textId="77777777" w:rsidR="00A50956" w:rsidRPr="00D078E7" w:rsidRDefault="00A50956" w:rsidP="00A50956">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sidR="002B5CA3">
          <w:rPr>
            <w:rStyle w:val="Nmerodepgina"/>
            <w:rFonts w:ascii="Arial" w:hAnsi="Arial" w:cs="Arial"/>
            <w:b/>
            <w:bCs/>
            <w:color w:val="FFFFFF" w:themeColor="background1"/>
            <w:sz w:val="36"/>
            <w:szCs w:val="36"/>
          </w:rPr>
          <w:t>47</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2081821856"/>
      <w:docPartObj>
        <w:docPartGallery w:val="Page Numbers (Bottom of Page)"/>
        <w:docPartUnique/>
      </w:docPartObj>
    </w:sdtPr>
    <w:sdtEndPr>
      <w:rPr>
        <w:rStyle w:val="Nmerodepgina"/>
        <w:sz w:val="52"/>
        <w:szCs w:val="52"/>
      </w:rPr>
    </w:sdtEndPr>
    <w:sdtContent>
      <w:p w14:paraId="6B65514F" w14:textId="77777777" w:rsidR="00A50956" w:rsidRPr="00D078E7" w:rsidRDefault="00A50956" w:rsidP="00A50956">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sidR="002B5CA3">
          <w:rPr>
            <w:rStyle w:val="Nmerodepgina"/>
            <w:rFonts w:ascii="Arial" w:hAnsi="Arial" w:cs="Arial"/>
            <w:b/>
            <w:bCs/>
            <w:color w:val="FFFFFF" w:themeColor="background1"/>
            <w:sz w:val="36"/>
            <w:szCs w:val="36"/>
          </w:rPr>
          <w:t>47</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474339906"/>
      <w:docPartObj>
        <w:docPartGallery w:val="Page Numbers (Bottom of Page)"/>
        <w:docPartUnique/>
      </w:docPartObj>
    </w:sdtPr>
    <w:sdtEndPr>
      <w:rPr>
        <w:rStyle w:val="Nmerodepgina"/>
        <w:sz w:val="52"/>
        <w:szCs w:val="52"/>
      </w:rPr>
    </w:sdtEndPr>
    <w:sdtContent>
      <w:p w14:paraId="28ED2B07" w14:textId="77777777" w:rsidR="00A50956" w:rsidRPr="00D078E7" w:rsidRDefault="00A50956" w:rsidP="00A50956">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sidR="002B5CA3">
          <w:rPr>
            <w:rStyle w:val="Nmerodepgina"/>
            <w:rFonts w:ascii="Arial" w:hAnsi="Arial" w:cs="Arial"/>
            <w:b/>
            <w:bCs/>
            <w:color w:val="FFFFFF" w:themeColor="background1"/>
            <w:sz w:val="36"/>
            <w:szCs w:val="36"/>
          </w:rPr>
          <w:t>47</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2043586832"/>
      <w:docPartObj>
        <w:docPartGallery w:val="Page Numbers (Bottom of Page)"/>
        <w:docPartUnique/>
      </w:docPartObj>
    </w:sdtPr>
    <w:sdtEndPr>
      <w:rPr>
        <w:rStyle w:val="Nmerodepgina"/>
        <w:sz w:val="52"/>
        <w:szCs w:val="52"/>
      </w:rPr>
    </w:sdtEndPr>
    <w:sdtContent>
      <w:p w14:paraId="2D98719A" w14:textId="77777777" w:rsidR="00A50956" w:rsidRPr="00D078E7" w:rsidRDefault="00A50956" w:rsidP="00A50956">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sidR="002B5CA3">
          <w:rPr>
            <w:rStyle w:val="Nmerodepgina"/>
            <w:rFonts w:ascii="Arial" w:hAnsi="Arial" w:cs="Arial"/>
            <w:b/>
            <w:bCs/>
            <w:color w:val="FFFFFF" w:themeColor="background1"/>
            <w:sz w:val="36"/>
            <w:szCs w:val="36"/>
          </w:rPr>
          <w:t>47</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2090617007"/>
      <w:docPartObj>
        <w:docPartGallery w:val="Page Numbers (Bottom of Page)"/>
        <w:docPartUnique/>
      </w:docPartObj>
    </w:sdtPr>
    <w:sdtEndPr>
      <w:rPr>
        <w:rStyle w:val="Nmerodepgina"/>
        <w:sz w:val="52"/>
        <w:szCs w:val="52"/>
      </w:rPr>
    </w:sdtEndPr>
    <w:sdtContent>
      <w:p w14:paraId="4C4AF46A" w14:textId="77777777" w:rsidR="00A50956" w:rsidRPr="00D078E7" w:rsidRDefault="00A50956" w:rsidP="00A50956">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sidR="002B5CA3">
          <w:rPr>
            <w:rStyle w:val="Nmerodepgina"/>
            <w:rFonts w:ascii="Arial" w:hAnsi="Arial" w:cs="Arial"/>
            <w:b/>
            <w:bCs/>
            <w:color w:val="FFFFFF" w:themeColor="background1"/>
            <w:sz w:val="36"/>
            <w:szCs w:val="36"/>
          </w:rPr>
          <w:t>47</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50520949"/>
      <w:docPartObj>
        <w:docPartGallery w:val="Page Numbers (Bottom of Page)"/>
        <w:docPartUnique/>
      </w:docPartObj>
    </w:sdtPr>
    <w:sdtEndPr>
      <w:rPr>
        <w:rStyle w:val="Nmerodepgina"/>
        <w:sz w:val="52"/>
        <w:szCs w:val="52"/>
      </w:rPr>
    </w:sdtEndPr>
    <w:sdtContent>
      <w:p w14:paraId="728F6DAE" w14:textId="77777777" w:rsidR="00A50956" w:rsidRPr="00D078E7" w:rsidRDefault="00A50956" w:rsidP="00A50956">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sidR="002B5CA3">
          <w:rPr>
            <w:rStyle w:val="Nmerodepgina"/>
            <w:rFonts w:ascii="Arial" w:hAnsi="Arial" w:cs="Arial"/>
            <w:b/>
            <w:bCs/>
            <w:color w:val="FFFFFF" w:themeColor="background1"/>
            <w:sz w:val="36"/>
            <w:szCs w:val="36"/>
          </w:rPr>
          <w:t>47</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482535017"/>
      <w:docPartObj>
        <w:docPartGallery w:val="Page Numbers (Bottom of Page)"/>
        <w:docPartUnique/>
      </w:docPartObj>
    </w:sdtPr>
    <w:sdtEndPr>
      <w:rPr>
        <w:rStyle w:val="Nmerodepgina"/>
        <w:sz w:val="52"/>
        <w:szCs w:val="52"/>
      </w:rPr>
    </w:sdtEndPr>
    <w:sdtContent>
      <w:p w14:paraId="036FB0FD" w14:textId="77777777" w:rsidR="00A50956" w:rsidRPr="00D078E7" w:rsidRDefault="00A50956" w:rsidP="00A50956">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sidR="002B5CA3">
          <w:rPr>
            <w:rStyle w:val="Nmerodepgina"/>
            <w:rFonts w:ascii="Arial" w:hAnsi="Arial" w:cs="Arial"/>
            <w:b/>
            <w:bCs/>
            <w:color w:val="FFFFFF" w:themeColor="background1"/>
            <w:sz w:val="36"/>
            <w:szCs w:val="36"/>
          </w:rPr>
          <w:t>47</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602257810"/>
      <w:docPartObj>
        <w:docPartGallery w:val="Page Numbers (Bottom of Page)"/>
        <w:docPartUnique/>
      </w:docPartObj>
    </w:sdtPr>
    <w:sdtEndPr>
      <w:rPr>
        <w:rStyle w:val="Nmerodepgina"/>
        <w:sz w:val="52"/>
        <w:szCs w:val="52"/>
      </w:rPr>
    </w:sdtEndPr>
    <w:sdtContent>
      <w:p w14:paraId="6EE5884A" w14:textId="77777777" w:rsidR="00A50956" w:rsidRPr="00D078E7" w:rsidRDefault="00A50956" w:rsidP="00A50956">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sidR="002B5CA3">
          <w:rPr>
            <w:rStyle w:val="Nmerodepgina"/>
            <w:rFonts w:ascii="Arial" w:hAnsi="Arial" w:cs="Arial"/>
            <w:b/>
            <w:bCs/>
            <w:color w:val="FFFFFF" w:themeColor="background1"/>
            <w:sz w:val="36"/>
            <w:szCs w:val="36"/>
          </w:rPr>
          <w:t>47</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221829231"/>
      <w:docPartObj>
        <w:docPartGallery w:val="Page Numbers (Bottom of Page)"/>
        <w:docPartUnique/>
      </w:docPartObj>
    </w:sdtPr>
    <w:sdtEndPr>
      <w:rPr>
        <w:rStyle w:val="Nmerodepgina"/>
        <w:sz w:val="52"/>
        <w:szCs w:val="52"/>
      </w:rPr>
    </w:sdtEndPr>
    <w:sdtContent>
      <w:p w14:paraId="76AA696E" w14:textId="77777777" w:rsidR="00A50956" w:rsidRPr="00D078E7" w:rsidRDefault="00A50956" w:rsidP="00A50956">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sidR="002B5CA3">
          <w:rPr>
            <w:rStyle w:val="Nmerodepgina"/>
            <w:rFonts w:ascii="Arial" w:hAnsi="Arial" w:cs="Arial"/>
            <w:b/>
            <w:bCs/>
            <w:color w:val="FFFFFF" w:themeColor="background1"/>
            <w:sz w:val="36"/>
            <w:szCs w:val="36"/>
          </w:rPr>
          <w:t>47</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805040779"/>
      <w:docPartObj>
        <w:docPartGallery w:val="Page Numbers (Bottom of Page)"/>
        <w:docPartUnique/>
      </w:docPartObj>
    </w:sdtPr>
    <w:sdtEndPr>
      <w:rPr>
        <w:rStyle w:val="Nmerodepgina"/>
        <w:sz w:val="52"/>
        <w:szCs w:val="52"/>
      </w:rPr>
    </w:sdtEndPr>
    <w:sdtContent>
      <w:p w14:paraId="029B8631" w14:textId="77777777" w:rsidR="00A50956" w:rsidRPr="00D078E7" w:rsidRDefault="00A50956" w:rsidP="00A50956">
        <w:pPr>
          <w:pStyle w:val="Rodap"/>
          <w:framePr w:wrap="notBeside" w:vAnchor="text" w:hAnchor="page" w:x="11121" w:y="41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sidR="002B5CA3">
          <w:rPr>
            <w:rStyle w:val="Nmerodepgina"/>
            <w:rFonts w:ascii="Arial" w:hAnsi="Arial" w:cs="Arial"/>
            <w:b/>
            <w:bCs/>
            <w:color w:val="FFFFFF" w:themeColor="background1"/>
            <w:sz w:val="36"/>
            <w:szCs w:val="36"/>
          </w:rPr>
          <w:t>47</w:t>
        </w:r>
        <w:r w:rsidRPr="00D078E7">
          <w:rPr>
            <w:rStyle w:val="Nmerodepgina"/>
            <w:rFonts w:ascii="Arial" w:hAnsi="Arial" w:cs="Arial"/>
            <w:b/>
            <w:bCs/>
            <w:color w:val="FFFFFF" w:themeColor="background1"/>
            <w:sz w:val="36"/>
            <w:szCs w:val="36"/>
          </w:rPr>
          <w:fldChar w:fldCharType="end"/>
        </w:r>
      </w:p>
    </w:sdtContent>
  </w:sdt>
  <w:p w14:paraId="72DBF498" w14:textId="77777777" w:rsidR="00416C76" w:rsidRPr="00C93338" w:rsidRDefault="00416C76" w:rsidP="002B5CA3">
    <w:pPr>
      <w:pStyle w:val="Rodap"/>
      <w:tabs>
        <w:tab w:val="clear" w:pos="4252"/>
        <w:tab w:val="clear" w:pos="8504"/>
        <w:tab w:val="left" w:pos="2440"/>
      </w:tabs>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CBAD4" w14:textId="6670489F" w:rsidR="000A2DF2" w:rsidRDefault="000A2DF2">
    <w:pPr>
      <w:pStyle w:val="Rodap"/>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Fonts w:ascii="Arial" w:hAnsi="Arial" w:cs="Arial"/>
        <w:b/>
        <w:bCs/>
        <w:color w:val="FFFFFF" w:themeColor="background1"/>
        <w:sz w:val="36"/>
        <w:szCs w:val="36"/>
      </w:rPr>
      <w:id w:val="1140307045"/>
      <w:docPartObj>
        <w:docPartGallery w:val="Page Numbers (Bottom of Page)"/>
        <w:docPartUnique/>
      </w:docPartObj>
    </w:sdtPr>
    <w:sdtEndPr>
      <w:rPr>
        <w:rStyle w:val="Nmerodepgina"/>
        <w:sz w:val="52"/>
        <w:szCs w:val="52"/>
      </w:rPr>
    </w:sdtEndPr>
    <w:sdtContent>
      <w:p w14:paraId="739B0D91" w14:textId="77777777" w:rsidR="00A50956" w:rsidRPr="00D078E7" w:rsidRDefault="00A50956" w:rsidP="00A50956">
        <w:pPr>
          <w:pStyle w:val="Rodap"/>
          <w:framePr w:wrap="notBeside" w:vAnchor="text" w:hAnchor="page" w:x="15901" w:y="405"/>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48</w:t>
        </w:r>
        <w:r w:rsidRPr="00D078E7">
          <w:rPr>
            <w:rStyle w:val="Nmerodepgina"/>
            <w:rFonts w:ascii="Arial" w:hAnsi="Arial" w:cs="Arial"/>
            <w:b/>
            <w:bCs/>
            <w:color w:val="FFFFFF" w:themeColor="background1"/>
            <w:sz w:val="36"/>
            <w:szCs w:val="36"/>
          </w:rPr>
          <w:fldChar w:fldCharType="end"/>
        </w:r>
      </w:p>
    </w:sdtContent>
  </w:sdt>
  <w:p w14:paraId="018549F5" w14:textId="5BAB7B74" w:rsidR="00ED7729" w:rsidRDefault="00194B71" w:rsidP="00194B71">
    <w:pPr>
      <w:pStyle w:val="Rodap"/>
    </w:pPr>
    <w:r>
      <w:rPr>
        <w:noProof/>
      </w:rPr>
      <w:drawing>
        <wp:anchor distT="0" distB="0" distL="114300" distR="114300" simplePos="0" relativeHeight="251658257" behindDoc="1" locked="0" layoutInCell="1" allowOverlap="1" wp14:anchorId="0719FE8D" wp14:editId="3A486DBF">
          <wp:simplePos x="0" y="0"/>
          <wp:positionH relativeFrom="column">
            <wp:posOffset>-745490</wp:posOffset>
          </wp:positionH>
          <wp:positionV relativeFrom="paragraph">
            <wp:posOffset>59055</wp:posOffset>
          </wp:positionV>
          <wp:extent cx="10525760" cy="659765"/>
          <wp:effectExtent l="0" t="0" r="8890" b="6985"/>
          <wp:wrapNone/>
          <wp:docPr id="1602351850" name="Imagem 160235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10525760" cy="659765"/>
                  </a:xfrm>
                  <a:prstGeom prst="rect">
                    <a:avLst/>
                  </a:prstGeom>
                </pic:spPr>
              </pic:pic>
            </a:graphicData>
          </a:graphic>
          <wp14:sizeRelH relativeFrom="page">
            <wp14:pctWidth>0</wp14:pctWidth>
          </wp14:sizeRelH>
          <wp14:sizeRelV relativeFrom="page">
            <wp14:pctHeight>0</wp14:pctHeight>
          </wp14:sizeRelV>
        </wp:anchor>
      </w:drawing>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B817D" w14:textId="65FE7DD2" w:rsidR="000A2DF2" w:rsidRDefault="000A2DF2">
    <w:pPr>
      <w:pStyle w:val="Rodap"/>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20E9C7" w14:textId="747E16CE" w:rsidR="000A2DF2" w:rsidRDefault="000A2DF2">
    <w:pPr>
      <w:pStyle w:val="Rodap"/>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A205CF" w14:textId="08263FAE" w:rsidR="007D2E7D" w:rsidRDefault="007D2E7D" w:rsidP="007D2E7D">
    <w:pPr>
      <w:pStyle w:val="Rodap"/>
      <w:tabs>
        <w:tab w:val="clear" w:pos="4252"/>
        <w:tab w:val="clear" w:pos="8504"/>
        <w:tab w:val="left" w:pos="2440"/>
      </w:tabs>
    </w:pPr>
    <w:r>
      <w:rPr>
        <w:noProof/>
      </w:rPr>
      <w:drawing>
        <wp:anchor distT="0" distB="0" distL="114300" distR="114300" simplePos="0" relativeHeight="251658309" behindDoc="1" locked="0" layoutInCell="1" allowOverlap="1" wp14:anchorId="2F389CB3" wp14:editId="19E64917">
          <wp:simplePos x="0" y="0"/>
          <wp:positionH relativeFrom="column">
            <wp:posOffset>-974858</wp:posOffset>
          </wp:positionH>
          <wp:positionV relativeFrom="paragraph">
            <wp:posOffset>326390</wp:posOffset>
          </wp:positionV>
          <wp:extent cx="7630618" cy="647065"/>
          <wp:effectExtent l="0" t="0" r="8890" b="635"/>
          <wp:wrapNone/>
          <wp:docPr id="96195016" name="Imagem 96195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7631534" cy="647143"/>
                  </a:xfrm>
                  <a:prstGeom prst="rect">
                    <a:avLst/>
                  </a:prstGeom>
                </pic:spPr>
              </pic:pic>
            </a:graphicData>
          </a:graphic>
          <wp14:sizeRelH relativeFrom="page">
            <wp14:pctWidth>0</wp14:pctWidth>
          </wp14:sizeRelH>
          <wp14:sizeRelV relativeFrom="page">
            <wp14:pctHeight>0</wp14:pctHeight>
          </wp14:sizeRelV>
        </wp:anchor>
      </w:drawing>
    </w:r>
  </w:p>
  <w:sdt>
    <w:sdtPr>
      <w:rPr>
        <w:rStyle w:val="Nmerodepgina"/>
        <w:rFonts w:ascii="Arial" w:hAnsi="Arial" w:cs="Arial"/>
        <w:b/>
        <w:bCs/>
        <w:color w:val="FFFFFF" w:themeColor="background1"/>
        <w:sz w:val="36"/>
        <w:szCs w:val="36"/>
      </w:rPr>
      <w:id w:val="-1445763963"/>
      <w:docPartObj>
        <w:docPartGallery w:val="Page Numbers (Bottom of Page)"/>
        <w:docPartUnique/>
      </w:docPartObj>
    </w:sdtPr>
    <w:sdtEndPr>
      <w:rPr>
        <w:rStyle w:val="Nmerodepgina"/>
        <w:sz w:val="52"/>
        <w:szCs w:val="52"/>
      </w:rPr>
    </w:sdtEndPr>
    <w:sdtContent>
      <w:p w14:paraId="35C5D32E" w14:textId="77777777" w:rsidR="007D2E7D" w:rsidRPr="00D078E7" w:rsidRDefault="007D2E7D" w:rsidP="007D2E7D">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46</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774239913"/>
      <w:docPartObj>
        <w:docPartGallery w:val="Page Numbers (Bottom of Page)"/>
        <w:docPartUnique/>
      </w:docPartObj>
    </w:sdtPr>
    <w:sdtEndPr>
      <w:rPr>
        <w:rStyle w:val="Nmerodepgina"/>
        <w:sz w:val="52"/>
        <w:szCs w:val="52"/>
      </w:rPr>
    </w:sdtEndPr>
    <w:sdtContent>
      <w:p w14:paraId="014364A8" w14:textId="77777777" w:rsidR="007D2E7D" w:rsidRPr="00D078E7" w:rsidRDefault="007D2E7D" w:rsidP="007D2E7D">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46</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961926102"/>
      <w:docPartObj>
        <w:docPartGallery w:val="Page Numbers (Bottom of Page)"/>
        <w:docPartUnique/>
      </w:docPartObj>
    </w:sdtPr>
    <w:sdtEndPr>
      <w:rPr>
        <w:rStyle w:val="Nmerodepgina"/>
        <w:sz w:val="52"/>
        <w:szCs w:val="52"/>
      </w:rPr>
    </w:sdtEndPr>
    <w:sdtContent>
      <w:p w14:paraId="11792573" w14:textId="77777777" w:rsidR="007D2E7D" w:rsidRPr="00D078E7" w:rsidRDefault="007D2E7D" w:rsidP="007D2E7D">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46</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379989683"/>
      <w:docPartObj>
        <w:docPartGallery w:val="Page Numbers (Bottom of Page)"/>
        <w:docPartUnique/>
      </w:docPartObj>
    </w:sdtPr>
    <w:sdtEndPr>
      <w:rPr>
        <w:rStyle w:val="Nmerodepgina"/>
        <w:sz w:val="52"/>
        <w:szCs w:val="52"/>
      </w:rPr>
    </w:sdtEndPr>
    <w:sdtContent>
      <w:p w14:paraId="6F9E6AE4" w14:textId="77777777" w:rsidR="007D2E7D" w:rsidRPr="00D078E7" w:rsidRDefault="007D2E7D" w:rsidP="007D2E7D">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46</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830604369"/>
      <w:docPartObj>
        <w:docPartGallery w:val="Page Numbers (Bottom of Page)"/>
        <w:docPartUnique/>
      </w:docPartObj>
    </w:sdtPr>
    <w:sdtEndPr>
      <w:rPr>
        <w:rStyle w:val="Nmerodepgina"/>
        <w:sz w:val="52"/>
        <w:szCs w:val="52"/>
      </w:rPr>
    </w:sdtEndPr>
    <w:sdtContent>
      <w:p w14:paraId="2B77A86D" w14:textId="77777777" w:rsidR="007D2E7D" w:rsidRPr="00D078E7" w:rsidRDefault="007D2E7D" w:rsidP="007D2E7D">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46</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979762045"/>
      <w:docPartObj>
        <w:docPartGallery w:val="Page Numbers (Bottom of Page)"/>
        <w:docPartUnique/>
      </w:docPartObj>
    </w:sdtPr>
    <w:sdtEndPr>
      <w:rPr>
        <w:rStyle w:val="Nmerodepgina"/>
        <w:sz w:val="52"/>
        <w:szCs w:val="52"/>
      </w:rPr>
    </w:sdtEndPr>
    <w:sdtContent>
      <w:p w14:paraId="28851592" w14:textId="77777777" w:rsidR="007D2E7D" w:rsidRPr="00D078E7" w:rsidRDefault="007D2E7D" w:rsidP="007D2E7D">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46</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313681331"/>
      <w:docPartObj>
        <w:docPartGallery w:val="Page Numbers (Bottom of Page)"/>
        <w:docPartUnique/>
      </w:docPartObj>
    </w:sdtPr>
    <w:sdtEndPr>
      <w:rPr>
        <w:rStyle w:val="Nmerodepgina"/>
        <w:sz w:val="52"/>
        <w:szCs w:val="52"/>
      </w:rPr>
    </w:sdtEndPr>
    <w:sdtContent>
      <w:p w14:paraId="14994FD1" w14:textId="77777777" w:rsidR="007D2E7D" w:rsidRPr="00D078E7" w:rsidRDefault="007D2E7D" w:rsidP="007D2E7D">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46</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702296093"/>
      <w:docPartObj>
        <w:docPartGallery w:val="Page Numbers (Bottom of Page)"/>
        <w:docPartUnique/>
      </w:docPartObj>
    </w:sdtPr>
    <w:sdtEndPr>
      <w:rPr>
        <w:rStyle w:val="Nmerodepgina"/>
        <w:sz w:val="52"/>
        <w:szCs w:val="52"/>
      </w:rPr>
    </w:sdtEndPr>
    <w:sdtContent>
      <w:p w14:paraId="5897CD3B" w14:textId="77777777" w:rsidR="007D2E7D" w:rsidRPr="00D078E7" w:rsidRDefault="007D2E7D" w:rsidP="007D2E7D">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46</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648634036"/>
      <w:docPartObj>
        <w:docPartGallery w:val="Page Numbers (Bottom of Page)"/>
        <w:docPartUnique/>
      </w:docPartObj>
    </w:sdtPr>
    <w:sdtEndPr>
      <w:rPr>
        <w:rStyle w:val="Nmerodepgina"/>
        <w:sz w:val="52"/>
        <w:szCs w:val="52"/>
      </w:rPr>
    </w:sdtEndPr>
    <w:sdtContent>
      <w:p w14:paraId="52A93523" w14:textId="77777777" w:rsidR="007D2E7D" w:rsidRPr="00D078E7" w:rsidRDefault="007D2E7D" w:rsidP="007D2E7D">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46</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983573279"/>
      <w:docPartObj>
        <w:docPartGallery w:val="Page Numbers (Bottom of Page)"/>
        <w:docPartUnique/>
      </w:docPartObj>
    </w:sdtPr>
    <w:sdtEndPr>
      <w:rPr>
        <w:rStyle w:val="Nmerodepgina"/>
        <w:sz w:val="52"/>
        <w:szCs w:val="52"/>
      </w:rPr>
    </w:sdtEndPr>
    <w:sdtContent>
      <w:p w14:paraId="40685E59" w14:textId="77777777" w:rsidR="007D2E7D" w:rsidRPr="00D078E7" w:rsidRDefault="007D2E7D" w:rsidP="007D2E7D">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46</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826412222"/>
      <w:docPartObj>
        <w:docPartGallery w:val="Page Numbers (Bottom of Page)"/>
        <w:docPartUnique/>
      </w:docPartObj>
    </w:sdtPr>
    <w:sdtEndPr>
      <w:rPr>
        <w:rStyle w:val="Nmerodepgina"/>
        <w:sz w:val="52"/>
        <w:szCs w:val="52"/>
      </w:rPr>
    </w:sdtEndPr>
    <w:sdtContent>
      <w:p w14:paraId="7EF865FA" w14:textId="77777777" w:rsidR="007D2E7D" w:rsidRPr="00D078E7" w:rsidRDefault="007D2E7D" w:rsidP="007D2E7D">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46</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502483274"/>
      <w:docPartObj>
        <w:docPartGallery w:val="Page Numbers (Bottom of Page)"/>
        <w:docPartUnique/>
      </w:docPartObj>
    </w:sdtPr>
    <w:sdtEndPr>
      <w:rPr>
        <w:rStyle w:val="Nmerodepgina"/>
        <w:sz w:val="52"/>
        <w:szCs w:val="52"/>
      </w:rPr>
    </w:sdtEndPr>
    <w:sdtContent>
      <w:p w14:paraId="1A6D2C5F" w14:textId="77777777" w:rsidR="007D2E7D" w:rsidRPr="00D078E7" w:rsidRDefault="007D2E7D" w:rsidP="007D2E7D">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46</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48745657"/>
      <w:docPartObj>
        <w:docPartGallery w:val="Page Numbers (Bottom of Page)"/>
        <w:docPartUnique/>
      </w:docPartObj>
    </w:sdtPr>
    <w:sdtEndPr>
      <w:rPr>
        <w:rStyle w:val="Nmerodepgina"/>
        <w:sz w:val="52"/>
        <w:szCs w:val="52"/>
      </w:rPr>
    </w:sdtEndPr>
    <w:sdtContent>
      <w:p w14:paraId="694BF86C" w14:textId="77777777" w:rsidR="007D2E7D" w:rsidRPr="00D078E7" w:rsidRDefault="007D2E7D" w:rsidP="007D2E7D">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46</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912159393"/>
      <w:docPartObj>
        <w:docPartGallery w:val="Page Numbers (Bottom of Page)"/>
        <w:docPartUnique/>
      </w:docPartObj>
    </w:sdtPr>
    <w:sdtEndPr>
      <w:rPr>
        <w:rStyle w:val="Nmerodepgina"/>
        <w:sz w:val="52"/>
        <w:szCs w:val="52"/>
      </w:rPr>
    </w:sdtEndPr>
    <w:sdtContent>
      <w:p w14:paraId="2286451E" w14:textId="77777777" w:rsidR="007D2E7D" w:rsidRPr="00D078E7" w:rsidRDefault="007D2E7D" w:rsidP="007D2E7D">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46</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533347877"/>
      <w:docPartObj>
        <w:docPartGallery w:val="Page Numbers (Bottom of Page)"/>
        <w:docPartUnique/>
      </w:docPartObj>
    </w:sdtPr>
    <w:sdtEndPr>
      <w:rPr>
        <w:rStyle w:val="Nmerodepgina"/>
        <w:sz w:val="52"/>
        <w:szCs w:val="52"/>
      </w:rPr>
    </w:sdtEndPr>
    <w:sdtContent>
      <w:p w14:paraId="1416495F" w14:textId="77777777" w:rsidR="007D2E7D" w:rsidRPr="00D078E7" w:rsidRDefault="007D2E7D" w:rsidP="007D2E7D">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46</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125275331"/>
      <w:docPartObj>
        <w:docPartGallery w:val="Page Numbers (Bottom of Page)"/>
        <w:docPartUnique/>
      </w:docPartObj>
    </w:sdtPr>
    <w:sdtEndPr>
      <w:rPr>
        <w:rStyle w:val="Nmerodepgina"/>
        <w:sz w:val="52"/>
        <w:szCs w:val="52"/>
      </w:rPr>
    </w:sdtEndPr>
    <w:sdtContent>
      <w:p w14:paraId="36098134" w14:textId="77777777" w:rsidR="007D2E7D" w:rsidRPr="00D078E7" w:rsidRDefault="007D2E7D" w:rsidP="007D2E7D">
        <w:pPr>
          <w:pStyle w:val="Rodap"/>
          <w:framePr w:wrap="notBeside" w:vAnchor="text" w:hAnchor="page" w:x="11121" w:y="41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46</w:t>
        </w:r>
        <w:r w:rsidRPr="00D078E7">
          <w:rPr>
            <w:rStyle w:val="Nmerodepgina"/>
            <w:rFonts w:ascii="Arial" w:hAnsi="Arial" w:cs="Arial"/>
            <w:b/>
            <w:bCs/>
            <w:color w:val="FFFFFF" w:themeColor="background1"/>
            <w:sz w:val="36"/>
            <w:szCs w:val="36"/>
          </w:rPr>
          <w:fldChar w:fldCharType="end"/>
        </w:r>
      </w:p>
    </w:sdtContent>
  </w:sdt>
  <w:p w14:paraId="38F9D74B" w14:textId="4DC3A9EE" w:rsidR="00666BDC" w:rsidRPr="00C93338" w:rsidRDefault="00666BDC" w:rsidP="007D2E7D">
    <w:pPr>
      <w:pStyle w:val="Rodap"/>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0738B" w14:textId="0178047A" w:rsidR="000A2DF2" w:rsidRDefault="000A2DF2">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02076" w14:textId="27F4B617" w:rsidR="000665CC" w:rsidRDefault="000665CC">
    <w:pPr>
      <w:pStyle w:val="Rodap"/>
    </w:pPr>
  </w:p>
  <w:p w14:paraId="0FB06B9C" w14:textId="7E1CE668" w:rsidR="006E1BAB" w:rsidRDefault="006E1BAB">
    <w:pPr>
      <w:pStyle w:val="Rodap"/>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4C5410" w14:textId="3F81E003" w:rsidR="00D67929" w:rsidRDefault="00D67929">
    <w:pPr>
      <w:pStyle w:val="Rodap"/>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16A012" w14:textId="0722520E" w:rsidR="006E20E8" w:rsidRDefault="00CA1857" w:rsidP="00435019">
    <w:pPr>
      <w:pStyle w:val="Rodap"/>
    </w:pPr>
    <w:r>
      <w:rPr>
        <w:noProof/>
      </w:rPr>
      <w:drawing>
        <wp:anchor distT="0" distB="0" distL="114300" distR="114300" simplePos="0" relativeHeight="251658310" behindDoc="1" locked="0" layoutInCell="1" allowOverlap="1" wp14:anchorId="40E19C4B" wp14:editId="75E02E43">
          <wp:simplePos x="0" y="0"/>
          <wp:positionH relativeFrom="column">
            <wp:posOffset>-740942</wp:posOffset>
          </wp:positionH>
          <wp:positionV relativeFrom="paragraph">
            <wp:posOffset>299705</wp:posOffset>
          </wp:positionV>
          <wp:extent cx="10525760" cy="723561"/>
          <wp:effectExtent l="0" t="0" r="0" b="635"/>
          <wp:wrapNone/>
          <wp:docPr id="374325147" name="Imagem 37432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10544868" cy="724875"/>
                  </a:xfrm>
                  <a:prstGeom prst="rect">
                    <a:avLst/>
                  </a:prstGeom>
                </pic:spPr>
              </pic:pic>
            </a:graphicData>
          </a:graphic>
          <wp14:sizeRelH relativeFrom="page">
            <wp14:pctWidth>0</wp14:pctWidth>
          </wp14:sizeRelH>
          <wp14:sizeRelV relativeFrom="page">
            <wp14:pctHeight>0</wp14:pctHeight>
          </wp14:sizeRelV>
        </wp:anchor>
      </w:drawing>
    </w:r>
  </w:p>
  <w:sdt>
    <w:sdtPr>
      <w:rPr>
        <w:rStyle w:val="Nmerodepgina"/>
        <w:rFonts w:ascii="Arial" w:hAnsi="Arial" w:cs="Arial"/>
        <w:b/>
        <w:bCs/>
        <w:color w:val="FFFFFF" w:themeColor="background1"/>
        <w:sz w:val="36"/>
        <w:szCs w:val="36"/>
      </w:rPr>
      <w:id w:val="-665164206"/>
      <w:docPartObj>
        <w:docPartGallery w:val="Page Numbers (Bottom of Page)"/>
        <w:docPartUnique/>
      </w:docPartObj>
    </w:sdtPr>
    <w:sdtEndPr>
      <w:rPr>
        <w:rStyle w:val="Nmerodepgina"/>
        <w:sz w:val="52"/>
        <w:szCs w:val="52"/>
      </w:rPr>
    </w:sdtEndPr>
    <w:sdtContent>
      <w:p w14:paraId="401B462C" w14:textId="77777777" w:rsidR="00CA1857" w:rsidRPr="00D078E7" w:rsidRDefault="00CA1857" w:rsidP="00CA1857">
        <w:pPr>
          <w:pStyle w:val="Rodap"/>
          <w:framePr w:wrap="notBeside" w:vAnchor="text" w:hAnchor="page" w:x="16001" w:y="364"/>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55</w:t>
        </w:r>
        <w:r w:rsidRPr="00D078E7">
          <w:rPr>
            <w:rStyle w:val="Nmerodepgina"/>
            <w:rFonts w:ascii="Arial" w:hAnsi="Arial" w:cs="Arial"/>
            <w:b/>
            <w:bCs/>
            <w:color w:val="FFFFFF" w:themeColor="background1"/>
            <w:sz w:val="36"/>
            <w:szCs w:val="36"/>
          </w:rPr>
          <w:fldChar w:fldCharType="end"/>
        </w:r>
      </w:p>
    </w:sdtContent>
  </w:sdt>
  <w:p w14:paraId="1852F083" w14:textId="665ADC09" w:rsidR="00D67929" w:rsidRDefault="006826BD" w:rsidP="006826BD">
    <w:pPr>
      <w:pStyle w:val="Rodap"/>
      <w:tabs>
        <w:tab w:val="clear" w:pos="4252"/>
        <w:tab w:val="clear" w:pos="8504"/>
        <w:tab w:val="left" w:pos="5220"/>
      </w:tabs>
    </w:pPr>
    <w:r>
      <w:tab/>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FBF2D2" w14:textId="77777777" w:rsidR="00194B71" w:rsidRPr="000964EC" w:rsidRDefault="00194B71" w:rsidP="00194B71">
    <w:pPr>
      <w:pStyle w:val="Rodap"/>
    </w:pPr>
    <w:r>
      <w:rPr>
        <w:noProof/>
      </w:rPr>
      <w:drawing>
        <wp:anchor distT="0" distB="0" distL="114300" distR="114300" simplePos="0" relativeHeight="251658256" behindDoc="1" locked="0" layoutInCell="1" allowOverlap="1" wp14:anchorId="6E9F456B" wp14:editId="361929A6">
          <wp:simplePos x="0" y="0"/>
          <wp:positionH relativeFrom="column">
            <wp:posOffset>-750570</wp:posOffset>
          </wp:positionH>
          <wp:positionV relativeFrom="paragraph">
            <wp:posOffset>300355</wp:posOffset>
          </wp:positionV>
          <wp:extent cx="10525760" cy="659765"/>
          <wp:effectExtent l="0" t="0" r="8890" b="6985"/>
          <wp:wrapNone/>
          <wp:docPr id="1707902918" name="Imagem 170790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10525760" cy="659765"/>
                  </a:xfrm>
                  <a:prstGeom prst="rect">
                    <a:avLst/>
                  </a:prstGeom>
                </pic:spPr>
              </pic:pic>
            </a:graphicData>
          </a:graphic>
          <wp14:sizeRelH relativeFrom="page">
            <wp14:pctWidth>0</wp14:pctWidth>
          </wp14:sizeRelH>
          <wp14:sizeRelV relativeFrom="page">
            <wp14:pctHeight>0</wp14:pctHeight>
          </wp14:sizeRelV>
        </wp:anchor>
      </w:drawing>
    </w:r>
  </w:p>
  <w:sdt>
    <w:sdtPr>
      <w:rPr>
        <w:rStyle w:val="Nmerodepgina"/>
        <w:rFonts w:ascii="Arial" w:hAnsi="Arial" w:cs="Arial"/>
        <w:b/>
        <w:bCs/>
        <w:color w:val="FFFFFF" w:themeColor="background1"/>
        <w:sz w:val="36"/>
        <w:szCs w:val="36"/>
      </w:rPr>
      <w:id w:val="330341006"/>
      <w:docPartObj>
        <w:docPartGallery w:val="Page Numbers (Bottom of Page)"/>
        <w:docPartUnique/>
      </w:docPartObj>
    </w:sdtPr>
    <w:sdtEndPr>
      <w:rPr>
        <w:rStyle w:val="Nmerodepgina"/>
        <w:sz w:val="52"/>
        <w:szCs w:val="52"/>
      </w:rPr>
    </w:sdtEndPr>
    <w:sdtContent>
      <w:p w14:paraId="15AB9D1C" w14:textId="77777777" w:rsidR="00CA1857" w:rsidRPr="00D078E7" w:rsidRDefault="00CA1857" w:rsidP="00CA1857">
        <w:pPr>
          <w:pStyle w:val="Rodap"/>
          <w:framePr w:wrap="notBeside" w:vAnchor="text" w:hAnchor="page" w:x="15901" w:y="404"/>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54</w:t>
        </w:r>
        <w:r w:rsidRPr="00D078E7">
          <w:rPr>
            <w:rStyle w:val="Nmerodepgina"/>
            <w:rFonts w:ascii="Arial" w:hAnsi="Arial" w:cs="Arial"/>
            <w:b/>
            <w:bCs/>
            <w:color w:val="FFFFFF" w:themeColor="background1"/>
            <w:sz w:val="36"/>
            <w:szCs w:val="36"/>
          </w:rPr>
          <w:fldChar w:fldCharType="end"/>
        </w:r>
      </w:p>
    </w:sdtContent>
  </w:sdt>
  <w:p w14:paraId="21271957" w14:textId="24375CAF" w:rsidR="00D67929" w:rsidRDefault="00D67929" w:rsidP="00586282">
    <w:pPr>
      <w:pStyle w:val="Rodap"/>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6CE5E" w14:textId="313E2245" w:rsidR="000A2DF2" w:rsidRDefault="000A2DF2">
    <w:pPr>
      <w:pStyle w:val="Rodap"/>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459DB" w14:textId="102853E8" w:rsidR="00B44795" w:rsidRDefault="00E569B5" w:rsidP="00BA579F">
    <w:pPr>
      <w:pStyle w:val="Rodap"/>
    </w:pPr>
    <w:r>
      <w:rPr>
        <w:noProof/>
      </w:rPr>
      <w:drawing>
        <wp:anchor distT="0" distB="0" distL="114300" distR="114300" simplePos="0" relativeHeight="251658282" behindDoc="1" locked="0" layoutInCell="1" allowOverlap="1" wp14:anchorId="63B7EF63" wp14:editId="537B6697">
          <wp:simplePos x="0" y="0"/>
          <wp:positionH relativeFrom="column">
            <wp:posOffset>-926240</wp:posOffset>
          </wp:positionH>
          <wp:positionV relativeFrom="paragraph">
            <wp:posOffset>314857</wp:posOffset>
          </wp:positionV>
          <wp:extent cx="7617460" cy="647065"/>
          <wp:effectExtent l="0" t="0" r="2540" b="635"/>
          <wp:wrapNone/>
          <wp:docPr id="1008457959" name="Imagem 1008457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7617460" cy="647065"/>
                  </a:xfrm>
                  <a:prstGeom prst="rect">
                    <a:avLst/>
                  </a:prstGeom>
                </pic:spPr>
              </pic:pic>
            </a:graphicData>
          </a:graphic>
          <wp14:sizeRelH relativeFrom="page">
            <wp14:pctWidth>0</wp14:pctWidth>
          </wp14:sizeRelH>
          <wp14:sizeRelV relativeFrom="page">
            <wp14:pctHeight>0</wp14:pctHeight>
          </wp14:sizeRelV>
        </wp:anchor>
      </w:drawing>
    </w:r>
  </w:p>
  <w:sdt>
    <w:sdtPr>
      <w:rPr>
        <w:rStyle w:val="Nmerodepgina"/>
        <w:rFonts w:ascii="Arial" w:hAnsi="Arial" w:cs="Arial"/>
        <w:b/>
        <w:bCs/>
        <w:color w:val="FFFFFF" w:themeColor="background1"/>
        <w:sz w:val="36"/>
        <w:szCs w:val="36"/>
      </w:rPr>
      <w:id w:val="1203988367"/>
      <w:docPartObj>
        <w:docPartGallery w:val="Page Numbers (Bottom of Page)"/>
        <w:docPartUnique/>
      </w:docPartObj>
    </w:sdtPr>
    <w:sdtEndPr>
      <w:rPr>
        <w:rStyle w:val="Nmerodepgina"/>
        <w:sz w:val="52"/>
        <w:szCs w:val="52"/>
      </w:rPr>
    </w:sdtEndPr>
    <w:sdtContent>
      <w:p w14:paraId="6C74B32B" w14:textId="77777777" w:rsidR="00CA1857" w:rsidRPr="00D078E7" w:rsidRDefault="00CA1857" w:rsidP="00E569B5">
        <w:pPr>
          <w:pStyle w:val="Rodap"/>
          <w:framePr w:wrap="notBeside" w:vAnchor="text" w:hAnchor="page" w:x="11149" w:y="415"/>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sidR="00E569B5">
          <w:rPr>
            <w:rStyle w:val="Nmerodepgina"/>
            <w:rFonts w:ascii="Arial" w:hAnsi="Arial" w:cs="Arial"/>
            <w:b/>
            <w:bCs/>
            <w:color w:val="FFFFFF" w:themeColor="background1"/>
            <w:sz w:val="36"/>
            <w:szCs w:val="36"/>
          </w:rPr>
          <w:t>77</w:t>
        </w:r>
        <w:r w:rsidRPr="00D078E7">
          <w:rPr>
            <w:rStyle w:val="Nmerodepgina"/>
            <w:rFonts w:ascii="Arial" w:hAnsi="Arial" w:cs="Arial"/>
            <w:b/>
            <w:bCs/>
            <w:color w:val="FFFFFF" w:themeColor="background1"/>
            <w:sz w:val="36"/>
            <w:szCs w:val="36"/>
          </w:rPr>
          <w:fldChar w:fldCharType="end"/>
        </w:r>
      </w:p>
    </w:sdtContent>
  </w:sdt>
  <w:p w14:paraId="709D688C" w14:textId="3755D940" w:rsidR="00E2168A" w:rsidRPr="00C93338" w:rsidRDefault="00E2168A" w:rsidP="00E569B5">
    <w:pPr>
      <w:pStyle w:val="Rodap"/>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B6657" w14:textId="737C3AFF" w:rsidR="00E2168A" w:rsidRPr="00C93338" w:rsidRDefault="00E2168A" w:rsidP="00FE63C8">
    <w:pPr>
      <w:pStyle w:val="Rodap"/>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B7CC74" w14:textId="77777777" w:rsidR="00E569B5" w:rsidRDefault="00E569B5" w:rsidP="00E569B5">
    <w:pPr>
      <w:pStyle w:val="Rodap"/>
    </w:pPr>
    <w:r>
      <w:rPr>
        <w:noProof/>
      </w:rPr>
      <w:drawing>
        <wp:anchor distT="0" distB="0" distL="114300" distR="114300" simplePos="0" relativeHeight="251658293" behindDoc="1" locked="0" layoutInCell="1" allowOverlap="1" wp14:anchorId="2A3EE0E4" wp14:editId="0E313C6F">
          <wp:simplePos x="0" y="0"/>
          <wp:positionH relativeFrom="column">
            <wp:posOffset>-763952</wp:posOffset>
          </wp:positionH>
          <wp:positionV relativeFrom="paragraph">
            <wp:posOffset>291929</wp:posOffset>
          </wp:positionV>
          <wp:extent cx="10537246" cy="659765"/>
          <wp:effectExtent l="0" t="0" r="0" b="6985"/>
          <wp:wrapNone/>
          <wp:docPr id="15052657" name="Imagem 1505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10537414" cy="659776"/>
                  </a:xfrm>
                  <a:prstGeom prst="rect">
                    <a:avLst/>
                  </a:prstGeom>
                </pic:spPr>
              </pic:pic>
            </a:graphicData>
          </a:graphic>
          <wp14:sizeRelH relativeFrom="page">
            <wp14:pctWidth>0</wp14:pctWidth>
          </wp14:sizeRelH>
          <wp14:sizeRelV relativeFrom="page">
            <wp14:pctHeight>0</wp14:pctHeight>
          </wp14:sizeRelV>
        </wp:anchor>
      </w:drawing>
    </w:r>
  </w:p>
  <w:sdt>
    <w:sdtPr>
      <w:rPr>
        <w:rStyle w:val="Nmerodepgina"/>
        <w:rFonts w:ascii="Arial" w:hAnsi="Arial" w:cs="Arial"/>
        <w:b/>
        <w:bCs/>
        <w:color w:val="FFFFFF" w:themeColor="background1"/>
        <w:sz w:val="36"/>
        <w:szCs w:val="36"/>
      </w:rPr>
      <w:id w:val="-633861363"/>
      <w:docPartObj>
        <w:docPartGallery w:val="Page Numbers (Bottom of Page)"/>
        <w:docPartUnique/>
      </w:docPartObj>
    </w:sdtPr>
    <w:sdtEndPr>
      <w:rPr>
        <w:rStyle w:val="Nmerodepgina"/>
        <w:sz w:val="52"/>
        <w:szCs w:val="52"/>
      </w:rPr>
    </w:sdtEndPr>
    <w:sdtContent>
      <w:p w14:paraId="172B42C7" w14:textId="77777777" w:rsidR="00E569B5" w:rsidRPr="00D078E7" w:rsidRDefault="00E569B5" w:rsidP="00E569B5">
        <w:pPr>
          <w:pStyle w:val="Rodap"/>
          <w:framePr w:wrap="notBeside" w:vAnchor="text" w:hAnchor="page" w:x="16001" w:y="364"/>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60</w:t>
        </w:r>
        <w:r w:rsidRPr="00D078E7">
          <w:rPr>
            <w:rStyle w:val="Nmerodepgina"/>
            <w:rFonts w:ascii="Arial" w:hAnsi="Arial" w:cs="Arial"/>
            <w:b/>
            <w:bCs/>
            <w:color w:val="FFFFFF" w:themeColor="background1"/>
            <w:sz w:val="36"/>
            <w:szCs w:val="36"/>
          </w:rPr>
          <w:fldChar w:fldCharType="end"/>
        </w:r>
      </w:p>
    </w:sdtContent>
  </w:sdt>
  <w:p w14:paraId="312EA83C" w14:textId="77777777" w:rsidR="00442C74" w:rsidRDefault="00E569B5" w:rsidP="00E569B5">
    <w:pPr>
      <w:pStyle w:val="Rodap"/>
      <w:tabs>
        <w:tab w:val="clear" w:pos="4252"/>
        <w:tab w:val="clear" w:pos="8504"/>
        <w:tab w:val="left" w:pos="5220"/>
      </w:tabs>
    </w:pPr>
    <w:r>
      <w:tab/>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3ECAE" w14:textId="77777777" w:rsidR="00E569B5" w:rsidRPr="00C93338" w:rsidRDefault="00E569B5" w:rsidP="00E569B5">
    <w:pPr>
      <w:pStyle w:val="Rodap"/>
    </w:pPr>
    <w:r>
      <w:rPr>
        <w:noProof/>
      </w:rPr>
      <w:drawing>
        <wp:anchor distT="0" distB="0" distL="114300" distR="114300" simplePos="0" relativeHeight="251658283" behindDoc="1" locked="0" layoutInCell="1" allowOverlap="1" wp14:anchorId="4EBCC1D1" wp14:editId="23DB4633">
          <wp:simplePos x="0" y="0"/>
          <wp:positionH relativeFrom="column">
            <wp:posOffset>-926240</wp:posOffset>
          </wp:positionH>
          <wp:positionV relativeFrom="paragraph">
            <wp:posOffset>314857</wp:posOffset>
          </wp:positionV>
          <wp:extent cx="7617460" cy="647065"/>
          <wp:effectExtent l="0" t="0" r="2540" b="635"/>
          <wp:wrapNone/>
          <wp:docPr id="1805505674" name="Imagem 1805505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7617460" cy="647065"/>
                  </a:xfrm>
                  <a:prstGeom prst="rect">
                    <a:avLst/>
                  </a:prstGeom>
                </pic:spPr>
              </pic:pic>
            </a:graphicData>
          </a:graphic>
          <wp14:sizeRelH relativeFrom="page">
            <wp14:pctWidth>0</wp14:pctWidth>
          </wp14:sizeRelH>
          <wp14:sizeRelV relativeFrom="page">
            <wp14:pctHeight>0</wp14:pctHeight>
          </wp14:sizeRelV>
        </wp:anchor>
      </w:drawing>
    </w:r>
  </w:p>
  <w:p w14:paraId="7BFB914B" w14:textId="66785910" w:rsidR="00D417FB" w:rsidRPr="00D078E7" w:rsidRDefault="003852BC" w:rsidP="00E569B5">
    <w:pPr>
      <w:pStyle w:val="Rodap"/>
      <w:framePr w:wrap="notBeside" w:vAnchor="text" w:hAnchor="page" w:x="11149" w:y="415"/>
      <w:rPr>
        <w:rStyle w:val="Nmerodepgina"/>
        <w:rFonts w:ascii="Arial" w:hAnsi="Arial" w:cs="Arial"/>
        <w:b/>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sidR="00E569B5">
      <w:rPr>
        <w:rStyle w:val="Nmerodepgina"/>
        <w:rFonts w:ascii="Arial" w:hAnsi="Arial" w:cs="Arial"/>
        <w:b/>
        <w:bCs/>
        <w:color w:val="FFFFFF" w:themeColor="background1"/>
        <w:sz w:val="36"/>
        <w:szCs w:val="36"/>
      </w:rPr>
      <w:t>77</w:t>
    </w:r>
    <w:r w:rsidRPr="00D078E7">
      <w:rPr>
        <w:rStyle w:val="Nmerodepgina"/>
        <w:rFonts w:ascii="Arial" w:hAnsi="Arial" w:cs="Arial"/>
        <w:b/>
        <w:bCs/>
        <w:color w:val="FFFFFF" w:themeColor="background1"/>
        <w:sz w:val="36"/>
        <w:szCs w:val="36"/>
      </w:rPr>
      <w:fldChar w:fldCharType="end"/>
    </w:r>
  </w:p>
  <w:p w14:paraId="7D01F263" w14:textId="3F9A5844" w:rsidR="00950F2D" w:rsidRPr="00C93338" w:rsidRDefault="00950F2D" w:rsidP="00D417FB">
    <w:pPr>
      <w:pStyle w:val="Rodap"/>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75570" w14:textId="7B56AFB6" w:rsidR="000A2DF2" w:rsidRDefault="000A2DF2">
    <w:pPr>
      <w:pStyle w:val="Rodap"/>
    </w:pP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5C1A6C" w14:textId="77777777" w:rsidR="00586282" w:rsidRDefault="001776F1" w:rsidP="00586282">
    <w:pPr>
      <w:pStyle w:val="Rodap"/>
    </w:pPr>
    <w:r>
      <w:rPr>
        <w:noProof/>
      </w:rPr>
      <w:drawing>
        <wp:anchor distT="0" distB="0" distL="114300" distR="114300" simplePos="0" relativeHeight="251658297" behindDoc="1" locked="0" layoutInCell="1" allowOverlap="1" wp14:anchorId="1D7F3004" wp14:editId="033112FE">
          <wp:simplePos x="0" y="0"/>
          <wp:positionH relativeFrom="column">
            <wp:posOffset>-763952</wp:posOffset>
          </wp:positionH>
          <wp:positionV relativeFrom="paragraph">
            <wp:posOffset>291929</wp:posOffset>
          </wp:positionV>
          <wp:extent cx="10537246" cy="659765"/>
          <wp:effectExtent l="0" t="0" r="0" b="6985"/>
          <wp:wrapNone/>
          <wp:docPr id="1968964621" name="Imagem 1968964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10537302" cy="659769"/>
                  </a:xfrm>
                  <a:prstGeom prst="rect">
                    <a:avLst/>
                  </a:prstGeom>
                </pic:spPr>
              </pic:pic>
            </a:graphicData>
          </a:graphic>
          <wp14:sizeRelH relativeFrom="page">
            <wp14:pctWidth>0</wp14:pctWidth>
          </wp14:sizeRelH>
          <wp14:sizeRelV relativeFrom="page">
            <wp14:pctHeight>0</wp14:pctHeight>
          </wp14:sizeRelV>
        </wp:anchor>
      </w:drawing>
    </w:r>
  </w:p>
  <w:sdt>
    <w:sdtPr>
      <w:rPr>
        <w:rStyle w:val="Nmerodepgina"/>
        <w:rFonts w:ascii="Arial" w:hAnsi="Arial" w:cs="Arial"/>
        <w:b/>
        <w:bCs/>
        <w:color w:val="FFFFFF" w:themeColor="background1"/>
        <w:sz w:val="36"/>
        <w:szCs w:val="36"/>
      </w:rPr>
      <w:id w:val="-492963447"/>
      <w:docPartObj>
        <w:docPartGallery w:val="Page Numbers (Bottom of Page)"/>
        <w:docPartUnique/>
      </w:docPartObj>
    </w:sdtPr>
    <w:sdtEndPr>
      <w:rPr>
        <w:rStyle w:val="Nmerodepgina"/>
        <w:sz w:val="52"/>
        <w:szCs w:val="52"/>
      </w:rPr>
    </w:sdtEndPr>
    <w:sdtContent>
      <w:p w14:paraId="786E85EF" w14:textId="77777777" w:rsidR="00586282" w:rsidRPr="00D078E7" w:rsidRDefault="00586282" w:rsidP="00586282">
        <w:pPr>
          <w:pStyle w:val="Rodap"/>
          <w:framePr w:wrap="notBeside" w:vAnchor="text" w:hAnchor="page" w:x="16001" w:y="364"/>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sidR="001776F1">
          <w:rPr>
            <w:rStyle w:val="Nmerodepgina"/>
            <w:rFonts w:ascii="Arial" w:hAnsi="Arial" w:cs="Arial"/>
            <w:b/>
            <w:bCs/>
            <w:color w:val="FFFFFF" w:themeColor="background1"/>
            <w:sz w:val="36"/>
            <w:szCs w:val="36"/>
          </w:rPr>
          <w:t>64</w:t>
        </w:r>
        <w:r w:rsidRPr="00D078E7">
          <w:rPr>
            <w:rStyle w:val="Nmerodepgina"/>
            <w:rFonts w:ascii="Arial" w:hAnsi="Arial" w:cs="Arial"/>
            <w:b/>
            <w:bCs/>
            <w:color w:val="FFFFFF" w:themeColor="background1"/>
            <w:sz w:val="36"/>
            <w:szCs w:val="36"/>
          </w:rPr>
          <w:fldChar w:fldCharType="end"/>
        </w:r>
      </w:p>
    </w:sdtContent>
  </w:sdt>
  <w:p w14:paraId="0899C25F" w14:textId="66EFF984" w:rsidR="00180E9E" w:rsidRDefault="001776F1" w:rsidP="001776F1">
    <w:pPr>
      <w:pStyle w:val="Rodap"/>
      <w:tabs>
        <w:tab w:val="clear" w:pos="4252"/>
        <w:tab w:val="clear" w:pos="8504"/>
        <w:tab w:val="left" w:pos="5220"/>
      </w:tabs>
    </w:pPr>
    <w: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A1E4E" w14:textId="2D21BF7F" w:rsidR="000A2DF2" w:rsidRDefault="000A2DF2">
    <w:pPr>
      <w:pStyle w:val="Rodap"/>
    </w:pP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F8E7D" w14:textId="2DBA4B8E" w:rsidR="00811001" w:rsidRDefault="00811001" w:rsidP="000D7FB6">
    <w:pPr>
      <w:pStyle w:val="Rodap"/>
      <w:jc w:val="right"/>
      <w:rPr>
        <w:rFonts w:ascii="Courier New" w:hAnsi="Courier New"/>
      </w:rPr>
    </w:pPr>
    <w:r>
      <w:rPr>
        <w:noProof/>
      </w:rPr>
      <w:drawing>
        <wp:anchor distT="0" distB="0" distL="114300" distR="114300" simplePos="0" relativeHeight="251658299" behindDoc="1" locked="0" layoutInCell="1" allowOverlap="1" wp14:anchorId="0392326F" wp14:editId="0B029758">
          <wp:simplePos x="0" y="0"/>
          <wp:positionH relativeFrom="column">
            <wp:posOffset>-3308652</wp:posOffset>
          </wp:positionH>
          <wp:positionV relativeFrom="paragraph">
            <wp:posOffset>121692</wp:posOffset>
          </wp:positionV>
          <wp:extent cx="9985514" cy="325165"/>
          <wp:effectExtent l="0" t="0" r="0" b="0"/>
          <wp:wrapNone/>
          <wp:docPr id="503286390" name="Imagem 503286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55970" cy="32745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38F875" w14:textId="77777777" w:rsidR="00DB1FE4" w:rsidRPr="00337FC1" w:rsidRDefault="00811001" w:rsidP="000D7FB6">
    <w:pPr>
      <w:pStyle w:val="Rodap"/>
      <w:tabs>
        <w:tab w:val="clear" w:pos="4252"/>
        <w:tab w:val="clear" w:pos="8504"/>
        <w:tab w:val="center" w:pos="4820"/>
      </w:tabs>
      <w:jc w:val="right"/>
      <w:rPr>
        <w:color w:val="2E74B5"/>
        <w:sz w:val="20"/>
        <w:szCs w:val="20"/>
      </w:rPr>
    </w:pPr>
    <w:r>
      <w:rPr>
        <w:noProof/>
        <w:color w:val="2E74B5"/>
        <w:sz w:val="20"/>
        <w:szCs w:val="20"/>
      </w:rPr>
      <w:tab/>
    </w:r>
    <w:sdt>
      <w:sdtPr>
        <w:rPr>
          <w:noProof/>
          <w:color w:val="2E74B5"/>
          <w:sz w:val="20"/>
          <w:szCs w:val="20"/>
        </w:rPr>
        <w:id w:val="-1171950064"/>
        <w:docPartObj>
          <w:docPartGallery w:val="Page Numbers (Bottom of Page)"/>
          <w:docPartUnique/>
        </w:docPartObj>
      </w:sdtPr>
      <w:sdtEndPr>
        <w:rPr>
          <w:rFonts w:ascii="Futura Lt BT" w:hAnsi="Futura Lt BT"/>
          <w:noProof w:val="0"/>
        </w:rPr>
      </w:sdtEndPr>
      <w:sdtContent>
        <w:r w:rsidRPr="0083024D">
          <w:rPr>
            <w:rFonts w:ascii="Futura Lt BT" w:hAnsi="Futura Lt BT"/>
            <w:color w:val="2E74B5"/>
            <w:sz w:val="20"/>
            <w:szCs w:val="20"/>
          </w:rPr>
          <w:fldChar w:fldCharType="begin"/>
        </w:r>
        <w:r w:rsidRPr="0083024D">
          <w:rPr>
            <w:rFonts w:ascii="Futura Lt BT" w:hAnsi="Futura Lt BT"/>
            <w:color w:val="2E74B5"/>
            <w:sz w:val="20"/>
            <w:szCs w:val="20"/>
          </w:rPr>
          <w:instrText>PAGE   \* MERGEFORMAT</w:instrText>
        </w:r>
        <w:r w:rsidRPr="0083024D">
          <w:rPr>
            <w:rFonts w:ascii="Futura Lt BT" w:hAnsi="Futura Lt BT"/>
            <w:color w:val="2E74B5"/>
            <w:sz w:val="20"/>
            <w:szCs w:val="20"/>
          </w:rPr>
          <w:fldChar w:fldCharType="separate"/>
        </w:r>
        <w:r w:rsidRPr="0083024D">
          <w:rPr>
            <w:rFonts w:ascii="Futura Lt BT" w:hAnsi="Futura Lt BT"/>
            <w:color w:val="2E74B5"/>
            <w:sz w:val="20"/>
            <w:szCs w:val="20"/>
          </w:rPr>
          <w:t>82</w:t>
        </w:r>
        <w:r w:rsidRPr="0083024D">
          <w:rPr>
            <w:rFonts w:ascii="Futura Lt BT" w:hAnsi="Futura Lt BT"/>
            <w:color w:val="2E74B5"/>
            <w:sz w:val="20"/>
            <w:szCs w:val="20"/>
          </w:rPr>
          <w:fldChar w:fldCharType="end"/>
        </w:r>
      </w:sdtContent>
    </w:sdt>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62DEC1" w14:textId="590E6176" w:rsidR="000A2DF2" w:rsidRDefault="000A2DF2">
    <w:pPr>
      <w:pStyle w:val="Rodap"/>
    </w:pP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134FA" w14:textId="204F641D" w:rsidR="00AB3217" w:rsidRPr="00C93338" w:rsidRDefault="00FF197F" w:rsidP="00E35CCD">
    <w:pPr>
      <w:pStyle w:val="Rodap"/>
    </w:pPr>
    <w:r>
      <w:rPr>
        <w:noProof/>
      </w:rPr>
      <w:drawing>
        <wp:anchor distT="0" distB="0" distL="114300" distR="114300" simplePos="0" relativeHeight="251658311" behindDoc="1" locked="0" layoutInCell="1" allowOverlap="1" wp14:anchorId="3C4A2A2C" wp14:editId="7AB76B95">
          <wp:simplePos x="0" y="0"/>
          <wp:positionH relativeFrom="column">
            <wp:posOffset>-974859</wp:posOffset>
          </wp:positionH>
          <wp:positionV relativeFrom="paragraph">
            <wp:posOffset>325120</wp:posOffset>
          </wp:positionV>
          <wp:extent cx="7676707" cy="647065"/>
          <wp:effectExtent l="0" t="0" r="635" b="635"/>
          <wp:wrapNone/>
          <wp:docPr id="1248682216" name="Imagem 124868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7676899" cy="647081"/>
                  </a:xfrm>
                  <a:prstGeom prst="rect">
                    <a:avLst/>
                  </a:prstGeom>
                </pic:spPr>
              </pic:pic>
            </a:graphicData>
          </a:graphic>
          <wp14:sizeRelH relativeFrom="page">
            <wp14:pctWidth>0</wp14:pctWidth>
          </wp14:sizeRelH>
          <wp14:sizeRelV relativeFrom="page">
            <wp14:pctHeight>0</wp14:pctHeight>
          </wp14:sizeRelV>
        </wp:anchor>
      </w:drawing>
    </w:r>
  </w:p>
  <w:sdt>
    <w:sdtPr>
      <w:rPr>
        <w:rStyle w:val="Nmerodepgina"/>
        <w:rFonts w:ascii="Arial" w:hAnsi="Arial" w:cs="Arial"/>
        <w:b/>
        <w:bCs/>
        <w:color w:val="FFFFFF" w:themeColor="background1"/>
        <w:sz w:val="36"/>
        <w:szCs w:val="36"/>
      </w:rPr>
      <w:id w:val="579032072"/>
      <w:docPartObj>
        <w:docPartGallery w:val="Page Numbers (Bottom of Page)"/>
        <w:docPartUnique/>
      </w:docPartObj>
    </w:sdtPr>
    <w:sdtEndPr>
      <w:rPr>
        <w:rStyle w:val="Nmerodepgina"/>
        <w:sz w:val="52"/>
        <w:szCs w:val="52"/>
      </w:rPr>
    </w:sdtEndPr>
    <w:sdtContent>
      <w:p w14:paraId="4F801AA7" w14:textId="77777777" w:rsidR="00AB3217" w:rsidRPr="00D078E7" w:rsidRDefault="00AB3217" w:rsidP="00FF197F">
        <w:pPr>
          <w:pStyle w:val="Rodap"/>
          <w:framePr w:wrap="notBeside" w:vAnchor="text" w:hAnchor="page" w:x="11126" w:y="436"/>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sidR="00FF197F">
          <w:rPr>
            <w:rStyle w:val="Nmerodepgina"/>
            <w:rFonts w:ascii="Arial" w:hAnsi="Arial" w:cs="Arial"/>
            <w:b/>
            <w:bCs/>
            <w:color w:val="FFFFFF" w:themeColor="background1"/>
            <w:sz w:val="36"/>
            <w:szCs w:val="36"/>
          </w:rPr>
          <w:t>77</w:t>
        </w:r>
        <w:r w:rsidRPr="00D078E7">
          <w:rPr>
            <w:rStyle w:val="Nmerodepgina"/>
            <w:rFonts w:ascii="Arial" w:hAnsi="Arial" w:cs="Arial"/>
            <w:b/>
            <w:bCs/>
            <w:color w:val="FFFFFF" w:themeColor="background1"/>
            <w:sz w:val="36"/>
            <w:szCs w:val="36"/>
          </w:rPr>
          <w:fldChar w:fldCharType="end"/>
        </w:r>
      </w:p>
    </w:sdtContent>
  </w:sdt>
  <w:p w14:paraId="04B32218" w14:textId="1F441871" w:rsidR="00880A36" w:rsidRPr="00C93338" w:rsidRDefault="00880A36" w:rsidP="00210785">
    <w:pPr>
      <w:pStyle w:val="Rodap"/>
      <w:tabs>
        <w:tab w:val="clear" w:pos="4252"/>
        <w:tab w:val="clear" w:pos="8504"/>
        <w:tab w:val="left" w:pos="5220"/>
      </w:tabs>
    </w:pP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Fonts w:ascii="Arial" w:hAnsi="Arial" w:cs="Arial"/>
        <w:b/>
        <w:bCs/>
        <w:color w:val="FFFFFF" w:themeColor="background1"/>
        <w:sz w:val="36"/>
        <w:szCs w:val="36"/>
      </w:rPr>
      <w:id w:val="-1764064474"/>
      <w:docPartObj>
        <w:docPartGallery w:val="Page Numbers (Bottom of Page)"/>
        <w:docPartUnique/>
      </w:docPartObj>
    </w:sdtPr>
    <w:sdtEndPr>
      <w:rPr>
        <w:rStyle w:val="Nmerodepgina"/>
        <w:sz w:val="52"/>
        <w:szCs w:val="52"/>
      </w:rPr>
    </w:sdtEndPr>
    <w:sdtContent>
      <w:p w14:paraId="5061C23E" w14:textId="77777777" w:rsidR="00AB3217" w:rsidRPr="00D078E7" w:rsidRDefault="00AB3217" w:rsidP="00AB3217">
        <w:pPr>
          <w:pStyle w:val="Rodap"/>
          <w:framePr w:wrap="notBeside" w:vAnchor="text" w:hAnchor="page" w:x="11101" w:y="43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77</w:t>
        </w:r>
        <w:r w:rsidRPr="00D078E7">
          <w:rPr>
            <w:rStyle w:val="Nmerodepgina"/>
            <w:rFonts w:ascii="Arial" w:hAnsi="Arial" w:cs="Arial"/>
            <w:b/>
            <w:bCs/>
            <w:color w:val="FFFFFF" w:themeColor="background1"/>
            <w:sz w:val="36"/>
            <w:szCs w:val="36"/>
          </w:rPr>
          <w:fldChar w:fldCharType="end"/>
        </w:r>
      </w:p>
    </w:sdtContent>
  </w:sdt>
  <w:p w14:paraId="698C392A" w14:textId="19A06ADC" w:rsidR="0063136C" w:rsidRPr="00C93338" w:rsidRDefault="00AB3217" w:rsidP="00AB3217">
    <w:pPr>
      <w:pStyle w:val="Rodap"/>
    </w:pPr>
    <w:r>
      <w:rPr>
        <w:noProof/>
      </w:rPr>
      <w:drawing>
        <wp:anchor distT="0" distB="0" distL="114300" distR="114300" simplePos="0" relativeHeight="251658269" behindDoc="1" locked="0" layoutInCell="1" allowOverlap="1" wp14:anchorId="4379F658" wp14:editId="76D40A9F">
          <wp:simplePos x="0" y="0"/>
          <wp:positionH relativeFrom="column">
            <wp:posOffset>-970915</wp:posOffset>
          </wp:positionH>
          <wp:positionV relativeFrom="paragraph">
            <wp:posOffset>62865</wp:posOffset>
          </wp:positionV>
          <wp:extent cx="7617460" cy="647065"/>
          <wp:effectExtent l="0" t="0" r="2540" b="635"/>
          <wp:wrapNone/>
          <wp:docPr id="476874456" name="Imagem 476874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7617460" cy="647065"/>
                  </a:xfrm>
                  <a:prstGeom prst="rect">
                    <a:avLst/>
                  </a:prstGeom>
                </pic:spPr>
              </pic:pic>
            </a:graphicData>
          </a:graphic>
          <wp14:sizeRelH relativeFrom="page">
            <wp14:pctWidth>0</wp14:pctWidth>
          </wp14:sizeRelH>
          <wp14:sizeRelV relativeFrom="page">
            <wp14:pctHeight>0</wp14:pctHeight>
          </wp14:sizeRelV>
        </wp:anchor>
      </w:drawing>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Fonts w:ascii="Arial" w:hAnsi="Arial" w:cs="Arial"/>
        <w:b/>
        <w:bCs/>
        <w:color w:val="FFFFFF" w:themeColor="background1"/>
        <w:sz w:val="36"/>
        <w:szCs w:val="36"/>
      </w:rPr>
      <w:id w:val="-1357573733"/>
      <w:docPartObj>
        <w:docPartGallery w:val="Page Numbers (Bottom of Page)"/>
        <w:docPartUnique/>
      </w:docPartObj>
    </w:sdtPr>
    <w:sdtEndPr>
      <w:rPr>
        <w:rStyle w:val="Nmerodepgina"/>
        <w:sz w:val="52"/>
        <w:szCs w:val="52"/>
      </w:rPr>
    </w:sdtEndPr>
    <w:sdtContent>
      <w:p w14:paraId="5B21B5F2" w14:textId="77777777" w:rsidR="00E933F1" w:rsidRPr="00D078E7" w:rsidRDefault="00E933F1" w:rsidP="00E933F1">
        <w:pPr>
          <w:pStyle w:val="Rodap"/>
          <w:framePr w:wrap="notBeside" w:vAnchor="text" w:hAnchor="page" w:x="15842" w:y="422"/>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87</w:t>
        </w:r>
        <w:r w:rsidRPr="00D078E7">
          <w:rPr>
            <w:rStyle w:val="Nmerodepgina"/>
            <w:rFonts w:ascii="Arial" w:hAnsi="Arial" w:cs="Arial"/>
            <w:b/>
            <w:bCs/>
            <w:color w:val="FFFFFF" w:themeColor="background1"/>
            <w:sz w:val="36"/>
            <w:szCs w:val="36"/>
          </w:rPr>
          <w:fldChar w:fldCharType="end"/>
        </w:r>
      </w:p>
    </w:sdtContent>
  </w:sdt>
  <w:p w14:paraId="7A2F8E1D" w14:textId="77777777" w:rsidR="002B5BF0" w:rsidRDefault="00E933F1">
    <w:pPr>
      <w:pStyle w:val="Rodap"/>
    </w:pPr>
    <w:r>
      <w:rPr>
        <w:noProof/>
      </w:rPr>
      <w:drawing>
        <wp:anchor distT="0" distB="0" distL="114300" distR="114300" simplePos="0" relativeHeight="251658284" behindDoc="1" locked="0" layoutInCell="1" allowOverlap="1" wp14:anchorId="670DD74C" wp14:editId="72228C24">
          <wp:simplePos x="0" y="0"/>
          <wp:positionH relativeFrom="column">
            <wp:posOffset>-750826</wp:posOffset>
          </wp:positionH>
          <wp:positionV relativeFrom="paragraph">
            <wp:posOffset>95856</wp:posOffset>
          </wp:positionV>
          <wp:extent cx="10525760" cy="659765"/>
          <wp:effectExtent l="0" t="0" r="8890" b="6985"/>
          <wp:wrapNone/>
          <wp:docPr id="883934663" name="Imagem 883934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10525760" cy="659765"/>
                  </a:xfrm>
                  <a:prstGeom prst="rect">
                    <a:avLst/>
                  </a:prstGeom>
                </pic:spPr>
              </pic:pic>
            </a:graphicData>
          </a:graphic>
          <wp14:sizeRelH relativeFrom="page">
            <wp14:pctWidth>0</wp14:pctWidth>
          </wp14:sizeRelH>
          <wp14:sizeRelV relativeFrom="page">
            <wp14:pctHeight>0</wp14:pctHeight>
          </wp14:sizeRelV>
        </wp:anchor>
      </w:drawing>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A0709" w14:textId="77777777" w:rsidR="00586282" w:rsidRDefault="00586282" w:rsidP="00E569B5">
    <w:pPr>
      <w:pStyle w:val="Rodap"/>
    </w:pPr>
    <w:r>
      <w:rPr>
        <w:noProof/>
      </w:rPr>
      <w:drawing>
        <wp:anchor distT="0" distB="0" distL="114300" distR="114300" simplePos="0" relativeHeight="251658258" behindDoc="1" locked="0" layoutInCell="1" allowOverlap="1" wp14:anchorId="5908C9B2" wp14:editId="3DE4AA6F">
          <wp:simplePos x="0" y="0"/>
          <wp:positionH relativeFrom="column">
            <wp:posOffset>-559236</wp:posOffset>
          </wp:positionH>
          <wp:positionV relativeFrom="paragraph">
            <wp:posOffset>263999</wp:posOffset>
          </wp:positionV>
          <wp:extent cx="10525760" cy="750627"/>
          <wp:effectExtent l="0" t="0" r="0" b="0"/>
          <wp:wrapNone/>
          <wp:docPr id="1580413261" name="Imagem 158041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10526559" cy="750684"/>
                  </a:xfrm>
                  <a:prstGeom prst="rect">
                    <a:avLst/>
                  </a:prstGeom>
                </pic:spPr>
              </pic:pic>
            </a:graphicData>
          </a:graphic>
          <wp14:sizeRelH relativeFrom="page">
            <wp14:pctWidth>0</wp14:pctWidth>
          </wp14:sizeRelH>
          <wp14:sizeRelV relativeFrom="page">
            <wp14:pctHeight>0</wp14:pctHeight>
          </wp14:sizeRelV>
        </wp:anchor>
      </w:drawing>
    </w:r>
  </w:p>
  <w:sdt>
    <w:sdtPr>
      <w:rPr>
        <w:rStyle w:val="Nmerodepgina"/>
        <w:rFonts w:ascii="Arial" w:hAnsi="Arial" w:cs="Arial"/>
        <w:b/>
        <w:bCs/>
        <w:color w:val="FFFFFF" w:themeColor="background1"/>
        <w:sz w:val="36"/>
        <w:szCs w:val="36"/>
      </w:rPr>
      <w:id w:val="505710597"/>
      <w:docPartObj>
        <w:docPartGallery w:val="Page Numbers (Bottom of Page)"/>
        <w:docPartUnique/>
      </w:docPartObj>
    </w:sdtPr>
    <w:sdtEndPr>
      <w:rPr>
        <w:rStyle w:val="Nmerodepgina"/>
        <w:sz w:val="52"/>
        <w:szCs w:val="52"/>
      </w:rPr>
    </w:sdtEndPr>
    <w:sdtContent>
      <w:p w14:paraId="49DCB292" w14:textId="77777777" w:rsidR="00586282" w:rsidRPr="00D078E7" w:rsidRDefault="00586282" w:rsidP="00586282">
        <w:pPr>
          <w:pStyle w:val="Rodap"/>
          <w:framePr w:wrap="notBeside" w:vAnchor="text" w:hAnchor="page" w:x="16001" w:y="364"/>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62</w:t>
        </w:r>
        <w:r w:rsidRPr="00D078E7">
          <w:rPr>
            <w:rStyle w:val="Nmerodepgina"/>
            <w:rFonts w:ascii="Arial" w:hAnsi="Arial" w:cs="Arial"/>
            <w:b/>
            <w:bCs/>
            <w:color w:val="FFFFFF" w:themeColor="background1"/>
            <w:sz w:val="36"/>
            <w:szCs w:val="36"/>
          </w:rPr>
          <w:fldChar w:fldCharType="end"/>
        </w:r>
      </w:p>
    </w:sdtContent>
  </w:sdt>
  <w:p w14:paraId="7F44FA96" w14:textId="7D6FA3D9" w:rsidR="00960085" w:rsidRDefault="00960085" w:rsidP="00586282">
    <w:pPr>
      <w:pStyle w:val="Rodap"/>
    </w:pP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203011" w14:textId="58C50BB3" w:rsidR="00E933F1" w:rsidRDefault="00E933F1" w:rsidP="00E933F1">
    <w:pPr>
      <w:pStyle w:val="Rodap"/>
      <w:tabs>
        <w:tab w:val="clear" w:pos="4252"/>
        <w:tab w:val="clear" w:pos="8504"/>
        <w:tab w:val="center" w:pos="4820"/>
      </w:tabs>
      <w:rPr>
        <w:rFonts w:ascii="CAIXA Std Book" w:hAnsi="CAIXA Std Book"/>
        <w:color w:val="2E74B5"/>
        <w:sz w:val="20"/>
        <w:szCs w:val="20"/>
      </w:rPr>
    </w:pPr>
  </w:p>
  <w:sdt>
    <w:sdtPr>
      <w:rPr>
        <w:rStyle w:val="Nmerodepgina"/>
        <w:rFonts w:ascii="Arial" w:hAnsi="Arial" w:cs="Arial"/>
        <w:b/>
        <w:bCs/>
        <w:color w:val="FFFFFF" w:themeColor="background1"/>
        <w:sz w:val="36"/>
        <w:szCs w:val="36"/>
      </w:rPr>
      <w:id w:val="-128329845"/>
      <w:docPartObj>
        <w:docPartGallery w:val="Page Numbers (Bottom of Page)"/>
        <w:docPartUnique/>
      </w:docPartObj>
    </w:sdtPr>
    <w:sdtEndPr>
      <w:rPr>
        <w:rStyle w:val="Nmerodepgina"/>
        <w:sz w:val="52"/>
        <w:szCs w:val="52"/>
      </w:rPr>
    </w:sdtEndPr>
    <w:sdtContent>
      <w:p w14:paraId="0BE0C024" w14:textId="77777777" w:rsidR="00E933F1" w:rsidRPr="00D078E7" w:rsidRDefault="00E933F1" w:rsidP="00E933F1">
        <w:pPr>
          <w:pStyle w:val="Rodap"/>
          <w:framePr w:wrap="notBeside" w:vAnchor="text" w:hAnchor="page" w:x="11101" w:y="49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91</w:t>
        </w:r>
        <w:r w:rsidRPr="00D078E7">
          <w:rPr>
            <w:rStyle w:val="Nmerodepgina"/>
            <w:rFonts w:ascii="Arial" w:hAnsi="Arial" w:cs="Arial"/>
            <w:b/>
            <w:bCs/>
            <w:color w:val="FFFFFF" w:themeColor="background1"/>
            <w:sz w:val="36"/>
            <w:szCs w:val="36"/>
          </w:rPr>
          <w:fldChar w:fldCharType="end"/>
        </w:r>
      </w:p>
    </w:sdtContent>
  </w:sdt>
  <w:p w14:paraId="7E095921" w14:textId="77777777" w:rsidR="002B5BF0" w:rsidRDefault="00E933F1">
    <w:pPr>
      <w:pStyle w:val="Rodap"/>
    </w:pPr>
    <w:r>
      <w:rPr>
        <w:noProof/>
      </w:rPr>
      <w:drawing>
        <wp:anchor distT="0" distB="0" distL="114300" distR="114300" simplePos="0" relativeHeight="251658287" behindDoc="1" locked="0" layoutInCell="1" allowOverlap="1" wp14:anchorId="2008C1F1" wp14:editId="0B050E79">
          <wp:simplePos x="0" y="0"/>
          <wp:positionH relativeFrom="column">
            <wp:posOffset>-970915</wp:posOffset>
          </wp:positionH>
          <wp:positionV relativeFrom="paragraph">
            <wp:posOffset>62865</wp:posOffset>
          </wp:positionV>
          <wp:extent cx="7617460" cy="647065"/>
          <wp:effectExtent l="0" t="0" r="2540" b="635"/>
          <wp:wrapNone/>
          <wp:docPr id="1668454021" name="Imagem 1668454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7617460" cy="647065"/>
                  </a:xfrm>
                  <a:prstGeom prst="rect">
                    <a:avLst/>
                  </a:prstGeom>
                </pic:spPr>
              </pic:pic>
            </a:graphicData>
          </a:graphic>
          <wp14:sizeRelH relativeFrom="page">
            <wp14:pctWidth>0</wp14:pctWidth>
          </wp14:sizeRelH>
          <wp14:sizeRelV relativeFrom="page">
            <wp14:pctHeight>0</wp14:pctHeight>
          </wp14:sizeRelV>
        </wp:anchor>
      </w:drawing>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D96D2D" w14:textId="77777777" w:rsidR="00AB3217" w:rsidRDefault="00AB3217" w:rsidP="00AB3217">
    <w:pPr>
      <w:pStyle w:val="Rodap"/>
      <w:tabs>
        <w:tab w:val="clear" w:pos="4252"/>
        <w:tab w:val="clear" w:pos="8504"/>
        <w:tab w:val="center" w:pos="4820"/>
      </w:tabs>
      <w:rPr>
        <w:rFonts w:ascii="CAIXA Std Book" w:hAnsi="CAIXA Std Book"/>
        <w:color w:val="2E74B5"/>
        <w:sz w:val="20"/>
        <w:szCs w:val="20"/>
      </w:rPr>
    </w:pPr>
  </w:p>
  <w:sdt>
    <w:sdtPr>
      <w:rPr>
        <w:rStyle w:val="Nmerodepgina"/>
        <w:rFonts w:ascii="Arial" w:hAnsi="Arial" w:cs="Arial"/>
        <w:b/>
        <w:bCs/>
        <w:color w:val="FFFFFF" w:themeColor="background1"/>
        <w:sz w:val="36"/>
        <w:szCs w:val="36"/>
      </w:rPr>
      <w:id w:val="-2120984341"/>
      <w:docPartObj>
        <w:docPartGallery w:val="Page Numbers (Bottom of Page)"/>
        <w:docPartUnique/>
      </w:docPartObj>
    </w:sdtPr>
    <w:sdtEndPr>
      <w:rPr>
        <w:rStyle w:val="Nmerodepgina"/>
        <w:sz w:val="52"/>
        <w:szCs w:val="52"/>
      </w:rPr>
    </w:sdtEndPr>
    <w:sdtContent>
      <w:p w14:paraId="123E2BB8" w14:textId="77777777" w:rsidR="00AB3217" w:rsidRPr="00D078E7" w:rsidRDefault="00AB3217" w:rsidP="00AB3217">
        <w:pPr>
          <w:pStyle w:val="Rodap"/>
          <w:framePr w:wrap="notBeside" w:vAnchor="text" w:hAnchor="page" w:x="11101" w:y="49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78</w:t>
        </w:r>
        <w:r w:rsidRPr="00D078E7">
          <w:rPr>
            <w:rStyle w:val="Nmerodepgina"/>
            <w:rFonts w:ascii="Arial" w:hAnsi="Arial" w:cs="Arial"/>
            <w:b/>
            <w:bCs/>
            <w:color w:val="FFFFFF" w:themeColor="background1"/>
            <w:sz w:val="36"/>
            <w:szCs w:val="36"/>
          </w:rPr>
          <w:fldChar w:fldCharType="end"/>
        </w:r>
      </w:p>
    </w:sdtContent>
  </w:sdt>
  <w:p w14:paraId="7A0E4BA8" w14:textId="77777777" w:rsidR="00960085" w:rsidRPr="00C93338" w:rsidRDefault="00AB3217" w:rsidP="00AB3217">
    <w:pPr>
      <w:pStyle w:val="Rodap"/>
    </w:pPr>
    <w:r>
      <w:rPr>
        <w:noProof/>
      </w:rPr>
      <w:drawing>
        <wp:anchor distT="0" distB="0" distL="114300" distR="114300" simplePos="0" relativeHeight="251658271" behindDoc="1" locked="0" layoutInCell="1" allowOverlap="1" wp14:anchorId="43B5698B" wp14:editId="219ED2BD">
          <wp:simplePos x="0" y="0"/>
          <wp:positionH relativeFrom="column">
            <wp:posOffset>-970915</wp:posOffset>
          </wp:positionH>
          <wp:positionV relativeFrom="paragraph">
            <wp:posOffset>62865</wp:posOffset>
          </wp:positionV>
          <wp:extent cx="7617460" cy="647065"/>
          <wp:effectExtent l="0" t="0" r="2540" b="635"/>
          <wp:wrapNone/>
          <wp:docPr id="705251257" name="Imagem 70525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7617460" cy="647065"/>
                  </a:xfrm>
                  <a:prstGeom prst="rect">
                    <a:avLst/>
                  </a:prstGeom>
                </pic:spPr>
              </pic:pic>
            </a:graphicData>
          </a:graphic>
          <wp14:sizeRelH relativeFrom="page">
            <wp14:pctWidth>0</wp14:pctWidth>
          </wp14:sizeRelH>
          <wp14:sizeRelV relativeFrom="page">
            <wp14:pctHeight>0</wp14:pctHeight>
          </wp14:sizeRelV>
        </wp:anchor>
      </w:drawing>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8ED29" w14:textId="69C28A8F" w:rsidR="000A2DF2" w:rsidRDefault="000A2DF2">
    <w:pPr>
      <w:pStyle w:val="Rodap"/>
    </w:pP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05870" w14:textId="71CF6CB4" w:rsidR="006E20E8" w:rsidRDefault="0051691B" w:rsidP="00E47E6E">
    <w:pPr>
      <w:pStyle w:val="Rodap"/>
      <w:jc w:val="right"/>
    </w:pPr>
    <w:r>
      <w:rPr>
        <w:noProof/>
      </w:rPr>
      <w:drawing>
        <wp:anchor distT="0" distB="0" distL="114300" distR="114300" simplePos="0" relativeHeight="251658274" behindDoc="1" locked="0" layoutInCell="1" allowOverlap="1" wp14:anchorId="43797FB4" wp14:editId="090145F6">
          <wp:simplePos x="0" y="0"/>
          <wp:positionH relativeFrom="column">
            <wp:posOffset>-750305</wp:posOffset>
          </wp:positionH>
          <wp:positionV relativeFrom="paragraph">
            <wp:posOffset>291294</wp:posOffset>
          </wp:positionV>
          <wp:extent cx="10525760" cy="659765"/>
          <wp:effectExtent l="0" t="0" r="8890" b="6985"/>
          <wp:wrapNone/>
          <wp:docPr id="1475001112" name="Imagem 147500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10543328" cy="660866"/>
                  </a:xfrm>
                  <a:prstGeom prst="rect">
                    <a:avLst/>
                  </a:prstGeom>
                </pic:spPr>
              </pic:pic>
            </a:graphicData>
          </a:graphic>
          <wp14:sizeRelH relativeFrom="page">
            <wp14:pctWidth>0</wp14:pctWidth>
          </wp14:sizeRelH>
          <wp14:sizeRelV relativeFrom="page">
            <wp14:pctHeight>0</wp14:pctHeight>
          </wp14:sizeRelV>
        </wp:anchor>
      </w:drawing>
    </w:r>
  </w:p>
  <w:sdt>
    <w:sdtPr>
      <w:rPr>
        <w:rStyle w:val="Nmerodepgina"/>
        <w:rFonts w:ascii="Arial" w:hAnsi="Arial" w:cs="Arial"/>
        <w:b/>
        <w:bCs/>
        <w:color w:val="FFFFFF" w:themeColor="background1"/>
        <w:sz w:val="36"/>
        <w:szCs w:val="36"/>
      </w:rPr>
      <w:id w:val="-918176653"/>
      <w:docPartObj>
        <w:docPartGallery w:val="Page Numbers (Bottom of Page)"/>
        <w:docPartUnique/>
      </w:docPartObj>
    </w:sdtPr>
    <w:sdtEndPr>
      <w:rPr>
        <w:rStyle w:val="Nmerodepgina"/>
        <w:sz w:val="52"/>
        <w:szCs w:val="52"/>
      </w:rPr>
    </w:sdtEndPr>
    <w:sdtContent>
      <w:p w14:paraId="7D0CABEC" w14:textId="77777777" w:rsidR="0051691B" w:rsidRPr="00D078E7" w:rsidRDefault="0051691B" w:rsidP="004C3084">
        <w:pPr>
          <w:pStyle w:val="Rodap"/>
          <w:framePr w:wrap="notBeside" w:vAnchor="text" w:hAnchor="page" w:x="15841" w:y="404"/>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23</w:t>
        </w:r>
        <w:r w:rsidRPr="00D078E7">
          <w:rPr>
            <w:rStyle w:val="Nmerodepgina"/>
            <w:rFonts w:ascii="Arial" w:hAnsi="Arial" w:cs="Arial"/>
            <w:b/>
            <w:bCs/>
            <w:color w:val="FFFFFF" w:themeColor="background1"/>
            <w:sz w:val="36"/>
            <w:szCs w:val="36"/>
          </w:rPr>
          <w:fldChar w:fldCharType="end"/>
        </w:r>
      </w:p>
    </w:sdtContent>
  </w:sdt>
  <w:p w14:paraId="053E5618" w14:textId="3B3DB578" w:rsidR="00960085" w:rsidRDefault="00960085" w:rsidP="00194B71">
    <w:pPr>
      <w:pStyle w:val="Rodap"/>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Fonts w:ascii="Arial" w:hAnsi="Arial" w:cs="Arial"/>
        <w:b/>
        <w:bCs/>
        <w:color w:val="FFFFFF" w:themeColor="background1"/>
        <w:sz w:val="36"/>
        <w:szCs w:val="36"/>
      </w:rPr>
      <w:id w:val="-531416542"/>
      <w:docPartObj>
        <w:docPartGallery w:val="Page Numbers (Bottom of Page)"/>
        <w:docPartUnique/>
      </w:docPartObj>
    </w:sdtPr>
    <w:sdtEndPr>
      <w:rPr>
        <w:rStyle w:val="Nmerodepgina"/>
        <w:sz w:val="52"/>
        <w:szCs w:val="52"/>
      </w:rPr>
    </w:sdtEndPr>
    <w:sdtContent>
      <w:p w14:paraId="3CEA5208" w14:textId="77777777" w:rsidR="006A089D" w:rsidRPr="00D078E7" w:rsidRDefault="006A089D" w:rsidP="006B2175">
        <w:pPr>
          <w:pStyle w:val="Rodap"/>
          <w:framePr w:wrap="notBeside" w:vAnchor="text" w:hAnchor="page" w:x="11221" w:y="41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2</w:t>
        </w:r>
        <w:r w:rsidRPr="00D078E7">
          <w:rPr>
            <w:rStyle w:val="Nmerodepgina"/>
            <w:rFonts w:ascii="Arial" w:hAnsi="Arial" w:cs="Arial"/>
            <w:b/>
            <w:bCs/>
            <w:color w:val="FFFFFF" w:themeColor="background1"/>
            <w:sz w:val="36"/>
            <w:szCs w:val="36"/>
          </w:rPr>
          <w:fldChar w:fldCharType="end"/>
        </w:r>
      </w:p>
    </w:sdtContent>
  </w:sdt>
  <w:p w14:paraId="1630502C" w14:textId="7AD6CF85" w:rsidR="00295657" w:rsidRDefault="006A089D">
    <w:pPr>
      <w:pStyle w:val="Rodap"/>
    </w:pPr>
    <w:r>
      <w:rPr>
        <w:noProof/>
      </w:rPr>
      <w:drawing>
        <wp:anchor distT="0" distB="0" distL="114300" distR="114300" simplePos="0" relativeHeight="251658245" behindDoc="1" locked="0" layoutInCell="1" allowOverlap="1" wp14:anchorId="0DA092F0" wp14:editId="2D2165FB">
          <wp:simplePos x="0" y="0"/>
          <wp:positionH relativeFrom="column">
            <wp:posOffset>-970915</wp:posOffset>
          </wp:positionH>
          <wp:positionV relativeFrom="paragraph">
            <wp:posOffset>62865</wp:posOffset>
          </wp:positionV>
          <wp:extent cx="7617460" cy="647065"/>
          <wp:effectExtent l="0" t="0" r="2540" b="635"/>
          <wp:wrapNone/>
          <wp:docPr id="711489899" name="Imagem 711489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7617460" cy="647065"/>
                  </a:xfrm>
                  <a:prstGeom prst="rect">
                    <a:avLst/>
                  </a:prstGeom>
                </pic:spPr>
              </pic:pic>
            </a:graphicData>
          </a:graphic>
          <wp14:sizeRelH relativeFrom="page">
            <wp14:pctWidth>0</wp14:pctWidth>
          </wp14:sizeRelH>
          <wp14:sizeRelV relativeFrom="page">
            <wp14:pctHeight>0</wp14:pctHeight>
          </wp14:sizeRelV>
        </wp:anchor>
      </w:drawing>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5F51FA" w14:textId="1580FE6C" w:rsidR="006E20E8" w:rsidRDefault="00A50956" w:rsidP="00E47E6E">
    <w:pPr>
      <w:pStyle w:val="Rodap"/>
      <w:jc w:val="right"/>
    </w:pPr>
    <w:r>
      <w:rPr>
        <w:noProof/>
      </w:rPr>
      <w:drawing>
        <wp:anchor distT="0" distB="0" distL="114300" distR="114300" simplePos="0" relativeHeight="251658275" behindDoc="1" locked="0" layoutInCell="1" allowOverlap="1" wp14:anchorId="20557D95" wp14:editId="18425744">
          <wp:simplePos x="0" y="0"/>
          <wp:positionH relativeFrom="column">
            <wp:posOffset>-748030</wp:posOffset>
          </wp:positionH>
          <wp:positionV relativeFrom="paragraph">
            <wp:posOffset>314325</wp:posOffset>
          </wp:positionV>
          <wp:extent cx="10525760" cy="659765"/>
          <wp:effectExtent l="0" t="0" r="8890" b="6985"/>
          <wp:wrapNone/>
          <wp:docPr id="267832852" name="Imagem 26783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10525760" cy="659765"/>
                  </a:xfrm>
                  <a:prstGeom prst="rect">
                    <a:avLst/>
                  </a:prstGeom>
                </pic:spPr>
              </pic:pic>
            </a:graphicData>
          </a:graphic>
          <wp14:sizeRelH relativeFrom="page">
            <wp14:pctWidth>0</wp14:pctWidth>
          </wp14:sizeRelH>
          <wp14:sizeRelV relativeFrom="page">
            <wp14:pctHeight>0</wp14:pctHeight>
          </wp14:sizeRelV>
        </wp:anchor>
      </w:drawing>
    </w:r>
  </w:p>
  <w:sdt>
    <w:sdtPr>
      <w:rPr>
        <w:rStyle w:val="Nmerodepgina"/>
        <w:rFonts w:ascii="Arial" w:hAnsi="Arial" w:cs="Arial"/>
        <w:b/>
        <w:bCs/>
        <w:color w:val="FFFFFF" w:themeColor="background1"/>
        <w:sz w:val="36"/>
        <w:szCs w:val="36"/>
      </w:rPr>
      <w:id w:val="317159474"/>
      <w:docPartObj>
        <w:docPartGallery w:val="Page Numbers (Bottom of Page)"/>
        <w:docPartUnique/>
      </w:docPartObj>
    </w:sdtPr>
    <w:sdtEndPr>
      <w:rPr>
        <w:rStyle w:val="Nmerodepgina"/>
        <w:sz w:val="52"/>
        <w:szCs w:val="52"/>
      </w:rPr>
    </w:sdtEndPr>
    <w:sdtContent>
      <w:p w14:paraId="7730D830" w14:textId="77777777" w:rsidR="00A50956" w:rsidRPr="00D078E7" w:rsidRDefault="00A50956" w:rsidP="00AB3217">
        <w:pPr>
          <w:pStyle w:val="Rodap"/>
          <w:framePr w:wrap="notBeside" w:vAnchor="text" w:hAnchor="page" w:x="15901" w:y="444"/>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100</w:t>
        </w:r>
        <w:r w:rsidRPr="00D078E7">
          <w:rPr>
            <w:rStyle w:val="Nmerodepgina"/>
            <w:rFonts w:ascii="Arial" w:hAnsi="Arial" w:cs="Arial"/>
            <w:b/>
            <w:bCs/>
            <w:color w:val="FFFFFF" w:themeColor="background1"/>
            <w:sz w:val="36"/>
            <w:szCs w:val="36"/>
          </w:rPr>
          <w:fldChar w:fldCharType="end"/>
        </w:r>
      </w:p>
    </w:sdtContent>
  </w:sdt>
  <w:p w14:paraId="6A0A185C" w14:textId="24A721A5" w:rsidR="003A7BBA" w:rsidRDefault="003A7BBA" w:rsidP="00194B71">
    <w:pPr>
      <w:pStyle w:val="Rodap"/>
    </w:pP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9502F4" w14:textId="1AB1A23F" w:rsidR="004F2107" w:rsidRDefault="00A85534" w:rsidP="00AB3217">
    <w:pPr>
      <w:pStyle w:val="Rodap"/>
      <w:tabs>
        <w:tab w:val="clear" w:pos="4252"/>
        <w:tab w:val="clear" w:pos="8504"/>
        <w:tab w:val="center" w:pos="4820"/>
      </w:tabs>
      <w:rPr>
        <w:rFonts w:ascii="CAIXA Std Book" w:hAnsi="CAIXA Std Book"/>
        <w:color w:val="2E74B5"/>
        <w:sz w:val="20"/>
        <w:szCs w:val="20"/>
      </w:rPr>
    </w:pPr>
    <w:r>
      <w:rPr>
        <w:noProof/>
      </w:rPr>
      <w:drawing>
        <wp:anchor distT="0" distB="0" distL="114300" distR="114300" simplePos="0" relativeHeight="251658276" behindDoc="1" locked="0" layoutInCell="1" allowOverlap="1" wp14:anchorId="27DCE954" wp14:editId="32F62F16">
          <wp:simplePos x="0" y="0"/>
          <wp:positionH relativeFrom="column">
            <wp:posOffset>-970915</wp:posOffset>
          </wp:positionH>
          <wp:positionV relativeFrom="paragraph">
            <wp:posOffset>234315</wp:posOffset>
          </wp:positionV>
          <wp:extent cx="7617460" cy="647065"/>
          <wp:effectExtent l="0" t="0" r="2540" b="635"/>
          <wp:wrapNone/>
          <wp:docPr id="1149900095" name="Imagem 1149900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7617460" cy="647065"/>
                  </a:xfrm>
                  <a:prstGeom prst="rect">
                    <a:avLst/>
                  </a:prstGeom>
                </pic:spPr>
              </pic:pic>
            </a:graphicData>
          </a:graphic>
          <wp14:sizeRelH relativeFrom="page">
            <wp14:pctWidth>0</wp14:pctWidth>
          </wp14:sizeRelH>
          <wp14:sizeRelV relativeFrom="page">
            <wp14:pctHeight>0</wp14:pctHeight>
          </wp14:sizeRelV>
        </wp:anchor>
      </w:drawing>
    </w:r>
  </w:p>
  <w:sdt>
    <w:sdtPr>
      <w:rPr>
        <w:rStyle w:val="Nmerodepgina"/>
        <w:rFonts w:ascii="Arial" w:hAnsi="Arial" w:cs="Arial"/>
        <w:b/>
        <w:bCs/>
        <w:color w:val="FFFFFF" w:themeColor="background1"/>
        <w:sz w:val="36"/>
        <w:szCs w:val="36"/>
      </w:rPr>
      <w:id w:val="1699817159"/>
      <w:docPartObj>
        <w:docPartGallery w:val="Page Numbers (Bottom of Page)"/>
        <w:docPartUnique/>
      </w:docPartObj>
    </w:sdtPr>
    <w:sdtEndPr>
      <w:rPr>
        <w:rStyle w:val="Nmerodepgina"/>
        <w:sz w:val="52"/>
        <w:szCs w:val="52"/>
      </w:rPr>
    </w:sdtEndPr>
    <w:sdtContent>
      <w:p w14:paraId="0077A4F8" w14:textId="77777777" w:rsidR="00A85534" w:rsidRPr="00D078E7" w:rsidRDefault="00A85534" w:rsidP="00A85534">
        <w:pPr>
          <w:pStyle w:val="Rodap"/>
          <w:framePr w:wrap="notBeside" w:vAnchor="text" w:hAnchor="page" w:x="11041" w:y="43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12</w:t>
        </w:r>
        <w:r w:rsidRPr="00D078E7">
          <w:rPr>
            <w:rStyle w:val="Nmerodepgina"/>
            <w:rFonts w:ascii="Arial" w:hAnsi="Arial" w:cs="Arial"/>
            <w:b/>
            <w:bCs/>
            <w:color w:val="FFFFFF" w:themeColor="background1"/>
            <w:sz w:val="36"/>
            <w:szCs w:val="36"/>
          </w:rPr>
          <w:fldChar w:fldCharType="end"/>
        </w:r>
      </w:p>
    </w:sdtContent>
  </w:sdt>
  <w:p w14:paraId="17F83383" w14:textId="1611056A" w:rsidR="003A7BBA" w:rsidRPr="00C93338" w:rsidRDefault="003A7BBA" w:rsidP="00AF40CD">
    <w:pPr>
      <w:pStyle w:val="Rodap"/>
    </w:pP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6DC904" w14:textId="0A3B8063" w:rsidR="004F2107" w:rsidRDefault="004F2107" w:rsidP="00F43394">
    <w:pPr>
      <w:pStyle w:val="Rodap"/>
      <w:tabs>
        <w:tab w:val="clear" w:pos="4252"/>
        <w:tab w:val="clear" w:pos="8504"/>
        <w:tab w:val="center" w:pos="4820"/>
      </w:tabs>
      <w:jc w:val="right"/>
      <w:rPr>
        <w:rFonts w:ascii="CAIXA Std Book" w:hAnsi="CAIXA Std Book"/>
        <w:color w:val="2E74B5"/>
        <w:sz w:val="20"/>
        <w:szCs w:val="20"/>
      </w:rPr>
    </w:pPr>
  </w:p>
  <w:sdt>
    <w:sdtPr>
      <w:rPr>
        <w:rStyle w:val="Nmerodepgina"/>
        <w:rFonts w:ascii="Arial" w:hAnsi="Arial" w:cs="Arial"/>
        <w:b/>
        <w:bCs/>
        <w:color w:val="FFFFFF" w:themeColor="background1"/>
        <w:sz w:val="36"/>
        <w:szCs w:val="36"/>
      </w:rPr>
      <w:id w:val="-535418596"/>
      <w:docPartObj>
        <w:docPartGallery w:val="Page Numbers (Bottom of Page)"/>
        <w:docPartUnique/>
      </w:docPartObj>
    </w:sdtPr>
    <w:sdtEndPr>
      <w:rPr>
        <w:rStyle w:val="Nmerodepgina"/>
        <w:sz w:val="52"/>
        <w:szCs w:val="52"/>
      </w:rPr>
    </w:sdtEndPr>
    <w:sdtContent>
      <w:p w14:paraId="3506AB1C" w14:textId="77777777" w:rsidR="00A85534" w:rsidRPr="00D078E7" w:rsidRDefault="00A85534" w:rsidP="00A85534">
        <w:pPr>
          <w:pStyle w:val="Rodap"/>
          <w:framePr w:wrap="notBeside" w:vAnchor="text" w:hAnchor="page" w:x="10981" w:y="47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12</w:t>
        </w:r>
        <w:r w:rsidRPr="00D078E7">
          <w:rPr>
            <w:rStyle w:val="Nmerodepgina"/>
            <w:rFonts w:ascii="Arial" w:hAnsi="Arial" w:cs="Arial"/>
            <w:b/>
            <w:bCs/>
            <w:color w:val="FFFFFF" w:themeColor="background1"/>
            <w:sz w:val="36"/>
            <w:szCs w:val="36"/>
          </w:rPr>
          <w:fldChar w:fldCharType="end"/>
        </w:r>
      </w:p>
    </w:sdtContent>
  </w:sdt>
  <w:p w14:paraId="719A5964" w14:textId="06C6FCAD" w:rsidR="003A7BBA" w:rsidRPr="00C93338" w:rsidRDefault="00AF40CD" w:rsidP="00AF40CD">
    <w:pPr>
      <w:pStyle w:val="Rodap"/>
    </w:pPr>
    <w:r>
      <w:rPr>
        <w:noProof/>
      </w:rPr>
      <w:drawing>
        <wp:anchor distT="0" distB="0" distL="114300" distR="114300" simplePos="0" relativeHeight="251658255" behindDoc="1" locked="0" layoutInCell="1" allowOverlap="1" wp14:anchorId="49643CDA" wp14:editId="257F43D9">
          <wp:simplePos x="0" y="0"/>
          <wp:positionH relativeFrom="column">
            <wp:posOffset>-970915</wp:posOffset>
          </wp:positionH>
          <wp:positionV relativeFrom="paragraph">
            <wp:posOffset>62865</wp:posOffset>
          </wp:positionV>
          <wp:extent cx="7617460" cy="647065"/>
          <wp:effectExtent l="0" t="0" r="2540" b="635"/>
          <wp:wrapNone/>
          <wp:docPr id="1609306215" name="Imagem 1609306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7617460" cy="647065"/>
                  </a:xfrm>
                  <a:prstGeom prst="rect">
                    <a:avLst/>
                  </a:prstGeom>
                </pic:spPr>
              </pic:pic>
            </a:graphicData>
          </a:graphic>
          <wp14:sizeRelH relativeFrom="page">
            <wp14:pctWidth>0</wp14:pctWidth>
          </wp14:sizeRelH>
          <wp14:sizeRelV relativeFrom="page">
            <wp14:pctHeight>0</wp14:pctHeight>
          </wp14:sizeRelV>
        </wp:anchor>
      </w:drawing>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92292358"/>
      <w:docPartObj>
        <w:docPartGallery w:val="Page Numbers (Bottom of Page)"/>
        <w:docPartUnique/>
      </w:docPartObj>
    </w:sdtPr>
    <w:sdtEndPr/>
    <w:sdtContent>
      <w:p w14:paraId="43FB6474" w14:textId="575E979B" w:rsidR="00D87394" w:rsidRDefault="00D87394">
        <w:pPr>
          <w:pStyle w:val="Rodap"/>
          <w:jc w:val="right"/>
        </w:pPr>
        <w:r>
          <w:fldChar w:fldCharType="begin"/>
        </w:r>
        <w:r>
          <w:instrText>PAGE   \* MERGEFORMAT</w:instrText>
        </w:r>
        <w:r>
          <w:fldChar w:fldCharType="separate"/>
        </w:r>
        <w:r>
          <w:t>2</w:t>
        </w:r>
        <w:r>
          <w:fldChar w:fldCharType="end"/>
        </w:r>
      </w:p>
    </w:sdtContent>
  </w:sdt>
  <w:p w14:paraId="6B5DCB6F" w14:textId="6EF37850" w:rsidR="002D0770" w:rsidRDefault="002D0770">
    <w:pPr>
      <w:pStyle w:val="Corpodetexto"/>
      <w:spacing w:line="14" w:lineRule="auto"/>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23D8B6" w14:textId="2B641DC1" w:rsidR="000A2DF2" w:rsidRDefault="000A2DF2">
    <w:pPr>
      <w:pStyle w:val="Rodap"/>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Fonts w:ascii="Arial" w:hAnsi="Arial" w:cs="Arial"/>
        <w:b/>
        <w:color w:val="FFFFFF" w:themeColor="background1"/>
        <w:sz w:val="36"/>
        <w:szCs w:val="36"/>
      </w:rPr>
      <w:id w:val="1319540984"/>
      <w:docPartObj>
        <w:docPartGallery w:val="Page Numbers (Bottom of Page)"/>
        <w:docPartUnique/>
      </w:docPartObj>
    </w:sdtPr>
    <w:sdtEndPr>
      <w:rPr>
        <w:rStyle w:val="Nmerodepgina"/>
        <w:sz w:val="52"/>
        <w:szCs w:val="52"/>
      </w:rPr>
    </w:sdtEndPr>
    <w:sdtContent>
      <w:p w14:paraId="1E572E02" w14:textId="77777777" w:rsidR="00F06837" w:rsidRPr="00D078E7" w:rsidRDefault="00F06837" w:rsidP="004C0201">
        <w:pPr>
          <w:pStyle w:val="Rodap"/>
          <w:framePr w:wrap="notBeside" w:vAnchor="text" w:hAnchor="page" w:x="16013" w:y="525"/>
          <w:rPr>
            <w:rStyle w:val="Nmerodepgina"/>
            <w:rFonts w:ascii="Arial" w:hAnsi="Arial" w:cs="Arial"/>
            <w:b/>
            <w:color w:val="FFFFFF" w:themeColor="background1"/>
            <w:sz w:val="36"/>
            <w:szCs w:val="36"/>
          </w:rPr>
        </w:pPr>
        <w:r w:rsidRPr="00D078E7">
          <w:rPr>
            <w:rStyle w:val="Nmerodepgina"/>
            <w:rFonts w:ascii="Arial" w:hAnsi="Arial" w:cs="Arial"/>
            <w:b/>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color w:val="FFFFFF" w:themeColor="background1"/>
            <w:sz w:val="36"/>
            <w:szCs w:val="36"/>
          </w:rPr>
          <w:fldChar w:fldCharType="separate"/>
        </w:r>
        <w:r w:rsidR="00423369">
          <w:rPr>
            <w:rStyle w:val="Nmerodepgina"/>
            <w:rFonts w:ascii="Arial" w:hAnsi="Arial" w:cs="Arial"/>
            <w:b/>
            <w:bCs/>
            <w:color w:val="FFFFFF" w:themeColor="background1"/>
            <w:sz w:val="36"/>
            <w:szCs w:val="36"/>
          </w:rPr>
          <w:t>2</w:t>
        </w:r>
        <w:r w:rsidRPr="00D078E7">
          <w:rPr>
            <w:rStyle w:val="Nmerodepgina"/>
            <w:rFonts w:ascii="Arial" w:hAnsi="Arial" w:cs="Arial"/>
            <w:b/>
            <w:color w:val="FFFFFF" w:themeColor="background1"/>
            <w:sz w:val="36"/>
            <w:szCs w:val="36"/>
          </w:rPr>
          <w:fldChar w:fldCharType="end"/>
        </w:r>
      </w:p>
    </w:sdtContent>
  </w:sdt>
  <w:p w14:paraId="3525656C" w14:textId="1960232F" w:rsidR="008D39F0" w:rsidRPr="006B2175" w:rsidRDefault="004C0201" w:rsidP="004C0201">
    <w:pPr>
      <w:pStyle w:val="Rodap"/>
      <w:tabs>
        <w:tab w:val="clear" w:pos="4252"/>
        <w:tab w:val="clear" w:pos="8504"/>
        <w:tab w:val="left" w:pos="13433"/>
      </w:tabs>
      <w:rPr>
        <w:rStyle w:val="Nmerodepgina"/>
        <w:rFonts w:ascii="Arial" w:hAnsi="Arial" w:cs="Arial"/>
        <w:b/>
        <w:color w:val="FFFFFF" w:themeColor="background1"/>
        <w:sz w:val="40"/>
        <w:szCs w:val="40"/>
      </w:rPr>
    </w:pPr>
    <w:r w:rsidRPr="006B2175">
      <w:rPr>
        <w:noProof/>
        <w:sz w:val="28"/>
        <w:szCs w:val="28"/>
      </w:rPr>
      <w:drawing>
        <wp:anchor distT="0" distB="0" distL="114300" distR="114300" simplePos="0" relativeHeight="251658305" behindDoc="1" locked="0" layoutInCell="1" allowOverlap="1" wp14:anchorId="76B0B0C7" wp14:editId="36F15A0F">
          <wp:simplePos x="0" y="0"/>
          <wp:positionH relativeFrom="column">
            <wp:posOffset>-749300</wp:posOffset>
          </wp:positionH>
          <wp:positionV relativeFrom="paragraph">
            <wp:posOffset>115570</wp:posOffset>
          </wp:positionV>
          <wp:extent cx="10525760" cy="659765"/>
          <wp:effectExtent l="0" t="0" r="8890" b="6985"/>
          <wp:wrapNone/>
          <wp:docPr id="1928261845" name="Imagem 192826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10525760" cy="659765"/>
                  </a:xfrm>
                  <a:prstGeom prst="rect">
                    <a:avLst/>
                  </a:prstGeom>
                </pic:spPr>
              </pic:pic>
            </a:graphicData>
          </a:graphic>
          <wp14:sizeRelH relativeFrom="page">
            <wp14:pctWidth>0</wp14:pctWidth>
          </wp14:sizeRelH>
          <wp14:sizeRelV relativeFrom="page">
            <wp14:pctHeight>0</wp14:pctHeight>
          </wp14:sizeRelV>
        </wp:anchor>
      </w:drawing>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BCC007" w14:textId="73B2C9E4" w:rsidR="00CB3E22" w:rsidRDefault="002663A8" w:rsidP="002663A8">
    <w:pPr>
      <w:pStyle w:val="Rodap"/>
      <w:tabs>
        <w:tab w:val="clear" w:pos="4252"/>
        <w:tab w:val="clear" w:pos="8504"/>
        <w:tab w:val="center" w:pos="4820"/>
      </w:tabs>
    </w:pPr>
    <w:r>
      <w:rPr>
        <w:noProof/>
      </w:rPr>
      <w:drawing>
        <wp:anchor distT="0" distB="0" distL="114300" distR="114300" simplePos="0" relativeHeight="251658296" behindDoc="1" locked="0" layoutInCell="1" allowOverlap="1" wp14:anchorId="0E5BC0E1" wp14:editId="5E27D584">
          <wp:simplePos x="0" y="0"/>
          <wp:positionH relativeFrom="column">
            <wp:posOffset>-945072</wp:posOffset>
          </wp:positionH>
          <wp:positionV relativeFrom="paragraph">
            <wp:posOffset>330835</wp:posOffset>
          </wp:positionV>
          <wp:extent cx="7617460" cy="647065"/>
          <wp:effectExtent l="0" t="0" r="2540" b="635"/>
          <wp:wrapNone/>
          <wp:docPr id="2039393482" name="Imagem 203939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7617460" cy="647065"/>
                  </a:xfrm>
                  <a:prstGeom prst="rect">
                    <a:avLst/>
                  </a:prstGeom>
                </pic:spPr>
              </pic:pic>
            </a:graphicData>
          </a:graphic>
          <wp14:sizeRelH relativeFrom="page">
            <wp14:pctWidth>0</wp14:pctWidth>
          </wp14:sizeRelH>
          <wp14:sizeRelV relativeFrom="page">
            <wp14:pctHeight>0</wp14:pctHeight>
          </wp14:sizeRelV>
        </wp:anchor>
      </w:drawing>
    </w:r>
  </w:p>
  <w:sdt>
    <w:sdtPr>
      <w:rPr>
        <w:rStyle w:val="Nmerodepgina"/>
        <w:rFonts w:ascii="Arial" w:hAnsi="Arial" w:cs="Arial"/>
        <w:b/>
        <w:bCs/>
        <w:color w:val="FFFFFF" w:themeColor="background1"/>
        <w:sz w:val="36"/>
        <w:szCs w:val="36"/>
      </w:rPr>
      <w:id w:val="-2077728960"/>
      <w:docPartObj>
        <w:docPartGallery w:val="Page Numbers (Bottom of Page)"/>
        <w:docPartUnique/>
      </w:docPartObj>
    </w:sdtPr>
    <w:sdtEndPr>
      <w:rPr>
        <w:rStyle w:val="Nmerodepgina"/>
        <w:sz w:val="52"/>
        <w:szCs w:val="52"/>
      </w:rPr>
    </w:sdtEndPr>
    <w:sdtContent>
      <w:p w14:paraId="36F2C3D9" w14:textId="77777777" w:rsidR="00F06837" w:rsidRPr="00D078E7" w:rsidRDefault="00F06837" w:rsidP="00F06837">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278716283"/>
      <w:docPartObj>
        <w:docPartGallery w:val="Page Numbers (Bottom of Page)"/>
        <w:docPartUnique/>
      </w:docPartObj>
    </w:sdtPr>
    <w:sdtEndPr>
      <w:rPr>
        <w:rStyle w:val="Nmerodepgina"/>
        <w:sz w:val="52"/>
        <w:szCs w:val="52"/>
      </w:rPr>
    </w:sdtEndPr>
    <w:sdtContent>
      <w:p w14:paraId="43C55102" w14:textId="77777777" w:rsidR="00F06837" w:rsidRPr="00D078E7" w:rsidRDefault="00F06837" w:rsidP="00F06837">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161128058"/>
      <w:docPartObj>
        <w:docPartGallery w:val="Page Numbers (Bottom of Page)"/>
        <w:docPartUnique/>
      </w:docPartObj>
    </w:sdtPr>
    <w:sdtEndPr>
      <w:rPr>
        <w:rStyle w:val="Nmerodepgina"/>
        <w:sz w:val="52"/>
        <w:szCs w:val="52"/>
      </w:rPr>
    </w:sdtEndPr>
    <w:sdtContent>
      <w:p w14:paraId="32A8C655" w14:textId="77777777" w:rsidR="00F06837" w:rsidRPr="00D078E7" w:rsidRDefault="00F06837" w:rsidP="00F06837">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414522002"/>
      <w:docPartObj>
        <w:docPartGallery w:val="Page Numbers (Bottom of Page)"/>
        <w:docPartUnique/>
      </w:docPartObj>
    </w:sdtPr>
    <w:sdtEndPr>
      <w:rPr>
        <w:rStyle w:val="Nmerodepgina"/>
        <w:sz w:val="52"/>
        <w:szCs w:val="52"/>
      </w:rPr>
    </w:sdtEndPr>
    <w:sdtContent>
      <w:p w14:paraId="565A016B" w14:textId="77777777" w:rsidR="00F06837" w:rsidRPr="00D078E7" w:rsidRDefault="00F06837" w:rsidP="00F06837">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920978090"/>
      <w:docPartObj>
        <w:docPartGallery w:val="Page Numbers (Bottom of Page)"/>
        <w:docPartUnique/>
      </w:docPartObj>
    </w:sdtPr>
    <w:sdtEndPr>
      <w:rPr>
        <w:rStyle w:val="Nmerodepgina"/>
        <w:sz w:val="52"/>
        <w:szCs w:val="52"/>
      </w:rPr>
    </w:sdtEndPr>
    <w:sdtContent>
      <w:p w14:paraId="01133040" w14:textId="77777777" w:rsidR="00F06837" w:rsidRPr="00D078E7" w:rsidRDefault="00F06837" w:rsidP="00F06837">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18457831"/>
      <w:docPartObj>
        <w:docPartGallery w:val="Page Numbers (Bottom of Page)"/>
        <w:docPartUnique/>
      </w:docPartObj>
    </w:sdtPr>
    <w:sdtEndPr>
      <w:rPr>
        <w:rStyle w:val="Nmerodepgina"/>
        <w:sz w:val="52"/>
        <w:szCs w:val="52"/>
      </w:rPr>
    </w:sdtEndPr>
    <w:sdtContent>
      <w:p w14:paraId="3F4F8033" w14:textId="77777777" w:rsidR="00F06837" w:rsidRPr="00D078E7" w:rsidRDefault="00F06837" w:rsidP="00F06837">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781410902"/>
      <w:docPartObj>
        <w:docPartGallery w:val="Page Numbers (Bottom of Page)"/>
        <w:docPartUnique/>
      </w:docPartObj>
    </w:sdtPr>
    <w:sdtEndPr>
      <w:rPr>
        <w:rStyle w:val="Nmerodepgina"/>
        <w:sz w:val="52"/>
        <w:szCs w:val="52"/>
      </w:rPr>
    </w:sdtEndPr>
    <w:sdtContent>
      <w:p w14:paraId="3DC7AAFA" w14:textId="77777777" w:rsidR="00F06837" w:rsidRPr="00D078E7" w:rsidRDefault="00F06837" w:rsidP="00F06837">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650248748"/>
      <w:docPartObj>
        <w:docPartGallery w:val="Page Numbers (Bottom of Page)"/>
        <w:docPartUnique/>
      </w:docPartObj>
    </w:sdtPr>
    <w:sdtEndPr>
      <w:rPr>
        <w:rStyle w:val="Nmerodepgina"/>
        <w:sz w:val="52"/>
        <w:szCs w:val="52"/>
      </w:rPr>
    </w:sdtEndPr>
    <w:sdtContent>
      <w:p w14:paraId="0CAF8BED" w14:textId="77777777" w:rsidR="00F06837" w:rsidRPr="00D078E7" w:rsidRDefault="00F06837" w:rsidP="00F06837">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683361348"/>
      <w:docPartObj>
        <w:docPartGallery w:val="Page Numbers (Bottom of Page)"/>
        <w:docPartUnique/>
      </w:docPartObj>
    </w:sdtPr>
    <w:sdtEndPr>
      <w:rPr>
        <w:rStyle w:val="Nmerodepgina"/>
        <w:sz w:val="52"/>
        <w:szCs w:val="52"/>
      </w:rPr>
    </w:sdtEndPr>
    <w:sdtContent>
      <w:p w14:paraId="415B9F8C" w14:textId="77777777" w:rsidR="00CB3E22" w:rsidRPr="00D078E7" w:rsidRDefault="00CB3E22" w:rsidP="00CB3E22">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7</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483776478"/>
      <w:docPartObj>
        <w:docPartGallery w:val="Page Numbers (Bottom of Page)"/>
        <w:docPartUnique/>
      </w:docPartObj>
    </w:sdtPr>
    <w:sdtEndPr>
      <w:rPr>
        <w:rStyle w:val="Nmerodepgina"/>
        <w:sz w:val="52"/>
        <w:szCs w:val="52"/>
      </w:rPr>
    </w:sdtEndPr>
    <w:sdtContent>
      <w:p w14:paraId="72FAEDA4" w14:textId="77777777" w:rsidR="00CB3E22" w:rsidRPr="00D078E7" w:rsidRDefault="00CB3E22" w:rsidP="00CB3E22">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7</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730506339"/>
      <w:docPartObj>
        <w:docPartGallery w:val="Page Numbers (Bottom of Page)"/>
        <w:docPartUnique/>
      </w:docPartObj>
    </w:sdtPr>
    <w:sdtEndPr>
      <w:rPr>
        <w:rStyle w:val="Nmerodepgina"/>
        <w:sz w:val="52"/>
        <w:szCs w:val="52"/>
      </w:rPr>
    </w:sdtEndPr>
    <w:sdtContent>
      <w:p w14:paraId="6635DAA0" w14:textId="77777777" w:rsidR="00CB3E22" w:rsidRPr="00D078E7" w:rsidRDefault="00CB3E22" w:rsidP="00CB3E22">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7</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475102175"/>
      <w:docPartObj>
        <w:docPartGallery w:val="Page Numbers (Bottom of Page)"/>
        <w:docPartUnique/>
      </w:docPartObj>
    </w:sdtPr>
    <w:sdtEndPr>
      <w:rPr>
        <w:rStyle w:val="Nmerodepgina"/>
        <w:sz w:val="52"/>
        <w:szCs w:val="52"/>
      </w:rPr>
    </w:sdtEndPr>
    <w:sdtContent>
      <w:p w14:paraId="66360C83" w14:textId="77777777" w:rsidR="00CB3E22" w:rsidRPr="00D078E7" w:rsidRDefault="00CB3E22" w:rsidP="00CB3E22">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763265280"/>
      <w:docPartObj>
        <w:docPartGallery w:val="Page Numbers (Bottom of Page)"/>
        <w:docPartUnique/>
      </w:docPartObj>
    </w:sdtPr>
    <w:sdtEndPr>
      <w:rPr>
        <w:rStyle w:val="Nmerodepgina"/>
        <w:sz w:val="52"/>
        <w:szCs w:val="52"/>
      </w:rPr>
    </w:sdtEndPr>
    <w:sdtContent>
      <w:p w14:paraId="45895CA7" w14:textId="77777777" w:rsidR="002663A8" w:rsidRPr="00D078E7" w:rsidRDefault="002663A8" w:rsidP="002663A8">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567333354"/>
      <w:docPartObj>
        <w:docPartGallery w:val="Page Numbers (Bottom of Page)"/>
        <w:docPartUnique/>
      </w:docPartObj>
    </w:sdtPr>
    <w:sdtEndPr>
      <w:rPr>
        <w:rStyle w:val="Nmerodepgina"/>
        <w:sz w:val="52"/>
        <w:szCs w:val="52"/>
      </w:rPr>
    </w:sdtEndPr>
    <w:sdtContent>
      <w:p w14:paraId="2A087CCB" w14:textId="77777777" w:rsidR="002663A8" w:rsidRPr="00D078E7" w:rsidRDefault="002663A8" w:rsidP="002663A8">
        <w:pPr>
          <w:pStyle w:val="Rodap"/>
          <w:framePr w:wrap="notBeside" w:vAnchor="text" w:hAnchor="page" w:x="16061" w:y="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816448793"/>
      <w:docPartObj>
        <w:docPartGallery w:val="Page Numbers (Bottom of Page)"/>
        <w:docPartUnique/>
      </w:docPartObj>
    </w:sdtPr>
    <w:sdtEndPr>
      <w:rPr>
        <w:rStyle w:val="Nmerodepgina"/>
        <w:sz w:val="52"/>
        <w:szCs w:val="52"/>
      </w:rPr>
    </w:sdtEndPr>
    <w:sdtContent>
      <w:p w14:paraId="27C39289" w14:textId="77777777" w:rsidR="002663A8" w:rsidRPr="00D078E7" w:rsidRDefault="002663A8" w:rsidP="002663A8">
        <w:pPr>
          <w:pStyle w:val="Rodap"/>
          <w:framePr w:wrap="notBeside" w:vAnchor="text" w:hAnchor="page" w:x="16061" w:y="144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8</w:t>
        </w:r>
        <w:r w:rsidRPr="00D078E7">
          <w:rPr>
            <w:rStyle w:val="Nmerodepgina"/>
            <w:rFonts w:ascii="Arial" w:hAnsi="Arial" w:cs="Arial"/>
            <w:b/>
            <w:bCs/>
            <w:color w:val="FFFFFF" w:themeColor="background1"/>
            <w:sz w:val="36"/>
            <w:szCs w:val="36"/>
          </w:rPr>
          <w:fldChar w:fldCharType="end"/>
        </w:r>
      </w:p>
    </w:sdtContent>
  </w:sdt>
  <w:sdt>
    <w:sdtPr>
      <w:rPr>
        <w:rStyle w:val="Nmerodepgina"/>
        <w:rFonts w:ascii="Arial" w:hAnsi="Arial" w:cs="Arial"/>
        <w:b/>
        <w:bCs/>
        <w:color w:val="FFFFFF" w:themeColor="background1"/>
        <w:sz w:val="36"/>
        <w:szCs w:val="36"/>
      </w:rPr>
      <w:id w:val="1553814549"/>
      <w:docPartObj>
        <w:docPartGallery w:val="Page Numbers (Bottom of Page)"/>
        <w:docPartUnique/>
      </w:docPartObj>
    </w:sdtPr>
    <w:sdtEndPr>
      <w:rPr>
        <w:rStyle w:val="Nmerodepgina"/>
        <w:sz w:val="52"/>
        <w:szCs w:val="52"/>
      </w:rPr>
    </w:sdtEndPr>
    <w:sdtContent>
      <w:p w14:paraId="0465A497" w14:textId="77777777" w:rsidR="002663A8" w:rsidRPr="00D078E7" w:rsidRDefault="002663A8" w:rsidP="00A85534">
        <w:pPr>
          <w:pStyle w:val="Rodap"/>
          <w:framePr w:wrap="notBeside" w:vAnchor="text" w:hAnchor="page" w:x="11121" w:y="411"/>
          <w:rPr>
            <w:rStyle w:val="Nmerodepgina"/>
            <w:rFonts w:ascii="Arial" w:hAnsi="Arial" w:cs="Arial"/>
            <w:b/>
            <w:bCs/>
            <w:color w:val="FFFFFF" w:themeColor="background1"/>
            <w:sz w:val="36"/>
            <w:szCs w:val="36"/>
          </w:rPr>
        </w:pPr>
        <w:r w:rsidRPr="00D078E7">
          <w:rPr>
            <w:rStyle w:val="Nmerodepgina"/>
            <w:rFonts w:ascii="Arial" w:hAnsi="Arial" w:cs="Arial"/>
            <w:b/>
            <w:bCs/>
            <w:color w:val="FFFFFF" w:themeColor="background1"/>
            <w:sz w:val="36"/>
            <w:szCs w:val="36"/>
          </w:rPr>
          <w:fldChar w:fldCharType="begin"/>
        </w:r>
        <w:r w:rsidRPr="00D078E7">
          <w:rPr>
            <w:rStyle w:val="Nmerodepgina"/>
            <w:rFonts w:ascii="Arial" w:hAnsi="Arial" w:cs="Arial"/>
            <w:b/>
            <w:bCs/>
            <w:color w:val="FFFFFF" w:themeColor="background1"/>
            <w:sz w:val="36"/>
            <w:szCs w:val="36"/>
          </w:rPr>
          <w:instrText xml:space="preserve"> PAGE </w:instrText>
        </w:r>
        <w:r w:rsidRPr="00D078E7">
          <w:rPr>
            <w:rStyle w:val="Nmerodepgina"/>
            <w:rFonts w:ascii="Arial" w:hAnsi="Arial" w:cs="Arial"/>
            <w:b/>
            <w:bCs/>
            <w:color w:val="FFFFFF" w:themeColor="background1"/>
            <w:sz w:val="36"/>
            <w:szCs w:val="36"/>
          </w:rPr>
          <w:fldChar w:fldCharType="separate"/>
        </w:r>
        <w:r>
          <w:rPr>
            <w:rStyle w:val="Nmerodepgina"/>
            <w:rFonts w:ascii="Arial" w:hAnsi="Arial" w:cs="Arial"/>
            <w:b/>
            <w:bCs/>
            <w:color w:val="FFFFFF" w:themeColor="background1"/>
            <w:sz w:val="36"/>
            <w:szCs w:val="36"/>
          </w:rPr>
          <w:t>6</w:t>
        </w:r>
        <w:r w:rsidRPr="00D078E7">
          <w:rPr>
            <w:rStyle w:val="Nmerodepgina"/>
            <w:rFonts w:ascii="Arial" w:hAnsi="Arial" w:cs="Arial"/>
            <w:b/>
            <w:bCs/>
            <w:color w:val="FFFFFF" w:themeColor="background1"/>
            <w:sz w:val="36"/>
            <w:szCs w:val="36"/>
          </w:rPr>
          <w:fldChar w:fldCharType="end"/>
        </w:r>
      </w:p>
    </w:sdtContent>
  </w:sdt>
  <w:p w14:paraId="078C03FE" w14:textId="733814B8" w:rsidR="008D39F0" w:rsidRPr="00C93338" w:rsidRDefault="008D39F0" w:rsidP="00A50956">
    <w:pPr>
      <w:pStyle w:val="Rodap"/>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9A630A" w14:textId="77777777" w:rsidR="009755B3" w:rsidRPr="006B2175" w:rsidRDefault="009755B3" w:rsidP="009755B3">
    <w:pPr>
      <w:pStyle w:val="Rodap"/>
      <w:rPr>
        <w:rStyle w:val="Nmerodepgina"/>
        <w:rFonts w:ascii="Arial" w:hAnsi="Arial" w:cs="Arial"/>
        <w:b/>
        <w:bCs/>
        <w:color w:val="FFFFFF" w:themeColor="background1"/>
        <w:sz w:val="40"/>
        <w:szCs w:val="40"/>
      </w:rPr>
    </w:pPr>
    <w:r w:rsidRPr="006B2175">
      <w:rPr>
        <w:noProof/>
        <w:sz w:val="28"/>
        <w:szCs w:val="28"/>
      </w:rPr>
      <w:drawing>
        <wp:anchor distT="0" distB="0" distL="114300" distR="114300" simplePos="0" relativeHeight="251658294" behindDoc="1" locked="0" layoutInCell="1" allowOverlap="1" wp14:anchorId="55B80EA5" wp14:editId="1116A883">
          <wp:simplePos x="0" y="0"/>
          <wp:positionH relativeFrom="column">
            <wp:posOffset>-753110</wp:posOffset>
          </wp:positionH>
          <wp:positionV relativeFrom="paragraph">
            <wp:posOffset>387350</wp:posOffset>
          </wp:positionV>
          <wp:extent cx="10525760" cy="659765"/>
          <wp:effectExtent l="0" t="0" r="8890" b="6985"/>
          <wp:wrapNone/>
          <wp:docPr id="1323799903" name="Imagem 1323799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pic:cNvPicPr/>
                </pic:nvPicPr>
                <pic:blipFill>
                  <a:blip r:embed="rId1">
                    <a:extLst>
                      <a:ext uri="{28A0092B-C50C-407E-A947-70E740481C1C}">
                        <a14:useLocalDpi xmlns:a14="http://schemas.microsoft.com/office/drawing/2010/main" val="0"/>
                      </a:ext>
                    </a:extLst>
                  </a:blip>
                  <a:stretch>
                    <a:fillRect/>
                  </a:stretch>
                </pic:blipFill>
                <pic:spPr>
                  <a:xfrm>
                    <a:off x="0" y="0"/>
                    <a:ext cx="10525760" cy="659765"/>
                  </a:xfrm>
                  <a:prstGeom prst="rect">
                    <a:avLst/>
                  </a:prstGeom>
                </pic:spPr>
              </pic:pic>
            </a:graphicData>
          </a:graphic>
          <wp14:sizeRelH relativeFrom="page">
            <wp14:pctWidth>0</wp14:pctWidth>
          </wp14:sizeRelH>
          <wp14:sizeRelV relativeFrom="page">
            <wp14:pctHeight>0</wp14:pctHeight>
          </wp14:sizeRelV>
        </wp:anchor>
      </w:drawing>
    </w:r>
  </w:p>
  <w:sdt>
    <w:sdtPr>
      <w:rPr>
        <w:rStyle w:val="Nmerodepgina"/>
        <w:rFonts w:ascii="Arial" w:hAnsi="Arial" w:cs="Arial"/>
        <w:b/>
        <w:bCs/>
        <w:color w:val="FFFFFF" w:themeColor="background1"/>
        <w:sz w:val="40"/>
        <w:szCs w:val="40"/>
      </w:rPr>
      <w:id w:val="-1277404164"/>
      <w:docPartObj>
        <w:docPartGallery w:val="Page Numbers (Bottom of Page)"/>
        <w:docPartUnique/>
      </w:docPartObj>
    </w:sdtPr>
    <w:sdtEndPr>
      <w:rPr>
        <w:rStyle w:val="Nmerodepgina"/>
        <w:sz w:val="56"/>
        <w:szCs w:val="56"/>
      </w:rPr>
    </w:sdtEndPr>
    <w:sdtContent>
      <w:p w14:paraId="24D633DA" w14:textId="77777777" w:rsidR="009755B3" w:rsidRPr="006B2175" w:rsidRDefault="009755B3" w:rsidP="009755B3">
        <w:pPr>
          <w:pStyle w:val="Rodap"/>
          <w:framePr w:wrap="notBeside" w:vAnchor="text" w:hAnchor="page" w:x="15881" w:y="444"/>
          <w:rPr>
            <w:rStyle w:val="Nmerodepgina"/>
            <w:rFonts w:ascii="Arial" w:hAnsi="Arial" w:cs="Arial"/>
            <w:b/>
            <w:bCs/>
            <w:color w:val="FFFFFF" w:themeColor="background1"/>
            <w:sz w:val="40"/>
            <w:szCs w:val="40"/>
          </w:rPr>
        </w:pPr>
        <w:r w:rsidRPr="006B2175">
          <w:rPr>
            <w:rStyle w:val="Nmerodepgina"/>
            <w:rFonts w:ascii="Arial" w:hAnsi="Arial" w:cs="Arial"/>
            <w:b/>
            <w:bCs/>
            <w:color w:val="FFFFFF" w:themeColor="background1"/>
            <w:sz w:val="40"/>
            <w:szCs w:val="40"/>
          </w:rPr>
          <w:fldChar w:fldCharType="begin"/>
        </w:r>
        <w:r w:rsidRPr="006B2175">
          <w:rPr>
            <w:rStyle w:val="Nmerodepgina"/>
            <w:rFonts w:ascii="Arial" w:hAnsi="Arial" w:cs="Arial"/>
            <w:b/>
            <w:bCs/>
            <w:color w:val="FFFFFF" w:themeColor="background1"/>
            <w:sz w:val="40"/>
            <w:szCs w:val="40"/>
          </w:rPr>
          <w:instrText xml:space="preserve"> PAGE </w:instrText>
        </w:r>
        <w:r w:rsidRPr="006B2175">
          <w:rPr>
            <w:rStyle w:val="Nmerodepgina"/>
            <w:rFonts w:ascii="Arial" w:hAnsi="Arial" w:cs="Arial"/>
            <w:b/>
            <w:bCs/>
            <w:color w:val="FFFFFF" w:themeColor="background1"/>
            <w:sz w:val="40"/>
            <w:szCs w:val="40"/>
          </w:rPr>
          <w:fldChar w:fldCharType="separate"/>
        </w:r>
        <w:r>
          <w:rPr>
            <w:rStyle w:val="Nmerodepgina"/>
            <w:rFonts w:ascii="Arial" w:hAnsi="Arial" w:cs="Arial"/>
            <w:b/>
            <w:bCs/>
            <w:color w:val="FFFFFF" w:themeColor="background1"/>
            <w:sz w:val="40"/>
            <w:szCs w:val="40"/>
          </w:rPr>
          <w:t>19</w:t>
        </w:r>
        <w:r w:rsidRPr="006B2175">
          <w:rPr>
            <w:rStyle w:val="Nmerodepgina"/>
            <w:rFonts w:ascii="Arial" w:hAnsi="Arial" w:cs="Arial"/>
            <w:b/>
            <w:bCs/>
            <w:color w:val="FFFFFF" w:themeColor="background1"/>
            <w:sz w:val="40"/>
            <w:szCs w:val="40"/>
          </w:rPr>
          <w:fldChar w:fldCharType="end"/>
        </w:r>
      </w:p>
    </w:sdtContent>
  </w:sdt>
  <w:p w14:paraId="488FF508" w14:textId="77777777" w:rsidR="009755B3" w:rsidRPr="006A089D" w:rsidRDefault="009755B3">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AA2212" w14:textId="77777777" w:rsidR="00C824B2" w:rsidRDefault="00C824B2">
      <w:r>
        <w:separator/>
      </w:r>
    </w:p>
  </w:footnote>
  <w:footnote w:type="continuationSeparator" w:id="0">
    <w:p w14:paraId="671AA7AC" w14:textId="77777777" w:rsidR="00C824B2" w:rsidRDefault="00C824B2">
      <w:r>
        <w:continuationSeparator/>
      </w:r>
    </w:p>
  </w:footnote>
  <w:footnote w:type="continuationNotice" w:id="1">
    <w:p w14:paraId="704CE779" w14:textId="77777777" w:rsidR="00C824B2" w:rsidRDefault="00C824B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4F005" w14:textId="77777777" w:rsidR="007C239D" w:rsidRDefault="007C239D">
    <w:pPr>
      <w:pStyle w:val="Cabealho"/>
    </w:pPr>
  </w:p>
  <w:p w14:paraId="78B2C45A" w14:textId="77777777" w:rsidR="006E1BAB" w:rsidRDefault="006E1BAB">
    <w:pPr>
      <w:pStyle w:val="Cabealho"/>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2DAE2B" w14:textId="1D499E9C" w:rsidR="00805827" w:rsidRDefault="00D37CFD" w:rsidP="00805827">
    <w:r>
      <w:rPr>
        <w:noProof/>
      </w:rPr>
      <mc:AlternateContent>
        <mc:Choice Requires="wps">
          <w:drawing>
            <wp:anchor distT="0" distB="0" distL="114300" distR="114300" simplePos="0" relativeHeight="251658261" behindDoc="0" locked="0" layoutInCell="1" allowOverlap="1" wp14:anchorId="3246B95F" wp14:editId="651D2A78">
              <wp:simplePos x="0" y="0"/>
              <wp:positionH relativeFrom="margin">
                <wp:posOffset>-471806</wp:posOffset>
              </wp:positionH>
              <wp:positionV relativeFrom="page">
                <wp:posOffset>238125</wp:posOffset>
              </wp:positionV>
              <wp:extent cx="6086475" cy="685800"/>
              <wp:effectExtent l="0" t="0" r="0" b="0"/>
              <wp:wrapNone/>
              <wp:docPr id="649653897" name="Caixa de Texto 649653897"/>
              <wp:cNvGraphicFramePr/>
              <a:graphic xmlns:a="http://schemas.openxmlformats.org/drawingml/2006/main">
                <a:graphicData uri="http://schemas.microsoft.com/office/word/2010/wordprocessingShape">
                  <wps:wsp>
                    <wps:cNvSpPr txBox="1"/>
                    <wps:spPr>
                      <a:xfrm>
                        <a:off x="0" y="0"/>
                        <a:ext cx="6086475" cy="685800"/>
                      </a:xfrm>
                      <a:prstGeom prst="rect">
                        <a:avLst/>
                      </a:prstGeom>
                      <a:noFill/>
                      <a:ln w="6350">
                        <a:noFill/>
                      </a:ln>
                    </wps:spPr>
                    <wps:txbx>
                      <w:txbxContent>
                        <w:p w14:paraId="44F97036" w14:textId="3EDEC778" w:rsidR="00D37CFD" w:rsidRPr="00906659" w:rsidRDefault="00D37CFD" w:rsidP="00D37CFD">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sidR="00557A8E">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sidR="00AD012A">
                            <w:rPr>
                              <w:rFonts w:ascii="CAIXA Std Book" w:hAnsi="CAIXA Std Book"/>
                              <w:color w:val="FFFFFF" w:themeColor="background1"/>
                              <w:sz w:val="16"/>
                              <w:szCs w:val="16"/>
                            </w:rPr>
                            <w:t xml:space="preserve"> CON</w:t>
                          </w:r>
                          <w:r w:rsidR="00C67770">
                            <w:rPr>
                              <w:rFonts w:ascii="CAIXA Std Book" w:hAnsi="CAIXA Std Book"/>
                              <w:color w:val="FFFFFF" w:themeColor="background1"/>
                              <w:sz w:val="16"/>
                              <w:szCs w:val="16"/>
                            </w:rPr>
                            <w:t>DENSADAS</w:t>
                          </w:r>
                        </w:p>
                        <w:p w14:paraId="3052A73A" w14:textId="77777777" w:rsidR="00D37CFD" w:rsidRPr="00906659" w:rsidRDefault="00D37CFD" w:rsidP="00D37CFD">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6DE62D37" w14:textId="77777777" w:rsidR="00D37CFD" w:rsidRPr="00906659" w:rsidRDefault="00D37CFD" w:rsidP="00D37CFD">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46B95F" id="_x0000_t202" coordsize="21600,21600" o:spt="202" path="m,l,21600r21600,l21600,xe">
              <v:stroke joinstyle="miter"/>
              <v:path gradientshapeok="t" o:connecttype="rect"/>
            </v:shapetype>
            <v:shape id="Caixa de Texto 649653897" o:spid="_x0000_s1034" type="#_x0000_t202" style="position:absolute;margin-left:-37.15pt;margin-top:18.75pt;width:479.25pt;height:54pt;z-index:25165826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" filled="f" stroked="f" strokeweight=".5pt">
              <v:textbox>
                <w:txbxContent>
                  <w:p w14:paraId="44F97036" w14:textId="3EDEC778" w:rsidR="00D37CFD" w:rsidRPr="00906659" w:rsidRDefault="00D37CFD" w:rsidP="00D37CFD">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sidR="00557A8E">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sidR="00AD012A">
                      <w:rPr>
                        <w:rFonts w:ascii="CAIXA Std Book" w:hAnsi="CAIXA Std Book"/>
                        <w:color w:val="FFFFFF" w:themeColor="background1"/>
                        <w:sz w:val="16"/>
                        <w:szCs w:val="16"/>
                      </w:rPr>
                      <w:t xml:space="preserve"> CON</w:t>
                    </w:r>
                    <w:r w:rsidR="00C67770">
                      <w:rPr>
                        <w:rFonts w:ascii="CAIXA Std Book" w:hAnsi="CAIXA Std Book"/>
                        <w:color w:val="FFFFFF" w:themeColor="background1"/>
                        <w:sz w:val="16"/>
                        <w:szCs w:val="16"/>
                      </w:rPr>
                      <w:t>DENSADAS</w:t>
                    </w:r>
                  </w:p>
                  <w:p w14:paraId="3052A73A" w14:textId="77777777" w:rsidR="00D37CFD" w:rsidRPr="00906659" w:rsidRDefault="00D37CFD" w:rsidP="00D37CFD">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6DE62D37" w14:textId="77777777" w:rsidR="00D37CFD" w:rsidRPr="00906659" w:rsidRDefault="00D37CFD" w:rsidP="00D37CFD">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Pr>
        <w:noProof/>
      </w:rPr>
      <w:drawing>
        <wp:anchor distT="0" distB="0" distL="114300" distR="114300" simplePos="0" relativeHeight="251658262" behindDoc="1" locked="0" layoutInCell="1" allowOverlap="1" wp14:anchorId="30B348F9" wp14:editId="690338D1">
          <wp:simplePos x="0" y="0"/>
          <wp:positionH relativeFrom="column">
            <wp:posOffset>-925830</wp:posOffset>
          </wp:positionH>
          <wp:positionV relativeFrom="page">
            <wp:posOffset>-25400</wp:posOffset>
          </wp:positionV>
          <wp:extent cx="10701020" cy="1016000"/>
          <wp:effectExtent l="0" t="0" r="5080" b="0"/>
          <wp:wrapNone/>
          <wp:docPr id="250062794" name="Imagem 250062794"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814456" cy="1026770"/>
                  </a:xfrm>
                  <a:prstGeom prst="rect">
                    <a:avLst/>
                  </a:prstGeom>
                </pic:spPr>
              </pic:pic>
            </a:graphicData>
          </a:graphic>
          <wp14:sizeRelH relativeFrom="page">
            <wp14:pctWidth>0</wp14:pctWidth>
          </wp14:sizeRelH>
          <wp14:sizeRelV relativeFrom="page">
            <wp14:pctHeight>0</wp14:pctHeight>
          </wp14:sizeRelV>
        </wp:anchor>
      </w:drawing>
    </w:r>
  </w:p>
  <w:p w14:paraId="44949842" w14:textId="26B921F7" w:rsidR="00845F4C" w:rsidRDefault="00845F4C" w:rsidP="00805827">
    <w:pPr>
      <w:pStyle w:val="Cabealho"/>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91AB0" w14:textId="5466F72D" w:rsidR="00C84718" w:rsidRDefault="00456047" w:rsidP="00C84718">
    <w:r>
      <w:rPr>
        <w:noProof/>
      </w:rPr>
      <w:drawing>
        <wp:anchor distT="0" distB="0" distL="114300" distR="114300" simplePos="0" relativeHeight="251658335" behindDoc="1" locked="0" layoutInCell="1" allowOverlap="1" wp14:anchorId="3F24E767" wp14:editId="3B43B6FF">
          <wp:simplePos x="0" y="0"/>
          <wp:positionH relativeFrom="column">
            <wp:posOffset>-880745</wp:posOffset>
          </wp:positionH>
          <wp:positionV relativeFrom="page">
            <wp:posOffset>-10795</wp:posOffset>
          </wp:positionV>
          <wp:extent cx="7577455" cy="944245"/>
          <wp:effectExtent l="0" t="0" r="4445" b="8255"/>
          <wp:wrapNone/>
          <wp:docPr id="1037320698" name="Imagem 1037320698"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r w:rsidR="00C84718">
      <w:rPr>
        <w:noProof/>
      </w:rPr>
      <mc:AlternateContent>
        <mc:Choice Requires="wps">
          <w:drawing>
            <wp:anchor distT="0" distB="0" distL="114300" distR="114300" simplePos="0" relativeHeight="251658316" behindDoc="0" locked="0" layoutInCell="1" allowOverlap="1" wp14:anchorId="49DF9425" wp14:editId="21432E01">
              <wp:simplePos x="0" y="0"/>
              <wp:positionH relativeFrom="margin">
                <wp:posOffset>-471805</wp:posOffset>
              </wp:positionH>
              <wp:positionV relativeFrom="page">
                <wp:posOffset>200025</wp:posOffset>
              </wp:positionV>
              <wp:extent cx="6086475" cy="542925"/>
              <wp:effectExtent l="0" t="0" r="0" b="0"/>
              <wp:wrapNone/>
              <wp:docPr id="625957716" name="Caixa de Texto 625957716"/>
              <wp:cNvGraphicFramePr/>
              <a:graphic xmlns:a="http://schemas.openxmlformats.org/drawingml/2006/main">
                <a:graphicData uri="http://schemas.microsoft.com/office/word/2010/wordprocessingShape">
                  <wps:wsp>
                    <wps:cNvSpPr txBox="1"/>
                    <wps:spPr>
                      <a:xfrm>
                        <a:off x="0" y="0"/>
                        <a:ext cx="6086475" cy="542925"/>
                      </a:xfrm>
                      <a:prstGeom prst="rect">
                        <a:avLst/>
                      </a:prstGeom>
                      <a:noFill/>
                      <a:ln w="6350">
                        <a:noFill/>
                      </a:ln>
                    </wps:spPr>
                    <wps:txbx>
                      <w:txbxContent>
                        <w:p w14:paraId="6374F825" w14:textId="77777777" w:rsidR="00C84718" w:rsidRPr="00906659" w:rsidRDefault="00C84718" w:rsidP="00C84718">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1960914A" w14:textId="77777777" w:rsidR="00C84718" w:rsidRPr="00906659" w:rsidRDefault="00C84718" w:rsidP="00C84718">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28B2824D" w14:textId="77777777" w:rsidR="00C84718" w:rsidRPr="00906659" w:rsidRDefault="00C84718" w:rsidP="00C84718">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DF9425" id="_x0000_t202" coordsize="21600,21600" o:spt="202" path="m,l,21600r21600,l21600,xe">
              <v:stroke joinstyle="miter"/>
              <v:path gradientshapeok="t" o:connecttype="rect"/>
            </v:shapetype>
            <v:shape id="Caixa de Texto 625957716" o:spid="_x0000_s1035" type="#_x0000_t202" style="position:absolute;margin-left:-37.15pt;margin-top:15.75pt;width:479.25pt;height:42.75pt;z-index:25165831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" filled="f" stroked="f" strokeweight=".5pt">
              <v:textbox>
                <w:txbxContent>
                  <w:p w14:paraId="6374F825" w14:textId="77777777" w:rsidR="00C84718" w:rsidRPr="00906659" w:rsidRDefault="00C84718" w:rsidP="00C84718">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1960914A" w14:textId="77777777" w:rsidR="00C84718" w:rsidRPr="00906659" w:rsidRDefault="00C84718" w:rsidP="00C84718">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28B2824D" w14:textId="77777777" w:rsidR="00C84718" w:rsidRPr="00906659" w:rsidRDefault="00C84718" w:rsidP="00C84718">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sidR="00C84718">
      <w:rPr>
        <w:noProof/>
      </w:rPr>
      <w:drawing>
        <wp:anchor distT="0" distB="0" distL="114300" distR="114300" simplePos="0" relativeHeight="251658317" behindDoc="1" locked="0" layoutInCell="1" allowOverlap="1" wp14:anchorId="294898AF" wp14:editId="61162D84">
          <wp:simplePos x="0" y="0"/>
          <wp:positionH relativeFrom="column">
            <wp:posOffset>-922020</wp:posOffset>
          </wp:positionH>
          <wp:positionV relativeFrom="page">
            <wp:posOffset>8890</wp:posOffset>
          </wp:positionV>
          <wp:extent cx="7577455" cy="944245"/>
          <wp:effectExtent l="0" t="0" r="4445" b="8255"/>
          <wp:wrapNone/>
          <wp:docPr id="1085564666" name="Imagem 1085564666"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794DE4" w14:textId="6FA91238" w:rsidR="00044D52" w:rsidRDefault="00D37CFD" w:rsidP="00851D3E">
    <w:r>
      <w:rPr>
        <w:noProof/>
      </w:rPr>
      <mc:AlternateContent>
        <mc:Choice Requires="wps">
          <w:drawing>
            <wp:anchor distT="0" distB="0" distL="114300" distR="114300" simplePos="0" relativeHeight="251658263" behindDoc="0" locked="0" layoutInCell="1" allowOverlap="1" wp14:anchorId="5D44266B" wp14:editId="768A21C8">
              <wp:simplePos x="0" y="0"/>
              <wp:positionH relativeFrom="margin">
                <wp:posOffset>-471805</wp:posOffset>
              </wp:positionH>
              <wp:positionV relativeFrom="page">
                <wp:posOffset>304799</wp:posOffset>
              </wp:positionV>
              <wp:extent cx="6143625" cy="682625"/>
              <wp:effectExtent l="0" t="0" r="0" b="3175"/>
              <wp:wrapNone/>
              <wp:docPr id="258352573" name="Caixa de Texto 258352573"/>
              <wp:cNvGraphicFramePr/>
              <a:graphic xmlns:a="http://schemas.openxmlformats.org/drawingml/2006/main">
                <a:graphicData uri="http://schemas.microsoft.com/office/word/2010/wordprocessingShape">
                  <wps:wsp>
                    <wps:cNvSpPr txBox="1"/>
                    <wps:spPr>
                      <a:xfrm>
                        <a:off x="0" y="0"/>
                        <a:ext cx="6143625" cy="682625"/>
                      </a:xfrm>
                      <a:prstGeom prst="rect">
                        <a:avLst/>
                      </a:prstGeom>
                      <a:noFill/>
                      <a:ln w="6350">
                        <a:noFill/>
                      </a:ln>
                    </wps:spPr>
                    <wps:txbx>
                      <w:txbxContent>
                        <w:p w14:paraId="1FCDDE43" w14:textId="565144AE" w:rsidR="00D37CFD" w:rsidRPr="00906659" w:rsidRDefault="00D37CFD" w:rsidP="00D37CFD">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 xml:space="preserve">EMONSTRAÇÕES CONTÁBEIS </w:t>
                          </w:r>
                          <w:r w:rsidR="009646A7">
                            <w:rPr>
                              <w:rFonts w:ascii="CAIXA Std Book" w:hAnsi="CAIXA Std Book"/>
                              <w:color w:val="FFFFFF" w:themeColor="background1"/>
                              <w:sz w:val="16"/>
                              <w:szCs w:val="16"/>
                            </w:rPr>
                            <w:t>INTERMEDIÁRIAS</w:t>
                          </w:r>
                          <w:r w:rsidR="009646A7" w:rsidRPr="00906659">
                            <w:rPr>
                              <w:rFonts w:ascii="CAIXA Std Book" w:hAnsi="CAIXA Std Book"/>
                              <w:color w:val="FFFFFF" w:themeColor="background1"/>
                              <w:sz w:val="16"/>
                              <w:szCs w:val="16"/>
                            </w:rPr>
                            <w:t xml:space="preserve"> </w:t>
                          </w:r>
                          <w:r w:rsidRPr="00906659">
                            <w:rPr>
                              <w:rFonts w:ascii="CAIXA Std Book" w:hAnsi="CAIXA Std Book"/>
                              <w:color w:val="FFFFFF" w:themeColor="background1"/>
                              <w:sz w:val="16"/>
                              <w:szCs w:val="16"/>
                            </w:rPr>
                            <w:t>INDIVIDUAIS E CONSOLIDADAS</w:t>
                          </w:r>
                          <w:r w:rsidR="009E314D">
                            <w:rPr>
                              <w:rFonts w:ascii="CAIXA Std Book" w:hAnsi="CAIXA Std Book"/>
                              <w:color w:val="FFFFFF" w:themeColor="background1"/>
                              <w:sz w:val="16"/>
                              <w:szCs w:val="16"/>
                            </w:rPr>
                            <w:t xml:space="preserve"> CONDENSADAS</w:t>
                          </w:r>
                        </w:p>
                        <w:p w14:paraId="37D47D11" w14:textId="77777777" w:rsidR="00D37CFD" w:rsidRPr="00906659" w:rsidRDefault="00D37CFD" w:rsidP="00D37CFD">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6DCECF03" w14:textId="77777777" w:rsidR="00D37CFD" w:rsidRPr="00906659" w:rsidRDefault="00D37CFD" w:rsidP="00D37CFD">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D44266B" id="_x0000_t202" coordsize="21600,21600" o:spt="202" path="m,l,21600r21600,l21600,xe">
              <v:stroke joinstyle="miter"/>
              <v:path gradientshapeok="t" o:connecttype="rect"/>
            </v:shapetype>
            <v:shape id="Caixa de Texto 258352573" o:spid="_x0000_s1036" type="#_x0000_t202" style="position:absolute;margin-left:-37.15pt;margin-top:24pt;width:483.75pt;height:53.75pt;z-index:251658263;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" filled="f" stroked="f" strokeweight=".5pt">
              <v:textbox>
                <w:txbxContent>
                  <w:p w14:paraId="1FCDDE43" w14:textId="565144AE" w:rsidR="00D37CFD" w:rsidRPr="00906659" w:rsidRDefault="00D37CFD" w:rsidP="00D37CFD">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 xml:space="preserve">EMONSTRAÇÕES CONTÁBEIS </w:t>
                    </w:r>
                    <w:r w:rsidR="009646A7">
                      <w:rPr>
                        <w:rFonts w:ascii="CAIXA Std Book" w:hAnsi="CAIXA Std Book"/>
                        <w:color w:val="FFFFFF" w:themeColor="background1"/>
                        <w:sz w:val="16"/>
                        <w:szCs w:val="16"/>
                      </w:rPr>
                      <w:t>INTERMEDIÁRIAS</w:t>
                    </w:r>
                    <w:r w:rsidR="009646A7" w:rsidRPr="00906659">
                      <w:rPr>
                        <w:rFonts w:ascii="CAIXA Std Book" w:hAnsi="CAIXA Std Book"/>
                        <w:color w:val="FFFFFF" w:themeColor="background1"/>
                        <w:sz w:val="16"/>
                        <w:szCs w:val="16"/>
                      </w:rPr>
                      <w:t xml:space="preserve"> </w:t>
                    </w:r>
                    <w:r w:rsidRPr="00906659">
                      <w:rPr>
                        <w:rFonts w:ascii="CAIXA Std Book" w:hAnsi="CAIXA Std Book"/>
                        <w:color w:val="FFFFFF" w:themeColor="background1"/>
                        <w:sz w:val="16"/>
                        <w:szCs w:val="16"/>
                      </w:rPr>
                      <w:t>INDIVIDUAIS E CONSOLIDADAS</w:t>
                    </w:r>
                    <w:r w:rsidR="009E314D">
                      <w:rPr>
                        <w:rFonts w:ascii="CAIXA Std Book" w:hAnsi="CAIXA Std Book"/>
                        <w:color w:val="FFFFFF" w:themeColor="background1"/>
                        <w:sz w:val="16"/>
                        <w:szCs w:val="16"/>
                      </w:rPr>
                      <w:t xml:space="preserve"> CONDENSADAS</w:t>
                    </w:r>
                  </w:p>
                  <w:p w14:paraId="37D47D11" w14:textId="77777777" w:rsidR="00D37CFD" w:rsidRPr="00906659" w:rsidRDefault="00D37CFD" w:rsidP="00D37CFD">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6DCECF03" w14:textId="77777777" w:rsidR="00D37CFD" w:rsidRPr="00906659" w:rsidRDefault="00D37CFD" w:rsidP="00D37CFD">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Pr>
        <w:noProof/>
      </w:rPr>
      <w:drawing>
        <wp:anchor distT="0" distB="0" distL="114300" distR="114300" simplePos="0" relativeHeight="251658264" behindDoc="1" locked="0" layoutInCell="1" allowOverlap="1" wp14:anchorId="25292C1E" wp14:editId="378E2E60">
          <wp:simplePos x="0" y="0"/>
          <wp:positionH relativeFrom="column">
            <wp:posOffset>-925830</wp:posOffset>
          </wp:positionH>
          <wp:positionV relativeFrom="page">
            <wp:posOffset>-25400</wp:posOffset>
          </wp:positionV>
          <wp:extent cx="10701020" cy="1016000"/>
          <wp:effectExtent l="0" t="0" r="5080" b="0"/>
          <wp:wrapNone/>
          <wp:docPr id="652873830" name="Imagem 652873830"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814456" cy="1026770"/>
                  </a:xfrm>
                  <a:prstGeom prst="rect">
                    <a:avLst/>
                  </a:prstGeom>
                </pic:spPr>
              </pic:pic>
            </a:graphicData>
          </a:graphic>
          <wp14:sizeRelH relativeFrom="page">
            <wp14:pctWidth>0</wp14:pctWidth>
          </wp14:sizeRelH>
          <wp14:sizeRelV relativeFrom="page">
            <wp14:pctHeight>0</wp14:pctHeight>
          </wp14:sizeRelV>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23218" w14:textId="3F7D70D9" w:rsidR="00416C76" w:rsidRDefault="00302399" w:rsidP="00EF5EF8">
    <w:r>
      <w:rPr>
        <w:noProof/>
      </w:rPr>
      <mc:AlternateContent>
        <mc:Choice Requires="wps">
          <w:drawing>
            <wp:anchor distT="0" distB="0" distL="114300" distR="114300" simplePos="0" relativeHeight="251658300" behindDoc="0" locked="0" layoutInCell="1" allowOverlap="1" wp14:anchorId="1E3228C4" wp14:editId="30D7C316">
              <wp:simplePos x="0" y="0"/>
              <wp:positionH relativeFrom="margin">
                <wp:posOffset>-471805</wp:posOffset>
              </wp:positionH>
              <wp:positionV relativeFrom="page">
                <wp:posOffset>200025</wp:posOffset>
              </wp:positionV>
              <wp:extent cx="6086475" cy="542925"/>
              <wp:effectExtent l="0" t="0" r="0" b="0"/>
              <wp:wrapNone/>
              <wp:docPr id="908969680" name="Caixa de Texto 908969680"/>
              <wp:cNvGraphicFramePr/>
              <a:graphic xmlns:a="http://schemas.openxmlformats.org/drawingml/2006/main">
                <a:graphicData uri="http://schemas.microsoft.com/office/word/2010/wordprocessingShape">
                  <wps:wsp>
                    <wps:cNvSpPr txBox="1"/>
                    <wps:spPr>
                      <a:xfrm>
                        <a:off x="0" y="0"/>
                        <a:ext cx="6086475" cy="542925"/>
                      </a:xfrm>
                      <a:prstGeom prst="rect">
                        <a:avLst/>
                      </a:prstGeom>
                      <a:noFill/>
                      <a:ln w="6350">
                        <a:noFill/>
                      </a:ln>
                    </wps:spPr>
                    <wps:txbx>
                      <w:txbxContent>
                        <w:p w14:paraId="4480E1F9" w14:textId="06C49B22" w:rsidR="006907F6" w:rsidRPr="00906659" w:rsidRDefault="006907F6" w:rsidP="006907F6">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sidR="004225CB">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sidR="004225CB">
                            <w:rPr>
                              <w:rFonts w:ascii="CAIXA Std Book" w:hAnsi="CAIXA Std Book"/>
                              <w:color w:val="FFFFFF" w:themeColor="background1"/>
                              <w:sz w:val="16"/>
                              <w:szCs w:val="16"/>
                            </w:rPr>
                            <w:t xml:space="preserve"> </w:t>
                          </w:r>
                          <w:r w:rsidR="00302399">
                            <w:rPr>
                              <w:rFonts w:ascii="CAIXA Std Book" w:hAnsi="CAIXA Std Book"/>
                              <w:color w:val="FFFFFF" w:themeColor="background1"/>
                              <w:sz w:val="16"/>
                              <w:szCs w:val="16"/>
                            </w:rPr>
                            <w:t>CONDENSADAS</w:t>
                          </w:r>
                        </w:p>
                        <w:p w14:paraId="1F69E6EC" w14:textId="77777777" w:rsidR="006907F6" w:rsidRPr="00906659" w:rsidRDefault="006907F6" w:rsidP="006907F6">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3CCCC0EE" w14:textId="77777777" w:rsidR="006907F6" w:rsidRPr="00906659" w:rsidRDefault="006907F6" w:rsidP="006907F6">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3228C4" id="_x0000_t202" coordsize="21600,21600" o:spt="202" path="m,l,21600r21600,l21600,xe">
              <v:stroke joinstyle="miter"/>
              <v:path gradientshapeok="t" o:connecttype="rect"/>
            </v:shapetype>
            <v:shape id="Caixa de Texto 908969680" o:spid="_x0000_s1037" type="#_x0000_t202" style="position:absolute;margin-left:-37.15pt;margin-top:15.75pt;width:479.25pt;height:42.75pt;z-index:25165830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" filled="f" stroked="f" strokeweight=".5pt">
              <v:textbox>
                <w:txbxContent>
                  <w:p w14:paraId="4480E1F9" w14:textId="06C49B22" w:rsidR="006907F6" w:rsidRPr="00906659" w:rsidRDefault="006907F6" w:rsidP="006907F6">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sidR="004225CB">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sidR="004225CB">
                      <w:rPr>
                        <w:rFonts w:ascii="CAIXA Std Book" w:hAnsi="CAIXA Std Book"/>
                        <w:color w:val="FFFFFF" w:themeColor="background1"/>
                        <w:sz w:val="16"/>
                        <w:szCs w:val="16"/>
                      </w:rPr>
                      <w:t xml:space="preserve"> </w:t>
                    </w:r>
                    <w:r w:rsidR="00302399">
                      <w:rPr>
                        <w:rFonts w:ascii="CAIXA Std Book" w:hAnsi="CAIXA Std Book"/>
                        <w:color w:val="FFFFFF" w:themeColor="background1"/>
                        <w:sz w:val="16"/>
                        <w:szCs w:val="16"/>
                      </w:rPr>
                      <w:t>CONDENSADAS</w:t>
                    </w:r>
                  </w:p>
                  <w:p w14:paraId="1F69E6EC" w14:textId="77777777" w:rsidR="006907F6" w:rsidRPr="00906659" w:rsidRDefault="006907F6" w:rsidP="006907F6">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3CCCC0EE" w14:textId="77777777" w:rsidR="006907F6" w:rsidRPr="00906659" w:rsidRDefault="006907F6" w:rsidP="006907F6">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sidR="006907F6">
      <w:rPr>
        <w:noProof/>
      </w:rPr>
      <w:drawing>
        <wp:anchor distT="0" distB="0" distL="114300" distR="114300" simplePos="0" relativeHeight="251658301" behindDoc="1" locked="0" layoutInCell="1" allowOverlap="1" wp14:anchorId="7101099E" wp14:editId="4FDAF692">
          <wp:simplePos x="0" y="0"/>
          <wp:positionH relativeFrom="column">
            <wp:posOffset>-922020</wp:posOffset>
          </wp:positionH>
          <wp:positionV relativeFrom="page">
            <wp:posOffset>8890</wp:posOffset>
          </wp:positionV>
          <wp:extent cx="7577455" cy="944245"/>
          <wp:effectExtent l="0" t="0" r="4445" b="8255"/>
          <wp:wrapNone/>
          <wp:docPr id="715317639" name="Imagem 715317639"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8FE7AF" w14:textId="6919F71C" w:rsidR="002A66EC" w:rsidRDefault="00D37CFD">
    <w:r>
      <w:rPr>
        <w:noProof/>
      </w:rPr>
      <mc:AlternateContent>
        <mc:Choice Requires="wps">
          <w:drawing>
            <wp:anchor distT="0" distB="0" distL="114300" distR="114300" simplePos="0" relativeHeight="251658266" behindDoc="0" locked="0" layoutInCell="1" allowOverlap="1" wp14:anchorId="3310818A" wp14:editId="63515D9C">
              <wp:simplePos x="0" y="0"/>
              <wp:positionH relativeFrom="margin">
                <wp:posOffset>-471805</wp:posOffset>
              </wp:positionH>
              <wp:positionV relativeFrom="page">
                <wp:posOffset>304799</wp:posOffset>
              </wp:positionV>
              <wp:extent cx="6334125" cy="682625"/>
              <wp:effectExtent l="0" t="0" r="0" b="3175"/>
              <wp:wrapNone/>
              <wp:docPr id="483600423" name="Caixa de Texto 483600423"/>
              <wp:cNvGraphicFramePr/>
              <a:graphic xmlns:a="http://schemas.openxmlformats.org/drawingml/2006/main">
                <a:graphicData uri="http://schemas.microsoft.com/office/word/2010/wordprocessingShape">
                  <wps:wsp>
                    <wps:cNvSpPr txBox="1"/>
                    <wps:spPr>
                      <a:xfrm>
                        <a:off x="0" y="0"/>
                        <a:ext cx="6334125" cy="682625"/>
                      </a:xfrm>
                      <a:prstGeom prst="rect">
                        <a:avLst/>
                      </a:prstGeom>
                      <a:noFill/>
                      <a:ln w="6350">
                        <a:noFill/>
                      </a:ln>
                    </wps:spPr>
                    <wps:txbx>
                      <w:txbxContent>
                        <w:p w14:paraId="2EE88B1C" w14:textId="3315EBB8" w:rsidR="00D37CFD" w:rsidRPr="00906659" w:rsidRDefault="00D37CFD" w:rsidP="00D37CFD">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sidR="008039C0">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sidR="00302399">
                            <w:rPr>
                              <w:rFonts w:ascii="CAIXA Std Book" w:hAnsi="CAIXA Std Book"/>
                              <w:color w:val="FFFFFF" w:themeColor="background1"/>
                              <w:sz w:val="16"/>
                              <w:szCs w:val="16"/>
                            </w:rPr>
                            <w:t xml:space="preserve"> CONDENSADAS</w:t>
                          </w:r>
                        </w:p>
                        <w:p w14:paraId="2A2D6B9E" w14:textId="77777777" w:rsidR="00D37CFD" w:rsidRPr="00906659" w:rsidRDefault="00D37CFD" w:rsidP="00D37CFD">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2B8659F3" w14:textId="77777777" w:rsidR="00D37CFD" w:rsidRPr="00906659" w:rsidRDefault="00D37CFD" w:rsidP="00D37CFD">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10818A" id="_x0000_t202" coordsize="21600,21600" o:spt="202" path="m,l,21600r21600,l21600,xe">
              <v:stroke joinstyle="miter"/>
              <v:path gradientshapeok="t" o:connecttype="rect"/>
            </v:shapetype>
            <v:shape id="Caixa de Texto 483600423" o:spid="_x0000_s1038" type="#_x0000_t202" style="position:absolute;margin-left:-37.15pt;margin-top:24pt;width:498.75pt;height:53.75pt;z-index:25165826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" filled="f" stroked="f" strokeweight=".5pt">
              <v:textbox>
                <w:txbxContent>
                  <w:p w14:paraId="2EE88B1C" w14:textId="3315EBB8" w:rsidR="00D37CFD" w:rsidRPr="00906659" w:rsidRDefault="00D37CFD" w:rsidP="00D37CFD">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sidR="008039C0">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sidR="00302399">
                      <w:rPr>
                        <w:rFonts w:ascii="CAIXA Std Book" w:hAnsi="CAIXA Std Book"/>
                        <w:color w:val="FFFFFF" w:themeColor="background1"/>
                        <w:sz w:val="16"/>
                        <w:szCs w:val="16"/>
                      </w:rPr>
                      <w:t xml:space="preserve"> CONDENSADAS</w:t>
                    </w:r>
                  </w:p>
                  <w:p w14:paraId="2A2D6B9E" w14:textId="77777777" w:rsidR="00D37CFD" w:rsidRPr="00906659" w:rsidRDefault="00D37CFD" w:rsidP="00D37CFD">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2B8659F3" w14:textId="77777777" w:rsidR="00D37CFD" w:rsidRPr="00906659" w:rsidRDefault="00D37CFD" w:rsidP="00D37CFD">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Pr>
        <w:noProof/>
      </w:rPr>
      <w:drawing>
        <wp:anchor distT="0" distB="0" distL="114300" distR="114300" simplePos="0" relativeHeight="251658267" behindDoc="1" locked="0" layoutInCell="1" allowOverlap="1" wp14:anchorId="74D08AD1" wp14:editId="7F6A7ADE">
          <wp:simplePos x="0" y="0"/>
          <wp:positionH relativeFrom="column">
            <wp:posOffset>-925830</wp:posOffset>
          </wp:positionH>
          <wp:positionV relativeFrom="page">
            <wp:posOffset>-25400</wp:posOffset>
          </wp:positionV>
          <wp:extent cx="10701020" cy="1016000"/>
          <wp:effectExtent l="0" t="0" r="5080" b="0"/>
          <wp:wrapNone/>
          <wp:docPr id="761510263" name="Imagem 761510263"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814456" cy="1026770"/>
                  </a:xfrm>
                  <a:prstGeom prst="rect">
                    <a:avLst/>
                  </a:prstGeom>
                </pic:spPr>
              </pic:pic>
            </a:graphicData>
          </a:graphic>
          <wp14:sizeRelH relativeFrom="page">
            <wp14:pctWidth>0</wp14:pctWidth>
          </wp14:sizeRelH>
          <wp14:sizeRelV relativeFrom="page">
            <wp14:pctHeight>0</wp14:pctHeight>
          </wp14:sizeRelV>
        </wp:anchor>
      </w:drawing>
    </w:r>
  </w:p>
  <w:p w14:paraId="1F9D6E35" w14:textId="5AF8B269" w:rsidR="00ED7729" w:rsidRDefault="00ED7729">
    <w:pPr>
      <w:pStyle w:val="Cabealho"/>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8B27D" w14:textId="70E90422" w:rsidR="006907F6" w:rsidRPr="006907F6" w:rsidRDefault="00302399" w:rsidP="006907F6">
    <w:r>
      <w:rPr>
        <w:noProof/>
      </w:rPr>
      <mc:AlternateContent>
        <mc:Choice Requires="wps">
          <w:drawing>
            <wp:anchor distT="0" distB="0" distL="114300" distR="114300" simplePos="0" relativeHeight="251658279" behindDoc="0" locked="0" layoutInCell="1" allowOverlap="1" wp14:anchorId="01DFF03F" wp14:editId="5234B3DB">
              <wp:simplePos x="0" y="0"/>
              <wp:positionH relativeFrom="margin">
                <wp:posOffset>-471805</wp:posOffset>
              </wp:positionH>
              <wp:positionV relativeFrom="page">
                <wp:posOffset>200025</wp:posOffset>
              </wp:positionV>
              <wp:extent cx="6181725" cy="622300"/>
              <wp:effectExtent l="0" t="0" r="0" b="6350"/>
              <wp:wrapNone/>
              <wp:docPr id="1478407498" name="Caixa de Texto 1478407498"/>
              <wp:cNvGraphicFramePr/>
              <a:graphic xmlns:a="http://schemas.openxmlformats.org/drawingml/2006/main">
                <a:graphicData uri="http://schemas.microsoft.com/office/word/2010/wordprocessingShape">
                  <wps:wsp>
                    <wps:cNvSpPr txBox="1"/>
                    <wps:spPr>
                      <a:xfrm>
                        <a:off x="0" y="0"/>
                        <a:ext cx="6181725" cy="622300"/>
                      </a:xfrm>
                      <a:prstGeom prst="rect">
                        <a:avLst/>
                      </a:prstGeom>
                      <a:noFill/>
                      <a:ln w="6350">
                        <a:noFill/>
                      </a:ln>
                    </wps:spPr>
                    <wps:txbx>
                      <w:txbxContent>
                        <w:p w14:paraId="2BD7297B" w14:textId="6B00C8D5" w:rsidR="006907F6" w:rsidRPr="00906659" w:rsidRDefault="006907F6" w:rsidP="006907F6">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sidR="0065128D">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sidR="00302399">
                            <w:rPr>
                              <w:rFonts w:ascii="CAIXA Std Book" w:hAnsi="CAIXA Std Book"/>
                              <w:color w:val="FFFFFF" w:themeColor="background1"/>
                              <w:sz w:val="16"/>
                              <w:szCs w:val="16"/>
                            </w:rPr>
                            <w:t xml:space="preserve"> CONDE</w:t>
                          </w:r>
                          <w:r w:rsidR="00896817">
                            <w:rPr>
                              <w:rFonts w:ascii="CAIXA Std Book" w:hAnsi="CAIXA Std Book"/>
                              <w:color w:val="FFFFFF" w:themeColor="background1"/>
                              <w:sz w:val="16"/>
                              <w:szCs w:val="16"/>
                            </w:rPr>
                            <w:t>NSADAS</w:t>
                          </w:r>
                        </w:p>
                        <w:p w14:paraId="785F2ABF" w14:textId="77777777" w:rsidR="006907F6" w:rsidRPr="00906659" w:rsidRDefault="006907F6" w:rsidP="006907F6">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75F7E422" w14:textId="77777777" w:rsidR="006907F6" w:rsidRPr="00906659" w:rsidRDefault="006907F6" w:rsidP="006907F6">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DFF03F" id="_x0000_t202" coordsize="21600,21600" o:spt="202" path="m,l,21600r21600,l21600,xe">
              <v:stroke joinstyle="miter"/>
              <v:path gradientshapeok="t" o:connecttype="rect"/>
            </v:shapetype>
            <v:shape id="Caixa de Texto 1478407498" o:spid="_x0000_s1039" type="#_x0000_t202" style="position:absolute;margin-left:-37.15pt;margin-top:15.75pt;width:486.75pt;height:49pt;z-index:251658279;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" filled="f" stroked="f" strokeweight=".5pt">
              <v:textbox>
                <w:txbxContent>
                  <w:p w14:paraId="2BD7297B" w14:textId="6B00C8D5" w:rsidR="006907F6" w:rsidRPr="00906659" w:rsidRDefault="006907F6" w:rsidP="006907F6">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sidR="0065128D">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sidR="00302399">
                      <w:rPr>
                        <w:rFonts w:ascii="CAIXA Std Book" w:hAnsi="CAIXA Std Book"/>
                        <w:color w:val="FFFFFF" w:themeColor="background1"/>
                        <w:sz w:val="16"/>
                        <w:szCs w:val="16"/>
                      </w:rPr>
                      <w:t xml:space="preserve"> CONDE</w:t>
                    </w:r>
                    <w:r w:rsidR="00896817">
                      <w:rPr>
                        <w:rFonts w:ascii="CAIXA Std Book" w:hAnsi="CAIXA Std Book"/>
                        <w:color w:val="FFFFFF" w:themeColor="background1"/>
                        <w:sz w:val="16"/>
                        <w:szCs w:val="16"/>
                      </w:rPr>
                      <w:t>NSADAS</w:t>
                    </w:r>
                  </w:p>
                  <w:p w14:paraId="785F2ABF" w14:textId="77777777" w:rsidR="006907F6" w:rsidRPr="00906659" w:rsidRDefault="006907F6" w:rsidP="006907F6">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75F7E422" w14:textId="77777777" w:rsidR="006907F6" w:rsidRPr="00906659" w:rsidRDefault="006907F6" w:rsidP="006907F6">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sidR="006907F6">
      <w:rPr>
        <w:noProof/>
      </w:rPr>
      <w:drawing>
        <wp:anchor distT="0" distB="0" distL="114300" distR="114300" simplePos="0" relativeHeight="251658248" behindDoc="1" locked="0" layoutInCell="1" allowOverlap="1" wp14:anchorId="6424525B" wp14:editId="60784AF1">
          <wp:simplePos x="0" y="0"/>
          <wp:positionH relativeFrom="column">
            <wp:posOffset>-922020</wp:posOffset>
          </wp:positionH>
          <wp:positionV relativeFrom="page">
            <wp:posOffset>8890</wp:posOffset>
          </wp:positionV>
          <wp:extent cx="7577455" cy="944245"/>
          <wp:effectExtent l="0" t="0" r="4445" b="8255"/>
          <wp:wrapNone/>
          <wp:docPr id="676580595" name="Imagem 676580595"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r w:rsidR="006907F6">
      <w:rPr>
        <w:noProof/>
      </w:rPr>
      <w:drawing>
        <wp:anchor distT="0" distB="0" distL="114300" distR="114300" simplePos="0" relativeHeight="251658247" behindDoc="1" locked="0" layoutInCell="1" allowOverlap="1" wp14:anchorId="1995390C" wp14:editId="0CBA3F65">
          <wp:simplePos x="0" y="0"/>
          <wp:positionH relativeFrom="column">
            <wp:posOffset>-922020</wp:posOffset>
          </wp:positionH>
          <wp:positionV relativeFrom="page">
            <wp:posOffset>8890</wp:posOffset>
          </wp:positionV>
          <wp:extent cx="7577455" cy="944245"/>
          <wp:effectExtent l="0" t="0" r="4445" b="8255"/>
          <wp:wrapNone/>
          <wp:docPr id="575505061" name="Imagem 575505061"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p>
  <w:p w14:paraId="34437A16" w14:textId="6862D938" w:rsidR="006E2A82" w:rsidRPr="00F82438" w:rsidRDefault="006E2A82" w:rsidP="006907F6">
    <w:pPr>
      <w:pStyle w:val="Cabealho"/>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B6840A" w14:textId="36508EBB" w:rsidR="00542CCF" w:rsidRDefault="009E5925" w:rsidP="00542CCF">
    <w:r>
      <w:rPr>
        <w:noProof/>
      </w:rPr>
      <mc:AlternateContent>
        <mc:Choice Requires="wps">
          <w:drawing>
            <wp:anchor distT="0" distB="0" distL="114300" distR="114300" simplePos="0" relativeHeight="251658280" behindDoc="0" locked="0" layoutInCell="1" allowOverlap="1" wp14:anchorId="19ED9569" wp14:editId="297CC04F">
              <wp:simplePos x="0" y="0"/>
              <wp:positionH relativeFrom="margin">
                <wp:posOffset>-471805</wp:posOffset>
              </wp:positionH>
              <wp:positionV relativeFrom="page">
                <wp:posOffset>314325</wp:posOffset>
              </wp:positionV>
              <wp:extent cx="6762750" cy="561975"/>
              <wp:effectExtent l="0" t="0" r="0" b="0"/>
              <wp:wrapNone/>
              <wp:docPr id="634936600" name="Caixa de Texto 634936600"/>
              <wp:cNvGraphicFramePr/>
              <a:graphic xmlns:a="http://schemas.openxmlformats.org/drawingml/2006/main">
                <a:graphicData uri="http://schemas.microsoft.com/office/word/2010/wordprocessingShape">
                  <wps:wsp>
                    <wps:cNvSpPr txBox="1"/>
                    <wps:spPr>
                      <a:xfrm>
                        <a:off x="0" y="0"/>
                        <a:ext cx="6762750" cy="561975"/>
                      </a:xfrm>
                      <a:prstGeom prst="rect">
                        <a:avLst/>
                      </a:prstGeom>
                      <a:noFill/>
                      <a:ln w="6350">
                        <a:noFill/>
                      </a:ln>
                    </wps:spPr>
                    <wps:txbx>
                      <w:txbxContent>
                        <w:p w14:paraId="5F0717A9" w14:textId="5FFE2F11" w:rsidR="0014798D" w:rsidRPr="00906659" w:rsidRDefault="009E5925" w:rsidP="0014798D">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0014798D" w:rsidRPr="00906659">
                            <w:rPr>
                              <w:rFonts w:ascii="CAIXA Std Book" w:hAnsi="CAIXA Std Book"/>
                              <w:color w:val="FFFFFF" w:themeColor="background1"/>
                              <w:sz w:val="16"/>
                              <w:szCs w:val="16"/>
                            </w:rPr>
                            <w:t xml:space="preserve">EMONSTRAÇÕES CONTÁBEIS </w:t>
                          </w:r>
                          <w:r w:rsidR="004343E9">
                            <w:rPr>
                              <w:rFonts w:ascii="CAIXA Std Book" w:hAnsi="CAIXA Std Book"/>
                              <w:color w:val="FFFFFF" w:themeColor="background1"/>
                              <w:sz w:val="16"/>
                              <w:szCs w:val="16"/>
                            </w:rPr>
                            <w:t xml:space="preserve">INTERMEDIÁRIAS </w:t>
                          </w:r>
                          <w:r w:rsidR="0014798D" w:rsidRPr="00906659">
                            <w:rPr>
                              <w:rFonts w:ascii="CAIXA Std Book" w:hAnsi="CAIXA Std Book"/>
                              <w:color w:val="FFFFFF" w:themeColor="background1"/>
                              <w:sz w:val="16"/>
                              <w:szCs w:val="16"/>
                            </w:rPr>
                            <w:t>INDIVIDUAIS E CONSOLIDADAS</w:t>
                          </w:r>
                          <w:r>
                            <w:rPr>
                              <w:rFonts w:ascii="CAIXA Std Book" w:hAnsi="CAIXA Std Book"/>
                              <w:color w:val="FFFFFF" w:themeColor="background1"/>
                              <w:sz w:val="16"/>
                              <w:szCs w:val="16"/>
                            </w:rPr>
                            <w:t xml:space="preserve"> CONDENSADAS</w:t>
                          </w:r>
                        </w:p>
                        <w:p w14:paraId="2E238C35" w14:textId="77777777" w:rsidR="0014798D" w:rsidRPr="00906659" w:rsidRDefault="0014798D" w:rsidP="0014798D">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24C6909E" w14:textId="77777777" w:rsidR="0014798D" w:rsidRPr="00906659" w:rsidRDefault="0014798D" w:rsidP="0014798D">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ED9569" id="_x0000_t202" coordsize="21600,21600" o:spt="202" path="m,l,21600r21600,l21600,xe">
              <v:stroke joinstyle="miter"/>
              <v:path gradientshapeok="t" o:connecttype="rect"/>
            </v:shapetype>
            <v:shape id="Caixa de Texto 634936600" o:spid="_x0000_s1040" type="#_x0000_t202" style="position:absolute;margin-left:-37.15pt;margin-top:24.75pt;width:532.5pt;height:44.25pt;z-index:25165828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" filled="f" stroked="f" strokeweight=".5pt">
              <v:textbox>
                <w:txbxContent>
                  <w:p w14:paraId="5F0717A9" w14:textId="5FFE2F11" w:rsidR="0014798D" w:rsidRPr="00906659" w:rsidRDefault="009E5925" w:rsidP="0014798D">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0014798D" w:rsidRPr="00906659">
                      <w:rPr>
                        <w:rFonts w:ascii="CAIXA Std Book" w:hAnsi="CAIXA Std Book"/>
                        <w:color w:val="FFFFFF" w:themeColor="background1"/>
                        <w:sz w:val="16"/>
                        <w:szCs w:val="16"/>
                      </w:rPr>
                      <w:t xml:space="preserve">EMONSTRAÇÕES CONTÁBEIS </w:t>
                    </w:r>
                    <w:r w:rsidR="004343E9">
                      <w:rPr>
                        <w:rFonts w:ascii="CAIXA Std Book" w:hAnsi="CAIXA Std Book"/>
                        <w:color w:val="FFFFFF" w:themeColor="background1"/>
                        <w:sz w:val="16"/>
                        <w:szCs w:val="16"/>
                      </w:rPr>
                      <w:t xml:space="preserve">INTERMEDIÁRIAS </w:t>
                    </w:r>
                    <w:r w:rsidR="0014798D" w:rsidRPr="00906659">
                      <w:rPr>
                        <w:rFonts w:ascii="CAIXA Std Book" w:hAnsi="CAIXA Std Book"/>
                        <w:color w:val="FFFFFF" w:themeColor="background1"/>
                        <w:sz w:val="16"/>
                        <w:szCs w:val="16"/>
                      </w:rPr>
                      <w:t>INDIVIDUAIS E CONSOLIDADAS</w:t>
                    </w:r>
                    <w:r>
                      <w:rPr>
                        <w:rFonts w:ascii="CAIXA Std Book" w:hAnsi="CAIXA Std Book"/>
                        <w:color w:val="FFFFFF" w:themeColor="background1"/>
                        <w:sz w:val="16"/>
                        <w:szCs w:val="16"/>
                      </w:rPr>
                      <w:t xml:space="preserve"> CONDENSADAS</w:t>
                    </w:r>
                  </w:p>
                  <w:p w14:paraId="2E238C35" w14:textId="77777777" w:rsidR="0014798D" w:rsidRPr="00906659" w:rsidRDefault="0014798D" w:rsidP="0014798D">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24C6909E" w14:textId="77777777" w:rsidR="0014798D" w:rsidRPr="00906659" w:rsidRDefault="0014798D" w:rsidP="0014798D">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sidR="0014798D">
      <w:rPr>
        <w:noProof/>
      </w:rPr>
      <w:drawing>
        <wp:anchor distT="0" distB="0" distL="114300" distR="114300" simplePos="0" relativeHeight="251658268" behindDoc="1" locked="0" layoutInCell="1" allowOverlap="1" wp14:anchorId="6BF458DC" wp14:editId="1801D8F9">
          <wp:simplePos x="0" y="0"/>
          <wp:positionH relativeFrom="column">
            <wp:posOffset>-925830</wp:posOffset>
          </wp:positionH>
          <wp:positionV relativeFrom="page">
            <wp:posOffset>-25400</wp:posOffset>
          </wp:positionV>
          <wp:extent cx="10701020" cy="1066800"/>
          <wp:effectExtent l="0" t="0" r="5080" b="0"/>
          <wp:wrapNone/>
          <wp:docPr id="529033191" name="Imagem 529033191"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701020" cy="1066800"/>
                  </a:xfrm>
                  <a:prstGeom prst="rect">
                    <a:avLst/>
                  </a:prstGeom>
                </pic:spPr>
              </pic:pic>
            </a:graphicData>
          </a:graphic>
          <wp14:sizeRelH relativeFrom="page">
            <wp14:pctWidth>0</wp14:pctWidth>
          </wp14:sizeRelH>
          <wp14:sizeRelV relativeFrom="page">
            <wp14:pctHeight>0</wp14:pctHeight>
          </wp14:sizeRelV>
        </wp:anchor>
      </w:drawing>
    </w:r>
  </w:p>
  <w:p w14:paraId="4AC38905" w14:textId="71B5BC9C" w:rsidR="00960085" w:rsidRDefault="00960085">
    <w:pPr>
      <w:pStyle w:val="Cabealho"/>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2EDFAB" w14:textId="4B805D0C" w:rsidR="00D67929" w:rsidRPr="00F82438" w:rsidRDefault="00042376" w:rsidP="00EF5EF8">
    <w:r>
      <w:rPr>
        <w:noProof/>
      </w:rPr>
      <mc:AlternateContent>
        <mc:Choice Requires="wps">
          <w:drawing>
            <wp:anchor distT="0" distB="0" distL="114300" distR="114300" simplePos="0" relativeHeight="251658281" behindDoc="0" locked="0" layoutInCell="1" allowOverlap="1" wp14:anchorId="1C949AEA" wp14:editId="57CC366A">
              <wp:simplePos x="0" y="0"/>
              <wp:positionH relativeFrom="margin">
                <wp:posOffset>-471805</wp:posOffset>
              </wp:positionH>
              <wp:positionV relativeFrom="page">
                <wp:posOffset>314325</wp:posOffset>
              </wp:positionV>
              <wp:extent cx="6267450" cy="622300"/>
              <wp:effectExtent l="0" t="0" r="0" b="6350"/>
              <wp:wrapNone/>
              <wp:docPr id="638271788" name="Caixa de Texto 638271788"/>
              <wp:cNvGraphicFramePr/>
              <a:graphic xmlns:a="http://schemas.openxmlformats.org/drawingml/2006/main">
                <a:graphicData uri="http://schemas.microsoft.com/office/word/2010/wordprocessingShape">
                  <wps:wsp>
                    <wps:cNvSpPr txBox="1"/>
                    <wps:spPr>
                      <a:xfrm>
                        <a:off x="0" y="0"/>
                        <a:ext cx="6267450" cy="622300"/>
                      </a:xfrm>
                      <a:prstGeom prst="rect">
                        <a:avLst/>
                      </a:prstGeom>
                      <a:noFill/>
                      <a:ln w="6350">
                        <a:noFill/>
                      </a:ln>
                    </wps:spPr>
                    <wps:txbx>
                      <w:txbxContent>
                        <w:p w14:paraId="478E5F85" w14:textId="1AC3AE30" w:rsidR="00851D3E" w:rsidRPr="00906659" w:rsidRDefault="00851D3E" w:rsidP="00851D3E">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sidR="00D707EB">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sidR="00042376">
                            <w:rPr>
                              <w:rFonts w:ascii="CAIXA Std Book" w:hAnsi="CAIXA Std Book"/>
                              <w:color w:val="FFFFFF" w:themeColor="background1"/>
                              <w:sz w:val="16"/>
                              <w:szCs w:val="16"/>
                            </w:rPr>
                            <w:t xml:space="preserve"> CONDENSADAS</w:t>
                          </w:r>
                        </w:p>
                        <w:p w14:paraId="3BF34251" w14:textId="77777777" w:rsidR="00851D3E" w:rsidRPr="00906659" w:rsidRDefault="00851D3E" w:rsidP="00851D3E">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7E43DE76" w14:textId="77777777" w:rsidR="00851D3E" w:rsidRPr="00906659" w:rsidRDefault="00851D3E" w:rsidP="00851D3E">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949AEA" id="_x0000_t202" coordsize="21600,21600" o:spt="202" path="m,l,21600r21600,l21600,xe">
              <v:stroke joinstyle="miter"/>
              <v:path gradientshapeok="t" o:connecttype="rect"/>
            </v:shapetype>
            <v:shape id="Caixa de Texto 638271788" o:spid="_x0000_s1041" type="#_x0000_t202" style="position:absolute;margin-left:-37.15pt;margin-top:24.75pt;width:493.5pt;height:49pt;z-index:25165828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" filled="f" stroked="f" strokeweight=".5pt">
              <v:textbox>
                <w:txbxContent>
                  <w:p w14:paraId="478E5F85" w14:textId="1AC3AE30" w:rsidR="00851D3E" w:rsidRPr="00906659" w:rsidRDefault="00851D3E" w:rsidP="00851D3E">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sidR="00D707EB">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sidR="00042376">
                      <w:rPr>
                        <w:rFonts w:ascii="CAIXA Std Book" w:hAnsi="CAIXA Std Book"/>
                        <w:color w:val="FFFFFF" w:themeColor="background1"/>
                        <w:sz w:val="16"/>
                        <w:szCs w:val="16"/>
                      </w:rPr>
                      <w:t xml:space="preserve"> CONDENSADAS</w:t>
                    </w:r>
                  </w:p>
                  <w:p w14:paraId="3BF34251" w14:textId="77777777" w:rsidR="00851D3E" w:rsidRPr="00906659" w:rsidRDefault="00851D3E" w:rsidP="00851D3E">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7E43DE76" w14:textId="77777777" w:rsidR="00851D3E" w:rsidRPr="00906659" w:rsidRDefault="00851D3E" w:rsidP="00851D3E">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sidR="00586282">
      <w:rPr>
        <w:noProof/>
      </w:rPr>
      <w:drawing>
        <wp:anchor distT="0" distB="0" distL="114300" distR="114300" simplePos="0" relativeHeight="251658259" behindDoc="1" locked="0" layoutInCell="1" allowOverlap="1" wp14:anchorId="1E412C9C" wp14:editId="477D5481">
          <wp:simplePos x="0" y="0"/>
          <wp:positionH relativeFrom="column">
            <wp:posOffset>-925830</wp:posOffset>
          </wp:positionH>
          <wp:positionV relativeFrom="page">
            <wp:posOffset>-25400</wp:posOffset>
          </wp:positionV>
          <wp:extent cx="10701020" cy="1066800"/>
          <wp:effectExtent l="0" t="0" r="5080" b="0"/>
          <wp:wrapNone/>
          <wp:docPr id="312480487" name="Imagem 312480487"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701020" cy="1066800"/>
                  </a:xfrm>
                  <a:prstGeom prst="rect">
                    <a:avLst/>
                  </a:prstGeom>
                </pic:spPr>
              </pic:pic>
            </a:graphicData>
          </a:graphic>
          <wp14:sizeRelH relativeFrom="page">
            <wp14:pctWidth>0</wp14:pctWidth>
          </wp14:sizeRelH>
          <wp14:sizeRelV relativeFrom="page">
            <wp14:pctHeight>0</wp14:pctHeight>
          </wp14:sizeRelV>
        </wp:anchor>
      </w:drawing>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445E9" w14:textId="77777777" w:rsidR="00FF1EBF" w:rsidRPr="006907F6" w:rsidRDefault="00FF1EBF" w:rsidP="00FF1EBF">
    <w:r>
      <w:rPr>
        <w:noProof/>
      </w:rPr>
      <mc:AlternateContent>
        <mc:Choice Requires="wps">
          <w:drawing>
            <wp:anchor distT="0" distB="0" distL="114300" distR="114300" simplePos="0" relativeHeight="251658334" behindDoc="0" locked="0" layoutInCell="1" allowOverlap="1" wp14:anchorId="262E3CDB" wp14:editId="56E1760C">
              <wp:simplePos x="0" y="0"/>
              <wp:positionH relativeFrom="margin">
                <wp:posOffset>-471805</wp:posOffset>
              </wp:positionH>
              <wp:positionV relativeFrom="page">
                <wp:posOffset>200025</wp:posOffset>
              </wp:positionV>
              <wp:extent cx="6181725" cy="622300"/>
              <wp:effectExtent l="0" t="0" r="0" b="6350"/>
              <wp:wrapNone/>
              <wp:docPr id="1575198678" name="Caixa de Texto 1575198678"/>
              <wp:cNvGraphicFramePr/>
              <a:graphic xmlns:a="http://schemas.openxmlformats.org/drawingml/2006/main">
                <a:graphicData uri="http://schemas.microsoft.com/office/word/2010/wordprocessingShape">
                  <wps:wsp>
                    <wps:cNvSpPr txBox="1"/>
                    <wps:spPr>
                      <a:xfrm>
                        <a:off x="0" y="0"/>
                        <a:ext cx="6181725" cy="622300"/>
                      </a:xfrm>
                      <a:prstGeom prst="rect">
                        <a:avLst/>
                      </a:prstGeom>
                      <a:noFill/>
                      <a:ln w="6350">
                        <a:noFill/>
                      </a:ln>
                    </wps:spPr>
                    <wps:txbx>
                      <w:txbxContent>
                        <w:p w14:paraId="4B09ADD0" w14:textId="77777777" w:rsidR="00FF1EBF" w:rsidRPr="00906659" w:rsidRDefault="00FF1EBF" w:rsidP="00FF1EBF">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4D5DD2A3" w14:textId="77777777" w:rsidR="00FF1EBF" w:rsidRPr="00906659" w:rsidRDefault="00FF1EBF" w:rsidP="00FF1EBF">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23669B65" w14:textId="77777777" w:rsidR="00FF1EBF" w:rsidRPr="00906659" w:rsidRDefault="00FF1EBF" w:rsidP="00FF1EBF">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2E3CDB" id="_x0000_t202" coordsize="21600,21600" o:spt="202" path="m,l,21600r21600,l21600,xe">
              <v:stroke joinstyle="miter"/>
              <v:path gradientshapeok="t" o:connecttype="rect"/>
            </v:shapetype>
            <v:shape id="Caixa de Texto 1575198678" o:spid="_x0000_s1042" type="#_x0000_t202" style="position:absolute;margin-left:-37.15pt;margin-top:15.75pt;width:486.75pt;height:49pt;z-index:25165833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" filled="f" stroked="f" strokeweight=".5pt">
              <v:textbox>
                <w:txbxContent>
                  <w:p w14:paraId="4B09ADD0" w14:textId="77777777" w:rsidR="00FF1EBF" w:rsidRPr="00906659" w:rsidRDefault="00FF1EBF" w:rsidP="00FF1EBF">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4D5DD2A3" w14:textId="77777777" w:rsidR="00FF1EBF" w:rsidRPr="00906659" w:rsidRDefault="00FF1EBF" w:rsidP="00FF1EBF">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23669B65" w14:textId="77777777" w:rsidR="00FF1EBF" w:rsidRPr="00906659" w:rsidRDefault="00FF1EBF" w:rsidP="00FF1EBF">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Pr>
        <w:noProof/>
      </w:rPr>
      <w:drawing>
        <wp:anchor distT="0" distB="0" distL="114300" distR="114300" simplePos="0" relativeHeight="251658333" behindDoc="1" locked="0" layoutInCell="1" allowOverlap="1" wp14:anchorId="227A980E" wp14:editId="542827ED">
          <wp:simplePos x="0" y="0"/>
          <wp:positionH relativeFrom="column">
            <wp:posOffset>-922020</wp:posOffset>
          </wp:positionH>
          <wp:positionV relativeFrom="page">
            <wp:posOffset>8890</wp:posOffset>
          </wp:positionV>
          <wp:extent cx="7577455" cy="944245"/>
          <wp:effectExtent l="0" t="0" r="4445" b="8255"/>
          <wp:wrapNone/>
          <wp:docPr id="265885122" name="Imagem 265885122"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332" behindDoc="1" locked="0" layoutInCell="1" allowOverlap="1" wp14:anchorId="23909CF2" wp14:editId="7DE1AE53">
          <wp:simplePos x="0" y="0"/>
          <wp:positionH relativeFrom="column">
            <wp:posOffset>-922020</wp:posOffset>
          </wp:positionH>
          <wp:positionV relativeFrom="page">
            <wp:posOffset>8890</wp:posOffset>
          </wp:positionV>
          <wp:extent cx="7577455" cy="944245"/>
          <wp:effectExtent l="0" t="0" r="4445" b="8255"/>
          <wp:wrapNone/>
          <wp:docPr id="1448879380" name="Imagem 1448879380"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p>
  <w:p w14:paraId="75E872DE" w14:textId="5CECFA01" w:rsidR="00FF1EBF" w:rsidRPr="00F82438" w:rsidRDefault="00456047" w:rsidP="00FF1EBF">
    <w:pPr>
      <w:pStyle w:val="Cabealho"/>
    </w:pPr>
    <w:r>
      <w:rPr>
        <w:noProof/>
      </w:rPr>
      <w:drawing>
        <wp:anchor distT="0" distB="0" distL="114300" distR="114300" simplePos="0" relativeHeight="251658336" behindDoc="1" locked="0" layoutInCell="1" allowOverlap="1" wp14:anchorId="3F7D71ED" wp14:editId="599E02A1">
          <wp:simplePos x="0" y="0"/>
          <wp:positionH relativeFrom="column">
            <wp:posOffset>-927100</wp:posOffset>
          </wp:positionH>
          <wp:positionV relativeFrom="page">
            <wp:posOffset>-23495</wp:posOffset>
          </wp:positionV>
          <wp:extent cx="7577455" cy="944245"/>
          <wp:effectExtent l="0" t="0" r="4445" b="8255"/>
          <wp:wrapNone/>
          <wp:docPr id="1084049151" name="Imagem 1084049151"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357C1" w14:textId="77777777" w:rsidR="00785634" w:rsidRDefault="00785634" w:rsidP="00785634">
    <w:r>
      <w:rPr>
        <w:noProof/>
      </w:rPr>
      <mc:AlternateContent>
        <mc:Choice Requires="wps">
          <w:drawing>
            <wp:anchor distT="0" distB="0" distL="114300" distR="114300" simplePos="0" relativeHeight="251658341" behindDoc="0" locked="0" layoutInCell="1" allowOverlap="1" wp14:anchorId="7E20B254" wp14:editId="476645E3">
              <wp:simplePos x="0" y="0"/>
              <wp:positionH relativeFrom="margin">
                <wp:posOffset>-471805</wp:posOffset>
              </wp:positionH>
              <wp:positionV relativeFrom="page">
                <wp:posOffset>314325</wp:posOffset>
              </wp:positionV>
              <wp:extent cx="6762750" cy="561975"/>
              <wp:effectExtent l="0" t="0" r="0" b="0"/>
              <wp:wrapNone/>
              <wp:docPr id="1612978656" name="Caixa de Texto 1612978656"/>
              <wp:cNvGraphicFramePr/>
              <a:graphic xmlns:a="http://schemas.openxmlformats.org/drawingml/2006/main">
                <a:graphicData uri="http://schemas.microsoft.com/office/word/2010/wordprocessingShape">
                  <wps:wsp>
                    <wps:cNvSpPr txBox="1"/>
                    <wps:spPr>
                      <a:xfrm>
                        <a:off x="0" y="0"/>
                        <a:ext cx="6762750" cy="561975"/>
                      </a:xfrm>
                      <a:prstGeom prst="rect">
                        <a:avLst/>
                      </a:prstGeom>
                      <a:noFill/>
                      <a:ln w="6350">
                        <a:noFill/>
                      </a:ln>
                    </wps:spPr>
                    <wps:txbx>
                      <w:txbxContent>
                        <w:p w14:paraId="57633598" w14:textId="77777777" w:rsidR="00785634" w:rsidRPr="00906659" w:rsidRDefault="00785634" w:rsidP="00785634">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 xml:space="preserve">EMONSTRAÇÕES CONTÁBEIS </w:t>
                          </w:r>
                          <w:r>
                            <w:rPr>
                              <w:rFonts w:ascii="CAIXA Std Book" w:hAnsi="CAIXA Std Book"/>
                              <w:color w:val="FFFFFF" w:themeColor="background1"/>
                              <w:sz w:val="16"/>
                              <w:szCs w:val="16"/>
                            </w:rPr>
                            <w:t xml:space="preserve">INTERMEDIÁRIAS </w:t>
                          </w:r>
                          <w:r w:rsidRPr="00906659">
                            <w:rPr>
                              <w:rFonts w:ascii="CAIXA Std Book" w:hAnsi="CAIXA Std Book"/>
                              <w:color w:val="FFFFFF" w:themeColor="background1"/>
                              <w:sz w:val="16"/>
                              <w:szCs w:val="16"/>
                            </w:rPr>
                            <w:t>INDIVIDUAIS E CONSOLIDADAS</w:t>
                          </w:r>
                          <w:r>
                            <w:rPr>
                              <w:rFonts w:ascii="CAIXA Std Book" w:hAnsi="CAIXA Std Book"/>
                              <w:color w:val="FFFFFF" w:themeColor="background1"/>
                              <w:sz w:val="16"/>
                              <w:szCs w:val="16"/>
                            </w:rPr>
                            <w:t xml:space="preserve"> CONDENSADAS</w:t>
                          </w:r>
                        </w:p>
                        <w:p w14:paraId="140BF94A" w14:textId="77777777" w:rsidR="00785634" w:rsidRPr="00906659" w:rsidRDefault="00785634" w:rsidP="00785634">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2A674308" w14:textId="77777777" w:rsidR="00785634" w:rsidRPr="00906659" w:rsidRDefault="00785634" w:rsidP="00785634">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20B254" id="_x0000_t202" coordsize="21600,21600" o:spt="202" path="m,l,21600r21600,l21600,xe">
              <v:stroke joinstyle="miter"/>
              <v:path gradientshapeok="t" o:connecttype="rect"/>
            </v:shapetype>
            <v:shape id="Caixa de Texto 1612978656" o:spid="_x0000_s1043" type="#_x0000_t202" style="position:absolute;margin-left:-37.15pt;margin-top:24.75pt;width:532.5pt;height:44.25pt;z-index:2516583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" filled="f" stroked="f" strokeweight=".5pt">
              <v:textbox>
                <w:txbxContent>
                  <w:p w14:paraId="57633598" w14:textId="77777777" w:rsidR="00785634" w:rsidRPr="00906659" w:rsidRDefault="00785634" w:rsidP="00785634">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 xml:space="preserve">EMONSTRAÇÕES CONTÁBEIS </w:t>
                    </w:r>
                    <w:r>
                      <w:rPr>
                        <w:rFonts w:ascii="CAIXA Std Book" w:hAnsi="CAIXA Std Book"/>
                        <w:color w:val="FFFFFF" w:themeColor="background1"/>
                        <w:sz w:val="16"/>
                        <w:szCs w:val="16"/>
                      </w:rPr>
                      <w:t xml:space="preserve">INTERMEDIÁRIAS </w:t>
                    </w:r>
                    <w:r w:rsidRPr="00906659">
                      <w:rPr>
                        <w:rFonts w:ascii="CAIXA Std Book" w:hAnsi="CAIXA Std Book"/>
                        <w:color w:val="FFFFFF" w:themeColor="background1"/>
                        <w:sz w:val="16"/>
                        <w:szCs w:val="16"/>
                      </w:rPr>
                      <w:t>INDIVIDUAIS E CONSOLIDADAS</w:t>
                    </w:r>
                    <w:r>
                      <w:rPr>
                        <w:rFonts w:ascii="CAIXA Std Book" w:hAnsi="CAIXA Std Book"/>
                        <w:color w:val="FFFFFF" w:themeColor="background1"/>
                        <w:sz w:val="16"/>
                        <w:szCs w:val="16"/>
                      </w:rPr>
                      <w:t xml:space="preserve"> CONDENSADAS</w:t>
                    </w:r>
                  </w:p>
                  <w:p w14:paraId="140BF94A" w14:textId="77777777" w:rsidR="00785634" w:rsidRPr="00906659" w:rsidRDefault="00785634" w:rsidP="00785634">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2A674308" w14:textId="77777777" w:rsidR="00785634" w:rsidRPr="00906659" w:rsidRDefault="00785634" w:rsidP="00785634">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Pr>
        <w:noProof/>
      </w:rPr>
      <w:drawing>
        <wp:anchor distT="0" distB="0" distL="114300" distR="114300" simplePos="0" relativeHeight="251658340" behindDoc="1" locked="0" layoutInCell="1" allowOverlap="1" wp14:anchorId="3993FB98" wp14:editId="7D27BFCC">
          <wp:simplePos x="0" y="0"/>
          <wp:positionH relativeFrom="column">
            <wp:posOffset>-925830</wp:posOffset>
          </wp:positionH>
          <wp:positionV relativeFrom="page">
            <wp:posOffset>-25400</wp:posOffset>
          </wp:positionV>
          <wp:extent cx="10701020" cy="1066800"/>
          <wp:effectExtent l="0" t="0" r="5080" b="0"/>
          <wp:wrapNone/>
          <wp:docPr id="1625804427" name="Imagem 1625804427"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701020" cy="1066800"/>
                  </a:xfrm>
                  <a:prstGeom prst="rect">
                    <a:avLst/>
                  </a:prstGeom>
                </pic:spPr>
              </pic:pic>
            </a:graphicData>
          </a:graphic>
          <wp14:sizeRelH relativeFrom="page">
            <wp14:pctWidth>0</wp14:pctWidth>
          </wp14:sizeRelH>
          <wp14:sizeRelV relativeFrom="page">
            <wp14:pctHeight>0</wp14:pctHeight>
          </wp14:sizeRelV>
        </wp:anchor>
      </w:drawing>
    </w:r>
  </w:p>
  <w:p w14:paraId="3A3BE5A5" w14:textId="18C46F63" w:rsidR="00785634" w:rsidRDefault="00785634" w:rsidP="00785634">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F521CA" w14:textId="77777777" w:rsidR="00BD7D05" w:rsidRDefault="00BD7D05" w:rsidP="008912FE"/>
  <w:p w14:paraId="56941E14" w14:textId="5C7A212A" w:rsidR="008912FE" w:rsidRDefault="007D3E17" w:rsidP="008912FE">
    <w:r>
      <w:rPr>
        <w:noProof/>
      </w:rPr>
      <mc:AlternateContent>
        <mc:Choice Requires="wps">
          <w:drawing>
            <wp:anchor distT="0" distB="0" distL="114300" distR="114300" simplePos="0" relativeHeight="251658277" behindDoc="0" locked="0" layoutInCell="1" allowOverlap="1" wp14:anchorId="151E6F4E" wp14:editId="510837BF">
              <wp:simplePos x="0" y="0"/>
              <wp:positionH relativeFrom="margin">
                <wp:posOffset>-468916</wp:posOffset>
              </wp:positionH>
              <wp:positionV relativeFrom="page">
                <wp:posOffset>205483</wp:posOffset>
              </wp:positionV>
              <wp:extent cx="5167901" cy="622300"/>
              <wp:effectExtent l="0" t="0" r="0" b="6350"/>
              <wp:wrapNone/>
              <wp:docPr id="1628416208" name="Caixa de Texto 1628416208"/>
              <wp:cNvGraphicFramePr/>
              <a:graphic xmlns:a="http://schemas.openxmlformats.org/drawingml/2006/main">
                <a:graphicData uri="http://schemas.microsoft.com/office/word/2010/wordprocessingShape">
                  <wps:wsp>
                    <wps:cNvSpPr txBox="1"/>
                    <wps:spPr>
                      <a:xfrm>
                        <a:off x="0" y="0"/>
                        <a:ext cx="5167901" cy="622300"/>
                      </a:xfrm>
                      <a:prstGeom prst="rect">
                        <a:avLst/>
                      </a:prstGeom>
                      <a:noFill/>
                      <a:ln w="6350">
                        <a:noFill/>
                      </a:ln>
                    </wps:spPr>
                    <wps:txbx>
                      <w:txbxContent>
                        <w:p w14:paraId="2C26AA2E" w14:textId="6D905B4B" w:rsidR="00C93338" w:rsidRPr="00906659" w:rsidRDefault="00C93338" w:rsidP="00C93338">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sidR="00DE2124" w:rsidRPr="00DE2124">
                            <w:t xml:space="preserve"> </w:t>
                          </w:r>
                          <w:r w:rsidR="00DE2124" w:rsidRPr="00DE2124">
                            <w:rPr>
                              <w:rFonts w:ascii="CAIXA Std Book" w:hAnsi="CAIXA Std Book"/>
                              <w:color w:val="FFFFFF" w:themeColor="background1"/>
                              <w:sz w:val="16"/>
                              <w:szCs w:val="16"/>
                            </w:rPr>
                            <w:t>INTERMEDIÁRIAS</w:t>
                          </w:r>
                          <w:r w:rsidRPr="00906659">
                            <w:rPr>
                              <w:rFonts w:ascii="CAIXA Std Book" w:hAnsi="CAIXA Std Book"/>
                              <w:color w:val="FFFFFF" w:themeColor="background1"/>
                              <w:sz w:val="16"/>
                              <w:szCs w:val="16"/>
                            </w:rPr>
                            <w:t xml:space="preserve"> INDIVIDUAIS E CONSOLIDADAS</w:t>
                          </w:r>
                          <w:r w:rsidR="007D3E17">
                            <w:rPr>
                              <w:rFonts w:ascii="CAIXA Std Book" w:hAnsi="CAIXA Std Book"/>
                              <w:color w:val="FFFFFF" w:themeColor="background1"/>
                              <w:sz w:val="16"/>
                              <w:szCs w:val="16"/>
                            </w:rPr>
                            <w:t xml:space="preserve"> CONDENSADAS</w:t>
                          </w:r>
                        </w:p>
                        <w:p w14:paraId="625B63B3" w14:textId="77777777" w:rsidR="00C93338" w:rsidRPr="00906659" w:rsidRDefault="00C93338" w:rsidP="00C93338">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670CC4AF" w14:textId="77777777" w:rsidR="00C93338" w:rsidRPr="00906659" w:rsidRDefault="00C93338" w:rsidP="00C93338">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1E6F4E" id="_x0000_t202" coordsize="21600,21600" o:spt="202" path="m,l,21600r21600,l21600,xe">
              <v:stroke joinstyle="miter"/>
              <v:path gradientshapeok="t" o:connecttype="rect"/>
            </v:shapetype>
            <v:shape id="Caixa de Texto 1628416208" o:spid="_x0000_s1027" type="#_x0000_t202" style="position:absolute;margin-left:-36.9pt;margin-top:16.2pt;width:406.9pt;height:49pt;z-index:25165827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" filled="f" stroked="f" strokeweight=".5pt">
              <v:textbox>
                <w:txbxContent>
                  <w:p w14:paraId="2C26AA2E" w14:textId="6D905B4B" w:rsidR="00C93338" w:rsidRPr="00906659" w:rsidRDefault="00C93338" w:rsidP="00C93338">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sidR="00DE2124" w:rsidRPr="00DE2124">
                      <w:t xml:space="preserve"> </w:t>
                    </w:r>
                    <w:r w:rsidR="00DE2124" w:rsidRPr="00DE2124">
                      <w:rPr>
                        <w:rFonts w:ascii="CAIXA Std Book" w:hAnsi="CAIXA Std Book"/>
                        <w:color w:val="FFFFFF" w:themeColor="background1"/>
                        <w:sz w:val="16"/>
                        <w:szCs w:val="16"/>
                      </w:rPr>
                      <w:t>INTERMEDIÁRIAS</w:t>
                    </w:r>
                    <w:r w:rsidRPr="00906659">
                      <w:rPr>
                        <w:rFonts w:ascii="CAIXA Std Book" w:hAnsi="CAIXA Std Book"/>
                        <w:color w:val="FFFFFF" w:themeColor="background1"/>
                        <w:sz w:val="16"/>
                        <w:szCs w:val="16"/>
                      </w:rPr>
                      <w:t xml:space="preserve"> INDIVIDUAIS E CONSOLIDADAS</w:t>
                    </w:r>
                    <w:r w:rsidR="007D3E17">
                      <w:rPr>
                        <w:rFonts w:ascii="CAIXA Std Book" w:hAnsi="CAIXA Std Book"/>
                        <w:color w:val="FFFFFF" w:themeColor="background1"/>
                        <w:sz w:val="16"/>
                        <w:szCs w:val="16"/>
                      </w:rPr>
                      <w:t xml:space="preserve"> CONDENSADAS</w:t>
                    </w:r>
                  </w:p>
                  <w:p w14:paraId="625B63B3" w14:textId="77777777" w:rsidR="00C93338" w:rsidRPr="00906659" w:rsidRDefault="00C93338" w:rsidP="00C93338">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670CC4AF" w14:textId="77777777" w:rsidR="00C93338" w:rsidRPr="00906659" w:rsidRDefault="00C93338" w:rsidP="00C93338">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sidR="00C93338">
      <w:rPr>
        <w:noProof/>
      </w:rPr>
      <w:drawing>
        <wp:anchor distT="0" distB="0" distL="114300" distR="114300" simplePos="0" relativeHeight="251658242" behindDoc="1" locked="0" layoutInCell="1" allowOverlap="1" wp14:anchorId="38CBDFB2" wp14:editId="005190ED">
          <wp:simplePos x="0" y="0"/>
          <wp:positionH relativeFrom="column">
            <wp:posOffset>-922020</wp:posOffset>
          </wp:positionH>
          <wp:positionV relativeFrom="page">
            <wp:posOffset>8890</wp:posOffset>
          </wp:positionV>
          <wp:extent cx="7577455" cy="944245"/>
          <wp:effectExtent l="0" t="0" r="4445" b="8255"/>
          <wp:wrapNone/>
          <wp:docPr id="1749431593" name="Imagem 1749431593"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r w:rsidR="00C93338">
      <w:rPr>
        <w:noProof/>
      </w:rPr>
      <w:drawing>
        <wp:anchor distT="0" distB="0" distL="114300" distR="114300" simplePos="0" relativeHeight="251658241" behindDoc="1" locked="0" layoutInCell="1" allowOverlap="1" wp14:anchorId="058B3A87" wp14:editId="305C8EB1">
          <wp:simplePos x="0" y="0"/>
          <wp:positionH relativeFrom="column">
            <wp:posOffset>-922020</wp:posOffset>
          </wp:positionH>
          <wp:positionV relativeFrom="page">
            <wp:posOffset>8890</wp:posOffset>
          </wp:positionV>
          <wp:extent cx="7577455" cy="944245"/>
          <wp:effectExtent l="0" t="0" r="4445" b="8255"/>
          <wp:wrapNone/>
          <wp:docPr id="1380617448" name="Imagem 1380617448"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327B5" w14:textId="77777777" w:rsidR="00785634" w:rsidRPr="006907F6" w:rsidRDefault="00785634" w:rsidP="00785634">
    <w:r>
      <w:rPr>
        <w:noProof/>
      </w:rPr>
      <mc:AlternateContent>
        <mc:Choice Requires="wps">
          <w:drawing>
            <wp:anchor distT="0" distB="0" distL="114300" distR="114300" simplePos="0" relativeHeight="251658348" behindDoc="0" locked="0" layoutInCell="1" allowOverlap="1" wp14:anchorId="47A6EE2F" wp14:editId="6A0C5D4F">
              <wp:simplePos x="0" y="0"/>
              <wp:positionH relativeFrom="margin">
                <wp:posOffset>-471805</wp:posOffset>
              </wp:positionH>
              <wp:positionV relativeFrom="page">
                <wp:posOffset>200025</wp:posOffset>
              </wp:positionV>
              <wp:extent cx="6181725" cy="622300"/>
              <wp:effectExtent l="0" t="0" r="0" b="6350"/>
              <wp:wrapNone/>
              <wp:docPr id="319199845" name="Caixa de Texto 319199845"/>
              <wp:cNvGraphicFramePr/>
              <a:graphic xmlns:a="http://schemas.openxmlformats.org/drawingml/2006/main">
                <a:graphicData uri="http://schemas.microsoft.com/office/word/2010/wordprocessingShape">
                  <wps:wsp>
                    <wps:cNvSpPr txBox="1"/>
                    <wps:spPr>
                      <a:xfrm>
                        <a:off x="0" y="0"/>
                        <a:ext cx="6181725" cy="622300"/>
                      </a:xfrm>
                      <a:prstGeom prst="rect">
                        <a:avLst/>
                      </a:prstGeom>
                      <a:noFill/>
                      <a:ln w="6350">
                        <a:noFill/>
                      </a:ln>
                    </wps:spPr>
                    <wps:txbx>
                      <w:txbxContent>
                        <w:p w14:paraId="043F01AF" w14:textId="77777777" w:rsidR="00785634" w:rsidRPr="00906659" w:rsidRDefault="00785634" w:rsidP="00785634">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003058B4" w14:textId="77777777" w:rsidR="00785634" w:rsidRPr="00906659" w:rsidRDefault="00785634" w:rsidP="00785634">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59C79D1C" w14:textId="77777777" w:rsidR="00785634" w:rsidRPr="00906659" w:rsidRDefault="00785634" w:rsidP="00785634">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A6EE2F" id="_x0000_t202" coordsize="21600,21600" o:spt="202" path="m,l,21600r21600,l21600,xe">
              <v:stroke joinstyle="miter"/>
              <v:path gradientshapeok="t" o:connecttype="rect"/>
            </v:shapetype>
            <v:shape id="Caixa de Texto 319199845" o:spid="_x0000_s1044" type="#_x0000_t202" style="position:absolute;margin-left:-37.15pt;margin-top:15.75pt;width:486.75pt;height:49pt;z-index:25165834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" filled="f" stroked="f" strokeweight=".5pt">
              <v:textbox>
                <w:txbxContent>
                  <w:p w14:paraId="043F01AF" w14:textId="77777777" w:rsidR="00785634" w:rsidRPr="00906659" w:rsidRDefault="00785634" w:rsidP="00785634">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003058B4" w14:textId="77777777" w:rsidR="00785634" w:rsidRPr="00906659" w:rsidRDefault="00785634" w:rsidP="00785634">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59C79D1C" w14:textId="77777777" w:rsidR="00785634" w:rsidRPr="00906659" w:rsidRDefault="00785634" w:rsidP="00785634">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Pr>
        <w:noProof/>
      </w:rPr>
      <w:drawing>
        <wp:anchor distT="0" distB="0" distL="114300" distR="114300" simplePos="0" relativeHeight="251658349" behindDoc="1" locked="0" layoutInCell="1" allowOverlap="1" wp14:anchorId="7764908A" wp14:editId="6809ED19">
          <wp:simplePos x="0" y="0"/>
          <wp:positionH relativeFrom="column">
            <wp:posOffset>-922020</wp:posOffset>
          </wp:positionH>
          <wp:positionV relativeFrom="page">
            <wp:posOffset>8890</wp:posOffset>
          </wp:positionV>
          <wp:extent cx="7577455" cy="944245"/>
          <wp:effectExtent l="0" t="0" r="4445" b="8255"/>
          <wp:wrapNone/>
          <wp:docPr id="1345963790" name="Imagem 1345963790"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350" behindDoc="1" locked="0" layoutInCell="1" allowOverlap="1" wp14:anchorId="5FD9D8BB" wp14:editId="435C796A">
          <wp:simplePos x="0" y="0"/>
          <wp:positionH relativeFrom="column">
            <wp:posOffset>-922020</wp:posOffset>
          </wp:positionH>
          <wp:positionV relativeFrom="page">
            <wp:posOffset>8890</wp:posOffset>
          </wp:positionV>
          <wp:extent cx="7577455" cy="944245"/>
          <wp:effectExtent l="0" t="0" r="4445" b="8255"/>
          <wp:wrapNone/>
          <wp:docPr id="1516481879" name="Imagem 1516481879"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p>
  <w:p w14:paraId="7A7723D7" w14:textId="77777777" w:rsidR="00785634" w:rsidRPr="00F82438" w:rsidRDefault="00785634" w:rsidP="00785634">
    <w:pPr>
      <w:pStyle w:val="Cabealho"/>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D1DA1A" w14:textId="42F1E9EE" w:rsidR="00785634" w:rsidRDefault="00785634" w:rsidP="00785634">
    <w:r>
      <w:rPr>
        <w:noProof/>
      </w:rPr>
      <mc:AlternateContent>
        <mc:Choice Requires="wps">
          <w:drawing>
            <wp:anchor distT="0" distB="0" distL="114300" distR="114300" simplePos="0" relativeHeight="251658338" behindDoc="0" locked="0" layoutInCell="1" allowOverlap="1" wp14:anchorId="35402D52" wp14:editId="7A175FC7">
              <wp:simplePos x="0" y="0"/>
              <wp:positionH relativeFrom="margin">
                <wp:posOffset>-471806</wp:posOffset>
              </wp:positionH>
              <wp:positionV relativeFrom="page">
                <wp:posOffset>314325</wp:posOffset>
              </wp:positionV>
              <wp:extent cx="6448425" cy="622300"/>
              <wp:effectExtent l="0" t="0" r="0" b="6350"/>
              <wp:wrapNone/>
              <wp:docPr id="727755483" name="Caixa de Texto 727755483"/>
              <wp:cNvGraphicFramePr/>
              <a:graphic xmlns:a="http://schemas.openxmlformats.org/drawingml/2006/main">
                <a:graphicData uri="http://schemas.microsoft.com/office/word/2010/wordprocessingShape">
                  <wps:wsp>
                    <wps:cNvSpPr txBox="1"/>
                    <wps:spPr>
                      <a:xfrm>
                        <a:off x="0" y="0"/>
                        <a:ext cx="6448425" cy="622300"/>
                      </a:xfrm>
                      <a:prstGeom prst="rect">
                        <a:avLst/>
                      </a:prstGeom>
                      <a:noFill/>
                      <a:ln w="6350">
                        <a:noFill/>
                      </a:ln>
                    </wps:spPr>
                    <wps:txbx>
                      <w:txbxContent>
                        <w:p w14:paraId="7FF85BB8" w14:textId="77777777" w:rsidR="00785634" w:rsidRPr="00906659" w:rsidRDefault="00785634" w:rsidP="00785634">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75E3AEC8" w14:textId="77777777" w:rsidR="00785634" w:rsidRPr="00906659" w:rsidRDefault="00785634" w:rsidP="00785634">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3AB5221F" w14:textId="77777777" w:rsidR="00785634" w:rsidRPr="00906659" w:rsidRDefault="00785634" w:rsidP="00785634">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402D52" id="_x0000_t202" coordsize="21600,21600" o:spt="202" path="m,l,21600r21600,l21600,xe">
              <v:stroke joinstyle="miter"/>
              <v:path gradientshapeok="t" o:connecttype="rect"/>
            </v:shapetype>
            <v:shape id="Caixa de Texto 727755483" o:spid="_x0000_s1045" type="#_x0000_t202" style="position:absolute;margin-left:-37.15pt;margin-top:24.75pt;width:507.75pt;height:49pt;z-index:25165833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" filled="f" stroked="f" strokeweight=".5pt">
              <v:textbox>
                <w:txbxContent>
                  <w:p w14:paraId="7FF85BB8" w14:textId="77777777" w:rsidR="00785634" w:rsidRPr="00906659" w:rsidRDefault="00785634" w:rsidP="00785634">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75E3AEC8" w14:textId="77777777" w:rsidR="00785634" w:rsidRPr="00906659" w:rsidRDefault="00785634" w:rsidP="00785634">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3AB5221F" w14:textId="77777777" w:rsidR="00785634" w:rsidRPr="00906659" w:rsidRDefault="00785634" w:rsidP="00785634">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Pr>
        <w:noProof/>
      </w:rPr>
      <w:drawing>
        <wp:anchor distT="0" distB="0" distL="114300" distR="114300" simplePos="0" relativeHeight="251658339" behindDoc="1" locked="0" layoutInCell="1" allowOverlap="1" wp14:anchorId="6DC24FF3" wp14:editId="52820474">
          <wp:simplePos x="0" y="0"/>
          <wp:positionH relativeFrom="column">
            <wp:posOffset>-1136404</wp:posOffset>
          </wp:positionH>
          <wp:positionV relativeFrom="page">
            <wp:posOffset>-29497</wp:posOffset>
          </wp:positionV>
          <wp:extent cx="10923270" cy="1076632"/>
          <wp:effectExtent l="0" t="0" r="0" b="9525"/>
          <wp:wrapNone/>
          <wp:docPr id="2129566220" name="Imagem 2129566220"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936768" cy="107796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337" behindDoc="1" locked="0" layoutInCell="1" allowOverlap="1" wp14:anchorId="60F1B4A0" wp14:editId="33AB39D7">
          <wp:simplePos x="0" y="0"/>
          <wp:positionH relativeFrom="column">
            <wp:posOffset>-1026795</wp:posOffset>
          </wp:positionH>
          <wp:positionV relativeFrom="page">
            <wp:posOffset>7617460</wp:posOffset>
          </wp:positionV>
          <wp:extent cx="10050780" cy="1038860"/>
          <wp:effectExtent l="0" t="0" r="7620" b="8890"/>
          <wp:wrapNone/>
          <wp:docPr id="785565039" name="Imagem 785565039"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050780" cy="1038860"/>
                  </a:xfrm>
                  <a:prstGeom prst="rect">
                    <a:avLst/>
                  </a:prstGeom>
                </pic:spPr>
              </pic:pic>
            </a:graphicData>
          </a:graphic>
          <wp14:sizeRelH relativeFrom="page">
            <wp14:pctWidth>0</wp14:pctWidth>
          </wp14:sizeRelH>
          <wp14:sizeRelV relativeFrom="page">
            <wp14:pctHeight>0</wp14:pctHeight>
          </wp14:sizeRelV>
        </wp:anchor>
      </w:drawing>
    </w:r>
  </w:p>
  <w:p w14:paraId="12CD7D89" w14:textId="558F372E" w:rsidR="00785634" w:rsidRDefault="00785634" w:rsidP="00785634">
    <w:pPr>
      <w:pStyle w:val="Cabealho"/>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D5BB96" w14:textId="77777777" w:rsidR="00DB1FE4" w:rsidRDefault="001D6ACB">
    <w:pPr>
      <w:pStyle w:val="Cabealho"/>
    </w:pPr>
    <w:r>
      <w:rPr>
        <w:noProof/>
      </w:rPr>
      <w:drawing>
        <wp:anchor distT="0" distB="0" distL="114300" distR="114300" simplePos="0" relativeHeight="251658298" behindDoc="1" locked="0" layoutInCell="1" allowOverlap="1" wp14:anchorId="542DEAC4" wp14:editId="62B7E263">
          <wp:simplePos x="0" y="0"/>
          <wp:positionH relativeFrom="column">
            <wp:posOffset>-1268730</wp:posOffset>
          </wp:positionH>
          <wp:positionV relativeFrom="paragraph">
            <wp:posOffset>-745491</wp:posOffset>
          </wp:positionV>
          <wp:extent cx="7645400" cy="829949"/>
          <wp:effectExtent l="0" t="0" r="0" b="8255"/>
          <wp:wrapNone/>
          <wp:docPr id="1736940564" name="Imagem 1736940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82487" cy="833975"/>
                  </a:xfrm>
                  <a:prstGeom prst="rect">
                    <a:avLst/>
                  </a:prstGeom>
                  <a:noFill/>
                  <a:ln>
                    <a:noFill/>
                  </a:ln>
                </pic:spPr>
              </pic:pic>
            </a:graphicData>
          </a:graphic>
          <wp14:sizeRelH relativeFrom="page">
            <wp14:pctWidth>0</wp14:pctWidth>
          </wp14:sizeRelH>
          <wp14:sizeRelV relativeFrom="page">
            <wp14:pctHeight>0</wp14:pctHeight>
          </wp14:sizeRelV>
        </wp:anchor>
      </w:drawing>
    </w:r>
    <w:r w:rsidR="00053C47">
      <w:rPr>
        <w:noProof/>
        <w:szCs w:val="24"/>
      </w:rPr>
      <mc:AlternateContent>
        <mc:Choice Requires="wps">
          <w:drawing>
            <wp:anchor distT="0" distB="0" distL="114300" distR="114300" simplePos="0" relativeHeight="251658240" behindDoc="0" locked="0" layoutInCell="1" allowOverlap="1" wp14:anchorId="572B2D5D" wp14:editId="5792992A">
              <wp:simplePos x="0" y="0"/>
              <wp:positionH relativeFrom="margin">
                <wp:posOffset>-571500</wp:posOffset>
              </wp:positionH>
              <wp:positionV relativeFrom="paragraph">
                <wp:posOffset>-550036</wp:posOffset>
              </wp:positionV>
              <wp:extent cx="6655242" cy="485775"/>
              <wp:effectExtent l="0" t="0" r="0" b="0"/>
              <wp:wrapNone/>
              <wp:docPr id="281625575" name="Caixa de Texto 281625575"/>
              <wp:cNvGraphicFramePr/>
              <a:graphic xmlns:a="http://schemas.openxmlformats.org/drawingml/2006/main">
                <a:graphicData uri="http://schemas.microsoft.com/office/word/2010/wordprocessingShape">
                  <wps:wsp>
                    <wps:cNvSpPr txBox="1"/>
                    <wps:spPr>
                      <a:xfrm>
                        <a:off x="0" y="0"/>
                        <a:ext cx="6655242" cy="485775"/>
                      </a:xfrm>
                      <a:prstGeom prst="rect">
                        <a:avLst/>
                      </a:prstGeom>
                      <a:noFill/>
                      <a:ln w="6350">
                        <a:noFill/>
                      </a:ln>
                    </wps:spPr>
                    <wps:txbx>
                      <w:txbxContent>
                        <w:p w14:paraId="248C737F" w14:textId="77777777" w:rsidR="00053C47" w:rsidRDefault="00053C47" w:rsidP="002E4512">
                          <w:pPr>
                            <w:rPr>
                              <w:rFonts w:ascii="Futura Lt BT" w:hAnsi="Futura Lt BT"/>
                              <w:color w:val="FFFFFF" w:themeColor="background1"/>
                              <w:sz w:val="14"/>
                              <w:szCs w:val="1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2B2D5D" id="_x0000_t202" coordsize="21600,21600" o:spt="202" path="m,l,21600r21600,l21600,xe">
              <v:stroke joinstyle="miter"/>
              <v:path gradientshapeok="t" o:connecttype="rect"/>
            </v:shapetype>
            <v:shape id="Caixa de Texto 281625575" o:spid="_x0000_s1046" type="#_x0000_t202" style="position:absolute;margin-left:-45pt;margin-top:-43.3pt;width:524.05pt;height:38.2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" filled="f" stroked="f" strokeweight=".5pt">
              <v:textbox>
                <w:txbxContent>
                  <w:p w14:paraId="248C737F" w14:textId="77777777" w:rsidR="00053C47" w:rsidRDefault="00053C47" w:rsidP="002E4512">
                    <w:pPr>
                      <w:rPr>
                        <w:rFonts w:ascii="Futura Lt BT" w:hAnsi="Futura Lt BT"/>
                        <w:color w:val="FFFFFF" w:themeColor="background1"/>
                        <w:sz w:val="14"/>
                        <w:szCs w:val="14"/>
                      </w:rPr>
                    </w:pPr>
                  </w:p>
                </w:txbxContent>
              </v:textbox>
              <w10:wrap anchorx="margin"/>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DE96B" w14:textId="77777777" w:rsidR="00C84718" w:rsidRPr="006907F6" w:rsidRDefault="00C84718" w:rsidP="00C84718">
    <w:r>
      <w:rPr>
        <w:noProof/>
      </w:rPr>
      <mc:AlternateContent>
        <mc:Choice Requires="wps">
          <w:drawing>
            <wp:anchor distT="0" distB="0" distL="114300" distR="114300" simplePos="0" relativeHeight="251658323" behindDoc="0" locked="0" layoutInCell="1" allowOverlap="1" wp14:anchorId="6944B908" wp14:editId="0C7B5395">
              <wp:simplePos x="0" y="0"/>
              <wp:positionH relativeFrom="margin">
                <wp:posOffset>-471805</wp:posOffset>
              </wp:positionH>
              <wp:positionV relativeFrom="page">
                <wp:posOffset>200025</wp:posOffset>
              </wp:positionV>
              <wp:extent cx="6181725" cy="622300"/>
              <wp:effectExtent l="0" t="0" r="0" b="6350"/>
              <wp:wrapNone/>
              <wp:docPr id="1063393372" name="Caixa de Texto 1063393372"/>
              <wp:cNvGraphicFramePr/>
              <a:graphic xmlns:a="http://schemas.openxmlformats.org/drawingml/2006/main">
                <a:graphicData uri="http://schemas.microsoft.com/office/word/2010/wordprocessingShape">
                  <wps:wsp>
                    <wps:cNvSpPr txBox="1"/>
                    <wps:spPr>
                      <a:xfrm>
                        <a:off x="0" y="0"/>
                        <a:ext cx="6181725" cy="622300"/>
                      </a:xfrm>
                      <a:prstGeom prst="rect">
                        <a:avLst/>
                      </a:prstGeom>
                      <a:noFill/>
                      <a:ln w="6350">
                        <a:noFill/>
                      </a:ln>
                    </wps:spPr>
                    <wps:txbx>
                      <w:txbxContent>
                        <w:p w14:paraId="17424284" w14:textId="77777777" w:rsidR="00C84718" w:rsidRPr="00906659" w:rsidRDefault="00C84718" w:rsidP="00C84718">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63FE7CD8" w14:textId="77777777" w:rsidR="00C84718" w:rsidRPr="00906659" w:rsidRDefault="00C84718" w:rsidP="00C84718">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350861D5" w14:textId="77777777" w:rsidR="00C84718" w:rsidRPr="00906659" w:rsidRDefault="00C84718" w:rsidP="00C84718">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44B908" id="_x0000_t202" coordsize="21600,21600" o:spt="202" path="m,l,21600r21600,l21600,xe">
              <v:stroke joinstyle="miter"/>
              <v:path gradientshapeok="t" o:connecttype="rect"/>
            </v:shapetype>
            <v:shape id="Caixa de Texto 1063393372" o:spid="_x0000_s1047" type="#_x0000_t202" style="position:absolute;margin-left:-37.15pt;margin-top:15.75pt;width:486.75pt;height:49pt;z-index:251658323;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" filled="f" stroked="f" strokeweight=".5pt">
              <v:textbox>
                <w:txbxContent>
                  <w:p w14:paraId="17424284" w14:textId="77777777" w:rsidR="00C84718" w:rsidRPr="00906659" w:rsidRDefault="00C84718" w:rsidP="00C84718">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63FE7CD8" w14:textId="77777777" w:rsidR="00C84718" w:rsidRPr="00906659" w:rsidRDefault="00C84718" w:rsidP="00C84718">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350861D5" w14:textId="77777777" w:rsidR="00C84718" w:rsidRPr="00906659" w:rsidRDefault="00C84718" w:rsidP="00C84718">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Pr>
        <w:noProof/>
      </w:rPr>
      <w:drawing>
        <wp:anchor distT="0" distB="0" distL="114300" distR="114300" simplePos="0" relativeHeight="251658324" behindDoc="1" locked="0" layoutInCell="1" allowOverlap="1" wp14:anchorId="72422F47" wp14:editId="701CA0D0">
          <wp:simplePos x="0" y="0"/>
          <wp:positionH relativeFrom="column">
            <wp:posOffset>-922020</wp:posOffset>
          </wp:positionH>
          <wp:positionV relativeFrom="page">
            <wp:posOffset>8890</wp:posOffset>
          </wp:positionV>
          <wp:extent cx="7577455" cy="944245"/>
          <wp:effectExtent l="0" t="0" r="4445" b="8255"/>
          <wp:wrapNone/>
          <wp:docPr id="246315072" name="Imagem 246315072"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325" behindDoc="1" locked="0" layoutInCell="1" allowOverlap="1" wp14:anchorId="15524CAB" wp14:editId="1153EE67">
          <wp:simplePos x="0" y="0"/>
          <wp:positionH relativeFrom="column">
            <wp:posOffset>-922020</wp:posOffset>
          </wp:positionH>
          <wp:positionV relativeFrom="page">
            <wp:posOffset>8890</wp:posOffset>
          </wp:positionV>
          <wp:extent cx="7577455" cy="944245"/>
          <wp:effectExtent l="0" t="0" r="4445" b="8255"/>
          <wp:wrapNone/>
          <wp:docPr id="1383265411" name="Imagem 1383265411"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p>
  <w:p w14:paraId="4E107AD2" w14:textId="77777777" w:rsidR="00C84718" w:rsidRPr="00F82438" w:rsidRDefault="00C84718" w:rsidP="00C84718">
    <w:pPr>
      <w:pStyle w:val="Cabealho"/>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BC6E8" w14:textId="0D255357" w:rsidR="00C84718" w:rsidRPr="006907F6" w:rsidRDefault="00C84718" w:rsidP="00C84718">
    <w:r>
      <w:rPr>
        <w:noProof/>
      </w:rPr>
      <mc:AlternateContent>
        <mc:Choice Requires="wps">
          <w:drawing>
            <wp:anchor distT="0" distB="0" distL="114300" distR="114300" simplePos="0" relativeHeight="251658320" behindDoc="0" locked="0" layoutInCell="1" allowOverlap="1" wp14:anchorId="16B11110" wp14:editId="21E85ECB">
              <wp:simplePos x="0" y="0"/>
              <wp:positionH relativeFrom="margin">
                <wp:posOffset>-471805</wp:posOffset>
              </wp:positionH>
              <wp:positionV relativeFrom="page">
                <wp:posOffset>200025</wp:posOffset>
              </wp:positionV>
              <wp:extent cx="6181725" cy="622300"/>
              <wp:effectExtent l="0" t="0" r="0" b="6350"/>
              <wp:wrapNone/>
              <wp:docPr id="1676412603" name="Caixa de Texto 1676412603"/>
              <wp:cNvGraphicFramePr/>
              <a:graphic xmlns:a="http://schemas.openxmlformats.org/drawingml/2006/main">
                <a:graphicData uri="http://schemas.microsoft.com/office/word/2010/wordprocessingShape">
                  <wps:wsp>
                    <wps:cNvSpPr txBox="1"/>
                    <wps:spPr>
                      <a:xfrm>
                        <a:off x="0" y="0"/>
                        <a:ext cx="6181725" cy="622300"/>
                      </a:xfrm>
                      <a:prstGeom prst="rect">
                        <a:avLst/>
                      </a:prstGeom>
                      <a:noFill/>
                      <a:ln w="6350">
                        <a:noFill/>
                      </a:ln>
                    </wps:spPr>
                    <wps:txbx>
                      <w:txbxContent>
                        <w:p w14:paraId="0788C76F" w14:textId="77777777" w:rsidR="00C84718" w:rsidRPr="00906659" w:rsidRDefault="00C84718" w:rsidP="00C84718">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2557A0CD" w14:textId="77777777" w:rsidR="00C84718" w:rsidRPr="00906659" w:rsidRDefault="00C84718" w:rsidP="00C84718">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2DC0AA25" w14:textId="77777777" w:rsidR="00C84718" w:rsidRPr="00906659" w:rsidRDefault="00C84718" w:rsidP="00C84718">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B11110" id="_x0000_t202" coordsize="21600,21600" o:spt="202" path="m,l,21600r21600,l21600,xe">
              <v:stroke joinstyle="miter"/>
              <v:path gradientshapeok="t" o:connecttype="rect"/>
            </v:shapetype>
            <v:shape id="Caixa de Texto 1676412603" o:spid="_x0000_s1048" type="#_x0000_t202" style="position:absolute;margin-left:-37.15pt;margin-top:15.75pt;width:486.75pt;height:49pt;z-index:2516583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" filled="f" stroked="f" strokeweight=".5pt">
              <v:textbox>
                <w:txbxContent>
                  <w:p w14:paraId="0788C76F" w14:textId="77777777" w:rsidR="00C84718" w:rsidRPr="00906659" w:rsidRDefault="00C84718" w:rsidP="00C84718">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2557A0CD" w14:textId="77777777" w:rsidR="00C84718" w:rsidRPr="00906659" w:rsidRDefault="00C84718" w:rsidP="00C84718">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2DC0AA25" w14:textId="77777777" w:rsidR="00C84718" w:rsidRPr="00906659" w:rsidRDefault="00C84718" w:rsidP="00C84718">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Pr>
        <w:noProof/>
      </w:rPr>
      <w:drawing>
        <wp:anchor distT="0" distB="0" distL="114300" distR="114300" simplePos="0" relativeHeight="251658319" behindDoc="1" locked="0" layoutInCell="1" allowOverlap="1" wp14:anchorId="6A894C43" wp14:editId="303FA139">
          <wp:simplePos x="0" y="0"/>
          <wp:positionH relativeFrom="column">
            <wp:posOffset>-922020</wp:posOffset>
          </wp:positionH>
          <wp:positionV relativeFrom="page">
            <wp:posOffset>8890</wp:posOffset>
          </wp:positionV>
          <wp:extent cx="7577455" cy="944245"/>
          <wp:effectExtent l="0" t="0" r="4445" b="8255"/>
          <wp:wrapNone/>
          <wp:docPr id="865897078" name="Imagem 865897078"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318" behindDoc="1" locked="0" layoutInCell="1" allowOverlap="1" wp14:anchorId="1418DD5A" wp14:editId="18F090C7">
          <wp:simplePos x="0" y="0"/>
          <wp:positionH relativeFrom="column">
            <wp:posOffset>-922020</wp:posOffset>
          </wp:positionH>
          <wp:positionV relativeFrom="page">
            <wp:posOffset>8890</wp:posOffset>
          </wp:positionV>
          <wp:extent cx="7577455" cy="944245"/>
          <wp:effectExtent l="0" t="0" r="4445" b="8255"/>
          <wp:wrapNone/>
          <wp:docPr id="589262055" name="Imagem 589262055"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p>
  <w:p w14:paraId="1DC03ED9" w14:textId="73DE6408" w:rsidR="00C84718" w:rsidRPr="00F82438" w:rsidRDefault="00C84718" w:rsidP="00C84718">
    <w:pPr>
      <w:pStyle w:val="Cabealho"/>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A8EF9" w14:textId="77777777" w:rsidR="00C84718" w:rsidRDefault="00C84718" w:rsidP="00C84718">
    <w:r>
      <w:rPr>
        <w:noProof/>
      </w:rPr>
      <mc:AlternateContent>
        <mc:Choice Requires="wps">
          <w:drawing>
            <wp:anchor distT="0" distB="0" distL="114300" distR="114300" simplePos="0" relativeHeight="251658326" behindDoc="0" locked="0" layoutInCell="1" allowOverlap="1" wp14:anchorId="197EE0CC" wp14:editId="3382BDCA">
              <wp:simplePos x="0" y="0"/>
              <wp:positionH relativeFrom="margin">
                <wp:posOffset>-471806</wp:posOffset>
              </wp:positionH>
              <wp:positionV relativeFrom="page">
                <wp:posOffset>314325</wp:posOffset>
              </wp:positionV>
              <wp:extent cx="6448425" cy="622300"/>
              <wp:effectExtent l="0" t="0" r="0" b="6350"/>
              <wp:wrapNone/>
              <wp:docPr id="534455519" name="Caixa de Texto 534455519"/>
              <wp:cNvGraphicFramePr/>
              <a:graphic xmlns:a="http://schemas.openxmlformats.org/drawingml/2006/main">
                <a:graphicData uri="http://schemas.microsoft.com/office/word/2010/wordprocessingShape">
                  <wps:wsp>
                    <wps:cNvSpPr txBox="1"/>
                    <wps:spPr>
                      <a:xfrm>
                        <a:off x="0" y="0"/>
                        <a:ext cx="6448425" cy="622300"/>
                      </a:xfrm>
                      <a:prstGeom prst="rect">
                        <a:avLst/>
                      </a:prstGeom>
                      <a:noFill/>
                      <a:ln w="6350">
                        <a:noFill/>
                      </a:ln>
                    </wps:spPr>
                    <wps:txbx>
                      <w:txbxContent>
                        <w:p w14:paraId="054D437B" w14:textId="77777777" w:rsidR="00C84718" w:rsidRPr="00906659" w:rsidRDefault="00C84718" w:rsidP="00C84718">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00227EB5" w14:textId="77777777" w:rsidR="00C84718" w:rsidRPr="00906659" w:rsidRDefault="00C84718" w:rsidP="00C84718">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4663A1FF" w14:textId="77777777" w:rsidR="00C84718" w:rsidRPr="00906659" w:rsidRDefault="00C84718" w:rsidP="00C84718">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7EE0CC" id="_x0000_t202" coordsize="21600,21600" o:spt="202" path="m,l,21600r21600,l21600,xe">
              <v:stroke joinstyle="miter"/>
              <v:path gradientshapeok="t" o:connecttype="rect"/>
            </v:shapetype>
            <v:shape id="Caixa de Texto 534455519" o:spid="_x0000_s1049" type="#_x0000_t202" style="position:absolute;margin-left:-37.15pt;margin-top:24.75pt;width:507.75pt;height:49pt;z-index:25165832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" filled="f" stroked="f" strokeweight=".5pt">
              <v:textbox>
                <w:txbxContent>
                  <w:p w14:paraId="054D437B" w14:textId="77777777" w:rsidR="00C84718" w:rsidRPr="00906659" w:rsidRDefault="00C84718" w:rsidP="00C84718">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00227EB5" w14:textId="77777777" w:rsidR="00C84718" w:rsidRPr="00906659" w:rsidRDefault="00C84718" w:rsidP="00C84718">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4663A1FF" w14:textId="77777777" w:rsidR="00C84718" w:rsidRPr="00906659" w:rsidRDefault="00C84718" w:rsidP="00C84718">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Pr>
        <w:noProof/>
      </w:rPr>
      <w:drawing>
        <wp:anchor distT="0" distB="0" distL="114300" distR="114300" simplePos="0" relativeHeight="251658327" behindDoc="1" locked="0" layoutInCell="1" allowOverlap="1" wp14:anchorId="39B7CA65" wp14:editId="5ADC60A1">
          <wp:simplePos x="0" y="0"/>
          <wp:positionH relativeFrom="column">
            <wp:posOffset>-1136404</wp:posOffset>
          </wp:positionH>
          <wp:positionV relativeFrom="page">
            <wp:posOffset>-29497</wp:posOffset>
          </wp:positionV>
          <wp:extent cx="10923270" cy="1076632"/>
          <wp:effectExtent l="0" t="0" r="0" b="9525"/>
          <wp:wrapNone/>
          <wp:docPr id="344686457" name="Imagem 344686457"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936768" cy="107796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328" behindDoc="1" locked="0" layoutInCell="1" allowOverlap="1" wp14:anchorId="5373D575" wp14:editId="1DD0C299">
          <wp:simplePos x="0" y="0"/>
          <wp:positionH relativeFrom="column">
            <wp:posOffset>-1026795</wp:posOffset>
          </wp:positionH>
          <wp:positionV relativeFrom="page">
            <wp:posOffset>7617460</wp:posOffset>
          </wp:positionV>
          <wp:extent cx="10050780" cy="1038860"/>
          <wp:effectExtent l="0" t="0" r="7620" b="8890"/>
          <wp:wrapNone/>
          <wp:docPr id="2046413276" name="Imagem 2046413276"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050780" cy="1038860"/>
                  </a:xfrm>
                  <a:prstGeom prst="rect">
                    <a:avLst/>
                  </a:prstGeom>
                </pic:spPr>
              </pic:pic>
            </a:graphicData>
          </a:graphic>
          <wp14:sizeRelH relativeFrom="page">
            <wp14:pctWidth>0</wp14:pctWidth>
          </wp14:sizeRelH>
          <wp14:sizeRelV relativeFrom="page">
            <wp14:pctHeight>0</wp14:pctHeight>
          </wp14:sizeRelV>
        </wp:anchor>
      </w:drawing>
    </w:r>
  </w:p>
  <w:p w14:paraId="025BDECC" w14:textId="77777777" w:rsidR="00C84718" w:rsidRDefault="00C84718" w:rsidP="00C84718">
    <w:pPr>
      <w:pStyle w:val="Cabealho"/>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5B62EB" w14:textId="7C7BD844" w:rsidR="00435019" w:rsidRDefault="009E5925" w:rsidP="00435019">
    <w:r>
      <w:rPr>
        <w:noProof/>
      </w:rPr>
      <mc:AlternateContent>
        <mc:Choice Requires="wps">
          <w:drawing>
            <wp:anchor distT="0" distB="0" distL="114300" distR="114300" simplePos="0" relativeHeight="251658285" behindDoc="0" locked="0" layoutInCell="1" allowOverlap="1" wp14:anchorId="7FEE8727" wp14:editId="17F29B99">
              <wp:simplePos x="0" y="0"/>
              <wp:positionH relativeFrom="margin">
                <wp:posOffset>-471806</wp:posOffset>
              </wp:positionH>
              <wp:positionV relativeFrom="page">
                <wp:posOffset>314325</wp:posOffset>
              </wp:positionV>
              <wp:extent cx="6448425" cy="622300"/>
              <wp:effectExtent l="0" t="0" r="0" b="6350"/>
              <wp:wrapNone/>
              <wp:docPr id="344436132" name="Caixa de Texto 344436132"/>
              <wp:cNvGraphicFramePr/>
              <a:graphic xmlns:a="http://schemas.openxmlformats.org/drawingml/2006/main">
                <a:graphicData uri="http://schemas.microsoft.com/office/word/2010/wordprocessingShape">
                  <wps:wsp>
                    <wps:cNvSpPr txBox="1"/>
                    <wps:spPr>
                      <a:xfrm>
                        <a:off x="0" y="0"/>
                        <a:ext cx="6448425" cy="622300"/>
                      </a:xfrm>
                      <a:prstGeom prst="rect">
                        <a:avLst/>
                      </a:prstGeom>
                      <a:noFill/>
                      <a:ln w="6350">
                        <a:noFill/>
                      </a:ln>
                    </wps:spPr>
                    <wps:txbx>
                      <w:txbxContent>
                        <w:p w14:paraId="5E10D9D4" w14:textId="74DEBBFE" w:rsidR="00435019" w:rsidRPr="00906659" w:rsidRDefault="00435019" w:rsidP="00435019">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sidR="006176B1">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sidR="006176B1">
                            <w:rPr>
                              <w:rFonts w:ascii="CAIXA Std Book" w:hAnsi="CAIXA Std Book"/>
                              <w:color w:val="FFFFFF" w:themeColor="background1"/>
                              <w:sz w:val="16"/>
                              <w:szCs w:val="16"/>
                            </w:rPr>
                            <w:t xml:space="preserve"> </w:t>
                          </w:r>
                          <w:r w:rsidR="009E5925">
                            <w:rPr>
                              <w:rFonts w:ascii="CAIXA Std Book" w:hAnsi="CAIXA Std Book"/>
                              <w:color w:val="FFFFFF" w:themeColor="background1"/>
                              <w:sz w:val="16"/>
                              <w:szCs w:val="16"/>
                            </w:rPr>
                            <w:t>CONDENSADAS</w:t>
                          </w:r>
                        </w:p>
                        <w:p w14:paraId="47816F82" w14:textId="77777777" w:rsidR="00435019" w:rsidRPr="00906659" w:rsidRDefault="00435019" w:rsidP="00435019">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4B9FB1BB" w14:textId="77777777" w:rsidR="00435019" w:rsidRPr="00906659" w:rsidRDefault="00435019" w:rsidP="00435019">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EE8727" id="_x0000_t202" coordsize="21600,21600" o:spt="202" path="m,l,21600r21600,l21600,xe">
              <v:stroke joinstyle="miter"/>
              <v:path gradientshapeok="t" o:connecttype="rect"/>
            </v:shapetype>
            <v:shape id="Caixa de Texto 344436132" o:spid="_x0000_s1050" type="#_x0000_t202" style="position:absolute;margin-left:-37.15pt;margin-top:24.75pt;width:507.75pt;height:49pt;z-index:251658285;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" filled="f" stroked="f" strokeweight=".5pt">
              <v:textbox>
                <w:txbxContent>
                  <w:p w14:paraId="5E10D9D4" w14:textId="74DEBBFE" w:rsidR="00435019" w:rsidRPr="00906659" w:rsidRDefault="00435019" w:rsidP="00435019">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sidR="006176B1">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sidR="006176B1">
                      <w:rPr>
                        <w:rFonts w:ascii="CAIXA Std Book" w:hAnsi="CAIXA Std Book"/>
                        <w:color w:val="FFFFFF" w:themeColor="background1"/>
                        <w:sz w:val="16"/>
                        <w:szCs w:val="16"/>
                      </w:rPr>
                      <w:t xml:space="preserve"> </w:t>
                    </w:r>
                    <w:r w:rsidR="009E5925">
                      <w:rPr>
                        <w:rFonts w:ascii="CAIXA Std Book" w:hAnsi="CAIXA Std Book"/>
                        <w:color w:val="FFFFFF" w:themeColor="background1"/>
                        <w:sz w:val="16"/>
                        <w:szCs w:val="16"/>
                      </w:rPr>
                      <w:t>CONDENSADAS</w:t>
                    </w:r>
                  </w:p>
                  <w:p w14:paraId="47816F82" w14:textId="77777777" w:rsidR="00435019" w:rsidRPr="00906659" w:rsidRDefault="00435019" w:rsidP="00435019">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4B9FB1BB" w14:textId="77777777" w:rsidR="00435019" w:rsidRPr="00906659" w:rsidRDefault="00435019" w:rsidP="00435019">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sidR="00FF197F">
      <w:rPr>
        <w:noProof/>
      </w:rPr>
      <w:drawing>
        <wp:anchor distT="0" distB="0" distL="114300" distR="114300" simplePos="0" relativeHeight="251658286" behindDoc="1" locked="0" layoutInCell="1" allowOverlap="1" wp14:anchorId="2EADC821" wp14:editId="7EA6418B">
          <wp:simplePos x="0" y="0"/>
          <wp:positionH relativeFrom="column">
            <wp:posOffset>-1136404</wp:posOffset>
          </wp:positionH>
          <wp:positionV relativeFrom="page">
            <wp:posOffset>-29497</wp:posOffset>
          </wp:positionV>
          <wp:extent cx="10923270" cy="1076632"/>
          <wp:effectExtent l="0" t="0" r="0" b="9525"/>
          <wp:wrapNone/>
          <wp:docPr id="444834536" name="Imagem 444834536"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936768" cy="1077962"/>
                  </a:xfrm>
                  <a:prstGeom prst="rect">
                    <a:avLst/>
                  </a:prstGeom>
                </pic:spPr>
              </pic:pic>
            </a:graphicData>
          </a:graphic>
          <wp14:sizeRelH relativeFrom="page">
            <wp14:pctWidth>0</wp14:pctWidth>
          </wp14:sizeRelH>
          <wp14:sizeRelV relativeFrom="page">
            <wp14:pctHeight>0</wp14:pctHeight>
          </wp14:sizeRelV>
        </wp:anchor>
      </w:drawing>
    </w:r>
    <w:r w:rsidR="00C922A2">
      <w:rPr>
        <w:noProof/>
      </w:rPr>
      <w:drawing>
        <wp:anchor distT="0" distB="0" distL="114300" distR="114300" simplePos="0" relativeHeight="251658270" behindDoc="1" locked="0" layoutInCell="1" allowOverlap="1" wp14:anchorId="4CA0B7EF" wp14:editId="1E76B5FB">
          <wp:simplePos x="0" y="0"/>
          <wp:positionH relativeFrom="column">
            <wp:posOffset>-1026795</wp:posOffset>
          </wp:positionH>
          <wp:positionV relativeFrom="page">
            <wp:posOffset>7617460</wp:posOffset>
          </wp:positionV>
          <wp:extent cx="10050780" cy="1038860"/>
          <wp:effectExtent l="0" t="0" r="7620" b="8890"/>
          <wp:wrapNone/>
          <wp:docPr id="1884377990" name="Imagem 1884377990"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050780" cy="1038860"/>
                  </a:xfrm>
                  <a:prstGeom prst="rect">
                    <a:avLst/>
                  </a:prstGeom>
                </pic:spPr>
              </pic:pic>
            </a:graphicData>
          </a:graphic>
          <wp14:sizeRelH relativeFrom="page">
            <wp14:pctWidth>0</wp14:pctWidth>
          </wp14:sizeRelH>
          <wp14:sizeRelV relativeFrom="page">
            <wp14:pctHeight>0</wp14:pctHeight>
          </wp14:sizeRelV>
        </wp:anchor>
      </w:drawing>
    </w:r>
  </w:p>
  <w:p w14:paraId="2F5AA647" w14:textId="326E5D3A" w:rsidR="0063136C" w:rsidRDefault="0063136C" w:rsidP="00435019">
    <w:pPr>
      <w:pStyle w:val="Cabealho"/>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5E08E" w14:textId="77777777" w:rsidR="00C84718" w:rsidRPr="006907F6" w:rsidRDefault="00C84718" w:rsidP="00C84718">
    <w:r>
      <w:rPr>
        <w:noProof/>
      </w:rPr>
      <mc:AlternateContent>
        <mc:Choice Requires="wps">
          <w:drawing>
            <wp:anchor distT="0" distB="0" distL="114300" distR="114300" simplePos="0" relativeHeight="251658329" behindDoc="0" locked="0" layoutInCell="1" allowOverlap="1" wp14:anchorId="38C680A6" wp14:editId="32423965">
              <wp:simplePos x="0" y="0"/>
              <wp:positionH relativeFrom="margin">
                <wp:posOffset>-471806</wp:posOffset>
              </wp:positionH>
              <wp:positionV relativeFrom="page">
                <wp:posOffset>200025</wp:posOffset>
              </wp:positionV>
              <wp:extent cx="6067425" cy="485775"/>
              <wp:effectExtent l="0" t="0" r="0" b="0"/>
              <wp:wrapNone/>
              <wp:docPr id="161243291" name="Caixa de Texto 161243291"/>
              <wp:cNvGraphicFramePr/>
              <a:graphic xmlns:a="http://schemas.openxmlformats.org/drawingml/2006/main">
                <a:graphicData uri="http://schemas.microsoft.com/office/word/2010/wordprocessingShape">
                  <wps:wsp>
                    <wps:cNvSpPr txBox="1"/>
                    <wps:spPr>
                      <a:xfrm>
                        <a:off x="0" y="0"/>
                        <a:ext cx="6067425" cy="485775"/>
                      </a:xfrm>
                      <a:prstGeom prst="rect">
                        <a:avLst/>
                      </a:prstGeom>
                      <a:noFill/>
                      <a:ln w="6350">
                        <a:noFill/>
                      </a:ln>
                    </wps:spPr>
                    <wps:txbx>
                      <w:txbxContent>
                        <w:p w14:paraId="009AD8FC" w14:textId="77777777" w:rsidR="00C84718" w:rsidRPr="00906659" w:rsidRDefault="00C84718" w:rsidP="00C84718">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 xml:space="preserve">EMONSTRAÇÕES CONTÁBEIS </w:t>
                          </w:r>
                          <w:r>
                            <w:rPr>
                              <w:rFonts w:ascii="CAIXA Std Book" w:hAnsi="CAIXA Std Book"/>
                              <w:color w:val="FFFFFF" w:themeColor="background1"/>
                              <w:sz w:val="16"/>
                              <w:szCs w:val="16"/>
                            </w:rPr>
                            <w:t>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4F82FB03" w14:textId="77777777" w:rsidR="00C84718" w:rsidRPr="00906659" w:rsidRDefault="00C84718" w:rsidP="00C84718">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6EE47628" w14:textId="77777777" w:rsidR="00C84718" w:rsidRPr="00906659" w:rsidRDefault="00C84718" w:rsidP="00C84718">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C680A6" id="_x0000_t202" coordsize="21600,21600" o:spt="202" path="m,l,21600r21600,l21600,xe">
              <v:stroke joinstyle="miter"/>
              <v:path gradientshapeok="t" o:connecttype="rect"/>
            </v:shapetype>
            <v:shape id="Caixa de Texto 161243291" o:spid="_x0000_s1051" type="#_x0000_t202" style="position:absolute;margin-left:-37.15pt;margin-top:15.75pt;width:477.75pt;height:38.25pt;z-index:251658329;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" filled="f" stroked="f" strokeweight=".5pt">
              <v:textbox>
                <w:txbxContent>
                  <w:p w14:paraId="009AD8FC" w14:textId="77777777" w:rsidR="00C84718" w:rsidRPr="00906659" w:rsidRDefault="00C84718" w:rsidP="00C84718">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 xml:space="preserve">EMONSTRAÇÕES CONTÁBEIS </w:t>
                    </w:r>
                    <w:r>
                      <w:rPr>
                        <w:rFonts w:ascii="CAIXA Std Book" w:hAnsi="CAIXA Std Book"/>
                        <w:color w:val="FFFFFF" w:themeColor="background1"/>
                        <w:sz w:val="16"/>
                        <w:szCs w:val="16"/>
                      </w:rPr>
                      <w:t>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4F82FB03" w14:textId="77777777" w:rsidR="00C84718" w:rsidRPr="00906659" w:rsidRDefault="00C84718" w:rsidP="00C84718">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6EE47628" w14:textId="77777777" w:rsidR="00C84718" w:rsidRPr="00906659" w:rsidRDefault="00C84718" w:rsidP="00C84718">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Pr>
        <w:noProof/>
      </w:rPr>
      <w:drawing>
        <wp:anchor distT="0" distB="0" distL="114300" distR="114300" simplePos="0" relativeHeight="251658330" behindDoc="1" locked="0" layoutInCell="1" allowOverlap="1" wp14:anchorId="31A0B068" wp14:editId="7C9C6204">
          <wp:simplePos x="0" y="0"/>
          <wp:positionH relativeFrom="column">
            <wp:posOffset>-922020</wp:posOffset>
          </wp:positionH>
          <wp:positionV relativeFrom="page">
            <wp:posOffset>8890</wp:posOffset>
          </wp:positionV>
          <wp:extent cx="7577455" cy="944245"/>
          <wp:effectExtent l="0" t="0" r="4445" b="8255"/>
          <wp:wrapNone/>
          <wp:docPr id="1665968459" name="Imagem 1665968459"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331" behindDoc="1" locked="0" layoutInCell="1" allowOverlap="1" wp14:anchorId="1669244C" wp14:editId="5AA2405D">
          <wp:simplePos x="0" y="0"/>
          <wp:positionH relativeFrom="column">
            <wp:posOffset>-922020</wp:posOffset>
          </wp:positionH>
          <wp:positionV relativeFrom="page">
            <wp:posOffset>8890</wp:posOffset>
          </wp:positionV>
          <wp:extent cx="7577455" cy="944245"/>
          <wp:effectExtent l="0" t="0" r="4445" b="8255"/>
          <wp:wrapNone/>
          <wp:docPr id="235558131" name="Imagem 235558131"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p>
  <w:p w14:paraId="09D48387" w14:textId="77777777" w:rsidR="00C84718" w:rsidRDefault="00C84718" w:rsidP="00C84718">
    <w:pPr>
      <w:pStyle w:val="Cabealho"/>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091B2" w14:textId="3624A6A9" w:rsidR="006907F6" w:rsidRPr="006907F6" w:rsidRDefault="009E5925" w:rsidP="006907F6">
    <w:r>
      <w:rPr>
        <w:noProof/>
      </w:rPr>
      <mc:AlternateContent>
        <mc:Choice Requires="wps">
          <w:drawing>
            <wp:anchor distT="0" distB="0" distL="114300" distR="114300" simplePos="0" relativeHeight="251658288" behindDoc="0" locked="0" layoutInCell="1" allowOverlap="1" wp14:anchorId="6BD71063" wp14:editId="346C8F42">
              <wp:simplePos x="0" y="0"/>
              <wp:positionH relativeFrom="margin">
                <wp:posOffset>-471806</wp:posOffset>
              </wp:positionH>
              <wp:positionV relativeFrom="page">
                <wp:posOffset>200025</wp:posOffset>
              </wp:positionV>
              <wp:extent cx="6067425" cy="485775"/>
              <wp:effectExtent l="0" t="0" r="0" b="0"/>
              <wp:wrapNone/>
              <wp:docPr id="295340752" name="Caixa de Texto 295340752"/>
              <wp:cNvGraphicFramePr/>
              <a:graphic xmlns:a="http://schemas.openxmlformats.org/drawingml/2006/main">
                <a:graphicData uri="http://schemas.microsoft.com/office/word/2010/wordprocessingShape">
                  <wps:wsp>
                    <wps:cNvSpPr txBox="1"/>
                    <wps:spPr>
                      <a:xfrm>
                        <a:off x="0" y="0"/>
                        <a:ext cx="6067425" cy="485775"/>
                      </a:xfrm>
                      <a:prstGeom prst="rect">
                        <a:avLst/>
                      </a:prstGeom>
                      <a:noFill/>
                      <a:ln w="6350">
                        <a:noFill/>
                      </a:ln>
                    </wps:spPr>
                    <wps:txbx>
                      <w:txbxContent>
                        <w:p w14:paraId="606E6B1E" w14:textId="4C21F211" w:rsidR="006907F6" w:rsidRPr="00906659" w:rsidRDefault="006907F6" w:rsidP="006907F6">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 xml:space="preserve">EMONSTRAÇÕES CONTÁBEIS </w:t>
                          </w:r>
                          <w:r w:rsidR="00987ABB">
                            <w:rPr>
                              <w:rFonts w:ascii="CAIXA Std Book" w:hAnsi="CAIXA Std Book"/>
                              <w:color w:val="FFFFFF" w:themeColor="background1"/>
                              <w:sz w:val="16"/>
                              <w:szCs w:val="16"/>
                            </w:rPr>
                            <w:t>INTERMEDIÁRIAS</w:t>
                          </w:r>
                          <w:r w:rsidRPr="00906659">
                            <w:rPr>
                              <w:rFonts w:ascii="CAIXA Std Book" w:hAnsi="CAIXA Std Book"/>
                              <w:color w:val="FFFFFF" w:themeColor="background1"/>
                              <w:sz w:val="16"/>
                              <w:szCs w:val="16"/>
                            </w:rPr>
                            <w:t xml:space="preserve"> INDIVIDUAIS E CONSOLIDADAS</w:t>
                          </w:r>
                          <w:r w:rsidR="009E5925">
                            <w:rPr>
                              <w:rFonts w:ascii="CAIXA Std Book" w:hAnsi="CAIXA Std Book"/>
                              <w:color w:val="FFFFFF" w:themeColor="background1"/>
                              <w:sz w:val="16"/>
                              <w:szCs w:val="16"/>
                            </w:rPr>
                            <w:t xml:space="preserve"> CONDENSADAS</w:t>
                          </w:r>
                        </w:p>
                        <w:p w14:paraId="07103618" w14:textId="77777777" w:rsidR="006907F6" w:rsidRPr="00906659" w:rsidRDefault="006907F6" w:rsidP="006907F6">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13F7E22E" w14:textId="77777777" w:rsidR="006907F6" w:rsidRPr="00906659" w:rsidRDefault="006907F6" w:rsidP="006907F6">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D71063" id="_x0000_t202" coordsize="21600,21600" o:spt="202" path="m,l,21600r21600,l21600,xe">
              <v:stroke joinstyle="miter"/>
              <v:path gradientshapeok="t" o:connecttype="rect"/>
            </v:shapetype>
            <v:shape id="Caixa de Texto 295340752" o:spid="_x0000_s1052" type="#_x0000_t202" style="position:absolute;margin-left:-37.15pt;margin-top:15.75pt;width:477.75pt;height:38.25pt;z-index:2516582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" filled="f" stroked="f" strokeweight=".5pt">
              <v:textbox>
                <w:txbxContent>
                  <w:p w14:paraId="606E6B1E" w14:textId="4C21F211" w:rsidR="006907F6" w:rsidRPr="00906659" w:rsidRDefault="006907F6" w:rsidP="006907F6">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 xml:space="preserve">EMONSTRAÇÕES CONTÁBEIS </w:t>
                    </w:r>
                    <w:r w:rsidR="00987ABB">
                      <w:rPr>
                        <w:rFonts w:ascii="CAIXA Std Book" w:hAnsi="CAIXA Std Book"/>
                        <w:color w:val="FFFFFF" w:themeColor="background1"/>
                        <w:sz w:val="16"/>
                        <w:szCs w:val="16"/>
                      </w:rPr>
                      <w:t>INTERMEDIÁRIAS</w:t>
                    </w:r>
                    <w:r w:rsidRPr="00906659">
                      <w:rPr>
                        <w:rFonts w:ascii="CAIXA Std Book" w:hAnsi="CAIXA Std Book"/>
                        <w:color w:val="FFFFFF" w:themeColor="background1"/>
                        <w:sz w:val="16"/>
                        <w:szCs w:val="16"/>
                      </w:rPr>
                      <w:t xml:space="preserve"> INDIVIDUAIS E CONSOLIDADAS</w:t>
                    </w:r>
                    <w:r w:rsidR="009E5925">
                      <w:rPr>
                        <w:rFonts w:ascii="CAIXA Std Book" w:hAnsi="CAIXA Std Book"/>
                        <w:color w:val="FFFFFF" w:themeColor="background1"/>
                        <w:sz w:val="16"/>
                        <w:szCs w:val="16"/>
                      </w:rPr>
                      <w:t xml:space="preserve"> CONDENSADAS</w:t>
                    </w:r>
                  </w:p>
                  <w:p w14:paraId="07103618" w14:textId="77777777" w:rsidR="006907F6" w:rsidRPr="00906659" w:rsidRDefault="006907F6" w:rsidP="006907F6">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13F7E22E" w14:textId="77777777" w:rsidR="006907F6" w:rsidRPr="00906659" w:rsidRDefault="006907F6" w:rsidP="006907F6">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sidR="006907F6">
      <w:rPr>
        <w:noProof/>
      </w:rPr>
      <w:drawing>
        <wp:anchor distT="0" distB="0" distL="114300" distR="114300" simplePos="0" relativeHeight="251658250" behindDoc="1" locked="0" layoutInCell="1" allowOverlap="1" wp14:anchorId="4EF20E57" wp14:editId="371CEDAE">
          <wp:simplePos x="0" y="0"/>
          <wp:positionH relativeFrom="column">
            <wp:posOffset>-922020</wp:posOffset>
          </wp:positionH>
          <wp:positionV relativeFrom="page">
            <wp:posOffset>8890</wp:posOffset>
          </wp:positionV>
          <wp:extent cx="7577455" cy="944245"/>
          <wp:effectExtent l="0" t="0" r="4445" b="8255"/>
          <wp:wrapNone/>
          <wp:docPr id="1292772015" name="Imagem 1292772015"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r w:rsidR="006907F6">
      <w:rPr>
        <w:noProof/>
      </w:rPr>
      <w:drawing>
        <wp:anchor distT="0" distB="0" distL="114300" distR="114300" simplePos="0" relativeHeight="251658249" behindDoc="1" locked="0" layoutInCell="1" allowOverlap="1" wp14:anchorId="77C7FAFD" wp14:editId="4DF4BDD6">
          <wp:simplePos x="0" y="0"/>
          <wp:positionH relativeFrom="column">
            <wp:posOffset>-922020</wp:posOffset>
          </wp:positionH>
          <wp:positionV relativeFrom="page">
            <wp:posOffset>8890</wp:posOffset>
          </wp:positionV>
          <wp:extent cx="7577455" cy="944245"/>
          <wp:effectExtent l="0" t="0" r="4445" b="8255"/>
          <wp:wrapNone/>
          <wp:docPr id="747058161" name="Imagem 747058161"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p>
  <w:p w14:paraId="4C14473F" w14:textId="02910350" w:rsidR="0063136C" w:rsidRDefault="0063136C" w:rsidP="00F30D37">
    <w:pPr>
      <w:pStyle w:val="Cabealho"/>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94C387" w14:textId="77777777" w:rsidR="001E1FAE" w:rsidRDefault="001E1FAE" w:rsidP="00E47E6E"/>
  <w:p w14:paraId="4024AE8D" w14:textId="371A61E9" w:rsidR="00516901" w:rsidRDefault="009E5925" w:rsidP="00E47E6E">
    <w:r>
      <w:rPr>
        <w:noProof/>
      </w:rPr>
      <mc:AlternateContent>
        <mc:Choice Requires="wps">
          <w:drawing>
            <wp:anchor distT="0" distB="0" distL="114300" distR="114300" simplePos="0" relativeHeight="251658289" behindDoc="0" locked="0" layoutInCell="1" allowOverlap="1" wp14:anchorId="592CF998" wp14:editId="4401ADAC">
              <wp:simplePos x="0" y="0"/>
              <wp:positionH relativeFrom="margin">
                <wp:posOffset>-468352</wp:posOffset>
              </wp:positionH>
              <wp:positionV relativeFrom="page">
                <wp:posOffset>311499</wp:posOffset>
              </wp:positionV>
              <wp:extent cx="6079253" cy="622300"/>
              <wp:effectExtent l="0" t="0" r="0" b="6350"/>
              <wp:wrapNone/>
              <wp:docPr id="188158121" name="Caixa de Texto 188158121"/>
              <wp:cNvGraphicFramePr/>
              <a:graphic xmlns:a="http://schemas.openxmlformats.org/drawingml/2006/main">
                <a:graphicData uri="http://schemas.microsoft.com/office/word/2010/wordprocessingShape">
                  <wps:wsp>
                    <wps:cNvSpPr txBox="1"/>
                    <wps:spPr>
                      <a:xfrm>
                        <a:off x="0" y="0"/>
                        <a:ext cx="6079253" cy="622300"/>
                      </a:xfrm>
                      <a:prstGeom prst="rect">
                        <a:avLst/>
                      </a:prstGeom>
                      <a:noFill/>
                      <a:ln w="6350">
                        <a:noFill/>
                      </a:ln>
                    </wps:spPr>
                    <wps:txbx>
                      <w:txbxContent>
                        <w:p w14:paraId="294215D5" w14:textId="49E1B2B9" w:rsidR="00435019" w:rsidRPr="00906659" w:rsidRDefault="00435019" w:rsidP="00435019">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 xml:space="preserve">EMONSTRAÇÕES CONTÁBEIS </w:t>
                          </w:r>
                          <w:r w:rsidR="00167113">
                            <w:rPr>
                              <w:rFonts w:ascii="CAIXA Std Book" w:hAnsi="CAIXA Std Book"/>
                              <w:color w:val="FFFFFF" w:themeColor="background1"/>
                              <w:sz w:val="16"/>
                              <w:szCs w:val="16"/>
                            </w:rPr>
                            <w:t xml:space="preserve">INTERMEDIÁRIAS </w:t>
                          </w:r>
                          <w:r w:rsidRPr="00906659">
                            <w:rPr>
                              <w:rFonts w:ascii="CAIXA Std Book" w:hAnsi="CAIXA Std Book"/>
                              <w:color w:val="FFFFFF" w:themeColor="background1"/>
                              <w:sz w:val="16"/>
                              <w:szCs w:val="16"/>
                            </w:rPr>
                            <w:t>INDIVIDUAIS E CONSOLIDADAS</w:t>
                          </w:r>
                          <w:r w:rsidR="009E5925">
                            <w:rPr>
                              <w:rFonts w:ascii="CAIXA Std Book" w:hAnsi="CAIXA Std Book"/>
                              <w:color w:val="FFFFFF" w:themeColor="background1"/>
                              <w:sz w:val="16"/>
                              <w:szCs w:val="16"/>
                            </w:rPr>
                            <w:t xml:space="preserve"> CONDENSADAS</w:t>
                          </w:r>
                        </w:p>
                        <w:p w14:paraId="674C58E1" w14:textId="77777777" w:rsidR="00435019" w:rsidRPr="00906659" w:rsidRDefault="00435019" w:rsidP="00435019">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76FA9B08" w14:textId="77777777" w:rsidR="00435019" w:rsidRPr="00906659" w:rsidRDefault="00435019" w:rsidP="00435019">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2CF998" id="_x0000_t202" coordsize="21600,21600" o:spt="202" path="m,l,21600r21600,l21600,xe">
              <v:stroke joinstyle="miter"/>
              <v:path gradientshapeok="t" o:connecttype="rect"/>
            </v:shapetype>
            <v:shape id="Caixa de Texto 188158121" o:spid="_x0000_s1053" type="#_x0000_t202" style="position:absolute;margin-left:-36.9pt;margin-top:24.55pt;width:478.7pt;height:49pt;z-index:251658289;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" filled="f" stroked="f" strokeweight=".5pt">
              <v:textbox>
                <w:txbxContent>
                  <w:p w14:paraId="294215D5" w14:textId="49E1B2B9" w:rsidR="00435019" w:rsidRPr="00906659" w:rsidRDefault="00435019" w:rsidP="00435019">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 xml:space="preserve">EMONSTRAÇÕES CONTÁBEIS </w:t>
                    </w:r>
                    <w:r w:rsidR="00167113">
                      <w:rPr>
                        <w:rFonts w:ascii="CAIXA Std Book" w:hAnsi="CAIXA Std Book"/>
                        <w:color w:val="FFFFFF" w:themeColor="background1"/>
                        <w:sz w:val="16"/>
                        <w:szCs w:val="16"/>
                      </w:rPr>
                      <w:t xml:space="preserve">INTERMEDIÁRIAS </w:t>
                    </w:r>
                    <w:r w:rsidRPr="00906659">
                      <w:rPr>
                        <w:rFonts w:ascii="CAIXA Std Book" w:hAnsi="CAIXA Std Book"/>
                        <w:color w:val="FFFFFF" w:themeColor="background1"/>
                        <w:sz w:val="16"/>
                        <w:szCs w:val="16"/>
                      </w:rPr>
                      <w:t>INDIVIDUAIS E CONSOLIDADAS</w:t>
                    </w:r>
                    <w:r w:rsidR="009E5925">
                      <w:rPr>
                        <w:rFonts w:ascii="CAIXA Std Book" w:hAnsi="CAIXA Std Book"/>
                        <w:color w:val="FFFFFF" w:themeColor="background1"/>
                        <w:sz w:val="16"/>
                        <w:szCs w:val="16"/>
                      </w:rPr>
                      <w:t xml:space="preserve"> CONDENSADAS</w:t>
                    </w:r>
                  </w:p>
                  <w:p w14:paraId="674C58E1" w14:textId="77777777" w:rsidR="00435019" w:rsidRPr="00906659" w:rsidRDefault="00435019" w:rsidP="00435019">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76FA9B08" w14:textId="77777777" w:rsidR="00435019" w:rsidRPr="00906659" w:rsidRDefault="00435019" w:rsidP="00435019">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sidR="00435019">
      <w:rPr>
        <w:noProof/>
      </w:rPr>
      <w:drawing>
        <wp:anchor distT="0" distB="0" distL="114300" distR="114300" simplePos="0" relativeHeight="251658272" behindDoc="1" locked="0" layoutInCell="1" allowOverlap="1" wp14:anchorId="64DED05E" wp14:editId="52EC956B">
          <wp:simplePos x="0" y="0"/>
          <wp:positionH relativeFrom="column">
            <wp:posOffset>-925830</wp:posOffset>
          </wp:positionH>
          <wp:positionV relativeFrom="page">
            <wp:posOffset>-25400</wp:posOffset>
          </wp:positionV>
          <wp:extent cx="10701020" cy="1066800"/>
          <wp:effectExtent l="0" t="0" r="5080" b="0"/>
          <wp:wrapNone/>
          <wp:docPr id="2038523931" name="Imagem 2038523931"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701020" cy="106680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B0AC83" w14:textId="0B05710A" w:rsidR="00091962" w:rsidRDefault="00091962">
    <w:pPr>
      <w:pStyle w:val="Cabealho"/>
    </w:pPr>
  </w:p>
  <w:p w14:paraId="0EB31A5D" w14:textId="77777777" w:rsidR="00091962" w:rsidRDefault="00091962"/>
  <w:p w14:paraId="1A7A8AAA" w14:textId="023BBFA9" w:rsidR="00091962" w:rsidRDefault="00091962"/>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64BEB3" w14:textId="0A2AEA2F" w:rsidR="00435019" w:rsidRDefault="009E5925" w:rsidP="00435019">
    <w:r>
      <w:rPr>
        <w:noProof/>
      </w:rPr>
      <mc:AlternateContent>
        <mc:Choice Requires="wps">
          <w:drawing>
            <wp:anchor distT="0" distB="0" distL="114300" distR="114300" simplePos="0" relativeHeight="251658290" behindDoc="0" locked="0" layoutInCell="1" allowOverlap="1" wp14:anchorId="20C22B73" wp14:editId="1D0077E7">
              <wp:simplePos x="0" y="0"/>
              <wp:positionH relativeFrom="margin">
                <wp:posOffset>-468352</wp:posOffset>
              </wp:positionH>
              <wp:positionV relativeFrom="page">
                <wp:posOffset>311499</wp:posOffset>
              </wp:positionV>
              <wp:extent cx="6149591" cy="622300"/>
              <wp:effectExtent l="0" t="0" r="0" b="6350"/>
              <wp:wrapNone/>
              <wp:docPr id="1880791554" name="Caixa de Texto 1880791554"/>
              <wp:cNvGraphicFramePr/>
              <a:graphic xmlns:a="http://schemas.openxmlformats.org/drawingml/2006/main">
                <a:graphicData uri="http://schemas.microsoft.com/office/word/2010/wordprocessingShape">
                  <wps:wsp>
                    <wps:cNvSpPr txBox="1"/>
                    <wps:spPr>
                      <a:xfrm>
                        <a:off x="0" y="0"/>
                        <a:ext cx="6149591" cy="622300"/>
                      </a:xfrm>
                      <a:prstGeom prst="rect">
                        <a:avLst/>
                      </a:prstGeom>
                      <a:noFill/>
                      <a:ln w="6350">
                        <a:noFill/>
                      </a:ln>
                    </wps:spPr>
                    <wps:txbx>
                      <w:txbxContent>
                        <w:p w14:paraId="1F9F36AE" w14:textId="1FDF0579" w:rsidR="00435019" w:rsidRPr="00906659" w:rsidRDefault="00435019" w:rsidP="00435019">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 xml:space="preserve">EMONSTRAÇÕES CONTÁBEIS </w:t>
                          </w:r>
                          <w:r w:rsidR="00CB23B0">
                            <w:rPr>
                              <w:rFonts w:ascii="CAIXA Std Book" w:hAnsi="CAIXA Std Book"/>
                              <w:color w:val="FFFFFF" w:themeColor="background1"/>
                              <w:sz w:val="16"/>
                              <w:szCs w:val="16"/>
                            </w:rPr>
                            <w:t>INTERMEDIÁRIAS</w:t>
                          </w:r>
                          <w:r w:rsidRPr="00906659">
                            <w:rPr>
                              <w:rFonts w:ascii="CAIXA Std Book" w:hAnsi="CAIXA Std Book"/>
                              <w:color w:val="FFFFFF" w:themeColor="background1"/>
                              <w:sz w:val="16"/>
                              <w:szCs w:val="16"/>
                            </w:rPr>
                            <w:t xml:space="preserve"> INDIVIDUAIS E CONSOLIDADAS</w:t>
                          </w:r>
                          <w:r w:rsidR="009E5925">
                            <w:rPr>
                              <w:rFonts w:ascii="CAIXA Std Book" w:hAnsi="CAIXA Std Book"/>
                              <w:color w:val="FFFFFF" w:themeColor="background1"/>
                              <w:sz w:val="16"/>
                              <w:szCs w:val="16"/>
                            </w:rPr>
                            <w:t xml:space="preserve"> CONDENSADAS</w:t>
                          </w:r>
                        </w:p>
                        <w:p w14:paraId="3A016A9B" w14:textId="77777777" w:rsidR="00435019" w:rsidRPr="00906659" w:rsidRDefault="00435019" w:rsidP="00435019">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63639B64" w14:textId="77777777" w:rsidR="00435019" w:rsidRPr="00906659" w:rsidRDefault="00435019" w:rsidP="00435019">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C22B73" id="_x0000_t202" coordsize="21600,21600" o:spt="202" path="m,l,21600r21600,l21600,xe">
              <v:stroke joinstyle="miter"/>
              <v:path gradientshapeok="t" o:connecttype="rect"/>
            </v:shapetype>
            <v:shape id="Caixa de Texto 1880791554" o:spid="_x0000_s1054" type="#_x0000_t202" style="position:absolute;margin-left:-36.9pt;margin-top:24.55pt;width:484.2pt;height:49pt;z-index:25165829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" filled="f" stroked="f" strokeweight=".5pt">
              <v:textbox>
                <w:txbxContent>
                  <w:p w14:paraId="1F9F36AE" w14:textId="1FDF0579" w:rsidR="00435019" w:rsidRPr="00906659" w:rsidRDefault="00435019" w:rsidP="00435019">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 xml:space="preserve">EMONSTRAÇÕES CONTÁBEIS </w:t>
                    </w:r>
                    <w:r w:rsidR="00CB23B0">
                      <w:rPr>
                        <w:rFonts w:ascii="CAIXA Std Book" w:hAnsi="CAIXA Std Book"/>
                        <w:color w:val="FFFFFF" w:themeColor="background1"/>
                        <w:sz w:val="16"/>
                        <w:szCs w:val="16"/>
                      </w:rPr>
                      <w:t>INTERMEDIÁRIAS</w:t>
                    </w:r>
                    <w:r w:rsidRPr="00906659">
                      <w:rPr>
                        <w:rFonts w:ascii="CAIXA Std Book" w:hAnsi="CAIXA Std Book"/>
                        <w:color w:val="FFFFFF" w:themeColor="background1"/>
                        <w:sz w:val="16"/>
                        <w:szCs w:val="16"/>
                      </w:rPr>
                      <w:t xml:space="preserve"> INDIVIDUAIS E CONSOLIDADAS</w:t>
                    </w:r>
                    <w:r w:rsidR="009E5925">
                      <w:rPr>
                        <w:rFonts w:ascii="CAIXA Std Book" w:hAnsi="CAIXA Std Book"/>
                        <w:color w:val="FFFFFF" w:themeColor="background1"/>
                        <w:sz w:val="16"/>
                        <w:szCs w:val="16"/>
                      </w:rPr>
                      <w:t xml:space="preserve"> CONDENSADAS</w:t>
                    </w:r>
                  </w:p>
                  <w:p w14:paraId="3A016A9B" w14:textId="77777777" w:rsidR="00435019" w:rsidRPr="00906659" w:rsidRDefault="00435019" w:rsidP="00435019">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63639B64" w14:textId="77777777" w:rsidR="00435019" w:rsidRPr="00906659" w:rsidRDefault="00435019" w:rsidP="00435019">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sidR="00435019">
      <w:rPr>
        <w:noProof/>
      </w:rPr>
      <w:drawing>
        <wp:anchor distT="0" distB="0" distL="114300" distR="114300" simplePos="0" relativeHeight="251658273" behindDoc="1" locked="0" layoutInCell="1" allowOverlap="1" wp14:anchorId="57433C96" wp14:editId="49782221">
          <wp:simplePos x="0" y="0"/>
          <wp:positionH relativeFrom="column">
            <wp:posOffset>-925830</wp:posOffset>
          </wp:positionH>
          <wp:positionV relativeFrom="page">
            <wp:posOffset>-25400</wp:posOffset>
          </wp:positionV>
          <wp:extent cx="10701020" cy="1066800"/>
          <wp:effectExtent l="0" t="0" r="5080" b="0"/>
          <wp:wrapNone/>
          <wp:docPr id="533548329" name="Imagem 533548329"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701020" cy="1066800"/>
                  </a:xfrm>
                  <a:prstGeom prst="rect">
                    <a:avLst/>
                  </a:prstGeom>
                </pic:spPr>
              </pic:pic>
            </a:graphicData>
          </a:graphic>
          <wp14:sizeRelH relativeFrom="page">
            <wp14:pctWidth>0</wp14:pctWidth>
          </wp14:sizeRelH>
          <wp14:sizeRelV relativeFrom="page">
            <wp14:pctHeight>0</wp14:pctHeight>
          </wp14:sizeRelV>
        </wp:anchor>
      </w:drawing>
    </w:r>
  </w:p>
  <w:p w14:paraId="6C324521" w14:textId="1A368A2C" w:rsidR="00960085" w:rsidRDefault="00960085">
    <w:pPr>
      <w:pStyle w:val="Cabealho"/>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6747E" w14:textId="2B66CBF1" w:rsidR="00E33D34" w:rsidRPr="006907F6" w:rsidRDefault="009E5925" w:rsidP="00E33D34">
    <w:r>
      <w:rPr>
        <w:noProof/>
      </w:rPr>
      <mc:AlternateContent>
        <mc:Choice Requires="wps">
          <w:drawing>
            <wp:anchor distT="0" distB="0" distL="114300" distR="114300" simplePos="0" relativeHeight="251658291" behindDoc="0" locked="0" layoutInCell="1" allowOverlap="1" wp14:anchorId="75B5A853" wp14:editId="0AFE9427">
              <wp:simplePos x="0" y="0"/>
              <wp:positionH relativeFrom="margin">
                <wp:posOffset>-471806</wp:posOffset>
              </wp:positionH>
              <wp:positionV relativeFrom="page">
                <wp:posOffset>200025</wp:posOffset>
              </wp:positionV>
              <wp:extent cx="6143625" cy="685800"/>
              <wp:effectExtent l="0" t="0" r="0" b="0"/>
              <wp:wrapNone/>
              <wp:docPr id="940997037" name="Caixa de Texto 940997037"/>
              <wp:cNvGraphicFramePr/>
              <a:graphic xmlns:a="http://schemas.openxmlformats.org/drawingml/2006/main">
                <a:graphicData uri="http://schemas.microsoft.com/office/word/2010/wordprocessingShape">
                  <wps:wsp>
                    <wps:cNvSpPr txBox="1"/>
                    <wps:spPr>
                      <a:xfrm>
                        <a:off x="0" y="0"/>
                        <a:ext cx="6143625" cy="685800"/>
                      </a:xfrm>
                      <a:prstGeom prst="rect">
                        <a:avLst/>
                      </a:prstGeom>
                      <a:noFill/>
                      <a:ln w="6350">
                        <a:noFill/>
                      </a:ln>
                    </wps:spPr>
                    <wps:txbx>
                      <w:txbxContent>
                        <w:p w14:paraId="507A730E" w14:textId="17BAB430" w:rsidR="00E33D34" w:rsidRPr="00906659" w:rsidRDefault="00E33D34" w:rsidP="00E33D34">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 xml:space="preserve">EMONSTRAÇÕES CONTÁBEIS </w:t>
                          </w:r>
                          <w:r w:rsidR="00694530">
                            <w:rPr>
                              <w:rFonts w:ascii="CAIXA Std Book" w:hAnsi="CAIXA Std Book"/>
                              <w:color w:val="FFFFFF" w:themeColor="background1"/>
                              <w:sz w:val="16"/>
                              <w:szCs w:val="16"/>
                            </w:rPr>
                            <w:t>INTERMEDIÁRIAS</w:t>
                          </w:r>
                          <w:r w:rsidRPr="00906659">
                            <w:rPr>
                              <w:rFonts w:ascii="CAIXA Std Book" w:hAnsi="CAIXA Std Book"/>
                              <w:color w:val="FFFFFF" w:themeColor="background1"/>
                              <w:sz w:val="16"/>
                              <w:szCs w:val="16"/>
                            </w:rPr>
                            <w:t xml:space="preserve"> INDIVIDUAIS E CONSOLIDADAS</w:t>
                          </w:r>
                          <w:r w:rsidR="0061613F">
                            <w:rPr>
                              <w:rFonts w:ascii="CAIXA Std Book" w:hAnsi="CAIXA Std Book"/>
                              <w:color w:val="FFFFFF" w:themeColor="background1"/>
                              <w:sz w:val="16"/>
                              <w:szCs w:val="16"/>
                            </w:rPr>
                            <w:t xml:space="preserve"> CONDENSADAS</w:t>
                          </w:r>
                        </w:p>
                        <w:p w14:paraId="049CC89D" w14:textId="77777777" w:rsidR="00E33D34" w:rsidRPr="00906659" w:rsidRDefault="00E33D34" w:rsidP="00E33D34">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0DC8F16D" w14:textId="77777777" w:rsidR="00E33D34" w:rsidRPr="00906659" w:rsidRDefault="00E33D34" w:rsidP="00E33D34">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5B5A853" id="_x0000_t202" coordsize="21600,21600" o:spt="202" path="m,l,21600r21600,l21600,xe">
              <v:stroke joinstyle="miter"/>
              <v:path gradientshapeok="t" o:connecttype="rect"/>
            </v:shapetype>
            <v:shape id="Caixa de Texto 940997037" o:spid="_x0000_s1055" type="#_x0000_t202" style="position:absolute;margin-left:-37.15pt;margin-top:15.75pt;width:483.75pt;height:54pt;z-index:25165829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" filled="f" stroked="f" strokeweight=".5pt">
              <v:textbox>
                <w:txbxContent>
                  <w:p w14:paraId="507A730E" w14:textId="17BAB430" w:rsidR="00E33D34" w:rsidRPr="00906659" w:rsidRDefault="00E33D34" w:rsidP="00E33D34">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 xml:space="preserve">EMONSTRAÇÕES CONTÁBEIS </w:t>
                    </w:r>
                    <w:r w:rsidR="00694530">
                      <w:rPr>
                        <w:rFonts w:ascii="CAIXA Std Book" w:hAnsi="CAIXA Std Book"/>
                        <w:color w:val="FFFFFF" w:themeColor="background1"/>
                        <w:sz w:val="16"/>
                        <w:szCs w:val="16"/>
                      </w:rPr>
                      <w:t>INTERMEDIÁRIAS</w:t>
                    </w:r>
                    <w:r w:rsidRPr="00906659">
                      <w:rPr>
                        <w:rFonts w:ascii="CAIXA Std Book" w:hAnsi="CAIXA Std Book"/>
                        <w:color w:val="FFFFFF" w:themeColor="background1"/>
                        <w:sz w:val="16"/>
                        <w:szCs w:val="16"/>
                      </w:rPr>
                      <w:t xml:space="preserve"> INDIVIDUAIS E CONSOLIDADAS</w:t>
                    </w:r>
                    <w:r w:rsidR="0061613F">
                      <w:rPr>
                        <w:rFonts w:ascii="CAIXA Std Book" w:hAnsi="CAIXA Std Book"/>
                        <w:color w:val="FFFFFF" w:themeColor="background1"/>
                        <w:sz w:val="16"/>
                        <w:szCs w:val="16"/>
                      </w:rPr>
                      <w:t xml:space="preserve"> CONDENSADAS</w:t>
                    </w:r>
                  </w:p>
                  <w:p w14:paraId="049CC89D" w14:textId="77777777" w:rsidR="00E33D34" w:rsidRPr="00906659" w:rsidRDefault="00E33D34" w:rsidP="00E33D34">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0DC8F16D" w14:textId="77777777" w:rsidR="00E33D34" w:rsidRPr="00906659" w:rsidRDefault="00E33D34" w:rsidP="00E33D34">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sidR="00E33D34">
      <w:rPr>
        <w:noProof/>
      </w:rPr>
      <w:drawing>
        <wp:anchor distT="0" distB="0" distL="114300" distR="114300" simplePos="0" relativeHeight="251658252" behindDoc="1" locked="0" layoutInCell="1" allowOverlap="1" wp14:anchorId="5CE009CC" wp14:editId="19E4B30D">
          <wp:simplePos x="0" y="0"/>
          <wp:positionH relativeFrom="column">
            <wp:posOffset>-922020</wp:posOffset>
          </wp:positionH>
          <wp:positionV relativeFrom="page">
            <wp:posOffset>8890</wp:posOffset>
          </wp:positionV>
          <wp:extent cx="7577455" cy="944245"/>
          <wp:effectExtent l="0" t="0" r="4445" b="8255"/>
          <wp:wrapNone/>
          <wp:docPr id="226238119" name="Imagem 226238119"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r w:rsidR="00E33D34">
      <w:rPr>
        <w:noProof/>
      </w:rPr>
      <w:drawing>
        <wp:anchor distT="0" distB="0" distL="114300" distR="114300" simplePos="0" relativeHeight="251658251" behindDoc="1" locked="0" layoutInCell="1" allowOverlap="1" wp14:anchorId="1A844E1A" wp14:editId="60B4F849">
          <wp:simplePos x="0" y="0"/>
          <wp:positionH relativeFrom="column">
            <wp:posOffset>-922020</wp:posOffset>
          </wp:positionH>
          <wp:positionV relativeFrom="page">
            <wp:posOffset>8890</wp:posOffset>
          </wp:positionV>
          <wp:extent cx="7577455" cy="944245"/>
          <wp:effectExtent l="0" t="0" r="4445" b="8255"/>
          <wp:wrapNone/>
          <wp:docPr id="1938503845" name="Imagem 1938503845"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p>
  <w:p w14:paraId="32BDAFD9" w14:textId="22F1EA55" w:rsidR="00F43394" w:rsidRDefault="00F43394" w:rsidP="00F43394">
    <w:pPr>
      <w:pStyle w:val="Cabealho"/>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3777E" w14:textId="21AA9F3D" w:rsidR="00E33D34" w:rsidRPr="006907F6" w:rsidRDefault="009E5925" w:rsidP="00E33D34">
    <w:r>
      <w:rPr>
        <w:noProof/>
      </w:rPr>
      <mc:AlternateContent>
        <mc:Choice Requires="wps">
          <w:drawing>
            <wp:anchor distT="0" distB="0" distL="114300" distR="114300" simplePos="0" relativeHeight="251658292" behindDoc="0" locked="0" layoutInCell="1" allowOverlap="1" wp14:anchorId="2B73B0E0" wp14:editId="08E738F6">
              <wp:simplePos x="0" y="0"/>
              <wp:positionH relativeFrom="margin">
                <wp:posOffset>-471805</wp:posOffset>
              </wp:positionH>
              <wp:positionV relativeFrom="page">
                <wp:posOffset>200025</wp:posOffset>
              </wp:positionV>
              <wp:extent cx="6134100" cy="622300"/>
              <wp:effectExtent l="0" t="0" r="0" b="6350"/>
              <wp:wrapNone/>
              <wp:docPr id="1708162410" name="Caixa de Texto 1708162410"/>
              <wp:cNvGraphicFramePr/>
              <a:graphic xmlns:a="http://schemas.openxmlformats.org/drawingml/2006/main">
                <a:graphicData uri="http://schemas.microsoft.com/office/word/2010/wordprocessingShape">
                  <wps:wsp>
                    <wps:cNvSpPr txBox="1"/>
                    <wps:spPr>
                      <a:xfrm>
                        <a:off x="0" y="0"/>
                        <a:ext cx="6134100" cy="622300"/>
                      </a:xfrm>
                      <a:prstGeom prst="rect">
                        <a:avLst/>
                      </a:prstGeom>
                      <a:noFill/>
                      <a:ln w="6350">
                        <a:noFill/>
                      </a:ln>
                    </wps:spPr>
                    <wps:txbx>
                      <w:txbxContent>
                        <w:p w14:paraId="3F426CF9" w14:textId="72922CC9" w:rsidR="00E33D34" w:rsidRPr="00906659" w:rsidRDefault="00E33D34" w:rsidP="00E33D34">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 xml:space="preserve">EMONSTRAÇÕES CONTÁBEIS </w:t>
                          </w:r>
                          <w:r w:rsidR="00490072">
                            <w:rPr>
                              <w:rFonts w:ascii="CAIXA Std Book" w:hAnsi="CAIXA Std Book"/>
                              <w:color w:val="FFFFFF" w:themeColor="background1"/>
                              <w:sz w:val="16"/>
                              <w:szCs w:val="16"/>
                            </w:rPr>
                            <w:t>INTERMEDIÁRIAS</w:t>
                          </w:r>
                          <w:r w:rsidR="00490072" w:rsidRPr="00906659">
                            <w:rPr>
                              <w:rFonts w:ascii="CAIXA Std Book" w:hAnsi="CAIXA Std Book"/>
                              <w:color w:val="FFFFFF" w:themeColor="background1"/>
                              <w:sz w:val="16"/>
                              <w:szCs w:val="16"/>
                            </w:rPr>
                            <w:t xml:space="preserve"> </w:t>
                          </w:r>
                          <w:r w:rsidRPr="00906659">
                            <w:rPr>
                              <w:rFonts w:ascii="CAIXA Std Book" w:hAnsi="CAIXA Std Book"/>
                              <w:color w:val="FFFFFF" w:themeColor="background1"/>
                              <w:sz w:val="16"/>
                              <w:szCs w:val="16"/>
                            </w:rPr>
                            <w:t>INDIVIDUAIS E CONSOLIDADAS</w:t>
                          </w:r>
                          <w:r w:rsidR="009E5925">
                            <w:rPr>
                              <w:rFonts w:ascii="CAIXA Std Book" w:hAnsi="CAIXA Std Book"/>
                              <w:color w:val="FFFFFF" w:themeColor="background1"/>
                              <w:sz w:val="16"/>
                              <w:szCs w:val="16"/>
                            </w:rPr>
                            <w:t xml:space="preserve"> CONDENSADAS</w:t>
                          </w:r>
                        </w:p>
                        <w:p w14:paraId="725B5882" w14:textId="77777777" w:rsidR="00E33D34" w:rsidRPr="00906659" w:rsidRDefault="00E33D34" w:rsidP="00E33D34">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355F5B14" w14:textId="77777777" w:rsidR="00E33D34" w:rsidRPr="00906659" w:rsidRDefault="00E33D34" w:rsidP="00E33D34">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73B0E0" id="_x0000_t202" coordsize="21600,21600" o:spt="202" path="m,l,21600r21600,l21600,xe">
              <v:stroke joinstyle="miter"/>
              <v:path gradientshapeok="t" o:connecttype="rect"/>
            </v:shapetype>
            <v:shape id="Caixa de Texto 1708162410" o:spid="_x0000_s1056" type="#_x0000_t202" style="position:absolute;margin-left:-37.15pt;margin-top:15.75pt;width:483pt;height:49pt;z-index:25165829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" filled="f" stroked="f" strokeweight=".5pt">
              <v:textbox>
                <w:txbxContent>
                  <w:p w14:paraId="3F426CF9" w14:textId="72922CC9" w:rsidR="00E33D34" w:rsidRPr="00906659" w:rsidRDefault="00E33D34" w:rsidP="00E33D34">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 xml:space="preserve">EMONSTRAÇÕES CONTÁBEIS </w:t>
                    </w:r>
                    <w:r w:rsidR="00490072">
                      <w:rPr>
                        <w:rFonts w:ascii="CAIXA Std Book" w:hAnsi="CAIXA Std Book"/>
                        <w:color w:val="FFFFFF" w:themeColor="background1"/>
                        <w:sz w:val="16"/>
                        <w:szCs w:val="16"/>
                      </w:rPr>
                      <w:t>INTERMEDIÁRIAS</w:t>
                    </w:r>
                    <w:r w:rsidR="00490072" w:rsidRPr="00906659">
                      <w:rPr>
                        <w:rFonts w:ascii="CAIXA Std Book" w:hAnsi="CAIXA Std Book"/>
                        <w:color w:val="FFFFFF" w:themeColor="background1"/>
                        <w:sz w:val="16"/>
                        <w:szCs w:val="16"/>
                      </w:rPr>
                      <w:t xml:space="preserve"> </w:t>
                    </w:r>
                    <w:r w:rsidRPr="00906659">
                      <w:rPr>
                        <w:rFonts w:ascii="CAIXA Std Book" w:hAnsi="CAIXA Std Book"/>
                        <w:color w:val="FFFFFF" w:themeColor="background1"/>
                        <w:sz w:val="16"/>
                        <w:szCs w:val="16"/>
                      </w:rPr>
                      <w:t>INDIVIDUAIS E CONSOLIDADAS</w:t>
                    </w:r>
                    <w:r w:rsidR="009E5925">
                      <w:rPr>
                        <w:rFonts w:ascii="CAIXA Std Book" w:hAnsi="CAIXA Std Book"/>
                        <w:color w:val="FFFFFF" w:themeColor="background1"/>
                        <w:sz w:val="16"/>
                        <w:szCs w:val="16"/>
                      </w:rPr>
                      <w:t xml:space="preserve"> CONDENSADAS</w:t>
                    </w:r>
                  </w:p>
                  <w:p w14:paraId="725B5882" w14:textId="77777777" w:rsidR="00E33D34" w:rsidRPr="00906659" w:rsidRDefault="00E33D34" w:rsidP="00E33D34">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355F5B14" w14:textId="77777777" w:rsidR="00E33D34" w:rsidRPr="00906659" w:rsidRDefault="00E33D34" w:rsidP="00E33D34">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sidR="00E33D34">
      <w:rPr>
        <w:noProof/>
      </w:rPr>
      <w:drawing>
        <wp:anchor distT="0" distB="0" distL="114300" distR="114300" simplePos="0" relativeHeight="251658254" behindDoc="1" locked="0" layoutInCell="1" allowOverlap="1" wp14:anchorId="364BCF0D" wp14:editId="1552FAFE">
          <wp:simplePos x="0" y="0"/>
          <wp:positionH relativeFrom="column">
            <wp:posOffset>-922020</wp:posOffset>
          </wp:positionH>
          <wp:positionV relativeFrom="page">
            <wp:posOffset>8890</wp:posOffset>
          </wp:positionV>
          <wp:extent cx="7577455" cy="944245"/>
          <wp:effectExtent l="0" t="0" r="4445" b="8255"/>
          <wp:wrapNone/>
          <wp:docPr id="2114019324" name="Imagem 2114019324"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r w:rsidR="00E33D34">
      <w:rPr>
        <w:noProof/>
      </w:rPr>
      <w:drawing>
        <wp:anchor distT="0" distB="0" distL="114300" distR="114300" simplePos="0" relativeHeight="251658253" behindDoc="1" locked="0" layoutInCell="1" allowOverlap="1" wp14:anchorId="32F59D0C" wp14:editId="139691C1">
          <wp:simplePos x="0" y="0"/>
          <wp:positionH relativeFrom="column">
            <wp:posOffset>-922020</wp:posOffset>
          </wp:positionH>
          <wp:positionV relativeFrom="page">
            <wp:posOffset>8890</wp:posOffset>
          </wp:positionV>
          <wp:extent cx="7577455" cy="944245"/>
          <wp:effectExtent l="0" t="0" r="4445" b="8255"/>
          <wp:wrapNone/>
          <wp:docPr id="657212505" name="Imagem 657212505"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p>
  <w:p w14:paraId="5AB913B4" w14:textId="12E6A1A8" w:rsidR="00F43394" w:rsidRDefault="00F43394" w:rsidP="00F43394">
    <w:pPr>
      <w:pStyle w:val="Cabealho"/>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92049" w14:textId="3C479B4E" w:rsidR="002D0770" w:rsidRPr="00482A92" w:rsidRDefault="00A751D4" w:rsidP="00482A92">
    <w:pPr>
      <w:pStyle w:val="Cabealho"/>
    </w:pPr>
    <w:r>
      <w:rPr>
        <w:noProof/>
      </w:rPr>
      <w:drawing>
        <wp:inline distT="0" distB="0" distL="0" distR="0" wp14:anchorId="221DD608" wp14:editId="6DA8AA73">
          <wp:extent cx="1670050" cy="381000"/>
          <wp:effectExtent l="0" t="0" r="6350" b="0"/>
          <wp:docPr id="1561549228" name="Imagem 1561549228" descr="MN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N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70050" cy="352425"/>
                  </a:xfrm>
                  <a:prstGeom prst="rect">
                    <a:avLst/>
                  </a:prstGeom>
                  <a:noFill/>
                  <a:ln>
                    <a:noFill/>
                  </a:ln>
                </pic:spPr>
              </pic:pic>
            </a:graphicData>
          </a:graphic>
        </wp:inline>
      </w:drawing>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7E311" w14:textId="77777777" w:rsidR="00A751D4" w:rsidRPr="00482A92" w:rsidRDefault="00A751D4" w:rsidP="00482A92">
    <w:pPr>
      <w:pStyle w:val="Cabealho"/>
    </w:pPr>
    <w:r>
      <w:rPr>
        <w:noProof/>
      </w:rPr>
      <w:drawing>
        <wp:anchor distT="0" distB="0" distL="114300" distR="114300" simplePos="0" relativeHeight="251662446" behindDoc="0" locked="0" layoutInCell="1" allowOverlap="1" wp14:anchorId="79FEDA17" wp14:editId="4101992B">
          <wp:simplePos x="0" y="0"/>
          <wp:positionH relativeFrom="margin">
            <wp:posOffset>-171450</wp:posOffset>
          </wp:positionH>
          <wp:positionV relativeFrom="paragraph">
            <wp:posOffset>-210185</wp:posOffset>
          </wp:positionV>
          <wp:extent cx="978408" cy="402336"/>
          <wp:effectExtent l="0" t="0" r="0" b="0"/>
          <wp:wrapSquare wrapText="bothSides"/>
          <wp:docPr id="332546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l="11266" t="28883" r="15703" b="29646"/>
                  <a:stretch>
                    <a:fillRect/>
                  </a:stretch>
                </pic:blipFill>
                <pic:spPr bwMode="auto">
                  <a:xfrm>
                    <a:off x="0" y="0"/>
                    <a:ext cx="978408" cy="402336"/>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D1F856" w14:textId="77777777" w:rsidR="006A089D" w:rsidRDefault="00423369" w:rsidP="00423369">
    <w:pPr>
      <w:pStyle w:val="Cabealho"/>
    </w:pPr>
    <w:r>
      <w:rPr>
        <w:noProof/>
      </w:rPr>
      <mc:AlternateContent>
        <mc:Choice Requires="wps">
          <w:drawing>
            <wp:anchor distT="0" distB="0" distL="114300" distR="114300" simplePos="0" relativeHeight="251658303" behindDoc="0" locked="0" layoutInCell="1" allowOverlap="1" wp14:anchorId="5730AC9E" wp14:editId="015B1E24">
              <wp:simplePos x="0" y="0"/>
              <wp:positionH relativeFrom="margin">
                <wp:posOffset>-418293</wp:posOffset>
              </wp:positionH>
              <wp:positionV relativeFrom="page">
                <wp:posOffset>257695</wp:posOffset>
              </wp:positionV>
              <wp:extent cx="7090757" cy="622300"/>
              <wp:effectExtent l="0" t="0" r="0" b="6350"/>
              <wp:wrapNone/>
              <wp:docPr id="1083264690" name="Caixa de Texto 1083264690"/>
              <wp:cNvGraphicFramePr/>
              <a:graphic xmlns:a="http://schemas.openxmlformats.org/drawingml/2006/main">
                <a:graphicData uri="http://schemas.microsoft.com/office/word/2010/wordprocessingShape">
                  <wps:wsp>
                    <wps:cNvSpPr txBox="1"/>
                    <wps:spPr>
                      <a:xfrm>
                        <a:off x="0" y="0"/>
                        <a:ext cx="7090757" cy="622300"/>
                      </a:xfrm>
                      <a:prstGeom prst="rect">
                        <a:avLst/>
                      </a:prstGeom>
                      <a:noFill/>
                      <a:ln w="6350">
                        <a:noFill/>
                      </a:ln>
                    </wps:spPr>
                    <wps:txbx>
                      <w:txbxContent>
                        <w:p w14:paraId="4FB9DB3F" w14:textId="501D6312" w:rsidR="00423369" w:rsidRPr="00906659" w:rsidRDefault="00423369" w:rsidP="00423369">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 xml:space="preserve">EMONSTRAÇÕES CONTÁBEIS </w:t>
                          </w:r>
                          <w:r w:rsidR="002E3102">
                            <w:rPr>
                              <w:rFonts w:ascii="CAIXA Std Book" w:hAnsi="CAIXA Std Book"/>
                              <w:color w:val="FFFFFF" w:themeColor="background1"/>
                              <w:sz w:val="16"/>
                              <w:szCs w:val="16"/>
                            </w:rPr>
                            <w:t>INTERMEDIÁRIAS</w:t>
                          </w:r>
                          <w:r w:rsidR="002E3102" w:rsidRPr="00906659">
                            <w:rPr>
                              <w:rFonts w:ascii="CAIXA Std Book" w:hAnsi="CAIXA Std Book"/>
                              <w:color w:val="FFFFFF" w:themeColor="background1"/>
                              <w:sz w:val="16"/>
                              <w:szCs w:val="16"/>
                            </w:rPr>
                            <w:t xml:space="preserve"> </w:t>
                          </w:r>
                          <w:r w:rsidRPr="00906659">
                            <w:rPr>
                              <w:rFonts w:ascii="CAIXA Std Book" w:hAnsi="CAIXA Std Book"/>
                              <w:color w:val="FFFFFF" w:themeColor="background1"/>
                              <w:sz w:val="16"/>
                              <w:szCs w:val="16"/>
                            </w:rPr>
                            <w:t>INDIVIDUAIS E CONSOLIDADAS</w:t>
                          </w:r>
                          <w:r>
                            <w:rPr>
                              <w:rFonts w:ascii="CAIXA Std Book" w:hAnsi="CAIXA Std Book"/>
                              <w:color w:val="FFFFFF" w:themeColor="background1"/>
                              <w:sz w:val="16"/>
                              <w:szCs w:val="16"/>
                            </w:rPr>
                            <w:t xml:space="preserve"> CONDENSADAS</w:t>
                          </w:r>
                        </w:p>
                        <w:p w14:paraId="281CD3F5" w14:textId="77777777" w:rsidR="00423369" w:rsidRPr="00906659" w:rsidRDefault="00423369" w:rsidP="00423369">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74FC3033" w14:textId="77777777" w:rsidR="00423369" w:rsidRPr="00906659" w:rsidRDefault="00423369" w:rsidP="00423369">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30AC9E" id="_x0000_t202" coordsize="21600,21600" o:spt="202" path="m,l,21600r21600,l21600,xe">
              <v:stroke joinstyle="miter"/>
              <v:path gradientshapeok="t" o:connecttype="rect"/>
            </v:shapetype>
            <v:shape id="Caixa de Texto 1083264690" o:spid="_x0000_s1028" type="#_x0000_t202" style="position:absolute;margin-left:-32.95pt;margin-top:20.3pt;width:558.35pt;height:49pt;z-index:251658303;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" filled="f" stroked="f" strokeweight=".5pt">
              <v:textbox>
                <w:txbxContent>
                  <w:p w14:paraId="4FB9DB3F" w14:textId="501D6312" w:rsidR="00423369" w:rsidRPr="00906659" w:rsidRDefault="00423369" w:rsidP="00423369">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 xml:space="preserve">EMONSTRAÇÕES CONTÁBEIS </w:t>
                    </w:r>
                    <w:r w:rsidR="002E3102">
                      <w:rPr>
                        <w:rFonts w:ascii="CAIXA Std Book" w:hAnsi="CAIXA Std Book"/>
                        <w:color w:val="FFFFFF" w:themeColor="background1"/>
                        <w:sz w:val="16"/>
                        <w:szCs w:val="16"/>
                      </w:rPr>
                      <w:t>INTERMEDIÁRIAS</w:t>
                    </w:r>
                    <w:r w:rsidR="002E3102" w:rsidRPr="00906659">
                      <w:rPr>
                        <w:rFonts w:ascii="CAIXA Std Book" w:hAnsi="CAIXA Std Book"/>
                        <w:color w:val="FFFFFF" w:themeColor="background1"/>
                        <w:sz w:val="16"/>
                        <w:szCs w:val="16"/>
                      </w:rPr>
                      <w:t xml:space="preserve"> </w:t>
                    </w:r>
                    <w:r w:rsidRPr="00906659">
                      <w:rPr>
                        <w:rFonts w:ascii="CAIXA Std Book" w:hAnsi="CAIXA Std Book"/>
                        <w:color w:val="FFFFFF" w:themeColor="background1"/>
                        <w:sz w:val="16"/>
                        <w:szCs w:val="16"/>
                      </w:rPr>
                      <w:t>INDIVIDUAIS E CONSOLIDADAS</w:t>
                    </w:r>
                    <w:r>
                      <w:rPr>
                        <w:rFonts w:ascii="CAIXA Std Book" w:hAnsi="CAIXA Std Book"/>
                        <w:color w:val="FFFFFF" w:themeColor="background1"/>
                        <w:sz w:val="16"/>
                        <w:szCs w:val="16"/>
                      </w:rPr>
                      <w:t xml:space="preserve"> CONDENSADAS</w:t>
                    </w:r>
                  </w:p>
                  <w:p w14:paraId="281CD3F5" w14:textId="77777777" w:rsidR="00423369" w:rsidRPr="00906659" w:rsidRDefault="00423369" w:rsidP="00423369">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74FC3033" w14:textId="77777777" w:rsidR="00423369" w:rsidRPr="00906659" w:rsidRDefault="00423369" w:rsidP="00423369">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Pr>
        <w:noProof/>
      </w:rPr>
      <w:drawing>
        <wp:anchor distT="0" distB="0" distL="114300" distR="114300" simplePos="0" relativeHeight="251658304" behindDoc="1" locked="0" layoutInCell="1" allowOverlap="1" wp14:anchorId="1F9FFE68" wp14:editId="57EF9F84">
          <wp:simplePos x="0" y="0"/>
          <wp:positionH relativeFrom="column">
            <wp:posOffset>-925830</wp:posOffset>
          </wp:positionH>
          <wp:positionV relativeFrom="page">
            <wp:posOffset>-25400</wp:posOffset>
          </wp:positionV>
          <wp:extent cx="10701020" cy="1016000"/>
          <wp:effectExtent l="0" t="0" r="5080" b="0"/>
          <wp:wrapNone/>
          <wp:docPr id="302824422" name="Imagem 302824422"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814456" cy="1026770"/>
                  </a:xfrm>
                  <a:prstGeom prst="rect">
                    <a:avLst/>
                  </a:prstGeom>
                </pic:spPr>
              </pic:pic>
            </a:graphicData>
          </a:graphic>
          <wp14:sizeRelH relativeFrom="page">
            <wp14:pctWidth>0</wp14:pctWidth>
          </wp14:sizeRelH>
          <wp14:sizeRelV relativeFrom="page">
            <wp14:pctHeight>0</wp14:pctHeight>
          </wp14:sizeRelV>
        </wp:anchor>
      </w:drawing>
    </w:r>
  </w:p>
  <w:p w14:paraId="165F530C" w14:textId="390A004A" w:rsidR="008D39F0" w:rsidRDefault="008D39F0" w:rsidP="006A089D">
    <w:pPr>
      <w:pStyle w:val="Cabealh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A57DD7" w14:textId="6BDF2E2E" w:rsidR="006510E1" w:rsidRDefault="007024C9" w:rsidP="006510E1">
    <w:r>
      <w:rPr>
        <w:noProof/>
      </w:rPr>
      <mc:AlternateContent>
        <mc:Choice Requires="wps">
          <w:drawing>
            <wp:anchor distT="0" distB="0" distL="114300" distR="114300" simplePos="0" relativeHeight="251658278" behindDoc="0" locked="0" layoutInCell="1" allowOverlap="1" wp14:anchorId="08D60C4D" wp14:editId="0C1BDEB0">
              <wp:simplePos x="0" y="0"/>
              <wp:positionH relativeFrom="margin">
                <wp:posOffset>-468351</wp:posOffset>
              </wp:positionH>
              <wp:positionV relativeFrom="page">
                <wp:posOffset>200967</wp:posOffset>
              </wp:positionV>
              <wp:extent cx="5134708" cy="622300"/>
              <wp:effectExtent l="0" t="0" r="0" b="6350"/>
              <wp:wrapNone/>
              <wp:docPr id="788768275" name="Caixa de Texto 788768275"/>
              <wp:cNvGraphicFramePr/>
              <a:graphic xmlns:a="http://schemas.openxmlformats.org/drawingml/2006/main">
                <a:graphicData uri="http://schemas.microsoft.com/office/word/2010/wordprocessingShape">
                  <wps:wsp>
                    <wps:cNvSpPr txBox="1"/>
                    <wps:spPr>
                      <a:xfrm>
                        <a:off x="0" y="0"/>
                        <a:ext cx="5134708" cy="622300"/>
                      </a:xfrm>
                      <a:prstGeom prst="rect">
                        <a:avLst/>
                      </a:prstGeom>
                      <a:noFill/>
                      <a:ln w="6350">
                        <a:noFill/>
                      </a:ln>
                    </wps:spPr>
                    <wps:txbx>
                      <w:txbxContent>
                        <w:p w14:paraId="467D80EC" w14:textId="504CA636" w:rsidR="007D3E17" w:rsidRPr="00906659" w:rsidRDefault="007D3E17" w:rsidP="007D3E17">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sidR="002E3102">
                            <w:rPr>
                              <w:rFonts w:ascii="CAIXA Std Book" w:hAnsi="CAIXA Std Book"/>
                              <w:color w:val="FFFFFF" w:themeColor="background1"/>
                              <w:sz w:val="16"/>
                              <w:szCs w:val="16"/>
                            </w:rPr>
                            <w:t xml:space="preserve"> </w:t>
                          </w:r>
                          <w:r w:rsidR="006A1241">
                            <w:rPr>
                              <w:rFonts w:ascii="CAIXA Std Book" w:hAnsi="CAIXA Std Book"/>
                              <w:color w:val="FFFFFF" w:themeColor="background1"/>
                              <w:sz w:val="16"/>
                              <w:szCs w:val="16"/>
                            </w:rPr>
                            <w:t>I</w:t>
                          </w:r>
                          <w:r w:rsidR="002E3102">
                            <w:rPr>
                              <w:rFonts w:ascii="CAIXA Std Book" w:hAnsi="CAIXA Std Book"/>
                              <w:color w:val="FFFFFF" w:themeColor="background1"/>
                              <w:sz w:val="16"/>
                              <w:szCs w:val="16"/>
                            </w:rPr>
                            <w:t>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57C7BFD0" w14:textId="77777777" w:rsidR="007D3E17" w:rsidRPr="00906659" w:rsidRDefault="007D3E17" w:rsidP="007D3E17">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251685DA" w14:textId="77777777" w:rsidR="007D3E17" w:rsidRPr="00906659" w:rsidRDefault="007D3E17" w:rsidP="007D3E17">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8D60C4D" id="_x0000_t202" coordsize="21600,21600" o:spt="202" path="m,l,21600r21600,l21600,xe">
              <v:stroke joinstyle="miter"/>
              <v:path gradientshapeok="t" o:connecttype="rect"/>
            </v:shapetype>
            <v:shape id="Caixa de Texto 788768275" o:spid="_x0000_s1029" type="#_x0000_t202" style="position:absolute;margin-left:-36.9pt;margin-top:15.8pt;width:404.3pt;height:49pt;z-index:25165827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" filled="f" stroked="f" strokeweight=".5pt">
              <v:textbox>
                <w:txbxContent>
                  <w:p w14:paraId="467D80EC" w14:textId="504CA636" w:rsidR="007D3E17" w:rsidRPr="00906659" w:rsidRDefault="007D3E17" w:rsidP="007D3E17">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sidR="002E3102">
                      <w:rPr>
                        <w:rFonts w:ascii="CAIXA Std Book" w:hAnsi="CAIXA Std Book"/>
                        <w:color w:val="FFFFFF" w:themeColor="background1"/>
                        <w:sz w:val="16"/>
                        <w:szCs w:val="16"/>
                      </w:rPr>
                      <w:t xml:space="preserve"> </w:t>
                    </w:r>
                    <w:r w:rsidR="006A1241">
                      <w:rPr>
                        <w:rFonts w:ascii="CAIXA Std Book" w:hAnsi="CAIXA Std Book"/>
                        <w:color w:val="FFFFFF" w:themeColor="background1"/>
                        <w:sz w:val="16"/>
                        <w:szCs w:val="16"/>
                      </w:rPr>
                      <w:t>I</w:t>
                    </w:r>
                    <w:r w:rsidR="002E3102">
                      <w:rPr>
                        <w:rFonts w:ascii="CAIXA Std Book" w:hAnsi="CAIXA Std Book"/>
                        <w:color w:val="FFFFFF" w:themeColor="background1"/>
                        <w:sz w:val="16"/>
                        <w:szCs w:val="16"/>
                      </w:rPr>
                      <w:t>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57C7BFD0" w14:textId="77777777" w:rsidR="007D3E17" w:rsidRPr="00906659" w:rsidRDefault="007D3E17" w:rsidP="007D3E17">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251685DA" w14:textId="77777777" w:rsidR="007D3E17" w:rsidRPr="00906659" w:rsidRDefault="007D3E17" w:rsidP="007D3E17">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sidR="006A089D">
      <w:rPr>
        <w:noProof/>
      </w:rPr>
      <w:drawing>
        <wp:anchor distT="0" distB="0" distL="114300" distR="114300" simplePos="0" relativeHeight="251658244" behindDoc="1" locked="0" layoutInCell="1" allowOverlap="1" wp14:anchorId="0DB2ADC7" wp14:editId="1AC16896">
          <wp:simplePos x="0" y="0"/>
          <wp:positionH relativeFrom="column">
            <wp:posOffset>-922020</wp:posOffset>
          </wp:positionH>
          <wp:positionV relativeFrom="page">
            <wp:posOffset>8890</wp:posOffset>
          </wp:positionV>
          <wp:extent cx="7577455" cy="944245"/>
          <wp:effectExtent l="0" t="0" r="4445" b="8255"/>
          <wp:wrapNone/>
          <wp:docPr id="1618868206" name="Imagem 1618868206"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3732FD" w14:textId="7F4F1ACF" w:rsidR="00785634" w:rsidRDefault="00785634" w:rsidP="00785634">
    <w:r>
      <w:rPr>
        <w:noProof/>
      </w:rPr>
      <mc:AlternateContent>
        <mc:Choice Requires="wps">
          <w:drawing>
            <wp:anchor distT="0" distB="0" distL="114300" distR="114300" simplePos="0" relativeHeight="251658342" behindDoc="0" locked="0" layoutInCell="1" allowOverlap="1" wp14:anchorId="6344A20D" wp14:editId="5B09AE47">
              <wp:simplePos x="0" y="0"/>
              <wp:positionH relativeFrom="margin">
                <wp:posOffset>-471806</wp:posOffset>
              </wp:positionH>
              <wp:positionV relativeFrom="page">
                <wp:posOffset>238125</wp:posOffset>
              </wp:positionV>
              <wp:extent cx="6086475" cy="685800"/>
              <wp:effectExtent l="0" t="0" r="0" b="0"/>
              <wp:wrapNone/>
              <wp:docPr id="12685615" name="Caixa de Texto 12685615"/>
              <wp:cNvGraphicFramePr/>
              <a:graphic xmlns:a="http://schemas.openxmlformats.org/drawingml/2006/main">
                <a:graphicData uri="http://schemas.microsoft.com/office/word/2010/wordprocessingShape">
                  <wps:wsp>
                    <wps:cNvSpPr txBox="1"/>
                    <wps:spPr>
                      <a:xfrm>
                        <a:off x="0" y="0"/>
                        <a:ext cx="6086475" cy="685800"/>
                      </a:xfrm>
                      <a:prstGeom prst="rect">
                        <a:avLst/>
                      </a:prstGeom>
                      <a:noFill/>
                      <a:ln w="6350">
                        <a:noFill/>
                      </a:ln>
                    </wps:spPr>
                    <wps:txbx>
                      <w:txbxContent>
                        <w:p w14:paraId="0AFA4A41" w14:textId="77777777" w:rsidR="00785634" w:rsidRPr="00906659" w:rsidRDefault="00785634" w:rsidP="00785634">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3EFF4BE5" w14:textId="77777777" w:rsidR="00785634" w:rsidRPr="00906659" w:rsidRDefault="00785634" w:rsidP="00785634">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630F7771" w14:textId="77777777" w:rsidR="00785634" w:rsidRPr="00906659" w:rsidRDefault="00785634" w:rsidP="00785634">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44A20D" id="_x0000_t202" coordsize="21600,21600" o:spt="202" path="m,l,21600r21600,l21600,xe">
              <v:stroke joinstyle="miter"/>
              <v:path gradientshapeok="t" o:connecttype="rect"/>
            </v:shapetype>
            <v:shape id="Caixa de Texto 12685615" o:spid="_x0000_s1030" type="#_x0000_t202" style="position:absolute;margin-left:-37.15pt;margin-top:18.75pt;width:479.25pt;height:54pt;z-index:25165834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" filled="f" stroked="f" strokeweight=".5pt">
              <v:textbox>
                <w:txbxContent>
                  <w:p w14:paraId="0AFA4A41" w14:textId="77777777" w:rsidR="00785634" w:rsidRPr="00906659" w:rsidRDefault="00785634" w:rsidP="00785634">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3EFF4BE5" w14:textId="77777777" w:rsidR="00785634" w:rsidRPr="00906659" w:rsidRDefault="00785634" w:rsidP="00785634">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630F7771" w14:textId="77777777" w:rsidR="00785634" w:rsidRPr="00906659" w:rsidRDefault="00785634" w:rsidP="00785634">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Pr>
        <w:noProof/>
      </w:rPr>
      <w:drawing>
        <wp:anchor distT="0" distB="0" distL="114300" distR="114300" simplePos="0" relativeHeight="251658343" behindDoc="1" locked="0" layoutInCell="1" allowOverlap="1" wp14:anchorId="1D6FC6AB" wp14:editId="64253EAC">
          <wp:simplePos x="0" y="0"/>
          <wp:positionH relativeFrom="column">
            <wp:posOffset>-925830</wp:posOffset>
          </wp:positionH>
          <wp:positionV relativeFrom="page">
            <wp:posOffset>-25400</wp:posOffset>
          </wp:positionV>
          <wp:extent cx="10701020" cy="1016000"/>
          <wp:effectExtent l="0" t="0" r="5080" b="0"/>
          <wp:wrapNone/>
          <wp:docPr id="1362224366" name="Imagem 1362224366"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814456" cy="1026770"/>
                  </a:xfrm>
                  <a:prstGeom prst="rect">
                    <a:avLst/>
                  </a:prstGeom>
                </pic:spPr>
              </pic:pic>
            </a:graphicData>
          </a:graphic>
          <wp14:sizeRelH relativeFrom="page">
            <wp14:pctWidth>0</wp14:pctWidth>
          </wp14:sizeRelH>
          <wp14:sizeRelV relativeFrom="page">
            <wp14:pctHeight>0</wp14:pctHeight>
          </wp14:sizeRelV>
        </wp:anchor>
      </w:drawing>
    </w:r>
  </w:p>
  <w:p w14:paraId="21ABF1F3" w14:textId="77777777" w:rsidR="00785634" w:rsidRDefault="00785634" w:rsidP="00785634">
    <w:pPr>
      <w:pStyle w:val="Cabealh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72B0F" w14:textId="77777777" w:rsidR="00785634" w:rsidRDefault="00785634" w:rsidP="00C84718">
    <w:r>
      <w:rPr>
        <w:noProof/>
      </w:rPr>
      <mc:AlternateContent>
        <mc:Choice Requires="wps">
          <w:drawing>
            <wp:anchor distT="0" distB="0" distL="114300" distR="114300" simplePos="0" relativeHeight="251658344" behindDoc="0" locked="0" layoutInCell="1" allowOverlap="1" wp14:anchorId="27732F51" wp14:editId="08EAF991">
              <wp:simplePos x="0" y="0"/>
              <wp:positionH relativeFrom="margin">
                <wp:posOffset>-471805</wp:posOffset>
              </wp:positionH>
              <wp:positionV relativeFrom="page">
                <wp:posOffset>200025</wp:posOffset>
              </wp:positionV>
              <wp:extent cx="6086475" cy="542925"/>
              <wp:effectExtent l="0" t="0" r="0" b="0"/>
              <wp:wrapNone/>
              <wp:docPr id="121540034" name="Caixa de Texto 121540034"/>
              <wp:cNvGraphicFramePr/>
              <a:graphic xmlns:a="http://schemas.openxmlformats.org/drawingml/2006/main">
                <a:graphicData uri="http://schemas.microsoft.com/office/word/2010/wordprocessingShape">
                  <wps:wsp>
                    <wps:cNvSpPr txBox="1"/>
                    <wps:spPr>
                      <a:xfrm>
                        <a:off x="0" y="0"/>
                        <a:ext cx="6086475" cy="542925"/>
                      </a:xfrm>
                      <a:prstGeom prst="rect">
                        <a:avLst/>
                      </a:prstGeom>
                      <a:noFill/>
                      <a:ln w="6350">
                        <a:noFill/>
                      </a:ln>
                    </wps:spPr>
                    <wps:txbx>
                      <w:txbxContent>
                        <w:p w14:paraId="11D28A60" w14:textId="77777777" w:rsidR="00785634" w:rsidRPr="00906659" w:rsidRDefault="00785634" w:rsidP="00C84718">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5513405E" w14:textId="77777777" w:rsidR="00785634" w:rsidRPr="00906659" w:rsidRDefault="00785634" w:rsidP="00C84718">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5E993887" w14:textId="77777777" w:rsidR="00785634" w:rsidRPr="00906659" w:rsidRDefault="00785634" w:rsidP="00C84718">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732F51" id="_x0000_t202" coordsize="21600,21600" o:spt="202" path="m,l,21600r21600,l21600,xe">
              <v:stroke joinstyle="miter"/>
              <v:path gradientshapeok="t" o:connecttype="rect"/>
            </v:shapetype>
            <v:shape id="Caixa de Texto 121540034" o:spid="_x0000_s1031" type="#_x0000_t202" style="position:absolute;margin-left:-37.15pt;margin-top:15.75pt;width:479.25pt;height:42.75pt;z-index:2516583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" filled="f" stroked="f" strokeweight=".5pt">
              <v:textbox>
                <w:txbxContent>
                  <w:p w14:paraId="11D28A60" w14:textId="77777777" w:rsidR="00785634" w:rsidRPr="00906659" w:rsidRDefault="00785634" w:rsidP="00C84718">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5513405E" w14:textId="77777777" w:rsidR="00785634" w:rsidRPr="00906659" w:rsidRDefault="00785634" w:rsidP="00C84718">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5E993887" w14:textId="77777777" w:rsidR="00785634" w:rsidRPr="00906659" w:rsidRDefault="00785634" w:rsidP="00C84718">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Pr>
        <w:noProof/>
      </w:rPr>
      <w:drawing>
        <wp:anchor distT="0" distB="0" distL="114300" distR="114300" simplePos="0" relativeHeight="251658345" behindDoc="1" locked="0" layoutInCell="1" allowOverlap="1" wp14:anchorId="3974D990" wp14:editId="52CB3165">
          <wp:simplePos x="0" y="0"/>
          <wp:positionH relativeFrom="column">
            <wp:posOffset>-922020</wp:posOffset>
          </wp:positionH>
          <wp:positionV relativeFrom="page">
            <wp:posOffset>8890</wp:posOffset>
          </wp:positionV>
          <wp:extent cx="7577455" cy="944245"/>
          <wp:effectExtent l="0" t="0" r="4445" b="8255"/>
          <wp:wrapNone/>
          <wp:docPr id="2034368267" name="Imagem 2034368267"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p>
  <w:p w14:paraId="3E2B8AA8" w14:textId="77777777" w:rsidR="00785634" w:rsidRPr="00C84718" w:rsidRDefault="00785634" w:rsidP="00C84718">
    <w:pPr>
      <w:pStyle w:val="Cabealh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FD24B1" w14:textId="77777777" w:rsidR="00785634" w:rsidRDefault="00785634" w:rsidP="00785634">
    <w:r>
      <w:rPr>
        <w:noProof/>
      </w:rPr>
      <mc:AlternateContent>
        <mc:Choice Requires="wps">
          <w:drawing>
            <wp:anchor distT="0" distB="0" distL="114300" distR="114300" simplePos="0" relativeHeight="251658346" behindDoc="0" locked="0" layoutInCell="1" allowOverlap="1" wp14:anchorId="16F1CCD8" wp14:editId="554C2866">
              <wp:simplePos x="0" y="0"/>
              <wp:positionH relativeFrom="margin">
                <wp:posOffset>-471806</wp:posOffset>
              </wp:positionH>
              <wp:positionV relativeFrom="page">
                <wp:posOffset>238125</wp:posOffset>
              </wp:positionV>
              <wp:extent cx="6086475" cy="685800"/>
              <wp:effectExtent l="0" t="0" r="0" b="0"/>
              <wp:wrapNone/>
              <wp:docPr id="1022129138" name="Caixa de Texto 1022129138"/>
              <wp:cNvGraphicFramePr/>
              <a:graphic xmlns:a="http://schemas.openxmlformats.org/drawingml/2006/main">
                <a:graphicData uri="http://schemas.microsoft.com/office/word/2010/wordprocessingShape">
                  <wps:wsp>
                    <wps:cNvSpPr txBox="1"/>
                    <wps:spPr>
                      <a:xfrm>
                        <a:off x="0" y="0"/>
                        <a:ext cx="6086475" cy="685800"/>
                      </a:xfrm>
                      <a:prstGeom prst="rect">
                        <a:avLst/>
                      </a:prstGeom>
                      <a:noFill/>
                      <a:ln w="6350">
                        <a:noFill/>
                      </a:ln>
                    </wps:spPr>
                    <wps:txbx>
                      <w:txbxContent>
                        <w:p w14:paraId="31E203A3" w14:textId="77777777" w:rsidR="00785634" w:rsidRPr="00906659" w:rsidRDefault="00785634" w:rsidP="00785634">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46B23F55" w14:textId="77777777" w:rsidR="00785634" w:rsidRPr="00906659" w:rsidRDefault="00785634" w:rsidP="00785634">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3F3485C8" w14:textId="77777777" w:rsidR="00785634" w:rsidRPr="00906659" w:rsidRDefault="00785634" w:rsidP="00785634">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F1CCD8" id="_x0000_t202" coordsize="21600,21600" o:spt="202" path="m,l,21600r21600,l21600,xe">
              <v:stroke joinstyle="miter"/>
              <v:path gradientshapeok="t" o:connecttype="rect"/>
            </v:shapetype>
            <v:shape id="Caixa de Texto 1022129138" o:spid="_x0000_s1032" type="#_x0000_t202" style="position:absolute;margin-left:-37.15pt;margin-top:18.75pt;width:479.25pt;height:54pt;z-index:25165834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" filled="f" stroked="f" strokeweight=".5pt">
              <v:textbox>
                <w:txbxContent>
                  <w:p w14:paraId="31E203A3" w14:textId="77777777" w:rsidR="00785634" w:rsidRPr="00906659" w:rsidRDefault="00785634" w:rsidP="00785634">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46B23F55" w14:textId="77777777" w:rsidR="00785634" w:rsidRPr="00906659" w:rsidRDefault="00785634" w:rsidP="00785634">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3F3485C8" w14:textId="77777777" w:rsidR="00785634" w:rsidRPr="00906659" w:rsidRDefault="00785634" w:rsidP="00785634">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Pr>
        <w:noProof/>
      </w:rPr>
      <w:drawing>
        <wp:anchor distT="0" distB="0" distL="114300" distR="114300" simplePos="0" relativeHeight="251658347" behindDoc="1" locked="0" layoutInCell="1" allowOverlap="1" wp14:anchorId="65B6B827" wp14:editId="2DC3ADF9">
          <wp:simplePos x="0" y="0"/>
          <wp:positionH relativeFrom="column">
            <wp:posOffset>-925830</wp:posOffset>
          </wp:positionH>
          <wp:positionV relativeFrom="page">
            <wp:posOffset>-25400</wp:posOffset>
          </wp:positionV>
          <wp:extent cx="10701020" cy="1016000"/>
          <wp:effectExtent l="0" t="0" r="5080" b="0"/>
          <wp:wrapNone/>
          <wp:docPr id="1560569232" name="Imagem 1560569232"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814456" cy="1026770"/>
                  </a:xfrm>
                  <a:prstGeom prst="rect">
                    <a:avLst/>
                  </a:prstGeom>
                </pic:spPr>
              </pic:pic>
            </a:graphicData>
          </a:graphic>
          <wp14:sizeRelH relativeFrom="page">
            <wp14:pctWidth>0</wp14:pctWidth>
          </wp14:sizeRelH>
          <wp14:sizeRelV relativeFrom="page">
            <wp14:pctHeight>0</wp14:pctHeight>
          </wp14:sizeRelV>
        </wp:anchor>
      </w:drawing>
    </w:r>
  </w:p>
  <w:p w14:paraId="76758EBD" w14:textId="77777777" w:rsidR="00785634" w:rsidRDefault="00785634" w:rsidP="00785634">
    <w:pPr>
      <w:pStyle w:val="Cabealho"/>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A3FFA" w14:textId="77777777" w:rsidR="00C84718" w:rsidRDefault="00C84718" w:rsidP="00C84718">
    <w:r>
      <w:rPr>
        <w:noProof/>
      </w:rPr>
      <mc:AlternateContent>
        <mc:Choice Requires="wps">
          <w:drawing>
            <wp:anchor distT="0" distB="0" distL="114300" distR="114300" simplePos="0" relativeHeight="251658321" behindDoc="0" locked="0" layoutInCell="1" allowOverlap="1" wp14:anchorId="1804FC37" wp14:editId="124C8BC5">
              <wp:simplePos x="0" y="0"/>
              <wp:positionH relativeFrom="margin">
                <wp:posOffset>-471805</wp:posOffset>
              </wp:positionH>
              <wp:positionV relativeFrom="page">
                <wp:posOffset>200025</wp:posOffset>
              </wp:positionV>
              <wp:extent cx="6086475" cy="542925"/>
              <wp:effectExtent l="0" t="0" r="0" b="0"/>
              <wp:wrapNone/>
              <wp:docPr id="1021782161" name="Caixa de Texto 1021782161"/>
              <wp:cNvGraphicFramePr/>
              <a:graphic xmlns:a="http://schemas.openxmlformats.org/drawingml/2006/main">
                <a:graphicData uri="http://schemas.microsoft.com/office/word/2010/wordprocessingShape">
                  <wps:wsp>
                    <wps:cNvSpPr txBox="1"/>
                    <wps:spPr>
                      <a:xfrm>
                        <a:off x="0" y="0"/>
                        <a:ext cx="6086475" cy="542925"/>
                      </a:xfrm>
                      <a:prstGeom prst="rect">
                        <a:avLst/>
                      </a:prstGeom>
                      <a:noFill/>
                      <a:ln w="6350">
                        <a:noFill/>
                      </a:ln>
                    </wps:spPr>
                    <wps:txbx>
                      <w:txbxContent>
                        <w:p w14:paraId="3A10F7D1" w14:textId="77777777" w:rsidR="00C84718" w:rsidRPr="00906659" w:rsidRDefault="00C84718" w:rsidP="00C84718">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37FFCEA4" w14:textId="77777777" w:rsidR="00C84718" w:rsidRPr="00906659" w:rsidRDefault="00C84718" w:rsidP="00C84718">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6BA72884" w14:textId="77777777" w:rsidR="00C84718" w:rsidRPr="00906659" w:rsidRDefault="00C84718" w:rsidP="00C84718">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04FC37" id="_x0000_t202" coordsize="21600,21600" o:spt="202" path="m,l,21600r21600,l21600,xe">
              <v:stroke joinstyle="miter"/>
              <v:path gradientshapeok="t" o:connecttype="rect"/>
            </v:shapetype>
            <v:shape id="Caixa de Texto 1021782161" o:spid="_x0000_s1033" type="#_x0000_t202" style="position:absolute;margin-left:-37.15pt;margin-top:15.75pt;width:479.25pt;height:42.75pt;z-index:25165832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" filled="f" stroked="f" strokeweight=".5pt">
              <v:textbox>
                <w:txbxContent>
                  <w:p w14:paraId="3A10F7D1" w14:textId="77777777" w:rsidR="00C84718" w:rsidRPr="00906659" w:rsidRDefault="00C84718" w:rsidP="00C84718">
                    <w:pPr>
                      <w:rPr>
                        <w:rFonts w:ascii="CAIXA Std Book" w:hAnsi="CAIXA Std Book"/>
                        <w:color w:val="FFFFFF" w:themeColor="background1"/>
                        <w:sz w:val="16"/>
                        <w:szCs w:val="16"/>
                      </w:rPr>
                    </w:pPr>
                    <w:r>
                      <w:rPr>
                        <w:rFonts w:ascii="CAIXA Std Book" w:hAnsi="CAIXA Std Book"/>
                        <w:color w:val="FFFFFF" w:themeColor="background1"/>
                        <w:sz w:val="16"/>
                        <w:szCs w:val="16"/>
                      </w:rPr>
                      <w:t>D</w:t>
                    </w:r>
                    <w:r w:rsidRPr="00906659">
                      <w:rPr>
                        <w:rFonts w:ascii="CAIXA Std Book" w:hAnsi="CAIXA Std Book"/>
                        <w:color w:val="FFFFFF" w:themeColor="background1"/>
                        <w:sz w:val="16"/>
                        <w:szCs w:val="16"/>
                      </w:rPr>
                      <w:t>EMONSTRAÇÕES CONTÁBEIS</w:t>
                    </w:r>
                    <w:r>
                      <w:rPr>
                        <w:rFonts w:ascii="CAIXA Std Book" w:hAnsi="CAIXA Std Book"/>
                        <w:color w:val="FFFFFF" w:themeColor="background1"/>
                        <w:sz w:val="16"/>
                        <w:szCs w:val="16"/>
                      </w:rPr>
                      <w:t xml:space="preserve"> INTERMEDIÁRIAS</w:t>
                    </w:r>
                    <w:r w:rsidRPr="00906659">
                      <w:rPr>
                        <w:rFonts w:ascii="CAIXA Std Book" w:hAnsi="CAIXA Std Book"/>
                        <w:color w:val="FFFFFF" w:themeColor="background1"/>
                        <w:sz w:val="16"/>
                        <w:szCs w:val="16"/>
                      </w:rPr>
                      <w:t xml:space="preserve"> INDIVIDUAIS E CONSOLIDADAS</w:t>
                    </w:r>
                    <w:r>
                      <w:rPr>
                        <w:rFonts w:ascii="CAIXA Std Book" w:hAnsi="CAIXA Std Book"/>
                        <w:color w:val="FFFFFF" w:themeColor="background1"/>
                        <w:sz w:val="16"/>
                        <w:szCs w:val="16"/>
                      </w:rPr>
                      <w:t xml:space="preserve"> CONDENSADAS</w:t>
                    </w:r>
                  </w:p>
                  <w:p w14:paraId="37FFCEA4" w14:textId="77777777" w:rsidR="00C84718" w:rsidRPr="00906659" w:rsidRDefault="00C84718" w:rsidP="00C84718">
                    <w:pPr>
                      <w:rPr>
                        <w:rFonts w:ascii="CAIXA Std Book" w:hAnsi="CAIXA Std Book"/>
                        <w:color w:val="FFFFFF" w:themeColor="background1"/>
                        <w:sz w:val="16"/>
                        <w:szCs w:val="16"/>
                      </w:rPr>
                    </w:pPr>
                    <w:r w:rsidRPr="00906659">
                      <w:rPr>
                        <w:rFonts w:ascii="CAIXA Std Book" w:hAnsi="CAIXA Std Book"/>
                        <w:color w:val="FFFFFF" w:themeColor="background1"/>
                        <w:sz w:val="16"/>
                        <w:szCs w:val="16"/>
                      </w:rPr>
                      <w:t>3</w:t>
                    </w:r>
                    <w:r>
                      <w:rPr>
                        <w:rFonts w:ascii="CAIXA Std Book" w:hAnsi="CAIXA Std Book"/>
                        <w:color w:val="FFFFFF" w:themeColor="background1"/>
                        <w:sz w:val="16"/>
                        <w:szCs w:val="16"/>
                      </w:rPr>
                      <w:t xml:space="preserve">1 </w:t>
                    </w:r>
                    <w:r w:rsidRPr="00906659">
                      <w:rPr>
                        <w:rFonts w:ascii="CAIXA Std Book" w:hAnsi="CAIXA Std Book"/>
                        <w:color w:val="FFFFFF" w:themeColor="background1"/>
                        <w:sz w:val="16"/>
                        <w:szCs w:val="16"/>
                      </w:rPr>
                      <w:t>DE</w:t>
                    </w:r>
                    <w:r>
                      <w:rPr>
                        <w:rFonts w:ascii="CAIXA Std Book" w:hAnsi="CAIXA Std Book"/>
                        <w:color w:val="FFFFFF" w:themeColor="background1"/>
                        <w:sz w:val="16"/>
                        <w:szCs w:val="16"/>
                      </w:rPr>
                      <w:t xml:space="preserve"> MARÇO</w:t>
                    </w:r>
                    <w:r w:rsidRPr="00906659">
                      <w:rPr>
                        <w:rFonts w:ascii="CAIXA Std Book" w:hAnsi="CAIXA Std Book"/>
                        <w:color w:val="FFFFFF" w:themeColor="background1"/>
                        <w:sz w:val="16"/>
                        <w:szCs w:val="16"/>
                      </w:rPr>
                      <w:t xml:space="preserve"> DE 202</w:t>
                    </w:r>
                    <w:r>
                      <w:rPr>
                        <w:rFonts w:ascii="CAIXA Std Book" w:hAnsi="CAIXA Std Book"/>
                        <w:color w:val="FFFFFF" w:themeColor="background1"/>
                        <w:sz w:val="16"/>
                        <w:szCs w:val="16"/>
                      </w:rPr>
                      <w:t>6</w:t>
                    </w:r>
                  </w:p>
                  <w:p w14:paraId="6BA72884" w14:textId="77777777" w:rsidR="00C84718" w:rsidRPr="00906659" w:rsidRDefault="00C84718" w:rsidP="00C84718">
                    <w:pPr>
                      <w:rPr>
                        <w:rFonts w:ascii="CAIXA Std Book" w:hAnsi="CAIXA Std Book"/>
                        <w:color w:val="FFFFFF" w:themeColor="background1"/>
                        <w:sz w:val="14"/>
                        <w:szCs w:val="14"/>
                      </w:rPr>
                    </w:pPr>
                    <w:r w:rsidRPr="00906659">
                      <w:rPr>
                        <w:rFonts w:ascii="CAIXA Std Book" w:hAnsi="CAIXA Std Book"/>
                        <w:color w:val="FFFFFF" w:themeColor="background1"/>
                        <w:sz w:val="16"/>
                        <w:szCs w:val="16"/>
                      </w:rPr>
                      <w:t>Em milhares de reais, exceto quando indicado de outra forma.</w:t>
                    </w:r>
                  </w:p>
                </w:txbxContent>
              </v:textbox>
              <w10:wrap anchorx="margin" anchory="page"/>
            </v:shape>
          </w:pict>
        </mc:Fallback>
      </mc:AlternateContent>
    </w:r>
    <w:r>
      <w:rPr>
        <w:noProof/>
      </w:rPr>
      <w:drawing>
        <wp:anchor distT="0" distB="0" distL="114300" distR="114300" simplePos="0" relativeHeight="251658322" behindDoc="1" locked="0" layoutInCell="1" allowOverlap="1" wp14:anchorId="1D9ACA7A" wp14:editId="56566FDA">
          <wp:simplePos x="0" y="0"/>
          <wp:positionH relativeFrom="column">
            <wp:posOffset>-922020</wp:posOffset>
          </wp:positionH>
          <wp:positionV relativeFrom="page">
            <wp:posOffset>8890</wp:posOffset>
          </wp:positionV>
          <wp:extent cx="7577455" cy="944245"/>
          <wp:effectExtent l="0" t="0" r="4445" b="8255"/>
          <wp:wrapNone/>
          <wp:docPr id="551500360" name="Imagem 551500360"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Gráfico, Gráfico de funil&#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77455" cy="944245"/>
                  </a:xfrm>
                  <a:prstGeom prst="rect">
                    <a:avLst/>
                  </a:prstGeom>
                </pic:spPr>
              </pic:pic>
            </a:graphicData>
          </a:graphic>
          <wp14:sizeRelH relativeFrom="page">
            <wp14:pctWidth>0</wp14:pctWidth>
          </wp14:sizeRelH>
          <wp14:sizeRelV relativeFrom="page">
            <wp14:pctHeight>0</wp14:pctHeight>
          </wp14:sizeRelV>
        </wp:anchor>
      </w:drawing>
    </w:r>
  </w:p>
  <w:p w14:paraId="08A928EC" w14:textId="77777777" w:rsidR="00C84718" w:rsidRPr="00C84718" w:rsidRDefault="00C84718" w:rsidP="00C84718">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AB1BB0A"/>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36BE7880"/>
    <w:lvl w:ilvl="0">
      <w:start w:val="1"/>
      <w:numFmt w:val="decimal"/>
      <w:pStyle w:val="Numerada5"/>
      <w:lvlText w:val="%1."/>
      <w:lvlJc w:val="left"/>
      <w:pPr>
        <w:tabs>
          <w:tab w:val="num" w:pos="1132"/>
        </w:tabs>
        <w:ind w:left="1132" w:hanging="360"/>
      </w:pPr>
    </w:lvl>
  </w:abstractNum>
  <w:abstractNum w:abstractNumId="2" w15:restartNumberingAfterBreak="0">
    <w:nsid w:val="FFFFFF7D"/>
    <w:multiLevelType w:val="singleLevel"/>
    <w:tmpl w:val="A716A7E0"/>
    <w:lvl w:ilvl="0">
      <w:start w:val="1"/>
      <w:numFmt w:val="decimal"/>
      <w:pStyle w:val="Numerada4"/>
      <w:lvlText w:val="%1."/>
      <w:lvlJc w:val="left"/>
      <w:pPr>
        <w:tabs>
          <w:tab w:val="num" w:pos="1209"/>
        </w:tabs>
        <w:ind w:left="1209" w:hanging="360"/>
      </w:pPr>
    </w:lvl>
  </w:abstractNum>
  <w:abstractNum w:abstractNumId="3" w15:restartNumberingAfterBreak="0">
    <w:nsid w:val="FFFFFF7E"/>
    <w:multiLevelType w:val="singleLevel"/>
    <w:tmpl w:val="FBD48BE8"/>
    <w:lvl w:ilvl="0">
      <w:start w:val="1"/>
      <w:numFmt w:val="decimal"/>
      <w:pStyle w:val="Numerada3"/>
      <w:lvlText w:val="%1."/>
      <w:lvlJc w:val="left"/>
      <w:pPr>
        <w:tabs>
          <w:tab w:val="num" w:pos="926"/>
        </w:tabs>
        <w:ind w:left="926" w:hanging="360"/>
      </w:pPr>
    </w:lvl>
  </w:abstractNum>
  <w:abstractNum w:abstractNumId="4" w15:restartNumberingAfterBreak="0">
    <w:nsid w:val="FFFFFF7F"/>
    <w:multiLevelType w:val="singleLevel"/>
    <w:tmpl w:val="C7C424C0"/>
    <w:lvl w:ilvl="0">
      <w:start w:val="1"/>
      <w:numFmt w:val="decimal"/>
      <w:pStyle w:val="Numerada2"/>
      <w:lvlText w:val="%1."/>
      <w:lvlJc w:val="left"/>
      <w:pPr>
        <w:tabs>
          <w:tab w:val="num" w:pos="643"/>
        </w:tabs>
        <w:ind w:left="643" w:hanging="360"/>
      </w:pPr>
    </w:lvl>
  </w:abstractNum>
  <w:abstractNum w:abstractNumId="5" w15:restartNumberingAfterBreak="0">
    <w:nsid w:val="FFFFFF80"/>
    <w:multiLevelType w:val="singleLevel"/>
    <w:tmpl w:val="156C3416"/>
    <w:lvl w:ilvl="0">
      <w:start w:val="1"/>
      <w:numFmt w:val="bullet"/>
      <w:pStyle w:val="Commarcadores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A42827E8"/>
    <w:lvl w:ilvl="0">
      <w:start w:val="1"/>
      <w:numFmt w:val="bullet"/>
      <w:pStyle w:val="Commarcadores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7812B75C"/>
    <w:lvl w:ilvl="0">
      <w:start w:val="1"/>
      <w:numFmt w:val="bullet"/>
      <w:pStyle w:val="Commarcadores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0F800374"/>
    <w:lvl w:ilvl="0">
      <w:start w:val="1"/>
      <w:numFmt w:val="bullet"/>
      <w:pStyle w:val="Commarcadores2"/>
      <w:lvlText w:val=""/>
      <w:lvlJc w:val="left"/>
      <w:pPr>
        <w:tabs>
          <w:tab w:val="num" w:pos="643"/>
        </w:tabs>
        <w:ind w:left="643" w:hanging="360"/>
      </w:pPr>
      <w:rPr>
        <w:rFonts w:ascii="Symbol" w:hAnsi="Symbol" w:hint="default"/>
      </w:rPr>
    </w:lvl>
  </w:abstractNum>
  <w:abstractNum w:abstractNumId="9" w15:restartNumberingAfterBreak="0">
    <w:nsid w:val="FFFFFF89"/>
    <w:multiLevelType w:val="singleLevel"/>
    <w:tmpl w:val="74AC6CA4"/>
    <w:lvl w:ilvl="0">
      <w:start w:val="1"/>
      <w:numFmt w:val="bullet"/>
      <w:pStyle w:val="Commarcadores"/>
      <w:lvlText w:val=""/>
      <w:lvlJc w:val="left"/>
      <w:pPr>
        <w:tabs>
          <w:tab w:val="num" w:pos="360"/>
        </w:tabs>
        <w:ind w:left="360" w:hanging="360"/>
      </w:pPr>
      <w:rPr>
        <w:rFonts w:ascii="Symbol" w:hAnsi="Symbol" w:hint="default"/>
      </w:rPr>
    </w:lvl>
  </w:abstractNum>
  <w:abstractNum w:abstractNumId="10" w15:restartNumberingAfterBreak="0">
    <w:nsid w:val="033527C9"/>
    <w:multiLevelType w:val="hybridMultilevel"/>
    <w:tmpl w:val="4AF2AF08"/>
    <w:lvl w:ilvl="0" w:tplc="4EDA899C">
      <w:start w:val="1"/>
      <w:numFmt w:val="lowerLetter"/>
      <w:lvlText w:val="(%1)"/>
      <w:lvlJc w:val="left"/>
      <w:pPr>
        <w:ind w:left="6030" w:hanging="360"/>
      </w:pPr>
      <w:rPr>
        <w:rFonts w:cs="Yu Mincho Light" w:hint="default"/>
        <w:b/>
        <w:bCs/>
        <w:sz w:val="20"/>
        <w:szCs w:val="20"/>
      </w:rPr>
    </w:lvl>
    <w:lvl w:ilvl="1" w:tplc="04160019">
      <w:start w:val="1"/>
      <w:numFmt w:val="lowerLetter"/>
      <w:lvlText w:val="%2."/>
      <w:lvlJc w:val="left"/>
      <w:pPr>
        <w:ind w:left="1440" w:hanging="360"/>
      </w:pPr>
      <w:rPr>
        <w:rFonts w:cs="Yu Mincho Light"/>
      </w:rPr>
    </w:lvl>
    <w:lvl w:ilvl="2" w:tplc="0416001B" w:tentative="1">
      <w:start w:val="1"/>
      <w:numFmt w:val="lowerRoman"/>
      <w:lvlText w:val="%3."/>
      <w:lvlJc w:val="right"/>
      <w:pPr>
        <w:ind w:left="2160" w:hanging="180"/>
      </w:pPr>
      <w:rPr>
        <w:rFonts w:cs="Yu Mincho Light"/>
      </w:rPr>
    </w:lvl>
    <w:lvl w:ilvl="3" w:tplc="0416000F" w:tentative="1">
      <w:start w:val="1"/>
      <w:numFmt w:val="decimal"/>
      <w:lvlText w:val="%4."/>
      <w:lvlJc w:val="left"/>
      <w:pPr>
        <w:ind w:left="2880" w:hanging="360"/>
      </w:pPr>
      <w:rPr>
        <w:rFonts w:cs="Yu Mincho Light"/>
      </w:rPr>
    </w:lvl>
    <w:lvl w:ilvl="4" w:tplc="04160019" w:tentative="1">
      <w:start w:val="1"/>
      <w:numFmt w:val="lowerLetter"/>
      <w:lvlText w:val="%5."/>
      <w:lvlJc w:val="left"/>
      <w:pPr>
        <w:ind w:left="3600" w:hanging="360"/>
      </w:pPr>
      <w:rPr>
        <w:rFonts w:cs="Yu Mincho Light"/>
      </w:rPr>
    </w:lvl>
    <w:lvl w:ilvl="5" w:tplc="0416001B" w:tentative="1">
      <w:start w:val="1"/>
      <w:numFmt w:val="lowerRoman"/>
      <w:lvlText w:val="%6."/>
      <w:lvlJc w:val="right"/>
      <w:pPr>
        <w:ind w:left="4320" w:hanging="180"/>
      </w:pPr>
      <w:rPr>
        <w:rFonts w:cs="Yu Mincho Light"/>
      </w:rPr>
    </w:lvl>
    <w:lvl w:ilvl="6" w:tplc="0416000F" w:tentative="1">
      <w:start w:val="1"/>
      <w:numFmt w:val="decimal"/>
      <w:lvlText w:val="%7."/>
      <w:lvlJc w:val="left"/>
      <w:pPr>
        <w:ind w:left="5040" w:hanging="360"/>
      </w:pPr>
      <w:rPr>
        <w:rFonts w:cs="Yu Mincho Light"/>
      </w:rPr>
    </w:lvl>
    <w:lvl w:ilvl="7" w:tplc="04160019" w:tentative="1">
      <w:start w:val="1"/>
      <w:numFmt w:val="lowerLetter"/>
      <w:lvlText w:val="%8."/>
      <w:lvlJc w:val="left"/>
      <w:pPr>
        <w:ind w:left="5760" w:hanging="360"/>
      </w:pPr>
      <w:rPr>
        <w:rFonts w:cs="Yu Mincho Light"/>
      </w:rPr>
    </w:lvl>
    <w:lvl w:ilvl="8" w:tplc="0416001B" w:tentative="1">
      <w:start w:val="1"/>
      <w:numFmt w:val="lowerRoman"/>
      <w:lvlText w:val="%9."/>
      <w:lvlJc w:val="right"/>
      <w:pPr>
        <w:ind w:left="6480" w:hanging="180"/>
      </w:pPr>
      <w:rPr>
        <w:rFonts w:cs="Yu Mincho Light"/>
      </w:rPr>
    </w:lvl>
  </w:abstractNum>
  <w:abstractNum w:abstractNumId="11" w15:restartNumberingAfterBreak="0">
    <w:nsid w:val="03B56994"/>
    <w:multiLevelType w:val="hybridMultilevel"/>
    <w:tmpl w:val="BCB644F4"/>
    <w:lvl w:ilvl="0" w:tplc="45461C4E">
      <w:start w:val="1"/>
      <w:numFmt w:val="lowerLetter"/>
      <w:lvlText w:val="(%1)"/>
      <w:lvlJc w:val="left"/>
      <w:pPr>
        <w:ind w:left="709" w:hanging="709"/>
      </w:pPr>
      <w:rPr>
        <w:rFonts w:ascii="CAIXA Std Book" w:hAnsi="CAIXA Std Book" w:hint="default"/>
        <w:b/>
        <w:color w:val="005CA9"/>
        <w:sz w:val="20"/>
        <w:szCs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07870829"/>
    <w:multiLevelType w:val="hybridMultilevel"/>
    <w:tmpl w:val="FFC2399A"/>
    <w:lvl w:ilvl="0" w:tplc="454E58AA">
      <w:start w:val="1"/>
      <w:numFmt w:val="lowerLetter"/>
      <w:lvlText w:val="(%1)"/>
      <w:lvlJc w:val="left"/>
      <w:pPr>
        <w:ind w:left="720" w:hanging="360"/>
      </w:pPr>
      <w:rPr>
        <w:rFonts w:ascii="CAIXA Std Book" w:hAnsi="CAIXA Std Book"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94965E4"/>
    <w:multiLevelType w:val="hybridMultilevel"/>
    <w:tmpl w:val="CFDA5F18"/>
    <w:lvl w:ilvl="0" w:tplc="F754FEBA">
      <w:start w:val="1"/>
      <w:numFmt w:val="decimal"/>
      <w:lvlText w:val="(%1)"/>
      <w:lvlJc w:val="left"/>
      <w:pPr>
        <w:ind w:left="400" w:hanging="360"/>
      </w:pPr>
      <w:rPr>
        <w:rFonts w:hint="default"/>
      </w:rPr>
    </w:lvl>
    <w:lvl w:ilvl="1" w:tplc="04160019" w:tentative="1">
      <w:start w:val="1"/>
      <w:numFmt w:val="lowerLetter"/>
      <w:lvlText w:val="%2."/>
      <w:lvlJc w:val="left"/>
      <w:pPr>
        <w:ind w:left="1120" w:hanging="360"/>
      </w:pPr>
    </w:lvl>
    <w:lvl w:ilvl="2" w:tplc="0416001B" w:tentative="1">
      <w:start w:val="1"/>
      <w:numFmt w:val="lowerRoman"/>
      <w:lvlText w:val="%3."/>
      <w:lvlJc w:val="right"/>
      <w:pPr>
        <w:ind w:left="1840" w:hanging="180"/>
      </w:pPr>
    </w:lvl>
    <w:lvl w:ilvl="3" w:tplc="0416000F" w:tentative="1">
      <w:start w:val="1"/>
      <w:numFmt w:val="decimal"/>
      <w:lvlText w:val="%4."/>
      <w:lvlJc w:val="left"/>
      <w:pPr>
        <w:ind w:left="2560" w:hanging="360"/>
      </w:pPr>
    </w:lvl>
    <w:lvl w:ilvl="4" w:tplc="04160019" w:tentative="1">
      <w:start w:val="1"/>
      <w:numFmt w:val="lowerLetter"/>
      <w:lvlText w:val="%5."/>
      <w:lvlJc w:val="left"/>
      <w:pPr>
        <w:ind w:left="3280" w:hanging="360"/>
      </w:pPr>
    </w:lvl>
    <w:lvl w:ilvl="5" w:tplc="0416001B" w:tentative="1">
      <w:start w:val="1"/>
      <w:numFmt w:val="lowerRoman"/>
      <w:lvlText w:val="%6."/>
      <w:lvlJc w:val="right"/>
      <w:pPr>
        <w:ind w:left="4000" w:hanging="180"/>
      </w:pPr>
    </w:lvl>
    <w:lvl w:ilvl="6" w:tplc="0416000F" w:tentative="1">
      <w:start w:val="1"/>
      <w:numFmt w:val="decimal"/>
      <w:lvlText w:val="%7."/>
      <w:lvlJc w:val="left"/>
      <w:pPr>
        <w:ind w:left="4720" w:hanging="360"/>
      </w:pPr>
    </w:lvl>
    <w:lvl w:ilvl="7" w:tplc="04160019" w:tentative="1">
      <w:start w:val="1"/>
      <w:numFmt w:val="lowerLetter"/>
      <w:lvlText w:val="%8."/>
      <w:lvlJc w:val="left"/>
      <w:pPr>
        <w:ind w:left="5440" w:hanging="360"/>
      </w:pPr>
    </w:lvl>
    <w:lvl w:ilvl="8" w:tplc="0416001B" w:tentative="1">
      <w:start w:val="1"/>
      <w:numFmt w:val="lowerRoman"/>
      <w:lvlText w:val="%9."/>
      <w:lvlJc w:val="right"/>
      <w:pPr>
        <w:ind w:left="6160" w:hanging="180"/>
      </w:pPr>
    </w:lvl>
  </w:abstractNum>
  <w:abstractNum w:abstractNumId="14" w15:restartNumberingAfterBreak="0">
    <w:nsid w:val="0B9D2D24"/>
    <w:multiLevelType w:val="hybridMultilevel"/>
    <w:tmpl w:val="BC7A33A6"/>
    <w:lvl w:ilvl="0" w:tplc="FFFFFFFF">
      <w:start w:val="1"/>
      <w:numFmt w:val="lowerLetter"/>
      <w:lvlText w:val="(%1)"/>
      <w:lvlJc w:val="left"/>
      <w:pPr>
        <w:ind w:left="8015"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E336331"/>
    <w:multiLevelType w:val="multilevel"/>
    <w:tmpl w:val="A4087A08"/>
    <w:lvl w:ilvl="0">
      <w:start w:val="1"/>
      <w:numFmt w:val="lowerLetter"/>
      <w:lvlText w:val="(%1)"/>
      <w:lvlJc w:val="left"/>
      <w:pPr>
        <w:ind w:left="709" w:hanging="709"/>
      </w:pPr>
      <w:rPr>
        <w:rFonts w:hint="default"/>
        <w:b/>
        <w:i w:val="0"/>
        <w:color w:val="005CA9"/>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5039" w:hanging="360"/>
      </w:pPr>
      <w:rPr>
        <w:rFonts w:hint="default"/>
        <w:sz w:val="20"/>
        <w:szCs w:val="20"/>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11423520"/>
    <w:multiLevelType w:val="hybridMultilevel"/>
    <w:tmpl w:val="F940C89C"/>
    <w:lvl w:ilvl="0" w:tplc="63AAEE0C">
      <w:start w:val="1"/>
      <w:numFmt w:val="decimal"/>
      <w:lvlText w:val="(%1)"/>
      <w:lvlJc w:val="left"/>
      <w:pPr>
        <w:ind w:left="360" w:hanging="360"/>
      </w:pPr>
      <w:rPr>
        <w:rFonts w:hint="default"/>
      </w:rPr>
    </w:lvl>
    <w:lvl w:ilvl="1" w:tplc="64BC11A6">
      <w:start w:val="1"/>
      <w:numFmt w:val="lowerLetter"/>
      <w:lvlText w:val="(%2)"/>
      <w:lvlJc w:val="left"/>
      <w:pPr>
        <w:ind w:left="680" w:hanging="680"/>
      </w:pPr>
      <w:rPr>
        <w:rFonts w:hint="default"/>
      </w:r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7" w15:restartNumberingAfterBreak="0">
    <w:nsid w:val="13FC63CD"/>
    <w:multiLevelType w:val="multilevel"/>
    <w:tmpl w:val="994C8B7C"/>
    <w:lvl w:ilvl="0">
      <w:start w:val="1"/>
      <w:numFmt w:val="lowerLetter"/>
      <w:lvlText w:val="(%1)"/>
      <w:lvlJc w:val="left"/>
      <w:pPr>
        <w:ind w:left="709" w:hanging="709"/>
      </w:pPr>
      <w:rPr>
        <w:rFonts w:hint="default"/>
        <w:b/>
        <w:i w:val="0"/>
        <w:color w:val="005CA9"/>
        <w:sz w:val="20"/>
        <w:szCs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15406090"/>
    <w:multiLevelType w:val="hybridMultilevel"/>
    <w:tmpl w:val="7C04290C"/>
    <w:lvl w:ilvl="0" w:tplc="0408E96E">
      <w:start w:val="1"/>
      <w:numFmt w:val="bullet"/>
      <w:lvlRestart w:val="0"/>
      <w:pStyle w:val="Marcador1"/>
      <w:lvlText w:val=""/>
      <w:lvlJc w:val="left"/>
      <w:pPr>
        <w:tabs>
          <w:tab w:val="num" w:pos="0"/>
        </w:tabs>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CF4735B"/>
    <w:multiLevelType w:val="hybridMultilevel"/>
    <w:tmpl w:val="BCEAD222"/>
    <w:lvl w:ilvl="0" w:tplc="958A612A">
      <w:start w:val="1"/>
      <w:numFmt w:val="lowerLetter"/>
      <w:lvlText w:val="(%1)"/>
      <w:lvlJc w:val="left"/>
      <w:pPr>
        <w:ind w:left="567" w:hanging="567"/>
      </w:pPr>
      <w:rPr>
        <w:rFonts w:hint="default"/>
      </w:rPr>
    </w:lvl>
    <w:lvl w:ilvl="1" w:tplc="958A612A">
      <w:start w:val="1"/>
      <w:numFmt w:val="lowerLetter"/>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1E944797"/>
    <w:multiLevelType w:val="multilevel"/>
    <w:tmpl w:val="994C8B7C"/>
    <w:lvl w:ilvl="0">
      <w:start w:val="1"/>
      <w:numFmt w:val="lowerLetter"/>
      <w:lvlText w:val="(%1)"/>
      <w:lvlJc w:val="left"/>
      <w:pPr>
        <w:ind w:left="709" w:hanging="709"/>
      </w:pPr>
      <w:rPr>
        <w:rFonts w:hint="default"/>
        <w:b/>
        <w:i w:val="0"/>
        <w:color w:val="005CA9"/>
        <w:sz w:val="20"/>
        <w:szCs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23593D73"/>
    <w:multiLevelType w:val="hybridMultilevel"/>
    <w:tmpl w:val="556EBD6A"/>
    <w:lvl w:ilvl="0" w:tplc="3188AF42">
      <w:start w:val="1"/>
      <w:numFmt w:val="lowerLetter"/>
      <w:lvlText w:val="(%1)"/>
      <w:lvlJc w:val="left"/>
      <w:pPr>
        <w:ind w:left="360" w:hanging="360"/>
      </w:pPr>
      <w:rPr>
        <w:rFonts w:hint="default"/>
        <w:b/>
        <w:bCs/>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23C45EE4"/>
    <w:multiLevelType w:val="hybridMultilevel"/>
    <w:tmpl w:val="DC52DD2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25696509"/>
    <w:multiLevelType w:val="hybridMultilevel"/>
    <w:tmpl w:val="556EBD6A"/>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27F65276"/>
    <w:multiLevelType w:val="multilevel"/>
    <w:tmpl w:val="994C8B7C"/>
    <w:lvl w:ilvl="0">
      <w:start w:val="1"/>
      <w:numFmt w:val="lowerLetter"/>
      <w:lvlText w:val="(%1)"/>
      <w:lvlJc w:val="left"/>
      <w:pPr>
        <w:ind w:left="709" w:hanging="709"/>
      </w:pPr>
      <w:rPr>
        <w:rFonts w:hint="default"/>
        <w:b/>
        <w:i w:val="0"/>
        <w:color w:val="005CA9"/>
        <w:sz w:val="20"/>
        <w:szCs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29E86A70"/>
    <w:multiLevelType w:val="hybridMultilevel"/>
    <w:tmpl w:val="88CA561A"/>
    <w:lvl w:ilvl="0" w:tplc="8C02BF2C">
      <w:start w:val="1"/>
      <w:numFmt w:val="lowerLetter"/>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26" w15:restartNumberingAfterBreak="0">
    <w:nsid w:val="2BBA2B6F"/>
    <w:multiLevelType w:val="multilevel"/>
    <w:tmpl w:val="994C8B7C"/>
    <w:lvl w:ilvl="0">
      <w:start w:val="1"/>
      <w:numFmt w:val="lowerLetter"/>
      <w:lvlText w:val="(%1)"/>
      <w:lvlJc w:val="left"/>
      <w:pPr>
        <w:ind w:left="709" w:hanging="709"/>
      </w:pPr>
      <w:rPr>
        <w:rFonts w:hint="default"/>
        <w:b/>
        <w:i w:val="0"/>
        <w:color w:val="005CA9"/>
        <w:sz w:val="20"/>
        <w:szCs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2FD24868"/>
    <w:multiLevelType w:val="hybridMultilevel"/>
    <w:tmpl w:val="556EBD6A"/>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327C6CFC"/>
    <w:multiLevelType w:val="hybridMultilevel"/>
    <w:tmpl w:val="43A22308"/>
    <w:lvl w:ilvl="0" w:tplc="FFFFFFFF">
      <w:start w:val="1"/>
      <w:numFmt w:val="lowerLetter"/>
      <w:lvlText w:val="(%1)"/>
      <w:lvlJc w:val="left"/>
      <w:pPr>
        <w:ind w:left="1231" w:hanging="360"/>
      </w:pPr>
      <w:rPr>
        <w:rFonts w:hint="default"/>
      </w:rPr>
    </w:lvl>
    <w:lvl w:ilvl="1" w:tplc="FFFFFFFF" w:tentative="1">
      <w:start w:val="1"/>
      <w:numFmt w:val="lowerLetter"/>
      <w:lvlText w:val="%2."/>
      <w:lvlJc w:val="left"/>
      <w:pPr>
        <w:ind w:left="1951" w:hanging="360"/>
      </w:pPr>
    </w:lvl>
    <w:lvl w:ilvl="2" w:tplc="FFFFFFFF" w:tentative="1">
      <w:start w:val="1"/>
      <w:numFmt w:val="lowerRoman"/>
      <w:lvlText w:val="%3."/>
      <w:lvlJc w:val="right"/>
      <w:pPr>
        <w:ind w:left="2671" w:hanging="180"/>
      </w:pPr>
    </w:lvl>
    <w:lvl w:ilvl="3" w:tplc="FFFFFFFF" w:tentative="1">
      <w:start w:val="1"/>
      <w:numFmt w:val="decimal"/>
      <w:lvlText w:val="%4."/>
      <w:lvlJc w:val="left"/>
      <w:pPr>
        <w:ind w:left="3391" w:hanging="360"/>
      </w:pPr>
    </w:lvl>
    <w:lvl w:ilvl="4" w:tplc="FFFFFFFF" w:tentative="1">
      <w:start w:val="1"/>
      <w:numFmt w:val="lowerLetter"/>
      <w:lvlText w:val="%5."/>
      <w:lvlJc w:val="left"/>
      <w:pPr>
        <w:ind w:left="4111" w:hanging="360"/>
      </w:pPr>
    </w:lvl>
    <w:lvl w:ilvl="5" w:tplc="FFFFFFFF">
      <w:start w:val="1"/>
      <w:numFmt w:val="lowerRoman"/>
      <w:lvlText w:val="%6."/>
      <w:lvlJc w:val="right"/>
      <w:pPr>
        <w:ind w:left="4831" w:hanging="180"/>
      </w:pPr>
    </w:lvl>
    <w:lvl w:ilvl="6" w:tplc="FFFFFFFF" w:tentative="1">
      <w:start w:val="1"/>
      <w:numFmt w:val="decimal"/>
      <w:lvlText w:val="%7."/>
      <w:lvlJc w:val="left"/>
      <w:pPr>
        <w:ind w:left="5551" w:hanging="360"/>
      </w:pPr>
    </w:lvl>
    <w:lvl w:ilvl="7" w:tplc="FFFFFFFF" w:tentative="1">
      <w:start w:val="1"/>
      <w:numFmt w:val="lowerLetter"/>
      <w:lvlText w:val="%8."/>
      <w:lvlJc w:val="left"/>
      <w:pPr>
        <w:ind w:left="6271" w:hanging="360"/>
      </w:pPr>
    </w:lvl>
    <w:lvl w:ilvl="8" w:tplc="FFFFFFFF" w:tentative="1">
      <w:start w:val="1"/>
      <w:numFmt w:val="lowerRoman"/>
      <w:lvlText w:val="%9."/>
      <w:lvlJc w:val="right"/>
      <w:pPr>
        <w:ind w:left="6991" w:hanging="180"/>
      </w:pPr>
    </w:lvl>
  </w:abstractNum>
  <w:abstractNum w:abstractNumId="29" w15:restartNumberingAfterBreak="0">
    <w:nsid w:val="35B93F02"/>
    <w:multiLevelType w:val="multilevel"/>
    <w:tmpl w:val="994C8B7C"/>
    <w:lvl w:ilvl="0">
      <w:start w:val="1"/>
      <w:numFmt w:val="lowerLetter"/>
      <w:lvlText w:val="(%1)"/>
      <w:lvlJc w:val="left"/>
      <w:pPr>
        <w:ind w:left="709" w:hanging="709"/>
      </w:pPr>
      <w:rPr>
        <w:rFonts w:hint="default"/>
        <w:b/>
        <w:i w:val="0"/>
        <w:color w:val="005CA9"/>
        <w:sz w:val="20"/>
        <w:szCs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36936FD0"/>
    <w:multiLevelType w:val="hybridMultilevel"/>
    <w:tmpl w:val="9E465BB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36B73C32"/>
    <w:multiLevelType w:val="multilevel"/>
    <w:tmpl w:val="E3CCB04A"/>
    <w:lvl w:ilvl="0">
      <w:start w:val="2"/>
      <w:numFmt w:val="lowerLetter"/>
      <w:lvlText w:val="(%1)"/>
      <w:lvlJc w:val="left"/>
      <w:pPr>
        <w:ind w:left="709" w:hanging="709"/>
      </w:pPr>
      <w:rPr>
        <w:rFonts w:hint="default"/>
        <w:b/>
        <w:i w:val="0"/>
        <w:color w:val="005CA9"/>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39D325B9"/>
    <w:multiLevelType w:val="hybridMultilevel"/>
    <w:tmpl w:val="5F5837BA"/>
    <w:lvl w:ilvl="0" w:tplc="65ACFAAA">
      <w:start w:val="21"/>
      <w:numFmt w:val="lowerLetter"/>
      <w:lvlText w:val="(%1)"/>
      <w:lvlJc w:val="left"/>
      <w:pPr>
        <w:ind w:left="927" w:hanging="360"/>
      </w:pPr>
      <w:rPr>
        <w:rFonts w:hint="default"/>
        <w:b/>
        <w:bCs/>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33" w15:restartNumberingAfterBreak="0">
    <w:nsid w:val="3FFF4E4F"/>
    <w:multiLevelType w:val="hybridMultilevel"/>
    <w:tmpl w:val="BA5CE83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41C862D5"/>
    <w:multiLevelType w:val="hybridMultilevel"/>
    <w:tmpl w:val="84787B9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423767FD"/>
    <w:multiLevelType w:val="hybridMultilevel"/>
    <w:tmpl w:val="52201E7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42D10C8A"/>
    <w:multiLevelType w:val="hybridMultilevel"/>
    <w:tmpl w:val="A6B048AC"/>
    <w:lvl w:ilvl="0" w:tplc="FFFFFFFF">
      <w:start w:val="1"/>
      <w:numFmt w:val="lowerLetter"/>
      <w:lvlText w:val="(%1)"/>
      <w:lvlJc w:val="left"/>
      <w:pPr>
        <w:ind w:left="680" w:hanging="680"/>
      </w:pPr>
      <w:rPr>
        <w:rFonts w:ascii="CAIXA Std Book" w:hAnsi="CAIXA Std Book" w:hint="default"/>
        <w:b/>
        <w:color w:val="005CA9"/>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50EE7864"/>
    <w:multiLevelType w:val="hybridMultilevel"/>
    <w:tmpl w:val="E91C6A5A"/>
    <w:lvl w:ilvl="0" w:tplc="D9A41714">
      <w:start w:val="4"/>
      <w:numFmt w:val="lowerLetter"/>
      <w:lvlText w:val="(%1)"/>
      <w:lvlJc w:val="left"/>
      <w:pPr>
        <w:ind w:left="709" w:hanging="669"/>
      </w:pPr>
      <w:rPr>
        <w:rFonts w:ascii="CAIXA Std Book" w:hAnsi="CAIXA Std Book" w:hint="default"/>
        <w:b/>
        <w:i w:val="0"/>
        <w:color w:val="005CA9"/>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532B57E2"/>
    <w:multiLevelType w:val="hybridMultilevel"/>
    <w:tmpl w:val="5F94050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15:restartNumberingAfterBreak="0">
    <w:nsid w:val="582E33B5"/>
    <w:multiLevelType w:val="hybridMultilevel"/>
    <w:tmpl w:val="4BDCC31A"/>
    <w:lvl w:ilvl="0" w:tplc="2FC2A5F2">
      <w:start w:val="1"/>
      <w:numFmt w:val="lowerLetter"/>
      <w:lvlText w:val="(%1)"/>
      <w:lvlJc w:val="left"/>
      <w:pPr>
        <w:ind w:left="720" w:hanging="360"/>
      </w:pPr>
      <w:rPr>
        <w:rFonts w:ascii="CAIXA Std Book" w:hAnsi="CAIXA Std Book" w:hint="default"/>
        <w:b/>
        <w:color w:val="005CA9"/>
        <w:sz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58480A25"/>
    <w:multiLevelType w:val="multilevel"/>
    <w:tmpl w:val="D902CCDC"/>
    <w:lvl w:ilvl="0">
      <w:start w:val="5"/>
      <w:numFmt w:val="lowerLetter"/>
      <w:lvlText w:val="(%1)"/>
      <w:lvlJc w:val="left"/>
      <w:pPr>
        <w:ind w:left="709" w:hanging="709"/>
      </w:pPr>
      <w:rPr>
        <w:rFonts w:hint="default"/>
        <w:b/>
        <w:i w:val="0"/>
        <w:color w:val="005CA9"/>
        <w:sz w:val="20"/>
        <w:szCs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590445A9"/>
    <w:multiLevelType w:val="hybridMultilevel"/>
    <w:tmpl w:val="43A22308"/>
    <w:lvl w:ilvl="0" w:tplc="6C649536">
      <w:start w:val="1"/>
      <w:numFmt w:val="lowerLetter"/>
      <w:lvlText w:val="(%1)"/>
      <w:lvlJc w:val="left"/>
      <w:pPr>
        <w:ind w:left="1231" w:hanging="360"/>
      </w:pPr>
      <w:rPr>
        <w:rFonts w:hint="default"/>
      </w:rPr>
    </w:lvl>
    <w:lvl w:ilvl="1" w:tplc="04160019" w:tentative="1">
      <w:start w:val="1"/>
      <w:numFmt w:val="lowerLetter"/>
      <w:lvlText w:val="%2."/>
      <w:lvlJc w:val="left"/>
      <w:pPr>
        <w:ind w:left="1951" w:hanging="360"/>
      </w:pPr>
    </w:lvl>
    <w:lvl w:ilvl="2" w:tplc="0416001B" w:tentative="1">
      <w:start w:val="1"/>
      <w:numFmt w:val="lowerRoman"/>
      <w:lvlText w:val="%3."/>
      <w:lvlJc w:val="right"/>
      <w:pPr>
        <w:ind w:left="2671" w:hanging="180"/>
      </w:pPr>
    </w:lvl>
    <w:lvl w:ilvl="3" w:tplc="0416000F" w:tentative="1">
      <w:start w:val="1"/>
      <w:numFmt w:val="decimal"/>
      <w:lvlText w:val="%4."/>
      <w:lvlJc w:val="left"/>
      <w:pPr>
        <w:ind w:left="3391" w:hanging="360"/>
      </w:pPr>
    </w:lvl>
    <w:lvl w:ilvl="4" w:tplc="04160019" w:tentative="1">
      <w:start w:val="1"/>
      <w:numFmt w:val="lowerLetter"/>
      <w:lvlText w:val="%5."/>
      <w:lvlJc w:val="left"/>
      <w:pPr>
        <w:ind w:left="4111" w:hanging="360"/>
      </w:pPr>
    </w:lvl>
    <w:lvl w:ilvl="5" w:tplc="0416001B">
      <w:start w:val="1"/>
      <w:numFmt w:val="lowerRoman"/>
      <w:lvlText w:val="%6."/>
      <w:lvlJc w:val="right"/>
      <w:pPr>
        <w:ind w:left="4831" w:hanging="180"/>
      </w:pPr>
    </w:lvl>
    <w:lvl w:ilvl="6" w:tplc="0416000F" w:tentative="1">
      <w:start w:val="1"/>
      <w:numFmt w:val="decimal"/>
      <w:lvlText w:val="%7."/>
      <w:lvlJc w:val="left"/>
      <w:pPr>
        <w:ind w:left="5551" w:hanging="360"/>
      </w:pPr>
    </w:lvl>
    <w:lvl w:ilvl="7" w:tplc="04160019" w:tentative="1">
      <w:start w:val="1"/>
      <w:numFmt w:val="lowerLetter"/>
      <w:lvlText w:val="%8."/>
      <w:lvlJc w:val="left"/>
      <w:pPr>
        <w:ind w:left="6271" w:hanging="360"/>
      </w:pPr>
    </w:lvl>
    <w:lvl w:ilvl="8" w:tplc="0416001B" w:tentative="1">
      <w:start w:val="1"/>
      <w:numFmt w:val="lowerRoman"/>
      <w:lvlText w:val="%9."/>
      <w:lvlJc w:val="right"/>
      <w:pPr>
        <w:ind w:left="6991" w:hanging="180"/>
      </w:pPr>
    </w:lvl>
  </w:abstractNum>
  <w:abstractNum w:abstractNumId="42" w15:restartNumberingAfterBreak="0">
    <w:nsid w:val="5AFD5D7A"/>
    <w:multiLevelType w:val="multilevel"/>
    <w:tmpl w:val="BEAE9AAE"/>
    <w:lvl w:ilvl="0">
      <w:start w:val="3"/>
      <w:numFmt w:val="lowerLetter"/>
      <w:lvlText w:val="(%1)"/>
      <w:lvlJc w:val="left"/>
      <w:pPr>
        <w:ind w:left="709" w:hanging="709"/>
      </w:pPr>
      <w:rPr>
        <w:rFonts w:hint="default"/>
        <w:b/>
        <w:i w:val="0"/>
        <w:color w:val="005CA9"/>
        <w:sz w:val="20"/>
        <w:szCs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5BC4284C"/>
    <w:multiLevelType w:val="hybridMultilevel"/>
    <w:tmpl w:val="98764D88"/>
    <w:lvl w:ilvl="0" w:tplc="63AAEE0C">
      <w:start w:val="1"/>
      <w:numFmt w:val="decimal"/>
      <w:lvlText w:val="(%1)"/>
      <w:lvlJc w:val="left"/>
      <w:pPr>
        <w:ind w:left="720" w:hanging="360"/>
      </w:pPr>
      <w:rPr>
        <w:rFonts w:hint="default"/>
      </w:rPr>
    </w:lvl>
    <w:lvl w:ilvl="1" w:tplc="A9A6D280">
      <w:start w:val="1"/>
      <w:numFmt w:val="lowerLetter"/>
      <w:lvlText w:val="(%2)"/>
      <w:lvlJc w:val="left"/>
      <w:pPr>
        <w:ind w:left="680" w:hanging="680"/>
      </w:pPr>
      <w:rPr>
        <w:rFonts w:ascii="CAIXA Std Book" w:hAnsi="CAIXA Std Book" w:hint="default"/>
        <w:b/>
        <w:color w:val="005CA9"/>
        <w:sz w:val="20"/>
        <w:szCs w:val="20"/>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15:restartNumberingAfterBreak="0">
    <w:nsid w:val="5BCF5C3A"/>
    <w:multiLevelType w:val="hybridMultilevel"/>
    <w:tmpl w:val="C8504FE4"/>
    <w:lvl w:ilvl="0" w:tplc="278ED6EC">
      <w:start w:val="2"/>
      <w:numFmt w:val="lowerLetter"/>
      <w:lvlText w:val="(%1)"/>
      <w:lvlJc w:val="left"/>
      <w:pPr>
        <w:ind w:left="709" w:hanging="669"/>
      </w:pPr>
      <w:rPr>
        <w:rFonts w:ascii="CAIXA Std Book" w:hAnsi="CAIXA Std Book" w:hint="default"/>
        <w:b/>
        <w:i w:val="0"/>
        <w:color w:val="005CA9"/>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5E6474D7"/>
    <w:multiLevelType w:val="hybridMultilevel"/>
    <w:tmpl w:val="BC7A33A6"/>
    <w:lvl w:ilvl="0" w:tplc="E5825CBA">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15:restartNumberingAfterBreak="0">
    <w:nsid w:val="64607422"/>
    <w:multiLevelType w:val="hybridMultilevel"/>
    <w:tmpl w:val="3CAA98B2"/>
    <w:lvl w:ilvl="0" w:tplc="C3FA06DE">
      <w:start w:val="1"/>
      <w:numFmt w:val="lowerLetter"/>
      <w:lvlText w:val="(%1)"/>
      <w:lvlJc w:val="left"/>
      <w:pPr>
        <w:ind w:left="709" w:hanging="669"/>
      </w:pPr>
      <w:rPr>
        <w:rFonts w:ascii="CAIXA Std Book" w:hAnsi="CAIXA Std Book" w:hint="default"/>
        <w:b/>
        <w:i w:val="0"/>
        <w:color w:val="005CA9"/>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7" w15:restartNumberingAfterBreak="0">
    <w:nsid w:val="656054B1"/>
    <w:multiLevelType w:val="multilevel"/>
    <w:tmpl w:val="AF04DA3E"/>
    <w:lvl w:ilvl="0">
      <w:start w:val="1"/>
      <w:numFmt w:val="decimal"/>
      <w:lvlText w:val="%1 "/>
      <w:lvlJc w:val="left"/>
      <w:pPr>
        <w:tabs>
          <w:tab w:val="num" w:pos="360"/>
        </w:tabs>
      </w:pPr>
      <w:rPr>
        <w:rFonts w:ascii="Cambria Math" w:hAnsi="Cambria Math" w:cs="Yu Mincho Light" w:hint="default"/>
        <w:b/>
        <w:i w:val="0"/>
        <w:color w:val="auto"/>
        <w:sz w:val="18"/>
      </w:rPr>
    </w:lvl>
    <w:lvl w:ilvl="1">
      <w:start w:val="1"/>
      <w:numFmt w:val="decimal"/>
      <w:pStyle w:val="Normal2"/>
      <w:lvlText w:val="%1.%2 "/>
      <w:lvlJc w:val="left"/>
      <w:pPr>
        <w:tabs>
          <w:tab w:val="num" w:pos="600"/>
        </w:tabs>
        <w:ind w:left="240" w:hanging="240"/>
      </w:pPr>
      <w:rPr>
        <w:rFonts w:ascii="Cambria Math" w:hAnsi="Cambria Math" w:cs="Yu Mincho Light" w:hint="default"/>
        <w:b/>
        <w:i w:val="0"/>
        <w:color w:val="auto"/>
        <w:sz w:val="18"/>
      </w:rPr>
    </w:lvl>
    <w:lvl w:ilvl="2">
      <w:start w:val="1"/>
      <w:numFmt w:val="decimal"/>
      <w:pStyle w:val="Normal3"/>
      <w:lvlText w:val="%1.%2.%3 "/>
      <w:lvlJc w:val="left"/>
      <w:pPr>
        <w:tabs>
          <w:tab w:val="num" w:pos="720"/>
        </w:tabs>
      </w:pPr>
      <w:rPr>
        <w:rFonts w:ascii="Cambria Math" w:hAnsi="Cambria Math" w:cs="Yu Mincho Light" w:hint="default"/>
        <w:b/>
        <w:i w:val="0"/>
        <w:color w:val="auto"/>
        <w:sz w:val="18"/>
      </w:rPr>
    </w:lvl>
    <w:lvl w:ilvl="3">
      <w:start w:val="1"/>
      <w:numFmt w:val="decimal"/>
      <w:lvlText w:val="%1.%2.%3.%4 "/>
      <w:lvlJc w:val="left"/>
      <w:pPr>
        <w:tabs>
          <w:tab w:val="num" w:pos="720"/>
        </w:tabs>
      </w:pPr>
      <w:rPr>
        <w:rFonts w:ascii="Cambria Math" w:hAnsi="Cambria Math" w:cs="Yu Mincho Light" w:hint="default"/>
        <w:b/>
        <w:bCs w:val="0"/>
        <w:i w:val="0"/>
        <w:iCs w:val="0"/>
        <w:caps w:val="0"/>
        <w:smallCaps w:val="0"/>
        <w:strike w:val="0"/>
        <w:dstrike w:val="0"/>
        <w:vanish w:val="0"/>
        <w:color w:val="auto"/>
        <w:kern w:val="0"/>
        <w:position w:val="0"/>
        <w:sz w:val="18"/>
        <w:u w:val="none"/>
        <w:vertAlign w:val="baseline"/>
      </w:rPr>
    </w:lvl>
    <w:lvl w:ilvl="4">
      <w:start w:val="1"/>
      <w:numFmt w:val="decimal"/>
      <w:lvlText w:val="%1.%2.%3.%4.%5 "/>
      <w:lvlJc w:val="left"/>
      <w:pPr>
        <w:tabs>
          <w:tab w:val="num" w:pos="0"/>
        </w:tabs>
      </w:pPr>
      <w:rPr>
        <w:rFonts w:cs="Yu Mincho Light" w:hint="default"/>
        <w:b/>
        <w:i w:val="0"/>
      </w:rPr>
    </w:lvl>
    <w:lvl w:ilvl="5">
      <w:start w:val="1"/>
      <w:numFmt w:val="decimal"/>
      <w:lvlText w:val="%1.%2.%3.%4.%5.%6 "/>
      <w:lvlJc w:val="left"/>
      <w:pPr>
        <w:tabs>
          <w:tab w:val="num" w:pos="0"/>
        </w:tabs>
      </w:pPr>
      <w:rPr>
        <w:rFonts w:ascii="Cambria Math" w:hAnsi="Cambria Math" w:cs="Yu Mincho Light" w:hint="default"/>
        <w:b/>
        <w:i w:val="0"/>
        <w:color w:val="auto"/>
        <w:sz w:val="18"/>
      </w:rPr>
    </w:lvl>
    <w:lvl w:ilvl="6">
      <w:start w:val="1"/>
      <w:numFmt w:val="decimal"/>
      <w:lvlText w:val="%1.%2.%3.%4.%5.%6.%7 "/>
      <w:lvlJc w:val="left"/>
      <w:pPr>
        <w:tabs>
          <w:tab w:val="num" w:pos="1080"/>
        </w:tabs>
      </w:pPr>
      <w:rPr>
        <w:rFonts w:ascii="Cambria Math" w:hAnsi="Cambria Math" w:cs="Yu Mincho Light" w:hint="default"/>
        <w:b/>
        <w:i w:val="0"/>
        <w:color w:val="0000FF"/>
        <w:sz w:val="18"/>
      </w:rPr>
    </w:lvl>
    <w:lvl w:ilvl="7">
      <w:start w:val="1"/>
      <w:numFmt w:val="decimal"/>
      <w:lvlText w:val="%1.%2.%3.%4.%5.%6.%7.%8 "/>
      <w:lvlJc w:val="left"/>
      <w:pPr>
        <w:tabs>
          <w:tab w:val="num" w:pos="1440"/>
        </w:tabs>
      </w:pPr>
      <w:rPr>
        <w:rFonts w:ascii="Cambria Math" w:hAnsi="Cambria Math" w:cs="Yu Mincho Light" w:hint="default"/>
        <w:b/>
        <w:i w:val="0"/>
        <w:color w:val="0000FF"/>
        <w:sz w:val="18"/>
      </w:rPr>
    </w:lvl>
    <w:lvl w:ilvl="8">
      <w:start w:val="1"/>
      <w:numFmt w:val="decimal"/>
      <w:lvlText w:val="%1.%2.%3.%4.%5.%6.%7.%8.%9 "/>
      <w:lvlJc w:val="left"/>
      <w:pPr>
        <w:tabs>
          <w:tab w:val="num" w:pos="1440"/>
        </w:tabs>
      </w:pPr>
      <w:rPr>
        <w:rFonts w:ascii="Cambria Math" w:hAnsi="Cambria Math" w:cs="Yu Mincho Light" w:hint="default"/>
        <w:b/>
        <w:i w:val="0"/>
        <w:color w:val="0000FF"/>
        <w:sz w:val="18"/>
      </w:rPr>
    </w:lvl>
  </w:abstractNum>
  <w:abstractNum w:abstractNumId="48" w15:restartNumberingAfterBreak="0">
    <w:nsid w:val="66B44C5B"/>
    <w:multiLevelType w:val="hybridMultilevel"/>
    <w:tmpl w:val="10F4E880"/>
    <w:lvl w:ilvl="0" w:tplc="156E6374">
      <w:start w:val="1"/>
      <w:numFmt w:val="lowerLetter"/>
      <w:lvlText w:val="(%1)"/>
      <w:lvlJc w:val="left"/>
      <w:pPr>
        <w:ind w:left="567" w:hanging="567"/>
      </w:pPr>
      <w:rPr>
        <w:rFonts w:hint="default"/>
        <w:b/>
        <w:bCs/>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6709049E"/>
    <w:multiLevelType w:val="hybridMultilevel"/>
    <w:tmpl w:val="A6B048AC"/>
    <w:lvl w:ilvl="0" w:tplc="FFFFFFFF">
      <w:start w:val="1"/>
      <w:numFmt w:val="lowerLetter"/>
      <w:lvlText w:val="(%1)"/>
      <w:lvlJc w:val="left"/>
      <w:pPr>
        <w:ind w:left="680" w:hanging="680"/>
      </w:pPr>
      <w:rPr>
        <w:rFonts w:ascii="CAIXA Std Book" w:hAnsi="CAIXA Std Book" w:hint="default"/>
        <w:b/>
        <w:color w:val="005CA9"/>
        <w:sz w:val="20"/>
        <w:szCs w:val="2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67AC7EA9"/>
    <w:multiLevelType w:val="hybridMultilevel"/>
    <w:tmpl w:val="B6DA680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6ABC6CCA"/>
    <w:multiLevelType w:val="multilevel"/>
    <w:tmpl w:val="994C8B7C"/>
    <w:styleLink w:val="Listaatual2"/>
    <w:lvl w:ilvl="0">
      <w:start w:val="1"/>
      <w:numFmt w:val="lowerLetter"/>
      <w:lvlText w:val="(%1)"/>
      <w:lvlJc w:val="left"/>
      <w:pPr>
        <w:ind w:left="709" w:hanging="709"/>
      </w:pPr>
      <w:rPr>
        <w:rFonts w:hint="default"/>
        <w:b/>
        <w:i w:val="0"/>
        <w:color w:val="005CA9"/>
        <w:sz w:val="20"/>
        <w:szCs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70787EA7"/>
    <w:multiLevelType w:val="hybridMultilevel"/>
    <w:tmpl w:val="0C46208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3" w15:restartNumberingAfterBreak="0">
    <w:nsid w:val="7189526F"/>
    <w:multiLevelType w:val="multilevel"/>
    <w:tmpl w:val="7A4C5B4A"/>
    <w:lvl w:ilvl="0">
      <w:start w:val="1"/>
      <w:numFmt w:val="lowerLetter"/>
      <w:lvlText w:val="(%1)"/>
      <w:lvlJc w:val="left"/>
      <w:pPr>
        <w:ind w:left="709" w:hanging="709"/>
      </w:pPr>
      <w:rPr>
        <w:rFonts w:ascii="CAIXA Std Book" w:hAnsi="CAIXA Std Book" w:hint="default"/>
        <w:b/>
        <w:i w:val="0"/>
        <w:color w:val="005CA9"/>
        <w:sz w:val="20"/>
        <w:szCs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069" w:hanging="360"/>
      </w:pPr>
      <w:rPr>
        <w:rFonts w:hint="default"/>
        <w:sz w:val="20"/>
        <w:szCs w:val="20"/>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4" w15:restartNumberingAfterBreak="0">
    <w:nsid w:val="79336C3F"/>
    <w:multiLevelType w:val="hybridMultilevel"/>
    <w:tmpl w:val="5568D4E6"/>
    <w:styleLink w:val="PubliConLista"/>
    <w:lvl w:ilvl="0" w:tplc="03C02394">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7C580F4F"/>
    <w:multiLevelType w:val="multilevel"/>
    <w:tmpl w:val="A0E05404"/>
    <w:styleLink w:val="Listaatual1"/>
    <w:lvl w:ilvl="0">
      <w:start w:val="1"/>
      <w:numFmt w:val="none"/>
      <w:lvlText w:val="Nota %1"/>
      <w:lvlJc w:val="left"/>
      <w:pPr>
        <w:tabs>
          <w:tab w:val="num" w:pos="120"/>
        </w:tabs>
        <w:ind w:left="552" w:hanging="552"/>
      </w:pPr>
      <w:rPr>
        <w:rFonts w:ascii="Cambria Math" w:hAnsi="Cambria Math" w:cs="Yu Mincho Light" w:hint="default"/>
        <w:b/>
        <w:color w:val="auto"/>
        <w:sz w:val="22"/>
      </w:rPr>
    </w:lvl>
    <w:lvl w:ilvl="1">
      <w:start w:val="1"/>
      <w:numFmt w:val="decimal"/>
      <w:lvlText w:val="%1.%2"/>
      <w:lvlJc w:val="left"/>
      <w:pPr>
        <w:tabs>
          <w:tab w:val="num" w:pos="0"/>
        </w:tabs>
        <w:ind w:left="576" w:hanging="576"/>
      </w:pPr>
      <w:rPr>
        <w:rFonts w:cs="Yu Mincho Light" w:hint="default"/>
      </w:rPr>
    </w:lvl>
    <w:lvl w:ilvl="2">
      <w:start w:val="1"/>
      <w:numFmt w:val="decimal"/>
      <w:lvlText w:val="%1.%2.%3"/>
      <w:lvlJc w:val="left"/>
      <w:pPr>
        <w:tabs>
          <w:tab w:val="num" w:pos="0"/>
        </w:tabs>
        <w:ind w:left="720" w:hanging="720"/>
      </w:pPr>
      <w:rPr>
        <w:rFonts w:cs="Yu Mincho Light" w:hint="default"/>
        <w:i w:val="0"/>
        <w:color w:val="000000"/>
        <w:sz w:val="22"/>
        <w:szCs w:val="22"/>
      </w:rPr>
    </w:lvl>
    <w:lvl w:ilvl="3">
      <w:start w:val="1"/>
      <w:numFmt w:val="decimal"/>
      <w:lvlText w:val="%1.%2.%3.%4"/>
      <w:lvlJc w:val="left"/>
      <w:pPr>
        <w:tabs>
          <w:tab w:val="num" w:pos="0"/>
        </w:tabs>
        <w:ind w:left="864" w:hanging="864"/>
      </w:pPr>
      <w:rPr>
        <w:rFonts w:cs="Yu Mincho Light" w:hint="default"/>
      </w:rPr>
    </w:lvl>
    <w:lvl w:ilvl="4">
      <w:start w:val="1"/>
      <w:numFmt w:val="decimal"/>
      <w:lvlText w:val="%1.%2.%3.%4.%5"/>
      <w:lvlJc w:val="left"/>
      <w:pPr>
        <w:tabs>
          <w:tab w:val="num" w:pos="0"/>
        </w:tabs>
        <w:ind w:left="1008" w:hanging="1008"/>
      </w:pPr>
      <w:rPr>
        <w:rFonts w:cs="Yu Mincho Light" w:hint="default"/>
      </w:rPr>
    </w:lvl>
    <w:lvl w:ilvl="5">
      <w:start w:val="1"/>
      <w:numFmt w:val="decimal"/>
      <w:lvlText w:val="%1.%2.%3.%4.%5.%6"/>
      <w:lvlJc w:val="left"/>
      <w:pPr>
        <w:tabs>
          <w:tab w:val="num" w:pos="0"/>
        </w:tabs>
        <w:ind w:left="1152" w:hanging="1152"/>
      </w:pPr>
      <w:rPr>
        <w:rFonts w:cs="Yu Mincho Light" w:hint="default"/>
      </w:rPr>
    </w:lvl>
    <w:lvl w:ilvl="6">
      <w:start w:val="1"/>
      <w:numFmt w:val="decimal"/>
      <w:lvlText w:val="%1.%2.%3.%4.%5.%6.%7"/>
      <w:lvlJc w:val="left"/>
      <w:pPr>
        <w:tabs>
          <w:tab w:val="num" w:pos="0"/>
        </w:tabs>
        <w:ind w:left="1296" w:hanging="1296"/>
      </w:pPr>
      <w:rPr>
        <w:rFonts w:cs="Yu Mincho Light" w:hint="default"/>
      </w:rPr>
    </w:lvl>
    <w:lvl w:ilvl="7">
      <w:start w:val="1"/>
      <w:numFmt w:val="decimal"/>
      <w:lvlText w:val="%1.%2.%3.%4.%5.%6.%7.%8"/>
      <w:lvlJc w:val="left"/>
      <w:pPr>
        <w:tabs>
          <w:tab w:val="num" w:pos="0"/>
        </w:tabs>
        <w:ind w:left="1440" w:hanging="1440"/>
      </w:pPr>
      <w:rPr>
        <w:rFonts w:cs="Yu Mincho Light" w:hint="default"/>
      </w:rPr>
    </w:lvl>
    <w:lvl w:ilvl="8">
      <w:start w:val="1"/>
      <w:numFmt w:val="decimal"/>
      <w:lvlText w:val="%1.%2.%3.%4.%5.%6.%7.%8.%9"/>
      <w:lvlJc w:val="left"/>
      <w:pPr>
        <w:tabs>
          <w:tab w:val="num" w:pos="0"/>
        </w:tabs>
        <w:ind w:left="1584" w:hanging="1584"/>
      </w:pPr>
      <w:rPr>
        <w:rFonts w:cs="Yu Mincho Light" w:hint="default"/>
      </w:rPr>
    </w:lvl>
  </w:abstractNum>
  <w:num w:numId="1" w16cid:durableId="990715228">
    <w:abstractNumId w:val="47"/>
  </w:num>
  <w:num w:numId="2" w16cid:durableId="1403215092">
    <w:abstractNumId w:val="55"/>
  </w:num>
  <w:num w:numId="3" w16cid:durableId="324742773">
    <w:abstractNumId w:val="18"/>
  </w:num>
  <w:num w:numId="4" w16cid:durableId="1290623032">
    <w:abstractNumId w:val="19"/>
  </w:num>
  <w:num w:numId="5" w16cid:durableId="446241606">
    <w:abstractNumId w:val="21"/>
  </w:num>
  <w:num w:numId="6" w16cid:durableId="1082414027">
    <w:abstractNumId w:val="53"/>
  </w:num>
  <w:num w:numId="7" w16cid:durableId="1174883084">
    <w:abstractNumId w:val="31"/>
  </w:num>
  <w:num w:numId="8" w16cid:durableId="705954364">
    <w:abstractNumId w:val="10"/>
  </w:num>
  <w:num w:numId="9" w16cid:durableId="969748863">
    <w:abstractNumId w:val="43"/>
  </w:num>
  <w:num w:numId="10" w16cid:durableId="83690980">
    <w:abstractNumId w:val="16"/>
  </w:num>
  <w:num w:numId="11" w16cid:durableId="1112088700">
    <w:abstractNumId w:val="25"/>
  </w:num>
  <w:num w:numId="12" w16cid:durableId="279842833">
    <w:abstractNumId w:val="39"/>
  </w:num>
  <w:num w:numId="13" w16cid:durableId="1642805391">
    <w:abstractNumId w:val="13"/>
  </w:num>
  <w:num w:numId="14" w16cid:durableId="681664383">
    <w:abstractNumId w:val="45"/>
  </w:num>
  <w:num w:numId="15" w16cid:durableId="2043313939">
    <w:abstractNumId w:val="54"/>
  </w:num>
  <w:num w:numId="16" w16cid:durableId="1112169425">
    <w:abstractNumId w:val="12"/>
  </w:num>
  <w:num w:numId="17" w16cid:durableId="118228408">
    <w:abstractNumId w:val="27"/>
  </w:num>
  <w:num w:numId="18" w16cid:durableId="97875733">
    <w:abstractNumId w:val="23"/>
  </w:num>
  <w:num w:numId="19" w16cid:durableId="725840805">
    <w:abstractNumId w:val="17"/>
  </w:num>
  <w:num w:numId="20" w16cid:durableId="1282687520">
    <w:abstractNumId w:val="29"/>
  </w:num>
  <w:num w:numId="21" w16cid:durableId="1240409778">
    <w:abstractNumId w:val="24"/>
  </w:num>
  <w:num w:numId="22" w16cid:durableId="657004690">
    <w:abstractNumId w:val="51"/>
  </w:num>
  <w:num w:numId="23" w16cid:durableId="1205365214">
    <w:abstractNumId w:val="36"/>
  </w:num>
  <w:num w:numId="24" w16cid:durableId="1091856490">
    <w:abstractNumId w:val="49"/>
  </w:num>
  <w:num w:numId="25" w16cid:durableId="1037969282">
    <w:abstractNumId w:val="14"/>
  </w:num>
  <w:num w:numId="26" w16cid:durableId="39462350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49897070">
    <w:abstractNumId w:val="35"/>
  </w:num>
  <w:num w:numId="28" w16cid:durableId="1439443580">
    <w:abstractNumId w:val="8"/>
  </w:num>
  <w:num w:numId="29" w16cid:durableId="310057746">
    <w:abstractNumId w:val="15"/>
  </w:num>
  <w:num w:numId="30" w16cid:durableId="1167212496">
    <w:abstractNumId w:val="38"/>
  </w:num>
  <w:num w:numId="31" w16cid:durableId="670377240">
    <w:abstractNumId w:val="30"/>
  </w:num>
  <w:num w:numId="32" w16cid:durableId="2032560672">
    <w:abstractNumId w:val="50"/>
  </w:num>
  <w:num w:numId="33" w16cid:durableId="1398630001">
    <w:abstractNumId w:val="28"/>
  </w:num>
  <w:num w:numId="34" w16cid:durableId="809398314">
    <w:abstractNumId w:val="34"/>
  </w:num>
  <w:num w:numId="35" w16cid:durableId="612371517">
    <w:abstractNumId w:val="9"/>
  </w:num>
  <w:num w:numId="36" w16cid:durableId="1083332114">
    <w:abstractNumId w:val="7"/>
  </w:num>
  <w:num w:numId="37" w16cid:durableId="1564412559">
    <w:abstractNumId w:val="6"/>
  </w:num>
  <w:num w:numId="38" w16cid:durableId="1094204986">
    <w:abstractNumId w:val="5"/>
  </w:num>
  <w:num w:numId="39" w16cid:durableId="177473898">
    <w:abstractNumId w:val="4"/>
  </w:num>
  <w:num w:numId="40" w16cid:durableId="1929534743">
    <w:abstractNumId w:val="3"/>
  </w:num>
  <w:num w:numId="41" w16cid:durableId="375160755">
    <w:abstractNumId w:val="2"/>
  </w:num>
  <w:num w:numId="42" w16cid:durableId="515509148">
    <w:abstractNumId w:val="1"/>
  </w:num>
  <w:num w:numId="43" w16cid:durableId="110247735">
    <w:abstractNumId w:val="26"/>
  </w:num>
  <w:num w:numId="44" w16cid:durableId="456073366">
    <w:abstractNumId w:val="42"/>
  </w:num>
  <w:num w:numId="45" w16cid:durableId="699547732">
    <w:abstractNumId w:val="11"/>
  </w:num>
  <w:num w:numId="46" w16cid:durableId="419909783">
    <w:abstractNumId w:val="46"/>
  </w:num>
  <w:num w:numId="47" w16cid:durableId="1904173731">
    <w:abstractNumId w:val="37"/>
  </w:num>
  <w:num w:numId="48" w16cid:durableId="1345672760">
    <w:abstractNumId w:val="40"/>
  </w:num>
  <w:num w:numId="49" w16cid:durableId="1534271562">
    <w:abstractNumId w:val="44"/>
  </w:num>
  <w:num w:numId="50" w16cid:durableId="583998123">
    <w:abstractNumId w:val="20"/>
  </w:num>
  <w:num w:numId="51" w16cid:durableId="1899969946">
    <w:abstractNumId w:val="32"/>
  </w:num>
  <w:num w:numId="52" w16cid:durableId="1991131615">
    <w:abstractNumId w:val="48"/>
  </w:num>
  <w:num w:numId="53" w16cid:durableId="360669611">
    <w:abstractNumId w:val="22"/>
  </w:num>
  <w:num w:numId="54" w16cid:durableId="1344239615">
    <w:abstractNumId w:val="33"/>
  </w:num>
  <w:num w:numId="55" w16cid:durableId="858203661">
    <w:abstractNumId w:val="0"/>
  </w:num>
  <w:num w:numId="56" w16cid:durableId="509757000">
    <w:abstractNumId w:val="52"/>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3BBA"/>
    <w:rsid w:val="00000008"/>
    <w:rsid w:val="00000086"/>
    <w:rsid w:val="000000A4"/>
    <w:rsid w:val="000000AE"/>
    <w:rsid w:val="000000B9"/>
    <w:rsid w:val="0000012A"/>
    <w:rsid w:val="00000181"/>
    <w:rsid w:val="0000021D"/>
    <w:rsid w:val="00000243"/>
    <w:rsid w:val="000002A6"/>
    <w:rsid w:val="00000326"/>
    <w:rsid w:val="00000394"/>
    <w:rsid w:val="00000471"/>
    <w:rsid w:val="000004B2"/>
    <w:rsid w:val="000004EB"/>
    <w:rsid w:val="000005B4"/>
    <w:rsid w:val="000005C4"/>
    <w:rsid w:val="000005D4"/>
    <w:rsid w:val="000005DC"/>
    <w:rsid w:val="000005F2"/>
    <w:rsid w:val="0000068D"/>
    <w:rsid w:val="0000069F"/>
    <w:rsid w:val="000006AF"/>
    <w:rsid w:val="000006B0"/>
    <w:rsid w:val="000006BC"/>
    <w:rsid w:val="0000070D"/>
    <w:rsid w:val="00000719"/>
    <w:rsid w:val="000007DE"/>
    <w:rsid w:val="00000830"/>
    <w:rsid w:val="000008B0"/>
    <w:rsid w:val="000008DF"/>
    <w:rsid w:val="0000091D"/>
    <w:rsid w:val="00000931"/>
    <w:rsid w:val="00000935"/>
    <w:rsid w:val="00000A42"/>
    <w:rsid w:val="00000A7C"/>
    <w:rsid w:val="00000A81"/>
    <w:rsid w:val="00000A86"/>
    <w:rsid w:val="00000A89"/>
    <w:rsid w:val="00000A9E"/>
    <w:rsid w:val="00000ABD"/>
    <w:rsid w:val="00000AF7"/>
    <w:rsid w:val="00000B6B"/>
    <w:rsid w:val="00000C52"/>
    <w:rsid w:val="00000C5A"/>
    <w:rsid w:val="00000C9C"/>
    <w:rsid w:val="00000D01"/>
    <w:rsid w:val="00000E47"/>
    <w:rsid w:val="00000F19"/>
    <w:rsid w:val="00000F69"/>
    <w:rsid w:val="00000F75"/>
    <w:rsid w:val="00000FCA"/>
    <w:rsid w:val="00000FF6"/>
    <w:rsid w:val="00001026"/>
    <w:rsid w:val="0000102E"/>
    <w:rsid w:val="0000106B"/>
    <w:rsid w:val="000010D4"/>
    <w:rsid w:val="0000114A"/>
    <w:rsid w:val="00001189"/>
    <w:rsid w:val="0000118D"/>
    <w:rsid w:val="0000118F"/>
    <w:rsid w:val="000011B4"/>
    <w:rsid w:val="000011E8"/>
    <w:rsid w:val="00001244"/>
    <w:rsid w:val="000012CF"/>
    <w:rsid w:val="000012FA"/>
    <w:rsid w:val="00001322"/>
    <w:rsid w:val="0000132C"/>
    <w:rsid w:val="0000135A"/>
    <w:rsid w:val="000013A5"/>
    <w:rsid w:val="000013AE"/>
    <w:rsid w:val="000013BF"/>
    <w:rsid w:val="0000144E"/>
    <w:rsid w:val="000014A3"/>
    <w:rsid w:val="000014CE"/>
    <w:rsid w:val="000014CF"/>
    <w:rsid w:val="00001500"/>
    <w:rsid w:val="00001511"/>
    <w:rsid w:val="000015AE"/>
    <w:rsid w:val="000015E1"/>
    <w:rsid w:val="00001641"/>
    <w:rsid w:val="00001653"/>
    <w:rsid w:val="00001699"/>
    <w:rsid w:val="000016C5"/>
    <w:rsid w:val="0000172C"/>
    <w:rsid w:val="0000172E"/>
    <w:rsid w:val="000017B4"/>
    <w:rsid w:val="0000181E"/>
    <w:rsid w:val="00001822"/>
    <w:rsid w:val="00001870"/>
    <w:rsid w:val="000018BA"/>
    <w:rsid w:val="000018C6"/>
    <w:rsid w:val="00001917"/>
    <w:rsid w:val="00001956"/>
    <w:rsid w:val="000019A1"/>
    <w:rsid w:val="000019DB"/>
    <w:rsid w:val="000019F9"/>
    <w:rsid w:val="00001A07"/>
    <w:rsid w:val="00001A69"/>
    <w:rsid w:val="00001A8B"/>
    <w:rsid w:val="00001AF8"/>
    <w:rsid w:val="00001B40"/>
    <w:rsid w:val="00001B60"/>
    <w:rsid w:val="00001BC1"/>
    <w:rsid w:val="00001C16"/>
    <w:rsid w:val="00001C49"/>
    <w:rsid w:val="00001C67"/>
    <w:rsid w:val="00001CC8"/>
    <w:rsid w:val="00001D70"/>
    <w:rsid w:val="00001D8D"/>
    <w:rsid w:val="00001DA2"/>
    <w:rsid w:val="00001EAB"/>
    <w:rsid w:val="00001EDE"/>
    <w:rsid w:val="00001EEB"/>
    <w:rsid w:val="00001F4F"/>
    <w:rsid w:val="00001F50"/>
    <w:rsid w:val="00001FC1"/>
    <w:rsid w:val="00001FC9"/>
    <w:rsid w:val="00001FD7"/>
    <w:rsid w:val="00002042"/>
    <w:rsid w:val="0000207E"/>
    <w:rsid w:val="00002202"/>
    <w:rsid w:val="0000229D"/>
    <w:rsid w:val="000022B9"/>
    <w:rsid w:val="000022E5"/>
    <w:rsid w:val="00002380"/>
    <w:rsid w:val="00002387"/>
    <w:rsid w:val="0000246F"/>
    <w:rsid w:val="0000247B"/>
    <w:rsid w:val="00002559"/>
    <w:rsid w:val="000025A3"/>
    <w:rsid w:val="000026B4"/>
    <w:rsid w:val="000026DD"/>
    <w:rsid w:val="0000270E"/>
    <w:rsid w:val="000027AC"/>
    <w:rsid w:val="000027C7"/>
    <w:rsid w:val="000027CB"/>
    <w:rsid w:val="0000280A"/>
    <w:rsid w:val="00002824"/>
    <w:rsid w:val="0000286F"/>
    <w:rsid w:val="00002896"/>
    <w:rsid w:val="0000289E"/>
    <w:rsid w:val="00002910"/>
    <w:rsid w:val="00002941"/>
    <w:rsid w:val="0000299F"/>
    <w:rsid w:val="000029E1"/>
    <w:rsid w:val="00002A2B"/>
    <w:rsid w:val="00002A83"/>
    <w:rsid w:val="00002AE6"/>
    <w:rsid w:val="00002B15"/>
    <w:rsid w:val="00002B1D"/>
    <w:rsid w:val="00002B26"/>
    <w:rsid w:val="00002B49"/>
    <w:rsid w:val="00002B51"/>
    <w:rsid w:val="00002B82"/>
    <w:rsid w:val="00002B9D"/>
    <w:rsid w:val="00002CD3"/>
    <w:rsid w:val="00002D42"/>
    <w:rsid w:val="00002D66"/>
    <w:rsid w:val="00002D69"/>
    <w:rsid w:val="00002D6F"/>
    <w:rsid w:val="00002D98"/>
    <w:rsid w:val="00002DAF"/>
    <w:rsid w:val="00002DBC"/>
    <w:rsid w:val="00002E9B"/>
    <w:rsid w:val="00002ECF"/>
    <w:rsid w:val="00002EEB"/>
    <w:rsid w:val="00002F03"/>
    <w:rsid w:val="00002F75"/>
    <w:rsid w:val="00002F77"/>
    <w:rsid w:val="00002FAE"/>
    <w:rsid w:val="00002FBA"/>
    <w:rsid w:val="00002FDD"/>
    <w:rsid w:val="00002FED"/>
    <w:rsid w:val="0000300D"/>
    <w:rsid w:val="0000309B"/>
    <w:rsid w:val="0000324E"/>
    <w:rsid w:val="00003276"/>
    <w:rsid w:val="000032F2"/>
    <w:rsid w:val="0000335B"/>
    <w:rsid w:val="00003376"/>
    <w:rsid w:val="00003391"/>
    <w:rsid w:val="000033EA"/>
    <w:rsid w:val="00003475"/>
    <w:rsid w:val="000034A7"/>
    <w:rsid w:val="000034F0"/>
    <w:rsid w:val="000035CB"/>
    <w:rsid w:val="00003632"/>
    <w:rsid w:val="0000368D"/>
    <w:rsid w:val="000036B5"/>
    <w:rsid w:val="00003744"/>
    <w:rsid w:val="0000376C"/>
    <w:rsid w:val="0000377F"/>
    <w:rsid w:val="000037AA"/>
    <w:rsid w:val="000037B8"/>
    <w:rsid w:val="0000387C"/>
    <w:rsid w:val="0000388D"/>
    <w:rsid w:val="00003918"/>
    <w:rsid w:val="0000393B"/>
    <w:rsid w:val="0000399C"/>
    <w:rsid w:val="000039EA"/>
    <w:rsid w:val="00003A7E"/>
    <w:rsid w:val="00003AA4"/>
    <w:rsid w:val="00003AC7"/>
    <w:rsid w:val="00003B69"/>
    <w:rsid w:val="00003B8F"/>
    <w:rsid w:val="00003BD4"/>
    <w:rsid w:val="00003BD5"/>
    <w:rsid w:val="00003BFC"/>
    <w:rsid w:val="00003C90"/>
    <w:rsid w:val="00003CCA"/>
    <w:rsid w:val="00003CFB"/>
    <w:rsid w:val="00003D20"/>
    <w:rsid w:val="00003DD5"/>
    <w:rsid w:val="00003DE1"/>
    <w:rsid w:val="00003E8B"/>
    <w:rsid w:val="00003EB6"/>
    <w:rsid w:val="00003EB7"/>
    <w:rsid w:val="00003EC7"/>
    <w:rsid w:val="00003F6F"/>
    <w:rsid w:val="00003F7D"/>
    <w:rsid w:val="00003FA7"/>
    <w:rsid w:val="00003FF7"/>
    <w:rsid w:val="00004020"/>
    <w:rsid w:val="00004038"/>
    <w:rsid w:val="0000405B"/>
    <w:rsid w:val="000040A8"/>
    <w:rsid w:val="000041A5"/>
    <w:rsid w:val="000041F8"/>
    <w:rsid w:val="00004217"/>
    <w:rsid w:val="0000423D"/>
    <w:rsid w:val="0000424C"/>
    <w:rsid w:val="00004285"/>
    <w:rsid w:val="00004298"/>
    <w:rsid w:val="000042AB"/>
    <w:rsid w:val="00004329"/>
    <w:rsid w:val="00004391"/>
    <w:rsid w:val="000043D9"/>
    <w:rsid w:val="00004451"/>
    <w:rsid w:val="000044D9"/>
    <w:rsid w:val="00004534"/>
    <w:rsid w:val="0000455F"/>
    <w:rsid w:val="00004575"/>
    <w:rsid w:val="0000465B"/>
    <w:rsid w:val="0000469A"/>
    <w:rsid w:val="000047A5"/>
    <w:rsid w:val="000047BD"/>
    <w:rsid w:val="00004817"/>
    <w:rsid w:val="00004867"/>
    <w:rsid w:val="0000495B"/>
    <w:rsid w:val="0000498E"/>
    <w:rsid w:val="00004A32"/>
    <w:rsid w:val="00004A3B"/>
    <w:rsid w:val="00004A6C"/>
    <w:rsid w:val="00004A85"/>
    <w:rsid w:val="00004A9F"/>
    <w:rsid w:val="00004AE4"/>
    <w:rsid w:val="00004AF8"/>
    <w:rsid w:val="00004B03"/>
    <w:rsid w:val="00004B13"/>
    <w:rsid w:val="00004B23"/>
    <w:rsid w:val="00004B25"/>
    <w:rsid w:val="00004B3F"/>
    <w:rsid w:val="00004C5F"/>
    <w:rsid w:val="00004CB9"/>
    <w:rsid w:val="00004D21"/>
    <w:rsid w:val="00004D4B"/>
    <w:rsid w:val="00004D84"/>
    <w:rsid w:val="00004DA8"/>
    <w:rsid w:val="00004E52"/>
    <w:rsid w:val="00004E71"/>
    <w:rsid w:val="00004E83"/>
    <w:rsid w:val="00004E91"/>
    <w:rsid w:val="00004E92"/>
    <w:rsid w:val="00004ECF"/>
    <w:rsid w:val="00004F19"/>
    <w:rsid w:val="00004F22"/>
    <w:rsid w:val="00004F58"/>
    <w:rsid w:val="00004F7F"/>
    <w:rsid w:val="00004FD1"/>
    <w:rsid w:val="00004FF0"/>
    <w:rsid w:val="000050FE"/>
    <w:rsid w:val="0000512C"/>
    <w:rsid w:val="0000517F"/>
    <w:rsid w:val="00005190"/>
    <w:rsid w:val="00005194"/>
    <w:rsid w:val="000052C9"/>
    <w:rsid w:val="00005366"/>
    <w:rsid w:val="00005432"/>
    <w:rsid w:val="00005435"/>
    <w:rsid w:val="000054C9"/>
    <w:rsid w:val="0000550F"/>
    <w:rsid w:val="00005549"/>
    <w:rsid w:val="00005695"/>
    <w:rsid w:val="000056E0"/>
    <w:rsid w:val="000056EB"/>
    <w:rsid w:val="000056F5"/>
    <w:rsid w:val="00005744"/>
    <w:rsid w:val="00005792"/>
    <w:rsid w:val="000057AA"/>
    <w:rsid w:val="000057AC"/>
    <w:rsid w:val="000057B9"/>
    <w:rsid w:val="00005805"/>
    <w:rsid w:val="00005817"/>
    <w:rsid w:val="00005844"/>
    <w:rsid w:val="0000588A"/>
    <w:rsid w:val="000058E7"/>
    <w:rsid w:val="00005938"/>
    <w:rsid w:val="0000594D"/>
    <w:rsid w:val="000059C5"/>
    <w:rsid w:val="000059CC"/>
    <w:rsid w:val="000059F6"/>
    <w:rsid w:val="00005A62"/>
    <w:rsid w:val="00005A78"/>
    <w:rsid w:val="00005A7B"/>
    <w:rsid w:val="00005A8F"/>
    <w:rsid w:val="00005AA9"/>
    <w:rsid w:val="00005AD8"/>
    <w:rsid w:val="00005AED"/>
    <w:rsid w:val="00005B48"/>
    <w:rsid w:val="00005B97"/>
    <w:rsid w:val="00005BDF"/>
    <w:rsid w:val="00005C74"/>
    <w:rsid w:val="00005CBC"/>
    <w:rsid w:val="00005CBE"/>
    <w:rsid w:val="00005CFB"/>
    <w:rsid w:val="00005D00"/>
    <w:rsid w:val="00005D02"/>
    <w:rsid w:val="00005D19"/>
    <w:rsid w:val="00005D50"/>
    <w:rsid w:val="00005D5D"/>
    <w:rsid w:val="00005D64"/>
    <w:rsid w:val="00005E9A"/>
    <w:rsid w:val="00005F51"/>
    <w:rsid w:val="00005FCA"/>
    <w:rsid w:val="00005FDA"/>
    <w:rsid w:val="00006017"/>
    <w:rsid w:val="00006021"/>
    <w:rsid w:val="00006080"/>
    <w:rsid w:val="000060BE"/>
    <w:rsid w:val="000060F9"/>
    <w:rsid w:val="00006177"/>
    <w:rsid w:val="00006189"/>
    <w:rsid w:val="0000619E"/>
    <w:rsid w:val="0000621C"/>
    <w:rsid w:val="0000623F"/>
    <w:rsid w:val="00006287"/>
    <w:rsid w:val="000062B8"/>
    <w:rsid w:val="000062DD"/>
    <w:rsid w:val="000062EA"/>
    <w:rsid w:val="00006344"/>
    <w:rsid w:val="000063AD"/>
    <w:rsid w:val="00006424"/>
    <w:rsid w:val="00006447"/>
    <w:rsid w:val="00006541"/>
    <w:rsid w:val="00006578"/>
    <w:rsid w:val="00006592"/>
    <w:rsid w:val="00006596"/>
    <w:rsid w:val="0000659D"/>
    <w:rsid w:val="00006689"/>
    <w:rsid w:val="00006693"/>
    <w:rsid w:val="00006794"/>
    <w:rsid w:val="000067BF"/>
    <w:rsid w:val="000067F1"/>
    <w:rsid w:val="000067FE"/>
    <w:rsid w:val="000068CD"/>
    <w:rsid w:val="000068EE"/>
    <w:rsid w:val="00006979"/>
    <w:rsid w:val="00006A90"/>
    <w:rsid w:val="00006B90"/>
    <w:rsid w:val="00006B92"/>
    <w:rsid w:val="00006BA1"/>
    <w:rsid w:val="00006C04"/>
    <w:rsid w:val="00006C32"/>
    <w:rsid w:val="00006C4D"/>
    <w:rsid w:val="00006C5B"/>
    <w:rsid w:val="00006C86"/>
    <w:rsid w:val="00006CA5"/>
    <w:rsid w:val="00006CB2"/>
    <w:rsid w:val="00006D18"/>
    <w:rsid w:val="00006D95"/>
    <w:rsid w:val="00006DCB"/>
    <w:rsid w:val="00006DF3"/>
    <w:rsid w:val="00006EAC"/>
    <w:rsid w:val="00006ECF"/>
    <w:rsid w:val="00006F22"/>
    <w:rsid w:val="00006F2D"/>
    <w:rsid w:val="00006F68"/>
    <w:rsid w:val="00007055"/>
    <w:rsid w:val="0000705B"/>
    <w:rsid w:val="00007060"/>
    <w:rsid w:val="00007063"/>
    <w:rsid w:val="00007084"/>
    <w:rsid w:val="000070E5"/>
    <w:rsid w:val="0000711D"/>
    <w:rsid w:val="00007146"/>
    <w:rsid w:val="00007158"/>
    <w:rsid w:val="0000716D"/>
    <w:rsid w:val="0000719E"/>
    <w:rsid w:val="00007235"/>
    <w:rsid w:val="00007265"/>
    <w:rsid w:val="0000728C"/>
    <w:rsid w:val="00007290"/>
    <w:rsid w:val="000072C2"/>
    <w:rsid w:val="000072FF"/>
    <w:rsid w:val="00007326"/>
    <w:rsid w:val="00007380"/>
    <w:rsid w:val="00007390"/>
    <w:rsid w:val="000073F3"/>
    <w:rsid w:val="00007422"/>
    <w:rsid w:val="0000743D"/>
    <w:rsid w:val="0000743F"/>
    <w:rsid w:val="00007509"/>
    <w:rsid w:val="00007532"/>
    <w:rsid w:val="0000757E"/>
    <w:rsid w:val="0000763B"/>
    <w:rsid w:val="00007647"/>
    <w:rsid w:val="00007690"/>
    <w:rsid w:val="000076C1"/>
    <w:rsid w:val="000076D8"/>
    <w:rsid w:val="000076DD"/>
    <w:rsid w:val="000076F4"/>
    <w:rsid w:val="0000770A"/>
    <w:rsid w:val="00007712"/>
    <w:rsid w:val="00007761"/>
    <w:rsid w:val="00007772"/>
    <w:rsid w:val="000078AC"/>
    <w:rsid w:val="0000791D"/>
    <w:rsid w:val="00007925"/>
    <w:rsid w:val="00007959"/>
    <w:rsid w:val="0000796F"/>
    <w:rsid w:val="000079D0"/>
    <w:rsid w:val="000079DC"/>
    <w:rsid w:val="00007A02"/>
    <w:rsid w:val="00007AC2"/>
    <w:rsid w:val="00007AC7"/>
    <w:rsid w:val="00007ADB"/>
    <w:rsid w:val="00007B7A"/>
    <w:rsid w:val="00007B7B"/>
    <w:rsid w:val="00007B86"/>
    <w:rsid w:val="00007BA7"/>
    <w:rsid w:val="00007C20"/>
    <w:rsid w:val="00007C35"/>
    <w:rsid w:val="00007C6C"/>
    <w:rsid w:val="00007C70"/>
    <w:rsid w:val="00007CAF"/>
    <w:rsid w:val="00007CB7"/>
    <w:rsid w:val="00007CD7"/>
    <w:rsid w:val="00007DC0"/>
    <w:rsid w:val="00007E54"/>
    <w:rsid w:val="00007E60"/>
    <w:rsid w:val="00007EE9"/>
    <w:rsid w:val="00007F05"/>
    <w:rsid w:val="00007F2D"/>
    <w:rsid w:val="00007F86"/>
    <w:rsid w:val="00007FA6"/>
    <w:rsid w:val="0001003F"/>
    <w:rsid w:val="00010054"/>
    <w:rsid w:val="000100D1"/>
    <w:rsid w:val="00010111"/>
    <w:rsid w:val="0001016E"/>
    <w:rsid w:val="000101F7"/>
    <w:rsid w:val="00010209"/>
    <w:rsid w:val="0001026E"/>
    <w:rsid w:val="00010297"/>
    <w:rsid w:val="000102B5"/>
    <w:rsid w:val="000102C9"/>
    <w:rsid w:val="000102D6"/>
    <w:rsid w:val="0001032C"/>
    <w:rsid w:val="000103B4"/>
    <w:rsid w:val="0001040A"/>
    <w:rsid w:val="0001040E"/>
    <w:rsid w:val="00010433"/>
    <w:rsid w:val="00010503"/>
    <w:rsid w:val="00010635"/>
    <w:rsid w:val="000107A2"/>
    <w:rsid w:val="000107C8"/>
    <w:rsid w:val="000107F9"/>
    <w:rsid w:val="00010830"/>
    <w:rsid w:val="00010848"/>
    <w:rsid w:val="00010850"/>
    <w:rsid w:val="00010879"/>
    <w:rsid w:val="0001090D"/>
    <w:rsid w:val="0001095F"/>
    <w:rsid w:val="000109CE"/>
    <w:rsid w:val="00010A19"/>
    <w:rsid w:val="00010A5F"/>
    <w:rsid w:val="00010A67"/>
    <w:rsid w:val="00010B50"/>
    <w:rsid w:val="00010B9B"/>
    <w:rsid w:val="00010C04"/>
    <w:rsid w:val="00010C19"/>
    <w:rsid w:val="00010C1D"/>
    <w:rsid w:val="00010CA2"/>
    <w:rsid w:val="00010CA3"/>
    <w:rsid w:val="00010CCD"/>
    <w:rsid w:val="00010CD3"/>
    <w:rsid w:val="00010D2E"/>
    <w:rsid w:val="00010DB3"/>
    <w:rsid w:val="00010DFF"/>
    <w:rsid w:val="00010E0C"/>
    <w:rsid w:val="00010E80"/>
    <w:rsid w:val="00010EB6"/>
    <w:rsid w:val="00010F41"/>
    <w:rsid w:val="00010F97"/>
    <w:rsid w:val="00010FB5"/>
    <w:rsid w:val="00010FDD"/>
    <w:rsid w:val="00010FE5"/>
    <w:rsid w:val="00010FF5"/>
    <w:rsid w:val="00011077"/>
    <w:rsid w:val="0001109E"/>
    <w:rsid w:val="00011123"/>
    <w:rsid w:val="0001117C"/>
    <w:rsid w:val="0001119F"/>
    <w:rsid w:val="000111C1"/>
    <w:rsid w:val="000111CF"/>
    <w:rsid w:val="000111E7"/>
    <w:rsid w:val="00011212"/>
    <w:rsid w:val="00011223"/>
    <w:rsid w:val="000112EC"/>
    <w:rsid w:val="0001131C"/>
    <w:rsid w:val="00011354"/>
    <w:rsid w:val="000113C7"/>
    <w:rsid w:val="000114D9"/>
    <w:rsid w:val="000114E3"/>
    <w:rsid w:val="00011519"/>
    <w:rsid w:val="00011553"/>
    <w:rsid w:val="0001155A"/>
    <w:rsid w:val="000115B5"/>
    <w:rsid w:val="000115B6"/>
    <w:rsid w:val="0001164F"/>
    <w:rsid w:val="0001165D"/>
    <w:rsid w:val="00011692"/>
    <w:rsid w:val="000116E5"/>
    <w:rsid w:val="000116F8"/>
    <w:rsid w:val="00011739"/>
    <w:rsid w:val="00011777"/>
    <w:rsid w:val="000117EB"/>
    <w:rsid w:val="0001181A"/>
    <w:rsid w:val="0001182A"/>
    <w:rsid w:val="0001183A"/>
    <w:rsid w:val="0001183E"/>
    <w:rsid w:val="0001187E"/>
    <w:rsid w:val="0001189F"/>
    <w:rsid w:val="000118B5"/>
    <w:rsid w:val="00011A05"/>
    <w:rsid w:val="00011A69"/>
    <w:rsid w:val="00011B42"/>
    <w:rsid w:val="00011BF5"/>
    <w:rsid w:val="00011C32"/>
    <w:rsid w:val="00011CB7"/>
    <w:rsid w:val="00011D0B"/>
    <w:rsid w:val="00011D40"/>
    <w:rsid w:val="00011D6F"/>
    <w:rsid w:val="00011DCA"/>
    <w:rsid w:val="00011E2D"/>
    <w:rsid w:val="00011E48"/>
    <w:rsid w:val="00011E4A"/>
    <w:rsid w:val="00011E9C"/>
    <w:rsid w:val="00011EC5"/>
    <w:rsid w:val="00011ED5"/>
    <w:rsid w:val="00011EE1"/>
    <w:rsid w:val="00011EF1"/>
    <w:rsid w:val="00011EF7"/>
    <w:rsid w:val="00011F1A"/>
    <w:rsid w:val="00011F22"/>
    <w:rsid w:val="00011F9C"/>
    <w:rsid w:val="00011FEB"/>
    <w:rsid w:val="00012031"/>
    <w:rsid w:val="0001203A"/>
    <w:rsid w:val="00012047"/>
    <w:rsid w:val="00012089"/>
    <w:rsid w:val="000120E0"/>
    <w:rsid w:val="0001218F"/>
    <w:rsid w:val="000121C7"/>
    <w:rsid w:val="0001229D"/>
    <w:rsid w:val="000122F4"/>
    <w:rsid w:val="000123DD"/>
    <w:rsid w:val="000123F9"/>
    <w:rsid w:val="00012466"/>
    <w:rsid w:val="00012482"/>
    <w:rsid w:val="000124FE"/>
    <w:rsid w:val="0001256B"/>
    <w:rsid w:val="0001257F"/>
    <w:rsid w:val="000125C3"/>
    <w:rsid w:val="000125C5"/>
    <w:rsid w:val="000125EE"/>
    <w:rsid w:val="0001268B"/>
    <w:rsid w:val="000126AE"/>
    <w:rsid w:val="000126C3"/>
    <w:rsid w:val="0001274E"/>
    <w:rsid w:val="000127BD"/>
    <w:rsid w:val="000127C2"/>
    <w:rsid w:val="000127C4"/>
    <w:rsid w:val="000127E1"/>
    <w:rsid w:val="000127EF"/>
    <w:rsid w:val="00012819"/>
    <w:rsid w:val="00012830"/>
    <w:rsid w:val="000128E1"/>
    <w:rsid w:val="00012901"/>
    <w:rsid w:val="00012946"/>
    <w:rsid w:val="000129CC"/>
    <w:rsid w:val="000129CE"/>
    <w:rsid w:val="00012A28"/>
    <w:rsid w:val="00012A5D"/>
    <w:rsid w:val="00012A60"/>
    <w:rsid w:val="00012A70"/>
    <w:rsid w:val="00012AB3"/>
    <w:rsid w:val="00012B19"/>
    <w:rsid w:val="00012B1F"/>
    <w:rsid w:val="00012B2A"/>
    <w:rsid w:val="00012C5B"/>
    <w:rsid w:val="00012C8D"/>
    <w:rsid w:val="00012CB6"/>
    <w:rsid w:val="00012CED"/>
    <w:rsid w:val="00012D1E"/>
    <w:rsid w:val="00012D6B"/>
    <w:rsid w:val="00012D78"/>
    <w:rsid w:val="00012D8E"/>
    <w:rsid w:val="00012DBA"/>
    <w:rsid w:val="00012DD4"/>
    <w:rsid w:val="00012E57"/>
    <w:rsid w:val="00012E7F"/>
    <w:rsid w:val="00012E94"/>
    <w:rsid w:val="00012EC2"/>
    <w:rsid w:val="00012EF7"/>
    <w:rsid w:val="00012EFF"/>
    <w:rsid w:val="00012F2C"/>
    <w:rsid w:val="00012FD4"/>
    <w:rsid w:val="00012FDA"/>
    <w:rsid w:val="00013029"/>
    <w:rsid w:val="00013074"/>
    <w:rsid w:val="000130BF"/>
    <w:rsid w:val="0001313A"/>
    <w:rsid w:val="00013173"/>
    <w:rsid w:val="0001319A"/>
    <w:rsid w:val="000131D1"/>
    <w:rsid w:val="00013247"/>
    <w:rsid w:val="00013251"/>
    <w:rsid w:val="0001327C"/>
    <w:rsid w:val="00013286"/>
    <w:rsid w:val="0001329A"/>
    <w:rsid w:val="0001330A"/>
    <w:rsid w:val="000133C2"/>
    <w:rsid w:val="000133E4"/>
    <w:rsid w:val="00013400"/>
    <w:rsid w:val="00013408"/>
    <w:rsid w:val="00013421"/>
    <w:rsid w:val="00013445"/>
    <w:rsid w:val="00013446"/>
    <w:rsid w:val="00013461"/>
    <w:rsid w:val="00013481"/>
    <w:rsid w:val="00013482"/>
    <w:rsid w:val="00013505"/>
    <w:rsid w:val="00013572"/>
    <w:rsid w:val="000136A4"/>
    <w:rsid w:val="000136DF"/>
    <w:rsid w:val="00013702"/>
    <w:rsid w:val="00013735"/>
    <w:rsid w:val="000137C2"/>
    <w:rsid w:val="00013865"/>
    <w:rsid w:val="0001386E"/>
    <w:rsid w:val="0001388F"/>
    <w:rsid w:val="0001390F"/>
    <w:rsid w:val="00013960"/>
    <w:rsid w:val="00013971"/>
    <w:rsid w:val="000139A8"/>
    <w:rsid w:val="000139BA"/>
    <w:rsid w:val="00013A14"/>
    <w:rsid w:val="00013A2B"/>
    <w:rsid w:val="00013A85"/>
    <w:rsid w:val="00013AAF"/>
    <w:rsid w:val="00013AF8"/>
    <w:rsid w:val="00013AFF"/>
    <w:rsid w:val="00013B2F"/>
    <w:rsid w:val="00013B47"/>
    <w:rsid w:val="00013B4F"/>
    <w:rsid w:val="00013B56"/>
    <w:rsid w:val="00013C02"/>
    <w:rsid w:val="00013C24"/>
    <w:rsid w:val="00013C31"/>
    <w:rsid w:val="00013CAB"/>
    <w:rsid w:val="00013CF4"/>
    <w:rsid w:val="00013D4B"/>
    <w:rsid w:val="00013D56"/>
    <w:rsid w:val="00013DD6"/>
    <w:rsid w:val="00013DDA"/>
    <w:rsid w:val="00013E18"/>
    <w:rsid w:val="00013E6A"/>
    <w:rsid w:val="00013E9C"/>
    <w:rsid w:val="00013EAE"/>
    <w:rsid w:val="00013F5F"/>
    <w:rsid w:val="00013F76"/>
    <w:rsid w:val="00013FC0"/>
    <w:rsid w:val="00013FC8"/>
    <w:rsid w:val="00013FE2"/>
    <w:rsid w:val="00014007"/>
    <w:rsid w:val="0001404B"/>
    <w:rsid w:val="0001406A"/>
    <w:rsid w:val="0001407D"/>
    <w:rsid w:val="0001409A"/>
    <w:rsid w:val="000140A1"/>
    <w:rsid w:val="000140B3"/>
    <w:rsid w:val="000140DC"/>
    <w:rsid w:val="000140FD"/>
    <w:rsid w:val="0001415A"/>
    <w:rsid w:val="0001415F"/>
    <w:rsid w:val="0001417D"/>
    <w:rsid w:val="0001421B"/>
    <w:rsid w:val="0001422F"/>
    <w:rsid w:val="00014250"/>
    <w:rsid w:val="0001425B"/>
    <w:rsid w:val="000142D1"/>
    <w:rsid w:val="0001432F"/>
    <w:rsid w:val="000143B3"/>
    <w:rsid w:val="000143DE"/>
    <w:rsid w:val="00014452"/>
    <w:rsid w:val="00014561"/>
    <w:rsid w:val="000145D3"/>
    <w:rsid w:val="000145F3"/>
    <w:rsid w:val="000145F9"/>
    <w:rsid w:val="00014685"/>
    <w:rsid w:val="000146BE"/>
    <w:rsid w:val="000146CB"/>
    <w:rsid w:val="0001471B"/>
    <w:rsid w:val="0001473B"/>
    <w:rsid w:val="0001476F"/>
    <w:rsid w:val="000147ED"/>
    <w:rsid w:val="00014846"/>
    <w:rsid w:val="00014854"/>
    <w:rsid w:val="000148A9"/>
    <w:rsid w:val="000148C4"/>
    <w:rsid w:val="000148C8"/>
    <w:rsid w:val="000148C9"/>
    <w:rsid w:val="00014909"/>
    <w:rsid w:val="0001490E"/>
    <w:rsid w:val="0001492C"/>
    <w:rsid w:val="000149FA"/>
    <w:rsid w:val="00014A0A"/>
    <w:rsid w:val="00014A72"/>
    <w:rsid w:val="00014A7E"/>
    <w:rsid w:val="00014A8B"/>
    <w:rsid w:val="00014AA4"/>
    <w:rsid w:val="00014AF7"/>
    <w:rsid w:val="00014B3A"/>
    <w:rsid w:val="00014B8E"/>
    <w:rsid w:val="00014C2A"/>
    <w:rsid w:val="00014C32"/>
    <w:rsid w:val="00014C93"/>
    <w:rsid w:val="00014D53"/>
    <w:rsid w:val="00014DA3"/>
    <w:rsid w:val="00014E07"/>
    <w:rsid w:val="00014E76"/>
    <w:rsid w:val="00014ED4"/>
    <w:rsid w:val="00014EE1"/>
    <w:rsid w:val="00014EE4"/>
    <w:rsid w:val="00014F73"/>
    <w:rsid w:val="00014F9E"/>
    <w:rsid w:val="00014FDA"/>
    <w:rsid w:val="0001505C"/>
    <w:rsid w:val="00015081"/>
    <w:rsid w:val="000150CF"/>
    <w:rsid w:val="00015162"/>
    <w:rsid w:val="000151BB"/>
    <w:rsid w:val="000151C2"/>
    <w:rsid w:val="000151C7"/>
    <w:rsid w:val="00015236"/>
    <w:rsid w:val="0001525D"/>
    <w:rsid w:val="00015261"/>
    <w:rsid w:val="000152D0"/>
    <w:rsid w:val="00015347"/>
    <w:rsid w:val="000153AA"/>
    <w:rsid w:val="000153B4"/>
    <w:rsid w:val="000153EC"/>
    <w:rsid w:val="000153FD"/>
    <w:rsid w:val="000154B6"/>
    <w:rsid w:val="000154D1"/>
    <w:rsid w:val="00015532"/>
    <w:rsid w:val="0001557B"/>
    <w:rsid w:val="00015580"/>
    <w:rsid w:val="000155C1"/>
    <w:rsid w:val="000155D9"/>
    <w:rsid w:val="00015627"/>
    <w:rsid w:val="00015689"/>
    <w:rsid w:val="000156F7"/>
    <w:rsid w:val="0001573A"/>
    <w:rsid w:val="000157D8"/>
    <w:rsid w:val="00015875"/>
    <w:rsid w:val="000158E4"/>
    <w:rsid w:val="0001593B"/>
    <w:rsid w:val="00015958"/>
    <w:rsid w:val="0001599D"/>
    <w:rsid w:val="000159CA"/>
    <w:rsid w:val="000159D4"/>
    <w:rsid w:val="00015A64"/>
    <w:rsid w:val="00015AFC"/>
    <w:rsid w:val="00015B53"/>
    <w:rsid w:val="00015B65"/>
    <w:rsid w:val="00015B67"/>
    <w:rsid w:val="00015BC4"/>
    <w:rsid w:val="00015C1E"/>
    <w:rsid w:val="00015C82"/>
    <w:rsid w:val="00015CD9"/>
    <w:rsid w:val="00015D20"/>
    <w:rsid w:val="00015D6C"/>
    <w:rsid w:val="00015D7C"/>
    <w:rsid w:val="00015D98"/>
    <w:rsid w:val="00015E02"/>
    <w:rsid w:val="00015E61"/>
    <w:rsid w:val="00015E8F"/>
    <w:rsid w:val="00015F08"/>
    <w:rsid w:val="00015F18"/>
    <w:rsid w:val="00015F5C"/>
    <w:rsid w:val="00015F87"/>
    <w:rsid w:val="00015F89"/>
    <w:rsid w:val="0001604D"/>
    <w:rsid w:val="00016081"/>
    <w:rsid w:val="00016096"/>
    <w:rsid w:val="000160BE"/>
    <w:rsid w:val="000160CC"/>
    <w:rsid w:val="00016116"/>
    <w:rsid w:val="00016131"/>
    <w:rsid w:val="0001618F"/>
    <w:rsid w:val="000161B3"/>
    <w:rsid w:val="000161BE"/>
    <w:rsid w:val="000161E8"/>
    <w:rsid w:val="000161E9"/>
    <w:rsid w:val="00016201"/>
    <w:rsid w:val="00016243"/>
    <w:rsid w:val="0001625D"/>
    <w:rsid w:val="0001626C"/>
    <w:rsid w:val="00016354"/>
    <w:rsid w:val="000163BA"/>
    <w:rsid w:val="00016420"/>
    <w:rsid w:val="00016491"/>
    <w:rsid w:val="000165A5"/>
    <w:rsid w:val="00016608"/>
    <w:rsid w:val="00016640"/>
    <w:rsid w:val="00016643"/>
    <w:rsid w:val="000166BD"/>
    <w:rsid w:val="000166F8"/>
    <w:rsid w:val="000166FC"/>
    <w:rsid w:val="0001673E"/>
    <w:rsid w:val="00016780"/>
    <w:rsid w:val="00016798"/>
    <w:rsid w:val="000167EF"/>
    <w:rsid w:val="000168F8"/>
    <w:rsid w:val="00016932"/>
    <w:rsid w:val="00016953"/>
    <w:rsid w:val="000169C0"/>
    <w:rsid w:val="000169C7"/>
    <w:rsid w:val="000169CB"/>
    <w:rsid w:val="00016A2D"/>
    <w:rsid w:val="00016B11"/>
    <w:rsid w:val="00016B31"/>
    <w:rsid w:val="00016B71"/>
    <w:rsid w:val="00016C1A"/>
    <w:rsid w:val="00016D55"/>
    <w:rsid w:val="00016D74"/>
    <w:rsid w:val="00016E2E"/>
    <w:rsid w:val="00016E83"/>
    <w:rsid w:val="00016E9F"/>
    <w:rsid w:val="00016ECA"/>
    <w:rsid w:val="00016F16"/>
    <w:rsid w:val="00016F68"/>
    <w:rsid w:val="00016FFD"/>
    <w:rsid w:val="00017055"/>
    <w:rsid w:val="0001712C"/>
    <w:rsid w:val="00017181"/>
    <w:rsid w:val="000171A8"/>
    <w:rsid w:val="000171B9"/>
    <w:rsid w:val="000171CF"/>
    <w:rsid w:val="000171D6"/>
    <w:rsid w:val="00017219"/>
    <w:rsid w:val="0001727F"/>
    <w:rsid w:val="00017297"/>
    <w:rsid w:val="000172AA"/>
    <w:rsid w:val="000173B4"/>
    <w:rsid w:val="000173E1"/>
    <w:rsid w:val="000173E8"/>
    <w:rsid w:val="00017402"/>
    <w:rsid w:val="00017412"/>
    <w:rsid w:val="0001743F"/>
    <w:rsid w:val="00017478"/>
    <w:rsid w:val="00017492"/>
    <w:rsid w:val="000174B3"/>
    <w:rsid w:val="000174DD"/>
    <w:rsid w:val="000174E5"/>
    <w:rsid w:val="00017557"/>
    <w:rsid w:val="00017583"/>
    <w:rsid w:val="000175D5"/>
    <w:rsid w:val="000175E9"/>
    <w:rsid w:val="00017620"/>
    <w:rsid w:val="00017653"/>
    <w:rsid w:val="00017695"/>
    <w:rsid w:val="0001770C"/>
    <w:rsid w:val="00017744"/>
    <w:rsid w:val="000177AB"/>
    <w:rsid w:val="000177CB"/>
    <w:rsid w:val="00017808"/>
    <w:rsid w:val="00017844"/>
    <w:rsid w:val="000178F9"/>
    <w:rsid w:val="0001790D"/>
    <w:rsid w:val="00017924"/>
    <w:rsid w:val="0001792A"/>
    <w:rsid w:val="00017963"/>
    <w:rsid w:val="00017995"/>
    <w:rsid w:val="00017A0F"/>
    <w:rsid w:val="00017A1F"/>
    <w:rsid w:val="00017ACF"/>
    <w:rsid w:val="00017B3C"/>
    <w:rsid w:val="00017B4E"/>
    <w:rsid w:val="00017B5D"/>
    <w:rsid w:val="00017D02"/>
    <w:rsid w:val="00017E1D"/>
    <w:rsid w:val="00017E23"/>
    <w:rsid w:val="00017EDE"/>
    <w:rsid w:val="00017FB0"/>
    <w:rsid w:val="000200D9"/>
    <w:rsid w:val="000200DB"/>
    <w:rsid w:val="00020107"/>
    <w:rsid w:val="0002019E"/>
    <w:rsid w:val="000201E3"/>
    <w:rsid w:val="00020202"/>
    <w:rsid w:val="0002024C"/>
    <w:rsid w:val="00020255"/>
    <w:rsid w:val="0002025C"/>
    <w:rsid w:val="00020278"/>
    <w:rsid w:val="000202F3"/>
    <w:rsid w:val="000202F9"/>
    <w:rsid w:val="00020316"/>
    <w:rsid w:val="00020334"/>
    <w:rsid w:val="000203E0"/>
    <w:rsid w:val="000203EA"/>
    <w:rsid w:val="000203EB"/>
    <w:rsid w:val="00020436"/>
    <w:rsid w:val="0002046D"/>
    <w:rsid w:val="000204D2"/>
    <w:rsid w:val="0002057C"/>
    <w:rsid w:val="000205C5"/>
    <w:rsid w:val="0002073F"/>
    <w:rsid w:val="0002075B"/>
    <w:rsid w:val="0002079A"/>
    <w:rsid w:val="00020806"/>
    <w:rsid w:val="000208CE"/>
    <w:rsid w:val="00020906"/>
    <w:rsid w:val="000209B7"/>
    <w:rsid w:val="00020A32"/>
    <w:rsid w:val="00020A39"/>
    <w:rsid w:val="00020A63"/>
    <w:rsid w:val="00020A67"/>
    <w:rsid w:val="00020AD8"/>
    <w:rsid w:val="00020AFA"/>
    <w:rsid w:val="00020B35"/>
    <w:rsid w:val="00020B60"/>
    <w:rsid w:val="00020B93"/>
    <w:rsid w:val="00020C2A"/>
    <w:rsid w:val="00020C63"/>
    <w:rsid w:val="00020DB8"/>
    <w:rsid w:val="00020DBC"/>
    <w:rsid w:val="00020E80"/>
    <w:rsid w:val="00020EBA"/>
    <w:rsid w:val="00020F0A"/>
    <w:rsid w:val="00021056"/>
    <w:rsid w:val="0002107A"/>
    <w:rsid w:val="00021200"/>
    <w:rsid w:val="0002123E"/>
    <w:rsid w:val="00021323"/>
    <w:rsid w:val="00021351"/>
    <w:rsid w:val="0002141F"/>
    <w:rsid w:val="0002151A"/>
    <w:rsid w:val="000215CF"/>
    <w:rsid w:val="00021620"/>
    <w:rsid w:val="0002164B"/>
    <w:rsid w:val="00021690"/>
    <w:rsid w:val="000216A7"/>
    <w:rsid w:val="000216DC"/>
    <w:rsid w:val="00021776"/>
    <w:rsid w:val="000218AD"/>
    <w:rsid w:val="000218D4"/>
    <w:rsid w:val="000218FF"/>
    <w:rsid w:val="000219B8"/>
    <w:rsid w:val="000219D8"/>
    <w:rsid w:val="00021A15"/>
    <w:rsid w:val="00021A28"/>
    <w:rsid w:val="00021A56"/>
    <w:rsid w:val="00021A5E"/>
    <w:rsid w:val="00021A6D"/>
    <w:rsid w:val="00021A81"/>
    <w:rsid w:val="00021B0D"/>
    <w:rsid w:val="00021B49"/>
    <w:rsid w:val="00021B87"/>
    <w:rsid w:val="00021BA4"/>
    <w:rsid w:val="00021BB1"/>
    <w:rsid w:val="00021C10"/>
    <w:rsid w:val="00021C39"/>
    <w:rsid w:val="00021CB9"/>
    <w:rsid w:val="00021CCF"/>
    <w:rsid w:val="00021D00"/>
    <w:rsid w:val="00021D2A"/>
    <w:rsid w:val="00021DB5"/>
    <w:rsid w:val="00021DCF"/>
    <w:rsid w:val="00021DD2"/>
    <w:rsid w:val="00021DF1"/>
    <w:rsid w:val="00021E64"/>
    <w:rsid w:val="00021E78"/>
    <w:rsid w:val="00021EB6"/>
    <w:rsid w:val="00021F4E"/>
    <w:rsid w:val="00021F53"/>
    <w:rsid w:val="00021F84"/>
    <w:rsid w:val="00021FFB"/>
    <w:rsid w:val="0002211E"/>
    <w:rsid w:val="00022160"/>
    <w:rsid w:val="000221B2"/>
    <w:rsid w:val="000221B4"/>
    <w:rsid w:val="000221CD"/>
    <w:rsid w:val="00022264"/>
    <w:rsid w:val="000222C1"/>
    <w:rsid w:val="000222C9"/>
    <w:rsid w:val="000222FC"/>
    <w:rsid w:val="000223DA"/>
    <w:rsid w:val="000223EC"/>
    <w:rsid w:val="000223F3"/>
    <w:rsid w:val="00022426"/>
    <w:rsid w:val="000224EB"/>
    <w:rsid w:val="00022532"/>
    <w:rsid w:val="00022545"/>
    <w:rsid w:val="0002255C"/>
    <w:rsid w:val="00022565"/>
    <w:rsid w:val="000225EA"/>
    <w:rsid w:val="000226E1"/>
    <w:rsid w:val="000226E6"/>
    <w:rsid w:val="0002273C"/>
    <w:rsid w:val="00022746"/>
    <w:rsid w:val="0002277E"/>
    <w:rsid w:val="00022794"/>
    <w:rsid w:val="000227F4"/>
    <w:rsid w:val="00022804"/>
    <w:rsid w:val="0002281C"/>
    <w:rsid w:val="00022856"/>
    <w:rsid w:val="00022874"/>
    <w:rsid w:val="0002287D"/>
    <w:rsid w:val="0002288E"/>
    <w:rsid w:val="00022899"/>
    <w:rsid w:val="000228B0"/>
    <w:rsid w:val="000228BA"/>
    <w:rsid w:val="000228E4"/>
    <w:rsid w:val="00022935"/>
    <w:rsid w:val="000229E0"/>
    <w:rsid w:val="000229EA"/>
    <w:rsid w:val="00022A2A"/>
    <w:rsid w:val="00022A62"/>
    <w:rsid w:val="00022A67"/>
    <w:rsid w:val="00022AD0"/>
    <w:rsid w:val="00022AF8"/>
    <w:rsid w:val="00022B85"/>
    <w:rsid w:val="00022B93"/>
    <w:rsid w:val="00022CC8"/>
    <w:rsid w:val="00022CDA"/>
    <w:rsid w:val="00022D04"/>
    <w:rsid w:val="00022D27"/>
    <w:rsid w:val="00022D4E"/>
    <w:rsid w:val="00022DAB"/>
    <w:rsid w:val="00022EC2"/>
    <w:rsid w:val="00022F44"/>
    <w:rsid w:val="00022FE5"/>
    <w:rsid w:val="00023057"/>
    <w:rsid w:val="00023143"/>
    <w:rsid w:val="00023181"/>
    <w:rsid w:val="000231CF"/>
    <w:rsid w:val="000231F0"/>
    <w:rsid w:val="00023228"/>
    <w:rsid w:val="00023275"/>
    <w:rsid w:val="000232A8"/>
    <w:rsid w:val="000232C9"/>
    <w:rsid w:val="000232D1"/>
    <w:rsid w:val="00023300"/>
    <w:rsid w:val="00023502"/>
    <w:rsid w:val="00023531"/>
    <w:rsid w:val="00023642"/>
    <w:rsid w:val="000236C1"/>
    <w:rsid w:val="000236C5"/>
    <w:rsid w:val="00023707"/>
    <w:rsid w:val="0002371B"/>
    <w:rsid w:val="00023746"/>
    <w:rsid w:val="0002378D"/>
    <w:rsid w:val="00023803"/>
    <w:rsid w:val="000238F2"/>
    <w:rsid w:val="000238FE"/>
    <w:rsid w:val="000239DA"/>
    <w:rsid w:val="000239ED"/>
    <w:rsid w:val="000239FE"/>
    <w:rsid w:val="00023A1F"/>
    <w:rsid w:val="00023A28"/>
    <w:rsid w:val="00023A81"/>
    <w:rsid w:val="00023AA1"/>
    <w:rsid w:val="00023AA2"/>
    <w:rsid w:val="00023B55"/>
    <w:rsid w:val="00023BBD"/>
    <w:rsid w:val="00023BCA"/>
    <w:rsid w:val="00023CE1"/>
    <w:rsid w:val="00023E00"/>
    <w:rsid w:val="00023E7B"/>
    <w:rsid w:val="00023F4C"/>
    <w:rsid w:val="00023F52"/>
    <w:rsid w:val="0002407B"/>
    <w:rsid w:val="0002409B"/>
    <w:rsid w:val="000240CF"/>
    <w:rsid w:val="000240D1"/>
    <w:rsid w:val="00024141"/>
    <w:rsid w:val="000241A2"/>
    <w:rsid w:val="000241C7"/>
    <w:rsid w:val="00024216"/>
    <w:rsid w:val="00024229"/>
    <w:rsid w:val="0002425D"/>
    <w:rsid w:val="000242B4"/>
    <w:rsid w:val="000242BC"/>
    <w:rsid w:val="000242CA"/>
    <w:rsid w:val="00024317"/>
    <w:rsid w:val="0002438A"/>
    <w:rsid w:val="000243EA"/>
    <w:rsid w:val="00024417"/>
    <w:rsid w:val="0002441E"/>
    <w:rsid w:val="0002442D"/>
    <w:rsid w:val="000244BB"/>
    <w:rsid w:val="00024512"/>
    <w:rsid w:val="00024568"/>
    <w:rsid w:val="00024570"/>
    <w:rsid w:val="00024595"/>
    <w:rsid w:val="00024684"/>
    <w:rsid w:val="0002468E"/>
    <w:rsid w:val="0002469F"/>
    <w:rsid w:val="00024778"/>
    <w:rsid w:val="000247B3"/>
    <w:rsid w:val="000247F2"/>
    <w:rsid w:val="0002483A"/>
    <w:rsid w:val="00024857"/>
    <w:rsid w:val="000248E7"/>
    <w:rsid w:val="000248FE"/>
    <w:rsid w:val="00024955"/>
    <w:rsid w:val="000249EA"/>
    <w:rsid w:val="00024A13"/>
    <w:rsid w:val="00024A32"/>
    <w:rsid w:val="00024A7C"/>
    <w:rsid w:val="00024A88"/>
    <w:rsid w:val="00024A89"/>
    <w:rsid w:val="00024AF6"/>
    <w:rsid w:val="00024B0E"/>
    <w:rsid w:val="00024B15"/>
    <w:rsid w:val="00024BD1"/>
    <w:rsid w:val="00024C49"/>
    <w:rsid w:val="00024D0F"/>
    <w:rsid w:val="00024D1F"/>
    <w:rsid w:val="00024D35"/>
    <w:rsid w:val="00024DA0"/>
    <w:rsid w:val="00024DA1"/>
    <w:rsid w:val="00024DFD"/>
    <w:rsid w:val="00024E60"/>
    <w:rsid w:val="00024E65"/>
    <w:rsid w:val="00024E89"/>
    <w:rsid w:val="00024EB8"/>
    <w:rsid w:val="00024ECD"/>
    <w:rsid w:val="00024ED3"/>
    <w:rsid w:val="00024F4D"/>
    <w:rsid w:val="000250AE"/>
    <w:rsid w:val="000250E9"/>
    <w:rsid w:val="0002511E"/>
    <w:rsid w:val="0002513B"/>
    <w:rsid w:val="00025141"/>
    <w:rsid w:val="000251A1"/>
    <w:rsid w:val="0002523F"/>
    <w:rsid w:val="00025265"/>
    <w:rsid w:val="00025272"/>
    <w:rsid w:val="00025277"/>
    <w:rsid w:val="0002528A"/>
    <w:rsid w:val="00025395"/>
    <w:rsid w:val="00025396"/>
    <w:rsid w:val="000253B5"/>
    <w:rsid w:val="00025419"/>
    <w:rsid w:val="000254DE"/>
    <w:rsid w:val="0002552A"/>
    <w:rsid w:val="00025571"/>
    <w:rsid w:val="00025594"/>
    <w:rsid w:val="000255A5"/>
    <w:rsid w:val="000255BC"/>
    <w:rsid w:val="000255CA"/>
    <w:rsid w:val="00025699"/>
    <w:rsid w:val="0002579B"/>
    <w:rsid w:val="00025838"/>
    <w:rsid w:val="0002586F"/>
    <w:rsid w:val="000259A2"/>
    <w:rsid w:val="000259D7"/>
    <w:rsid w:val="00025A41"/>
    <w:rsid w:val="00025B2E"/>
    <w:rsid w:val="00025B6C"/>
    <w:rsid w:val="00025B87"/>
    <w:rsid w:val="00025B9F"/>
    <w:rsid w:val="00025C14"/>
    <w:rsid w:val="00025CA4"/>
    <w:rsid w:val="00025CDC"/>
    <w:rsid w:val="00025D78"/>
    <w:rsid w:val="00025DA5"/>
    <w:rsid w:val="00025DBB"/>
    <w:rsid w:val="00025E39"/>
    <w:rsid w:val="00025E4A"/>
    <w:rsid w:val="00025E4D"/>
    <w:rsid w:val="00025E94"/>
    <w:rsid w:val="00025E9E"/>
    <w:rsid w:val="00025EBE"/>
    <w:rsid w:val="00025F18"/>
    <w:rsid w:val="00025FF1"/>
    <w:rsid w:val="00025FFB"/>
    <w:rsid w:val="00026030"/>
    <w:rsid w:val="00026077"/>
    <w:rsid w:val="00026079"/>
    <w:rsid w:val="000260A0"/>
    <w:rsid w:val="000260AA"/>
    <w:rsid w:val="000260FD"/>
    <w:rsid w:val="00026168"/>
    <w:rsid w:val="000261AA"/>
    <w:rsid w:val="000261F3"/>
    <w:rsid w:val="000261FE"/>
    <w:rsid w:val="00026253"/>
    <w:rsid w:val="000262F8"/>
    <w:rsid w:val="0002632E"/>
    <w:rsid w:val="000263B4"/>
    <w:rsid w:val="000263B8"/>
    <w:rsid w:val="000263C2"/>
    <w:rsid w:val="000263F7"/>
    <w:rsid w:val="00026411"/>
    <w:rsid w:val="0002649E"/>
    <w:rsid w:val="0002658B"/>
    <w:rsid w:val="000265EE"/>
    <w:rsid w:val="00026681"/>
    <w:rsid w:val="00026683"/>
    <w:rsid w:val="000266E3"/>
    <w:rsid w:val="000266F9"/>
    <w:rsid w:val="000266FA"/>
    <w:rsid w:val="00026728"/>
    <w:rsid w:val="00026754"/>
    <w:rsid w:val="0002676F"/>
    <w:rsid w:val="0002683E"/>
    <w:rsid w:val="000269E2"/>
    <w:rsid w:val="00026A51"/>
    <w:rsid w:val="00026A6E"/>
    <w:rsid w:val="00026AA3"/>
    <w:rsid w:val="00026AED"/>
    <w:rsid w:val="00026AEE"/>
    <w:rsid w:val="00026B23"/>
    <w:rsid w:val="00026B3F"/>
    <w:rsid w:val="00026B95"/>
    <w:rsid w:val="00026BA8"/>
    <w:rsid w:val="00026BB2"/>
    <w:rsid w:val="00026BB4"/>
    <w:rsid w:val="00026C65"/>
    <w:rsid w:val="00026CC8"/>
    <w:rsid w:val="00026CC9"/>
    <w:rsid w:val="00026D3E"/>
    <w:rsid w:val="00026E07"/>
    <w:rsid w:val="00026E61"/>
    <w:rsid w:val="00026E97"/>
    <w:rsid w:val="00026ED6"/>
    <w:rsid w:val="00026F90"/>
    <w:rsid w:val="00026FA0"/>
    <w:rsid w:val="00026FA7"/>
    <w:rsid w:val="00026FB9"/>
    <w:rsid w:val="00027095"/>
    <w:rsid w:val="00027170"/>
    <w:rsid w:val="00027180"/>
    <w:rsid w:val="000271B8"/>
    <w:rsid w:val="000271E2"/>
    <w:rsid w:val="0002726A"/>
    <w:rsid w:val="00027280"/>
    <w:rsid w:val="00027296"/>
    <w:rsid w:val="000272B2"/>
    <w:rsid w:val="000272F1"/>
    <w:rsid w:val="0002733E"/>
    <w:rsid w:val="00027351"/>
    <w:rsid w:val="0002738C"/>
    <w:rsid w:val="000274A0"/>
    <w:rsid w:val="000274A6"/>
    <w:rsid w:val="000275B0"/>
    <w:rsid w:val="000275C9"/>
    <w:rsid w:val="000275CB"/>
    <w:rsid w:val="0002765D"/>
    <w:rsid w:val="00027669"/>
    <w:rsid w:val="0002769E"/>
    <w:rsid w:val="0002772B"/>
    <w:rsid w:val="0002772C"/>
    <w:rsid w:val="0002774D"/>
    <w:rsid w:val="00027791"/>
    <w:rsid w:val="000277ED"/>
    <w:rsid w:val="000277FD"/>
    <w:rsid w:val="0002781B"/>
    <w:rsid w:val="00027831"/>
    <w:rsid w:val="00027832"/>
    <w:rsid w:val="000278AE"/>
    <w:rsid w:val="00027953"/>
    <w:rsid w:val="00027954"/>
    <w:rsid w:val="00027956"/>
    <w:rsid w:val="00027993"/>
    <w:rsid w:val="000279DF"/>
    <w:rsid w:val="000279E3"/>
    <w:rsid w:val="00027A31"/>
    <w:rsid w:val="00027A38"/>
    <w:rsid w:val="00027A61"/>
    <w:rsid w:val="00027B0B"/>
    <w:rsid w:val="00027B1F"/>
    <w:rsid w:val="00027B51"/>
    <w:rsid w:val="00027B67"/>
    <w:rsid w:val="00027B7E"/>
    <w:rsid w:val="00027BF8"/>
    <w:rsid w:val="00027C2E"/>
    <w:rsid w:val="00027C36"/>
    <w:rsid w:val="00027C60"/>
    <w:rsid w:val="00027CAD"/>
    <w:rsid w:val="00027CD1"/>
    <w:rsid w:val="00027D56"/>
    <w:rsid w:val="00027D58"/>
    <w:rsid w:val="00027DDC"/>
    <w:rsid w:val="00027E74"/>
    <w:rsid w:val="00027E7B"/>
    <w:rsid w:val="00027EA8"/>
    <w:rsid w:val="00027F4A"/>
    <w:rsid w:val="00027FF6"/>
    <w:rsid w:val="00030010"/>
    <w:rsid w:val="00030116"/>
    <w:rsid w:val="00030118"/>
    <w:rsid w:val="00030124"/>
    <w:rsid w:val="00030139"/>
    <w:rsid w:val="00030167"/>
    <w:rsid w:val="00030173"/>
    <w:rsid w:val="000301B3"/>
    <w:rsid w:val="000301E1"/>
    <w:rsid w:val="00030289"/>
    <w:rsid w:val="00030291"/>
    <w:rsid w:val="000302F4"/>
    <w:rsid w:val="00030338"/>
    <w:rsid w:val="00030350"/>
    <w:rsid w:val="000303F6"/>
    <w:rsid w:val="000303FE"/>
    <w:rsid w:val="000304C0"/>
    <w:rsid w:val="000304CC"/>
    <w:rsid w:val="000304FF"/>
    <w:rsid w:val="00030562"/>
    <w:rsid w:val="000306D6"/>
    <w:rsid w:val="0003075E"/>
    <w:rsid w:val="00030762"/>
    <w:rsid w:val="00030764"/>
    <w:rsid w:val="0003077E"/>
    <w:rsid w:val="000307CF"/>
    <w:rsid w:val="000307DC"/>
    <w:rsid w:val="000307DD"/>
    <w:rsid w:val="000307F1"/>
    <w:rsid w:val="00030828"/>
    <w:rsid w:val="0003085E"/>
    <w:rsid w:val="00030869"/>
    <w:rsid w:val="000308B2"/>
    <w:rsid w:val="000308C3"/>
    <w:rsid w:val="00030903"/>
    <w:rsid w:val="0003090D"/>
    <w:rsid w:val="00030925"/>
    <w:rsid w:val="00030936"/>
    <w:rsid w:val="00030939"/>
    <w:rsid w:val="000309FA"/>
    <w:rsid w:val="00030A05"/>
    <w:rsid w:val="00030A2A"/>
    <w:rsid w:val="00030A4D"/>
    <w:rsid w:val="00030A50"/>
    <w:rsid w:val="00030B34"/>
    <w:rsid w:val="00030B8C"/>
    <w:rsid w:val="00030B96"/>
    <w:rsid w:val="00030BF4"/>
    <w:rsid w:val="00030C03"/>
    <w:rsid w:val="00030C1A"/>
    <w:rsid w:val="00030C78"/>
    <w:rsid w:val="00030C98"/>
    <w:rsid w:val="00030CB8"/>
    <w:rsid w:val="00030CE8"/>
    <w:rsid w:val="00030DE8"/>
    <w:rsid w:val="00030DF7"/>
    <w:rsid w:val="00030E09"/>
    <w:rsid w:val="00030E47"/>
    <w:rsid w:val="00030E7D"/>
    <w:rsid w:val="00030EA7"/>
    <w:rsid w:val="00030EF2"/>
    <w:rsid w:val="00030F80"/>
    <w:rsid w:val="00030F9E"/>
    <w:rsid w:val="00031000"/>
    <w:rsid w:val="00031020"/>
    <w:rsid w:val="000310D5"/>
    <w:rsid w:val="0003116B"/>
    <w:rsid w:val="00031189"/>
    <w:rsid w:val="0003121D"/>
    <w:rsid w:val="000312A1"/>
    <w:rsid w:val="0003132E"/>
    <w:rsid w:val="00031363"/>
    <w:rsid w:val="00031371"/>
    <w:rsid w:val="000313FD"/>
    <w:rsid w:val="00031472"/>
    <w:rsid w:val="00031490"/>
    <w:rsid w:val="000314CB"/>
    <w:rsid w:val="000314E6"/>
    <w:rsid w:val="0003153E"/>
    <w:rsid w:val="0003156F"/>
    <w:rsid w:val="000315C5"/>
    <w:rsid w:val="0003163A"/>
    <w:rsid w:val="00031653"/>
    <w:rsid w:val="000316D5"/>
    <w:rsid w:val="000316F9"/>
    <w:rsid w:val="00031702"/>
    <w:rsid w:val="00031722"/>
    <w:rsid w:val="00031730"/>
    <w:rsid w:val="000317D7"/>
    <w:rsid w:val="0003180A"/>
    <w:rsid w:val="00031832"/>
    <w:rsid w:val="0003186E"/>
    <w:rsid w:val="000318CC"/>
    <w:rsid w:val="00031900"/>
    <w:rsid w:val="00031935"/>
    <w:rsid w:val="00031941"/>
    <w:rsid w:val="000319E8"/>
    <w:rsid w:val="00031B25"/>
    <w:rsid w:val="00031B39"/>
    <w:rsid w:val="00031BF5"/>
    <w:rsid w:val="00031BFA"/>
    <w:rsid w:val="00031C08"/>
    <w:rsid w:val="00031C2B"/>
    <w:rsid w:val="00031CAE"/>
    <w:rsid w:val="00031CB9"/>
    <w:rsid w:val="00031CCF"/>
    <w:rsid w:val="00031CE3"/>
    <w:rsid w:val="00031DB6"/>
    <w:rsid w:val="00031E71"/>
    <w:rsid w:val="00031EA9"/>
    <w:rsid w:val="00031EE4"/>
    <w:rsid w:val="00031F51"/>
    <w:rsid w:val="00031F5D"/>
    <w:rsid w:val="00031F64"/>
    <w:rsid w:val="00031F72"/>
    <w:rsid w:val="00031FF2"/>
    <w:rsid w:val="00032075"/>
    <w:rsid w:val="00032099"/>
    <w:rsid w:val="000320B8"/>
    <w:rsid w:val="000320FE"/>
    <w:rsid w:val="0003214E"/>
    <w:rsid w:val="000321B8"/>
    <w:rsid w:val="00032203"/>
    <w:rsid w:val="0003221A"/>
    <w:rsid w:val="0003221B"/>
    <w:rsid w:val="00032236"/>
    <w:rsid w:val="000322BF"/>
    <w:rsid w:val="000322D7"/>
    <w:rsid w:val="000322FA"/>
    <w:rsid w:val="0003235D"/>
    <w:rsid w:val="0003238F"/>
    <w:rsid w:val="00032407"/>
    <w:rsid w:val="0003244E"/>
    <w:rsid w:val="00032485"/>
    <w:rsid w:val="000324E7"/>
    <w:rsid w:val="0003256B"/>
    <w:rsid w:val="0003259B"/>
    <w:rsid w:val="000325F9"/>
    <w:rsid w:val="00032656"/>
    <w:rsid w:val="00032670"/>
    <w:rsid w:val="000326A2"/>
    <w:rsid w:val="000326B0"/>
    <w:rsid w:val="000326F9"/>
    <w:rsid w:val="000327BC"/>
    <w:rsid w:val="0003285A"/>
    <w:rsid w:val="00032878"/>
    <w:rsid w:val="000328C1"/>
    <w:rsid w:val="000328E4"/>
    <w:rsid w:val="00032929"/>
    <w:rsid w:val="00032A04"/>
    <w:rsid w:val="00032A33"/>
    <w:rsid w:val="00032A3D"/>
    <w:rsid w:val="00032A46"/>
    <w:rsid w:val="00032A59"/>
    <w:rsid w:val="00032A74"/>
    <w:rsid w:val="00032AA4"/>
    <w:rsid w:val="00032ACC"/>
    <w:rsid w:val="00032B21"/>
    <w:rsid w:val="00032B30"/>
    <w:rsid w:val="00032B7F"/>
    <w:rsid w:val="00032BC9"/>
    <w:rsid w:val="00032BF7"/>
    <w:rsid w:val="00032C22"/>
    <w:rsid w:val="00032CA2"/>
    <w:rsid w:val="00032CB4"/>
    <w:rsid w:val="00032EF7"/>
    <w:rsid w:val="00032FA6"/>
    <w:rsid w:val="00032FC8"/>
    <w:rsid w:val="00033053"/>
    <w:rsid w:val="000330B7"/>
    <w:rsid w:val="00033112"/>
    <w:rsid w:val="00033131"/>
    <w:rsid w:val="00033144"/>
    <w:rsid w:val="00033147"/>
    <w:rsid w:val="000331A4"/>
    <w:rsid w:val="000331C8"/>
    <w:rsid w:val="000331E0"/>
    <w:rsid w:val="00033200"/>
    <w:rsid w:val="00033201"/>
    <w:rsid w:val="0003324E"/>
    <w:rsid w:val="000332A2"/>
    <w:rsid w:val="000332D3"/>
    <w:rsid w:val="000332DD"/>
    <w:rsid w:val="000332FB"/>
    <w:rsid w:val="000332FE"/>
    <w:rsid w:val="00033326"/>
    <w:rsid w:val="00033376"/>
    <w:rsid w:val="0003338C"/>
    <w:rsid w:val="00033414"/>
    <w:rsid w:val="00033426"/>
    <w:rsid w:val="0003348B"/>
    <w:rsid w:val="0003350B"/>
    <w:rsid w:val="00033592"/>
    <w:rsid w:val="000335DC"/>
    <w:rsid w:val="000335F2"/>
    <w:rsid w:val="00033614"/>
    <w:rsid w:val="0003361E"/>
    <w:rsid w:val="00033701"/>
    <w:rsid w:val="000337B5"/>
    <w:rsid w:val="000337B7"/>
    <w:rsid w:val="000337E5"/>
    <w:rsid w:val="00033885"/>
    <w:rsid w:val="000338D8"/>
    <w:rsid w:val="000338FE"/>
    <w:rsid w:val="00033904"/>
    <w:rsid w:val="0003390D"/>
    <w:rsid w:val="000339D4"/>
    <w:rsid w:val="000339FC"/>
    <w:rsid w:val="00033A24"/>
    <w:rsid w:val="00033A5D"/>
    <w:rsid w:val="00033AE4"/>
    <w:rsid w:val="00033AF3"/>
    <w:rsid w:val="00033B05"/>
    <w:rsid w:val="00033B84"/>
    <w:rsid w:val="00033B92"/>
    <w:rsid w:val="00033BEF"/>
    <w:rsid w:val="00033C7E"/>
    <w:rsid w:val="00033CCF"/>
    <w:rsid w:val="00033D1E"/>
    <w:rsid w:val="00033D2A"/>
    <w:rsid w:val="00033D42"/>
    <w:rsid w:val="00033D5F"/>
    <w:rsid w:val="00033D76"/>
    <w:rsid w:val="00033DC7"/>
    <w:rsid w:val="00033E15"/>
    <w:rsid w:val="00033E2C"/>
    <w:rsid w:val="00033EFE"/>
    <w:rsid w:val="00033F3F"/>
    <w:rsid w:val="00033F83"/>
    <w:rsid w:val="00033FEF"/>
    <w:rsid w:val="0003400D"/>
    <w:rsid w:val="0003401D"/>
    <w:rsid w:val="00034032"/>
    <w:rsid w:val="0003405C"/>
    <w:rsid w:val="00034087"/>
    <w:rsid w:val="000340B4"/>
    <w:rsid w:val="000340FB"/>
    <w:rsid w:val="0003411C"/>
    <w:rsid w:val="00034188"/>
    <w:rsid w:val="0003418D"/>
    <w:rsid w:val="000341B1"/>
    <w:rsid w:val="000341B2"/>
    <w:rsid w:val="00034209"/>
    <w:rsid w:val="0003426A"/>
    <w:rsid w:val="000342A0"/>
    <w:rsid w:val="000342B9"/>
    <w:rsid w:val="000342CE"/>
    <w:rsid w:val="000342E2"/>
    <w:rsid w:val="000342F5"/>
    <w:rsid w:val="00034387"/>
    <w:rsid w:val="00034391"/>
    <w:rsid w:val="000343C8"/>
    <w:rsid w:val="0003440A"/>
    <w:rsid w:val="0003440F"/>
    <w:rsid w:val="0003444F"/>
    <w:rsid w:val="0003446F"/>
    <w:rsid w:val="000344C5"/>
    <w:rsid w:val="000344E0"/>
    <w:rsid w:val="00034519"/>
    <w:rsid w:val="0003452B"/>
    <w:rsid w:val="000345A8"/>
    <w:rsid w:val="000345D8"/>
    <w:rsid w:val="0003461E"/>
    <w:rsid w:val="0003463E"/>
    <w:rsid w:val="000346B1"/>
    <w:rsid w:val="00034770"/>
    <w:rsid w:val="000347E3"/>
    <w:rsid w:val="0003483F"/>
    <w:rsid w:val="00034882"/>
    <w:rsid w:val="00034976"/>
    <w:rsid w:val="000349B1"/>
    <w:rsid w:val="00034A4A"/>
    <w:rsid w:val="00034A64"/>
    <w:rsid w:val="00034A67"/>
    <w:rsid w:val="00034ADF"/>
    <w:rsid w:val="00034B81"/>
    <w:rsid w:val="00034C18"/>
    <w:rsid w:val="00034CE5"/>
    <w:rsid w:val="00034D56"/>
    <w:rsid w:val="00034D95"/>
    <w:rsid w:val="00034DBC"/>
    <w:rsid w:val="00034F66"/>
    <w:rsid w:val="00034F6E"/>
    <w:rsid w:val="00034F90"/>
    <w:rsid w:val="00034FC5"/>
    <w:rsid w:val="00035014"/>
    <w:rsid w:val="0003501F"/>
    <w:rsid w:val="0003508A"/>
    <w:rsid w:val="000350B5"/>
    <w:rsid w:val="00035150"/>
    <w:rsid w:val="000351A9"/>
    <w:rsid w:val="00035239"/>
    <w:rsid w:val="00035272"/>
    <w:rsid w:val="00035291"/>
    <w:rsid w:val="000352B2"/>
    <w:rsid w:val="00035349"/>
    <w:rsid w:val="0003537C"/>
    <w:rsid w:val="00035406"/>
    <w:rsid w:val="0003548A"/>
    <w:rsid w:val="000354BC"/>
    <w:rsid w:val="00035526"/>
    <w:rsid w:val="0003559C"/>
    <w:rsid w:val="000355C8"/>
    <w:rsid w:val="000355EC"/>
    <w:rsid w:val="000356D5"/>
    <w:rsid w:val="000356FB"/>
    <w:rsid w:val="000357A3"/>
    <w:rsid w:val="0003583D"/>
    <w:rsid w:val="000358DA"/>
    <w:rsid w:val="000358DF"/>
    <w:rsid w:val="000358FD"/>
    <w:rsid w:val="0003593F"/>
    <w:rsid w:val="000359EC"/>
    <w:rsid w:val="00035A90"/>
    <w:rsid w:val="00035AC0"/>
    <w:rsid w:val="00035ADD"/>
    <w:rsid w:val="00035B3E"/>
    <w:rsid w:val="00035BA6"/>
    <w:rsid w:val="00035C1A"/>
    <w:rsid w:val="00035C1B"/>
    <w:rsid w:val="00035CCC"/>
    <w:rsid w:val="00035CD1"/>
    <w:rsid w:val="00035CD4"/>
    <w:rsid w:val="00035D5E"/>
    <w:rsid w:val="00035DD5"/>
    <w:rsid w:val="00035E02"/>
    <w:rsid w:val="00035E44"/>
    <w:rsid w:val="00035E62"/>
    <w:rsid w:val="00035E97"/>
    <w:rsid w:val="00035E9B"/>
    <w:rsid w:val="00035EC6"/>
    <w:rsid w:val="00035EF4"/>
    <w:rsid w:val="00035F6B"/>
    <w:rsid w:val="00035F82"/>
    <w:rsid w:val="00035FAD"/>
    <w:rsid w:val="00035FAE"/>
    <w:rsid w:val="00035FD8"/>
    <w:rsid w:val="00035FFC"/>
    <w:rsid w:val="00036001"/>
    <w:rsid w:val="0003601B"/>
    <w:rsid w:val="0003607A"/>
    <w:rsid w:val="000360A8"/>
    <w:rsid w:val="000360BF"/>
    <w:rsid w:val="0003612C"/>
    <w:rsid w:val="00036158"/>
    <w:rsid w:val="0003615E"/>
    <w:rsid w:val="000361CC"/>
    <w:rsid w:val="000361CE"/>
    <w:rsid w:val="000361F5"/>
    <w:rsid w:val="00036282"/>
    <w:rsid w:val="000362D7"/>
    <w:rsid w:val="00036385"/>
    <w:rsid w:val="000363D4"/>
    <w:rsid w:val="00036474"/>
    <w:rsid w:val="000364CF"/>
    <w:rsid w:val="000364FA"/>
    <w:rsid w:val="00036505"/>
    <w:rsid w:val="0003654B"/>
    <w:rsid w:val="00036569"/>
    <w:rsid w:val="00036591"/>
    <w:rsid w:val="0003659C"/>
    <w:rsid w:val="000365AA"/>
    <w:rsid w:val="000365B6"/>
    <w:rsid w:val="000365C2"/>
    <w:rsid w:val="000365C5"/>
    <w:rsid w:val="000365CD"/>
    <w:rsid w:val="00036610"/>
    <w:rsid w:val="00036634"/>
    <w:rsid w:val="00036673"/>
    <w:rsid w:val="000366E6"/>
    <w:rsid w:val="00036709"/>
    <w:rsid w:val="0003686B"/>
    <w:rsid w:val="0003687F"/>
    <w:rsid w:val="00036883"/>
    <w:rsid w:val="000368DB"/>
    <w:rsid w:val="0003698C"/>
    <w:rsid w:val="0003699D"/>
    <w:rsid w:val="000369D9"/>
    <w:rsid w:val="00036A70"/>
    <w:rsid w:val="00036AC5"/>
    <w:rsid w:val="00036B28"/>
    <w:rsid w:val="00036B94"/>
    <w:rsid w:val="00036CC3"/>
    <w:rsid w:val="00036CFD"/>
    <w:rsid w:val="00036D24"/>
    <w:rsid w:val="00036D71"/>
    <w:rsid w:val="00036DE7"/>
    <w:rsid w:val="00036E15"/>
    <w:rsid w:val="00036E7D"/>
    <w:rsid w:val="00036E7F"/>
    <w:rsid w:val="00036E84"/>
    <w:rsid w:val="00036EBE"/>
    <w:rsid w:val="00036EBF"/>
    <w:rsid w:val="00036FC5"/>
    <w:rsid w:val="00037001"/>
    <w:rsid w:val="00037015"/>
    <w:rsid w:val="0003701D"/>
    <w:rsid w:val="000370C2"/>
    <w:rsid w:val="00037139"/>
    <w:rsid w:val="00037158"/>
    <w:rsid w:val="000372BF"/>
    <w:rsid w:val="000372CF"/>
    <w:rsid w:val="00037311"/>
    <w:rsid w:val="00037403"/>
    <w:rsid w:val="0003746D"/>
    <w:rsid w:val="000374C7"/>
    <w:rsid w:val="00037550"/>
    <w:rsid w:val="0003762E"/>
    <w:rsid w:val="000376BD"/>
    <w:rsid w:val="000376E7"/>
    <w:rsid w:val="000376FF"/>
    <w:rsid w:val="00037702"/>
    <w:rsid w:val="00037793"/>
    <w:rsid w:val="000377A2"/>
    <w:rsid w:val="000377B2"/>
    <w:rsid w:val="0003785A"/>
    <w:rsid w:val="0003789C"/>
    <w:rsid w:val="000378A6"/>
    <w:rsid w:val="000378A7"/>
    <w:rsid w:val="000378AF"/>
    <w:rsid w:val="000378B4"/>
    <w:rsid w:val="000378CE"/>
    <w:rsid w:val="000378D6"/>
    <w:rsid w:val="00037916"/>
    <w:rsid w:val="00037919"/>
    <w:rsid w:val="00037977"/>
    <w:rsid w:val="000379BB"/>
    <w:rsid w:val="00037A10"/>
    <w:rsid w:val="00037A76"/>
    <w:rsid w:val="00037ACD"/>
    <w:rsid w:val="00037AF2"/>
    <w:rsid w:val="00037B82"/>
    <w:rsid w:val="00037B84"/>
    <w:rsid w:val="00037B98"/>
    <w:rsid w:val="00037C8F"/>
    <w:rsid w:val="00037CA9"/>
    <w:rsid w:val="00037D3E"/>
    <w:rsid w:val="00037DB5"/>
    <w:rsid w:val="00037DC1"/>
    <w:rsid w:val="00037E48"/>
    <w:rsid w:val="00037EBD"/>
    <w:rsid w:val="00037EC6"/>
    <w:rsid w:val="00037EEF"/>
    <w:rsid w:val="00037F43"/>
    <w:rsid w:val="00037F93"/>
    <w:rsid w:val="00037FB9"/>
    <w:rsid w:val="00040008"/>
    <w:rsid w:val="00040026"/>
    <w:rsid w:val="00040066"/>
    <w:rsid w:val="00040108"/>
    <w:rsid w:val="0004010A"/>
    <w:rsid w:val="0004019A"/>
    <w:rsid w:val="000401A8"/>
    <w:rsid w:val="000401EC"/>
    <w:rsid w:val="000402B3"/>
    <w:rsid w:val="00040343"/>
    <w:rsid w:val="000403A4"/>
    <w:rsid w:val="000403EA"/>
    <w:rsid w:val="00040430"/>
    <w:rsid w:val="00040469"/>
    <w:rsid w:val="0004046D"/>
    <w:rsid w:val="000404F9"/>
    <w:rsid w:val="00040506"/>
    <w:rsid w:val="00040554"/>
    <w:rsid w:val="0004058D"/>
    <w:rsid w:val="0004066B"/>
    <w:rsid w:val="00040691"/>
    <w:rsid w:val="000406E3"/>
    <w:rsid w:val="000406F4"/>
    <w:rsid w:val="00040710"/>
    <w:rsid w:val="00040718"/>
    <w:rsid w:val="0004074E"/>
    <w:rsid w:val="000407B3"/>
    <w:rsid w:val="000407BD"/>
    <w:rsid w:val="000407F9"/>
    <w:rsid w:val="00040823"/>
    <w:rsid w:val="00040860"/>
    <w:rsid w:val="00040877"/>
    <w:rsid w:val="000408B8"/>
    <w:rsid w:val="000408C6"/>
    <w:rsid w:val="0004093F"/>
    <w:rsid w:val="0004097B"/>
    <w:rsid w:val="0004099D"/>
    <w:rsid w:val="000409E9"/>
    <w:rsid w:val="00040A04"/>
    <w:rsid w:val="00040A1C"/>
    <w:rsid w:val="00040A28"/>
    <w:rsid w:val="00040B0C"/>
    <w:rsid w:val="00040B94"/>
    <w:rsid w:val="00040BA7"/>
    <w:rsid w:val="00040BBB"/>
    <w:rsid w:val="00040BC8"/>
    <w:rsid w:val="00040BF1"/>
    <w:rsid w:val="00040C0A"/>
    <w:rsid w:val="00040C19"/>
    <w:rsid w:val="00040C64"/>
    <w:rsid w:val="00040C84"/>
    <w:rsid w:val="00040CA2"/>
    <w:rsid w:val="00040D17"/>
    <w:rsid w:val="00040D72"/>
    <w:rsid w:val="00040D89"/>
    <w:rsid w:val="00040DB0"/>
    <w:rsid w:val="00040E5E"/>
    <w:rsid w:val="00040ED8"/>
    <w:rsid w:val="00040ED9"/>
    <w:rsid w:val="00040EE4"/>
    <w:rsid w:val="00040EED"/>
    <w:rsid w:val="00040F58"/>
    <w:rsid w:val="00040F9D"/>
    <w:rsid w:val="0004100B"/>
    <w:rsid w:val="00041021"/>
    <w:rsid w:val="0004102F"/>
    <w:rsid w:val="000410C8"/>
    <w:rsid w:val="00041117"/>
    <w:rsid w:val="000411BC"/>
    <w:rsid w:val="000411BE"/>
    <w:rsid w:val="000411FB"/>
    <w:rsid w:val="00041220"/>
    <w:rsid w:val="00041249"/>
    <w:rsid w:val="00041251"/>
    <w:rsid w:val="00041267"/>
    <w:rsid w:val="000412AA"/>
    <w:rsid w:val="000412C1"/>
    <w:rsid w:val="000412FE"/>
    <w:rsid w:val="0004130B"/>
    <w:rsid w:val="00041313"/>
    <w:rsid w:val="00041339"/>
    <w:rsid w:val="000413A5"/>
    <w:rsid w:val="00041429"/>
    <w:rsid w:val="0004142E"/>
    <w:rsid w:val="000414F3"/>
    <w:rsid w:val="0004158E"/>
    <w:rsid w:val="000415A8"/>
    <w:rsid w:val="000415B4"/>
    <w:rsid w:val="000415F1"/>
    <w:rsid w:val="0004160F"/>
    <w:rsid w:val="000416C6"/>
    <w:rsid w:val="000416D5"/>
    <w:rsid w:val="0004171B"/>
    <w:rsid w:val="00041726"/>
    <w:rsid w:val="00041727"/>
    <w:rsid w:val="0004172C"/>
    <w:rsid w:val="0004173A"/>
    <w:rsid w:val="00041749"/>
    <w:rsid w:val="00041792"/>
    <w:rsid w:val="000417F1"/>
    <w:rsid w:val="00041885"/>
    <w:rsid w:val="0004197A"/>
    <w:rsid w:val="0004199A"/>
    <w:rsid w:val="000419FB"/>
    <w:rsid w:val="00041A16"/>
    <w:rsid w:val="00041A6A"/>
    <w:rsid w:val="00041A77"/>
    <w:rsid w:val="00041AAF"/>
    <w:rsid w:val="00041AFA"/>
    <w:rsid w:val="00041AFB"/>
    <w:rsid w:val="00041B17"/>
    <w:rsid w:val="00041BB2"/>
    <w:rsid w:val="00041BC3"/>
    <w:rsid w:val="00041C22"/>
    <w:rsid w:val="00041C6A"/>
    <w:rsid w:val="00041D53"/>
    <w:rsid w:val="00041D65"/>
    <w:rsid w:val="00041D6E"/>
    <w:rsid w:val="00041DF7"/>
    <w:rsid w:val="00041E03"/>
    <w:rsid w:val="00041E23"/>
    <w:rsid w:val="00041E5D"/>
    <w:rsid w:val="00041E5F"/>
    <w:rsid w:val="00041EBC"/>
    <w:rsid w:val="00041F39"/>
    <w:rsid w:val="00041FDD"/>
    <w:rsid w:val="00042064"/>
    <w:rsid w:val="0004210A"/>
    <w:rsid w:val="00042166"/>
    <w:rsid w:val="0004216B"/>
    <w:rsid w:val="00042242"/>
    <w:rsid w:val="00042257"/>
    <w:rsid w:val="00042283"/>
    <w:rsid w:val="000422C5"/>
    <w:rsid w:val="00042376"/>
    <w:rsid w:val="0004242D"/>
    <w:rsid w:val="00042445"/>
    <w:rsid w:val="00042487"/>
    <w:rsid w:val="0004248E"/>
    <w:rsid w:val="000424B2"/>
    <w:rsid w:val="00042527"/>
    <w:rsid w:val="00042533"/>
    <w:rsid w:val="0004257C"/>
    <w:rsid w:val="000425B6"/>
    <w:rsid w:val="000425FF"/>
    <w:rsid w:val="0004262B"/>
    <w:rsid w:val="0004263C"/>
    <w:rsid w:val="00042663"/>
    <w:rsid w:val="0004269D"/>
    <w:rsid w:val="000426C5"/>
    <w:rsid w:val="000426F2"/>
    <w:rsid w:val="00042733"/>
    <w:rsid w:val="000427C6"/>
    <w:rsid w:val="0004282E"/>
    <w:rsid w:val="000428F7"/>
    <w:rsid w:val="000429C2"/>
    <w:rsid w:val="000429D2"/>
    <w:rsid w:val="000429FE"/>
    <w:rsid w:val="00042A44"/>
    <w:rsid w:val="00042A6C"/>
    <w:rsid w:val="00042A86"/>
    <w:rsid w:val="00042AC6"/>
    <w:rsid w:val="00042AD5"/>
    <w:rsid w:val="00042AF1"/>
    <w:rsid w:val="00042B0A"/>
    <w:rsid w:val="00042C01"/>
    <w:rsid w:val="00042C1E"/>
    <w:rsid w:val="00042C43"/>
    <w:rsid w:val="00042C5C"/>
    <w:rsid w:val="00042C82"/>
    <w:rsid w:val="00042CB9"/>
    <w:rsid w:val="00042DE2"/>
    <w:rsid w:val="00042DF0"/>
    <w:rsid w:val="00042E02"/>
    <w:rsid w:val="00042E3D"/>
    <w:rsid w:val="00042ED8"/>
    <w:rsid w:val="00042EE5"/>
    <w:rsid w:val="00042F34"/>
    <w:rsid w:val="00042F55"/>
    <w:rsid w:val="00042F8E"/>
    <w:rsid w:val="00042F92"/>
    <w:rsid w:val="00042FCF"/>
    <w:rsid w:val="00042FDE"/>
    <w:rsid w:val="00043046"/>
    <w:rsid w:val="00043095"/>
    <w:rsid w:val="0004310D"/>
    <w:rsid w:val="00043164"/>
    <w:rsid w:val="0004318C"/>
    <w:rsid w:val="000432AC"/>
    <w:rsid w:val="00043319"/>
    <w:rsid w:val="00043374"/>
    <w:rsid w:val="000433C7"/>
    <w:rsid w:val="000433DF"/>
    <w:rsid w:val="00043417"/>
    <w:rsid w:val="0004349A"/>
    <w:rsid w:val="000434BB"/>
    <w:rsid w:val="000434DB"/>
    <w:rsid w:val="000434F2"/>
    <w:rsid w:val="0004354C"/>
    <w:rsid w:val="000435A1"/>
    <w:rsid w:val="000435DF"/>
    <w:rsid w:val="00043621"/>
    <w:rsid w:val="0004364C"/>
    <w:rsid w:val="000436B1"/>
    <w:rsid w:val="000436C3"/>
    <w:rsid w:val="000436EF"/>
    <w:rsid w:val="0004378A"/>
    <w:rsid w:val="000437B3"/>
    <w:rsid w:val="000437E7"/>
    <w:rsid w:val="000437F6"/>
    <w:rsid w:val="00043876"/>
    <w:rsid w:val="00043882"/>
    <w:rsid w:val="000438CA"/>
    <w:rsid w:val="000438CE"/>
    <w:rsid w:val="0004392E"/>
    <w:rsid w:val="0004393E"/>
    <w:rsid w:val="00043957"/>
    <w:rsid w:val="000439C9"/>
    <w:rsid w:val="000439DD"/>
    <w:rsid w:val="00043A61"/>
    <w:rsid w:val="00043AAD"/>
    <w:rsid w:val="00043AF4"/>
    <w:rsid w:val="00043B10"/>
    <w:rsid w:val="00043BA4"/>
    <w:rsid w:val="00043BA6"/>
    <w:rsid w:val="00043C04"/>
    <w:rsid w:val="00043C47"/>
    <w:rsid w:val="00043C63"/>
    <w:rsid w:val="00043C68"/>
    <w:rsid w:val="00043C9A"/>
    <w:rsid w:val="00043DBC"/>
    <w:rsid w:val="00043DFF"/>
    <w:rsid w:val="00043E31"/>
    <w:rsid w:val="00043E41"/>
    <w:rsid w:val="00043E73"/>
    <w:rsid w:val="00043EA8"/>
    <w:rsid w:val="00043EAD"/>
    <w:rsid w:val="00043EDA"/>
    <w:rsid w:val="00043F29"/>
    <w:rsid w:val="00043F53"/>
    <w:rsid w:val="00043F8A"/>
    <w:rsid w:val="00043FAE"/>
    <w:rsid w:val="00043FDA"/>
    <w:rsid w:val="00044041"/>
    <w:rsid w:val="0004409F"/>
    <w:rsid w:val="000440A7"/>
    <w:rsid w:val="00044169"/>
    <w:rsid w:val="000441FA"/>
    <w:rsid w:val="0004423E"/>
    <w:rsid w:val="0004426C"/>
    <w:rsid w:val="00044373"/>
    <w:rsid w:val="00044377"/>
    <w:rsid w:val="000443D7"/>
    <w:rsid w:val="000443E9"/>
    <w:rsid w:val="0004445E"/>
    <w:rsid w:val="0004449F"/>
    <w:rsid w:val="000444D8"/>
    <w:rsid w:val="000444F4"/>
    <w:rsid w:val="000445D4"/>
    <w:rsid w:val="0004460E"/>
    <w:rsid w:val="0004464E"/>
    <w:rsid w:val="000446BE"/>
    <w:rsid w:val="00044752"/>
    <w:rsid w:val="00044783"/>
    <w:rsid w:val="0004479E"/>
    <w:rsid w:val="000447CF"/>
    <w:rsid w:val="000447F9"/>
    <w:rsid w:val="0004484B"/>
    <w:rsid w:val="00044866"/>
    <w:rsid w:val="0004487B"/>
    <w:rsid w:val="0004489F"/>
    <w:rsid w:val="000449A2"/>
    <w:rsid w:val="000449A4"/>
    <w:rsid w:val="000449E0"/>
    <w:rsid w:val="000449EA"/>
    <w:rsid w:val="00044A1E"/>
    <w:rsid w:val="00044A3D"/>
    <w:rsid w:val="00044B37"/>
    <w:rsid w:val="00044B3F"/>
    <w:rsid w:val="00044BF6"/>
    <w:rsid w:val="00044C11"/>
    <w:rsid w:val="00044CD3"/>
    <w:rsid w:val="00044CF3"/>
    <w:rsid w:val="00044CFE"/>
    <w:rsid w:val="00044D22"/>
    <w:rsid w:val="00044D2F"/>
    <w:rsid w:val="00044D37"/>
    <w:rsid w:val="00044D3F"/>
    <w:rsid w:val="00044D52"/>
    <w:rsid w:val="00044DB9"/>
    <w:rsid w:val="00044DBB"/>
    <w:rsid w:val="00044E0D"/>
    <w:rsid w:val="00044EA7"/>
    <w:rsid w:val="00044EB6"/>
    <w:rsid w:val="00044ED3"/>
    <w:rsid w:val="00044F44"/>
    <w:rsid w:val="00044F97"/>
    <w:rsid w:val="00044FB5"/>
    <w:rsid w:val="00044FBE"/>
    <w:rsid w:val="00045020"/>
    <w:rsid w:val="00045104"/>
    <w:rsid w:val="00045137"/>
    <w:rsid w:val="0004518A"/>
    <w:rsid w:val="0004518E"/>
    <w:rsid w:val="000451BF"/>
    <w:rsid w:val="000452A9"/>
    <w:rsid w:val="00045322"/>
    <w:rsid w:val="0004532A"/>
    <w:rsid w:val="00045333"/>
    <w:rsid w:val="00045348"/>
    <w:rsid w:val="0004541F"/>
    <w:rsid w:val="000454AA"/>
    <w:rsid w:val="000454DC"/>
    <w:rsid w:val="00045511"/>
    <w:rsid w:val="00045538"/>
    <w:rsid w:val="00045584"/>
    <w:rsid w:val="000455DD"/>
    <w:rsid w:val="00045624"/>
    <w:rsid w:val="000456F7"/>
    <w:rsid w:val="00045720"/>
    <w:rsid w:val="000457AA"/>
    <w:rsid w:val="0004581D"/>
    <w:rsid w:val="0004583B"/>
    <w:rsid w:val="00045898"/>
    <w:rsid w:val="000458AC"/>
    <w:rsid w:val="000458ED"/>
    <w:rsid w:val="00045914"/>
    <w:rsid w:val="0004592D"/>
    <w:rsid w:val="00045A22"/>
    <w:rsid w:val="00045A30"/>
    <w:rsid w:val="00045A6C"/>
    <w:rsid w:val="00045A89"/>
    <w:rsid w:val="00045AAC"/>
    <w:rsid w:val="00045B07"/>
    <w:rsid w:val="00045B19"/>
    <w:rsid w:val="00045B2A"/>
    <w:rsid w:val="00045B71"/>
    <w:rsid w:val="00045B8B"/>
    <w:rsid w:val="00045B9A"/>
    <w:rsid w:val="00045BE5"/>
    <w:rsid w:val="00045BEC"/>
    <w:rsid w:val="00045C4C"/>
    <w:rsid w:val="00045C52"/>
    <w:rsid w:val="00045CBD"/>
    <w:rsid w:val="00045CC6"/>
    <w:rsid w:val="00045D50"/>
    <w:rsid w:val="00045DA4"/>
    <w:rsid w:val="00045DA7"/>
    <w:rsid w:val="00045E27"/>
    <w:rsid w:val="00045E28"/>
    <w:rsid w:val="00045E5F"/>
    <w:rsid w:val="00045E85"/>
    <w:rsid w:val="00045E8C"/>
    <w:rsid w:val="00045EBC"/>
    <w:rsid w:val="00045ECA"/>
    <w:rsid w:val="00045EE6"/>
    <w:rsid w:val="00045F6C"/>
    <w:rsid w:val="00045FA8"/>
    <w:rsid w:val="00045FC3"/>
    <w:rsid w:val="00045FD4"/>
    <w:rsid w:val="00046041"/>
    <w:rsid w:val="00046137"/>
    <w:rsid w:val="0004618C"/>
    <w:rsid w:val="000461AD"/>
    <w:rsid w:val="00046242"/>
    <w:rsid w:val="000462D8"/>
    <w:rsid w:val="00046348"/>
    <w:rsid w:val="0004638F"/>
    <w:rsid w:val="00046391"/>
    <w:rsid w:val="000463DD"/>
    <w:rsid w:val="000463F2"/>
    <w:rsid w:val="00046403"/>
    <w:rsid w:val="0004646B"/>
    <w:rsid w:val="000464A1"/>
    <w:rsid w:val="0004652E"/>
    <w:rsid w:val="0004657B"/>
    <w:rsid w:val="000465A9"/>
    <w:rsid w:val="000465E2"/>
    <w:rsid w:val="00046608"/>
    <w:rsid w:val="00046631"/>
    <w:rsid w:val="0004668D"/>
    <w:rsid w:val="000466C7"/>
    <w:rsid w:val="000467B0"/>
    <w:rsid w:val="000467BF"/>
    <w:rsid w:val="0004686C"/>
    <w:rsid w:val="000468D3"/>
    <w:rsid w:val="00046933"/>
    <w:rsid w:val="000469CF"/>
    <w:rsid w:val="00046AAE"/>
    <w:rsid w:val="00046ABE"/>
    <w:rsid w:val="00046AC4"/>
    <w:rsid w:val="00046B5D"/>
    <w:rsid w:val="00046B65"/>
    <w:rsid w:val="00046B66"/>
    <w:rsid w:val="00046C75"/>
    <w:rsid w:val="00046CBF"/>
    <w:rsid w:val="00046D62"/>
    <w:rsid w:val="00046EF2"/>
    <w:rsid w:val="00046FCA"/>
    <w:rsid w:val="00046FF3"/>
    <w:rsid w:val="00047044"/>
    <w:rsid w:val="00047046"/>
    <w:rsid w:val="000470AF"/>
    <w:rsid w:val="00047119"/>
    <w:rsid w:val="00047132"/>
    <w:rsid w:val="00047156"/>
    <w:rsid w:val="00047239"/>
    <w:rsid w:val="000472A8"/>
    <w:rsid w:val="000472AA"/>
    <w:rsid w:val="000472D7"/>
    <w:rsid w:val="000473D4"/>
    <w:rsid w:val="00047450"/>
    <w:rsid w:val="000474C5"/>
    <w:rsid w:val="0004750A"/>
    <w:rsid w:val="00047512"/>
    <w:rsid w:val="00047549"/>
    <w:rsid w:val="00047553"/>
    <w:rsid w:val="00047560"/>
    <w:rsid w:val="00047576"/>
    <w:rsid w:val="00047583"/>
    <w:rsid w:val="0004758C"/>
    <w:rsid w:val="000475B9"/>
    <w:rsid w:val="0004762D"/>
    <w:rsid w:val="00047643"/>
    <w:rsid w:val="00047664"/>
    <w:rsid w:val="000476A0"/>
    <w:rsid w:val="000476FE"/>
    <w:rsid w:val="0004773F"/>
    <w:rsid w:val="00047775"/>
    <w:rsid w:val="00047815"/>
    <w:rsid w:val="000478B5"/>
    <w:rsid w:val="00047970"/>
    <w:rsid w:val="000479A6"/>
    <w:rsid w:val="000479AC"/>
    <w:rsid w:val="000479B0"/>
    <w:rsid w:val="000479CB"/>
    <w:rsid w:val="000479FC"/>
    <w:rsid w:val="00047A08"/>
    <w:rsid w:val="00047A48"/>
    <w:rsid w:val="00047A55"/>
    <w:rsid w:val="00047A62"/>
    <w:rsid w:val="00047ACB"/>
    <w:rsid w:val="00047B46"/>
    <w:rsid w:val="00047B54"/>
    <w:rsid w:val="00047BA2"/>
    <w:rsid w:val="00047BB3"/>
    <w:rsid w:val="00047BE0"/>
    <w:rsid w:val="00047D19"/>
    <w:rsid w:val="00047DDC"/>
    <w:rsid w:val="00047EE1"/>
    <w:rsid w:val="00047EE4"/>
    <w:rsid w:val="00047FC6"/>
    <w:rsid w:val="000500C7"/>
    <w:rsid w:val="000500CF"/>
    <w:rsid w:val="000500D3"/>
    <w:rsid w:val="000500F0"/>
    <w:rsid w:val="000500F4"/>
    <w:rsid w:val="0005015D"/>
    <w:rsid w:val="00050173"/>
    <w:rsid w:val="00050175"/>
    <w:rsid w:val="000501FC"/>
    <w:rsid w:val="00050222"/>
    <w:rsid w:val="0005029F"/>
    <w:rsid w:val="000502AB"/>
    <w:rsid w:val="000502DA"/>
    <w:rsid w:val="00050350"/>
    <w:rsid w:val="0005037A"/>
    <w:rsid w:val="000503CD"/>
    <w:rsid w:val="000503DB"/>
    <w:rsid w:val="000503EC"/>
    <w:rsid w:val="00050410"/>
    <w:rsid w:val="0005041C"/>
    <w:rsid w:val="00050466"/>
    <w:rsid w:val="00050474"/>
    <w:rsid w:val="00050485"/>
    <w:rsid w:val="00050525"/>
    <w:rsid w:val="00050527"/>
    <w:rsid w:val="00050530"/>
    <w:rsid w:val="00050542"/>
    <w:rsid w:val="0005059C"/>
    <w:rsid w:val="000505BE"/>
    <w:rsid w:val="000505BF"/>
    <w:rsid w:val="00050624"/>
    <w:rsid w:val="00050648"/>
    <w:rsid w:val="000506F8"/>
    <w:rsid w:val="000506FB"/>
    <w:rsid w:val="00050710"/>
    <w:rsid w:val="0005076B"/>
    <w:rsid w:val="00050770"/>
    <w:rsid w:val="00050787"/>
    <w:rsid w:val="000507A2"/>
    <w:rsid w:val="000507B6"/>
    <w:rsid w:val="000508DC"/>
    <w:rsid w:val="00050915"/>
    <w:rsid w:val="00050952"/>
    <w:rsid w:val="0005096B"/>
    <w:rsid w:val="000509B6"/>
    <w:rsid w:val="000509E1"/>
    <w:rsid w:val="00050AB6"/>
    <w:rsid w:val="00050AEC"/>
    <w:rsid w:val="00050B04"/>
    <w:rsid w:val="00050C30"/>
    <w:rsid w:val="00050C3C"/>
    <w:rsid w:val="00050C7A"/>
    <w:rsid w:val="00050CD9"/>
    <w:rsid w:val="00050CDC"/>
    <w:rsid w:val="00050CF5"/>
    <w:rsid w:val="00050E68"/>
    <w:rsid w:val="00050E7D"/>
    <w:rsid w:val="00050E86"/>
    <w:rsid w:val="00050E87"/>
    <w:rsid w:val="00050EAA"/>
    <w:rsid w:val="00050ECB"/>
    <w:rsid w:val="00050F57"/>
    <w:rsid w:val="00050F7B"/>
    <w:rsid w:val="00050F7D"/>
    <w:rsid w:val="00051082"/>
    <w:rsid w:val="0005108A"/>
    <w:rsid w:val="000510C2"/>
    <w:rsid w:val="00051104"/>
    <w:rsid w:val="00051113"/>
    <w:rsid w:val="0005112B"/>
    <w:rsid w:val="0005114F"/>
    <w:rsid w:val="0005115B"/>
    <w:rsid w:val="0005118C"/>
    <w:rsid w:val="000511F0"/>
    <w:rsid w:val="00051241"/>
    <w:rsid w:val="0005124B"/>
    <w:rsid w:val="0005126C"/>
    <w:rsid w:val="00051296"/>
    <w:rsid w:val="000512ED"/>
    <w:rsid w:val="00051338"/>
    <w:rsid w:val="00051342"/>
    <w:rsid w:val="0005134D"/>
    <w:rsid w:val="00051432"/>
    <w:rsid w:val="000514DA"/>
    <w:rsid w:val="000514EF"/>
    <w:rsid w:val="00051547"/>
    <w:rsid w:val="00051617"/>
    <w:rsid w:val="00051632"/>
    <w:rsid w:val="00051666"/>
    <w:rsid w:val="0005167A"/>
    <w:rsid w:val="000516A4"/>
    <w:rsid w:val="000516EF"/>
    <w:rsid w:val="00051727"/>
    <w:rsid w:val="00051762"/>
    <w:rsid w:val="00051782"/>
    <w:rsid w:val="00051792"/>
    <w:rsid w:val="000517CA"/>
    <w:rsid w:val="000517EF"/>
    <w:rsid w:val="0005184B"/>
    <w:rsid w:val="000518C8"/>
    <w:rsid w:val="000518EE"/>
    <w:rsid w:val="000518FB"/>
    <w:rsid w:val="000519A2"/>
    <w:rsid w:val="000519D7"/>
    <w:rsid w:val="000519DD"/>
    <w:rsid w:val="00051A32"/>
    <w:rsid w:val="00051A4F"/>
    <w:rsid w:val="00051A9F"/>
    <w:rsid w:val="00051BA1"/>
    <w:rsid w:val="00051BF7"/>
    <w:rsid w:val="00051C10"/>
    <w:rsid w:val="00051C33"/>
    <w:rsid w:val="00051C4C"/>
    <w:rsid w:val="00051CB3"/>
    <w:rsid w:val="00051D14"/>
    <w:rsid w:val="00051DD1"/>
    <w:rsid w:val="00051E1B"/>
    <w:rsid w:val="00051E80"/>
    <w:rsid w:val="00051F38"/>
    <w:rsid w:val="00051F4B"/>
    <w:rsid w:val="0005207E"/>
    <w:rsid w:val="00052085"/>
    <w:rsid w:val="000520B8"/>
    <w:rsid w:val="000520C2"/>
    <w:rsid w:val="000520C4"/>
    <w:rsid w:val="000520E0"/>
    <w:rsid w:val="00052149"/>
    <w:rsid w:val="000521F3"/>
    <w:rsid w:val="0005222C"/>
    <w:rsid w:val="00052254"/>
    <w:rsid w:val="0005229C"/>
    <w:rsid w:val="000522F7"/>
    <w:rsid w:val="00052380"/>
    <w:rsid w:val="00052388"/>
    <w:rsid w:val="000523D0"/>
    <w:rsid w:val="00052426"/>
    <w:rsid w:val="0005244E"/>
    <w:rsid w:val="00052469"/>
    <w:rsid w:val="00052494"/>
    <w:rsid w:val="000524E2"/>
    <w:rsid w:val="000525E4"/>
    <w:rsid w:val="000525F7"/>
    <w:rsid w:val="0005263F"/>
    <w:rsid w:val="0005268A"/>
    <w:rsid w:val="000526D4"/>
    <w:rsid w:val="00052864"/>
    <w:rsid w:val="000528DA"/>
    <w:rsid w:val="000528E7"/>
    <w:rsid w:val="0005298E"/>
    <w:rsid w:val="000529BB"/>
    <w:rsid w:val="000529D5"/>
    <w:rsid w:val="00052AC2"/>
    <w:rsid w:val="00052ACC"/>
    <w:rsid w:val="00052ADC"/>
    <w:rsid w:val="00052AF2"/>
    <w:rsid w:val="00052B1C"/>
    <w:rsid w:val="00052B75"/>
    <w:rsid w:val="00052B89"/>
    <w:rsid w:val="00052BAB"/>
    <w:rsid w:val="00052BE1"/>
    <w:rsid w:val="00052BFD"/>
    <w:rsid w:val="00052C40"/>
    <w:rsid w:val="00052C7F"/>
    <w:rsid w:val="00052C92"/>
    <w:rsid w:val="00052CB1"/>
    <w:rsid w:val="00052D3C"/>
    <w:rsid w:val="00052E06"/>
    <w:rsid w:val="00052E10"/>
    <w:rsid w:val="00052E30"/>
    <w:rsid w:val="00052E3F"/>
    <w:rsid w:val="00052E5E"/>
    <w:rsid w:val="00052FE2"/>
    <w:rsid w:val="00053030"/>
    <w:rsid w:val="00053060"/>
    <w:rsid w:val="00053079"/>
    <w:rsid w:val="00053125"/>
    <w:rsid w:val="00053152"/>
    <w:rsid w:val="0005315C"/>
    <w:rsid w:val="000532E7"/>
    <w:rsid w:val="0005330C"/>
    <w:rsid w:val="00053325"/>
    <w:rsid w:val="0005337A"/>
    <w:rsid w:val="0005339E"/>
    <w:rsid w:val="00053401"/>
    <w:rsid w:val="00053448"/>
    <w:rsid w:val="0005344A"/>
    <w:rsid w:val="0005347A"/>
    <w:rsid w:val="00053523"/>
    <w:rsid w:val="000535A1"/>
    <w:rsid w:val="000535C1"/>
    <w:rsid w:val="000535FF"/>
    <w:rsid w:val="00053606"/>
    <w:rsid w:val="00053618"/>
    <w:rsid w:val="00053662"/>
    <w:rsid w:val="000536FB"/>
    <w:rsid w:val="0005374B"/>
    <w:rsid w:val="00053777"/>
    <w:rsid w:val="00053842"/>
    <w:rsid w:val="00053845"/>
    <w:rsid w:val="0005388F"/>
    <w:rsid w:val="000538B8"/>
    <w:rsid w:val="000539E2"/>
    <w:rsid w:val="00053A55"/>
    <w:rsid w:val="00053A6F"/>
    <w:rsid w:val="00053A79"/>
    <w:rsid w:val="00053B40"/>
    <w:rsid w:val="00053B7D"/>
    <w:rsid w:val="00053BD7"/>
    <w:rsid w:val="00053C01"/>
    <w:rsid w:val="00053C47"/>
    <w:rsid w:val="00053CBE"/>
    <w:rsid w:val="00053D24"/>
    <w:rsid w:val="00053D6F"/>
    <w:rsid w:val="00053DF2"/>
    <w:rsid w:val="00053E07"/>
    <w:rsid w:val="00053E22"/>
    <w:rsid w:val="00053E48"/>
    <w:rsid w:val="00053E78"/>
    <w:rsid w:val="00053E87"/>
    <w:rsid w:val="00053FAD"/>
    <w:rsid w:val="00053FC5"/>
    <w:rsid w:val="00053FE4"/>
    <w:rsid w:val="00054024"/>
    <w:rsid w:val="00054064"/>
    <w:rsid w:val="00054088"/>
    <w:rsid w:val="000540A8"/>
    <w:rsid w:val="000540BE"/>
    <w:rsid w:val="000540EA"/>
    <w:rsid w:val="0005411E"/>
    <w:rsid w:val="00054120"/>
    <w:rsid w:val="000541CB"/>
    <w:rsid w:val="000541D0"/>
    <w:rsid w:val="000541EF"/>
    <w:rsid w:val="00054214"/>
    <w:rsid w:val="0005425F"/>
    <w:rsid w:val="0005427A"/>
    <w:rsid w:val="0005433D"/>
    <w:rsid w:val="00054344"/>
    <w:rsid w:val="00054345"/>
    <w:rsid w:val="0005434C"/>
    <w:rsid w:val="00054390"/>
    <w:rsid w:val="00054393"/>
    <w:rsid w:val="000543A5"/>
    <w:rsid w:val="000543E3"/>
    <w:rsid w:val="000543F9"/>
    <w:rsid w:val="00054471"/>
    <w:rsid w:val="000544FE"/>
    <w:rsid w:val="00054567"/>
    <w:rsid w:val="0005459E"/>
    <w:rsid w:val="000545EC"/>
    <w:rsid w:val="00054614"/>
    <w:rsid w:val="0005463E"/>
    <w:rsid w:val="0005466C"/>
    <w:rsid w:val="000546F6"/>
    <w:rsid w:val="000546F9"/>
    <w:rsid w:val="0005477D"/>
    <w:rsid w:val="000547A4"/>
    <w:rsid w:val="000547BA"/>
    <w:rsid w:val="0005485B"/>
    <w:rsid w:val="00054862"/>
    <w:rsid w:val="00054880"/>
    <w:rsid w:val="000548D1"/>
    <w:rsid w:val="00054923"/>
    <w:rsid w:val="0005492B"/>
    <w:rsid w:val="0005497A"/>
    <w:rsid w:val="00054980"/>
    <w:rsid w:val="000549AF"/>
    <w:rsid w:val="000549B0"/>
    <w:rsid w:val="00054ADE"/>
    <w:rsid w:val="00054B01"/>
    <w:rsid w:val="00054B05"/>
    <w:rsid w:val="00054B47"/>
    <w:rsid w:val="00054B54"/>
    <w:rsid w:val="00054B9A"/>
    <w:rsid w:val="00054BA1"/>
    <w:rsid w:val="00054BA3"/>
    <w:rsid w:val="00054BE7"/>
    <w:rsid w:val="00054C78"/>
    <w:rsid w:val="00054C86"/>
    <w:rsid w:val="00054CEB"/>
    <w:rsid w:val="00054D6D"/>
    <w:rsid w:val="00054E24"/>
    <w:rsid w:val="00054E69"/>
    <w:rsid w:val="00054E6E"/>
    <w:rsid w:val="00054ECD"/>
    <w:rsid w:val="00054EF9"/>
    <w:rsid w:val="00054FB2"/>
    <w:rsid w:val="00054FCF"/>
    <w:rsid w:val="00054FD0"/>
    <w:rsid w:val="00054FD9"/>
    <w:rsid w:val="0005503A"/>
    <w:rsid w:val="000550AE"/>
    <w:rsid w:val="000550D3"/>
    <w:rsid w:val="00055105"/>
    <w:rsid w:val="00055118"/>
    <w:rsid w:val="00055125"/>
    <w:rsid w:val="00055136"/>
    <w:rsid w:val="00055146"/>
    <w:rsid w:val="00055174"/>
    <w:rsid w:val="000551D4"/>
    <w:rsid w:val="0005523B"/>
    <w:rsid w:val="00055249"/>
    <w:rsid w:val="00055297"/>
    <w:rsid w:val="000552B5"/>
    <w:rsid w:val="0005532B"/>
    <w:rsid w:val="00055364"/>
    <w:rsid w:val="00055425"/>
    <w:rsid w:val="00055459"/>
    <w:rsid w:val="0005547A"/>
    <w:rsid w:val="00055485"/>
    <w:rsid w:val="0005548B"/>
    <w:rsid w:val="000554AF"/>
    <w:rsid w:val="00055535"/>
    <w:rsid w:val="000555AD"/>
    <w:rsid w:val="000555E8"/>
    <w:rsid w:val="0005560B"/>
    <w:rsid w:val="00055674"/>
    <w:rsid w:val="0005569C"/>
    <w:rsid w:val="000556B3"/>
    <w:rsid w:val="000556BD"/>
    <w:rsid w:val="0005571D"/>
    <w:rsid w:val="00055785"/>
    <w:rsid w:val="00055787"/>
    <w:rsid w:val="000557C8"/>
    <w:rsid w:val="0005583D"/>
    <w:rsid w:val="0005583F"/>
    <w:rsid w:val="0005587A"/>
    <w:rsid w:val="0005587F"/>
    <w:rsid w:val="00055924"/>
    <w:rsid w:val="00055982"/>
    <w:rsid w:val="00055A63"/>
    <w:rsid w:val="00055ACF"/>
    <w:rsid w:val="00055AE2"/>
    <w:rsid w:val="00055B0B"/>
    <w:rsid w:val="00055B61"/>
    <w:rsid w:val="00055B75"/>
    <w:rsid w:val="00055BEA"/>
    <w:rsid w:val="00055C10"/>
    <w:rsid w:val="00055C32"/>
    <w:rsid w:val="00055C4F"/>
    <w:rsid w:val="00055CFC"/>
    <w:rsid w:val="00055D15"/>
    <w:rsid w:val="00055D84"/>
    <w:rsid w:val="00055DA2"/>
    <w:rsid w:val="00055E55"/>
    <w:rsid w:val="00055ECD"/>
    <w:rsid w:val="00055F62"/>
    <w:rsid w:val="000560A9"/>
    <w:rsid w:val="000560C4"/>
    <w:rsid w:val="000560E1"/>
    <w:rsid w:val="00056101"/>
    <w:rsid w:val="0005611B"/>
    <w:rsid w:val="00056205"/>
    <w:rsid w:val="00056254"/>
    <w:rsid w:val="00056384"/>
    <w:rsid w:val="00056393"/>
    <w:rsid w:val="000563A9"/>
    <w:rsid w:val="0005649D"/>
    <w:rsid w:val="0005650D"/>
    <w:rsid w:val="00056515"/>
    <w:rsid w:val="00056518"/>
    <w:rsid w:val="000565A8"/>
    <w:rsid w:val="000565D5"/>
    <w:rsid w:val="00056725"/>
    <w:rsid w:val="00056729"/>
    <w:rsid w:val="00056735"/>
    <w:rsid w:val="00056767"/>
    <w:rsid w:val="000567CB"/>
    <w:rsid w:val="00056894"/>
    <w:rsid w:val="000568F0"/>
    <w:rsid w:val="000568FF"/>
    <w:rsid w:val="00056903"/>
    <w:rsid w:val="00056943"/>
    <w:rsid w:val="00056978"/>
    <w:rsid w:val="00056A96"/>
    <w:rsid w:val="00056AD0"/>
    <w:rsid w:val="00056ADE"/>
    <w:rsid w:val="00056B5A"/>
    <w:rsid w:val="00056B79"/>
    <w:rsid w:val="00056BB7"/>
    <w:rsid w:val="00056BE3"/>
    <w:rsid w:val="00056BE8"/>
    <w:rsid w:val="00056C58"/>
    <w:rsid w:val="00056C74"/>
    <w:rsid w:val="00056CB7"/>
    <w:rsid w:val="00056CDC"/>
    <w:rsid w:val="00056CDD"/>
    <w:rsid w:val="00056D18"/>
    <w:rsid w:val="00056D2B"/>
    <w:rsid w:val="00056D2F"/>
    <w:rsid w:val="00056D5B"/>
    <w:rsid w:val="00056DD9"/>
    <w:rsid w:val="00056E44"/>
    <w:rsid w:val="00056E88"/>
    <w:rsid w:val="00056E9C"/>
    <w:rsid w:val="00056F14"/>
    <w:rsid w:val="00056F63"/>
    <w:rsid w:val="00056FAE"/>
    <w:rsid w:val="00056FB0"/>
    <w:rsid w:val="00056FEF"/>
    <w:rsid w:val="00057061"/>
    <w:rsid w:val="00057074"/>
    <w:rsid w:val="000570A8"/>
    <w:rsid w:val="000570AF"/>
    <w:rsid w:val="000570FE"/>
    <w:rsid w:val="00057169"/>
    <w:rsid w:val="0005717C"/>
    <w:rsid w:val="00057180"/>
    <w:rsid w:val="00057213"/>
    <w:rsid w:val="00057271"/>
    <w:rsid w:val="000572C2"/>
    <w:rsid w:val="000572D5"/>
    <w:rsid w:val="000572F7"/>
    <w:rsid w:val="00057341"/>
    <w:rsid w:val="00057345"/>
    <w:rsid w:val="000573DF"/>
    <w:rsid w:val="0005743B"/>
    <w:rsid w:val="000574FC"/>
    <w:rsid w:val="0005750F"/>
    <w:rsid w:val="00057584"/>
    <w:rsid w:val="000575CC"/>
    <w:rsid w:val="000575F8"/>
    <w:rsid w:val="0005760B"/>
    <w:rsid w:val="00057630"/>
    <w:rsid w:val="00057635"/>
    <w:rsid w:val="0005764D"/>
    <w:rsid w:val="00057670"/>
    <w:rsid w:val="00057679"/>
    <w:rsid w:val="00057699"/>
    <w:rsid w:val="00057797"/>
    <w:rsid w:val="00057827"/>
    <w:rsid w:val="000578A0"/>
    <w:rsid w:val="000578A3"/>
    <w:rsid w:val="00057906"/>
    <w:rsid w:val="00057970"/>
    <w:rsid w:val="00057A1F"/>
    <w:rsid w:val="00057A43"/>
    <w:rsid w:val="00057A4C"/>
    <w:rsid w:val="00057A64"/>
    <w:rsid w:val="00057A8F"/>
    <w:rsid w:val="00057A9D"/>
    <w:rsid w:val="00057ABE"/>
    <w:rsid w:val="00057B72"/>
    <w:rsid w:val="00057BDF"/>
    <w:rsid w:val="00057BED"/>
    <w:rsid w:val="00057C7A"/>
    <w:rsid w:val="00057CA7"/>
    <w:rsid w:val="00057D07"/>
    <w:rsid w:val="00057D5A"/>
    <w:rsid w:val="00057D82"/>
    <w:rsid w:val="00057E3E"/>
    <w:rsid w:val="00057F08"/>
    <w:rsid w:val="00057F3B"/>
    <w:rsid w:val="00057F57"/>
    <w:rsid w:val="00057F74"/>
    <w:rsid w:val="00057F87"/>
    <w:rsid w:val="00057F8B"/>
    <w:rsid w:val="00057FA0"/>
    <w:rsid w:val="00060061"/>
    <w:rsid w:val="00060077"/>
    <w:rsid w:val="00060078"/>
    <w:rsid w:val="0006007F"/>
    <w:rsid w:val="000600D3"/>
    <w:rsid w:val="000600F4"/>
    <w:rsid w:val="00060109"/>
    <w:rsid w:val="0006018A"/>
    <w:rsid w:val="000601E1"/>
    <w:rsid w:val="00060218"/>
    <w:rsid w:val="000602E3"/>
    <w:rsid w:val="000602F6"/>
    <w:rsid w:val="00060314"/>
    <w:rsid w:val="00060352"/>
    <w:rsid w:val="0006039E"/>
    <w:rsid w:val="000603BF"/>
    <w:rsid w:val="000603EF"/>
    <w:rsid w:val="00060425"/>
    <w:rsid w:val="000604A2"/>
    <w:rsid w:val="000604D6"/>
    <w:rsid w:val="0006051D"/>
    <w:rsid w:val="0006054D"/>
    <w:rsid w:val="000605E0"/>
    <w:rsid w:val="0006060F"/>
    <w:rsid w:val="0006065E"/>
    <w:rsid w:val="00060741"/>
    <w:rsid w:val="00060796"/>
    <w:rsid w:val="000607F4"/>
    <w:rsid w:val="0006088F"/>
    <w:rsid w:val="00060894"/>
    <w:rsid w:val="000608C2"/>
    <w:rsid w:val="000608D2"/>
    <w:rsid w:val="00060904"/>
    <w:rsid w:val="00060907"/>
    <w:rsid w:val="0006098E"/>
    <w:rsid w:val="000609AB"/>
    <w:rsid w:val="00060B0E"/>
    <w:rsid w:val="00060B2D"/>
    <w:rsid w:val="00060B52"/>
    <w:rsid w:val="00060B7A"/>
    <w:rsid w:val="00060BAD"/>
    <w:rsid w:val="00060C32"/>
    <w:rsid w:val="00060C57"/>
    <w:rsid w:val="00060C6C"/>
    <w:rsid w:val="00060C92"/>
    <w:rsid w:val="00060D06"/>
    <w:rsid w:val="00060D1E"/>
    <w:rsid w:val="00060D2B"/>
    <w:rsid w:val="00060D4B"/>
    <w:rsid w:val="00060DA4"/>
    <w:rsid w:val="00060DAF"/>
    <w:rsid w:val="00060E35"/>
    <w:rsid w:val="00060E8A"/>
    <w:rsid w:val="00060EAB"/>
    <w:rsid w:val="00060EDE"/>
    <w:rsid w:val="00060EEE"/>
    <w:rsid w:val="00060EF5"/>
    <w:rsid w:val="00060EF8"/>
    <w:rsid w:val="00060F00"/>
    <w:rsid w:val="00060F37"/>
    <w:rsid w:val="00060F53"/>
    <w:rsid w:val="00060F9E"/>
    <w:rsid w:val="00060FDD"/>
    <w:rsid w:val="00061050"/>
    <w:rsid w:val="0006105C"/>
    <w:rsid w:val="00061067"/>
    <w:rsid w:val="00061093"/>
    <w:rsid w:val="0006122E"/>
    <w:rsid w:val="00061244"/>
    <w:rsid w:val="000613E5"/>
    <w:rsid w:val="00061438"/>
    <w:rsid w:val="00061498"/>
    <w:rsid w:val="000614B4"/>
    <w:rsid w:val="00061504"/>
    <w:rsid w:val="0006155F"/>
    <w:rsid w:val="00061565"/>
    <w:rsid w:val="000615D0"/>
    <w:rsid w:val="000615DD"/>
    <w:rsid w:val="00061619"/>
    <w:rsid w:val="0006172C"/>
    <w:rsid w:val="00061754"/>
    <w:rsid w:val="0006176D"/>
    <w:rsid w:val="000617A4"/>
    <w:rsid w:val="000617C0"/>
    <w:rsid w:val="000617C6"/>
    <w:rsid w:val="000617D9"/>
    <w:rsid w:val="00061802"/>
    <w:rsid w:val="000618E9"/>
    <w:rsid w:val="00061928"/>
    <w:rsid w:val="00061A03"/>
    <w:rsid w:val="00061A0D"/>
    <w:rsid w:val="00061A29"/>
    <w:rsid w:val="00061A35"/>
    <w:rsid w:val="00061A44"/>
    <w:rsid w:val="00061A53"/>
    <w:rsid w:val="00061ADD"/>
    <w:rsid w:val="00061B28"/>
    <w:rsid w:val="00061C42"/>
    <w:rsid w:val="00061CAC"/>
    <w:rsid w:val="00061CD6"/>
    <w:rsid w:val="00061D80"/>
    <w:rsid w:val="00061DC9"/>
    <w:rsid w:val="00061DD4"/>
    <w:rsid w:val="00061DF1"/>
    <w:rsid w:val="00061E1A"/>
    <w:rsid w:val="00061E53"/>
    <w:rsid w:val="00061E9D"/>
    <w:rsid w:val="00061EBF"/>
    <w:rsid w:val="00061ED5"/>
    <w:rsid w:val="00061FA3"/>
    <w:rsid w:val="00061FA4"/>
    <w:rsid w:val="000620E3"/>
    <w:rsid w:val="00062109"/>
    <w:rsid w:val="0006217D"/>
    <w:rsid w:val="00062187"/>
    <w:rsid w:val="000621C2"/>
    <w:rsid w:val="000621E6"/>
    <w:rsid w:val="00062214"/>
    <w:rsid w:val="0006227B"/>
    <w:rsid w:val="000622C4"/>
    <w:rsid w:val="00062309"/>
    <w:rsid w:val="0006237F"/>
    <w:rsid w:val="00062437"/>
    <w:rsid w:val="000624A2"/>
    <w:rsid w:val="000624BD"/>
    <w:rsid w:val="000624EA"/>
    <w:rsid w:val="0006251A"/>
    <w:rsid w:val="0006251E"/>
    <w:rsid w:val="00062557"/>
    <w:rsid w:val="00062559"/>
    <w:rsid w:val="00062571"/>
    <w:rsid w:val="000625E7"/>
    <w:rsid w:val="000625E8"/>
    <w:rsid w:val="00062732"/>
    <w:rsid w:val="00062788"/>
    <w:rsid w:val="000627D4"/>
    <w:rsid w:val="00062820"/>
    <w:rsid w:val="00062838"/>
    <w:rsid w:val="00062878"/>
    <w:rsid w:val="0006291C"/>
    <w:rsid w:val="00062942"/>
    <w:rsid w:val="0006297F"/>
    <w:rsid w:val="000629B7"/>
    <w:rsid w:val="000629E1"/>
    <w:rsid w:val="00062A03"/>
    <w:rsid w:val="00062A23"/>
    <w:rsid w:val="00062A45"/>
    <w:rsid w:val="00062A5D"/>
    <w:rsid w:val="00062A96"/>
    <w:rsid w:val="00062B04"/>
    <w:rsid w:val="00062B28"/>
    <w:rsid w:val="00062C50"/>
    <w:rsid w:val="00062D27"/>
    <w:rsid w:val="00062D2E"/>
    <w:rsid w:val="00062D47"/>
    <w:rsid w:val="00062D4A"/>
    <w:rsid w:val="00062D6E"/>
    <w:rsid w:val="00062D78"/>
    <w:rsid w:val="00062DAE"/>
    <w:rsid w:val="00062DB2"/>
    <w:rsid w:val="00062E19"/>
    <w:rsid w:val="00062ECA"/>
    <w:rsid w:val="00062EE4"/>
    <w:rsid w:val="00062F87"/>
    <w:rsid w:val="00062FD0"/>
    <w:rsid w:val="0006304C"/>
    <w:rsid w:val="000630C1"/>
    <w:rsid w:val="000630F9"/>
    <w:rsid w:val="00063182"/>
    <w:rsid w:val="000631DA"/>
    <w:rsid w:val="000631F3"/>
    <w:rsid w:val="00063251"/>
    <w:rsid w:val="000632FC"/>
    <w:rsid w:val="000632FF"/>
    <w:rsid w:val="00063341"/>
    <w:rsid w:val="00063361"/>
    <w:rsid w:val="00063364"/>
    <w:rsid w:val="0006339E"/>
    <w:rsid w:val="000633AC"/>
    <w:rsid w:val="000633C5"/>
    <w:rsid w:val="0006345F"/>
    <w:rsid w:val="0006348E"/>
    <w:rsid w:val="00063515"/>
    <w:rsid w:val="00063539"/>
    <w:rsid w:val="0006355C"/>
    <w:rsid w:val="000635AA"/>
    <w:rsid w:val="00063600"/>
    <w:rsid w:val="0006360C"/>
    <w:rsid w:val="00063618"/>
    <w:rsid w:val="0006361E"/>
    <w:rsid w:val="00063652"/>
    <w:rsid w:val="00063667"/>
    <w:rsid w:val="00063669"/>
    <w:rsid w:val="000636DC"/>
    <w:rsid w:val="00063754"/>
    <w:rsid w:val="000637CC"/>
    <w:rsid w:val="000637EB"/>
    <w:rsid w:val="000638E7"/>
    <w:rsid w:val="0006397A"/>
    <w:rsid w:val="00063A46"/>
    <w:rsid w:val="00063A75"/>
    <w:rsid w:val="00063A83"/>
    <w:rsid w:val="00063AB9"/>
    <w:rsid w:val="00063BF9"/>
    <w:rsid w:val="00063D00"/>
    <w:rsid w:val="00063D0C"/>
    <w:rsid w:val="00063DDE"/>
    <w:rsid w:val="00063E4D"/>
    <w:rsid w:val="00063EA0"/>
    <w:rsid w:val="00063F0B"/>
    <w:rsid w:val="00063F77"/>
    <w:rsid w:val="00063FBD"/>
    <w:rsid w:val="00064018"/>
    <w:rsid w:val="00064083"/>
    <w:rsid w:val="000640BD"/>
    <w:rsid w:val="000640EA"/>
    <w:rsid w:val="000640F2"/>
    <w:rsid w:val="00064146"/>
    <w:rsid w:val="000641E6"/>
    <w:rsid w:val="00064207"/>
    <w:rsid w:val="00064223"/>
    <w:rsid w:val="0006423A"/>
    <w:rsid w:val="0006425A"/>
    <w:rsid w:val="00064320"/>
    <w:rsid w:val="0006432F"/>
    <w:rsid w:val="00064348"/>
    <w:rsid w:val="00064365"/>
    <w:rsid w:val="000643E7"/>
    <w:rsid w:val="000643EB"/>
    <w:rsid w:val="00064496"/>
    <w:rsid w:val="0006452C"/>
    <w:rsid w:val="00064564"/>
    <w:rsid w:val="00064597"/>
    <w:rsid w:val="000645E4"/>
    <w:rsid w:val="0006460F"/>
    <w:rsid w:val="0006463D"/>
    <w:rsid w:val="0006463F"/>
    <w:rsid w:val="0006466A"/>
    <w:rsid w:val="000646C1"/>
    <w:rsid w:val="0006470E"/>
    <w:rsid w:val="0006473C"/>
    <w:rsid w:val="00064798"/>
    <w:rsid w:val="000647F4"/>
    <w:rsid w:val="000648DB"/>
    <w:rsid w:val="0006492D"/>
    <w:rsid w:val="0006495C"/>
    <w:rsid w:val="0006498B"/>
    <w:rsid w:val="00064A12"/>
    <w:rsid w:val="00064A74"/>
    <w:rsid w:val="00064A78"/>
    <w:rsid w:val="00064B0F"/>
    <w:rsid w:val="00064B91"/>
    <w:rsid w:val="00064BAB"/>
    <w:rsid w:val="00064BFF"/>
    <w:rsid w:val="00064C08"/>
    <w:rsid w:val="00064C3F"/>
    <w:rsid w:val="00064D78"/>
    <w:rsid w:val="00064D81"/>
    <w:rsid w:val="00064D89"/>
    <w:rsid w:val="00064DF4"/>
    <w:rsid w:val="00064E57"/>
    <w:rsid w:val="00064E9A"/>
    <w:rsid w:val="00064F89"/>
    <w:rsid w:val="00064FDD"/>
    <w:rsid w:val="0006504B"/>
    <w:rsid w:val="00065058"/>
    <w:rsid w:val="00065087"/>
    <w:rsid w:val="00065092"/>
    <w:rsid w:val="000650E9"/>
    <w:rsid w:val="000650F5"/>
    <w:rsid w:val="00065122"/>
    <w:rsid w:val="000651A7"/>
    <w:rsid w:val="000651C9"/>
    <w:rsid w:val="0006524C"/>
    <w:rsid w:val="0006528D"/>
    <w:rsid w:val="000652B5"/>
    <w:rsid w:val="00065349"/>
    <w:rsid w:val="00065372"/>
    <w:rsid w:val="000653A1"/>
    <w:rsid w:val="000653E5"/>
    <w:rsid w:val="00065442"/>
    <w:rsid w:val="0006545E"/>
    <w:rsid w:val="00065479"/>
    <w:rsid w:val="00065489"/>
    <w:rsid w:val="00065643"/>
    <w:rsid w:val="0006565F"/>
    <w:rsid w:val="00065670"/>
    <w:rsid w:val="00065680"/>
    <w:rsid w:val="000656CB"/>
    <w:rsid w:val="00065730"/>
    <w:rsid w:val="000657B7"/>
    <w:rsid w:val="0006580F"/>
    <w:rsid w:val="00065851"/>
    <w:rsid w:val="00065874"/>
    <w:rsid w:val="000658BA"/>
    <w:rsid w:val="00065A92"/>
    <w:rsid w:val="00065AB7"/>
    <w:rsid w:val="00065B5D"/>
    <w:rsid w:val="00065BED"/>
    <w:rsid w:val="00065C0E"/>
    <w:rsid w:val="00065C1A"/>
    <w:rsid w:val="00065CEB"/>
    <w:rsid w:val="00065D1C"/>
    <w:rsid w:val="00065D24"/>
    <w:rsid w:val="00065D2D"/>
    <w:rsid w:val="00065D99"/>
    <w:rsid w:val="00065E64"/>
    <w:rsid w:val="00065F52"/>
    <w:rsid w:val="00065FD1"/>
    <w:rsid w:val="0006600F"/>
    <w:rsid w:val="0006605B"/>
    <w:rsid w:val="00066080"/>
    <w:rsid w:val="00066092"/>
    <w:rsid w:val="000660EA"/>
    <w:rsid w:val="00066108"/>
    <w:rsid w:val="0006612B"/>
    <w:rsid w:val="0006612F"/>
    <w:rsid w:val="0006618C"/>
    <w:rsid w:val="000661F8"/>
    <w:rsid w:val="0006623E"/>
    <w:rsid w:val="0006624F"/>
    <w:rsid w:val="000662FB"/>
    <w:rsid w:val="0006632F"/>
    <w:rsid w:val="00066366"/>
    <w:rsid w:val="0006636C"/>
    <w:rsid w:val="000663C6"/>
    <w:rsid w:val="00066426"/>
    <w:rsid w:val="00066450"/>
    <w:rsid w:val="00066482"/>
    <w:rsid w:val="000664A8"/>
    <w:rsid w:val="00066539"/>
    <w:rsid w:val="00066581"/>
    <w:rsid w:val="000665CC"/>
    <w:rsid w:val="000665DB"/>
    <w:rsid w:val="00066689"/>
    <w:rsid w:val="000666AA"/>
    <w:rsid w:val="000666D2"/>
    <w:rsid w:val="000666F9"/>
    <w:rsid w:val="0006672D"/>
    <w:rsid w:val="0006674F"/>
    <w:rsid w:val="00066780"/>
    <w:rsid w:val="0006682D"/>
    <w:rsid w:val="0006686F"/>
    <w:rsid w:val="000668A7"/>
    <w:rsid w:val="000668F1"/>
    <w:rsid w:val="0006690B"/>
    <w:rsid w:val="00066931"/>
    <w:rsid w:val="00066934"/>
    <w:rsid w:val="00066981"/>
    <w:rsid w:val="00066A0C"/>
    <w:rsid w:val="00066A22"/>
    <w:rsid w:val="00066A26"/>
    <w:rsid w:val="00066A91"/>
    <w:rsid w:val="00066A9C"/>
    <w:rsid w:val="00066B02"/>
    <w:rsid w:val="00066B41"/>
    <w:rsid w:val="00066B67"/>
    <w:rsid w:val="00066C1F"/>
    <w:rsid w:val="00066C27"/>
    <w:rsid w:val="00066CAD"/>
    <w:rsid w:val="00066CB0"/>
    <w:rsid w:val="00066D95"/>
    <w:rsid w:val="00066DDB"/>
    <w:rsid w:val="00066DE3"/>
    <w:rsid w:val="00066EB4"/>
    <w:rsid w:val="00066ECB"/>
    <w:rsid w:val="00066ED8"/>
    <w:rsid w:val="00066F36"/>
    <w:rsid w:val="00066F62"/>
    <w:rsid w:val="00066F6D"/>
    <w:rsid w:val="00066F71"/>
    <w:rsid w:val="00066F8C"/>
    <w:rsid w:val="00066FB0"/>
    <w:rsid w:val="00066FE8"/>
    <w:rsid w:val="00066FF1"/>
    <w:rsid w:val="00067007"/>
    <w:rsid w:val="0006702A"/>
    <w:rsid w:val="0006702B"/>
    <w:rsid w:val="0006706D"/>
    <w:rsid w:val="0006710E"/>
    <w:rsid w:val="00067130"/>
    <w:rsid w:val="0006717F"/>
    <w:rsid w:val="0006718F"/>
    <w:rsid w:val="00067283"/>
    <w:rsid w:val="000672BA"/>
    <w:rsid w:val="000672DE"/>
    <w:rsid w:val="000672E3"/>
    <w:rsid w:val="000672FB"/>
    <w:rsid w:val="000672FD"/>
    <w:rsid w:val="000673C7"/>
    <w:rsid w:val="0006742A"/>
    <w:rsid w:val="00067445"/>
    <w:rsid w:val="00067487"/>
    <w:rsid w:val="000674C6"/>
    <w:rsid w:val="000674CC"/>
    <w:rsid w:val="00067521"/>
    <w:rsid w:val="00067571"/>
    <w:rsid w:val="000675DD"/>
    <w:rsid w:val="00067617"/>
    <w:rsid w:val="000676A2"/>
    <w:rsid w:val="000676BE"/>
    <w:rsid w:val="000676C9"/>
    <w:rsid w:val="000676DC"/>
    <w:rsid w:val="000677F2"/>
    <w:rsid w:val="00067828"/>
    <w:rsid w:val="0006785B"/>
    <w:rsid w:val="000678B1"/>
    <w:rsid w:val="000678D8"/>
    <w:rsid w:val="000678DF"/>
    <w:rsid w:val="00067952"/>
    <w:rsid w:val="000679A6"/>
    <w:rsid w:val="000679E2"/>
    <w:rsid w:val="00067AF2"/>
    <w:rsid w:val="00067B3B"/>
    <w:rsid w:val="00067B40"/>
    <w:rsid w:val="00067B43"/>
    <w:rsid w:val="00067B6A"/>
    <w:rsid w:val="00067BB5"/>
    <w:rsid w:val="00067BDF"/>
    <w:rsid w:val="00067BEA"/>
    <w:rsid w:val="00067C06"/>
    <w:rsid w:val="00067C15"/>
    <w:rsid w:val="00067C72"/>
    <w:rsid w:val="00067CAF"/>
    <w:rsid w:val="00067CB3"/>
    <w:rsid w:val="00067CDF"/>
    <w:rsid w:val="00067CEE"/>
    <w:rsid w:val="00067D04"/>
    <w:rsid w:val="00067D46"/>
    <w:rsid w:val="00067D88"/>
    <w:rsid w:val="00067DD0"/>
    <w:rsid w:val="00067DDA"/>
    <w:rsid w:val="00067F5F"/>
    <w:rsid w:val="00067FB0"/>
    <w:rsid w:val="00067FF3"/>
    <w:rsid w:val="00067FFA"/>
    <w:rsid w:val="00070077"/>
    <w:rsid w:val="000702CA"/>
    <w:rsid w:val="00070333"/>
    <w:rsid w:val="0007036D"/>
    <w:rsid w:val="00070375"/>
    <w:rsid w:val="00070384"/>
    <w:rsid w:val="00070386"/>
    <w:rsid w:val="000703B0"/>
    <w:rsid w:val="00070589"/>
    <w:rsid w:val="000705D8"/>
    <w:rsid w:val="00070630"/>
    <w:rsid w:val="00070666"/>
    <w:rsid w:val="0007074E"/>
    <w:rsid w:val="0007079A"/>
    <w:rsid w:val="000707BC"/>
    <w:rsid w:val="00070827"/>
    <w:rsid w:val="000708B2"/>
    <w:rsid w:val="0007092C"/>
    <w:rsid w:val="0007092D"/>
    <w:rsid w:val="0007099B"/>
    <w:rsid w:val="0007099D"/>
    <w:rsid w:val="000709B6"/>
    <w:rsid w:val="000709F0"/>
    <w:rsid w:val="00070A7C"/>
    <w:rsid w:val="00070A8E"/>
    <w:rsid w:val="00070AF9"/>
    <w:rsid w:val="00070B8B"/>
    <w:rsid w:val="00070B8E"/>
    <w:rsid w:val="00070BB8"/>
    <w:rsid w:val="00070BEC"/>
    <w:rsid w:val="00070C21"/>
    <w:rsid w:val="00070C9F"/>
    <w:rsid w:val="00070CEE"/>
    <w:rsid w:val="00070D60"/>
    <w:rsid w:val="00070E40"/>
    <w:rsid w:val="00070E72"/>
    <w:rsid w:val="00070E9B"/>
    <w:rsid w:val="00070EF0"/>
    <w:rsid w:val="00070FDF"/>
    <w:rsid w:val="00071013"/>
    <w:rsid w:val="0007109B"/>
    <w:rsid w:val="000710E3"/>
    <w:rsid w:val="000710FC"/>
    <w:rsid w:val="00071227"/>
    <w:rsid w:val="0007124B"/>
    <w:rsid w:val="00071272"/>
    <w:rsid w:val="00071274"/>
    <w:rsid w:val="000712EA"/>
    <w:rsid w:val="0007130D"/>
    <w:rsid w:val="0007137A"/>
    <w:rsid w:val="0007138F"/>
    <w:rsid w:val="000713B1"/>
    <w:rsid w:val="000713CF"/>
    <w:rsid w:val="000713DF"/>
    <w:rsid w:val="000713E6"/>
    <w:rsid w:val="00071421"/>
    <w:rsid w:val="00071451"/>
    <w:rsid w:val="00071503"/>
    <w:rsid w:val="00071509"/>
    <w:rsid w:val="00071530"/>
    <w:rsid w:val="0007161E"/>
    <w:rsid w:val="00071659"/>
    <w:rsid w:val="0007165A"/>
    <w:rsid w:val="0007167D"/>
    <w:rsid w:val="00071719"/>
    <w:rsid w:val="00071747"/>
    <w:rsid w:val="00071751"/>
    <w:rsid w:val="00071768"/>
    <w:rsid w:val="00071779"/>
    <w:rsid w:val="00071799"/>
    <w:rsid w:val="0007184B"/>
    <w:rsid w:val="00071897"/>
    <w:rsid w:val="000718F1"/>
    <w:rsid w:val="00071955"/>
    <w:rsid w:val="00071996"/>
    <w:rsid w:val="000719F8"/>
    <w:rsid w:val="00071A17"/>
    <w:rsid w:val="00071A24"/>
    <w:rsid w:val="00071A79"/>
    <w:rsid w:val="00071A80"/>
    <w:rsid w:val="00071A9B"/>
    <w:rsid w:val="00071AE5"/>
    <w:rsid w:val="00071AEB"/>
    <w:rsid w:val="00071B18"/>
    <w:rsid w:val="00071B20"/>
    <w:rsid w:val="00071BAB"/>
    <w:rsid w:val="00071BD9"/>
    <w:rsid w:val="00071C14"/>
    <w:rsid w:val="00071C23"/>
    <w:rsid w:val="00071C57"/>
    <w:rsid w:val="00071D70"/>
    <w:rsid w:val="00071D8E"/>
    <w:rsid w:val="00071DE0"/>
    <w:rsid w:val="00071DFB"/>
    <w:rsid w:val="00071E65"/>
    <w:rsid w:val="00071E71"/>
    <w:rsid w:val="00071EC0"/>
    <w:rsid w:val="00071FA9"/>
    <w:rsid w:val="00071FD8"/>
    <w:rsid w:val="00072059"/>
    <w:rsid w:val="00072099"/>
    <w:rsid w:val="00072188"/>
    <w:rsid w:val="000721EB"/>
    <w:rsid w:val="000721FC"/>
    <w:rsid w:val="00072285"/>
    <w:rsid w:val="000722A7"/>
    <w:rsid w:val="0007231C"/>
    <w:rsid w:val="0007233D"/>
    <w:rsid w:val="0007233F"/>
    <w:rsid w:val="00072348"/>
    <w:rsid w:val="0007236F"/>
    <w:rsid w:val="00072398"/>
    <w:rsid w:val="000723E5"/>
    <w:rsid w:val="00072497"/>
    <w:rsid w:val="00072503"/>
    <w:rsid w:val="00072550"/>
    <w:rsid w:val="0007259F"/>
    <w:rsid w:val="0007260E"/>
    <w:rsid w:val="0007264F"/>
    <w:rsid w:val="0007266A"/>
    <w:rsid w:val="0007267D"/>
    <w:rsid w:val="000726B7"/>
    <w:rsid w:val="000726C9"/>
    <w:rsid w:val="000726E2"/>
    <w:rsid w:val="00072728"/>
    <w:rsid w:val="0007272C"/>
    <w:rsid w:val="0007279A"/>
    <w:rsid w:val="0007279E"/>
    <w:rsid w:val="000727EF"/>
    <w:rsid w:val="00072818"/>
    <w:rsid w:val="0007289E"/>
    <w:rsid w:val="000728A2"/>
    <w:rsid w:val="00072908"/>
    <w:rsid w:val="0007294F"/>
    <w:rsid w:val="000729CF"/>
    <w:rsid w:val="00072A5A"/>
    <w:rsid w:val="00072AD9"/>
    <w:rsid w:val="00072B13"/>
    <w:rsid w:val="00072B2A"/>
    <w:rsid w:val="00072B99"/>
    <w:rsid w:val="00072C94"/>
    <w:rsid w:val="00072CC9"/>
    <w:rsid w:val="00072D0F"/>
    <w:rsid w:val="00072D62"/>
    <w:rsid w:val="00072D72"/>
    <w:rsid w:val="00072D96"/>
    <w:rsid w:val="00072DC5"/>
    <w:rsid w:val="00072DF4"/>
    <w:rsid w:val="00072E00"/>
    <w:rsid w:val="00072E40"/>
    <w:rsid w:val="00072E7A"/>
    <w:rsid w:val="00072EDD"/>
    <w:rsid w:val="00072F17"/>
    <w:rsid w:val="00073037"/>
    <w:rsid w:val="0007304C"/>
    <w:rsid w:val="00073090"/>
    <w:rsid w:val="000730E5"/>
    <w:rsid w:val="00073107"/>
    <w:rsid w:val="0007318A"/>
    <w:rsid w:val="00073259"/>
    <w:rsid w:val="0007329C"/>
    <w:rsid w:val="000732DA"/>
    <w:rsid w:val="00073347"/>
    <w:rsid w:val="00073375"/>
    <w:rsid w:val="000733A5"/>
    <w:rsid w:val="00073404"/>
    <w:rsid w:val="00073409"/>
    <w:rsid w:val="00073453"/>
    <w:rsid w:val="000734AE"/>
    <w:rsid w:val="00073549"/>
    <w:rsid w:val="000735A9"/>
    <w:rsid w:val="000735AE"/>
    <w:rsid w:val="000735B6"/>
    <w:rsid w:val="000735F8"/>
    <w:rsid w:val="000735FC"/>
    <w:rsid w:val="0007360D"/>
    <w:rsid w:val="000736D4"/>
    <w:rsid w:val="00073705"/>
    <w:rsid w:val="00073788"/>
    <w:rsid w:val="00073791"/>
    <w:rsid w:val="000737C2"/>
    <w:rsid w:val="00073829"/>
    <w:rsid w:val="000738A6"/>
    <w:rsid w:val="000738BC"/>
    <w:rsid w:val="00073934"/>
    <w:rsid w:val="00073978"/>
    <w:rsid w:val="000739E2"/>
    <w:rsid w:val="000739E6"/>
    <w:rsid w:val="00073A0A"/>
    <w:rsid w:val="00073A54"/>
    <w:rsid w:val="00073A8C"/>
    <w:rsid w:val="00073AA4"/>
    <w:rsid w:val="00073AAF"/>
    <w:rsid w:val="00073AF3"/>
    <w:rsid w:val="00073B34"/>
    <w:rsid w:val="00073BD4"/>
    <w:rsid w:val="00073BDE"/>
    <w:rsid w:val="00073C1B"/>
    <w:rsid w:val="00073C50"/>
    <w:rsid w:val="00073C56"/>
    <w:rsid w:val="00073C88"/>
    <w:rsid w:val="00073CA3"/>
    <w:rsid w:val="00073CC1"/>
    <w:rsid w:val="00073CD5"/>
    <w:rsid w:val="00073CF2"/>
    <w:rsid w:val="00073D10"/>
    <w:rsid w:val="00073DB5"/>
    <w:rsid w:val="00073E5D"/>
    <w:rsid w:val="00073E79"/>
    <w:rsid w:val="00073E90"/>
    <w:rsid w:val="00073EA2"/>
    <w:rsid w:val="00073EB2"/>
    <w:rsid w:val="00073EED"/>
    <w:rsid w:val="00073F12"/>
    <w:rsid w:val="00074048"/>
    <w:rsid w:val="000740CE"/>
    <w:rsid w:val="000740EE"/>
    <w:rsid w:val="0007417F"/>
    <w:rsid w:val="0007420D"/>
    <w:rsid w:val="00074214"/>
    <w:rsid w:val="00074220"/>
    <w:rsid w:val="0007422A"/>
    <w:rsid w:val="000742B4"/>
    <w:rsid w:val="000742FB"/>
    <w:rsid w:val="000743C4"/>
    <w:rsid w:val="00074438"/>
    <w:rsid w:val="0007445F"/>
    <w:rsid w:val="000744D6"/>
    <w:rsid w:val="000745EC"/>
    <w:rsid w:val="0007460D"/>
    <w:rsid w:val="00074620"/>
    <w:rsid w:val="0007465D"/>
    <w:rsid w:val="0007467C"/>
    <w:rsid w:val="000746FF"/>
    <w:rsid w:val="0007473A"/>
    <w:rsid w:val="0007473C"/>
    <w:rsid w:val="00074856"/>
    <w:rsid w:val="000748D4"/>
    <w:rsid w:val="000748D9"/>
    <w:rsid w:val="000748FD"/>
    <w:rsid w:val="0007497C"/>
    <w:rsid w:val="000749A3"/>
    <w:rsid w:val="000749A4"/>
    <w:rsid w:val="00074AB0"/>
    <w:rsid w:val="00074B4E"/>
    <w:rsid w:val="00074B88"/>
    <w:rsid w:val="00074B95"/>
    <w:rsid w:val="00074BBE"/>
    <w:rsid w:val="00074BCB"/>
    <w:rsid w:val="00074C05"/>
    <w:rsid w:val="00074CB6"/>
    <w:rsid w:val="00074D27"/>
    <w:rsid w:val="00074D54"/>
    <w:rsid w:val="00074E03"/>
    <w:rsid w:val="00074E72"/>
    <w:rsid w:val="00074E7A"/>
    <w:rsid w:val="00074E85"/>
    <w:rsid w:val="00074E9C"/>
    <w:rsid w:val="00074EBA"/>
    <w:rsid w:val="00074F32"/>
    <w:rsid w:val="00074F35"/>
    <w:rsid w:val="00074F5E"/>
    <w:rsid w:val="00074FCE"/>
    <w:rsid w:val="00074FD3"/>
    <w:rsid w:val="00074FD4"/>
    <w:rsid w:val="00074FF5"/>
    <w:rsid w:val="00075005"/>
    <w:rsid w:val="00075006"/>
    <w:rsid w:val="0007501E"/>
    <w:rsid w:val="0007501F"/>
    <w:rsid w:val="00075021"/>
    <w:rsid w:val="0007504C"/>
    <w:rsid w:val="00075095"/>
    <w:rsid w:val="00075096"/>
    <w:rsid w:val="0007512C"/>
    <w:rsid w:val="00075140"/>
    <w:rsid w:val="00075166"/>
    <w:rsid w:val="0007517A"/>
    <w:rsid w:val="000751DE"/>
    <w:rsid w:val="0007522B"/>
    <w:rsid w:val="0007529F"/>
    <w:rsid w:val="00075329"/>
    <w:rsid w:val="00075375"/>
    <w:rsid w:val="000753CF"/>
    <w:rsid w:val="000753DE"/>
    <w:rsid w:val="00075478"/>
    <w:rsid w:val="00075482"/>
    <w:rsid w:val="000754B4"/>
    <w:rsid w:val="000754E9"/>
    <w:rsid w:val="000754ED"/>
    <w:rsid w:val="00075537"/>
    <w:rsid w:val="0007555C"/>
    <w:rsid w:val="0007555F"/>
    <w:rsid w:val="00075567"/>
    <w:rsid w:val="0007570A"/>
    <w:rsid w:val="00075718"/>
    <w:rsid w:val="0007572C"/>
    <w:rsid w:val="00075731"/>
    <w:rsid w:val="0007573D"/>
    <w:rsid w:val="0007574B"/>
    <w:rsid w:val="0007577F"/>
    <w:rsid w:val="00075797"/>
    <w:rsid w:val="00075802"/>
    <w:rsid w:val="00075829"/>
    <w:rsid w:val="0007582F"/>
    <w:rsid w:val="00075854"/>
    <w:rsid w:val="0007585C"/>
    <w:rsid w:val="0007586D"/>
    <w:rsid w:val="000758E8"/>
    <w:rsid w:val="00075973"/>
    <w:rsid w:val="000759B0"/>
    <w:rsid w:val="00075A05"/>
    <w:rsid w:val="00075AC1"/>
    <w:rsid w:val="00075B29"/>
    <w:rsid w:val="00075B55"/>
    <w:rsid w:val="00075BC5"/>
    <w:rsid w:val="00075CAE"/>
    <w:rsid w:val="00075DC6"/>
    <w:rsid w:val="00075DD9"/>
    <w:rsid w:val="00075DE1"/>
    <w:rsid w:val="00075DF8"/>
    <w:rsid w:val="00075EF9"/>
    <w:rsid w:val="00075F1A"/>
    <w:rsid w:val="00075F1B"/>
    <w:rsid w:val="00075F44"/>
    <w:rsid w:val="00075FD8"/>
    <w:rsid w:val="0007605F"/>
    <w:rsid w:val="0007607E"/>
    <w:rsid w:val="00076106"/>
    <w:rsid w:val="00076114"/>
    <w:rsid w:val="0007613C"/>
    <w:rsid w:val="0007617F"/>
    <w:rsid w:val="000761CF"/>
    <w:rsid w:val="000761E6"/>
    <w:rsid w:val="000761F4"/>
    <w:rsid w:val="00076237"/>
    <w:rsid w:val="00076249"/>
    <w:rsid w:val="000762DC"/>
    <w:rsid w:val="00076439"/>
    <w:rsid w:val="000764BC"/>
    <w:rsid w:val="00076521"/>
    <w:rsid w:val="00076575"/>
    <w:rsid w:val="000765C6"/>
    <w:rsid w:val="00076647"/>
    <w:rsid w:val="00076676"/>
    <w:rsid w:val="0007668B"/>
    <w:rsid w:val="00076695"/>
    <w:rsid w:val="000766A2"/>
    <w:rsid w:val="000766A4"/>
    <w:rsid w:val="000766C0"/>
    <w:rsid w:val="000766C8"/>
    <w:rsid w:val="000766FD"/>
    <w:rsid w:val="0007670C"/>
    <w:rsid w:val="0007672A"/>
    <w:rsid w:val="00076749"/>
    <w:rsid w:val="0007676F"/>
    <w:rsid w:val="00076799"/>
    <w:rsid w:val="00076817"/>
    <w:rsid w:val="0007683E"/>
    <w:rsid w:val="000768AE"/>
    <w:rsid w:val="00076947"/>
    <w:rsid w:val="00076982"/>
    <w:rsid w:val="000769CD"/>
    <w:rsid w:val="000769FD"/>
    <w:rsid w:val="00076A6F"/>
    <w:rsid w:val="00076A7A"/>
    <w:rsid w:val="00076B50"/>
    <w:rsid w:val="00076B5B"/>
    <w:rsid w:val="00076B7D"/>
    <w:rsid w:val="00076B89"/>
    <w:rsid w:val="00076BC3"/>
    <w:rsid w:val="00076BD9"/>
    <w:rsid w:val="00076C18"/>
    <w:rsid w:val="00076D59"/>
    <w:rsid w:val="00076D63"/>
    <w:rsid w:val="00076D82"/>
    <w:rsid w:val="00076E13"/>
    <w:rsid w:val="00076E5F"/>
    <w:rsid w:val="00076E92"/>
    <w:rsid w:val="00076FA5"/>
    <w:rsid w:val="00077010"/>
    <w:rsid w:val="000770A3"/>
    <w:rsid w:val="000770D6"/>
    <w:rsid w:val="000770D9"/>
    <w:rsid w:val="00077100"/>
    <w:rsid w:val="0007711F"/>
    <w:rsid w:val="000771FE"/>
    <w:rsid w:val="0007720D"/>
    <w:rsid w:val="000772D3"/>
    <w:rsid w:val="000772E7"/>
    <w:rsid w:val="000772EA"/>
    <w:rsid w:val="0007732C"/>
    <w:rsid w:val="0007735B"/>
    <w:rsid w:val="000773BB"/>
    <w:rsid w:val="000773DF"/>
    <w:rsid w:val="00077457"/>
    <w:rsid w:val="00077496"/>
    <w:rsid w:val="00077512"/>
    <w:rsid w:val="00077514"/>
    <w:rsid w:val="0007751D"/>
    <w:rsid w:val="00077529"/>
    <w:rsid w:val="00077553"/>
    <w:rsid w:val="00077618"/>
    <w:rsid w:val="0007761D"/>
    <w:rsid w:val="0007768C"/>
    <w:rsid w:val="000776BA"/>
    <w:rsid w:val="00077706"/>
    <w:rsid w:val="0007771D"/>
    <w:rsid w:val="0007776D"/>
    <w:rsid w:val="0007777B"/>
    <w:rsid w:val="0007780B"/>
    <w:rsid w:val="00077817"/>
    <w:rsid w:val="0007786C"/>
    <w:rsid w:val="0007786F"/>
    <w:rsid w:val="00077A42"/>
    <w:rsid w:val="00077B22"/>
    <w:rsid w:val="00077B2F"/>
    <w:rsid w:val="00077BB0"/>
    <w:rsid w:val="00077BB3"/>
    <w:rsid w:val="00077C08"/>
    <w:rsid w:val="00077C3B"/>
    <w:rsid w:val="00077C4B"/>
    <w:rsid w:val="00077C4D"/>
    <w:rsid w:val="00077C54"/>
    <w:rsid w:val="00077C9D"/>
    <w:rsid w:val="00077CF5"/>
    <w:rsid w:val="00077D88"/>
    <w:rsid w:val="00077E10"/>
    <w:rsid w:val="00077EA9"/>
    <w:rsid w:val="00077F7F"/>
    <w:rsid w:val="00077FD3"/>
    <w:rsid w:val="00080004"/>
    <w:rsid w:val="0008004C"/>
    <w:rsid w:val="00080070"/>
    <w:rsid w:val="00080083"/>
    <w:rsid w:val="00080090"/>
    <w:rsid w:val="000800EF"/>
    <w:rsid w:val="00080113"/>
    <w:rsid w:val="00080122"/>
    <w:rsid w:val="0008021B"/>
    <w:rsid w:val="00080221"/>
    <w:rsid w:val="0008024D"/>
    <w:rsid w:val="000802D6"/>
    <w:rsid w:val="000802D7"/>
    <w:rsid w:val="000802F6"/>
    <w:rsid w:val="0008034B"/>
    <w:rsid w:val="00080379"/>
    <w:rsid w:val="0008037D"/>
    <w:rsid w:val="000803AC"/>
    <w:rsid w:val="000803DF"/>
    <w:rsid w:val="0008046F"/>
    <w:rsid w:val="000804B6"/>
    <w:rsid w:val="000804D8"/>
    <w:rsid w:val="000804F5"/>
    <w:rsid w:val="00080514"/>
    <w:rsid w:val="0008051D"/>
    <w:rsid w:val="00080531"/>
    <w:rsid w:val="00080560"/>
    <w:rsid w:val="000805AD"/>
    <w:rsid w:val="000805BE"/>
    <w:rsid w:val="000805C0"/>
    <w:rsid w:val="000805D7"/>
    <w:rsid w:val="00080607"/>
    <w:rsid w:val="00080615"/>
    <w:rsid w:val="00080686"/>
    <w:rsid w:val="000806CA"/>
    <w:rsid w:val="000806D6"/>
    <w:rsid w:val="000806E1"/>
    <w:rsid w:val="00080735"/>
    <w:rsid w:val="000807CC"/>
    <w:rsid w:val="00080828"/>
    <w:rsid w:val="0008089F"/>
    <w:rsid w:val="000808DA"/>
    <w:rsid w:val="00080967"/>
    <w:rsid w:val="000809F0"/>
    <w:rsid w:val="00080A0A"/>
    <w:rsid w:val="00080A29"/>
    <w:rsid w:val="00080A45"/>
    <w:rsid w:val="00080AEA"/>
    <w:rsid w:val="00080B6C"/>
    <w:rsid w:val="00080BA5"/>
    <w:rsid w:val="00080C6B"/>
    <w:rsid w:val="00080C87"/>
    <w:rsid w:val="00080C8E"/>
    <w:rsid w:val="00080CDF"/>
    <w:rsid w:val="00080CE9"/>
    <w:rsid w:val="00080D47"/>
    <w:rsid w:val="00080D6D"/>
    <w:rsid w:val="00080D6F"/>
    <w:rsid w:val="00080D97"/>
    <w:rsid w:val="00080D9B"/>
    <w:rsid w:val="00080DE3"/>
    <w:rsid w:val="00080E1C"/>
    <w:rsid w:val="00080EF0"/>
    <w:rsid w:val="00080EF5"/>
    <w:rsid w:val="00080F55"/>
    <w:rsid w:val="00080F70"/>
    <w:rsid w:val="00080F78"/>
    <w:rsid w:val="00080F93"/>
    <w:rsid w:val="00081025"/>
    <w:rsid w:val="00081052"/>
    <w:rsid w:val="000810B6"/>
    <w:rsid w:val="000810EA"/>
    <w:rsid w:val="000810F9"/>
    <w:rsid w:val="00081128"/>
    <w:rsid w:val="000811D5"/>
    <w:rsid w:val="0008128B"/>
    <w:rsid w:val="000812B0"/>
    <w:rsid w:val="000812C2"/>
    <w:rsid w:val="00081306"/>
    <w:rsid w:val="0008139D"/>
    <w:rsid w:val="000813AA"/>
    <w:rsid w:val="000813AC"/>
    <w:rsid w:val="000813C9"/>
    <w:rsid w:val="000814D7"/>
    <w:rsid w:val="000814FB"/>
    <w:rsid w:val="0008152D"/>
    <w:rsid w:val="00081535"/>
    <w:rsid w:val="000815A7"/>
    <w:rsid w:val="000815AC"/>
    <w:rsid w:val="000815F7"/>
    <w:rsid w:val="00081608"/>
    <w:rsid w:val="000816A6"/>
    <w:rsid w:val="000816BB"/>
    <w:rsid w:val="000816CE"/>
    <w:rsid w:val="00081748"/>
    <w:rsid w:val="000817F6"/>
    <w:rsid w:val="0008180A"/>
    <w:rsid w:val="00081893"/>
    <w:rsid w:val="0008189B"/>
    <w:rsid w:val="00081950"/>
    <w:rsid w:val="00081979"/>
    <w:rsid w:val="000819A2"/>
    <w:rsid w:val="000819B3"/>
    <w:rsid w:val="000819D6"/>
    <w:rsid w:val="000819E2"/>
    <w:rsid w:val="00081A64"/>
    <w:rsid w:val="00081A7A"/>
    <w:rsid w:val="00081AF8"/>
    <w:rsid w:val="00081B1D"/>
    <w:rsid w:val="00081B31"/>
    <w:rsid w:val="00081B37"/>
    <w:rsid w:val="00081B9E"/>
    <w:rsid w:val="00081BA7"/>
    <w:rsid w:val="00081BD2"/>
    <w:rsid w:val="00081C0D"/>
    <w:rsid w:val="00081CC0"/>
    <w:rsid w:val="00081D84"/>
    <w:rsid w:val="00081EBE"/>
    <w:rsid w:val="00081EC0"/>
    <w:rsid w:val="00081F39"/>
    <w:rsid w:val="00081F72"/>
    <w:rsid w:val="00081FCF"/>
    <w:rsid w:val="00081FE3"/>
    <w:rsid w:val="00081FF1"/>
    <w:rsid w:val="00082183"/>
    <w:rsid w:val="00082194"/>
    <w:rsid w:val="00082225"/>
    <w:rsid w:val="00082384"/>
    <w:rsid w:val="000823B9"/>
    <w:rsid w:val="00082460"/>
    <w:rsid w:val="00082533"/>
    <w:rsid w:val="0008254C"/>
    <w:rsid w:val="00082576"/>
    <w:rsid w:val="00082591"/>
    <w:rsid w:val="000825B6"/>
    <w:rsid w:val="000825CC"/>
    <w:rsid w:val="00082631"/>
    <w:rsid w:val="0008264F"/>
    <w:rsid w:val="0008270B"/>
    <w:rsid w:val="0008270F"/>
    <w:rsid w:val="0008272C"/>
    <w:rsid w:val="000827F1"/>
    <w:rsid w:val="0008283B"/>
    <w:rsid w:val="00082903"/>
    <w:rsid w:val="0008295A"/>
    <w:rsid w:val="00082A3A"/>
    <w:rsid w:val="00082A3C"/>
    <w:rsid w:val="00082A61"/>
    <w:rsid w:val="00082AA0"/>
    <w:rsid w:val="00082B33"/>
    <w:rsid w:val="00082B9A"/>
    <w:rsid w:val="00082BB8"/>
    <w:rsid w:val="00082BBD"/>
    <w:rsid w:val="00082BFD"/>
    <w:rsid w:val="00082C1F"/>
    <w:rsid w:val="00082CB6"/>
    <w:rsid w:val="00082D30"/>
    <w:rsid w:val="00082D9B"/>
    <w:rsid w:val="00082DB1"/>
    <w:rsid w:val="00082DB6"/>
    <w:rsid w:val="00082DD9"/>
    <w:rsid w:val="00082E28"/>
    <w:rsid w:val="00082E67"/>
    <w:rsid w:val="00082EBA"/>
    <w:rsid w:val="00082EC5"/>
    <w:rsid w:val="00082F40"/>
    <w:rsid w:val="00082F6B"/>
    <w:rsid w:val="00082FA7"/>
    <w:rsid w:val="00082FC9"/>
    <w:rsid w:val="00083013"/>
    <w:rsid w:val="00083071"/>
    <w:rsid w:val="00083080"/>
    <w:rsid w:val="00083096"/>
    <w:rsid w:val="000830E2"/>
    <w:rsid w:val="000830EB"/>
    <w:rsid w:val="00083101"/>
    <w:rsid w:val="0008311E"/>
    <w:rsid w:val="00083156"/>
    <w:rsid w:val="000831A3"/>
    <w:rsid w:val="000832BD"/>
    <w:rsid w:val="00083317"/>
    <w:rsid w:val="00083332"/>
    <w:rsid w:val="000833B5"/>
    <w:rsid w:val="000833D2"/>
    <w:rsid w:val="0008342A"/>
    <w:rsid w:val="00083466"/>
    <w:rsid w:val="000834E9"/>
    <w:rsid w:val="00083514"/>
    <w:rsid w:val="0008354E"/>
    <w:rsid w:val="0008356B"/>
    <w:rsid w:val="000835BD"/>
    <w:rsid w:val="000835D4"/>
    <w:rsid w:val="00083700"/>
    <w:rsid w:val="000837B5"/>
    <w:rsid w:val="000837E3"/>
    <w:rsid w:val="000837F2"/>
    <w:rsid w:val="0008386D"/>
    <w:rsid w:val="00083893"/>
    <w:rsid w:val="00083894"/>
    <w:rsid w:val="000838F1"/>
    <w:rsid w:val="00083993"/>
    <w:rsid w:val="000839A2"/>
    <w:rsid w:val="00083A24"/>
    <w:rsid w:val="00083A75"/>
    <w:rsid w:val="00083A7B"/>
    <w:rsid w:val="00083AA9"/>
    <w:rsid w:val="00083AC2"/>
    <w:rsid w:val="00083AC7"/>
    <w:rsid w:val="00083B9A"/>
    <w:rsid w:val="00083BD7"/>
    <w:rsid w:val="00083C41"/>
    <w:rsid w:val="00083C50"/>
    <w:rsid w:val="00083C9A"/>
    <w:rsid w:val="00083D14"/>
    <w:rsid w:val="00083D9C"/>
    <w:rsid w:val="00083DA5"/>
    <w:rsid w:val="00083E0F"/>
    <w:rsid w:val="00083F18"/>
    <w:rsid w:val="00083F9B"/>
    <w:rsid w:val="00083FB2"/>
    <w:rsid w:val="00083FC6"/>
    <w:rsid w:val="0008417E"/>
    <w:rsid w:val="00084194"/>
    <w:rsid w:val="00084219"/>
    <w:rsid w:val="00084268"/>
    <w:rsid w:val="00084275"/>
    <w:rsid w:val="000842CA"/>
    <w:rsid w:val="000842D5"/>
    <w:rsid w:val="000842E3"/>
    <w:rsid w:val="000842F2"/>
    <w:rsid w:val="00084317"/>
    <w:rsid w:val="00084339"/>
    <w:rsid w:val="00084383"/>
    <w:rsid w:val="000843A4"/>
    <w:rsid w:val="000843DC"/>
    <w:rsid w:val="000843F3"/>
    <w:rsid w:val="000843FA"/>
    <w:rsid w:val="0008447A"/>
    <w:rsid w:val="0008449B"/>
    <w:rsid w:val="000844AA"/>
    <w:rsid w:val="000844B3"/>
    <w:rsid w:val="000844DB"/>
    <w:rsid w:val="0008451E"/>
    <w:rsid w:val="0008454B"/>
    <w:rsid w:val="0008454D"/>
    <w:rsid w:val="00084556"/>
    <w:rsid w:val="000845CC"/>
    <w:rsid w:val="00084631"/>
    <w:rsid w:val="00084653"/>
    <w:rsid w:val="00084689"/>
    <w:rsid w:val="0008479F"/>
    <w:rsid w:val="00084923"/>
    <w:rsid w:val="0008495A"/>
    <w:rsid w:val="000849CA"/>
    <w:rsid w:val="000849FC"/>
    <w:rsid w:val="00084A14"/>
    <w:rsid w:val="00084AE8"/>
    <w:rsid w:val="00084B2A"/>
    <w:rsid w:val="00084B66"/>
    <w:rsid w:val="00084B6F"/>
    <w:rsid w:val="00084BED"/>
    <w:rsid w:val="00084C17"/>
    <w:rsid w:val="00084CA8"/>
    <w:rsid w:val="00084DD3"/>
    <w:rsid w:val="00084E03"/>
    <w:rsid w:val="00084E5B"/>
    <w:rsid w:val="00084E9C"/>
    <w:rsid w:val="00084EA1"/>
    <w:rsid w:val="00084F10"/>
    <w:rsid w:val="00084F6B"/>
    <w:rsid w:val="00084F7D"/>
    <w:rsid w:val="00084FD5"/>
    <w:rsid w:val="00084FDA"/>
    <w:rsid w:val="0008500F"/>
    <w:rsid w:val="0008505D"/>
    <w:rsid w:val="0008505E"/>
    <w:rsid w:val="0008518C"/>
    <w:rsid w:val="000851A9"/>
    <w:rsid w:val="000851BB"/>
    <w:rsid w:val="000851E0"/>
    <w:rsid w:val="000851E2"/>
    <w:rsid w:val="00085228"/>
    <w:rsid w:val="0008522D"/>
    <w:rsid w:val="000852B2"/>
    <w:rsid w:val="000852EB"/>
    <w:rsid w:val="000852ED"/>
    <w:rsid w:val="0008536C"/>
    <w:rsid w:val="00085376"/>
    <w:rsid w:val="000853B5"/>
    <w:rsid w:val="000853CB"/>
    <w:rsid w:val="000853D2"/>
    <w:rsid w:val="000853D3"/>
    <w:rsid w:val="000853D9"/>
    <w:rsid w:val="0008543C"/>
    <w:rsid w:val="000854FE"/>
    <w:rsid w:val="0008555D"/>
    <w:rsid w:val="000855E0"/>
    <w:rsid w:val="000855EB"/>
    <w:rsid w:val="000855FF"/>
    <w:rsid w:val="0008561A"/>
    <w:rsid w:val="00085638"/>
    <w:rsid w:val="00085651"/>
    <w:rsid w:val="00085706"/>
    <w:rsid w:val="00085710"/>
    <w:rsid w:val="0008573D"/>
    <w:rsid w:val="0008574E"/>
    <w:rsid w:val="000857B2"/>
    <w:rsid w:val="000857D3"/>
    <w:rsid w:val="00085839"/>
    <w:rsid w:val="00085844"/>
    <w:rsid w:val="00085881"/>
    <w:rsid w:val="000858CD"/>
    <w:rsid w:val="00085918"/>
    <w:rsid w:val="00085980"/>
    <w:rsid w:val="000859E5"/>
    <w:rsid w:val="00085A33"/>
    <w:rsid w:val="00085A3E"/>
    <w:rsid w:val="00085A46"/>
    <w:rsid w:val="00085A75"/>
    <w:rsid w:val="00085A9E"/>
    <w:rsid w:val="00085AE9"/>
    <w:rsid w:val="00085AF8"/>
    <w:rsid w:val="00085B68"/>
    <w:rsid w:val="00085B91"/>
    <w:rsid w:val="00085BB3"/>
    <w:rsid w:val="00085BBF"/>
    <w:rsid w:val="00085BD1"/>
    <w:rsid w:val="00085C09"/>
    <w:rsid w:val="00085C2F"/>
    <w:rsid w:val="00085C62"/>
    <w:rsid w:val="00085C95"/>
    <w:rsid w:val="00085CAA"/>
    <w:rsid w:val="00085CD4"/>
    <w:rsid w:val="00085CF3"/>
    <w:rsid w:val="00085D56"/>
    <w:rsid w:val="00085DCD"/>
    <w:rsid w:val="00085E45"/>
    <w:rsid w:val="00085F15"/>
    <w:rsid w:val="00085F38"/>
    <w:rsid w:val="00085F3F"/>
    <w:rsid w:val="00085FAC"/>
    <w:rsid w:val="00085FAF"/>
    <w:rsid w:val="00085FC8"/>
    <w:rsid w:val="00086002"/>
    <w:rsid w:val="00086045"/>
    <w:rsid w:val="00086046"/>
    <w:rsid w:val="0008608B"/>
    <w:rsid w:val="0008617B"/>
    <w:rsid w:val="000861EB"/>
    <w:rsid w:val="00086222"/>
    <w:rsid w:val="0008624C"/>
    <w:rsid w:val="00086292"/>
    <w:rsid w:val="000862BE"/>
    <w:rsid w:val="000862EC"/>
    <w:rsid w:val="000862EE"/>
    <w:rsid w:val="00086354"/>
    <w:rsid w:val="00086374"/>
    <w:rsid w:val="000863E7"/>
    <w:rsid w:val="000863F3"/>
    <w:rsid w:val="00086413"/>
    <w:rsid w:val="0008641B"/>
    <w:rsid w:val="0008643A"/>
    <w:rsid w:val="00086471"/>
    <w:rsid w:val="00086483"/>
    <w:rsid w:val="0008648A"/>
    <w:rsid w:val="000864A5"/>
    <w:rsid w:val="0008656D"/>
    <w:rsid w:val="00086578"/>
    <w:rsid w:val="0008659C"/>
    <w:rsid w:val="0008659D"/>
    <w:rsid w:val="000865A7"/>
    <w:rsid w:val="000865CB"/>
    <w:rsid w:val="0008664C"/>
    <w:rsid w:val="0008665C"/>
    <w:rsid w:val="0008666B"/>
    <w:rsid w:val="00086697"/>
    <w:rsid w:val="000866AF"/>
    <w:rsid w:val="00086772"/>
    <w:rsid w:val="0008678F"/>
    <w:rsid w:val="000867A9"/>
    <w:rsid w:val="000867C1"/>
    <w:rsid w:val="000867D4"/>
    <w:rsid w:val="000867D7"/>
    <w:rsid w:val="0008687C"/>
    <w:rsid w:val="00086888"/>
    <w:rsid w:val="0008689D"/>
    <w:rsid w:val="000868BB"/>
    <w:rsid w:val="000868C3"/>
    <w:rsid w:val="000868D6"/>
    <w:rsid w:val="000868DF"/>
    <w:rsid w:val="0008691E"/>
    <w:rsid w:val="000869D9"/>
    <w:rsid w:val="000869DB"/>
    <w:rsid w:val="000869ED"/>
    <w:rsid w:val="00086A78"/>
    <w:rsid w:val="00086AB7"/>
    <w:rsid w:val="00086AF4"/>
    <w:rsid w:val="00086BA7"/>
    <w:rsid w:val="00086BEE"/>
    <w:rsid w:val="00086BFC"/>
    <w:rsid w:val="00086CA0"/>
    <w:rsid w:val="00086CDD"/>
    <w:rsid w:val="00086D09"/>
    <w:rsid w:val="00086D42"/>
    <w:rsid w:val="00086F2D"/>
    <w:rsid w:val="00086F3D"/>
    <w:rsid w:val="00086F7C"/>
    <w:rsid w:val="00086FA8"/>
    <w:rsid w:val="0008700C"/>
    <w:rsid w:val="0008709B"/>
    <w:rsid w:val="0008709C"/>
    <w:rsid w:val="0008715E"/>
    <w:rsid w:val="000871C6"/>
    <w:rsid w:val="0008721A"/>
    <w:rsid w:val="0008729C"/>
    <w:rsid w:val="000872DF"/>
    <w:rsid w:val="000872F7"/>
    <w:rsid w:val="00087337"/>
    <w:rsid w:val="000873B2"/>
    <w:rsid w:val="000873E9"/>
    <w:rsid w:val="00087405"/>
    <w:rsid w:val="000874A4"/>
    <w:rsid w:val="000874B6"/>
    <w:rsid w:val="000874F9"/>
    <w:rsid w:val="00087514"/>
    <w:rsid w:val="00087600"/>
    <w:rsid w:val="0008760F"/>
    <w:rsid w:val="00087663"/>
    <w:rsid w:val="00087707"/>
    <w:rsid w:val="000877E7"/>
    <w:rsid w:val="000877E9"/>
    <w:rsid w:val="0008781A"/>
    <w:rsid w:val="00087841"/>
    <w:rsid w:val="00087847"/>
    <w:rsid w:val="0008784E"/>
    <w:rsid w:val="00087893"/>
    <w:rsid w:val="000878DD"/>
    <w:rsid w:val="000878EE"/>
    <w:rsid w:val="0008796D"/>
    <w:rsid w:val="00087998"/>
    <w:rsid w:val="000879E2"/>
    <w:rsid w:val="00087A09"/>
    <w:rsid w:val="00087A54"/>
    <w:rsid w:val="00087AE0"/>
    <w:rsid w:val="00087AE1"/>
    <w:rsid w:val="00087CE7"/>
    <w:rsid w:val="00087CF2"/>
    <w:rsid w:val="00087D12"/>
    <w:rsid w:val="00087D52"/>
    <w:rsid w:val="00087D6B"/>
    <w:rsid w:val="00087D83"/>
    <w:rsid w:val="00087DCC"/>
    <w:rsid w:val="00087DED"/>
    <w:rsid w:val="00087E13"/>
    <w:rsid w:val="00087E1F"/>
    <w:rsid w:val="00087E28"/>
    <w:rsid w:val="00087E61"/>
    <w:rsid w:val="00087E75"/>
    <w:rsid w:val="00087E90"/>
    <w:rsid w:val="00087EB0"/>
    <w:rsid w:val="00087EDF"/>
    <w:rsid w:val="00087EED"/>
    <w:rsid w:val="00087FA2"/>
    <w:rsid w:val="00090064"/>
    <w:rsid w:val="00090102"/>
    <w:rsid w:val="00090122"/>
    <w:rsid w:val="00090145"/>
    <w:rsid w:val="00090192"/>
    <w:rsid w:val="0009022C"/>
    <w:rsid w:val="00090289"/>
    <w:rsid w:val="0009029B"/>
    <w:rsid w:val="0009029C"/>
    <w:rsid w:val="000902BC"/>
    <w:rsid w:val="0009032A"/>
    <w:rsid w:val="0009033A"/>
    <w:rsid w:val="00090365"/>
    <w:rsid w:val="0009036D"/>
    <w:rsid w:val="0009037C"/>
    <w:rsid w:val="0009038D"/>
    <w:rsid w:val="000904A3"/>
    <w:rsid w:val="000904D5"/>
    <w:rsid w:val="00090515"/>
    <w:rsid w:val="00090555"/>
    <w:rsid w:val="000905A1"/>
    <w:rsid w:val="0009064B"/>
    <w:rsid w:val="00090688"/>
    <w:rsid w:val="000906CE"/>
    <w:rsid w:val="00090700"/>
    <w:rsid w:val="0009078F"/>
    <w:rsid w:val="00090801"/>
    <w:rsid w:val="0009081C"/>
    <w:rsid w:val="0009083F"/>
    <w:rsid w:val="00090887"/>
    <w:rsid w:val="000909FB"/>
    <w:rsid w:val="00090A84"/>
    <w:rsid w:val="00090ACD"/>
    <w:rsid w:val="00090B79"/>
    <w:rsid w:val="00090BC9"/>
    <w:rsid w:val="00090C52"/>
    <w:rsid w:val="00090CB1"/>
    <w:rsid w:val="00090CD9"/>
    <w:rsid w:val="00090D08"/>
    <w:rsid w:val="00090D0A"/>
    <w:rsid w:val="00090D39"/>
    <w:rsid w:val="00090D7F"/>
    <w:rsid w:val="00090DBC"/>
    <w:rsid w:val="00090DC5"/>
    <w:rsid w:val="00090E25"/>
    <w:rsid w:val="00090EA3"/>
    <w:rsid w:val="00090ECE"/>
    <w:rsid w:val="00090EE1"/>
    <w:rsid w:val="00090FBA"/>
    <w:rsid w:val="00090FBB"/>
    <w:rsid w:val="0009100E"/>
    <w:rsid w:val="00091013"/>
    <w:rsid w:val="00091047"/>
    <w:rsid w:val="000910CE"/>
    <w:rsid w:val="000910EF"/>
    <w:rsid w:val="00091114"/>
    <w:rsid w:val="0009111D"/>
    <w:rsid w:val="00091188"/>
    <w:rsid w:val="0009118A"/>
    <w:rsid w:val="00091231"/>
    <w:rsid w:val="00091271"/>
    <w:rsid w:val="000912DC"/>
    <w:rsid w:val="000912DD"/>
    <w:rsid w:val="000912EC"/>
    <w:rsid w:val="00091318"/>
    <w:rsid w:val="0009134D"/>
    <w:rsid w:val="00091474"/>
    <w:rsid w:val="00091478"/>
    <w:rsid w:val="00091485"/>
    <w:rsid w:val="000914F7"/>
    <w:rsid w:val="000914FF"/>
    <w:rsid w:val="00091517"/>
    <w:rsid w:val="00091518"/>
    <w:rsid w:val="000915DA"/>
    <w:rsid w:val="00091677"/>
    <w:rsid w:val="00091690"/>
    <w:rsid w:val="0009169A"/>
    <w:rsid w:val="000916E7"/>
    <w:rsid w:val="000916FA"/>
    <w:rsid w:val="000917C6"/>
    <w:rsid w:val="000917E8"/>
    <w:rsid w:val="00091811"/>
    <w:rsid w:val="00091821"/>
    <w:rsid w:val="0009185E"/>
    <w:rsid w:val="00091881"/>
    <w:rsid w:val="00091893"/>
    <w:rsid w:val="00091916"/>
    <w:rsid w:val="00091962"/>
    <w:rsid w:val="000919AC"/>
    <w:rsid w:val="000919BE"/>
    <w:rsid w:val="000919F6"/>
    <w:rsid w:val="00091A2A"/>
    <w:rsid w:val="00091A54"/>
    <w:rsid w:val="00091A6B"/>
    <w:rsid w:val="00091AE1"/>
    <w:rsid w:val="00091B76"/>
    <w:rsid w:val="00091B92"/>
    <w:rsid w:val="00091BFC"/>
    <w:rsid w:val="00091C0D"/>
    <w:rsid w:val="00091D00"/>
    <w:rsid w:val="00091D3E"/>
    <w:rsid w:val="00091D4B"/>
    <w:rsid w:val="00091D87"/>
    <w:rsid w:val="00091DB3"/>
    <w:rsid w:val="00091E7A"/>
    <w:rsid w:val="00091F0C"/>
    <w:rsid w:val="00091F1D"/>
    <w:rsid w:val="00092006"/>
    <w:rsid w:val="00092026"/>
    <w:rsid w:val="00092061"/>
    <w:rsid w:val="00092078"/>
    <w:rsid w:val="0009208E"/>
    <w:rsid w:val="0009208F"/>
    <w:rsid w:val="0009212B"/>
    <w:rsid w:val="00092220"/>
    <w:rsid w:val="00092283"/>
    <w:rsid w:val="00092289"/>
    <w:rsid w:val="000922DD"/>
    <w:rsid w:val="000922FF"/>
    <w:rsid w:val="00092374"/>
    <w:rsid w:val="000923AB"/>
    <w:rsid w:val="000923F4"/>
    <w:rsid w:val="00092463"/>
    <w:rsid w:val="00092487"/>
    <w:rsid w:val="0009249E"/>
    <w:rsid w:val="000924B1"/>
    <w:rsid w:val="00092525"/>
    <w:rsid w:val="00092540"/>
    <w:rsid w:val="0009255B"/>
    <w:rsid w:val="000925B5"/>
    <w:rsid w:val="000925F8"/>
    <w:rsid w:val="00092608"/>
    <w:rsid w:val="0009262A"/>
    <w:rsid w:val="0009265D"/>
    <w:rsid w:val="0009266E"/>
    <w:rsid w:val="00092703"/>
    <w:rsid w:val="0009270B"/>
    <w:rsid w:val="0009285B"/>
    <w:rsid w:val="000928C2"/>
    <w:rsid w:val="000928FE"/>
    <w:rsid w:val="00092905"/>
    <w:rsid w:val="0009290C"/>
    <w:rsid w:val="00092981"/>
    <w:rsid w:val="00092999"/>
    <w:rsid w:val="000929B6"/>
    <w:rsid w:val="00092A0D"/>
    <w:rsid w:val="00092A49"/>
    <w:rsid w:val="00092A57"/>
    <w:rsid w:val="00092A8C"/>
    <w:rsid w:val="00092A93"/>
    <w:rsid w:val="00092B0A"/>
    <w:rsid w:val="00092B4C"/>
    <w:rsid w:val="00092BF5"/>
    <w:rsid w:val="00092C3B"/>
    <w:rsid w:val="00092C5C"/>
    <w:rsid w:val="00092D04"/>
    <w:rsid w:val="00092D24"/>
    <w:rsid w:val="00092D33"/>
    <w:rsid w:val="00092D85"/>
    <w:rsid w:val="00092D8B"/>
    <w:rsid w:val="00092DF4"/>
    <w:rsid w:val="00092E5D"/>
    <w:rsid w:val="00092E8A"/>
    <w:rsid w:val="00092F2A"/>
    <w:rsid w:val="00092F90"/>
    <w:rsid w:val="00093078"/>
    <w:rsid w:val="000930B6"/>
    <w:rsid w:val="000930BA"/>
    <w:rsid w:val="0009315A"/>
    <w:rsid w:val="0009315C"/>
    <w:rsid w:val="00093173"/>
    <w:rsid w:val="000931A7"/>
    <w:rsid w:val="00093241"/>
    <w:rsid w:val="00093250"/>
    <w:rsid w:val="000932A4"/>
    <w:rsid w:val="00093374"/>
    <w:rsid w:val="000933B4"/>
    <w:rsid w:val="000933DA"/>
    <w:rsid w:val="00093459"/>
    <w:rsid w:val="000934F4"/>
    <w:rsid w:val="00093500"/>
    <w:rsid w:val="00093568"/>
    <w:rsid w:val="000935D2"/>
    <w:rsid w:val="000935D5"/>
    <w:rsid w:val="0009363D"/>
    <w:rsid w:val="00093649"/>
    <w:rsid w:val="0009364A"/>
    <w:rsid w:val="0009367E"/>
    <w:rsid w:val="000936D4"/>
    <w:rsid w:val="000936F3"/>
    <w:rsid w:val="00093752"/>
    <w:rsid w:val="00093786"/>
    <w:rsid w:val="000937BA"/>
    <w:rsid w:val="000937F1"/>
    <w:rsid w:val="0009382E"/>
    <w:rsid w:val="000938FF"/>
    <w:rsid w:val="0009391B"/>
    <w:rsid w:val="00093961"/>
    <w:rsid w:val="0009396A"/>
    <w:rsid w:val="0009398D"/>
    <w:rsid w:val="000939F5"/>
    <w:rsid w:val="00093A3C"/>
    <w:rsid w:val="00093A8C"/>
    <w:rsid w:val="00093AB4"/>
    <w:rsid w:val="00093ABA"/>
    <w:rsid w:val="00093B28"/>
    <w:rsid w:val="00093B45"/>
    <w:rsid w:val="00093B4F"/>
    <w:rsid w:val="00093B54"/>
    <w:rsid w:val="00093BB8"/>
    <w:rsid w:val="00093BEE"/>
    <w:rsid w:val="00093C10"/>
    <w:rsid w:val="00093C81"/>
    <w:rsid w:val="00093C93"/>
    <w:rsid w:val="00093D2E"/>
    <w:rsid w:val="00093DCE"/>
    <w:rsid w:val="00093E10"/>
    <w:rsid w:val="00093E15"/>
    <w:rsid w:val="00093E28"/>
    <w:rsid w:val="00093EE0"/>
    <w:rsid w:val="00093F7E"/>
    <w:rsid w:val="00094067"/>
    <w:rsid w:val="00094116"/>
    <w:rsid w:val="00094156"/>
    <w:rsid w:val="00094196"/>
    <w:rsid w:val="000941DB"/>
    <w:rsid w:val="00094234"/>
    <w:rsid w:val="00094268"/>
    <w:rsid w:val="000942A1"/>
    <w:rsid w:val="000942AF"/>
    <w:rsid w:val="000942C9"/>
    <w:rsid w:val="00094305"/>
    <w:rsid w:val="0009439A"/>
    <w:rsid w:val="0009439B"/>
    <w:rsid w:val="000943EC"/>
    <w:rsid w:val="000945B3"/>
    <w:rsid w:val="000945BC"/>
    <w:rsid w:val="000945C1"/>
    <w:rsid w:val="00094616"/>
    <w:rsid w:val="00094637"/>
    <w:rsid w:val="0009467F"/>
    <w:rsid w:val="00094778"/>
    <w:rsid w:val="000947B2"/>
    <w:rsid w:val="00094849"/>
    <w:rsid w:val="00094885"/>
    <w:rsid w:val="00094895"/>
    <w:rsid w:val="000948BD"/>
    <w:rsid w:val="000948D1"/>
    <w:rsid w:val="00094936"/>
    <w:rsid w:val="00094952"/>
    <w:rsid w:val="000949A0"/>
    <w:rsid w:val="00094A8F"/>
    <w:rsid w:val="00094AA6"/>
    <w:rsid w:val="00094ABB"/>
    <w:rsid w:val="00094AF5"/>
    <w:rsid w:val="00094BB1"/>
    <w:rsid w:val="00094D0A"/>
    <w:rsid w:val="00094D9A"/>
    <w:rsid w:val="00094DCE"/>
    <w:rsid w:val="00094DF4"/>
    <w:rsid w:val="00094E08"/>
    <w:rsid w:val="00094E28"/>
    <w:rsid w:val="00094E2C"/>
    <w:rsid w:val="00094E5D"/>
    <w:rsid w:val="00094EEF"/>
    <w:rsid w:val="00094F35"/>
    <w:rsid w:val="00094F98"/>
    <w:rsid w:val="0009502E"/>
    <w:rsid w:val="000950A7"/>
    <w:rsid w:val="000950E4"/>
    <w:rsid w:val="000950F6"/>
    <w:rsid w:val="00095131"/>
    <w:rsid w:val="0009517F"/>
    <w:rsid w:val="000951B1"/>
    <w:rsid w:val="000951B3"/>
    <w:rsid w:val="000951E6"/>
    <w:rsid w:val="000951FB"/>
    <w:rsid w:val="0009522F"/>
    <w:rsid w:val="0009524C"/>
    <w:rsid w:val="00095270"/>
    <w:rsid w:val="00095333"/>
    <w:rsid w:val="00095345"/>
    <w:rsid w:val="0009536D"/>
    <w:rsid w:val="000953CD"/>
    <w:rsid w:val="00095409"/>
    <w:rsid w:val="00095428"/>
    <w:rsid w:val="00095452"/>
    <w:rsid w:val="000954BB"/>
    <w:rsid w:val="000954D7"/>
    <w:rsid w:val="000954F4"/>
    <w:rsid w:val="00095532"/>
    <w:rsid w:val="00095550"/>
    <w:rsid w:val="0009557D"/>
    <w:rsid w:val="00095584"/>
    <w:rsid w:val="000955D2"/>
    <w:rsid w:val="000955DA"/>
    <w:rsid w:val="00095622"/>
    <w:rsid w:val="0009568C"/>
    <w:rsid w:val="000956ED"/>
    <w:rsid w:val="00095723"/>
    <w:rsid w:val="0009572C"/>
    <w:rsid w:val="0009582B"/>
    <w:rsid w:val="00095841"/>
    <w:rsid w:val="00095904"/>
    <w:rsid w:val="00095911"/>
    <w:rsid w:val="00095920"/>
    <w:rsid w:val="00095959"/>
    <w:rsid w:val="000959B2"/>
    <w:rsid w:val="00095A31"/>
    <w:rsid w:val="00095AE9"/>
    <w:rsid w:val="00095AF4"/>
    <w:rsid w:val="00095B5D"/>
    <w:rsid w:val="00095BC3"/>
    <w:rsid w:val="00095BF1"/>
    <w:rsid w:val="00095C67"/>
    <w:rsid w:val="00095CA2"/>
    <w:rsid w:val="00095D37"/>
    <w:rsid w:val="00095D89"/>
    <w:rsid w:val="00095D8C"/>
    <w:rsid w:val="00095D9D"/>
    <w:rsid w:val="00095DA2"/>
    <w:rsid w:val="00095DBC"/>
    <w:rsid w:val="00095DC1"/>
    <w:rsid w:val="00095DF8"/>
    <w:rsid w:val="00095E0F"/>
    <w:rsid w:val="00095E24"/>
    <w:rsid w:val="00095E64"/>
    <w:rsid w:val="00095F4D"/>
    <w:rsid w:val="00095F83"/>
    <w:rsid w:val="00095FFE"/>
    <w:rsid w:val="00096019"/>
    <w:rsid w:val="00096034"/>
    <w:rsid w:val="00096065"/>
    <w:rsid w:val="0009618D"/>
    <w:rsid w:val="000961A8"/>
    <w:rsid w:val="00096210"/>
    <w:rsid w:val="0009621A"/>
    <w:rsid w:val="0009621E"/>
    <w:rsid w:val="0009622B"/>
    <w:rsid w:val="00096285"/>
    <w:rsid w:val="0009628C"/>
    <w:rsid w:val="000962D6"/>
    <w:rsid w:val="00096305"/>
    <w:rsid w:val="00096316"/>
    <w:rsid w:val="000963BB"/>
    <w:rsid w:val="000963D8"/>
    <w:rsid w:val="0009640E"/>
    <w:rsid w:val="0009644E"/>
    <w:rsid w:val="00096472"/>
    <w:rsid w:val="0009648D"/>
    <w:rsid w:val="00096491"/>
    <w:rsid w:val="000964A9"/>
    <w:rsid w:val="000964C6"/>
    <w:rsid w:val="000964D1"/>
    <w:rsid w:val="000964EC"/>
    <w:rsid w:val="0009655B"/>
    <w:rsid w:val="00096570"/>
    <w:rsid w:val="00096661"/>
    <w:rsid w:val="00096670"/>
    <w:rsid w:val="000966EC"/>
    <w:rsid w:val="00096723"/>
    <w:rsid w:val="0009678D"/>
    <w:rsid w:val="000967ED"/>
    <w:rsid w:val="00096875"/>
    <w:rsid w:val="0009687A"/>
    <w:rsid w:val="000968FE"/>
    <w:rsid w:val="00096905"/>
    <w:rsid w:val="00096966"/>
    <w:rsid w:val="00096994"/>
    <w:rsid w:val="000969C1"/>
    <w:rsid w:val="00096A11"/>
    <w:rsid w:val="00096A7B"/>
    <w:rsid w:val="00096AE1"/>
    <w:rsid w:val="00096AE2"/>
    <w:rsid w:val="00096B12"/>
    <w:rsid w:val="00096BEE"/>
    <w:rsid w:val="00096C35"/>
    <w:rsid w:val="00096CB8"/>
    <w:rsid w:val="00096D73"/>
    <w:rsid w:val="00096D7B"/>
    <w:rsid w:val="00096D8C"/>
    <w:rsid w:val="00096DB4"/>
    <w:rsid w:val="00096DD1"/>
    <w:rsid w:val="00096E08"/>
    <w:rsid w:val="00096E28"/>
    <w:rsid w:val="00096E6F"/>
    <w:rsid w:val="00096EA6"/>
    <w:rsid w:val="00096EFA"/>
    <w:rsid w:val="00096F58"/>
    <w:rsid w:val="00096F71"/>
    <w:rsid w:val="00096FDB"/>
    <w:rsid w:val="000970C4"/>
    <w:rsid w:val="000970DE"/>
    <w:rsid w:val="0009710C"/>
    <w:rsid w:val="00097167"/>
    <w:rsid w:val="000971D6"/>
    <w:rsid w:val="0009746B"/>
    <w:rsid w:val="00097472"/>
    <w:rsid w:val="00097525"/>
    <w:rsid w:val="00097562"/>
    <w:rsid w:val="0009758C"/>
    <w:rsid w:val="000975BB"/>
    <w:rsid w:val="000975FB"/>
    <w:rsid w:val="000976B3"/>
    <w:rsid w:val="0009781A"/>
    <w:rsid w:val="0009787B"/>
    <w:rsid w:val="000978BB"/>
    <w:rsid w:val="000978C0"/>
    <w:rsid w:val="000978E3"/>
    <w:rsid w:val="000978F0"/>
    <w:rsid w:val="000979D4"/>
    <w:rsid w:val="000979EB"/>
    <w:rsid w:val="00097A36"/>
    <w:rsid w:val="00097A46"/>
    <w:rsid w:val="00097A58"/>
    <w:rsid w:val="00097A63"/>
    <w:rsid w:val="00097AC4"/>
    <w:rsid w:val="00097BFB"/>
    <w:rsid w:val="00097C48"/>
    <w:rsid w:val="00097C69"/>
    <w:rsid w:val="00097C7D"/>
    <w:rsid w:val="00097C80"/>
    <w:rsid w:val="00097C81"/>
    <w:rsid w:val="00097CF3"/>
    <w:rsid w:val="00097D80"/>
    <w:rsid w:val="00097DA3"/>
    <w:rsid w:val="00097DD8"/>
    <w:rsid w:val="00097DE6"/>
    <w:rsid w:val="00097E82"/>
    <w:rsid w:val="00097E84"/>
    <w:rsid w:val="00097E99"/>
    <w:rsid w:val="00097ED3"/>
    <w:rsid w:val="00097F1C"/>
    <w:rsid w:val="00097FE3"/>
    <w:rsid w:val="000A002E"/>
    <w:rsid w:val="000A008A"/>
    <w:rsid w:val="000A0110"/>
    <w:rsid w:val="000A0130"/>
    <w:rsid w:val="000A0156"/>
    <w:rsid w:val="000A016D"/>
    <w:rsid w:val="000A019E"/>
    <w:rsid w:val="000A01BF"/>
    <w:rsid w:val="000A0245"/>
    <w:rsid w:val="000A02B9"/>
    <w:rsid w:val="000A02FB"/>
    <w:rsid w:val="000A038C"/>
    <w:rsid w:val="000A0409"/>
    <w:rsid w:val="000A041B"/>
    <w:rsid w:val="000A041C"/>
    <w:rsid w:val="000A046D"/>
    <w:rsid w:val="000A051B"/>
    <w:rsid w:val="000A0532"/>
    <w:rsid w:val="000A05D9"/>
    <w:rsid w:val="000A060B"/>
    <w:rsid w:val="000A0638"/>
    <w:rsid w:val="000A0706"/>
    <w:rsid w:val="000A070F"/>
    <w:rsid w:val="000A0848"/>
    <w:rsid w:val="000A088E"/>
    <w:rsid w:val="000A08D7"/>
    <w:rsid w:val="000A092B"/>
    <w:rsid w:val="000A09DE"/>
    <w:rsid w:val="000A0A22"/>
    <w:rsid w:val="000A0A63"/>
    <w:rsid w:val="000A0A87"/>
    <w:rsid w:val="000A0B42"/>
    <w:rsid w:val="000A0B4B"/>
    <w:rsid w:val="000A0B53"/>
    <w:rsid w:val="000A0B87"/>
    <w:rsid w:val="000A0C0B"/>
    <w:rsid w:val="000A0C22"/>
    <w:rsid w:val="000A0CAC"/>
    <w:rsid w:val="000A0CDC"/>
    <w:rsid w:val="000A0D05"/>
    <w:rsid w:val="000A0D2C"/>
    <w:rsid w:val="000A0DA4"/>
    <w:rsid w:val="000A0DC0"/>
    <w:rsid w:val="000A0E91"/>
    <w:rsid w:val="000A0ECC"/>
    <w:rsid w:val="000A0F4B"/>
    <w:rsid w:val="000A0F79"/>
    <w:rsid w:val="000A0F81"/>
    <w:rsid w:val="000A0FBB"/>
    <w:rsid w:val="000A0FEC"/>
    <w:rsid w:val="000A1009"/>
    <w:rsid w:val="000A10DB"/>
    <w:rsid w:val="000A1131"/>
    <w:rsid w:val="000A1151"/>
    <w:rsid w:val="000A1285"/>
    <w:rsid w:val="000A12CF"/>
    <w:rsid w:val="000A1314"/>
    <w:rsid w:val="000A13CD"/>
    <w:rsid w:val="000A13DC"/>
    <w:rsid w:val="000A13EA"/>
    <w:rsid w:val="000A142B"/>
    <w:rsid w:val="000A15AA"/>
    <w:rsid w:val="000A1621"/>
    <w:rsid w:val="000A1636"/>
    <w:rsid w:val="000A164D"/>
    <w:rsid w:val="000A1661"/>
    <w:rsid w:val="000A16FB"/>
    <w:rsid w:val="000A16FC"/>
    <w:rsid w:val="000A184B"/>
    <w:rsid w:val="000A191D"/>
    <w:rsid w:val="000A195C"/>
    <w:rsid w:val="000A198E"/>
    <w:rsid w:val="000A1A2C"/>
    <w:rsid w:val="000A1A4C"/>
    <w:rsid w:val="000A1A72"/>
    <w:rsid w:val="000A1AD1"/>
    <w:rsid w:val="000A1B87"/>
    <w:rsid w:val="000A1C1A"/>
    <w:rsid w:val="000A1C1E"/>
    <w:rsid w:val="000A1CF2"/>
    <w:rsid w:val="000A1CF4"/>
    <w:rsid w:val="000A1D26"/>
    <w:rsid w:val="000A1D4F"/>
    <w:rsid w:val="000A1D5D"/>
    <w:rsid w:val="000A1D63"/>
    <w:rsid w:val="000A1D70"/>
    <w:rsid w:val="000A1DCD"/>
    <w:rsid w:val="000A1E27"/>
    <w:rsid w:val="000A1E3E"/>
    <w:rsid w:val="000A1E9C"/>
    <w:rsid w:val="000A1F06"/>
    <w:rsid w:val="000A1F13"/>
    <w:rsid w:val="000A1F98"/>
    <w:rsid w:val="000A1FD1"/>
    <w:rsid w:val="000A207F"/>
    <w:rsid w:val="000A20F2"/>
    <w:rsid w:val="000A212A"/>
    <w:rsid w:val="000A2176"/>
    <w:rsid w:val="000A21C9"/>
    <w:rsid w:val="000A2200"/>
    <w:rsid w:val="000A2245"/>
    <w:rsid w:val="000A227A"/>
    <w:rsid w:val="000A22E3"/>
    <w:rsid w:val="000A22EF"/>
    <w:rsid w:val="000A22F6"/>
    <w:rsid w:val="000A2392"/>
    <w:rsid w:val="000A23D6"/>
    <w:rsid w:val="000A2433"/>
    <w:rsid w:val="000A2465"/>
    <w:rsid w:val="000A247B"/>
    <w:rsid w:val="000A249A"/>
    <w:rsid w:val="000A249C"/>
    <w:rsid w:val="000A24D6"/>
    <w:rsid w:val="000A252E"/>
    <w:rsid w:val="000A2545"/>
    <w:rsid w:val="000A2559"/>
    <w:rsid w:val="000A25E5"/>
    <w:rsid w:val="000A2648"/>
    <w:rsid w:val="000A2696"/>
    <w:rsid w:val="000A26A9"/>
    <w:rsid w:val="000A2750"/>
    <w:rsid w:val="000A2776"/>
    <w:rsid w:val="000A277D"/>
    <w:rsid w:val="000A27A7"/>
    <w:rsid w:val="000A2823"/>
    <w:rsid w:val="000A282F"/>
    <w:rsid w:val="000A28C9"/>
    <w:rsid w:val="000A291D"/>
    <w:rsid w:val="000A2960"/>
    <w:rsid w:val="000A2981"/>
    <w:rsid w:val="000A2986"/>
    <w:rsid w:val="000A298C"/>
    <w:rsid w:val="000A29F8"/>
    <w:rsid w:val="000A2A61"/>
    <w:rsid w:val="000A2A6B"/>
    <w:rsid w:val="000A2A83"/>
    <w:rsid w:val="000A2AA8"/>
    <w:rsid w:val="000A2AD4"/>
    <w:rsid w:val="000A2AF4"/>
    <w:rsid w:val="000A2BB5"/>
    <w:rsid w:val="000A2BF2"/>
    <w:rsid w:val="000A2C1C"/>
    <w:rsid w:val="000A2C4A"/>
    <w:rsid w:val="000A2CB1"/>
    <w:rsid w:val="000A2CE4"/>
    <w:rsid w:val="000A2D46"/>
    <w:rsid w:val="000A2D69"/>
    <w:rsid w:val="000A2D6E"/>
    <w:rsid w:val="000A2DDC"/>
    <w:rsid w:val="000A2DE6"/>
    <w:rsid w:val="000A2DF2"/>
    <w:rsid w:val="000A2DF7"/>
    <w:rsid w:val="000A2E23"/>
    <w:rsid w:val="000A2E4B"/>
    <w:rsid w:val="000A2E81"/>
    <w:rsid w:val="000A2E8C"/>
    <w:rsid w:val="000A2ED9"/>
    <w:rsid w:val="000A2EF0"/>
    <w:rsid w:val="000A2F1E"/>
    <w:rsid w:val="000A2F31"/>
    <w:rsid w:val="000A2F35"/>
    <w:rsid w:val="000A2F48"/>
    <w:rsid w:val="000A2F90"/>
    <w:rsid w:val="000A3039"/>
    <w:rsid w:val="000A306B"/>
    <w:rsid w:val="000A3198"/>
    <w:rsid w:val="000A31A5"/>
    <w:rsid w:val="000A31AE"/>
    <w:rsid w:val="000A31B8"/>
    <w:rsid w:val="000A322E"/>
    <w:rsid w:val="000A3237"/>
    <w:rsid w:val="000A323A"/>
    <w:rsid w:val="000A323E"/>
    <w:rsid w:val="000A3255"/>
    <w:rsid w:val="000A32B3"/>
    <w:rsid w:val="000A32D1"/>
    <w:rsid w:val="000A3334"/>
    <w:rsid w:val="000A3352"/>
    <w:rsid w:val="000A3466"/>
    <w:rsid w:val="000A3478"/>
    <w:rsid w:val="000A34C3"/>
    <w:rsid w:val="000A34F9"/>
    <w:rsid w:val="000A354E"/>
    <w:rsid w:val="000A355E"/>
    <w:rsid w:val="000A3614"/>
    <w:rsid w:val="000A3731"/>
    <w:rsid w:val="000A3745"/>
    <w:rsid w:val="000A3756"/>
    <w:rsid w:val="000A37C4"/>
    <w:rsid w:val="000A37C5"/>
    <w:rsid w:val="000A37E7"/>
    <w:rsid w:val="000A37F7"/>
    <w:rsid w:val="000A383C"/>
    <w:rsid w:val="000A3882"/>
    <w:rsid w:val="000A38E4"/>
    <w:rsid w:val="000A38EC"/>
    <w:rsid w:val="000A390F"/>
    <w:rsid w:val="000A3940"/>
    <w:rsid w:val="000A3952"/>
    <w:rsid w:val="000A3970"/>
    <w:rsid w:val="000A3979"/>
    <w:rsid w:val="000A39CA"/>
    <w:rsid w:val="000A3A43"/>
    <w:rsid w:val="000A3AD4"/>
    <w:rsid w:val="000A3AFB"/>
    <w:rsid w:val="000A3B24"/>
    <w:rsid w:val="000A3B68"/>
    <w:rsid w:val="000A3B84"/>
    <w:rsid w:val="000A3BB8"/>
    <w:rsid w:val="000A3BCF"/>
    <w:rsid w:val="000A3C2B"/>
    <w:rsid w:val="000A3C4B"/>
    <w:rsid w:val="000A3CC0"/>
    <w:rsid w:val="000A3CE8"/>
    <w:rsid w:val="000A3DF8"/>
    <w:rsid w:val="000A3E21"/>
    <w:rsid w:val="000A3F5C"/>
    <w:rsid w:val="000A3F5E"/>
    <w:rsid w:val="000A3FAA"/>
    <w:rsid w:val="000A3FCB"/>
    <w:rsid w:val="000A3FF9"/>
    <w:rsid w:val="000A400E"/>
    <w:rsid w:val="000A4023"/>
    <w:rsid w:val="000A4043"/>
    <w:rsid w:val="000A40FC"/>
    <w:rsid w:val="000A4174"/>
    <w:rsid w:val="000A4212"/>
    <w:rsid w:val="000A423A"/>
    <w:rsid w:val="000A4243"/>
    <w:rsid w:val="000A4396"/>
    <w:rsid w:val="000A43CF"/>
    <w:rsid w:val="000A43E7"/>
    <w:rsid w:val="000A44D7"/>
    <w:rsid w:val="000A44DB"/>
    <w:rsid w:val="000A44E3"/>
    <w:rsid w:val="000A4533"/>
    <w:rsid w:val="000A4561"/>
    <w:rsid w:val="000A4582"/>
    <w:rsid w:val="000A4601"/>
    <w:rsid w:val="000A462A"/>
    <w:rsid w:val="000A46A5"/>
    <w:rsid w:val="000A47B2"/>
    <w:rsid w:val="000A488C"/>
    <w:rsid w:val="000A48A5"/>
    <w:rsid w:val="000A4947"/>
    <w:rsid w:val="000A4990"/>
    <w:rsid w:val="000A49C2"/>
    <w:rsid w:val="000A49DE"/>
    <w:rsid w:val="000A4A19"/>
    <w:rsid w:val="000A4A3D"/>
    <w:rsid w:val="000A4A84"/>
    <w:rsid w:val="000A4AD0"/>
    <w:rsid w:val="000A4AD3"/>
    <w:rsid w:val="000A4AD7"/>
    <w:rsid w:val="000A4B60"/>
    <w:rsid w:val="000A4B7D"/>
    <w:rsid w:val="000A4C15"/>
    <w:rsid w:val="000A4C74"/>
    <w:rsid w:val="000A4E00"/>
    <w:rsid w:val="000A4E5A"/>
    <w:rsid w:val="000A4E77"/>
    <w:rsid w:val="000A4E9F"/>
    <w:rsid w:val="000A4F0A"/>
    <w:rsid w:val="000A4F4F"/>
    <w:rsid w:val="000A4F6D"/>
    <w:rsid w:val="000A4F94"/>
    <w:rsid w:val="000A4FC4"/>
    <w:rsid w:val="000A501B"/>
    <w:rsid w:val="000A506B"/>
    <w:rsid w:val="000A50EE"/>
    <w:rsid w:val="000A5140"/>
    <w:rsid w:val="000A516D"/>
    <w:rsid w:val="000A517A"/>
    <w:rsid w:val="000A517F"/>
    <w:rsid w:val="000A51B2"/>
    <w:rsid w:val="000A5285"/>
    <w:rsid w:val="000A52C3"/>
    <w:rsid w:val="000A5316"/>
    <w:rsid w:val="000A53D7"/>
    <w:rsid w:val="000A5409"/>
    <w:rsid w:val="000A5425"/>
    <w:rsid w:val="000A5439"/>
    <w:rsid w:val="000A548A"/>
    <w:rsid w:val="000A54C3"/>
    <w:rsid w:val="000A54CE"/>
    <w:rsid w:val="000A54ED"/>
    <w:rsid w:val="000A54F2"/>
    <w:rsid w:val="000A55C6"/>
    <w:rsid w:val="000A55CC"/>
    <w:rsid w:val="000A55DC"/>
    <w:rsid w:val="000A5624"/>
    <w:rsid w:val="000A5660"/>
    <w:rsid w:val="000A5663"/>
    <w:rsid w:val="000A567D"/>
    <w:rsid w:val="000A56BA"/>
    <w:rsid w:val="000A56E6"/>
    <w:rsid w:val="000A570F"/>
    <w:rsid w:val="000A573D"/>
    <w:rsid w:val="000A579F"/>
    <w:rsid w:val="000A57B9"/>
    <w:rsid w:val="000A581A"/>
    <w:rsid w:val="000A5894"/>
    <w:rsid w:val="000A58F7"/>
    <w:rsid w:val="000A5973"/>
    <w:rsid w:val="000A5990"/>
    <w:rsid w:val="000A59D6"/>
    <w:rsid w:val="000A59DF"/>
    <w:rsid w:val="000A5A4D"/>
    <w:rsid w:val="000A5ADA"/>
    <w:rsid w:val="000A5ADB"/>
    <w:rsid w:val="000A5B0A"/>
    <w:rsid w:val="000A5B33"/>
    <w:rsid w:val="000A5B4F"/>
    <w:rsid w:val="000A5BED"/>
    <w:rsid w:val="000A5C74"/>
    <w:rsid w:val="000A5D59"/>
    <w:rsid w:val="000A5D84"/>
    <w:rsid w:val="000A5DC2"/>
    <w:rsid w:val="000A5DE2"/>
    <w:rsid w:val="000A5E4B"/>
    <w:rsid w:val="000A5E90"/>
    <w:rsid w:val="000A5EEC"/>
    <w:rsid w:val="000A5EF2"/>
    <w:rsid w:val="000A5F16"/>
    <w:rsid w:val="000A5F18"/>
    <w:rsid w:val="000A5F35"/>
    <w:rsid w:val="000A5F81"/>
    <w:rsid w:val="000A6023"/>
    <w:rsid w:val="000A603F"/>
    <w:rsid w:val="000A6095"/>
    <w:rsid w:val="000A60A8"/>
    <w:rsid w:val="000A60DE"/>
    <w:rsid w:val="000A60E7"/>
    <w:rsid w:val="000A6109"/>
    <w:rsid w:val="000A615E"/>
    <w:rsid w:val="000A6170"/>
    <w:rsid w:val="000A6171"/>
    <w:rsid w:val="000A618F"/>
    <w:rsid w:val="000A61E1"/>
    <w:rsid w:val="000A61FD"/>
    <w:rsid w:val="000A623E"/>
    <w:rsid w:val="000A6256"/>
    <w:rsid w:val="000A6262"/>
    <w:rsid w:val="000A628F"/>
    <w:rsid w:val="000A6343"/>
    <w:rsid w:val="000A6369"/>
    <w:rsid w:val="000A63A8"/>
    <w:rsid w:val="000A6411"/>
    <w:rsid w:val="000A64F4"/>
    <w:rsid w:val="000A6504"/>
    <w:rsid w:val="000A65CA"/>
    <w:rsid w:val="000A65FC"/>
    <w:rsid w:val="000A6602"/>
    <w:rsid w:val="000A6656"/>
    <w:rsid w:val="000A668A"/>
    <w:rsid w:val="000A66B0"/>
    <w:rsid w:val="000A674F"/>
    <w:rsid w:val="000A6764"/>
    <w:rsid w:val="000A6783"/>
    <w:rsid w:val="000A686E"/>
    <w:rsid w:val="000A6A31"/>
    <w:rsid w:val="000A6A95"/>
    <w:rsid w:val="000A6ACF"/>
    <w:rsid w:val="000A6B01"/>
    <w:rsid w:val="000A6B4A"/>
    <w:rsid w:val="000A6B76"/>
    <w:rsid w:val="000A6B9D"/>
    <w:rsid w:val="000A6C28"/>
    <w:rsid w:val="000A6C38"/>
    <w:rsid w:val="000A6C6D"/>
    <w:rsid w:val="000A6CFF"/>
    <w:rsid w:val="000A6D7B"/>
    <w:rsid w:val="000A6DD0"/>
    <w:rsid w:val="000A6E2C"/>
    <w:rsid w:val="000A6E83"/>
    <w:rsid w:val="000A6E89"/>
    <w:rsid w:val="000A6EBC"/>
    <w:rsid w:val="000A6EC6"/>
    <w:rsid w:val="000A6F86"/>
    <w:rsid w:val="000A6FF3"/>
    <w:rsid w:val="000A7035"/>
    <w:rsid w:val="000A704E"/>
    <w:rsid w:val="000A70DF"/>
    <w:rsid w:val="000A70F1"/>
    <w:rsid w:val="000A710A"/>
    <w:rsid w:val="000A7158"/>
    <w:rsid w:val="000A718A"/>
    <w:rsid w:val="000A7256"/>
    <w:rsid w:val="000A72EA"/>
    <w:rsid w:val="000A73B7"/>
    <w:rsid w:val="000A73D4"/>
    <w:rsid w:val="000A7421"/>
    <w:rsid w:val="000A7478"/>
    <w:rsid w:val="000A748A"/>
    <w:rsid w:val="000A749E"/>
    <w:rsid w:val="000A7501"/>
    <w:rsid w:val="000A7527"/>
    <w:rsid w:val="000A7570"/>
    <w:rsid w:val="000A762C"/>
    <w:rsid w:val="000A765F"/>
    <w:rsid w:val="000A7685"/>
    <w:rsid w:val="000A76F9"/>
    <w:rsid w:val="000A7700"/>
    <w:rsid w:val="000A772F"/>
    <w:rsid w:val="000A77BF"/>
    <w:rsid w:val="000A77C7"/>
    <w:rsid w:val="000A7834"/>
    <w:rsid w:val="000A7932"/>
    <w:rsid w:val="000A794E"/>
    <w:rsid w:val="000A7967"/>
    <w:rsid w:val="000A7969"/>
    <w:rsid w:val="000A7977"/>
    <w:rsid w:val="000A79A4"/>
    <w:rsid w:val="000A7A11"/>
    <w:rsid w:val="000A7A24"/>
    <w:rsid w:val="000A7A2D"/>
    <w:rsid w:val="000A7AD1"/>
    <w:rsid w:val="000A7AEC"/>
    <w:rsid w:val="000A7B84"/>
    <w:rsid w:val="000A7B8B"/>
    <w:rsid w:val="000A7BAE"/>
    <w:rsid w:val="000A7BC9"/>
    <w:rsid w:val="000A7BF9"/>
    <w:rsid w:val="000A7C33"/>
    <w:rsid w:val="000A7C4E"/>
    <w:rsid w:val="000A7CDB"/>
    <w:rsid w:val="000A7D1C"/>
    <w:rsid w:val="000A7DB6"/>
    <w:rsid w:val="000A7E1C"/>
    <w:rsid w:val="000A7E36"/>
    <w:rsid w:val="000A7E6B"/>
    <w:rsid w:val="000A7E74"/>
    <w:rsid w:val="000A7E7B"/>
    <w:rsid w:val="000A7EA7"/>
    <w:rsid w:val="000A7EE6"/>
    <w:rsid w:val="000A7F14"/>
    <w:rsid w:val="000A7FDA"/>
    <w:rsid w:val="000A7FDC"/>
    <w:rsid w:val="000B0028"/>
    <w:rsid w:val="000B00D2"/>
    <w:rsid w:val="000B014C"/>
    <w:rsid w:val="000B0172"/>
    <w:rsid w:val="000B019E"/>
    <w:rsid w:val="000B01CE"/>
    <w:rsid w:val="000B0213"/>
    <w:rsid w:val="000B0215"/>
    <w:rsid w:val="000B025A"/>
    <w:rsid w:val="000B02D3"/>
    <w:rsid w:val="000B02E6"/>
    <w:rsid w:val="000B0363"/>
    <w:rsid w:val="000B0459"/>
    <w:rsid w:val="000B0495"/>
    <w:rsid w:val="000B04E0"/>
    <w:rsid w:val="000B0524"/>
    <w:rsid w:val="000B0594"/>
    <w:rsid w:val="000B05B1"/>
    <w:rsid w:val="000B065F"/>
    <w:rsid w:val="000B0674"/>
    <w:rsid w:val="000B0680"/>
    <w:rsid w:val="000B06C0"/>
    <w:rsid w:val="000B0724"/>
    <w:rsid w:val="000B07AA"/>
    <w:rsid w:val="000B0828"/>
    <w:rsid w:val="000B082B"/>
    <w:rsid w:val="000B082D"/>
    <w:rsid w:val="000B0830"/>
    <w:rsid w:val="000B0878"/>
    <w:rsid w:val="000B08AE"/>
    <w:rsid w:val="000B08CD"/>
    <w:rsid w:val="000B0929"/>
    <w:rsid w:val="000B0943"/>
    <w:rsid w:val="000B0963"/>
    <w:rsid w:val="000B099A"/>
    <w:rsid w:val="000B099D"/>
    <w:rsid w:val="000B0A1A"/>
    <w:rsid w:val="000B0A9E"/>
    <w:rsid w:val="000B0AA9"/>
    <w:rsid w:val="000B0AF6"/>
    <w:rsid w:val="000B0B40"/>
    <w:rsid w:val="000B0B47"/>
    <w:rsid w:val="000B0BCC"/>
    <w:rsid w:val="000B0C6D"/>
    <w:rsid w:val="000B0D04"/>
    <w:rsid w:val="000B0DF0"/>
    <w:rsid w:val="000B0DFC"/>
    <w:rsid w:val="000B0E24"/>
    <w:rsid w:val="000B0E5E"/>
    <w:rsid w:val="000B0E73"/>
    <w:rsid w:val="000B0EAB"/>
    <w:rsid w:val="000B0EC8"/>
    <w:rsid w:val="000B0F7B"/>
    <w:rsid w:val="000B0FA0"/>
    <w:rsid w:val="000B0FA3"/>
    <w:rsid w:val="000B1020"/>
    <w:rsid w:val="000B1053"/>
    <w:rsid w:val="000B105D"/>
    <w:rsid w:val="000B10A0"/>
    <w:rsid w:val="000B10A9"/>
    <w:rsid w:val="000B10C1"/>
    <w:rsid w:val="000B110F"/>
    <w:rsid w:val="000B119D"/>
    <w:rsid w:val="000B11E1"/>
    <w:rsid w:val="000B11FE"/>
    <w:rsid w:val="000B1224"/>
    <w:rsid w:val="000B123A"/>
    <w:rsid w:val="000B123C"/>
    <w:rsid w:val="000B1260"/>
    <w:rsid w:val="000B1288"/>
    <w:rsid w:val="000B1298"/>
    <w:rsid w:val="000B12BA"/>
    <w:rsid w:val="000B1379"/>
    <w:rsid w:val="000B13B7"/>
    <w:rsid w:val="000B13E2"/>
    <w:rsid w:val="000B13E8"/>
    <w:rsid w:val="000B1438"/>
    <w:rsid w:val="000B14EF"/>
    <w:rsid w:val="000B15B3"/>
    <w:rsid w:val="000B162E"/>
    <w:rsid w:val="000B1649"/>
    <w:rsid w:val="000B1655"/>
    <w:rsid w:val="000B166D"/>
    <w:rsid w:val="000B16C7"/>
    <w:rsid w:val="000B175F"/>
    <w:rsid w:val="000B1765"/>
    <w:rsid w:val="000B176A"/>
    <w:rsid w:val="000B176E"/>
    <w:rsid w:val="000B1807"/>
    <w:rsid w:val="000B18C6"/>
    <w:rsid w:val="000B18E4"/>
    <w:rsid w:val="000B190D"/>
    <w:rsid w:val="000B1982"/>
    <w:rsid w:val="000B19FA"/>
    <w:rsid w:val="000B1A39"/>
    <w:rsid w:val="000B1B02"/>
    <w:rsid w:val="000B1B2A"/>
    <w:rsid w:val="000B1B2E"/>
    <w:rsid w:val="000B1BE6"/>
    <w:rsid w:val="000B1BFF"/>
    <w:rsid w:val="000B1C1C"/>
    <w:rsid w:val="000B1CE0"/>
    <w:rsid w:val="000B1D02"/>
    <w:rsid w:val="000B1D03"/>
    <w:rsid w:val="000B1D7C"/>
    <w:rsid w:val="000B1D9C"/>
    <w:rsid w:val="000B1DA7"/>
    <w:rsid w:val="000B1DBB"/>
    <w:rsid w:val="000B1E1C"/>
    <w:rsid w:val="000B1E64"/>
    <w:rsid w:val="000B1E79"/>
    <w:rsid w:val="000B1E8B"/>
    <w:rsid w:val="000B1F09"/>
    <w:rsid w:val="000B1FB9"/>
    <w:rsid w:val="000B1FD0"/>
    <w:rsid w:val="000B1FDB"/>
    <w:rsid w:val="000B2058"/>
    <w:rsid w:val="000B2076"/>
    <w:rsid w:val="000B207F"/>
    <w:rsid w:val="000B20B3"/>
    <w:rsid w:val="000B20B6"/>
    <w:rsid w:val="000B20CF"/>
    <w:rsid w:val="000B20D8"/>
    <w:rsid w:val="000B20F7"/>
    <w:rsid w:val="000B2148"/>
    <w:rsid w:val="000B2164"/>
    <w:rsid w:val="000B2165"/>
    <w:rsid w:val="000B21ED"/>
    <w:rsid w:val="000B221C"/>
    <w:rsid w:val="000B22AF"/>
    <w:rsid w:val="000B2300"/>
    <w:rsid w:val="000B2304"/>
    <w:rsid w:val="000B23B5"/>
    <w:rsid w:val="000B23F2"/>
    <w:rsid w:val="000B2447"/>
    <w:rsid w:val="000B24C1"/>
    <w:rsid w:val="000B24CF"/>
    <w:rsid w:val="000B251D"/>
    <w:rsid w:val="000B257B"/>
    <w:rsid w:val="000B25B8"/>
    <w:rsid w:val="000B25E8"/>
    <w:rsid w:val="000B263B"/>
    <w:rsid w:val="000B2662"/>
    <w:rsid w:val="000B2682"/>
    <w:rsid w:val="000B2691"/>
    <w:rsid w:val="000B26AD"/>
    <w:rsid w:val="000B26E1"/>
    <w:rsid w:val="000B26F8"/>
    <w:rsid w:val="000B2717"/>
    <w:rsid w:val="000B2864"/>
    <w:rsid w:val="000B2890"/>
    <w:rsid w:val="000B2902"/>
    <w:rsid w:val="000B2968"/>
    <w:rsid w:val="000B29C3"/>
    <w:rsid w:val="000B29E7"/>
    <w:rsid w:val="000B2A04"/>
    <w:rsid w:val="000B2A8B"/>
    <w:rsid w:val="000B2B1C"/>
    <w:rsid w:val="000B2B4E"/>
    <w:rsid w:val="000B2B81"/>
    <w:rsid w:val="000B2B88"/>
    <w:rsid w:val="000B2BA1"/>
    <w:rsid w:val="000B2BB6"/>
    <w:rsid w:val="000B2C04"/>
    <w:rsid w:val="000B2C37"/>
    <w:rsid w:val="000B2C80"/>
    <w:rsid w:val="000B2C82"/>
    <w:rsid w:val="000B2CA5"/>
    <w:rsid w:val="000B2CF2"/>
    <w:rsid w:val="000B2D10"/>
    <w:rsid w:val="000B2D11"/>
    <w:rsid w:val="000B2D20"/>
    <w:rsid w:val="000B2D39"/>
    <w:rsid w:val="000B2D79"/>
    <w:rsid w:val="000B2DDC"/>
    <w:rsid w:val="000B2E20"/>
    <w:rsid w:val="000B2E75"/>
    <w:rsid w:val="000B2EA5"/>
    <w:rsid w:val="000B2F26"/>
    <w:rsid w:val="000B2F6E"/>
    <w:rsid w:val="000B2F9E"/>
    <w:rsid w:val="000B2FDE"/>
    <w:rsid w:val="000B301A"/>
    <w:rsid w:val="000B305E"/>
    <w:rsid w:val="000B3067"/>
    <w:rsid w:val="000B306C"/>
    <w:rsid w:val="000B308E"/>
    <w:rsid w:val="000B3117"/>
    <w:rsid w:val="000B3131"/>
    <w:rsid w:val="000B3172"/>
    <w:rsid w:val="000B31F4"/>
    <w:rsid w:val="000B3312"/>
    <w:rsid w:val="000B33D9"/>
    <w:rsid w:val="000B33F6"/>
    <w:rsid w:val="000B3416"/>
    <w:rsid w:val="000B3464"/>
    <w:rsid w:val="000B34A2"/>
    <w:rsid w:val="000B353E"/>
    <w:rsid w:val="000B357F"/>
    <w:rsid w:val="000B3594"/>
    <w:rsid w:val="000B35A8"/>
    <w:rsid w:val="000B35B9"/>
    <w:rsid w:val="000B35C3"/>
    <w:rsid w:val="000B35F2"/>
    <w:rsid w:val="000B361C"/>
    <w:rsid w:val="000B3640"/>
    <w:rsid w:val="000B3667"/>
    <w:rsid w:val="000B3680"/>
    <w:rsid w:val="000B368E"/>
    <w:rsid w:val="000B36EB"/>
    <w:rsid w:val="000B3769"/>
    <w:rsid w:val="000B37DA"/>
    <w:rsid w:val="000B3810"/>
    <w:rsid w:val="000B381A"/>
    <w:rsid w:val="000B383E"/>
    <w:rsid w:val="000B38A5"/>
    <w:rsid w:val="000B38CA"/>
    <w:rsid w:val="000B3933"/>
    <w:rsid w:val="000B39B8"/>
    <w:rsid w:val="000B3A47"/>
    <w:rsid w:val="000B3A4F"/>
    <w:rsid w:val="000B3A5C"/>
    <w:rsid w:val="000B3A7D"/>
    <w:rsid w:val="000B3B86"/>
    <w:rsid w:val="000B3BBB"/>
    <w:rsid w:val="000B3BCD"/>
    <w:rsid w:val="000B3BD1"/>
    <w:rsid w:val="000B3BDA"/>
    <w:rsid w:val="000B3C16"/>
    <w:rsid w:val="000B3C19"/>
    <w:rsid w:val="000B3C35"/>
    <w:rsid w:val="000B3C3C"/>
    <w:rsid w:val="000B3C42"/>
    <w:rsid w:val="000B3C48"/>
    <w:rsid w:val="000B3C57"/>
    <w:rsid w:val="000B3C9C"/>
    <w:rsid w:val="000B3F21"/>
    <w:rsid w:val="000B3F23"/>
    <w:rsid w:val="000B3F81"/>
    <w:rsid w:val="000B3F91"/>
    <w:rsid w:val="000B3FE7"/>
    <w:rsid w:val="000B403C"/>
    <w:rsid w:val="000B4077"/>
    <w:rsid w:val="000B40AA"/>
    <w:rsid w:val="000B40FE"/>
    <w:rsid w:val="000B4132"/>
    <w:rsid w:val="000B417C"/>
    <w:rsid w:val="000B41EF"/>
    <w:rsid w:val="000B424E"/>
    <w:rsid w:val="000B425B"/>
    <w:rsid w:val="000B4268"/>
    <w:rsid w:val="000B428D"/>
    <w:rsid w:val="000B428E"/>
    <w:rsid w:val="000B42EC"/>
    <w:rsid w:val="000B43DE"/>
    <w:rsid w:val="000B43E0"/>
    <w:rsid w:val="000B43E5"/>
    <w:rsid w:val="000B4407"/>
    <w:rsid w:val="000B44F5"/>
    <w:rsid w:val="000B44FC"/>
    <w:rsid w:val="000B44FE"/>
    <w:rsid w:val="000B45BF"/>
    <w:rsid w:val="000B45DA"/>
    <w:rsid w:val="000B463D"/>
    <w:rsid w:val="000B4643"/>
    <w:rsid w:val="000B466D"/>
    <w:rsid w:val="000B4682"/>
    <w:rsid w:val="000B46B7"/>
    <w:rsid w:val="000B47A5"/>
    <w:rsid w:val="000B483E"/>
    <w:rsid w:val="000B48D4"/>
    <w:rsid w:val="000B4918"/>
    <w:rsid w:val="000B4A34"/>
    <w:rsid w:val="000B4A36"/>
    <w:rsid w:val="000B4A3B"/>
    <w:rsid w:val="000B4A52"/>
    <w:rsid w:val="000B4AEA"/>
    <w:rsid w:val="000B4B2E"/>
    <w:rsid w:val="000B4B80"/>
    <w:rsid w:val="000B4C1D"/>
    <w:rsid w:val="000B4C3A"/>
    <w:rsid w:val="000B4C71"/>
    <w:rsid w:val="000B4CC6"/>
    <w:rsid w:val="000B4CC8"/>
    <w:rsid w:val="000B4CE6"/>
    <w:rsid w:val="000B4CEC"/>
    <w:rsid w:val="000B4D10"/>
    <w:rsid w:val="000B4D13"/>
    <w:rsid w:val="000B4E9D"/>
    <w:rsid w:val="000B4E9E"/>
    <w:rsid w:val="000B4F14"/>
    <w:rsid w:val="000B4F31"/>
    <w:rsid w:val="000B4F9B"/>
    <w:rsid w:val="000B500F"/>
    <w:rsid w:val="000B5011"/>
    <w:rsid w:val="000B501F"/>
    <w:rsid w:val="000B505A"/>
    <w:rsid w:val="000B5077"/>
    <w:rsid w:val="000B50BC"/>
    <w:rsid w:val="000B519F"/>
    <w:rsid w:val="000B51BE"/>
    <w:rsid w:val="000B521F"/>
    <w:rsid w:val="000B5243"/>
    <w:rsid w:val="000B5246"/>
    <w:rsid w:val="000B5273"/>
    <w:rsid w:val="000B5299"/>
    <w:rsid w:val="000B52ED"/>
    <w:rsid w:val="000B52FF"/>
    <w:rsid w:val="000B53BA"/>
    <w:rsid w:val="000B5467"/>
    <w:rsid w:val="000B5496"/>
    <w:rsid w:val="000B554C"/>
    <w:rsid w:val="000B5568"/>
    <w:rsid w:val="000B5595"/>
    <w:rsid w:val="000B55B9"/>
    <w:rsid w:val="000B55BE"/>
    <w:rsid w:val="000B5646"/>
    <w:rsid w:val="000B564E"/>
    <w:rsid w:val="000B56AB"/>
    <w:rsid w:val="000B56B0"/>
    <w:rsid w:val="000B5726"/>
    <w:rsid w:val="000B57C0"/>
    <w:rsid w:val="000B57C9"/>
    <w:rsid w:val="000B57E4"/>
    <w:rsid w:val="000B581C"/>
    <w:rsid w:val="000B584C"/>
    <w:rsid w:val="000B58B8"/>
    <w:rsid w:val="000B593B"/>
    <w:rsid w:val="000B594A"/>
    <w:rsid w:val="000B5968"/>
    <w:rsid w:val="000B59CF"/>
    <w:rsid w:val="000B5A3B"/>
    <w:rsid w:val="000B5AD7"/>
    <w:rsid w:val="000B5B76"/>
    <w:rsid w:val="000B5C19"/>
    <w:rsid w:val="000B5C1B"/>
    <w:rsid w:val="000B5C4E"/>
    <w:rsid w:val="000B5C5B"/>
    <w:rsid w:val="000B5C7A"/>
    <w:rsid w:val="000B5C97"/>
    <w:rsid w:val="000B5D09"/>
    <w:rsid w:val="000B5D25"/>
    <w:rsid w:val="000B5D29"/>
    <w:rsid w:val="000B5D46"/>
    <w:rsid w:val="000B5D51"/>
    <w:rsid w:val="000B5D92"/>
    <w:rsid w:val="000B5DBA"/>
    <w:rsid w:val="000B5E65"/>
    <w:rsid w:val="000B5E80"/>
    <w:rsid w:val="000B5E99"/>
    <w:rsid w:val="000B5EBA"/>
    <w:rsid w:val="000B5ECA"/>
    <w:rsid w:val="000B5ECE"/>
    <w:rsid w:val="000B5F0D"/>
    <w:rsid w:val="000B5F67"/>
    <w:rsid w:val="000B6046"/>
    <w:rsid w:val="000B6061"/>
    <w:rsid w:val="000B6074"/>
    <w:rsid w:val="000B6090"/>
    <w:rsid w:val="000B60B8"/>
    <w:rsid w:val="000B6102"/>
    <w:rsid w:val="000B611B"/>
    <w:rsid w:val="000B613C"/>
    <w:rsid w:val="000B6165"/>
    <w:rsid w:val="000B6172"/>
    <w:rsid w:val="000B6192"/>
    <w:rsid w:val="000B623B"/>
    <w:rsid w:val="000B6269"/>
    <w:rsid w:val="000B6299"/>
    <w:rsid w:val="000B62A7"/>
    <w:rsid w:val="000B6341"/>
    <w:rsid w:val="000B636B"/>
    <w:rsid w:val="000B636F"/>
    <w:rsid w:val="000B637C"/>
    <w:rsid w:val="000B63CA"/>
    <w:rsid w:val="000B640A"/>
    <w:rsid w:val="000B6443"/>
    <w:rsid w:val="000B6458"/>
    <w:rsid w:val="000B653E"/>
    <w:rsid w:val="000B6565"/>
    <w:rsid w:val="000B6571"/>
    <w:rsid w:val="000B66CF"/>
    <w:rsid w:val="000B66FF"/>
    <w:rsid w:val="000B6701"/>
    <w:rsid w:val="000B6708"/>
    <w:rsid w:val="000B6726"/>
    <w:rsid w:val="000B6740"/>
    <w:rsid w:val="000B678B"/>
    <w:rsid w:val="000B679F"/>
    <w:rsid w:val="000B67AF"/>
    <w:rsid w:val="000B67B1"/>
    <w:rsid w:val="000B6835"/>
    <w:rsid w:val="000B68DB"/>
    <w:rsid w:val="000B6929"/>
    <w:rsid w:val="000B696E"/>
    <w:rsid w:val="000B69FA"/>
    <w:rsid w:val="000B6A9E"/>
    <w:rsid w:val="000B6AA0"/>
    <w:rsid w:val="000B6AA8"/>
    <w:rsid w:val="000B6AD2"/>
    <w:rsid w:val="000B6B54"/>
    <w:rsid w:val="000B6B5B"/>
    <w:rsid w:val="000B6B92"/>
    <w:rsid w:val="000B6BE2"/>
    <w:rsid w:val="000B6C07"/>
    <w:rsid w:val="000B6C4B"/>
    <w:rsid w:val="000B6DAC"/>
    <w:rsid w:val="000B6E69"/>
    <w:rsid w:val="000B6E89"/>
    <w:rsid w:val="000B6EDF"/>
    <w:rsid w:val="000B6F1F"/>
    <w:rsid w:val="000B6F4A"/>
    <w:rsid w:val="000B6F4F"/>
    <w:rsid w:val="000B6F51"/>
    <w:rsid w:val="000B6F5F"/>
    <w:rsid w:val="000B6FCB"/>
    <w:rsid w:val="000B6FCC"/>
    <w:rsid w:val="000B703D"/>
    <w:rsid w:val="000B7050"/>
    <w:rsid w:val="000B7051"/>
    <w:rsid w:val="000B7058"/>
    <w:rsid w:val="000B705E"/>
    <w:rsid w:val="000B7127"/>
    <w:rsid w:val="000B7132"/>
    <w:rsid w:val="000B7218"/>
    <w:rsid w:val="000B7219"/>
    <w:rsid w:val="000B728D"/>
    <w:rsid w:val="000B72AE"/>
    <w:rsid w:val="000B72D6"/>
    <w:rsid w:val="000B7313"/>
    <w:rsid w:val="000B7363"/>
    <w:rsid w:val="000B738B"/>
    <w:rsid w:val="000B73BB"/>
    <w:rsid w:val="000B7424"/>
    <w:rsid w:val="000B7474"/>
    <w:rsid w:val="000B74FC"/>
    <w:rsid w:val="000B7522"/>
    <w:rsid w:val="000B7594"/>
    <w:rsid w:val="000B75A8"/>
    <w:rsid w:val="000B764B"/>
    <w:rsid w:val="000B7683"/>
    <w:rsid w:val="000B7684"/>
    <w:rsid w:val="000B76AC"/>
    <w:rsid w:val="000B76EE"/>
    <w:rsid w:val="000B7719"/>
    <w:rsid w:val="000B7758"/>
    <w:rsid w:val="000B77E9"/>
    <w:rsid w:val="000B781C"/>
    <w:rsid w:val="000B783D"/>
    <w:rsid w:val="000B788F"/>
    <w:rsid w:val="000B7895"/>
    <w:rsid w:val="000B7899"/>
    <w:rsid w:val="000B78A8"/>
    <w:rsid w:val="000B78AB"/>
    <w:rsid w:val="000B78BC"/>
    <w:rsid w:val="000B78CB"/>
    <w:rsid w:val="000B78F4"/>
    <w:rsid w:val="000B7911"/>
    <w:rsid w:val="000B79CA"/>
    <w:rsid w:val="000B79DC"/>
    <w:rsid w:val="000B7A62"/>
    <w:rsid w:val="000B7ACB"/>
    <w:rsid w:val="000B7B1F"/>
    <w:rsid w:val="000B7BAD"/>
    <w:rsid w:val="000B7BCD"/>
    <w:rsid w:val="000B7C33"/>
    <w:rsid w:val="000B7C42"/>
    <w:rsid w:val="000B7C88"/>
    <w:rsid w:val="000B7D06"/>
    <w:rsid w:val="000B7DA8"/>
    <w:rsid w:val="000B7DE9"/>
    <w:rsid w:val="000B7E1E"/>
    <w:rsid w:val="000B7E25"/>
    <w:rsid w:val="000B7E56"/>
    <w:rsid w:val="000B7E82"/>
    <w:rsid w:val="000B7E8F"/>
    <w:rsid w:val="000B7E90"/>
    <w:rsid w:val="000B7E9E"/>
    <w:rsid w:val="000B7EB0"/>
    <w:rsid w:val="000B7EB9"/>
    <w:rsid w:val="000B7F1E"/>
    <w:rsid w:val="000B7F60"/>
    <w:rsid w:val="000B7FDD"/>
    <w:rsid w:val="000C002D"/>
    <w:rsid w:val="000C0098"/>
    <w:rsid w:val="000C00A8"/>
    <w:rsid w:val="000C017A"/>
    <w:rsid w:val="000C019A"/>
    <w:rsid w:val="000C01F5"/>
    <w:rsid w:val="000C022C"/>
    <w:rsid w:val="000C0268"/>
    <w:rsid w:val="000C0270"/>
    <w:rsid w:val="000C02E3"/>
    <w:rsid w:val="000C02F3"/>
    <w:rsid w:val="000C036D"/>
    <w:rsid w:val="000C038C"/>
    <w:rsid w:val="000C0391"/>
    <w:rsid w:val="000C03C4"/>
    <w:rsid w:val="000C03EC"/>
    <w:rsid w:val="000C040E"/>
    <w:rsid w:val="000C046F"/>
    <w:rsid w:val="000C04C2"/>
    <w:rsid w:val="000C0511"/>
    <w:rsid w:val="000C051C"/>
    <w:rsid w:val="000C0543"/>
    <w:rsid w:val="000C0546"/>
    <w:rsid w:val="000C05A0"/>
    <w:rsid w:val="000C05DC"/>
    <w:rsid w:val="000C05DE"/>
    <w:rsid w:val="000C05FB"/>
    <w:rsid w:val="000C0601"/>
    <w:rsid w:val="000C06A9"/>
    <w:rsid w:val="000C0797"/>
    <w:rsid w:val="000C07B5"/>
    <w:rsid w:val="000C081A"/>
    <w:rsid w:val="000C0841"/>
    <w:rsid w:val="000C08BD"/>
    <w:rsid w:val="000C08C4"/>
    <w:rsid w:val="000C0937"/>
    <w:rsid w:val="000C0952"/>
    <w:rsid w:val="000C0978"/>
    <w:rsid w:val="000C0A8D"/>
    <w:rsid w:val="000C0B0D"/>
    <w:rsid w:val="000C0B27"/>
    <w:rsid w:val="000C0BBF"/>
    <w:rsid w:val="000C0BD6"/>
    <w:rsid w:val="000C0BF0"/>
    <w:rsid w:val="000C0C5C"/>
    <w:rsid w:val="000C0C5F"/>
    <w:rsid w:val="000C0C91"/>
    <w:rsid w:val="000C0C96"/>
    <w:rsid w:val="000C0CA4"/>
    <w:rsid w:val="000C0D0A"/>
    <w:rsid w:val="000C0D42"/>
    <w:rsid w:val="000C0E0D"/>
    <w:rsid w:val="000C0E10"/>
    <w:rsid w:val="000C0E1C"/>
    <w:rsid w:val="000C0EAA"/>
    <w:rsid w:val="000C0FC4"/>
    <w:rsid w:val="000C1063"/>
    <w:rsid w:val="000C1065"/>
    <w:rsid w:val="000C10AF"/>
    <w:rsid w:val="000C1100"/>
    <w:rsid w:val="000C1136"/>
    <w:rsid w:val="000C1153"/>
    <w:rsid w:val="000C1163"/>
    <w:rsid w:val="000C11F7"/>
    <w:rsid w:val="000C1213"/>
    <w:rsid w:val="000C124B"/>
    <w:rsid w:val="000C128F"/>
    <w:rsid w:val="000C12B2"/>
    <w:rsid w:val="000C12D0"/>
    <w:rsid w:val="000C145D"/>
    <w:rsid w:val="000C1484"/>
    <w:rsid w:val="000C150C"/>
    <w:rsid w:val="000C1520"/>
    <w:rsid w:val="000C152C"/>
    <w:rsid w:val="000C1531"/>
    <w:rsid w:val="000C15AB"/>
    <w:rsid w:val="000C15BB"/>
    <w:rsid w:val="000C15DC"/>
    <w:rsid w:val="000C1600"/>
    <w:rsid w:val="000C1714"/>
    <w:rsid w:val="000C1744"/>
    <w:rsid w:val="000C1797"/>
    <w:rsid w:val="000C17A5"/>
    <w:rsid w:val="000C17C8"/>
    <w:rsid w:val="000C17CF"/>
    <w:rsid w:val="000C17F5"/>
    <w:rsid w:val="000C1815"/>
    <w:rsid w:val="000C1891"/>
    <w:rsid w:val="000C1926"/>
    <w:rsid w:val="000C1978"/>
    <w:rsid w:val="000C197B"/>
    <w:rsid w:val="000C199E"/>
    <w:rsid w:val="000C19F4"/>
    <w:rsid w:val="000C1B20"/>
    <w:rsid w:val="000C1B5C"/>
    <w:rsid w:val="000C1CD7"/>
    <w:rsid w:val="000C1CD8"/>
    <w:rsid w:val="000C1D04"/>
    <w:rsid w:val="000C1D08"/>
    <w:rsid w:val="000C1D26"/>
    <w:rsid w:val="000C1DCC"/>
    <w:rsid w:val="000C1DE4"/>
    <w:rsid w:val="000C1DFA"/>
    <w:rsid w:val="000C1E22"/>
    <w:rsid w:val="000C1F8B"/>
    <w:rsid w:val="000C1FDB"/>
    <w:rsid w:val="000C2002"/>
    <w:rsid w:val="000C2027"/>
    <w:rsid w:val="000C2031"/>
    <w:rsid w:val="000C2032"/>
    <w:rsid w:val="000C2093"/>
    <w:rsid w:val="000C2154"/>
    <w:rsid w:val="000C2175"/>
    <w:rsid w:val="000C21A9"/>
    <w:rsid w:val="000C21F8"/>
    <w:rsid w:val="000C22C7"/>
    <w:rsid w:val="000C22D9"/>
    <w:rsid w:val="000C22DB"/>
    <w:rsid w:val="000C22E0"/>
    <w:rsid w:val="000C2366"/>
    <w:rsid w:val="000C2493"/>
    <w:rsid w:val="000C249B"/>
    <w:rsid w:val="000C24D3"/>
    <w:rsid w:val="000C2534"/>
    <w:rsid w:val="000C25B0"/>
    <w:rsid w:val="000C25E7"/>
    <w:rsid w:val="000C2605"/>
    <w:rsid w:val="000C269E"/>
    <w:rsid w:val="000C2707"/>
    <w:rsid w:val="000C281D"/>
    <w:rsid w:val="000C2848"/>
    <w:rsid w:val="000C285B"/>
    <w:rsid w:val="000C2915"/>
    <w:rsid w:val="000C29B4"/>
    <w:rsid w:val="000C29B7"/>
    <w:rsid w:val="000C29BE"/>
    <w:rsid w:val="000C29D2"/>
    <w:rsid w:val="000C2AB1"/>
    <w:rsid w:val="000C2B19"/>
    <w:rsid w:val="000C2B23"/>
    <w:rsid w:val="000C2B2F"/>
    <w:rsid w:val="000C2B69"/>
    <w:rsid w:val="000C2BDA"/>
    <w:rsid w:val="000C2BFE"/>
    <w:rsid w:val="000C2C31"/>
    <w:rsid w:val="000C2C3E"/>
    <w:rsid w:val="000C2C43"/>
    <w:rsid w:val="000C2C64"/>
    <w:rsid w:val="000C2CD9"/>
    <w:rsid w:val="000C2CF8"/>
    <w:rsid w:val="000C2E90"/>
    <w:rsid w:val="000C2EF0"/>
    <w:rsid w:val="000C2FE0"/>
    <w:rsid w:val="000C300C"/>
    <w:rsid w:val="000C30A4"/>
    <w:rsid w:val="000C30C9"/>
    <w:rsid w:val="000C30DA"/>
    <w:rsid w:val="000C315A"/>
    <w:rsid w:val="000C31C8"/>
    <w:rsid w:val="000C31CC"/>
    <w:rsid w:val="000C31E2"/>
    <w:rsid w:val="000C34F5"/>
    <w:rsid w:val="000C352C"/>
    <w:rsid w:val="000C353E"/>
    <w:rsid w:val="000C354D"/>
    <w:rsid w:val="000C3554"/>
    <w:rsid w:val="000C355F"/>
    <w:rsid w:val="000C35EE"/>
    <w:rsid w:val="000C3635"/>
    <w:rsid w:val="000C3636"/>
    <w:rsid w:val="000C36C2"/>
    <w:rsid w:val="000C36D8"/>
    <w:rsid w:val="000C36ED"/>
    <w:rsid w:val="000C36F3"/>
    <w:rsid w:val="000C36F4"/>
    <w:rsid w:val="000C377C"/>
    <w:rsid w:val="000C377F"/>
    <w:rsid w:val="000C378F"/>
    <w:rsid w:val="000C37B2"/>
    <w:rsid w:val="000C37BD"/>
    <w:rsid w:val="000C37BF"/>
    <w:rsid w:val="000C37C4"/>
    <w:rsid w:val="000C37E5"/>
    <w:rsid w:val="000C380C"/>
    <w:rsid w:val="000C3879"/>
    <w:rsid w:val="000C38E8"/>
    <w:rsid w:val="000C3966"/>
    <w:rsid w:val="000C3971"/>
    <w:rsid w:val="000C397D"/>
    <w:rsid w:val="000C3985"/>
    <w:rsid w:val="000C39D3"/>
    <w:rsid w:val="000C39EC"/>
    <w:rsid w:val="000C3A39"/>
    <w:rsid w:val="000C3AC8"/>
    <w:rsid w:val="000C3B95"/>
    <w:rsid w:val="000C3BFE"/>
    <w:rsid w:val="000C3C8C"/>
    <w:rsid w:val="000C3CBD"/>
    <w:rsid w:val="000C3CC2"/>
    <w:rsid w:val="000C3D46"/>
    <w:rsid w:val="000C3D83"/>
    <w:rsid w:val="000C3D97"/>
    <w:rsid w:val="000C3D9D"/>
    <w:rsid w:val="000C3DB1"/>
    <w:rsid w:val="000C3E2B"/>
    <w:rsid w:val="000C3E62"/>
    <w:rsid w:val="000C3E66"/>
    <w:rsid w:val="000C3E6E"/>
    <w:rsid w:val="000C3E90"/>
    <w:rsid w:val="000C3ED3"/>
    <w:rsid w:val="000C3EED"/>
    <w:rsid w:val="000C3F06"/>
    <w:rsid w:val="000C4033"/>
    <w:rsid w:val="000C40A0"/>
    <w:rsid w:val="000C4134"/>
    <w:rsid w:val="000C4159"/>
    <w:rsid w:val="000C4311"/>
    <w:rsid w:val="000C43CC"/>
    <w:rsid w:val="000C4440"/>
    <w:rsid w:val="000C4462"/>
    <w:rsid w:val="000C4479"/>
    <w:rsid w:val="000C44EF"/>
    <w:rsid w:val="000C45CE"/>
    <w:rsid w:val="000C45D7"/>
    <w:rsid w:val="000C4605"/>
    <w:rsid w:val="000C4614"/>
    <w:rsid w:val="000C4628"/>
    <w:rsid w:val="000C4631"/>
    <w:rsid w:val="000C466F"/>
    <w:rsid w:val="000C46EE"/>
    <w:rsid w:val="000C4708"/>
    <w:rsid w:val="000C4767"/>
    <w:rsid w:val="000C47A0"/>
    <w:rsid w:val="000C47E5"/>
    <w:rsid w:val="000C47E8"/>
    <w:rsid w:val="000C4817"/>
    <w:rsid w:val="000C4828"/>
    <w:rsid w:val="000C4937"/>
    <w:rsid w:val="000C499B"/>
    <w:rsid w:val="000C4A05"/>
    <w:rsid w:val="000C4A86"/>
    <w:rsid w:val="000C4CE7"/>
    <w:rsid w:val="000C4F3C"/>
    <w:rsid w:val="000C4F5F"/>
    <w:rsid w:val="000C4F6B"/>
    <w:rsid w:val="000C4F8E"/>
    <w:rsid w:val="000C4FE8"/>
    <w:rsid w:val="000C504A"/>
    <w:rsid w:val="000C5097"/>
    <w:rsid w:val="000C5105"/>
    <w:rsid w:val="000C5160"/>
    <w:rsid w:val="000C5229"/>
    <w:rsid w:val="000C525E"/>
    <w:rsid w:val="000C5392"/>
    <w:rsid w:val="000C53A3"/>
    <w:rsid w:val="000C53D3"/>
    <w:rsid w:val="000C53FD"/>
    <w:rsid w:val="000C545A"/>
    <w:rsid w:val="000C549A"/>
    <w:rsid w:val="000C54FD"/>
    <w:rsid w:val="000C5511"/>
    <w:rsid w:val="000C5522"/>
    <w:rsid w:val="000C555C"/>
    <w:rsid w:val="000C5587"/>
    <w:rsid w:val="000C5592"/>
    <w:rsid w:val="000C55AD"/>
    <w:rsid w:val="000C56B7"/>
    <w:rsid w:val="000C5728"/>
    <w:rsid w:val="000C573C"/>
    <w:rsid w:val="000C575E"/>
    <w:rsid w:val="000C5776"/>
    <w:rsid w:val="000C5820"/>
    <w:rsid w:val="000C5827"/>
    <w:rsid w:val="000C5856"/>
    <w:rsid w:val="000C58A4"/>
    <w:rsid w:val="000C58A6"/>
    <w:rsid w:val="000C595B"/>
    <w:rsid w:val="000C596B"/>
    <w:rsid w:val="000C5978"/>
    <w:rsid w:val="000C598A"/>
    <w:rsid w:val="000C59AC"/>
    <w:rsid w:val="000C59F5"/>
    <w:rsid w:val="000C5A11"/>
    <w:rsid w:val="000C5A14"/>
    <w:rsid w:val="000C5A19"/>
    <w:rsid w:val="000C5A3F"/>
    <w:rsid w:val="000C5AFB"/>
    <w:rsid w:val="000C5B09"/>
    <w:rsid w:val="000C5B42"/>
    <w:rsid w:val="000C5B63"/>
    <w:rsid w:val="000C5B98"/>
    <w:rsid w:val="000C5BFC"/>
    <w:rsid w:val="000C5BFD"/>
    <w:rsid w:val="000C5C11"/>
    <w:rsid w:val="000C5C36"/>
    <w:rsid w:val="000C5C58"/>
    <w:rsid w:val="000C5C78"/>
    <w:rsid w:val="000C5C80"/>
    <w:rsid w:val="000C5CBB"/>
    <w:rsid w:val="000C5CD4"/>
    <w:rsid w:val="000C5CEE"/>
    <w:rsid w:val="000C5D52"/>
    <w:rsid w:val="000C5D79"/>
    <w:rsid w:val="000C5D90"/>
    <w:rsid w:val="000C5E89"/>
    <w:rsid w:val="000C5E98"/>
    <w:rsid w:val="000C5F22"/>
    <w:rsid w:val="000C5FC2"/>
    <w:rsid w:val="000C5FF1"/>
    <w:rsid w:val="000C6011"/>
    <w:rsid w:val="000C601E"/>
    <w:rsid w:val="000C6095"/>
    <w:rsid w:val="000C60D0"/>
    <w:rsid w:val="000C6109"/>
    <w:rsid w:val="000C6186"/>
    <w:rsid w:val="000C6392"/>
    <w:rsid w:val="000C6402"/>
    <w:rsid w:val="000C6405"/>
    <w:rsid w:val="000C6415"/>
    <w:rsid w:val="000C6473"/>
    <w:rsid w:val="000C6525"/>
    <w:rsid w:val="000C6559"/>
    <w:rsid w:val="000C659A"/>
    <w:rsid w:val="000C66B3"/>
    <w:rsid w:val="000C66C2"/>
    <w:rsid w:val="000C671C"/>
    <w:rsid w:val="000C6763"/>
    <w:rsid w:val="000C678C"/>
    <w:rsid w:val="000C6802"/>
    <w:rsid w:val="000C6828"/>
    <w:rsid w:val="000C6850"/>
    <w:rsid w:val="000C689E"/>
    <w:rsid w:val="000C68AF"/>
    <w:rsid w:val="000C6914"/>
    <w:rsid w:val="000C698A"/>
    <w:rsid w:val="000C6A24"/>
    <w:rsid w:val="000C6A2C"/>
    <w:rsid w:val="000C6A41"/>
    <w:rsid w:val="000C6A89"/>
    <w:rsid w:val="000C6B0B"/>
    <w:rsid w:val="000C6B59"/>
    <w:rsid w:val="000C6CA2"/>
    <w:rsid w:val="000C6CFC"/>
    <w:rsid w:val="000C6D23"/>
    <w:rsid w:val="000C6D36"/>
    <w:rsid w:val="000C6DA8"/>
    <w:rsid w:val="000C6DC0"/>
    <w:rsid w:val="000C6DE0"/>
    <w:rsid w:val="000C6DF6"/>
    <w:rsid w:val="000C6E35"/>
    <w:rsid w:val="000C6E39"/>
    <w:rsid w:val="000C6E6B"/>
    <w:rsid w:val="000C6EDD"/>
    <w:rsid w:val="000C6EEF"/>
    <w:rsid w:val="000C6F2D"/>
    <w:rsid w:val="000C7005"/>
    <w:rsid w:val="000C7029"/>
    <w:rsid w:val="000C7039"/>
    <w:rsid w:val="000C703F"/>
    <w:rsid w:val="000C707A"/>
    <w:rsid w:val="000C7124"/>
    <w:rsid w:val="000C716B"/>
    <w:rsid w:val="000C71F6"/>
    <w:rsid w:val="000C7217"/>
    <w:rsid w:val="000C7272"/>
    <w:rsid w:val="000C72A4"/>
    <w:rsid w:val="000C7320"/>
    <w:rsid w:val="000C7352"/>
    <w:rsid w:val="000C7381"/>
    <w:rsid w:val="000C7398"/>
    <w:rsid w:val="000C73DC"/>
    <w:rsid w:val="000C73DD"/>
    <w:rsid w:val="000C73EF"/>
    <w:rsid w:val="000C7485"/>
    <w:rsid w:val="000C74A2"/>
    <w:rsid w:val="000C751E"/>
    <w:rsid w:val="000C756F"/>
    <w:rsid w:val="000C7575"/>
    <w:rsid w:val="000C757B"/>
    <w:rsid w:val="000C75C4"/>
    <w:rsid w:val="000C75D7"/>
    <w:rsid w:val="000C766E"/>
    <w:rsid w:val="000C76D7"/>
    <w:rsid w:val="000C76DC"/>
    <w:rsid w:val="000C76EA"/>
    <w:rsid w:val="000C7796"/>
    <w:rsid w:val="000C7814"/>
    <w:rsid w:val="000C7817"/>
    <w:rsid w:val="000C785A"/>
    <w:rsid w:val="000C7883"/>
    <w:rsid w:val="000C7891"/>
    <w:rsid w:val="000C78CB"/>
    <w:rsid w:val="000C7907"/>
    <w:rsid w:val="000C791C"/>
    <w:rsid w:val="000C7961"/>
    <w:rsid w:val="000C7968"/>
    <w:rsid w:val="000C797E"/>
    <w:rsid w:val="000C79B8"/>
    <w:rsid w:val="000C7A43"/>
    <w:rsid w:val="000C7AD8"/>
    <w:rsid w:val="000C7AFF"/>
    <w:rsid w:val="000C7B48"/>
    <w:rsid w:val="000C7B53"/>
    <w:rsid w:val="000C7B6F"/>
    <w:rsid w:val="000C7BB0"/>
    <w:rsid w:val="000C7C1A"/>
    <w:rsid w:val="000C7C21"/>
    <w:rsid w:val="000C7C57"/>
    <w:rsid w:val="000C7C66"/>
    <w:rsid w:val="000C7CB5"/>
    <w:rsid w:val="000C7D5A"/>
    <w:rsid w:val="000C7DB1"/>
    <w:rsid w:val="000C7DF7"/>
    <w:rsid w:val="000C7E38"/>
    <w:rsid w:val="000C7E6D"/>
    <w:rsid w:val="000C7F41"/>
    <w:rsid w:val="000C7FD3"/>
    <w:rsid w:val="000C7FE4"/>
    <w:rsid w:val="000D0005"/>
    <w:rsid w:val="000D003B"/>
    <w:rsid w:val="000D00B0"/>
    <w:rsid w:val="000D00D3"/>
    <w:rsid w:val="000D00FD"/>
    <w:rsid w:val="000D011B"/>
    <w:rsid w:val="000D011D"/>
    <w:rsid w:val="000D0208"/>
    <w:rsid w:val="000D0287"/>
    <w:rsid w:val="000D0303"/>
    <w:rsid w:val="000D0348"/>
    <w:rsid w:val="000D036E"/>
    <w:rsid w:val="000D0386"/>
    <w:rsid w:val="000D03A1"/>
    <w:rsid w:val="000D03B9"/>
    <w:rsid w:val="000D03BE"/>
    <w:rsid w:val="000D0443"/>
    <w:rsid w:val="000D044B"/>
    <w:rsid w:val="000D045E"/>
    <w:rsid w:val="000D052F"/>
    <w:rsid w:val="000D057B"/>
    <w:rsid w:val="000D05B2"/>
    <w:rsid w:val="000D05F6"/>
    <w:rsid w:val="000D0654"/>
    <w:rsid w:val="000D0655"/>
    <w:rsid w:val="000D065A"/>
    <w:rsid w:val="000D0665"/>
    <w:rsid w:val="000D06A4"/>
    <w:rsid w:val="000D06A6"/>
    <w:rsid w:val="000D06D1"/>
    <w:rsid w:val="000D0708"/>
    <w:rsid w:val="000D072A"/>
    <w:rsid w:val="000D0791"/>
    <w:rsid w:val="000D07F4"/>
    <w:rsid w:val="000D084B"/>
    <w:rsid w:val="000D086E"/>
    <w:rsid w:val="000D08C5"/>
    <w:rsid w:val="000D0906"/>
    <w:rsid w:val="000D0919"/>
    <w:rsid w:val="000D091C"/>
    <w:rsid w:val="000D0966"/>
    <w:rsid w:val="000D0976"/>
    <w:rsid w:val="000D09DB"/>
    <w:rsid w:val="000D0A66"/>
    <w:rsid w:val="000D0A88"/>
    <w:rsid w:val="000D0A93"/>
    <w:rsid w:val="000D0AB8"/>
    <w:rsid w:val="000D0AC5"/>
    <w:rsid w:val="000D0ACC"/>
    <w:rsid w:val="000D0B47"/>
    <w:rsid w:val="000D0B49"/>
    <w:rsid w:val="000D0B52"/>
    <w:rsid w:val="000D0B60"/>
    <w:rsid w:val="000D0B79"/>
    <w:rsid w:val="000D0BB6"/>
    <w:rsid w:val="000D0BCC"/>
    <w:rsid w:val="000D0BDE"/>
    <w:rsid w:val="000D0C57"/>
    <w:rsid w:val="000D0D3F"/>
    <w:rsid w:val="000D0DD3"/>
    <w:rsid w:val="000D0E09"/>
    <w:rsid w:val="000D0E56"/>
    <w:rsid w:val="000D0E68"/>
    <w:rsid w:val="000D0E6B"/>
    <w:rsid w:val="000D0E6F"/>
    <w:rsid w:val="000D0EC6"/>
    <w:rsid w:val="000D0EDB"/>
    <w:rsid w:val="000D0F14"/>
    <w:rsid w:val="000D0F34"/>
    <w:rsid w:val="000D0F9F"/>
    <w:rsid w:val="000D106E"/>
    <w:rsid w:val="000D10A7"/>
    <w:rsid w:val="000D111C"/>
    <w:rsid w:val="000D1131"/>
    <w:rsid w:val="000D1155"/>
    <w:rsid w:val="000D116B"/>
    <w:rsid w:val="000D1187"/>
    <w:rsid w:val="000D118E"/>
    <w:rsid w:val="000D11C1"/>
    <w:rsid w:val="000D11E7"/>
    <w:rsid w:val="000D121C"/>
    <w:rsid w:val="000D121D"/>
    <w:rsid w:val="000D1247"/>
    <w:rsid w:val="000D127E"/>
    <w:rsid w:val="000D129D"/>
    <w:rsid w:val="000D12F8"/>
    <w:rsid w:val="000D130B"/>
    <w:rsid w:val="000D1322"/>
    <w:rsid w:val="000D1329"/>
    <w:rsid w:val="000D1401"/>
    <w:rsid w:val="000D1422"/>
    <w:rsid w:val="000D14EB"/>
    <w:rsid w:val="000D1551"/>
    <w:rsid w:val="000D1559"/>
    <w:rsid w:val="000D1573"/>
    <w:rsid w:val="000D159B"/>
    <w:rsid w:val="000D160D"/>
    <w:rsid w:val="000D162A"/>
    <w:rsid w:val="000D16CD"/>
    <w:rsid w:val="000D16D4"/>
    <w:rsid w:val="000D17D0"/>
    <w:rsid w:val="000D1805"/>
    <w:rsid w:val="000D189E"/>
    <w:rsid w:val="000D18A2"/>
    <w:rsid w:val="000D1905"/>
    <w:rsid w:val="000D1908"/>
    <w:rsid w:val="000D193C"/>
    <w:rsid w:val="000D194C"/>
    <w:rsid w:val="000D1995"/>
    <w:rsid w:val="000D19A2"/>
    <w:rsid w:val="000D1A0F"/>
    <w:rsid w:val="000D1A12"/>
    <w:rsid w:val="000D1A17"/>
    <w:rsid w:val="000D1A2D"/>
    <w:rsid w:val="000D1A4D"/>
    <w:rsid w:val="000D1A4F"/>
    <w:rsid w:val="000D1A9B"/>
    <w:rsid w:val="000D1AAD"/>
    <w:rsid w:val="000D1B8A"/>
    <w:rsid w:val="000D1BD4"/>
    <w:rsid w:val="000D1C27"/>
    <w:rsid w:val="000D1C4A"/>
    <w:rsid w:val="000D1C8F"/>
    <w:rsid w:val="000D1CC0"/>
    <w:rsid w:val="000D1CEA"/>
    <w:rsid w:val="000D1D01"/>
    <w:rsid w:val="000D1D1B"/>
    <w:rsid w:val="000D1D4C"/>
    <w:rsid w:val="000D1D9A"/>
    <w:rsid w:val="000D1DA8"/>
    <w:rsid w:val="000D1DDC"/>
    <w:rsid w:val="000D1DE4"/>
    <w:rsid w:val="000D1E03"/>
    <w:rsid w:val="000D1E75"/>
    <w:rsid w:val="000D1EC6"/>
    <w:rsid w:val="000D1F07"/>
    <w:rsid w:val="000D1F66"/>
    <w:rsid w:val="000D1F6C"/>
    <w:rsid w:val="000D1F70"/>
    <w:rsid w:val="000D1F7B"/>
    <w:rsid w:val="000D1F9B"/>
    <w:rsid w:val="000D1FEF"/>
    <w:rsid w:val="000D1FF8"/>
    <w:rsid w:val="000D201A"/>
    <w:rsid w:val="000D20AD"/>
    <w:rsid w:val="000D2106"/>
    <w:rsid w:val="000D212B"/>
    <w:rsid w:val="000D2138"/>
    <w:rsid w:val="000D21A1"/>
    <w:rsid w:val="000D21B0"/>
    <w:rsid w:val="000D21E4"/>
    <w:rsid w:val="000D2296"/>
    <w:rsid w:val="000D22D2"/>
    <w:rsid w:val="000D22DA"/>
    <w:rsid w:val="000D22DC"/>
    <w:rsid w:val="000D231A"/>
    <w:rsid w:val="000D2350"/>
    <w:rsid w:val="000D2373"/>
    <w:rsid w:val="000D23EA"/>
    <w:rsid w:val="000D2503"/>
    <w:rsid w:val="000D2531"/>
    <w:rsid w:val="000D260B"/>
    <w:rsid w:val="000D2620"/>
    <w:rsid w:val="000D2627"/>
    <w:rsid w:val="000D266F"/>
    <w:rsid w:val="000D271A"/>
    <w:rsid w:val="000D273A"/>
    <w:rsid w:val="000D2745"/>
    <w:rsid w:val="000D274B"/>
    <w:rsid w:val="000D275B"/>
    <w:rsid w:val="000D275C"/>
    <w:rsid w:val="000D27C1"/>
    <w:rsid w:val="000D27DE"/>
    <w:rsid w:val="000D27F0"/>
    <w:rsid w:val="000D2811"/>
    <w:rsid w:val="000D2882"/>
    <w:rsid w:val="000D2899"/>
    <w:rsid w:val="000D28B2"/>
    <w:rsid w:val="000D28BE"/>
    <w:rsid w:val="000D2A2B"/>
    <w:rsid w:val="000D2A8A"/>
    <w:rsid w:val="000D2B05"/>
    <w:rsid w:val="000D2BEC"/>
    <w:rsid w:val="000D2C45"/>
    <w:rsid w:val="000D2C4D"/>
    <w:rsid w:val="000D2C91"/>
    <w:rsid w:val="000D2D1B"/>
    <w:rsid w:val="000D2D7C"/>
    <w:rsid w:val="000D2D8A"/>
    <w:rsid w:val="000D2DC1"/>
    <w:rsid w:val="000D2DF5"/>
    <w:rsid w:val="000D2E15"/>
    <w:rsid w:val="000D2E95"/>
    <w:rsid w:val="000D2EB7"/>
    <w:rsid w:val="000D2EDB"/>
    <w:rsid w:val="000D2FDB"/>
    <w:rsid w:val="000D3002"/>
    <w:rsid w:val="000D3068"/>
    <w:rsid w:val="000D30B3"/>
    <w:rsid w:val="000D3170"/>
    <w:rsid w:val="000D31A3"/>
    <w:rsid w:val="000D31FA"/>
    <w:rsid w:val="000D3205"/>
    <w:rsid w:val="000D32A5"/>
    <w:rsid w:val="000D32EC"/>
    <w:rsid w:val="000D3364"/>
    <w:rsid w:val="000D33A3"/>
    <w:rsid w:val="000D3410"/>
    <w:rsid w:val="000D341C"/>
    <w:rsid w:val="000D3425"/>
    <w:rsid w:val="000D343D"/>
    <w:rsid w:val="000D34FF"/>
    <w:rsid w:val="000D3537"/>
    <w:rsid w:val="000D354F"/>
    <w:rsid w:val="000D3557"/>
    <w:rsid w:val="000D3575"/>
    <w:rsid w:val="000D35E1"/>
    <w:rsid w:val="000D3647"/>
    <w:rsid w:val="000D369E"/>
    <w:rsid w:val="000D36C8"/>
    <w:rsid w:val="000D3766"/>
    <w:rsid w:val="000D376D"/>
    <w:rsid w:val="000D378B"/>
    <w:rsid w:val="000D37A3"/>
    <w:rsid w:val="000D381D"/>
    <w:rsid w:val="000D3856"/>
    <w:rsid w:val="000D385A"/>
    <w:rsid w:val="000D38A8"/>
    <w:rsid w:val="000D3935"/>
    <w:rsid w:val="000D3938"/>
    <w:rsid w:val="000D39B4"/>
    <w:rsid w:val="000D39DE"/>
    <w:rsid w:val="000D39F9"/>
    <w:rsid w:val="000D3A29"/>
    <w:rsid w:val="000D3A86"/>
    <w:rsid w:val="000D3B1B"/>
    <w:rsid w:val="000D3B35"/>
    <w:rsid w:val="000D3B73"/>
    <w:rsid w:val="000D3B98"/>
    <w:rsid w:val="000D3BDE"/>
    <w:rsid w:val="000D3BF9"/>
    <w:rsid w:val="000D3BFE"/>
    <w:rsid w:val="000D3C24"/>
    <w:rsid w:val="000D3C50"/>
    <w:rsid w:val="000D3C8E"/>
    <w:rsid w:val="000D3C9D"/>
    <w:rsid w:val="000D3CDE"/>
    <w:rsid w:val="000D3CE9"/>
    <w:rsid w:val="000D3D69"/>
    <w:rsid w:val="000D3D6F"/>
    <w:rsid w:val="000D3D9B"/>
    <w:rsid w:val="000D3DCB"/>
    <w:rsid w:val="000D3F76"/>
    <w:rsid w:val="000D3F97"/>
    <w:rsid w:val="000D4028"/>
    <w:rsid w:val="000D40B5"/>
    <w:rsid w:val="000D40EC"/>
    <w:rsid w:val="000D411A"/>
    <w:rsid w:val="000D415A"/>
    <w:rsid w:val="000D41C3"/>
    <w:rsid w:val="000D41E0"/>
    <w:rsid w:val="000D4208"/>
    <w:rsid w:val="000D42E7"/>
    <w:rsid w:val="000D42F3"/>
    <w:rsid w:val="000D439E"/>
    <w:rsid w:val="000D43A9"/>
    <w:rsid w:val="000D43AD"/>
    <w:rsid w:val="000D43F7"/>
    <w:rsid w:val="000D4415"/>
    <w:rsid w:val="000D4424"/>
    <w:rsid w:val="000D44A3"/>
    <w:rsid w:val="000D44AB"/>
    <w:rsid w:val="000D44DD"/>
    <w:rsid w:val="000D4505"/>
    <w:rsid w:val="000D456E"/>
    <w:rsid w:val="000D45E6"/>
    <w:rsid w:val="000D4635"/>
    <w:rsid w:val="000D4652"/>
    <w:rsid w:val="000D467E"/>
    <w:rsid w:val="000D46A0"/>
    <w:rsid w:val="000D470C"/>
    <w:rsid w:val="000D47AB"/>
    <w:rsid w:val="000D47CD"/>
    <w:rsid w:val="000D47CE"/>
    <w:rsid w:val="000D4827"/>
    <w:rsid w:val="000D487B"/>
    <w:rsid w:val="000D48E2"/>
    <w:rsid w:val="000D494A"/>
    <w:rsid w:val="000D4957"/>
    <w:rsid w:val="000D49DC"/>
    <w:rsid w:val="000D4A04"/>
    <w:rsid w:val="000D4A0B"/>
    <w:rsid w:val="000D4A79"/>
    <w:rsid w:val="000D4A8F"/>
    <w:rsid w:val="000D4ABC"/>
    <w:rsid w:val="000D4AE2"/>
    <w:rsid w:val="000D4B5E"/>
    <w:rsid w:val="000D4BC2"/>
    <w:rsid w:val="000D4C3B"/>
    <w:rsid w:val="000D4CEE"/>
    <w:rsid w:val="000D4D31"/>
    <w:rsid w:val="000D4D43"/>
    <w:rsid w:val="000D4D78"/>
    <w:rsid w:val="000D4DEC"/>
    <w:rsid w:val="000D4E55"/>
    <w:rsid w:val="000D4EA1"/>
    <w:rsid w:val="000D4EA9"/>
    <w:rsid w:val="000D4F51"/>
    <w:rsid w:val="000D4F63"/>
    <w:rsid w:val="000D4F86"/>
    <w:rsid w:val="000D4FC1"/>
    <w:rsid w:val="000D4FEE"/>
    <w:rsid w:val="000D5007"/>
    <w:rsid w:val="000D505F"/>
    <w:rsid w:val="000D5081"/>
    <w:rsid w:val="000D5116"/>
    <w:rsid w:val="000D5183"/>
    <w:rsid w:val="000D51DA"/>
    <w:rsid w:val="000D51EA"/>
    <w:rsid w:val="000D5205"/>
    <w:rsid w:val="000D5269"/>
    <w:rsid w:val="000D5282"/>
    <w:rsid w:val="000D52AC"/>
    <w:rsid w:val="000D533B"/>
    <w:rsid w:val="000D53BD"/>
    <w:rsid w:val="000D5416"/>
    <w:rsid w:val="000D5427"/>
    <w:rsid w:val="000D544D"/>
    <w:rsid w:val="000D5542"/>
    <w:rsid w:val="000D5579"/>
    <w:rsid w:val="000D557F"/>
    <w:rsid w:val="000D55D2"/>
    <w:rsid w:val="000D55F0"/>
    <w:rsid w:val="000D5613"/>
    <w:rsid w:val="000D562E"/>
    <w:rsid w:val="000D567B"/>
    <w:rsid w:val="000D568A"/>
    <w:rsid w:val="000D56DC"/>
    <w:rsid w:val="000D56E8"/>
    <w:rsid w:val="000D574A"/>
    <w:rsid w:val="000D5785"/>
    <w:rsid w:val="000D5818"/>
    <w:rsid w:val="000D58A0"/>
    <w:rsid w:val="000D5928"/>
    <w:rsid w:val="000D597F"/>
    <w:rsid w:val="000D5981"/>
    <w:rsid w:val="000D598F"/>
    <w:rsid w:val="000D59F3"/>
    <w:rsid w:val="000D59F7"/>
    <w:rsid w:val="000D5A23"/>
    <w:rsid w:val="000D5A89"/>
    <w:rsid w:val="000D5AB1"/>
    <w:rsid w:val="000D5B64"/>
    <w:rsid w:val="000D5C1E"/>
    <w:rsid w:val="000D5CC1"/>
    <w:rsid w:val="000D5CD4"/>
    <w:rsid w:val="000D5CE9"/>
    <w:rsid w:val="000D5D1A"/>
    <w:rsid w:val="000D5DFA"/>
    <w:rsid w:val="000D5E3F"/>
    <w:rsid w:val="000D5E48"/>
    <w:rsid w:val="000D5E5D"/>
    <w:rsid w:val="000D5EE9"/>
    <w:rsid w:val="000D5F0D"/>
    <w:rsid w:val="000D5F5C"/>
    <w:rsid w:val="000D5F79"/>
    <w:rsid w:val="000D6015"/>
    <w:rsid w:val="000D605A"/>
    <w:rsid w:val="000D60D7"/>
    <w:rsid w:val="000D60E4"/>
    <w:rsid w:val="000D60F4"/>
    <w:rsid w:val="000D6145"/>
    <w:rsid w:val="000D616A"/>
    <w:rsid w:val="000D6174"/>
    <w:rsid w:val="000D620E"/>
    <w:rsid w:val="000D6259"/>
    <w:rsid w:val="000D6262"/>
    <w:rsid w:val="000D6266"/>
    <w:rsid w:val="000D62B7"/>
    <w:rsid w:val="000D62D7"/>
    <w:rsid w:val="000D62DF"/>
    <w:rsid w:val="000D6316"/>
    <w:rsid w:val="000D6335"/>
    <w:rsid w:val="000D6336"/>
    <w:rsid w:val="000D639C"/>
    <w:rsid w:val="000D63A5"/>
    <w:rsid w:val="000D63D8"/>
    <w:rsid w:val="000D63F9"/>
    <w:rsid w:val="000D64CB"/>
    <w:rsid w:val="000D6515"/>
    <w:rsid w:val="000D65B7"/>
    <w:rsid w:val="000D65BE"/>
    <w:rsid w:val="000D6632"/>
    <w:rsid w:val="000D6666"/>
    <w:rsid w:val="000D669B"/>
    <w:rsid w:val="000D66A8"/>
    <w:rsid w:val="000D6753"/>
    <w:rsid w:val="000D677C"/>
    <w:rsid w:val="000D67B9"/>
    <w:rsid w:val="000D67F0"/>
    <w:rsid w:val="000D6813"/>
    <w:rsid w:val="000D68C7"/>
    <w:rsid w:val="000D68EF"/>
    <w:rsid w:val="000D690A"/>
    <w:rsid w:val="000D69D4"/>
    <w:rsid w:val="000D69E7"/>
    <w:rsid w:val="000D69F8"/>
    <w:rsid w:val="000D6A36"/>
    <w:rsid w:val="000D6AB9"/>
    <w:rsid w:val="000D6B1B"/>
    <w:rsid w:val="000D6B3E"/>
    <w:rsid w:val="000D6B7C"/>
    <w:rsid w:val="000D6B7D"/>
    <w:rsid w:val="000D6BC2"/>
    <w:rsid w:val="000D6BF8"/>
    <w:rsid w:val="000D6C3C"/>
    <w:rsid w:val="000D6C7F"/>
    <w:rsid w:val="000D6C91"/>
    <w:rsid w:val="000D6CAD"/>
    <w:rsid w:val="000D6D57"/>
    <w:rsid w:val="000D6D82"/>
    <w:rsid w:val="000D6D89"/>
    <w:rsid w:val="000D6DBB"/>
    <w:rsid w:val="000D6E18"/>
    <w:rsid w:val="000D6E71"/>
    <w:rsid w:val="000D6E90"/>
    <w:rsid w:val="000D6FB9"/>
    <w:rsid w:val="000D7009"/>
    <w:rsid w:val="000D700B"/>
    <w:rsid w:val="000D7073"/>
    <w:rsid w:val="000D7100"/>
    <w:rsid w:val="000D7121"/>
    <w:rsid w:val="000D71F8"/>
    <w:rsid w:val="000D71FA"/>
    <w:rsid w:val="000D727F"/>
    <w:rsid w:val="000D729A"/>
    <w:rsid w:val="000D72AE"/>
    <w:rsid w:val="000D7395"/>
    <w:rsid w:val="000D7432"/>
    <w:rsid w:val="000D746F"/>
    <w:rsid w:val="000D7470"/>
    <w:rsid w:val="000D7524"/>
    <w:rsid w:val="000D75C1"/>
    <w:rsid w:val="000D7636"/>
    <w:rsid w:val="000D7690"/>
    <w:rsid w:val="000D7692"/>
    <w:rsid w:val="000D76B8"/>
    <w:rsid w:val="000D7705"/>
    <w:rsid w:val="000D771F"/>
    <w:rsid w:val="000D7784"/>
    <w:rsid w:val="000D77C9"/>
    <w:rsid w:val="000D77EA"/>
    <w:rsid w:val="000D7864"/>
    <w:rsid w:val="000D792C"/>
    <w:rsid w:val="000D7998"/>
    <w:rsid w:val="000D79D8"/>
    <w:rsid w:val="000D7A59"/>
    <w:rsid w:val="000D7A91"/>
    <w:rsid w:val="000D7AD8"/>
    <w:rsid w:val="000D7B8C"/>
    <w:rsid w:val="000D7C94"/>
    <w:rsid w:val="000D7CE3"/>
    <w:rsid w:val="000D7D29"/>
    <w:rsid w:val="000D7D3E"/>
    <w:rsid w:val="000D7D42"/>
    <w:rsid w:val="000D7D69"/>
    <w:rsid w:val="000D7D81"/>
    <w:rsid w:val="000D7DB9"/>
    <w:rsid w:val="000D7E2F"/>
    <w:rsid w:val="000D7E6C"/>
    <w:rsid w:val="000D7ED1"/>
    <w:rsid w:val="000D7EE4"/>
    <w:rsid w:val="000D7EEE"/>
    <w:rsid w:val="000D7FB6"/>
    <w:rsid w:val="000D7FBE"/>
    <w:rsid w:val="000D7FE9"/>
    <w:rsid w:val="000E011B"/>
    <w:rsid w:val="000E0145"/>
    <w:rsid w:val="000E016E"/>
    <w:rsid w:val="000E01B7"/>
    <w:rsid w:val="000E01BB"/>
    <w:rsid w:val="000E01F7"/>
    <w:rsid w:val="000E0277"/>
    <w:rsid w:val="000E02C2"/>
    <w:rsid w:val="000E035D"/>
    <w:rsid w:val="000E03A6"/>
    <w:rsid w:val="000E040A"/>
    <w:rsid w:val="000E043A"/>
    <w:rsid w:val="000E045E"/>
    <w:rsid w:val="000E0480"/>
    <w:rsid w:val="000E0484"/>
    <w:rsid w:val="000E0485"/>
    <w:rsid w:val="000E04BD"/>
    <w:rsid w:val="000E052E"/>
    <w:rsid w:val="000E0582"/>
    <w:rsid w:val="000E0630"/>
    <w:rsid w:val="000E0648"/>
    <w:rsid w:val="000E0649"/>
    <w:rsid w:val="000E0653"/>
    <w:rsid w:val="000E06C7"/>
    <w:rsid w:val="000E075F"/>
    <w:rsid w:val="000E0805"/>
    <w:rsid w:val="000E0837"/>
    <w:rsid w:val="000E08ED"/>
    <w:rsid w:val="000E0912"/>
    <w:rsid w:val="000E0945"/>
    <w:rsid w:val="000E0962"/>
    <w:rsid w:val="000E09AB"/>
    <w:rsid w:val="000E09F3"/>
    <w:rsid w:val="000E0A43"/>
    <w:rsid w:val="000E0A9B"/>
    <w:rsid w:val="000E0AC1"/>
    <w:rsid w:val="000E0B0D"/>
    <w:rsid w:val="000E0B13"/>
    <w:rsid w:val="000E0B7F"/>
    <w:rsid w:val="000E0BE5"/>
    <w:rsid w:val="000E0BEE"/>
    <w:rsid w:val="000E0C06"/>
    <w:rsid w:val="000E0C30"/>
    <w:rsid w:val="000E0CD5"/>
    <w:rsid w:val="000E0D93"/>
    <w:rsid w:val="000E0DCA"/>
    <w:rsid w:val="000E0E17"/>
    <w:rsid w:val="000E0E6B"/>
    <w:rsid w:val="000E0EF8"/>
    <w:rsid w:val="000E0F45"/>
    <w:rsid w:val="000E0FE5"/>
    <w:rsid w:val="000E0FFE"/>
    <w:rsid w:val="000E107F"/>
    <w:rsid w:val="000E113E"/>
    <w:rsid w:val="000E11A9"/>
    <w:rsid w:val="000E1248"/>
    <w:rsid w:val="000E1297"/>
    <w:rsid w:val="000E1343"/>
    <w:rsid w:val="000E136D"/>
    <w:rsid w:val="000E13C8"/>
    <w:rsid w:val="000E1409"/>
    <w:rsid w:val="000E1412"/>
    <w:rsid w:val="000E14E8"/>
    <w:rsid w:val="000E14F0"/>
    <w:rsid w:val="000E150C"/>
    <w:rsid w:val="000E1581"/>
    <w:rsid w:val="000E15E8"/>
    <w:rsid w:val="000E164B"/>
    <w:rsid w:val="000E169B"/>
    <w:rsid w:val="000E16A3"/>
    <w:rsid w:val="000E16C4"/>
    <w:rsid w:val="000E171A"/>
    <w:rsid w:val="000E1751"/>
    <w:rsid w:val="000E1754"/>
    <w:rsid w:val="000E17E5"/>
    <w:rsid w:val="000E1819"/>
    <w:rsid w:val="000E188E"/>
    <w:rsid w:val="000E1895"/>
    <w:rsid w:val="000E1918"/>
    <w:rsid w:val="000E198F"/>
    <w:rsid w:val="000E19D6"/>
    <w:rsid w:val="000E19EB"/>
    <w:rsid w:val="000E1A08"/>
    <w:rsid w:val="000E1A22"/>
    <w:rsid w:val="000E1A38"/>
    <w:rsid w:val="000E1A84"/>
    <w:rsid w:val="000E1AF0"/>
    <w:rsid w:val="000E1B47"/>
    <w:rsid w:val="000E1B4D"/>
    <w:rsid w:val="000E1B71"/>
    <w:rsid w:val="000E1B7E"/>
    <w:rsid w:val="000E1BB5"/>
    <w:rsid w:val="000E1C17"/>
    <w:rsid w:val="000E1C9E"/>
    <w:rsid w:val="000E1CD0"/>
    <w:rsid w:val="000E1CD9"/>
    <w:rsid w:val="000E1D03"/>
    <w:rsid w:val="000E1D20"/>
    <w:rsid w:val="000E1D59"/>
    <w:rsid w:val="000E1D70"/>
    <w:rsid w:val="000E1D71"/>
    <w:rsid w:val="000E1DBB"/>
    <w:rsid w:val="000E1E78"/>
    <w:rsid w:val="000E1E93"/>
    <w:rsid w:val="000E1E9A"/>
    <w:rsid w:val="000E1F01"/>
    <w:rsid w:val="000E1F1A"/>
    <w:rsid w:val="000E1F23"/>
    <w:rsid w:val="000E1F89"/>
    <w:rsid w:val="000E2009"/>
    <w:rsid w:val="000E2016"/>
    <w:rsid w:val="000E20AA"/>
    <w:rsid w:val="000E20E3"/>
    <w:rsid w:val="000E20F8"/>
    <w:rsid w:val="000E21B3"/>
    <w:rsid w:val="000E21D8"/>
    <w:rsid w:val="000E23B8"/>
    <w:rsid w:val="000E2412"/>
    <w:rsid w:val="000E245C"/>
    <w:rsid w:val="000E24A7"/>
    <w:rsid w:val="000E24F3"/>
    <w:rsid w:val="000E2517"/>
    <w:rsid w:val="000E251F"/>
    <w:rsid w:val="000E253A"/>
    <w:rsid w:val="000E25AB"/>
    <w:rsid w:val="000E25C5"/>
    <w:rsid w:val="000E25FE"/>
    <w:rsid w:val="000E266C"/>
    <w:rsid w:val="000E268A"/>
    <w:rsid w:val="000E2765"/>
    <w:rsid w:val="000E2777"/>
    <w:rsid w:val="000E285A"/>
    <w:rsid w:val="000E28D1"/>
    <w:rsid w:val="000E2927"/>
    <w:rsid w:val="000E2969"/>
    <w:rsid w:val="000E2973"/>
    <w:rsid w:val="000E298E"/>
    <w:rsid w:val="000E2A12"/>
    <w:rsid w:val="000E2A57"/>
    <w:rsid w:val="000E2AAC"/>
    <w:rsid w:val="000E2BE2"/>
    <w:rsid w:val="000E2BEB"/>
    <w:rsid w:val="000E2BF0"/>
    <w:rsid w:val="000E2C17"/>
    <w:rsid w:val="000E2C1D"/>
    <w:rsid w:val="000E2CAD"/>
    <w:rsid w:val="000E2CE4"/>
    <w:rsid w:val="000E2D06"/>
    <w:rsid w:val="000E2DC0"/>
    <w:rsid w:val="000E2EFA"/>
    <w:rsid w:val="000E2F22"/>
    <w:rsid w:val="000E2F4A"/>
    <w:rsid w:val="000E2F5B"/>
    <w:rsid w:val="000E2F87"/>
    <w:rsid w:val="000E2FE4"/>
    <w:rsid w:val="000E2FFB"/>
    <w:rsid w:val="000E301F"/>
    <w:rsid w:val="000E304D"/>
    <w:rsid w:val="000E3087"/>
    <w:rsid w:val="000E30A0"/>
    <w:rsid w:val="000E30EE"/>
    <w:rsid w:val="000E310B"/>
    <w:rsid w:val="000E3123"/>
    <w:rsid w:val="000E3197"/>
    <w:rsid w:val="000E326E"/>
    <w:rsid w:val="000E331F"/>
    <w:rsid w:val="000E335A"/>
    <w:rsid w:val="000E3363"/>
    <w:rsid w:val="000E33AF"/>
    <w:rsid w:val="000E33B4"/>
    <w:rsid w:val="000E33C5"/>
    <w:rsid w:val="000E33D7"/>
    <w:rsid w:val="000E346C"/>
    <w:rsid w:val="000E3488"/>
    <w:rsid w:val="000E34F9"/>
    <w:rsid w:val="000E351E"/>
    <w:rsid w:val="000E3537"/>
    <w:rsid w:val="000E359D"/>
    <w:rsid w:val="000E3620"/>
    <w:rsid w:val="000E3644"/>
    <w:rsid w:val="000E36DB"/>
    <w:rsid w:val="000E36DE"/>
    <w:rsid w:val="000E36ED"/>
    <w:rsid w:val="000E36FD"/>
    <w:rsid w:val="000E3719"/>
    <w:rsid w:val="000E372F"/>
    <w:rsid w:val="000E3786"/>
    <w:rsid w:val="000E378E"/>
    <w:rsid w:val="000E37C0"/>
    <w:rsid w:val="000E3864"/>
    <w:rsid w:val="000E38EA"/>
    <w:rsid w:val="000E393F"/>
    <w:rsid w:val="000E3991"/>
    <w:rsid w:val="000E3993"/>
    <w:rsid w:val="000E3A13"/>
    <w:rsid w:val="000E3A54"/>
    <w:rsid w:val="000E3A78"/>
    <w:rsid w:val="000E3AB4"/>
    <w:rsid w:val="000E3B6E"/>
    <w:rsid w:val="000E3B9F"/>
    <w:rsid w:val="000E3BC1"/>
    <w:rsid w:val="000E3BFD"/>
    <w:rsid w:val="000E3BFF"/>
    <w:rsid w:val="000E3C4E"/>
    <w:rsid w:val="000E3CBA"/>
    <w:rsid w:val="000E3CD4"/>
    <w:rsid w:val="000E3D0E"/>
    <w:rsid w:val="000E3DBC"/>
    <w:rsid w:val="000E3DCB"/>
    <w:rsid w:val="000E3E51"/>
    <w:rsid w:val="000E3E52"/>
    <w:rsid w:val="000E3E9A"/>
    <w:rsid w:val="000E3EE4"/>
    <w:rsid w:val="000E3EFA"/>
    <w:rsid w:val="000E3F51"/>
    <w:rsid w:val="000E3FA4"/>
    <w:rsid w:val="000E3FC6"/>
    <w:rsid w:val="000E3FD2"/>
    <w:rsid w:val="000E4080"/>
    <w:rsid w:val="000E4095"/>
    <w:rsid w:val="000E409A"/>
    <w:rsid w:val="000E415F"/>
    <w:rsid w:val="000E4185"/>
    <w:rsid w:val="000E41CF"/>
    <w:rsid w:val="000E4228"/>
    <w:rsid w:val="000E422B"/>
    <w:rsid w:val="000E42D7"/>
    <w:rsid w:val="000E42E0"/>
    <w:rsid w:val="000E42F0"/>
    <w:rsid w:val="000E4335"/>
    <w:rsid w:val="000E43E1"/>
    <w:rsid w:val="000E443B"/>
    <w:rsid w:val="000E4446"/>
    <w:rsid w:val="000E4496"/>
    <w:rsid w:val="000E44A2"/>
    <w:rsid w:val="000E44D0"/>
    <w:rsid w:val="000E44E0"/>
    <w:rsid w:val="000E459B"/>
    <w:rsid w:val="000E459D"/>
    <w:rsid w:val="000E45DB"/>
    <w:rsid w:val="000E4609"/>
    <w:rsid w:val="000E466C"/>
    <w:rsid w:val="000E4675"/>
    <w:rsid w:val="000E46AE"/>
    <w:rsid w:val="000E4753"/>
    <w:rsid w:val="000E47CD"/>
    <w:rsid w:val="000E47D6"/>
    <w:rsid w:val="000E4810"/>
    <w:rsid w:val="000E4832"/>
    <w:rsid w:val="000E48DB"/>
    <w:rsid w:val="000E48F4"/>
    <w:rsid w:val="000E4983"/>
    <w:rsid w:val="000E4A21"/>
    <w:rsid w:val="000E4A7C"/>
    <w:rsid w:val="000E4AB8"/>
    <w:rsid w:val="000E4AC1"/>
    <w:rsid w:val="000E4AF1"/>
    <w:rsid w:val="000E4B90"/>
    <w:rsid w:val="000E4C95"/>
    <w:rsid w:val="000E4C96"/>
    <w:rsid w:val="000E4D4D"/>
    <w:rsid w:val="000E4D6F"/>
    <w:rsid w:val="000E4DB9"/>
    <w:rsid w:val="000E4E60"/>
    <w:rsid w:val="000E4E6E"/>
    <w:rsid w:val="000E4EE3"/>
    <w:rsid w:val="000E4F5A"/>
    <w:rsid w:val="000E4F64"/>
    <w:rsid w:val="000E4F82"/>
    <w:rsid w:val="000E4FAD"/>
    <w:rsid w:val="000E4FB0"/>
    <w:rsid w:val="000E507D"/>
    <w:rsid w:val="000E50A6"/>
    <w:rsid w:val="000E50B8"/>
    <w:rsid w:val="000E50BD"/>
    <w:rsid w:val="000E50C5"/>
    <w:rsid w:val="000E517D"/>
    <w:rsid w:val="000E51EC"/>
    <w:rsid w:val="000E5208"/>
    <w:rsid w:val="000E5229"/>
    <w:rsid w:val="000E5231"/>
    <w:rsid w:val="000E5245"/>
    <w:rsid w:val="000E5304"/>
    <w:rsid w:val="000E537C"/>
    <w:rsid w:val="000E53B1"/>
    <w:rsid w:val="000E53DD"/>
    <w:rsid w:val="000E53FB"/>
    <w:rsid w:val="000E545D"/>
    <w:rsid w:val="000E545F"/>
    <w:rsid w:val="000E54B8"/>
    <w:rsid w:val="000E54B9"/>
    <w:rsid w:val="000E5520"/>
    <w:rsid w:val="000E556D"/>
    <w:rsid w:val="000E5574"/>
    <w:rsid w:val="000E5616"/>
    <w:rsid w:val="000E5759"/>
    <w:rsid w:val="000E57DD"/>
    <w:rsid w:val="000E582B"/>
    <w:rsid w:val="000E583F"/>
    <w:rsid w:val="000E58E4"/>
    <w:rsid w:val="000E590A"/>
    <w:rsid w:val="000E5916"/>
    <w:rsid w:val="000E5997"/>
    <w:rsid w:val="000E5998"/>
    <w:rsid w:val="000E59B0"/>
    <w:rsid w:val="000E59BC"/>
    <w:rsid w:val="000E5A18"/>
    <w:rsid w:val="000E5A53"/>
    <w:rsid w:val="000E5A7B"/>
    <w:rsid w:val="000E5B8C"/>
    <w:rsid w:val="000E5BD3"/>
    <w:rsid w:val="000E5BDB"/>
    <w:rsid w:val="000E5C38"/>
    <w:rsid w:val="000E5C9D"/>
    <w:rsid w:val="000E5D86"/>
    <w:rsid w:val="000E5DA9"/>
    <w:rsid w:val="000E5DFD"/>
    <w:rsid w:val="000E5EB9"/>
    <w:rsid w:val="000E5EE5"/>
    <w:rsid w:val="000E5EF5"/>
    <w:rsid w:val="000E5F21"/>
    <w:rsid w:val="000E5F3E"/>
    <w:rsid w:val="000E6030"/>
    <w:rsid w:val="000E604B"/>
    <w:rsid w:val="000E6096"/>
    <w:rsid w:val="000E6136"/>
    <w:rsid w:val="000E6143"/>
    <w:rsid w:val="000E6158"/>
    <w:rsid w:val="000E6258"/>
    <w:rsid w:val="000E62FE"/>
    <w:rsid w:val="000E6315"/>
    <w:rsid w:val="000E6379"/>
    <w:rsid w:val="000E6412"/>
    <w:rsid w:val="000E6433"/>
    <w:rsid w:val="000E647E"/>
    <w:rsid w:val="000E6553"/>
    <w:rsid w:val="000E657F"/>
    <w:rsid w:val="000E65F3"/>
    <w:rsid w:val="000E662B"/>
    <w:rsid w:val="000E6688"/>
    <w:rsid w:val="000E66C1"/>
    <w:rsid w:val="000E66FB"/>
    <w:rsid w:val="000E6700"/>
    <w:rsid w:val="000E67F6"/>
    <w:rsid w:val="000E6823"/>
    <w:rsid w:val="000E682D"/>
    <w:rsid w:val="000E682E"/>
    <w:rsid w:val="000E683B"/>
    <w:rsid w:val="000E6898"/>
    <w:rsid w:val="000E6902"/>
    <w:rsid w:val="000E696C"/>
    <w:rsid w:val="000E69A2"/>
    <w:rsid w:val="000E69F6"/>
    <w:rsid w:val="000E69F7"/>
    <w:rsid w:val="000E6A07"/>
    <w:rsid w:val="000E6A33"/>
    <w:rsid w:val="000E6A69"/>
    <w:rsid w:val="000E6A9D"/>
    <w:rsid w:val="000E6B02"/>
    <w:rsid w:val="000E6B0D"/>
    <w:rsid w:val="000E6B4D"/>
    <w:rsid w:val="000E6BAE"/>
    <w:rsid w:val="000E6BBC"/>
    <w:rsid w:val="000E6BCB"/>
    <w:rsid w:val="000E6C9B"/>
    <w:rsid w:val="000E6D73"/>
    <w:rsid w:val="000E6DBA"/>
    <w:rsid w:val="000E6E5E"/>
    <w:rsid w:val="000E6E8A"/>
    <w:rsid w:val="000E6EFC"/>
    <w:rsid w:val="000E6F1F"/>
    <w:rsid w:val="000E6F3D"/>
    <w:rsid w:val="000E6FEC"/>
    <w:rsid w:val="000E701C"/>
    <w:rsid w:val="000E701D"/>
    <w:rsid w:val="000E706F"/>
    <w:rsid w:val="000E709A"/>
    <w:rsid w:val="000E70D6"/>
    <w:rsid w:val="000E7161"/>
    <w:rsid w:val="000E7167"/>
    <w:rsid w:val="000E716B"/>
    <w:rsid w:val="000E718C"/>
    <w:rsid w:val="000E71A2"/>
    <w:rsid w:val="000E71D7"/>
    <w:rsid w:val="000E7243"/>
    <w:rsid w:val="000E7248"/>
    <w:rsid w:val="000E7347"/>
    <w:rsid w:val="000E7378"/>
    <w:rsid w:val="000E750B"/>
    <w:rsid w:val="000E755C"/>
    <w:rsid w:val="000E75E1"/>
    <w:rsid w:val="000E765F"/>
    <w:rsid w:val="000E7681"/>
    <w:rsid w:val="000E7697"/>
    <w:rsid w:val="000E76D7"/>
    <w:rsid w:val="000E76FA"/>
    <w:rsid w:val="000E7787"/>
    <w:rsid w:val="000E7800"/>
    <w:rsid w:val="000E78C6"/>
    <w:rsid w:val="000E797B"/>
    <w:rsid w:val="000E797D"/>
    <w:rsid w:val="000E7A2E"/>
    <w:rsid w:val="000E7A3A"/>
    <w:rsid w:val="000E7A6E"/>
    <w:rsid w:val="000E7AB7"/>
    <w:rsid w:val="000E7AC2"/>
    <w:rsid w:val="000E7AFE"/>
    <w:rsid w:val="000E7B28"/>
    <w:rsid w:val="000E7B8F"/>
    <w:rsid w:val="000E7B95"/>
    <w:rsid w:val="000E7BA1"/>
    <w:rsid w:val="000E7BFF"/>
    <w:rsid w:val="000E7C02"/>
    <w:rsid w:val="000E7C6C"/>
    <w:rsid w:val="000E7CB7"/>
    <w:rsid w:val="000E7DAD"/>
    <w:rsid w:val="000E7DC8"/>
    <w:rsid w:val="000E7DEC"/>
    <w:rsid w:val="000E7E16"/>
    <w:rsid w:val="000E7E4A"/>
    <w:rsid w:val="000E7F15"/>
    <w:rsid w:val="000E7F2E"/>
    <w:rsid w:val="000E7F83"/>
    <w:rsid w:val="000E7FAA"/>
    <w:rsid w:val="000E7FDB"/>
    <w:rsid w:val="000F0066"/>
    <w:rsid w:val="000F00B7"/>
    <w:rsid w:val="000F00CC"/>
    <w:rsid w:val="000F00EC"/>
    <w:rsid w:val="000F00FA"/>
    <w:rsid w:val="000F0138"/>
    <w:rsid w:val="000F01C9"/>
    <w:rsid w:val="000F0201"/>
    <w:rsid w:val="000F020C"/>
    <w:rsid w:val="000F0217"/>
    <w:rsid w:val="000F0281"/>
    <w:rsid w:val="000F028B"/>
    <w:rsid w:val="000F02A0"/>
    <w:rsid w:val="000F02AD"/>
    <w:rsid w:val="000F02F0"/>
    <w:rsid w:val="000F02F4"/>
    <w:rsid w:val="000F02FB"/>
    <w:rsid w:val="000F0368"/>
    <w:rsid w:val="000F03E9"/>
    <w:rsid w:val="000F03EC"/>
    <w:rsid w:val="000F0434"/>
    <w:rsid w:val="000F044E"/>
    <w:rsid w:val="000F04DD"/>
    <w:rsid w:val="000F04EE"/>
    <w:rsid w:val="000F0565"/>
    <w:rsid w:val="000F062F"/>
    <w:rsid w:val="000F066B"/>
    <w:rsid w:val="000F067B"/>
    <w:rsid w:val="000F0763"/>
    <w:rsid w:val="000F0789"/>
    <w:rsid w:val="000F07F9"/>
    <w:rsid w:val="000F07FD"/>
    <w:rsid w:val="000F0818"/>
    <w:rsid w:val="000F0836"/>
    <w:rsid w:val="000F084B"/>
    <w:rsid w:val="000F0907"/>
    <w:rsid w:val="000F0994"/>
    <w:rsid w:val="000F09B5"/>
    <w:rsid w:val="000F09EA"/>
    <w:rsid w:val="000F0A29"/>
    <w:rsid w:val="000F0A65"/>
    <w:rsid w:val="000F0A9F"/>
    <w:rsid w:val="000F0AA3"/>
    <w:rsid w:val="000F0B0C"/>
    <w:rsid w:val="000F0B18"/>
    <w:rsid w:val="000F0B4E"/>
    <w:rsid w:val="000F0BC7"/>
    <w:rsid w:val="000F0C0D"/>
    <w:rsid w:val="000F0C2B"/>
    <w:rsid w:val="000F0C5E"/>
    <w:rsid w:val="000F0D2C"/>
    <w:rsid w:val="000F0D39"/>
    <w:rsid w:val="000F0DC7"/>
    <w:rsid w:val="000F0DCA"/>
    <w:rsid w:val="000F0E5C"/>
    <w:rsid w:val="000F0E60"/>
    <w:rsid w:val="000F0E82"/>
    <w:rsid w:val="000F0F3F"/>
    <w:rsid w:val="000F0F4E"/>
    <w:rsid w:val="000F0F79"/>
    <w:rsid w:val="000F0F7F"/>
    <w:rsid w:val="000F0FDF"/>
    <w:rsid w:val="000F102C"/>
    <w:rsid w:val="000F1050"/>
    <w:rsid w:val="000F10FC"/>
    <w:rsid w:val="000F11D3"/>
    <w:rsid w:val="000F11EE"/>
    <w:rsid w:val="000F11F5"/>
    <w:rsid w:val="000F1285"/>
    <w:rsid w:val="000F12E0"/>
    <w:rsid w:val="000F1318"/>
    <w:rsid w:val="000F131F"/>
    <w:rsid w:val="000F132B"/>
    <w:rsid w:val="000F133B"/>
    <w:rsid w:val="000F13C0"/>
    <w:rsid w:val="000F13E6"/>
    <w:rsid w:val="000F143E"/>
    <w:rsid w:val="000F1465"/>
    <w:rsid w:val="000F149F"/>
    <w:rsid w:val="000F14CB"/>
    <w:rsid w:val="000F14EC"/>
    <w:rsid w:val="000F154E"/>
    <w:rsid w:val="000F15AB"/>
    <w:rsid w:val="000F15B2"/>
    <w:rsid w:val="000F15C2"/>
    <w:rsid w:val="000F15DB"/>
    <w:rsid w:val="000F15F4"/>
    <w:rsid w:val="000F16AD"/>
    <w:rsid w:val="000F1721"/>
    <w:rsid w:val="000F177C"/>
    <w:rsid w:val="000F17AB"/>
    <w:rsid w:val="000F17C7"/>
    <w:rsid w:val="000F1851"/>
    <w:rsid w:val="000F18E3"/>
    <w:rsid w:val="000F18FA"/>
    <w:rsid w:val="000F1901"/>
    <w:rsid w:val="000F1929"/>
    <w:rsid w:val="000F193B"/>
    <w:rsid w:val="000F1943"/>
    <w:rsid w:val="000F194E"/>
    <w:rsid w:val="000F19E6"/>
    <w:rsid w:val="000F1A32"/>
    <w:rsid w:val="000F1A83"/>
    <w:rsid w:val="000F1B8F"/>
    <w:rsid w:val="000F1BF1"/>
    <w:rsid w:val="000F1C83"/>
    <w:rsid w:val="000F1D1A"/>
    <w:rsid w:val="000F1D1B"/>
    <w:rsid w:val="000F1D21"/>
    <w:rsid w:val="000F1D3F"/>
    <w:rsid w:val="000F1E6E"/>
    <w:rsid w:val="000F1FA2"/>
    <w:rsid w:val="000F202E"/>
    <w:rsid w:val="000F205D"/>
    <w:rsid w:val="000F20DE"/>
    <w:rsid w:val="000F2134"/>
    <w:rsid w:val="000F218E"/>
    <w:rsid w:val="000F21B6"/>
    <w:rsid w:val="000F221D"/>
    <w:rsid w:val="000F224C"/>
    <w:rsid w:val="000F2326"/>
    <w:rsid w:val="000F23D4"/>
    <w:rsid w:val="000F2423"/>
    <w:rsid w:val="000F244C"/>
    <w:rsid w:val="000F2461"/>
    <w:rsid w:val="000F249D"/>
    <w:rsid w:val="000F2556"/>
    <w:rsid w:val="000F25A5"/>
    <w:rsid w:val="000F25FA"/>
    <w:rsid w:val="000F267C"/>
    <w:rsid w:val="000F26EB"/>
    <w:rsid w:val="000F271E"/>
    <w:rsid w:val="000F2728"/>
    <w:rsid w:val="000F285B"/>
    <w:rsid w:val="000F287A"/>
    <w:rsid w:val="000F28E4"/>
    <w:rsid w:val="000F2A0B"/>
    <w:rsid w:val="000F2A40"/>
    <w:rsid w:val="000F2A64"/>
    <w:rsid w:val="000F2ADF"/>
    <w:rsid w:val="000F2AE7"/>
    <w:rsid w:val="000F2B5C"/>
    <w:rsid w:val="000F2B83"/>
    <w:rsid w:val="000F2BCE"/>
    <w:rsid w:val="000F2BD6"/>
    <w:rsid w:val="000F2BE0"/>
    <w:rsid w:val="000F2BE4"/>
    <w:rsid w:val="000F2CBD"/>
    <w:rsid w:val="000F2CFF"/>
    <w:rsid w:val="000F2D31"/>
    <w:rsid w:val="000F2D78"/>
    <w:rsid w:val="000F2D83"/>
    <w:rsid w:val="000F2D9E"/>
    <w:rsid w:val="000F2DB3"/>
    <w:rsid w:val="000F2E6D"/>
    <w:rsid w:val="000F2ECC"/>
    <w:rsid w:val="000F2EE9"/>
    <w:rsid w:val="000F2EF8"/>
    <w:rsid w:val="000F2FC0"/>
    <w:rsid w:val="000F3036"/>
    <w:rsid w:val="000F3076"/>
    <w:rsid w:val="000F30D0"/>
    <w:rsid w:val="000F3108"/>
    <w:rsid w:val="000F312D"/>
    <w:rsid w:val="000F313A"/>
    <w:rsid w:val="000F319A"/>
    <w:rsid w:val="000F31AD"/>
    <w:rsid w:val="000F3272"/>
    <w:rsid w:val="000F3289"/>
    <w:rsid w:val="000F329B"/>
    <w:rsid w:val="000F32C5"/>
    <w:rsid w:val="000F32FE"/>
    <w:rsid w:val="000F3320"/>
    <w:rsid w:val="000F3341"/>
    <w:rsid w:val="000F335A"/>
    <w:rsid w:val="000F3368"/>
    <w:rsid w:val="000F3375"/>
    <w:rsid w:val="000F33BF"/>
    <w:rsid w:val="000F340B"/>
    <w:rsid w:val="000F344C"/>
    <w:rsid w:val="000F345A"/>
    <w:rsid w:val="000F3461"/>
    <w:rsid w:val="000F34A2"/>
    <w:rsid w:val="000F34AA"/>
    <w:rsid w:val="000F34E0"/>
    <w:rsid w:val="000F3503"/>
    <w:rsid w:val="000F351F"/>
    <w:rsid w:val="000F353D"/>
    <w:rsid w:val="000F3550"/>
    <w:rsid w:val="000F35C5"/>
    <w:rsid w:val="000F35D0"/>
    <w:rsid w:val="000F35D9"/>
    <w:rsid w:val="000F377C"/>
    <w:rsid w:val="000F378F"/>
    <w:rsid w:val="000F379B"/>
    <w:rsid w:val="000F3826"/>
    <w:rsid w:val="000F389A"/>
    <w:rsid w:val="000F3915"/>
    <w:rsid w:val="000F3953"/>
    <w:rsid w:val="000F395D"/>
    <w:rsid w:val="000F39AD"/>
    <w:rsid w:val="000F39C8"/>
    <w:rsid w:val="000F39E9"/>
    <w:rsid w:val="000F3A3F"/>
    <w:rsid w:val="000F3A83"/>
    <w:rsid w:val="000F3A9E"/>
    <w:rsid w:val="000F3AD5"/>
    <w:rsid w:val="000F3AF1"/>
    <w:rsid w:val="000F3B3B"/>
    <w:rsid w:val="000F3B85"/>
    <w:rsid w:val="000F3C15"/>
    <w:rsid w:val="000F3C24"/>
    <w:rsid w:val="000F3C28"/>
    <w:rsid w:val="000F3C73"/>
    <w:rsid w:val="000F3CA4"/>
    <w:rsid w:val="000F3CB2"/>
    <w:rsid w:val="000F3D41"/>
    <w:rsid w:val="000F3D62"/>
    <w:rsid w:val="000F3D63"/>
    <w:rsid w:val="000F3E0D"/>
    <w:rsid w:val="000F3E7A"/>
    <w:rsid w:val="000F3EA0"/>
    <w:rsid w:val="000F3ED9"/>
    <w:rsid w:val="000F3F04"/>
    <w:rsid w:val="000F408C"/>
    <w:rsid w:val="000F40F3"/>
    <w:rsid w:val="000F4148"/>
    <w:rsid w:val="000F4151"/>
    <w:rsid w:val="000F4163"/>
    <w:rsid w:val="000F41B7"/>
    <w:rsid w:val="000F41EE"/>
    <w:rsid w:val="000F428C"/>
    <w:rsid w:val="000F42C7"/>
    <w:rsid w:val="000F42F2"/>
    <w:rsid w:val="000F43EF"/>
    <w:rsid w:val="000F4460"/>
    <w:rsid w:val="000F4465"/>
    <w:rsid w:val="000F44AD"/>
    <w:rsid w:val="000F44F6"/>
    <w:rsid w:val="000F451B"/>
    <w:rsid w:val="000F456F"/>
    <w:rsid w:val="000F457D"/>
    <w:rsid w:val="000F458D"/>
    <w:rsid w:val="000F45DB"/>
    <w:rsid w:val="000F460F"/>
    <w:rsid w:val="000F4622"/>
    <w:rsid w:val="000F462E"/>
    <w:rsid w:val="000F46A7"/>
    <w:rsid w:val="000F46B5"/>
    <w:rsid w:val="000F47A7"/>
    <w:rsid w:val="000F47CC"/>
    <w:rsid w:val="000F47D1"/>
    <w:rsid w:val="000F480C"/>
    <w:rsid w:val="000F481D"/>
    <w:rsid w:val="000F4903"/>
    <w:rsid w:val="000F4946"/>
    <w:rsid w:val="000F49FC"/>
    <w:rsid w:val="000F4A16"/>
    <w:rsid w:val="000F4A1C"/>
    <w:rsid w:val="000F4A35"/>
    <w:rsid w:val="000F4A3D"/>
    <w:rsid w:val="000F4A7D"/>
    <w:rsid w:val="000F4AC5"/>
    <w:rsid w:val="000F4AEB"/>
    <w:rsid w:val="000F4B85"/>
    <w:rsid w:val="000F4B93"/>
    <w:rsid w:val="000F4BF1"/>
    <w:rsid w:val="000F4BF7"/>
    <w:rsid w:val="000F4C12"/>
    <w:rsid w:val="000F4C5E"/>
    <w:rsid w:val="000F4C69"/>
    <w:rsid w:val="000F4C80"/>
    <w:rsid w:val="000F4C86"/>
    <w:rsid w:val="000F4CC7"/>
    <w:rsid w:val="000F4CCA"/>
    <w:rsid w:val="000F4CD3"/>
    <w:rsid w:val="000F4D1E"/>
    <w:rsid w:val="000F4D75"/>
    <w:rsid w:val="000F4D7D"/>
    <w:rsid w:val="000F4D9D"/>
    <w:rsid w:val="000F4E49"/>
    <w:rsid w:val="000F4E71"/>
    <w:rsid w:val="000F4EA1"/>
    <w:rsid w:val="000F4ECD"/>
    <w:rsid w:val="000F4EFD"/>
    <w:rsid w:val="000F4F1D"/>
    <w:rsid w:val="000F4F7C"/>
    <w:rsid w:val="000F50B7"/>
    <w:rsid w:val="000F50FC"/>
    <w:rsid w:val="000F5142"/>
    <w:rsid w:val="000F5147"/>
    <w:rsid w:val="000F5170"/>
    <w:rsid w:val="000F5231"/>
    <w:rsid w:val="000F5245"/>
    <w:rsid w:val="000F527F"/>
    <w:rsid w:val="000F52B9"/>
    <w:rsid w:val="000F52BA"/>
    <w:rsid w:val="000F52CE"/>
    <w:rsid w:val="000F537C"/>
    <w:rsid w:val="000F53B0"/>
    <w:rsid w:val="000F53BE"/>
    <w:rsid w:val="000F53F0"/>
    <w:rsid w:val="000F544D"/>
    <w:rsid w:val="000F5505"/>
    <w:rsid w:val="000F5557"/>
    <w:rsid w:val="000F557A"/>
    <w:rsid w:val="000F55A3"/>
    <w:rsid w:val="000F55F1"/>
    <w:rsid w:val="000F55F5"/>
    <w:rsid w:val="000F5687"/>
    <w:rsid w:val="000F5792"/>
    <w:rsid w:val="000F5867"/>
    <w:rsid w:val="000F58CA"/>
    <w:rsid w:val="000F58CF"/>
    <w:rsid w:val="000F593E"/>
    <w:rsid w:val="000F5949"/>
    <w:rsid w:val="000F5958"/>
    <w:rsid w:val="000F59B7"/>
    <w:rsid w:val="000F59D6"/>
    <w:rsid w:val="000F59DC"/>
    <w:rsid w:val="000F59EF"/>
    <w:rsid w:val="000F5AC7"/>
    <w:rsid w:val="000F5B35"/>
    <w:rsid w:val="000F5B6E"/>
    <w:rsid w:val="000F5C98"/>
    <w:rsid w:val="000F5D8F"/>
    <w:rsid w:val="000F5DAB"/>
    <w:rsid w:val="000F5DB3"/>
    <w:rsid w:val="000F5DD4"/>
    <w:rsid w:val="000F5DFF"/>
    <w:rsid w:val="000F5E8B"/>
    <w:rsid w:val="000F5F75"/>
    <w:rsid w:val="000F5F7F"/>
    <w:rsid w:val="000F5F8D"/>
    <w:rsid w:val="000F5FB0"/>
    <w:rsid w:val="000F5FF6"/>
    <w:rsid w:val="000F5FFD"/>
    <w:rsid w:val="000F5FFE"/>
    <w:rsid w:val="000F5FFF"/>
    <w:rsid w:val="000F6007"/>
    <w:rsid w:val="000F6010"/>
    <w:rsid w:val="000F603E"/>
    <w:rsid w:val="000F60E1"/>
    <w:rsid w:val="000F614F"/>
    <w:rsid w:val="000F616C"/>
    <w:rsid w:val="000F6256"/>
    <w:rsid w:val="000F627B"/>
    <w:rsid w:val="000F62C5"/>
    <w:rsid w:val="000F62ED"/>
    <w:rsid w:val="000F6328"/>
    <w:rsid w:val="000F634F"/>
    <w:rsid w:val="000F6363"/>
    <w:rsid w:val="000F6382"/>
    <w:rsid w:val="000F63F2"/>
    <w:rsid w:val="000F641D"/>
    <w:rsid w:val="000F6467"/>
    <w:rsid w:val="000F647B"/>
    <w:rsid w:val="000F6481"/>
    <w:rsid w:val="000F6516"/>
    <w:rsid w:val="000F6550"/>
    <w:rsid w:val="000F657F"/>
    <w:rsid w:val="000F6594"/>
    <w:rsid w:val="000F6605"/>
    <w:rsid w:val="000F6614"/>
    <w:rsid w:val="000F669B"/>
    <w:rsid w:val="000F66B3"/>
    <w:rsid w:val="000F6701"/>
    <w:rsid w:val="000F676A"/>
    <w:rsid w:val="000F67FB"/>
    <w:rsid w:val="000F67FE"/>
    <w:rsid w:val="000F6865"/>
    <w:rsid w:val="000F68E0"/>
    <w:rsid w:val="000F6953"/>
    <w:rsid w:val="000F6A07"/>
    <w:rsid w:val="000F6B1B"/>
    <w:rsid w:val="000F6B3A"/>
    <w:rsid w:val="000F6B66"/>
    <w:rsid w:val="000F6B79"/>
    <w:rsid w:val="000F6B97"/>
    <w:rsid w:val="000F6C10"/>
    <w:rsid w:val="000F6D39"/>
    <w:rsid w:val="000F6D43"/>
    <w:rsid w:val="000F6DD0"/>
    <w:rsid w:val="000F6DE0"/>
    <w:rsid w:val="000F6E9C"/>
    <w:rsid w:val="000F6F3C"/>
    <w:rsid w:val="000F6F48"/>
    <w:rsid w:val="000F704F"/>
    <w:rsid w:val="000F710E"/>
    <w:rsid w:val="000F7129"/>
    <w:rsid w:val="000F7188"/>
    <w:rsid w:val="000F71EB"/>
    <w:rsid w:val="000F726F"/>
    <w:rsid w:val="000F72B9"/>
    <w:rsid w:val="000F72C6"/>
    <w:rsid w:val="000F73E7"/>
    <w:rsid w:val="000F741D"/>
    <w:rsid w:val="000F742E"/>
    <w:rsid w:val="000F7447"/>
    <w:rsid w:val="000F744D"/>
    <w:rsid w:val="000F74B6"/>
    <w:rsid w:val="000F74D7"/>
    <w:rsid w:val="000F74FA"/>
    <w:rsid w:val="000F750F"/>
    <w:rsid w:val="000F7555"/>
    <w:rsid w:val="000F758B"/>
    <w:rsid w:val="000F75D8"/>
    <w:rsid w:val="000F7678"/>
    <w:rsid w:val="000F768A"/>
    <w:rsid w:val="000F76A0"/>
    <w:rsid w:val="000F76A2"/>
    <w:rsid w:val="000F7781"/>
    <w:rsid w:val="000F77DC"/>
    <w:rsid w:val="000F77F1"/>
    <w:rsid w:val="000F7845"/>
    <w:rsid w:val="000F785C"/>
    <w:rsid w:val="000F78AC"/>
    <w:rsid w:val="000F790E"/>
    <w:rsid w:val="000F7911"/>
    <w:rsid w:val="000F7929"/>
    <w:rsid w:val="000F79DB"/>
    <w:rsid w:val="000F7A64"/>
    <w:rsid w:val="000F7B65"/>
    <w:rsid w:val="000F7C69"/>
    <w:rsid w:val="000F7D14"/>
    <w:rsid w:val="000F7D4E"/>
    <w:rsid w:val="000F7D74"/>
    <w:rsid w:val="000F7D7F"/>
    <w:rsid w:val="000F7D9C"/>
    <w:rsid w:val="000F7E5C"/>
    <w:rsid w:val="000F7ED8"/>
    <w:rsid w:val="000F7EDE"/>
    <w:rsid w:val="000F7F61"/>
    <w:rsid w:val="000F7FAC"/>
    <w:rsid w:val="000F7FC0"/>
    <w:rsid w:val="000F7FDF"/>
    <w:rsid w:val="0010000D"/>
    <w:rsid w:val="00100025"/>
    <w:rsid w:val="00100027"/>
    <w:rsid w:val="0010003B"/>
    <w:rsid w:val="00100070"/>
    <w:rsid w:val="00100115"/>
    <w:rsid w:val="00100154"/>
    <w:rsid w:val="0010015C"/>
    <w:rsid w:val="00100172"/>
    <w:rsid w:val="00100188"/>
    <w:rsid w:val="001001A0"/>
    <w:rsid w:val="001001AE"/>
    <w:rsid w:val="001001F2"/>
    <w:rsid w:val="0010023E"/>
    <w:rsid w:val="001002A8"/>
    <w:rsid w:val="001002DC"/>
    <w:rsid w:val="00100301"/>
    <w:rsid w:val="00100385"/>
    <w:rsid w:val="001003E8"/>
    <w:rsid w:val="0010040B"/>
    <w:rsid w:val="0010040D"/>
    <w:rsid w:val="0010044A"/>
    <w:rsid w:val="00100450"/>
    <w:rsid w:val="00100458"/>
    <w:rsid w:val="00100486"/>
    <w:rsid w:val="00100490"/>
    <w:rsid w:val="001004EA"/>
    <w:rsid w:val="0010052D"/>
    <w:rsid w:val="0010053A"/>
    <w:rsid w:val="001005FD"/>
    <w:rsid w:val="0010062C"/>
    <w:rsid w:val="0010066D"/>
    <w:rsid w:val="00100750"/>
    <w:rsid w:val="0010089B"/>
    <w:rsid w:val="001008AD"/>
    <w:rsid w:val="001008FB"/>
    <w:rsid w:val="0010090D"/>
    <w:rsid w:val="0010092A"/>
    <w:rsid w:val="00100948"/>
    <w:rsid w:val="001009A2"/>
    <w:rsid w:val="001009A9"/>
    <w:rsid w:val="00100A15"/>
    <w:rsid w:val="00100B36"/>
    <w:rsid w:val="00100B4D"/>
    <w:rsid w:val="00100B61"/>
    <w:rsid w:val="00100BC5"/>
    <w:rsid w:val="00100C13"/>
    <w:rsid w:val="00100C69"/>
    <w:rsid w:val="00100C99"/>
    <w:rsid w:val="00100CA0"/>
    <w:rsid w:val="00100DF8"/>
    <w:rsid w:val="00100E3E"/>
    <w:rsid w:val="00100E73"/>
    <w:rsid w:val="00100EFA"/>
    <w:rsid w:val="00100F1F"/>
    <w:rsid w:val="00100F20"/>
    <w:rsid w:val="00100F84"/>
    <w:rsid w:val="00100F94"/>
    <w:rsid w:val="00100FEE"/>
    <w:rsid w:val="0010101E"/>
    <w:rsid w:val="0010109C"/>
    <w:rsid w:val="001010D5"/>
    <w:rsid w:val="001010E8"/>
    <w:rsid w:val="00101156"/>
    <w:rsid w:val="001012C7"/>
    <w:rsid w:val="001012CE"/>
    <w:rsid w:val="001012CF"/>
    <w:rsid w:val="001012DC"/>
    <w:rsid w:val="0010138B"/>
    <w:rsid w:val="001013B4"/>
    <w:rsid w:val="001013ED"/>
    <w:rsid w:val="001013F2"/>
    <w:rsid w:val="00101446"/>
    <w:rsid w:val="0010144E"/>
    <w:rsid w:val="0010146D"/>
    <w:rsid w:val="00101472"/>
    <w:rsid w:val="0010148F"/>
    <w:rsid w:val="001014EA"/>
    <w:rsid w:val="00101515"/>
    <w:rsid w:val="00101527"/>
    <w:rsid w:val="00101586"/>
    <w:rsid w:val="00101596"/>
    <w:rsid w:val="001015FA"/>
    <w:rsid w:val="00101629"/>
    <w:rsid w:val="001016A3"/>
    <w:rsid w:val="001017EB"/>
    <w:rsid w:val="0010182B"/>
    <w:rsid w:val="001018BD"/>
    <w:rsid w:val="00101946"/>
    <w:rsid w:val="0010194D"/>
    <w:rsid w:val="00101952"/>
    <w:rsid w:val="001019A2"/>
    <w:rsid w:val="00101A0C"/>
    <w:rsid w:val="00101A48"/>
    <w:rsid w:val="00101A72"/>
    <w:rsid w:val="00101B1E"/>
    <w:rsid w:val="00101B52"/>
    <w:rsid w:val="00101B54"/>
    <w:rsid w:val="00101B6E"/>
    <w:rsid w:val="00101B8E"/>
    <w:rsid w:val="00101BAC"/>
    <w:rsid w:val="00101BD8"/>
    <w:rsid w:val="00101BD9"/>
    <w:rsid w:val="00101BDD"/>
    <w:rsid w:val="00101C67"/>
    <w:rsid w:val="00101C74"/>
    <w:rsid w:val="00101CFD"/>
    <w:rsid w:val="00101D1A"/>
    <w:rsid w:val="00101D26"/>
    <w:rsid w:val="00101D9E"/>
    <w:rsid w:val="00101DB5"/>
    <w:rsid w:val="00101DED"/>
    <w:rsid w:val="00101E1F"/>
    <w:rsid w:val="00101E32"/>
    <w:rsid w:val="00101E4F"/>
    <w:rsid w:val="00101E50"/>
    <w:rsid w:val="00101E58"/>
    <w:rsid w:val="00101E68"/>
    <w:rsid w:val="00101EF7"/>
    <w:rsid w:val="00101F29"/>
    <w:rsid w:val="00101F9D"/>
    <w:rsid w:val="00101FD0"/>
    <w:rsid w:val="00102105"/>
    <w:rsid w:val="0010218C"/>
    <w:rsid w:val="001021CB"/>
    <w:rsid w:val="001021F2"/>
    <w:rsid w:val="0010222E"/>
    <w:rsid w:val="00102249"/>
    <w:rsid w:val="00102253"/>
    <w:rsid w:val="0010228F"/>
    <w:rsid w:val="00102298"/>
    <w:rsid w:val="0010237A"/>
    <w:rsid w:val="001023D0"/>
    <w:rsid w:val="00102449"/>
    <w:rsid w:val="00102466"/>
    <w:rsid w:val="001024A3"/>
    <w:rsid w:val="00102556"/>
    <w:rsid w:val="001025AC"/>
    <w:rsid w:val="0010268B"/>
    <w:rsid w:val="001026E3"/>
    <w:rsid w:val="0010271D"/>
    <w:rsid w:val="00102775"/>
    <w:rsid w:val="001027E8"/>
    <w:rsid w:val="00102810"/>
    <w:rsid w:val="00102815"/>
    <w:rsid w:val="00102837"/>
    <w:rsid w:val="0010288A"/>
    <w:rsid w:val="00102916"/>
    <w:rsid w:val="00102947"/>
    <w:rsid w:val="0010296A"/>
    <w:rsid w:val="0010299A"/>
    <w:rsid w:val="00102A04"/>
    <w:rsid w:val="00102A41"/>
    <w:rsid w:val="00102A42"/>
    <w:rsid w:val="00102A6E"/>
    <w:rsid w:val="00102A7E"/>
    <w:rsid w:val="00102A9F"/>
    <w:rsid w:val="00102ADF"/>
    <w:rsid w:val="00102AE7"/>
    <w:rsid w:val="00102B59"/>
    <w:rsid w:val="00102B97"/>
    <w:rsid w:val="00102BDF"/>
    <w:rsid w:val="00102C38"/>
    <w:rsid w:val="00102C71"/>
    <w:rsid w:val="00102C96"/>
    <w:rsid w:val="00102D8E"/>
    <w:rsid w:val="00102DBA"/>
    <w:rsid w:val="00102DCC"/>
    <w:rsid w:val="00102DD3"/>
    <w:rsid w:val="00102DF6"/>
    <w:rsid w:val="00102E21"/>
    <w:rsid w:val="00102E32"/>
    <w:rsid w:val="00102E59"/>
    <w:rsid w:val="00102E76"/>
    <w:rsid w:val="00102F24"/>
    <w:rsid w:val="00102F2F"/>
    <w:rsid w:val="00102FA9"/>
    <w:rsid w:val="00102FD7"/>
    <w:rsid w:val="00103060"/>
    <w:rsid w:val="001030BB"/>
    <w:rsid w:val="00103132"/>
    <w:rsid w:val="0010313C"/>
    <w:rsid w:val="00103241"/>
    <w:rsid w:val="001032AE"/>
    <w:rsid w:val="001032B7"/>
    <w:rsid w:val="001032DC"/>
    <w:rsid w:val="00103321"/>
    <w:rsid w:val="00103335"/>
    <w:rsid w:val="00103351"/>
    <w:rsid w:val="001033CC"/>
    <w:rsid w:val="0010343F"/>
    <w:rsid w:val="00103482"/>
    <w:rsid w:val="00103486"/>
    <w:rsid w:val="00103512"/>
    <w:rsid w:val="00103547"/>
    <w:rsid w:val="00103612"/>
    <w:rsid w:val="0010367C"/>
    <w:rsid w:val="00103695"/>
    <w:rsid w:val="001036DD"/>
    <w:rsid w:val="00103715"/>
    <w:rsid w:val="0010371A"/>
    <w:rsid w:val="0010372E"/>
    <w:rsid w:val="001037BC"/>
    <w:rsid w:val="001037C3"/>
    <w:rsid w:val="00103839"/>
    <w:rsid w:val="0010385C"/>
    <w:rsid w:val="00103867"/>
    <w:rsid w:val="001038AE"/>
    <w:rsid w:val="001038B8"/>
    <w:rsid w:val="001038F5"/>
    <w:rsid w:val="0010392E"/>
    <w:rsid w:val="0010394E"/>
    <w:rsid w:val="001039B4"/>
    <w:rsid w:val="00103A51"/>
    <w:rsid w:val="00103AC6"/>
    <w:rsid w:val="00103AF5"/>
    <w:rsid w:val="00103B2A"/>
    <w:rsid w:val="00103B47"/>
    <w:rsid w:val="00103B7C"/>
    <w:rsid w:val="00103B81"/>
    <w:rsid w:val="00103BD2"/>
    <w:rsid w:val="00103BE3"/>
    <w:rsid w:val="00103CE2"/>
    <w:rsid w:val="00103D1F"/>
    <w:rsid w:val="00103D2A"/>
    <w:rsid w:val="00103D5B"/>
    <w:rsid w:val="00103D63"/>
    <w:rsid w:val="00103D69"/>
    <w:rsid w:val="00103D93"/>
    <w:rsid w:val="00103DBD"/>
    <w:rsid w:val="00103E1B"/>
    <w:rsid w:val="00103E8A"/>
    <w:rsid w:val="00103EBE"/>
    <w:rsid w:val="00103EDA"/>
    <w:rsid w:val="00103EDE"/>
    <w:rsid w:val="00103F04"/>
    <w:rsid w:val="00103F2C"/>
    <w:rsid w:val="00103F53"/>
    <w:rsid w:val="00103F71"/>
    <w:rsid w:val="00103F9B"/>
    <w:rsid w:val="00103FA9"/>
    <w:rsid w:val="00103FE3"/>
    <w:rsid w:val="0010400F"/>
    <w:rsid w:val="0010406B"/>
    <w:rsid w:val="00104154"/>
    <w:rsid w:val="001041C4"/>
    <w:rsid w:val="001041C7"/>
    <w:rsid w:val="0010426D"/>
    <w:rsid w:val="00104274"/>
    <w:rsid w:val="00104283"/>
    <w:rsid w:val="001043A7"/>
    <w:rsid w:val="001043F9"/>
    <w:rsid w:val="00104452"/>
    <w:rsid w:val="00104499"/>
    <w:rsid w:val="001044C7"/>
    <w:rsid w:val="001044F7"/>
    <w:rsid w:val="0010456C"/>
    <w:rsid w:val="00104596"/>
    <w:rsid w:val="001045BA"/>
    <w:rsid w:val="00104686"/>
    <w:rsid w:val="001046A5"/>
    <w:rsid w:val="001046DA"/>
    <w:rsid w:val="001046ED"/>
    <w:rsid w:val="0010470B"/>
    <w:rsid w:val="00104749"/>
    <w:rsid w:val="00104794"/>
    <w:rsid w:val="001047E9"/>
    <w:rsid w:val="0010483F"/>
    <w:rsid w:val="00104924"/>
    <w:rsid w:val="00104946"/>
    <w:rsid w:val="00104990"/>
    <w:rsid w:val="001049B0"/>
    <w:rsid w:val="001049D7"/>
    <w:rsid w:val="001049E6"/>
    <w:rsid w:val="001049F2"/>
    <w:rsid w:val="00104A0B"/>
    <w:rsid w:val="00104A38"/>
    <w:rsid w:val="00104A48"/>
    <w:rsid w:val="00104A49"/>
    <w:rsid w:val="00104A63"/>
    <w:rsid w:val="00104A96"/>
    <w:rsid w:val="00104A9E"/>
    <w:rsid w:val="00104B29"/>
    <w:rsid w:val="00104B40"/>
    <w:rsid w:val="00104BBE"/>
    <w:rsid w:val="00104BE6"/>
    <w:rsid w:val="00104C0B"/>
    <w:rsid w:val="00104C37"/>
    <w:rsid w:val="00104C58"/>
    <w:rsid w:val="00104C60"/>
    <w:rsid w:val="00104D26"/>
    <w:rsid w:val="00104D7E"/>
    <w:rsid w:val="00104D8A"/>
    <w:rsid w:val="00104DB0"/>
    <w:rsid w:val="00104EA6"/>
    <w:rsid w:val="00104EF8"/>
    <w:rsid w:val="00104F37"/>
    <w:rsid w:val="00104F75"/>
    <w:rsid w:val="00104F80"/>
    <w:rsid w:val="00105057"/>
    <w:rsid w:val="00105096"/>
    <w:rsid w:val="00105164"/>
    <w:rsid w:val="001051AE"/>
    <w:rsid w:val="0010520D"/>
    <w:rsid w:val="00105232"/>
    <w:rsid w:val="0010525B"/>
    <w:rsid w:val="00105393"/>
    <w:rsid w:val="001053D9"/>
    <w:rsid w:val="001053DD"/>
    <w:rsid w:val="00105400"/>
    <w:rsid w:val="00105414"/>
    <w:rsid w:val="0010548D"/>
    <w:rsid w:val="001054A9"/>
    <w:rsid w:val="001054B7"/>
    <w:rsid w:val="001054E0"/>
    <w:rsid w:val="00105503"/>
    <w:rsid w:val="00105504"/>
    <w:rsid w:val="0010553A"/>
    <w:rsid w:val="00105551"/>
    <w:rsid w:val="001055FB"/>
    <w:rsid w:val="00105693"/>
    <w:rsid w:val="001056CF"/>
    <w:rsid w:val="00105772"/>
    <w:rsid w:val="0010578A"/>
    <w:rsid w:val="001057F2"/>
    <w:rsid w:val="001057F4"/>
    <w:rsid w:val="00105862"/>
    <w:rsid w:val="001058A6"/>
    <w:rsid w:val="0010593C"/>
    <w:rsid w:val="00105944"/>
    <w:rsid w:val="0010599D"/>
    <w:rsid w:val="001059A0"/>
    <w:rsid w:val="00105A15"/>
    <w:rsid w:val="00105B07"/>
    <w:rsid w:val="00105B39"/>
    <w:rsid w:val="00105BA3"/>
    <w:rsid w:val="00105BAC"/>
    <w:rsid w:val="00105BE3"/>
    <w:rsid w:val="00105BE5"/>
    <w:rsid w:val="00105C45"/>
    <w:rsid w:val="00105C52"/>
    <w:rsid w:val="00105C60"/>
    <w:rsid w:val="00105CA8"/>
    <w:rsid w:val="00105CAB"/>
    <w:rsid w:val="00105D7F"/>
    <w:rsid w:val="00105D80"/>
    <w:rsid w:val="00105DB1"/>
    <w:rsid w:val="00105DD1"/>
    <w:rsid w:val="00105E3D"/>
    <w:rsid w:val="00105E40"/>
    <w:rsid w:val="00105E89"/>
    <w:rsid w:val="00105F4F"/>
    <w:rsid w:val="00105F7A"/>
    <w:rsid w:val="00105F92"/>
    <w:rsid w:val="00105FF0"/>
    <w:rsid w:val="00105FFD"/>
    <w:rsid w:val="00106008"/>
    <w:rsid w:val="001060C3"/>
    <w:rsid w:val="0010617B"/>
    <w:rsid w:val="0010619B"/>
    <w:rsid w:val="001061A2"/>
    <w:rsid w:val="001061D5"/>
    <w:rsid w:val="00106237"/>
    <w:rsid w:val="001063DA"/>
    <w:rsid w:val="0010641C"/>
    <w:rsid w:val="00106428"/>
    <w:rsid w:val="001064A8"/>
    <w:rsid w:val="001064C4"/>
    <w:rsid w:val="001064C6"/>
    <w:rsid w:val="00106573"/>
    <w:rsid w:val="00106582"/>
    <w:rsid w:val="0010660D"/>
    <w:rsid w:val="001066D8"/>
    <w:rsid w:val="00106728"/>
    <w:rsid w:val="0010672D"/>
    <w:rsid w:val="00106795"/>
    <w:rsid w:val="001067A9"/>
    <w:rsid w:val="001067EC"/>
    <w:rsid w:val="001067F6"/>
    <w:rsid w:val="00106983"/>
    <w:rsid w:val="0010698C"/>
    <w:rsid w:val="00106A21"/>
    <w:rsid w:val="00106A4A"/>
    <w:rsid w:val="00106A75"/>
    <w:rsid w:val="00106A76"/>
    <w:rsid w:val="00106A89"/>
    <w:rsid w:val="00106AC4"/>
    <w:rsid w:val="00106AD7"/>
    <w:rsid w:val="00106B08"/>
    <w:rsid w:val="00106B43"/>
    <w:rsid w:val="00106B68"/>
    <w:rsid w:val="00106BEC"/>
    <w:rsid w:val="00106C60"/>
    <w:rsid w:val="00106C6C"/>
    <w:rsid w:val="00106CBF"/>
    <w:rsid w:val="00106DBE"/>
    <w:rsid w:val="00106DC8"/>
    <w:rsid w:val="00106DD8"/>
    <w:rsid w:val="00106DF1"/>
    <w:rsid w:val="00106E61"/>
    <w:rsid w:val="00106EA4"/>
    <w:rsid w:val="00106EDA"/>
    <w:rsid w:val="00106EF3"/>
    <w:rsid w:val="00106FB8"/>
    <w:rsid w:val="00106FD6"/>
    <w:rsid w:val="00106FF6"/>
    <w:rsid w:val="0010705E"/>
    <w:rsid w:val="00107189"/>
    <w:rsid w:val="001071AA"/>
    <w:rsid w:val="001071C0"/>
    <w:rsid w:val="001071D2"/>
    <w:rsid w:val="001071D7"/>
    <w:rsid w:val="001071EE"/>
    <w:rsid w:val="001071EF"/>
    <w:rsid w:val="0010729E"/>
    <w:rsid w:val="0010733C"/>
    <w:rsid w:val="001073CB"/>
    <w:rsid w:val="0010743A"/>
    <w:rsid w:val="0010744C"/>
    <w:rsid w:val="0010748F"/>
    <w:rsid w:val="001074E2"/>
    <w:rsid w:val="00107507"/>
    <w:rsid w:val="0010753A"/>
    <w:rsid w:val="0010755E"/>
    <w:rsid w:val="00107561"/>
    <w:rsid w:val="001075CA"/>
    <w:rsid w:val="00107612"/>
    <w:rsid w:val="0010768F"/>
    <w:rsid w:val="001076A2"/>
    <w:rsid w:val="001076C4"/>
    <w:rsid w:val="001076E6"/>
    <w:rsid w:val="00107726"/>
    <w:rsid w:val="0010777D"/>
    <w:rsid w:val="001077E8"/>
    <w:rsid w:val="001077FE"/>
    <w:rsid w:val="0010782E"/>
    <w:rsid w:val="0010783E"/>
    <w:rsid w:val="0010793F"/>
    <w:rsid w:val="00107951"/>
    <w:rsid w:val="00107979"/>
    <w:rsid w:val="00107AB7"/>
    <w:rsid w:val="00107ADC"/>
    <w:rsid w:val="00107B4D"/>
    <w:rsid w:val="00107BD5"/>
    <w:rsid w:val="00107BDA"/>
    <w:rsid w:val="00107C21"/>
    <w:rsid w:val="00107CB7"/>
    <w:rsid w:val="00107DF9"/>
    <w:rsid w:val="00107E2A"/>
    <w:rsid w:val="00107E5D"/>
    <w:rsid w:val="00107E75"/>
    <w:rsid w:val="00107F5E"/>
    <w:rsid w:val="00107F69"/>
    <w:rsid w:val="00107FD3"/>
    <w:rsid w:val="0011000E"/>
    <w:rsid w:val="0011001E"/>
    <w:rsid w:val="001100AF"/>
    <w:rsid w:val="001100BE"/>
    <w:rsid w:val="001101A1"/>
    <w:rsid w:val="001101DD"/>
    <w:rsid w:val="001101F5"/>
    <w:rsid w:val="001101FA"/>
    <w:rsid w:val="0011022F"/>
    <w:rsid w:val="00110255"/>
    <w:rsid w:val="001102B1"/>
    <w:rsid w:val="001102D4"/>
    <w:rsid w:val="00110301"/>
    <w:rsid w:val="00110376"/>
    <w:rsid w:val="001103BE"/>
    <w:rsid w:val="0011040F"/>
    <w:rsid w:val="00110438"/>
    <w:rsid w:val="0011045F"/>
    <w:rsid w:val="0011047D"/>
    <w:rsid w:val="001104A2"/>
    <w:rsid w:val="001104C2"/>
    <w:rsid w:val="001104F2"/>
    <w:rsid w:val="0011056A"/>
    <w:rsid w:val="0011058B"/>
    <w:rsid w:val="001105B5"/>
    <w:rsid w:val="001105D9"/>
    <w:rsid w:val="001105EB"/>
    <w:rsid w:val="0011061A"/>
    <w:rsid w:val="0011065F"/>
    <w:rsid w:val="001106F8"/>
    <w:rsid w:val="00110706"/>
    <w:rsid w:val="0011076E"/>
    <w:rsid w:val="001107F4"/>
    <w:rsid w:val="001107F9"/>
    <w:rsid w:val="001108B5"/>
    <w:rsid w:val="001108C5"/>
    <w:rsid w:val="00110A1C"/>
    <w:rsid w:val="00110A20"/>
    <w:rsid w:val="00110A2E"/>
    <w:rsid w:val="00110A59"/>
    <w:rsid w:val="00110A6C"/>
    <w:rsid w:val="00110B29"/>
    <w:rsid w:val="00110B62"/>
    <w:rsid w:val="00110B76"/>
    <w:rsid w:val="00110BBD"/>
    <w:rsid w:val="00110C07"/>
    <w:rsid w:val="00110C27"/>
    <w:rsid w:val="00110C94"/>
    <w:rsid w:val="00110CB6"/>
    <w:rsid w:val="00110D42"/>
    <w:rsid w:val="00110D6B"/>
    <w:rsid w:val="00110DA0"/>
    <w:rsid w:val="00110E63"/>
    <w:rsid w:val="00110E90"/>
    <w:rsid w:val="00110EDC"/>
    <w:rsid w:val="00110F63"/>
    <w:rsid w:val="00110F82"/>
    <w:rsid w:val="00110F97"/>
    <w:rsid w:val="00110FC5"/>
    <w:rsid w:val="00110FDA"/>
    <w:rsid w:val="00111100"/>
    <w:rsid w:val="00111133"/>
    <w:rsid w:val="00111210"/>
    <w:rsid w:val="00111287"/>
    <w:rsid w:val="001112A3"/>
    <w:rsid w:val="001112B4"/>
    <w:rsid w:val="001112D0"/>
    <w:rsid w:val="0011133A"/>
    <w:rsid w:val="00111340"/>
    <w:rsid w:val="00111389"/>
    <w:rsid w:val="0011138D"/>
    <w:rsid w:val="00111390"/>
    <w:rsid w:val="001114AB"/>
    <w:rsid w:val="001114EA"/>
    <w:rsid w:val="001114EB"/>
    <w:rsid w:val="0011155B"/>
    <w:rsid w:val="001115ED"/>
    <w:rsid w:val="00111614"/>
    <w:rsid w:val="00111620"/>
    <w:rsid w:val="0011163F"/>
    <w:rsid w:val="00111647"/>
    <w:rsid w:val="0011170A"/>
    <w:rsid w:val="00111730"/>
    <w:rsid w:val="0011174A"/>
    <w:rsid w:val="00111779"/>
    <w:rsid w:val="00111790"/>
    <w:rsid w:val="00111792"/>
    <w:rsid w:val="001117D1"/>
    <w:rsid w:val="001117F7"/>
    <w:rsid w:val="00111813"/>
    <w:rsid w:val="0011182B"/>
    <w:rsid w:val="00111896"/>
    <w:rsid w:val="0011189F"/>
    <w:rsid w:val="0011190F"/>
    <w:rsid w:val="0011193E"/>
    <w:rsid w:val="00111A01"/>
    <w:rsid w:val="00111A2A"/>
    <w:rsid w:val="00111A9F"/>
    <w:rsid w:val="00111AB4"/>
    <w:rsid w:val="00111B1C"/>
    <w:rsid w:val="00111B2A"/>
    <w:rsid w:val="00111B2F"/>
    <w:rsid w:val="00111B78"/>
    <w:rsid w:val="00111D38"/>
    <w:rsid w:val="00111D45"/>
    <w:rsid w:val="00111D7F"/>
    <w:rsid w:val="00111DF4"/>
    <w:rsid w:val="00111DF8"/>
    <w:rsid w:val="00111E7F"/>
    <w:rsid w:val="00111EAA"/>
    <w:rsid w:val="00111F1E"/>
    <w:rsid w:val="00111F37"/>
    <w:rsid w:val="00111F43"/>
    <w:rsid w:val="00111F86"/>
    <w:rsid w:val="0011203E"/>
    <w:rsid w:val="00112057"/>
    <w:rsid w:val="0011205B"/>
    <w:rsid w:val="0011208C"/>
    <w:rsid w:val="0011212F"/>
    <w:rsid w:val="0011224E"/>
    <w:rsid w:val="00112268"/>
    <w:rsid w:val="0011226B"/>
    <w:rsid w:val="00112289"/>
    <w:rsid w:val="001122C3"/>
    <w:rsid w:val="0011231E"/>
    <w:rsid w:val="0011232E"/>
    <w:rsid w:val="0011236C"/>
    <w:rsid w:val="00112376"/>
    <w:rsid w:val="001123A9"/>
    <w:rsid w:val="001123B5"/>
    <w:rsid w:val="00112402"/>
    <w:rsid w:val="00112431"/>
    <w:rsid w:val="0011243B"/>
    <w:rsid w:val="00112448"/>
    <w:rsid w:val="0011249C"/>
    <w:rsid w:val="00112538"/>
    <w:rsid w:val="00112575"/>
    <w:rsid w:val="001125E7"/>
    <w:rsid w:val="00112677"/>
    <w:rsid w:val="001126A7"/>
    <w:rsid w:val="001126E5"/>
    <w:rsid w:val="00112749"/>
    <w:rsid w:val="0011274E"/>
    <w:rsid w:val="00112768"/>
    <w:rsid w:val="0011278E"/>
    <w:rsid w:val="00112792"/>
    <w:rsid w:val="001127BC"/>
    <w:rsid w:val="001127E2"/>
    <w:rsid w:val="0011287C"/>
    <w:rsid w:val="001128C6"/>
    <w:rsid w:val="00112922"/>
    <w:rsid w:val="00112938"/>
    <w:rsid w:val="00112A16"/>
    <w:rsid w:val="00112A2B"/>
    <w:rsid w:val="00112A66"/>
    <w:rsid w:val="00112A8B"/>
    <w:rsid w:val="00112A99"/>
    <w:rsid w:val="00112AB6"/>
    <w:rsid w:val="00112AEC"/>
    <w:rsid w:val="00112B14"/>
    <w:rsid w:val="00112B28"/>
    <w:rsid w:val="00112B8C"/>
    <w:rsid w:val="00112BD9"/>
    <w:rsid w:val="00112BDB"/>
    <w:rsid w:val="00112BE5"/>
    <w:rsid w:val="00112BFF"/>
    <w:rsid w:val="00112C47"/>
    <w:rsid w:val="00112C82"/>
    <w:rsid w:val="00112C85"/>
    <w:rsid w:val="00112CE4"/>
    <w:rsid w:val="00112D11"/>
    <w:rsid w:val="00112D4B"/>
    <w:rsid w:val="00112D6B"/>
    <w:rsid w:val="00112D7E"/>
    <w:rsid w:val="00112DA3"/>
    <w:rsid w:val="00112DC0"/>
    <w:rsid w:val="00112DFE"/>
    <w:rsid w:val="00112E55"/>
    <w:rsid w:val="00112E56"/>
    <w:rsid w:val="00112E60"/>
    <w:rsid w:val="00112EC3"/>
    <w:rsid w:val="00112EDC"/>
    <w:rsid w:val="00112F14"/>
    <w:rsid w:val="00112FBC"/>
    <w:rsid w:val="00112FC2"/>
    <w:rsid w:val="0011300D"/>
    <w:rsid w:val="0011309D"/>
    <w:rsid w:val="001130C3"/>
    <w:rsid w:val="001130F7"/>
    <w:rsid w:val="00113166"/>
    <w:rsid w:val="0011318C"/>
    <w:rsid w:val="001131D9"/>
    <w:rsid w:val="00113266"/>
    <w:rsid w:val="00113271"/>
    <w:rsid w:val="00113285"/>
    <w:rsid w:val="001132D8"/>
    <w:rsid w:val="001132EE"/>
    <w:rsid w:val="00113342"/>
    <w:rsid w:val="0011334C"/>
    <w:rsid w:val="00113381"/>
    <w:rsid w:val="00113387"/>
    <w:rsid w:val="001133A3"/>
    <w:rsid w:val="001133BD"/>
    <w:rsid w:val="001133C0"/>
    <w:rsid w:val="001133C6"/>
    <w:rsid w:val="00113407"/>
    <w:rsid w:val="00113412"/>
    <w:rsid w:val="00113420"/>
    <w:rsid w:val="001134DF"/>
    <w:rsid w:val="001134E1"/>
    <w:rsid w:val="00113529"/>
    <w:rsid w:val="0011355D"/>
    <w:rsid w:val="00113649"/>
    <w:rsid w:val="00113654"/>
    <w:rsid w:val="001136BE"/>
    <w:rsid w:val="001136DC"/>
    <w:rsid w:val="001136E1"/>
    <w:rsid w:val="00113737"/>
    <w:rsid w:val="0011375B"/>
    <w:rsid w:val="00113777"/>
    <w:rsid w:val="0011378F"/>
    <w:rsid w:val="001137AF"/>
    <w:rsid w:val="001137BB"/>
    <w:rsid w:val="001137C8"/>
    <w:rsid w:val="001137E4"/>
    <w:rsid w:val="00113854"/>
    <w:rsid w:val="00113875"/>
    <w:rsid w:val="001138D5"/>
    <w:rsid w:val="001138F6"/>
    <w:rsid w:val="00113908"/>
    <w:rsid w:val="00113945"/>
    <w:rsid w:val="00113971"/>
    <w:rsid w:val="001139BE"/>
    <w:rsid w:val="001139EA"/>
    <w:rsid w:val="001139F5"/>
    <w:rsid w:val="00113A1E"/>
    <w:rsid w:val="00113A3F"/>
    <w:rsid w:val="00113A5F"/>
    <w:rsid w:val="00113A9D"/>
    <w:rsid w:val="00113AAC"/>
    <w:rsid w:val="00113AB1"/>
    <w:rsid w:val="00113B00"/>
    <w:rsid w:val="00113B5C"/>
    <w:rsid w:val="00113BC4"/>
    <w:rsid w:val="00113C1C"/>
    <w:rsid w:val="00113C7A"/>
    <w:rsid w:val="00113C9C"/>
    <w:rsid w:val="00113D4F"/>
    <w:rsid w:val="00113D57"/>
    <w:rsid w:val="00113E13"/>
    <w:rsid w:val="00113F1D"/>
    <w:rsid w:val="00113F5E"/>
    <w:rsid w:val="0011407B"/>
    <w:rsid w:val="0011407F"/>
    <w:rsid w:val="001140CE"/>
    <w:rsid w:val="00114105"/>
    <w:rsid w:val="00114120"/>
    <w:rsid w:val="00114121"/>
    <w:rsid w:val="00114195"/>
    <w:rsid w:val="001141A3"/>
    <w:rsid w:val="001141FA"/>
    <w:rsid w:val="00114225"/>
    <w:rsid w:val="00114250"/>
    <w:rsid w:val="001142BD"/>
    <w:rsid w:val="001142E1"/>
    <w:rsid w:val="0011431F"/>
    <w:rsid w:val="001143EF"/>
    <w:rsid w:val="00114472"/>
    <w:rsid w:val="001144DF"/>
    <w:rsid w:val="001144E0"/>
    <w:rsid w:val="00114560"/>
    <w:rsid w:val="0011456A"/>
    <w:rsid w:val="001145D7"/>
    <w:rsid w:val="001145FE"/>
    <w:rsid w:val="00114614"/>
    <w:rsid w:val="0011463B"/>
    <w:rsid w:val="00114640"/>
    <w:rsid w:val="00114680"/>
    <w:rsid w:val="00114700"/>
    <w:rsid w:val="0011475A"/>
    <w:rsid w:val="0011475E"/>
    <w:rsid w:val="00114789"/>
    <w:rsid w:val="001147C6"/>
    <w:rsid w:val="001147E6"/>
    <w:rsid w:val="001147F8"/>
    <w:rsid w:val="00114802"/>
    <w:rsid w:val="0011484B"/>
    <w:rsid w:val="00114A2B"/>
    <w:rsid w:val="00114A3C"/>
    <w:rsid w:val="00114ADA"/>
    <w:rsid w:val="00114AF3"/>
    <w:rsid w:val="00114B04"/>
    <w:rsid w:val="00114BC9"/>
    <w:rsid w:val="00114BF1"/>
    <w:rsid w:val="00114CB1"/>
    <w:rsid w:val="00114CDE"/>
    <w:rsid w:val="00114D05"/>
    <w:rsid w:val="00114D09"/>
    <w:rsid w:val="00114D57"/>
    <w:rsid w:val="00114D5D"/>
    <w:rsid w:val="00114DBD"/>
    <w:rsid w:val="00114F05"/>
    <w:rsid w:val="00114F14"/>
    <w:rsid w:val="00114F20"/>
    <w:rsid w:val="00114F4E"/>
    <w:rsid w:val="00114F54"/>
    <w:rsid w:val="00114F88"/>
    <w:rsid w:val="00114FAC"/>
    <w:rsid w:val="00114FD9"/>
    <w:rsid w:val="0011500F"/>
    <w:rsid w:val="0011502A"/>
    <w:rsid w:val="001150A6"/>
    <w:rsid w:val="00115111"/>
    <w:rsid w:val="0011516B"/>
    <w:rsid w:val="0011519C"/>
    <w:rsid w:val="0011521E"/>
    <w:rsid w:val="00115282"/>
    <w:rsid w:val="00115302"/>
    <w:rsid w:val="00115307"/>
    <w:rsid w:val="00115319"/>
    <w:rsid w:val="00115324"/>
    <w:rsid w:val="0011539A"/>
    <w:rsid w:val="00115405"/>
    <w:rsid w:val="0011540D"/>
    <w:rsid w:val="0011543A"/>
    <w:rsid w:val="0011547D"/>
    <w:rsid w:val="001154CB"/>
    <w:rsid w:val="00115516"/>
    <w:rsid w:val="00115547"/>
    <w:rsid w:val="00115599"/>
    <w:rsid w:val="001155FB"/>
    <w:rsid w:val="0011563C"/>
    <w:rsid w:val="0011563E"/>
    <w:rsid w:val="0011567F"/>
    <w:rsid w:val="0011572D"/>
    <w:rsid w:val="0011573C"/>
    <w:rsid w:val="001157A6"/>
    <w:rsid w:val="001157B7"/>
    <w:rsid w:val="0011581A"/>
    <w:rsid w:val="00115843"/>
    <w:rsid w:val="00115857"/>
    <w:rsid w:val="00115878"/>
    <w:rsid w:val="0011587D"/>
    <w:rsid w:val="00115969"/>
    <w:rsid w:val="00115A84"/>
    <w:rsid w:val="00115A98"/>
    <w:rsid w:val="00115B2A"/>
    <w:rsid w:val="00115B53"/>
    <w:rsid w:val="00115B5B"/>
    <w:rsid w:val="00115B63"/>
    <w:rsid w:val="00115BC2"/>
    <w:rsid w:val="00115BCF"/>
    <w:rsid w:val="00115C7B"/>
    <w:rsid w:val="00115C92"/>
    <w:rsid w:val="00115CE9"/>
    <w:rsid w:val="00115D08"/>
    <w:rsid w:val="00115D09"/>
    <w:rsid w:val="00115D4E"/>
    <w:rsid w:val="00115DE5"/>
    <w:rsid w:val="00115E3C"/>
    <w:rsid w:val="00115F8C"/>
    <w:rsid w:val="00115F8F"/>
    <w:rsid w:val="00116017"/>
    <w:rsid w:val="00116048"/>
    <w:rsid w:val="00116064"/>
    <w:rsid w:val="0011609C"/>
    <w:rsid w:val="001160AE"/>
    <w:rsid w:val="001160C5"/>
    <w:rsid w:val="0011615F"/>
    <w:rsid w:val="00116189"/>
    <w:rsid w:val="001161E9"/>
    <w:rsid w:val="00116216"/>
    <w:rsid w:val="00116234"/>
    <w:rsid w:val="00116237"/>
    <w:rsid w:val="00116286"/>
    <w:rsid w:val="0011631C"/>
    <w:rsid w:val="0011634D"/>
    <w:rsid w:val="00116377"/>
    <w:rsid w:val="001163B9"/>
    <w:rsid w:val="001163EA"/>
    <w:rsid w:val="0011645A"/>
    <w:rsid w:val="00116490"/>
    <w:rsid w:val="001164C6"/>
    <w:rsid w:val="001164CE"/>
    <w:rsid w:val="00116521"/>
    <w:rsid w:val="001165CE"/>
    <w:rsid w:val="0011666E"/>
    <w:rsid w:val="00116670"/>
    <w:rsid w:val="00116685"/>
    <w:rsid w:val="001166D9"/>
    <w:rsid w:val="00116712"/>
    <w:rsid w:val="001167BE"/>
    <w:rsid w:val="00116805"/>
    <w:rsid w:val="00116869"/>
    <w:rsid w:val="001168CB"/>
    <w:rsid w:val="00116901"/>
    <w:rsid w:val="00116949"/>
    <w:rsid w:val="0011698C"/>
    <w:rsid w:val="00116991"/>
    <w:rsid w:val="00116994"/>
    <w:rsid w:val="00116A19"/>
    <w:rsid w:val="00116A37"/>
    <w:rsid w:val="00116A63"/>
    <w:rsid w:val="00116B01"/>
    <w:rsid w:val="00116BFC"/>
    <w:rsid w:val="00116BFE"/>
    <w:rsid w:val="00116C4D"/>
    <w:rsid w:val="00116C8B"/>
    <w:rsid w:val="00116C92"/>
    <w:rsid w:val="00116CB2"/>
    <w:rsid w:val="00116CC8"/>
    <w:rsid w:val="00116CD4"/>
    <w:rsid w:val="00116D03"/>
    <w:rsid w:val="00116D18"/>
    <w:rsid w:val="00116D42"/>
    <w:rsid w:val="00116DBD"/>
    <w:rsid w:val="00116DC7"/>
    <w:rsid w:val="00116DF8"/>
    <w:rsid w:val="00116E73"/>
    <w:rsid w:val="00116F17"/>
    <w:rsid w:val="00116FDC"/>
    <w:rsid w:val="00116FF3"/>
    <w:rsid w:val="00117011"/>
    <w:rsid w:val="0011711E"/>
    <w:rsid w:val="00117153"/>
    <w:rsid w:val="0011717C"/>
    <w:rsid w:val="00117197"/>
    <w:rsid w:val="001172FA"/>
    <w:rsid w:val="00117373"/>
    <w:rsid w:val="0011738A"/>
    <w:rsid w:val="0011738B"/>
    <w:rsid w:val="001173AE"/>
    <w:rsid w:val="001174EA"/>
    <w:rsid w:val="001175B5"/>
    <w:rsid w:val="0011762D"/>
    <w:rsid w:val="001176DE"/>
    <w:rsid w:val="001176FC"/>
    <w:rsid w:val="0011776E"/>
    <w:rsid w:val="0011778A"/>
    <w:rsid w:val="001177CB"/>
    <w:rsid w:val="001177F4"/>
    <w:rsid w:val="00117833"/>
    <w:rsid w:val="00117854"/>
    <w:rsid w:val="001178A4"/>
    <w:rsid w:val="001178AB"/>
    <w:rsid w:val="001178C3"/>
    <w:rsid w:val="001178FE"/>
    <w:rsid w:val="00117941"/>
    <w:rsid w:val="00117984"/>
    <w:rsid w:val="00117988"/>
    <w:rsid w:val="00117A1D"/>
    <w:rsid w:val="00117AC2"/>
    <w:rsid w:val="00117AF1"/>
    <w:rsid w:val="00117B42"/>
    <w:rsid w:val="00117BEE"/>
    <w:rsid w:val="00117C1C"/>
    <w:rsid w:val="00117C7F"/>
    <w:rsid w:val="00117D32"/>
    <w:rsid w:val="00117D35"/>
    <w:rsid w:val="00117D61"/>
    <w:rsid w:val="00117D89"/>
    <w:rsid w:val="00117DA2"/>
    <w:rsid w:val="00117DD8"/>
    <w:rsid w:val="00117DE8"/>
    <w:rsid w:val="00117DFD"/>
    <w:rsid w:val="00117E56"/>
    <w:rsid w:val="00117E7F"/>
    <w:rsid w:val="00117EA1"/>
    <w:rsid w:val="00120149"/>
    <w:rsid w:val="00120179"/>
    <w:rsid w:val="001201AB"/>
    <w:rsid w:val="001201B5"/>
    <w:rsid w:val="001201CE"/>
    <w:rsid w:val="00120229"/>
    <w:rsid w:val="00120241"/>
    <w:rsid w:val="0012029C"/>
    <w:rsid w:val="001202A2"/>
    <w:rsid w:val="00120367"/>
    <w:rsid w:val="0012037B"/>
    <w:rsid w:val="0012038E"/>
    <w:rsid w:val="001203AB"/>
    <w:rsid w:val="00120464"/>
    <w:rsid w:val="001204B9"/>
    <w:rsid w:val="001204EA"/>
    <w:rsid w:val="001204EB"/>
    <w:rsid w:val="0012056B"/>
    <w:rsid w:val="00120586"/>
    <w:rsid w:val="001205D6"/>
    <w:rsid w:val="00120607"/>
    <w:rsid w:val="00120644"/>
    <w:rsid w:val="00120646"/>
    <w:rsid w:val="001206E8"/>
    <w:rsid w:val="0012074F"/>
    <w:rsid w:val="001207B3"/>
    <w:rsid w:val="001207EC"/>
    <w:rsid w:val="0012083F"/>
    <w:rsid w:val="0012089B"/>
    <w:rsid w:val="00120909"/>
    <w:rsid w:val="00120983"/>
    <w:rsid w:val="00120A1C"/>
    <w:rsid w:val="00120A20"/>
    <w:rsid w:val="00120A53"/>
    <w:rsid w:val="00120A72"/>
    <w:rsid w:val="00120C16"/>
    <w:rsid w:val="00120C20"/>
    <w:rsid w:val="00120C80"/>
    <w:rsid w:val="00120CC3"/>
    <w:rsid w:val="00120CC6"/>
    <w:rsid w:val="00120CD7"/>
    <w:rsid w:val="00120D13"/>
    <w:rsid w:val="00120D72"/>
    <w:rsid w:val="00120D80"/>
    <w:rsid w:val="00120D9D"/>
    <w:rsid w:val="00120DD8"/>
    <w:rsid w:val="00120E0A"/>
    <w:rsid w:val="00120E6A"/>
    <w:rsid w:val="00120EF9"/>
    <w:rsid w:val="00120EFE"/>
    <w:rsid w:val="00120F55"/>
    <w:rsid w:val="0012103F"/>
    <w:rsid w:val="001210E6"/>
    <w:rsid w:val="00121158"/>
    <w:rsid w:val="001211B0"/>
    <w:rsid w:val="00121257"/>
    <w:rsid w:val="00121270"/>
    <w:rsid w:val="00121282"/>
    <w:rsid w:val="001212A4"/>
    <w:rsid w:val="001212B7"/>
    <w:rsid w:val="00121344"/>
    <w:rsid w:val="00121369"/>
    <w:rsid w:val="001213A7"/>
    <w:rsid w:val="001213B1"/>
    <w:rsid w:val="001213BC"/>
    <w:rsid w:val="001213EB"/>
    <w:rsid w:val="0012140C"/>
    <w:rsid w:val="0012141A"/>
    <w:rsid w:val="0012142B"/>
    <w:rsid w:val="001214AC"/>
    <w:rsid w:val="00121579"/>
    <w:rsid w:val="0012157C"/>
    <w:rsid w:val="0012159B"/>
    <w:rsid w:val="001215AD"/>
    <w:rsid w:val="001215ED"/>
    <w:rsid w:val="0012162F"/>
    <w:rsid w:val="0012178D"/>
    <w:rsid w:val="001217AB"/>
    <w:rsid w:val="0012188A"/>
    <w:rsid w:val="0012189C"/>
    <w:rsid w:val="001218C9"/>
    <w:rsid w:val="001218E2"/>
    <w:rsid w:val="001218F0"/>
    <w:rsid w:val="00121945"/>
    <w:rsid w:val="0012199E"/>
    <w:rsid w:val="001219A7"/>
    <w:rsid w:val="001219AB"/>
    <w:rsid w:val="001219BB"/>
    <w:rsid w:val="001219C1"/>
    <w:rsid w:val="00121A11"/>
    <w:rsid w:val="00121A4D"/>
    <w:rsid w:val="00121A63"/>
    <w:rsid w:val="00121AC8"/>
    <w:rsid w:val="00121ACA"/>
    <w:rsid w:val="00121B04"/>
    <w:rsid w:val="00121B11"/>
    <w:rsid w:val="00121B3E"/>
    <w:rsid w:val="00121B53"/>
    <w:rsid w:val="00121B7A"/>
    <w:rsid w:val="00121B88"/>
    <w:rsid w:val="00121B91"/>
    <w:rsid w:val="00121BCE"/>
    <w:rsid w:val="00121BED"/>
    <w:rsid w:val="00121BF5"/>
    <w:rsid w:val="00121C81"/>
    <w:rsid w:val="00121CD1"/>
    <w:rsid w:val="00121CDF"/>
    <w:rsid w:val="00121CE6"/>
    <w:rsid w:val="00121CEA"/>
    <w:rsid w:val="00121D02"/>
    <w:rsid w:val="00121D13"/>
    <w:rsid w:val="00121D54"/>
    <w:rsid w:val="00121D57"/>
    <w:rsid w:val="00121D64"/>
    <w:rsid w:val="00121E6A"/>
    <w:rsid w:val="00121EA4"/>
    <w:rsid w:val="00121EDC"/>
    <w:rsid w:val="00121F36"/>
    <w:rsid w:val="00121FD1"/>
    <w:rsid w:val="0012206B"/>
    <w:rsid w:val="00122087"/>
    <w:rsid w:val="0012208F"/>
    <w:rsid w:val="001220CC"/>
    <w:rsid w:val="00122185"/>
    <w:rsid w:val="00122222"/>
    <w:rsid w:val="00122229"/>
    <w:rsid w:val="00122266"/>
    <w:rsid w:val="001222C2"/>
    <w:rsid w:val="001222D0"/>
    <w:rsid w:val="001222F8"/>
    <w:rsid w:val="0012236B"/>
    <w:rsid w:val="0012240B"/>
    <w:rsid w:val="0012247A"/>
    <w:rsid w:val="001224A4"/>
    <w:rsid w:val="001224BA"/>
    <w:rsid w:val="00122508"/>
    <w:rsid w:val="00122527"/>
    <w:rsid w:val="00122642"/>
    <w:rsid w:val="00122681"/>
    <w:rsid w:val="001226A7"/>
    <w:rsid w:val="001226C7"/>
    <w:rsid w:val="001226E7"/>
    <w:rsid w:val="0012273A"/>
    <w:rsid w:val="0012278F"/>
    <w:rsid w:val="001227D1"/>
    <w:rsid w:val="00122865"/>
    <w:rsid w:val="0012289E"/>
    <w:rsid w:val="001228B6"/>
    <w:rsid w:val="001228FA"/>
    <w:rsid w:val="00122926"/>
    <w:rsid w:val="0012292A"/>
    <w:rsid w:val="0012292D"/>
    <w:rsid w:val="0012294E"/>
    <w:rsid w:val="00122979"/>
    <w:rsid w:val="001229AF"/>
    <w:rsid w:val="001229B3"/>
    <w:rsid w:val="00122A4B"/>
    <w:rsid w:val="00122AA1"/>
    <w:rsid w:val="00122B34"/>
    <w:rsid w:val="00122B73"/>
    <w:rsid w:val="00122B91"/>
    <w:rsid w:val="00122BDA"/>
    <w:rsid w:val="00122C28"/>
    <w:rsid w:val="00122CA0"/>
    <w:rsid w:val="00122DED"/>
    <w:rsid w:val="00122E6E"/>
    <w:rsid w:val="00122E87"/>
    <w:rsid w:val="00122EC3"/>
    <w:rsid w:val="00122F0B"/>
    <w:rsid w:val="00122F31"/>
    <w:rsid w:val="00122FCD"/>
    <w:rsid w:val="00122FDB"/>
    <w:rsid w:val="00122FEE"/>
    <w:rsid w:val="00122FF7"/>
    <w:rsid w:val="001231CC"/>
    <w:rsid w:val="001231D6"/>
    <w:rsid w:val="00123207"/>
    <w:rsid w:val="00123231"/>
    <w:rsid w:val="001232D5"/>
    <w:rsid w:val="001232DC"/>
    <w:rsid w:val="00123305"/>
    <w:rsid w:val="00123323"/>
    <w:rsid w:val="00123334"/>
    <w:rsid w:val="00123418"/>
    <w:rsid w:val="0012343A"/>
    <w:rsid w:val="001234BF"/>
    <w:rsid w:val="001234DF"/>
    <w:rsid w:val="0012358F"/>
    <w:rsid w:val="001235C6"/>
    <w:rsid w:val="001235DD"/>
    <w:rsid w:val="00123626"/>
    <w:rsid w:val="0012365A"/>
    <w:rsid w:val="001236BB"/>
    <w:rsid w:val="001236C8"/>
    <w:rsid w:val="0012371B"/>
    <w:rsid w:val="00123724"/>
    <w:rsid w:val="0012372D"/>
    <w:rsid w:val="001237DD"/>
    <w:rsid w:val="00123877"/>
    <w:rsid w:val="00123933"/>
    <w:rsid w:val="00123999"/>
    <w:rsid w:val="001239F3"/>
    <w:rsid w:val="00123AC9"/>
    <w:rsid w:val="00123B21"/>
    <w:rsid w:val="00123B67"/>
    <w:rsid w:val="00123CA3"/>
    <w:rsid w:val="00123CC0"/>
    <w:rsid w:val="00123CE4"/>
    <w:rsid w:val="00123D1C"/>
    <w:rsid w:val="00123DEE"/>
    <w:rsid w:val="00123DF4"/>
    <w:rsid w:val="00123F60"/>
    <w:rsid w:val="00123F74"/>
    <w:rsid w:val="00123F7C"/>
    <w:rsid w:val="00123FCE"/>
    <w:rsid w:val="00123FDF"/>
    <w:rsid w:val="0012406F"/>
    <w:rsid w:val="00124093"/>
    <w:rsid w:val="001240CC"/>
    <w:rsid w:val="001240E9"/>
    <w:rsid w:val="001240EA"/>
    <w:rsid w:val="00124139"/>
    <w:rsid w:val="00124171"/>
    <w:rsid w:val="00124174"/>
    <w:rsid w:val="00124219"/>
    <w:rsid w:val="0012423E"/>
    <w:rsid w:val="001242E5"/>
    <w:rsid w:val="00124375"/>
    <w:rsid w:val="00124399"/>
    <w:rsid w:val="0012444A"/>
    <w:rsid w:val="00124468"/>
    <w:rsid w:val="00124492"/>
    <w:rsid w:val="001244AB"/>
    <w:rsid w:val="001244E4"/>
    <w:rsid w:val="00124513"/>
    <w:rsid w:val="0012453E"/>
    <w:rsid w:val="00124588"/>
    <w:rsid w:val="0012458D"/>
    <w:rsid w:val="001245E1"/>
    <w:rsid w:val="001245FF"/>
    <w:rsid w:val="00124604"/>
    <w:rsid w:val="00124645"/>
    <w:rsid w:val="00124683"/>
    <w:rsid w:val="0012468E"/>
    <w:rsid w:val="0012469F"/>
    <w:rsid w:val="001246B2"/>
    <w:rsid w:val="00124702"/>
    <w:rsid w:val="00124761"/>
    <w:rsid w:val="00124778"/>
    <w:rsid w:val="0012478A"/>
    <w:rsid w:val="0012479F"/>
    <w:rsid w:val="00124823"/>
    <w:rsid w:val="00124828"/>
    <w:rsid w:val="0012483E"/>
    <w:rsid w:val="0012484A"/>
    <w:rsid w:val="00124856"/>
    <w:rsid w:val="0012488F"/>
    <w:rsid w:val="001248A0"/>
    <w:rsid w:val="001249CD"/>
    <w:rsid w:val="001249CE"/>
    <w:rsid w:val="001249E2"/>
    <w:rsid w:val="001249F3"/>
    <w:rsid w:val="00124A29"/>
    <w:rsid w:val="00124A34"/>
    <w:rsid w:val="00124A4C"/>
    <w:rsid w:val="00124A81"/>
    <w:rsid w:val="00124AA1"/>
    <w:rsid w:val="00124AF3"/>
    <w:rsid w:val="00124C50"/>
    <w:rsid w:val="00124C71"/>
    <w:rsid w:val="00124C97"/>
    <w:rsid w:val="00124D03"/>
    <w:rsid w:val="00124E10"/>
    <w:rsid w:val="00124E2D"/>
    <w:rsid w:val="00124E4F"/>
    <w:rsid w:val="00124E72"/>
    <w:rsid w:val="00124E73"/>
    <w:rsid w:val="00124F56"/>
    <w:rsid w:val="00125049"/>
    <w:rsid w:val="001250D2"/>
    <w:rsid w:val="00125147"/>
    <w:rsid w:val="00125172"/>
    <w:rsid w:val="001251AB"/>
    <w:rsid w:val="001251D2"/>
    <w:rsid w:val="00125214"/>
    <w:rsid w:val="001252CD"/>
    <w:rsid w:val="001252E2"/>
    <w:rsid w:val="0012534D"/>
    <w:rsid w:val="00125492"/>
    <w:rsid w:val="00125513"/>
    <w:rsid w:val="00125530"/>
    <w:rsid w:val="0012554C"/>
    <w:rsid w:val="00125578"/>
    <w:rsid w:val="0012559E"/>
    <w:rsid w:val="001255AD"/>
    <w:rsid w:val="001255C6"/>
    <w:rsid w:val="001255C8"/>
    <w:rsid w:val="0012560F"/>
    <w:rsid w:val="0012562F"/>
    <w:rsid w:val="0012563F"/>
    <w:rsid w:val="001256ED"/>
    <w:rsid w:val="0012573B"/>
    <w:rsid w:val="0012573D"/>
    <w:rsid w:val="00125779"/>
    <w:rsid w:val="00125780"/>
    <w:rsid w:val="001257AD"/>
    <w:rsid w:val="00125807"/>
    <w:rsid w:val="00125863"/>
    <w:rsid w:val="00125878"/>
    <w:rsid w:val="00125924"/>
    <w:rsid w:val="00125925"/>
    <w:rsid w:val="00125930"/>
    <w:rsid w:val="00125937"/>
    <w:rsid w:val="00125987"/>
    <w:rsid w:val="00125989"/>
    <w:rsid w:val="001259B0"/>
    <w:rsid w:val="001259D5"/>
    <w:rsid w:val="00125A45"/>
    <w:rsid w:val="00125A4C"/>
    <w:rsid w:val="00125B00"/>
    <w:rsid w:val="00125B80"/>
    <w:rsid w:val="00125BA7"/>
    <w:rsid w:val="00125BCB"/>
    <w:rsid w:val="00125BCE"/>
    <w:rsid w:val="00125BFC"/>
    <w:rsid w:val="00125BFF"/>
    <w:rsid w:val="00125C02"/>
    <w:rsid w:val="00125C5E"/>
    <w:rsid w:val="00125CA2"/>
    <w:rsid w:val="00125D6F"/>
    <w:rsid w:val="00125D84"/>
    <w:rsid w:val="00125E2E"/>
    <w:rsid w:val="00125E5F"/>
    <w:rsid w:val="00125E81"/>
    <w:rsid w:val="00125EAF"/>
    <w:rsid w:val="00125F7A"/>
    <w:rsid w:val="00125FF7"/>
    <w:rsid w:val="001260CC"/>
    <w:rsid w:val="0012617F"/>
    <w:rsid w:val="001261F8"/>
    <w:rsid w:val="00126256"/>
    <w:rsid w:val="00126320"/>
    <w:rsid w:val="00126386"/>
    <w:rsid w:val="001263C0"/>
    <w:rsid w:val="001263C4"/>
    <w:rsid w:val="001263E1"/>
    <w:rsid w:val="001263E8"/>
    <w:rsid w:val="0012641B"/>
    <w:rsid w:val="0012648D"/>
    <w:rsid w:val="00126560"/>
    <w:rsid w:val="0012659B"/>
    <w:rsid w:val="00126605"/>
    <w:rsid w:val="00126667"/>
    <w:rsid w:val="00126690"/>
    <w:rsid w:val="0012675E"/>
    <w:rsid w:val="001267AF"/>
    <w:rsid w:val="0012682A"/>
    <w:rsid w:val="001268CE"/>
    <w:rsid w:val="00126950"/>
    <w:rsid w:val="0012697F"/>
    <w:rsid w:val="00126ACA"/>
    <w:rsid w:val="00126AF2"/>
    <w:rsid w:val="00126B01"/>
    <w:rsid w:val="00126B24"/>
    <w:rsid w:val="00126B5B"/>
    <w:rsid w:val="00126B92"/>
    <w:rsid w:val="00126BAD"/>
    <w:rsid w:val="00126BD7"/>
    <w:rsid w:val="00126C1E"/>
    <w:rsid w:val="00126C24"/>
    <w:rsid w:val="00126C49"/>
    <w:rsid w:val="00126C59"/>
    <w:rsid w:val="00126C6F"/>
    <w:rsid w:val="00126CC2"/>
    <w:rsid w:val="00126CD1"/>
    <w:rsid w:val="00126D0D"/>
    <w:rsid w:val="00126D15"/>
    <w:rsid w:val="00126D56"/>
    <w:rsid w:val="00126DC1"/>
    <w:rsid w:val="00126ED1"/>
    <w:rsid w:val="00126F18"/>
    <w:rsid w:val="00127088"/>
    <w:rsid w:val="001270C2"/>
    <w:rsid w:val="00127116"/>
    <w:rsid w:val="00127186"/>
    <w:rsid w:val="001271A6"/>
    <w:rsid w:val="0012720E"/>
    <w:rsid w:val="00127212"/>
    <w:rsid w:val="0012723C"/>
    <w:rsid w:val="00127342"/>
    <w:rsid w:val="00127353"/>
    <w:rsid w:val="001273A7"/>
    <w:rsid w:val="001273CE"/>
    <w:rsid w:val="00127499"/>
    <w:rsid w:val="001274E8"/>
    <w:rsid w:val="00127553"/>
    <w:rsid w:val="00127569"/>
    <w:rsid w:val="00127588"/>
    <w:rsid w:val="0012758B"/>
    <w:rsid w:val="001275AB"/>
    <w:rsid w:val="001275E5"/>
    <w:rsid w:val="001275EC"/>
    <w:rsid w:val="0012760A"/>
    <w:rsid w:val="00127615"/>
    <w:rsid w:val="0012767C"/>
    <w:rsid w:val="00127735"/>
    <w:rsid w:val="00127787"/>
    <w:rsid w:val="001277F0"/>
    <w:rsid w:val="001278E0"/>
    <w:rsid w:val="00127974"/>
    <w:rsid w:val="00127975"/>
    <w:rsid w:val="001279A9"/>
    <w:rsid w:val="001279B4"/>
    <w:rsid w:val="001279C5"/>
    <w:rsid w:val="00127A15"/>
    <w:rsid w:val="00127AF0"/>
    <w:rsid w:val="00127B57"/>
    <w:rsid w:val="00127BD5"/>
    <w:rsid w:val="00127C01"/>
    <w:rsid w:val="00127C1F"/>
    <w:rsid w:val="00127C8A"/>
    <w:rsid w:val="00127CAC"/>
    <w:rsid w:val="00127D4A"/>
    <w:rsid w:val="00127E07"/>
    <w:rsid w:val="00127E3C"/>
    <w:rsid w:val="00127E5C"/>
    <w:rsid w:val="0013005C"/>
    <w:rsid w:val="001300A3"/>
    <w:rsid w:val="001300D8"/>
    <w:rsid w:val="0013010E"/>
    <w:rsid w:val="00130174"/>
    <w:rsid w:val="001301C2"/>
    <w:rsid w:val="00130245"/>
    <w:rsid w:val="001302A4"/>
    <w:rsid w:val="001302B7"/>
    <w:rsid w:val="001302E1"/>
    <w:rsid w:val="00130306"/>
    <w:rsid w:val="00130341"/>
    <w:rsid w:val="00130349"/>
    <w:rsid w:val="0013034D"/>
    <w:rsid w:val="0013039A"/>
    <w:rsid w:val="001303A6"/>
    <w:rsid w:val="001303F9"/>
    <w:rsid w:val="0013040C"/>
    <w:rsid w:val="00130565"/>
    <w:rsid w:val="001305A0"/>
    <w:rsid w:val="00130607"/>
    <w:rsid w:val="00130657"/>
    <w:rsid w:val="0013067E"/>
    <w:rsid w:val="001306C1"/>
    <w:rsid w:val="001306C2"/>
    <w:rsid w:val="001306C5"/>
    <w:rsid w:val="001306FE"/>
    <w:rsid w:val="00130729"/>
    <w:rsid w:val="00130747"/>
    <w:rsid w:val="001307BE"/>
    <w:rsid w:val="001307C0"/>
    <w:rsid w:val="00130867"/>
    <w:rsid w:val="001308B7"/>
    <w:rsid w:val="0013092A"/>
    <w:rsid w:val="0013099A"/>
    <w:rsid w:val="0013099C"/>
    <w:rsid w:val="001309FE"/>
    <w:rsid w:val="00130A9C"/>
    <w:rsid w:val="00130B22"/>
    <w:rsid w:val="00130B5D"/>
    <w:rsid w:val="00130BBF"/>
    <w:rsid w:val="00130BC8"/>
    <w:rsid w:val="00130C0D"/>
    <w:rsid w:val="00130C18"/>
    <w:rsid w:val="00130C24"/>
    <w:rsid w:val="00130C4D"/>
    <w:rsid w:val="00130C8B"/>
    <w:rsid w:val="00130CA8"/>
    <w:rsid w:val="00130CD5"/>
    <w:rsid w:val="00130CDA"/>
    <w:rsid w:val="00130D19"/>
    <w:rsid w:val="00130D53"/>
    <w:rsid w:val="00130DBB"/>
    <w:rsid w:val="00130DC9"/>
    <w:rsid w:val="00130DF9"/>
    <w:rsid w:val="00130E85"/>
    <w:rsid w:val="00130ED4"/>
    <w:rsid w:val="00130F06"/>
    <w:rsid w:val="00130FF2"/>
    <w:rsid w:val="00131005"/>
    <w:rsid w:val="00131050"/>
    <w:rsid w:val="0013109E"/>
    <w:rsid w:val="0013111F"/>
    <w:rsid w:val="00131127"/>
    <w:rsid w:val="00131182"/>
    <w:rsid w:val="00131223"/>
    <w:rsid w:val="00131275"/>
    <w:rsid w:val="0013136F"/>
    <w:rsid w:val="001313BA"/>
    <w:rsid w:val="001313E5"/>
    <w:rsid w:val="001313F1"/>
    <w:rsid w:val="0013147F"/>
    <w:rsid w:val="001314A3"/>
    <w:rsid w:val="001314C4"/>
    <w:rsid w:val="001314DE"/>
    <w:rsid w:val="001314FA"/>
    <w:rsid w:val="001314FE"/>
    <w:rsid w:val="00131540"/>
    <w:rsid w:val="001315DF"/>
    <w:rsid w:val="0013164E"/>
    <w:rsid w:val="00131673"/>
    <w:rsid w:val="0013185E"/>
    <w:rsid w:val="00131881"/>
    <w:rsid w:val="001318D8"/>
    <w:rsid w:val="00131923"/>
    <w:rsid w:val="001319E6"/>
    <w:rsid w:val="00131A25"/>
    <w:rsid w:val="00131B8B"/>
    <w:rsid w:val="00131B90"/>
    <w:rsid w:val="00131BA3"/>
    <w:rsid w:val="00131BF6"/>
    <w:rsid w:val="00131CC1"/>
    <w:rsid w:val="00131CD5"/>
    <w:rsid w:val="00131CF2"/>
    <w:rsid w:val="00131CF4"/>
    <w:rsid w:val="00131D12"/>
    <w:rsid w:val="00131D47"/>
    <w:rsid w:val="00131D9C"/>
    <w:rsid w:val="00131DC9"/>
    <w:rsid w:val="00131E04"/>
    <w:rsid w:val="00131E7C"/>
    <w:rsid w:val="00131E9C"/>
    <w:rsid w:val="00131EA5"/>
    <w:rsid w:val="00131ED7"/>
    <w:rsid w:val="00131F58"/>
    <w:rsid w:val="00131FF2"/>
    <w:rsid w:val="0013200A"/>
    <w:rsid w:val="00132057"/>
    <w:rsid w:val="00132060"/>
    <w:rsid w:val="00132064"/>
    <w:rsid w:val="00132096"/>
    <w:rsid w:val="001320F1"/>
    <w:rsid w:val="00132122"/>
    <w:rsid w:val="0013219F"/>
    <w:rsid w:val="001321F3"/>
    <w:rsid w:val="00132207"/>
    <w:rsid w:val="0013228E"/>
    <w:rsid w:val="001322DA"/>
    <w:rsid w:val="001322E0"/>
    <w:rsid w:val="0013230A"/>
    <w:rsid w:val="00132374"/>
    <w:rsid w:val="001323D4"/>
    <w:rsid w:val="0013244E"/>
    <w:rsid w:val="00132540"/>
    <w:rsid w:val="0013254D"/>
    <w:rsid w:val="00132587"/>
    <w:rsid w:val="001325A0"/>
    <w:rsid w:val="001325A2"/>
    <w:rsid w:val="001325A9"/>
    <w:rsid w:val="0013260A"/>
    <w:rsid w:val="00132638"/>
    <w:rsid w:val="00132661"/>
    <w:rsid w:val="001326B2"/>
    <w:rsid w:val="001326FF"/>
    <w:rsid w:val="0013271B"/>
    <w:rsid w:val="0013275C"/>
    <w:rsid w:val="00132788"/>
    <w:rsid w:val="0013278D"/>
    <w:rsid w:val="00132797"/>
    <w:rsid w:val="001327AA"/>
    <w:rsid w:val="00132818"/>
    <w:rsid w:val="00132843"/>
    <w:rsid w:val="00132847"/>
    <w:rsid w:val="001328B8"/>
    <w:rsid w:val="001328CE"/>
    <w:rsid w:val="001328E0"/>
    <w:rsid w:val="001328F6"/>
    <w:rsid w:val="00132976"/>
    <w:rsid w:val="001329B9"/>
    <w:rsid w:val="001329DB"/>
    <w:rsid w:val="00132A85"/>
    <w:rsid w:val="00132B18"/>
    <w:rsid w:val="00132B8E"/>
    <w:rsid w:val="00132BD5"/>
    <w:rsid w:val="00132C0B"/>
    <w:rsid w:val="00132C35"/>
    <w:rsid w:val="00132C79"/>
    <w:rsid w:val="00132CA8"/>
    <w:rsid w:val="00132CDE"/>
    <w:rsid w:val="00132CE2"/>
    <w:rsid w:val="00132D18"/>
    <w:rsid w:val="00132D21"/>
    <w:rsid w:val="00132D66"/>
    <w:rsid w:val="00132DA1"/>
    <w:rsid w:val="00132E0E"/>
    <w:rsid w:val="00132E1A"/>
    <w:rsid w:val="00132E57"/>
    <w:rsid w:val="00132E5A"/>
    <w:rsid w:val="00132ED2"/>
    <w:rsid w:val="00132F86"/>
    <w:rsid w:val="00132F87"/>
    <w:rsid w:val="00132FA1"/>
    <w:rsid w:val="00132FF2"/>
    <w:rsid w:val="00133038"/>
    <w:rsid w:val="00133042"/>
    <w:rsid w:val="00133085"/>
    <w:rsid w:val="00133106"/>
    <w:rsid w:val="00133177"/>
    <w:rsid w:val="00133220"/>
    <w:rsid w:val="001332A0"/>
    <w:rsid w:val="001332AE"/>
    <w:rsid w:val="001332BA"/>
    <w:rsid w:val="0013333C"/>
    <w:rsid w:val="0013335A"/>
    <w:rsid w:val="00133370"/>
    <w:rsid w:val="00133396"/>
    <w:rsid w:val="001333A0"/>
    <w:rsid w:val="001333D7"/>
    <w:rsid w:val="001333F6"/>
    <w:rsid w:val="001333F7"/>
    <w:rsid w:val="001333FF"/>
    <w:rsid w:val="0013340D"/>
    <w:rsid w:val="001334E8"/>
    <w:rsid w:val="00133506"/>
    <w:rsid w:val="00133626"/>
    <w:rsid w:val="001336D5"/>
    <w:rsid w:val="00133704"/>
    <w:rsid w:val="0013373F"/>
    <w:rsid w:val="0013374C"/>
    <w:rsid w:val="00133797"/>
    <w:rsid w:val="001337DC"/>
    <w:rsid w:val="001337DD"/>
    <w:rsid w:val="0013382A"/>
    <w:rsid w:val="0013382D"/>
    <w:rsid w:val="0013386E"/>
    <w:rsid w:val="00133871"/>
    <w:rsid w:val="001338C2"/>
    <w:rsid w:val="00133932"/>
    <w:rsid w:val="00133994"/>
    <w:rsid w:val="00133996"/>
    <w:rsid w:val="001339C6"/>
    <w:rsid w:val="001339F3"/>
    <w:rsid w:val="00133A2E"/>
    <w:rsid w:val="00133A82"/>
    <w:rsid w:val="00133ACF"/>
    <w:rsid w:val="00133AD0"/>
    <w:rsid w:val="00133B0A"/>
    <w:rsid w:val="00133B98"/>
    <w:rsid w:val="00133BA4"/>
    <w:rsid w:val="00133C07"/>
    <w:rsid w:val="00133C1F"/>
    <w:rsid w:val="00133C25"/>
    <w:rsid w:val="00133D15"/>
    <w:rsid w:val="00133D17"/>
    <w:rsid w:val="00133D1B"/>
    <w:rsid w:val="00133D49"/>
    <w:rsid w:val="00133DAA"/>
    <w:rsid w:val="00133DB1"/>
    <w:rsid w:val="00133DC4"/>
    <w:rsid w:val="00133E06"/>
    <w:rsid w:val="00133E60"/>
    <w:rsid w:val="00133E6E"/>
    <w:rsid w:val="00133E9B"/>
    <w:rsid w:val="00133EA7"/>
    <w:rsid w:val="00133EB1"/>
    <w:rsid w:val="00133F1C"/>
    <w:rsid w:val="00133F35"/>
    <w:rsid w:val="00133FCB"/>
    <w:rsid w:val="00133FEA"/>
    <w:rsid w:val="0013401F"/>
    <w:rsid w:val="00134032"/>
    <w:rsid w:val="00134035"/>
    <w:rsid w:val="00134054"/>
    <w:rsid w:val="001340B8"/>
    <w:rsid w:val="001340EA"/>
    <w:rsid w:val="001340F4"/>
    <w:rsid w:val="00134124"/>
    <w:rsid w:val="0013413A"/>
    <w:rsid w:val="00134153"/>
    <w:rsid w:val="00134239"/>
    <w:rsid w:val="0013431E"/>
    <w:rsid w:val="00134363"/>
    <w:rsid w:val="001343A5"/>
    <w:rsid w:val="001343E9"/>
    <w:rsid w:val="001343EF"/>
    <w:rsid w:val="00134438"/>
    <w:rsid w:val="00134456"/>
    <w:rsid w:val="0013446F"/>
    <w:rsid w:val="001344B0"/>
    <w:rsid w:val="001344E6"/>
    <w:rsid w:val="00134534"/>
    <w:rsid w:val="0013454A"/>
    <w:rsid w:val="00134567"/>
    <w:rsid w:val="0013456A"/>
    <w:rsid w:val="0013456D"/>
    <w:rsid w:val="00134595"/>
    <w:rsid w:val="001345AA"/>
    <w:rsid w:val="001345B2"/>
    <w:rsid w:val="00134611"/>
    <w:rsid w:val="00134738"/>
    <w:rsid w:val="0013479D"/>
    <w:rsid w:val="001347FB"/>
    <w:rsid w:val="00134815"/>
    <w:rsid w:val="00134827"/>
    <w:rsid w:val="00134983"/>
    <w:rsid w:val="00134992"/>
    <w:rsid w:val="001349C4"/>
    <w:rsid w:val="001349F0"/>
    <w:rsid w:val="001349F1"/>
    <w:rsid w:val="00134A16"/>
    <w:rsid w:val="00134A41"/>
    <w:rsid w:val="00134A5B"/>
    <w:rsid w:val="00134AD5"/>
    <w:rsid w:val="00134ADA"/>
    <w:rsid w:val="00134B23"/>
    <w:rsid w:val="00134B34"/>
    <w:rsid w:val="00134B4B"/>
    <w:rsid w:val="00134B60"/>
    <w:rsid w:val="00134B92"/>
    <w:rsid w:val="00134BA6"/>
    <w:rsid w:val="00134BC4"/>
    <w:rsid w:val="00134C21"/>
    <w:rsid w:val="00134C91"/>
    <w:rsid w:val="00134D44"/>
    <w:rsid w:val="00134E0C"/>
    <w:rsid w:val="00134E47"/>
    <w:rsid w:val="00134EB5"/>
    <w:rsid w:val="00134F54"/>
    <w:rsid w:val="00134F63"/>
    <w:rsid w:val="00134F96"/>
    <w:rsid w:val="00134F9A"/>
    <w:rsid w:val="00134FE4"/>
    <w:rsid w:val="00135095"/>
    <w:rsid w:val="001350EB"/>
    <w:rsid w:val="001350EC"/>
    <w:rsid w:val="0013510F"/>
    <w:rsid w:val="00135115"/>
    <w:rsid w:val="001351E9"/>
    <w:rsid w:val="0013521D"/>
    <w:rsid w:val="00135230"/>
    <w:rsid w:val="0013525D"/>
    <w:rsid w:val="00135266"/>
    <w:rsid w:val="001352DF"/>
    <w:rsid w:val="001352E3"/>
    <w:rsid w:val="0013537F"/>
    <w:rsid w:val="0013539F"/>
    <w:rsid w:val="001353BE"/>
    <w:rsid w:val="00135463"/>
    <w:rsid w:val="001354F8"/>
    <w:rsid w:val="00135554"/>
    <w:rsid w:val="0013556A"/>
    <w:rsid w:val="001355AF"/>
    <w:rsid w:val="001355B1"/>
    <w:rsid w:val="001355C9"/>
    <w:rsid w:val="0013568A"/>
    <w:rsid w:val="0013568B"/>
    <w:rsid w:val="001356FC"/>
    <w:rsid w:val="0013570D"/>
    <w:rsid w:val="00135718"/>
    <w:rsid w:val="00135748"/>
    <w:rsid w:val="00135788"/>
    <w:rsid w:val="0013580F"/>
    <w:rsid w:val="00135820"/>
    <w:rsid w:val="0013596F"/>
    <w:rsid w:val="0013599E"/>
    <w:rsid w:val="00135A78"/>
    <w:rsid w:val="00135AD1"/>
    <w:rsid w:val="00135AEA"/>
    <w:rsid w:val="00135B2E"/>
    <w:rsid w:val="00135B3F"/>
    <w:rsid w:val="00135B65"/>
    <w:rsid w:val="00135BAB"/>
    <w:rsid w:val="00135BB4"/>
    <w:rsid w:val="00135C81"/>
    <w:rsid w:val="00135C95"/>
    <w:rsid w:val="00135CB5"/>
    <w:rsid w:val="00135CBF"/>
    <w:rsid w:val="00135CD5"/>
    <w:rsid w:val="00135D44"/>
    <w:rsid w:val="00135D6F"/>
    <w:rsid w:val="00135D92"/>
    <w:rsid w:val="00135DA7"/>
    <w:rsid w:val="00135EFF"/>
    <w:rsid w:val="00135F0F"/>
    <w:rsid w:val="00135F21"/>
    <w:rsid w:val="00136032"/>
    <w:rsid w:val="00136094"/>
    <w:rsid w:val="001360F6"/>
    <w:rsid w:val="00136141"/>
    <w:rsid w:val="00136252"/>
    <w:rsid w:val="00136293"/>
    <w:rsid w:val="001362B0"/>
    <w:rsid w:val="001362BF"/>
    <w:rsid w:val="001362D7"/>
    <w:rsid w:val="00136388"/>
    <w:rsid w:val="001363BA"/>
    <w:rsid w:val="0013646C"/>
    <w:rsid w:val="001364B0"/>
    <w:rsid w:val="001364EE"/>
    <w:rsid w:val="00136513"/>
    <w:rsid w:val="00136545"/>
    <w:rsid w:val="001365A3"/>
    <w:rsid w:val="00136640"/>
    <w:rsid w:val="0013667D"/>
    <w:rsid w:val="001366C1"/>
    <w:rsid w:val="0013675B"/>
    <w:rsid w:val="00136780"/>
    <w:rsid w:val="00136809"/>
    <w:rsid w:val="001368BA"/>
    <w:rsid w:val="001368CC"/>
    <w:rsid w:val="00136935"/>
    <w:rsid w:val="001369AC"/>
    <w:rsid w:val="001369BB"/>
    <w:rsid w:val="001369F3"/>
    <w:rsid w:val="00136A81"/>
    <w:rsid w:val="00136B0E"/>
    <w:rsid w:val="00136B45"/>
    <w:rsid w:val="00136B57"/>
    <w:rsid w:val="00136BA6"/>
    <w:rsid w:val="00136BE4"/>
    <w:rsid w:val="00136C46"/>
    <w:rsid w:val="00136D09"/>
    <w:rsid w:val="00136D15"/>
    <w:rsid w:val="00136D7B"/>
    <w:rsid w:val="00136DD0"/>
    <w:rsid w:val="00136E98"/>
    <w:rsid w:val="00136EB1"/>
    <w:rsid w:val="00136F0C"/>
    <w:rsid w:val="00136FA5"/>
    <w:rsid w:val="00137018"/>
    <w:rsid w:val="0013703C"/>
    <w:rsid w:val="00137085"/>
    <w:rsid w:val="0013709B"/>
    <w:rsid w:val="001370E6"/>
    <w:rsid w:val="001370F1"/>
    <w:rsid w:val="001370FE"/>
    <w:rsid w:val="0013710F"/>
    <w:rsid w:val="0013721C"/>
    <w:rsid w:val="001372D3"/>
    <w:rsid w:val="00137314"/>
    <w:rsid w:val="00137332"/>
    <w:rsid w:val="00137346"/>
    <w:rsid w:val="00137383"/>
    <w:rsid w:val="001373A1"/>
    <w:rsid w:val="001373AD"/>
    <w:rsid w:val="001373FB"/>
    <w:rsid w:val="00137418"/>
    <w:rsid w:val="00137493"/>
    <w:rsid w:val="001374BD"/>
    <w:rsid w:val="001374EC"/>
    <w:rsid w:val="00137534"/>
    <w:rsid w:val="001375BF"/>
    <w:rsid w:val="00137641"/>
    <w:rsid w:val="0013765A"/>
    <w:rsid w:val="001376D9"/>
    <w:rsid w:val="00137716"/>
    <w:rsid w:val="001377F6"/>
    <w:rsid w:val="001377FE"/>
    <w:rsid w:val="001378A6"/>
    <w:rsid w:val="001378A8"/>
    <w:rsid w:val="001378D0"/>
    <w:rsid w:val="00137947"/>
    <w:rsid w:val="00137A2A"/>
    <w:rsid w:val="00137A65"/>
    <w:rsid w:val="00137A6B"/>
    <w:rsid w:val="00137A76"/>
    <w:rsid w:val="00137AE4"/>
    <w:rsid w:val="00137B63"/>
    <w:rsid w:val="00137B7D"/>
    <w:rsid w:val="00137B85"/>
    <w:rsid w:val="00137BB7"/>
    <w:rsid w:val="00137BCD"/>
    <w:rsid w:val="00137BCE"/>
    <w:rsid w:val="00137C22"/>
    <w:rsid w:val="00137C28"/>
    <w:rsid w:val="00137D3E"/>
    <w:rsid w:val="00137DB0"/>
    <w:rsid w:val="00137E18"/>
    <w:rsid w:val="00137E88"/>
    <w:rsid w:val="00137EE8"/>
    <w:rsid w:val="00137F0B"/>
    <w:rsid w:val="00137F51"/>
    <w:rsid w:val="00140049"/>
    <w:rsid w:val="001400B2"/>
    <w:rsid w:val="001400D4"/>
    <w:rsid w:val="001400D8"/>
    <w:rsid w:val="00140123"/>
    <w:rsid w:val="00140125"/>
    <w:rsid w:val="0014028F"/>
    <w:rsid w:val="001402DA"/>
    <w:rsid w:val="00140314"/>
    <w:rsid w:val="001403C3"/>
    <w:rsid w:val="001403F1"/>
    <w:rsid w:val="001403F8"/>
    <w:rsid w:val="00140423"/>
    <w:rsid w:val="00140438"/>
    <w:rsid w:val="00140571"/>
    <w:rsid w:val="00140572"/>
    <w:rsid w:val="00140573"/>
    <w:rsid w:val="0014057A"/>
    <w:rsid w:val="001405AB"/>
    <w:rsid w:val="001405C0"/>
    <w:rsid w:val="001405DC"/>
    <w:rsid w:val="001405FD"/>
    <w:rsid w:val="00140690"/>
    <w:rsid w:val="00140699"/>
    <w:rsid w:val="001406DA"/>
    <w:rsid w:val="00140719"/>
    <w:rsid w:val="0014071B"/>
    <w:rsid w:val="00140763"/>
    <w:rsid w:val="001407CB"/>
    <w:rsid w:val="00140825"/>
    <w:rsid w:val="00140840"/>
    <w:rsid w:val="00140875"/>
    <w:rsid w:val="00140902"/>
    <w:rsid w:val="0014090D"/>
    <w:rsid w:val="00140969"/>
    <w:rsid w:val="0014097E"/>
    <w:rsid w:val="001409A5"/>
    <w:rsid w:val="001409F4"/>
    <w:rsid w:val="00140A71"/>
    <w:rsid w:val="00140A85"/>
    <w:rsid w:val="00140A88"/>
    <w:rsid w:val="00140ADC"/>
    <w:rsid w:val="00140B45"/>
    <w:rsid w:val="00140B7F"/>
    <w:rsid w:val="00140B92"/>
    <w:rsid w:val="00140BC0"/>
    <w:rsid w:val="00140C1C"/>
    <w:rsid w:val="00140C25"/>
    <w:rsid w:val="00140C4A"/>
    <w:rsid w:val="00140C59"/>
    <w:rsid w:val="00140C5A"/>
    <w:rsid w:val="00140CA3"/>
    <w:rsid w:val="00140D29"/>
    <w:rsid w:val="00140D77"/>
    <w:rsid w:val="00140D97"/>
    <w:rsid w:val="00140E5C"/>
    <w:rsid w:val="00140E60"/>
    <w:rsid w:val="00140E63"/>
    <w:rsid w:val="00140EBC"/>
    <w:rsid w:val="00140EC6"/>
    <w:rsid w:val="00140ED9"/>
    <w:rsid w:val="00140F6A"/>
    <w:rsid w:val="00140F77"/>
    <w:rsid w:val="00140F97"/>
    <w:rsid w:val="00140F9D"/>
    <w:rsid w:val="00141042"/>
    <w:rsid w:val="0014105E"/>
    <w:rsid w:val="00141106"/>
    <w:rsid w:val="0014111B"/>
    <w:rsid w:val="001411D9"/>
    <w:rsid w:val="001411DE"/>
    <w:rsid w:val="0014120A"/>
    <w:rsid w:val="00141211"/>
    <w:rsid w:val="001412D4"/>
    <w:rsid w:val="00141384"/>
    <w:rsid w:val="00141386"/>
    <w:rsid w:val="00141577"/>
    <w:rsid w:val="001415A1"/>
    <w:rsid w:val="001415B2"/>
    <w:rsid w:val="001415FE"/>
    <w:rsid w:val="00141670"/>
    <w:rsid w:val="001416D2"/>
    <w:rsid w:val="001416D6"/>
    <w:rsid w:val="001416D8"/>
    <w:rsid w:val="00141741"/>
    <w:rsid w:val="00141767"/>
    <w:rsid w:val="0014186F"/>
    <w:rsid w:val="00141907"/>
    <w:rsid w:val="0014190D"/>
    <w:rsid w:val="00141959"/>
    <w:rsid w:val="001419D5"/>
    <w:rsid w:val="001419EF"/>
    <w:rsid w:val="00141A14"/>
    <w:rsid w:val="00141AD1"/>
    <w:rsid w:val="00141B13"/>
    <w:rsid w:val="00141B1B"/>
    <w:rsid w:val="00141B8F"/>
    <w:rsid w:val="00141BBB"/>
    <w:rsid w:val="00141C10"/>
    <w:rsid w:val="00141C47"/>
    <w:rsid w:val="00141CF2"/>
    <w:rsid w:val="00141D01"/>
    <w:rsid w:val="00141D11"/>
    <w:rsid w:val="00141D79"/>
    <w:rsid w:val="00141D97"/>
    <w:rsid w:val="00141DD3"/>
    <w:rsid w:val="00141DE5"/>
    <w:rsid w:val="00141E24"/>
    <w:rsid w:val="00141E74"/>
    <w:rsid w:val="00141EA9"/>
    <w:rsid w:val="00141EC2"/>
    <w:rsid w:val="00141ED7"/>
    <w:rsid w:val="00141EF6"/>
    <w:rsid w:val="00141F8F"/>
    <w:rsid w:val="00141FA3"/>
    <w:rsid w:val="0014206B"/>
    <w:rsid w:val="0014206E"/>
    <w:rsid w:val="001420EA"/>
    <w:rsid w:val="0014213B"/>
    <w:rsid w:val="00142154"/>
    <w:rsid w:val="001421A9"/>
    <w:rsid w:val="001421FF"/>
    <w:rsid w:val="00142278"/>
    <w:rsid w:val="0014228D"/>
    <w:rsid w:val="00142337"/>
    <w:rsid w:val="00142369"/>
    <w:rsid w:val="0014238C"/>
    <w:rsid w:val="001423A6"/>
    <w:rsid w:val="001423B7"/>
    <w:rsid w:val="001423CE"/>
    <w:rsid w:val="001423E5"/>
    <w:rsid w:val="001423F0"/>
    <w:rsid w:val="00142457"/>
    <w:rsid w:val="001424AC"/>
    <w:rsid w:val="001424E7"/>
    <w:rsid w:val="001424F4"/>
    <w:rsid w:val="00142579"/>
    <w:rsid w:val="001426BC"/>
    <w:rsid w:val="001426FB"/>
    <w:rsid w:val="0014270C"/>
    <w:rsid w:val="00142735"/>
    <w:rsid w:val="0014276B"/>
    <w:rsid w:val="001427C7"/>
    <w:rsid w:val="001427E6"/>
    <w:rsid w:val="001428CD"/>
    <w:rsid w:val="00142928"/>
    <w:rsid w:val="0014296A"/>
    <w:rsid w:val="00142971"/>
    <w:rsid w:val="001429F6"/>
    <w:rsid w:val="00142AB3"/>
    <w:rsid w:val="00142AF8"/>
    <w:rsid w:val="00142B0A"/>
    <w:rsid w:val="00142B11"/>
    <w:rsid w:val="00142B98"/>
    <w:rsid w:val="00142BB9"/>
    <w:rsid w:val="00142C12"/>
    <w:rsid w:val="00142C3B"/>
    <w:rsid w:val="00142C9C"/>
    <w:rsid w:val="00142CA4"/>
    <w:rsid w:val="00142CC7"/>
    <w:rsid w:val="00142D61"/>
    <w:rsid w:val="00142D66"/>
    <w:rsid w:val="00142DA6"/>
    <w:rsid w:val="00142DBF"/>
    <w:rsid w:val="00142E59"/>
    <w:rsid w:val="00142EC8"/>
    <w:rsid w:val="00142ED4"/>
    <w:rsid w:val="00142F31"/>
    <w:rsid w:val="00142FBC"/>
    <w:rsid w:val="00143004"/>
    <w:rsid w:val="0014309B"/>
    <w:rsid w:val="001430CE"/>
    <w:rsid w:val="00143108"/>
    <w:rsid w:val="00143109"/>
    <w:rsid w:val="00143120"/>
    <w:rsid w:val="001431FA"/>
    <w:rsid w:val="00143253"/>
    <w:rsid w:val="00143260"/>
    <w:rsid w:val="0014329F"/>
    <w:rsid w:val="00143310"/>
    <w:rsid w:val="00143355"/>
    <w:rsid w:val="001433E5"/>
    <w:rsid w:val="001433F5"/>
    <w:rsid w:val="0014342A"/>
    <w:rsid w:val="00143493"/>
    <w:rsid w:val="001434EF"/>
    <w:rsid w:val="00143531"/>
    <w:rsid w:val="001435AC"/>
    <w:rsid w:val="001435E1"/>
    <w:rsid w:val="00143603"/>
    <w:rsid w:val="0014364E"/>
    <w:rsid w:val="0014368F"/>
    <w:rsid w:val="001436B6"/>
    <w:rsid w:val="001436BC"/>
    <w:rsid w:val="00143787"/>
    <w:rsid w:val="0014379B"/>
    <w:rsid w:val="001437AD"/>
    <w:rsid w:val="001437D9"/>
    <w:rsid w:val="001437E1"/>
    <w:rsid w:val="001437E8"/>
    <w:rsid w:val="00143822"/>
    <w:rsid w:val="00143859"/>
    <w:rsid w:val="001438A4"/>
    <w:rsid w:val="00143951"/>
    <w:rsid w:val="00143A03"/>
    <w:rsid w:val="00143A55"/>
    <w:rsid w:val="00143A5F"/>
    <w:rsid w:val="00143A70"/>
    <w:rsid w:val="00143A85"/>
    <w:rsid w:val="00143ACD"/>
    <w:rsid w:val="00143B17"/>
    <w:rsid w:val="00143B1B"/>
    <w:rsid w:val="00143BE6"/>
    <w:rsid w:val="00143C45"/>
    <w:rsid w:val="00143CA5"/>
    <w:rsid w:val="00143CCA"/>
    <w:rsid w:val="00143CF9"/>
    <w:rsid w:val="00143D47"/>
    <w:rsid w:val="00143DC1"/>
    <w:rsid w:val="00143DC7"/>
    <w:rsid w:val="00143DCA"/>
    <w:rsid w:val="00143EBA"/>
    <w:rsid w:val="00143EC0"/>
    <w:rsid w:val="00143F68"/>
    <w:rsid w:val="00143FC0"/>
    <w:rsid w:val="0014408A"/>
    <w:rsid w:val="00144110"/>
    <w:rsid w:val="001441A8"/>
    <w:rsid w:val="001441B6"/>
    <w:rsid w:val="001441FC"/>
    <w:rsid w:val="00144210"/>
    <w:rsid w:val="001443EE"/>
    <w:rsid w:val="001444C7"/>
    <w:rsid w:val="001444D2"/>
    <w:rsid w:val="001444E6"/>
    <w:rsid w:val="001445E5"/>
    <w:rsid w:val="00144606"/>
    <w:rsid w:val="00144608"/>
    <w:rsid w:val="00144675"/>
    <w:rsid w:val="00144693"/>
    <w:rsid w:val="001446A2"/>
    <w:rsid w:val="001446F4"/>
    <w:rsid w:val="00144780"/>
    <w:rsid w:val="001447E3"/>
    <w:rsid w:val="0014480B"/>
    <w:rsid w:val="0014483D"/>
    <w:rsid w:val="0014484C"/>
    <w:rsid w:val="001448A8"/>
    <w:rsid w:val="00144951"/>
    <w:rsid w:val="00144972"/>
    <w:rsid w:val="00144983"/>
    <w:rsid w:val="001449B2"/>
    <w:rsid w:val="001449CB"/>
    <w:rsid w:val="00144A34"/>
    <w:rsid w:val="00144A9E"/>
    <w:rsid w:val="00144AA3"/>
    <w:rsid w:val="00144B3B"/>
    <w:rsid w:val="00144B41"/>
    <w:rsid w:val="00144BEC"/>
    <w:rsid w:val="00144D2F"/>
    <w:rsid w:val="00144D3B"/>
    <w:rsid w:val="00144D58"/>
    <w:rsid w:val="00144D61"/>
    <w:rsid w:val="00144D6B"/>
    <w:rsid w:val="00144D9B"/>
    <w:rsid w:val="00144DAC"/>
    <w:rsid w:val="00144E6D"/>
    <w:rsid w:val="00144EAE"/>
    <w:rsid w:val="00144F3D"/>
    <w:rsid w:val="00144F7B"/>
    <w:rsid w:val="00144F8E"/>
    <w:rsid w:val="0014504E"/>
    <w:rsid w:val="0014506D"/>
    <w:rsid w:val="001450A0"/>
    <w:rsid w:val="001450C1"/>
    <w:rsid w:val="00145112"/>
    <w:rsid w:val="001451D5"/>
    <w:rsid w:val="00145246"/>
    <w:rsid w:val="00145247"/>
    <w:rsid w:val="00145298"/>
    <w:rsid w:val="001452AD"/>
    <w:rsid w:val="001453A4"/>
    <w:rsid w:val="00145413"/>
    <w:rsid w:val="0014542C"/>
    <w:rsid w:val="0014545F"/>
    <w:rsid w:val="001454F9"/>
    <w:rsid w:val="00145523"/>
    <w:rsid w:val="0014552F"/>
    <w:rsid w:val="00145583"/>
    <w:rsid w:val="001455CC"/>
    <w:rsid w:val="001456C5"/>
    <w:rsid w:val="001456C8"/>
    <w:rsid w:val="001456E1"/>
    <w:rsid w:val="001456F0"/>
    <w:rsid w:val="00145758"/>
    <w:rsid w:val="0014578C"/>
    <w:rsid w:val="0014585A"/>
    <w:rsid w:val="0014588C"/>
    <w:rsid w:val="0014596F"/>
    <w:rsid w:val="00145A08"/>
    <w:rsid w:val="00145A4C"/>
    <w:rsid w:val="00145AB8"/>
    <w:rsid w:val="00145AEB"/>
    <w:rsid w:val="00145B8D"/>
    <w:rsid w:val="00145B94"/>
    <w:rsid w:val="00145BCE"/>
    <w:rsid w:val="00145C69"/>
    <w:rsid w:val="00145CD5"/>
    <w:rsid w:val="00145D26"/>
    <w:rsid w:val="00145D27"/>
    <w:rsid w:val="00145D74"/>
    <w:rsid w:val="00145E3E"/>
    <w:rsid w:val="00145E88"/>
    <w:rsid w:val="00145ED7"/>
    <w:rsid w:val="00145F4C"/>
    <w:rsid w:val="00145F76"/>
    <w:rsid w:val="00145F81"/>
    <w:rsid w:val="00146014"/>
    <w:rsid w:val="0014605E"/>
    <w:rsid w:val="0014609D"/>
    <w:rsid w:val="00146134"/>
    <w:rsid w:val="00146163"/>
    <w:rsid w:val="0014618A"/>
    <w:rsid w:val="0014618D"/>
    <w:rsid w:val="00146209"/>
    <w:rsid w:val="0014621D"/>
    <w:rsid w:val="0014625C"/>
    <w:rsid w:val="001462AB"/>
    <w:rsid w:val="00146470"/>
    <w:rsid w:val="001464B1"/>
    <w:rsid w:val="001464FF"/>
    <w:rsid w:val="0014653B"/>
    <w:rsid w:val="001465A6"/>
    <w:rsid w:val="00146614"/>
    <w:rsid w:val="00146633"/>
    <w:rsid w:val="0014667B"/>
    <w:rsid w:val="001466AF"/>
    <w:rsid w:val="001466B0"/>
    <w:rsid w:val="001466EA"/>
    <w:rsid w:val="001467E3"/>
    <w:rsid w:val="0014681D"/>
    <w:rsid w:val="0014690B"/>
    <w:rsid w:val="0014693F"/>
    <w:rsid w:val="0014699D"/>
    <w:rsid w:val="00146A1B"/>
    <w:rsid w:val="00146A36"/>
    <w:rsid w:val="00146B05"/>
    <w:rsid w:val="00146B54"/>
    <w:rsid w:val="00146B66"/>
    <w:rsid w:val="00146B8B"/>
    <w:rsid w:val="00146CDE"/>
    <w:rsid w:val="00146D38"/>
    <w:rsid w:val="00146DBF"/>
    <w:rsid w:val="00146DF7"/>
    <w:rsid w:val="00146E3A"/>
    <w:rsid w:val="00146EA1"/>
    <w:rsid w:val="00146EA8"/>
    <w:rsid w:val="00146ECB"/>
    <w:rsid w:val="00146EE7"/>
    <w:rsid w:val="00146F5D"/>
    <w:rsid w:val="0014703D"/>
    <w:rsid w:val="0014705E"/>
    <w:rsid w:val="001470E1"/>
    <w:rsid w:val="001470E9"/>
    <w:rsid w:val="00147108"/>
    <w:rsid w:val="00147116"/>
    <w:rsid w:val="00147159"/>
    <w:rsid w:val="00147174"/>
    <w:rsid w:val="001471DC"/>
    <w:rsid w:val="00147225"/>
    <w:rsid w:val="0014722C"/>
    <w:rsid w:val="00147240"/>
    <w:rsid w:val="00147251"/>
    <w:rsid w:val="00147253"/>
    <w:rsid w:val="001472B3"/>
    <w:rsid w:val="001472D5"/>
    <w:rsid w:val="001472E3"/>
    <w:rsid w:val="00147396"/>
    <w:rsid w:val="001473B3"/>
    <w:rsid w:val="001473CE"/>
    <w:rsid w:val="0014746F"/>
    <w:rsid w:val="001474D1"/>
    <w:rsid w:val="001474D4"/>
    <w:rsid w:val="001474D9"/>
    <w:rsid w:val="00147595"/>
    <w:rsid w:val="00147596"/>
    <w:rsid w:val="001475CF"/>
    <w:rsid w:val="001476A5"/>
    <w:rsid w:val="001476D8"/>
    <w:rsid w:val="001476E9"/>
    <w:rsid w:val="0014770F"/>
    <w:rsid w:val="00147779"/>
    <w:rsid w:val="001477F3"/>
    <w:rsid w:val="00147861"/>
    <w:rsid w:val="0014786F"/>
    <w:rsid w:val="0014788C"/>
    <w:rsid w:val="001478DA"/>
    <w:rsid w:val="00147925"/>
    <w:rsid w:val="0014795A"/>
    <w:rsid w:val="0014798D"/>
    <w:rsid w:val="001479DF"/>
    <w:rsid w:val="001479E9"/>
    <w:rsid w:val="00147B7C"/>
    <w:rsid w:val="00147B8A"/>
    <w:rsid w:val="00147C03"/>
    <w:rsid w:val="00147C1B"/>
    <w:rsid w:val="00147C31"/>
    <w:rsid w:val="00147C79"/>
    <w:rsid w:val="00147D49"/>
    <w:rsid w:val="00147D52"/>
    <w:rsid w:val="00147DD2"/>
    <w:rsid w:val="00147DED"/>
    <w:rsid w:val="00147E4A"/>
    <w:rsid w:val="00147E52"/>
    <w:rsid w:val="00147EEC"/>
    <w:rsid w:val="00147FA7"/>
    <w:rsid w:val="00147FD2"/>
    <w:rsid w:val="001500DD"/>
    <w:rsid w:val="001500E3"/>
    <w:rsid w:val="001500EF"/>
    <w:rsid w:val="001501BA"/>
    <w:rsid w:val="00150236"/>
    <w:rsid w:val="0015023A"/>
    <w:rsid w:val="00150240"/>
    <w:rsid w:val="00150318"/>
    <w:rsid w:val="00150355"/>
    <w:rsid w:val="00150389"/>
    <w:rsid w:val="0015038A"/>
    <w:rsid w:val="001503C5"/>
    <w:rsid w:val="00150474"/>
    <w:rsid w:val="001504D6"/>
    <w:rsid w:val="00150529"/>
    <w:rsid w:val="00150579"/>
    <w:rsid w:val="001505AA"/>
    <w:rsid w:val="0015064B"/>
    <w:rsid w:val="001506C2"/>
    <w:rsid w:val="001506F1"/>
    <w:rsid w:val="001506FF"/>
    <w:rsid w:val="0015075B"/>
    <w:rsid w:val="00150857"/>
    <w:rsid w:val="00150858"/>
    <w:rsid w:val="00150883"/>
    <w:rsid w:val="00150897"/>
    <w:rsid w:val="0015091C"/>
    <w:rsid w:val="0015097D"/>
    <w:rsid w:val="00150981"/>
    <w:rsid w:val="0015098C"/>
    <w:rsid w:val="001509AA"/>
    <w:rsid w:val="001509E0"/>
    <w:rsid w:val="00150A5C"/>
    <w:rsid w:val="00150B0C"/>
    <w:rsid w:val="00150B1D"/>
    <w:rsid w:val="00150B25"/>
    <w:rsid w:val="00150B4A"/>
    <w:rsid w:val="00150B93"/>
    <w:rsid w:val="00150BDD"/>
    <w:rsid w:val="00150C03"/>
    <w:rsid w:val="00150C1A"/>
    <w:rsid w:val="00150C7A"/>
    <w:rsid w:val="00150C8B"/>
    <w:rsid w:val="00150CFB"/>
    <w:rsid w:val="00150D75"/>
    <w:rsid w:val="00150D93"/>
    <w:rsid w:val="00150D9A"/>
    <w:rsid w:val="00150DF7"/>
    <w:rsid w:val="00150E2C"/>
    <w:rsid w:val="00150E2E"/>
    <w:rsid w:val="00150E52"/>
    <w:rsid w:val="00150E55"/>
    <w:rsid w:val="00150E61"/>
    <w:rsid w:val="00150E6F"/>
    <w:rsid w:val="00150EC6"/>
    <w:rsid w:val="00150F46"/>
    <w:rsid w:val="00150F62"/>
    <w:rsid w:val="00150F7B"/>
    <w:rsid w:val="00150FE1"/>
    <w:rsid w:val="00150FF6"/>
    <w:rsid w:val="0015100D"/>
    <w:rsid w:val="0015102A"/>
    <w:rsid w:val="0015105F"/>
    <w:rsid w:val="00151088"/>
    <w:rsid w:val="001510B4"/>
    <w:rsid w:val="001510F7"/>
    <w:rsid w:val="001510FC"/>
    <w:rsid w:val="0015114E"/>
    <w:rsid w:val="001511E9"/>
    <w:rsid w:val="00151231"/>
    <w:rsid w:val="001512B8"/>
    <w:rsid w:val="00151359"/>
    <w:rsid w:val="00151489"/>
    <w:rsid w:val="001514B1"/>
    <w:rsid w:val="001514EF"/>
    <w:rsid w:val="001514F6"/>
    <w:rsid w:val="00151557"/>
    <w:rsid w:val="001515DD"/>
    <w:rsid w:val="001515F6"/>
    <w:rsid w:val="00151686"/>
    <w:rsid w:val="00151693"/>
    <w:rsid w:val="001516A1"/>
    <w:rsid w:val="001516D5"/>
    <w:rsid w:val="001516DF"/>
    <w:rsid w:val="001516E6"/>
    <w:rsid w:val="001516ED"/>
    <w:rsid w:val="001516F6"/>
    <w:rsid w:val="00151711"/>
    <w:rsid w:val="0015174F"/>
    <w:rsid w:val="0015175C"/>
    <w:rsid w:val="001517C3"/>
    <w:rsid w:val="001517FF"/>
    <w:rsid w:val="00151823"/>
    <w:rsid w:val="0015182B"/>
    <w:rsid w:val="001518C6"/>
    <w:rsid w:val="001518F1"/>
    <w:rsid w:val="001518FA"/>
    <w:rsid w:val="00151900"/>
    <w:rsid w:val="00151908"/>
    <w:rsid w:val="00151948"/>
    <w:rsid w:val="00151962"/>
    <w:rsid w:val="001519C8"/>
    <w:rsid w:val="00151A05"/>
    <w:rsid w:val="00151A66"/>
    <w:rsid w:val="00151A7D"/>
    <w:rsid w:val="00151AAD"/>
    <w:rsid w:val="00151ADD"/>
    <w:rsid w:val="00151AF7"/>
    <w:rsid w:val="00151B46"/>
    <w:rsid w:val="00151B55"/>
    <w:rsid w:val="00151B59"/>
    <w:rsid w:val="00151B9E"/>
    <w:rsid w:val="00151BAD"/>
    <w:rsid w:val="00151C46"/>
    <w:rsid w:val="00151C50"/>
    <w:rsid w:val="00151CC3"/>
    <w:rsid w:val="00151D15"/>
    <w:rsid w:val="00151E19"/>
    <w:rsid w:val="00151E56"/>
    <w:rsid w:val="00151E6B"/>
    <w:rsid w:val="00151E8E"/>
    <w:rsid w:val="00151EE2"/>
    <w:rsid w:val="00151F40"/>
    <w:rsid w:val="00151F49"/>
    <w:rsid w:val="00151F57"/>
    <w:rsid w:val="00151F70"/>
    <w:rsid w:val="00151F95"/>
    <w:rsid w:val="0015200C"/>
    <w:rsid w:val="0015207C"/>
    <w:rsid w:val="00152105"/>
    <w:rsid w:val="00152171"/>
    <w:rsid w:val="00152174"/>
    <w:rsid w:val="0015219B"/>
    <w:rsid w:val="001521CF"/>
    <w:rsid w:val="001521F1"/>
    <w:rsid w:val="0015220E"/>
    <w:rsid w:val="00152273"/>
    <w:rsid w:val="001522CA"/>
    <w:rsid w:val="001522FE"/>
    <w:rsid w:val="00152373"/>
    <w:rsid w:val="001523A1"/>
    <w:rsid w:val="001524BF"/>
    <w:rsid w:val="0015251A"/>
    <w:rsid w:val="00152558"/>
    <w:rsid w:val="001525FA"/>
    <w:rsid w:val="00152638"/>
    <w:rsid w:val="00152639"/>
    <w:rsid w:val="001526E3"/>
    <w:rsid w:val="0015270E"/>
    <w:rsid w:val="00152732"/>
    <w:rsid w:val="001527BC"/>
    <w:rsid w:val="0015291E"/>
    <w:rsid w:val="0015294E"/>
    <w:rsid w:val="00152958"/>
    <w:rsid w:val="0015297C"/>
    <w:rsid w:val="001529F5"/>
    <w:rsid w:val="001529FD"/>
    <w:rsid w:val="00152A10"/>
    <w:rsid w:val="00152A26"/>
    <w:rsid w:val="00152A34"/>
    <w:rsid w:val="00152A3B"/>
    <w:rsid w:val="00152A50"/>
    <w:rsid w:val="00152A6B"/>
    <w:rsid w:val="00152AE0"/>
    <w:rsid w:val="00152BB7"/>
    <w:rsid w:val="00152BE2"/>
    <w:rsid w:val="00152C8C"/>
    <w:rsid w:val="00152CDD"/>
    <w:rsid w:val="00152D40"/>
    <w:rsid w:val="00152DAF"/>
    <w:rsid w:val="00152E2C"/>
    <w:rsid w:val="00153021"/>
    <w:rsid w:val="00153024"/>
    <w:rsid w:val="0015306D"/>
    <w:rsid w:val="00153190"/>
    <w:rsid w:val="001531A0"/>
    <w:rsid w:val="001531CB"/>
    <w:rsid w:val="001531E3"/>
    <w:rsid w:val="00153229"/>
    <w:rsid w:val="001532AC"/>
    <w:rsid w:val="00153335"/>
    <w:rsid w:val="00153377"/>
    <w:rsid w:val="001533F4"/>
    <w:rsid w:val="0015342A"/>
    <w:rsid w:val="00153441"/>
    <w:rsid w:val="00153456"/>
    <w:rsid w:val="0015346C"/>
    <w:rsid w:val="001534AE"/>
    <w:rsid w:val="001534B2"/>
    <w:rsid w:val="001534BF"/>
    <w:rsid w:val="0015351D"/>
    <w:rsid w:val="0015354A"/>
    <w:rsid w:val="0015366B"/>
    <w:rsid w:val="00153683"/>
    <w:rsid w:val="0015369E"/>
    <w:rsid w:val="001536C0"/>
    <w:rsid w:val="001536CE"/>
    <w:rsid w:val="001536F7"/>
    <w:rsid w:val="00153706"/>
    <w:rsid w:val="0015370F"/>
    <w:rsid w:val="00153751"/>
    <w:rsid w:val="00153752"/>
    <w:rsid w:val="0015377D"/>
    <w:rsid w:val="0015378F"/>
    <w:rsid w:val="00153810"/>
    <w:rsid w:val="0015381F"/>
    <w:rsid w:val="0015386D"/>
    <w:rsid w:val="001538B0"/>
    <w:rsid w:val="0015392A"/>
    <w:rsid w:val="0015396D"/>
    <w:rsid w:val="001539B8"/>
    <w:rsid w:val="00153A19"/>
    <w:rsid w:val="00153A1A"/>
    <w:rsid w:val="00153A51"/>
    <w:rsid w:val="00153A57"/>
    <w:rsid w:val="00153A5D"/>
    <w:rsid w:val="00153A66"/>
    <w:rsid w:val="00153ABE"/>
    <w:rsid w:val="00153ACA"/>
    <w:rsid w:val="00153AE8"/>
    <w:rsid w:val="00153B56"/>
    <w:rsid w:val="00153B57"/>
    <w:rsid w:val="00153B6B"/>
    <w:rsid w:val="00153C19"/>
    <w:rsid w:val="00153CCB"/>
    <w:rsid w:val="00153D2E"/>
    <w:rsid w:val="00153D65"/>
    <w:rsid w:val="00153D7B"/>
    <w:rsid w:val="00153DDF"/>
    <w:rsid w:val="00153DF1"/>
    <w:rsid w:val="00153E77"/>
    <w:rsid w:val="00153E84"/>
    <w:rsid w:val="00153F11"/>
    <w:rsid w:val="00153F19"/>
    <w:rsid w:val="00153FB1"/>
    <w:rsid w:val="00153FDD"/>
    <w:rsid w:val="00154009"/>
    <w:rsid w:val="00154012"/>
    <w:rsid w:val="00154082"/>
    <w:rsid w:val="00154099"/>
    <w:rsid w:val="00154122"/>
    <w:rsid w:val="00154152"/>
    <w:rsid w:val="0015416F"/>
    <w:rsid w:val="0015421A"/>
    <w:rsid w:val="0015429B"/>
    <w:rsid w:val="001542FF"/>
    <w:rsid w:val="00154318"/>
    <w:rsid w:val="00154327"/>
    <w:rsid w:val="001543BE"/>
    <w:rsid w:val="00154437"/>
    <w:rsid w:val="0015452A"/>
    <w:rsid w:val="0015453A"/>
    <w:rsid w:val="001545A8"/>
    <w:rsid w:val="001545C2"/>
    <w:rsid w:val="001545C5"/>
    <w:rsid w:val="00154602"/>
    <w:rsid w:val="00154622"/>
    <w:rsid w:val="0015463E"/>
    <w:rsid w:val="001546F2"/>
    <w:rsid w:val="00154726"/>
    <w:rsid w:val="00154747"/>
    <w:rsid w:val="001547C2"/>
    <w:rsid w:val="00154814"/>
    <w:rsid w:val="00154865"/>
    <w:rsid w:val="00154880"/>
    <w:rsid w:val="001548D3"/>
    <w:rsid w:val="001548D7"/>
    <w:rsid w:val="0015493F"/>
    <w:rsid w:val="00154954"/>
    <w:rsid w:val="00154A03"/>
    <w:rsid w:val="00154A2F"/>
    <w:rsid w:val="00154A33"/>
    <w:rsid w:val="00154A58"/>
    <w:rsid w:val="00154AC4"/>
    <w:rsid w:val="00154B51"/>
    <w:rsid w:val="00154B67"/>
    <w:rsid w:val="00154BA2"/>
    <w:rsid w:val="00154C23"/>
    <w:rsid w:val="00154CD7"/>
    <w:rsid w:val="00154CF0"/>
    <w:rsid w:val="00154D3F"/>
    <w:rsid w:val="00154D5E"/>
    <w:rsid w:val="00154D77"/>
    <w:rsid w:val="00154D91"/>
    <w:rsid w:val="00154DBB"/>
    <w:rsid w:val="00154E4D"/>
    <w:rsid w:val="00154E95"/>
    <w:rsid w:val="00154EE3"/>
    <w:rsid w:val="00154F08"/>
    <w:rsid w:val="00154F1A"/>
    <w:rsid w:val="00154F41"/>
    <w:rsid w:val="00154F4D"/>
    <w:rsid w:val="00155012"/>
    <w:rsid w:val="00155023"/>
    <w:rsid w:val="00155025"/>
    <w:rsid w:val="00155035"/>
    <w:rsid w:val="00155086"/>
    <w:rsid w:val="001550A7"/>
    <w:rsid w:val="001550AE"/>
    <w:rsid w:val="001550B6"/>
    <w:rsid w:val="00155136"/>
    <w:rsid w:val="0015513C"/>
    <w:rsid w:val="00155189"/>
    <w:rsid w:val="001551C5"/>
    <w:rsid w:val="0015521F"/>
    <w:rsid w:val="00155239"/>
    <w:rsid w:val="001552BB"/>
    <w:rsid w:val="001552C0"/>
    <w:rsid w:val="001552D4"/>
    <w:rsid w:val="00155364"/>
    <w:rsid w:val="0015536E"/>
    <w:rsid w:val="0015539E"/>
    <w:rsid w:val="00155446"/>
    <w:rsid w:val="00155480"/>
    <w:rsid w:val="001554A0"/>
    <w:rsid w:val="001554DE"/>
    <w:rsid w:val="00155529"/>
    <w:rsid w:val="0015553F"/>
    <w:rsid w:val="00155585"/>
    <w:rsid w:val="001555A8"/>
    <w:rsid w:val="001555D6"/>
    <w:rsid w:val="0015564E"/>
    <w:rsid w:val="00155651"/>
    <w:rsid w:val="00155677"/>
    <w:rsid w:val="00155699"/>
    <w:rsid w:val="001556A7"/>
    <w:rsid w:val="00155755"/>
    <w:rsid w:val="0015582F"/>
    <w:rsid w:val="00155846"/>
    <w:rsid w:val="001558A3"/>
    <w:rsid w:val="001558CD"/>
    <w:rsid w:val="00155908"/>
    <w:rsid w:val="00155986"/>
    <w:rsid w:val="001559E8"/>
    <w:rsid w:val="00155A1C"/>
    <w:rsid w:val="00155A81"/>
    <w:rsid w:val="00155AA0"/>
    <w:rsid w:val="00155AED"/>
    <w:rsid w:val="00155B21"/>
    <w:rsid w:val="00155B54"/>
    <w:rsid w:val="00155BFB"/>
    <w:rsid w:val="00155C52"/>
    <w:rsid w:val="00155C5D"/>
    <w:rsid w:val="00155CE4"/>
    <w:rsid w:val="00155CEA"/>
    <w:rsid w:val="00155CEC"/>
    <w:rsid w:val="00155D04"/>
    <w:rsid w:val="00155D92"/>
    <w:rsid w:val="00155DBA"/>
    <w:rsid w:val="00155DC1"/>
    <w:rsid w:val="00155E2E"/>
    <w:rsid w:val="00155E74"/>
    <w:rsid w:val="00155F0E"/>
    <w:rsid w:val="00155F53"/>
    <w:rsid w:val="00155FE1"/>
    <w:rsid w:val="00156013"/>
    <w:rsid w:val="0015603E"/>
    <w:rsid w:val="00156041"/>
    <w:rsid w:val="001560E1"/>
    <w:rsid w:val="00156116"/>
    <w:rsid w:val="0015617F"/>
    <w:rsid w:val="001561EB"/>
    <w:rsid w:val="00156242"/>
    <w:rsid w:val="001562F8"/>
    <w:rsid w:val="00156354"/>
    <w:rsid w:val="00156373"/>
    <w:rsid w:val="0015637A"/>
    <w:rsid w:val="0015638B"/>
    <w:rsid w:val="00156417"/>
    <w:rsid w:val="00156442"/>
    <w:rsid w:val="00156471"/>
    <w:rsid w:val="001564AD"/>
    <w:rsid w:val="0015652F"/>
    <w:rsid w:val="001565BF"/>
    <w:rsid w:val="00156617"/>
    <w:rsid w:val="00156620"/>
    <w:rsid w:val="00156625"/>
    <w:rsid w:val="0015670B"/>
    <w:rsid w:val="00156714"/>
    <w:rsid w:val="00156723"/>
    <w:rsid w:val="00156740"/>
    <w:rsid w:val="001567D8"/>
    <w:rsid w:val="001567EF"/>
    <w:rsid w:val="00156804"/>
    <w:rsid w:val="0015681F"/>
    <w:rsid w:val="00156861"/>
    <w:rsid w:val="00156875"/>
    <w:rsid w:val="00156897"/>
    <w:rsid w:val="001568A6"/>
    <w:rsid w:val="00156908"/>
    <w:rsid w:val="00156947"/>
    <w:rsid w:val="001569A2"/>
    <w:rsid w:val="001569B1"/>
    <w:rsid w:val="001569DB"/>
    <w:rsid w:val="001569F3"/>
    <w:rsid w:val="001569F7"/>
    <w:rsid w:val="001569FB"/>
    <w:rsid w:val="00156A20"/>
    <w:rsid w:val="00156A3A"/>
    <w:rsid w:val="00156A5B"/>
    <w:rsid w:val="00156B1A"/>
    <w:rsid w:val="00156B34"/>
    <w:rsid w:val="00156B44"/>
    <w:rsid w:val="00156B4D"/>
    <w:rsid w:val="00156B65"/>
    <w:rsid w:val="00156B9B"/>
    <w:rsid w:val="00156BB5"/>
    <w:rsid w:val="00156BD9"/>
    <w:rsid w:val="00156C24"/>
    <w:rsid w:val="00156C7B"/>
    <w:rsid w:val="00156C7D"/>
    <w:rsid w:val="00156DCA"/>
    <w:rsid w:val="00156DDD"/>
    <w:rsid w:val="00156E6E"/>
    <w:rsid w:val="00156EA9"/>
    <w:rsid w:val="00156F83"/>
    <w:rsid w:val="00156FD9"/>
    <w:rsid w:val="00157012"/>
    <w:rsid w:val="00157015"/>
    <w:rsid w:val="0015706D"/>
    <w:rsid w:val="0015709D"/>
    <w:rsid w:val="00157116"/>
    <w:rsid w:val="00157175"/>
    <w:rsid w:val="0015717D"/>
    <w:rsid w:val="001571AF"/>
    <w:rsid w:val="001571CE"/>
    <w:rsid w:val="001571E7"/>
    <w:rsid w:val="001571FD"/>
    <w:rsid w:val="0015721B"/>
    <w:rsid w:val="00157293"/>
    <w:rsid w:val="001572B9"/>
    <w:rsid w:val="001572C6"/>
    <w:rsid w:val="001572E5"/>
    <w:rsid w:val="00157329"/>
    <w:rsid w:val="00157341"/>
    <w:rsid w:val="0015737F"/>
    <w:rsid w:val="0015739A"/>
    <w:rsid w:val="001573D8"/>
    <w:rsid w:val="001574CE"/>
    <w:rsid w:val="0015754A"/>
    <w:rsid w:val="0015756B"/>
    <w:rsid w:val="001575E6"/>
    <w:rsid w:val="0015764B"/>
    <w:rsid w:val="00157658"/>
    <w:rsid w:val="00157663"/>
    <w:rsid w:val="001576DA"/>
    <w:rsid w:val="001576EB"/>
    <w:rsid w:val="0015771D"/>
    <w:rsid w:val="00157754"/>
    <w:rsid w:val="0015778B"/>
    <w:rsid w:val="001577B1"/>
    <w:rsid w:val="00157820"/>
    <w:rsid w:val="00157899"/>
    <w:rsid w:val="0015799F"/>
    <w:rsid w:val="001579A6"/>
    <w:rsid w:val="001579F6"/>
    <w:rsid w:val="00157A03"/>
    <w:rsid w:val="00157C33"/>
    <w:rsid w:val="00157C3D"/>
    <w:rsid w:val="00157C73"/>
    <w:rsid w:val="00157CAD"/>
    <w:rsid w:val="00157CB3"/>
    <w:rsid w:val="00157D0F"/>
    <w:rsid w:val="00157D21"/>
    <w:rsid w:val="00157D6A"/>
    <w:rsid w:val="00157D75"/>
    <w:rsid w:val="00157DDC"/>
    <w:rsid w:val="00157E4E"/>
    <w:rsid w:val="00157E8B"/>
    <w:rsid w:val="00157EBD"/>
    <w:rsid w:val="00157F1E"/>
    <w:rsid w:val="00157F76"/>
    <w:rsid w:val="00157F8B"/>
    <w:rsid w:val="00157FDA"/>
    <w:rsid w:val="00160066"/>
    <w:rsid w:val="00160071"/>
    <w:rsid w:val="0016010C"/>
    <w:rsid w:val="00160198"/>
    <w:rsid w:val="001601E1"/>
    <w:rsid w:val="00160203"/>
    <w:rsid w:val="00160229"/>
    <w:rsid w:val="00160251"/>
    <w:rsid w:val="00160296"/>
    <w:rsid w:val="001602C1"/>
    <w:rsid w:val="00160316"/>
    <w:rsid w:val="00160330"/>
    <w:rsid w:val="00160360"/>
    <w:rsid w:val="00160372"/>
    <w:rsid w:val="001603F5"/>
    <w:rsid w:val="00160423"/>
    <w:rsid w:val="0016043F"/>
    <w:rsid w:val="00160472"/>
    <w:rsid w:val="00160492"/>
    <w:rsid w:val="0016058E"/>
    <w:rsid w:val="001605BD"/>
    <w:rsid w:val="001605E6"/>
    <w:rsid w:val="001606CB"/>
    <w:rsid w:val="0016073F"/>
    <w:rsid w:val="00160750"/>
    <w:rsid w:val="001607D9"/>
    <w:rsid w:val="00160834"/>
    <w:rsid w:val="001608B4"/>
    <w:rsid w:val="00160931"/>
    <w:rsid w:val="00160946"/>
    <w:rsid w:val="00160961"/>
    <w:rsid w:val="00160ABE"/>
    <w:rsid w:val="00160BDE"/>
    <w:rsid w:val="00160C15"/>
    <w:rsid w:val="00160C1D"/>
    <w:rsid w:val="00160C26"/>
    <w:rsid w:val="00160C3B"/>
    <w:rsid w:val="00160C6B"/>
    <w:rsid w:val="00160CA0"/>
    <w:rsid w:val="00160DAD"/>
    <w:rsid w:val="00160DDE"/>
    <w:rsid w:val="00160DFB"/>
    <w:rsid w:val="00160E6E"/>
    <w:rsid w:val="00160EAE"/>
    <w:rsid w:val="00160EF2"/>
    <w:rsid w:val="00160F55"/>
    <w:rsid w:val="00160FFC"/>
    <w:rsid w:val="00160FFE"/>
    <w:rsid w:val="00161017"/>
    <w:rsid w:val="0016102C"/>
    <w:rsid w:val="0016103E"/>
    <w:rsid w:val="0016105B"/>
    <w:rsid w:val="001610BE"/>
    <w:rsid w:val="001610FB"/>
    <w:rsid w:val="00161282"/>
    <w:rsid w:val="001612FA"/>
    <w:rsid w:val="001613F5"/>
    <w:rsid w:val="00161483"/>
    <w:rsid w:val="001614D7"/>
    <w:rsid w:val="00161512"/>
    <w:rsid w:val="0016152A"/>
    <w:rsid w:val="001615A8"/>
    <w:rsid w:val="001615FC"/>
    <w:rsid w:val="001615FE"/>
    <w:rsid w:val="00161603"/>
    <w:rsid w:val="00161630"/>
    <w:rsid w:val="00161661"/>
    <w:rsid w:val="001616A1"/>
    <w:rsid w:val="001616CB"/>
    <w:rsid w:val="001616D8"/>
    <w:rsid w:val="0016171E"/>
    <w:rsid w:val="001617ED"/>
    <w:rsid w:val="00161815"/>
    <w:rsid w:val="001618AB"/>
    <w:rsid w:val="001618C6"/>
    <w:rsid w:val="001618CE"/>
    <w:rsid w:val="001618FA"/>
    <w:rsid w:val="001619CD"/>
    <w:rsid w:val="001619D0"/>
    <w:rsid w:val="00161ABA"/>
    <w:rsid w:val="00161ADE"/>
    <w:rsid w:val="00161AE5"/>
    <w:rsid w:val="00161B3D"/>
    <w:rsid w:val="00161B42"/>
    <w:rsid w:val="00161B4D"/>
    <w:rsid w:val="00161B56"/>
    <w:rsid w:val="00161C33"/>
    <w:rsid w:val="00161D75"/>
    <w:rsid w:val="00161D7A"/>
    <w:rsid w:val="00161DC8"/>
    <w:rsid w:val="00161DFA"/>
    <w:rsid w:val="00161E18"/>
    <w:rsid w:val="00161F26"/>
    <w:rsid w:val="00161F6B"/>
    <w:rsid w:val="00161F77"/>
    <w:rsid w:val="00161FC7"/>
    <w:rsid w:val="00161FDA"/>
    <w:rsid w:val="001620F7"/>
    <w:rsid w:val="0016230F"/>
    <w:rsid w:val="00162349"/>
    <w:rsid w:val="0016234E"/>
    <w:rsid w:val="001623B7"/>
    <w:rsid w:val="00162420"/>
    <w:rsid w:val="00162430"/>
    <w:rsid w:val="00162487"/>
    <w:rsid w:val="0016255E"/>
    <w:rsid w:val="00162562"/>
    <w:rsid w:val="0016257F"/>
    <w:rsid w:val="001625A8"/>
    <w:rsid w:val="001625D9"/>
    <w:rsid w:val="00162655"/>
    <w:rsid w:val="0016265D"/>
    <w:rsid w:val="00162660"/>
    <w:rsid w:val="00162691"/>
    <w:rsid w:val="001626B2"/>
    <w:rsid w:val="00162779"/>
    <w:rsid w:val="00162806"/>
    <w:rsid w:val="0016283E"/>
    <w:rsid w:val="00162842"/>
    <w:rsid w:val="00162848"/>
    <w:rsid w:val="00162887"/>
    <w:rsid w:val="001628C5"/>
    <w:rsid w:val="001628F5"/>
    <w:rsid w:val="00162928"/>
    <w:rsid w:val="0016299C"/>
    <w:rsid w:val="00162A0B"/>
    <w:rsid w:val="00162A7D"/>
    <w:rsid w:val="00162A81"/>
    <w:rsid w:val="00162A8B"/>
    <w:rsid w:val="00162AF5"/>
    <w:rsid w:val="00162B62"/>
    <w:rsid w:val="00162B82"/>
    <w:rsid w:val="00162B8D"/>
    <w:rsid w:val="00162BC9"/>
    <w:rsid w:val="00162BE8"/>
    <w:rsid w:val="00162C3B"/>
    <w:rsid w:val="00162C56"/>
    <w:rsid w:val="00162C6A"/>
    <w:rsid w:val="00162C73"/>
    <w:rsid w:val="00162CCC"/>
    <w:rsid w:val="00162CFF"/>
    <w:rsid w:val="00162D02"/>
    <w:rsid w:val="00162D19"/>
    <w:rsid w:val="00162D4D"/>
    <w:rsid w:val="00162D88"/>
    <w:rsid w:val="00162E5C"/>
    <w:rsid w:val="00162E7D"/>
    <w:rsid w:val="00162EC0"/>
    <w:rsid w:val="00162EEF"/>
    <w:rsid w:val="00162F8B"/>
    <w:rsid w:val="00162FD1"/>
    <w:rsid w:val="00162FEC"/>
    <w:rsid w:val="00163075"/>
    <w:rsid w:val="00163110"/>
    <w:rsid w:val="0016312A"/>
    <w:rsid w:val="0016312B"/>
    <w:rsid w:val="00163138"/>
    <w:rsid w:val="001631BB"/>
    <w:rsid w:val="001631F6"/>
    <w:rsid w:val="001631F7"/>
    <w:rsid w:val="0016322B"/>
    <w:rsid w:val="001632B8"/>
    <w:rsid w:val="001632F0"/>
    <w:rsid w:val="001632F5"/>
    <w:rsid w:val="001633BC"/>
    <w:rsid w:val="0016343B"/>
    <w:rsid w:val="00163441"/>
    <w:rsid w:val="0016346E"/>
    <w:rsid w:val="00163563"/>
    <w:rsid w:val="0016358C"/>
    <w:rsid w:val="0016361F"/>
    <w:rsid w:val="0016362B"/>
    <w:rsid w:val="0016368C"/>
    <w:rsid w:val="001636A2"/>
    <w:rsid w:val="001636BA"/>
    <w:rsid w:val="00163700"/>
    <w:rsid w:val="00163750"/>
    <w:rsid w:val="001637A7"/>
    <w:rsid w:val="001637B4"/>
    <w:rsid w:val="0016381C"/>
    <w:rsid w:val="00163884"/>
    <w:rsid w:val="001638E4"/>
    <w:rsid w:val="001638E9"/>
    <w:rsid w:val="00163939"/>
    <w:rsid w:val="0016396E"/>
    <w:rsid w:val="00163979"/>
    <w:rsid w:val="001639D8"/>
    <w:rsid w:val="00163A11"/>
    <w:rsid w:val="00163A30"/>
    <w:rsid w:val="00163A4C"/>
    <w:rsid w:val="00163B22"/>
    <w:rsid w:val="00163BDD"/>
    <w:rsid w:val="00163C60"/>
    <w:rsid w:val="00163C78"/>
    <w:rsid w:val="00163CCD"/>
    <w:rsid w:val="00163D30"/>
    <w:rsid w:val="00163D75"/>
    <w:rsid w:val="00163E18"/>
    <w:rsid w:val="00163E27"/>
    <w:rsid w:val="00163E84"/>
    <w:rsid w:val="00163E95"/>
    <w:rsid w:val="00163EB7"/>
    <w:rsid w:val="00163EC5"/>
    <w:rsid w:val="00163EC8"/>
    <w:rsid w:val="00163F33"/>
    <w:rsid w:val="00163F38"/>
    <w:rsid w:val="00163FB6"/>
    <w:rsid w:val="00163FCE"/>
    <w:rsid w:val="00163FE6"/>
    <w:rsid w:val="00163FF4"/>
    <w:rsid w:val="0016401D"/>
    <w:rsid w:val="00164042"/>
    <w:rsid w:val="0016406B"/>
    <w:rsid w:val="001641AA"/>
    <w:rsid w:val="001641DE"/>
    <w:rsid w:val="001641FE"/>
    <w:rsid w:val="00164299"/>
    <w:rsid w:val="001642AC"/>
    <w:rsid w:val="00164315"/>
    <w:rsid w:val="00164366"/>
    <w:rsid w:val="001643CB"/>
    <w:rsid w:val="001643E0"/>
    <w:rsid w:val="001643EC"/>
    <w:rsid w:val="00164413"/>
    <w:rsid w:val="00164462"/>
    <w:rsid w:val="001644A6"/>
    <w:rsid w:val="001644CF"/>
    <w:rsid w:val="00164539"/>
    <w:rsid w:val="0016453F"/>
    <w:rsid w:val="001645BB"/>
    <w:rsid w:val="001645BD"/>
    <w:rsid w:val="001646DE"/>
    <w:rsid w:val="0016472B"/>
    <w:rsid w:val="00164760"/>
    <w:rsid w:val="0016481F"/>
    <w:rsid w:val="00164833"/>
    <w:rsid w:val="0016487A"/>
    <w:rsid w:val="001648C8"/>
    <w:rsid w:val="00164925"/>
    <w:rsid w:val="00164937"/>
    <w:rsid w:val="00164939"/>
    <w:rsid w:val="00164963"/>
    <w:rsid w:val="001649B5"/>
    <w:rsid w:val="001649C7"/>
    <w:rsid w:val="001649CF"/>
    <w:rsid w:val="00164A3A"/>
    <w:rsid w:val="00164A3B"/>
    <w:rsid w:val="00164AA2"/>
    <w:rsid w:val="00164C16"/>
    <w:rsid w:val="00164C28"/>
    <w:rsid w:val="00164C58"/>
    <w:rsid w:val="00164C89"/>
    <w:rsid w:val="00164CAC"/>
    <w:rsid w:val="00164CC7"/>
    <w:rsid w:val="00164CFE"/>
    <w:rsid w:val="00164D15"/>
    <w:rsid w:val="00164D25"/>
    <w:rsid w:val="00164D29"/>
    <w:rsid w:val="00164D95"/>
    <w:rsid w:val="00164DA0"/>
    <w:rsid w:val="00164DE7"/>
    <w:rsid w:val="00164E1C"/>
    <w:rsid w:val="00164E63"/>
    <w:rsid w:val="00164E64"/>
    <w:rsid w:val="00164E9F"/>
    <w:rsid w:val="00164EA9"/>
    <w:rsid w:val="00164F9E"/>
    <w:rsid w:val="00164FCD"/>
    <w:rsid w:val="00164FD3"/>
    <w:rsid w:val="00164FDE"/>
    <w:rsid w:val="0016500D"/>
    <w:rsid w:val="0016500F"/>
    <w:rsid w:val="0016502D"/>
    <w:rsid w:val="00165042"/>
    <w:rsid w:val="00165093"/>
    <w:rsid w:val="001650BF"/>
    <w:rsid w:val="001650FE"/>
    <w:rsid w:val="00165117"/>
    <w:rsid w:val="00165138"/>
    <w:rsid w:val="0016519C"/>
    <w:rsid w:val="001651E0"/>
    <w:rsid w:val="00165223"/>
    <w:rsid w:val="0016525A"/>
    <w:rsid w:val="001652A8"/>
    <w:rsid w:val="00165341"/>
    <w:rsid w:val="00165343"/>
    <w:rsid w:val="00165452"/>
    <w:rsid w:val="00165459"/>
    <w:rsid w:val="00165483"/>
    <w:rsid w:val="001654DF"/>
    <w:rsid w:val="00165511"/>
    <w:rsid w:val="00165562"/>
    <w:rsid w:val="00165581"/>
    <w:rsid w:val="001655D3"/>
    <w:rsid w:val="001655D7"/>
    <w:rsid w:val="001655FA"/>
    <w:rsid w:val="00165629"/>
    <w:rsid w:val="0016567F"/>
    <w:rsid w:val="001656A3"/>
    <w:rsid w:val="00165705"/>
    <w:rsid w:val="001657CD"/>
    <w:rsid w:val="0016588C"/>
    <w:rsid w:val="001658C6"/>
    <w:rsid w:val="001658FB"/>
    <w:rsid w:val="00165917"/>
    <w:rsid w:val="00165976"/>
    <w:rsid w:val="001659B1"/>
    <w:rsid w:val="00165A1D"/>
    <w:rsid w:val="00165A2D"/>
    <w:rsid w:val="00165AEE"/>
    <w:rsid w:val="00165AFD"/>
    <w:rsid w:val="00165B24"/>
    <w:rsid w:val="00165C00"/>
    <w:rsid w:val="00165C02"/>
    <w:rsid w:val="00165C22"/>
    <w:rsid w:val="00165C5E"/>
    <w:rsid w:val="00165C63"/>
    <w:rsid w:val="00165CD7"/>
    <w:rsid w:val="00165D4E"/>
    <w:rsid w:val="00165D6F"/>
    <w:rsid w:val="00165D82"/>
    <w:rsid w:val="00165D95"/>
    <w:rsid w:val="00165DB3"/>
    <w:rsid w:val="00165DC7"/>
    <w:rsid w:val="00165E15"/>
    <w:rsid w:val="00165E19"/>
    <w:rsid w:val="00165E73"/>
    <w:rsid w:val="00165E93"/>
    <w:rsid w:val="00165EA8"/>
    <w:rsid w:val="00165ED0"/>
    <w:rsid w:val="00165EE1"/>
    <w:rsid w:val="00165F10"/>
    <w:rsid w:val="00165F53"/>
    <w:rsid w:val="00165F82"/>
    <w:rsid w:val="00165FB0"/>
    <w:rsid w:val="00165FB4"/>
    <w:rsid w:val="00166022"/>
    <w:rsid w:val="001660B8"/>
    <w:rsid w:val="001660BF"/>
    <w:rsid w:val="001660D6"/>
    <w:rsid w:val="00166107"/>
    <w:rsid w:val="0016615B"/>
    <w:rsid w:val="001661A3"/>
    <w:rsid w:val="001661BA"/>
    <w:rsid w:val="001661FE"/>
    <w:rsid w:val="00166237"/>
    <w:rsid w:val="0016626E"/>
    <w:rsid w:val="00166275"/>
    <w:rsid w:val="0016628D"/>
    <w:rsid w:val="001662C5"/>
    <w:rsid w:val="001662E5"/>
    <w:rsid w:val="001662E8"/>
    <w:rsid w:val="00166308"/>
    <w:rsid w:val="0016632E"/>
    <w:rsid w:val="001663B5"/>
    <w:rsid w:val="001663F7"/>
    <w:rsid w:val="00166418"/>
    <w:rsid w:val="001664A3"/>
    <w:rsid w:val="001664FD"/>
    <w:rsid w:val="00166542"/>
    <w:rsid w:val="001665A3"/>
    <w:rsid w:val="001665BA"/>
    <w:rsid w:val="001665C3"/>
    <w:rsid w:val="0016662E"/>
    <w:rsid w:val="001666BB"/>
    <w:rsid w:val="001666D7"/>
    <w:rsid w:val="00166700"/>
    <w:rsid w:val="00166748"/>
    <w:rsid w:val="00166783"/>
    <w:rsid w:val="0016685E"/>
    <w:rsid w:val="00166881"/>
    <w:rsid w:val="00166892"/>
    <w:rsid w:val="001668C8"/>
    <w:rsid w:val="001668D1"/>
    <w:rsid w:val="00166911"/>
    <w:rsid w:val="00166968"/>
    <w:rsid w:val="0016698E"/>
    <w:rsid w:val="001669D4"/>
    <w:rsid w:val="001669D8"/>
    <w:rsid w:val="001669E2"/>
    <w:rsid w:val="00166A69"/>
    <w:rsid w:val="00166A77"/>
    <w:rsid w:val="00166A95"/>
    <w:rsid w:val="00166A9F"/>
    <w:rsid w:val="00166AA6"/>
    <w:rsid w:val="00166B27"/>
    <w:rsid w:val="00166B32"/>
    <w:rsid w:val="00166B69"/>
    <w:rsid w:val="00166B6A"/>
    <w:rsid w:val="00166BB1"/>
    <w:rsid w:val="00166CB4"/>
    <w:rsid w:val="00166CD0"/>
    <w:rsid w:val="00166CE0"/>
    <w:rsid w:val="00166D00"/>
    <w:rsid w:val="00166D33"/>
    <w:rsid w:val="00166D3F"/>
    <w:rsid w:val="00166D79"/>
    <w:rsid w:val="00166E20"/>
    <w:rsid w:val="00166E30"/>
    <w:rsid w:val="00166EF5"/>
    <w:rsid w:val="00166F0F"/>
    <w:rsid w:val="00166F56"/>
    <w:rsid w:val="00166FC7"/>
    <w:rsid w:val="00166FE7"/>
    <w:rsid w:val="00167007"/>
    <w:rsid w:val="00167009"/>
    <w:rsid w:val="0016708E"/>
    <w:rsid w:val="00167092"/>
    <w:rsid w:val="001670A2"/>
    <w:rsid w:val="001670AB"/>
    <w:rsid w:val="001670CD"/>
    <w:rsid w:val="00167113"/>
    <w:rsid w:val="00167161"/>
    <w:rsid w:val="0016717E"/>
    <w:rsid w:val="001671F0"/>
    <w:rsid w:val="001672F7"/>
    <w:rsid w:val="0016736D"/>
    <w:rsid w:val="0016737E"/>
    <w:rsid w:val="00167383"/>
    <w:rsid w:val="001673A0"/>
    <w:rsid w:val="001673CA"/>
    <w:rsid w:val="001673E7"/>
    <w:rsid w:val="001674AF"/>
    <w:rsid w:val="001674C2"/>
    <w:rsid w:val="0016762C"/>
    <w:rsid w:val="00167790"/>
    <w:rsid w:val="00167806"/>
    <w:rsid w:val="0016781B"/>
    <w:rsid w:val="00167852"/>
    <w:rsid w:val="00167855"/>
    <w:rsid w:val="00167884"/>
    <w:rsid w:val="0016788D"/>
    <w:rsid w:val="001678C0"/>
    <w:rsid w:val="00167944"/>
    <w:rsid w:val="0016799F"/>
    <w:rsid w:val="001679E5"/>
    <w:rsid w:val="00167A24"/>
    <w:rsid w:val="00167A48"/>
    <w:rsid w:val="00167A9D"/>
    <w:rsid w:val="00167ABC"/>
    <w:rsid w:val="00167AEF"/>
    <w:rsid w:val="00167B0F"/>
    <w:rsid w:val="00167B29"/>
    <w:rsid w:val="00167B70"/>
    <w:rsid w:val="00167C5B"/>
    <w:rsid w:val="00167C7B"/>
    <w:rsid w:val="00167CD1"/>
    <w:rsid w:val="00167D0A"/>
    <w:rsid w:val="00167EC1"/>
    <w:rsid w:val="00167ECC"/>
    <w:rsid w:val="00167ECD"/>
    <w:rsid w:val="00167EF0"/>
    <w:rsid w:val="00167F69"/>
    <w:rsid w:val="00167FF6"/>
    <w:rsid w:val="00170063"/>
    <w:rsid w:val="00170167"/>
    <w:rsid w:val="00170198"/>
    <w:rsid w:val="0017025C"/>
    <w:rsid w:val="00170286"/>
    <w:rsid w:val="001702EE"/>
    <w:rsid w:val="00170334"/>
    <w:rsid w:val="0017035A"/>
    <w:rsid w:val="0017037E"/>
    <w:rsid w:val="0017037F"/>
    <w:rsid w:val="001703AC"/>
    <w:rsid w:val="001703BE"/>
    <w:rsid w:val="001703D6"/>
    <w:rsid w:val="00170411"/>
    <w:rsid w:val="00170423"/>
    <w:rsid w:val="00170476"/>
    <w:rsid w:val="001704AF"/>
    <w:rsid w:val="0017052D"/>
    <w:rsid w:val="00170543"/>
    <w:rsid w:val="00170544"/>
    <w:rsid w:val="0017057A"/>
    <w:rsid w:val="0017059C"/>
    <w:rsid w:val="001705F2"/>
    <w:rsid w:val="00170606"/>
    <w:rsid w:val="00170628"/>
    <w:rsid w:val="00170637"/>
    <w:rsid w:val="00170639"/>
    <w:rsid w:val="001706D2"/>
    <w:rsid w:val="001706D6"/>
    <w:rsid w:val="00170727"/>
    <w:rsid w:val="00170746"/>
    <w:rsid w:val="0017078A"/>
    <w:rsid w:val="0017078B"/>
    <w:rsid w:val="00170862"/>
    <w:rsid w:val="0017086F"/>
    <w:rsid w:val="001708C7"/>
    <w:rsid w:val="001708D0"/>
    <w:rsid w:val="001708DE"/>
    <w:rsid w:val="001708E9"/>
    <w:rsid w:val="0017092A"/>
    <w:rsid w:val="00170978"/>
    <w:rsid w:val="00170A46"/>
    <w:rsid w:val="00170AAE"/>
    <w:rsid w:val="00170B17"/>
    <w:rsid w:val="00170C07"/>
    <w:rsid w:val="00170C0D"/>
    <w:rsid w:val="00170C30"/>
    <w:rsid w:val="00170C4C"/>
    <w:rsid w:val="00170C61"/>
    <w:rsid w:val="00170C9F"/>
    <w:rsid w:val="00170CA4"/>
    <w:rsid w:val="00170CAC"/>
    <w:rsid w:val="00170D04"/>
    <w:rsid w:val="00170D64"/>
    <w:rsid w:val="00170DD3"/>
    <w:rsid w:val="00170DF0"/>
    <w:rsid w:val="00170E31"/>
    <w:rsid w:val="00170E67"/>
    <w:rsid w:val="00170ED9"/>
    <w:rsid w:val="00170EE3"/>
    <w:rsid w:val="00170F10"/>
    <w:rsid w:val="00170F5F"/>
    <w:rsid w:val="0017103C"/>
    <w:rsid w:val="0017108C"/>
    <w:rsid w:val="001710E8"/>
    <w:rsid w:val="00171100"/>
    <w:rsid w:val="00171220"/>
    <w:rsid w:val="00171254"/>
    <w:rsid w:val="001712C4"/>
    <w:rsid w:val="00171495"/>
    <w:rsid w:val="0017149F"/>
    <w:rsid w:val="001714EA"/>
    <w:rsid w:val="0017153E"/>
    <w:rsid w:val="001715F6"/>
    <w:rsid w:val="00171608"/>
    <w:rsid w:val="00171632"/>
    <w:rsid w:val="001716D4"/>
    <w:rsid w:val="00171715"/>
    <w:rsid w:val="00171716"/>
    <w:rsid w:val="0017176B"/>
    <w:rsid w:val="00171788"/>
    <w:rsid w:val="001717B5"/>
    <w:rsid w:val="001717F6"/>
    <w:rsid w:val="0017186A"/>
    <w:rsid w:val="001718AA"/>
    <w:rsid w:val="001718C9"/>
    <w:rsid w:val="001718FC"/>
    <w:rsid w:val="00171A4B"/>
    <w:rsid w:val="00171A9C"/>
    <w:rsid w:val="00171B11"/>
    <w:rsid w:val="00171B8A"/>
    <w:rsid w:val="00171C09"/>
    <w:rsid w:val="00171C21"/>
    <w:rsid w:val="00171C2E"/>
    <w:rsid w:val="00171C36"/>
    <w:rsid w:val="00171C3E"/>
    <w:rsid w:val="00171D84"/>
    <w:rsid w:val="00171DB5"/>
    <w:rsid w:val="00171DB6"/>
    <w:rsid w:val="00171DD2"/>
    <w:rsid w:val="00171DF1"/>
    <w:rsid w:val="00171F0B"/>
    <w:rsid w:val="00171F21"/>
    <w:rsid w:val="00171F29"/>
    <w:rsid w:val="00171F7C"/>
    <w:rsid w:val="00171FD2"/>
    <w:rsid w:val="00171FDE"/>
    <w:rsid w:val="00171FE9"/>
    <w:rsid w:val="00172052"/>
    <w:rsid w:val="0017206A"/>
    <w:rsid w:val="001720CD"/>
    <w:rsid w:val="001720E5"/>
    <w:rsid w:val="0017210F"/>
    <w:rsid w:val="001721B9"/>
    <w:rsid w:val="001721EF"/>
    <w:rsid w:val="001721F5"/>
    <w:rsid w:val="00172200"/>
    <w:rsid w:val="00172214"/>
    <w:rsid w:val="001722DD"/>
    <w:rsid w:val="00172356"/>
    <w:rsid w:val="00172399"/>
    <w:rsid w:val="001723B1"/>
    <w:rsid w:val="00172420"/>
    <w:rsid w:val="0017243B"/>
    <w:rsid w:val="00172494"/>
    <w:rsid w:val="00172630"/>
    <w:rsid w:val="0017269B"/>
    <w:rsid w:val="001726B2"/>
    <w:rsid w:val="0017273F"/>
    <w:rsid w:val="0017274E"/>
    <w:rsid w:val="0017277D"/>
    <w:rsid w:val="001727EE"/>
    <w:rsid w:val="00172825"/>
    <w:rsid w:val="00172831"/>
    <w:rsid w:val="00172871"/>
    <w:rsid w:val="001728B6"/>
    <w:rsid w:val="001728BE"/>
    <w:rsid w:val="001728C6"/>
    <w:rsid w:val="0017290E"/>
    <w:rsid w:val="0017292E"/>
    <w:rsid w:val="00172964"/>
    <w:rsid w:val="0017296D"/>
    <w:rsid w:val="00172A90"/>
    <w:rsid w:val="00172A97"/>
    <w:rsid w:val="00172A9E"/>
    <w:rsid w:val="00172AB7"/>
    <w:rsid w:val="00172B55"/>
    <w:rsid w:val="00172BA5"/>
    <w:rsid w:val="00172BCF"/>
    <w:rsid w:val="00172BD5"/>
    <w:rsid w:val="00172C58"/>
    <w:rsid w:val="00172CD3"/>
    <w:rsid w:val="00172D05"/>
    <w:rsid w:val="00172D31"/>
    <w:rsid w:val="00172D4F"/>
    <w:rsid w:val="00172D8D"/>
    <w:rsid w:val="00172DB5"/>
    <w:rsid w:val="00172DC8"/>
    <w:rsid w:val="00172DE2"/>
    <w:rsid w:val="00172DEC"/>
    <w:rsid w:val="00172E18"/>
    <w:rsid w:val="00172E64"/>
    <w:rsid w:val="00172EA1"/>
    <w:rsid w:val="00172F8D"/>
    <w:rsid w:val="00173016"/>
    <w:rsid w:val="00173022"/>
    <w:rsid w:val="00173097"/>
    <w:rsid w:val="0017309C"/>
    <w:rsid w:val="001730C0"/>
    <w:rsid w:val="00173138"/>
    <w:rsid w:val="0017314D"/>
    <w:rsid w:val="001731A5"/>
    <w:rsid w:val="00173266"/>
    <w:rsid w:val="00173324"/>
    <w:rsid w:val="00173362"/>
    <w:rsid w:val="0017338F"/>
    <w:rsid w:val="00173471"/>
    <w:rsid w:val="001734A4"/>
    <w:rsid w:val="00173515"/>
    <w:rsid w:val="00173593"/>
    <w:rsid w:val="001735A7"/>
    <w:rsid w:val="0017365A"/>
    <w:rsid w:val="0017368C"/>
    <w:rsid w:val="001736BD"/>
    <w:rsid w:val="001736C4"/>
    <w:rsid w:val="001736DA"/>
    <w:rsid w:val="00173729"/>
    <w:rsid w:val="001737E5"/>
    <w:rsid w:val="001737F4"/>
    <w:rsid w:val="00173818"/>
    <w:rsid w:val="0017382F"/>
    <w:rsid w:val="00173837"/>
    <w:rsid w:val="00173860"/>
    <w:rsid w:val="0017389C"/>
    <w:rsid w:val="001738BA"/>
    <w:rsid w:val="00173935"/>
    <w:rsid w:val="001739AF"/>
    <w:rsid w:val="001739D2"/>
    <w:rsid w:val="00173ACD"/>
    <w:rsid w:val="00173AFF"/>
    <w:rsid w:val="00173B15"/>
    <w:rsid w:val="00173B9A"/>
    <w:rsid w:val="00173BCA"/>
    <w:rsid w:val="00173BD7"/>
    <w:rsid w:val="00173BDC"/>
    <w:rsid w:val="00173BDD"/>
    <w:rsid w:val="00173BE4"/>
    <w:rsid w:val="00173C48"/>
    <w:rsid w:val="00173C76"/>
    <w:rsid w:val="00173CD7"/>
    <w:rsid w:val="00173D50"/>
    <w:rsid w:val="00173DC3"/>
    <w:rsid w:val="00173DD7"/>
    <w:rsid w:val="00173DF0"/>
    <w:rsid w:val="00173E1B"/>
    <w:rsid w:val="00173E2A"/>
    <w:rsid w:val="00173E2F"/>
    <w:rsid w:val="00173E8A"/>
    <w:rsid w:val="00173E93"/>
    <w:rsid w:val="00173F04"/>
    <w:rsid w:val="001740EB"/>
    <w:rsid w:val="00174141"/>
    <w:rsid w:val="00174157"/>
    <w:rsid w:val="00174164"/>
    <w:rsid w:val="0017427C"/>
    <w:rsid w:val="001742A2"/>
    <w:rsid w:val="00174339"/>
    <w:rsid w:val="0017433A"/>
    <w:rsid w:val="00174347"/>
    <w:rsid w:val="0017434F"/>
    <w:rsid w:val="00174397"/>
    <w:rsid w:val="001743BD"/>
    <w:rsid w:val="001743D7"/>
    <w:rsid w:val="00174432"/>
    <w:rsid w:val="0017445A"/>
    <w:rsid w:val="001744A7"/>
    <w:rsid w:val="001744AA"/>
    <w:rsid w:val="0017450A"/>
    <w:rsid w:val="0017454A"/>
    <w:rsid w:val="001745B4"/>
    <w:rsid w:val="001745D1"/>
    <w:rsid w:val="001745D3"/>
    <w:rsid w:val="001745E0"/>
    <w:rsid w:val="00174644"/>
    <w:rsid w:val="00174649"/>
    <w:rsid w:val="001746AF"/>
    <w:rsid w:val="00174708"/>
    <w:rsid w:val="00174750"/>
    <w:rsid w:val="001747F6"/>
    <w:rsid w:val="0017481E"/>
    <w:rsid w:val="001748AB"/>
    <w:rsid w:val="001748D5"/>
    <w:rsid w:val="001748E1"/>
    <w:rsid w:val="00174AD1"/>
    <w:rsid w:val="00174AEB"/>
    <w:rsid w:val="00174AF5"/>
    <w:rsid w:val="00174B94"/>
    <w:rsid w:val="00174C58"/>
    <w:rsid w:val="00174C75"/>
    <w:rsid w:val="00174CC2"/>
    <w:rsid w:val="00174D69"/>
    <w:rsid w:val="00174D6E"/>
    <w:rsid w:val="00174DAA"/>
    <w:rsid w:val="00174EA7"/>
    <w:rsid w:val="00174EC1"/>
    <w:rsid w:val="00174ECA"/>
    <w:rsid w:val="00174F3D"/>
    <w:rsid w:val="00174F62"/>
    <w:rsid w:val="00174F9B"/>
    <w:rsid w:val="00174FCB"/>
    <w:rsid w:val="00174FD4"/>
    <w:rsid w:val="00175075"/>
    <w:rsid w:val="001750E1"/>
    <w:rsid w:val="00175136"/>
    <w:rsid w:val="0017514E"/>
    <w:rsid w:val="001751E9"/>
    <w:rsid w:val="0017522B"/>
    <w:rsid w:val="0017535C"/>
    <w:rsid w:val="001753B2"/>
    <w:rsid w:val="001753C2"/>
    <w:rsid w:val="00175440"/>
    <w:rsid w:val="0017545D"/>
    <w:rsid w:val="0017548B"/>
    <w:rsid w:val="001754D7"/>
    <w:rsid w:val="001754EA"/>
    <w:rsid w:val="00175548"/>
    <w:rsid w:val="0017555A"/>
    <w:rsid w:val="00175561"/>
    <w:rsid w:val="0017559A"/>
    <w:rsid w:val="001755F6"/>
    <w:rsid w:val="0017560D"/>
    <w:rsid w:val="00175610"/>
    <w:rsid w:val="0017561C"/>
    <w:rsid w:val="00175658"/>
    <w:rsid w:val="0017565E"/>
    <w:rsid w:val="001757E1"/>
    <w:rsid w:val="00175888"/>
    <w:rsid w:val="001758A2"/>
    <w:rsid w:val="001758AB"/>
    <w:rsid w:val="001758C0"/>
    <w:rsid w:val="0017590A"/>
    <w:rsid w:val="00175991"/>
    <w:rsid w:val="00175995"/>
    <w:rsid w:val="001759D4"/>
    <w:rsid w:val="001759E2"/>
    <w:rsid w:val="001759F1"/>
    <w:rsid w:val="00175A6B"/>
    <w:rsid w:val="00175AD8"/>
    <w:rsid w:val="00175AEA"/>
    <w:rsid w:val="00175B1C"/>
    <w:rsid w:val="00175B1D"/>
    <w:rsid w:val="00175BD4"/>
    <w:rsid w:val="00175C17"/>
    <w:rsid w:val="00175C92"/>
    <w:rsid w:val="00175CD7"/>
    <w:rsid w:val="00175D09"/>
    <w:rsid w:val="00175D47"/>
    <w:rsid w:val="00175D9B"/>
    <w:rsid w:val="00175DC8"/>
    <w:rsid w:val="00175E6C"/>
    <w:rsid w:val="00175E86"/>
    <w:rsid w:val="00175F06"/>
    <w:rsid w:val="00175F2B"/>
    <w:rsid w:val="00175F73"/>
    <w:rsid w:val="00175F9C"/>
    <w:rsid w:val="00175F9E"/>
    <w:rsid w:val="00175FAC"/>
    <w:rsid w:val="00175FB0"/>
    <w:rsid w:val="0017609B"/>
    <w:rsid w:val="00176124"/>
    <w:rsid w:val="0017619C"/>
    <w:rsid w:val="001761AD"/>
    <w:rsid w:val="00176251"/>
    <w:rsid w:val="00176256"/>
    <w:rsid w:val="00176293"/>
    <w:rsid w:val="001762A2"/>
    <w:rsid w:val="0017633E"/>
    <w:rsid w:val="0017637B"/>
    <w:rsid w:val="00176419"/>
    <w:rsid w:val="001764D9"/>
    <w:rsid w:val="001764F5"/>
    <w:rsid w:val="0017650F"/>
    <w:rsid w:val="001765B7"/>
    <w:rsid w:val="001765DB"/>
    <w:rsid w:val="001765FC"/>
    <w:rsid w:val="0017664A"/>
    <w:rsid w:val="00176657"/>
    <w:rsid w:val="00176678"/>
    <w:rsid w:val="00176679"/>
    <w:rsid w:val="00176692"/>
    <w:rsid w:val="001766CD"/>
    <w:rsid w:val="00176702"/>
    <w:rsid w:val="00176754"/>
    <w:rsid w:val="00176794"/>
    <w:rsid w:val="001767D0"/>
    <w:rsid w:val="001767E7"/>
    <w:rsid w:val="00176825"/>
    <w:rsid w:val="00176846"/>
    <w:rsid w:val="00176877"/>
    <w:rsid w:val="001768B9"/>
    <w:rsid w:val="0017694F"/>
    <w:rsid w:val="0017699E"/>
    <w:rsid w:val="001769ED"/>
    <w:rsid w:val="00176A5A"/>
    <w:rsid w:val="00176AE8"/>
    <w:rsid w:val="00176BB5"/>
    <w:rsid w:val="00176C1F"/>
    <w:rsid w:val="00176C23"/>
    <w:rsid w:val="00176C5B"/>
    <w:rsid w:val="00176C66"/>
    <w:rsid w:val="00176CBA"/>
    <w:rsid w:val="00176D1F"/>
    <w:rsid w:val="00176DA6"/>
    <w:rsid w:val="00176DC1"/>
    <w:rsid w:val="00176DE5"/>
    <w:rsid w:val="00176DF8"/>
    <w:rsid w:val="00176E4C"/>
    <w:rsid w:val="00176E74"/>
    <w:rsid w:val="00176E8D"/>
    <w:rsid w:val="00176ECD"/>
    <w:rsid w:val="00176F9B"/>
    <w:rsid w:val="00176FA7"/>
    <w:rsid w:val="00176FAC"/>
    <w:rsid w:val="00176FE1"/>
    <w:rsid w:val="0017701F"/>
    <w:rsid w:val="0017704F"/>
    <w:rsid w:val="0017705E"/>
    <w:rsid w:val="001770AE"/>
    <w:rsid w:val="001770B0"/>
    <w:rsid w:val="00177108"/>
    <w:rsid w:val="00177115"/>
    <w:rsid w:val="0017715C"/>
    <w:rsid w:val="0017717D"/>
    <w:rsid w:val="00177220"/>
    <w:rsid w:val="00177226"/>
    <w:rsid w:val="00177293"/>
    <w:rsid w:val="00177301"/>
    <w:rsid w:val="0017739C"/>
    <w:rsid w:val="0017740D"/>
    <w:rsid w:val="0017741F"/>
    <w:rsid w:val="0017745B"/>
    <w:rsid w:val="0017749C"/>
    <w:rsid w:val="001774E5"/>
    <w:rsid w:val="00177534"/>
    <w:rsid w:val="0017756A"/>
    <w:rsid w:val="00177584"/>
    <w:rsid w:val="00177596"/>
    <w:rsid w:val="001775C8"/>
    <w:rsid w:val="00177660"/>
    <w:rsid w:val="00177668"/>
    <w:rsid w:val="001776CB"/>
    <w:rsid w:val="001776F1"/>
    <w:rsid w:val="0017770B"/>
    <w:rsid w:val="0017774B"/>
    <w:rsid w:val="0017777A"/>
    <w:rsid w:val="001777C0"/>
    <w:rsid w:val="001777D6"/>
    <w:rsid w:val="001777F4"/>
    <w:rsid w:val="001778DA"/>
    <w:rsid w:val="00177926"/>
    <w:rsid w:val="00177932"/>
    <w:rsid w:val="00177989"/>
    <w:rsid w:val="0017798F"/>
    <w:rsid w:val="00177A10"/>
    <w:rsid w:val="00177AE1"/>
    <w:rsid w:val="00177AEE"/>
    <w:rsid w:val="00177AF1"/>
    <w:rsid w:val="00177AFF"/>
    <w:rsid w:val="00177B35"/>
    <w:rsid w:val="00177B5D"/>
    <w:rsid w:val="00177BA9"/>
    <w:rsid w:val="00177CDA"/>
    <w:rsid w:val="00177CF4"/>
    <w:rsid w:val="00177D1B"/>
    <w:rsid w:val="00177DD5"/>
    <w:rsid w:val="00177E42"/>
    <w:rsid w:val="00177E54"/>
    <w:rsid w:val="00177E6A"/>
    <w:rsid w:val="00177EA8"/>
    <w:rsid w:val="00177ECC"/>
    <w:rsid w:val="00177ED9"/>
    <w:rsid w:val="00177FD2"/>
    <w:rsid w:val="00177FD4"/>
    <w:rsid w:val="00177FE4"/>
    <w:rsid w:val="0018009C"/>
    <w:rsid w:val="001800CC"/>
    <w:rsid w:val="001800CF"/>
    <w:rsid w:val="00180124"/>
    <w:rsid w:val="001801B4"/>
    <w:rsid w:val="001801EA"/>
    <w:rsid w:val="00180201"/>
    <w:rsid w:val="00180212"/>
    <w:rsid w:val="00180233"/>
    <w:rsid w:val="00180235"/>
    <w:rsid w:val="001802B4"/>
    <w:rsid w:val="001802FC"/>
    <w:rsid w:val="00180303"/>
    <w:rsid w:val="00180324"/>
    <w:rsid w:val="0018033E"/>
    <w:rsid w:val="0018034F"/>
    <w:rsid w:val="00180354"/>
    <w:rsid w:val="001803E5"/>
    <w:rsid w:val="0018040B"/>
    <w:rsid w:val="00180414"/>
    <w:rsid w:val="001804C0"/>
    <w:rsid w:val="001804E7"/>
    <w:rsid w:val="0018055D"/>
    <w:rsid w:val="00180572"/>
    <w:rsid w:val="0018063F"/>
    <w:rsid w:val="0018069C"/>
    <w:rsid w:val="001806A2"/>
    <w:rsid w:val="00180718"/>
    <w:rsid w:val="0018078E"/>
    <w:rsid w:val="001807B0"/>
    <w:rsid w:val="001807DB"/>
    <w:rsid w:val="00180829"/>
    <w:rsid w:val="00180842"/>
    <w:rsid w:val="00180854"/>
    <w:rsid w:val="00180895"/>
    <w:rsid w:val="001808FD"/>
    <w:rsid w:val="00180923"/>
    <w:rsid w:val="001809A4"/>
    <w:rsid w:val="00180A14"/>
    <w:rsid w:val="00180A25"/>
    <w:rsid w:val="00180ABB"/>
    <w:rsid w:val="00180B11"/>
    <w:rsid w:val="00180B35"/>
    <w:rsid w:val="00180B5A"/>
    <w:rsid w:val="00180BD4"/>
    <w:rsid w:val="00180C04"/>
    <w:rsid w:val="00180C18"/>
    <w:rsid w:val="00180C19"/>
    <w:rsid w:val="00180CB1"/>
    <w:rsid w:val="00180CBC"/>
    <w:rsid w:val="00180D4C"/>
    <w:rsid w:val="00180DEB"/>
    <w:rsid w:val="00180E43"/>
    <w:rsid w:val="00180E9E"/>
    <w:rsid w:val="00180EDF"/>
    <w:rsid w:val="00180EED"/>
    <w:rsid w:val="00180F0F"/>
    <w:rsid w:val="00180F47"/>
    <w:rsid w:val="00180FD5"/>
    <w:rsid w:val="001810B9"/>
    <w:rsid w:val="00181190"/>
    <w:rsid w:val="0018122A"/>
    <w:rsid w:val="00181249"/>
    <w:rsid w:val="0018126F"/>
    <w:rsid w:val="00181338"/>
    <w:rsid w:val="00181342"/>
    <w:rsid w:val="0018135B"/>
    <w:rsid w:val="0018137B"/>
    <w:rsid w:val="001813A8"/>
    <w:rsid w:val="00181445"/>
    <w:rsid w:val="0018146E"/>
    <w:rsid w:val="00181477"/>
    <w:rsid w:val="0018147E"/>
    <w:rsid w:val="001814EC"/>
    <w:rsid w:val="00181550"/>
    <w:rsid w:val="00181554"/>
    <w:rsid w:val="0018156B"/>
    <w:rsid w:val="001815EA"/>
    <w:rsid w:val="00181651"/>
    <w:rsid w:val="00181663"/>
    <w:rsid w:val="0018169D"/>
    <w:rsid w:val="0018173E"/>
    <w:rsid w:val="001817C5"/>
    <w:rsid w:val="001817EE"/>
    <w:rsid w:val="0018186A"/>
    <w:rsid w:val="00181931"/>
    <w:rsid w:val="00181939"/>
    <w:rsid w:val="0018193A"/>
    <w:rsid w:val="0018196C"/>
    <w:rsid w:val="0018199C"/>
    <w:rsid w:val="001819D9"/>
    <w:rsid w:val="001819FC"/>
    <w:rsid w:val="00181A34"/>
    <w:rsid w:val="00181A9A"/>
    <w:rsid w:val="00181AC1"/>
    <w:rsid w:val="00181AD5"/>
    <w:rsid w:val="00181B8D"/>
    <w:rsid w:val="00181C02"/>
    <w:rsid w:val="00181C39"/>
    <w:rsid w:val="00181CFF"/>
    <w:rsid w:val="00181D3D"/>
    <w:rsid w:val="00181D3E"/>
    <w:rsid w:val="00181E00"/>
    <w:rsid w:val="00181E7E"/>
    <w:rsid w:val="00181F58"/>
    <w:rsid w:val="00181FF7"/>
    <w:rsid w:val="00182031"/>
    <w:rsid w:val="00182037"/>
    <w:rsid w:val="00182056"/>
    <w:rsid w:val="00182058"/>
    <w:rsid w:val="0018208D"/>
    <w:rsid w:val="00182092"/>
    <w:rsid w:val="001820B4"/>
    <w:rsid w:val="001820F9"/>
    <w:rsid w:val="00182166"/>
    <w:rsid w:val="0018216A"/>
    <w:rsid w:val="001821D8"/>
    <w:rsid w:val="0018224A"/>
    <w:rsid w:val="00182261"/>
    <w:rsid w:val="001822F1"/>
    <w:rsid w:val="00182413"/>
    <w:rsid w:val="001824C5"/>
    <w:rsid w:val="00182573"/>
    <w:rsid w:val="0018258A"/>
    <w:rsid w:val="00182599"/>
    <w:rsid w:val="001825A7"/>
    <w:rsid w:val="001825D5"/>
    <w:rsid w:val="001825D8"/>
    <w:rsid w:val="00182608"/>
    <w:rsid w:val="001826E6"/>
    <w:rsid w:val="00182731"/>
    <w:rsid w:val="0018274C"/>
    <w:rsid w:val="0018276B"/>
    <w:rsid w:val="001827A4"/>
    <w:rsid w:val="001827D2"/>
    <w:rsid w:val="00182815"/>
    <w:rsid w:val="00182816"/>
    <w:rsid w:val="0018281E"/>
    <w:rsid w:val="0018283C"/>
    <w:rsid w:val="00182857"/>
    <w:rsid w:val="001828CC"/>
    <w:rsid w:val="0018292B"/>
    <w:rsid w:val="00182954"/>
    <w:rsid w:val="00182989"/>
    <w:rsid w:val="001829BE"/>
    <w:rsid w:val="001829F3"/>
    <w:rsid w:val="00182AF1"/>
    <w:rsid w:val="00182B80"/>
    <w:rsid w:val="00182BAC"/>
    <w:rsid w:val="00182BC3"/>
    <w:rsid w:val="00182BC9"/>
    <w:rsid w:val="00182BFF"/>
    <w:rsid w:val="00182C68"/>
    <w:rsid w:val="00182C70"/>
    <w:rsid w:val="00182C77"/>
    <w:rsid w:val="00182C90"/>
    <w:rsid w:val="00182CA0"/>
    <w:rsid w:val="00182CA7"/>
    <w:rsid w:val="00182CD8"/>
    <w:rsid w:val="00182D3C"/>
    <w:rsid w:val="00182DA1"/>
    <w:rsid w:val="00182DB0"/>
    <w:rsid w:val="00182DB4"/>
    <w:rsid w:val="00182DB7"/>
    <w:rsid w:val="00182DE2"/>
    <w:rsid w:val="00182DEF"/>
    <w:rsid w:val="00182E32"/>
    <w:rsid w:val="00182E5A"/>
    <w:rsid w:val="00182E97"/>
    <w:rsid w:val="00182EB9"/>
    <w:rsid w:val="00182ED9"/>
    <w:rsid w:val="00182EE3"/>
    <w:rsid w:val="00182EEC"/>
    <w:rsid w:val="00182EFD"/>
    <w:rsid w:val="00182F19"/>
    <w:rsid w:val="00182F4D"/>
    <w:rsid w:val="00182F59"/>
    <w:rsid w:val="00182FD0"/>
    <w:rsid w:val="00183011"/>
    <w:rsid w:val="00183039"/>
    <w:rsid w:val="001830E1"/>
    <w:rsid w:val="00183103"/>
    <w:rsid w:val="001831BA"/>
    <w:rsid w:val="00183218"/>
    <w:rsid w:val="0018322A"/>
    <w:rsid w:val="00183283"/>
    <w:rsid w:val="00183353"/>
    <w:rsid w:val="001833B0"/>
    <w:rsid w:val="001833B5"/>
    <w:rsid w:val="001833F3"/>
    <w:rsid w:val="001834FD"/>
    <w:rsid w:val="0018358C"/>
    <w:rsid w:val="00183595"/>
    <w:rsid w:val="001835A2"/>
    <w:rsid w:val="001835BA"/>
    <w:rsid w:val="001835F5"/>
    <w:rsid w:val="00183604"/>
    <w:rsid w:val="00183681"/>
    <w:rsid w:val="0018373A"/>
    <w:rsid w:val="001837F0"/>
    <w:rsid w:val="0018382E"/>
    <w:rsid w:val="001838AD"/>
    <w:rsid w:val="0018391B"/>
    <w:rsid w:val="001839B2"/>
    <w:rsid w:val="00183A93"/>
    <w:rsid w:val="00183AF1"/>
    <w:rsid w:val="00183AF4"/>
    <w:rsid w:val="00183B13"/>
    <w:rsid w:val="00183B1A"/>
    <w:rsid w:val="00183B34"/>
    <w:rsid w:val="00183B4A"/>
    <w:rsid w:val="00183B5D"/>
    <w:rsid w:val="00183B67"/>
    <w:rsid w:val="00183B81"/>
    <w:rsid w:val="00183B86"/>
    <w:rsid w:val="00183C40"/>
    <w:rsid w:val="00183C68"/>
    <w:rsid w:val="00183C7C"/>
    <w:rsid w:val="00183CA8"/>
    <w:rsid w:val="00183CD3"/>
    <w:rsid w:val="00183CE6"/>
    <w:rsid w:val="00183CE8"/>
    <w:rsid w:val="00183CF0"/>
    <w:rsid w:val="00183E36"/>
    <w:rsid w:val="00183E61"/>
    <w:rsid w:val="00183EF3"/>
    <w:rsid w:val="00183F0C"/>
    <w:rsid w:val="00183F2E"/>
    <w:rsid w:val="00183F2F"/>
    <w:rsid w:val="00183FD0"/>
    <w:rsid w:val="00184014"/>
    <w:rsid w:val="00184030"/>
    <w:rsid w:val="00184070"/>
    <w:rsid w:val="0018407E"/>
    <w:rsid w:val="001840F1"/>
    <w:rsid w:val="0018412B"/>
    <w:rsid w:val="0018413E"/>
    <w:rsid w:val="0018415C"/>
    <w:rsid w:val="00184187"/>
    <w:rsid w:val="001841F3"/>
    <w:rsid w:val="00184201"/>
    <w:rsid w:val="0018421B"/>
    <w:rsid w:val="00184247"/>
    <w:rsid w:val="0018425A"/>
    <w:rsid w:val="001842AD"/>
    <w:rsid w:val="00184322"/>
    <w:rsid w:val="00184337"/>
    <w:rsid w:val="0018434F"/>
    <w:rsid w:val="00184370"/>
    <w:rsid w:val="00184372"/>
    <w:rsid w:val="001843A9"/>
    <w:rsid w:val="001843C0"/>
    <w:rsid w:val="001843DF"/>
    <w:rsid w:val="00184468"/>
    <w:rsid w:val="00184476"/>
    <w:rsid w:val="0018447C"/>
    <w:rsid w:val="001844CD"/>
    <w:rsid w:val="001844DA"/>
    <w:rsid w:val="001844F2"/>
    <w:rsid w:val="00184515"/>
    <w:rsid w:val="00184517"/>
    <w:rsid w:val="0018457E"/>
    <w:rsid w:val="001845C3"/>
    <w:rsid w:val="001845DF"/>
    <w:rsid w:val="00184600"/>
    <w:rsid w:val="00184630"/>
    <w:rsid w:val="001846D3"/>
    <w:rsid w:val="001846DE"/>
    <w:rsid w:val="00184789"/>
    <w:rsid w:val="00184798"/>
    <w:rsid w:val="001847E7"/>
    <w:rsid w:val="00184806"/>
    <w:rsid w:val="00184838"/>
    <w:rsid w:val="00184853"/>
    <w:rsid w:val="00184871"/>
    <w:rsid w:val="001848A4"/>
    <w:rsid w:val="001848DA"/>
    <w:rsid w:val="00184902"/>
    <w:rsid w:val="001849C5"/>
    <w:rsid w:val="001849D5"/>
    <w:rsid w:val="00184AE7"/>
    <w:rsid w:val="00184B1A"/>
    <w:rsid w:val="00184BEF"/>
    <w:rsid w:val="00184BF3"/>
    <w:rsid w:val="00184C00"/>
    <w:rsid w:val="00184C6E"/>
    <w:rsid w:val="00184CA0"/>
    <w:rsid w:val="00184CF0"/>
    <w:rsid w:val="00184D14"/>
    <w:rsid w:val="00184D15"/>
    <w:rsid w:val="00184D1E"/>
    <w:rsid w:val="00184D5D"/>
    <w:rsid w:val="00184DBF"/>
    <w:rsid w:val="00184E05"/>
    <w:rsid w:val="00184E1F"/>
    <w:rsid w:val="00184EAE"/>
    <w:rsid w:val="00184F09"/>
    <w:rsid w:val="00184F47"/>
    <w:rsid w:val="00184FB1"/>
    <w:rsid w:val="00184FD8"/>
    <w:rsid w:val="00184FE9"/>
    <w:rsid w:val="00184FF6"/>
    <w:rsid w:val="00185048"/>
    <w:rsid w:val="00185057"/>
    <w:rsid w:val="00185083"/>
    <w:rsid w:val="00185084"/>
    <w:rsid w:val="00185110"/>
    <w:rsid w:val="00185122"/>
    <w:rsid w:val="0018513F"/>
    <w:rsid w:val="001851F8"/>
    <w:rsid w:val="00185206"/>
    <w:rsid w:val="00185237"/>
    <w:rsid w:val="00185253"/>
    <w:rsid w:val="001852AB"/>
    <w:rsid w:val="001852E9"/>
    <w:rsid w:val="00185343"/>
    <w:rsid w:val="00185347"/>
    <w:rsid w:val="001853A9"/>
    <w:rsid w:val="001853F5"/>
    <w:rsid w:val="00185435"/>
    <w:rsid w:val="00185494"/>
    <w:rsid w:val="001854CB"/>
    <w:rsid w:val="0018557F"/>
    <w:rsid w:val="0018560D"/>
    <w:rsid w:val="00185656"/>
    <w:rsid w:val="0018566A"/>
    <w:rsid w:val="001856A1"/>
    <w:rsid w:val="001856A8"/>
    <w:rsid w:val="001856EA"/>
    <w:rsid w:val="00185732"/>
    <w:rsid w:val="0018583B"/>
    <w:rsid w:val="0018584A"/>
    <w:rsid w:val="001858A0"/>
    <w:rsid w:val="001858A2"/>
    <w:rsid w:val="00185947"/>
    <w:rsid w:val="00185968"/>
    <w:rsid w:val="00185998"/>
    <w:rsid w:val="001859BB"/>
    <w:rsid w:val="001859F0"/>
    <w:rsid w:val="00185A0B"/>
    <w:rsid w:val="00185A5E"/>
    <w:rsid w:val="00185A68"/>
    <w:rsid w:val="00185A69"/>
    <w:rsid w:val="00185AC7"/>
    <w:rsid w:val="00185AEC"/>
    <w:rsid w:val="00185B9B"/>
    <w:rsid w:val="00185BCE"/>
    <w:rsid w:val="00185C3C"/>
    <w:rsid w:val="00185C40"/>
    <w:rsid w:val="00185CB8"/>
    <w:rsid w:val="00185D09"/>
    <w:rsid w:val="00185D31"/>
    <w:rsid w:val="00185D87"/>
    <w:rsid w:val="00185E39"/>
    <w:rsid w:val="00185E59"/>
    <w:rsid w:val="00185E6E"/>
    <w:rsid w:val="00185E89"/>
    <w:rsid w:val="00185EF8"/>
    <w:rsid w:val="00185F58"/>
    <w:rsid w:val="00185F94"/>
    <w:rsid w:val="00185FCE"/>
    <w:rsid w:val="00185FF3"/>
    <w:rsid w:val="0018608A"/>
    <w:rsid w:val="001860BC"/>
    <w:rsid w:val="0018620A"/>
    <w:rsid w:val="001862A3"/>
    <w:rsid w:val="001862BA"/>
    <w:rsid w:val="001862E9"/>
    <w:rsid w:val="001863EC"/>
    <w:rsid w:val="001864FE"/>
    <w:rsid w:val="00186544"/>
    <w:rsid w:val="00186598"/>
    <w:rsid w:val="001865B5"/>
    <w:rsid w:val="001865BD"/>
    <w:rsid w:val="001865E9"/>
    <w:rsid w:val="001866FE"/>
    <w:rsid w:val="00186701"/>
    <w:rsid w:val="0018671B"/>
    <w:rsid w:val="00186771"/>
    <w:rsid w:val="0018678F"/>
    <w:rsid w:val="001867C9"/>
    <w:rsid w:val="001867D1"/>
    <w:rsid w:val="001868BD"/>
    <w:rsid w:val="001868CD"/>
    <w:rsid w:val="001868E8"/>
    <w:rsid w:val="00186938"/>
    <w:rsid w:val="0018695B"/>
    <w:rsid w:val="00186A5D"/>
    <w:rsid w:val="00186B10"/>
    <w:rsid w:val="00186B62"/>
    <w:rsid w:val="00186B63"/>
    <w:rsid w:val="00186BAF"/>
    <w:rsid w:val="00186BB1"/>
    <w:rsid w:val="00186C05"/>
    <w:rsid w:val="00186C08"/>
    <w:rsid w:val="00186C1C"/>
    <w:rsid w:val="00186C1E"/>
    <w:rsid w:val="00186C80"/>
    <w:rsid w:val="00186C8C"/>
    <w:rsid w:val="00186CA0"/>
    <w:rsid w:val="00186CFF"/>
    <w:rsid w:val="00186D02"/>
    <w:rsid w:val="00186D75"/>
    <w:rsid w:val="00186DF3"/>
    <w:rsid w:val="00186E28"/>
    <w:rsid w:val="00186E3A"/>
    <w:rsid w:val="00186E58"/>
    <w:rsid w:val="00186E95"/>
    <w:rsid w:val="00186FA7"/>
    <w:rsid w:val="0018700D"/>
    <w:rsid w:val="001870A5"/>
    <w:rsid w:val="001870E2"/>
    <w:rsid w:val="0018710E"/>
    <w:rsid w:val="00187119"/>
    <w:rsid w:val="00187133"/>
    <w:rsid w:val="001871B9"/>
    <w:rsid w:val="001871E7"/>
    <w:rsid w:val="0018722B"/>
    <w:rsid w:val="0018729A"/>
    <w:rsid w:val="00187342"/>
    <w:rsid w:val="00187343"/>
    <w:rsid w:val="0018734B"/>
    <w:rsid w:val="00187357"/>
    <w:rsid w:val="001873B5"/>
    <w:rsid w:val="001873C4"/>
    <w:rsid w:val="0018748A"/>
    <w:rsid w:val="00187496"/>
    <w:rsid w:val="0018759B"/>
    <w:rsid w:val="00187630"/>
    <w:rsid w:val="001876C6"/>
    <w:rsid w:val="001877EC"/>
    <w:rsid w:val="001878E1"/>
    <w:rsid w:val="00187A06"/>
    <w:rsid w:val="00187A37"/>
    <w:rsid w:val="00187A54"/>
    <w:rsid w:val="00187A7D"/>
    <w:rsid w:val="00187BD6"/>
    <w:rsid w:val="00187BD9"/>
    <w:rsid w:val="00187C5D"/>
    <w:rsid w:val="00187C80"/>
    <w:rsid w:val="00187C86"/>
    <w:rsid w:val="00187C93"/>
    <w:rsid w:val="00187CFB"/>
    <w:rsid w:val="00187D57"/>
    <w:rsid w:val="00187DC7"/>
    <w:rsid w:val="00187DFC"/>
    <w:rsid w:val="00187E13"/>
    <w:rsid w:val="00187E23"/>
    <w:rsid w:val="00187E6A"/>
    <w:rsid w:val="00187E6F"/>
    <w:rsid w:val="00187F4E"/>
    <w:rsid w:val="00187F52"/>
    <w:rsid w:val="0019004A"/>
    <w:rsid w:val="0019014A"/>
    <w:rsid w:val="0019014C"/>
    <w:rsid w:val="0019015A"/>
    <w:rsid w:val="00190233"/>
    <w:rsid w:val="00190249"/>
    <w:rsid w:val="0019024A"/>
    <w:rsid w:val="00190326"/>
    <w:rsid w:val="00190382"/>
    <w:rsid w:val="0019038F"/>
    <w:rsid w:val="001903DC"/>
    <w:rsid w:val="00190423"/>
    <w:rsid w:val="001904AA"/>
    <w:rsid w:val="001904BC"/>
    <w:rsid w:val="001904D7"/>
    <w:rsid w:val="001904FF"/>
    <w:rsid w:val="00190523"/>
    <w:rsid w:val="0019054E"/>
    <w:rsid w:val="00190594"/>
    <w:rsid w:val="001905E2"/>
    <w:rsid w:val="00190626"/>
    <w:rsid w:val="00190635"/>
    <w:rsid w:val="0019064A"/>
    <w:rsid w:val="001906F5"/>
    <w:rsid w:val="00190708"/>
    <w:rsid w:val="00190845"/>
    <w:rsid w:val="001908F9"/>
    <w:rsid w:val="0019092D"/>
    <w:rsid w:val="00190939"/>
    <w:rsid w:val="0019093D"/>
    <w:rsid w:val="001909B1"/>
    <w:rsid w:val="001909C4"/>
    <w:rsid w:val="001909F7"/>
    <w:rsid w:val="00190AEE"/>
    <w:rsid w:val="00190B14"/>
    <w:rsid w:val="00190C50"/>
    <w:rsid w:val="00190C66"/>
    <w:rsid w:val="00190CD6"/>
    <w:rsid w:val="00190CD7"/>
    <w:rsid w:val="00190D28"/>
    <w:rsid w:val="00190D75"/>
    <w:rsid w:val="00190DF8"/>
    <w:rsid w:val="00190E3A"/>
    <w:rsid w:val="00190EAC"/>
    <w:rsid w:val="00190EBE"/>
    <w:rsid w:val="00190F88"/>
    <w:rsid w:val="00190F8E"/>
    <w:rsid w:val="00190FDD"/>
    <w:rsid w:val="0019101E"/>
    <w:rsid w:val="0019104F"/>
    <w:rsid w:val="001910A9"/>
    <w:rsid w:val="00191117"/>
    <w:rsid w:val="00191191"/>
    <w:rsid w:val="001911BF"/>
    <w:rsid w:val="001912A5"/>
    <w:rsid w:val="001912B4"/>
    <w:rsid w:val="001912DB"/>
    <w:rsid w:val="0019134A"/>
    <w:rsid w:val="0019134B"/>
    <w:rsid w:val="00191360"/>
    <w:rsid w:val="00191368"/>
    <w:rsid w:val="00191465"/>
    <w:rsid w:val="0019146E"/>
    <w:rsid w:val="00191493"/>
    <w:rsid w:val="0019155E"/>
    <w:rsid w:val="001915BE"/>
    <w:rsid w:val="001915E5"/>
    <w:rsid w:val="00191617"/>
    <w:rsid w:val="0019161D"/>
    <w:rsid w:val="001916A5"/>
    <w:rsid w:val="001916BA"/>
    <w:rsid w:val="001916CE"/>
    <w:rsid w:val="001916DF"/>
    <w:rsid w:val="00191747"/>
    <w:rsid w:val="001917F0"/>
    <w:rsid w:val="0019184F"/>
    <w:rsid w:val="001918A7"/>
    <w:rsid w:val="001918F7"/>
    <w:rsid w:val="001918FB"/>
    <w:rsid w:val="0019192F"/>
    <w:rsid w:val="00191982"/>
    <w:rsid w:val="001919BD"/>
    <w:rsid w:val="001919DD"/>
    <w:rsid w:val="00191A5A"/>
    <w:rsid w:val="00191A77"/>
    <w:rsid w:val="00191A91"/>
    <w:rsid w:val="00191AD5"/>
    <w:rsid w:val="00191B21"/>
    <w:rsid w:val="00191B3E"/>
    <w:rsid w:val="00191BFC"/>
    <w:rsid w:val="00191C2E"/>
    <w:rsid w:val="00191C81"/>
    <w:rsid w:val="00191C99"/>
    <w:rsid w:val="00191CC6"/>
    <w:rsid w:val="00191CC9"/>
    <w:rsid w:val="00191CDF"/>
    <w:rsid w:val="00191CE4"/>
    <w:rsid w:val="00191DDA"/>
    <w:rsid w:val="00191E67"/>
    <w:rsid w:val="00191EA1"/>
    <w:rsid w:val="00191FD5"/>
    <w:rsid w:val="00192008"/>
    <w:rsid w:val="00192014"/>
    <w:rsid w:val="0019201C"/>
    <w:rsid w:val="001920BB"/>
    <w:rsid w:val="001920D0"/>
    <w:rsid w:val="0019213B"/>
    <w:rsid w:val="00192183"/>
    <w:rsid w:val="001921E5"/>
    <w:rsid w:val="001922F7"/>
    <w:rsid w:val="0019233A"/>
    <w:rsid w:val="00192347"/>
    <w:rsid w:val="0019238E"/>
    <w:rsid w:val="00192392"/>
    <w:rsid w:val="00192395"/>
    <w:rsid w:val="0019243E"/>
    <w:rsid w:val="00192449"/>
    <w:rsid w:val="00192450"/>
    <w:rsid w:val="001924F3"/>
    <w:rsid w:val="0019252C"/>
    <w:rsid w:val="00192533"/>
    <w:rsid w:val="00192668"/>
    <w:rsid w:val="001926C8"/>
    <w:rsid w:val="001926EC"/>
    <w:rsid w:val="00192735"/>
    <w:rsid w:val="0019275F"/>
    <w:rsid w:val="00192777"/>
    <w:rsid w:val="0019279F"/>
    <w:rsid w:val="00192804"/>
    <w:rsid w:val="00192993"/>
    <w:rsid w:val="001929C5"/>
    <w:rsid w:val="001929E0"/>
    <w:rsid w:val="001929E8"/>
    <w:rsid w:val="001929F0"/>
    <w:rsid w:val="00192A0A"/>
    <w:rsid w:val="00192A4C"/>
    <w:rsid w:val="00192A68"/>
    <w:rsid w:val="00192A6C"/>
    <w:rsid w:val="00192AE3"/>
    <w:rsid w:val="00192B4C"/>
    <w:rsid w:val="00192B4D"/>
    <w:rsid w:val="00192BAA"/>
    <w:rsid w:val="00192C2C"/>
    <w:rsid w:val="00192C57"/>
    <w:rsid w:val="00192D3D"/>
    <w:rsid w:val="00192D3E"/>
    <w:rsid w:val="00192DAC"/>
    <w:rsid w:val="00192DF8"/>
    <w:rsid w:val="00192E0F"/>
    <w:rsid w:val="00192E50"/>
    <w:rsid w:val="00192EDF"/>
    <w:rsid w:val="00192F13"/>
    <w:rsid w:val="00192F52"/>
    <w:rsid w:val="00192FA3"/>
    <w:rsid w:val="0019309D"/>
    <w:rsid w:val="001930E5"/>
    <w:rsid w:val="0019320B"/>
    <w:rsid w:val="00193231"/>
    <w:rsid w:val="00193262"/>
    <w:rsid w:val="001932A8"/>
    <w:rsid w:val="001932AF"/>
    <w:rsid w:val="001932F0"/>
    <w:rsid w:val="00193303"/>
    <w:rsid w:val="00193306"/>
    <w:rsid w:val="0019330F"/>
    <w:rsid w:val="0019339F"/>
    <w:rsid w:val="001933BE"/>
    <w:rsid w:val="001933C6"/>
    <w:rsid w:val="001933FA"/>
    <w:rsid w:val="001933FF"/>
    <w:rsid w:val="001934EB"/>
    <w:rsid w:val="001935F9"/>
    <w:rsid w:val="0019363D"/>
    <w:rsid w:val="001936B5"/>
    <w:rsid w:val="001936D7"/>
    <w:rsid w:val="001936EE"/>
    <w:rsid w:val="00193741"/>
    <w:rsid w:val="0019375A"/>
    <w:rsid w:val="0019377D"/>
    <w:rsid w:val="001937DE"/>
    <w:rsid w:val="00193836"/>
    <w:rsid w:val="00193841"/>
    <w:rsid w:val="0019384A"/>
    <w:rsid w:val="0019384C"/>
    <w:rsid w:val="001938BE"/>
    <w:rsid w:val="001938D3"/>
    <w:rsid w:val="00193982"/>
    <w:rsid w:val="001939D4"/>
    <w:rsid w:val="00193A05"/>
    <w:rsid w:val="00193A3D"/>
    <w:rsid w:val="00193A3F"/>
    <w:rsid w:val="00193A41"/>
    <w:rsid w:val="00193A5F"/>
    <w:rsid w:val="00193B4C"/>
    <w:rsid w:val="00193B6F"/>
    <w:rsid w:val="00193BB4"/>
    <w:rsid w:val="00193BE8"/>
    <w:rsid w:val="00193C2D"/>
    <w:rsid w:val="00193C39"/>
    <w:rsid w:val="00193CB8"/>
    <w:rsid w:val="00193D4E"/>
    <w:rsid w:val="00193D63"/>
    <w:rsid w:val="00193DA1"/>
    <w:rsid w:val="00193DB1"/>
    <w:rsid w:val="00193DCE"/>
    <w:rsid w:val="00193E0C"/>
    <w:rsid w:val="00193E29"/>
    <w:rsid w:val="00193F03"/>
    <w:rsid w:val="00193F66"/>
    <w:rsid w:val="00193FE2"/>
    <w:rsid w:val="00193FF2"/>
    <w:rsid w:val="00193FFC"/>
    <w:rsid w:val="00194062"/>
    <w:rsid w:val="0019409B"/>
    <w:rsid w:val="001940BB"/>
    <w:rsid w:val="001940D3"/>
    <w:rsid w:val="001940FE"/>
    <w:rsid w:val="001941A3"/>
    <w:rsid w:val="001941B5"/>
    <w:rsid w:val="001941E0"/>
    <w:rsid w:val="00194211"/>
    <w:rsid w:val="00194220"/>
    <w:rsid w:val="00194254"/>
    <w:rsid w:val="0019427F"/>
    <w:rsid w:val="00194289"/>
    <w:rsid w:val="001942BD"/>
    <w:rsid w:val="001942DC"/>
    <w:rsid w:val="001942DE"/>
    <w:rsid w:val="00194303"/>
    <w:rsid w:val="00194344"/>
    <w:rsid w:val="00194346"/>
    <w:rsid w:val="0019435C"/>
    <w:rsid w:val="0019437E"/>
    <w:rsid w:val="00194386"/>
    <w:rsid w:val="001943FE"/>
    <w:rsid w:val="00194476"/>
    <w:rsid w:val="0019449F"/>
    <w:rsid w:val="001944A7"/>
    <w:rsid w:val="00194514"/>
    <w:rsid w:val="00194547"/>
    <w:rsid w:val="00194551"/>
    <w:rsid w:val="00194561"/>
    <w:rsid w:val="00194563"/>
    <w:rsid w:val="001945FC"/>
    <w:rsid w:val="00194627"/>
    <w:rsid w:val="00194662"/>
    <w:rsid w:val="00194717"/>
    <w:rsid w:val="00194820"/>
    <w:rsid w:val="00194831"/>
    <w:rsid w:val="001948B2"/>
    <w:rsid w:val="001948E6"/>
    <w:rsid w:val="0019490D"/>
    <w:rsid w:val="0019497B"/>
    <w:rsid w:val="0019498B"/>
    <w:rsid w:val="00194A12"/>
    <w:rsid w:val="00194A65"/>
    <w:rsid w:val="00194AD5"/>
    <w:rsid w:val="00194B0E"/>
    <w:rsid w:val="00194B6C"/>
    <w:rsid w:val="00194B71"/>
    <w:rsid w:val="00194B8A"/>
    <w:rsid w:val="00194BC8"/>
    <w:rsid w:val="00194C2F"/>
    <w:rsid w:val="00194D53"/>
    <w:rsid w:val="00194D72"/>
    <w:rsid w:val="00194DB7"/>
    <w:rsid w:val="00194DFB"/>
    <w:rsid w:val="00194E42"/>
    <w:rsid w:val="00194E6C"/>
    <w:rsid w:val="00194E8D"/>
    <w:rsid w:val="00194E96"/>
    <w:rsid w:val="00194F2C"/>
    <w:rsid w:val="00195000"/>
    <w:rsid w:val="00195078"/>
    <w:rsid w:val="001950D5"/>
    <w:rsid w:val="00195152"/>
    <w:rsid w:val="0019518C"/>
    <w:rsid w:val="00195196"/>
    <w:rsid w:val="0019523D"/>
    <w:rsid w:val="001952FA"/>
    <w:rsid w:val="00195320"/>
    <w:rsid w:val="00195354"/>
    <w:rsid w:val="00195387"/>
    <w:rsid w:val="001953EC"/>
    <w:rsid w:val="00195420"/>
    <w:rsid w:val="00195446"/>
    <w:rsid w:val="00195463"/>
    <w:rsid w:val="0019547A"/>
    <w:rsid w:val="001954A7"/>
    <w:rsid w:val="001954D1"/>
    <w:rsid w:val="001954DE"/>
    <w:rsid w:val="001954F1"/>
    <w:rsid w:val="00195515"/>
    <w:rsid w:val="00195519"/>
    <w:rsid w:val="001955A1"/>
    <w:rsid w:val="001955BD"/>
    <w:rsid w:val="001955E7"/>
    <w:rsid w:val="00195675"/>
    <w:rsid w:val="001956E1"/>
    <w:rsid w:val="00195760"/>
    <w:rsid w:val="00195761"/>
    <w:rsid w:val="00195767"/>
    <w:rsid w:val="001957C8"/>
    <w:rsid w:val="001957F1"/>
    <w:rsid w:val="0019581C"/>
    <w:rsid w:val="00195857"/>
    <w:rsid w:val="0019588D"/>
    <w:rsid w:val="00195969"/>
    <w:rsid w:val="0019599C"/>
    <w:rsid w:val="001959AD"/>
    <w:rsid w:val="001959BB"/>
    <w:rsid w:val="00195A04"/>
    <w:rsid w:val="00195AAD"/>
    <w:rsid w:val="00195AB2"/>
    <w:rsid w:val="00195AB4"/>
    <w:rsid w:val="00195AD9"/>
    <w:rsid w:val="00195ADF"/>
    <w:rsid w:val="00195AEE"/>
    <w:rsid w:val="00195AFD"/>
    <w:rsid w:val="00195B5F"/>
    <w:rsid w:val="00195BE6"/>
    <w:rsid w:val="00195C23"/>
    <w:rsid w:val="00195C2D"/>
    <w:rsid w:val="00195C46"/>
    <w:rsid w:val="00195D19"/>
    <w:rsid w:val="00195D1C"/>
    <w:rsid w:val="00195D7C"/>
    <w:rsid w:val="00195D96"/>
    <w:rsid w:val="00195E28"/>
    <w:rsid w:val="00195ED4"/>
    <w:rsid w:val="00195ED8"/>
    <w:rsid w:val="00195F98"/>
    <w:rsid w:val="0019600A"/>
    <w:rsid w:val="00196034"/>
    <w:rsid w:val="00196050"/>
    <w:rsid w:val="0019608E"/>
    <w:rsid w:val="001960F9"/>
    <w:rsid w:val="001960FE"/>
    <w:rsid w:val="0019615B"/>
    <w:rsid w:val="0019616F"/>
    <w:rsid w:val="001961BC"/>
    <w:rsid w:val="00196213"/>
    <w:rsid w:val="0019623B"/>
    <w:rsid w:val="00196255"/>
    <w:rsid w:val="00196288"/>
    <w:rsid w:val="001963C9"/>
    <w:rsid w:val="001963D8"/>
    <w:rsid w:val="001963FA"/>
    <w:rsid w:val="00196419"/>
    <w:rsid w:val="00196430"/>
    <w:rsid w:val="00196490"/>
    <w:rsid w:val="0019650C"/>
    <w:rsid w:val="0019656C"/>
    <w:rsid w:val="0019657D"/>
    <w:rsid w:val="00196589"/>
    <w:rsid w:val="00196648"/>
    <w:rsid w:val="00196675"/>
    <w:rsid w:val="001967C7"/>
    <w:rsid w:val="001967F8"/>
    <w:rsid w:val="0019680D"/>
    <w:rsid w:val="0019680E"/>
    <w:rsid w:val="0019683D"/>
    <w:rsid w:val="00196896"/>
    <w:rsid w:val="001968C3"/>
    <w:rsid w:val="001968D3"/>
    <w:rsid w:val="001968F2"/>
    <w:rsid w:val="00196929"/>
    <w:rsid w:val="0019695A"/>
    <w:rsid w:val="00196988"/>
    <w:rsid w:val="001969A2"/>
    <w:rsid w:val="001969CA"/>
    <w:rsid w:val="001969D8"/>
    <w:rsid w:val="00196A60"/>
    <w:rsid w:val="00196A8D"/>
    <w:rsid w:val="00196A98"/>
    <w:rsid w:val="00196ACF"/>
    <w:rsid w:val="00196B1B"/>
    <w:rsid w:val="00196B2E"/>
    <w:rsid w:val="00196B96"/>
    <w:rsid w:val="00196BF0"/>
    <w:rsid w:val="00196C00"/>
    <w:rsid w:val="00196C52"/>
    <w:rsid w:val="00196C64"/>
    <w:rsid w:val="00196C75"/>
    <w:rsid w:val="00196C84"/>
    <w:rsid w:val="00196C9A"/>
    <w:rsid w:val="00196D04"/>
    <w:rsid w:val="00196D77"/>
    <w:rsid w:val="00196D83"/>
    <w:rsid w:val="00196DA3"/>
    <w:rsid w:val="00196DD7"/>
    <w:rsid w:val="00196E25"/>
    <w:rsid w:val="00196E4F"/>
    <w:rsid w:val="00196E62"/>
    <w:rsid w:val="00196E88"/>
    <w:rsid w:val="00196EAE"/>
    <w:rsid w:val="00196EBE"/>
    <w:rsid w:val="00196EE3"/>
    <w:rsid w:val="00196F2A"/>
    <w:rsid w:val="00196F32"/>
    <w:rsid w:val="00196F6C"/>
    <w:rsid w:val="00197001"/>
    <w:rsid w:val="0019700A"/>
    <w:rsid w:val="00197084"/>
    <w:rsid w:val="001970CC"/>
    <w:rsid w:val="001970F5"/>
    <w:rsid w:val="00197127"/>
    <w:rsid w:val="00197139"/>
    <w:rsid w:val="0019717E"/>
    <w:rsid w:val="001971AD"/>
    <w:rsid w:val="0019722D"/>
    <w:rsid w:val="00197275"/>
    <w:rsid w:val="00197318"/>
    <w:rsid w:val="00197330"/>
    <w:rsid w:val="00197351"/>
    <w:rsid w:val="0019741A"/>
    <w:rsid w:val="00197434"/>
    <w:rsid w:val="001974D8"/>
    <w:rsid w:val="0019751B"/>
    <w:rsid w:val="001975FF"/>
    <w:rsid w:val="0019771B"/>
    <w:rsid w:val="0019771E"/>
    <w:rsid w:val="0019778E"/>
    <w:rsid w:val="001977A8"/>
    <w:rsid w:val="001977F5"/>
    <w:rsid w:val="00197879"/>
    <w:rsid w:val="0019792D"/>
    <w:rsid w:val="00197947"/>
    <w:rsid w:val="001979C0"/>
    <w:rsid w:val="001979CB"/>
    <w:rsid w:val="00197A4C"/>
    <w:rsid w:val="00197A7A"/>
    <w:rsid w:val="00197A93"/>
    <w:rsid w:val="00197ADE"/>
    <w:rsid w:val="00197B0A"/>
    <w:rsid w:val="00197B0B"/>
    <w:rsid w:val="00197B71"/>
    <w:rsid w:val="00197B90"/>
    <w:rsid w:val="00197BF4"/>
    <w:rsid w:val="00197C26"/>
    <w:rsid w:val="00197C49"/>
    <w:rsid w:val="00197C8C"/>
    <w:rsid w:val="00197CD9"/>
    <w:rsid w:val="00197D24"/>
    <w:rsid w:val="00197DAD"/>
    <w:rsid w:val="00197DE4"/>
    <w:rsid w:val="00197E2A"/>
    <w:rsid w:val="00197E85"/>
    <w:rsid w:val="00197FBD"/>
    <w:rsid w:val="001A0019"/>
    <w:rsid w:val="001A0040"/>
    <w:rsid w:val="001A004F"/>
    <w:rsid w:val="001A0061"/>
    <w:rsid w:val="001A00F9"/>
    <w:rsid w:val="001A011C"/>
    <w:rsid w:val="001A0147"/>
    <w:rsid w:val="001A0148"/>
    <w:rsid w:val="001A0164"/>
    <w:rsid w:val="001A01AF"/>
    <w:rsid w:val="001A0204"/>
    <w:rsid w:val="001A020C"/>
    <w:rsid w:val="001A021F"/>
    <w:rsid w:val="001A0260"/>
    <w:rsid w:val="001A02C3"/>
    <w:rsid w:val="001A038E"/>
    <w:rsid w:val="001A0404"/>
    <w:rsid w:val="001A0415"/>
    <w:rsid w:val="001A0460"/>
    <w:rsid w:val="001A04EB"/>
    <w:rsid w:val="001A04F2"/>
    <w:rsid w:val="001A051F"/>
    <w:rsid w:val="001A05C6"/>
    <w:rsid w:val="001A069A"/>
    <w:rsid w:val="001A06DB"/>
    <w:rsid w:val="001A07D6"/>
    <w:rsid w:val="001A0815"/>
    <w:rsid w:val="001A081B"/>
    <w:rsid w:val="001A0825"/>
    <w:rsid w:val="001A0831"/>
    <w:rsid w:val="001A0892"/>
    <w:rsid w:val="001A08A3"/>
    <w:rsid w:val="001A08D3"/>
    <w:rsid w:val="001A094D"/>
    <w:rsid w:val="001A09A1"/>
    <w:rsid w:val="001A09A9"/>
    <w:rsid w:val="001A09DF"/>
    <w:rsid w:val="001A0A31"/>
    <w:rsid w:val="001A0A7D"/>
    <w:rsid w:val="001A0A7F"/>
    <w:rsid w:val="001A0AB8"/>
    <w:rsid w:val="001A0B04"/>
    <w:rsid w:val="001A0B30"/>
    <w:rsid w:val="001A0B46"/>
    <w:rsid w:val="001A0B49"/>
    <w:rsid w:val="001A0BDD"/>
    <w:rsid w:val="001A0C4E"/>
    <w:rsid w:val="001A0C79"/>
    <w:rsid w:val="001A0C86"/>
    <w:rsid w:val="001A0CC4"/>
    <w:rsid w:val="001A0CEB"/>
    <w:rsid w:val="001A0DA0"/>
    <w:rsid w:val="001A0DD2"/>
    <w:rsid w:val="001A0E21"/>
    <w:rsid w:val="001A0E91"/>
    <w:rsid w:val="001A0F07"/>
    <w:rsid w:val="001A0F6E"/>
    <w:rsid w:val="001A1008"/>
    <w:rsid w:val="001A1049"/>
    <w:rsid w:val="001A104A"/>
    <w:rsid w:val="001A1064"/>
    <w:rsid w:val="001A10ED"/>
    <w:rsid w:val="001A117F"/>
    <w:rsid w:val="001A11D9"/>
    <w:rsid w:val="001A122D"/>
    <w:rsid w:val="001A1238"/>
    <w:rsid w:val="001A124A"/>
    <w:rsid w:val="001A12C1"/>
    <w:rsid w:val="001A1394"/>
    <w:rsid w:val="001A140C"/>
    <w:rsid w:val="001A145F"/>
    <w:rsid w:val="001A1465"/>
    <w:rsid w:val="001A14AC"/>
    <w:rsid w:val="001A15B7"/>
    <w:rsid w:val="001A1620"/>
    <w:rsid w:val="001A1623"/>
    <w:rsid w:val="001A166B"/>
    <w:rsid w:val="001A168D"/>
    <w:rsid w:val="001A16A4"/>
    <w:rsid w:val="001A17A0"/>
    <w:rsid w:val="001A17BD"/>
    <w:rsid w:val="001A180C"/>
    <w:rsid w:val="001A1827"/>
    <w:rsid w:val="001A1828"/>
    <w:rsid w:val="001A1878"/>
    <w:rsid w:val="001A1881"/>
    <w:rsid w:val="001A1892"/>
    <w:rsid w:val="001A18C6"/>
    <w:rsid w:val="001A19A3"/>
    <w:rsid w:val="001A19AD"/>
    <w:rsid w:val="001A19C7"/>
    <w:rsid w:val="001A19E1"/>
    <w:rsid w:val="001A1A07"/>
    <w:rsid w:val="001A1A63"/>
    <w:rsid w:val="001A1A85"/>
    <w:rsid w:val="001A1A99"/>
    <w:rsid w:val="001A1AF2"/>
    <w:rsid w:val="001A1B4D"/>
    <w:rsid w:val="001A1BEE"/>
    <w:rsid w:val="001A1C07"/>
    <w:rsid w:val="001A1C15"/>
    <w:rsid w:val="001A1C5C"/>
    <w:rsid w:val="001A1C61"/>
    <w:rsid w:val="001A1C7A"/>
    <w:rsid w:val="001A1C7F"/>
    <w:rsid w:val="001A1CBD"/>
    <w:rsid w:val="001A1D35"/>
    <w:rsid w:val="001A1D3B"/>
    <w:rsid w:val="001A1D79"/>
    <w:rsid w:val="001A1DB0"/>
    <w:rsid w:val="001A1DC9"/>
    <w:rsid w:val="001A1DD4"/>
    <w:rsid w:val="001A1E89"/>
    <w:rsid w:val="001A1E9C"/>
    <w:rsid w:val="001A1EAD"/>
    <w:rsid w:val="001A1EBE"/>
    <w:rsid w:val="001A1EC3"/>
    <w:rsid w:val="001A1ED7"/>
    <w:rsid w:val="001A1F09"/>
    <w:rsid w:val="001A1F8B"/>
    <w:rsid w:val="001A1F90"/>
    <w:rsid w:val="001A1FB1"/>
    <w:rsid w:val="001A2054"/>
    <w:rsid w:val="001A20AC"/>
    <w:rsid w:val="001A20F7"/>
    <w:rsid w:val="001A2199"/>
    <w:rsid w:val="001A21AC"/>
    <w:rsid w:val="001A21C5"/>
    <w:rsid w:val="001A21CF"/>
    <w:rsid w:val="001A2321"/>
    <w:rsid w:val="001A2331"/>
    <w:rsid w:val="001A23A4"/>
    <w:rsid w:val="001A23AD"/>
    <w:rsid w:val="001A23DC"/>
    <w:rsid w:val="001A2402"/>
    <w:rsid w:val="001A2408"/>
    <w:rsid w:val="001A24AA"/>
    <w:rsid w:val="001A24FE"/>
    <w:rsid w:val="001A2509"/>
    <w:rsid w:val="001A254D"/>
    <w:rsid w:val="001A255F"/>
    <w:rsid w:val="001A2563"/>
    <w:rsid w:val="001A257E"/>
    <w:rsid w:val="001A25B2"/>
    <w:rsid w:val="001A25D2"/>
    <w:rsid w:val="001A25E4"/>
    <w:rsid w:val="001A25E6"/>
    <w:rsid w:val="001A269D"/>
    <w:rsid w:val="001A26B0"/>
    <w:rsid w:val="001A26E4"/>
    <w:rsid w:val="001A2769"/>
    <w:rsid w:val="001A27D6"/>
    <w:rsid w:val="001A284F"/>
    <w:rsid w:val="001A28B8"/>
    <w:rsid w:val="001A290A"/>
    <w:rsid w:val="001A2952"/>
    <w:rsid w:val="001A2A2F"/>
    <w:rsid w:val="001A2AE2"/>
    <w:rsid w:val="001A2B2F"/>
    <w:rsid w:val="001A2B70"/>
    <w:rsid w:val="001A2B7C"/>
    <w:rsid w:val="001A2BE6"/>
    <w:rsid w:val="001A2C08"/>
    <w:rsid w:val="001A2C6B"/>
    <w:rsid w:val="001A2C71"/>
    <w:rsid w:val="001A2CD0"/>
    <w:rsid w:val="001A2D3B"/>
    <w:rsid w:val="001A2D3C"/>
    <w:rsid w:val="001A2D6B"/>
    <w:rsid w:val="001A2E5D"/>
    <w:rsid w:val="001A2E95"/>
    <w:rsid w:val="001A2F69"/>
    <w:rsid w:val="001A2FB2"/>
    <w:rsid w:val="001A2FCD"/>
    <w:rsid w:val="001A2FEC"/>
    <w:rsid w:val="001A3019"/>
    <w:rsid w:val="001A304A"/>
    <w:rsid w:val="001A3099"/>
    <w:rsid w:val="001A311A"/>
    <w:rsid w:val="001A31A2"/>
    <w:rsid w:val="001A31CF"/>
    <w:rsid w:val="001A3249"/>
    <w:rsid w:val="001A324B"/>
    <w:rsid w:val="001A332C"/>
    <w:rsid w:val="001A3356"/>
    <w:rsid w:val="001A3389"/>
    <w:rsid w:val="001A338F"/>
    <w:rsid w:val="001A3471"/>
    <w:rsid w:val="001A355A"/>
    <w:rsid w:val="001A35A6"/>
    <w:rsid w:val="001A3704"/>
    <w:rsid w:val="001A375B"/>
    <w:rsid w:val="001A377D"/>
    <w:rsid w:val="001A37FB"/>
    <w:rsid w:val="001A382B"/>
    <w:rsid w:val="001A383A"/>
    <w:rsid w:val="001A3862"/>
    <w:rsid w:val="001A386B"/>
    <w:rsid w:val="001A3891"/>
    <w:rsid w:val="001A38E0"/>
    <w:rsid w:val="001A3916"/>
    <w:rsid w:val="001A39A0"/>
    <w:rsid w:val="001A3A3C"/>
    <w:rsid w:val="001A3A53"/>
    <w:rsid w:val="001A3AB6"/>
    <w:rsid w:val="001A3AC8"/>
    <w:rsid w:val="001A3AE2"/>
    <w:rsid w:val="001A3AEE"/>
    <w:rsid w:val="001A3B0F"/>
    <w:rsid w:val="001A3B13"/>
    <w:rsid w:val="001A3B1D"/>
    <w:rsid w:val="001A3B45"/>
    <w:rsid w:val="001A3B6A"/>
    <w:rsid w:val="001A3C04"/>
    <w:rsid w:val="001A3C22"/>
    <w:rsid w:val="001A3C4F"/>
    <w:rsid w:val="001A3CC8"/>
    <w:rsid w:val="001A3CD1"/>
    <w:rsid w:val="001A3D7D"/>
    <w:rsid w:val="001A3D88"/>
    <w:rsid w:val="001A3DD7"/>
    <w:rsid w:val="001A3DD8"/>
    <w:rsid w:val="001A3E36"/>
    <w:rsid w:val="001A3EA0"/>
    <w:rsid w:val="001A3F08"/>
    <w:rsid w:val="001A40EE"/>
    <w:rsid w:val="001A4105"/>
    <w:rsid w:val="001A4141"/>
    <w:rsid w:val="001A41C0"/>
    <w:rsid w:val="001A41C6"/>
    <w:rsid w:val="001A421D"/>
    <w:rsid w:val="001A422B"/>
    <w:rsid w:val="001A42B5"/>
    <w:rsid w:val="001A42ED"/>
    <w:rsid w:val="001A43B9"/>
    <w:rsid w:val="001A4403"/>
    <w:rsid w:val="001A4487"/>
    <w:rsid w:val="001A4489"/>
    <w:rsid w:val="001A44A1"/>
    <w:rsid w:val="001A44D1"/>
    <w:rsid w:val="001A44D3"/>
    <w:rsid w:val="001A4503"/>
    <w:rsid w:val="001A453D"/>
    <w:rsid w:val="001A45CE"/>
    <w:rsid w:val="001A45DC"/>
    <w:rsid w:val="001A460E"/>
    <w:rsid w:val="001A469E"/>
    <w:rsid w:val="001A46AB"/>
    <w:rsid w:val="001A46CA"/>
    <w:rsid w:val="001A46F7"/>
    <w:rsid w:val="001A4717"/>
    <w:rsid w:val="001A471D"/>
    <w:rsid w:val="001A475D"/>
    <w:rsid w:val="001A478E"/>
    <w:rsid w:val="001A47C9"/>
    <w:rsid w:val="001A488D"/>
    <w:rsid w:val="001A4890"/>
    <w:rsid w:val="001A497B"/>
    <w:rsid w:val="001A4981"/>
    <w:rsid w:val="001A4990"/>
    <w:rsid w:val="001A49AB"/>
    <w:rsid w:val="001A4A2D"/>
    <w:rsid w:val="001A4A37"/>
    <w:rsid w:val="001A4A90"/>
    <w:rsid w:val="001A4AE3"/>
    <w:rsid w:val="001A4AF0"/>
    <w:rsid w:val="001A4B07"/>
    <w:rsid w:val="001A4B35"/>
    <w:rsid w:val="001A4B85"/>
    <w:rsid w:val="001A4B95"/>
    <w:rsid w:val="001A4BCA"/>
    <w:rsid w:val="001A4C04"/>
    <w:rsid w:val="001A4C34"/>
    <w:rsid w:val="001A4C3A"/>
    <w:rsid w:val="001A4C49"/>
    <w:rsid w:val="001A4C7C"/>
    <w:rsid w:val="001A4CAD"/>
    <w:rsid w:val="001A4CF6"/>
    <w:rsid w:val="001A4D4E"/>
    <w:rsid w:val="001A4D9E"/>
    <w:rsid w:val="001A4DF1"/>
    <w:rsid w:val="001A4E07"/>
    <w:rsid w:val="001A4E7C"/>
    <w:rsid w:val="001A4E8B"/>
    <w:rsid w:val="001A4EC6"/>
    <w:rsid w:val="001A4EEA"/>
    <w:rsid w:val="001A4EED"/>
    <w:rsid w:val="001A4F22"/>
    <w:rsid w:val="001A4FD8"/>
    <w:rsid w:val="001A5066"/>
    <w:rsid w:val="001A5144"/>
    <w:rsid w:val="001A5168"/>
    <w:rsid w:val="001A51A7"/>
    <w:rsid w:val="001A51BE"/>
    <w:rsid w:val="001A51CB"/>
    <w:rsid w:val="001A5271"/>
    <w:rsid w:val="001A531B"/>
    <w:rsid w:val="001A53A3"/>
    <w:rsid w:val="001A53B1"/>
    <w:rsid w:val="001A53D1"/>
    <w:rsid w:val="001A540A"/>
    <w:rsid w:val="001A5447"/>
    <w:rsid w:val="001A5470"/>
    <w:rsid w:val="001A54C9"/>
    <w:rsid w:val="001A54D2"/>
    <w:rsid w:val="001A54EB"/>
    <w:rsid w:val="001A54F3"/>
    <w:rsid w:val="001A54F6"/>
    <w:rsid w:val="001A5502"/>
    <w:rsid w:val="001A5549"/>
    <w:rsid w:val="001A5557"/>
    <w:rsid w:val="001A5571"/>
    <w:rsid w:val="001A5578"/>
    <w:rsid w:val="001A558E"/>
    <w:rsid w:val="001A56F7"/>
    <w:rsid w:val="001A56F8"/>
    <w:rsid w:val="001A5796"/>
    <w:rsid w:val="001A57D6"/>
    <w:rsid w:val="001A57EF"/>
    <w:rsid w:val="001A5813"/>
    <w:rsid w:val="001A5840"/>
    <w:rsid w:val="001A590A"/>
    <w:rsid w:val="001A5950"/>
    <w:rsid w:val="001A59CA"/>
    <w:rsid w:val="001A59D2"/>
    <w:rsid w:val="001A59EB"/>
    <w:rsid w:val="001A59F9"/>
    <w:rsid w:val="001A59FA"/>
    <w:rsid w:val="001A5A10"/>
    <w:rsid w:val="001A5A18"/>
    <w:rsid w:val="001A5A45"/>
    <w:rsid w:val="001A5A4D"/>
    <w:rsid w:val="001A5A59"/>
    <w:rsid w:val="001A5A67"/>
    <w:rsid w:val="001A5AE2"/>
    <w:rsid w:val="001A5B07"/>
    <w:rsid w:val="001A5B1B"/>
    <w:rsid w:val="001A5B37"/>
    <w:rsid w:val="001A5BAD"/>
    <w:rsid w:val="001A5BC5"/>
    <w:rsid w:val="001A5C15"/>
    <w:rsid w:val="001A5CDC"/>
    <w:rsid w:val="001A5D2C"/>
    <w:rsid w:val="001A5D3E"/>
    <w:rsid w:val="001A5D4E"/>
    <w:rsid w:val="001A5DF1"/>
    <w:rsid w:val="001A5EAC"/>
    <w:rsid w:val="001A5ED7"/>
    <w:rsid w:val="001A5F42"/>
    <w:rsid w:val="001A5F5E"/>
    <w:rsid w:val="001A5FEA"/>
    <w:rsid w:val="001A6026"/>
    <w:rsid w:val="001A605E"/>
    <w:rsid w:val="001A6067"/>
    <w:rsid w:val="001A6078"/>
    <w:rsid w:val="001A6110"/>
    <w:rsid w:val="001A6127"/>
    <w:rsid w:val="001A6142"/>
    <w:rsid w:val="001A61A6"/>
    <w:rsid w:val="001A61A7"/>
    <w:rsid w:val="001A620A"/>
    <w:rsid w:val="001A6240"/>
    <w:rsid w:val="001A6245"/>
    <w:rsid w:val="001A6263"/>
    <w:rsid w:val="001A62B3"/>
    <w:rsid w:val="001A62EA"/>
    <w:rsid w:val="001A6364"/>
    <w:rsid w:val="001A637E"/>
    <w:rsid w:val="001A63C0"/>
    <w:rsid w:val="001A63E2"/>
    <w:rsid w:val="001A63FD"/>
    <w:rsid w:val="001A64F7"/>
    <w:rsid w:val="001A6548"/>
    <w:rsid w:val="001A654E"/>
    <w:rsid w:val="001A668D"/>
    <w:rsid w:val="001A66D8"/>
    <w:rsid w:val="001A671E"/>
    <w:rsid w:val="001A674D"/>
    <w:rsid w:val="001A67C3"/>
    <w:rsid w:val="001A6881"/>
    <w:rsid w:val="001A68DD"/>
    <w:rsid w:val="001A68F2"/>
    <w:rsid w:val="001A6975"/>
    <w:rsid w:val="001A6AB4"/>
    <w:rsid w:val="001A6B2A"/>
    <w:rsid w:val="001A6B3C"/>
    <w:rsid w:val="001A6B46"/>
    <w:rsid w:val="001A6BDC"/>
    <w:rsid w:val="001A6C21"/>
    <w:rsid w:val="001A6C35"/>
    <w:rsid w:val="001A6CB5"/>
    <w:rsid w:val="001A6D22"/>
    <w:rsid w:val="001A6DE9"/>
    <w:rsid w:val="001A6E5F"/>
    <w:rsid w:val="001A6EF1"/>
    <w:rsid w:val="001A6F03"/>
    <w:rsid w:val="001A6F27"/>
    <w:rsid w:val="001A6F84"/>
    <w:rsid w:val="001A6FB8"/>
    <w:rsid w:val="001A6FDE"/>
    <w:rsid w:val="001A7032"/>
    <w:rsid w:val="001A7125"/>
    <w:rsid w:val="001A7133"/>
    <w:rsid w:val="001A7187"/>
    <w:rsid w:val="001A71B3"/>
    <w:rsid w:val="001A7255"/>
    <w:rsid w:val="001A7264"/>
    <w:rsid w:val="001A726F"/>
    <w:rsid w:val="001A732F"/>
    <w:rsid w:val="001A736F"/>
    <w:rsid w:val="001A73C9"/>
    <w:rsid w:val="001A73F8"/>
    <w:rsid w:val="001A7416"/>
    <w:rsid w:val="001A745C"/>
    <w:rsid w:val="001A74B1"/>
    <w:rsid w:val="001A759D"/>
    <w:rsid w:val="001A75FA"/>
    <w:rsid w:val="001A76A4"/>
    <w:rsid w:val="001A7778"/>
    <w:rsid w:val="001A777C"/>
    <w:rsid w:val="001A7788"/>
    <w:rsid w:val="001A77BC"/>
    <w:rsid w:val="001A7870"/>
    <w:rsid w:val="001A7875"/>
    <w:rsid w:val="001A788C"/>
    <w:rsid w:val="001A7891"/>
    <w:rsid w:val="001A7894"/>
    <w:rsid w:val="001A78E7"/>
    <w:rsid w:val="001A78EB"/>
    <w:rsid w:val="001A7977"/>
    <w:rsid w:val="001A79A1"/>
    <w:rsid w:val="001A79B9"/>
    <w:rsid w:val="001A79CE"/>
    <w:rsid w:val="001A79E4"/>
    <w:rsid w:val="001A7A07"/>
    <w:rsid w:val="001A7A21"/>
    <w:rsid w:val="001A7A93"/>
    <w:rsid w:val="001A7ABB"/>
    <w:rsid w:val="001A7AD1"/>
    <w:rsid w:val="001A7BA0"/>
    <w:rsid w:val="001A7BBA"/>
    <w:rsid w:val="001A7BBB"/>
    <w:rsid w:val="001A7C06"/>
    <w:rsid w:val="001A7D0F"/>
    <w:rsid w:val="001A7D63"/>
    <w:rsid w:val="001A7DEB"/>
    <w:rsid w:val="001A7E67"/>
    <w:rsid w:val="001A7E6E"/>
    <w:rsid w:val="001A7E88"/>
    <w:rsid w:val="001A7EB7"/>
    <w:rsid w:val="001A7EC9"/>
    <w:rsid w:val="001A7EFF"/>
    <w:rsid w:val="001A7F77"/>
    <w:rsid w:val="001A7F90"/>
    <w:rsid w:val="001A7FBA"/>
    <w:rsid w:val="001B002B"/>
    <w:rsid w:val="001B0053"/>
    <w:rsid w:val="001B0113"/>
    <w:rsid w:val="001B0185"/>
    <w:rsid w:val="001B01B8"/>
    <w:rsid w:val="001B01D2"/>
    <w:rsid w:val="001B020E"/>
    <w:rsid w:val="001B0260"/>
    <w:rsid w:val="001B026A"/>
    <w:rsid w:val="001B028B"/>
    <w:rsid w:val="001B02CD"/>
    <w:rsid w:val="001B02F5"/>
    <w:rsid w:val="001B0347"/>
    <w:rsid w:val="001B034B"/>
    <w:rsid w:val="001B044F"/>
    <w:rsid w:val="001B054A"/>
    <w:rsid w:val="001B06AD"/>
    <w:rsid w:val="001B072A"/>
    <w:rsid w:val="001B075C"/>
    <w:rsid w:val="001B075F"/>
    <w:rsid w:val="001B0796"/>
    <w:rsid w:val="001B07CC"/>
    <w:rsid w:val="001B0846"/>
    <w:rsid w:val="001B08AC"/>
    <w:rsid w:val="001B0910"/>
    <w:rsid w:val="001B098B"/>
    <w:rsid w:val="001B09D6"/>
    <w:rsid w:val="001B0A36"/>
    <w:rsid w:val="001B0A4A"/>
    <w:rsid w:val="001B0A7E"/>
    <w:rsid w:val="001B0AC9"/>
    <w:rsid w:val="001B0B17"/>
    <w:rsid w:val="001B0BE6"/>
    <w:rsid w:val="001B0C1C"/>
    <w:rsid w:val="001B0C2D"/>
    <w:rsid w:val="001B0C5D"/>
    <w:rsid w:val="001B0C74"/>
    <w:rsid w:val="001B0CC8"/>
    <w:rsid w:val="001B0CFA"/>
    <w:rsid w:val="001B0D86"/>
    <w:rsid w:val="001B0DB1"/>
    <w:rsid w:val="001B0DF6"/>
    <w:rsid w:val="001B0E16"/>
    <w:rsid w:val="001B0E29"/>
    <w:rsid w:val="001B0E2E"/>
    <w:rsid w:val="001B0E56"/>
    <w:rsid w:val="001B0E6C"/>
    <w:rsid w:val="001B0E88"/>
    <w:rsid w:val="001B0EB0"/>
    <w:rsid w:val="001B0F40"/>
    <w:rsid w:val="001B0FFC"/>
    <w:rsid w:val="001B10FC"/>
    <w:rsid w:val="001B1177"/>
    <w:rsid w:val="001B1182"/>
    <w:rsid w:val="001B118E"/>
    <w:rsid w:val="001B11D4"/>
    <w:rsid w:val="001B12EB"/>
    <w:rsid w:val="001B1365"/>
    <w:rsid w:val="001B13AB"/>
    <w:rsid w:val="001B13EB"/>
    <w:rsid w:val="001B1432"/>
    <w:rsid w:val="001B1472"/>
    <w:rsid w:val="001B147D"/>
    <w:rsid w:val="001B14AA"/>
    <w:rsid w:val="001B14D2"/>
    <w:rsid w:val="001B150C"/>
    <w:rsid w:val="001B1530"/>
    <w:rsid w:val="001B1591"/>
    <w:rsid w:val="001B15B7"/>
    <w:rsid w:val="001B1656"/>
    <w:rsid w:val="001B167C"/>
    <w:rsid w:val="001B1715"/>
    <w:rsid w:val="001B176C"/>
    <w:rsid w:val="001B177E"/>
    <w:rsid w:val="001B17BD"/>
    <w:rsid w:val="001B18A6"/>
    <w:rsid w:val="001B18A8"/>
    <w:rsid w:val="001B193C"/>
    <w:rsid w:val="001B1957"/>
    <w:rsid w:val="001B1983"/>
    <w:rsid w:val="001B19A4"/>
    <w:rsid w:val="001B19C5"/>
    <w:rsid w:val="001B19DE"/>
    <w:rsid w:val="001B1A42"/>
    <w:rsid w:val="001B1B89"/>
    <w:rsid w:val="001B1BCD"/>
    <w:rsid w:val="001B1BE9"/>
    <w:rsid w:val="001B1C62"/>
    <w:rsid w:val="001B1C8D"/>
    <w:rsid w:val="001B1CB3"/>
    <w:rsid w:val="001B1CD8"/>
    <w:rsid w:val="001B1D67"/>
    <w:rsid w:val="001B1E08"/>
    <w:rsid w:val="001B1E0F"/>
    <w:rsid w:val="001B1E81"/>
    <w:rsid w:val="001B1EC8"/>
    <w:rsid w:val="001B1EE5"/>
    <w:rsid w:val="001B1FBF"/>
    <w:rsid w:val="001B1FC3"/>
    <w:rsid w:val="001B2016"/>
    <w:rsid w:val="001B20AC"/>
    <w:rsid w:val="001B20B0"/>
    <w:rsid w:val="001B20F8"/>
    <w:rsid w:val="001B20FE"/>
    <w:rsid w:val="001B2155"/>
    <w:rsid w:val="001B2164"/>
    <w:rsid w:val="001B217E"/>
    <w:rsid w:val="001B2181"/>
    <w:rsid w:val="001B2189"/>
    <w:rsid w:val="001B21D8"/>
    <w:rsid w:val="001B2293"/>
    <w:rsid w:val="001B22D5"/>
    <w:rsid w:val="001B2330"/>
    <w:rsid w:val="001B2350"/>
    <w:rsid w:val="001B2398"/>
    <w:rsid w:val="001B2399"/>
    <w:rsid w:val="001B23C5"/>
    <w:rsid w:val="001B23E1"/>
    <w:rsid w:val="001B241D"/>
    <w:rsid w:val="001B2430"/>
    <w:rsid w:val="001B2461"/>
    <w:rsid w:val="001B2462"/>
    <w:rsid w:val="001B249C"/>
    <w:rsid w:val="001B24C3"/>
    <w:rsid w:val="001B254B"/>
    <w:rsid w:val="001B256F"/>
    <w:rsid w:val="001B2570"/>
    <w:rsid w:val="001B2575"/>
    <w:rsid w:val="001B25E1"/>
    <w:rsid w:val="001B25F0"/>
    <w:rsid w:val="001B265F"/>
    <w:rsid w:val="001B2660"/>
    <w:rsid w:val="001B269F"/>
    <w:rsid w:val="001B26AB"/>
    <w:rsid w:val="001B26F3"/>
    <w:rsid w:val="001B2767"/>
    <w:rsid w:val="001B2857"/>
    <w:rsid w:val="001B2864"/>
    <w:rsid w:val="001B2887"/>
    <w:rsid w:val="001B28CB"/>
    <w:rsid w:val="001B2909"/>
    <w:rsid w:val="001B2913"/>
    <w:rsid w:val="001B297A"/>
    <w:rsid w:val="001B2983"/>
    <w:rsid w:val="001B299E"/>
    <w:rsid w:val="001B29A5"/>
    <w:rsid w:val="001B29D7"/>
    <w:rsid w:val="001B2ADA"/>
    <w:rsid w:val="001B2B3D"/>
    <w:rsid w:val="001B2B7F"/>
    <w:rsid w:val="001B2B95"/>
    <w:rsid w:val="001B2C33"/>
    <w:rsid w:val="001B2C3B"/>
    <w:rsid w:val="001B2CA0"/>
    <w:rsid w:val="001B2CD3"/>
    <w:rsid w:val="001B2D39"/>
    <w:rsid w:val="001B2D3D"/>
    <w:rsid w:val="001B2DE4"/>
    <w:rsid w:val="001B2E48"/>
    <w:rsid w:val="001B2E61"/>
    <w:rsid w:val="001B2EBC"/>
    <w:rsid w:val="001B2ECC"/>
    <w:rsid w:val="001B2F22"/>
    <w:rsid w:val="001B2FA1"/>
    <w:rsid w:val="001B2FA5"/>
    <w:rsid w:val="001B30A7"/>
    <w:rsid w:val="001B3116"/>
    <w:rsid w:val="001B31A2"/>
    <w:rsid w:val="001B31C5"/>
    <w:rsid w:val="001B31D9"/>
    <w:rsid w:val="001B325A"/>
    <w:rsid w:val="001B327C"/>
    <w:rsid w:val="001B327D"/>
    <w:rsid w:val="001B329C"/>
    <w:rsid w:val="001B331B"/>
    <w:rsid w:val="001B33C5"/>
    <w:rsid w:val="001B33C6"/>
    <w:rsid w:val="001B344C"/>
    <w:rsid w:val="001B346F"/>
    <w:rsid w:val="001B3484"/>
    <w:rsid w:val="001B3489"/>
    <w:rsid w:val="001B34CB"/>
    <w:rsid w:val="001B34DA"/>
    <w:rsid w:val="001B3515"/>
    <w:rsid w:val="001B3518"/>
    <w:rsid w:val="001B353A"/>
    <w:rsid w:val="001B3609"/>
    <w:rsid w:val="001B3811"/>
    <w:rsid w:val="001B3824"/>
    <w:rsid w:val="001B3844"/>
    <w:rsid w:val="001B3872"/>
    <w:rsid w:val="001B3873"/>
    <w:rsid w:val="001B3885"/>
    <w:rsid w:val="001B38CB"/>
    <w:rsid w:val="001B38DF"/>
    <w:rsid w:val="001B3917"/>
    <w:rsid w:val="001B3931"/>
    <w:rsid w:val="001B39D5"/>
    <w:rsid w:val="001B39E2"/>
    <w:rsid w:val="001B3A85"/>
    <w:rsid w:val="001B3AFB"/>
    <w:rsid w:val="001B3B0B"/>
    <w:rsid w:val="001B3B32"/>
    <w:rsid w:val="001B3B7B"/>
    <w:rsid w:val="001B3C5D"/>
    <w:rsid w:val="001B3C7A"/>
    <w:rsid w:val="001B3C81"/>
    <w:rsid w:val="001B3CA4"/>
    <w:rsid w:val="001B3CB9"/>
    <w:rsid w:val="001B3CBA"/>
    <w:rsid w:val="001B3CF4"/>
    <w:rsid w:val="001B3D12"/>
    <w:rsid w:val="001B3D88"/>
    <w:rsid w:val="001B3E56"/>
    <w:rsid w:val="001B3E66"/>
    <w:rsid w:val="001B3EE1"/>
    <w:rsid w:val="001B3F52"/>
    <w:rsid w:val="001B401A"/>
    <w:rsid w:val="001B403C"/>
    <w:rsid w:val="001B4082"/>
    <w:rsid w:val="001B4097"/>
    <w:rsid w:val="001B4170"/>
    <w:rsid w:val="001B4174"/>
    <w:rsid w:val="001B4188"/>
    <w:rsid w:val="001B41AA"/>
    <w:rsid w:val="001B41D2"/>
    <w:rsid w:val="001B41DF"/>
    <w:rsid w:val="001B4214"/>
    <w:rsid w:val="001B423A"/>
    <w:rsid w:val="001B423C"/>
    <w:rsid w:val="001B4257"/>
    <w:rsid w:val="001B426D"/>
    <w:rsid w:val="001B427F"/>
    <w:rsid w:val="001B42DB"/>
    <w:rsid w:val="001B42EA"/>
    <w:rsid w:val="001B42F5"/>
    <w:rsid w:val="001B42FA"/>
    <w:rsid w:val="001B43B6"/>
    <w:rsid w:val="001B43B8"/>
    <w:rsid w:val="001B43C7"/>
    <w:rsid w:val="001B445D"/>
    <w:rsid w:val="001B4464"/>
    <w:rsid w:val="001B44BF"/>
    <w:rsid w:val="001B44E9"/>
    <w:rsid w:val="001B4504"/>
    <w:rsid w:val="001B4595"/>
    <w:rsid w:val="001B460F"/>
    <w:rsid w:val="001B46B3"/>
    <w:rsid w:val="001B4746"/>
    <w:rsid w:val="001B475B"/>
    <w:rsid w:val="001B4770"/>
    <w:rsid w:val="001B4793"/>
    <w:rsid w:val="001B47CD"/>
    <w:rsid w:val="001B47D1"/>
    <w:rsid w:val="001B48FD"/>
    <w:rsid w:val="001B49DC"/>
    <w:rsid w:val="001B49E1"/>
    <w:rsid w:val="001B4A3B"/>
    <w:rsid w:val="001B4A43"/>
    <w:rsid w:val="001B4A5C"/>
    <w:rsid w:val="001B4ADE"/>
    <w:rsid w:val="001B4B21"/>
    <w:rsid w:val="001B4B4A"/>
    <w:rsid w:val="001B4B6B"/>
    <w:rsid w:val="001B4B76"/>
    <w:rsid w:val="001B4CB2"/>
    <w:rsid w:val="001B4CD9"/>
    <w:rsid w:val="001B4D7E"/>
    <w:rsid w:val="001B4DCA"/>
    <w:rsid w:val="001B4DDE"/>
    <w:rsid w:val="001B4EA9"/>
    <w:rsid w:val="001B4EB5"/>
    <w:rsid w:val="001B4EDE"/>
    <w:rsid w:val="001B4F1C"/>
    <w:rsid w:val="001B4F56"/>
    <w:rsid w:val="001B4F6F"/>
    <w:rsid w:val="001B5008"/>
    <w:rsid w:val="001B501D"/>
    <w:rsid w:val="001B502D"/>
    <w:rsid w:val="001B508B"/>
    <w:rsid w:val="001B50AF"/>
    <w:rsid w:val="001B50D7"/>
    <w:rsid w:val="001B513E"/>
    <w:rsid w:val="001B51F4"/>
    <w:rsid w:val="001B5226"/>
    <w:rsid w:val="001B527E"/>
    <w:rsid w:val="001B5293"/>
    <w:rsid w:val="001B5296"/>
    <w:rsid w:val="001B52B2"/>
    <w:rsid w:val="001B533A"/>
    <w:rsid w:val="001B53B4"/>
    <w:rsid w:val="001B5435"/>
    <w:rsid w:val="001B555D"/>
    <w:rsid w:val="001B55A0"/>
    <w:rsid w:val="001B565C"/>
    <w:rsid w:val="001B56CA"/>
    <w:rsid w:val="001B5728"/>
    <w:rsid w:val="001B5729"/>
    <w:rsid w:val="001B5777"/>
    <w:rsid w:val="001B57B2"/>
    <w:rsid w:val="001B57E2"/>
    <w:rsid w:val="001B5827"/>
    <w:rsid w:val="001B585E"/>
    <w:rsid w:val="001B586B"/>
    <w:rsid w:val="001B5879"/>
    <w:rsid w:val="001B589C"/>
    <w:rsid w:val="001B58B8"/>
    <w:rsid w:val="001B593F"/>
    <w:rsid w:val="001B59BA"/>
    <w:rsid w:val="001B5A1F"/>
    <w:rsid w:val="001B5A30"/>
    <w:rsid w:val="001B5A53"/>
    <w:rsid w:val="001B5A60"/>
    <w:rsid w:val="001B5AB7"/>
    <w:rsid w:val="001B5AC5"/>
    <w:rsid w:val="001B5B46"/>
    <w:rsid w:val="001B5B4F"/>
    <w:rsid w:val="001B5B65"/>
    <w:rsid w:val="001B5C08"/>
    <w:rsid w:val="001B5C87"/>
    <w:rsid w:val="001B5CCB"/>
    <w:rsid w:val="001B5D77"/>
    <w:rsid w:val="001B5E22"/>
    <w:rsid w:val="001B5E6C"/>
    <w:rsid w:val="001B5E6D"/>
    <w:rsid w:val="001B5EEA"/>
    <w:rsid w:val="001B5EF3"/>
    <w:rsid w:val="001B5F24"/>
    <w:rsid w:val="001B5F39"/>
    <w:rsid w:val="001B601F"/>
    <w:rsid w:val="001B607F"/>
    <w:rsid w:val="001B60E0"/>
    <w:rsid w:val="001B60F7"/>
    <w:rsid w:val="001B6121"/>
    <w:rsid w:val="001B616C"/>
    <w:rsid w:val="001B61B4"/>
    <w:rsid w:val="001B61D3"/>
    <w:rsid w:val="001B6258"/>
    <w:rsid w:val="001B630F"/>
    <w:rsid w:val="001B643B"/>
    <w:rsid w:val="001B64D3"/>
    <w:rsid w:val="001B64EB"/>
    <w:rsid w:val="001B64EC"/>
    <w:rsid w:val="001B64FD"/>
    <w:rsid w:val="001B6516"/>
    <w:rsid w:val="001B6520"/>
    <w:rsid w:val="001B655A"/>
    <w:rsid w:val="001B6572"/>
    <w:rsid w:val="001B65E5"/>
    <w:rsid w:val="001B6611"/>
    <w:rsid w:val="001B6630"/>
    <w:rsid w:val="001B6633"/>
    <w:rsid w:val="001B6645"/>
    <w:rsid w:val="001B66C7"/>
    <w:rsid w:val="001B66CC"/>
    <w:rsid w:val="001B66CE"/>
    <w:rsid w:val="001B66E8"/>
    <w:rsid w:val="001B672B"/>
    <w:rsid w:val="001B673D"/>
    <w:rsid w:val="001B673E"/>
    <w:rsid w:val="001B6772"/>
    <w:rsid w:val="001B6893"/>
    <w:rsid w:val="001B6899"/>
    <w:rsid w:val="001B68FB"/>
    <w:rsid w:val="001B6A01"/>
    <w:rsid w:val="001B6A28"/>
    <w:rsid w:val="001B6A2A"/>
    <w:rsid w:val="001B6A42"/>
    <w:rsid w:val="001B6A9D"/>
    <w:rsid w:val="001B6AED"/>
    <w:rsid w:val="001B6B71"/>
    <w:rsid w:val="001B6C44"/>
    <w:rsid w:val="001B6C63"/>
    <w:rsid w:val="001B6CB9"/>
    <w:rsid w:val="001B6CCB"/>
    <w:rsid w:val="001B6CED"/>
    <w:rsid w:val="001B6D3B"/>
    <w:rsid w:val="001B6D92"/>
    <w:rsid w:val="001B6DB1"/>
    <w:rsid w:val="001B6DE4"/>
    <w:rsid w:val="001B6E26"/>
    <w:rsid w:val="001B6E27"/>
    <w:rsid w:val="001B6E98"/>
    <w:rsid w:val="001B6F6C"/>
    <w:rsid w:val="001B6FA4"/>
    <w:rsid w:val="001B700F"/>
    <w:rsid w:val="001B7025"/>
    <w:rsid w:val="001B7033"/>
    <w:rsid w:val="001B70A5"/>
    <w:rsid w:val="001B70B4"/>
    <w:rsid w:val="001B70EA"/>
    <w:rsid w:val="001B7159"/>
    <w:rsid w:val="001B7182"/>
    <w:rsid w:val="001B719C"/>
    <w:rsid w:val="001B71A2"/>
    <w:rsid w:val="001B722C"/>
    <w:rsid w:val="001B725D"/>
    <w:rsid w:val="001B72D3"/>
    <w:rsid w:val="001B730D"/>
    <w:rsid w:val="001B7357"/>
    <w:rsid w:val="001B739C"/>
    <w:rsid w:val="001B740D"/>
    <w:rsid w:val="001B7420"/>
    <w:rsid w:val="001B7527"/>
    <w:rsid w:val="001B7636"/>
    <w:rsid w:val="001B766E"/>
    <w:rsid w:val="001B7727"/>
    <w:rsid w:val="001B774C"/>
    <w:rsid w:val="001B776F"/>
    <w:rsid w:val="001B7776"/>
    <w:rsid w:val="001B77D2"/>
    <w:rsid w:val="001B77E9"/>
    <w:rsid w:val="001B7833"/>
    <w:rsid w:val="001B78E1"/>
    <w:rsid w:val="001B78E4"/>
    <w:rsid w:val="001B78EC"/>
    <w:rsid w:val="001B78F4"/>
    <w:rsid w:val="001B78F8"/>
    <w:rsid w:val="001B790C"/>
    <w:rsid w:val="001B79C2"/>
    <w:rsid w:val="001B79C5"/>
    <w:rsid w:val="001B7A53"/>
    <w:rsid w:val="001B7A64"/>
    <w:rsid w:val="001B7ADC"/>
    <w:rsid w:val="001B7B60"/>
    <w:rsid w:val="001B7B62"/>
    <w:rsid w:val="001B7B6E"/>
    <w:rsid w:val="001B7B88"/>
    <w:rsid w:val="001B7BB1"/>
    <w:rsid w:val="001B7BE2"/>
    <w:rsid w:val="001B7C13"/>
    <w:rsid w:val="001B7C54"/>
    <w:rsid w:val="001B7C69"/>
    <w:rsid w:val="001B7C6E"/>
    <w:rsid w:val="001B7CB4"/>
    <w:rsid w:val="001B7CCD"/>
    <w:rsid w:val="001B7CDA"/>
    <w:rsid w:val="001B7CDB"/>
    <w:rsid w:val="001B7D74"/>
    <w:rsid w:val="001B7DDF"/>
    <w:rsid w:val="001B7E44"/>
    <w:rsid w:val="001B7E5E"/>
    <w:rsid w:val="001B7EA5"/>
    <w:rsid w:val="001B7EB8"/>
    <w:rsid w:val="001B7EDB"/>
    <w:rsid w:val="001B7FD7"/>
    <w:rsid w:val="001C00EE"/>
    <w:rsid w:val="001C0101"/>
    <w:rsid w:val="001C011B"/>
    <w:rsid w:val="001C0131"/>
    <w:rsid w:val="001C015A"/>
    <w:rsid w:val="001C01E5"/>
    <w:rsid w:val="001C01E9"/>
    <w:rsid w:val="001C0237"/>
    <w:rsid w:val="001C0289"/>
    <w:rsid w:val="001C028D"/>
    <w:rsid w:val="001C0297"/>
    <w:rsid w:val="001C034B"/>
    <w:rsid w:val="001C03E3"/>
    <w:rsid w:val="001C042C"/>
    <w:rsid w:val="001C0469"/>
    <w:rsid w:val="001C046F"/>
    <w:rsid w:val="001C0498"/>
    <w:rsid w:val="001C0559"/>
    <w:rsid w:val="001C05A1"/>
    <w:rsid w:val="001C05CC"/>
    <w:rsid w:val="001C0614"/>
    <w:rsid w:val="001C0684"/>
    <w:rsid w:val="001C0690"/>
    <w:rsid w:val="001C06AC"/>
    <w:rsid w:val="001C06E1"/>
    <w:rsid w:val="001C0797"/>
    <w:rsid w:val="001C07D5"/>
    <w:rsid w:val="001C089E"/>
    <w:rsid w:val="001C0994"/>
    <w:rsid w:val="001C0A0C"/>
    <w:rsid w:val="001C0A32"/>
    <w:rsid w:val="001C0A63"/>
    <w:rsid w:val="001C0ABA"/>
    <w:rsid w:val="001C0AF9"/>
    <w:rsid w:val="001C0B5F"/>
    <w:rsid w:val="001C0B7D"/>
    <w:rsid w:val="001C0B80"/>
    <w:rsid w:val="001C0BBA"/>
    <w:rsid w:val="001C0BFF"/>
    <w:rsid w:val="001C0C4E"/>
    <w:rsid w:val="001C0C84"/>
    <w:rsid w:val="001C0CB6"/>
    <w:rsid w:val="001C0D30"/>
    <w:rsid w:val="001C0DAA"/>
    <w:rsid w:val="001C0E0C"/>
    <w:rsid w:val="001C0E17"/>
    <w:rsid w:val="001C0E53"/>
    <w:rsid w:val="001C0E66"/>
    <w:rsid w:val="001C0E82"/>
    <w:rsid w:val="001C0E98"/>
    <w:rsid w:val="001C0EE5"/>
    <w:rsid w:val="001C0F3A"/>
    <w:rsid w:val="001C0FDA"/>
    <w:rsid w:val="001C1047"/>
    <w:rsid w:val="001C10F6"/>
    <w:rsid w:val="001C10FF"/>
    <w:rsid w:val="001C12A7"/>
    <w:rsid w:val="001C12D1"/>
    <w:rsid w:val="001C1343"/>
    <w:rsid w:val="001C13AC"/>
    <w:rsid w:val="001C1457"/>
    <w:rsid w:val="001C1492"/>
    <w:rsid w:val="001C14A4"/>
    <w:rsid w:val="001C1517"/>
    <w:rsid w:val="001C154B"/>
    <w:rsid w:val="001C15B4"/>
    <w:rsid w:val="001C15B6"/>
    <w:rsid w:val="001C1676"/>
    <w:rsid w:val="001C16C4"/>
    <w:rsid w:val="001C16F8"/>
    <w:rsid w:val="001C175E"/>
    <w:rsid w:val="001C1760"/>
    <w:rsid w:val="001C1765"/>
    <w:rsid w:val="001C17C1"/>
    <w:rsid w:val="001C18C4"/>
    <w:rsid w:val="001C18CF"/>
    <w:rsid w:val="001C1919"/>
    <w:rsid w:val="001C19AB"/>
    <w:rsid w:val="001C19E4"/>
    <w:rsid w:val="001C19FA"/>
    <w:rsid w:val="001C1A59"/>
    <w:rsid w:val="001C1A9F"/>
    <w:rsid w:val="001C1AAC"/>
    <w:rsid w:val="001C1AEA"/>
    <w:rsid w:val="001C1B20"/>
    <w:rsid w:val="001C1BFA"/>
    <w:rsid w:val="001C1C63"/>
    <w:rsid w:val="001C1CD5"/>
    <w:rsid w:val="001C1CDE"/>
    <w:rsid w:val="001C1D25"/>
    <w:rsid w:val="001C1D36"/>
    <w:rsid w:val="001C1D53"/>
    <w:rsid w:val="001C1D77"/>
    <w:rsid w:val="001C1D7D"/>
    <w:rsid w:val="001C1EC4"/>
    <w:rsid w:val="001C1F36"/>
    <w:rsid w:val="001C1F54"/>
    <w:rsid w:val="001C200F"/>
    <w:rsid w:val="001C20AB"/>
    <w:rsid w:val="001C2112"/>
    <w:rsid w:val="001C21F2"/>
    <w:rsid w:val="001C2236"/>
    <w:rsid w:val="001C22CD"/>
    <w:rsid w:val="001C2324"/>
    <w:rsid w:val="001C233B"/>
    <w:rsid w:val="001C23B1"/>
    <w:rsid w:val="001C23D9"/>
    <w:rsid w:val="001C2441"/>
    <w:rsid w:val="001C248B"/>
    <w:rsid w:val="001C24A0"/>
    <w:rsid w:val="001C24AA"/>
    <w:rsid w:val="001C2511"/>
    <w:rsid w:val="001C2515"/>
    <w:rsid w:val="001C254C"/>
    <w:rsid w:val="001C255A"/>
    <w:rsid w:val="001C25D3"/>
    <w:rsid w:val="001C260F"/>
    <w:rsid w:val="001C2629"/>
    <w:rsid w:val="001C2696"/>
    <w:rsid w:val="001C26BB"/>
    <w:rsid w:val="001C26F4"/>
    <w:rsid w:val="001C2780"/>
    <w:rsid w:val="001C27C4"/>
    <w:rsid w:val="001C27EA"/>
    <w:rsid w:val="001C2970"/>
    <w:rsid w:val="001C2989"/>
    <w:rsid w:val="001C29C8"/>
    <w:rsid w:val="001C2A08"/>
    <w:rsid w:val="001C2A19"/>
    <w:rsid w:val="001C2AF0"/>
    <w:rsid w:val="001C2B02"/>
    <w:rsid w:val="001C2B25"/>
    <w:rsid w:val="001C2B81"/>
    <w:rsid w:val="001C2BA3"/>
    <w:rsid w:val="001C2BD9"/>
    <w:rsid w:val="001C2C0D"/>
    <w:rsid w:val="001C2C77"/>
    <w:rsid w:val="001C2C81"/>
    <w:rsid w:val="001C2C9E"/>
    <w:rsid w:val="001C2DBD"/>
    <w:rsid w:val="001C2E04"/>
    <w:rsid w:val="001C2E05"/>
    <w:rsid w:val="001C2E44"/>
    <w:rsid w:val="001C2E57"/>
    <w:rsid w:val="001C2E6B"/>
    <w:rsid w:val="001C2E90"/>
    <w:rsid w:val="001C2F50"/>
    <w:rsid w:val="001C2FF7"/>
    <w:rsid w:val="001C300C"/>
    <w:rsid w:val="001C3049"/>
    <w:rsid w:val="001C307A"/>
    <w:rsid w:val="001C30E8"/>
    <w:rsid w:val="001C30EF"/>
    <w:rsid w:val="001C30F6"/>
    <w:rsid w:val="001C3158"/>
    <w:rsid w:val="001C3172"/>
    <w:rsid w:val="001C3202"/>
    <w:rsid w:val="001C3262"/>
    <w:rsid w:val="001C32BD"/>
    <w:rsid w:val="001C33A5"/>
    <w:rsid w:val="001C340F"/>
    <w:rsid w:val="001C3443"/>
    <w:rsid w:val="001C34DD"/>
    <w:rsid w:val="001C34E6"/>
    <w:rsid w:val="001C34F5"/>
    <w:rsid w:val="001C3557"/>
    <w:rsid w:val="001C35D4"/>
    <w:rsid w:val="001C362E"/>
    <w:rsid w:val="001C370D"/>
    <w:rsid w:val="001C372D"/>
    <w:rsid w:val="001C3752"/>
    <w:rsid w:val="001C3798"/>
    <w:rsid w:val="001C3876"/>
    <w:rsid w:val="001C3890"/>
    <w:rsid w:val="001C393B"/>
    <w:rsid w:val="001C399F"/>
    <w:rsid w:val="001C39E4"/>
    <w:rsid w:val="001C3A4E"/>
    <w:rsid w:val="001C3AA7"/>
    <w:rsid w:val="001C3AAB"/>
    <w:rsid w:val="001C3AE0"/>
    <w:rsid w:val="001C3AEF"/>
    <w:rsid w:val="001C3B2E"/>
    <w:rsid w:val="001C3B62"/>
    <w:rsid w:val="001C3CAE"/>
    <w:rsid w:val="001C3CE3"/>
    <w:rsid w:val="001C3DC3"/>
    <w:rsid w:val="001C3DC6"/>
    <w:rsid w:val="001C3E2E"/>
    <w:rsid w:val="001C3E53"/>
    <w:rsid w:val="001C3E75"/>
    <w:rsid w:val="001C3F19"/>
    <w:rsid w:val="001C3F32"/>
    <w:rsid w:val="001C3F5F"/>
    <w:rsid w:val="001C3F86"/>
    <w:rsid w:val="001C409B"/>
    <w:rsid w:val="001C40F5"/>
    <w:rsid w:val="001C4127"/>
    <w:rsid w:val="001C41BA"/>
    <w:rsid w:val="001C41C6"/>
    <w:rsid w:val="001C41DF"/>
    <w:rsid w:val="001C4216"/>
    <w:rsid w:val="001C4253"/>
    <w:rsid w:val="001C4267"/>
    <w:rsid w:val="001C42C7"/>
    <w:rsid w:val="001C435E"/>
    <w:rsid w:val="001C438D"/>
    <w:rsid w:val="001C43BA"/>
    <w:rsid w:val="001C43CA"/>
    <w:rsid w:val="001C4422"/>
    <w:rsid w:val="001C4445"/>
    <w:rsid w:val="001C445F"/>
    <w:rsid w:val="001C447C"/>
    <w:rsid w:val="001C44C0"/>
    <w:rsid w:val="001C450D"/>
    <w:rsid w:val="001C4541"/>
    <w:rsid w:val="001C4546"/>
    <w:rsid w:val="001C45D6"/>
    <w:rsid w:val="001C45FD"/>
    <w:rsid w:val="001C465B"/>
    <w:rsid w:val="001C4668"/>
    <w:rsid w:val="001C467E"/>
    <w:rsid w:val="001C4773"/>
    <w:rsid w:val="001C477F"/>
    <w:rsid w:val="001C481D"/>
    <w:rsid w:val="001C48AD"/>
    <w:rsid w:val="001C48FF"/>
    <w:rsid w:val="001C492B"/>
    <w:rsid w:val="001C4987"/>
    <w:rsid w:val="001C4A6E"/>
    <w:rsid w:val="001C4B0C"/>
    <w:rsid w:val="001C4B20"/>
    <w:rsid w:val="001C4C51"/>
    <w:rsid w:val="001C4C68"/>
    <w:rsid w:val="001C4CE5"/>
    <w:rsid w:val="001C4D19"/>
    <w:rsid w:val="001C4D4B"/>
    <w:rsid w:val="001C4D59"/>
    <w:rsid w:val="001C4D89"/>
    <w:rsid w:val="001C4DFA"/>
    <w:rsid w:val="001C4E06"/>
    <w:rsid w:val="001C4E6F"/>
    <w:rsid w:val="001C4E82"/>
    <w:rsid w:val="001C4EA8"/>
    <w:rsid w:val="001C4ECB"/>
    <w:rsid w:val="001C4FD3"/>
    <w:rsid w:val="001C5016"/>
    <w:rsid w:val="001C5020"/>
    <w:rsid w:val="001C5030"/>
    <w:rsid w:val="001C5033"/>
    <w:rsid w:val="001C5087"/>
    <w:rsid w:val="001C50C6"/>
    <w:rsid w:val="001C50E7"/>
    <w:rsid w:val="001C511B"/>
    <w:rsid w:val="001C5144"/>
    <w:rsid w:val="001C51DD"/>
    <w:rsid w:val="001C5279"/>
    <w:rsid w:val="001C52B8"/>
    <w:rsid w:val="001C52CC"/>
    <w:rsid w:val="001C52E6"/>
    <w:rsid w:val="001C5354"/>
    <w:rsid w:val="001C53C3"/>
    <w:rsid w:val="001C53CC"/>
    <w:rsid w:val="001C53E1"/>
    <w:rsid w:val="001C54ED"/>
    <w:rsid w:val="001C5578"/>
    <w:rsid w:val="001C5591"/>
    <w:rsid w:val="001C562B"/>
    <w:rsid w:val="001C5636"/>
    <w:rsid w:val="001C5686"/>
    <w:rsid w:val="001C5690"/>
    <w:rsid w:val="001C5697"/>
    <w:rsid w:val="001C569C"/>
    <w:rsid w:val="001C56B5"/>
    <w:rsid w:val="001C56BD"/>
    <w:rsid w:val="001C56EE"/>
    <w:rsid w:val="001C56F4"/>
    <w:rsid w:val="001C571A"/>
    <w:rsid w:val="001C577D"/>
    <w:rsid w:val="001C57B9"/>
    <w:rsid w:val="001C5898"/>
    <w:rsid w:val="001C5939"/>
    <w:rsid w:val="001C5986"/>
    <w:rsid w:val="001C5988"/>
    <w:rsid w:val="001C59A5"/>
    <w:rsid w:val="001C5A46"/>
    <w:rsid w:val="001C5AD8"/>
    <w:rsid w:val="001C5B2D"/>
    <w:rsid w:val="001C5B43"/>
    <w:rsid w:val="001C5BA8"/>
    <w:rsid w:val="001C5BBB"/>
    <w:rsid w:val="001C5CA7"/>
    <w:rsid w:val="001C5CB2"/>
    <w:rsid w:val="001C5CB7"/>
    <w:rsid w:val="001C5DA9"/>
    <w:rsid w:val="001C5E03"/>
    <w:rsid w:val="001C5E09"/>
    <w:rsid w:val="001C5E1D"/>
    <w:rsid w:val="001C5E30"/>
    <w:rsid w:val="001C5E35"/>
    <w:rsid w:val="001C5E41"/>
    <w:rsid w:val="001C5E79"/>
    <w:rsid w:val="001C5E9B"/>
    <w:rsid w:val="001C5EC5"/>
    <w:rsid w:val="001C5F16"/>
    <w:rsid w:val="001C5FB0"/>
    <w:rsid w:val="001C5FB2"/>
    <w:rsid w:val="001C5FF5"/>
    <w:rsid w:val="001C6079"/>
    <w:rsid w:val="001C607F"/>
    <w:rsid w:val="001C609F"/>
    <w:rsid w:val="001C615B"/>
    <w:rsid w:val="001C6197"/>
    <w:rsid w:val="001C61AE"/>
    <w:rsid w:val="001C61E1"/>
    <w:rsid w:val="001C6247"/>
    <w:rsid w:val="001C6260"/>
    <w:rsid w:val="001C627B"/>
    <w:rsid w:val="001C63D1"/>
    <w:rsid w:val="001C63D8"/>
    <w:rsid w:val="001C6449"/>
    <w:rsid w:val="001C64F4"/>
    <w:rsid w:val="001C652C"/>
    <w:rsid w:val="001C658E"/>
    <w:rsid w:val="001C65D8"/>
    <w:rsid w:val="001C6605"/>
    <w:rsid w:val="001C6615"/>
    <w:rsid w:val="001C6690"/>
    <w:rsid w:val="001C66DC"/>
    <w:rsid w:val="001C6711"/>
    <w:rsid w:val="001C671B"/>
    <w:rsid w:val="001C6789"/>
    <w:rsid w:val="001C6819"/>
    <w:rsid w:val="001C6874"/>
    <w:rsid w:val="001C689C"/>
    <w:rsid w:val="001C68CD"/>
    <w:rsid w:val="001C68F6"/>
    <w:rsid w:val="001C6903"/>
    <w:rsid w:val="001C690B"/>
    <w:rsid w:val="001C6976"/>
    <w:rsid w:val="001C69BB"/>
    <w:rsid w:val="001C6A24"/>
    <w:rsid w:val="001C6A68"/>
    <w:rsid w:val="001C6A96"/>
    <w:rsid w:val="001C6A9F"/>
    <w:rsid w:val="001C6AA5"/>
    <w:rsid w:val="001C6AF7"/>
    <w:rsid w:val="001C6B36"/>
    <w:rsid w:val="001C6B60"/>
    <w:rsid w:val="001C6BA9"/>
    <w:rsid w:val="001C6BB8"/>
    <w:rsid w:val="001C6BC7"/>
    <w:rsid w:val="001C6BE9"/>
    <w:rsid w:val="001C6C72"/>
    <w:rsid w:val="001C6D2E"/>
    <w:rsid w:val="001C6D4B"/>
    <w:rsid w:val="001C6D82"/>
    <w:rsid w:val="001C6E53"/>
    <w:rsid w:val="001C6E75"/>
    <w:rsid w:val="001C6EE3"/>
    <w:rsid w:val="001C6EF2"/>
    <w:rsid w:val="001C6F7C"/>
    <w:rsid w:val="001C6F99"/>
    <w:rsid w:val="001C6FA5"/>
    <w:rsid w:val="001C6FB0"/>
    <w:rsid w:val="001C6FE1"/>
    <w:rsid w:val="001C7001"/>
    <w:rsid w:val="001C7037"/>
    <w:rsid w:val="001C705D"/>
    <w:rsid w:val="001C7076"/>
    <w:rsid w:val="001C7096"/>
    <w:rsid w:val="001C7097"/>
    <w:rsid w:val="001C7133"/>
    <w:rsid w:val="001C7217"/>
    <w:rsid w:val="001C72CB"/>
    <w:rsid w:val="001C7368"/>
    <w:rsid w:val="001C7432"/>
    <w:rsid w:val="001C7463"/>
    <w:rsid w:val="001C7486"/>
    <w:rsid w:val="001C74F3"/>
    <w:rsid w:val="001C754C"/>
    <w:rsid w:val="001C756B"/>
    <w:rsid w:val="001C75A6"/>
    <w:rsid w:val="001C75AF"/>
    <w:rsid w:val="001C75BF"/>
    <w:rsid w:val="001C7626"/>
    <w:rsid w:val="001C7631"/>
    <w:rsid w:val="001C7649"/>
    <w:rsid w:val="001C7667"/>
    <w:rsid w:val="001C766D"/>
    <w:rsid w:val="001C769F"/>
    <w:rsid w:val="001C7766"/>
    <w:rsid w:val="001C7773"/>
    <w:rsid w:val="001C7778"/>
    <w:rsid w:val="001C77A8"/>
    <w:rsid w:val="001C77BF"/>
    <w:rsid w:val="001C77C5"/>
    <w:rsid w:val="001C77D4"/>
    <w:rsid w:val="001C77DE"/>
    <w:rsid w:val="001C77E2"/>
    <w:rsid w:val="001C7830"/>
    <w:rsid w:val="001C78AC"/>
    <w:rsid w:val="001C78C2"/>
    <w:rsid w:val="001C7983"/>
    <w:rsid w:val="001C79B3"/>
    <w:rsid w:val="001C79CD"/>
    <w:rsid w:val="001C7A21"/>
    <w:rsid w:val="001C7A56"/>
    <w:rsid w:val="001C7AC5"/>
    <w:rsid w:val="001C7AD0"/>
    <w:rsid w:val="001C7ADF"/>
    <w:rsid w:val="001C7B23"/>
    <w:rsid w:val="001C7B8D"/>
    <w:rsid w:val="001C7BEA"/>
    <w:rsid w:val="001C7BF7"/>
    <w:rsid w:val="001C7C27"/>
    <w:rsid w:val="001C7D2B"/>
    <w:rsid w:val="001C7D3B"/>
    <w:rsid w:val="001C7D40"/>
    <w:rsid w:val="001C7D7A"/>
    <w:rsid w:val="001C7D82"/>
    <w:rsid w:val="001C7DB9"/>
    <w:rsid w:val="001C7E06"/>
    <w:rsid w:val="001C7E0F"/>
    <w:rsid w:val="001C7E66"/>
    <w:rsid w:val="001C7E6E"/>
    <w:rsid w:val="001C7ED4"/>
    <w:rsid w:val="001C7F94"/>
    <w:rsid w:val="001C7FAF"/>
    <w:rsid w:val="001C7FBF"/>
    <w:rsid w:val="001D0021"/>
    <w:rsid w:val="001D007B"/>
    <w:rsid w:val="001D00BB"/>
    <w:rsid w:val="001D0108"/>
    <w:rsid w:val="001D0116"/>
    <w:rsid w:val="001D0169"/>
    <w:rsid w:val="001D01D5"/>
    <w:rsid w:val="001D020E"/>
    <w:rsid w:val="001D020F"/>
    <w:rsid w:val="001D0214"/>
    <w:rsid w:val="001D022F"/>
    <w:rsid w:val="001D024C"/>
    <w:rsid w:val="001D02E1"/>
    <w:rsid w:val="001D0332"/>
    <w:rsid w:val="001D0404"/>
    <w:rsid w:val="001D040A"/>
    <w:rsid w:val="001D0419"/>
    <w:rsid w:val="001D0470"/>
    <w:rsid w:val="001D0550"/>
    <w:rsid w:val="001D05AC"/>
    <w:rsid w:val="001D05BB"/>
    <w:rsid w:val="001D062C"/>
    <w:rsid w:val="001D063C"/>
    <w:rsid w:val="001D067C"/>
    <w:rsid w:val="001D06D7"/>
    <w:rsid w:val="001D0783"/>
    <w:rsid w:val="001D0842"/>
    <w:rsid w:val="001D0847"/>
    <w:rsid w:val="001D0926"/>
    <w:rsid w:val="001D0942"/>
    <w:rsid w:val="001D094F"/>
    <w:rsid w:val="001D0974"/>
    <w:rsid w:val="001D09E7"/>
    <w:rsid w:val="001D09FE"/>
    <w:rsid w:val="001D0A13"/>
    <w:rsid w:val="001D0B04"/>
    <w:rsid w:val="001D0B87"/>
    <w:rsid w:val="001D0B8C"/>
    <w:rsid w:val="001D0B8D"/>
    <w:rsid w:val="001D0C31"/>
    <w:rsid w:val="001D0D54"/>
    <w:rsid w:val="001D0D91"/>
    <w:rsid w:val="001D0E39"/>
    <w:rsid w:val="001D0E3D"/>
    <w:rsid w:val="001D0EA1"/>
    <w:rsid w:val="001D0EA9"/>
    <w:rsid w:val="001D0EB5"/>
    <w:rsid w:val="001D0F39"/>
    <w:rsid w:val="001D0F63"/>
    <w:rsid w:val="001D0F8B"/>
    <w:rsid w:val="001D0FA3"/>
    <w:rsid w:val="001D0FD1"/>
    <w:rsid w:val="001D0FE0"/>
    <w:rsid w:val="001D1047"/>
    <w:rsid w:val="001D1082"/>
    <w:rsid w:val="001D10DA"/>
    <w:rsid w:val="001D1122"/>
    <w:rsid w:val="001D1182"/>
    <w:rsid w:val="001D11C0"/>
    <w:rsid w:val="001D11EE"/>
    <w:rsid w:val="001D1272"/>
    <w:rsid w:val="001D1311"/>
    <w:rsid w:val="001D132F"/>
    <w:rsid w:val="001D1383"/>
    <w:rsid w:val="001D13AE"/>
    <w:rsid w:val="001D13C4"/>
    <w:rsid w:val="001D1409"/>
    <w:rsid w:val="001D1447"/>
    <w:rsid w:val="001D14FA"/>
    <w:rsid w:val="001D1540"/>
    <w:rsid w:val="001D157A"/>
    <w:rsid w:val="001D15BF"/>
    <w:rsid w:val="001D15CC"/>
    <w:rsid w:val="001D161B"/>
    <w:rsid w:val="001D16BC"/>
    <w:rsid w:val="001D1737"/>
    <w:rsid w:val="001D1765"/>
    <w:rsid w:val="001D1794"/>
    <w:rsid w:val="001D17FF"/>
    <w:rsid w:val="001D1885"/>
    <w:rsid w:val="001D18AE"/>
    <w:rsid w:val="001D18C7"/>
    <w:rsid w:val="001D190D"/>
    <w:rsid w:val="001D1952"/>
    <w:rsid w:val="001D1954"/>
    <w:rsid w:val="001D19B8"/>
    <w:rsid w:val="001D1A2E"/>
    <w:rsid w:val="001D1B14"/>
    <w:rsid w:val="001D1C15"/>
    <w:rsid w:val="001D1C8E"/>
    <w:rsid w:val="001D1CC8"/>
    <w:rsid w:val="001D1CD0"/>
    <w:rsid w:val="001D1D39"/>
    <w:rsid w:val="001D1DE0"/>
    <w:rsid w:val="001D1EA1"/>
    <w:rsid w:val="001D1F11"/>
    <w:rsid w:val="001D1F5B"/>
    <w:rsid w:val="001D1F66"/>
    <w:rsid w:val="001D1FD3"/>
    <w:rsid w:val="001D2014"/>
    <w:rsid w:val="001D206D"/>
    <w:rsid w:val="001D2084"/>
    <w:rsid w:val="001D20B9"/>
    <w:rsid w:val="001D210E"/>
    <w:rsid w:val="001D2115"/>
    <w:rsid w:val="001D2145"/>
    <w:rsid w:val="001D2167"/>
    <w:rsid w:val="001D21C4"/>
    <w:rsid w:val="001D2233"/>
    <w:rsid w:val="001D223C"/>
    <w:rsid w:val="001D2291"/>
    <w:rsid w:val="001D2299"/>
    <w:rsid w:val="001D22AA"/>
    <w:rsid w:val="001D22B4"/>
    <w:rsid w:val="001D22CE"/>
    <w:rsid w:val="001D239B"/>
    <w:rsid w:val="001D23C4"/>
    <w:rsid w:val="001D23F6"/>
    <w:rsid w:val="001D240F"/>
    <w:rsid w:val="001D242E"/>
    <w:rsid w:val="001D2468"/>
    <w:rsid w:val="001D24D9"/>
    <w:rsid w:val="001D24F7"/>
    <w:rsid w:val="001D2514"/>
    <w:rsid w:val="001D2535"/>
    <w:rsid w:val="001D2550"/>
    <w:rsid w:val="001D25C2"/>
    <w:rsid w:val="001D25DC"/>
    <w:rsid w:val="001D2686"/>
    <w:rsid w:val="001D2688"/>
    <w:rsid w:val="001D2691"/>
    <w:rsid w:val="001D26C5"/>
    <w:rsid w:val="001D270C"/>
    <w:rsid w:val="001D272F"/>
    <w:rsid w:val="001D27A1"/>
    <w:rsid w:val="001D27CE"/>
    <w:rsid w:val="001D27F9"/>
    <w:rsid w:val="001D2814"/>
    <w:rsid w:val="001D282B"/>
    <w:rsid w:val="001D2834"/>
    <w:rsid w:val="001D2904"/>
    <w:rsid w:val="001D291F"/>
    <w:rsid w:val="001D2935"/>
    <w:rsid w:val="001D295D"/>
    <w:rsid w:val="001D2962"/>
    <w:rsid w:val="001D2991"/>
    <w:rsid w:val="001D29E7"/>
    <w:rsid w:val="001D29F0"/>
    <w:rsid w:val="001D2A6E"/>
    <w:rsid w:val="001D2A94"/>
    <w:rsid w:val="001D2AB3"/>
    <w:rsid w:val="001D2ABA"/>
    <w:rsid w:val="001D2AC9"/>
    <w:rsid w:val="001D2ACE"/>
    <w:rsid w:val="001D2B21"/>
    <w:rsid w:val="001D2B26"/>
    <w:rsid w:val="001D2B2B"/>
    <w:rsid w:val="001D2BBA"/>
    <w:rsid w:val="001D2BEB"/>
    <w:rsid w:val="001D2C2C"/>
    <w:rsid w:val="001D2C69"/>
    <w:rsid w:val="001D2D28"/>
    <w:rsid w:val="001D2D98"/>
    <w:rsid w:val="001D2E16"/>
    <w:rsid w:val="001D2E86"/>
    <w:rsid w:val="001D2E9B"/>
    <w:rsid w:val="001D2EC9"/>
    <w:rsid w:val="001D2F30"/>
    <w:rsid w:val="001D2F78"/>
    <w:rsid w:val="001D3062"/>
    <w:rsid w:val="001D3078"/>
    <w:rsid w:val="001D308D"/>
    <w:rsid w:val="001D3149"/>
    <w:rsid w:val="001D31F6"/>
    <w:rsid w:val="001D320A"/>
    <w:rsid w:val="001D3279"/>
    <w:rsid w:val="001D32B1"/>
    <w:rsid w:val="001D32B2"/>
    <w:rsid w:val="001D32CF"/>
    <w:rsid w:val="001D3386"/>
    <w:rsid w:val="001D33B0"/>
    <w:rsid w:val="001D33D4"/>
    <w:rsid w:val="001D3437"/>
    <w:rsid w:val="001D346D"/>
    <w:rsid w:val="001D347F"/>
    <w:rsid w:val="001D34AE"/>
    <w:rsid w:val="001D34FA"/>
    <w:rsid w:val="001D3504"/>
    <w:rsid w:val="001D3560"/>
    <w:rsid w:val="001D356C"/>
    <w:rsid w:val="001D35B7"/>
    <w:rsid w:val="001D35E7"/>
    <w:rsid w:val="001D3613"/>
    <w:rsid w:val="001D365B"/>
    <w:rsid w:val="001D36A4"/>
    <w:rsid w:val="001D370E"/>
    <w:rsid w:val="001D373F"/>
    <w:rsid w:val="001D3764"/>
    <w:rsid w:val="001D377D"/>
    <w:rsid w:val="001D37FB"/>
    <w:rsid w:val="001D3800"/>
    <w:rsid w:val="001D3847"/>
    <w:rsid w:val="001D385A"/>
    <w:rsid w:val="001D3865"/>
    <w:rsid w:val="001D38C8"/>
    <w:rsid w:val="001D3A18"/>
    <w:rsid w:val="001D3A6B"/>
    <w:rsid w:val="001D3AA7"/>
    <w:rsid w:val="001D3ABB"/>
    <w:rsid w:val="001D3B8C"/>
    <w:rsid w:val="001D3B94"/>
    <w:rsid w:val="001D3BA7"/>
    <w:rsid w:val="001D3BF3"/>
    <w:rsid w:val="001D3C32"/>
    <w:rsid w:val="001D3C8E"/>
    <w:rsid w:val="001D3CC4"/>
    <w:rsid w:val="001D3D1D"/>
    <w:rsid w:val="001D3D8D"/>
    <w:rsid w:val="001D3D8F"/>
    <w:rsid w:val="001D3E40"/>
    <w:rsid w:val="001D3E5B"/>
    <w:rsid w:val="001D3E79"/>
    <w:rsid w:val="001D3ECD"/>
    <w:rsid w:val="001D3F38"/>
    <w:rsid w:val="001D3FA1"/>
    <w:rsid w:val="001D3FC6"/>
    <w:rsid w:val="001D3FFE"/>
    <w:rsid w:val="001D4030"/>
    <w:rsid w:val="001D4035"/>
    <w:rsid w:val="001D4063"/>
    <w:rsid w:val="001D4087"/>
    <w:rsid w:val="001D40D5"/>
    <w:rsid w:val="001D413C"/>
    <w:rsid w:val="001D414C"/>
    <w:rsid w:val="001D4151"/>
    <w:rsid w:val="001D417F"/>
    <w:rsid w:val="001D4203"/>
    <w:rsid w:val="001D427F"/>
    <w:rsid w:val="001D42CB"/>
    <w:rsid w:val="001D43FC"/>
    <w:rsid w:val="001D440E"/>
    <w:rsid w:val="001D440F"/>
    <w:rsid w:val="001D447D"/>
    <w:rsid w:val="001D44B0"/>
    <w:rsid w:val="001D44CA"/>
    <w:rsid w:val="001D44DF"/>
    <w:rsid w:val="001D44EF"/>
    <w:rsid w:val="001D4549"/>
    <w:rsid w:val="001D4553"/>
    <w:rsid w:val="001D4591"/>
    <w:rsid w:val="001D45E8"/>
    <w:rsid w:val="001D4636"/>
    <w:rsid w:val="001D4637"/>
    <w:rsid w:val="001D4698"/>
    <w:rsid w:val="001D47BA"/>
    <w:rsid w:val="001D47C3"/>
    <w:rsid w:val="001D4800"/>
    <w:rsid w:val="001D48AD"/>
    <w:rsid w:val="001D48F3"/>
    <w:rsid w:val="001D490C"/>
    <w:rsid w:val="001D490E"/>
    <w:rsid w:val="001D4924"/>
    <w:rsid w:val="001D4944"/>
    <w:rsid w:val="001D4974"/>
    <w:rsid w:val="001D4984"/>
    <w:rsid w:val="001D49AF"/>
    <w:rsid w:val="001D49C5"/>
    <w:rsid w:val="001D49E4"/>
    <w:rsid w:val="001D49F0"/>
    <w:rsid w:val="001D4A7B"/>
    <w:rsid w:val="001D4A8C"/>
    <w:rsid w:val="001D4ADB"/>
    <w:rsid w:val="001D4AFC"/>
    <w:rsid w:val="001D4B44"/>
    <w:rsid w:val="001D4B63"/>
    <w:rsid w:val="001D4B8B"/>
    <w:rsid w:val="001D4BE1"/>
    <w:rsid w:val="001D4C22"/>
    <w:rsid w:val="001D4C8D"/>
    <w:rsid w:val="001D4CED"/>
    <w:rsid w:val="001D4D35"/>
    <w:rsid w:val="001D4D7E"/>
    <w:rsid w:val="001D4DA1"/>
    <w:rsid w:val="001D4DA6"/>
    <w:rsid w:val="001D4DA7"/>
    <w:rsid w:val="001D4E29"/>
    <w:rsid w:val="001D4E31"/>
    <w:rsid w:val="001D4E38"/>
    <w:rsid w:val="001D4E50"/>
    <w:rsid w:val="001D4E95"/>
    <w:rsid w:val="001D4E9F"/>
    <w:rsid w:val="001D4EBC"/>
    <w:rsid w:val="001D4F27"/>
    <w:rsid w:val="001D4F29"/>
    <w:rsid w:val="001D4F51"/>
    <w:rsid w:val="001D4F5C"/>
    <w:rsid w:val="001D4F82"/>
    <w:rsid w:val="001D4FDE"/>
    <w:rsid w:val="001D5046"/>
    <w:rsid w:val="001D5057"/>
    <w:rsid w:val="001D50AC"/>
    <w:rsid w:val="001D5141"/>
    <w:rsid w:val="001D51C1"/>
    <w:rsid w:val="001D51D5"/>
    <w:rsid w:val="001D520C"/>
    <w:rsid w:val="001D52EA"/>
    <w:rsid w:val="001D5304"/>
    <w:rsid w:val="001D5365"/>
    <w:rsid w:val="001D5372"/>
    <w:rsid w:val="001D5399"/>
    <w:rsid w:val="001D53E3"/>
    <w:rsid w:val="001D5416"/>
    <w:rsid w:val="001D5481"/>
    <w:rsid w:val="001D54C8"/>
    <w:rsid w:val="001D54D3"/>
    <w:rsid w:val="001D54EC"/>
    <w:rsid w:val="001D54F1"/>
    <w:rsid w:val="001D5508"/>
    <w:rsid w:val="001D5534"/>
    <w:rsid w:val="001D5574"/>
    <w:rsid w:val="001D55CB"/>
    <w:rsid w:val="001D55CF"/>
    <w:rsid w:val="001D55F2"/>
    <w:rsid w:val="001D56C6"/>
    <w:rsid w:val="001D5752"/>
    <w:rsid w:val="001D57E7"/>
    <w:rsid w:val="001D5864"/>
    <w:rsid w:val="001D587A"/>
    <w:rsid w:val="001D587C"/>
    <w:rsid w:val="001D5941"/>
    <w:rsid w:val="001D5991"/>
    <w:rsid w:val="001D5A06"/>
    <w:rsid w:val="001D5A16"/>
    <w:rsid w:val="001D5A19"/>
    <w:rsid w:val="001D5A51"/>
    <w:rsid w:val="001D5A76"/>
    <w:rsid w:val="001D5AAE"/>
    <w:rsid w:val="001D5B38"/>
    <w:rsid w:val="001D5BD0"/>
    <w:rsid w:val="001D5BE2"/>
    <w:rsid w:val="001D5BEC"/>
    <w:rsid w:val="001D5C19"/>
    <w:rsid w:val="001D5C1E"/>
    <w:rsid w:val="001D5C33"/>
    <w:rsid w:val="001D5C50"/>
    <w:rsid w:val="001D5D42"/>
    <w:rsid w:val="001D5D4A"/>
    <w:rsid w:val="001D5D53"/>
    <w:rsid w:val="001D5E46"/>
    <w:rsid w:val="001D5E9A"/>
    <w:rsid w:val="001D5EC0"/>
    <w:rsid w:val="001D5F0D"/>
    <w:rsid w:val="001D5F8D"/>
    <w:rsid w:val="001D5FE1"/>
    <w:rsid w:val="001D5FEB"/>
    <w:rsid w:val="001D604A"/>
    <w:rsid w:val="001D608F"/>
    <w:rsid w:val="001D6090"/>
    <w:rsid w:val="001D6095"/>
    <w:rsid w:val="001D60CB"/>
    <w:rsid w:val="001D60E7"/>
    <w:rsid w:val="001D610D"/>
    <w:rsid w:val="001D6163"/>
    <w:rsid w:val="001D617B"/>
    <w:rsid w:val="001D6224"/>
    <w:rsid w:val="001D622A"/>
    <w:rsid w:val="001D624F"/>
    <w:rsid w:val="001D6255"/>
    <w:rsid w:val="001D626E"/>
    <w:rsid w:val="001D6294"/>
    <w:rsid w:val="001D6299"/>
    <w:rsid w:val="001D62B0"/>
    <w:rsid w:val="001D6316"/>
    <w:rsid w:val="001D6373"/>
    <w:rsid w:val="001D63FF"/>
    <w:rsid w:val="001D6473"/>
    <w:rsid w:val="001D6500"/>
    <w:rsid w:val="001D6523"/>
    <w:rsid w:val="001D6538"/>
    <w:rsid w:val="001D656A"/>
    <w:rsid w:val="001D6578"/>
    <w:rsid w:val="001D65BA"/>
    <w:rsid w:val="001D65D4"/>
    <w:rsid w:val="001D65EE"/>
    <w:rsid w:val="001D660C"/>
    <w:rsid w:val="001D660D"/>
    <w:rsid w:val="001D663A"/>
    <w:rsid w:val="001D663F"/>
    <w:rsid w:val="001D6663"/>
    <w:rsid w:val="001D675E"/>
    <w:rsid w:val="001D679E"/>
    <w:rsid w:val="001D6824"/>
    <w:rsid w:val="001D6825"/>
    <w:rsid w:val="001D6831"/>
    <w:rsid w:val="001D683E"/>
    <w:rsid w:val="001D688F"/>
    <w:rsid w:val="001D692D"/>
    <w:rsid w:val="001D693C"/>
    <w:rsid w:val="001D6950"/>
    <w:rsid w:val="001D69B6"/>
    <w:rsid w:val="001D6A12"/>
    <w:rsid w:val="001D6A28"/>
    <w:rsid w:val="001D6A42"/>
    <w:rsid w:val="001D6A5F"/>
    <w:rsid w:val="001D6AAF"/>
    <w:rsid w:val="001D6AB8"/>
    <w:rsid w:val="001D6ABC"/>
    <w:rsid w:val="001D6ACB"/>
    <w:rsid w:val="001D6AE1"/>
    <w:rsid w:val="001D6AEA"/>
    <w:rsid w:val="001D6B18"/>
    <w:rsid w:val="001D6B35"/>
    <w:rsid w:val="001D6B65"/>
    <w:rsid w:val="001D6BA0"/>
    <w:rsid w:val="001D6BE9"/>
    <w:rsid w:val="001D6C3C"/>
    <w:rsid w:val="001D6CBF"/>
    <w:rsid w:val="001D6D89"/>
    <w:rsid w:val="001D6DE6"/>
    <w:rsid w:val="001D6E1E"/>
    <w:rsid w:val="001D6E23"/>
    <w:rsid w:val="001D6E38"/>
    <w:rsid w:val="001D6E6B"/>
    <w:rsid w:val="001D6E94"/>
    <w:rsid w:val="001D6EC0"/>
    <w:rsid w:val="001D6F6B"/>
    <w:rsid w:val="001D6F8D"/>
    <w:rsid w:val="001D6FB0"/>
    <w:rsid w:val="001D6FBA"/>
    <w:rsid w:val="001D6FBE"/>
    <w:rsid w:val="001D6FE4"/>
    <w:rsid w:val="001D7014"/>
    <w:rsid w:val="001D70BB"/>
    <w:rsid w:val="001D718E"/>
    <w:rsid w:val="001D7192"/>
    <w:rsid w:val="001D71D4"/>
    <w:rsid w:val="001D7212"/>
    <w:rsid w:val="001D7215"/>
    <w:rsid w:val="001D7218"/>
    <w:rsid w:val="001D72BC"/>
    <w:rsid w:val="001D72E2"/>
    <w:rsid w:val="001D7340"/>
    <w:rsid w:val="001D7377"/>
    <w:rsid w:val="001D73B7"/>
    <w:rsid w:val="001D73C5"/>
    <w:rsid w:val="001D73F1"/>
    <w:rsid w:val="001D741E"/>
    <w:rsid w:val="001D7433"/>
    <w:rsid w:val="001D7451"/>
    <w:rsid w:val="001D74C8"/>
    <w:rsid w:val="001D7578"/>
    <w:rsid w:val="001D7584"/>
    <w:rsid w:val="001D75BB"/>
    <w:rsid w:val="001D75D7"/>
    <w:rsid w:val="001D766B"/>
    <w:rsid w:val="001D768E"/>
    <w:rsid w:val="001D775E"/>
    <w:rsid w:val="001D778F"/>
    <w:rsid w:val="001D77A0"/>
    <w:rsid w:val="001D77FF"/>
    <w:rsid w:val="001D784E"/>
    <w:rsid w:val="001D792A"/>
    <w:rsid w:val="001D794D"/>
    <w:rsid w:val="001D799F"/>
    <w:rsid w:val="001D79B2"/>
    <w:rsid w:val="001D7A00"/>
    <w:rsid w:val="001D7A1B"/>
    <w:rsid w:val="001D7A48"/>
    <w:rsid w:val="001D7A8C"/>
    <w:rsid w:val="001D7A92"/>
    <w:rsid w:val="001D7ADC"/>
    <w:rsid w:val="001D7B37"/>
    <w:rsid w:val="001D7B3E"/>
    <w:rsid w:val="001D7BC7"/>
    <w:rsid w:val="001D7BFF"/>
    <w:rsid w:val="001D7C06"/>
    <w:rsid w:val="001D7C3C"/>
    <w:rsid w:val="001D7CA2"/>
    <w:rsid w:val="001D7CB2"/>
    <w:rsid w:val="001D7CF6"/>
    <w:rsid w:val="001D7D00"/>
    <w:rsid w:val="001D7D51"/>
    <w:rsid w:val="001D7DA1"/>
    <w:rsid w:val="001D7DC8"/>
    <w:rsid w:val="001D7E00"/>
    <w:rsid w:val="001D7E3F"/>
    <w:rsid w:val="001D7EA2"/>
    <w:rsid w:val="001D7EB0"/>
    <w:rsid w:val="001D7ED0"/>
    <w:rsid w:val="001D7F47"/>
    <w:rsid w:val="001D7F58"/>
    <w:rsid w:val="001D7FDB"/>
    <w:rsid w:val="001E001C"/>
    <w:rsid w:val="001E0032"/>
    <w:rsid w:val="001E0057"/>
    <w:rsid w:val="001E0098"/>
    <w:rsid w:val="001E00C2"/>
    <w:rsid w:val="001E017A"/>
    <w:rsid w:val="001E0198"/>
    <w:rsid w:val="001E01C1"/>
    <w:rsid w:val="001E01EC"/>
    <w:rsid w:val="001E0201"/>
    <w:rsid w:val="001E0218"/>
    <w:rsid w:val="001E023A"/>
    <w:rsid w:val="001E028E"/>
    <w:rsid w:val="001E02AE"/>
    <w:rsid w:val="001E031B"/>
    <w:rsid w:val="001E0333"/>
    <w:rsid w:val="001E0357"/>
    <w:rsid w:val="001E03ED"/>
    <w:rsid w:val="001E0438"/>
    <w:rsid w:val="001E0466"/>
    <w:rsid w:val="001E0511"/>
    <w:rsid w:val="001E051A"/>
    <w:rsid w:val="001E0552"/>
    <w:rsid w:val="001E0558"/>
    <w:rsid w:val="001E0572"/>
    <w:rsid w:val="001E0576"/>
    <w:rsid w:val="001E05B3"/>
    <w:rsid w:val="001E060B"/>
    <w:rsid w:val="001E0643"/>
    <w:rsid w:val="001E06D9"/>
    <w:rsid w:val="001E071B"/>
    <w:rsid w:val="001E0769"/>
    <w:rsid w:val="001E07D5"/>
    <w:rsid w:val="001E0824"/>
    <w:rsid w:val="001E086F"/>
    <w:rsid w:val="001E087E"/>
    <w:rsid w:val="001E0916"/>
    <w:rsid w:val="001E0917"/>
    <w:rsid w:val="001E09D2"/>
    <w:rsid w:val="001E0A10"/>
    <w:rsid w:val="001E0A17"/>
    <w:rsid w:val="001E0A28"/>
    <w:rsid w:val="001E0AF6"/>
    <w:rsid w:val="001E0BC5"/>
    <w:rsid w:val="001E0C01"/>
    <w:rsid w:val="001E0C05"/>
    <w:rsid w:val="001E0C0B"/>
    <w:rsid w:val="001E0C3D"/>
    <w:rsid w:val="001E0CBF"/>
    <w:rsid w:val="001E0D4F"/>
    <w:rsid w:val="001E0DB3"/>
    <w:rsid w:val="001E0DEC"/>
    <w:rsid w:val="001E0E0D"/>
    <w:rsid w:val="001E0E0E"/>
    <w:rsid w:val="001E0E3C"/>
    <w:rsid w:val="001E0E61"/>
    <w:rsid w:val="001E0E66"/>
    <w:rsid w:val="001E0E96"/>
    <w:rsid w:val="001E0EC6"/>
    <w:rsid w:val="001E0F5B"/>
    <w:rsid w:val="001E10C5"/>
    <w:rsid w:val="001E10F5"/>
    <w:rsid w:val="001E1145"/>
    <w:rsid w:val="001E123C"/>
    <w:rsid w:val="001E124E"/>
    <w:rsid w:val="001E1291"/>
    <w:rsid w:val="001E12A4"/>
    <w:rsid w:val="001E12A8"/>
    <w:rsid w:val="001E12BD"/>
    <w:rsid w:val="001E1313"/>
    <w:rsid w:val="001E131A"/>
    <w:rsid w:val="001E133F"/>
    <w:rsid w:val="001E1350"/>
    <w:rsid w:val="001E13A6"/>
    <w:rsid w:val="001E13C3"/>
    <w:rsid w:val="001E1458"/>
    <w:rsid w:val="001E147D"/>
    <w:rsid w:val="001E14A5"/>
    <w:rsid w:val="001E14BE"/>
    <w:rsid w:val="001E153D"/>
    <w:rsid w:val="001E1589"/>
    <w:rsid w:val="001E15B1"/>
    <w:rsid w:val="001E15B6"/>
    <w:rsid w:val="001E1610"/>
    <w:rsid w:val="001E16BD"/>
    <w:rsid w:val="001E16D9"/>
    <w:rsid w:val="001E16EE"/>
    <w:rsid w:val="001E1712"/>
    <w:rsid w:val="001E1742"/>
    <w:rsid w:val="001E17AB"/>
    <w:rsid w:val="001E17B9"/>
    <w:rsid w:val="001E17F1"/>
    <w:rsid w:val="001E1825"/>
    <w:rsid w:val="001E1857"/>
    <w:rsid w:val="001E1887"/>
    <w:rsid w:val="001E1915"/>
    <w:rsid w:val="001E197B"/>
    <w:rsid w:val="001E1B25"/>
    <w:rsid w:val="001E1BBE"/>
    <w:rsid w:val="001E1BC5"/>
    <w:rsid w:val="001E1C1A"/>
    <w:rsid w:val="001E1C32"/>
    <w:rsid w:val="001E1CE5"/>
    <w:rsid w:val="001E1CEB"/>
    <w:rsid w:val="001E1D04"/>
    <w:rsid w:val="001E1D1A"/>
    <w:rsid w:val="001E1D46"/>
    <w:rsid w:val="001E1EEF"/>
    <w:rsid w:val="001E1EFC"/>
    <w:rsid w:val="001E1F86"/>
    <w:rsid w:val="001E1F9E"/>
    <w:rsid w:val="001E1FAE"/>
    <w:rsid w:val="001E1FC2"/>
    <w:rsid w:val="001E1FE6"/>
    <w:rsid w:val="001E1FE7"/>
    <w:rsid w:val="001E2095"/>
    <w:rsid w:val="001E2200"/>
    <w:rsid w:val="001E220D"/>
    <w:rsid w:val="001E2231"/>
    <w:rsid w:val="001E22F1"/>
    <w:rsid w:val="001E2304"/>
    <w:rsid w:val="001E2365"/>
    <w:rsid w:val="001E2493"/>
    <w:rsid w:val="001E24FA"/>
    <w:rsid w:val="001E25A5"/>
    <w:rsid w:val="001E25C9"/>
    <w:rsid w:val="001E2619"/>
    <w:rsid w:val="001E2663"/>
    <w:rsid w:val="001E2678"/>
    <w:rsid w:val="001E2685"/>
    <w:rsid w:val="001E268E"/>
    <w:rsid w:val="001E26B7"/>
    <w:rsid w:val="001E2721"/>
    <w:rsid w:val="001E2725"/>
    <w:rsid w:val="001E276F"/>
    <w:rsid w:val="001E2778"/>
    <w:rsid w:val="001E27C1"/>
    <w:rsid w:val="001E27EB"/>
    <w:rsid w:val="001E284E"/>
    <w:rsid w:val="001E2892"/>
    <w:rsid w:val="001E28B3"/>
    <w:rsid w:val="001E28B9"/>
    <w:rsid w:val="001E28CE"/>
    <w:rsid w:val="001E28DF"/>
    <w:rsid w:val="001E290C"/>
    <w:rsid w:val="001E293E"/>
    <w:rsid w:val="001E29B3"/>
    <w:rsid w:val="001E29DB"/>
    <w:rsid w:val="001E29DF"/>
    <w:rsid w:val="001E2A2C"/>
    <w:rsid w:val="001E2A9B"/>
    <w:rsid w:val="001E2B7D"/>
    <w:rsid w:val="001E2B95"/>
    <w:rsid w:val="001E2BA2"/>
    <w:rsid w:val="001E2C62"/>
    <w:rsid w:val="001E2CED"/>
    <w:rsid w:val="001E2D5B"/>
    <w:rsid w:val="001E2E0D"/>
    <w:rsid w:val="001E2EB7"/>
    <w:rsid w:val="001E2ECC"/>
    <w:rsid w:val="001E2F24"/>
    <w:rsid w:val="001E2F71"/>
    <w:rsid w:val="001E2F7F"/>
    <w:rsid w:val="001E2FF2"/>
    <w:rsid w:val="001E2FF7"/>
    <w:rsid w:val="001E303E"/>
    <w:rsid w:val="001E306D"/>
    <w:rsid w:val="001E307F"/>
    <w:rsid w:val="001E30AC"/>
    <w:rsid w:val="001E30B2"/>
    <w:rsid w:val="001E3146"/>
    <w:rsid w:val="001E3173"/>
    <w:rsid w:val="001E31B8"/>
    <w:rsid w:val="001E31DC"/>
    <w:rsid w:val="001E3256"/>
    <w:rsid w:val="001E3265"/>
    <w:rsid w:val="001E326B"/>
    <w:rsid w:val="001E3303"/>
    <w:rsid w:val="001E3311"/>
    <w:rsid w:val="001E337C"/>
    <w:rsid w:val="001E3385"/>
    <w:rsid w:val="001E33CA"/>
    <w:rsid w:val="001E3463"/>
    <w:rsid w:val="001E3522"/>
    <w:rsid w:val="001E361E"/>
    <w:rsid w:val="001E3636"/>
    <w:rsid w:val="001E3663"/>
    <w:rsid w:val="001E369E"/>
    <w:rsid w:val="001E370B"/>
    <w:rsid w:val="001E3727"/>
    <w:rsid w:val="001E372B"/>
    <w:rsid w:val="001E374B"/>
    <w:rsid w:val="001E375B"/>
    <w:rsid w:val="001E3791"/>
    <w:rsid w:val="001E379E"/>
    <w:rsid w:val="001E37B6"/>
    <w:rsid w:val="001E37E0"/>
    <w:rsid w:val="001E3894"/>
    <w:rsid w:val="001E38C4"/>
    <w:rsid w:val="001E390B"/>
    <w:rsid w:val="001E3972"/>
    <w:rsid w:val="001E3983"/>
    <w:rsid w:val="001E3999"/>
    <w:rsid w:val="001E39F4"/>
    <w:rsid w:val="001E3A35"/>
    <w:rsid w:val="001E3A3C"/>
    <w:rsid w:val="001E3A7B"/>
    <w:rsid w:val="001E3A8A"/>
    <w:rsid w:val="001E3AA6"/>
    <w:rsid w:val="001E3B48"/>
    <w:rsid w:val="001E3B8B"/>
    <w:rsid w:val="001E3B8C"/>
    <w:rsid w:val="001E3B92"/>
    <w:rsid w:val="001E3B99"/>
    <w:rsid w:val="001E3C1C"/>
    <w:rsid w:val="001E3C4C"/>
    <w:rsid w:val="001E3C60"/>
    <w:rsid w:val="001E3C66"/>
    <w:rsid w:val="001E3C99"/>
    <w:rsid w:val="001E3D60"/>
    <w:rsid w:val="001E3D76"/>
    <w:rsid w:val="001E3DD7"/>
    <w:rsid w:val="001E3E11"/>
    <w:rsid w:val="001E3E59"/>
    <w:rsid w:val="001E3EAE"/>
    <w:rsid w:val="001E3EE6"/>
    <w:rsid w:val="001E3EEE"/>
    <w:rsid w:val="001E3F00"/>
    <w:rsid w:val="001E3F34"/>
    <w:rsid w:val="001E3F4B"/>
    <w:rsid w:val="001E3F5F"/>
    <w:rsid w:val="001E402B"/>
    <w:rsid w:val="001E40A7"/>
    <w:rsid w:val="001E40A9"/>
    <w:rsid w:val="001E40C8"/>
    <w:rsid w:val="001E418E"/>
    <w:rsid w:val="001E427C"/>
    <w:rsid w:val="001E42C1"/>
    <w:rsid w:val="001E4323"/>
    <w:rsid w:val="001E4339"/>
    <w:rsid w:val="001E4446"/>
    <w:rsid w:val="001E44B8"/>
    <w:rsid w:val="001E44C3"/>
    <w:rsid w:val="001E44DA"/>
    <w:rsid w:val="001E455D"/>
    <w:rsid w:val="001E45B9"/>
    <w:rsid w:val="001E45EC"/>
    <w:rsid w:val="001E4623"/>
    <w:rsid w:val="001E464C"/>
    <w:rsid w:val="001E4653"/>
    <w:rsid w:val="001E4663"/>
    <w:rsid w:val="001E4697"/>
    <w:rsid w:val="001E46AF"/>
    <w:rsid w:val="001E4726"/>
    <w:rsid w:val="001E4771"/>
    <w:rsid w:val="001E47ED"/>
    <w:rsid w:val="001E485E"/>
    <w:rsid w:val="001E48B1"/>
    <w:rsid w:val="001E48BC"/>
    <w:rsid w:val="001E4941"/>
    <w:rsid w:val="001E49BD"/>
    <w:rsid w:val="001E4AB4"/>
    <w:rsid w:val="001E4AEB"/>
    <w:rsid w:val="001E4B83"/>
    <w:rsid w:val="001E4BEF"/>
    <w:rsid w:val="001E4C00"/>
    <w:rsid w:val="001E4C14"/>
    <w:rsid w:val="001E4C63"/>
    <w:rsid w:val="001E4D1F"/>
    <w:rsid w:val="001E4D2E"/>
    <w:rsid w:val="001E4D89"/>
    <w:rsid w:val="001E4E02"/>
    <w:rsid w:val="001E4E08"/>
    <w:rsid w:val="001E4E14"/>
    <w:rsid w:val="001E4E34"/>
    <w:rsid w:val="001E4E61"/>
    <w:rsid w:val="001E4E68"/>
    <w:rsid w:val="001E4E7C"/>
    <w:rsid w:val="001E4F0E"/>
    <w:rsid w:val="001E4F22"/>
    <w:rsid w:val="001E4FDA"/>
    <w:rsid w:val="001E502D"/>
    <w:rsid w:val="001E5035"/>
    <w:rsid w:val="001E50CD"/>
    <w:rsid w:val="001E50D7"/>
    <w:rsid w:val="001E513E"/>
    <w:rsid w:val="001E516A"/>
    <w:rsid w:val="001E51A8"/>
    <w:rsid w:val="001E51F9"/>
    <w:rsid w:val="001E5215"/>
    <w:rsid w:val="001E529D"/>
    <w:rsid w:val="001E52F2"/>
    <w:rsid w:val="001E531F"/>
    <w:rsid w:val="001E5344"/>
    <w:rsid w:val="001E536B"/>
    <w:rsid w:val="001E5436"/>
    <w:rsid w:val="001E54C9"/>
    <w:rsid w:val="001E5518"/>
    <w:rsid w:val="001E55DE"/>
    <w:rsid w:val="001E55F0"/>
    <w:rsid w:val="001E55FC"/>
    <w:rsid w:val="001E5665"/>
    <w:rsid w:val="001E5673"/>
    <w:rsid w:val="001E56B2"/>
    <w:rsid w:val="001E56B7"/>
    <w:rsid w:val="001E56CD"/>
    <w:rsid w:val="001E56E4"/>
    <w:rsid w:val="001E56F1"/>
    <w:rsid w:val="001E56FA"/>
    <w:rsid w:val="001E5737"/>
    <w:rsid w:val="001E573E"/>
    <w:rsid w:val="001E579C"/>
    <w:rsid w:val="001E57AF"/>
    <w:rsid w:val="001E581F"/>
    <w:rsid w:val="001E59A0"/>
    <w:rsid w:val="001E59A1"/>
    <w:rsid w:val="001E59D9"/>
    <w:rsid w:val="001E59F9"/>
    <w:rsid w:val="001E5A07"/>
    <w:rsid w:val="001E5AB2"/>
    <w:rsid w:val="001E5AEC"/>
    <w:rsid w:val="001E5AF8"/>
    <w:rsid w:val="001E5B2B"/>
    <w:rsid w:val="001E5B69"/>
    <w:rsid w:val="001E5C8F"/>
    <w:rsid w:val="001E5CEE"/>
    <w:rsid w:val="001E5D4E"/>
    <w:rsid w:val="001E5E57"/>
    <w:rsid w:val="001E5F9C"/>
    <w:rsid w:val="001E5FD5"/>
    <w:rsid w:val="001E606C"/>
    <w:rsid w:val="001E607A"/>
    <w:rsid w:val="001E609C"/>
    <w:rsid w:val="001E60B8"/>
    <w:rsid w:val="001E60DC"/>
    <w:rsid w:val="001E60E4"/>
    <w:rsid w:val="001E612C"/>
    <w:rsid w:val="001E6199"/>
    <w:rsid w:val="001E624D"/>
    <w:rsid w:val="001E6276"/>
    <w:rsid w:val="001E6292"/>
    <w:rsid w:val="001E629E"/>
    <w:rsid w:val="001E62D1"/>
    <w:rsid w:val="001E631D"/>
    <w:rsid w:val="001E6329"/>
    <w:rsid w:val="001E632F"/>
    <w:rsid w:val="001E638C"/>
    <w:rsid w:val="001E643F"/>
    <w:rsid w:val="001E6497"/>
    <w:rsid w:val="001E64E9"/>
    <w:rsid w:val="001E64F7"/>
    <w:rsid w:val="001E650E"/>
    <w:rsid w:val="001E6529"/>
    <w:rsid w:val="001E6586"/>
    <w:rsid w:val="001E6624"/>
    <w:rsid w:val="001E6673"/>
    <w:rsid w:val="001E667D"/>
    <w:rsid w:val="001E66BB"/>
    <w:rsid w:val="001E6791"/>
    <w:rsid w:val="001E67D9"/>
    <w:rsid w:val="001E6807"/>
    <w:rsid w:val="001E684E"/>
    <w:rsid w:val="001E685D"/>
    <w:rsid w:val="001E6873"/>
    <w:rsid w:val="001E6894"/>
    <w:rsid w:val="001E68DF"/>
    <w:rsid w:val="001E6A1E"/>
    <w:rsid w:val="001E6A64"/>
    <w:rsid w:val="001E6A99"/>
    <w:rsid w:val="001E6AED"/>
    <w:rsid w:val="001E6B3B"/>
    <w:rsid w:val="001E6B41"/>
    <w:rsid w:val="001E6BE1"/>
    <w:rsid w:val="001E6C83"/>
    <w:rsid w:val="001E6D29"/>
    <w:rsid w:val="001E6E52"/>
    <w:rsid w:val="001E6E55"/>
    <w:rsid w:val="001E6E83"/>
    <w:rsid w:val="001E6EAA"/>
    <w:rsid w:val="001E6F1C"/>
    <w:rsid w:val="001E6F65"/>
    <w:rsid w:val="001E6F8B"/>
    <w:rsid w:val="001E6F93"/>
    <w:rsid w:val="001E6FA3"/>
    <w:rsid w:val="001E6FD7"/>
    <w:rsid w:val="001E6FE3"/>
    <w:rsid w:val="001E7036"/>
    <w:rsid w:val="001E70F8"/>
    <w:rsid w:val="001E7112"/>
    <w:rsid w:val="001E7123"/>
    <w:rsid w:val="001E72E6"/>
    <w:rsid w:val="001E72EF"/>
    <w:rsid w:val="001E72F0"/>
    <w:rsid w:val="001E737B"/>
    <w:rsid w:val="001E73BD"/>
    <w:rsid w:val="001E73C7"/>
    <w:rsid w:val="001E742B"/>
    <w:rsid w:val="001E7476"/>
    <w:rsid w:val="001E7529"/>
    <w:rsid w:val="001E7540"/>
    <w:rsid w:val="001E76E3"/>
    <w:rsid w:val="001E76E6"/>
    <w:rsid w:val="001E7714"/>
    <w:rsid w:val="001E771F"/>
    <w:rsid w:val="001E7746"/>
    <w:rsid w:val="001E774A"/>
    <w:rsid w:val="001E7750"/>
    <w:rsid w:val="001E777B"/>
    <w:rsid w:val="001E7795"/>
    <w:rsid w:val="001E7818"/>
    <w:rsid w:val="001E7922"/>
    <w:rsid w:val="001E7926"/>
    <w:rsid w:val="001E792D"/>
    <w:rsid w:val="001E7947"/>
    <w:rsid w:val="001E7983"/>
    <w:rsid w:val="001E7989"/>
    <w:rsid w:val="001E79BB"/>
    <w:rsid w:val="001E79F5"/>
    <w:rsid w:val="001E7A08"/>
    <w:rsid w:val="001E7A11"/>
    <w:rsid w:val="001E7A1E"/>
    <w:rsid w:val="001E7A4E"/>
    <w:rsid w:val="001E7A5C"/>
    <w:rsid w:val="001E7A66"/>
    <w:rsid w:val="001E7A76"/>
    <w:rsid w:val="001E7A83"/>
    <w:rsid w:val="001E7AF6"/>
    <w:rsid w:val="001E7B34"/>
    <w:rsid w:val="001E7BCB"/>
    <w:rsid w:val="001E7C52"/>
    <w:rsid w:val="001E7C5D"/>
    <w:rsid w:val="001E7C6B"/>
    <w:rsid w:val="001E7C7B"/>
    <w:rsid w:val="001E7D14"/>
    <w:rsid w:val="001E7D6A"/>
    <w:rsid w:val="001E7D6B"/>
    <w:rsid w:val="001E7D7B"/>
    <w:rsid w:val="001E7E2E"/>
    <w:rsid w:val="001E7E6B"/>
    <w:rsid w:val="001E7F05"/>
    <w:rsid w:val="001E7F0C"/>
    <w:rsid w:val="001E7F8B"/>
    <w:rsid w:val="001E7FB8"/>
    <w:rsid w:val="001F0023"/>
    <w:rsid w:val="001F007C"/>
    <w:rsid w:val="001F0144"/>
    <w:rsid w:val="001F01B9"/>
    <w:rsid w:val="001F01D7"/>
    <w:rsid w:val="001F0248"/>
    <w:rsid w:val="001F02B8"/>
    <w:rsid w:val="001F02F6"/>
    <w:rsid w:val="001F037C"/>
    <w:rsid w:val="001F0383"/>
    <w:rsid w:val="001F0391"/>
    <w:rsid w:val="001F039F"/>
    <w:rsid w:val="001F03B1"/>
    <w:rsid w:val="001F03B2"/>
    <w:rsid w:val="001F0406"/>
    <w:rsid w:val="001F0453"/>
    <w:rsid w:val="001F047C"/>
    <w:rsid w:val="001F05BA"/>
    <w:rsid w:val="001F05CD"/>
    <w:rsid w:val="001F0614"/>
    <w:rsid w:val="001F0727"/>
    <w:rsid w:val="001F072F"/>
    <w:rsid w:val="001F0731"/>
    <w:rsid w:val="001F0749"/>
    <w:rsid w:val="001F076C"/>
    <w:rsid w:val="001F081C"/>
    <w:rsid w:val="001F082C"/>
    <w:rsid w:val="001F0845"/>
    <w:rsid w:val="001F084E"/>
    <w:rsid w:val="001F086F"/>
    <w:rsid w:val="001F087C"/>
    <w:rsid w:val="001F08B9"/>
    <w:rsid w:val="001F08BF"/>
    <w:rsid w:val="001F0908"/>
    <w:rsid w:val="001F09B4"/>
    <w:rsid w:val="001F09FA"/>
    <w:rsid w:val="001F0A5B"/>
    <w:rsid w:val="001F0A68"/>
    <w:rsid w:val="001F0A7B"/>
    <w:rsid w:val="001F0BE3"/>
    <w:rsid w:val="001F0C38"/>
    <w:rsid w:val="001F0C9C"/>
    <w:rsid w:val="001F0CFC"/>
    <w:rsid w:val="001F0D4F"/>
    <w:rsid w:val="001F0D5D"/>
    <w:rsid w:val="001F0D6C"/>
    <w:rsid w:val="001F0DB0"/>
    <w:rsid w:val="001F0E16"/>
    <w:rsid w:val="001F0E94"/>
    <w:rsid w:val="001F0E96"/>
    <w:rsid w:val="001F0EDD"/>
    <w:rsid w:val="001F0F0B"/>
    <w:rsid w:val="001F0F3B"/>
    <w:rsid w:val="001F0F70"/>
    <w:rsid w:val="001F0FB8"/>
    <w:rsid w:val="001F103C"/>
    <w:rsid w:val="001F1055"/>
    <w:rsid w:val="001F11CD"/>
    <w:rsid w:val="001F11E0"/>
    <w:rsid w:val="001F1249"/>
    <w:rsid w:val="001F127F"/>
    <w:rsid w:val="001F1294"/>
    <w:rsid w:val="001F1428"/>
    <w:rsid w:val="001F143B"/>
    <w:rsid w:val="001F1450"/>
    <w:rsid w:val="001F146D"/>
    <w:rsid w:val="001F1492"/>
    <w:rsid w:val="001F14A5"/>
    <w:rsid w:val="001F14DB"/>
    <w:rsid w:val="001F1542"/>
    <w:rsid w:val="001F1543"/>
    <w:rsid w:val="001F15D5"/>
    <w:rsid w:val="001F1605"/>
    <w:rsid w:val="001F1666"/>
    <w:rsid w:val="001F1690"/>
    <w:rsid w:val="001F1693"/>
    <w:rsid w:val="001F1866"/>
    <w:rsid w:val="001F1885"/>
    <w:rsid w:val="001F18BF"/>
    <w:rsid w:val="001F18E4"/>
    <w:rsid w:val="001F198B"/>
    <w:rsid w:val="001F199A"/>
    <w:rsid w:val="001F19C8"/>
    <w:rsid w:val="001F19DF"/>
    <w:rsid w:val="001F19E7"/>
    <w:rsid w:val="001F19F6"/>
    <w:rsid w:val="001F19FF"/>
    <w:rsid w:val="001F1AE6"/>
    <w:rsid w:val="001F1AEF"/>
    <w:rsid w:val="001F1AF5"/>
    <w:rsid w:val="001F1AFC"/>
    <w:rsid w:val="001F1BFC"/>
    <w:rsid w:val="001F1C06"/>
    <w:rsid w:val="001F1C30"/>
    <w:rsid w:val="001F1C4A"/>
    <w:rsid w:val="001F1C97"/>
    <w:rsid w:val="001F1CC8"/>
    <w:rsid w:val="001F1D3E"/>
    <w:rsid w:val="001F1D4C"/>
    <w:rsid w:val="001F1DBE"/>
    <w:rsid w:val="001F1DD9"/>
    <w:rsid w:val="001F1E0B"/>
    <w:rsid w:val="001F1E1B"/>
    <w:rsid w:val="001F1E2B"/>
    <w:rsid w:val="001F1E5F"/>
    <w:rsid w:val="001F1E79"/>
    <w:rsid w:val="001F1E85"/>
    <w:rsid w:val="001F1E87"/>
    <w:rsid w:val="001F1EAC"/>
    <w:rsid w:val="001F1ECE"/>
    <w:rsid w:val="001F1F3D"/>
    <w:rsid w:val="001F1F62"/>
    <w:rsid w:val="001F2016"/>
    <w:rsid w:val="001F201B"/>
    <w:rsid w:val="001F2076"/>
    <w:rsid w:val="001F20A2"/>
    <w:rsid w:val="001F2136"/>
    <w:rsid w:val="001F2141"/>
    <w:rsid w:val="001F217A"/>
    <w:rsid w:val="001F2268"/>
    <w:rsid w:val="001F2377"/>
    <w:rsid w:val="001F2428"/>
    <w:rsid w:val="001F2461"/>
    <w:rsid w:val="001F2581"/>
    <w:rsid w:val="001F2583"/>
    <w:rsid w:val="001F25B4"/>
    <w:rsid w:val="001F25BB"/>
    <w:rsid w:val="001F2744"/>
    <w:rsid w:val="001F2761"/>
    <w:rsid w:val="001F27DC"/>
    <w:rsid w:val="001F280A"/>
    <w:rsid w:val="001F281D"/>
    <w:rsid w:val="001F283E"/>
    <w:rsid w:val="001F2873"/>
    <w:rsid w:val="001F290F"/>
    <w:rsid w:val="001F29FE"/>
    <w:rsid w:val="001F2A10"/>
    <w:rsid w:val="001F2A13"/>
    <w:rsid w:val="001F2A25"/>
    <w:rsid w:val="001F2A36"/>
    <w:rsid w:val="001F2A41"/>
    <w:rsid w:val="001F2A4F"/>
    <w:rsid w:val="001F2A81"/>
    <w:rsid w:val="001F2AB1"/>
    <w:rsid w:val="001F2AF7"/>
    <w:rsid w:val="001F2B77"/>
    <w:rsid w:val="001F2B7A"/>
    <w:rsid w:val="001F2BA2"/>
    <w:rsid w:val="001F2BB2"/>
    <w:rsid w:val="001F2CB3"/>
    <w:rsid w:val="001F2CD6"/>
    <w:rsid w:val="001F2CE7"/>
    <w:rsid w:val="001F2CE8"/>
    <w:rsid w:val="001F2D1D"/>
    <w:rsid w:val="001F2D62"/>
    <w:rsid w:val="001F2DBB"/>
    <w:rsid w:val="001F2DCF"/>
    <w:rsid w:val="001F2E4B"/>
    <w:rsid w:val="001F2E6D"/>
    <w:rsid w:val="001F2F5C"/>
    <w:rsid w:val="001F2FF6"/>
    <w:rsid w:val="001F3039"/>
    <w:rsid w:val="001F3042"/>
    <w:rsid w:val="001F30C6"/>
    <w:rsid w:val="001F310B"/>
    <w:rsid w:val="001F3114"/>
    <w:rsid w:val="001F3115"/>
    <w:rsid w:val="001F3124"/>
    <w:rsid w:val="001F31F8"/>
    <w:rsid w:val="001F323F"/>
    <w:rsid w:val="001F324C"/>
    <w:rsid w:val="001F326D"/>
    <w:rsid w:val="001F3273"/>
    <w:rsid w:val="001F3277"/>
    <w:rsid w:val="001F327A"/>
    <w:rsid w:val="001F32D2"/>
    <w:rsid w:val="001F32FA"/>
    <w:rsid w:val="001F32FF"/>
    <w:rsid w:val="001F333A"/>
    <w:rsid w:val="001F338E"/>
    <w:rsid w:val="001F341F"/>
    <w:rsid w:val="001F3422"/>
    <w:rsid w:val="001F344D"/>
    <w:rsid w:val="001F347F"/>
    <w:rsid w:val="001F34C9"/>
    <w:rsid w:val="001F350C"/>
    <w:rsid w:val="001F357E"/>
    <w:rsid w:val="001F3581"/>
    <w:rsid w:val="001F35AD"/>
    <w:rsid w:val="001F35D0"/>
    <w:rsid w:val="001F35FF"/>
    <w:rsid w:val="001F3636"/>
    <w:rsid w:val="001F3726"/>
    <w:rsid w:val="001F3773"/>
    <w:rsid w:val="001F37CD"/>
    <w:rsid w:val="001F384D"/>
    <w:rsid w:val="001F38A7"/>
    <w:rsid w:val="001F391E"/>
    <w:rsid w:val="001F392E"/>
    <w:rsid w:val="001F395E"/>
    <w:rsid w:val="001F398C"/>
    <w:rsid w:val="001F3A14"/>
    <w:rsid w:val="001F3A26"/>
    <w:rsid w:val="001F3A31"/>
    <w:rsid w:val="001F3A3E"/>
    <w:rsid w:val="001F3A72"/>
    <w:rsid w:val="001F3A9D"/>
    <w:rsid w:val="001F3AA9"/>
    <w:rsid w:val="001F3B09"/>
    <w:rsid w:val="001F3B52"/>
    <w:rsid w:val="001F3C1B"/>
    <w:rsid w:val="001F3D13"/>
    <w:rsid w:val="001F3D14"/>
    <w:rsid w:val="001F3D2D"/>
    <w:rsid w:val="001F3D3F"/>
    <w:rsid w:val="001F3DFD"/>
    <w:rsid w:val="001F3E89"/>
    <w:rsid w:val="001F3ED0"/>
    <w:rsid w:val="001F3F7F"/>
    <w:rsid w:val="001F3FA8"/>
    <w:rsid w:val="001F4004"/>
    <w:rsid w:val="001F4060"/>
    <w:rsid w:val="001F40BF"/>
    <w:rsid w:val="001F40DE"/>
    <w:rsid w:val="001F4100"/>
    <w:rsid w:val="001F4191"/>
    <w:rsid w:val="001F41CF"/>
    <w:rsid w:val="001F42BB"/>
    <w:rsid w:val="001F42CA"/>
    <w:rsid w:val="001F42E5"/>
    <w:rsid w:val="001F432A"/>
    <w:rsid w:val="001F4437"/>
    <w:rsid w:val="001F4493"/>
    <w:rsid w:val="001F44AB"/>
    <w:rsid w:val="001F44D9"/>
    <w:rsid w:val="001F44EF"/>
    <w:rsid w:val="001F452A"/>
    <w:rsid w:val="001F457A"/>
    <w:rsid w:val="001F457B"/>
    <w:rsid w:val="001F45B5"/>
    <w:rsid w:val="001F45B8"/>
    <w:rsid w:val="001F45DF"/>
    <w:rsid w:val="001F45EF"/>
    <w:rsid w:val="001F463B"/>
    <w:rsid w:val="001F4674"/>
    <w:rsid w:val="001F46E1"/>
    <w:rsid w:val="001F46EF"/>
    <w:rsid w:val="001F4726"/>
    <w:rsid w:val="001F472B"/>
    <w:rsid w:val="001F4782"/>
    <w:rsid w:val="001F479A"/>
    <w:rsid w:val="001F47C1"/>
    <w:rsid w:val="001F486A"/>
    <w:rsid w:val="001F48AA"/>
    <w:rsid w:val="001F48BF"/>
    <w:rsid w:val="001F48C2"/>
    <w:rsid w:val="001F48ED"/>
    <w:rsid w:val="001F4905"/>
    <w:rsid w:val="001F4A25"/>
    <w:rsid w:val="001F4A88"/>
    <w:rsid w:val="001F4A8A"/>
    <w:rsid w:val="001F4AA7"/>
    <w:rsid w:val="001F4ADD"/>
    <w:rsid w:val="001F4B1F"/>
    <w:rsid w:val="001F4B40"/>
    <w:rsid w:val="001F4B5B"/>
    <w:rsid w:val="001F4B6F"/>
    <w:rsid w:val="001F4B78"/>
    <w:rsid w:val="001F4BFE"/>
    <w:rsid w:val="001F4C00"/>
    <w:rsid w:val="001F4C82"/>
    <w:rsid w:val="001F4CD3"/>
    <w:rsid w:val="001F4CD5"/>
    <w:rsid w:val="001F4D59"/>
    <w:rsid w:val="001F4D66"/>
    <w:rsid w:val="001F4DA3"/>
    <w:rsid w:val="001F4DA6"/>
    <w:rsid w:val="001F4F75"/>
    <w:rsid w:val="001F4F79"/>
    <w:rsid w:val="001F4F96"/>
    <w:rsid w:val="001F5063"/>
    <w:rsid w:val="001F506F"/>
    <w:rsid w:val="001F5093"/>
    <w:rsid w:val="001F50CD"/>
    <w:rsid w:val="001F5131"/>
    <w:rsid w:val="001F516C"/>
    <w:rsid w:val="001F5171"/>
    <w:rsid w:val="001F5196"/>
    <w:rsid w:val="001F5199"/>
    <w:rsid w:val="001F51CC"/>
    <w:rsid w:val="001F51E1"/>
    <w:rsid w:val="001F52BA"/>
    <w:rsid w:val="001F5302"/>
    <w:rsid w:val="001F5342"/>
    <w:rsid w:val="001F5411"/>
    <w:rsid w:val="001F5462"/>
    <w:rsid w:val="001F54CC"/>
    <w:rsid w:val="001F54D5"/>
    <w:rsid w:val="001F54F4"/>
    <w:rsid w:val="001F551B"/>
    <w:rsid w:val="001F5573"/>
    <w:rsid w:val="001F55BF"/>
    <w:rsid w:val="001F560A"/>
    <w:rsid w:val="001F5632"/>
    <w:rsid w:val="001F56C1"/>
    <w:rsid w:val="001F56C4"/>
    <w:rsid w:val="001F56DE"/>
    <w:rsid w:val="001F56E8"/>
    <w:rsid w:val="001F570C"/>
    <w:rsid w:val="001F5772"/>
    <w:rsid w:val="001F5816"/>
    <w:rsid w:val="001F5840"/>
    <w:rsid w:val="001F5856"/>
    <w:rsid w:val="001F58B2"/>
    <w:rsid w:val="001F58E7"/>
    <w:rsid w:val="001F5941"/>
    <w:rsid w:val="001F5988"/>
    <w:rsid w:val="001F59A5"/>
    <w:rsid w:val="001F5A4D"/>
    <w:rsid w:val="001F5A79"/>
    <w:rsid w:val="001F5A97"/>
    <w:rsid w:val="001F5AFE"/>
    <w:rsid w:val="001F5B0A"/>
    <w:rsid w:val="001F5B16"/>
    <w:rsid w:val="001F5B89"/>
    <w:rsid w:val="001F5BCE"/>
    <w:rsid w:val="001F5C0E"/>
    <w:rsid w:val="001F5C27"/>
    <w:rsid w:val="001F5C33"/>
    <w:rsid w:val="001F5C54"/>
    <w:rsid w:val="001F5C55"/>
    <w:rsid w:val="001F5CEA"/>
    <w:rsid w:val="001F5CF1"/>
    <w:rsid w:val="001F5D27"/>
    <w:rsid w:val="001F5D8E"/>
    <w:rsid w:val="001F5DD3"/>
    <w:rsid w:val="001F5E22"/>
    <w:rsid w:val="001F5E5A"/>
    <w:rsid w:val="001F5E67"/>
    <w:rsid w:val="001F5E75"/>
    <w:rsid w:val="001F5EB5"/>
    <w:rsid w:val="001F5EE7"/>
    <w:rsid w:val="001F5F74"/>
    <w:rsid w:val="001F5FD3"/>
    <w:rsid w:val="001F6067"/>
    <w:rsid w:val="001F60CE"/>
    <w:rsid w:val="001F60D0"/>
    <w:rsid w:val="001F60FF"/>
    <w:rsid w:val="001F61B7"/>
    <w:rsid w:val="001F61CF"/>
    <w:rsid w:val="001F61F2"/>
    <w:rsid w:val="001F6213"/>
    <w:rsid w:val="001F630C"/>
    <w:rsid w:val="001F6345"/>
    <w:rsid w:val="001F6358"/>
    <w:rsid w:val="001F638A"/>
    <w:rsid w:val="001F63C9"/>
    <w:rsid w:val="001F63E9"/>
    <w:rsid w:val="001F6440"/>
    <w:rsid w:val="001F64A3"/>
    <w:rsid w:val="001F64AA"/>
    <w:rsid w:val="001F64C6"/>
    <w:rsid w:val="001F64DC"/>
    <w:rsid w:val="001F65CA"/>
    <w:rsid w:val="001F662C"/>
    <w:rsid w:val="001F668A"/>
    <w:rsid w:val="001F66C3"/>
    <w:rsid w:val="001F66FF"/>
    <w:rsid w:val="001F6736"/>
    <w:rsid w:val="001F673F"/>
    <w:rsid w:val="001F6760"/>
    <w:rsid w:val="001F67D1"/>
    <w:rsid w:val="001F67DF"/>
    <w:rsid w:val="001F68DF"/>
    <w:rsid w:val="001F68FF"/>
    <w:rsid w:val="001F6958"/>
    <w:rsid w:val="001F69C0"/>
    <w:rsid w:val="001F6A0F"/>
    <w:rsid w:val="001F6A28"/>
    <w:rsid w:val="001F6A45"/>
    <w:rsid w:val="001F6A6C"/>
    <w:rsid w:val="001F6AF0"/>
    <w:rsid w:val="001F6AFF"/>
    <w:rsid w:val="001F6B97"/>
    <w:rsid w:val="001F6C0B"/>
    <w:rsid w:val="001F6C0C"/>
    <w:rsid w:val="001F6C11"/>
    <w:rsid w:val="001F6C1D"/>
    <w:rsid w:val="001F6C44"/>
    <w:rsid w:val="001F6C4E"/>
    <w:rsid w:val="001F6C93"/>
    <w:rsid w:val="001F6CD1"/>
    <w:rsid w:val="001F6CDA"/>
    <w:rsid w:val="001F6D02"/>
    <w:rsid w:val="001F6D6B"/>
    <w:rsid w:val="001F6D84"/>
    <w:rsid w:val="001F6DB4"/>
    <w:rsid w:val="001F6E26"/>
    <w:rsid w:val="001F6EC9"/>
    <w:rsid w:val="001F6ECC"/>
    <w:rsid w:val="001F6ED9"/>
    <w:rsid w:val="001F6F79"/>
    <w:rsid w:val="001F6F82"/>
    <w:rsid w:val="001F6F92"/>
    <w:rsid w:val="001F705F"/>
    <w:rsid w:val="001F712C"/>
    <w:rsid w:val="001F712D"/>
    <w:rsid w:val="001F71BE"/>
    <w:rsid w:val="001F7229"/>
    <w:rsid w:val="001F722D"/>
    <w:rsid w:val="001F7257"/>
    <w:rsid w:val="001F728A"/>
    <w:rsid w:val="001F72A8"/>
    <w:rsid w:val="001F72D8"/>
    <w:rsid w:val="001F7314"/>
    <w:rsid w:val="001F7316"/>
    <w:rsid w:val="001F735D"/>
    <w:rsid w:val="001F740C"/>
    <w:rsid w:val="001F7428"/>
    <w:rsid w:val="001F74A1"/>
    <w:rsid w:val="001F74A7"/>
    <w:rsid w:val="001F75CA"/>
    <w:rsid w:val="001F75FD"/>
    <w:rsid w:val="001F7627"/>
    <w:rsid w:val="001F7690"/>
    <w:rsid w:val="001F7695"/>
    <w:rsid w:val="001F7749"/>
    <w:rsid w:val="001F776F"/>
    <w:rsid w:val="001F77D3"/>
    <w:rsid w:val="001F7830"/>
    <w:rsid w:val="001F7903"/>
    <w:rsid w:val="001F7907"/>
    <w:rsid w:val="001F791B"/>
    <w:rsid w:val="001F792D"/>
    <w:rsid w:val="001F7961"/>
    <w:rsid w:val="001F79B7"/>
    <w:rsid w:val="001F7A5F"/>
    <w:rsid w:val="001F7A8B"/>
    <w:rsid w:val="001F7ABE"/>
    <w:rsid w:val="001F7AF8"/>
    <w:rsid w:val="001F7B65"/>
    <w:rsid w:val="001F7BF9"/>
    <w:rsid w:val="001F7C29"/>
    <w:rsid w:val="001F7C41"/>
    <w:rsid w:val="001F7C55"/>
    <w:rsid w:val="001F7C8C"/>
    <w:rsid w:val="001F7CEB"/>
    <w:rsid w:val="001F7D02"/>
    <w:rsid w:val="001F7D0E"/>
    <w:rsid w:val="001F7D2C"/>
    <w:rsid w:val="001F7D56"/>
    <w:rsid w:val="001F7D63"/>
    <w:rsid w:val="001F7D99"/>
    <w:rsid w:val="001F7E1C"/>
    <w:rsid w:val="001F7E44"/>
    <w:rsid w:val="001F7E7F"/>
    <w:rsid w:val="001F7EA1"/>
    <w:rsid w:val="001F7EA5"/>
    <w:rsid w:val="001F7ECF"/>
    <w:rsid w:val="001F7F9F"/>
    <w:rsid w:val="001F7FCC"/>
    <w:rsid w:val="00200003"/>
    <w:rsid w:val="00200016"/>
    <w:rsid w:val="0020006D"/>
    <w:rsid w:val="00200076"/>
    <w:rsid w:val="002000D5"/>
    <w:rsid w:val="002000DF"/>
    <w:rsid w:val="0020015F"/>
    <w:rsid w:val="0020016B"/>
    <w:rsid w:val="00200174"/>
    <w:rsid w:val="00200187"/>
    <w:rsid w:val="00200273"/>
    <w:rsid w:val="00200276"/>
    <w:rsid w:val="0020027B"/>
    <w:rsid w:val="0020030B"/>
    <w:rsid w:val="00200369"/>
    <w:rsid w:val="00200383"/>
    <w:rsid w:val="002003E2"/>
    <w:rsid w:val="00200469"/>
    <w:rsid w:val="0020046F"/>
    <w:rsid w:val="002004CD"/>
    <w:rsid w:val="002004E3"/>
    <w:rsid w:val="0020055B"/>
    <w:rsid w:val="0020059E"/>
    <w:rsid w:val="002005B0"/>
    <w:rsid w:val="00200615"/>
    <w:rsid w:val="00200620"/>
    <w:rsid w:val="0020064B"/>
    <w:rsid w:val="0020068C"/>
    <w:rsid w:val="002006D4"/>
    <w:rsid w:val="002006EF"/>
    <w:rsid w:val="00200735"/>
    <w:rsid w:val="002007CD"/>
    <w:rsid w:val="00200802"/>
    <w:rsid w:val="00200805"/>
    <w:rsid w:val="00200934"/>
    <w:rsid w:val="0020094C"/>
    <w:rsid w:val="0020095C"/>
    <w:rsid w:val="0020096E"/>
    <w:rsid w:val="002009F8"/>
    <w:rsid w:val="00200A5A"/>
    <w:rsid w:val="00200AA0"/>
    <w:rsid w:val="00200AC3"/>
    <w:rsid w:val="00200B08"/>
    <w:rsid w:val="00200B4F"/>
    <w:rsid w:val="00200B66"/>
    <w:rsid w:val="00200B8D"/>
    <w:rsid w:val="00200BC2"/>
    <w:rsid w:val="00200BE0"/>
    <w:rsid w:val="00200C55"/>
    <w:rsid w:val="00200CCC"/>
    <w:rsid w:val="00200CEB"/>
    <w:rsid w:val="00200D2C"/>
    <w:rsid w:val="00200D91"/>
    <w:rsid w:val="00200D96"/>
    <w:rsid w:val="00201010"/>
    <w:rsid w:val="0020108E"/>
    <w:rsid w:val="00201090"/>
    <w:rsid w:val="002010C8"/>
    <w:rsid w:val="00201131"/>
    <w:rsid w:val="00201183"/>
    <w:rsid w:val="0020118E"/>
    <w:rsid w:val="002011FE"/>
    <w:rsid w:val="00201214"/>
    <w:rsid w:val="00201238"/>
    <w:rsid w:val="00201283"/>
    <w:rsid w:val="002012A1"/>
    <w:rsid w:val="002012C5"/>
    <w:rsid w:val="0020131A"/>
    <w:rsid w:val="00201326"/>
    <w:rsid w:val="002014B1"/>
    <w:rsid w:val="00201570"/>
    <w:rsid w:val="002015A6"/>
    <w:rsid w:val="00201636"/>
    <w:rsid w:val="002016CE"/>
    <w:rsid w:val="002016D7"/>
    <w:rsid w:val="0020173C"/>
    <w:rsid w:val="002017DA"/>
    <w:rsid w:val="00201819"/>
    <w:rsid w:val="00201831"/>
    <w:rsid w:val="00201911"/>
    <w:rsid w:val="0020194D"/>
    <w:rsid w:val="00201964"/>
    <w:rsid w:val="002019B6"/>
    <w:rsid w:val="002019CC"/>
    <w:rsid w:val="00201AC5"/>
    <w:rsid w:val="00201B3B"/>
    <w:rsid w:val="00201CD6"/>
    <w:rsid w:val="00201D98"/>
    <w:rsid w:val="00201DA4"/>
    <w:rsid w:val="00201DC3"/>
    <w:rsid w:val="00201DFC"/>
    <w:rsid w:val="00201E90"/>
    <w:rsid w:val="00201EEE"/>
    <w:rsid w:val="00201EF4"/>
    <w:rsid w:val="00201F1D"/>
    <w:rsid w:val="0020209F"/>
    <w:rsid w:val="002020C6"/>
    <w:rsid w:val="002020E6"/>
    <w:rsid w:val="00202132"/>
    <w:rsid w:val="00202141"/>
    <w:rsid w:val="00202143"/>
    <w:rsid w:val="0020214F"/>
    <w:rsid w:val="00202218"/>
    <w:rsid w:val="00202224"/>
    <w:rsid w:val="002022B5"/>
    <w:rsid w:val="002022D1"/>
    <w:rsid w:val="0020235F"/>
    <w:rsid w:val="002023DC"/>
    <w:rsid w:val="00202411"/>
    <w:rsid w:val="00202436"/>
    <w:rsid w:val="0020245B"/>
    <w:rsid w:val="0020246E"/>
    <w:rsid w:val="00202472"/>
    <w:rsid w:val="00202513"/>
    <w:rsid w:val="0020255B"/>
    <w:rsid w:val="002025D5"/>
    <w:rsid w:val="002025F0"/>
    <w:rsid w:val="0020260D"/>
    <w:rsid w:val="002026BE"/>
    <w:rsid w:val="00202707"/>
    <w:rsid w:val="002027E0"/>
    <w:rsid w:val="00202957"/>
    <w:rsid w:val="00202960"/>
    <w:rsid w:val="00202979"/>
    <w:rsid w:val="00202998"/>
    <w:rsid w:val="0020299F"/>
    <w:rsid w:val="00202A36"/>
    <w:rsid w:val="00202A83"/>
    <w:rsid w:val="00202AEF"/>
    <w:rsid w:val="00202BF7"/>
    <w:rsid w:val="00202C00"/>
    <w:rsid w:val="00202C0C"/>
    <w:rsid w:val="00202C3D"/>
    <w:rsid w:val="00202C4E"/>
    <w:rsid w:val="00202C6D"/>
    <w:rsid w:val="00202D5D"/>
    <w:rsid w:val="00202D60"/>
    <w:rsid w:val="00202DA3"/>
    <w:rsid w:val="00202E14"/>
    <w:rsid w:val="00202E27"/>
    <w:rsid w:val="00202E8E"/>
    <w:rsid w:val="00202FCE"/>
    <w:rsid w:val="002030F1"/>
    <w:rsid w:val="0020311E"/>
    <w:rsid w:val="00203148"/>
    <w:rsid w:val="00203153"/>
    <w:rsid w:val="002031B3"/>
    <w:rsid w:val="00203217"/>
    <w:rsid w:val="0020328E"/>
    <w:rsid w:val="002032B4"/>
    <w:rsid w:val="002032BE"/>
    <w:rsid w:val="002032F1"/>
    <w:rsid w:val="00203414"/>
    <w:rsid w:val="0020344F"/>
    <w:rsid w:val="00203519"/>
    <w:rsid w:val="00203524"/>
    <w:rsid w:val="00203536"/>
    <w:rsid w:val="00203539"/>
    <w:rsid w:val="00203546"/>
    <w:rsid w:val="00203550"/>
    <w:rsid w:val="002035A2"/>
    <w:rsid w:val="002035BE"/>
    <w:rsid w:val="002035D8"/>
    <w:rsid w:val="0020361A"/>
    <w:rsid w:val="0020362B"/>
    <w:rsid w:val="002036EC"/>
    <w:rsid w:val="00203702"/>
    <w:rsid w:val="00203745"/>
    <w:rsid w:val="0020374C"/>
    <w:rsid w:val="00203819"/>
    <w:rsid w:val="00203862"/>
    <w:rsid w:val="00203962"/>
    <w:rsid w:val="002039A7"/>
    <w:rsid w:val="002039D8"/>
    <w:rsid w:val="002039E0"/>
    <w:rsid w:val="00203A48"/>
    <w:rsid w:val="00203AF8"/>
    <w:rsid w:val="00203BA0"/>
    <w:rsid w:val="00203BA4"/>
    <w:rsid w:val="00203BC9"/>
    <w:rsid w:val="00203BCE"/>
    <w:rsid w:val="00203C0E"/>
    <w:rsid w:val="00203C19"/>
    <w:rsid w:val="00203C4A"/>
    <w:rsid w:val="00203C91"/>
    <w:rsid w:val="00203CA7"/>
    <w:rsid w:val="00203CC8"/>
    <w:rsid w:val="00203CEF"/>
    <w:rsid w:val="00203CF3"/>
    <w:rsid w:val="00203CF6"/>
    <w:rsid w:val="00203D23"/>
    <w:rsid w:val="00203D87"/>
    <w:rsid w:val="00203DCE"/>
    <w:rsid w:val="00203DDA"/>
    <w:rsid w:val="00203DEE"/>
    <w:rsid w:val="00203E76"/>
    <w:rsid w:val="00203E7E"/>
    <w:rsid w:val="00203E8C"/>
    <w:rsid w:val="00203EBC"/>
    <w:rsid w:val="00203F69"/>
    <w:rsid w:val="00203F9E"/>
    <w:rsid w:val="00203FBF"/>
    <w:rsid w:val="0020405A"/>
    <w:rsid w:val="0020405C"/>
    <w:rsid w:val="002040A2"/>
    <w:rsid w:val="002040A8"/>
    <w:rsid w:val="002040BB"/>
    <w:rsid w:val="00204143"/>
    <w:rsid w:val="0020415B"/>
    <w:rsid w:val="00204166"/>
    <w:rsid w:val="002041C1"/>
    <w:rsid w:val="0020426D"/>
    <w:rsid w:val="00204284"/>
    <w:rsid w:val="002042BF"/>
    <w:rsid w:val="002042C2"/>
    <w:rsid w:val="002042D2"/>
    <w:rsid w:val="00204314"/>
    <w:rsid w:val="00204338"/>
    <w:rsid w:val="00204344"/>
    <w:rsid w:val="00204357"/>
    <w:rsid w:val="00204374"/>
    <w:rsid w:val="0020438E"/>
    <w:rsid w:val="0020442E"/>
    <w:rsid w:val="00204445"/>
    <w:rsid w:val="00204461"/>
    <w:rsid w:val="00204509"/>
    <w:rsid w:val="00204525"/>
    <w:rsid w:val="00204543"/>
    <w:rsid w:val="0020454E"/>
    <w:rsid w:val="002045D2"/>
    <w:rsid w:val="002045F6"/>
    <w:rsid w:val="00204608"/>
    <w:rsid w:val="0020465D"/>
    <w:rsid w:val="002046D5"/>
    <w:rsid w:val="002046D7"/>
    <w:rsid w:val="002046F2"/>
    <w:rsid w:val="00204743"/>
    <w:rsid w:val="0020475A"/>
    <w:rsid w:val="00204785"/>
    <w:rsid w:val="002047A8"/>
    <w:rsid w:val="002047AD"/>
    <w:rsid w:val="002047C5"/>
    <w:rsid w:val="00204830"/>
    <w:rsid w:val="00204892"/>
    <w:rsid w:val="0020492F"/>
    <w:rsid w:val="00204A10"/>
    <w:rsid w:val="00204A1B"/>
    <w:rsid w:val="00204A8C"/>
    <w:rsid w:val="00204AAA"/>
    <w:rsid w:val="00204AB3"/>
    <w:rsid w:val="00204B4F"/>
    <w:rsid w:val="00204BE0"/>
    <w:rsid w:val="00204BF9"/>
    <w:rsid w:val="00204BFA"/>
    <w:rsid w:val="00204C53"/>
    <w:rsid w:val="00204C68"/>
    <w:rsid w:val="00204CA0"/>
    <w:rsid w:val="00204CB5"/>
    <w:rsid w:val="00204CDE"/>
    <w:rsid w:val="00204CFF"/>
    <w:rsid w:val="00204D44"/>
    <w:rsid w:val="00204D98"/>
    <w:rsid w:val="00204DC8"/>
    <w:rsid w:val="00204EC2"/>
    <w:rsid w:val="00204ED3"/>
    <w:rsid w:val="00204EF2"/>
    <w:rsid w:val="00204F00"/>
    <w:rsid w:val="00204F12"/>
    <w:rsid w:val="00204F35"/>
    <w:rsid w:val="00204F3A"/>
    <w:rsid w:val="00204F8D"/>
    <w:rsid w:val="00204F9D"/>
    <w:rsid w:val="00204FEF"/>
    <w:rsid w:val="00205035"/>
    <w:rsid w:val="00205046"/>
    <w:rsid w:val="00205171"/>
    <w:rsid w:val="00205198"/>
    <w:rsid w:val="002051E4"/>
    <w:rsid w:val="002052AA"/>
    <w:rsid w:val="00205301"/>
    <w:rsid w:val="0020531F"/>
    <w:rsid w:val="00205361"/>
    <w:rsid w:val="00205365"/>
    <w:rsid w:val="002053B7"/>
    <w:rsid w:val="002054C9"/>
    <w:rsid w:val="002054ED"/>
    <w:rsid w:val="00205527"/>
    <w:rsid w:val="0020552A"/>
    <w:rsid w:val="00205549"/>
    <w:rsid w:val="002055D7"/>
    <w:rsid w:val="002055DF"/>
    <w:rsid w:val="002055E1"/>
    <w:rsid w:val="002055E5"/>
    <w:rsid w:val="002055EA"/>
    <w:rsid w:val="0020563E"/>
    <w:rsid w:val="002056B7"/>
    <w:rsid w:val="002056D0"/>
    <w:rsid w:val="002056D5"/>
    <w:rsid w:val="002056FB"/>
    <w:rsid w:val="002057DA"/>
    <w:rsid w:val="002057FA"/>
    <w:rsid w:val="002058F1"/>
    <w:rsid w:val="002058F4"/>
    <w:rsid w:val="0020593E"/>
    <w:rsid w:val="00205A06"/>
    <w:rsid w:val="00205A85"/>
    <w:rsid w:val="00205AC4"/>
    <w:rsid w:val="00205AC6"/>
    <w:rsid w:val="00205B35"/>
    <w:rsid w:val="00205B43"/>
    <w:rsid w:val="00205BB9"/>
    <w:rsid w:val="00205BBD"/>
    <w:rsid w:val="00205BF6"/>
    <w:rsid w:val="00205C1F"/>
    <w:rsid w:val="00205C28"/>
    <w:rsid w:val="00205C3C"/>
    <w:rsid w:val="00205C58"/>
    <w:rsid w:val="00205CCD"/>
    <w:rsid w:val="00205D51"/>
    <w:rsid w:val="00205D80"/>
    <w:rsid w:val="00205D8F"/>
    <w:rsid w:val="00205DE7"/>
    <w:rsid w:val="00205E2B"/>
    <w:rsid w:val="00205E56"/>
    <w:rsid w:val="00205EBB"/>
    <w:rsid w:val="00205ED7"/>
    <w:rsid w:val="00205EDA"/>
    <w:rsid w:val="00205F32"/>
    <w:rsid w:val="00205F48"/>
    <w:rsid w:val="00205FED"/>
    <w:rsid w:val="00206069"/>
    <w:rsid w:val="0020609D"/>
    <w:rsid w:val="00206120"/>
    <w:rsid w:val="0020618B"/>
    <w:rsid w:val="00206198"/>
    <w:rsid w:val="002061D3"/>
    <w:rsid w:val="002061E7"/>
    <w:rsid w:val="00206230"/>
    <w:rsid w:val="00206278"/>
    <w:rsid w:val="002062DD"/>
    <w:rsid w:val="002062E2"/>
    <w:rsid w:val="002062F0"/>
    <w:rsid w:val="0020631F"/>
    <w:rsid w:val="00206327"/>
    <w:rsid w:val="00206349"/>
    <w:rsid w:val="0020636A"/>
    <w:rsid w:val="002063DF"/>
    <w:rsid w:val="0020643D"/>
    <w:rsid w:val="00206443"/>
    <w:rsid w:val="00206473"/>
    <w:rsid w:val="00206546"/>
    <w:rsid w:val="00206568"/>
    <w:rsid w:val="00206569"/>
    <w:rsid w:val="0020656F"/>
    <w:rsid w:val="0020658B"/>
    <w:rsid w:val="002065D2"/>
    <w:rsid w:val="002065D8"/>
    <w:rsid w:val="002065DE"/>
    <w:rsid w:val="002065E5"/>
    <w:rsid w:val="00206605"/>
    <w:rsid w:val="00206639"/>
    <w:rsid w:val="00206659"/>
    <w:rsid w:val="0020665D"/>
    <w:rsid w:val="00206717"/>
    <w:rsid w:val="00206746"/>
    <w:rsid w:val="00206796"/>
    <w:rsid w:val="002067C5"/>
    <w:rsid w:val="0020685D"/>
    <w:rsid w:val="002068BD"/>
    <w:rsid w:val="002069E2"/>
    <w:rsid w:val="00206A0F"/>
    <w:rsid w:val="00206AC9"/>
    <w:rsid w:val="00206B0B"/>
    <w:rsid w:val="00206B93"/>
    <w:rsid w:val="00206BD5"/>
    <w:rsid w:val="00206BDC"/>
    <w:rsid w:val="00206C2E"/>
    <w:rsid w:val="00206C3D"/>
    <w:rsid w:val="00206C4B"/>
    <w:rsid w:val="00206C4E"/>
    <w:rsid w:val="00206D58"/>
    <w:rsid w:val="00206D6C"/>
    <w:rsid w:val="00206D71"/>
    <w:rsid w:val="00206DDF"/>
    <w:rsid w:val="00206E5C"/>
    <w:rsid w:val="00206EB2"/>
    <w:rsid w:val="00206EBC"/>
    <w:rsid w:val="002070BD"/>
    <w:rsid w:val="002070FB"/>
    <w:rsid w:val="00207110"/>
    <w:rsid w:val="002071A2"/>
    <w:rsid w:val="00207221"/>
    <w:rsid w:val="002072CA"/>
    <w:rsid w:val="002072E9"/>
    <w:rsid w:val="002072FB"/>
    <w:rsid w:val="0020732F"/>
    <w:rsid w:val="00207391"/>
    <w:rsid w:val="00207436"/>
    <w:rsid w:val="00207508"/>
    <w:rsid w:val="00207519"/>
    <w:rsid w:val="00207542"/>
    <w:rsid w:val="0020759B"/>
    <w:rsid w:val="002075A6"/>
    <w:rsid w:val="002075B2"/>
    <w:rsid w:val="002075C6"/>
    <w:rsid w:val="0020763B"/>
    <w:rsid w:val="0020763C"/>
    <w:rsid w:val="0020777B"/>
    <w:rsid w:val="00207783"/>
    <w:rsid w:val="002077A1"/>
    <w:rsid w:val="002077BC"/>
    <w:rsid w:val="00207832"/>
    <w:rsid w:val="002078FE"/>
    <w:rsid w:val="00207945"/>
    <w:rsid w:val="00207A09"/>
    <w:rsid w:val="00207A29"/>
    <w:rsid w:val="00207A7B"/>
    <w:rsid w:val="00207AD8"/>
    <w:rsid w:val="00207B15"/>
    <w:rsid w:val="00207B60"/>
    <w:rsid w:val="00207CFE"/>
    <w:rsid w:val="00207DF3"/>
    <w:rsid w:val="00207DF8"/>
    <w:rsid w:val="00207E51"/>
    <w:rsid w:val="00207E6D"/>
    <w:rsid w:val="00207E71"/>
    <w:rsid w:val="00207EB0"/>
    <w:rsid w:val="00207F02"/>
    <w:rsid w:val="00207F21"/>
    <w:rsid w:val="00207F32"/>
    <w:rsid w:val="00207F8D"/>
    <w:rsid w:val="00207FA0"/>
    <w:rsid w:val="00207FFE"/>
    <w:rsid w:val="00210011"/>
    <w:rsid w:val="00210038"/>
    <w:rsid w:val="00210049"/>
    <w:rsid w:val="0021004F"/>
    <w:rsid w:val="00210074"/>
    <w:rsid w:val="002100B3"/>
    <w:rsid w:val="002100C0"/>
    <w:rsid w:val="002100CD"/>
    <w:rsid w:val="002100E9"/>
    <w:rsid w:val="00210115"/>
    <w:rsid w:val="00210127"/>
    <w:rsid w:val="0021015A"/>
    <w:rsid w:val="00210161"/>
    <w:rsid w:val="00210187"/>
    <w:rsid w:val="002101F2"/>
    <w:rsid w:val="00210210"/>
    <w:rsid w:val="00210236"/>
    <w:rsid w:val="0021026C"/>
    <w:rsid w:val="002102EE"/>
    <w:rsid w:val="002102F1"/>
    <w:rsid w:val="00210305"/>
    <w:rsid w:val="0021034B"/>
    <w:rsid w:val="0021041E"/>
    <w:rsid w:val="0021044E"/>
    <w:rsid w:val="00210468"/>
    <w:rsid w:val="002104A2"/>
    <w:rsid w:val="002104FC"/>
    <w:rsid w:val="00210554"/>
    <w:rsid w:val="0021057A"/>
    <w:rsid w:val="00210598"/>
    <w:rsid w:val="002105CB"/>
    <w:rsid w:val="002105DB"/>
    <w:rsid w:val="002105FF"/>
    <w:rsid w:val="00210630"/>
    <w:rsid w:val="00210699"/>
    <w:rsid w:val="002106AB"/>
    <w:rsid w:val="002106DC"/>
    <w:rsid w:val="002106ED"/>
    <w:rsid w:val="00210744"/>
    <w:rsid w:val="00210747"/>
    <w:rsid w:val="00210784"/>
    <w:rsid w:val="00210785"/>
    <w:rsid w:val="002107A9"/>
    <w:rsid w:val="0021093C"/>
    <w:rsid w:val="00210955"/>
    <w:rsid w:val="00210980"/>
    <w:rsid w:val="002109C3"/>
    <w:rsid w:val="00210A42"/>
    <w:rsid w:val="00210A4F"/>
    <w:rsid w:val="00210A63"/>
    <w:rsid w:val="00210B2E"/>
    <w:rsid w:val="00210B42"/>
    <w:rsid w:val="00210B92"/>
    <w:rsid w:val="00210B98"/>
    <w:rsid w:val="00210BD7"/>
    <w:rsid w:val="00210C3A"/>
    <w:rsid w:val="00210C99"/>
    <w:rsid w:val="00210CD7"/>
    <w:rsid w:val="00210D05"/>
    <w:rsid w:val="00210D32"/>
    <w:rsid w:val="00210DF0"/>
    <w:rsid w:val="00210E49"/>
    <w:rsid w:val="00210E87"/>
    <w:rsid w:val="00210ED8"/>
    <w:rsid w:val="00210F3A"/>
    <w:rsid w:val="00210F3D"/>
    <w:rsid w:val="00210F4B"/>
    <w:rsid w:val="00210F5C"/>
    <w:rsid w:val="00210F5E"/>
    <w:rsid w:val="00210F5F"/>
    <w:rsid w:val="00210F9F"/>
    <w:rsid w:val="00210FA0"/>
    <w:rsid w:val="00210FC0"/>
    <w:rsid w:val="00210FCF"/>
    <w:rsid w:val="0021103F"/>
    <w:rsid w:val="00211047"/>
    <w:rsid w:val="00211096"/>
    <w:rsid w:val="0021109A"/>
    <w:rsid w:val="0021109C"/>
    <w:rsid w:val="002110C4"/>
    <w:rsid w:val="0021110D"/>
    <w:rsid w:val="00211113"/>
    <w:rsid w:val="00211141"/>
    <w:rsid w:val="0021114E"/>
    <w:rsid w:val="00211174"/>
    <w:rsid w:val="00211285"/>
    <w:rsid w:val="002112AA"/>
    <w:rsid w:val="002112C6"/>
    <w:rsid w:val="002112CC"/>
    <w:rsid w:val="002112DF"/>
    <w:rsid w:val="00211323"/>
    <w:rsid w:val="00211338"/>
    <w:rsid w:val="0021134B"/>
    <w:rsid w:val="0021135A"/>
    <w:rsid w:val="002113B4"/>
    <w:rsid w:val="002113CA"/>
    <w:rsid w:val="0021146B"/>
    <w:rsid w:val="0021147B"/>
    <w:rsid w:val="0021149E"/>
    <w:rsid w:val="002114F1"/>
    <w:rsid w:val="002114F8"/>
    <w:rsid w:val="00211582"/>
    <w:rsid w:val="002115A3"/>
    <w:rsid w:val="00211615"/>
    <w:rsid w:val="0021173B"/>
    <w:rsid w:val="00211742"/>
    <w:rsid w:val="0021175D"/>
    <w:rsid w:val="002117ED"/>
    <w:rsid w:val="00211825"/>
    <w:rsid w:val="0021185B"/>
    <w:rsid w:val="0021187C"/>
    <w:rsid w:val="002118B8"/>
    <w:rsid w:val="002118B9"/>
    <w:rsid w:val="00211983"/>
    <w:rsid w:val="002119BF"/>
    <w:rsid w:val="00211A4B"/>
    <w:rsid w:val="00211A5B"/>
    <w:rsid w:val="00211B24"/>
    <w:rsid w:val="00211B72"/>
    <w:rsid w:val="00211C20"/>
    <w:rsid w:val="00211C2B"/>
    <w:rsid w:val="00211CC8"/>
    <w:rsid w:val="00211D4E"/>
    <w:rsid w:val="00211D83"/>
    <w:rsid w:val="00211D8B"/>
    <w:rsid w:val="00211DBA"/>
    <w:rsid w:val="00211E11"/>
    <w:rsid w:val="00211E51"/>
    <w:rsid w:val="00211F0F"/>
    <w:rsid w:val="00211F84"/>
    <w:rsid w:val="00211FCA"/>
    <w:rsid w:val="00211FE4"/>
    <w:rsid w:val="002120F4"/>
    <w:rsid w:val="0021213C"/>
    <w:rsid w:val="002121AB"/>
    <w:rsid w:val="002121EC"/>
    <w:rsid w:val="0021224A"/>
    <w:rsid w:val="00212258"/>
    <w:rsid w:val="00212278"/>
    <w:rsid w:val="00212287"/>
    <w:rsid w:val="002122AB"/>
    <w:rsid w:val="002122E4"/>
    <w:rsid w:val="002122EA"/>
    <w:rsid w:val="00212331"/>
    <w:rsid w:val="0021240E"/>
    <w:rsid w:val="00212469"/>
    <w:rsid w:val="002124A8"/>
    <w:rsid w:val="00212502"/>
    <w:rsid w:val="0021253B"/>
    <w:rsid w:val="0021263C"/>
    <w:rsid w:val="0021275F"/>
    <w:rsid w:val="002127AA"/>
    <w:rsid w:val="002127CF"/>
    <w:rsid w:val="002127D1"/>
    <w:rsid w:val="00212853"/>
    <w:rsid w:val="00212893"/>
    <w:rsid w:val="002128C7"/>
    <w:rsid w:val="002128E4"/>
    <w:rsid w:val="0021295C"/>
    <w:rsid w:val="00212973"/>
    <w:rsid w:val="0021299A"/>
    <w:rsid w:val="00212A39"/>
    <w:rsid w:val="00212A59"/>
    <w:rsid w:val="00212A6B"/>
    <w:rsid w:val="00212AF3"/>
    <w:rsid w:val="00212AFD"/>
    <w:rsid w:val="00212BB8"/>
    <w:rsid w:val="00212BD5"/>
    <w:rsid w:val="00212C9B"/>
    <w:rsid w:val="00212D21"/>
    <w:rsid w:val="00212D40"/>
    <w:rsid w:val="00212D6A"/>
    <w:rsid w:val="00212EC3"/>
    <w:rsid w:val="00212F1B"/>
    <w:rsid w:val="00212F54"/>
    <w:rsid w:val="00213093"/>
    <w:rsid w:val="002130FD"/>
    <w:rsid w:val="0021313C"/>
    <w:rsid w:val="002131AB"/>
    <w:rsid w:val="002131E3"/>
    <w:rsid w:val="002131F0"/>
    <w:rsid w:val="00213202"/>
    <w:rsid w:val="00213207"/>
    <w:rsid w:val="00213226"/>
    <w:rsid w:val="00213266"/>
    <w:rsid w:val="0021326C"/>
    <w:rsid w:val="002132A1"/>
    <w:rsid w:val="002132BD"/>
    <w:rsid w:val="002132FB"/>
    <w:rsid w:val="00213342"/>
    <w:rsid w:val="00213346"/>
    <w:rsid w:val="0021334E"/>
    <w:rsid w:val="0021336E"/>
    <w:rsid w:val="002133DF"/>
    <w:rsid w:val="00213432"/>
    <w:rsid w:val="00213478"/>
    <w:rsid w:val="002134A9"/>
    <w:rsid w:val="00213572"/>
    <w:rsid w:val="002135A8"/>
    <w:rsid w:val="002135C7"/>
    <w:rsid w:val="002135EE"/>
    <w:rsid w:val="002135FE"/>
    <w:rsid w:val="00213622"/>
    <w:rsid w:val="00213657"/>
    <w:rsid w:val="00213673"/>
    <w:rsid w:val="00213681"/>
    <w:rsid w:val="00213719"/>
    <w:rsid w:val="00213750"/>
    <w:rsid w:val="0021375C"/>
    <w:rsid w:val="00213787"/>
    <w:rsid w:val="002137EA"/>
    <w:rsid w:val="00213876"/>
    <w:rsid w:val="00213879"/>
    <w:rsid w:val="00213887"/>
    <w:rsid w:val="002138A4"/>
    <w:rsid w:val="002138AF"/>
    <w:rsid w:val="002138C9"/>
    <w:rsid w:val="00213951"/>
    <w:rsid w:val="0021399F"/>
    <w:rsid w:val="00213A35"/>
    <w:rsid w:val="00213A91"/>
    <w:rsid w:val="00213AC0"/>
    <w:rsid w:val="00213AE4"/>
    <w:rsid w:val="00213B50"/>
    <w:rsid w:val="00213B7E"/>
    <w:rsid w:val="00213BB0"/>
    <w:rsid w:val="00213BFF"/>
    <w:rsid w:val="00213C13"/>
    <w:rsid w:val="00213C15"/>
    <w:rsid w:val="00213C26"/>
    <w:rsid w:val="00213D05"/>
    <w:rsid w:val="00213DAC"/>
    <w:rsid w:val="00213F0C"/>
    <w:rsid w:val="00213F3E"/>
    <w:rsid w:val="00213FA7"/>
    <w:rsid w:val="00213FB4"/>
    <w:rsid w:val="00213FCC"/>
    <w:rsid w:val="00214036"/>
    <w:rsid w:val="0021409E"/>
    <w:rsid w:val="002140AB"/>
    <w:rsid w:val="00214123"/>
    <w:rsid w:val="00214140"/>
    <w:rsid w:val="00214207"/>
    <w:rsid w:val="00214210"/>
    <w:rsid w:val="00214236"/>
    <w:rsid w:val="00214261"/>
    <w:rsid w:val="0021427B"/>
    <w:rsid w:val="0021428C"/>
    <w:rsid w:val="0021430A"/>
    <w:rsid w:val="002143B2"/>
    <w:rsid w:val="002143B3"/>
    <w:rsid w:val="002143F5"/>
    <w:rsid w:val="002143FF"/>
    <w:rsid w:val="00214427"/>
    <w:rsid w:val="00214436"/>
    <w:rsid w:val="0021445F"/>
    <w:rsid w:val="002144DD"/>
    <w:rsid w:val="002144E5"/>
    <w:rsid w:val="00214527"/>
    <w:rsid w:val="00214565"/>
    <w:rsid w:val="00214570"/>
    <w:rsid w:val="0021463C"/>
    <w:rsid w:val="00214685"/>
    <w:rsid w:val="002146B8"/>
    <w:rsid w:val="002146CE"/>
    <w:rsid w:val="002146ED"/>
    <w:rsid w:val="00214719"/>
    <w:rsid w:val="0021471E"/>
    <w:rsid w:val="0021475C"/>
    <w:rsid w:val="00214790"/>
    <w:rsid w:val="002147DD"/>
    <w:rsid w:val="002147E3"/>
    <w:rsid w:val="00214834"/>
    <w:rsid w:val="0021483C"/>
    <w:rsid w:val="00214885"/>
    <w:rsid w:val="00214886"/>
    <w:rsid w:val="002148B6"/>
    <w:rsid w:val="002148F8"/>
    <w:rsid w:val="0021491F"/>
    <w:rsid w:val="00214932"/>
    <w:rsid w:val="00214962"/>
    <w:rsid w:val="002149C3"/>
    <w:rsid w:val="002149CD"/>
    <w:rsid w:val="002149EE"/>
    <w:rsid w:val="00214AD8"/>
    <w:rsid w:val="00214ADA"/>
    <w:rsid w:val="00214AFE"/>
    <w:rsid w:val="00214B57"/>
    <w:rsid w:val="00214BA5"/>
    <w:rsid w:val="00214BAE"/>
    <w:rsid w:val="00214BC0"/>
    <w:rsid w:val="00214BF0"/>
    <w:rsid w:val="00214CA9"/>
    <w:rsid w:val="00214D69"/>
    <w:rsid w:val="00214E41"/>
    <w:rsid w:val="00214E93"/>
    <w:rsid w:val="00214EB6"/>
    <w:rsid w:val="00214F02"/>
    <w:rsid w:val="00214F06"/>
    <w:rsid w:val="00214F40"/>
    <w:rsid w:val="00214F6B"/>
    <w:rsid w:val="00214F84"/>
    <w:rsid w:val="00214FFF"/>
    <w:rsid w:val="00215048"/>
    <w:rsid w:val="0021509F"/>
    <w:rsid w:val="002150AE"/>
    <w:rsid w:val="002150B1"/>
    <w:rsid w:val="002150E4"/>
    <w:rsid w:val="0021511A"/>
    <w:rsid w:val="0021512B"/>
    <w:rsid w:val="002151BF"/>
    <w:rsid w:val="002151F1"/>
    <w:rsid w:val="002151F7"/>
    <w:rsid w:val="00215200"/>
    <w:rsid w:val="0021521B"/>
    <w:rsid w:val="0021521C"/>
    <w:rsid w:val="002152E8"/>
    <w:rsid w:val="00215317"/>
    <w:rsid w:val="0021531A"/>
    <w:rsid w:val="00215327"/>
    <w:rsid w:val="0021535D"/>
    <w:rsid w:val="0021542F"/>
    <w:rsid w:val="00215457"/>
    <w:rsid w:val="002155BD"/>
    <w:rsid w:val="002156AB"/>
    <w:rsid w:val="002156B7"/>
    <w:rsid w:val="002156FB"/>
    <w:rsid w:val="00215772"/>
    <w:rsid w:val="002157BA"/>
    <w:rsid w:val="002157F0"/>
    <w:rsid w:val="0021581D"/>
    <w:rsid w:val="00215892"/>
    <w:rsid w:val="002158C3"/>
    <w:rsid w:val="002158CC"/>
    <w:rsid w:val="002158CE"/>
    <w:rsid w:val="002159BA"/>
    <w:rsid w:val="00215A5A"/>
    <w:rsid w:val="00215A8C"/>
    <w:rsid w:val="00215A9E"/>
    <w:rsid w:val="00215A9F"/>
    <w:rsid w:val="00215AD0"/>
    <w:rsid w:val="00215B52"/>
    <w:rsid w:val="00215B78"/>
    <w:rsid w:val="00215C06"/>
    <w:rsid w:val="00215C28"/>
    <w:rsid w:val="00215C40"/>
    <w:rsid w:val="00215C53"/>
    <w:rsid w:val="00215C6C"/>
    <w:rsid w:val="00215CA5"/>
    <w:rsid w:val="00215CA6"/>
    <w:rsid w:val="00215CFE"/>
    <w:rsid w:val="00215D27"/>
    <w:rsid w:val="00215DB2"/>
    <w:rsid w:val="00215DE2"/>
    <w:rsid w:val="00215E4A"/>
    <w:rsid w:val="00215EB9"/>
    <w:rsid w:val="00215ECD"/>
    <w:rsid w:val="00215F53"/>
    <w:rsid w:val="00215F6D"/>
    <w:rsid w:val="0021601C"/>
    <w:rsid w:val="002160EE"/>
    <w:rsid w:val="002160F3"/>
    <w:rsid w:val="00216120"/>
    <w:rsid w:val="00216130"/>
    <w:rsid w:val="00216198"/>
    <w:rsid w:val="002161AE"/>
    <w:rsid w:val="002161C7"/>
    <w:rsid w:val="00216236"/>
    <w:rsid w:val="00216246"/>
    <w:rsid w:val="0021625D"/>
    <w:rsid w:val="00216274"/>
    <w:rsid w:val="0021630C"/>
    <w:rsid w:val="00216324"/>
    <w:rsid w:val="00216339"/>
    <w:rsid w:val="0021636E"/>
    <w:rsid w:val="002163F2"/>
    <w:rsid w:val="0021649C"/>
    <w:rsid w:val="0021649E"/>
    <w:rsid w:val="002164AF"/>
    <w:rsid w:val="00216566"/>
    <w:rsid w:val="00216571"/>
    <w:rsid w:val="00216655"/>
    <w:rsid w:val="002166BF"/>
    <w:rsid w:val="0021672F"/>
    <w:rsid w:val="00216731"/>
    <w:rsid w:val="0021678D"/>
    <w:rsid w:val="00216790"/>
    <w:rsid w:val="002167BA"/>
    <w:rsid w:val="00216839"/>
    <w:rsid w:val="00216865"/>
    <w:rsid w:val="0021688B"/>
    <w:rsid w:val="002168AD"/>
    <w:rsid w:val="002168FB"/>
    <w:rsid w:val="00216932"/>
    <w:rsid w:val="00216996"/>
    <w:rsid w:val="002169E5"/>
    <w:rsid w:val="002169F7"/>
    <w:rsid w:val="002169FD"/>
    <w:rsid w:val="00216A16"/>
    <w:rsid w:val="00216A8B"/>
    <w:rsid w:val="00216AC2"/>
    <w:rsid w:val="00216B54"/>
    <w:rsid w:val="00216B5C"/>
    <w:rsid w:val="00216BA6"/>
    <w:rsid w:val="00216BB5"/>
    <w:rsid w:val="00216C66"/>
    <w:rsid w:val="00216C7C"/>
    <w:rsid w:val="00216CA8"/>
    <w:rsid w:val="00216CDC"/>
    <w:rsid w:val="00216CFA"/>
    <w:rsid w:val="00216D70"/>
    <w:rsid w:val="00216D89"/>
    <w:rsid w:val="00216D8A"/>
    <w:rsid w:val="00216DBC"/>
    <w:rsid w:val="00216DCD"/>
    <w:rsid w:val="00216E04"/>
    <w:rsid w:val="00216ECF"/>
    <w:rsid w:val="00216ED2"/>
    <w:rsid w:val="00216EE0"/>
    <w:rsid w:val="00216F0E"/>
    <w:rsid w:val="00216FAE"/>
    <w:rsid w:val="00216FB5"/>
    <w:rsid w:val="00217026"/>
    <w:rsid w:val="0021702C"/>
    <w:rsid w:val="002170B3"/>
    <w:rsid w:val="0021711A"/>
    <w:rsid w:val="0021713E"/>
    <w:rsid w:val="0021715E"/>
    <w:rsid w:val="002171F2"/>
    <w:rsid w:val="00217228"/>
    <w:rsid w:val="0021723D"/>
    <w:rsid w:val="00217285"/>
    <w:rsid w:val="002172E3"/>
    <w:rsid w:val="002172F5"/>
    <w:rsid w:val="00217378"/>
    <w:rsid w:val="00217396"/>
    <w:rsid w:val="002173D1"/>
    <w:rsid w:val="00217440"/>
    <w:rsid w:val="0021745F"/>
    <w:rsid w:val="002174BB"/>
    <w:rsid w:val="00217510"/>
    <w:rsid w:val="00217511"/>
    <w:rsid w:val="00217581"/>
    <w:rsid w:val="002175A2"/>
    <w:rsid w:val="002175FC"/>
    <w:rsid w:val="002176AB"/>
    <w:rsid w:val="00217728"/>
    <w:rsid w:val="00217782"/>
    <w:rsid w:val="002177C0"/>
    <w:rsid w:val="002177F0"/>
    <w:rsid w:val="002177F8"/>
    <w:rsid w:val="00217815"/>
    <w:rsid w:val="0021785D"/>
    <w:rsid w:val="002178DF"/>
    <w:rsid w:val="002178F5"/>
    <w:rsid w:val="0021791F"/>
    <w:rsid w:val="0021794F"/>
    <w:rsid w:val="00217989"/>
    <w:rsid w:val="002179CE"/>
    <w:rsid w:val="00217B19"/>
    <w:rsid w:val="00217B53"/>
    <w:rsid w:val="00217BCE"/>
    <w:rsid w:val="00217BD2"/>
    <w:rsid w:val="00217BEA"/>
    <w:rsid w:val="00217C67"/>
    <w:rsid w:val="00217C74"/>
    <w:rsid w:val="00217C8B"/>
    <w:rsid w:val="00217CCE"/>
    <w:rsid w:val="00217CDD"/>
    <w:rsid w:val="00217CFE"/>
    <w:rsid w:val="00217D28"/>
    <w:rsid w:val="00217D86"/>
    <w:rsid w:val="00217D94"/>
    <w:rsid w:val="00217DC7"/>
    <w:rsid w:val="00217DCC"/>
    <w:rsid w:val="00217DF7"/>
    <w:rsid w:val="00217DFA"/>
    <w:rsid w:val="00217E65"/>
    <w:rsid w:val="00217EA5"/>
    <w:rsid w:val="00217EC6"/>
    <w:rsid w:val="00217EC7"/>
    <w:rsid w:val="00217ED9"/>
    <w:rsid w:val="00217EDC"/>
    <w:rsid w:val="00217F1F"/>
    <w:rsid w:val="00217F8B"/>
    <w:rsid w:val="00217FE5"/>
    <w:rsid w:val="0022009D"/>
    <w:rsid w:val="0022010C"/>
    <w:rsid w:val="00220141"/>
    <w:rsid w:val="002201B2"/>
    <w:rsid w:val="002201D6"/>
    <w:rsid w:val="0022021D"/>
    <w:rsid w:val="0022024A"/>
    <w:rsid w:val="00220293"/>
    <w:rsid w:val="002202E9"/>
    <w:rsid w:val="0022034F"/>
    <w:rsid w:val="0022035D"/>
    <w:rsid w:val="0022037F"/>
    <w:rsid w:val="002203F0"/>
    <w:rsid w:val="00220424"/>
    <w:rsid w:val="0022042A"/>
    <w:rsid w:val="0022050B"/>
    <w:rsid w:val="00220519"/>
    <w:rsid w:val="00220575"/>
    <w:rsid w:val="0022058C"/>
    <w:rsid w:val="0022058E"/>
    <w:rsid w:val="002205BA"/>
    <w:rsid w:val="00220616"/>
    <w:rsid w:val="00220685"/>
    <w:rsid w:val="002206DD"/>
    <w:rsid w:val="002206E2"/>
    <w:rsid w:val="00220706"/>
    <w:rsid w:val="0022081A"/>
    <w:rsid w:val="00220831"/>
    <w:rsid w:val="00220850"/>
    <w:rsid w:val="0022086C"/>
    <w:rsid w:val="002208C0"/>
    <w:rsid w:val="002208D8"/>
    <w:rsid w:val="002208E2"/>
    <w:rsid w:val="00220905"/>
    <w:rsid w:val="00220923"/>
    <w:rsid w:val="0022092B"/>
    <w:rsid w:val="00220958"/>
    <w:rsid w:val="0022096D"/>
    <w:rsid w:val="00220992"/>
    <w:rsid w:val="002209D1"/>
    <w:rsid w:val="00220A22"/>
    <w:rsid w:val="00220A3F"/>
    <w:rsid w:val="00220A85"/>
    <w:rsid w:val="00220B0A"/>
    <w:rsid w:val="00220B0D"/>
    <w:rsid w:val="00220B14"/>
    <w:rsid w:val="00220BA1"/>
    <w:rsid w:val="00220BC9"/>
    <w:rsid w:val="00220BF3"/>
    <w:rsid w:val="00220C41"/>
    <w:rsid w:val="00220C44"/>
    <w:rsid w:val="00220CCB"/>
    <w:rsid w:val="00220CF1"/>
    <w:rsid w:val="00220D0A"/>
    <w:rsid w:val="00220D20"/>
    <w:rsid w:val="00220D31"/>
    <w:rsid w:val="00220DB0"/>
    <w:rsid w:val="00220DB4"/>
    <w:rsid w:val="00220DC5"/>
    <w:rsid w:val="00220DEE"/>
    <w:rsid w:val="00220E41"/>
    <w:rsid w:val="00220EF5"/>
    <w:rsid w:val="00220FE9"/>
    <w:rsid w:val="002210C2"/>
    <w:rsid w:val="002210E2"/>
    <w:rsid w:val="00221139"/>
    <w:rsid w:val="00221174"/>
    <w:rsid w:val="002211F8"/>
    <w:rsid w:val="00221224"/>
    <w:rsid w:val="00221259"/>
    <w:rsid w:val="00221305"/>
    <w:rsid w:val="002213A5"/>
    <w:rsid w:val="002213A8"/>
    <w:rsid w:val="002213DB"/>
    <w:rsid w:val="002213EE"/>
    <w:rsid w:val="0022147B"/>
    <w:rsid w:val="002215C1"/>
    <w:rsid w:val="002215E6"/>
    <w:rsid w:val="00221619"/>
    <w:rsid w:val="00221651"/>
    <w:rsid w:val="002216A2"/>
    <w:rsid w:val="002216A6"/>
    <w:rsid w:val="002216C1"/>
    <w:rsid w:val="002216F6"/>
    <w:rsid w:val="00221751"/>
    <w:rsid w:val="002217CE"/>
    <w:rsid w:val="00221863"/>
    <w:rsid w:val="00221908"/>
    <w:rsid w:val="00221937"/>
    <w:rsid w:val="0022195C"/>
    <w:rsid w:val="002219DE"/>
    <w:rsid w:val="00221A26"/>
    <w:rsid w:val="00221B3C"/>
    <w:rsid w:val="00221C0B"/>
    <w:rsid w:val="00221C2A"/>
    <w:rsid w:val="00221C3C"/>
    <w:rsid w:val="00221D08"/>
    <w:rsid w:val="00221D13"/>
    <w:rsid w:val="00221D74"/>
    <w:rsid w:val="00221D87"/>
    <w:rsid w:val="00221E0C"/>
    <w:rsid w:val="00221E1F"/>
    <w:rsid w:val="00221EC0"/>
    <w:rsid w:val="00221ED3"/>
    <w:rsid w:val="00221F2F"/>
    <w:rsid w:val="00221F30"/>
    <w:rsid w:val="00221F3E"/>
    <w:rsid w:val="00221F69"/>
    <w:rsid w:val="00221F6C"/>
    <w:rsid w:val="00221F84"/>
    <w:rsid w:val="00221FDF"/>
    <w:rsid w:val="00222008"/>
    <w:rsid w:val="0022206C"/>
    <w:rsid w:val="0022211E"/>
    <w:rsid w:val="00222188"/>
    <w:rsid w:val="00222246"/>
    <w:rsid w:val="002222A2"/>
    <w:rsid w:val="002222B0"/>
    <w:rsid w:val="002222E2"/>
    <w:rsid w:val="002222E5"/>
    <w:rsid w:val="00222332"/>
    <w:rsid w:val="0022235D"/>
    <w:rsid w:val="0022237E"/>
    <w:rsid w:val="00222381"/>
    <w:rsid w:val="00222382"/>
    <w:rsid w:val="0022238A"/>
    <w:rsid w:val="00222392"/>
    <w:rsid w:val="002223B5"/>
    <w:rsid w:val="002223BF"/>
    <w:rsid w:val="002223C2"/>
    <w:rsid w:val="00222405"/>
    <w:rsid w:val="00222415"/>
    <w:rsid w:val="00222447"/>
    <w:rsid w:val="002224CB"/>
    <w:rsid w:val="00222507"/>
    <w:rsid w:val="00222524"/>
    <w:rsid w:val="0022254E"/>
    <w:rsid w:val="00222555"/>
    <w:rsid w:val="002225A0"/>
    <w:rsid w:val="0022265F"/>
    <w:rsid w:val="0022268C"/>
    <w:rsid w:val="0022269B"/>
    <w:rsid w:val="002226DE"/>
    <w:rsid w:val="002226FF"/>
    <w:rsid w:val="0022277E"/>
    <w:rsid w:val="002227FE"/>
    <w:rsid w:val="00222814"/>
    <w:rsid w:val="00222896"/>
    <w:rsid w:val="002228C1"/>
    <w:rsid w:val="00222953"/>
    <w:rsid w:val="0022298E"/>
    <w:rsid w:val="0022299E"/>
    <w:rsid w:val="002229B4"/>
    <w:rsid w:val="002229C7"/>
    <w:rsid w:val="002229D3"/>
    <w:rsid w:val="00222A1B"/>
    <w:rsid w:val="00222A33"/>
    <w:rsid w:val="00222A3F"/>
    <w:rsid w:val="00222A49"/>
    <w:rsid w:val="00222B09"/>
    <w:rsid w:val="00222B18"/>
    <w:rsid w:val="00222B74"/>
    <w:rsid w:val="00222BBB"/>
    <w:rsid w:val="00222BE0"/>
    <w:rsid w:val="00222BF6"/>
    <w:rsid w:val="00222C10"/>
    <w:rsid w:val="00222C38"/>
    <w:rsid w:val="00222C87"/>
    <w:rsid w:val="00222CB9"/>
    <w:rsid w:val="00222D05"/>
    <w:rsid w:val="00222D41"/>
    <w:rsid w:val="00222DA4"/>
    <w:rsid w:val="00222DCB"/>
    <w:rsid w:val="00222DD6"/>
    <w:rsid w:val="00222F32"/>
    <w:rsid w:val="00222F39"/>
    <w:rsid w:val="00222F57"/>
    <w:rsid w:val="00222F8F"/>
    <w:rsid w:val="00222F93"/>
    <w:rsid w:val="00222FB1"/>
    <w:rsid w:val="00222FF9"/>
    <w:rsid w:val="00223036"/>
    <w:rsid w:val="00223069"/>
    <w:rsid w:val="0022309F"/>
    <w:rsid w:val="002230C8"/>
    <w:rsid w:val="00223209"/>
    <w:rsid w:val="00223240"/>
    <w:rsid w:val="00223246"/>
    <w:rsid w:val="0022329A"/>
    <w:rsid w:val="002232FC"/>
    <w:rsid w:val="00223324"/>
    <w:rsid w:val="00223368"/>
    <w:rsid w:val="00223388"/>
    <w:rsid w:val="00223417"/>
    <w:rsid w:val="00223442"/>
    <w:rsid w:val="00223495"/>
    <w:rsid w:val="0022350B"/>
    <w:rsid w:val="002235AA"/>
    <w:rsid w:val="00223612"/>
    <w:rsid w:val="0022364D"/>
    <w:rsid w:val="00223661"/>
    <w:rsid w:val="00223688"/>
    <w:rsid w:val="0022375F"/>
    <w:rsid w:val="00223771"/>
    <w:rsid w:val="00223840"/>
    <w:rsid w:val="00223891"/>
    <w:rsid w:val="002238C4"/>
    <w:rsid w:val="00223939"/>
    <w:rsid w:val="0022395B"/>
    <w:rsid w:val="00223989"/>
    <w:rsid w:val="00223A24"/>
    <w:rsid w:val="00223A32"/>
    <w:rsid w:val="00223A3E"/>
    <w:rsid w:val="00223ADD"/>
    <w:rsid w:val="00223B18"/>
    <w:rsid w:val="00223B2E"/>
    <w:rsid w:val="00223B3F"/>
    <w:rsid w:val="00223B61"/>
    <w:rsid w:val="00223B65"/>
    <w:rsid w:val="00223B9D"/>
    <w:rsid w:val="00223BBC"/>
    <w:rsid w:val="00223BE6"/>
    <w:rsid w:val="00223C34"/>
    <w:rsid w:val="00223C59"/>
    <w:rsid w:val="00223C89"/>
    <w:rsid w:val="00223CFC"/>
    <w:rsid w:val="00223D84"/>
    <w:rsid w:val="00223E25"/>
    <w:rsid w:val="00223E38"/>
    <w:rsid w:val="00223E78"/>
    <w:rsid w:val="00223E86"/>
    <w:rsid w:val="00223EE1"/>
    <w:rsid w:val="00223F11"/>
    <w:rsid w:val="00223F1A"/>
    <w:rsid w:val="00223F65"/>
    <w:rsid w:val="00223F67"/>
    <w:rsid w:val="00223F8C"/>
    <w:rsid w:val="00223F9A"/>
    <w:rsid w:val="00224036"/>
    <w:rsid w:val="00224060"/>
    <w:rsid w:val="0022406E"/>
    <w:rsid w:val="002240C4"/>
    <w:rsid w:val="002240C5"/>
    <w:rsid w:val="002240C6"/>
    <w:rsid w:val="00224185"/>
    <w:rsid w:val="0022420C"/>
    <w:rsid w:val="002242B2"/>
    <w:rsid w:val="0022435A"/>
    <w:rsid w:val="002243C3"/>
    <w:rsid w:val="00224422"/>
    <w:rsid w:val="00224434"/>
    <w:rsid w:val="00224486"/>
    <w:rsid w:val="002244A5"/>
    <w:rsid w:val="002244E8"/>
    <w:rsid w:val="0022450A"/>
    <w:rsid w:val="0022452E"/>
    <w:rsid w:val="00224569"/>
    <w:rsid w:val="002245BD"/>
    <w:rsid w:val="0022462B"/>
    <w:rsid w:val="0022469E"/>
    <w:rsid w:val="002246A9"/>
    <w:rsid w:val="00224790"/>
    <w:rsid w:val="002247EA"/>
    <w:rsid w:val="00224822"/>
    <w:rsid w:val="00224827"/>
    <w:rsid w:val="0022487D"/>
    <w:rsid w:val="00224887"/>
    <w:rsid w:val="002248FD"/>
    <w:rsid w:val="0022490C"/>
    <w:rsid w:val="00224967"/>
    <w:rsid w:val="0022496F"/>
    <w:rsid w:val="0022498C"/>
    <w:rsid w:val="002249C0"/>
    <w:rsid w:val="002249D4"/>
    <w:rsid w:val="00224A1C"/>
    <w:rsid w:val="00224A25"/>
    <w:rsid w:val="00224A37"/>
    <w:rsid w:val="00224A45"/>
    <w:rsid w:val="00224AB5"/>
    <w:rsid w:val="00224B17"/>
    <w:rsid w:val="00224B51"/>
    <w:rsid w:val="00224B9C"/>
    <w:rsid w:val="00224C5E"/>
    <w:rsid w:val="00224C71"/>
    <w:rsid w:val="00224D18"/>
    <w:rsid w:val="00224D42"/>
    <w:rsid w:val="00224DB3"/>
    <w:rsid w:val="00224DFD"/>
    <w:rsid w:val="00224E59"/>
    <w:rsid w:val="00224E69"/>
    <w:rsid w:val="00224E74"/>
    <w:rsid w:val="00224E8F"/>
    <w:rsid w:val="00224F1C"/>
    <w:rsid w:val="00225011"/>
    <w:rsid w:val="00225025"/>
    <w:rsid w:val="00225028"/>
    <w:rsid w:val="00225077"/>
    <w:rsid w:val="0022507B"/>
    <w:rsid w:val="002250C4"/>
    <w:rsid w:val="002250DA"/>
    <w:rsid w:val="002250F8"/>
    <w:rsid w:val="00225229"/>
    <w:rsid w:val="00225269"/>
    <w:rsid w:val="0022529C"/>
    <w:rsid w:val="00225306"/>
    <w:rsid w:val="0022530E"/>
    <w:rsid w:val="00225340"/>
    <w:rsid w:val="0022534F"/>
    <w:rsid w:val="0022536A"/>
    <w:rsid w:val="0022542D"/>
    <w:rsid w:val="002254BB"/>
    <w:rsid w:val="002254DE"/>
    <w:rsid w:val="002254EE"/>
    <w:rsid w:val="00225510"/>
    <w:rsid w:val="00225516"/>
    <w:rsid w:val="0022562F"/>
    <w:rsid w:val="00225630"/>
    <w:rsid w:val="00225688"/>
    <w:rsid w:val="002256A1"/>
    <w:rsid w:val="002256B0"/>
    <w:rsid w:val="002256C2"/>
    <w:rsid w:val="0022570B"/>
    <w:rsid w:val="00225720"/>
    <w:rsid w:val="00225766"/>
    <w:rsid w:val="002257FF"/>
    <w:rsid w:val="0022581E"/>
    <w:rsid w:val="00225836"/>
    <w:rsid w:val="00225843"/>
    <w:rsid w:val="002258D6"/>
    <w:rsid w:val="00225A23"/>
    <w:rsid w:val="00225A52"/>
    <w:rsid w:val="00225A7A"/>
    <w:rsid w:val="00225AB6"/>
    <w:rsid w:val="00225ADB"/>
    <w:rsid w:val="00225AF6"/>
    <w:rsid w:val="00225B2B"/>
    <w:rsid w:val="00225BF1"/>
    <w:rsid w:val="00225C74"/>
    <w:rsid w:val="00225D04"/>
    <w:rsid w:val="00225D06"/>
    <w:rsid w:val="00225D2E"/>
    <w:rsid w:val="00225D62"/>
    <w:rsid w:val="00225D6A"/>
    <w:rsid w:val="00225DE3"/>
    <w:rsid w:val="00225E44"/>
    <w:rsid w:val="00225EE5"/>
    <w:rsid w:val="00225F7B"/>
    <w:rsid w:val="00226014"/>
    <w:rsid w:val="00226128"/>
    <w:rsid w:val="0022618E"/>
    <w:rsid w:val="0022623C"/>
    <w:rsid w:val="0022628B"/>
    <w:rsid w:val="00226354"/>
    <w:rsid w:val="002263F2"/>
    <w:rsid w:val="002264CD"/>
    <w:rsid w:val="00226582"/>
    <w:rsid w:val="00226589"/>
    <w:rsid w:val="00226687"/>
    <w:rsid w:val="002266BF"/>
    <w:rsid w:val="002266DB"/>
    <w:rsid w:val="002266DE"/>
    <w:rsid w:val="002266F5"/>
    <w:rsid w:val="00226733"/>
    <w:rsid w:val="00226757"/>
    <w:rsid w:val="0022681D"/>
    <w:rsid w:val="0022681F"/>
    <w:rsid w:val="002268F6"/>
    <w:rsid w:val="00226908"/>
    <w:rsid w:val="0022694E"/>
    <w:rsid w:val="00226979"/>
    <w:rsid w:val="00226A3A"/>
    <w:rsid w:val="00226AE3"/>
    <w:rsid w:val="00226B35"/>
    <w:rsid w:val="00226B6E"/>
    <w:rsid w:val="00226C3E"/>
    <w:rsid w:val="00226CBF"/>
    <w:rsid w:val="00226CDD"/>
    <w:rsid w:val="00226D18"/>
    <w:rsid w:val="00226D4E"/>
    <w:rsid w:val="00226DBC"/>
    <w:rsid w:val="00226DC7"/>
    <w:rsid w:val="00226DE5"/>
    <w:rsid w:val="00226DE6"/>
    <w:rsid w:val="00226F0F"/>
    <w:rsid w:val="00226FA3"/>
    <w:rsid w:val="00227010"/>
    <w:rsid w:val="0022707A"/>
    <w:rsid w:val="002270A4"/>
    <w:rsid w:val="002270A9"/>
    <w:rsid w:val="00227191"/>
    <w:rsid w:val="002271AE"/>
    <w:rsid w:val="002271E1"/>
    <w:rsid w:val="0022721D"/>
    <w:rsid w:val="0022723A"/>
    <w:rsid w:val="00227290"/>
    <w:rsid w:val="002272AA"/>
    <w:rsid w:val="0022733D"/>
    <w:rsid w:val="00227368"/>
    <w:rsid w:val="0022737F"/>
    <w:rsid w:val="00227395"/>
    <w:rsid w:val="002273C1"/>
    <w:rsid w:val="00227414"/>
    <w:rsid w:val="00227423"/>
    <w:rsid w:val="00227514"/>
    <w:rsid w:val="00227535"/>
    <w:rsid w:val="0022757F"/>
    <w:rsid w:val="002275B2"/>
    <w:rsid w:val="0022760F"/>
    <w:rsid w:val="00227768"/>
    <w:rsid w:val="00227769"/>
    <w:rsid w:val="002277A1"/>
    <w:rsid w:val="002277AD"/>
    <w:rsid w:val="002277AE"/>
    <w:rsid w:val="002278CD"/>
    <w:rsid w:val="002278DA"/>
    <w:rsid w:val="00227984"/>
    <w:rsid w:val="002279A2"/>
    <w:rsid w:val="002279AF"/>
    <w:rsid w:val="002279E2"/>
    <w:rsid w:val="002279F0"/>
    <w:rsid w:val="00227A41"/>
    <w:rsid w:val="00227ACB"/>
    <w:rsid w:val="00227AD7"/>
    <w:rsid w:val="00227B5F"/>
    <w:rsid w:val="00227C12"/>
    <w:rsid w:val="00227C17"/>
    <w:rsid w:val="00227C59"/>
    <w:rsid w:val="00227C70"/>
    <w:rsid w:val="00227C7B"/>
    <w:rsid w:val="00227C97"/>
    <w:rsid w:val="00227CF6"/>
    <w:rsid w:val="00227DDA"/>
    <w:rsid w:val="00227DFD"/>
    <w:rsid w:val="00227E38"/>
    <w:rsid w:val="00227E3D"/>
    <w:rsid w:val="00227E92"/>
    <w:rsid w:val="00227EC1"/>
    <w:rsid w:val="00227EC9"/>
    <w:rsid w:val="00227EFA"/>
    <w:rsid w:val="00227F64"/>
    <w:rsid w:val="00227F77"/>
    <w:rsid w:val="00227FA3"/>
    <w:rsid w:val="00227FD6"/>
    <w:rsid w:val="00227FFD"/>
    <w:rsid w:val="00230030"/>
    <w:rsid w:val="00230160"/>
    <w:rsid w:val="00230163"/>
    <w:rsid w:val="00230227"/>
    <w:rsid w:val="002302A1"/>
    <w:rsid w:val="002302EE"/>
    <w:rsid w:val="0023040A"/>
    <w:rsid w:val="0023041D"/>
    <w:rsid w:val="00230439"/>
    <w:rsid w:val="00230444"/>
    <w:rsid w:val="0023044F"/>
    <w:rsid w:val="0023047A"/>
    <w:rsid w:val="0023048E"/>
    <w:rsid w:val="002305C2"/>
    <w:rsid w:val="002305F0"/>
    <w:rsid w:val="00230638"/>
    <w:rsid w:val="00230647"/>
    <w:rsid w:val="0023065D"/>
    <w:rsid w:val="00230676"/>
    <w:rsid w:val="002306C6"/>
    <w:rsid w:val="00230700"/>
    <w:rsid w:val="00230734"/>
    <w:rsid w:val="002307BA"/>
    <w:rsid w:val="00230819"/>
    <w:rsid w:val="002308F9"/>
    <w:rsid w:val="002309A7"/>
    <w:rsid w:val="002309AD"/>
    <w:rsid w:val="00230A04"/>
    <w:rsid w:val="00230A71"/>
    <w:rsid w:val="00230A7D"/>
    <w:rsid w:val="00230A96"/>
    <w:rsid w:val="00230B15"/>
    <w:rsid w:val="00230B28"/>
    <w:rsid w:val="00230B99"/>
    <w:rsid w:val="00230C84"/>
    <w:rsid w:val="00230CA5"/>
    <w:rsid w:val="00230D50"/>
    <w:rsid w:val="00230D7B"/>
    <w:rsid w:val="00230F15"/>
    <w:rsid w:val="00230F28"/>
    <w:rsid w:val="00230F94"/>
    <w:rsid w:val="00230F96"/>
    <w:rsid w:val="00230FA4"/>
    <w:rsid w:val="00230FC5"/>
    <w:rsid w:val="00231025"/>
    <w:rsid w:val="00231027"/>
    <w:rsid w:val="0023106E"/>
    <w:rsid w:val="00231156"/>
    <w:rsid w:val="00231190"/>
    <w:rsid w:val="00231199"/>
    <w:rsid w:val="0023119F"/>
    <w:rsid w:val="00231237"/>
    <w:rsid w:val="00231290"/>
    <w:rsid w:val="0023132D"/>
    <w:rsid w:val="00231331"/>
    <w:rsid w:val="0023134C"/>
    <w:rsid w:val="0023138F"/>
    <w:rsid w:val="002313AE"/>
    <w:rsid w:val="00231415"/>
    <w:rsid w:val="00231497"/>
    <w:rsid w:val="0023149F"/>
    <w:rsid w:val="002314E5"/>
    <w:rsid w:val="002314EA"/>
    <w:rsid w:val="002314F4"/>
    <w:rsid w:val="00231527"/>
    <w:rsid w:val="00231542"/>
    <w:rsid w:val="0023157A"/>
    <w:rsid w:val="0023158B"/>
    <w:rsid w:val="00231594"/>
    <w:rsid w:val="0023160F"/>
    <w:rsid w:val="00231652"/>
    <w:rsid w:val="002316B0"/>
    <w:rsid w:val="002316CB"/>
    <w:rsid w:val="0023170C"/>
    <w:rsid w:val="0023170E"/>
    <w:rsid w:val="0023178E"/>
    <w:rsid w:val="002317AC"/>
    <w:rsid w:val="002317CB"/>
    <w:rsid w:val="0023184E"/>
    <w:rsid w:val="00231868"/>
    <w:rsid w:val="002318A9"/>
    <w:rsid w:val="00231913"/>
    <w:rsid w:val="0023192C"/>
    <w:rsid w:val="00231A39"/>
    <w:rsid w:val="00231A98"/>
    <w:rsid w:val="00231AEA"/>
    <w:rsid w:val="00231B01"/>
    <w:rsid w:val="00231B18"/>
    <w:rsid w:val="00231B1F"/>
    <w:rsid w:val="00231B35"/>
    <w:rsid w:val="00231BC9"/>
    <w:rsid w:val="00231C5B"/>
    <w:rsid w:val="00231C62"/>
    <w:rsid w:val="00231CE0"/>
    <w:rsid w:val="00231D10"/>
    <w:rsid w:val="00231D5D"/>
    <w:rsid w:val="00231D70"/>
    <w:rsid w:val="00231D78"/>
    <w:rsid w:val="00231D82"/>
    <w:rsid w:val="00231DB4"/>
    <w:rsid w:val="00231DB9"/>
    <w:rsid w:val="00231E7A"/>
    <w:rsid w:val="00231EFE"/>
    <w:rsid w:val="00231F07"/>
    <w:rsid w:val="00231F81"/>
    <w:rsid w:val="00231F85"/>
    <w:rsid w:val="00231F8B"/>
    <w:rsid w:val="00231FB4"/>
    <w:rsid w:val="00231FC9"/>
    <w:rsid w:val="00231FDF"/>
    <w:rsid w:val="00231FFB"/>
    <w:rsid w:val="00232008"/>
    <w:rsid w:val="002321A1"/>
    <w:rsid w:val="002321AC"/>
    <w:rsid w:val="002321AD"/>
    <w:rsid w:val="002321B9"/>
    <w:rsid w:val="002321BA"/>
    <w:rsid w:val="002321C4"/>
    <w:rsid w:val="002321E6"/>
    <w:rsid w:val="002321F3"/>
    <w:rsid w:val="002322D1"/>
    <w:rsid w:val="002322D4"/>
    <w:rsid w:val="002322EF"/>
    <w:rsid w:val="00232326"/>
    <w:rsid w:val="00232329"/>
    <w:rsid w:val="002323BE"/>
    <w:rsid w:val="002323EB"/>
    <w:rsid w:val="002323EF"/>
    <w:rsid w:val="00232494"/>
    <w:rsid w:val="002324A8"/>
    <w:rsid w:val="0023251E"/>
    <w:rsid w:val="00232595"/>
    <w:rsid w:val="002325D6"/>
    <w:rsid w:val="002325EE"/>
    <w:rsid w:val="0023264A"/>
    <w:rsid w:val="00232654"/>
    <w:rsid w:val="002326C3"/>
    <w:rsid w:val="00232740"/>
    <w:rsid w:val="0023278F"/>
    <w:rsid w:val="002328CE"/>
    <w:rsid w:val="0023291D"/>
    <w:rsid w:val="00232924"/>
    <w:rsid w:val="00232963"/>
    <w:rsid w:val="0023298A"/>
    <w:rsid w:val="002329EF"/>
    <w:rsid w:val="00232A44"/>
    <w:rsid w:val="00232AE2"/>
    <w:rsid w:val="00232B43"/>
    <w:rsid w:val="00232BAF"/>
    <w:rsid w:val="00232C23"/>
    <w:rsid w:val="00232C86"/>
    <w:rsid w:val="00232D19"/>
    <w:rsid w:val="00232D98"/>
    <w:rsid w:val="00232D9B"/>
    <w:rsid w:val="00232E2A"/>
    <w:rsid w:val="00232E33"/>
    <w:rsid w:val="00232E61"/>
    <w:rsid w:val="00232E6F"/>
    <w:rsid w:val="00232E96"/>
    <w:rsid w:val="00232F33"/>
    <w:rsid w:val="00232F72"/>
    <w:rsid w:val="00232FA7"/>
    <w:rsid w:val="00232FB1"/>
    <w:rsid w:val="00232FE4"/>
    <w:rsid w:val="00232FEF"/>
    <w:rsid w:val="0023305D"/>
    <w:rsid w:val="0023306E"/>
    <w:rsid w:val="00233097"/>
    <w:rsid w:val="0023310D"/>
    <w:rsid w:val="00233136"/>
    <w:rsid w:val="00233148"/>
    <w:rsid w:val="00233182"/>
    <w:rsid w:val="002331AA"/>
    <w:rsid w:val="00233262"/>
    <w:rsid w:val="00233298"/>
    <w:rsid w:val="00233325"/>
    <w:rsid w:val="0023332A"/>
    <w:rsid w:val="00233368"/>
    <w:rsid w:val="0023338D"/>
    <w:rsid w:val="0023339A"/>
    <w:rsid w:val="002333C2"/>
    <w:rsid w:val="0023341F"/>
    <w:rsid w:val="002334A1"/>
    <w:rsid w:val="00233536"/>
    <w:rsid w:val="0023355B"/>
    <w:rsid w:val="00233562"/>
    <w:rsid w:val="00233598"/>
    <w:rsid w:val="0023359E"/>
    <w:rsid w:val="00233607"/>
    <w:rsid w:val="00233665"/>
    <w:rsid w:val="00233684"/>
    <w:rsid w:val="002336CF"/>
    <w:rsid w:val="002336E3"/>
    <w:rsid w:val="00233710"/>
    <w:rsid w:val="0023372A"/>
    <w:rsid w:val="0023373D"/>
    <w:rsid w:val="0023374E"/>
    <w:rsid w:val="00233753"/>
    <w:rsid w:val="00233782"/>
    <w:rsid w:val="002337CD"/>
    <w:rsid w:val="002337D2"/>
    <w:rsid w:val="00233899"/>
    <w:rsid w:val="002338D1"/>
    <w:rsid w:val="00233914"/>
    <w:rsid w:val="00233959"/>
    <w:rsid w:val="0023396B"/>
    <w:rsid w:val="00233976"/>
    <w:rsid w:val="00233A20"/>
    <w:rsid w:val="00233A46"/>
    <w:rsid w:val="00233A5B"/>
    <w:rsid w:val="00233AC8"/>
    <w:rsid w:val="00233B77"/>
    <w:rsid w:val="00233B9E"/>
    <w:rsid w:val="00233BD0"/>
    <w:rsid w:val="00233C04"/>
    <w:rsid w:val="00233C66"/>
    <w:rsid w:val="00233CE1"/>
    <w:rsid w:val="00233DC1"/>
    <w:rsid w:val="00233DC2"/>
    <w:rsid w:val="00233DE0"/>
    <w:rsid w:val="00233E0A"/>
    <w:rsid w:val="00233E16"/>
    <w:rsid w:val="00233E41"/>
    <w:rsid w:val="00233E66"/>
    <w:rsid w:val="00233EB2"/>
    <w:rsid w:val="00233EF8"/>
    <w:rsid w:val="00233FD0"/>
    <w:rsid w:val="00233FDE"/>
    <w:rsid w:val="00234062"/>
    <w:rsid w:val="0023406E"/>
    <w:rsid w:val="0023407B"/>
    <w:rsid w:val="00234080"/>
    <w:rsid w:val="002340FA"/>
    <w:rsid w:val="00234104"/>
    <w:rsid w:val="0023411E"/>
    <w:rsid w:val="00234176"/>
    <w:rsid w:val="00234251"/>
    <w:rsid w:val="00234268"/>
    <w:rsid w:val="002342B8"/>
    <w:rsid w:val="00234317"/>
    <w:rsid w:val="00234347"/>
    <w:rsid w:val="00234375"/>
    <w:rsid w:val="0023443D"/>
    <w:rsid w:val="00234446"/>
    <w:rsid w:val="00234465"/>
    <w:rsid w:val="00234470"/>
    <w:rsid w:val="002344AC"/>
    <w:rsid w:val="00234575"/>
    <w:rsid w:val="0023459B"/>
    <w:rsid w:val="002345A0"/>
    <w:rsid w:val="002345EF"/>
    <w:rsid w:val="00234609"/>
    <w:rsid w:val="00234654"/>
    <w:rsid w:val="00234657"/>
    <w:rsid w:val="00234664"/>
    <w:rsid w:val="0023467C"/>
    <w:rsid w:val="002346EB"/>
    <w:rsid w:val="00234738"/>
    <w:rsid w:val="00234796"/>
    <w:rsid w:val="002347BB"/>
    <w:rsid w:val="002347D9"/>
    <w:rsid w:val="002347E6"/>
    <w:rsid w:val="0023482F"/>
    <w:rsid w:val="002348A9"/>
    <w:rsid w:val="002348C0"/>
    <w:rsid w:val="00234B0D"/>
    <w:rsid w:val="00234B42"/>
    <w:rsid w:val="00234B61"/>
    <w:rsid w:val="00234BB0"/>
    <w:rsid w:val="00234C5E"/>
    <w:rsid w:val="00234C6E"/>
    <w:rsid w:val="00234CB6"/>
    <w:rsid w:val="00234CC7"/>
    <w:rsid w:val="00234D5F"/>
    <w:rsid w:val="00234D9D"/>
    <w:rsid w:val="00234DAF"/>
    <w:rsid w:val="00234DE8"/>
    <w:rsid w:val="00234DFA"/>
    <w:rsid w:val="00234E6B"/>
    <w:rsid w:val="00234EB5"/>
    <w:rsid w:val="00234FCF"/>
    <w:rsid w:val="00234FDE"/>
    <w:rsid w:val="00235024"/>
    <w:rsid w:val="00235079"/>
    <w:rsid w:val="00235091"/>
    <w:rsid w:val="002350C2"/>
    <w:rsid w:val="002350F4"/>
    <w:rsid w:val="002350F7"/>
    <w:rsid w:val="0023512D"/>
    <w:rsid w:val="00235142"/>
    <w:rsid w:val="0023517C"/>
    <w:rsid w:val="00235192"/>
    <w:rsid w:val="002351A7"/>
    <w:rsid w:val="002351F3"/>
    <w:rsid w:val="00235203"/>
    <w:rsid w:val="00235237"/>
    <w:rsid w:val="0023527D"/>
    <w:rsid w:val="0023529D"/>
    <w:rsid w:val="002352BA"/>
    <w:rsid w:val="002352F1"/>
    <w:rsid w:val="002352F5"/>
    <w:rsid w:val="002353E8"/>
    <w:rsid w:val="00235466"/>
    <w:rsid w:val="002354E3"/>
    <w:rsid w:val="0023551C"/>
    <w:rsid w:val="00235532"/>
    <w:rsid w:val="00235601"/>
    <w:rsid w:val="00235653"/>
    <w:rsid w:val="00235687"/>
    <w:rsid w:val="002356A7"/>
    <w:rsid w:val="002356BF"/>
    <w:rsid w:val="00235777"/>
    <w:rsid w:val="00235782"/>
    <w:rsid w:val="002357B0"/>
    <w:rsid w:val="00235822"/>
    <w:rsid w:val="00235825"/>
    <w:rsid w:val="002358F9"/>
    <w:rsid w:val="0023599F"/>
    <w:rsid w:val="002359BB"/>
    <w:rsid w:val="002359CC"/>
    <w:rsid w:val="002359EF"/>
    <w:rsid w:val="00235A36"/>
    <w:rsid w:val="00235A4B"/>
    <w:rsid w:val="00235A6F"/>
    <w:rsid w:val="00235A7D"/>
    <w:rsid w:val="00235AA4"/>
    <w:rsid w:val="00235B3D"/>
    <w:rsid w:val="00235B5F"/>
    <w:rsid w:val="00235B85"/>
    <w:rsid w:val="00235C36"/>
    <w:rsid w:val="00235C44"/>
    <w:rsid w:val="00235C74"/>
    <w:rsid w:val="00235C84"/>
    <w:rsid w:val="00235C8E"/>
    <w:rsid w:val="00235CD5"/>
    <w:rsid w:val="00235D4A"/>
    <w:rsid w:val="00235E92"/>
    <w:rsid w:val="00235EC5"/>
    <w:rsid w:val="00235F40"/>
    <w:rsid w:val="00235FB7"/>
    <w:rsid w:val="00235FF8"/>
    <w:rsid w:val="0023604E"/>
    <w:rsid w:val="0023608A"/>
    <w:rsid w:val="0023609D"/>
    <w:rsid w:val="002360C6"/>
    <w:rsid w:val="00236123"/>
    <w:rsid w:val="002361C0"/>
    <w:rsid w:val="002361CB"/>
    <w:rsid w:val="002361D8"/>
    <w:rsid w:val="00236232"/>
    <w:rsid w:val="00236239"/>
    <w:rsid w:val="00236271"/>
    <w:rsid w:val="002362B4"/>
    <w:rsid w:val="00236300"/>
    <w:rsid w:val="002363B2"/>
    <w:rsid w:val="002363E6"/>
    <w:rsid w:val="00236400"/>
    <w:rsid w:val="00236475"/>
    <w:rsid w:val="0023647D"/>
    <w:rsid w:val="002364D4"/>
    <w:rsid w:val="002365BC"/>
    <w:rsid w:val="002365C2"/>
    <w:rsid w:val="0023668A"/>
    <w:rsid w:val="00236699"/>
    <w:rsid w:val="0023669B"/>
    <w:rsid w:val="0023672E"/>
    <w:rsid w:val="00236849"/>
    <w:rsid w:val="0023692D"/>
    <w:rsid w:val="002369F7"/>
    <w:rsid w:val="00236A42"/>
    <w:rsid w:val="00236A70"/>
    <w:rsid w:val="00236AD7"/>
    <w:rsid w:val="00236AF4"/>
    <w:rsid w:val="00236AFB"/>
    <w:rsid w:val="00236B0E"/>
    <w:rsid w:val="00236BE5"/>
    <w:rsid w:val="00236CB6"/>
    <w:rsid w:val="00236CC5"/>
    <w:rsid w:val="00236CDC"/>
    <w:rsid w:val="00236D63"/>
    <w:rsid w:val="00236D8D"/>
    <w:rsid w:val="00236DBA"/>
    <w:rsid w:val="00236DC4"/>
    <w:rsid w:val="00236DC7"/>
    <w:rsid w:val="00236E3A"/>
    <w:rsid w:val="00236FD0"/>
    <w:rsid w:val="00237122"/>
    <w:rsid w:val="0023720B"/>
    <w:rsid w:val="0023720D"/>
    <w:rsid w:val="00237213"/>
    <w:rsid w:val="00237219"/>
    <w:rsid w:val="00237224"/>
    <w:rsid w:val="0023727B"/>
    <w:rsid w:val="00237284"/>
    <w:rsid w:val="002372AA"/>
    <w:rsid w:val="002372EE"/>
    <w:rsid w:val="00237327"/>
    <w:rsid w:val="0023738A"/>
    <w:rsid w:val="00237397"/>
    <w:rsid w:val="0023739C"/>
    <w:rsid w:val="002373B2"/>
    <w:rsid w:val="0023740C"/>
    <w:rsid w:val="00237424"/>
    <w:rsid w:val="00237542"/>
    <w:rsid w:val="00237598"/>
    <w:rsid w:val="00237663"/>
    <w:rsid w:val="0023766D"/>
    <w:rsid w:val="00237688"/>
    <w:rsid w:val="00237714"/>
    <w:rsid w:val="0023780B"/>
    <w:rsid w:val="00237878"/>
    <w:rsid w:val="00237900"/>
    <w:rsid w:val="00237914"/>
    <w:rsid w:val="002379A0"/>
    <w:rsid w:val="002379BD"/>
    <w:rsid w:val="00237A37"/>
    <w:rsid w:val="00237B1C"/>
    <w:rsid w:val="00237B20"/>
    <w:rsid w:val="00237B8B"/>
    <w:rsid w:val="00237B91"/>
    <w:rsid w:val="00237B9A"/>
    <w:rsid w:val="00237CDF"/>
    <w:rsid w:val="00237D66"/>
    <w:rsid w:val="00237DB8"/>
    <w:rsid w:val="00237DC5"/>
    <w:rsid w:val="00237DF2"/>
    <w:rsid w:val="00237E46"/>
    <w:rsid w:val="00237E85"/>
    <w:rsid w:val="00237E8A"/>
    <w:rsid w:val="00237EB8"/>
    <w:rsid w:val="00237EF4"/>
    <w:rsid w:val="00237F3C"/>
    <w:rsid w:val="00237F99"/>
    <w:rsid w:val="00237F9C"/>
    <w:rsid w:val="00237FA4"/>
    <w:rsid w:val="002400DE"/>
    <w:rsid w:val="0024010E"/>
    <w:rsid w:val="00240119"/>
    <w:rsid w:val="0024011D"/>
    <w:rsid w:val="00240177"/>
    <w:rsid w:val="0024017B"/>
    <w:rsid w:val="002401AD"/>
    <w:rsid w:val="002401D3"/>
    <w:rsid w:val="002401F1"/>
    <w:rsid w:val="002401FD"/>
    <w:rsid w:val="0024029C"/>
    <w:rsid w:val="002402A3"/>
    <w:rsid w:val="002402F9"/>
    <w:rsid w:val="00240305"/>
    <w:rsid w:val="0024036F"/>
    <w:rsid w:val="002403C1"/>
    <w:rsid w:val="00240435"/>
    <w:rsid w:val="00240451"/>
    <w:rsid w:val="00240495"/>
    <w:rsid w:val="002404B1"/>
    <w:rsid w:val="0024052B"/>
    <w:rsid w:val="002405AF"/>
    <w:rsid w:val="0024061E"/>
    <w:rsid w:val="00240633"/>
    <w:rsid w:val="002406D4"/>
    <w:rsid w:val="00240760"/>
    <w:rsid w:val="0024077F"/>
    <w:rsid w:val="00240789"/>
    <w:rsid w:val="002407EA"/>
    <w:rsid w:val="0024083C"/>
    <w:rsid w:val="00240851"/>
    <w:rsid w:val="002408FF"/>
    <w:rsid w:val="00240992"/>
    <w:rsid w:val="00240A1F"/>
    <w:rsid w:val="00240A4E"/>
    <w:rsid w:val="00240B29"/>
    <w:rsid w:val="00240C19"/>
    <w:rsid w:val="00240C26"/>
    <w:rsid w:val="00240C46"/>
    <w:rsid w:val="00240C7F"/>
    <w:rsid w:val="00240CB5"/>
    <w:rsid w:val="00240D98"/>
    <w:rsid w:val="00240D9D"/>
    <w:rsid w:val="00240DD7"/>
    <w:rsid w:val="00240DDC"/>
    <w:rsid w:val="00240E17"/>
    <w:rsid w:val="00240E28"/>
    <w:rsid w:val="00240E50"/>
    <w:rsid w:val="00240E53"/>
    <w:rsid w:val="00240E5D"/>
    <w:rsid w:val="00240EEE"/>
    <w:rsid w:val="00240FDD"/>
    <w:rsid w:val="00241011"/>
    <w:rsid w:val="00241078"/>
    <w:rsid w:val="00241094"/>
    <w:rsid w:val="002410D8"/>
    <w:rsid w:val="002411DD"/>
    <w:rsid w:val="0024120F"/>
    <w:rsid w:val="002412B2"/>
    <w:rsid w:val="002412BF"/>
    <w:rsid w:val="0024133A"/>
    <w:rsid w:val="00241405"/>
    <w:rsid w:val="00241474"/>
    <w:rsid w:val="0024148E"/>
    <w:rsid w:val="002414A8"/>
    <w:rsid w:val="0024150E"/>
    <w:rsid w:val="0024153E"/>
    <w:rsid w:val="00241552"/>
    <w:rsid w:val="002415AD"/>
    <w:rsid w:val="002415C1"/>
    <w:rsid w:val="002415EA"/>
    <w:rsid w:val="0024161E"/>
    <w:rsid w:val="00241666"/>
    <w:rsid w:val="0024166A"/>
    <w:rsid w:val="0024176D"/>
    <w:rsid w:val="00241773"/>
    <w:rsid w:val="002417CD"/>
    <w:rsid w:val="002417FE"/>
    <w:rsid w:val="00241812"/>
    <w:rsid w:val="00241847"/>
    <w:rsid w:val="00241869"/>
    <w:rsid w:val="002418AE"/>
    <w:rsid w:val="002418D9"/>
    <w:rsid w:val="0024196D"/>
    <w:rsid w:val="00241980"/>
    <w:rsid w:val="002419CA"/>
    <w:rsid w:val="002419E4"/>
    <w:rsid w:val="002419EC"/>
    <w:rsid w:val="00241A14"/>
    <w:rsid w:val="00241A31"/>
    <w:rsid w:val="00241B05"/>
    <w:rsid w:val="00241B3C"/>
    <w:rsid w:val="00241B6D"/>
    <w:rsid w:val="00241B6E"/>
    <w:rsid w:val="00241C00"/>
    <w:rsid w:val="00241C37"/>
    <w:rsid w:val="00241CF8"/>
    <w:rsid w:val="00241CF9"/>
    <w:rsid w:val="00241D31"/>
    <w:rsid w:val="00241D96"/>
    <w:rsid w:val="00241E09"/>
    <w:rsid w:val="00241E69"/>
    <w:rsid w:val="00241E6B"/>
    <w:rsid w:val="00241E77"/>
    <w:rsid w:val="00241E84"/>
    <w:rsid w:val="00241EA5"/>
    <w:rsid w:val="00241EEA"/>
    <w:rsid w:val="00241F32"/>
    <w:rsid w:val="00241F47"/>
    <w:rsid w:val="00241F4B"/>
    <w:rsid w:val="00241F5B"/>
    <w:rsid w:val="00241FB5"/>
    <w:rsid w:val="00242015"/>
    <w:rsid w:val="00242084"/>
    <w:rsid w:val="0024214D"/>
    <w:rsid w:val="002421D4"/>
    <w:rsid w:val="002421E3"/>
    <w:rsid w:val="002421FD"/>
    <w:rsid w:val="00242372"/>
    <w:rsid w:val="002423AD"/>
    <w:rsid w:val="002423E2"/>
    <w:rsid w:val="00242416"/>
    <w:rsid w:val="0024241A"/>
    <w:rsid w:val="002424A4"/>
    <w:rsid w:val="002424D4"/>
    <w:rsid w:val="00242546"/>
    <w:rsid w:val="00242572"/>
    <w:rsid w:val="002425CB"/>
    <w:rsid w:val="002425E8"/>
    <w:rsid w:val="002425F4"/>
    <w:rsid w:val="0024267B"/>
    <w:rsid w:val="0024267E"/>
    <w:rsid w:val="002426EE"/>
    <w:rsid w:val="0024274E"/>
    <w:rsid w:val="002427AE"/>
    <w:rsid w:val="0024287D"/>
    <w:rsid w:val="0024288F"/>
    <w:rsid w:val="00242890"/>
    <w:rsid w:val="002428E4"/>
    <w:rsid w:val="00242900"/>
    <w:rsid w:val="00242925"/>
    <w:rsid w:val="0024295B"/>
    <w:rsid w:val="00242972"/>
    <w:rsid w:val="002429B9"/>
    <w:rsid w:val="00242A13"/>
    <w:rsid w:val="00242A53"/>
    <w:rsid w:val="00242A8E"/>
    <w:rsid w:val="00242B84"/>
    <w:rsid w:val="00242B88"/>
    <w:rsid w:val="00242C1F"/>
    <w:rsid w:val="00242C3A"/>
    <w:rsid w:val="00242C4D"/>
    <w:rsid w:val="00242C8F"/>
    <w:rsid w:val="00242CB5"/>
    <w:rsid w:val="00242CF2"/>
    <w:rsid w:val="00242D0E"/>
    <w:rsid w:val="00242D24"/>
    <w:rsid w:val="00242D53"/>
    <w:rsid w:val="00242D54"/>
    <w:rsid w:val="00242D60"/>
    <w:rsid w:val="00242D74"/>
    <w:rsid w:val="00242D90"/>
    <w:rsid w:val="00242D95"/>
    <w:rsid w:val="00242DAF"/>
    <w:rsid w:val="00242DBA"/>
    <w:rsid w:val="00242DE2"/>
    <w:rsid w:val="00242E23"/>
    <w:rsid w:val="00242EE7"/>
    <w:rsid w:val="00242F01"/>
    <w:rsid w:val="00242F9D"/>
    <w:rsid w:val="0024301C"/>
    <w:rsid w:val="00243088"/>
    <w:rsid w:val="002430F2"/>
    <w:rsid w:val="00243121"/>
    <w:rsid w:val="00243127"/>
    <w:rsid w:val="002431A5"/>
    <w:rsid w:val="002431B8"/>
    <w:rsid w:val="00243218"/>
    <w:rsid w:val="00243248"/>
    <w:rsid w:val="00243251"/>
    <w:rsid w:val="0024327A"/>
    <w:rsid w:val="00243284"/>
    <w:rsid w:val="002432C6"/>
    <w:rsid w:val="002432E8"/>
    <w:rsid w:val="0024330D"/>
    <w:rsid w:val="0024334B"/>
    <w:rsid w:val="00243352"/>
    <w:rsid w:val="00243417"/>
    <w:rsid w:val="002434C5"/>
    <w:rsid w:val="002434E7"/>
    <w:rsid w:val="00243543"/>
    <w:rsid w:val="002435AE"/>
    <w:rsid w:val="00243657"/>
    <w:rsid w:val="002436BA"/>
    <w:rsid w:val="002436C1"/>
    <w:rsid w:val="002436C8"/>
    <w:rsid w:val="002436E9"/>
    <w:rsid w:val="0024370B"/>
    <w:rsid w:val="0024374C"/>
    <w:rsid w:val="00243848"/>
    <w:rsid w:val="0024387B"/>
    <w:rsid w:val="00243897"/>
    <w:rsid w:val="00243958"/>
    <w:rsid w:val="0024395A"/>
    <w:rsid w:val="002439A5"/>
    <w:rsid w:val="00243A39"/>
    <w:rsid w:val="00243A4B"/>
    <w:rsid w:val="00243AF7"/>
    <w:rsid w:val="00243B2A"/>
    <w:rsid w:val="00243B82"/>
    <w:rsid w:val="00243BD4"/>
    <w:rsid w:val="00243C1E"/>
    <w:rsid w:val="00243C7E"/>
    <w:rsid w:val="00243D24"/>
    <w:rsid w:val="00243D72"/>
    <w:rsid w:val="00243E5E"/>
    <w:rsid w:val="00243ED5"/>
    <w:rsid w:val="00243F09"/>
    <w:rsid w:val="00243F14"/>
    <w:rsid w:val="00243FAD"/>
    <w:rsid w:val="00243FE6"/>
    <w:rsid w:val="0024401B"/>
    <w:rsid w:val="002440AE"/>
    <w:rsid w:val="002440EB"/>
    <w:rsid w:val="002440EE"/>
    <w:rsid w:val="00244106"/>
    <w:rsid w:val="00244126"/>
    <w:rsid w:val="0024419D"/>
    <w:rsid w:val="002441A9"/>
    <w:rsid w:val="002441CC"/>
    <w:rsid w:val="002441E8"/>
    <w:rsid w:val="00244206"/>
    <w:rsid w:val="00244254"/>
    <w:rsid w:val="00244280"/>
    <w:rsid w:val="00244302"/>
    <w:rsid w:val="00244371"/>
    <w:rsid w:val="002443C6"/>
    <w:rsid w:val="00244492"/>
    <w:rsid w:val="002444CC"/>
    <w:rsid w:val="00244500"/>
    <w:rsid w:val="00244517"/>
    <w:rsid w:val="00244689"/>
    <w:rsid w:val="002446D6"/>
    <w:rsid w:val="002446F6"/>
    <w:rsid w:val="002447A2"/>
    <w:rsid w:val="00244812"/>
    <w:rsid w:val="00244890"/>
    <w:rsid w:val="002448A9"/>
    <w:rsid w:val="002448BB"/>
    <w:rsid w:val="002448D8"/>
    <w:rsid w:val="002448E0"/>
    <w:rsid w:val="00244908"/>
    <w:rsid w:val="00244916"/>
    <w:rsid w:val="00244918"/>
    <w:rsid w:val="00244944"/>
    <w:rsid w:val="0024494B"/>
    <w:rsid w:val="002449E6"/>
    <w:rsid w:val="002449E7"/>
    <w:rsid w:val="00244A04"/>
    <w:rsid w:val="00244A0C"/>
    <w:rsid w:val="00244A18"/>
    <w:rsid w:val="00244A55"/>
    <w:rsid w:val="00244A90"/>
    <w:rsid w:val="00244AE6"/>
    <w:rsid w:val="00244AF9"/>
    <w:rsid w:val="00244B21"/>
    <w:rsid w:val="00244B32"/>
    <w:rsid w:val="00244B4F"/>
    <w:rsid w:val="00244B74"/>
    <w:rsid w:val="00244B8A"/>
    <w:rsid w:val="00244BE6"/>
    <w:rsid w:val="00244C13"/>
    <w:rsid w:val="00244C37"/>
    <w:rsid w:val="00244C4E"/>
    <w:rsid w:val="00244C8F"/>
    <w:rsid w:val="00244CA0"/>
    <w:rsid w:val="00244CE4"/>
    <w:rsid w:val="00244CF2"/>
    <w:rsid w:val="00244D02"/>
    <w:rsid w:val="00244D10"/>
    <w:rsid w:val="00244D6F"/>
    <w:rsid w:val="00244DDA"/>
    <w:rsid w:val="00244E5B"/>
    <w:rsid w:val="00244EA4"/>
    <w:rsid w:val="00244F93"/>
    <w:rsid w:val="00244FB9"/>
    <w:rsid w:val="00245010"/>
    <w:rsid w:val="0024501E"/>
    <w:rsid w:val="00245073"/>
    <w:rsid w:val="0024515A"/>
    <w:rsid w:val="0024515C"/>
    <w:rsid w:val="002451FE"/>
    <w:rsid w:val="0024527F"/>
    <w:rsid w:val="002452B9"/>
    <w:rsid w:val="002452D4"/>
    <w:rsid w:val="0024531F"/>
    <w:rsid w:val="00245348"/>
    <w:rsid w:val="00245350"/>
    <w:rsid w:val="00245385"/>
    <w:rsid w:val="002453A7"/>
    <w:rsid w:val="002453AC"/>
    <w:rsid w:val="002453AD"/>
    <w:rsid w:val="00245449"/>
    <w:rsid w:val="00245468"/>
    <w:rsid w:val="00245477"/>
    <w:rsid w:val="002455F0"/>
    <w:rsid w:val="0024563F"/>
    <w:rsid w:val="002456A2"/>
    <w:rsid w:val="0024572C"/>
    <w:rsid w:val="0024573A"/>
    <w:rsid w:val="0024574B"/>
    <w:rsid w:val="00245802"/>
    <w:rsid w:val="00245845"/>
    <w:rsid w:val="00245858"/>
    <w:rsid w:val="0024587C"/>
    <w:rsid w:val="00245899"/>
    <w:rsid w:val="002458B7"/>
    <w:rsid w:val="002458D4"/>
    <w:rsid w:val="002458E8"/>
    <w:rsid w:val="00245955"/>
    <w:rsid w:val="00245981"/>
    <w:rsid w:val="00245A3F"/>
    <w:rsid w:val="00245A53"/>
    <w:rsid w:val="00245A6A"/>
    <w:rsid w:val="00245A96"/>
    <w:rsid w:val="00245AA3"/>
    <w:rsid w:val="00245AB2"/>
    <w:rsid w:val="00245B13"/>
    <w:rsid w:val="00245B53"/>
    <w:rsid w:val="00245B72"/>
    <w:rsid w:val="00245B83"/>
    <w:rsid w:val="00245B85"/>
    <w:rsid w:val="00245B93"/>
    <w:rsid w:val="00245B9A"/>
    <w:rsid w:val="00245C3B"/>
    <w:rsid w:val="00245C71"/>
    <w:rsid w:val="00245D45"/>
    <w:rsid w:val="00245D5D"/>
    <w:rsid w:val="00245D74"/>
    <w:rsid w:val="00245E11"/>
    <w:rsid w:val="00245E27"/>
    <w:rsid w:val="00245F01"/>
    <w:rsid w:val="00245FB2"/>
    <w:rsid w:val="00245FC9"/>
    <w:rsid w:val="00245FFA"/>
    <w:rsid w:val="00246048"/>
    <w:rsid w:val="0024604A"/>
    <w:rsid w:val="002460E5"/>
    <w:rsid w:val="0024611A"/>
    <w:rsid w:val="002461DA"/>
    <w:rsid w:val="002461F4"/>
    <w:rsid w:val="0024623A"/>
    <w:rsid w:val="00246274"/>
    <w:rsid w:val="002462AE"/>
    <w:rsid w:val="002462E9"/>
    <w:rsid w:val="002463AA"/>
    <w:rsid w:val="002463D9"/>
    <w:rsid w:val="002463DC"/>
    <w:rsid w:val="00246491"/>
    <w:rsid w:val="0024652F"/>
    <w:rsid w:val="0024654A"/>
    <w:rsid w:val="0024655B"/>
    <w:rsid w:val="00246573"/>
    <w:rsid w:val="0024658B"/>
    <w:rsid w:val="0024659B"/>
    <w:rsid w:val="002465A7"/>
    <w:rsid w:val="00246646"/>
    <w:rsid w:val="002466A7"/>
    <w:rsid w:val="00246747"/>
    <w:rsid w:val="0024679E"/>
    <w:rsid w:val="002467B5"/>
    <w:rsid w:val="002467D5"/>
    <w:rsid w:val="002467ED"/>
    <w:rsid w:val="00246801"/>
    <w:rsid w:val="00246840"/>
    <w:rsid w:val="00246854"/>
    <w:rsid w:val="002468BD"/>
    <w:rsid w:val="002468D3"/>
    <w:rsid w:val="002468E8"/>
    <w:rsid w:val="00246913"/>
    <w:rsid w:val="00246967"/>
    <w:rsid w:val="002469F4"/>
    <w:rsid w:val="00246A77"/>
    <w:rsid w:val="00246ACE"/>
    <w:rsid w:val="00246AEF"/>
    <w:rsid w:val="00246B19"/>
    <w:rsid w:val="00246B2D"/>
    <w:rsid w:val="00246BDC"/>
    <w:rsid w:val="00246C2B"/>
    <w:rsid w:val="00246D0E"/>
    <w:rsid w:val="00246D40"/>
    <w:rsid w:val="00246DAF"/>
    <w:rsid w:val="00246DFB"/>
    <w:rsid w:val="00246E59"/>
    <w:rsid w:val="00246E61"/>
    <w:rsid w:val="00246EBE"/>
    <w:rsid w:val="00246F29"/>
    <w:rsid w:val="00246FFF"/>
    <w:rsid w:val="0024703C"/>
    <w:rsid w:val="00247090"/>
    <w:rsid w:val="002470CD"/>
    <w:rsid w:val="00247104"/>
    <w:rsid w:val="00247112"/>
    <w:rsid w:val="0024712E"/>
    <w:rsid w:val="00247140"/>
    <w:rsid w:val="00247191"/>
    <w:rsid w:val="002471BC"/>
    <w:rsid w:val="00247201"/>
    <w:rsid w:val="002472F7"/>
    <w:rsid w:val="00247376"/>
    <w:rsid w:val="0024743B"/>
    <w:rsid w:val="0024747A"/>
    <w:rsid w:val="002474DD"/>
    <w:rsid w:val="0024753D"/>
    <w:rsid w:val="002475E2"/>
    <w:rsid w:val="002476D2"/>
    <w:rsid w:val="0024772F"/>
    <w:rsid w:val="00247860"/>
    <w:rsid w:val="00247876"/>
    <w:rsid w:val="0024789F"/>
    <w:rsid w:val="002478AD"/>
    <w:rsid w:val="002478B1"/>
    <w:rsid w:val="002478F2"/>
    <w:rsid w:val="00247947"/>
    <w:rsid w:val="00247968"/>
    <w:rsid w:val="0024796C"/>
    <w:rsid w:val="00247988"/>
    <w:rsid w:val="002479F8"/>
    <w:rsid w:val="00247A36"/>
    <w:rsid w:val="00247A57"/>
    <w:rsid w:val="00247A95"/>
    <w:rsid w:val="00247AA2"/>
    <w:rsid w:val="00247AF3"/>
    <w:rsid w:val="00247B35"/>
    <w:rsid w:val="00247B7A"/>
    <w:rsid w:val="00247B9E"/>
    <w:rsid w:val="00247BC9"/>
    <w:rsid w:val="00247C14"/>
    <w:rsid w:val="00247C6E"/>
    <w:rsid w:val="00247D19"/>
    <w:rsid w:val="00247E94"/>
    <w:rsid w:val="00247F39"/>
    <w:rsid w:val="00247F4E"/>
    <w:rsid w:val="00247F64"/>
    <w:rsid w:val="00247FB7"/>
    <w:rsid w:val="0025000C"/>
    <w:rsid w:val="0025005A"/>
    <w:rsid w:val="0025012F"/>
    <w:rsid w:val="00250161"/>
    <w:rsid w:val="00250183"/>
    <w:rsid w:val="0025018F"/>
    <w:rsid w:val="002501D5"/>
    <w:rsid w:val="00250249"/>
    <w:rsid w:val="0025025D"/>
    <w:rsid w:val="0025031D"/>
    <w:rsid w:val="00250360"/>
    <w:rsid w:val="00250404"/>
    <w:rsid w:val="0025041C"/>
    <w:rsid w:val="00250426"/>
    <w:rsid w:val="00250442"/>
    <w:rsid w:val="00250469"/>
    <w:rsid w:val="0025046E"/>
    <w:rsid w:val="00250485"/>
    <w:rsid w:val="00250510"/>
    <w:rsid w:val="00250569"/>
    <w:rsid w:val="00250599"/>
    <w:rsid w:val="00250604"/>
    <w:rsid w:val="00250653"/>
    <w:rsid w:val="00250684"/>
    <w:rsid w:val="002506F0"/>
    <w:rsid w:val="00250730"/>
    <w:rsid w:val="0025079C"/>
    <w:rsid w:val="002507D5"/>
    <w:rsid w:val="00250820"/>
    <w:rsid w:val="0025082D"/>
    <w:rsid w:val="0025085D"/>
    <w:rsid w:val="002508AB"/>
    <w:rsid w:val="002508C6"/>
    <w:rsid w:val="002508E4"/>
    <w:rsid w:val="00250901"/>
    <w:rsid w:val="0025091B"/>
    <w:rsid w:val="0025095D"/>
    <w:rsid w:val="0025098A"/>
    <w:rsid w:val="002509CB"/>
    <w:rsid w:val="002509D0"/>
    <w:rsid w:val="002509DD"/>
    <w:rsid w:val="00250A25"/>
    <w:rsid w:val="00250A8D"/>
    <w:rsid w:val="00250AC6"/>
    <w:rsid w:val="00250B82"/>
    <w:rsid w:val="00250B94"/>
    <w:rsid w:val="00250BA6"/>
    <w:rsid w:val="00250BC5"/>
    <w:rsid w:val="00250C4E"/>
    <w:rsid w:val="00250C58"/>
    <w:rsid w:val="00250C81"/>
    <w:rsid w:val="00250CB5"/>
    <w:rsid w:val="00250CD9"/>
    <w:rsid w:val="00250CE2"/>
    <w:rsid w:val="00250CE3"/>
    <w:rsid w:val="00250CEE"/>
    <w:rsid w:val="00250D0C"/>
    <w:rsid w:val="00250D80"/>
    <w:rsid w:val="00250D89"/>
    <w:rsid w:val="00250E07"/>
    <w:rsid w:val="00250E1F"/>
    <w:rsid w:val="00250E54"/>
    <w:rsid w:val="00250E5F"/>
    <w:rsid w:val="00250EAB"/>
    <w:rsid w:val="00250EE8"/>
    <w:rsid w:val="00250EEB"/>
    <w:rsid w:val="00250F73"/>
    <w:rsid w:val="00250FB6"/>
    <w:rsid w:val="00250FBC"/>
    <w:rsid w:val="0025100E"/>
    <w:rsid w:val="00251012"/>
    <w:rsid w:val="00251089"/>
    <w:rsid w:val="002510FE"/>
    <w:rsid w:val="002511FC"/>
    <w:rsid w:val="002512B1"/>
    <w:rsid w:val="00251301"/>
    <w:rsid w:val="00251328"/>
    <w:rsid w:val="00251333"/>
    <w:rsid w:val="00251342"/>
    <w:rsid w:val="0025135B"/>
    <w:rsid w:val="002513B0"/>
    <w:rsid w:val="002513FC"/>
    <w:rsid w:val="00251403"/>
    <w:rsid w:val="00251434"/>
    <w:rsid w:val="00251479"/>
    <w:rsid w:val="002514D6"/>
    <w:rsid w:val="00251548"/>
    <w:rsid w:val="00251556"/>
    <w:rsid w:val="00251575"/>
    <w:rsid w:val="0025159C"/>
    <w:rsid w:val="002515A3"/>
    <w:rsid w:val="0025160F"/>
    <w:rsid w:val="00251616"/>
    <w:rsid w:val="002516E2"/>
    <w:rsid w:val="0025170C"/>
    <w:rsid w:val="00251746"/>
    <w:rsid w:val="0025174D"/>
    <w:rsid w:val="00251752"/>
    <w:rsid w:val="002517B5"/>
    <w:rsid w:val="002517CA"/>
    <w:rsid w:val="002518A3"/>
    <w:rsid w:val="002518D5"/>
    <w:rsid w:val="002518EA"/>
    <w:rsid w:val="002518F5"/>
    <w:rsid w:val="0025190A"/>
    <w:rsid w:val="00251911"/>
    <w:rsid w:val="00251974"/>
    <w:rsid w:val="0025198E"/>
    <w:rsid w:val="002519F0"/>
    <w:rsid w:val="00251A0E"/>
    <w:rsid w:val="00251A40"/>
    <w:rsid w:val="00251AB6"/>
    <w:rsid w:val="00251AC0"/>
    <w:rsid w:val="00251AE9"/>
    <w:rsid w:val="00251B7D"/>
    <w:rsid w:val="00251B7E"/>
    <w:rsid w:val="00251BD1"/>
    <w:rsid w:val="00251BE7"/>
    <w:rsid w:val="00251C07"/>
    <w:rsid w:val="00251C7F"/>
    <w:rsid w:val="00251C86"/>
    <w:rsid w:val="00251C87"/>
    <w:rsid w:val="00251CA0"/>
    <w:rsid w:val="00251D87"/>
    <w:rsid w:val="00251E15"/>
    <w:rsid w:val="00251E80"/>
    <w:rsid w:val="00251ED9"/>
    <w:rsid w:val="00251F70"/>
    <w:rsid w:val="00251F75"/>
    <w:rsid w:val="00251F7C"/>
    <w:rsid w:val="00251FE6"/>
    <w:rsid w:val="00251FF6"/>
    <w:rsid w:val="0025203B"/>
    <w:rsid w:val="0025206D"/>
    <w:rsid w:val="0025212E"/>
    <w:rsid w:val="00252157"/>
    <w:rsid w:val="00252180"/>
    <w:rsid w:val="002521D8"/>
    <w:rsid w:val="0025221B"/>
    <w:rsid w:val="00252293"/>
    <w:rsid w:val="00252308"/>
    <w:rsid w:val="0025235A"/>
    <w:rsid w:val="00252362"/>
    <w:rsid w:val="002523A8"/>
    <w:rsid w:val="002523C6"/>
    <w:rsid w:val="0025241B"/>
    <w:rsid w:val="0025244B"/>
    <w:rsid w:val="00252458"/>
    <w:rsid w:val="0025249B"/>
    <w:rsid w:val="002524EF"/>
    <w:rsid w:val="00252500"/>
    <w:rsid w:val="0025252D"/>
    <w:rsid w:val="00252578"/>
    <w:rsid w:val="002525C4"/>
    <w:rsid w:val="002525D6"/>
    <w:rsid w:val="002525E5"/>
    <w:rsid w:val="00252600"/>
    <w:rsid w:val="00252660"/>
    <w:rsid w:val="0025270D"/>
    <w:rsid w:val="00252806"/>
    <w:rsid w:val="00252809"/>
    <w:rsid w:val="00252827"/>
    <w:rsid w:val="0025284C"/>
    <w:rsid w:val="00252865"/>
    <w:rsid w:val="00252890"/>
    <w:rsid w:val="002528FD"/>
    <w:rsid w:val="0025293F"/>
    <w:rsid w:val="002529E0"/>
    <w:rsid w:val="002529EC"/>
    <w:rsid w:val="00252A73"/>
    <w:rsid w:val="00252A78"/>
    <w:rsid w:val="00252ADB"/>
    <w:rsid w:val="00252B50"/>
    <w:rsid w:val="00252B78"/>
    <w:rsid w:val="00252B87"/>
    <w:rsid w:val="00252BAE"/>
    <w:rsid w:val="00252BD6"/>
    <w:rsid w:val="00252BE7"/>
    <w:rsid w:val="00252C39"/>
    <w:rsid w:val="00252CA7"/>
    <w:rsid w:val="00252D5C"/>
    <w:rsid w:val="00252DE6"/>
    <w:rsid w:val="00252E5F"/>
    <w:rsid w:val="00252FBB"/>
    <w:rsid w:val="00252FDB"/>
    <w:rsid w:val="00253008"/>
    <w:rsid w:val="00253049"/>
    <w:rsid w:val="00253103"/>
    <w:rsid w:val="002531D3"/>
    <w:rsid w:val="002531FE"/>
    <w:rsid w:val="0025323F"/>
    <w:rsid w:val="0025326A"/>
    <w:rsid w:val="00253293"/>
    <w:rsid w:val="002532DD"/>
    <w:rsid w:val="0025330F"/>
    <w:rsid w:val="0025338E"/>
    <w:rsid w:val="002533B2"/>
    <w:rsid w:val="00253454"/>
    <w:rsid w:val="0025347D"/>
    <w:rsid w:val="002534B6"/>
    <w:rsid w:val="0025353E"/>
    <w:rsid w:val="00253550"/>
    <w:rsid w:val="00253558"/>
    <w:rsid w:val="00253566"/>
    <w:rsid w:val="00253588"/>
    <w:rsid w:val="002535FE"/>
    <w:rsid w:val="00253630"/>
    <w:rsid w:val="0025366C"/>
    <w:rsid w:val="002536DC"/>
    <w:rsid w:val="002536FF"/>
    <w:rsid w:val="00253702"/>
    <w:rsid w:val="00253711"/>
    <w:rsid w:val="002537AB"/>
    <w:rsid w:val="002537C6"/>
    <w:rsid w:val="002537CD"/>
    <w:rsid w:val="00253800"/>
    <w:rsid w:val="00253877"/>
    <w:rsid w:val="00253885"/>
    <w:rsid w:val="002538F8"/>
    <w:rsid w:val="00253908"/>
    <w:rsid w:val="0025390E"/>
    <w:rsid w:val="00253991"/>
    <w:rsid w:val="002539D6"/>
    <w:rsid w:val="00253A0A"/>
    <w:rsid w:val="00253A28"/>
    <w:rsid w:val="00253A38"/>
    <w:rsid w:val="00253AB7"/>
    <w:rsid w:val="00253B0E"/>
    <w:rsid w:val="00253B26"/>
    <w:rsid w:val="00253B34"/>
    <w:rsid w:val="00253B6C"/>
    <w:rsid w:val="00253B89"/>
    <w:rsid w:val="00253BA5"/>
    <w:rsid w:val="00253BB8"/>
    <w:rsid w:val="00253BF3"/>
    <w:rsid w:val="00253C6D"/>
    <w:rsid w:val="00253C6E"/>
    <w:rsid w:val="00253CB0"/>
    <w:rsid w:val="00253D4E"/>
    <w:rsid w:val="00253D9B"/>
    <w:rsid w:val="00253E21"/>
    <w:rsid w:val="00253EFE"/>
    <w:rsid w:val="00253F28"/>
    <w:rsid w:val="00253F43"/>
    <w:rsid w:val="00253F73"/>
    <w:rsid w:val="00254015"/>
    <w:rsid w:val="00254079"/>
    <w:rsid w:val="00254095"/>
    <w:rsid w:val="00254124"/>
    <w:rsid w:val="00254127"/>
    <w:rsid w:val="00254161"/>
    <w:rsid w:val="0025416A"/>
    <w:rsid w:val="00254195"/>
    <w:rsid w:val="002541A4"/>
    <w:rsid w:val="002542E2"/>
    <w:rsid w:val="002542EB"/>
    <w:rsid w:val="00254318"/>
    <w:rsid w:val="0025435C"/>
    <w:rsid w:val="002543FF"/>
    <w:rsid w:val="00254426"/>
    <w:rsid w:val="0025448E"/>
    <w:rsid w:val="002544AF"/>
    <w:rsid w:val="00254516"/>
    <w:rsid w:val="0025455C"/>
    <w:rsid w:val="00254630"/>
    <w:rsid w:val="00254658"/>
    <w:rsid w:val="00254663"/>
    <w:rsid w:val="00254695"/>
    <w:rsid w:val="00254742"/>
    <w:rsid w:val="00254770"/>
    <w:rsid w:val="002547C0"/>
    <w:rsid w:val="002547CC"/>
    <w:rsid w:val="002547F5"/>
    <w:rsid w:val="00254804"/>
    <w:rsid w:val="0025485B"/>
    <w:rsid w:val="00254871"/>
    <w:rsid w:val="0025493D"/>
    <w:rsid w:val="00254976"/>
    <w:rsid w:val="0025498C"/>
    <w:rsid w:val="00254A5F"/>
    <w:rsid w:val="00254AEA"/>
    <w:rsid w:val="00254B2E"/>
    <w:rsid w:val="00254B67"/>
    <w:rsid w:val="00254B6B"/>
    <w:rsid w:val="00254B8B"/>
    <w:rsid w:val="00254BC4"/>
    <w:rsid w:val="00254BC8"/>
    <w:rsid w:val="00254BF1"/>
    <w:rsid w:val="00254BFE"/>
    <w:rsid w:val="00254BFF"/>
    <w:rsid w:val="00254C73"/>
    <w:rsid w:val="00254C77"/>
    <w:rsid w:val="00254CCC"/>
    <w:rsid w:val="00254CE1"/>
    <w:rsid w:val="00254CFE"/>
    <w:rsid w:val="00254D51"/>
    <w:rsid w:val="00254D96"/>
    <w:rsid w:val="00254E33"/>
    <w:rsid w:val="00254E5B"/>
    <w:rsid w:val="00254EA5"/>
    <w:rsid w:val="00254EC2"/>
    <w:rsid w:val="00254EDE"/>
    <w:rsid w:val="00254EE4"/>
    <w:rsid w:val="00254F55"/>
    <w:rsid w:val="00254F5C"/>
    <w:rsid w:val="00254F90"/>
    <w:rsid w:val="00254FD0"/>
    <w:rsid w:val="00255070"/>
    <w:rsid w:val="002550E8"/>
    <w:rsid w:val="0025517D"/>
    <w:rsid w:val="002551A6"/>
    <w:rsid w:val="002551AF"/>
    <w:rsid w:val="002551E9"/>
    <w:rsid w:val="0025522E"/>
    <w:rsid w:val="00255234"/>
    <w:rsid w:val="00255236"/>
    <w:rsid w:val="002552B2"/>
    <w:rsid w:val="002552F2"/>
    <w:rsid w:val="0025531C"/>
    <w:rsid w:val="0025535A"/>
    <w:rsid w:val="00255435"/>
    <w:rsid w:val="002554BA"/>
    <w:rsid w:val="00255523"/>
    <w:rsid w:val="00255625"/>
    <w:rsid w:val="00255678"/>
    <w:rsid w:val="00255687"/>
    <w:rsid w:val="00255770"/>
    <w:rsid w:val="00255775"/>
    <w:rsid w:val="002557F3"/>
    <w:rsid w:val="0025581D"/>
    <w:rsid w:val="00255836"/>
    <w:rsid w:val="0025588D"/>
    <w:rsid w:val="0025589E"/>
    <w:rsid w:val="00255901"/>
    <w:rsid w:val="00255906"/>
    <w:rsid w:val="00255932"/>
    <w:rsid w:val="002559BF"/>
    <w:rsid w:val="002559EB"/>
    <w:rsid w:val="00255A16"/>
    <w:rsid w:val="00255A2E"/>
    <w:rsid w:val="00255A32"/>
    <w:rsid w:val="00255AEE"/>
    <w:rsid w:val="00255B11"/>
    <w:rsid w:val="00255B3C"/>
    <w:rsid w:val="00255B4E"/>
    <w:rsid w:val="00255B65"/>
    <w:rsid w:val="00255BB8"/>
    <w:rsid w:val="00255C3A"/>
    <w:rsid w:val="00255C57"/>
    <w:rsid w:val="00255C67"/>
    <w:rsid w:val="00255CA2"/>
    <w:rsid w:val="00255CAA"/>
    <w:rsid w:val="00255D1D"/>
    <w:rsid w:val="00255D36"/>
    <w:rsid w:val="00255DE7"/>
    <w:rsid w:val="00255E1C"/>
    <w:rsid w:val="00255E3A"/>
    <w:rsid w:val="00255ED5"/>
    <w:rsid w:val="00255F03"/>
    <w:rsid w:val="00255FA0"/>
    <w:rsid w:val="00255FD5"/>
    <w:rsid w:val="00256002"/>
    <w:rsid w:val="0025600A"/>
    <w:rsid w:val="00256095"/>
    <w:rsid w:val="0025610D"/>
    <w:rsid w:val="00256113"/>
    <w:rsid w:val="002561EB"/>
    <w:rsid w:val="00256207"/>
    <w:rsid w:val="0025623C"/>
    <w:rsid w:val="0025626C"/>
    <w:rsid w:val="002562C9"/>
    <w:rsid w:val="002562D4"/>
    <w:rsid w:val="002562E7"/>
    <w:rsid w:val="0025634F"/>
    <w:rsid w:val="00256381"/>
    <w:rsid w:val="002563DB"/>
    <w:rsid w:val="00256447"/>
    <w:rsid w:val="002564C6"/>
    <w:rsid w:val="00256510"/>
    <w:rsid w:val="00256556"/>
    <w:rsid w:val="00256580"/>
    <w:rsid w:val="00256595"/>
    <w:rsid w:val="0025659E"/>
    <w:rsid w:val="002565CA"/>
    <w:rsid w:val="002565E7"/>
    <w:rsid w:val="002565EC"/>
    <w:rsid w:val="002566F3"/>
    <w:rsid w:val="00256708"/>
    <w:rsid w:val="0025671E"/>
    <w:rsid w:val="00256736"/>
    <w:rsid w:val="00256771"/>
    <w:rsid w:val="00256791"/>
    <w:rsid w:val="002567A3"/>
    <w:rsid w:val="002567C3"/>
    <w:rsid w:val="00256812"/>
    <w:rsid w:val="00256846"/>
    <w:rsid w:val="00256941"/>
    <w:rsid w:val="002569A0"/>
    <w:rsid w:val="00256A46"/>
    <w:rsid w:val="00256A48"/>
    <w:rsid w:val="00256A4A"/>
    <w:rsid w:val="00256A95"/>
    <w:rsid w:val="00256AD6"/>
    <w:rsid w:val="00256AE0"/>
    <w:rsid w:val="00256AE8"/>
    <w:rsid w:val="00256B28"/>
    <w:rsid w:val="00256B80"/>
    <w:rsid w:val="00256BA3"/>
    <w:rsid w:val="00256BBA"/>
    <w:rsid w:val="00256BC9"/>
    <w:rsid w:val="00256C07"/>
    <w:rsid w:val="00256C0C"/>
    <w:rsid w:val="00256C1E"/>
    <w:rsid w:val="00256C42"/>
    <w:rsid w:val="00256C6B"/>
    <w:rsid w:val="00256CB5"/>
    <w:rsid w:val="00256D1E"/>
    <w:rsid w:val="00256D2A"/>
    <w:rsid w:val="00256D46"/>
    <w:rsid w:val="00256D73"/>
    <w:rsid w:val="00256E47"/>
    <w:rsid w:val="00256E4A"/>
    <w:rsid w:val="00256E68"/>
    <w:rsid w:val="00256E71"/>
    <w:rsid w:val="00256F02"/>
    <w:rsid w:val="00256F8C"/>
    <w:rsid w:val="00257078"/>
    <w:rsid w:val="002570CD"/>
    <w:rsid w:val="0025710E"/>
    <w:rsid w:val="0025710F"/>
    <w:rsid w:val="00257227"/>
    <w:rsid w:val="00257229"/>
    <w:rsid w:val="0025723D"/>
    <w:rsid w:val="00257255"/>
    <w:rsid w:val="002572BF"/>
    <w:rsid w:val="002572EE"/>
    <w:rsid w:val="00257304"/>
    <w:rsid w:val="00257321"/>
    <w:rsid w:val="0025738F"/>
    <w:rsid w:val="00257467"/>
    <w:rsid w:val="002574B8"/>
    <w:rsid w:val="002574C0"/>
    <w:rsid w:val="00257501"/>
    <w:rsid w:val="00257507"/>
    <w:rsid w:val="0025758A"/>
    <w:rsid w:val="002575B1"/>
    <w:rsid w:val="002575EF"/>
    <w:rsid w:val="00257601"/>
    <w:rsid w:val="0025761B"/>
    <w:rsid w:val="00257636"/>
    <w:rsid w:val="00257654"/>
    <w:rsid w:val="0025765D"/>
    <w:rsid w:val="0025768D"/>
    <w:rsid w:val="0025772B"/>
    <w:rsid w:val="00257740"/>
    <w:rsid w:val="00257741"/>
    <w:rsid w:val="00257761"/>
    <w:rsid w:val="00257770"/>
    <w:rsid w:val="0025779C"/>
    <w:rsid w:val="002577CB"/>
    <w:rsid w:val="002577F0"/>
    <w:rsid w:val="002577F1"/>
    <w:rsid w:val="0025789A"/>
    <w:rsid w:val="00257926"/>
    <w:rsid w:val="00257935"/>
    <w:rsid w:val="0025794D"/>
    <w:rsid w:val="002579F1"/>
    <w:rsid w:val="00257A4F"/>
    <w:rsid w:val="00257A63"/>
    <w:rsid w:val="00257A74"/>
    <w:rsid w:val="00257A7E"/>
    <w:rsid w:val="00257A99"/>
    <w:rsid w:val="00257BDB"/>
    <w:rsid w:val="00257BFD"/>
    <w:rsid w:val="00257C22"/>
    <w:rsid w:val="00257C78"/>
    <w:rsid w:val="00257C7C"/>
    <w:rsid w:val="00257CB6"/>
    <w:rsid w:val="00257D02"/>
    <w:rsid w:val="00257D8C"/>
    <w:rsid w:val="00257E3B"/>
    <w:rsid w:val="00257E71"/>
    <w:rsid w:val="00257E91"/>
    <w:rsid w:val="00257F2D"/>
    <w:rsid w:val="00257F87"/>
    <w:rsid w:val="00257F9F"/>
    <w:rsid w:val="00257FA3"/>
    <w:rsid w:val="0026000B"/>
    <w:rsid w:val="0026010E"/>
    <w:rsid w:val="00260136"/>
    <w:rsid w:val="00260166"/>
    <w:rsid w:val="0026018D"/>
    <w:rsid w:val="002601CE"/>
    <w:rsid w:val="00260224"/>
    <w:rsid w:val="002602B3"/>
    <w:rsid w:val="002602E4"/>
    <w:rsid w:val="002602F1"/>
    <w:rsid w:val="0026033F"/>
    <w:rsid w:val="00260399"/>
    <w:rsid w:val="002603CE"/>
    <w:rsid w:val="0026049A"/>
    <w:rsid w:val="0026050E"/>
    <w:rsid w:val="00260511"/>
    <w:rsid w:val="00260531"/>
    <w:rsid w:val="00260575"/>
    <w:rsid w:val="0026057C"/>
    <w:rsid w:val="002605A5"/>
    <w:rsid w:val="002605AC"/>
    <w:rsid w:val="00260602"/>
    <w:rsid w:val="00260611"/>
    <w:rsid w:val="00260648"/>
    <w:rsid w:val="00260661"/>
    <w:rsid w:val="0026079D"/>
    <w:rsid w:val="002607A3"/>
    <w:rsid w:val="0026085E"/>
    <w:rsid w:val="00260908"/>
    <w:rsid w:val="00260974"/>
    <w:rsid w:val="002609BB"/>
    <w:rsid w:val="00260A06"/>
    <w:rsid w:val="00260A44"/>
    <w:rsid w:val="00260A56"/>
    <w:rsid w:val="00260B21"/>
    <w:rsid w:val="00260B48"/>
    <w:rsid w:val="00260BE2"/>
    <w:rsid w:val="00260C2B"/>
    <w:rsid w:val="00260C2D"/>
    <w:rsid w:val="00260CAD"/>
    <w:rsid w:val="00260D11"/>
    <w:rsid w:val="00260D33"/>
    <w:rsid w:val="00260D38"/>
    <w:rsid w:val="00260D82"/>
    <w:rsid w:val="00260D98"/>
    <w:rsid w:val="00260DA1"/>
    <w:rsid w:val="00260DA8"/>
    <w:rsid w:val="00260E12"/>
    <w:rsid w:val="00260E6C"/>
    <w:rsid w:val="00260E80"/>
    <w:rsid w:val="00260E91"/>
    <w:rsid w:val="00260EB7"/>
    <w:rsid w:val="00260EFA"/>
    <w:rsid w:val="00260F60"/>
    <w:rsid w:val="00260FED"/>
    <w:rsid w:val="00261029"/>
    <w:rsid w:val="00261086"/>
    <w:rsid w:val="00261117"/>
    <w:rsid w:val="00261125"/>
    <w:rsid w:val="0026112A"/>
    <w:rsid w:val="00261163"/>
    <w:rsid w:val="0026126F"/>
    <w:rsid w:val="002612DB"/>
    <w:rsid w:val="00261331"/>
    <w:rsid w:val="0026137E"/>
    <w:rsid w:val="0026138D"/>
    <w:rsid w:val="002613A5"/>
    <w:rsid w:val="0026145E"/>
    <w:rsid w:val="0026148A"/>
    <w:rsid w:val="00261547"/>
    <w:rsid w:val="002616F2"/>
    <w:rsid w:val="00261709"/>
    <w:rsid w:val="00261737"/>
    <w:rsid w:val="002617CD"/>
    <w:rsid w:val="00261813"/>
    <w:rsid w:val="0026182E"/>
    <w:rsid w:val="00261888"/>
    <w:rsid w:val="00261889"/>
    <w:rsid w:val="0026188F"/>
    <w:rsid w:val="002618F7"/>
    <w:rsid w:val="00261940"/>
    <w:rsid w:val="00261950"/>
    <w:rsid w:val="00261966"/>
    <w:rsid w:val="0026196D"/>
    <w:rsid w:val="00261980"/>
    <w:rsid w:val="0026199D"/>
    <w:rsid w:val="00261A11"/>
    <w:rsid w:val="00261A1C"/>
    <w:rsid w:val="00261A38"/>
    <w:rsid w:val="00261A55"/>
    <w:rsid w:val="00261AB8"/>
    <w:rsid w:val="00261C33"/>
    <w:rsid w:val="00261C55"/>
    <w:rsid w:val="00261C5A"/>
    <w:rsid w:val="00261C92"/>
    <w:rsid w:val="00261D25"/>
    <w:rsid w:val="00261D2F"/>
    <w:rsid w:val="00261D9A"/>
    <w:rsid w:val="00261DAD"/>
    <w:rsid w:val="00261DDB"/>
    <w:rsid w:val="00261DE8"/>
    <w:rsid w:val="00261E07"/>
    <w:rsid w:val="00261EB4"/>
    <w:rsid w:val="00261EC8"/>
    <w:rsid w:val="00261EF6"/>
    <w:rsid w:val="00261FA3"/>
    <w:rsid w:val="00262049"/>
    <w:rsid w:val="0026204B"/>
    <w:rsid w:val="00262075"/>
    <w:rsid w:val="002620F1"/>
    <w:rsid w:val="0026216D"/>
    <w:rsid w:val="00262219"/>
    <w:rsid w:val="00262258"/>
    <w:rsid w:val="0026228A"/>
    <w:rsid w:val="002622B6"/>
    <w:rsid w:val="00262307"/>
    <w:rsid w:val="00262373"/>
    <w:rsid w:val="002623FA"/>
    <w:rsid w:val="00262439"/>
    <w:rsid w:val="0026248F"/>
    <w:rsid w:val="00262505"/>
    <w:rsid w:val="00262568"/>
    <w:rsid w:val="0026256C"/>
    <w:rsid w:val="00262582"/>
    <w:rsid w:val="00262645"/>
    <w:rsid w:val="00262662"/>
    <w:rsid w:val="0026266B"/>
    <w:rsid w:val="0026269E"/>
    <w:rsid w:val="0026276C"/>
    <w:rsid w:val="00262787"/>
    <w:rsid w:val="002627C2"/>
    <w:rsid w:val="002627E7"/>
    <w:rsid w:val="002627EE"/>
    <w:rsid w:val="00262859"/>
    <w:rsid w:val="002628AC"/>
    <w:rsid w:val="002628B3"/>
    <w:rsid w:val="002628CD"/>
    <w:rsid w:val="00262903"/>
    <w:rsid w:val="00262925"/>
    <w:rsid w:val="002629A9"/>
    <w:rsid w:val="00262A08"/>
    <w:rsid w:val="00262A13"/>
    <w:rsid w:val="00262A19"/>
    <w:rsid w:val="00262A21"/>
    <w:rsid w:val="00262A8A"/>
    <w:rsid w:val="00262AE5"/>
    <w:rsid w:val="00262AFF"/>
    <w:rsid w:val="00262B62"/>
    <w:rsid w:val="00262B8C"/>
    <w:rsid w:val="00262BF9"/>
    <w:rsid w:val="00262C5E"/>
    <w:rsid w:val="00262DCA"/>
    <w:rsid w:val="00262DE7"/>
    <w:rsid w:val="00262DED"/>
    <w:rsid w:val="00262E43"/>
    <w:rsid w:val="00262E50"/>
    <w:rsid w:val="00262F2E"/>
    <w:rsid w:val="00262FA0"/>
    <w:rsid w:val="00263088"/>
    <w:rsid w:val="00263096"/>
    <w:rsid w:val="002630AB"/>
    <w:rsid w:val="0026315B"/>
    <w:rsid w:val="00263177"/>
    <w:rsid w:val="00263184"/>
    <w:rsid w:val="002631ED"/>
    <w:rsid w:val="0026321A"/>
    <w:rsid w:val="0026323A"/>
    <w:rsid w:val="0026326B"/>
    <w:rsid w:val="002632AD"/>
    <w:rsid w:val="00263334"/>
    <w:rsid w:val="00263346"/>
    <w:rsid w:val="00263352"/>
    <w:rsid w:val="00263372"/>
    <w:rsid w:val="002633BB"/>
    <w:rsid w:val="002633E9"/>
    <w:rsid w:val="00263410"/>
    <w:rsid w:val="002634B7"/>
    <w:rsid w:val="0026350E"/>
    <w:rsid w:val="0026355C"/>
    <w:rsid w:val="0026356D"/>
    <w:rsid w:val="002635A1"/>
    <w:rsid w:val="002635D4"/>
    <w:rsid w:val="002635DC"/>
    <w:rsid w:val="00263653"/>
    <w:rsid w:val="0026369F"/>
    <w:rsid w:val="00263721"/>
    <w:rsid w:val="0026379E"/>
    <w:rsid w:val="00263888"/>
    <w:rsid w:val="002638D2"/>
    <w:rsid w:val="002638F2"/>
    <w:rsid w:val="0026392A"/>
    <w:rsid w:val="0026396A"/>
    <w:rsid w:val="00263980"/>
    <w:rsid w:val="00263996"/>
    <w:rsid w:val="002639DF"/>
    <w:rsid w:val="002639E4"/>
    <w:rsid w:val="00263A37"/>
    <w:rsid w:val="00263A43"/>
    <w:rsid w:val="00263A5D"/>
    <w:rsid w:val="00263AB3"/>
    <w:rsid w:val="00263AD0"/>
    <w:rsid w:val="00263AF5"/>
    <w:rsid w:val="00263B83"/>
    <w:rsid w:val="00263B95"/>
    <w:rsid w:val="00263BF3"/>
    <w:rsid w:val="00263C47"/>
    <w:rsid w:val="00263C6F"/>
    <w:rsid w:val="00263CB5"/>
    <w:rsid w:val="00263D0A"/>
    <w:rsid w:val="00263D44"/>
    <w:rsid w:val="00263DB6"/>
    <w:rsid w:val="00263E1A"/>
    <w:rsid w:val="00263E7D"/>
    <w:rsid w:val="00263E88"/>
    <w:rsid w:val="00263F60"/>
    <w:rsid w:val="00263FB2"/>
    <w:rsid w:val="00263FD8"/>
    <w:rsid w:val="002640C4"/>
    <w:rsid w:val="00264138"/>
    <w:rsid w:val="00264161"/>
    <w:rsid w:val="002641A0"/>
    <w:rsid w:val="002641A9"/>
    <w:rsid w:val="002641E1"/>
    <w:rsid w:val="002641E8"/>
    <w:rsid w:val="002641FD"/>
    <w:rsid w:val="00264338"/>
    <w:rsid w:val="00264352"/>
    <w:rsid w:val="0026438E"/>
    <w:rsid w:val="00264404"/>
    <w:rsid w:val="00264436"/>
    <w:rsid w:val="002644C5"/>
    <w:rsid w:val="002644D1"/>
    <w:rsid w:val="002644E2"/>
    <w:rsid w:val="00264513"/>
    <w:rsid w:val="00264527"/>
    <w:rsid w:val="00264571"/>
    <w:rsid w:val="002645D6"/>
    <w:rsid w:val="0026461D"/>
    <w:rsid w:val="00264651"/>
    <w:rsid w:val="002646B3"/>
    <w:rsid w:val="0026479B"/>
    <w:rsid w:val="002647B5"/>
    <w:rsid w:val="00264821"/>
    <w:rsid w:val="00264867"/>
    <w:rsid w:val="002648B6"/>
    <w:rsid w:val="002648C9"/>
    <w:rsid w:val="00264A17"/>
    <w:rsid w:val="00264AAA"/>
    <w:rsid w:val="00264AB5"/>
    <w:rsid w:val="00264ABE"/>
    <w:rsid w:val="00264AD2"/>
    <w:rsid w:val="00264AE4"/>
    <w:rsid w:val="00264AEF"/>
    <w:rsid w:val="00264B24"/>
    <w:rsid w:val="00264B36"/>
    <w:rsid w:val="00264B7B"/>
    <w:rsid w:val="00264C17"/>
    <w:rsid w:val="00264C5B"/>
    <w:rsid w:val="00264C8B"/>
    <w:rsid w:val="00264CC6"/>
    <w:rsid w:val="00264DAE"/>
    <w:rsid w:val="00264DF3"/>
    <w:rsid w:val="00264DFB"/>
    <w:rsid w:val="00264E02"/>
    <w:rsid w:val="00264E06"/>
    <w:rsid w:val="00264E22"/>
    <w:rsid w:val="00264E46"/>
    <w:rsid w:val="00264EA5"/>
    <w:rsid w:val="00264EC1"/>
    <w:rsid w:val="00264F3F"/>
    <w:rsid w:val="00264F43"/>
    <w:rsid w:val="00264FDD"/>
    <w:rsid w:val="00265036"/>
    <w:rsid w:val="002650A2"/>
    <w:rsid w:val="002650CD"/>
    <w:rsid w:val="00265101"/>
    <w:rsid w:val="0026511C"/>
    <w:rsid w:val="0026519E"/>
    <w:rsid w:val="002651D7"/>
    <w:rsid w:val="00265299"/>
    <w:rsid w:val="0026539A"/>
    <w:rsid w:val="002653B6"/>
    <w:rsid w:val="00265404"/>
    <w:rsid w:val="00265420"/>
    <w:rsid w:val="0026548D"/>
    <w:rsid w:val="0026553D"/>
    <w:rsid w:val="002655C7"/>
    <w:rsid w:val="002655DA"/>
    <w:rsid w:val="00265619"/>
    <w:rsid w:val="0026562D"/>
    <w:rsid w:val="00265654"/>
    <w:rsid w:val="00265667"/>
    <w:rsid w:val="00265674"/>
    <w:rsid w:val="00265682"/>
    <w:rsid w:val="0026570E"/>
    <w:rsid w:val="0026575B"/>
    <w:rsid w:val="002657E8"/>
    <w:rsid w:val="002657EA"/>
    <w:rsid w:val="00265898"/>
    <w:rsid w:val="002658AB"/>
    <w:rsid w:val="00265906"/>
    <w:rsid w:val="0026593D"/>
    <w:rsid w:val="002659C7"/>
    <w:rsid w:val="002659FC"/>
    <w:rsid w:val="00265A22"/>
    <w:rsid w:val="00265A26"/>
    <w:rsid w:val="00265A28"/>
    <w:rsid w:val="00265A85"/>
    <w:rsid w:val="00265AA7"/>
    <w:rsid w:val="00265AC7"/>
    <w:rsid w:val="00265AEC"/>
    <w:rsid w:val="00265AF5"/>
    <w:rsid w:val="00265B05"/>
    <w:rsid w:val="00265B07"/>
    <w:rsid w:val="00265B10"/>
    <w:rsid w:val="00265BC1"/>
    <w:rsid w:val="00265C2C"/>
    <w:rsid w:val="00265C45"/>
    <w:rsid w:val="00265C62"/>
    <w:rsid w:val="00265C72"/>
    <w:rsid w:val="00265C80"/>
    <w:rsid w:val="00265CB5"/>
    <w:rsid w:val="00265CB7"/>
    <w:rsid w:val="00265CCD"/>
    <w:rsid w:val="00265D74"/>
    <w:rsid w:val="00265DC9"/>
    <w:rsid w:val="00265E4F"/>
    <w:rsid w:val="00265E8F"/>
    <w:rsid w:val="00265F08"/>
    <w:rsid w:val="00265F13"/>
    <w:rsid w:val="00265F4E"/>
    <w:rsid w:val="00265FE2"/>
    <w:rsid w:val="00266019"/>
    <w:rsid w:val="00266026"/>
    <w:rsid w:val="002660AF"/>
    <w:rsid w:val="002661BA"/>
    <w:rsid w:val="002661CD"/>
    <w:rsid w:val="002661FC"/>
    <w:rsid w:val="0026622C"/>
    <w:rsid w:val="00266288"/>
    <w:rsid w:val="00266294"/>
    <w:rsid w:val="002662EF"/>
    <w:rsid w:val="00266310"/>
    <w:rsid w:val="00266386"/>
    <w:rsid w:val="002663A8"/>
    <w:rsid w:val="002663AD"/>
    <w:rsid w:val="00266433"/>
    <w:rsid w:val="00266455"/>
    <w:rsid w:val="002664CB"/>
    <w:rsid w:val="0026652B"/>
    <w:rsid w:val="00266652"/>
    <w:rsid w:val="002666F6"/>
    <w:rsid w:val="00266843"/>
    <w:rsid w:val="00266868"/>
    <w:rsid w:val="002668BE"/>
    <w:rsid w:val="0026692E"/>
    <w:rsid w:val="0026693F"/>
    <w:rsid w:val="00266957"/>
    <w:rsid w:val="0026698C"/>
    <w:rsid w:val="002669A5"/>
    <w:rsid w:val="00266A07"/>
    <w:rsid w:val="00266A56"/>
    <w:rsid w:val="00266B1A"/>
    <w:rsid w:val="00266B63"/>
    <w:rsid w:val="00266BB1"/>
    <w:rsid w:val="00266C06"/>
    <w:rsid w:val="00266C67"/>
    <w:rsid w:val="00266C6B"/>
    <w:rsid w:val="00266D27"/>
    <w:rsid w:val="00266D7A"/>
    <w:rsid w:val="00266D94"/>
    <w:rsid w:val="00266DFC"/>
    <w:rsid w:val="00266E33"/>
    <w:rsid w:val="00266E45"/>
    <w:rsid w:val="00266E47"/>
    <w:rsid w:val="00266F18"/>
    <w:rsid w:val="00266F99"/>
    <w:rsid w:val="0026700D"/>
    <w:rsid w:val="0026704F"/>
    <w:rsid w:val="00267115"/>
    <w:rsid w:val="00267117"/>
    <w:rsid w:val="00267188"/>
    <w:rsid w:val="002671AE"/>
    <w:rsid w:val="002671D4"/>
    <w:rsid w:val="002671D5"/>
    <w:rsid w:val="00267204"/>
    <w:rsid w:val="002672EA"/>
    <w:rsid w:val="002672F0"/>
    <w:rsid w:val="002672F6"/>
    <w:rsid w:val="002672FA"/>
    <w:rsid w:val="00267315"/>
    <w:rsid w:val="00267321"/>
    <w:rsid w:val="0026733D"/>
    <w:rsid w:val="00267349"/>
    <w:rsid w:val="00267367"/>
    <w:rsid w:val="0026737D"/>
    <w:rsid w:val="0026741E"/>
    <w:rsid w:val="002674DC"/>
    <w:rsid w:val="00267559"/>
    <w:rsid w:val="002675B7"/>
    <w:rsid w:val="002675D2"/>
    <w:rsid w:val="00267607"/>
    <w:rsid w:val="00267612"/>
    <w:rsid w:val="0026764F"/>
    <w:rsid w:val="00267693"/>
    <w:rsid w:val="002676B1"/>
    <w:rsid w:val="002676B5"/>
    <w:rsid w:val="002676B6"/>
    <w:rsid w:val="002676C7"/>
    <w:rsid w:val="0026770E"/>
    <w:rsid w:val="00267780"/>
    <w:rsid w:val="00267794"/>
    <w:rsid w:val="002677A4"/>
    <w:rsid w:val="002677E3"/>
    <w:rsid w:val="002677FC"/>
    <w:rsid w:val="0026781F"/>
    <w:rsid w:val="00267836"/>
    <w:rsid w:val="002678FC"/>
    <w:rsid w:val="0026793B"/>
    <w:rsid w:val="0026794D"/>
    <w:rsid w:val="002679A6"/>
    <w:rsid w:val="002679B6"/>
    <w:rsid w:val="00267A35"/>
    <w:rsid w:val="00267B5D"/>
    <w:rsid w:val="00267B85"/>
    <w:rsid w:val="00267BC7"/>
    <w:rsid w:val="00267C66"/>
    <w:rsid w:val="00267C6F"/>
    <w:rsid w:val="00267C87"/>
    <w:rsid w:val="00267C9A"/>
    <w:rsid w:val="00267D00"/>
    <w:rsid w:val="00267D44"/>
    <w:rsid w:val="00267D7B"/>
    <w:rsid w:val="00267D8B"/>
    <w:rsid w:val="00267DC3"/>
    <w:rsid w:val="00267E53"/>
    <w:rsid w:val="00267EEF"/>
    <w:rsid w:val="00267F58"/>
    <w:rsid w:val="00267F74"/>
    <w:rsid w:val="00267FA8"/>
    <w:rsid w:val="0027004C"/>
    <w:rsid w:val="0027006A"/>
    <w:rsid w:val="00270093"/>
    <w:rsid w:val="0027011E"/>
    <w:rsid w:val="00270130"/>
    <w:rsid w:val="00270188"/>
    <w:rsid w:val="0027021E"/>
    <w:rsid w:val="00270262"/>
    <w:rsid w:val="00270347"/>
    <w:rsid w:val="002703BD"/>
    <w:rsid w:val="002703F3"/>
    <w:rsid w:val="00270428"/>
    <w:rsid w:val="00270466"/>
    <w:rsid w:val="00270480"/>
    <w:rsid w:val="00270490"/>
    <w:rsid w:val="0027049B"/>
    <w:rsid w:val="0027054E"/>
    <w:rsid w:val="00270558"/>
    <w:rsid w:val="002705BF"/>
    <w:rsid w:val="00270607"/>
    <w:rsid w:val="00270614"/>
    <w:rsid w:val="00270640"/>
    <w:rsid w:val="002706A5"/>
    <w:rsid w:val="002706B8"/>
    <w:rsid w:val="002706BF"/>
    <w:rsid w:val="002706F3"/>
    <w:rsid w:val="00270700"/>
    <w:rsid w:val="0027076B"/>
    <w:rsid w:val="00270783"/>
    <w:rsid w:val="002707C5"/>
    <w:rsid w:val="00270863"/>
    <w:rsid w:val="002708FC"/>
    <w:rsid w:val="0027094C"/>
    <w:rsid w:val="002709B0"/>
    <w:rsid w:val="002709C8"/>
    <w:rsid w:val="002709D2"/>
    <w:rsid w:val="002709D4"/>
    <w:rsid w:val="002709E2"/>
    <w:rsid w:val="00270A13"/>
    <w:rsid w:val="00270A4A"/>
    <w:rsid w:val="00270A8A"/>
    <w:rsid w:val="00270AD8"/>
    <w:rsid w:val="00270BA2"/>
    <w:rsid w:val="00270C36"/>
    <w:rsid w:val="00270C5A"/>
    <w:rsid w:val="00270C76"/>
    <w:rsid w:val="00270CAE"/>
    <w:rsid w:val="00270CE8"/>
    <w:rsid w:val="00270CF6"/>
    <w:rsid w:val="00270CFA"/>
    <w:rsid w:val="00270D67"/>
    <w:rsid w:val="00270DE4"/>
    <w:rsid w:val="00270E41"/>
    <w:rsid w:val="00270EEF"/>
    <w:rsid w:val="00270EFA"/>
    <w:rsid w:val="00270EFF"/>
    <w:rsid w:val="00270F44"/>
    <w:rsid w:val="00270F61"/>
    <w:rsid w:val="00270FB0"/>
    <w:rsid w:val="00270FBC"/>
    <w:rsid w:val="0027102B"/>
    <w:rsid w:val="002710BF"/>
    <w:rsid w:val="002711A8"/>
    <w:rsid w:val="002712BE"/>
    <w:rsid w:val="002713C3"/>
    <w:rsid w:val="002713DD"/>
    <w:rsid w:val="00271459"/>
    <w:rsid w:val="0027147C"/>
    <w:rsid w:val="00271501"/>
    <w:rsid w:val="00271505"/>
    <w:rsid w:val="0027150D"/>
    <w:rsid w:val="00271564"/>
    <w:rsid w:val="002715A2"/>
    <w:rsid w:val="002715DC"/>
    <w:rsid w:val="00271639"/>
    <w:rsid w:val="0027165C"/>
    <w:rsid w:val="00271692"/>
    <w:rsid w:val="0027178C"/>
    <w:rsid w:val="0027179E"/>
    <w:rsid w:val="00271835"/>
    <w:rsid w:val="002718AB"/>
    <w:rsid w:val="002718D3"/>
    <w:rsid w:val="0027194D"/>
    <w:rsid w:val="002719F1"/>
    <w:rsid w:val="00271ABB"/>
    <w:rsid w:val="00271AF3"/>
    <w:rsid w:val="00271B00"/>
    <w:rsid w:val="00271B18"/>
    <w:rsid w:val="00271B4A"/>
    <w:rsid w:val="00271BCE"/>
    <w:rsid w:val="00271BE1"/>
    <w:rsid w:val="00271C01"/>
    <w:rsid w:val="00271CB3"/>
    <w:rsid w:val="00271D28"/>
    <w:rsid w:val="00271D93"/>
    <w:rsid w:val="00271DA8"/>
    <w:rsid w:val="00271DDC"/>
    <w:rsid w:val="00271E82"/>
    <w:rsid w:val="00271EBF"/>
    <w:rsid w:val="00271ED2"/>
    <w:rsid w:val="00271EE2"/>
    <w:rsid w:val="00271F0A"/>
    <w:rsid w:val="00271F5E"/>
    <w:rsid w:val="00272073"/>
    <w:rsid w:val="002720A6"/>
    <w:rsid w:val="002720B7"/>
    <w:rsid w:val="002720CC"/>
    <w:rsid w:val="00272103"/>
    <w:rsid w:val="002721A7"/>
    <w:rsid w:val="002722C7"/>
    <w:rsid w:val="002722CF"/>
    <w:rsid w:val="0027232E"/>
    <w:rsid w:val="002723D3"/>
    <w:rsid w:val="002723EB"/>
    <w:rsid w:val="0027244E"/>
    <w:rsid w:val="0027247B"/>
    <w:rsid w:val="002724BE"/>
    <w:rsid w:val="002724DB"/>
    <w:rsid w:val="00272514"/>
    <w:rsid w:val="0027251D"/>
    <w:rsid w:val="00272598"/>
    <w:rsid w:val="00272599"/>
    <w:rsid w:val="002725DE"/>
    <w:rsid w:val="00272688"/>
    <w:rsid w:val="002726B0"/>
    <w:rsid w:val="002726C1"/>
    <w:rsid w:val="002726DC"/>
    <w:rsid w:val="002726E8"/>
    <w:rsid w:val="00272774"/>
    <w:rsid w:val="00272788"/>
    <w:rsid w:val="002727A4"/>
    <w:rsid w:val="00272843"/>
    <w:rsid w:val="0027288E"/>
    <w:rsid w:val="002729B4"/>
    <w:rsid w:val="00272A29"/>
    <w:rsid w:val="00272AB4"/>
    <w:rsid w:val="00272ADC"/>
    <w:rsid w:val="00272B2F"/>
    <w:rsid w:val="00272B82"/>
    <w:rsid w:val="00272BF2"/>
    <w:rsid w:val="00272C0E"/>
    <w:rsid w:val="00272C10"/>
    <w:rsid w:val="00272C30"/>
    <w:rsid w:val="00272C5A"/>
    <w:rsid w:val="00272C75"/>
    <w:rsid w:val="00272D07"/>
    <w:rsid w:val="00272D25"/>
    <w:rsid w:val="00272D3D"/>
    <w:rsid w:val="00272D53"/>
    <w:rsid w:val="00272DFA"/>
    <w:rsid w:val="00272E80"/>
    <w:rsid w:val="00272E89"/>
    <w:rsid w:val="00272EB2"/>
    <w:rsid w:val="00272EB7"/>
    <w:rsid w:val="00272F31"/>
    <w:rsid w:val="00272F3B"/>
    <w:rsid w:val="00272F44"/>
    <w:rsid w:val="00272F61"/>
    <w:rsid w:val="00272F6E"/>
    <w:rsid w:val="00272FA8"/>
    <w:rsid w:val="00272FF8"/>
    <w:rsid w:val="0027300A"/>
    <w:rsid w:val="0027300F"/>
    <w:rsid w:val="00273014"/>
    <w:rsid w:val="00273038"/>
    <w:rsid w:val="0027305B"/>
    <w:rsid w:val="00273062"/>
    <w:rsid w:val="002730E1"/>
    <w:rsid w:val="002730F4"/>
    <w:rsid w:val="0027311E"/>
    <w:rsid w:val="00273123"/>
    <w:rsid w:val="00273128"/>
    <w:rsid w:val="002731C8"/>
    <w:rsid w:val="00273216"/>
    <w:rsid w:val="00273250"/>
    <w:rsid w:val="002732AC"/>
    <w:rsid w:val="002732E3"/>
    <w:rsid w:val="002732EF"/>
    <w:rsid w:val="0027330C"/>
    <w:rsid w:val="0027331A"/>
    <w:rsid w:val="002733D5"/>
    <w:rsid w:val="002733D9"/>
    <w:rsid w:val="00273409"/>
    <w:rsid w:val="00273478"/>
    <w:rsid w:val="002735CA"/>
    <w:rsid w:val="002735F5"/>
    <w:rsid w:val="00273607"/>
    <w:rsid w:val="00273660"/>
    <w:rsid w:val="002736FD"/>
    <w:rsid w:val="00273710"/>
    <w:rsid w:val="00273717"/>
    <w:rsid w:val="0027372F"/>
    <w:rsid w:val="00273740"/>
    <w:rsid w:val="0027379B"/>
    <w:rsid w:val="002737B6"/>
    <w:rsid w:val="002737F8"/>
    <w:rsid w:val="002737FD"/>
    <w:rsid w:val="0027382D"/>
    <w:rsid w:val="00273878"/>
    <w:rsid w:val="002738A3"/>
    <w:rsid w:val="002738C9"/>
    <w:rsid w:val="0027390B"/>
    <w:rsid w:val="00273A00"/>
    <w:rsid w:val="00273A21"/>
    <w:rsid w:val="00273AB7"/>
    <w:rsid w:val="00273ACC"/>
    <w:rsid w:val="00273AF4"/>
    <w:rsid w:val="00273B13"/>
    <w:rsid w:val="00273B1B"/>
    <w:rsid w:val="00273B23"/>
    <w:rsid w:val="00273B4D"/>
    <w:rsid w:val="00273B85"/>
    <w:rsid w:val="00273C3F"/>
    <w:rsid w:val="00273C8A"/>
    <w:rsid w:val="00273CE1"/>
    <w:rsid w:val="00273D95"/>
    <w:rsid w:val="00273DB5"/>
    <w:rsid w:val="00273DEC"/>
    <w:rsid w:val="00273E40"/>
    <w:rsid w:val="00273E49"/>
    <w:rsid w:val="00273E95"/>
    <w:rsid w:val="00273EB2"/>
    <w:rsid w:val="00273EF6"/>
    <w:rsid w:val="00273F29"/>
    <w:rsid w:val="00273F5B"/>
    <w:rsid w:val="00273F6F"/>
    <w:rsid w:val="00273FA3"/>
    <w:rsid w:val="00274055"/>
    <w:rsid w:val="002740DF"/>
    <w:rsid w:val="00274168"/>
    <w:rsid w:val="00274180"/>
    <w:rsid w:val="002741BD"/>
    <w:rsid w:val="002741FA"/>
    <w:rsid w:val="0027426A"/>
    <w:rsid w:val="00274351"/>
    <w:rsid w:val="0027438F"/>
    <w:rsid w:val="0027439E"/>
    <w:rsid w:val="002743C2"/>
    <w:rsid w:val="002743F6"/>
    <w:rsid w:val="0027445A"/>
    <w:rsid w:val="00274476"/>
    <w:rsid w:val="00274479"/>
    <w:rsid w:val="00274480"/>
    <w:rsid w:val="00274558"/>
    <w:rsid w:val="00274574"/>
    <w:rsid w:val="0027458E"/>
    <w:rsid w:val="0027464D"/>
    <w:rsid w:val="0027464E"/>
    <w:rsid w:val="0027468F"/>
    <w:rsid w:val="002746C3"/>
    <w:rsid w:val="002746CB"/>
    <w:rsid w:val="00274741"/>
    <w:rsid w:val="00274780"/>
    <w:rsid w:val="002747A5"/>
    <w:rsid w:val="002747F9"/>
    <w:rsid w:val="0027485D"/>
    <w:rsid w:val="00274861"/>
    <w:rsid w:val="00274877"/>
    <w:rsid w:val="00274922"/>
    <w:rsid w:val="002749BD"/>
    <w:rsid w:val="002749CE"/>
    <w:rsid w:val="002749CF"/>
    <w:rsid w:val="00274A3B"/>
    <w:rsid w:val="00274A6B"/>
    <w:rsid w:val="00274AA5"/>
    <w:rsid w:val="00274ABD"/>
    <w:rsid w:val="00274B5F"/>
    <w:rsid w:val="00274B7F"/>
    <w:rsid w:val="00274B81"/>
    <w:rsid w:val="00274B90"/>
    <w:rsid w:val="00274BAC"/>
    <w:rsid w:val="00274BE8"/>
    <w:rsid w:val="00274CB5"/>
    <w:rsid w:val="00274CFE"/>
    <w:rsid w:val="00274D22"/>
    <w:rsid w:val="00274D8B"/>
    <w:rsid w:val="00274E13"/>
    <w:rsid w:val="00274E6E"/>
    <w:rsid w:val="00274EA7"/>
    <w:rsid w:val="00274EFE"/>
    <w:rsid w:val="00274F00"/>
    <w:rsid w:val="00274F24"/>
    <w:rsid w:val="00274F28"/>
    <w:rsid w:val="00274F2B"/>
    <w:rsid w:val="00274F45"/>
    <w:rsid w:val="00274FB5"/>
    <w:rsid w:val="00274FE4"/>
    <w:rsid w:val="00275043"/>
    <w:rsid w:val="00275055"/>
    <w:rsid w:val="0027507B"/>
    <w:rsid w:val="0027512C"/>
    <w:rsid w:val="0027519F"/>
    <w:rsid w:val="002751C2"/>
    <w:rsid w:val="0027522E"/>
    <w:rsid w:val="00275239"/>
    <w:rsid w:val="00275253"/>
    <w:rsid w:val="002752B5"/>
    <w:rsid w:val="00275351"/>
    <w:rsid w:val="00275392"/>
    <w:rsid w:val="00275431"/>
    <w:rsid w:val="00275473"/>
    <w:rsid w:val="002754EC"/>
    <w:rsid w:val="0027551B"/>
    <w:rsid w:val="00275534"/>
    <w:rsid w:val="002755E0"/>
    <w:rsid w:val="002755FD"/>
    <w:rsid w:val="00275640"/>
    <w:rsid w:val="0027567B"/>
    <w:rsid w:val="002756D4"/>
    <w:rsid w:val="002756DF"/>
    <w:rsid w:val="002756E3"/>
    <w:rsid w:val="002756E6"/>
    <w:rsid w:val="002757C4"/>
    <w:rsid w:val="002757DC"/>
    <w:rsid w:val="00275884"/>
    <w:rsid w:val="00275961"/>
    <w:rsid w:val="00275992"/>
    <w:rsid w:val="00275AE9"/>
    <w:rsid w:val="00275AEB"/>
    <w:rsid w:val="00275B3B"/>
    <w:rsid w:val="00275B45"/>
    <w:rsid w:val="00275B59"/>
    <w:rsid w:val="00275B6E"/>
    <w:rsid w:val="00275BE1"/>
    <w:rsid w:val="00275C53"/>
    <w:rsid w:val="00275C5D"/>
    <w:rsid w:val="00275C86"/>
    <w:rsid w:val="00275C94"/>
    <w:rsid w:val="00275CCC"/>
    <w:rsid w:val="00275D37"/>
    <w:rsid w:val="00275D52"/>
    <w:rsid w:val="00275DAD"/>
    <w:rsid w:val="00275DD3"/>
    <w:rsid w:val="00275E5B"/>
    <w:rsid w:val="00275EAD"/>
    <w:rsid w:val="00275EC1"/>
    <w:rsid w:val="00275F42"/>
    <w:rsid w:val="00275F58"/>
    <w:rsid w:val="00275FFF"/>
    <w:rsid w:val="00276073"/>
    <w:rsid w:val="00276107"/>
    <w:rsid w:val="0027617A"/>
    <w:rsid w:val="00276195"/>
    <w:rsid w:val="002761BF"/>
    <w:rsid w:val="002761F3"/>
    <w:rsid w:val="00276228"/>
    <w:rsid w:val="00276259"/>
    <w:rsid w:val="002762B2"/>
    <w:rsid w:val="002762C4"/>
    <w:rsid w:val="002762D9"/>
    <w:rsid w:val="0027633C"/>
    <w:rsid w:val="0027639C"/>
    <w:rsid w:val="002763ED"/>
    <w:rsid w:val="002763EE"/>
    <w:rsid w:val="00276410"/>
    <w:rsid w:val="0027649D"/>
    <w:rsid w:val="002764E2"/>
    <w:rsid w:val="00276561"/>
    <w:rsid w:val="00276653"/>
    <w:rsid w:val="00276665"/>
    <w:rsid w:val="0027668F"/>
    <w:rsid w:val="002766CC"/>
    <w:rsid w:val="002766EC"/>
    <w:rsid w:val="002766FA"/>
    <w:rsid w:val="00276717"/>
    <w:rsid w:val="0027671E"/>
    <w:rsid w:val="0027676D"/>
    <w:rsid w:val="002767B2"/>
    <w:rsid w:val="00276801"/>
    <w:rsid w:val="0027681A"/>
    <w:rsid w:val="00276874"/>
    <w:rsid w:val="0027690B"/>
    <w:rsid w:val="00276947"/>
    <w:rsid w:val="002769B7"/>
    <w:rsid w:val="00276A49"/>
    <w:rsid w:val="00276A80"/>
    <w:rsid w:val="00276A8A"/>
    <w:rsid w:val="00276ACB"/>
    <w:rsid w:val="00276AF1"/>
    <w:rsid w:val="00276AF3"/>
    <w:rsid w:val="00276B37"/>
    <w:rsid w:val="00276B93"/>
    <w:rsid w:val="00276BAA"/>
    <w:rsid w:val="00276BE0"/>
    <w:rsid w:val="00276CED"/>
    <w:rsid w:val="00276D11"/>
    <w:rsid w:val="00276D80"/>
    <w:rsid w:val="00276D85"/>
    <w:rsid w:val="00276D92"/>
    <w:rsid w:val="00276DFA"/>
    <w:rsid w:val="00276EA6"/>
    <w:rsid w:val="00276F58"/>
    <w:rsid w:val="00276F64"/>
    <w:rsid w:val="00276FBA"/>
    <w:rsid w:val="00277047"/>
    <w:rsid w:val="0027708F"/>
    <w:rsid w:val="002770C1"/>
    <w:rsid w:val="0027710B"/>
    <w:rsid w:val="002771FC"/>
    <w:rsid w:val="0027720B"/>
    <w:rsid w:val="00277270"/>
    <w:rsid w:val="002772B8"/>
    <w:rsid w:val="002773CE"/>
    <w:rsid w:val="002773E5"/>
    <w:rsid w:val="002774A8"/>
    <w:rsid w:val="002774C4"/>
    <w:rsid w:val="002774D3"/>
    <w:rsid w:val="00277557"/>
    <w:rsid w:val="002775D6"/>
    <w:rsid w:val="00277616"/>
    <w:rsid w:val="00277643"/>
    <w:rsid w:val="00277649"/>
    <w:rsid w:val="00277650"/>
    <w:rsid w:val="00277677"/>
    <w:rsid w:val="0027767A"/>
    <w:rsid w:val="002776DD"/>
    <w:rsid w:val="002776E5"/>
    <w:rsid w:val="0027777D"/>
    <w:rsid w:val="00277787"/>
    <w:rsid w:val="002777F0"/>
    <w:rsid w:val="00277817"/>
    <w:rsid w:val="0027786B"/>
    <w:rsid w:val="00277897"/>
    <w:rsid w:val="002778B2"/>
    <w:rsid w:val="002779A2"/>
    <w:rsid w:val="00277A83"/>
    <w:rsid w:val="00277AFE"/>
    <w:rsid w:val="00277B73"/>
    <w:rsid w:val="00277B8D"/>
    <w:rsid w:val="00277BA5"/>
    <w:rsid w:val="00277BC8"/>
    <w:rsid w:val="00277C23"/>
    <w:rsid w:val="00277C6A"/>
    <w:rsid w:val="00277CD8"/>
    <w:rsid w:val="00277D9D"/>
    <w:rsid w:val="00277DAE"/>
    <w:rsid w:val="00277E05"/>
    <w:rsid w:val="00277E11"/>
    <w:rsid w:val="00277E2C"/>
    <w:rsid w:val="00277E9E"/>
    <w:rsid w:val="00277F2D"/>
    <w:rsid w:val="00277F5C"/>
    <w:rsid w:val="00277F95"/>
    <w:rsid w:val="00277FA0"/>
    <w:rsid w:val="00277FE1"/>
    <w:rsid w:val="00277FF4"/>
    <w:rsid w:val="0028007F"/>
    <w:rsid w:val="002800C1"/>
    <w:rsid w:val="00280153"/>
    <w:rsid w:val="00280182"/>
    <w:rsid w:val="002801A5"/>
    <w:rsid w:val="00280210"/>
    <w:rsid w:val="00280232"/>
    <w:rsid w:val="00280243"/>
    <w:rsid w:val="00280290"/>
    <w:rsid w:val="0028029B"/>
    <w:rsid w:val="002802BB"/>
    <w:rsid w:val="00280318"/>
    <w:rsid w:val="0028035E"/>
    <w:rsid w:val="002803A1"/>
    <w:rsid w:val="00280400"/>
    <w:rsid w:val="00280448"/>
    <w:rsid w:val="00280470"/>
    <w:rsid w:val="00280575"/>
    <w:rsid w:val="00280581"/>
    <w:rsid w:val="002805B4"/>
    <w:rsid w:val="002805BF"/>
    <w:rsid w:val="002805FA"/>
    <w:rsid w:val="0028066A"/>
    <w:rsid w:val="0028068D"/>
    <w:rsid w:val="002806AD"/>
    <w:rsid w:val="00280727"/>
    <w:rsid w:val="0028073A"/>
    <w:rsid w:val="00280854"/>
    <w:rsid w:val="0028085A"/>
    <w:rsid w:val="0028096D"/>
    <w:rsid w:val="002809C8"/>
    <w:rsid w:val="00280A44"/>
    <w:rsid w:val="00280AA7"/>
    <w:rsid w:val="00280B8C"/>
    <w:rsid w:val="00280B94"/>
    <w:rsid w:val="00280BC3"/>
    <w:rsid w:val="00280C2D"/>
    <w:rsid w:val="00280C5C"/>
    <w:rsid w:val="00280C7F"/>
    <w:rsid w:val="00280CD1"/>
    <w:rsid w:val="00280D4A"/>
    <w:rsid w:val="00280D51"/>
    <w:rsid w:val="00280D78"/>
    <w:rsid w:val="00280D91"/>
    <w:rsid w:val="00280E14"/>
    <w:rsid w:val="00280EDA"/>
    <w:rsid w:val="00280F1D"/>
    <w:rsid w:val="00280FC9"/>
    <w:rsid w:val="00280FE3"/>
    <w:rsid w:val="00281021"/>
    <w:rsid w:val="0028104B"/>
    <w:rsid w:val="00281070"/>
    <w:rsid w:val="002810BD"/>
    <w:rsid w:val="002810DE"/>
    <w:rsid w:val="002810FD"/>
    <w:rsid w:val="00281184"/>
    <w:rsid w:val="002811A8"/>
    <w:rsid w:val="002811C9"/>
    <w:rsid w:val="00281215"/>
    <w:rsid w:val="00281271"/>
    <w:rsid w:val="00281296"/>
    <w:rsid w:val="0028136A"/>
    <w:rsid w:val="00281394"/>
    <w:rsid w:val="002813C9"/>
    <w:rsid w:val="00281420"/>
    <w:rsid w:val="00281498"/>
    <w:rsid w:val="002814C7"/>
    <w:rsid w:val="002815AA"/>
    <w:rsid w:val="0028161F"/>
    <w:rsid w:val="0028165A"/>
    <w:rsid w:val="002816E5"/>
    <w:rsid w:val="00281735"/>
    <w:rsid w:val="00281746"/>
    <w:rsid w:val="00281892"/>
    <w:rsid w:val="0028195B"/>
    <w:rsid w:val="002819CF"/>
    <w:rsid w:val="00281A84"/>
    <w:rsid w:val="00281AA2"/>
    <w:rsid w:val="00281ACB"/>
    <w:rsid w:val="00281AEE"/>
    <w:rsid w:val="00281B27"/>
    <w:rsid w:val="00281B5F"/>
    <w:rsid w:val="00281B98"/>
    <w:rsid w:val="00281BB2"/>
    <w:rsid w:val="00281C31"/>
    <w:rsid w:val="00281C45"/>
    <w:rsid w:val="00281C60"/>
    <w:rsid w:val="00281C8A"/>
    <w:rsid w:val="00281C9A"/>
    <w:rsid w:val="00281CFE"/>
    <w:rsid w:val="00281D94"/>
    <w:rsid w:val="00281DDE"/>
    <w:rsid w:val="00281DF8"/>
    <w:rsid w:val="00281E10"/>
    <w:rsid w:val="00281E82"/>
    <w:rsid w:val="00281EF5"/>
    <w:rsid w:val="0028218F"/>
    <w:rsid w:val="002821C0"/>
    <w:rsid w:val="002821C3"/>
    <w:rsid w:val="002821F3"/>
    <w:rsid w:val="0028221E"/>
    <w:rsid w:val="00282244"/>
    <w:rsid w:val="00282266"/>
    <w:rsid w:val="00282393"/>
    <w:rsid w:val="002823D1"/>
    <w:rsid w:val="002823EE"/>
    <w:rsid w:val="00282434"/>
    <w:rsid w:val="00282456"/>
    <w:rsid w:val="0028246D"/>
    <w:rsid w:val="00282472"/>
    <w:rsid w:val="0028248E"/>
    <w:rsid w:val="00282516"/>
    <w:rsid w:val="00282517"/>
    <w:rsid w:val="0028252C"/>
    <w:rsid w:val="00282569"/>
    <w:rsid w:val="002825BE"/>
    <w:rsid w:val="002826FC"/>
    <w:rsid w:val="0028273D"/>
    <w:rsid w:val="00282808"/>
    <w:rsid w:val="002828EF"/>
    <w:rsid w:val="00282986"/>
    <w:rsid w:val="0028298A"/>
    <w:rsid w:val="00282A11"/>
    <w:rsid w:val="00282A7A"/>
    <w:rsid w:val="00282A8D"/>
    <w:rsid w:val="00282AAF"/>
    <w:rsid w:val="00282AF6"/>
    <w:rsid w:val="00282B33"/>
    <w:rsid w:val="00282B90"/>
    <w:rsid w:val="00282C76"/>
    <w:rsid w:val="00282D78"/>
    <w:rsid w:val="00282D8F"/>
    <w:rsid w:val="00282DB3"/>
    <w:rsid w:val="00282DE0"/>
    <w:rsid w:val="00282DF3"/>
    <w:rsid w:val="00282DFC"/>
    <w:rsid w:val="00282E56"/>
    <w:rsid w:val="00282E5F"/>
    <w:rsid w:val="00282EED"/>
    <w:rsid w:val="00282FB0"/>
    <w:rsid w:val="00282FC9"/>
    <w:rsid w:val="00283036"/>
    <w:rsid w:val="0028303B"/>
    <w:rsid w:val="0028306F"/>
    <w:rsid w:val="002830D9"/>
    <w:rsid w:val="002830FD"/>
    <w:rsid w:val="00283146"/>
    <w:rsid w:val="002831E0"/>
    <w:rsid w:val="00283201"/>
    <w:rsid w:val="00283207"/>
    <w:rsid w:val="0028320F"/>
    <w:rsid w:val="0028322F"/>
    <w:rsid w:val="00283272"/>
    <w:rsid w:val="002832B0"/>
    <w:rsid w:val="00283326"/>
    <w:rsid w:val="0028337C"/>
    <w:rsid w:val="002833B9"/>
    <w:rsid w:val="002833E7"/>
    <w:rsid w:val="00283434"/>
    <w:rsid w:val="00283441"/>
    <w:rsid w:val="00283473"/>
    <w:rsid w:val="00283496"/>
    <w:rsid w:val="002834A9"/>
    <w:rsid w:val="002834BA"/>
    <w:rsid w:val="0028353D"/>
    <w:rsid w:val="0028357F"/>
    <w:rsid w:val="00283580"/>
    <w:rsid w:val="002835D3"/>
    <w:rsid w:val="002835F6"/>
    <w:rsid w:val="0028363E"/>
    <w:rsid w:val="00283666"/>
    <w:rsid w:val="00283697"/>
    <w:rsid w:val="00283718"/>
    <w:rsid w:val="00283744"/>
    <w:rsid w:val="0028375C"/>
    <w:rsid w:val="002837CF"/>
    <w:rsid w:val="00283846"/>
    <w:rsid w:val="0028396C"/>
    <w:rsid w:val="00283984"/>
    <w:rsid w:val="0028398E"/>
    <w:rsid w:val="00283A12"/>
    <w:rsid w:val="00283A54"/>
    <w:rsid w:val="00283A86"/>
    <w:rsid w:val="00283A88"/>
    <w:rsid w:val="00283AA4"/>
    <w:rsid w:val="00283AA9"/>
    <w:rsid w:val="00283AAE"/>
    <w:rsid w:val="00283ACE"/>
    <w:rsid w:val="00283AE8"/>
    <w:rsid w:val="00283AE9"/>
    <w:rsid w:val="00283AF8"/>
    <w:rsid w:val="00283B2F"/>
    <w:rsid w:val="00283B48"/>
    <w:rsid w:val="00283B6B"/>
    <w:rsid w:val="00283BB6"/>
    <w:rsid w:val="00283BD4"/>
    <w:rsid w:val="00283C04"/>
    <w:rsid w:val="00283C25"/>
    <w:rsid w:val="00283C5B"/>
    <w:rsid w:val="00283C69"/>
    <w:rsid w:val="00283D1D"/>
    <w:rsid w:val="00283D26"/>
    <w:rsid w:val="00283DB2"/>
    <w:rsid w:val="00283DBE"/>
    <w:rsid w:val="00283DC6"/>
    <w:rsid w:val="00283E46"/>
    <w:rsid w:val="00283E4A"/>
    <w:rsid w:val="00283E5F"/>
    <w:rsid w:val="00283E6D"/>
    <w:rsid w:val="00283E8E"/>
    <w:rsid w:val="00283E94"/>
    <w:rsid w:val="00283EA1"/>
    <w:rsid w:val="00283EA6"/>
    <w:rsid w:val="00283FBA"/>
    <w:rsid w:val="00283FEC"/>
    <w:rsid w:val="0028407C"/>
    <w:rsid w:val="00284100"/>
    <w:rsid w:val="00284121"/>
    <w:rsid w:val="0028413C"/>
    <w:rsid w:val="0028415E"/>
    <w:rsid w:val="00284190"/>
    <w:rsid w:val="0028426F"/>
    <w:rsid w:val="00284274"/>
    <w:rsid w:val="0028427E"/>
    <w:rsid w:val="002842B3"/>
    <w:rsid w:val="002842FA"/>
    <w:rsid w:val="00284302"/>
    <w:rsid w:val="0028432E"/>
    <w:rsid w:val="00284361"/>
    <w:rsid w:val="002843FD"/>
    <w:rsid w:val="00284417"/>
    <w:rsid w:val="0028442C"/>
    <w:rsid w:val="0028442E"/>
    <w:rsid w:val="002844E6"/>
    <w:rsid w:val="00284555"/>
    <w:rsid w:val="0028458E"/>
    <w:rsid w:val="002845A4"/>
    <w:rsid w:val="002845A6"/>
    <w:rsid w:val="002845D7"/>
    <w:rsid w:val="002845FD"/>
    <w:rsid w:val="00284643"/>
    <w:rsid w:val="00284652"/>
    <w:rsid w:val="002846D9"/>
    <w:rsid w:val="002847D8"/>
    <w:rsid w:val="00284842"/>
    <w:rsid w:val="0028485F"/>
    <w:rsid w:val="002848E9"/>
    <w:rsid w:val="002848EA"/>
    <w:rsid w:val="00284906"/>
    <w:rsid w:val="00284941"/>
    <w:rsid w:val="0028494A"/>
    <w:rsid w:val="00284978"/>
    <w:rsid w:val="002849B2"/>
    <w:rsid w:val="00284A61"/>
    <w:rsid w:val="00284ADA"/>
    <w:rsid w:val="00284B9E"/>
    <w:rsid w:val="00284E22"/>
    <w:rsid w:val="00284E9C"/>
    <w:rsid w:val="00284EDB"/>
    <w:rsid w:val="00284EF2"/>
    <w:rsid w:val="00284F1F"/>
    <w:rsid w:val="00285060"/>
    <w:rsid w:val="00285093"/>
    <w:rsid w:val="002850E2"/>
    <w:rsid w:val="0028517A"/>
    <w:rsid w:val="0028518B"/>
    <w:rsid w:val="00285194"/>
    <w:rsid w:val="002851CD"/>
    <w:rsid w:val="002851D9"/>
    <w:rsid w:val="00285235"/>
    <w:rsid w:val="0028523F"/>
    <w:rsid w:val="002852E3"/>
    <w:rsid w:val="002852F0"/>
    <w:rsid w:val="00285305"/>
    <w:rsid w:val="0028533E"/>
    <w:rsid w:val="002853D0"/>
    <w:rsid w:val="002853FC"/>
    <w:rsid w:val="00285427"/>
    <w:rsid w:val="0028543C"/>
    <w:rsid w:val="00285456"/>
    <w:rsid w:val="00285463"/>
    <w:rsid w:val="00285467"/>
    <w:rsid w:val="002854A2"/>
    <w:rsid w:val="00285529"/>
    <w:rsid w:val="00285539"/>
    <w:rsid w:val="00285579"/>
    <w:rsid w:val="002855C7"/>
    <w:rsid w:val="002855FE"/>
    <w:rsid w:val="00285647"/>
    <w:rsid w:val="0028568F"/>
    <w:rsid w:val="0028570D"/>
    <w:rsid w:val="00285722"/>
    <w:rsid w:val="0028579F"/>
    <w:rsid w:val="0028582B"/>
    <w:rsid w:val="0028588F"/>
    <w:rsid w:val="0028589D"/>
    <w:rsid w:val="002858E3"/>
    <w:rsid w:val="0028598B"/>
    <w:rsid w:val="002859B6"/>
    <w:rsid w:val="002859B8"/>
    <w:rsid w:val="00285A57"/>
    <w:rsid w:val="00285A7C"/>
    <w:rsid w:val="00285A90"/>
    <w:rsid w:val="00285AD8"/>
    <w:rsid w:val="00285B83"/>
    <w:rsid w:val="00285BE5"/>
    <w:rsid w:val="00285C22"/>
    <w:rsid w:val="00285C46"/>
    <w:rsid w:val="00285C6B"/>
    <w:rsid w:val="00285CC8"/>
    <w:rsid w:val="00285CED"/>
    <w:rsid w:val="00285D07"/>
    <w:rsid w:val="00285D41"/>
    <w:rsid w:val="00285D4A"/>
    <w:rsid w:val="00285D7C"/>
    <w:rsid w:val="00285DC8"/>
    <w:rsid w:val="00285E97"/>
    <w:rsid w:val="00285EB6"/>
    <w:rsid w:val="00285F02"/>
    <w:rsid w:val="00285F25"/>
    <w:rsid w:val="00285F56"/>
    <w:rsid w:val="00285FB2"/>
    <w:rsid w:val="0028603F"/>
    <w:rsid w:val="00286094"/>
    <w:rsid w:val="002860B9"/>
    <w:rsid w:val="002860C0"/>
    <w:rsid w:val="0028616C"/>
    <w:rsid w:val="00286208"/>
    <w:rsid w:val="002862A2"/>
    <w:rsid w:val="002862C3"/>
    <w:rsid w:val="00286335"/>
    <w:rsid w:val="002863BA"/>
    <w:rsid w:val="002863C8"/>
    <w:rsid w:val="00286414"/>
    <w:rsid w:val="0028649E"/>
    <w:rsid w:val="002864B6"/>
    <w:rsid w:val="002864CB"/>
    <w:rsid w:val="002864E0"/>
    <w:rsid w:val="002864E9"/>
    <w:rsid w:val="00286561"/>
    <w:rsid w:val="002865EB"/>
    <w:rsid w:val="002865F9"/>
    <w:rsid w:val="00286600"/>
    <w:rsid w:val="0028667C"/>
    <w:rsid w:val="00286686"/>
    <w:rsid w:val="002866D3"/>
    <w:rsid w:val="002866FB"/>
    <w:rsid w:val="00286701"/>
    <w:rsid w:val="00286772"/>
    <w:rsid w:val="002867BE"/>
    <w:rsid w:val="002867BF"/>
    <w:rsid w:val="002867C8"/>
    <w:rsid w:val="00286837"/>
    <w:rsid w:val="002868B8"/>
    <w:rsid w:val="002868BC"/>
    <w:rsid w:val="002869C8"/>
    <w:rsid w:val="002869C9"/>
    <w:rsid w:val="002869CB"/>
    <w:rsid w:val="002869D7"/>
    <w:rsid w:val="002869FE"/>
    <w:rsid w:val="00286A82"/>
    <w:rsid w:val="00286C3C"/>
    <w:rsid w:val="00286C4B"/>
    <w:rsid w:val="00286C79"/>
    <w:rsid w:val="00286CE0"/>
    <w:rsid w:val="00286D03"/>
    <w:rsid w:val="00286D0A"/>
    <w:rsid w:val="00286D4D"/>
    <w:rsid w:val="00286D50"/>
    <w:rsid w:val="00286D67"/>
    <w:rsid w:val="00286D8F"/>
    <w:rsid w:val="00286E1F"/>
    <w:rsid w:val="00286E8D"/>
    <w:rsid w:val="00286ED1"/>
    <w:rsid w:val="00286EEC"/>
    <w:rsid w:val="00286EF5"/>
    <w:rsid w:val="00286F3A"/>
    <w:rsid w:val="00286F45"/>
    <w:rsid w:val="00286F8A"/>
    <w:rsid w:val="00286F92"/>
    <w:rsid w:val="00286FBB"/>
    <w:rsid w:val="00287013"/>
    <w:rsid w:val="00287018"/>
    <w:rsid w:val="00287035"/>
    <w:rsid w:val="002870DB"/>
    <w:rsid w:val="00287121"/>
    <w:rsid w:val="002871EA"/>
    <w:rsid w:val="00287222"/>
    <w:rsid w:val="00287272"/>
    <w:rsid w:val="00287299"/>
    <w:rsid w:val="00287354"/>
    <w:rsid w:val="00287367"/>
    <w:rsid w:val="002873C7"/>
    <w:rsid w:val="00287408"/>
    <w:rsid w:val="0028747E"/>
    <w:rsid w:val="002874C7"/>
    <w:rsid w:val="002874EC"/>
    <w:rsid w:val="00287588"/>
    <w:rsid w:val="0028759C"/>
    <w:rsid w:val="002875D8"/>
    <w:rsid w:val="002875F4"/>
    <w:rsid w:val="0028763B"/>
    <w:rsid w:val="00287647"/>
    <w:rsid w:val="0028765B"/>
    <w:rsid w:val="00287675"/>
    <w:rsid w:val="00287698"/>
    <w:rsid w:val="002876B6"/>
    <w:rsid w:val="002876CB"/>
    <w:rsid w:val="002876D6"/>
    <w:rsid w:val="002876DA"/>
    <w:rsid w:val="002876DE"/>
    <w:rsid w:val="00287733"/>
    <w:rsid w:val="00287801"/>
    <w:rsid w:val="00287881"/>
    <w:rsid w:val="002878B1"/>
    <w:rsid w:val="00287916"/>
    <w:rsid w:val="0028796A"/>
    <w:rsid w:val="002879E1"/>
    <w:rsid w:val="002879F5"/>
    <w:rsid w:val="00287A05"/>
    <w:rsid w:val="00287A75"/>
    <w:rsid w:val="00287AF0"/>
    <w:rsid w:val="00287B01"/>
    <w:rsid w:val="00287B36"/>
    <w:rsid w:val="00287B74"/>
    <w:rsid w:val="00287B77"/>
    <w:rsid w:val="00287C64"/>
    <w:rsid w:val="00287D02"/>
    <w:rsid w:val="00287D4C"/>
    <w:rsid w:val="00287D52"/>
    <w:rsid w:val="00287D8B"/>
    <w:rsid w:val="00287DB4"/>
    <w:rsid w:val="00287E00"/>
    <w:rsid w:val="00287E0A"/>
    <w:rsid w:val="00287E40"/>
    <w:rsid w:val="00287E7C"/>
    <w:rsid w:val="00287EDE"/>
    <w:rsid w:val="00287F45"/>
    <w:rsid w:val="00287F94"/>
    <w:rsid w:val="00287FBE"/>
    <w:rsid w:val="00290294"/>
    <w:rsid w:val="002902A1"/>
    <w:rsid w:val="002902C8"/>
    <w:rsid w:val="002902F9"/>
    <w:rsid w:val="00290371"/>
    <w:rsid w:val="0029038D"/>
    <w:rsid w:val="00290400"/>
    <w:rsid w:val="00290431"/>
    <w:rsid w:val="00290485"/>
    <w:rsid w:val="002904A3"/>
    <w:rsid w:val="00290500"/>
    <w:rsid w:val="00290512"/>
    <w:rsid w:val="0029057B"/>
    <w:rsid w:val="0029069A"/>
    <w:rsid w:val="002906AB"/>
    <w:rsid w:val="002906EE"/>
    <w:rsid w:val="00290701"/>
    <w:rsid w:val="00290702"/>
    <w:rsid w:val="0029070B"/>
    <w:rsid w:val="00290760"/>
    <w:rsid w:val="00290766"/>
    <w:rsid w:val="0029076D"/>
    <w:rsid w:val="002908DE"/>
    <w:rsid w:val="002908EF"/>
    <w:rsid w:val="00290902"/>
    <w:rsid w:val="00290A52"/>
    <w:rsid w:val="00290B24"/>
    <w:rsid w:val="00290B52"/>
    <w:rsid w:val="00290BC4"/>
    <w:rsid w:val="00290BE8"/>
    <w:rsid w:val="00290BF3"/>
    <w:rsid w:val="00290C09"/>
    <w:rsid w:val="00290C4F"/>
    <w:rsid w:val="00290C72"/>
    <w:rsid w:val="00290CB7"/>
    <w:rsid w:val="00290D07"/>
    <w:rsid w:val="00290D5B"/>
    <w:rsid w:val="00290D8F"/>
    <w:rsid w:val="00290DD4"/>
    <w:rsid w:val="00290DD8"/>
    <w:rsid w:val="00290ED0"/>
    <w:rsid w:val="00290EF5"/>
    <w:rsid w:val="00290F50"/>
    <w:rsid w:val="00290F98"/>
    <w:rsid w:val="00291005"/>
    <w:rsid w:val="00291008"/>
    <w:rsid w:val="00291087"/>
    <w:rsid w:val="002910E1"/>
    <w:rsid w:val="002910F6"/>
    <w:rsid w:val="00291100"/>
    <w:rsid w:val="00291113"/>
    <w:rsid w:val="0029121D"/>
    <w:rsid w:val="00291235"/>
    <w:rsid w:val="00291255"/>
    <w:rsid w:val="002912FC"/>
    <w:rsid w:val="00291389"/>
    <w:rsid w:val="002913AB"/>
    <w:rsid w:val="002913D8"/>
    <w:rsid w:val="002913F4"/>
    <w:rsid w:val="0029140C"/>
    <w:rsid w:val="00291423"/>
    <w:rsid w:val="002914F7"/>
    <w:rsid w:val="0029158D"/>
    <w:rsid w:val="00291596"/>
    <w:rsid w:val="00291599"/>
    <w:rsid w:val="002915DB"/>
    <w:rsid w:val="0029160D"/>
    <w:rsid w:val="00291686"/>
    <w:rsid w:val="002917F4"/>
    <w:rsid w:val="002917FB"/>
    <w:rsid w:val="002917FE"/>
    <w:rsid w:val="0029182B"/>
    <w:rsid w:val="0029182E"/>
    <w:rsid w:val="00291839"/>
    <w:rsid w:val="0029189B"/>
    <w:rsid w:val="00291934"/>
    <w:rsid w:val="00291954"/>
    <w:rsid w:val="0029195E"/>
    <w:rsid w:val="00291998"/>
    <w:rsid w:val="00291A1E"/>
    <w:rsid w:val="00291A57"/>
    <w:rsid w:val="00291B40"/>
    <w:rsid w:val="00291B77"/>
    <w:rsid w:val="00291B83"/>
    <w:rsid w:val="00291BBA"/>
    <w:rsid w:val="00291BFD"/>
    <w:rsid w:val="00291C50"/>
    <w:rsid w:val="00291C5D"/>
    <w:rsid w:val="00291C6C"/>
    <w:rsid w:val="00291D06"/>
    <w:rsid w:val="00291D0A"/>
    <w:rsid w:val="00291D15"/>
    <w:rsid w:val="00291D6C"/>
    <w:rsid w:val="00291DD0"/>
    <w:rsid w:val="00291DFD"/>
    <w:rsid w:val="00291E5C"/>
    <w:rsid w:val="00291ED0"/>
    <w:rsid w:val="00291EF8"/>
    <w:rsid w:val="00291EF9"/>
    <w:rsid w:val="00291F0E"/>
    <w:rsid w:val="00291F63"/>
    <w:rsid w:val="00291F7A"/>
    <w:rsid w:val="00291F8E"/>
    <w:rsid w:val="00291FAB"/>
    <w:rsid w:val="00291FBF"/>
    <w:rsid w:val="00291FC8"/>
    <w:rsid w:val="00292096"/>
    <w:rsid w:val="002920F3"/>
    <w:rsid w:val="002920F5"/>
    <w:rsid w:val="00292135"/>
    <w:rsid w:val="00292190"/>
    <w:rsid w:val="002921A6"/>
    <w:rsid w:val="002921B0"/>
    <w:rsid w:val="002921D9"/>
    <w:rsid w:val="002921FA"/>
    <w:rsid w:val="00292204"/>
    <w:rsid w:val="0029225A"/>
    <w:rsid w:val="00292289"/>
    <w:rsid w:val="00292353"/>
    <w:rsid w:val="00292366"/>
    <w:rsid w:val="00292388"/>
    <w:rsid w:val="00292421"/>
    <w:rsid w:val="0029242A"/>
    <w:rsid w:val="00292477"/>
    <w:rsid w:val="0029247F"/>
    <w:rsid w:val="00292559"/>
    <w:rsid w:val="002925AB"/>
    <w:rsid w:val="00292654"/>
    <w:rsid w:val="002926F3"/>
    <w:rsid w:val="002926FB"/>
    <w:rsid w:val="00292763"/>
    <w:rsid w:val="0029278D"/>
    <w:rsid w:val="002927A3"/>
    <w:rsid w:val="00292823"/>
    <w:rsid w:val="00292877"/>
    <w:rsid w:val="002928DE"/>
    <w:rsid w:val="00292924"/>
    <w:rsid w:val="002929B1"/>
    <w:rsid w:val="00292A0C"/>
    <w:rsid w:val="00292A1D"/>
    <w:rsid w:val="00292A20"/>
    <w:rsid w:val="00292A3F"/>
    <w:rsid w:val="00292ACC"/>
    <w:rsid w:val="00292BD5"/>
    <w:rsid w:val="00292BD8"/>
    <w:rsid w:val="00292C85"/>
    <w:rsid w:val="00292C8A"/>
    <w:rsid w:val="00292C97"/>
    <w:rsid w:val="00292CA9"/>
    <w:rsid w:val="00292CF1"/>
    <w:rsid w:val="00292D1C"/>
    <w:rsid w:val="00292D66"/>
    <w:rsid w:val="00292D72"/>
    <w:rsid w:val="00292EBC"/>
    <w:rsid w:val="00292ED5"/>
    <w:rsid w:val="00292F11"/>
    <w:rsid w:val="00292F2D"/>
    <w:rsid w:val="00292F59"/>
    <w:rsid w:val="00292F85"/>
    <w:rsid w:val="00292F9E"/>
    <w:rsid w:val="00292FA9"/>
    <w:rsid w:val="00292FF0"/>
    <w:rsid w:val="00293006"/>
    <w:rsid w:val="00293083"/>
    <w:rsid w:val="002930F7"/>
    <w:rsid w:val="00293181"/>
    <w:rsid w:val="00293239"/>
    <w:rsid w:val="0029324C"/>
    <w:rsid w:val="00293274"/>
    <w:rsid w:val="002932C8"/>
    <w:rsid w:val="00293335"/>
    <w:rsid w:val="0029335F"/>
    <w:rsid w:val="00293367"/>
    <w:rsid w:val="0029336C"/>
    <w:rsid w:val="002933B4"/>
    <w:rsid w:val="002933E7"/>
    <w:rsid w:val="002933E9"/>
    <w:rsid w:val="00293422"/>
    <w:rsid w:val="002934D5"/>
    <w:rsid w:val="002934FD"/>
    <w:rsid w:val="0029350D"/>
    <w:rsid w:val="00293539"/>
    <w:rsid w:val="00293599"/>
    <w:rsid w:val="002935AE"/>
    <w:rsid w:val="002935B6"/>
    <w:rsid w:val="002935BF"/>
    <w:rsid w:val="002935E6"/>
    <w:rsid w:val="00293653"/>
    <w:rsid w:val="0029367A"/>
    <w:rsid w:val="00293699"/>
    <w:rsid w:val="00293713"/>
    <w:rsid w:val="00293726"/>
    <w:rsid w:val="002937E1"/>
    <w:rsid w:val="002937FA"/>
    <w:rsid w:val="00293847"/>
    <w:rsid w:val="00293855"/>
    <w:rsid w:val="00293862"/>
    <w:rsid w:val="0029388E"/>
    <w:rsid w:val="002938A7"/>
    <w:rsid w:val="002938EF"/>
    <w:rsid w:val="00293976"/>
    <w:rsid w:val="00293993"/>
    <w:rsid w:val="002939FC"/>
    <w:rsid w:val="00293A6D"/>
    <w:rsid w:val="00293A76"/>
    <w:rsid w:val="00293A94"/>
    <w:rsid w:val="00293AC8"/>
    <w:rsid w:val="00293AFB"/>
    <w:rsid w:val="00293B9A"/>
    <w:rsid w:val="00293BC9"/>
    <w:rsid w:val="00293BEF"/>
    <w:rsid w:val="00293C09"/>
    <w:rsid w:val="00293C71"/>
    <w:rsid w:val="00293C76"/>
    <w:rsid w:val="00293D15"/>
    <w:rsid w:val="00293DCB"/>
    <w:rsid w:val="00293DF7"/>
    <w:rsid w:val="00293E49"/>
    <w:rsid w:val="00293E99"/>
    <w:rsid w:val="00293EA8"/>
    <w:rsid w:val="00293EE1"/>
    <w:rsid w:val="00293F14"/>
    <w:rsid w:val="00293F3B"/>
    <w:rsid w:val="00293F4C"/>
    <w:rsid w:val="00293F88"/>
    <w:rsid w:val="00293FA7"/>
    <w:rsid w:val="002940AB"/>
    <w:rsid w:val="0029413D"/>
    <w:rsid w:val="0029415B"/>
    <w:rsid w:val="00294176"/>
    <w:rsid w:val="002941A2"/>
    <w:rsid w:val="002941D7"/>
    <w:rsid w:val="002941F0"/>
    <w:rsid w:val="002941F1"/>
    <w:rsid w:val="00294266"/>
    <w:rsid w:val="002942AE"/>
    <w:rsid w:val="002942FF"/>
    <w:rsid w:val="0029433A"/>
    <w:rsid w:val="0029444B"/>
    <w:rsid w:val="002944D9"/>
    <w:rsid w:val="002944F7"/>
    <w:rsid w:val="00294532"/>
    <w:rsid w:val="0029457F"/>
    <w:rsid w:val="00294588"/>
    <w:rsid w:val="0029460B"/>
    <w:rsid w:val="00294634"/>
    <w:rsid w:val="0029465B"/>
    <w:rsid w:val="0029469D"/>
    <w:rsid w:val="002946EF"/>
    <w:rsid w:val="00294714"/>
    <w:rsid w:val="00294832"/>
    <w:rsid w:val="00294863"/>
    <w:rsid w:val="00294880"/>
    <w:rsid w:val="0029494F"/>
    <w:rsid w:val="00294974"/>
    <w:rsid w:val="0029498E"/>
    <w:rsid w:val="002949F2"/>
    <w:rsid w:val="00294A1A"/>
    <w:rsid w:val="00294A25"/>
    <w:rsid w:val="00294A42"/>
    <w:rsid w:val="00294AE2"/>
    <w:rsid w:val="00294B29"/>
    <w:rsid w:val="00294B4A"/>
    <w:rsid w:val="00294B59"/>
    <w:rsid w:val="00294B83"/>
    <w:rsid w:val="00294BCC"/>
    <w:rsid w:val="00294BD8"/>
    <w:rsid w:val="00294C0A"/>
    <w:rsid w:val="00294C5C"/>
    <w:rsid w:val="00294C8B"/>
    <w:rsid w:val="00294D7B"/>
    <w:rsid w:val="00294E1C"/>
    <w:rsid w:val="00294E37"/>
    <w:rsid w:val="00294E84"/>
    <w:rsid w:val="00294EC3"/>
    <w:rsid w:val="00294FB8"/>
    <w:rsid w:val="00295001"/>
    <w:rsid w:val="00295003"/>
    <w:rsid w:val="0029503A"/>
    <w:rsid w:val="00295068"/>
    <w:rsid w:val="00295083"/>
    <w:rsid w:val="002951D8"/>
    <w:rsid w:val="0029522D"/>
    <w:rsid w:val="00295242"/>
    <w:rsid w:val="002952C1"/>
    <w:rsid w:val="002952D1"/>
    <w:rsid w:val="002952D5"/>
    <w:rsid w:val="0029533A"/>
    <w:rsid w:val="002953D5"/>
    <w:rsid w:val="002953FE"/>
    <w:rsid w:val="00295415"/>
    <w:rsid w:val="00295432"/>
    <w:rsid w:val="00295522"/>
    <w:rsid w:val="00295569"/>
    <w:rsid w:val="002955A3"/>
    <w:rsid w:val="002955E2"/>
    <w:rsid w:val="00295627"/>
    <w:rsid w:val="0029564C"/>
    <w:rsid w:val="00295657"/>
    <w:rsid w:val="002956F1"/>
    <w:rsid w:val="00295729"/>
    <w:rsid w:val="00295734"/>
    <w:rsid w:val="002957F4"/>
    <w:rsid w:val="002958E1"/>
    <w:rsid w:val="002959DF"/>
    <w:rsid w:val="00295A45"/>
    <w:rsid w:val="00295AE3"/>
    <w:rsid w:val="00295B03"/>
    <w:rsid w:val="00295B25"/>
    <w:rsid w:val="00295B47"/>
    <w:rsid w:val="00295B88"/>
    <w:rsid w:val="00295BCB"/>
    <w:rsid w:val="00295BD4"/>
    <w:rsid w:val="00295C60"/>
    <w:rsid w:val="00295CBA"/>
    <w:rsid w:val="00295CCE"/>
    <w:rsid w:val="00295D5F"/>
    <w:rsid w:val="00295D75"/>
    <w:rsid w:val="00295DA3"/>
    <w:rsid w:val="00295E48"/>
    <w:rsid w:val="00295E82"/>
    <w:rsid w:val="00295EAB"/>
    <w:rsid w:val="00295EFC"/>
    <w:rsid w:val="00295F6F"/>
    <w:rsid w:val="00295FC7"/>
    <w:rsid w:val="0029601D"/>
    <w:rsid w:val="00296039"/>
    <w:rsid w:val="00296049"/>
    <w:rsid w:val="00296072"/>
    <w:rsid w:val="002960AF"/>
    <w:rsid w:val="002960EC"/>
    <w:rsid w:val="0029613A"/>
    <w:rsid w:val="002961A4"/>
    <w:rsid w:val="002961CD"/>
    <w:rsid w:val="002961ED"/>
    <w:rsid w:val="002961EF"/>
    <w:rsid w:val="00296220"/>
    <w:rsid w:val="0029623B"/>
    <w:rsid w:val="00296246"/>
    <w:rsid w:val="00296280"/>
    <w:rsid w:val="002962DF"/>
    <w:rsid w:val="00296316"/>
    <w:rsid w:val="0029638E"/>
    <w:rsid w:val="0029639B"/>
    <w:rsid w:val="00296403"/>
    <w:rsid w:val="00296458"/>
    <w:rsid w:val="00296523"/>
    <w:rsid w:val="0029653F"/>
    <w:rsid w:val="0029655F"/>
    <w:rsid w:val="00296584"/>
    <w:rsid w:val="0029658F"/>
    <w:rsid w:val="0029659E"/>
    <w:rsid w:val="00296661"/>
    <w:rsid w:val="002966C7"/>
    <w:rsid w:val="002966F9"/>
    <w:rsid w:val="00296702"/>
    <w:rsid w:val="0029670A"/>
    <w:rsid w:val="0029670C"/>
    <w:rsid w:val="00296711"/>
    <w:rsid w:val="0029679B"/>
    <w:rsid w:val="00296821"/>
    <w:rsid w:val="00296835"/>
    <w:rsid w:val="002968FA"/>
    <w:rsid w:val="00296919"/>
    <w:rsid w:val="00296929"/>
    <w:rsid w:val="00296960"/>
    <w:rsid w:val="0029697F"/>
    <w:rsid w:val="00296984"/>
    <w:rsid w:val="002969B0"/>
    <w:rsid w:val="00296A03"/>
    <w:rsid w:val="00296A32"/>
    <w:rsid w:val="00296AE2"/>
    <w:rsid w:val="00296B29"/>
    <w:rsid w:val="00296B51"/>
    <w:rsid w:val="00296B66"/>
    <w:rsid w:val="00296C0C"/>
    <w:rsid w:val="00296C31"/>
    <w:rsid w:val="00296CDF"/>
    <w:rsid w:val="00296CFA"/>
    <w:rsid w:val="00296D68"/>
    <w:rsid w:val="00296D73"/>
    <w:rsid w:val="00296D92"/>
    <w:rsid w:val="00296D9C"/>
    <w:rsid w:val="00296DA0"/>
    <w:rsid w:val="00296DB0"/>
    <w:rsid w:val="00296DE2"/>
    <w:rsid w:val="00296E5D"/>
    <w:rsid w:val="00296E78"/>
    <w:rsid w:val="00296F18"/>
    <w:rsid w:val="00296F6C"/>
    <w:rsid w:val="00296FA6"/>
    <w:rsid w:val="00296FDA"/>
    <w:rsid w:val="00296FF5"/>
    <w:rsid w:val="00297006"/>
    <w:rsid w:val="00297056"/>
    <w:rsid w:val="002970C0"/>
    <w:rsid w:val="002970C9"/>
    <w:rsid w:val="002971F5"/>
    <w:rsid w:val="00297218"/>
    <w:rsid w:val="0029724D"/>
    <w:rsid w:val="0029725A"/>
    <w:rsid w:val="0029726C"/>
    <w:rsid w:val="002972D7"/>
    <w:rsid w:val="002972F3"/>
    <w:rsid w:val="002973FB"/>
    <w:rsid w:val="00297452"/>
    <w:rsid w:val="002974AE"/>
    <w:rsid w:val="00297501"/>
    <w:rsid w:val="002975B3"/>
    <w:rsid w:val="002975C3"/>
    <w:rsid w:val="0029767C"/>
    <w:rsid w:val="002977DB"/>
    <w:rsid w:val="002977E4"/>
    <w:rsid w:val="0029781C"/>
    <w:rsid w:val="0029789D"/>
    <w:rsid w:val="002978C6"/>
    <w:rsid w:val="00297912"/>
    <w:rsid w:val="00297955"/>
    <w:rsid w:val="002979C1"/>
    <w:rsid w:val="00297A52"/>
    <w:rsid w:val="00297A53"/>
    <w:rsid w:val="00297A8A"/>
    <w:rsid w:val="00297AC2"/>
    <w:rsid w:val="00297AC3"/>
    <w:rsid w:val="00297B27"/>
    <w:rsid w:val="00297B43"/>
    <w:rsid w:val="00297B63"/>
    <w:rsid w:val="00297B89"/>
    <w:rsid w:val="00297BD3"/>
    <w:rsid w:val="00297BE3"/>
    <w:rsid w:val="00297CFE"/>
    <w:rsid w:val="00297DEC"/>
    <w:rsid w:val="00297E73"/>
    <w:rsid w:val="00297EBE"/>
    <w:rsid w:val="00297ED8"/>
    <w:rsid w:val="00297EF8"/>
    <w:rsid w:val="00297F16"/>
    <w:rsid w:val="00297F44"/>
    <w:rsid w:val="00297F81"/>
    <w:rsid w:val="00297FE6"/>
    <w:rsid w:val="002A001A"/>
    <w:rsid w:val="002A003B"/>
    <w:rsid w:val="002A006D"/>
    <w:rsid w:val="002A009F"/>
    <w:rsid w:val="002A00B8"/>
    <w:rsid w:val="002A00D5"/>
    <w:rsid w:val="002A00E3"/>
    <w:rsid w:val="002A012C"/>
    <w:rsid w:val="002A0137"/>
    <w:rsid w:val="002A0172"/>
    <w:rsid w:val="002A019F"/>
    <w:rsid w:val="002A01F7"/>
    <w:rsid w:val="002A0226"/>
    <w:rsid w:val="002A0241"/>
    <w:rsid w:val="002A02EF"/>
    <w:rsid w:val="002A032D"/>
    <w:rsid w:val="002A032F"/>
    <w:rsid w:val="002A03A9"/>
    <w:rsid w:val="002A03BE"/>
    <w:rsid w:val="002A040F"/>
    <w:rsid w:val="002A0416"/>
    <w:rsid w:val="002A04A4"/>
    <w:rsid w:val="002A04C4"/>
    <w:rsid w:val="002A04DF"/>
    <w:rsid w:val="002A04EA"/>
    <w:rsid w:val="002A0540"/>
    <w:rsid w:val="002A05A0"/>
    <w:rsid w:val="002A05B1"/>
    <w:rsid w:val="002A0613"/>
    <w:rsid w:val="002A06E7"/>
    <w:rsid w:val="002A07C7"/>
    <w:rsid w:val="002A07E8"/>
    <w:rsid w:val="002A07F9"/>
    <w:rsid w:val="002A0804"/>
    <w:rsid w:val="002A0829"/>
    <w:rsid w:val="002A086E"/>
    <w:rsid w:val="002A0893"/>
    <w:rsid w:val="002A08A6"/>
    <w:rsid w:val="002A08A9"/>
    <w:rsid w:val="002A08AA"/>
    <w:rsid w:val="002A08B7"/>
    <w:rsid w:val="002A08BB"/>
    <w:rsid w:val="002A08E2"/>
    <w:rsid w:val="002A0904"/>
    <w:rsid w:val="002A0953"/>
    <w:rsid w:val="002A09A5"/>
    <w:rsid w:val="002A0A2C"/>
    <w:rsid w:val="002A0A40"/>
    <w:rsid w:val="002A0A4D"/>
    <w:rsid w:val="002A0A79"/>
    <w:rsid w:val="002A0B83"/>
    <w:rsid w:val="002A0B85"/>
    <w:rsid w:val="002A0BBE"/>
    <w:rsid w:val="002A0C30"/>
    <w:rsid w:val="002A0C37"/>
    <w:rsid w:val="002A0C63"/>
    <w:rsid w:val="002A0C90"/>
    <w:rsid w:val="002A0CCC"/>
    <w:rsid w:val="002A0CF6"/>
    <w:rsid w:val="002A0DFF"/>
    <w:rsid w:val="002A0E15"/>
    <w:rsid w:val="002A0ED5"/>
    <w:rsid w:val="002A0F09"/>
    <w:rsid w:val="002A0F31"/>
    <w:rsid w:val="002A0F9C"/>
    <w:rsid w:val="002A10C2"/>
    <w:rsid w:val="002A1110"/>
    <w:rsid w:val="002A1121"/>
    <w:rsid w:val="002A1124"/>
    <w:rsid w:val="002A116A"/>
    <w:rsid w:val="002A11E6"/>
    <w:rsid w:val="002A1245"/>
    <w:rsid w:val="002A1298"/>
    <w:rsid w:val="002A129A"/>
    <w:rsid w:val="002A12ED"/>
    <w:rsid w:val="002A12F9"/>
    <w:rsid w:val="002A1360"/>
    <w:rsid w:val="002A1375"/>
    <w:rsid w:val="002A1379"/>
    <w:rsid w:val="002A13B8"/>
    <w:rsid w:val="002A1414"/>
    <w:rsid w:val="002A1429"/>
    <w:rsid w:val="002A14C4"/>
    <w:rsid w:val="002A14E1"/>
    <w:rsid w:val="002A14F3"/>
    <w:rsid w:val="002A1517"/>
    <w:rsid w:val="002A15E9"/>
    <w:rsid w:val="002A1635"/>
    <w:rsid w:val="002A1669"/>
    <w:rsid w:val="002A1694"/>
    <w:rsid w:val="002A16FB"/>
    <w:rsid w:val="002A1718"/>
    <w:rsid w:val="002A1741"/>
    <w:rsid w:val="002A175A"/>
    <w:rsid w:val="002A17A5"/>
    <w:rsid w:val="002A17E9"/>
    <w:rsid w:val="002A17ED"/>
    <w:rsid w:val="002A193E"/>
    <w:rsid w:val="002A198C"/>
    <w:rsid w:val="002A1A5D"/>
    <w:rsid w:val="002A1A77"/>
    <w:rsid w:val="002A1B48"/>
    <w:rsid w:val="002A1B63"/>
    <w:rsid w:val="002A1BDA"/>
    <w:rsid w:val="002A1CA0"/>
    <w:rsid w:val="002A1D4C"/>
    <w:rsid w:val="002A1D61"/>
    <w:rsid w:val="002A1D6F"/>
    <w:rsid w:val="002A1D9A"/>
    <w:rsid w:val="002A1DE4"/>
    <w:rsid w:val="002A1DF3"/>
    <w:rsid w:val="002A1E1E"/>
    <w:rsid w:val="002A1E42"/>
    <w:rsid w:val="002A1E80"/>
    <w:rsid w:val="002A1EAD"/>
    <w:rsid w:val="002A1F0D"/>
    <w:rsid w:val="002A1F57"/>
    <w:rsid w:val="002A1FA2"/>
    <w:rsid w:val="002A1FFD"/>
    <w:rsid w:val="002A200B"/>
    <w:rsid w:val="002A200F"/>
    <w:rsid w:val="002A2036"/>
    <w:rsid w:val="002A2074"/>
    <w:rsid w:val="002A20A7"/>
    <w:rsid w:val="002A20C2"/>
    <w:rsid w:val="002A216C"/>
    <w:rsid w:val="002A2288"/>
    <w:rsid w:val="002A22BC"/>
    <w:rsid w:val="002A22F3"/>
    <w:rsid w:val="002A2328"/>
    <w:rsid w:val="002A242C"/>
    <w:rsid w:val="002A2462"/>
    <w:rsid w:val="002A2472"/>
    <w:rsid w:val="002A24AB"/>
    <w:rsid w:val="002A24C2"/>
    <w:rsid w:val="002A24C4"/>
    <w:rsid w:val="002A253B"/>
    <w:rsid w:val="002A2555"/>
    <w:rsid w:val="002A2592"/>
    <w:rsid w:val="002A2597"/>
    <w:rsid w:val="002A263E"/>
    <w:rsid w:val="002A265D"/>
    <w:rsid w:val="002A2687"/>
    <w:rsid w:val="002A270E"/>
    <w:rsid w:val="002A2714"/>
    <w:rsid w:val="002A275E"/>
    <w:rsid w:val="002A2789"/>
    <w:rsid w:val="002A27DA"/>
    <w:rsid w:val="002A2801"/>
    <w:rsid w:val="002A2807"/>
    <w:rsid w:val="002A2834"/>
    <w:rsid w:val="002A2845"/>
    <w:rsid w:val="002A28CC"/>
    <w:rsid w:val="002A28FA"/>
    <w:rsid w:val="002A2906"/>
    <w:rsid w:val="002A2922"/>
    <w:rsid w:val="002A2928"/>
    <w:rsid w:val="002A292D"/>
    <w:rsid w:val="002A2984"/>
    <w:rsid w:val="002A2A20"/>
    <w:rsid w:val="002A2B06"/>
    <w:rsid w:val="002A2B2B"/>
    <w:rsid w:val="002A2B79"/>
    <w:rsid w:val="002A2BB4"/>
    <w:rsid w:val="002A2BC1"/>
    <w:rsid w:val="002A2BD4"/>
    <w:rsid w:val="002A2C2E"/>
    <w:rsid w:val="002A2C78"/>
    <w:rsid w:val="002A2C85"/>
    <w:rsid w:val="002A2CBF"/>
    <w:rsid w:val="002A2D35"/>
    <w:rsid w:val="002A2D80"/>
    <w:rsid w:val="002A2DEB"/>
    <w:rsid w:val="002A2E01"/>
    <w:rsid w:val="002A2E42"/>
    <w:rsid w:val="002A2E4B"/>
    <w:rsid w:val="002A2E89"/>
    <w:rsid w:val="002A2EF1"/>
    <w:rsid w:val="002A30D9"/>
    <w:rsid w:val="002A30E9"/>
    <w:rsid w:val="002A30F4"/>
    <w:rsid w:val="002A3120"/>
    <w:rsid w:val="002A312B"/>
    <w:rsid w:val="002A3137"/>
    <w:rsid w:val="002A3140"/>
    <w:rsid w:val="002A316D"/>
    <w:rsid w:val="002A3226"/>
    <w:rsid w:val="002A3258"/>
    <w:rsid w:val="002A32D3"/>
    <w:rsid w:val="002A33BC"/>
    <w:rsid w:val="002A33DB"/>
    <w:rsid w:val="002A34C1"/>
    <w:rsid w:val="002A34C8"/>
    <w:rsid w:val="002A34ED"/>
    <w:rsid w:val="002A3584"/>
    <w:rsid w:val="002A35DA"/>
    <w:rsid w:val="002A361E"/>
    <w:rsid w:val="002A3625"/>
    <w:rsid w:val="002A3762"/>
    <w:rsid w:val="002A376A"/>
    <w:rsid w:val="002A384F"/>
    <w:rsid w:val="002A388E"/>
    <w:rsid w:val="002A3894"/>
    <w:rsid w:val="002A3895"/>
    <w:rsid w:val="002A38A0"/>
    <w:rsid w:val="002A38A5"/>
    <w:rsid w:val="002A38F9"/>
    <w:rsid w:val="002A397F"/>
    <w:rsid w:val="002A39B7"/>
    <w:rsid w:val="002A39CD"/>
    <w:rsid w:val="002A39D8"/>
    <w:rsid w:val="002A39D9"/>
    <w:rsid w:val="002A3AAB"/>
    <w:rsid w:val="002A3B03"/>
    <w:rsid w:val="002A3B51"/>
    <w:rsid w:val="002A3BA2"/>
    <w:rsid w:val="002A3BBD"/>
    <w:rsid w:val="002A3C23"/>
    <w:rsid w:val="002A3C80"/>
    <w:rsid w:val="002A3CCD"/>
    <w:rsid w:val="002A3CDA"/>
    <w:rsid w:val="002A3D0F"/>
    <w:rsid w:val="002A3D47"/>
    <w:rsid w:val="002A3D56"/>
    <w:rsid w:val="002A3D5A"/>
    <w:rsid w:val="002A3DF3"/>
    <w:rsid w:val="002A3E83"/>
    <w:rsid w:val="002A3EEB"/>
    <w:rsid w:val="002A3F70"/>
    <w:rsid w:val="002A3F97"/>
    <w:rsid w:val="002A3FB1"/>
    <w:rsid w:val="002A3FF5"/>
    <w:rsid w:val="002A4021"/>
    <w:rsid w:val="002A40A7"/>
    <w:rsid w:val="002A40B2"/>
    <w:rsid w:val="002A40EE"/>
    <w:rsid w:val="002A4121"/>
    <w:rsid w:val="002A4151"/>
    <w:rsid w:val="002A4181"/>
    <w:rsid w:val="002A41AD"/>
    <w:rsid w:val="002A41F3"/>
    <w:rsid w:val="002A4204"/>
    <w:rsid w:val="002A422C"/>
    <w:rsid w:val="002A436F"/>
    <w:rsid w:val="002A4436"/>
    <w:rsid w:val="002A4500"/>
    <w:rsid w:val="002A4527"/>
    <w:rsid w:val="002A4536"/>
    <w:rsid w:val="002A456A"/>
    <w:rsid w:val="002A4592"/>
    <w:rsid w:val="002A45CA"/>
    <w:rsid w:val="002A4669"/>
    <w:rsid w:val="002A467E"/>
    <w:rsid w:val="002A4689"/>
    <w:rsid w:val="002A46FC"/>
    <w:rsid w:val="002A470D"/>
    <w:rsid w:val="002A4799"/>
    <w:rsid w:val="002A47E2"/>
    <w:rsid w:val="002A4859"/>
    <w:rsid w:val="002A4865"/>
    <w:rsid w:val="002A48AE"/>
    <w:rsid w:val="002A48B8"/>
    <w:rsid w:val="002A48D9"/>
    <w:rsid w:val="002A48F7"/>
    <w:rsid w:val="002A4931"/>
    <w:rsid w:val="002A4948"/>
    <w:rsid w:val="002A498F"/>
    <w:rsid w:val="002A49CE"/>
    <w:rsid w:val="002A49F0"/>
    <w:rsid w:val="002A4A1A"/>
    <w:rsid w:val="002A4A33"/>
    <w:rsid w:val="002A4A67"/>
    <w:rsid w:val="002A4AA2"/>
    <w:rsid w:val="002A4ABD"/>
    <w:rsid w:val="002A4ADA"/>
    <w:rsid w:val="002A4B17"/>
    <w:rsid w:val="002A4B51"/>
    <w:rsid w:val="002A4BE0"/>
    <w:rsid w:val="002A4C08"/>
    <w:rsid w:val="002A4CF4"/>
    <w:rsid w:val="002A4D81"/>
    <w:rsid w:val="002A4DBA"/>
    <w:rsid w:val="002A4DC4"/>
    <w:rsid w:val="002A4DC9"/>
    <w:rsid w:val="002A4DF8"/>
    <w:rsid w:val="002A4E3E"/>
    <w:rsid w:val="002A4E4A"/>
    <w:rsid w:val="002A4E5E"/>
    <w:rsid w:val="002A4E77"/>
    <w:rsid w:val="002A4E87"/>
    <w:rsid w:val="002A4E90"/>
    <w:rsid w:val="002A4EA2"/>
    <w:rsid w:val="002A4EB3"/>
    <w:rsid w:val="002A4EC0"/>
    <w:rsid w:val="002A4EE9"/>
    <w:rsid w:val="002A4F5D"/>
    <w:rsid w:val="002A4FD1"/>
    <w:rsid w:val="002A4FE8"/>
    <w:rsid w:val="002A4FF8"/>
    <w:rsid w:val="002A4FFE"/>
    <w:rsid w:val="002A5034"/>
    <w:rsid w:val="002A5077"/>
    <w:rsid w:val="002A50FF"/>
    <w:rsid w:val="002A5130"/>
    <w:rsid w:val="002A515C"/>
    <w:rsid w:val="002A51FC"/>
    <w:rsid w:val="002A5241"/>
    <w:rsid w:val="002A525B"/>
    <w:rsid w:val="002A526B"/>
    <w:rsid w:val="002A528F"/>
    <w:rsid w:val="002A5304"/>
    <w:rsid w:val="002A532A"/>
    <w:rsid w:val="002A533C"/>
    <w:rsid w:val="002A534F"/>
    <w:rsid w:val="002A535D"/>
    <w:rsid w:val="002A5368"/>
    <w:rsid w:val="002A5379"/>
    <w:rsid w:val="002A539D"/>
    <w:rsid w:val="002A53D6"/>
    <w:rsid w:val="002A5430"/>
    <w:rsid w:val="002A5473"/>
    <w:rsid w:val="002A54EF"/>
    <w:rsid w:val="002A54F4"/>
    <w:rsid w:val="002A5502"/>
    <w:rsid w:val="002A5560"/>
    <w:rsid w:val="002A55A8"/>
    <w:rsid w:val="002A55FA"/>
    <w:rsid w:val="002A5605"/>
    <w:rsid w:val="002A564F"/>
    <w:rsid w:val="002A568D"/>
    <w:rsid w:val="002A56A0"/>
    <w:rsid w:val="002A56A7"/>
    <w:rsid w:val="002A5730"/>
    <w:rsid w:val="002A57E9"/>
    <w:rsid w:val="002A57F1"/>
    <w:rsid w:val="002A581C"/>
    <w:rsid w:val="002A584B"/>
    <w:rsid w:val="002A584C"/>
    <w:rsid w:val="002A5907"/>
    <w:rsid w:val="002A5930"/>
    <w:rsid w:val="002A593C"/>
    <w:rsid w:val="002A5968"/>
    <w:rsid w:val="002A5984"/>
    <w:rsid w:val="002A598F"/>
    <w:rsid w:val="002A5992"/>
    <w:rsid w:val="002A59AB"/>
    <w:rsid w:val="002A59B8"/>
    <w:rsid w:val="002A59C2"/>
    <w:rsid w:val="002A5A12"/>
    <w:rsid w:val="002A5A72"/>
    <w:rsid w:val="002A5B21"/>
    <w:rsid w:val="002A5B2A"/>
    <w:rsid w:val="002A5B3E"/>
    <w:rsid w:val="002A5B40"/>
    <w:rsid w:val="002A5B99"/>
    <w:rsid w:val="002A5BAD"/>
    <w:rsid w:val="002A5BDE"/>
    <w:rsid w:val="002A5C1B"/>
    <w:rsid w:val="002A5C34"/>
    <w:rsid w:val="002A5C51"/>
    <w:rsid w:val="002A5C60"/>
    <w:rsid w:val="002A5C74"/>
    <w:rsid w:val="002A5C92"/>
    <w:rsid w:val="002A5D63"/>
    <w:rsid w:val="002A5DDF"/>
    <w:rsid w:val="002A5E42"/>
    <w:rsid w:val="002A5E5E"/>
    <w:rsid w:val="002A5E67"/>
    <w:rsid w:val="002A5EE8"/>
    <w:rsid w:val="002A5EF3"/>
    <w:rsid w:val="002A5F9C"/>
    <w:rsid w:val="002A5FCA"/>
    <w:rsid w:val="002A5FCB"/>
    <w:rsid w:val="002A5FEE"/>
    <w:rsid w:val="002A5FF7"/>
    <w:rsid w:val="002A60D6"/>
    <w:rsid w:val="002A614A"/>
    <w:rsid w:val="002A615F"/>
    <w:rsid w:val="002A6169"/>
    <w:rsid w:val="002A61F1"/>
    <w:rsid w:val="002A61F9"/>
    <w:rsid w:val="002A6277"/>
    <w:rsid w:val="002A627A"/>
    <w:rsid w:val="002A62F7"/>
    <w:rsid w:val="002A6356"/>
    <w:rsid w:val="002A6399"/>
    <w:rsid w:val="002A63D0"/>
    <w:rsid w:val="002A63D7"/>
    <w:rsid w:val="002A63FE"/>
    <w:rsid w:val="002A651B"/>
    <w:rsid w:val="002A6594"/>
    <w:rsid w:val="002A65BD"/>
    <w:rsid w:val="002A65C4"/>
    <w:rsid w:val="002A663B"/>
    <w:rsid w:val="002A668F"/>
    <w:rsid w:val="002A66AC"/>
    <w:rsid w:val="002A66D3"/>
    <w:rsid w:val="002A66EC"/>
    <w:rsid w:val="002A6723"/>
    <w:rsid w:val="002A6743"/>
    <w:rsid w:val="002A6751"/>
    <w:rsid w:val="002A67D4"/>
    <w:rsid w:val="002A67D8"/>
    <w:rsid w:val="002A68BC"/>
    <w:rsid w:val="002A6911"/>
    <w:rsid w:val="002A698C"/>
    <w:rsid w:val="002A69D7"/>
    <w:rsid w:val="002A69FE"/>
    <w:rsid w:val="002A6ADD"/>
    <w:rsid w:val="002A6B74"/>
    <w:rsid w:val="002A6C12"/>
    <w:rsid w:val="002A6C73"/>
    <w:rsid w:val="002A6CAB"/>
    <w:rsid w:val="002A6CB4"/>
    <w:rsid w:val="002A6CBE"/>
    <w:rsid w:val="002A6CEB"/>
    <w:rsid w:val="002A6D2D"/>
    <w:rsid w:val="002A6D8F"/>
    <w:rsid w:val="002A6DA2"/>
    <w:rsid w:val="002A6DAF"/>
    <w:rsid w:val="002A6DC2"/>
    <w:rsid w:val="002A6E84"/>
    <w:rsid w:val="002A6EC0"/>
    <w:rsid w:val="002A6ED8"/>
    <w:rsid w:val="002A6EEF"/>
    <w:rsid w:val="002A6F01"/>
    <w:rsid w:val="002A6F29"/>
    <w:rsid w:val="002A6F81"/>
    <w:rsid w:val="002A6FAF"/>
    <w:rsid w:val="002A708E"/>
    <w:rsid w:val="002A70E2"/>
    <w:rsid w:val="002A7121"/>
    <w:rsid w:val="002A71D0"/>
    <w:rsid w:val="002A7239"/>
    <w:rsid w:val="002A72F6"/>
    <w:rsid w:val="002A730F"/>
    <w:rsid w:val="002A7324"/>
    <w:rsid w:val="002A7337"/>
    <w:rsid w:val="002A7384"/>
    <w:rsid w:val="002A7418"/>
    <w:rsid w:val="002A74A5"/>
    <w:rsid w:val="002A74B5"/>
    <w:rsid w:val="002A751C"/>
    <w:rsid w:val="002A7558"/>
    <w:rsid w:val="002A7591"/>
    <w:rsid w:val="002A75BD"/>
    <w:rsid w:val="002A7660"/>
    <w:rsid w:val="002A76C1"/>
    <w:rsid w:val="002A777F"/>
    <w:rsid w:val="002A7790"/>
    <w:rsid w:val="002A77BE"/>
    <w:rsid w:val="002A7840"/>
    <w:rsid w:val="002A7841"/>
    <w:rsid w:val="002A788F"/>
    <w:rsid w:val="002A789E"/>
    <w:rsid w:val="002A78BA"/>
    <w:rsid w:val="002A78C2"/>
    <w:rsid w:val="002A78C4"/>
    <w:rsid w:val="002A790F"/>
    <w:rsid w:val="002A7937"/>
    <w:rsid w:val="002A7A86"/>
    <w:rsid w:val="002A7AC9"/>
    <w:rsid w:val="002A7AE8"/>
    <w:rsid w:val="002A7B76"/>
    <w:rsid w:val="002A7BCF"/>
    <w:rsid w:val="002A7C27"/>
    <w:rsid w:val="002A7C2F"/>
    <w:rsid w:val="002A7C81"/>
    <w:rsid w:val="002A7CF7"/>
    <w:rsid w:val="002A7D2B"/>
    <w:rsid w:val="002A7D46"/>
    <w:rsid w:val="002A7D76"/>
    <w:rsid w:val="002A7E1C"/>
    <w:rsid w:val="002A7E42"/>
    <w:rsid w:val="002A7E4A"/>
    <w:rsid w:val="002A7E73"/>
    <w:rsid w:val="002A7EA5"/>
    <w:rsid w:val="002A7EBA"/>
    <w:rsid w:val="002A7F04"/>
    <w:rsid w:val="002A7F73"/>
    <w:rsid w:val="002B0000"/>
    <w:rsid w:val="002B000C"/>
    <w:rsid w:val="002B00B4"/>
    <w:rsid w:val="002B00E5"/>
    <w:rsid w:val="002B019B"/>
    <w:rsid w:val="002B01A9"/>
    <w:rsid w:val="002B01BB"/>
    <w:rsid w:val="002B01C9"/>
    <w:rsid w:val="002B02BC"/>
    <w:rsid w:val="002B02C0"/>
    <w:rsid w:val="002B0343"/>
    <w:rsid w:val="002B0380"/>
    <w:rsid w:val="002B03DA"/>
    <w:rsid w:val="002B03EC"/>
    <w:rsid w:val="002B041D"/>
    <w:rsid w:val="002B04BA"/>
    <w:rsid w:val="002B04D5"/>
    <w:rsid w:val="002B0544"/>
    <w:rsid w:val="002B0547"/>
    <w:rsid w:val="002B0630"/>
    <w:rsid w:val="002B0674"/>
    <w:rsid w:val="002B06A5"/>
    <w:rsid w:val="002B078A"/>
    <w:rsid w:val="002B07CA"/>
    <w:rsid w:val="002B0860"/>
    <w:rsid w:val="002B08F5"/>
    <w:rsid w:val="002B09F1"/>
    <w:rsid w:val="002B09FC"/>
    <w:rsid w:val="002B0A2A"/>
    <w:rsid w:val="002B0A52"/>
    <w:rsid w:val="002B0AA9"/>
    <w:rsid w:val="002B0AFF"/>
    <w:rsid w:val="002B0BB5"/>
    <w:rsid w:val="002B0C04"/>
    <w:rsid w:val="002B0C58"/>
    <w:rsid w:val="002B0C94"/>
    <w:rsid w:val="002B0CAC"/>
    <w:rsid w:val="002B0CF6"/>
    <w:rsid w:val="002B0D15"/>
    <w:rsid w:val="002B0D44"/>
    <w:rsid w:val="002B0D5F"/>
    <w:rsid w:val="002B0D75"/>
    <w:rsid w:val="002B0DD1"/>
    <w:rsid w:val="002B0DE9"/>
    <w:rsid w:val="002B0E22"/>
    <w:rsid w:val="002B0E6E"/>
    <w:rsid w:val="002B0E72"/>
    <w:rsid w:val="002B0E75"/>
    <w:rsid w:val="002B0E9D"/>
    <w:rsid w:val="002B0EB5"/>
    <w:rsid w:val="002B0F19"/>
    <w:rsid w:val="002B0FC5"/>
    <w:rsid w:val="002B0FF4"/>
    <w:rsid w:val="002B106D"/>
    <w:rsid w:val="002B1084"/>
    <w:rsid w:val="002B10FC"/>
    <w:rsid w:val="002B1117"/>
    <w:rsid w:val="002B124D"/>
    <w:rsid w:val="002B12B7"/>
    <w:rsid w:val="002B12C8"/>
    <w:rsid w:val="002B1314"/>
    <w:rsid w:val="002B1318"/>
    <w:rsid w:val="002B1340"/>
    <w:rsid w:val="002B1345"/>
    <w:rsid w:val="002B139C"/>
    <w:rsid w:val="002B140B"/>
    <w:rsid w:val="002B1424"/>
    <w:rsid w:val="002B1462"/>
    <w:rsid w:val="002B1466"/>
    <w:rsid w:val="002B146D"/>
    <w:rsid w:val="002B14F0"/>
    <w:rsid w:val="002B150D"/>
    <w:rsid w:val="002B1515"/>
    <w:rsid w:val="002B15C3"/>
    <w:rsid w:val="002B15C9"/>
    <w:rsid w:val="002B1648"/>
    <w:rsid w:val="002B1649"/>
    <w:rsid w:val="002B16E0"/>
    <w:rsid w:val="002B1760"/>
    <w:rsid w:val="002B17F0"/>
    <w:rsid w:val="002B18AF"/>
    <w:rsid w:val="002B18DC"/>
    <w:rsid w:val="002B18EC"/>
    <w:rsid w:val="002B18F0"/>
    <w:rsid w:val="002B1963"/>
    <w:rsid w:val="002B1A1E"/>
    <w:rsid w:val="002B1A57"/>
    <w:rsid w:val="002B1AC1"/>
    <w:rsid w:val="002B1AC8"/>
    <w:rsid w:val="002B1AC9"/>
    <w:rsid w:val="002B1AEF"/>
    <w:rsid w:val="002B1AF3"/>
    <w:rsid w:val="002B1B35"/>
    <w:rsid w:val="002B1B87"/>
    <w:rsid w:val="002B1C4C"/>
    <w:rsid w:val="002B1C55"/>
    <w:rsid w:val="002B1C5D"/>
    <w:rsid w:val="002B1C87"/>
    <w:rsid w:val="002B1CE2"/>
    <w:rsid w:val="002B1CE4"/>
    <w:rsid w:val="002B1CF1"/>
    <w:rsid w:val="002B1CF3"/>
    <w:rsid w:val="002B1DA5"/>
    <w:rsid w:val="002B1E1E"/>
    <w:rsid w:val="002B1E39"/>
    <w:rsid w:val="002B1E3F"/>
    <w:rsid w:val="002B1E42"/>
    <w:rsid w:val="002B1EFD"/>
    <w:rsid w:val="002B2044"/>
    <w:rsid w:val="002B211D"/>
    <w:rsid w:val="002B2125"/>
    <w:rsid w:val="002B219D"/>
    <w:rsid w:val="002B21BF"/>
    <w:rsid w:val="002B21C3"/>
    <w:rsid w:val="002B2227"/>
    <w:rsid w:val="002B2259"/>
    <w:rsid w:val="002B2277"/>
    <w:rsid w:val="002B233B"/>
    <w:rsid w:val="002B233F"/>
    <w:rsid w:val="002B2353"/>
    <w:rsid w:val="002B2365"/>
    <w:rsid w:val="002B2381"/>
    <w:rsid w:val="002B23B6"/>
    <w:rsid w:val="002B2435"/>
    <w:rsid w:val="002B247B"/>
    <w:rsid w:val="002B2499"/>
    <w:rsid w:val="002B2505"/>
    <w:rsid w:val="002B257D"/>
    <w:rsid w:val="002B25A3"/>
    <w:rsid w:val="002B25DA"/>
    <w:rsid w:val="002B2631"/>
    <w:rsid w:val="002B26B7"/>
    <w:rsid w:val="002B26D0"/>
    <w:rsid w:val="002B271D"/>
    <w:rsid w:val="002B27B3"/>
    <w:rsid w:val="002B2800"/>
    <w:rsid w:val="002B2804"/>
    <w:rsid w:val="002B2810"/>
    <w:rsid w:val="002B2819"/>
    <w:rsid w:val="002B28AA"/>
    <w:rsid w:val="002B28DB"/>
    <w:rsid w:val="002B28E6"/>
    <w:rsid w:val="002B294E"/>
    <w:rsid w:val="002B29BB"/>
    <w:rsid w:val="002B29C2"/>
    <w:rsid w:val="002B2A08"/>
    <w:rsid w:val="002B2A42"/>
    <w:rsid w:val="002B2A9E"/>
    <w:rsid w:val="002B2AA6"/>
    <w:rsid w:val="002B2B3C"/>
    <w:rsid w:val="002B2B68"/>
    <w:rsid w:val="002B2B6F"/>
    <w:rsid w:val="002B2BD7"/>
    <w:rsid w:val="002B2C0A"/>
    <w:rsid w:val="002B2C55"/>
    <w:rsid w:val="002B2C8C"/>
    <w:rsid w:val="002B2D0C"/>
    <w:rsid w:val="002B2D58"/>
    <w:rsid w:val="002B2D5F"/>
    <w:rsid w:val="002B2E26"/>
    <w:rsid w:val="002B2EB6"/>
    <w:rsid w:val="002B2ED1"/>
    <w:rsid w:val="002B2EE1"/>
    <w:rsid w:val="002B2EF1"/>
    <w:rsid w:val="002B2F44"/>
    <w:rsid w:val="002B2F64"/>
    <w:rsid w:val="002B2FD9"/>
    <w:rsid w:val="002B2FE1"/>
    <w:rsid w:val="002B3097"/>
    <w:rsid w:val="002B30DB"/>
    <w:rsid w:val="002B30E7"/>
    <w:rsid w:val="002B3165"/>
    <w:rsid w:val="002B316B"/>
    <w:rsid w:val="002B3186"/>
    <w:rsid w:val="002B31E0"/>
    <w:rsid w:val="002B31EA"/>
    <w:rsid w:val="002B31EF"/>
    <w:rsid w:val="002B323A"/>
    <w:rsid w:val="002B32A9"/>
    <w:rsid w:val="002B32BC"/>
    <w:rsid w:val="002B32C7"/>
    <w:rsid w:val="002B32EE"/>
    <w:rsid w:val="002B340C"/>
    <w:rsid w:val="002B349A"/>
    <w:rsid w:val="002B34D5"/>
    <w:rsid w:val="002B34F2"/>
    <w:rsid w:val="002B358F"/>
    <w:rsid w:val="002B3592"/>
    <w:rsid w:val="002B35F5"/>
    <w:rsid w:val="002B362D"/>
    <w:rsid w:val="002B364F"/>
    <w:rsid w:val="002B365D"/>
    <w:rsid w:val="002B36E6"/>
    <w:rsid w:val="002B370E"/>
    <w:rsid w:val="002B3777"/>
    <w:rsid w:val="002B37F2"/>
    <w:rsid w:val="002B37F5"/>
    <w:rsid w:val="002B37FD"/>
    <w:rsid w:val="002B3805"/>
    <w:rsid w:val="002B381D"/>
    <w:rsid w:val="002B388B"/>
    <w:rsid w:val="002B388D"/>
    <w:rsid w:val="002B38D6"/>
    <w:rsid w:val="002B38F2"/>
    <w:rsid w:val="002B3909"/>
    <w:rsid w:val="002B391E"/>
    <w:rsid w:val="002B394E"/>
    <w:rsid w:val="002B399A"/>
    <w:rsid w:val="002B3A11"/>
    <w:rsid w:val="002B3A30"/>
    <w:rsid w:val="002B3A4E"/>
    <w:rsid w:val="002B3AAD"/>
    <w:rsid w:val="002B3B6A"/>
    <w:rsid w:val="002B3CE7"/>
    <w:rsid w:val="002B3D23"/>
    <w:rsid w:val="002B3D58"/>
    <w:rsid w:val="002B3D86"/>
    <w:rsid w:val="002B3D92"/>
    <w:rsid w:val="002B3DCC"/>
    <w:rsid w:val="002B3DDF"/>
    <w:rsid w:val="002B3DE4"/>
    <w:rsid w:val="002B3E9C"/>
    <w:rsid w:val="002B3F3A"/>
    <w:rsid w:val="002B3F58"/>
    <w:rsid w:val="002B3F68"/>
    <w:rsid w:val="002B3FA4"/>
    <w:rsid w:val="002B3FA7"/>
    <w:rsid w:val="002B3FB7"/>
    <w:rsid w:val="002B3FF6"/>
    <w:rsid w:val="002B3FF8"/>
    <w:rsid w:val="002B3FFC"/>
    <w:rsid w:val="002B4027"/>
    <w:rsid w:val="002B40A2"/>
    <w:rsid w:val="002B40C2"/>
    <w:rsid w:val="002B40F3"/>
    <w:rsid w:val="002B4103"/>
    <w:rsid w:val="002B4106"/>
    <w:rsid w:val="002B410A"/>
    <w:rsid w:val="002B411F"/>
    <w:rsid w:val="002B4120"/>
    <w:rsid w:val="002B416A"/>
    <w:rsid w:val="002B420B"/>
    <w:rsid w:val="002B4276"/>
    <w:rsid w:val="002B4283"/>
    <w:rsid w:val="002B42DC"/>
    <w:rsid w:val="002B4374"/>
    <w:rsid w:val="002B43AA"/>
    <w:rsid w:val="002B443A"/>
    <w:rsid w:val="002B4532"/>
    <w:rsid w:val="002B45C1"/>
    <w:rsid w:val="002B45F2"/>
    <w:rsid w:val="002B4706"/>
    <w:rsid w:val="002B479E"/>
    <w:rsid w:val="002B47A7"/>
    <w:rsid w:val="002B47B0"/>
    <w:rsid w:val="002B47D3"/>
    <w:rsid w:val="002B4856"/>
    <w:rsid w:val="002B4871"/>
    <w:rsid w:val="002B48C2"/>
    <w:rsid w:val="002B48E6"/>
    <w:rsid w:val="002B49C9"/>
    <w:rsid w:val="002B49E5"/>
    <w:rsid w:val="002B4A41"/>
    <w:rsid w:val="002B4A58"/>
    <w:rsid w:val="002B4A64"/>
    <w:rsid w:val="002B4AB9"/>
    <w:rsid w:val="002B4B06"/>
    <w:rsid w:val="002B4B1A"/>
    <w:rsid w:val="002B4B43"/>
    <w:rsid w:val="002B4B84"/>
    <w:rsid w:val="002B4C8C"/>
    <w:rsid w:val="002B4CC5"/>
    <w:rsid w:val="002B4CCE"/>
    <w:rsid w:val="002B4D8D"/>
    <w:rsid w:val="002B4E9D"/>
    <w:rsid w:val="002B4E9F"/>
    <w:rsid w:val="002B4FA2"/>
    <w:rsid w:val="002B5038"/>
    <w:rsid w:val="002B504B"/>
    <w:rsid w:val="002B50B8"/>
    <w:rsid w:val="002B5155"/>
    <w:rsid w:val="002B515D"/>
    <w:rsid w:val="002B51D1"/>
    <w:rsid w:val="002B524D"/>
    <w:rsid w:val="002B5263"/>
    <w:rsid w:val="002B52D0"/>
    <w:rsid w:val="002B52EF"/>
    <w:rsid w:val="002B533F"/>
    <w:rsid w:val="002B5377"/>
    <w:rsid w:val="002B53A9"/>
    <w:rsid w:val="002B53D0"/>
    <w:rsid w:val="002B5410"/>
    <w:rsid w:val="002B5495"/>
    <w:rsid w:val="002B54C9"/>
    <w:rsid w:val="002B54CA"/>
    <w:rsid w:val="002B54CF"/>
    <w:rsid w:val="002B5543"/>
    <w:rsid w:val="002B557B"/>
    <w:rsid w:val="002B5596"/>
    <w:rsid w:val="002B559A"/>
    <w:rsid w:val="002B5695"/>
    <w:rsid w:val="002B5714"/>
    <w:rsid w:val="002B578F"/>
    <w:rsid w:val="002B5848"/>
    <w:rsid w:val="002B5865"/>
    <w:rsid w:val="002B5886"/>
    <w:rsid w:val="002B59F9"/>
    <w:rsid w:val="002B5A46"/>
    <w:rsid w:val="002B5A74"/>
    <w:rsid w:val="002B5A78"/>
    <w:rsid w:val="002B5AE8"/>
    <w:rsid w:val="002B5B11"/>
    <w:rsid w:val="002B5B54"/>
    <w:rsid w:val="002B5B7A"/>
    <w:rsid w:val="002B5B93"/>
    <w:rsid w:val="002B5BF0"/>
    <w:rsid w:val="002B5C2A"/>
    <w:rsid w:val="002B5CA3"/>
    <w:rsid w:val="002B5CBC"/>
    <w:rsid w:val="002B5D04"/>
    <w:rsid w:val="002B5D1D"/>
    <w:rsid w:val="002B5D94"/>
    <w:rsid w:val="002B5E5A"/>
    <w:rsid w:val="002B5EAB"/>
    <w:rsid w:val="002B5EE4"/>
    <w:rsid w:val="002B5F2E"/>
    <w:rsid w:val="002B5F3C"/>
    <w:rsid w:val="002B5F85"/>
    <w:rsid w:val="002B5FF9"/>
    <w:rsid w:val="002B602A"/>
    <w:rsid w:val="002B60B0"/>
    <w:rsid w:val="002B60D5"/>
    <w:rsid w:val="002B60EA"/>
    <w:rsid w:val="002B61A0"/>
    <w:rsid w:val="002B61A8"/>
    <w:rsid w:val="002B61AE"/>
    <w:rsid w:val="002B6240"/>
    <w:rsid w:val="002B625B"/>
    <w:rsid w:val="002B627A"/>
    <w:rsid w:val="002B629D"/>
    <w:rsid w:val="002B62BC"/>
    <w:rsid w:val="002B62C5"/>
    <w:rsid w:val="002B62C6"/>
    <w:rsid w:val="002B62E1"/>
    <w:rsid w:val="002B6323"/>
    <w:rsid w:val="002B6355"/>
    <w:rsid w:val="002B63BA"/>
    <w:rsid w:val="002B63C6"/>
    <w:rsid w:val="002B63F0"/>
    <w:rsid w:val="002B6459"/>
    <w:rsid w:val="002B6489"/>
    <w:rsid w:val="002B64AC"/>
    <w:rsid w:val="002B64E9"/>
    <w:rsid w:val="002B652B"/>
    <w:rsid w:val="002B653B"/>
    <w:rsid w:val="002B65E2"/>
    <w:rsid w:val="002B669B"/>
    <w:rsid w:val="002B66FB"/>
    <w:rsid w:val="002B6721"/>
    <w:rsid w:val="002B67B2"/>
    <w:rsid w:val="002B67EC"/>
    <w:rsid w:val="002B6819"/>
    <w:rsid w:val="002B6888"/>
    <w:rsid w:val="002B68B0"/>
    <w:rsid w:val="002B698F"/>
    <w:rsid w:val="002B6990"/>
    <w:rsid w:val="002B69F4"/>
    <w:rsid w:val="002B6A02"/>
    <w:rsid w:val="002B6A99"/>
    <w:rsid w:val="002B6B69"/>
    <w:rsid w:val="002B6B8A"/>
    <w:rsid w:val="002B6BC3"/>
    <w:rsid w:val="002B6C8F"/>
    <w:rsid w:val="002B6C99"/>
    <w:rsid w:val="002B6CA7"/>
    <w:rsid w:val="002B6CEE"/>
    <w:rsid w:val="002B6D3A"/>
    <w:rsid w:val="002B6E14"/>
    <w:rsid w:val="002B6E6D"/>
    <w:rsid w:val="002B6E90"/>
    <w:rsid w:val="002B6EA3"/>
    <w:rsid w:val="002B6EDA"/>
    <w:rsid w:val="002B6FF9"/>
    <w:rsid w:val="002B707B"/>
    <w:rsid w:val="002B70AC"/>
    <w:rsid w:val="002B70D5"/>
    <w:rsid w:val="002B70D8"/>
    <w:rsid w:val="002B711C"/>
    <w:rsid w:val="002B718A"/>
    <w:rsid w:val="002B71E4"/>
    <w:rsid w:val="002B7265"/>
    <w:rsid w:val="002B7354"/>
    <w:rsid w:val="002B7487"/>
    <w:rsid w:val="002B74D0"/>
    <w:rsid w:val="002B7635"/>
    <w:rsid w:val="002B76BD"/>
    <w:rsid w:val="002B76CF"/>
    <w:rsid w:val="002B7703"/>
    <w:rsid w:val="002B77A9"/>
    <w:rsid w:val="002B7839"/>
    <w:rsid w:val="002B78B4"/>
    <w:rsid w:val="002B78BE"/>
    <w:rsid w:val="002B78DB"/>
    <w:rsid w:val="002B7918"/>
    <w:rsid w:val="002B791A"/>
    <w:rsid w:val="002B7991"/>
    <w:rsid w:val="002B799F"/>
    <w:rsid w:val="002B79C3"/>
    <w:rsid w:val="002B79EB"/>
    <w:rsid w:val="002B7A2F"/>
    <w:rsid w:val="002B7ACB"/>
    <w:rsid w:val="002B7B14"/>
    <w:rsid w:val="002B7B2E"/>
    <w:rsid w:val="002B7B45"/>
    <w:rsid w:val="002B7B65"/>
    <w:rsid w:val="002B7B85"/>
    <w:rsid w:val="002B7BEA"/>
    <w:rsid w:val="002B7BF5"/>
    <w:rsid w:val="002B7C69"/>
    <w:rsid w:val="002B7C79"/>
    <w:rsid w:val="002B7CF6"/>
    <w:rsid w:val="002B7D6C"/>
    <w:rsid w:val="002B7DB7"/>
    <w:rsid w:val="002B7E55"/>
    <w:rsid w:val="002B7E89"/>
    <w:rsid w:val="002B7E8C"/>
    <w:rsid w:val="002B7EC0"/>
    <w:rsid w:val="002B7EE3"/>
    <w:rsid w:val="002B7EF9"/>
    <w:rsid w:val="002B7EFD"/>
    <w:rsid w:val="002B7F12"/>
    <w:rsid w:val="002B7F1F"/>
    <w:rsid w:val="002B7F5B"/>
    <w:rsid w:val="002B7F73"/>
    <w:rsid w:val="002B7F78"/>
    <w:rsid w:val="002B7F95"/>
    <w:rsid w:val="002B7FA2"/>
    <w:rsid w:val="002B7FD5"/>
    <w:rsid w:val="002B7FE2"/>
    <w:rsid w:val="002C0058"/>
    <w:rsid w:val="002C007D"/>
    <w:rsid w:val="002C00B1"/>
    <w:rsid w:val="002C00B3"/>
    <w:rsid w:val="002C01A1"/>
    <w:rsid w:val="002C01D6"/>
    <w:rsid w:val="002C0229"/>
    <w:rsid w:val="002C02C2"/>
    <w:rsid w:val="002C02DB"/>
    <w:rsid w:val="002C02E2"/>
    <w:rsid w:val="002C02F7"/>
    <w:rsid w:val="002C02F9"/>
    <w:rsid w:val="002C02FE"/>
    <w:rsid w:val="002C0371"/>
    <w:rsid w:val="002C038E"/>
    <w:rsid w:val="002C0402"/>
    <w:rsid w:val="002C040C"/>
    <w:rsid w:val="002C043C"/>
    <w:rsid w:val="002C04FC"/>
    <w:rsid w:val="002C0506"/>
    <w:rsid w:val="002C0513"/>
    <w:rsid w:val="002C051A"/>
    <w:rsid w:val="002C051C"/>
    <w:rsid w:val="002C0558"/>
    <w:rsid w:val="002C05D6"/>
    <w:rsid w:val="002C05FE"/>
    <w:rsid w:val="002C06B4"/>
    <w:rsid w:val="002C0737"/>
    <w:rsid w:val="002C0752"/>
    <w:rsid w:val="002C078F"/>
    <w:rsid w:val="002C07E1"/>
    <w:rsid w:val="002C0824"/>
    <w:rsid w:val="002C08B3"/>
    <w:rsid w:val="002C08D7"/>
    <w:rsid w:val="002C0908"/>
    <w:rsid w:val="002C090E"/>
    <w:rsid w:val="002C09A3"/>
    <w:rsid w:val="002C09B8"/>
    <w:rsid w:val="002C09BD"/>
    <w:rsid w:val="002C09D7"/>
    <w:rsid w:val="002C0A5F"/>
    <w:rsid w:val="002C0A8B"/>
    <w:rsid w:val="002C0A93"/>
    <w:rsid w:val="002C0A95"/>
    <w:rsid w:val="002C0ACC"/>
    <w:rsid w:val="002C0B36"/>
    <w:rsid w:val="002C0B79"/>
    <w:rsid w:val="002C0B8E"/>
    <w:rsid w:val="002C0B94"/>
    <w:rsid w:val="002C0BCF"/>
    <w:rsid w:val="002C0BD4"/>
    <w:rsid w:val="002C0C13"/>
    <w:rsid w:val="002C0C44"/>
    <w:rsid w:val="002C0D25"/>
    <w:rsid w:val="002C0DC1"/>
    <w:rsid w:val="002C0DD1"/>
    <w:rsid w:val="002C0DE6"/>
    <w:rsid w:val="002C0EB9"/>
    <w:rsid w:val="002C0F79"/>
    <w:rsid w:val="002C0FAA"/>
    <w:rsid w:val="002C0FAF"/>
    <w:rsid w:val="002C1008"/>
    <w:rsid w:val="002C10EB"/>
    <w:rsid w:val="002C114D"/>
    <w:rsid w:val="002C11FE"/>
    <w:rsid w:val="002C1212"/>
    <w:rsid w:val="002C124B"/>
    <w:rsid w:val="002C125C"/>
    <w:rsid w:val="002C127E"/>
    <w:rsid w:val="002C12C0"/>
    <w:rsid w:val="002C12FF"/>
    <w:rsid w:val="002C1303"/>
    <w:rsid w:val="002C1315"/>
    <w:rsid w:val="002C131F"/>
    <w:rsid w:val="002C13D0"/>
    <w:rsid w:val="002C13D1"/>
    <w:rsid w:val="002C13FC"/>
    <w:rsid w:val="002C14EB"/>
    <w:rsid w:val="002C1510"/>
    <w:rsid w:val="002C1512"/>
    <w:rsid w:val="002C1580"/>
    <w:rsid w:val="002C1587"/>
    <w:rsid w:val="002C15BE"/>
    <w:rsid w:val="002C15FD"/>
    <w:rsid w:val="002C168A"/>
    <w:rsid w:val="002C16CB"/>
    <w:rsid w:val="002C1743"/>
    <w:rsid w:val="002C1810"/>
    <w:rsid w:val="002C182C"/>
    <w:rsid w:val="002C1880"/>
    <w:rsid w:val="002C18C5"/>
    <w:rsid w:val="002C194D"/>
    <w:rsid w:val="002C1965"/>
    <w:rsid w:val="002C19C9"/>
    <w:rsid w:val="002C1A7A"/>
    <w:rsid w:val="002C1AAD"/>
    <w:rsid w:val="002C1AB0"/>
    <w:rsid w:val="002C1AB2"/>
    <w:rsid w:val="002C1B0D"/>
    <w:rsid w:val="002C1C46"/>
    <w:rsid w:val="002C1C49"/>
    <w:rsid w:val="002C1CE5"/>
    <w:rsid w:val="002C1DB0"/>
    <w:rsid w:val="002C1DF0"/>
    <w:rsid w:val="002C1DF1"/>
    <w:rsid w:val="002C1E2B"/>
    <w:rsid w:val="002C1E2C"/>
    <w:rsid w:val="002C1E39"/>
    <w:rsid w:val="002C1E7F"/>
    <w:rsid w:val="002C1EDE"/>
    <w:rsid w:val="002C1EE4"/>
    <w:rsid w:val="002C1F09"/>
    <w:rsid w:val="002C1F4C"/>
    <w:rsid w:val="002C1F72"/>
    <w:rsid w:val="002C1F85"/>
    <w:rsid w:val="002C202A"/>
    <w:rsid w:val="002C2036"/>
    <w:rsid w:val="002C206C"/>
    <w:rsid w:val="002C20BC"/>
    <w:rsid w:val="002C20CC"/>
    <w:rsid w:val="002C210B"/>
    <w:rsid w:val="002C218C"/>
    <w:rsid w:val="002C21C4"/>
    <w:rsid w:val="002C21E8"/>
    <w:rsid w:val="002C2224"/>
    <w:rsid w:val="002C227E"/>
    <w:rsid w:val="002C22F6"/>
    <w:rsid w:val="002C233C"/>
    <w:rsid w:val="002C2387"/>
    <w:rsid w:val="002C23BA"/>
    <w:rsid w:val="002C23C2"/>
    <w:rsid w:val="002C23C3"/>
    <w:rsid w:val="002C2400"/>
    <w:rsid w:val="002C2429"/>
    <w:rsid w:val="002C2432"/>
    <w:rsid w:val="002C2469"/>
    <w:rsid w:val="002C2538"/>
    <w:rsid w:val="002C2569"/>
    <w:rsid w:val="002C257D"/>
    <w:rsid w:val="002C2587"/>
    <w:rsid w:val="002C25B7"/>
    <w:rsid w:val="002C2673"/>
    <w:rsid w:val="002C2674"/>
    <w:rsid w:val="002C268B"/>
    <w:rsid w:val="002C2691"/>
    <w:rsid w:val="002C26FF"/>
    <w:rsid w:val="002C2710"/>
    <w:rsid w:val="002C2735"/>
    <w:rsid w:val="002C2738"/>
    <w:rsid w:val="002C278D"/>
    <w:rsid w:val="002C27B0"/>
    <w:rsid w:val="002C27CB"/>
    <w:rsid w:val="002C27FB"/>
    <w:rsid w:val="002C2870"/>
    <w:rsid w:val="002C28F4"/>
    <w:rsid w:val="002C29E7"/>
    <w:rsid w:val="002C2A42"/>
    <w:rsid w:val="002C2A81"/>
    <w:rsid w:val="002C2A84"/>
    <w:rsid w:val="002C2A8D"/>
    <w:rsid w:val="002C2AFD"/>
    <w:rsid w:val="002C2B39"/>
    <w:rsid w:val="002C2B53"/>
    <w:rsid w:val="002C2B57"/>
    <w:rsid w:val="002C2B6A"/>
    <w:rsid w:val="002C2BAE"/>
    <w:rsid w:val="002C2BC8"/>
    <w:rsid w:val="002C2BED"/>
    <w:rsid w:val="002C2C74"/>
    <w:rsid w:val="002C2CEE"/>
    <w:rsid w:val="002C2CEF"/>
    <w:rsid w:val="002C2D7E"/>
    <w:rsid w:val="002C2DFA"/>
    <w:rsid w:val="002C2E0B"/>
    <w:rsid w:val="002C2E71"/>
    <w:rsid w:val="002C2E79"/>
    <w:rsid w:val="002C2E8B"/>
    <w:rsid w:val="002C2EB5"/>
    <w:rsid w:val="002C2F95"/>
    <w:rsid w:val="002C3001"/>
    <w:rsid w:val="002C302D"/>
    <w:rsid w:val="002C3060"/>
    <w:rsid w:val="002C3070"/>
    <w:rsid w:val="002C309A"/>
    <w:rsid w:val="002C30AF"/>
    <w:rsid w:val="002C3106"/>
    <w:rsid w:val="002C317C"/>
    <w:rsid w:val="002C31E3"/>
    <w:rsid w:val="002C31F1"/>
    <w:rsid w:val="002C3224"/>
    <w:rsid w:val="002C325C"/>
    <w:rsid w:val="002C326B"/>
    <w:rsid w:val="002C32D0"/>
    <w:rsid w:val="002C3302"/>
    <w:rsid w:val="002C3304"/>
    <w:rsid w:val="002C3336"/>
    <w:rsid w:val="002C33AE"/>
    <w:rsid w:val="002C3417"/>
    <w:rsid w:val="002C346B"/>
    <w:rsid w:val="002C34E7"/>
    <w:rsid w:val="002C3560"/>
    <w:rsid w:val="002C35FD"/>
    <w:rsid w:val="002C36F2"/>
    <w:rsid w:val="002C36FA"/>
    <w:rsid w:val="002C377B"/>
    <w:rsid w:val="002C37A9"/>
    <w:rsid w:val="002C37E9"/>
    <w:rsid w:val="002C38B7"/>
    <w:rsid w:val="002C3907"/>
    <w:rsid w:val="002C3940"/>
    <w:rsid w:val="002C396F"/>
    <w:rsid w:val="002C3978"/>
    <w:rsid w:val="002C397D"/>
    <w:rsid w:val="002C39CE"/>
    <w:rsid w:val="002C39E0"/>
    <w:rsid w:val="002C3A4F"/>
    <w:rsid w:val="002C3AA1"/>
    <w:rsid w:val="002C3ABC"/>
    <w:rsid w:val="002C3B02"/>
    <w:rsid w:val="002C3B7B"/>
    <w:rsid w:val="002C3BBA"/>
    <w:rsid w:val="002C3BEF"/>
    <w:rsid w:val="002C3BFD"/>
    <w:rsid w:val="002C3C21"/>
    <w:rsid w:val="002C3C53"/>
    <w:rsid w:val="002C3D00"/>
    <w:rsid w:val="002C3D19"/>
    <w:rsid w:val="002C3D7C"/>
    <w:rsid w:val="002C3D88"/>
    <w:rsid w:val="002C3D97"/>
    <w:rsid w:val="002C3DA6"/>
    <w:rsid w:val="002C3E19"/>
    <w:rsid w:val="002C3E3C"/>
    <w:rsid w:val="002C3E7A"/>
    <w:rsid w:val="002C3EA4"/>
    <w:rsid w:val="002C3F49"/>
    <w:rsid w:val="002C3F5F"/>
    <w:rsid w:val="002C3FD3"/>
    <w:rsid w:val="002C4026"/>
    <w:rsid w:val="002C4039"/>
    <w:rsid w:val="002C4040"/>
    <w:rsid w:val="002C4043"/>
    <w:rsid w:val="002C4090"/>
    <w:rsid w:val="002C40D7"/>
    <w:rsid w:val="002C4123"/>
    <w:rsid w:val="002C4125"/>
    <w:rsid w:val="002C415D"/>
    <w:rsid w:val="002C41BC"/>
    <w:rsid w:val="002C41BF"/>
    <w:rsid w:val="002C420B"/>
    <w:rsid w:val="002C428A"/>
    <w:rsid w:val="002C42A4"/>
    <w:rsid w:val="002C432F"/>
    <w:rsid w:val="002C4379"/>
    <w:rsid w:val="002C437F"/>
    <w:rsid w:val="002C43AE"/>
    <w:rsid w:val="002C43C7"/>
    <w:rsid w:val="002C449F"/>
    <w:rsid w:val="002C4553"/>
    <w:rsid w:val="002C4590"/>
    <w:rsid w:val="002C4707"/>
    <w:rsid w:val="002C475D"/>
    <w:rsid w:val="002C47A1"/>
    <w:rsid w:val="002C488A"/>
    <w:rsid w:val="002C48DF"/>
    <w:rsid w:val="002C4911"/>
    <w:rsid w:val="002C49B4"/>
    <w:rsid w:val="002C49B5"/>
    <w:rsid w:val="002C49BF"/>
    <w:rsid w:val="002C49DF"/>
    <w:rsid w:val="002C4A41"/>
    <w:rsid w:val="002C4AB0"/>
    <w:rsid w:val="002C4AC6"/>
    <w:rsid w:val="002C4AD0"/>
    <w:rsid w:val="002C4B16"/>
    <w:rsid w:val="002C4B7C"/>
    <w:rsid w:val="002C4B89"/>
    <w:rsid w:val="002C4BE3"/>
    <w:rsid w:val="002C4BF7"/>
    <w:rsid w:val="002C4C80"/>
    <w:rsid w:val="002C4CE9"/>
    <w:rsid w:val="002C4D1B"/>
    <w:rsid w:val="002C4D27"/>
    <w:rsid w:val="002C4D46"/>
    <w:rsid w:val="002C4D9E"/>
    <w:rsid w:val="002C4DEF"/>
    <w:rsid w:val="002C4E17"/>
    <w:rsid w:val="002C4E25"/>
    <w:rsid w:val="002C4E45"/>
    <w:rsid w:val="002C4E81"/>
    <w:rsid w:val="002C4E89"/>
    <w:rsid w:val="002C4EB6"/>
    <w:rsid w:val="002C4EEB"/>
    <w:rsid w:val="002C4EF4"/>
    <w:rsid w:val="002C4F40"/>
    <w:rsid w:val="002C4F5E"/>
    <w:rsid w:val="002C4F77"/>
    <w:rsid w:val="002C4FAA"/>
    <w:rsid w:val="002C4FCB"/>
    <w:rsid w:val="002C4FF1"/>
    <w:rsid w:val="002C5012"/>
    <w:rsid w:val="002C5133"/>
    <w:rsid w:val="002C515C"/>
    <w:rsid w:val="002C51E8"/>
    <w:rsid w:val="002C523D"/>
    <w:rsid w:val="002C5281"/>
    <w:rsid w:val="002C5290"/>
    <w:rsid w:val="002C5295"/>
    <w:rsid w:val="002C52A1"/>
    <w:rsid w:val="002C545D"/>
    <w:rsid w:val="002C546E"/>
    <w:rsid w:val="002C5480"/>
    <w:rsid w:val="002C5490"/>
    <w:rsid w:val="002C54A6"/>
    <w:rsid w:val="002C54D1"/>
    <w:rsid w:val="002C54DE"/>
    <w:rsid w:val="002C5546"/>
    <w:rsid w:val="002C55BB"/>
    <w:rsid w:val="002C55D5"/>
    <w:rsid w:val="002C566F"/>
    <w:rsid w:val="002C5672"/>
    <w:rsid w:val="002C5676"/>
    <w:rsid w:val="002C5734"/>
    <w:rsid w:val="002C5747"/>
    <w:rsid w:val="002C5766"/>
    <w:rsid w:val="002C579E"/>
    <w:rsid w:val="002C57DF"/>
    <w:rsid w:val="002C580F"/>
    <w:rsid w:val="002C5859"/>
    <w:rsid w:val="002C5860"/>
    <w:rsid w:val="002C5876"/>
    <w:rsid w:val="002C58BE"/>
    <w:rsid w:val="002C58CE"/>
    <w:rsid w:val="002C58D1"/>
    <w:rsid w:val="002C58E4"/>
    <w:rsid w:val="002C58FE"/>
    <w:rsid w:val="002C593C"/>
    <w:rsid w:val="002C5954"/>
    <w:rsid w:val="002C59DE"/>
    <w:rsid w:val="002C5A45"/>
    <w:rsid w:val="002C5A6B"/>
    <w:rsid w:val="002C5A9C"/>
    <w:rsid w:val="002C5ACE"/>
    <w:rsid w:val="002C5B6C"/>
    <w:rsid w:val="002C5B70"/>
    <w:rsid w:val="002C5B95"/>
    <w:rsid w:val="002C5C06"/>
    <w:rsid w:val="002C5C45"/>
    <w:rsid w:val="002C5C82"/>
    <w:rsid w:val="002C5D65"/>
    <w:rsid w:val="002C5D9C"/>
    <w:rsid w:val="002C5D9E"/>
    <w:rsid w:val="002C5DF1"/>
    <w:rsid w:val="002C5E25"/>
    <w:rsid w:val="002C5E44"/>
    <w:rsid w:val="002C5E4A"/>
    <w:rsid w:val="002C5EE1"/>
    <w:rsid w:val="002C5F2C"/>
    <w:rsid w:val="002C5FFC"/>
    <w:rsid w:val="002C6076"/>
    <w:rsid w:val="002C60C9"/>
    <w:rsid w:val="002C60E9"/>
    <w:rsid w:val="002C614B"/>
    <w:rsid w:val="002C6166"/>
    <w:rsid w:val="002C6181"/>
    <w:rsid w:val="002C6194"/>
    <w:rsid w:val="002C61AD"/>
    <w:rsid w:val="002C61FB"/>
    <w:rsid w:val="002C6264"/>
    <w:rsid w:val="002C6292"/>
    <w:rsid w:val="002C62A5"/>
    <w:rsid w:val="002C62C4"/>
    <w:rsid w:val="002C6371"/>
    <w:rsid w:val="002C63AF"/>
    <w:rsid w:val="002C649F"/>
    <w:rsid w:val="002C652A"/>
    <w:rsid w:val="002C6545"/>
    <w:rsid w:val="002C6547"/>
    <w:rsid w:val="002C6561"/>
    <w:rsid w:val="002C659D"/>
    <w:rsid w:val="002C65AC"/>
    <w:rsid w:val="002C66B9"/>
    <w:rsid w:val="002C66C2"/>
    <w:rsid w:val="002C6702"/>
    <w:rsid w:val="002C6734"/>
    <w:rsid w:val="002C673D"/>
    <w:rsid w:val="002C675B"/>
    <w:rsid w:val="002C677F"/>
    <w:rsid w:val="002C67C7"/>
    <w:rsid w:val="002C680B"/>
    <w:rsid w:val="002C684A"/>
    <w:rsid w:val="002C687A"/>
    <w:rsid w:val="002C6887"/>
    <w:rsid w:val="002C68A1"/>
    <w:rsid w:val="002C68B3"/>
    <w:rsid w:val="002C68E1"/>
    <w:rsid w:val="002C691F"/>
    <w:rsid w:val="002C69BD"/>
    <w:rsid w:val="002C6A47"/>
    <w:rsid w:val="002C6AAD"/>
    <w:rsid w:val="002C6AFF"/>
    <w:rsid w:val="002C6B4D"/>
    <w:rsid w:val="002C6B72"/>
    <w:rsid w:val="002C6C15"/>
    <w:rsid w:val="002C6C68"/>
    <w:rsid w:val="002C6CDB"/>
    <w:rsid w:val="002C6CDF"/>
    <w:rsid w:val="002C6D79"/>
    <w:rsid w:val="002C6D87"/>
    <w:rsid w:val="002C6DA6"/>
    <w:rsid w:val="002C6DC8"/>
    <w:rsid w:val="002C6DD9"/>
    <w:rsid w:val="002C6DE9"/>
    <w:rsid w:val="002C6E23"/>
    <w:rsid w:val="002C6E4C"/>
    <w:rsid w:val="002C6E72"/>
    <w:rsid w:val="002C6E9C"/>
    <w:rsid w:val="002C6F7C"/>
    <w:rsid w:val="002C6F93"/>
    <w:rsid w:val="002C6FA9"/>
    <w:rsid w:val="002C6FB7"/>
    <w:rsid w:val="002C6FD6"/>
    <w:rsid w:val="002C6FFE"/>
    <w:rsid w:val="002C705A"/>
    <w:rsid w:val="002C70BF"/>
    <w:rsid w:val="002C711D"/>
    <w:rsid w:val="002C7195"/>
    <w:rsid w:val="002C7202"/>
    <w:rsid w:val="002C7207"/>
    <w:rsid w:val="002C7282"/>
    <w:rsid w:val="002C7299"/>
    <w:rsid w:val="002C72C7"/>
    <w:rsid w:val="002C7326"/>
    <w:rsid w:val="002C7353"/>
    <w:rsid w:val="002C7389"/>
    <w:rsid w:val="002C747A"/>
    <w:rsid w:val="002C74AA"/>
    <w:rsid w:val="002C750C"/>
    <w:rsid w:val="002C757E"/>
    <w:rsid w:val="002C7587"/>
    <w:rsid w:val="002C75B8"/>
    <w:rsid w:val="002C7600"/>
    <w:rsid w:val="002C7623"/>
    <w:rsid w:val="002C764C"/>
    <w:rsid w:val="002C7672"/>
    <w:rsid w:val="002C7691"/>
    <w:rsid w:val="002C76C2"/>
    <w:rsid w:val="002C7780"/>
    <w:rsid w:val="002C77AA"/>
    <w:rsid w:val="002C77B0"/>
    <w:rsid w:val="002C780F"/>
    <w:rsid w:val="002C788D"/>
    <w:rsid w:val="002C792F"/>
    <w:rsid w:val="002C7998"/>
    <w:rsid w:val="002C7A0C"/>
    <w:rsid w:val="002C7A29"/>
    <w:rsid w:val="002C7A9C"/>
    <w:rsid w:val="002C7AA0"/>
    <w:rsid w:val="002C7AE3"/>
    <w:rsid w:val="002C7B00"/>
    <w:rsid w:val="002C7B28"/>
    <w:rsid w:val="002C7B62"/>
    <w:rsid w:val="002C7B96"/>
    <w:rsid w:val="002C7D3E"/>
    <w:rsid w:val="002C7E33"/>
    <w:rsid w:val="002C7EB2"/>
    <w:rsid w:val="002C7F5B"/>
    <w:rsid w:val="002C7F95"/>
    <w:rsid w:val="002C7FB4"/>
    <w:rsid w:val="002C7FCE"/>
    <w:rsid w:val="002C7FD5"/>
    <w:rsid w:val="002C7FF7"/>
    <w:rsid w:val="002C9A28"/>
    <w:rsid w:val="002D0019"/>
    <w:rsid w:val="002D0022"/>
    <w:rsid w:val="002D0059"/>
    <w:rsid w:val="002D00E0"/>
    <w:rsid w:val="002D00EC"/>
    <w:rsid w:val="002D0104"/>
    <w:rsid w:val="002D0141"/>
    <w:rsid w:val="002D0178"/>
    <w:rsid w:val="002D01BF"/>
    <w:rsid w:val="002D01CE"/>
    <w:rsid w:val="002D01E0"/>
    <w:rsid w:val="002D02B3"/>
    <w:rsid w:val="002D02D6"/>
    <w:rsid w:val="002D02DC"/>
    <w:rsid w:val="002D0386"/>
    <w:rsid w:val="002D038F"/>
    <w:rsid w:val="002D0392"/>
    <w:rsid w:val="002D0401"/>
    <w:rsid w:val="002D042E"/>
    <w:rsid w:val="002D04D2"/>
    <w:rsid w:val="002D051D"/>
    <w:rsid w:val="002D0629"/>
    <w:rsid w:val="002D062C"/>
    <w:rsid w:val="002D0648"/>
    <w:rsid w:val="002D0664"/>
    <w:rsid w:val="002D068B"/>
    <w:rsid w:val="002D06C4"/>
    <w:rsid w:val="002D06FE"/>
    <w:rsid w:val="002D0702"/>
    <w:rsid w:val="002D073C"/>
    <w:rsid w:val="002D0769"/>
    <w:rsid w:val="002D0770"/>
    <w:rsid w:val="002D08A2"/>
    <w:rsid w:val="002D091D"/>
    <w:rsid w:val="002D0983"/>
    <w:rsid w:val="002D0991"/>
    <w:rsid w:val="002D09A0"/>
    <w:rsid w:val="002D09A1"/>
    <w:rsid w:val="002D09BE"/>
    <w:rsid w:val="002D0A55"/>
    <w:rsid w:val="002D0A74"/>
    <w:rsid w:val="002D0A94"/>
    <w:rsid w:val="002D0B01"/>
    <w:rsid w:val="002D0BE4"/>
    <w:rsid w:val="002D0BFA"/>
    <w:rsid w:val="002D0C12"/>
    <w:rsid w:val="002D0C3A"/>
    <w:rsid w:val="002D0C8C"/>
    <w:rsid w:val="002D0CAA"/>
    <w:rsid w:val="002D0CE4"/>
    <w:rsid w:val="002D0D06"/>
    <w:rsid w:val="002D0D08"/>
    <w:rsid w:val="002D0D5B"/>
    <w:rsid w:val="002D0D6B"/>
    <w:rsid w:val="002D0EBC"/>
    <w:rsid w:val="002D0F4E"/>
    <w:rsid w:val="002D0F6E"/>
    <w:rsid w:val="002D0F90"/>
    <w:rsid w:val="002D10BB"/>
    <w:rsid w:val="002D1155"/>
    <w:rsid w:val="002D1168"/>
    <w:rsid w:val="002D116F"/>
    <w:rsid w:val="002D1173"/>
    <w:rsid w:val="002D119B"/>
    <w:rsid w:val="002D11CE"/>
    <w:rsid w:val="002D1220"/>
    <w:rsid w:val="002D1221"/>
    <w:rsid w:val="002D1245"/>
    <w:rsid w:val="002D124A"/>
    <w:rsid w:val="002D1252"/>
    <w:rsid w:val="002D125A"/>
    <w:rsid w:val="002D12A2"/>
    <w:rsid w:val="002D12AA"/>
    <w:rsid w:val="002D12DA"/>
    <w:rsid w:val="002D1385"/>
    <w:rsid w:val="002D1418"/>
    <w:rsid w:val="002D1426"/>
    <w:rsid w:val="002D14E5"/>
    <w:rsid w:val="002D14EF"/>
    <w:rsid w:val="002D1506"/>
    <w:rsid w:val="002D1520"/>
    <w:rsid w:val="002D155C"/>
    <w:rsid w:val="002D156F"/>
    <w:rsid w:val="002D1573"/>
    <w:rsid w:val="002D1645"/>
    <w:rsid w:val="002D1699"/>
    <w:rsid w:val="002D1735"/>
    <w:rsid w:val="002D1787"/>
    <w:rsid w:val="002D1819"/>
    <w:rsid w:val="002D185F"/>
    <w:rsid w:val="002D18A3"/>
    <w:rsid w:val="002D18A6"/>
    <w:rsid w:val="002D18B9"/>
    <w:rsid w:val="002D1939"/>
    <w:rsid w:val="002D1959"/>
    <w:rsid w:val="002D196F"/>
    <w:rsid w:val="002D1995"/>
    <w:rsid w:val="002D19F9"/>
    <w:rsid w:val="002D1A1F"/>
    <w:rsid w:val="002D1A6C"/>
    <w:rsid w:val="002D1A8A"/>
    <w:rsid w:val="002D1AD4"/>
    <w:rsid w:val="002D1AE9"/>
    <w:rsid w:val="002D1B36"/>
    <w:rsid w:val="002D1B85"/>
    <w:rsid w:val="002D1BAB"/>
    <w:rsid w:val="002D1BEE"/>
    <w:rsid w:val="002D1C2C"/>
    <w:rsid w:val="002D1CDE"/>
    <w:rsid w:val="002D1D7B"/>
    <w:rsid w:val="002D1D7C"/>
    <w:rsid w:val="002D1E1C"/>
    <w:rsid w:val="002D1E5E"/>
    <w:rsid w:val="002D1E83"/>
    <w:rsid w:val="002D1EA6"/>
    <w:rsid w:val="002D1EB8"/>
    <w:rsid w:val="002D1F06"/>
    <w:rsid w:val="002D1FA6"/>
    <w:rsid w:val="002D1FA7"/>
    <w:rsid w:val="002D2030"/>
    <w:rsid w:val="002D2057"/>
    <w:rsid w:val="002D2075"/>
    <w:rsid w:val="002D2116"/>
    <w:rsid w:val="002D2121"/>
    <w:rsid w:val="002D2129"/>
    <w:rsid w:val="002D21B1"/>
    <w:rsid w:val="002D21B3"/>
    <w:rsid w:val="002D21CB"/>
    <w:rsid w:val="002D21D9"/>
    <w:rsid w:val="002D2231"/>
    <w:rsid w:val="002D224A"/>
    <w:rsid w:val="002D228D"/>
    <w:rsid w:val="002D22BA"/>
    <w:rsid w:val="002D2311"/>
    <w:rsid w:val="002D2329"/>
    <w:rsid w:val="002D234F"/>
    <w:rsid w:val="002D2392"/>
    <w:rsid w:val="002D23DE"/>
    <w:rsid w:val="002D2517"/>
    <w:rsid w:val="002D252B"/>
    <w:rsid w:val="002D2532"/>
    <w:rsid w:val="002D2535"/>
    <w:rsid w:val="002D254C"/>
    <w:rsid w:val="002D25E5"/>
    <w:rsid w:val="002D260D"/>
    <w:rsid w:val="002D264D"/>
    <w:rsid w:val="002D2663"/>
    <w:rsid w:val="002D2694"/>
    <w:rsid w:val="002D271D"/>
    <w:rsid w:val="002D272A"/>
    <w:rsid w:val="002D2746"/>
    <w:rsid w:val="002D276F"/>
    <w:rsid w:val="002D279D"/>
    <w:rsid w:val="002D28F0"/>
    <w:rsid w:val="002D2941"/>
    <w:rsid w:val="002D29B0"/>
    <w:rsid w:val="002D29ED"/>
    <w:rsid w:val="002D2A2C"/>
    <w:rsid w:val="002D2A8A"/>
    <w:rsid w:val="002D2ACC"/>
    <w:rsid w:val="002D2AE2"/>
    <w:rsid w:val="002D2AE3"/>
    <w:rsid w:val="002D2B81"/>
    <w:rsid w:val="002D2BFE"/>
    <w:rsid w:val="002D2C4C"/>
    <w:rsid w:val="002D2C80"/>
    <w:rsid w:val="002D2C90"/>
    <w:rsid w:val="002D2CCF"/>
    <w:rsid w:val="002D2D41"/>
    <w:rsid w:val="002D2D67"/>
    <w:rsid w:val="002D2D74"/>
    <w:rsid w:val="002D2D85"/>
    <w:rsid w:val="002D2DB8"/>
    <w:rsid w:val="002D2DF3"/>
    <w:rsid w:val="002D2DFC"/>
    <w:rsid w:val="002D2E7D"/>
    <w:rsid w:val="002D2EC6"/>
    <w:rsid w:val="002D2EFA"/>
    <w:rsid w:val="002D2F18"/>
    <w:rsid w:val="002D2F80"/>
    <w:rsid w:val="002D2FCF"/>
    <w:rsid w:val="002D2FE9"/>
    <w:rsid w:val="002D300C"/>
    <w:rsid w:val="002D3075"/>
    <w:rsid w:val="002D3084"/>
    <w:rsid w:val="002D3173"/>
    <w:rsid w:val="002D31B2"/>
    <w:rsid w:val="002D31C1"/>
    <w:rsid w:val="002D31EC"/>
    <w:rsid w:val="002D3244"/>
    <w:rsid w:val="002D3277"/>
    <w:rsid w:val="002D329B"/>
    <w:rsid w:val="002D32B4"/>
    <w:rsid w:val="002D32D6"/>
    <w:rsid w:val="002D3361"/>
    <w:rsid w:val="002D33A0"/>
    <w:rsid w:val="002D33C5"/>
    <w:rsid w:val="002D33E7"/>
    <w:rsid w:val="002D3410"/>
    <w:rsid w:val="002D349D"/>
    <w:rsid w:val="002D3503"/>
    <w:rsid w:val="002D3523"/>
    <w:rsid w:val="002D3567"/>
    <w:rsid w:val="002D35A9"/>
    <w:rsid w:val="002D35B2"/>
    <w:rsid w:val="002D35E5"/>
    <w:rsid w:val="002D3786"/>
    <w:rsid w:val="002D37B0"/>
    <w:rsid w:val="002D3896"/>
    <w:rsid w:val="002D3947"/>
    <w:rsid w:val="002D396D"/>
    <w:rsid w:val="002D3978"/>
    <w:rsid w:val="002D399C"/>
    <w:rsid w:val="002D39DF"/>
    <w:rsid w:val="002D3A0E"/>
    <w:rsid w:val="002D3A5F"/>
    <w:rsid w:val="002D3A76"/>
    <w:rsid w:val="002D3A88"/>
    <w:rsid w:val="002D3A9D"/>
    <w:rsid w:val="002D3AC9"/>
    <w:rsid w:val="002D3ADE"/>
    <w:rsid w:val="002D3AF0"/>
    <w:rsid w:val="002D3B32"/>
    <w:rsid w:val="002D3B4C"/>
    <w:rsid w:val="002D3B91"/>
    <w:rsid w:val="002D3BAE"/>
    <w:rsid w:val="002D3C2F"/>
    <w:rsid w:val="002D3CF2"/>
    <w:rsid w:val="002D3DC3"/>
    <w:rsid w:val="002D3E11"/>
    <w:rsid w:val="002D3E22"/>
    <w:rsid w:val="002D3E41"/>
    <w:rsid w:val="002D3EB5"/>
    <w:rsid w:val="002D3EC3"/>
    <w:rsid w:val="002D3EDE"/>
    <w:rsid w:val="002D3F69"/>
    <w:rsid w:val="002D3F6A"/>
    <w:rsid w:val="002D3F92"/>
    <w:rsid w:val="002D3FF0"/>
    <w:rsid w:val="002D401A"/>
    <w:rsid w:val="002D4024"/>
    <w:rsid w:val="002D405D"/>
    <w:rsid w:val="002D4068"/>
    <w:rsid w:val="002D406A"/>
    <w:rsid w:val="002D40D8"/>
    <w:rsid w:val="002D41B9"/>
    <w:rsid w:val="002D4204"/>
    <w:rsid w:val="002D420C"/>
    <w:rsid w:val="002D4284"/>
    <w:rsid w:val="002D42AF"/>
    <w:rsid w:val="002D43AB"/>
    <w:rsid w:val="002D441B"/>
    <w:rsid w:val="002D4458"/>
    <w:rsid w:val="002D4488"/>
    <w:rsid w:val="002D448C"/>
    <w:rsid w:val="002D4596"/>
    <w:rsid w:val="002D468A"/>
    <w:rsid w:val="002D469F"/>
    <w:rsid w:val="002D46E3"/>
    <w:rsid w:val="002D46E4"/>
    <w:rsid w:val="002D4741"/>
    <w:rsid w:val="002D4809"/>
    <w:rsid w:val="002D482C"/>
    <w:rsid w:val="002D4839"/>
    <w:rsid w:val="002D48A5"/>
    <w:rsid w:val="002D491B"/>
    <w:rsid w:val="002D4A68"/>
    <w:rsid w:val="002D4AF5"/>
    <w:rsid w:val="002D4B21"/>
    <w:rsid w:val="002D4B2C"/>
    <w:rsid w:val="002D4B7B"/>
    <w:rsid w:val="002D4B98"/>
    <w:rsid w:val="002D4BFB"/>
    <w:rsid w:val="002D4C0E"/>
    <w:rsid w:val="002D4C0F"/>
    <w:rsid w:val="002D4C44"/>
    <w:rsid w:val="002D4C77"/>
    <w:rsid w:val="002D4D22"/>
    <w:rsid w:val="002D4DAC"/>
    <w:rsid w:val="002D4E0E"/>
    <w:rsid w:val="002D4E30"/>
    <w:rsid w:val="002D4E43"/>
    <w:rsid w:val="002D4E7A"/>
    <w:rsid w:val="002D4EC9"/>
    <w:rsid w:val="002D4EEB"/>
    <w:rsid w:val="002D4EF9"/>
    <w:rsid w:val="002D4F03"/>
    <w:rsid w:val="002D4F77"/>
    <w:rsid w:val="002D4F7B"/>
    <w:rsid w:val="002D4F7C"/>
    <w:rsid w:val="002D4FE6"/>
    <w:rsid w:val="002D5006"/>
    <w:rsid w:val="002D5009"/>
    <w:rsid w:val="002D503E"/>
    <w:rsid w:val="002D504F"/>
    <w:rsid w:val="002D506B"/>
    <w:rsid w:val="002D508D"/>
    <w:rsid w:val="002D50BC"/>
    <w:rsid w:val="002D510B"/>
    <w:rsid w:val="002D5120"/>
    <w:rsid w:val="002D513A"/>
    <w:rsid w:val="002D515B"/>
    <w:rsid w:val="002D5217"/>
    <w:rsid w:val="002D5229"/>
    <w:rsid w:val="002D5253"/>
    <w:rsid w:val="002D526C"/>
    <w:rsid w:val="002D5294"/>
    <w:rsid w:val="002D52B3"/>
    <w:rsid w:val="002D52F9"/>
    <w:rsid w:val="002D531B"/>
    <w:rsid w:val="002D5343"/>
    <w:rsid w:val="002D5382"/>
    <w:rsid w:val="002D53C2"/>
    <w:rsid w:val="002D5419"/>
    <w:rsid w:val="002D542F"/>
    <w:rsid w:val="002D5462"/>
    <w:rsid w:val="002D559A"/>
    <w:rsid w:val="002D55C1"/>
    <w:rsid w:val="002D5602"/>
    <w:rsid w:val="002D567C"/>
    <w:rsid w:val="002D56FF"/>
    <w:rsid w:val="002D5732"/>
    <w:rsid w:val="002D5752"/>
    <w:rsid w:val="002D5755"/>
    <w:rsid w:val="002D5791"/>
    <w:rsid w:val="002D57A6"/>
    <w:rsid w:val="002D5866"/>
    <w:rsid w:val="002D596E"/>
    <w:rsid w:val="002D5A7C"/>
    <w:rsid w:val="002D5A99"/>
    <w:rsid w:val="002D5A9A"/>
    <w:rsid w:val="002D5B0F"/>
    <w:rsid w:val="002D5B65"/>
    <w:rsid w:val="002D5B8B"/>
    <w:rsid w:val="002D5BCE"/>
    <w:rsid w:val="002D5C1B"/>
    <w:rsid w:val="002D5C6B"/>
    <w:rsid w:val="002D5CAF"/>
    <w:rsid w:val="002D5D12"/>
    <w:rsid w:val="002D5D37"/>
    <w:rsid w:val="002D5D88"/>
    <w:rsid w:val="002D5DF4"/>
    <w:rsid w:val="002D5E4A"/>
    <w:rsid w:val="002D5E63"/>
    <w:rsid w:val="002D5F06"/>
    <w:rsid w:val="002D5FAD"/>
    <w:rsid w:val="002D5FC0"/>
    <w:rsid w:val="002D5FE8"/>
    <w:rsid w:val="002D5FF5"/>
    <w:rsid w:val="002D5FFF"/>
    <w:rsid w:val="002D60D2"/>
    <w:rsid w:val="002D61F0"/>
    <w:rsid w:val="002D6208"/>
    <w:rsid w:val="002D6209"/>
    <w:rsid w:val="002D620D"/>
    <w:rsid w:val="002D6228"/>
    <w:rsid w:val="002D6332"/>
    <w:rsid w:val="002D6374"/>
    <w:rsid w:val="002D6378"/>
    <w:rsid w:val="002D63C0"/>
    <w:rsid w:val="002D63F6"/>
    <w:rsid w:val="002D63FF"/>
    <w:rsid w:val="002D642F"/>
    <w:rsid w:val="002D6436"/>
    <w:rsid w:val="002D6477"/>
    <w:rsid w:val="002D647F"/>
    <w:rsid w:val="002D64E2"/>
    <w:rsid w:val="002D650C"/>
    <w:rsid w:val="002D6518"/>
    <w:rsid w:val="002D651D"/>
    <w:rsid w:val="002D6542"/>
    <w:rsid w:val="002D655A"/>
    <w:rsid w:val="002D657B"/>
    <w:rsid w:val="002D659B"/>
    <w:rsid w:val="002D65FB"/>
    <w:rsid w:val="002D663C"/>
    <w:rsid w:val="002D66A1"/>
    <w:rsid w:val="002D66BC"/>
    <w:rsid w:val="002D66E8"/>
    <w:rsid w:val="002D67B1"/>
    <w:rsid w:val="002D6844"/>
    <w:rsid w:val="002D686F"/>
    <w:rsid w:val="002D68A1"/>
    <w:rsid w:val="002D6A2D"/>
    <w:rsid w:val="002D6AB9"/>
    <w:rsid w:val="002D6AEF"/>
    <w:rsid w:val="002D6B39"/>
    <w:rsid w:val="002D6B3D"/>
    <w:rsid w:val="002D6B6F"/>
    <w:rsid w:val="002D6BF4"/>
    <w:rsid w:val="002D6C17"/>
    <w:rsid w:val="002D6CA4"/>
    <w:rsid w:val="002D6D11"/>
    <w:rsid w:val="002D6D14"/>
    <w:rsid w:val="002D6D75"/>
    <w:rsid w:val="002D6DC9"/>
    <w:rsid w:val="002D6EE3"/>
    <w:rsid w:val="002D6F36"/>
    <w:rsid w:val="002D6F38"/>
    <w:rsid w:val="002D703C"/>
    <w:rsid w:val="002D70BA"/>
    <w:rsid w:val="002D70D9"/>
    <w:rsid w:val="002D70F2"/>
    <w:rsid w:val="002D7145"/>
    <w:rsid w:val="002D7149"/>
    <w:rsid w:val="002D7150"/>
    <w:rsid w:val="002D7153"/>
    <w:rsid w:val="002D72D8"/>
    <w:rsid w:val="002D7428"/>
    <w:rsid w:val="002D744F"/>
    <w:rsid w:val="002D74C2"/>
    <w:rsid w:val="002D7502"/>
    <w:rsid w:val="002D75A3"/>
    <w:rsid w:val="002D75DA"/>
    <w:rsid w:val="002D76BF"/>
    <w:rsid w:val="002D770A"/>
    <w:rsid w:val="002D770F"/>
    <w:rsid w:val="002D772B"/>
    <w:rsid w:val="002D7787"/>
    <w:rsid w:val="002D7854"/>
    <w:rsid w:val="002D7919"/>
    <w:rsid w:val="002D7941"/>
    <w:rsid w:val="002D7959"/>
    <w:rsid w:val="002D796C"/>
    <w:rsid w:val="002D79B8"/>
    <w:rsid w:val="002D7A3C"/>
    <w:rsid w:val="002D7A98"/>
    <w:rsid w:val="002D7ABD"/>
    <w:rsid w:val="002D7ADD"/>
    <w:rsid w:val="002D7B26"/>
    <w:rsid w:val="002D7B2E"/>
    <w:rsid w:val="002D7B31"/>
    <w:rsid w:val="002D7B35"/>
    <w:rsid w:val="002D7B53"/>
    <w:rsid w:val="002D7B58"/>
    <w:rsid w:val="002D7BF8"/>
    <w:rsid w:val="002D7D60"/>
    <w:rsid w:val="002D7D77"/>
    <w:rsid w:val="002D7D9D"/>
    <w:rsid w:val="002D7DFE"/>
    <w:rsid w:val="002D7E15"/>
    <w:rsid w:val="002D7E2E"/>
    <w:rsid w:val="002D7EB8"/>
    <w:rsid w:val="002D7EE9"/>
    <w:rsid w:val="002D7F87"/>
    <w:rsid w:val="002D7FD9"/>
    <w:rsid w:val="002E0006"/>
    <w:rsid w:val="002E0008"/>
    <w:rsid w:val="002E0029"/>
    <w:rsid w:val="002E0084"/>
    <w:rsid w:val="002E00AB"/>
    <w:rsid w:val="002E00DF"/>
    <w:rsid w:val="002E0164"/>
    <w:rsid w:val="002E0178"/>
    <w:rsid w:val="002E01BD"/>
    <w:rsid w:val="002E022B"/>
    <w:rsid w:val="002E0230"/>
    <w:rsid w:val="002E02E9"/>
    <w:rsid w:val="002E0343"/>
    <w:rsid w:val="002E0367"/>
    <w:rsid w:val="002E0379"/>
    <w:rsid w:val="002E03C9"/>
    <w:rsid w:val="002E03FF"/>
    <w:rsid w:val="002E0425"/>
    <w:rsid w:val="002E04AB"/>
    <w:rsid w:val="002E04E1"/>
    <w:rsid w:val="002E05D9"/>
    <w:rsid w:val="002E061E"/>
    <w:rsid w:val="002E0699"/>
    <w:rsid w:val="002E06D6"/>
    <w:rsid w:val="002E0704"/>
    <w:rsid w:val="002E070E"/>
    <w:rsid w:val="002E075E"/>
    <w:rsid w:val="002E07C0"/>
    <w:rsid w:val="002E0807"/>
    <w:rsid w:val="002E0816"/>
    <w:rsid w:val="002E081F"/>
    <w:rsid w:val="002E0847"/>
    <w:rsid w:val="002E08A2"/>
    <w:rsid w:val="002E08C3"/>
    <w:rsid w:val="002E0906"/>
    <w:rsid w:val="002E09B7"/>
    <w:rsid w:val="002E09C0"/>
    <w:rsid w:val="002E09DB"/>
    <w:rsid w:val="002E0A0F"/>
    <w:rsid w:val="002E0A60"/>
    <w:rsid w:val="002E0AA2"/>
    <w:rsid w:val="002E0AF3"/>
    <w:rsid w:val="002E0B0C"/>
    <w:rsid w:val="002E0B12"/>
    <w:rsid w:val="002E0BAF"/>
    <w:rsid w:val="002E0BE5"/>
    <w:rsid w:val="002E0C4B"/>
    <w:rsid w:val="002E0C59"/>
    <w:rsid w:val="002E0C5B"/>
    <w:rsid w:val="002E0C83"/>
    <w:rsid w:val="002E0C9C"/>
    <w:rsid w:val="002E0CAF"/>
    <w:rsid w:val="002E0CC1"/>
    <w:rsid w:val="002E0CD8"/>
    <w:rsid w:val="002E0CFA"/>
    <w:rsid w:val="002E0D35"/>
    <w:rsid w:val="002E0DA5"/>
    <w:rsid w:val="002E0DF8"/>
    <w:rsid w:val="002E0E2F"/>
    <w:rsid w:val="002E0ECF"/>
    <w:rsid w:val="002E0F7D"/>
    <w:rsid w:val="002E0F88"/>
    <w:rsid w:val="002E0F94"/>
    <w:rsid w:val="002E0FC0"/>
    <w:rsid w:val="002E0FF2"/>
    <w:rsid w:val="002E101E"/>
    <w:rsid w:val="002E1059"/>
    <w:rsid w:val="002E1082"/>
    <w:rsid w:val="002E10D8"/>
    <w:rsid w:val="002E113A"/>
    <w:rsid w:val="002E114A"/>
    <w:rsid w:val="002E11A4"/>
    <w:rsid w:val="002E12C3"/>
    <w:rsid w:val="002E12CE"/>
    <w:rsid w:val="002E12F2"/>
    <w:rsid w:val="002E12F5"/>
    <w:rsid w:val="002E137D"/>
    <w:rsid w:val="002E13B1"/>
    <w:rsid w:val="002E141E"/>
    <w:rsid w:val="002E149A"/>
    <w:rsid w:val="002E14E0"/>
    <w:rsid w:val="002E15BE"/>
    <w:rsid w:val="002E15C3"/>
    <w:rsid w:val="002E15D7"/>
    <w:rsid w:val="002E162F"/>
    <w:rsid w:val="002E1681"/>
    <w:rsid w:val="002E16CF"/>
    <w:rsid w:val="002E16EA"/>
    <w:rsid w:val="002E179F"/>
    <w:rsid w:val="002E181C"/>
    <w:rsid w:val="002E1865"/>
    <w:rsid w:val="002E1897"/>
    <w:rsid w:val="002E18A3"/>
    <w:rsid w:val="002E18F4"/>
    <w:rsid w:val="002E19EE"/>
    <w:rsid w:val="002E19EF"/>
    <w:rsid w:val="002E1A2B"/>
    <w:rsid w:val="002E1A6D"/>
    <w:rsid w:val="002E1A91"/>
    <w:rsid w:val="002E1AFB"/>
    <w:rsid w:val="002E1B10"/>
    <w:rsid w:val="002E1BC4"/>
    <w:rsid w:val="002E1BF0"/>
    <w:rsid w:val="002E1C00"/>
    <w:rsid w:val="002E1C1A"/>
    <w:rsid w:val="002E1C65"/>
    <w:rsid w:val="002E1CD4"/>
    <w:rsid w:val="002E1D16"/>
    <w:rsid w:val="002E1D68"/>
    <w:rsid w:val="002E1D6D"/>
    <w:rsid w:val="002E1D7E"/>
    <w:rsid w:val="002E1D99"/>
    <w:rsid w:val="002E1DEF"/>
    <w:rsid w:val="002E1E3F"/>
    <w:rsid w:val="002E1E78"/>
    <w:rsid w:val="002E1F98"/>
    <w:rsid w:val="002E1FB3"/>
    <w:rsid w:val="002E1FBF"/>
    <w:rsid w:val="002E1FFE"/>
    <w:rsid w:val="002E2037"/>
    <w:rsid w:val="002E206A"/>
    <w:rsid w:val="002E206D"/>
    <w:rsid w:val="002E2086"/>
    <w:rsid w:val="002E2087"/>
    <w:rsid w:val="002E208D"/>
    <w:rsid w:val="002E2122"/>
    <w:rsid w:val="002E219A"/>
    <w:rsid w:val="002E21BA"/>
    <w:rsid w:val="002E2218"/>
    <w:rsid w:val="002E22AE"/>
    <w:rsid w:val="002E22BD"/>
    <w:rsid w:val="002E22BE"/>
    <w:rsid w:val="002E236B"/>
    <w:rsid w:val="002E245B"/>
    <w:rsid w:val="002E2466"/>
    <w:rsid w:val="002E247B"/>
    <w:rsid w:val="002E2498"/>
    <w:rsid w:val="002E24D0"/>
    <w:rsid w:val="002E24E2"/>
    <w:rsid w:val="002E25C1"/>
    <w:rsid w:val="002E25DF"/>
    <w:rsid w:val="002E2641"/>
    <w:rsid w:val="002E26D2"/>
    <w:rsid w:val="002E26D4"/>
    <w:rsid w:val="002E2704"/>
    <w:rsid w:val="002E2746"/>
    <w:rsid w:val="002E274B"/>
    <w:rsid w:val="002E274F"/>
    <w:rsid w:val="002E27B4"/>
    <w:rsid w:val="002E280C"/>
    <w:rsid w:val="002E2850"/>
    <w:rsid w:val="002E2872"/>
    <w:rsid w:val="002E2888"/>
    <w:rsid w:val="002E28DC"/>
    <w:rsid w:val="002E28E0"/>
    <w:rsid w:val="002E2901"/>
    <w:rsid w:val="002E2908"/>
    <w:rsid w:val="002E291A"/>
    <w:rsid w:val="002E291C"/>
    <w:rsid w:val="002E293D"/>
    <w:rsid w:val="002E2957"/>
    <w:rsid w:val="002E2971"/>
    <w:rsid w:val="002E2975"/>
    <w:rsid w:val="002E29C2"/>
    <w:rsid w:val="002E29CD"/>
    <w:rsid w:val="002E2A0B"/>
    <w:rsid w:val="002E2B5C"/>
    <w:rsid w:val="002E2B6F"/>
    <w:rsid w:val="002E2BAC"/>
    <w:rsid w:val="002E2BBE"/>
    <w:rsid w:val="002E2BD4"/>
    <w:rsid w:val="002E2C3D"/>
    <w:rsid w:val="002E2C45"/>
    <w:rsid w:val="002E2C73"/>
    <w:rsid w:val="002E2C91"/>
    <w:rsid w:val="002E2CA9"/>
    <w:rsid w:val="002E2D04"/>
    <w:rsid w:val="002E2D28"/>
    <w:rsid w:val="002E2D3C"/>
    <w:rsid w:val="002E2D69"/>
    <w:rsid w:val="002E2D6F"/>
    <w:rsid w:val="002E2DC7"/>
    <w:rsid w:val="002E2DE3"/>
    <w:rsid w:val="002E2DFE"/>
    <w:rsid w:val="002E2E4E"/>
    <w:rsid w:val="002E2EB2"/>
    <w:rsid w:val="002E3041"/>
    <w:rsid w:val="002E3049"/>
    <w:rsid w:val="002E30A6"/>
    <w:rsid w:val="002E30A8"/>
    <w:rsid w:val="002E3102"/>
    <w:rsid w:val="002E3159"/>
    <w:rsid w:val="002E320C"/>
    <w:rsid w:val="002E3246"/>
    <w:rsid w:val="002E327B"/>
    <w:rsid w:val="002E334B"/>
    <w:rsid w:val="002E3350"/>
    <w:rsid w:val="002E335F"/>
    <w:rsid w:val="002E34C7"/>
    <w:rsid w:val="002E34F4"/>
    <w:rsid w:val="002E3518"/>
    <w:rsid w:val="002E3576"/>
    <w:rsid w:val="002E364D"/>
    <w:rsid w:val="002E36A8"/>
    <w:rsid w:val="002E36D8"/>
    <w:rsid w:val="002E36EB"/>
    <w:rsid w:val="002E36ED"/>
    <w:rsid w:val="002E371F"/>
    <w:rsid w:val="002E373E"/>
    <w:rsid w:val="002E3740"/>
    <w:rsid w:val="002E3760"/>
    <w:rsid w:val="002E378D"/>
    <w:rsid w:val="002E379B"/>
    <w:rsid w:val="002E37BB"/>
    <w:rsid w:val="002E37F3"/>
    <w:rsid w:val="002E381C"/>
    <w:rsid w:val="002E3827"/>
    <w:rsid w:val="002E3831"/>
    <w:rsid w:val="002E385E"/>
    <w:rsid w:val="002E3865"/>
    <w:rsid w:val="002E38F5"/>
    <w:rsid w:val="002E3946"/>
    <w:rsid w:val="002E394E"/>
    <w:rsid w:val="002E3959"/>
    <w:rsid w:val="002E3962"/>
    <w:rsid w:val="002E39B5"/>
    <w:rsid w:val="002E3A04"/>
    <w:rsid w:val="002E3A15"/>
    <w:rsid w:val="002E3A24"/>
    <w:rsid w:val="002E3A8E"/>
    <w:rsid w:val="002E3B48"/>
    <w:rsid w:val="002E3B50"/>
    <w:rsid w:val="002E3C33"/>
    <w:rsid w:val="002E3C3A"/>
    <w:rsid w:val="002E3C6B"/>
    <w:rsid w:val="002E3C81"/>
    <w:rsid w:val="002E3CAE"/>
    <w:rsid w:val="002E3CD2"/>
    <w:rsid w:val="002E3CD5"/>
    <w:rsid w:val="002E3D5A"/>
    <w:rsid w:val="002E3E3A"/>
    <w:rsid w:val="002E3E51"/>
    <w:rsid w:val="002E3F24"/>
    <w:rsid w:val="002E3F35"/>
    <w:rsid w:val="002E3F3A"/>
    <w:rsid w:val="002E3FCC"/>
    <w:rsid w:val="002E3FDE"/>
    <w:rsid w:val="002E404C"/>
    <w:rsid w:val="002E40D4"/>
    <w:rsid w:val="002E40D6"/>
    <w:rsid w:val="002E4193"/>
    <w:rsid w:val="002E4223"/>
    <w:rsid w:val="002E4289"/>
    <w:rsid w:val="002E428E"/>
    <w:rsid w:val="002E42AD"/>
    <w:rsid w:val="002E42AF"/>
    <w:rsid w:val="002E42BB"/>
    <w:rsid w:val="002E4325"/>
    <w:rsid w:val="002E439C"/>
    <w:rsid w:val="002E4419"/>
    <w:rsid w:val="002E442E"/>
    <w:rsid w:val="002E4512"/>
    <w:rsid w:val="002E454A"/>
    <w:rsid w:val="002E458D"/>
    <w:rsid w:val="002E4651"/>
    <w:rsid w:val="002E46F6"/>
    <w:rsid w:val="002E47EE"/>
    <w:rsid w:val="002E484A"/>
    <w:rsid w:val="002E4858"/>
    <w:rsid w:val="002E48C2"/>
    <w:rsid w:val="002E4922"/>
    <w:rsid w:val="002E4A27"/>
    <w:rsid w:val="002E4A40"/>
    <w:rsid w:val="002E4A59"/>
    <w:rsid w:val="002E4B0C"/>
    <w:rsid w:val="002E4B95"/>
    <w:rsid w:val="002E4BA1"/>
    <w:rsid w:val="002E4BEF"/>
    <w:rsid w:val="002E4C00"/>
    <w:rsid w:val="002E4C4F"/>
    <w:rsid w:val="002E4C52"/>
    <w:rsid w:val="002E4C54"/>
    <w:rsid w:val="002E4D22"/>
    <w:rsid w:val="002E4D84"/>
    <w:rsid w:val="002E4DC0"/>
    <w:rsid w:val="002E4DC4"/>
    <w:rsid w:val="002E4DD7"/>
    <w:rsid w:val="002E4DF1"/>
    <w:rsid w:val="002E4F22"/>
    <w:rsid w:val="002E4F51"/>
    <w:rsid w:val="002E4FA0"/>
    <w:rsid w:val="002E4FEC"/>
    <w:rsid w:val="002E508B"/>
    <w:rsid w:val="002E50ED"/>
    <w:rsid w:val="002E5149"/>
    <w:rsid w:val="002E51A6"/>
    <w:rsid w:val="002E5264"/>
    <w:rsid w:val="002E528A"/>
    <w:rsid w:val="002E52AA"/>
    <w:rsid w:val="002E52DE"/>
    <w:rsid w:val="002E52F2"/>
    <w:rsid w:val="002E5397"/>
    <w:rsid w:val="002E542E"/>
    <w:rsid w:val="002E544D"/>
    <w:rsid w:val="002E546A"/>
    <w:rsid w:val="002E5531"/>
    <w:rsid w:val="002E5540"/>
    <w:rsid w:val="002E5597"/>
    <w:rsid w:val="002E5616"/>
    <w:rsid w:val="002E5650"/>
    <w:rsid w:val="002E56AA"/>
    <w:rsid w:val="002E571D"/>
    <w:rsid w:val="002E5759"/>
    <w:rsid w:val="002E57BE"/>
    <w:rsid w:val="002E57C5"/>
    <w:rsid w:val="002E5845"/>
    <w:rsid w:val="002E589B"/>
    <w:rsid w:val="002E58B4"/>
    <w:rsid w:val="002E58D8"/>
    <w:rsid w:val="002E58E9"/>
    <w:rsid w:val="002E5927"/>
    <w:rsid w:val="002E5943"/>
    <w:rsid w:val="002E596C"/>
    <w:rsid w:val="002E5976"/>
    <w:rsid w:val="002E5985"/>
    <w:rsid w:val="002E59B4"/>
    <w:rsid w:val="002E59CA"/>
    <w:rsid w:val="002E5A3C"/>
    <w:rsid w:val="002E5A4A"/>
    <w:rsid w:val="002E5ABD"/>
    <w:rsid w:val="002E5AE1"/>
    <w:rsid w:val="002E5B56"/>
    <w:rsid w:val="002E5B9F"/>
    <w:rsid w:val="002E5BB1"/>
    <w:rsid w:val="002E5CE0"/>
    <w:rsid w:val="002E5D0D"/>
    <w:rsid w:val="002E5D16"/>
    <w:rsid w:val="002E5D90"/>
    <w:rsid w:val="002E5E5F"/>
    <w:rsid w:val="002E5E6D"/>
    <w:rsid w:val="002E5E99"/>
    <w:rsid w:val="002E5EF3"/>
    <w:rsid w:val="002E5F73"/>
    <w:rsid w:val="002E5FAE"/>
    <w:rsid w:val="002E6044"/>
    <w:rsid w:val="002E6056"/>
    <w:rsid w:val="002E607F"/>
    <w:rsid w:val="002E6085"/>
    <w:rsid w:val="002E60CC"/>
    <w:rsid w:val="002E60FA"/>
    <w:rsid w:val="002E6113"/>
    <w:rsid w:val="002E613C"/>
    <w:rsid w:val="002E6140"/>
    <w:rsid w:val="002E614C"/>
    <w:rsid w:val="002E61CC"/>
    <w:rsid w:val="002E6217"/>
    <w:rsid w:val="002E6274"/>
    <w:rsid w:val="002E6281"/>
    <w:rsid w:val="002E6297"/>
    <w:rsid w:val="002E62BA"/>
    <w:rsid w:val="002E6335"/>
    <w:rsid w:val="002E6379"/>
    <w:rsid w:val="002E63B9"/>
    <w:rsid w:val="002E63E1"/>
    <w:rsid w:val="002E642A"/>
    <w:rsid w:val="002E644A"/>
    <w:rsid w:val="002E6482"/>
    <w:rsid w:val="002E6496"/>
    <w:rsid w:val="002E64F0"/>
    <w:rsid w:val="002E657B"/>
    <w:rsid w:val="002E6582"/>
    <w:rsid w:val="002E658B"/>
    <w:rsid w:val="002E65DF"/>
    <w:rsid w:val="002E661F"/>
    <w:rsid w:val="002E6657"/>
    <w:rsid w:val="002E66E8"/>
    <w:rsid w:val="002E66F2"/>
    <w:rsid w:val="002E67A2"/>
    <w:rsid w:val="002E6925"/>
    <w:rsid w:val="002E695F"/>
    <w:rsid w:val="002E697F"/>
    <w:rsid w:val="002E6A49"/>
    <w:rsid w:val="002E6A58"/>
    <w:rsid w:val="002E6B3C"/>
    <w:rsid w:val="002E6B67"/>
    <w:rsid w:val="002E6B79"/>
    <w:rsid w:val="002E6B87"/>
    <w:rsid w:val="002E6C08"/>
    <w:rsid w:val="002E6C0C"/>
    <w:rsid w:val="002E6C4A"/>
    <w:rsid w:val="002E6CD3"/>
    <w:rsid w:val="002E6D25"/>
    <w:rsid w:val="002E6D90"/>
    <w:rsid w:val="002E6DB3"/>
    <w:rsid w:val="002E6E8C"/>
    <w:rsid w:val="002E6EA6"/>
    <w:rsid w:val="002E6EC2"/>
    <w:rsid w:val="002E6EC8"/>
    <w:rsid w:val="002E6ECE"/>
    <w:rsid w:val="002E6EDD"/>
    <w:rsid w:val="002E6F5C"/>
    <w:rsid w:val="002E6F76"/>
    <w:rsid w:val="002E6FA5"/>
    <w:rsid w:val="002E7029"/>
    <w:rsid w:val="002E7088"/>
    <w:rsid w:val="002E70F5"/>
    <w:rsid w:val="002E7223"/>
    <w:rsid w:val="002E7244"/>
    <w:rsid w:val="002E72EE"/>
    <w:rsid w:val="002E7340"/>
    <w:rsid w:val="002E735F"/>
    <w:rsid w:val="002E7375"/>
    <w:rsid w:val="002E7399"/>
    <w:rsid w:val="002E73A4"/>
    <w:rsid w:val="002E73AF"/>
    <w:rsid w:val="002E743D"/>
    <w:rsid w:val="002E7495"/>
    <w:rsid w:val="002E75DA"/>
    <w:rsid w:val="002E75E5"/>
    <w:rsid w:val="002E75EA"/>
    <w:rsid w:val="002E761C"/>
    <w:rsid w:val="002E7635"/>
    <w:rsid w:val="002E76AB"/>
    <w:rsid w:val="002E76E6"/>
    <w:rsid w:val="002E772B"/>
    <w:rsid w:val="002E7740"/>
    <w:rsid w:val="002E77A4"/>
    <w:rsid w:val="002E7881"/>
    <w:rsid w:val="002E78C4"/>
    <w:rsid w:val="002E78EC"/>
    <w:rsid w:val="002E7936"/>
    <w:rsid w:val="002E793B"/>
    <w:rsid w:val="002E7948"/>
    <w:rsid w:val="002E79D8"/>
    <w:rsid w:val="002E79D9"/>
    <w:rsid w:val="002E7A7E"/>
    <w:rsid w:val="002E7A87"/>
    <w:rsid w:val="002E7AB7"/>
    <w:rsid w:val="002E7B05"/>
    <w:rsid w:val="002E7B2B"/>
    <w:rsid w:val="002E7C17"/>
    <w:rsid w:val="002E7CAF"/>
    <w:rsid w:val="002E7D13"/>
    <w:rsid w:val="002E7D22"/>
    <w:rsid w:val="002E7D83"/>
    <w:rsid w:val="002E7D99"/>
    <w:rsid w:val="002E7E81"/>
    <w:rsid w:val="002E7EFB"/>
    <w:rsid w:val="002E7F17"/>
    <w:rsid w:val="002E7F34"/>
    <w:rsid w:val="002E7F6D"/>
    <w:rsid w:val="002E7FBF"/>
    <w:rsid w:val="002E7FEE"/>
    <w:rsid w:val="002E7FF5"/>
    <w:rsid w:val="002F0039"/>
    <w:rsid w:val="002F0048"/>
    <w:rsid w:val="002F0055"/>
    <w:rsid w:val="002F00F1"/>
    <w:rsid w:val="002F0119"/>
    <w:rsid w:val="002F0128"/>
    <w:rsid w:val="002F013E"/>
    <w:rsid w:val="002F0183"/>
    <w:rsid w:val="002F0196"/>
    <w:rsid w:val="002F01B6"/>
    <w:rsid w:val="002F01DF"/>
    <w:rsid w:val="002F022B"/>
    <w:rsid w:val="002F0233"/>
    <w:rsid w:val="002F024C"/>
    <w:rsid w:val="002F0292"/>
    <w:rsid w:val="002F02F4"/>
    <w:rsid w:val="002F0305"/>
    <w:rsid w:val="002F0348"/>
    <w:rsid w:val="002F03B8"/>
    <w:rsid w:val="002F042B"/>
    <w:rsid w:val="002F042C"/>
    <w:rsid w:val="002F043B"/>
    <w:rsid w:val="002F0455"/>
    <w:rsid w:val="002F0463"/>
    <w:rsid w:val="002F050C"/>
    <w:rsid w:val="002F050E"/>
    <w:rsid w:val="002F0517"/>
    <w:rsid w:val="002F0591"/>
    <w:rsid w:val="002F05A3"/>
    <w:rsid w:val="002F05F2"/>
    <w:rsid w:val="002F0618"/>
    <w:rsid w:val="002F061D"/>
    <w:rsid w:val="002F065A"/>
    <w:rsid w:val="002F0692"/>
    <w:rsid w:val="002F06A3"/>
    <w:rsid w:val="002F06C9"/>
    <w:rsid w:val="002F06CB"/>
    <w:rsid w:val="002F0700"/>
    <w:rsid w:val="002F071A"/>
    <w:rsid w:val="002F0730"/>
    <w:rsid w:val="002F0742"/>
    <w:rsid w:val="002F0761"/>
    <w:rsid w:val="002F081A"/>
    <w:rsid w:val="002F082D"/>
    <w:rsid w:val="002F08A5"/>
    <w:rsid w:val="002F0959"/>
    <w:rsid w:val="002F09C1"/>
    <w:rsid w:val="002F0A25"/>
    <w:rsid w:val="002F0A34"/>
    <w:rsid w:val="002F0A5F"/>
    <w:rsid w:val="002F0A74"/>
    <w:rsid w:val="002F0A7D"/>
    <w:rsid w:val="002F0AFA"/>
    <w:rsid w:val="002F0B8A"/>
    <w:rsid w:val="002F0BB6"/>
    <w:rsid w:val="002F0C39"/>
    <w:rsid w:val="002F0C41"/>
    <w:rsid w:val="002F0C8E"/>
    <w:rsid w:val="002F0CA9"/>
    <w:rsid w:val="002F0CC0"/>
    <w:rsid w:val="002F0D30"/>
    <w:rsid w:val="002F0D3F"/>
    <w:rsid w:val="002F0E2F"/>
    <w:rsid w:val="002F0E8C"/>
    <w:rsid w:val="002F0E8F"/>
    <w:rsid w:val="002F0E9A"/>
    <w:rsid w:val="002F0F12"/>
    <w:rsid w:val="002F0F15"/>
    <w:rsid w:val="002F0F18"/>
    <w:rsid w:val="002F0F98"/>
    <w:rsid w:val="002F0FA7"/>
    <w:rsid w:val="002F0FB0"/>
    <w:rsid w:val="002F0FBD"/>
    <w:rsid w:val="002F0FF0"/>
    <w:rsid w:val="002F10AB"/>
    <w:rsid w:val="002F10BE"/>
    <w:rsid w:val="002F10C2"/>
    <w:rsid w:val="002F117A"/>
    <w:rsid w:val="002F11D8"/>
    <w:rsid w:val="002F124F"/>
    <w:rsid w:val="002F1327"/>
    <w:rsid w:val="002F13AB"/>
    <w:rsid w:val="002F13B6"/>
    <w:rsid w:val="002F13B8"/>
    <w:rsid w:val="002F13D3"/>
    <w:rsid w:val="002F142B"/>
    <w:rsid w:val="002F1484"/>
    <w:rsid w:val="002F14F3"/>
    <w:rsid w:val="002F1560"/>
    <w:rsid w:val="002F16A0"/>
    <w:rsid w:val="002F1708"/>
    <w:rsid w:val="002F178D"/>
    <w:rsid w:val="002F179D"/>
    <w:rsid w:val="002F17D5"/>
    <w:rsid w:val="002F181F"/>
    <w:rsid w:val="002F1827"/>
    <w:rsid w:val="002F1830"/>
    <w:rsid w:val="002F186A"/>
    <w:rsid w:val="002F187D"/>
    <w:rsid w:val="002F18B9"/>
    <w:rsid w:val="002F18C5"/>
    <w:rsid w:val="002F18F0"/>
    <w:rsid w:val="002F18F7"/>
    <w:rsid w:val="002F1926"/>
    <w:rsid w:val="002F192F"/>
    <w:rsid w:val="002F1958"/>
    <w:rsid w:val="002F1989"/>
    <w:rsid w:val="002F19C0"/>
    <w:rsid w:val="002F19FC"/>
    <w:rsid w:val="002F1A40"/>
    <w:rsid w:val="002F1A65"/>
    <w:rsid w:val="002F1A7A"/>
    <w:rsid w:val="002F1AE7"/>
    <w:rsid w:val="002F1B07"/>
    <w:rsid w:val="002F1BB9"/>
    <w:rsid w:val="002F1C44"/>
    <w:rsid w:val="002F1C46"/>
    <w:rsid w:val="002F1CB8"/>
    <w:rsid w:val="002F1CCD"/>
    <w:rsid w:val="002F1CF0"/>
    <w:rsid w:val="002F1D11"/>
    <w:rsid w:val="002F1D89"/>
    <w:rsid w:val="002F1DE5"/>
    <w:rsid w:val="002F1DFC"/>
    <w:rsid w:val="002F1E00"/>
    <w:rsid w:val="002F1E02"/>
    <w:rsid w:val="002F1E38"/>
    <w:rsid w:val="002F1EB6"/>
    <w:rsid w:val="002F1F1C"/>
    <w:rsid w:val="002F1F21"/>
    <w:rsid w:val="002F1F3D"/>
    <w:rsid w:val="002F1F3F"/>
    <w:rsid w:val="002F1F40"/>
    <w:rsid w:val="002F1F6F"/>
    <w:rsid w:val="002F2074"/>
    <w:rsid w:val="002F2113"/>
    <w:rsid w:val="002F2144"/>
    <w:rsid w:val="002F2192"/>
    <w:rsid w:val="002F21AA"/>
    <w:rsid w:val="002F229F"/>
    <w:rsid w:val="002F233B"/>
    <w:rsid w:val="002F2403"/>
    <w:rsid w:val="002F2478"/>
    <w:rsid w:val="002F2498"/>
    <w:rsid w:val="002F24E3"/>
    <w:rsid w:val="002F24F0"/>
    <w:rsid w:val="002F253E"/>
    <w:rsid w:val="002F2552"/>
    <w:rsid w:val="002F25BE"/>
    <w:rsid w:val="002F25F4"/>
    <w:rsid w:val="002F2607"/>
    <w:rsid w:val="002F2612"/>
    <w:rsid w:val="002F2616"/>
    <w:rsid w:val="002F2695"/>
    <w:rsid w:val="002F26B7"/>
    <w:rsid w:val="002F273C"/>
    <w:rsid w:val="002F273D"/>
    <w:rsid w:val="002F274F"/>
    <w:rsid w:val="002F27BF"/>
    <w:rsid w:val="002F27EB"/>
    <w:rsid w:val="002F27EF"/>
    <w:rsid w:val="002F2838"/>
    <w:rsid w:val="002F2885"/>
    <w:rsid w:val="002F289C"/>
    <w:rsid w:val="002F290E"/>
    <w:rsid w:val="002F2912"/>
    <w:rsid w:val="002F2A4C"/>
    <w:rsid w:val="002F2AE2"/>
    <w:rsid w:val="002F2AEC"/>
    <w:rsid w:val="002F2B5E"/>
    <w:rsid w:val="002F2B62"/>
    <w:rsid w:val="002F2B80"/>
    <w:rsid w:val="002F2B8B"/>
    <w:rsid w:val="002F2CAC"/>
    <w:rsid w:val="002F2CC8"/>
    <w:rsid w:val="002F2CCF"/>
    <w:rsid w:val="002F2CE9"/>
    <w:rsid w:val="002F2D08"/>
    <w:rsid w:val="002F2D2B"/>
    <w:rsid w:val="002F2D78"/>
    <w:rsid w:val="002F2D7F"/>
    <w:rsid w:val="002F2DB7"/>
    <w:rsid w:val="002F2DD2"/>
    <w:rsid w:val="002F2E4A"/>
    <w:rsid w:val="002F2EAD"/>
    <w:rsid w:val="002F2F0E"/>
    <w:rsid w:val="002F2FDB"/>
    <w:rsid w:val="002F2FFF"/>
    <w:rsid w:val="002F3016"/>
    <w:rsid w:val="002F30D2"/>
    <w:rsid w:val="002F31D8"/>
    <w:rsid w:val="002F31E3"/>
    <w:rsid w:val="002F31F6"/>
    <w:rsid w:val="002F321D"/>
    <w:rsid w:val="002F324B"/>
    <w:rsid w:val="002F324D"/>
    <w:rsid w:val="002F32D3"/>
    <w:rsid w:val="002F32EB"/>
    <w:rsid w:val="002F3307"/>
    <w:rsid w:val="002F334D"/>
    <w:rsid w:val="002F33A9"/>
    <w:rsid w:val="002F33F3"/>
    <w:rsid w:val="002F3411"/>
    <w:rsid w:val="002F3471"/>
    <w:rsid w:val="002F34F4"/>
    <w:rsid w:val="002F350B"/>
    <w:rsid w:val="002F3510"/>
    <w:rsid w:val="002F353D"/>
    <w:rsid w:val="002F3540"/>
    <w:rsid w:val="002F35C5"/>
    <w:rsid w:val="002F35CC"/>
    <w:rsid w:val="002F35F7"/>
    <w:rsid w:val="002F366F"/>
    <w:rsid w:val="002F368C"/>
    <w:rsid w:val="002F3711"/>
    <w:rsid w:val="002F373D"/>
    <w:rsid w:val="002F37E3"/>
    <w:rsid w:val="002F3842"/>
    <w:rsid w:val="002F3855"/>
    <w:rsid w:val="002F38AA"/>
    <w:rsid w:val="002F38D1"/>
    <w:rsid w:val="002F38F5"/>
    <w:rsid w:val="002F3939"/>
    <w:rsid w:val="002F3971"/>
    <w:rsid w:val="002F3991"/>
    <w:rsid w:val="002F39B2"/>
    <w:rsid w:val="002F39FC"/>
    <w:rsid w:val="002F3A3D"/>
    <w:rsid w:val="002F3B06"/>
    <w:rsid w:val="002F3B0E"/>
    <w:rsid w:val="002F3B46"/>
    <w:rsid w:val="002F3B66"/>
    <w:rsid w:val="002F3B7C"/>
    <w:rsid w:val="002F3BF4"/>
    <w:rsid w:val="002F3BF8"/>
    <w:rsid w:val="002F3C20"/>
    <w:rsid w:val="002F3C3A"/>
    <w:rsid w:val="002F3C94"/>
    <w:rsid w:val="002F3CA8"/>
    <w:rsid w:val="002F3CF6"/>
    <w:rsid w:val="002F3D68"/>
    <w:rsid w:val="002F3D6A"/>
    <w:rsid w:val="002F3D8D"/>
    <w:rsid w:val="002F3DA2"/>
    <w:rsid w:val="002F3DD2"/>
    <w:rsid w:val="002F3DF1"/>
    <w:rsid w:val="002F3DF2"/>
    <w:rsid w:val="002F3DF5"/>
    <w:rsid w:val="002F3E01"/>
    <w:rsid w:val="002F3E4D"/>
    <w:rsid w:val="002F3ECB"/>
    <w:rsid w:val="002F3ED3"/>
    <w:rsid w:val="002F3F2C"/>
    <w:rsid w:val="002F3F56"/>
    <w:rsid w:val="002F3F7A"/>
    <w:rsid w:val="002F4041"/>
    <w:rsid w:val="002F40B7"/>
    <w:rsid w:val="002F40D6"/>
    <w:rsid w:val="002F40E7"/>
    <w:rsid w:val="002F413D"/>
    <w:rsid w:val="002F41D8"/>
    <w:rsid w:val="002F41D9"/>
    <w:rsid w:val="002F41EA"/>
    <w:rsid w:val="002F41FA"/>
    <w:rsid w:val="002F4299"/>
    <w:rsid w:val="002F42C7"/>
    <w:rsid w:val="002F42E9"/>
    <w:rsid w:val="002F4300"/>
    <w:rsid w:val="002F430D"/>
    <w:rsid w:val="002F430F"/>
    <w:rsid w:val="002F4332"/>
    <w:rsid w:val="002F4351"/>
    <w:rsid w:val="002F435E"/>
    <w:rsid w:val="002F43DA"/>
    <w:rsid w:val="002F441E"/>
    <w:rsid w:val="002F4430"/>
    <w:rsid w:val="002F451B"/>
    <w:rsid w:val="002F4529"/>
    <w:rsid w:val="002F452F"/>
    <w:rsid w:val="002F453E"/>
    <w:rsid w:val="002F4540"/>
    <w:rsid w:val="002F454E"/>
    <w:rsid w:val="002F459D"/>
    <w:rsid w:val="002F45B7"/>
    <w:rsid w:val="002F45D0"/>
    <w:rsid w:val="002F460A"/>
    <w:rsid w:val="002F4675"/>
    <w:rsid w:val="002F467A"/>
    <w:rsid w:val="002F46A4"/>
    <w:rsid w:val="002F46CA"/>
    <w:rsid w:val="002F46D5"/>
    <w:rsid w:val="002F46FA"/>
    <w:rsid w:val="002F4791"/>
    <w:rsid w:val="002F47CF"/>
    <w:rsid w:val="002F47ED"/>
    <w:rsid w:val="002F4862"/>
    <w:rsid w:val="002F48E9"/>
    <w:rsid w:val="002F4935"/>
    <w:rsid w:val="002F493E"/>
    <w:rsid w:val="002F4949"/>
    <w:rsid w:val="002F49E4"/>
    <w:rsid w:val="002F4A28"/>
    <w:rsid w:val="002F4A47"/>
    <w:rsid w:val="002F4AEF"/>
    <w:rsid w:val="002F4AF4"/>
    <w:rsid w:val="002F4B1D"/>
    <w:rsid w:val="002F4B71"/>
    <w:rsid w:val="002F4BB1"/>
    <w:rsid w:val="002F4C16"/>
    <w:rsid w:val="002F4C3F"/>
    <w:rsid w:val="002F4C7F"/>
    <w:rsid w:val="002F4C88"/>
    <w:rsid w:val="002F4CA6"/>
    <w:rsid w:val="002F4CBB"/>
    <w:rsid w:val="002F4D49"/>
    <w:rsid w:val="002F4D79"/>
    <w:rsid w:val="002F4E00"/>
    <w:rsid w:val="002F4E12"/>
    <w:rsid w:val="002F4E24"/>
    <w:rsid w:val="002F4E5C"/>
    <w:rsid w:val="002F4F7B"/>
    <w:rsid w:val="002F4FA5"/>
    <w:rsid w:val="002F51C9"/>
    <w:rsid w:val="002F522A"/>
    <w:rsid w:val="002F5234"/>
    <w:rsid w:val="002F5270"/>
    <w:rsid w:val="002F52B9"/>
    <w:rsid w:val="002F5467"/>
    <w:rsid w:val="002F546F"/>
    <w:rsid w:val="002F548B"/>
    <w:rsid w:val="002F54CD"/>
    <w:rsid w:val="002F54D8"/>
    <w:rsid w:val="002F5501"/>
    <w:rsid w:val="002F5573"/>
    <w:rsid w:val="002F55A4"/>
    <w:rsid w:val="002F55D0"/>
    <w:rsid w:val="002F55D1"/>
    <w:rsid w:val="002F5629"/>
    <w:rsid w:val="002F568D"/>
    <w:rsid w:val="002F56D4"/>
    <w:rsid w:val="002F56E4"/>
    <w:rsid w:val="002F5786"/>
    <w:rsid w:val="002F57B7"/>
    <w:rsid w:val="002F57C8"/>
    <w:rsid w:val="002F57DB"/>
    <w:rsid w:val="002F5820"/>
    <w:rsid w:val="002F5835"/>
    <w:rsid w:val="002F588F"/>
    <w:rsid w:val="002F58A4"/>
    <w:rsid w:val="002F58CC"/>
    <w:rsid w:val="002F594A"/>
    <w:rsid w:val="002F5998"/>
    <w:rsid w:val="002F5A22"/>
    <w:rsid w:val="002F5B08"/>
    <w:rsid w:val="002F5B34"/>
    <w:rsid w:val="002F5B52"/>
    <w:rsid w:val="002F5B66"/>
    <w:rsid w:val="002F5B8F"/>
    <w:rsid w:val="002F5C53"/>
    <w:rsid w:val="002F5C58"/>
    <w:rsid w:val="002F5C7E"/>
    <w:rsid w:val="002F5CAB"/>
    <w:rsid w:val="002F5CB3"/>
    <w:rsid w:val="002F5CE9"/>
    <w:rsid w:val="002F5D50"/>
    <w:rsid w:val="002F5D75"/>
    <w:rsid w:val="002F5DEE"/>
    <w:rsid w:val="002F5E45"/>
    <w:rsid w:val="002F5E97"/>
    <w:rsid w:val="002F5EED"/>
    <w:rsid w:val="002F5EF7"/>
    <w:rsid w:val="002F5F41"/>
    <w:rsid w:val="002F5F5C"/>
    <w:rsid w:val="002F5F6E"/>
    <w:rsid w:val="002F5FBF"/>
    <w:rsid w:val="002F6038"/>
    <w:rsid w:val="002F6043"/>
    <w:rsid w:val="002F604C"/>
    <w:rsid w:val="002F605B"/>
    <w:rsid w:val="002F60CF"/>
    <w:rsid w:val="002F60D6"/>
    <w:rsid w:val="002F6122"/>
    <w:rsid w:val="002F61B6"/>
    <w:rsid w:val="002F61BE"/>
    <w:rsid w:val="002F624E"/>
    <w:rsid w:val="002F62C7"/>
    <w:rsid w:val="002F62FE"/>
    <w:rsid w:val="002F631C"/>
    <w:rsid w:val="002F63C2"/>
    <w:rsid w:val="002F642E"/>
    <w:rsid w:val="002F6484"/>
    <w:rsid w:val="002F64CF"/>
    <w:rsid w:val="002F6522"/>
    <w:rsid w:val="002F654A"/>
    <w:rsid w:val="002F656A"/>
    <w:rsid w:val="002F65B1"/>
    <w:rsid w:val="002F65B9"/>
    <w:rsid w:val="002F65C5"/>
    <w:rsid w:val="002F65D7"/>
    <w:rsid w:val="002F65DC"/>
    <w:rsid w:val="002F663E"/>
    <w:rsid w:val="002F66B1"/>
    <w:rsid w:val="002F66C0"/>
    <w:rsid w:val="002F66C5"/>
    <w:rsid w:val="002F6775"/>
    <w:rsid w:val="002F6776"/>
    <w:rsid w:val="002F6792"/>
    <w:rsid w:val="002F67B6"/>
    <w:rsid w:val="002F67F2"/>
    <w:rsid w:val="002F6897"/>
    <w:rsid w:val="002F693E"/>
    <w:rsid w:val="002F6961"/>
    <w:rsid w:val="002F6991"/>
    <w:rsid w:val="002F6992"/>
    <w:rsid w:val="002F6999"/>
    <w:rsid w:val="002F69A1"/>
    <w:rsid w:val="002F6A69"/>
    <w:rsid w:val="002F6AAB"/>
    <w:rsid w:val="002F6B87"/>
    <w:rsid w:val="002F6B8F"/>
    <w:rsid w:val="002F6BF2"/>
    <w:rsid w:val="002F6C3E"/>
    <w:rsid w:val="002F6C4B"/>
    <w:rsid w:val="002F6C77"/>
    <w:rsid w:val="002F6D94"/>
    <w:rsid w:val="002F6DAB"/>
    <w:rsid w:val="002F6EF5"/>
    <w:rsid w:val="002F6F2E"/>
    <w:rsid w:val="002F6F66"/>
    <w:rsid w:val="002F6F7B"/>
    <w:rsid w:val="002F6F7C"/>
    <w:rsid w:val="002F6FA1"/>
    <w:rsid w:val="002F6FD3"/>
    <w:rsid w:val="002F7042"/>
    <w:rsid w:val="002F7048"/>
    <w:rsid w:val="002F7078"/>
    <w:rsid w:val="002F70CB"/>
    <w:rsid w:val="002F70FD"/>
    <w:rsid w:val="002F7134"/>
    <w:rsid w:val="002F7187"/>
    <w:rsid w:val="002F71A1"/>
    <w:rsid w:val="002F722F"/>
    <w:rsid w:val="002F7278"/>
    <w:rsid w:val="002F7280"/>
    <w:rsid w:val="002F7367"/>
    <w:rsid w:val="002F736D"/>
    <w:rsid w:val="002F73D2"/>
    <w:rsid w:val="002F73EF"/>
    <w:rsid w:val="002F7447"/>
    <w:rsid w:val="002F747B"/>
    <w:rsid w:val="002F74CF"/>
    <w:rsid w:val="002F7585"/>
    <w:rsid w:val="002F75FD"/>
    <w:rsid w:val="002F7634"/>
    <w:rsid w:val="002F7666"/>
    <w:rsid w:val="002F768E"/>
    <w:rsid w:val="002F769A"/>
    <w:rsid w:val="002F769B"/>
    <w:rsid w:val="002F773D"/>
    <w:rsid w:val="002F7753"/>
    <w:rsid w:val="002F7793"/>
    <w:rsid w:val="002F77A7"/>
    <w:rsid w:val="002F77EE"/>
    <w:rsid w:val="002F780C"/>
    <w:rsid w:val="002F785A"/>
    <w:rsid w:val="002F7862"/>
    <w:rsid w:val="002F7869"/>
    <w:rsid w:val="002F78B4"/>
    <w:rsid w:val="002F78EA"/>
    <w:rsid w:val="002F790C"/>
    <w:rsid w:val="002F7967"/>
    <w:rsid w:val="002F79F1"/>
    <w:rsid w:val="002F7AF4"/>
    <w:rsid w:val="002F7B8B"/>
    <w:rsid w:val="002F7BA8"/>
    <w:rsid w:val="002F7BCF"/>
    <w:rsid w:val="002F7BE0"/>
    <w:rsid w:val="002F7C09"/>
    <w:rsid w:val="002F7C28"/>
    <w:rsid w:val="002F7CA1"/>
    <w:rsid w:val="002F7D40"/>
    <w:rsid w:val="002F7D58"/>
    <w:rsid w:val="002F7D94"/>
    <w:rsid w:val="002F7E38"/>
    <w:rsid w:val="002F7E3D"/>
    <w:rsid w:val="002F7E45"/>
    <w:rsid w:val="002F7E91"/>
    <w:rsid w:val="002F7E9D"/>
    <w:rsid w:val="002F7EDB"/>
    <w:rsid w:val="002F7EE0"/>
    <w:rsid w:val="002F7FAB"/>
    <w:rsid w:val="00300016"/>
    <w:rsid w:val="00300094"/>
    <w:rsid w:val="00300136"/>
    <w:rsid w:val="0030017E"/>
    <w:rsid w:val="00300192"/>
    <w:rsid w:val="00300214"/>
    <w:rsid w:val="0030027B"/>
    <w:rsid w:val="0030028F"/>
    <w:rsid w:val="0030029D"/>
    <w:rsid w:val="003002A4"/>
    <w:rsid w:val="003002C5"/>
    <w:rsid w:val="00300305"/>
    <w:rsid w:val="00300313"/>
    <w:rsid w:val="00300329"/>
    <w:rsid w:val="003004A6"/>
    <w:rsid w:val="003004BE"/>
    <w:rsid w:val="003004D8"/>
    <w:rsid w:val="00300500"/>
    <w:rsid w:val="00300515"/>
    <w:rsid w:val="00300535"/>
    <w:rsid w:val="00300543"/>
    <w:rsid w:val="003005A3"/>
    <w:rsid w:val="003005F7"/>
    <w:rsid w:val="00300603"/>
    <w:rsid w:val="00300605"/>
    <w:rsid w:val="00300622"/>
    <w:rsid w:val="00300684"/>
    <w:rsid w:val="003006E0"/>
    <w:rsid w:val="0030074B"/>
    <w:rsid w:val="003007F3"/>
    <w:rsid w:val="003007F7"/>
    <w:rsid w:val="0030085B"/>
    <w:rsid w:val="0030086B"/>
    <w:rsid w:val="003008DD"/>
    <w:rsid w:val="0030095C"/>
    <w:rsid w:val="0030096F"/>
    <w:rsid w:val="0030097C"/>
    <w:rsid w:val="00300985"/>
    <w:rsid w:val="0030099F"/>
    <w:rsid w:val="00300A61"/>
    <w:rsid w:val="00300A82"/>
    <w:rsid w:val="00300B74"/>
    <w:rsid w:val="00300BD0"/>
    <w:rsid w:val="00300BF0"/>
    <w:rsid w:val="00300C01"/>
    <w:rsid w:val="00300D22"/>
    <w:rsid w:val="00300D5B"/>
    <w:rsid w:val="00300E4F"/>
    <w:rsid w:val="00300EA9"/>
    <w:rsid w:val="00300F34"/>
    <w:rsid w:val="00300F5C"/>
    <w:rsid w:val="00300FB1"/>
    <w:rsid w:val="00300FE4"/>
    <w:rsid w:val="0030100A"/>
    <w:rsid w:val="00301083"/>
    <w:rsid w:val="003010A0"/>
    <w:rsid w:val="003011A7"/>
    <w:rsid w:val="00301226"/>
    <w:rsid w:val="00301233"/>
    <w:rsid w:val="0030128C"/>
    <w:rsid w:val="0030130A"/>
    <w:rsid w:val="00301362"/>
    <w:rsid w:val="0030138B"/>
    <w:rsid w:val="003013D5"/>
    <w:rsid w:val="00301409"/>
    <w:rsid w:val="0030141A"/>
    <w:rsid w:val="0030146C"/>
    <w:rsid w:val="00301470"/>
    <w:rsid w:val="003014AB"/>
    <w:rsid w:val="003015F9"/>
    <w:rsid w:val="0030167E"/>
    <w:rsid w:val="00301725"/>
    <w:rsid w:val="003017CA"/>
    <w:rsid w:val="003017FB"/>
    <w:rsid w:val="0030180E"/>
    <w:rsid w:val="00301828"/>
    <w:rsid w:val="00301849"/>
    <w:rsid w:val="00301872"/>
    <w:rsid w:val="0030191D"/>
    <w:rsid w:val="00301974"/>
    <w:rsid w:val="003019ED"/>
    <w:rsid w:val="00301A34"/>
    <w:rsid w:val="00301A71"/>
    <w:rsid w:val="00301A81"/>
    <w:rsid w:val="00301B26"/>
    <w:rsid w:val="00301B4A"/>
    <w:rsid w:val="00301BBD"/>
    <w:rsid w:val="00301C29"/>
    <w:rsid w:val="00301C2B"/>
    <w:rsid w:val="00301D55"/>
    <w:rsid w:val="00301DA6"/>
    <w:rsid w:val="00301DB6"/>
    <w:rsid w:val="00301DEB"/>
    <w:rsid w:val="00301DF9"/>
    <w:rsid w:val="00301E71"/>
    <w:rsid w:val="00301EC4"/>
    <w:rsid w:val="00301EC6"/>
    <w:rsid w:val="00301FAA"/>
    <w:rsid w:val="00301FFD"/>
    <w:rsid w:val="00302037"/>
    <w:rsid w:val="0030207F"/>
    <w:rsid w:val="0030209C"/>
    <w:rsid w:val="003020E6"/>
    <w:rsid w:val="003020FD"/>
    <w:rsid w:val="0030212C"/>
    <w:rsid w:val="003021DB"/>
    <w:rsid w:val="0030229E"/>
    <w:rsid w:val="003022B6"/>
    <w:rsid w:val="003022DD"/>
    <w:rsid w:val="0030231B"/>
    <w:rsid w:val="00302386"/>
    <w:rsid w:val="00302399"/>
    <w:rsid w:val="003024A4"/>
    <w:rsid w:val="003024F5"/>
    <w:rsid w:val="003025C8"/>
    <w:rsid w:val="003025CB"/>
    <w:rsid w:val="00302686"/>
    <w:rsid w:val="003026EA"/>
    <w:rsid w:val="00302707"/>
    <w:rsid w:val="0030270B"/>
    <w:rsid w:val="0030271C"/>
    <w:rsid w:val="00302725"/>
    <w:rsid w:val="00302754"/>
    <w:rsid w:val="003027D5"/>
    <w:rsid w:val="00302873"/>
    <w:rsid w:val="00302880"/>
    <w:rsid w:val="00302886"/>
    <w:rsid w:val="003028A6"/>
    <w:rsid w:val="003028B9"/>
    <w:rsid w:val="00302A12"/>
    <w:rsid w:val="00302B8C"/>
    <w:rsid w:val="00302BA4"/>
    <w:rsid w:val="00302BB8"/>
    <w:rsid w:val="00302BD5"/>
    <w:rsid w:val="00302BDF"/>
    <w:rsid w:val="00302C0C"/>
    <w:rsid w:val="00302C28"/>
    <w:rsid w:val="00302C59"/>
    <w:rsid w:val="00302CCF"/>
    <w:rsid w:val="00302CDE"/>
    <w:rsid w:val="00302D07"/>
    <w:rsid w:val="00302D15"/>
    <w:rsid w:val="00302D2B"/>
    <w:rsid w:val="00302D5F"/>
    <w:rsid w:val="00302DB3"/>
    <w:rsid w:val="00302DF4"/>
    <w:rsid w:val="00302E45"/>
    <w:rsid w:val="00302E99"/>
    <w:rsid w:val="00302EAA"/>
    <w:rsid w:val="00302F10"/>
    <w:rsid w:val="00302F17"/>
    <w:rsid w:val="00302FEE"/>
    <w:rsid w:val="003030A2"/>
    <w:rsid w:val="003030FF"/>
    <w:rsid w:val="0030314D"/>
    <w:rsid w:val="0030315C"/>
    <w:rsid w:val="0030325C"/>
    <w:rsid w:val="00303269"/>
    <w:rsid w:val="003032D9"/>
    <w:rsid w:val="003032F7"/>
    <w:rsid w:val="0030335C"/>
    <w:rsid w:val="003033F7"/>
    <w:rsid w:val="0030344C"/>
    <w:rsid w:val="0030358A"/>
    <w:rsid w:val="003035A5"/>
    <w:rsid w:val="00303604"/>
    <w:rsid w:val="0030363E"/>
    <w:rsid w:val="0030369B"/>
    <w:rsid w:val="003036EC"/>
    <w:rsid w:val="00303724"/>
    <w:rsid w:val="00303772"/>
    <w:rsid w:val="00303781"/>
    <w:rsid w:val="0030380B"/>
    <w:rsid w:val="0030380C"/>
    <w:rsid w:val="00303817"/>
    <w:rsid w:val="00303837"/>
    <w:rsid w:val="00303860"/>
    <w:rsid w:val="0030387B"/>
    <w:rsid w:val="0030389A"/>
    <w:rsid w:val="003038BF"/>
    <w:rsid w:val="00303908"/>
    <w:rsid w:val="00303922"/>
    <w:rsid w:val="00303A12"/>
    <w:rsid w:val="00303A1F"/>
    <w:rsid w:val="00303A93"/>
    <w:rsid w:val="00303AD3"/>
    <w:rsid w:val="00303AF0"/>
    <w:rsid w:val="00303B63"/>
    <w:rsid w:val="00303B74"/>
    <w:rsid w:val="00303C1C"/>
    <w:rsid w:val="00303CDD"/>
    <w:rsid w:val="00303D1B"/>
    <w:rsid w:val="00303D2E"/>
    <w:rsid w:val="00303D3B"/>
    <w:rsid w:val="00303D52"/>
    <w:rsid w:val="00303E07"/>
    <w:rsid w:val="00303EAE"/>
    <w:rsid w:val="00303EE7"/>
    <w:rsid w:val="00303F1A"/>
    <w:rsid w:val="00303FE0"/>
    <w:rsid w:val="00303FE2"/>
    <w:rsid w:val="0030400A"/>
    <w:rsid w:val="00304041"/>
    <w:rsid w:val="003040B6"/>
    <w:rsid w:val="00304103"/>
    <w:rsid w:val="00304166"/>
    <w:rsid w:val="00304180"/>
    <w:rsid w:val="0030427E"/>
    <w:rsid w:val="003042BD"/>
    <w:rsid w:val="00304337"/>
    <w:rsid w:val="00304362"/>
    <w:rsid w:val="0030438C"/>
    <w:rsid w:val="003043B0"/>
    <w:rsid w:val="003043C6"/>
    <w:rsid w:val="003043FF"/>
    <w:rsid w:val="00304402"/>
    <w:rsid w:val="003044A8"/>
    <w:rsid w:val="003044B6"/>
    <w:rsid w:val="003044DB"/>
    <w:rsid w:val="0030456D"/>
    <w:rsid w:val="00304597"/>
    <w:rsid w:val="00304598"/>
    <w:rsid w:val="0030461E"/>
    <w:rsid w:val="00304637"/>
    <w:rsid w:val="0030468E"/>
    <w:rsid w:val="003046D1"/>
    <w:rsid w:val="00304706"/>
    <w:rsid w:val="0030478C"/>
    <w:rsid w:val="003047C9"/>
    <w:rsid w:val="0030482B"/>
    <w:rsid w:val="00304849"/>
    <w:rsid w:val="003048F1"/>
    <w:rsid w:val="003048F7"/>
    <w:rsid w:val="00304930"/>
    <w:rsid w:val="0030499A"/>
    <w:rsid w:val="0030499C"/>
    <w:rsid w:val="003049FC"/>
    <w:rsid w:val="00304A03"/>
    <w:rsid w:val="00304A04"/>
    <w:rsid w:val="00304A2B"/>
    <w:rsid w:val="00304A4D"/>
    <w:rsid w:val="00304A54"/>
    <w:rsid w:val="00304AFA"/>
    <w:rsid w:val="00304B23"/>
    <w:rsid w:val="00304B5A"/>
    <w:rsid w:val="00304B9A"/>
    <w:rsid w:val="00304BBB"/>
    <w:rsid w:val="00304BC5"/>
    <w:rsid w:val="00304BD2"/>
    <w:rsid w:val="00304BFC"/>
    <w:rsid w:val="00304C5E"/>
    <w:rsid w:val="00304CF3"/>
    <w:rsid w:val="00304D52"/>
    <w:rsid w:val="00304DA6"/>
    <w:rsid w:val="00304DD7"/>
    <w:rsid w:val="00304E39"/>
    <w:rsid w:val="00304E72"/>
    <w:rsid w:val="00304EFF"/>
    <w:rsid w:val="00304F15"/>
    <w:rsid w:val="00304F20"/>
    <w:rsid w:val="00304F3D"/>
    <w:rsid w:val="00304F42"/>
    <w:rsid w:val="00304F4B"/>
    <w:rsid w:val="00304F5A"/>
    <w:rsid w:val="00304F86"/>
    <w:rsid w:val="00304FB5"/>
    <w:rsid w:val="00305089"/>
    <w:rsid w:val="003050B5"/>
    <w:rsid w:val="003050B9"/>
    <w:rsid w:val="003050DB"/>
    <w:rsid w:val="00305118"/>
    <w:rsid w:val="0030523D"/>
    <w:rsid w:val="0030524C"/>
    <w:rsid w:val="00305267"/>
    <w:rsid w:val="003053B3"/>
    <w:rsid w:val="003053CD"/>
    <w:rsid w:val="003054AE"/>
    <w:rsid w:val="00305580"/>
    <w:rsid w:val="003055A9"/>
    <w:rsid w:val="00305609"/>
    <w:rsid w:val="0030560D"/>
    <w:rsid w:val="0030561E"/>
    <w:rsid w:val="00305660"/>
    <w:rsid w:val="00305668"/>
    <w:rsid w:val="0030569A"/>
    <w:rsid w:val="003056AA"/>
    <w:rsid w:val="003056D7"/>
    <w:rsid w:val="003056EF"/>
    <w:rsid w:val="00305708"/>
    <w:rsid w:val="00305725"/>
    <w:rsid w:val="00305744"/>
    <w:rsid w:val="0030575F"/>
    <w:rsid w:val="0030579B"/>
    <w:rsid w:val="00305846"/>
    <w:rsid w:val="003058C4"/>
    <w:rsid w:val="003058E1"/>
    <w:rsid w:val="003058E6"/>
    <w:rsid w:val="003058F2"/>
    <w:rsid w:val="0030590A"/>
    <w:rsid w:val="003059AC"/>
    <w:rsid w:val="003059F7"/>
    <w:rsid w:val="00305A4A"/>
    <w:rsid w:val="00305A4C"/>
    <w:rsid w:val="00305A88"/>
    <w:rsid w:val="00305A97"/>
    <w:rsid w:val="00305AB7"/>
    <w:rsid w:val="00305AC4"/>
    <w:rsid w:val="00305AFC"/>
    <w:rsid w:val="00305B03"/>
    <w:rsid w:val="00305B05"/>
    <w:rsid w:val="00305B20"/>
    <w:rsid w:val="00305BAD"/>
    <w:rsid w:val="00305C01"/>
    <w:rsid w:val="00305CC3"/>
    <w:rsid w:val="00305D2B"/>
    <w:rsid w:val="00305D2D"/>
    <w:rsid w:val="00305D74"/>
    <w:rsid w:val="00305DF6"/>
    <w:rsid w:val="00305EF4"/>
    <w:rsid w:val="00305F24"/>
    <w:rsid w:val="00305F34"/>
    <w:rsid w:val="00305F60"/>
    <w:rsid w:val="00305FA4"/>
    <w:rsid w:val="00305FA8"/>
    <w:rsid w:val="00305FC6"/>
    <w:rsid w:val="00306001"/>
    <w:rsid w:val="00306002"/>
    <w:rsid w:val="003060B9"/>
    <w:rsid w:val="0030610E"/>
    <w:rsid w:val="00306120"/>
    <w:rsid w:val="00306128"/>
    <w:rsid w:val="0030615B"/>
    <w:rsid w:val="003061AB"/>
    <w:rsid w:val="003061AC"/>
    <w:rsid w:val="003061BC"/>
    <w:rsid w:val="003061CB"/>
    <w:rsid w:val="003061D6"/>
    <w:rsid w:val="00306223"/>
    <w:rsid w:val="0030626A"/>
    <w:rsid w:val="0030626B"/>
    <w:rsid w:val="003062A3"/>
    <w:rsid w:val="00306368"/>
    <w:rsid w:val="00306399"/>
    <w:rsid w:val="003063A8"/>
    <w:rsid w:val="00306409"/>
    <w:rsid w:val="00306413"/>
    <w:rsid w:val="00306486"/>
    <w:rsid w:val="00306516"/>
    <w:rsid w:val="0030651C"/>
    <w:rsid w:val="00306522"/>
    <w:rsid w:val="00306529"/>
    <w:rsid w:val="0030655B"/>
    <w:rsid w:val="003065CF"/>
    <w:rsid w:val="00306684"/>
    <w:rsid w:val="00306704"/>
    <w:rsid w:val="00306706"/>
    <w:rsid w:val="00306753"/>
    <w:rsid w:val="00306764"/>
    <w:rsid w:val="003067BA"/>
    <w:rsid w:val="003067DA"/>
    <w:rsid w:val="003067ED"/>
    <w:rsid w:val="00306823"/>
    <w:rsid w:val="00306844"/>
    <w:rsid w:val="00306861"/>
    <w:rsid w:val="00306878"/>
    <w:rsid w:val="00306881"/>
    <w:rsid w:val="003068C0"/>
    <w:rsid w:val="00306973"/>
    <w:rsid w:val="00306994"/>
    <w:rsid w:val="0030699E"/>
    <w:rsid w:val="003069E1"/>
    <w:rsid w:val="00306A4C"/>
    <w:rsid w:val="00306A8D"/>
    <w:rsid w:val="00306A9D"/>
    <w:rsid w:val="00306ACB"/>
    <w:rsid w:val="00306AFC"/>
    <w:rsid w:val="00306B1C"/>
    <w:rsid w:val="00306B98"/>
    <w:rsid w:val="00306BDF"/>
    <w:rsid w:val="00306BEC"/>
    <w:rsid w:val="00306BFB"/>
    <w:rsid w:val="00306C63"/>
    <w:rsid w:val="00306C7A"/>
    <w:rsid w:val="00306C82"/>
    <w:rsid w:val="00306C9D"/>
    <w:rsid w:val="00306D08"/>
    <w:rsid w:val="00306D28"/>
    <w:rsid w:val="00306D73"/>
    <w:rsid w:val="00306E00"/>
    <w:rsid w:val="00306EA5"/>
    <w:rsid w:val="00306EC6"/>
    <w:rsid w:val="00306EF2"/>
    <w:rsid w:val="00306F78"/>
    <w:rsid w:val="00306FED"/>
    <w:rsid w:val="00307043"/>
    <w:rsid w:val="0030705B"/>
    <w:rsid w:val="00307065"/>
    <w:rsid w:val="003070EC"/>
    <w:rsid w:val="00307114"/>
    <w:rsid w:val="00307142"/>
    <w:rsid w:val="003071B5"/>
    <w:rsid w:val="003071E4"/>
    <w:rsid w:val="003071FB"/>
    <w:rsid w:val="00307262"/>
    <w:rsid w:val="003072A1"/>
    <w:rsid w:val="003072DE"/>
    <w:rsid w:val="00307322"/>
    <w:rsid w:val="00307340"/>
    <w:rsid w:val="00307389"/>
    <w:rsid w:val="0030740F"/>
    <w:rsid w:val="00307420"/>
    <w:rsid w:val="0030746D"/>
    <w:rsid w:val="003074AD"/>
    <w:rsid w:val="003074CD"/>
    <w:rsid w:val="00307530"/>
    <w:rsid w:val="00307537"/>
    <w:rsid w:val="003075F1"/>
    <w:rsid w:val="003075F2"/>
    <w:rsid w:val="0030766E"/>
    <w:rsid w:val="00307692"/>
    <w:rsid w:val="003077C0"/>
    <w:rsid w:val="003077DA"/>
    <w:rsid w:val="0030784D"/>
    <w:rsid w:val="0030789A"/>
    <w:rsid w:val="003078CF"/>
    <w:rsid w:val="003078EB"/>
    <w:rsid w:val="0030790B"/>
    <w:rsid w:val="0030796D"/>
    <w:rsid w:val="00307A47"/>
    <w:rsid w:val="00307A4D"/>
    <w:rsid w:val="00307A76"/>
    <w:rsid w:val="00307A7C"/>
    <w:rsid w:val="00307ABF"/>
    <w:rsid w:val="00307AF4"/>
    <w:rsid w:val="00307B03"/>
    <w:rsid w:val="00307B2B"/>
    <w:rsid w:val="00307B30"/>
    <w:rsid w:val="00307B50"/>
    <w:rsid w:val="00307BC6"/>
    <w:rsid w:val="00307BEA"/>
    <w:rsid w:val="00307BF5"/>
    <w:rsid w:val="00307C2D"/>
    <w:rsid w:val="00307C3F"/>
    <w:rsid w:val="00307C87"/>
    <w:rsid w:val="00307CEA"/>
    <w:rsid w:val="00307D44"/>
    <w:rsid w:val="00307D89"/>
    <w:rsid w:val="00307DC2"/>
    <w:rsid w:val="00307DC3"/>
    <w:rsid w:val="00307E09"/>
    <w:rsid w:val="00307E0E"/>
    <w:rsid w:val="00307E1C"/>
    <w:rsid w:val="00307E22"/>
    <w:rsid w:val="00307E80"/>
    <w:rsid w:val="00307E8E"/>
    <w:rsid w:val="00307EB9"/>
    <w:rsid w:val="00307ED6"/>
    <w:rsid w:val="00307F32"/>
    <w:rsid w:val="00307F39"/>
    <w:rsid w:val="00307F52"/>
    <w:rsid w:val="00307F56"/>
    <w:rsid w:val="00307FCC"/>
    <w:rsid w:val="00310016"/>
    <w:rsid w:val="0031001D"/>
    <w:rsid w:val="003100A6"/>
    <w:rsid w:val="003100B5"/>
    <w:rsid w:val="003100EA"/>
    <w:rsid w:val="003100F3"/>
    <w:rsid w:val="00310107"/>
    <w:rsid w:val="00310190"/>
    <w:rsid w:val="0031019A"/>
    <w:rsid w:val="003101B8"/>
    <w:rsid w:val="003101C4"/>
    <w:rsid w:val="0031022D"/>
    <w:rsid w:val="003102E9"/>
    <w:rsid w:val="0031044F"/>
    <w:rsid w:val="0031050F"/>
    <w:rsid w:val="003105A2"/>
    <w:rsid w:val="003105D0"/>
    <w:rsid w:val="003105E5"/>
    <w:rsid w:val="00310600"/>
    <w:rsid w:val="00310649"/>
    <w:rsid w:val="00310660"/>
    <w:rsid w:val="003106CC"/>
    <w:rsid w:val="00310715"/>
    <w:rsid w:val="00310723"/>
    <w:rsid w:val="00310725"/>
    <w:rsid w:val="00310769"/>
    <w:rsid w:val="003107A7"/>
    <w:rsid w:val="003107E6"/>
    <w:rsid w:val="00310828"/>
    <w:rsid w:val="00310835"/>
    <w:rsid w:val="00310874"/>
    <w:rsid w:val="003108BE"/>
    <w:rsid w:val="003108D3"/>
    <w:rsid w:val="00310914"/>
    <w:rsid w:val="00310920"/>
    <w:rsid w:val="0031093E"/>
    <w:rsid w:val="00310947"/>
    <w:rsid w:val="00310951"/>
    <w:rsid w:val="00310956"/>
    <w:rsid w:val="003109ED"/>
    <w:rsid w:val="00310A34"/>
    <w:rsid w:val="00310AD8"/>
    <w:rsid w:val="00310AE2"/>
    <w:rsid w:val="00310AE9"/>
    <w:rsid w:val="00310B01"/>
    <w:rsid w:val="00310B4E"/>
    <w:rsid w:val="00310C2E"/>
    <w:rsid w:val="00310C3D"/>
    <w:rsid w:val="00310C47"/>
    <w:rsid w:val="00310DBC"/>
    <w:rsid w:val="00310DE1"/>
    <w:rsid w:val="00310DE6"/>
    <w:rsid w:val="00310DF9"/>
    <w:rsid w:val="00310E75"/>
    <w:rsid w:val="00310E96"/>
    <w:rsid w:val="00310F10"/>
    <w:rsid w:val="00310F46"/>
    <w:rsid w:val="00310FAB"/>
    <w:rsid w:val="00311045"/>
    <w:rsid w:val="0031105D"/>
    <w:rsid w:val="00311082"/>
    <w:rsid w:val="0031114C"/>
    <w:rsid w:val="00311166"/>
    <w:rsid w:val="003111A7"/>
    <w:rsid w:val="003111F4"/>
    <w:rsid w:val="00311233"/>
    <w:rsid w:val="003112EA"/>
    <w:rsid w:val="003112F9"/>
    <w:rsid w:val="003113E8"/>
    <w:rsid w:val="003113EE"/>
    <w:rsid w:val="00311441"/>
    <w:rsid w:val="0031148C"/>
    <w:rsid w:val="003114DA"/>
    <w:rsid w:val="003114E0"/>
    <w:rsid w:val="0031150F"/>
    <w:rsid w:val="0031153B"/>
    <w:rsid w:val="0031158F"/>
    <w:rsid w:val="00311592"/>
    <w:rsid w:val="003115C1"/>
    <w:rsid w:val="003115FB"/>
    <w:rsid w:val="00311643"/>
    <w:rsid w:val="00311649"/>
    <w:rsid w:val="003116C4"/>
    <w:rsid w:val="003116CA"/>
    <w:rsid w:val="003116DE"/>
    <w:rsid w:val="003116F0"/>
    <w:rsid w:val="00311706"/>
    <w:rsid w:val="00311720"/>
    <w:rsid w:val="003117B2"/>
    <w:rsid w:val="00311811"/>
    <w:rsid w:val="00311817"/>
    <w:rsid w:val="003118BA"/>
    <w:rsid w:val="003118DB"/>
    <w:rsid w:val="00311934"/>
    <w:rsid w:val="0031197F"/>
    <w:rsid w:val="0031199E"/>
    <w:rsid w:val="003119E7"/>
    <w:rsid w:val="003119F8"/>
    <w:rsid w:val="00311A8C"/>
    <w:rsid w:val="00311B52"/>
    <w:rsid w:val="00311B5D"/>
    <w:rsid w:val="00311B63"/>
    <w:rsid w:val="00311B7E"/>
    <w:rsid w:val="00311B84"/>
    <w:rsid w:val="00311B8F"/>
    <w:rsid w:val="00311C36"/>
    <w:rsid w:val="00311C75"/>
    <w:rsid w:val="00311CC2"/>
    <w:rsid w:val="00311CCC"/>
    <w:rsid w:val="00311D1C"/>
    <w:rsid w:val="00311D77"/>
    <w:rsid w:val="00311D9F"/>
    <w:rsid w:val="00311DCD"/>
    <w:rsid w:val="00311E1E"/>
    <w:rsid w:val="00311E7D"/>
    <w:rsid w:val="00311F24"/>
    <w:rsid w:val="00311F56"/>
    <w:rsid w:val="00311F66"/>
    <w:rsid w:val="00311FC1"/>
    <w:rsid w:val="00312035"/>
    <w:rsid w:val="00312037"/>
    <w:rsid w:val="0031203B"/>
    <w:rsid w:val="0031207C"/>
    <w:rsid w:val="0031215D"/>
    <w:rsid w:val="0031224C"/>
    <w:rsid w:val="00312278"/>
    <w:rsid w:val="00312285"/>
    <w:rsid w:val="0031229B"/>
    <w:rsid w:val="003122F0"/>
    <w:rsid w:val="003123CA"/>
    <w:rsid w:val="003123DA"/>
    <w:rsid w:val="0031241E"/>
    <w:rsid w:val="00312447"/>
    <w:rsid w:val="00312497"/>
    <w:rsid w:val="003124C2"/>
    <w:rsid w:val="00312556"/>
    <w:rsid w:val="00312580"/>
    <w:rsid w:val="003125AF"/>
    <w:rsid w:val="00312665"/>
    <w:rsid w:val="0031269C"/>
    <w:rsid w:val="00312716"/>
    <w:rsid w:val="00312784"/>
    <w:rsid w:val="0031286A"/>
    <w:rsid w:val="003128D8"/>
    <w:rsid w:val="00312974"/>
    <w:rsid w:val="0031298E"/>
    <w:rsid w:val="003129DE"/>
    <w:rsid w:val="00312A47"/>
    <w:rsid w:val="00312A56"/>
    <w:rsid w:val="00312A74"/>
    <w:rsid w:val="00312A7A"/>
    <w:rsid w:val="00312A84"/>
    <w:rsid w:val="00312A87"/>
    <w:rsid w:val="00312ABF"/>
    <w:rsid w:val="00312AD6"/>
    <w:rsid w:val="00312BCD"/>
    <w:rsid w:val="00312C72"/>
    <w:rsid w:val="00312C7A"/>
    <w:rsid w:val="00312C99"/>
    <w:rsid w:val="00312CF7"/>
    <w:rsid w:val="00312D76"/>
    <w:rsid w:val="00312D7B"/>
    <w:rsid w:val="00312D81"/>
    <w:rsid w:val="00312D92"/>
    <w:rsid w:val="00312DA7"/>
    <w:rsid w:val="00312EF5"/>
    <w:rsid w:val="00312F4C"/>
    <w:rsid w:val="00312F68"/>
    <w:rsid w:val="00312F87"/>
    <w:rsid w:val="00312FBF"/>
    <w:rsid w:val="003130F6"/>
    <w:rsid w:val="00313184"/>
    <w:rsid w:val="003131AB"/>
    <w:rsid w:val="003131B2"/>
    <w:rsid w:val="003131DB"/>
    <w:rsid w:val="00313209"/>
    <w:rsid w:val="0031330A"/>
    <w:rsid w:val="00313364"/>
    <w:rsid w:val="00313395"/>
    <w:rsid w:val="003133A2"/>
    <w:rsid w:val="0031343B"/>
    <w:rsid w:val="0031343D"/>
    <w:rsid w:val="0031344E"/>
    <w:rsid w:val="00313465"/>
    <w:rsid w:val="003134C3"/>
    <w:rsid w:val="00313569"/>
    <w:rsid w:val="0031356E"/>
    <w:rsid w:val="003135B2"/>
    <w:rsid w:val="003135C7"/>
    <w:rsid w:val="003135CC"/>
    <w:rsid w:val="003136F5"/>
    <w:rsid w:val="00313730"/>
    <w:rsid w:val="003137CD"/>
    <w:rsid w:val="003137D4"/>
    <w:rsid w:val="003137E5"/>
    <w:rsid w:val="00313813"/>
    <w:rsid w:val="00313836"/>
    <w:rsid w:val="0031383A"/>
    <w:rsid w:val="003138E2"/>
    <w:rsid w:val="003138E7"/>
    <w:rsid w:val="0031396C"/>
    <w:rsid w:val="00313991"/>
    <w:rsid w:val="003139A7"/>
    <w:rsid w:val="00313A67"/>
    <w:rsid w:val="00313AE2"/>
    <w:rsid w:val="00313B10"/>
    <w:rsid w:val="00313B4D"/>
    <w:rsid w:val="00313BB8"/>
    <w:rsid w:val="00313BD0"/>
    <w:rsid w:val="00313BD9"/>
    <w:rsid w:val="00313BDE"/>
    <w:rsid w:val="00313C07"/>
    <w:rsid w:val="00313C10"/>
    <w:rsid w:val="00313D54"/>
    <w:rsid w:val="00313D6C"/>
    <w:rsid w:val="00313D9E"/>
    <w:rsid w:val="00313E1C"/>
    <w:rsid w:val="00313E43"/>
    <w:rsid w:val="00313E7D"/>
    <w:rsid w:val="00313EA4"/>
    <w:rsid w:val="00313F12"/>
    <w:rsid w:val="00313FA9"/>
    <w:rsid w:val="00313FEA"/>
    <w:rsid w:val="00314036"/>
    <w:rsid w:val="00314092"/>
    <w:rsid w:val="003140A5"/>
    <w:rsid w:val="003140EB"/>
    <w:rsid w:val="003140FC"/>
    <w:rsid w:val="00314158"/>
    <w:rsid w:val="003141B3"/>
    <w:rsid w:val="003141B6"/>
    <w:rsid w:val="00314332"/>
    <w:rsid w:val="00314363"/>
    <w:rsid w:val="0031447F"/>
    <w:rsid w:val="003144BE"/>
    <w:rsid w:val="003145AB"/>
    <w:rsid w:val="003145C2"/>
    <w:rsid w:val="003145F2"/>
    <w:rsid w:val="003145FE"/>
    <w:rsid w:val="0031465E"/>
    <w:rsid w:val="0031469C"/>
    <w:rsid w:val="003146ED"/>
    <w:rsid w:val="003146F4"/>
    <w:rsid w:val="0031470B"/>
    <w:rsid w:val="00314712"/>
    <w:rsid w:val="00314716"/>
    <w:rsid w:val="0031472A"/>
    <w:rsid w:val="0031472C"/>
    <w:rsid w:val="00314738"/>
    <w:rsid w:val="00314880"/>
    <w:rsid w:val="003148B7"/>
    <w:rsid w:val="003148B8"/>
    <w:rsid w:val="003148F6"/>
    <w:rsid w:val="00314970"/>
    <w:rsid w:val="003149A8"/>
    <w:rsid w:val="003149E6"/>
    <w:rsid w:val="00314A17"/>
    <w:rsid w:val="00314A47"/>
    <w:rsid w:val="00314A4F"/>
    <w:rsid w:val="00314A51"/>
    <w:rsid w:val="00314BE1"/>
    <w:rsid w:val="00314C9F"/>
    <w:rsid w:val="00314D45"/>
    <w:rsid w:val="00314D9C"/>
    <w:rsid w:val="00314E5B"/>
    <w:rsid w:val="00314E92"/>
    <w:rsid w:val="00314E9F"/>
    <w:rsid w:val="00314ECF"/>
    <w:rsid w:val="00314EE2"/>
    <w:rsid w:val="00314FCA"/>
    <w:rsid w:val="00315049"/>
    <w:rsid w:val="00315108"/>
    <w:rsid w:val="0031512A"/>
    <w:rsid w:val="0031514B"/>
    <w:rsid w:val="0031516B"/>
    <w:rsid w:val="003151EF"/>
    <w:rsid w:val="00315274"/>
    <w:rsid w:val="003152F0"/>
    <w:rsid w:val="0031532D"/>
    <w:rsid w:val="0031532E"/>
    <w:rsid w:val="003153AF"/>
    <w:rsid w:val="00315473"/>
    <w:rsid w:val="00315486"/>
    <w:rsid w:val="00315499"/>
    <w:rsid w:val="0031553B"/>
    <w:rsid w:val="00315555"/>
    <w:rsid w:val="00315557"/>
    <w:rsid w:val="003155D8"/>
    <w:rsid w:val="00315621"/>
    <w:rsid w:val="003156A1"/>
    <w:rsid w:val="003156C5"/>
    <w:rsid w:val="003156C8"/>
    <w:rsid w:val="003157AE"/>
    <w:rsid w:val="00315836"/>
    <w:rsid w:val="00315894"/>
    <w:rsid w:val="003158AE"/>
    <w:rsid w:val="003158CA"/>
    <w:rsid w:val="003158F1"/>
    <w:rsid w:val="003159AB"/>
    <w:rsid w:val="00315A4F"/>
    <w:rsid w:val="00315B33"/>
    <w:rsid w:val="00315B44"/>
    <w:rsid w:val="00315BA8"/>
    <w:rsid w:val="00315CEA"/>
    <w:rsid w:val="00315D5C"/>
    <w:rsid w:val="00315EEA"/>
    <w:rsid w:val="00315F0A"/>
    <w:rsid w:val="00315F46"/>
    <w:rsid w:val="00315F57"/>
    <w:rsid w:val="003160C1"/>
    <w:rsid w:val="003160FF"/>
    <w:rsid w:val="003161AD"/>
    <w:rsid w:val="003161E6"/>
    <w:rsid w:val="00316243"/>
    <w:rsid w:val="0031626C"/>
    <w:rsid w:val="003162DD"/>
    <w:rsid w:val="003162E9"/>
    <w:rsid w:val="0031631F"/>
    <w:rsid w:val="00316346"/>
    <w:rsid w:val="00316381"/>
    <w:rsid w:val="003163C3"/>
    <w:rsid w:val="003163DC"/>
    <w:rsid w:val="00316430"/>
    <w:rsid w:val="00316436"/>
    <w:rsid w:val="00316542"/>
    <w:rsid w:val="0031663E"/>
    <w:rsid w:val="00316642"/>
    <w:rsid w:val="0031666C"/>
    <w:rsid w:val="003166A1"/>
    <w:rsid w:val="003166CA"/>
    <w:rsid w:val="003166CB"/>
    <w:rsid w:val="00316702"/>
    <w:rsid w:val="00316715"/>
    <w:rsid w:val="00316731"/>
    <w:rsid w:val="00316747"/>
    <w:rsid w:val="0031674E"/>
    <w:rsid w:val="0031675C"/>
    <w:rsid w:val="003167B8"/>
    <w:rsid w:val="003167BF"/>
    <w:rsid w:val="003167F7"/>
    <w:rsid w:val="003167FD"/>
    <w:rsid w:val="00316835"/>
    <w:rsid w:val="0031685B"/>
    <w:rsid w:val="00316974"/>
    <w:rsid w:val="00316978"/>
    <w:rsid w:val="00316988"/>
    <w:rsid w:val="0031698E"/>
    <w:rsid w:val="00316997"/>
    <w:rsid w:val="003169A9"/>
    <w:rsid w:val="003169C2"/>
    <w:rsid w:val="003169F0"/>
    <w:rsid w:val="00316A13"/>
    <w:rsid w:val="00316A26"/>
    <w:rsid w:val="00316A78"/>
    <w:rsid w:val="00316A86"/>
    <w:rsid w:val="00316A98"/>
    <w:rsid w:val="00316AF6"/>
    <w:rsid w:val="00316B87"/>
    <w:rsid w:val="00316CA4"/>
    <w:rsid w:val="00316CB6"/>
    <w:rsid w:val="00316CE2"/>
    <w:rsid w:val="00316D18"/>
    <w:rsid w:val="00316DA0"/>
    <w:rsid w:val="00316DD3"/>
    <w:rsid w:val="00316DFA"/>
    <w:rsid w:val="00316E4C"/>
    <w:rsid w:val="00316E4F"/>
    <w:rsid w:val="00316E5C"/>
    <w:rsid w:val="00316E71"/>
    <w:rsid w:val="00316EA4"/>
    <w:rsid w:val="00316EA9"/>
    <w:rsid w:val="00316EAD"/>
    <w:rsid w:val="00316F04"/>
    <w:rsid w:val="00316F20"/>
    <w:rsid w:val="00316F8E"/>
    <w:rsid w:val="00316FAF"/>
    <w:rsid w:val="00316FE8"/>
    <w:rsid w:val="00317037"/>
    <w:rsid w:val="0031703E"/>
    <w:rsid w:val="00317067"/>
    <w:rsid w:val="003170E7"/>
    <w:rsid w:val="003170FA"/>
    <w:rsid w:val="003171B4"/>
    <w:rsid w:val="003171D6"/>
    <w:rsid w:val="003171DB"/>
    <w:rsid w:val="003171DF"/>
    <w:rsid w:val="003171FA"/>
    <w:rsid w:val="00317245"/>
    <w:rsid w:val="0031724D"/>
    <w:rsid w:val="00317288"/>
    <w:rsid w:val="003172E3"/>
    <w:rsid w:val="003172F5"/>
    <w:rsid w:val="00317383"/>
    <w:rsid w:val="003173AD"/>
    <w:rsid w:val="003173D4"/>
    <w:rsid w:val="00317460"/>
    <w:rsid w:val="003174FA"/>
    <w:rsid w:val="003174FE"/>
    <w:rsid w:val="00317505"/>
    <w:rsid w:val="0031752D"/>
    <w:rsid w:val="0031752E"/>
    <w:rsid w:val="0031753B"/>
    <w:rsid w:val="00317542"/>
    <w:rsid w:val="00317567"/>
    <w:rsid w:val="0031761E"/>
    <w:rsid w:val="00317633"/>
    <w:rsid w:val="0031770C"/>
    <w:rsid w:val="0031773B"/>
    <w:rsid w:val="0031776F"/>
    <w:rsid w:val="00317792"/>
    <w:rsid w:val="003177F2"/>
    <w:rsid w:val="00317806"/>
    <w:rsid w:val="0031783A"/>
    <w:rsid w:val="0031784E"/>
    <w:rsid w:val="00317858"/>
    <w:rsid w:val="00317859"/>
    <w:rsid w:val="0031786F"/>
    <w:rsid w:val="00317884"/>
    <w:rsid w:val="00317898"/>
    <w:rsid w:val="003178DC"/>
    <w:rsid w:val="00317909"/>
    <w:rsid w:val="003179B7"/>
    <w:rsid w:val="003179CA"/>
    <w:rsid w:val="003179D7"/>
    <w:rsid w:val="00317A02"/>
    <w:rsid w:val="00317A65"/>
    <w:rsid w:val="00317A7D"/>
    <w:rsid w:val="00317AFC"/>
    <w:rsid w:val="00317B00"/>
    <w:rsid w:val="00317B35"/>
    <w:rsid w:val="00317BCB"/>
    <w:rsid w:val="00317BED"/>
    <w:rsid w:val="00317BF3"/>
    <w:rsid w:val="00317C05"/>
    <w:rsid w:val="00317C4D"/>
    <w:rsid w:val="00317C84"/>
    <w:rsid w:val="00317CD9"/>
    <w:rsid w:val="00317DB7"/>
    <w:rsid w:val="00317E84"/>
    <w:rsid w:val="00317EFD"/>
    <w:rsid w:val="00317F81"/>
    <w:rsid w:val="00317F92"/>
    <w:rsid w:val="0031E1CA"/>
    <w:rsid w:val="00320068"/>
    <w:rsid w:val="0032006D"/>
    <w:rsid w:val="00320075"/>
    <w:rsid w:val="00320149"/>
    <w:rsid w:val="00320268"/>
    <w:rsid w:val="0032027D"/>
    <w:rsid w:val="003202B6"/>
    <w:rsid w:val="003202F3"/>
    <w:rsid w:val="00320302"/>
    <w:rsid w:val="00320384"/>
    <w:rsid w:val="00320402"/>
    <w:rsid w:val="00320416"/>
    <w:rsid w:val="00320421"/>
    <w:rsid w:val="0032044F"/>
    <w:rsid w:val="0032045E"/>
    <w:rsid w:val="0032046C"/>
    <w:rsid w:val="00320491"/>
    <w:rsid w:val="00320497"/>
    <w:rsid w:val="003204C2"/>
    <w:rsid w:val="00320531"/>
    <w:rsid w:val="0032053A"/>
    <w:rsid w:val="003205D1"/>
    <w:rsid w:val="0032061C"/>
    <w:rsid w:val="00320688"/>
    <w:rsid w:val="003206EF"/>
    <w:rsid w:val="003206FB"/>
    <w:rsid w:val="00320756"/>
    <w:rsid w:val="00320794"/>
    <w:rsid w:val="003207CA"/>
    <w:rsid w:val="003207E8"/>
    <w:rsid w:val="003207F4"/>
    <w:rsid w:val="00320805"/>
    <w:rsid w:val="00320831"/>
    <w:rsid w:val="00320846"/>
    <w:rsid w:val="0032087F"/>
    <w:rsid w:val="003208AD"/>
    <w:rsid w:val="003208C7"/>
    <w:rsid w:val="003208D1"/>
    <w:rsid w:val="00320A07"/>
    <w:rsid w:val="00320A12"/>
    <w:rsid w:val="00320A14"/>
    <w:rsid w:val="00320ACB"/>
    <w:rsid w:val="00320AF3"/>
    <w:rsid w:val="00320B06"/>
    <w:rsid w:val="00320BD3"/>
    <w:rsid w:val="00320C2A"/>
    <w:rsid w:val="00320C2C"/>
    <w:rsid w:val="00320C4E"/>
    <w:rsid w:val="00320C56"/>
    <w:rsid w:val="00320C5E"/>
    <w:rsid w:val="00320C7B"/>
    <w:rsid w:val="00320C83"/>
    <w:rsid w:val="00320C91"/>
    <w:rsid w:val="00320CE3"/>
    <w:rsid w:val="00320D02"/>
    <w:rsid w:val="00320E06"/>
    <w:rsid w:val="00320E08"/>
    <w:rsid w:val="00320E38"/>
    <w:rsid w:val="00320E3C"/>
    <w:rsid w:val="00320EA0"/>
    <w:rsid w:val="00320EC9"/>
    <w:rsid w:val="00320F10"/>
    <w:rsid w:val="00320F36"/>
    <w:rsid w:val="00320FAE"/>
    <w:rsid w:val="00320FCD"/>
    <w:rsid w:val="0032100B"/>
    <w:rsid w:val="0032110B"/>
    <w:rsid w:val="00321123"/>
    <w:rsid w:val="00321127"/>
    <w:rsid w:val="00321143"/>
    <w:rsid w:val="00321159"/>
    <w:rsid w:val="0032115C"/>
    <w:rsid w:val="0032118A"/>
    <w:rsid w:val="00321198"/>
    <w:rsid w:val="003211AC"/>
    <w:rsid w:val="003211F8"/>
    <w:rsid w:val="00321237"/>
    <w:rsid w:val="0032124F"/>
    <w:rsid w:val="00321256"/>
    <w:rsid w:val="00321266"/>
    <w:rsid w:val="00321301"/>
    <w:rsid w:val="00321321"/>
    <w:rsid w:val="0032133D"/>
    <w:rsid w:val="00321361"/>
    <w:rsid w:val="003213C2"/>
    <w:rsid w:val="0032140F"/>
    <w:rsid w:val="00321442"/>
    <w:rsid w:val="00321542"/>
    <w:rsid w:val="00321594"/>
    <w:rsid w:val="003215D8"/>
    <w:rsid w:val="00321619"/>
    <w:rsid w:val="0032163D"/>
    <w:rsid w:val="0032167E"/>
    <w:rsid w:val="003216A6"/>
    <w:rsid w:val="0032173B"/>
    <w:rsid w:val="00321762"/>
    <w:rsid w:val="003217E6"/>
    <w:rsid w:val="003217F9"/>
    <w:rsid w:val="00321909"/>
    <w:rsid w:val="003219D8"/>
    <w:rsid w:val="00321A5A"/>
    <w:rsid w:val="00321AAD"/>
    <w:rsid w:val="00321B0E"/>
    <w:rsid w:val="00321B24"/>
    <w:rsid w:val="00321C17"/>
    <w:rsid w:val="00321C25"/>
    <w:rsid w:val="00321CF5"/>
    <w:rsid w:val="00321D21"/>
    <w:rsid w:val="00321DE6"/>
    <w:rsid w:val="00321E6D"/>
    <w:rsid w:val="00321EC6"/>
    <w:rsid w:val="00321EEC"/>
    <w:rsid w:val="00321F22"/>
    <w:rsid w:val="00321F23"/>
    <w:rsid w:val="00321F28"/>
    <w:rsid w:val="00321FBF"/>
    <w:rsid w:val="0032205D"/>
    <w:rsid w:val="00322061"/>
    <w:rsid w:val="00322064"/>
    <w:rsid w:val="0032208F"/>
    <w:rsid w:val="003220C4"/>
    <w:rsid w:val="003220F5"/>
    <w:rsid w:val="003220FE"/>
    <w:rsid w:val="003220FF"/>
    <w:rsid w:val="0032212F"/>
    <w:rsid w:val="00322130"/>
    <w:rsid w:val="0032216A"/>
    <w:rsid w:val="003221B1"/>
    <w:rsid w:val="003221BE"/>
    <w:rsid w:val="00322221"/>
    <w:rsid w:val="00322244"/>
    <w:rsid w:val="003222F4"/>
    <w:rsid w:val="0032234E"/>
    <w:rsid w:val="003223BB"/>
    <w:rsid w:val="00322402"/>
    <w:rsid w:val="00322405"/>
    <w:rsid w:val="00322447"/>
    <w:rsid w:val="003224C2"/>
    <w:rsid w:val="00322566"/>
    <w:rsid w:val="00322571"/>
    <w:rsid w:val="003225CB"/>
    <w:rsid w:val="003225E6"/>
    <w:rsid w:val="003225F1"/>
    <w:rsid w:val="0032261E"/>
    <w:rsid w:val="003226A7"/>
    <w:rsid w:val="003226D3"/>
    <w:rsid w:val="003226D6"/>
    <w:rsid w:val="0032270E"/>
    <w:rsid w:val="003227F2"/>
    <w:rsid w:val="00322819"/>
    <w:rsid w:val="00322862"/>
    <w:rsid w:val="0032289E"/>
    <w:rsid w:val="003228B9"/>
    <w:rsid w:val="003228C2"/>
    <w:rsid w:val="00322987"/>
    <w:rsid w:val="00322990"/>
    <w:rsid w:val="003229C8"/>
    <w:rsid w:val="00322BC0"/>
    <w:rsid w:val="00322BC1"/>
    <w:rsid w:val="00322C08"/>
    <w:rsid w:val="00322C33"/>
    <w:rsid w:val="00322C53"/>
    <w:rsid w:val="00322C57"/>
    <w:rsid w:val="00322C7A"/>
    <w:rsid w:val="00322C9E"/>
    <w:rsid w:val="00322D85"/>
    <w:rsid w:val="00322DDD"/>
    <w:rsid w:val="00322DE3"/>
    <w:rsid w:val="00322E1C"/>
    <w:rsid w:val="00322E8B"/>
    <w:rsid w:val="00322F51"/>
    <w:rsid w:val="00322F86"/>
    <w:rsid w:val="00322FE0"/>
    <w:rsid w:val="0032309C"/>
    <w:rsid w:val="003230AB"/>
    <w:rsid w:val="003230F0"/>
    <w:rsid w:val="003231DB"/>
    <w:rsid w:val="003231EC"/>
    <w:rsid w:val="00323288"/>
    <w:rsid w:val="003232C9"/>
    <w:rsid w:val="003232D4"/>
    <w:rsid w:val="003232F2"/>
    <w:rsid w:val="003232F5"/>
    <w:rsid w:val="0032330D"/>
    <w:rsid w:val="00323400"/>
    <w:rsid w:val="0032343E"/>
    <w:rsid w:val="003234A6"/>
    <w:rsid w:val="003234C4"/>
    <w:rsid w:val="003234C9"/>
    <w:rsid w:val="003234CC"/>
    <w:rsid w:val="00323537"/>
    <w:rsid w:val="003235A7"/>
    <w:rsid w:val="003235B4"/>
    <w:rsid w:val="00323638"/>
    <w:rsid w:val="0032367F"/>
    <w:rsid w:val="003236C7"/>
    <w:rsid w:val="0032370C"/>
    <w:rsid w:val="003237E9"/>
    <w:rsid w:val="00323807"/>
    <w:rsid w:val="00323811"/>
    <w:rsid w:val="00323881"/>
    <w:rsid w:val="003238A0"/>
    <w:rsid w:val="003238D2"/>
    <w:rsid w:val="003238E4"/>
    <w:rsid w:val="00323918"/>
    <w:rsid w:val="00323927"/>
    <w:rsid w:val="003239AD"/>
    <w:rsid w:val="003239BB"/>
    <w:rsid w:val="00323A02"/>
    <w:rsid w:val="00323A0F"/>
    <w:rsid w:val="00323B03"/>
    <w:rsid w:val="00323B4E"/>
    <w:rsid w:val="00323B57"/>
    <w:rsid w:val="00323B97"/>
    <w:rsid w:val="00323C3D"/>
    <w:rsid w:val="00323C4E"/>
    <w:rsid w:val="00323C50"/>
    <w:rsid w:val="00323C6C"/>
    <w:rsid w:val="00323CF4"/>
    <w:rsid w:val="00323D0E"/>
    <w:rsid w:val="00323D52"/>
    <w:rsid w:val="00323D5A"/>
    <w:rsid w:val="00323D5D"/>
    <w:rsid w:val="00323D86"/>
    <w:rsid w:val="00323E5F"/>
    <w:rsid w:val="00323EA6"/>
    <w:rsid w:val="00323F01"/>
    <w:rsid w:val="00323F20"/>
    <w:rsid w:val="00323F8D"/>
    <w:rsid w:val="00323FA2"/>
    <w:rsid w:val="00323FE9"/>
    <w:rsid w:val="00324007"/>
    <w:rsid w:val="003240A3"/>
    <w:rsid w:val="003240BD"/>
    <w:rsid w:val="003240FD"/>
    <w:rsid w:val="003240FE"/>
    <w:rsid w:val="00324125"/>
    <w:rsid w:val="0032416D"/>
    <w:rsid w:val="003241D8"/>
    <w:rsid w:val="003241DB"/>
    <w:rsid w:val="0032420F"/>
    <w:rsid w:val="003242D2"/>
    <w:rsid w:val="00324322"/>
    <w:rsid w:val="00324386"/>
    <w:rsid w:val="003243AC"/>
    <w:rsid w:val="00324412"/>
    <w:rsid w:val="0032449F"/>
    <w:rsid w:val="003244D7"/>
    <w:rsid w:val="00324522"/>
    <w:rsid w:val="003245AA"/>
    <w:rsid w:val="00324627"/>
    <w:rsid w:val="00324682"/>
    <w:rsid w:val="00324696"/>
    <w:rsid w:val="003246A2"/>
    <w:rsid w:val="003246AB"/>
    <w:rsid w:val="003246FE"/>
    <w:rsid w:val="00324709"/>
    <w:rsid w:val="0032473D"/>
    <w:rsid w:val="003247E0"/>
    <w:rsid w:val="003247F2"/>
    <w:rsid w:val="00324854"/>
    <w:rsid w:val="003248CC"/>
    <w:rsid w:val="00324940"/>
    <w:rsid w:val="0032497C"/>
    <w:rsid w:val="003249BC"/>
    <w:rsid w:val="003249D8"/>
    <w:rsid w:val="00324A64"/>
    <w:rsid w:val="00324A73"/>
    <w:rsid w:val="00324A8A"/>
    <w:rsid w:val="00324A94"/>
    <w:rsid w:val="00324AB9"/>
    <w:rsid w:val="00324ADA"/>
    <w:rsid w:val="00324AEB"/>
    <w:rsid w:val="00324AEE"/>
    <w:rsid w:val="00324B50"/>
    <w:rsid w:val="00324B83"/>
    <w:rsid w:val="00324B84"/>
    <w:rsid w:val="00324B94"/>
    <w:rsid w:val="00324BA5"/>
    <w:rsid w:val="00324BCB"/>
    <w:rsid w:val="00324C29"/>
    <w:rsid w:val="00324C8A"/>
    <w:rsid w:val="00324CF0"/>
    <w:rsid w:val="00324D6A"/>
    <w:rsid w:val="00324D93"/>
    <w:rsid w:val="00324DDD"/>
    <w:rsid w:val="00324E9C"/>
    <w:rsid w:val="00324EA2"/>
    <w:rsid w:val="00324EBA"/>
    <w:rsid w:val="00324F27"/>
    <w:rsid w:val="00324F35"/>
    <w:rsid w:val="00324F36"/>
    <w:rsid w:val="00324FFF"/>
    <w:rsid w:val="00325055"/>
    <w:rsid w:val="00325096"/>
    <w:rsid w:val="003250DE"/>
    <w:rsid w:val="0032511F"/>
    <w:rsid w:val="0032515B"/>
    <w:rsid w:val="00325179"/>
    <w:rsid w:val="003251D8"/>
    <w:rsid w:val="00325263"/>
    <w:rsid w:val="003252C3"/>
    <w:rsid w:val="003252C6"/>
    <w:rsid w:val="00325393"/>
    <w:rsid w:val="003253CA"/>
    <w:rsid w:val="003254E8"/>
    <w:rsid w:val="0032552F"/>
    <w:rsid w:val="00325591"/>
    <w:rsid w:val="003255D7"/>
    <w:rsid w:val="00325619"/>
    <w:rsid w:val="00325624"/>
    <w:rsid w:val="00325625"/>
    <w:rsid w:val="00325672"/>
    <w:rsid w:val="003256A8"/>
    <w:rsid w:val="003256B7"/>
    <w:rsid w:val="003256BE"/>
    <w:rsid w:val="0032570C"/>
    <w:rsid w:val="0032576F"/>
    <w:rsid w:val="00325830"/>
    <w:rsid w:val="0032586B"/>
    <w:rsid w:val="0032590D"/>
    <w:rsid w:val="00325954"/>
    <w:rsid w:val="003259CD"/>
    <w:rsid w:val="00325A61"/>
    <w:rsid w:val="00325ADD"/>
    <w:rsid w:val="00325AFB"/>
    <w:rsid w:val="00325B08"/>
    <w:rsid w:val="00325B29"/>
    <w:rsid w:val="00325B3B"/>
    <w:rsid w:val="00325B63"/>
    <w:rsid w:val="00325BCA"/>
    <w:rsid w:val="00325BDC"/>
    <w:rsid w:val="00325C01"/>
    <w:rsid w:val="00325C37"/>
    <w:rsid w:val="00325C8C"/>
    <w:rsid w:val="00325E26"/>
    <w:rsid w:val="00325EA3"/>
    <w:rsid w:val="00325F11"/>
    <w:rsid w:val="00325F30"/>
    <w:rsid w:val="00325F99"/>
    <w:rsid w:val="00325FC0"/>
    <w:rsid w:val="00326023"/>
    <w:rsid w:val="00326029"/>
    <w:rsid w:val="0032603C"/>
    <w:rsid w:val="003260A4"/>
    <w:rsid w:val="003260E4"/>
    <w:rsid w:val="003260EE"/>
    <w:rsid w:val="0032615E"/>
    <w:rsid w:val="003261E1"/>
    <w:rsid w:val="00326215"/>
    <w:rsid w:val="00326227"/>
    <w:rsid w:val="00326265"/>
    <w:rsid w:val="003262E0"/>
    <w:rsid w:val="0032631A"/>
    <w:rsid w:val="0032631D"/>
    <w:rsid w:val="0032632A"/>
    <w:rsid w:val="00326391"/>
    <w:rsid w:val="003263A6"/>
    <w:rsid w:val="00326468"/>
    <w:rsid w:val="00326510"/>
    <w:rsid w:val="003265C8"/>
    <w:rsid w:val="00326647"/>
    <w:rsid w:val="00326652"/>
    <w:rsid w:val="0032665F"/>
    <w:rsid w:val="003266A1"/>
    <w:rsid w:val="003266DB"/>
    <w:rsid w:val="00326735"/>
    <w:rsid w:val="0032675F"/>
    <w:rsid w:val="00326760"/>
    <w:rsid w:val="003267D1"/>
    <w:rsid w:val="0032683C"/>
    <w:rsid w:val="0032684E"/>
    <w:rsid w:val="0032688A"/>
    <w:rsid w:val="003268B4"/>
    <w:rsid w:val="003268C1"/>
    <w:rsid w:val="003268D5"/>
    <w:rsid w:val="0032691F"/>
    <w:rsid w:val="00326A6D"/>
    <w:rsid w:val="00326A9C"/>
    <w:rsid w:val="00326AD3"/>
    <w:rsid w:val="00326B19"/>
    <w:rsid w:val="00326B40"/>
    <w:rsid w:val="00326B7D"/>
    <w:rsid w:val="00326B8D"/>
    <w:rsid w:val="00326BAE"/>
    <w:rsid w:val="00326BF5"/>
    <w:rsid w:val="00326C35"/>
    <w:rsid w:val="00326C98"/>
    <w:rsid w:val="00326CFC"/>
    <w:rsid w:val="00326D0A"/>
    <w:rsid w:val="00326D62"/>
    <w:rsid w:val="00326DDC"/>
    <w:rsid w:val="00326DE4"/>
    <w:rsid w:val="00326DF8"/>
    <w:rsid w:val="00326E53"/>
    <w:rsid w:val="00326E62"/>
    <w:rsid w:val="00326EBD"/>
    <w:rsid w:val="00326F99"/>
    <w:rsid w:val="00326FB6"/>
    <w:rsid w:val="00326FB7"/>
    <w:rsid w:val="00326FE9"/>
    <w:rsid w:val="0032708B"/>
    <w:rsid w:val="0032714A"/>
    <w:rsid w:val="003272B9"/>
    <w:rsid w:val="003272D6"/>
    <w:rsid w:val="003272FA"/>
    <w:rsid w:val="0032730B"/>
    <w:rsid w:val="00327313"/>
    <w:rsid w:val="00327319"/>
    <w:rsid w:val="00327338"/>
    <w:rsid w:val="003273AC"/>
    <w:rsid w:val="00327403"/>
    <w:rsid w:val="0032751F"/>
    <w:rsid w:val="0032752A"/>
    <w:rsid w:val="00327599"/>
    <w:rsid w:val="003275C9"/>
    <w:rsid w:val="0032769F"/>
    <w:rsid w:val="003276D7"/>
    <w:rsid w:val="00327720"/>
    <w:rsid w:val="0032774D"/>
    <w:rsid w:val="00327775"/>
    <w:rsid w:val="0032778C"/>
    <w:rsid w:val="00327797"/>
    <w:rsid w:val="003277BB"/>
    <w:rsid w:val="003277DB"/>
    <w:rsid w:val="0032787A"/>
    <w:rsid w:val="003278A7"/>
    <w:rsid w:val="0032791E"/>
    <w:rsid w:val="00327985"/>
    <w:rsid w:val="003279CE"/>
    <w:rsid w:val="00327A01"/>
    <w:rsid w:val="00327A6A"/>
    <w:rsid w:val="00327A95"/>
    <w:rsid w:val="00327AB7"/>
    <w:rsid w:val="00327B6E"/>
    <w:rsid w:val="00327B70"/>
    <w:rsid w:val="00327B7B"/>
    <w:rsid w:val="00327B92"/>
    <w:rsid w:val="00327C53"/>
    <w:rsid w:val="00327C54"/>
    <w:rsid w:val="00327D5E"/>
    <w:rsid w:val="00327D62"/>
    <w:rsid w:val="00327D97"/>
    <w:rsid w:val="00327E1F"/>
    <w:rsid w:val="00327E90"/>
    <w:rsid w:val="00327E9F"/>
    <w:rsid w:val="00327ECD"/>
    <w:rsid w:val="00327EEA"/>
    <w:rsid w:val="00327F14"/>
    <w:rsid w:val="0033013D"/>
    <w:rsid w:val="0033016B"/>
    <w:rsid w:val="00330179"/>
    <w:rsid w:val="0033028D"/>
    <w:rsid w:val="003302B6"/>
    <w:rsid w:val="003302C2"/>
    <w:rsid w:val="00330310"/>
    <w:rsid w:val="00330367"/>
    <w:rsid w:val="003303B3"/>
    <w:rsid w:val="003303BA"/>
    <w:rsid w:val="003303C9"/>
    <w:rsid w:val="0033051E"/>
    <w:rsid w:val="00330533"/>
    <w:rsid w:val="00330565"/>
    <w:rsid w:val="00330583"/>
    <w:rsid w:val="003305BF"/>
    <w:rsid w:val="00330609"/>
    <w:rsid w:val="00330822"/>
    <w:rsid w:val="003308EF"/>
    <w:rsid w:val="00330A99"/>
    <w:rsid w:val="00330AAD"/>
    <w:rsid w:val="00330AF1"/>
    <w:rsid w:val="00330B02"/>
    <w:rsid w:val="00330B12"/>
    <w:rsid w:val="00330B39"/>
    <w:rsid w:val="00330B3E"/>
    <w:rsid w:val="00330B4D"/>
    <w:rsid w:val="00330BF5"/>
    <w:rsid w:val="00330BFF"/>
    <w:rsid w:val="00330CDB"/>
    <w:rsid w:val="00330CEA"/>
    <w:rsid w:val="00330D01"/>
    <w:rsid w:val="00330D45"/>
    <w:rsid w:val="00330DFA"/>
    <w:rsid w:val="00330E27"/>
    <w:rsid w:val="00330E39"/>
    <w:rsid w:val="00330E59"/>
    <w:rsid w:val="00330E71"/>
    <w:rsid w:val="00330E91"/>
    <w:rsid w:val="00330EC6"/>
    <w:rsid w:val="00330EE3"/>
    <w:rsid w:val="00330EE9"/>
    <w:rsid w:val="00330FF2"/>
    <w:rsid w:val="0033109A"/>
    <w:rsid w:val="0033116A"/>
    <w:rsid w:val="0033116B"/>
    <w:rsid w:val="003311E4"/>
    <w:rsid w:val="003312A3"/>
    <w:rsid w:val="003312E0"/>
    <w:rsid w:val="00331322"/>
    <w:rsid w:val="0033134F"/>
    <w:rsid w:val="00331386"/>
    <w:rsid w:val="003313F5"/>
    <w:rsid w:val="0033142D"/>
    <w:rsid w:val="00331448"/>
    <w:rsid w:val="0033146A"/>
    <w:rsid w:val="00331473"/>
    <w:rsid w:val="0033147B"/>
    <w:rsid w:val="003314C7"/>
    <w:rsid w:val="00331556"/>
    <w:rsid w:val="0033156B"/>
    <w:rsid w:val="0033161B"/>
    <w:rsid w:val="0033161F"/>
    <w:rsid w:val="00331665"/>
    <w:rsid w:val="0033166B"/>
    <w:rsid w:val="0033167A"/>
    <w:rsid w:val="003316A9"/>
    <w:rsid w:val="003316AF"/>
    <w:rsid w:val="003316CE"/>
    <w:rsid w:val="003316DE"/>
    <w:rsid w:val="003316F1"/>
    <w:rsid w:val="003317D3"/>
    <w:rsid w:val="003318DC"/>
    <w:rsid w:val="00331911"/>
    <w:rsid w:val="0033193C"/>
    <w:rsid w:val="00331AD9"/>
    <w:rsid w:val="00331AE4"/>
    <w:rsid w:val="00331B41"/>
    <w:rsid w:val="00331B54"/>
    <w:rsid w:val="00331B60"/>
    <w:rsid w:val="00331B81"/>
    <w:rsid w:val="00331B88"/>
    <w:rsid w:val="00331BB1"/>
    <w:rsid w:val="00331BD4"/>
    <w:rsid w:val="00331BE0"/>
    <w:rsid w:val="00331C17"/>
    <w:rsid w:val="00331C19"/>
    <w:rsid w:val="00331D42"/>
    <w:rsid w:val="00331D6C"/>
    <w:rsid w:val="00331DA4"/>
    <w:rsid w:val="00331E1C"/>
    <w:rsid w:val="00331E70"/>
    <w:rsid w:val="00331F5B"/>
    <w:rsid w:val="0033201B"/>
    <w:rsid w:val="0033201F"/>
    <w:rsid w:val="00332093"/>
    <w:rsid w:val="003320A1"/>
    <w:rsid w:val="003320A2"/>
    <w:rsid w:val="00332120"/>
    <w:rsid w:val="00332195"/>
    <w:rsid w:val="0033228A"/>
    <w:rsid w:val="003322BE"/>
    <w:rsid w:val="003322DD"/>
    <w:rsid w:val="00332318"/>
    <w:rsid w:val="003323DD"/>
    <w:rsid w:val="0033242D"/>
    <w:rsid w:val="0033243A"/>
    <w:rsid w:val="00332489"/>
    <w:rsid w:val="0033249A"/>
    <w:rsid w:val="0033250E"/>
    <w:rsid w:val="00332511"/>
    <w:rsid w:val="00332516"/>
    <w:rsid w:val="0033258E"/>
    <w:rsid w:val="003325BE"/>
    <w:rsid w:val="003325FC"/>
    <w:rsid w:val="003326ED"/>
    <w:rsid w:val="00332710"/>
    <w:rsid w:val="00332726"/>
    <w:rsid w:val="00332729"/>
    <w:rsid w:val="00332762"/>
    <w:rsid w:val="00332787"/>
    <w:rsid w:val="003327BE"/>
    <w:rsid w:val="003327C1"/>
    <w:rsid w:val="0033291B"/>
    <w:rsid w:val="0033292C"/>
    <w:rsid w:val="00332A0D"/>
    <w:rsid w:val="00332A4C"/>
    <w:rsid w:val="00332A6E"/>
    <w:rsid w:val="00332BE9"/>
    <w:rsid w:val="00332C0A"/>
    <w:rsid w:val="00332C70"/>
    <w:rsid w:val="00332CB9"/>
    <w:rsid w:val="00332D9C"/>
    <w:rsid w:val="00332DA6"/>
    <w:rsid w:val="00332DCB"/>
    <w:rsid w:val="00332DCE"/>
    <w:rsid w:val="00332E67"/>
    <w:rsid w:val="00332E8D"/>
    <w:rsid w:val="00332EAD"/>
    <w:rsid w:val="00332F36"/>
    <w:rsid w:val="00332F3A"/>
    <w:rsid w:val="00332F4F"/>
    <w:rsid w:val="00332FDF"/>
    <w:rsid w:val="00333063"/>
    <w:rsid w:val="003330BB"/>
    <w:rsid w:val="003330E4"/>
    <w:rsid w:val="003331AE"/>
    <w:rsid w:val="0033320A"/>
    <w:rsid w:val="00333210"/>
    <w:rsid w:val="00333211"/>
    <w:rsid w:val="00333241"/>
    <w:rsid w:val="003332B5"/>
    <w:rsid w:val="003332BE"/>
    <w:rsid w:val="003332D5"/>
    <w:rsid w:val="003333A4"/>
    <w:rsid w:val="003333D6"/>
    <w:rsid w:val="0033344F"/>
    <w:rsid w:val="00333471"/>
    <w:rsid w:val="00333496"/>
    <w:rsid w:val="003334D0"/>
    <w:rsid w:val="003334E5"/>
    <w:rsid w:val="00333515"/>
    <w:rsid w:val="003335D1"/>
    <w:rsid w:val="00333628"/>
    <w:rsid w:val="0033362E"/>
    <w:rsid w:val="0033367C"/>
    <w:rsid w:val="0033368B"/>
    <w:rsid w:val="00333723"/>
    <w:rsid w:val="00333736"/>
    <w:rsid w:val="003337D1"/>
    <w:rsid w:val="003338C2"/>
    <w:rsid w:val="00333902"/>
    <w:rsid w:val="0033397E"/>
    <w:rsid w:val="00333983"/>
    <w:rsid w:val="00333988"/>
    <w:rsid w:val="003339AA"/>
    <w:rsid w:val="00333AE1"/>
    <w:rsid w:val="00333C2A"/>
    <w:rsid w:val="00333C2F"/>
    <w:rsid w:val="00333C70"/>
    <w:rsid w:val="00333CE7"/>
    <w:rsid w:val="00333CE9"/>
    <w:rsid w:val="00333DBB"/>
    <w:rsid w:val="00333E32"/>
    <w:rsid w:val="00333E3A"/>
    <w:rsid w:val="00333EE2"/>
    <w:rsid w:val="00333F0F"/>
    <w:rsid w:val="003340AB"/>
    <w:rsid w:val="00334122"/>
    <w:rsid w:val="00334125"/>
    <w:rsid w:val="003341FC"/>
    <w:rsid w:val="00334229"/>
    <w:rsid w:val="0033424E"/>
    <w:rsid w:val="003342AE"/>
    <w:rsid w:val="003342C7"/>
    <w:rsid w:val="003342D7"/>
    <w:rsid w:val="003342E2"/>
    <w:rsid w:val="00334394"/>
    <w:rsid w:val="003343BE"/>
    <w:rsid w:val="003343D4"/>
    <w:rsid w:val="003343FB"/>
    <w:rsid w:val="00334426"/>
    <w:rsid w:val="0033444B"/>
    <w:rsid w:val="0033444E"/>
    <w:rsid w:val="003344BA"/>
    <w:rsid w:val="003344C4"/>
    <w:rsid w:val="0033451D"/>
    <w:rsid w:val="003345CB"/>
    <w:rsid w:val="00334635"/>
    <w:rsid w:val="00334640"/>
    <w:rsid w:val="00334652"/>
    <w:rsid w:val="00334672"/>
    <w:rsid w:val="003346AC"/>
    <w:rsid w:val="003346B8"/>
    <w:rsid w:val="0033472D"/>
    <w:rsid w:val="00334736"/>
    <w:rsid w:val="003347BD"/>
    <w:rsid w:val="003347E7"/>
    <w:rsid w:val="003349CF"/>
    <w:rsid w:val="00334A2C"/>
    <w:rsid w:val="00334ACB"/>
    <w:rsid w:val="00334AFB"/>
    <w:rsid w:val="00334B06"/>
    <w:rsid w:val="00334B45"/>
    <w:rsid w:val="00334B6E"/>
    <w:rsid w:val="00334BE0"/>
    <w:rsid w:val="00334C2F"/>
    <w:rsid w:val="00334CED"/>
    <w:rsid w:val="00334CF5"/>
    <w:rsid w:val="00334CF6"/>
    <w:rsid w:val="00334D47"/>
    <w:rsid w:val="00334D8C"/>
    <w:rsid w:val="00334E4A"/>
    <w:rsid w:val="00334E87"/>
    <w:rsid w:val="00334EA5"/>
    <w:rsid w:val="00334F09"/>
    <w:rsid w:val="00334F72"/>
    <w:rsid w:val="00334F87"/>
    <w:rsid w:val="00334FA0"/>
    <w:rsid w:val="00334FD5"/>
    <w:rsid w:val="00335078"/>
    <w:rsid w:val="0033507C"/>
    <w:rsid w:val="003350AA"/>
    <w:rsid w:val="003350B4"/>
    <w:rsid w:val="003350D1"/>
    <w:rsid w:val="00335123"/>
    <w:rsid w:val="003351C0"/>
    <w:rsid w:val="003351CE"/>
    <w:rsid w:val="003351DF"/>
    <w:rsid w:val="003352D2"/>
    <w:rsid w:val="003352FF"/>
    <w:rsid w:val="00335371"/>
    <w:rsid w:val="0033538F"/>
    <w:rsid w:val="003353CC"/>
    <w:rsid w:val="00335400"/>
    <w:rsid w:val="0033540C"/>
    <w:rsid w:val="00335461"/>
    <w:rsid w:val="0033546F"/>
    <w:rsid w:val="003354AC"/>
    <w:rsid w:val="003354D4"/>
    <w:rsid w:val="0033559C"/>
    <w:rsid w:val="003355A9"/>
    <w:rsid w:val="003355D5"/>
    <w:rsid w:val="003355E7"/>
    <w:rsid w:val="00335606"/>
    <w:rsid w:val="0033565D"/>
    <w:rsid w:val="0033569F"/>
    <w:rsid w:val="00335701"/>
    <w:rsid w:val="0033571B"/>
    <w:rsid w:val="0033580A"/>
    <w:rsid w:val="00335812"/>
    <w:rsid w:val="003358A5"/>
    <w:rsid w:val="003358B4"/>
    <w:rsid w:val="003359A2"/>
    <w:rsid w:val="003359E3"/>
    <w:rsid w:val="00335A67"/>
    <w:rsid w:val="00335A78"/>
    <w:rsid w:val="00335A7A"/>
    <w:rsid w:val="00335A89"/>
    <w:rsid w:val="00335B07"/>
    <w:rsid w:val="00335B89"/>
    <w:rsid w:val="00335BC3"/>
    <w:rsid w:val="00335C4B"/>
    <w:rsid w:val="00335C76"/>
    <w:rsid w:val="00335C7F"/>
    <w:rsid w:val="00335CD5"/>
    <w:rsid w:val="00335D06"/>
    <w:rsid w:val="00335D13"/>
    <w:rsid w:val="00335D2F"/>
    <w:rsid w:val="00335D73"/>
    <w:rsid w:val="00335D8F"/>
    <w:rsid w:val="00335D9E"/>
    <w:rsid w:val="00335E1F"/>
    <w:rsid w:val="00335E92"/>
    <w:rsid w:val="00335EA5"/>
    <w:rsid w:val="00335F37"/>
    <w:rsid w:val="00335F80"/>
    <w:rsid w:val="00335F85"/>
    <w:rsid w:val="00335FBB"/>
    <w:rsid w:val="00336024"/>
    <w:rsid w:val="00336052"/>
    <w:rsid w:val="003360F1"/>
    <w:rsid w:val="00336140"/>
    <w:rsid w:val="003361B9"/>
    <w:rsid w:val="003361CC"/>
    <w:rsid w:val="003361D6"/>
    <w:rsid w:val="00336286"/>
    <w:rsid w:val="003362A6"/>
    <w:rsid w:val="003362BB"/>
    <w:rsid w:val="0033634C"/>
    <w:rsid w:val="0033639C"/>
    <w:rsid w:val="00336417"/>
    <w:rsid w:val="003364C1"/>
    <w:rsid w:val="00336622"/>
    <w:rsid w:val="003366A7"/>
    <w:rsid w:val="003366FC"/>
    <w:rsid w:val="00336703"/>
    <w:rsid w:val="00336764"/>
    <w:rsid w:val="00336778"/>
    <w:rsid w:val="0033677D"/>
    <w:rsid w:val="00336782"/>
    <w:rsid w:val="003367CC"/>
    <w:rsid w:val="00336820"/>
    <w:rsid w:val="00336861"/>
    <w:rsid w:val="0033688B"/>
    <w:rsid w:val="003368A3"/>
    <w:rsid w:val="003368B2"/>
    <w:rsid w:val="003368B9"/>
    <w:rsid w:val="003368BB"/>
    <w:rsid w:val="003368D7"/>
    <w:rsid w:val="003368E4"/>
    <w:rsid w:val="00336929"/>
    <w:rsid w:val="00336964"/>
    <w:rsid w:val="00336999"/>
    <w:rsid w:val="00336A05"/>
    <w:rsid w:val="00336A26"/>
    <w:rsid w:val="00336AEB"/>
    <w:rsid w:val="00336BD1"/>
    <w:rsid w:val="00336CEB"/>
    <w:rsid w:val="00336D9B"/>
    <w:rsid w:val="00336DBF"/>
    <w:rsid w:val="00336DD5"/>
    <w:rsid w:val="00336EAD"/>
    <w:rsid w:val="00336EBC"/>
    <w:rsid w:val="00336ECB"/>
    <w:rsid w:val="00336EDC"/>
    <w:rsid w:val="00336F09"/>
    <w:rsid w:val="00336F69"/>
    <w:rsid w:val="00337008"/>
    <w:rsid w:val="00337011"/>
    <w:rsid w:val="00337012"/>
    <w:rsid w:val="00337019"/>
    <w:rsid w:val="0033709A"/>
    <w:rsid w:val="003370BE"/>
    <w:rsid w:val="00337111"/>
    <w:rsid w:val="0033721F"/>
    <w:rsid w:val="003372A7"/>
    <w:rsid w:val="003372EF"/>
    <w:rsid w:val="0033733F"/>
    <w:rsid w:val="003373CE"/>
    <w:rsid w:val="00337428"/>
    <w:rsid w:val="00337443"/>
    <w:rsid w:val="00337463"/>
    <w:rsid w:val="00337576"/>
    <w:rsid w:val="00337619"/>
    <w:rsid w:val="00337677"/>
    <w:rsid w:val="00337701"/>
    <w:rsid w:val="00337712"/>
    <w:rsid w:val="00337713"/>
    <w:rsid w:val="00337770"/>
    <w:rsid w:val="00337874"/>
    <w:rsid w:val="0033796E"/>
    <w:rsid w:val="0033797B"/>
    <w:rsid w:val="003379CE"/>
    <w:rsid w:val="00337A1F"/>
    <w:rsid w:val="00337AC0"/>
    <w:rsid w:val="00337B0D"/>
    <w:rsid w:val="00337B5D"/>
    <w:rsid w:val="00337BEF"/>
    <w:rsid w:val="00337C49"/>
    <w:rsid w:val="00337CAA"/>
    <w:rsid w:val="00337D56"/>
    <w:rsid w:val="00337E13"/>
    <w:rsid w:val="00337E54"/>
    <w:rsid w:val="00337E60"/>
    <w:rsid w:val="00337E78"/>
    <w:rsid w:val="00337E99"/>
    <w:rsid w:val="00337EB6"/>
    <w:rsid w:val="00337FC1"/>
    <w:rsid w:val="00340073"/>
    <w:rsid w:val="003400E8"/>
    <w:rsid w:val="003400F0"/>
    <w:rsid w:val="00340118"/>
    <w:rsid w:val="003401B0"/>
    <w:rsid w:val="003401C6"/>
    <w:rsid w:val="003401D4"/>
    <w:rsid w:val="003401E0"/>
    <w:rsid w:val="003401FC"/>
    <w:rsid w:val="00340204"/>
    <w:rsid w:val="00340228"/>
    <w:rsid w:val="00340231"/>
    <w:rsid w:val="00340294"/>
    <w:rsid w:val="003402EF"/>
    <w:rsid w:val="003402F0"/>
    <w:rsid w:val="00340311"/>
    <w:rsid w:val="0034034E"/>
    <w:rsid w:val="003403EF"/>
    <w:rsid w:val="003404AC"/>
    <w:rsid w:val="003404BD"/>
    <w:rsid w:val="003404E4"/>
    <w:rsid w:val="00340514"/>
    <w:rsid w:val="0034051E"/>
    <w:rsid w:val="00340529"/>
    <w:rsid w:val="00340537"/>
    <w:rsid w:val="0034058A"/>
    <w:rsid w:val="003405D8"/>
    <w:rsid w:val="00340661"/>
    <w:rsid w:val="0034068C"/>
    <w:rsid w:val="0034069F"/>
    <w:rsid w:val="003406C7"/>
    <w:rsid w:val="003406E6"/>
    <w:rsid w:val="0034074B"/>
    <w:rsid w:val="00340755"/>
    <w:rsid w:val="003407C5"/>
    <w:rsid w:val="003407D3"/>
    <w:rsid w:val="003408DE"/>
    <w:rsid w:val="00340909"/>
    <w:rsid w:val="00340972"/>
    <w:rsid w:val="0034097C"/>
    <w:rsid w:val="003409B0"/>
    <w:rsid w:val="003409CB"/>
    <w:rsid w:val="00340A6C"/>
    <w:rsid w:val="00340B1F"/>
    <w:rsid w:val="00340B3F"/>
    <w:rsid w:val="00340BA8"/>
    <w:rsid w:val="00340BBE"/>
    <w:rsid w:val="00340BE3"/>
    <w:rsid w:val="00340C7A"/>
    <w:rsid w:val="00340CC3"/>
    <w:rsid w:val="00340CE7"/>
    <w:rsid w:val="00340D86"/>
    <w:rsid w:val="00340E1B"/>
    <w:rsid w:val="00340E21"/>
    <w:rsid w:val="00340EAA"/>
    <w:rsid w:val="00340F42"/>
    <w:rsid w:val="00340FD0"/>
    <w:rsid w:val="003410A1"/>
    <w:rsid w:val="003410AD"/>
    <w:rsid w:val="003410CD"/>
    <w:rsid w:val="00341115"/>
    <w:rsid w:val="003411DF"/>
    <w:rsid w:val="00341242"/>
    <w:rsid w:val="003412DA"/>
    <w:rsid w:val="003412EB"/>
    <w:rsid w:val="0034131D"/>
    <w:rsid w:val="00341325"/>
    <w:rsid w:val="00341365"/>
    <w:rsid w:val="0034137C"/>
    <w:rsid w:val="003413B4"/>
    <w:rsid w:val="003413F8"/>
    <w:rsid w:val="0034140C"/>
    <w:rsid w:val="003415AD"/>
    <w:rsid w:val="00341626"/>
    <w:rsid w:val="00341627"/>
    <w:rsid w:val="0034163F"/>
    <w:rsid w:val="00341646"/>
    <w:rsid w:val="0034166A"/>
    <w:rsid w:val="003416A4"/>
    <w:rsid w:val="00341750"/>
    <w:rsid w:val="00341762"/>
    <w:rsid w:val="0034176A"/>
    <w:rsid w:val="00341789"/>
    <w:rsid w:val="003417B2"/>
    <w:rsid w:val="003417C4"/>
    <w:rsid w:val="003417C5"/>
    <w:rsid w:val="003417FE"/>
    <w:rsid w:val="00341920"/>
    <w:rsid w:val="003419D4"/>
    <w:rsid w:val="00341A49"/>
    <w:rsid w:val="00341A54"/>
    <w:rsid w:val="00341B68"/>
    <w:rsid w:val="00341B79"/>
    <w:rsid w:val="00341BE0"/>
    <w:rsid w:val="00341C36"/>
    <w:rsid w:val="00341C43"/>
    <w:rsid w:val="00341CC3"/>
    <w:rsid w:val="00341CE4"/>
    <w:rsid w:val="00341CEE"/>
    <w:rsid w:val="00341E14"/>
    <w:rsid w:val="00341E18"/>
    <w:rsid w:val="00341E52"/>
    <w:rsid w:val="00341EA9"/>
    <w:rsid w:val="00341F24"/>
    <w:rsid w:val="00341F51"/>
    <w:rsid w:val="00341F68"/>
    <w:rsid w:val="00341F75"/>
    <w:rsid w:val="00341F94"/>
    <w:rsid w:val="00341FFA"/>
    <w:rsid w:val="0034201F"/>
    <w:rsid w:val="0034203C"/>
    <w:rsid w:val="003420FB"/>
    <w:rsid w:val="00342207"/>
    <w:rsid w:val="00342278"/>
    <w:rsid w:val="003422BD"/>
    <w:rsid w:val="00342309"/>
    <w:rsid w:val="003423E0"/>
    <w:rsid w:val="00342406"/>
    <w:rsid w:val="00342445"/>
    <w:rsid w:val="00342448"/>
    <w:rsid w:val="0034248E"/>
    <w:rsid w:val="003424AF"/>
    <w:rsid w:val="003424B7"/>
    <w:rsid w:val="003424D3"/>
    <w:rsid w:val="003424D6"/>
    <w:rsid w:val="00342510"/>
    <w:rsid w:val="00342574"/>
    <w:rsid w:val="0034257E"/>
    <w:rsid w:val="0034262E"/>
    <w:rsid w:val="00342667"/>
    <w:rsid w:val="003426E4"/>
    <w:rsid w:val="0034277B"/>
    <w:rsid w:val="00342795"/>
    <w:rsid w:val="00342797"/>
    <w:rsid w:val="003427AC"/>
    <w:rsid w:val="003427CA"/>
    <w:rsid w:val="003427EB"/>
    <w:rsid w:val="00342826"/>
    <w:rsid w:val="003428D6"/>
    <w:rsid w:val="003428FA"/>
    <w:rsid w:val="00342959"/>
    <w:rsid w:val="0034298D"/>
    <w:rsid w:val="00342AB3"/>
    <w:rsid w:val="00342ABB"/>
    <w:rsid w:val="00342B3D"/>
    <w:rsid w:val="00342BAA"/>
    <w:rsid w:val="00342C5F"/>
    <w:rsid w:val="00342CED"/>
    <w:rsid w:val="00342DAE"/>
    <w:rsid w:val="00342E51"/>
    <w:rsid w:val="00342E53"/>
    <w:rsid w:val="00342E5B"/>
    <w:rsid w:val="00342E8B"/>
    <w:rsid w:val="00342F26"/>
    <w:rsid w:val="00342F57"/>
    <w:rsid w:val="00342FE6"/>
    <w:rsid w:val="00342FEB"/>
    <w:rsid w:val="0034304C"/>
    <w:rsid w:val="003430A9"/>
    <w:rsid w:val="003430E8"/>
    <w:rsid w:val="00343114"/>
    <w:rsid w:val="00343133"/>
    <w:rsid w:val="0034313E"/>
    <w:rsid w:val="0034320B"/>
    <w:rsid w:val="003432CA"/>
    <w:rsid w:val="00343324"/>
    <w:rsid w:val="00343339"/>
    <w:rsid w:val="00343443"/>
    <w:rsid w:val="00343471"/>
    <w:rsid w:val="003434A4"/>
    <w:rsid w:val="00343553"/>
    <w:rsid w:val="003435AA"/>
    <w:rsid w:val="00343642"/>
    <w:rsid w:val="003436D4"/>
    <w:rsid w:val="003436F0"/>
    <w:rsid w:val="0034377A"/>
    <w:rsid w:val="0034379D"/>
    <w:rsid w:val="003437AC"/>
    <w:rsid w:val="003437DC"/>
    <w:rsid w:val="00343829"/>
    <w:rsid w:val="0034384E"/>
    <w:rsid w:val="0034385C"/>
    <w:rsid w:val="00343872"/>
    <w:rsid w:val="0034387E"/>
    <w:rsid w:val="003438F4"/>
    <w:rsid w:val="0034390A"/>
    <w:rsid w:val="00343933"/>
    <w:rsid w:val="0034393D"/>
    <w:rsid w:val="00343976"/>
    <w:rsid w:val="003439C1"/>
    <w:rsid w:val="00343A02"/>
    <w:rsid w:val="00343A7C"/>
    <w:rsid w:val="00343AFF"/>
    <w:rsid w:val="00343B62"/>
    <w:rsid w:val="00343B7D"/>
    <w:rsid w:val="00343B9B"/>
    <w:rsid w:val="00343BA9"/>
    <w:rsid w:val="00343C37"/>
    <w:rsid w:val="00343C3D"/>
    <w:rsid w:val="00343C40"/>
    <w:rsid w:val="00343D30"/>
    <w:rsid w:val="00343D90"/>
    <w:rsid w:val="00343DE9"/>
    <w:rsid w:val="00343E0F"/>
    <w:rsid w:val="00343E5B"/>
    <w:rsid w:val="00343EAA"/>
    <w:rsid w:val="00343EB1"/>
    <w:rsid w:val="00343EEC"/>
    <w:rsid w:val="00343F28"/>
    <w:rsid w:val="00343F45"/>
    <w:rsid w:val="00343F86"/>
    <w:rsid w:val="00343FC2"/>
    <w:rsid w:val="00343FC6"/>
    <w:rsid w:val="00343FC7"/>
    <w:rsid w:val="00344048"/>
    <w:rsid w:val="00344069"/>
    <w:rsid w:val="003440AC"/>
    <w:rsid w:val="003440C3"/>
    <w:rsid w:val="003440DF"/>
    <w:rsid w:val="00344131"/>
    <w:rsid w:val="00344162"/>
    <w:rsid w:val="00344175"/>
    <w:rsid w:val="00344182"/>
    <w:rsid w:val="003441BA"/>
    <w:rsid w:val="003441C2"/>
    <w:rsid w:val="003441D7"/>
    <w:rsid w:val="003441FB"/>
    <w:rsid w:val="00344200"/>
    <w:rsid w:val="00344250"/>
    <w:rsid w:val="003442E0"/>
    <w:rsid w:val="00344360"/>
    <w:rsid w:val="003443DC"/>
    <w:rsid w:val="0034441A"/>
    <w:rsid w:val="003444DC"/>
    <w:rsid w:val="003444FB"/>
    <w:rsid w:val="00344530"/>
    <w:rsid w:val="0034454B"/>
    <w:rsid w:val="00344551"/>
    <w:rsid w:val="003445A4"/>
    <w:rsid w:val="003445C3"/>
    <w:rsid w:val="003445DC"/>
    <w:rsid w:val="00344665"/>
    <w:rsid w:val="0034466F"/>
    <w:rsid w:val="0034469F"/>
    <w:rsid w:val="003446C9"/>
    <w:rsid w:val="003446D8"/>
    <w:rsid w:val="00344790"/>
    <w:rsid w:val="003447B3"/>
    <w:rsid w:val="003447B6"/>
    <w:rsid w:val="0034482D"/>
    <w:rsid w:val="00344883"/>
    <w:rsid w:val="003448ED"/>
    <w:rsid w:val="003448F5"/>
    <w:rsid w:val="0034493F"/>
    <w:rsid w:val="00344978"/>
    <w:rsid w:val="0034497E"/>
    <w:rsid w:val="003449E4"/>
    <w:rsid w:val="00344A41"/>
    <w:rsid w:val="00344A52"/>
    <w:rsid w:val="00344AB9"/>
    <w:rsid w:val="00344C71"/>
    <w:rsid w:val="00344CC9"/>
    <w:rsid w:val="00344CCB"/>
    <w:rsid w:val="00344D35"/>
    <w:rsid w:val="00344DE4"/>
    <w:rsid w:val="00344DEB"/>
    <w:rsid w:val="00344E00"/>
    <w:rsid w:val="00344E40"/>
    <w:rsid w:val="00344EAC"/>
    <w:rsid w:val="00344EC8"/>
    <w:rsid w:val="00344ED0"/>
    <w:rsid w:val="0034500B"/>
    <w:rsid w:val="0034501E"/>
    <w:rsid w:val="0034502D"/>
    <w:rsid w:val="0034508C"/>
    <w:rsid w:val="003450AB"/>
    <w:rsid w:val="003450CC"/>
    <w:rsid w:val="003450E9"/>
    <w:rsid w:val="003450F5"/>
    <w:rsid w:val="003450FE"/>
    <w:rsid w:val="00345146"/>
    <w:rsid w:val="0034517F"/>
    <w:rsid w:val="003451B4"/>
    <w:rsid w:val="003451E4"/>
    <w:rsid w:val="00345201"/>
    <w:rsid w:val="003452B2"/>
    <w:rsid w:val="003452F5"/>
    <w:rsid w:val="00345310"/>
    <w:rsid w:val="00345332"/>
    <w:rsid w:val="00345345"/>
    <w:rsid w:val="0034534B"/>
    <w:rsid w:val="00345389"/>
    <w:rsid w:val="0034545A"/>
    <w:rsid w:val="0034547B"/>
    <w:rsid w:val="00345487"/>
    <w:rsid w:val="00345490"/>
    <w:rsid w:val="00345492"/>
    <w:rsid w:val="003454DF"/>
    <w:rsid w:val="0034550D"/>
    <w:rsid w:val="0034553E"/>
    <w:rsid w:val="0034556F"/>
    <w:rsid w:val="00345584"/>
    <w:rsid w:val="003455A1"/>
    <w:rsid w:val="003455DB"/>
    <w:rsid w:val="003455FC"/>
    <w:rsid w:val="0034562D"/>
    <w:rsid w:val="00345639"/>
    <w:rsid w:val="0034566A"/>
    <w:rsid w:val="00345732"/>
    <w:rsid w:val="003457CC"/>
    <w:rsid w:val="003457DC"/>
    <w:rsid w:val="00345801"/>
    <w:rsid w:val="0034582E"/>
    <w:rsid w:val="0034583E"/>
    <w:rsid w:val="0034585E"/>
    <w:rsid w:val="003458F8"/>
    <w:rsid w:val="00345A60"/>
    <w:rsid w:val="00345A7C"/>
    <w:rsid w:val="00345A93"/>
    <w:rsid w:val="00345AD2"/>
    <w:rsid w:val="00345B35"/>
    <w:rsid w:val="00345B36"/>
    <w:rsid w:val="00345B50"/>
    <w:rsid w:val="00345B6B"/>
    <w:rsid w:val="00345B6D"/>
    <w:rsid w:val="00345BE5"/>
    <w:rsid w:val="00345C25"/>
    <w:rsid w:val="00345C5B"/>
    <w:rsid w:val="00345C6A"/>
    <w:rsid w:val="00345C6D"/>
    <w:rsid w:val="00345C8B"/>
    <w:rsid w:val="00345CD3"/>
    <w:rsid w:val="00345CDE"/>
    <w:rsid w:val="00345D61"/>
    <w:rsid w:val="00345DD8"/>
    <w:rsid w:val="00345DEC"/>
    <w:rsid w:val="00345E89"/>
    <w:rsid w:val="00345EDC"/>
    <w:rsid w:val="00345FA4"/>
    <w:rsid w:val="00345FA9"/>
    <w:rsid w:val="00345FDF"/>
    <w:rsid w:val="00345FF0"/>
    <w:rsid w:val="00346022"/>
    <w:rsid w:val="00346048"/>
    <w:rsid w:val="003460A5"/>
    <w:rsid w:val="003460BE"/>
    <w:rsid w:val="003460D6"/>
    <w:rsid w:val="003460E4"/>
    <w:rsid w:val="003460F1"/>
    <w:rsid w:val="00346102"/>
    <w:rsid w:val="0034613D"/>
    <w:rsid w:val="00346156"/>
    <w:rsid w:val="0034615C"/>
    <w:rsid w:val="00346169"/>
    <w:rsid w:val="003461E0"/>
    <w:rsid w:val="0034624D"/>
    <w:rsid w:val="00346302"/>
    <w:rsid w:val="0034636B"/>
    <w:rsid w:val="0034643E"/>
    <w:rsid w:val="0034646C"/>
    <w:rsid w:val="00346543"/>
    <w:rsid w:val="0034656B"/>
    <w:rsid w:val="00346601"/>
    <w:rsid w:val="0034664C"/>
    <w:rsid w:val="00346678"/>
    <w:rsid w:val="003466C1"/>
    <w:rsid w:val="003466F2"/>
    <w:rsid w:val="003466F4"/>
    <w:rsid w:val="00346777"/>
    <w:rsid w:val="003467CB"/>
    <w:rsid w:val="003467F4"/>
    <w:rsid w:val="00346806"/>
    <w:rsid w:val="00346876"/>
    <w:rsid w:val="00346881"/>
    <w:rsid w:val="003468B9"/>
    <w:rsid w:val="003468C1"/>
    <w:rsid w:val="003468D0"/>
    <w:rsid w:val="00346A14"/>
    <w:rsid w:val="00346B59"/>
    <w:rsid w:val="00346B90"/>
    <w:rsid w:val="00346C08"/>
    <w:rsid w:val="00346CF9"/>
    <w:rsid w:val="00346D68"/>
    <w:rsid w:val="00346DB5"/>
    <w:rsid w:val="00346DE2"/>
    <w:rsid w:val="00346DF4"/>
    <w:rsid w:val="00346E8C"/>
    <w:rsid w:val="00346E8D"/>
    <w:rsid w:val="00346ECB"/>
    <w:rsid w:val="00346F22"/>
    <w:rsid w:val="00346F33"/>
    <w:rsid w:val="00346F62"/>
    <w:rsid w:val="00346FB5"/>
    <w:rsid w:val="0034702E"/>
    <w:rsid w:val="00347058"/>
    <w:rsid w:val="003470CB"/>
    <w:rsid w:val="003470DD"/>
    <w:rsid w:val="00347110"/>
    <w:rsid w:val="003471E3"/>
    <w:rsid w:val="003471ED"/>
    <w:rsid w:val="003471EF"/>
    <w:rsid w:val="00347200"/>
    <w:rsid w:val="0034722A"/>
    <w:rsid w:val="003472D5"/>
    <w:rsid w:val="0034731B"/>
    <w:rsid w:val="003473A1"/>
    <w:rsid w:val="003473A2"/>
    <w:rsid w:val="00347416"/>
    <w:rsid w:val="0034743C"/>
    <w:rsid w:val="00347452"/>
    <w:rsid w:val="00347465"/>
    <w:rsid w:val="0034747B"/>
    <w:rsid w:val="003474DD"/>
    <w:rsid w:val="00347597"/>
    <w:rsid w:val="003475EB"/>
    <w:rsid w:val="00347655"/>
    <w:rsid w:val="0034768D"/>
    <w:rsid w:val="003476FC"/>
    <w:rsid w:val="0034780E"/>
    <w:rsid w:val="00347862"/>
    <w:rsid w:val="0034788E"/>
    <w:rsid w:val="003478AD"/>
    <w:rsid w:val="00347967"/>
    <w:rsid w:val="00347979"/>
    <w:rsid w:val="0034797B"/>
    <w:rsid w:val="003479F0"/>
    <w:rsid w:val="00347A16"/>
    <w:rsid w:val="00347A9A"/>
    <w:rsid w:val="00347AD7"/>
    <w:rsid w:val="00347AE4"/>
    <w:rsid w:val="00347B01"/>
    <w:rsid w:val="00347B12"/>
    <w:rsid w:val="00347B1E"/>
    <w:rsid w:val="00347B46"/>
    <w:rsid w:val="00347B72"/>
    <w:rsid w:val="00347C24"/>
    <w:rsid w:val="00347C3A"/>
    <w:rsid w:val="00347CFA"/>
    <w:rsid w:val="00347D04"/>
    <w:rsid w:val="00347D55"/>
    <w:rsid w:val="00347D8B"/>
    <w:rsid w:val="00347E3B"/>
    <w:rsid w:val="00347E4E"/>
    <w:rsid w:val="00347EDB"/>
    <w:rsid w:val="00347EFC"/>
    <w:rsid w:val="00347F1F"/>
    <w:rsid w:val="00347FC5"/>
    <w:rsid w:val="00347FE5"/>
    <w:rsid w:val="00350010"/>
    <w:rsid w:val="00350025"/>
    <w:rsid w:val="003500B3"/>
    <w:rsid w:val="003500EC"/>
    <w:rsid w:val="003500F8"/>
    <w:rsid w:val="00350146"/>
    <w:rsid w:val="0035014C"/>
    <w:rsid w:val="003501BB"/>
    <w:rsid w:val="0035021E"/>
    <w:rsid w:val="0035029D"/>
    <w:rsid w:val="0035039A"/>
    <w:rsid w:val="003503B6"/>
    <w:rsid w:val="003503F4"/>
    <w:rsid w:val="00350428"/>
    <w:rsid w:val="0035042E"/>
    <w:rsid w:val="003504DC"/>
    <w:rsid w:val="0035051C"/>
    <w:rsid w:val="00350531"/>
    <w:rsid w:val="0035055E"/>
    <w:rsid w:val="00350560"/>
    <w:rsid w:val="00350656"/>
    <w:rsid w:val="003506D5"/>
    <w:rsid w:val="003506DE"/>
    <w:rsid w:val="00350762"/>
    <w:rsid w:val="003507B7"/>
    <w:rsid w:val="003507E1"/>
    <w:rsid w:val="0035080F"/>
    <w:rsid w:val="00350882"/>
    <w:rsid w:val="003508BC"/>
    <w:rsid w:val="003508E4"/>
    <w:rsid w:val="0035090A"/>
    <w:rsid w:val="00350962"/>
    <w:rsid w:val="003509B8"/>
    <w:rsid w:val="00350A28"/>
    <w:rsid w:val="00350A5A"/>
    <w:rsid w:val="00350A6E"/>
    <w:rsid w:val="00350AB3"/>
    <w:rsid w:val="00350AEE"/>
    <w:rsid w:val="00350BC5"/>
    <w:rsid w:val="00350BED"/>
    <w:rsid w:val="00350C26"/>
    <w:rsid w:val="00350C44"/>
    <w:rsid w:val="00350CCC"/>
    <w:rsid w:val="00350CEA"/>
    <w:rsid w:val="00350CEC"/>
    <w:rsid w:val="00350D55"/>
    <w:rsid w:val="00350DE9"/>
    <w:rsid w:val="00350DEB"/>
    <w:rsid w:val="00350E89"/>
    <w:rsid w:val="00350EE9"/>
    <w:rsid w:val="00350EF0"/>
    <w:rsid w:val="00350FCD"/>
    <w:rsid w:val="00350FEB"/>
    <w:rsid w:val="0035105A"/>
    <w:rsid w:val="0035106D"/>
    <w:rsid w:val="003510C2"/>
    <w:rsid w:val="003510C3"/>
    <w:rsid w:val="0035111B"/>
    <w:rsid w:val="003511DC"/>
    <w:rsid w:val="0035126A"/>
    <w:rsid w:val="003512B4"/>
    <w:rsid w:val="003512BC"/>
    <w:rsid w:val="00351318"/>
    <w:rsid w:val="003513ED"/>
    <w:rsid w:val="0035150D"/>
    <w:rsid w:val="00351517"/>
    <w:rsid w:val="00351526"/>
    <w:rsid w:val="00351543"/>
    <w:rsid w:val="0035158B"/>
    <w:rsid w:val="003515C7"/>
    <w:rsid w:val="003515F4"/>
    <w:rsid w:val="00351621"/>
    <w:rsid w:val="00351636"/>
    <w:rsid w:val="003516EC"/>
    <w:rsid w:val="003516FF"/>
    <w:rsid w:val="0035173E"/>
    <w:rsid w:val="003517B5"/>
    <w:rsid w:val="003517D0"/>
    <w:rsid w:val="0035181E"/>
    <w:rsid w:val="00351836"/>
    <w:rsid w:val="003518A5"/>
    <w:rsid w:val="0035191A"/>
    <w:rsid w:val="00351933"/>
    <w:rsid w:val="00351998"/>
    <w:rsid w:val="00351A0B"/>
    <w:rsid w:val="00351A10"/>
    <w:rsid w:val="00351A82"/>
    <w:rsid w:val="00351AC1"/>
    <w:rsid w:val="00351AD8"/>
    <w:rsid w:val="00351B17"/>
    <w:rsid w:val="00351B70"/>
    <w:rsid w:val="00351B90"/>
    <w:rsid w:val="00351BCA"/>
    <w:rsid w:val="00351BEA"/>
    <w:rsid w:val="00351C54"/>
    <w:rsid w:val="00351C93"/>
    <w:rsid w:val="00351DA1"/>
    <w:rsid w:val="00351DBB"/>
    <w:rsid w:val="00351E5D"/>
    <w:rsid w:val="00351E6C"/>
    <w:rsid w:val="00351EAB"/>
    <w:rsid w:val="00351EBF"/>
    <w:rsid w:val="00351EE2"/>
    <w:rsid w:val="00351F1C"/>
    <w:rsid w:val="00351F4D"/>
    <w:rsid w:val="00351FCA"/>
    <w:rsid w:val="003520A5"/>
    <w:rsid w:val="003520BF"/>
    <w:rsid w:val="003520C7"/>
    <w:rsid w:val="003520CB"/>
    <w:rsid w:val="003520CF"/>
    <w:rsid w:val="003520E5"/>
    <w:rsid w:val="00352116"/>
    <w:rsid w:val="00352127"/>
    <w:rsid w:val="0035215E"/>
    <w:rsid w:val="0035216C"/>
    <w:rsid w:val="003521A3"/>
    <w:rsid w:val="003521AE"/>
    <w:rsid w:val="003522CE"/>
    <w:rsid w:val="003522EA"/>
    <w:rsid w:val="00352312"/>
    <w:rsid w:val="00352364"/>
    <w:rsid w:val="00352390"/>
    <w:rsid w:val="00352398"/>
    <w:rsid w:val="003523AA"/>
    <w:rsid w:val="003523CE"/>
    <w:rsid w:val="0035247B"/>
    <w:rsid w:val="003524A2"/>
    <w:rsid w:val="00352506"/>
    <w:rsid w:val="00352650"/>
    <w:rsid w:val="00352689"/>
    <w:rsid w:val="0035268A"/>
    <w:rsid w:val="0035268F"/>
    <w:rsid w:val="0035278B"/>
    <w:rsid w:val="003527EA"/>
    <w:rsid w:val="00352824"/>
    <w:rsid w:val="00352855"/>
    <w:rsid w:val="003528ED"/>
    <w:rsid w:val="0035296A"/>
    <w:rsid w:val="00352974"/>
    <w:rsid w:val="0035297D"/>
    <w:rsid w:val="003529B5"/>
    <w:rsid w:val="00352ABF"/>
    <w:rsid w:val="00352B4B"/>
    <w:rsid w:val="00352B69"/>
    <w:rsid w:val="00352C2E"/>
    <w:rsid w:val="00352C44"/>
    <w:rsid w:val="00352C89"/>
    <w:rsid w:val="00352C9C"/>
    <w:rsid w:val="00352CE8"/>
    <w:rsid w:val="00352DE2"/>
    <w:rsid w:val="00352DF9"/>
    <w:rsid w:val="00352E0D"/>
    <w:rsid w:val="00352E12"/>
    <w:rsid w:val="00352EB0"/>
    <w:rsid w:val="00352EF9"/>
    <w:rsid w:val="00352F36"/>
    <w:rsid w:val="00352F79"/>
    <w:rsid w:val="00352F87"/>
    <w:rsid w:val="00352FD8"/>
    <w:rsid w:val="00353055"/>
    <w:rsid w:val="00353087"/>
    <w:rsid w:val="0035308B"/>
    <w:rsid w:val="003530B5"/>
    <w:rsid w:val="003530B8"/>
    <w:rsid w:val="003530D4"/>
    <w:rsid w:val="00353109"/>
    <w:rsid w:val="0035317C"/>
    <w:rsid w:val="003531CE"/>
    <w:rsid w:val="00353267"/>
    <w:rsid w:val="0035328B"/>
    <w:rsid w:val="00353294"/>
    <w:rsid w:val="003532F5"/>
    <w:rsid w:val="003532F8"/>
    <w:rsid w:val="00353306"/>
    <w:rsid w:val="00353326"/>
    <w:rsid w:val="0035337D"/>
    <w:rsid w:val="003533E7"/>
    <w:rsid w:val="00353444"/>
    <w:rsid w:val="0035347F"/>
    <w:rsid w:val="003534C6"/>
    <w:rsid w:val="003534FC"/>
    <w:rsid w:val="00353552"/>
    <w:rsid w:val="00353571"/>
    <w:rsid w:val="0035357A"/>
    <w:rsid w:val="0035359E"/>
    <w:rsid w:val="003535C5"/>
    <w:rsid w:val="00353615"/>
    <w:rsid w:val="0035366A"/>
    <w:rsid w:val="0035368C"/>
    <w:rsid w:val="003536A4"/>
    <w:rsid w:val="003536A5"/>
    <w:rsid w:val="003536EF"/>
    <w:rsid w:val="0035370B"/>
    <w:rsid w:val="00353718"/>
    <w:rsid w:val="00353765"/>
    <w:rsid w:val="00353769"/>
    <w:rsid w:val="0035379D"/>
    <w:rsid w:val="003537A8"/>
    <w:rsid w:val="003537C5"/>
    <w:rsid w:val="00353813"/>
    <w:rsid w:val="0035385C"/>
    <w:rsid w:val="0035389B"/>
    <w:rsid w:val="003538A2"/>
    <w:rsid w:val="00353939"/>
    <w:rsid w:val="00353A1E"/>
    <w:rsid w:val="00353A77"/>
    <w:rsid w:val="00353A92"/>
    <w:rsid w:val="00353AF8"/>
    <w:rsid w:val="00353B29"/>
    <w:rsid w:val="00353BA2"/>
    <w:rsid w:val="00353C0C"/>
    <w:rsid w:val="00353C66"/>
    <w:rsid w:val="00353CA9"/>
    <w:rsid w:val="00353CE5"/>
    <w:rsid w:val="00353D00"/>
    <w:rsid w:val="00353D6F"/>
    <w:rsid w:val="00353F12"/>
    <w:rsid w:val="00353F3B"/>
    <w:rsid w:val="00353F88"/>
    <w:rsid w:val="0035405F"/>
    <w:rsid w:val="0035407F"/>
    <w:rsid w:val="00354097"/>
    <w:rsid w:val="0035409D"/>
    <w:rsid w:val="003540FE"/>
    <w:rsid w:val="00354128"/>
    <w:rsid w:val="00354180"/>
    <w:rsid w:val="003541AA"/>
    <w:rsid w:val="003542ED"/>
    <w:rsid w:val="00354394"/>
    <w:rsid w:val="003543C7"/>
    <w:rsid w:val="003543D4"/>
    <w:rsid w:val="003543E5"/>
    <w:rsid w:val="0035443E"/>
    <w:rsid w:val="0035449A"/>
    <w:rsid w:val="00354518"/>
    <w:rsid w:val="0035457A"/>
    <w:rsid w:val="003545D4"/>
    <w:rsid w:val="0035467E"/>
    <w:rsid w:val="00354696"/>
    <w:rsid w:val="003546F7"/>
    <w:rsid w:val="003546F9"/>
    <w:rsid w:val="0035474F"/>
    <w:rsid w:val="00354753"/>
    <w:rsid w:val="0035478B"/>
    <w:rsid w:val="003547EA"/>
    <w:rsid w:val="00354825"/>
    <w:rsid w:val="003548DB"/>
    <w:rsid w:val="00354903"/>
    <w:rsid w:val="00354934"/>
    <w:rsid w:val="00354936"/>
    <w:rsid w:val="003549D1"/>
    <w:rsid w:val="003549D6"/>
    <w:rsid w:val="003549D7"/>
    <w:rsid w:val="00354A6E"/>
    <w:rsid w:val="00354A98"/>
    <w:rsid w:val="00354AC5"/>
    <w:rsid w:val="00354B45"/>
    <w:rsid w:val="00354B73"/>
    <w:rsid w:val="00354C3D"/>
    <w:rsid w:val="00354CF3"/>
    <w:rsid w:val="00354CF7"/>
    <w:rsid w:val="00354D61"/>
    <w:rsid w:val="00354DAA"/>
    <w:rsid w:val="00354E3E"/>
    <w:rsid w:val="00354E4F"/>
    <w:rsid w:val="00354E5D"/>
    <w:rsid w:val="00354F58"/>
    <w:rsid w:val="00354F8D"/>
    <w:rsid w:val="00354FA8"/>
    <w:rsid w:val="00354FC7"/>
    <w:rsid w:val="0035500B"/>
    <w:rsid w:val="0035501F"/>
    <w:rsid w:val="00355035"/>
    <w:rsid w:val="00355052"/>
    <w:rsid w:val="00355081"/>
    <w:rsid w:val="0035515C"/>
    <w:rsid w:val="00355163"/>
    <w:rsid w:val="00355174"/>
    <w:rsid w:val="003551BB"/>
    <w:rsid w:val="003551BE"/>
    <w:rsid w:val="003551E5"/>
    <w:rsid w:val="003551FF"/>
    <w:rsid w:val="00355205"/>
    <w:rsid w:val="0035525E"/>
    <w:rsid w:val="0035528F"/>
    <w:rsid w:val="00355391"/>
    <w:rsid w:val="003553F0"/>
    <w:rsid w:val="003553F7"/>
    <w:rsid w:val="0035543F"/>
    <w:rsid w:val="0035549E"/>
    <w:rsid w:val="0035552F"/>
    <w:rsid w:val="00355588"/>
    <w:rsid w:val="003555FE"/>
    <w:rsid w:val="0035562D"/>
    <w:rsid w:val="00355682"/>
    <w:rsid w:val="003556BB"/>
    <w:rsid w:val="0035575A"/>
    <w:rsid w:val="00355785"/>
    <w:rsid w:val="00355788"/>
    <w:rsid w:val="003557A2"/>
    <w:rsid w:val="0035586B"/>
    <w:rsid w:val="003558A0"/>
    <w:rsid w:val="003558A6"/>
    <w:rsid w:val="00355918"/>
    <w:rsid w:val="00355919"/>
    <w:rsid w:val="00355933"/>
    <w:rsid w:val="00355939"/>
    <w:rsid w:val="0035596C"/>
    <w:rsid w:val="003559A2"/>
    <w:rsid w:val="003559C0"/>
    <w:rsid w:val="003559E4"/>
    <w:rsid w:val="003559F7"/>
    <w:rsid w:val="00355A04"/>
    <w:rsid w:val="00355A99"/>
    <w:rsid w:val="00355AF4"/>
    <w:rsid w:val="00355B18"/>
    <w:rsid w:val="00355B2B"/>
    <w:rsid w:val="00355B32"/>
    <w:rsid w:val="00355BB8"/>
    <w:rsid w:val="00355BCF"/>
    <w:rsid w:val="00355BF8"/>
    <w:rsid w:val="00355C68"/>
    <w:rsid w:val="00355C7C"/>
    <w:rsid w:val="00355C84"/>
    <w:rsid w:val="00355CEE"/>
    <w:rsid w:val="00355D04"/>
    <w:rsid w:val="00355D3F"/>
    <w:rsid w:val="00355DF3"/>
    <w:rsid w:val="00355E15"/>
    <w:rsid w:val="00355E82"/>
    <w:rsid w:val="00355EC1"/>
    <w:rsid w:val="00355EC6"/>
    <w:rsid w:val="00355EEF"/>
    <w:rsid w:val="00355F89"/>
    <w:rsid w:val="00355FF2"/>
    <w:rsid w:val="0035602E"/>
    <w:rsid w:val="00356057"/>
    <w:rsid w:val="0035609A"/>
    <w:rsid w:val="003560AE"/>
    <w:rsid w:val="00356112"/>
    <w:rsid w:val="0035627A"/>
    <w:rsid w:val="003562AB"/>
    <w:rsid w:val="003562DA"/>
    <w:rsid w:val="00356307"/>
    <w:rsid w:val="00356335"/>
    <w:rsid w:val="00356375"/>
    <w:rsid w:val="00356378"/>
    <w:rsid w:val="0035637E"/>
    <w:rsid w:val="003563B1"/>
    <w:rsid w:val="003563D7"/>
    <w:rsid w:val="00356407"/>
    <w:rsid w:val="003564F5"/>
    <w:rsid w:val="0035650D"/>
    <w:rsid w:val="0035652A"/>
    <w:rsid w:val="0035655C"/>
    <w:rsid w:val="003565DA"/>
    <w:rsid w:val="003565E3"/>
    <w:rsid w:val="00356638"/>
    <w:rsid w:val="0035663B"/>
    <w:rsid w:val="0035663F"/>
    <w:rsid w:val="00356695"/>
    <w:rsid w:val="0035675A"/>
    <w:rsid w:val="0035679D"/>
    <w:rsid w:val="0035679E"/>
    <w:rsid w:val="003567B1"/>
    <w:rsid w:val="0035687C"/>
    <w:rsid w:val="003568A4"/>
    <w:rsid w:val="003568C4"/>
    <w:rsid w:val="0035695D"/>
    <w:rsid w:val="003569EE"/>
    <w:rsid w:val="00356A33"/>
    <w:rsid w:val="00356A46"/>
    <w:rsid w:val="00356A81"/>
    <w:rsid w:val="00356ABF"/>
    <w:rsid w:val="00356AEA"/>
    <w:rsid w:val="00356AEC"/>
    <w:rsid w:val="00356B50"/>
    <w:rsid w:val="00356B6D"/>
    <w:rsid w:val="00356BCE"/>
    <w:rsid w:val="00356BE6"/>
    <w:rsid w:val="00356BF3"/>
    <w:rsid w:val="00356C02"/>
    <w:rsid w:val="00356C37"/>
    <w:rsid w:val="00356C66"/>
    <w:rsid w:val="00356C98"/>
    <w:rsid w:val="00356D2E"/>
    <w:rsid w:val="00356D3E"/>
    <w:rsid w:val="00356D65"/>
    <w:rsid w:val="00356E12"/>
    <w:rsid w:val="00356E41"/>
    <w:rsid w:val="00356E78"/>
    <w:rsid w:val="00356E87"/>
    <w:rsid w:val="00356F19"/>
    <w:rsid w:val="00356FC4"/>
    <w:rsid w:val="00357081"/>
    <w:rsid w:val="003570C1"/>
    <w:rsid w:val="00357165"/>
    <w:rsid w:val="00357197"/>
    <w:rsid w:val="003571E5"/>
    <w:rsid w:val="0035722A"/>
    <w:rsid w:val="00357241"/>
    <w:rsid w:val="0035726C"/>
    <w:rsid w:val="00357299"/>
    <w:rsid w:val="003572F5"/>
    <w:rsid w:val="0035739B"/>
    <w:rsid w:val="003573B0"/>
    <w:rsid w:val="00357407"/>
    <w:rsid w:val="003574CF"/>
    <w:rsid w:val="00357552"/>
    <w:rsid w:val="003575C6"/>
    <w:rsid w:val="003575CC"/>
    <w:rsid w:val="003576DF"/>
    <w:rsid w:val="00357750"/>
    <w:rsid w:val="0035777D"/>
    <w:rsid w:val="00357799"/>
    <w:rsid w:val="003577AE"/>
    <w:rsid w:val="00357800"/>
    <w:rsid w:val="003578DD"/>
    <w:rsid w:val="00357944"/>
    <w:rsid w:val="003579D6"/>
    <w:rsid w:val="003579D8"/>
    <w:rsid w:val="00357A0A"/>
    <w:rsid w:val="00357AF2"/>
    <w:rsid w:val="00357B43"/>
    <w:rsid w:val="00357B54"/>
    <w:rsid w:val="00357B82"/>
    <w:rsid w:val="00357BB4"/>
    <w:rsid w:val="00357BB5"/>
    <w:rsid w:val="00357BB9"/>
    <w:rsid w:val="00357BFC"/>
    <w:rsid w:val="00357C10"/>
    <w:rsid w:val="00357C72"/>
    <w:rsid w:val="00357C81"/>
    <w:rsid w:val="00357C9C"/>
    <w:rsid w:val="00357D0A"/>
    <w:rsid w:val="00357D32"/>
    <w:rsid w:val="00357D44"/>
    <w:rsid w:val="00357DB1"/>
    <w:rsid w:val="00357DBD"/>
    <w:rsid w:val="00357DF3"/>
    <w:rsid w:val="00357E2B"/>
    <w:rsid w:val="00357E86"/>
    <w:rsid w:val="00357E98"/>
    <w:rsid w:val="00357E99"/>
    <w:rsid w:val="00357F36"/>
    <w:rsid w:val="00357F4B"/>
    <w:rsid w:val="00360108"/>
    <w:rsid w:val="00360178"/>
    <w:rsid w:val="003601C3"/>
    <w:rsid w:val="0036024B"/>
    <w:rsid w:val="00360284"/>
    <w:rsid w:val="003602F1"/>
    <w:rsid w:val="00360332"/>
    <w:rsid w:val="00360388"/>
    <w:rsid w:val="003603C6"/>
    <w:rsid w:val="00360465"/>
    <w:rsid w:val="003604A9"/>
    <w:rsid w:val="00360552"/>
    <w:rsid w:val="0036058E"/>
    <w:rsid w:val="0036059F"/>
    <w:rsid w:val="00360608"/>
    <w:rsid w:val="00360619"/>
    <w:rsid w:val="003606A3"/>
    <w:rsid w:val="003606DF"/>
    <w:rsid w:val="00360747"/>
    <w:rsid w:val="0036074F"/>
    <w:rsid w:val="003607B3"/>
    <w:rsid w:val="00360826"/>
    <w:rsid w:val="003608A3"/>
    <w:rsid w:val="003608C5"/>
    <w:rsid w:val="00360957"/>
    <w:rsid w:val="00360975"/>
    <w:rsid w:val="003609AC"/>
    <w:rsid w:val="003609DE"/>
    <w:rsid w:val="00360A51"/>
    <w:rsid w:val="00360AA7"/>
    <w:rsid w:val="00360AAD"/>
    <w:rsid w:val="00360B2B"/>
    <w:rsid w:val="00360B4F"/>
    <w:rsid w:val="00360B5A"/>
    <w:rsid w:val="00360B5B"/>
    <w:rsid w:val="00360B5D"/>
    <w:rsid w:val="00360B71"/>
    <w:rsid w:val="00360C4C"/>
    <w:rsid w:val="00360C58"/>
    <w:rsid w:val="00360C6D"/>
    <w:rsid w:val="00360CBA"/>
    <w:rsid w:val="00360CF3"/>
    <w:rsid w:val="00360CFE"/>
    <w:rsid w:val="00360D16"/>
    <w:rsid w:val="00360D21"/>
    <w:rsid w:val="00360E82"/>
    <w:rsid w:val="00360EA3"/>
    <w:rsid w:val="00360EE4"/>
    <w:rsid w:val="00360FA5"/>
    <w:rsid w:val="00360FAD"/>
    <w:rsid w:val="00360FB3"/>
    <w:rsid w:val="00360FDC"/>
    <w:rsid w:val="00360FF0"/>
    <w:rsid w:val="003610DA"/>
    <w:rsid w:val="00361136"/>
    <w:rsid w:val="0036113E"/>
    <w:rsid w:val="00361179"/>
    <w:rsid w:val="00361206"/>
    <w:rsid w:val="0036130F"/>
    <w:rsid w:val="00361376"/>
    <w:rsid w:val="00361436"/>
    <w:rsid w:val="0036147A"/>
    <w:rsid w:val="003615B5"/>
    <w:rsid w:val="00361606"/>
    <w:rsid w:val="0036165E"/>
    <w:rsid w:val="003616B4"/>
    <w:rsid w:val="00361719"/>
    <w:rsid w:val="00361725"/>
    <w:rsid w:val="00361797"/>
    <w:rsid w:val="003617D9"/>
    <w:rsid w:val="003617EF"/>
    <w:rsid w:val="00361814"/>
    <w:rsid w:val="00361855"/>
    <w:rsid w:val="00361945"/>
    <w:rsid w:val="00361954"/>
    <w:rsid w:val="003619B5"/>
    <w:rsid w:val="00361A3F"/>
    <w:rsid w:val="00361A44"/>
    <w:rsid w:val="00361A9D"/>
    <w:rsid w:val="00361AFD"/>
    <w:rsid w:val="00361B76"/>
    <w:rsid w:val="00361BA0"/>
    <w:rsid w:val="00361D28"/>
    <w:rsid w:val="00361D73"/>
    <w:rsid w:val="00361E3E"/>
    <w:rsid w:val="00361E4A"/>
    <w:rsid w:val="00361EA5"/>
    <w:rsid w:val="00361EDA"/>
    <w:rsid w:val="00361F5A"/>
    <w:rsid w:val="00361F96"/>
    <w:rsid w:val="00361F9B"/>
    <w:rsid w:val="00361FAE"/>
    <w:rsid w:val="00362062"/>
    <w:rsid w:val="00362068"/>
    <w:rsid w:val="0036209A"/>
    <w:rsid w:val="00362150"/>
    <w:rsid w:val="0036221A"/>
    <w:rsid w:val="00362297"/>
    <w:rsid w:val="003622C3"/>
    <w:rsid w:val="003622F3"/>
    <w:rsid w:val="003622FC"/>
    <w:rsid w:val="00362310"/>
    <w:rsid w:val="0036237F"/>
    <w:rsid w:val="003623C1"/>
    <w:rsid w:val="003623D4"/>
    <w:rsid w:val="00362415"/>
    <w:rsid w:val="00362430"/>
    <w:rsid w:val="00362441"/>
    <w:rsid w:val="0036244D"/>
    <w:rsid w:val="0036249D"/>
    <w:rsid w:val="00362532"/>
    <w:rsid w:val="00362550"/>
    <w:rsid w:val="003625B0"/>
    <w:rsid w:val="00362613"/>
    <w:rsid w:val="00362686"/>
    <w:rsid w:val="0036269D"/>
    <w:rsid w:val="003626B7"/>
    <w:rsid w:val="0036272A"/>
    <w:rsid w:val="0036276F"/>
    <w:rsid w:val="0036278A"/>
    <w:rsid w:val="003627B0"/>
    <w:rsid w:val="003627E6"/>
    <w:rsid w:val="0036281D"/>
    <w:rsid w:val="00362828"/>
    <w:rsid w:val="0036286B"/>
    <w:rsid w:val="0036291C"/>
    <w:rsid w:val="0036291E"/>
    <w:rsid w:val="00362929"/>
    <w:rsid w:val="00362931"/>
    <w:rsid w:val="003629CF"/>
    <w:rsid w:val="00362A09"/>
    <w:rsid w:val="00362A7A"/>
    <w:rsid w:val="00362A8E"/>
    <w:rsid w:val="00362ABA"/>
    <w:rsid w:val="00362B10"/>
    <w:rsid w:val="00362B6E"/>
    <w:rsid w:val="00362B8D"/>
    <w:rsid w:val="00362BFB"/>
    <w:rsid w:val="00362C6C"/>
    <w:rsid w:val="00362C85"/>
    <w:rsid w:val="00362C95"/>
    <w:rsid w:val="00362CB5"/>
    <w:rsid w:val="00362D38"/>
    <w:rsid w:val="00362DB9"/>
    <w:rsid w:val="00362E37"/>
    <w:rsid w:val="00362E3D"/>
    <w:rsid w:val="00362E82"/>
    <w:rsid w:val="00362EF8"/>
    <w:rsid w:val="00362F0D"/>
    <w:rsid w:val="00362F51"/>
    <w:rsid w:val="00362F55"/>
    <w:rsid w:val="00362F61"/>
    <w:rsid w:val="00362F73"/>
    <w:rsid w:val="00362F92"/>
    <w:rsid w:val="00362FBA"/>
    <w:rsid w:val="00362FE4"/>
    <w:rsid w:val="00362FF1"/>
    <w:rsid w:val="003630E9"/>
    <w:rsid w:val="00363150"/>
    <w:rsid w:val="00363159"/>
    <w:rsid w:val="00363162"/>
    <w:rsid w:val="00363169"/>
    <w:rsid w:val="00363191"/>
    <w:rsid w:val="003631A4"/>
    <w:rsid w:val="0036321B"/>
    <w:rsid w:val="003632EA"/>
    <w:rsid w:val="00363354"/>
    <w:rsid w:val="003633A3"/>
    <w:rsid w:val="003633DA"/>
    <w:rsid w:val="0036343E"/>
    <w:rsid w:val="003634AB"/>
    <w:rsid w:val="003634D7"/>
    <w:rsid w:val="003634DB"/>
    <w:rsid w:val="00363500"/>
    <w:rsid w:val="00363523"/>
    <w:rsid w:val="00363547"/>
    <w:rsid w:val="003635AF"/>
    <w:rsid w:val="003635D7"/>
    <w:rsid w:val="0036362F"/>
    <w:rsid w:val="00363660"/>
    <w:rsid w:val="003636BA"/>
    <w:rsid w:val="0036377D"/>
    <w:rsid w:val="00363893"/>
    <w:rsid w:val="003638B7"/>
    <w:rsid w:val="00363933"/>
    <w:rsid w:val="003639EF"/>
    <w:rsid w:val="003639FD"/>
    <w:rsid w:val="00363A26"/>
    <w:rsid w:val="00363A67"/>
    <w:rsid w:val="00363A7B"/>
    <w:rsid w:val="00363AD6"/>
    <w:rsid w:val="00363ADE"/>
    <w:rsid w:val="00363B15"/>
    <w:rsid w:val="00363B92"/>
    <w:rsid w:val="00363C64"/>
    <w:rsid w:val="00363CD3"/>
    <w:rsid w:val="00363D1D"/>
    <w:rsid w:val="00363E5D"/>
    <w:rsid w:val="00363F24"/>
    <w:rsid w:val="00363FB8"/>
    <w:rsid w:val="00363FD0"/>
    <w:rsid w:val="00364010"/>
    <w:rsid w:val="00364071"/>
    <w:rsid w:val="00364139"/>
    <w:rsid w:val="00364166"/>
    <w:rsid w:val="00364199"/>
    <w:rsid w:val="0036419F"/>
    <w:rsid w:val="003641AD"/>
    <w:rsid w:val="00364226"/>
    <w:rsid w:val="00364232"/>
    <w:rsid w:val="003642A6"/>
    <w:rsid w:val="003642D4"/>
    <w:rsid w:val="003642E0"/>
    <w:rsid w:val="0036445D"/>
    <w:rsid w:val="0036446E"/>
    <w:rsid w:val="00364479"/>
    <w:rsid w:val="00364500"/>
    <w:rsid w:val="00364501"/>
    <w:rsid w:val="00364534"/>
    <w:rsid w:val="0036454B"/>
    <w:rsid w:val="00364575"/>
    <w:rsid w:val="003645B3"/>
    <w:rsid w:val="003645C1"/>
    <w:rsid w:val="003645FB"/>
    <w:rsid w:val="0036461E"/>
    <w:rsid w:val="0036462A"/>
    <w:rsid w:val="00364655"/>
    <w:rsid w:val="00364684"/>
    <w:rsid w:val="00364815"/>
    <w:rsid w:val="00364886"/>
    <w:rsid w:val="003648DE"/>
    <w:rsid w:val="003648F6"/>
    <w:rsid w:val="0036492F"/>
    <w:rsid w:val="0036493E"/>
    <w:rsid w:val="00364966"/>
    <w:rsid w:val="0036499B"/>
    <w:rsid w:val="003649CE"/>
    <w:rsid w:val="00364A5A"/>
    <w:rsid w:val="00364AC3"/>
    <w:rsid w:val="00364AFB"/>
    <w:rsid w:val="00364B6C"/>
    <w:rsid w:val="00364B98"/>
    <w:rsid w:val="00364C1A"/>
    <w:rsid w:val="00364C2F"/>
    <w:rsid w:val="00364C3D"/>
    <w:rsid w:val="00364CAB"/>
    <w:rsid w:val="00364D41"/>
    <w:rsid w:val="00364DE6"/>
    <w:rsid w:val="00364E1C"/>
    <w:rsid w:val="00364E29"/>
    <w:rsid w:val="00364E95"/>
    <w:rsid w:val="00364EB3"/>
    <w:rsid w:val="00364EC9"/>
    <w:rsid w:val="00364ED0"/>
    <w:rsid w:val="00364F22"/>
    <w:rsid w:val="00364F6D"/>
    <w:rsid w:val="00364F70"/>
    <w:rsid w:val="00364FBD"/>
    <w:rsid w:val="00364FC7"/>
    <w:rsid w:val="00364FE2"/>
    <w:rsid w:val="0036508A"/>
    <w:rsid w:val="003650D4"/>
    <w:rsid w:val="00365114"/>
    <w:rsid w:val="0036515D"/>
    <w:rsid w:val="003651B4"/>
    <w:rsid w:val="003651D7"/>
    <w:rsid w:val="00365213"/>
    <w:rsid w:val="00365278"/>
    <w:rsid w:val="00365284"/>
    <w:rsid w:val="0036528E"/>
    <w:rsid w:val="00365325"/>
    <w:rsid w:val="0036534D"/>
    <w:rsid w:val="00365398"/>
    <w:rsid w:val="003653F6"/>
    <w:rsid w:val="00365452"/>
    <w:rsid w:val="00365491"/>
    <w:rsid w:val="003654B8"/>
    <w:rsid w:val="003654C7"/>
    <w:rsid w:val="00365502"/>
    <w:rsid w:val="00365571"/>
    <w:rsid w:val="0036560F"/>
    <w:rsid w:val="003656C2"/>
    <w:rsid w:val="003656FB"/>
    <w:rsid w:val="00365736"/>
    <w:rsid w:val="00365779"/>
    <w:rsid w:val="003657EA"/>
    <w:rsid w:val="00365808"/>
    <w:rsid w:val="0036581C"/>
    <w:rsid w:val="00365824"/>
    <w:rsid w:val="00365850"/>
    <w:rsid w:val="0036586A"/>
    <w:rsid w:val="0036586C"/>
    <w:rsid w:val="003658A8"/>
    <w:rsid w:val="003658C9"/>
    <w:rsid w:val="00365910"/>
    <w:rsid w:val="003659E2"/>
    <w:rsid w:val="00365A18"/>
    <w:rsid w:val="00365A47"/>
    <w:rsid w:val="00365AC3"/>
    <w:rsid w:val="00365B4C"/>
    <w:rsid w:val="00365B72"/>
    <w:rsid w:val="00365B8A"/>
    <w:rsid w:val="00365B9B"/>
    <w:rsid w:val="00365C32"/>
    <w:rsid w:val="00365C92"/>
    <w:rsid w:val="00365C99"/>
    <w:rsid w:val="00365CFB"/>
    <w:rsid w:val="00365D94"/>
    <w:rsid w:val="00365EC5"/>
    <w:rsid w:val="00365F8A"/>
    <w:rsid w:val="00365FC1"/>
    <w:rsid w:val="00365FD1"/>
    <w:rsid w:val="00365FF1"/>
    <w:rsid w:val="0036602D"/>
    <w:rsid w:val="00366090"/>
    <w:rsid w:val="0036609A"/>
    <w:rsid w:val="003660E6"/>
    <w:rsid w:val="003661B1"/>
    <w:rsid w:val="00366262"/>
    <w:rsid w:val="00366263"/>
    <w:rsid w:val="003662AF"/>
    <w:rsid w:val="003662CF"/>
    <w:rsid w:val="003662F0"/>
    <w:rsid w:val="00366305"/>
    <w:rsid w:val="0036633A"/>
    <w:rsid w:val="003663BE"/>
    <w:rsid w:val="003663E0"/>
    <w:rsid w:val="0036641E"/>
    <w:rsid w:val="00366432"/>
    <w:rsid w:val="00366446"/>
    <w:rsid w:val="00366463"/>
    <w:rsid w:val="003664FC"/>
    <w:rsid w:val="0036659D"/>
    <w:rsid w:val="003665B7"/>
    <w:rsid w:val="003665C2"/>
    <w:rsid w:val="003665E3"/>
    <w:rsid w:val="0036668E"/>
    <w:rsid w:val="003666A5"/>
    <w:rsid w:val="003666B1"/>
    <w:rsid w:val="003666F1"/>
    <w:rsid w:val="0036672D"/>
    <w:rsid w:val="0036673B"/>
    <w:rsid w:val="0036673C"/>
    <w:rsid w:val="0036675C"/>
    <w:rsid w:val="00366776"/>
    <w:rsid w:val="0036679B"/>
    <w:rsid w:val="0036679D"/>
    <w:rsid w:val="003667EF"/>
    <w:rsid w:val="00366805"/>
    <w:rsid w:val="00366927"/>
    <w:rsid w:val="00366953"/>
    <w:rsid w:val="00366978"/>
    <w:rsid w:val="003669C4"/>
    <w:rsid w:val="003669E6"/>
    <w:rsid w:val="00366A2B"/>
    <w:rsid w:val="00366A48"/>
    <w:rsid w:val="00366AF0"/>
    <w:rsid w:val="00366B54"/>
    <w:rsid w:val="00366B75"/>
    <w:rsid w:val="00366B84"/>
    <w:rsid w:val="00366BDC"/>
    <w:rsid w:val="00366C13"/>
    <w:rsid w:val="00366C3F"/>
    <w:rsid w:val="00366C68"/>
    <w:rsid w:val="00366C73"/>
    <w:rsid w:val="00366C98"/>
    <w:rsid w:val="00366C9B"/>
    <w:rsid w:val="00366CE9"/>
    <w:rsid w:val="00366E61"/>
    <w:rsid w:val="00366E64"/>
    <w:rsid w:val="00366EB8"/>
    <w:rsid w:val="00366EBB"/>
    <w:rsid w:val="00366EDD"/>
    <w:rsid w:val="00366F0B"/>
    <w:rsid w:val="00366F13"/>
    <w:rsid w:val="00366F35"/>
    <w:rsid w:val="00366F3F"/>
    <w:rsid w:val="00366FFE"/>
    <w:rsid w:val="00367015"/>
    <w:rsid w:val="00367030"/>
    <w:rsid w:val="0036712D"/>
    <w:rsid w:val="0036716B"/>
    <w:rsid w:val="00367190"/>
    <w:rsid w:val="003671A9"/>
    <w:rsid w:val="003671C4"/>
    <w:rsid w:val="003671CC"/>
    <w:rsid w:val="003672E1"/>
    <w:rsid w:val="0036731A"/>
    <w:rsid w:val="0036732B"/>
    <w:rsid w:val="003673DE"/>
    <w:rsid w:val="00367416"/>
    <w:rsid w:val="00367463"/>
    <w:rsid w:val="003674A9"/>
    <w:rsid w:val="003675C0"/>
    <w:rsid w:val="003675E0"/>
    <w:rsid w:val="0036761F"/>
    <w:rsid w:val="00367656"/>
    <w:rsid w:val="0036766A"/>
    <w:rsid w:val="00367698"/>
    <w:rsid w:val="003676A4"/>
    <w:rsid w:val="0036770C"/>
    <w:rsid w:val="0036772F"/>
    <w:rsid w:val="00367755"/>
    <w:rsid w:val="003677A0"/>
    <w:rsid w:val="0036781C"/>
    <w:rsid w:val="00367876"/>
    <w:rsid w:val="003678B9"/>
    <w:rsid w:val="003678DB"/>
    <w:rsid w:val="00367909"/>
    <w:rsid w:val="00367980"/>
    <w:rsid w:val="00367A31"/>
    <w:rsid w:val="00367A4C"/>
    <w:rsid w:val="00367A81"/>
    <w:rsid w:val="00367B1C"/>
    <w:rsid w:val="00367BB6"/>
    <w:rsid w:val="00367BBD"/>
    <w:rsid w:val="00367C9C"/>
    <w:rsid w:val="00367CCE"/>
    <w:rsid w:val="00367D92"/>
    <w:rsid w:val="00367DD5"/>
    <w:rsid w:val="00367DEB"/>
    <w:rsid w:val="00367E66"/>
    <w:rsid w:val="00367E7F"/>
    <w:rsid w:val="00367ED3"/>
    <w:rsid w:val="00367ED8"/>
    <w:rsid w:val="00367F1C"/>
    <w:rsid w:val="00367F31"/>
    <w:rsid w:val="00367F33"/>
    <w:rsid w:val="00367F44"/>
    <w:rsid w:val="00367F7F"/>
    <w:rsid w:val="00367FC4"/>
    <w:rsid w:val="00367FFD"/>
    <w:rsid w:val="00370016"/>
    <w:rsid w:val="0037001A"/>
    <w:rsid w:val="00370095"/>
    <w:rsid w:val="003700E5"/>
    <w:rsid w:val="003701B9"/>
    <w:rsid w:val="003701C2"/>
    <w:rsid w:val="003701D6"/>
    <w:rsid w:val="0037020D"/>
    <w:rsid w:val="003702AB"/>
    <w:rsid w:val="003702AE"/>
    <w:rsid w:val="003702DC"/>
    <w:rsid w:val="0037032C"/>
    <w:rsid w:val="003703BE"/>
    <w:rsid w:val="00370420"/>
    <w:rsid w:val="00370449"/>
    <w:rsid w:val="003704A2"/>
    <w:rsid w:val="00370508"/>
    <w:rsid w:val="00370527"/>
    <w:rsid w:val="00370539"/>
    <w:rsid w:val="0037055F"/>
    <w:rsid w:val="0037058D"/>
    <w:rsid w:val="003705A2"/>
    <w:rsid w:val="00370623"/>
    <w:rsid w:val="0037063B"/>
    <w:rsid w:val="00370647"/>
    <w:rsid w:val="00370688"/>
    <w:rsid w:val="00370692"/>
    <w:rsid w:val="00370698"/>
    <w:rsid w:val="003706EA"/>
    <w:rsid w:val="0037073F"/>
    <w:rsid w:val="00370773"/>
    <w:rsid w:val="00370774"/>
    <w:rsid w:val="003707A7"/>
    <w:rsid w:val="003707AE"/>
    <w:rsid w:val="003707D3"/>
    <w:rsid w:val="003707E9"/>
    <w:rsid w:val="0037093D"/>
    <w:rsid w:val="003709CD"/>
    <w:rsid w:val="003709FB"/>
    <w:rsid w:val="00370AE4"/>
    <w:rsid w:val="00370B00"/>
    <w:rsid w:val="00370B5F"/>
    <w:rsid w:val="00370BCD"/>
    <w:rsid w:val="00370BFD"/>
    <w:rsid w:val="00370C04"/>
    <w:rsid w:val="00370C1F"/>
    <w:rsid w:val="00370C77"/>
    <w:rsid w:val="00370CBA"/>
    <w:rsid w:val="00370CEB"/>
    <w:rsid w:val="00370D44"/>
    <w:rsid w:val="00370D5D"/>
    <w:rsid w:val="00370E21"/>
    <w:rsid w:val="00370EC7"/>
    <w:rsid w:val="00370EEF"/>
    <w:rsid w:val="00370EF9"/>
    <w:rsid w:val="00370F03"/>
    <w:rsid w:val="00370F29"/>
    <w:rsid w:val="00370F35"/>
    <w:rsid w:val="00370F8C"/>
    <w:rsid w:val="00370FAC"/>
    <w:rsid w:val="00370FCE"/>
    <w:rsid w:val="00370FFB"/>
    <w:rsid w:val="00371041"/>
    <w:rsid w:val="00371091"/>
    <w:rsid w:val="003710B3"/>
    <w:rsid w:val="003710B8"/>
    <w:rsid w:val="003710E6"/>
    <w:rsid w:val="00371117"/>
    <w:rsid w:val="00371138"/>
    <w:rsid w:val="003711F4"/>
    <w:rsid w:val="00371203"/>
    <w:rsid w:val="0037123F"/>
    <w:rsid w:val="003712BE"/>
    <w:rsid w:val="003712E8"/>
    <w:rsid w:val="0037130C"/>
    <w:rsid w:val="003713AD"/>
    <w:rsid w:val="003713F5"/>
    <w:rsid w:val="00371445"/>
    <w:rsid w:val="00371452"/>
    <w:rsid w:val="00371469"/>
    <w:rsid w:val="003714A2"/>
    <w:rsid w:val="003714F0"/>
    <w:rsid w:val="00371542"/>
    <w:rsid w:val="003715CF"/>
    <w:rsid w:val="003715E4"/>
    <w:rsid w:val="003716C1"/>
    <w:rsid w:val="003716EB"/>
    <w:rsid w:val="0037172A"/>
    <w:rsid w:val="003717BA"/>
    <w:rsid w:val="003717CF"/>
    <w:rsid w:val="003717E4"/>
    <w:rsid w:val="0037180D"/>
    <w:rsid w:val="0037181C"/>
    <w:rsid w:val="0037184C"/>
    <w:rsid w:val="00371896"/>
    <w:rsid w:val="0037189E"/>
    <w:rsid w:val="003718D7"/>
    <w:rsid w:val="003718DE"/>
    <w:rsid w:val="003718F5"/>
    <w:rsid w:val="00371917"/>
    <w:rsid w:val="003719B0"/>
    <w:rsid w:val="00371A06"/>
    <w:rsid w:val="00371A16"/>
    <w:rsid w:val="00371A1A"/>
    <w:rsid w:val="00371AD0"/>
    <w:rsid w:val="00371B07"/>
    <w:rsid w:val="00371B87"/>
    <w:rsid w:val="00371B9D"/>
    <w:rsid w:val="00371BA4"/>
    <w:rsid w:val="00371BB6"/>
    <w:rsid w:val="00371BBD"/>
    <w:rsid w:val="00371BC3"/>
    <w:rsid w:val="00371C4B"/>
    <w:rsid w:val="00371C60"/>
    <w:rsid w:val="00371CF4"/>
    <w:rsid w:val="00371CF6"/>
    <w:rsid w:val="00371DDA"/>
    <w:rsid w:val="00371EFA"/>
    <w:rsid w:val="00371F11"/>
    <w:rsid w:val="00371F33"/>
    <w:rsid w:val="00371F94"/>
    <w:rsid w:val="00371FA2"/>
    <w:rsid w:val="00371FC1"/>
    <w:rsid w:val="0037201E"/>
    <w:rsid w:val="0037201F"/>
    <w:rsid w:val="00372119"/>
    <w:rsid w:val="0037213E"/>
    <w:rsid w:val="003721A0"/>
    <w:rsid w:val="00372272"/>
    <w:rsid w:val="00372279"/>
    <w:rsid w:val="003722B4"/>
    <w:rsid w:val="003722ED"/>
    <w:rsid w:val="00372359"/>
    <w:rsid w:val="0037236B"/>
    <w:rsid w:val="00372391"/>
    <w:rsid w:val="003723D5"/>
    <w:rsid w:val="0037243B"/>
    <w:rsid w:val="00372453"/>
    <w:rsid w:val="00372491"/>
    <w:rsid w:val="003724C1"/>
    <w:rsid w:val="003724CD"/>
    <w:rsid w:val="003724DB"/>
    <w:rsid w:val="003724E2"/>
    <w:rsid w:val="00372524"/>
    <w:rsid w:val="0037252E"/>
    <w:rsid w:val="0037253B"/>
    <w:rsid w:val="00372580"/>
    <w:rsid w:val="003725BD"/>
    <w:rsid w:val="003725EB"/>
    <w:rsid w:val="00372649"/>
    <w:rsid w:val="00372674"/>
    <w:rsid w:val="003726CB"/>
    <w:rsid w:val="00372722"/>
    <w:rsid w:val="00372741"/>
    <w:rsid w:val="00372782"/>
    <w:rsid w:val="00372888"/>
    <w:rsid w:val="003728AF"/>
    <w:rsid w:val="003728B1"/>
    <w:rsid w:val="003729B3"/>
    <w:rsid w:val="003729D2"/>
    <w:rsid w:val="00372A2B"/>
    <w:rsid w:val="00372AAD"/>
    <w:rsid w:val="00372AE0"/>
    <w:rsid w:val="00372B03"/>
    <w:rsid w:val="00372B29"/>
    <w:rsid w:val="00372B52"/>
    <w:rsid w:val="00372BC2"/>
    <w:rsid w:val="00372BCD"/>
    <w:rsid w:val="00372C2B"/>
    <w:rsid w:val="00372CA4"/>
    <w:rsid w:val="00372D27"/>
    <w:rsid w:val="00372D33"/>
    <w:rsid w:val="00372DF1"/>
    <w:rsid w:val="00372E2D"/>
    <w:rsid w:val="00372ED6"/>
    <w:rsid w:val="00372F2B"/>
    <w:rsid w:val="00372F69"/>
    <w:rsid w:val="00372FB5"/>
    <w:rsid w:val="00372FC3"/>
    <w:rsid w:val="00372FF8"/>
    <w:rsid w:val="00373099"/>
    <w:rsid w:val="003730F6"/>
    <w:rsid w:val="00373115"/>
    <w:rsid w:val="0037311D"/>
    <w:rsid w:val="003731CE"/>
    <w:rsid w:val="00373214"/>
    <w:rsid w:val="00373265"/>
    <w:rsid w:val="003732B6"/>
    <w:rsid w:val="00373325"/>
    <w:rsid w:val="00373328"/>
    <w:rsid w:val="00373378"/>
    <w:rsid w:val="003733C5"/>
    <w:rsid w:val="003733EC"/>
    <w:rsid w:val="00373426"/>
    <w:rsid w:val="0037348E"/>
    <w:rsid w:val="003734F5"/>
    <w:rsid w:val="003734FC"/>
    <w:rsid w:val="00373513"/>
    <w:rsid w:val="0037351B"/>
    <w:rsid w:val="0037352A"/>
    <w:rsid w:val="00373550"/>
    <w:rsid w:val="003735CE"/>
    <w:rsid w:val="003736E7"/>
    <w:rsid w:val="00373709"/>
    <w:rsid w:val="0037370D"/>
    <w:rsid w:val="00373760"/>
    <w:rsid w:val="003737D1"/>
    <w:rsid w:val="00373801"/>
    <w:rsid w:val="0037381C"/>
    <w:rsid w:val="0037382E"/>
    <w:rsid w:val="00373877"/>
    <w:rsid w:val="003738A9"/>
    <w:rsid w:val="0037393F"/>
    <w:rsid w:val="0037394F"/>
    <w:rsid w:val="00373979"/>
    <w:rsid w:val="003739CE"/>
    <w:rsid w:val="003739F2"/>
    <w:rsid w:val="00373A2F"/>
    <w:rsid w:val="00373A72"/>
    <w:rsid w:val="00373AB1"/>
    <w:rsid w:val="00373B15"/>
    <w:rsid w:val="00373B37"/>
    <w:rsid w:val="00373B58"/>
    <w:rsid w:val="00373B60"/>
    <w:rsid w:val="00373B6B"/>
    <w:rsid w:val="00373B8E"/>
    <w:rsid w:val="00373C59"/>
    <w:rsid w:val="00373C8E"/>
    <w:rsid w:val="00373CB2"/>
    <w:rsid w:val="00373CD0"/>
    <w:rsid w:val="00373DBA"/>
    <w:rsid w:val="00373DCD"/>
    <w:rsid w:val="00373E17"/>
    <w:rsid w:val="00373E7B"/>
    <w:rsid w:val="00373E81"/>
    <w:rsid w:val="00373F48"/>
    <w:rsid w:val="00373F6E"/>
    <w:rsid w:val="00373F77"/>
    <w:rsid w:val="00373FB9"/>
    <w:rsid w:val="00374108"/>
    <w:rsid w:val="0037410B"/>
    <w:rsid w:val="00374129"/>
    <w:rsid w:val="0037416A"/>
    <w:rsid w:val="0037416C"/>
    <w:rsid w:val="003741BD"/>
    <w:rsid w:val="0037424C"/>
    <w:rsid w:val="00374281"/>
    <w:rsid w:val="003742E6"/>
    <w:rsid w:val="003742F3"/>
    <w:rsid w:val="00374369"/>
    <w:rsid w:val="003743B2"/>
    <w:rsid w:val="003744F8"/>
    <w:rsid w:val="003744FF"/>
    <w:rsid w:val="00374526"/>
    <w:rsid w:val="0037453F"/>
    <w:rsid w:val="0037457C"/>
    <w:rsid w:val="003745D7"/>
    <w:rsid w:val="0037464E"/>
    <w:rsid w:val="00374684"/>
    <w:rsid w:val="0037469B"/>
    <w:rsid w:val="003746AC"/>
    <w:rsid w:val="00374738"/>
    <w:rsid w:val="0037478F"/>
    <w:rsid w:val="003747F8"/>
    <w:rsid w:val="0037487A"/>
    <w:rsid w:val="00374952"/>
    <w:rsid w:val="00374994"/>
    <w:rsid w:val="003749C8"/>
    <w:rsid w:val="00374A74"/>
    <w:rsid w:val="00374C1A"/>
    <w:rsid w:val="00374C7D"/>
    <w:rsid w:val="00374CC9"/>
    <w:rsid w:val="00374CD9"/>
    <w:rsid w:val="00374CFF"/>
    <w:rsid w:val="00374D03"/>
    <w:rsid w:val="00374D26"/>
    <w:rsid w:val="00374D2E"/>
    <w:rsid w:val="00374D32"/>
    <w:rsid w:val="00374D4E"/>
    <w:rsid w:val="00374D63"/>
    <w:rsid w:val="00374D6E"/>
    <w:rsid w:val="00374DCA"/>
    <w:rsid w:val="00374DCE"/>
    <w:rsid w:val="00374E9E"/>
    <w:rsid w:val="00374EB4"/>
    <w:rsid w:val="00374EDB"/>
    <w:rsid w:val="00374EF6"/>
    <w:rsid w:val="00374F36"/>
    <w:rsid w:val="00374F60"/>
    <w:rsid w:val="00374F6B"/>
    <w:rsid w:val="00374FC8"/>
    <w:rsid w:val="0037502B"/>
    <w:rsid w:val="0037506F"/>
    <w:rsid w:val="00375080"/>
    <w:rsid w:val="00375081"/>
    <w:rsid w:val="003750CC"/>
    <w:rsid w:val="003750FA"/>
    <w:rsid w:val="00375123"/>
    <w:rsid w:val="00375155"/>
    <w:rsid w:val="00375162"/>
    <w:rsid w:val="00375199"/>
    <w:rsid w:val="0037522C"/>
    <w:rsid w:val="003752CA"/>
    <w:rsid w:val="003752FF"/>
    <w:rsid w:val="00375330"/>
    <w:rsid w:val="0037534A"/>
    <w:rsid w:val="003753BF"/>
    <w:rsid w:val="003753EE"/>
    <w:rsid w:val="003753F1"/>
    <w:rsid w:val="00375446"/>
    <w:rsid w:val="00375503"/>
    <w:rsid w:val="00375509"/>
    <w:rsid w:val="00375533"/>
    <w:rsid w:val="00375580"/>
    <w:rsid w:val="003755E0"/>
    <w:rsid w:val="0037560B"/>
    <w:rsid w:val="0037565D"/>
    <w:rsid w:val="00375678"/>
    <w:rsid w:val="00375698"/>
    <w:rsid w:val="0037569E"/>
    <w:rsid w:val="00375778"/>
    <w:rsid w:val="003757BD"/>
    <w:rsid w:val="003757E8"/>
    <w:rsid w:val="0037588A"/>
    <w:rsid w:val="003758F4"/>
    <w:rsid w:val="003758FA"/>
    <w:rsid w:val="00375929"/>
    <w:rsid w:val="00375939"/>
    <w:rsid w:val="003759BF"/>
    <w:rsid w:val="00375A2E"/>
    <w:rsid w:val="00375A85"/>
    <w:rsid w:val="00375A9A"/>
    <w:rsid w:val="00375A9F"/>
    <w:rsid w:val="00375AF9"/>
    <w:rsid w:val="00375C14"/>
    <w:rsid w:val="00375C36"/>
    <w:rsid w:val="00375C37"/>
    <w:rsid w:val="00375C46"/>
    <w:rsid w:val="00375C9B"/>
    <w:rsid w:val="00375C9E"/>
    <w:rsid w:val="00375D13"/>
    <w:rsid w:val="00375D23"/>
    <w:rsid w:val="00375D7E"/>
    <w:rsid w:val="00375D95"/>
    <w:rsid w:val="00375D9A"/>
    <w:rsid w:val="00375DB8"/>
    <w:rsid w:val="00375DEB"/>
    <w:rsid w:val="00375E87"/>
    <w:rsid w:val="00375ED7"/>
    <w:rsid w:val="00375F0A"/>
    <w:rsid w:val="00375F0E"/>
    <w:rsid w:val="00375F28"/>
    <w:rsid w:val="00375F31"/>
    <w:rsid w:val="00375F89"/>
    <w:rsid w:val="00375F91"/>
    <w:rsid w:val="00375FD0"/>
    <w:rsid w:val="00375FD8"/>
    <w:rsid w:val="00376063"/>
    <w:rsid w:val="0037609E"/>
    <w:rsid w:val="003760B7"/>
    <w:rsid w:val="0037612A"/>
    <w:rsid w:val="00376142"/>
    <w:rsid w:val="0037617A"/>
    <w:rsid w:val="0037619C"/>
    <w:rsid w:val="003761D6"/>
    <w:rsid w:val="0037624B"/>
    <w:rsid w:val="00376275"/>
    <w:rsid w:val="00376276"/>
    <w:rsid w:val="00376291"/>
    <w:rsid w:val="003762E2"/>
    <w:rsid w:val="00376308"/>
    <w:rsid w:val="00376408"/>
    <w:rsid w:val="00376415"/>
    <w:rsid w:val="0037642B"/>
    <w:rsid w:val="00376499"/>
    <w:rsid w:val="003764B1"/>
    <w:rsid w:val="003764ED"/>
    <w:rsid w:val="0037652A"/>
    <w:rsid w:val="00376546"/>
    <w:rsid w:val="00376576"/>
    <w:rsid w:val="0037657E"/>
    <w:rsid w:val="0037658F"/>
    <w:rsid w:val="00376631"/>
    <w:rsid w:val="0037667A"/>
    <w:rsid w:val="003766D6"/>
    <w:rsid w:val="00376715"/>
    <w:rsid w:val="00376855"/>
    <w:rsid w:val="003768E2"/>
    <w:rsid w:val="00376908"/>
    <w:rsid w:val="00376991"/>
    <w:rsid w:val="003769C9"/>
    <w:rsid w:val="00376A20"/>
    <w:rsid w:val="00376A42"/>
    <w:rsid w:val="00376A58"/>
    <w:rsid w:val="00376A97"/>
    <w:rsid w:val="00376AEE"/>
    <w:rsid w:val="00376B82"/>
    <w:rsid w:val="00376BB0"/>
    <w:rsid w:val="00376C16"/>
    <w:rsid w:val="00376C2B"/>
    <w:rsid w:val="00376C47"/>
    <w:rsid w:val="00376CBE"/>
    <w:rsid w:val="00376CC8"/>
    <w:rsid w:val="00376CD1"/>
    <w:rsid w:val="00376D04"/>
    <w:rsid w:val="00376D6B"/>
    <w:rsid w:val="00376D98"/>
    <w:rsid w:val="00376DF1"/>
    <w:rsid w:val="00376E0B"/>
    <w:rsid w:val="00376EF9"/>
    <w:rsid w:val="00376F17"/>
    <w:rsid w:val="00376F24"/>
    <w:rsid w:val="00376F60"/>
    <w:rsid w:val="00376F89"/>
    <w:rsid w:val="00376FA4"/>
    <w:rsid w:val="003770B1"/>
    <w:rsid w:val="003770DE"/>
    <w:rsid w:val="003770EE"/>
    <w:rsid w:val="003771CC"/>
    <w:rsid w:val="003771D9"/>
    <w:rsid w:val="003771E3"/>
    <w:rsid w:val="003771FD"/>
    <w:rsid w:val="003772F7"/>
    <w:rsid w:val="003773DF"/>
    <w:rsid w:val="00377467"/>
    <w:rsid w:val="00377499"/>
    <w:rsid w:val="0037749C"/>
    <w:rsid w:val="00377511"/>
    <w:rsid w:val="0037753E"/>
    <w:rsid w:val="00377590"/>
    <w:rsid w:val="00377601"/>
    <w:rsid w:val="00377661"/>
    <w:rsid w:val="0037769E"/>
    <w:rsid w:val="00377709"/>
    <w:rsid w:val="0037778B"/>
    <w:rsid w:val="003777BF"/>
    <w:rsid w:val="003777E8"/>
    <w:rsid w:val="003777FA"/>
    <w:rsid w:val="00377879"/>
    <w:rsid w:val="003778C9"/>
    <w:rsid w:val="003778DC"/>
    <w:rsid w:val="003778E8"/>
    <w:rsid w:val="00377942"/>
    <w:rsid w:val="00377971"/>
    <w:rsid w:val="0037797A"/>
    <w:rsid w:val="003779C6"/>
    <w:rsid w:val="003779DE"/>
    <w:rsid w:val="00377A1F"/>
    <w:rsid w:val="00377A32"/>
    <w:rsid w:val="00377A92"/>
    <w:rsid w:val="00377AC3"/>
    <w:rsid w:val="00377AC9"/>
    <w:rsid w:val="00377AE4"/>
    <w:rsid w:val="00377C33"/>
    <w:rsid w:val="00377C4C"/>
    <w:rsid w:val="00377C61"/>
    <w:rsid w:val="00377C7A"/>
    <w:rsid w:val="00377D47"/>
    <w:rsid w:val="00377DBE"/>
    <w:rsid w:val="00377DE9"/>
    <w:rsid w:val="00377E01"/>
    <w:rsid w:val="00377E56"/>
    <w:rsid w:val="00377E6E"/>
    <w:rsid w:val="00380015"/>
    <w:rsid w:val="00380041"/>
    <w:rsid w:val="00380074"/>
    <w:rsid w:val="0038011A"/>
    <w:rsid w:val="00380122"/>
    <w:rsid w:val="00380127"/>
    <w:rsid w:val="0038023F"/>
    <w:rsid w:val="003802FF"/>
    <w:rsid w:val="00380348"/>
    <w:rsid w:val="00380374"/>
    <w:rsid w:val="00380383"/>
    <w:rsid w:val="003803A9"/>
    <w:rsid w:val="00380411"/>
    <w:rsid w:val="00380416"/>
    <w:rsid w:val="00380449"/>
    <w:rsid w:val="003804AC"/>
    <w:rsid w:val="003804D7"/>
    <w:rsid w:val="00380505"/>
    <w:rsid w:val="00380543"/>
    <w:rsid w:val="003805B6"/>
    <w:rsid w:val="003805BF"/>
    <w:rsid w:val="00380673"/>
    <w:rsid w:val="0038073D"/>
    <w:rsid w:val="0038079E"/>
    <w:rsid w:val="0038082C"/>
    <w:rsid w:val="00380852"/>
    <w:rsid w:val="0038089A"/>
    <w:rsid w:val="003808BB"/>
    <w:rsid w:val="003808DB"/>
    <w:rsid w:val="003808DE"/>
    <w:rsid w:val="00380946"/>
    <w:rsid w:val="0038094D"/>
    <w:rsid w:val="0038095B"/>
    <w:rsid w:val="00380974"/>
    <w:rsid w:val="003809A1"/>
    <w:rsid w:val="003809CE"/>
    <w:rsid w:val="00380A30"/>
    <w:rsid w:val="00380A35"/>
    <w:rsid w:val="00380AA9"/>
    <w:rsid w:val="00380B55"/>
    <w:rsid w:val="00380BD7"/>
    <w:rsid w:val="00380D21"/>
    <w:rsid w:val="00380D38"/>
    <w:rsid w:val="00380D7A"/>
    <w:rsid w:val="00380D87"/>
    <w:rsid w:val="00380D8A"/>
    <w:rsid w:val="00380DA2"/>
    <w:rsid w:val="00380E37"/>
    <w:rsid w:val="00380E76"/>
    <w:rsid w:val="00380EFC"/>
    <w:rsid w:val="00380F2D"/>
    <w:rsid w:val="00380F41"/>
    <w:rsid w:val="00380FEF"/>
    <w:rsid w:val="00381038"/>
    <w:rsid w:val="003810CF"/>
    <w:rsid w:val="003810F1"/>
    <w:rsid w:val="0038114F"/>
    <w:rsid w:val="003811AA"/>
    <w:rsid w:val="003811D1"/>
    <w:rsid w:val="00381253"/>
    <w:rsid w:val="0038127B"/>
    <w:rsid w:val="003812A2"/>
    <w:rsid w:val="003812F4"/>
    <w:rsid w:val="0038138F"/>
    <w:rsid w:val="003813EF"/>
    <w:rsid w:val="0038140E"/>
    <w:rsid w:val="00381422"/>
    <w:rsid w:val="00381494"/>
    <w:rsid w:val="0038154D"/>
    <w:rsid w:val="003815A6"/>
    <w:rsid w:val="0038160F"/>
    <w:rsid w:val="00381639"/>
    <w:rsid w:val="003816A9"/>
    <w:rsid w:val="003816C9"/>
    <w:rsid w:val="0038170A"/>
    <w:rsid w:val="00381790"/>
    <w:rsid w:val="003817FA"/>
    <w:rsid w:val="00381852"/>
    <w:rsid w:val="003818C6"/>
    <w:rsid w:val="003818F6"/>
    <w:rsid w:val="003819E4"/>
    <w:rsid w:val="00381A75"/>
    <w:rsid w:val="00381A7A"/>
    <w:rsid w:val="00381AD5"/>
    <w:rsid w:val="00381B97"/>
    <w:rsid w:val="00381BAF"/>
    <w:rsid w:val="00381BBB"/>
    <w:rsid w:val="00381C30"/>
    <w:rsid w:val="00381C3C"/>
    <w:rsid w:val="00381C82"/>
    <w:rsid w:val="00381CB9"/>
    <w:rsid w:val="00381CFC"/>
    <w:rsid w:val="00381D00"/>
    <w:rsid w:val="00381D4B"/>
    <w:rsid w:val="00381D63"/>
    <w:rsid w:val="00381DA2"/>
    <w:rsid w:val="00381ED6"/>
    <w:rsid w:val="00381EFD"/>
    <w:rsid w:val="00381FEF"/>
    <w:rsid w:val="00381FF7"/>
    <w:rsid w:val="003820C3"/>
    <w:rsid w:val="003820D9"/>
    <w:rsid w:val="003820DD"/>
    <w:rsid w:val="003820FF"/>
    <w:rsid w:val="003821C7"/>
    <w:rsid w:val="003821D1"/>
    <w:rsid w:val="00382248"/>
    <w:rsid w:val="003822AC"/>
    <w:rsid w:val="003822F8"/>
    <w:rsid w:val="0038230A"/>
    <w:rsid w:val="0038230D"/>
    <w:rsid w:val="00382333"/>
    <w:rsid w:val="00382339"/>
    <w:rsid w:val="0038234F"/>
    <w:rsid w:val="0038235A"/>
    <w:rsid w:val="00382361"/>
    <w:rsid w:val="00382391"/>
    <w:rsid w:val="003823A4"/>
    <w:rsid w:val="00382456"/>
    <w:rsid w:val="003824A4"/>
    <w:rsid w:val="0038250C"/>
    <w:rsid w:val="0038254C"/>
    <w:rsid w:val="00382593"/>
    <w:rsid w:val="003825A5"/>
    <w:rsid w:val="003825C2"/>
    <w:rsid w:val="003825D0"/>
    <w:rsid w:val="00382641"/>
    <w:rsid w:val="0038266A"/>
    <w:rsid w:val="00382684"/>
    <w:rsid w:val="003827AA"/>
    <w:rsid w:val="003827C9"/>
    <w:rsid w:val="003827EA"/>
    <w:rsid w:val="0038282B"/>
    <w:rsid w:val="003828A0"/>
    <w:rsid w:val="003828A7"/>
    <w:rsid w:val="003828A9"/>
    <w:rsid w:val="003828F7"/>
    <w:rsid w:val="0038291F"/>
    <w:rsid w:val="00382A2E"/>
    <w:rsid w:val="00382A99"/>
    <w:rsid w:val="00382ABA"/>
    <w:rsid w:val="00382AC5"/>
    <w:rsid w:val="00382B12"/>
    <w:rsid w:val="00382B71"/>
    <w:rsid w:val="00382C09"/>
    <w:rsid w:val="00382C58"/>
    <w:rsid w:val="00382C64"/>
    <w:rsid w:val="00382C66"/>
    <w:rsid w:val="00382C74"/>
    <w:rsid w:val="00382C99"/>
    <w:rsid w:val="00382C9B"/>
    <w:rsid w:val="00382CBB"/>
    <w:rsid w:val="00382CC9"/>
    <w:rsid w:val="00382D06"/>
    <w:rsid w:val="00382D1C"/>
    <w:rsid w:val="00382D89"/>
    <w:rsid w:val="00382D90"/>
    <w:rsid w:val="00382DA7"/>
    <w:rsid w:val="00382DE7"/>
    <w:rsid w:val="00382E0C"/>
    <w:rsid w:val="00382E56"/>
    <w:rsid w:val="00382F63"/>
    <w:rsid w:val="00382F80"/>
    <w:rsid w:val="00382FB6"/>
    <w:rsid w:val="00382FE1"/>
    <w:rsid w:val="00383001"/>
    <w:rsid w:val="0038300D"/>
    <w:rsid w:val="00383080"/>
    <w:rsid w:val="003830B0"/>
    <w:rsid w:val="003830D7"/>
    <w:rsid w:val="0038312A"/>
    <w:rsid w:val="00383173"/>
    <w:rsid w:val="003831B4"/>
    <w:rsid w:val="003831C2"/>
    <w:rsid w:val="003831EA"/>
    <w:rsid w:val="003832D9"/>
    <w:rsid w:val="003832DE"/>
    <w:rsid w:val="00383320"/>
    <w:rsid w:val="0038335C"/>
    <w:rsid w:val="0038336D"/>
    <w:rsid w:val="00383378"/>
    <w:rsid w:val="0038337C"/>
    <w:rsid w:val="00383382"/>
    <w:rsid w:val="00383403"/>
    <w:rsid w:val="003834D8"/>
    <w:rsid w:val="003834DD"/>
    <w:rsid w:val="003834EF"/>
    <w:rsid w:val="003836AE"/>
    <w:rsid w:val="003836E1"/>
    <w:rsid w:val="00383787"/>
    <w:rsid w:val="0038380B"/>
    <w:rsid w:val="00383887"/>
    <w:rsid w:val="0038396C"/>
    <w:rsid w:val="003839D8"/>
    <w:rsid w:val="00383A13"/>
    <w:rsid w:val="00383A17"/>
    <w:rsid w:val="00383A22"/>
    <w:rsid w:val="00383AF9"/>
    <w:rsid w:val="00383B1E"/>
    <w:rsid w:val="00383BE7"/>
    <w:rsid w:val="00383C15"/>
    <w:rsid w:val="00383C16"/>
    <w:rsid w:val="00383C37"/>
    <w:rsid w:val="00383C41"/>
    <w:rsid w:val="00383C82"/>
    <w:rsid w:val="00383C95"/>
    <w:rsid w:val="00383CC5"/>
    <w:rsid w:val="00383D5B"/>
    <w:rsid w:val="00383DA3"/>
    <w:rsid w:val="00383F25"/>
    <w:rsid w:val="00383F28"/>
    <w:rsid w:val="00383F7A"/>
    <w:rsid w:val="00383F81"/>
    <w:rsid w:val="00383F90"/>
    <w:rsid w:val="00384044"/>
    <w:rsid w:val="003840C3"/>
    <w:rsid w:val="0038412B"/>
    <w:rsid w:val="00384180"/>
    <w:rsid w:val="00384181"/>
    <w:rsid w:val="00384187"/>
    <w:rsid w:val="003841C7"/>
    <w:rsid w:val="00384247"/>
    <w:rsid w:val="00384291"/>
    <w:rsid w:val="003842A6"/>
    <w:rsid w:val="003842C1"/>
    <w:rsid w:val="00384317"/>
    <w:rsid w:val="003844D6"/>
    <w:rsid w:val="0038458B"/>
    <w:rsid w:val="003845AF"/>
    <w:rsid w:val="0038462A"/>
    <w:rsid w:val="0038467B"/>
    <w:rsid w:val="00384752"/>
    <w:rsid w:val="00384819"/>
    <w:rsid w:val="00384893"/>
    <w:rsid w:val="003848CD"/>
    <w:rsid w:val="003848EB"/>
    <w:rsid w:val="0038492B"/>
    <w:rsid w:val="00384945"/>
    <w:rsid w:val="00384992"/>
    <w:rsid w:val="003849F6"/>
    <w:rsid w:val="00384A7C"/>
    <w:rsid w:val="00384ACB"/>
    <w:rsid w:val="00384ADE"/>
    <w:rsid w:val="00384B24"/>
    <w:rsid w:val="00384B3E"/>
    <w:rsid w:val="00384CDA"/>
    <w:rsid w:val="00384D6C"/>
    <w:rsid w:val="00384E16"/>
    <w:rsid w:val="00384E2E"/>
    <w:rsid w:val="00384E5A"/>
    <w:rsid w:val="00384E79"/>
    <w:rsid w:val="00384F6E"/>
    <w:rsid w:val="00384FA7"/>
    <w:rsid w:val="00384FFC"/>
    <w:rsid w:val="0038505E"/>
    <w:rsid w:val="00385071"/>
    <w:rsid w:val="00385167"/>
    <w:rsid w:val="003851DB"/>
    <w:rsid w:val="0038521B"/>
    <w:rsid w:val="00385244"/>
    <w:rsid w:val="0038524D"/>
    <w:rsid w:val="00385277"/>
    <w:rsid w:val="003852BC"/>
    <w:rsid w:val="003852D5"/>
    <w:rsid w:val="0038530C"/>
    <w:rsid w:val="00385312"/>
    <w:rsid w:val="0038532A"/>
    <w:rsid w:val="00385381"/>
    <w:rsid w:val="003853B6"/>
    <w:rsid w:val="0038540C"/>
    <w:rsid w:val="00385460"/>
    <w:rsid w:val="00385463"/>
    <w:rsid w:val="00385474"/>
    <w:rsid w:val="00385498"/>
    <w:rsid w:val="003854AB"/>
    <w:rsid w:val="003854E6"/>
    <w:rsid w:val="00385533"/>
    <w:rsid w:val="00385593"/>
    <w:rsid w:val="003855B4"/>
    <w:rsid w:val="003855CE"/>
    <w:rsid w:val="003855F5"/>
    <w:rsid w:val="0038564A"/>
    <w:rsid w:val="0038566B"/>
    <w:rsid w:val="0038569E"/>
    <w:rsid w:val="003856A8"/>
    <w:rsid w:val="0038572A"/>
    <w:rsid w:val="0038573B"/>
    <w:rsid w:val="003857CB"/>
    <w:rsid w:val="003857E0"/>
    <w:rsid w:val="003858D1"/>
    <w:rsid w:val="00385A20"/>
    <w:rsid w:val="00385A6C"/>
    <w:rsid w:val="00385B82"/>
    <w:rsid w:val="00385C2C"/>
    <w:rsid w:val="00385C52"/>
    <w:rsid w:val="00385C74"/>
    <w:rsid w:val="00385CFB"/>
    <w:rsid w:val="00385D02"/>
    <w:rsid w:val="00385D11"/>
    <w:rsid w:val="00385D60"/>
    <w:rsid w:val="00385DFB"/>
    <w:rsid w:val="00385E23"/>
    <w:rsid w:val="00385E37"/>
    <w:rsid w:val="00385E5F"/>
    <w:rsid w:val="00385F26"/>
    <w:rsid w:val="00385F3A"/>
    <w:rsid w:val="00385F46"/>
    <w:rsid w:val="00385F4E"/>
    <w:rsid w:val="00385F5E"/>
    <w:rsid w:val="00385F7A"/>
    <w:rsid w:val="00385FDE"/>
    <w:rsid w:val="00386010"/>
    <w:rsid w:val="0038606E"/>
    <w:rsid w:val="0038609A"/>
    <w:rsid w:val="0038609F"/>
    <w:rsid w:val="003860C6"/>
    <w:rsid w:val="003860FE"/>
    <w:rsid w:val="003861C2"/>
    <w:rsid w:val="00386202"/>
    <w:rsid w:val="00386232"/>
    <w:rsid w:val="0038623D"/>
    <w:rsid w:val="00386272"/>
    <w:rsid w:val="0038627B"/>
    <w:rsid w:val="003862A5"/>
    <w:rsid w:val="003862CC"/>
    <w:rsid w:val="003862D7"/>
    <w:rsid w:val="0038632A"/>
    <w:rsid w:val="00386368"/>
    <w:rsid w:val="003863BE"/>
    <w:rsid w:val="00386442"/>
    <w:rsid w:val="0038646F"/>
    <w:rsid w:val="00386510"/>
    <w:rsid w:val="003865A3"/>
    <w:rsid w:val="003865E2"/>
    <w:rsid w:val="003865EB"/>
    <w:rsid w:val="0038677C"/>
    <w:rsid w:val="0038677D"/>
    <w:rsid w:val="00386798"/>
    <w:rsid w:val="00386810"/>
    <w:rsid w:val="0038689F"/>
    <w:rsid w:val="0038690A"/>
    <w:rsid w:val="0038690C"/>
    <w:rsid w:val="00386937"/>
    <w:rsid w:val="003869D0"/>
    <w:rsid w:val="003869E0"/>
    <w:rsid w:val="00386A28"/>
    <w:rsid w:val="00386AC6"/>
    <w:rsid w:val="00386B01"/>
    <w:rsid w:val="00386B07"/>
    <w:rsid w:val="00386B0E"/>
    <w:rsid w:val="00386B14"/>
    <w:rsid w:val="00386B1D"/>
    <w:rsid w:val="00386B31"/>
    <w:rsid w:val="00386B89"/>
    <w:rsid w:val="00386BBE"/>
    <w:rsid w:val="00386BD0"/>
    <w:rsid w:val="00386C9A"/>
    <w:rsid w:val="00386CF0"/>
    <w:rsid w:val="00386D2C"/>
    <w:rsid w:val="00386DCF"/>
    <w:rsid w:val="00386E1B"/>
    <w:rsid w:val="00386E85"/>
    <w:rsid w:val="00386E8D"/>
    <w:rsid w:val="00386EE0"/>
    <w:rsid w:val="00386F32"/>
    <w:rsid w:val="00386F38"/>
    <w:rsid w:val="00386F77"/>
    <w:rsid w:val="00386F8F"/>
    <w:rsid w:val="00386F9B"/>
    <w:rsid w:val="00387100"/>
    <w:rsid w:val="00387105"/>
    <w:rsid w:val="00387130"/>
    <w:rsid w:val="00387136"/>
    <w:rsid w:val="00387218"/>
    <w:rsid w:val="0038722B"/>
    <w:rsid w:val="003872A3"/>
    <w:rsid w:val="003872B9"/>
    <w:rsid w:val="003872CD"/>
    <w:rsid w:val="003872F0"/>
    <w:rsid w:val="003872F9"/>
    <w:rsid w:val="003873A1"/>
    <w:rsid w:val="003873D8"/>
    <w:rsid w:val="00387404"/>
    <w:rsid w:val="00387461"/>
    <w:rsid w:val="003875A4"/>
    <w:rsid w:val="003875C9"/>
    <w:rsid w:val="003875DF"/>
    <w:rsid w:val="0038769A"/>
    <w:rsid w:val="003876BD"/>
    <w:rsid w:val="003876C3"/>
    <w:rsid w:val="003876E0"/>
    <w:rsid w:val="0038770E"/>
    <w:rsid w:val="00387761"/>
    <w:rsid w:val="003877AA"/>
    <w:rsid w:val="003877CD"/>
    <w:rsid w:val="003877DA"/>
    <w:rsid w:val="003877DD"/>
    <w:rsid w:val="003877EF"/>
    <w:rsid w:val="003877F9"/>
    <w:rsid w:val="00387811"/>
    <w:rsid w:val="0038785C"/>
    <w:rsid w:val="003878FF"/>
    <w:rsid w:val="003879BB"/>
    <w:rsid w:val="003879D8"/>
    <w:rsid w:val="003879EE"/>
    <w:rsid w:val="00387A1F"/>
    <w:rsid w:val="00387A7F"/>
    <w:rsid w:val="00387AD6"/>
    <w:rsid w:val="00387B11"/>
    <w:rsid w:val="00387B90"/>
    <w:rsid w:val="00387BFD"/>
    <w:rsid w:val="00387C25"/>
    <w:rsid w:val="00387C29"/>
    <w:rsid w:val="00387C49"/>
    <w:rsid w:val="00387C91"/>
    <w:rsid w:val="00387D11"/>
    <w:rsid w:val="00387D3C"/>
    <w:rsid w:val="00387D4D"/>
    <w:rsid w:val="00387D63"/>
    <w:rsid w:val="00387D91"/>
    <w:rsid w:val="00387DD0"/>
    <w:rsid w:val="00387E2C"/>
    <w:rsid w:val="00387E9D"/>
    <w:rsid w:val="00387EF3"/>
    <w:rsid w:val="00387F1D"/>
    <w:rsid w:val="00387F41"/>
    <w:rsid w:val="00387F9F"/>
    <w:rsid w:val="00387FAB"/>
    <w:rsid w:val="0039000C"/>
    <w:rsid w:val="0039008E"/>
    <w:rsid w:val="00390092"/>
    <w:rsid w:val="003900B3"/>
    <w:rsid w:val="003900F9"/>
    <w:rsid w:val="0039014D"/>
    <w:rsid w:val="0039016B"/>
    <w:rsid w:val="003901C0"/>
    <w:rsid w:val="00390230"/>
    <w:rsid w:val="0039024F"/>
    <w:rsid w:val="003902A8"/>
    <w:rsid w:val="003902AE"/>
    <w:rsid w:val="003902BE"/>
    <w:rsid w:val="003902D2"/>
    <w:rsid w:val="0039039B"/>
    <w:rsid w:val="00390406"/>
    <w:rsid w:val="00390458"/>
    <w:rsid w:val="00390493"/>
    <w:rsid w:val="003904B2"/>
    <w:rsid w:val="003904B5"/>
    <w:rsid w:val="003904C6"/>
    <w:rsid w:val="003905EA"/>
    <w:rsid w:val="003906C5"/>
    <w:rsid w:val="003906CF"/>
    <w:rsid w:val="003906E4"/>
    <w:rsid w:val="00390781"/>
    <w:rsid w:val="0039089C"/>
    <w:rsid w:val="0039098F"/>
    <w:rsid w:val="003909BC"/>
    <w:rsid w:val="003909DF"/>
    <w:rsid w:val="003909EC"/>
    <w:rsid w:val="00390A49"/>
    <w:rsid w:val="00390A4A"/>
    <w:rsid w:val="00390AEF"/>
    <w:rsid w:val="00390B0B"/>
    <w:rsid w:val="00390C44"/>
    <w:rsid w:val="00390C6E"/>
    <w:rsid w:val="00390C8D"/>
    <w:rsid w:val="00390CA5"/>
    <w:rsid w:val="00390CB9"/>
    <w:rsid w:val="00390CCB"/>
    <w:rsid w:val="00390D1C"/>
    <w:rsid w:val="00390DD3"/>
    <w:rsid w:val="00390E06"/>
    <w:rsid w:val="00390E33"/>
    <w:rsid w:val="00390EF0"/>
    <w:rsid w:val="00390F1B"/>
    <w:rsid w:val="00390F2A"/>
    <w:rsid w:val="00390F70"/>
    <w:rsid w:val="00390FC2"/>
    <w:rsid w:val="00390FDA"/>
    <w:rsid w:val="00391009"/>
    <w:rsid w:val="0039100F"/>
    <w:rsid w:val="00391012"/>
    <w:rsid w:val="00391097"/>
    <w:rsid w:val="0039109E"/>
    <w:rsid w:val="003910D4"/>
    <w:rsid w:val="003910DE"/>
    <w:rsid w:val="003910F6"/>
    <w:rsid w:val="00391184"/>
    <w:rsid w:val="003911D5"/>
    <w:rsid w:val="00391216"/>
    <w:rsid w:val="0039126D"/>
    <w:rsid w:val="003912C3"/>
    <w:rsid w:val="00391308"/>
    <w:rsid w:val="00391311"/>
    <w:rsid w:val="0039138E"/>
    <w:rsid w:val="0039139B"/>
    <w:rsid w:val="003913C3"/>
    <w:rsid w:val="0039140B"/>
    <w:rsid w:val="00391475"/>
    <w:rsid w:val="003914FE"/>
    <w:rsid w:val="0039155A"/>
    <w:rsid w:val="00391594"/>
    <w:rsid w:val="003915BB"/>
    <w:rsid w:val="00391607"/>
    <w:rsid w:val="00391610"/>
    <w:rsid w:val="0039164E"/>
    <w:rsid w:val="003916AE"/>
    <w:rsid w:val="003916B8"/>
    <w:rsid w:val="00391707"/>
    <w:rsid w:val="00391752"/>
    <w:rsid w:val="00391776"/>
    <w:rsid w:val="00391778"/>
    <w:rsid w:val="003917E6"/>
    <w:rsid w:val="00391839"/>
    <w:rsid w:val="0039188F"/>
    <w:rsid w:val="003918A1"/>
    <w:rsid w:val="003918E8"/>
    <w:rsid w:val="0039190B"/>
    <w:rsid w:val="00391969"/>
    <w:rsid w:val="00391971"/>
    <w:rsid w:val="00391A4B"/>
    <w:rsid w:val="00391A84"/>
    <w:rsid w:val="00391A8D"/>
    <w:rsid w:val="00391AA6"/>
    <w:rsid w:val="00391B38"/>
    <w:rsid w:val="00391C0F"/>
    <w:rsid w:val="00391CC9"/>
    <w:rsid w:val="00391CDF"/>
    <w:rsid w:val="00391CFB"/>
    <w:rsid w:val="00391DE4"/>
    <w:rsid w:val="00391DEA"/>
    <w:rsid w:val="00391DF9"/>
    <w:rsid w:val="00391E50"/>
    <w:rsid w:val="00391E5D"/>
    <w:rsid w:val="00391E9F"/>
    <w:rsid w:val="00391EE7"/>
    <w:rsid w:val="00391F03"/>
    <w:rsid w:val="00391F4C"/>
    <w:rsid w:val="00391F87"/>
    <w:rsid w:val="00391FC7"/>
    <w:rsid w:val="0039203D"/>
    <w:rsid w:val="00392042"/>
    <w:rsid w:val="00392067"/>
    <w:rsid w:val="003920AE"/>
    <w:rsid w:val="0039212B"/>
    <w:rsid w:val="0039218B"/>
    <w:rsid w:val="003921D3"/>
    <w:rsid w:val="003921E3"/>
    <w:rsid w:val="00392265"/>
    <w:rsid w:val="003924FC"/>
    <w:rsid w:val="00392580"/>
    <w:rsid w:val="003925D8"/>
    <w:rsid w:val="00392614"/>
    <w:rsid w:val="0039269A"/>
    <w:rsid w:val="003926D3"/>
    <w:rsid w:val="003926E7"/>
    <w:rsid w:val="0039274C"/>
    <w:rsid w:val="00392789"/>
    <w:rsid w:val="003927C9"/>
    <w:rsid w:val="00392844"/>
    <w:rsid w:val="0039287A"/>
    <w:rsid w:val="003928C8"/>
    <w:rsid w:val="00392969"/>
    <w:rsid w:val="0039299B"/>
    <w:rsid w:val="003929AF"/>
    <w:rsid w:val="00392A27"/>
    <w:rsid w:val="00392B1D"/>
    <w:rsid w:val="00392B60"/>
    <w:rsid w:val="00392B83"/>
    <w:rsid w:val="00392B90"/>
    <w:rsid w:val="00392BA6"/>
    <w:rsid w:val="00392BA9"/>
    <w:rsid w:val="00392BAA"/>
    <w:rsid w:val="00392C17"/>
    <w:rsid w:val="00392C3F"/>
    <w:rsid w:val="00392CF3"/>
    <w:rsid w:val="00392D19"/>
    <w:rsid w:val="00392D29"/>
    <w:rsid w:val="00392D56"/>
    <w:rsid w:val="00392D76"/>
    <w:rsid w:val="00392D78"/>
    <w:rsid w:val="00392DEB"/>
    <w:rsid w:val="00392E63"/>
    <w:rsid w:val="00392F22"/>
    <w:rsid w:val="00392F25"/>
    <w:rsid w:val="00392F47"/>
    <w:rsid w:val="00392F77"/>
    <w:rsid w:val="0039300D"/>
    <w:rsid w:val="0039301E"/>
    <w:rsid w:val="00393022"/>
    <w:rsid w:val="00393042"/>
    <w:rsid w:val="00393049"/>
    <w:rsid w:val="003930E0"/>
    <w:rsid w:val="003930FA"/>
    <w:rsid w:val="0039312A"/>
    <w:rsid w:val="003931A0"/>
    <w:rsid w:val="003931A7"/>
    <w:rsid w:val="00393244"/>
    <w:rsid w:val="003932C1"/>
    <w:rsid w:val="00393348"/>
    <w:rsid w:val="00393507"/>
    <w:rsid w:val="00393527"/>
    <w:rsid w:val="00393532"/>
    <w:rsid w:val="0039354E"/>
    <w:rsid w:val="00393596"/>
    <w:rsid w:val="003935AA"/>
    <w:rsid w:val="003935AF"/>
    <w:rsid w:val="00393624"/>
    <w:rsid w:val="00393656"/>
    <w:rsid w:val="003937D8"/>
    <w:rsid w:val="003937DB"/>
    <w:rsid w:val="0039381B"/>
    <w:rsid w:val="003938F6"/>
    <w:rsid w:val="0039396B"/>
    <w:rsid w:val="00393983"/>
    <w:rsid w:val="003939F0"/>
    <w:rsid w:val="00393A0B"/>
    <w:rsid w:val="00393A2D"/>
    <w:rsid w:val="00393A9E"/>
    <w:rsid w:val="00393ABB"/>
    <w:rsid w:val="00393B05"/>
    <w:rsid w:val="00393B0D"/>
    <w:rsid w:val="00393B88"/>
    <w:rsid w:val="00393BA2"/>
    <w:rsid w:val="00393BDD"/>
    <w:rsid w:val="00393BE1"/>
    <w:rsid w:val="00393BF8"/>
    <w:rsid w:val="00393C03"/>
    <w:rsid w:val="00393C10"/>
    <w:rsid w:val="00393C17"/>
    <w:rsid w:val="00393C7C"/>
    <w:rsid w:val="00393CDB"/>
    <w:rsid w:val="00393CF4"/>
    <w:rsid w:val="00393D20"/>
    <w:rsid w:val="00393D24"/>
    <w:rsid w:val="00393DDE"/>
    <w:rsid w:val="00393E27"/>
    <w:rsid w:val="00393E28"/>
    <w:rsid w:val="00393EA0"/>
    <w:rsid w:val="00393EA3"/>
    <w:rsid w:val="00393ED1"/>
    <w:rsid w:val="00393F00"/>
    <w:rsid w:val="00393FD3"/>
    <w:rsid w:val="00393FEF"/>
    <w:rsid w:val="00394013"/>
    <w:rsid w:val="0039406D"/>
    <w:rsid w:val="00394156"/>
    <w:rsid w:val="00394178"/>
    <w:rsid w:val="00394188"/>
    <w:rsid w:val="0039418F"/>
    <w:rsid w:val="00394199"/>
    <w:rsid w:val="003942B4"/>
    <w:rsid w:val="00394300"/>
    <w:rsid w:val="0039436D"/>
    <w:rsid w:val="00394371"/>
    <w:rsid w:val="003943CE"/>
    <w:rsid w:val="003943FC"/>
    <w:rsid w:val="00394443"/>
    <w:rsid w:val="003944A3"/>
    <w:rsid w:val="003944B4"/>
    <w:rsid w:val="003944E5"/>
    <w:rsid w:val="00394530"/>
    <w:rsid w:val="00394590"/>
    <w:rsid w:val="003945C7"/>
    <w:rsid w:val="003945E7"/>
    <w:rsid w:val="0039466E"/>
    <w:rsid w:val="003946DD"/>
    <w:rsid w:val="003946DF"/>
    <w:rsid w:val="00394749"/>
    <w:rsid w:val="00394772"/>
    <w:rsid w:val="00394803"/>
    <w:rsid w:val="0039484F"/>
    <w:rsid w:val="00394891"/>
    <w:rsid w:val="003948D6"/>
    <w:rsid w:val="003948FC"/>
    <w:rsid w:val="0039493B"/>
    <w:rsid w:val="00394962"/>
    <w:rsid w:val="00394977"/>
    <w:rsid w:val="003949AF"/>
    <w:rsid w:val="003949D0"/>
    <w:rsid w:val="00394A93"/>
    <w:rsid w:val="00394AF1"/>
    <w:rsid w:val="00394B09"/>
    <w:rsid w:val="00394B4E"/>
    <w:rsid w:val="00394B53"/>
    <w:rsid w:val="00394B73"/>
    <w:rsid w:val="00394BE5"/>
    <w:rsid w:val="00394BFA"/>
    <w:rsid w:val="00394C11"/>
    <w:rsid w:val="00394C6B"/>
    <w:rsid w:val="00394C79"/>
    <w:rsid w:val="00394CE9"/>
    <w:rsid w:val="00394D4A"/>
    <w:rsid w:val="00394D79"/>
    <w:rsid w:val="00394D9A"/>
    <w:rsid w:val="00394EE9"/>
    <w:rsid w:val="00394EF7"/>
    <w:rsid w:val="00394F2D"/>
    <w:rsid w:val="00394F7A"/>
    <w:rsid w:val="00394FDB"/>
    <w:rsid w:val="00395004"/>
    <w:rsid w:val="003950ED"/>
    <w:rsid w:val="00395188"/>
    <w:rsid w:val="003951E3"/>
    <w:rsid w:val="003952CE"/>
    <w:rsid w:val="0039530B"/>
    <w:rsid w:val="0039532E"/>
    <w:rsid w:val="00395366"/>
    <w:rsid w:val="003953F4"/>
    <w:rsid w:val="00395476"/>
    <w:rsid w:val="0039551F"/>
    <w:rsid w:val="00395524"/>
    <w:rsid w:val="0039552D"/>
    <w:rsid w:val="0039553E"/>
    <w:rsid w:val="00395545"/>
    <w:rsid w:val="00395571"/>
    <w:rsid w:val="00395711"/>
    <w:rsid w:val="00395751"/>
    <w:rsid w:val="00395752"/>
    <w:rsid w:val="003957B5"/>
    <w:rsid w:val="003957F9"/>
    <w:rsid w:val="003958C1"/>
    <w:rsid w:val="003958DB"/>
    <w:rsid w:val="00395910"/>
    <w:rsid w:val="00395922"/>
    <w:rsid w:val="0039592F"/>
    <w:rsid w:val="0039594C"/>
    <w:rsid w:val="0039598D"/>
    <w:rsid w:val="003959F3"/>
    <w:rsid w:val="00395A43"/>
    <w:rsid w:val="00395AC9"/>
    <w:rsid w:val="00395AD3"/>
    <w:rsid w:val="00395AE9"/>
    <w:rsid w:val="00395AF9"/>
    <w:rsid w:val="00395B32"/>
    <w:rsid w:val="00395B3A"/>
    <w:rsid w:val="00395B5C"/>
    <w:rsid w:val="00395B5F"/>
    <w:rsid w:val="00395BC0"/>
    <w:rsid w:val="00395BEF"/>
    <w:rsid w:val="00395C06"/>
    <w:rsid w:val="00395C5F"/>
    <w:rsid w:val="00395C6D"/>
    <w:rsid w:val="00395CA1"/>
    <w:rsid w:val="00395CBC"/>
    <w:rsid w:val="00395D3C"/>
    <w:rsid w:val="00395D85"/>
    <w:rsid w:val="00395D96"/>
    <w:rsid w:val="00395DB4"/>
    <w:rsid w:val="00395DD9"/>
    <w:rsid w:val="00395E59"/>
    <w:rsid w:val="00395E5C"/>
    <w:rsid w:val="00395E65"/>
    <w:rsid w:val="00395E6F"/>
    <w:rsid w:val="00395E8F"/>
    <w:rsid w:val="00395EE8"/>
    <w:rsid w:val="00395F4F"/>
    <w:rsid w:val="00395FB9"/>
    <w:rsid w:val="00395FFA"/>
    <w:rsid w:val="0039603C"/>
    <w:rsid w:val="0039616B"/>
    <w:rsid w:val="0039618F"/>
    <w:rsid w:val="00396192"/>
    <w:rsid w:val="003961A2"/>
    <w:rsid w:val="003961E0"/>
    <w:rsid w:val="003961F5"/>
    <w:rsid w:val="00396297"/>
    <w:rsid w:val="0039629A"/>
    <w:rsid w:val="003962AC"/>
    <w:rsid w:val="003962ED"/>
    <w:rsid w:val="00396315"/>
    <w:rsid w:val="0039633F"/>
    <w:rsid w:val="00396376"/>
    <w:rsid w:val="003963A7"/>
    <w:rsid w:val="003963E4"/>
    <w:rsid w:val="00396449"/>
    <w:rsid w:val="0039647F"/>
    <w:rsid w:val="003964EF"/>
    <w:rsid w:val="003965D6"/>
    <w:rsid w:val="0039664A"/>
    <w:rsid w:val="00396673"/>
    <w:rsid w:val="00396687"/>
    <w:rsid w:val="003966DA"/>
    <w:rsid w:val="003966DF"/>
    <w:rsid w:val="00396717"/>
    <w:rsid w:val="00396743"/>
    <w:rsid w:val="00396793"/>
    <w:rsid w:val="003967D6"/>
    <w:rsid w:val="003967D7"/>
    <w:rsid w:val="00396937"/>
    <w:rsid w:val="003969C7"/>
    <w:rsid w:val="003969F7"/>
    <w:rsid w:val="00396A06"/>
    <w:rsid w:val="00396A10"/>
    <w:rsid w:val="00396A63"/>
    <w:rsid w:val="00396A68"/>
    <w:rsid w:val="00396AC7"/>
    <w:rsid w:val="00396AD6"/>
    <w:rsid w:val="00396ADE"/>
    <w:rsid w:val="00396C15"/>
    <w:rsid w:val="00396C84"/>
    <w:rsid w:val="00396C8E"/>
    <w:rsid w:val="00396D88"/>
    <w:rsid w:val="00396D89"/>
    <w:rsid w:val="00396DAA"/>
    <w:rsid w:val="00396DB2"/>
    <w:rsid w:val="00396DC5"/>
    <w:rsid w:val="00396DC9"/>
    <w:rsid w:val="00396E62"/>
    <w:rsid w:val="00396E88"/>
    <w:rsid w:val="00396E9F"/>
    <w:rsid w:val="00396ED4"/>
    <w:rsid w:val="00396EF5"/>
    <w:rsid w:val="00396F43"/>
    <w:rsid w:val="00396F66"/>
    <w:rsid w:val="00396F93"/>
    <w:rsid w:val="00396FA9"/>
    <w:rsid w:val="00397026"/>
    <w:rsid w:val="0039707C"/>
    <w:rsid w:val="003970DD"/>
    <w:rsid w:val="003970E0"/>
    <w:rsid w:val="00397148"/>
    <w:rsid w:val="00397183"/>
    <w:rsid w:val="003971B4"/>
    <w:rsid w:val="003971B8"/>
    <w:rsid w:val="003971CE"/>
    <w:rsid w:val="003971D8"/>
    <w:rsid w:val="00397220"/>
    <w:rsid w:val="00397284"/>
    <w:rsid w:val="0039729B"/>
    <w:rsid w:val="003972AA"/>
    <w:rsid w:val="003972BC"/>
    <w:rsid w:val="00397309"/>
    <w:rsid w:val="00397326"/>
    <w:rsid w:val="00397371"/>
    <w:rsid w:val="003973FD"/>
    <w:rsid w:val="00397401"/>
    <w:rsid w:val="0039743F"/>
    <w:rsid w:val="003974E7"/>
    <w:rsid w:val="00397509"/>
    <w:rsid w:val="0039756E"/>
    <w:rsid w:val="003975A9"/>
    <w:rsid w:val="00397609"/>
    <w:rsid w:val="0039760F"/>
    <w:rsid w:val="00397636"/>
    <w:rsid w:val="00397663"/>
    <w:rsid w:val="00397755"/>
    <w:rsid w:val="00397775"/>
    <w:rsid w:val="0039777F"/>
    <w:rsid w:val="0039780B"/>
    <w:rsid w:val="0039784C"/>
    <w:rsid w:val="00397869"/>
    <w:rsid w:val="003978B1"/>
    <w:rsid w:val="003978E3"/>
    <w:rsid w:val="003978E7"/>
    <w:rsid w:val="0039795C"/>
    <w:rsid w:val="0039796C"/>
    <w:rsid w:val="00397A1B"/>
    <w:rsid w:val="00397A27"/>
    <w:rsid w:val="00397A29"/>
    <w:rsid w:val="00397A5C"/>
    <w:rsid w:val="00397A68"/>
    <w:rsid w:val="00397AE7"/>
    <w:rsid w:val="00397AFE"/>
    <w:rsid w:val="00397B00"/>
    <w:rsid w:val="00397B5A"/>
    <w:rsid w:val="00397B63"/>
    <w:rsid w:val="00397B92"/>
    <w:rsid w:val="00397B99"/>
    <w:rsid w:val="00397BD4"/>
    <w:rsid w:val="00397BE0"/>
    <w:rsid w:val="00397C1E"/>
    <w:rsid w:val="00397C58"/>
    <w:rsid w:val="00397CA1"/>
    <w:rsid w:val="00397DBA"/>
    <w:rsid w:val="00397DD1"/>
    <w:rsid w:val="00397EA7"/>
    <w:rsid w:val="00397EE2"/>
    <w:rsid w:val="00397EE3"/>
    <w:rsid w:val="00397FF0"/>
    <w:rsid w:val="003A0083"/>
    <w:rsid w:val="003A0119"/>
    <w:rsid w:val="003A0168"/>
    <w:rsid w:val="003A017E"/>
    <w:rsid w:val="003A0229"/>
    <w:rsid w:val="003A02AC"/>
    <w:rsid w:val="003A02BC"/>
    <w:rsid w:val="003A0325"/>
    <w:rsid w:val="003A03B5"/>
    <w:rsid w:val="003A0479"/>
    <w:rsid w:val="003A04B0"/>
    <w:rsid w:val="003A0522"/>
    <w:rsid w:val="003A054E"/>
    <w:rsid w:val="003A05B9"/>
    <w:rsid w:val="003A0621"/>
    <w:rsid w:val="003A063D"/>
    <w:rsid w:val="003A073E"/>
    <w:rsid w:val="003A077C"/>
    <w:rsid w:val="003A078F"/>
    <w:rsid w:val="003A07DF"/>
    <w:rsid w:val="003A0837"/>
    <w:rsid w:val="003A0841"/>
    <w:rsid w:val="003A08D5"/>
    <w:rsid w:val="003A08F4"/>
    <w:rsid w:val="003A090E"/>
    <w:rsid w:val="003A0965"/>
    <w:rsid w:val="003A0A2E"/>
    <w:rsid w:val="003A0A7A"/>
    <w:rsid w:val="003A0AD1"/>
    <w:rsid w:val="003A0AFD"/>
    <w:rsid w:val="003A0B0D"/>
    <w:rsid w:val="003A0B10"/>
    <w:rsid w:val="003A0B54"/>
    <w:rsid w:val="003A0B80"/>
    <w:rsid w:val="003A0BB4"/>
    <w:rsid w:val="003A0BE7"/>
    <w:rsid w:val="003A0C77"/>
    <w:rsid w:val="003A0C7C"/>
    <w:rsid w:val="003A0D0E"/>
    <w:rsid w:val="003A0DB6"/>
    <w:rsid w:val="003A0DC6"/>
    <w:rsid w:val="003A0EEF"/>
    <w:rsid w:val="003A0F95"/>
    <w:rsid w:val="003A101E"/>
    <w:rsid w:val="003A105B"/>
    <w:rsid w:val="003A1156"/>
    <w:rsid w:val="003A119D"/>
    <w:rsid w:val="003A11DC"/>
    <w:rsid w:val="003A1207"/>
    <w:rsid w:val="003A1269"/>
    <w:rsid w:val="003A126C"/>
    <w:rsid w:val="003A1287"/>
    <w:rsid w:val="003A12A3"/>
    <w:rsid w:val="003A12DD"/>
    <w:rsid w:val="003A1307"/>
    <w:rsid w:val="003A130F"/>
    <w:rsid w:val="003A134C"/>
    <w:rsid w:val="003A137E"/>
    <w:rsid w:val="003A13BA"/>
    <w:rsid w:val="003A13BE"/>
    <w:rsid w:val="003A1423"/>
    <w:rsid w:val="003A1430"/>
    <w:rsid w:val="003A147E"/>
    <w:rsid w:val="003A1524"/>
    <w:rsid w:val="003A1529"/>
    <w:rsid w:val="003A1550"/>
    <w:rsid w:val="003A1590"/>
    <w:rsid w:val="003A15C9"/>
    <w:rsid w:val="003A169E"/>
    <w:rsid w:val="003A16C1"/>
    <w:rsid w:val="003A1786"/>
    <w:rsid w:val="003A17CB"/>
    <w:rsid w:val="003A1822"/>
    <w:rsid w:val="003A183F"/>
    <w:rsid w:val="003A1843"/>
    <w:rsid w:val="003A1852"/>
    <w:rsid w:val="003A186E"/>
    <w:rsid w:val="003A1899"/>
    <w:rsid w:val="003A18F6"/>
    <w:rsid w:val="003A18F9"/>
    <w:rsid w:val="003A191A"/>
    <w:rsid w:val="003A19A4"/>
    <w:rsid w:val="003A1A48"/>
    <w:rsid w:val="003A1A77"/>
    <w:rsid w:val="003A1A86"/>
    <w:rsid w:val="003A1AEA"/>
    <w:rsid w:val="003A1AF5"/>
    <w:rsid w:val="003A1B15"/>
    <w:rsid w:val="003A1B8C"/>
    <w:rsid w:val="003A1BA3"/>
    <w:rsid w:val="003A1BC2"/>
    <w:rsid w:val="003A1BD3"/>
    <w:rsid w:val="003A1BF2"/>
    <w:rsid w:val="003A1C56"/>
    <w:rsid w:val="003A1D68"/>
    <w:rsid w:val="003A1DCB"/>
    <w:rsid w:val="003A1E08"/>
    <w:rsid w:val="003A1E20"/>
    <w:rsid w:val="003A1E8C"/>
    <w:rsid w:val="003A1EC3"/>
    <w:rsid w:val="003A1ED0"/>
    <w:rsid w:val="003A1EF3"/>
    <w:rsid w:val="003A1F00"/>
    <w:rsid w:val="003A1F29"/>
    <w:rsid w:val="003A1FD1"/>
    <w:rsid w:val="003A1FD5"/>
    <w:rsid w:val="003A1FD7"/>
    <w:rsid w:val="003A1FEB"/>
    <w:rsid w:val="003A2057"/>
    <w:rsid w:val="003A207B"/>
    <w:rsid w:val="003A20BC"/>
    <w:rsid w:val="003A20C2"/>
    <w:rsid w:val="003A20C6"/>
    <w:rsid w:val="003A2161"/>
    <w:rsid w:val="003A218A"/>
    <w:rsid w:val="003A21DA"/>
    <w:rsid w:val="003A2258"/>
    <w:rsid w:val="003A2295"/>
    <w:rsid w:val="003A22A3"/>
    <w:rsid w:val="003A232F"/>
    <w:rsid w:val="003A2394"/>
    <w:rsid w:val="003A2399"/>
    <w:rsid w:val="003A23BC"/>
    <w:rsid w:val="003A244E"/>
    <w:rsid w:val="003A2463"/>
    <w:rsid w:val="003A246C"/>
    <w:rsid w:val="003A2483"/>
    <w:rsid w:val="003A2506"/>
    <w:rsid w:val="003A267E"/>
    <w:rsid w:val="003A26A1"/>
    <w:rsid w:val="003A26D0"/>
    <w:rsid w:val="003A26F3"/>
    <w:rsid w:val="003A2731"/>
    <w:rsid w:val="003A2823"/>
    <w:rsid w:val="003A2859"/>
    <w:rsid w:val="003A2870"/>
    <w:rsid w:val="003A2881"/>
    <w:rsid w:val="003A28F2"/>
    <w:rsid w:val="003A298B"/>
    <w:rsid w:val="003A2998"/>
    <w:rsid w:val="003A29AE"/>
    <w:rsid w:val="003A29CE"/>
    <w:rsid w:val="003A29D5"/>
    <w:rsid w:val="003A2A6B"/>
    <w:rsid w:val="003A2A9F"/>
    <w:rsid w:val="003A2ABF"/>
    <w:rsid w:val="003A2B6E"/>
    <w:rsid w:val="003A2B9B"/>
    <w:rsid w:val="003A2BC5"/>
    <w:rsid w:val="003A2BEF"/>
    <w:rsid w:val="003A2CBC"/>
    <w:rsid w:val="003A2CBE"/>
    <w:rsid w:val="003A2CC8"/>
    <w:rsid w:val="003A2CE4"/>
    <w:rsid w:val="003A2D34"/>
    <w:rsid w:val="003A2D4F"/>
    <w:rsid w:val="003A2D7F"/>
    <w:rsid w:val="003A2DDC"/>
    <w:rsid w:val="003A2DE1"/>
    <w:rsid w:val="003A2DF4"/>
    <w:rsid w:val="003A2E37"/>
    <w:rsid w:val="003A2E60"/>
    <w:rsid w:val="003A2EDC"/>
    <w:rsid w:val="003A2F0B"/>
    <w:rsid w:val="003A2F5C"/>
    <w:rsid w:val="003A2F77"/>
    <w:rsid w:val="003A2FE5"/>
    <w:rsid w:val="003A303F"/>
    <w:rsid w:val="003A3045"/>
    <w:rsid w:val="003A3049"/>
    <w:rsid w:val="003A306C"/>
    <w:rsid w:val="003A30B3"/>
    <w:rsid w:val="003A3122"/>
    <w:rsid w:val="003A3137"/>
    <w:rsid w:val="003A315E"/>
    <w:rsid w:val="003A3183"/>
    <w:rsid w:val="003A31DD"/>
    <w:rsid w:val="003A3201"/>
    <w:rsid w:val="003A3210"/>
    <w:rsid w:val="003A3234"/>
    <w:rsid w:val="003A3251"/>
    <w:rsid w:val="003A3340"/>
    <w:rsid w:val="003A3358"/>
    <w:rsid w:val="003A33E9"/>
    <w:rsid w:val="003A34A2"/>
    <w:rsid w:val="003A3513"/>
    <w:rsid w:val="003A3527"/>
    <w:rsid w:val="003A35CC"/>
    <w:rsid w:val="003A3628"/>
    <w:rsid w:val="003A362F"/>
    <w:rsid w:val="003A368D"/>
    <w:rsid w:val="003A369F"/>
    <w:rsid w:val="003A36B2"/>
    <w:rsid w:val="003A36E5"/>
    <w:rsid w:val="003A374C"/>
    <w:rsid w:val="003A3797"/>
    <w:rsid w:val="003A3798"/>
    <w:rsid w:val="003A37B8"/>
    <w:rsid w:val="003A3815"/>
    <w:rsid w:val="003A389C"/>
    <w:rsid w:val="003A38A8"/>
    <w:rsid w:val="003A38D2"/>
    <w:rsid w:val="003A38D3"/>
    <w:rsid w:val="003A3986"/>
    <w:rsid w:val="003A39CE"/>
    <w:rsid w:val="003A39DD"/>
    <w:rsid w:val="003A3A16"/>
    <w:rsid w:val="003A3A7B"/>
    <w:rsid w:val="003A3A86"/>
    <w:rsid w:val="003A3B3F"/>
    <w:rsid w:val="003A3C48"/>
    <w:rsid w:val="003A3C53"/>
    <w:rsid w:val="003A3CD4"/>
    <w:rsid w:val="003A3CD6"/>
    <w:rsid w:val="003A3DB0"/>
    <w:rsid w:val="003A3E8C"/>
    <w:rsid w:val="003A3F55"/>
    <w:rsid w:val="003A3F74"/>
    <w:rsid w:val="003A3F9D"/>
    <w:rsid w:val="003A3FC6"/>
    <w:rsid w:val="003A3FFA"/>
    <w:rsid w:val="003A4022"/>
    <w:rsid w:val="003A4050"/>
    <w:rsid w:val="003A406A"/>
    <w:rsid w:val="003A4073"/>
    <w:rsid w:val="003A407D"/>
    <w:rsid w:val="003A40AE"/>
    <w:rsid w:val="003A40F5"/>
    <w:rsid w:val="003A4101"/>
    <w:rsid w:val="003A4139"/>
    <w:rsid w:val="003A421B"/>
    <w:rsid w:val="003A4243"/>
    <w:rsid w:val="003A4253"/>
    <w:rsid w:val="003A426B"/>
    <w:rsid w:val="003A4275"/>
    <w:rsid w:val="003A4302"/>
    <w:rsid w:val="003A43CE"/>
    <w:rsid w:val="003A43DA"/>
    <w:rsid w:val="003A43E4"/>
    <w:rsid w:val="003A4442"/>
    <w:rsid w:val="003A44E2"/>
    <w:rsid w:val="003A44EE"/>
    <w:rsid w:val="003A4514"/>
    <w:rsid w:val="003A456E"/>
    <w:rsid w:val="003A457D"/>
    <w:rsid w:val="003A4587"/>
    <w:rsid w:val="003A45A6"/>
    <w:rsid w:val="003A45CE"/>
    <w:rsid w:val="003A4610"/>
    <w:rsid w:val="003A466B"/>
    <w:rsid w:val="003A4683"/>
    <w:rsid w:val="003A4695"/>
    <w:rsid w:val="003A471C"/>
    <w:rsid w:val="003A4785"/>
    <w:rsid w:val="003A4805"/>
    <w:rsid w:val="003A4881"/>
    <w:rsid w:val="003A48E8"/>
    <w:rsid w:val="003A4901"/>
    <w:rsid w:val="003A4905"/>
    <w:rsid w:val="003A490B"/>
    <w:rsid w:val="003A497A"/>
    <w:rsid w:val="003A4A49"/>
    <w:rsid w:val="003A4A75"/>
    <w:rsid w:val="003A4BAD"/>
    <w:rsid w:val="003A4BD5"/>
    <w:rsid w:val="003A4C0E"/>
    <w:rsid w:val="003A4CBE"/>
    <w:rsid w:val="003A4D55"/>
    <w:rsid w:val="003A4D7E"/>
    <w:rsid w:val="003A4D8B"/>
    <w:rsid w:val="003A4DEF"/>
    <w:rsid w:val="003A4E1E"/>
    <w:rsid w:val="003A4E20"/>
    <w:rsid w:val="003A4EB8"/>
    <w:rsid w:val="003A4ECA"/>
    <w:rsid w:val="003A4EE6"/>
    <w:rsid w:val="003A4F15"/>
    <w:rsid w:val="003A4FB2"/>
    <w:rsid w:val="003A5007"/>
    <w:rsid w:val="003A50BE"/>
    <w:rsid w:val="003A50C1"/>
    <w:rsid w:val="003A50DE"/>
    <w:rsid w:val="003A5112"/>
    <w:rsid w:val="003A5127"/>
    <w:rsid w:val="003A515C"/>
    <w:rsid w:val="003A515E"/>
    <w:rsid w:val="003A5186"/>
    <w:rsid w:val="003A51AF"/>
    <w:rsid w:val="003A51DE"/>
    <w:rsid w:val="003A51E2"/>
    <w:rsid w:val="003A52A6"/>
    <w:rsid w:val="003A52D6"/>
    <w:rsid w:val="003A52EB"/>
    <w:rsid w:val="003A5326"/>
    <w:rsid w:val="003A5340"/>
    <w:rsid w:val="003A5375"/>
    <w:rsid w:val="003A5416"/>
    <w:rsid w:val="003A5489"/>
    <w:rsid w:val="003A54C9"/>
    <w:rsid w:val="003A5566"/>
    <w:rsid w:val="003A5586"/>
    <w:rsid w:val="003A5659"/>
    <w:rsid w:val="003A566D"/>
    <w:rsid w:val="003A566F"/>
    <w:rsid w:val="003A5670"/>
    <w:rsid w:val="003A567E"/>
    <w:rsid w:val="003A5698"/>
    <w:rsid w:val="003A56E1"/>
    <w:rsid w:val="003A571D"/>
    <w:rsid w:val="003A57CD"/>
    <w:rsid w:val="003A5810"/>
    <w:rsid w:val="003A58EB"/>
    <w:rsid w:val="003A5903"/>
    <w:rsid w:val="003A5910"/>
    <w:rsid w:val="003A59E1"/>
    <w:rsid w:val="003A59E5"/>
    <w:rsid w:val="003A5A3E"/>
    <w:rsid w:val="003A5AB6"/>
    <w:rsid w:val="003A5ACE"/>
    <w:rsid w:val="003A5ADD"/>
    <w:rsid w:val="003A5AF7"/>
    <w:rsid w:val="003A5AFE"/>
    <w:rsid w:val="003A5B30"/>
    <w:rsid w:val="003A5B88"/>
    <w:rsid w:val="003A5C07"/>
    <w:rsid w:val="003A5C1F"/>
    <w:rsid w:val="003A5CA9"/>
    <w:rsid w:val="003A5D05"/>
    <w:rsid w:val="003A5D1B"/>
    <w:rsid w:val="003A5D3F"/>
    <w:rsid w:val="003A5D42"/>
    <w:rsid w:val="003A5D50"/>
    <w:rsid w:val="003A5DB7"/>
    <w:rsid w:val="003A5DF1"/>
    <w:rsid w:val="003A5E11"/>
    <w:rsid w:val="003A5E17"/>
    <w:rsid w:val="003A5E62"/>
    <w:rsid w:val="003A5EFE"/>
    <w:rsid w:val="003A5F9C"/>
    <w:rsid w:val="003A60E6"/>
    <w:rsid w:val="003A60EE"/>
    <w:rsid w:val="003A60F9"/>
    <w:rsid w:val="003A6112"/>
    <w:rsid w:val="003A6185"/>
    <w:rsid w:val="003A61C6"/>
    <w:rsid w:val="003A622D"/>
    <w:rsid w:val="003A623D"/>
    <w:rsid w:val="003A626D"/>
    <w:rsid w:val="003A629F"/>
    <w:rsid w:val="003A62E7"/>
    <w:rsid w:val="003A6372"/>
    <w:rsid w:val="003A639B"/>
    <w:rsid w:val="003A63BF"/>
    <w:rsid w:val="003A642D"/>
    <w:rsid w:val="003A64F1"/>
    <w:rsid w:val="003A64FF"/>
    <w:rsid w:val="003A651F"/>
    <w:rsid w:val="003A6556"/>
    <w:rsid w:val="003A6598"/>
    <w:rsid w:val="003A667C"/>
    <w:rsid w:val="003A66E9"/>
    <w:rsid w:val="003A66EB"/>
    <w:rsid w:val="003A6741"/>
    <w:rsid w:val="003A6793"/>
    <w:rsid w:val="003A6800"/>
    <w:rsid w:val="003A685A"/>
    <w:rsid w:val="003A685B"/>
    <w:rsid w:val="003A68D4"/>
    <w:rsid w:val="003A68E4"/>
    <w:rsid w:val="003A692A"/>
    <w:rsid w:val="003A6938"/>
    <w:rsid w:val="003A693A"/>
    <w:rsid w:val="003A69B7"/>
    <w:rsid w:val="003A69E0"/>
    <w:rsid w:val="003A6A03"/>
    <w:rsid w:val="003A6A14"/>
    <w:rsid w:val="003A6A2C"/>
    <w:rsid w:val="003A6A5F"/>
    <w:rsid w:val="003A6AA3"/>
    <w:rsid w:val="003A6BAA"/>
    <w:rsid w:val="003A6BBE"/>
    <w:rsid w:val="003A6BED"/>
    <w:rsid w:val="003A6C28"/>
    <w:rsid w:val="003A6CB2"/>
    <w:rsid w:val="003A6CD6"/>
    <w:rsid w:val="003A6CD9"/>
    <w:rsid w:val="003A6CED"/>
    <w:rsid w:val="003A6D8C"/>
    <w:rsid w:val="003A6D9F"/>
    <w:rsid w:val="003A6DA1"/>
    <w:rsid w:val="003A6DA7"/>
    <w:rsid w:val="003A6DAD"/>
    <w:rsid w:val="003A6E1D"/>
    <w:rsid w:val="003A6E3A"/>
    <w:rsid w:val="003A6E61"/>
    <w:rsid w:val="003A6EA3"/>
    <w:rsid w:val="003A6F48"/>
    <w:rsid w:val="003A6F66"/>
    <w:rsid w:val="003A6F9E"/>
    <w:rsid w:val="003A6FD0"/>
    <w:rsid w:val="003A7027"/>
    <w:rsid w:val="003A705E"/>
    <w:rsid w:val="003A7066"/>
    <w:rsid w:val="003A7079"/>
    <w:rsid w:val="003A7094"/>
    <w:rsid w:val="003A711D"/>
    <w:rsid w:val="003A7168"/>
    <w:rsid w:val="003A719D"/>
    <w:rsid w:val="003A71B8"/>
    <w:rsid w:val="003A71BF"/>
    <w:rsid w:val="003A72F1"/>
    <w:rsid w:val="003A72F5"/>
    <w:rsid w:val="003A7301"/>
    <w:rsid w:val="003A7360"/>
    <w:rsid w:val="003A7400"/>
    <w:rsid w:val="003A74F5"/>
    <w:rsid w:val="003A74FA"/>
    <w:rsid w:val="003A7533"/>
    <w:rsid w:val="003A75CE"/>
    <w:rsid w:val="003A75EC"/>
    <w:rsid w:val="003A7623"/>
    <w:rsid w:val="003A7665"/>
    <w:rsid w:val="003A76AA"/>
    <w:rsid w:val="003A76CB"/>
    <w:rsid w:val="003A76EA"/>
    <w:rsid w:val="003A76F6"/>
    <w:rsid w:val="003A7701"/>
    <w:rsid w:val="003A770C"/>
    <w:rsid w:val="003A7715"/>
    <w:rsid w:val="003A7738"/>
    <w:rsid w:val="003A778B"/>
    <w:rsid w:val="003A77AB"/>
    <w:rsid w:val="003A77AC"/>
    <w:rsid w:val="003A77C4"/>
    <w:rsid w:val="003A7812"/>
    <w:rsid w:val="003A784C"/>
    <w:rsid w:val="003A7947"/>
    <w:rsid w:val="003A7998"/>
    <w:rsid w:val="003A79E0"/>
    <w:rsid w:val="003A79E3"/>
    <w:rsid w:val="003A7A2C"/>
    <w:rsid w:val="003A7A80"/>
    <w:rsid w:val="003A7A85"/>
    <w:rsid w:val="003A7B53"/>
    <w:rsid w:val="003A7B70"/>
    <w:rsid w:val="003A7B82"/>
    <w:rsid w:val="003A7BBA"/>
    <w:rsid w:val="003A7C30"/>
    <w:rsid w:val="003A7D5F"/>
    <w:rsid w:val="003A7E3C"/>
    <w:rsid w:val="003A7E4A"/>
    <w:rsid w:val="003A7E86"/>
    <w:rsid w:val="003A7EB1"/>
    <w:rsid w:val="003A7EF8"/>
    <w:rsid w:val="003A7FC8"/>
    <w:rsid w:val="003B0016"/>
    <w:rsid w:val="003B009C"/>
    <w:rsid w:val="003B012D"/>
    <w:rsid w:val="003B01B6"/>
    <w:rsid w:val="003B01E2"/>
    <w:rsid w:val="003B0217"/>
    <w:rsid w:val="003B023A"/>
    <w:rsid w:val="003B0285"/>
    <w:rsid w:val="003B02AD"/>
    <w:rsid w:val="003B02C5"/>
    <w:rsid w:val="003B0328"/>
    <w:rsid w:val="003B032D"/>
    <w:rsid w:val="003B0345"/>
    <w:rsid w:val="003B03F6"/>
    <w:rsid w:val="003B03FC"/>
    <w:rsid w:val="003B0454"/>
    <w:rsid w:val="003B04AE"/>
    <w:rsid w:val="003B0529"/>
    <w:rsid w:val="003B052F"/>
    <w:rsid w:val="003B05B5"/>
    <w:rsid w:val="003B063A"/>
    <w:rsid w:val="003B06F0"/>
    <w:rsid w:val="003B06F9"/>
    <w:rsid w:val="003B0732"/>
    <w:rsid w:val="003B073C"/>
    <w:rsid w:val="003B0776"/>
    <w:rsid w:val="003B077A"/>
    <w:rsid w:val="003B083C"/>
    <w:rsid w:val="003B09D6"/>
    <w:rsid w:val="003B0A0D"/>
    <w:rsid w:val="003B0A7D"/>
    <w:rsid w:val="003B0AB8"/>
    <w:rsid w:val="003B0ACD"/>
    <w:rsid w:val="003B0AFA"/>
    <w:rsid w:val="003B0B34"/>
    <w:rsid w:val="003B0B3F"/>
    <w:rsid w:val="003B0BA3"/>
    <w:rsid w:val="003B0C17"/>
    <w:rsid w:val="003B0C84"/>
    <w:rsid w:val="003B0CE5"/>
    <w:rsid w:val="003B0CE7"/>
    <w:rsid w:val="003B0CF0"/>
    <w:rsid w:val="003B0D03"/>
    <w:rsid w:val="003B0D2D"/>
    <w:rsid w:val="003B0E07"/>
    <w:rsid w:val="003B0E11"/>
    <w:rsid w:val="003B0E54"/>
    <w:rsid w:val="003B0E9F"/>
    <w:rsid w:val="003B0EA6"/>
    <w:rsid w:val="003B0EE7"/>
    <w:rsid w:val="003B0F22"/>
    <w:rsid w:val="003B0F43"/>
    <w:rsid w:val="003B0FE9"/>
    <w:rsid w:val="003B0FFC"/>
    <w:rsid w:val="003B10B9"/>
    <w:rsid w:val="003B10BC"/>
    <w:rsid w:val="003B10C6"/>
    <w:rsid w:val="003B10F9"/>
    <w:rsid w:val="003B112A"/>
    <w:rsid w:val="003B112E"/>
    <w:rsid w:val="003B1187"/>
    <w:rsid w:val="003B11C2"/>
    <w:rsid w:val="003B11D2"/>
    <w:rsid w:val="003B11F2"/>
    <w:rsid w:val="003B11F6"/>
    <w:rsid w:val="003B1220"/>
    <w:rsid w:val="003B1281"/>
    <w:rsid w:val="003B1301"/>
    <w:rsid w:val="003B1336"/>
    <w:rsid w:val="003B135F"/>
    <w:rsid w:val="003B13A2"/>
    <w:rsid w:val="003B13A6"/>
    <w:rsid w:val="003B148F"/>
    <w:rsid w:val="003B14C9"/>
    <w:rsid w:val="003B14CE"/>
    <w:rsid w:val="003B159E"/>
    <w:rsid w:val="003B15DE"/>
    <w:rsid w:val="003B163F"/>
    <w:rsid w:val="003B1776"/>
    <w:rsid w:val="003B17A3"/>
    <w:rsid w:val="003B17D2"/>
    <w:rsid w:val="003B181E"/>
    <w:rsid w:val="003B18E9"/>
    <w:rsid w:val="003B1920"/>
    <w:rsid w:val="003B1931"/>
    <w:rsid w:val="003B194A"/>
    <w:rsid w:val="003B1953"/>
    <w:rsid w:val="003B196C"/>
    <w:rsid w:val="003B1988"/>
    <w:rsid w:val="003B1A85"/>
    <w:rsid w:val="003B1A91"/>
    <w:rsid w:val="003B1AF1"/>
    <w:rsid w:val="003B1B0A"/>
    <w:rsid w:val="003B1B3C"/>
    <w:rsid w:val="003B1B43"/>
    <w:rsid w:val="003B1BA0"/>
    <w:rsid w:val="003B1C89"/>
    <w:rsid w:val="003B1CB9"/>
    <w:rsid w:val="003B1CFB"/>
    <w:rsid w:val="003B1D08"/>
    <w:rsid w:val="003B1D87"/>
    <w:rsid w:val="003B1D92"/>
    <w:rsid w:val="003B1E97"/>
    <w:rsid w:val="003B1EB4"/>
    <w:rsid w:val="003B1EF3"/>
    <w:rsid w:val="003B1F11"/>
    <w:rsid w:val="003B1F2E"/>
    <w:rsid w:val="003B1F43"/>
    <w:rsid w:val="003B1F95"/>
    <w:rsid w:val="003B1FA9"/>
    <w:rsid w:val="003B2031"/>
    <w:rsid w:val="003B203C"/>
    <w:rsid w:val="003B208D"/>
    <w:rsid w:val="003B20BC"/>
    <w:rsid w:val="003B2108"/>
    <w:rsid w:val="003B213E"/>
    <w:rsid w:val="003B2174"/>
    <w:rsid w:val="003B21C7"/>
    <w:rsid w:val="003B21DF"/>
    <w:rsid w:val="003B2293"/>
    <w:rsid w:val="003B2383"/>
    <w:rsid w:val="003B238D"/>
    <w:rsid w:val="003B23B6"/>
    <w:rsid w:val="003B2425"/>
    <w:rsid w:val="003B2426"/>
    <w:rsid w:val="003B245A"/>
    <w:rsid w:val="003B2476"/>
    <w:rsid w:val="003B2485"/>
    <w:rsid w:val="003B24F6"/>
    <w:rsid w:val="003B2510"/>
    <w:rsid w:val="003B2606"/>
    <w:rsid w:val="003B2699"/>
    <w:rsid w:val="003B26AB"/>
    <w:rsid w:val="003B26BD"/>
    <w:rsid w:val="003B2733"/>
    <w:rsid w:val="003B2741"/>
    <w:rsid w:val="003B2759"/>
    <w:rsid w:val="003B2792"/>
    <w:rsid w:val="003B27AE"/>
    <w:rsid w:val="003B27F3"/>
    <w:rsid w:val="003B2833"/>
    <w:rsid w:val="003B2920"/>
    <w:rsid w:val="003B2921"/>
    <w:rsid w:val="003B2974"/>
    <w:rsid w:val="003B29C7"/>
    <w:rsid w:val="003B2A13"/>
    <w:rsid w:val="003B2A4E"/>
    <w:rsid w:val="003B2A54"/>
    <w:rsid w:val="003B2AAB"/>
    <w:rsid w:val="003B2AB4"/>
    <w:rsid w:val="003B2AF5"/>
    <w:rsid w:val="003B2B0C"/>
    <w:rsid w:val="003B2B2A"/>
    <w:rsid w:val="003B2B53"/>
    <w:rsid w:val="003B2B87"/>
    <w:rsid w:val="003B2BA4"/>
    <w:rsid w:val="003B2BD3"/>
    <w:rsid w:val="003B2BEF"/>
    <w:rsid w:val="003B2CDF"/>
    <w:rsid w:val="003B2CE2"/>
    <w:rsid w:val="003B2D00"/>
    <w:rsid w:val="003B2D12"/>
    <w:rsid w:val="003B2D48"/>
    <w:rsid w:val="003B2D8E"/>
    <w:rsid w:val="003B2DC0"/>
    <w:rsid w:val="003B2DD1"/>
    <w:rsid w:val="003B2E0F"/>
    <w:rsid w:val="003B2E6E"/>
    <w:rsid w:val="003B2EAC"/>
    <w:rsid w:val="003B2EBF"/>
    <w:rsid w:val="003B2EE4"/>
    <w:rsid w:val="003B2F0F"/>
    <w:rsid w:val="003B2FCE"/>
    <w:rsid w:val="003B300E"/>
    <w:rsid w:val="003B3057"/>
    <w:rsid w:val="003B3062"/>
    <w:rsid w:val="003B30C8"/>
    <w:rsid w:val="003B30DC"/>
    <w:rsid w:val="003B30F9"/>
    <w:rsid w:val="003B3100"/>
    <w:rsid w:val="003B312E"/>
    <w:rsid w:val="003B3144"/>
    <w:rsid w:val="003B315A"/>
    <w:rsid w:val="003B316B"/>
    <w:rsid w:val="003B318C"/>
    <w:rsid w:val="003B31E6"/>
    <w:rsid w:val="003B323F"/>
    <w:rsid w:val="003B329C"/>
    <w:rsid w:val="003B33CB"/>
    <w:rsid w:val="003B342E"/>
    <w:rsid w:val="003B348B"/>
    <w:rsid w:val="003B348F"/>
    <w:rsid w:val="003B34BC"/>
    <w:rsid w:val="003B3504"/>
    <w:rsid w:val="003B3520"/>
    <w:rsid w:val="003B35A5"/>
    <w:rsid w:val="003B35CE"/>
    <w:rsid w:val="003B35D4"/>
    <w:rsid w:val="003B36A4"/>
    <w:rsid w:val="003B36BB"/>
    <w:rsid w:val="003B36DD"/>
    <w:rsid w:val="003B36FB"/>
    <w:rsid w:val="003B370B"/>
    <w:rsid w:val="003B373B"/>
    <w:rsid w:val="003B37D7"/>
    <w:rsid w:val="003B3824"/>
    <w:rsid w:val="003B3863"/>
    <w:rsid w:val="003B387C"/>
    <w:rsid w:val="003B3887"/>
    <w:rsid w:val="003B38DB"/>
    <w:rsid w:val="003B3984"/>
    <w:rsid w:val="003B39F7"/>
    <w:rsid w:val="003B3A34"/>
    <w:rsid w:val="003B3AC7"/>
    <w:rsid w:val="003B3AC9"/>
    <w:rsid w:val="003B3B1E"/>
    <w:rsid w:val="003B3BB1"/>
    <w:rsid w:val="003B3BE1"/>
    <w:rsid w:val="003B3BFF"/>
    <w:rsid w:val="003B3C2C"/>
    <w:rsid w:val="003B3C35"/>
    <w:rsid w:val="003B3C41"/>
    <w:rsid w:val="003B3C4C"/>
    <w:rsid w:val="003B3C87"/>
    <w:rsid w:val="003B3C92"/>
    <w:rsid w:val="003B3C96"/>
    <w:rsid w:val="003B3CDE"/>
    <w:rsid w:val="003B3D66"/>
    <w:rsid w:val="003B3DFA"/>
    <w:rsid w:val="003B3E54"/>
    <w:rsid w:val="003B3EF1"/>
    <w:rsid w:val="003B3F1F"/>
    <w:rsid w:val="003B3FA5"/>
    <w:rsid w:val="003B3FB1"/>
    <w:rsid w:val="003B3FED"/>
    <w:rsid w:val="003B400D"/>
    <w:rsid w:val="003B403A"/>
    <w:rsid w:val="003B4056"/>
    <w:rsid w:val="003B4083"/>
    <w:rsid w:val="003B4091"/>
    <w:rsid w:val="003B40CC"/>
    <w:rsid w:val="003B40E0"/>
    <w:rsid w:val="003B4216"/>
    <w:rsid w:val="003B4217"/>
    <w:rsid w:val="003B4298"/>
    <w:rsid w:val="003B43C3"/>
    <w:rsid w:val="003B447A"/>
    <w:rsid w:val="003B44C5"/>
    <w:rsid w:val="003B4525"/>
    <w:rsid w:val="003B46ED"/>
    <w:rsid w:val="003B4741"/>
    <w:rsid w:val="003B4776"/>
    <w:rsid w:val="003B47A9"/>
    <w:rsid w:val="003B484D"/>
    <w:rsid w:val="003B487F"/>
    <w:rsid w:val="003B48C2"/>
    <w:rsid w:val="003B48C9"/>
    <w:rsid w:val="003B493E"/>
    <w:rsid w:val="003B4A33"/>
    <w:rsid w:val="003B4A4A"/>
    <w:rsid w:val="003B4AD1"/>
    <w:rsid w:val="003B4B11"/>
    <w:rsid w:val="003B4B59"/>
    <w:rsid w:val="003B4B84"/>
    <w:rsid w:val="003B4C02"/>
    <w:rsid w:val="003B4C49"/>
    <w:rsid w:val="003B4C56"/>
    <w:rsid w:val="003B4C58"/>
    <w:rsid w:val="003B4C5F"/>
    <w:rsid w:val="003B4CBE"/>
    <w:rsid w:val="003B4D60"/>
    <w:rsid w:val="003B4D98"/>
    <w:rsid w:val="003B4DFE"/>
    <w:rsid w:val="003B4E10"/>
    <w:rsid w:val="003B4E13"/>
    <w:rsid w:val="003B4E3C"/>
    <w:rsid w:val="003B4E5D"/>
    <w:rsid w:val="003B4EEC"/>
    <w:rsid w:val="003B4F91"/>
    <w:rsid w:val="003B4FCD"/>
    <w:rsid w:val="003B509E"/>
    <w:rsid w:val="003B5102"/>
    <w:rsid w:val="003B511D"/>
    <w:rsid w:val="003B5140"/>
    <w:rsid w:val="003B5169"/>
    <w:rsid w:val="003B5180"/>
    <w:rsid w:val="003B51CE"/>
    <w:rsid w:val="003B51E0"/>
    <w:rsid w:val="003B5262"/>
    <w:rsid w:val="003B52D1"/>
    <w:rsid w:val="003B52E7"/>
    <w:rsid w:val="003B52F1"/>
    <w:rsid w:val="003B52F3"/>
    <w:rsid w:val="003B535B"/>
    <w:rsid w:val="003B5370"/>
    <w:rsid w:val="003B538B"/>
    <w:rsid w:val="003B5397"/>
    <w:rsid w:val="003B5442"/>
    <w:rsid w:val="003B5449"/>
    <w:rsid w:val="003B55EC"/>
    <w:rsid w:val="003B55FE"/>
    <w:rsid w:val="003B5612"/>
    <w:rsid w:val="003B5633"/>
    <w:rsid w:val="003B564C"/>
    <w:rsid w:val="003B5713"/>
    <w:rsid w:val="003B5740"/>
    <w:rsid w:val="003B592C"/>
    <w:rsid w:val="003B59DD"/>
    <w:rsid w:val="003B5A4F"/>
    <w:rsid w:val="003B5AD2"/>
    <w:rsid w:val="003B5B40"/>
    <w:rsid w:val="003B5B91"/>
    <w:rsid w:val="003B5BA9"/>
    <w:rsid w:val="003B5BD3"/>
    <w:rsid w:val="003B5C1C"/>
    <w:rsid w:val="003B5C2C"/>
    <w:rsid w:val="003B5C4C"/>
    <w:rsid w:val="003B5C74"/>
    <w:rsid w:val="003B5C9F"/>
    <w:rsid w:val="003B5CB1"/>
    <w:rsid w:val="003B5CCE"/>
    <w:rsid w:val="003B5D02"/>
    <w:rsid w:val="003B5D38"/>
    <w:rsid w:val="003B5DA9"/>
    <w:rsid w:val="003B5DAA"/>
    <w:rsid w:val="003B5DDD"/>
    <w:rsid w:val="003B5DF0"/>
    <w:rsid w:val="003B5E24"/>
    <w:rsid w:val="003B5E43"/>
    <w:rsid w:val="003B5EC8"/>
    <w:rsid w:val="003B5F39"/>
    <w:rsid w:val="003B5FA0"/>
    <w:rsid w:val="003B5FC4"/>
    <w:rsid w:val="003B5FEA"/>
    <w:rsid w:val="003B602A"/>
    <w:rsid w:val="003B608B"/>
    <w:rsid w:val="003B60AF"/>
    <w:rsid w:val="003B60FA"/>
    <w:rsid w:val="003B612E"/>
    <w:rsid w:val="003B61A1"/>
    <w:rsid w:val="003B61DD"/>
    <w:rsid w:val="003B6215"/>
    <w:rsid w:val="003B624E"/>
    <w:rsid w:val="003B62CE"/>
    <w:rsid w:val="003B62F2"/>
    <w:rsid w:val="003B6327"/>
    <w:rsid w:val="003B6328"/>
    <w:rsid w:val="003B6446"/>
    <w:rsid w:val="003B644D"/>
    <w:rsid w:val="003B644F"/>
    <w:rsid w:val="003B6461"/>
    <w:rsid w:val="003B64DD"/>
    <w:rsid w:val="003B6528"/>
    <w:rsid w:val="003B6539"/>
    <w:rsid w:val="003B655E"/>
    <w:rsid w:val="003B65B5"/>
    <w:rsid w:val="003B65BB"/>
    <w:rsid w:val="003B665D"/>
    <w:rsid w:val="003B6680"/>
    <w:rsid w:val="003B66D5"/>
    <w:rsid w:val="003B6719"/>
    <w:rsid w:val="003B67F0"/>
    <w:rsid w:val="003B680B"/>
    <w:rsid w:val="003B68FD"/>
    <w:rsid w:val="003B691E"/>
    <w:rsid w:val="003B697F"/>
    <w:rsid w:val="003B6A4E"/>
    <w:rsid w:val="003B6AA6"/>
    <w:rsid w:val="003B6AA7"/>
    <w:rsid w:val="003B6AB0"/>
    <w:rsid w:val="003B6B08"/>
    <w:rsid w:val="003B6C66"/>
    <w:rsid w:val="003B6D46"/>
    <w:rsid w:val="003B6DB2"/>
    <w:rsid w:val="003B6DB3"/>
    <w:rsid w:val="003B6DBA"/>
    <w:rsid w:val="003B6E0D"/>
    <w:rsid w:val="003B6E2E"/>
    <w:rsid w:val="003B6E3E"/>
    <w:rsid w:val="003B6E89"/>
    <w:rsid w:val="003B6E8E"/>
    <w:rsid w:val="003B6E95"/>
    <w:rsid w:val="003B6F58"/>
    <w:rsid w:val="003B6F60"/>
    <w:rsid w:val="003B6F89"/>
    <w:rsid w:val="003B6FC6"/>
    <w:rsid w:val="003B7082"/>
    <w:rsid w:val="003B7114"/>
    <w:rsid w:val="003B718C"/>
    <w:rsid w:val="003B7195"/>
    <w:rsid w:val="003B71F0"/>
    <w:rsid w:val="003B7219"/>
    <w:rsid w:val="003B723B"/>
    <w:rsid w:val="003B7273"/>
    <w:rsid w:val="003B72B3"/>
    <w:rsid w:val="003B7310"/>
    <w:rsid w:val="003B7352"/>
    <w:rsid w:val="003B742B"/>
    <w:rsid w:val="003B7458"/>
    <w:rsid w:val="003B7478"/>
    <w:rsid w:val="003B74C8"/>
    <w:rsid w:val="003B7517"/>
    <w:rsid w:val="003B755C"/>
    <w:rsid w:val="003B760D"/>
    <w:rsid w:val="003B762C"/>
    <w:rsid w:val="003B767F"/>
    <w:rsid w:val="003B7681"/>
    <w:rsid w:val="003B76F3"/>
    <w:rsid w:val="003B76F9"/>
    <w:rsid w:val="003B7757"/>
    <w:rsid w:val="003B7758"/>
    <w:rsid w:val="003B77CD"/>
    <w:rsid w:val="003B7832"/>
    <w:rsid w:val="003B7890"/>
    <w:rsid w:val="003B78A9"/>
    <w:rsid w:val="003B78B0"/>
    <w:rsid w:val="003B78FA"/>
    <w:rsid w:val="003B792F"/>
    <w:rsid w:val="003B79A2"/>
    <w:rsid w:val="003B79D9"/>
    <w:rsid w:val="003B7A0C"/>
    <w:rsid w:val="003B7A26"/>
    <w:rsid w:val="003B7A4C"/>
    <w:rsid w:val="003B7B01"/>
    <w:rsid w:val="003B7B2C"/>
    <w:rsid w:val="003B7B60"/>
    <w:rsid w:val="003B7B84"/>
    <w:rsid w:val="003B7C02"/>
    <w:rsid w:val="003B7C14"/>
    <w:rsid w:val="003B7C32"/>
    <w:rsid w:val="003B7CBC"/>
    <w:rsid w:val="003B7CEE"/>
    <w:rsid w:val="003B7D8E"/>
    <w:rsid w:val="003B7DAE"/>
    <w:rsid w:val="003B7EA0"/>
    <w:rsid w:val="003B7F2A"/>
    <w:rsid w:val="003B7FAF"/>
    <w:rsid w:val="003B7FB9"/>
    <w:rsid w:val="003B7FD4"/>
    <w:rsid w:val="003B7FD5"/>
    <w:rsid w:val="003C000A"/>
    <w:rsid w:val="003C0017"/>
    <w:rsid w:val="003C0030"/>
    <w:rsid w:val="003C0090"/>
    <w:rsid w:val="003C00F0"/>
    <w:rsid w:val="003C01B2"/>
    <w:rsid w:val="003C01C8"/>
    <w:rsid w:val="003C0214"/>
    <w:rsid w:val="003C0259"/>
    <w:rsid w:val="003C0308"/>
    <w:rsid w:val="003C030F"/>
    <w:rsid w:val="003C034C"/>
    <w:rsid w:val="003C0385"/>
    <w:rsid w:val="003C0420"/>
    <w:rsid w:val="003C04AC"/>
    <w:rsid w:val="003C04C0"/>
    <w:rsid w:val="003C0501"/>
    <w:rsid w:val="003C0521"/>
    <w:rsid w:val="003C0560"/>
    <w:rsid w:val="003C059A"/>
    <w:rsid w:val="003C05BA"/>
    <w:rsid w:val="003C060B"/>
    <w:rsid w:val="003C0623"/>
    <w:rsid w:val="003C066B"/>
    <w:rsid w:val="003C06B5"/>
    <w:rsid w:val="003C06ED"/>
    <w:rsid w:val="003C0728"/>
    <w:rsid w:val="003C0810"/>
    <w:rsid w:val="003C0830"/>
    <w:rsid w:val="003C084D"/>
    <w:rsid w:val="003C089D"/>
    <w:rsid w:val="003C092E"/>
    <w:rsid w:val="003C0970"/>
    <w:rsid w:val="003C098F"/>
    <w:rsid w:val="003C0A40"/>
    <w:rsid w:val="003C0A41"/>
    <w:rsid w:val="003C0A49"/>
    <w:rsid w:val="003C0AB1"/>
    <w:rsid w:val="003C0B88"/>
    <w:rsid w:val="003C0B8E"/>
    <w:rsid w:val="003C0BB5"/>
    <w:rsid w:val="003C0C1C"/>
    <w:rsid w:val="003C0C38"/>
    <w:rsid w:val="003C0CF5"/>
    <w:rsid w:val="003C0D9E"/>
    <w:rsid w:val="003C0DE3"/>
    <w:rsid w:val="003C0DF9"/>
    <w:rsid w:val="003C0EA2"/>
    <w:rsid w:val="003C0EE2"/>
    <w:rsid w:val="003C0F75"/>
    <w:rsid w:val="003C0FBA"/>
    <w:rsid w:val="003C101A"/>
    <w:rsid w:val="003C1188"/>
    <w:rsid w:val="003C11FB"/>
    <w:rsid w:val="003C1211"/>
    <w:rsid w:val="003C12B9"/>
    <w:rsid w:val="003C12E8"/>
    <w:rsid w:val="003C12FC"/>
    <w:rsid w:val="003C1320"/>
    <w:rsid w:val="003C1379"/>
    <w:rsid w:val="003C1408"/>
    <w:rsid w:val="003C1430"/>
    <w:rsid w:val="003C144E"/>
    <w:rsid w:val="003C14C8"/>
    <w:rsid w:val="003C14ED"/>
    <w:rsid w:val="003C14EE"/>
    <w:rsid w:val="003C14FA"/>
    <w:rsid w:val="003C1547"/>
    <w:rsid w:val="003C1554"/>
    <w:rsid w:val="003C157A"/>
    <w:rsid w:val="003C15E7"/>
    <w:rsid w:val="003C161C"/>
    <w:rsid w:val="003C163B"/>
    <w:rsid w:val="003C1662"/>
    <w:rsid w:val="003C168B"/>
    <w:rsid w:val="003C16F3"/>
    <w:rsid w:val="003C1729"/>
    <w:rsid w:val="003C176D"/>
    <w:rsid w:val="003C17BE"/>
    <w:rsid w:val="003C1820"/>
    <w:rsid w:val="003C182C"/>
    <w:rsid w:val="003C1832"/>
    <w:rsid w:val="003C18AF"/>
    <w:rsid w:val="003C18D0"/>
    <w:rsid w:val="003C196E"/>
    <w:rsid w:val="003C19FC"/>
    <w:rsid w:val="003C1A20"/>
    <w:rsid w:val="003C1A29"/>
    <w:rsid w:val="003C1A7A"/>
    <w:rsid w:val="003C1ABA"/>
    <w:rsid w:val="003C1B15"/>
    <w:rsid w:val="003C1BF0"/>
    <w:rsid w:val="003C1CA0"/>
    <w:rsid w:val="003C1CB6"/>
    <w:rsid w:val="003C1CE7"/>
    <w:rsid w:val="003C1CEB"/>
    <w:rsid w:val="003C1CED"/>
    <w:rsid w:val="003C1D77"/>
    <w:rsid w:val="003C1EED"/>
    <w:rsid w:val="003C1F7E"/>
    <w:rsid w:val="003C1F85"/>
    <w:rsid w:val="003C1F86"/>
    <w:rsid w:val="003C1FC3"/>
    <w:rsid w:val="003C1FE2"/>
    <w:rsid w:val="003C205B"/>
    <w:rsid w:val="003C205D"/>
    <w:rsid w:val="003C2082"/>
    <w:rsid w:val="003C2091"/>
    <w:rsid w:val="003C20DC"/>
    <w:rsid w:val="003C20F7"/>
    <w:rsid w:val="003C213C"/>
    <w:rsid w:val="003C21B5"/>
    <w:rsid w:val="003C21C3"/>
    <w:rsid w:val="003C21FB"/>
    <w:rsid w:val="003C2207"/>
    <w:rsid w:val="003C2244"/>
    <w:rsid w:val="003C2294"/>
    <w:rsid w:val="003C22B8"/>
    <w:rsid w:val="003C2396"/>
    <w:rsid w:val="003C2406"/>
    <w:rsid w:val="003C241A"/>
    <w:rsid w:val="003C2434"/>
    <w:rsid w:val="003C24A1"/>
    <w:rsid w:val="003C252D"/>
    <w:rsid w:val="003C2553"/>
    <w:rsid w:val="003C258A"/>
    <w:rsid w:val="003C25B7"/>
    <w:rsid w:val="003C25BA"/>
    <w:rsid w:val="003C2658"/>
    <w:rsid w:val="003C274A"/>
    <w:rsid w:val="003C27BD"/>
    <w:rsid w:val="003C27F8"/>
    <w:rsid w:val="003C2869"/>
    <w:rsid w:val="003C28AA"/>
    <w:rsid w:val="003C28F2"/>
    <w:rsid w:val="003C28F9"/>
    <w:rsid w:val="003C295A"/>
    <w:rsid w:val="003C29A4"/>
    <w:rsid w:val="003C2A3D"/>
    <w:rsid w:val="003C2A45"/>
    <w:rsid w:val="003C2A54"/>
    <w:rsid w:val="003C2A57"/>
    <w:rsid w:val="003C2AC4"/>
    <w:rsid w:val="003C2B43"/>
    <w:rsid w:val="003C2B68"/>
    <w:rsid w:val="003C2B91"/>
    <w:rsid w:val="003C2B99"/>
    <w:rsid w:val="003C2C1B"/>
    <w:rsid w:val="003C2E14"/>
    <w:rsid w:val="003C2E52"/>
    <w:rsid w:val="003C2E6C"/>
    <w:rsid w:val="003C2F12"/>
    <w:rsid w:val="003C2F2B"/>
    <w:rsid w:val="003C301E"/>
    <w:rsid w:val="003C3139"/>
    <w:rsid w:val="003C3168"/>
    <w:rsid w:val="003C316B"/>
    <w:rsid w:val="003C318E"/>
    <w:rsid w:val="003C31F5"/>
    <w:rsid w:val="003C320B"/>
    <w:rsid w:val="003C3249"/>
    <w:rsid w:val="003C325D"/>
    <w:rsid w:val="003C3299"/>
    <w:rsid w:val="003C32EE"/>
    <w:rsid w:val="003C3303"/>
    <w:rsid w:val="003C33D5"/>
    <w:rsid w:val="003C33F2"/>
    <w:rsid w:val="003C346B"/>
    <w:rsid w:val="003C34A4"/>
    <w:rsid w:val="003C34B8"/>
    <w:rsid w:val="003C3542"/>
    <w:rsid w:val="003C3570"/>
    <w:rsid w:val="003C35A7"/>
    <w:rsid w:val="003C3682"/>
    <w:rsid w:val="003C36FE"/>
    <w:rsid w:val="003C3724"/>
    <w:rsid w:val="003C37E8"/>
    <w:rsid w:val="003C37EB"/>
    <w:rsid w:val="003C385E"/>
    <w:rsid w:val="003C3867"/>
    <w:rsid w:val="003C389D"/>
    <w:rsid w:val="003C38AD"/>
    <w:rsid w:val="003C38E3"/>
    <w:rsid w:val="003C3924"/>
    <w:rsid w:val="003C39F3"/>
    <w:rsid w:val="003C3A41"/>
    <w:rsid w:val="003C3AB5"/>
    <w:rsid w:val="003C3AE2"/>
    <w:rsid w:val="003C3B02"/>
    <w:rsid w:val="003C3B1A"/>
    <w:rsid w:val="003C3B37"/>
    <w:rsid w:val="003C3B7C"/>
    <w:rsid w:val="003C3BAB"/>
    <w:rsid w:val="003C3BC5"/>
    <w:rsid w:val="003C3BE7"/>
    <w:rsid w:val="003C3C28"/>
    <w:rsid w:val="003C3C4B"/>
    <w:rsid w:val="003C3CAE"/>
    <w:rsid w:val="003C3CC2"/>
    <w:rsid w:val="003C3D28"/>
    <w:rsid w:val="003C3D80"/>
    <w:rsid w:val="003C3DCD"/>
    <w:rsid w:val="003C3DE4"/>
    <w:rsid w:val="003C3E3A"/>
    <w:rsid w:val="003C3E61"/>
    <w:rsid w:val="003C3E78"/>
    <w:rsid w:val="003C3E93"/>
    <w:rsid w:val="003C3E9E"/>
    <w:rsid w:val="003C3F8A"/>
    <w:rsid w:val="003C3FC9"/>
    <w:rsid w:val="003C3FD3"/>
    <w:rsid w:val="003C4018"/>
    <w:rsid w:val="003C402E"/>
    <w:rsid w:val="003C404F"/>
    <w:rsid w:val="003C406B"/>
    <w:rsid w:val="003C40E3"/>
    <w:rsid w:val="003C40FC"/>
    <w:rsid w:val="003C42FC"/>
    <w:rsid w:val="003C43E1"/>
    <w:rsid w:val="003C4410"/>
    <w:rsid w:val="003C4435"/>
    <w:rsid w:val="003C445E"/>
    <w:rsid w:val="003C4465"/>
    <w:rsid w:val="003C4466"/>
    <w:rsid w:val="003C44CA"/>
    <w:rsid w:val="003C4512"/>
    <w:rsid w:val="003C4542"/>
    <w:rsid w:val="003C455A"/>
    <w:rsid w:val="003C45E3"/>
    <w:rsid w:val="003C4614"/>
    <w:rsid w:val="003C4684"/>
    <w:rsid w:val="003C46D8"/>
    <w:rsid w:val="003C4726"/>
    <w:rsid w:val="003C4799"/>
    <w:rsid w:val="003C47A4"/>
    <w:rsid w:val="003C47CC"/>
    <w:rsid w:val="003C484A"/>
    <w:rsid w:val="003C4994"/>
    <w:rsid w:val="003C49A6"/>
    <w:rsid w:val="003C49BC"/>
    <w:rsid w:val="003C49C5"/>
    <w:rsid w:val="003C4A66"/>
    <w:rsid w:val="003C4A6A"/>
    <w:rsid w:val="003C4A9B"/>
    <w:rsid w:val="003C4AB2"/>
    <w:rsid w:val="003C4AD3"/>
    <w:rsid w:val="003C4AF8"/>
    <w:rsid w:val="003C4B6A"/>
    <w:rsid w:val="003C4BD8"/>
    <w:rsid w:val="003C4C9A"/>
    <w:rsid w:val="003C4CEB"/>
    <w:rsid w:val="003C4D21"/>
    <w:rsid w:val="003C4D37"/>
    <w:rsid w:val="003C4D76"/>
    <w:rsid w:val="003C4D95"/>
    <w:rsid w:val="003C4E6A"/>
    <w:rsid w:val="003C4EAB"/>
    <w:rsid w:val="003C4F04"/>
    <w:rsid w:val="003C4F10"/>
    <w:rsid w:val="003C4FE1"/>
    <w:rsid w:val="003C501E"/>
    <w:rsid w:val="003C5027"/>
    <w:rsid w:val="003C509A"/>
    <w:rsid w:val="003C50CE"/>
    <w:rsid w:val="003C50CF"/>
    <w:rsid w:val="003C50EB"/>
    <w:rsid w:val="003C51A5"/>
    <w:rsid w:val="003C51F1"/>
    <w:rsid w:val="003C5294"/>
    <w:rsid w:val="003C52B3"/>
    <w:rsid w:val="003C5323"/>
    <w:rsid w:val="003C539E"/>
    <w:rsid w:val="003C53C2"/>
    <w:rsid w:val="003C53E9"/>
    <w:rsid w:val="003C54C0"/>
    <w:rsid w:val="003C54F0"/>
    <w:rsid w:val="003C55B8"/>
    <w:rsid w:val="003C55F5"/>
    <w:rsid w:val="003C56B5"/>
    <w:rsid w:val="003C56B9"/>
    <w:rsid w:val="003C5704"/>
    <w:rsid w:val="003C5755"/>
    <w:rsid w:val="003C5792"/>
    <w:rsid w:val="003C586F"/>
    <w:rsid w:val="003C5881"/>
    <w:rsid w:val="003C5882"/>
    <w:rsid w:val="003C58D3"/>
    <w:rsid w:val="003C58EB"/>
    <w:rsid w:val="003C58F9"/>
    <w:rsid w:val="003C5906"/>
    <w:rsid w:val="003C5914"/>
    <w:rsid w:val="003C595D"/>
    <w:rsid w:val="003C5A33"/>
    <w:rsid w:val="003C5AF3"/>
    <w:rsid w:val="003C5C03"/>
    <w:rsid w:val="003C5C19"/>
    <w:rsid w:val="003C5C4B"/>
    <w:rsid w:val="003C5C91"/>
    <w:rsid w:val="003C5C96"/>
    <w:rsid w:val="003C5CB5"/>
    <w:rsid w:val="003C5D09"/>
    <w:rsid w:val="003C5D78"/>
    <w:rsid w:val="003C5DFA"/>
    <w:rsid w:val="003C5E06"/>
    <w:rsid w:val="003C5E1B"/>
    <w:rsid w:val="003C5E72"/>
    <w:rsid w:val="003C5EAA"/>
    <w:rsid w:val="003C5ED6"/>
    <w:rsid w:val="003C5EF4"/>
    <w:rsid w:val="003C5F01"/>
    <w:rsid w:val="003C5F21"/>
    <w:rsid w:val="003C5FC6"/>
    <w:rsid w:val="003C5FDC"/>
    <w:rsid w:val="003C5FF4"/>
    <w:rsid w:val="003C6012"/>
    <w:rsid w:val="003C6121"/>
    <w:rsid w:val="003C6166"/>
    <w:rsid w:val="003C61DF"/>
    <w:rsid w:val="003C6230"/>
    <w:rsid w:val="003C6241"/>
    <w:rsid w:val="003C6271"/>
    <w:rsid w:val="003C633B"/>
    <w:rsid w:val="003C6373"/>
    <w:rsid w:val="003C6417"/>
    <w:rsid w:val="003C6444"/>
    <w:rsid w:val="003C646E"/>
    <w:rsid w:val="003C64E2"/>
    <w:rsid w:val="003C652D"/>
    <w:rsid w:val="003C657B"/>
    <w:rsid w:val="003C6599"/>
    <w:rsid w:val="003C65A0"/>
    <w:rsid w:val="003C65DB"/>
    <w:rsid w:val="003C65F3"/>
    <w:rsid w:val="003C661E"/>
    <w:rsid w:val="003C665F"/>
    <w:rsid w:val="003C671F"/>
    <w:rsid w:val="003C6725"/>
    <w:rsid w:val="003C679D"/>
    <w:rsid w:val="003C690E"/>
    <w:rsid w:val="003C6979"/>
    <w:rsid w:val="003C6987"/>
    <w:rsid w:val="003C69DE"/>
    <w:rsid w:val="003C69F8"/>
    <w:rsid w:val="003C6A34"/>
    <w:rsid w:val="003C6A45"/>
    <w:rsid w:val="003C6AAF"/>
    <w:rsid w:val="003C6B1B"/>
    <w:rsid w:val="003C6BC2"/>
    <w:rsid w:val="003C6C27"/>
    <w:rsid w:val="003C6C90"/>
    <w:rsid w:val="003C6CF7"/>
    <w:rsid w:val="003C6DAC"/>
    <w:rsid w:val="003C6E07"/>
    <w:rsid w:val="003C6E22"/>
    <w:rsid w:val="003C6E3E"/>
    <w:rsid w:val="003C6EC6"/>
    <w:rsid w:val="003C6ECE"/>
    <w:rsid w:val="003C6F28"/>
    <w:rsid w:val="003C6F59"/>
    <w:rsid w:val="003C6FF1"/>
    <w:rsid w:val="003C7010"/>
    <w:rsid w:val="003C7031"/>
    <w:rsid w:val="003C70BC"/>
    <w:rsid w:val="003C70C3"/>
    <w:rsid w:val="003C70DE"/>
    <w:rsid w:val="003C7111"/>
    <w:rsid w:val="003C7174"/>
    <w:rsid w:val="003C71B9"/>
    <w:rsid w:val="003C7323"/>
    <w:rsid w:val="003C73E0"/>
    <w:rsid w:val="003C753E"/>
    <w:rsid w:val="003C75FA"/>
    <w:rsid w:val="003C7615"/>
    <w:rsid w:val="003C7626"/>
    <w:rsid w:val="003C763E"/>
    <w:rsid w:val="003C768B"/>
    <w:rsid w:val="003C76AB"/>
    <w:rsid w:val="003C76AC"/>
    <w:rsid w:val="003C76C1"/>
    <w:rsid w:val="003C76D1"/>
    <w:rsid w:val="003C7764"/>
    <w:rsid w:val="003C785E"/>
    <w:rsid w:val="003C787B"/>
    <w:rsid w:val="003C78C0"/>
    <w:rsid w:val="003C78CF"/>
    <w:rsid w:val="003C78E9"/>
    <w:rsid w:val="003C78F4"/>
    <w:rsid w:val="003C7978"/>
    <w:rsid w:val="003C799D"/>
    <w:rsid w:val="003C79F9"/>
    <w:rsid w:val="003C7A47"/>
    <w:rsid w:val="003C7AA4"/>
    <w:rsid w:val="003C7B73"/>
    <w:rsid w:val="003C7BFD"/>
    <w:rsid w:val="003C7CC5"/>
    <w:rsid w:val="003C7CE3"/>
    <w:rsid w:val="003C7CE6"/>
    <w:rsid w:val="003C7D15"/>
    <w:rsid w:val="003C7D2C"/>
    <w:rsid w:val="003C7D45"/>
    <w:rsid w:val="003C7D52"/>
    <w:rsid w:val="003C7DA9"/>
    <w:rsid w:val="003C7E16"/>
    <w:rsid w:val="003C7E8F"/>
    <w:rsid w:val="003C7EC0"/>
    <w:rsid w:val="003C7EDC"/>
    <w:rsid w:val="003C7FA8"/>
    <w:rsid w:val="003C7FE6"/>
    <w:rsid w:val="003D007E"/>
    <w:rsid w:val="003D0150"/>
    <w:rsid w:val="003D018F"/>
    <w:rsid w:val="003D024A"/>
    <w:rsid w:val="003D0298"/>
    <w:rsid w:val="003D040F"/>
    <w:rsid w:val="003D0419"/>
    <w:rsid w:val="003D044A"/>
    <w:rsid w:val="003D04A2"/>
    <w:rsid w:val="003D0589"/>
    <w:rsid w:val="003D05AB"/>
    <w:rsid w:val="003D05BF"/>
    <w:rsid w:val="003D0612"/>
    <w:rsid w:val="003D0695"/>
    <w:rsid w:val="003D06E3"/>
    <w:rsid w:val="003D073F"/>
    <w:rsid w:val="003D074A"/>
    <w:rsid w:val="003D076D"/>
    <w:rsid w:val="003D0780"/>
    <w:rsid w:val="003D078F"/>
    <w:rsid w:val="003D07CE"/>
    <w:rsid w:val="003D07D4"/>
    <w:rsid w:val="003D07F6"/>
    <w:rsid w:val="003D084E"/>
    <w:rsid w:val="003D0880"/>
    <w:rsid w:val="003D0923"/>
    <w:rsid w:val="003D093B"/>
    <w:rsid w:val="003D0948"/>
    <w:rsid w:val="003D0967"/>
    <w:rsid w:val="003D0983"/>
    <w:rsid w:val="003D0A0E"/>
    <w:rsid w:val="003D0A31"/>
    <w:rsid w:val="003D0A3F"/>
    <w:rsid w:val="003D0AB3"/>
    <w:rsid w:val="003D0C24"/>
    <w:rsid w:val="003D0C46"/>
    <w:rsid w:val="003D0C52"/>
    <w:rsid w:val="003D0C61"/>
    <w:rsid w:val="003D0CCD"/>
    <w:rsid w:val="003D0D20"/>
    <w:rsid w:val="003D0D89"/>
    <w:rsid w:val="003D0DDC"/>
    <w:rsid w:val="003D0E32"/>
    <w:rsid w:val="003D0F7B"/>
    <w:rsid w:val="003D0FB4"/>
    <w:rsid w:val="003D101B"/>
    <w:rsid w:val="003D1045"/>
    <w:rsid w:val="003D1052"/>
    <w:rsid w:val="003D107C"/>
    <w:rsid w:val="003D107F"/>
    <w:rsid w:val="003D10EA"/>
    <w:rsid w:val="003D110A"/>
    <w:rsid w:val="003D123B"/>
    <w:rsid w:val="003D12DA"/>
    <w:rsid w:val="003D1345"/>
    <w:rsid w:val="003D136A"/>
    <w:rsid w:val="003D139F"/>
    <w:rsid w:val="003D13E0"/>
    <w:rsid w:val="003D13EF"/>
    <w:rsid w:val="003D1532"/>
    <w:rsid w:val="003D153B"/>
    <w:rsid w:val="003D154A"/>
    <w:rsid w:val="003D1551"/>
    <w:rsid w:val="003D15CA"/>
    <w:rsid w:val="003D1613"/>
    <w:rsid w:val="003D1695"/>
    <w:rsid w:val="003D170F"/>
    <w:rsid w:val="003D1729"/>
    <w:rsid w:val="003D1839"/>
    <w:rsid w:val="003D1874"/>
    <w:rsid w:val="003D1877"/>
    <w:rsid w:val="003D1924"/>
    <w:rsid w:val="003D1983"/>
    <w:rsid w:val="003D19F9"/>
    <w:rsid w:val="003D1A25"/>
    <w:rsid w:val="003D1A70"/>
    <w:rsid w:val="003D1A9C"/>
    <w:rsid w:val="003D1ACB"/>
    <w:rsid w:val="003D1B48"/>
    <w:rsid w:val="003D1B8A"/>
    <w:rsid w:val="003D1C0F"/>
    <w:rsid w:val="003D1C32"/>
    <w:rsid w:val="003D1D14"/>
    <w:rsid w:val="003D1D1E"/>
    <w:rsid w:val="003D1D8E"/>
    <w:rsid w:val="003D1E56"/>
    <w:rsid w:val="003D1E68"/>
    <w:rsid w:val="003D1EBB"/>
    <w:rsid w:val="003D1EC1"/>
    <w:rsid w:val="003D1F56"/>
    <w:rsid w:val="003D1F96"/>
    <w:rsid w:val="003D2023"/>
    <w:rsid w:val="003D204C"/>
    <w:rsid w:val="003D209E"/>
    <w:rsid w:val="003D20B6"/>
    <w:rsid w:val="003D210D"/>
    <w:rsid w:val="003D211C"/>
    <w:rsid w:val="003D2163"/>
    <w:rsid w:val="003D21E6"/>
    <w:rsid w:val="003D2251"/>
    <w:rsid w:val="003D2291"/>
    <w:rsid w:val="003D22B0"/>
    <w:rsid w:val="003D22D6"/>
    <w:rsid w:val="003D232D"/>
    <w:rsid w:val="003D234F"/>
    <w:rsid w:val="003D2392"/>
    <w:rsid w:val="003D23CB"/>
    <w:rsid w:val="003D23D7"/>
    <w:rsid w:val="003D23FC"/>
    <w:rsid w:val="003D2405"/>
    <w:rsid w:val="003D2412"/>
    <w:rsid w:val="003D241D"/>
    <w:rsid w:val="003D243D"/>
    <w:rsid w:val="003D2479"/>
    <w:rsid w:val="003D24F6"/>
    <w:rsid w:val="003D2526"/>
    <w:rsid w:val="003D258F"/>
    <w:rsid w:val="003D25A9"/>
    <w:rsid w:val="003D25B5"/>
    <w:rsid w:val="003D2643"/>
    <w:rsid w:val="003D2654"/>
    <w:rsid w:val="003D2685"/>
    <w:rsid w:val="003D273F"/>
    <w:rsid w:val="003D2791"/>
    <w:rsid w:val="003D27CA"/>
    <w:rsid w:val="003D2854"/>
    <w:rsid w:val="003D286F"/>
    <w:rsid w:val="003D2883"/>
    <w:rsid w:val="003D2884"/>
    <w:rsid w:val="003D28C4"/>
    <w:rsid w:val="003D28E4"/>
    <w:rsid w:val="003D2963"/>
    <w:rsid w:val="003D299F"/>
    <w:rsid w:val="003D29CA"/>
    <w:rsid w:val="003D2A16"/>
    <w:rsid w:val="003D2AD1"/>
    <w:rsid w:val="003D2AE0"/>
    <w:rsid w:val="003D2B19"/>
    <w:rsid w:val="003D2B76"/>
    <w:rsid w:val="003D2B9C"/>
    <w:rsid w:val="003D2BCB"/>
    <w:rsid w:val="003D2BCD"/>
    <w:rsid w:val="003D2BE4"/>
    <w:rsid w:val="003D2C2D"/>
    <w:rsid w:val="003D2C46"/>
    <w:rsid w:val="003D2C6B"/>
    <w:rsid w:val="003D2C6D"/>
    <w:rsid w:val="003D2C71"/>
    <w:rsid w:val="003D2CB3"/>
    <w:rsid w:val="003D2CD8"/>
    <w:rsid w:val="003D2CE1"/>
    <w:rsid w:val="003D2D76"/>
    <w:rsid w:val="003D2DDE"/>
    <w:rsid w:val="003D2E35"/>
    <w:rsid w:val="003D2E4C"/>
    <w:rsid w:val="003D2E6E"/>
    <w:rsid w:val="003D2E8A"/>
    <w:rsid w:val="003D2F5D"/>
    <w:rsid w:val="003D2F60"/>
    <w:rsid w:val="003D2FD2"/>
    <w:rsid w:val="003D2FDA"/>
    <w:rsid w:val="003D3022"/>
    <w:rsid w:val="003D30C8"/>
    <w:rsid w:val="003D30D7"/>
    <w:rsid w:val="003D30F3"/>
    <w:rsid w:val="003D3114"/>
    <w:rsid w:val="003D31B1"/>
    <w:rsid w:val="003D31F3"/>
    <w:rsid w:val="003D3215"/>
    <w:rsid w:val="003D3281"/>
    <w:rsid w:val="003D32B7"/>
    <w:rsid w:val="003D3361"/>
    <w:rsid w:val="003D33AE"/>
    <w:rsid w:val="003D3427"/>
    <w:rsid w:val="003D342D"/>
    <w:rsid w:val="003D34DF"/>
    <w:rsid w:val="003D34ED"/>
    <w:rsid w:val="003D350B"/>
    <w:rsid w:val="003D350F"/>
    <w:rsid w:val="003D3550"/>
    <w:rsid w:val="003D358F"/>
    <w:rsid w:val="003D35AE"/>
    <w:rsid w:val="003D3602"/>
    <w:rsid w:val="003D367C"/>
    <w:rsid w:val="003D3681"/>
    <w:rsid w:val="003D3692"/>
    <w:rsid w:val="003D36B1"/>
    <w:rsid w:val="003D3723"/>
    <w:rsid w:val="003D3768"/>
    <w:rsid w:val="003D37AD"/>
    <w:rsid w:val="003D37B2"/>
    <w:rsid w:val="003D387C"/>
    <w:rsid w:val="003D38C6"/>
    <w:rsid w:val="003D3906"/>
    <w:rsid w:val="003D39EF"/>
    <w:rsid w:val="003D3A10"/>
    <w:rsid w:val="003D3A49"/>
    <w:rsid w:val="003D3A9F"/>
    <w:rsid w:val="003D3AE1"/>
    <w:rsid w:val="003D3B26"/>
    <w:rsid w:val="003D3B3C"/>
    <w:rsid w:val="003D3B71"/>
    <w:rsid w:val="003D3C05"/>
    <w:rsid w:val="003D3C11"/>
    <w:rsid w:val="003D3C27"/>
    <w:rsid w:val="003D3D5A"/>
    <w:rsid w:val="003D3D6F"/>
    <w:rsid w:val="003D3DD4"/>
    <w:rsid w:val="003D3E1C"/>
    <w:rsid w:val="003D3E83"/>
    <w:rsid w:val="003D3E98"/>
    <w:rsid w:val="003D3EDA"/>
    <w:rsid w:val="003D3EF7"/>
    <w:rsid w:val="003D3F17"/>
    <w:rsid w:val="003D3F5B"/>
    <w:rsid w:val="003D3F5E"/>
    <w:rsid w:val="003D3F6C"/>
    <w:rsid w:val="003D3FB6"/>
    <w:rsid w:val="003D3FEE"/>
    <w:rsid w:val="003D3FFA"/>
    <w:rsid w:val="003D4009"/>
    <w:rsid w:val="003D4010"/>
    <w:rsid w:val="003D4077"/>
    <w:rsid w:val="003D407B"/>
    <w:rsid w:val="003D40AA"/>
    <w:rsid w:val="003D40D7"/>
    <w:rsid w:val="003D40F6"/>
    <w:rsid w:val="003D417E"/>
    <w:rsid w:val="003D4202"/>
    <w:rsid w:val="003D4206"/>
    <w:rsid w:val="003D4236"/>
    <w:rsid w:val="003D426F"/>
    <w:rsid w:val="003D42C7"/>
    <w:rsid w:val="003D42D5"/>
    <w:rsid w:val="003D42F5"/>
    <w:rsid w:val="003D436D"/>
    <w:rsid w:val="003D437C"/>
    <w:rsid w:val="003D43AA"/>
    <w:rsid w:val="003D43F2"/>
    <w:rsid w:val="003D4477"/>
    <w:rsid w:val="003D448E"/>
    <w:rsid w:val="003D44F9"/>
    <w:rsid w:val="003D4566"/>
    <w:rsid w:val="003D4568"/>
    <w:rsid w:val="003D45CD"/>
    <w:rsid w:val="003D45F8"/>
    <w:rsid w:val="003D45F9"/>
    <w:rsid w:val="003D4618"/>
    <w:rsid w:val="003D463C"/>
    <w:rsid w:val="003D4658"/>
    <w:rsid w:val="003D4696"/>
    <w:rsid w:val="003D4754"/>
    <w:rsid w:val="003D4794"/>
    <w:rsid w:val="003D47D9"/>
    <w:rsid w:val="003D486E"/>
    <w:rsid w:val="003D4893"/>
    <w:rsid w:val="003D48A0"/>
    <w:rsid w:val="003D48C2"/>
    <w:rsid w:val="003D48D8"/>
    <w:rsid w:val="003D48E0"/>
    <w:rsid w:val="003D48E2"/>
    <w:rsid w:val="003D48FB"/>
    <w:rsid w:val="003D4923"/>
    <w:rsid w:val="003D49B5"/>
    <w:rsid w:val="003D4A0E"/>
    <w:rsid w:val="003D4A52"/>
    <w:rsid w:val="003D4AB2"/>
    <w:rsid w:val="003D4AFA"/>
    <w:rsid w:val="003D4B6A"/>
    <w:rsid w:val="003D4B85"/>
    <w:rsid w:val="003D4BD0"/>
    <w:rsid w:val="003D4BD6"/>
    <w:rsid w:val="003D4C25"/>
    <w:rsid w:val="003D4CC1"/>
    <w:rsid w:val="003D4D18"/>
    <w:rsid w:val="003D4D78"/>
    <w:rsid w:val="003D4D93"/>
    <w:rsid w:val="003D4DA7"/>
    <w:rsid w:val="003D4DF7"/>
    <w:rsid w:val="003D4E01"/>
    <w:rsid w:val="003D4ED5"/>
    <w:rsid w:val="003D4FF2"/>
    <w:rsid w:val="003D500F"/>
    <w:rsid w:val="003D5033"/>
    <w:rsid w:val="003D5106"/>
    <w:rsid w:val="003D510D"/>
    <w:rsid w:val="003D5186"/>
    <w:rsid w:val="003D51B0"/>
    <w:rsid w:val="003D527A"/>
    <w:rsid w:val="003D52AB"/>
    <w:rsid w:val="003D52F0"/>
    <w:rsid w:val="003D53E0"/>
    <w:rsid w:val="003D5408"/>
    <w:rsid w:val="003D542B"/>
    <w:rsid w:val="003D5433"/>
    <w:rsid w:val="003D544F"/>
    <w:rsid w:val="003D545F"/>
    <w:rsid w:val="003D548F"/>
    <w:rsid w:val="003D5506"/>
    <w:rsid w:val="003D5560"/>
    <w:rsid w:val="003D55C4"/>
    <w:rsid w:val="003D55C8"/>
    <w:rsid w:val="003D5609"/>
    <w:rsid w:val="003D5715"/>
    <w:rsid w:val="003D5791"/>
    <w:rsid w:val="003D5797"/>
    <w:rsid w:val="003D579D"/>
    <w:rsid w:val="003D57F2"/>
    <w:rsid w:val="003D5845"/>
    <w:rsid w:val="003D58CD"/>
    <w:rsid w:val="003D597D"/>
    <w:rsid w:val="003D59C9"/>
    <w:rsid w:val="003D5A07"/>
    <w:rsid w:val="003D5A3D"/>
    <w:rsid w:val="003D5A50"/>
    <w:rsid w:val="003D5A7F"/>
    <w:rsid w:val="003D5A8A"/>
    <w:rsid w:val="003D5AA7"/>
    <w:rsid w:val="003D5AB7"/>
    <w:rsid w:val="003D5B09"/>
    <w:rsid w:val="003D5B0C"/>
    <w:rsid w:val="003D5BD6"/>
    <w:rsid w:val="003D5C25"/>
    <w:rsid w:val="003D5C84"/>
    <w:rsid w:val="003D5C88"/>
    <w:rsid w:val="003D5CF2"/>
    <w:rsid w:val="003D5D37"/>
    <w:rsid w:val="003D5D8E"/>
    <w:rsid w:val="003D5DC5"/>
    <w:rsid w:val="003D5E23"/>
    <w:rsid w:val="003D5F0D"/>
    <w:rsid w:val="003D5F7C"/>
    <w:rsid w:val="003D5F98"/>
    <w:rsid w:val="003D5FA2"/>
    <w:rsid w:val="003D5FA5"/>
    <w:rsid w:val="003D603F"/>
    <w:rsid w:val="003D6079"/>
    <w:rsid w:val="003D616C"/>
    <w:rsid w:val="003D6170"/>
    <w:rsid w:val="003D6229"/>
    <w:rsid w:val="003D6230"/>
    <w:rsid w:val="003D6263"/>
    <w:rsid w:val="003D62DB"/>
    <w:rsid w:val="003D638C"/>
    <w:rsid w:val="003D6400"/>
    <w:rsid w:val="003D6402"/>
    <w:rsid w:val="003D6439"/>
    <w:rsid w:val="003D644A"/>
    <w:rsid w:val="003D6461"/>
    <w:rsid w:val="003D64A7"/>
    <w:rsid w:val="003D64A9"/>
    <w:rsid w:val="003D64D0"/>
    <w:rsid w:val="003D64D6"/>
    <w:rsid w:val="003D64FC"/>
    <w:rsid w:val="003D6510"/>
    <w:rsid w:val="003D6535"/>
    <w:rsid w:val="003D65DF"/>
    <w:rsid w:val="003D65E3"/>
    <w:rsid w:val="003D6635"/>
    <w:rsid w:val="003D665F"/>
    <w:rsid w:val="003D668A"/>
    <w:rsid w:val="003D6698"/>
    <w:rsid w:val="003D66B0"/>
    <w:rsid w:val="003D6800"/>
    <w:rsid w:val="003D6806"/>
    <w:rsid w:val="003D6855"/>
    <w:rsid w:val="003D6865"/>
    <w:rsid w:val="003D68AC"/>
    <w:rsid w:val="003D692A"/>
    <w:rsid w:val="003D6959"/>
    <w:rsid w:val="003D69AE"/>
    <w:rsid w:val="003D6A07"/>
    <w:rsid w:val="003D6A19"/>
    <w:rsid w:val="003D6A4D"/>
    <w:rsid w:val="003D6A6A"/>
    <w:rsid w:val="003D6AA3"/>
    <w:rsid w:val="003D6AC4"/>
    <w:rsid w:val="003D6ACC"/>
    <w:rsid w:val="003D6AEC"/>
    <w:rsid w:val="003D6B31"/>
    <w:rsid w:val="003D6B39"/>
    <w:rsid w:val="003D6B61"/>
    <w:rsid w:val="003D6BE6"/>
    <w:rsid w:val="003D6BF3"/>
    <w:rsid w:val="003D6BF6"/>
    <w:rsid w:val="003D6C30"/>
    <w:rsid w:val="003D6C71"/>
    <w:rsid w:val="003D6CC7"/>
    <w:rsid w:val="003D6CF4"/>
    <w:rsid w:val="003D6CF9"/>
    <w:rsid w:val="003D6D6E"/>
    <w:rsid w:val="003D6DAC"/>
    <w:rsid w:val="003D6DBD"/>
    <w:rsid w:val="003D6E00"/>
    <w:rsid w:val="003D6E8F"/>
    <w:rsid w:val="003D6EB6"/>
    <w:rsid w:val="003D6EF5"/>
    <w:rsid w:val="003D6EF8"/>
    <w:rsid w:val="003D6F02"/>
    <w:rsid w:val="003D6F47"/>
    <w:rsid w:val="003D6F7C"/>
    <w:rsid w:val="003D70BD"/>
    <w:rsid w:val="003D70D2"/>
    <w:rsid w:val="003D7111"/>
    <w:rsid w:val="003D7182"/>
    <w:rsid w:val="003D7194"/>
    <w:rsid w:val="003D71C7"/>
    <w:rsid w:val="003D72DE"/>
    <w:rsid w:val="003D7370"/>
    <w:rsid w:val="003D7372"/>
    <w:rsid w:val="003D7374"/>
    <w:rsid w:val="003D7411"/>
    <w:rsid w:val="003D74EC"/>
    <w:rsid w:val="003D754A"/>
    <w:rsid w:val="003D7595"/>
    <w:rsid w:val="003D759D"/>
    <w:rsid w:val="003D75CE"/>
    <w:rsid w:val="003D7630"/>
    <w:rsid w:val="003D7680"/>
    <w:rsid w:val="003D76C3"/>
    <w:rsid w:val="003D771F"/>
    <w:rsid w:val="003D7732"/>
    <w:rsid w:val="003D7796"/>
    <w:rsid w:val="003D77A8"/>
    <w:rsid w:val="003D782A"/>
    <w:rsid w:val="003D7859"/>
    <w:rsid w:val="003D78F3"/>
    <w:rsid w:val="003D790B"/>
    <w:rsid w:val="003D796A"/>
    <w:rsid w:val="003D7A34"/>
    <w:rsid w:val="003D7A44"/>
    <w:rsid w:val="003D7A47"/>
    <w:rsid w:val="003D7AAE"/>
    <w:rsid w:val="003D7AE9"/>
    <w:rsid w:val="003D7AF8"/>
    <w:rsid w:val="003D7BA5"/>
    <w:rsid w:val="003D7C19"/>
    <w:rsid w:val="003D7D0A"/>
    <w:rsid w:val="003D7D1B"/>
    <w:rsid w:val="003D7D55"/>
    <w:rsid w:val="003D7DEE"/>
    <w:rsid w:val="003D7E13"/>
    <w:rsid w:val="003D7E5F"/>
    <w:rsid w:val="003D7EDB"/>
    <w:rsid w:val="003D7EF2"/>
    <w:rsid w:val="003D7F0E"/>
    <w:rsid w:val="003D7F4E"/>
    <w:rsid w:val="003D7FBE"/>
    <w:rsid w:val="003E002A"/>
    <w:rsid w:val="003E003E"/>
    <w:rsid w:val="003E006E"/>
    <w:rsid w:val="003E0131"/>
    <w:rsid w:val="003E0173"/>
    <w:rsid w:val="003E0196"/>
    <w:rsid w:val="003E0238"/>
    <w:rsid w:val="003E0251"/>
    <w:rsid w:val="003E0269"/>
    <w:rsid w:val="003E02C7"/>
    <w:rsid w:val="003E02E6"/>
    <w:rsid w:val="003E038E"/>
    <w:rsid w:val="003E0400"/>
    <w:rsid w:val="003E043A"/>
    <w:rsid w:val="003E046A"/>
    <w:rsid w:val="003E0480"/>
    <w:rsid w:val="003E04B0"/>
    <w:rsid w:val="003E04D1"/>
    <w:rsid w:val="003E052E"/>
    <w:rsid w:val="003E05BC"/>
    <w:rsid w:val="003E05C3"/>
    <w:rsid w:val="003E05D8"/>
    <w:rsid w:val="003E0668"/>
    <w:rsid w:val="003E06AF"/>
    <w:rsid w:val="003E06C3"/>
    <w:rsid w:val="003E06DD"/>
    <w:rsid w:val="003E0715"/>
    <w:rsid w:val="003E071C"/>
    <w:rsid w:val="003E0758"/>
    <w:rsid w:val="003E07B5"/>
    <w:rsid w:val="003E0820"/>
    <w:rsid w:val="003E084D"/>
    <w:rsid w:val="003E0903"/>
    <w:rsid w:val="003E094D"/>
    <w:rsid w:val="003E0968"/>
    <w:rsid w:val="003E0998"/>
    <w:rsid w:val="003E09A1"/>
    <w:rsid w:val="003E0A00"/>
    <w:rsid w:val="003E0A3E"/>
    <w:rsid w:val="003E0AC1"/>
    <w:rsid w:val="003E0ACE"/>
    <w:rsid w:val="003E0B2B"/>
    <w:rsid w:val="003E0B88"/>
    <w:rsid w:val="003E0B94"/>
    <w:rsid w:val="003E0BAD"/>
    <w:rsid w:val="003E0C6A"/>
    <w:rsid w:val="003E0C6B"/>
    <w:rsid w:val="003E0CC1"/>
    <w:rsid w:val="003E0CCA"/>
    <w:rsid w:val="003E0D2B"/>
    <w:rsid w:val="003E0D2D"/>
    <w:rsid w:val="003E0DEC"/>
    <w:rsid w:val="003E0E0C"/>
    <w:rsid w:val="003E0E3D"/>
    <w:rsid w:val="003E0E8B"/>
    <w:rsid w:val="003E0F06"/>
    <w:rsid w:val="003E0F62"/>
    <w:rsid w:val="003E0FCF"/>
    <w:rsid w:val="003E1006"/>
    <w:rsid w:val="003E10D1"/>
    <w:rsid w:val="003E10D7"/>
    <w:rsid w:val="003E11B1"/>
    <w:rsid w:val="003E1244"/>
    <w:rsid w:val="003E12D9"/>
    <w:rsid w:val="003E1359"/>
    <w:rsid w:val="003E136B"/>
    <w:rsid w:val="003E13A3"/>
    <w:rsid w:val="003E13E4"/>
    <w:rsid w:val="003E144C"/>
    <w:rsid w:val="003E14CE"/>
    <w:rsid w:val="003E14D9"/>
    <w:rsid w:val="003E150B"/>
    <w:rsid w:val="003E154D"/>
    <w:rsid w:val="003E1555"/>
    <w:rsid w:val="003E1583"/>
    <w:rsid w:val="003E160D"/>
    <w:rsid w:val="003E1613"/>
    <w:rsid w:val="003E1632"/>
    <w:rsid w:val="003E168F"/>
    <w:rsid w:val="003E16E5"/>
    <w:rsid w:val="003E16F3"/>
    <w:rsid w:val="003E170C"/>
    <w:rsid w:val="003E1743"/>
    <w:rsid w:val="003E17BA"/>
    <w:rsid w:val="003E17C2"/>
    <w:rsid w:val="003E1859"/>
    <w:rsid w:val="003E185B"/>
    <w:rsid w:val="003E18C3"/>
    <w:rsid w:val="003E190D"/>
    <w:rsid w:val="003E1975"/>
    <w:rsid w:val="003E197E"/>
    <w:rsid w:val="003E1999"/>
    <w:rsid w:val="003E1A03"/>
    <w:rsid w:val="003E1A54"/>
    <w:rsid w:val="003E1A55"/>
    <w:rsid w:val="003E1A9B"/>
    <w:rsid w:val="003E1AC0"/>
    <w:rsid w:val="003E1B10"/>
    <w:rsid w:val="003E1B6A"/>
    <w:rsid w:val="003E1C17"/>
    <w:rsid w:val="003E1C3D"/>
    <w:rsid w:val="003E1C4F"/>
    <w:rsid w:val="003E1C5F"/>
    <w:rsid w:val="003E1C64"/>
    <w:rsid w:val="003E1C9F"/>
    <w:rsid w:val="003E1CB4"/>
    <w:rsid w:val="003E1CD1"/>
    <w:rsid w:val="003E1D03"/>
    <w:rsid w:val="003E1DE9"/>
    <w:rsid w:val="003E1DF4"/>
    <w:rsid w:val="003E1E14"/>
    <w:rsid w:val="003E1E5D"/>
    <w:rsid w:val="003E1E60"/>
    <w:rsid w:val="003E1F47"/>
    <w:rsid w:val="003E1F52"/>
    <w:rsid w:val="003E1F80"/>
    <w:rsid w:val="003E1FA3"/>
    <w:rsid w:val="003E2083"/>
    <w:rsid w:val="003E2086"/>
    <w:rsid w:val="003E208B"/>
    <w:rsid w:val="003E20AA"/>
    <w:rsid w:val="003E2147"/>
    <w:rsid w:val="003E2153"/>
    <w:rsid w:val="003E215D"/>
    <w:rsid w:val="003E2187"/>
    <w:rsid w:val="003E2189"/>
    <w:rsid w:val="003E21A0"/>
    <w:rsid w:val="003E21A4"/>
    <w:rsid w:val="003E21CC"/>
    <w:rsid w:val="003E21DA"/>
    <w:rsid w:val="003E2235"/>
    <w:rsid w:val="003E226A"/>
    <w:rsid w:val="003E2286"/>
    <w:rsid w:val="003E2295"/>
    <w:rsid w:val="003E236B"/>
    <w:rsid w:val="003E2393"/>
    <w:rsid w:val="003E23A7"/>
    <w:rsid w:val="003E23B2"/>
    <w:rsid w:val="003E2443"/>
    <w:rsid w:val="003E249D"/>
    <w:rsid w:val="003E24E8"/>
    <w:rsid w:val="003E24EB"/>
    <w:rsid w:val="003E2526"/>
    <w:rsid w:val="003E25D5"/>
    <w:rsid w:val="003E2604"/>
    <w:rsid w:val="003E2620"/>
    <w:rsid w:val="003E264C"/>
    <w:rsid w:val="003E265C"/>
    <w:rsid w:val="003E26AD"/>
    <w:rsid w:val="003E26B8"/>
    <w:rsid w:val="003E2702"/>
    <w:rsid w:val="003E273E"/>
    <w:rsid w:val="003E2763"/>
    <w:rsid w:val="003E27E7"/>
    <w:rsid w:val="003E2808"/>
    <w:rsid w:val="003E2825"/>
    <w:rsid w:val="003E283F"/>
    <w:rsid w:val="003E284B"/>
    <w:rsid w:val="003E290F"/>
    <w:rsid w:val="003E297C"/>
    <w:rsid w:val="003E29AA"/>
    <w:rsid w:val="003E2A59"/>
    <w:rsid w:val="003E2AA2"/>
    <w:rsid w:val="003E2AE1"/>
    <w:rsid w:val="003E2AF1"/>
    <w:rsid w:val="003E2B10"/>
    <w:rsid w:val="003E2B1A"/>
    <w:rsid w:val="003E2B21"/>
    <w:rsid w:val="003E2B4D"/>
    <w:rsid w:val="003E2B70"/>
    <w:rsid w:val="003E2CAE"/>
    <w:rsid w:val="003E2CB8"/>
    <w:rsid w:val="003E2CE9"/>
    <w:rsid w:val="003E2CFD"/>
    <w:rsid w:val="003E2D15"/>
    <w:rsid w:val="003E2D4F"/>
    <w:rsid w:val="003E2D83"/>
    <w:rsid w:val="003E2EAE"/>
    <w:rsid w:val="003E2F23"/>
    <w:rsid w:val="003E300F"/>
    <w:rsid w:val="003E307F"/>
    <w:rsid w:val="003E3108"/>
    <w:rsid w:val="003E31C8"/>
    <w:rsid w:val="003E3248"/>
    <w:rsid w:val="003E325C"/>
    <w:rsid w:val="003E326D"/>
    <w:rsid w:val="003E328A"/>
    <w:rsid w:val="003E32DC"/>
    <w:rsid w:val="003E32F7"/>
    <w:rsid w:val="003E3489"/>
    <w:rsid w:val="003E34CB"/>
    <w:rsid w:val="003E34F8"/>
    <w:rsid w:val="003E3506"/>
    <w:rsid w:val="003E356A"/>
    <w:rsid w:val="003E3584"/>
    <w:rsid w:val="003E35AB"/>
    <w:rsid w:val="003E35CF"/>
    <w:rsid w:val="003E35EF"/>
    <w:rsid w:val="003E3653"/>
    <w:rsid w:val="003E36B3"/>
    <w:rsid w:val="003E36D7"/>
    <w:rsid w:val="003E3769"/>
    <w:rsid w:val="003E37F9"/>
    <w:rsid w:val="003E38B0"/>
    <w:rsid w:val="003E38BD"/>
    <w:rsid w:val="003E3908"/>
    <w:rsid w:val="003E394E"/>
    <w:rsid w:val="003E3987"/>
    <w:rsid w:val="003E39B3"/>
    <w:rsid w:val="003E39C0"/>
    <w:rsid w:val="003E39C7"/>
    <w:rsid w:val="003E3A52"/>
    <w:rsid w:val="003E3AAA"/>
    <w:rsid w:val="003E3B27"/>
    <w:rsid w:val="003E3B5C"/>
    <w:rsid w:val="003E3B62"/>
    <w:rsid w:val="003E3B78"/>
    <w:rsid w:val="003E3B86"/>
    <w:rsid w:val="003E3BA7"/>
    <w:rsid w:val="003E3BF2"/>
    <w:rsid w:val="003E3C11"/>
    <w:rsid w:val="003E3C35"/>
    <w:rsid w:val="003E3C4D"/>
    <w:rsid w:val="003E3C57"/>
    <w:rsid w:val="003E3C87"/>
    <w:rsid w:val="003E3D0F"/>
    <w:rsid w:val="003E3E29"/>
    <w:rsid w:val="003E3E95"/>
    <w:rsid w:val="003E3EA1"/>
    <w:rsid w:val="003E3F46"/>
    <w:rsid w:val="003E3F4F"/>
    <w:rsid w:val="003E3F5F"/>
    <w:rsid w:val="003E3FA1"/>
    <w:rsid w:val="003E403E"/>
    <w:rsid w:val="003E4060"/>
    <w:rsid w:val="003E40A9"/>
    <w:rsid w:val="003E4185"/>
    <w:rsid w:val="003E4187"/>
    <w:rsid w:val="003E41C5"/>
    <w:rsid w:val="003E41CA"/>
    <w:rsid w:val="003E428F"/>
    <w:rsid w:val="003E42CB"/>
    <w:rsid w:val="003E42E7"/>
    <w:rsid w:val="003E43AA"/>
    <w:rsid w:val="003E43DB"/>
    <w:rsid w:val="003E43E1"/>
    <w:rsid w:val="003E43F6"/>
    <w:rsid w:val="003E43F9"/>
    <w:rsid w:val="003E4421"/>
    <w:rsid w:val="003E44C0"/>
    <w:rsid w:val="003E4539"/>
    <w:rsid w:val="003E45A4"/>
    <w:rsid w:val="003E45F5"/>
    <w:rsid w:val="003E4609"/>
    <w:rsid w:val="003E4627"/>
    <w:rsid w:val="003E469F"/>
    <w:rsid w:val="003E46BE"/>
    <w:rsid w:val="003E46DE"/>
    <w:rsid w:val="003E478E"/>
    <w:rsid w:val="003E47CD"/>
    <w:rsid w:val="003E47D4"/>
    <w:rsid w:val="003E481D"/>
    <w:rsid w:val="003E4860"/>
    <w:rsid w:val="003E4885"/>
    <w:rsid w:val="003E489E"/>
    <w:rsid w:val="003E499E"/>
    <w:rsid w:val="003E49A2"/>
    <w:rsid w:val="003E49CD"/>
    <w:rsid w:val="003E49DA"/>
    <w:rsid w:val="003E4A52"/>
    <w:rsid w:val="003E4A6A"/>
    <w:rsid w:val="003E4A75"/>
    <w:rsid w:val="003E4A8A"/>
    <w:rsid w:val="003E4A99"/>
    <w:rsid w:val="003E4AAC"/>
    <w:rsid w:val="003E4B8E"/>
    <w:rsid w:val="003E4BCD"/>
    <w:rsid w:val="003E4BDA"/>
    <w:rsid w:val="003E4BFE"/>
    <w:rsid w:val="003E4C4C"/>
    <w:rsid w:val="003E4C7C"/>
    <w:rsid w:val="003E4CAB"/>
    <w:rsid w:val="003E4DDE"/>
    <w:rsid w:val="003E4E9E"/>
    <w:rsid w:val="003E4ECA"/>
    <w:rsid w:val="003E4ED7"/>
    <w:rsid w:val="003E4F47"/>
    <w:rsid w:val="003E4F4A"/>
    <w:rsid w:val="003E4F74"/>
    <w:rsid w:val="003E4F94"/>
    <w:rsid w:val="003E5037"/>
    <w:rsid w:val="003E507A"/>
    <w:rsid w:val="003E50D9"/>
    <w:rsid w:val="003E5159"/>
    <w:rsid w:val="003E5179"/>
    <w:rsid w:val="003E5188"/>
    <w:rsid w:val="003E5189"/>
    <w:rsid w:val="003E51A0"/>
    <w:rsid w:val="003E51AB"/>
    <w:rsid w:val="003E5242"/>
    <w:rsid w:val="003E525E"/>
    <w:rsid w:val="003E5292"/>
    <w:rsid w:val="003E52BC"/>
    <w:rsid w:val="003E52DC"/>
    <w:rsid w:val="003E52FE"/>
    <w:rsid w:val="003E5301"/>
    <w:rsid w:val="003E535D"/>
    <w:rsid w:val="003E53AD"/>
    <w:rsid w:val="003E53C7"/>
    <w:rsid w:val="003E543C"/>
    <w:rsid w:val="003E5504"/>
    <w:rsid w:val="003E553E"/>
    <w:rsid w:val="003E5540"/>
    <w:rsid w:val="003E558B"/>
    <w:rsid w:val="003E56C2"/>
    <w:rsid w:val="003E5722"/>
    <w:rsid w:val="003E5814"/>
    <w:rsid w:val="003E5843"/>
    <w:rsid w:val="003E591E"/>
    <w:rsid w:val="003E5927"/>
    <w:rsid w:val="003E593E"/>
    <w:rsid w:val="003E596A"/>
    <w:rsid w:val="003E59C3"/>
    <w:rsid w:val="003E5A4E"/>
    <w:rsid w:val="003E5A6E"/>
    <w:rsid w:val="003E5AC4"/>
    <w:rsid w:val="003E5B00"/>
    <w:rsid w:val="003E5B5E"/>
    <w:rsid w:val="003E5B7D"/>
    <w:rsid w:val="003E5BE3"/>
    <w:rsid w:val="003E5C11"/>
    <w:rsid w:val="003E5C21"/>
    <w:rsid w:val="003E5C3D"/>
    <w:rsid w:val="003E5C6B"/>
    <w:rsid w:val="003E5C7F"/>
    <w:rsid w:val="003E5C96"/>
    <w:rsid w:val="003E5D01"/>
    <w:rsid w:val="003E5DE9"/>
    <w:rsid w:val="003E5F72"/>
    <w:rsid w:val="003E5FC1"/>
    <w:rsid w:val="003E5FE1"/>
    <w:rsid w:val="003E60E9"/>
    <w:rsid w:val="003E6129"/>
    <w:rsid w:val="003E617B"/>
    <w:rsid w:val="003E61A8"/>
    <w:rsid w:val="003E61B3"/>
    <w:rsid w:val="003E61BF"/>
    <w:rsid w:val="003E6217"/>
    <w:rsid w:val="003E6233"/>
    <w:rsid w:val="003E6276"/>
    <w:rsid w:val="003E627C"/>
    <w:rsid w:val="003E6297"/>
    <w:rsid w:val="003E630D"/>
    <w:rsid w:val="003E6378"/>
    <w:rsid w:val="003E63D1"/>
    <w:rsid w:val="003E641E"/>
    <w:rsid w:val="003E64A5"/>
    <w:rsid w:val="003E654B"/>
    <w:rsid w:val="003E656D"/>
    <w:rsid w:val="003E658C"/>
    <w:rsid w:val="003E658D"/>
    <w:rsid w:val="003E65F9"/>
    <w:rsid w:val="003E6607"/>
    <w:rsid w:val="003E66A4"/>
    <w:rsid w:val="003E66E3"/>
    <w:rsid w:val="003E6732"/>
    <w:rsid w:val="003E679B"/>
    <w:rsid w:val="003E682C"/>
    <w:rsid w:val="003E6854"/>
    <w:rsid w:val="003E6866"/>
    <w:rsid w:val="003E6870"/>
    <w:rsid w:val="003E68A2"/>
    <w:rsid w:val="003E68BA"/>
    <w:rsid w:val="003E6960"/>
    <w:rsid w:val="003E6984"/>
    <w:rsid w:val="003E699B"/>
    <w:rsid w:val="003E69C5"/>
    <w:rsid w:val="003E6A1C"/>
    <w:rsid w:val="003E6B12"/>
    <w:rsid w:val="003E6B30"/>
    <w:rsid w:val="003E6B36"/>
    <w:rsid w:val="003E6BBA"/>
    <w:rsid w:val="003E6BEB"/>
    <w:rsid w:val="003E6BF6"/>
    <w:rsid w:val="003E6CAD"/>
    <w:rsid w:val="003E6CB5"/>
    <w:rsid w:val="003E6CBC"/>
    <w:rsid w:val="003E6CEF"/>
    <w:rsid w:val="003E6CF2"/>
    <w:rsid w:val="003E6D5F"/>
    <w:rsid w:val="003E6DD7"/>
    <w:rsid w:val="003E6F29"/>
    <w:rsid w:val="003E6F96"/>
    <w:rsid w:val="003E6F9B"/>
    <w:rsid w:val="003E6FB6"/>
    <w:rsid w:val="003E6FBB"/>
    <w:rsid w:val="003E70C7"/>
    <w:rsid w:val="003E70C9"/>
    <w:rsid w:val="003E7136"/>
    <w:rsid w:val="003E71AF"/>
    <w:rsid w:val="003E71D5"/>
    <w:rsid w:val="003E71F3"/>
    <w:rsid w:val="003E71F4"/>
    <w:rsid w:val="003E71FE"/>
    <w:rsid w:val="003E7236"/>
    <w:rsid w:val="003E7252"/>
    <w:rsid w:val="003E7278"/>
    <w:rsid w:val="003E7295"/>
    <w:rsid w:val="003E72B1"/>
    <w:rsid w:val="003E7312"/>
    <w:rsid w:val="003E731B"/>
    <w:rsid w:val="003E73DD"/>
    <w:rsid w:val="003E740B"/>
    <w:rsid w:val="003E746B"/>
    <w:rsid w:val="003E7478"/>
    <w:rsid w:val="003E7479"/>
    <w:rsid w:val="003E748B"/>
    <w:rsid w:val="003E752D"/>
    <w:rsid w:val="003E753B"/>
    <w:rsid w:val="003E755E"/>
    <w:rsid w:val="003E7566"/>
    <w:rsid w:val="003E76B0"/>
    <w:rsid w:val="003E76C6"/>
    <w:rsid w:val="003E76FE"/>
    <w:rsid w:val="003E7704"/>
    <w:rsid w:val="003E785D"/>
    <w:rsid w:val="003E78D0"/>
    <w:rsid w:val="003E78E5"/>
    <w:rsid w:val="003E78FE"/>
    <w:rsid w:val="003E79E9"/>
    <w:rsid w:val="003E7A2C"/>
    <w:rsid w:val="003E7A37"/>
    <w:rsid w:val="003E7AE3"/>
    <w:rsid w:val="003E7AEB"/>
    <w:rsid w:val="003E7AEF"/>
    <w:rsid w:val="003E7B30"/>
    <w:rsid w:val="003E7BC1"/>
    <w:rsid w:val="003E7BEE"/>
    <w:rsid w:val="003E7D46"/>
    <w:rsid w:val="003E7D73"/>
    <w:rsid w:val="003E7D8D"/>
    <w:rsid w:val="003E7DF2"/>
    <w:rsid w:val="003E7E1B"/>
    <w:rsid w:val="003E7E90"/>
    <w:rsid w:val="003E7E98"/>
    <w:rsid w:val="003E7F00"/>
    <w:rsid w:val="003E7F02"/>
    <w:rsid w:val="003E7F48"/>
    <w:rsid w:val="003E7FE5"/>
    <w:rsid w:val="003F0047"/>
    <w:rsid w:val="003F0053"/>
    <w:rsid w:val="003F00D6"/>
    <w:rsid w:val="003F013A"/>
    <w:rsid w:val="003F0168"/>
    <w:rsid w:val="003F0197"/>
    <w:rsid w:val="003F019D"/>
    <w:rsid w:val="003F01A8"/>
    <w:rsid w:val="003F01F7"/>
    <w:rsid w:val="003F0221"/>
    <w:rsid w:val="003F0265"/>
    <w:rsid w:val="003F02F6"/>
    <w:rsid w:val="003F034B"/>
    <w:rsid w:val="003F037B"/>
    <w:rsid w:val="003F0389"/>
    <w:rsid w:val="003F03A0"/>
    <w:rsid w:val="003F03AD"/>
    <w:rsid w:val="003F03AF"/>
    <w:rsid w:val="003F0481"/>
    <w:rsid w:val="003F04E4"/>
    <w:rsid w:val="003F04FB"/>
    <w:rsid w:val="003F0500"/>
    <w:rsid w:val="003F052C"/>
    <w:rsid w:val="003F0533"/>
    <w:rsid w:val="003F057B"/>
    <w:rsid w:val="003F0591"/>
    <w:rsid w:val="003F070F"/>
    <w:rsid w:val="003F0714"/>
    <w:rsid w:val="003F0746"/>
    <w:rsid w:val="003F0786"/>
    <w:rsid w:val="003F07BE"/>
    <w:rsid w:val="003F0813"/>
    <w:rsid w:val="003F085A"/>
    <w:rsid w:val="003F0923"/>
    <w:rsid w:val="003F0A2E"/>
    <w:rsid w:val="003F0A81"/>
    <w:rsid w:val="003F0A83"/>
    <w:rsid w:val="003F0AB0"/>
    <w:rsid w:val="003F0B1E"/>
    <w:rsid w:val="003F0B89"/>
    <w:rsid w:val="003F0B99"/>
    <w:rsid w:val="003F0C44"/>
    <w:rsid w:val="003F0CCC"/>
    <w:rsid w:val="003F0D5D"/>
    <w:rsid w:val="003F0D6B"/>
    <w:rsid w:val="003F0D70"/>
    <w:rsid w:val="003F0E7B"/>
    <w:rsid w:val="003F0EB4"/>
    <w:rsid w:val="003F0F5D"/>
    <w:rsid w:val="003F0F5F"/>
    <w:rsid w:val="003F0FD0"/>
    <w:rsid w:val="003F0FD2"/>
    <w:rsid w:val="003F1017"/>
    <w:rsid w:val="003F1029"/>
    <w:rsid w:val="003F1054"/>
    <w:rsid w:val="003F1078"/>
    <w:rsid w:val="003F10C6"/>
    <w:rsid w:val="003F1115"/>
    <w:rsid w:val="003F1119"/>
    <w:rsid w:val="003F112E"/>
    <w:rsid w:val="003F11A1"/>
    <w:rsid w:val="003F1206"/>
    <w:rsid w:val="003F1226"/>
    <w:rsid w:val="003F123E"/>
    <w:rsid w:val="003F1269"/>
    <w:rsid w:val="003F1279"/>
    <w:rsid w:val="003F131E"/>
    <w:rsid w:val="003F1330"/>
    <w:rsid w:val="003F13FC"/>
    <w:rsid w:val="003F145D"/>
    <w:rsid w:val="003F1461"/>
    <w:rsid w:val="003F146C"/>
    <w:rsid w:val="003F1478"/>
    <w:rsid w:val="003F149E"/>
    <w:rsid w:val="003F151B"/>
    <w:rsid w:val="003F1525"/>
    <w:rsid w:val="003F1528"/>
    <w:rsid w:val="003F1561"/>
    <w:rsid w:val="003F156A"/>
    <w:rsid w:val="003F1599"/>
    <w:rsid w:val="003F165E"/>
    <w:rsid w:val="003F170A"/>
    <w:rsid w:val="003F173E"/>
    <w:rsid w:val="003F176F"/>
    <w:rsid w:val="003F17D0"/>
    <w:rsid w:val="003F17E3"/>
    <w:rsid w:val="003F181B"/>
    <w:rsid w:val="003F1827"/>
    <w:rsid w:val="003F1845"/>
    <w:rsid w:val="003F1869"/>
    <w:rsid w:val="003F18CC"/>
    <w:rsid w:val="003F1912"/>
    <w:rsid w:val="003F1933"/>
    <w:rsid w:val="003F193E"/>
    <w:rsid w:val="003F197B"/>
    <w:rsid w:val="003F197E"/>
    <w:rsid w:val="003F1A32"/>
    <w:rsid w:val="003F1A59"/>
    <w:rsid w:val="003F1AB6"/>
    <w:rsid w:val="003F1B12"/>
    <w:rsid w:val="003F1B6A"/>
    <w:rsid w:val="003F1B6E"/>
    <w:rsid w:val="003F1B75"/>
    <w:rsid w:val="003F1B7F"/>
    <w:rsid w:val="003F1B8A"/>
    <w:rsid w:val="003F1B8F"/>
    <w:rsid w:val="003F1BEA"/>
    <w:rsid w:val="003F1C15"/>
    <w:rsid w:val="003F1CF7"/>
    <w:rsid w:val="003F1D17"/>
    <w:rsid w:val="003F1D41"/>
    <w:rsid w:val="003F1D4C"/>
    <w:rsid w:val="003F1D75"/>
    <w:rsid w:val="003F1D8B"/>
    <w:rsid w:val="003F1DC3"/>
    <w:rsid w:val="003F1E0B"/>
    <w:rsid w:val="003F1E16"/>
    <w:rsid w:val="003F1EB6"/>
    <w:rsid w:val="003F1EBB"/>
    <w:rsid w:val="003F1F90"/>
    <w:rsid w:val="003F1F92"/>
    <w:rsid w:val="003F2043"/>
    <w:rsid w:val="003F206D"/>
    <w:rsid w:val="003F209F"/>
    <w:rsid w:val="003F20C6"/>
    <w:rsid w:val="003F20DF"/>
    <w:rsid w:val="003F2135"/>
    <w:rsid w:val="003F2150"/>
    <w:rsid w:val="003F217C"/>
    <w:rsid w:val="003F21A3"/>
    <w:rsid w:val="003F21D5"/>
    <w:rsid w:val="003F2210"/>
    <w:rsid w:val="003F2222"/>
    <w:rsid w:val="003F227E"/>
    <w:rsid w:val="003F22AA"/>
    <w:rsid w:val="003F2392"/>
    <w:rsid w:val="003F23DA"/>
    <w:rsid w:val="003F244A"/>
    <w:rsid w:val="003F245A"/>
    <w:rsid w:val="003F24AD"/>
    <w:rsid w:val="003F2505"/>
    <w:rsid w:val="003F253C"/>
    <w:rsid w:val="003F258A"/>
    <w:rsid w:val="003F25A4"/>
    <w:rsid w:val="003F25A8"/>
    <w:rsid w:val="003F2668"/>
    <w:rsid w:val="003F2698"/>
    <w:rsid w:val="003F26D4"/>
    <w:rsid w:val="003F273C"/>
    <w:rsid w:val="003F2766"/>
    <w:rsid w:val="003F2769"/>
    <w:rsid w:val="003F27EF"/>
    <w:rsid w:val="003F28C4"/>
    <w:rsid w:val="003F28D5"/>
    <w:rsid w:val="003F292B"/>
    <w:rsid w:val="003F2944"/>
    <w:rsid w:val="003F297A"/>
    <w:rsid w:val="003F297F"/>
    <w:rsid w:val="003F2A0E"/>
    <w:rsid w:val="003F2A48"/>
    <w:rsid w:val="003F2A4C"/>
    <w:rsid w:val="003F2A60"/>
    <w:rsid w:val="003F2A9A"/>
    <w:rsid w:val="003F2ADD"/>
    <w:rsid w:val="003F2AE5"/>
    <w:rsid w:val="003F2B48"/>
    <w:rsid w:val="003F2B5E"/>
    <w:rsid w:val="003F2BE9"/>
    <w:rsid w:val="003F2C60"/>
    <w:rsid w:val="003F2C61"/>
    <w:rsid w:val="003F2CE1"/>
    <w:rsid w:val="003F2CEA"/>
    <w:rsid w:val="003F2D49"/>
    <w:rsid w:val="003F2D57"/>
    <w:rsid w:val="003F2D71"/>
    <w:rsid w:val="003F2DB5"/>
    <w:rsid w:val="003F2E07"/>
    <w:rsid w:val="003F2E7A"/>
    <w:rsid w:val="003F2EBE"/>
    <w:rsid w:val="003F2F5D"/>
    <w:rsid w:val="003F2F87"/>
    <w:rsid w:val="003F2FB5"/>
    <w:rsid w:val="003F3032"/>
    <w:rsid w:val="003F304E"/>
    <w:rsid w:val="003F307E"/>
    <w:rsid w:val="003F30A0"/>
    <w:rsid w:val="003F30A5"/>
    <w:rsid w:val="003F30CB"/>
    <w:rsid w:val="003F313D"/>
    <w:rsid w:val="003F3159"/>
    <w:rsid w:val="003F3202"/>
    <w:rsid w:val="003F329B"/>
    <w:rsid w:val="003F3304"/>
    <w:rsid w:val="003F3344"/>
    <w:rsid w:val="003F33E0"/>
    <w:rsid w:val="003F33EE"/>
    <w:rsid w:val="003F343E"/>
    <w:rsid w:val="003F344D"/>
    <w:rsid w:val="003F344E"/>
    <w:rsid w:val="003F3456"/>
    <w:rsid w:val="003F3473"/>
    <w:rsid w:val="003F34E6"/>
    <w:rsid w:val="003F3568"/>
    <w:rsid w:val="003F357A"/>
    <w:rsid w:val="003F3620"/>
    <w:rsid w:val="003F3632"/>
    <w:rsid w:val="003F3648"/>
    <w:rsid w:val="003F3663"/>
    <w:rsid w:val="003F3666"/>
    <w:rsid w:val="003F3686"/>
    <w:rsid w:val="003F3758"/>
    <w:rsid w:val="003F3772"/>
    <w:rsid w:val="003F378F"/>
    <w:rsid w:val="003F3796"/>
    <w:rsid w:val="003F37CE"/>
    <w:rsid w:val="003F37DA"/>
    <w:rsid w:val="003F37EC"/>
    <w:rsid w:val="003F37EE"/>
    <w:rsid w:val="003F37F3"/>
    <w:rsid w:val="003F3832"/>
    <w:rsid w:val="003F3838"/>
    <w:rsid w:val="003F38E9"/>
    <w:rsid w:val="003F38EC"/>
    <w:rsid w:val="003F3955"/>
    <w:rsid w:val="003F39D2"/>
    <w:rsid w:val="003F3A57"/>
    <w:rsid w:val="003F3C00"/>
    <w:rsid w:val="003F3C1E"/>
    <w:rsid w:val="003F3CC6"/>
    <w:rsid w:val="003F3D75"/>
    <w:rsid w:val="003F3DA9"/>
    <w:rsid w:val="003F3DCC"/>
    <w:rsid w:val="003F3DD4"/>
    <w:rsid w:val="003F3DDA"/>
    <w:rsid w:val="003F3DF7"/>
    <w:rsid w:val="003F3DFE"/>
    <w:rsid w:val="003F3E89"/>
    <w:rsid w:val="003F3EAC"/>
    <w:rsid w:val="003F3F5B"/>
    <w:rsid w:val="003F3F73"/>
    <w:rsid w:val="003F3FD7"/>
    <w:rsid w:val="003F3FDF"/>
    <w:rsid w:val="003F4052"/>
    <w:rsid w:val="003F40B9"/>
    <w:rsid w:val="003F412A"/>
    <w:rsid w:val="003F4169"/>
    <w:rsid w:val="003F425D"/>
    <w:rsid w:val="003F4264"/>
    <w:rsid w:val="003F429B"/>
    <w:rsid w:val="003F42A1"/>
    <w:rsid w:val="003F42AB"/>
    <w:rsid w:val="003F42BC"/>
    <w:rsid w:val="003F42BE"/>
    <w:rsid w:val="003F42D8"/>
    <w:rsid w:val="003F4336"/>
    <w:rsid w:val="003F4339"/>
    <w:rsid w:val="003F4363"/>
    <w:rsid w:val="003F4378"/>
    <w:rsid w:val="003F4400"/>
    <w:rsid w:val="003F4440"/>
    <w:rsid w:val="003F446C"/>
    <w:rsid w:val="003F44D4"/>
    <w:rsid w:val="003F44FE"/>
    <w:rsid w:val="003F456B"/>
    <w:rsid w:val="003F45BC"/>
    <w:rsid w:val="003F4690"/>
    <w:rsid w:val="003F4777"/>
    <w:rsid w:val="003F4787"/>
    <w:rsid w:val="003F47EB"/>
    <w:rsid w:val="003F489B"/>
    <w:rsid w:val="003F48F4"/>
    <w:rsid w:val="003F490E"/>
    <w:rsid w:val="003F4962"/>
    <w:rsid w:val="003F496E"/>
    <w:rsid w:val="003F49B4"/>
    <w:rsid w:val="003F49E7"/>
    <w:rsid w:val="003F4B38"/>
    <w:rsid w:val="003F4B3F"/>
    <w:rsid w:val="003F4BF7"/>
    <w:rsid w:val="003F4BFD"/>
    <w:rsid w:val="003F4C04"/>
    <w:rsid w:val="003F4C1F"/>
    <w:rsid w:val="003F4C45"/>
    <w:rsid w:val="003F4C4B"/>
    <w:rsid w:val="003F4D1E"/>
    <w:rsid w:val="003F4D49"/>
    <w:rsid w:val="003F4DCA"/>
    <w:rsid w:val="003F4DCB"/>
    <w:rsid w:val="003F4DDE"/>
    <w:rsid w:val="003F4DEC"/>
    <w:rsid w:val="003F4E32"/>
    <w:rsid w:val="003F4E98"/>
    <w:rsid w:val="003F4ED5"/>
    <w:rsid w:val="003F4F02"/>
    <w:rsid w:val="003F4F1A"/>
    <w:rsid w:val="003F4F7E"/>
    <w:rsid w:val="003F4F9E"/>
    <w:rsid w:val="003F506C"/>
    <w:rsid w:val="003F512B"/>
    <w:rsid w:val="003F5198"/>
    <w:rsid w:val="003F51B2"/>
    <w:rsid w:val="003F521E"/>
    <w:rsid w:val="003F5230"/>
    <w:rsid w:val="003F5258"/>
    <w:rsid w:val="003F5328"/>
    <w:rsid w:val="003F54AA"/>
    <w:rsid w:val="003F54B6"/>
    <w:rsid w:val="003F54EC"/>
    <w:rsid w:val="003F5585"/>
    <w:rsid w:val="003F55F6"/>
    <w:rsid w:val="003F564A"/>
    <w:rsid w:val="003F56A3"/>
    <w:rsid w:val="003F5787"/>
    <w:rsid w:val="003F57BF"/>
    <w:rsid w:val="003F581B"/>
    <w:rsid w:val="003F5863"/>
    <w:rsid w:val="003F587E"/>
    <w:rsid w:val="003F58D9"/>
    <w:rsid w:val="003F5954"/>
    <w:rsid w:val="003F5995"/>
    <w:rsid w:val="003F599F"/>
    <w:rsid w:val="003F59AD"/>
    <w:rsid w:val="003F59C7"/>
    <w:rsid w:val="003F59CC"/>
    <w:rsid w:val="003F59E2"/>
    <w:rsid w:val="003F59E8"/>
    <w:rsid w:val="003F5A01"/>
    <w:rsid w:val="003F5A16"/>
    <w:rsid w:val="003F5AE8"/>
    <w:rsid w:val="003F5B66"/>
    <w:rsid w:val="003F5C98"/>
    <w:rsid w:val="003F5CA8"/>
    <w:rsid w:val="003F5D7C"/>
    <w:rsid w:val="003F5D7D"/>
    <w:rsid w:val="003F5D7E"/>
    <w:rsid w:val="003F5D89"/>
    <w:rsid w:val="003F5E38"/>
    <w:rsid w:val="003F5E71"/>
    <w:rsid w:val="003F5F4B"/>
    <w:rsid w:val="003F5FCA"/>
    <w:rsid w:val="003F5FD5"/>
    <w:rsid w:val="003F5FE0"/>
    <w:rsid w:val="003F604B"/>
    <w:rsid w:val="003F6079"/>
    <w:rsid w:val="003F609E"/>
    <w:rsid w:val="003F60C5"/>
    <w:rsid w:val="003F6194"/>
    <w:rsid w:val="003F6203"/>
    <w:rsid w:val="003F6235"/>
    <w:rsid w:val="003F626B"/>
    <w:rsid w:val="003F6323"/>
    <w:rsid w:val="003F6329"/>
    <w:rsid w:val="003F6352"/>
    <w:rsid w:val="003F6376"/>
    <w:rsid w:val="003F63AA"/>
    <w:rsid w:val="003F6414"/>
    <w:rsid w:val="003F642B"/>
    <w:rsid w:val="003F643C"/>
    <w:rsid w:val="003F648C"/>
    <w:rsid w:val="003F64DC"/>
    <w:rsid w:val="003F655D"/>
    <w:rsid w:val="003F65C9"/>
    <w:rsid w:val="003F6669"/>
    <w:rsid w:val="003F66AF"/>
    <w:rsid w:val="003F66B2"/>
    <w:rsid w:val="003F66D6"/>
    <w:rsid w:val="003F66FC"/>
    <w:rsid w:val="003F6747"/>
    <w:rsid w:val="003F6749"/>
    <w:rsid w:val="003F6767"/>
    <w:rsid w:val="003F678F"/>
    <w:rsid w:val="003F67A7"/>
    <w:rsid w:val="003F67F9"/>
    <w:rsid w:val="003F682F"/>
    <w:rsid w:val="003F6847"/>
    <w:rsid w:val="003F687A"/>
    <w:rsid w:val="003F68C0"/>
    <w:rsid w:val="003F68FE"/>
    <w:rsid w:val="003F6902"/>
    <w:rsid w:val="003F697F"/>
    <w:rsid w:val="003F698D"/>
    <w:rsid w:val="003F69AC"/>
    <w:rsid w:val="003F6A47"/>
    <w:rsid w:val="003F6A97"/>
    <w:rsid w:val="003F6AED"/>
    <w:rsid w:val="003F6B6B"/>
    <w:rsid w:val="003F6C16"/>
    <w:rsid w:val="003F6C28"/>
    <w:rsid w:val="003F6C5B"/>
    <w:rsid w:val="003F6C77"/>
    <w:rsid w:val="003F6CAD"/>
    <w:rsid w:val="003F6D93"/>
    <w:rsid w:val="003F6D9C"/>
    <w:rsid w:val="003F6DED"/>
    <w:rsid w:val="003F6E14"/>
    <w:rsid w:val="003F6E47"/>
    <w:rsid w:val="003F6E61"/>
    <w:rsid w:val="003F6E8B"/>
    <w:rsid w:val="003F6EB4"/>
    <w:rsid w:val="003F6F2A"/>
    <w:rsid w:val="003F6F93"/>
    <w:rsid w:val="003F6F95"/>
    <w:rsid w:val="003F6FAC"/>
    <w:rsid w:val="003F6FCC"/>
    <w:rsid w:val="003F6FF7"/>
    <w:rsid w:val="003F7000"/>
    <w:rsid w:val="003F706B"/>
    <w:rsid w:val="003F7074"/>
    <w:rsid w:val="003F7088"/>
    <w:rsid w:val="003F7183"/>
    <w:rsid w:val="003F724D"/>
    <w:rsid w:val="003F72A7"/>
    <w:rsid w:val="003F731B"/>
    <w:rsid w:val="003F731E"/>
    <w:rsid w:val="003F7343"/>
    <w:rsid w:val="003F7361"/>
    <w:rsid w:val="003F7364"/>
    <w:rsid w:val="003F73BF"/>
    <w:rsid w:val="003F73FD"/>
    <w:rsid w:val="003F746A"/>
    <w:rsid w:val="003F74A7"/>
    <w:rsid w:val="003F74DC"/>
    <w:rsid w:val="003F751F"/>
    <w:rsid w:val="003F756B"/>
    <w:rsid w:val="003F75B7"/>
    <w:rsid w:val="003F7695"/>
    <w:rsid w:val="003F769A"/>
    <w:rsid w:val="003F76BE"/>
    <w:rsid w:val="003F7701"/>
    <w:rsid w:val="003F7746"/>
    <w:rsid w:val="003F777D"/>
    <w:rsid w:val="003F77BF"/>
    <w:rsid w:val="003F77D5"/>
    <w:rsid w:val="003F77E1"/>
    <w:rsid w:val="003F780C"/>
    <w:rsid w:val="003F781C"/>
    <w:rsid w:val="003F7821"/>
    <w:rsid w:val="003F7872"/>
    <w:rsid w:val="003F78B2"/>
    <w:rsid w:val="003F78F4"/>
    <w:rsid w:val="003F79AF"/>
    <w:rsid w:val="003F79BF"/>
    <w:rsid w:val="003F7A99"/>
    <w:rsid w:val="003F7AC1"/>
    <w:rsid w:val="003F7B2A"/>
    <w:rsid w:val="003F7B8D"/>
    <w:rsid w:val="003F7B8F"/>
    <w:rsid w:val="003F7B96"/>
    <w:rsid w:val="003F7BA2"/>
    <w:rsid w:val="003F7BDB"/>
    <w:rsid w:val="003F7C34"/>
    <w:rsid w:val="003F7C48"/>
    <w:rsid w:val="003F7C7E"/>
    <w:rsid w:val="003F7D46"/>
    <w:rsid w:val="003F7DC1"/>
    <w:rsid w:val="003F7E1A"/>
    <w:rsid w:val="003F7E87"/>
    <w:rsid w:val="003F7E97"/>
    <w:rsid w:val="003F7EB3"/>
    <w:rsid w:val="003F7ECC"/>
    <w:rsid w:val="003F7F58"/>
    <w:rsid w:val="003F7F71"/>
    <w:rsid w:val="003F7F7D"/>
    <w:rsid w:val="003F7FD6"/>
    <w:rsid w:val="003F7FEE"/>
    <w:rsid w:val="0040004B"/>
    <w:rsid w:val="00400078"/>
    <w:rsid w:val="00400121"/>
    <w:rsid w:val="00400123"/>
    <w:rsid w:val="0040014A"/>
    <w:rsid w:val="00400179"/>
    <w:rsid w:val="004001BD"/>
    <w:rsid w:val="004001E3"/>
    <w:rsid w:val="004001E4"/>
    <w:rsid w:val="00400212"/>
    <w:rsid w:val="00400238"/>
    <w:rsid w:val="0040023C"/>
    <w:rsid w:val="0040029E"/>
    <w:rsid w:val="004002D5"/>
    <w:rsid w:val="004002FF"/>
    <w:rsid w:val="00400308"/>
    <w:rsid w:val="00400335"/>
    <w:rsid w:val="00400336"/>
    <w:rsid w:val="0040034E"/>
    <w:rsid w:val="004003B6"/>
    <w:rsid w:val="004003BC"/>
    <w:rsid w:val="004003C3"/>
    <w:rsid w:val="00400440"/>
    <w:rsid w:val="00400487"/>
    <w:rsid w:val="004004B6"/>
    <w:rsid w:val="00400530"/>
    <w:rsid w:val="00400533"/>
    <w:rsid w:val="00400553"/>
    <w:rsid w:val="00400580"/>
    <w:rsid w:val="004005CE"/>
    <w:rsid w:val="004005FE"/>
    <w:rsid w:val="0040065E"/>
    <w:rsid w:val="004006A1"/>
    <w:rsid w:val="0040071E"/>
    <w:rsid w:val="0040072B"/>
    <w:rsid w:val="00400790"/>
    <w:rsid w:val="004007D3"/>
    <w:rsid w:val="004007E4"/>
    <w:rsid w:val="0040087B"/>
    <w:rsid w:val="004008F9"/>
    <w:rsid w:val="00400918"/>
    <w:rsid w:val="00400921"/>
    <w:rsid w:val="0040097F"/>
    <w:rsid w:val="0040098F"/>
    <w:rsid w:val="00400999"/>
    <w:rsid w:val="004009FD"/>
    <w:rsid w:val="00400A3E"/>
    <w:rsid w:val="00400ACC"/>
    <w:rsid w:val="00400B0D"/>
    <w:rsid w:val="00400B73"/>
    <w:rsid w:val="00400BA6"/>
    <w:rsid w:val="00400BA9"/>
    <w:rsid w:val="00400BB5"/>
    <w:rsid w:val="00400BEA"/>
    <w:rsid w:val="00400C76"/>
    <w:rsid w:val="00400D65"/>
    <w:rsid w:val="00400DC3"/>
    <w:rsid w:val="00400DDA"/>
    <w:rsid w:val="00400DF0"/>
    <w:rsid w:val="00400E3B"/>
    <w:rsid w:val="00400E8E"/>
    <w:rsid w:val="00400E94"/>
    <w:rsid w:val="00400EAE"/>
    <w:rsid w:val="00400EC1"/>
    <w:rsid w:val="00400F1F"/>
    <w:rsid w:val="00401011"/>
    <w:rsid w:val="0040102A"/>
    <w:rsid w:val="00401031"/>
    <w:rsid w:val="00401062"/>
    <w:rsid w:val="004010BE"/>
    <w:rsid w:val="00401164"/>
    <w:rsid w:val="004011CC"/>
    <w:rsid w:val="004011F9"/>
    <w:rsid w:val="0040127A"/>
    <w:rsid w:val="00401307"/>
    <w:rsid w:val="0040130E"/>
    <w:rsid w:val="00401364"/>
    <w:rsid w:val="0040137B"/>
    <w:rsid w:val="004013A8"/>
    <w:rsid w:val="00401435"/>
    <w:rsid w:val="004014BC"/>
    <w:rsid w:val="004014BD"/>
    <w:rsid w:val="00401503"/>
    <w:rsid w:val="00401548"/>
    <w:rsid w:val="00401588"/>
    <w:rsid w:val="00401631"/>
    <w:rsid w:val="004016D3"/>
    <w:rsid w:val="004016EA"/>
    <w:rsid w:val="00401752"/>
    <w:rsid w:val="00401757"/>
    <w:rsid w:val="0040175A"/>
    <w:rsid w:val="004017EA"/>
    <w:rsid w:val="0040184B"/>
    <w:rsid w:val="004018C9"/>
    <w:rsid w:val="004018D4"/>
    <w:rsid w:val="0040195C"/>
    <w:rsid w:val="004019FD"/>
    <w:rsid w:val="00401A68"/>
    <w:rsid w:val="00401ACF"/>
    <w:rsid w:val="00401AD1"/>
    <w:rsid w:val="00401B00"/>
    <w:rsid w:val="00401B43"/>
    <w:rsid w:val="00401BC6"/>
    <w:rsid w:val="00401C57"/>
    <w:rsid w:val="00401CD1"/>
    <w:rsid w:val="00401D06"/>
    <w:rsid w:val="00401DD7"/>
    <w:rsid w:val="00401E2D"/>
    <w:rsid w:val="00401E7D"/>
    <w:rsid w:val="00401EEF"/>
    <w:rsid w:val="00401EF3"/>
    <w:rsid w:val="00401F3C"/>
    <w:rsid w:val="00401F4F"/>
    <w:rsid w:val="00401F96"/>
    <w:rsid w:val="00401FAB"/>
    <w:rsid w:val="00401FEA"/>
    <w:rsid w:val="004020A4"/>
    <w:rsid w:val="004020B8"/>
    <w:rsid w:val="004020EA"/>
    <w:rsid w:val="004020F4"/>
    <w:rsid w:val="00402103"/>
    <w:rsid w:val="0040219D"/>
    <w:rsid w:val="004021C6"/>
    <w:rsid w:val="004021E4"/>
    <w:rsid w:val="00402288"/>
    <w:rsid w:val="004022F4"/>
    <w:rsid w:val="0040231F"/>
    <w:rsid w:val="00402429"/>
    <w:rsid w:val="00402474"/>
    <w:rsid w:val="004025E7"/>
    <w:rsid w:val="00402680"/>
    <w:rsid w:val="00402695"/>
    <w:rsid w:val="004026A8"/>
    <w:rsid w:val="00402764"/>
    <w:rsid w:val="00402776"/>
    <w:rsid w:val="0040278E"/>
    <w:rsid w:val="00402887"/>
    <w:rsid w:val="0040288F"/>
    <w:rsid w:val="004028E2"/>
    <w:rsid w:val="00402906"/>
    <w:rsid w:val="00402948"/>
    <w:rsid w:val="00402A0C"/>
    <w:rsid w:val="00402A55"/>
    <w:rsid w:val="00402A56"/>
    <w:rsid w:val="00402AAD"/>
    <w:rsid w:val="00402AB0"/>
    <w:rsid w:val="00402B6D"/>
    <w:rsid w:val="00402BC2"/>
    <w:rsid w:val="00402C3F"/>
    <w:rsid w:val="00402C7C"/>
    <w:rsid w:val="00402CA2"/>
    <w:rsid w:val="00402D6C"/>
    <w:rsid w:val="00402D72"/>
    <w:rsid w:val="00402DCA"/>
    <w:rsid w:val="00402E04"/>
    <w:rsid w:val="00402E27"/>
    <w:rsid w:val="00402E91"/>
    <w:rsid w:val="00402EA3"/>
    <w:rsid w:val="0040305A"/>
    <w:rsid w:val="004030A7"/>
    <w:rsid w:val="00403147"/>
    <w:rsid w:val="00403159"/>
    <w:rsid w:val="00403287"/>
    <w:rsid w:val="004032C0"/>
    <w:rsid w:val="004032CC"/>
    <w:rsid w:val="004032D9"/>
    <w:rsid w:val="004033CD"/>
    <w:rsid w:val="00403404"/>
    <w:rsid w:val="00403407"/>
    <w:rsid w:val="00403445"/>
    <w:rsid w:val="0040344B"/>
    <w:rsid w:val="004034CB"/>
    <w:rsid w:val="00403547"/>
    <w:rsid w:val="004035F9"/>
    <w:rsid w:val="0040361E"/>
    <w:rsid w:val="004036D5"/>
    <w:rsid w:val="004036F5"/>
    <w:rsid w:val="00403771"/>
    <w:rsid w:val="00403798"/>
    <w:rsid w:val="004037F9"/>
    <w:rsid w:val="0040380C"/>
    <w:rsid w:val="0040383C"/>
    <w:rsid w:val="004038A1"/>
    <w:rsid w:val="004038CA"/>
    <w:rsid w:val="004038D4"/>
    <w:rsid w:val="0040391E"/>
    <w:rsid w:val="00403980"/>
    <w:rsid w:val="004039EB"/>
    <w:rsid w:val="00403A1D"/>
    <w:rsid w:val="00403A32"/>
    <w:rsid w:val="00403A71"/>
    <w:rsid w:val="00403A78"/>
    <w:rsid w:val="00403AAA"/>
    <w:rsid w:val="00403ACE"/>
    <w:rsid w:val="00403BD1"/>
    <w:rsid w:val="00403C1D"/>
    <w:rsid w:val="00403C5C"/>
    <w:rsid w:val="00403C67"/>
    <w:rsid w:val="00403C79"/>
    <w:rsid w:val="00403D7B"/>
    <w:rsid w:val="00403DCC"/>
    <w:rsid w:val="00403E38"/>
    <w:rsid w:val="00403E3C"/>
    <w:rsid w:val="00403E52"/>
    <w:rsid w:val="00403E7A"/>
    <w:rsid w:val="00403E7F"/>
    <w:rsid w:val="00403F35"/>
    <w:rsid w:val="00403F49"/>
    <w:rsid w:val="00403FD7"/>
    <w:rsid w:val="00403FE7"/>
    <w:rsid w:val="00403FF2"/>
    <w:rsid w:val="0040402E"/>
    <w:rsid w:val="00404061"/>
    <w:rsid w:val="004040F9"/>
    <w:rsid w:val="00404148"/>
    <w:rsid w:val="004041A5"/>
    <w:rsid w:val="00404204"/>
    <w:rsid w:val="0040423F"/>
    <w:rsid w:val="00404248"/>
    <w:rsid w:val="00404259"/>
    <w:rsid w:val="00404334"/>
    <w:rsid w:val="0040436D"/>
    <w:rsid w:val="004043AB"/>
    <w:rsid w:val="004043BC"/>
    <w:rsid w:val="004043C2"/>
    <w:rsid w:val="004044A2"/>
    <w:rsid w:val="004044ED"/>
    <w:rsid w:val="00404541"/>
    <w:rsid w:val="00404544"/>
    <w:rsid w:val="00404570"/>
    <w:rsid w:val="00404594"/>
    <w:rsid w:val="004045A2"/>
    <w:rsid w:val="00404619"/>
    <w:rsid w:val="0040464B"/>
    <w:rsid w:val="00404698"/>
    <w:rsid w:val="0040469D"/>
    <w:rsid w:val="004046D1"/>
    <w:rsid w:val="00404848"/>
    <w:rsid w:val="0040484D"/>
    <w:rsid w:val="004048B6"/>
    <w:rsid w:val="004048D7"/>
    <w:rsid w:val="004048F9"/>
    <w:rsid w:val="0040495D"/>
    <w:rsid w:val="004049D7"/>
    <w:rsid w:val="004049ED"/>
    <w:rsid w:val="004049FC"/>
    <w:rsid w:val="00404A1E"/>
    <w:rsid w:val="00404A57"/>
    <w:rsid w:val="00404A5E"/>
    <w:rsid w:val="00404A73"/>
    <w:rsid w:val="00404ACF"/>
    <w:rsid w:val="00404AD3"/>
    <w:rsid w:val="00404B2C"/>
    <w:rsid w:val="00404BBA"/>
    <w:rsid w:val="00404BBD"/>
    <w:rsid w:val="00404C58"/>
    <w:rsid w:val="00404CB4"/>
    <w:rsid w:val="00404CC4"/>
    <w:rsid w:val="00404CC7"/>
    <w:rsid w:val="00404CEB"/>
    <w:rsid w:val="00404D0D"/>
    <w:rsid w:val="00404D17"/>
    <w:rsid w:val="00404D43"/>
    <w:rsid w:val="00404D50"/>
    <w:rsid w:val="00404D8E"/>
    <w:rsid w:val="00404DCB"/>
    <w:rsid w:val="00404DF2"/>
    <w:rsid w:val="00404E4D"/>
    <w:rsid w:val="00404E53"/>
    <w:rsid w:val="00404EAB"/>
    <w:rsid w:val="00404F8C"/>
    <w:rsid w:val="00404FA7"/>
    <w:rsid w:val="00405016"/>
    <w:rsid w:val="00405023"/>
    <w:rsid w:val="00405029"/>
    <w:rsid w:val="00405044"/>
    <w:rsid w:val="00405062"/>
    <w:rsid w:val="0040509D"/>
    <w:rsid w:val="004050A0"/>
    <w:rsid w:val="004050AB"/>
    <w:rsid w:val="004050D1"/>
    <w:rsid w:val="00405166"/>
    <w:rsid w:val="00405191"/>
    <w:rsid w:val="004051BC"/>
    <w:rsid w:val="004051E8"/>
    <w:rsid w:val="004051FB"/>
    <w:rsid w:val="00405278"/>
    <w:rsid w:val="0040527B"/>
    <w:rsid w:val="004052A4"/>
    <w:rsid w:val="0040532E"/>
    <w:rsid w:val="004053C6"/>
    <w:rsid w:val="004053FC"/>
    <w:rsid w:val="00405402"/>
    <w:rsid w:val="00405440"/>
    <w:rsid w:val="00405499"/>
    <w:rsid w:val="004054CE"/>
    <w:rsid w:val="00405502"/>
    <w:rsid w:val="00405562"/>
    <w:rsid w:val="0040558E"/>
    <w:rsid w:val="004055BE"/>
    <w:rsid w:val="004055DF"/>
    <w:rsid w:val="0040562C"/>
    <w:rsid w:val="00405634"/>
    <w:rsid w:val="00405664"/>
    <w:rsid w:val="0040568E"/>
    <w:rsid w:val="00405695"/>
    <w:rsid w:val="004056C4"/>
    <w:rsid w:val="00405723"/>
    <w:rsid w:val="0040572C"/>
    <w:rsid w:val="00405735"/>
    <w:rsid w:val="00405737"/>
    <w:rsid w:val="004057DD"/>
    <w:rsid w:val="0040581F"/>
    <w:rsid w:val="00405869"/>
    <w:rsid w:val="00405894"/>
    <w:rsid w:val="00405907"/>
    <w:rsid w:val="0040593D"/>
    <w:rsid w:val="0040598A"/>
    <w:rsid w:val="004059AB"/>
    <w:rsid w:val="004059B7"/>
    <w:rsid w:val="004059EC"/>
    <w:rsid w:val="004059FF"/>
    <w:rsid w:val="00405B3D"/>
    <w:rsid w:val="00405B86"/>
    <w:rsid w:val="00405B9C"/>
    <w:rsid w:val="00405BC6"/>
    <w:rsid w:val="00405C6B"/>
    <w:rsid w:val="00405CC4"/>
    <w:rsid w:val="00405D3A"/>
    <w:rsid w:val="00405D5D"/>
    <w:rsid w:val="00405D70"/>
    <w:rsid w:val="00405DAB"/>
    <w:rsid w:val="00405DB9"/>
    <w:rsid w:val="00405E51"/>
    <w:rsid w:val="00405F17"/>
    <w:rsid w:val="00405F3E"/>
    <w:rsid w:val="00405F4B"/>
    <w:rsid w:val="00405F57"/>
    <w:rsid w:val="00406005"/>
    <w:rsid w:val="0040601A"/>
    <w:rsid w:val="00406047"/>
    <w:rsid w:val="00406049"/>
    <w:rsid w:val="004060B2"/>
    <w:rsid w:val="004060C7"/>
    <w:rsid w:val="004060FC"/>
    <w:rsid w:val="004061FA"/>
    <w:rsid w:val="0040621A"/>
    <w:rsid w:val="0040624C"/>
    <w:rsid w:val="004062A4"/>
    <w:rsid w:val="004062A6"/>
    <w:rsid w:val="0040630B"/>
    <w:rsid w:val="00406333"/>
    <w:rsid w:val="00406380"/>
    <w:rsid w:val="004063A2"/>
    <w:rsid w:val="004063AA"/>
    <w:rsid w:val="00406404"/>
    <w:rsid w:val="00406432"/>
    <w:rsid w:val="00406448"/>
    <w:rsid w:val="00406479"/>
    <w:rsid w:val="004064BF"/>
    <w:rsid w:val="004064CC"/>
    <w:rsid w:val="004064E0"/>
    <w:rsid w:val="0040658E"/>
    <w:rsid w:val="004065A4"/>
    <w:rsid w:val="004065C6"/>
    <w:rsid w:val="00406664"/>
    <w:rsid w:val="00406705"/>
    <w:rsid w:val="00406708"/>
    <w:rsid w:val="0040678E"/>
    <w:rsid w:val="00406793"/>
    <w:rsid w:val="004067BE"/>
    <w:rsid w:val="00406877"/>
    <w:rsid w:val="0040687C"/>
    <w:rsid w:val="0040689E"/>
    <w:rsid w:val="004068B1"/>
    <w:rsid w:val="004068C2"/>
    <w:rsid w:val="004068D6"/>
    <w:rsid w:val="004068E8"/>
    <w:rsid w:val="00406942"/>
    <w:rsid w:val="00406993"/>
    <w:rsid w:val="00406A17"/>
    <w:rsid w:val="00406A28"/>
    <w:rsid w:val="00406A4F"/>
    <w:rsid w:val="00406A70"/>
    <w:rsid w:val="00406AA9"/>
    <w:rsid w:val="00406ABF"/>
    <w:rsid w:val="00406ADB"/>
    <w:rsid w:val="00406AEB"/>
    <w:rsid w:val="00406AF9"/>
    <w:rsid w:val="00406AFC"/>
    <w:rsid w:val="00406B80"/>
    <w:rsid w:val="00406B92"/>
    <w:rsid w:val="00406BD5"/>
    <w:rsid w:val="00406BF0"/>
    <w:rsid w:val="00406C08"/>
    <w:rsid w:val="00406C19"/>
    <w:rsid w:val="00406C54"/>
    <w:rsid w:val="00406C88"/>
    <w:rsid w:val="00406CF0"/>
    <w:rsid w:val="00406D1C"/>
    <w:rsid w:val="00406D3F"/>
    <w:rsid w:val="00406D53"/>
    <w:rsid w:val="00406DBD"/>
    <w:rsid w:val="00406DEA"/>
    <w:rsid w:val="00406E11"/>
    <w:rsid w:val="00406E1D"/>
    <w:rsid w:val="00406E53"/>
    <w:rsid w:val="00406E94"/>
    <w:rsid w:val="00406F90"/>
    <w:rsid w:val="00406F99"/>
    <w:rsid w:val="00406FC9"/>
    <w:rsid w:val="0040704F"/>
    <w:rsid w:val="0040708A"/>
    <w:rsid w:val="0040708B"/>
    <w:rsid w:val="00407129"/>
    <w:rsid w:val="0040717F"/>
    <w:rsid w:val="0040719D"/>
    <w:rsid w:val="004071E3"/>
    <w:rsid w:val="004071F5"/>
    <w:rsid w:val="004071FB"/>
    <w:rsid w:val="00407216"/>
    <w:rsid w:val="0040724E"/>
    <w:rsid w:val="00407295"/>
    <w:rsid w:val="00407367"/>
    <w:rsid w:val="004073C4"/>
    <w:rsid w:val="0040740C"/>
    <w:rsid w:val="004074AD"/>
    <w:rsid w:val="004074B8"/>
    <w:rsid w:val="00407578"/>
    <w:rsid w:val="0040763D"/>
    <w:rsid w:val="004076DE"/>
    <w:rsid w:val="00407721"/>
    <w:rsid w:val="00407733"/>
    <w:rsid w:val="00407768"/>
    <w:rsid w:val="00407919"/>
    <w:rsid w:val="004079E6"/>
    <w:rsid w:val="00407A10"/>
    <w:rsid w:val="00407A39"/>
    <w:rsid w:val="00407B8B"/>
    <w:rsid w:val="00407BCA"/>
    <w:rsid w:val="00407BDE"/>
    <w:rsid w:val="00407C43"/>
    <w:rsid w:val="00407C8B"/>
    <w:rsid w:val="00407D4E"/>
    <w:rsid w:val="00407D59"/>
    <w:rsid w:val="00407D70"/>
    <w:rsid w:val="00407E2E"/>
    <w:rsid w:val="00407F04"/>
    <w:rsid w:val="00407F1A"/>
    <w:rsid w:val="00407F43"/>
    <w:rsid w:val="00407F60"/>
    <w:rsid w:val="00407F83"/>
    <w:rsid w:val="00407F9E"/>
    <w:rsid w:val="00407FC5"/>
    <w:rsid w:val="00410000"/>
    <w:rsid w:val="00410007"/>
    <w:rsid w:val="00410075"/>
    <w:rsid w:val="004100EC"/>
    <w:rsid w:val="00410121"/>
    <w:rsid w:val="00410187"/>
    <w:rsid w:val="004101B9"/>
    <w:rsid w:val="00410258"/>
    <w:rsid w:val="00410270"/>
    <w:rsid w:val="00410335"/>
    <w:rsid w:val="00410388"/>
    <w:rsid w:val="004103E6"/>
    <w:rsid w:val="00410410"/>
    <w:rsid w:val="00410439"/>
    <w:rsid w:val="00410445"/>
    <w:rsid w:val="0041045D"/>
    <w:rsid w:val="00410490"/>
    <w:rsid w:val="004104CB"/>
    <w:rsid w:val="004104CD"/>
    <w:rsid w:val="00410522"/>
    <w:rsid w:val="00410553"/>
    <w:rsid w:val="004105AD"/>
    <w:rsid w:val="004105B8"/>
    <w:rsid w:val="004105EA"/>
    <w:rsid w:val="004105F8"/>
    <w:rsid w:val="004106A0"/>
    <w:rsid w:val="004106F4"/>
    <w:rsid w:val="0041071F"/>
    <w:rsid w:val="004107C2"/>
    <w:rsid w:val="004107EF"/>
    <w:rsid w:val="0041080B"/>
    <w:rsid w:val="00410817"/>
    <w:rsid w:val="00410897"/>
    <w:rsid w:val="004108F7"/>
    <w:rsid w:val="004108FF"/>
    <w:rsid w:val="00410914"/>
    <w:rsid w:val="00410929"/>
    <w:rsid w:val="00410973"/>
    <w:rsid w:val="004109D8"/>
    <w:rsid w:val="00410A07"/>
    <w:rsid w:val="00410A40"/>
    <w:rsid w:val="00410A55"/>
    <w:rsid w:val="00410B14"/>
    <w:rsid w:val="00410B43"/>
    <w:rsid w:val="00410B46"/>
    <w:rsid w:val="00410B4E"/>
    <w:rsid w:val="00410B5D"/>
    <w:rsid w:val="00410B95"/>
    <w:rsid w:val="00410BA1"/>
    <w:rsid w:val="00410BB3"/>
    <w:rsid w:val="00410BEC"/>
    <w:rsid w:val="00410C23"/>
    <w:rsid w:val="00410C40"/>
    <w:rsid w:val="00410CB3"/>
    <w:rsid w:val="00410CCD"/>
    <w:rsid w:val="00410D0F"/>
    <w:rsid w:val="00410D18"/>
    <w:rsid w:val="00410D22"/>
    <w:rsid w:val="00410D31"/>
    <w:rsid w:val="00410D46"/>
    <w:rsid w:val="00410D4C"/>
    <w:rsid w:val="00410D5B"/>
    <w:rsid w:val="00410D79"/>
    <w:rsid w:val="00410DB9"/>
    <w:rsid w:val="00410DC1"/>
    <w:rsid w:val="00410E70"/>
    <w:rsid w:val="00410E83"/>
    <w:rsid w:val="00410F7F"/>
    <w:rsid w:val="00411090"/>
    <w:rsid w:val="004110CB"/>
    <w:rsid w:val="004110CC"/>
    <w:rsid w:val="0041116C"/>
    <w:rsid w:val="004111B9"/>
    <w:rsid w:val="004111C1"/>
    <w:rsid w:val="0041128C"/>
    <w:rsid w:val="004112B8"/>
    <w:rsid w:val="00411350"/>
    <w:rsid w:val="00411397"/>
    <w:rsid w:val="004114DB"/>
    <w:rsid w:val="004114F4"/>
    <w:rsid w:val="004115D6"/>
    <w:rsid w:val="0041164A"/>
    <w:rsid w:val="00411693"/>
    <w:rsid w:val="004116C1"/>
    <w:rsid w:val="004116D0"/>
    <w:rsid w:val="00411723"/>
    <w:rsid w:val="00411729"/>
    <w:rsid w:val="0041184A"/>
    <w:rsid w:val="00411850"/>
    <w:rsid w:val="00411876"/>
    <w:rsid w:val="0041188E"/>
    <w:rsid w:val="004118D3"/>
    <w:rsid w:val="004118D9"/>
    <w:rsid w:val="004118EC"/>
    <w:rsid w:val="00411986"/>
    <w:rsid w:val="00411A21"/>
    <w:rsid w:val="00411A99"/>
    <w:rsid w:val="00411B7C"/>
    <w:rsid w:val="00411B7E"/>
    <w:rsid w:val="00411BCA"/>
    <w:rsid w:val="00411BDB"/>
    <w:rsid w:val="00411C89"/>
    <w:rsid w:val="00411C9F"/>
    <w:rsid w:val="00411CAA"/>
    <w:rsid w:val="00411CF6"/>
    <w:rsid w:val="00411D08"/>
    <w:rsid w:val="00411D24"/>
    <w:rsid w:val="00411D70"/>
    <w:rsid w:val="00411D9F"/>
    <w:rsid w:val="00411DD2"/>
    <w:rsid w:val="00411E16"/>
    <w:rsid w:val="00411F38"/>
    <w:rsid w:val="00412010"/>
    <w:rsid w:val="00412016"/>
    <w:rsid w:val="00412075"/>
    <w:rsid w:val="00412091"/>
    <w:rsid w:val="004120CE"/>
    <w:rsid w:val="0041210A"/>
    <w:rsid w:val="0041218F"/>
    <w:rsid w:val="00412214"/>
    <w:rsid w:val="0041221F"/>
    <w:rsid w:val="00412236"/>
    <w:rsid w:val="0041227B"/>
    <w:rsid w:val="004122C4"/>
    <w:rsid w:val="00412347"/>
    <w:rsid w:val="004123C3"/>
    <w:rsid w:val="004123F1"/>
    <w:rsid w:val="00412415"/>
    <w:rsid w:val="00412464"/>
    <w:rsid w:val="00412474"/>
    <w:rsid w:val="00412479"/>
    <w:rsid w:val="0041247D"/>
    <w:rsid w:val="00412557"/>
    <w:rsid w:val="004125B9"/>
    <w:rsid w:val="00412680"/>
    <w:rsid w:val="004126A2"/>
    <w:rsid w:val="00412724"/>
    <w:rsid w:val="0041272B"/>
    <w:rsid w:val="0041279A"/>
    <w:rsid w:val="00412861"/>
    <w:rsid w:val="00412875"/>
    <w:rsid w:val="00412882"/>
    <w:rsid w:val="0041289F"/>
    <w:rsid w:val="004128DB"/>
    <w:rsid w:val="0041291F"/>
    <w:rsid w:val="00412A2A"/>
    <w:rsid w:val="00412A2B"/>
    <w:rsid w:val="00412A9F"/>
    <w:rsid w:val="00412AC5"/>
    <w:rsid w:val="00412B47"/>
    <w:rsid w:val="00412C16"/>
    <w:rsid w:val="00412C20"/>
    <w:rsid w:val="00412C54"/>
    <w:rsid w:val="00412CA6"/>
    <w:rsid w:val="00412CB2"/>
    <w:rsid w:val="00412CCE"/>
    <w:rsid w:val="00412D22"/>
    <w:rsid w:val="00412D94"/>
    <w:rsid w:val="00412DC6"/>
    <w:rsid w:val="00412E08"/>
    <w:rsid w:val="00412E65"/>
    <w:rsid w:val="00412E6B"/>
    <w:rsid w:val="00412EE5"/>
    <w:rsid w:val="00412EF0"/>
    <w:rsid w:val="00412F64"/>
    <w:rsid w:val="00412F7A"/>
    <w:rsid w:val="00412F88"/>
    <w:rsid w:val="00412FCC"/>
    <w:rsid w:val="00412FDE"/>
    <w:rsid w:val="00412FEE"/>
    <w:rsid w:val="00413014"/>
    <w:rsid w:val="004130C0"/>
    <w:rsid w:val="004130C2"/>
    <w:rsid w:val="004130D4"/>
    <w:rsid w:val="004130E8"/>
    <w:rsid w:val="00413102"/>
    <w:rsid w:val="00413120"/>
    <w:rsid w:val="0041312E"/>
    <w:rsid w:val="00413261"/>
    <w:rsid w:val="004132EA"/>
    <w:rsid w:val="0041330C"/>
    <w:rsid w:val="0041344B"/>
    <w:rsid w:val="004134B0"/>
    <w:rsid w:val="0041351D"/>
    <w:rsid w:val="00413528"/>
    <w:rsid w:val="004135AB"/>
    <w:rsid w:val="0041364E"/>
    <w:rsid w:val="00413689"/>
    <w:rsid w:val="00413698"/>
    <w:rsid w:val="00413704"/>
    <w:rsid w:val="004138AC"/>
    <w:rsid w:val="00413950"/>
    <w:rsid w:val="0041395E"/>
    <w:rsid w:val="00413983"/>
    <w:rsid w:val="004139E5"/>
    <w:rsid w:val="00413AB9"/>
    <w:rsid w:val="00413B06"/>
    <w:rsid w:val="00413B28"/>
    <w:rsid w:val="00413BB7"/>
    <w:rsid w:val="00413BB9"/>
    <w:rsid w:val="00413BEC"/>
    <w:rsid w:val="00413C00"/>
    <w:rsid w:val="00413C03"/>
    <w:rsid w:val="00413C65"/>
    <w:rsid w:val="00413CB5"/>
    <w:rsid w:val="00413CC2"/>
    <w:rsid w:val="00413CCB"/>
    <w:rsid w:val="00413CE2"/>
    <w:rsid w:val="00413D7C"/>
    <w:rsid w:val="00413D8A"/>
    <w:rsid w:val="00413DDB"/>
    <w:rsid w:val="00413E09"/>
    <w:rsid w:val="00413E1C"/>
    <w:rsid w:val="00413E35"/>
    <w:rsid w:val="00413ECE"/>
    <w:rsid w:val="00413F1B"/>
    <w:rsid w:val="00413F4D"/>
    <w:rsid w:val="00413F90"/>
    <w:rsid w:val="00413FC5"/>
    <w:rsid w:val="00413FF3"/>
    <w:rsid w:val="00414006"/>
    <w:rsid w:val="0041400A"/>
    <w:rsid w:val="0041402B"/>
    <w:rsid w:val="004140A6"/>
    <w:rsid w:val="00414126"/>
    <w:rsid w:val="00414154"/>
    <w:rsid w:val="00414203"/>
    <w:rsid w:val="00414220"/>
    <w:rsid w:val="00414255"/>
    <w:rsid w:val="00414269"/>
    <w:rsid w:val="004142B7"/>
    <w:rsid w:val="004142C0"/>
    <w:rsid w:val="004142E7"/>
    <w:rsid w:val="0041432C"/>
    <w:rsid w:val="00414352"/>
    <w:rsid w:val="00414364"/>
    <w:rsid w:val="004143CB"/>
    <w:rsid w:val="00414458"/>
    <w:rsid w:val="0041449E"/>
    <w:rsid w:val="004144BB"/>
    <w:rsid w:val="004144F9"/>
    <w:rsid w:val="00414534"/>
    <w:rsid w:val="0041453B"/>
    <w:rsid w:val="0041454B"/>
    <w:rsid w:val="0041458D"/>
    <w:rsid w:val="0041459A"/>
    <w:rsid w:val="00414634"/>
    <w:rsid w:val="00414736"/>
    <w:rsid w:val="00414749"/>
    <w:rsid w:val="0041474D"/>
    <w:rsid w:val="004148E0"/>
    <w:rsid w:val="00414942"/>
    <w:rsid w:val="00414947"/>
    <w:rsid w:val="00414A6D"/>
    <w:rsid w:val="00414B1B"/>
    <w:rsid w:val="00414B30"/>
    <w:rsid w:val="00414BCF"/>
    <w:rsid w:val="00414BDF"/>
    <w:rsid w:val="00414C0D"/>
    <w:rsid w:val="00414C62"/>
    <w:rsid w:val="00414CCE"/>
    <w:rsid w:val="00414CD6"/>
    <w:rsid w:val="00414CE3"/>
    <w:rsid w:val="00414D65"/>
    <w:rsid w:val="00414D94"/>
    <w:rsid w:val="00414DFD"/>
    <w:rsid w:val="00414E31"/>
    <w:rsid w:val="00414E65"/>
    <w:rsid w:val="00414F11"/>
    <w:rsid w:val="00414F4A"/>
    <w:rsid w:val="00414F5F"/>
    <w:rsid w:val="00414F93"/>
    <w:rsid w:val="00414FB5"/>
    <w:rsid w:val="0041501C"/>
    <w:rsid w:val="0041501F"/>
    <w:rsid w:val="00415059"/>
    <w:rsid w:val="00415075"/>
    <w:rsid w:val="0041508C"/>
    <w:rsid w:val="004150A6"/>
    <w:rsid w:val="004150B3"/>
    <w:rsid w:val="004150CB"/>
    <w:rsid w:val="00415115"/>
    <w:rsid w:val="00415154"/>
    <w:rsid w:val="00415180"/>
    <w:rsid w:val="004151B0"/>
    <w:rsid w:val="004151D1"/>
    <w:rsid w:val="004152BB"/>
    <w:rsid w:val="00415305"/>
    <w:rsid w:val="00415348"/>
    <w:rsid w:val="00415357"/>
    <w:rsid w:val="00415377"/>
    <w:rsid w:val="004153B0"/>
    <w:rsid w:val="004153B6"/>
    <w:rsid w:val="004153F2"/>
    <w:rsid w:val="004153FC"/>
    <w:rsid w:val="0041544F"/>
    <w:rsid w:val="00415470"/>
    <w:rsid w:val="004154EF"/>
    <w:rsid w:val="004154F7"/>
    <w:rsid w:val="00415527"/>
    <w:rsid w:val="0041556B"/>
    <w:rsid w:val="004155CF"/>
    <w:rsid w:val="00415620"/>
    <w:rsid w:val="0041564A"/>
    <w:rsid w:val="004156A1"/>
    <w:rsid w:val="004156C1"/>
    <w:rsid w:val="004156CC"/>
    <w:rsid w:val="00415710"/>
    <w:rsid w:val="00415748"/>
    <w:rsid w:val="00415760"/>
    <w:rsid w:val="004157C7"/>
    <w:rsid w:val="0041587F"/>
    <w:rsid w:val="00415919"/>
    <w:rsid w:val="00415924"/>
    <w:rsid w:val="0041592B"/>
    <w:rsid w:val="004159AA"/>
    <w:rsid w:val="004159AF"/>
    <w:rsid w:val="00415A08"/>
    <w:rsid w:val="00415A5A"/>
    <w:rsid w:val="00415ADA"/>
    <w:rsid w:val="00415B42"/>
    <w:rsid w:val="00415B50"/>
    <w:rsid w:val="00415B52"/>
    <w:rsid w:val="00415B5E"/>
    <w:rsid w:val="00415B81"/>
    <w:rsid w:val="00415B89"/>
    <w:rsid w:val="00415B8C"/>
    <w:rsid w:val="00415BBF"/>
    <w:rsid w:val="00415C3D"/>
    <w:rsid w:val="00415C76"/>
    <w:rsid w:val="00415CDA"/>
    <w:rsid w:val="00415CEA"/>
    <w:rsid w:val="00415DC9"/>
    <w:rsid w:val="00415DD5"/>
    <w:rsid w:val="00415E97"/>
    <w:rsid w:val="00415F2D"/>
    <w:rsid w:val="00415F46"/>
    <w:rsid w:val="00415FA3"/>
    <w:rsid w:val="00416010"/>
    <w:rsid w:val="00416028"/>
    <w:rsid w:val="00416037"/>
    <w:rsid w:val="00416087"/>
    <w:rsid w:val="004160B5"/>
    <w:rsid w:val="004160C8"/>
    <w:rsid w:val="00416124"/>
    <w:rsid w:val="00416147"/>
    <w:rsid w:val="00416194"/>
    <w:rsid w:val="0041619F"/>
    <w:rsid w:val="004161D0"/>
    <w:rsid w:val="004161E0"/>
    <w:rsid w:val="004161F7"/>
    <w:rsid w:val="004161F9"/>
    <w:rsid w:val="00416229"/>
    <w:rsid w:val="0041624D"/>
    <w:rsid w:val="00416250"/>
    <w:rsid w:val="00416296"/>
    <w:rsid w:val="004162CD"/>
    <w:rsid w:val="00416308"/>
    <w:rsid w:val="004163FF"/>
    <w:rsid w:val="00416409"/>
    <w:rsid w:val="0041640E"/>
    <w:rsid w:val="00416411"/>
    <w:rsid w:val="0041642C"/>
    <w:rsid w:val="00416442"/>
    <w:rsid w:val="0041645E"/>
    <w:rsid w:val="004164AC"/>
    <w:rsid w:val="0041654E"/>
    <w:rsid w:val="0041655C"/>
    <w:rsid w:val="004165B2"/>
    <w:rsid w:val="004165D8"/>
    <w:rsid w:val="004165E2"/>
    <w:rsid w:val="0041662F"/>
    <w:rsid w:val="004166DB"/>
    <w:rsid w:val="004167F5"/>
    <w:rsid w:val="0041680D"/>
    <w:rsid w:val="00416827"/>
    <w:rsid w:val="00416854"/>
    <w:rsid w:val="004168F9"/>
    <w:rsid w:val="0041690F"/>
    <w:rsid w:val="0041692D"/>
    <w:rsid w:val="00416949"/>
    <w:rsid w:val="00416960"/>
    <w:rsid w:val="00416981"/>
    <w:rsid w:val="004169BB"/>
    <w:rsid w:val="00416A79"/>
    <w:rsid w:val="00416AA4"/>
    <w:rsid w:val="00416AB5"/>
    <w:rsid w:val="00416AE8"/>
    <w:rsid w:val="00416B33"/>
    <w:rsid w:val="00416BB5"/>
    <w:rsid w:val="00416BD3"/>
    <w:rsid w:val="00416BDE"/>
    <w:rsid w:val="00416C76"/>
    <w:rsid w:val="00416C7E"/>
    <w:rsid w:val="00416CA1"/>
    <w:rsid w:val="00416CEC"/>
    <w:rsid w:val="00416D03"/>
    <w:rsid w:val="00416D53"/>
    <w:rsid w:val="00416D5D"/>
    <w:rsid w:val="00416D78"/>
    <w:rsid w:val="00416E42"/>
    <w:rsid w:val="00416EC7"/>
    <w:rsid w:val="00416EDB"/>
    <w:rsid w:val="00416EE5"/>
    <w:rsid w:val="00416EFF"/>
    <w:rsid w:val="00416F5B"/>
    <w:rsid w:val="00416F62"/>
    <w:rsid w:val="00416FD1"/>
    <w:rsid w:val="00416FE6"/>
    <w:rsid w:val="00416FED"/>
    <w:rsid w:val="0041704D"/>
    <w:rsid w:val="00417062"/>
    <w:rsid w:val="004170DA"/>
    <w:rsid w:val="004170DB"/>
    <w:rsid w:val="004170EA"/>
    <w:rsid w:val="00417114"/>
    <w:rsid w:val="0041717C"/>
    <w:rsid w:val="00417187"/>
    <w:rsid w:val="0041718C"/>
    <w:rsid w:val="004171AB"/>
    <w:rsid w:val="004171D3"/>
    <w:rsid w:val="004171EC"/>
    <w:rsid w:val="00417234"/>
    <w:rsid w:val="004172B7"/>
    <w:rsid w:val="004172F1"/>
    <w:rsid w:val="00417308"/>
    <w:rsid w:val="00417332"/>
    <w:rsid w:val="00417333"/>
    <w:rsid w:val="0041736D"/>
    <w:rsid w:val="0041739B"/>
    <w:rsid w:val="004173A5"/>
    <w:rsid w:val="004173C3"/>
    <w:rsid w:val="0041745C"/>
    <w:rsid w:val="00417471"/>
    <w:rsid w:val="0041748D"/>
    <w:rsid w:val="004174B9"/>
    <w:rsid w:val="00417585"/>
    <w:rsid w:val="00417588"/>
    <w:rsid w:val="004175AD"/>
    <w:rsid w:val="004175B5"/>
    <w:rsid w:val="004175CE"/>
    <w:rsid w:val="004175F5"/>
    <w:rsid w:val="0041760E"/>
    <w:rsid w:val="00417657"/>
    <w:rsid w:val="0041769E"/>
    <w:rsid w:val="004176D8"/>
    <w:rsid w:val="0041771D"/>
    <w:rsid w:val="004177B2"/>
    <w:rsid w:val="00417820"/>
    <w:rsid w:val="00417888"/>
    <w:rsid w:val="00417891"/>
    <w:rsid w:val="00417895"/>
    <w:rsid w:val="004178FC"/>
    <w:rsid w:val="00417929"/>
    <w:rsid w:val="00417973"/>
    <w:rsid w:val="00417988"/>
    <w:rsid w:val="00417A2A"/>
    <w:rsid w:val="00417A38"/>
    <w:rsid w:val="00417A85"/>
    <w:rsid w:val="00417B1D"/>
    <w:rsid w:val="00417B48"/>
    <w:rsid w:val="00417B57"/>
    <w:rsid w:val="00417B6F"/>
    <w:rsid w:val="00417B81"/>
    <w:rsid w:val="00417C88"/>
    <w:rsid w:val="00417CC2"/>
    <w:rsid w:val="00417D03"/>
    <w:rsid w:val="00417D1D"/>
    <w:rsid w:val="00417D5F"/>
    <w:rsid w:val="00417DB4"/>
    <w:rsid w:val="00417EB6"/>
    <w:rsid w:val="00417EB7"/>
    <w:rsid w:val="00417EF7"/>
    <w:rsid w:val="00417F10"/>
    <w:rsid w:val="00417F97"/>
    <w:rsid w:val="00417FAA"/>
    <w:rsid w:val="00417FF2"/>
    <w:rsid w:val="00420027"/>
    <w:rsid w:val="004200D3"/>
    <w:rsid w:val="004200EC"/>
    <w:rsid w:val="004201DF"/>
    <w:rsid w:val="00420200"/>
    <w:rsid w:val="00420213"/>
    <w:rsid w:val="0042023E"/>
    <w:rsid w:val="0042025E"/>
    <w:rsid w:val="00420317"/>
    <w:rsid w:val="0042033B"/>
    <w:rsid w:val="00420353"/>
    <w:rsid w:val="00420361"/>
    <w:rsid w:val="00420370"/>
    <w:rsid w:val="004203FC"/>
    <w:rsid w:val="0042042E"/>
    <w:rsid w:val="0042053C"/>
    <w:rsid w:val="0042069E"/>
    <w:rsid w:val="004206B3"/>
    <w:rsid w:val="00420736"/>
    <w:rsid w:val="00420741"/>
    <w:rsid w:val="0042081A"/>
    <w:rsid w:val="00420901"/>
    <w:rsid w:val="00420902"/>
    <w:rsid w:val="0042094D"/>
    <w:rsid w:val="00420964"/>
    <w:rsid w:val="00420978"/>
    <w:rsid w:val="00420A1C"/>
    <w:rsid w:val="00420A24"/>
    <w:rsid w:val="00420A7E"/>
    <w:rsid w:val="00420AA0"/>
    <w:rsid w:val="00420B0C"/>
    <w:rsid w:val="00420D09"/>
    <w:rsid w:val="00420DD5"/>
    <w:rsid w:val="00420DFB"/>
    <w:rsid w:val="00420E73"/>
    <w:rsid w:val="00420EB0"/>
    <w:rsid w:val="00420ED5"/>
    <w:rsid w:val="00420F28"/>
    <w:rsid w:val="00420F33"/>
    <w:rsid w:val="00420F4B"/>
    <w:rsid w:val="00420F57"/>
    <w:rsid w:val="00420FD0"/>
    <w:rsid w:val="00420FE3"/>
    <w:rsid w:val="00421073"/>
    <w:rsid w:val="004212AF"/>
    <w:rsid w:val="004212F0"/>
    <w:rsid w:val="004212FB"/>
    <w:rsid w:val="00421309"/>
    <w:rsid w:val="00421316"/>
    <w:rsid w:val="00421349"/>
    <w:rsid w:val="0042136E"/>
    <w:rsid w:val="0042138D"/>
    <w:rsid w:val="004213A1"/>
    <w:rsid w:val="004213F7"/>
    <w:rsid w:val="0042141D"/>
    <w:rsid w:val="004214ED"/>
    <w:rsid w:val="0042151B"/>
    <w:rsid w:val="00421556"/>
    <w:rsid w:val="00421566"/>
    <w:rsid w:val="00421567"/>
    <w:rsid w:val="004215E0"/>
    <w:rsid w:val="004215F8"/>
    <w:rsid w:val="00421631"/>
    <w:rsid w:val="00421647"/>
    <w:rsid w:val="00421744"/>
    <w:rsid w:val="004217A6"/>
    <w:rsid w:val="004217E1"/>
    <w:rsid w:val="0042182E"/>
    <w:rsid w:val="00421830"/>
    <w:rsid w:val="0042188F"/>
    <w:rsid w:val="004218A4"/>
    <w:rsid w:val="004218AC"/>
    <w:rsid w:val="00421901"/>
    <w:rsid w:val="0042191F"/>
    <w:rsid w:val="004219B6"/>
    <w:rsid w:val="00421A03"/>
    <w:rsid w:val="00421A53"/>
    <w:rsid w:val="00421AA6"/>
    <w:rsid w:val="00421AD5"/>
    <w:rsid w:val="00421ADE"/>
    <w:rsid w:val="00421B87"/>
    <w:rsid w:val="00421B8C"/>
    <w:rsid w:val="00421BB9"/>
    <w:rsid w:val="00421C5C"/>
    <w:rsid w:val="00421C95"/>
    <w:rsid w:val="00421CA1"/>
    <w:rsid w:val="00421CBA"/>
    <w:rsid w:val="00421CDA"/>
    <w:rsid w:val="00421CF0"/>
    <w:rsid w:val="00421D11"/>
    <w:rsid w:val="00421D48"/>
    <w:rsid w:val="00421DC8"/>
    <w:rsid w:val="00421DE9"/>
    <w:rsid w:val="00421E08"/>
    <w:rsid w:val="00421E7E"/>
    <w:rsid w:val="00421F2E"/>
    <w:rsid w:val="00421FC1"/>
    <w:rsid w:val="004220B8"/>
    <w:rsid w:val="00422132"/>
    <w:rsid w:val="00422137"/>
    <w:rsid w:val="0042217E"/>
    <w:rsid w:val="004221CB"/>
    <w:rsid w:val="004221D5"/>
    <w:rsid w:val="00422206"/>
    <w:rsid w:val="004222D6"/>
    <w:rsid w:val="00422332"/>
    <w:rsid w:val="00422336"/>
    <w:rsid w:val="00422363"/>
    <w:rsid w:val="0042239A"/>
    <w:rsid w:val="00422566"/>
    <w:rsid w:val="004225A8"/>
    <w:rsid w:val="004225CB"/>
    <w:rsid w:val="004225E7"/>
    <w:rsid w:val="00422651"/>
    <w:rsid w:val="00422653"/>
    <w:rsid w:val="00422672"/>
    <w:rsid w:val="0042269A"/>
    <w:rsid w:val="004226CA"/>
    <w:rsid w:val="00422782"/>
    <w:rsid w:val="00422784"/>
    <w:rsid w:val="004227AD"/>
    <w:rsid w:val="00422843"/>
    <w:rsid w:val="00422852"/>
    <w:rsid w:val="0042297F"/>
    <w:rsid w:val="00422986"/>
    <w:rsid w:val="004229F7"/>
    <w:rsid w:val="00422A29"/>
    <w:rsid w:val="00422A72"/>
    <w:rsid w:val="00422B1D"/>
    <w:rsid w:val="00422B6A"/>
    <w:rsid w:val="00422C65"/>
    <w:rsid w:val="00422C82"/>
    <w:rsid w:val="00422D64"/>
    <w:rsid w:val="00422E9B"/>
    <w:rsid w:val="0042304F"/>
    <w:rsid w:val="004230AE"/>
    <w:rsid w:val="00423106"/>
    <w:rsid w:val="0042311F"/>
    <w:rsid w:val="00423175"/>
    <w:rsid w:val="00423263"/>
    <w:rsid w:val="0042328B"/>
    <w:rsid w:val="00423295"/>
    <w:rsid w:val="004232A3"/>
    <w:rsid w:val="00423327"/>
    <w:rsid w:val="0042334F"/>
    <w:rsid w:val="00423364"/>
    <w:rsid w:val="00423369"/>
    <w:rsid w:val="00423433"/>
    <w:rsid w:val="00423449"/>
    <w:rsid w:val="0042344B"/>
    <w:rsid w:val="004234D2"/>
    <w:rsid w:val="004234E6"/>
    <w:rsid w:val="00423562"/>
    <w:rsid w:val="00423580"/>
    <w:rsid w:val="004235B6"/>
    <w:rsid w:val="00423626"/>
    <w:rsid w:val="00423682"/>
    <w:rsid w:val="004236EB"/>
    <w:rsid w:val="00423700"/>
    <w:rsid w:val="0042375D"/>
    <w:rsid w:val="004237AE"/>
    <w:rsid w:val="004237BE"/>
    <w:rsid w:val="00423835"/>
    <w:rsid w:val="00423995"/>
    <w:rsid w:val="004239B7"/>
    <w:rsid w:val="004239BF"/>
    <w:rsid w:val="004239F9"/>
    <w:rsid w:val="00423A53"/>
    <w:rsid w:val="00423ACC"/>
    <w:rsid w:val="00423AF2"/>
    <w:rsid w:val="00423B80"/>
    <w:rsid w:val="00423B94"/>
    <w:rsid w:val="00423BD3"/>
    <w:rsid w:val="00423BE1"/>
    <w:rsid w:val="00423C0E"/>
    <w:rsid w:val="00423C2F"/>
    <w:rsid w:val="00423C34"/>
    <w:rsid w:val="00423C88"/>
    <w:rsid w:val="00423CB1"/>
    <w:rsid w:val="00423CC4"/>
    <w:rsid w:val="00423D32"/>
    <w:rsid w:val="00423D85"/>
    <w:rsid w:val="00423E4A"/>
    <w:rsid w:val="00423ED1"/>
    <w:rsid w:val="00423F39"/>
    <w:rsid w:val="00423F67"/>
    <w:rsid w:val="00423F6A"/>
    <w:rsid w:val="00423F9D"/>
    <w:rsid w:val="00423FD0"/>
    <w:rsid w:val="0042403A"/>
    <w:rsid w:val="00424096"/>
    <w:rsid w:val="004240DC"/>
    <w:rsid w:val="00424135"/>
    <w:rsid w:val="00424151"/>
    <w:rsid w:val="0042416D"/>
    <w:rsid w:val="0042417E"/>
    <w:rsid w:val="004241A2"/>
    <w:rsid w:val="004241AA"/>
    <w:rsid w:val="004241D8"/>
    <w:rsid w:val="004241FC"/>
    <w:rsid w:val="0042423C"/>
    <w:rsid w:val="004242ED"/>
    <w:rsid w:val="00424358"/>
    <w:rsid w:val="004243AF"/>
    <w:rsid w:val="004243D6"/>
    <w:rsid w:val="004243D8"/>
    <w:rsid w:val="004243DC"/>
    <w:rsid w:val="0042441A"/>
    <w:rsid w:val="00424455"/>
    <w:rsid w:val="00424537"/>
    <w:rsid w:val="004245D2"/>
    <w:rsid w:val="00424612"/>
    <w:rsid w:val="00424686"/>
    <w:rsid w:val="004246A9"/>
    <w:rsid w:val="004246B6"/>
    <w:rsid w:val="004246D0"/>
    <w:rsid w:val="00424722"/>
    <w:rsid w:val="00424730"/>
    <w:rsid w:val="004247FF"/>
    <w:rsid w:val="0042480D"/>
    <w:rsid w:val="00424861"/>
    <w:rsid w:val="00424914"/>
    <w:rsid w:val="0042499D"/>
    <w:rsid w:val="004249E8"/>
    <w:rsid w:val="00424A22"/>
    <w:rsid w:val="00424A2E"/>
    <w:rsid w:val="00424A8F"/>
    <w:rsid w:val="00424A94"/>
    <w:rsid w:val="00424ABE"/>
    <w:rsid w:val="00424ADC"/>
    <w:rsid w:val="00424BA2"/>
    <w:rsid w:val="00424BA9"/>
    <w:rsid w:val="00424BB4"/>
    <w:rsid w:val="00424BD1"/>
    <w:rsid w:val="00424BE7"/>
    <w:rsid w:val="00424C2B"/>
    <w:rsid w:val="00424C71"/>
    <w:rsid w:val="00424C76"/>
    <w:rsid w:val="00424C97"/>
    <w:rsid w:val="00424CD7"/>
    <w:rsid w:val="00424D6E"/>
    <w:rsid w:val="00424E04"/>
    <w:rsid w:val="00424E0E"/>
    <w:rsid w:val="00424E48"/>
    <w:rsid w:val="00424E67"/>
    <w:rsid w:val="00424E7B"/>
    <w:rsid w:val="00424EDC"/>
    <w:rsid w:val="0042501C"/>
    <w:rsid w:val="00425074"/>
    <w:rsid w:val="004250AF"/>
    <w:rsid w:val="0042517F"/>
    <w:rsid w:val="0042518F"/>
    <w:rsid w:val="00425222"/>
    <w:rsid w:val="004252A6"/>
    <w:rsid w:val="004252AF"/>
    <w:rsid w:val="004252DE"/>
    <w:rsid w:val="00425359"/>
    <w:rsid w:val="004253DA"/>
    <w:rsid w:val="004253FD"/>
    <w:rsid w:val="00425463"/>
    <w:rsid w:val="0042548A"/>
    <w:rsid w:val="004254B3"/>
    <w:rsid w:val="004254B7"/>
    <w:rsid w:val="00425547"/>
    <w:rsid w:val="00425559"/>
    <w:rsid w:val="00425570"/>
    <w:rsid w:val="004255A6"/>
    <w:rsid w:val="004255B5"/>
    <w:rsid w:val="004255C0"/>
    <w:rsid w:val="004255DC"/>
    <w:rsid w:val="004255F9"/>
    <w:rsid w:val="00425623"/>
    <w:rsid w:val="0042562E"/>
    <w:rsid w:val="00425671"/>
    <w:rsid w:val="00425674"/>
    <w:rsid w:val="00425686"/>
    <w:rsid w:val="00425757"/>
    <w:rsid w:val="0042578A"/>
    <w:rsid w:val="004257C5"/>
    <w:rsid w:val="0042580F"/>
    <w:rsid w:val="00425876"/>
    <w:rsid w:val="0042596E"/>
    <w:rsid w:val="004259A6"/>
    <w:rsid w:val="004259C6"/>
    <w:rsid w:val="00425A73"/>
    <w:rsid w:val="00425A9D"/>
    <w:rsid w:val="00425B69"/>
    <w:rsid w:val="00425B82"/>
    <w:rsid w:val="00425BA5"/>
    <w:rsid w:val="00425BC2"/>
    <w:rsid w:val="00425BD9"/>
    <w:rsid w:val="00425C14"/>
    <w:rsid w:val="00425C55"/>
    <w:rsid w:val="00425C5F"/>
    <w:rsid w:val="00425C75"/>
    <w:rsid w:val="00425C88"/>
    <w:rsid w:val="00425CA9"/>
    <w:rsid w:val="00425CF2"/>
    <w:rsid w:val="00425D54"/>
    <w:rsid w:val="00425D6E"/>
    <w:rsid w:val="00425DA9"/>
    <w:rsid w:val="00425DCB"/>
    <w:rsid w:val="00425E2B"/>
    <w:rsid w:val="00425EB6"/>
    <w:rsid w:val="00425F2B"/>
    <w:rsid w:val="00425F31"/>
    <w:rsid w:val="00425F61"/>
    <w:rsid w:val="00425F96"/>
    <w:rsid w:val="00425FD0"/>
    <w:rsid w:val="00426022"/>
    <w:rsid w:val="0042605C"/>
    <w:rsid w:val="00426082"/>
    <w:rsid w:val="0042608B"/>
    <w:rsid w:val="00426094"/>
    <w:rsid w:val="004260C0"/>
    <w:rsid w:val="004260EB"/>
    <w:rsid w:val="004260F5"/>
    <w:rsid w:val="00426266"/>
    <w:rsid w:val="00426267"/>
    <w:rsid w:val="00426276"/>
    <w:rsid w:val="004262AF"/>
    <w:rsid w:val="0042633C"/>
    <w:rsid w:val="00426366"/>
    <w:rsid w:val="00426375"/>
    <w:rsid w:val="0042639F"/>
    <w:rsid w:val="004263BB"/>
    <w:rsid w:val="004263D8"/>
    <w:rsid w:val="00426579"/>
    <w:rsid w:val="004265FD"/>
    <w:rsid w:val="00426602"/>
    <w:rsid w:val="00426637"/>
    <w:rsid w:val="00426649"/>
    <w:rsid w:val="0042666C"/>
    <w:rsid w:val="0042676E"/>
    <w:rsid w:val="0042677C"/>
    <w:rsid w:val="004267A2"/>
    <w:rsid w:val="004267D4"/>
    <w:rsid w:val="00426829"/>
    <w:rsid w:val="004268A0"/>
    <w:rsid w:val="004268D5"/>
    <w:rsid w:val="004268F2"/>
    <w:rsid w:val="0042693E"/>
    <w:rsid w:val="0042694E"/>
    <w:rsid w:val="00426964"/>
    <w:rsid w:val="004269DE"/>
    <w:rsid w:val="004269FF"/>
    <w:rsid w:val="00426A44"/>
    <w:rsid w:val="00426A4F"/>
    <w:rsid w:val="00426A7C"/>
    <w:rsid w:val="00426B01"/>
    <w:rsid w:val="00426B6E"/>
    <w:rsid w:val="00426BAA"/>
    <w:rsid w:val="00426BD7"/>
    <w:rsid w:val="00426BDB"/>
    <w:rsid w:val="00426C34"/>
    <w:rsid w:val="00426C58"/>
    <w:rsid w:val="00426CA6"/>
    <w:rsid w:val="00426D04"/>
    <w:rsid w:val="00426D8A"/>
    <w:rsid w:val="00426DFB"/>
    <w:rsid w:val="00426E50"/>
    <w:rsid w:val="00426E85"/>
    <w:rsid w:val="00426EC6"/>
    <w:rsid w:val="00426F67"/>
    <w:rsid w:val="00426FA5"/>
    <w:rsid w:val="00426FED"/>
    <w:rsid w:val="00427029"/>
    <w:rsid w:val="00427053"/>
    <w:rsid w:val="0042707A"/>
    <w:rsid w:val="004270B4"/>
    <w:rsid w:val="0042710E"/>
    <w:rsid w:val="00427110"/>
    <w:rsid w:val="0042718F"/>
    <w:rsid w:val="00427236"/>
    <w:rsid w:val="004272E3"/>
    <w:rsid w:val="00427326"/>
    <w:rsid w:val="0042732D"/>
    <w:rsid w:val="00427339"/>
    <w:rsid w:val="004273BB"/>
    <w:rsid w:val="0042749B"/>
    <w:rsid w:val="00427502"/>
    <w:rsid w:val="00427520"/>
    <w:rsid w:val="00427588"/>
    <w:rsid w:val="0042760A"/>
    <w:rsid w:val="00427641"/>
    <w:rsid w:val="00427660"/>
    <w:rsid w:val="00427716"/>
    <w:rsid w:val="00427720"/>
    <w:rsid w:val="004277D6"/>
    <w:rsid w:val="004277F3"/>
    <w:rsid w:val="0042780C"/>
    <w:rsid w:val="00427846"/>
    <w:rsid w:val="00427910"/>
    <w:rsid w:val="0042795A"/>
    <w:rsid w:val="0042796C"/>
    <w:rsid w:val="0042798C"/>
    <w:rsid w:val="004279B4"/>
    <w:rsid w:val="00427ACD"/>
    <w:rsid w:val="00427AFC"/>
    <w:rsid w:val="00427B58"/>
    <w:rsid w:val="00427BAB"/>
    <w:rsid w:val="00427C38"/>
    <w:rsid w:val="00427C93"/>
    <w:rsid w:val="00427C95"/>
    <w:rsid w:val="00427CE9"/>
    <w:rsid w:val="00427CFA"/>
    <w:rsid w:val="00427D45"/>
    <w:rsid w:val="00427E2C"/>
    <w:rsid w:val="00427E47"/>
    <w:rsid w:val="00427E6C"/>
    <w:rsid w:val="00427F6D"/>
    <w:rsid w:val="00427F76"/>
    <w:rsid w:val="00427FAC"/>
    <w:rsid w:val="00430008"/>
    <w:rsid w:val="00430013"/>
    <w:rsid w:val="00430033"/>
    <w:rsid w:val="0043003A"/>
    <w:rsid w:val="0043004D"/>
    <w:rsid w:val="00430050"/>
    <w:rsid w:val="0043008C"/>
    <w:rsid w:val="0043011D"/>
    <w:rsid w:val="0043018A"/>
    <w:rsid w:val="00430190"/>
    <w:rsid w:val="004301A4"/>
    <w:rsid w:val="004301AE"/>
    <w:rsid w:val="0043020B"/>
    <w:rsid w:val="0043020F"/>
    <w:rsid w:val="0043028D"/>
    <w:rsid w:val="0043029C"/>
    <w:rsid w:val="004302AB"/>
    <w:rsid w:val="004302CB"/>
    <w:rsid w:val="004302F7"/>
    <w:rsid w:val="00430312"/>
    <w:rsid w:val="00430335"/>
    <w:rsid w:val="00430373"/>
    <w:rsid w:val="0043037B"/>
    <w:rsid w:val="00430387"/>
    <w:rsid w:val="004303AE"/>
    <w:rsid w:val="004303B2"/>
    <w:rsid w:val="004303E7"/>
    <w:rsid w:val="004303E9"/>
    <w:rsid w:val="00430402"/>
    <w:rsid w:val="0043045D"/>
    <w:rsid w:val="0043048F"/>
    <w:rsid w:val="00430508"/>
    <w:rsid w:val="00430562"/>
    <w:rsid w:val="004305A5"/>
    <w:rsid w:val="004305A8"/>
    <w:rsid w:val="004305DE"/>
    <w:rsid w:val="004305F5"/>
    <w:rsid w:val="0043063D"/>
    <w:rsid w:val="004306A8"/>
    <w:rsid w:val="004306E9"/>
    <w:rsid w:val="00430790"/>
    <w:rsid w:val="004307BA"/>
    <w:rsid w:val="004307DE"/>
    <w:rsid w:val="00430842"/>
    <w:rsid w:val="00430855"/>
    <w:rsid w:val="0043085C"/>
    <w:rsid w:val="0043092A"/>
    <w:rsid w:val="0043094C"/>
    <w:rsid w:val="00430979"/>
    <w:rsid w:val="004309D9"/>
    <w:rsid w:val="004309EA"/>
    <w:rsid w:val="00430AB2"/>
    <w:rsid w:val="00430B0A"/>
    <w:rsid w:val="00430B32"/>
    <w:rsid w:val="00430C13"/>
    <w:rsid w:val="00430D53"/>
    <w:rsid w:val="00430D8E"/>
    <w:rsid w:val="00430D8F"/>
    <w:rsid w:val="00430DD3"/>
    <w:rsid w:val="00430E1F"/>
    <w:rsid w:val="00430E43"/>
    <w:rsid w:val="00430E5C"/>
    <w:rsid w:val="00430E97"/>
    <w:rsid w:val="00430EFE"/>
    <w:rsid w:val="00430FBC"/>
    <w:rsid w:val="00431040"/>
    <w:rsid w:val="0043109B"/>
    <w:rsid w:val="004310A0"/>
    <w:rsid w:val="00431106"/>
    <w:rsid w:val="00431118"/>
    <w:rsid w:val="0043113C"/>
    <w:rsid w:val="004311D8"/>
    <w:rsid w:val="00431276"/>
    <w:rsid w:val="004312A3"/>
    <w:rsid w:val="00431300"/>
    <w:rsid w:val="0043132E"/>
    <w:rsid w:val="00431342"/>
    <w:rsid w:val="004313EB"/>
    <w:rsid w:val="0043144D"/>
    <w:rsid w:val="004314F5"/>
    <w:rsid w:val="00431561"/>
    <w:rsid w:val="0043156B"/>
    <w:rsid w:val="0043161F"/>
    <w:rsid w:val="00431663"/>
    <w:rsid w:val="004316C6"/>
    <w:rsid w:val="0043176F"/>
    <w:rsid w:val="004317BA"/>
    <w:rsid w:val="00431824"/>
    <w:rsid w:val="004318BF"/>
    <w:rsid w:val="0043195A"/>
    <w:rsid w:val="004319C9"/>
    <w:rsid w:val="00431A27"/>
    <w:rsid w:val="00431AC8"/>
    <w:rsid w:val="00431ACF"/>
    <w:rsid w:val="00431B16"/>
    <w:rsid w:val="00431B37"/>
    <w:rsid w:val="00431B78"/>
    <w:rsid w:val="00431BD3"/>
    <w:rsid w:val="00431C3C"/>
    <w:rsid w:val="00431C67"/>
    <w:rsid w:val="00431C8F"/>
    <w:rsid w:val="00431D85"/>
    <w:rsid w:val="00431E1D"/>
    <w:rsid w:val="00431E72"/>
    <w:rsid w:val="00431E7D"/>
    <w:rsid w:val="00431E88"/>
    <w:rsid w:val="00431ED3"/>
    <w:rsid w:val="00431EF1"/>
    <w:rsid w:val="00431F23"/>
    <w:rsid w:val="00431F33"/>
    <w:rsid w:val="00431F4B"/>
    <w:rsid w:val="00431F8B"/>
    <w:rsid w:val="00431FBC"/>
    <w:rsid w:val="00432089"/>
    <w:rsid w:val="004321AC"/>
    <w:rsid w:val="004321C3"/>
    <w:rsid w:val="004321CB"/>
    <w:rsid w:val="00432204"/>
    <w:rsid w:val="00432209"/>
    <w:rsid w:val="00432263"/>
    <w:rsid w:val="0043228C"/>
    <w:rsid w:val="0043228D"/>
    <w:rsid w:val="004322AC"/>
    <w:rsid w:val="004322B9"/>
    <w:rsid w:val="004322CB"/>
    <w:rsid w:val="00432340"/>
    <w:rsid w:val="00432376"/>
    <w:rsid w:val="0043243E"/>
    <w:rsid w:val="0043249D"/>
    <w:rsid w:val="004324B1"/>
    <w:rsid w:val="004324FB"/>
    <w:rsid w:val="0043250F"/>
    <w:rsid w:val="0043251A"/>
    <w:rsid w:val="0043255C"/>
    <w:rsid w:val="004325A5"/>
    <w:rsid w:val="0043266B"/>
    <w:rsid w:val="00432690"/>
    <w:rsid w:val="004327F7"/>
    <w:rsid w:val="004328A0"/>
    <w:rsid w:val="004328AC"/>
    <w:rsid w:val="0043291C"/>
    <w:rsid w:val="00432984"/>
    <w:rsid w:val="004329AD"/>
    <w:rsid w:val="00432A6D"/>
    <w:rsid w:val="00432A99"/>
    <w:rsid w:val="00432AD8"/>
    <w:rsid w:val="00432AF5"/>
    <w:rsid w:val="00432B12"/>
    <w:rsid w:val="00432B8C"/>
    <w:rsid w:val="00432CE5"/>
    <w:rsid w:val="00432DF0"/>
    <w:rsid w:val="00432DF2"/>
    <w:rsid w:val="00432E1B"/>
    <w:rsid w:val="00432E32"/>
    <w:rsid w:val="00432EA5"/>
    <w:rsid w:val="00432EA7"/>
    <w:rsid w:val="00432EE5"/>
    <w:rsid w:val="00432EF4"/>
    <w:rsid w:val="00432F15"/>
    <w:rsid w:val="00432F18"/>
    <w:rsid w:val="00432F1D"/>
    <w:rsid w:val="00432F5F"/>
    <w:rsid w:val="00432F6E"/>
    <w:rsid w:val="00432F9A"/>
    <w:rsid w:val="00432FD3"/>
    <w:rsid w:val="00432FF9"/>
    <w:rsid w:val="00433096"/>
    <w:rsid w:val="0043309D"/>
    <w:rsid w:val="00433168"/>
    <w:rsid w:val="0043317D"/>
    <w:rsid w:val="0043318B"/>
    <w:rsid w:val="00433220"/>
    <w:rsid w:val="00433333"/>
    <w:rsid w:val="0043334B"/>
    <w:rsid w:val="0043336A"/>
    <w:rsid w:val="004333E3"/>
    <w:rsid w:val="0043340F"/>
    <w:rsid w:val="00433425"/>
    <w:rsid w:val="00433428"/>
    <w:rsid w:val="00433429"/>
    <w:rsid w:val="0043343B"/>
    <w:rsid w:val="0043343F"/>
    <w:rsid w:val="0043346D"/>
    <w:rsid w:val="00433473"/>
    <w:rsid w:val="00433475"/>
    <w:rsid w:val="004334D0"/>
    <w:rsid w:val="004334DE"/>
    <w:rsid w:val="004334EB"/>
    <w:rsid w:val="004334F8"/>
    <w:rsid w:val="004336AA"/>
    <w:rsid w:val="00433703"/>
    <w:rsid w:val="00433729"/>
    <w:rsid w:val="00433782"/>
    <w:rsid w:val="004337A0"/>
    <w:rsid w:val="004337BB"/>
    <w:rsid w:val="004337C4"/>
    <w:rsid w:val="0043383C"/>
    <w:rsid w:val="004338D6"/>
    <w:rsid w:val="0043392D"/>
    <w:rsid w:val="00433968"/>
    <w:rsid w:val="00433A00"/>
    <w:rsid w:val="00433AB9"/>
    <w:rsid w:val="00433AEE"/>
    <w:rsid w:val="00433B20"/>
    <w:rsid w:val="00433B32"/>
    <w:rsid w:val="00433B33"/>
    <w:rsid w:val="00433B69"/>
    <w:rsid w:val="00433B9C"/>
    <w:rsid w:val="00433BE9"/>
    <w:rsid w:val="00433BF1"/>
    <w:rsid w:val="00433CD1"/>
    <w:rsid w:val="00433D10"/>
    <w:rsid w:val="00433D22"/>
    <w:rsid w:val="00433DB7"/>
    <w:rsid w:val="00433E43"/>
    <w:rsid w:val="00433F71"/>
    <w:rsid w:val="00433FCB"/>
    <w:rsid w:val="0043406E"/>
    <w:rsid w:val="0043407B"/>
    <w:rsid w:val="004340CB"/>
    <w:rsid w:val="004340CC"/>
    <w:rsid w:val="00434148"/>
    <w:rsid w:val="004341C0"/>
    <w:rsid w:val="004341D8"/>
    <w:rsid w:val="00434251"/>
    <w:rsid w:val="004342EB"/>
    <w:rsid w:val="00434300"/>
    <w:rsid w:val="0043435D"/>
    <w:rsid w:val="004343E9"/>
    <w:rsid w:val="0043444F"/>
    <w:rsid w:val="00434455"/>
    <w:rsid w:val="004344ED"/>
    <w:rsid w:val="00434546"/>
    <w:rsid w:val="004345F6"/>
    <w:rsid w:val="00434681"/>
    <w:rsid w:val="0043483C"/>
    <w:rsid w:val="004348AB"/>
    <w:rsid w:val="004348B8"/>
    <w:rsid w:val="004348BB"/>
    <w:rsid w:val="004349A0"/>
    <w:rsid w:val="004349B1"/>
    <w:rsid w:val="004349BB"/>
    <w:rsid w:val="004349CA"/>
    <w:rsid w:val="00434A00"/>
    <w:rsid w:val="00434A0A"/>
    <w:rsid w:val="00434A7C"/>
    <w:rsid w:val="00434A88"/>
    <w:rsid w:val="00434AF0"/>
    <w:rsid w:val="00434B55"/>
    <w:rsid w:val="00434B6A"/>
    <w:rsid w:val="00434C07"/>
    <w:rsid w:val="00434CA5"/>
    <w:rsid w:val="00434CC5"/>
    <w:rsid w:val="00434CEF"/>
    <w:rsid w:val="00434D48"/>
    <w:rsid w:val="00434D49"/>
    <w:rsid w:val="00434D62"/>
    <w:rsid w:val="00434E5D"/>
    <w:rsid w:val="00434E6A"/>
    <w:rsid w:val="00434E7F"/>
    <w:rsid w:val="00434E92"/>
    <w:rsid w:val="00434EBE"/>
    <w:rsid w:val="00434EF0"/>
    <w:rsid w:val="00434F89"/>
    <w:rsid w:val="00435019"/>
    <w:rsid w:val="00435047"/>
    <w:rsid w:val="004350C3"/>
    <w:rsid w:val="00435123"/>
    <w:rsid w:val="00435162"/>
    <w:rsid w:val="004351BE"/>
    <w:rsid w:val="004351CC"/>
    <w:rsid w:val="00435204"/>
    <w:rsid w:val="0043527F"/>
    <w:rsid w:val="004352D2"/>
    <w:rsid w:val="004352E9"/>
    <w:rsid w:val="004352FA"/>
    <w:rsid w:val="00435310"/>
    <w:rsid w:val="00435368"/>
    <w:rsid w:val="004353D1"/>
    <w:rsid w:val="00435408"/>
    <w:rsid w:val="0043546F"/>
    <w:rsid w:val="0043548D"/>
    <w:rsid w:val="004354B2"/>
    <w:rsid w:val="00435538"/>
    <w:rsid w:val="00435540"/>
    <w:rsid w:val="0043556B"/>
    <w:rsid w:val="004355C3"/>
    <w:rsid w:val="004355FA"/>
    <w:rsid w:val="0043561A"/>
    <w:rsid w:val="0043561E"/>
    <w:rsid w:val="00435634"/>
    <w:rsid w:val="004356EC"/>
    <w:rsid w:val="00435720"/>
    <w:rsid w:val="00435796"/>
    <w:rsid w:val="00435797"/>
    <w:rsid w:val="004357B1"/>
    <w:rsid w:val="004357CE"/>
    <w:rsid w:val="004357D3"/>
    <w:rsid w:val="004359A4"/>
    <w:rsid w:val="004359C9"/>
    <w:rsid w:val="00435A44"/>
    <w:rsid w:val="00435A5E"/>
    <w:rsid w:val="00435A8B"/>
    <w:rsid w:val="00435AC3"/>
    <w:rsid w:val="00435AC8"/>
    <w:rsid w:val="00435B28"/>
    <w:rsid w:val="00435B64"/>
    <w:rsid w:val="00435B77"/>
    <w:rsid w:val="00435C25"/>
    <w:rsid w:val="00435C27"/>
    <w:rsid w:val="00435C4E"/>
    <w:rsid w:val="00435CEE"/>
    <w:rsid w:val="00435D06"/>
    <w:rsid w:val="00435D2B"/>
    <w:rsid w:val="00435D2F"/>
    <w:rsid w:val="00435E29"/>
    <w:rsid w:val="00435E3F"/>
    <w:rsid w:val="00435E45"/>
    <w:rsid w:val="00435E68"/>
    <w:rsid w:val="00435E86"/>
    <w:rsid w:val="00435EE3"/>
    <w:rsid w:val="00435F6A"/>
    <w:rsid w:val="00435FBC"/>
    <w:rsid w:val="00435FFF"/>
    <w:rsid w:val="00436046"/>
    <w:rsid w:val="00436076"/>
    <w:rsid w:val="004360E3"/>
    <w:rsid w:val="004360F2"/>
    <w:rsid w:val="0043616A"/>
    <w:rsid w:val="00436178"/>
    <w:rsid w:val="0043619A"/>
    <w:rsid w:val="004361B4"/>
    <w:rsid w:val="00436247"/>
    <w:rsid w:val="00436271"/>
    <w:rsid w:val="004363E7"/>
    <w:rsid w:val="00436403"/>
    <w:rsid w:val="004364A4"/>
    <w:rsid w:val="004364D5"/>
    <w:rsid w:val="004364F3"/>
    <w:rsid w:val="004364F5"/>
    <w:rsid w:val="0043650C"/>
    <w:rsid w:val="00436550"/>
    <w:rsid w:val="00436555"/>
    <w:rsid w:val="0043655E"/>
    <w:rsid w:val="004365FC"/>
    <w:rsid w:val="00436610"/>
    <w:rsid w:val="0043668B"/>
    <w:rsid w:val="004366FB"/>
    <w:rsid w:val="00436785"/>
    <w:rsid w:val="0043678D"/>
    <w:rsid w:val="00436845"/>
    <w:rsid w:val="00436897"/>
    <w:rsid w:val="004368D5"/>
    <w:rsid w:val="00436993"/>
    <w:rsid w:val="00436A01"/>
    <w:rsid w:val="00436A4C"/>
    <w:rsid w:val="00436A51"/>
    <w:rsid w:val="00436AA7"/>
    <w:rsid w:val="00436AEF"/>
    <w:rsid w:val="00436BCD"/>
    <w:rsid w:val="00436C24"/>
    <w:rsid w:val="00436C6C"/>
    <w:rsid w:val="00436CB8"/>
    <w:rsid w:val="00436D4F"/>
    <w:rsid w:val="00436D64"/>
    <w:rsid w:val="00436D75"/>
    <w:rsid w:val="00436D80"/>
    <w:rsid w:val="00436D8C"/>
    <w:rsid w:val="00436E8C"/>
    <w:rsid w:val="00436E94"/>
    <w:rsid w:val="00436F2C"/>
    <w:rsid w:val="00436F7D"/>
    <w:rsid w:val="004370A2"/>
    <w:rsid w:val="00437165"/>
    <w:rsid w:val="0043717E"/>
    <w:rsid w:val="00437257"/>
    <w:rsid w:val="00437328"/>
    <w:rsid w:val="00437379"/>
    <w:rsid w:val="0043739B"/>
    <w:rsid w:val="004373DF"/>
    <w:rsid w:val="00437483"/>
    <w:rsid w:val="004374B7"/>
    <w:rsid w:val="004374DC"/>
    <w:rsid w:val="004374E3"/>
    <w:rsid w:val="004374FD"/>
    <w:rsid w:val="0043756B"/>
    <w:rsid w:val="00437573"/>
    <w:rsid w:val="004375FB"/>
    <w:rsid w:val="004376C1"/>
    <w:rsid w:val="004376F0"/>
    <w:rsid w:val="00437729"/>
    <w:rsid w:val="00437784"/>
    <w:rsid w:val="00437832"/>
    <w:rsid w:val="00437837"/>
    <w:rsid w:val="0043785B"/>
    <w:rsid w:val="00437891"/>
    <w:rsid w:val="004378EA"/>
    <w:rsid w:val="0043791E"/>
    <w:rsid w:val="00437970"/>
    <w:rsid w:val="00437991"/>
    <w:rsid w:val="00437995"/>
    <w:rsid w:val="004379A0"/>
    <w:rsid w:val="004379D2"/>
    <w:rsid w:val="00437A3A"/>
    <w:rsid w:val="00437B2F"/>
    <w:rsid w:val="00437BE5"/>
    <w:rsid w:val="00437CBD"/>
    <w:rsid w:val="00437DE2"/>
    <w:rsid w:val="00437E32"/>
    <w:rsid w:val="00437E8E"/>
    <w:rsid w:val="00437EB4"/>
    <w:rsid w:val="00437F4D"/>
    <w:rsid w:val="00437F8B"/>
    <w:rsid w:val="00437FB9"/>
    <w:rsid w:val="00437FCE"/>
    <w:rsid w:val="00440042"/>
    <w:rsid w:val="0044006F"/>
    <w:rsid w:val="00440084"/>
    <w:rsid w:val="004400CC"/>
    <w:rsid w:val="00440100"/>
    <w:rsid w:val="004401D3"/>
    <w:rsid w:val="004401D5"/>
    <w:rsid w:val="00440220"/>
    <w:rsid w:val="004402EF"/>
    <w:rsid w:val="00440324"/>
    <w:rsid w:val="00440408"/>
    <w:rsid w:val="00440439"/>
    <w:rsid w:val="00440492"/>
    <w:rsid w:val="004404C7"/>
    <w:rsid w:val="004404E6"/>
    <w:rsid w:val="004405A4"/>
    <w:rsid w:val="004405AF"/>
    <w:rsid w:val="00440623"/>
    <w:rsid w:val="004406A0"/>
    <w:rsid w:val="004406A5"/>
    <w:rsid w:val="00440705"/>
    <w:rsid w:val="0044074A"/>
    <w:rsid w:val="00440777"/>
    <w:rsid w:val="00440828"/>
    <w:rsid w:val="0044083F"/>
    <w:rsid w:val="0044084C"/>
    <w:rsid w:val="00440851"/>
    <w:rsid w:val="004408BC"/>
    <w:rsid w:val="004408D6"/>
    <w:rsid w:val="004408F2"/>
    <w:rsid w:val="0044091C"/>
    <w:rsid w:val="00440962"/>
    <w:rsid w:val="00440970"/>
    <w:rsid w:val="004409B1"/>
    <w:rsid w:val="00440A2A"/>
    <w:rsid w:val="00440A2C"/>
    <w:rsid w:val="00440B07"/>
    <w:rsid w:val="00440BA3"/>
    <w:rsid w:val="00440BAB"/>
    <w:rsid w:val="00440BB0"/>
    <w:rsid w:val="00440BD1"/>
    <w:rsid w:val="00440BFE"/>
    <w:rsid w:val="00440C3E"/>
    <w:rsid w:val="00440C44"/>
    <w:rsid w:val="00440C89"/>
    <w:rsid w:val="00440C9D"/>
    <w:rsid w:val="00440D9D"/>
    <w:rsid w:val="00440DB0"/>
    <w:rsid w:val="00440E1D"/>
    <w:rsid w:val="00440E57"/>
    <w:rsid w:val="00440EFA"/>
    <w:rsid w:val="00440F23"/>
    <w:rsid w:val="00440F2A"/>
    <w:rsid w:val="00440F4B"/>
    <w:rsid w:val="00440F72"/>
    <w:rsid w:val="00440FAA"/>
    <w:rsid w:val="0044101D"/>
    <w:rsid w:val="004410AC"/>
    <w:rsid w:val="004410D5"/>
    <w:rsid w:val="0044115A"/>
    <w:rsid w:val="004411A4"/>
    <w:rsid w:val="0044121F"/>
    <w:rsid w:val="00441230"/>
    <w:rsid w:val="00441235"/>
    <w:rsid w:val="00441243"/>
    <w:rsid w:val="00441253"/>
    <w:rsid w:val="004412A7"/>
    <w:rsid w:val="00441311"/>
    <w:rsid w:val="00441362"/>
    <w:rsid w:val="00441370"/>
    <w:rsid w:val="0044147A"/>
    <w:rsid w:val="004414CE"/>
    <w:rsid w:val="0044156B"/>
    <w:rsid w:val="004415FC"/>
    <w:rsid w:val="004416AE"/>
    <w:rsid w:val="004416DA"/>
    <w:rsid w:val="00441735"/>
    <w:rsid w:val="004417E8"/>
    <w:rsid w:val="00441862"/>
    <w:rsid w:val="00441951"/>
    <w:rsid w:val="0044196D"/>
    <w:rsid w:val="0044197E"/>
    <w:rsid w:val="004419A6"/>
    <w:rsid w:val="00441A3D"/>
    <w:rsid w:val="00441A59"/>
    <w:rsid w:val="00441A62"/>
    <w:rsid w:val="00441A85"/>
    <w:rsid w:val="00441A95"/>
    <w:rsid w:val="00441AAC"/>
    <w:rsid w:val="00441AC4"/>
    <w:rsid w:val="00441AC6"/>
    <w:rsid w:val="00441B26"/>
    <w:rsid w:val="00441B2D"/>
    <w:rsid w:val="00441B8C"/>
    <w:rsid w:val="00441B91"/>
    <w:rsid w:val="00441BD3"/>
    <w:rsid w:val="00441C07"/>
    <w:rsid w:val="00441C72"/>
    <w:rsid w:val="00441C73"/>
    <w:rsid w:val="00441D1B"/>
    <w:rsid w:val="00441D36"/>
    <w:rsid w:val="00441DB5"/>
    <w:rsid w:val="00441DE7"/>
    <w:rsid w:val="00441EFA"/>
    <w:rsid w:val="00441F02"/>
    <w:rsid w:val="00441F62"/>
    <w:rsid w:val="00441FD3"/>
    <w:rsid w:val="004420C4"/>
    <w:rsid w:val="00442110"/>
    <w:rsid w:val="00442198"/>
    <w:rsid w:val="00442199"/>
    <w:rsid w:val="00442220"/>
    <w:rsid w:val="00442223"/>
    <w:rsid w:val="00442237"/>
    <w:rsid w:val="00442268"/>
    <w:rsid w:val="004422B6"/>
    <w:rsid w:val="0044233D"/>
    <w:rsid w:val="00442389"/>
    <w:rsid w:val="004423EB"/>
    <w:rsid w:val="00442414"/>
    <w:rsid w:val="00442460"/>
    <w:rsid w:val="00442495"/>
    <w:rsid w:val="004425BF"/>
    <w:rsid w:val="00442662"/>
    <w:rsid w:val="004426A4"/>
    <w:rsid w:val="004426AC"/>
    <w:rsid w:val="00442729"/>
    <w:rsid w:val="0044273D"/>
    <w:rsid w:val="004427F0"/>
    <w:rsid w:val="004427FB"/>
    <w:rsid w:val="0044282E"/>
    <w:rsid w:val="0044283F"/>
    <w:rsid w:val="00442875"/>
    <w:rsid w:val="00442883"/>
    <w:rsid w:val="0044289A"/>
    <w:rsid w:val="0044295F"/>
    <w:rsid w:val="004429C9"/>
    <w:rsid w:val="004429D0"/>
    <w:rsid w:val="00442A16"/>
    <w:rsid w:val="00442A46"/>
    <w:rsid w:val="00442ACE"/>
    <w:rsid w:val="00442ADF"/>
    <w:rsid w:val="00442AE9"/>
    <w:rsid w:val="00442AFA"/>
    <w:rsid w:val="00442C25"/>
    <w:rsid w:val="00442C3B"/>
    <w:rsid w:val="00442C63"/>
    <w:rsid w:val="00442C73"/>
    <w:rsid w:val="00442C74"/>
    <w:rsid w:val="00442CBD"/>
    <w:rsid w:val="00442D02"/>
    <w:rsid w:val="00442D13"/>
    <w:rsid w:val="00442D72"/>
    <w:rsid w:val="00442DCE"/>
    <w:rsid w:val="00442DE9"/>
    <w:rsid w:val="00442DF5"/>
    <w:rsid w:val="00442DFB"/>
    <w:rsid w:val="00442E02"/>
    <w:rsid w:val="00442E08"/>
    <w:rsid w:val="00442E69"/>
    <w:rsid w:val="00442E85"/>
    <w:rsid w:val="00442E9E"/>
    <w:rsid w:val="00442EA3"/>
    <w:rsid w:val="00442EA7"/>
    <w:rsid w:val="00442F38"/>
    <w:rsid w:val="00442F85"/>
    <w:rsid w:val="0044309A"/>
    <w:rsid w:val="004430D4"/>
    <w:rsid w:val="004430DB"/>
    <w:rsid w:val="00443100"/>
    <w:rsid w:val="00443101"/>
    <w:rsid w:val="0044316D"/>
    <w:rsid w:val="00443176"/>
    <w:rsid w:val="00443177"/>
    <w:rsid w:val="00443210"/>
    <w:rsid w:val="00443231"/>
    <w:rsid w:val="00443249"/>
    <w:rsid w:val="0044325B"/>
    <w:rsid w:val="004432BB"/>
    <w:rsid w:val="0044332F"/>
    <w:rsid w:val="0044334A"/>
    <w:rsid w:val="00443361"/>
    <w:rsid w:val="004433D2"/>
    <w:rsid w:val="004433E1"/>
    <w:rsid w:val="004433E4"/>
    <w:rsid w:val="004433F8"/>
    <w:rsid w:val="00443452"/>
    <w:rsid w:val="0044346A"/>
    <w:rsid w:val="00443515"/>
    <w:rsid w:val="0044355B"/>
    <w:rsid w:val="004435AB"/>
    <w:rsid w:val="004435CE"/>
    <w:rsid w:val="004435D7"/>
    <w:rsid w:val="00443609"/>
    <w:rsid w:val="004436B9"/>
    <w:rsid w:val="004436C3"/>
    <w:rsid w:val="004436D1"/>
    <w:rsid w:val="004436F2"/>
    <w:rsid w:val="004436FA"/>
    <w:rsid w:val="0044370C"/>
    <w:rsid w:val="00443759"/>
    <w:rsid w:val="0044376F"/>
    <w:rsid w:val="004437A5"/>
    <w:rsid w:val="004437DF"/>
    <w:rsid w:val="00443800"/>
    <w:rsid w:val="00443856"/>
    <w:rsid w:val="00443919"/>
    <w:rsid w:val="00443966"/>
    <w:rsid w:val="004439E3"/>
    <w:rsid w:val="00443A01"/>
    <w:rsid w:val="00443A27"/>
    <w:rsid w:val="00443A46"/>
    <w:rsid w:val="00443A73"/>
    <w:rsid w:val="00443AC6"/>
    <w:rsid w:val="00443BAC"/>
    <w:rsid w:val="00443C1B"/>
    <w:rsid w:val="00443C1E"/>
    <w:rsid w:val="00443D0C"/>
    <w:rsid w:val="00443D35"/>
    <w:rsid w:val="00443D4A"/>
    <w:rsid w:val="00443D81"/>
    <w:rsid w:val="00443DE3"/>
    <w:rsid w:val="00443E34"/>
    <w:rsid w:val="00443E9A"/>
    <w:rsid w:val="00443E9D"/>
    <w:rsid w:val="00443EB3"/>
    <w:rsid w:val="00443EE6"/>
    <w:rsid w:val="00443F3E"/>
    <w:rsid w:val="00443F8A"/>
    <w:rsid w:val="00443F8D"/>
    <w:rsid w:val="00444071"/>
    <w:rsid w:val="0044409C"/>
    <w:rsid w:val="004440D5"/>
    <w:rsid w:val="00444118"/>
    <w:rsid w:val="0044413B"/>
    <w:rsid w:val="004441A5"/>
    <w:rsid w:val="004441F1"/>
    <w:rsid w:val="00444252"/>
    <w:rsid w:val="0044429D"/>
    <w:rsid w:val="004442CD"/>
    <w:rsid w:val="004442DB"/>
    <w:rsid w:val="004442F7"/>
    <w:rsid w:val="00444311"/>
    <w:rsid w:val="00444391"/>
    <w:rsid w:val="00444438"/>
    <w:rsid w:val="0044444C"/>
    <w:rsid w:val="00444488"/>
    <w:rsid w:val="004444B1"/>
    <w:rsid w:val="004444C3"/>
    <w:rsid w:val="00444513"/>
    <w:rsid w:val="00444563"/>
    <w:rsid w:val="004445BB"/>
    <w:rsid w:val="004445D3"/>
    <w:rsid w:val="00444607"/>
    <w:rsid w:val="00444623"/>
    <w:rsid w:val="0044465D"/>
    <w:rsid w:val="0044467A"/>
    <w:rsid w:val="004446D4"/>
    <w:rsid w:val="00444751"/>
    <w:rsid w:val="00444792"/>
    <w:rsid w:val="004447A6"/>
    <w:rsid w:val="004447AD"/>
    <w:rsid w:val="004447E0"/>
    <w:rsid w:val="004448AC"/>
    <w:rsid w:val="004448EC"/>
    <w:rsid w:val="004448F2"/>
    <w:rsid w:val="0044490A"/>
    <w:rsid w:val="00444912"/>
    <w:rsid w:val="0044492B"/>
    <w:rsid w:val="00444958"/>
    <w:rsid w:val="0044496F"/>
    <w:rsid w:val="00444A0F"/>
    <w:rsid w:val="00444A1E"/>
    <w:rsid w:val="00444A21"/>
    <w:rsid w:val="00444A33"/>
    <w:rsid w:val="00444A8A"/>
    <w:rsid w:val="00444AA5"/>
    <w:rsid w:val="00444B01"/>
    <w:rsid w:val="00444B08"/>
    <w:rsid w:val="00444B76"/>
    <w:rsid w:val="00444BC5"/>
    <w:rsid w:val="00444C8F"/>
    <w:rsid w:val="00444D60"/>
    <w:rsid w:val="00444D69"/>
    <w:rsid w:val="00444D76"/>
    <w:rsid w:val="00444DEC"/>
    <w:rsid w:val="00444DF4"/>
    <w:rsid w:val="00444DF5"/>
    <w:rsid w:val="00444DF6"/>
    <w:rsid w:val="00444E42"/>
    <w:rsid w:val="00444E97"/>
    <w:rsid w:val="00444F61"/>
    <w:rsid w:val="0044503E"/>
    <w:rsid w:val="0044504F"/>
    <w:rsid w:val="00445064"/>
    <w:rsid w:val="004450C1"/>
    <w:rsid w:val="004450D4"/>
    <w:rsid w:val="004450F7"/>
    <w:rsid w:val="0044511A"/>
    <w:rsid w:val="0044517B"/>
    <w:rsid w:val="004451B4"/>
    <w:rsid w:val="004451C7"/>
    <w:rsid w:val="004451DA"/>
    <w:rsid w:val="00445234"/>
    <w:rsid w:val="004452B6"/>
    <w:rsid w:val="0044532E"/>
    <w:rsid w:val="00445341"/>
    <w:rsid w:val="0044538E"/>
    <w:rsid w:val="00445394"/>
    <w:rsid w:val="004453B1"/>
    <w:rsid w:val="004453D9"/>
    <w:rsid w:val="00445454"/>
    <w:rsid w:val="00445475"/>
    <w:rsid w:val="004454E3"/>
    <w:rsid w:val="004454F5"/>
    <w:rsid w:val="0044555C"/>
    <w:rsid w:val="00445580"/>
    <w:rsid w:val="004455B5"/>
    <w:rsid w:val="004455BF"/>
    <w:rsid w:val="00445636"/>
    <w:rsid w:val="00445638"/>
    <w:rsid w:val="0044565A"/>
    <w:rsid w:val="00445662"/>
    <w:rsid w:val="0044570F"/>
    <w:rsid w:val="00445737"/>
    <w:rsid w:val="0044574E"/>
    <w:rsid w:val="00445752"/>
    <w:rsid w:val="00445844"/>
    <w:rsid w:val="0044585C"/>
    <w:rsid w:val="0044586B"/>
    <w:rsid w:val="0044588D"/>
    <w:rsid w:val="0044589E"/>
    <w:rsid w:val="0044591D"/>
    <w:rsid w:val="00445925"/>
    <w:rsid w:val="0044593D"/>
    <w:rsid w:val="0044599F"/>
    <w:rsid w:val="004459AE"/>
    <w:rsid w:val="004459D8"/>
    <w:rsid w:val="004459F8"/>
    <w:rsid w:val="00445A11"/>
    <w:rsid w:val="00445A6D"/>
    <w:rsid w:val="00445A70"/>
    <w:rsid w:val="00445ADA"/>
    <w:rsid w:val="00445ADF"/>
    <w:rsid w:val="00445AE7"/>
    <w:rsid w:val="00445B25"/>
    <w:rsid w:val="00445B73"/>
    <w:rsid w:val="00445BB6"/>
    <w:rsid w:val="00445BEF"/>
    <w:rsid w:val="00445C79"/>
    <w:rsid w:val="00445CA6"/>
    <w:rsid w:val="00445D1F"/>
    <w:rsid w:val="00445DCD"/>
    <w:rsid w:val="00445DE5"/>
    <w:rsid w:val="00445DE7"/>
    <w:rsid w:val="00445E6F"/>
    <w:rsid w:val="00445EBB"/>
    <w:rsid w:val="00445EF7"/>
    <w:rsid w:val="00445F11"/>
    <w:rsid w:val="00445F1C"/>
    <w:rsid w:val="00445F58"/>
    <w:rsid w:val="00445FBF"/>
    <w:rsid w:val="00446057"/>
    <w:rsid w:val="0044606E"/>
    <w:rsid w:val="00446074"/>
    <w:rsid w:val="004460DA"/>
    <w:rsid w:val="004460DC"/>
    <w:rsid w:val="00446112"/>
    <w:rsid w:val="00446191"/>
    <w:rsid w:val="004461D3"/>
    <w:rsid w:val="00446377"/>
    <w:rsid w:val="0044644C"/>
    <w:rsid w:val="0044648B"/>
    <w:rsid w:val="004464A6"/>
    <w:rsid w:val="0044651E"/>
    <w:rsid w:val="004465B9"/>
    <w:rsid w:val="004465C8"/>
    <w:rsid w:val="00446620"/>
    <w:rsid w:val="00446672"/>
    <w:rsid w:val="00446684"/>
    <w:rsid w:val="004466D8"/>
    <w:rsid w:val="004466EE"/>
    <w:rsid w:val="00446710"/>
    <w:rsid w:val="004467E9"/>
    <w:rsid w:val="004467EF"/>
    <w:rsid w:val="0044680D"/>
    <w:rsid w:val="0044681E"/>
    <w:rsid w:val="004468FB"/>
    <w:rsid w:val="00446986"/>
    <w:rsid w:val="004469C6"/>
    <w:rsid w:val="004469CB"/>
    <w:rsid w:val="004469D6"/>
    <w:rsid w:val="00446A11"/>
    <w:rsid w:val="00446A22"/>
    <w:rsid w:val="00446A6F"/>
    <w:rsid w:val="00446A7A"/>
    <w:rsid w:val="00446ACA"/>
    <w:rsid w:val="00446B52"/>
    <w:rsid w:val="00446B6E"/>
    <w:rsid w:val="00446BA1"/>
    <w:rsid w:val="00446C45"/>
    <w:rsid w:val="00446C5B"/>
    <w:rsid w:val="00446CA3"/>
    <w:rsid w:val="00446CAD"/>
    <w:rsid w:val="00446CB8"/>
    <w:rsid w:val="00446CFB"/>
    <w:rsid w:val="00446D25"/>
    <w:rsid w:val="00446D2A"/>
    <w:rsid w:val="00446D86"/>
    <w:rsid w:val="00446D8C"/>
    <w:rsid w:val="00446DAE"/>
    <w:rsid w:val="00446E29"/>
    <w:rsid w:val="00446E35"/>
    <w:rsid w:val="00446E91"/>
    <w:rsid w:val="00446F38"/>
    <w:rsid w:val="00446FE4"/>
    <w:rsid w:val="00447016"/>
    <w:rsid w:val="0044707F"/>
    <w:rsid w:val="004470BE"/>
    <w:rsid w:val="004470D5"/>
    <w:rsid w:val="00447102"/>
    <w:rsid w:val="00447110"/>
    <w:rsid w:val="004471EC"/>
    <w:rsid w:val="0044725A"/>
    <w:rsid w:val="00447287"/>
    <w:rsid w:val="004472A2"/>
    <w:rsid w:val="004472C5"/>
    <w:rsid w:val="004472E3"/>
    <w:rsid w:val="00447378"/>
    <w:rsid w:val="004473A5"/>
    <w:rsid w:val="004473C3"/>
    <w:rsid w:val="00447430"/>
    <w:rsid w:val="00447446"/>
    <w:rsid w:val="0044746A"/>
    <w:rsid w:val="004474B1"/>
    <w:rsid w:val="0044751E"/>
    <w:rsid w:val="00447535"/>
    <w:rsid w:val="00447551"/>
    <w:rsid w:val="004475CE"/>
    <w:rsid w:val="004475DF"/>
    <w:rsid w:val="00447695"/>
    <w:rsid w:val="004476E4"/>
    <w:rsid w:val="004476EE"/>
    <w:rsid w:val="0044774E"/>
    <w:rsid w:val="004477A9"/>
    <w:rsid w:val="004477AF"/>
    <w:rsid w:val="00447824"/>
    <w:rsid w:val="00447842"/>
    <w:rsid w:val="0044785E"/>
    <w:rsid w:val="00447863"/>
    <w:rsid w:val="0044789C"/>
    <w:rsid w:val="004478A4"/>
    <w:rsid w:val="004478B7"/>
    <w:rsid w:val="004479AC"/>
    <w:rsid w:val="004479B2"/>
    <w:rsid w:val="004479F5"/>
    <w:rsid w:val="004479FC"/>
    <w:rsid w:val="00447A02"/>
    <w:rsid w:val="00447A60"/>
    <w:rsid w:val="00447AC2"/>
    <w:rsid w:val="00447AC7"/>
    <w:rsid w:val="00447B50"/>
    <w:rsid w:val="00447B68"/>
    <w:rsid w:val="00447BC4"/>
    <w:rsid w:val="00447BC8"/>
    <w:rsid w:val="00447BCA"/>
    <w:rsid w:val="00447BD9"/>
    <w:rsid w:val="00447C24"/>
    <w:rsid w:val="00447C70"/>
    <w:rsid w:val="00447C71"/>
    <w:rsid w:val="00447CBD"/>
    <w:rsid w:val="00447D30"/>
    <w:rsid w:val="00447D61"/>
    <w:rsid w:val="00447D68"/>
    <w:rsid w:val="00447D82"/>
    <w:rsid w:val="00447DA6"/>
    <w:rsid w:val="00447DBB"/>
    <w:rsid w:val="00447DE4"/>
    <w:rsid w:val="00447DF1"/>
    <w:rsid w:val="00447E08"/>
    <w:rsid w:val="00447E2E"/>
    <w:rsid w:val="00447E37"/>
    <w:rsid w:val="00447E3D"/>
    <w:rsid w:val="00447EBD"/>
    <w:rsid w:val="00447F03"/>
    <w:rsid w:val="00447F13"/>
    <w:rsid w:val="00447F19"/>
    <w:rsid w:val="00447F4A"/>
    <w:rsid w:val="00447FBF"/>
    <w:rsid w:val="00447FDF"/>
    <w:rsid w:val="0045009E"/>
    <w:rsid w:val="0045011B"/>
    <w:rsid w:val="0045011C"/>
    <w:rsid w:val="0045011E"/>
    <w:rsid w:val="0045012A"/>
    <w:rsid w:val="00450141"/>
    <w:rsid w:val="00450294"/>
    <w:rsid w:val="004502BA"/>
    <w:rsid w:val="004502D7"/>
    <w:rsid w:val="00450326"/>
    <w:rsid w:val="0045033F"/>
    <w:rsid w:val="0045039A"/>
    <w:rsid w:val="004503ED"/>
    <w:rsid w:val="00450464"/>
    <w:rsid w:val="0045056A"/>
    <w:rsid w:val="004505AA"/>
    <w:rsid w:val="004505E8"/>
    <w:rsid w:val="004506C9"/>
    <w:rsid w:val="004506E2"/>
    <w:rsid w:val="004507B7"/>
    <w:rsid w:val="004507D0"/>
    <w:rsid w:val="00450816"/>
    <w:rsid w:val="0045082B"/>
    <w:rsid w:val="0045084A"/>
    <w:rsid w:val="0045086C"/>
    <w:rsid w:val="00450872"/>
    <w:rsid w:val="004508A0"/>
    <w:rsid w:val="004508EC"/>
    <w:rsid w:val="004509A8"/>
    <w:rsid w:val="004509D3"/>
    <w:rsid w:val="00450A27"/>
    <w:rsid w:val="00450A3B"/>
    <w:rsid w:val="00450B73"/>
    <w:rsid w:val="00450B9D"/>
    <w:rsid w:val="00450BBE"/>
    <w:rsid w:val="00450BDD"/>
    <w:rsid w:val="00450C59"/>
    <w:rsid w:val="00450C61"/>
    <w:rsid w:val="00450C6D"/>
    <w:rsid w:val="00450C8F"/>
    <w:rsid w:val="00450D87"/>
    <w:rsid w:val="00450DB4"/>
    <w:rsid w:val="00450E02"/>
    <w:rsid w:val="00450E69"/>
    <w:rsid w:val="00450E97"/>
    <w:rsid w:val="00450E9D"/>
    <w:rsid w:val="00450ED7"/>
    <w:rsid w:val="00450F5E"/>
    <w:rsid w:val="00450FB4"/>
    <w:rsid w:val="00450FC9"/>
    <w:rsid w:val="00450FD1"/>
    <w:rsid w:val="00450FDD"/>
    <w:rsid w:val="00451096"/>
    <w:rsid w:val="004510C5"/>
    <w:rsid w:val="00451171"/>
    <w:rsid w:val="004511FA"/>
    <w:rsid w:val="0045124F"/>
    <w:rsid w:val="00451262"/>
    <w:rsid w:val="004512A9"/>
    <w:rsid w:val="0045132C"/>
    <w:rsid w:val="00451343"/>
    <w:rsid w:val="00451377"/>
    <w:rsid w:val="004513B6"/>
    <w:rsid w:val="00451403"/>
    <w:rsid w:val="0045141D"/>
    <w:rsid w:val="0045144E"/>
    <w:rsid w:val="00451455"/>
    <w:rsid w:val="0045149C"/>
    <w:rsid w:val="004514B2"/>
    <w:rsid w:val="004516AA"/>
    <w:rsid w:val="00451713"/>
    <w:rsid w:val="00451722"/>
    <w:rsid w:val="00451728"/>
    <w:rsid w:val="00451841"/>
    <w:rsid w:val="004518B1"/>
    <w:rsid w:val="00451986"/>
    <w:rsid w:val="004519A7"/>
    <w:rsid w:val="004519B9"/>
    <w:rsid w:val="004519C1"/>
    <w:rsid w:val="00451A05"/>
    <w:rsid w:val="00451AE0"/>
    <w:rsid w:val="00451B20"/>
    <w:rsid w:val="00451B58"/>
    <w:rsid w:val="00451C72"/>
    <w:rsid w:val="00451D6D"/>
    <w:rsid w:val="00451E6B"/>
    <w:rsid w:val="00451F56"/>
    <w:rsid w:val="00451FDC"/>
    <w:rsid w:val="00452016"/>
    <w:rsid w:val="0045201A"/>
    <w:rsid w:val="0045201D"/>
    <w:rsid w:val="00452061"/>
    <w:rsid w:val="0045207C"/>
    <w:rsid w:val="00452087"/>
    <w:rsid w:val="004520B3"/>
    <w:rsid w:val="00452117"/>
    <w:rsid w:val="00452164"/>
    <w:rsid w:val="004521A8"/>
    <w:rsid w:val="004521AB"/>
    <w:rsid w:val="00452336"/>
    <w:rsid w:val="00452364"/>
    <w:rsid w:val="0045237B"/>
    <w:rsid w:val="004523AD"/>
    <w:rsid w:val="004523D4"/>
    <w:rsid w:val="004523F0"/>
    <w:rsid w:val="004523F8"/>
    <w:rsid w:val="0045242D"/>
    <w:rsid w:val="00452455"/>
    <w:rsid w:val="00452463"/>
    <w:rsid w:val="00452493"/>
    <w:rsid w:val="004524E6"/>
    <w:rsid w:val="00452550"/>
    <w:rsid w:val="0045255E"/>
    <w:rsid w:val="00452563"/>
    <w:rsid w:val="00452597"/>
    <w:rsid w:val="004525BE"/>
    <w:rsid w:val="00452663"/>
    <w:rsid w:val="0045267D"/>
    <w:rsid w:val="00452729"/>
    <w:rsid w:val="00452746"/>
    <w:rsid w:val="004527E1"/>
    <w:rsid w:val="004527E7"/>
    <w:rsid w:val="004527F1"/>
    <w:rsid w:val="00452843"/>
    <w:rsid w:val="00452849"/>
    <w:rsid w:val="00452857"/>
    <w:rsid w:val="0045285C"/>
    <w:rsid w:val="004528C5"/>
    <w:rsid w:val="004528EA"/>
    <w:rsid w:val="0045291D"/>
    <w:rsid w:val="00452921"/>
    <w:rsid w:val="00452941"/>
    <w:rsid w:val="004529BC"/>
    <w:rsid w:val="004529D0"/>
    <w:rsid w:val="00452A33"/>
    <w:rsid w:val="00452A54"/>
    <w:rsid w:val="00452A58"/>
    <w:rsid w:val="00452A90"/>
    <w:rsid w:val="00452A94"/>
    <w:rsid w:val="00452B0D"/>
    <w:rsid w:val="00452BC8"/>
    <w:rsid w:val="00452BD7"/>
    <w:rsid w:val="00452BE6"/>
    <w:rsid w:val="00452CD8"/>
    <w:rsid w:val="00452D6E"/>
    <w:rsid w:val="00452E01"/>
    <w:rsid w:val="00452E7D"/>
    <w:rsid w:val="00452E9A"/>
    <w:rsid w:val="00452EA9"/>
    <w:rsid w:val="00452EDA"/>
    <w:rsid w:val="00452EF4"/>
    <w:rsid w:val="00452F28"/>
    <w:rsid w:val="00452F81"/>
    <w:rsid w:val="00452F85"/>
    <w:rsid w:val="00452FE8"/>
    <w:rsid w:val="00453047"/>
    <w:rsid w:val="004530C8"/>
    <w:rsid w:val="004530DD"/>
    <w:rsid w:val="00453130"/>
    <w:rsid w:val="00453181"/>
    <w:rsid w:val="004531B0"/>
    <w:rsid w:val="004531FD"/>
    <w:rsid w:val="00453200"/>
    <w:rsid w:val="00453292"/>
    <w:rsid w:val="004532C3"/>
    <w:rsid w:val="004532CA"/>
    <w:rsid w:val="00453314"/>
    <w:rsid w:val="00453323"/>
    <w:rsid w:val="00453341"/>
    <w:rsid w:val="00453393"/>
    <w:rsid w:val="004533C4"/>
    <w:rsid w:val="004533D4"/>
    <w:rsid w:val="004533E6"/>
    <w:rsid w:val="00453411"/>
    <w:rsid w:val="00453414"/>
    <w:rsid w:val="00453433"/>
    <w:rsid w:val="00453462"/>
    <w:rsid w:val="00453566"/>
    <w:rsid w:val="00453572"/>
    <w:rsid w:val="00453576"/>
    <w:rsid w:val="004535A2"/>
    <w:rsid w:val="004535C3"/>
    <w:rsid w:val="0045360C"/>
    <w:rsid w:val="0045367F"/>
    <w:rsid w:val="00453692"/>
    <w:rsid w:val="004536B5"/>
    <w:rsid w:val="004536B6"/>
    <w:rsid w:val="004536D5"/>
    <w:rsid w:val="004536F1"/>
    <w:rsid w:val="004537BA"/>
    <w:rsid w:val="004537C0"/>
    <w:rsid w:val="004537DD"/>
    <w:rsid w:val="0045383D"/>
    <w:rsid w:val="0045387B"/>
    <w:rsid w:val="004538D7"/>
    <w:rsid w:val="0045395A"/>
    <w:rsid w:val="0045396A"/>
    <w:rsid w:val="00453A15"/>
    <w:rsid w:val="00453AC0"/>
    <w:rsid w:val="00453BD5"/>
    <w:rsid w:val="00453C96"/>
    <w:rsid w:val="00453CB0"/>
    <w:rsid w:val="00453D10"/>
    <w:rsid w:val="00453D43"/>
    <w:rsid w:val="00453D59"/>
    <w:rsid w:val="00453D8F"/>
    <w:rsid w:val="00453DCE"/>
    <w:rsid w:val="00453E02"/>
    <w:rsid w:val="00453E3C"/>
    <w:rsid w:val="00453E79"/>
    <w:rsid w:val="00453EE8"/>
    <w:rsid w:val="00453F08"/>
    <w:rsid w:val="00453FA9"/>
    <w:rsid w:val="0045401D"/>
    <w:rsid w:val="00454056"/>
    <w:rsid w:val="00454090"/>
    <w:rsid w:val="00454122"/>
    <w:rsid w:val="0045416A"/>
    <w:rsid w:val="0045417B"/>
    <w:rsid w:val="0045418E"/>
    <w:rsid w:val="0045419B"/>
    <w:rsid w:val="004541AB"/>
    <w:rsid w:val="004541CE"/>
    <w:rsid w:val="00454219"/>
    <w:rsid w:val="0045425E"/>
    <w:rsid w:val="00454286"/>
    <w:rsid w:val="004542C0"/>
    <w:rsid w:val="004542D9"/>
    <w:rsid w:val="0045431F"/>
    <w:rsid w:val="00454395"/>
    <w:rsid w:val="004543B5"/>
    <w:rsid w:val="00454419"/>
    <w:rsid w:val="0045442B"/>
    <w:rsid w:val="00454460"/>
    <w:rsid w:val="00454498"/>
    <w:rsid w:val="004544B0"/>
    <w:rsid w:val="004544D6"/>
    <w:rsid w:val="004544DC"/>
    <w:rsid w:val="004544EA"/>
    <w:rsid w:val="0045455D"/>
    <w:rsid w:val="004545C5"/>
    <w:rsid w:val="004545F6"/>
    <w:rsid w:val="00454618"/>
    <w:rsid w:val="00454649"/>
    <w:rsid w:val="004546D1"/>
    <w:rsid w:val="0045475B"/>
    <w:rsid w:val="004547D3"/>
    <w:rsid w:val="00454809"/>
    <w:rsid w:val="00454837"/>
    <w:rsid w:val="0045484B"/>
    <w:rsid w:val="0045488E"/>
    <w:rsid w:val="00454932"/>
    <w:rsid w:val="004549E0"/>
    <w:rsid w:val="00454A42"/>
    <w:rsid w:val="00454A53"/>
    <w:rsid w:val="00454A78"/>
    <w:rsid w:val="00454A81"/>
    <w:rsid w:val="00454B17"/>
    <w:rsid w:val="00454B48"/>
    <w:rsid w:val="00454B98"/>
    <w:rsid w:val="00454BA2"/>
    <w:rsid w:val="00454BC1"/>
    <w:rsid w:val="00454BF1"/>
    <w:rsid w:val="00454C0B"/>
    <w:rsid w:val="00454CF5"/>
    <w:rsid w:val="00454D15"/>
    <w:rsid w:val="00454DDA"/>
    <w:rsid w:val="00454DE1"/>
    <w:rsid w:val="00454E4B"/>
    <w:rsid w:val="00454E70"/>
    <w:rsid w:val="00454EC5"/>
    <w:rsid w:val="00454EEB"/>
    <w:rsid w:val="00454F36"/>
    <w:rsid w:val="00454F7A"/>
    <w:rsid w:val="00454FD2"/>
    <w:rsid w:val="0045506F"/>
    <w:rsid w:val="004550BB"/>
    <w:rsid w:val="00455149"/>
    <w:rsid w:val="0045514A"/>
    <w:rsid w:val="00455196"/>
    <w:rsid w:val="004551B6"/>
    <w:rsid w:val="00455270"/>
    <w:rsid w:val="0045528C"/>
    <w:rsid w:val="004552B9"/>
    <w:rsid w:val="004552CB"/>
    <w:rsid w:val="004552D4"/>
    <w:rsid w:val="00455341"/>
    <w:rsid w:val="00455353"/>
    <w:rsid w:val="004553BD"/>
    <w:rsid w:val="004553F8"/>
    <w:rsid w:val="00455419"/>
    <w:rsid w:val="004554AB"/>
    <w:rsid w:val="004554F3"/>
    <w:rsid w:val="00455521"/>
    <w:rsid w:val="0045555D"/>
    <w:rsid w:val="004555CC"/>
    <w:rsid w:val="004556CF"/>
    <w:rsid w:val="004557A7"/>
    <w:rsid w:val="004557AB"/>
    <w:rsid w:val="004557BA"/>
    <w:rsid w:val="0045586C"/>
    <w:rsid w:val="004558D3"/>
    <w:rsid w:val="0045596C"/>
    <w:rsid w:val="00455976"/>
    <w:rsid w:val="004559F2"/>
    <w:rsid w:val="00455A1C"/>
    <w:rsid w:val="00455AF1"/>
    <w:rsid w:val="00455B42"/>
    <w:rsid w:val="00455B79"/>
    <w:rsid w:val="00455C4D"/>
    <w:rsid w:val="00455CA2"/>
    <w:rsid w:val="00455D13"/>
    <w:rsid w:val="00455D90"/>
    <w:rsid w:val="00455DC7"/>
    <w:rsid w:val="00455E6F"/>
    <w:rsid w:val="00455E95"/>
    <w:rsid w:val="00455ED5"/>
    <w:rsid w:val="00455F88"/>
    <w:rsid w:val="00455FA7"/>
    <w:rsid w:val="00455FD1"/>
    <w:rsid w:val="00456047"/>
    <w:rsid w:val="004560CA"/>
    <w:rsid w:val="00456131"/>
    <w:rsid w:val="004561A5"/>
    <w:rsid w:val="004561B7"/>
    <w:rsid w:val="004561D2"/>
    <w:rsid w:val="004561EF"/>
    <w:rsid w:val="0045620C"/>
    <w:rsid w:val="004562EE"/>
    <w:rsid w:val="004562F4"/>
    <w:rsid w:val="0045634A"/>
    <w:rsid w:val="004563A1"/>
    <w:rsid w:val="004563CD"/>
    <w:rsid w:val="00456439"/>
    <w:rsid w:val="00456479"/>
    <w:rsid w:val="004564B1"/>
    <w:rsid w:val="00456552"/>
    <w:rsid w:val="00456665"/>
    <w:rsid w:val="00456749"/>
    <w:rsid w:val="00456802"/>
    <w:rsid w:val="00456854"/>
    <w:rsid w:val="004568C1"/>
    <w:rsid w:val="004568E2"/>
    <w:rsid w:val="00456904"/>
    <w:rsid w:val="0045690F"/>
    <w:rsid w:val="0045693B"/>
    <w:rsid w:val="00456948"/>
    <w:rsid w:val="00456985"/>
    <w:rsid w:val="00456A44"/>
    <w:rsid w:val="00456A49"/>
    <w:rsid w:val="00456B20"/>
    <w:rsid w:val="00456B2A"/>
    <w:rsid w:val="00456B98"/>
    <w:rsid w:val="00456BA2"/>
    <w:rsid w:val="00456BDC"/>
    <w:rsid w:val="00456BFE"/>
    <w:rsid w:val="00456C2E"/>
    <w:rsid w:val="00456C89"/>
    <w:rsid w:val="00456C92"/>
    <w:rsid w:val="00456CF5"/>
    <w:rsid w:val="00456CF8"/>
    <w:rsid w:val="00456D33"/>
    <w:rsid w:val="00456D6C"/>
    <w:rsid w:val="00456E74"/>
    <w:rsid w:val="00456E77"/>
    <w:rsid w:val="00456F48"/>
    <w:rsid w:val="00456FD8"/>
    <w:rsid w:val="00457013"/>
    <w:rsid w:val="0045701D"/>
    <w:rsid w:val="0045705C"/>
    <w:rsid w:val="004570CD"/>
    <w:rsid w:val="004570E5"/>
    <w:rsid w:val="00457164"/>
    <w:rsid w:val="004571FD"/>
    <w:rsid w:val="004572A4"/>
    <w:rsid w:val="004572AD"/>
    <w:rsid w:val="0045730C"/>
    <w:rsid w:val="0045733C"/>
    <w:rsid w:val="00457383"/>
    <w:rsid w:val="004573B6"/>
    <w:rsid w:val="00457425"/>
    <w:rsid w:val="004574B8"/>
    <w:rsid w:val="0045759E"/>
    <w:rsid w:val="004575E7"/>
    <w:rsid w:val="004575E8"/>
    <w:rsid w:val="00457644"/>
    <w:rsid w:val="00457674"/>
    <w:rsid w:val="004576DE"/>
    <w:rsid w:val="004576F7"/>
    <w:rsid w:val="00457710"/>
    <w:rsid w:val="00457716"/>
    <w:rsid w:val="00457720"/>
    <w:rsid w:val="0045777B"/>
    <w:rsid w:val="00457796"/>
    <w:rsid w:val="004577A5"/>
    <w:rsid w:val="004577BA"/>
    <w:rsid w:val="0045780B"/>
    <w:rsid w:val="0045780D"/>
    <w:rsid w:val="00457849"/>
    <w:rsid w:val="004578D7"/>
    <w:rsid w:val="004578F7"/>
    <w:rsid w:val="0045790F"/>
    <w:rsid w:val="0045796D"/>
    <w:rsid w:val="00457A3B"/>
    <w:rsid w:val="00457A90"/>
    <w:rsid w:val="00457ACE"/>
    <w:rsid w:val="00457ADF"/>
    <w:rsid w:val="00457B8F"/>
    <w:rsid w:val="00457BDD"/>
    <w:rsid w:val="00457C7F"/>
    <w:rsid w:val="00457CCC"/>
    <w:rsid w:val="00457D08"/>
    <w:rsid w:val="00457D09"/>
    <w:rsid w:val="00457D62"/>
    <w:rsid w:val="00457D7B"/>
    <w:rsid w:val="00457DF6"/>
    <w:rsid w:val="00457E0B"/>
    <w:rsid w:val="00457E3B"/>
    <w:rsid w:val="00457E5D"/>
    <w:rsid w:val="00457EBE"/>
    <w:rsid w:val="00457EFF"/>
    <w:rsid w:val="00457F6D"/>
    <w:rsid w:val="00457F8B"/>
    <w:rsid w:val="00457FB4"/>
    <w:rsid w:val="00457FEB"/>
    <w:rsid w:val="00457FF2"/>
    <w:rsid w:val="00457FFA"/>
    <w:rsid w:val="00457FFE"/>
    <w:rsid w:val="0046001E"/>
    <w:rsid w:val="00460056"/>
    <w:rsid w:val="00460092"/>
    <w:rsid w:val="00460111"/>
    <w:rsid w:val="00460143"/>
    <w:rsid w:val="00460180"/>
    <w:rsid w:val="00460231"/>
    <w:rsid w:val="004602FC"/>
    <w:rsid w:val="004603AC"/>
    <w:rsid w:val="004604CF"/>
    <w:rsid w:val="00460520"/>
    <w:rsid w:val="00460535"/>
    <w:rsid w:val="00460595"/>
    <w:rsid w:val="004605BE"/>
    <w:rsid w:val="004605E4"/>
    <w:rsid w:val="0046064E"/>
    <w:rsid w:val="0046067E"/>
    <w:rsid w:val="004606CD"/>
    <w:rsid w:val="00460710"/>
    <w:rsid w:val="00460798"/>
    <w:rsid w:val="004607A0"/>
    <w:rsid w:val="004607D0"/>
    <w:rsid w:val="004607D6"/>
    <w:rsid w:val="004608BB"/>
    <w:rsid w:val="004608BD"/>
    <w:rsid w:val="004608E0"/>
    <w:rsid w:val="00460920"/>
    <w:rsid w:val="00460984"/>
    <w:rsid w:val="00460992"/>
    <w:rsid w:val="004609E9"/>
    <w:rsid w:val="00460A12"/>
    <w:rsid w:val="00460A9B"/>
    <w:rsid w:val="00460B75"/>
    <w:rsid w:val="00460B79"/>
    <w:rsid w:val="00460BB8"/>
    <w:rsid w:val="00460BC5"/>
    <w:rsid w:val="00460BC7"/>
    <w:rsid w:val="00460BCD"/>
    <w:rsid w:val="00460BEF"/>
    <w:rsid w:val="00460C84"/>
    <w:rsid w:val="00460CFF"/>
    <w:rsid w:val="00460DB0"/>
    <w:rsid w:val="00460E5D"/>
    <w:rsid w:val="00460E65"/>
    <w:rsid w:val="00460EA4"/>
    <w:rsid w:val="00460EC3"/>
    <w:rsid w:val="00460EEB"/>
    <w:rsid w:val="00460F7F"/>
    <w:rsid w:val="00460F92"/>
    <w:rsid w:val="00460FA8"/>
    <w:rsid w:val="00460FB6"/>
    <w:rsid w:val="00460FC3"/>
    <w:rsid w:val="00460FEC"/>
    <w:rsid w:val="00461008"/>
    <w:rsid w:val="0046100D"/>
    <w:rsid w:val="0046100E"/>
    <w:rsid w:val="00461078"/>
    <w:rsid w:val="00461105"/>
    <w:rsid w:val="00461205"/>
    <w:rsid w:val="00461225"/>
    <w:rsid w:val="00461244"/>
    <w:rsid w:val="00461277"/>
    <w:rsid w:val="004612A0"/>
    <w:rsid w:val="004612A5"/>
    <w:rsid w:val="004612DA"/>
    <w:rsid w:val="004612E5"/>
    <w:rsid w:val="00461313"/>
    <w:rsid w:val="0046136B"/>
    <w:rsid w:val="0046139F"/>
    <w:rsid w:val="004613A3"/>
    <w:rsid w:val="004613DD"/>
    <w:rsid w:val="00461411"/>
    <w:rsid w:val="0046142F"/>
    <w:rsid w:val="0046143C"/>
    <w:rsid w:val="00461471"/>
    <w:rsid w:val="0046151E"/>
    <w:rsid w:val="0046152F"/>
    <w:rsid w:val="00461533"/>
    <w:rsid w:val="00461539"/>
    <w:rsid w:val="00461551"/>
    <w:rsid w:val="0046158A"/>
    <w:rsid w:val="004615CF"/>
    <w:rsid w:val="004615F2"/>
    <w:rsid w:val="004615FC"/>
    <w:rsid w:val="004616F0"/>
    <w:rsid w:val="00461794"/>
    <w:rsid w:val="004617C9"/>
    <w:rsid w:val="00461803"/>
    <w:rsid w:val="00461930"/>
    <w:rsid w:val="00461952"/>
    <w:rsid w:val="0046195C"/>
    <w:rsid w:val="00461961"/>
    <w:rsid w:val="00461A2D"/>
    <w:rsid w:val="00461A7D"/>
    <w:rsid w:val="00461ADA"/>
    <w:rsid w:val="00461B15"/>
    <w:rsid w:val="00461B16"/>
    <w:rsid w:val="00461B27"/>
    <w:rsid w:val="00461B60"/>
    <w:rsid w:val="00461BFE"/>
    <w:rsid w:val="00461BFF"/>
    <w:rsid w:val="00461C31"/>
    <w:rsid w:val="00461C47"/>
    <w:rsid w:val="00461C5E"/>
    <w:rsid w:val="00461C6B"/>
    <w:rsid w:val="00461CA8"/>
    <w:rsid w:val="00461CD3"/>
    <w:rsid w:val="00461D81"/>
    <w:rsid w:val="00461D88"/>
    <w:rsid w:val="00461E37"/>
    <w:rsid w:val="00461E47"/>
    <w:rsid w:val="00461E9A"/>
    <w:rsid w:val="00461EA7"/>
    <w:rsid w:val="00461EB2"/>
    <w:rsid w:val="00461F7E"/>
    <w:rsid w:val="00462013"/>
    <w:rsid w:val="0046204B"/>
    <w:rsid w:val="004620D2"/>
    <w:rsid w:val="004620F2"/>
    <w:rsid w:val="0046210D"/>
    <w:rsid w:val="004621EC"/>
    <w:rsid w:val="00462239"/>
    <w:rsid w:val="00462280"/>
    <w:rsid w:val="00462286"/>
    <w:rsid w:val="00462325"/>
    <w:rsid w:val="00462360"/>
    <w:rsid w:val="0046245D"/>
    <w:rsid w:val="00462462"/>
    <w:rsid w:val="004624FD"/>
    <w:rsid w:val="004625D4"/>
    <w:rsid w:val="004625F1"/>
    <w:rsid w:val="00462600"/>
    <w:rsid w:val="0046261A"/>
    <w:rsid w:val="00462741"/>
    <w:rsid w:val="004627A8"/>
    <w:rsid w:val="00462816"/>
    <w:rsid w:val="00462818"/>
    <w:rsid w:val="0046286B"/>
    <w:rsid w:val="0046289B"/>
    <w:rsid w:val="004628CE"/>
    <w:rsid w:val="004628D2"/>
    <w:rsid w:val="004629E2"/>
    <w:rsid w:val="00462A18"/>
    <w:rsid w:val="00462A32"/>
    <w:rsid w:val="00462A7C"/>
    <w:rsid w:val="00462A9B"/>
    <w:rsid w:val="00462A9E"/>
    <w:rsid w:val="00462B35"/>
    <w:rsid w:val="00462B36"/>
    <w:rsid w:val="00462B5E"/>
    <w:rsid w:val="00462BB9"/>
    <w:rsid w:val="00462BE4"/>
    <w:rsid w:val="00462C4A"/>
    <w:rsid w:val="00462CF8"/>
    <w:rsid w:val="00462D0D"/>
    <w:rsid w:val="00462D31"/>
    <w:rsid w:val="00462D77"/>
    <w:rsid w:val="00462D86"/>
    <w:rsid w:val="00462DA2"/>
    <w:rsid w:val="00462DAC"/>
    <w:rsid w:val="00462DB2"/>
    <w:rsid w:val="00462DCC"/>
    <w:rsid w:val="00462DD2"/>
    <w:rsid w:val="00462DE1"/>
    <w:rsid w:val="00462DE9"/>
    <w:rsid w:val="00462E4B"/>
    <w:rsid w:val="00462E6B"/>
    <w:rsid w:val="00462ECE"/>
    <w:rsid w:val="00462F04"/>
    <w:rsid w:val="00462F09"/>
    <w:rsid w:val="00462F1E"/>
    <w:rsid w:val="00462F85"/>
    <w:rsid w:val="00462FB0"/>
    <w:rsid w:val="00463098"/>
    <w:rsid w:val="00463104"/>
    <w:rsid w:val="0046313F"/>
    <w:rsid w:val="00463175"/>
    <w:rsid w:val="00463180"/>
    <w:rsid w:val="00463184"/>
    <w:rsid w:val="0046324B"/>
    <w:rsid w:val="00463254"/>
    <w:rsid w:val="0046326C"/>
    <w:rsid w:val="004632B0"/>
    <w:rsid w:val="004632C3"/>
    <w:rsid w:val="00463327"/>
    <w:rsid w:val="00463330"/>
    <w:rsid w:val="00463349"/>
    <w:rsid w:val="00463388"/>
    <w:rsid w:val="00463393"/>
    <w:rsid w:val="004633EB"/>
    <w:rsid w:val="004633F1"/>
    <w:rsid w:val="00463426"/>
    <w:rsid w:val="00463477"/>
    <w:rsid w:val="004634CC"/>
    <w:rsid w:val="004634D9"/>
    <w:rsid w:val="004634E4"/>
    <w:rsid w:val="00463552"/>
    <w:rsid w:val="0046355B"/>
    <w:rsid w:val="00463591"/>
    <w:rsid w:val="004635C9"/>
    <w:rsid w:val="004635E6"/>
    <w:rsid w:val="004635F2"/>
    <w:rsid w:val="004636A6"/>
    <w:rsid w:val="0046377B"/>
    <w:rsid w:val="004637B4"/>
    <w:rsid w:val="004637D8"/>
    <w:rsid w:val="004637E4"/>
    <w:rsid w:val="00463803"/>
    <w:rsid w:val="0046383C"/>
    <w:rsid w:val="0046387F"/>
    <w:rsid w:val="004638D5"/>
    <w:rsid w:val="004638EF"/>
    <w:rsid w:val="00463912"/>
    <w:rsid w:val="00463989"/>
    <w:rsid w:val="004639BD"/>
    <w:rsid w:val="00463A46"/>
    <w:rsid w:val="00463AD8"/>
    <w:rsid w:val="00463B3F"/>
    <w:rsid w:val="00463B9A"/>
    <w:rsid w:val="00463BB8"/>
    <w:rsid w:val="00463C11"/>
    <w:rsid w:val="00463C25"/>
    <w:rsid w:val="00463CC0"/>
    <w:rsid w:val="00463D0D"/>
    <w:rsid w:val="00463D19"/>
    <w:rsid w:val="00463D9C"/>
    <w:rsid w:val="00463DC9"/>
    <w:rsid w:val="00463DCE"/>
    <w:rsid w:val="00463DE4"/>
    <w:rsid w:val="00463E64"/>
    <w:rsid w:val="00463EFF"/>
    <w:rsid w:val="00463F30"/>
    <w:rsid w:val="00463F9F"/>
    <w:rsid w:val="00463FB4"/>
    <w:rsid w:val="0046400C"/>
    <w:rsid w:val="0046410B"/>
    <w:rsid w:val="004641B3"/>
    <w:rsid w:val="00464200"/>
    <w:rsid w:val="00464366"/>
    <w:rsid w:val="00464381"/>
    <w:rsid w:val="0046439B"/>
    <w:rsid w:val="0046441E"/>
    <w:rsid w:val="0046446E"/>
    <w:rsid w:val="004644C8"/>
    <w:rsid w:val="004644CB"/>
    <w:rsid w:val="004644FB"/>
    <w:rsid w:val="00464508"/>
    <w:rsid w:val="00464663"/>
    <w:rsid w:val="004646A1"/>
    <w:rsid w:val="004646D3"/>
    <w:rsid w:val="0046475B"/>
    <w:rsid w:val="0046478B"/>
    <w:rsid w:val="00464794"/>
    <w:rsid w:val="004647B0"/>
    <w:rsid w:val="00464806"/>
    <w:rsid w:val="00464853"/>
    <w:rsid w:val="004648BB"/>
    <w:rsid w:val="00464924"/>
    <w:rsid w:val="00464961"/>
    <w:rsid w:val="004649A0"/>
    <w:rsid w:val="00464A10"/>
    <w:rsid w:val="00464A4B"/>
    <w:rsid w:val="00464A79"/>
    <w:rsid w:val="00464A9B"/>
    <w:rsid w:val="00464AE3"/>
    <w:rsid w:val="00464C0B"/>
    <w:rsid w:val="00464C3F"/>
    <w:rsid w:val="00464CD2"/>
    <w:rsid w:val="00464CDF"/>
    <w:rsid w:val="00464D22"/>
    <w:rsid w:val="00464D40"/>
    <w:rsid w:val="00464D45"/>
    <w:rsid w:val="00464D7E"/>
    <w:rsid w:val="00464DD5"/>
    <w:rsid w:val="00464ECD"/>
    <w:rsid w:val="00464F14"/>
    <w:rsid w:val="00464F80"/>
    <w:rsid w:val="00464F84"/>
    <w:rsid w:val="00464FDC"/>
    <w:rsid w:val="0046501B"/>
    <w:rsid w:val="0046507C"/>
    <w:rsid w:val="00465096"/>
    <w:rsid w:val="004650B6"/>
    <w:rsid w:val="004650D2"/>
    <w:rsid w:val="004650E2"/>
    <w:rsid w:val="00465168"/>
    <w:rsid w:val="00465223"/>
    <w:rsid w:val="00465288"/>
    <w:rsid w:val="004652B0"/>
    <w:rsid w:val="004652E5"/>
    <w:rsid w:val="004652FC"/>
    <w:rsid w:val="00465349"/>
    <w:rsid w:val="00465369"/>
    <w:rsid w:val="0046539E"/>
    <w:rsid w:val="004653FA"/>
    <w:rsid w:val="0046546F"/>
    <w:rsid w:val="004654A9"/>
    <w:rsid w:val="004654D7"/>
    <w:rsid w:val="00465579"/>
    <w:rsid w:val="0046561D"/>
    <w:rsid w:val="0046565E"/>
    <w:rsid w:val="00465674"/>
    <w:rsid w:val="004656DE"/>
    <w:rsid w:val="004656F6"/>
    <w:rsid w:val="0046575C"/>
    <w:rsid w:val="00465783"/>
    <w:rsid w:val="004657B3"/>
    <w:rsid w:val="00465803"/>
    <w:rsid w:val="00465828"/>
    <w:rsid w:val="004658AB"/>
    <w:rsid w:val="004658C9"/>
    <w:rsid w:val="00465939"/>
    <w:rsid w:val="0046593E"/>
    <w:rsid w:val="0046598E"/>
    <w:rsid w:val="00465995"/>
    <w:rsid w:val="00465997"/>
    <w:rsid w:val="00465A09"/>
    <w:rsid w:val="00465A0B"/>
    <w:rsid w:val="00465A52"/>
    <w:rsid w:val="00465A86"/>
    <w:rsid w:val="00465B53"/>
    <w:rsid w:val="00465BCA"/>
    <w:rsid w:val="00465C89"/>
    <w:rsid w:val="00465D26"/>
    <w:rsid w:val="00465E78"/>
    <w:rsid w:val="00465F40"/>
    <w:rsid w:val="00465F42"/>
    <w:rsid w:val="00465F60"/>
    <w:rsid w:val="00465FA6"/>
    <w:rsid w:val="00465FB2"/>
    <w:rsid w:val="00465FB5"/>
    <w:rsid w:val="00466035"/>
    <w:rsid w:val="00466036"/>
    <w:rsid w:val="0046603B"/>
    <w:rsid w:val="00466067"/>
    <w:rsid w:val="00466200"/>
    <w:rsid w:val="004662FA"/>
    <w:rsid w:val="0046631D"/>
    <w:rsid w:val="0046638C"/>
    <w:rsid w:val="004664AE"/>
    <w:rsid w:val="004664CE"/>
    <w:rsid w:val="0046650D"/>
    <w:rsid w:val="00466580"/>
    <w:rsid w:val="004665CD"/>
    <w:rsid w:val="004665DD"/>
    <w:rsid w:val="004665E6"/>
    <w:rsid w:val="004665F5"/>
    <w:rsid w:val="004665FA"/>
    <w:rsid w:val="00466624"/>
    <w:rsid w:val="00466671"/>
    <w:rsid w:val="004666A4"/>
    <w:rsid w:val="004667EB"/>
    <w:rsid w:val="004667FC"/>
    <w:rsid w:val="00466835"/>
    <w:rsid w:val="00466865"/>
    <w:rsid w:val="004668A0"/>
    <w:rsid w:val="0046692B"/>
    <w:rsid w:val="0046698F"/>
    <w:rsid w:val="00466A2C"/>
    <w:rsid w:val="00466A43"/>
    <w:rsid w:val="00466A8E"/>
    <w:rsid w:val="00466AB8"/>
    <w:rsid w:val="00466ADD"/>
    <w:rsid w:val="00466AED"/>
    <w:rsid w:val="00466AF5"/>
    <w:rsid w:val="00466B08"/>
    <w:rsid w:val="00466B43"/>
    <w:rsid w:val="00466BA2"/>
    <w:rsid w:val="00466BBB"/>
    <w:rsid w:val="00466BC2"/>
    <w:rsid w:val="00466C42"/>
    <w:rsid w:val="00466CB1"/>
    <w:rsid w:val="00466D3B"/>
    <w:rsid w:val="00466DA0"/>
    <w:rsid w:val="00466E4D"/>
    <w:rsid w:val="00466E73"/>
    <w:rsid w:val="00466EAE"/>
    <w:rsid w:val="00466EB2"/>
    <w:rsid w:val="00466EE8"/>
    <w:rsid w:val="00466F47"/>
    <w:rsid w:val="00467053"/>
    <w:rsid w:val="0046705F"/>
    <w:rsid w:val="004670FC"/>
    <w:rsid w:val="00467115"/>
    <w:rsid w:val="00467132"/>
    <w:rsid w:val="0046717F"/>
    <w:rsid w:val="004672F1"/>
    <w:rsid w:val="00467337"/>
    <w:rsid w:val="0046735C"/>
    <w:rsid w:val="00467361"/>
    <w:rsid w:val="004673E1"/>
    <w:rsid w:val="0046748E"/>
    <w:rsid w:val="00467565"/>
    <w:rsid w:val="004675D8"/>
    <w:rsid w:val="00467601"/>
    <w:rsid w:val="0046761A"/>
    <w:rsid w:val="00467656"/>
    <w:rsid w:val="0046769D"/>
    <w:rsid w:val="004676AB"/>
    <w:rsid w:val="0046776F"/>
    <w:rsid w:val="0046778B"/>
    <w:rsid w:val="004678A9"/>
    <w:rsid w:val="0046792C"/>
    <w:rsid w:val="00467A0F"/>
    <w:rsid w:val="00467A2F"/>
    <w:rsid w:val="00467A34"/>
    <w:rsid w:val="00467B35"/>
    <w:rsid w:val="00467B4B"/>
    <w:rsid w:val="00467B55"/>
    <w:rsid w:val="00467BD9"/>
    <w:rsid w:val="00467C21"/>
    <w:rsid w:val="00467C3F"/>
    <w:rsid w:val="00467CAE"/>
    <w:rsid w:val="00467D15"/>
    <w:rsid w:val="00467D31"/>
    <w:rsid w:val="00467D69"/>
    <w:rsid w:val="00467DE3"/>
    <w:rsid w:val="00467E54"/>
    <w:rsid w:val="00467E67"/>
    <w:rsid w:val="00467ECB"/>
    <w:rsid w:val="00467EEA"/>
    <w:rsid w:val="004700A1"/>
    <w:rsid w:val="004700AB"/>
    <w:rsid w:val="004700B7"/>
    <w:rsid w:val="004700F9"/>
    <w:rsid w:val="0047014D"/>
    <w:rsid w:val="004701DE"/>
    <w:rsid w:val="004701E7"/>
    <w:rsid w:val="00470213"/>
    <w:rsid w:val="00470233"/>
    <w:rsid w:val="0047026B"/>
    <w:rsid w:val="004702CD"/>
    <w:rsid w:val="004702FD"/>
    <w:rsid w:val="00470346"/>
    <w:rsid w:val="0047039F"/>
    <w:rsid w:val="004703BA"/>
    <w:rsid w:val="0047045D"/>
    <w:rsid w:val="0047048A"/>
    <w:rsid w:val="00470499"/>
    <w:rsid w:val="004704A7"/>
    <w:rsid w:val="004704C1"/>
    <w:rsid w:val="0047050C"/>
    <w:rsid w:val="00470511"/>
    <w:rsid w:val="004705CA"/>
    <w:rsid w:val="00470630"/>
    <w:rsid w:val="00470696"/>
    <w:rsid w:val="00470712"/>
    <w:rsid w:val="00470738"/>
    <w:rsid w:val="0047074A"/>
    <w:rsid w:val="00470788"/>
    <w:rsid w:val="004707F6"/>
    <w:rsid w:val="00470846"/>
    <w:rsid w:val="00470892"/>
    <w:rsid w:val="00470912"/>
    <w:rsid w:val="0047091A"/>
    <w:rsid w:val="00470941"/>
    <w:rsid w:val="00470A06"/>
    <w:rsid w:val="00470A0C"/>
    <w:rsid w:val="00470AB5"/>
    <w:rsid w:val="00470AE0"/>
    <w:rsid w:val="00470B1F"/>
    <w:rsid w:val="00470B8C"/>
    <w:rsid w:val="00470B8E"/>
    <w:rsid w:val="00470B8F"/>
    <w:rsid w:val="00470BA0"/>
    <w:rsid w:val="00470BE6"/>
    <w:rsid w:val="00470CEA"/>
    <w:rsid w:val="00470CF1"/>
    <w:rsid w:val="00470CFB"/>
    <w:rsid w:val="00470D36"/>
    <w:rsid w:val="00470D38"/>
    <w:rsid w:val="00470D79"/>
    <w:rsid w:val="00470DBB"/>
    <w:rsid w:val="00470E8E"/>
    <w:rsid w:val="00470EC5"/>
    <w:rsid w:val="00470EC7"/>
    <w:rsid w:val="00470EF3"/>
    <w:rsid w:val="00470F86"/>
    <w:rsid w:val="00470FBE"/>
    <w:rsid w:val="00471023"/>
    <w:rsid w:val="00471049"/>
    <w:rsid w:val="00471059"/>
    <w:rsid w:val="0047112C"/>
    <w:rsid w:val="00471158"/>
    <w:rsid w:val="00471170"/>
    <w:rsid w:val="004711F9"/>
    <w:rsid w:val="00471229"/>
    <w:rsid w:val="00471273"/>
    <w:rsid w:val="00471277"/>
    <w:rsid w:val="00471284"/>
    <w:rsid w:val="0047128C"/>
    <w:rsid w:val="004712D2"/>
    <w:rsid w:val="0047131E"/>
    <w:rsid w:val="0047135A"/>
    <w:rsid w:val="00471377"/>
    <w:rsid w:val="00471387"/>
    <w:rsid w:val="0047139C"/>
    <w:rsid w:val="0047140B"/>
    <w:rsid w:val="00471440"/>
    <w:rsid w:val="004714A2"/>
    <w:rsid w:val="004714A5"/>
    <w:rsid w:val="004715B8"/>
    <w:rsid w:val="00471635"/>
    <w:rsid w:val="00471652"/>
    <w:rsid w:val="00471655"/>
    <w:rsid w:val="004716AF"/>
    <w:rsid w:val="00471707"/>
    <w:rsid w:val="00471744"/>
    <w:rsid w:val="00471748"/>
    <w:rsid w:val="00471750"/>
    <w:rsid w:val="0047179F"/>
    <w:rsid w:val="004717B8"/>
    <w:rsid w:val="004717C8"/>
    <w:rsid w:val="0047188F"/>
    <w:rsid w:val="004718C4"/>
    <w:rsid w:val="004719C3"/>
    <w:rsid w:val="004719CA"/>
    <w:rsid w:val="004719F3"/>
    <w:rsid w:val="004719F8"/>
    <w:rsid w:val="00471A7C"/>
    <w:rsid w:val="00471AB0"/>
    <w:rsid w:val="00471ACD"/>
    <w:rsid w:val="00471B12"/>
    <w:rsid w:val="00471B35"/>
    <w:rsid w:val="00471B89"/>
    <w:rsid w:val="00471C0E"/>
    <w:rsid w:val="00471C3C"/>
    <w:rsid w:val="00471CC3"/>
    <w:rsid w:val="00471CE5"/>
    <w:rsid w:val="00471D0C"/>
    <w:rsid w:val="00471D8A"/>
    <w:rsid w:val="00471E8C"/>
    <w:rsid w:val="00471F0F"/>
    <w:rsid w:val="00471F39"/>
    <w:rsid w:val="00471F62"/>
    <w:rsid w:val="00471F79"/>
    <w:rsid w:val="00471FA2"/>
    <w:rsid w:val="00471FA8"/>
    <w:rsid w:val="00472058"/>
    <w:rsid w:val="0047207F"/>
    <w:rsid w:val="004720C4"/>
    <w:rsid w:val="004720F7"/>
    <w:rsid w:val="004721A8"/>
    <w:rsid w:val="004721F4"/>
    <w:rsid w:val="00472241"/>
    <w:rsid w:val="00472286"/>
    <w:rsid w:val="004722CE"/>
    <w:rsid w:val="0047231E"/>
    <w:rsid w:val="00472399"/>
    <w:rsid w:val="004723AD"/>
    <w:rsid w:val="00472431"/>
    <w:rsid w:val="004724AE"/>
    <w:rsid w:val="004724BD"/>
    <w:rsid w:val="004724C3"/>
    <w:rsid w:val="004724D9"/>
    <w:rsid w:val="0047252E"/>
    <w:rsid w:val="0047256A"/>
    <w:rsid w:val="00472578"/>
    <w:rsid w:val="0047259B"/>
    <w:rsid w:val="0047265C"/>
    <w:rsid w:val="0047266B"/>
    <w:rsid w:val="004726BF"/>
    <w:rsid w:val="004726F3"/>
    <w:rsid w:val="00472727"/>
    <w:rsid w:val="0047273A"/>
    <w:rsid w:val="00472743"/>
    <w:rsid w:val="00472791"/>
    <w:rsid w:val="004727AF"/>
    <w:rsid w:val="004727CF"/>
    <w:rsid w:val="0047283F"/>
    <w:rsid w:val="0047287D"/>
    <w:rsid w:val="00472883"/>
    <w:rsid w:val="0047288C"/>
    <w:rsid w:val="00472929"/>
    <w:rsid w:val="0047295E"/>
    <w:rsid w:val="004729EB"/>
    <w:rsid w:val="00472A21"/>
    <w:rsid w:val="00472A26"/>
    <w:rsid w:val="00472BC4"/>
    <w:rsid w:val="00472C12"/>
    <w:rsid w:val="00472C31"/>
    <w:rsid w:val="00472CCB"/>
    <w:rsid w:val="00472D70"/>
    <w:rsid w:val="00472DD2"/>
    <w:rsid w:val="00472DE7"/>
    <w:rsid w:val="00472E2D"/>
    <w:rsid w:val="00472E4E"/>
    <w:rsid w:val="00472EC6"/>
    <w:rsid w:val="00472F4E"/>
    <w:rsid w:val="00472F94"/>
    <w:rsid w:val="00472FB5"/>
    <w:rsid w:val="00472FCC"/>
    <w:rsid w:val="00473032"/>
    <w:rsid w:val="00473033"/>
    <w:rsid w:val="0047306C"/>
    <w:rsid w:val="00473160"/>
    <w:rsid w:val="00473177"/>
    <w:rsid w:val="004731A2"/>
    <w:rsid w:val="00473280"/>
    <w:rsid w:val="00473289"/>
    <w:rsid w:val="004732E2"/>
    <w:rsid w:val="0047332D"/>
    <w:rsid w:val="00473346"/>
    <w:rsid w:val="0047335D"/>
    <w:rsid w:val="00473421"/>
    <w:rsid w:val="00473450"/>
    <w:rsid w:val="00473455"/>
    <w:rsid w:val="004734F5"/>
    <w:rsid w:val="00473591"/>
    <w:rsid w:val="0047359F"/>
    <w:rsid w:val="004735D5"/>
    <w:rsid w:val="004735EA"/>
    <w:rsid w:val="00473696"/>
    <w:rsid w:val="004736AF"/>
    <w:rsid w:val="004736B6"/>
    <w:rsid w:val="004736FA"/>
    <w:rsid w:val="0047372E"/>
    <w:rsid w:val="0047373B"/>
    <w:rsid w:val="0047373E"/>
    <w:rsid w:val="0047374E"/>
    <w:rsid w:val="004737D2"/>
    <w:rsid w:val="004738B0"/>
    <w:rsid w:val="004738D9"/>
    <w:rsid w:val="004738F1"/>
    <w:rsid w:val="00473A2A"/>
    <w:rsid w:val="00473A49"/>
    <w:rsid w:val="00473A76"/>
    <w:rsid w:val="00473A95"/>
    <w:rsid w:val="00473B7A"/>
    <w:rsid w:val="00473B82"/>
    <w:rsid w:val="00473BA1"/>
    <w:rsid w:val="00473BEE"/>
    <w:rsid w:val="00473BFA"/>
    <w:rsid w:val="00473C5D"/>
    <w:rsid w:val="00473CAF"/>
    <w:rsid w:val="00473CDF"/>
    <w:rsid w:val="00473D65"/>
    <w:rsid w:val="00473D8F"/>
    <w:rsid w:val="00473E4F"/>
    <w:rsid w:val="00473F61"/>
    <w:rsid w:val="004740A1"/>
    <w:rsid w:val="00474160"/>
    <w:rsid w:val="00474177"/>
    <w:rsid w:val="004741F9"/>
    <w:rsid w:val="00474237"/>
    <w:rsid w:val="00474244"/>
    <w:rsid w:val="0047425F"/>
    <w:rsid w:val="00474314"/>
    <w:rsid w:val="0047434E"/>
    <w:rsid w:val="00474404"/>
    <w:rsid w:val="004744D4"/>
    <w:rsid w:val="004744D8"/>
    <w:rsid w:val="004744E4"/>
    <w:rsid w:val="004744F0"/>
    <w:rsid w:val="004744FE"/>
    <w:rsid w:val="00474550"/>
    <w:rsid w:val="00474581"/>
    <w:rsid w:val="004745AC"/>
    <w:rsid w:val="004745AF"/>
    <w:rsid w:val="00474622"/>
    <w:rsid w:val="004746C4"/>
    <w:rsid w:val="004746C5"/>
    <w:rsid w:val="004746E3"/>
    <w:rsid w:val="004746E8"/>
    <w:rsid w:val="00474782"/>
    <w:rsid w:val="0047478B"/>
    <w:rsid w:val="00474884"/>
    <w:rsid w:val="004748B7"/>
    <w:rsid w:val="004748ED"/>
    <w:rsid w:val="00474917"/>
    <w:rsid w:val="00474977"/>
    <w:rsid w:val="004749A5"/>
    <w:rsid w:val="004749B2"/>
    <w:rsid w:val="004749F2"/>
    <w:rsid w:val="00474A65"/>
    <w:rsid w:val="00474A68"/>
    <w:rsid w:val="00474BEC"/>
    <w:rsid w:val="00474C04"/>
    <w:rsid w:val="00474C63"/>
    <w:rsid w:val="00474C8D"/>
    <w:rsid w:val="00474CD0"/>
    <w:rsid w:val="00474CEA"/>
    <w:rsid w:val="00474CF6"/>
    <w:rsid w:val="00474E66"/>
    <w:rsid w:val="00474E80"/>
    <w:rsid w:val="00474E93"/>
    <w:rsid w:val="00474EBD"/>
    <w:rsid w:val="00474EDE"/>
    <w:rsid w:val="00474F40"/>
    <w:rsid w:val="00474F4C"/>
    <w:rsid w:val="00474F62"/>
    <w:rsid w:val="00474FC2"/>
    <w:rsid w:val="00474FE4"/>
    <w:rsid w:val="00475004"/>
    <w:rsid w:val="0047505E"/>
    <w:rsid w:val="00475090"/>
    <w:rsid w:val="00475099"/>
    <w:rsid w:val="004750F8"/>
    <w:rsid w:val="0047513B"/>
    <w:rsid w:val="0047516C"/>
    <w:rsid w:val="004751CD"/>
    <w:rsid w:val="004752A4"/>
    <w:rsid w:val="004752ED"/>
    <w:rsid w:val="0047535E"/>
    <w:rsid w:val="004753E5"/>
    <w:rsid w:val="0047552E"/>
    <w:rsid w:val="0047567A"/>
    <w:rsid w:val="00475688"/>
    <w:rsid w:val="004756B2"/>
    <w:rsid w:val="00475725"/>
    <w:rsid w:val="0047573B"/>
    <w:rsid w:val="00475786"/>
    <w:rsid w:val="00475820"/>
    <w:rsid w:val="0047583A"/>
    <w:rsid w:val="004758B9"/>
    <w:rsid w:val="00475926"/>
    <w:rsid w:val="00475937"/>
    <w:rsid w:val="0047594B"/>
    <w:rsid w:val="004759E5"/>
    <w:rsid w:val="00475A83"/>
    <w:rsid w:val="00475ABB"/>
    <w:rsid w:val="00475ADA"/>
    <w:rsid w:val="00475B1F"/>
    <w:rsid w:val="00475B29"/>
    <w:rsid w:val="00475B31"/>
    <w:rsid w:val="00475B80"/>
    <w:rsid w:val="00475BE5"/>
    <w:rsid w:val="00475C3F"/>
    <w:rsid w:val="00475C60"/>
    <w:rsid w:val="00475CA2"/>
    <w:rsid w:val="00475CF2"/>
    <w:rsid w:val="00475D0C"/>
    <w:rsid w:val="00475D24"/>
    <w:rsid w:val="00475D67"/>
    <w:rsid w:val="00475D8B"/>
    <w:rsid w:val="00475DCF"/>
    <w:rsid w:val="00475DEC"/>
    <w:rsid w:val="00475DF3"/>
    <w:rsid w:val="00475EBF"/>
    <w:rsid w:val="00475F52"/>
    <w:rsid w:val="00475F65"/>
    <w:rsid w:val="00475FDB"/>
    <w:rsid w:val="00475FDF"/>
    <w:rsid w:val="0047603D"/>
    <w:rsid w:val="004760F0"/>
    <w:rsid w:val="0047613E"/>
    <w:rsid w:val="00476163"/>
    <w:rsid w:val="0047616D"/>
    <w:rsid w:val="00476199"/>
    <w:rsid w:val="0047621D"/>
    <w:rsid w:val="00476225"/>
    <w:rsid w:val="0047623C"/>
    <w:rsid w:val="004762CD"/>
    <w:rsid w:val="004762FB"/>
    <w:rsid w:val="00476328"/>
    <w:rsid w:val="004763C2"/>
    <w:rsid w:val="004763D9"/>
    <w:rsid w:val="00476419"/>
    <w:rsid w:val="00476438"/>
    <w:rsid w:val="00476452"/>
    <w:rsid w:val="00476462"/>
    <w:rsid w:val="004764C0"/>
    <w:rsid w:val="004764D1"/>
    <w:rsid w:val="004764D6"/>
    <w:rsid w:val="004764D8"/>
    <w:rsid w:val="00476504"/>
    <w:rsid w:val="00476559"/>
    <w:rsid w:val="004765DE"/>
    <w:rsid w:val="00476662"/>
    <w:rsid w:val="004766A0"/>
    <w:rsid w:val="00476812"/>
    <w:rsid w:val="00476851"/>
    <w:rsid w:val="004768FA"/>
    <w:rsid w:val="00476921"/>
    <w:rsid w:val="0047693E"/>
    <w:rsid w:val="0047693F"/>
    <w:rsid w:val="00476981"/>
    <w:rsid w:val="00476998"/>
    <w:rsid w:val="004769CB"/>
    <w:rsid w:val="00476A7A"/>
    <w:rsid w:val="00476B9C"/>
    <w:rsid w:val="00476BCA"/>
    <w:rsid w:val="00476BE4"/>
    <w:rsid w:val="00476BF2"/>
    <w:rsid w:val="00476CA0"/>
    <w:rsid w:val="00476CAB"/>
    <w:rsid w:val="00476CC1"/>
    <w:rsid w:val="00476CD1"/>
    <w:rsid w:val="00476DA5"/>
    <w:rsid w:val="00476DC0"/>
    <w:rsid w:val="00476E13"/>
    <w:rsid w:val="00476E1B"/>
    <w:rsid w:val="00476E78"/>
    <w:rsid w:val="00476EBA"/>
    <w:rsid w:val="00476EF9"/>
    <w:rsid w:val="00476F15"/>
    <w:rsid w:val="00476FE3"/>
    <w:rsid w:val="00476FF6"/>
    <w:rsid w:val="00476FFF"/>
    <w:rsid w:val="0047709F"/>
    <w:rsid w:val="004770A6"/>
    <w:rsid w:val="004770B6"/>
    <w:rsid w:val="0047710A"/>
    <w:rsid w:val="00477121"/>
    <w:rsid w:val="00477144"/>
    <w:rsid w:val="004771EC"/>
    <w:rsid w:val="004771F0"/>
    <w:rsid w:val="00477226"/>
    <w:rsid w:val="0047723B"/>
    <w:rsid w:val="00477258"/>
    <w:rsid w:val="0047726C"/>
    <w:rsid w:val="00477295"/>
    <w:rsid w:val="004772E1"/>
    <w:rsid w:val="0047730E"/>
    <w:rsid w:val="004773AB"/>
    <w:rsid w:val="004773EE"/>
    <w:rsid w:val="004773FF"/>
    <w:rsid w:val="00477446"/>
    <w:rsid w:val="00477452"/>
    <w:rsid w:val="00477463"/>
    <w:rsid w:val="00477470"/>
    <w:rsid w:val="00477472"/>
    <w:rsid w:val="00477515"/>
    <w:rsid w:val="0047753B"/>
    <w:rsid w:val="0047755B"/>
    <w:rsid w:val="00477632"/>
    <w:rsid w:val="00477635"/>
    <w:rsid w:val="004776B4"/>
    <w:rsid w:val="004776C5"/>
    <w:rsid w:val="004776D6"/>
    <w:rsid w:val="004776ED"/>
    <w:rsid w:val="0047776F"/>
    <w:rsid w:val="0047778C"/>
    <w:rsid w:val="004777A6"/>
    <w:rsid w:val="004777C5"/>
    <w:rsid w:val="0047781C"/>
    <w:rsid w:val="00477886"/>
    <w:rsid w:val="0047788F"/>
    <w:rsid w:val="00477A7F"/>
    <w:rsid w:val="00477AD1"/>
    <w:rsid w:val="00477AED"/>
    <w:rsid w:val="00477B50"/>
    <w:rsid w:val="00477BB1"/>
    <w:rsid w:val="00477BC5"/>
    <w:rsid w:val="00477BE7"/>
    <w:rsid w:val="00477C29"/>
    <w:rsid w:val="00477C56"/>
    <w:rsid w:val="00477C8C"/>
    <w:rsid w:val="00477C92"/>
    <w:rsid w:val="00477CA8"/>
    <w:rsid w:val="00477CB7"/>
    <w:rsid w:val="00477D55"/>
    <w:rsid w:val="00477D5C"/>
    <w:rsid w:val="00477DED"/>
    <w:rsid w:val="00477E03"/>
    <w:rsid w:val="00477E11"/>
    <w:rsid w:val="00477E47"/>
    <w:rsid w:val="00477EAD"/>
    <w:rsid w:val="00477EB7"/>
    <w:rsid w:val="00477EBA"/>
    <w:rsid w:val="00477FE0"/>
    <w:rsid w:val="00477FE7"/>
    <w:rsid w:val="00477FE9"/>
    <w:rsid w:val="0047D78D"/>
    <w:rsid w:val="00480067"/>
    <w:rsid w:val="00480093"/>
    <w:rsid w:val="004800BD"/>
    <w:rsid w:val="00480148"/>
    <w:rsid w:val="00480150"/>
    <w:rsid w:val="004801A5"/>
    <w:rsid w:val="004801ED"/>
    <w:rsid w:val="004801F4"/>
    <w:rsid w:val="00480257"/>
    <w:rsid w:val="0048028D"/>
    <w:rsid w:val="004802F1"/>
    <w:rsid w:val="004802FC"/>
    <w:rsid w:val="00480318"/>
    <w:rsid w:val="00480344"/>
    <w:rsid w:val="00480358"/>
    <w:rsid w:val="00480377"/>
    <w:rsid w:val="0048038C"/>
    <w:rsid w:val="00480393"/>
    <w:rsid w:val="004803A3"/>
    <w:rsid w:val="004803CD"/>
    <w:rsid w:val="004803F4"/>
    <w:rsid w:val="004804EB"/>
    <w:rsid w:val="004805AB"/>
    <w:rsid w:val="00480663"/>
    <w:rsid w:val="004806BD"/>
    <w:rsid w:val="004806D6"/>
    <w:rsid w:val="0048070B"/>
    <w:rsid w:val="00480757"/>
    <w:rsid w:val="004807F2"/>
    <w:rsid w:val="00480846"/>
    <w:rsid w:val="00480867"/>
    <w:rsid w:val="004808A2"/>
    <w:rsid w:val="004808E8"/>
    <w:rsid w:val="00480919"/>
    <w:rsid w:val="0048094F"/>
    <w:rsid w:val="00480973"/>
    <w:rsid w:val="00480A31"/>
    <w:rsid w:val="00480A58"/>
    <w:rsid w:val="00480AF5"/>
    <w:rsid w:val="00480B23"/>
    <w:rsid w:val="00480B29"/>
    <w:rsid w:val="00480B54"/>
    <w:rsid w:val="00480B68"/>
    <w:rsid w:val="00480BA5"/>
    <w:rsid w:val="00480BC7"/>
    <w:rsid w:val="00480C1F"/>
    <w:rsid w:val="00480C42"/>
    <w:rsid w:val="00480C85"/>
    <w:rsid w:val="00480D48"/>
    <w:rsid w:val="00480D76"/>
    <w:rsid w:val="00480DB5"/>
    <w:rsid w:val="00480DF4"/>
    <w:rsid w:val="00480E48"/>
    <w:rsid w:val="00480EEF"/>
    <w:rsid w:val="00480F66"/>
    <w:rsid w:val="00480FD8"/>
    <w:rsid w:val="00480FE4"/>
    <w:rsid w:val="00480FFB"/>
    <w:rsid w:val="0048101B"/>
    <w:rsid w:val="00481033"/>
    <w:rsid w:val="00481081"/>
    <w:rsid w:val="0048111E"/>
    <w:rsid w:val="0048111F"/>
    <w:rsid w:val="00481167"/>
    <w:rsid w:val="004811CA"/>
    <w:rsid w:val="004811D5"/>
    <w:rsid w:val="004812B6"/>
    <w:rsid w:val="004812CC"/>
    <w:rsid w:val="004812EC"/>
    <w:rsid w:val="004813D9"/>
    <w:rsid w:val="004813DE"/>
    <w:rsid w:val="0048141F"/>
    <w:rsid w:val="004814A2"/>
    <w:rsid w:val="00481502"/>
    <w:rsid w:val="00481564"/>
    <w:rsid w:val="004815DD"/>
    <w:rsid w:val="0048160B"/>
    <w:rsid w:val="00481631"/>
    <w:rsid w:val="0048168F"/>
    <w:rsid w:val="004816D0"/>
    <w:rsid w:val="00481768"/>
    <w:rsid w:val="004817ED"/>
    <w:rsid w:val="00481823"/>
    <w:rsid w:val="0048188F"/>
    <w:rsid w:val="00481890"/>
    <w:rsid w:val="00481897"/>
    <w:rsid w:val="004818A2"/>
    <w:rsid w:val="004819A4"/>
    <w:rsid w:val="004819CE"/>
    <w:rsid w:val="00481A18"/>
    <w:rsid w:val="00481A1F"/>
    <w:rsid w:val="00481A28"/>
    <w:rsid w:val="00481A7A"/>
    <w:rsid w:val="00481AA0"/>
    <w:rsid w:val="00481AC1"/>
    <w:rsid w:val="00481AF0"/>
    <w:rsid w:val="00481B1F"/>
    <w:rsid w:val="00481B3F"/>
    <w:rsid w:val="00481B61"/>
    <w:rsid w:val="00481B95"/>
    <w:rsid w:val="00481BD7"/>
    <w:rsid w:val="00481C55"/>
    <w:rsid w:val="00481C9C"/>
    <w:rsid w:val="00481CB9"/>
    <w:rsid w:val="00481D31"/>
    <w:rsid w:val="00481D3D"/>
    <w:rsid w:val="00481E08"/>
    <w:rsid w:val="00481E46"/>
    <w:rsid w:val="00481ED2"/>
    <w:rsid w:val="00481F9E"/>
    <w:rsid w:val="00481FC6"/>
    <w:rsid w:val="00481FD4"/>
    <w:rsid w:val="0048214E"/>
    <w:rsid w:val="0048215C"/>
    <w:rsid w:val="004821A3"/>
    <w:rsid w:val="004821B1"/>
    <w:rsid w:val="00482240"/>
    <w:rsid w:val="00482279"/>
    <w:rsid w:val="004822CF"/>
    <w:rsid w:val="00482361"/>
    <w:rsid w:val="00482416"/>
    <w:rsid w:val="00482495"/>
    <w:rsid w:val="004824AB"/>
    <w:rsid w:val="004824F3"/>
    <w:rsid w:val="004824F7"/>
    <w:rsid w:val="00482525"/>
    <w:rsid w:val="0048255D"/>
    <w:rsid w:val="004825AC"/>
    <w:rsid w:val="0048266F"/>
    <w:rsid w:val="00482681"/>
    <w:rsid w:val="004826BC"/>
    <w:rsid w:val="0048273F"/>
    <w:rsid w:val="0048277A"/>
    <w:rsid w:val="004827B6"/>
    <w:rsid w:val="00482806"/>
    <w:rsid w:val="00482826"/>
    <w:rsid w:val="00482853"/>
    <w:rsid w:val="00482877"/>
    <w:rsid w:val="00482895"/>
    <w:rsid w:val="004828BF"/>
    <w:rsid w:val="004828C4"/>
    <w:rsid w:val="00482994"/>
    <w:rsid w:val="004829F5"/>
    <w:rsid w:val="00482A4F"/>
    <w:rsid w:val="00482A57"/>
    <w:rsid w:val="00482A5E"/>
    <w:rsid w:val="00482A8B"/>
    <w:rsid w:val="00482A92"/>
    <w:rsid w:val="00482A98"/>
    <w:rsid w:val="00482AF2"/>
    <w:rsid w:val="00482B6D"/>
    <w:rsid w:val="00482B79"/>
    <w:rsid w:val="00482B99"/>
    <w:rsid w:val="00482C09"/>
    <w:rsid w:val="00482C69"/>
    <w:rsid w:val="00482CB7"/>
    <w:rsid w:val="00482D5C"/>
    <w:rsid w:val="00482EAD"/>
    <w:rsid w:val="00482EE0"/>
    <w:rsid w:val="00482F36"/>
    <w:rsid w:val="00482F47"/>
    <w:rsid w:val="00482F68"/>
    <w:rsid w:val="00482FBD"/>
    <w:rsid w:val="00482FE9"/>
    <w:rsid w:val="00483048"/>
    <w:rsid w:val="00483060"/>
    <w:rsid w:val="00483064"/>
    <w:rsid w:val="004830B0"/>
    <w:rsid w:val="0048311F"/>
    <w:rsid w:val="00483167"/>
    <w:rsid w:val="00483174"/>
    <w:rsid w:val="0048318A"/>
    <w:rsid w:val="004831F3"/>
    <w:rsid w:val="00483246"/>
    <w:rsid w:val="00483254"/>
    <w:rsid w:val="0048326C"/>
    <w:rsid w:val="0048330C"/>
    <w:rsid w:val="0048341E"/>
    <w:rsid w:val="00483460"/>
    <w:rsid w:val="00483486"/>
    <w:rsid w:val="0048348A"/>
    <w:rsid w:val="00483513"/>
    <w:rsid w:val="00483540"/>
    <w:rsid w:val="004835A8"/>
    <w:rsid w:val="004835A9"/>
    <w:rsid w:val="004835C7"/>
    <w:rsid w:val="00483688"/>
    <w:rsid w:val="004836AD"/>
    <w:rsid w:val="004836C4"/>
    <w:rsid w:val="004836C8"/>
    <w:rsid w:val="0048375F"/>
    <w:rsid w:val="004837CF"/>
    <w:rsid w:val="004837F9"/>
    <w:rsid w:val="00483837"/>
    <w:rsid w:val="00483883"/>
    <w:rsid w:val="004838A6"/>
    <w:rsid w:val="0048390F"/>
    <w:rsid w:val="0048395C"/>
    <w:rsid w:val="004839A4"/>
    <w:rsid w:val="004839BF"/>
    <w:rsid w:val="004839EA"/>
    <w:rsid w:val="004839EB"/>
    <w:rsid w:val="00483A21"/>
    <w:rsid w:val="00483B44"/>
    <w:rsid w:val="00483B50"/>
    <w:rsid w:val="00483BA5"/>
    <w:rsid w:val="00483BDB"/>
    <w:rsid w:val="00483C21"/>
    <w:rsid w:val="00483C88"/>
    <w:rsid w:val="00483C9B"/>
    <w:rsid w:val="00483D56"/>
    <w:rsid w:val="00483DC2"/>
    <w:rsid w:val="00483DD5"/>
    <w:rsid w:val="00483E00"/>
    <w:rsid w:val="00483E77"/>
    <w:rsid w:val="00483EFE"/>
    <w:rsid w:val="00483F5B"/>
    <w:rsid w:val="00483F65"/>
    <w:rsid w:val="00483F73"/>
    <w:rsid w:val="00483F81"/>
    <w:rsid w:val="00484006"/>
    <w:rsid w:val="00484073"/>
    <w:rsid w:val="004840EC"/>
    <w:rsid w:val="00484178"/>
    <w:rsid w:val="00484191"/>
    <w:rsid w:val="004841BA"/>
    <w:rsid w:val="00484221"/>
    <w:rsid w:val="00484226"/>
    <w:rsid w:val="0048426A"/>
    <w:rsid w:val="00484294"/>
    <w:rsid w:val="004842EA"/>
    <w:rsid w:val="00484335"/>
    <w:rsid w:val="004843D3"/>
    <w:rsid w:val="0048447E"/>
    <w:rsid w:val="004844E3"/>
    <w:rsid w:val="004844EE"/>
    <w:rsid w:val="0048460E"/>
    <w:rsid w:val="004846A2"/>
    <w:rsid w:val="00484736"/>
    <w:rsid w:val="00484781"/>
    <w:rsid w:val="004847D8"/>
    <w:rsid w:val="0048482E"/>
    <w:rsid w:val="00484856"/>
    <w:rsid w:val="004849DC"/>
    <w:rsid w:val="00484A11"/>
    <w:rsid w:val="00484A20"/>
    <w:rsid w:val="00484A69"/>
    <w:rsid w:val="00484AE5"/>
    <w:rsid w:val="00484B22"/>
    <w:rsid w:val="00484B39"/>
    <w:rsid w:val="00484B43"/>
    <w:rsid w:val="00484BA7"/>
    <w:rsid w:val="00484C33"/>
    <w:rsid w:val="00484C50"/>
    <w:rsid w:val="00484C9B"/>
    <w:rsid w:val="00484CC8"/>
    <w:rsid w:val="00484CD3"/>
    <w:rsid w:val="00484E72"/>
    <w:rsid w:val="00484E85"/>
    <w:rsid w:val="00484E9F"/>
    <w:rsid w:val="00484F55"/>
    <w:rsid w:val="00484FAC"/>
    <w:rsid w:val="00484FC2"/>
    <w:rsid w:val="00485016"/>
    <w:rsid w:val="00485058"/>
    <w:rsid w:val="00485060"/>
    <w:rsid w:val="00485068"/>
    <w:rsid w:val="004850AC"/>
    <w:rsid w:val="004850B7"/>
    <w:rsid w:val="004851AA"/>
    <w:rsid w:val="004851F8"/>
    <w:rsid w:val="00485218"/>
    <w:rsid w:val="0048521F"/>
    <w:rsid w:val="00485270"/>
    <w:rsid w:val="004852E9"/>
    <w:rsid w:val="004852FB"/>
    <w:rsid w:val="00485316"/>
    <w:rsid w:val="00485331"/>
    <w:rsid w:val="00485389"/>
    <w:rsid w:val="00485436"/>
    <w:rsid w:val="00485492"/>
    <w:rsid w:val="004854DD"/>
    <w:rsid w:val="0048554A"/>
    <w:rsid w:val="0048555A"/>
    <w:rsid w:val="00485565"/>
    <w:rsid w:val="004855CF"/>
    <w:rsid w:val="004855D5"/>
    <w:rsid w:val="0048560D"/>
    <w:rsid w:val="00485659"/>
    <w:rsid w:val="0048566E"/>
    <w:rsid w:val="00485694"/>
    <w:rsid w:val="00485709"/>
    <w:rsid w:val="0048571A"/>
    <w:rsid w:val="004857EC"/>
    <w:rsid w:val="0048582E"/>
    <w:rsid w:val="0048583D"/>
    <w:rsid w:val="0048587E"/>
    <w:rsid w:val="00485916"/>
    <w:rsid w:val="0048596A"/>
    <w:rsid w:val="004859A9"/>
    <w:rsid w:val="004859BD"/>
    <w:rsid w:val="00485A26"/>
    <w:rsid w:val="00485A2C"/>
    <w:rsid w:val="00485A51"/>
    <w:rsid w:val="00485A8C"/>
    <w:rsid w:val="00485AB5"/>
    <w:rsid w:val="00485AD8"/>
    <w:rsid w:val="00485B34"/>
    <w:rsid w:val="00485B93"/>
    <w:rsid w:val="00485C19"/>
    <w:rsid w:val="00485C2E"/>
    <w:rsid w:val="00485C55"/>
    <w:rsid w:val="00485C6F"/>
    <w:rsid w:val="00485CC1"/>
    <w:rsid w:val="00485CCC"/>
    <w:rsid w:val="00485CE6"/>
    <w:rsid w:val="00485D20"/>
    <w:rsid w:val="00485D74"/>
    <w:rsid w:val="00485DBF"/>
    <w:rsid w:val="00485EB2"/>
    <w:rsid w:val="00485FA8"/>
    <w:rsid w:val="00485FE9"/>
    <w:rsid w:val="00486019"/>
    <w:rsid w:val="004860FA"/>
    <w:rsid w:val="00486109"/>
    <w:rsid w:val="00486261"/>
    <w:rsid w:val="0048628F"/>
    <w:rsid w:val="004862CA"/>
    <w:rsid w:val="004862D7"/>
    <w:rsid w:val="0048630B"/>
    <w:rsid w:val="0048637D"/>
    <w:rsid w:val="00486403"/>
    <w:rsid w:val="0048640E"/>
    <w:rsid w:val="0048641C"/>
    <w:rsid w:val="004864C4"/>
    <w:rsid w:val="004864DD"/>
    <w:rsid w:val="00486559"/>
    <w:rsid w:val="00486674"/>
    <w:rsid w:val="004866BF"/>
    <w:rsid w:val="004866CD"/>
    <w:rsid w:val="0048672D"/>
    <w:rsid w:val="00486767"/>
    <w:rsid w:val="004867A4"/>
    <w:rsid w:val="004867C8"/>
    <w:rsid w:val="004867E1"/>
    <w:rsid w:val="004867E2"/>
    <w:rsid w:val="0048687C"/>
    <w:rsid w:val="004868A0"/>
    <w:rsid w:val="004869BC"/>
    <w:rsid w:val="004869D7"/>
    <w:rsid w:val="00486A09"/>
    <w:rsid w:val="00486A29"/>
    <w:rsid w:val="00486A3C"/>
    <w:rsid w:val="00486A4C"/>
    <w:rsid w:val="00486AAA"/>
    <w:rsid w:val="00486B16"/>
    <w:rsid w:val="00486BF2"/>
    <w:rsid w:val="00486C16"/>
    <w:rsid w:val="00486C7B"/>
    <w:rsid w:val="00486CB9"/>
    <w:rsid w:val="00486D2E"/>
    <w:rsid w:val="00486D42"/>
    <w:rsid w:val="00486DE6"/>
    <w:rsid w:val="00486E1F"/>
    <w:rsid w:val="00486E21"/>
    <w:rsid w:val="00486E44"/>
    <w:rsid w:val="00486EBD"/>
    <w:rsid w:val="00486F05"/>
    <w:rsid w:val="00486F1D"/>
    <w:rsid w:val="00486F7E"/>
    <w:rsid w:val="00486FD1"/>
    <w:rsid w:val="00487009"/>
    <w:rsid w:val="00487052"/>
    <w:rsid w:val="004870C8"/>
    <w:rsid w:val="004870EB"/>
    <w:rsid w:val="004870FA"/>
    <w:rsid w:val="00487117"/>
    <w:rsid w:val="0048711C"/>
    <w:rsid w:val="00487130"/>
    <w:rsid w:val="0048714D"/>
    <w:rsid w:val="00487178"/>
    <w:rsid w:val="00487195"/>
    <w:rsid w:val="004871BD"/>
    <w:rsid w:val="00487202"/>
    <w:rsid w:val="0048723B"/>
    <w:rsid w:val="004872C3"/>
    <w:rsid w:val="00487315"/>
    <w:rsid w:val="00487363"/>
    <w:rsid w:val="00487426"/>
    <w:rsid w:val="00487483"/>
    <w:rsid w:val="0048754D"/>
    <w:rsid w:val="00487606"/>
    <w:rsid w:val="0048764D"/>
    <w:rsid w:val="004876CF"/>
    <w:rsid w:val="00487717"/>
    <w:rsid w:val="00487726"/>
    <w:rsid w:val="0048772A"/>
    <w:rsid w:val="0048774B"/>
    <w:rsid w:val="0048778D"/>
    <w:rsid w:val="004877F5"/>
    <w:rsid w:val="004877FA"/>
    <w:rsid w:val="00487806"/>
    <w:rsid w:val="0048781A"/>
    <w:rsid w:val="004878B9"/>
    <w:rsid w:val="004878CF"/>
    <w:rsid w:val="004878D0"/>
    <w:rsid w:val="004878F1"/>
    <w:rsid w:val="00487917"/>
    <w:rsid w:val="004879A7"/>
    <w:rsid w:val="004879AD"/>
    <w:rsid w:val="00487A0B"/>
    <w:rsid w:val="00487A36"/>
    <w:rsid w:val="00487AB0"/>
    <w:rsid w:val="00487AB8"/>
    <w:rsid w:val="00487AFD"/>
    <w:rsid w:val="00487B08"/>
    <w:rsid w:val="00487B2D"/>
    <w:rsid w:val="00487B5E"/>
    <w:rsid w:val="00487BB2"/>
    <w:rsid w:val="00487BF4"/>
    <w:rsid w:val="00487C32"/>
    <w:rsid w:val="00487C93"/>
    <w:rsid w:val="00487CDD"/>
    <w:rsid w:val="00487D30"/>
    <w:rsid w:val="00487E5A"/>
    <w:rsid w:val="00487EB8"/>
    <w:rsid w:val="00487EC6"/>
    <w:rsid w:val="00487EF4"/>
    <w:rsid w:val="00487F4A"/>
    <w:rsid w:val="00487F5D"/>
    <w:rsid w:val="00490045"/>
    <w:rsid w:val="0049006C"/>
    <w:rsid w:val="00490072"/>
    <w:rsid w:val="00490087"/>
    <w:rsid w:val="004900AB"/>
    <w:rsid w:val="0049010B"/>
    <w:rsid w:val="004901CE"/>
    <w:rsid w:val="004901EE"/>
    <w:rsid w:val="00490225"/>
    <w:rsid w:val="00490227"/>
    <w:rsid w:val="00490287"/>
    <w:rsid w:val="004902FF"/>
    <w:rsid w:val="00490322"/>
    <w:rsid w:val="0049037D"/>
    <w:rsid w:val="004903AF"/>
    <w:rsid w:val="00490426"/>
    <w:rsid w:val="00490463"/>
    <w:rsid w:val="004904E4"/>
    <w:rsid w:val="00490517"/>
    <w:rsid w:val="0049052F"/>
    <w:rsid w:val="0049057B"/>
    <w:rsid w:val="004906AB"/>
    <w:rsid w:val="004906D7"/>
    <w:rsid w:val="00490713"/>
    <w:rsid w:val="0049073C"/>
    <w:rsid w:val="00490757"/>
    <w:rsid w:val="00490825"/>
    <w:rsid w:val="0049082B"/>
    <w:rsid w:val="004908A2"/>
    <w:rsid w:val="004908F4"/>
    <w:rsid w:val="0049093E"/>
    <w:rsid w:val="004909C5"/>
    <w:rsid w:val="004909D5"/>
    <w:rsid w:val="00490AE1"/>
    <w:rsid w:val="00490AFE"/>
    <w:rsid w:val="00490B07"/>
    <w:rsid w:val="00490B27"/>
    <w:rsid w:val="00490BD1"/>
    <w:rsid w:val="00490C0C"/>
    <w:rsid w:val="00490C3D"/>
    <w:rsid w:val="00490CFE"/>
    <w:rsid w:val="00490D0B"/>
    <w:rsid w:val="00490D80"/>
    <w:rsid w:val="00490D86"/>
    <w:rsid w:val="00490D91"/>
    <w:rsid w:val="00490DAC"/>
    <w:rsid w:val="00490DD5"/>
    <w:rsid w:val="00490DFF"/>
    <w:rsid w:val="00490E88"/>
    <w:rsid w:val="00490EB7"/>
    <w:rsid w:val="00490F14"/>
    <w:rsid w:val="00490F52"/>
    <w:rsid w:val="00490F57"/>
    <w:rsid w:val="00490F58"/>
    <w:rsid w:val="00490FB1"/>
    <w:rsid w:val="00490FB3"/>
    <w:rsid w:val="00490FEC"/>
    <w:rsid w:val="00491044"/>
    <w:rsid w:val="00491085"/>
    <w:rsid w:val="004910C1"/>
    <w:rsid w:val="004910D1"/>
    <w:rsid w:val="0049110E"/>
    <w:rsid w:val="00491235"/>
    <w:rsid w:val="00491247"/>
    <w:rsid w:val="00491302"/>
    <w:rsid w:val="00491304"/>
    <w:rsid w:val="00491371"/>
    <w:rsid w:val="00491393"/>
    <w:rsid w:val="004913A4"/>
    <w:rsid w:val="004914E4"/>
    <w:rsid w:val="00491530"/>
    <w:rsid w:val="0049153C"/>
    <w:rsid w:val="004915B6"/>
    <w:rsid w:val="004915D3"/>
    <w:rsid w:val="004915F1"/>
    <w:rsid w:val="0049167B"/>
    <w:rsid w:val="004916E6"/>
    <w:rsid w:val="00491712"/>
    <w:rsid w:val="0049171B"/>
    <w:rsid w:val="00491720"/>
    <w:rsid w:val="00491770"/>
    <w:rsid w:val="004917F8"/>
    <w:rsid w:val="00491866"/>
    <w:rsid w:val="00491937"/>
    <w:rsid w:val="00491996"/>
    <w:rsid w:val="004919DE"/>
    <w:rsid w:val="00491A07"/>
    <w:rsid w:val="00491A5C"/>
    <w:rsid w:val="00491A5D"/>
    <w:rsid w:val="00491A6B"/>
    <w:rsid w:val="00491ACF"/>
    <w:rsid w:val="00491B29"/>
    <w:rsid w:val="00491BDA"/>
    <w:rsid w:val="00491C01"/>
    <w:rsid w:val="00491C2B"/>
    <w:rsid w:val="00491C2D"/>
    <w:rsid w:val="00491C38"/>
    <w:rsid w:val="00491C57"/>
    <w:rsid w:val="00491C7B"/>
    <w:rsid w:val="00491C81"/>
    <w:rsid w:val="00491C95"/>
    <w:rsid w:val="00491C98"/>
    <w:rsid w:val="00491CA1"/>
    <w:rsid w:val="00491DA3"/>
    <w:rsid w:val="00491DB5"/>
    <w:rsid w:val="00491DE2"/>
    <w:rsid w:val="00491E07"/>
    <w:rsid w:val="00491E5E"/>
    <w:rsid w:val="00491EA5"/>
    <w:rsid w:val="00491EB8"/>
    <w:rsid w:val="00491EFF"/>
    <w:rsid w:val="00491F99"/>
    <w:rsid w:val="00491FAA"/>
    <w:rsid w:val="0049202B"/>
    <w:rsid w:val="0049203E"/>
    <w:rsid w:val="0049206E"/>
    <w:rsid w:val="00492085"/>
    <w:rsid w:val="0049209D"/>
    <w:rsid w:val="004921A8"/>
    <w:rsid w:val="004921AB"/>
    <w:rsid w:val="004921DC"/>
    <w:rsid w:val="004921E1"/>
    <w:rsid w:val="004921ED"/>
    <w:rsid w:val="004921EF"/>
    <w:rsid w:val="00492234"/>
    <w:rsid w:val="00492255"/>
    <w:rsid w:val="00492286"/>
    <w:rsid w:val="0049232B"/>
    <w:rsid w:val="00492340"/>
    <w:rsid w:val="00492356"/>
    <w:rsid w:val="004923E0"/>
    <w:rsid w:val="0049243D"/>
    <w:rsid w:val="004924E5"/>
    <w:rsid w:val="004924F2"/>
    <w:rsid w:val="00492517"/>
    <w:rsid w:val="0049253E"/>
    <w:rsid w:val="004925A5"/>
    <w:rsid w:val="00492646"/>
    <w:rsid w:val="0049270E"/>
    <w:rsid w:val="00492710"/>
    <w:rsid w:val="0049274C"/>
    <w:rsid w:val="0049275E"/>
    <w:rsid w:val="0049277D"/>
    <w:rsid w:val="004927C2"/>
    <w:rsid w:val="00492801"/>
    <w:rsid w:val="004928A4"/>
    <w:rsid w:val="004928BD"/>
    <w:rsid w:val="0049291A"/>
    <w:rsid w:val="0049298C"/>
    <w:rsid w:val="00492991"/>
    <w:rsid w:val="004929AF"/>
    <w:rsid w:val="00492A10"/>
    <w:rsid w:val="00492A26"/>
    <w:rsid w:val="00492AB0"/>
    <w:rsid w:val="00492AC5"/>
    <w:rsid w:val="00492B6B"/>
    <w:rsid w:val="00492B87"/>
    <w:rsid w:val="00492BA5"/>
    <w:rsid w:val="00492BBB"/>
    <w:rsid w:val="00492C29"/>
    <w:rsid w:val="00492C60"/>
    <w:rsid w:val="00492C76"/>
    <w:rsid w:val="00492C86"/>
    <w:rsid w:val="00492CC6"/>
    <w:rsid w:val="00492DAC"/>
    <w:rsid w:val="00492DAE"/>
    <w:rsid w:val="00492DF0"/>
    <w:rsid w:val="00492E06"/>
    <w:rsid w:val="00492E07"/>
    <w:rsid w:val="00492EA9"/>
    <w:rsid w:val="00492F2B"/>
    <w:rsid w:val="00492F50"/>
    <w:rsid w:val="00492F5B"/>
    <w:rsid w:val="0049309E"/>
    <w:rsid w:val="004930BA"/>
    <w:rsid w:val="004930EC"/>
    <w:rsid w:val="00493209"/>
    <w:rsid w:val="004932BF"/>
    <w:rsid w:val="004932C9"/>
    <w:rsid w:val="0049330F"/>
    <w:rsid w:val="00493310"/>
    <w:rsid w:val="0049336C"/>
    <w:rsid w:val="00493383"/>
    <w:rsid w:val="0049347D"/>
    <w:rsid w:val="004934E5"/>
    <w:rsid w:val="00493556"/>
    <w:rsid w:val="004935DD"/>
    <w:rsid w:val="004935E4"/>
    <w:rsid w:val="004935EE"/>
    <w:rsid w:val="004935FD"/>
    <w:rsid w:val="0049360F"/>
    <w:rsid w:val="00493647"/>
    <w:rsid w:val="00493649"/>
    <w:rsid w:val="00493677"/>
    <w:rsid w:val="00493758"/>
    <w:rsid w:val="004937D9"/>
    <w:rsid w:val="00493817"/>
    <w:rsid w:val="004938A9"/>
    <w:rsid w:val="00493961"/>
    <w:rsid w:val="004939B1"/>
    <w:rsid w:val="004939BF"/>
    <w:rsid w:val="004939F7"/>
    <w:rsid w:val="00493A25"/>
    <w:rsid w:val="00493A2E"/>
    <w:rsid w:val="00493ABA"/>
    <w:rsid w:val="00493B4B"/>
    <w:rsid w:val="00493BC8"/>
    <w:rsid w:val="00493BF7"/>
    <w:rsid w:val="00493C1B"/>
    <w:rsid w:val="00493C55"/>
    <w:rsid w:val="00493C85"/>
    <w:rsid w:val="00493CB7"/>
    <w:rsid w:val="00493CD8"/>
    <w:rsid w:val="00493D75"/>
    <w:rsid w:val="00493D7E"/>
    <w:rsid w:val="00493D80"/>
    <w:rsid w:val="00493DD4"/>
    <w:rsid w:val="00493F02"/>
    <w:rsid w:val="00493F18"/>
    <w:rsid w:val="00493F19"/>
    <w:rsid w:val="00493F22"/>
    <w:rsid w:val="00493F7C"/>
    <w:rsid w:val="00493F96"/>
    <w:rsid w:val="00493FCC"/>
    <w:rsid w:val="00494080"/>
    <w:rsid w:val="0049409A"/>
    <w:rsid w:val="0049418A"/>
    <w:rsid w:val="00494218"/>
    <w:rsid w:val="004942BE"/>
    <w:rsid w:val="004942D5"/>
    <w:rsid w:val="004942E8"/>
    <w:rsid w:val="004942EA"/>
    <w:rsid w:val="004942F7"/>
    <w:rsid w:val="0049431E"/>
    <w:rsid w:val="004943B1"/>
    <w:rsid w:val="00494403"/>
    <w:rsid w:val="0049444A"/>
    <w:rsid w:val="004944A2"/>
    <w:rsid w:val="004944A5"/>
    <w:rsid w:val="004944AB"/>
    <w:rsid w:val="004944CF"/>
    <w:rsid w:val="00494504"/>
    <w:rsid w:val="00494525"/>
    <w:rsid w:val="00494542"/>
    <w:rsid w:val="0049457D"/>
    <w:rsid w:val="004945AF"/>
    <w:rsid w:val="00494683"/>
    <w:rsid w:val="00494710"/>
    <w:rsid w:val="0049488D"/>
    <w:rsid w:val="00494994"/>
    <w:rsid w:val="004949FD"/>
    <w:rsid w:val="00494AEF"/>
    <w:rsid w:val="00494B06"/>
    <w:rsid w:val="00494B3C"/>
    <w:rsid w:val="00494CA2"/>
    <w:rsid w:val="00494CD6"/>
    <w:rsid w:val="00494D25"/>
    <w:rsid w:val="00494D68"/>
    <w:rsid w:val="00494D84"/>
    <w:rsid w:val="00494D93"/>
    <w:rsid w:val="00494D97"/>
    <w:rsid w:val="00494DD6"/>
    <w:rsid w:val="00494E0F"/>
    <w:rsid w:val="00494E34"/>
    <w:rsid w:val="00494E4E"/>
    <w:rsid w:val="00494E61"/>
    <w:rsid w:val="00494EC0"/>
    <w:rsid w:val="00494F21"/>
    <w:rsid w:val="00494F43"/>
    <w:rsid w:val="00494FC4"/>
    <w:rsid w:val="0049500E"/>
    <w:rsid w:val="00495053"/>
    <w:rsid w:val="0049509B"/>
    <w:rsid w:val="00495168"/>
    <w:rsid w:val="0049519A"/>
    <w:rsid w:val="004951C2"/>
    <w:rsid w:val="00495226"/>
    <w:rsid w:val="00495244"/>
    <w:rsid w:val="00495262"/>
    <w:rsid w:val="00495263"/>
    <w:rsid w:val="004952B4"/>
    <w:rsid w:val="004952FE"/>
    <w:rsid w:val="00495319"/>
    <w:rsid w:val="0049531F"/>
    <w:rsid w:val="00495362"/>
    <w:rsid w:val="00495365"/>
    <w:rsid w:val="0049536B"/>
    <w:rsid w:val="004953EE"/>
    <w:rsid w:val="004954AA"/>
    <w:rsid w:val="00495549"/>
    <w:rsid w:val="004955B7"/>
    <w:rsid w:val="004955B8"/>
    <w:rsid w:val="0049560C"/>
    <w:rsid w:val="0049561E"/>
    <w:rsid w:val="00495621"/>
    <w:rsid w:val="00495685"/>
    <w:rsid w:val="00495692"/>
    <w:rsid w:val="00495695"/>
    <w:rsid w:val="00495696"/>
    <w:rsid w:val="004956B7"/>
    <w:rsid w:val="004956EE"/>
    <w:rsid w:val="00495718"/>
    <w:rsid w:val="004957DB"/>
    <w:rsid w:val="00495844"/>
    <w:rsid w:val="0049589C"/>
    <w:rsid w:val="004958B5"/>
    <w:rsid w:val="00495969"/>
    <w:rsid w:val="00495990"/>
    <w:rsid w:val="00495A02"/>
    <w:rsid w:val="00495A33"/>
    <w:rsid w:val="00495A7C"/>
    <w:rsid w:val="00495ADF"/>
    <w:rsid w:val="00495B07"/>
    <w:rsid w:val="00495BB2"/>
    <w:rsid w:val="00495BEA"/>
    <w:rsid w:val="00495BFD"/>
    <w:rsid w:val="00495C08"/>
    <w:rsid w:val="00495C54"/>
    <w:rsid w:val="00495C76"/>
    <w:rsid w:val="00495D24"/>
    <w:rsid w:val="00495D51"/>
    <w:rsid w:val="00495E4D"/>
    <w:rsid w:val="00495E56"/>
    <w:rsid w:val="00495E6D"/>
    <w:rsid w:val="00495ED2"/>
    <w:rsid w:val="00495EE7"/>
    <w:rsid w:val="00495EE9"/>
    <w:rsid w:val="00495EEE"/>
    <w:rsid w:val="00495F0B"/>
    <w:rsid w:val="00496089"/>
    <w:rsid w:val="004960A7"/>
    <w:rsid w:val="004960C5"/>
    <w:rsid w:val="00496106"/>
    <w:rsid w:val="00496167"/>
    <w:rsid w:val="004961FF"/>
    <w:rsid w:val="00496210"/>
    <w:rsid w:val="00496267"/>
    <w:rsid w:val="0049628D"/>
    <w:rsid w:val="00496294"/>
    <w:rsid w:val="004962AC"/>
    <w:rsid w:val="00496332"/>
    <w:rsid w:val="004963A3"/>
    <w:rsid w:val="00496414"/>
    <w:rsid w:val="0049647F"/>
    <w:rsid w:val="004964D5"/>
    <w:rsid w:val="004964E5"/>
    <w:rsid w:val="00496539"/>
    <w:rsid w:val="0049654B"/>
    <w:rsid w:val="0049654D"/>
    <w:rsid w:val="00496597"/>
    <w:rsid w:val="004965A3"/>
    <w:rsid w:val="004965A8"/>
    <w:rsid w:val="004965F9"/>
    <w:rsid w:val="004965FA"/>
    <w:rsid w:val="00496674"/>
    <w:rsid w:val="00496692"/>
    <w:rsid w:val="004966BC"/>
    <w:rsid w:val="004966DF"/>
    <w:rsid w:val="0049675A"/>
    <w:rsid w:val="00496787"/>
    <w:rsid w:val="00496796"/>
    <w:rsid w:val="004967D5"/>
    <w:rsid w:val="004967DE"/>
    <w:rsid w:val="004967E3"/>
    <w:rsid w:val="004967F5"/>
    <w:rsid w:val="00496811"/>
    <w:rsid w:val="0049683D"/>
    <w:rsid w:val="0049684A"/>
    <w:rsid w:val="004968B4"/>
    <w:rsid w:val="00496976"/>
    <w:rsid w:val="0049697C"/>
    <w:rsid w:val="00496A1E"/>
    <w:rsid w:val="00496A33"/>
    <w:rsid w:val="00496AC1"/>
    <w:rsid w:val="00496ACA"/>
    <w:rsid w:val="00496AF6"/>
    <w:rsid w:val="00496C67"/>
    <w:rsid w:val="00496CD4"/>
    <w:rsid w:val="00496D10"/>
    <w:rsid w:val="00496D15"/>
    <w:rsid w:val="00496E0B"/>
    <w:rsid w:val="00496E1E"/>
    <w:rsid w:val="00496E8E"/>
    <w:rsid w:val="00496EB2"/>
    <w:rsid w:val="00496ED7"/>
    <w:rsid w:val="00496EF9"/>
    <w:rsid w:val="00496F31"/>
    <w:rsid w:val="00496F8C"/>
    <w:rsid w:val="00496FC3"/>
    <w:rsid w:val="00497010"/>
    <w:rsid w:val="004970CA"/>
    <w:rsid w:val="004970FC"/>
    <w:rsid w:val="00497116"/>
    <w:rsid w:val="00497171"/>
    <w:rsid w:val="004971A6"/>
    <w:rsid w:val="004971BD"/>
    <w:rsid w:val="00497236"/>
    <w:rsid w:val="00497244"/>
    <w:rsid w:val="0049729D"/>
    <w:rsid w:val="004972DE"/>
    <w:rsid w:val="004972E2"/>
    <w:rsid w:val="00497330"/>
    <w:rsid w:val="00497356"/>
    <w:rsid w:val="00497388"/>
    <w:rsid w:val="004973AE"/>
    <w:rsid w:val="004973C2"/>
    <w:rsid w:val="004973CB"/>
    <w:rsid w:val="00497405"/>
    <w:rsid w:val="0049746C"/>
    <w:rsid w:val="0049748E"/>
    <w:rsid w:val="004974B0"/>
    <w:rsid w:val="00497598"/>
    <w:rsid w:val="004975D1"/>
    <w:rsid w:val="0049771D"/>
    <w:rsid w:val="00497742"/>
    <w:rsid w:val="00497770"/>
    <w:rsid w:val="0049777F"/>
    <w:rsid w:val="004977F8"/>
    <w:rsid w:val="0049782E"/>
    <w:rsid w:val="00497830"/>
    <w:rsid w:val="004978AC"/>
    <w:rsid w:val="004978BE"/>
    <w:rsid w:val="004978C6"/>
    <w:rsid w:val="004978F7"/>
    <w:rsid w:val="00497908"/>
    <w:rsid w:val="00497980"/>
    <w:rsid w:val="004979B4"/>
    <w:rsid w:val="00497A59"/>
    <w:rsid w:val="00497A89"/>
    <w:rsid w:val="00497B9A"/>
    <w:rsid w:val="00497BBB"/>
    <w:rsid w:val="00497C29"/>
    <w:rsid w:val="00497C2D"/>
    <w:rsid w:val="00497C3D"/>
    <w:rsid w:val="00497CB1"/>
    <w:rsid w:val="00497DC3"/>
    <w:rsid w:val="00497DC7"/>
    <w:rsid w:val="00497DCB"/>
    <w:rsid w:val="00497DE7"/>
    <w:rsid w:val="00497E29"/>
    <w:rsid w:val="00497E54"/>
    <w:rsid w:val="00497E92"/>
    <w:rsid w:val="00497EAA"/>
    <w:rsid w:val="00497EAB"/>
    <w:rsid w:val="00497F98"/>
    <w:rsid w:val="004A008F"/>
    <w:rsid w:val="004A00A3"/>
    <w:rsid w:val="004A00AE"/>
    <w:rsid w:val="004A00BF"/>
    <w:rsid w:val="004A00EA"/>
    <w:rsid w:val="004A01B8"/>
    <w:rsid w:val="004A0227"/>
    <w:rsid w:val="004A026D"/>
    <w:rsid w:val="004A0285"/>
    <w:rsid w:val="004A0304"/>
    <w:rsid w:val="004A038B"/>
    <w:rsid w:val="004A03D3"/>
    <w:rsid w:val="004A047F"/>
    <w:rsid w:val="004A049D"/>
    <w:rsid w:val="004A04F2"/>
    <w:rsid w:val="004A054C"/>
    <w:rsid w:val="004A057A"/>
    <w:rsid w:val="004A05A2"/>
    <w:rsid w:val="004A05EC"/>
    <w:rsid w:val="004A0663"/>
    <w:rsid w:val="004A067B"/>
    <w:rsid w:val="004A0737"/>
    <w:rsid w:val="004A07A7"/>
    <w:rsid w:val="004A07E9"/>
    <w:rsid w:val="004A083D"/>
    <w:rsid w:val="004A08A7"/>
    <w:rsid w:val="004A08C9"/>
    <w:rsid w:val="004A0990"/>
    <w:rsid w:val="004A09C3"/>
    <w:rsid w:val="004A0A12"/>
    <w:rsid w:val="004A0A45"/>
    <w:rsid w:val="004A0A66"/>
    <w:rsid w:val="004A0B0E"/>
    <w:rsid w:val="004A0B0F"/>
    <w:rsid w:val="004A0B19"/>
    <w:rsid w:val="004A0B3E"/>
    <w:rsid w:val="004A0B4F"/>
    <w:rsid w:val="004A0B63"/>
    <w:rsid w:val="004A0B8B"/>
    <w:rsid w:val="004A0BB8"/>
    <w:rsid w:val="004A0BCE"/>
    <w:rsid w:val="004A0BFF"/>
    <w:rsid w:val="004A0C2F"/>
    <w:rsid w:val="004A0C33"/>
    <w:rsid w:val="004A0C35"/>
    <w:rsid w:val="004A0CE8"/>
    <w:rsid w:val="004A0D43"/>
    <w:rsid w:val="004A0D57"/>
    <w:rsid w:val="004A0D95"/>
    <w:rsid w:val="004A0DC8"/>
    <w:rsid w:val="004A0DCC"/>
    <w:rsid w:val="004A0E32"/>
    <w:rsid w:val="004A0E79"/>
    <w:rsid w:val="004A0E97"/>
    <w:rsid w:val="004A0EE1"/>
    <w:rsid w:val="004A0EF5"/>
    <w:rsid w:val="004A0F2B"/>
    <w:rsid w:val="004A0F75"/>
    <w:rsid w:val="004A0F95"/>
    <w:rsid w:val="004A0FAA"/>
    <w:rsid w:val="004A0FB8"/>
    <w:rsid w:val="004A1018"/>
    <w:rsid w:val="004A10C6"/>
    <w:rsid w:val="004A10CA"/>
    <w:rsid w:val="004A1128"/>
    <w:rsid w:val="004A1139"/>
    <w:rsid w:val="004A117E"/>
    <w:rsid w:val="004A1182"/>
    <w:rsid w:val="004A11D4"/>
    <w:rsid w:val="004A11F8"/>
    <w:rsid w:val="004A11FA"/>
    <w:rsid w:val="004A1278"/>
    <w:rsid w:val="004A1297"/>
    <w:rsid w:val="004A1303"/>
    <w:rsid w:val="004A1338"/>
    <w:rsid w:val="004A13A2"/>
    <w:rsid w:val="004A13BE"/>
    <w:rsid w:val="004A1419"/>
    <w:rsid w:val="004A141E"/>
    <w:rsid w:val="004A1498"/>
    <w:rsid w:val="004A149B"/>
    <w:rsid w:val="004A14A6"/>
    <w:rsid w:val="004A14BB"/>
    <w:rsid w:val="004A14CC"/>
    <w:rsid w:val="004A14D9"/>
    <w:rsid w:val="004A14F2"/>
    <w:rsid w:val="004A153C"/>
    <w:rsid w:val="004A1578"/>
    <w:rsid w:val="004A15A4"/>
    <w:rsid w:val="004A15AA"/>
    <w:rsid w:val="004A15E0"/>
    <w:rsid w:val="004A1677"/>
    <w:rsid w:val="004A171E"/>
    <w:rsid w:val="004A178D"/>
    <w:rsid w:val="004A17D5"/>
    <w:rsid w:val="004A180F"/>
    <w:rsid w:val="004A1844"/>
    <w:rsid w:val="004A1875"/>
    <w:rsid w:val="004A18B1"/>
    <w:rsid w:val="004A18D8"/>
    <w:rsid w:val="004A1971"/>
    <w:rsid w:val="004A19A7"/>
    <w:rsid w:val="004A1A67"/>
    <w:rsid w:val="004A1AA0"/>
    <w:rsid w:val="004A1B38"/>
    <w:rsid w:val="004A1B6C"/>
    <w:rsid w:val="004A1C04"/>
    <w:rsid w:val="004A1C64"/>
    <w:rsid w:val="004A1CA6"/>
    <w:rsid w:val="004A1CB1"/>
    <w:rsid w:val="004A1D06"/>
    <w:rsid w:val="004A1D30"/>
    <w:rsid w:val="004A1DE7"/>
    <w:rsid w:val="004A1E17"/>
    <w:rsid w:val="004A1E37"/>
    <w:rsid w:val="004A1E50"/>
    <w:rsid w:val="004A1E7A"/>
    <w:rsid w:val="004A1F2E"/>
    <w:rsid w:val="004A1F2F"/>
    <w:rsid w:val="004A1F39"/>
    <w:rsid w:val="004A1F46"/>
    <w:rsid w:val="004A1FF8"/>
    <w:rsid w:val="004A206E"/>
    <w:rsid w:val="004A20C0"/>
    <w:rsid w:val="004A214D"/>
    <w:rsid w:val="004A2229"/>
    <w:rsid w:val="004A2247"/>
    <w:rsid w:val="004A224E"/>
    <w:rsid w:val="004A225D"/>
    <w:rsid w:val="004A2278"/>
    <w:rsid w:val="004A228C"/>
    <w:rsid w:val="004A22A6"/>
    <w:rsid w:val="004A22FD"/>
    <w:rsid w:val="004A2309"/>
    <w:rsid w:val="004A2349"/>
    <w:rsid w:val="004A2428"/>
    <w:rsid w:val="004A24A5"/>
    <w:rsid w:val="004A2510"/>
    <w:rsid w:val="004A2620"/>
    <w:rsid w:val="004A2623"/>
    <w:rsid w:val="004A2657"/>
    <w:rsid w:val="004A2696"/>
    <w:rsid w:val="004A273B"/>
    <w:rsid w:val="004A284B"/>
    <w:rsid w:val="004A28B0"/>
    <w:rsid w:val="004A28CF"/>
    <w:rsid w:val="004A29C7"/>
    <w:rsid w:val="004A2A0E"/>
    <w:rsid w:val="004A2A3F"/>
    <w:rsid w:val="004A2A93"/>
    <w:rsid w:val="004A2AAF"/>
    <w:rsid w:val="004A2B18"/>
    <w:rsid w:val="004A2B22"/>
    <w:rsid w:val="004A2B4F"/>
    <w:rsid w:val="004A2C9A"/>
    <w:rsid w:val="004A2CC7"/>
    <w:rsid w:val="004A2CD1"/>
    <w:rsid w:val="004A2CE1"/>
    <w:rsid w:val="004A2D30"/>
    <w:rsid w:val="004A2E75"/>
    <w:rsid w:val="004A2E9F"/>
    <w:rsid w:val="004A2F35"/>
    <w:rsid w:val="004A2F4A"/>
    <w:rsid w:val="004A2F54"/>
    <w:rsid w:val="004A2F5B"/>
    <w:rsid w:val="004A2FE7"/>
    <w:rsid w:val="004A3014"/>
    <w:rsid w:val="004A30EB"/>
    <w:rsid w:val="004A3128"/>
    <w:rsid w:val="004A3184"/>
    <w:rsid w:val="004A31F0"/>
    <w:rsid w:val="004A31FD"/>
    <w:rsid w:val="004A3234"/>
    <w:rsid w:val="004A323F"/>
    <w:rsid w:val="004A3270"/>
    <w:rsid w:val="004A32B3"/>
    <w:rsid w:val="004A32E7"/>
    <w:rsid w:val="004A3358"/>
    <w:rsid w:val="004A3390"/>
    <w:rsid w:val="004A3393"/>
    <w:rsid w:val="004A3416"/>
    <w:rsid w:val="004A3462"/>
    <w:rsid w:val="004A3477"/>
    <w:rsid w:val="004A3536"/>
    <w:rsid w:val="004A360C"/>
    <w:rsid w:val="004A369D"/>
    <w:rsid w:val="004A36AB"/>
    <w:rsid w:val="004A36F3"/>
    <w:rsid w:val="004A3754"/>
    <w:rsid w:val="004A3769"/>
    <w:rsid w:val="004A37EB"/>
    <w:rsid w:val="004A382D"/>
    <w:rsid w:val="004A384A"/>
    <w:rsid w:val="004A3856"/>
    <w:rsid w:val="004A38A5"/>
    <w:rsid w:val="004A38D1"/>
    <w:rsid w:val="004A38EF"/>
    <w:rsid w:val="004A393E"/>
    <w:rsid w:val="004A395D"/>
    <w:rsid w:val="004A3979"/>
    <w:rsid w:val="004A3989"/>
    <w:rsid w:val="004A39B6"/>
    <w:rsid w:val="004A39CE"/>
    <w:rsid w:val="004A39DA"/>
    <w:rsid w:val="004A3A0F"/>
    <w:rsid w:val="004A3A10"/>
    <w:rsid w:val="004A3A49"/>
    <w:rsid w:val="004A3A5E"/>
    <w:rsid w:val="004A3A96"/>
    <w:rsid w:val="004A3A9A"/>
    <w:rsid w:val="004A3AD8"/>
    <w:rsid w:val="004A3B3E"/>
    <w:rsid w:val="004A3B8A"/>
    <w:rsid w:val="004A3CBA"/>
    <w:rsid w:val="004A3CEB"/>
    <w:rsid w:val="004A3D3C"/>
    <w:rsid w:val="004A3D43"/>
    <w:rsid w:val="004A3D66"/>
    <w:rsid w:val="004A3DAD"/>
    <w:rsid w:val="004A3DF8"/>
    <w:rsid w:val="004A3DF9"/>
    <w:rsid w:val="004A3E3F"/>
    <w:rsid w:val="004A3E6D"/>
    <w:rsid w:val="004A3ED7"/>
    <w:rsid w:val="004A3F44"/>
    <w:rsid w:val="004A3FD5"/>
    <w:rsid w:val="004A3FE7"/>
    <w:rsid w:val="004A3FE9"/>
    <w:rsid w:val="004A4019"/>
    <w:rsid w:val="004A4040"/>
    <w:rsid w:val="004A4049"/>
    <w:rsid w:val="004A40EB"/>
    <w:rsid w:val="004A40F4"/>
    <w:rsid w:val="004A4129"/>
    <w:rsid w:val="004A4164"/>
    <w:rsid w:val="004A4195"/>
    <w:rsid w:val="004A41F7"/>
    <w:rsid w:val="004A4259"/>
    <w:rsid w:val="004A427E"/>
    <w:rsid w:val="004A429B"/>
    <w:rsid w:val="004A432A"/>
    <w:rsid w:val="004A434C"/>
    <w:rsid w:val="004A43AC"/>
    <w:rsid w:val="004A43F6"/>
    <w:rsid w:val="004A449C"/>
    <w:rsid w:val="004A451B"/>
    <w:rsid w:val="004A4548"/>
    <w:rsid w:val="004A4557"/>
    <w:rsid w:val="004A4568"/>
    <w:rsid w:val="004A459E"/>
    <w:rsid w:val="004A45CB"/>
    <w:rsid w:val="004A45E7"/>
    <w:rsid w:val="004A463E"/>
    <w:rsid w:val="004A4694"/>
    <w:rsid w:val="004A470B"/>
    <w:rsid w:val="004A4739"/>
    <w:rsid w:val="004A4742"/>
    <w:rsid w:val="004A475E"/>
    <w:rsid w:val="004A4777"/>
    <w:rsid w:val="004A4796"/>
    <w:rsid w:val="004A47B2"/>
    <w:rsid w:val="004A47BA"/>
    <w:rsid w:val="004A47C4"/>
    <w:rsid w:val="004A47CA"/>
    <w:rsid w:val="004A47F2"/>
    <w:rsid w:val="004A4812"/>
    <w:rsid w:val="004A4823"/>
    <w:rsid w:val="004A4832"/>
    <w:rsid w:val="004A48E4"/>
    <w:rsid w:val="004A493B"/>
    <w:rsid w:val="004A49ED"/>
    <w:rsid w:val="004A4A00"/>
    <w:rsid w:val="004A4A08"/>
    <w:rsid w:val="004A4A4F"/>
    <w:rsid w:val="004A4A78"/>
    <w:rsid w:val="004A4AD7"/>
    <w:rsid w:val="004A4B12"/>
    <w:rsid w:val="004A4B6E"/>
    <w:rsid w:val="004A4BB7"/>
    <w:rsid w:val="004A4BF6"/>
    <w:rsid w:val="004A4C74"/>
    <w:rsid w:val="004A4C93"/>
    <w:rsid w:val="004A4CA1"/>
    <w:rsid w:val="004A4CC8"/>
    <w:rsid w:val="004A4CED"/>
    <w:rsid w:val="004A4CEE"/>
    <w:rsid w:val="004A4D04"/>
    <w:rsid w:val="004A4E69"/>
    <w:rsid w:val="004A4ED8"/>
    <w:rsid w:val="004A4EDA"/>
    <w:rsid w:val="004A4F03"/>
    <w:rsid w:val="004A4F8D"/>
    <w:rsid w:val="004A4FE0"/>
    <w:rsid w:val="004A502C"/>
    <w:rsid w:val="004A504F"/>
    <w:rsid w:val="004A50B6"/>
    <w:rsid w:val="004A50C7"/>
    <w:rsid w:val="004A510C"/>
    <w:rsid w:val="004A5110"/>
    <w:rsid w:val="004A5119"/>
    <w:rsid w:val="004A51B0"/>
    <w:rsid w:val="004A51BE"/>
    <w:rsid w:val="004A525A"/>
    <w:rsid w:val="004A52D7"/>
    <w:rsid w:val="004A52F2"/>
    <w:rsid w:val="004A52F8"/>
    <w:rsid w:val="004A5307"/>
    <w:rsid w:val="004A531C"/>
    <w:rsid w:val="004A531F"/>
    <w:rsid w:val="004A5330"/>
    <w:rsid w:val="004A5362"/>
    <w:rsid w:val="004A536D"/>
    <w:rsid w:val="004A539B"/>
    <w:rsid w:val="004A53AD"/>
    <w:rsid w:val="004A53C5"/>
    <w:rsid w:val="004A53FA"/>
    <w:rsid w:val="004A543E"/>
    <w:rsid w:val="004A544D"/>
    <w:rsid w:val="004A5472"/>
    <w:rsid w:val="004A54E8"/>
    <w:rsid w:val="004A54E9"/>
    <w:rsid w:val="004A5519"/>
    <w:rsid w:val="004A5539"/>
    <w:rsid w:val="004A5593"/>
    <w:rsid w:val="004A55CE"/>
    <w:rsid w:val="004A55E5"/>
    <w:rsid w:val="004A55FF"/>
    <w:rsid w:val="004A5698"/>
    <w:rsid w:val="004A56A6"/>
    <w:rsid w:val="004A56AF"/>
    <w:rsid w:val="004A56DC"/>
    <w:rsid w:val="004A5704"/>
    <w:rsid w:val="004A5788"/>
    <w:rsid w:val="004A57D3"/>
    <w:rsid w:val="004A5852"/>
    <w:rsid w:val="004A59CE"/>
    <w:rsid w:val="004A59E1"/>
    <w:rsid w:val="004A5A8C"/>
    <w:rsid w:val="004A5A9C"/>
    <w:rsid w:val="004A5AF2"/>
    <w:rsid w:val="004A5AF8"/>
    <w:rsid w:val="004A5B21"/>
    <w:rsid w:val="004A5BA8"/>
    <w:rsid w:val="004A5BB2"/>
    <w:rsid w:val="004A5BBE"/>
    <w:rsid w:val="004A5BC9"/>
    <w:rsid w:val="004A5C58"/>
    <w:rsid w:val="004A5C83"/>
    <w:rsid w:val="004A5C94"/>
    <w:rsid w:val="004A5CAC"/>
    <w:rsid w:val="004A5D46"/>
    <w:rsid w:val="004A5D6A"/>
    <w:rsid w:val="004A5D6E"/>
    <w:rsid w:val="004A5D75"/>
    <w:rsid w:val="004A5DC3"/>
    <w:rsid w:val="004A5DE3"/>
    <w:rsid w:val="004A5DE8"/>
    <w:rsid w:val="004A5DED"/>
    <w:rsid w:val="004A5E24"/>
    <w:rsid w:val="004A5EC3"/>
    <w:rsid w:val="004A5ECE"/>
    <w:rsid w:val="004A5ED6"/>
    <w:rsid w:val="004A5ED7"/>
    <w:rsid w:val="004A5F1A"/>
    <w:rsid w:val="004A5F99"/>
    <w:rsid w:val="004A6041"/>
    <w:rsid w:val="004A606B"/>
    <w:rsid w:val="004A60C7"/>
    <w:rsid w:val="004A6145"/>
    <w:rsid w:val="004A618C"/>
    <w:rsid w:val="004A61C3"/>
    <w:rsid w:val="004A61C8"/>
    <w:rsid w:val="004A61D8"/>
    <w:rsid w:val="004A6285"/>
    <w:rsid w:val="004A62E6"/>
    <w:rsid w:val="004A6315"/>
    <w:rsid w:val="004A63A7"/>
    <w:rsid w:val="004A6420"/>
    <w:rsid w:val="004A657D"/>
    <w:rsid w:val="004A6580"/>
    <w:rsid w:val="004A65A2"/>
    <w:rsid w:val="004A65FE"/>
    <w:rsid w:val="004A661F"/>
    <w:rsid w:val="004A6782"/>
    <w:rsid w:val="004A67B1"/>
    <w:rsid w:val="004A67BB"/>
    <w:rsid w:val="004A67E9"/>
    <w:rsid w:val="004A6864"/>
    <w:rsid w:val="004A68DC"/>
    <w:rsid w:val="004A6920"/>
    <w:rsid w:val="004A6952"/>
    <w:rsid w:val="004A6963"/>
    <w:rsid w:val="004A699B"/>
    <w:rsid w:val="004A6A07"/>
    <w:rsid w:val="004A6A5B"/>
    <w:rsid w:val="004A6A69"/>
    <w:rsid w:val="004A6AD1"/>
    <w:rsid w:val="004A6ADF"/>
    <w:rsid w:val="004A6B02"/>
    <w:rsid w:val="004A6B3E"/>
    <w:rsid w:val="004A6B63"/>
    <w:rsid w:val="004A6B72"/>
    <w:rsid w:val="004A6BBC"/>
    <w:rsid w:val="004A6C33"/>
    <w:rsid w:val="004A6C50"/>
    <w:rsid w:val="004A6CD8"/>
    <w:rsid w:val="004A6CDA"/>
    <w:rsid w:val="004A6D31"/>
    <w:rsid w:val="004A6DA6"/>
    <w:rsid w:val="004A6DCE"/>
    <w:rsid w:val="004A6DE5"/>
    <w:rsid w:val="004A6E0D"/>
    <w:rsid w:val="004A6E6B"/>
    <w:rsid w:val="004A6F57"/>
    <w:rsid w:val="004A6F74"/>
    <w:rsid w:val="004A6FCC"/>
    <w:rsid w:val="004A7031"/>
    <w:rsid w:val="004A70BB"/>
    <w:rsid w:val="004A7232"/>
    <w:rsid w:val="004A7247"/>
    <w:rsid w:val="004A7255"/>
    <w:rsid w:val="004A7267"/>
    <w:rsid w:val="004A72A5"/>
    <w:rsid w:val="004A72D9"/>
    <w:rsid w:val="004A7308"/>
    <w:rsid w:val="004A731A"/>
    <w:rsid w:val="004A733D"/>
    <w:rsid w:val="004A7355"/>
    <w:rsid w:val="004A7364"/>
    <w:rsid w:val="004A73A2"/>
    <w:rsid w:val="004A7438"/>
    <w:rsid w:val="004A743C"/>
    <w:rsid w:val="004A7441"/>
    <w:rsid w:val="004A7483"/>
    <w:rsid w:val="004A7523"/>
    <w:rsid w:val="004A761F"/>
    <w:rsid w:val="004A7622"/>
    <w:rsid w:val="004A7734"/>
    <w:rsid w:val="004A7742"/>
    <w:rsid w:val="004A7756"/>
    <w:rsid w:val="004A776E"/>
    <w:rsid w:val="004A7820"/>
    <w:rsid w:val="004A7827"/>
    <w:rsid w:val="004A78A9"/>
    <w:rsid w:val="004A78F4"/>
    <w:rsid w:val="004A7903"/>
    <w:rsid w:val="004A790F"/>
    <w:rsid w:val="004A7920"/>
    <w:rsid w:val="004A7972"/>
    <w:rsid w:val="004A7A1A"/>
    <w:rsid w:val="004A7A2F"/>
    <w:rsid w:val="004A7ABB"/>
    <w:rsid w:val="004A7AEE"/>
    <w:rsid w:val="004A7B16"/>
    <w:rsid w:val="004A7B37"/>
    <w:rsid w:val="004A7B39"/>
    <w:rsid w:val="004A7B54"/>
    <w:rsid w:val="004A7B6F"/>
    <w:rsid w:val="004A7BCA"/>
    <w:rsid w:val="004A7BE6"/>
    <w:rsid w:val="004A7BFF"/>
    <w:rsid w:val="004A7C16"/>
    <w:rsid w:val="004A7C43"/>
    <w:rsid w:val="004A7CCF"/>
    <w:rsid w:val="004A7DAD"/>
    <w:rsid w:val="004A7DEF"/>
    <w:rsid w:val="004A7E12"/>
    <w:rsid w:val="004A7E6D"/>
    <w:rsid w:val="004A7E75"/>
    <w:rsid w:val="004A7F82"/>
    <w:rsid w:val="004A7FA2"/>
    <w:rsid w:val="004B000D"/>
    <w:rsid w:val="004B006F"/>
    <w:rsid w:val="004B007D"/>
    <w:rsid w:val="004B00D0"/>
    <w:rsid w:val="004B0101"/>
    <w:rsid w:val="004B0169"/>
    <w:rsid w:val="004B01A0"/>
    <w:rsid w:val="004B01D4"/>
    <w:rsid w:val="004B0233"/>
    <w:rsid w:val="004B02FA"/>
    <w:rsid w:val="004B03C3"/>
    <w:rsid w:val="004B03E5"/>
    <w:rsid w:val="004B0423"/>
    <w:rsid w:val="004B045D"/>
    <w:rsid w:val="004B048B"/>
    <w:rsid w:val="004B0534"/>
    <w:rsid w:val="004B058F"/>
    <w:rsid w:val="004B0594"/>
    <w:rsid w:val="004B0603"/>
    <w:rsid w:val="004B0797"/>
    <w:rsid w:val="004B07A3"/>
    <w:rsid w:val="004B07B6"/>
    <w:rsid w:val="004B07DA"/>
    <w:rsid w:val="004B0806"/>
    <w:rsid w:val="004B0819"/>
    <w:rsid w:val="004B0870"/>
    <w:rsid w:val="004B08F8"/>
    <w:rsid w:val="004B0914"/>
    <w:rsid w:val="004B09C2"/>
    <w:rsid w:val="004B0A0B"/>
    <w:rsid w:val="004B0ACB"/>
    <w:rsid w:val="004B0AD2"/>
    <w:rsid w:val="004B0B15"/>
    <w:rsid w:val="004B0B3C"/>
    <w:rsid w:val="004B0B8B"/>
    <w:rsid w:val="004B0BC7"/>
    <w:rsid w:val="004B0BDF"/>
    <w:rsid w:val="004B0C1F"/>
    <w:rsid w:val="004B0C2E"/>
    <w:rsid w:val="004B0C3D"/>
    <w:rsid w:val="004B0CAC"/>
    <w:rsid w:val="004B0CB5"/>
    <w:rsid w:val="004B0CB6"/>
    <w:rsid w:val="004B0D6E"/>
    <w:rsid w:val="004B0DC3"/>
    <w:rsid w:val="004B0DD7"/>
    <w:rsid w:val="004B0DD8"/>
    <w:rsid w:val="004B0DFE"/>
    <w:rsid w:val="004B0DFF"/>
    <w:rsid w:val="004B0E38"/>
    <w:rsid w:val="004B0E99"/>
    <w:rsid w:val="004B0EAE"/>
    <w:rsid w:val="004B0F08"/>
    <w:rsid w:val="004B0F10"/>
    <w:rsid w:val="004B0F2E"/>
    <w:rsid w:val="004B0FAB"/>
    <w:rsid w:val="004B0FFF"/>
    <w:rsid w:val="004B1093"/>
    <w:rsid w:val="004B10EB"/>
    <w:rsid w:val="004B110E"/>
    <w:rsid w:val="004B1164"/>
    <w:rsid w:val="004B1184"/>
    <w:rsid w:val="004B11AA"/>
    <w:rsid w:val="004B132A"/>
    <w:rsid w:val="004B1332"/>
    <w:rsid w:val="004B1366"/>
    <w:rsid w:val="004B143C"/>
    <w:rsid w:val="004B1467"/>
    <w:rsid w:val="004B14C8"/>
    <w:rsid w:val="004B14D7"/>
    <w:rsid w:val="004B14E1"/>
    <w:rsid w:val="004B14E4"/>
    <w:rsid w:val="004B1550"/>
    <w:rsid w:val="004B155F"/>
    <w:rsid w:val="004B1578"/>
    <w:rsid w:val="004B1715"/>
    <w:rsid w:val="004B17A0"/>
    <w:rsid w:val="004B1843"/>
    <w:rsid w:val="004B1870"/>
    <w:rsid w:val="004B18B6"/>
    <w:rsid w:val="004B194B"/>
    <w:rsid w:val="004B196A"/>
    <w:rsid w:val="004B19F9"/>
    <w:rsid w:val="004B1A25"/>
    <w:rsid w:val="004B1A44"/>
    <w:rsid w:val="004B1A57"/>
    <w:rsid w:val="004B1B01"/>
    <w:rsid w:val="004B1B5B"/>
    <w:rsid w:val="004B1B70"/>
    <w:rsid w:val="004B1BBD"/>
    <w:rsid w:val="004B1BD5"/>
    <w:rsid w:val="004B1C4E"/>
    <w:rsid w:val="004B1C82"/>
    <w:rsid w:val="004B1C9F"/>
    <w:rsid w:val="004B1D09"/>
    <w:rsid w:val="004B1D4E"/>
    <w:rsid w:val="004B1DE3"/>
    <w:rsid w:val="004B1DEF"/>
    <w:rsid w:val="004B1E76"/>
    <w:rsid w:val="004B1E8A"/>
    <w:rsid w:val="004B1F5F"/>
    <w:rsid w:val="004B1FC5"/>
    <w:rsid w:val="004B1FEC"/>
    <w:rsid w:val="004B2046"/>
    <w:rsid w:val="004B2056"/>
    <w:rsid w:val="004B2063"/>
    <w:rsid w:val="004B20AC"/>
    <w:rsid w:val="004B20CC"/>
    <w:rsid w:val="004B20DB"/>
    <w:rsid w:val="004B211F"/>
    <w:rsid w:val="004B217C"/>
    <w:rsid w:val="004B218E"/>
    <w:rsid w:val="004B227A"/>
    <w:rsid w:val="004B2296"/>
    <w:rsid w:val="004B22D2"/>
    <w:rsid w:val="004B22D4"/>
    <w:rsid w:val="004B22E2"/>
    <w:rsid w:val="004B2318"/>
    <w:rsid w:val="004B2336"/>
    <w:rsid w:val="004B23BD"/>
    <w:rsid w:val="004B23EF"/>
    <w:rsid w:val="004B2404"/>
    <w:rsid w:val="004B2426"/>
    <w:rsid w:val="004B24CA"/>
    <w:rsid w:val="004B24D2"/>
    <w:rsid w:val="004B24D4"/>
    <w:rsid w:val="004B24EA"/>
    <w:rsid w:val="004B24F9"/>
    <w:rsid w:val="004B2518"/>
    <w:rsid w:val="004B251B"/>
    <w:rsid w:val="004B2532"/>
    <w:rsid w:val="004B2555"/>
    <w:rsid w:val="004B2557"/>
    <w:rsid w:val="004B2559"/>
    <w:rsid w:val="004B2584"/>
    <w:rsid w:val="004B2603"/>
    <w:rsid w:val="004B261E"/>
    <w:rsid w:val="004B2635"/>
    <w:rsid w:val="004B271A"/>
    <w:rsid w:val="004B27A7"/>
    <w:rsid w:val="004B27F6"/>
    <w:rsid w:val="004B2829"/>
    <w:rsid w:val="004B2831"/>
    <w:rsid w:val="004B28DB"/>
    <w:rsid w:val="004B2955"/>
    <w:rsid w:val="004B2956"/>
    <w:rsid w:val="004B2991"/>
    <w:rsid w:val="004B2A69"/>
    <w:rsid w:val="004B2B18"/>
    <w:rsid w:val="004B2B4B"/>
    <w:rsid w:val="004B2B8E"/>
    <w:rsid w:val="004B2C1A"/>
    <w:rsid w:val="004B2DA0"/>
    <w:rsid w:val="004B2DA1"/>
    <w:rsid w:val="004B2DAF"/>
    <w:rsid w:val="004B2DEC"/>
    <w:rsid w:val="004B2F25"/>
    <w:rsid w:val="004B2F27"/>
    <w:rsid w:val="004B2FAF"/>
    <w:rsid w:val="004B2FF5"/>
    <w:rsid w:val="004B2FFD"/>
    <w:rsid w:val="004B301C"/>
    <w:rsid w:val="004B304B"/>
    <w:rsid w:val="004B30B9"/>
    <w:rsid w:val="004B30D2"/>
    <w:rsid w:val="004B30E5"/>
    <w:rsid w:val="004B311A"/>
    <w:rsid w:val="004B3190"/>
    <w:rsid w:val="004B319C"/>
    <w:rsid w:val="004B31A6"/>
    <w:rsid w:val="004B31BC"/>
    <w:rsid w:val="004B320F"/>
    <w:rsid w:val="004B326B"/>
    <w:rsid w:val="004B32BA"/>
    <w:rsid w:val="004B32D8"/>
    <w:rsid w:val="004B3383"/>
    <w:rsid w:val="004B3389"/>
    <w:rsid w:val="004B3420"/>
    <w:rsid w:val="004B3464"/>
    <w:rsid w:val="004B3508"/>
    <w:rsid w:val="004B3565"/>
    <w:rsid w:val="004B3677"/>
    <w:rsid w:val="004B36C0"/>
    <w:rsid w:val="004B36DD"/>
    <w:rsid w:val="004B36FB"/>
    <w:rsid w:val="004B36FC"/>
    <w:rsid w:val="004B372B"/>
    <w:rsid w:val="004B3761"/>
    <w:rsid w:val="004B3827"/>
    <w:rsid w:val="004B3898"/>
    <w:rsid w:val="004B38A6"/>
    <w:rsid w:val="004B38E6"/>
    <w:rsid w:val="004B3928"/>
    <w:rsid w:val="004B393C"/>
    <w:rsid w:val="004B3ABE"/>
    <w:rsid w:val="004B3AE2"/>
    <w:rsid w:val="004B3AF2"/>
    <w:rsid w:val="004B3B01"/>
    <w:rsid w:val="004B3BD0"/>
    <w:rsid w:val="004B3C00"/>
    <w:rsid w:val="004B3D4E"/>
    <w:rsid w:val="004B3D6E"/>
    <w:rsid w:val="004B3DA5"/>
    <w:rsid w:val="004B3DB1"/>
    <w:rsid w:val="004B3DBD"/>
    <w:rsid w:val="004B3DE9"/>
    <w:rsid w:val="004B3FE0"/>
    <w:rsid w:val="004B402F"/>
    <w:rsid w:val="004B407C"/>
    <w:rsid w:val="004B4096"/>
    <w:rsid w:val="004B40D0"/>
    <w:rsid w:val="004B415F"/>
    <w:rsid w:val="004B4177"/>
    <w:rsid w:val="004B4194"/>
    <w:rsid w:val="004B41A9"/>
    <w:rsid w:val="004B41C9"/>
    <w:rsid w:val="004B42B8"/>
    <w:rsid w:val="004B439B"/>
    <w:rsid w:val="004B43DB"/>
    <w:rsid w:val="004B43F3"/>
    <w:rsid w:val="004B4418"/>
    <w:rsid w:val="004B4434"/>
    <w:rsid w:val="004B4449"/>
    <w:rsid w:val="004B4493"/>
    <w:rsid w:val="004B44D7"/>
    <w:rsid w:val="004B457C"/>
    <w:rsid w:val="004B466E"/>
    <w:rsid w:val="004B467C"/>
    <w:rsid w:val="004B471C"/>
    <w:rsid w:val="004B4742"/>
    <w:rsid w:val="004B4764"/>
    <w:rsid w:val="004B4774"/>
    <w:rsid w:val="004B478A"/>
    <w:rsid w:val="004B47CD"/>
    <w:rsid w:val="004B47D3"/>
    <w:rsid w:val="004B47FF"/>
    <w:rsid w:val="004B4833"/>
    <w:rsid w:val="004B486D"/>
    <w:rsid w:val="004B48CB"/>
    <w:rsid w:val="004B4926"/>
    <w:rsid w:val="004B4933"/>
    <w:rsid w:val="004B49AE"/>
    <w:rsid w:val="004B4A0E"/>
    <w:rsid w:val="004B4A52"/>
    <w:rsid w:val="004B4AA2"/>
    <w:rsid w:val="004B4AB4"/>
    <w:rsid w:val="004B4ADF"/>
    <w:rsid w:val="004B4B11"/>
    <w:rsid w:val="004B4B43"/>
    <w:rsid w:val="004B4B58"/>
    <w:rsid w:val="004B4BCF"/>
    <w:rsid w:val="004B4C6A"/>
    <w:rsid w:val="004B4C81"/>
    <w:rsid w:val="004B4C8C"/>
    <w:rsid w:val="004B4D1B"/>
    <w:rsid w:val="004B4D67"/>
    <w:rsid w:val="004B4D76"/>
    <w:rsid w:val="004B4D9E"/>
    <w:rsid w:val="004B4DB6"/>
    <w:rsid w:val="004B4E03"/>
    <w:rsid w:val="004B4E8E"/>
    <w:rsid w:val="004B4ECB"/>
    <w:rsid w:val="004B4F0A"/>
    <w:rsid w:val="004B4F0F"/>
    <w:rsid w:val="004B4F39"/>
    <w:rsid w:val="004B4F40"/>
    <w:rsid w:val="004B4FA7"/>
    <w:rsid w:val="004B4FC5"/>
    <w:rsid w:val="004B505D"/>
    <w:rsid w:val="004B50A2"/>
    <w:rsid w:val="004B50DC"/>
    <w:rsid w:val="004B50E6"/>
    <w:rsid w:val="004B50E7"/>
    <w:rsid w:val="004B510D"/>
    <w:rsid w:val="004B5144"/>
    <w:rsid w:val="004B51C3"/>
    <w:rsid w:val="004B51D3"/>
    <w:rsid w:val="004B5238"/>
    <w:rsid w:val="004B52B6"/>
    <w:rsid w:val="004B52DD"/>
    <w:rsid w:val="004B52EF"/>
    <w:rsid w:val="004B52F9"/>
    <w:rsid w:val="004B530A"/>
    <w:rsid w:val="004B530D"/>
    <w:rsid w:val="004B5368"/>
    <w:rsid w:val="004B53A7"/>
    <w:rsid w:val="004B53B6"/>
    <w:rsid w:val="004B53F1"/>
    <w:rsid w:val="004B541E"/>
    <w:rsid w:val="004B543E"/>
    <w:rsid w:val="004B5444"/>
    <w:rsid w:val="004B548A"/>
    <w:rsid w:val="004B5532"/>
    <w:rsid w:val="004B55E1"/>
    <w:rsid w:val="004B566A"/>
    <w:rsid w:val="004B5678"/>
    <w:rsid w:val="004B56CB"/>
    <w:rsid w:val="004B570B"/>
    <w:rsid w:val="004B5717"/>
    <w:rsid w:val="004B5752"/>
    <w:rsid w:val="004B5786"/>
    <w:rsid w:val="004B57D5"/>
    <w:rsid w:val="004B584D"/>
    <w:rsid w:val="004B5851"/>
    <w:rsid w:val="004B58A9"/>
    <w:rsid w:val="004B58DD"/>
    <w:rsid w:val="004B5961"/>
    <w:rsid w:val="004B5994"/>
    <w:rsid w:val="004B599C"/>
    <w:rsid w:val="004B59C2"/>
    <w:rsid w:val="004B59EA"/>
    <w:rsid w:val="004B5A22"/>
    <w:rsid w:val="004B5A66"/>
    <w:rsid w:val="004B5B2C"/>
    <w:rsid w:val="004B5B9A"/>
    <w:rsid w:val="004B5BBC"/>
    <w:rsid w:val="004B5BF7"/>
    <w:rsid w:val="004B5C18"/>
    <w:rsid w:val="004B5C32"/>
    <w:rsid w:val="004B5C56"/>
    <w:rsid w:val="004B5C61"/>
    <w:rsid w:val="004B5C67"/>
    <w:rsid w:val="004B5C87"/>
    <w:rsid w:val="004B5D4E"/>
    <w:rsid w:val="004B5D5B"/>
    <w:rsid w:val="004B5E1D"/>
    <w:rsid w:val="004B5E26"/>
    <w:rsid w:val="004B5E4C"/>
    <w:rsid w:val="004B5EB8"/>
    <w:rsid w:val="004B5F1D"/>
    <w:rsid w:val="004B5F27"/>
    <w:rsid w:val="004B5F97"/>
    <w:rsid w:val="004B6019"/>
    <w:rsid w:val="004B609F"/>
    <w:rsid w:val="004B60A7"/>
    <w:rsid w:val="004B6105"/>
    <w:rsid w:val="004B6169"/>
    <w:rsid w:val="004B61FB"/>
    <w:rsid w:val="004B62BD"/>
    <w:rsid w:val="004B6315"/>
    <w:rsid w:val="004B63EB"/>
    <w:rsid w:val="004B63EE"/>
    <w:rsid w:val="004B64D5"/>
    <w:rsid w:val="004B6538"/>
    <w:rsid w:val="004B653B"/>
    <w:rsid w:val="004B65A1"/>
    <w:rsid w:val="004B65C1"/>
    <w:rsid w:val="004B660B"/>
    <w:rsid w:val="004B667B"/>
    <w:rsid w:val="004B66D7"/>
    <w:rsid w:val="004B6734"/>
    <w:rsid w:val="004B6780"/>
    <w:rsid w:val="004B67AC"/>
    <w:rsid w:val="004B67E7"/>
    <w:rsid w:val="004B68AE"/>
    <w:rsid w:val="004B68BB"/>
    <w:rsid w:val="004B6930"/>
    <w:rsid w:val="004B693A"/>
    <w:rsid w:val="004B6948"/>
    <w:rsid w:val="004B6995"/>
    <w:rsid w:val="004B69AC"/>
    <w:rsid w:val="004B69C3"/>
    <w:rsid w:val="004B6A1F"/>
    <w:rsid w:val="004B6A4C"/>
    <w:rsid w:val="004B6A51"/>
    <w:rsid w:val="004B6B34"/>
    <w:rsid w:val="004B6B89"/>
    <w:rsid w:val="004B6BB4"/>
    <w:rsid w:val="004B6BDF"/>
    <w:rsid w:val="004B6BF9"/>
    <w:rsid w:val="004B6C6A"/>
    <w:rsid w:val="004B6CE3"/>
    <w:rsid w:val="004B6CE5"/>
    <w:rsid w:val="004B6D24"/>
    <w:rsid w:val="004B6D9C"/>
    <w:rsid w:val="004B6DA6"/>
    <w:rsid w:val="004B6DD6"/>
    <w:rsid w:val="004B6E3D"/>
    <w:rsid w:val="004B6EC4"/>
    <w:rsid w:val="004B6F0B"/>
    <w:rsid w:val="004B6F3C"/>
    <w:rsid w:val="004B6F62"/>
    <w:rsid w:val="004B6FF8"/>
    <w:rsid w:val="004B700D"/>
    <w:rsid w:val="004B70C7"/>
    <w:rsid w:val="004B71C6"/>
    <w:rsid w:val="004B723D"/>
    <w:rsid w:val="004B729A"/>
    <w:rsid w:val="004B72C1"/>
    <w:rsid w:val="004B7309"/>
    <w:rsid w:val="004B731D"/>
    <w:rsid w:val="004B7325"/>
    <w:rsid w:val="004B735C"/>
    <w:rsid w:val="004B7433"/>
    <w:rsid w:val="004B7511"/>
    <w:rsid w:val="004B752D"/>
    <w:rsid w:val="004B758A"/>
    <w:rsid w:val="004B75A8"/>
    <w:rsid w:val="004B764F"/>
    <w:rsid w:val="004B766A"/>
    <w:rsid w:val="004B76A0"/>
    <w:rsid w:val="004B76D2"/>
    <w:rsid w:val="004B7722"/>
    <w:rsid w:val="004B772C"/>
    <w:rsid w:val="004B77AC"/>
    <w:rsid w:val="004B77C7"/>
    <w:rsid w:val="004B77C8"/>
    <w:rsid w:val="004B7813"/>
    <w:rsid w:val="004B7848"/>
    <w:rsid w:val="004B7969"/>
    <w:rsid w:val="004B799A"/>
    <w:rsid w:val="004B79F2"/>
    <w:rsid w:val="004B79FE"/>
    <w:rsid w:val="004B7A50"/>
    <w:rsid w:val="004B7A7B"/>
    <w:rsid w:val="004B7AB1"/>
    <w:rsid w:val="004B7B0E"/>
    <w:rsid w:val="004B7B1C"/>
    <w:rsid w:val="004B7C1D"/>
    <w:rsid w:val="004B7D15"/>
    <w:rsid w:val="004B7D34"/>
    <w:rsid w:val="004B7D93"/>
    <w:rsid w:val="004B7DAF"/>
    <w:rsid w:val="004B7DE4"/>
    <w:rsid w:val="004B7E37"/>
    <w:rsid w:val="004B7EC9"/>
    <w:rsid w:val="004B7EDF"/>
    <w:rsid w:val="004B7F94"/>
    <w:rsid w:val="004C0076"/>
    <w:rsid w:val="004C0079"/>
    <w:rsid w:val="004C00B0"/>
    <w:rsid w:val="004C00B6"/>
    <w:rsid w:val="004C0114"/>
    <w:rsid w:val="004C0192"/>
    <w:rsid w:val="004C01B9"/>
    <w:rsid w:val="004C01C9"/>
    <w:rsid w:val="004C01FF"/>
    <w:rsid w:val="004C0201"/>
    <w:rsid w:val="004C0299"/>
    <w:rsid w:val="004C02B1"/>
    <w:rsid w:val="004C03C8"/>
    <w:rsid w:val="004C0448"/>
    <w:rsid w:val="004C046F"/>
    <w:rsid w:val="004C04AB"/>
    <w:rsid w:val="004C04DA"/>
    <w:rsid w:val="004C053D"/>
    <w:rsid w:val="004C0542"/>
    <w:rsid w:val="004C055B"/>
    <w:rsid w:val="004C0566"/>
    <w:rsid w:val="004C05BC"/>
    <w:rsid w:val="004C05F2"/>
    <w:rsid w:val="004C0638"/>
    <w:rsid w:val="004C064A"/>
    <w:rsid w:val="004C064B"/>
    <w:rsid w:val="004C06B2"/>
    <w:rsid w:val="004C0815"/>
    <w:rsid w:val="004C0843"/>
    <w:rsid w:val="004C08AD"/>
    <w:rsid w:val="004C0950"/>
    <w:rsid w:val="004C0954"/>
    <w:rsid w:val="004C09A6"/>
    <w:rsid w:val="004C09FC"/>
    <w:rsid w:val="004C0A15"/>
    <w:rsid w:val="004C0A2C"/>
    <w:rsid w:val="004C0AED"/>
    <w:rsid w:val="004C0B01"/>
    <w:rsid w:val="004C0B83"/>
    <w:rsid w:val="004C0B95"/>
    <w:rsid w:val="004C0C2E"/>
    <w:rsid w:val="004C0C76"/>
    <w:rsid w:val="004C0CBD"/>
    <w:rsid w:val="004C0CCB"/>
    <w:rsid w:val="004C0D42"/>
    <w:rsid w:val="004C0D4D"/>
    <w:rsid w:val="004C0D76"/>
    <w:rsid w:val="004C0DFC"/>
    <w:rsid w:val="004C0E15"/>
    <w:rsid w:val="004C0E33"/>
    <w:rsid w:val="004C0E3D"/>
    <w:rsid w:val="004C0E5F"/>
    <w:rsid w:val="004C0E70"/>
    <w:rsid w:val="004C0E8A"/>
    <w:rsid w:val="004C0EF6"/>
    <w:rsid w:val="004C0F37"/>
    <w:rsid w:val="004C0F72"/>
    <w:rsid w:val="004C0FCB"/>
    <w:rsid w:val="004C1006"/>
    <w:rsid w:val="004C109E"/>
    <w:rsid w:val="004C10AE"/>
    <w:rsid w:val="004C10B6"/>
    <w:rsid w:val="004C10E0"/>
    <w:rsid w:val="004C10F0"/>
    <w:rsid w:val="004C10F9"/>
    <w:rsid w:val="004C10FE"/>
    <w:rsid w:val="004C112F"/>
    <w:rsid w:val="004C116E"/>
    <w:rsid w:val="004C1183"/>
    <w:rsid w:val="004C11BC"/>
    <w:rsid w:val="004C11CE"/>
    <w:rsid w:val="004C11D3"/>
    <w:rsid w:val="004C11E5"/>
    <w:rsid w:val="004C11EE"/>
    <w:rsid w:val="004C12CA"/>
    <w:rsid w:val="004C12E7"/>
    <w:rsid w:val="004C1316"/>
    <w:rsid w:val="004C1320"/>
    <w:rsid w:val="004C1390"/>
    <w:rsid w:val="004C13C1"/>
    <w:rsid w:val="004C13EF"/>
    <w:rsid w:val="004C1475"/>
    <w:rsid w:val="004C1536"/>
    <w:rsid w:val="004C1710"/>
    <w:rsid w:val="004C176D"/>
    <w:rsid w:val="004C17B6"/>
    <w:rsid w:val="004C1846"/>
    <w:rsid w:val="004C1877"/>
    <w:rsid w:val="004C18B0"/>
    <w:rsid w:val="004C18FA"/>
    <w:rsid w:val="004C1950"/>
    <w:rsid w:val="004C1966"/>
    <w:rsid w:val="004C19ED"/>
    <w:rsid w:val="004C1A1C"/>
    <w:rsid w:val="004C1A47"/>
    <w:rsid w:val="004C1A5C"/>
    <w:rsid w:val="004C1AE3"/>
    <w:rsid w:val="004C1AF0"/>
    <w:rsid w:val="004C1B1C"/>
    <w:rsid w:val="004C1B2D"/>
    <w:rsid w:val="004C1B66"/>
    <w:rsid w:val="004C1B6E"/>
    <w:rsid w:val="004C1BCF"/>
    <w:rsid w:val="004C1C08"/>
    <w:rsid w:val="004C1C49"/>
    <w:rsid w:val="004C1C64"/>
    <w:rsid w:val="004C1C73"/>
    <w:rsid w:val="004C1CA8"/>
    <w:rsid w:val="004C1D3D"/>
    <w:rsid w:val="004C1D53"/>
    <w:rsid w:val="004C1DA4"/>
    <w:rsid w:val="004C1E05"/>
    <w:rsid w:val="004C1E41"/>
    <w:rsid w:val="004C1E4E"/>
    <w:rsid w:val="004C1E95"/>
    <w:rsid w:val="004C1ED1"/>
    <w:rsid w:val="004C1EFE"/>
    <w:rsid w:val="004C1F2A"/>
    <w:rsid w:val="004C1F89"/>
    <w:rsid w:val="004C1F99"/>
    <w:rsid w:val="004C201C"/>
    <w:rsid w:val="004C204D"/>
    <w:rsid w:val="004C2080"/>
    <w:rsid w:val="004C213A"/>
    <w:rsid w:val="004C21A3"/>
    <w:rsid w:val="004C2234"/>
    <w:rsid w:val="004C2253"/>
    <w:rsid w:val="004C2298"/>
    <w:rsid w:val="004C22C5"/>
    <w:rsid w:val="004C22CB"/>
    <w:rsid w:val="004C22D1"/>
    <w:rsid w:val="004C23CC"/>
    <w:rsid w:val="004C23E9"/>
    <w:rsid w:val="004C243D"/>
    <w:rsid w:val="004C248F"/>
    <w:rsid w:val="004C24BC"/>
    <w:rsid w:val="004C24C1"/>
    <w:rsid w:val="004C24F8"/>
    <w:rsid w:val="004C257D"/>
    <w:rsid w:val="004C25A4"/>
    <w:rsid w:val="004C25C8"/>
    <w:rsid w:val="004C25DE"/>
    <w:rsid w:val="004C25E7"/>
    <w:rsid w:val="004C25F2"/>
    <w:rsid w:val="004C25FB"/>
    <w:rsid w:val="004C2643"/>
    <w:rsid w:val="004C2731"/>
    <w:rsid w:val="004C275B"/>
    <w:rsid w:val="004C27B1"/>
    <w:rsid w:val="004C2968"/>
    <w:rsid w:val="004C29C6"/>
    <w:rsid w:val="004C29E5"/>
    <w:rsid w:val="004C2A13"/>
    <w:rsid w:val="004C2A22"/>
    <w:rsid w:val="004C2A9B"/>
    <w:rsid w:val="004C2ABD"/>
    <w:rsid w:val="004C2B16"/>
    <w:rsid w:val="004C2B7F"/>
    <w:rsid w:val="004C2B85"/>
    <w:rsid w:val="004C2C04"/>
    <w:rsid w:val="004C2CC8"/>
    <w:rsid w:val="004C2DF7"/>
    <w:rsid w:val="004C2E4B"/>
    <w:rsid w:val="004C2E52"/>
    <w:rsid w:val="004C2E80"/>
    <w:rsid w:val="004C2E86"/>
    <w:rsid w:val="004C2EF9"/>
    <w:rsid w:val="004C2F1E"/>
    <w:rsid w:val="004C2F31"/>
    <w:rsid w:val="004C2F5E"/>
    <w:rsid w:val="004C2FAB"/>
    <w:rsid w:val="004C2FAE"/>
    <w:rsid w:val="004C2FBC"/>
    <w:rsid w:val="004C2FBF"/>
    <w:rsid w:val="004C2FC2"/>
    <w:rsid w:val="004C300C"/>
    <w:rsid w:val="004C3084"/>
    <w:rsid w:val="004C30C0"/>
    <w:rsid w:val="004C30CE"/>
    <w:rsid w:val="004C30E8"/>
    <w:rsid w:val="004C312B"/>
    <w:rsid w:val="004C312C"/>
    <w:rsid w:val="004C315C"/>
    <w:rsid w:val="004C31AC"/>
    <w:rsid w:val="004C3211"/>
    <w:rsid w:val="004C323E"/>
    <w:rsid w:val="004C32C6"/>
    <w:rsid w:val="004C32E2"/>
    <w:rsid w:val="004C335C"/>
    <w:rsid w:val="004C335F"/>
    <w:rsid w:val="004C3363"/>
    <w:rsid w:val="004C3397"/>
    <w:rsid w:val="004C3413"/>
    <w:rsid w:val="004C3433"/>
    <w:rsid w:val="004C34AF"/>
    <w:rsid w:val="004C354A"/>
    <w:rsid w:val="004C358B"/>
    <w:rsid w:val="004C35FA"/>
    <w:rsid w:val="004C3614"/>
    <w:rsid w:val="004C3632"/>
    <w:rsid w:val="004C3650"/>
    <w:rsid w:val="004C3678"/>
    <w:rsid w:val="004C3689"/>
    <w:rsid w:val="004C372F"/>
    <w:rsid w:val="004C376E"/>
    <w:rsid w:val="004C37EE"/>
    <w:rsid w:val="004C382B"/>
    <w:rsid w:val="004C386B"/>
    <w:rsid w:val="004C3879"/>
    <w:rsid w:val="004C392A"/>
    <w:rsid w:val="004C3958"/>
    <w:rsid w:val="004C39BD"/>
    <w:rsid w:val="004C39CB"/>
    <w:rsid w:val="004C39FC"/>
    <w:rsid w:val="004C3A01"/>
    <w:rsid w:val="004C3ABD"/>
    <w:rsid w:val="004C3AEF"/>
    <w:rsid w:val="004C3B55"/>
    <w:rsid w:val="004C3BCB"/>
    <w:rsid w:val="004C3BF6"/>
    <w:rsid w:val="004C3C3F"/>
    <w:rsid w:val="004C3C4F"/>
    <w:rsid w:val="004C3C66"/>
    <w:rsid w:val="004C3CDB"/>
    <w:rsid w:val="004C3D0B"/>
    <w:rsid w:val="004C3D72"/>
    <w:rsid w:val="004C3E04"/>
    <w:rsid w:val="004C3E26"/>
    <w:rsid w:val="004C3E2B"/>
    <w:rsid w:val="004C3E96"/>
    <w:rsid w:val="004C3EB4"/>
    <w:rsid w:val="004C3ED8"/>
    <w:rsid w:val="004C3F8A"/>
    <w:rsid w:val="004C3FA4"/>
    <w:rsid w:val="004C4008"/>
    <w:rsid w:val="004C40A2"/>
    <w:rsid w:val="004C40AA"/>
    <w:rsid w:val="004C4109"/>
    <w:rsid w:val="004C4114"/>
    <w:rsid w:val="004C4190"/>
    <w:rsid w:val="004C41C6"/>
    <w:rsid w:val="004C41D8"/>
    <w:rsid w:val="004C41EB"/>
    <w:rsid w:val="004C41F7"/>
    <w:rsid w:val="004C41FC"/>
    <w:rsid w:val="004C41FE"/>
    <w:rsid w:val="004C430F"/>
    <w:rsid w:val="004C431D"/>
    <w:rsid w:val="004C438E"/>
    <w:rsid w:val="004C4395"/>
    <w:rsid w:val="004C43D1"/>
    <w:rsid w:val="004C4432"/>
    <w:rsid w:val="004C44D7"/>
    <w:rsid w:val="004C454C"/>
    <w:rsid w:val="004C454D"/>
    <w:rsid w:val="004C458B"/>
    <w:rsid w:val="004C4592"/>
    <w:rsid w:val="004C45B4"/>
    <w:rsid w:val="004C45FF"/>
    <w:rsid w:val="004C4615"/>
    <w:rsid w:val="004C4701"/>
    <w:rsid w:val="004C4742"/>
    <w:rsid w:val="004C4753"/>
    <w:rsid w:val="004C475C"/>
    <w:rsid w:val="004C47E6"/>
    <w:rsid w:val="004C4862"/>
    <w:rsid w:val="004C48A2"/>
    <w:rsid w:val="004C4915"/>
    <w:rsid w:val="004C4917"/>
    <w:rsid w:val="004C4918"/>
    <w:rsid w:val="004C4A08"/>
    <w:rsid w:val="004C4A4A"/>
    <w:rsid w:val="004C4A78"/>
    <w:rsid w:val="004C4A92"/>
    <w:rsid w:val="004C4AC9"/>
    <w:rsid w:val="004C4AE6"/>
    <w:rsid w:val="004C4B44"/>
    <w:rsid w:val="004C4BCC"/>
    <w:rsid w:val="004C4C15"/>
    <w:rsid w:val="004C4D30"/>
    <w:rsid w:val="004C4DD9"/>
    <w:rsid w:val="004C4DDA"/>
    <w:rsid w:val="004C4E4E"/>
    <w:rsid w:val="004C4E6C"/>
    <w:rsid w:val="004C4E97"/>
    <w:rsid w:val="004C4EAB"/>
    <w:rsid w:val="004C4EE0"/>
    <w:rsid w:val="004C4EFE"/>
    <w:rsid w:val="004C4F1B"/>
    <w:rsid w:val="004C4FFB"/>
    <w:rsid w:val="004C504F"/>
    <w:rsid w:val="004C50CD"/>
    <w:rsid w:val="004C5207"/>
    <w:rsid w:val="004C5267"/>
    <w:rsid w:val="004C52AB"/>
    <w:rsid w:val="004C53E2"/>
    <w:rsid w:val="004C53E4"/>
    <w:rsid w:val="004C53E8"/>
    <w:rsid w:val="004C53F9"/>
    <w:rsid w:val="004C5406"/>
    <w:rsid w:val="004C5408"/>
    <w:rsid w:val="004C540E"/>
    <w:rsid w:val="004C54A1"/>
    <w:rsid w:val="004C5591"/>
    <w:rsid w:val="004C5602"/>
    <w:rsid w:val="004C5638"/>
    <w:rsid w:val="004C5701"/>
    <w:rsid w:val="004C5705"/>
    <w:rsid w:val="004C5736"/>
    <w:rsid w:val="004C57C7"/>
    <w:rsid w:val="004C5864"/>
    <w:rsid w:val="004C586E"/>
    <w:rsid w:val="004C5881"/>
    <w:rsid w:val="004C59C8"/>
    <w:rsid w:val="004C5A8E"/>
    <w:rsid w:val="004C5A95"/>
    <w:rsid w:val="004C5A9E"/>
    <w:rsid w:val="004C5AD5"/>
    <w:rsid w:val="004C5B8B"/>
    <w:rsid w:val="004C5B96"/>
    <w:rsid w:val="004C5BE5"/>
    <w:rsid w:val="004C5C03"/>
    <w:rsid w:val="004C5C07"/>
    <w:rsid w:val="004C5D44"/>
    <w:rsid w:val="004C5D8F"/>
    <w:rsid w:val="004C5D9E"/>
    <w:rsid w:val="004C5DC0"/>
    <w:rsid w:val="004C5DDE"/>
    <w:rsid w:val="004C5DEB"/>
    <w:rsid w:val="004C5E03"/>
    <w:rsid w:val="004C5ED5"/>
    <w:rsid w:val="004C5F0B"/>
    <w:rsid w:val="004C5F96"/>
    <w:rsid w:val="004C5FB8"/>
    <w:rsid w:val="004C5FC8"/>
    <w:rsid w:val="004C5FF6"/>
    <w:rsid w:val="004C5FFC"/>
    <w:rsid w:val="004C600A"/>
    <w:rsid w:val="004C607F"/>
    <w:rsid w:val="004C6198"/>
    <w:rsid w:val="004C61C3"/>
    <w:rsid w:val="004C6251"/>
    <w:rsid w:val="004C6296"/>
    <w:rsid w:val="004C62B2"/>
    <w:rsid w:val="004C635D"/>
    <w:rsid w:val="004C6380"/>
    <w:rsid w:val="004C6499"/>
    <w:rsid w:val="004C64C1"/>
    <w:rsid w:val="004C64E4"/>
    <w:rsid w:val="004C64FA"/>
    <w:rsid w:val="004C65FA"/>
    <w:rsid w:val="004C6608"/>
    <w:rsid w:val="004C661F"/>
    <w:rsid w:val="004C664F"/>
    <w:rsid w:val="004C6663"/>
    <w:rsid w:val="004C6677"/>
    <w:rsid w:val="004C667D"/>
    <w:rsid w:val="004C66A2"/>
    <w:rsid w:val="004C67A7"/>
    <w:rsid w:val="004C6808"/>
    <w:rsid w:val="004C685B"/>
    <w:rsid w:val="004C6861"/>
    <w:rsid w:val="004C68A1"/>
    <w:rsid w:val="004C68D7"/>
    <w:rsid w:val="004C6931"/>
    <w:rsid w:val="004C6961"/>
    <w:rsid w:val="004C697F"/>
    <w:rsid w:val="004C69A2"/>
    <w:rsid w:val="004C6A0D"/>
    <w:rsid w:val="004C6A36"/>
    <w:rsid w:val="004C6A5B"/>
    <w:rsid w:val="004C6A89"/>
    <w:rsid w:val="004C6A90"/>
    <w:rsid w:val="004C6ABD"/>
    <w:rsid w:val="004C6B1D"/>
    <w:rsid w:val="004C6B84"/>
    <w:rsid w:val="004C6B9F"/>
    <w:rsid w:val="004C6BA6"/>
    <w:rsid w:val="004C6BB4"/>
    <w:rsid w:val="004C6C0A"/>
    <w:rsid w:val="004C6C5C"/>
    <w:rsid w:val="004C6D1C"/>
    <w:rsid w:val="004C6DA9"/>
    <w:rsid w:val="004C6DB2"/>
    <w:rsid w:val="004C6DB6"/>
    <w:rsid w:val="004C6DDB"/>
    <w:rsid w:val="004C6E3C"/>
    <w:rsid w:val="004C6EF4"/>
    <w:rsid w:val="004C6F28"/>
    <w:rsid w:val="004C6F30"/>
    <w:rsid w:val="004C6F93"/>
    <w:rsid w:val="004C6FB3"/>
    <w:rsid w:val="004C6FCB"/>
    <w:rsid w:val="004C7028"/>
    <w:rsid w:val="004C7055"/>
    <w:rsid w:val="004C709F"/>
    <w:rsid w:val="004C70A4"/>
    <w:rsid w:val="004C710E"/>
    <w:rsid w:val="004C711E"/>
    <w:rsid w:val="004C7210"/>
    <w:rsid w:val="004C725C"/>
    <w:rsid w:val="004C725D"/>
    <w:rsid w:val="004C7264"/>
    <w:rsid w:val="004C7296"/>
    <w:rsid w:val="004C72A0"/>
    <w:rsid w:val="004C7324"/>
    <w:rsid w:val="004C7337"/>
    <w:rsid w:val="004C734E"/>
    <w:rsid w:val="004C743C"/>
    <w:rsid w:val="004C756D"/>
    <w:rsid w:val="004C75B7"/>
    <w:rsid w:val="004C75E5"/>
    <w:rsid w:val="004C760C"/>
    <w:rsid w:val="004C763E"/>
    <w:rsid w:val="004C766F"/>
    <w:rsid w:val="004C76AC"/>
    <w:rsid w:val="004C76C5"/>
    <w:rsid w:val="004C76D7"/>
    <w:rsid w:val="004C76E2"/>
    <w:rsid w:val="004C7746"/>
    <w:rsid w:val="004C7859"/>
    <w:rsid w:val="004C7861"/>
    <w:rsid w:val="004C78BC"/>
    <w:rsid w:val="004C78C6"/>
    <w:rsid w:val="004C79CD"/>
    <w:rsid w:val="004C7A53"/>
    <w:rsid w:val="004C7A5D"/>
    <w:rsid w:val="004C7A9A"/>
    <w:rsid w:val="004C7AB2"/>
    <w:rsid w:val="004C7B00"/>
    <w:rsid w:val="004C7B06"/>
    <w:rsid w:val="004C7B2A"/>
    <w:rsid w:val="004C7BB0"/>
    <w:rsid w:val="004C7BF9"/>
    <w:rsid w:val="004C7C34"/>
    <w:rsid w:val="004C7C91"/>
    <w:rsid w:val="004C7D27"/>
    <w:rsid w:val="004C7D30"/>
    <w:rsid w:val="004C7DD5"/>
    <w:rsid w:val="004C7E35"/>
    <w:rsid w:val="004C7E8F"/>
    <w:rsid w:val="004C7EF1"/>
    <w:rsid w:val="004C7F05"/>
    <w:rsid w:val="004C7FBA"/>
    <w:rsid w:val="004C7FBE"/>
    <w:rsid w:val="004C7FCF"/>
    <w:rsid w:val="004D0034"/>
    <w:rsid w:val="004D0038"/>
    <w:rsid w:val="004D0043"/>
    <w:rsid w:val="004D0067"/>
    <w:rsid w:val="004D0093"/>
    <w:rsid w:val="004D00F3"/>
    <w:rsid w:val="004D0158"/>
    <w:rsid w:val="004D01BD"/>
    <w:rsid w:val="004D0215"/>
    <w:rsid w:val="004D026D"/>
    <w:rsid w:val="004D02A8"/>
    <w:rsid w:val="004D02E4"/>
    <w:rsid w:val="004D0310"/>
    <w:rsid w:val="004D032D"/>
    <w:rsid w:val="004D0343"/>
    <w:rsid w:val="004D036B"/>
    <w:rsid w:val="004D03CA"/>
    <w:rsid w:val="004D03F2"/>
    <w:rsid w:val="004D03FA"/>
    <w:rsid w:val="004D041F"/>
    <w:rsid w:val="004D042D"/>
    <w:rsid w:val="004D056E"/>
    <w:rsid w:val="004D05A7"/>
    <w:rsid w:val="004D05A8"/>
    <w:rsid w:val="004D06A2"/>
    <w:rsid w:val="004D06F0"/>
    <w:rsid w:val="004D0748"/>
    <w:rsid w:val="004D07D8"/>
    <w:rsid w:val="004D0821"/>
    <w:rsid w:val="004D087C"/>
    <w:rsid w:val="004D088D"/>
    <w:rsid w:val="004D08D2"/>
    <w:rsid w:val="004D090F"/>
    <w:rsid w:val="004D0912"/>
    <w:rsid w:val="004D0927"/>
    <w:rsid w:val="004D095F"/>
    <w:rsid w:val="004D0962"/>
    <w:rsid w:val="004D09B0"/>
    <w:rsid w:val="004D09B8"/>
    <w:rsid w:val="004D09C7"/>
    <w:rsid w:val="004D09CC"/>
    <w:rsid w:val="004D0A78"/>
    <w:rsid w:val="004D0AA3"/>
    <w:rsid w:val="004D0ABC"/>
    <w:rsid w:val="004D0AF6"/>
    <w:rsid w:val="004D0B0E"/>
    <w:rsid w:val="004D0B1D"/>
    <w:rsid w:val="004D0B2E"/>
    <w:rsid w:val="004D0B96"/>
    <w:rsid w:val="004D0BA3"/>
    <w:rsid w:val="004D0BFC"/>
    <w:rsid w:val="004D0C52"/>
    <w:rsid w:val="004D0C86"/>
    <w:rsid w:val="004D0CB2"/>
    <w:rsid w:val="004D0CF6"/>
    <w:rsid w:val="004D0D39"/>
    <w:rsid w:val="004D0D52"/>
    <w:rsid w:val="004D0EDC"/>
    <w:rsid w:val="004D0F6D"/>
    <w:rsid w:val="004D0FC0"/>
    <w:rsid w:val="004D0FC1"/>
    <w:rsid w:val="004D1043"/>
    <w:rsid w:val="004D106F"/>
    <w:rsid w:val="004D108C"/>
    <w:rsid w:val="004D10BE"/>
    <w:rsid w:val="004D10D8"/>
    <w:rsid w:val="004D10DA"/>
    <w:rsid w:val="004D11A8"/>
    <w:rsid w:val="004D11AB"/>
    <w:rsid w:val="004D11BD"/>
    <w:rsid w:val="004D11F8"/>
    <w:rsid w:val="004D1204"/>
    <w:rsid w:val="004D129D"/>
    <w:rsid w:val="004D12B0"/>
    <w:rsid w:val="004D12B4"/>
    <w:rsid w:val="004D12EB"/>
    <w:rsid w:val="004D12F0"/>
    <w:rsid w:val="004D130B"/>
    <w:rsid w:val="004D1371"/>
    <w:rsid w:val="004D14AB"/>
    <w:rsid w:val="004D14CC"/>
    <w:rsid w:val="004D14ED"/>
    <w:rsid w:val="004D150D"/>
    <w:rsid w:val="004D1543"/>
    <w:rsid w:val="004D1588"/>
    <w:rsid w:val="004D16D6"/>
    <w:rsid w:val="004D1727"/>
    <w:rsid w:val="004D1802"/>
    <w:rsid w:val="004D1804"/>
    <w:rsid w:val="004D1822"/>
    <w:rsid w:val="004D18B6"/>
    <w:rsid w:val="004D18C5"/>
    <w:rsid w:val="004D18D5"/>
    <w:rsid w:val="004D18DB"/>
    <w:rsid w:val="004D18DD"/>
    <w:rsid w:val="004D191B"/>
    <w:rsid w:val="004D1935"/>
    <w:rsid w:val="004D1A1F"/>
    <w:rsid w:val="004D1A42"/>
    <w:rsid w:val="004D1A6C"/>
    <w:rsid w:val="004D1A9E"/>
    <w:rsid w:val="004D1AA8"/>
    <w:rsid w:val="004D1AB7"/>
    <w:rsid w:val="004D1B30"/>
    <w:rsid w:val="004D1B41"/>
    <w:rsid w:val="004D1B83"/>
    <w:rsid w:val="004D1C10"/>
    <w:rsid w:val="004D1C30"/>
    <w:rsid w:val="004D1C4B"/>
    <w:rsid w:val="004D1C59"/>
    <w:rsid w:val="004D1C70"/>
    <w:rsid w:val="004D1C77"/>
    <w:rsid w:val="004D1C94"/>
    <w:rsid w:val="004D1DCC"/>
    <w:rsid w:val="004D1DD4"/>
    <w:rsid w:val="004D1DEE"/>
    <w:rsid w:val="004D1E1B"/>
    <w:rsid w:val="004D1E2F"/>
    <w:rsid w:val="004D1E5E"/>
    <w:rsid w:val="004D1E98"/>
    <w:rsid w:val="004D1FD7"/>
    <w:rsid w:val="004D1FDB"/>
    <w:rsid w:val="004D1FFA"/>
    <w:rsid w:val="004D202B"/>
    <w:rsid w:val="004D20D0"/>
    <w:rsid w:val="004D20D3"/>
    <w:rsid w:val="004D20E0"/>
    <w:rsid w:val="004D2236"/>
    <w:rsid w:val="004D2278"/>
    <w:rsid w:val="004D2280"/>
    <w:rsid w:val="004D247F"/>
    <w:rsid w:val="004D2483"/>
    <w:rsid w:val="004D24B9"/>
    <w:rsid w:val="004D24E0"/>
    <w:rsid w:val="004D24E1"/>
    <w:rsid w:val="004D2542"/>
    <w:rsid w:val="004D2572"/>
    <w:rsid w:val="004D25CD"/>
    <w:rsid w:val="004D263F"/>
    <w:rsid w:val="004D265B"/>
    <w:rsid w:val="004D26B1"/>
    <w:rsid w:val="004D2774"/>
    <w:rsid w:val="004D2776"/>
    <w:rsid w:val="004D277C"/>
    <w:rsid w:val="004D2798"/>
    <w:rsid w:val="004D27B4"/>
    <w:rsid w:val="004D2808"/>
    <w:rsid w:val="004D2814"/>
    <w:rsid w:val="004D2851"/>
    <w:rsid w:val="004D2852"/>
    <w:rsid w:val="004D2854"/>
    <w:rsid w:val="004D28EC"/>
    <w:rsid w:val="004D28EF"/>
    <w:rsid w:val="004D2917"/>
    <w:rsid w:val="004D292B"/>
    <w:rsid w:val="004D298F"/>
    <w:rsid w:val="004D29F0"/>
    <w:rsid w:val="004D2A25"/>
    <w:rsid w:val="004D2ACA"/>
    <w:rsid w:val="004D2AE8"/>
    <w:rsid w:val="004D2AEC"/>
    <w:rsid w:val="004D2B14"/>
    <w:rsid w:val="004D2B16"/>
    <w:rsid w:val="004D2B7D"/>
    <w:rsid w:val="004D2BCA"/>
    <w:rsid w:val="004D2C12"/>
    <w:rsid w:val="004D2C90"/>
    <w:rsid w:val="004D2CCB"/>
    <w:rsid w:val="004D2CFF"/>
    <w:rsid w:val="004D2D2D"/>
    <w:rsid w:val="004D2D60"/>
    <w:rsid w:val="004D2DF8"/>
    <w:rsid w:val="004D2E34"/>
    <w:rsid w:val="004D2E45"/>
    <w:rsid w:val="004D2E4A"/>
    <w:rsid w:val="004D2EBC"/>
    <w:rsid w:val="004D2EEF"/>
    <w:rsid w:val="004D2F1F"/>
    <w:rsid w:val="004D2F7C"/>
    <w:rsid w:val="004D2FAA"/>
    <w:rsid w:val="004D2FBE"/>
    <w:rsid w:val="004D3003"/>
    <w:rsid w:val="004D302D"/>
    <w:rsid w:val="004D30A0"/>
    <w:rsid w:val="004D317D"/>
    <w:rsid w:val="004D31C6"/>
    <w:rsid w:val="004D31FE"/>
    <w:rsid w:val="004D3249"/>
    <w:rsid w:val="004D3271"/>
    <w:rsid w:val="004D32C4"/>
    <w:rsid w:val="004D32C9"/>
    <w:rsid w:val="004D3335"/>
    <w:rsid w:val="004D334F"/>
    <w:rsid w:val="004D33BA"/>
    <w:rsid w:val="004D3406"/>
    <w:rsid w:val="004D3487"/>
    <w:rsid w:val="004D34F0"/>
    <w:rsid w:val="004D3528"/>
    <w:rsid w:val="004D3563"/>
    <w:rsid w:val="004D3589"/>
    <w:rsid w:val="004D3594"/>
    <w:rsid w:val="004D35B4"/>
    <w:rsid w:val="004D3600"/>
    <w:rsid w:val="004D3695"/>
    <w:rsid w:val="004D3706"/>
    <w:rsid w:val="004D3780"/>
    <w:rsid w:val="004D3837"/>
    <w:rsid w:val="004D3845"/>
    <w:rsid w:val="004D3993"/>
    <w:rsid w:val="004D39AC"/>
    <w:rsid w:val="004D39B6"/>
    <w:rsid w:val="004D39F5"/>
    <w:rsid w:val="004D3A03"/>
    <w:rsid w:val="004D3ABB"/>
    <w:rsid w:val="004D3ABF"/>
    <w:rsid w:val="004D3B05"/>
    <w:rsid w:val="004D3BD9"/>
    <w:rsid w:val="004D3C64"/>
    <w:rsid w:val="004D3C7F"/>
    <w:rsid w:val="004D3CD9"/>
    <w:rsid w:val="004D3CED"/>
    <w:rsid w:val="004D3CFA"/>
    <w:rsid w:val="004D3D75"/>
    <w:rsid w:val="004D3DE9"/>
    <w:rsid w:val="004D3EAF"/>
    <w:rsid w:val="004D3F86"/>
    <w:rsid w:val="004D3FAD"/>
    <w:rsid w:val="004D401B"/>
    <w:rsid w:val="004D409B"/>
    <w:rsid w:val="004D4125"/>
    <w:rsid w:val="004D4225"/>
    <w:rsid w:val="004D4294"/>
    <w:rsid w:val="004D42C0"/>
    <w:rsid w:val="004D4331"/>
    <w:rsid w:val="004D4343"/>
    <w:rsid w:val="004D438F"/>
    <w:rsid w:val="004D43AB"/>
    <w:rsid w:val="004D43FC"/>
    <w:rsid w:val="004D44A2"/>
    <w:rsid w:val="004D44E4"/>
    <w:rsid w:val="004D4503"/>
    <w:rsid w:val="004D4546"/>
    <w:rsid w:val="004D4589"/>
    <w:rsid w:val="004D45C4"/>
    <w:rsid w:val="004D460E"/>
    <w:rsid w:val="004D467A"/>
    <w:rsid w:val="004D46EF"/>
    <w:rsid w:val="004D46FE"/>
    <w:rsid w:val="004D47B3"/>
    <w:rsid w:val="004D485A"/>
    <w:rsid w:val="004D48FB"/>
    <w:rsid w:val="004D4918"/>
    <w:rsid w:val="004D491A"/>
    <w:rsid w:val="004D495E"/>
    <w:rsid w:val="004D4A7C"/>
    <w:rsid w:val="004D4A7F"/>
    <w:rsid w:val="004D4A81"/>
    <w:rsid w:val="004D4A9F"/>
    <w:rsid w:val="004D4B24"/>
    <w:rsid w:val="004D4C11"/>
    <w:rsid w:val="004D4C13"/>
    <w:rsid w:val="004D4C1C"/>
    <w:rsid w:val="004D4C2D"/>
    <w:rsid w:val="004D4C63"/>
    <w:rsid w:val="004D4CE1"/>
    <w:rsid w:val="004D4E3B"/>
    <w:rsid w:val="004D4EC4"/>
    <w:rsid w:val="004D4F00"/>
    <w:rsid w:val="004D4F77"/>
    <w:rsid w:val="004D4F81"/>
    <w:rsid w:val="004D5090"/>
    <w:rsid w:val="004D50F0"/>
    <w:rsid w:val="004D50F7"/>
    <w:rsid w:val="004D5119"/>
    <w:rsid w:val="004D5121"/>
    <w:rsid w:val="004D5168"/>
    <w:rsid w:val="004D51B5"/>
    <w:rsid w:val="004D52AC"/>
    <w:rsid w:val="004D5342"/>
    <w:rsid w:val="004D53DF"/>
    <w:rsid w:val="004D53E0"/>
    <w:rsid w:val="004D5405"/>
    <w:rsid w:val="004D5498"/>
    <w:rsid w:val="004D5569"/>
    <w:rsid w:val="004D5691"/>
    <w:rsid w:val="004D5707"/>
    <w:rsid w:val="004D5738"/>
    <w:rsid w:val="004D573C"/>
    <w:rsid w:val="004D580B"/>
    <w:rsid w:val="004D58B4"/>
    <w:rsid w:val="004D58BF"/>
    <w:rsid w:val="004D594B"/>
    <w:rsid w:val="004D59BB"/>
    <w:rsid w:val="004D5A4C"/>
    <w:rsid w:val="004D5A7A"/>
    <w:rsid w:val="004D5AC0"/>
    <w:rsid w:val="004D5B2F"/>
    <w:rsid w:val="004D5B53"/>
    <w:rsid w:val="004D5BA5"/>
    <w:rsid w:val="004D5CB9"/>
    <w:rsid w:val="004D5CCD"/>
    <w:rsid w:val="004D5CDF"/>
    <w:rsid w:val="004D5D1E"/>
    <w:rsid w:val="004D5D21"/>
    <w:rsid w:val="004D5D64"/>
    <w:rsid w:val="004D5D76"/>
    <w:rsid w:val="004D5D80"/>
    <w:rsid w:val="004D5D92"/>
    <w:rsid w:val="004D5DA5"/>
    <w:rsid w:val="004D5E63"/>
    <w:rsid w:val="004D5E76"/>
    <w:rsid w:val="004D5EE1"/>
    <w:rsid w:val="004D6062"/>
    <w:rsid w:val="004D60D6"/>
    <w:rsid w:val="004D60E4"/>
    <w:rsid w:val="004D6127"/>
    <w:rsid w:val="004D615A"/>
    <w:rsid w:val="004D6178"/>
    <w:rsid w:val="004D61A0"/>
    <w:rsid w:val="004D61BC"/>
    <w:rsid w:val="004D61BF"/>
    <w:rsid w:val="004D61E4"/>
    <w:rsid w:val="004D6218"/>
    <w:rsid w:val="004D6248"/>
    <w:rsid w:val="004D6270"/>
    <w:rsid w:val="004D628C"/>
    <w:rsid w:val="004D62F3"/>
    <w:rsid w:val="004D62FF"/>
    <w:rsid w:val="004D638C"/>
    <w:rsid w:val="004D63B9"/>
    <w:rsid w:val="004D63F2"/>
    <w:rsid w:val="004D6433"/>
    <w:rsid w:val="004D6441"/>
    <w:rsid w:val="004D6466"/>
    <w:rsid w:val="004D6493"/>
    <w:rsid w:val="004D64A9"/>
    <w:rsid w:val="004D650C"/>
    <w:rsid w:val="004D652D"/>
    <w:rsid w:val="004D653B"/>
    <w:rsid w:val="004D6593"/>
    <w:rsid w:val="004D65C6"/>
    <w:rsid w:val="004D66A3"/>
    <w:rsid w:val="004D66B2"/>
    <w:rsid w:val="004D66CB"/>
    <w:rsid w:val="004D67AA"/>
    <w:rsid w:val="004D67FB"/>
    <w:rsid w:val="004D681B"/>
    <w:rsid w:val="004D685D"/>
    <w:rsid w:val="004D68D4"/>
    <w:rsid w:val="004D6909"/>
    <w:rsid w:val="004D6988"/>
    <w:rsid w:val="004D6A03"/>
    <w:rsid w:val="004D6A30"/>
    <w:rsid w:val="004D6ACB"/>
    <w:rsid w:val="004D6BED"/>
    <w:rsid w:val="004D6BF1"/>
    <w:rsid w:val="004D6C04"/>
    <w:rsid w:val="004D6C33"/>
    <w:rsid w:val="004D6D25"/>
    <w:rsid w:val="004D6D3B"/>
    <w:rsid w:val="004D6D5F"/>
    <w:rsid w:val="004D6D80"/>
    <w:rsid w:val="004D6DD5"/>
    <w:rsid w:val="004D6E35"/>
    <w:rsid w:val="004D6E67"/>
    <w:rsid w:val="004D6E8F"/>
    <w:rsid w:val="004D6EA8"/>
    <w:rsid w:val="004D6EB1"/>
    <w:rsid w:val="004D6ED0"/>
    <w:rsid w:val="004D6EFF"/>
    <w:rsid w:val="004D6F24"/>
    <w:rsid w:val="004D6F6B"/>
    <w:rsid w:val="004D6F9E"/>
    <w:rsid w:val="004D6FA2"/>
    <w:rsid w:val="004D7035"/>
    <w:rsid w:val="004D7048"/>
    <w:rsid w:val="004D7184"/>
    <w:rsid w:val="004D721C"/>
    <w:rsid w:val="004D724E"/>
    <w:rsid w:val="004D726F"/>
    <w:rsid w:val="004D7299"/>
    <w:rsid w:val="004D72CA"/>
    <w:rsid w:val="004D72D5"/>
    <w:rsid w:val="004D734F"/>
    <w:rsid w:val="004D73A0"/>
    <w:rsid w:val="004D73A2"/>
    <w:rsid w:val="004D73D9"/>
    <w:rsid w:val="004D7412"/>
    <w:rsid w:val="004D742B"/>
    <w:rsid w:val="004D743C"/>
    <w:rsid w:val="004D7448"/>
    <w:rsid w:val="004D745C"/>
    <w:rsid w:val="004D746E"/>
    <w:rsid w:val="004D7486"/>
    <w:rsid w:val="004D74C1"/>
    <w:rsid w:val="004D74E9"/>
    <w:rsid w:val="004D7525"/>
    <w:rsid w:val="004D756A"/>
    <w:rsid w:val="004D7594"/>
    <w:rsid w:val="004D764E"/>
    <w:rsid w:val="004D7653"/>
    <w:rsid w:val="004D767D"/>
    <w:rsid w:val="004D769D"/>
    <w:rsid w:val="004D76A0"/>
    <w:rsid w:val="004D76DC"/>
    <w:rsid w:val="004D7712"/>
    <w:rsid w:val="004D771B"/>
    <w:rsid w:val="004D773A"/>
    <w:rsid w:val="004D784B"/>
    <w:rsid w:val="004D7862"/>
    <w:rsid w:val="004D787C"/>
    <w:rsid w:val="004D78C0"/>
    <w:rsid w:val="004D78C7"/>
    <w:rsid w:val="004D791C"/>
    <w:rsid w:val="004D79B3"/>
    <w:rsid w:val="004D79EC"/>
    <w:rsid w:val="004D7BB6"/>
    <w:rsid w:val="004D7BF3"/>
    <w:rsid w:val="004D7C33"/>
    <w:rsid w:val="004D7C5B"/>
    <w:rsid w:val="004D7CF4"/>
    <w:rsid w:val="004D7CFC"/>
    <w:rsid w:val="004D7D4F"/>
    <w:rsid w:val="004D7D57"/>
    <w:rsid w:val="004D7DE0"/>
    <w:rsid w:val="004D7E2E"/>
    <w:rsid w:val="004D7E5B"/>
    <w:rsid w:val="004D7E6C"/>
    <w:rsid w:val="004D7F23"/>
    <w:rsid w:val="004D7F5D"/>
    <w:rsid w:val="004D7FE4"/>
    <w:rsid w:val="004E000A"/>
    <w:rsid w:val="004E001F"/>
    <w:rsid w:val="004E003A"/>
    <w:rsid w:val="004E005E"/>
    <w:rsid w:val="004E008B"/>
    <w:rsid w:val="004E0124"/>
    <w:rsid w:val="004E0128"/>
    <w:rsid w:val="004E01D7"/>
    <w:rsid w:val="004E01F4"/>
    <w:rsid w:val="004E0212"/>
    <w:rsid w:val="004E024E"/>
    <w:rsid w:val="004E0286"/>
    <w:rsid w:val="004E02B8"/>
    <w:rsid w:val="004E0303"/>
    <w:rsid w:val="004E034E"/>
    <w:rsid w:val="004E0426"/>
    <w:rsid w:val="004E04C2"/>
    <w:rsid w:val="004E054F"/>
    <w:rsid w:val="004E05D5"/>
    <w:rsid w:val="004E06A7"/>
    <w:rsid w:val="004E076D"/>
    <w:rsid w:val="004E076E"/>
    <w:rsid w:val="004E0773"/>
    <w:rsid w:val="004E0794"/>
    <w:rsid w:val="004E079E"/>
    <w:rsid w:val="004E0812"/>
    <w:rsid w:val="004E0896"/>
    <w:rsid w:val="004E0930"/>
    <w:rsid w:val="004E093D"/>
    <w:rsid w:val="004E094B"/>
    <w:rsid w:val="004E098F"/>
    <w:rsid w:val="004E0A0B"/>
    <w:rsid w:val="004E0A11"/>
    <w:rsid w:val="004E0B16"/>
    <w:rsid w:val="004E0B36"/>
    <w:rsid w:val="004E0B3F"/>
    <w:rsid w:val="004E0B45"/>
    <w:rsid w:val="004E0BB1"/>
    <w:rsid w:val="004E0BBB"/>
    <w:rsid w:val="004E0C18"/>
    <w:rsid w:val="004E0D23"/>
    <w:rsid w:val="004E0D6B"/>
    <w:rsid w:val="004E0D70"/>
    <w:rsid w:val="004E0E48"/>
    <w:rsid w:val="004E0EBE"/>
    <w:rsid w:val="004E0F05"/>
    <w:rsid w:val="004E0F18"/>
    <w:rsid w:val="004E0F21"/>
    <w:rsid w:val="004E0F70"/>
    <w:rsid w:val="004E0F98"/>
    <w:rsid w:val="004E0F9B"/>
    <w:rsid w:val="004E0FCC"/>
    <w:rsid w:val="004E0FED"/>
    <w:rsid w:val="004E1021"/>
    <w:rsid w:val="004E1024"/>
    <w:rsid w:val="004E10F8"/>
    <w:rsid w:val="004E1157"/>
    <w:rsid w:val="004E1185"/>
    <w:rsid w:val="004E1194"/>
    <w:rsid w:val="004E119D"/>
    <w:rsid w:val="004E11AF"/>
    <w:rsid w:val="004E11B0"/>
    <w:rsid w:val="004E1255"/>
    <w:rsid w:val="004E1308"/>
    <w:rsid w:val="004E132D"/>
    <w:rsid w:val="004E1356"/>
    <w:rsid w:val="004E14A8"/>
    <w:rsid w:val="004E14C4"/>
    <w:rsid w:val="004E14ED"/>
    <w:rsid w:val="004E1526"/>
    <w:rsid w:val="004E1578"/>
    <w:rsid w:val="004E158D"/>
    <w:rsid w:val="004E15D5"/>
    <w:rsid w:val="004E1632"/>
    <w:rsid w:val="004E166F"/>
    <w:rsid w:val="004E168D"/>
    <w:rsid w:val="004E169B"/>
    <w:rsid w:val="004E16B6"/>
    <w:rsid w:val="004E1735"/>
    <w:rsid w:val="004E1786"/>
    <w:rsid w:val="004E17CF"/>
    <w:rsid w:val="004E188D"/>
    <w:rsid w:val="004E18CD"/>
    <w:rsid w:val="004E193E"/>
    <w:rsid w:val="004E1969"/>
    <w:rsid w:val="004E198B"/>
    <w:rsid w:val="004E1A79"/>
    <w:rsid w:val="004E1A7A"/>
    <w:rsid w:val="004E1A94"/>
    <w:rsid w:val="004E1AE6"/>
    <w:rsid w:val="004E1B10"/>
    <w:rsid w:val="004E1B13"/>
    <w:rsid w:val="004E1B21"/>
    <w:rsid w:val="004E1BB6"/>
    <w:rsid w:val="004E1BD7"/>
    <w:rsid w:val="004E1C2F"/>
    <w:rsid w:val="004E1C69"/>
    <w:rsid w:val="004E1C86"/>
    <w:rsid w:val="004E1D84"/>
    <w:rsid w:val="004E1D8F"/>
    <w:rsid w:val="004E1D9A"/>
    <w:rsid w:val="004E1DDC"/>
    <w:rsid w:val="004E1E03"/>
    <w:rsid w:val="004E1E22"/>
    <w:rsid w:val="004E1E87"/>
    <w:rsid w:val="004E1ECF"/>
    <w:rsid w:val="004E1F34"/>
    <w:rsid w:val="004E1F89"/>
    <w:rsid w:val="004E2022"/>
    <w:rsid w:val="004E20A5"/>
    <w:rsid w:val="004E20ED"/>
    <w:rsid w:val="004E2122"/>
    <w:rsid w:val="004E2123"/>
    <w:rsid w:val="004E21D3"/>
    <w:rsid w:val="004E220F"/>
    <w:rsid w:val="004E2245"/>
    <w:rsid w:val="004E2262"/>
    <w:rsid w:val="004E226E"/>
    <w:rsid w:val="004E2319"/>
    <w:rsid w:val="004E2384"/>
    <w:rsid w:val="004E23A5"/>
    <w:rsid w:val="004E23D2"/>
    <w:rsid w:val="004E2416"/>
    <w:rsid w:val="004E24EB"/>
    <w:rsid w:val="004E24F8"/>
    <w:rsid w:val="004E253B"/>
    <w:rsid w:val="004E2568"/>
    <w:rsid w:val="004E25D1"/>
    <w:rsid w:val="004E25D2"/>
    <w:rsid w:val="004E2626"/>
    <w:rsid w:val="004E2672"/>
    <w:rsid w:val="004E26B2"/>
    <w:rsid w:val="004E26B3"/>
    <w:rsid w:val="004E2741"/>
    <w:rsid w:val="004E274B"/>
    <w:rsid w:val="004E2776"/>
    <w:rsid w:val="004E279C"/>
    <w:rsid w:val="004E27B1"/>
    <w:rsid w:val="004E2857"/>
    <w:rsid w:val="004E2860"/>
    <w:rsid w:val="004E28A8"/>
    <w:rsid w:val="004E28AF"/>
    <w:rsid w:val="004E292F"/>
    <w:rsid w:val="004E29DA"/>
    <w:rsid w:val="004E2A28"/>
    <w:rsid w:val="004E2A45"/>
    <w:rsid w:val="004E2BB4"/>
    <w:rsid w:val="004E2BB8"/>
    <w:rsid w:val="004E2BCA"/>
    <w:rsid w:val="004E2C45"/>
    <w:rsid w:val="004E2C48"/>
    <w:rsid w:val="004E2CEE"/>
    <w:rsid w:val="004E2CF4"/>
    <w:rsid w:val="004E2D2E"/>
    <w:rsid w:val="004E2DCC"/>
    <w:rsid w:val="004E2E89"/>
    <w:rsid w:val="004E2E9B"/>
    <w:rsid w:val="004E2EA7"/>
    <w:rsid w:val="004E2ED8"/>
    <w:rsid w:val="004E2F0C"/>
    <w:rsid w:val="004E2F67"/>
    <w:rsid w:val="004E2F87"/>
    <w:rsid w:val="004E2FBE"/>
    <w:rsid w:val="004E3005"/>
    <w:rsid w:val="004E3008"/>
    <w:rsid w:val="004E3050"/>
    <w:rsid w:val="004E30E2"/>
    <w:rsid w:val="004E30E5"/>
    <w:rsid w:val="004E31EA"/>
    <w:rsid w:val="004E3228"/>
    <w:rsid w:val="004E325A"/>
    <w:rsid w:val="004E3263"/>
    <w:rsid w:val="004E328C"/>
    <w:rsid w:val="004E32B3"/>
    <w:rsid w:val="004E32CC"/>
    <w:rsid w:val="004E32E7"/>
    <w:rsid w:val="004E333E"/>
    <w:rsid w:val="004E3394"/>
    <w:rsid w:val="004E33E8"/>
    <w:rsid w:val="004E33FF"/>
    <w:rsid w:val="004E340D"/>
    <w:rsid w:val="004E3458"/>
    <w:rsid w:val="004E3522"/>
    <w:rsid w:val="004E354C"/>
    <w:rsid w:val="004E3626"/>
    <w:rsid w:val="004E362C"/>
    <w:rsid w:val="004E3661"/>
    <w:rsid w:val="004E3683"/>
    <w:rsid w:val="004E36D3"/>
    <w:rsid w:val="004E36FD"/>
    <w:rsid w:val="004E3808"/>
    <w:rsid w:val="004E381E"/>
    <w:rsid w:val="004E3862"/>
    <w:rsid w:val="004E3868"/>
    <w:rsid w:val="004E38BE"/>
    <w:rsid w:val="004E3956"/>
    <w:rsid w:val="004E39D4"/>
    <w:rsid w:val="004E39F0"/>
    <w:rsid w:val="004E3A3F"/>
    <w:rsid w:val="004E3A44"/>
    <w:rsid w:val="004E3A45"/>
    <w:rsid w:val="004E3A84"/>
    <w:rsid w:val="004E3B30"/>
    <w:rsid w:val="004E3BCA"/>
    <w:rsid w:val="004E3BDE"/>
    <w:rsid w:val="004E3BE2"/>
    <w:rsid w:val="004E3C57"/>
    <w:rsid w:val="004E3CA3"/>
    <w:rsid w:val="004E3CCE"/>
    <w:rsid w:val="004E3CDC"/>
    <w:rsid w:val="004E3D3F"/>
    <w:rsid w:val="004E3D46"/>
    <w:rsid w:val="004E3D88"/>
    <w:rsid w:val="004E3D8C"/>
    <w:rsid w:val="004E3DE9"/>
    <w:rsid w:val="004E3DF7"/>
    <w:rsid w:val="004E3E3E"/>
    <w:rsid w:val="004E3E94"/>
    <w:rsid w:val="004E3F15"/>
    <w:rsid w:val="004E3F27"/>
    <w:rsid w:val="004E3F7F"/>
    <w:rsid w:val="004E3F82"/>
    <w:rsid w:val="004E3FF3"/>
    <w:rsid w:val="004E40F4"/>
    <w:rsid w:val="004E411F"/>
    <w:rsid w:val="004E4146"/>
    <w:rsid w:val="004E41C9"/>
    <w:rsid w:val="004E4227"/>
    <w:rsid w:val="004E4230"/>
    <w:rsid w:val="004E4256"/>
    <w:rsid w:val="004E4289"/>
    <w:rsid w:val="004E4297"/>
    <w:rsid w:val="004E4309"/>
    <w:rsid w:val="004E4330"/>
    <w:rsid w:val="004E4337"/>
    <w:rsid w:val="004E4340"/>
    <w:rsid w:val="004E43BF"/>
    <w:rsid w:val="004E43F6"/>
    <w:rsid w:val="004E442B"/>
    <w:rsid w:val="004E4435"/>
    <w:rsid w:val="004E447D"/>
    <w:rsid w:val="004E4560"/>
    <w:rsid w:val="004E456A"/>
    <w:rsid w:val="004E45C0"/>
    <w:rsid w:val="004E46CF"/>
    <w:rsid w:val="004E4756"/>
    <w:rsid w:val="004E47D9"/>
    <w:rsid w:val="004E480D"/>
    <w:rsid w:val="004E4823"/>
    <w:rsid w:val="004E4831"/>
    <w:rsid w:val="004E484D"/>
    <w:rsid w:val="004E487D"/>
    <w:rsid w:val="004E48A3"/>
    <w:rsid w:val="004E48EF"/>
    <w:rsid w:val="004E4980"/>
    <w:rsid w:val="004E4998"/>
    <w:rsid w:val="004E49AC"/>
    <w:rsid w:val="004E49D8"/>
    <w:rsid w:val="004E4A80"/>
    <w:rsid w:val="004E4A9C"/>
    <w:rsid w:val="004E4AF8"/>
    <w:rsid w:val="004E4B0B"/>
    <w:rsid w:val="004E4B20"/>
    <w:rsid w:val="004E4B8D"/>
    <w:rsid w:val="004E4BCE"/>
    <w:rsid w:val="004E4BD5"/>
    <w:rsid w:val="004E4C14"/>
    <w:rsid w:val="004E4C17"/>
    <w:rsid w:val="004E4C92"/>
    <w:rsid w:val="004E4CB2"/>
    <w:rsid w:val="004E4DB2"/>
    <w:rsid w:val="004E4DE1"/>
    <w:rsid w:val="004E4E08"/>
    <w:rsid w:val="004E4EA5"/>
    <w:rsid w:val="004E4EB1"/>
    <w:rsid w:val="004E4EC7"/>
    <w:rsid w:val="004E4EEB"/>
    <w:rsid w:val="004E4F1B"/>
    <w:rsid w:val="004E4F53"/>
    <w:rsid w:val="004E4F56"/>
    <w:rsid w:val="004E4FFC"/>
    <w:rsid w:val="004E500A"/>
    <w:rsid w:val="004E5090"/>
    <w:rsid w:val="004E5099"/>
    <w:rsid w:val="004E5155"/>
    <w:rsid w:val="004E5186"/>
    <w:rsid w:val="004E5255"/>
    <w:rsid w:val="004E5260"/>
    <w:rsid w:val="004E5263"/>
    <w:rsid w:val="004E529C"/>
    <w:rsid w:val="004E52C9"/>
    <w:rsid w:val="004E52E3"/>
    <w:rsid w:val="004E5309"/>
    <w:rsid w:val="004E532D"/>
    <w:rsid w:val="004E5358"/>
    <w:rsid w:val="004E538C"/>
    <w:rsid w:val="004E5459"/>
    <w:rsid w:val="004E54E7"/>
    <w:rsid w:val="004E54F9"/>
    <w:rsid w:val="004E5500"/>
    <w:rsid w:val="004E5566"/>
    <w:rsid w:val="004E55AF"/>
    <w:rsid w:val="004E55FB"/>
    <w:rsid w:val="004E5603"/>
    <w:rsid w:val="004E5661"/>
    <w:rsid w:val="004E5662"/>
    <w:rsid w:val="004E568F"/>
    <w:rsid w:val="004E56C3"/>
    <w:rsid w:val="004E56C7"/>
    <w:rsid w:val="004E56CB"/>
    <w:rsid w:val="004E56CE"/>
    <w:rsid w:val="004E56E1"/>
    <w:rsid w:val="004E56E2"/>
    <w:rsid w:val="004E5887"/>
    <w:rsid w:val="004E588E"/>
    <w:rsid w:val="004E58C5"/>
    <w:rsid w:val="004E58C8"/>
    <w:rsid w:val="004E58DE"/>
    <w:rsid w:val="004E5950"/>
    <w:rsid w:val="004E59B8"/>
    <w:rsid w:val="004E59B9"/>
    <w:rsid w:val="004E5A0E"/>
    <w:rsid w:val="004E5A81"/>
    <w:rsid w:val="004E5AED"/>
    <w:rsid w:val="004E5B5B"/>
    <w:rsid w:val="004E5B7E"/>
    <w:rsid w:val="004E5B98"/>
    <w:rsid w:val="004E5BAD"/>
    <w:rsid w:val="004E5BAE"/>
    <w:rsid w:val="004E5BB4"/>
    <w:rsid w:val="004E5BD2"/>
    <w:rsid w:val="004E5BF4"/>
    <w:rsid w:val="004E5BFC"/>
    <w:rsid w:val="004E5C0D"/>
    <w:rsid w:val="004E5C4F"/>
    <w:rsid w:val="004E5C6C"/>
    <w:rsid w:val="004E5CD5"/>
    <w:rsid w:val="004E5D7F"/>
    <w:rsid w:val="004E5D87"/>
    <w:rsid w:val="004E5DFF"/>
    <w:rsid w:val="004E5E00"/>
    <w:rsid w:val="004E5E3A"/>
    <w:rsid w:val="004E5E5E"/>
    <w:rsid w:val="004E5EA7"/>
    <w:rsid w:val="004E5EEA"/>
    <w:rsid w:val="004E5EF1"/>
    <w:rsid w:val="004E5F09"/>
    <w:rsid w:val="004E5F40"/>
    <w:rsid w:val="004E5F45"/>
    <w:rsid w:val="004E5FC6"/>
    <w:rsid w:val="004E5FF4"/>
    <w:rsid w:val="004E5FFA"/>
    <w:rsid w:val="004E600B"/>
    <w:rsid w:val="004E6050"/>
    <w:rsid w:val="004E606E"/>
    <w:rsid w:val="004E60CD"/>
    <w:rsid w:val="004E60FB"/>
    <w:rsid w:val="004E6115"/>
    <w:rsid w:val="004E6177"/>
    <w:rsid w:val="004E6214"/>
    <w:rsid w:val="004E628B"/>
    <w:rsid w:val="004E62DF"/>
    <w:rsid w:val="004E6343"/>
    <w:rsid w:val="004E63FB"/>
    <w:rsid w:val="004E6429"/>
    <w:rsid w:val="004E6464"/>
    <w:rsid w:val="004E648A"/>
    <w:rsid w:val="004E64BF"/>
    <w:rsid w:val="004E64EE"/>
    <w:rsid w:val="004E653E"/>
    <w:rsid w:val="004E659C"/>
    <w:rsid w:val="004E65F6"/>
    <w:rsid w:val="004E6607"/>
    <w:rsid w:val="004E6654"/>
    <w:rsid w:val="004E669A"/>
    <w:rsid w:val="004E669E"/>
    <w:rsid w:val="004E66FC"/>
    <w:rsid w:val="004E674E"/>
    <w:rsid w:val="004E67D3"/>
    <w:rsid w:val="004E67E3"/>
    <w:rsid w:val="004E6885"/>
    <w:rsid w:val="004E68AF"/>
    <w:rsid w:val="004E69C7"/>
    <w:rsid w:val="004E69EA"/>
    <w:rsid w:val="004E6ABC"/>
    <w:rsid w:val="004E6ADC"/>
    <w:rsid w:val="004E6B16"/>
    <w:rsid w:val="004E6B3A"/>
    <w:rsid w:val="004E6B3B"/>
    <w:rsid w:val="004E6B81"/>
    <w:rsid w:val="004E6CBD"/>
    <w:rsid w:val="004E6CCA"/>
    <w:rsid w:val="004E6D01"/>
    <w:rsid w:val="004E6D45"/>
    <w:rsid w:val="004E6D4B"/>
    <w:rsid w:val="004E6D60"/>
    <w:rsid w:val="004E6D62"/>
    <w:rsid w:val="004E6DAE"/>
    <w:rsid w:val="004E6DE7"/>
    <w:rsid w:val="004E6E30"/>
    <w:rsid w:val="004E6E79"/>
    <w:rsid w:val="004E6ECB"/>
    <w:rsid w:val="004E6EE0"/>
    <w:rsid w:val="004E6F4E"/>
    <w:rsid w:val="004E6FD9"/>
    <w:rsid w:val="004E7077"/>
    <w:rsid w:val="004E7134"/>
    <w:rsid w:val="004E7138"/>
    <w:rsid w:val="004E71A8"/>
    <w:rsid w:val="004E71AB"/>
    <w:rsid w:val="004E71DD"/>
    <w:rsid w:val="004E7233"/>
    <w:rsid w:val="004E72C8"/>
    <w:rsid w:val="004E72CA"/>
    <w:rsid w:val="004E72FB"/>
    <w:rsid w:val="004E7317"/>
    <w:rsid w:val="004E7320"/>
    <w:rsid w:val="004E7367"/>
    <w:rsid w:val="004E7386"/>
    <w:rsid w:val="004E7452"/>
    <w:rsid w:val="004E749B"/>
    <w:rsid w:val="004E74A1"/>
    <w:rsid w:val="004E74F9"/>
    <w:rsid w:val="004E7628"/>
    <w:rsid w:val="004E7653"/>
    <w:rsid w:val="004E7661"/>
    <w:rsid w:val="004E7691"/>
    <w:rsid w:val="004E76ED"/>
    <w:rsid w:val="004E7706"/>
    <w:rsid w:val="004E7773"/>
    <w:rsid w:val="004E77F0"/>
    <w:rsid w:val="004E7809"/>
    <w:rsid w:val="004E7866"/>
    <w:rsid w:val="004E78C3"/>
    <w:rsid w:val="004E78F3"/>
    <w:rsid w:val="004E78F9"/>
    <w:rsid w:val="004E7931"/>
    <w:rsid w:val="004E79DD"/>
    <w:rsid w:val="004E7A53"/>
    <w:rsid w:val="004E7A92"/>
    <w:rsid w:val="004E7B9D"/>
    <w:rsid w:val="004E7BD2"/>
    <w:rsid w:val="004E7C5F"/>
    <w:rsid w:val="004E7C67"/>
    <w:rsid w:val="004E7CBA"/>
    <w:rsid w:val="004E7CD1"/>
    <w:rsid w:val="004E7CD7"/>
    <w:rsid w:val="004E7CF7"/>
    <w:rsid w:val="004E7D2F"/>
    <w:rsid w:val="004E7D9F"/>
    <w:rsid w:val="004E7E19"/>
    <w:rsid w:val="004E7E92"/>
    <w:rsid w:val="004E7FE9"/>
    <w:rsid w:val="004E7FFB"/>
    <w:rsid w:val="004F008F"/>
    <w:rsid w:val="004F009E"/>
    <w:rsid w:val="004F00D6"/>
    <w:rsid w:val="004F0128"/>
    <w:rsid w:val="004F015D"/>
    <w:rsid w:val="004F016B"/>
    <w:rsid w:val="004F01A6"/>
    <w:rsid w:val="004F0247"/>
    <w:rsid w:val="004F02B5"/>
    <w:rsid w:val="004F02CD"/>
    <w:rsid w:val="004F02E8"/>
    <w:rsid w:val="004F0338"/>
    <w:rsid w:val="004F0363"/>
    <w:rsid w:val="004F038F"/>
    <w:rsid w:val="004F0391"/>
    <w:rsid w:val="004F04C6"/>
    <w:rsid w:val="004F04E6"/>
    <w:rsid w:val="004F058B"/>
    <w:rsid w:val="004F061B"/>
    <w:rsid w:val="004F0649"/>
    <w:rsid w:val="004F065C"/>
    <w:rsid w:val="004F0680"/>
    <w:rsid w:val="004F06C1"/>
    <w:rsid w:val="004F073D"/>
    <w:rsid w:val="004F0763"/>
    <w:rsid w:val="004F078D"/>
    <w:rsid w:val="004F0813"/>
    <w:rsid w:val="004F081A"/>
    <w:rsid w:val="004F082F"/>
    <w:rsid w:val="004F085C"/>
    <w:rsid w:val="004F0971"/>
    <w:rsid w:val="004F09DB"/>
    <w:rsid w:val="004F0A12"/>
    <w:rsid w:val="004F0A2E"/>
    <w:rsid w:val="004F0A5E"/>
    <w:rsid w:val="004F0AED"/>
    <w:rsid w:val="004F0B25"/>
    <w:rsid w:val="004F0B60"/>
    <w:rsid w:val="004F0B62"/>
    <w:rsid w:val="004F0B6F"/>
    <w:rsid w:val="004F0BB9"/>
    <w:rsid w:val="004F0BD6"/>
    <w:rsid w:val="004F0BE4"/>
    <w:rsid w:val="004F0C61"/>
    <w:rsid w:val="004F0CAB"/>
    <w:rsid w:val="004F0CB2"/>
    <w:rsid w:val="004F0CE9"/>
    <w:rsid w:val="004F0D8E"/>
    <w:rsid w:val="004F0DAD"/>
    <w:rsid w:val="004F0E66"/>
    <w:rsid w:val="004F0E85"/>
    <w:rsid w:val="004F0EA7"/>
    <w:rsid w:val="004F0EFF"/>
    <w:rsid w:val="004F0F12"/>
    <w:rsid w:val="004F0F7A"/>
    <w:rsid w:val="004F0F9D"/>
    <w:rsid w:val="004F0FE5"/>
    <w:rsid w:val="004F0FF4"/>
    <w:rsid w:val="004F101C"/>
    <w:rsid w:val="004F1040"/>
    <w:rsid w:val="004F1048"/>
    <w:rsid w:val="004F1108"/>
    <w:rsid w:val="004F1177"/>
    <w:rsid w:val="004F11AE"/>
    <w:rsid w:val="004F11C8"/>
    <w:rsid w:val="004F1212"/>
    <w:rsid w:val="004F123F"/>
    <w:rsid w:val="004F125C"/>
    <w:rsid w:val="004F1291"/>
    <w:rsid w:val="004F12D4"/>
    <w:rsid w:val="004F1302"/>
    <w:rsid w:val="004F1348"/>
    <w:rsid w:val="004F13CA"/>
    <w:rsid w:val="004F13D0"/>
    <w:rsid w:val="004F155E"/>
    <w:rsid w:val="004F157B"/>
    <w:rsid w:val="004F1583"/>
    <w:rsid w:val="004F15CF"/>
    <w:rsid w:val="004F15F9"/>
    <w:rsid w:val="004F1646"/>
    <w:rsid w:val="004F1649"/>
    <w:rsid w:val="004F16B0"/>
    <w:rsid w:val="004F16D5"/>
    <w:rsid w:val="004F1711"/>
    <w:rsid w:val="004F171C"/>
    <w:rsid w:val="004F1749"/>
    <w:rsid w:val="004F179A"/>
    <w:rsid w:val="004F17BD"/>
    <w:rsid w:val="004F17BE"/>
    <w:rsid w:val="004F17DF"/>
    <w:rsid w:val="004F1859"/>
    <w:rsid w:val="004F18A3"/>
    <w:rsid w:val="004F18FA"/>
    <w:rsid w:val="004F1916"/>
    <w:rsid w:val="004F19C3"/>
    <w:rsid w:val="004F19DC"/>
    <w:rsid w:val="004F1AC7"/>
    <w:rsid w:val="004F1B26"/>
    <w:rsid w:val="004F1B30"/>
    <w:rsid w:val="004F1B46"/>
    <w:rsid w:val="004F1B85"/>
    <w:rsid w:val="004F1B8D"/>
    <w:rsid w:val="004F1BA6"/>
    <w:rsid w:val="004F1BAD"/>
    <w:rsid w:val="004F1BEB"/>
    <w:rsid w:val="004F1C7C"/>
    <w:rsid w:val="004F1CC2"/>
    <w:rsid w:val="004F1D0B"/>
    <w:rsid w:val="004F1D4A"/>
    <w:rsid w:val="004F1D72"/>
    <w:rsid w:val="004F1D8F"/>
    <w:rsid w:val="004F1DD7"/>
    <w:rsid w:val="004F1E7E"/>
    <w:rsid w:val="004F1EC5"/>
    <w:rsid w:val="004F1EF1"/>
    <w:rsid w:val="004F1F27"/>
    <w:rsid w:val="004F1F4F"/>
    <w:rsid w:val="004F20DF"/>
    <w:rsid w:val="004F2107"/>
    <w:rsid w:val="004F2110"/>
    <w:rsid w:val="004F2130"/>
    <w:rsid w:val="004F214C"/>
    <w:rsid w:val="004F2198"/>
    <w:rsid w:val="004F21DE"/>
    <w:rsid w:val="004F225B"/>
    <w:rsid w:val="004F227F"/>
    <w:rsid w:val="004F22CB"/>
    <w:rsid w:val="004F22E7"/>
    <w:rsid w:val="004F231A"/>
    <w:rsid w:val="004F235C"/>
    <w:rsid w:val="004F235E"/>
    <w:rsid w:val="004F23C9"/>
    <w:rsid w:val="004F23FE"/>
    <w:rsid w:val="004F2441"/>
    <w:rsid w:val="004F245C"/>
    <w:rsid w:val="004F24C8"/>
    <w:rsid w:val="004F2541"/>
    <w:rsid w:val="004F2557"/>
    <w:rsid w:val="004F26D0"/>
    <w:rsid w:val="004F26D5"/>
    <w:rsid w:val="004F2743"/>
    <w:rsid w:val="004F2750"/>
    <w:rsid w:val="004F2791"/>
    <w:rsid w:val="004F2829"/>
    <w:rsid w:val="004F2839"/>
    <w:rsid w:val="004F283E"/>
    <w:rsid w:val="004F289B"/>
    <w:rsid w:val="004F2907"/>
    <w:rsid w:val="004F290D"/>
    <w:rsid w:val="004F2943"/>
    <w:rsid w:val="004F2962"/>
    <w:rsid w:val="004F2BB8"/>
    <w:rsid w:val="004F2BCE"/>
    <w:rsid w:val="004F2C18"/>
    <w:rsid w:val="004F2CAD"/>
    <w:rsid w:val="004F2D25"/>
    <w:rsid w:val="004F2D63"/>
    <w:rsid w:val="004F2DD3"/>
    <w:rsid w:val="004F2DFB"/>
    <w:rsid w:val="004F2E28"/>
    <w:rsid w:val="004F2E29"/>
    <w:rsid w:val="004F2EBA"/>
    <w:rsid w:val="004F2EC3"/>
    <w:rsid w:val="004F2F2C"/>
    <w:rsid w:val="004F2F86"/>
    <w:rsid w:val="004F2FAC"/>
    <w:rsid w:val="004F2FF2"/>
    <w:rsid w:val="004F3002"/>
    <w:rsid w:val="004F30D2"/>
    <w:rsid w:val="004F31A3"/>
    <w:rsid w:val="004F31DE"/>
    <w:rsid w:val="004F3212"/>
    <w:rsid w:val="004F324D"/>
    <w:rsid w:val="004F3297"/>
    <w:rsid w:val="004F32B8"/>
    <w:rsid w:val="004F32CC"/>
    <w:rsid w:val="004F32CD"/>
    <w:rsid w:val="004F32D7"/>
    <w:rsid w:val="004F3324"/>
    <w:rsid w:val="004F339B"/>
    <w:rsid w:val="004F33D3"/>
    <w:rsid w:val="004F3496"/>
    <w:rsid w:val="004F34B0"/>
    <w:rsid w:val="004F34D5"/>
    <w:rsid w:val="004F356B"/>
    <w:rsid w:val="004F3593"/>
    <w:rsid w:val="004F360E"/>
    <w:rsid w:val="004F36F3"/>
    <w:rsid w:val="004F376C"/>
    <w:rsid w:val="004F3785"/>
    <w:rsid w:val="004F37A5"/>
    <w:rsid w:val="004F37B3"/>
    <w:rsid w:val="004F37FF"/>
    <w:rsid w:val="004F3836"/>
    <w:rsid w:val="004F3852"/>
    <w:rsid w:val="004F3883"/>
    <w:rsid w:val="004F3896"/>
    <w:rsid w:val="004F38B4"/>
    <w:rsid w:val="004F38F7"/>
    <w:rsid w:val="004F38FD"/>
    <w:rsid w:val="004F394B"/>
    <w:rsid w:val="004F396C"/>
    <w:rsid w:val="004F397F"/>
    <w:rsid w:val="004F398F"/>
    <w:rsid w:val="004F3A2D"/>
    <w:rsid w:val="004F3A57"/>
    <w:rsid w:val="004F3B1D"/>
    <w:rsid w:val="004F3B24"/>
    <w:rsid w:val="004F3B33"/>
    <w:rsid w:val="004F3B39"/>
    <w:rsid w:val="004F3B81"/>
    <w:rsid w:val="004F3B8C"/>
    <w:rsid w:val="004F3B8E"/>
    <w:rsid w:val="004F3BAA"/>
    <w:rsid w:val="004F3C11"/>
    <w:rsid w:val="004F3C1E"/>
    <w:rsid w:val="004F3C2B"/>
    <w:rsid w:val="004F3C49"/>
    <w:rsid w:val="004F3C87"/>
    <w:rsid w:val="004F3C9D"/>
    <w:rsid w:val="004F3CE8"/>
    <w:rsid w:val="004F3D01"/>
    <w:rsid w:val="004F3D21"/>
    <w:rsid w:val="004F3DE0"/>
    <w:rsid w:val="004F3E26"/>
    <w:rsid w:val="004F3E55"/>
    <w:rsid w:val="004F3E96"/>
    <w:rsid w:val="004F3EC0"/>
    <w:rsid w:val="004F3EFD"/>
    <w:rsid w:val="004F3F06"/>
    <w:rsid w:val="004F3F2D"/>
    <w:rsid w:val="004F3FC9"/>
    <w:rsid w:val="004F4169"/>
    <w:rsid w:val="004F426C"/>
    <w:rsid w:val="004F42EF"/>
    <w:rsid w:val="004F42FA"/>
    <w:rsid w:val="004F4310"/>
    <w:rsid w:val="004F4346"/>
    <w:rsid w:val="004F439B"/>
    <w:rsid w:val="004F43DD"/>
    <w:rsid w:val="004F4409"/>
    <w:rsid w:val="004F4487"/>
    <w:rsid w:val="004F44AE"/>
    <w:rsid w:val="004F44DE"/>
    <w:rsid w:val="004F4501"/>
    <w:rsid w:val="004F4552"/>
    <w:rsid w:val="004F4565"/>
    <w:rsid w:val="004F457E"/>
    <w:rsid w:val="004F4584"/>
    <w:rsid w:val="004F458C"/>
    <w:rsid w:val="004F4593"/>
    <w:rsid w:val="004F45B3"/>
    <w:rsid w:val="004F45D9"/>
    <w:rsid w:val="004F463A"/>
    <w:rsid w:val="004F46AB"/>
    <w:rsid w:val="004F46DD"/>
    <w:rsid w:val="004F475E"/>
    <w:rsid w:val="004F4762"/>
    <w:rsid w:val="004F47E0"/>
    <w:rsid w:val="004F480E"/>
    <w:rsid w:val="004F4817"/>
    <w:rsid w:val="004F484A"/>
    <w:rsid w:val="004F4867"/>
    <w:rsid w:val="004F4876"/>
    <w:rsid w:val="004F48EF"/>
    <w:rsid w:val="004F4914"/>
    <w:rsid w:val="004F4932"/>
    <w:rsid w:val="004F497C"/>
    <w:rsid w:val="004F4A7C"/>
    <w:rsid w:val="004F4A9C"/>
    <w:rsid w:val="004F4AD3"/>
    <w:rsid w:val="004F4B0A"/>
    <w:rsid w:val="004F4B9E"/>
    <w:rsid w:val="004F4C75"/>
    <w:rsid w:val="004F4C82"/>
    <w:rsid w:val="004F4C9C"/>
    <w:rsid w:val="004F4D0B"/>
    <w:rsid w:val="004F4D63"/>
    <w:rsid w:val="004F4E44"/>
    <w:rsid w:val="004F4EAC"/>
    <w:rsid w:val="004F4EC3"/>
    <w:rsid w:val="004F4EDA"/>
    <w:rsid w:val="004F4F36"/>
    <w:rsid w:val="004F4F76"/>
    <w:rsid w:val="004F4F7B"/>
    <w:rsid w:val="004F4FA5"/>
    <w:rsid w:val="004F4FB2"/>
    <w:rsid w:val="004F4FB5"/>
    <w:rsid w:val="004F4FD1"/>
    <w:rsid w:val="004F52F0"/>
    <w:rsid w:val="004F5342"/>
    <w:rsid w:val="004F5379"/>
    <w:rsid w:val="004F5398"/>
    <w:rsid w:val="004F53A5"/>
    <w:rsid w:val="004F544D"/>
    <w:rsid w:val="004F545D"/>
    <w:rsid w:val="004F5473"/>
    <w:rsid w:val="004F54BA"/>
    <w:rsid w:val="004F54E1"/>
    <w:rsid w:val="004F54F0"/>
    <w:rsid w:val="004F55D7"/>
    <w:rsid w:val="004F5658"/>
    <w:rsid w:val="004F56C2"/>
    <w:rsid w:val="004F57C0"/>
    <w:rsid w:val="004F57FC"/>
    <w:rsid w:val="004F5823"/>
    <w:rsid w:val="004F584D"/>
    <w:rsid w:val="004F5864"/>
    <w:rsid w:val="004F589E"/>
    <w:rsid w:val="004F58EA"/>
    <w:rsid w:val="004F58F5"/>
    <w:rsid w:val="004F58FB"/>
    <w:rsid w:val="004F5927"/>
    <w:rsid w:val="004F5937"/>
    <w:rsid w:val="004F5962"/>
    <w:rsid w:val="004F59A3"/>
    <w:rsid w:val="004F59B1"/>
    <w:rsid w:val="004F59B5"/>
    <w:rsid w:val="004F59EC"/>
    <w:rsid w:val="004F5A04"/>
    <w:rsid w:val="004F5AD9"/>
    <w:rsid w:val="004F5B11"/>
    <w:rsid w:val="004F5B46"/>
    <w:rsid w:val="004F5B64"/>
    <w:rsid w:val="004F5B6B"/>
    <w:rsid w:val="004F5BBF"/>
    <w:rsid w:val="004F5BDE"/>
    <w:rsid w:val="004F5BFD"/>
    <w:rsid w:val="004F5C15"/>
    <w:rsid w:val="004F5C34"/>
    <w:rsid w:val="004F5C4A"/>
    <w:rsid w:val="004F5C6C"/>
    <w:rsid w:val="004F5C9E"/>
    <w:rsid w:val="004F5D96"/>
    <w:rsid w:val="004F5DE9"/>
    <w:rsid w:val="004F5E26"/>
    <w:rsid w:val="004F5E73"/>
    <w:rsid w:val="004F5E9C"/>
    <w:rsid w:val="004F6004"/>
    <w:rsid w:val="004F607E"/>
    <w:rsid w:val="004F60C7"/>
    <w:rsid w:val="004F6127"/>
    <w:rsid w:val="004F613A"/>
    <w:rsid w:val="004F6143"/>
    <w:rsid w:val="004F614D"/>
    <w:rsid w:val="004F6182"/>
    <w:rsid w:val="004F6203"/>
    <w:rsid w:val="004F6275"/>
    <w:rsid w:val="004F6296"/>
    <w:rsid w:val="004F62B0"/>
    <w:rsid w:val="004F62CF"/>
    <w:rsid w:val="004F639B"/>
    <w:rsid w:val="004F63CF"/>
    <w:rsid w:val="004F645B"/>
    <w:rsid w:val="004F6585"/>
    <w:rsid w:val="004F65B7"/>
    <w:rsid w:val="004F6659"/>
    <w:rsid w:val="004F6677"/>
    <w:rsid w:val="004F66CC"/>
    <w:rsid w:val="004F66E9"/>
    <w:rsid w:val="004F672A"/>
    <w:rsid w:val="004F6748"/>
    <w:rsid w:val="004F67BF"/>
    <w:rsid w:val="004F67C0"/>
    <w:rsid w:val="004F67D0"/>
    <w:rsid w:val="004F67D5"/>
    <w:rsid w:val="004F6803"/>
    <w:rsid w:val="004F6812"/>
    <w:rsid w:val="004F68A7"/>
    <w:rsid w:val="004F68B2"/>
    <w:rsid w:val="004F68BB"/>
    <w:rsid w:val="004F68E1"/>
    <w:rsid w:val="004F6918"/>
    <w:rsid w:val="004F693E"/>
    <w:rsid w:val="004F6943"/>
    <w:rsid w:val="004F695B"/>
    <w:rsid w:val="004F6A12"/>
    <w:rsid w:val="004F6A36"/>
    <w:rsid w:val="004F6A53"/>
    <w:rsid w:val="004F6A5C"/>
    <w:rsid w:val="004F6A62"/>
    <w:rsid w:val="004F6A8E"/>
    <w:rsid w:val="004F6B14"/>
    <w:rsid w:val="004F6B28"/>
    <w:rsid w:val="004F6BAF"/>
    <w:rsid w:val="004F6BEA"/>
    <w:rsid w:val="004F6C67"/>
    <w:rsid w:val="004F6CB2"/>
    <w:rsid w:val="004F6CC5"/>
    <w:rsid w:val="004F6CF9"/>
    <w:rsid w:val="004F6CFD"/>
    <w:rsid w:val="004F6CFF"/>
    <w:rsid w:val="004F6DAB"/>
    <w:rsid w:val="004F6DB1"/>
    <w:rsid w:val="004F6EA0"/>
    <w:rsid w:val="004F6EB6"/>
    <w:rsid w:val="004F6EE5"/>
    <w:rsid w:val="004F6EEE"/>
    <w:rsid w:val="004F6EF2"/>
    <w:rsid w:val="004F6F1C"/>
    <w:rsid w:val="004F6F70"/>
    <w:rsid w:val="004F6F74"/>
    <w:rsid w:val="004F6FD5"/>
    <w:rsid w:val="004F7032"/>
    <w:rsid w:val="004F7041"/>
    <w:rsid w:val="004F70BA"/>
    <w:rsid w:val="004F70CB"/>
    <w:rsid w:val="004F711B"/>
    <w:rsid w:val="004F7199"/>
    <w:rsid w:val="004F719B"/>
    <w:rsid w:val="004F7224"/>
    <w:rsid w:val="004F7306"/>
    <w:rsid w:val="004F7344"/>
    <w:rsid w:val="004F736E"/>
    <w:rsid w:val="004F73F7"/>
    <w:rsid w:val="004F73F8"/>
    <w:rsid w:val="004F7452"/>
    <w:rsid w:val="004F7466"/>
    <w:rsid w:val="004F746A"/>
    <w:rsid w:val="004F747E"/>
    <w:rsid w:val="004F7489"/>
    <w:rsid w:val="004F74AC"/>
    <w:rsid w:val="004F7528"/>
    <w:rsid w:val="004F7535"/>
    <w:rsid w:val="004F7542"/>
    <w:rsid w:val="004F759E"/>
    <w:rsid w:val="004F75C8"/>
    <w:rsid w:val="004F75D3"/>
    <w:rsid w:val="004F7654"/>
    <w:rsid w:val="004F7698"/>
    <w:rsid w:val="004F76DB"/>
    <w:rsid w:val="004F76E0"/>
    <w:rsid w:val="004F7716"/>
    <w:rsid w:val="004F7721"/>
    <w:rsid w:val="004F7739"/>
    <w:rsid w:val="004F7743"/>
    <w:rsid w:val="004F77D1"/>
    <w:rsid w:val="004F77DF"/>
    <w:rsid w:val="004F77EA"/>
    <w:rsid w:val="004F7809"/>
    <w:rsid w:val="004F789A"/>
    <w:rsid w:val="004F78E3"/>
    <w:rsid w:val="004F794A"/>
    <w:rsid w:val="004F798D"/>
    <w:rsid w:val="004F79FD"/>
    <w:rsid w:val="004F7A6E"/>
    <w:rsid w:val="004F7A89"/>
    <w:rsid w:val="004F7A99"/>
    <w:rsid w:val="004F7B25"/>
    <w:rsid w:val="004F7B75"/>
    <w:rsid w:val="004F7BAC"/>
    <w:rsid w:val="004F7BB5"/>
    <w:rsid w:val="004F7BCE"/>
    <w:rsid w:val="004F7BE1"/>
    <w:rsid w:val="004F7BF6"/>
    <w:rsid w:val="004F7C03"/>
    <w:rsid w:val="004F7C78"/>
    <w:rsid w:val="004F7CA1"/>
    <w:rsid w:val="004F7DB6"/>
    <w:rsid w:val="004F7DD2"/>
    <w:rsid w:val="004F7ED3"/>
    <w:rsid w:val="004F7F2E"/>
    <w:rsid w:val="004F7FCD"/>
    <w:rsid w:val="004F7FF5"/>
    <w:rsid w:val="0050002F"/>
    <w:rsid w:val="00500052"/>
    <w:rsid w:val="0050016B"/>
    <w:rsid w:val="005001D3"/>
    <w:rsid w:val="005001F2"/>
    <w:rsid w:val="0050022A"/>
    <w:rsid w:val="0050028E"/>
    <w:rsid w:val="005002C1"/>
    <w:rsid w:val="00500402"/>
    <w:rsid w:val="00500427"/>
    <w:rsid w:val="00500438"/>
    <w:rsid w:val="00500440"/>
    <w:rsid w:val="00500466"/>
    <w:rsid w:val="00500487"/>
    <w:rsid w:val="005004A3"/>
    <w:rsid w:val="005004F2"/>
    <w:rsid w:val="00500552"/>
    <w:rsid w:val="0050055E"/>
    <w:rsid w:val="00500560"/>
    <w:rsid w:val="005005A8"/>
    <w:rsid w:val="005005D6"/>
    <w:rsid w:val="005005E9"/>
    <w:rsid w:val="00500607"/>
    <w:rsid w:val="0050060D"/>
    <w:rsid w:val="00500614"/>
    <w:rsid w:val="00500641"/>
    <w:rsid w:val="00500644"/>
    <w:rsid w:val="00500688"/>
    <w:rsid w:val="00500737"/>
    <w:rsid w:val="00500772"/>
    <w:rsid w:val="00500788"/>
    <w:rsid w:val="005007AE"/>
    <w:rsid w:val="005007B3"/>
    <w:rsid w:val="005007F9"/>
    <w:rsid w:val="0050081C"/>
    <w:rsid w:val="00500869"/>
    <w:rsid w:val="00500890"/>
    <w:rsid w:val="005008F5"/>
    <w:rsid w:val="00500964"/>
    <w:rsid w:val="00500974"/>
    <w:rsid w:val="00500A61"/>
    <w:rsid w:val="00500A79"/>
    <w:rsid w:val="00500A8B"/>
    <w:rsid w:val="00500B3E"/>
    <w:rsid w:val="00500B4C"/>
    <w:rsid w:val="00500B64"/>
    <w:rsid w:val="00500B73"/>
    <w:rsid w:val="00500CA6"/>
    <w:rsid w:val="00500CA7"/>
    <w:rsid w:val="00500CDD"/>
    <w:rsid w:val="00500D0B"/>
    <w:rsid w:val="00500E4A"/>
    <w:rsid w:val="00500E72"/>
    <w:rsid w:val="00500F01"/>
    <w:rsid w:val="00500F50"/>
    <w:rsid w:val="00500F68"/>
    <w:rsid w:val="00500F76"/>
    <w:rsid w:val="00500FC3"/>
    <w:rsid w:val="00500FCF"/>
    <w:rsid w:val="00500FF8"/>
    <w:rsid w:val="0050102F"/>
    <w:rsid w:val="0050105F"/>
    <w:rsid w:val="0050106B"/>
    <w:rsid w:val="0050106D"/>
    <w:rsid w:val="0050107F"/>
    <w:rsid w:val="005010CC"/>
    <w:rsid w:val="005010E8"/>
    <w:rsid w:val="005010E9"/>
    <w:rsid w:val="0050115E"/>
    <w:rsid w:val="0050119C"/>
    <w:rsid w:val="0050126D"/>
    <w:rsid w:val="005012A2"/>
    <w:rsid w:val="005012DD"/>
    <w:rsid w:val="00501314"/>
    <w:rsid w:val="005013CF"/>
    <w:rsid w:val="005013FB"/>
    <w:rsid w:val="0050140A"/>
    <w:rsid w:val="0050146C"/>
    <w:rsid w:val="0050147F"/>
    <w:rsid w:val="0050149A"/>
    <w:rsid w:val="00501581"/>
    <w:rsid w:val="005015E7"/>
    <w:rsid w:val="0050167E"/>
    <w:rsid w:val="005016A2"/>
    <w:rsid w:val="00501751"/>
    <w:rsid w:val="00501901"/>
    <w:rsid w:val="00501912"/>
    <w:rsid w:val="00501974"/>
    <w:rsid w:val="005019DD"/>
    <w:rsid w:val="00501A2D"/>
    <w:rsid w:val="00501A44"/>
    <w:rsid w:val="00501A78"/>
    <w:rsid w:val="00501A97"/>
    <w:rsid w:val="00501ABB"/>
    <w:rsid w:val="00501B6E"/>
    <w:rsid w:val="00501B84"/>
    <w:rsid w:val="00501BDB"/>
    <w:rsid w:val="00501C02"/>
    <w:rsid w:val="00501C05"/>
    <w:rsid w:val="00501C07"/>
    <w:rsid w:val="00501CA2"/>
    <w:rsid w:val="00501CA5"/>
    <w:rsid w:val="00501CB0"/>
    <w:rsid w:val="00501D0B"/>
    <w:rsid w:val="00501D6F"/>
    <w:rsid w:val="00501D95"/>
    <w:rsid w:val="00501DA2"/>
    <w:rsid w:val="00501DA4"/>
    <w:rsid w:val="00501E29"/>
    <w:rsid w:val="00501E73"/>
    <w:rsid w:val="00501F20"/>
    <w:rsid w:val="00501FFE"/>
    <w:rsid w:val="00501FFF"/>
    <w:rsid w:val="0050208B"/>
    <w:rsid w:val="005020E9"/>
    <w:rsid w:val="00502118"/>
    <w:rsid w:val="0050214C"/>
    <w:rsid w:val="00502199"/>
    <w:rsid w:val="005022E3"/>
    <w:rsid w:val="0050232B"/>
    <w:rsid w:val="00502385"/>
    <w:rsid w:val="005023A8"/>
    <w:rsid w:val="00502403"/>
    <w:rsid w:val="0050242A"/>
    <w:rsid w:val="0050246B"/>
    <w:rsid w:val="00502488"/>
    <w:rsid w:val="005024B5"/>
    <w:rsid w:val="005024EC"/>
    <w:rsid w:val="00502548"/>
    <w:rsid w:val="0050254A"/>
    <w:rsid w:val="005025AC"/>
    <w:rsid w:val="005025C1"/>
    <w:rsid w:val="005025E0"/>
    <w:rsid w:val="00502682"/>
    <w:rsid w:val="00502686"/>
    <w:rsid w:val="00502695"/>
    <w:rsid w:val="005026AB"/>
    <w:rsid w:val="005026B9"/>
    <w:rsid w:val="00502723"/>
    <w:rsid w:val="00502724"/>
    <w:rsid w:val="0050272C"/>
    <w:rsid w:val="00502743"/>
    <w:rsid w:val="00502767"/>
    <w:rsid w:val="005027A7"/>
    <w:rsid w:val="005027C9"/>
    <w:rsid w:val="005027EA"/>
    <w:rsid w:val="00502818"/>
    <w:rsid w:val="0050284F"/>
    <w:rsid w:val="00502878"/>
    <w:rsid w:val="005028AD"/>
    <w:rsid w:val="0050294E"/>
    <w:rsid w:val="0050294F"/>
    <w:rsid w:val="005029CF"/>
    <w:rsid w:val="00502A46"/>
    <w:rsid w:val="00502B4B"/>
    <w:rsid w:val="00502B92"/>
    <w:rsid w:val="00502BB8"/>
    <w:rsid w:val="00502D12"/>
    <w:rsid w:val="00502D20"/>
    <w:rsid w:val="00502D92"/>
    <w:rsid w:val="00502D97"/>
    <w:rsid w:val="00502DAB"/>
    <w:rsid w:val="00502DEB"/>
    <w:rsid w:val="00502E86"/>
    <w:rsid w:val="00502FC3"/>
    <w:rsid w:val="00502FD5"/>
    <w:rsid w:val="00502FF0"/>
    <w:rsid w:val="00503070"/>
    <w:rsid w:val="005030A7"/>
    <w:rsid w:val="005030D2"/>
    <w:rsid w:val="005030DA"/>
    <w:rsid w:val="00503124"/>
    <w:rsid w:val="00503147"/>
    <w:rsid w:val="0050319E"/>
    <w:rsid w:val="005031E4"/>
    <w:rsid w:val="0050320B"/>
    <w:rsid w:val="0050322C"/>
    <w:rsid w:val="00503236"/>
    <w:rsid w:val="00503255"/>
    <w:rsid w:val="005032D4"/>
    <w:rsid w:val="005032E3"/>
    <w:rsid w:val="00503309"/>
    <w:rsid w:val="00503312"/>
    <w:rsid w:val="00503317"/>
    <w:rsid w:val="0050338D"/>
    <w:rsid w:val="005033A3"/>
    <w:rsid w:val="005033B7"/>
    <w:rsid w:val="005033BE"/>
    <w:rsid w:val="005033D6"/>
    <w:rsid w:val="005033FF"/>
    <w:rsid w:val="0050342A"/>
    <w:rsid w:val="00503470"/>
    <w:rsid w:val="00503488"/>
    <w:rsid w:val="005034AA"/>
    <w:rsid w:val="00503500"/>
    <w:rsid w:val="00503566"/>
    <w:rsid w:val="005035AD"/>
    <w:rsid w:val="005035CF"/>
    <w:rsid w:val="005035D8"/>
    <w:rsid w:val="00503692"/>
    <w:rsid w:val="005036C4"/>
    <w:rsid w:val="00503752"/>
    <w:rsid w:val="00503774"/>
    <w:rsid w:val="005037CA"/>
    <w:rsid w:val="00503815"/>
    <w:rsid w:val="0050382D"/>
    <w:rsid w:val="005038B8"/>
    <w:rsid w:val="00503970"/>
    <w:rsid w:val="0050398A"/>
    <w:rsid w:val="00503A2E"/>
    <w:rsid w:val="00503A5B"/>
    <w:rsid w:val="00503A83"/>
    <w:rsid w:val="00503AFE"/>
    <w:rsid w:val="00503B3B"/>
    <w:rsid w:val="00503B43"/>
    <w:rsid w:val="00503BC5"/>
    <w:rsid w:val="00503C04"/>
    <w:rsid w:val="00503CB6"/>
    <w:rsid w:val="00503CBA"/>
    <w:rsid w:val="00503CFF"/>
    <w:rsid w:val="00503D5E"/>
    <w:rsid w:val="00503E7F"/>
    <w:rsid w:val="00503F06"/>
    <w:rsid w:val="00503F28"/>
    <w:rsid w:val="00503F4D"/>
    <w:rsid w:val="00503F54"/>
    <w:rsid w:val="00503FB9"/>
    <w:rsid w:val="00504077"/>
    <w:rsid w:val="005040C8"/>
    <w:rsid w:val="005040DB"/>
    <w:rsid w:val="00504175"/>
    <w:rsid w:val="005041ED"/>
    <w:rsid w:val="0050422A"/>
    <w:rsid w:val="0050423C"/>
    <w:rsid w:val="005042A1"/>
    <w:rsid w:val="005042A2"/>
    <w:rsid w:val="00504322"/>
    <w:rsid w:val="00504359"/>
    <w:rsid w:val="005043C6"/>
    <w:rsid w:val="0050441A"/>
    <w:rsid w:val="0050446F"/>
    <w:rsid w:val="00504489"/>
    <w:rsid w:val="005044EC"/>
    <w:rsid w:val="005044F3"/>
    <w:rsid w:val="005044FF"/>
    <w:rsid w:val="0050450E"/>
    <w:rsid w:val="00504541"/>
    <w:rsid w:val="00504547"/>
    <w:rsid w:val="0050454E"/>
    <w:rsid w:val="00504559"/>
    <w:rsid w:val="0050458A"/>
    <w:rsid w:val="005045A2"/>
    <w:rsid w:val="00504609"/>
    <w:rsid w:val="0050460C"/>
    <w:rsid w:val="00504621"/>
    <w:rsid w:val="00504672"/>
    <w:rsid w:val="00504688"/>
    <w:rsid w:val="0050472E"/>
    <w:rsid w:val="0050474C"/>
    <w:rsid w:val="005047CE"/>
    <w:rsid w:val="005047D2"/>
    <w:rsid w:val="005047F2"/>
    <w:rsid w:val="00504829"/>
    <w:rsid w:val="00504888"/>
    <w:rsid w:val="00504904"/>
    <w:rsid w:val="0050496F"/>
    <w:rsid w:val="0050497C"/>
    <w:rsid w:val="0050499B"/>
    <w:rsid w:val="00504A0A"/>
    <w:rsid w:val="00504A8C"/>
    <w:rsid w:val="00504B3F"/>
    <w:rsid w:val="00504B41"/>
    <w:rsid w:val="00504B5A"/>
    <w:rsid w:val="00504B77"/>
    <w:rsid w:val="00504BBC"/>
    <w:rsid w:val="00504C30"/>
    <w:rsid w:val="00504C81"/>
    <w:rsid w:val="00504CF0"/>
    <w:rsid w:val="00504D24"/>
    <w:rsid w:val="00504D2E"/>
    <w:rsid w:val="00504D71"/>
    <w:rsid w:val="00504F2B"/>
    <w:rsid w:val="00504F4B"/>
    <w:rsid w:val="00504F5D"/>
    <w:rsid w:val="00504F6D"/>
    <w:rsid w:val="00504F7E"/>
    <w:rsid w:val="00504FD2"/>
    <w:rsid w:val="00504FDE"/>
    <w:rsid w:val="00504FE2"/>
    <w:rsid w:val="00505089"/>
    <w:rsid w:val="00505091"/>
    <w:rsid w:val="005050DF"/>
    <w:rsid w:val="00505112"/>
    <w:rsid w:val="005051BF"/>
    <w:rsid w:val="0050521E"/>
    <w:rsid w:val="0050523E"/>
    <w:rsid w:val="00505242"/>
    <w:rsid w:val="00505260"/>
    <w:rsid w:val="005052DE"/>
    <w:rsid w:val="00505343"/>
    <w:rsid w:val="00505344"/>
    <w:rsid w:val="005053EA"/>
    <w:rsid w:val="005053F2"/>
    <w:rsid w:val="00505447"/>
    <w:rsid w:val="00505471"/>
    <w:rsid w:val="00505508"/>
    <w:rsid w:val="00505510"/>
    <w:rsid w:val="00505610"/>
    <w:rsid w:val="0050562E"/>
    <w:rsid w:val="00505654"/>
    <w:rsid w:val="0050569C"/>
    <w:rsid w:val="005056B0"/>
    <w:rsid w:val="00505710"/>
    <w:rsid w:val="00505719"/>
    <w:rsid w:val="0050571F"/>
    <w:rsid w:val="00505721"/>
    <w:rsid w:val="00505748"/>
    <w:rsid w:val="00505749"/>
    <w:rsid w:val="0050578B"/>
    <w:rsid w:val="005057FB"/>
    <w:rsid w:val="00505823"/>
    <w:rsid w:val="00505941"/>
    <w:rsid w:val="0050594A"/>
    <w:rsid w:val="0050597A"/>
    <w:rsid w:val="00505A0A"/>
    <w:rsid w:val="00505A1F"/>
    <w:rsid w:val="00505A4E"/>
    <w:rsid w:val="00505B01"/>
    <w:rsid w:val="00505B0D"/>
    <w:rsid w:val="00505B29"/>
    <w:rsid w:val="00505BC9"/>
    <w:rsid w:val="00505BE0"/>
    <w:rsid w:val="00505BEC"/>
    <w:rsid w:val="00505C41"/>
    <w:rsid w:val="00505CFE"/>
    <w:rsid w:val="00505E14"/>
    <w:rsid w:val="00505E61"/>
    <w:rsid w:val="00505E75"/>
    <w:rsid w:val="00505E7B"/>
    <w:rsid w:val="00505EF1"/>
    <w:rsid w:val="00505F41"/>
    <w:rsid w:val="00505F8E"/>
    <w:rsid w:val="00505FDA"/>
    <w:rsid w:val="00506012"/>
    <w:rsid w:val="00506083"/>
    <w:rsid w:val="005060F8"/>
    <w:rsid w:val="0050612B"/>
    <w:rsid w:val="005061CC"/>
    <w:rsid w:val="0050620D"/>
    <w:rsid w:val="00506219"/>
    <w:rsid w:val="005062D7"/>
    <w:rsid w:val="005062FA"/>
    <w:rsid w:val="0050633A"/>
    <w:rsid w:val="00506366"/>
    <w:rsid w:val="0050638D"/>
    <w:rsid w:val="005064B1"/>
    <w:rsid w:val="005064C3"/>
    <w:rsid w:val="005064EE"/>
    <w:rsid w:val="0050654E"/>
    <w:rsid w:val="00506574"/>
    <w:rsid w:val="005065A3"/>
    <w:rsid w:val="0050662D"/>
    <w:rsid w:val="00506673"/>
    <w:rsid w:val="00506690"/>
    <w:rsid w:val="005066FE"/>
    <w:rsid w:val="00506758"/>
    <w:rsid w:val="00506780"/>
    <w:rsid w:val="005067AC"/>
    <w:rsid w:val="0050681C"/>
    <w:rsid w:val="00506823"/>
    <w:rsid w:val="00506854"/>
    <w:rsid w:val="0050685D"/>
    <w:rsid w:val="00506868"/>
    <w:rsid w:val="0050688C"/>
    <w:rsid w:val="0050689E"/>
    <w:rsid w:val="005068C3"/>
    <w:rsid w:val="0050694E"/>
    <w:rsid w:val="00506982"/>
    <w:rsid w:val="005069CA"/>
    <w:rsid w:val="00506A13"/>
    <w:rsid w:val="00506A2E"/>
    <w:rsid w:val="00506A32"/>
    <w:rsid w:val="00506A43"/>
    <w:rsid w:val="00506A47"/>
    <w:rsid w:val="00506B74"/>
    <w:rsid w:val="00506C00"/>
    <w:rsid w:val="00506CCC"/>
    <w:rsid w:val="00506CF8"/>
    <w:rsid w:val="00506D0A"/>
    <w:rsid w:val="00506D46"/>
    <w:rsid w:val="00506D64"/>
    <w:rsid w:val="00506DE2"/>
    <w:rsid w:val="00506DE7"/>
    <w:rsid w:val="00506E00"/>
    <w:rsid w:val="00506E69"/>
    <w:rsid w:val="00506E8A"/>
    <w:rsid w:val="00506E94"/>
    <w:rsid w:val="00506EBF"/>
    <w:rsid w:val="00506EC9"/>
    <w:rsid w:val="00506ED3"/>
    <w:rsid w:val="00506F0C"/>
    <w:rsid w:val="00506F2F"/>
    <w:rsid w:val="00507016"/>
    <w:rsid w:val="00507070"/>
    <w:rsid w:val="00507124"/>
    <w:rsid w:val="00507139"/>
    <w:rsid w:val="005071F3"/>
    <w:rsid w:val="00507224"/>
    <w:rsid w:val="00507231"/>
    <w:rsid w:val="00507252"/>
    <w:rsid w:val="005072A7"/>
    <w:rsid w:val="005072AD"/>
    <w:rsid w:val="005073B9"/>
    <w:rsid w:val="00507477"/>
    <w:rsid w:val="0050748F"/>
    <w:rsid w:val="005074A1"/>
    <w:rsid w:val="005074AF"/>
    <w:rsid w:val="005074DA"/>
    <w:rsid w:val="005074FF"/>
    <w:rsid w:val="00507504"/>
    <w:rsid w:val="00507667"/>
    <w:rsid w:val="00507688"/>
    <w:rsid w:val="00507693"/>
    <w:rsid w:val="005076DA"/>
    <w:rsid w:val="005076F2"/>
    <w:rsid w:val="00507709"/>
    <w:rsid w:val="0050773F"/>
    <w:rsid w:val="00507791"/>
    <w:rsid w:val="0050781D"/>
    <w:rsid w:val="00507845"/>
    <w:rsid w:val="00507864"/>
    <w:rsid w:val="00507873"/>
    <w:rsid w:val="005078B0"/>
    <w:rsid w:val="005078C1"/>
    <w:rsid w:val="005078F8"/>
    <w:rsid w:val="005079D4"/>
    <w:rsid w:val="005079E7"/>
    <w:rsid w:val="005079F6"/>
    <w:rsid w:val="00507A24"/>
    <w:rsid w:val="00507A4D"/>
    <w:rsid w:val="00507A52"/>
    <w:rsid w:val="00507A5A"/>
    <w:rsid w:val="00507AAB"/>
    <w:rsid w:val="00507ADA"/>
    <w:rsid w:val="00507B1E"/>
    <w:rsid w:val="00507B23"/>
    <w:rsid w:val="00507D25"/>
    <w:rsid w:val="00507DAE"/>
    <w:rsid w:val="00507DBD"/>
    <w:rsid w:val="00507E30"/>
    <w:rsid w:val="00507E3B"/>
    <w:rsid w:val="00507E4A"/>
    <w:rsid w:val="00507E96"/>
    <w:rsid w:val="00507EA4"/>
    <w:rsid w:val="00507FC9"/>
    <w:rsid w:val="00510027"/>
    <w:rsid w:val="005100AC"/>
    <w:rsid w:val="005100AE"/>
    <w:rsid w:val="005100EB"/>
    <w:rsid w:val="005100F1"/>
    <w:rsid w:val="00510138"/>
    <w:rsid w:val="00510199"/>
    <w:rsid w:val="00510262"/>
    <w:rsid w:val="005102A1"/>
    <w:rsid w:val="005102A4"/>
    <w:rsid w:val="0051030C"/>
    <w:rsid w:val="00510357"/>
    <w:rsid w:val="005103DF"/>
    <w:rsid w:val="00510425"/>
    <w:rsid w:val="00510435"/>
    <w:rsid w:val="00510461"/>
    <w:rsid w:val="00510542"/>
    <w:rsid w:val="005105FA"/>
    <w:rsid w:val="0051061A"/>
    <w:rsid w:val="0051061F"/>
    <w:rsid w:val="00510672"/>
    <w:rsid w:val="005106DD"/>
    <w:rsid w:val="00510718"/>
    <w:rsid w:val="0051073A"/>
    <w:rsid w:val="00510842"/>
    <w:rsid w:val="005108A5"/>
    <w:rsid w:val="005108F5"/>
    <w:rsid w:val="00510926"/>
    <w:rsid w:val="0051092E"/>
    <w:rsid w:val="005109C8"/>
    <w:rsid w:val="00510A28"/>
    <w:rsid w:val="00510A46"/>
    <w:rsid w:val="00510A52"/>
    <w:rsid w:val="00510A58"/>
    <w:rsid w:val="00510A5C"/>
    <w:rsid w:val="00510AC7"/>
    <w:rsid w:val="00510AC8"/>
    <w:rsid w:val="00510ACF"/>
    <w:rsid w:val="00510AE0"/>
    <w:rsid w:val="00510AEA"/>
    <w:rsid w:val="00510AFD"/>
    <w:rsid w:val="00510B70"/>
    <w:rsid w:val="00510B9C"/>
    <w:rsid w:val="00510BC8"/>
    <w:rsid w:val="00510BF7"/>
    <w:rsid w:val="00510C4C"/>
    <w:rsid w:val="00510CB3"/>
    <w:rsid w:val="00510CE0"/>
    <w:rsid w:val="00510D55"/>
    <w:rsid w:val="00510DDC"/>
    <w:rsid w:val="00510DF1"/>
    <w:rsid w:val="00510E07"/>
    <w:rsid w:val="00510E71"/>
    <w:rsid w:val="00510E73"/>
    <w:rsid w:val="00510E8E"/>
    <w:rsid w:val="00510EBD"/>
    <w:rsid w:val="00510ED3"/>
    <w:rsid w:val="00510F81"/>
    <w:rsid w:val="00510FAF"/>
    <w:rsid w:val="00510FE6"/>
    <w:rsid w:val="00511020"/>
    <w:rsid w:val="00511055"/>
    <w:rsid w:val="0051105A"/>
    <w:rsid w:val="0051106C"/>
    <w:rsid w:val="005110CC"/>
    <w:rsid w:val="00511159"/>
    <w:rsid w:val="00511195"/>
    <w:rsid w:val="00511203"/>
    <w:rsid w:val="00511242"/>
    <w:rsid w:val="00511249"/>
    <w:rsid w:val="00511263"/>
    <w:rsid w:val="005112A1"/>
    <w:rsid w:val="00511300"/>
    <w:rsid w:val="00511316"/>
    <w:rsid w:val="00511327"/>
    <w:rsid w:val="00511349"/>
    <w:rsid w:val="00511358"/>
    <w:rsid w:val="0051138E"/>
    <w:rsid w:val="005113C9"/>
    <w:rsid w:val="00511462"/>
    <w:rsid w:val="005114C3"/>
    <w:rsid w:val="005114DD"/>
    <w:rsid w:val="00511534"/>
    <w:rsid w:val="0051158B"/>
    <w:rsid w:val="005115C3"/>
    <w:rsid w:val="00511614"/>
    <w:rsid w:val="00511676"/>
    <w:rsid w:val="0051167A"/>
    <w:rsid w:val="0051167B"/>
    <w:rsid w:val="005116F3"/>
    <w:rsid w:val="005116FB"/>
    <w:rsid w:val="0051174E"/>
    <w:rsid w:val="00511791"/>
    <w:rsid w:val="005117FC"/>
    <w:rsid w:val="00511837"/>
    <w:rsid w:val="00511865"/>
    <w:rsid w:val="00511888"/>
    <w:rsid w:val="00511901"/>
    <w:rsid w:val="00511A30"/>
    <w:rsid w:val="00511A5F"/>
    <w:rsid w:val="00511B08"/>
    <w:rsid w:val="00511B18"/>
    <w:rsid w:val="00511B65"/>
    <w:rsid w:val="00511B96"/>
    <w:rsid w:val="00511BD6"/>
    <w:rsid w:val="00511C0A"/>
    <w:rsid w:val="00511C18"/>
    <w:rsid w:val="00511C63"/>
    <w:rsid w:val="00511CF4"/>
    <w:rsid w:val="00511D38"/>
    <w:rsid w:val="00511D3A"/>
    <w:rsid w:val="00511D61"/>
    <w:rsid w:val="00511D67"/>
    <w:rsid w:val="00511E3A"/>
    <w:rsid w:val="00511E91"/>
    <w:rsid w:val="00511EB5"/>
    <w:rsid w:val="00511EBB"/>
    <w:rsid w:val="00511EC6"/>
    <w:rsid w:val="00511EED"/>
    <w:rsid w:val="00511F13"/>
    <w:rsid w:val="00511F2B"/>
    <w:rsid w:val="00511F48"/>
    <w:rsid w:val="00511F5B"/>
    <w:rsid w:val="00511F7E"/>
    <w:rsid w:val="00511F91"/>
    <w:rsid w:val="00511FC9"/>
    <w:rsid w:val="00511FF5"/>
    <w:rsid w:val="00512083"/>
    <w:rsid w:val="005120BA"/>
    <w:rsid w:val="00512153"/>
    <w:rsid w:val="005121AD"/>
    <w:rsid w:val="005121DA"/>
    <w:rsid w:val="00512235"/>
    <w:rsid w:val="00512241"/>
    <w:rsid w:val="0051226F"/>
    <w:rsid w:val="00512305"/>
    <w:rsid w:val="00512312"/>
    <w:rsid w:val="0051233C"/>
    <w:rsid w:val="005123B1"/>
    <w:rsid w:val="005123D0"/>
    <w:rsid w:val="0051258D"/>
    <w:rsid w:val="0051259D"/>
    <w:rsid w:val="005125B5"/>
    <w:rsid w:val="0051267B"/>
    <w:rsid w:val="00512694"/>
    <w:rsid w:val="005126C2"/>
    <w:rsid w:val="00512710"/>
    <w:rsid w:val="00512727"/>
    <w:rsid w:val="0051272B"/>
    <w:rsid w:val="0051279A"/>
    <w:rsid w:val="00512807"/>
    <w:rsid w:val="0051287E"/>
    <w:rsid w:val="00512902"/>
    <w:rsid w:val="0051296E"/>
    <w:rsid w:val="00512981"/>
    <w:rsid w:val="005129A2"/>
    <w:rsid w:val="00512A47"/>
    <w:rsid w:val="00512AB3"/>
    <w:rsid w:val="00512B37"/>
    <w:rsid w:val="00512B55"/>
    <w:rsid w:val="00512D72"/>
    <w:rsid w:val="00512D91"/>
    <w:rsid w:val="00512D9C"/>
    <w:rsid w:val="00512DB9"/>
    <w:rsid w:val="00512E7C"/>
    <w:rsid w:val="00512ED4"/>
    <w:rsid w:val="00512FDD"/>
    <w:rsid w:val="00513059"/>
    <w:rsid w:val="00513085"/>
    <w:rsid w:val="005130A2"/>
    <w:rsid w:val="005130DB"/>
    <w:rsid w:val="005130E6"/>
    <w:rsid w:val="005130EA"/>
    <w:rsid w:val="00513157"/>
    <w:rsid w:val="0051315A"/>
    <w:rsid w:val="0051317D"/>
    <w:rsid w:val="005131C1"/>
    <w:rsid w:val="005131E1"/>
    <w:rsid w:val="005131F5"/>
    <w:rsid w:val="0051323A"/>
    <w:rsid w:val="00513245"/>
    <w:rsid w:val="00513252"/>
    <w:rsid w:val="00513298"/>
    <w:rsid w:val="0051330F"/>
    <w:rsid w:val="0051332B"/>
    <w:rsid w:val="0051336C"/>
    <w:rsid w:val="005133D6"/>
    <w:rsid w:val="00513418"/>
    <w:rsid w:val="0051357E"/>
    <w:rsid w:val="005135FF"/>
    <w:rsid w:val="0051360B"/>
    <w:rsid w:val="0051362F"/>
    <w:rsid w:val="0051363A"/>
    <w:rsid w:val="0051364F"/>
    <w:rsid w:val="005136E6"/>
    <w:rsid w:val="00513758"/>
    <w:rsid w:val="0051377E"/>
    <w:rsid w:val="005137BB"/>
    <w:rsid w:val="005137F8"/>
    <w:rsid w:val="00513804"/>
    <w:rsid w:val="0051382B"/>
    <w:rsid w:val="0051382C"/>
    <w:rsid w:val="00513902"/>
    <w:rsid w:val="0051395B"/>
    <w:rsid w:val="005139D3"/>
    <w:rsid w:val="00513AD3"/>
    <w:rsid w:val="00513B7E"/>
    <w:rsid w:val="00513BAA"/>
    <w:rsid w:val="00513BB5"/>
    <w:rsid w:val="00513C18"/>
    <w:rsid w:val="00513C37"/>
    <w:rsid w:val="00513CC1"/>
    <w:rsid w:val="00513CE5"/>
    <w:rsid w:val="00513CFC"/>
    <w:rsid w:val="00513DF7"/>
    <w:rsid w:val="00513E38"/>
    <w:rsid w:val="00513E45"/>
    <w:rsid w:val="00513E9D"/>
    <w:rsid w:val="00513ECE"/>
    <w:rsid w:val="00513ED7"/>
    <w:rsid w:val="00513F01"/>
    <w:rsid w:val="00513F36"/>
    <w:rsid w:val="00513F8A"/>
    <w:rsid w:val="00513FCB"/>
    <w:rsid w:val="00514023"/>
    <w:rsid w:val="005140B0"/>
    <w:rsid w:val="005140C4"/>
    <w:rsid w:val="005140FB"/>
    <w:rsid w:val="0051411C"/>
    <w:rsid w:val="00514132"/>
    <w:rsid w:val="005141EC"/>
    <w:rsid w:val="005142DE"/>
    <w:rsid w:val="0051439E"/>
    <w:rsid w:val="005143AE"/>
    <w:rsid w:val="005143E0"/>
    <w:rsid w:val="005143E3"/>
    <w:rsid w:val="0051446F"/>
    <w:rsid w:val="005144F6"/>
    <w:rsid w:val="0051453D"/>
    <w:rsid w:val="0051456A"/>
    <w:rsid w:val="005145B6"/>
    <w:rsid w:val="00514640"/>
    <w:rsid w:val="00514703"/>
    <w:rsid w:val="00514747"/>
    <w:rsid w:val="005148E7"/>
    <w:rsid w:val="005149A1"/>
    <w:rsid w:val="005149BD"/>
    <w:rsid w:val="00514A78"/>
    <w:rsid w:val="00514A86"/>
    <w:rsid w:val="00514AF2"/>
    <w:rsid w:val="00514BE5"/>
    <w:rsid w:val="00514BEC"/>
    <w:rsid w:val="00514CAC"/>
    <w:rsid w:val="00514CE4"/>
    <w:rsid w:val="00514CE6"/>
    <w:rsid w:val="00514CEA"/>
    <w:rsid w:val="00514D10"/>
    <w:rsid w:val="00514D3B"/>
    <w:rsid w:val="00514D76"/>
    <w:rsid w:val="00514D7D"/>
    <w:rsid w:val="00514DAA"/>
    <w:rsid w:val="00514DCA"/>
    <w:rsid w:val="00514DED"/>
    <w:rsid w:val="00514E29"/>
    <w:rsid w:val="00514E4B"/>
    <w:rsid w:val="00514E66"/>
    <w:rsid w:val="00514ED1"/>
    <w:rsid w:val="00514ED7"/>
    <w:rsid w:val="00514F6F"/>
    <w:rsid w:val="00514F98"/>
    <w:rsid w:val="00514FB1"/>
    <w:rsid w:val="00514FC9"/>
    <w:rsid w:val="00514FCC"/>
    <w:rsid w:val="00515005"/>
    <w:rsid w:val="00515060"/>
    <w:rsid w:val="00515090"/>
    <w:rsid w:val="005150AF"/>
    <w:rsid w:val="005150F6"/>
    <w:rsid w:val="0051510F"/>
    <w:rsid w:val="00515168"/>
    <w:rsid w:val="005151A0"/>
    <w:rsid w:val="005151CA"/>
    <w:rsid w:val="005151F4"/>
    <w:rsid w:val="0051523D"/>
    <w:rsid w:val="0051526A"/>
    <w:rsid w:val="005152A9"/>
    <w:rsid w:val="005152B4"/>
    <w:rsid w:val="005152C4"/>
    <w:rsid w:val="005152C5"/>
    <w:rsid w:val="00515316"/>
    <w:rsid w:val="005153B3"/>
    <w:rsid w:val="005155E7"/>
    <w:rsid w:val="00515605"/>
    <w:rsid w:val="00515689"/>
    <w:rsid w:val="0051575C"/>
    <w:rsid w:val="0051575F"/>
    <w:rsid w:val="00515811"/>
    <w:rsid w:val="00515881"/>
    <w:rsid w:val="00515891"/>
    <w:rsid w:val="005158D2"/>
    <w:rsid w:val="005158E7"/>
    <w:rsid w:val="00515910"/>
    <w:rsid w:val="00515943"/>
    <w:rsid w:val="00515A41"/>
    <w:rsid w:val="00515AC2"/>
    <w:rsid w:val="00515B19"/>
    <w:rsid w:val="00515B37"/>
    <w:rsid w:val="00515BAD"/>
    <w:rsid w:val="00515BD8"/>
    <w:rsid w:val="00515BE4"/>
    <w:rsid w:val="00515C7C"/>
    <w:rsid w:val="00515CB2"/>
    <w:rsid w:val="00515CFA"/>
    <w:rsid w:val="00515DB0"/>
    <w:rsid w:val="00515DBB"/>
    <w:rsid w:val="00515DC5"/>
    <w:rsid w:val="00515F16"/>
    <w:rsid w:val="00515FC7"/>
    <w:rsid w:val="0051603F"/>
    <w:rsid w:val="0051606B"/>
    <w:rsid w:val="00516071"/>
    <w:rsid w:val="005161B7"/>
    <w:rsid w:val="005161EC"/>
    <w:rsid w:val="005161F0"/>
    <w:rsid w:val="00516210"/>
    <w:rsid w:val="00516249"/>
    <w:rsid w:val="005162DE"/>
    <w:rsid w:val="00516314"/>
    <w:rsid w:val="00516329"/>
    <w:rsid w:val="00516343"/>
    <w:rsid w:val="00516397"/>
    <w:rsid w:val="005163B1"/>
    <w:rsid w:val="00516500"/>
    <w:rsid w:val="00516529"/>
    <w:rsid w:val="005165A5"/>
    <w:rsid w:val="005165E0"/>
    <w:rsid w:val="005165E1"/>
    <w:rsid w:val="005165EA"/>
    <w:rsid w:val="00516613"/>
    <w:rsid w:val="0051661D"/>
    <w:rsid w:val="005166BF"/>
    <w:rsid w:val="005166CA"/>
    <w:rsid w:val="005166F6"/>
    <w:rsid w:val="0051670A"/>
    <w:rsid w:val="00516746"/>
    <w:rsid w:val="00516779"/>
    <w:rsid w:val="00516795"/>
    <w:rsid w:val="005167FC"/>
    <w:rsid w:val="0051685A"/>
    <w:rsid w:val="0051686A"/>
    <w:rsid w:val="005168A8"/>
    <w:rsid w:val="005168F9"/>
    <w:rsid w:val="00516901"/>
    <w:rsid w:val="0051691B"/>
    <w:rsid w:val="005169A4"/>
    <w:rsid w:val="005169D5"/>
    <w:rsid w:val="005169E0"/>
    <w:rsid w:val="005169F7"/>
    <w:rsid w:val="00516A15"/>
    <w:rsid w:val="00516A51"/>
    <w:rsid w:val="00516A68"/>
    <w:rsid w:val="00516AA9"/>
    <w:rsid w:val="00516ACD"/>
    <w:rsid w:val="00516B6F"/>
    <w:rsid w:val="00516B97"/>
    <w:rsid w:val="00516BA1"/>
    <w:rsid w:val="00516BAA"/>
    <w:rsid w:val="00516BC2"/>
    <w:rsid w:val="00516BED"/>
    <w:rsid w:val="00516BF9"/>
    <w:rsid w:val="00516C31"/>
    <w:rsid w:val="00516CBC"/>
    <w:rsid w:val="00516D01"/>
    <w:rsid w:val="00516D9A"/>
    <w:rsid w:val="00516DBB"/>
    <w:rsid w:val="00516E7B"/>
    <w:rsid w:val="00516F5B"/>
    <w:rsid w:val="00516F8F"/>
    <w:rsid w:val="00516FE8"/>
    <w:rsid w:val="00516FEB"/>
    <w:rsid w:val="0051704D"/>
    <w:rsid w:val="00517054"/>
    <w:rsid w:val="0051706C"/>
    <w:rsid w:val="0051713A"/>
    <w:rsid w:val="005172C8"/>
    <w:rsid w:val="005172CF"/>
    <w:rsid w:val="00517304"/>
    <w:rsid w:val="0051731A"/>
    <w:rsid w:val="00517357"/>
    <w:rsid w:val="00517418"/>
    <w:rsid w:val="005174D3"/>
    <w:rsid w:val="00517538"/>
    <w:rsid w:val="005175B5"/>
    <w:rsid w:val="005176A2"/>
    <w:rsid w:val="0051771A"/>
    <w:rsid w:val="0051771D"/>
    <w:rsid w:val="00517796"/>
    <w:rsid w:val="005177D3"/>
    <w:rsid w:val="005177ED"/>
    <w:rsid w:val="0051787E"/>
    <w:rsid w:val="005178E1"/>
    <w:rsid w:val="00517941"/>
    <w:rsid w:val="005179A1"/>
    <w:rsid w:val="005179E1"/>
    <w:rsid w:val="00517A11"/>
    <w:rsid w:val="00517A39"/>
    <w:rsid w:val="00517A3E"/>
    <w:rsid w:val="00517A63"/>
    <w:rsid w:val="00517A6F"/>
    <w:rsid w:val="00517BAA"/>
    <w:rsid w:val="00517C1A"/>
    <w:rsid w:val="00517C75"/>
    <w:rsid w:val="00517DC8"/>
    <w:rsid w:val="00517E0B"/>
    <w:rsid w:val="00517E96"/>
    <w:rsid w:val="00517EE2"/>
    <w:rsid w:val="00517F13"/>
    <w:rsid w:val="00517F94"/>
    <w:rsid w:val="00520062"/>
    <w:rsid w:val="00520069"/>
    <w:rsid w:val="005200BB"/>
    <w:rsid w:val="005200E5"/>
    <w:rsid w:val="00520101"/>
    <w:rsid w:val="00520102"/>
    <w:rsid w:val="005201D2"/>
    <w:rsid w:val="00520213"/>
    <w:rsid w:val="0052021D"/>
    <w:rsid w:val="00520299"/>
    <w:rsid w:val="005202C4"/>
    <w:rsid w:val="005202CD"/>
    <w:rsid w:val="005202CF"/>
    <w:rsid w:val="005202F7"/>
    <w:rsid w:val="0052036F"/>
    <w:rsid w:val="00520382"/>
    <w:rsid w:val="005203B8"/>
    <w:rsid w:val="005203FD"/>
    <w:rsid w:val="00520402"/>
    <w:rsid w:val="0052044B"/>
    <w:rsid w:val="00520472"/>
    <w:rsid w:val="005204A4"/>
    <w:rsid w:val="005204CD"/>
    <w:rsid w:val="005204D6"/>
    <w:rsid w:val="00520511"/>
    <w:rsid w:val="0052051C"/>
    <w:rsid w:val="0052054D"/>
    <w:rsid w:val="005205A4"/>
    <w:rsid w:val="005205B6"/>
    <w:rsid w:val="005205F5"/>
    <w:rsid w:val="005205FA"/>
    <w:rsid w:val="0052063A"/>
    <w:rsid w:val="005206AE"/>
    <w:rsid w:val="005206B5"/>
    <w:rsid w:val="0052072C"/>
    <w:rsid w:val="00520746"/>
    <w:rsid w:val="00520765"/>
    <w:rsid w:val="005207E7"/>
    <w:rsid w:val="00520810"/>
    <w:rsid w:val="00520826"/>
    <w:rsid w:val="00520900"/>
    <w:rsid w:val="00520945"/>
    <w:rsid w:val="0052098B"/>
    <w:rsid w:val="005209FE"/>
    <w:rsid w:val="00520A06"/>
    <w:rsid w:val="00520A6C"/>
    <w:rsid w:val="00520A79"/>
    <w:rsid w:val="00520AAD"/>
    <w:rsid w:val="00520AD8"/>
    <w:rsid w:val="00520B70"/>
    <w:rsid w:val="00520B88"/>
    <w:rsid w:val="00520B9A"/>
    <w:rsid w:val="00520BBE"/>
    <w:rsid w:val="00520BEF"/>
    <w:rsid w:val="00520BF8"/>
    <w:rsid w:val="00520C23"/>
    <w:rsid w:val="00520C50"/>
    <w:rsid w:val="00520C88"/>
    <w:rsid w:val="00520CC7"/>
    <w:rsid w:val="00520CE2"/>
    <w:rsid w:val="00520D76"/>
    <w:rsid w:val="00520DC9"/>
    <w:rsid w:val="00520DD1"/>
    <w:rsid w:val="00520DEA"/>
    <w:rsid w:val="00520E15"/>
    <w:rsid w:val="00520E2E"/>
    <w:rsid w:val="00520E9A"/>
    <w:rsid w:val="00520EF0"/>
    <w:rsid w:val="00520F2C"/>
    <w:rsid w:val="00520F75"/>
    <w:rsid w:val="00520F82"/>
    <w:rsid w:val="00520FCA"/>
    <w:rsid w:val="0052102D"/>
    <w:rsid w:val="0052107E"/>
    <w:rsid w:val="00521081"/>
    <w:rsid w:val="005210BD"/>
    <w:rsid w:val="00521133"/>
    <w:rsid w:val="00521167"/>
    <w:rsid w:val="0052116E"/>
    <w:rsid w:val="005211AB"/>
    <w:rsid w:val="005211CE"/>
    <w:rsid w:val="0052121C"/>
    <w:rsid w:val="0052122E"/>
    <w:rsid w:val="0052128A"/>
    <w:rsid w:val="005212A3"/>
    <w:rsid w:val="00521352"/>
    <w:rsid w:val="00521360"/>
    <w:rsid w:val="005213FE"/>
    <w:rsid w:val="005214AD"/>
    <w:rsid w:val="005214C5"/>
    <w:rsid w:val="00521606"/>
    <w:rsid w:val="00521641"/>
    <w:rsid w:val="00521699"/>
    <w:rsid w:val="005216D9"/>
    <w:rsid w:val="005216E9"/>
    <w:rsid w:val="005216ED"/>
    <w:rsid w:val="005216F2"/>
    <w:rsid w:val="00521723"/>
    <w:rsid w:val="0052173E"/>
    <w:rsid w:val="005217BD"/>
    <w:rsid w:val="005217FB"/>
    <w:rsid w:val="00521800"/>
    <w:rsid w:val="00521880"/>
    <w:rsid w:val="005218C8"/>
    <w:rsid w:val="00521909"/>
    <w:rsid w:val="00521974"/>
    <w:rsid w:val="005219E9"/>
    <w:rsid w:val="00521AD0"/>
    <w:rsid w:val="00521B41"/>
    <w:rsid w:val="00521B9F"/>
    <w:rsid w:val="00521C09"/>
    <w:rsid w:val="00521C53"/>
    <w:rsid w:val="00521C5F"/>
    <w:rsid w:val="00521C69"/>
    <w:rsid w:val="00521C8A"/>
    <w:rsid w:val="00521C92"/>
    <w:rsid w:val="00521CE5"/>
    <w:rsid w:val="00521D13"/>
    <w:rsid w:val="00521D33"/>
    <w:rsid w:val="00521D3E"/>
    <w:rsid w:val="00521D86"/>
    <w:rsid w:val="00521DCF"/>
    <w:rsid w:val="00521E28"/>
    <w:rsid w:val="00521E39"/>
    <w:rsid w:val="00521E63"/>
    <w:rsid w:val="00521E71"/>
    <w:rsid w:val="00521ED0"/>
    <w:rsid w:val="00521F12"/>
    <w:rsid w:val="00521FAD"/>
    <w:rsid w:val="00521FDE"/>
    <w:rsid w:val="0052202D"/>
    <w:rsid w:val="00522052"/>
    <w:rsid w:val="0052208F"/>
    <w:rsid w:val="005220AE"/>
    <w:rsid w:val="00522135"/>
    <w:rsid w:val="005221C3"/>
    <w:rsid w:val="005221FB"/>
    <w:rsid w:val="00522227"/>
    <w:rsid w:val="00522277"/>
    <w:rsid w:val="00522296"/>
    <w:rsid w:val="005222D3"/>
    <w:rsid w:val="0052232B"/>
    <w:rsid w:val="00522360"/>
    <w:rsid w:val="00522377"/>
    <w:rsid w:val="00522393"/>
    <w:rsid w:val="005223B0"/>
    <w:rsid w:val="005223E6"/>
    <w:rsid w:val="00522441"/>
    <w:rsid w:val="00522483"/>
    <w:rsid w:val="005224BE"/>
    <w:rsid w:val="005224D0"/>
    <w:rsid w:val="005224E4"/>
    <w:rsid w:val="00522506"/>
    <w:rsid w:val="005225D3"/>
    <w:rsid w:val="00522627"/>
    <w:rsid w:val="00522642"/>
    <w:rsid w:val="0052267F"/>
    <w:rsid w:val="005226F6"/>
    <w:rsid w:val="0052278C"/>
    <w:rsid w:val="00522810"/>
    <w:rsid w:val="005228A0"/>
    <w:rsid w:val="005228D0"/>
    <w:rsid w:val="0052293B"/>
    <w:rsid w:val="0052297C"/>
    <w:rsid w:val="00522994"/>
    <w:rsid w:val="005229B8"/>
    <w:rsid w:val="005229CC"/>
    <w:rsid w:val="005229E0"/>
    <w:rsid w:val="005229FA"/>
    <w:rsid w:val="00522A4B"/>
    <w:rsid w:val="00522A9E"/>
    <w:rsid w:val="00522B1E"/>
    <w:rsid w:val="00522B3E"/>
    <w:rsid w:val="00522B50"/>
    <w:rsid w:val="00522B5F"/>
    <w:rsid w:val="00522B7B"/>
    <w:rsid w:val="00522C1D"/>
    <w:rsid w:val="00522C2A"/>
    <w:rsid w:val="00522D54"/>
    <w:rsid w:val="00522D76"/>
    <w:rsid w:val="00522DC1"/>
    <w:rsid w:val="00522E1A"/>
    <w:rsid w:val="00522E4A"/>
    <w:rsid w:val="00522E53"/>
    <w:rsid w:val="00522EC2"/>
    <w:rsid w:val="00522EEE"/>
    <w:rsid w:val="00522EF3"/>
    <w:rsid w:val="00522F57"/>
    <w:rsid w:val="00522F5A"/>
    <w:rsid w:val="00522F90"/>
    <w:rsid w:val="00523047"/>
    <w:rsid w:val="0052304A"/>
    <w:rsid w:val="00523102"/>
    <w:rsid w:val="00523108"/>
    <w:rsid w:val="00523111"/>
    <w:rsid w:val="00523132"/>
    <w:rsid w:val="00523136"/>
    <w:rsid w:val="0052313C"/>
    <w:rsid w:val="005231F7"/>
    <w:rsid w:val="005231FF"/>
    <w:rsid w:val="00523391"/>
    <w:rsid w:val="005234A5"/>
    <w:rsid w:val="005234BF"/>
    <w:rsid w:val="00523504"/>
    <w:rsid w:val="00523513"/>
    <w:rsid w:val="0052354F"/>
    <w:rsid w:val="00523557"/>
    <w:rsid w:val="005235AD"/>
    <w:rsid w:val="00523601"/>
    <w:rsid w:val="0052362D"/>
    <w:rsid w:val="005236CE"/>
    <w:rsid w:val="005236E4"/>
    <w:rsid w:val="00523711"/>
    <w:rsid w:val="0052376A"/>
    <w:rsid w:val="005237FA"/>
    <w:rsid w:val="005238A3"/>
    <w:rsid w:val="005238A8"/>
    <w:rsid w:val="0052392E"/>
    <w:rsid w:val="005239A2"/>
    <w:rsid w:val="005239FB"/>
    <w:rsid w:val="00523A22"/>
    <w:rsid w:val="00523A40"/>
    <w:rsid w:val="00523B37"/>
    <w:rsid w:val="00523B7A"/>
    <w:rsid w:val="00523BE9"/>
    <w:rsid w:val="00523BF1"/>
    <w:rsid w:val="00523C02"/>
    <w:rsid w:val="00523C55"/>
    <w:rsid w:val="00523C62"/>
    <w:rsid w:val="00523C70"/>
    <w:rsid w:val="00523CB5"/>
    <w:rsid w:val="00523CBA"/>
    <w:rsid w:val="00523D04"/>
    <w:rsid w:val="00523D07"/>
    <w:rsid w:val="00523D67"/>
    <w:rsid w:val="00523DED"/>
    <w:rsid w:val="00523E34"/>
    <w:rsid w:val="00523E3B"/>
    <w:rsid w:val="00523EA7"/>
    <w:rsid w:val="00523EA9"/>
    <w:rsid w:val="00523EC7"/>
    <w:rsid w:val="00523ECC"/>
    <w:rsid w:val="00523ED4"/>
    <w:rsid w:val="00523F13"/>
    <w:rsid w:val="00523FA1"/>
    <w:rsid w:val="00523FCE"/>
    <w:rsid w:val="00523FEB"/>
    <w:rsid w:val="00523FED"/>
    <w:rsid w:val="00524015"/>
    <w:rsid w:val="00524038"/>
    <w:rsid w:val="0052403E"/>
    <w:rsid w:val="0052404D"/>
    <w:rsid w:val="00524058"/>
    <w:rsid w:val="00524073"/>
    <w:rsid w:val="00524089"/>
    <w:rsid w:val="0052408E"/>
    <w:rsid w:val="00524093"/>
    <w:rsid w:val="00524145"/>
    <w:rsid w:val="005241AD"/>
    <w:rsid w:val="005241B3"/>
    <w:rsid w:val="005241B6"/>
    <w:rsid w:val="005241F6"/>
    <w:rsid w:val="00524219"/>
    <w:rsid w:val="0052423C"/>
    <w:rsid w:val="00524251"/>
    <w:rsid w:val="005242D5"/>
    <w:rsid w:val="0052430E"/>
    <w:rsid w:val="00524379"/>
    <w:rsid w:val="0052440B"/>
    <w:rsid w:val="0052442C"/>
    <w:rsid w:val="005244A5"/>
    <w:rsid w:val="005244CF"/>
    <w:rsid w:val="005244FF"/>
    <w:rsid w:val="00524544"/>
    <w:rsid w:val="00524585"/>
    <w:rsid w:val="0052465A"/>
    <w:rsid w:val="0052470C"/>
    <w:rsid w:val="00524731"/>
    <w:rsid w:val="00524746"/>
    <w:rsid w:val="005247F8"/>
    <w:rsid w:val="00524805"/>
    <w:rsid w:val="00524841"/>
    <w:rsid w:val="00524856"/>
    <w:rsid w:val="005248EB"/>
    <w:rsid w:val="00524923"/>
    <w:rsid w:val="00524978"/>
    <w:rsid w:val="005249AA"/>
    <w:rsid w:val="005249DE"/>
    <w:rsid w:val="00524A18"/>
    <w:rsid w:val="00524AD3"/>
    <w:rsid w:val="00524AF4"/>
    <w:rsid w:val="00524AF5"/>
    <w:rsid w:val="00524B73"/>
    <w:rsid w:val="00524C15"/>
    <w:rsid w:val="00524C50"/>
    <w:rsid w:val="00524C81"/>
    <w:rsid w:val="00524C91"/>
    <w:rsid w:val="00524D36"/>
    <w:rsid w:val="00524D42"/>
    <w:rsid w:val="00524D4E"/>
    <w:rsid w:val="00524D56"/>
    <w:rsid w:val="00524D79"/>
    <w:rsid w:val="00524D9E"/>
    <w:rsid w:val="00524DCF"/>
    <w:rsid w:val="00524E05"/>
    <w:rsid w:val="00524E1E"/>
    <w:rsid w:val="00524E32"/>
    <w:rsid w:val="00524E82"/>
    <w:rsid w:val="00524EBC"/>
    <w:rsid w:val="00524F60"/>
    <w:rsid w:val="0052507D"/>
    <w:rsid w:val="00525095"/>
    <w:rsid w:val="005250E2"/>
    <w:rsid w:val="005250E8"/>
    <w:rsid w:val="005250F2"/>
    <w:rsid w:val="00525137"/>
    <w:rsid w:val="0052520B"/>
    <w:rsid w:val="00525219"/>
    <w:rsid w:val="0052521A"/>
    <w:rsid w:val="00525267"/>
    <w:rsid w:val="0052526D"/>
    <w:rsid w:val="0052529A"/>
    <w:rsid w:val="00525341"/>
    <w:rsid w:val="00525392"/>
    <w:rsid w:val="00525435"/>
    <w:rsid w:val="005254C9"/>
    <w:rsid w:val="005254E0"/>
    <w:rsid w:val="00525518"/>
    <w:rsid w:val="00525592"/>
    <w:rsid w:val="0052559B"/>
    <w:rsid w:val="00525619"/>
    <w:rsid w:val="0052561D"/>
    <w:rsid w:val="00525643"/>
    <w:rsid w:val="00525688"/>
    <w:rsid w:val="005256A2"/>
    <w:rsid w:val="005256C1"/>
    <w:rsid w:val="005256D3"/>
    <w:rsid w:val="00525773"/>
    <w:rsid w:val="00525805"/>
    <w:rsid w:val="00525855"/>
    <w:rsid w:val="00525885"/>
    <w:rsid w:val="00525893"/>
    <w:rsid w:val="00525895"/>
    <w:rsid w:val="0052591B"/>
    <w:rsid w:val="00525926"/>
    <w:rsid w:val="00525948"/>
    <w:rsid w:val="00525969"/>
    <w:rsid w:val="00525A1B"/>
    <w:rsid w:val="00525A6F"/>
    <w:rsid w:val="00525A75"/>
    <w:rsid w:val="00525AD0"/>
    <w:rsid w:val="00525B55"/>
    <w:rsid w:val="00525B5B"/>
    <w:rsid w:val="00525BDA"/>
    <w:rsid w:val="00525C6C"/>
    <w:rsid w:val="00525CA4"/>
    <w:rsid w:val="00525D3B"/>
    <w:rsid w:val="00525DA1"/>
    <w:rsid w:val="00525DC3"/>
    <w:rsid w:val="00525DD6"/>
    <w:rsid w:val="00525E63"/>
    <w:rsid w:val="00525E94"/>
    <w:rsid w:val="00525EF6"/>
    <w:rsid w:val="00525FAE"/>
    <w:rsid w:val="00525FCB"/>
    <w:rsid w:val="00526001"/>
    <w:rsid w:val="00526010"/>
    <w:rsid w:val="00526047"/>
    <w:rsid w:val="0052608D"/>
    <w:rsid w:val="00526097"/>
    <w:rsid w:val="005260FB"/>
    <w:rsid w:val="005261F7"/>
    <w:rsid w:val="0052622F"/>
    <w:rsid w:val="00526284"/>
    <w:rsid w:val="005262A1"/>
    <w:rsid w:val="005262B6"/>
    <w:rsid w:val="0052633E"/>
    <w:rsid w:val="0052634B"/>
    <w:rsid w:val="0052636A"/>
    <w:rsid w:val="005263BF"/>
    <w:rsid w:val="00526421"/>
    <w:rsid w:val="0052644E"/>
    <w:rsid w:val="005264A0"/>
    <w:rsid w:val="005264F8"/>
    <w:rsid w:val="00526512"/>
    <w:rsid w:val="0052655C"/>
    <w:rsid w:val="0052655F"/>
    <w:rsid w:val="005265A7"/>
    <w:rsid w:val="005265BC"/>
    <w:rsid w:val="005265F0"/>
    <w:rsid w:val="00526612"/>
    <w:rsid w:val="0052662E"/>
    <w:rsid w:val="00526742"/>
    <w:rsid w:val="005267BC"/>
    <w:rsid w:val="005267C5"/>
    <w:rsid w:val="00526829"/>
    <w:rsid w:val="00526862"/>
    <w:rsid w:val="0052686A"/>
    <w:rsid w:val="005268E3"/>
    <w:rsid w:val="00526911"/>
    <w:rsid w:val="00526983"/>
    <w:rsid w:val="00526A54"/>
    <w:rsid w:val="00526A6A"/>
    <w:rsid w:val="00526A73"/>
    <w:rsid w:val="00526A78"/>
    <w:rsid w:val="00526A7E"/>
    <w:rsid w:val="00526B05"/>
    <w:rsid w:val="00526B18"/>
    <w:rsid w:val="00526B2E"/>
    <w:rsid w:val="00526BE9"/>
    <w:rsid w:val="00526C20"/>
    <w:rsid w:val="00526CA0"/>
    <w:rsid w:val="00526CA6"/>
    <w:rsid w:val="00526CB5"/>
    <w:rsid w:val="00526D4B"/>
    <w:rsid w:val="00526DA9"/>
    <w:rsid w:val="00526DE0"/>
    <w:rsid w:val="00526E55"/>
    <w:rsid w:val="00526E6F"/>
    <w:rsid w:val="00526EA2"/>
    <w:rsid w:val="00526EB2"/>
    <w:rsid w:val="00526EF6"/>
    <w:rsid w:val="00526F29"/>
    <w:rsid w:val="00526F37"/>
    <w:rsid w:val="00526F67"/>
    <w:rsid w:val="00526F8D"/>
    <w:rsid w:val="00526F8E"/>
    <w:rsid w:val="00526FA7"/>
    <w:rsid w:val="00526FDD"/>
    <w:rsid w:val="00527071"/>
    <w:rsid w:val="005270F7"/>
    <w:rsid w:val="0052712E"/>
    <w:rsid w:val="0052723D"/>
    <w:rsid w:val="00527281"/>
    <w:rsid w:val="00527315"/>
    <w:rsid w:val="00527327"/>
    <w:rsid w:val="0052737B"/>
    <w:rsid w:val="005273F3"/>
    <w:rsid w:val="0052742B"/>
    <w:rsid w:val="00527479"/>
    <w:rsid w:val="005274C8"/>
    <w:rsid w:val="005274E3"/>
    <w:rsid w:val="005274F3"/>
    <w:rsid w:val="00527557"/>
    <w:rsid w:val="00527570"/>
    <w:rsid w:val="0052759E"/>
    <w:rsid w:val="005275A6"/>
    <w:rsid w:val="00527659"/>
    <w:rsid w:val="005276CF"/>
    <w:rsid w:val="005276EE"/>
    <w:rsid w:val="005277CF"/>
    <w:rsid w:val="005278EC"/>
    <w:rsid w:val="0052792A"/>
    <w:rsid w:val="00527939"/>
    <w:rsid w:val="00527942"/>
    <w:rsid w:val="00527992"/>
    <w:rsid w:val="005279E2"/>
    <w:rsid w:val="005279E6"/>
    <w:rsid w:val="00527A06"/>
    <w:rsid w:val="00527A8B"/>
    <w:rsid w:val="00527ACA"/>
    <w:rsid w:val="00527B23"/>
    <w:rsid w:val="00527B5B"/>
    <w:rsid w:val="00527B9E"/>
    <w:rsid w:val="00527C5A"/>
    <w:rsid w:val="00527C7E"/>
    <w:rsid w:val="00527C7F"/>
    <w:rsid w:val="00527CA2"/>
    <w:rsid w:val="00527CAD"/>
    <w:rsid w:val="00527CD8"/>
    <w:rsid w:val="00527D71"/>
    <w:rsid w:val="00527D8B"/>
    <w:rsid w:val="00527DEF"/>
    <w:rsid w:val="00527E32"/>
    <w:rsid w:val="00527E4B"/>
    <w:rsid w:val="00527E81"/>
    <w:rsid w:val="00527E83"/>
    <w:rsid w:val="00527E88"/>
    <w:rsid w:val="00527E9A"/>
    <w:rsid w:val="00527EE7"/>
    <w:rsid w:val="00527EEC"/>
    <w:rsid w:val="00527EF0"/>
    <w:rsid w:val="0053009B"/>
    <w:rsid w:val="005300CD"/>
    <w:rsid w:val="0053020A"/>
    <w:rsid w:val="0053026D"/>
    <w:rsid w:val="00530389"/>
    <w:rsid w:val="0053043B"/>
    <w:rsid w:val="0053052B"/>
    <w:rsid w:val="00530592"/>
    <w:rsid w:val="005305AA"/>
    <w:rsid w:val="00530605"/>
    <w:rsid w:val="00530687"/>
    <w:rsid w:val="00530691"/>
    <w:rsid w:val="0053071A"/>
    <w:rsid w:val="0053072E"/>
    <w:rsid w:val="0053073A"/>
    <w:rsid w:val="005307C3"/>
    <w:rsid w:val="0053080F"/>
    <w:rsid w:val="005308E5"/>
    <w:rsid w:val="0053090E"/>
    <w:rsid w:val="00530931"/>
    <w:rsid w:val="00530993"/>
    <w:rsid w:val="00530A0E"/>
    <w:rsid w:val="00530A28"/>
    <w:rsid w:val="00530A3A"/>
    <w:rsid w:val="00530A76"/>
    <w:rsid w:val="00530A91"/>
    <w:rsid w:val="00530ABA"/>
    <w:rsid w:val="00530B18"/>
    <w:rsid w:val="00530B24"/>
    <w:rsid w:val="00530B44"/>
    <w:rsid w:val="00530B76"/>
    <w:rsid w:val="00530BCF"/>
    <w:rsid w:val="00530CAE"/>
    <w:rsid w:val="00530D35"/>
    <w:rsid w:val="00530DAA"/>
    <w:rsid w:val="00530E9E"/>
    <w:rsid w:val="00530EAD"/>
    <w:rsid w:val="00530EDA"/>
    <w:rsid w:val="00530EFF"/>
    <w:rsid w:val="00530F08"/>
    <w:rsid w:val="00530F4B"/>
    <w:rsid w:val="00530F9B"/>
    <w:rsid w:val="00530FC0"/>
    <w:rsid w:val="00530FF7"/>
    <w:rsid w:val="00530FFA"/>
    <w:rsid w:val="00531000"/>
    <w:rsid w:val="0053105C"/>
    <w:rsid w:val="005310AB"/>
    <w:rsid w:val="005310ED"/>
    <w:rsid w:val="00531128"/>
    <w:rsid w:val="005311B1"/>
    <w:rsid w:val="0053122C"/>
    <w:rsid w:val="00531233"/>
    <w:rsid w:val="0053123B"/>
    <w:rsid w:val="0053127D"/>
    <w:rsid w:val="005312BC"/>
    <w:rsid w:val="005312BF"/>
    <w:rsid w:val="0053141C"/>
    <w:rsid w:val="0053143C"/>
    <w:rsid w:val="00531448"/>
    <w:rsid w:val="005314E9"/>
    <w:rsid w:val="005315FE"/>
    <w:rsid w:val="005316F1"/>
    <w:rsid w:val="00531763"/>
    <w:rsid w:val="0053180E"/>
    <w:rsid w:val="00531832"/>
    <w:rsid w:val="005318DA"/>
    <w:rsid w:val="0053192C"/>
    <w:rsid w:val="0053196D"/>
    <w:rsid w:val="005319E8"/>
    <w:rsid w:val="00531A27"/>
    <w:rsid w:val="00531A34"/>
    <w:rsid w:val="00531A36"/>
    <w:rsid w:val="00531A9A"/>
    <w:rsid w:val="00531B12"/>
    <w:rsid w:val="00531B35"/>
    <w:rsid w:val="00531BC4"/>
    <w:rsid w:val="00531C3A"/>
    <w:rsid w:val="00531C6A"/>
    <w:rsid w:val="00531CDA"/>
    <w:rsid w:val="00531CF6"/>
    <w:rsid w:val="00531D56"/>
    <w:rsid w:val="00531DC8"/>
    <w:rsid w:val="00531E7B"/>
    <w:rsid w:val="00531ED3"/>
    <w:rsid w:val="00531EF1"/>
    <w:rsid w:val="00531F59"/>
    <w:rsid w:val="00531FD4"/>
    <w:rsid w:val="00532037"/>
    <w:rsid w:val="00532057"/>
    <w:rsid w:val="00532094"/>
    <w:rsid w:val="00532105"/>
    <w:rsid w:val="00532147"/>
    <w:rsid w:val="00532165"/>
    <w:rsid w:val="005321E7"/>
    <w:rsid w:val="005322D9"/>
    <w:rsid w:val="00532308"/>
    <w:rsid w:val="00532354"/>
    <w:rsid w:val="005323BB"/>
    <w:rsid w:val="00532412"/>
    <w:rsid w:val="0053245A"/>
    <w:rsid w:val="00532475"/>
    <w:rsid w:val="00532479"/>
    <w:rsid w:val="005324D9"/>
    <w:rsid w:val="005324E9"/>
    <w:rsid w:val="005324F8"/>
    <w:rsid w:val="005325E5"/>
    <w:rsid w:val="005325FC"/>
    <w:rsid w:val="00532601"/>
    <w:rsid w:val="005326A8"/>
    <w:rsid w:val="005326B0"/>
    <w:rsid w:val="005326FC"/>
    <w:rsid w:val="00532716"/>
    <w:rsid w:val="0053278F"/>
    <w:rsid w:val="00532791"/>
    <w:rsid w:val="0053295E"/>
    <w:rsid w:val="00532996"/>
    <w:rsid w:val="0053299A"/>
    <w:rsid w:val="005329F0"/>
    <w:rsid w:val="00532A2C"/>
    <w:rsid w:val="00532A36"/>
    <w:rsid w:val="00532A44"/>
    <w:rsid w:val="00532B2C"/>
    <w:rsid w:val="00532B80"/>
    <w:rsid w:val="00532BB6"/>
    <w:rsid w:val="00532BD1"/>
    <w:rsid w:val="00532BDD"/>
    <w:rsid w:val="00532C23"/>
    <w:rsid w:val="00532C51"/>
    <w:rsid w:val="00532C59"/>
    <w:rsid w:val="00532C90"/>
    <w:rsid w:val="00532CA9"/>
    <w:rsid w:val="00532CB8"/>
    <w:rsid w:val="00532CC7"/>
    <w:rsid w:val="00532D8D"/>
    <w:rsid w:val="00532E02"/>
    <w:rsid w:val="00532E3A"/>
    <w:rsid w:val="00532E3B"/>
    <w:rsid w:val="00532E98"/>
    <w:rsid w:val="00532EA3"/>
    <w:rsid w:val="00532EC0"/>
    <w:rsid w:val="00532F49"/>
    <w:rsid w:val="00532FC5"/>
    <w:rsid w:val="00532FCF"/>
    <w:rsid w:val="00533002"/>
    <w:rsid w:val="0053301A"/>
    <w:rsid w:val="00533076"/>
    <w:rsid w:val="005330CE"/>
    <w:rsid w:val="00533142"/>
    <w:rsid w:val="005331AB"/>
    <w:rsid w:val="00533208"/>
    <w:rsid w:val="0053322C"/>
    <w:rsid w:val="00533268"/>
    <w:rsid w:val="00533276"/>
    <w:rsid w:val="0053328E"/>
    <w:rsid w:val="005332E4"/>
    <w:rsid w:val="005332F4"/>
    <w:rsid w:val="0053334B"/>
    <w:rsid w:val="005333A3"/>
    <w:rsid w:val="005333B9"/>
    <w:rsid w:val="005333F7"/>
    <w:rsid w:val="0053341B"/>
    <w:rsid w:val="00533420"/>
    <w:rsid w:val="00533447"/>
    <w:rsid w:val="00533468"/>
    <w:rsid w:val="005334CF"/>
    <w:rsid w:val="0053350B"/>
    <w:rsid w:val="00533523"/>
    <w:rsid w:val="0053356E"/>
    <w:rsid w:val="00533589"/>
    <w:rsid w:val="005335C2"/>
    <w:rsid w:val="005335D8"/>
    <w:rsid w:val="005335F5"/>
    <w:rsid w:val="005336CD"/>
    <w:rsid w:val="00533771"/>
    <w:rsid w:val="005337F6"/>
    <w:rsid w:val="00533826"/>
    <w:rsid w:val="00533852"/>
    <w:rsid w:val="0053389F"/>
    <w:rsid w:val="005338D6"/>
    <w:rsid w:val="005338FD"/>
    <w:rsid w:val="00533957"/>
    <w:rsid w:val="005339A0"/>
    <w:rsid w:val="005339A8"/>
    <w:rsid w:val="005339B0"/>
    <w:rsid w:val="00533A15"/>
    <w:rsid w:val="00533A3E"/>
    <w:rsid w:val="00533A41"/>
    <w:rsid w:val="00533A8A"/>
    <w:rsid w:val="00533A91"/>
    <w:rsid w:val="00533AAB"/>
    <w:rsid w:val="00533B2E"/>
    <w:rsid w:val="00533BD6"/>
    <w:rsid w:val="00533C2D"/>
    <w:rsid w:val="00533C83"/>
    <w:rsid w:val="00533C98"/>
    <w:rsid w:val="00533CF7"/>
    <w:rsid w:val="00533CFB"/>
    <w:rsid w:val="00533CFE"/>
    <w:rsid w:val="00533D34"/>
    <w:rsid w:val="00533D94"/>
    <w:rsid w:val="00533D99"/>
    <w:rsid w:val="00533DFA"/>
    <w:rsid w:val="00533E1F"/>
    <w:rsid w:val="00533E4D"/>
    <w:rsid w:val="00533EFD"/>
    <w:rsid w:val="00533F90"/>
    <w:rsid w:val="00533F9A"/>
    <w:rsid w:val="0053404C"/>
    <w:rsid w:val="005340C7"/>
    <w:rsid w:val="00534138"/>
    <w:rsid w:val="00534176"/>
    <w:rsid w:val="0053419E"/>
    <w:rsid w:val="005341BB"/>
    <w:rsid w:val="005341C3"/>
    <w:rsid w:val="005341D6"/>
    <w:rsid w:val="005341F7"/>
    <w:rsid w:val="00534272"/>
    <w:rsid w:val="00534274"/>
    <w:rsid w:val="005342F1"/>
    <w:rsid w:val="00534320"/>
    <w:rsid w:val="005343A6"/>
    <w:rsid w:val="00534444"/>
    <w:rsid w:val="00534484"/>
    <w:rsid w:val="005344A3"/>
    <w:rsid w:val="005344C0"/>
    <w:rsid w:val="005344C8"/>
    <w:rsid w:val="00534521"/>
    <w:rsid w:val="0053453A"/>
    <w:rsid w:val="00534632"/>
    <w:rsid w:val="00534640"/>
    <w:rsid w:val="005346F1"/>
    <w:rsid w:val="00534720"/>
    <w:rsid w:val="0053472A"/>
    <w:rsid w:val="005347CA"/>
    <w:rsid w:val="005347E0"/>
    <w:rsid w:val="005347E9"/>
    <w:rsid w:val="00534827"/>
    <w:rsid w:val="0053488F"/>
    <w:rsid w:val="005348D9"/>
    <w:rsid w:val="00534935"/>
    <w:rsid w:val="00534A1D"/>
    <w:rsid w:val="00534A29"/>
    <w:rsid w:val="00534A4E"/>
    <w:rsid w:val="00534A89"/>
    <w:rsid w:val="00534AC9"/>
    <w:rsid w:val="00534AF3"/>
    <w:rsid w:val="00534B19"/>
    <w:rsid w:val="00534B2B"/>
    <w:rsid w:val="00534BC1"/>
    <w:rsid w:val="00534BE2"/>
    <w:rsid w:val="00534C1A"/>
    <w:rsid w:val="00534C2D"/>
    <w:rsid w:val="00534D54"/>
    <w:rsid w:val="00534D93"/>
    <w:rsid w:val="00534D9F"/>
    <w:rsid w:val="00534DBD"/>
    <w:rsid w:val="00534DEF"/>
    <w:rsid w:val="00534E0A"/>
    <w:rsid w:val="00534E82"/>
    <w:rsid w:val="00534E98"/>
    <w:rsid w:val="00534E9E"/>
    <w:rsid w:val="00534EAC"/>
    <w:rsid w:val="00534ECE"/>
    <w:rsid w:val="00534EEE"/>
    <w:rsid w:val="00534EF3"/>
    <w:rsid w:val="00534EF9"/>
    <w:rsid w:val="00534F09"/>
    <w:rsid w:val="00534F39"/>
    <w:rsid w:val="00534FC9"/>
    <w:rsid w:val="00534FCF"/>
    <w:rsid w:val="00534FEA"/>
    <w:rsid w:val="0053504B"/>
    <w:rsid w:val="0053511E"/>
    <w:rsid w:val="00535162"/>
    <w:rsid w:val="00535169"/>
    <w:rsid w:val="005351A3"/>
    <w:rsid w:val="0053520C"/>
    <w:rsid w:val="00535227"/>
    <w:rsid w:val="00535256"/>
    <w:rsid w:val="00535301"/>
    <w:rsid w:val="00535344"/>
    <w:rsid w:val="00535389"/>
    <w:rsid w:val="005353D1"/>
    <w:rsid w:val="0053544F"/>
    <w:rsid w:val="00535467"/>
    <w:rsid w:val="005354ED"/>
    <w:rsid w:val="0053554F"/>
    <w:rsid w:val="00535597"/>
    <w:rsid w:val="0053559A"/>
    <w:rsid w:val="00535610"/>
    <w:rsid w:val="00535639"/>
    <w:rsid w:val="0053563B"/>
    <w:rsid w:val="00535663"/>
    <w:rsid w:val="005356A0"/>
    <w:rsid w:val="0053570C"/>
    <w:rsid w:val="00535734"/>
    <w:rsid w:val="00535738"/>
    <w:rsid w:val="00535764"/>
    <w:rsid w:val="0053577F"/>
    <w:rsid w:val="005357F9"/>
    <w:rsid w:val="0053581F"/>
    <w:rsid w:val="00535856"/>
    <w:rsid w:val="0053588A"/>
    <w:rsid w:val="005358D5"/>
    <w:rsid w:val="00535980"/>
    <w:rsid w:val="00535A10"/>
    <w:rsid w:val="00535A88"/>
    <w:rsid w:val="00535B1D"/>
    <w:rsid w:val="00535B73"/>
    <w:rsid w:val="00535B8C"/>
    <w:rsid w:val="00535BC1"/>
    <w:rsid w:val="00535BE1"/>
    <w:rsid w:val="00535C4D"/>
    <w:rsid w:val="00535C55"/>
    <w:rsid w:val="00535C56"/>
    <w:rsid w:val="00535C8B"/>
    <w:rsid w:val="00535CA8"/>
    <w:rsid w:val="00535D01"/>
    <w:rsid w:val="00535D4B"/>
    <w:rsid w:val="00535E3A"/>
    <w:rsid w:val="00535EBF"/>
    <w:rsid w:val="00535F46"/>
    <w:rsid w:val="00535F63"/>
    <w:rsid w:val="00535F9F"/>
    <w:rsid w:val="00536018"/>
    <w:rsid w:val="0053603F"/>
    <w:rsid w:val="0053604F"/>
    <w:rsid w:val="00536077"/>
    <w:rsid w:val="005360B6"/>
    <w:rsid w:val="005360DB"/>
    <w:rsid w:val="0053610F"/>
    <w:rsid w:val="0053614A"/>
    <w:rsid w:val="00536174"/>
    <w:rsid w:val="0053617D"/>
    <w:rsid w:val="0053624D"/>
    <w:rsid w:val="0053629D"/>
    <w:rsid w:val="005362A1"/>
    <w:rsid w:val="0053631E"/>
    <w:rsid w:val="005363CE"/>
    <w:rsid w:val="00536472"/>
    <w:rsid w:val="00536473"/>
    <w:rsid w:val="00536482"/>
    <w:rsid w:val="005364DA"/>
    <w:rsid w:val="005364F1"/>
    <w:rsid w:val="00536554"/>
    <w:rsid w:val="0053655D"/>
    <w:rsid w:val="005365A8"/>
    <w:rsid w:val="0053660E"/>
    <w:rsid w:val="0053661A"/>
    <w:rsid w:val="0053661B"/>
    <w:rsid w:val="0053662E"/>
    <w:rsid w:val="00536653"/>
    <w:rsid w:val="005366C2"/>
    <w:rsid w:val="00536754"/>
    <w:rsid w:val="0053679F"/>
    <w:rsid w:val="00536804"/>
    <w:rsid w:val="0053680D"/>
    <w:rsid w:val="00536835"/>
    <w:rsid w:val="005368E6"/>
    <w:rsid w:val="00536974"/>
    <w:rsid w:val="00536994"/>
    <w:rsid w:val="005369CD"/>
    <w:rsid w:val="005369E4"/>
    <w:rsid w:val="00536A79"/>
    <w:rsid w:val="00536AE8"/>
    <w:rsid w:val="00536B45"/>
    <w:rsid w:val="00536B74"/>
    <w:rsid w:val="00536BA7"/>
    <w:rsid w:val="00536BFA"/>
    <w:rsid w:val="00536C10"/>
    <w:rsid w:val="00536C17"/>
    <w:rsid w:val="00536C37"/>
    <w:rsid w:val="00536C3C"/>
    <w:rsid w:val="00536C69"/>
    <w:rsid w:val="00536D07"/>
    <w:rsid w:val="00536D28"/>
    <w:rsid w:val="00536D90"/>
    <w:rsid w:val="00536DBD"/>
    <w:rsid w:val="00536EBE"/>
    <w:rsid w:val="00536EE7"/>
    <w:rsid w:val="00536F61"/>
    <w:rsid w:val="00536FB5"/>
    <w:rsid w:val="00536FC3"/>
    <w:rsid w:val="00537056"/>
    <w:rsid w:val="005370A9"/>
    <w:rsid w:val="00537107"/>
    <w:rsid w:val="00537189"/>
    <w:rsid w:val="005371DB"/>
    <w:rsid w:val="00537202"/>
    <w:rsid w:val="0053732A"/>
    <w:rsid w:val="00537395"/>
    <w:rsid w:val="005373A9"/>
    <w:rsid w:val="005373F5"/>
    <w:rsid w:val="0053741C"/>
    <w:rsid w:val="0053747C"/>
    <w:rsid w:val="0053748F"/>
    <w:rsid w:val="005374AF"/>
    <w:rsid w:val="005374B2"/>
    <w:rsid w:val="005374E4"/>
    <w:rsid w:val="0053758A"/>
    <w:rsid w:val="00537598"/>
    <w:rsid w:val="005375C9"/>
    <w:rsid w:val="005375CF"/>
    <w:rsid w:val="005375D4"/>
    <w:rsid w:val="005375DC"/>
    <w:rsid w:val="00537625"/>
    <w:rsid w:val="0053765F"/>
    <w:rsid w:val="00537672"/>
    <w:rsid w:val="00537688"/>
    <w:rsid w:val="0053768B"/>
    <w:rsid w:val="005377FD"/>
    <w:rsid w:val="00537841"/>
    <w:rsid w:val="00537845"/>
    <w:rsid w:val="0053784B"/>
    <w:rsid w:val="00537866"/>
    <w:rsid w:val="0053788F"/>
    <w:rsid w:val="0053794F"/>
    <w:rsid w:val="005379D2"/>
    <w:rsid w:val="005379FA"/>
    <w:rsid w:val="00537A7F"/>
    <w:rsid w:val="00537B20"/>
    <w:rsid w:val="00537B66"/>
    <w:rsid w:val="00537C33"/>
    <w:rsid w:val="00537C34"/>
    <w:rsid w:val="00537C72"/>
    <w:rsid w:val="00537C7C"/>
    <w:rsid w:val="00537CAD"/>
    <w:rsid w:val="00537CF6"/>
    <w:rsid w:val="00537D17"/>
    <w:rsid w:val="00537DAF"/>
    <w:rsid w:val="00537DB7"/>
    <w:rsid w:val="00537DF3"/>
    <w:rsid w:val="00537E00"/>
    <w:rsid w:val="00537E70"/>
    <w:rsid w:val="00537E75"/>
    <w:rsid w:val="00537EC0"/>
    <w:rsid w:val="00537F24"/>
    <w:rsid w:val="00537F6A"/>
    <w:rsid w:val="00537F81"/>
    <w:rsid w:val="0054003F"/>
    <w:rsid w:val="00540058"/>
    <w:rsid w:val="00540083"/>
    <w:rsid w:val="005400C4"/>
    <w:rsid w:val="0054014A"/>
    <w:rsid w:val="0054018E"/>
    <w:rsid w:val="005401E2"/>
    <w:rsid w:val="005401F8"/>
    <w:rsid w:val="00540205"/>
    <w:rsid w:val="00540255"/>
    <w:rsid w:val="0054027A"/>
    <w:rsid w:val="00540291"/>
    <w:rsid w:val="005402F6"/>
    <w:rsid w:val="00540330"/>
    <w:rsid w:val="005404B3"/>
    <w:rsid w:val="00540560"/>
    <w:rsid w:val="00540574"/>
    <w:rsid w:val="00540591"/>
    <w:rsid w:val="005405AF"/>
    <w:rsid w:val="005405C3"/>
    <w:rsid w:val="005405D8"/>
    <w:rsid w:val="005405DF"/>
    <w:rsid w:val="005405F0"/>
    <w:rsid w:val="0054064E"/>
    <w:rsid w:val="005406F0"/>
    <w:rsid w:val="00540717"/>
    <w:rsid w:val="0054071F"/>
    <w:rsid w:val="0054072B"/>
    <w:rsid w:val="00540742"/>
    <w:rsid w:val="00540746"/>
    <w:rsid w:val="005407B2"/>
    <w:rsid w:val="005407BD"/>
    <w:rsid w:val="00540840"/>
    <w:rsid w:val="0054087D"/>
    <w:rsid w:val="005408E4"/>
    <w:rsid w:val="0054098F"/>
    <w:rsid w:val="005409A3"/>
    <w:rsid w:val="005409CB"/>
    <w:rsid w:val="00540A1F"/>
    <w:rsid w:val="00540A86"/>
    <w:rsid w:val="00540AA0"/>
    <w:rsid w:val="00540B47"/>
    <w:rsid w:val="00540B5A"/>
    <w:rsid w:val="00540B8A"/>
    <w:rsid w:val="00540BE9"/>
    <w:rsid w:val="00540C23"/>
    <w:rsid w:val="00540C4B"/>
    <w:rsid w:val="00540CA7"/>
    <w:rsid w:val="00540CE8"/>
    <w:rsid w:val="00540CF0"/>
    <w:rsid w:val="00540D05"/>
    <w:rsid w:val="00540D77"/>
    <w:rsid w:val="00540D7F"/>
    <w:rsid w:val="00540D89"/>
    <w:rsid w:val="00540E2C"/>
    <w:rsid w:val="00540E4C"/>
    <w:rsid w:val="00540E86"/>
    <w:rsid w:val="00540E8E"/>
    <w:rsid w:val="00540EBC"/>
    <w:rsid w:val="00540F36"/>
    <w:rsid w:val="00540F7A"/>
    <w:rsid w:val="00540F8A"/>
    <w:rsid w:val="00540F95"/>
    <w:rsid w:val="00540F98"/>
    <w:rsid w:val="00540FB0"/>
    <w:rsid w:val="0054107F"/>
    <w:rsid w:val="005411C7"/>
    <w:rsid w:val="00541259"/>
    <w:rsid w:val="00541285"/>
    <w:rsid w:val="005412F8"/>
    <w:rsid w:val="00541332"/>
    <w:rsid w:val="0054133A"/>
    <w:rsid w:val="0054134C"/>
    <w:rsid w:val="005413D0"/>
    <w:rsid w:val="00541444"/>
    <w:rsid w:val="00541496"/>
    <w:rsid w:val="005414A3"/>
    <w:rsid w:val="0054156C"/>
    <w:rsid w:val="0054159C"/>
    <w:rsid w:val="005415F1"/>
    <w:rsid w:val="00541602"/>
    <w:rsid w:val="00541659"/>
    <w:rsid w:val="00541705"/>
    <w:rsid w:val="0054172C"/>
    <w:rsid w:val="0054173E"/>
    <w:rsid w:val="005417D0"/>
    <w:rsid w:val="005417DE"/>
    <w:rsid w:val="005418DE"/>
    <w:rsid w:val="005418E7"/>
    <w:rsid w:val="00541926"/>
    <w:rsid w:val="00541946"/>
    <w:rsid w:val="0054197B"/>
    <w:rsid w:val="00541985"/>
    <w:rsid w:val="005419F2"/>
    <w:rsid w:val="00541A2C"/>
    <w:rsid w:val="00541A6C"/>
    <w:rsid w:val="00541ABA"/>
    <w:rsid w:val="00541AF0"/>
    <w:rsid w:val="00541AF7"/>
    <w:rsid w:val="00541B2B"/>
    <w:rsid w:val="00541B35"/>
    <w:rsid w:val="00541B4A"/>
    <w:rsid w:val="00541BD5"/>
    <w:rsid w:val="00541BED"/>
    <w:rsid w:val="00541C4E"/>
    <w:rsid w:val="00541C5A"/>
    <w:rsid w:val="00541C5F"/>
    <w:rsid w:val="00541C6D"/>
    <w:rsid w:val="00541D49"/>
    <w:rsid w:val="00541E23"/>
    <w:rsid w:val="00541E81"/>
    <w:rsid w:val="00541EA4"/>
    <w:rsid w:val="00541FB0"/>
    <w:rsid w:val="00541FBE"/>
    <w:rsid w:val="00541FC9"/>
    <w:rsid w:val="00542056"/>
    <w:rsid w:val="00542074"/>
    <w:rsid w:val="005420A1"/>
    <w:rsid w:val="00542172"/>
    <w:rsid w:val="00542182"/>
    <w:rsid w:val="0054221B"/>
    <w:rsid w:val="0054223C"/>
    <w:rsid w:val="00542259"/>
    <w:rsid w:val="005422E7"/>
    <w:rsid w:val="0054238C"/>
    <w:rsid w:val="005423A7"/>
    <w:rsid w:val="005423C4"/>
    <w:rsid w:val="005423F5"/>
    <w:rsid w:val="00542405"/>
    <w:rsid w:val="00542489"/>
    <w:rsid w:val="0054249B"/>
    <w:rsid w:val="005424AF"/>
    <w:rsid w:val="005424C7"/>
    <w:rsid w:val="005424DB"/>
    <w:rsid w:val="005424DE"/>
    <w:rsid w:val="005424F4"/>
    <w:rsid w:val="0054250E"/>
    <w:rsid w:val="0054251B"/>
    <w:rsid w:val="00542521"/>
    <w:rsid w:val="00542548"/>
    <w:rsid w:val="005425A1"/>
    <w:rsid w:val="005425A6"/>
    <w:rsid w:val="005425CF"/>
    <w:rsid w:val="00542621"/>
    <w:rsid w:val="005426EC"/>
    <w:rsid w:val="00542780"/>
    <w:rsid w:val="00542791"/>
    <w:rsid w:val="005427AB"/>
    <w:rsid w:val="005427BD"/>
    <w:rsid w:val="0054282A"/>
    <w:rsid w:val="0054283E"/>
    <w:rsid w:val="005428B8"/>
    <w:rsid w:val="005428BE"/>
    <w:rsid w:val="005428FE"/>
    <w:rsid w:val="005429DE"/>
    <w:rsid w:val="005429F8"/>
    <w:rsid w:val="00542A66"/>
    <w:rsid w:val="00542AA4"/>
    <w:rsid w:val="00542AB6"/>
    <w:rsid w:val="00542AF1"/>
    <w:rsid w:val="00542B31"/>
    <w:rsid w:val="00542B67"/>
    <w:rsid w:val="00542BE4"/>
    <w:rsid w:val="00542BEB"/>
    <w:rsid w:val="00542C33"/>
    <w:rsid w:val="00542C4A"/>
    <w:rsid w:val="00542C5F"/>
    <w:rsid w:val="00542C6F"/>
    <w:rsid w:val="00542C88"/>
    <w:rsid w:val="00542CA0"/>
    <w:rsid w:val="00542CCF"/>
    <w:rsid w:val="00542D61"/>
    <w:rsid w:val="00542DA2"/>
    <w:rsid w:val="00542DAA"/>
    <w:rsid w:val="00542E94"/>
    <w:rsid w:val="00542F3A"/>
    <w:rsid w:val="00542F3B"/>
    <w:rsid w:val="00542FCD"/>
    <w:rsid w:val="005430C6"/>
    <w:rsid w:val="005430CE"/>
    <w:rsid w:val="005430DB"/>
    <w:rsid w:val="0054311C"/>
    <w:rsid w:val="0054316A"/>
    <w:rsid w:val="0054318F"/>
    <w:rsid w:val="00543197"/>
    <w:rsid w:val="005431FC"/>
    <w:rsid w:val="0054320C"/>
    <w:rsid w:val="00543319"/>
    <w:rsid w:val="0054334F"/>
    <w:rsid w:val="00543408"/>
    <w:rsid w:val="00543432"/>
    <w:rsid w:val="00543489"/>
    <w:rsid w:val="00543505"/>
    <w:rsid w:val="00543525"/>
    <w:rsid w:val="0054357B"/>
    <w:rsid w:val="00543597"/>
    <w:rsid w:val="00543601"/>
    <w:rsid w:val="00543605"/>
    <w:rsid w:val="00543623"/>
    <w:rsid w:val="00543672"/>
    <w:rsid w:val="00543692"/>
    <w:rsid w:val="005436D5"/>
    <w:rsid w:val="005436E4"/>
    <w:rsid w:val="0054370A"/>
    <w:rsid w:val="0054370E"/>
    <w:rsid w:val="0054371C"/>
    <w:rsid w:val="00543742"/>
    <w:rsid w:val="0054378A"/>
    <w:rsid w:val="005437C0"/>
    <w:rsid w:val="005437EB"/>
    <w:rsid w:val="00543819"/>
    <w:rsid w:val="0054382A"/>
    <w:rsid w:val="00543840"/>
    <w:rsid w:val="00543859"/>
    <w:rsid w:val="0054391E"/>
    <w:rsid w:val="00543964"/>
    <w:rsid w:val="00543999"/>
    <w:rsid w:val="005439FF"/>
    <w:rsid w:val="00543A41"/>
    <w:rsid w:val="00543A5D"/>
    <w:rsid w:val="00543B05"/>
    <w:rsid w:val="00543B46"/>
    <w:rsid w:val="00543B4B"/>
    <w:rsid w:val="00543B67"/>
    <w:rsid w:val="00543B7D"/>
    <w:rsid w:val="00543B83"/>
    <w:rsid w:val="00543BB6"/>
    <w:rsid w:val="00543C09"/>
    <w:rsid w:val="00543C17"/>
    <w:rsid w:val="00543C24"/>
    <w:rsid w:val="00543CCD"/>
    <w:rsid w:val="00543CD5"/>
    <w:rsid w:val="00543CFA"/>
    <w:rsid w:val="00543D2D"/>
    <w:rsid w:val="00543DBD"/>
    <w:rsid w:val="00543DFC"/>
    <w:rsid w:val="00543E36"/>
    <w:rsid w:val="00543E42"/>
    <w:rsid w:val="00543E6F"/>
    <w:rsid w:val="00543ED4"/>
    <w:rsid w:val="00543F35"/>
    <w:rsid w:val="00543F37"/>
    <w:rsid w:val="00543F53"/>
    <w:rsid w:val="00543FCB"/>
    <w:rsid w:val="00544076"/>
    <w:rsid w:val="00544109"/>
    <w:rsid w:val="00544174"/>
    <w:rsid w:val="00544222"/>
    <w:rsid w:val="00544261"/>
    <w:rsid w:val="00544276"/>
    <w:rsid w:val="0054430A"/>
    <w:rsid w:val="0054432F"/>
    <w:rsid w:val="00544338"/>
    <w:rsid w:val="00544347"/>
    <w:rsid w:val="00544354"/>
    <w:rsid w:val="0054439D"/>
    <w:rsid w:val="005443D1"/>
    <w:rsid w:val="005443DD"/>
    <w:rsid w:val="005443E4"/>
    <w:rsid w:val="00544407"/>
    <w:rsid w:val="0054443F"/>
    <w:rsid w:val="0054445D"/>
    <w:rsid w:val="0054446A"/>
    <w:rsid w:val="0054446F"/>
    <w:rsid w:val="0054447F"/>
    <w:rsid w:val="005444AC"/>
    <w:rsid w:val="005444DA"/>
    <w:rsid w:val="00544583"/>
    <w:rsid w:val="005445A5"/>
    <w:rsid w:val="005445E0"/>
    <w:rsid w:val="005446B8"/>
    <w:rsid w:val="005446E4"/>
    <w:rsid w:val="005447A2"/>
    <w:rsid w:val="005447CF"/>
    <w:rsid w:val="005447D5"/>
    <w:rsid w:val="005447DB"/>
    <w:rsid w:val="0054484E"/>
    <w:rsid w:val="00544866"/>
    <w:rsid w:val="0054491B"/>
    <w:rsid w:val="00544978"/>
    <w:rsid w:val="0054499C"/>
    <w:rsid w:val="00544A8F"/>
    <w:rsid w:val="00544B34"/>
    <w:rsid w:val="00544B84"/>
    <w:rsid w:val="00544BFF"/>
    <w:rsid w:val="00544C04"/>
    <w:rsid w:val="00544D75"/>
    <w:rsid w:val="00544D9F"/>
    <w:rsid w:val="00544DCB"/>
    <w:rsid w:val="00544E5C"/>
    <w:rsid w:val="00544E9F"/>
    <w:rsid w:val="00544EFD"/>
    <w:rsid w:val="00544F10"/>
    <w:rsid w:val="00544F8E"/>
    <w:rsid w:val="00544FB0"/>
    <w:rsid w:val="00544FCE"/>
    <w:rsid w:val="0054501B"/>
    <w:rsid w:val="00545033"/>
    <w:rsid w:val="00545077"/>
    <w:rsid w:val="005450A7"/>
    <w:rsid w:val="005450FE"/>
    <w:rsid w:val="0054519B"/>
    <w:rsid w:val="005451B6"/>
    <w:rsid w:val="005451D6"/>
    <w:rsid w:val="00545253"/>
    <w:rsid w:val="005452B1"/>
    <w:rsid w:val="00545300"/>
    <w:rsid w:val="0054531F"/>
    <w:rsid w:val="00545336"/>
    <w:rsid w:val="0054534D"/>
    <w:rsid w:val="00545400"/>
    <w:rsid w:val="005454FE"/>
    <w:rsid w:val="005455C3"/>
    <w:rsid w:val="005455F8"/>
    <w:rsid w:val="00545608"/>
    <w:rsid w:val="0054561D"/>
    <w:rsid w:val="00545641"/>
    <w:rsid w:val="00545690"/>
    <w:rsid w:val="005457D8"/>
    <w:rsid w:val="00545913"/>
    <w:rsid w:val="00545956"/>
    <w:rsid w:val="005459CE"/>
    <w:rsid w:val="005459EE"/>
    <w:rsid w:val="00545A84"/>
    <w:rsid w:val="00545A8F"/>
    <w:rsid w:val="00545AAB"/>
    <w:rsid w:val="00545AEE"/>
    <w:rsid w:val="00545AF6"/>
    <w:rsid w:val="00545B14"/>
    <w:rsid w:val="00545B46"/>
    <w:rsid w:val="00545B85"/>
    <w:rsid w:val="00545BF5"/>
    <w:rsid w:val="00545C6A"/>
    <w:rsid w:val="00545C6C"/>
    <w:rsid w:val="00545C83"/>
    <w:rsid w:val="00545CBC"/>
    <w:rsid w:val="00545D3F"/>
    <w:rsid w:val="00545D75"/>
    <w:rsid w:val="00545DD7"/>
    <w:rsid w:val="00545E13"/>
    <w:rsid w:val="00545E38"/>
    <w:rsid w:val="00545E86"/>
    <w:rsid w:val="00545EB3"/>
    <w:rsid w:val="00545EB8"/>
    <w:rsid w:val="00545EF0"/>
    <w:rsid w:val="00545EFF"/>
    <w:rsid w:val="00545F4B"/>
    <w:rsid w:val="00545FB1"/>
    <w:rsid w:val="00545FE6"/>
    <w:rsid w:val="005460A9"/>
    <w:rsid w:val="005460B9"/>
    <w:rsid w:val="005460D9"/>
    <w:rsid w:val="0054610A"/>
    <w:rsid w:val="005461A8"/>
    <w:rsid w:val="005461EA"/>
    <w:rsid w:val="005462BD"/>
    <w:rsid w:val="005462FF"/>
    <w:rsid w:val="00546386"/>
    <w:rsid w:val="005463BD"/>
    <w:rsid w:val="005463D8"/>
    <w:rsid w:val="005463FC"/>
    <w:rsid w:val="00546440"/>
    <w:rsid w:val="0054645E"/>
    <w:rsid w:val="005464C5"/>
    <w:rsid w:val="005464FB"/>
    <w:rsid w:val="00546504"/>
    <w:rsid w:val="00546516"/>
    <w:rsid w:val="00546526"/>
    <w:rsid w:val="00546559"/>
    <w:rsid w:val="0054659A"/>
    <w:rsid w:val="00546628"/>
    <w:rsid w:val="0054666D"/>
    <w:rsid w:val="0054667E"/>
    <w:rsid w:val="00546683"/>
    <w:rsid w:val="005466C3"/>
    <w:rsid w:val="00546723"/>
    <w:rsid w:val="00546729"/>
    <w:rsid w:val="005467BA"/>
    <w:rsid w:val="005467DE"/>
    <w:rsid w:val="005467F0"/>
    <w:rsid w:val="00546804"/>
    <w:rsid w:val="00546818"/>
    <w:rsid w:val="00546835"/>
    <w:rsid w:val="0054684C"/>
    <w:rsid w:val="005468B7"/>
    <w:rsid w:val="00546923"/>
    <w:rsid w:val="00546989"/>
    <w:rsid w:val="005469C9"/>
    <w:rsid w:val="005469F2"/>
    <w:rsid w:val="005469FE"/>
    <w:rsid w:val="00546A36"/>
    <w:rsid w:val="00546A68"/>
    <w:rsid w:val="00546B13"/>
    <w:rsid w:val="00546B88"/>
    <w:rsid w:val="00546C1D"/>
    <w:rsid w:val="00546C43"/>
    <w:rsid w:val="00546C89"/>
    <w:rsid w:val="00546CE5"/>
    <w:rsid w:val="00546CF1"/>
    <w:rsid w:val="00546D50"/>
    <w:rsid w:val="00546D80"/>
    <w:rsid w:val="00546D83"/>
    <w:rsid w:val="00546DB3"/>
    <w:rsid w:val="00546E07"/>
    <w:rsid w:val="00546E54"/>
    <w:rsid w:val="00546F36"/>
    <w:rsid w:val="00546F65"/>
    <w:rsid w:val="00546FB3"/>
    <w:rsid w:val="00546FDA"/>
    <w:rsid w:val="0054707D"/>
    <w:rsid w:val="0054708A"/>
    <w:rsid w:val="0054709B"/>
    <w:rsid w:val="005470C0"/>
    <w:rsid w:val="00547126"/>
    <w:rsid w:val="0054713D"/>
    <w:rsid w:val="00547141"/>
    <w:rsid w:val="00547156"/>
    <w:rsid w:val="0054716F"/>
    <w:rsid w:val="005471A5"/>
    <w:rsid w:val="00547272"/>
    <w:rsid w:val="005472A1"/>
    <w:rsid w:val="005472B0"/>
    <w:rsid w:val="005472E4"/>
    <w:rsid w:val="00547309"/>
    <w:rsid w:val="00547317"/>
    <w:rsid w:val="00547332"/>
    <w:rsid w:val="00547380"/>
    <w:rsid w:val="005473A2"/>
    <w:rsid w:val="005473C9"/>
    <w:rsid w:val="005473D3"/>
    <w:rsid w:val="0054741B"/>
    <w:rsid w:val="00547471"/>
    <w:rsid w:val="00547480"/>
    <w:rsid w:val="005474F6"/>
    <w:rsid w:val="00547562"/>
    <w:rsid w:val="00547569"/>
    <w:rsid w:val="005475E6"/>
    <w:rsid w:val="0054760F"/>
    <w:rsid w:val="0054761D"/>
    <w:rsid w:val="0054770A"/>
    <w:rsid w:val="00547739"/>
    <w:rsid w:val="00547763"/>
    <w:rsid w:val="0054776D"/>
    <w:rsid w:val="005477C9"/>
    <w:rsid w:val="005477E6"/>
    <w:rsid w:val="00547836"/>
    <w:rsid w:val="005478B1"/>
    <w:rsid w:val="005478E8"/>
    <w:rsid w:val="00547922"/>
    <w:rsid w:val="00547942"/>
    <w:rsid w:val="0054796E"/>
    <w:rsid w:val="005479A9"/>
    <w:rsid w:val="005479B6"/>
    <w:rsid w:val="005479F5"/>
    <w:rsid w:val="00547A2D"/>
    <w:rsid w:val="00547B12"/>
    <w:rsid w:val="00547B14"/>
    <w:rsid w:val="00547B1F"/>
    <w:rsid w:val="00547B31"/>
    <w:rsid w:val="00547B45"/>
    <w:rsid w:val="00547B47"/>
    <w:rsid w:val="00547B8F"/>
    <w:rsid w:val="00547C0C"/>
    <w:rsid w:val="00547C2B"/>
    <w:rsid w:val="00547C8F"/>
    <w:rsid w:val="00547CA6"/>
    <w:rsid w:val="00547CC1"/>
    <w:rsid w:val="00547CDE"/>
    <w:rsid w:val="00547CFB"/>
    <w:rsid w:val="00547D26"/>
    <w:rsid w:val="00547D85"/>
    <w:rsid w:val="00547D87"/>
    <w:rsid w:val="00547DBB"/>
    <w:rsid w:val="00547E1F"/>
    <w:rsid w:val="00547ECF"/>
    <w:rsid w:val="00547FA6"/>
    <w:rsid w:val="00547FCB"/>
    <w:rsid w:val="00550009"/>
    <w:rsid w:val="00550090"/>
    <w:rsid w:val="005500DA"/>
    <w:rsid w:val="00550116"/>
    <w:rsid w:val="005501C6"/>
    <w:rsid w:val="0055026F"/>
    <w:rsid w:val="005502F3"/>
    <w:rsid w:val="00550336"/>
    <w:rsid w:val="005503DD"/>
    <w:rsid w:val="0055046C"/>
    <w:rsid w:val="005504B7"/>
    <w:rsid w:val="005504BC"/>
    <w:rsid w:val="005504C8"/>
    <w:rsid w:val="0055053D"/>
    <w:rsid w:val="005505D4"/>
    <w:rsid w:val="00550653"/>
    <w:rsid w:val="00550688"/>
    <w:rsid w:val="00550780"/>
    <w:rsid w:val="005507B1"/>
    <w:rsid w:val="005507CD"/>
    <w:rsid w:val="005507EA"/>
    <w:rsid w:val="00550839"/>
    <w:rsid w:val="0055085D"/>
    <w:rsid w:val="00550873"/>
    <w:rsid w:val="0055099B"/>
    <w:rsid w:val="00550A00"/>
    <w:rsid w:val="00550ACF"/>
    <w:rsid w:val="00550AF6"/>
    <w:rsid w:val="00550B65"/>
    <w:rsid w:val="00550BE4"/>
    <w:rsid w:val="00550BFE"/>
    <w:rsid w:val="00550C51"/>
    <w:rsid w:val="00550C84"/>
    <w:rsid w:val="00550DA4"/>
    <w:rsid w:val="00550DED"/>
    <w:rsid w:val="00550E2A"/>
    <w:rsid w:val="00550E50"/>
    <w:rsid w:val="00550E5F"/>
    <w:rsid w:val="00550EDF"/>
    <w:rsid w:val="00550F76"/>
    <w:rsid w:val="00550FC5"/>
    <w:rsid w:val="00550FC7"/>
    <w:rsid w:val="00551017"/>
    <w:rsid w:val="00551021"/>
    <w:rsid w:val="00551033"/>
    <w:rsid w:val="0055104C"/>
    <w:rsid w:val="0055112F"/>
    <w:rsid w:val="00551131"/>
    <w:rsid w:val="005511A8"/>
    <w:rsid w:val="005511DF"/>
    <w:rsid w:val="0055123B"/>
    <w:rsid w:val="0055125E"/>
    <w:rsid w:val="005512DF"/>
    <w:rsid w:val="005512FD"/>
    <w:rsid w:val="0055130A"/>
    <w:rsid w:val="00551333"/>
    <w:rsid w:val="00551343"/>
    <w:rsid w:val="00551356"/>
    <w:rsid w:val="005514C2"/>
    <w:rsid w:val="00551516"/>
    <w:rsid w:val="00551583"/>
    <w:rsid w:val="005515ED"/>
    <w:rsid w:val="0055165E"/>
    <w:rsid w:val="00551706"/>
    <w:rsid w:val="0055172E"/>
    <w:rsid w:val="00551838"/>
    <w:rsid w:val="0055189D"/>
    <w:rsid w:val="005518B0"/>
    <w:rsid w:val="005518ED"/>
    <w:rsid w:val="0055191E"/>
    <w:rsid w:val="005519AC"/>
    <w:rsid w:val="005519D9"/>
    <w:rsid w:val="005519E8"/>
    <w:rsid w:val="00551A02"/>
    <w:rsid w:val="00551A26"/>
    <w:rsid w:val="00551A62"/>
    <w:rsid w:val="00551A92"/>
    <w:rsid w:val="00551B3C"/>
    <w:rsid w:val="00551BAD"/>
    <w:rsid w:val="00551BC8"/>
    <w:rsid w:val="00551BF0"/>
    <w:rsid w:val="00551D2A"/>
    <w:rsid w:val="00551E3E"/>
    <w:rsid w:val="00551E92"/>
    <w:rsid w:val="00551EB4"/>
    <w:rsid w:val="00551EFF"/>
    <w:rsid w:val="00551F60"/>
    <w:rsid w:val="00551FB3"/>
    <w:rsid w:val="005520D7"/>
    <w:rsid w:val="0055213A"/>
    <w:rsid w:val="0055213B"/>
    <w:rsid w:val="00552176"/>
    <w:rsid w:val="005522C3"/>
    <w:rsid w:val="005522E7"/>
    <w:rsid w:val="005522FE"/>
    <w:rsid w:val="0055232E"/>
    <w:rsid w:val="00552362"/>
    <w:rsid w:val="0055245D"/>
    <w:rsid w:val="00552503"/>
    <w:rsid w:val="00552538"/>
    <w:rsid w:val="00552562"/>
    <w:rsid w:val="005525A9"/>
    <w:rsid w:val="00552658"/>
    <w:rsid w:val="005526D8"/>
    <w:rsid w:val="00552727"/>
    <w:rsid w:val="0055277E"/>
    <w:rsid w:val="005527DD"/>
    <w:rsid w:val="005527E3"/>
    <w:rsid w:val="0055285F"/>
    <w:rsid w:val="00552893"/>
    <w:rsid w:val="005528C4"/>
    <w:rsid w:val="0055295B"/>
    <w:rsid w:val="00552961"/>
    <w:rsid w:val="00552A16"/>
    <w:rsid w:val="00552A2E"/>
    <w:rsid w:val="00552ACF"/>
    <w:rsid w:val="00552B05"/>
    <w:rsid w:val="00552B69"/>
    <w:rsid w:val="00552BFC"/>
    <w:rsid w:val="00552C4F"/>
    <w:rsid w:val="00552C67"/>
    <w:rsid w:val="00552CC3"/>
    <w:rsid w:val="00552CE1"/>
    <w:rsid w:val="00552CE8"/>
    <w:rsid w:val="00552D67"/>
    <w:rsid w:val="00552DA8"/>
    <w:rsid w:val="00552DEA"/>
    <w:rsid w:val="00552E07"/>
    <w:rsid w:val="00552E69"/>
    <w:rsid w:val="00552E9A"/>
    <w:rsid w:val="00552FB1"/>
    <w:rsid w:val="00553030"/>
    <w:rsid w:val="00553178"/>
    <w:rsid w:val="005531A5"/>
    <w:rsid w:val="005532B1"/>
    <w:rsid w:val="005532E1"/>
    <w:rsid w:val="0055334B"/>
    <w:rsid w:val="005533AF"/>
    <w:rsid w:val="0055345A"/>
    <w:rsid w:val="005534CC"/>
    <w:rsid w:val="00553521"/>
    <w:rsid w:val="0055356E"/>
    <w:rsid w:val="00553603"/>
    <w:rsid w:val="005536AE"/>
    <w:rsid w:val="005536C2"/>
    <w:rsid w:val="005536D1"/>
    <w:rsid w:val="0055370E"/>
    <w:rsid w:val="0055371B"/>
    <w:rsid w:val="00553730"/>
    <w:rsid w:val="005537A2"/>
    <w:rsid w:val="005537F3"/>
    <w:rsid w:val="0055381F"/>
    <w:rsid w:val="0055383E"/>
    <w:rsid w:val="00553888"/>
    <w:rsid w:val="00553941"/>
    <w:rsid w:val="00553999"/>
    <w:rsid w:val="00553A04"/>
    <w:rsid w:val="00553A22"/>
    <w:rsid w:val="00553A2E"/>
    <w:rsid w:val="00553AB2"/>
    <w:rsid w:val="00553AC5"/>
    <w:rsid w:val="00553AE7"/>
    <w:rsid w:val="00553AFA"/>
    <w:rsid w:val="00553B3E"/>
    <w:rsid w:val="00553B52"/>
    <w:rsid w:val="00553B8F"/>
    <w:rsid w:val="00553BB9"/>
    <w:rsid w:val="00553BD1"/>
    <w:rsid w:val="00553C17"/>
    <w:rsid w:val="00553CA0"/>
    <w:rsid w:val="00553D56"/>
    <w:rsid w:val="00553D89"/>
    <w:rsid w:val="00553DBB"/>
    <w:rsid w:val="00553E53"/>
    <w:rsid w:val="00553E80"/>
    <w:rsid w:val="00553F37"/>
    <w:rsid w:val="00553F43"/>
    <w:rsid w:val="0055405B"/>
    <w:rsid w:val="0055409E"/>
    <w:rsid w:val="0055410F"/>
    <w:rsid w:val="00554140"/>
    <w:rsid w:val="005541C2"/>
    <w:rsid w:val="005541D0"/>
    <w:rsid w:val="00554230"/>
    <w:rsid w:val="00554240"/>
    <w:rsid w:val="00554378"/>
    <w:rsid w:val="005543C8"/>
    <w:rsid w:val="005543C9"/>
    <w:rsid w:val="0055448A"/>
    <w:rsid w:val="005544AA"/>
    <w:rsid w:val="005544E4"/>
    <w:rsid w:val="0055454F"/>
    <w:rsid w:val="00554617"/>
    <w:rsid w:val="0055464A"/>
    <w:rsid w:val="0055466F"/>
    <w:rsid w:val="005546CC"/>
    <w:rsid w:val="005546DD"/>
    <w:rsid w:val="005546E2"/>
    <w:rsid w:val="00554743"/>
    <w:rsid w:val="005547B5"/>
    <w:rsid w:val="005547BA"/>
    <w:rsid w:val="00554835"/>
    <w:rsid w:val="00554889"/>
    <w:rsid w:val="00554898"/>
    <w:rsid w:val="005548BE"/>
    <w:rsid w:val="005548C7"/>
    <w:rsid w:val="005548D2"/>
    <w:rsid w:val="005548FB"/>
    <w:rsid w:val="00554902"/>
    <w:rsid w:val="00554A45"/>
    <w:rsid w:val="00554A6E"/>
    <w:rsid w:val="00554A93"/>
    <w:rsid w:val="00554AF4"/>
    <w:rsid w:val="00554B12"/>
    <w:rsid w:val="00554B17"/>
    <w:rsid w:val="00554B76"/>
    <w:rsid w:val="00554C75"/>
    <w:rsid w:val="00554C8E"/>
    <w:rsid w:val="00554CDE"/>
    <w:rsid w:val="00554E02"/>
    <w:rsid w:val="00554E30"/>
    <w:rsid w:val="00554E5A"/>
    <w:rsid w:val="00554E98"/>
    <w:rsid w:val="00554EA2"/>
    <w:rsid w:val="00554EF7"/>
    <w:rsid w:val="00554F20"/>
    <w:rsid w:val="00554F2C"/>
    <w:rsid w:val="00554F3A"/>
    <w:rsid w:val="00554F56"/>
    <w:rsid w:val="00554F60"/>
    <w:rsid w:val="00554F6F"/>
    <w:rsid w:val="00555001"/>
    <w:rsid w:val="0055501D"/>
    <w:rsid w:val="0055503B"/>
    <w:rsid w:val="00555092"/>
    <w:rsid w:val="00555093"/>
    <w:rsid w:val="005550AE"/>
    <w:rsid w:val="005550D0"/>
    <w:rsid w:val="0055511D"/>
    <w:rsid w:val="0055513C"/>
    <w:rsid w:val="00555282"/>
    <w:rsid w:val="005552C2"/>
    <w:rsid w:val="005552CD"/>
    <w:rsid w:val="00555387"/>
    <w:rsid w:val="0055539A"/>
    <w:rsid w:val="00555411"/>
    <w:rsid w:val="0055541B"/>
    <w:rsid w:val="00555446"/>
    <w:rsid w:val="00555513"/>
    <w:rsid w:val="00555526"/>
    <w:rsid w:val="0055561D"/>
    <w:rsid w:val="00555643"/>
    <w:rsid w:val="00555720"/>
    <w:rsid w:val="00555732"/>
    <w:rsid w:val="00555778"/>
    <w:rsid w:val="005557CD"/>
    <w:rsid w:val="0055580B"/>
    <w:rsid w:val="00555834"/>
    <w:rsid w:val="005558FB"/>
    <w:rsid w:val="0055594D"/>
    <w:rsid w:val="00555972"/>
    <w:rsid w:val="005559BA"/>
    <w:rsid w:val="005559BF"/>
    <w:rsid w:val="005559D0"/>
    <w:rsid w:val="00555A58"/>
    <w:rsid w:val="00555A5C"/>
    <w:rsid w:val="00555ABF"/>
    <w:rsid w:val="00555AC2"/>
    <w:rsid w:val="00555AE6"/>
    <w:rsid w:val="00555C58"/>
    <w:rsid w:val="00555C64"/>
    <w:rsid w:val="00555C71"/>
    <w:rsid w:val="00555C79"/>
    <w:rsid w:val="00555C9B"/>
    <w:rsid w:val="00555CD0"/>
    <w:rsid w:val="00555CEF"/>
    <w:rsid w:val="00555D77"/>
    <w:rsid w:val="00555DDB"/>
    <w:rsid w:val="00555E09"/>
    <w:rsid w:val="00555E0C"/>
    <w:rsid w:val="00555E36"/>
    <w:rsid w:val="00555E47"/>
    <w:rsid w:val="00555E4D"/>
    <w:rsid w:val="00555E98"/>
    <w:rsid w:val="00555EAF"/>
    <w:rsid w:val="00555F44"/>
    <w:rsid w:val="00555FDB"/>
    <w:rsid w:val="0055601D"/>
    <w:rsid w:val="0055604B"/>
    <w:rsid w:val="0055604C"/>
    <w:rsid w:val="0055608B"/>
    <w:rsid w:val="0055610F"/>
    <w:rsid w:val="0055619B"/>
    <w:rsid w:val="005561AA"/>
    <w:rsid w:val="005561FF"/>
    <w:rsid w:val="00556223"/>
    <w:rsid w:val="005562BD"/>
    <w:rsid w:val="0055636F"/>
    <w:rsid w:val="00556403"/>
    <w:rsid w:val="00556428"/>
    <w:rsid w:val="00556454"/>
    <w:rsid w:val="0055646F"/>
    <w:rsid w:val="005564F9"/>
    <w:rsid w:val="00556509"/>
    <w:rsid w:val="0055653E"/>
    <w:rsid w:val="0055660E"/>
    <w:rsid w:val="00556612"/>
    <w:rsid w:val="0055665B"/>
    <w:rsid w:val="005566A0"/>
    <w:rsid w:val="005566BD"/>
    <w:rsid w:val="005566C1"/>
    <w:rsid w:val="005566E4"/>
    <w:rsid w:val="005566F9"/>
    <w:rsid w:val="00556709"/>
    <w:rsid w:val="00556723"/>
    <w:rsid w:val="0055672C"/>
    <w:rsid w:val="0055675D"/>
    <w:rsid w:val="00556774"/>
    <w:rsid w:val="005567D2"/>
    <w:rsid w:val="005567D7"/>
    <w:rsid w:val="005567DB"/>
    <w:rsid w:val="005567F8"/>
    <w:rsid w:val="005568FD"/>
    <w:rsid w:val="00556930"/>
    <w:rsid w:val="00556981"/>
    <w:rsid w:val="0055698D"/>
    <w:rsid w:val="00556A0C"/>
    <w:rsid w:val="00556B9D"/>
    <w:rsid w:val="00556BB2"/>
    <w:rsid w:val="00556BF1"/>
    <w:rsid w:val="00556C34"/>
    <w:rsid w:val="00556C3E"/>
    <w:rsid w:val="00556C4B"/>
    <w:rsid w:val="00556C65"/>
    <w:rsid w:val="00556C66"/>
    <w:rsid w:val="00556C8D"/>
    <w:rsid w:val="00556CA5"/>
    <w:rsid w:val="00556CAC"/>
    <w:rsid w:val="00556CC3"/>
    <w:rsid w:val="00556CCB"/>
    <w:rsid w:val="00556CED"/>
    <w:rsid w:val="00556D04"/>
    <w:rsid w:val="00556D0F"/>
    <w:rsid w:val="00556D4E"/>
    <w:rsid w:val="00556D88"/>
    <w:rsid w:val="00556D97"/>
    <w:rsid w:val="00556DB0"/>
    <w:rsid w:val="00556E14"/>
    <w:rsid w:val="00556E90"/>
    <w:rsid w:val="00556F74"/>
    <w:rsid w:val="00556F80"/>
    <w:rsid w:val="00557054"/>
    <w:rsid w:val="0055705D"/>
    <w:rsid w:val="005570E0"/>
    <w:rsid w:val="0055716D"/>
    <w:rsid w:val="00557180"/>
    <w:rsid w:val="00557195"/>
    <w:rsid w:val="00557206"/>
    <w:rsid w:val="0055723A"/>
    <w:rsid w:val="005572BC"/>
    <w:rsid w:val="005572DD"/>
    <w:rsid w:val="00557320"/>
    <w:rsid w:val="0055733A"/>
    <w:rsid w:val="005574A9"/>
    <w:rsid w:val="005574EF"/>
    <w:rsid w:val="005574F2"/>
    <w:rsid w:val="0055751C"/>
    <w:rsid w:val="0055753C"/>
    <w:rsid w:val="0055757D"/>
    <w:rsid w:val="0055757E"/>
    <w:rsid w:val="005575A2"/>
    <w:rsid w:val="005575A6"/>
    <w:rsid w:val="005575B5"/>
    <w:rsid w:val="00557699"/>
    <w:rsid w:val="005576BF"/>
    <w:rsid w:val="005576CE"/>
    <w:rsid w:val="00557763"/>
    <w:rsid w:val="005577AE"/>
    <w:rsid w:val="005577B6"/>
    <w:rsid w:val="005577BB"/>
    <w:rsid w:val="00557A24"/>
    <w:rsid w:val="00557A31"/>
    <w:rsid w:val="00557A45"/>
    <w:rsid w:val="00557A8E"/>
    <w:rsid w:val="00557AA3"/>
    <w:rsid w:val="00557B47"/>
    <w:rsid w:val="00557B6F"/>
    <w:rsid w:val="00557B8E"/>
    <w:rsid w:val="00557C9D"/>
    <w:rsid w:val="00557CA5"/>
    <w:rsid w:val="00557CB4"/>
    <w:rsid w:val="00557D3E"/>
    <w:rsid w:val="00557DA5"/>
    <w:rsid w:val="00557DDB"/>
    <w:rsid w:val="00557E34"/>
    <w:rsid w:val="00557E3A"/>
    <w:rsid w:val="00557E7F"/>
    <w:rsid w:val="00557EC3"/>
    <w:rsid w:val="00557EFE"/>
    <w:rsid w:val="00557F0B"/>
    <w:rsid w:val="00557F15"/>
    <w:rsid w:val="00557F1D"/>
    <w:rsid w:val="00557F41"/>
    <w:rsid w:val="00557F4C"/>
    <w:rsid w:val="00557FB8"/>
    <w:rsid w:val="00557FDB"/>
    <w:rsid w:val="0055D4BC"/>
    <w:rsid w:val="00560041"/>
    <w:rsid w:val="00560097"/>
    <w:rsid w:val="005600E4"/>
    <w:rsid w:val="0056011C"/>
    <w:rsid w:val="0056014A"/>
    <w:rsid w:val="00560168"/>
    <w:rsid w:val="005601E0"/>
    <w:rsid w:val="00560216"/>
    <w:rsid w:val="0056021D"/>
    <w:rsid w:val="00560241"/>
    <w:rsid w:val="005602C1"/>
    <w:rsid w:val="005602CF"/>
    <w:rsid w:val="00560347"/>
    <w:rsid w:val="005603F4"/>
    <w:rsid w:val="00560501"/>
    <w:rsid w:val="0056054C"/>
    <w:rsid w:val="00560564"/>
    <w:rsid w:val="00560647"/>
    <w:rsid w:val="00560737"/>
    <w:rsid w:val="00560786"/>
    <w:rsid w:val="00560843"/>
    <w:rsid w:val="00560865"/>
    <w:rsid w:val="005608AB"/>
    <w:rsid w:val="005608D0"/>
    <w:rsid w:val="005608D6"/>
    <w:rsid w:val="005608E6"/>
    <w:rsid w:val="00560977"/>
    <w:rsid w:val="00560983"/>
    <w:rsid w:val="00560A8B"/>
    <w:rsid w:val="00560AC7"/>
    <w:rsid w:val="00560B17"/>
    <w:rsid w:val="00560B6C"/>
    <w:rsid w:val="00560B94"/>
    <w:rsid w:val="00560CAD"/>
    <w:rsid w:val="00560CB7"/>
    <w:rsid w:val="00560CBE"/>
    <w:rsid w:val="00560CE1"/>
    <w:rsid w:val="00560D19"/>
    <w:rsid w:val="00560D30"/>
    <w:rsid w:val="00560D4E"/>
    <w:rsid w:val="00560DB6"/>
    <w:rsid w:val="00560E30"/>
    <w:rsid w:val="00560F0E"/>
    <w:rsid w:val="00560FDF"/>
    <w:rsid w:val="00561043"/>
    <w:rsid w:val="00561083"/>
    <w:rsid w:val="00561087"/>
    <w:rsid w:val="0056108D"/>
    <w:rsid w:val="005610F9"/>
    <w:rsid w:val="00561114"/>
    <w:rsid w:val="005611FF"/>
    <w:rsid w:val="00561227"/>
    <w:rsid w:val="00561229"/>
    <w:rsid w:val="005612C6"/>
    <w:rsid w:val="005612CF"/>
    <w:rsid w:val="005612D6"/>
    <w:rsid w:val="005612F7"/>
    <w:rsid w:val="00561334"/>
    <w:rsid w:val="00561487"/>
    <w:rsid w:val="0056149A"/>
    <w:rsid w:val="005614F0"/>
    <w:rsid w:val="0056157D"/>
    <w:rsid w:val="005615B5"/>
    <w:rsid w:val="005615CC"/>
    <w:rsid w:val="005615DF"/>
    <w:rsid w:val="0056166D"/>
    <w:rsid w:val="0056167F"/>
    <w:rsid w:val="005616B2"/>
    <w:rsid w:val="005616D7"/>
    <w:rsid w:val="00561743"/>
    <w:rsid w:val="005617A6"/>
    <w:rsid w:val="005617D4"/>
    <w:rsid w:val="005617DA"/>
    <w:rsid w:val="005617ED"/>
    <w:rsid w:val="00561839"/>
    <w:rsid w:val="00561866"/>
    <w:rsid w:val="00561941"/>
    <w:rsid w:val="005619AF"/>
    <w:rsid w:val="005619C9"/>
    <w:rsid w:val="005619DD"/>
    <w:rsid w:val="00561A05"/>
    <w:rsid w:val="00561A83"/>
    <w:rsid w:val="00561AE1"/>
    <w:rsid w:val="00561B02"/>
    <w:rsid w:val="00561B0A"/>
    <w:rsid w:val="00561B0C"/>
    <w:rsid w:val="00561B72"/>
    <w:rsid w:val="00561BB5"/>
    <w:rsid w:val="00561BBD"/>
    <w:rsid w:val="00561C1B"/>
    <w:rsid w:val="00561C5D"/>
    <w:rsid w:val="00561CAC"/>
    <w:rsid w:val="00561CFE"/>
    <w:rsid w:val="00561D0B"/>
    <w:rsid w:val="00561D46"/>
    <w:rsid w:val="00561D77"/>
    <w:rsid w:val="00561E48"/>
    <w:rsid w:val="00561E4A"/>
    <w:rsid w:val="00561E8F"/>
    <w:rsid w:val="00561ED2"/>
    <w:rsid w:val="00561F10"/>
    <w:rsid w:val="00561F51"/>
    <w:rsid w:val="00561F9D"/>
    <w:rsid w:val="00561FB3"/>
    <w:rsid w:val="00561FEA"/>
    <w:rsid w:val="00562028"/>
    <w:rsid w:val="00562039"/>
    <w:rsid w:val="00562061"/>
    <w:rsid w:val="005620A8"/>
    <w:rsid w:val="005620B8"/>
    <w:rsid w:val="00562131"/>
    <w:rsid w:val="005621C8"/>
    <w:rsid w:val="00562249"/>
    <w:rsid w:val="00562276"/>
    <w:rsid w:val="005622F1"/>
    <w:rsid w:val="00562313"/>
    <w:rsid w:val="005623A7"/>
    <w:rsid w:val="005623CA"/>
    <w:rsid w:val="00562438"/>
    <w:rsid w:val="00562483"/>
    <w:rsid w:val="005624F8"/>
    <w:rsid w:val="00562521"/>
    <w:rsid w:val="005626DF"/>
    <w:rsid w:val="0056270B"/>
    <w:rsid w:val="00562749"/>
    <w:rsid w:val="0056274C"/>
    <w:rsid w:val="00562763"/>
    <w:rsid w:val="00562778"/>
    <w:rsid w:val="0056277A"/>
    <w:rsid w:val="005627E3"/>
    <w:rsid w:val="005627EE"/>
    <w:rsid w:val="0056286B"/>
    <w:rsid w:val="00562906"/>
    <w:rsid w:val="00562918"/>
    <w:rsid w:val="00562920"/>
    <w:rsid w:val="00562939"/>
    <w:rsid w:val="00562958"/>
    <w:rsid w:val="00562980"/>
    <w:rsid w:val="00562984"/>
    <w:rsid w:val="00562A30"/>
    <w:rsid w:val="00562A6F"/>
    <w:rsid w:val="00562ABD"/>
    <w:rsid w:val="00562AFE"/>
    <w:rsid w:val="00562B3C"/>
    <w:rsid w:val="00562B4E"/>
    <w:rsid w:val="00562C1C"/>
    <w:rsid w:val="00562C2D"/>
    <w:rsid w:val="00562C30"/>
    <w:rsid w:val="00562C6E"/>
    <w:rsid w:val="00562D24"/>
    <w:rsid w:val="00562D27"/>
    <w:rsid w:val="00562DB8"/>
    <w:rsid w:val="00562DDC"/>
    <w:rsid w:val="00562E04"/>
    <w:rsid w:val="00562E6B"/>
    <w:rsid w:val="00562F01"/>
    <w:rsid w:val="00562F11"/>
    <w:rsid w:val="00562F89"/>
    <w:rsid w:val="00562F8E"/>
    <w:rsid w:val="00562FB2"/>
    <w:rsid w:val="00562FB3"/>
    <w:rsid w:val="00562FFF"/>
    <w:rsid w:val="00563015"/>
    <w:rsid w:val="005630B3"/>
    <w:rsid w:val="005630B8"/>
    <w:rsid w:val="005630E2"/>
    <w:rsid w:val="0056310D"/>
    <w:rsid w:val="0056316B"/>
    <w:rsid w:val="005631BD"/>
    <w:rsid w:val="005631E7"/>
    <w:rsid w:val="00563200"/>
    <w:rsid w:val="0056321F"/>
    <w:rsid w:val="0056327B"/>
    <w:rsid w:val="005632C4"/>
    <w:rsid w:val="005632FD"/>
    <w:rsid w:val="00563350"/>
    <w:rsid w:val="00563386"/>
    <w:rsid w:val="005633F6"/>
    <w:rsid w:val="0056340A"/>
    <w:rsid w:val="00563445"/>
    <w:rsid w:val="0056345D"/>
    <w:rsid w:val="0056350F"/>
    <w:rsid w:val="0056352F"/>
    <w:rsid w:val="00563583"/>
    <w:rsid w:val="005635BE"/>
    <w:rsid w:val="005635D8"/>
    <w:rsid w:val="005635F7"/>
    <w:rsid w:val="00563674"/>
    <w:rsid w:val="005636AB"/>
    <w:rsid w:val="005637ED"/>
    <w:rsid w:val="00563809"/>
    <w:rsid w:val="0056384B"/>
    <w:rsid w:val="005638BF"/>
    <w:rsid w:val="0056393A"/>
    <w:rsid w:val="00563946"/>
    <w:rsid w:val="0056398E"/>
    <w:rsid w:val="005639AB"/>
    <w:rsid w:val="005639EF"/>
    <w:rsid w:val="005639F1"/>
    <w:rsid w:val="005639F5"/>
    <w:rsid w:val="00563A6F"/>
    <w:rsid w:val="00563BB8"/>
    <w:rsid w:val="00563BBB"/>
    <w:rsid w:val="00563BCE"/>
    <w:rsid w:val="00563C6F"/>
    <w:rsid w:val="00563CB1"/>
    <w:rsid w:val="00563CCC"/>
    <w:rsid w:val="00563D28"/>
    <w:rsid w:val="00563D3F"/>
    <w:rsid w:val="00563D46"/>
    <w:rsid w:val="00563D92"/>
    <w:rsid w:val="00563DB0"/>
    <w:rsid w:val="00563E4F"/>
    <w:rsid w:val="00563E62"/>
    <w:rsid w:val="00563EA2"/>
    <w:rsid w:val="00563F4F"/>
    <w:rsid w:val="00563FA2"/>
    <w:rsid w:val="00563FA8"/>
    <w:rsid w:val="00563FC6"/>
    <w:rsid w:val="00564007"/>
    <w:rsid w:val="00564105"/>
    <w:rsid w:val="00564113"/>
    <w:rsid w:val="00564152"/>
    <w:rsid w:val="00564175"/>
    <w:rsid w:val="00564198"/>
    <w:rsid w:val="005641AA"/>
    <w:rsid w:val="0056420F"/>
    <w:rsid w:val="00564263"/>
    <w:rsid w:val="005642BD"/>
    <w:rsid w:val="0056434A"/>
    <w:rsid w:val="0056436C"/>
    <w:rsid w:val="00564385"/>
    <w:rsid w:val="00564392"/>
    <w:rsid w:val="00564426"/>
    <w:rsid w:val="00564449"/>
    <w:rsid w:val="0056447D"/>
    <w:rsid w:val="005644EE"/>
    <w:rsid w:val="00564697"/>
    <w:rsid w:val="005646BE"/>
    <w:rsid w:val="0056470C"/>
    <w:rsid w:val="0056472E"/>
    <w:rsid w:val="00564776"/>
    <w:rsid w:val="0056488A"/>
    <w:rsid w:val="00564906"/>
    <w:rsid w:val="00564960"/>
    <w:rsid w:val="0056498D"/>
    <w:rsid w:val="00564A4B"/>
    <w:rsid w:val="00564A5B"/>
    <w:rsid w:val="00564ADA"/>
    <w:rsid w:val="00564ADC"/>
    <w:rsid w:val="00564B0D"/>
    <w:rsid w:val="00564B17"/>
    <w:rsid w:val="00564B6F"/>
    <w:rsid w:val="00564C03"/>
    <w:rsid w:val="00564C4F"/>
    <w:rsid w:val="00564CA4"/>
    <w:rsid w:val="00564CD0"/>
    <w:rsid w:val="00564D90"/>
    <w:rsid w:val="00564E03"/>
    <w:rsid w:val="00564E47"/>
    <w:rsid w:val="00564E74"/>
    <w:rsid w:val="00564FA2"/>
    <w:rsid w:val="00564FA4"/>
    <w:rsid w:val="00565055"/>
    <w:rsid w:val="00565101"/>
    <w:rsid w:val="00565131"/>
    <w:rsid w:val="0056519D"/>
    <w:rsid w:val="005651CE"/>
    <w:rsid w:val="00565200"/>
    <w:rsid w:val="00565229"/>
    <w:rsid w:val="0056529A"/>
    <w:rsid w:val="005652D7"/>
    <w:rsid w:val="00565326"/>
    <w:rsid w:val="00565389"/>
    <w:rsid w:val="005653CD"/>
    <w:rsid w:val="005653D8"/>
    <w:rsid w:val="0056542A"/>
    <w:rsid w:val="0056545F"/>
    <w:rsid w:val="005654B0"/>
    <w:rsid w:val="00565502"/>
    <w:rsid w:val="0056553A"/>
    <w:rsid w:val="005655C6"/>
    <w:rsid w:val="005655E0"/>
    <w:rsid w:val="00565637"/>
    <w:rsid w:val="00565650"/>
    <w:rsid w:val="0056567D"/>
    <w:rsid w:val="005656C1"/>
    <w:rsid w:val="00565704"/>
    <w:rsid w:val="00565784"/>
    <w:rsid w:val="0056579A"/>
    <w:rsid w:val="005657AA"/>
    <w:rsid w:val="005658A1"/>
    <w:rsid w:val="005658EE"/>
    <w:rsid w:val="00565917"/>
    <w:rsid w:val="0056592F"/>
    <w:rsid w:val="0056596C"/>
    <w:rsid w:val="00565978"/>
    <w:rsid w:val="005659E1"/>
    <w:rsid w:val="005659F6"/>
    <w:rsid w:val="00565A29"/>
    <w:rsid w:val="00565AEB"/>
    <w:rsid w:val="00565B40"/>
    <w:rsid w:val="00565B56"/>
    <w:rsid w:val="00565BDF"/>
    <w:rsid w:val="00565C37"/>
    <w:rsid w:val="00565C3A"/>
    <w:rsid w:val="00565CD4"/>
    <w:rsid w:val="00565D0D"/>
    <w:rsid w:val="00565D6B"/>
    <w:rsid w:val="00565D92"/>
    <w:rsid w:val="00565DA1"/>
    <w:rsid w:val="00565DE3"/>
    <w:rsid w:val="00565DE5"/>
    <w:rsid w:val="00565DE7"/>
    <w:rsid w:val="00565E2C"/>
    <w:rsid w:val="00565E85"/>
    <w:rsid w:val="00565EAD"/>
    <w:rsid w:val="00565EC1"/>
    <w:rsid w:val="00565EF1"/>
    <w:rsid w:val="00565EFB"/>
    <w:rsid w:val="00565F03"/>
    <w:rsid w:val="00565F1B"/>
    <w:rsid w:val="00565F57"/>
    <w:rsid w:val="0056602E"/>
    <w:rsid w:val="005660C9"/>
    <w:rsid w:val="005660CA"/>
    <w:rsid w:val="00566123"/>
    <w:rsid w:val="0056615F"/>
    <w:rsid w:val="00566238"/>
    <w:rsid w:val="0056629A"/>
    <w:rsid w:val="005662F3"/>
    <w:rsid w:val="0056630A"/>
    <w:rsid w:val="00566353"/>
    <w:rsid w:val="0056636E"/>
    <w:rsid w:val="005663A8"/>
    <w:rsid w:val="005663AE"/>
    <w:rsid w:val="005663E2"/>
    <w:rsid w:val="0056647A"/>
    <w:rsid w:val="005664DE"/>
    <w:rsid w:val="005664EA"/>
    <w:rsid w:val="00566560"/>
    <w:rsid w:val="0056656F"/>
    <w:rsid w:val="005665B3"/>
    <w:rsid w:val="00566636"/>
    <w:rsid w:val="005666B4"/>
    <w:rsid w:val="005666B8"/>
    <w:rsid w:val="005666D6"/>
    <w:rsid w:val="00566713"/>
    <w:rsid w:val="0056673D"/>
    <w:rsid w:val="00566821"/>
    <w:rsid w:val="00566884"/>
    <w:rsid w:val="005668A2"/>
    <w:rsid w:val="00566965"/>
    <w:rsid w:val="00566998"/>
    <w:rsid w:val="005669BC"/>
    <w:rsid w:val="005669CE"/>
    <w:rsid w:val="005669F4"/>
    <w:rsid w:val="005669FC"/>
    <w:rsid w:val="00566A1A"/>
    <w:rsid w:val="00566A30"/>
    <w:rsid w:val="00566A74"/>
    <w:rsid w:val="00566A7A"/>
    <w:rsid w:val="00566AD6"/>
    <w:rsid w:val="00566B08"/>
    <w:rsid w:val="00566B0D"/>
    <w:rsid w:val="00566B6A"/>
    <w:rsid w:val="00566BA0"/>
    <w:rsid w:val="00566BBD"/>
    <w:rsid w:val="00566BDA"/>
    <w:rsid w:val="00566BDB"/>
    <w:rsid w:val="00566BEE"/>
    <w:rsid w:val="00566BF8"/>
    <w:rsid w:val="00566C02"/>
    <w:rsid w:val="00566C0E"/>
    <w:rsid w:val="00566C50"/>
    <w:rsid w:val="00566C54"/>
    <w:rsid w:val="00566C9A"/>
    <w:rsid w:val="00566CD5"/>
    <w:rsid w:val="00566D23"/>
    <w:rsid w:val="00566D48"/>
    <w:rsid w:val="00566E4B"/>
    <w:rsid w:val="00566E6D"/>
    <w:rsid w:val="00566ECE"/>
    <w:rsid w:val="00566F00"/>
    <w:rsid w:val="00566F62"/>
    <w:rsid w:val="00566F67"/>
    <w:rsid w:val="00566F76"/>
    <w:rsid w:val="00566F9A"/>
    <w:rsid w:val="00566FC6"/>
    <w:rsid w:val="0056702F"/>
    <w:rsid w:val="00567083"/>
    <w:rsid w:val="00567114"/>
    <w:rsid w:val="00567149"/>
    <w:rsid w:val="0056714E"/>
    <w:rsid w:val="005671D3"/>
    <w:rsid w:val="005671F9"/>
    <w:rsid w:val="00567223"/>
    <w:rsid w:val="00567240"/>
    <w:rsid w:val="00567269"/>
    <w:rsid w:val="005672AA"/>
    <w:rsid w:val="005672DB"/>
    <w:rsid w:val="005672FA"/>
    <w:rsid w:val="0056730F"/>
    <w:rsid w:val="0056731F"/>
    <w:rsid w:val="005673B3"/>
    <w:rsid w:val="005673EA"/>
    <w:rsid w:val="005674FF"/>
    <w:rsid w:val="00567541"/>
    <w:rsid w:val="005675FB"/>
    <w:rsid w:val="00567609"/>
    <w:rsid w:val="00567615"/>
    <w:rsid w:val="0056761F"/>
    <w:rsid w:val="00567710"/>
    <w:rsid w:val="0056771B"/>
    <w:rsid w:val="005677BA"/>
    <w:rsid w:val="005677E5"/>
    <w:rsid w:val="00567804"/>
    <w:rsid w:val="00567895"/>
    <w:rsid w:val="005678AA"/>
    <w:rsid w:val="00567918"/>
    <w:rsid w:val="005679A7"/>
    <w:rsid w:val="005679C3"/>
    <w:rsid w:val="00567A81"/>
    <w:rsid w:val="00567A85"/>
    <w:rsid w:val="00567A86"/>
    <w:rsid w:val="00567B1F"/>
    <w:rsid w:val="00567B2C"/>
    <w:rsid w:val="00567B56"/>
    <w:rsid w:val="00567B6D"/>
    <w:rsid w:val="00567B7D"/>
    <w:rsid w:val="00567B7F"/>
    <w:rsid w:val="00567BFF"/>
    <w:rsid w:val="00567C39"/>
    <w:rsid w:val="00567C97"/>
    <w:rsid w:val="00567CAF"/>
    <w:rsid w:val="00567CC7"/>
    <w:rsid w:val="00567D1B"/>
    <w:rsid w:val="00567D20"/>
    <w:rsid w:val="00567DCC"/>
    <w:rsid w:val="00567DF2"/>
    <w:rsid w:val="00567E61"/>
    <w:rsid w:val="00567E83"/>
    <w:rsid w:val="00567E8A"/>
    <w:rsid w:val="00567F38"/>
    <w:rsid w:val="00567F4B"/>
    <w:rsid w:val="00570147"/>
    <w:rsid w:val="00570154"/>
    <w:rsid w:val="0057016D"/>
    <w:rsid w:val="005701BF"/>
    <w:rsid w:val="005701C0"/>
    <w:rsid w:val="00570204"/>
    <w:rsid w:val="00570231"/>
    <w:rsid w:val="00570269"/>
    <w:rsid w:val="005702A1"/>
    <w:rsid w:val="005702E9"/>
    <w:rsid w:val="00570386"/>
    <w:rsid w:val="0057039A"/>
    <w:rsid w:val="005703BF"/>
    <w:rsid w:val="005703E8"/>
    <w:rsid w:val="005703FF"/>
    <w:rsid w:val="00570443"/>
    <w:rsid w:val="0057047A"/>
    <w:rsid w:val="005704C6"/>
    <w:rsid w:val="005704D0"/>
    <w:rsid w:val="00570523"/>
    <w:rsid w:val="00570528"/>
    <w:rsid w:val="005705CD"/>
    <w:rsid w:val="00570607"/>
    <w:rsid w:val="00570636"/>
    <w:rsid w:val="00570682"/>
    <w:rsid w:val="00570691"/>
    <w:rsid w:val="0057069F"/>
    <w:rsid w:val="005706F5"/>
    <w:rsid w:val="00570742"/>
    <w:rsid w:val="005707D8"/>
    <w:rsid w:val="00570840"/>
    <w:rsid w:val="00570859"/>
    <w:rsid w:val="00570874"/>
    <w:rsid w:val="00570904"/>
    <w:rsid w:val="0057091F"/>
    <w:rsid w:val="00570933"/>
    <w:rsid w:val="00570940"/>
    <w:rsid w:val="0057097C"/>
    <w:rsid w:val="005709F8"/>
    <w:rsid w:val="00570A1B"/>
    <w:rsid w:val="00570A9E"/>
    <w:rsid w:val="00570B1C"/>
    <w:rsid w:val="00570BAD"/>
    <w:rsid w:val="00570C3C"/>
    <w:rsid w:val="00570C43"/>
    <w:rsid w:val="00570CAF"/>
    <w:rsid w:val="00570CFE"/>
    <w:rsid w:val="00570D07"/>
    <w:rsid w:val="00570D0E"/>
    <w:rsid w:val="00570D2A"/>
    <w:rsid w:val="00570D35"/>
    <w:rsid w:val="00570D77"/>
    <w:rsid w:val="00570DC0"/>
    <w:rsid w:val="00570E4B"/>
    <w:rsid w:val="00570E65"/>
    <w:rsid w:val="00570F88"/>
    <w:rsid w:val="00570FD9"/>
    <w:rsid w:val="00570FE0"/>
    <w:rsid w:val="005710C0"/>
    <w:rsid w:val="00571126"/>
    <w:rsid w:val="00571164"/>
    <w:rsid w:val="0057116D"/>
    <w:rsid w:val="00571223"/>
    <w:rsid w:val="00571281"/>
    <w:rsid w:val="005712A6"/>
    <w:rsid w:val="005712E8"/>
    <w:rsid w:val="005713FA"/>
    <w:rsid w:val="00571442"/>
    <w:rsid w:val="00571484"/>
    <w:rsid w:val="00571487"/>
    <w:rsid w:val="005714BE"/>
    <w:rsid w:val="00571508"/>
    <w:rsid w:val="00571521"/>
    <w:rsid w:val="00571537"/>
    <w:rsid w:val="005715A7"/>
    <w:rsid w:val="005715D0"/>
    <w:rsid w:val="00571647"/>
    <w:rsid w:val="00571699"/>
    <w:rsid w:val="005716A3"/>
    <w:rsid w:val="005716A8"/>
    <w:rsid w:val="005716BF"/>
    <w:rsid w:val="005716CB"/>
    <w:rsid w:val="005716E1"/>
    <w:rsid w:val="0057171A"/>
    <w:rsid w:val="005717E9"/>
    <w:rsid w:val="005717F3"/>
    <w:rsid w:val="00571867"/>
    <w:rsid w:val="00571870"/>
    <w:rsid w:val="00571981"/>
    <w:rsid w:val="005719A0"/>
    <w:rsid w:val="00571A0E"/>
    <w:rsid w:val="00571A23"/>
    <w:rsid w:val="00571A27"/>
    <w:rsid w:val="00571A3B"/>
    <w:rsid w:val="00571A5B"/>
    <w:rsid w:val="00571A5D"/>
    <w:rsid w:val="00571AE6"/>
    <w:rsid w:val="00571AFA"/>
    <w:rsid w:val="00571B0C"/>
    <w:rsid w:val="00571B12"/>
    <w:rsid w:val="00571B46"/>
    <w:rsid w:val="00571B66"/>
    <w:rsid w:val="00571B74"/>
    <w:rsid w:val="00571B76"/>
    <w:rsid w:val="00571BDD"/>
    <w:rsid w:val="00571BF6"/>
    <w:rsid w:val="00571C37"/>
    <w:rsid w:val="00571CE3"/>
    <w:rsid w:val="00571D2B"/>
    <w:rsid w:val="00571D43"/>
    <w:rsid w:val="00571D78"/>
    <w:rsid w:val="00571D94"/>
    <w:rsid w:val="00571DC3"/>
    <w:rsid w:val="00571DD2"/>
    <w:rsid w:val="00571E70"/>
    <w:rsid w:val="00571ECF"/>
    <w:rsid w:val="00571F4F"/>
    <w:rsid w:val="00571F74"/>
    <w:rsid w:val="00571F96"/>
    <w:rsid w:val="00571FD0"/>
    <w:rsid w:val="00571FDF"/>
    <w:rsid w:val="00571FEE"/>
    <w:rsid w:val="0057204D"/>
    <w:rsid w:val="0057208C"/>
    <w:rsid w:val="0057208D"/>
    <w:rsid w:val="005720E1"/>
    <w:rsid w:val="005721BF"/>
    <w:rsid w:val="00572221"/>
    <w:rsid w:val="00572232"/>
    <w:rsid w:val="0057229F"/>
    <w:rsid w:val="005722AB"/>
    <w:rsid w:val="005722B0"/>
    <w:rsid w:val="00572307"/>
    <w:rsid w:val="005723A2"/>
    <w:rsid w:val="005723B3"/>
    <w:rsid w:val="0057241E"/>
    <w:rsid w:val="00572429"/>
    <w:rsid w:val="005724A8"/>
    <w:rsid w:val="0057251D"/>
    <w:rsid w:val="0057254D"/>
    <w:rsid w:val="00572573"/>
    <w:rsid w:val="0057259B"/>
    <w:rsid w:val="005725E2"/>
    <w:rsid w:val="00572625"/>
    <w:rsid w:val="00572677"/>
    <w:rsid w:val="005727D5"/>
    <w:rsid w:val="0057281C"/>
    <w:rsid w:val="00572857"/>
    <w:rsid w:val="0057289E"/>
    <w:rsid w:val="0057292A"/>
    <w:rsid w:val="005729A4"/>
    <w:rsid w:val="005729BA"/>
    <w:rsid w:val="005729F3"/>
    <w:rsid w:val="005729F6"/>
    <w:rsid w:val="00572A05"/>
    <w:rsid w:val="00572A18"/>
    <w:rsid w:val="00572A24"/>
    <w:rsid w:val="00572B96"/>
    <w:rsid w:val="00572B9E"/>
    <w:rsid w:val="00572BA2"/>
    <w:rsid w:val="00572BD4"/>
    <w:rsid w:val="00572BE6"/>
    <w:rsid w:val="00572C3D"/>
    <w:rsid w:val="00572D0E"/>
    <w:rsid w:val="00572D21"/>
    <w:rsid w:val="00572DB4"/>
    <w:rsid w:val="00572DD3"/>
    <w:rsid w:val="00572E81"/>
    <w:rsid w:val="00572ECC"/>
    <w:rsid w:val="00572EFB"/>
    <w:rsid w:val="00572F0C"/>
    <w:rsid w:val="00572F11"/>
    <w:rsid w:val="00572F86"/>
    <w:rsid w:val="00572FB0"/>
    <w:rsid w:val="00572FC3"/>
    <w:rsid w:val="00572FCA"/>
    <w:rsid w:val="00572FFC"/>
    <w:rsid w:val="0057302D"/>
    <w:rsid w:val="00573032"/>
    <w:rsid w:val="0057309E"/>
    <w:rsid w:val="005730F1"/>
    <w:rsid w:val="00573131"/>
    <w:rsid w:val="005731E3"/>
    <w:rsid w:val="00573210"/>
    <w:rsid w:val="00573247"/>
    <w:rsid w:val="0057329C"/>
    <w:rsid w:val="005732AD"/>
    <w:rsid w:val="00573323"/>
    <w:rsid w:val="00573336"/>
    <w:rsid w:val="0057335B"/>
    <w:rsid w:val="00573386"/>
    <w:rsid w:val="00573388"/>
    <w:rsid w:val="00573394"/>
    <w:rsid w:val="005733A2"/>
    <w:rsid w:val="005733B9"/>
    <w:rsid w:val="00573454"/>
    <w:rsid w:val="005734C8"/>
    <w:rsid w:val="005734CF"/>
    <w:rsid w:val="00573545"/>
    <w:rsid w:val="00573587"/>
    <w:rsid w:val="005735F9"/>
    <w:rsid w:val="00573614"/>
    <w:rsid w:val="0057369F"/>
    <w:rsid w:val="005736C8"/>
    <w:rsid w:val="0057373D"/>
    <w:rsid w:val="005737B2"/>
    <w:rsid w:val="005737C1"/>
    <w:rsid w:val="005737DE"/>
    <w:rsid w:val="0057385F"/>
    <w:rsid w:val="00573888"/>
    <w:rsid w:val="0057388F"/>
    <w:rsid w:val="00573897"/>
    <w:rsid w:val="005739CE"/>
    <w:rsid w:val="00573A6D"/>
    <w:rsid w:val="00573A6E"/>
    <w:rsid w:val="00573AA3"/>
    <w:rsid w:val="00573ACA"/>
    <w:rsid w:val="00573B54"/>
    <w:rsid w:val="00573B76"/>
    <w:rsid w:val="00573B84"/>
    <w:rsid w:val="00573B8A"/>
    <w:rsid w:val="00573BC6"/>
    <w:rsid w:val="00573BFB"/>
    <w:rsid w:val="00573C50"/>
    <w:rsid w:val="00573C98"/>
    <w:rsid w:val="00573D25"/>
    <w:rsid w:val="00573D2C"/>
    <w:rsid w:val="00573D87"/>
    <w:rsid w:val="00573DBB"/>
    <w:rsid w:val="00573DCA"/>
    <w:rsid w:val="00573E2F"/>
    <w:rsid w:val="00573E61"/>
    <w:rsid w:val="00573E64"/>
    <w:rsid w:val="00573E8F"/>
    <w:rsid w:val="00573EC8"/>
    <w:rsid w:val="00573FA3"/>
    <w:rsid w:val="00574025"/>
    <w:rsid w:val="0057408C"/>
    <w:rsid w:val="0057411C"/>
    <w:rsid w:val="00574130"/>
    <w:rsid w:val="00574157"/>
    <w:rsid w:val="00574158"/>
    <w:rsid w:val="00574194"/>
    <w:rsid w:val="005741D5"/>
    <w:rsid w:val="0057421A"/>
    <w:rsid w:val="0057421F"/>
    <w:rsid w:val="00574256"/>
    <w:rsid w:val="005742D3"/>
    <w:rsid w:val="0057436C"/>
    <w:rsid w:val="0057437D"/>
    <w:rsid w:val="0057443B"/>
    <w:rsid w:val="00574477"/>
    <w:rsid w:val="00574493"/>
    <w:rsid w:val="00574497"/>
    <w:rsid w:val="00574501"/>
    <w:rsid w:val="00574515"/>
    <w:rsid w:val="005745D6"/>
    <w:rsid w:val="00574649"/>
    <w:rsid w:val="005746CC"/>
    <w:rsid w:val="005746F2"/>
    <w:rsid w:val="00574702"/>
    <w:rsid w:val="0057471E"/>
    <w:rsid w:val="0057473F"/>
    <w:rsid w:val="00574849"/>
    <w:rsid w:val="0057488B"/>
    <w:rsid w:val="005748BB"/>
    <w:rsid w:val="005748C9"/>
    <w:rsid w:val="00574905"/>
    <w:rsid w:val="00574920"/>
    <w:rsid w:val="0057492A"/>
    <w:rsid w:val="0057492B"/>
    <w:rsid w:val="005749B9"/>
    <w:rsid w:val="00574AE9"/>
    <w:rsid w:val="00574B11"/>
    <w:rsid w:val="00574B2E"/>
    <w:rsid w:val="00574B67"/>
    <w:rsid w:val="00574BB5"/>
    <w:rsid w:val="00574BD8"/>
    <w:rsid w:val="00574BE8"/>
    <w:rsid w:val="00574C13"/>
    <w:rsid w:val="00574C20"/>
    <w:rsid w:val="00574C6C"/>
    <w:rsid w:val="00574C7D"/>
    <w:rsid w:val="00574CDA"/>
    <w:rsid w:val="00574D5B"/>
    <w:rsid w:val="00574D89"/>
    <w:rsid w:val="00574DCE"/>
    <w:rsid w:val="00574E98"/>
    <w:rsid w:val="00574ECD"/>
    <w:rsid w:val="00574ED4"/>
    <w:rsid w:val="00574EE0"/>
    <w:rsid w:val="00574F4F"/>
    <w:rsid w:val="00574F8C"/>
    <w:rsid w:val="00574F90"/>
    <w:rsid w:val="00574F92"/>
    <w:rsid w:val="00575089"/>
    <w:rsid w:val="005750A2"/>
    <w:rsid w:val="0057519D"/>
    <w:rsid w:val="005751E7"/>
    <w:rsid w:val="0057523D"/>
    <w:rsid w:val="0057525A"/>
    <w:rsid w:val="005752BF"/>
    <w:rsid w:val="005752E2"/>
    <w:rsid w:val="0057537F"/>
    <w:rsid w:val="00575407"/>
    <w:rsid w:val="00575450"/>
    <w:rsid w:val="00575479"/>
    <w:rsid w:val="0057547D"/>
    <w:rsid w:val="00575484"/>
    <w:rsid w:val="00575495"/>
    <w:rsid w:val="005754D9"/>
    <w:rsid w:val="00575598"/>
    <w:rsid w:val="005755A6"/>
    <w:rsid w:val="005756C0"/>
    <w:rsid w:val="005756ED"/>
    <w:rsid w:val="00575758"/>
    <w:rsid w:val="0057575B"/>
    <w:rsid w:val="005757FA"/>
    <w:rsid w:val="00575817"/>
    <w:rsid w:val="005758E9"/>
    <w:rsid w:val="00575960"/>
    <w:rsid w:val="005759C9"/>
    <w:rsid w:val="00575A75"/>
    <w:rsid w:val="00575A7F"/>
    <w:rsid w:val="00575AC4"/>
    <w:rsid w:val="00575AED"/>
    <w:rsid w:val="00575AF8"/>
    <w:rsid w:val="00575B25"/>
    <w:rsid w:val="00575BA7"/>
    <w:rsid w:val="00575BBE"/>
    <w:rsid w:val="00575BE8"/>
    <w:rsid w:val="00575C75"/>
    <w:rsid w:val="00575CB3"/>
    <w:rsid w:val="00575CFA"/>
    <w:rsid w:val="00575D21"/>
    <w:rsid w:val="00575E1F"/>
    <w:rsid w:val="00575E6D"/>
    <w:rsid w:val="00575E78"/>
    <w:rsid w:val="00575EA0"/>
    <w:rsid w:val="00575EB1"/>
    <w:rsid w:val="00575EDA"/>
    <w:rsid w:val="00575F2B"/>
    <w:rsid w:val="00575F5F"/>
    <w:rsid w:val="00575FB9"/>
    <w:rsid w:val="005760A3"/>
    <w:rsid w:val="005760C5"/>
    <w:rsid w:val="005760C8"/>
    <w:rsid w:val="005760DC"/>
    <w:rsid w:val="00576116"/>
    <w:rsid w:val="00576123"/>
    <w:rsid w:val="0057614D"/>
    <w:rsid w:val="0057617D"/>
    <w:rsid w:val="005761C5"/>
    <w:rsid w:val="005762A7"/>
    <w:rsid w:val="005762D1"/>
    <w:rsid w:val="0057636E"/>
    <w:rsid w:val="00576399"/>
    <w:rsid w:val="005763FE"/>
    <w:rsid w:val="00576457"/>
    <w:rsid w:val="0057646D"/>
    <w:rsid w:val="00576486"/>
    <w:rsid w:val="0057649A"/>
    <w:rsid w:val="005764E2"/>
    <w:rsid w:val="0057650B"/>
    <w:rsid w:val="00576541"/>
    <w:rsid w:val="005765BE"/>
    <w:rsid w:val="005765DA"/>
    <w:rsid w:val="0057663F"/>
    <w:rsid w:val="00576672"/>
    <w:rsid w:val="005766B0"/>
    <w:rsid w:val="005766B9"/>
    <w:rsid w:val="00576809"/>
    <w:rsid w:val="0057682D"/>
    <w:rsid w:val="0057685E"/>
    <w:rsid w:val="00576893"/>
    <w:rsid w:val="005768D3"/>
    <w:rsid w:val="00576993"/>
    <w:rsid w:val="005769FD"/>
    <w:rsid w:val="00576A48"/>
    <w:rsid w:val="00576A70"/>
    <w:rsid w:val="00576AC2"/>
    <w:rsid w:val="00576B7A"/>
    <w:rsid w:val="00576B8E"/>
    <w:rsid w:val="00576C22"/>
    <w:rsid w:val="00576C4A"/>
    <w:rsid w:val="00576C4B"/>
    <w:rsid w:val="00576CB1"/>
    <w:rsid w:val="00576D5B"/>
    <w:rsid w:val="00576D70"/>
    <w:rsid w:val="00576D88"/>
    <w:rsid w:val="00576DC7"/>
    <w:rsid w:val="00576DEF"/>
    <w:rsid w:val="00576E01"/>
    <w:rsid w:val="00576E0B"/>
    <w:rsid w:val="00576E0D"/>
    <w:rsid w:val="00576E41"/>
    <w:rsid w:val="00576E88"/>
    <w:rsid w:val="00576EBC"/>
    <w:rsid w:val="00576EC3"/>
    <w:rsid w:val="00576EC4"/>
    <w:rsid w:val="00576F78"/>
    <w:rsid w:val="00576FC2"/>
    <w:rsid w:val="00577025"/>
    <w:rsid w:val="0057703B"/>
    <w:rsid w:val="0057704E"/>
    <w:rsid w:val="00577067"/>
    <w:rsid w:val="005770AB"/>
    <w:rsid w:val="005770D5"/>
    <w:rsid w:val="005770F2"/>
    <w:rsid w:val="00577153"/>
    <w:rsid w:val="00577182"/>
    <w:rsid w:val="00577195"/>
    <w:rsid w:val="005771FC"/>
    <w:rsid w:val="00577267"/>
    <w:rsid w:val="00577302"/>
    <w:rsid w:val="00577353"/>
    <w:rsid w:val="00577371"/>
    <w:rsid w:val="00577484"/>
    <w:rsid w:val="0057749A"/>
    <w:rsid w:val="005774A0"/>
    <w:rsid w:val="0057750C"/>
    <w:rsid w:val="00577530"/>
    <w:rsid w:val="0057755B"/>
    <w:rsid w:val="00577580"/>
    <w:rsid w:val="005775C1"/>
    <w:rsid w:val="005775D4"/>
    <w:rsid w:val="005775E1"/>
    <w:rsid w:val="0057763F"/>
    <w:rsid w:val="005776A8"/>
    <w:rsid w:val="005776BB"/>
    <w:rsid w:val="00577739"/>
    <w:rsid w:val="005778D0"/>
    <w:rsid w:val="005779C0"/>
    <w:rsid w:val="005779C3"/>
    <w:rsid w:val="00577A31"/>
    <w:rsid w:val="00577A67"/>
    <w:rsid w:val="00577AD1"/>
    <w:rsid w:val="00577B7F"/>
    <w:rsid w:val="00577BA7"/>
    <w:rsid w:val="00577BE4"/>
    <w:rsid w:val="00577CB2"/>
    <w:rsid w:val="00577CE5"/>
    <w:rsid w:val="00577E27"/>
    <w:rsid w:val="00577E8C"/>
    <w:rsid w:val="00577EB2"/>
    <w:rsid w:val="00577EBD"/>
    <w:rsid w:val="00577EFD"/>
    <w:rsid w:val="00577FD6"/>
    <w:rsid w:val="00580009"/>
    <w:rsid w:val="0058012D"/>
    <w:rsid w:val="00580138"/>
    <w:rsid w:val="00580142"/>
    <w:rsid w:val="00580154"/>
    <w:rsid w:val="005801B3"/>
    <w:rsid w:val="00580207"/>
    <w:rsid w:val="00580277"/>
    <w:rsid w:val="005802AD"/>
    <w:rsid w:val="005802EF"/>
    <w:rsid w:val="0058030C"/>
    <w:rsid w:val="005803DB"/>
    <w:rsid w:val="0058040D"/>
    <w:rsid w:val="0058040F"/>
    <w:rsid w:val="005804B9"/>
    <w:rsid w:val="00580505"/>
    <w:rsid w:val="00580522"/>
    <w:rsid w:val="0058053D"/>
    <w:rsid w:val="005805A2"/>
    <w:rsid w:val="00580636"/>
    <w:rsid w:val="00580643"/>
    <w:rsid w:val="00580769"/>
    <w:rsid w:val="005807A7"/>
    <w:rsid w:val="005808AD"/>
    <w:rsid w:val="005808BF"/>
    <w:rsid w:val="0058092B"/>
    <w:rsid w:val="0058093F"/>
    <w:rsid w:val="0058096A"/>
    <w:rsid w:val="005809BE"/>
    <w:rsid w:val="005809D5"/>
    <w:rsid w:val="005809F0"/>
    <w:rsid w:val="00580A3D"/>
    <w:rsid w:val="00580A4C"/>
    <w:rsid w:val="00580A67"/>
    <w:rsid w:val="00580AD4"/>
    <w:rsid w:val="00580AE3"/>
    <w:rsid w:val="00580B0A"/>
    <w:rsid w:val="00580B70"/>
    <w:rsid w:val="00580B7D"/>
    <w:rsid w:val="00580D76"/>
    <w:rsid w:val="00580DA4"/>
    <w:rsid w:val="00580DFD"/>
    <w:rsid w:val="00580E4A"/>
    <w:rsid w:val="00580ED0"/>
    <w:rsid w:val="00580EEF"/>
    <w:rsid w:val="00580F9A"/>
    <w:rsid w:val="00580FBA"/>
    <w:rsid w:val="00581068"/>
    <w:rsid w:val="00581099"/>
    <w:rsid w:val="005810B0"/>
    <w:rsid w:val="005810BD"/>
    <w:rsid w:val="005810D3"/>
    <w:rsid w:val="0058112A"/>
    <w:rsid w:val="0058117E"/>
    <w:rsid w:val="005811DD"/>
    <w:rsid w:val="00581217"/>
    <w:rsid w:val="00581222"/>
    <w:rsid w:val="0058124D"/>
    <w:rsid w:val="00581253"/>
    <w:rsid w:val="00581275"/>
    <w:rsid w:val="00581283"/>
    <w:rsid w:val="00581357"/>
    <w:rsid w:val="005813CF"/>
    <w:rsid w:val="00581444"/>
    <w:rsid w:val="00581455"/>
    <w:rsid w:val="005814B3"/>
    <w:rsid w:val="00581503"/>
    <w:rsid w:val="00581581"/>
    <w:rsid w:val="005815A0"/>
    <w:rsid w:val="005815C2"/>
    <w:rsid w:val="00581601"/>
    <w:rsid w:val="00581677"/>
    <w:rsid w:val="0058169A"/>
    <w:rsid w:val="0058171D"/>
    <w:rsid w:val="00581779"/>
    <w:rsid w:val="005817A6"/>
    <w:rsid w:val="005817CB"/>
    <w:rsid w:val="005817E4"/>
    <w:rsid w:val="005817F1"/>
    <w:rsid w:val="0058182E"/>
    <w:rsid w:val="0058195A"/>
    <w:rsid w:val="00581A13"/>
    <w:rsid w:val="00581A37"/>
    <w:rsid w:val="00581A4D"/>
    <w:rsid w:val="00581A89"/>
    <w:rsid w:val="00581AD5"/>
    <w:rsid w:val="00581ADF"/>
    <w:rsid w:val="00581B25"/>
    <w:rsid w:val="00581B83"/>
    <w:rsid w:val="00581C43"/>
    <w:rsid w:val="00581CB0"/>
    <w:rsid w:val="00581CC5"/>
    <w:rsid w:val="00581CE4"/>
    <w:rsid w:val="00581DD0"/>
    <w:rsid w:val="00581DDC"/>
    <w:rsid w:val="00581E4F"/>
    <w:rsid w:val="00581E6E"/>
    <w:rsid w:val="00581ECB"/>
    <w:rsid w:val="00581EDF"/>
    <w:rsid w:val="00581EE2"/>
    <w:rsid w:val="00581EF3"/>
    <w:rsid w:val="00581EF5"/>
    <w:rsid w:val="00581F11"/>
    <w:rsid w:val="00581F2F"/>
    <w:rsid w:val="00581F3A"/>
    <w:rsid w:val="00581F47"/>
    <w:rsid w:val="00581FA8"/>
    <w:rsid w:val="00581FC7"/>
    <w:rsid w:val="0058200F"/>
    <w:rsid w:val="0058202C"/>
    <w:rsid w:val="005820AC"/>
    <w:rsid w:val="005820AF"/>
    <w:rsid w:val="005820D3"/>
    <w:rsid w:val="005820E5"/>
    <w:rsid w:val="00582129"/>
    <w:rsid w:val="00582184"/>
    <w:rsid w:val="00582196"/>
    <w:rsid w:val="005822C5"/>
    <w:rsid w:val="005822E1"/>
    <w:rsid w:val="00582318"/>
    <w:rsid w:val="005823B6"/>
    <w:rsid w:val="005823B9"/>
    <w:rsid w:val="005823D9"/>
    <w:rsid w:val="00582444"/>
    <w:rsid w:val="00582476"/>
    <w:rsid w:val="0058248E"/>
    <w:rsid w:val="005824DA"/>
    <w:rsid w:val="0058258C"/>
    <w:rsid w:val="0058261D"/>
    <w:rsid w:val="00582680"/>
    <w:rsid w:val="0058269D"/>
    <w:rsid w:val="0058269F"/>
    <w:rsid w:val="005826B6"/>
    <w:rsid w:val="00582705"/>
    <w:rsid w:val="00582742"/>
    <w:rsid w:val="00582759"/>
    <w:rsid w:val="00582785"/>
    <w:rsid w:val="005827A1"/>
    <w:rsid w:val="00582807"/>
    <w:rsid w:val="00582817"/>
    <w:rsid w:val="00582819"/>
    <w:rsid w:val="0058283A"/>
    <w:rsid w:val="0058284B"/>
    <w:rsid w:val="005828F3"/>
    <w:rsid w:val="00582994"/>
    <w:rsid w:val="005829D3"/>
    <w:rsid w:val="00582A5B"/>
    <w:rsid w:val="00582A71"/>
    <w:rsid w:val="00582A8C"/>
    <w:rsid w:val="00582B1F"/>
    <w:rsid w:val="00582B24"/>
    <w:rsid w:val="00582B3D"/>
    <w:rsid w:val="00582B63"/>
    <w:rsid w:val="00582B76"/>
    <w:rsid w:val="00582B98"/>
    <w:rsid w:val="00582BC1"/>
    <w:rsid w:val="00582C51"/>
    <w:rsid w:val="00582CD0"/>
    <w:rsid w:val="00582CEA"/>
    <w:rsid w:val="00582CF1"/>
    <w:rsid w:val="00582D17"/>
    <w:rsid w:val="00582D47"/>
    <w:rsid w:val="00582D73"/>
    <w:rsid w:val="00582D75"/>
    <w:rsid w:val="00582DE4"/>
    <w:rsid w:val="00582DE7"/>
    <w:rsid w:val="00582DEA"/>
    <w:rsid w:val="00582E17"/>
    <w:rsid w:val="00582E3E"/>
    <w:rsid w:val="00582E47"/>
    <w:rsid w:val="00582E9F"/>
    <w:rsid w:val="00582EB9"/>
    <w:rsid w:val="00582ECA"/>
    <w:rsid w:val="00582F89"/>
    <w:rsid w:val="00582FD0"/>
    <w:rsid w:val="00582FDA"/>
    <w:rsid w:val="00583032"/>
    <w:rsid w:val="0058305D"/>
    <w:rsid w:val="00583089"/>
    <w:rsid w:val="00583100"/>
    <w:rsid w:val="00583157"/>
    <w:rsid w:val="00583167"/>
    <w:rsid w:val="005831A1"/>
    <w:rsid w:val="0058320F"/>
    <w:rsid w:val="00583242"/>
    <w:rsid w:val="00583259"/>
    <w:rsid w:val="005832F5"/>
    <w:rsid w:val="00583337"/>
    <w:rsid w:val="0058338A"/>
    <w:rsid w:val="005833FF"/>
    <w:rsid w:val="00583401"/>
    <w:rsid w:val="00583408"/>
    <w:rsid w:val="0058341C"/>
    <w:rsid w:val="00583425"/>
    <w:rsid w:val="00583460"/>
    <w:rsid w:val="005834A0"/>
    <w:rsid w:val="005834C8"/>
    <w:rsid w:val="005834D7"/>
    <w:rsid w:val="00583545"/>
    <w:rsid w:val="00583556"/>
    <w:rsid w:val="005835EF"/>
    <w:rsid w:val="0058364E"/>
    <w:rsid w:val="005836B4"/>
    <w:rsid w:val="005836E7"/>
    <w:rsid w:val="00583813"/>
    <w:rsid w:val="0058386A"/>
    <w:rsid w:val="005838AF"/>
    <w:rsid w:val="005838EC"/>
    <w:rsid w:val="005839FC"/>
    <w:rsid w:val="00583A31"/>
    <w:rsid w:val="00583A54"/>
    <w:rsid w:val="00583AA5"/>
    <w:rsid w:val="00583AB1"/>
    <w:rsid w:val="00583ACD"/>
    <w:rsid w:val="00583AF6"/>
    <w:rsid w:val="00583B0E"/>
    <w:rsid w:val="00583B15"/>
    <w:rsid w:val="00583B2B"/>
    <w:rsid w:val="00583B39"/>
    <w:rsid w:val="00583B8A"/>
    <w:rsid w:val="00583B9E"/>
    <w:rsid w:val="00583BC6"/>
    <w:rsid w:val="00583C17"/>
    <w:rsid w:val="00583C83"/>
    <w:rsid w:val="00583CD1"/>
    <w:rsid w:val="00583CE3"/>
    <w:rsid w:val="00583D2E"/>
    <w:rsid w:val="00583D50"/>
    <w:rsid w:val="00583DDC"/>
    <w:rsid w:val="00583E5A"/>
    <w:rsid w:val="00583E70"/>
    <w:rsid w:val="00583ECE"/>
    <w:rsid w:val="00583F11"/>
    <w:rsid w:val="00583F58"/>
    <w:rsid w:val="00584009"/>
    <w:rsid w:val="0058401B"/>
    <w:rsid w:val="0058404A"/>
    <w:rsid w:val="0058404D"/>
    <w:rsid w:val="005840F3"/>
    <w:rsid w:val="0058415C"/>
    <w:rsid w:val="0058419A"/>
    <w:rsid w:val="005841A1"/>
    <w:rsid w:val="005841BA"/>
    <w:rsid w:val="005841EF"/>
    <w:rsid w:val="00584231"/>
    <w:rsid w:val="0058424E"/>
    <w:rsid w:val="00584296"/>
    <w:rsid w:val="00584309"/>
    <w:rsid w:val="005843CB"/>
    <w:rsid w:val="00584403"/>
    <w:rsid w:val="00584456"/>
    <w:rsid w:val="005844FA"/>
    <w:rsid w:val="00584578"/>
    <w:rsid w:val="00584589"/>
    <w:rsid w:val="005845DC"/>
    <w:rsid w:val="0058467E"/>
    <w:rsid w:val="005846A0"/>
    <w:rsid w:val="00584760"/>
    <w:rsid w:val="00584761"/>
    <w:rsid w:val="005847D5"/>
    <w:rsid w:val="005848AA"/>
    <w:rsid w:val="005848B5"/>
    <w:rsid w:val="005848D5"/>
    <w:rsid w:val="00584923"/>
    <w:rsid w:val="0058498D"/>
    <w:rsid w:val="00584A3F"/>
    <w:rsid w:val="00584ABC"/>
    <w:rsid w:val="00584ADC"/>
    <w:rsid w:val="00584B69"/>
    <w:rsid w:val="00584BA5"/>
    <w:rsid w:val="00584BDC"/>
    <w:rsid w:val="00584C16"/>
    <w:rsid w:val="00584C42"/>
    <w:rsid w:val="00584CC3"/>
    <w:rsid w:val="00584D79"/>
    <w:rsid w:val="00584DF8"/>
    <w:rsid w:val="00584DFE"/>
    <w:rsid w:val="00584E3B"/>
    <w:rsid w:val="00584E5D"/>
    <w:rsid w:val="00584E63"/>
    <w:rsid w:val="00584E7E"/>
    <w:rsid w:val="00584E9A"/>
    <w:rsid w:val="00584EAA"/>
    <w:rsid w:val="00584EF8"/>
    <w:rsid w:val="00584F08"/>
    <w:rsid w:val="00584F36"/>
    <w:rsid w:val="00584F49"/>
    <w:rsid w:val="00584F76"/>
    <w:rsid w:val="00584F7C"/>
    <w:rsid w:val="00584FA3"/>
    <w:rsid w:val="00584FCA"/>
    <w:rsid w:val="0058501F"/>
    <w:rsid w:val="00585081"/>
    <w:rsid w:val="005850B0"/>
    <w:rsid w:val="005850CF"/>
    <w:rsid w:val="00585136"/>
    <w:rsid w:val="0058514C"/>
    <w:rsid w:val="00585187"/>
    <w:rsid w:val="005851E9"/>
    <w:rsid w:val="0058524F"/>
    <w:rsid w:val="0058525D"/>
    <w:rsid w:val="005852A5"/>
    <w:rsid w:val="0058530C"/>
    <w:rsid w:val="0058533E"/>
    <w:rsid w:val="005853C9"/>
    <w:rsid w:val="0058541E"/>
    <w:rsid w:val="005854F5"/>
    <w:rsid w:val="00585519"/>
    <w:rsid w:val="00585588"/>
    <w:rsid w:val="00585667"/>
    <w:rsid w:val="00585675"/>
    <w:rsid w:val="00585678"/>
    <w:rsid w:val="0058567E"/>
    <w:rsid w:val="005857E3"/>
    <w:rsid w:val="005857E4"/>
    <w:rsid w:val="00585869"/>
    <w:rsid w:val="00585885"/>
    <w:rsid w:val="005858B7"/>
    <w:rsid w:val="005858BA"/>
    <w:rsid w:val="005858C3"/>
    <w:rsid w:val="005858C7"/>
    <w:rsid w:val="005858D1"/>
    <w:rsid w:val="005858E6"/>
    <w:rsid w:val="0058590C"/>
    <w:rsid w:val="0058595D"/>
    <w:rsid w:val="005859B1"/>
    <w:rsid w:val="005859FE"/>
    <w:rsid w:val="00585A80"/>
    <w:rsid w:val="00585A91"/>
    <w:rsid w:val="00585B25"/>
    <w:rsid w:val="00585B2F"/>
    <w:rsid w:val="00585B6B"/>
    <w:rsid w:val="00585C0A"/>
    <w:rsid w:val="00585C0C"/>
    <w:rsid w:val="00585C50"/>
    <w:rsid w:val="00585C9B"/>
    <w:rsid w:val="00585CA0"/>
    <w:rsid w:val="00585D11"/>
    <w:rsid w:val="00585D4B"/>
    <w:rsid w:val="00585DA0"/>
    <w:rsid w:val="00585DCE"/>
    <w:rsid w:val="00585E5D"/>
    <w:rsid w:val="00585E71"/>
    <w:rsid w:val="00585E8F"/>
    <w:rsid w:val="00585E90"/>
    <w:rsid w:val="00585EF3"/>
    <w:rsid w:val="00585EF9"/>
    <w:rsid w:val="00585F0C"/>
    <w:rsid w:val="00585F0F"/>
    <w:rsid w:val="00585F10"/>
    <w:rsid w:val="00585FA6"/>
    <w:rsid w:val="00585FA9"/>
    <w:rsid w:val="00585FB0"/>
    <w:rsid w:val="00585FCC"/>
    <w:rsid w:val="00585FEC"/>
    <w:rsid w:val="0058606F"/>
    <w:rsid w:val="0058610F"/>
    <w:rsid w:val="00586149"/>
    <w:rsid w:val="0058617E"/>
    <w:rsid w:val="005861D5"/>
    <w:rsid w:val="005861D7"/>
    <w:rsid w:val="0058620A"/>
    <w:rsid w:val="0058626D"/>
    <w:rsid w:val="00586282"/>
    <w:rsid w:val="00586283"/>
    <w:rsid w:val="005862A7"/>
    <w:rsid w:val="005862D1"/>
    <w:rsid w:val="005862D2"/>
    <w:rsid w:val="005862EB"/>
    <w:rsid w:val="00586310"/>
    <w:rsid w:val="0058633B"/>
    <w:rsid w:val="005863E5"/>
    <w:rsid w:val="005863F1"/>
    <w:rsid w:val="0058643F"/>
    <w:rsid w:val="00586489"/>
    <w:rsid w:val="0058651D"/>
    <w:rsid w:val="00586559"/>
    <w:rsid w:val="0058655C"/>
    <w:rsid w:val="00586586"/>
    <w:rsid w:val="005865D7"/>
    <w:rsid w:val="00586669"/>
    <w:rsid w:val="005866B4"/>
    <w:rsid w:val="005866F6"/>
    <w:rsid w:val="0058673B"/>
    <w:rsid w:val="00586789"/>
    <w:rsid w:val="005867C7"/>
    <w:rsid w:val="005867C9"/>
    <w:rsid w:val="00586826"/>
    <w:rsid w:val="0058689B"/>
    <w:rsid w:val="0058689D"/>
    <w:rsid w:val="005868B9"/>
    <w:rsid w:val="005868C4"/>
    <w:rsid w:val="005868E8"/>
    <w:rsid w:val="005868E9"/>
    <w:rsid w:val="00586954"/>
    <w:rsid w:val="00586974"/>
    <w:rsid w:val="005869B4"/>
    <w:rsid w:val="005869BF"/>
    <w:rsid w:val="00586A13"/>
    <w:rsid w:val="00586A76"/>
    <w:rsid w:val="00586A95"/>
    <w:rsid w:val="00586A99"/>
    <w:rsid w:val="00586B36"/>
    <w:rsid w:val="00586B90"/>
    <w:rsid w:val="00586D17"/>
    <w:rsid w:val="00586D27"/>
    <w:rsid w:val="00586D48"/>
    <w:rsid w:val="00586DB1"/>
    <w:rsid w:val="00586DB2"/>
    <w:rsid w:val="00586DEB"/>
    <w:rsid w:val="00586E53"/>
    <w:rsid w:val="00586E7F"/>
    <w:rsid w:val="00586ED8"/>
    <w:rsid w:val="00586EF8"/>
    <w:rsid w:val="00586F36"/>
    <w:rsid w:val="00587040"/>
    <w:rsid w:val="00587052"/>
    <w:rsid w:val="005870B6"/>
    <w:rsid w:val="005870D4"/>
    <w:rsid w:val="00587102"/>
    <w:rsid w:val="005871C3"/>
    <w:rsid w:val="00587234"/>
    <w:rsid w:val="0058728F"/>
    <w:rsid w:val="005872B6"/>
    <w:rsid w:val="005872C5"/>
    <w:rsid w:val="005872F4"/>
    <w:rsid w:val="0058733E"/>
    <w:rsid w:val="00587347"/>
    <w:rsid w:val="0058738F"/>
    <w:rsid w:val="00587397"/>
    <w:rsid w:val="005873C7"/>
    <w:rsid w:val="005874A6"/>
    <w:rsid w:val="005874B7"/>
    <w:rsid w:val="005874E6"/>
    <w:rsid w:val="00587545"/>
    <w:rsid w:val="005875F6"/>
    <w:rsid w:val="0058761A"/>
    <w:rsid w:val="0058767E"/>
    <w:rsid w:val="00587708"/>
    <w:rsid w:val="00587723"/>
    <w:rsid w:val="00587730"/>
    <w:rsid w:val="00587737"/>
    <w:rsid w:val="00587745"/>
    <w:rsid w:val="0058776A"/>
    <w:rsid w:val="0058779A"/>
    <w:rsid w:val="005877E3"/>
    <w:rsid w:val="005877FF"/>
    <w:rsid w:val="00587897"/>
    <w:rsid w:val="0058789C"/>
    <w:rsid w:val="00587966"/>
    <w:rsid w:val="00587A5E"/>
    <w:rsid w:val="00587A61"/>
    <w:rsid w:val="00587B2D"/>
    <w:rsid w:val="00587B33"/>
    <w:rsid w:val="00587B4D"/>
    <w:rsid w:val="00587C50"/>
    <w:rsid w:val="00587C74"/>
    <w:rsid w:val="00587C75"/>
    <w:rsid w:val="00587C77"/>
    <w:rsid w:val="00587C95"/>
    <w:rsid w:val="00587CA5"/>
    <w:rsid w:val="00587CCE"/>
    <w:rsid w:val="00587CD7"/>
    <w:rsid w:val="00587D79"/>
    <w:rsid w:val="00587E33"/>
    <w:rsid w:val="00587E38"/>
    <w:rsid w:val="00587EAE"/>
    <w:rsid w:val="00587F8A"/>
    <w:rsid w:val="00587FA4"/>
    <w:rsid w:val="00590022"/>
    <w:rsid w:val="0059004B"/>
    <w:rsid w:val="0059007F"/>
    <w:rsid w:val="00590082"/>
    <w:rsid w:val="005900A6"/>
    <w:rsid w:val="005900F1"/>
    <w:rsid w:val="0059010E"/>
    <w:rsid w:val="0059011B"/>
    <w:rsid w:val="0059013E"/>
    <w:rsid w:val="0059020E"/>
    <w:rsid w:val="005902CF"/>
    <w:rsid w:val="005902D0"/>
    <w:rsid w:val="005902E0"/>
    <w:rsid w:val="005902E8"/>
    <w:rsid w:val="005902FE"/>
    <w:rsid w:val="0059031E"/>
    <w:rsid w:val="005903CB"/>
    <w:rsid w:val="005903F6"/>
    <w:rsid w:val="0059042C"/>
    <w:rsid w:val="00590465"/>
    <w:rsid w:val="00590475"/>
    <w:rsid w:val="00590479"/>
    <w:rsid w:val="00590486"/>
    <w:rsid w:val="00590575"/>
    <w:rsid w:val="005905A1"/>
    <w:rsid w:val="005905A3"/>
    <w:rsid w:val="00590659"/>
    <w:rsid w:val="0059067B"/>
    <w:rsid w:val="005906E4"/>
    <w:rsid w:val="0059070F"/>
    <w:rsid w:val="00590741"/>
    <w:rsid w:val="005907B8"/>
    <w:rsid w:val="005907BF"/>
    <w:rsid w:val="005907E4"/>
    <w:rsid w:val="0059081B"/>
    <w:rsid w:val="005908DC"/>
    <w:rsid w:val="00590980"/>
    <w:rsid w:val="00590983"/>
    <w:rsid w:val="005909DC"/>
    <w:rsid w:val="005909F3"/>
    <w:rsid w:val="00590A19"/>
    <w:rsid w:val="00590B37"/>
    <w:rsid w:val="00590B53"/>
    <w:rsid w:val="00590BC3"/>
    <w:rsid w:val="00590C1C"/>
    <w:rsid w:val="00590C39"/>
    <w:rsid w:val="00590C76"/>
    <w:rsid w:val="00590C84"/>
    <w:rsid w:val="00590CBA"/>
    <w:rsid w:val="00590CD5"/>
    <w:rsid w:val="00590D29"/>
    <w:rsid w:val="00590DC8"/>
    <w:rsid w:val="00590EE7"/>
    <w:rsid w:val="00590F22"/>
    <w:rsid w:val="00590FBC"/>
    <w:rsid w:val="00590FEE"/>
    <w:rsid w:val="00591007"/>
    <w:rsid w:val="0059105F"/>
    <w:rsid w:val="005910ED"/>
    <w:rsid w:val="005911EA"/>
    <w:rsid w:val="005912EE"/>
    <w:rsid w:val="0059131C"/>
    <w:rsid w:val="00591334"/>
    <w:rsid w:val="0059136B"/>
    <w:rsid w:val="0059139E"/>
    <w:rsid w:val="005913C0"/>
    <w:rsid w:val="00591404"/>
    <w:rsid w:val="0059140C"/>
    <w:rsid w:val="005914BC"/>
    <w:rsid w:val="005914DD"/>
    <w:rsid w:val="00591568"/>
    <w:rsid w:val="00591581"/>
    <w:rsid w:val="00591582"/>
    <w:rsid w:val="00591591"/>
    <w:rsid w:val="005915A0"/>
    <w:rsid w:val="0059167B"/>
    <w:rsid w:val="00591682"/>
    <w:rsid w:val="00591733"/>
    <w:rsid w:val="005917F3"/>
    <w:rsid w:val="005917F7"/>
    <w:rsid w:val="005917FE"/>
    <w:rsid w:val="0059184A"/>
    <w:rsid w:val="00591861"/>
    <w:rsid w:val="005918E3"/>
    <w:rsid w:val="0059195A"/>
    <w:rsid w:val="00591A91"/>
    <w:rsid w:val="00591AE0"/>
    <w:rsid w:val="00591B04"/>
    <w:rsid w:val="00591B14"/>
    <w:rsid w:val="00591B4B"/>
    <w:rsid w:val="00591B5C"/>
    <w:rsid w:val="00591B6D"/>
    <w:rsid w:val="00591B76"/>
    <w:rsid w:val="00591B7B"/>
    <w:rsid w:val="00591B93"/>
    <w:rsid w:val="00591B9B"/>
    <w:rsid w:val="00591C4C"/>
    <w:rsid w:val="00591C63"/>
    <w:rsid w:val="00591C8C"/>
    <w:rsid w:val="00591CB6"/>
    <w:rsid w:val="00591CD7"/>
    <w:rsid w:val="00591CDD"/>
    <w:rsid w:val="00591D26"/>
    <w:rsid w:val="00591D5F"/>
    <w:rsid w:val="00591DDB"/>
    <w:rsid w:val="00591DE6"/>
    <w:rsid w:val="00591E74"/>
    <w:rsid w:val="00591EB4"/>
    <w:rsid w:val="00591EDA"/>
    <w:rsid w:val="00591F2D"/>
    <w:rsid w:val="00591FEB"/>
    <w:rsid w:val="00592014"/>
    <w:rsid w:val="005920D9"/>
    <w:rsid w:val="005920F3"/>
    <w:rsid w:val="005921B8"/>
    <w:rsid w:val="00592200"/>
    <w:rsid w:val="00592208"/>
    <w:rsid w:val="0059226F"/>
    <w:rsid w:val="005922B2"/>
    <w:rsid w:val="00592301"/>
    <w:rsid w:val="00592365"/>
    <w:rsid w:val="005923C6"/>
    <w:rsid w:val="00592426"/>
    <w:rsid w:val="00592432"/>
    <w:rsid w:val="00592447"/>
    <w:rsid w:val="0059244F"/>
    <w:rsid w:val="005924E7"/>
    <w:rsid w:val="00592554"/>
    <w:rsid w:val="00592588"/>
    <w:rsid w:val="005925AB"/>
    <w:rsid w:val="005925B7"/>
    <w:rsid w:val="005925CA"/>
    <w:rsid w:val="00592647"/>
    <w:rsid w:val="0059264A"/>
    <w:rsid w:val="00592680"/>
    <w:rsid w:val="005926D1"/>
    <w:rsid w:val="005926D3"/>
    <w:rsid w:val="00592722"/>
    <w:rsid w:val="00592770"/>
    <w:rsid w:val="0059278B"/>
    <w:rsid w:val="005927A8"/>
    <w:rsid w:val="0059283F"/>
    <w:rsid w:val="0059284D"/>
    <w:rsid w:val="00592906"/>
    <w:rsid w:val="0059293E"/>
    <w:rsid w:val="0059295E"/>
    <w:rsid w:val="00592969"/>
    <w:rsid w:val="0059297D"/>
    <w:rsid w:val="005929AB"/>
    <w:rsid w:val="005929F9"/>
    <w:rsid w:val="00592A3B"/>
    <w:rsid w:val="00592A4E"/>
    <w:rsid w:val="00592AB7"/>
    <w:rsid w:val="00592ACD"/>
    <w:rsid w:val="00592B1B"/>
    <w:rsid w:val="00592C0F"/>
    <w:rsid w:val="00592C18"/>
    <w:rsid w:val="00592C62"/>
    <w:rsid w:val="00592C7B"/>
    <w:rsid w:val="00592C8F"/>
    <w:rsid w:val="00592CCF"/>
    <w:rsid w:val="00592D18"/>
    <w:rsid w:val="00592D35"/>
    <w:rsid w:val="00592D78"/>
    <w:rsid w:val="00592D7B"/>
    <w:rsid w:val="00592D8B"/>
    <w:rsid w:val="00592D9F"/>
    <w:rsid w:val="00592DC6"/>
    <w:rsid w:val="00592DF1"/>
    <w:rsid w:val="00592E52"/>
    <w:rsid w:val="00592E5B"/>
    <w:rsid w:val="00592E76"/>
    <w:rsid w:val="00592E9C"/>
    <w:rsid w:val="00592F28"/>
    <w:rsid w:val="00592F63"/>
    <w:rsid w:val="00592F6F"/>
    <w:rsid w:val="00592F80"/>
    <w:rsid w:val="00593010"/>
    <w:rsid w:val="00593030"/>
    <w:rsid w:val="00593046"/>
    <w:rsid w:val="005930B4"/>
    <w:rsid w:val="0059310F"/>
    <w:rsid w:val="005931A9"/>
    <w:rsid w:val="005931FA"/>
    <w:rsid w:val="00593291"/>
    <w:rsid w:val="005932E5"/>
    <w:rsid w:val="00593307"/>
    <w:rsid w:val="0059340B"/>
    <w:rsid w:val="0059350B"/>
    <w:rsid w:val="00593523"/>
    <w:rsid w:val="005935FA"/>
    <w:rsid w:val="00593609"/>
    <w:rsid w:val="0059365D"/>
    <w:rsid w:val="00593683"/>
    <w:rsid w:val="00593688"/>
    <w:rsid w:val="005936B0"/>
    <w:rsid w:val="005936B2"/>
    <w:rsid w:val="005936F4"/>
    <w:rsid w:val="00593752"/>
    <w:rsid w:val="005937AF"/>
    <w:rsid w:val="00593819"/>
    <w:rsid w:val="0059381D"/>
    <w:rsid w:val="00593839"/>
    <w:rsid w:val="0059386C"/>
    <w:rsid w:val="0059388A"/>
    <w:rsid w:val="005938C6"/>
    <w:rsid w:val="005938D1"/>
    <w:rsid w:val="0059390A"/>
    <w:rsid w:val="0059390E"/>
    <w:rsid w:val="0059392C"/>
    <w:rsid w:val="00593960"/>
    <w:rsid w:val="00593978"/>
    <w:rsid w:val="005939BD"/>
    <w:rsid w:val="005939C4"/>
    <w:rsid w:val="005939CA"/>
    <w:rsid w:val="005939FF"/>
    <w:rsid w:val="00593A25"/>
    <w:rsid w:val="00593A33"/>
    <w:rsid w:val="00593A42"/>
    <w:rsid w:val="00593A59"/>
    <w:rsid w:val="00593B16"/>
    <w:rsid w:val="00593B1A"/>
    <w:rsid w:val="00593B36"/>
    <w:rsid w:val="00593C1B"/>
    <w:rsid w:val="00593C52"/>
    <w:rsid w:val="00593C6B"/>
    <w:rsid w:val="00593C75"/>
    <w:rsid w:val="00593CEC"/>
    <w:rsid w:val="00593D37"/>
    <w:rsid w:val="00593D43"/>
    <w:rsid w:val="00593D9F"/>
    <w:rsid w:val="00593E03"/>
    <w:rsid w:val="00593E76"/>
    <w:rsid w:val="00593E83"/>
    <w:rsid w:val="00593E89"/>
    <w:rsid w:val="00593EB8"/>
    <w:rsid w:val="00593F17"/>
    <w:rsid w:val="00593F5E"/>
    <w:rsid w:val="00593FE3"/>
    <w:rsid w:val="00593FFD"/>
    <w:rsid w:val="0059407C"/>
    <w:rsid w:val="00594088"/>
    <w:rsid w:val="0059409A"/>
    <w:rsid w:val="005940A5"/>
    <w:rsid w:val="005940E8"/>
    <w:rsid w:val="0059414A"/>
    <w:rsid w:val="0059419E"/>
    <w:rsid w:val="005941D8"/>
    <w:rsid w:val="00594215"/>
    <w:rsid w:val="00594231"/>
    <w:rsid w:val="00594253"/>
    <w:rsid w:val="00594300"/>
    <w:rsid w:val="00594322"/>
    <w:rsid w:val="0059433A"/>
    <w:rsid w:val="0059435C"/>
    <w:rsid w:val="005943A1"/>
    <w:rsid w:val="005943E6"/>
    <w:rsid w:val="005943F8"/>
    <w:rsid w:val="00594455"/>
    <w:rsid w:val="00594462"/>
    <w:rsid w:val="0059447F"/>
    <w:rsid w:val="005944E7"/>
    <w:rsid w:val="005944FB"/>
    <w:rsid w:val="005945AD"/>
    <w:rsid w:val="005945FA"/>
    <w:rsid w:val="0059464A"/>
    <w:rsid w:val="00594664"/>
    <w:rsid w:val="005946BC"/>
    <w:rsid w:val="005947ED"/>
    <w:rsid w:val="005947F9"/>
    <w:rsid w:val="00594820"/>
    <w:rsid w:val="00594842"/>
    <w:rsid w:val="0059491E"/>
    <w:rsid w:val="0059498D"/>
    <w:rsid w:val="005949AD"/>
    <w:rsid w:val="005949C1"/>
    <w:rsid w:val="00594A28"/>
    <w:rsid w:val="00594A9D"/>
    <w:rsid w:val="00594AD3"/>
    <w:rsid w:val="00594B42"/>
    <w:rsid w:val="00594B7B"/>
    <w:rsid w:val="00594BD0"/>
    <w:rsid w:val="00594C23"/>
    <w:rsid w:val="00594C26"/>
    <w:rsid w:val="00594C59"/>
    <w:rsid w:val="00594CB9"/>
    <w:rsid w:val="00594D6A"/>
    <w:rsid w:val="00594DFD"/>
    <w:rsid w:val="00594E72"/>
    <w:rsid w:val="00594F47"/>
    <w:rsid w:val="00594F71"/>
    <w:rsid w:val="00594FAA"/>
    <w:rsid w:val="00594FD7"/>
    <w:rsid w:val="00595004"/>
    <w:rsid w:val="0059508E"/>
    <w:rsid w:val="0059509C"/>
    <w:rsid w:val="005950A5"/>
    <w:rsid w:val="005950BD"/>
    <w:rsid w:val="005950CE"/>
    <w:rsid w:val="00595151"/>
    <w:rsid w:val="0059527F"/>
    <w:rsid w:val="005952A0"/>
    <w:rsid w:val="005952EC"/>
    <w:rsid w:val="0059536D"/>
    <w:rsid w:val="00595389"/>
    <w:rsid w:val="005953E4"/>
    <w:rsid w:val="005953EA"/>
    <w:rsid w:val="005953F3"/>
    <w:rsid w:val="005954C4"/>
    <w:rsid w:val="005954D3"/>
    <w:rsid w:val="005954E9"/>
    <w:rsid w:val="00595543"/>
    <w:rsid w:val="00595595"/>
    <w:rsid w:val="0059559E"/>
    <w:rsid w:val="005955D3"/>
    <w:rsid w:val="005955F2"/>
    <w:rsid w:val="0059560A"/>
    <w:rsid w:val="0059565E"/>
    <w:rsid w:val="005956F8"/>
    <w:rsid w:val="0059572A"/>
    <w:rsid w:val="005957C3"/>
    <w:rsid w:val="005957CD"/>
    <w:rsid w:val="005957D0"/>
    <w:rsid w:val="005958B9"/>
    <w:rsid w:val="005958F8"/>
    <w:rsid w:val="00595958"/>
    <w:rsid w:val="0059598A"/>
    <w:rsid w:val="005959EC"/>
    <w:rsid w:val="00595A03"/>
    <w:rsid w:val="00595A19"/>
    <w:rsid w:val="00595A27"/>
    <w:rsid w:val="00595AA7"/>
    <w:rsid w:val="00595AE7"/>
    <w:rsid w:val="00595BB6"/>
    <w:rsid w:val="00595BEE"/>
    <w:rsid w:val="00595C47"/>
    <w:rsid w:val="00595C50"/>
    <w:rsid w:val="00595C88"/>
    <w:rsid w:val="00595E4E"/>
    <w:rsid w:val="00595ED3"/>
    <w:rsid w:val="00595F10"/>
    <w:rsid w:val="00595F4B"/>
    <w:rsid w:val="00595F54"/>
    <w:rsid w:val="00595F5B"/>
    <w:rsid w:val="00595F68"/>
    <w:rsid w:val="00595FF9"/>
    <w:rsid w:val="0059601F"/>
    <w:rsid w:val="0059602D"/>
    <w:rsid w:val="0059605F"/>
    <w:rsid w:val="00596064"/>
    <w:rsid w:val="00596067"/>
    <w:rsid w:val="005960B6"/>
    <w:rsid w:val="00596148"/>
    <w:rsid w:val="0059618F"/>
    <w:rsid w:val="005961E9"/>
    <w:rsid w:val="0059631B"/>
    <w:rsid w:val="00596335"/>
    <w:rsid w:val="00596354"/>
    <w:rsid w:val="0059636B"/>
    <w:rsid w:val="00596382"/>
    <w:rsid w:val="00596401"/>
    <w:rsid w:val="00596415"/>
    <w:rsid w:val="005964B9"/>
    <w:rsid w:val="0059651D"/>
    <w:rsid w:val="00596553"/>
    <w:rsid w:val="0059663F"/>
    <w:rsid w:val="00596644"/>
    <w:rsid w:val="00596669"/>
    <w:rsid w:val="00596690"/>
    <w:rsid w:val="00596693"/>
    <w:rsid w:val="00596778"/>
    <w:rsid w:val="00596799"/>
    <w:rsid w:val="005967EC"/>
    <w:rsid w:val="005967FF"/>
    <w:rsid w:val="00596851"/>
    <w:rsid w:val="00596865"/>
    <w:rsid w:val="005968E2"/>
    <w:rsid w:val="0059690A"/>
    <w:rsid w:val="0059692D"/>
    <w:rsid w:val="0059692F"/>
    <w:rsid w:val="0059693C"/>
    <w:rsid w:val="00596993"/>
    <w:rsid w:val="00596999"/>
    <w:rsid w:val="005969E2"/>
    <w:rsid w:val="00596A0B"/>
    <w:rsid w:val="00596AC4"/>
    <w:rsid w:val="00596BE7"/>
    <w:rsid w:val="00596C6A"/>
    <w:rsid w:val="00596D7D"/>
    <w:rsid w:val="00596DAC"/>
    <w:rsid w:val="00596E68"/>
    <w:rsid w:val="00596E6D"/>
    <w:rsid w:val="00596EC1"/>
    <w:rsid w:val="00596FBA"/>
    <w:rsid w:val="00596FCC"/>
    <w:rsid w:val="0059703D"/>
    <w:rsid w:val="00597043"/>
    <w:rsid w:val="0059704E"/>
    <w:rsid w:val="00597055"/>
    <w:rsid w:val="0059714F"/>
    <w:rsid w:val="00597152"/>
    <w:rsid w:val="005971AF"/>
    <w:rsid w:val="00597254"/>
    <w:rsid w:val="005972DB"/>
    <w:rsid w:val="0059733A"/>
    <w:rsid w:val="00597377"/>
    <w:rsid w:val="00597382"/>
    <w:rsid w:val="005973EA"/>
    <w:rsid w:val="00597450"/>
    <w:rsid w:val="005974D6"/>
    <w:rsid w:val="005974E2"/>
    <w:rsid w:val="005974EE"/>
    <w:rsid w:val="005975D1"/>
    <w:rsid w:val="005975DB"/>
    <w:rsid w:val="005975EE"/>
    <w:rsid w:val="00597619"/>
    <w:rsid w:val="00597672"/>
    <w:rsid w:val="005976AF"/>
    <w:rsid w:val="00597712"/>
    <w:rsid w:val="005977BC"/>
    <w:rsid w:val="005977D7"/>
    <w:rsid w:val="005977E7"/>
    <w:rsid w:val="00597843"/>
    <w:rsid w:val="005978A6"/>
    <w:rsid w:val="005978CC"/>
    <w:rsid w:val="005978F2"/>
    <w:rsid w:val="00597929"/>
    <w:rsid w:val="00597931"/>
    <w:rsid w:val="00597962"/>
    <w:rsid w:val="00597A09"/>
    <w:rsid w:val="00597A57"/>
    <w:rsid w:val="00597AAB"/>
    <w:rsid w:val="00597ADF"/>
    <w:rsid w:val="00597AE7"/>
    <w:rsid w:val="00597AF3"/>
    <w:rsid w:val="00597B32"/>
    <w:rsid w:val="00597BDA"/>
    <w:rsid w:val="00597C5F"/>
    <w:rsid w:val="00597C8D"/>
    <w:rsid w:val="00597C94"/>
    <w:rsid w:val="00597D24"/>
    <w:rsid w:val="00597D4B"/>
    <w:rsid w:val="00597D9C"/>
    <w:rsid w:val="00597DC2"/>
    <w:rsid w:val="00597DC3"/>
    <w:rsid w:val="00597E24"/>
    <w:rsid w:val="00597E2F"/>
    <w:rsid w:val="00597E5E"/>
    <w:rsid w:val="00597E61"/>
    <w:rsid w:val="00597EC3"/>
    <w:rsid w:val="00597EDC"/>
    <w:rsid w:val="00597EFF"/>
    <w:rsid w:val="00597F73"/>
    <w:rsid w:val="00597F75"/>
    <w:rsid w:val="00597F93"/>
    <w:rsid w:val="00597FA5"/>
    <w:rsid w:val="005A0065"/>
    <w:rsid w:val="005A0098"/>
    <w:rsid w:val="005A00D4"/>
    <w:rsid w:val="005A012A"/>
    <w:rsid w:val="005A016B"/>
    <w:rsid w:val="005A0196"/>
    <w:rsid w:val="005A01A2"/>
    <w:rsid w:val="005A01E1"/>
    <w:rsid w:val="005A0230"/>
    <w:rsid w:val="005A0244"/>
    <w:rsid w:val="005A02A0"/>
    <w:rsid w:val="005A02C1"/>
    <w:rsid w:val="005A02D9"/>
    <w:rsid w:val="005A03C9"/>
    <w:rsid w:val="005A0473"/>
    <w:rsid w:val="005A04C2"/>
    <w:rsid w:val="005A0507"/>
    <w:rsid w:val="005A0514"/>
    <w:rsid w:val="005A054A"/>
    <w:rsid w:val="005A0556"/>
    <w:rsid w:val="005A056E"/>
    <w:rsid w:val="005A05A5"/>
    <w:rsid w:val="005A05AC"/>
    <w:rsid w:val="005A05BC"/>
    <w:rsid w:val="005A05E0"/>
    <w:rsid w:val="005A05F2"/>
    <w:rsid w:val="005A0657"/>
    <w:rsid w:val="005A0673"/>
    <w:rsid w:val="005A0776"/>
    <w:rsid w:val="005A07E3"/>
    <w:rsid w:val="005A07F7"/>
    <w:rsid w:val="005A0818"/>
    <w:rsid w:val="005A0835"/>
    <w:rsid w:val="005A083D"/>
    <w:rsid w:val="005A08B2"/>
    <w:rsid w:val="005A08DD"/>
    <w:rsid w:val="005A08F9"/>
    <w:rsid w:val="005A0920"/>
    <w:rsid w:val="005A0A06"/>
    <w:rsid w:val="005A0A4D"/>
    <w:rsid w:val="005A0A6D"/>
    <w:rsid w:val="005A0AD6"/>
    <w:rsid w:val="005A0B8F"/>
    <w:rsid w:val="005A0BC4"/>
    <w:rsid w:val="005A0C01"/>
    <w:rsid w:val="005A0C58"/>
    <w:rsid w:val="005A0C88"/>
    <w:rsid w:val="005A0C98"/>
    <w:rsid w:val="005A0CA4"/>
    <w:rsid w:val="005A0CE1"/>
    <w:rsid w:val="005A0D03"/>
    <w:rsid w:val="005A0D1B"/>
    <w:rsid w:val="005A0DA0"/>
    <w:rsid w:val="005A0E20"/>
    <w:rsid w:val="005A0E68"/>
    <w:rsid w:val="005A0E8E"/>
    <w:rsid w:val="005A0EC8"/>
    <w:rsid w:val="005A0F39"/>
    <w:rsid w:val="005A0F3E"/>
    <w:rsid w:val="005A0F5D"/>
    <w:rsid w:val="005A0F72"/>
    <w:rsid w:val="005A0FA2"/>
    <w:rsid w:val="005A0FD2"/>
    <w:rsid w:val="005A10E5"/>
    <w:rsid w:val="005A1149"/>
    <w:rsid w:val="005A1174"/>
    <w:rsid w:val="005A1199"/>
    <w:rsid w:val="005A121D"/>
    <w:rsid w:val="005A12C3"/>
    <w:rsid w:val="005A12C6"/>
    <w:rsid w:val="005A1323"/>
    <w:rsid w:val="005A1345"/>
    <w:rsid w:val="005A1386"/>
    <w:rsid w:val="005A1393"/>
    <w:rsid w:val="005A13B3"/>
    <w:rsid w:val="005A149E"/>
    <w:rsid w:val="005A1514"/>
    <w:rsid w:val="005A1593"/>
    <w:rsid w:val="005A1597"/>
    <w:rsid w:val="005A15C3"/>
    <w:rsid w:val="005A15F0"/>
    <w:rsid w:val="005A167F"/>
    <w:rsid w:val="005A1699"/>
    <w:rsid w:val="005A16BD"/>
    <w:rsid w:val="005A16E3"/>
    <w:rsid w:val="005A1711"/>
    <w:rsid w:val="005A1712"/>
    <w:rsid w:val="005A1768"/>
    <w:rsid w:val="005A1792"/>
    <w:rsid w:val="005A17DA"/>
    <w:rsid w:val="005A1839"/>
    <w:rsid w:val="005A18B6"/>
    <w:rsid w:val="005A1916"/>
    <w:rsid w:val="005A19B9"/>
    <w:rsid w:val="005A1A1E"/>
    <w:rsid w:val="005A1A44"/>
    <w:rsid w:val="005A1A59"/>
    <w:rsid w:val="005A1A7F"/>
    <w:rsid w:val="005A1AC9"/>
    <w:rsid w:val="005A1AFA"/>
    <w:rsid w:val="005A1B21"/>
    <w:rsid w:val="005A1B2A"/>
    <w:rsid w:val="005A1B40"/>
    <w:rsid w:val="005A1B4F"/>
    <w:rsid w:val="005A1BA8"/>
    <w:rsid w:val="005A1C11"/>
    <w:rsid w:val="005A1C6A"/>
    <w:rsid w:val="005A1C86"/>
    <w:rsid w:val="005A1CC6"/>
    <w:rsid w:val="005A1CDA"/>
    <w:rsid w:val="005A1D30"/>
    <w:rsid w:val="005A1D71"/>
    <w:rsid w:val="005A1D72"/>
    <w:rsid w:val="005A1D74"/>
    <w:rsid w:val="005A1D75"/>
    <w:rsid w:val="005A1D8A"/>
    <w:rsid w:val="005A1E5F"/>
    <w:rsid w:val="005A1EC5"/>
    <w:rsid w:val="005A1EDE"/>
    <w:rsid w:val="005A1F41"/>
    <w:rsid w:val="005A1F6A"/>
    <w:rsid w:val="005A2035"/>
    <w:rsid w:val="005A2036"/>
    <w:rsid w:val="005A20D8"/>
    <w:rsid w:val="005A217C"/>
    <w:rsid w:val="005A21F5"/>
    <w:rsid w:val="005A222F"/>
    <w:rsid w:val="005A223E"/>
    <w:rsid w:val="005A22EA"/>
    <w:rsid w:val="005A2307"/>
    <w:rsid w:val="005A2342"/>
    <w:rsid w:val="005A2367"/>
    <w:rsid w:val="005A23E8"/>
    <w:rsid w:val="005A2489"/>
    <w:rsid w:val="005A24EC"/>
    <w:rsid w:val="005A257D"/>
    <w:rsid w:val="005A2582"/>
    <w:rsid w:val="005A26C3"/>
    <w:rsid w:val="005A26F7"/>
    <w:rsid w:val="005A26FC"/>
    <w:rsid w:val="005A272C"/>
    <w:rsid w:val="005A274C"/>
    <w:rsid w:val="005A276B"/>
    <w:rsid w:val="005A27CA"/>
    <w:rsid w:val="005A2832"/>
    <w:rsid w:val="005A283E"/>
    <w:rsid w:val="005A2893"/>
    <w:rsid w:val="005A28CD"/>
    <w:rsid w:val="005A29AA"/>
    <w:rsid w:val="005A29EB"/>
    <w:rsid w:val="005A2B45"/>
    <w:rsid w:val="005A2B74"/>
    <w:rsid w:val="005A2BA5"/>
    <w:rsid w:val="005A2BDB"/>
    <w:rsid w:val="005A2C52"/>
    <w:rsid w:val="005A2C96"/>
    <w:rsid w:val="005A2CD7"/>
    <w:rsid w:val="005A2CF5"/>
    <w:rsid w:val="005A2DDC"/>
    <w:rsid w:val="005A2E55"/>
    <w:rsid w:val="005A2FE6"/>
    <w:rsid w:val="005A2FED"/>
    <w:rsid w:val="005A3010"/>
    <w:rsid w:val="005A3060"/>
    <w:rsid w:val="005A310C"/>
    <w:rsid w:val="005A311B"/>
    <w:rsid w:val="005A3139"/>
    <w:rsid w:val="005A316D"/>
    <w:rsid w:val="005A322D"/>
    <w:rsid w:val="005A324C"/>
    <w:rsid w:val="005A341A"/>
    <w:rsid w:val="005A3479"/>
    <w:rsid w:val="005A34C7"/>
    <w:rsid w:val="005A34E0"/>
    <w:rsid w:val="005A353A"/>
    <w:rsid w:val="005A353F"/>
    <w:rsid w:val="005A3574"/>
    <w:rsid w:val="005A35A0"/>
    <w:rsid w:val="005A35A9"/>
    <w:rsid w:val="005A360F"/>
    <w:rsid w:val="005A363C"/>
    <w:rsid w:val="005A36E8"/>
    <w:rsid w:val="005A3707"/>
    <w:rsid w:val="005A3724"/>
    <w:rsid w:val="005A3732"/>
    <w:rsid w:val="005A3764"/>
    <w:rsid w:val="005A376D"/>
    <w:rsid w:val="005A3801"/>
    <w:rsid w:val="005A3812"/>
    <w:rsid w:val="005A381A"/>
    <w:rsid w:val="005A3842"/>
    <w:rsid w:val="005A389C"/>
    <w:rsid w:val="005A38B2"/>
    <w:rsid w:val="005A38C2"/>
    <w:rsid w:val="005A38EC"/>
    <w:rsid w:val="005A3965"/>
    <w:rsid w:val="005A39B3"/>
    <w:rsid w:val="005A39C1"/>
    <w:rsid w:val="005A39F9"/>
    <w:rsid w:val="005A3A10"/>
    <w:rsid w:val="005A3A27"/>
    <w:rsid w:val="005A3A4C"/>
    <w:rsid w:val="005A3A50"/>
    <w:rsid w:val="005A3AC4"/>
    <w:rsid w:val="005A3ADE"/>
    <w:rsid w:val="005A3B67"/>
    <w:rsid w:val="005A3B79"/>
    <w:rsid w:val="005A3B9A"/>
    <w:rsid w:val="005A3BD7"/>
    <w:rsid w:val="005A3C4A"/>
    <w:rsid w:val="005A3CB7"/>
    <w:rsid w:val="005A3CDE"/>
    <w:rsid w:val="005A3D01"/>
    <w:rsid w:val="005A3D37"/>
    <w:rsid w:val="005A3D53"/>
    <w:rsid w:val="005A3D65"/>
    <w:rsid w:val="005A3D87"/>
    <w:rsid w:val="005A3DF0"/>
    <w:rsid w:val="005A3E19"/>
    <w:rsid w:val="005A3EBA"/>
    <w:rsid w:val="005A3F8A"/>
    <w:rsid w:val="005A3F91"/>
    <w:rsid w:val="005A3F9D"/>
    <w:rsid w:val="005A4010"/>
    <w:rsid w:val="005A4042"/>
    <w:rsid w:val="005A4094"/>
    <w:rsid w:val="005A412C"/>
    <w:rsid w:val="005A41B2"/>
    <w:rsid w:val="005A41E8"/>
    <w:rsid w:val="005A4254"/>
    <w:rsid w:val="005A42AB"/>
    <w:rsid w:val="005A42ED"/>
    <w:rsid w:val="005A431E"/>
    <w:rsid w:val="005A4362"/>
    <w:rsid w:val="005A4366"/>
    <w:rsid w:val="005A4369"/>
    <w:rsid w:val="005A4423"/>
    <w:rsid w:val="005A444A"/>
    <w:rsid w:val="005A444B"/>
    <w:rsid w:val="005A4514"/>
    <w:rsid w:val="005A455B"/>
    <w:rsid w:val="005A469D"/>
    <w:rsid w:val="005A470C"/>
    <w:rsid w:val="005A4751"/>
    <w:rsid w:val="005A4776"/>
    <w:rsid w:val="005A4777"/>
    <w:rsid w:val="005A4785"/>
    <w:rsid w:val="005A47C5"/>
    <w:rsid w:val="005A47C7"/>
    <w:rsid w:val="005A47F2"/>
    <w:rsid w:val="005A48AD"/>
    <w:rsid w:val="005A48AF"/>
    <w:rsid w:val="005A498F"/>
    <w:rsid w:val="005A4A02"/>
    <w:rsid w:val="005A4A72"/>
    <w:rsid w:val="005A4B08"/>
    <w:rsid w:val="005A4BD6"/>
    <w:rsid w:val="005A4BE4"/>
    <w:rsid w:val="005A4C1B"/>
    <w:rsid w:val="005A4C2C"/>
    <w:rsid w:val="005A4C56"/>
    <w:rsid w:val="005A4CCC"/>
    <w:rsid w:val="005A4DA6"/>
    <w:rsid w:val="005A4DD7"/>
    <w:rsid w:val="005A4E39"/>
    <w:rsid w:val="005A4E93"/>
    <w:rsid w:val="005A4EB5"/>
    <w:rsid w:val="005A4EE8"/>
    <w:rsid w:val="005A4FCF"/>
    <w:rsid w:val="005A4FFC"/>
    <w:rsid w:val="005A5014"/>
    <w:rsid w:val="005A502A"/>
    <w:rsid w:val="005A5047"/>
    <w:rsid w:val="005A5097"/>
    <w:rsid w:val="005A50FA"/>
    <w:rsid w:val="005A5137"/>
    <w:rsid w:val="005A5185"/>
    <w:rsid w:val="005A51D4"/>
    <w:rsid w:val="005A5214"/>
    <w:rsid w:val="005A5228"/>
    <w:rsid w:val="005A5234"/>
    <w:rsid w:val="005A52B0"/>
    <w:rsid w:val="005A52C1"/>
    <w:rsid w:val="005A52D1"/>
    <w:rsid w:val="005A538C"/>
    <w:rsid w:val="005A5395"/>
    <w:rsid w:val="005A54A8"/>
    <w:rsid w:val="005A54C3"/>
    <w:rsid w:val="005A5514"/>
    <w:rsid w:val="005A55C3"/>
    <w:rsid w:val="005A55DB"/>
    <w:rsid w:val="005A55EE"/>
    <w:rsid w:val="005A564C"/>
    <w:rsid w:val="005A56A0"/>
    <w:rsid w:val="005A56EF"/>
    <w:rsid w:val="005A5709"/>
    <w:rsid w:val="005A5853"/>
    <w:rsid w:val="005A589C"/>
    <w:rsid w:val="005A58E5"/>
    <w:rsid w:val="005A58E9"/>
    <w:rsid w:val="005A5903"/>
    <w:rsid w:val="005A590E"/>
    <w:rsid w:val="005A5998"/>
    <w:rsid w:val="005A599E"/>
    <w:rsid w:val="005A59A0"/>
    <w:rsid w:val="005A5ABA"/>
    <w:rsid w:val="005A5BB8"/>
    <w:rsid w:val="005A5BEA"/>
    <w:rsid w:val="005A5C37"/>
    <w:rsid w:val="005A5C6F"/>
    <w:rsid w:val="005A5C9F"/>
    <w:rsid w:val="005A5CBE"/>
    <w:rsid w:val="005A5CFE"/>
    <w:rsid w:val="005A5D65"/>
    <w:rsid w:val="005A5D6A"/>
    <w:rsid w:val="005A5D93"/>
    <w:rsid w:val="005A5D98"/>
    <w:rsid w:val="005A5DBE"/>
    <w:rsid w:val="005A5DEB"/>
    <w:rsid w:val="005A5F00"/>
    <w:rsid w:val="005A5F60"/>
    <w:rsid w:val="005A5F81"/>
    <w:rsid w:val="005A5FC3"/>
    <w:rsid w:val="005A5FE3"/>
    <w:rsid w:val="005A600C"/>
    <w:rsid w:val="005A6085"/>
    <w:rsid w:val="005A60DD"/>
    <w:rsid w:val="005A6169"/>
    <w:rsid w:val="005A6176"/>
    <w:rsid w:val="005A61B7"/>
    <w:rsid w:val="005A61BB"/>
    <w:rsid w:val="005A61D5"/>
    <w:rsid w:val="005A61FC"/>
    <w:rsid w:val="005A6270"/>
    <w:rsid w:val="005A6327"/>
    <w:rsid w:val="005A633E"/>
    <w:rsid w:val="005A638A"/>
    <w:rsid w:val="005A6393"/>
    <w:rsid w:val="005A63A9"/>
    <w:rsid w:val="005A63E9"/>
    <w:rsid w:val="005A6421"/>
    <w:rsid w:val="005A642D"/>
    <w:rsid w:val="005A649F"/>
    <w:rsid w:val="005A64BD"/>
    <w:rsid w:val="005A64C9"/>
    <w:rsid w:val="005A65C9"/>
    <w:rsid w:val="005A6633"/>
    <w:rsid w:val="005A6647"/>
    <w:rsid w:val="005A6660"/>
    <w:rsid w:val="005A6669"/>
    <w:rsid w:val="005A66B4"/>
    <w:rsid w:val="005A6703"/>
    <w:rsid w:val="005A6746"/>
    <w:rsid w:val="005A67F6"/>
    <w:rsid w:val="005A6824"/>
    <w:rsid w:val="005A682F"/>
    <w:rsid w:val="005A6890"/>
    <w:rsid w:val="005A68EE"/>
    <w:rsid w:val="005A68FD"/>
    <w:rsid w:val="005A6AD6"/>
    <w:rsid w:val="005A6B14"/>
    <w:rsid w:val="005A6B5E"/>
    <w:rsid w:val="005A6B83"/>
    <w:rsid w:val="005A6BBA"/>
    <w:rsid w:val="005A6BC4"/>
    <w:rsid w:val="005A6C02"/>
    <w:rsid w:val="005A6D0C"/>
    <w:rsid w:val="005A6D30"/>
    <w:rsid w:val="005A6D5A"/>
    <w:rsid w:val="005A6E1E"/>
    <w:rsid w:val="005A6E20"/>
    <w:rsid w:val="005A6E22"/>
    <w:rsid w:val="005A6E29"/>
    <w:rsid w:val="005A6EA7"/>
    <w:rsid w:val="005A6EC5"/>
    <w:rsid w:val="005A6ECC"/>
    <w:rsid w:val="005A6EE1"/>
    <w:rsid w:val="005A6EE8"/>
    <w:rsid w:val="005A6EF0"/>
    <w:rsid w:val="005A6F28"/>
    <w:rsid w:val="005A6F50"/>
    <w:rsid w:val="005A6F9B"/>
    <w:rsid w:val="005A6FB3"/>
    <w:rsid w:val="005A7015"/>
    <w:rsid w:val="005A7028"/>
    <w:rsid w:val="005A702D"/>
    <w:rsid w:val="005A70A6"/>
    <w:rsid w:val="005A7155"/>
    <w:rsid w:val="005A7187"/>
    <w:rsid w:val="005A7226"/>
    <w:rsid w:val="005A72BB"/>
    <w:rsid w:val="005A72C0"/>
    <w:rsid w:val="005A7300"/>
    <w:rsid w:val="005A7316"/>
    <w:rsid w:val="005A7453"/>
    <w:rsid w:val="005A749B"/>
    <w:rsid w:val="005A7528"/>
    <w:rsid w:val="005A754D"/>
    <w:rsid w:val="005A7588"/>
    <w:rsid w:val="005A75A1"/>
    <w:rsid w:val="005A75BB"/>
    <w:rsid w:val="005A75CC"/>
    <w:rsid w:val="005A7609"/>
    <w:rsid w:val="005A7620"/>
    <w:rsid w:val="005A7643"/>
    <w:rsid w:val="005A7695"/>
    <w:rsid w:val="005A76C4"/>
    <w:rsid w:val="005A76D4"/>
    <w:rsid w:val="005A76EF"/>
    <w:rsid w:val="005A771B"/>
    <w:rsid w:val="005A7732"/>
    <w:rsid w:val="005A775E"/>
    <w:rsid w:val="005A7782"/>
    <w:rsid w:val="005A7848"/>
    <w:rsid w:val="005A79A2"/>
    <w:rsid w:val="005A79A9"/>
    <w:rsid w:val="005A7A3A"/>
    <w:rsid w:val="005A7A81"/>
    <w:rsid w:val="005A7AB2"/>
    <w:rsid w:val="005A7BED"/>
    <w:rsid w:val="005A7C05"/>
    <w:rsid w:val="005A7C37"/>
    <w:rsid w:val="005A7C58"/>
    <w:rsid w:val="005A7C71"/>
    <w:rsid w:val="005A7C8D"/>
    <w:rsid w:val="005A7D0A"/>
    <w:rsid w:val="005A7D23"/>
    <w:rsid w:val="005A7D9C"/>
    <w:rsid w:val="005A7DDC"/>
    <w:rsid w:val="005A7E7C"/>
    <w:rsid w:val="005A7E81"/>
    <w:rsid w:val="005A7F79"/>
    <w:rsid w:val="005A7F8C"/>
    <w:rsid w:val="005A7FA6"/>
    <w:rsid w:val="005B0072"/>
    <w:rsid w:val="005B00AA"/>
    <w:rsid w:val="005B00AD"/>
    <w:rsid w:val="005B00B5"/>
    <w:rsid w:val="005B00C5"/>
    <w:rsid w:val="005B0110"/>
    <w:rsid w:val="005B011B"/>
    <w:rsid w:val="005B013B"/>
    <w:rsid w:val="005B024E"/>
    <w:rsid w:val="005B032C"/>
    <w:rsid w:val="005B0347"/>
    <w:rsid w:val="005B045A"/>
    <w:rsid w:val="005B0472"/>
    <w:rsid w:val="005B04C7"/>
    <w:rsid w:val="005B0518"/>
    <w:rsid w:val="005B0577"/>
    <w:rsid w:val="005B0599"/>
    <w:rsid w:val="005B05C9"/>
    <w:rsid w:val="005B05D5"/>
    <w:rsid w:val="005B05F3"/>
    <w:rsid w:val="005B061E"/>
    <w:rsid w:val="005B0636"/>
    <w:rsid w:val="005B0684"/>
    <w:rsid w:val="005B074B"/>
    <w:rsid w:val="005B07C5"/>
    <w:rsid w:val="005B087B"/>
    <w:rsid w:val="005B091A"/>
    <w:rsid w:val="005B094A"/>
    <w:rsid w:val="005B095E"/>
    <w:rsid w:val="005B09F0"/>
    <w:rsid w:val="005B0A6F"/>
    <w:rsid w:val="005B0AB9"/>
    <w:rsid w:val="005B0AEB"/>
    <w:rsid w:val="005B0B17"/>
    <w:rsid w:val="005B0B1F"/>
    <w:rsid w:val="005B0B8D"/>
    <w:rsid w:val="005B0BF5"/>
    <w:rsid w:val="005B0C5B"/>
    <w:rsid w:val="005B0C86"/>
    <w:rsid w:val="005B0C90"/>
    <w:rsid w:val="005B0CB0"/>
    <w:rsid w:val="005B0CBC"/>
    <w:rsid w:val="005B0D4F"/>
    <w:rsid w:val="005B0D80"/>
    <w:rsid w:val="005B0DF6"/>
    <w:rsid w:val="005B0DFF"/>
    <w:rsid w:val="005B0E84"/>
    <w:rsid w:val="005B0E98"/>
    <w:rsid w:val="005B0F54"/>
    <w:rsid w:val="005B0FC6"/>
    <w:rsid w:val="005B0FE0"/>
    <w:rsid w:val="005B10D0"/>
    <w:rsid w:val="005B1209"/>
    <w:rsid w:val="005B1220"/>
    <w:rsid w:val="005B1264"/>
    <w:rsid w:val="005B1282"/>
    <w:rsid w:val="005B129E"/>
    <w:rsid w:val="005B12AA"/>
    <w:rsid w:val="005B12FD"/>
    <w:rsid w:val="005B1306"/>
    <w:rsid w:val="005B135E"/>
    <w:rsid w:val="005B13AB"/>
    <w:rsid w:val="005B13CE"/>
    <w:rsid w:val="005B1438"/>
    <w:rsid w:val="005B149D"/>
    <w:rsid w:val="005B149E"/>
    <w:rsid w:val="005B14AF"/>
    <w:rsid w:val="005B14BE"/>
    <w:rsid w:val="005B154C"/>
    <w:rsid w:val="005B15D1"/>
    <w:rsid w:val="005B15DF"/>
    <w:rsid w:val="005B1642"/>
    <w:rsid w:val="005B164B"/>
    <w:rsid w:val="005B1667"/>
    <w:rsid w:val="005B167A"/>
    <w:rsid w:val="005B1691"/>
    <w:rsid w:val="005B16CB"/>
    <w:rsid w:val="005B16EE"/>
    <w:rsid w:val="005B1700"/>
    <w:rsid w:val="005B1702"/>
    <w:rsid w:val="005B1703"/>
    <w:rsid w:val="005B1773"/>
    <w:rsid w:val="005B1784"/>
    <w:rsid w:val="005B179E"/>
    <w:rsid w:val="005B1805"/>
    <w:rsid w:val="005B1809"/>
    <w:rsid w:val="005B1834"/>
    <w:rsid w:val="005B1869"/>
    <w:rsid w:val="005B186D"/>
    <w:rsid w:val="005B1879"/>
    <w:rsid w:val="005B187D"/>
    <w:rsid w:val="005B18A9"/>
    <w:rsid w:val="005B18C8"/>
    <w:rsid w:val="005B18F6"/>
    <w:rsid w:val="005B1958"/>
    <w:rsid w:val="005B19A4"/>
    <w:rsid w:val="005B19EC"/>
    <w:rsid w:val="005B1B7B"/>
    <w:rsid w:val="005B1BBC"/>
    <w:rsid w:val="005B1BD4"/>
    <w:rsid w:val="005B1BDB"/>
    <w:rsid w:val="005B1C58"/>
    <w:rsid w:val="005B1C8D"/>
    <w:rsid w:val="005B1D23"/>
    <w:rsid w:val="005B1D39"/>
    <w:rsid w:val="005B1D56"/>
    <w:rsid w:val="005B1E39"/>
    <w:rsid w:val="005B1EF8"/>
    <w:rsid w:val="005B1F4C"/>
    <w:rsid w:val="005B1FAE"/>
    <w:rsid w:val="005B1FCD"/>
    <w:rsid w:val="005B203E"/>
    <w:rsid w:val="005B20D6"/>
    <w:rsid w:val="005B20F4"/>
    <w:rsid w:val="005B20F6"/>
    <w:rsid w:val="005B2154"/>
    <w:rsid w:val="005B21ED"/>
    <w:rsid w:val="005B2208"/>
    <w:rsid w:val="005B2246"/>
    <w:rsid w:val="005B2286"/>
    <w:rsid w:val="005B22B9"/>
    <w:rsid w:val="005B22DE"/>
    <w:rsid w:val="005B22E3"/>
    <w:rsid w:val="005B2306"/>
    <w:rsid w:val="005B236B"/>
    <w:rsid w:val="005B2383"/>
    <w:rsid w:val="005B2395"/>
    <w:rsid w:val="005B23C5"/>
    <w:rsid w:val="005B23CE"/>
    <w:rsid w:val="005B2415"/>
    <w:rsid w:val="005B2480"/>
    <w:rsid w:val="005B2593"/>
    <w:rsid w:val="005B25E5"/>
    <w:rsid w:val="005B2691"/>
    <w:rsid w:val="005B269E"/>
    <w:rsid w:val="005B270A"/>
    <w:rsid w:val="005B2725"/>
    <w:rsid w:val="005B276F"/>
    <w:rsid w:val="005B2782"/>
    <w:rsid w:val="005B27AD"/>
    <w:rsid w:val="005B2808"/>
    <w:rsid w:val="005B2826"/>
    <w:rsid w:val="005B2830"/>
    <w:rsid w:val="005B285F"/>
    <w:rsid w:val="005B292F"/>
    <w:rsid w:val="005B2978"/>
    <w:rsid w:val="005B2993"/>
    <w:rsid w:val="005B2B1D"/>
    <w:rsid w:val="005B2B5F"/>
    <w:rsid w:val="005B2BB3"/>
    <w:rsid w:val="005B2C1A"/>
    <w:rsid w:val="005B2C52"/>
    <w:rsid w:val="005B2C82"/>
    <w:rsid w:val="005B2CA3"/>
    <w:rsid w:val="005B2D40"/>
    <w:rsid w:val="005B2D9D"/>
    <w:rsid w:val="005B2E22"/>
    <w:rsid w:val="005B2F30"/>
    <w:rsid w:val="005B2F79"/>
    <w:rsid w:val="005B3023"/>
    <w:rsid w:val="005B3048"/>
    <w:rsid w:val="005B3096"/>
    <w:rsid w:val="005B3142"/>
    <w:rsid w:val="005B3157"/>
    <w:rsid w:val="005B3208"/>
    <w:rsid w:val="005B3246"/>
    <w:rsid w:val="005B32CC"/>
    <w:rsid w:val="005B32DD"/>
    <w:rsid w:val="005B3316"/>
    <w:rsid w:val="005B33C6"/>
    <w:rsid w:val="005B3412"/>
    <w:rsid w:val="005B3417"/>
    <w:rsid w:val="005B3489"/>
    <w:rsid w:val="005B35A0"/>
    <w:rsid w:val="005B3651"/>
    <w:rsid w:val="005B365C"/>
    <w:rsid w:val="005B368F"/>
    <w:rsid w:val="005B36EC"/>
    <w:rsid w:val="005B3723"/>
    <w:rsid w:val="005B3736"/>
    <w:rsid w:val="005B3927"/>
    <w:rsid w:val="005B3942"/>
    <w:rsid w:val="005B39F7"/>
    <w:rsid w:val="005B3AFC"/>
    <w:rsid w:val="005B3B17"/>
    <w:rsid w:val="005B3B6B"/>
    <w:rsid w:val="005B3BAA"/>
    <w:rsid w:val="005B3C04"/>
    <w:rsid w:val="005B3C1E"/>
    <w:rsid w:val="005B3D46"/>
    <w:rsid w:val="005B3D96"/>
    <w:rsid w:val="005B3DA3"/>
    <w:rsid w:val="005B3DA7"/>
    <w:rsid w:val="005B3E2F"/>
    <w:rsid w:val="005B3E9D"/>
    <w:rsid w:val="005B3ED7"/>
    <w:rsid w:val="005B3EF8"/>
    <w:rsid w:val="005B3F18"/>
    <w:rsid w:val="005B3F75"/>
    <w:rsid w:val="005B3F7D"/>
    <w:rsid w:val="005B3FFE"/>
    <w:rsid w:val="005B4020"/>
    <w:rsid w:val="005B40DD"/>
    <w:rsid w:val="005B40EF"/>
    <w:rsid w:val="005B4116"/>
    <w:rsid w:val="005B4130"/>
    <w:rsid w:val="005B4218"/>
    <w:rsid w:val="005B424D"/>
    <w:rsid w:val="005B425F"/>
    <w:rsid w:val="005B42DB"/>
    <w:rsid w:val="005B42E8"/>
    <w:rsid w:val="005B4339"/>
    <w:rsid w:val="005B4359"/>
    <w:rsid w:val="005B43C1"/>
    <w:rsid w:val="005B43FB"/>
    <w:rsid w:val="005B43FC"/>
    <w:rsid w:val="005B4519"/>
    <w:rsid w:val="005B45D9"/>
    <w:rsid w:val="005B4624"/>
    <w:rsid w:val="005B46B3"/>
    <w:rsid w:val="005B46C8"/>
    <w:rsid w:val="005B4706"/>
    <w:rsid w:val="005B4728"/>
    <w:rsid w:val="005B4740"/>
    <w:rsid w:val="005B47DA"/>
    <w:rsid w:val="005B47DB"/>
    <w:rsid w:val="005B48A5"/>
    <w:rsid w:val="005B48FB"/>
    <w:rsid w:val="005B4937"/>
    <w:rsid w:val="005B4940"/>
    <w:rsid w:val="005B4942"/>
    <w:rsid w:val="005B494F"/>
    <w:rsid w:val="005B4972"/>
    <w:rsid w:val="005B497C"/>
    <w:rsid w:val="005B49FE"/>
    <w:rsid w:val="005B4A61"/>
    <w:rsid w:val="005B4A6E"/>
    <w:rsid w:val="005B4ABB"/>
    <w:rsid w:val="005B4AC0"/>
    <w:rsid w:val="005B4AD6"/>
    <w:rsid w:val="005B4AF5"/>
    <w:rsid w:val="005B4C3F"/>
    <w:rsid w:val="005B4C47"/>
    <w:rsid w:val="005B4C51"/>
    <w:rsid w:val="005B4CAF"/>
    <w:rsid w:val="005B4DC5"/>
    <w:rsid w:val="005B4DD8"/>
    <w:rsid w:val="005B4DF6"/>
    <w:rsid w:val="005B4E99"/>
    <w:rsid w:val="005B4ED1"/>
    <w:rsid w:val="005B4EED"/>
    <w:rsid w:val="005B4F59"/>
    <w:rsid w:val="005B4F5D"/>
    <w:rsid w:val="005B5113"/>
    <w:rsid w:val="005B5116"/>
    <w:rsid w:val="005B511F"/>
    <w:rsid w:val="005B5149"/>
    <w:rsid w:val="005B517D"/>
    <w:rsid w:val="005B519B"/>
    <w:rsid w:val="005B51A4"/>
    <w:rsid w:val="005B5217"/>
    <w:rsid w:val="005B5226"/>
    <w:rsid w:val="005B52F7"/>
    <w:rsid w:val="005B5315"/>
    <w:rsid w:val="005B5386"/>
    <w:rsid w:val="005B53A9"/>
    <w:rsid w:val="005B5450"/>
    <w:rsid w:val="005B5452"/>
    <w:rsid w:val="005B546E"/>
    <w:rsid w:val="005B54B0"/>
    <w:rsid w:val="005B553A"/>
    <w:rsid w:val="005B5561"/>
    <w:rsid w:val="005B559B"/>
    <w:rsid w:val="005B55AD"/>
    <w:rsid w:val="005B55C9"/>
    <w:rsid w:val="005B55FA"/>
    <w:rsid w:val="005B5714"/>
    <w:rsid w:val="005B572E"/>
    <w:rsid w:val="005B579A"/>
    <w:rsid w:val="005B57A7"/>
    <w:rsid w:val="005B57CC"/>
    <w:rsid w:val="005B57E8"/>
    <w:rsid w:val="005B57F0"/>
    <w:rsid w:val="005B580B"/>
    <w:rsid w:val="005B582C"/>
    <w:rsid w:val="005B582D"/>
    <w:rsid w:val="005B5862"/>
    <w:rsid w:val="005B58F7"/>
    <w:rsid w:val="005B596F"/>
    <w:rsid w:val="005B59DC"/>
    <w:rsid w:val="005B5A74"/>
    <w:rsid w:val="005B5B37"/>
    <w:rsid w:val="005B5B5F"/>
    <w:rsid w:val="005B5B9F"/>
    <w:rsid w:val="005B5BA4"/>
    <w:rsid w:val="005B5BC6"/>
    <w:rsid w:val="005B5BD3"/>
    <w:rsid w:val="005B5BF5"/>
    <w:rsid w:val="005B5C26"/>
    <w:rsid w:val="005B5C37"/>
    <w:rsid w:val="005B5C4A"/>
    <w:rsid w:val="005B5D25"/>
    <w:rsid w:val="005B5D64"/>
    <w:rsid w:val="005B5D77"/>
    <w:rsid w:val="005B5DD1"/>
    <w:rsid w:val="005B5E8D"/>
    <w:rsid w:val="005B5EDD"/>
    <w:rsid w:val="005B60A0"/>
    <w:rsid w:val="005B60CE"/>
    <w:rsid w:val="005B60D1"/>
    <w:rsid w:val="005B6342"/>
    <w:rsid w:val="005B634D"/>
    <w:rsid w:val="005B635D"/>
    <w:rsid w:val="005B63B8"/>
    <w:rsid w:val="005B63F8"/>
    <w:rsid w:val="005B63FB"/>
    <w:rsid w:val="005B6403"/>
    <w:rsid w:val="005B646F"/>
    <w:rsid w:val="005B65E4"/>
    <w:rsid w:val="005B65EF"/>
    <w:rsid w:val="005B661C"/>
    <w:rsid w:val="005B662F"/>
    <w:rsid w:val="005B6645"/>
    <w:rsid w:val="005B66B7"/>
    <w:rsid w:val="005B66C8"/>
    <w:rsid w:val="005B6705"/>
    <w:rsid w:val="005B6715"/>
    <w:rsid w:val="005B673C"/>
    <w:rsid w:val="005B67B0"/>
    <w:rsid w:val="005B682D"/>
    <w:rsid w:val="005B6907"/>
    <w:rsid w:val="005B6944"/>
    <w:rsid w:val="005B695E"/>
    <w:rsid w:val="005B6978"/>
    <w:rsid w:val="005B6A29"/>
    <w:rsid w:val="005B6A50"/>
    <w:rsid w:val="005B6A67"/>
    <w:rsid w:val="005B6ACF"/>
    <w:rsid w:val="005B6AD8"/>
    <w:rsid w:val="005B6B6D"/>
    <w:rsid w:val="005B6BCE"/>
    <w:rsid w:val="005B6BD1"/>
    <w:rsid w:val="005B6BED"/>
    <w:rsid w:val="005B6C29"/>
    <w:rsid w:val="005B6CA5"/>
    <w:rsid w:val="005B6CC2"/>
    <w:rsid w:val="005B6CFB"/>
    <w:rsid w:val="005B6D24"/>
    <w:rsid w:val="005B6D37"/>
    <w:rsid w:val="005B6D87"/>
    <w:rsid w:val="005B6D8D"/>
    <w:rsid w:val="005B6DC4"/>
    <w:rsid w:val="005B6E60"/>
    <w:rsid w:val="005B6ED1"/>
    <w:rsid w:val="005B6F22"/>
    <w:rsid w:val="005B6F9C"/>
    <w:rsid w:val="005B6FD3"/>
    <w:rsid w:val="005B6FD4"/>
    <w:rsid w:val="005B6FF6"/>
    <w:rsid w:val="005B7014"/>
    <w:rsid w:val="005B7037"/>
    <w:rsid w:val="005B7041"/>
    <w:rsid w:val="005B70A0"/>
    <w:rsid w:val="005B70BE"/>
    <w:rsid w:val="005B70E3"/>
    <w:rsid w:val="005B710E"/>
    <w:rsid w:val="005B713A"/>
    <w:rsid w:val="005B717C"/>
    <w:rsid w:val="005B7192"/>
    <w:rsid w:val="005B71D9"/>
    <w:rsid w:val="005B7210"/>
    <w:rsid w:val="005B722C"/>
    <w:rsid w:val="005B727A"/>
    <w:rsid w:val="005B728E"/>
    <w:rsid w:val="005B7312"/>
    <w:rsid w:val="005B731D"/>
    <w:rsid w:val="005B731E"/>
    <w:rsid w:val="005B7367"/>
    <w:rsid w:val="005B7500"/>
    <w:rsid w:val="005B75B0"/>
    <w:rsid w:val="005B75CC"/>
    <w:rsid w:val="005B75EE"/>
    <w:rsid w:val="005B762E"/>
    <w:rsid w:val="005B7635"/>
    <w:rsid w:val="005B76EA"/>
    <w:rsid w:val="005B773E"/>
    <w:rsid w:val="005B779E"/>
    <w:rsid w:val="005B77A7"/>
    <w:rsid w:val="005B77AB"/>
    <w:rsid w:val="005B7833"/>
    <w:rsid w:val="005B78A4"/>
    <w:rsid w:val="005B799B"/>
    <w:rsid w:val="005B79DD"/>
    <w:rsid w:val="005B79E0"/>
    <w:rsid w:val="005B7A41"/>
    <w:rsid w:val="005B7A8B"/>
    <w:rsid w:val="005B7A90"/>
    <w:rsid w:val="005B7AAA"/>
    <w:rsid w:val="005B7AC8"/>
    <w:rsid w:val="005B7AD5"/>
    <w:rsid w:val="005B7AF3"/>
    <w:rsid w:val="005B7AFB"/>
    <w:rsid w:val="005B7B5B"/>
    <w:rsid w:val="005B7BE1"/>
    <w:rsid w:val="005B7BEE"/>
    <w:rsid w:val="005B7C55"/>
    <w:rsid w:val="005B7C5E"/>
    <w:rsid w:val="005B7D19"/>
    <w:rsid w:val="005B7DE7"/>
    <w:rsid w:val="005B7EB7"/>
    <w:rsid w:val="005B7EE7"/>
    <w:rsid w:val="005B7F2E"/>
    <w:rsid w:val="005B7F52"/>
    <w:rsid w:val="005B7F80"/>
    <w:rsid w:val="005B7F8E"/>
    <w:rsid w:val="005B7F92"/>
    <w:rsid w:val="005B7FF8"/>
    <w:rsid w:val="005C009C"/>
    <w:rsid w:val="005C00B3"/>
    <w:rsid w:val="005C00C1"/>
    <w:rsid w:val="005C0132"/>
    <w:rsid w:val="005C0153"/>
    <w:rsid w:val="005C02E9"/>
    <w:rsid w:val="005C0311"/>
    <w:rsid w:val="005C032E"/>
    <w:rsid w:val="005C03B2"/>
    <w:rsid w:val="005C03E2"/>
    <w:rsid w:val="005C045D"/>
    <w:rsid w:val="005C0497"/>
    <w:rsid w:val="005C05E6"/>
    <w:rsid w:val="005C064B"/>
    <w:rsid w:val="005C06BC"/>
    <w:rsid w:val="005C0701"/>
    <w:rsid w:val="005C078F"/>
    <w:rsid w:val="005C0859"/>
    <w:rsid w:val="005C08A2"/>
    <w:rsid w:val="005C08F5"/>
    <w:rsid w:val="005C0972"/>
    <w:rsid w:val="005C0980"/>
    <w:rsid w:val="005C0989"/>
    <w:rsid w:val="005C0992"/>
    <w:rsid w:val="005C0999"/>
    <w:rsid w:val="005C0A9F"/>
    <w:rsid w:val="005C0AE9"/>
    <w:rsid w:val="005C0B08"/>
    <w:rsid w:val="005C0BFD"/>
    <w:rsid w:val="005C0C32"/>
    <w:rsid w:val="005C0C8A"/>
    <w:rsid w:val="005C0C90"/>
    <w:rsid w:val="005C0CFD"/>
    <w:rsid w:val="005C0D74"/>
    <w:rsid w:val="005C0DF2"/>
    <w:rsid w:val="005C0DF6"/>
    <w:rsid w:val="005C0E45"/>
    <w:rsid w:val="005C0E69"/>
    <w:rsid w:val="005C0EC1"/>
    <w:rsid w:val="005C0F2A"/>
    <w:rsid w:val="005C0F34"/>
    <w:rsid w:val="005C0F58"/>
    <w:rsid w:val="005C0F75"/>
    <w:rsid w:val="005C0FD5"/>
    <w:rsid w:val="005C1043"/>
    <w:rsid w:val="005C110B"/>
    <w:rsid w:val="005C11A0"/>
    <w:rsid w:val="005C11ED"/>
    <w:rsid w:val="005C11F7"/>
    <w:rsid w:val="005C1221"/>
    <w:rsid w:val="005C132C"/>
    <w:rsid w:val="005C1374"/>
    <w:rsid w:val="005C13C6"/>
    <w:rsid w:val="005C1412"/>
    <w:rsid w:val="005C1489"/>
    <w:rsid w:val="005C14AD"/>
    <w:rsid w:val="005C14E6"/>
    <w:rsid w:val="005C150F"/>
    <w:rsid w:val="005C1551"/>
    <w:rsid w:val="005C1554"/>
    <w:rsid w:val="005C1570"/>
    <w:rsid w:val="005C15A9"/>
    <w:rsid w:val="005C15E8"/>
    <w:rsid w:val="005C160B"/>
    <w:rsid w:val="005C161F"/>
    <w:rsid w:val="005C1656"/>
    <w:rsid w:val="005C16B4"/>
    <w:rsid w:val="005C177A"/>
    <w:rsid w:val="005C17B8"/>
    <w:rsid w:val="005C1884"/>
    <w:rsid w:val="005C195F"/>
    <w:rsid w:val="005C1A08"/>
    <w:rsid w:val="005C1A52"/>
    <w:rsid w:val="005C1A7E"/>
    <w:rsid w:val="005C1AC0"/>
    <w:rsid w:val="005C1AF9"/>
    <w:rsid w:val="005C1B0A"/>
    <w:rsid w:val="005C1B3D"/>
    <w:rsid w:val="005C1BBC"/>
    <w:rsid w:val="005C1C16"/>
    <w:rsid w:val="005C1D67"/>
    <w:rsid w:val="005C1D78"/>
    <w:rsid w:val="005C1D95"/>
    <w:rsid w:val="005C1E59"/>
    <w:rsid w:val="005C1EFA"/>
    <w:rsid w:val="005C1F29"/>
    <w:rsid w:val="005C1F3A"/>
    <w:rsid w:val="005C1FD2"/>
    <w:rsid w:val="005C200D"/>
    <w:rsid w:val="005C2069"/>
    <w:rsid w:val="005C214B"/>
    <w:rsid w:val="005C216C"/>
    <w:rsid w:val="005C21BA"/>
    <w:rsid w:val="005C21C4"/>
    <w:rsid w:val="005C22A6"/>
    <w:rsid w:val="005C22A8"/>
    <w:rsid w:val="005C22B7"/>
    <w:rsid w:val="005C233A"/>
    <w:rsid w:val="005C23A8"/>
    <w:rsid w:val="005C23BC"/>
    <w:rsid w:val="005C2418"/>
    <w:rsid w:val="005C24F0"/>
    <w:rsid w:val="005C24F3"/>
    <w:rsid w:val="005C250E"/>
    <w:rsid w:val="005C2510"/>
    <w:rsid w:val="005C2521"/>
    <w:rsid w:val="005C25DE"/>
    <w:rsid w:val="005C25E8"/>
    <w:rsid w:val="005C2618"/>
    <w:rsid w:val="005C268E"/>
    <w:rsid w:val="005C268F"/>
    <w:rsid w:val="005C26D9"/>
    <w:rsid w:val="005C2767"/>
    <w:rsid w:val="005C279F"/>
    <w:rsid w:val="005C28E1"/>
    <w:rsid w:val="005C292D"/>
    <w:rsid w:val="005C298F"/>
    <w:rsid w:val="005C29A1"/>
    <w:rsid w:val="005C2A21"/>
    <w:rsid w:val="005C2A2C"/>
    <w:rsid w:val="005C2AC8"/>
    <w:rsid w:val="005C2B81"/>
    <w:rsid w:val="005C2BD1"/>
    <w:rsid w:val="005C2BF6"/>
    <w:rsid w:val="005C2C65"/>
    <w:rsid w:val="005C2CB6"/>
    <w:rsid w:val="005C2CC5"/>
    <w:rsid w:val="005C2D11"/>
    <w:rsid w:val="005C2D38"/>
    <w:rsid w:val="005C2D5F"/>
    <w:rsid w:val="005C2D68"/>
    <w:rsid w:val="005C2D71"/>
    <w:rsid w:val="005C2D76"/>
    <w:rsid w:val="005C2D77"/>
    <w:rsid w:val="005C2E30"/>
    <w:rsid w:val="005C2E64"/>
    <w:rsid w:val="005C2E8B"/>
    <w:rsid w:val="005C2E8F"/>
    <w:rsid w:val="005C2E91"/>
    <w:rsid w:val="005C2EC4"/>
    <w:rsid w:val="005C2F11"/>
    <w:rsid w:val="005C2F82"/>
    <w:rsid w:val="005C2FB9"/>
    <w:rsid w:val="005C2FD8"/>
    <w:rsid w:val="005C304D"/>
    <w:rsid w:val="005C31F5"/>
    <w:rsid w:val="005C3273"/>
    <w:rsid w:val="005C32C9"/>
    <w:rsid w:val="005C3302"/>
    <w:rsid w:val="005C332E"/>
    <w:rsid w:val="005C333B"/>
    <w:rsid w:val="005C3380"/>
    <w:rsid w:val="005C33F1"/>
    <w:rsid w:val="005C33F5"/>
    <w:rsid w:val="005C3412"/>
    <w:rsid w:val="005C341E"/>
    <w:rsid w:val="005C34A6"/>
    <w:rsid w:val="005C34A9"/>
    <w:rsid w:val="005C34AF"/>
    <w:rsid w:val="005C3539"/>
    <w:rsid w:val="005C35D6"/>
    <w:rsid w:val="005C35E7"/>
    <w:rsid w:val="005C3639"/>
    <w:rsid w:val="005C3650"/>
    <w:rsid w:val="005C3667"/>
    <w:rsid w:val="005C3733"/>
    <w:rsid w:val="005C3788"/>
    <w:rsid w:val="005C379A"/>
    <w:rsid w:val="005C379F"/>
    <w:rsid w:val="005C37D8"/>
    <w:rsid w:val="005C37DF"/>
    <w:rsid w:val="005C382D"/>
    <w:rsid w:val="005C3848"/>
    <w:rsid w:val="005C3877"/>
    <w:rsid w:val="005C38C3"/>
    <w:rsid w:val="005C397D"/>
    <w:rsid w:val="005C398B"/>
    <w:rsid w:val="005C39AA"/>
    <w:rsid w:val="005C39BF"/>
    <w:rsid w:val="005C39E1"/>
    <w:rsid w:val="005C39E7"/>
    <w:rsid w:val="005C3A19"/>
    <w:rsid w:val="005C3A1B"/>
    <w:rsid w:val="005C3AD9"/>
    <w:rsid w:val="005C3BB6"/>
    <w:rsid w:val="005C3C2E"/>
    <w:rsid w:val="005C3C38"/>
    <w:rsid w:val="005C3C4C"/>
    <w:rsid w:val="005C3CD3"/>
    <w:rsid w:val="005C3D18"/>
    <w:rsid w:val="005C3DF5"/>
    <w:rsid w:val="005C3E7E"/>
    <w:rsid w:val="005C3EB4"/>
    <w:rsid w:val="005C3EB6"/>
    <w:rsid w:val="005C3ED3"/>
    <w:rsid w:val="005C3EED"/>
    <w:rsid w:val="005C3F58"/>
    <w:rsid w:val="005C3FF5"/>
    <w:rsid w:val="005C4001"/>
    <w:rsid w:val="005C4002"/>
    <w:rsid w:val="005C404B"/>
    <w:rsid w:val="005C4055"/>
    <w:rsid w:val="005C40B7"/>
    <w:rsid w:val="005C4136"/>
    <w:rsid w:val="005C425D"/>
    <w:rsid w:val="005C426D"/>
    <w:rsid w:val="005C4270"/>
    <w:rsid w:val="005C429A"/>
    <w:rsid w:val="005C42BF"/>
    <w:rsid w:val="005C4305"/>
    <w:rsid w:val="005C43B1"/>
    <w:rsid w:val="005C4469"/>
    <w:rsid w:val="005C449B"/>
    <w:rsid w:val="005C44A5"/>
    <w:rsid w:val="005C44A7"/>
    <w:rsid w:val="005C44B9"/>
    <w:rsid w:val="005C44E6"/>
    <w:rsid w:val="005C459B"/>
    <w:rsid w:val="005C45A0"/>
    <w:rsid w:val="005C45C1"/>
    <w:rsid w:val="005C45D9"/>
    <w:rsid w:val="005C45EF"/>
    <w:rsid w:val="005C4600"/>
    <w:rsid w:val="005C4640"/>
    <w:rsid w:val="005C464C"/>
    <w:rsid w:val="005C466A"/>
    <w:rsid w:val="005C46B0"/>
    <w:rsid w:val="005C46DE"/>
    <w:rsid w:val="005C46F8"/>
    <w:rsid w:val="005C475E"/>
    <w:rsid w:val="005C4770"/>
    <w:rsid w:val="005C47AD"/>
    <w:rsid w:val="005C47B0"/>
    <w:rsid w:val="005C47D9"/>
    <w:rsid w:val="005C4870"/>
    <w:rsid w:val="005C48EC"/>
    <w:rsid w:val="005C48F2"/>
    <w:rsid w:val="005C4946"/>
    <w:rsid w:val="005C49DE"/>
    <w:rsid w:val="005C4A46"/>
    <w:rsid w:val="005C4A64"/>
    <w:rsid w:val="005C4A8B"/>
    <w:rsid w:val="005C4AA3"/>
    <w:rsid w:val="005C4AA4"/>
    <w:rsid w:val="005C4B0D"/>
    <w:rsid w:val="005C4C21"/>
    <w:rsid w:val="005C4C3F"/>
    <w:rsid w:val="005C4C43"/>
    <w:rsid w:val="005C4C54"/>
    <w:rsid w:val="005C4C61"/>
    <w:rsid w:val="005C4CB2"/>
    <w:rsid w:val="005C4CF5"/>
    <w:rsid w:val="005C4D3F"/>
    <w:rsid w:val="005C4D5F"/>
    <w:rsid w:val="005C4E25"/>
    <w:rsid w:val="005C4E43"/>
    <w:rsid w:val="005C4E6F"/>
    <w:rsid w:val="005C4E70"/>
    <w:rsid w:val="005C4E7C"/>
    <w:rsid w:val="005C4E9B"/>
    <w:rsid w:val="005C4ED3"/>
    <w:rsid w:val="005C4EE6"/>
    <w:rsid w:val="005C4EF0"/>
    <w:rsid w:val="005C4FAC"/>
    <w:rsid w:val="005C4FEF"/>
    <w:rsid w:val="005C4FF5"/>
    <w:rsid w:val="005C504C"/>
    <w:rsid w:val="005C5098"/>
    <w:rsid w:val="005C509B"/>
    <w:rsid w:val="005C512C"/>
    <w:rsid w:val="005C5144"/>
    <w:rsid w:val="005C5154"/>
    <w:rsid w:val="005C5158"/>
    <w:rsid w:val="005C517F"/>
    <w:rsid w:val="005C5209"/>
    <w:rsid w:val="005C5244"/>
    <w:rsid w:val="005C5277"/>
    <w:rsid w:val="005C52BD"/>
    <w:rsid w:val="005C52DA"/>
    <w:rsid w:val="005C52EF"/>
    <w:rsid w:val="005C5307"/>
    <w:rsid w:val="005C530E"/>
    <w:rsid w:val="005C5310"/>
    <w:rsid w:val="005C5323"/>
    <w:rsid w:val="005C5340"/>
    <w:rsid w:val="005C539D"/>
    <w:rsid w:val="005C53A9"/>
    <w:rsid w:val="005C53FF"/>
    <w:rsid w:val="005C5400"/>
    <w:rsid w:val="005C542A"/>
    <w:rsid w:val="005C54AA"/>
    <w:rsid w:val="005C559B"/>
    <w:rsid w:val="005C55B1"/>
    <w:rsid w:val="005C55FE"/>
    <w:rsid w:val="005C5627"/>
    <w:rsid w:val="005C5733"/>
    <w:rsid w:val="005C5841"/>
    <w:rsid w:val="005C58C2"/>
    <w:rsid w:val="005C58D3"/>
    <w:rsid w:val="005C58E1"/>
    <w:rsid w:val="005C5955"/>
    <w:rsid w:val="005C59C5"/>
    <w:rsid w:val="005C59CD"/>
    <w:rsid w:val="005C5A49"/>
    <w:rsid w:val="005C5AC3"/>
    <w:rsid w:val="005C5B1E"/>
    <w:rsid w:val="005C5B62"/>
    <w:rsid w:val="005C5B67"/>
    <w:rsid w:val="005C5BC9"/>
    <w:rsid w:val="005C5C07"/>
    <w:rsid w:val="005C5C24"/>
    <w:rsid w:val="005C5C28"/>
    <w:rsid w:val="005C5C56"/>
    <w:rsid w:val="005C5C6D"/>
    <w:rsid w:val="005C5C6E"/>
    <w:rsid w:val="005C5C8C"/>
    <w:rsid w:val="005C5CC9"/>
    <w:rsid w:val="005C5CF3"/>
    <w:rsid w:val="005C5CFD"/>
    <w:rsid w:val="005C5D02"/>
    <w:rsid w:val="005C5D66"/>
    <w:rsid w:val="005C5DF5"/>
    <w:rsid w:val="005C5E01"/>
    <w:rsid w:val="005C5E03"/>
    <w:rsid w:val="005C5E2E"/>
    <w:rsid w:val="005C5E8D"/>
    <w:rsid w:val="005C5EB3"/>
    <w:rsid w:val="005C5F20"/>
    <w:rsid w:val="005C5FE7"/>
    <w:rsid w:val="005C5FF9"/>
    <w:rsid w:val="005C606E"/>
    <w:rsid w:val="005C612D"/>
    <w:rsid w:val="005C6193"/>
    <w:rsid w:val="005C61C6"/>
    <w:rsid w:val="005C61DA"/>
    <w:rsid w:val="005C6230"/>
    <w:rsid w:val="005C6276"/>
    <w:rsid w:val="005C62EE"/>
    <w:rsid w:val="005C63F9"/>
    <w:rsid w:val="005C63FB"/>
    <w:rsid w:val="005C6401"/>
    <w:rsid w:val="005C6406"/>
    <w:rsid w:val="005C6417"/>
    <w:rsid w:val="005C64AE"/>
    <w:rsid w:val="005C64BE"/>
    <w:rsid w:val="005C658D"/>
    <w:rsid w:val="005C6598"/>
    <w:rsid w:val="005C65A4"/>
    <w:rsid w:val="005C65AE"/>
    <w:rsid w:val="005C65C4"/>
    <w:rsid w:val="005C6605"/>
    <w:rsid w:val="005C6612"/>
    <w:rsid w:val="005C6660"/>
    <w:rsid w:val="005C6699"/>
    <w:rsid w:val="005C677D"/>
    <w:rsid w:val="005C680B"/>
    <w:rsid w:val="005C6836"/>
    <w:rsid w:val="005C698D"/>
    <w:rsid w:val="005C6991"/>
    <w:rsid w:val="005C6994"/>
    <w:rsid w:val="005C6A0F"/>
    <w:rsid w:val="005C6A1B"/>
    <w:rsid w:val="005C6A1D"/>
    <w:rsid w:val="005C6ABD"/>
    <w:rsid w:val="005C6B0D"/>
    <w:rsid w:val="005C6B23"/>
    <w:rsid w:val="005C6B4B"/>
    <w:rsid w:val="005C6B9B"/>
    <w:rsid w:val="005C6BE9"/>
    <w:rsid w:val="005C6CD5"/>
    <w:rsid w:val="005C6D0A"/>
    <w:rsid w:val="005C6D71"/>
    <w:rsid w:val="005C6D9F"/>
    <w:rsid w:val="005C6E60"/>
    <w:rsid w:val="005C6EA3"/>
    <w:rsid w:val="005C6ED1"/>
    <w:rsid w:val="005C6EEC"/>
    <w:rsid w:val="005C6F3C"/>
    <w:rsid w:val="005C6F89"/>
    <w:rsid w:val="005C6FC9"/>
    <w:rsid w:val="005C6FFF"/>
    <w:rsid w:val="005C704F"/>
    <w:rsid w:val="005C7058"/>
    <w:rsid w:val="005C712A"/>
    <w:rsid w:val="005C7173"/>
    <w:rsid w:val="005C7195"/>
    <w:rsid w:val="005C72F3"/>
    <w:rsid w:val="005C737E"/>
    <w:rsid w:val="005C73BE"/>
    <w:rsid w:val="005C73D0"/>
    <w:rsid w:val="005C73FC"/>
    <w:rsid w:val="005C741B"/>
    <w:rsid w:val="005C7443"/>
    <w:rsid w:val="005C7467"/>
    <w:rsid w:val="005C74E7"/>
    <w:rsid w:val="005C750D"/>
    <w:rsid w:val="005C7513"/>
    <w:rsid w:val="005C7516"/>
    <w:rsid w:val="005C753B"/>
    <w:rsid w:val="005C75BC"/>
    <w:rsid w:val="005C7625"/>
    <w:rsid w:val="005C7642"/>
    <w:rsid w:val="005C7676"/>
    <w:rsid w:val="005C76C9"/>
    <w:rsid w:val="005C770B"/>
    <w:rsid w:val="005C7729"/>
    <w:rsid w:val="005C7737"/>
    <w:rsid w:val="005C774E"/>
    <w:rsid w:val="005C777F"/>
    <w:rsid w:val="005C77FF"/>
    <w:rsid w:val="005C785F"/>
    <w:rsid w:val="005C78CA"/>
    <w:rsid w:val="005C7907"/>
    <w:rsid w:val="005C7932"/>
    <w:rsid w:val="005C7934"/>
    <w:rsid w:val="005C7981"/>
    <w:rsid w:val="005C79E3"/>
    <w:rsid w:val="005C7A00"/>
    <w:rsid w:val="005C7A26"/>
    <w:rsid w:val="005C7A68"/>
    <w:rsid w:val="005C7A9C"/>
    <w:rsid w:val="005C7AB4"/>
    <w:rsid w:val="005C7ADA"/>
    <w:rsid w:val="005C7B3E"/>
    <w:rsid w:val="005C7B9B"/>
    <w:rsid w:val="005C7BB5"/>
    <w:rsid w:val="005C7BBD"/>
    <w:rsid w:val="005C7BF0"/>
    <w:rsid w:val="005C7C03"/>
    <w:rsid w:val="005C7C31"/>
    <w:rsid w:val="005C7D17"/>
    <w:rsid w:val="005C7D30"/>
    <w:rsid w:val="005C7D66"/>
    <w:rsid w:val="005C7D69"/>
    <w:rsid w:val="005C7DD0"/>
    <w:rsid w:val="005C7E0F"/>
    <w:rsid w:val="005C7E3D"/>
    <w:rsid w:val="005C7E4F"/>
    <w:rsid w:val="005C7E52"/>
    <w:rsid w:val="005C7ED3"/>
    <w:rsid w:val="005C7F13"/>
    <w:rsid w:val="005C7F30"/>
    <w:rsid w:val="005C7F78"/>
    <w:rsid w:val="005C7F8E"/>
    <w:rsid w:val="005C7F90"/>
    <w:rsid w:val="005D0079"/>
    <w:rsid w:val="005D00E5"/>
    <w:rsid w:val="005D00ED"/>
    <w:rsid w:val="005D0121"/>
    <w:rsid w:val="005D0187"/>
    <w:rsid w:val="005D01B5"/>
    <w:rsid w:val="005D0209"/>
    <w:rsid w:val="005D0245"/>
    <w:rsid w:val="005D0260"/>
    <w:rsid w:val="005D0283"/>
    <w:rsid w:val="005D0368"/>
    <w:rsid w:val="005D0395"/>
    <w:rsid w:val="005D03EA"/>
    <w:rsid w:val="005D04AF"/>
    <w:rsid w:val="005D04D9"/>
    <w:rsid w:val="005D0537"/>
    <w:rsid w:val="005D056F"/>
    <w:rsid w:val="005D0580"/>
    <w:rsid w:val="005D05C1"/>
    <w:rsid w:val="005D05D4"/>
    <w:rsid w:val="005D05F9"/>
    <w:rsid w:val="005D0604"/>
    <w:rsid w:val="005D0618"/>
    <w:rsid w:val="005D0621"/>
    <w:rsid w:val="005D06CF"/>
    <w:rsid w:val="005D06D9"/>
    <w:rsid w:val="005D070B"/>
    <w:rsid w:val="005D0777"/>
    <w:rsid w:val="005D07D5"/>
    <w:rsid w:val="005D07FD"/>
    <w:rsid w:val="005D0810"/>
    <w:rsid w:val="005D083A"/>
    <w:rsid w:val="005D084E"/>
    <w:rsid w:val="005D085B"/>
    <w:rsid w:val="005D08EA"/>
    <w:rsid w:val="005D0997"/>
    <w:rsid w:val="005D099F"/>
    <w:rsid w:val="005D09BA"/>
    <w:rsid w:val="005D0A32"/>
    <w:rsid w:val="005D0A58"/>
    <w:rsid w:val="005D0B0E"/>
    <w:rsid w:val="005D0BB6"/>
    <w:rsid w:val="005D0C2F"/>
    <w:rsid w:val="005D0C30"/>
    <w:rsid w:val="005D0C60"/>
    <w:rsid w:val="005D0C94"/>
    <w:rsid w:val="005D0CA3"/>
    <w:rsid w:val="005D0CAA"/>
    <w:rsid w:val="005D0CE1"/>
    <w:rsid w:val="005D0D12"/>
    <w:rsid w:val="005D0D91"/>
    <w:rsid w:val="005D0DA2"/>
    <w:rsid w:val="005D0E7C"/>
    <w:rsid w:val="005D0ED3"/>
    <w:rsid w:val="005D0EED"/>
    <w:rsid w:val="005D0EF6"/>
    <w:rsid w:val="005D0F8A"/>
    <w:rsid w:val="005D0FC6"/>
    <w:rsid w:val="005D1090"/>
    <w:rsid w:val="005D10C0"/>
    <w:rsid w:val="005D10C9"/>
    <w:rsid w:val="005D10CC"/>
    <w:rsid w:val="005D1163"/>
    <w:rsid w:val="005D1190"/>
    <w:rsid w:val="005D11AA"/>
    <w:rsid w:val="005D11CA"/>
    <w:rsid w:val="005D11ED"/>
    <w:rsid w:val="005D120D"/>
    <w:rsid w:val="005D123D"/>
    <w:rsid w:val="005D1346"/>
    <w:rsid w:val="005D138C"/>
    <w:rsid w:val="005D145A"/>
    <w:rsid w:val="005D1477"/>
    <w:rsid w:val="005D147F"/>
    <w:rsid w:val="005D14E0"/>
    <w:rsid w:val="005D1569"/>
    <w:rsid w:val="005D15F8"/>
    <w:rsid w:val="005D1622"/>
    <w:rsid w:val="005D16FF"/>
    <w:rsid w:val="005D17E8"/>
    <w:rsid w:val="005D1919"/>
    <w:rsid w:val="005D1946"/>
    <w:rsid w:val="005D1993"/>
    <w:rsid w:val="005D19A8"/>
    <w:rsid w:val="005D19AE"/>
    <w:rsid w:val="005D19D7"/>
    <w:rsid w:val="005D19FE"/>
    <w:rsid w:val="005D1A3A"/>
    <w:rsid w:val="005D1B5E"/>
    <w:rsid w:val="005D1B81"/>
    <w:rsid w:val="005D1B8A"/>
    <w:rsid w:val="005D1BF4"/>
    <w:rsid w:val="005D1BF8"/>
    <w:rsid w:val="005D1C41"/>
    <w:rsid w:val="005D1C5A"/>
    <w:rsid w:val="005D1C71"/>
    <w:rsid w:val="005D1CA6"/>
    <w:rsid w:val="005D1CB7"/>
    <w:rsid w:val="005D1D0D"/>
    <w:rsid w:val="005D1D6D"/>
    <w:rsid w:val="005D1DEF"/>
    <w:rsid w:val="005D1E0E"/>
    <w:rsid w:val="005D1E45"/>
    <w:rsid w:val="005D1FEB"/>
    <w:rsid w:val="005D205A"/>
    <w:rsid w:val="005D20E8"/>
    <w:rsid w:val="005D21BD"/>
    <w:rsid w:val="005D21E0"/>
    <w:rsid w:val="005D21E3"/>
    <w:rsid w:val="005D2292"/>
    <w:rsid w:val="005D22AA"/>
    <w:rsid w:val="005D22B7"/>
    <w:rsid w:val="005D22BE"/>
    <w:rsid w:val="005D22CF"/>
    <w:rsid w:val="005D2334"/>
    <w:rsid w:val="005D235B"/>
    <w:rsid w:val="005D2402"/>
    <w:rsid w:val="005D2417"/>
    <w:rsid w:val="005D2432"/>
    <w:rsid w:val="005D2479"/>
    <w:rsid w:val="005D248D"/>
    <w:rsid w:val="005D24C7"/>
    <w:rsid w:val="005D24E0"/>
    <w:rsid w:val="005D24EC"/>
    <w:rsid w:val="005D258D"/>
    <w:rsid w:val="005D25C6"/>
    <w:rsid w:val="005D25CD"/>
    <w:rsid w:val="005D25E4"/>
    <w:rsid w:val="005D25F5"/>
    <w:rsid w:val="005D2634"/>
    <w:rsid w:val="005D2667"/>
    <w:rsid w:val="005D2681"/>
    <w:rsid w:val="005D2695"/>
    <w:rsid w:val="005D2700"/>
    <w:rsid w:val="005D276F"/>
    <w:rsid w:val="005D278C"/>
    <w:rsid w:val="005D284B"/>
    <w:rsid w:val="005D28B1"/>
    <w:rsid w:val="005D28F1"/>
    <w:rsid w:val="005D2906"/>
    <w:rsid w:val="005D2937"/>
    <w:rsid w:val="005D2A27"/>
    <w:rsid w:val="005D2AB4"/>
    <w:rsid w:val="005D2AD9"/>
    <w:rsid w:val="005D2AFA"/>
    <w:rsid w:val="005D2B53"/>
    <w:rsid w:val="005D2BC5"/>
    <w:rsid w:val="005D2BC9"/>
    <w:rsid w:val="005D2C17"/>
    <w:rsid w:val="005D2C74"/>
    <w:rsid w:val="005D2C75"/>
    <w:rsid w:val="005D2C80"/>
    <w:rsid w:val="005D2C87"/>
    <w:rsid w:val="005D2D06"/>
    <w:rsid w:val="005D2D09"/>
    <w:rsid w:val="005D2D28"/>
    <w:rsid w:val="005D2D4A"/>
    <w:rsid w:val="005D2D5E"/>
    <w:rsid w:val="005D2E09"/>
    <w:rsid w:val="005D2E59"/>
    <w:rsid w:val="005D2E73"/>
    <w:rsid w:val="005D2EA7"/>
    <w:rsid w:val="005D2EB3"/>
    <w:rsid w:val="005D2EE8"/>
    <w:rsid w:val="005D2F41"/>
    <w:rsid w:val="005D2F52"/>
    <w:rsid w:val="005D2FC7"/>
    <w:rsid w:val="005D2FCC"/>
    <w:rsid w:val="005D2FE3"/>
    <w:rsid w:val="005D3074"/>
    <w:rsid w:val="005D30E1"/>
    <w:rsid w:val="005D3184"/>
    <w:rsid w:val="005D31B0"/>
    <w:rsid w:val="005D3280"/>
    <w:rsid w:val="005D328C"/>
    <w:rsid w:val="005D32C0"/>
    <w:rsid w:val="005D32FE"/>
    <w:rsid w:val="005D3321"/>
    <w:rsid w:val="005D337E"/>
    <w:rsid w:val="005D338F"/>
    <w:rsid w:val="005D33D2"/>
    <w:rsid w:val="005D33E8"/>
    <w:rsid w:val="005D3414"/>
    <w:rsid w:val="005D346A"/>
    <w:rsid w:val="005D346F"/>
    <w:rsid w:val="005D34E7"/>
    <w:rsid w:val="005D34EB"/>
    <w:rsid w:val="005D34FB"/>
    <w:rsid w:val="005D3519"/>
    <w:rsid w:val="005D3520"/>
    <w:rsid w:val="005D3548"/>
    <w:rsid w:val="005D354B"/>
    <w:rsid w:val="005D3562"/>
    <w:rsid w:val="005D35A5"/>
    <w:rsid w:val="005D35CB"/>
    <w:rsid w:val="005D361E"/>
    <w:rsid w:val="005D3655"/>
    <w:rsid w:val="005D3661"/>
    <w:rsid w:val="005D3692"/>
    <w:rsid w:val="005D36F4"/>
    <w:rsid w:val="005D3710"/>
    <w:rsid w:val="005D374F"/>
    <w:rsid w:val="005D3776"/>
    <w:rsid w:val="005D378F"/>
    <w:rsid w:val="005D37F1"/>
    <w:rsid w:val="005D3831"/>
    <w:rsid w:val="005D3834"/>
    <w:rsid w:val="005D388C"/>
    <w:rsid w:val="005D390D"/>
    <w:rsid w:val="005D3972"/>
    <w:rsid w:val="005D3995"/>
    <w:rsid w:val="005D39F2"/>
    <w:rsid w:val="005D3A1B"/>
    <w:rsid w:val="005D3A78"/>
    <w:rsid w:val="005D3AE2"/>
    <w:rsid w:val="005D3B3B"/>
    <w:rsid w:val="005D3B7F"/>
    <w:rsid w:val="005D3BC4"/>
    <w:rsid w:val="005D3C0F"/>
    <w:rsid w:val="005D3C52"/>
    <w:rsid w:val="005D3C73"/>
    <w:rsid w:val="005D3D29"/>
    <w:rsid w:val="005D3D3C"/>
    <w:rsid w:val="005D3E82"/>
    <w:rsid w:val="005D3F10"/>
    <w:rsid w:val="005D3F36"/>
    <w:rsid w:val="005D3F87"/>
    <w:rsid w:val="005D3FE1"/>
    <w:rsid w:val="005D3FF1"/>
    <w:rsid w:val="005D4016"/>
    <w:rsid w:val="005D40F9"/>
    <w:rsid w:val="005D4134"/>
    <w:rsid w:val="005D414E"/>
    <w:rsid w:val="005D415B"/>
    <w:rsid w:val="005D418A"/>
    <w:rsid w:val="005D41B2"/>
    <w:rsid w:val="005D41D9"/>
    <w:rsid w:val="005D4233"/>
    <w:rsid w:val="005D423A"/>
    <w:rsid w:val="005D42A0"/>
    <w:rsid w:val="005D42A4"/>
    <w:rsid w:val="005D4308"/>
    <w:rsid w:val="005D4377"/>
    <w:rsid w:val="005D4388"/>
    <w:rsid w:val="005D43F4"/>
    <w:rsid w:val="005D4448"/>
    <w:rsid w:val="005D4468"/>
    <w:rsid w:val="005D446E"/>
    <w:rsid w:val="005D4481"/>
    <w:rsid w:val="005D44AA"/>
    <w:rsid w:val="005D457A"/>
    <w:rsid w:val="005D460D"/>
    <w:rsid w:val="005D4636"/>
    <w:rsid w:val="005D46A8"/>
    <w:rsid w:val="005D46D7"/>
    <w:rsid w:val="005D4733"/>
    <w:rsid w:val="005D477E"/>
    <w:rsid w:val="005D47B9"/>
    <w:rsid w:val="005D47CF"/>
    <w:rsid w:val="005D47E3"/>
    <w:rsid w:val="005D4800"/>
    <w:rsid w:val="005D4839"/>
    <w:rsid w:val="005D484C"/>
    <w:rsid w:val="005D4852"/>
    <w:rsid w:val="005D485B"/>
    <w:rsid w:val="005D4864"/>
    <w:rsid w:val="005D491B"/>
    <w:rsid w:val="005D4922"/>
    <w:rsid w:val="005D498B"/>
    <w:rsid w:val="005D49A7"/>
    <w:rsid w:val="005D49B5"/>
    <w:rsid w:val="005D4A1E"/>
    <w:rsid w:val="005D4A3F"/>
    <w:rsid w:val="005D4A7B"/>
    <w:rsid w:val="005D4B84"/>
    <w:rsid w:val="005D4B91"/>
    <w:rsid w:val="005D4BBB"/>
    <w:rsid w:val="005D4C58"/>
    <w:rsid w:val="005D4D2B"/>
    <w:rsid w:val="005D4D8B"/>
    <w:rsid w:val="005D4DEF"/>
    <w:rsid w:val="005D4E04"/>
    <w:rsid w:val="005D4E8F"/>
    <w:rsid w:val="005D4EA2"/>
    <w:rsid w:val="005D4F42"/>
    <w:rsid w:val="005D4F99"/>
    <w:rsid w:val="005D4F9E"/>
    <w:rsid w:val="005D5049"/>
    <w:rsid w:val="005D507C"/>
    <w:rsid w:val="005D5115"/>
    <w:rsid w:val="005D511C"/>
    <w:rsid w:val="005D516A"/>
    <w:rsid w:val="005D51F2"/>
    <w:rsid w:val="005D520A"/>
    <w:rsid w:val="005D5371"/>
    <w:rsid w:val="005D537C"/>
    <w:rsid w:val="005D53B8"/>
    <w:rsid w:val="005D53D0"/>
    <w:rsid w:val="005D5462"/>
    <w:rsid w:val="005D546E"/>
    <w:rsid w:val="005D5515"/>
    <w:rsid w:val="005D55B3"/>
    <w:rsid w:val="005D55F0"/>
    <w:rsid w:val="005D55FA"/>
    <w:rsid w:val="005D5631"/>
    <w:rsid w:val="005D5690"/>
    <w:rsid w:val="005D56CA"/>
    <w:rsid w:val="005D56F5"/>
    <w:rsid w:val="005D56F6"/>
    <w:rsid w:val="005D571E"/>
    <w:rsid w:val="005D5741"/>
    <w:rsid w:val="005D57BF"/>
    <w:rsid w:val="005D57C9"/>
    <w:rsid w:val="005D57F8"/>
    <w:rsid w:val="005D5800"/>
    <w:rsid w:val="005D5845"/>
    <w:rsid w:val="005D5851"/>
    <w:rsid w:val="005D585A"/>
    <w:rsid w:val="005D5882"/>
    <w:rsid w:val="005D59AB"/>
    <w:rsid w:val="005D59B4"/>
    <w:rsid w:val="005D59D1"/>
    <w:rsid w:val="005D59E2"/>
    <w:rsid w:val="005D5A49"/>
    <w:rsid w:val="005D5A6C"/>
    <w:rsid w:val="005D5AAB"/>
    <w:rsid w:val="005D5AAF"/>
    <w:rsid w:val="005D5AC0"/>
    <w:rsid w:val="005D5B8A"/>
    <w:rsid w:val="005D5BA8"/>
    <w:rsid w:val="005D5D38"/>
    <w:rsid w:val="005D5D4A"/>
    <w:rsid w:val="005D5D73"/>
    <w:rsid w:val="005D5D98"/>
    <w:rsid w:val="005D5DCB"/>
    <w:rsid w:val="005D5E15"/>
    <w:rsid w:val="005D5EF5"/>
    <w:rsid w:val="005D5F42"/>
    <w:rsid w:val="005D5F6B"/>
    <w:rsid w:val="005D5FBE"/>
    <w:rsid w:val="005D5FCB"/>
    <w:rsid w:val="005D608E"/>
    <w:rsid w:val="005D60E3"/>
    <w:rsid w:val="005D60EA"/>
    <w:rsid w:val="005D6125"/>
    <w:rsid w:val="005D6151"/>
    <w:rsid w:val="005D6192"/>
    <w:rsid w:val="005D621A"/>
    <w:rsid w:val="005D6254"/>
    <w:rsid w:val="005D627B"/>
    <w:rsid w:val="005D62E2"/>
    <w:rsid w:val="005D6390"/>
    <w:rsid w:val="005D639D"/>
    <w:rsid w:val="005D639F"/>
    <w:rsid w:val="005D63BA"/>
    <w:rsid w:val="005D6402"/>
    <w:rsid w:val="005D6454"/>
    <w:rsid w:val="005D64B1"/>
    <w:rsid w:val="005D64F5"/>
    <w:rsid w:val="005D64F7"/>
    <w:rsid w:val="005D651A"/>
    <w:rsid w:val="005D652E"/>
    <w:rsid w:val="005D654C"/>
    <w:rsid w:val="005D6556"/>
    <w:rsid w:val="005D6563"/>
    <w:rsid w:val="005D662D"/>
    <w:rsid w:val="005D666F"/>
    <w:rsid w:val="005D66A4"/>
    <w:rsid w:val="005D6739"/>
    <w:rsid w:val="005D6755"/>
    <w:rsid w:val="005D6795"/>
    <w:rsid w:val="005D6798"/>
    <w:rsid w:val="005D6803"/>
    <w:rsid w:val="005D681D"/>
    <w:rsid w:val="005D6860"/>
    <w:rsid w:val="005D689E"/>
    <w:rsid w:val="005D69B8"/>
    <w:rsid w:val="005D69BA"/>
    <w:rsid w:val="005D69C6"/>
    <w:rsid w:val="005D6AC8"/>
    <w:rsid w:val="005D6BA7"/>
    <w:rsid w:val="005D6BC0"/>
    <w:rsid w:val="005D6BD6"/>
    <w:rsid w:val="005D6BE4"/>
    <w:rsid w:val="005D6C22"/>
    <w:rsid w:val="005D6CDA"/>
    <w:rsid w:val="005D6D2C"/>
    <w:rsid w:val="005D6DB7"/>
    <w:rsid w:val="005D6DD5"/>
    <w:rsid w:val="005D6E3B"/>
    <w:rsid w:val="005D6E80"/>
    <w:rsid w:val="005D6F84"/>
    <w:rsid w:val="005D7047"/>
    <w:rsid w:val="005D7159"/>
    <w:rsid w:val="005D7169"/>
    <w:rsid w:val="005D7170"/>
    <w:rsid w:val="005D721A"/>
    <w:rsid w:val="005D723B"/>
    <w:rsid w:val="005D72DA"/>
    <w:rsid w:val="005D7310"/>
    <w:rsid w:val="005D732B"/>
    <w:rsid w:val="005D7397"/>
    <w:rsid w:val="005D73A9"/>
    <w:rsid w:val="005D73C2"/>
    <w:rsid w:val="005D748E"/>
    <w:rsid w:val="005D74F2"/>
    <w:rsid w:val="005D7519"/>
    <w:rsid w:val="005D754D"/>
    <w:rsid w:val="005D7572"/>
    <w:rsid w:val="005D7577"/>
    <w:rsid w:val="005D757C"/>
    <w:rsid w:val="005D75A5"/>
    <w:rsid w:val="005D75BA"/>
    <w:rsid w:val="005D75FB"/>
    <w:rsid w:val="005D7651"/>
    <w:rsid w:val="005D7656"/>
    <w:rsid w:val="005D765B"/>
    <w:rsid w:val="005D7696"/>
    <w:rsid w:val="005D7738"/>
    <w:rsid w:val="005D7752"/>
    <w:rsid w:val="005D77B2"/>
    <w:rsid w:val="005D77F2"/>
    <w:rsid w:val="005D7871"/>
    <w:rsid w:val="005D792F"/>
    <w:rsid w:val="005D7946"/>
    <w:rsid w:val="005D79EF"/>
    <w:rsid w:val="005D7A26"/>
    <w:rsid w:val="005D7A2B"/>
    <w:rsid w:val="005D7A49"/>
    <w:rsid w:val="005D7A6A"/>
    <w:rsid w:val="005D7ADD"/>
    <w:rsid w:val="005D7AFB"/>
    <w:rsid w:val="005D7B03"/>
    <w:rsid w:val="005D7B07"/>
    <w:rsid w:val="005D7BBA"/>
    <w:rsid w:val="005D7BD4"/>
    <w:rsid w:val="005D7BE6"/>
    <w:rsid w:val="005D7BED"/>
    <w:rsid w:val="005D7C33"/>
    <w:rsid w:val="005D7C52"/>
    <w:rsid w:val="005D7CBF"/>
    <w:rsid w:val="005D7CFC"/>
    <w:rsid w:val="005D7D29"/>
    <w:rsid w:val="005D7D83"/>
    <w:rsid w:val="005D7E8D"/>
    <w:rsid w:val="005D7FB2"/>
    <w:rsid w:val="005D7FF6"/>
    <w:rsid w:val="005E001B"/>
    <w:rsid w:val="005E0044"/>
    <w:rsid w:val="005E0081"/>
    <w:rsid w:val="005E0097"/>
    <w:rsid w:val="005E009D"/>
    <w:rsid w:val="005E00E8"/>
    <w:rsid w:val="005E012B"/>
    <w:rsid w:val="005E0168"/>
    <w:rsid w:val="005E01B4"/>
    <w:rsid w:val="005E01E1"/>
    <w:rsid w:val="005E0219"/>
    <w:rsid w:val="005E023A"/>
    <w:rsid w:val="005E032D"/>
    <w:rsid w:val="005E03ED"/>
    <w:rsid w:val="005E0411"/>
    <w:rsid w:val="005E045B"/>
    <w:rsid w:val="005E0465"/>
    <w:rsid w:val="005E048F"/>
    <w:rsid w:val="005E04B5"/>
    <w:rsid w:val="005E051A"/>
    <w:rsid w:val="005E0541"/>
    <w:rsid w:val="005E057A"/>
    <w:rsid w:val="005E05BF"/>
    <w:rsid w:val="005E05C1"/>
    <w:rsid w:val="005E05CE"/>
    <w:rsid w:val="005E06A9"/>
    <w:rsid w:val="005E06CA"/>
    <w:rsid w:val="005E0738"/>
    <w:rsid w:val="005E07B0"/>
    <w:rsid w:val="005E07BD"/>
    <w:rsid w:val="005E07D4"/>
    <w:rsid w:val="005E07D9"/>
    <w:rsid w:val="005E0808"/>
    <w:rsid w:val="005E0821"/>
    <w:rsid w:val="005E0830"/>
    <w:rsid w:val="005E0841"/>
    <w:rsid w:val="005E08A2"/>
    <w:rsid w:val="005E08E4"/>
    <w:rsid w:val="005E0937"/>
    <w:rsid w:val="005E098B"/>
    <w:rsid w:val="005E09AA"/>
    <w:rsid w:val="005E0A0C"/>
    <w:rsid w:val="005E0A62"/>
    <w:rsid w:val="005E0A64"/>
    <w:rsid w:val="005E0A9D"/>
    <w:rsid w:val="005E0B05"/>
    <w:rsid w:val="005E0B0C"/>
    <w:rsid w:val="005E0B19"/>
    <w:rsid w:val="005E0B54"/>
    <w:rsid w:val="005E0BEE"/>
    <w:rsid w:val="005E0BF5"/>
    <w:rsid w:val="005E0BF9"/>
    <w:rsid w:val="005E0CC1"/>
    <w:rsid w:val="005E0CEA"/>
    <w:rsid w:val="005E0CEE"/>
    <w:rsid w:val="005E0D70"/>
    <w:rsid w:val="005E0DE8"/>
    <w:rsid w:val="005E0E16"/>
    <w:rsid w:val="005E0E17"/>
    <w:rsid w:val="005E0E38"/>
    <w:rsid w:val="005E0E7F"/>
    <w:rsid w:val="005E0EA9"/>
    <w:rsid w:val="005E0EFC"/>
    <w:rsid w:val="005E0F4F"/>
    <w:rsid w:val="005E0F74"/>
    <w:rsid w:val="005E0F76"/>
    <w:rsid w:val="005E0F9B"/>
    <w:rsid w:val="005E0FDE"/>
    <w:rsid w:val="005E1016"/>
    <w:rsid w:val="005E1060"/>
    <w:rsid w:val="005E1062"/>
    <w:rsid w:val="005E1088"/>
    <w:rsid w:val="005E1125"/>
    <w:rsid w:val="005E11F3"/>
    <w:rsid w:val="005E1200"/>
    <w:rsid w:val="005E121C"/>
    <w:rsid w:val="005E1235"/>
    <w:rsid w:val="005E1244"/>
    <w:rsid w:val="005E12E3"/>
    <w:rsid w:val="005E12F2"/>
    <w:rsid w:val="005E1356"/>
    <w:rsid w:val="005E136A"/>
    <w:rsid w:val="005E1376"/>
    <w:rsid w:val="005E138F"/>
    <w:rsid w:val="005E141B"/>
    <w:rsid w:val="005E14CC"/>
    <w:rsid w:val="005E1550"/>
    <w:rsid w:val="005E1639"/>
    <w:rsid w:val="005E163A"/>
    <w:rsid w:val="005E165C"/>
    <w:rsid w:val="005E166F"/>
    <w:rsid w:val="005E1676"/>
    <w:rsid w:val="005E168F"/>
    <w:rsid w:val="005E16B2"/>
    <w:rsid w:val="005E16BF"/>
    <w:rsid w:val="005E16E3"/>
    <w:rsid w:val="005E1762"/>
    <w:rsid w:val="005E179D"/>
    <w:rsid w:val="005E1807"/>
    <w:rsid w:val="005E1809"/>
    <w:rsid w:val="005E1858"/>
    <w:rsid w:val="005E1883"/>
    <w:rsid w:val="005E1918"/>
    <w:rsid w:val="005E195C"/>
    <w:rsid w:val="005E19B3"/>
    <w:rsid w:val="005E1A3A"/>
    <w:rsid w:val="005E1A4D"/>
    <w:rsid w:val="005E1AA9"/>
    <w:rsid w:val="005E1B5D"/>
    <w:rsid w:val="005E1B86"/>
    <w:rsid w:val="005E1D50"/>
    <w:rsid w:val="005E1D97"/>
    <w:rsid w:val="005E1DD7"/>
    <w:rsid w:val="005E1DF4"/>
    <w:rsid w:val="005E1E71"/>
    <w:rsid w:val="005E1E74"/>
    <w:rsid w:val="005E1E94"/>
    <w:rsid w:val="005E1EFC"/>
    <w:rsid w:val="005E1F19"/>
    <w:rsid w:val="005E1F27"/>
    <w:rsid w:val="005E1F42"/>
    <w:rsid w:val="005E1F54"/>
    <w:rsid w:val="005E1FAD"/>
    <w:rsid w:val="005E1FC0"/>
    <w:rsid w:val="005E1FC8"/>
    <w:rsid w:val="005E1FE9"/>
    <w:rsid w:val="005E2018"/>
    <w:rsid w:val="005E2054"/>
    <w:rsid w:val="005E20B4"/>
    <w:rsid w:val="005E20B5"/>
    <w:rsid w:val="005E20C9"/>
    <w:rsid w:val="005E20FC"/>
    <w:rsid w:val="005E2143"/>
    <w:rsid w:val="005E218E"/>
    <w:rsid w:val="005E21D7"/>
    <w:rsid w:val="005E22E6"/>
    <w:rsid w:val="005E22FD"/>
    <w:rsid w:val="005E2308"/>
    <w:rsid w:val="005E231D"/>
    <w:rsid w:val="005E2350"/>
    <w:rsid w:val="005E23AC"/>
    <w:rsid w:val="005E23AE"/>
    <w:rsid w:val="005E2496"/>
    <w:rsid w:val="005E257A"/>
    <w:rsid w:val="005E2593"/>
    <w:rsid w:val="005E265B"/>
    <w:rsid w:val="005E26CC"/>
    <w:rsid w:val="005E2700"/>
    <w:rsid w:val="005E2716"/>
    <w:rsid w:val="005E2721"/>
    <w:rsid w:val="005E2737"/>
    <w:rsid w:val="005E277A"/>
    <w:rsid w:val="005E27AC"/>
    <w:rsid w:val="005E27B1"/>
    <w:rsid w:val="005E2845"/>
    <w:rsid w:val="005E28FB"/>
    <w:rsid w:val="005E2937"/>
    <w:rsid w:val="005E297D"/>
    <w:rsid w:val="005E29CC"/>
    <w:rsid w:val="005E29F2"/>
    <w:rsid w:val="005E2A29"/>
    <w:rsid w:val="005E2A50"/>
    <w:rsid w:val="005E2A5B"/>
    <w:rsid w:val="005E2AD6"/>
    <w:rsid w:val="005E2B12"/>
    <w:rsid w:val="005E2B6E"/>
    <w:rsid w:val="005E2C39"/>
    <w:rsid w:val="005E2C71"/>
    <w:rsid w:val="005E2CC1"/>
    <w:rsid w:val="005E2D1E"/>
    <w:rsid w:val="005E2D64"/>
    <w:rsid w:val="005E2E1C"/>
    <w:rsid w:val="005E2E5E"/>
    <w:rsid w:val="005E2E74"/>
    <w:rsid w:val="005E2EA3"/>
    <w:rsid w:val="005E2EC0"/>
    <w:rsid w:val="005E2EFE"/>
    <w:rsid w:val="005E2F01"/>
    <w:rsid w:val="005E301A"/>
    <w:rsid w:val="005E308D"/>
    <w:rsid w:val="005E30DA"/>
    <w:rsid w:val="005E312C"/>
    <w:rsid w:val="005E3152"/>
    <w:rsid w:val="005E317B"/>
    <w:rsid w:val="005E3182"/>
    <w:rsid w:val="005E3203"/>
    <w:rsid w:val="005E320A"/>
    <w:rsid w:val="005E3219"/>
    <w:rsid w:val="005E3238"/>
    <w:rsid w:val="005E329E"/>
    <w:rsid w:val="005E3308"/>
    <w:rsid w:val="005E333E"/>
    <w:rsid w:val="005E334C"/>
    <w:rsid w:val="005E3351"/>
    <w:rsid w:val="005E3355"/>
    <w:rsid w:val="005E339A"/>
    <w:rsid w:val="005E33B0"/>
    <w:rsid w:val="005E33CA"/>
    <w:rsid w:val="005E3430"/>
    <w:rsid w:val="005E3459"/>
    <w:rsid w:val="005E34E8"/>
    <w:rsid w:val="005E3522"/>
    <w:rsid w:val="005E353F"/>
    <w:rsid w:val="005E3559"/>
    <w:rsid w:val="005E35A8"/>
    <w:rsid w:val="005E35B4"/>
    <w:rsid w:val="005E35C1"/>
    <w:rsid w:val="005E3687"/>
    <w:rsid w:val="005E36FE"/>
    <w:rsid w:val="005E3704"/>
    <w:rsid w:val="005E3789"/>
    <w:rsid w:val="005E3914"/>
    <w:rsid w:val="005E3959"/>
    <w:rsid w:val="005E396F"/>
    <w:rsid w:val="005E39E9"/>
    <w:rsid w:val="005E3AA2"/>
    <w:rsid w:val="005E3AAD"/>
    <w:rsid w:val="005E3B4B"/>
    <w:rsid w:val="005E3B8D"/>
    <w:rsid w:val="005E3BA5"/>
    <w:rsid w:val="005E3BEF"/>
    <w:rsid w:val="005E3C11"/>
    <w:rsid w:val="005E3C26"/>
    <w:rsid w:val="005E3D5B"/>
    <w:rsid w:val="005E3DA9"/>
    <w:rsid w:val="005E3DBC"/>
    <w:rsid w:val="005E3E03"/>
    <w:rsid w:val="005E3E39"/>
    <w:rsid w:val="005E3E81"/>
    <w:rsid w:val="005E3F04"/>
    <w:rsid w:val="005E3F64"/>
    <w:rsid w:val="005E3FA1"/>
    <w:rsid w:val="005E4027"/>
    <w:rsid w:val="005E4164"/>
    <w:rsid w:val="005E4170"/>
    <w:rsid w:val="005E418D"/>
    <w:rsid w:val="005E41F7"/>
    <w:rsid w:val="005E428B"/>
    <w:rsid w:val="005E4314"/>
    <w:rsid w:val="005E4329"/>
    <w:rsid w:val="005E4345"/>
    <w:rsid w:val="005E43A7"/>
    <w:rsid w:val="005E43C1"/>
    <w:rsid w:val="005E43C3"/>
    <w:rsid w:val="005E43D9"/>
    <w:rsid w:val="005E43DA"/>
    <w:rsid w:val="005E441D"/>
    <w:rsid w:val="005E4424"/>
    <w:rsid w:val="005E4426"/>
    <w:rsid w:val="005E443A"/>
    <w:rsid w:val="005E4456"/>
    <w:rsid w:val="005E446A"/>
    <w:rsid w:val="005E446E"/>
    <w:rsid w:val="005E4495"/>
    <w:rsid w:val="005E4499"/>
    <w:rsid w:val="005E44AB"/>
    <w:rsid w:val="005E44B0"/>
    <w:rsid w:val="005E44D2"/>
    <w:rsid w:val="005E4584"/>
    <w:rsid w:val="005E45C3"/>
    <w:rsid w:val="005E45E0"/>
    <w:rsid w:val="005E45E4"/>
    <w:rsid w:val="005E4600"/>
    <w:rsid w:val="005E4620"/>
    <w:rsid w:val="005E4717"/>
    <w:rsid w:val="005E472F"/>
    <w:rsid w:val="005E4733"/>
    <w:rsid w:val="005E4787"/>
    <w:rsid w:val="005E47AF"/>
    <w:rsid w:val="005E47F5"/>
    <w:rsid w:val="005E4824"/>
    <w:rsid w:val="005E4832"/>
    <w:rsid w:val="005E483A"/>
    <w:rsid w:val="005E4846"/>
    <w:rsid w:val="005E48D6"/>
    <w:rsid w:val="005E48E3"/>
    <w:rsid w:val="005E4903"/>
    <w:rsid w:val="005E4911"/>
    <w:rsid w:val="005E498D"/>
    <w:rsid w:val="005E49A1"/>
    <w:rsid w:val="005E49B4"/>
    <w:rsid w:val="005E4A4B"/>
    <w:rsid w:val="005E4A6A"/>
    <w:rsid w:val="005E4A91"/>
    <w:rsid w:val="005E4AB7"/>
    <w:rsid w:val="005E4AD2"/>
    <w:rsid w:val="005E4B12"/>
    <w:rsid w:val="005E4C79"/>
    <w:rsid w:val="005E4CD1"/>
    <w:rsid w:val="005E4D73"/>
    <w:rsid w:val="005E4E2F"/>
    <w:rsid w:val="005E4E41"/>
    <w:rsid w:val="005E4E56"/>
    <w:rsid w:val="005E4E57"/>
    <w:rsid w:val="005E4E6E"/>
    <w:rsid w:val="005E4EBB"/>
    <w:rsid w:val="005E4EFF"/>
    <w:rsid w:val="005E4F20"/>
    <w:rsid w:val="005E4F54"/>
    <w:rsid w:val="005E4F60"/>
    <w:rsid w:val="005E4F94"/>
    <w:rsid w:val="005E4FA1"/>
    <w:rsid w:val="005E4FFF"/>
    <w:rsid w:val="005E5026"/>
    <w:rsid w:val="005E5063"/>
    <w:rsid w:val="005E5078"/>
    <w:rsid w:val="005E50B4"/>
    <w:rsid w:val="005E50C6"/>
    <w:rsid w:val="005E50D6"/>
    <w:rsid w:val="005E5143"/>
    <w:rsid w:val="005E5148"/>
    <w:rsid w:val="005E526B"/>
    <w:rsid w:val="005E52A1"/>
    <w:rsid w:val="005E5331"/>
    <w:rsid w:val="005E5360"/>
    <w:rsid w:val="005E53C0"/>
    <w:rsid w:val="005E53C2"/>
    <w:rsid w:val="005E5445"/>
    <w:rsid w:val="005E5468"/>
    <w:rsid w:val="005E54E1"/>
    <w:rsid w:val="005E5529"/>
    <w:rsid w:val="005E555A"/>
    <w:rsid w:val="005E5575"/>
    <w:rsid w:val="005E5579"/>
    <w:rsid w:val="005E5592"/>
    <w:rsid w:val="005E55AA"/>
    <w:rsid w:val="005E5690"/>
    <w:rsid w:val="005E56A2"/>
    <w:rsid w:val="005E5717"/>
    <w:rsid w:val="005E5775"/>
    <w:rsid w:val="005E577F"/>
    <w:rsid w:val="005E5785"/>
    <w:rsid w:val="005E57C8"/>
    <w:rsid w:val="005E57D0"/>
    <w:rsid w:val="005E57E1"/>
    <w:rsid w:val="005E5827"/>
    <w:rsid w:val="005E5839"/>
    <w:rsid w:val="005E5845"/>
    <w:rsid w:val="005E5852"/>
    <w:rsid w:val="005E58D8"/>
    <w:rsid w:val="005E58DC"/>
    <w:rsid w:val="005E594F"/>
    <w:rsid w:val="005E5951"/>
    <w:rsid w:val="005E5954"/>
    <w:rsid w:val="005E59D9"/>
    <w:rsid w:val="005E5A62"/>
    <w:rsid w:val="005E5A6E"/>
    <w:rsid w:val="005E5B0F"/>
    <w:rsid w:val="005E5B36"/>
    <w:rsid w:val="005E5C19"/>
    <w:rsid w:val="005E5C96"/>
    <w:rsid w:val="005E5CBF"/>
    <w:rsid w:val="005E5CDF"/>
    <w:rsid w:val="005E5CEF"/>
    <w:rsid w:val="005E5D01"/>
    <w:rsid w:val="005E5D0E"/>
    <w:rsid w:val="005E5D23"/>
    <w:rsid w:val="005E5D74"/>
    <w:rsid w:val="005E5DD1"/>
    <w:rsid w:val="005E5DF2"/>
    <w:rsid w:val="005E5E65"/>
    <w:rsid w:val="005E5EC8"/>
    <w:rsid w:val="005E5FC5"/>
    <w:rsid w:val="005E6072"/>
    <w:rsid w:val="005E609D"/>
    <w:rsid w:val="005E60C0"/>
    <w:rsid w:val="005E6119"/>
    <w:rsid w:val="005E6140"/>
    <w:rsid w:val="005E6149"/>
    <w:rsid w:val="005E6158"/>
    <w:rsid w:val="005E61C5"/>
    <w:rsid w:val="005E61D9"/>
    <w:rsid w:val="005E61F2"/>
    <w:rsid w:val="005E6221"/>
    <w:rsid w:val="005E62BB"/>
    <w:rsid w:val="005E6315"/>
    <w:rsid w:val="005E6337"/>
    <w:rsid w:val="005E63A3"/>
    <w:rsid w:val="005E63DD"/>
    <w:rsid w:val="005E63E3"/>
    <w:rsid w:val="005E6419"/>
    <w:rsid w:val="005E6487"/>
    <w:rsid w:val="005E649F"/>
    <w:rsid w:val="005E64C1"/>
    <w:rsid w:val="005E64FD"/>
    <w:rsid w:val="005E651C"/>
    <w:rsid w:val="005E65AC"/>
    <w:rsid w:val="005E65AE"/>
    <w:rsid w:val="005E65BC"/>
    <w:rsid w:val="005E65DF"/>
    <w:rsid w:val="005E662C"/>
    <w:rsid w:val="005E6639"/>
    <w:rsid w:val="005E6640"/>
    <w:rsid w:val="005E664C"/>
    <w:rsid w:val="005E6686"/>
    <w:rsid w:val="005E66D4"/>
    <w:rsid w:val="005E66F6"/>
    <w:rsid w:val="005E6782"/>
    <w:rsid w:val="005E67CE"/>
    <w:rsid w:val="005E67FE"/>
    <w:rsid w:val="005E6849"/>
    <w:rsid w:val="005E685B"/>
    <w:rsid w:val="005E68AA"/>
    <w:rsid w:val="005E6915"/>
    <w:rsid w:val="005E691D"/>
    <w:rsid w:val="005E693E"/>
    <w:rsid w:val="005E69A6"/>
    <w:rsid w:val="005E6A65"/>
    <w:rsid w:val="005E6A8D"/>
    <w:rsid w:val="005E6A9B"/>
    <w:rsid w:val="005E6AA0"/>
    <w:rsid w:val="005E6AEA"/>
    <w:rsid w:val="005E6B03"/>
    <w:rsid w:val="005E6B0A"/>
    <w:rsid w:val="005E6B3C"/>
    <w:rsid w:val="005E6B8B"/>
    <w:rsid w:val="005E6D45"/>
    <w:rsid w:val="005E6DAC"/>
    <w:rsid w:val="005E6DBA"/>
    <w:rsid w:val="005E6DFF"/>
    <w:rsid w:val="005E6E05"/>
    <w:rsid w:val="005E6E9B"/>
    <w:rsid w:val="005E6EA6"/>
    <w:rsid w:val="005E6F78"/>
    <w:rsid w:val="005E6FB3"/>
    <w:rsid w:val="005E6FEE"/>
    <w:rsid w:val="005E6FF2"/>
    <w:rsid w:val="005E7010"/>
    <w:rsid w:val="005E7015"/>
    <w:rsid w:val="005E70A4"/>
    <w:rsid w:val="005E70E1"/>
    <w:rsid w:val="005E7129"/>
    <w:rsid w:val="005E713C"/>
    <w:rsid w:val="005E718F"/>
    <w:rsid w:val="005E71E1"/>
    <w:rsid w:val="005E7221"/>
    <w:rsid w:val="005E722E"/>
    <w:rsid w:val="005E724D"/>
    <w:rsid w:val="005E7276"/>
    <w:rsid w:val="005E727D"/>
    <w:rsid w:val="005E72F7"/>
    <w:rsid w:val="005E7349"/>
    <w:rsid w:val="005E73E4"/>
    <w:rsid w:val="005E744E"/>
    <w:rsid w:val="005E74A2"/>
    <w:rsid w:val="005E7539"/>
    <w:rsid w:val="005E75B3"/>
    <w:rsid w:val="005E75FF"/>
    <w:rsid w:val="005E7633"/>
    <w:rsid w:val="005E7645"/>
    <w:rsid w:val="005E7690"/>
    <w:rsid w:val="005E769D"/>
    <w:rsid w:val="005E76E7"/>
    <w:rsid w:val="005E773E"/>
    <w:rsid w:val="005E7741"/>
    <w:rsid w:val="005E7797"/>
    <w:rsid w:val="005E77A3"/>
    <w:rsid w:val="005E77DE"/>
    <w:rsid w:val="005E78D1"/>
    <w:rsid w:val="005E78ED"/>
    <w:rsid w:val="005E78FE"/>
    <w:rsid w:val="005E797D"/>
    <w:rsid w:val="005E7A09"/>
    <w:rsid w:val="005E7A1A"/>
    <w:rsid w:val="005E7A3B"/>
    <w:rsid w:val="005E7AD7"/>
    <w:rsid w:val="005E7B2E"/>
    <w:rsid w:val="005E7C4E"/>
    <w:rsid w:val="005E7D6A"/>
    <w:rsid w:val="005E7D78"/>
    <w:rsid w:val="005E7DAC"/>
    <w:rsid w:val="005E7DEB"/>
    <w:rsid w:val="005E7E0C"/>
    <w:rsid w:val="005E7EE5"/>
    <w:rsid w:val="005E7F66"/>
    <w:rsid w:val="005E7F80"/>
    <w:rsid w:val="005E7F81"/>
    <w:rsid w:val="005E7FC3"/>
    <w:rsid w:val="005E7FD7"/>
    <w:rsid w:val="005F0008"/>
    <w:rsid w:val="005F0039"/>
    <w:rsid w:val="005F00AA"/>
    <w:rsid w:val="005F00DC"/>
    <w:rsid w:val="005F0194"/>
    <w:rsid w:val="005F01EA"/>
    <w:rsid w:val="005F02BF"/>
    <w:rsid w:val="005F030C"/>
    <w:rsid w:val="005F03E7"/>
    <w:rsid w:val="005F04C8"/>
    <w:rsid w:val="005F05A8"/>
    <w:rsid w:val="005F05BE"/>
    <w:rsid w:val="005F0607"/>
    <w:rsid w:val="005F0661"/>
    <w:rsid w:val="005F0665"/>
    <w:rsid w:val="005F06B0"/>
    <w:rsid w:val="005F06FA"/>
    <w:rsid w:val="005F0701"/>
    <w:rsid w:val="005F079F"/>
    <w:rsid w:val="005F0816"/>
    <w:rsid w:val="005F0836"/>
    <w:rsid w:val="005F08BD"/>
    <w:rsid w:val="005F093D"/>
    <w:rsid w:val="005F0968"/>
    <w:rsid w:val="005F09B6"/>
    <w:rsid w:val="005F09B8"/>
    <w:rsid w:val="005F09C3"/>
    <w:rsid w:val="005F09CF"/>
    <w:rsid w:val="005F0A10"/>
    <w:rsid w:val="005F0A69"/>
    <w:rsid w:val="005F0AC0"/>
    <w:rsid w:val="005F0B08"/>
    <w:rsid w:val="005F0B2A"/>
    <w:rsid w:val="005F0B89"/>
    <w:rsid w:val="005F0BA9"/>
    <w:rsid w:val="005F0C4D"/>
    <w:rsid w:val="005F0C61"/>
    <w:rsid w:val="005F0CB6"/>
    <w:rsid w:val="005F0D19"/>
    <w:rsid w:val="005F0E07"/>
    <w:rsid w:val="005F0E30"/>
    <w:rsid w:val="005F0EB9"/>
    <w:rsid w:val="005F0ED7"/>
    <w:rsid w:val="005F0F24"/>
    <w:rsid w:val="005F0F4C"/>
    <w:rsid w:val="005F0FB8"/>
    <w:rsid w:val="005F10A9"/>
    <w:rsid w:val="005F10AD"/>
    <w:rsid w:val="005F10C7"/>
    <w:rsid w:val="005F1110"/>
    <w:rsid w:val="005F114D"/>
    <w:rsid w:val="005F117F"/>
    <w:rsid w:val="005F119A"/>
    <w:rsid w:val="005F11C3"/>
    <w:rsid w:val="005F121F"/>
    <w:rsid w:val="005F123D"/>
    <w:rsid w:val="005F12F4"/>
    <w:rsid w:val="005F12FB"/>
    <w:rsid w:val="005F1331"/>
    <w:rsid w:val="005F1338"/>
    <w:rsid w:val="005F135E"/>
    <w:rsid w:val="005F13BC"/>
    <w:rsid w:val="005F13C9"/>
    <w:rsid w:val="005F144A"/>
    <w:rsid w:val="005F1477"/>
    <w:rsid w:val="005F1487"/>
    <w:rsid w:val="005F149A"/>
    <w:rsid w:val="005F14E0"/>
    <w:rsid w:val="005F14F3"/>
    <w:rsid w:val="005F1504"/>
    <w:rsid w:val="005F1533"/>
    <w:rsid w:val="005F15AE"/>
    <w:rsid w:val="005F15D7"/>
    <w:rsid w:val="005F1641"/>
    <w:rsid w:val="005F16C4"/>
    <w:rsid w:val="005F170E"/>
    <w:rsid w:val="005F1741"/>
    <w:rsid w:val="005F1770"/>
    <w:rsid w:val="005F17BE"/>
    <w:rsid w:val="005F17D2"/>
    <w:rsid w:val="005F17F6"/>
    <w:rsid w:val="005F1822"/>
    <w:rsid w:val="005F1882"/>
    <w:rsid w:val="005F195B"/>
    <w:rsid w:val="005F19FF"/>
    <w:rsid w:val="005F1B1B"/>
    <w:rsid w:val="005F1B58"/>
    <w:rsid w:val="005F1B9E"/>
    <w:rsid w:val="005F1BAD"/>
    <w:rsid w:val="005F1C39"/>
    <w:rsid w:val="005F1C60"/>
    <w:rsid w:val="005F1C64"/>
    <w:rsid w:val="005F1D1D"/>
    <w:rsid w:val="005F1D9B"/>
    <w:rsid w:val="005F1DB4"/>
    <w:rsid w:val="005F1E6B"/>
    <w:rsid w:val="005F1EA9"/>
    <w:rsid w:val="005F1F18"/>
    <w:rsid w:val="005F1F3B"/>
    <w:rsid w:val="005F1F77"/>
    <w:rsid w:val="005F1F9A"/>
    <w:rsid w:val="005F2032"/>
    <w:rsid w:val="005F2054"/>
    <w:rsid w:val="005F20A2"/>
    <w:rsid w:val="005F20E3"/>
    <w:rsid w:val="005F2101"/>
    <w:rsid w:val="005F2106"/>
    <w:rsid w:val="005F2127"/>
    <w:rsid w:val="005F2135"/>
    <w:rsid w:val="005F217E"/>
    <w:rsid w:val="005F21FA"/>
    <w:rsid w:val="005F2220"/>
    <w:rsid w:val="005F2230"/>
    <w:rsid w:val="005F227A"/>
    <w:rsid w:val="005F228C"/>
    <w:rsid w:val="005F22BC"/>
    <w:rsid w:val="005F2306"/>
    <w:rsid w:val="005F2344"/>
    <w:rsid w:val="005F2347"/>
    <w:rsid w:val="005F2366"/>
    <w:rsid w:val="005F2385"/>
    <w:rsid w:val="005F23F9"/>
    <w:rsid w:val="005F2466"/>
    <w:rsid w:val="005F2485"/>
    <w:rsid w:val="005F2493"/>
    <w:rsid w:val="005F24D2"/>
    <w:rsid w:val="005F250D"/>
    <w:rsid w:val="005F253B"/>
    <w:rsid w:val="005F2540"/>
    <w:rsid w:val="005F25EA"/>
    <w:rsid w:val="005F2653"/>
    <w:rsid w:val="005F2685"/>
    <w:rsid w:val="005F26D1"/>
    <w:rsid w:val="005F2720"/>
    <w:rsid w:val="005F2753"/>
    <w:rsid w:val="005F27B5"/>
    <w:rsid w:val="005F27BC"/>
    <w:rsid w:val="005F27E4"/>
    <w:rsid w:val="005F27E8"/>
    <w:rsid w:val="005F2805"/>
    <w:rsid w:val="005F2814"/>
    <w:rsid w:val="005F281E"/>
    <w:rsid w:val="005F2856"/>
    <w:rsid w:val="005F288D"/>
    <w:rsid w:val="005F28A8"/>
    <w:rsid w:val="005F295D"/>
    <w:rsid w:val="005F2967"/>
    <w:rsid w:val="005F2A34"/>
    <w:rsid w:val="005F2ABC"/>
    <w:rsid w:val="005F2AEC"/>
    <w:rsid w:val="005F2B35"/>
    <w:rsid w:val="005F2B3F"/>
    <w:rsid w:val="005F2C5B"/>
    <w:rsid w:val="005F2C98"/>
    <w:rsid w:val="005F2C9C"/>
    <w:rsid w:val="005F2DE3"/>
    <w:rsid w:val="005F2E12"/>
    <w:rsid w:val="005F2E51"/>
    <w:rsid w:val="005F2E88"/>
    <w:rsid w:val="005F2E8F"/>
    <w:rsid w:val="005F2E94"/>
    <w:rsid w:val="005F2F62"/>
    <w:rsid w:val="005F2FDC"/>
    <w:rsid w:val="005F2FF5"/>
    <w:rsid w:val="005F2FF6"/>
    <w:rsid w:val="005F2FFC"/>
    <w:rsid w:val="005F303D"/>
    <w:rsid w:val="005F306B"/>
    <w:rsid w:val="005F313F"/>
    <w:rsid w:val="005F3144"/>
    <w:rsid w:val="005F31AF"/>
    <w:rsid w:val="005F31F9"/>
    <w:rsid w:val="005F320E"/>
    <w:rsid w:val="005F326D"/>
    <w:rsid w:val="005F33EB"/>
    <w:rsid w:val="005F33F0"/>
    <w:rsid w:val="005F3418"/>
    <w:rsid w:val="005F3485"/>
    <w:rsid w:val="005F34BA"/>
    <w:rsid w:val="005F34D4"/>
    <w:rsid w:val="005F34F1"/>
    <w:rsid w:val="005F3600"/>
    <w:rsid w:val="005F364D"/>
    <w:rsid w:val="005F37D2"/>
    <w:rsid w:val="005F37DC"/>
    <w:rsid w:val="005F38C5"/>
    <w:rsid w:val="005F394B"/>
    <w:rsid w:val="005F394C"/>
    <w:rsid w:val="005F39A1"/>
    <w:rsid w:val="005F39A7"/>
    <w:rsid w:val="005F3A1C"/>
    <w:rsid w:val="005F3A46"/>
    <w:rsid w:val="005F3A67"/>
    <w:rsid w:val="005F3A8A"/>
    <w:rsid w:val="005F3A95"/>
    <w:rsid w:val="005F3AC3"/>
    <w:rsid w:val="005F3B21"/>
    <w:rsid w:val="005F3B52"/>
    <w:rsid w:val="005F3BAD"/>
    <w:rsid w:val="005F3BCE"/>
    <w:rsid w:val="005F3BDB"/>
    <w:rsid w:val="005F3BED"/>
    <w:rsid w:val="005F3C1D"/>
    <w:rsid w:val="005F3C57"/>
    <w:rsid w:val="005F3CBD"/>
    <w:rsid w:val="005F3CE0"/>
    <w:rsid w:val="005F3D38"/>
    <w:rsid w:val="005F3D8C"/>
    <w:rsid w:val="005F3DE0"/>
    <w:rsid w:val="005F3DE9"/>
    <w:rsid w:val="005F3E03"/>
    <w:rsid w:val="005F3E62"/>
    <w:rsid w:val="005F3EBA"/>
    <w:rsid w:val="005F3ED9"/>
    <w:rsid w:val="005F3EE5"/>
    <w:rsid w:val="005F3F0C"/>
    <w:rsid w:val="005F3FA9"/>
    <w:rsid w:val="005F40C0"/>
    <w:rsid w:val="005F40C6"/>
    <w:rsid w:val="005F40D7"/>
    <w:rsid w:val="005F40EA"/>
    <w:rsid w:val="005F4165"/>
    <w:rsid w:val="005F41C2"/>
    <w:rsid w:val="005F4200"/>
    <w:rsid w:val="005F4240"/>
    <w:rsid w:val="005F42B4"/>
    <w:rsid w:val="005F42C5"/>
    <w:rsid w:val="005F4320"/>
    <w:rsid w:val="005F43A6"/>
    <w:rsid w:val="005F43DD"/>
    <w:rsid w:val="005F4411"/>
    <w:rsid w:val="005F4498"/>
    <w:rsid w:val="005F44CA"/>
    <w:rsid w:val="005F44EA"/>
    <w:rsid w:val="005F44FB"/>
    <w:rsid w:val="005F4585"/>
    <w:rsid w:val="005F46A5"/>
    <w:rsid w:val="005F46D0"/>
    <w:rsid w:val="005F46F9"/>
    <w:rsid w:val="005F4828"/>
    <w:rsid w:val="005F4916"/>
    <w:rsid w:val="005F4988"/>
    <w:rsid w:val="005F4995"/>
    <w:rsid w:val="005F49CB"/>
    <w:rsid w:val="005F49CF"/>
    <w:rsid w:val="005F4A2B"/>
    <w:rsid w:val="005F4A3D"/>
    <w:rsid w:val="005F4A65"/>
    <w:rsid w:val="005F4ABA"/>
    <w:rsid w:val="005F4ABC"/>
    <w:rsid w:val="005F4B43"/>
    <w:rsid w:val="005F4BC0"/>
    <w:rsid w:val="005F4C6F"/>
    <w:rsid w:val="005F4C70"/>
    <w:rsid w:val="005F4C99"/>
    <w:rsid w:val="005F4CA7"/>
    <w:rsid w:val="005F4D2B"/>
    <w:rsid w:val="005F4DA4"/>
    <w:rsid w:val="005F4DB8"/>
    <w:rsid w:val="005F4E75"/>
    <w:rsid w:val="005F4F45"/>
    <w:rsid w:val="005F4F9B"/>
    <w:rsid w:val="005F50B0"/>
    <w:rsid w:val="005F50E5"/>
    <w:rsid w:val="005F5164"/>
    <w:rsid w:val="005F51AB"/>
    <w:rsid w:val="005F51CF"/>
    <w:rsid w:val="005F51F8"/>
    <w:rsid w:val="005F5218"/>
    <w:rsid w:val="005F522F"/>
    <w:rsid w:val="005F5241"/>
    <w:rsid w:val="005F5284"/>
    <w:rsid w:val="005F5290"/>
    <w:rsid w:val="005F52C6"/>
    <w:rsid w:val="005F52F4"/>
    <w:rsid w:val="005F532F"/>
    <w:rsid w:val="005F536F"/>
    <w:rsid w:val="005F5408"/>
    <w:rsid w:val="005F540D"/>
    <w:rsid w:val="005F542D"/>
    <w:rsid w:val="005F5438"/>
    <w:rsid w:val="005F543A"/>
    <w:rsid w:val="005F552A"/>
    <w:rsid w:val="005F5594"/>
    <w:rsid w:val="005F559F"/>
    <w:rsid w:val="005F562E"/>
    <w:rsid w:val="005F563C"/>
    <w:rsid w:val="005F5664"/>
    <w:rsid w:val="005F56A0"/>
    <w:rsid w:val="005F56E6"/>
    <w:rsid w:val="005F57E0"/>
    <w:rsid w:val="005F582E"/>
    <w:rsid w:val="005F5854"/>
    <w:rsid w:val="005F585E"/>
    <w:rsid w:val="005F5884"/>
    <w:rsid w:val="005F5888"/>
    <w:rsid w:val="005F58B9"/>
    <w:rsid w:val="005F5909"/>
    <w:rsid w:val="005F595A"/>
    <w:rsid w:val="005F596C"/>
    <w:rsid w:val="005F59EE"/>
    <w:rsid w:val="005F5A1B"/>
    <w:rsid w:val="005F5A34"/>
    <w:rsid w:val="005F5B21"/>
    <w:rsid w:val="005F5B34"/>
    <w:rsid w:val="005F5B4E"/>
    <w:rsid w:val="005F5BBE"/>
    <w:rsid w:val="005F5BD5"/>
    <w:rsid w:val="005F5C35"/>
    <w:rsid w:val="005F5C39"/>
    <w:rsid w:val="005F5C73"/>
    <w:rsid w:val="005F5CAA"/>
    <w:rsid w:val="005F5CFD"/>
    <w:rsid w:val="005F5D03"/>
    <w:rsid w:val="005F5D29"/>
    <w:rsid w:val="005F5D62"/>
    <w:rsid w:val="005F5DF3"/>
    <w:rsid w:val="005F5EA7"/>
    <w:rsid w:val="005F5ECE"/>
    <w:rsid w:val="005F5EDD"/>
    <w:rsid w:val="005F5FB6"/>
    <w:rsid w:val="005F5FDA"/>
    <w:rsid w:val="005F5FF5"/>
    <w:rsid w:val="005F5FF6"/>
    <w:rsid w:val="005F603B"/>
    <w:rsid w:val="005F604C"/>
    <w:rsid w:val="005F6062"/>
    <w:rsid w:val="005F608E"/>
    <w:rsid w:val="005F6091"/>
    <w:rsid w:val="005F60C7"/>
    <w:rsid w:val="005F60E9"/>
    <w:rsid w:val="005F6113"/>
    <w:rsid w:val="005F6116"/>
    <w:rsid w:val="005F6167"/>
    <w:rsid w:val="005F617D"/>
    <w:rsid w:val="005F61B2"/>
    <w:rsid w:val="005F61F4"/>
    <w:rsid w:val="005F620A"/>
    <w:rsid w:val="005F6226"/>
    <w:rsid w:val="005F6273"/>
    <w:rsid w:val="005F627D"/>
    <w:rsid w:val="005F62A6"/>
    <w:rsid w:val="005F62A8"/>
    <w:rsid w:val="005F6350"/>
    <w:rsid w:val="005F63A2"/>
    <w:rsid w:val="005F63DF"/>
    <w:rsid w:val="005F6448"/>
    <w:rsid w:val="005F6487"/>
    <w:rsid w:val="005F65A5"/>
    <w:rsid w:val="005F65B7"/>
    <w:rsid w:val="005F65C6"/>
    <w:rsid w:val="005F674B"/>
    <w:rsid w:val="005F67A4"/>
    <w:rsid w:val="005F67B9"/>
    <w:rsid w:val="005F67DB"/>
    <w:rsid w:val="005F67E1"/>
    <w:rsid w:val="005F67FB"/>
    <w:rsid w:val="005F693B"/>
    <w:rsid w:val="005F6959"/>
    <w:rsid w:val="005F69C8"/>
    <w:rsid w:val="005F6A36"/>
    <w:rsid w:val="005F6A49"/>
    <w:rsid w:val="005F6A6C"/>
    <w:rsid w:val="005F6B37"/>
    <w:rsid w:val="005F6B8C"/>
    <w:rsid w:val="005F6C22"/>
    <w:rsid w:val="005F6C3C"/>
    <w:rsid w:val="005F6CB5"/>
    <w:rsid w:val="005F6CC7"/>
    <w:rsid w:val="005F6CE2"/>
    <w:rsid w:val="005F6D24"/>
    <w:rsid w:val="005F6D55"/>
    <w:rsid w:val="005F6D6D"/>
    <w:rsid w:val="005F6DCC"/>
    <w:rsid w:val="005F6DCD"/>
    <w:rsid w:val="005F6E1F"/>
    <w:rsid w:val="005F6E31"/>
    <w:rsid w:val="005F6E7E"/>
    <w:rsid w:val="005F6EC9"/>
    <w:rsid w:val="005F6F0B"/>
    <w:rsid w:val="005F7004"/>
    <w:rsid w:val="005F7035"/>
    <w:rsid w:val="005F7126"/>
    <w:rsid w:val="005F720D"/>
    <w:rsid w:val="005F7236"/>
    <w:rsid w:val="005F72C1"/>
    <w:rsid w:val="005F72D0"/>
    <w:rsid w:val="005F72FD"/>
    <w:rsid w:val="005F7324"/>
    <w:rsid w:val="005F73B8"/>
    <w:rsid w:val="005F7479"/>
    <w:rsid w:val="005F7487"/>
    <w:rsid w:val="005F75AF"/>
    <w:rsid w:val="005F75B8"/>
    <w:rsid w:val="005F760E"/>
    <w:rsid w:val="005F765F"/>
    <w:rsid w:val="005F76F6"/>
    <w:rsid w:val="005F7714"/>
    <w:rsid w:val="005F7716"/>
    <w:rsid w:val="005F772B"/>
    <w:rsid w:val="005F7750"/>
    <w:rsid w:val="005F7755"/>
    <w:rsid w:val="005F77B9"/>
    <w:rsid w:val="005F77C4"/>
    <w:rsid w:val="005F780B"/>
    <w:rsid w:val="005F781F"/>
    <w:rsid w:val="005F783B"/>
    <w:rsid w:val="005F7898"/>
    <w:rsid w:val="005F78B4"/>
    <w:rsid w:val="005F78C0"/>
    <w:rsid w:val="005F78CC"/>
    <w:rsid w:val="005F78E1"/>
    <w:rsid w:val="005F7911"/>
    <w:rsid w:val="005F793B"/>
    <w:rsid w:val="005F796A"/>
    <w:rsid w:val="005F79C1"/>
    <w:rsid w:val="005F79CF"/>
    <w:rsid w:val="005F79DD"/>
    <w:rsid w:val="005F7A2F"/>
    <w:rsid w:val="005F7A7E"/>
    <w:rsid w:val="005F7A8B"/>
    <w:rsid w:val="005F7AC9"/>
    <w:rsid w:val="005F7B75"/>
    <w:rsid w:val="005F7C47"/>
    <w:rsid w:val="005F7CF7"/>
    <w:rsid w:val="005F7D16"/>
    <w:rsid w:val="005F7D1D"/>
    <w:rsid w:val="005F7D4F"/>
    <w:rsid w:val="005F7D59"/>
    <w:rsid w:val="005F7DA4"/>
    <w:rsid w:val="005F7E7D"/>
    <w:rsid w:val="005F7E87"/>
    <w:rsid w:val="005F7EDE"/>
    <w:rsid w:val="005F7F71"/>
    <w:rsid w:val="005F7F72"/>
    <w:rsid w:val="005F7FE9"/>
    <w:rsid w:val="0060004D"/>
    <w:rsid w:val="006000CD"/>
    <w:rsid w:val="006000E2"/>
    <w:rsid w:val="006000F3"/>
    <w:rsid w:val="0060011F"/>
    <w:rsid w:val="006001D0"/>
    <w:rsid w:val="0060023D"/>
    <w:rsid w:val="006002E0"/>
    <w:rsid w:val="006002E4"/>
    <w:rsid w:val="00600303"/>
    <w:rsid w:val="00600352"/>
    <w:rsid w:val="0060039B"/>
    <w:rsid w:val="006003D0"/>
    <w:rsid w:val="006003E1"/>
    <w:rsid w:val="006003EF"/>
    <w:rsid w:val="00600401"/>
    <w:rsid w:val="00600405"/>
    <w:rsid w:val="00600442"/>
    <w:rsid w:val="00600446"/>
    <w:rsid w:val="00600454"/>
    <w:rsid w:val="0060050E"/>
    <w:rsid w:val="00600516"/>
    <w:rsid w:val="00600524"/>
    <w:rsid w:val="00600575"/>
    <w:rsid w:val="0060058B"/>
    <w:rsid w:val="00600625"/>
    <w:rsid w:val="0060064D"/>
    <w:rsid w:val="00600703"/>
    <w:rsid w:val="00600719"/>
    <w:rsid w:val="0060071B"/>
    <w:rsid w:val="00600751"/>
    <w:rsid w:val="006007C6"/>
    <w:rsid w:val="0060081A"/>
    <w:rsid w:val="00600834"/>
    <w:rsid w:val="0060085A"/>
    <w:rsid w:val="006008C2"/>
    <w:rsid w:val="006008ED"/>
    <w:rsid w:val="00600917"/>
    <w:rsid w:val="00600936"/>
    <w:rsid w:val="0060094C"/>
    <w:rsid w:val="00600A06"/>
    <w:rsid w:val="00600A33"/>
    <w:rsid w:val="00600A4B"/>
    <w:rsid w:val="00600A60"/>
    <w:rsid w:val="00600AA5"/>
    <w:rsid w:val="00600AB7"/>
    <w:rsid w:val="00600AC8"/>
    <w:rsid w:val="00600ACF"/>
    <w:rsid w:val="00600AE4"/>
    <w:rsid w:val="00600AF8"/>
    <w:rsid w:val="00600B17"/>
    <w:rsid w:val="00600B4F"/>
    <w:rsid w:val="00600BD6"/>
    <w:rsid w:val="00600BE0"/>
    <w:rsid w:val="00600C78"/>
    <w:rsid w:val="00600D19"/>
    <w:rsid w:val="00600D8C"/>
    <w:rsid w:val="00600EC6"/>
    <w:rsid w:val="00600ED0"/>
    <w:rsid w:val="00600EF3"/>
    <w:rsid w:val="00600F0F"/>
    <w:rsid w:val="00600F1A"/>
    <w:rsid w:val="00600F94"/>
    <w:rsid w:val="00601051"/>
    <w:rsid w:val="006010C7"/>
    <w:rsid w:val="006010E8"/>
    <w:rsid w:val="00601188"/>
    <w:rsid w:val="006011A3"/>
    <w:rsid w:val="006011C0"/>
    <w:rsid w:val="006011CC"/>
    <w:rsid w:val="006011F4"/>
    <w:rsid w:val="006011F6"/>
    <w:rsid w:val="00601202"/>
    <w:rsid w:val="00601245"/>
    <w:rsid w:val="006012B9"/>
    <w:rsid w:val="0060130E"/>
    <w:rsid w:val="00601418"/>
    <w:rsid w:val="00601421"/>
    <w:rsid w:val="00601453"/>
    <w:rsid w:val="0060146D"/>
    <w:rsid w:val="0060149E"/>
    <w:rsid w:val="00601516"/>
    <w:rsid w:val="00601622"/>
    <w:rsid w:val="006016A0"/>
    <w:rsid w:val="006016E1"/>
    <w:rsid w:val="006016F8"/>
    <w:rsid w:val="0060172A"/>
    <w:rsid w:val="0060173E"/>
    <w:rsid w:val="00601773"/>
    <w:rsid w:val="006017C9"/>
    <w:rsid w:val="00601868"/>
    <w:rsid w:val="006018EA"/>
    <w:rsid w:val="006018FF"/>
    <w:rsid w:val="0060193F"/>
    <w:rsid w:val="00601955"/>
    <w:rsid w:val="006019C1"/>
    <w:rsid w:val="006019FD"/>
    <w:rsid w:val="00601A06"/>
    <w:rsid w:val="00601A3E"/>
    <w:rsid w:val="00601A55"/>
    <w:rsid w:val="00601B12"/>
    <w:rsid w:val="00601BED"/>
    <w:rsid w:val="00601BF7"/>
    <w:rsid w:val="00601BFA"/>
    <w:rsid w:val="00601C57"/>
    <w:rsid w:val="00601C62"/>
    <w:rsid w:val="00601C87"/>
    <w:rsid w:val="00601CF6"/>
    <w:rsid w:val="00601DA5"/>
    <w:rsid w:val="00601DA9"/>
    <w:rsid w:val="00601DB7"/>
    <w:rsid w:val="00601DFF"/>
    <w:rsid w:val="00601E0B"/>
    <w:rsid w:val="00601EA5"/>
    <w:rsid w:val="00601ED9"/>
    <w:rsid w:val="00602011"/>
    <w:rsid w:val="0060204E"/>
    <w:rsid w:val="006020B5"/>
    <w:rsid w:val="006020ED"/>
    <w:rsid w:val="0060217C"/>
    <w:rsid w:val="0060217D"/>
    <w:rsid w:val="006021C0"/>
    <w:rsid w:val="00602239"/>
    <w:rsid w:val="00602258"/>
    <w:rsid w:val="006022E6"/>
    <w:rsid w:val="006022F0"/>
    <w:rsid w:val="0060230F"/>
    <w:rsid w:val="00602318"/>
    <w:rsid w:val="00602321"/>
    <w:rsid w:val="0060234A"/>
    <w:rsid w:val="00602363"/>
    <w:rsid w:val="006023C2"/>
    <w:rsid w:val="00602474"/>
    <w:rsid w:val="006024F3"/>
    <w:rsid w:val="006024F5"/>
    <w:rsid w:val="00602504"/>
    <w:rsid w:val="00602556"/>
    <w:rsid w:val="00602591"/>
    <w:rsid w:val="006025A8"/>
    <w:rsid w:val="00602834"/>
    <w:rsid w:val="0060284D"/>
    <w:rsid w:val="0060289B"/>
    <w:rsid w:val="006028B0"/>
    <w:rsid w:val="00602980"/>
    <w:rsid w:val="0060298D"/>
    <w:rsid w:val="006029B8"/>
    <w:rsid w:val="006029C8"/>
    <w:rsid w:val="00602A3F"/>
    <w:rsid w:val="00602A62"/>
    <w:rsid w:val="00602AA7"/>
    <w:rsid w:val="00602C4B"/>
    <w:rsid w:val="00602D5B"/>
    <w:rsid w:val="00602D8C"/>
    <w:rsid w:val="00602DA3"/>
    <w:rsid w:val="00602E38"/>
    <w:rsid w:val="00602E5A"/>
    <w:rsid w:val="00602ED0"/>
    <w:rsid w:val="00602F2F"/>
    <w:rsid w:val="00602F48"/>
    <w:rsid w:val="00602F67"/>
    <w:rsid w:val="00602F81"/>
    <w:rsid w:val="00602FBE"/>
    <w:rsid w:val="00602FC3"/>
    <w:rsid w:val="0060307F"/>
    <w:rsid w:val="00603089"/>
    <w:rsid w:val="006030CA"/>
    <w:rsid w:val="006030D1"/>
    <w:rsid w:val="006030F0"/>
    <w:rsid w:val="006031E9"/>
    <w:rsid w:val="00603261"/>
    <w:rsid w:val="006032BB"/>
    <w:rsid w:val="006032D0"/>
    <w:rsid w:val="0060330E"/>
    <w:rsid w:val="00603347"/>
    <w:rsid w:val="00603369"/>
    <w:rsid w:val="006033DF"/>
    <w:rsid w:val="00603467"/>
    <w:rsid w:val="006034A7"/>
    <w:rsid w:val="0060353B"/>
    <w:rsid w:val="00603571"/>
    <w:rsid w:val="006035A2"/>
    <w:rsid w:val="006036CA"/>
    <w:rsid w:val="006036DE"/>
    <w:rsid w:val="00603745"/>
    <w:rsid w:val="00603769"/>
    <w:rsid w:val="0060379B"/>
    <w:rsid w:val="006037D8"/>
    <w:rsid w:val="00603813"/>
    <w:rsid w:val="0060399B"/>
    <w:rsid w:val="006039AB"/>
    <w:rsid w:val="006039B1"/>
    <w:rsid w:val="006039B6"/>
    <w:rsid w:val="006039F0"/>
    <w:rsid w:val="006039F4"/>
    <w:rsid w:val="00603A30"/>
    <w:rsid w:val="00603A39"/>
    <w:rsid w:val="00603A3C"/>
    <w:rsid w:val="00603AA9"/>
    <w:rsid w:val="00603ADC"/>
    <w:rsid w:val="00603B08"/>
    <w:rsid w:val="00603B74"/>
    <w:rsid w:val="00603B75"/>
    <w:rsid w:val="00603BC7"/>
    <w:rsid w:val="00603BD3"/>
    <w:rsid w:val="00603C2D"/>
    <w:rsid w:val="00603C88"/>
    <w:rsid w:val="00603CBE"/>
    <w:rsid w:val="00603CC1"/>
    <w:rsid w:val="00603CDC"/>
    <w:rsid w:val="00603D0D"/>
    <w:rsid w:val="00603D3D"/>
    <w:rsid w:val="00603D6E"/>
    <w:rsid w:val="00603D85"/>
    <w:rsid w:val="00603DC2"/>
    <w:rsid w:val="00603DCA"/>
    <w:rsid w:val="00603E5C"/>
    <w:rsid w:val="0060402C"/>
    <w:rsid w:val="00604060"/>
    <w:rsid w:val="00604075"/>
    <w:rsid w:val="0060408F"/>
    <w:rsid w:val="006040B3"/>
    <w:rsid w:val="006040DA"/>
    <w:rsid w:val="00604109"/>
    <w:rsid w:val="0060416C"/>
    <w:rsid w:val="0060419D"/>
    <w:rsid w:val="006041D4"/>
    <w:rsid w:val="006041F6"/>
    <w:rsid w:val="0060421A"/>
    <w:rsid w:val="0060428A"/>
    <w:rsid w:val="00604294"/>
    <w:rsid w:val="00604362"/>
    <w:rsid w:val="006043B4"/>
    <w:rsid w:val="00604405"/>
    <w:rsid w:val="006044C8"/>
    <w:rsid w:val="006044EB"/>
    <w:rsid w:val="00604535"/>
    <w:rsid w:val="006045DD"/>
    <w:rsid w:val="00604627"/>
    <w:rsid w:val="0060465A"/>
    <w:rsid w:val="00604699"/>
    <w:rsid w:val="006046CF"/>
    <w:rsid w:val="006046EF"/>
    <w:rsid w:val="00604750"/>
    <w:rsid w:val="00604773"/>
    <w:rsid w:val="006047AD"/>
    <w:rsid w:val="006047C8"/>
    <w:rsid w:val="0060482B"/>
    <w:rsid w:val="0060482E"/>
    <w:rsid w:val="00604832"/>
    <w:rsid w:val="00604943"/>
    <w:rsid w:val="006049A9"/>
    <w:rsid w:val="006049FA"/>
    <w:rsid w:val="00604A2C"/>
    <w:rsid w:val="00604A2F"/>
    <w:rsid w:val="00604A99"/>
    <w:rsid w:val="00604AAD"/>
    <w:rsid w:val="00604B20"/>
    <w:rsid w:val="00604B3C"/>
    <w:rsid w:val="00604B5C"/>
    <w:rsid w:val="00604B71"/>
    <w:rsid w:val="00604C4F"/>
    <w:rsid w:val="00604C6F"/>
    <w:rsid w:val="00604C73"/>
    <w:rsid w:val="00604DE7"/>
    <w:rsid w:val="00604DFB"/>
    <w:rsid w:val="00604DFC"/>
    <w:rsid w:val="00604ECB"/>
    <w:rsid w:val="00604EE4"/>
    <w:rsid w:val="00604F09"/>
    <w:rsid w:val="00604F64"/>
    <w:rsid w:val="00605005"/>
    <w:rsid w:val="00605048"/>
    <w:rsid w:val="0060506C"/>
    <w:rsid w:val="0060509D"/>
    <w:rsid w:val="0060518F"/>
    <w:rsid w:val="00605196"/>
    <w:rsid w:val="006051D0"/>
    <w:rsid w:val="006051D1"/>
    <w:rsid w:val="006051D8"/>
    <w:rsid w:val="006051E4"/>
    <w:rsid w:val="006051FD"/>
    <w:rsid w:val="006052C5"/>
    <w:rsid w:val="006052C9"/>
    <w:rsid w:val="006053AD"/>
    <w:rsid w:val="006053DF"/>
    <w:rsid w:val="00605429"/>
    <w:rsid w:val="00605451"/>
    <w:rsid w:val="0060549E"/>
    <w:rsid w:val="006054B0"/>
    <w:rsid w:val="006054BE"/>
    <w:rsid w:val="0060557F"/>
    <w:rsid w:val="006055AC"/>
    <w:rsid w:val="006055B7"/>
    <w:rsid w:val="006055E5"/>
    <w:rsid w:val="006055FF"/>
    <w:rsid w:val="00605643"/>
    <w:rsid w:val="0060564C"/>
    <w:rsid w:val="0060566F"/>
    <w:rsid w:val="006056BA"/>
    <w:rsid w:val="006056BB"/>
    <w:rsid w:val="006056CB"/>
    <w:rsid w:val="006057B8"/>
    <w:rsid w:val="00605831"/>
    <w:rsid w:val="00605865"/>
    <w:rsid w:val="00605909"/>
    <w:rsid w:val="0060594A"/>
    <w:rsid w:val="00605A8D"/>
    <w:rsid w:val="00605B9D"/>
    <w:rsid w:val="00605BB9"/>
    <w:rsid w:val="00605C1E"/>
    <w:rsid w:val="00605C54"/>
    <w:rsid w:val="00605C55"/>
    <w:rsid w:val="00605C63"/>
    <w:rsid w:val="00605CD5"/>
    <w:rsid w:val="00605CD7"/>
    <w:rsid w:val="00605CFE"/>
    <w:rsid w:val="00605D80"/>
    <w:rsid w:val="00605DB6"/>
    <w:rsid w:val="00605DC6"/>
    <w:rsid w:val="00605DE6"/>
    <w:rsid w:val="00605DF8"/>
    <w:rsid w:val="00605DFE"/>
    <w:rsid w:val="00605E41"/>
    <w:rsid w:val="00605E97"/>
    <w:rsid w:val="00605F51"/>
    <w:rsid w:val="00605F60"/>
    <w:rsid w:val="00605F78"/>
    <w:rsid w:val="00605F98"/>
    <w:rsid w:val="00606024"/>
    <w:rsid w:val="00606025"/>
    <w:rsid w:val="0060602C"/>
    <w:rsid w:val="0060605E"/>
    <w:rsid w:val="006060F4"/>
    <w:rsid w:val="00606190"/>
    <w:rsid w:val="006061A2"/>
    <w:rsid w:val="00606223"/>
    <w:rsid w:val="00606267"/>
    <w:rsid w:val="006062A1"/>
    <w:rsid w:val="006062DA"/>
    <w:rsid w:val="00606307"/>
    <w:rsid w:val="00606387"/>
    <w:rsid w:val="0060638F"/>
    <w:rsid w:val="0060639B"/>
    <w:rsid w:val="0060642C"/>
    <w:rsid w:val="00606447"/>
    <w:rsid w:val="00606470"/>
    <w:rsid w:val="0060647B"/>
    <w:rsid w:val="00606488"/>
    <w:rsid w:val="00606497"/>
    <w:rsid w:val="006064AE"/>
    <w:rsid w:val="006064EA"/>
    <w:rsid w:val="00606511"/>
    <w:rsid w:val="0060663A"/>
    <w:rsid w:val="006066B4"/>
    <w:rsid w:val="0060671B"/>
    <w:rsid w:val="00606720"/>
    <w:rsid w:val="00606796"/>
    <w:rsid w:val="006067B4"/>
    <w:rsid w:val="006067E3"/>
    <w:rsid w:val="00606835"/>
    <w:rsid w:val="0060688E"/>
    <w:rsid w:val="006068AD"/>
    <w:rsid w:val="006068BD"/>
    <w:rsid w:val="006068CE"/>
    <w:rsid w:val="006068D8"/>
    <w:rsid w:val="006068F6"/>
    <w:rsid w:val="0060694C"/>
    <w:rsid w:val="0060695F"/>
    <w:rsid w:val="00606A03"/>
    <w:rsid w:val="00606A09"/>
    <w:rsid w:val="00606A48"/>
    <w:rsid w:val="00606A5F"/>
    <w:rsid w:val="00606AA2"/>
    <w:rsid w:val="00606B3F"/>
    <w:rsid w:val="00606BCA"/>
    <w:rsid w:val="00606BFE"/>
    <w:rsid w:val="00606C35"/>
    <w:rsid w:val="00606C4B"/>
    <w:rsid w:val="00606CE3"/>
    <w:rsid w:val="00606CEE"/>
    <w:rsid w:val="00606D31"/>
    <w:rsid w:val="00606D38"/>
    <w:rsid w:val="00606D51"/>
    <w:rsid w:val="00606D53"/>
    <w:rsid w:val="00606D62"/>
    <w:rsid w:val="00606D9B"/>
    <w:rsid w:val="00606DC0"/>
    <w:rsid w:val="00606DF4"/>
    <w:rsid w:val="00606E71"/>
    <w:rsid w:val="00606EF1"/>
    <w:rsid w:val="00606F09"/>
    <w:rsid w:val="00606F1D"/>
    <w:rsid w:val="00606F87"/>
    <w:rsid w:val="00606FE9"/>
    <w:rsid w:val="00607051"/>
    <w:rsid w:val="006070A0"/>
    <w:rsid w:val="006070CA"/>
    <w:rsid w:val="006070F0"/>
    <w:rsid w:val="00607151"/>
    <w:rsid w:val="006071EE"/>
    <w:rsid w:val="00607235"/>
    <w:rsid w:val="0060727A"/>
    <w:rsid w:val="006072B7"/>
    <w:rsid w:val="006072BD"/>
    <w:rsid w:val="00607315"/>
    <w:rsid w:val="00607356"/>
    <w:rsid w:val="00607366"/>
    <w:rsid w:val="00607367"/>
    <w:rsid w:val="006073ED"/>
    <w:rsid w:val="006074A7"/>
    <w:rsid w:val="006074C5"/>
    <w:rsid w:val="006074C6"/>
    <w:rsid w:val="006074EC"/>
    <w:rsid w:val="006074F7"/>
    <w:rsid w:val="00607505"/>
    <w:rsid w:val="00607592"/>
    <w:rsid w:val="0060759C"/>
    <w:rsid w:val="006075DA"/>
    <w:rsid w:val="006075FC"/>
    <w:rsid w:val="0060762D"/>
    <w:rsid w:val="00607656"/>
    <w:rsid w:val="00607678"/>
    <w:rsid w:val="006076AA"/>
    <w:rsid w:val="006076D4"/>
    <w:rsid w:val="006076DC"/>
    <w:rsid w:val="0060772A"/>
    <w:rsid w:val="0060775A"/>
    <w:rsid w:val="0060784A"/>
    <w:rsid w:val="00607859"/>
    <w:rsid w:val="006078FE"/>
    <w:rsid w:val="00607934"/>
    <w:rsid w:val="00607953"/>
    <w:rsid w:val="006079AD"/>
    <w:rsid w:val="00607A55"/>
    <w:rsid w:val="00607A7D"/>
    <w:rsid w:val="00607ABD"/>
    <w:rsid w:val="00607AD5"/>
    <w:rsid w:val="00607AE3"/>
    <w:rsid w:val="00607B0B"/>
    <w:rsid w:val="00607B52"/>
    <w:rsid w:val="00607B6C"/>
    <w:rsid w:val="00607C73"/>
    <w:rsid w:val="00607C7B"/>
    <w:rsid w:val="00607CB9"/>
    <w:rsid w:val="00607CD0"/>
    <w:rsid w:val="00607CD9"/>
    <w:rsid w:val="00607CED"/>
    <w:rsid w:val="00607D20"/>
    <w:rsid w:val="00607D48"/>
    <w:rsid w:val="00607DFC"/>
    <w:rsid w:val="00607EC3"/>
    <w:rsid w:val="00607F79"/>
    <w:rsid w:val="00607F9F"/>
    <w:rsid w:val="00610088"/>
    <w:rsid w:val="00610093"/>
    <w:rsid w:val="006100D2"/>
    <w:rsid w:val="0061010F"/>
    <w:rsid w:val="0061016D"/>
    <w:rsid w:val="006101C6"/>
    <w:rsid w:val="006101DB"/>
    <w:rsid w:val="00610213"/>
    <w:rsid w:val="00610246"/>
    <w:rsid w:val="006102EC"/>
    <w:rsid w:val="00610364"/>
    <w:rsid w:val="006103AB"/>
    <w:rsid w:val="006103BE"/>
    <w:rsid w:val="006103C4"/>
    <w:rsid w:val="006103F7"/>
    <w:rsid w:val="0061041D"/>
    <w:rsid w:val="0061046A"/>
    <w:rsid w:val="00610496"/>
    <w:rsid w:val="006104BF"/>
    <w:rsid w:val="006104CC"/>
    <w:rsid w:val="006105B5"/>
    <w:rsid w:val="006105BD"/>
    <w:rsid w:val="006105CA"/>
    <w:rsid w:val="006105FD"/>
    <w:rsid w:val="00610641"/>
    <w:rsid w:val="00610701"/>
    <w:rsid w:val="00610776"/>
    <w:rsid w:val="0061079F"/>
    <w:rsid w:val="006107AB"/>
    <w:rsid w:val="006108B9"/>
    <w:rsid w:val="00610A18"/>
    <w:rsid w:val="00610A4F"/>
    <w:rsid w:val="00610A52"/>
    <w:rsid w:val="00610A79"/>
    <w:rsid w:val="00610B42"/>
    <w:rsid w:val="00610B49"/>
    <w:rsid w:val="00610B84"/>
    <w:rsid w:val="00610BFD"/>
    <w:rsid w:val="00610C01"/>
    <w:rsid w:val="00610C33"/>
    <w:rsid w:val="00610C81"/>
    <w:rsid w:val="00610CDB"/>
    <w:rsid w:val="00610CDF"/>
    <w:rsid w:val="00610D60"/>
    <w:rsid w:val="00610D85"/>
    <w:rsid w:val="00610DB2"/>
    <w:rsid w:val="00610E56"/>
    <w:rsid w:val="00610EA8"/>
    <w:rsid w:val="00610F0E"/>
    <w:rsid w:val="00610F9B"/>
    <w:rsid w:val="00610FA3"/>
    <w:rsid w:val="00610FCC"/>
    <w:rsid w:val="00611077"/>
    <w:rsid w:val="006110A4"/>
    <w:rsid w:val="006110D8"/>
    <w:rsid w:val="00611128"/>
    <w:rsid w:val="00611130"/>
    <w:rsid w:val="00611171"/>
    <w:rsid w:val="0061120A"/>
    <w:rsid w:val="006112FE"/>
    <w:rsid w:val="00611309"/>
    <w:rsid w:val="00611311"/>
    <w:rsid w:val="00611323"/>
    <w:rsid w:val="00611361"/>
    <w:rsid w:val="006113D8"/>
    <w:rsid w:val="006113E1"/>
    <w:rsid w:val="0061140B"/>
    <w:rsid w:val="00611436"/>
    <w:rsid w:val="0061149A"/>
    <w:rsid w:val="0061150A"/>
    <w:rsid w:val="0061155A"/>
    <w:rsid w:val="0061157D"/>
    <w:rsid w:val="006115D7"/>
    <w:rsid w:val="00611709"/>
    <w:rsid w:val="0061176F"/>
    <w:rsid w:val="006117BE"/>
    <w:rsid w:val="00611800"/>
    <w:rsid w:val="0061181C"/>
    <w:rsid w:val="006118E6"/>
    <w:rsid w:val="00611900"/>
    <w:rsid w:val="0061196C"/>
    <w:rsid w:val="00611999"/>
    <w:rsid w:val="006119EC"/>
    <w:rsid w:val="00611A0D"/>
    <w:rsid w:val="00611ABC"/>
    <w:rsid w:val="00611AF4"/>
    <w:rsid w:val="00611B2A"/>
    <w:rsid w:val="00611BB3"/>
    <w:rsid w:val="00611C51"/>
    <w:rsid w:val="00611CEE"/>
    <w:rsid w:val="00611D0B"/>
    <w:rsid w:val="00611D16"/>
    <w:rsid w:val="00611D2E"/>
    <w:rsid w:val="00611D58"/>
    <w:rsid w:val="00611D9B"/>
    <w:rsid w:val="00611DC0"/>
    <w:rsid w:val="00611DD3"/>
    <w:rsid w:val="00611E1A"/>
    <w:rsid w:val="00611E6A"/>
    <w:rsid w:val="00611E6F"/>
    <w:rsid w:val="00611E8B"/>
    <w:rsid w:val="00611EAA"/>
    <w:rsid w:val="00611EE8"/>
    <w:rsid w:val="00611F18"/>
    <w:rsid w:val="00611F6A"/>
    <w:rsid w:val="00611FA8"/>
    <w:rsid w:val="00611FE7"/>
    <w:rsid w:val="00612009"/>
    <w:rsid w:val="00612014"/>
    <w:rsid w:val="00612045"/>
    <w:rsid w:val="006120A3"/>
    <w:rsid w:val="006120C5"/>
    <w:rsid w:val="0061213F"/>
    <w:rsid w:val="006121F3"/>
    <w:rsid w:val="00612215"/>
    <w:rsid w:val="0061222B"/>
    <w:rsid w:val="00612256"/>
    <w:rsid w:val="00612291"/>
    <w:rsid w:val="006122AC"/>
    <w:rsid w:val="006122F3"/>
    <w:rsid w:val="00612309"/>
    <w:rsid w:val="006123AA"/>
    <w:rsid w:val="00612469"/>
    <w:rsid w:val="00612497"/>
    <w:rsid w:val="00612579"/>
    <w:rsid w:val="006125F9"/>
    <w:rsid w:val="00612607"/>
    <w:rsid w:val="00612637"/>
    <w:rsid w:val="00612708"/>
    <w:rsid w:val="00612714"/>
    <w:rsid w:val="0061275A"/>
    <w:rsid w:val="00612772"/>
    <w:rsid w:val="006127AD"/>
    <w:rsid w:val="006127E3"/>
    <w:rsid w:val="00612841"/>
    <w:rsid w:val="0061285F"/>
    <w:rsid w:val="006128A7"/>
    <w:rsid w:val="006128DF"/>
    <w:rsid w:val="006128E8"/>
    <w:rsid w:val="00612918"/>
    <w:rsid w:val="00612980"/>
    <w:rsid w:val="00612989"/>
    <w:rsid w:val="006129A4"/>
    <w:rsid w:val="006129AD"/>
    <w:rsid w:val="00612A35"/>
    <w:rsid w:val="00612AC3"/>
    <w:rsid w:val="00612AE7"/>
    <w:rsid w:val="00612B37"/>
    <w:rsid w:val="00612B4F"/>
    <w:rsid w:val="00612B5F"/>
    <w:rsid w:val="00612B64"/>
    <w:rsid w:val="00612BB4"/>
    <w:rsid w:val="00612BFD"/>
    <w:rsid w:val="00612C16"/>
    <w:rsid w:val="00612C5E"/>
    <w:rsid w:val="00612C7F"/>
    <w:rsid w:val="00612C90"/>
    <w:rsid w:val="00612C9D"/>
    <w:rsid w:val="00612CB9"/>
    <w:rsid w:val="00612CE1"/>
    <w:rsid w:val="00612D0F"/>
    <w:rsid w:val="00612D1C"/>
    <w:rsid w:val="00612D2A"/>
    <w:rsid w:val="00612EBE"/>
    <w:rsid w:val="00612F22"/>
    <w:rsid w:val="00612F43"/>
    <w:rsid w:val="00612F56"/>
    <w:rsid w:val="00612F78"/>
    <w:rsid w:val="00612FCC"/>
    <w:rsid w:val="0061304A"/>
    <w:rsid w:val="0061304D"/>
    <w:rsid w:val="0061306C"/>
    <w:rsid w:val="006131D0"/>
    <w:rsid w:val="00613206"/>
    <w:rsid w:val="00613290"/>
    <w:rsid w:val="00613297"/>
    <w:rsid w:val="0061329E"/>
    <w:rsid w:val="006132B8"/>
    <w:rsid w:val="006132D4"/>
    <w:rsid w:val="006132EC"/>
    <w:rsid w:val="006132FF"/>
    <w:rsid w:val="0061333C"/>
    <w:rsid w:val="00613344"/>
    <w:rsid w:val="006133E6"/>
    <w:rsid w:val="006133EE"/>
    <w:rsid w:val="0061342E"/>
    <w:rsid w:val="00613445"/>
    <w:rsid w:val="00613461"/>
    <w:rsid w:val="006134BA"/>
    <w:rsid w:val="006134D0"/>
    <w:rsid w:val="006134F8"/>
    <w:rsid w:val="006134FB"/>
    <w:rsid w:val="00613573"/>
    <w:rsid w:val="006135CF"/>
    <w:rsid w:val="006135D7"/>
    <w:rsid w:val="00613759"/>
    <w:rsid w:val="006137BB"/>
    <w:rsid w:val="00613804"/>
    <w:rsid w:val="00613861"/>
    <w:rsid w:val="006138D8"/>
    <w:rsid w:val="00613900"/>
    <w:rsid w:val="00613967"/>
    <w:rsid w:val="0061399C"/>
    <w:rsid w:val="00613A85"/>
    <w:rsid w:val="00613A90"/>
    <w:rsid w:val="00613B01"/>
    <w:rsid w:val="00613B43"/>
    <w:rsid w:val="00613BEB"/>
    <w:rsid w:val="00613C69"/>
    <w:rsid w:val="00613C7E"/>
    <w:rsid w:val="00613CFF"/>
    <w:rsid w:val="00613D88"/>
    <w:rsid w:val="00613E83"/>
    <w:rsid w:val="00613EA3"/>
    <w:rsid w:val="00613F30"/>
    <w:rsid w:val="0061401D"/>
    <w:rsid w:val="0061402C"/>
    <w:rsid w:val="006140E0"/>
    <w:rsid w:val="00614107"/>
    <w:rsid w:val="0061416D"/>
    <w:rsid w:val="00614218"/>
    <w:rsid w:val="00614229"/>
    <w:rsid w:val="00614262"/>
    <w:rsid w:val="006143D3"/>
    <w:rsid w:val="0061440E"/>
    <w:rsid w:val="0061445B"/>
    <w:rsid w:val="006144E0"/>
    <w:rsid w:val="00614501"/>
    <w:rsid w:val="00614534"/>
    <w:rsid w:val="0061456F"/>
    <w:rsid w:val="0061459E"/>
    <w:rsid w:val="006145B1"/>
    <w:rsid w:val="006145C9"/>
    <w:rsid w:val="00614649"/>
    <w:rsid w:val="0061468C"/>
    <w:rsid w:val="0061468E"/>
    <w:rsid w:val="0061470C"/>
    <w:rsid w:val="0061474C"/>
    <w:rsid w:val="00614752"/>
    <w:rsid w:val="00614755"/>
    <w:rsid w:val="006147EC"/>
    <w:rsid w:val="00614859"/>
    <w:rsid w:val="00614888"/>
    <w:rsid w:val="006148FF"/>
    <w:rsid w:val="0061490D"/>
    <w:rsid w:val="0061494C"/>
    <w:rsid w:val="006149AE"/>
    <w:rsid w:val="006149C0"/>
    <w:rsid w:val="006149DD"/>
    <w:rsid w:val="006149EF"/>
    <w:rsid w:val="00614ACC"/>
    <w:rsid w:val="00614B03"/>
    <w:rsid w:val="00614B2D"/>
    <w:rsid w:val="00614B32"/>
    <w:rsid w:val="00614B90"/>
    <w:rsid w:val="00614BD4"/>
    <w:rsid w:val="00614BEB"/>
    <w:rsid w:val="00614C2B"/>
    <w:rsid w:val="00614CEC"/>
    <w:rsid w:val="00614CF9"/>
    <w:rsid w:val="00614D1B"/>
    <w:rsid w:val="00614D41"/>
    <w:rsid w:val="00614E0F"/>
    <w:rsid w:val="00614E68"/>
    <w:rsid w:val="00614E8D"/>
    <w:rsid w:val="00614E9A"/>
    <w:rsid w:val="00614EC3"/>
    <w:rsid w:val="00614F4C"/>
    <w:rsid w:val="00614FB8"/>
    <w:rsid w:val="00615047"/>
    <w:rsid w:val="00615058"/>
    <w:rsid w:val="00615072"/>
    <w:rsid w:val="00615076"/>
    <w:rsid w:val="006150B4"/>
    <w:rsid w:val="006150CF"/>
    <w:rsid w:val="00615149"/>
    <w:rsid w:val="00615158"/>
    <w:rsid w:val="006151DB"/>
    <w:rsid w:val="006151F1"/>
    <w:rsid w:val="00615255"/>
    <w:rsid w:val="0061528A"/>
    <w:rsid w:val="00615302"/>
    <w:rsid w:val="0061536C"/>
    <w:rsid w:val="00615389"/>
    <w:rsid w:val="006153BD"/>
    <w:rsid w:val="0061540B"/>
    <w:rsid w:val="00615446"/>
    <w:rsid w:val="006154AB"/>
    <w:rsid w:val="00615535"/>
    <w:rsid w:val="00615595"/>
    <w:rsid w:val="006155B1"/>
    <w:rsid w:val="006155BA"/>
    <w:rsid w:val="0061563F"/>
    <w:rsid w:val="006156E7"/>
    <w:rsid w:val="00615737"/>
    <w:rsid w:val="00615759"/>
    <w:rsid w:val="00615809"/>
    <w:rsid w:val="0061582E"/>
    <w:rsid w:val="00615875"/>
    <w:rsid w:val="00615887"/>
    <w:rsid w:val="006158C2"/>
    <w:rsid w:val="006158ED"/>
    <w:rsid w:val="0061591E"/>
    <w:rsid w:val="00615926"/>
    <w:rsid w:val="00615959"/>
    <w:rsid w:val="00615A0C"/>
    <w:rsid w:val="00615A67"/>
    <w:rsid w:val="00615A8C"/>
    <w:rsid w:val="00615A93"/>
    <w:rsid w:val="00615A98"/>
    <w:rsid w:val="00615AC3"/>
    <w:rsid w:val="00615B07"/>
    <w:rsid w:val="00615B40"/>
    <w:rsid w:val="00615B9E"/>
    <w:rsid w:val="00615BA1"/>
    <w:rsid w:val="00615BA5"/>
    <w:rsid w:val="00615C0D"/>
    <w:rsid w:val="00615C48"/>
    <w:rsid w:val="00615C53"/>
    <w:rsid w:val="00615CC5"/>
    <w:rsid w:val="00615CF7"/>
    <w:rsid w:val="00615D2A"/>
    <w:rsid w:val="00615D76"/>
    <w:rsid w:val="00615D9C"/>
    <w:rsid w:val="00615DC8"/>
    <w:rsid w:val="00615DCF"/>
    <w:rsid w:val="00615E85"/>
    <w:rsid w:val="00615E8B"/>
    <w:rsid w:val="00615EC6"/>
    <w:rsid w:val="00615F05"/>
    <w:rsid w:val="00615F5C"/>
    <w:rsid w:val="00616051"/>
    <w:rsid w:val="0061613F"/>
    <w:rsid w:val="006161AB"/>
    <w:rsid w:val="006161B7"/>
    <w:rsid w:val="006161C9"/>
    <w:rsid w:val="006161D3"/>
    <w:rsid w:val="00616247"/>
    <w:rsid w:val="00616250"/>
    <w:rsid w:val="0061628F"/>
    <w:rsid w:val="006162F0"/>
    <w:rsid w:val="006162F7"/>
    <w:rsid w:val="006162FF"/>
    <w:rsid w:val="0061636B"/>
    <w:rsid w:val="00616374"/>
    <w:rsid w:val="0061639B"/>
    <w:rsid w:val="006163C9"/>
    <w:rsid w:val="006163F8"/>
    <w:rsid w:val="00616436"/>
    <w:rsid w:val="00616437"/>
    <w:rsid w:val="00616487"/>
    <w:rsid w:val="006164D4"/>
    <w:rsid w:val="0061654A"/>
    <w:rsid w:val="00616578"/>
    <w:rsid w:val="0061658D"/>
    <w:rsid w:val="00616617"/>
    <w:rsid w:val="0061662C"/>
    <w:rsid w:val="00616678"/>
    <w:rsid w:val="00616717"/>
    <w:rsid w:val="0061673D"/>
    <w:rsid w:val="00616746"/>
    <w:rsid w:val="006167F0"/>
    <w:rsid w:val="00616813"/>
    <w:rsid w:val="00616849"/>
    <w:rsid w:val="00616861"/>
    <w:rsid w:val="0061686C"/>
    <w:rsid w:val="00616914"/>
    <w:rsid w:val="0061692B"/>
    <w:rsid w:val="00616934"/>
    <w:rsid w:val="006169C8"/>
    <w:rsid w:val="006169D3"/>
    <w:rsid w:val="00616A1A"/>
    <w:rsid w:val="00616A22"/>
    <w:rsid w:val="00616A2E"/>
    <w:rsid w:val="00616A33"/>
    <w:rsid w:val="00616A43"/>
    <w:rsid w:val="00616A6D"/>
    <w:rsid w:val="00616A82"/>
    <w:rsid w:val="00616AD8"/>
    <w:rsid w:val="00616AF1"/>
    <w:rsid w:val="00616B34"/>
    <w:rsid w:val="00616BD2"/>
    <w:rsid w:val="00616BE1"/>
    <w:rsid w:val="00616BE8"/>
    <w:rsid w:val="00616C44"/>
    <w:rsid w:val="00616C94"/>
    <w:rsid w:val="00616D08"/>
    <w:rsid w:val="00616D15"/>
    <w:rsid w:val="00616D78"/>
    <w:rsid w:val="00616DFD"/>
    <w:rsid w:val="00616E18"/>
    <w:rsid w:val="00616E3E"/>
    <w:rsid w:val="00616EF1"/>
    <w:rsid w:val="00616EFE"/>
    <w:rsid w:val="00617051"/>
    <w:rsid w:val="00617069"/>
    <w:rsid w:val="006170A8"/>
    <w:rsid w:val="006170BF"/>
    <w:rsid w:val="006170EF"/>
    <w:rsid w:val="00617115"/>
    <w:rsid w:val="006171AF"/>
    <w:rsid w:val="006171E6"/>
    <w:rsid w:val="0061720C"/>
    <w:rsid w:val="00617249"/>
    <w:rsid w:val="00617262"/>
    <w:rsid w:val="00617263"/>
    <w:rsid w:val="00617268"/>
    <w:rsid w:val="0061728B"/>
    <w:rsid w:val="006172E6"/>
    <w:rsid w:val="006172EC"/>
    <w:rsid w:val="0061731A"/>
    <w:rsid w:val="00617354"/>
    <w:rsid w:val="006173D6"/>
    <w:rsid w:val="0061741E"/>
    <w:rsid w:val="006174A5"/>
    <w:rsid w:val="006174EB"/>
    <w:rsid w:val="00617519"/>
    <w:rsid w:val="006175DE"/>
    <w:rsid w:val="0061761E"/>
    <w:rsid w:val="006176B1"/>
    <w:rsid w:val="006176BE"/>
    <w:rsid w:val="006176D3"/>
    <w:rsid w:val="006176F6"/>
    <w:rsid w:val="00617706"/>
    <w:rsid w:val="00617772"/>
    <w:rsid w:val="0061779F"/>
    <w:rsid w:val="006177C6"/>
    <w:rsid w:val="006177ED"/>
    <w:rsid w:val="00617836"/>
    <w:rsid w:val="00617886"/>
    <w:rsid w:val="006178C8"/>
    <w:rsid w:val="006178EE"/>
    <w:rsid w:val="00617928"/>
    <w:rsid w:val="00617940"/>
    <w:rsid w:val="00617987"/>
    <w:rsid w:val="006179DD"/>
    <w:rsid w:val="006179FD"/>
    <w:rsid w:val="00617A00"/>
    <w:rsid w:val="00617A4B"/>
    <w:rsid w:val="00617A78"/>
    <w:rsid w:val="00617A8D"/>
    <w:rsid w:val="00617AD7"/>
    <w:rsid w:val="00617BD1"/>
    <w:rsid w:val="00617BFF"/>
    <w:rsid w:val="00617C0C"/>
    <w:rsid w:val="00617C45"/>
    <w:rsid w:val="00617CA6"/>
    <w:rsid w:val="00617D34"/>
    <w:rsid w:val="00617D9F"/>
    <w:rsid w:val="00617DB4"/>
    <w:rsid w:val="00617DBB"/>
    <w:rsid w:val="00617DD1"/>
    <w:rsid w:val="00617DDA"/>
    <w:rsid w:val="00617E5C"/>
    <w:rsid w:val="00617E6E"/>
    <w:rsid w:val="00617F18"/>
    <w:rsid w:val="00617F22"/>
    <w:rsid w:val="00617F51"/>
    <w:rsid w:val="00617F62"/>
    <w:rsid w:val="00617F63"/>
    <w:rsid w:val="00617FB1"/>
    <w:rsid w:val="00620046"/>
    <w:rsid w:val="0062007E"/>
    <w:rsid w:val="00620135"/>
    <w:rsid w:val="00620206"/>
    <w:rsid w:val="0062021E"/>
    <w:rsid w:val="00620220"/>
    <w:rsid w:val="00620255"/>
    <w:rsid w:val="00620263"/>
    <w:rsid w:val="0062028A"/>
    <w:rsid w:val="006202FF"/>
    <w:rsid w:val="0062040C"/>
    <w:rsid w:val="0062043C"/>
    <w:rsid w:val="006204C4"/>
    <w:rsid w:val="006204EC"/>
    <w:rsid w:val="006204F2"/>
    <w:rsid w:val="0062051A"/>
    <w:rsid w:val="0062055E"/>
    <w:rsid w:val="006205BE"/>
    <w:rsid w:val="0062061D"/>
    <w:rsid w:val="006206BC"/>
    <w:rsid w:val="006206E4"/>
    <w:rsid w:val="00620728"/>
    <w:rsid w:val="006208D8"/>
    <w:rsid w:val="00620930"/>
    <w:rsid w:val="00620961"/>
    <w:rsid w:val="006209A3"/>
    <w:rsid w:val="006209E0"/>
    <w:rsid w:val="00620A3A"/>
    <w:rsid w:val="00620A43"/>
    <w:rsid w:val="00620A6E"/>
    <w:rsid w:val="00620B18"/>
    <w:rsid w:val="00620B22"/>
    <w:rsid w:val="00620B46"/>
    <w:rsid w:val="00620B58"/>
    <w:rsid w:val="00620BD6"/>
    <w:rsid w:val="00620C12"/>
    <w:rsid w:val="00620C6C"/>
    <w:rsid w:val="00620CD5"/>
    <w:rsid w:val="00620D6E"/>
    <w:rsid w:val="00620D73"/>
    <w:rsid w:val="00620DCD"/>
    <w:rsid w:val="00620E2C"/>
    <w:rsid w:val="00620EA1"/>
    <w:rsid w:val="00620EAD"/>
    <w:rsid w:val="00620EC8"/>
    <w:rsid w:val="00620FC5"/>
    <w:rsid w:val="006210B4"/>
    <w:rsid w:val="006210EA"/>
    <w:rsid w:val="0062118A"/>
    <w:rsid w:val="006211A3"/>
    <w:rsid w:val="006211BB"/>
    <w:rsid w:val="00621263"/>
    <w:rsid w:val="00621283"/>
    <w:rsid w:val="006212E8"/>
    <w:rsid w:val="00621313"/>
    <w:rsid w:val="006213BB"/>
    <w:rsid w:val="006213F7"/>
    <w:rsid w:val="0062140E"/>
    <w:rsid w:val="0062149C"/>
    <w:rsid w:val="0062155E"/>
    <w:rsid w:val="00621579"/>
    <w:rsid w:val="00621675"/>
    <w:rsid w:val="0062179C"/>
    <w:rsid w:val="006217F9"/>
    <w:rsid w:val="0062182B"/>
    <w:rsid w:val="0062188F"/>
    <w:rsid w:val="006218B2"/>
    <w:rsid w:val="00621974"/>
    <w:rsid w:val="00621996"/>
    <w:rsid w:val="006219AB"/>
    <w:rsid w:val="00621A0E"/>
    <w:rsid w:val="00621A19"/>
    <w:rsid w:val="00621A33"/>
    <w:rsid w:val="00621A40"/>
    <w:rsid w:val="00621A99"/>
    <w:rsid w:val="00621AB0"/>
    <w:rsid w:val="00621AF1"/>
    <w:rsid w:val="00621B06"/>
    <w:rsid w:val="00621BB6"/>
    <w:rsid w:val="00621BB7"/>
    <w:rsid w:val="00621C24"/>
    <w:rsid w:val="00621C38"/>
    <w:rsid w:val="00621C69"/>
    <w:rsid w:val="00621CA8"/>
    <w:rsid w:val="00621CB4"/>
    <w:rsid w:val="00621CEC"/>
    <w:rsid w:val="00621D0F"/>
    <w:rsid w:val="00621D60"/>
    <w:rsid w:val="00621D70"/>
    <w:rsid w:val="00621DA5"/>
    <w:rsid w:val="00621E33"/>
    <w:rsid w:val="00621E4B"/>
    <w:rsid w:val="00621E52"/>
    <w:rsid w:val="00621E8B"/>
    <w:rsid w:val="00621EB9"/>
    <w:rsid w:val="00621ED0"/>
    <w:rsid w:val="00621F86"/>
    <w:rsid w:val="00622006"/>
    <w:rsid w:val="0062206E"/>
    <w:rsid w:val="00622102"/>
    <w:rsid w:val="00622150"/>
    <w:rsid w:val="006221EF"/>
    <w:rsid w:val="00622313"/>
    <w:rsid w:val="00622340"/>
    <w:rsid w:val="0062235A"/>
    <w:rsid w:val="0062238F"/>
    <w:rsid w:val="0062239D"/>
    <w:rsid w:val="006223D5"/>
    <w:rsid w:val="006223DD"/>
    <w:rsid w:val="00622455"/>
    <w:rsid w:val="0062245B"/>
    <w:rsid w:val="0062247A"/>
    <w:rsid w:val="00622519"/>
    <w:rsid w:val="0062258E"/>
    <w:rsid w:val="0062263B"/>
    <w:rsid w:val="0062263C"/>
    <w:rsid w:val="006226E6"/>
    <w:rsid w:val="00622707"/>
    <w:rsid w:val="00622718"/>
    <w:rsid w:val="006227BF"/>
    <w:rsid w:val="006228D7"/>
    <w:rsid w:val="0062291E"/>
    <w:rsid w:val="00622967"/>
    <w:rsid w:val="00622972"/>
    <w:rsid w:val="00622A9A"/>
    <w:rsid w:val="00622ABD"/>
    <w:rsid w:val="00622ADA"/>
    <w:rsid w:val="00622ADF"/>
    <w:rsid w:val="00622AF8"/>
    <w:rsid w:val="00622B25"/>
    <w:rsid w:val="00622B8F"/>
    <w:rsid w:val="00622BA3"/>
    <w:rsid w:val="00622C54"/>
    <w:rsid w:val="00622CF1"/>
    <w:rsid w:val="00622D27"/>
    <w:rsid w:val="00622D85"/>
    <w:rsid w:val="00622D9E"/>
    <w:rsid w:val="00622DA8"/>
    <w:rsid w:val="00622DAF"/>
    <w:rsid w:val="00622DE1"/>
    <w:rsid w:val="00622E41"/>
    <w:rsid w:val="00622E92"/>
    <w:rsid w:val="00622E9F"/>
    <w:rsid w:val="00622EA3"/>
    <w:rsid w:val="00622F2A"/>
    <w:rsid w:val="00622F67"/>
    <w:rsid w:val="00622FF5"/>
    <w:rsid w:val="00623087"/>
    <w:rsid w:val="006230EA"/>
    <w:rsid w:val="0062312A"/>
    <w:rsid w:val="0062315E"/>
    <w:rsid w:val="0062325D"/>
    <w:rsid w:val="0062329F"/>
    <w:rsid w:val="006232A9"/>
    <w:rsid w:val="006232DC"/>
    <w:rsid w:val="00623337"/>
    <w:rsid w:val="006233A5"/>
    <w:rsid w:val="0062342D"/>
    <w:rsid w:val="00623434"/>
    <w:rsid w:val="0062346A"/>
    <w:rsid w:val="006234B9"/>
    <w:rsid w:val="006235ED"/>
    <w:rsid w:val="006235F2"/>
    <w:rsid w:val="006235F3"/>
    <w:rsid w:val="00623628"/>
    <w:rsid w:val="0062365A"/>
    <w:rsid w:val="006236A3"/>
    <w:rsid w:val="00623738"/>
    <w:rsid w:val="006237B3"/>
    <w:rsid w:val="006237C9"/>
    <w:rsid w:val="00623809"/>
    <w:rsid w:val="0062380B"/>
    <w:rsid w:val="00623862"/>
    <w:rsid w:val="006238C6"/>
    <w:rsid w:val="006238C8"/>
    <w:rsid w:val="0062392F"/>
    <w:rsid w:val="006239B5"/>
    <w:rsid w:val="006239D0"/>
    <w:rsid w:val="006239DC"/>
    <w:rsid w:val="006239E3"/>
    <w:rsid w:val="006239EC"/>
    <w:rsid w:val="006239FD"/>
    <w:rsid w:val="00623AC7"/>
    <w:rsid w:val="00623B08"/>
    <w:rsid w:val="00623B4D"/>
    <w:rsid w:val="00623B9E"/>
    <w:rsid w:val="00623BB8"/>
    <w:rsid w:val="00623BE4"/>
    <w:rsid w:val="00623BF2"/>
    <w:rsid w:val="00623C2E"/>
    <w:rsid w:val="00623C44"/>
    <w:rsid w:val="00623CAD"/>
    <w:rsid w:val="00623CC2"/>
    <w:rsid w:val="00623CD6"/>
    <w:rsid w:val="00623CDD"/>
    <w:rsid w:val="00623CF8"/>
    <w:rsid w:val="00623D06"/>
    <w:rsid w:val="00623D1E"/>
    <w:rsid w:val="00623D70"/>
    <w:rsid w:val="00623D75"/>
    <w:rsid w:val="00623D8C"/>
    <w:rsid w:val="00623EB5"/>
    <w:rsid w:val="00623F72"/>
    <w:rsid w:val="00624055"/>
    <w:rsid w:val="00624065"/>
    <w:rsid w:val="00624092"/>
    <w:rsid w:val="006240E4"/>
    <w:rsid w:val="006240EB"/>
    <w:rsid w:val="00624100"/>
    <w:rsid w:val="0062414C"/>
    <w:rsid w:val="00624176"/>
    <w:rsid w:val="0062418C"/>
    <w:rsid w:val="0062419E"/>
    <w:rsid w:val="006241F5"/>
    <w:rsid w:val="00624243"/>
    <w:rsid w:val="006243AA"/>
    <w:rsid w:val="006243B3"/>
    <w:rsid w:val="006243C6"/>
    <w:rsid w:val="00624426"/>
    <w:rsid w:val="00624455"/>
    <w:rsid w:val="00624459"/>
    <w:rsid w:val="006244A2"/>
    <w:rsid w:val="006244A9"/>
    <w:rsid w:val="006244AD"/>
    <w:rsid w:val="006244D0"/>
    <w:rsid w:val="006244FA"/>
    <w:rsid w:val="00624547"/>
    <w:rsid w:val="006245FA"/>
    <w:rsid w:val="00624616"/>
    <w:rsid w:val="00624637"/>
    <w:rsid w:val="0062464D"/>
    <w:rsid w:val="006246CA"/>
    <w:rsid w:val="0062471D"/>
    <w:rsid w:val="00624745"/>
    <w:rsid w:val="0062474D"/>
    <w:rsid w:val="00624795"/>
    <w:rsid w:val="006247CB"/>
    <w:rsid w:val="006247DE"/>
    <w:rsid w:val="006247EC"/>
    <w:rsid w:val="00624801"/>
    <w:rsid w:val="00624818"/>
    <w:rsid w:val="006248E6"/>
    <w:rsid w:val="0062490F"/>
    <w:rsid w:val="00624918"/>
    <w:rsid w:val="006249A5"/>
    <w:rsid w:val="006249B9"/>
    <w:rsid w:val="006249D8"/>
    <w:rsid w:val="00624A0A"/>
    <w:rsid w:val="00624A43"/>
    <w:rsid w:val="00624A62"/>
    <w:rsid w:val="00624A6C"/>
    <w:rsid w:val="00624A74"/>
    <w:rsid w:val="00624AD1"/>
    <w:rsid w:val="00624B4C"/>
    <w:rsid w:val="00624B9F"/>
    <w:rsid w:val="00624C11"/>
    <w:rsid w:val="00624C60"/>
    <w:rsid w:val="00624CA4"/>
    <w:rsid w:val="00624CDD"/>
    <w:rsid w:val="00624DE5"/>
    <w:rsid w:val="00624FA8"/>
    <w:rsid w:val="00624FB5"/>
    <w:rsid w:val="00624FE3"/>
    <w:rsid w:val="00625002"/>
    <w:rsid w:val="0062509B"/>
    <w:rsid w:val="006250D3"/>
    <w:rsid w:val="00625133"/>
    <w:rsid w:val="00625209"/>
    <w:rsid w:val="00625242"/>
    <w:rsid w:val="00625350"/>
    <w:rsid w:val="0062536C"/>
    <w:rsid w:val="006253A8"/>
    <w:rsid w:val="006253C8"/>
    <w:rsid w:val="006253CB"/>
    <w:rsid w:val="0062540D"/>
    <w:rsid w:val="0062542B"/>
    <w:rsid w:val="0062544E"/>
    <w:rsid w:val="006254F3"/>
    <w:rsid w:val="00625552"/>
    <w:rsid w:val="00625586"/>
    <w:rsid w:val="00625588"/>
    <w:rsid w:val="00625641"/>
    <w:rsid w:val="00625664"/>
    <w:rsid w:val="006256DE"/>
    <w:rsid w:val="006256ED"/>
    <w:rsid w:val="00625781"/>
    <w:rsid w:val="006257EB"/>
    <w:rsid w:val="00625850"/>
    <w:rsid w:val="00625860"/>
    <w:rsid w:val="00625A23"/>
    <w:rsid w:val="00625A2F"/>
    <w:rsid w:val="00625A80"/>
    <w:rsid w:val="00625AF1"/>
    <w:rsid w:val="00625B05"/>
    <w:rsid w:val="00625B29"/>
    <w:rsid w:val="00625C50"/>
    <w:rsid w:val="00625C55"/>
    <w:rsid w:val="00625CD8"/>
    <w:rsid w:val="00625CFC"/>
    <w:rsid w:val="00625DF0"/>
    <w:rsid w:val="00625E6E"/>
    <w:rsid w:val="00625F56"/>
    <w:rsid w:val="00625F89"/>
    <w:rsid w:val="0062602A"/>
    <w:rsid w:val="00626051"/>
    <w:rsid w:val="00626063"/>
    <w:rsid w:val="0062606C"/>
    <w:rsid w:val="0062609E"/>
    <w:rsid w:val="006260A8"/>
    <w:rsid w:val="006260D7"/>
    <w:rsid w:val="006260F1"/>
    <w:rsid w:val="00626132"/>
    <w:rsid w:val="0062614E"/>
    <w:rsid w:val="00626198"/>
    <w:rsid w:val="0062619F"/>
    <w:rsid w:val="00626214"/>
    <w:rsid w:val="0062623F"/>
    <w:rsid w:val="00626258"/>
    <w:rsid w:val="0062625D"/>
    <w:rsid w:val="0062638C"/>
    <w:rsid w:val="0062638D"/>
    <w:rsid w:val="006263D4"/>
    <w:rsid w:val="006263EE"/>
    <w:rsid w:val="00626426"/>
    <w:rsid w:val="0062648C"/>
    <w:rsid w:val="006264E4"/>
    <w:rsid w:val="0062650D"/>
    <w:rsid w:val="0062652E"/>
    <w:rsid w:val="00626588"/>
    <w:rsid w:val="00626611"/>
    <w:rsid w:val="0062661D"/>
    <w:rsid w:val="0062662D"/>
    <w:rsid w:val="0062663B"/>
    <w:rsid w:val="0062667C"/>
    <w:rsid w:val="006266F1"/>
    <w:rsid w:val="00626713"/>
    <w:rsid w:val="0062674B"/>
    <w:rsid w:val="006267F0"/>
    <w:rsid w:val="006267F1"/>
    <w:rsid w:val="00626874"/>
    <w:rsid w:val="0062688D"/>
    <w:rsid w:val="006268A1"/>
    <w:rsid w:val="006268D3"/>
    <w:rsid w:val="00626900"/>
    <w:rsid w:val="0062691B"/>
    <w:rsid w:val="006269A4"/>
    <w:rsid w:val="006269B0"/>
    <w:rsid w:val="006269DC"/>
    <w:rsid w:val="00626A12"/>
    <w:rsid w:val="00626A74"/>
    <w:rsid w:val="00626AC0"/>
    <w:rsid w:val="00626ACF"/>
    <w:rsid w:val="00626B01"/>
    <w:rsid w:val="00626B24"/>
    <w:rsid w:val="00626B82"/>
    <w:rsid w:val="00626B83"/>
    <w:rsid w:val="00626B92"/>
    <w:rsid w:val="00626BDE"/>
    <w:rsid w:val="00626C05"/>
    <w:rsid w:val="00626C60"/>
    <w:rsid w:val="00626CDF"/>
    <w:rsid w:val="00626CE1"/>
    <w:rsid w:val="00626CEE"/>
    <w:rsid w:val="00626CF0"/>
    <w:rsid w:val="00626CFB"/>
    <w:rsid w:val="00626D48"/>
    <w:rsid w:val="00626D4F"/>
    <w:rsid w:val="00626D5E"/>
    <w:rsid w:val="00626DB6"/>
    <w:rsid w:val="00626DE8"/>
    <w:rsid w:val="00626E08"/>
    <w:rsid w:val="00626F10"/>
    <w:rsid w:val="00626F1C"/>
    <w:rsid w:val="00626F55"/>
    <w:rsid w:val="00626F77"/>
    <w:rsid w:val="00626F79"/>
    <w:rsid w:val="0062700E"/>
    <w:rsid w:val="0062703C"/>
    <w:rsid w:val="006270A2"/>
    <w:rsid w:val="006270EF"/>
    <w:rsid w:val="00627127"/>
    <w:rsid w:val="00627132"/>
    <w:rsid w:val="006271B7"/>
    <w:rsid w:val="00627276"/>
    <w:rsid w:val="006272D1"/>
    <w:rsid w:val="006272DA"/>
    <w:rsid w:val="006272FB"/>
    <w:rsid w:val="0062741B"/>
    <w:rsid w:val="00627460"/>
    <w:rsid w:val="006274A0"/>
    <w:rsid w:val="006274B3"/>
    <w:rsid w:val="006274BA"/>
    <w:rsid w:val="006274BD"/>
    <w:rsid w:val="006274D2"/>
    <w:rsid w:val="00627529"/>
    <w:rsid w:val="00627565"/>
    <w:rsid w:val="00627578"/>
    <w:rsid w:val="006275AA"/>
    <w:rsid w:val="006275CD"/>
    <w:rsid w:val="006276BA"/>
    <w:rsid w:val="006276F0"/>
    <w:rsid w:val="00627734"/>
    <w:rsid w:val="00627767"/>
    <w:rsid w:val="006277A3"/>
    <w:rsid w:val="006277F3"/>
    <w:rsid w:val="00627831"/>
    <w:rsid w:val="006278F4"/>
    <w:rsid w:val="0062794A"/>
    <w:rsid w:val="00627A5B"/>
    <w:rsid w:val="00627A7B"/>
    <w:rsid w:val="00627A90"/>
    <w:rsid w:val="00627AA4"/>
    <w:rsid w:val="00627AB8"/>
    <w:rsid w:val="00627AE3"/>
    <w:rsid w:val="00627AF5"/>
    <w:rsid w:val="00627B02"/>
    <w:rsid w:val="00627B30"/>
    <w:rsid w:val="00627BBE"/>
    <w:rsid w:val="00627BCD"/>
    <w:rsid w:val="00627C6D"/>
    <w:rsid w:val="00627C6F"/>
    <w:rsid w:val="00627CD9"/>
    <w:rsid w:val="00627D3C"/>
    <w:rsid w:val="00627D65"/>
    <w:rsid w:val="00627D79"/>
    <w:rsid w:val="00627DA4"/>
    <w:rsid w:val="00627DD6"/>
    <w:rsid w:val="00627DF4"/>
    <w:rsid w:val="00627E60"/>
    <w:rsid w:val="00627E61"/>
    <w:rsid w:val="00627EDF"/>
    <w:rsid w:val="00627F17"/>
    <w:rsid w:val="00627F69"/>
    <w:rsid w:val="00627FB9"/>
    <w:rsid w:val="00627FC3"/>
    <w:rsid w:val="00627FCC"/>
    <w:rsid w:val="00627FD2"/>
    <w:rsid w:val="0063002B"/>
    <w:rsid w:val="0063003E"/>
    <w:rsid w:val="0063009E"/>
    <w:rsid w:val="00630101"/>
    <w:rsid w:val="006301A6"/>
    <w:rsid w:val="006301C8"/>
    <w:rsid w:val="0063020C"/>
    <w:rsid w:val="00630228"/>
    <w:rsid w:val="0063024C"/>
    <w:rsid w:val="00630269"/>
    <w:rsid w:val="00630330"/>
    <w:rsid w:val="00630405"/>
    <w:rsid w:val="00630432"/>
    <w:rsid w:val="00630461"/>
    <w:rsid w:val="006304BF"/>
    <w:rsid w:val="00630562"/>
    <w:rsid w:val="00630582"/>
    <w:rsid w:val="006305D0"/>
    <w:rsid w:val="00630601"/>
    <w:rsid w:val="00630613"/>
    <w:rsid w:val="00630693"/>
    <w:rsid w:val="006306B6"/>
    <w:rsid w:val="0063070D"/>
    <w:rsid w:val="0063077E"/>
    <w:rsid w:val="0063078C"/>
    <w:rsid w:val="006307FD"/>
    <w:rsid w:val="00630843"/>
    <w:rsid w:val="0063089A"/>
    <w:rsid w:val="00630908"/>
    <w:rsid w:val="00630937"/>
    <w:rsid w:val="00630A0A"/>
    <w:rsid w:val="00630A0E"/>
    <w:rsid w:val="00630A14"/>
    <w:rsid w:val="00630A37"/>
    <w:rsid w:val="00630A42"/>
    <w:rsid w:val="00630AD2"/>
    <w:rsid w:val="00630B17"/>
    <w:rsid w:val="00630B7F"/>
    <w:rsid w:val="00630BB7"/>
    <w:rsid w:val="00630C08"/>
    <w:rsid w:val="00630C0B"/>
    <w:rsid w:val="00630C2B"/>
    <w:rsid w:val="00630C7C"/>
    <w:rsid w:val="00630C99"/>
    <w:rsid w:val="00630CAA"/>
    <w:rsid w:val="00630CF6"/>
    <w:rsid w:val="00630CFD"/>
    <w:rsid w:val="00630D03"/>
    <w:rsid w:val="00630D9D"/>
    <w:rsid w:val="00630DD1"/>
    <w:rsid w:val="00630E12"/>
    <w:rsid w:val="00630F10"/>
    <w:rsid w:val="00630F64"/>
    <w:rsid w:val="00630F9B"/>
    <w:rsid w:val="00630FA9"/>
    <w:rsid w:val="00630FCE"/>
    <w:rsid w:val="0063104A"/>
    <w:rsid w:val="00631058"/>
    <w:rsid w:val="00631070"/>
    <w:rsid w:val="0063107A"/>
    <w:rsid w:val="006310CA"/>
    <w:rsid w:val="00631165"/>
    <w:rsid w:val="0063117F"/>
    <w:rsid w:val="006311DE"/>
    <w:rsid w:val="00631240"/>
    <w:rsid w:val="006312A9"/>
    <w:rsid w:val="006312B0"/>
    <w:rsid w:val="006312DD"/>
    <w:rsid w:val="00631305"/>
    <w:rsid w:val="0063130D"/>
    <w:rsid w:val="0063134B"/>
    <w:rsid w:val="0063135D"/>
    <w:rsid w:val="0063136C"/>
    <w:rsid w:val="00631443"/>
    <w:rsid w:val="0063145C"/>
    <w:rsid w:val="00631466"/>
    <w:rsid w:val="00631488"/>
    <w:rsid w:val="006314AB"/>
    <w:rsid w:val="00631500"/>
    <w:rsid w:val="00631517"/>
    <w:rsid w:val="00631558"/>
    <w:rsid w:val="00631568"/>
    <w:rsid w:val="006315BC"/>
    <w:rsid w:val="006315CE"/>
    <w:rsid w:val="006315E9"/>
    <w:rsid w:val="00631600"/>
    <w:rsid w:val="0063162A"/>
    <w:rsid w:val="006316D0"/>
    <w:rsid w:val="00631731"/>
    <w:rsid w:val="00631746"/>
    <w:rsid w:val="0063177D"/>
    <w:rsid w:val="00631832"/>
    <w:rsid w:val="00631836"/>
    <w:rsid w:val="00631842"/>
    <w:rsid w:val="0063187B"/>
    <w:rsid w:val="006319CF"/>
    <w:rsid w:val="006319EA"/>
    <w:rsid w:val="006319F4"/>
    <w:rsid w:val="00631A89"/>
    <w:rsid w:val="00631ABB"/>
    <w:rsid w:val="00631AD4"/>
    <w:rsid w:val="00631AD5"/>
    <w:rsid w:val="00631B4E"/>
    <w:rsid w:val="00631B81"/>
    <w:rsid w:val="00631BFE"/>
    <w:rsid w:val="00631C07"/>
    <w:rsid w:val="00631C1F"/>
    <w:rsid w:val="00631C23"/>
    <w:rsid w:val="00631C81"/>
    <w:rsid w:val="00631CB8"/>
    <w:rsid w:val="00631CF4"/>
    <w:rsid w:val="00631D16"/>
    <w:rsid w:val="00631D7C"/>
    <w:rsid w:val="00631E07"/>
    <w:rsid w:val="00631E19"/>
    <w:rsid w:val="00631E3E"/>
    <w:rsid w:val="00631E4A"/>
    <w:rsid w:val="00631E91"/>
    <w:rsid w:val="00631EFC"/>
    <w:rsid w:val="00631F09"/>
    <w:rsid w:val="00631FB6"/>
    <w:rsid w:val="00631FDF"/>
    <w:rsid w:val="00631FE0"/>
    <w:rsid w:val="00632080"/>
    <w:rsid w:val="00632132"/>
    <w:rsid w:val="0063218B"/>
    <w:rsid w:val="00632245"/>
    <w:rsid w:val="006322AC"/>
    <w:rsid w:val="006322F6"/>
    <w:rsid w:val="00632384"/>
    <w:rsid w:val="00632388"/>
    <w:rsid w:val="006323F9"/>
    <w:rsid w:val="00632407"/>
    <w:rsid w:val="0063246E"/>
    <w:rsid w:val="00632514"/>
    <w:rsid w:val="00632586"/>
    <w:rsid w:val="0063258E"/>
    <w:rsid w:val="006325C1"/>
    <w:rsid w:val="0063260A"/>
    <w:rsid w:val="0063261A"/>
    <w:rsid w:val="0063262D"/>
    <w:rsid w:val="006326E6"/>
    <w:rsid w:val="00632725"/>
    <w:rsid w:val="006327A0"/>
    <w:rsid w:val="0063282C"/>
    <w:rsid w:val="0063283A"/>
    <w:rsid w:val="00632850"/>
    <w:rsid w:val="0063287F"/>
    <w:rsid w:val="00632882"/>
    <w:rsid w:val="0063297A"/>
    <w:rsid w:val="0063299C"/>
    <w:rsid w:val="006329A6"/>
    <w:rsid w:val="006329CE"/>
    <w:rsid w:val="00632A93"/>
    <w:rsid w:val="00632AC2"/>
    <w:rsid w:val="00632B55"/>
    <w:rsid w:val="00632BF9"/>
    <w:rsid w:val="00632BFA"/>
    <w:rsid w:val="00632C04"/>
    <w:rsid w:val="00632C9A"/>
    <w:rsid w:val="00632CD5"/>
    <w:rsid w:val="00632CFC"/>
    <w:rsid w:val="00632D85"/>
    <w:rsid w:val="00632DD1"/>
    <w:rsid w:val="00632E17"/>
    <w:rsid w:val="00632E3C"/>
    <w:rsid w:val="00632E74"/>
    <w:rsid w:val="00632E94"/>
    <w:rsid w:val="00632E95"/>
    <w:rsid w:val="00632E9F"/>
    <w:rsid w:val="00632EC6"/>
    <w:rsid w:val="00632EE8"/>
    <w:rsid w:val="00632EFC"/>
    <w:rsid w:val="00632F01"/>
    <w:rsid w:val="00632F16"/>
    <w:rsid w:val="00632FBD"/>
    <w:rsid w:val="00632FF3"/>
    <w:rsid w:val="0063307E"/>
    <w:rsid w:val="00633085"/>
    <w:rsid w:val="006330B4"/>
    <w:rsid w:val="00633175"/>
    <w:rsid w:val="0063317A"/>
    <w:rsid w:val="00633191"/>
    <w:rsid w:val="00633198"/>
    <w:rsid w:val="006331C3"/>
    <w:rsid w:val="006331E1"/>
    <w:rsid w:val="00633221"/>
    <w:rsid w:val="00633255"/>
    <w:rsid w:val="00633301"/>
    <w:rsid w:val="0063330C"/>
    <w:rsid w:val="00633313"/>
    <w:rsid w:val="00633324"/>
    <w:rsid w:val="00633434"/>
    <w:rsid w:val="00633453"/>
    <w:rsid w:val="00633454"/>
    <w:rsid w:val="00633465"/>
    <w:rsid w:val="006334ED"/>
    <w:rsid w:val="00633501"/>
    <w:rsid w:val="00633518"/>
    <w:rsid w:val="0063353B"/>
    <w:rsid w:val="006335D5"/>
    <w:rsid w:val="00633639"/>
    <w:rsid w:val="00633659"/>
    <w:rsid w:val="0063369E"/>
    <w:rsid w:val="00633744"/>
    <w:rsid w:val="006338B4"/>
    <w:rsid w:val="00633905"/>
    <w:rsid w:val="00633936"/>
    <w:rsid w:val="0063393C"/>
    <w:rsid w:val="006339A4"/>
    <w:rsid w:val="00633A39"/>
    <w:rsid w:val="00633AC2"/>
    <w:rsid w:val="00633B38"/>
    <w:rsid w:val="00633BE7"/>
    <w:rsid w:val="00633D20"/>
    <w:rsid w:val="00633D56"/>
    <w:rsid w:val="00633D61"/>
    <w:rsid w:val="00633D86"/>
    <w:rsid w:val="00633D8B"/>
    <w:rsid w:val="00633DE2"/>
    <w:rsid w:val="00633DF9"/>
    <w:rsid w:val="00633E08"/>
    <w:rsid w:val="00633E28"/>
    <w:rsid w:val="00633E3D"/>
    <w:rsid w:val="00633E46"/>
    <w:rsid w:val="00633E4F"/>
    <w:rsid w:val="00633E7C"/>
    <w:rsid w:val="00633EB1"/>
    <w:rsid w:val="00633EFD"/>
    <w:rsid w:val="00633F15"/>
    <w:rsid w:val="00633F21"/>
    <w:rsid w:val="00633F80"/>
    <w:rsid w:val="00633F88"/>
    <w:rsid w:val="0063402D"/>
    <w:rsid w:val="00634035"/>
    <w:rsid w:val="00634095"/>
    <w:rsid w:val="0063409D"/>
    <w:rsid w:val="006340BD"/>
    <w:rsid w:val="006340D9"/>
    <w:rsid w:val="0063419A"/>
    <w:rsid w:val="006341C0"/>
    <w:rsid w:val="006341E3"/>
    <w:rsid w:val="00634240"/>
    <w:rsid w:val="00634249"/>
    <w:rsid w:val="0063424F"/>
    <w:rsid w:val="0063426F"/>
    <w:rsid w:val="0063428C"/>
    <w:rsid w:val="006342BF"/>
    <w:rsid w:val="006342CC"/>
    <w:rsid w:val="006342CF"/>
    <w:rsid w:val="0063430F"/>
    <w:rsid w:val="00634369"/>
    <w:rsid w:val="006343E9"/>
    <w:rsid w:val="00634425"/>
    <w:rsid w:val="0063442A"/>
    <w:rsid w:val="006344A6"/>
    <w:rsid w:val="006344E2"/>
    <w:rsid w:val="00634525"/>
    <w:rsid w:val="00634569"/>
    <w:rsid w:val="006345CC"/>
    <w:rsid w:val="006345D3"/>
    <w:rsid w:val="00634637"/>
    <w:rsid w:val="00634642"/>
    <w:rsid w:val="00634649"/>
    <w:rsid w:val="00634652"/>
    <w:rsid w:val="006346CE"/>
    <w:rsid w:val="006346DB"/>
    <w:rsid w:val="0063472E"/>
    <w:rsid w:val="0063476A"/>
    <w:rsid w:val="00634791"/>
    <w:rsid w:val="006347E8"/>
    <w:rsid w:val="0063480F"/>
    <w:rsid w:val="0063485C"/>
    <w:rsid w:val="0063489D"/>
    <w:rsid w:val="00634900"/>
    <w:rsid w:val="006349E4"/>
    <w:rsid w:val="00634A19"/>
    <w:rsid w:val="00634A52"/>
    <w:rsid w:val="00634AA6"/>
    <w:rsid w:val="00634AB3"/>
    <w:rsid w:val="00634ABC"/>
    <w:rsid w:val="00634BA8"/>
    <w:rsid w:val="00634C17"/>
    <w:rsid w:val="00634C7D"/>
    <w:rsid w:val="00634CA1"/>
    <w:rsid w:val="00634CAA"/>
    <w:rsid w:val="00634CAE"/>
    <w:rsid w:val="00634CEF"/>
    <w:rsid w:val="00634D73"/>
    <w:rsid w:val="00634D77"/>
    <w:rsid w:val="00634DA6"/>
    <w:rsid w:val="00634DA8"/>
    <w:rsid w:val="00634DEC"/>
    <w:rsid w:val="00634E45"/>
    <w:rsid w:val="00634E58"/>
    <w:rsid w:val="00634EDD"/>
    <w:rsid w:val="00634EF1"/>
    <w:rsid w:val="00634F1A"/>
    <w:rsid w:val="00634F23"/>
    <w:rsid w:val="00634F62"/>
    <w:rsid w:val="00634FBF"/>
    <w:rsid w:val="00634FED"/>
    <w:rsid w:val="00634FFD"/>
    <w:rsid w:val="00635079"/>
    <w:rsid w:val="006350B0"/>
    <w:rsid w:val="006350D0"/>
    <w:rsid w:val="00635120"/>
    <w:rsid w:val="00635131"/>
    <w:rsid w:val="0063516A"/>
    <w:rsid w:val="006351E7"/>
    <w:rsid w:val="006351EB"/>
    <w:rsid w:val="006351EF"/>
    <w:rsid w:val="00635206"/>
    <w:rsid w:val="00635268"/>
    <w:rsid w:val="0063526D"/>
    <w:rsid w:val="006352C5"/>
    <w:rsid w:val="006352D0"/>
    <w:rsid w:val="00635402"/>
    <w:rsid w:val="0063547F"/>
    <w:rsid w:val="00635488"/>
    <w:rsid w:val="006355B9"/>
    <w:rsid w:val="0063560D"/>
    <w:rsid w:val="00635655"/>
    <w:rsid w:val="0063566A"/>
    <w:rsid w:val="00635675"/>
    <w:rsid w:val="006356AD"/>
    <w:rsid w:val="00635780"/>
    <w:rsid w:val="0063578E"/>
    <w:rsid w:val="006357AA"/>
    <w:rsid w:val="006357B0"/>
    <w:rsid w:val="006357B4"/>
    <w:rsid w:val="006357EC"/>
    <w:rsid w:val="00635851"/>
    <w:rsid w:val="006358DE"/>
    <w:rsid w:val="006358DF"/>
    <w:rsid w:val="0063595D"/>
    <w:rsid w:val="00635A56"/>
    <w:rsid w:val="00635A84"/>
    <w:rsid w:val="00635AAE"/>
    <w:rsid w:val="00635AF2"/>
    <w:rsid w:val="00635AF8"/>
    <w:rsid w:val="00635AFD"/>
    <w:rsid w:val="00635B9E"/>
    <w:rsid w:val="00635BA7"/>
    <w:rsid w:val="00635BB7"/>
    <w:rsid w:val="00635C11"/>
    <w:rsid w:val="00635C54"/>
    <w:rsid w:val="00635C63"/>
    <w:rsid w:val="00635CC6"/>
    <w:rsid w:val="00635CCB"/>
    <w:rsid w:val="00635CFD"/>
    <w:rsid w:val="00635D60"/>
    <w:rsid w:val="00635DC3"/>
    <w:rsid w:val="00635DEA"/>
    <w:rsid w:val="00635E88"/>
    <w:rsid w:val="00635EB8"/>
    <w:rsid w:val="00635EBD"/>
    <w:rsid w:val="00635ECB"/>
    <w:rsid w:val="00635ECC"/>
    <w:rsid w:val="00635ED4"/>
    <w:rsid w:val="00635EE5"/>
    <w:rsid w:val="00635F45"/>
    <w:rsid w:val="00635FE1"/>
    <w:rsid w:val="00636002"/>
    <w:rsid w:val="0063608A"/>
    <w:rsid w:val="00636095"/>
    <w:rsid w:val="006360FC"/>
    <w:rsid w:val="0063615F"/>
    <w:rsid w:val="0063617A"/>
    <w:rsid w:val="006361AE"/>
    <w:rsid w:val="006361F3"/>
    <w:rsid w:val="006362A3"/>
    <w:rsid w:val="006363DD"/>
    <w:rsid w:val="00636440"/>
    <w:rsid w:val="00636465"/>
    <w:rsid w:val="00636477"/>
    <w:rsid w:val="006364BE"/>
    <w:rsid w:val="00636535"/>
    <w:rsid w:val="0063655D"/>
    <w:rsid w:val="00636590"/>
    <w:rsid w:val="006365CB"/>
    <w:rsid w:val="00636600"/>
    <w:rsid w:val="00636653"/>
    <w:rsid w:val="00636680"/>
    <w:rsid w:val="006366D8"/>
    <w:rsid w:val="0063671B"/>
    <w:rsid w:val="00636765"/>
    <w:rsid w:val="00636822"/>
    <w:rsid w:val="00636877"/>
    <w:rsid w:val="006368E6"/>
    <w:rsid w:val="00636951"/>
    <w:rsid w:val="0063697A"/>
    <w:rsid w:val="0063697C"/>
    <w:rsid w:val="0063698B"/>
    <w:rsid w:val="00636A99"/>
    <w:rsid w:val="00636AB2"/>
    <w:rsid w:val="00636B32"/>
    <w:rsid w:val="00636BCF"/>
    <w:rsid w:val="00636C05"/>
    <w:rsid w:val="00636C40"/>
    <w:rsid w:val="00636C84"/>
    <w:rsid w:val="00636CF6"/>
    <w:rsid w:val="00636D46"/>
    <w:rsid w:val="00636D9F"/>
    <w:rsid w:val="00636DEE"/>
    <w:rsid w:val="00636E3E"/>
    <w:rsid w:val="00636E48"/>
    <w:rsid w:val="00636EB5"/>
    <w:rsid w:val="00636F90"/>
    <w:rsid w:val="0063701A"/>
    <w:rsid w:val="0063708D"/>
    <w:rsid w:val="006370A2"/>
    <w:rsid w:val="006370E6"/>
    <w:rsid w:val="00637123"/>
    <w:rsid w:val="0063712B"/>
    <w:rsid w:val="0063714A"/>
    <w:rsid w:val="0063714C"/>
    <w:rsid w:val="00637190"/>
    <w:rsid w:val="006371A9"/>
    <w:rsid w:val="006371D6"/>
    <w:rsid w:val="006371E7"/>
    <w:rsid w:val="006371F3"/>
    <w:rsid w:val="00637258"/>
    <w:rsid w:val="0063727F"/>
    <w:rsid w:val="006372D0"/>
    <w:rsid w:val="006372F2"/>
    <w:rsid w:val="00637389"/>
    <w:rsid w:val="006373B2"/>
    <w:rsid w:val="00637431"/>
    <w:rsid w:val="006374A4"/>
    <w:rsid w:val="006374FC"/>
    <w:rsid w:val="00637508"/>
    <w:rsid w:val="00637521"/>
    <w:rsid w:val="00637543"/>
    <w:rsid w:val="00637555"/>
    <w:rsid w:val="006375B0"/>
    <w:rsid w:val="006375B6"/>
    <w:rsid w:val="006376BE"/>
    <w:rsid w:val="006376D9"/>
    <w:rsid w:val="006376F7"/>
    <w:rsid w:val="006377B9"/>
    <w:rsid w:val="006377F6"/>
    <w:rsid w:val="0063787B"/>
    <w:rsid w:val="00637929"/>
    <w:rsid w:val="0063794C"/>
    <w:rsid w:val="006379A4"/>
    <w:rsid w:val="00637A30"/>
    <w:rsid w:val="00637A7B"/>
    <w:rsid w:val="00637AD1"/>
    <w:rsid w:val="00637B2D"/>
    <w:rsid w:val="00637B73"/>
    <w:rsid w:val="00637BEB"/>
    <w:rsid w:val="00637C1E"/>
    <w:rsid w:val="00637C26"/>
    <w:rsid w:val="00637C77"/>
    <w:rsid w:val="00637CCD"/>
    <w:rsid w:val="00637CD8"/>
    <w:rsid w:val="00637D1F"/>
    <w:rsid w:val="00637E3B"/>
    <w:rsid w:val="00637E42"/>
    <w:rsid w:val="00637E7A"/>
    <w:rsid w:val="00637E94"/>
    <w:rsid w:val="00637E97"/>
    <w:rsid w:val="00637EA0"/>
    <w:rsid w:val="00637EB2"/>
    <w:rsid w:val="00637EB7"/>
    <w:rsid w:val="00637FC8"/>
    <w:rsid w:val="0064008B"/>
    <w:rsid w:val="006400AD"/>
    <w:rsid w:val="00640124"/>
    <w:rsid w:val="00640135"/>
    <w:rsid w:val="00640176"/>
    <w:rsid w:val="0064018C"/>
    <w:rsid w:val="0064019C"/>
    <w:rsid w:val="00640263"/>
    <w:rsid w:val="006403B8"/>
    <w:rsid w:val="00640486"/>
    <w:rsid w:val="0064049B"/>
    <w:rsid w:val="006404A4"/>
    <w:rsid w:val="006404CE"/>
    <w:rsid w:val="00640565"/>
    <w:rsid w:val="006405C5"/>
    <w:rsid w:val="0064061A"/>
    <w:rsid w:val="00640634"/>
    <w:rsid w:val="006406D3"/>
    <w:rsid w:val="006406DB"/>
    <w:rsid w:val="006406FD"/>
    <w:rsid w:val="0064070C"/>
    <w:rsid w:val="0064070F"/>
    <w:rsid w:val="0064077D"/>
    <w:rsid w:val="006407BC"/>
    <w:rsid w:val="00640812"/>
    <w:rsid w:val="00640836"/>
    <w:rsid w:val="00640886"/>
    <w:rsid w:val="006408A6"/>
    <w:rsid w:val="006408D4"/>
    <w:rsid w:val="006408D7"/>
    <w:rsid w:val="006408F1"/>
    <w:rsid w:val="006408FE"/>
    <w:rsid w:val="0064098D"/>
    <w:rsid w:val="00640998"/>
    <w:rsid w:val="006409F4"/>
    <w:rsid w:val="00640A4F"/>
    <w:rsid w:val="00640ABA"/>
    <w:rsid w:val="00640ACC"/>
    <w:rsid w:val="00640AF7"/>
    <w:rsid w:val="00640B24"/>
    <w:rsid w:val="00640B2E"/>
    <w:rsid w:val="00640B33"/>
    <w:rsid w:val="00640B3E"/>
    <w:rsid w:val="00640B67"/>
    <w:rsid w:val="00640B72"/>
    <w:rsid w:val="00640B73"/>
    <w:rsid w:val="00640B74"/>
    <w:rsid w:val="00640BE4"/>
    <w:rsid w:val="00640CA4"/>
    <w:rsid w:val="00640CC1"/>
    <w:rsid w:val="00640CC6"/>
    <w:rsid w:val="00640D47"/>
    <w:rsid w:val="00640D50"/>
    <w:rsid w:val="00640E5D"/>
    <w:rsid w:val="00640E7F"/>
    <w:rsid w:val="00640EA0"/>
    <w:rsid w:val="00640EAE"/>
    <w:rsid w:val="00640F04"/>
    <w:rsid w:val="00640F7F"/>
    <w:rsid w:val="00640FAE"/>
    <w:rsid w:val="00640FEE"/>
    <w:rsid w:val="00641007"/>
    <w:rsid w:val="00641016"/>
    <w:rsid w:val="00641044"/>
    <w:rsid w:val="0064105F"/>
    <w:rsid w:val="006410B3"/>
    <w:rsid w:val="006410BE"/>
    <w:rsid w:val="0064112B"/>
    <w:rsid w:val="00641132"/>
    <w:rsid w:val="00641142"/>
    <w:rsid w:val="006411B9"/>
    <w:rsid w:val="0064124C"/>
    <w:rsid w:val="00641278"/>
    <w:rsid w:val="0064127D"/>
    <w:rsid w:val="0064128B"/>
    <w:rsid w:val="006412E1"/>
    <w:rsid w:val="0064133E"/>
    <w:rsid w:val="00641351"/>
    <w:rsid w:val="0064136A"/>
    <w:rsid w:val="006413A8"/>
    <w:rsid w:val="006413C6"/>
    <w:rsid w:val="006413D1"/>
    <w:rsid w:val="00641401"/>
    <w:rsid w:val="00641411"/>
    <w:rsid w:val="00641481"/>
    <w:rsid w:val="00641498"/>
    <w:rsid w:val="006414A3"/>
    <w:rsid w:val="006414BB"/>
    <w:rsid w:val="006414CE"/>
    <w:rsid w:val="0064155D"/>
    <w:rsid w:val="006415A8"/>
    <w:rsid w:val="006415C8"/>
    <w:rsid w:val="00641661"/>
    <w:rsid w:val="0064170D"/>
    <w:rsid w:val="00641742"/>
    <w:rsid w:val="006417EB"/>
    <w:rsid w:val="0064180B"/>
    <w:rsid w:val="00641867"/>
    <w:rsid w:val="006418E9"/>
    <w:rsid w:val="00641914"/>
    <w:rsid w:val="0064197F"/>
    <w:rsid w:val="006419A9"/>
    <w:rsid w:val="006419B0"/>
    <w:rsid w:val="006419BE"/>
    <w:rsid w:val="006419C7"/>
    <w:rsid w:val="006419FE"/>
    <w:rsid w:val="00641A2C"/>
    <w:rsid w:val="00641A31"/>
    <w:rsid w:val="00641A34"/>
    <w:rsid w:val="00641A6F"/>
    <w:rsid w:val="00641B17"/>
    <w:rsid w:val="00641BA8"/>
    <w:rsid w:val="00641C1F"/>
    <w:rsid w:val="00641C33"/>
    <w:rsid w:val="00641C4E"/>
    <w:rsid w:val="00641C64"/>
    <w:rsid w:val="00641D86"/>
    <w:rsid w:val="00641E34"/>
    <w:rsid w:val="00641E64"/>
    <w:rsid w:val="00641EA5"/>
    <w:rsid w:val="00641EF3"/>
    <w:rsid w:val="00641F56"/>
    <w:rsid w:val="00641F5D"/>
    <w:rsid w:val="00641F60"/>
    <w:rsid w:val="00641F6F"/>
    <w:rsid w:val="00641F82"/>
    <w:rsid w:val="00641F92"/>
    <w:rsid w:val="00642030"/>
    <w:rsid w:val="0064207A"/>
    <w:rsid w:val="006420D5"/>
    <w:rsid w:val="0064215B"/>
    <w:rsid w:val="006421A1"/>
    <w:rsid w:val="006421BA"/>
    <w:rsid w:val="006421E2"/>
    <w:rsid w:val="00642275"/>
    <w:rsid w:val="006422D6"/>
    <w:rsid w:val="00642315"/>
    <w:rsid w:val="00642321"/>
    <w:rsid w:val="00642335"/>
    <w:rsid w:val="0064238D"/>
    <w:rsid w:val="006423DF"/>
    <w:rsid w:val="0064241D"/>
    <w:rsid w:val="00642497"/>
    <w:rsid w:val="006424B1"/>
    <w:rsid w:val="006424E0"/>
    <w:rsid w:val="006424E3"/>
    <w:rsid w:val="00642598"/>
    <w:rsid w:val="00642681"/>
    <w:rsid w:val="00642691"/>
    <w:rsid w:val="006426A5"/>
    <w:rsid w:val="006426BF"/>
    <w:rsid w:val="006426E4"/>
    <w:rsid w:val="006426F1"/>
    <w:rsid w:val="006426FC"/>
    <w:rsid w:val="00642727"/>
    <w:rsid w:val="00642755"/>
    <w:rsid w:val="0064277C"/>
    <w:rsid w:val="00642794"/>
    <w:rsid w:val="00642888"/>
    <w:rsid w:val="006428BD"/>
    <w:rsid w:val="006428D8"/>
    <w:rsid w:val="006428DF"/>
    <w:rsid w:val="00642920"/>
    <w:rsid w:val="0064297D"/>
    <w:rsid w:val="006429ED"/>
    <w:rsid w:val="00642A07"/>
    <w:rsid w:val="00642A3D"/>
    <w:rsid w:val="00642AAD"/>
    <w:rsid w:val="00642AF4"/>
    <w:rsid w:val="00642B38"/>
    <w:rsid w:val="00642C4F"/>
    <w:rsid w:val="00642C58"/>
    <w:rsid w:val="00642C79"/>
    <w:rsid w:val="00642D38"/>
    <w:rsid w:val="00642DAD"/>
    <w:rsid w:val="00642DD8"/>
    <w:rsid w:val="00642E15"/>
    <w:rsid w:val="00642E51"/>
    <w:rsid w:val="00642E73"/>
    <w:rsid w:val="00642EEF"/>
    <w:rsid w:val="00642EF4"/>
    <w:rsid w:val="00642F33"/>
    <w:rsid w:val="00642F70"/>
    <w:rsid w:val="00642FFA"/>
    <w:rsid w:val="00643043"/>
    <w:rsid w:val="00643054"/>
    <w:rsid w:val="0064305A"/>
    <w:rsid w:val="0064308D"/>
    <w:rsid w:val="00643090"/>
    <w:rsid w:val="006430AA"/>
    <w:rsid w:val="006430F6"/>
    <w:rsid w:val="00643187"/>
    <w:rsid w:val="006431C4"/>
    <w:rsid w:val="006431FC"/>
    <w:rsid w:val="00643236"/>
    <w:rsid w:val="0064326E"/>
    <w:rsid w:val="00643291"/>
    <w:rsid w:val="00643292"/>
    <w:rsid w:val="006433C1"/>
    <w:rsid w:val="006433C2"/>
    <w:rsid w:val="00643402"/>
    <w:rsid w:val="00643415"/>
    <w:rsid w:val="00643419"/>
    <w:rsid w:val="006434B1"/>
    <w:rsid w:val="00643517"/>
    <w:rsid w:val="0064353A"/>
    <w:rsid w:val="0064358C"/>
    <w:rsid w:val="006435DD"/>
    <w:rsid w:val="00643624"/>
    <w:rsid w:val="00643637"/>
    <w:rsid w:val="00643645"/>
    <w:rsid w:val="006436D3"/>
    <w:rsid w:val="00643725"/>
    <w:rsid w:val="00643726"/>
    <w:rsid w:val="0064378E"/>
    <w:rsid w:val="0064379E"/>
    <w:rsid w:val="006437A5"/>
    <w:rsid w:val="00643809"/>
    <w:rsid w:val="00643873"/>
    <w:rsid w:val="00643892"/>
    <w:rsid w:val="006438CB"/>
    <w:rsid w:val="006438DD"/>
    <w:rsid w:val="006439E0"/>
    <w:rsid w:val="006439F9"/>
    <w:rsid w:val="00643A70"/>
    <w:rsid w:val="00643AFA"/>
    <w:rsid w:val="00643B02"/>
    <w:rsid w:val="00643B2A"/>
    <w:rsid w:val="00643B87"/>
    <w:rsid w:val="00643BA9"/>
    <w:rsid w:val="00643C98"/>
    <w:rsid w:val="00643CC8"/>
    <w:rsid w:val="00643CCD"/>
    <w:rsid w:val="00643CE5"/>
    <w:rsid w:val="00643D61"/>
    <w:rsid w:val="00643D9E"/>
    <w:rsid w:val="00643DA0"/>
    <w:rsid w:val="00643DC2"/>
    <w:rsid w:val="00643DC6"/>
    <w:rsid w:val="00643DC7"/>
    <w:rsid w:val="00643E15"/>
    <w:rsid w:val="00643F24"/>
    <w:rsid w:val="00643F3D"/>
    <w:rsid w:val="00643F6A"/>
    <w:rsid w:val="00643F88"/>
    <w:rsid w:val="00644054"/>
    <w:rsid w:val="0064413C"/>
    <w:rsid w:val="0064417B"/>
    <w:rsid w:val="0064419B"/>
    <w:rsid w:val="006441A0"/>
    <w:rsid w:val="006441B0"/>
    <w:rsid w:val="0064420D"/>
    <w:rsid w:val="00644222"/>
    <w:rsid w:val="00644241"/>
    <w:rsid w:val="006442AF"/>
    <w:rsid w:val="006442E8"/>
    <w:rsid w:val="006443B0"/>
    <w:rsid w:val="00644408"/>
    <w:rsid w:val="0064440E"/>
    <w:rsid w:val="00644494"/>
    <w:rsid w:val="006444D4"/>
    <w:rsid w:val="006444FD"/>
    <w:rsid w:val="00644548"/>
    <w:rsid w:val="0064456D"/>
    <w:rsid w:val="0064458A"/>
    <w:rsid w:val="0064465C"/>
    <w:rsid w:val="00644813"/>
    <w:rsid w:val="00644886"/>
    <w:rsid w:val="00644896"/>
    <w:rsid w:val="006448B2"/>
    <w:rsid w:val="006448D7"/>
    <w:rsid w:val="006449AC"/>
    <w:rsid w:val="006449FC"/>
    <w:rsid w:val="00644A42"/>
    <w:rsid w:val="00644A67"/>
    <w:rsid w:val="00644A72"/>
    <w:rsid w:val="00644AF5"/>
    <w:rsid w:val="00644B2E"/>
    <w:rsid w:val="00644B5A"/>
    <w:rsid w:val="00644B91"/>
    <w:rsid w:val="00644B92"/>
    <w:rsid w:val="00644B97"/>
    <w:rsid w:val="00644B9C"/>
    <w:rsid w:val="00644BB5"/>
    <w:rsid w:val="00644C5F"/>
    <w:rsid w:val="00644C68"/>
    <w:rsid w:val="00644CA8"/>
    <w:rsid w:val="00644D13"/>
    <w:rsid w:val="00644D68"/>
    <w:rsid w:val="00644D88"/>
    <w:rsid w:val="00644D9D"/>
    <w:rsid w:val="00644DD0"/>
    <w:rsid w:val="00644EED"/>
    <w:rsid w:val="00644F15"/>
    <w:rsid w:val="00644F50"/>
    <w:rsid w:val="00644F85"/>
    <w:rsid w:val="00644F99"/>
    <w:rsid w:val="00644FB2"/>
    <w:rsid w:val="00645058"/>
    <w:rsid w:val="006450D4"/>
    <w:rsid w:val="00645149"/>
    <w:rsid w:val="0064516A"/>
    <w:rsid w:val="00645189"/>
    <w:rsid w:val="006451AD"/>
    <w:rsid w:val="006451E4"/>
    <w:rsid w:val="006451FB"/>
    <w:rsid w:val="00645233"/>
    <w:rsid w:val="006452AD"/>
    <w:rsid w:val="006452C9"/>
    <w:rsid w:val="006452CF"/>
    <w:rsid w:val="006452D5"/>
    <w:rsid w:val="006452F5"/>
    <w:rsid w:val="00645354"/>
    <w:rsid w:val="006453EE"/>
    <w:rsid w:val="00645433"/>
    <w:rsid w:val="00645479"/>
    <w:rsid w:val="006455B2"/>
    <w:rsid w:val="006455E1"/>
    <w:rsid w:val="006455E3"/>
    <w:rsid w:val="006456AE"/>
    <w:rsid w:val="006456BA"/>
    <w:rsid w:val="006456F6"/>
    <w:rsid w:val="0064578B"/>
    <w:rsid w:val="006457A0"/>
    <w:rsid w:val="0064584A"/>
    <w:rsid w:val="00645853"/>
    <w:rsid w:val="00645874"/>
    <w:rsid w:val="00645875"/>
    <w:rsid w:val="006458CB"/>
    <w:rsid w:val="006458E8"/>
    <w:rsid w:val="0064598F"/>
    <w:rsid w:val="00645A48"/>
    <w:rsid w:val="00645AA6"/>
    <w:rsid w:val="00645AB8"/>
    <w:rsid w:val="00645AC0"/>
    <w:rsid w:val="00645AD2"/>
    <w:rsid w:val="00645B7E"/>
    <w:rsid w:val="00645BEE"/>
    <w:rsid w:val="00645C09"/>
    <w:rsid w:val="00645C23"/>
    <w:rsid w:val="00645C47"/>
    <w:rsid w:val="00645C4A"/>
    <w:rsid w:val="00645C5B"/>
    <w:rsid w:val="00645CF8"/>
    <w:rsid w:val="00645D15"/>
    <w:rsid w:val="00645D34"/>
    <w:rsid w:val="00645D69"/>
    <w:rsid w:val="00645E4D"/>
    <w:rsid w:val="00645E71"/>
    <w:rsid w:val="00645F13"/>
    <w:rsid w:val="00645F62"/>
    <w:rsid w:val="00645FEB"/>
    <w:rsid w:val="0064601D"/>
    <w:rsid w:val="00646033"/>
    <w:rsid w:val="00646045"/>
    <w:rsid w:val="00646073"/>
    <w:rsid w:val="00646077"/>
    <w:rsid w:val="006460A1"/>
    <w:rsid w:val="006460A6"/>
    <w:rsid w:val="006460CE"/>
    <w:rsid w:val="006460E4"/>
    <w:rsid w:val="0064612C"/>
    <w:rsid w:val="00646160"/>
    <w:rsid w:val="00646182"/>
    <w:rsid w:val="0064622A"/>
    <w:rsid w:val="00646291"/>
    <w:rsid w:val="006462DE"/>
    <w:rsid w:val="0064639E"/>
    <w:rsid w:val="0064640E"/>
    <w:rsid w:val="0064644C"/>
    <w:rsid w:val="00646473"/>
    <w:rsid w:val="006464C1"/>
    <w:rsid w:val="006464DA"/>
    <w:rsid w:val="00646572"/>
    <w:rsid w:val="00646579"/>
    <w:rsid w:val="00646590"/>
    <w:rsid w:val="006465C0"/>
    <w:rsid w:val="00646600"/>
    <w:rsid w:val="00646640"/>
    <w:rsid w:val="0064668E"/>
    <w:rsid w:val="00646694"/>
    <w:rsid w:val="0064669C"/>
    <w:rsid w:val="006466CD"/>
    <w:rsid w:val="006466F8"/>
    <w:rsid w:val="00646726"/>
    <w:rsid w:val="0064673C"/>
    <w:rsid w:val="006467E3"/>
    <w:rsid w:val="00646830"/>
    <w:rsid w:val="00646866"/>
    <w:rsid w:val="006468EF"/>
    <w:rsid w:val="0064693F"/>
    <w:rsid w:val="00646984"/>
    <w:rsid w:val="00646A40"/>
    <w:rsid w:val="00646A67"/>
    <w:rsid w:val="00646AE1"/>
    <w:rsid w:val="00646B8F"/>
    <w:rsid w:val="00646BCF"/>
    <w:rsid w:val="00646C4C"/>
    <w:rsid w:val="00646CDC"/>
    <w:rsid w:val="00646DA0"/>
    <w:rsid w:val="00646E59"/>
    <w:rsid w:val="00646E9E"/>
    <w:rsid w:val="00646EA5"/>
    <w:rsid w:val="00646EAE"/>
    <w:rsid w:val="00646EB0"/>
    <w:rsid w:val="00646F1E"/>
    <w:rsid w:val="00646F22"/>
    <w:rsid w:val="00646F4F"/>
    <w:rsid w:val="00646FB2"/>
    <w:rsid w:val="00647035"/>
    <w:rsid w:val="00647038"/>
    <w:rsid w:val="00647076"/>
    <w:rsid w:val="006470AC"/>
    <w:rsid w:val="00647175"/>
    <w:rsid w:val="006471A9"/>
    <w:rsid w:val="006471E3"/>
    <w:rsid w:val="006471FB"/>
    <w:rsid w:val="00647219"/>
    <w:rsid w:val="00647232"/>
    <w:rsid w:val="00647247"/>
    <w:rsid w:val="0064724C"/>
    <w:rsid w:val="006472C0"/>
    <w:rsid w:val="00647334"/>
    <w:rsid w:val="0064733B"/>
    <w:rsid w:val="0064734C"/>
    <w:rsid w:val="006473C7"/>
    <w:rsid w:val="0064745B"/>
    <w:rsid w:val="00647482"/>
    <w:rsid w:val="006474C5"/>
    <w:rsid w:val="006474FD"/>
    <w:rsid w:val="00647595"/>
    <w:rsid w:val="006475FE"/>
    <w:rsid w:val="006475FF"/>
    <w:rsid w:val="0064763E"/>
    <w:rsid w:val="00647644"/>
    <w:rsid w:val="0064764F"/>
    <w:rsid w:val="0064765E"/>
    <w:rsid w:val="00647663"/>
    <w:rsid w:val="00647664"/>
    <w:rsid w:val="00647771"/>
    <w:rsid w:val="00647787"/>
    <w:rsid w:val="006477F3"/>
    <w:rsid w:val="00647804"/>
    <w:rsid w:val="0064781C"/>
    <w:rsid w:val="00647856"/>
    <w:rsid w:val="0064785F"/>
    <w:rsid w:val="006478BD"/>
    <w:rsid w:val="00647956"/>
    <w:rsid w:val="0064797A"/>
    <w:rsid w:val="0064798E"/>
    <w:rsid w:val="006479D8"/>
    <w:rsid w:val="006479F4"/>
    <w:rsid w:val="00647A1C"/>
    <w:rsid w:val="00647A5D"/>
    <w:rsid w:val="00647A85"/>
    <w:rsid w:val="00647AFD"/>
    <w:rsid w:val="00647B18"/>
    <w:rsid w:val="00647B5E"/>
    <w:rsid w:val="00647B7D"/>
    <w:rsid w:val="00647B8D"/>
    <w:rsid w:val="00647C54"/>
    <w:rsid w:val="00647CB0"/>
    <w:rsid w:val="00647D26"/>
    <w:rsid w:val="00647D9E"/>
    <w:rsid w:val="00647DF2"/>
    <w:rsid w:val="00647E2D"/>
    <w:rsid w:val="00647F3B"/>
    <w:rsid w:val="00647F86"/>
    <w:rsid w:val="00647F9C"/>
    <w:rsid w:val="00647FEB"/>
    <w:rsid w:val="00650020"/>
    <w:rsid w:val="00650038"/>
    <w:rsid w:val="00650039"/>
    <w:rsid w:val="0065003D"/>
    <w:rsid w:val="0065009C"/>
    <w:rsid w:val="006500B3"/>
    <w:rsid w:val="00650110"/>
    <w:rsid w:val="0065015E"/>
    <w:rsid w:val="00650160"/>
    <w:rsid w:val="00650185"/>
    <w:rsid w:val="006501D5"/>
    <w:rsid w:val="006501FB"/>
    <w:rsid w:val="00650227"/>
    <w:rsid w:val="006502BC"/>
    <w:rsid w:val="006502D9"/>
    <w:rsid w:val="0065032E"/>
    <w:rsid w:val="0065036F"/>
    <w:rsid w:val="0065041F"/>
    <w:rsid w:val="00650434"/>
    <w:rsid w:val="006504A4"/>
    <w:rsid w:val="006504AD"/>
    <w:rsid w:val="006504CA"/>
    <w:rsid w:val="006504E2"/>
    <w:rsid w:val="00650506"/>
    <w:rsid w:val="00650507"/>
    <w:rsid w:val="0065057C"/>
    <w:rsid w:val="00650582"/>
    <w:rsid w:val="006505FC"/>
    <w:rsid w:val="00650615"/>
    <w:rsid w:val="00650620"/>
    <w:rsid w:val="0065067C"/>
    <w:rsid w:val="00650682"/>
    <w:rsid w:val="00650712"/>
    <w:rsid w:val="00650758"/>
    <w:rsid w:val="0065075C"/>
    <w:rsid w:val="00650767"/>
    <w:rsid w:val="00650775"/>
    <w:rsid w:val="00650810"/>
    <w:rsid w:val="00650850"/>
    <w:rsid w:val="0065087C"/>
    <w:rsid w:val="00650937"/>
    <w:rsid w:val="00650960"/>
    <w:rsid w:val="006509CA"/>
    <w:rsid w:val="006509D3"/>
    <w:rsid w:val="00650A62"/>
    <w:rsid w:val="00650A93"/>
    <w:rsid w:val="00650A97"/>
    <w:rsid w:val="00650B2A"/>
    <w:rsid w:val="00650B8D"/>
    <w:rsid w:val="00650B8F"/>
    <w:rsid w:val="00650BCA"/>
    <w:rsid w:val="00650BEB"/>
    <w:rsid w:val="00650C52"/>
    <w:rsid w:val="00650C62"/>
    <w:rsid w:val="00650C75"/>
    <w:rsid w:val="00650C79"/>
    <w:rsid w:val="00650C87"/>
    <w:rsid w:val="00650C95"/>
    <w:rsid w:val="00650CB2"/>
    <w:rsid w:val="00650CE4"/>
    <w:rsid w:val="00650E70"/>
    <w:rsid w:val="00650EAB"/>
    <w:rsid w:val="00650ECB"/>
    <w:rsid w:val="00650EF3"/>
    <w:rsid w:val="00650F3D"/>
    <w:rsid w:val="00650F45"/>
    <w:rsid w:val="00650F72"/>
    <w:rsid w:val="00650F80"/>
    <w:rsid w:val="00650F91"/>
    <w:rsid w:val="00650FDD"/>
    <w:rsid w:val="00651023"/>
    <w:rsid w:val="00651053"/>
    <w:rsid w:val="006510B7"/>
    <w:rsid w:val="006510D7"/>
    <w:rsid w:val="006510E1"/>
    <w:rsid w:val="00651106"/>
    <w:rsid w:val="00651139"/>
    <w:rsid w:val="0065114B"/>
    <w:rsid w:val="006511DC"/>
    <w:rsid w:val="006511DE"/>
    <w:rsid w:val="006511DF"/>
    <w:rsid w:val="0065122A"/>
    <w:rsid w:val="00651257"/>
    <w:rsid w:val="0065125E"/>
    <w:rsid w:val="00651275"/>
    <w:rsid w:val="0065128D"/>
    <w:rsid w:val="00651295"/>
    <w:rsid w:val="006512C2"/>
    <w:rsid w:val="006512E8"/>
    <w:rsid w:val="006512EE"/>
    <w:rsid w:val="006512FF"/>
    <w:rsid w:val="00651339"/>
    <w:rsid w:val="0065135C"/>
    <w:rsid w:val="006513B3"/>
    <w:rsid w:val="006514C8"/>
    <w:rsid w:val="006514ED"/>
    <w:rsid w:val="006514F0"/>
    <w:rsid w:val="00651511"/>
    <w:rsid w:val="0065153E"/>
    <w:rsid w:val="00651553"/>
    <w:rsid w:val="00651598"/>
    <w:rsid w:val="006516D8"/>
    <w:rsid w:val="00651771"/>
    <w:rsid w:val="006517CA"/>
    <w:rsid w:val="00651880"/>
    <w:rsid w:val="00651934"/>
    <w:rsid w:val="0065196E"/>
    <w:rsid w:val="0065198E"/>
    <w:rsid w:val="006519AA"/>
    <w:rsid w:val="006519F0"/>
    <w:rsid w:val="00651A78"/>
    <w:rsid w:val="00651AF7"/>
    <w:rsid w:val="00651B2D"/>
    <w:rsid w:val="00651B32"/>
    <w:rsid w:val="00651B6F"/>
    <w:rsid w:val="00651BE1"/>
    <w:rsid w:val="00651CD0"/>
    <w:rsid w:val="00651D34"/>
    <w:rsid w:val="00651D3A"/>
    <w:rsid w:val="00651D67"/>
    <w:rsid w:val="00651D85"/>
    <w:rsid w:val="00651D8D"/>
    <w:rsid w:val="00651DDA"/>
    <w:rsid w:val="00651E03"/>
    <w:rsid w:val="00651F5C"/>
    <w:rsid w:val="00651F82"/>
    <w:rsid w:val="006520A2"/>
    <w:rsid w:val="006520BB"/>
    <w:rsid w:val="00652121"/>
    <w:rsid w:val="00652147"/>
    <w:rsid w:val="006521AA"/>
    <w:rsid w:val="006521AE"/>
    <w:rsid w:val="00652212"/>
    <w:rsid w:val="00652214"/>
    <w:rsid w:val="00652286"/>
    <w:rsid w:val="00652336"/>
    <w:rsid w:val="006524BE"/>
    <w:rsid w:val="00652559"/>
    <w:rsid w:val="0065258B"/>
    <w:rsid w:val="00652591"/>
    <w:rsid w:val="006525E1"/>
    <w:rsid w:val="006525F0"/>
    <w:rsid w:val="00652613"/>
    <w:rsid w:val="00652630"/>
    <w:rsid w:val="00652662"/>
    <w:rsid w:val="006526A7"/>
    <w:rsid w:val="006526CC"/>
    <w:rsid w:val="006526D9"/>
    <w:rsid w:val="006526FE"/>
    <w:rsid w:val="00652722"/>
    <w:rsid w:val="0065272A"/>
    <w:rsid w:val="00652748"/>
    <w:rsid w:val="0065281D"/>
    <w:rsid w:val="00652820"/>
    <w:rsid w:val="00652838"/>
    <w:rsid w:val="006528AC"/>
    <w:rsid w:val="00652947"/>
    <w:rsid w:val="00652995"/>
    <w:rsid w:val="006529B2"/>
    <w:rsid w:val="006529C7"/>
    <w:rsid w:val="00652A0F"/>
    <w:rsid w:val="00652A3B"/>
    <w:rsid w:val="00652A44"/>
    <w:rsid w:val="00652A64"/>
    <w:rsid w:val="00652A7B"/>
    <w:rsid w:val="00652AA4"/>
    <w:rsid w:val="00652B00"/>
    <w:rsid w:val="00652B04"/>
    <w:rsid w:val="00652B61"/>
    <w:rsid w:val="00652B6C"/>
    <w:rsid w:val="00652B8E"/>
    <w:rsid w:val="00652BB7"/>
    <w:rsid w:val="00652BF1"/>
    <w:rsid w:val="00652C00"/>
    <w:rsid w:val="00652C5E"/>
    <w:rsid w:val="00652C69"/>
    <w:rsid w:val="00652CAD"/>
    <w:rsid w:val="00652D45"/>
    <w:rsid w:val="00652D88"/>
    <w:rsid w:val="00652DC2"/>
    <w:rsid w:val="00652DE9"/>
    <w:rsid w:val="00652E07"/>
    <w:rsid w:val="00652E6B"/>
    <w:rsid w:val="00652E78"/>
    <w:rsid w:val="00652EDA"/>
    <w:rsid w:val="00652EDC"/>
    <w:rsid w:val="00652F33"/>
    <w:rsid w:val="00652F40"/>
    <w:rsid w:val="00652FA1"/>
    <w:rsid w:val="00652FA9"/>
    <w:rsid w:val="00652FBD"/>
    <w:rsid w:val="00653055"/>
    <w:rsid w:val="006530C9"/>
    <w:rsid w:val="0065314E"/>
    <w:rsid w:val="0065320F"/>
    <w:rsid w:val="00653231"/>
    <w:rsid w:val="00653233"/>
    <w:rsid w:val="0065324C"/>
    <w:rsid w:val="00653264"/>
    <w:rsid w:val="0065329A"/>
    <w:rsid w:val="006532D8"/>
    <w:rsid w:val="006532FF"/>
    <w:rsid w:val="006533B2"/>
    <w:rsid w:val="006533CA"/>
    <w:rsid w:val="0065344E"/>
    <w:rsid w:val="006534FF"/>
    <w:rsid w:val="0065353D"/>
    <w:rsid w:val="0065354B"/>
    <w:rsid w:val="00653591"/>
    <w:rsid w:val="00653596"/>
    <w:rsid w:val="00653598"/>
    <w:rsid w:val="0065362E"/>
    <w:rsid w:val="006536F0"/>
    <w:rsid w:val="006536F7"/>
    <w:rsid w:val="006536FB"/>
    <w:rsid w:val="0065371A"/>
    <w:rsid w:val="00653724"/>
    <w:rsid w:val="00653772"/>
    <w:rsid w:val="006537A1"/>
    <w:rsid w:val="006537DD"/>
    <w:rsid w:val="006537E9"/>
    <w:rsid w:val="00653879"/>
    <w:rsid w:val="00653891"/>
    <w:rsid w:val="006538C0"/>
    <w:rsid w:val="00653901"/>
    <w:rsid w:val="00653959"/>
    <w:rsid w:val="0065397A"/>
    <w:rsid w:val="00653981"/>
    <w:rsid w:val="00653991"/>
    <w:rsid w:val="00653998"/>
    <w:rsid w:val="006539B7"/>
    <w:rsid w:val="006539FD"/>
    <w:rsid w:val="00653A05"/>
    <w:rsid w:val="00653A20"/>
    <w:rsid w:val="00653A5E"/>
    <w:rsid w:val="00653ABA"/>
    <w:rsid w:val="00653AF7"/>
    <w:rsid w:val="00653AFF"/>
    <w:rsid w:val="00653B01"/>
    <w:rsid w:val="00653B8A"/>
    <w:rsid w:val="00653BB9"/>
    <w:rsid w:val="00653BCC"/>
    <w:rsid w:val="00653BDC"/>
    <w:rsid w:val="00653C09"/>
    <w:rsid w:val="00653C48"/>
    <w:rsid w:val="00653CD5"/>
    <w:rsid w:val="00653D90"/>
    <w:rsid w:val="00653DF1"/>
    <w:rsid w:val="00653E0E"/>
    <w:rsid w:val="00653E22"/>
    <w:rsid w:val="00653E5F"/>
    <w:rsid w:val="00653E9D"/>
    <w:rsid w:val="00653F01"/>
    <w:rsid w:val="00653F6C"/>
    <w:rsid w:val="00653FA7"/>
    <w:rsid w:val="00653FA8"/>
    <w:rsid w:val="00653FD0"/>
    <w:rsid w:val="0065402E"/>
    <w:rsid w:val="00654034"/>
    <w:rsid w:val="006540C0"/>
    <w:rsid w:val="00654100"/>
    <w:rsid w:val="00654130"/>
    <w:rsid w:val="00654135"/>
    <w:rsid w:val="006541FA"/>
    <w:rsid w:val="00654230"/>
    <w:rsid w:val="00654274"/>
    <w:rsid w:val="006542C2"/>
    <w:rsid w:val="006542EE"/>
    <w:rsid w:val="0065439B"/>
    <w:rsid w:val="006543A4"/>
    <w:rsid w:val="006543F4"/>
    <w:rsid w:val="006544AA"/>
    <w:rsid w:val="00654507"/>
    <w:rsid w:val="0065451D"/>
    <w:rsid w:val="00654572"/>
    <w:rsid w:val="006545A5"/>
    <w:rsid w:val="00654634"/>
    <w:rsid w:val="0065469C"/>
    <w:rsid w:val="006546AB"/>
    <w:rsid w:val="00654708"/>
    <w:rsid w:val="00654795"/>
    <w:rsid w:val="0065479B"/>
    <w:rsid w:val="006547E8"/>
    <w:rsid w:val="00654801"/>
    <w:rsid w:val="00654817"/>
    <w:rsid w:val="00654864"/>
    <w:rsid w:val="00654896"/>
    <w:rsid w:val="006548B6"/>
    <w:rsid w:val="006548CD"/>
    <w:rsid w:val="00654968"/>
    <w:rsid w:val="0065497D"/>
    <w:rsid w:val="0065498E"/>
    <w:rsid w:val="0065499E"/>
    <w:rsid w:val="006549CA"/>
    <w:rsid w:val="006549CB"/>
    <w:rsid w:val="006549E9"/>
    <w:rsid w:val="00654A23"/>
    <w:rsid w:val="00654A35"/>
    <w:rsid w:val="00654A64"/>
    <w:rsid w:val="00654B1C"/>
    <w:rsid w:val="00654B26"/>
    <w:rsid w:val="00654B4C"/>
    <w:rsid w:val="00654BAD"/>
    <w:rsid w:val="00654BC9"/>
    <w:rsid w:val="00654BDB"/>
    <w:rsid w:val="00654C2E"/>
    <w:rsid w:val="00654C75"/>
    <w:rsid w:val="00654C81"/>
    <w:rsid w:val="00654C95"/>
    <w:rsid w:val="00654CA1"/>
    <w:rsid w:val="00654D17"/>
    <w:rsid w:val="00654D18"/>
    <w:rsid w:val="00654D47"/>
    <w:rsid w:val="00654D6F"/>
    <w:rsid w:val="00654D82"/>
    <w:rsid w:val="00654DF0"/>
    <w:rsid w:val="00654E1C"/>
    <w:rsid w:val="00654E32"/>
    <w:rsid w:val="00654E62"/>
    <w:rsid w:val="00654E9C"/>
    <w:rsid w:val="00654EE0"/>
    <w:rsid w:val="00654EE1"/>
    <w:rsid w:val="00654F19"/>
    <w:rsid w:val="00654F35"/>
    <w:rsid w:val="00654FC3"/>
    <w:rsid w:val="00654FF9"/>
    <w:rsid w:val="0065503C"/>
    <w:rsid w:val="00655048"/>
    <w:rsid w:val="0065505C"/>
    <w:rsid w:val="006550C4"/>
    <w:rsid w:val="006550FC"/>
    <w:rsid w:val="006551DC"/>
    <w:rsid w:val="006552B9"/>
    <w:rsid w:val="006552C5"/>
    <w:rsid w:val="0065531C"/>
    <w:rsid w:val="0065532C"/>
    <w:rsid w:val="0065535B"/>
    <w:rsid w:val="0065535D"/>
    <w:rsid w:val="006553B4"/>
    <w:rsid w:val="006553B8"/>
    <w:rsid w:val="006553C7"/>
    <w:rsid w:val="006553E5"/>
    <w:rsid w:val="00655478"/>
    <w:rsid w:val="006554B3"/>
    <w:rsid w:val="006554C7"/>
    <w:rsid w:val="00655542"/>
    <w:rsid w:val="00655545"/>
    <w:rsid w:val="00655563"/>
    <w:rsid w:val="006555A8"/>
    <w:rsid w:val="006555AC"/>
    <w:rsid w:val="006555FB"/>
    <w:rsid w:val="00655637"/>
    <w:rsid w:val="00655647"/>
    <w:rsid w:val="0065564E"/>
    <w:rsid w:val="00655689"/>
    <w:rsid w:val="0065571B"/>
    <w:rsid w:val="0065572E"/>
    <w:rsid w:val="006557B4"/>
    <w:rsid w:val="00655809"/>
    <w:rsid w:val="006558CC"/>
    <w:rsid w:val="00655A38"/>
    <w:rsid w:val="00655A5E"/>
    <w:rsid w:val="00655A75"/>
    <w:rsid w:val="00655BFD"/>
    <w:rsid w:val="00655C8F"/>
    <w:rsid w:val="00655CC3"/>
    <w:rsid w:val="00655CFB"/>
    <w:rsid w:val="00655D1A"/>
    <w:rsid w:val="00655DDA"/>
    <w:rsid w:val="00655DDB"/>
    <w:rsid w:val="00655DE4"/>
    <w:rsid w:val="00655E20"/>
    <w:rsid w:val="00655E3F"/>
    <w:rsid w:val="00655E46"/>
    <w:rsid w:val="00655E4C"/>
    <w:rsid w:val="00655E54"/>
    <w:rsid w:val="00655E85"/>
    <w:rsid w:val="00655E93"/>
    <w:rsid w:val="00655F15"/>
    <w:rsid w:val="00655F63"/>
    <w:rsid w:val="00655FDE"/>
    <w:rsid w:val="00656046"/>
    <w:rsid w:val="006560B0"/>
    <w:rsid w:val="006560BC"/>
    <w:rsid w:val="006561FB"/>
    <w:rsid w:val="006561FC"/>
    <w:rsid w:val="0065622D"/>
    <w:rsid w:val="00656255"/>
    <w:rsid w:val="00656305"/>
    <w:rsid w:val="0065630C"/>
    <w:rsid w:val="00656365"/>
    <w:rsid w:val="0065641C"/>
    <w:rsid w:val="0065642C"/>
    <w:rsid w:val="0065659C"/>
    <w:rsid w:val="006565E8"/>
    <w:rsid w:val="00656622"/>
    <w:rsid w:val="00656627"/>
    <w:rsid w:val="00656636"/>
    <w:rsid w:val="00656674"/>
    <w:rsid w:val="0065667C"/>
    <w:rsid w:val="0065668B"/>
    <w:rsid w:val="0065670D"/>
    <w:rsid w:val="00656823"/>
    <w:rsid w:val="00656834"/>
    <w:rsid w:val="00656844"/>
    <w:rsid w:val="00656895"/>
    <w:rsid w:val="006568C2"/>
    <w:rsid w:val="006569FF"/>
    <w:rsid w:val="00656A2C"/>
    <w:rsid w:val="00656ACA"/>
    <w:rsid w:val="00656AE2"/>
    <w:rsid w:val="00656AF0"/>
    <w:rsid w:val="00656B1D"/>
    <w:rsid w:val="00656B9C"/>
    <w:rsid w:val="00656BF3"/>
    <w:rsid w:val="00656C24"/>
    <w:rsid w:val="00656CBA"/>
    <w:rsid w:val="00656D10"/>
    <w:rsid w:val="00656D4B"/>
    <w:rsid w:val="00656D82"/>
    <w:rsid w:val="00656DAD"/>
    <w:rsid w:val="00656E03"/>
    <w:rsid w:val="00656E24"/>
    <w:rsid w:val="00656E49"/>
    <w:rsid w:val="00656E61"/>
    <w:rsid w:val="00656EBF"/>
    <w:rsid w:val="00656F36"/>
    <w:rsid w:val="00656F44"/>
    <w:rsid w:val="00656F5A"/>
    <w:rsid w:val="00656F8A"/>
    <w:rsid w:val="00657012"/>
    <w:rsid w:val="0065705F"/>
    <w:rsid w:val="00657085"/>
    <w:rsid w:val="006570F4"/>
    <w:rsid w:val="0065715F"/>
    <w:rsid w:val="0065717D"/>
    <w:rsid w:val="00657193"/>
    <w:rsid w:val="0065719B"/>
    <w:rsid w:val="00657204"/>
    <w:rsid w:val="0065725E"/>
    <w:rsid w:val="00657272"/>
    <w:rsid w:val="0065734E"/>
    <w:rsid w:val="0065735B"/>
    <w:rsid w:val="006573D5"/>
    <w:rsid w:val="006573FB"/>
    <w:rsid w:val="0065741A"/>
    <w:rsid w:val="0065744A"/>
    <w:rsid w:val="0065748B"/>
    <w:rsid w:val="006574A8"/>
    <w:rsid w:val="006574D2"/>
    <w:rsid w:val="00657561"/>
    <w:rsid w:val="0065756C"/>
    <w:rsid w:val="0065757C"/>
    <w:rsid w:val="006575CB"/>
    <w:rsid w:val="006575E8"/>
    <w:rsid w:val="00657619"/>
    <w:rsid w:val="0065761C"/>
    <w:rsid w:val="006576BD"/>
    <w:rsid w:val="0065777D"/>
    <w:rsid w:val="00657788"/>
    <w:rsid w:val="00657789"/>
    <w:rsid w:val="0065779B"/>
    <w:rsid w:val="006577E6"/>
    <w:rsid w:val="0065784A"/>
    <w:rsid w:val="0065793C"/>
    <w:rsid w:val="00657943"/>
    <w:rsid w:val="00657973"/>
    <w:rsid w:val="0065797C"/>
    <w:rsid w:val="00657999"/>
    <w:rsid w:val="006579A2"/>
    <w:rsid w:val="006579AA"/>
    <w:rsid w:val="006579C4"/>
    <w:rsid w:val="006579C6"/>
    <w:rsid w:val="00657A12"/>
    <w:rsid w:val="00657A33"/>
    <w:rsid w:val="00657A47"/>
    <w:rsid w:val="00657A92"/>
    <w:rsid w:val="00657A9F"/>
    <w:rsid w:val="00657B5B"/>
    <w:rsid w:val="00657B66"/>
    <w:rsid w:val="00657BA2"/>
    <w:rsid w:val="00657BCF"/>
    <w:rsid w:val="00657C1A"/>
    <w:rsid w:val="00657C56"/>
    <w:rsid w:val="00657C64"/>
    <w:rsid w:val="00657CC9"/>
    <w:rsid w:val="00657D52"/>
    <w:rsid w:val="00657D79"/>
    <w:rsid w:val="00657DC8"/>
    <w:rsid w:val="00657DD3"/>
    <w:rsid w:val="00657E11"/>
    <w:rsid w:val="00657E1D"/>
    <w:rsid w:val="00657F64"/>
    <w:rsid w:val="0066007B"/>
    <w:rsid w:val="0066009E"/>
    <w:rsid w:val="006600C9"/>
    <w:rsid w:val="006600E9"/>
    <w:rsid w:val="00660127"/>
    <w:rsid w:val="0066012F"/>
    <w:rsid w:val="00660171"/>
    <w:rsid w:val="0066019B"/>
    <w:rsid w:val="006601A7"/>
    <w:rsid w:val="006601F3"/>
    <w:rsid w:val="00660307"/>
    <w:rsid w:val="00660315"/>
    <w:rsid w:val="0066033A"/>
    <w:rsid w:val="0066037C"/>
    <w:rsid w:val="0066041A"/>
    <w:rsid w:val="0066044A"/>
    <w:rsid w:val="006604B2"/>
    <w:rsid w:val="0066071C"/>
    <w:rsid w:val="0066077E"/>
    <w:rsid w:val="00660841"/>
    <w:rsid w:val="0066096C"/>
    <w:rsid w:val="00660972"/>
    <w:rsid w:val="00660A31"/>
    <w:rsid w:val="00660A6B"/>
    <w:rsid w:val="00660A75"/>
    <w:rsid w:val="00660A7E"/>
    <w:rsid w:val="00660AD7"/>
    <w:rsid w:val="00660B30"/>
    <w:rsid w:val="00660B44"/>
    <w:rsid w:val="00660B8B"/>
    <w:rsid w:val="00660B9E"/>
    <w:rsid w:val="00660CF9"/>
    <w:rsid w:val="00660D0D"/>
    <w:rsid w:val="00660D2C"/>
    <w:rsid w:val="00660DAF"/>
    <w:rsid w:val="00660DD9"/>
    <w:rsid w:val="00660E0D"/>
    <w:rsid w:val="00660E7D"/>
    <w:rsid w:val="00660E82"/>
    <w:rsid w:val="00660EE5"/>
    <w:rsid w:val="00660F24"/>
    <w:rsid w:val="00660FB9"/>
    <w:rsid w:val="00660FBC"/>
    <w:rsid w:val="0066100E"/>
    <w:rsid w:val="00661036"/>
    <w:rsid w:val="00661060"/>
    <w:rsid w:val="006610B3"/>
    <w:rsid w:val="006610BA"/>
    <w:rsid w:val="0066113D"/>
    <w:rsid w:val="0066121F"/>
    <w:rsid w:val="0066137E"/>
    <w:rsid w:val="0066142B"/>
    <w:rsid w:val="00661453"/>
    <w:rsid w:val="00661536"/>
    <w:rsid w:val="0066153A"/>
    <w:rsid w:val="00661570"/>
    <w:rsid w:val="00661589"/>
    <w:rsid w:val="006615CF"/>
    <w:rsid w:val="006615EC"/>
    <w:rsid w:val="006615F5"/>
    <w:rsid w:val="006615F9"/>
    <w:rsid w:val="00661747"/>
    <w:rsid w:val="0066180A"/>
    <w:rsid w:val="0066181B"/>
    <w:rsid w:val="006618C0"/>
    <w:rsid w:val="00661985"/>
    <w:rsid w:val="006619A9"/>
    <w:rsid w:val="006619EB"/>
    <w:rsid w:val="00661A00"/>
    <w:rsid w:val="00661A24"/>
    <w:rsid w:val="00661A5A"/>
    <w:rsid w:val="00661A63"/>
    <w:rsid w:val="00661A90"/>
    <w:rsid w:val="00661A92"/>
    <w:rsid w:val="00661AA6"/>
    <w:rsid w:val="00661ADE"/>
    <w:rsid w:val="00661AEF"/>
    <w:rsid w:val="00661B1E"/>
    <w:rsid w:val="00661B4D"/>
    <w:rsid w:val="00661BDC"/>
    <w:rsid w:val="00661C33"/>
    <w:rsid w:val="00661CAC"/>
    <w:rsid w:val="00661CBB"/>
    <w:rsid w:val="00661CDB"/>
    <w:rsid w:val="00661D15"/>
    <w:rsid w:val="00661DBF"/>
    <w:rsid w:val="00661DF8"/>
    <w:rsid w:val="00661F19"/>
    <w:rsid w:val="00661FDD"/>
    <w:rsid w:val="00662021"/>
    <w:rsid w:val="00662038"/>
    <w:rsid w:val="00662042"/>
    <w:rsid w:val="0066207E"/>
    <w:rsid w:val="00662089"/>
    <w:rsid w:val="00662094"/>
    <w:rsid w:val="006620A4"/>
    <w:rsid w:val="006620EA"/>
    <w:rsid w:val="00662158"/>
    <w:rsid w:val="006621A8"/>
    <w:rsid w:val="006621AB"/>
    <w:rsid w:val="006621B5"/>
    <w:rsid w:val="006621BC"/>
    <w:rsid w:val="006621C2"/>
    <w:rsid w:val="00662242"/>
    <w:rsid w:val="00662245"/>
    <w:rsid w:val="00662269"/>
    <w:rsid w:val="006622D1"/>
    <w:rsid w:val="0066231A"/>
    <w:rsid w:val="00662323"/>
    <w:rsid w:val="00662330"/>
    <w:rsid w:val="0066237B"/>
    <w:rsid w:val="006623A2"/>
    <w:rsid w:val="006623CE"/>
    <w:rsid w:val="006623F2"/>
    <w:rsid w:val="0066240F"/>
    <w:rsid w:val="0066249A"/>
    <w:rsid w:val="0066249F"/>
    <w:rsid w:val="00662533"/>
    <w:rsid w:val="00662561"/>
    <w:rsid w:val="00662581"/>
    <w:rsid w:val="006625B8"/>
    <w:rsid w:val="006625C5"/>
    <w:rsid w:val="0066266B"/>
    <w:rsid w:val="00662671"/>
    <w:rsid w:val="00662688"/>
    <w:rsid w:val="006626A0"/>
    <w:rsid w:val="006626BA"/>
    <w:rsid w:val="006626C6"/>
    <w:rsid w:val="006626D1"/>
    <w:rsid w:val="00662712"/>
    <w:rsid w:val="00662731"/>
    <w:rsid w:val="00662794"/>
    <w:rsid w:val="006627DE"/>
    <w:rsid w:val="006628A2"/>
    <w:rsid w:val="006628B5"/>
    <w:rsid w:val="0066292C"/>
    <w:rsid w:val="00662931"/>
    <w:rsid w:val="00662956"/>
    <w:rsid w:val="00662996"/>
    <w:rsid w:val="00662A33"/>
    <w:rsid w:val="00662A48"/>
    <w:rsid w:val="00662A62"/>
    <w:rsid w:val="00662A7C"/>
    <w:rsid w:val="00662B25"/>
    <w:rsid w:val="00662B4F"/>
    <w:rsid w:val="00662B51"/>
    <w:rsid w:val="00662B6E"/>
    <w:rsid w:val="00662C86"/>
    <w:rsid w:val="00662C93"/>
    <w:rsid w:val="00662CE6"/>
    <w:rsid w:val="00662CE9"/>
    <w:rsid w:val="00662D45"/>
    <w:rsid w:val="00662D6F"/>
    <w:rsid w:val="00662DDA"/>
    <w:rsid w:val="00662E30"/>
    <w:rsid w:val="00662E8E"/>
    <w:rsid w:val="00662F03"/>
    <w:rsid w:val="00662F28"/>
    <w:rsid w:val="00662FAF"/>
    <w:rsid w:val="0066301B"/>
    <w:rsid w:val="00663041"/>
    <w:rsid w:val="00663050"/>
    <w:rsid w:val="00663062"/>
    <w:rsid w:val="00663100"/>
    <w:rsid w:val="0066319A"/>
    <w:rsid w:val="006631B3"/>
    <w:rsid w:val="0066325C"/>
    <w:rsid w:val="006632D3"/>
    <w:rsid w:val="00663309"/>
    <w:rsid w:val="00663351"/>
    <w:rsid w:val="0066343B"/>
    <w:rsid w:val="0066344C"/>
    <w:rsid w:val="0066348D"/>
    <w:rsid w:val="006634B0"/>
    <w:rsid w:val="00663584"/>
    <w:rsid w:val="006635AE"/>
    <w:rsid w:val="006635E5"/>
    <w:rsid w:val="00663633"/>
    <w:rsid w:val="00663635"/>
    <w:rsid w:val="006636A4"/>
    <w:rsid w:val="006636DA"/>
    <w:rsid w:val="006636E0"/>
    <w:rsid w:val="00663705"/>
    <w:rsid w:val="00663754"/>
    <w:rsid w:val="00663772"/>
    <w:rsid w:val="006637ED"/>
    <w:rsid w:val="0066381B"/>
    <w:rsid w:val="0066388A"/>
    <w:rsid w:val="006638A5"/>
    <w:rsid w:val="006638A6"/>
    <w:rsid w:val="006638C3"/>
    <w:rsid w:val="006638F3"/>
    <w:rsid w:val="0066393A"/>
    <w:rsid w:val="00663A11"/>
    <w:rsid w:val="00663A5C"/>
    <w:rsid w:val="00663B5D"/>
    <w:rsid w:val="00663B76"/>
    <w:rsid w:val="00663BCD"/>
    <w:rsid w:val="00663BD9"/>
    <w:rsid w:val="00663BF4"/>
    <w:rsid w:val="00663BF5"/>
    <w:rsid w:val="00663C18"/>
    <w:rsid w:val="00663C20"/>
    <w:rsid w:val="00663D04"/>
    <w:rsid w:val="00663D90"/>
    <w:rsid w:val="00663DBC"/>
    <w:rsid w:val="00663E06"/>
    <w:rsid w:val="00663E1A"/>
    <w:rsid w:val="00663E6F"/>
    <w:rsid w:val="00663E7C"/>
    <w:rsid w:val="00663ECA"/>
    <w:rsid w:val="00663EF8"/>
    <w:rsid w:val="00663F0F"/>
    <w:rsid w:val="00663F11"/>
    <w:rsid w:val="00663F75"/>
    <w:rsid w:val="00663F9E"/>
    <w:rsid w:val="00663FA7"/>
    <w:rsid w:val="00664026"/>
    <w:rsid w:val="006640BB"/>
    <w:rsid w:val="00664109"/>
    <w:rsid w:val="0066419F"/>
    <w:rsid w:val="006641A1"/>
    <w:rsid w:val="0066421F"/>
    <w:rsid w:val="0066422C"/>
    <w:rsid w:val="0066432E"/>
    <w:rsid w:val="00664386"/>
    <w:rsid w:val="0066438D"/>
    <w:rsid w:val="0066438E"/>
    <w:rsid w:val="00664415"/>
    <w:rsid w:val="00664442"/>
    <w:rsid w:val="006644A9"/>
    <w:rsid w:val="006644EF"/>
    <w:rsid w:val="006644FD"/>
    <w:rsid w:val="0066455A"/>
    <w:rsid w:val="00664578"/>
    <w:rsid w:val="0066467F"/>
    <w:rsid w:val="00664698"/>
    <w:rsid w:val="006646F2"/>
    <w:rsid w:val="00664752"/>
    <w:rsid w:val="00664776"/>
    <w:rsid w:val="0066477F"/>
    <w:rsid w:val="0066478E"/>
    <w:rsid w:val="0066483A"/>
    <w:rsid w:val="00664888"/>
    <w:rsid w:val="006648A6"/>
    <w:rsid w:val="0066490D"/>
    <w:rsid w:val="00664975"/>
    <w:rsid w:val="006649B1"/>
    <w:rsid w:val="006649EF"/>
    <w:rsid w:val="00664A76"/>
    <w:rsid w:val="00664A89"/>
    <w:rsid w:val="00664B32"/>
    <w:rsid w:val="00664B8B"/>
    <w:rsid w:val="00664B95"/>
    <w:rsid w:val="00664BBF"/>
    <w:rsid w:val="00664BC2"/>
    <w:rsid w:val="00664BE3"/>
    <w:rsid w:val="00664BF1"/>
    <w:rsid w:val="00664C0C"/>
    <w:rsid w:val="00664C0D"/>
    <w:rsid w:val="00664C23"/>
    <w:rsid w:val="00664C4A"/>
    <w:rsid w:val="00664CA1"/>
    <w:rsid w:val="00664D46"/>
    <w:rsid w:val="00664D4E"/>
    <w:rsid w:val="00664D56"/>
    <w:rsid w:val="00664DCC"/>
    <w:rsid w:val="00664E18"/>
    <w:rsid w:val="00664E9F"/>
    <w:rsid w:val="00664F44"/>
    <w:rsid w:val="00664F93"/>
    <w:rsid w:val="00664FA9"/>
    <w:rsid w:val="00664FAA"/>
    <w:rsid w:val="00665040"/>
    <w:rsid w:val="00665089"/>
    <w:rsid w:val="006650E5"/>
    <w:rsid w:val="00665104"/>
    <w:rsid w:val="00665132"/>
    <w:rsid w:val="006651E2"/>
    <w:rsid w:val="006651EF"/>
    <w:rsid w:val="00665231"/>
    <w:rsid w:val="00665253"/>
    <w:rsid w:val="00665286"/>
    <w:rsid w:val="0066528A"/>
    <w:rsid w:val="00665340"/>
    <w:rsid w:val="00665341"/>
    <w:rsid w:val="00665346"/>
    <w:rsid w:val="00665350"/>
    <w:rsid w:val="00665357"/>
    <w:rsid w:val="00665370"/>
    <w:rsid w:val="006653A7"/>
    <w:rsid w:val="006653C5"/>
    <w:rsid w:val="006653EB"/>
    <w:rsid w:val="006653F9"/>
    <w:rsid w:val="0066541E"/>
    <w:rsid w:val="0066543A"/>
    <w:rsid w:val="0066543B"/>
    <w:rsid w:val="00665482"/>
    <w:rsid w:val="006655A6"/>
    <w:rsid w:val="006655DE"/>
    <w:rsid w:val="0066560E"/>
    <w:rsid w:val="00665625"/>
    <w:rsid w:val="00665682"/>
    <w:rsid w:val="006656EA"/>
    <w:rsid w:val="00665783"/>
    <w:rsid w:val="00665784"/>
    <w:rsid w:val="006657D8"/>
    <w:rsid w:val="006658B3"/>
    <w:rsid w:val="00665912"/>
    <w:rsid w:val="00665955"/>
    <w:rsid w:val="0066597B"/>
    <w:rsid w:val="00665A42"/>
    <w:rsid w:val="00665A65"/>
    <w:rsid w:val="00665ACD"/>
    <w:rsid w:val="00665ADD"/>
    <w:rsid w:val="00665AF2"/>
    <w:rsid w:val="00665B76"/>
    <w:rsid w:val="00665BB2"/>
    <w:rsid w:val="00665BBB"/>
    <w:rsid w:val="00665C29"/>
    <w:rsid w:val="00665C66"/>
    <w:rsid w:val="00665C7B"/>
    <w:rsid w:val="00665CB4"/>
    <w:rsid w:val="00665D38"/>
    <w:rsid w:val="00665D63"/>
    <w:rsid w:val="00665DC1"/>
    <w:rsid w:val="00665E11"/>
    <w:rsid w:val="00665E7B"/>
    <w:rsid w:val="00665EA9"/>
    <w:rsid w:val="00665EF4"/>
    <w:rsid w:val="00665EFB"/>
    <w:rsid w:val="00665F15"/>
    <w:rsid w:val="00665F87"/>
    <w:rsid w:val="00666017"/>
    <w:rsid w:val="006660A1"/>
    <w:rsid w:val="006660B5"/>
    <w:rsid w:val="0066614A"/>
    <w:rsid w:val="00666163"/>
    <w:rsid w:val="00666186"/>
    <w:rsid w:val="0066618E"/>
    <w:rsid w:val="006661A1"/>
    <w:rsid w:val="006661C2"/>
    <w:rsid w:val="006661C9"/>
    <w:rsid w:val="006661CE"/>
    <w:rsid w:val="0066620C"/>
    <w:rsid w:val="00666332"/>
    <w:rsid w:val="0066635A"/>
    <w:rsid w:val="0066636E"/>
    <w:rsid w:val="0066636F"/>
    <w:rsid w:val="006663CB"/>
    <w:rsid w:val="006663CD"/>
    <w:rsid w:val="00666413"/>
    <w:rsid w:val="00666477"/>
    <w:rsid w:val="0066649F"/>
    <w:rsid w:val="006664CD"/>
    <w:rsid w:val="0066651F"/>
    <w:rsid w:val="0066656E"/>
    <w:rsid w:val="00666573"/>
    <w:rsid w:val="0066657F"/>
    <w:rsid w:val="006665C7"/>
    <w:rsid w:val="0066660D"/>
    <w:rsid w:val="00666621"/>
    <w:rsid w:val="00666629"/>
    <w:rsid w:val="0066667A"/>
    <w:rsid w:val="00666684"/>
    <w:rsid w:val="00666685"/>
    <w:rsid w:val="00666732"/>
    <w:rsid w:val="00666772"/>
    <w:rsid w:val="0066678E"/>
    <w:rsid w:val="006667D9"/>
    <w:rsid w:val="00666855"/>
    <w:rsid w:val="006668AA"/>
    <w:rsid w:val="006668B3"/>
    <w:rsid w:val="006668B8"/>
    <w:rsid w:val="006668C2"/>
    <w:rsid w:val="006668D7"/>
    <w:rsid w:val="0066690F"/>
    <w:rsid w:val="00666915"/>
    <w:rsid w:val="006669C2"/>
    <w:rsid w:val="006669F5"/>
    <w:rsid w:val="00666A2A"/>
    <w:rsid w:val="00666A57"/>
    <w:rsid w:val="00666A5A"/>
    <w:rsid w:val="00666AEB"/>
    <w:rsid w:val="00666B19"/>
    <w:rsid w:val="00666B3E"/>
    <w:rsid w:val="00666B5A"/>
    <w:rsid w:val="00666B5E"/>
    <w:rsid w:val="00666BA1"/>
    <w:rsid w:val="00666BB2"/>
    <w:rsid w:val="00666BB9"/>
    <w:rsid w:val="00666BDC"/>
    <w:rsid w:val="00666BEE"/>
    <w:rsid w:val="00666C77"/>
    <w:rsid w:val="00666D1A"/>
    <w:rsid w:val="00666D59"/>
    <w:rsid w:val="00666D9B"/>
    <w:rsid w:val="00666DCC"/>
    <w:rsid w:val="00666E30"/>
    <w:rsid w:val="00666E3F"/>
    <w:rsid w:val="00666EB9"/>
    <w:rsid w:val="00666F06"/>
    <w:rsid w:val="00666F5B"/>
    <w:rsid w:val="00666FB5"/>
    <w:rsid w:val="00667060"/>
    <w:rsid w:val="006670A0"/>
    <w:rsid w:val="006670E9"/>
    <w:rsid w:val="00667104"/>
    <w:rsid w:val="00667186"/>
    <w:rsid w:val="006671AE"/>
    <w:rsid w:val="006671C1"/>
    <w:rsid w:val="006672AB"/>
    <w:rsid w:val="00667354"/>
    <w:rsid w:val="00667376"/>
    <w:rsid w:val="006673CB"/>
    <w:rsid w:val="00667446"/>
    <w:rsid w:val="00667476"/>
    <w:rsid w:val="00667572"/>
    <w:rsid w:val="006675C4"/>
    <w:rsid w:val="006675E1"/>
    <w:rsid w:val="00667604"/>
    <w:rsid w:val="00667610"/>
    <w:rsid w:val="00667668"/>
    <w:rsid w:val="00667708"/>
    <w:rsid w:val="0066770A"/>
    <w:rsid w:val="00667795"/>
    <w:rsid w:val="006677BC"/>
    <w:rsid w:val="006677DB"/>
    <w:rsid w:val="006677F0"/>
    <w:rsid w:val="006677F4"/>
    <w:rsid w:val="006678A2"/>
    <w:rsid w:val="006678D0"/>
    <w:rsid w:val="006678DB"/>
    <w:rsid w:val="006678F0"/>
    <w:rsid w:val="00667992"/>
    <w:rsid w:val="006679AA"/>
    <w:rsid w:val="006679B3"/>
    <w:rsid w:val="006679BD"/>
    <w:rsid w:val="00667A9D"/>
    <w:rsid w:val="00667ADF"/>
    <w:rsid w:val="00667AFC"/>
    <w:rsid w:val="00667B88"/>
    <w:rsid w:val="00667B90"/>
    <w:rsid w:val="00667B98"/>
    <w:rsid w:val="00667BAB"/>
    <w:rsid w:val="00667BD8"/>
    <w:rsid w:val="00667C13"/>
    <w:rsid w:val="00667C61"/>
    <w:rsid w:val="00667CA3"/>
    <w:rsid w:val="00667CE0"/>
    <w:rsid w:val="00667E43"/>
    <w:rsid w:val="00667E5A"/>
    <w:rsid w:val="00667E5C"/>
    <w:rsid w:val="00667E7F"/>
    <w:rsid w:val="00667ED4"/>
    <w:rsid w:val="00667F05"/>
    <w:rsid w:val="00667F25"/>
    <w:rsid w:val="00667F31"/>
    <w:rsid w:val="00667F74"/>
    <w:rsid w:val="00667F93"/>
    <w:rsid w:val="006700AF"/>
    <w:rsid w:val="006700B1"/>
    <w:rsid w:val="006700DD"/>
    <w:rsid w:val="00670103"/>
    <w:rsid w:val="0067014E"/>
    <w:rsid w:val="0067016A"/>
    <w:rsid w:val="0067016F"/>
    <w:rsid w:val="006701D5"/>
    <w:rsid w:val="006701EB"/>
    <w:rsid w:val="00670294"/>
    <w:rsid w:val="0067029D"/>
    <w:rsid w:val="006702C8"/>
    <w:rsid w:val="006702E0"/>
    <w:rsid w:val="0067035F"/>
    <w:rsid w:val="00670370"/>
    <w:rsid w:val="0067054E"/>
    <w:rsid w:val="00670585"/>
    <w:rsid w:val="00670630"/>
    <w:rsid w:val="00670680"/>
    <w:rsid w:val="00670681"/>
    <w:rsid w:val="0067068B"/>
    <w:rsid w:val="006706C4"/>
    <w:rsid w:val="006706EC"/>
    <w:rsid w:val="00670775"/>
    <w:rsid w:val="00670883"/>
    <w:rsid w:val="006708AD"/>
    <w:rsid w:val="00670960"/>
    <w:rsid w:val="0067099F"/>
    <w:rsid w:val="006709C5"/>
    <w:rsid w:val="006709DE"/>
    <w:rsid w:val="00670A4E"/>
    <w:rsid w:val="00670A9C"/>
    <w:rsid w:val="00670AD3"/>
    <w:rsid w:val="00670AE1"/>
    <w:rsid w:val="00670B3E"/>
    <w:rsid w:val="00670B4A"/>
    <w:rsid w:val="00670B7C"/>
    <w:rsid w:val="00670BDD"/>
    <w:rsid w:val="00670BE7"/>
    <w:rsid w:val="00670C7F"/>
    <w:rsid w:val="00670C99"/>
    <w:rsid w:val="00670CB9"/>
    <w:rsid w:val="00670CD2"/>
    <w:rsid w:val="00670D04"/>
    <w:rsid w:val="00670D2F"/>
    <w:rsid w:val="00670E3A"/>
    <w:rsid w:val="00670ED5"/>
    <w:rsid w:val="00670F20"/>
    <w:rsid w:val="00670F67"/>
    <w:rsid w:val="00670FA2"/>
    <w:rsid w:val="00670FCF"/>
    <w:rsid w:val="00670FEC"/>
    <w:rsid w:val="00671047"/>
    <w:rsid w:val="006710C5"/>
    <w:rsid w:val="0067111C"/>
    <w:rsid w:val="00671134"/>
    <w:rsid w:val="0067113C"/>
    <w:rsid w:val="006711C0"/>
    <w:rsid w:val="006711EE"/>
    <w:rsid w:val="0067129C"/>
    <w:rsid w:val="0067140C"/>
    <w:rsid w:val="0067146D"/>
    <w:rsid w:val="006714E5"/>
    <w:rsid w:val="006714E9"/>
    <w:rsid w:val="006714F7"/>
    <w:rsid w:val="00671535"/>
    <w:rsid w:val="00671677"/>
    <w:rsid w:val="006716B6"/>
    <w:rsid w:val="00671788"/>
    <w:rsid w:val="006717D5"/>
    <w:rsid w:val="006717D7"/>
    <w:rsid w:val="00671847"/>
    <w:rsid w:val="006718A2"/>
    <w:rsid w:val="006718B6"/>
    <w:rsid w:val="006718E9"/>
    <w:rsid w:val="0067199D"/>
    <w:rsid w:val="00671A2D"/>
    <w:rsid w:val="00671A4D"/>
    <w:rsid w:val="00671A7E"/>
    <w:rsid w:val="00671A94"/>
    <w:rsid w:val="00671AC8"/>
    <w:rsid w:val="00671B37"/>
    <w:rsid w:val="00671B7A"/>
    <w:rsid w:val="00671BD5"/>
    <w:rsid w:val="00671BD7"/>
    <w:rsid w:val="00671BE4"/>
    <w:rsid w:val="00671BE6"/>
    <w:rsid w:val="00671C75"/>
    <w:rsid w:val="00671CB6"/>
    <w:rsid w:val="00671CC6"/>
    <w:rsid w:val="00671CEB"/>
    <w:rsid w:val="00671CFF"/>
    <w:rsid w:val="00671D2F"/>
    <w:rsid w:val="00671D40"/>
    <w:rsid w:val="00671D8E"/>
    <w:rsid w:val="00671DD6"/>
    <w:rsid w:val="00671E1A"/>
    <w:rsid w:val="00671E4C"/>
    <w:rsid w:val="00671EAF"/>
    <w:rsid w:val="00671EFD"/>
    <w:rsid w:val="00671F39"/>
    <w:rsid w:val="00671F7A"/>
    <w:rsid w:val="00671FB3"/>
    <w:rsid w:val="00671FCD"/>
    <w:rsid w:val="00672052"/>
    <w:rsid w:val="0067208B"/>
    <w:rsid w:val="00672111"/>
    <w:rsid w:val="00672117"/>
    <w:rsid w:val="0067211E"/>
    <w:rsid w:val="0067211F"/>
    <w:rsid w:val="00672136"/>
    <w:rsid w:val="006721D7"/>
    <w:rsid w:val="00672223"/>
    <w:rsid w:val="00672277"/>
    <w:rsid w:val="0067228B"/>
    <w:rsid w:val="006722B1"/>
    <w:rsid w:val="006722E4"/>
    <w:rsid w:val="006722FE"/>
    <w:rsid w:val="00672305"/>
    <w:rsid w:val="0067232C"/>
    <w:rsid w:val="00672345"/>
    <w:rsid w:val="00672372"/>
    <w:rsid w:val="0067238E"/>
    <w:rsid w:val="00672398"/>
    <w:rsid w:val="0067247F"/>
    <w:rsid w:val="006724FB"/>
    <w:rsid w:val="0067256C"/>
    <w:rsid w:val="0067259E"/>
    <w:rsid w:val="006725E8"/>
    <w:rsid w:val="006725F0"/>
    <w:rsid w:val="0067262B"/>
    <w:rsid w:val="00672685"/>
    <w:rsid w:val="006726B7"/>
    <w:rsid w:val="0067277C"/>
    <w:rsid w:val="006727A9"/>
    <w:rsid w:val="006727EE"/>
    <w:rsid w:val="00672845"/>
    <w:rsid w:val="00672849"/>
    <w:rsid w:val="00672864"/>
    <w:rsid w:val="00672894"/>
    <w:rsid w:val="006728DB"/>
    <w:rsid w:val="006729F7"/>
    <w:rsid w:val="006729FF"/>
    <w:rsid w:val="00672A66"/>
    <w:rsid w:val="00672A9A"/>
    <w:rsid w:val="00672AA5"/>
    <w:rsid w:val="00672AC6"/>
    <w:rsid w:val="00672AC9"/>
    <w:rsid w:val="00672AD3"/>
    <w:rsid w:val="00672B3B"/>
    <w:rsid w:val="00672B5F"/>
    <w:rsid w:val="00672B6E"/>
    <w:rsid w:val="00672BC0"/>
    <w:rsid w:val="00672BCD"/>
    <w:rsid w:val="00672C64"/>
    <w:rsid w:val="00672C72"/>
    <w:rsid w:val="00672CB3"/>
    <w:rsid w:val="00672D4B"/>
    <w:rsid w:val="00672DF3"/>
    <w:rsid w:val="00672E1D"/>
    <w:rsid w:val="00672E52"/>
    <w:rsid w:val="00672E59"/>
    <w:rsid w:val="00672E92"/>
    <w:rsid w:val="00672EB3"/>
    <w:rsid w:val="00672EBC"/>
    <w:rsid w:val="00672F88"/>
    <w:rsid w:val="00672F9C"/>
    <w:rsid w:val="00672FE0"/>
    <w:rsid w:val="00672FEE"/>
    <w:rsid w:val="00673071"/>
    <w:rsid w:val="00673080"/>
    <w:rsid w:val="0067310C"/>
    <w:rsid w:val="0067311A"/>
    <w:rsid w:val="0067313C"/>
    <w:rsid w:val="00673199"/>
    <w:rsid w:val="006731DC"/>
    <w:rsid w:val="0067320E"/>
    <w:rsid w:val="00673292"/>
    <w:rsid w:val="0067329D"/>
    <w:rsid w:val="006732A8"/>
    <w:rsid w:val="006732AF"/>
    <w:rsid w:val="006732B1"/>
    <w:rsid w:val="0067337D"/>
    <w:rsid w:val="00673448"/>
    <w:rsid w:val="0067344B"/>
    <w:rsid w:val="00673470"/>
    <w:rsid w:val="006734AA"/>
    <w:rsid w:val="00673519"/>
    <w:rsid w:val="006735D8"/>
    <w:rsid w:val="006735F9"/>
    <w:rsid w:val="00673695"/>
    <w:rsid w:val="006736AB"/>
    <w:rsid w:val="006736D2"/>
    <w:rsid w:val="006736FE"/>
    <w:rsid w:val="00673715"/>
    <w:rsid w:val="006737CB"/>
    <w:rsid w:val="006737FB"/>
    <w:rsid w:val="00673834"/>
    <w:rsid w:val="00673855"/>
    <w:rsid w:val="0067386F"/>
    <w:rsid w:val="00673A34"/>
    <w:rsid w:val="00673A56"/>
    <w:rsid w:val="00673B51"/>
    <w:rsid w:val="00673B6E"/>
    <w:rsid w:val="00673B8F"/>
    <w:rsid w:val="00673BE8"/>
    <w:rsid w:val="00673C0A"/>
    <w:rsid w:val="00673C4F"/>
    <w:rsid w:val="00673CEC"/>
    <w:rsid w:val="00673D1D"/>
    <w:rsid w:val="00673D91"/>
    <w:rsid w:val="00673DD3"/>
    <w:rsid w:val="00673DDD"/>
    <w:rsid w:val="00673DF2"/>
    <w:rsid w:val="00673DFC"/>
    <w:rsid w:val="00673E10"/>
    <w:rsid w:val="00673E32"/>
    <w:rsid w:val="00673E3C"/>
    <w:rsid w:val="00673E7B"/>
    <w:rsid w:val="00673E83"/>
    <w:rsid w:val="00673E8C"/>
    <w:rsid w:val="00673EF1"/>
    <w:rsid w:val="00673F76"/>
    <w:rsid w:val="00673F84"/>
    <w:rsid w:val="0067405A"/>
    <w:rsid w:val="00674076"/>
    <w:rsid w:val="00674083"/>
    <w:rsid w:val="006740A2"/>
    <w:rsid w:val="006740DC"/>
    <w:rsid w:val="006740F7"/>
    <w:rsid w:val="006740F8"/>
    <w:rsid w:val="00674190"/>
    <w:rsid w:val="006741BC"/>
    <w:rsid w:val="006741DA"/>
    <w:rsid w:val="00674207"/>
    <w:rsid w:val="0067424C"/>
    <w:rsid w:val="00674255"/>
    <w:rsid w:val="0067429C"/>
    <w:rsid w:val="006742AC"/>
    <w:rsid w:val="0067436D"/>
    <w:rsid w:val="0067438D"/>
    <w:rsid w:val="00674423"/>
    <w:rsid w:val="00674477"/>
    <w:rsid w:val="006744EB"/>
    <w:rsid w:val="00674544"/>
    <w:rsid w:val="00674553"/>
    <w:rsid w:val="00674598"/>
    <w:rsid w:val="006745C3"/>
    <w:rsid w:val="006745C5"/>
    <w:rsid w:val="00674687"/>
    <w:rsid w:val="006746AD"/>
    <w:rsid w:val="006746EE"/>
    <w:rsid w:val="0067478C"/>
    <w:rsid w:val="006747D2"/>
    <w:rsid w:val="0067480B"/>
    <w:rsid w:val="0067486B"/>
    <w:rsid w:val="0067487A"/>
    <w:rsid w:val="006748BC"/>
    <w:rsid w:val="006748ED"/>
    <w:rsid w:val="006748FD"/>
    <w:rsid w:val="0067497F"/>
    <w:rsid w:val="00674982"/>
    <w:rsid w:val="006749BA"/>
    <w:rsid w:val="00674AB2"/>
    <w:rsid w:val="00674B2E"/>
    <w:rsid w:val="00674B3F"/>
    <w:rsid w:val="00674BE3"/>
    <w:rsid w:val="00674BF1"/>
    <w:rsid w:val="00674BFF"/>
    <w:rsid w:val="00674C02"/>
    <w:rsid w:val="00674C71"/>
    <w:rsid w:val="00674D27"/>
    <w:rsid w:val="00674D3E"/>
    <w:rsid w:val="00674D58"/>
    <w:rsid w:val="00674D7F"/>
    <w:rsid w:val="00674D95"/>
    <w:rsid w:val="00674DA4"/>
    <w:rsid w:val="00674DCB"/>
    <w:rsid w:val="00674DE1"/>
    <w:rsid w:val="00674F22"/>
    <w:rsid w:val="00674F65"/>
    <w:rsid w:val="00674FA8"/>
    <w:rsid w:val="00674FC3"/>
    <w:rsid w:val="0067500C"/>
    <w:rsid w:val="0067500E"/>
    <w:rsid w:val="0067502C"/>
    <w:rsid w:val="00675080"/>
    <w:rsid w:val="00675144"/>
    <w:rsid w:val="0067517F"/>
    <w:rsid w:val="006751D7"/>
    <w:rsid w:val="006751DB"/>
    <w:rsid w:val="006751E3"/>
    <w:rsid w:val="00675242"/>
    <w:rsid w:val="00675258"/>
    <w:rsid w:val="00675277"/>
    <w:rsid w:val="00675291"/>
    <w:rsid w:val="006752F4"/>
    <w:rsid w:val="006752F7"/>
    <w:rsid w:val="00675341"/>
    <w:rsid w:val="00675370"/>
    <w:rsid w:val="00675377"/>
    <w:rsid w:val="00675396"/>
    <w:rsid w:val="006753B3"/>
    <w:rsid w:val="006753EB"/>
    <w:rsid w:val="006753F4"/>
    <w:rsid w:val="006753F5"/>
    <w:rsid w:val="0067541F"/>
    <w:rsid w:val="006754B9"/>
    <w:rsid w:val="00675553"/>
    <w:rsid w:val="006756F7"/>
    <w:rsid w:val="00675703"/>
    <w:rsid w:val="00675707"/>
    <w:rsid w:val="0067572A"/>
    <w:rsid w:val="006757BC"/>
    <w:rsid w:val="006757BE"/>
    <w:rsid w:val="006757C4"/>
    <w:rsid w:val="006757E9"/>
    <w:rsid w:val="0067582A"/>
    <w:rsid w:val="006758D9"/>
    <w:rsid w:val="00675925"/>
    <w:rsid w:val="006759A1"/>
    <w:rsid w:val="006759C3"/>
    <w:rsid w:val="006759E8"/>
    <w:rsid w:val="00675A10"/>
    <w:rsid w:val="00675A2B"/>
    <w:rsid w:val="00675A7C"/>
    <w:rsid w:val="00675B0B"/>
    <w:rsid w:val="00675B16"/>
    <w:rsid w:val="00675B29"/>
    <w:rsid w:val="00675B4E"/>
    <w:rsid w:val="00675B72"/>
    <w:rsid w:val="00675B7E"/>
    <w:rsid w:val="00675B89"/>
    <w:rsid w:val="00675B9A"/>
    <w:rsid w:val="00675BCC"/>
    <w:rsid w:val="00675C6A"/>
    <w:rsid w:val="00675C78"/>
    <w:rsid w:val="00675CDB"/>
    <w:rsid w:val="00675D02"/>
    <w:rsid w:val="00675D3E"/>
    <w:rsid w:val="00675DC4"/>
    <w:rsid w:val="00675DC5"/>
    <w:rsid w:val="00675E00"/>
    <w:rsid w:val="00675EC4"/>
    <w:rsid w:val="00675F0A"/>
    <w:rsid w:val="00675FAA"/>
    <w:rsid w:val="00675FB3"/>
    <w:rsid w:val="00675FD4"/>
    <w:rsid w:val="0067606A"/>
    <w:rsid w:val="00676188"/>
    <w:rsid w:val="006761A8"/>
    <w:rsid w:val="00676267"/>
    <w:rsid w:val="00676276"/>
    <w:rsid w:val="006762E3"/>
    <w:rsid w:val="006762FF"/>
    <w:rsid w:val="00676305"/>
    <w:rsid w:val="0067634A"/>
    <w:rsid w:val="00676364"/>
    <w:rsid w:val="0067637B"/>
    <w:rsid w:val="0067638B"/>
    <w:rsid w:val="0067649D"/>
    <w:rsid w:val="0067650F"/>
    <w:rsid w:val="00676638"/>
    <w:rsid w:val="0067665B"/>
    <w:rsid w:val="006766CD"/>
    <w:rsid w:val="006766FA"/>
    <w:rsid w:val="00676763"/>
    <w:rsid w:val="00676776"/>
    <w:rsid w:val="00676788"/>
    <w:rsid w:val="006767A6"/>
    <w:rsid w:val="00676817"/>
    <w:rsid w:val="00676858"/>
    <w:rsid w:val="0067686C"/>
    <w:rsid w:val="00676902"/>
    <w:rsid w:val="0067697F"/>
    <w:rsid w:val="006769A1"/>
    <w:rsid w:val="006769A4"/>
    <w:rsid w:val="00676A1E"/>
    <w:rsid w:val="00676A2C"/>
    <w:rsid w:val="00676AD8"/>
    <w:rsid w:val="00676AEF"/>
    <w:rsid w:val="00676B58"/>
    <w:rsid w:val="00676B97"/>
    <w:rsid w:val="00676B9E"/>
    <w:rsid w:val="00676BA7"/>
    <w:rsid w:val="00676BC2"/>
    <w:rsid w:val="00676CA5"/>
    <w:rsid w:val="00676CA8"/>
    <w:rsid w:val="00676CD6"/>
    <w:rsid w:val="00676D6E"/>
    <w:rsid w:val="00676DD0"/>
    <w:rsid w:val="00676DE0"/>
    <w:rsid w:val="00676E45"/>
    <w:rsid w:val="00676E82"/>
    <w:rsid w:val="00676EC9"/>
    <w:rsid w:val="00676ECE"/>
    <w:rsid w:val="00676F1A"/>
    <w:rsid w:val="00676F24"/>
    <w:rsid w:val="00676F44"/>
    <w:rsid w:val="00676F5F"/>
    <w:rsid w:val="00676F86"/>
    <w:rsid w:val="00676FE5"/>
    <w:rsid w:val="00676FF9"/>
    <w:rsid w:val="00677044"/>
    <w:rsid w:val="00677046"/>
    <w:rsid w:val="00677056"/>
    <w:rsid w:val="0067705E"/>
    <w:rsid w:val="006770F9"/>
    <w:rsid w:val="00677116"/>
    <w:rsid w:val="00677197"/>
    <w:rsid w:val="0067719C"/>
    <w:rsid w:val="006771CF"/>
    <w:rsid w:val="0067720E"/>
    <w:rsid w:val="00677231"/>
    <w:rsid w:val="00677248"/>
    <w:rsid w:val="006772FA"/>
    <w:rsid w:val="00677310"/>
    <w:rsid w:val="00677338"/>
    <w:rsid w:val="00677474"/>
    <w:rsid w:val="006774B5"/>
    <w:rsid w:val="006774B7"/>
    <w:rsid w:val="00677570"/>
    <w:rsid w:val="0067758E"/>
    <w:rsid w:val="006775C8"/>
    <w:rsid w:val="0067766E"/>
    <w:rsid w:val="006777D6"/>
    <w:rsid w:val="00677862"/>
    <w:rsid w:val="0067786B"/>
    <w:rsid w:val="00677A0B"/>
    <w:rsid w:val="00677A3F"/>
    <w:rsid w:val="00677AD3"/>
    <w:rsid w:val="00677AF7"/>
    <w:rsid w:val="00677B44"/>
    <w:rsid w:val="00677B7B"/>
    <w:rsid w:val="00677B85"/>
    <w:rsid w:val="00677BD9"/>
    <w:rsid w:val="00677C73"/>
    <w:rsid w:val="00677C8A"/>
    <w:rsid w:val="00677C8C"/>
    <w:rsid w:val="00677CC6"/>
    <w:rsid w:val="00677E27"/>
    <w:rsid w:val="00677E6A"/>
    <w:rsid w:val="00677EEF"/>
    <w:rsid w:val="00677EF3"/>
    <w:rsid w:val="00677F10"/>
    <w:rsid w:val="00677F9C"/>
    <w:rsid w:val="00677FB7"/>
    <w:rsid w:val="00680035"/>
    <w:rsid w:val="0068004B"/>
    <w:rsid w:val="0068006E"/>
    <w:rsid w:val="006800AF"/>
    <w:rsid w:val="006800DE"/>
    <w:rsid w:val="00680138"/>
    <w:rsid w:val="0068013F"/>
    <w:rsid w:val="0068015B"/>
    <w:rsid w:val="0068015C"/>
    <w:rsid w:val="00680189"/>
    <w:rsid w:val="006801B8"/>
    <w:rsid w:val="0068021E"/>
    <w:rsid w:val="0068024A"/>
    <w:rsid w:val="00680251"/>
    <w:rsid w:val="00680252"/>
    <w:rsid w:val="00680280"/>
    <w:rsid w:val="00680351"/>
    <w:rsid w:val="00680355"/>
    <w:rsid w:val="00680368"/>
    <w:rsid w:val="00680374"/>
    <w:rsid w:val="0068041E"/>
    <w:rsid w:val="006804AE"/>
    <w:rsid w:val="006804BA"/>
    <w:rsid w:val="006804D9"/>
    <w:rsid w:val="006804F3"/>
    <w:rsid w:val="006804FC"/>
    <w:rsid w:val="006805D3"/>
    <w:rsid w:val="006805E1"/>
    <w:rsid w:val="006805F8"/>
    <w:rsid w:val="0068070B"/>
    <w:rsid w:val="00680714"/>
    <w:rsid w:val="00680782"/>
    <w:rsid w:val="006807FA"/>
    <w:rsid w:val="006807FB"/>
    <w:rsid w:val="00680897"/>
    <w:rsid w:val="006808F6"/>
    <w:rsid w:val="00680977"/>
    <w:rsid w:val="006809FC"/>
    <w:rsid w:val="00680A21"/>
    <w:rsid w:val="00680ADC"/>
    <w:rsid w:val="00680B14"/>
    <w:rsid w:val="00680B27"/>
    <w:rsid w:val="00680BA1"/>
    <w:rsid w:val="00680C75"/>
    <w:rsid w:val="00680C81"/>
    <w:rsid w:val="00680CA3"/>
    <w:rsid w:val="00680CD7"/>
    <w:rsid w:val="00680D77"/>
    <w:rsid w:val="00680DBF"/>
    <w:rsid w:val="00680E57"/>
    <w:rsid w:val="00680E60"/>
    <w:rsid w:val="00680ED7"/>
    <w:rsid w:val="00680F08"/>
    <w:rsid w:val="00680F2C"/>
    <w:rsid w:val="00680F36"/>
    <w:rsid w:val="00680F46"/>
    <w:rsid w:val="00680F8B"/>
    <w:rsid w:val="00680FBA"/>
    <w:rsid w:val="00681089"/>
    <w:rsid w:val="006810D9"/>
    <w:rsid w:val="00681172"/>
    <w:rsid w:val="006811A5"/>
    <w:rsid w:val="006811AB"/>
    <w:rsid w:val="00681273"/>
    <w:rsid w:val="0068128E"/>
    <w:rsid w:val="0068129F"/>
    <w:rsid w:val="006812B4"/>
    <w:rsid w:val="00681322"/>
    <w:rsid w:val="006813D5"/>
    <w:rsid w:val="006813F1"/>
    <w:rsid w:val="00681416"/>
    <w:rsid w:val="00681456"/>
    <w:rsid w:val="006814D4"/>
    <w:rsid w:val="006814E4"/>
    <w:rsid w:val="00681536"/>
    <w:rsid w:val="006815B5"/>
    <w:rsid w:val="006815CB"/>
    <w:rsid w:val="00681605"/>
    <w:rsid w:val="00681630"/>
    <w:rsid w:val="00681641"/>
    <w:rsid w:val="00681677"/>
    <w:rsid w:val="006816A1"/>
    <w:rsid w:val="00681738"/>
    <w:rsid w:val="006817A5"/>
    <w:rsid w:val="006817EB"/>
    <w:rsid w:val="006817F8"/>
    <w:rsid w:val="00681810"/>
    <w:rsid w:val="0068195E"/>
    <w:rsid w:val="00681972"/>
    <w:rsid w:val="00681990"/>
    <w:rsid w:val="0068199C"/>
    <w:rsid w:val="006819B6"/>
    <w:rsid w:val="006819B7"/>
    <w:rsid w:val="00681A28"/>
    <w:rsid w:val="00681A50"/>
    <w:rsid w:val="00681A81"/>
    <w:rsid w:val="00681B99"/>
    <w:rsid w:val="00681BBC"/>
    <w:rsid w:val="00681BE6"/>
    <w:rsid w:val="00681CD0"/>
    <w:rsid w:val="00681E20"/>
    <w:rsid w:val="00681E5B"/>
    <w:rsid w:val="00681E96"/>
    <w:rsid w:val="00681EA5"/>
    <w:rsid w:val="00681F2D"/>
    <w:rsid w:val="00681F74"/>
    <w:rsid w:val="00681FE7"/>
    <w:rsid w:val="00682003"/>
    <w:rsid w:val="00682052"/>
    <w:rsid w:val="006820BA"/>
    <w:rsid w:val="006820C2"/>
    <w:rsid w:val="006820C9"/>
    <w:rsid w:val="006820F7"/>
    <w:rsid w:val="00682182"/>
    <w:rsid w:val="00682198"/>
    <w:rsid w:val="006821D0"/>
    <w:rsid w:val="00682207"/>
    <w:rsid w:val="00682245"/>
    <w:rsid w:val="0068224C"/>
    <w:rsid w:val="00682293"/>
    <w:rsid w:val="006822CD"/>
    <w:rsid w:val="00682352"/>
    <w:rsid w:val="0068239B"/>
    <w:rsid w:val="0068242F"/>
    <w:rsid w:val="00682472"/>
    <w:rsid w:val="006825B7"/>
    <w:rsid w:val="006825EF"/>
    <w:rsid w:val="00682657"/>
    <w:rsid w:val="006826BD"/>
    <w:rsid w:val="00682718"/>
    <w:rsid w:val="006827E5"/>
    <w:rsid w:val="006827EB"/>
    <w:rsid w:val="0068280E"/>
    <w:rsid w:val="0068287D"/>
    <w:rsid w:val="00682893"/>
    <w:rsid w:val="0068290E"/>
    <w:rsid w:val="00682936"/>
    <w:rsid w:val="0068293A"/>
    <w:rsid w:val="006829DD"/>
    <w:rsid w:val="00682A0C"/>
    <w:rsid w:val="00682A5C"/>
    <w:rsid w:val="00682A5E"/>
    <w:rsid w:val="00682AB5"/>
    <w:rsid w:val="00682AC3"/>
    <w:rsid w:val="00682B23"/>
    <w:rsid w:val="00682B49"/>
    <w:rsid w:val="00682BB0"/>
    <w:rsid w:val="00682BDE"/>
    <w:rsid w:val="00682C4B"/>
    <w:rsid w:val="00682CB5"/>
    <w:rsid w:val="00682CBD"/>
    <w:rsid w:val="00682CC9"/>
    <w:rsid w:val="00682CD8"/>
    <w:rsid w:val="00682D64"/>
    <w:rsid w:val="00682D9F"/>
    <w:rsid w:val="00682DA2"/>
    <w:rsid w:val="00682DE8"/>
    <w:rsid w:val="00682E0C"/>
    <w:rsid w:val="00682E7A"/>
    <w:rsid w:val="00682EB3"/>
    <w:rsid w:val="00682EF7"/>
    <w:rsid w:val="00682F4C"/>
    <w:rsid w:val="00682F55"/>
    <w:rsid w:val="00682FD8"/>
    <w:rsid w:val="00683013"/>
    <w:rsid w:val="00683057"/>
    <w:rsid w:val="00683087"/>
    <w:rsid w:val="00683129"/>
    <w:rsid w:val="006831E5"/>
    <w:rsid w:val="006831EE"/>
    <w:rsid w:val="006831FE"/>
    <w:rsid w:val="00683227"/>
    <w:rsid w:val="00683312"/>
    <w:rsid w:val="006833C3"/>
    <w:rsid w:val="00683409"/>
    <w:rsid w:val="006834CF"/>
    <w:rsid w:val="0068351F"/>
    <w:rsid w:val="00683534"/>
    <w:rsid w:val="006835C7"/>
    <w:rsid w:val="00683600"/>
    <w:rsid w:val="00683793"/>
    <w:rsid w:val="0068379A"/>
    <w:rsid w:val="006837EE"/>
    <w:rsid w:val="006837F4"/>
    <w:rsid w:val="00683827"/>
    <w:rsid w:val="00683831"/>
    <w:rsid w:val="0068384F"/>
    <w:rsid w:val="00683888"/>
    <w:rsid w:val="006838F1"/>
    <w:rsid w:val="00683953"/>
    <w:rsid w:val="006839CB"/>
    <w:rsid w:val="006839F2"/>
    <w:rsid w:val="006839F9"/>
    <w:rsid w:val="00683A11"/>
    <w:rsid w:val="00683A52"/>
    <w:rsid w:val="00683AC2"/>
    <w:rsid w:val="00683ACF"/>
    <w:rsid w:val="00683AEB"/>
    <w:rsid w:val="00683AF0"/>
    <w:rsid w:val="00683AF2"/>
    <w:rsid w:val="00683BCB"/>
    <w:rsid w:val="00683BDF"/>
    <w:rsid w:val="00683C26"/>
    <w:rsid w:val="00683C2D"/>
    <w:rsid w:val="00683C9E"/>
    <w:rsid w:val="00683D0C"/>
    <w:rsid w:val="00683D83"/>
    <w:rsid w:val="00683DA0"/>
    <w:rsid w:val="00683DA4"/>
    <w:rsid w:val="00683E21"/>
    <w:rsid w:val="00683E7A"/>
    <w:rsid w:val="00683E99"/>
    <w:rsid w:val="00683E9B"/>
    <w:rsid w:val="00683EC4"/>
    <w:rsid w:val="00683F49"/>
    <w:rsid w:val="00683F8F"/>
    <w:rsid w:val="00683FB6"/>
    <w:rsid w:val="00684043"/>
    <w:rsid w:val="00684069"/>
    <w:rsid w:val="00684071"/>
    <w:rsid w:val="006840A5"/>
    <w:rsid w:val="006840BD"/>
    <w:rsid w:val="006840D7"/>
    <w:rsid w:val="00684116"/>
    <w:rsid w:val="0068413B"/>
    <w:rsid w:val="00684184"/>
    <w:rsid w:val="00684227"/>
    <w:rsid w:val="00684276"/>
    <w:rsid w:val="00684291"/>
    <w:rsid w:val="006842E2"/>
    <w:rsid w:val="006843B4"/>
    <w:rsid w:val="00684407"/>
    <w:rsid w:val="00684457"/>
    <w:rsid w:val="006844AA"/>
    <w:rsid w:val="006845AB"/>
    <w:rsid w:val="006845C0"/>
    <w:rsid w:val="006845D6"/>
    <w:rsid w:val="0068462B"/>
    <w:rsid w:val="00684631"/>
    <w:rsid w:val="006846AD"/>
    <w:rsid w:val="006846F8"/>
    <w:rsid w:val="00684728"/>
    <w:rsid w:val="0068472F"/>
    <w:rsid w:val="0068473C"/>
    <w:rsid w:val="006847BF"/>
    <w:rsid w:val="006847CE"/>
    <w:rsid w:val="0068484D"/>
    <w:rsid w:val="006848F0"/>
    <w:rsid w:val="00684937"/>
    <w:rsid w:val="00684952"/>
    <w:rsid w:val="006849D6"/>
    <w:rsid w:val="00684A35"/>
    <w:rsid w:val="00684A51"/>
    <w:rsid w:val="00684A9F"/>
    <w:rsid w:val="00684ADF"/>
    <w:rsid w:val="00684B3E"/>
    <w:rsid w:val="00684B46"/>
    <w:rsid w:val="00684B5F"/>
    <w:rsid w:val="00684B7F"/>
    <w:rsid w:val="00684BC2"/>
    <w:rsid w:val="00684BD8"/>
    <w:rsid w:val="00684C42"/>
    <w:rsid w:val="00684C62"/>
    <w:rsid w:val="00684C66"/>
    <w:rsid w:val="00684C97"/>
    <w:rsid w:val="00684CAD"/>
    <w:rsid w:val="00684CD5"/>
    <w:rsid w:val="00684CFB"/>
    <w:rsid w:val="00684D39"/>
    <w:rsid w:val="00684DCF"/>
    <w:rsid w:val="00684DFD"/>
    <w:rsid w:val="00684E84"/>
    <w:rsid w:val="00684EAA"/>
    <w:rsid w:val="00684EEA"/>
    <w:rsid w:val="00684FD8"/>
    <w:rsid w:val="00684FE0"/>
    <w:rsid w:val="00684FF8"/>
    <w:rsid w:val="0068502D"/>
    <w:rsid w:val="00685067"/>
    <w:rsid w:val="00685070"/>
    <w:rsid w:val="006850C0"/>
    <w:rsid w:val="006850D9"/>
    <w:rsid w:val="006850DE"/>
    <w:rsid w:val="006850E3"/>
    <w:rsid w:val="0068519B"/>
    <w:rsid w:val="006851A0"/>
    <w:rsid w:val="006851E1"/>
    <w:rsid w:val="0068522A"/>
    <w:rsid w:val="006852EF"/>
    <w:rsid w:val="00685317"/>
    <w:rsid w:val="00685385"/>
    <w:rsid w:val="0068539E"/>
    <w:rsid w:val="00685451"/>
    <w:rsid w:val="006854A1"/>
    <w:rsid w:val="006854A5"/>
    <w:rsid w:val="006854B5"/>
    <w:rsid w:val="006854DC"/>
    <w:rsid w:val="0068551C"/>
    <w:rsid w:val="00685521"/>
    <w:rsid w:val="00685584"/>
    <w:rsid w:val="006855AC"/>
    <w:rsid w:val="006855F8"/>
    <w:rsid w:val="00685612"/>
    <w:rsid w:val="00685631"/>
    <w:rsid w:val="00685670"/>
    <w:rsid w:val="0068569F"/>
    <w:rsid w:val="0068578A"/>
    <w:rsid w:val="00685825"/>
    <w:rsid w:val="006858A2"/>
    <w:rsid w:val="006858C4"/>
    <w:rsid w:val="006858EC"/>
    <w:rsid w:val="006858FF"/>
    <w:rsid w:val="0068592A"/>
    <w:rsid w:val="00685944"/>
    <w:rsid w:val="00685995"/>
    <w:rsid w:val="00685A9D"/>
    <w:rsid w:val="00685AA3"/>
    <w:rsid w:val="00685AFA"/>
    <w:rsid w:val="00685B1E"/>
    <w:rsid w:val="00685B4D"/>
    <w:rsid w:val="00685C8A"/>
    <w:rsid w:val="00685CCD"/>
    <w:rsid w:val="00685CE8"/>
    <w:rsid w:val="00685D39"/>
    <w:rsid w:val="00685D86"/>
    <w:rsid w:val="00685DDC"/>
    <w:rsid w:val="00685E32"/>
    <w:rsid w:val="00685E7B"/>
    <w:rsid w:val="00685EAC"/>
    <w:rsid w:val="00685F23"/>
    <w:rsid w:val="00685F54"/>
    <w:rsid w:val="00685F63"/>
    <w:rsid w:val="00685FB2"/>
    <w:rsid w:val="00686021"/>
    <w:rsid w:val="00686025"/>
    <w:rsid w:val="00686038"/>
    <w:rsid w:val="00686049"/>
    <w:rsid w:val="00686059"/>
    <w:rsid w:val="0068605F"/>
    <w:rsid w:val="0068606F"/>
    <w:rsid w:val="0068618C"/>
    <w:rsid w:val="0068618F"/>
    <w:rsid w:val="00686196"/>
    <w:rsid w:val="006861CD"/>
    <w:rsid w:val="006861F7"/>
    <w:rsid w:val="00686232"/>
    <w:rsid w:val="006862AD"/>
    <w:rsid w:val="006862B9"/>
    <w:rsid w:val="006862D5"/>
    <w:rsid w:val="00686371"/>
    <w:rsid w:val="006863D2"/>
    <w:rsid w:val="006864B0"/>
    <w:rsid w:val="006864CE"/>
    <w:rsid w:val="0068650B"/>
    <w:rsid w:val="00686568"/>
    <w:rsid w:val="00686636"/>
    <w:rsid w:val="00686676"/>
    <w:rsid w:val="006866B5"/>
    <w:rsid w:val="006866BD"/>
    <w:rsid w:val="00686734"/>
    <w:rsid w:val="0068675A"/>
    <w:rsid w:val="0068675C"/>
    <w:rsid w:val="006867B7"/>
    <w:rsid w:val="0068687D"/>
    <w:rsid w:val="00686949"/>
    <w:rsid w:val="00686A2F"/>
    <w:rsid w:val="00686A4A"/>
    <w:rsid w:val="00686AA2"/>
    <w:rsid w:val="00686AE0"/>
    <w:rsid w:val="00686AEB"/>
    <w:rsid w:val="00686AF4"/>
    <w:rsid w:val="00686AFF"/>
    <w:rsid w:val="00686B95"/>
    <w:rsid w:val="00686BB3"/>
    <w:rsid w:val="00686BD1"/>
    <w:rsid w:val="00686BD6"/>
    <w:rsid w:val="00686C7C"/>
    <w:rsid w:val="00686CA6"/>
    <w:rsid w:val="00686CE6"/>
    <w:rsid w:val="00686D9F"/>
    <w:rsid w:val="00686DA2"/>
    <w:rsid w:val="00686DB1"/>
    <w:rsid w:val="00686DB4"/>
    <w:rsid w:val="00686DC7"/>
    <w:rsid w:val="00686DD2"/>
    <w:rsid w:val="00686E08"/>
    <w:rsid w:val="00686E0D"/>
    <w:rsid w:val="00686FE2"/>
    <w:rsid w:val="00687007"/>
    <w:rsid w:val="0068702D"/>
    <w:rsid w:val="0068703A"/>
    <w:rsid w:val="0068703D"/>
    <w:rsid w:val="00687055"/>
    <w:rsid w:val="00687062"/>
    <w:rsid w:val="0068708B"/>
    <w:rsid w:val="0068708C"/>
    <w:rsid w:val="00687092"/>
    <w:rsid w:val="00687282"/>
    <w:rsid w:val="006872D4"/>
    <w:rsid w:val="006872FE"/>
    <w:rsid w:val="00687309"/>
    <w:rsid w:val="006873E9"/>
    <w:rsid w:val="0068746C"/>
    <w:rsid w:val="006874A6"/>
    <w:rsid w:val="006874A9"/>
    <w:rsid w:val="006874AA"/>
    <w:rsid w:val="00687511"/>
    <w:rsid w:val="00687517"/>
    <w:rsid w:val="006875A8"/>
    <w:rsid w:val="00687614"/>
    <w:rsid w:val="006876AE"/>
    <w:rsid w:val="00687727"/>
    <w:rsid w:val="00687799"/>
    <w:rsid w:val="006877E0"/>
    <w:rsid w:val="00687810"/>
    <w:rsid w:val="00687883"/>
    <w:rsid w:val="00687889"/>
    <w:rsid w:val="006878B3"/>
    <w:rsid w:val="006878B8"/>
    <w:rsid w:val="006878D5"/>
    <w:rsid w:val="00687900"/>
    <w:rsid w:val="0068791F"/>
    <w:rsid w:val="00687946"/>
    <w:rsid w:val="00687955"/>
    <w:rsid w:val="0068795E"/>
    <w:rsid w:val="00687988"/>
    <w:rsid w:val="006879A0"/>
    <w:rsid w:val="006879E1"/>
    <w:rsid w:val="00687A3B"/>
    <w:rsid w:val="00687A3E"/>
    <w:rsid w:val="00687A5C"/>
    <w:rsid w:val="00687A71"/>
    <w:rsid w:val="00687B08"/>
    <w:rsid w:val="00687B46"/>
    <w:rsid w:val="00687B53"/>
    <w:rsid w:val="00687B71"/>
    <w:rsid w:val="00687B75"/>
    <w:rsid w:val="00687BD4"/>
    <w:rsid w:val="00687BEF"/>
    <w:rsid w:val="00687C05"/>
    <w:rsid w:val="00687C16"/>
    <w:rsid w:val="00687C6C"/>
    <w:rsid w:val="00687D73"/>
    <w:rsid w:val="00687D9E"/>
    <w:rsid w:val="00687DB9"/>
    <w:rsid w:val="00687DCB"/>
    <w:rsid w:val="00687DD8"/>
    <w:rsid w:val="00687E0E"/>
    <w:rsid w:val="00687E25"/>
    <w:rsid w:val="00687E70"/>
    <w:rsid w:val="00687EA6"/>
    <w:rsid w:val="00687EB7"/>
    <w:rsid w:val="00687EE8"/>
    <w:rsid w:val="00687F4E"/>
    <w:rsid w:val="00687FAD"/>
    <w:rsid w:val="00687FDF"/>
    <w:rsid w:val="0069000E"/>
    <w:rsid w:val="00690015"/>
    <w:rsid w:val="00690037"/>
    <w:rsid w:val="00690056"/>
    <w:rsid w:val="006900B0"/>
    <w:rsid w:val="006900EE"/>
    <w:rsid w:val="00690106"/>
    <w:rsid w:val="0069011D"/>
    <w:rsid w:val="0069017E"/>
    <w:rsid w:val="00690188"/>
    <w:rsid w:val="006901B1"/>
    <w:rsid w:val="00690230"/>
    <w:rsid w:val="00690236"/>
    <w:rsid w:val="0069026A"/>
    <w:rsid w:val="00690278"/>
    <w:rsid w:val="00690297"/>
    <w:rsid w:val="006902A4"/>
    <w:rsid w:val="006902AC"/>
    <w:rsid w:val="006902E3"/>
    <w:rsid w:val="00690307"/>
    <w:rsid w:val="0069036F"/>
    <w:rsid w:val="00690446"/>
    <w:rsid w:val="00690523"/>
    <w:rsid w:val="00690563"/>
    <w:rsid w:val="006905BD"/>
    <w:rsid w:val="00690621"/>
    <w:rsid w:val="00690677"/>
    <w:rsid w:val="00690696"/>
    <w:rsid w:val="006906A4"/>
    <w:rsid w:val="00690740"/>
    <w:rsid w:val="00690760"/>
    <w:rsid w:val="006907F6"/>
    <w:rsid w:val="00690846"/>
    <w:rsid w:val="0069091F"/>
    <w:rsid w:val="0069095C"/>
    <w:rsid w:val="0069095F"/>
    <w:rsid w:val="006909AD"/>
    <w:rsid w:val="006909F0"/>
    <w:rsid w:val="00690A33"/>
    <w:rsid w:val="00690AD9"/>
    <w:rsid w:val="00690B1C"/>
    <w:rsid w:val="00690B5A"/>
    <w:rsid w:val="00690BA4"/>
    <w:rsid w:val="00690BA5"/>
    <w:rsid w:val="00690C0A"/>
    <w:rsid w:val="00690C3A"/>
    <w:rsid w:val="00690C4D"/>
    <w:rsid w:val="00690C99"/>
    <w:rsid w:val="00690CEC"/>
    <w:rsid w:val="00690CFE"/>
    <w:rsid w:val="00690D18"/>
    <w:rsid w:val="00690D31"/>
    <w:rsid w:val="00690DE5"/>
    <w:rsid w:val="00690E00"/>
    <w:rsid w:val="00690EA8"/>
    <w:rsid w:val="00690EB6"/>
    <w:rsid w:val="00690ED0"/>
    <w:rsid w:val="00690EE3"/>
    <w:rsid w:val="00690F1E"/>
    <w:rsid w:val="00690F4F"/>
    <w:rsid w:val="00690F63"/>
    <w:rsid w:val="00691038"/>
    <w:rsid w:val="00691092"/>
    <w:rsid w:val="00691099"/>
    <w:rsid w:val="00691170"/>
    <w:rsid w:val="00691180"/>
    <w:rsid w:val="006911A3"/>
    <w:rsid w:val="00691212"/>
    <w:rsid w:val="0069122E"/>
    <w:rsid w:val="0069129D"/>
    <w:rsid w:val="006912C2"/>
    <w:rsid w:val="00691324"/>
    <w:rsid w:val="00691348"/>
    <w:rsid w:val="0069134F"/>
    <w:rsid w:val="00691384"/>
    <w:rsid w:val="00691686"/>
    <w:rsid w:val="00691690"/>
    <w:rsid w:val="006916C2"/>
    <w:rsid w:val="006916EF"/>
    <w:rsid w:val="00691770"/>
    <w:rsid w:val="00691780"/>
    <w:rsid w:val="006917B9"/>
    <w:rsid w:val="006917D1"/>
    <w:rsid w:val="006917F5"/>
    <w:rsid w:val="006918A4"/>
    <w:rsid w:val="006918AC"/>
    <w:rsid w:val="006918E7"/>
    <w:rsid w:val="00691908"/>
    <w:rsid w:val="00691945"/>
    <w:rsid w:val="006919AC"/>
    <w:rsid w:val="006919B4"/>
    <w:rsid w:val="006919E8"/>
    <w:rsid w:val="00691A6C"/>
    <w:rsid w:val="00691AB8"/>
    <w:rsid w:val="00691B04"/>
    <w:rsid w:val="00691BA5"/>
    <w:rsid w:val="00691C3C"/>
    <w:rsid w:val="00691C57"/>
    <w:rsid w:val="00691D1C"/>
    <w:rsid w:val="00691D72"/>
    <w:rsid w:val="00691EA3"/>
    <w:rsid w:val="00691F37"/>
    <w:rsid w:val="00691FCC"/>
    <w:rsid w:val="0069207C"/>
    <w:rsid w:val="00692091"/>
    <w:rsid w:val="006920A8"/>
    <w:rsid w:val="006920AF"/>
    <w:rsid w:val="006920DB"/>
    <w:rsid w:val="006920E6"/>
    <w:rsid w:val="00692110"/>
    <w:rsid w:val="0069211D"/>
    <w:rsid w:val="006921CA"/>
    <w:rsid w:val="0069222A"/>
    <w:rsid w:val="00692236"/>
    <w:rsid w:val="0069223A"/>
    <w:rsid w:val="00692262"/>
    <w:rsid w:val="0069229D"/>
    <w:rsid w:val="00692310"/>
    <w:rsid w:val="00692314"/>
    <w:rsid w:val="0069236F"/>
    <w:rsid w:val="00692398"/>
    <w:rsid w:val="0069239D"/>
    <w:rsid w:val="006923C5"/>
    <w:rsid w:val="00692479"/>
    <w:rsid w:val="006924A1"/>
    <w:rsid w:val="00692549"/>
    <w:rsid w:val="00692596"/>
    <w:rsid w:val="00692626"/>
    <w:rsid w:val="00692646"/>
    <w:rsid w:val="00692654"/>
    <w:rsid w:val="0069265B"/>
    <w:rsid w:val="006926CA"/>
    <w:rsid w:val="00692775"/>
    <w:rsid w:val="006927BE"/>
    <w:rsid w:val="00692839"/>
    <w:rsid w:val="006928A2"/>
    <w:rsid w:val="006928FA"/>
    <w:rsid w:val="00692908"/>
    <w:rsid w:val="006929CD"/>
    <w:rsid w:val="00692A05"/>
    <w:rsid w:val="00692A22"/>
    <w:rsid w:val="00692B12"/>
    <w:rsid w:val="00692B44"/>
    <w:rsid w:val="00692B4F"/>
    <w:rsid w:val="00692B5E"/>
    <w:rsid w:val="00692BA5"/>
    <w:rsid w:val="00692BBC"/>
    <w:rsid w:val="00692D34"/>
    <w:rsid w:val="00692D80"/>
    <w:rsid w:val="00692D8E"/>
    <w:rsid w:val="00692DC6"/>
    <w:rsid w:val="00692DCF"/>
    <w:rsid w:val="00692DDE"/>
    <w:rsid w:val="00692E20"/>
    <w:rsid w:val="00692EAD"/>
    <w:rsid w:val="00692F68"/>
    <w:rsid w:val="00692F8D"/>
    <w:rsid w:val="00692FC7"/>
    <w:rsid w:val="00693048"/>
    <w:rsid w:val="0069308E"/>
    <w:rsid w:val="00693092"/>
    <w:rsid w:val="0069310A"/>
    <w:rsid w:val="0069310E"/>
    <w:rsid w:val="00693128"/>
    <w:rsid w:val="0069317C"/>
    <w:rsid w:val="006931A0"/>
    <w:rsid w:val="006931C2"/>
    <w:rsid w:val="006931E2"/>
    <w:rsid w:val="006931E3"/>
    <w:rsid w:val="00693200"/>
    <w:rsid w:val="00693245"/>
    <w:rsid w:val="00693263"/>
    <w:rsid w:val="006932F2"/>
    <w:rsid w:val="006932F3"/>
    <w:rsid w:val="00693303"/>
    <w:rsid w:val="00693378"/>
    <w:rsid w:val="00693387"/>
    <w:rsid w:val="006933B8"/>
    <w:rsid w:val="006933C7"/>
    <w:rsid w:val="0069349D"/>
    <w:rsid w:val="00693512"/>
    <w:rsid w:val="00693535"/>
    <w:rsid w:val="0069356C"/>
    <w:rsid w:val="0069358A"/>
    <w:rsid w:val="0069358B"/>
    <w:rsid w:val="00693637"/>
    <w:rsid w:val="0069364F"/>
    <w:rsid w:val="00693658"/>
    <w:rsid w:val="00693678"/>
    <w:rsid w:val="006936BA"/>
    <w:rsid w:val="00693703"/>
    <w:rsid w:val="0069371B"/>
    <w:rsid w:val="0069374E"/>
    <w:rsid w:val="0069374F"/>
    <w:rsid w:val="00693752"/>
    <w:rsid w:val="0069378C"/>
    <w:rsid w:val="00693795"/>
    <w:rsid w:val="006937B9"/>
    <w:rsid w:val="006937DA"/>
    <w:rsid w:val="00693803"/>
    <w:rsid w:val="0069383A"/>
    <w:rsid w:val="00693861"/>
    <w:rsid w:val="0069386E"/>
    <w:rsid w:val="006938F9"/>
    <w:rsid w:val="0069398A"/>
    <w:rsid w:val="00693994"/>
    <w:rsid w:val="00693996"/>
    <w:rsid w:val="006939A1"/>
    <w:rsid w:val="00693A29"/>
    <w:rsid w:val="00693A7C"/>
    <w:rsid w:val="00693AA7"/>
    <w:rsid w:val="00693B28"/>
    <w:rsid w:val="00693B3E"/>
    <w:rsid w:val="00693BAE"/>
    <w:rsid w:val="00693BC6"/>
    <w:rsid w:val="00693BF5"/>
    <w:rsid w:val="00693C30"/>
    <w:rsid w:val="00693C33"/>
    <w:rsid w:val="00693C34"/>
    <w:rsid w:val="00693C4B"/>
    <w:rsid w:val="00693C75"/>
    <w:rsid w:val="00693D47"/>
    <w:rsid w:val="00693D83"/>
    <w:rsid w:val="00693DA1"/>
    <w:rsid w:val="00693DDE"/>
    <w:rsid w:val="00693DE2"/>
    <w:rsid w:val="00693E0C"/>
    <w:rsid w:val="00693E11"/>
    <w:rsid w:val="00693E9B"/>
    <w:rsid w:val="00693EA4"/>
    <w:rsid w:val="00693EB1"/>
    <w:rsid w:val="00693ECA"/>
    <w:rsid w:val="00693ED0"/>
    <w:rsid w:val="00693ED3"/>
    <w:rsid w:val="00693EFE"/>
    <w:rsid w:val="00693F3E"/>
    <w:rsid w:val="00693F60"/>
    <w:rsid w:val="00694096"/>
    <w:rsid w:val="006940A8"/>
    <w:rsid w:val="006940AE"/>
    <w:rsid w:val="006940E8"/>
    <w:rsid w:val="00694171"/>
    <w:rsid w:val="00694186"/>
    <w:rsid w:val="0069423A"/>
    <w:rsid w:val="00694252"/>
    <w:rsid w:val="006942A4"/>
    <w:rsid w:val="006942C2"/>
    <w:rsid w:val="00694323"/>
    <w:rsid w:val="00694361"/>
    <w:rsid w:val="006943A9"/>
    <w:rsid w:val="006943AE"/>
    <w:rsid w:val="006943B2"/>
    <w:rsid w:val="006943CE"/>
    <w:rsid w:val="006943E0"/>
    <w:rsid w:val="00694439"/>
    <w:rsid w:val="00694490"/>
    <w:rsid w:val="00694528"/>
    <w:rsid w:val="00694530"/>
    <w:rsid w:val="00694591"/>
    <w:rsid w:val="0069459E"/>
    <w:rsid w:val="006945B5"/>
    <w:rsid w:val="00694601"/>
    <w:rsid w:val="00694691"/>
    <w:rsid w:val="0069472C"/>
    <w:rsid w:val="00694749"/>
    <w:rsid w:val="006947E8"/>
    <w:rsid w:val="00694843"/>
    <w:rsid w:val="0069486C"/>
    <w:rsid w:val="0069488F"/>
    <w:rsid w:val="0069489B"/>
    <w:rsid w:val="006948CA"/>
    <w:rsid w:val="0069490A"/>
    <w:rsid w:val="0069490F"/>
    <w:rsid w:val="0069491A"/>
    <w:rsid w:val="00694987"/>
    <w:rsid w:val="006949A6"/>
    <w:rsid w:val="006949A7"/>
    <w:rsid w:val="00694A3C"/>
    <w:rsid w:val="00694A3F"/>
    <w:rsid w:val="00694A7C"/>
    <w:rsid w:val="00694A81"/>
    <w:rsid w:val="00694BE0"/>
    <w:rsid w:val="00694C34"/>
    <w:rsid w:val="00694C4E"/>
    <w:rsid w:val="00694CE4"/>
    <w:rsid w:val="00694CF3"/>
    <w:rsid w:val="00694D33"/>
    <w:rsid w:val="00694D77"/>
    <w:rsid w:val="00694DC2"/>
    <w:rsid w:val="00694E0E"/>
    <w:rsid w:val="00694EB6"/>
    <w:rsid w:val="00694F98"/>
    <w:rsid w:val="00695054"/>
    <w:rsid w:val="0069505B"/>
    <w:rsid w:val="006950F9"/>
    <w:rsid w:val="00695174"/>
    <w:rsid w:val="00695178"/>
    <w:rsid w:val="006951B8"/>
    <w:rsid w:val="0069520E"/>
    <w:rsid w:val="006952D3"/>
    <w:rsid w:val="006952F2"/>
    <w:rsid w:val="00695328"/>
    <w:rsid w:val="0069533A"/>
    <w:rsid w:val="00695377"/>
    <w:rsid w:val="0069539F"/>
    <w:rsid w:val="0069558D"/>
    <w:rsid w:val="00695628"/>
    <w:rsid w:val="0069564E"/>
    <w:rsid w:val="00695652"/>
    <w:rsid w:val="00695680"/>
    <w:rsid w:val="00695682"/>
    <w:rsid w:val="00695730"/>
    <w:rsid w:val="00695758"/>
    <w:rsid w:val="0069576F"/>
    <w:rsid w:val="006957FD"/>
    <w:rsid w:val="0069583E"/>
    <w:rsid w:val="00695895"/>
    <w:rsid w:val="006958C0"/>
    <w:rsid w:val="006958E2"/>
    <w:rsid w:val="00695958"/>
    <w:rsid w:val="00695975"/>
    <w:rsid w:val="0069597E"/>
    <w:rsid w:val="00695986"/>
    <w:rsid w:val="00695A28"/>
    <w:rsid w:val="00695AD1"/>
    <w:rsid w:val="00695AF0"/>
    <w:rsid w:val="00695AFB"/>
    <w:rsid w:val="00695B25"/>
    <w:rsid w:val="00695B65"/>
    <w:rsid w:val="00695C00"/>
    <w:rsid w:val="00695C36"/>
    <w:rsid w:val="00695C83"/>
    <w:rsid w:val="00695C97"/>
    <w:rsid w:val="00695D34"/>
    <w:rsid w:val="00695D57"/>
    <w:rsid w:val="00695D93"/>
    <w:rsid w:val="00695DD4"/>
    <w:rsid w:val="00695E23"/>
    <w:rsid w:val="00695E40"/>
    <w:rsid w:val="00695F03"/>
    <w:rsid w:val="00695F3C"/>
    <w:rsid w:val="00695F4A"/>
    <w:rsid w:val="00695F68"/>
    <w:rsid w:val="00695F8A"/>
    <w:rsid w:val="00695FF2"/>
    <w:rsid w:val="00696042"/>
    <w:rsid w:val="00696061"/>
    <w:rsid w:val="0069606F"/>
    <w:rsid w:val="006960A1"/>
    <w:rsid w:val="006960C6"/>
    <w:rsid w:val="0069616A"/>
    <w:rsid w:val="00696198"/>
    <w:rsid w:val="006961AE"/>
    <w:rsid w:val="006961E8"/>
    <w:rsid w:val="006962E7"/>
    <w:rsid w:val="006962F2"/>
    <w:rsid w:val="00696327"/>
    <w:rsid w:val="0069637A"/>
    <w:rsid w:val="0069637F"/>
    <w:rsid w:val="006963AF"/>
    <w:rsid w:val="006963B7"/>
    <w:rsid w:val="006963C7"/>
    <w:rsid w:val="006964CD"/>
    <w:rsid w:val="006964DE"/>
    <w:rsid w:val="0069653B"/>
    <w:rsid w:val="00696557"/>
    <w:rsid w:val="00696631"/>
    <w:rsid w:val="00696694"/>
    <w:rsid w:val="006966B3"/>
    <w:rsid w:val="0069671D"/>
    <w:rsid w:val="0069678B"/>
    <w:rsid w:val="006967A4"/>
    <w:rsid w:val="0069690E"/>
    <w:rsid w:val="00696959"/>
    <w:rsid w:val="006969B6"/>
    <w:rsid w:val="006969C9"/>
    <w:rsid w:val="006969D3"/>
    <w:rsid w:val="006969EA"/>
    <w:rsid w:val="006969F8"/>
    <w:rsid w:val="00696A16"/>
    <w:rsid w:val="00696A33"/>
    <w:rsid w:val="00696AB7"/>
    <w:rsid w:val="00696AD0"/>
    <w:rsid w:val="00696B18"/>
    <w:rsid w:val="00696B71"/>
    <w:rsid w:val="00696BD1"/>
    <w:rsid w:val="00696C9E"/>
    <w:rsid w:val="00696CCA"/>
    <w:rsid w:val="00696CDC"/>
    <w:rsid w:val="00696D14"/>
    <w:rsid w:val="00696D23"/>
    <w:rsid w:val="00696D73"/>
    <w:rsid w:val="00696D88"/>
    <w:rsid w:val="00696DBA"/>
    <w:rsid w:val="00696DFF"/>
    <w:rsid w:val="00696E23"/>
    <w:rsid w:val="00696E87"/>
    <w:rsid w:val="00696EDE"/>
    <w:rsid w:val="00696F0A"/>
    <w:rsid w:val="00696F28"/>
    <w:rsid w:val="00696F4C"/>
    <w:rsid w:val="00696F6B"/>
    <w:rsid w:val="00696F90"/>
    <w:rsid w:val="0069703E"/>
    <w:rsid w:val="0069707D"/>
    <w:rsid w:val="006970B1"/>
    <w:rsid w:val="006970F6"/>
    <w:rsid w:val="00697101"/>
    <w:rsid w:val="0069710B"/>
    <w:rsid w:val="0069716B"/>
    <w:rsid w:val="00697170"/>
    <w:rsid w:val="0069726B"/>
    <w:rsid w:val="0069726E"/>
    <w:rsid w:val="00697270"/>
    <w:rsid w:val="0069732F"/>
    <w:rsid w:val="0069736D"/>
    <w:rsid w:val="0069738B"/>
    <w:rsid w:val="00697492"/>
    <w:rsid w:val="006974EE"/>
    <w:rsid w:val="006974F7"/>
    <w:rsid w:val="006975D9"/>
    <w:rsid w:val="00697621"/>
    <w:rsid w:val="00697672"/>
    <w:rsid w:val="00697696"/>
    <w:rsid w:val="006976D0"/>
    <w:rsid w:val="00697711"/>
    <w:rsid w:val="00697776"/>
    <w:rsid w:val="00697818"/>
    <w:rsid w:val="0069784D"/>
    <w:rsid w:val="00697868"/>
    <w:rsid w:val="00697893"/>
    <w:rsid w:val="00697960"/>
    <w:rsid w:val="00697A38"/>
    <w:rsid w:val="00697AB3"/>
    <w:rsid w:val="00697B23"/>
    <w:rsid w:val="00697C2A"/>
    <w:rsid w:val="00697C46"/>
    <w:rsid w:val="00697C92"/>
    <w:rsid w:val="00697CBE"/>
    <w:rsid w:val="00697D96"/>
    <w:rsid w:val="00697DC5"/>
    <w:rsid w:val="00697DD0"/>
    <w:rsid w:val="00697DD1"/>
    <w:rsid w:val="00697E32"/>
    <w:rsid w:val="00697E44"/>
    <w:rsid w:val="00697EBA"/>
    <w:rsid w:val="00697EC2"/>
    <w:rsid w:val="00697F2D"/>
    <w:rsid w:val="00697F94"/>
    <w:rsid w:val="00697FAA"/>
    <w:rsid w:val="006A004A"/>
    <w:rsid w:val="006A00F8"/>
    <w:rsid w:val="006A0140"/>
    <w:rsid w:val="006A0168"/>
    <w:rsid w:val="006A01E8"/>
    <w:rsid w:val="006A01E9"/>
    <w:rsid w:val="006A0267"/>
    <w:rsid w:val="006A02C8"/>
    <w:rsid w:val="006A0369"/>
    <w:rsid w:val="006A03E6"/>
    <w:rsid w:val="006A0439"/>
    <w:rsid w:val="006A04B5"/>
    <w:rsid w:val="006A04D9"/>
    <w:rsid w:val="006A0510"/>
    <w:rsid w:val="006A051F"/>
    <w:rsid w:val="006A0541"/>
    <w:rsid w:val="006A054A"/>
    <w:rsid w:val="006A0596"/>
    <w:rsid w:val="006A05DA"/>
    <w:rsid w:val="006A0613"/>
    <w:rsid w:val="006A063C"/>
    <w:rsid w:val="006A0676"/>
    <w:rsid w:val="006A0695"/>
    <w:rsid w:val="006A06EF"/>
    <w:rsid w:val="006A06F3"/>
    <w:rsid w:val="006A07DD"/>
    <w:rsid w:val="006A0803"/>
    <w:rsid w:val="006A0829"/>
    <w:rsid w:val="006A0843"/>
    <w:rsid w:val="006A089D"/>
    <w:rsid w:val="006A08FE"/>
    <w:rsid w:val="006A0928"/>
    <w:rsid w:val="006A0951"/>
    <w:rsid w:val="006A09B3"/>
    <w:rsid w:val="006A09C1"/>
    <w:rsid w:val="006A09C2"/>
    <w:rsid w:val="006A0A04"/>
    <w:rsid w:val="006A0A4B"/>
    <w:rsid w:val="006A0AB1"/>
    <w:rsid w:val="006A0B23"/>
    <w:rsid w:val="006A0B33"/>
    <w:rsid w:val="006A0BA8"/>
    <w:rsid w:val="006A0BD9"/>
    <w:rsid w:val="006A0C0B"/>
    <w:rsid w:val="006A0CFA"/>
    <w:rsid w:val="006A0D03"/>
    <w:rsid w:val="006A0D2F"/>
    <w:rsid w:val="006A0D44"/>
    <w:rsid w:val="006A0D56"/>
    <w:rsid w:val="006A0F1E"/>
    <w:rsid w:val="006A0F8F"/>
    <w:rsid w:val="006A0FC0"/>
    <w:rsid w:val="006A105B"/>
    <w:rsid w:val="006A108D"/>
    <w:rsid w:val="006A1093"/>
    <w:rsid w:val="006A10E2"/>
    <w:rsid w:val="006A1241"/>
    <w:rsid w:val="006A12C6"/>
    <w:rsid w:val="006A12F6"/>
    <w:rsid w:val="006A133E"/>
    <w:rsid w:val="006A134C"/>
    <w:rsid w:val="006A138C"/>
    <w:rsid w:val="006A13B6"/>
    <w:rsid w:val="006A13C4"/>
    <w:rsid w:val="006A13D8"/>
    <w:rsid w:val="006A13DA"/>
    <w:rsid w:val="006A1416"/>
    <w:rsid w:val="006A144E"/>
    <w:rsid w:val="006A1462"/>
    <w:rsid w:val="006A14C0"/>
    <w:rsid w:val="006A1518"/>
    <w:rsid w:val="006A1552"/>
    <w:rsid w:val="006A157B"/>
    <w:rsid w:val="006A15B0"/>
    <w:rsid w:val="006A15B5"/>
    <w:rsid w:val="006A161D"/>
    <w:rsid w:val="006A166D"/>
    <w:rsid w:val="006A16F1"/>
    <w:rsid w:val="006A1750"/>
    <w:rsid w:val="006A1769"/>
    <w:rsid w:val="006A1817"/>
    <w:rsid w:val="006A18A1"/>
    <w:rsid w:val="006A18C7"/>
    <w:rsid w:val="006A18E2"/>
    <w:rsid w:val="006A18E3"/>
    <w:rsid w:val="006A1A35"/>
    <w:rsid w:val="006A1AD4"/>
    <w:rsid w:val="006A1ADB"/>
    <w:rsid w:val="006A1B47"/>
    <w:rsid w:val="006A1BE5"/>
    <w:rsid w:val="006A1C2B"/>
    <w:rsid w:val="006A1C32"/>
    <w:rsid w:val="006A1C38"/>
    <w:rsid w:val="006A1C67"/>
    <w:rsid w:val="006A1CA3"/>
    <w:rsid w:val="006A1CC8"/>
    <w:rsid w:val="006A1CE0"/>
    <w:rsid w:val="006A1D12"/>
    <w:rsid w:val="006A1D56"/>
    <w:rsid w:val="006A1D9B"/>
    <w:rsid w:val="006A1DA0"/>
    <w:rsid w:val="006A1E05"/>
    <w:rsid w:val="006A1E12"/>
    <w:rsid w:val="006A1E32"/>
    <w:rsid w:val="006A1E44"/>
    <w:rsid w:val="006A1EE1"/>
    <w:rsid w:val="006A1F71"/>
    <w:rsid w:val="006A1F79"/>
    <w:rsid w:val="006A1F7B"/>
    <w:rsid w:val="006A1FC0"/>
    <w:rsid w:val="006A1FE5"/>
    <w:rsid w:val="006A2012"/>
    <w:rsid w:val="006A205A"/>
    <w:rsid w:val="006A2115"/>
    <w:rsid w:val="006A212B"/>
    <w:rsid w:val="006A216B"/>
    <w:rsid w:val="006A2219"/>
    <w:rsid w:val="006A223C"/>
    <w:rsid w:val="006A229C"/>
    <w:rsid w:val="006A22BF"/>
    <w:rsid w:val="006A22D5"/>
    <w:rsid w:val="006A22F3"/>
    <w:rsid w:val="006A235F"/>
    <w:rsid w:val="006A2369"/>
    <w:rsid w:val="006A2388"/>
    <w:rsid w:val="006A2390"/>
    <w:rsid w:val="006A23AB"/>
    <w:rsid w:val="006A23AE"/>
    <w:rsid w:val="006A2428"/>
    <w:rsid w:val="006A2518"/>
    <w:rsid w:val="006A2572"/>
    <w:rsid w:val="006A260E"/>
    <w:rsid w:val="006A2627"/>
    <w:rsid w:val="006A263C"/>
    <w:rsid w:val="006A2677"/>
    <w:rsid w:val="006A26AE"/>
    <w:rsid w:val="006A26B0"/>
    <w:rsid w:val="006A272D"/>
    <w:rsid w:val="006A275F"/>
    <w:rsid w:val="006A276F"/>
    <w:rsid w:val="006A27C1"/>
    <w:rsid w:val="006A27C6"/>
    <w:rsid w:val="006A2804"/>
    <w:rsid w:val="006A28C2"/>
    <w:rsid w:val="006A28C5"/>
    <w:rsid w:val="006A28EC"/>
    <w:rsid w:val="006A292A"/>
    <w:rsid w:val="006A2960"/>
    <w:rsid w:val="006A2996"/>
    <w:rsid w:val="006A29BC"/>
    <w:rsid w:val="006A29C7"/>
    <w:rsid w:val="006A29E0"/>
    <w:rsid w:val="006A29F8"/>
    <w:rsid w:val="006A29FC"/>
    <w:rsid w:val="006A29FE"/>
    <w:rsid w:val="006A2A72"/>
    <w:rsid w:val="006A2A99"/>
    <w:rsid w:val="006A2B87"/>
    <w:rsid w:val="006A2C12"/>
    <w:rsid w:val="006A2C5C"/>
    <w:rsid w:val="006A2C70"/>
    <w:rsid w:val="006A2CC7"/>
    <w:rsid w:val="006A2D03"/>
    <w:rsid w:val="006A2D1D"/>
    <w:rsid w:val="006A2DCA"/>
    <w:rsid w:val="006A2EB5"/>
    <w:rsid w:val="006A2EC8"/>
    <w:rsid w:val="006A2EC9"/>
    <w:rsid w:val="006A2ECA"/>
    <w:rsid w:val="006A2EF7"/>
    <w:rsid w:val="006A2F09"/>
    <w:rsid w:val="006A2F73"/>
    <w:rsid w:val="006A303C"/>
    <w:rsid w:val="006A3043"/>
    <w:rsid w:val="006A3089"/>
    <w:rsid w:val="006A309D"/>
    <w:rsid w:val="006A314C"/>
    <w:rsid w:val="006A3172"/>
    <w:rsid w:val="006A3179"/>
    <w:rsid w:val="006A31A1"/>
    <w:rsid w:val="006A3246"/>
    <w:rsid w:val="006A3254"/>
    <w:rsid w:val="006A32C7"/>
    <w:rsid w:val="006A32D6"/>
    <w:rsid w:val="006A3389"/>
    <w:rsid w:val="006A33FC"/>
    <w:rsid w:val="006A346F"/>
    <w:rsid w:val="006A34CC"/>
    <w:rsid w:val="006A35C2"/>
    <w:rsid w:val="006A3658"/>
    <w:rsid w:val="006A36DF"/>
    <w:rsid w:val="006A3752"/>
    <w:rsid w:val="006A388B"/>
    <w:rsid w:val="006A38AA"/>
    <w:rsid w:val="006A38C5"/>
    <w:rsid w:val="006A39C2"/>
    <w:rsid w:val="006A3A22"/>
    <w:rsid w:val="006A3A70"/>
    <w:rsid w:val="006A3AA6"/>
    <w:rsid w:val="006A3B9C"/>
    <w:rsid w:val="006A3CA8"/>
    <w:rsid w:val="006A3D88"/>
    <w:rsid w:val="006A3DB3"/>
    <w:rsid w:val="006A3DB8"/>
    <w:rsid w:val="006A3E13"/>
    <w:rsid w:val="006A3E99"/>
    <w:rsid w:val="006A3EB8"/>
    <w:rsid w:val="006A3ED9"/>
    <w:rsid w:val="006A3FD5"/>
    <w:rsid w:val="006A3FF5"/>
    <w:rsid w:val="006A4002"/>
    <w:rsid w:val="006A4006"/>
    <w:rsid w:val="006A4014"/>
    <w:rsid w:val="006A4071"/>
    <w:rsid w:val="006A4077"/>
    <w:rsid w:val="006A40C5"/>
    <w:rsid w:val="006A4114"/>
    <w:rsid w:val="006A4178"/>
    <w:rsid w:val="006A4183"/>
    <w:rsid w:val="006A41C8"/>
    <w:rsid w:val="006A41CE"/>
    <w:rsid w:val="006A41F2"/>
    <w:rsid w:val="006A4209"/>
    <w:rsid w:val="006A4252"/>
    <w:rsid w:val="006A42A6"/>
    <w:rsid w:val="006A42DD"/>
    <w:rsid w:val="006A42FC"/>
    <w:rsid w:val="006A4335"/>
    <w:rsid w:val="006A4339"/>
    <w:rsid w:val="006A4379"/>
    <w:rsid w:val="006A438C"/>
    <w:rsid w:val="006A43B0"/>
    <w:rsid w:val="006A4482"/>
    <w:rsid w:val="006A44C4"/>
    <w:rsid w:val="006A44C6"/>
    <w:rsid w:val="006A44E3"/>
    <w:rsid w:val="006A4524"/>
    <w:rsid w:val="006A459D"/>
    <w:rsid w:val="006A45B4"/>
    <w:rsid w:val="006A45B5"/>
    <w:rsid w:val="006A45BA"/>
    <w:rsid w:val="006A45F3"/>
    <w:rsid w:val="006A461F"/>
    <w:rsid w:val="006A462C"/>
    <w:rsid w:val="006A463A"/>
    <w:rsid w:val="006A465E"/>
    <w:rsid w:val="006A4676"/>
    <w:rsid w:val="006A46C0"/>
    <w:rsid w:val="006A46D7"/>
    <w:rsid w:val="006A46E1"/>
    <w:rsid w:val="006A4707"/>
    <w:rsid w:val="006A4723"/>
    <w:rsid w:val="006A4767"/>
    <w:rsid w:val="006A47B5"/>
    <w:rsid w:val="006A47F1"/>
    <w:rsid w:val="006A48E6"/>
    <w:rsid w:val="006A4964"/>
    <w:rsid w:val="006A4980"/>
    <w:rsid w:val="006A499C"/>
    <w:rsid w:val="006A49CC"/>
    <w:rsid w:val="006A4A3D"/>
    <w:rsid w:val="006A4A6A"/>
    <w:rsid w:val="006A4A9A"/>
    <w:rsid w:val="006A4AD3"/>
    <w:rsid w:val="006A4B19"/>
    <w:rsid w:val="006A4BAA"/>
    <w:rsid w:val="006A4BBC"/>
    <w:rsid w:val="006A4BC8"/>
    <w:rsid w:val="006A4BD7"/>
    <w:rsid w:val="006A4BF5"/>
    <w:rsid w:val="006A4BF6"/>
    <w:rsid w:val="006A4C16"/>
    <w:rsid w:val="006A4C41"/>
    <w:rsid w:val="006A4D26"/>
    <w:rsid w:val="006A4D69"/>
    <w:rsid w:val="006A4D94"/>
    <w:rsid w:val="006A4D9D"/>
    <w:rsid w:val="006A4DC1"/>
    <w:rsid w:val="006A4E29"/>
    <w:rsid w:val="006A4E30"/>
    <w:rsid w:val="006A4E42"/>
    <w:rsid w:val="006A4E4A"/>
    <w:rsid w:val="006A4E50"/>
    <w:rsid w:val="006A4E6A"/>
    <w:rsid w:val="006A4E89"/>
    <w:rsid w:val="006A4EE5"/>
    <w:rsid w:val="006A4F47"/>
    <w:rsid w:val="006A4F59"/>
    <w:rsid w:val="006A4F71"/>
    <w:rsid w:val="006A4FD5"/>
    <w:rsid w:val="006A4FDC"/>
    <w:rsid w:val="006A50D1"/>
    <w:rsid w:val="006A50F8"/>
    <w:rsid w:val="006A5130"/>
    <w:rsid w:val="006A5176"/>
    <w:rsid w:val="006A51F7"/>
    <w:rsid w:val="006A523E"/>
    <w:rsid w:val="006A5273"/>
    <w:rsid w:val="006A5285"/>
    <w:rsid w:val="006A5327"/>
    <w:rsid w:val="006A535A"/>
    <w:rsid w:val="006A5399"/>
    <w:rsid w:val="006A53D0"/>
    <w:rsid w:val="006A5405"/>
    <w:rsid w:val="006A5447"/>
    <w:rsid w:val="006A544D"/>
    <w:rsid w:val="006A547D"/>
    <w:rsid w:val="006A54BB"/>
    <w:rsid w:val="006A5500"/>
    <w:rsid w:val="006A556B"/>
    <w:rsid w:val="006A5577"/>
    <w:rsid w:val="006A55AB"/>
    <w:rsid w:val="006A55EA"/>
    <w:rsid w:val="006A55FE"/>
    <w:rsid w:val="006A56BD"/>
    <w:rsid w:val="006A56C1"/>
    <w:rsid w:val="006A56D3"/>
    <w:rsid w:val="006A5764"/>
    <w:rsid w:val="006A5767"/>
    <w:rsid w:val="006A585C"/>
    <w:rsid w:val="006A58B9"/>
    <w:rsid w:val="006A5916"/>
    <w:rsid w:val="006A5922"/>
    <w:rsid w:val="006A59B8"/>
    <w:rsid w:val="006A5A17"/>
    <w:rsid w:val="006A5A1C"/>
    <w:rsid w:val="006A5A2D"/>
    <w:rsid w:val="006A5A6A"/>
    <w:rsid w:val="006A5A7F"/>
    <w:rsid w:val="006A5AAA"/>
    <w:rsid w:val="006A5AEA"/>
    <w:rsid w:val="006A5B09"/>
    <w:rsid w:val="006A5B16"/>
    <w:rsid w:val="006A5B2A"/>
    <w:rsid w:val="006A5B63"/>
    <w:rsid w:val="006A5B9A"/>
    <w:rsid w:val="006A5BED"/>
    <w:rsid w:val="006A5BF1"/>
    <w:rsid w:val="006A5BF5"/>
    <w:rsid w:val="006A5C47"/>
    <w:rsid w:val="006A5C80"/>
    <w:rsid w:val="006A5CBC"/>
    <w:rsid w:val="006A5CBF"/>
    <w:rsid w:val="006A5D08"/>
    <w:rsid w:val="006A5D16"/>
    <w:rsid w:val="006A5D66"/>
    <w:rsid w:val="006A5D78"/>
    <w:rsid w:val="006A5D90"/>
    <w:rsid w:val="006A5DDF"/>
    <w:rsid w:val="006A5E0A"/>
    <w:rsid w:val="006A5E2D"/>
    <w:rsid w:val="006A5E66"/>
    <w:rsid w:val="006A5E80"/>
    <w:rsid w:val="006A5E94"/>
    <w:rsid w:val="006A5ECB"/>
    <w:rsid w:val="006A5F33"/>
    <w:rsid w:val="006A5F48"/>
    <w:rsid w:val="006A6040"/>
    <w:rsid w:val="006A606B"/>
    <w:rsid w:val="006A60AC"/>
    <w:rsid w:val="006A60C9"/>
    <w:rsid w:val="006A60E9"/>
    <w:rsid w:val="006A6173"/>
    <w:rsid w:val="006A61A1"/>
    <w:rsid w:val="006A61A4"/>
    <w:rsid w:val="006A6204"/>
    <w:rsid w:val="006A6206"/>
    <w:rsid w:val="006A621A"/>
    <w:rsid w:val="006A6293"/>
    <w:rsid w:val="006A62FA"/>
    <w:rsid w:val="006A6378"/>
    <w:rsid w:val="006A63AA"/>
    <w:rsid w:val="006A63B0"/>
    <w:rsid w:val="006A63B6"/>
    <w:rsid w:val="006A63E8"/>
    <w:rsid w:val="006A63FF"/>
    <w:rsid w:val="006A6438"/>
    <w:rsid w:val="006A6448"/>
    <w:rsid w:val="006A646B"/>
    <w:rsid w:val="006A6550"/>
    <w:rsid w:val="006A65A0"/>
    <w:rsid w:val="006A65DC"/>
    <w:rsid w:val="006A6602"/>
    <w:rsid w:val="006A6608"/>
    <w:rsid w:val="006A6649"/>
    <w:rsid w:val="006A6659"/>
    <w:rsid w:val="006A668F"/>
    <w:rsid w:val="006A670E"/>
    <w:rsid w:val="006A6715"/>
    <w:rsid w:val="006A682C"/>
    <w:rsid w:val="006A686C"/>
    <w:rsid w:val="006A68A8"/>
    <w:rsid w:val="006A68E1"/>
    <w:rsid w:val="006A6A22"/>
    <w:rsid w:val="006A6A4D"/>
    <w:rsid w:val="006A6AA6"/>
    <w:rsid w:val="006A6B16"/>
    <w:rsid w:val="006A6BBD"/>
    <w:rsid w:val="006A6BCD"/>
    <w:rsid w:val="006A6BDE"/>
    <w:rsid w:val="006A6BE8"/>
    <w:rsid w:val="006A6C41"/>
    <w:rsid w:val="006A6C71"/>
    <w:rsid w:val="006A6C85"/>
    <w:rsid w:val="006A6CA4"/>
    <w:rsid w:val="006A6CCF"/>
    <w:rsid w:val="006A6CF1"/>
    <w:rsid w:val="006A6D32"/>
    <w:rsid w:val="006A6D78"/>
    <w:rsid w:val="006A6D9F"/>
    <w:rsid w:val="006A6DA9"/>
    <w:rsid w:val="006A6E19"/>
    <w:rsid w:val="006A6E4A"/>
    <w:rsid w:val="006A6E6E"/>
    <w:rsid w:val="006A6F2E"/>
    <w:rsid w:val="006A6F3F"/>
    <w:rsid w:val="006A6FA6"/>
    <w:rsid w:val="006A6FBF"/>
    <w:rsid w:val="006A7048"/>
    <w:rsid w:val="006A70D8"/>
    <w:rsid w:val="006A710A"/>
    <w:rsid w:val="006A7120"/>
    <w:rsid w:val="006A724E"/>
    <w:rsid w:val="006A72C8"/>
    <w:rsid w:val="006A72F5"/>
    <w:rsid w:val="006A73DF"/>
    <w:rsid w:val="006A73EC"/>
    <w:rsid w:val="006A73EE"/>
    <w:rsid w:val="006A743D"/>
    <w:rsid w:val="006A746C"/>
    <w:rsid w:val="006A747A"/>
    <w:rsid w:val="006A750D"/>
    <w:rsid w:val="006A753C"/>
    <w:rsid w:val="006A75E7"/>
    <w:rsid w:val="006A75E9"/>
    <w:rsid w:val="006A7667"/>
    <w:rsid w:val="006A767E"/>
    <w:rsid w:val="006A7697"/>
    <w:rsid w:val="006A76A0"/>
    <w:rsid w:val="006A76E0"/>
    <w:rsid w:val="006A771E"/>
    <w:rsid w:val="006A7752"/>
    <w:rsid w:val="006A7760"/>
    <w:rsid w:val="006A77EE"/>
    <w:rsid w:val="006A77FB"/>
    <w:rsid w:val="006A780A"/>
    <w:rsid w:val="006A7855"/>
    <w:rsid w:val="006A795D"/>
    <w:rsid w:val="006A79BD"/>
    <w:rsid w:val="006A7ADE"/>
    <w:rsid w:val="006A7AE1"/>
    <w:rsid w:val="006A7BB8"/>
    <w:rsid w:val="006A7BC6"/>
    <w:rsid w:val="006A7BF8"/>
    <w:rsid w:val="006A7C52"/>
    <w:rsid w:val="006A7C82"/>
    <w:rsid w:val="006A7C92"/>
    <w:rsid w:val="006A7CA3"/>
    <w:rsid w:val="006A7CB0"/>
    <w:rsid w:val="006A7CF8"/>
    <w:rsid w:val="006A7EA2"/>
    <w:rsid w:val="006A7EBE"/>
    <w:rsid w:val="006A7EFA"/>
    <w:rsid w:val="006A7EFD"/>
    <w:rsid w:val="006A7F03"/>
    <w:rsid w:val="006A7F30"/>
    <w:rsid w:val="006A7F51"/>
    <w:rsid w:val="006A7F63"/>
    <w:rsid w:val="006A7F68"/>
    <w:rsid w:val="006A7FB0"/>
    <w:rsid w:val="006B001D"/>
    <w:rsid w:val="006B0042"/>
    <w:rsid w:val="006B00E7"/>
    <w:rsid w:val="006B00F5"/>
    <w:rsid w:val="006B00FA"/>
    <w:rsid w:val="006B0156"/>
    <w:rsid w:val="006B01FC"/>
    <w:rsid w:val="006B0253"/>
    <w:rsid w:val="006B026E"/>
    <w:rsid w:val="006B04F8"/>
    <w:rsid w:val="006B0512"/>
    <w:rsid w:val="006B0526"/>
    <w:rsid w:val="006B052A"/>
    <w:rsid w:val="006B0551"/>
    <w:rsid w:val="006B0552"/>
    <w:rsid w:val="006B05B0"/>
    <w:rsid w:val="006B05DF"/>
    <w:rsid w:val="006B05F8"/>
    <w:rsid w:val="006B0617"/>
    <w:rsid w:val="006B0679"/>
    <w:rsid w:val="006B06C4"/>
    <w:rsid w:val="006B0717"/>
    <w:rsid w:val="006B0750"/>
    <w:rsid w:val="006B078E"/>
    <w:rsid w:val="006B07AA"/>
    <w:rsid w:val="006B07AB"/>
    <w:rsid w:val="006B07C5"/>
    <w:rsid w:val="006B091D"/>
    <w:rsid w:val="006B09C0"/>
    <w:rsid w:val="006B09C6"/>
    <w:rsid w:val="006B09D0"/>
    <w:rsid w:val="006B0A23"/>
    <w:rsid w:val="006B0A2A"/>
    <w:rsid w:val="006B0A3A"/>
    <w:rsid w:val="006B0A60"/>
    <w:rsid w:val="006B0AAC"/>
    <w:rsid w:val="006B0B26"/>
    <w:rsid w:val="006B0B2F"/>
    <w:rsid w:val="006B0B96"/>
    <w:rsid w:val="006B0BAA"/>
    <w:rsid w:val="006B0C28"/>
    <w:rsid w:val="006B0C39"/>
    <w:rsid w:val="006B0D21"/>
    <w:rsid w:val="006B0D80"/>
    <w:rsid w:val="006B0E03"/>
    <w:rsid w:val="006B0E38"/>
    <w:rsid w:val="006B0EC1"/>
    <w:rsid w:val="006B0F31"/>
    <w:rsid w:val="006B104F"/>
    <w:rsid w:val="006B105A"/>
    <w:rsid w:val="006B105C"/>
    <w:rsid w:val="006B10C3"/>
    <w:rsid w:val="006B10CE"/>
    <w:rsid w:val="006B10E6"/>
    <w:rsid w:val="006B1131"/>
    <w:rsid w:val="006B114B"/>
    <w:rsid w:val="006B119A"/>
    <w:rsid w:val="006B11A9"/>
    <w:rsid w:val="006B1283"/>
    <w:rsid w:val="006B12BD"/>
    <w:rsid w:val="006B12C6"/>
    <w:rsid w:val="006B12F7"/>
    <w:rsid w:val="006B1342"/>
    <w:rsid w:val="006B138A"/>
    <w:rsid w:val="006B13A1"/>
    <w:rsid w:val="006B13CA"/>
    <w:rsid w:val="006B13F2"/>
    <w:rsid w:val="006B143B"/>
    <w:rsid w:val="006B149A"/>
    <w:rsid w:val="006B14A4"/>
    <w:rsid w:val="006B14DB"/>
    <w:rsid w:val="006B14EE"/>
    <w:rsid w:val="006B1533"/>
    <w:rsid w:val="006B153A"/>
    <w:rsid w:val="006B1579"/>
    <w:rsid w:val="006B157F"/>
    <w:rsid w:val="006B1580"/>
    <w:rsid w:val="006B15C0"/>
    <w:rsid w:val="006B1637"/>
    <w:rsid w:val="006B164B"/>
    <w:rsid w:val="006B16A1"/>
    <w:rsid w:val="006B16B1"/>
    <w:rsid w:val="006B16C6"/>
    <w:rsid w:val="006B16EF"/>
    <w:rsid w:val="006B171A"/>
    <w:rsid w:val="006B1724"/>
    <w:rsid w:val="006B1729"/>
    <w:rsid w:val="006B173E"/>
    <w:rsid w:val="006B1768"/>
    <w:rsid w:val="006B178D"/>
    <w:rsid w:val="006B1849"/>
    <w:rsid w:val="006B1932"/>
    <w:rsid w:val="006B1946"/>
    <w:rsid w:val="006B1986"/>
    <w:rsid w:val="006B1A04"/>
    <w:rsid w:val="006B1A24"/>
    <w:rsid w:val="006B1A3E"/>
    <w:rsid w:val="006B1AA7"/>
    <w:rsid w:val="006B1AC3"/>
    <w:rsid w:val="006B1ACD"/>
    <w:rsid w:val="006B1AD7"/>
    <w:rsid w:val="006B1AFE"/>
    <w:rsid w:val="006B1B48"/>
    <w:rsid w:val="006B1B55"/>
    <w:rsid w:val="006B1B5B"/>
    <w:rsid w:val="006B1B98"/>
    <w:rsid w:val="006B1C0C"/>
    <w:rsid w:val="006B1CC5"/>
    <w:rsid w:val="006B1D05"/>
    <w:rsid w:val="006B1D25"/>
    <w:rsid w:val="006B1D3A"/>
    <w:rsid w:val="006B1D5D"/>
    <w:rsid w:val="006B1DC8"/>
    <w:rsid w:val="006B1DD9"/>
    <w:rsid w:val="006B1DFF"/>
    <w:rsid w:val="006B1E12"/>
    <w:rsid w:val="006B1EA7"/>
    <w:rsid w:val="006B1F4A"/>
    <w:rsid w:val="006B1F8E"/>
    <w:rsid w:val="006B1FAD"/>
    <w:rsid w:val="006B1FEE"/>
    <w:rsid w:val="006B2022"/>
    <w:rsid w:val="006B2041"/>
    <w:rsid w:val="006B2050"/>
    <w:rsid w:val="006B2075"/>
    <w:rsid w:val="006B20A4"/>
    <w:rsid w:val="006B20FC"/>
    <w:rsid w:val="006B2175"/>
    <w:rsid w:val="006B218F"/>
    <w:rsid w:val="006B21A6"/>
    <w:rsid w:val="006B2249"/>
    <w:rsid w:val="006B224E"/>
    <w:rsid w:val="006B22CB"/>
    <w:rsid w:val="006B232E"/>
    <w:rsid w:val="006B23C8"/>
    <w:rsid w:val="006B23F3"/>
    <w:rsid w:val="006B247E"/>
    <w:rsid w:val="006B2488"/>
    <w:rsid w:val="006B24E0"/>
    <w:rsid w:val="006B251B"/>
    <w:rsid w:val="006B25C9"/>
    <w:rsid w:val="006B2602"/>
    <w:rsid w:val="006B2607"/>
    <w:rsid w:val="006B265A"/>
    <w:rsid w:val="006B269B"/>
    <w:rsid w:val="006B2751"/>
    <w:rsid w:val="006B2762"/>
    <w:rsid w:val="006B2769"/>
    <w:rsid w:val="006B2788"/>
    <w:rsid w:val="006B27A5"/>
    <w:rsid w:val="006B27B5"/>
    <w:rsid w:val="006B2802"/>
    <w:rsid w:val="006B280C"/>
    <w:rsid w:val="006B2831"/>
    <w:rsid w:val="006B28A1"/>
    <w:rsid w:val="006B29B3"/>
    <w:rsid w:val="006B29C7"/>
    <w:rsid w:val="006B2A4F"/>
    <w:rsid w:val="006B2AF2"/>
    <w:rsid w:val="006B2BC5"/>
    <w:rsid w:val="006B2BCD"/>
    <w:rsid w:val="006B2BE6"/>
    <w:rsid w:val="006B2C1D"/>
    <w:rsid w:val="006B2D63"/>
    <w:rsid w:val="006B2D85"/>
    <w:rsid w:val="006B2D9F"/>
    <w:rsid w:val="006B2DF5"/>
    <w:rsid w:val="006B2E43"/>
    <w:rsid w:val="006B2ECD"/>
    <w:rsid w:val="006B2EE2"/>
    <w:rsid w:val="006B2EE6"/>
    <w:rsid w:val="006B2FA3"/>
    <w:rsid w:val="006B3082"/>
    <w:rsid w:val="006B30E5"/>
    <w:rsid w:val="006B316A"/>
    <w:rsid w:val="006B318A"/>
    <w:rsid w:val="006B3193"/>
    <w:rsid w:val="006B31AE"/>
    <w:rsid w:val="006B3255"/>
    <w:rsid w:val="006B3297"/>
    <w:rsid w:val="006B32FB"/>
    <w:rsid w:val="006B3330"/>
    <w:rsid w:val="006B3384"/>
    <w:rsid w:val="006B33B7"/>
    <w:rsid w:val="006B33F1"/>
    <w:rsid w:val="006B341D"/>
    <w:rsid w:val="006B343B"/>
    <w:rsid w:val="006B3493"/>
    <w:rsid w:val="006B349C"/>
    <w:rsid w:val="006B3502"/>
    <w:rsid w:val="006B351F"/>
    <w:rsid w:val="006B3626"/>
    <w:rsid w:val="006B363B"/>
    <w:rsid w:val="006B3691"/>
    <w:rsid w:val="006B36BD"/>
    <w:rsid w:val="006B3799"/>
    <w:rsid w:val="006B37AA"/>
    <w:rsid w:val="006B3856"/>
    <w:rsid w:val="006B38AD"/>
    <w:rsid w:val="006B38AF"/>
    <w:rsid w:val="006B38EB"/>
    <w:rsid w:val="006B390A"/>
    <w:rsid w:val="006B390C"/>
    <w:rsid w:val="006B3931"/>
    <w:rsid w:val="006B39C3"/>
    <w:rsid w:val="006B3A38"/>
    <w:rsid w:val="006B3A6B"/>
    <w:rsid w:val="006B3A73"/>
    <w:rsid w:val="006B3A9F"/>
    <w:rsid w:val="006B3B26"/>
    <w:rsid w:val="006B3B28"/>
    <w:rsid w:val="006B3B97"/>
    <w:rsid w:val="006B3BC6"/>
    <w:rsid w:val="006B3BCD"/>
    <w:rsid w:val="006B3BF9"/>
    <w:rsid w:val="006B3C23"/>
    <w:rsid w:val="006B3C8F"/>
    <w:rsid w:val="006B3C99"/>
    <w:rsid w:val="006B3D79"/>
    <w:rsid w:val="006B3D94"/>
    <w:rsid w:val="006B3DCD"/>
    <w:rsid w:val="006B3DF2"/>
    <w:rsid w:val="006B3E02"/>
    <w:rsid w:val="006B3E86"/>
    <w:rsid w:val="006B3E9F"/>
    <w:rsid w:val="006B3ED7"/>
    <w:rsid w:val="006B3EFB"/>
    <w:rsid w:val="006B3F3B"/>
    <w:rsid w:val="006B3F75"/>
    <w:rsid w:val="006B3FCD"/>
    <w:rsid w:val="006B3FFE"/>
    <w:rsid w:val="006B400E"/>
    <w:rsid w:val="006B407C"/>
    <w:rsid w:val="006B409F"/>
    <w:rsid w:val="006B40A6"/>
    <w:rsid w:val="006B411F"/>
    <w:rsid w:val="006B415A"/>
    <w:rsid w:val="006B41F5"/>
    <w:rsid w:val="006B42B8"/>
    <w:rsid w:val="006B4325"/>
    <w:rsid w:val="006B432A"/>
    <w:rsid w:val="006B433A"/>
    <w:rsid w:val="006B437E"/>
    <w:rsid w:val="006B43F3"/>
    <w:rsid w:val="006B43FA"/>
    <w:rsid w:val="006B44BB"/>
    <w:rsid w:val="006B45DF"/>
    <w:rsid w:val="006B45E1"/>
    <w:rsid w:val="006B45F6"/>
    <w:rsid w:val="006B4620"/>
    <w:rsid w:val="006B46F5"/>
    <w:rsid w:val="006B46F9"/>
    <w:rsid w:val="006B471E"/>
    <w:rsid w:val="006B4734"/>
    <w:rsid w:val="006B4735"/>
    <w:rsid w:val="006B4758"/>
    <w:rsid w:val="006B4774"/>
    <w:rsid w:val="006B4798"/>
    <w:rsid w:val="006B4803"/>
    <w:rsid w:val="006B4883"/>
    <w:rsid w:val="006B48A2"/>
    <w:rsid w:val="006B496F"/>
    <w:rsid w:val="006B4980"/>
    <w:rsid w:val="006B4A20"/>
    <w:rsid w:val="006B4AAF"/>
    <w:rsid w:val="006B4B01"/>
    <w:rsid w:val="006B4B37"/>
    <w:rsid w:val="006B4B42"/>
    <w:rsid w:val="006B4B51"/>
    <w:rsid w:val="006B4B8F"/>
    <w:rsid w:val="006B4BF2"/>
    <w:rsid w:val="006B4BF5"/>
    <w:rsid w:val="006B4C07"/>
    <w:rsid w:val="006B4C8C"/>
    <w:rsid w:val="006B4CE4"/>
    <w:rsid w:val="006B4DBE"/>
    <w:rsid w:val="006B4DC3"/>
    <w:rsid w:val="006B4E83"/>
    <w:rsid w:val="006B4EA3"/>
    <w:rsid w:val="006B4EAC"/>
    <w:rsid w:val="006B4F29"/>
    <w:rsid w:val="006B4F2B"/>
    <w:rsid w:val="006B4F54"/>
    <w:rsid w:val="006B4F77"/>
    <w:rsid w:val="006B4FF6"/>
    <w:rsid w:val="006B5084"/>
    <w:rsid w:val="006B509B"/>
    <w:rsid w:val="006B50D1"/>
    <w:rsid w:val="006B5122"/>
    <w:rsid w:val="006B5160"/>
    <w:rsid w:val="006B516B"/>
    <w:rsid w:val="006B516E"/>
    <w:rsid w:val="006B519A"/>
    <w:rsid w:val="006B51D7"/>
    <w:rsid w:val="006B527C"/>
    <w:rsid w:val="006B52E6"/>
    <w:rsid w:val="006B5350"/>
    <w:rsid w:val="006B5353"/>
    <w:rsid w:val="006B5354"/>
    <w:rsid w:val="006B53A3"/>
    <w:rsid w:val="006B5407"/>
    <w:rsid w:val="006B5466"/>
    <w:rsid w:val="006B5472"/>
    <w:rsid w:val="006B5484"/>
    <w:rsid w:val="006B548E"/>
    <w:rsid w:val="006B54EA"/>
    <w:rsid w:val="006B5505"/>
    <w:rsid w:val="006B551D"/>
    <w:rsid w:val="006B5564"/>
    <w:rsid w:val="006B55B2"/>
    <w:rsid w:val="006B55E9"/>
    <w:rsid w:val="006B5795"/>
    <w:rsid w:val="006B5813"/>
    <w:rsid w:val="006B582F"/>
    <w:rsid w:val="006B58B9"/>
    <w:rsid w:val="006B58C5"/>
    <w:rsid w:val="006B58D1"/>
    <w:rsid w:val="006B5961"/>
    <w:rsid w:val="006B5982"/>
    <w:rsid w:val="006B59B7"/>
    <w:rsid w:val="006B59C8"/>
    <w:rsid w:val="006B59EF"/>
    <w:rsid w:val="006B59FD"/>
    <w:rsid w:val="006B5A64"/>
    <w:rsid w:val="006B5A8D"/>
    <w:rsid w:val="006B5B27"/>
    <w:rsid w:val="006B5C37"/>
    <w:rsid w:val="006B5CC4"/>
    <w:rsid w:val="006B5D52"/>
    <w:rsid w:val="006B5DB6"/>
    <w:rsid w:val="006B5DC1"/>
    <w:rsid w:val="006B5DD9"/>
    <w:rsid w:val="006B5E86"/>
    <w:rsid w:val="006B5E9C"/>
    <w:rsid w:val="006B5EAA"/>
    <w:rsid w:val="006B5F3E"/>
    <w:rsid w:val="006B5F75"/>
    <w:rsid w:val="006B5FDB"/>
    <w:rsid w:val="006B5FDD"/>
    <w:rsid w:val="006B5FEB"/>
    <w:rsid w:val="006B6018"/>
    <w:rsid w:val="006B602B"/>
    <w:rsid w:val="006B6033"/>
    <w:rsid w:val="006B6058"/>
    <w:rsid w:val="006B60F6"/>
    <w:rsid w:val="006B6181"/>
    <w:rsid w:val="006B61DB"/>
    <w:rsid w:val="006B6247"/>
    <w:rsid w:val="006B6291"/>
    <w:rsid w:val="006B6297"/>
    <w:rsid w:val="006B62DE"/>
    <w:rsid w:val="006B633A"/>
    <w:rsid w:val="006B633E"/>
    <w:rsid w:val="006B636D"/>
    <w:rsid w:val="006B63C9"/>
    <w:rsid w:val="006B6454"/>
    <w:rsid w:val="006B661A"/>
    <w:rsid w:val="006B6651"/>
    <w:rsid w:val="006B66C6"/>
    <w:rsid w:val="006B66E9"/>
    <w:rsid w:val="006B671C"/>
    <w:rsid w:val="006B6732"/>
    <w:rsid w:val="006B6754"/>
    <w:rsid w:val="006B67A4"/>
    <w:rsid w:val="006B6819"/>
    <w:rsid w:val="006B6859"/>
    <w:rsid w:val="006B6893"/>
    <w:rsid w:val="006B68A3"/>
    <w:rsid w:val="006B68AE"/>
    <w:rsid w:val="006B68B7"/>
    <w:rsid w:val="006B690E"/>
    <w:rsid w:val="006B691B"/>
    <w:rsid w:val="006B6929"/>
    <w:rsid w:val="006B694D"/>
    <w:rsid w:val="006B6974"/>
    <w:rsid w:val="006B6A06"/>
    <w:rsid w:val="006B6A42"/>
    <w:rsid w:val="006B6AF2"/>
    <w:rsid w:val="006B6B18"/>
    <w:rsid w:val="006B6B24"/>
    <w:rsid w:val="006B6B6B"/>
    <w:rsid w:val="006B6C1E"/>
    <w:rsid w:val="006B6C24"/>
    <w:rsid w:val="006B6C32"/>
    <w:rsid w:val="006B6C35"/>
    <w:rsid w:val="006B6C94"/>
    <w:rsid w:val="006B6CAF"/>
    <w:rsid w:val="006B6CD8"/>
    <w:rsid w:val="006B6CEA"/>
    <w:rsid w:val="006B6D37"/>
    <w:rsid w:val="006B6D44"/>
    <w:rsid w:val="006B6DDD"/>
    <w:rsid w:val="006B6E4B"/>
    <w:rsid w:val="006B6FF7"/>
    <w:rsid w:val="006B701B"/>
    <w:rsid w:val="006B7077"/>
    <w:rsid w:val="006B70AB"/>
    <w:rsid w:val="006B70D0"/>
    <w:rsid w:val="006B7188"/>
    <w:rsid w:val="006B722E"/>
    <w:rsid w:val="006B724D"/>
    <w:rsid w:val="006B7256"/>
    <w:rsid w:val="006B7295"/>
    <w:rsid w:val="006B7356"/>
    <w:rsid w:val="006B735F"/>
    <w:rsid w:val="006B7368"/>
    <w:rsid w:val="006B73A0"/>
    <w:rsid w:val="006B73A4"/>
    <w:rsid w:val="006B73AD"/>
    <w:rsid w:val="006B743D"/>
    <w:rsid w:val="006B7462"/>
    <w:rsid w:val="006B7476"/>
    <w:rsid w:val="006B747C"/>
    <w:rsid w:val="006B74F5"/>
    <w:rsid w:val="006B7512"/>
    <w:rsid w:val="006B7584"/>
    <w:rsid w:val="006B75A4"/>
    <w:rsid w:val="006B75BF"/>
    <w:rsid w:val="006B75EA"/>
    <w:rsid w:val="006B7702"/>
    <w:rsid w:val="006B7779"/>
    <w:rsid w:val="006B77C2"/>
    <w:rsid w:val="006B77C5"/>
    <w:rsid w:val="006B782F"/>
    <w:rsid w:val="006B7923"/>
    <w:rsid w:val="006B7925"/>
    <w:rsid w:val="006B796E"/>
    <w:rsid w:val="006B7996"/>
    <w:rsid w:val="006B799C"/>
    <w:rsid w:val="006B79B4"/>
    <w:rsid w:val="006B7A29"/>
    <w:rsid w:val="006B7A69"/>
    <w:rsid w:val="006B7AC6"/>
    <w:rsid w:val="006B7B12"/>
    <w:rsid w:val="006B7B28"/>
    <w:rsid w:val="006B7B36"/>
    <w:rsid w:val="006B7B56"/>
    <w:rsid w:val="006B7B87"/>
    <w:rsid w:val="006B7BF7"/>
    <w:rsid w:val="006B7C0F"/>
    <w:rsid w:val="006B7C84"/>
    <w:rsid w:val="006B7C85"/>
    <w:rsid w:val="006B7CA2"/>
    <w:rsid w:val="006B7CAA"/>
    <w:rsid w:val="006B7CF7"/>
    <w:rsid w:val="006B7DAC"/>
    <w:rsid w:val="006B7DB0"/>
    <w:rsid w:val="006B7DBF"/>
    <w:rsid w:val="006B7DCF"/>
    <w:rsid w:val="006B7E28"/>
    <w:rsid w:val="006B7E67"/>
    <w:rsid w:val="006B7E98"/>
    <w:rsid w:val="006B7EA7"/>
    <w:rsid w:val="006B7EE5"/>
    <w:rsid w:val="006B7EE9"/>
    <w:rsid w:val="006B7F29"/>
    <w:rsid w:val="006B7F81"/>
    <w:rsid w:val="006C000D"/>
    <w:rsid w:val="006C0039"/>
    <w:rsid w:val="006C005B"/>
    <w:rsid w:val="006C0062"/>
    <w:rsid w:val="006C0083"/>
    <w:rsid w:val="006C0085"/>
    <w:rsid w:val="006C00D8"/>
    <w:rsid w:val="006C012A"/>
    <w:rsid w:val="006C01D3"/>
    <w:rsid w:val="006C01D9"/>
    <w:rsid w:val="006C0206"/>
    <w:rsid w:val="006C0217"/>
    <w:rsid w:val="006C0223"/>
    <w:rsid w:val="006C025F"/>
    <w:rsid w:val="006C028E"/>
    <w:rsid w:val="006C02C4"/>
    <w:rsid w:val="006C02C6"/>
    <w:rsid w:val="006C0313"/>
    <w:rsid w:val="006C032E"/>
    <w:rsid w:val="006C0338"/>
    <w:rsid w:val="006C0488"/>
    <w:rsid w:val="006C05B0"/>
    <w:rsid w:val="006C05DD"/>
    <w:rsid w:val="006C0620"/>
    <w:rsid w:val="006C069A"/>
    <w:rsid w:val="006C06CF"/>
    <w:rsid w:val="006C0730"/>
    <w:rsid w:val="006C076C"/>
    <w:rsid w:val="006C07A4"/>
    <w:rsid w:val="006C07D9"/>
    <w:rsid w:val="006C0830"/>
    <w:rsid w:val="006C08FC"/>
    <w:rsid w:val="006C0940"/>
    <w:rsid w:val="006C099F"/>
    <w:rsid w:val="006C09BC"/>
    <w:rsid w:val="006C0A02"/>
    <w:rsid w:val="006C0A1A"/>
    <w:rsid w:val="006C0AC1"/>
    <w:rsid w:val="006C0ACB"/>
    <w:rsid w:val="006C0AD3"/>
    <w:rsid w:val="006C0BA6"/>
    <w:rsid w:val="006C0BD3"/>
    <w:rsid w:val="006C0BE8"/>
    <w:rsid w:val="006C0BF2"/>
    <w:rsid w:val="006C0C04"/>
    <w:rsid w:val="006C0D70"/>
    <w:rsid w:val="006C0D8A"/>
    <w:rsid w:val="006C0D9B"/>
    <w:rsid w:val="006C0D9D"/>
    <w:rsid w:val="006C0E11"/>
    <w:rsid w:val="006C0E14"/>
    <w:rsid w:val="006C0E4F"/>
    <w:rsid w:val="006C0E68"/>
    <w:rsid w:val="006C0EF8"/>
    <w:rsid w:val="006C0F15"/>
    <w:rsid w:val="006C0F43"/>
    <w:rsid w:val="006C0F96"/>
    <w:rsid w:val="006C0FD5"/>
    <w:rsid w:val="006C1055"/>
    <w:rsid w:val="006C10BC"/>
    <w:rsid w:val="006C10CC"/>
    <w:rsid w:val="006C1100"/>
    <w:rsid w:val="006C1132"/>
    <w:rsid w:val="006C1155"/>
    <w:rsid w:val="006C1176"/>
    <w:rsid w:val="006C1193"/>
    <w:rsid w:val="006C11B0"/>
    <w:rsid w:val="006C1212"/>
    <w:rsid w:val="006C1222"/>
    <w:rsid w:val="006C12EE"/>
    <w:rsid w:val="006C1361"/>
    <w:rsid w:val="006C1439"/>
    <w:rsid w:val="006C1453"/>
    <w:rsid w:val="006C14F9"/>
    <w:rsid w:val="006C150F"/>
    <w:rsid w:val="006C1566"/>
    <w:rsid w:val="006C15C8"/>
    <w:rsid w:val="006C1630"/>
    <w:rsid w:val="006C1652"/>
    <w:rsid w:val="006C1664"/>
    <w:rsid w:val="006C168F"/>
    <w:rsid w:val="006C16C7"/>
    <w:rsid w:val="006C16CA"/>
    <w:rsid w:val="006C16EA"/>
    <w:rsid w:val="006C16F3"/>
    <w:rsid w:val="006C1703"/>
    <w:rsid w:val="006C175C"/>
    <w:rsid w:val="006C17EB"/>
    <w:rsid w:val="006C17F4"/>
    <w:rsid w:val="006C1884"/>
    <w:rsid w:val="006C18D2"/>
    <w:rsid w:val="006C19BC"/>
    <w:rsid w:val="006C19BE"/>
    <w:rsid w:val="006C1A0D"/>
    <w:rsid w:val="006C1A3B"/>
    <w:rsid w:val="006C1A90"/>
    <w:rsid w:val="006C1A92"/>
    <w:rsid w:val="006C1AB8"/>
    <w:rsid w:val="006C1ABE"/>
    <w:rsid w:val="006C1ACB"/>
    <w:rsid w:val="006C1AE4"/>
    <w:rsid w:val="006C1B6F"/>
    <w:rsid w:val="006C1BD9"/>
    <w:rsid w:val="006C1BDA"/>
    <w:rsid w:val="006C1C15"/>
    <w:rsid w:val="006C1CFC"/>
    <w:rsid w:val="006C1D19"/>
    <w:rsid w:val="006C1D42"/>
    <w:rsid w:val="006C1DB7"/>
    <w:rsid w:val="006C1DB8"/>
    <w:rsid w:val="006C1E2D"/>
    <w:rsid w:val="006C1F0B"/>
    <w:rsid w:val="006C1F1C"/>
    <w:rsid w:val="006C1FCE"/>
    <w:rsid w:val="006C204D"/>
    <w:rsid w:val="006C2055"/>
    <w:rsid w:val="006C205E"/>
    <w:rsid w:val="006C208B"/>
    <w:rsid w:val="006C2177"/>
    <w:rsid w:val="006C219B"/>
    <w:rsid w:val="006C21A9"/>
    <w:rsid w:val="006C21C0"/>
    <w:rsid w:val="006C21D2"/>
    <w:rsid w:val="006C223D"/>
    <w:rsid w:val="006C2299"/>
    <w:rsid w:val="006C22D3"/>
    <w:rsid w:val="006C2305"/>
    <w:rsid w:val="006C2314"/>
    <w:rsid w:val="006C2348"/>
    <w:rsid w:val="006C235B"/>
    <w:rsid w:val="006C237D"/>
    <w:rsid w:val="006C2382"/>
    <w:rsid w:val="006C23AD"/>
    <w:rsid w:val="006C23F2"/>
    <w:rsid w:val="006C2402"/>
    <w:rsid w:val="006C24C2"/>
    <w:rsid w:val="006C2574"/>
    <w:rsid w:val="006C25BC"/>
    <w:rsid w:val="006C25BF"/>
    <w:rsid w:val="006C25EB"/>
    <w:rsid w:val="006C25FC"/>
    <w:rsid w:val="006C2628"/>
    <w:rsid w:val="006C2637"/>
    <w:rsid w:val="006C2649"/>
    <w:rsid w:val="006C264C"/>
    <w:rsid w:val="006C2794"/>
    <w:rsid w:val="006C27E7"/>
    <w:rsid w:val="006C27F1"/>
    <w:rsid w:val="006C28C1"/>
    <w:rsid w:val="006C28F4"/>
    <w:rsid w:val="006C291A"/>
    <w:rsid w:val="006C2974"/>
    <w:rsid w:val="006C297E"/>
    <w:rsid w:val="006C2983"/>
    <w:rsid w:val="006C2988"/>
    <w:rsid w:val="006C2A0B"/>
    <w:rsid w:val="006C2A26"/>
    <w:rsid w:val="006C2AA6"/>
    <w:rsid w:val="006C2AAC"/>
    <w:rsid w:val="006C2AF8"/>
    <w:rsid w:val="006C2B17"/>
    <w:rsid w:val="006C2B18"/>
    <w:rsid w:val="006C2B2E"/>
    <w:rsid w:val="006C2B3C"/>
    <w:rsid w:val="006C2B81"/>
    <w:rsid w:val="006C2BF9"/>
    <w:rsid w:val="006C2C58"/>
    <w:rsid w:val="006C2C81"/>
    <w:rsid w:val="006C2D18"/>
    <w:rsid w:val="006C2D62"/>
    <w:rsid w:val="006C2DD5"/>
    <w:rsid w:val="006C2DF3"/>
    <w:rsid w:val="006C2E09"/>
    <w:rsid w:val="006C2EA9"/>
    <w:rsid w:val="006C2F05"/>
    <w:rsid w:val="006C2F70"/>
    <w:rsid w:val="006C2F8B"/>
    <w:rsid w:val="006C2F93"/>
    <w:rsid w:val="006C300F"/>
    <w:rsid w:val="006C3029"/>
    <w:rsid w:val="006C3038"/>
    <w:rsid w:val="006C30DF"/>
    <w:rsid w:val="006C3102"/>
    <w:rsid w:val="006C3109"/>
    <w:rsid w:val="006C3149"/>
    <w:rsid w:val="006C321C"/>
    <w:rsid w:val="006C32A7"/>
    <w:rsid w:val="006C32C3"/>
    <w:rsid w:val="006C32E9"/>
    <w:rsid w:val="006C3380"/>
    <w:rsid w:val="006C33E1"/>
    <w:rsid w:val="006C3422"/>
    <w:rsid w:val="006C344D"/>
    <w:rsid w:val="006C3468"/>
    <w:rsid w:val="006C34CE"/>
    <w:rsid w:val="006C34F7"/>
    <w:rsid w:val="006C3506"/>
    <w:rsid w:val="006C3516"/>
    <w:rsid w:val="006C3551"/>
    <w:rsid w:val="006C3563"/>
    <w:rsid w:val="006C35B3"/>
    <w:rsid w:val="006C35F0"/>
    <w:rsid w:val="006C35F2"/>
    <w:rsid w:val="006C35FF"/>
    <w:rsid w:val="006C3605"/>
    <w:rsid w:val="006C3639"/>
    <w:rsid w:val="006C36A9"/>
    <w:rsid w:val="006C36B0"/>
    <w:rsid w:val="006C36D3"/>
    <w:rsid w:val="006C3823"/>
    <w:rsid w:val="006C38DD"/>
    <w:rsid w:val="006C390B"/>
    <w:rsid w:val="006C393B"/>
    <w:rsid w:val="006C3988"/>
    <w:rsid w:val="006C399C"/>
    <w:rsid w:val="006C39F3"/>
    <w:rsid w:val="006C3A4F"/>
    <w:rsid w:val="006C3A7B"/>
    <w:rsid w:val="006C3A99"/>
    <w:rsid w:val="006C3B50"/>
    <w:rsid w:val="006C3B5A"/>
    <w:rsid w:val="006C3BCC"/>
    <w:rsid w:val="006C3BEB"/>
    <w:rsid w:val="006C3C6A"/>
    <w:rsid w:val="006C3E45"/>
    <w:rsid w:val="006C3E7D"/>
    <w:rsid w:val="006C3EBF"/>
    <w:rsid w:val="006C3EF9"/>
    <w:rsid w:val="006C3F20"/>
    <w:rsid w:val="006C3F21"/>
    <w:rsid w:val="006C3F74"/>
    <w:rsid w:val="006C3F86"/>
    <w:rsid w:val="006C3F8A"/>
    <w:rsid w:val="006C3FA1"/>
    <w:rsid w:val="006C3FBF"/>
    <w:rsid w:val="006C3FE7"/>
    <w:rsid w:val="006C4023"/>
    <w:rsid w:val="006C4067"/>
    <w:rsid w:val="006C4096"/>
    <w:rsid w:val="006C40CC"/>
    <w:rsid w:val="006C4108"/>
    <w:rsid w:val="006C417B"/>
    <w:rsid w:val="006C41A0"/>
    <w:rsid w:val="006C41B0"/>
    <w:rsid w:val="006C41BB"/>
    <w:rsid w:val="006C426D"/>
    <w:rsid w:val="006C42BF"/>
    <w:rsid w:val="006C436E"/>
    <w:rsid w:val="006C438A"/>
    <w:rsid w:val="006C4421"/>
    <w:rsid w:val="006C4437"/>
    <w:rsid w:val="006C4468"/>
    <w:rsid w:val="006C44A6"/>
    <w:rsid w:val="006C44E6"/>
    <w:rsid w:val="006C455D"/>
    <w:rsid w:val="006C4591"/>
    <w:rsid w:val="006C45C7"/>
    <w:rsid w:val="006C4617"/>
    <w:rsid w:val="006C468F"/>
    <w:rsid w:val="006C46F6"/>
    <w:rsid w:val="006C4762"/>
    <w:rsid w:val="006C4781"/>
    <w:rsid w:val="006C47BB"/>
    <w:rsid w:val="006C47D6"/>
    <w:rsid w:val="006C4836"/>
    <w:rsid w:val="006C48BF"/>
    <w:rsid w:val="006C490A"/>
    <w:rsid w:val="006C495C"/>
    <w:rsid w:val="006C49F8"/>
    <w:rsid w:val="006C4A33"/>
    <w:rsid w:val="006C4ABF"/>
    <w:rsid w:val="006C4B0A"/>
    <w:rsid w:val="006C4B70"/>
    <w:rsid w:val="006C4B7C"/>
    <w:rsid w:val="006C4BB1"/>
    <w:rsid w:val="006C4BCD"/>
    <w:rsid w:val="006C4C24"/>
    <w:rsid w:val="006C4C28"/>
    <w:rsid w:val="006C4C59"/>
    <w:rsid w:val="006C4CA0"/>
    <w:rsid w:val="006C4CB1"/>
    <w:rsid w:val="006C4D04"/>
    <w:rsid w:val="006C4D06"/>
    <w:rsid w:val="006C4D1F"/>
    <w:rsid w:val="006C4DD6"/>
    <w:rsid w:val="006C4DDD"/>
    <w:rsid w:val="006C4DEB"/>
    <w:rsid w:val="006C4E0C"/>
    <w:rsid w:val="006C4E25"/>
    <w:rsid w:val="006C4E63"/>
    <w:rsid w:val="006C4E7A"/>
    <w:rsid w:val="006C4E7E"/>
    <w:rsid w:val="006C4F79"/>
    <w:rsid w:val="006C4FEC"/>
    <w:rsid w:val="006C501A"/>
    <w:rsid w:val="006C504E"/>
    <w:rsid w:val="006C506A"/>
    <w:rsid w:val="006C50AE"/>
    <w:rsid w:val="006C50FC"/>
    <w:rsid w:val="006C5183"/>
    <w:rsid w:val="006C5189"/>
    <w:rsid w:val="006C51D4"/>
    <w:rsid w:val="006C51EC"/>
    <w:rsid w:val="006C525E"/>
    <w:rsid w:val="006C52FE"/>
    <w:rsid w:val="006C5378"/>
    <w:rsid w:val="006C539D"/>
    <w:rsid w:val="006C53A7"/>
    <w:rsid w:val="006C53F8"/>
    <w:rsid w:val="006C542A"/>
    <w:rsid w:val="006C542F"/>
    <w:rsid w:val="006C54E0"/>
    <w:rsid w:val="006C54EB"/>
    <w:rsid w:val="006C5531"/>
    <w:rsid w:val="006C55CE"/>
    <w:rsid w:val="006C5669"/>
    <w:rsid w:val="006C569D"/>
    <w:rsid w:val="006C575E"/>
    <w:rsid w:val="006C5770"/>
    <w:rsid w:val="006C5782"/>
    <w:rsid w:val="006C57C1"/>
    <w:rsid w:val="006C57F2"/>
    <w:rsid w:val="006C57FC"/>
    <w:rsid w:val="006C5819"/>
    <w:rsid w:val="006C5825"/>
    <w:rsid w:val="006C5844"/>
    <w:rsid w:val="006C584C"/>
    <w:rsid w:val="006C58A7"/>
    <w:rsid w:val="006C58E6"/>
    <w:rsid w:val="006C58FD"/>
    <w:rsid w:val="006C59D5"/>
    <w:rsid w:val="006C5A5C"/>
    <w:rsid w:val="006C5AC9"/>
    <w:rsid w:val="006C5B33"/>
    <w:rsid w:val="006C5B42"/>
    <w:rsid w:val="006C5B4A"/>
    <w:rsid w:val="006C5B72"/>
    <w:rsid w:val="006C5C4A"/>
    <w:rsid w:val="006C5C71"/>
    <w:rsid w:val="006C5D1E"/>
    <w:rsid w:val="006C5D70"/>
    <w:rsid w:val="006C5D97"/>
    <w:rsid w:val="006C5DFC"/>
    <w:rsid w:val="006C5ED7"/>
    <w:rsid w:val="006C5F49"/>
    <w:rsid w:val="006C5F81"/>
    <w:rsid w:val="006C5F95"/>
    <w:rsid w:val="006C5F96"/>
    <w:rsid w:val="006C5FC7"/>
    <w:rsid w:val="006C5FDE"/>
    <w:rsid w:val="006C5FED"/>
    <w:rsid w:val="006C604A"/>
    <w:rsid w:val="006C6107"/>
    <w:rsid w:val="006C6123"/>
    <w:rsid w:val="006C6139"/>
    <w:rsid w:val="006C61E2"/>
    <w:rsid w:val="006C61F3"/>
    <w:rsid w:val="006C6202"/>
    <w:rsid w:val="006C621C"/>
    <w:rsid w:val="006C6264"/>
    <w:rsid w:val="006C627A"/>
    <w:rsid w:val="006C629A"/>
    <w:rsid w:val="006C62CC"/>
    <w:rsid w:val="006C632D"/>
    <w:rsid w:val="006C6399"/>
    <w:rsid w:val="006C63C8"/>
    <w:rsid w:val="006C63CF"/>
    <w:rsid w:val="006C63E4"/>
    <w:rsid w:val="006C6403"/>
    <w:rsid w:val="006C649C"/>
    <w:rsid w:val="006C6585"/>
    <w:rsid w:val="006C65AE"/>
    <w:rsid w:val="006C65F5"/>
    <w:rsid w:val="006C6636"/>
    <w:rsid w:val="006C66C4"/>
    <w:rsid w:val="006C66CA"/>
    <w:rsid w:val="006C66D0"/>
    <w:rsid w:val="006C6708"/>
    <w:rsid w:val="006C6774"/>
    <w:rsid w:val="006C67D3"/>
    <w:rsid w:val="006C680F"/>
    <w:rsid w:val="006C6882"/>
    <w:rsid w:val="006C6883"/>
    <w:rsid w:val="006C6912"/>
    <w:rsid w:val="006C6922"/>
    <w:rsid w:val="006C6932"/>
    <w:rsid w:val="006C6949"/>
    <w:rsid w:val="006C69CB"/>
    <w:rsid w:val="006C69DA"/>
    <w:rsid w:val="006C6A1A"/>
    <w:rsid w:val="006C6A22"/>
    <w:rsid w:val="006C6A2C"/>
    <w:rsid w:val="006C6B56"/>
    <w:rsid w:val="006C6B80"/>
    <w:rsid w:val="006C6BB1"/>
    <w:rsid w:val="006C6BBA"/>
    <w:rsid w:val="006C6C8E"/>
    <w:rsid w:val="006C6C94"/>
    <w:rsid w:val="006C6D06"/>
    <w:rsid w:val="006C6D64"/>
    <w:rsid w:val="006C6E28"/>
    <w:rsid w:val="006C6E5B"/>
    <w:rsid w:val="006C6EC5"/>
    <w:rsid w:val="006C6F08"/>
    <w:rsid w:val="006C6F0D"/>
    <w:rsid w:val="006C6F3C"/>
    <w:rsid w:val="006C6F55"/>
    <w:rsid w:val="006C6F74"/>
    <w:rsid w:val="006C6F8B"/>
    <w:rsid w:val="006C6FA3"/>
    <w:rsid w:val="006C6FDC"/>
    <w:rsid w:val="006C7003"/>
    <w:rsid w:val="006C703F"/>
    <w:rsid w:val="006C706D"/>
    <w:rsid w:val="006C708E"/>
    <w:rsid w:val="006C70B6"/>
    <w:rsid w:val="006C7116"/>
    <w:rsid w:val="006C7137"/>
    <w:rsid w:val="006C72F4"/>
    <w:rsid w:val="006C7388"/>
    <w:rsid w:val="006C73B3"/>
    <w:rsid w:val="006C73F8"/>
    <w:rsid w:val="006C7413"/>
    <w:rsid w:val="006C7444"/>
    <w:rsid w:val="006C74B4"/>
    <w:rsid w:val="006C756F"/>
    <w:rsid w:val="006C75AF"/>
    <w:rsid w:val="006C760A"/>
    <w:rsid w:val="006C76B7"/>
    <w:rsid w:val="006C76B8"/>
    <w:rsid w:val="006C76BA"/>
    <w:rsid w:val="006C773D"/>
    <w:rsid w:val="006C7749"/>
    <w:rsid w:val="006C7798"/>
    <w:rsid w:val="006C77E7"/>
    <w:rsid w:val="006C77F4"/>
    <w:rsid w:val="006C7858"/>
    <w:rsid w:val="006C789E"/>
    <w:rsid w:val="006C78B5"/>
    <w:rsid w:val="006C78E3"/>
    <w:rsid w:val="006C78E4"/>
    <w:rsid w:val="006C7926"/>
    <w:rsid w:val="006C7987"/>
    <w:rsid w:val="006C79AB"/>
    <w:rsid w:val="006C7A25"/>
    <w:rsid w:val="006C7A2C"/>
    <w:rsid w:val="006C7A43"/>
    <w:rsid w:val="006C7A7F"/>
    <w:rsid w:val="006C7BB3"/>
    <w:rsid w:val="006C7BCC"/>
    <w:rsid w:val="006C7BD1"/>
    <w:rsid w:val="006C7BDB"/>
    <w:rsid w:val="006C7BDC"/>
    <w:rsid w:val="006C7C19"/>
    <w:rsid w:val="006C7C31"/>
    <w:rsid w:val="006C7C39"/>
    <w:rsid w:val="006C7CD9"/>
    <w:rsid w:val="006C7CEA"/>
    <w:rsid w:val="006C7DA5"/>
    <w:rsid w:val="006C7DCF"/>
    <w:rsid w:val="006C7E7F"/>
    <w:rsid w:val="006C7E9E"/>
    <w:rsid w:val="006C7EA6"/>
    <w:rsid w:val="006C7EAD"/>
    <w:rsid w:val="006C7EBA"/>
    <w:rsid w:val="006C7ED5"/>
    <w:rsid w:val="006C7F37"/>
    <w:rsid w:val="006C7FDE"/>
    <w:rsid w:val="006D002F"/>
    <w:rsid w:val="006D0055"/>
    <w:rsid w:val="006D0075"/>
    <w:rsid w:val="006D00AD"/>
    <w:rsid w:val="006D0172"/>
    <w:rsid w:val="006D0247"/>
    <w:rsid w:val="006D02EC"/>
    <w:rsid w:val="006D0310"/>
    <w:rsid w:val="006D0401"/>
    <w:rsid w:val="006D041F"/>
    <w:rsid w:val="006D043F"/>
    <w:rsid w:val="006D0459"/>
    <w:rsid w:val="006D0472"/>
    <w:rsid w:val="006D0474"/>
    <w:rsid w:val="006D04D0"/>
    <w:rsid w:val="006D054E"/>
    <w:rsid w:val="006D059D"/>
    <w:rsid w:val="006D05AB"/>
    <w:rsid w:val="006D0674"/>
    <w:rsid w:val="006D0678"/>
    <w:rsid w:val="006D07D6"/>
    <w:rsid w:val="006D0818"/>
    <w:rsid w:val="006D081F"/>
    <w:rsid w:val="006D0856"/>
    <w:rsid w:val="006D085B"/>
    <w:rsid w:val="006D0869"/>
    <w:rsid w:val="006D089C"/>
    <w:rsid w:val="006D08B4"/>
    <w:rsid w:val="006D093A"/>
    <w:rsid w:val="006D09D5"/>
    <w:rsid w:val="006D09F5"/>
    <w:rsid w:val="006D0A26"/>
    <w:rsid w:val="006D0A2D"/>
    <w:rsid w:val="006D0A3B"/>
    <w:rsid w:val="006D0AB0"/>
    <w:rsid w:val="006D0ACE"/>
    <w:rsid w:val="006D0AF8"/>
    <w:rsid w:val="006D0B45"/>
    <w:rsid w:val="006D0BA0"/>
    <w:rsid w:val="006D0C8A"/>
    <w:rsid w:val="006D0D21"/>
    <w:rsid w:val="006D0D33"/>
    <w:rsid w:val="006D0D7A"/>
    <w:rsid w:val="006D0E16"/>
    <w:rsid w:val="006D0E29"/>
    <w:rsid w:val="006D0E3C"/>
    <w:rsid w:val="006D0E88"/>
    <w:rsid w:val="006D0EB5"/>
    <w:rsid w:val="006D0EBC"/>
    <w:rsid w:val="006D0EF3"/>
    <w:rsid w:val="006D0F56"/>
    <w:rsid w:val="006D102D"/>
    <w:rsid w:val="006D1047"/>
    <w:rsid w:val="006D104E"/>
    <w:rsid w:val="006D105D"/>
    <w:rsid w:val="006D10BF"/>
    <w:rsid w:val="006D111D"/>
    <w:rsid w:val="006D112C"/>
    <w:rsid w:val="006D122C"/>
    <w:rsid w:val="006D1234"/>
    <w:rsid w:val="006D125E"/>
    <w:rsid w:val="006D127E"/>
    <w:rsid w:val="006D128A"/>
    <w:rsid w:val="006D12D1"/>
    <w:rsid w:val="006D130D"/>
    <w:rsid w:val="006D13C5"/>
    <w:rsid w:val="006D1437"/>
    <w:rsid w:val="006D14CC"/>
    <w:rsid w:val="006D14D9"/>
    <w:rsid w:val="006D153E"/>
    <w:rsid w:val="006D1601"/>
    <w:rsid w:val="006D1682"/>
    <w:rsid w:val="006D1699"/>
    <w:rsid w:val="006D16ED"/>
    <w:rsid w:val="006D1780"/>
    <w:rsid w:val="006D17E3"/>
    <w:rsid w:val="006D1807"/>
    <w:rsid w:val="006D1841"/>
    <w:rsid w:val="006D1854"/>
    <w:rsid w:val="006D191B"/>
    <w:rsid w:val="006D1984"/>
    <w:rsid w:val="006D1986"/>
    <w:rsid w:val="006D19D4"/>
    <w:rsid w:val="006D1A0F"/>
    <w:rsid w:val="006D1A15"/>
    <w:rsid w:val="006D1A79"/>
    <w:rsid w:val="006D1A7E"/>
    <w:rsid w:val="006D1B33"/>
    <w:rsid w:val="006D1BB1"/>
    <w:rsid w:val="006D1BFC"/>
    <w:rsid w:val="006D1C89"/>
    <w:rsid w:val="006D1CB0"/>
    <w:rsid w:val="006D1CFB"/>
    <w:rsid w:val="006D1D94"/>
    <w:rsid w:val="006D1DAF"/>
    <w:rsid w:val="006D1E24"/>
    <w:rsid w:val="006D1E35"/>
    <w:rsid w:val="006D1EC1"/>
    <w:rsid w:val="006D1F31"/>
    <w:rsid w:val="006D1F3F"/>
    <w:rsid w:val="006D1F67"/>
    <w:rsid w:val="006D1F94"/>
    <w:rsid w:val="006D2007"/>
    <w:rsid w:val="006D200C"/>
    <w:rsid w:val="006D2024"/>
    <w:rsid w:val="006D208F"/>
    <w:rsid w:val="006D20C8"/>
    <w:rsid w:val="006D20EE"/>
    <w:rsid w:val="006D21AA"/>
    <w:rsid w:val="006D21CC"/>
    <w:rsid w:val="006D21E4"/>
    <w:rsid w:val="006D222A"/>
    <w:rsid w:val="006D22DA"/>
    <w:rsid w:val="006D22E4"/>
    <w:rsid w:val="006D2312"/>
    <w:rsid w:val="006D2365"/>
    <w:rsid w:val="006D2368"/>
    <w:rsid w:val="006D23BD"/>
    <w:rsid w:val="006D24B6"/>
    <w:rsid w:val="006D2514"/>
    <w:rsid w:val="006D2538"/>
    <w:rsid w:val="006D2563"/>
    <w:rsid w:val="006D2694"/>
    <w:rsid w:val="006D269C"/>
    <w:rsid w:val="006D2720"/>
    <w:rsid w:val="006D2727"/>
    <w:rsid w:val="006D274A"/>
    <w:rsid w:val="006D2811"/>
    <w:rsid w:val="006D2817"/>
    <w:rsid w:val="006D289F"/>
    <w:rsid w:val="006D28C8"/>
    <w:rsid w:val="006D293F"/>
    <w:rsid w:val="006D2967"/>
    <w:rsid w:val="006D297C"/>
    <w:rsid w:val="006D2980"/>
    <w:rsid w:val="006D2A46"/>
    <w:rsid w:val="006D2B05"/>
    <w:rsid w:val="006D2B16"/>
    <w:rsid w:val="006D2B8B"/>
    <w:rsid w:val="006D2BB9"/>
    <w:rsid w:val="006D2BBC"/>
    <w:rsid w:val="006D2C19"/>
    <w:rsid w:val="006D2C4E"/>
    <w:rsid w:val="006D2C7C"/>
    <w:rsid w:val="006D2C85"/>
    <w:rsid w:val="006D2C8A"/>
    <w:rsid w:val="006D2CA5"/>
    <w:rsid w:val="006D2D18"/>
    <w:rsid w:val="006D2D1F"/>
    <w:rsid w:val="006D2D21"/>
    <w:rsid w:val="006D2D39"/>
    <w:rsid w:val="006D2E21"/>
    <w:rsid w:val="006D2E6B"/>
    <w:rsid w:val="006D2E92"/>
    <w:rsid w:val="006D2EC4"/>
    <w:rsid w:val="006D2ED6"/>
    <w:rsid w:val="006D2EF1"/>
    <w:rsid w:val="006D2F7A"/>
    <w:rsid w:val="006D2FC2"/>
    <w:rsid w:val="006D2FC9"/>
    <w:rsid w:val="006D2FD1"/>
    <w:rsid w:val="006D2FF2"/>
    <w:rsid w:val="006D2FF6"/>
    <w:rsid w:val="006D3043"/>
    <w:rsid w:val="006D30E3"/>
    <w:rsid w:val="006D3111"/>
    <w:rsid w:val="006D3149"/>
    <w:rsid w:val="006D3179"/>
    <w:rsid w:val="006D31A5"/>
    <w:rsid w:val="006D31C0"/>
    <w:rsid w:val="006D31C8"/>
    <w:rsid w:val="006D31D1"/>
    <w:rsid w:val="006D3235"/>
    <w:rsid w:val="006D3243"/>
    <w:rsid w:val="006D327C"/>
    <w:rsid w:val="006D3311"/>
    <w:rsid w:val="006D336C"/>
    <w:rsid w:val="006D337D"/>
    <w:rsid w:val="006D33CE"/>
    <w:rsid w:val="006D3422"/>
    <w:rsid w:val="006D3435"/>
    <w:rsid w:val="006D3542"/>
    <w:rsid w:val="006D35C5"/>
    <w:rsid w:val="006D35D9"/>
    <w:rsid w:val="006D35FA"/>
    <w:rsid w:val="006D360C"/>
    <w:rsid w:val="006D360F"/>
    <w:rsid w:val="006D3646"/>
    <w:rsid w:val="006D364D"/>
    <w:rsid w:val="006D3726"/>
    <w:rsid w:val="006D3730"/>
    <w:rsid w:val="006D37A1"/>
    <w:rsid w:val="006D37B7"/>
    <w:rsid w:val="006D37D9"/>
    <w:rsid w:val="006D37F7"/>
    <w:rsid w:val="006D37FC"/>
    <w:rsid w:val="006D3859"/>
    <w:rsid w:val="006D3872"/>
    <w:rsid w:val="006D38A5"/>
    <w:rsid w:val="006D3907"/>
    <w:rsid w:val="006D391F"/>
    <w:rsid w:val="006D3974"/>
    <w:rsid w:val="006D3990"/>
    <w:rsid w:val="006D39A0"/>
    <w:rsid w:val="006D39F5"/>
    <w:rsid w:val="006D3A07"/>
    <w:rsid w:val="006D3B05"/>
    <w:rsid w:val="006D3B19"/>
    <w:rsid w:val="006D3B26"/>
    <w:rsid w:val="006D3BCE"/>
    <w:rsid w:val="006D3C19"/>
    <w:rsid w:val="006D3C37"/>
    <w:rsid w:val="006D3C97"/>
    <w:rsid w:val="006D3DBA"/>
    <w:rsid w:val="006D3DF3"/>
    <w:rsid w:val="006D3EA5"/>
    <w:rsid w:val="006D3EFE"/>
    <w:rsid w:val="006D3F12"/>
    <w:rsid w:val="006D3F1A"/>
    <w:rsid w:val="006D3F1B"/>
    <w:rsid w:val="006D3F50"/>
    <w:rsid w:val="006D3F99"/>
    <w:rsid w:val="006D3F9B"/>
    <w:rsid w:val="006D4091"/>
    <w:rsid w:val="006D40EA"/>
    <w:rsid w:val="006D40F9"/>
    <w:rsid w:val="006D4126"/>
    <w:rsid w:val="006D412F"/>
    <w:rsid w:val="006D4193"/>
    <w:rsid w:val="006D4207"/>
    <w:rsid w:val="006D4209"/>
    <w:rsid w:val="006D420E"/>
    <w:rsid w:val="006D421B"/>
    <w:rsid w:val="006D4291"/>
    <w:rsid w:val="006D42E9"/>
    <w:rsid w:val="006D4301"/>
    <w:rsid w:val="006D433E"/>
    <w:rsid w:val="006D442C"/>
    <w:rsid w:val="006D442D"/>
    <w:rsid w:val="006D4430"/>
    <w:rsid w:val="006D454C"/>
    <w:rsid w:val="006D4557"/>
    <w:rsid w:val="006D4613"/>
    <w:rsid w:val="006D461B"/>
    <w:rsid w:val="006D4632"/>
    <w:rsid w:val="006D4648"/>
    <w:rsid w:val="006D4701"/>
    <w:rsid w:val="006D4734"/>
    <w:rsid w:val="006D474C"/>
    <w:rsid w:val="006D4783"/>
    <w:rsid w:val="006D4816"/>
    <w:rsid w:val="006D482E"/>
    <w:rsid w:val="006D485D"/>
    <w:rsid w:val="006D4878"/>
    <w:rsid w:val="006D487A"/>
    <w:rsid w:val="006D489E"/>
    <w:rsid w:val="006D48AA"/>
    <w:rsid w:val="006D494A"/>
    <w:rsid w:val="006D49D5"/>
    <w:rsid w:val="006D49EB"/>
    <w:rsid w:val="006D49F7"/>
    <w:rsid w:val="006D4A0B"/>
    <w:rsid w:val="006D4A6B"/>
    <w:rsid w:val="006D4A6F"/>
    <w:rsid w:val="006D4AD4"/>
    <w:rsid w:val="006D4AD7"/>
    <w:rsid w:val="006D4ADB"/>
    <w:rsid w:val="006D4ADC"/>
    <w:rsid w:val="006D4ADD"/>
    <w:rsid w:val="006D4B02"/>
    <w:rsid w:val="006D4B0A"/>
    <w:rsid w:val="006D4B1D"/>
    <w:rsid w:val="006D4B68"/>
    <w:rsid w:val="006D4BC6"/>
    <w:rsid w:val="006D4BD5"/>
    <w:rsid w:val="006D4BF8"/>
    <w:rsid w:val="006D4C2D"/>
    <w:rsid w:val="006D4D14"/>
    <w:rsid w:val="006D4D73"/>
    <w:rsid w:val="006D4E3E"/>
    <w:rsid w:val="006D4E43"/>
    <w:rsid w:val="006D4EA0"/>
    <w:rsid w:val="006D4F1C"/>
    <w:rsid w:val="006D4F50"/>
    <w:rsid w:val="006D4FB2"/>
    <w:rsid w:val="006D4FF0"/>
    <w:rsid w:val="006D5091"/>
    <w:rsid w:val="006D509A"/>
    <w:rsid w:val="006D509E"/>
    <w:rsid w:val="006D50AD"/>
    <w:rsid w:val="006D50BE"/>
    <w:rsid w:val="006D50CD"/>
    <w:rsid w:val="006D51C6"/>
    <w:rsid w:val="006D51ED"/>
    <w:rsid w:val="006D5271"/>
    <w:rsid w:val="006D52BD"/>
    <w:rsid w:val="006D536E"/>
    <w:rsid w:val="006D538F"/>
    <w:rsid w:val="006D53BA"/>
    <w:rsid w:val="006D5437"/>
    <w:rsid w:val="006D5475"/>
    <w:rsid w:val="006D5484"/>
    <w:rsid w:val="006D54A8"/>
    <w:rsid w:val="006D54C1"/>
    <w:rsid w:val="006D552D"/>
    <w:rsid w:val="006D55BB"/>
    <w:rsid w:val="006D55E1"/>
    <w:rsid w:val="006D5605"/>
    <w:rsid w:val="006D5629"/>
    <w:rsid w:val="006D56AA"/>
    <w:rsid w:val="006D577B"/>
    <w:rsid w:val="006D57FE"/>
    <w:rsid w:val="006D5884"/>
    <w:rsid w:val="006D58D2"/>
    <w:rsid w:val="006D58D7"/>
    <w:rsid w:val="006D58F6"/>
    <w:rsid w:val="006D5914"/>
    <w:rsid w:val="006D5928"/>
    <w:rsid w:val="006D592D"/>
    <w:rsid w:val="006D5A0D"/>
    <w:rsid w:val="006D5A0E"/>
    <w:rsid w:val="006D5A1A"/>
    <w:rsid w:val="006D5AD9"/>
    <w:rsid w:val="006D5B7C"/>
    <w:rsid w:val="006D5B82"/>
    <w:rsid w:val="006D5BCC"/>
    <w:rsid w:val="006D5C61"/>
    <w:rsid w:val="006D5C9A"/>
    <w:rsid w:val="006D5D1B"/>
    <w:rsid w:val="006D5DAC"/>
    <w:rsid w:val="006D5DB1"/>
    <w:rsid w:val="006D5E6D"/>
    <w:rsid w:val="006D5ED4"/>
    <w:rsid w:val="006D5EEF"/>
    <w:rsid w:val="006D5F7C"/>
    <w:rsid w:val="006D5F95"/>
    <w:rsid w:val="006D5FD8"/>
    <w:rsid w:val="006D5FF5"/>
    <w:rsid w:val="006D6095"/>
    <w:rsid w:val="006D609F"/>
    <w:rsid w:val="006D610B"/>
    <w:rsid w:val="006D6289"/>
    <w:rsid w:val="006D62E2"/>
    <w:rsid w:val="006D62F4"/>
    <w:rsid w:val="006D6328"/>
    <w:rsid w:val="006D6370"/>
    <w:rsid w:val="006D6384"/>
    <w:rsid w:val="006D639D"/>
    <w:rsid w:val="006D63D8"/>
    <w:rsid w:val="006D63F2"/>
    <w:rsid w:val="006D63F8"/>
    <w:rsid w:val="006D6420"/>
    <w:rsid w:val="006D64C3"/>
    <w:rsid w:val="006D64C4"/>
    <w:rsid w:val="006D6538"/>
    <w:rsid w:val="006D658A"/>
    <w:rsid w:val="006D6624"/>
    <w:rsid w:val="006D6643"/>
    <w:rsid w:val="006D6648"/>
    <w:rsid w:val="006D66A1"/>
    <w:rsid w:val="006D671C"/>
    <w:rsid w:val="006D6767"/>
    <w:rsid w:val="006D691A"/>
    <w:rsid w:val="006D693A"/>
    <w:rsid w:val="006D6977"/>
    <w:rsid w:val="006D69AD"/>
    <w:rsid w:val="006D6A09"/>
    <w:rsid w:val="006D6A2A"/>
    <w:rsid w:val="006D6A9E"/>
    <w:rsid w:val="006D6AE6"/>
    <w:rsid w:val="006D6B34"/>
    <w:rsid w:val="006D6B7D"/>
    <w:rsid w:val="006D6B87"/>
    <w:rsid w:val="006D6BC0"/>
    <w:rsid w:val="006D6BFF"/>
    <w:rsid w:val="006D6D44"/>
    <w:rsid w:val="006D6D5D"/>
    <w:rsid w:val="006D6D77"/>
    <w:rsid w:val="006D6D9E"/>
    <w:rsid w:val="006D6DCD"/>
    <w:rsid w:val="006D6DDB"/>
    <w:rsid w:val="006D6DE6"/>
    <w:rsid w:val="006D6EE2"/>
    <w:rsid w:val="006D6F12"/>
    <w:rsid w:val="006D6F3D"/>
    <w:rsid w:val="006D6F56"/>
    <w:rsid w:val="006D6FB7"/>
    <w:rsid w:val="006D6FC5"/>
    <w:rsid w:val="006D701F"/>
    <w:rsid w:val="006D70BF"/>
    <w:rsid w:val="006D711E"/>
    <w:rsid w:val="006D7131"/>
    <w:rsid w:val="006D7143"/>
    <w:rsid w:val="006D7183"/>
    <w:rsid w:val="006D71A5"/>
    <w:rsid w:val="006D7287"/>
    <w:rsid w:val="006D7328"/>
    <w:rsid w:val="006D734B"/>
    <w:rsid w:val="006D735A"/>
    <w:rsid w:val="006D739B"/>
    <w:rsid w:val="006D7437"/>
    <w:rsid w:val="006D74C5"/>
    <w:rsid w:val="006D755B"/>
    <w:rsid w:val="006D7561"/>
    <w:rsid w:val="006D7628"/>
    <w:rsid w:val="006D7631"/>
    <w:rsid w:val="006D7646"/>
    <w:rsid w:val="006D7673"/>
    <w:rsid w:val="006D76BA"/>
    <w:rsid w:val="006D76EC"/>
    <w:rsid w:val="006D77F0"/>
    <w:rsid w:val="006D77F1"/>
    <w:rsid w:val="006D77F7"/>
    <w:rsid w:val="006D7818"/>
    <w:rsid w:val="006D781F"/>
    <w:rsid w:val="006D7826"/>
    <w:rsid w:val="006D7859"/>
    <w:rsid w:val="006D785B"/>
    <w:rsid w:val="006D785E"/>
    <w:rsid w:val="006D7870"/>
    <w:rsid w:val="006D79A8"/>
    <w:rsid w:val="006D79C9"/>
    <w:rsid w:val="006D7A94"/>
    <w:rsid w:val="006D7B16"/>
    <w:rsid w:val="006D7B95"/>
    <w:rsid w:val="006D7CB8"/>
    <w:rsid w:val="006D7D38"/>
    <w:rsid w:val="006D7D62"/>
    <w:rsid w:val="006D7D8B"/>
    <w:rsid w:val="006D7E0D"/>
    <w:rsid w:val="006D7E38"/>
    <w:rsid w:val="006D7EF4"/>
    <w:rsid w:val="006D7F19"/>
    <w:rsid w:val="006D7F1C"/>
    <w:rsid w:val="006D7F95"/>
    <w:rsid w:val="006E0066"/>
    <w:rsid w:val="006E00BC"/>
    <w:rsid w:val="006E013E"/>
    <w:rsid w:val="006E0179"/>
    <w:rsid w:val="006E0199"/>
    <w:rsid w:val="006E01C0"/>
    <w:rsid w:val="006E0292"/>
    <w:rsid w:val="006E029C"/>
    <w:rsid w:val="006E02F6"/>
    <w:rsid w:val="006E034E"/>
    <w:rsid w:val="006E03AC"/>
    <w:rsid w:val="006E0437"/>
    <w:rsid w:val="006E0442"/>
    <w:rsid w:val="006E047D"/>
    <w:rsid w:val="006E048A"/>
    <w:rsid w:val="006E04C7"/>
    <w:rsid w:val="006E04E8"/>
    <w:rsid w:val="006E057D"/>
    <w:rsid w:val="006E0591"/>
    <w:rsid w:val="006E061D"/>
    <w:rsid w:val="006E0660"/>
    <w:rsid w:val="006E074D"/>
    <w:rsid w:val="006E0824"/>
    <w:rsid w:val="006E0837"/>
    <w:rsid w:val="006E085D"/>
    <w:rsid w:val="006E0937"/>
    <w:rsid w:val="006E09BF"/>
    <w:rsid w:val="006E09C5"/>
    <w:rsid w:val="006E09DA"/>
    <w:rsid w:val="006E09E6"/>
    <w:rsid w:val="006E0A19"/>
    <w:rsid w:val="006E0AEC"/>
    <w:rsid w:val="006E0B1A"/>
    <w:rsid w:val="006E0C1E"/>
    <w:rsid w:val="006E0C5B"/>
    <w:rsid w:val="006E0D02"/>
    <w:rsid w:val="006E0D24"/>
    <w:rsid w:val="006E0D42"/>
    <w:rsid w:val="006E0D47"/>
    <w:rsid w:val="006E0DC2"/>
    <w:rsid w:val="006E0DD6"/>
    <w:rsid w:val="006E0DFB"/>
    <w:rsid w:val="006E0E08"/>
    <w:rsid w:val="006E0E4B"/>
    <w:rsid w:val="006E0E5D"/>
    <w:rsid w:val="006E0E81"/>
    <w:rsid w:val="006E0EEA"/>
    <w:rsid w:val="006E0F78"/>
    <w:rsid w:val="006E10AB"/>
    <w:rsid w:val="006E10C3"/>
    <w:rsid w:val="006E1124"/>
    <w:rsid w:val="006E112C"/>
    <w:rsid w:val="006E1131"/>
    <w:rsid w:val="006E11FF"/>
    <w:rsid w:val="006E127C"/>
    <w:rsid w:val="006E1289"/>
    <w:rsid w:val="006E12A8"/>
    <w:rsid w:val="006E12C1"/>
    <w:rsid w:val="006E130E"/>
    <w:rsid w:val="006E138B"/>
    <w:rsid w:val="006E139B"/>
    <w:rsid w:val="006E13BA"/>
    <w:rsid w:val="006E142A"/>
    <w:rsid w:val="006E1443"/>
    <w:rsid w:val="006E1445"/>
    <w:rsid w:val="006E1448"/>
    <w:rsid w:val="006E145F"/>
    <w:rsid w:val="006E14BE"/>
    <w:rsid w:val="006E157D"/>
    <w:rsid w:val="006E15B3"/>
    <w:rsid w:val="006E1605"/>
    <w:rsid w:val="006E163B"/>
    <w:rsid w:val="006E1658"/>
    <w:rsid w:val="006E1661"/>
    <w:rsid w:val="006E166E"/>
    <w:rsid w:val="006E1689"/>
    <w:rsid w:val="006E16E2"/>
    <w:rsid w:val="006E16F4"/>
    <w:rsid w:val="006E1727"/>
    <w:rsid w:val="006E176F"/>
    <w:rsid w:val="006E17D8"/>
    <w:rsid w:val="006E1823"/>
    <w:rsid w:val="006E1844"/>
    <w:rsid w:val="006E185A"/>
    <w:rsid w:val="006E1896"/>
    <w:rsid w:val="006E18CF"/>
    <w:rsid w:val="006E18DC"/>
    <w:rsid w:val="006E1977"/>
    <w:rsid w:val="006E19E4"/>
    <w:rsid w:val="006E1A33"/>
    <w:rsid w:val="006E1A96"/>
    <w:rsid w:val="006E1AD7"/>
    <w:rsid w:val="006E1B49"/>
    <w:rsid w:val="006E1B6F"/>
    <w:rsid w:val="006E1BAB"/>
    <w:rsid w:val="006E1BB1"/>
    <w:rsid w:val="006E1C60"/>
    <w:rsid w:val="006E1CAB"/>
    <w:rsid w:val="006E1CBF"/>
    <w:rsid w:val="006E1CED"/>
    <w:rsid w:val="006E1DE6"/>
    <w:rsid w:val="006E1E12"/>
    <w:rsid w:val="006E1E65"/>
    <w:rsid w:val="006E1E7B"/>
    <w:rsid w:val="006E1E8C"/>
    <w:rsid w:val="006E1F0D"/>
    <w:rsid w:val="006E1F1E"/>
    <w:rsid w:val="006E1F8E"/>
    <w:rsid w:val="006E1F95"/>
    <w:rsid w:val="006E1F9D"/>
    <w:rsid w:val="006E1F9E"/>
    <w:rsid w:val="006E1FD3"/>
    <w:rsid w:val="006E20AD"/>
    <w:rsid w:val="006E20E8"/>
    <w:rsid w:val="006E215C"/>
    <w:rsid w:val="006E2174"/>
    <w:rsid w:val="006E2199"/>
    <w:rsid w:val="006E21CE"/>
    <w:rsid w:val="006E2218"/>
    <w:rsid w:val="006E2220"/>
    <w:rsid w:val="006E2262"/>
    <w:rsid w:val="006E227B"/>
    <w:rsid w:val="006E22A0"/>
    <w:rsid w:val="006E22B0"/>
    <w:rsid w:val="006E22B5"/>
    <w:rsid w:val="006E22D4"/>
    <w:rsid w:val="006E2309"/>
    <w:rsid w:val="006E231C"/>
    <w:rsid w:val="006E2342"/>
    <w:rsid w:val="006E2354"/>
    <w:rsid w:val="006E235A"/>
    <w:rsid w:val="006E23AA"/>
    <w:rsid w:val="006E243D"/>
    <w:rsid w:val="006E2476"/>
    <w:rsid w:val="006E248F"/>
    <w:rsid w:val="006E2496"/>
    <w:rsid w:val="006E2519"/>
    <w:rsid w:val="006E2549"/>
    <w:rsid w:val="006E254A"/>
    <w:rsid w:val="006E2554"/>
    <w:rsid w:val="006E2578"/>
    <w:rsid w:val="006E257F"/>
    <w:rsid w:val="006E2595"/>
    <w:rsid w:val="006E25A8"/>
    <w:rsid w:val="006E25B0"/>
    <w:rsid w:val="006E25B7"/>
    <w:rsid w:val="006E25CC"/>
    <w:rsid w:val="006E25E3"/>
    <w:rsid w:val="006E25FE"/>
    <w:rsid w:val="006E263B"/>
    <w:rsid w:val="006E2693"/>
    <w:rsid w:val="006E26DD"/>
    <w:rsid w:val="006E272E"/>
    <w:rsid w:val="006E27A7"/>
    <w:rsid w:val="006E27DB"/>
    <w:rsid w:val="006E2838"/>
    <w:rsid w:val="006E284C"/>
    <w:rsid w:val="006E287F"/>
    <w:rsid w:val="006E28A4"/>
    <w:rsid w:val="006E28DA"/>
    <w:rsid w:val="006E2941"/>
    <w:rsid w:val="006E29D8"/>
    <w:rsid w:val="006E29E2"/>
    <w:rsid w:val="006E2A24"/>
    <w:rsid w:val="006E2A3F"/>
    <w:rsid w:val="006E2A52"/>
    <w:rsid w:val="006E2A82"/>
    <w:rsid w:val="006E2ABF"/>
    <w:rsid w:val="006E2B24"/>
    <w:rsid w:val="006E2B32"/>
    <w:rsid w:val="006E2BFB"/>
    <w:rsid w:val="006E2C68"/>
    <w:rsid w:val="006E2CC4"/>
    <w:rsid w:val="006E2D6B"/>
    <w:rsid w:val="006E2D7C"/>
    <w:rsid w:val="006E2DCA"/>
    <w:rsid w:val="006E2E72"/>
    <w:rsid w:val="006E2E7B"/>
    <w:rsid w:val="006E2EC6"/>
    <w:rsid w:val="006E2F0B"/>
    <w:rsid w:val="006E2F1A"/>
    <w:rsid w:val="006E2F7A"/>
    <w:rsid w:val="006E2F8A"/>
    <w:rsid w:val="006E2FC9"/>
    <w:rsid w:val="006E301E"/>
    <w:rsid w:val="006E303B"/>
    <w:rsid w:val="006E3057"/>
    <w:rsid w:val="006E3093"/>
    <w:rsid w:val="006E309B"/>
    <w:rsid w:val="006E309F"/>
    <w:rsid w:val="006E30BD"/>
    <w:rsid w:val="006E30C1"/>
    <w:rsid w:val="006E30DB"/>
    <w:rsid w:val="006E3101"/>
    <w:rsid w:val="006E3158"/>
    <w:rsid w:val="006E31C0"/>
    <w:rsid w:val="006E3301"/>
    <w:rsid w:val="006E3302"/>
    <w:rsid w:val="006E330D"/>
    <w:rsid w:val="006E3317"/>
    <w:rsid w:val="006E3331"/>
    <w:rsid w:val="006E340A"/>
    <w:rsid w:val="006E344C"/>
    <w:rsid w:val="006E344F"/>
    <w:rsid w:val="006E345E"/>
    <w:rsid w:val="006E3468"/>
    <w:rsid w:val="006E34E6"/>
    <w:rsid w:val="006E3546"/>
    <w:rsid w:val="006E35DF"/>
    <w:rsid w:val="006E36C4"/>
    <w:rsid w:val="006E3721"/>
    <w:rsid w:val="006E373F"/>
    <w:rsid w:val="006E3740"/>
    <w:rsid w:val="006E37A9"/>
    <w:rsid w:val="006E383E"/>
    <w:rsid w:val="006E385D"/>
    <w:rsid w:val="006E394E"/>
    <w:rsid w:val="006E3970"/>
    <w:rsid w:val="006E3997"/>
    <w:rsid w:val="006E399C"/>
    <w:rsid w:val="006E3A1A"/>
    <w:rsid w:val="006E3A5C"/>
    <w:rsid w:val="006E3AE3"/>
    <w:rsid w:val="006E3B39"/>
    <w:rsid w:val="006E3B40"/>
    <w:rsid w:val="006E3B4F"/>
    <w:rsid w:val="006E3C3B"/>
    <w:rsid w:val="006E3C44"/>
    <w:rsid w:val="006E3C49"/>
    <w:rsid w:val="006E3CA4"/>
    <w:rsid w:val="006E3CE8"/>
    <w:rsid w:val="006E3D22"/>
    <w:rsid w:val="006E3D64"/>
    <w:rsid w:val="006E3E4E"/>
    <w:rsid w:val="006E3E6B"/>
    <w:rsid w:val="006E3ED2"/>
    <w:rsid w:val="006E3ED6"/>
    <w:rsid w:val="006E3EF4"/>
    <w:rsid w:val="006E3EF8"/>
    <w:rsid w:val="006E3F14"/>
    <w:rsid w:val="006E3F62"/>
    <w:rsid w:val="006E3FB7"/>
    <w:rsid w:val="006E3FE8"/>
    <w:rsid w:val="006E400C"/>
    <w:rsid w:val="006E4045"/>
    <w:rsid w:val="006E4090"/>
    <w:rsid w:val="006E4166"/>
    <w:rsid w:val="006E41AA"/>
    <w:rsid w:val="006E41FC"/>
    <w:rsid w:val="006E4239"/>
    <w:rsid w:val="006E4250"/>
    <w:rsid w:val="006E426A"/>
    <w:rsid w:val="006E426F"/>
    <w:rsid w:val="006E4272"/>
    <w:rsid w:val="006E42B5"/>
    <w:rsid w:val="006E42E0"/>
    <w:rsid w:val="006E42EA"/>
    <w:rsid w:val="006E4316"/>
    <w:rsid w:val="006E4347"/>
    <w:rsid w:val="006E43C6"/>
    <w:rsid w:val="006E4424"/>
    <w:rsid w:val="006E4435"/>
    <w:rsid w:val="006E446F"/>
    <w:rsid w:val="006E4470"/>
    <w:rsid w:val="006E4498"/>
    <w:rsid w:val="006E44C6"/>
    <w:rsid w:val="006E44D8"/>
    <w:rsid w:val="006E4525"/>
    <w:rsid w:val="006E455C"/>
    <w:rsid w:val="006E4563"/>
    <w:rsid w:val="006E45A7"/>
    <w:rsid w:val="006E45B4"/>
    <w:rsid w:val="006E45D3"/>
    <w:rsid w:val="006E4619"/>
    <w:rsid w:val="006E463B"/>
    <w:rsid w:val="006E4657"/>
    <w:rsid w:val="006E4660"/>
    <w:rsid w:val="006E4690"/>
    <w:rsid w:val="006E46D9"/>
    <w:rsid w:val="006E46EC"/>
    <w:rsid w:val="006E470F"/>
    <w:rsid w:val="006E473F"/>
    <w:rsid w:val="006E47EE"/>
    <w:rsid w:val="006E4832"/>
    <w:rsid w:val="006E488D"/>
    <w:rsid w:val="006E48B8"/>
    <w:rsid w:val="006E4A44"/>
    <w:rsid w:val="006E4A94"/>
    <w:rsid w:val="006E4A9C"/>
    <w:rsid w:val="006E4AA2"/>
    <w:rsid w:val="006E4C70"/>
    <w:rsid w:val="006E4D4E"/>
    <w:rsid w:val="006E4E6B"/>
    <w:rsid w:val="006E4E6E"/>
    <w:rsid w:val="006E4EB2"/>
    <w:rsid w:val="006E4EE3"/>
    <w:rsid w:val="006E4EFA"/>
    <w:rsid w:val="006E4F14"/>
    <w:rsid w:val="006E4F1D"/>
    <w:rsid w:val="006E4F26"/>
    <w:rsid w:val="006E4FB7"/>
    <w:rsid w:val="006E5040"/>
    <w:rsid w:val="006E5041"/>
    <w:rsid w:val="006E507D"/>
    <w:rsid w:val="006E50B6"/>
    <w:rsid w:val="006E50C5"/>
    <w:rsid w:val="006E50DA"/>
    <w:rsid w:val="006E50DE"/>
    <w:rsid w:val="006E50ED"/>
    <w:rsid w:val="006E5169"/>
    <w:rsid w:val="006E5239"/>
    <w:rsid w:val="006E5254"/>
    <w:rsid w:val="006E52CC"/>
    <w:rsid w:val="006E52D2"/>
    <w:rsid w:val="006E5341"/>
    <w:rsid w:val="006E536F"/>
    <w:rsid w:val="006E5376"/>
    <w:rsid w:val="006E5387"/>
    <w:rsid w:val="006E53AD"/>
    <w:rsid w:val="006E53AE"/>
    <w:rsid w:val="006E53B8"/>
    <w:rsid w:val="006E53EB"/>
    <w:rsid w:val="006E545C"/>
    <w:rsid w:val="006E5471"/>
    <w:rsid w:val="006E5484"/>
    <w:rsid w:val="006E54C9"/>
    <w:rsid w:val="006E5528"/>
    <w:rsid w:val="006E555E"/>
    <w:rsid w:val="006E55FD"/>
    <w:rsid w:val="006E5628"/>
    <w:rsid w:val="006E567B"/>
    <w:rsid w:val="006E5722"/>
    <w:rsid w:val="006E572E"/>
    <w:rsid w:val="006E575F"/>
    <w:rsid w:val="006E57E8"/>
    <w:rsid w:val="006E57F0"/>
    <w:rsid w:val="006E5837"/>
    <w:rsid w:val="006E586B"/>
    <w:rsid w:val="006E5878"/>
    <w:rsid w:val="006E5890"/>
    <w:rsid w:val="006E58A5"/>
    <w:rsid w:val="006E5924"/>
    <w:rsid w:val="006E593F"/>
    <w:rsid w:val="006E599C"/>
    <w:rsid w:val="006E59CF"/>
    <w:rsid w:val="006E59D9"/>
    <w:rsid w:val="006E5A49"/>
    <w:rsid w:val="006E5A5A"/>
    <w:rsid w:val="006E5A83"/>
    <w:rsid w:val="006E5A86"/>
    <w:rsid w:val="006E5B20"/>
    <w:rsid w:val="006E5B2B"/>
    <w:rsid w:val="006E5B4D"/>
    <w:rsid w:val="006E5B70"/>
    <w:rsid w:val="006E5BD3"/>
    <w:rsid w:val="006E5C4E"/>
    <w:rsid w:val="006E5CBC"/>
    <w:rsid w:val="006E5D25"/>
    <w:rsid w:val="006E5D30"/>
    <w:rsid w:val="006E5D35"/>
    <w:rsid w:val="006E5D4D"/>
    <w:rsid w:val="006E5D4F"/>
    <w:rsid w:val="006E5D51"/>
    <w:rsid w:val="006E5D63"/>
    <w:rsid w:val="006E5D98"/>
    <w:rsid w:val="006E5E14"/>
    <w:rsid w:val="006E5E37"/>
    <w:rsid w:val="006E5EE3"/>
    <w:rsid w:val="006E5EEE"/>
    <w:rsid w:val="006E5F15"/>
    <w:rsid w:val="006E5F38"/>
    <w:rsid w:val="006E5F47"/>
    <w:rsid w:val="006E5F8F"/>
    <w:rsid w:val="006E5FA2"/>
    <w:rsid w:val="006E5FC4"/>
    <w:rsid w:val="006E603C"/>
    <w:rsid w:val="006E605F"/>
    <w:rsid w:val="006E606A"/>
    <w:rsid w:val="006E6071"/>
    <w:rsid w:val="006E60B0"/>
    <w:rsid w:val="006E6101"/>
    <w:rsid w:val="006E614E"/>
    <w:rsid w:val="006E615B"/>
    <w:rsid w:val="006E6210"/>
    <w:rsid w:val="006E622B"/>
    <w:rsid w:val="006E6320"/>
    <w:rsid w:val="006E6331"/>
    <w:rsid w:val="006E637D"/>
    <w:rsid w:val="006E63B0"/>
    <w:rsid w:val="006E63F9"/>
    <w:rsid w:val="006E64D3"/>
    <w:rsid w:val="006E656C"/>
    <w:rsid w:val="006E65A7"/>
    <w:rsid w:val="006E660C"/>
    <w:rsid w:val="006E6686"/>
    <w:rsid w:val="006E66AA"/>
    <w:rsid w:val="006E66CF"/>
    <w:rsid w:val="006E66FC"/>
    <w:rsid w:val="006E67D3"/>
    <w:rsid w:val="006E6844"/>
    <w:rsid w:val="006E6859"/>
    <w:rsid w:val="006E6872"/>
    <w:rsid w:val="006E68A7"/>
    <w:rsid w:val="006E68A9"/>
    <w:rsid w:val="006E68E8"/>
    <w:rsid w:val="006E694F"/>
    <w:rsid w:val="006E6954"/>
    <w:rsid w:val="006E6A3E"/>
    <w:rsid w:val="006E6A5F"/>
    <w:rsid w:val="006E6AF8"/>
    <w:rsid w:val="006E6AFC"/>
    <w:rsid w:val="006E6BB4"/>
    <w:rsid w:val="006E6C48"/>
    <w:rsid w:val="006E6CF1"/>
    <w:rsid w:val="006E6D82"/>
    <w:rsid w:val="006E6D90"/>
    <w:rsid w:val="006E6DB9"/>
    <w:rsid w:val="006E6DCF"/>
    <w:rsid w:val="006E6DEE"/>
    <w:rsid w:val="006E6DEF"/>
    <w:rsid w:val="006E6E22"/>
    <w:rsid w:val="006E6F3C"/>
    <w:rsid w:val="006E6F9E"/>
    <w:rsid w:val="006E7048"/>
    <w:rsid w:val="006E7111"/>
    <w:rsid w:val="006E7153"/>
    <w:rsid w:val="006E7159"/>
    <w:rsid w:val="006E715F"/>
    <w:rsid w:val="006E71C2"/>
    <w:rsid w:val="006E71C6"/>
    <w:rsid w:val="006E71C8"/>
    <w:rsid w:val="006E724F"/>
    <w:rsid w:val="006E7297"/>
    <w:rsid w:val="006E7321"/>
    <w:rsid w:val="006E73C9"/>
    <w:rsid w:val="006E7415"/>
    <w:rsid w:val="006E742A"/>
    <w:rsid w:val="006E744C"/>
    <w:rsid w:val="006E7478"/>
    <w:rsid w:val="006E7483"/>
    <w:rsid w:val="006E75CD"/>
    <w:rsid w:val="006E760A"/>
    <w:rsid w:val="006E7647"/>
    <w:rsid w:val="006E7658"/>
    <w:rsid w:val="006E76D2"/>
    <w:rsid w:val="006E7765"/>
    <w:rsid w:val="006E7786"/>
    <w:rsid w:val="006E7796"/>
    <w:rsid w:val="006E77CC"/>
    <w:rsid w:val="006E77E8"/>
    <w:rsid w:val="006E788E"/>
    <w:rsid w:val="006E78A8"/>
    <w:rsid w:val="006E78AA"/>
    <w:rsid w:val="006E790F"/>
    <w:rsid w:val="006E792D"/>
    <w:rsid w:val="006E7961"/>
    <w:rsid w:val="006E7A49"/>
    <w:rsid w:val="006E7A8E"/>
    <w:rsid w:val="006E7AC7"/>
    <w:rsid w:val="006E7AE7"/>
    <w:rsid w:val="006E7B75"/>
    <w:rsid w:val="006E7BA3"/>
    <w:rsid w:val="006E7BD5"/>
    <w:rsid w:val="006E7BE3"/>
    <w:rsid w:val="006E7C66"/>
    <w:rsid w:val="006E7C78"/>
    <w:rsid w:val="006E7C79"/>
    <w:rsid w:val="006E7C7F"/>
    <w:rsid w:val="006E7D38"/>
    <w:rsid w:val="006E7D49"/>
    <w:rsid w:val="006E7D81"/>
    <w:rsid w:val="006E7D9A"/>
    <w:rsid w:val="006E7DCC"/>
    <w:rsid w:val="006E7DDD"/>
    <w:rsid w:val="006E7DE4"/>
    <w:rsid w:val="006E7E31"/>
    <w:rsid w:val="006E7E81"/>
    <w:rsid w:val="006E7EAB"/>
    <w:rsid w:val="006E7F02"/>
    <w:rsid w:val="006E7FB3"/>
    <w:rsid w:val="006F007F"/>
    <w:rsid w:val="006F00B5"/>
    <w:rsid w:val="006F00C8"/>
    <w:rsid w:val="006F014C"/>
    <w:rsid w:val="006F0206"/>
    <w:rsid w:val="006F023F"/>
    <w:rsid w:val="006F024B"/>
    <w:rsid w:val="006F0291"/>
    <w:rsid w:val="006F030E"/>
    <w:rsid w:val="006F0324"/>
    <w:rsid w:val="006F0327"/>
    <w:rsid w:val="006F0340"/>
    <w:rsid w:val="006F038D"/>
    <w:rsid w:val="006F03FD"/>
    <w:rsid w:val="006F0416"/>
    <w:rsid w:val="006F041A"/>
    <w:rsid w:val="006F0462"/>
    <w:rsid w:val="006F05BE"/>
    <w:rsid w:val="006F06C9"/>
    <w:rsid w:val="006F06D7"/>
    <w:rsid w:val="006F0703"/>
    <w:rsid w:val="006F073F"/>
    <w:rsid w:val="006F074E"/>
    <w:rsid w:val="006F07F7"/>
    <w:rsid w:val="006F080C"/>
    <w:rsid w:val="006F085F"/>
    <w:rsid w:val="006F08D4"/>
    <w:rsid w:val="006F0911"/>
    <w:rsid w:val="006F0916"/>
    <w:rsid w:val="006F0918"/>
    <w:rsid w:val="006F095C"/>
    <w:rsid w:val="006F0975"/>
    <w:rsid w:val="006F09E4"/>
    <w:rsid w:val="006F0A22"/>
    <w:rsid w:val="006F0A4A"/>
    <w:rsid w:val="006F0AB3"/>
    <w:rsid w:val="006F0AB5"/>
    <w:rsid w:val="006F0AC2"/>
    <w:rsid w:val="006F0B53"/>
    <w:rsid w:val="006F0BB8"/>
    <w:rsid w:val="006F0BD0"/>
    <w:rsid w:val="006F0C00"/>
    <w:rsid w:val="006F0C3A"/>
    <w:rsid w:val="006F0CA4"/>
    <w:rsid w:val="006F0CBE"/>
    <w:rsid w:val="006F0CE3"/>
    <w:rsid w:val="006F0D61"/>
    <w:rsid w:val="006F0DBA"/>
    <w:rsid w:val="006F0E07"/>
    <w:rsid w:val="006F0E5F"/>
    <w:rsid w:val="006F0EA8"/>
    <w:rsid w:val="006F0FBF"/>
    <w:rsid w:val="006F0FEE"/>
    <w:rsid w:val="006F100F"/>
    <w:rsid w:val="006F1035"/>
    <w:rsid w:val="006F104A"/>
    <w:rsid w:val="006F1067"/>
    <w:rsid w:val="006F10BE"/>
    <w:rsid w:val="006F10C6"/>
    <w:rsid w:val="006F116E"/>
    <w:rsid w:val="006F1217"/>
    <w:rsid w:val="006F1225"/>
    <w:rsid w:val="006F127E"/>
    <w:rsid w:val="006F128E"/>
    <w:rsid w:val="006F1292"/>
    <w:rsid w:val="006F1390"/>
    <w:rsid w:val="006F139F"/>
    <w:rsid w:val="006F13C0"/>
    <w:rsid w:val="006F1406"/>
    <w:rsid w:val="006F1413"/>
    <w:rsid w:val="006F1482"/>
    <w:rsid w:val="006F14D8"/>
    <w:rsid w:val="006F14FB"/>
    <w:rsid w:val="006F1523"/>
    <w:rsid w:val="006F1531"/>
    <w:rsid w:val="006F1546"/>
    <w:rsid w:val="006F163D"/>
    <w:rsid w:val="006F164D"/>
    <w:rsid w:val="006F1688"/>
    <w:rsid w:val="006F1698"/>
    <w:rsid w:val="006F170F"/>
    <w:rsid w:val="006F1713"/>
    <w:rsid w:val="006F17BA"/>
    <w:rsid w:val="006F17CE"/>
    <w:rsid w:val="006F18CD"/>
    <w:rsid w:val="006F196B"/>
    <w:rsid w:val="006F197D"/>
    <w:rsid w:val="006F19FF"/>
    <w:rsid w:val="006F1A23"/>
    <w:rsid w:val="006F1AAC"/>
    <w:rsid w:val="006F1AC5"/>
    <w:rsid w:val="006F1B18"/>
    <w:rsid w:val="006F1C7C"/>
    <w:rsid w:val="006F1D04"/>
    <w:rsid w:val="006F1DB3"/>
    <w:rsid w:val="006F1DC6"/>
    <w:rsid w:val="006F1E01"/>
    <w:rsid w:val="006F1E16"/>
    <w:rsid w:val="006F1E44"/>
    <w:rsid w:val="006F1E82"/>
    <w:rsid w:val="006F1EDF"/>
    <w:rsid w:val="006F1F07"/>
    <w:rsid w:val="006F1F2A"/>
    <w:rsid w:val="006F2076"/>
    <w:rsid w:val="006F20D6"/>
    <w:rsid w:val="006F210C"/>
    <w:rsid w:val="006F2160"/>
    <w:rsid w:val="006F2213"/>
    <w:rsid w:val="006F2280"/>
    <w:rsid w:val="006F22B9"/>
    <w:rsid w:val="006F22FE"/>
    <w:rsid w:val="006F2302"/>
    <w:rsid w:val="006F2310"/>
    <w:rsid w:val="006F23A7"/>
    <w:rsid w:val="006F23D1"/>
    <w:rsid w:val="006F2467"/>
    <w:rsid w:val="006F24EE"/>
    <w:rsid w:val="006F24F3"/>
    <w:rsid w:val="006F2520"/>
    <w:rsid w:val="006F2566"/>
    <w:rsid w:val="006F25DD"/>
    <w:rsid w:val="006F2614"/>
    <w:rsid w:val="006F2656"/>
    <w:rsid w:val="006F2766"/>
    <w:rsid w:val="006F2772"/>
    <w:rsid w:val="006F2773"/>
    <w:rsid w:val="006F279C"/>
    <w:rsid w:val="006F27C3"/>
    <w:rsid w:val="006F2800"/>
    <w:rsid w:val="006F28B4"/>
    <w:rsid w:val="006F28B8"/>
    <w:rsid w:val="006F28C3"/>
    <w:rsid w:val="006F2938"/>
    <w:rsid w:val="006F2947"/>
    <w:rsid w:val="006F2951"/>
    <w:rsid w:val="006F299B"/>
    <w:rsid w:val="006F29B3"/>
    <w:rsid w:val="006F29B4"/>
    <w:rsid w:val="006F2A03"/>
    <w:rsid w:val="006F2A6C"/>
    <w:rsid w:val="006F2AA8"/>
    <w:rsid w:val="006F2AC2"/>
    <w:rsid w:val="006F2ACE"/>
    <w:rsid w:val="006F2B29"/>
    <w:rsid w:val="006F2B38"/>
    <w:rsid w:val="006F2B4D"/>
    <w:rsid w:val="006F2BBE"/>
    <w:rsid w:val="006F2BC2"/>
    <w:rsid w:val="006F2BCA"/>
    <w:rsid w:val="006F2BEC"/>
    <w:rsid w:val="006F2BFC"/>
    <w:rsid w:val="006F2C2B"/>
    <w:rsid w:val="006F2C4B"/>
    <w:rsid w:val="006F2C55"/>
    <w:rsid w:val="006F2C6B"/>
    <w:rsid w:val="006F2C83"/>
    <w:rsid w:val="006F2CC4"/>
    <w:rsid w:val="006F2CF1"/>
    <w:rsid w:val="006F2D11"/>
    <w:rsid w:val="006F2D44"/>
    <w:rsid w:val="006F2D63"/>
    <w:rsid w:val="006F2D79"/>
    <w:rsid w:val="006F2DFC"/>
    <w:rsid w:val="006F2E11"/>
    <w:rsid w:val="006F2E2E"/>
    <w:rsid w:val="006F2E3B"/>
    <w:rsid w:val="006F2E9D"/>
    <w:rsid w:val="006F2EAD"/>
    <w:rsid w:val="006F2EBF"/>
    <w:rsid w:val="006F2EC3"/>
    <w:rsid w:val="006F2EF4"/>
    <w:rsid w:val="006F2F6D"/>
    <w:rsid w:val="006F2FCF"/>
    <w:rsid w:val="006F2FD3"/>
    <w:rsid w:val="006F2FE1"/>
    <w:rsid w:val="006F3053"/>
    <w:rsid w:val="006F3054"/>
    <w:rsid w:val="006F30E3"/>
    <w:rsid w:val="006F312A"/>
    <w:rsid w:val="006F31B9"/>
    <w:rsid w:val="006F321C"/>
    <w:rsid w:val="006F3234"/>
    <w:rsid w:val="006F324E"/>
    <w:rsid w:val="006F32CF"/>
    <w:rsid w:val="006F33C4"/>
    <w:rsid w:val="006F3406"/>
    <w:rsid w:val="006F346E"/>
    <w:rsid w:val="006F3482"/>
    <w:rsid w:val="006F3567"/>
    <w:rsid w:val="006F3593"/>
    <w:rsid w:val="006F359F"/>
    <w:rsid w:val="006F35D3"/>
    <w:rsid w:val="006F3689"/>
    <w:rsid w:val="006F3692"/>
    <w:rsid w:val="006F36BA"/>
    <w:rsid w:val="006F36E6"/>
    <w:rsid w:val="006F3765"/>
    <w:rsid w:val="006F378F"/>
    <w:rsid w:val="006F3858"/>
    <w:rsid w:val="006F3929"/>
    <w:rsid w:val="006F3950"/>
    <w:rsid w:val="006F3968"/>
    <w:rsid w:val="006F3A02"/>
    <w:rsid w:val="006F3AF6"/>
    <w:rsid w:val="006F3B3E"/>
    <w:rsid w:val="006F3B8E"/>
    <w:rsid w:val="006F3C31"/>
    <w:rsid w:val="006F3C39"/>
    <w:rsid w:val="006F3D16"/>
    <w:rsid w:val="006F3D45"/>
    <w:rsid w:val="006F3D55"/>
    <w:rsid w:val="006F3DB4"/>
    <w:rsid w:val="006F3E25"/>
    <w:rsid w:val="006F3E37"/>
    <w:rsid w:val="006F3E41"/>
    <w:rsid w:val="006F3E42"/>
    <w:rsid w:val="006F3E4B"/>
    <w:rsid w:val="006F3E6A"/>
    <w:rsid w:val="006F3F14"/>
    <w:rsid w:val="006F3F15"/>
    <w:rsid w:val="006F3F2F"/>
    <w:rsid w:val="006F3F75"/>
    <w:rsid w:val="006F4015"/>
    <w:rsid w:val="006F40C2"/>
    <w:rsid w:val="006F40F1"/>
    <w:rsid w:val="006F40FE"/>
    <w:rsid w:val="006F4103"/>
    <w:rsid w:val="006F4142"/>
    <w:rsid w:val="006F4167"/>
    <w:rsid w:val="006F4186"/>
    <w:rsid w:val="006F418E"/>
    <w:rsid w:val="006F41A5"/>
    <w:rsid w:val="006F41A9"/>
    <w:rsid w:val="006F41AF"/>
    <w:rsid w:val="006F41D2"/>
    <w:rsid w:val="006F42FC"/>
    <w:rsid w:val="006F4315"/>
    <w:rsid w:val="006F4377"/>
    <w:rsid w:val="006F43AB"/>
    <w:rsid w:val="006F43B7"/>
    <w:rsid w:val="006F450A"/>
    <w:rsid w:val="006F453E"/>
    <w:rsid w:val="006F4564"/>
    <w:rsid w:val="006F46AA"/>
    <w:rsid w:val="006F472D"/>
    <w:rsid w:val="006F475A"/>
    <w:rsid w:val="006F475E"/>
    <w:rsid w:val="006F47E4"/>
    <w:rsid w:val="006F4849"/>
    <w:rsid w:val="006F4859"/>
    <w:rsid w:val="006F48C9"/>
    <w:rsid w:val="006F48F1"/>
    <w:rsid w:val="006F492A"/>
    <w:rsid w:val="006F4A27"/>
    <w:rsid w:val="006F4A29"/>
    <w:rsid w:val="006F4A70"/>
    <w:rsid w:val="006F4A93"/>
    <w:rsid w:val="006F4AE8"/>
    <w:rsid w:val="006F4B13"/>
    <w:rsid w:val="006F4B78"/>
    <w:rsid w:val="006F4BE2"/>
    <w:rsid w:val="006F4C06"/>
    <w:rsid w:val="006F4C31"/>
    <w:rsid w:val="006F4CC5"/>
    <w:rsid w:val="006F4D07"/>
    <w:rsid w:val="006F4D25"/>
    <w:rsid w:val="006F4D58"/>
    <w:rsid w:val="006F4D72"/>
    <w:rsid w:val="006F4D85"/>
    <w:rsid w:val="006F4DE6"/>
    <w:rsid w:val="006F4EA5"/>
    <w:rsid w:val="006F4EBC"/>
    <w:rsid w:val="006F4F05"/>
    <w:rsid w:val="006F4F17"/>
    <w:rsid w:val="006F4F2F"/>
    <w:rsid w:val="006F4F96"/>
    <w:rsid w:val="006F4FB1"/>
    <w:rsid w:val="006F4FBA"/>
    <w:rsid w:val="006F506E"/>
    <w:rsid w:val="006F50E6"/>
    <w:rsid w:val="006F513D"/>
    <w:rsid w:val="006F5202"/>
    <w:rsid w:val="006F5227"/>
    <w:rsid w:val="006F5271"/>
    <w:rsid w:val="006F531C"/>
    <w:rsid w:val="006F5357"/>
    <w:rsid w:val="006F537C"/>
    <w:rsid w:val="006F539A"/>
    <w:rsid w:val="006F539D"/>
    <w:rsid w:val="006F549F"/>
    <w:rsid w:val="006F54E3"/>
    <w:rsid w:val="006F554B"/>
    <w:rsid w:val="006F55A3"/>
    <w:rsid w:val="006F55B6"/>
    <w:rsid w:val="006F5685"/>
    <w:rsid w:val="006F56E8"/>
    <w:rsid w:val="006F570F"/>
    <w:rsid w:val="006F5757"/>
    <w:rsid w:val="006F575F"/>
    <w:rsid w:val="006F5775"/>
    <w:rsid w:val="006F57AE"/>
    <w:rsid w:val="006F57BC"/>
    <w:rsid w:val="006F57DF"/>
    <w:rsid w:val="006F57E5"/>
    <w:rsid w:val="006F5805"/>
    <w:rsid w:val="006F5840"/>
    <w:rsid w:val="006F5848"/>
    <w:rsid w:val="006F5859"/>
    <w:rsid w:val="006F5866"/>
    <w:rsid w:val="006F5929"/>
    <w:rsid w:val="006F598B"/>
    <w:rsid w:val="006F599F"/>
    <w:rsid w:val="006F59B4"/>
    <w:rsid w:val="006F5A29"/>
    <w:rsid w:val="006F5A77"/>
    <w:rsid w:val="006F5ABA"/>
    <w:rsid w:val="006F5AD2"/>
    <w:rsid w:val="006F5AE0"/>
    <w:rsid w:val="006F5B3F"/>
    <w:rsid w:val="006F5B45"/>
    <w:rsid w:val="006F5BB2"/>
    <w:rsid w:val="006F5BC8"/>
    <w:rsid w:val="006F5BD3"/>
    <w:rsid w:val="006F5BD6"/>
    <w:rsid w:val="006F5C9D"/>
    <w:rsid w:val="006F5D29"/>
    <w:rsid w:val="006F5D77"/>
    <w:rsid w:val="006F5D88"/>
    <w:rsid w:val="006F5D95"/>
    <w:rsid w:val="006F5DBD"/>
    <w:rsid w:val="006F5DF0"/>
    <w:rsid w:val="006F5E46"/>
    <w:rsid w:val="006F5E71"/>
    <w:rsid w:val="006F5EB2"/>
    <w:rsid w:val="006F5FB1"/>
    <w:rsid w:val="006F5FD3"/>
    <w:rsid w:val="006F5FDA"/>
    <w:rsid w:val="006F6001"/>
    <w:rsid w:val="006F6003"/>
    <w:rsid w:val="006F6004"/>
    <w:rsid w:val="006F6008"/>
    <w:rsid w:val="006F60BE"/>
    <w:rsid w:val="006F60F2"/>
    <w:rsid w:val="006F6146"/>
    <w:rsid w:val="006F6189"/>
    <w:rsid w:val="006F619A"/>
    <w:rsid w:val="006F619D"/>
    <w:rsid w:val="006F61CB"/>
    <w:rsid w:val="006F6203"/>
    <w:rsid w:val="006F6245"/>
    <w:rsid w:val="006F6279"/>
    <w:rsid w:val="006F62E5"/>
    <w:rsid w:val="006F63C0"/>
    <w:rsid w:val="006F6482"/>
    <w:rsid w:val="006F64BB"/>
    <w:rsid w:val="006F64CB"/>
    <w:rsid w:val="006F6503"/>
    <w:rsid w:val="006F6507"/>
    <w:rsid w:val="006F6533"/>
    <w:rsid w:val="006F6588"/>
    <w:rsid w:val="006F6654"/>
    <w:rsid w:val="006F66B4"/>
    <w:rsid w:val="006F672E"/>
    <w:rsid w:val="006F6772"/>
    <w:rsid w:val="006F6803"/>
    <w:rsid w:val="006F68AF"/>
    <w:rsid w:val="006F693F"/>
    <w:rsid w:val="006F695E"/>
    <w:rsid w:val="006F696E"/>
    <w:rsid w:val="006F6997"/>
    <w:rsid w:val="006F69AB"/>
    <w:rsid w:val="006F69CC"/>
    <w:rsid w:val="006F6A32"/>
    <w:rsid w:val="006F6ACE"/>
    <w:rsid w:val="006F6B53"/>
    <w:rsid w:val="006F6B5F"/>
    <w:rsid w:val="006F6BC7"/>
    <w:rsid w:val="006F6BD5"/>
    <w:rsid w:val="006F6BF9"/>
    <w:rsid w:val="006F6C11"/>
    <w:rsid w:val="006F6C1D"/>
    <w:rsid w:val="006F6C3B"/>
    <w:rsid w:val="006F6C3E"/>
    <w:rsid w:val="006F6CA8"/>
    <w:rsid w:val="006F6D39"/>
    <w:rsid w:val="006F6D50"/>
    <w:rsid w:val="006F6DB9"/>
    <w:rsid w:val="006F6DED"/>
    <w:rsid w:val="006F6E1D"/>
    <w:rsid w:val="006F6EA5"/>
    <w:rsid w:val="006F6EED"/>
    <w:rsid w:val="006F6F52"/>
    <w:rsid w:val="006F6FA7"/>
    <w:rsid w:val="006F6FB0"/>
    <w:rsid w:val="006F6FD7"/>
    <w:rsid w:val="006F7096"/>
    <w:rsid w:val="006F7131"/>
    <w:rsid w:val="006F7159"/>
    <w:rsid w:val="006F71A9"/>
    <w:rsid w:val="006F71C5"/>
    <w:rsid w:val="006F7232"/>
    <w:rsid w:val="006F72DF"/>
    <w:rsid w:val="006F7322"/>
    <w:rsid w:val="006F73B9"/>
    <w:rsid w:val="006F7539"/>
    <w:rsid w:val="006F75E1"/>
    <w:rsid w:val="006F75FE"/>
    <w:rsid w:val="006F7606"/>
    <w:rsid w:val="006F7617"/>
    <w:rsid w:val="006F7632"/>
    <w:rsid w:val="006F7662"/>
    <w:rsid w:val="006F7684"/>
    <w:rsid w:val="006F76EB"/>
    <w:rsid w:val="006F76F7"/>
    <w:rsid w:val="006F776B"/>
    <w:rsid w:val="006F77A2"/>
    <w:rsid w:val="006F77D6"/>
    <w:rsid w:val="006F7824"/>
    <w:rsid w:val="006F7832"/>
    <w:rsid w:val="006F7859"/>
    <w:rsid w:val="006F7939"/>
    <w:rsid w:val="006F7953"/>
    <w:rsid w:val="006F7978"/>
    <w:rsid w:val="006F79B5"/>
    <w:rsid w:val="006F79D8"/>
    <w:rsid w:val="006F79EB"/>
    <w:rsid w:val="006F7A41"/>
    <w:rsid w:val="006F7A43"/>
    <w:rsid w:val="006F7A4E"/>
    <w:rsid w:val="006F7A6B"/>
    <w:rsid w:val="006F7BCA"/>
    <w:rsid w:val="006F7C20"/>
    <w:rsid w:val="006F7C45"/>
    <w:rsid w:val="006F7C57"/>
    <w:rsid w:val="006F7C6B"/>
    <w:rsid w:val="006F7CE2"/>
    <w:rsid w:val="006F7CF5"/>
    <w:rsid w:val="006F7D3B"/>
    <w:rsid w:val="006F7DC3"/>
    <w:rsid w:val="006F7E0B"/>
    <w:rsid w:val="006F7E81"/>
    <w:rsid w:val="006F7EFF"/>
    <w:rsid w:val="006F7F00"/>
    <w:rsid w:val="006F7F62"/>
    <w:rsid w:val="00700046"/>
    <w:rsid w:val="00700069"/>
    <w:rsid w:val="00700072"/>
    <w:rsid w:val="00700084"/>
    <w:rsid w:val="007000A0"/>
    <w:rsid w:val="007000B8"/>
    <w:rsid w:val="007000B9"/>
    <w:rsid w:val="0070022B"/>
    <w:rsid w:val="007002BD"/>
    <w:rsid w:val="007002DD"/>
    <w:rsid w:val="007002F0"/>
    <w:rsid w:val="00700344"/>
    <w:rsid w:val="00700409"/>
    <w:rsid w:val="0070043F"/>
    <w:rsid w:val="00700453"/>
    <w:rsid w:val="0070045A"/>
    <w:rsid w:val="0070048F"/>
    <w:rsid w:val="007004B3"/>
    <w:rsid w:val="007004F6"/>
    <w:rsid w:val="007004F7"/>
    <w:rsid w:val="00700501"/>
    <w:rsid w:val="00700512"/>
    <w:rsid w:val="00700513"/>
    <w:rsid w:val="0070051F"/>
    <w:rsid w:val="00700530"/>
    <w:rsid w:val="00700654"/>
    <w:rsid w:val="00700693"/>
    <w:rsid w:val="007006B6"/>
    <w:rsid w:val="007006CC"/>
    <w:rsid w:val="007006FB"/>
    <w:rsid w:val="007007EE"/>
    <w:rsid w:val="00700873"/>
    <w:rsid w:val="007008A0"/>
    <w:rsid w:val="007008AE"/>
    <w:rsid w:val="007008D1"/>
    <w:rsid w:val="007008ED"/>
    <w:rsid w:val="0070091D"/>
    <w:rsid w:val="0070095D"/>
    <w:rsid w:val="0070096E"/>
    <w:rsid w:val="00700A09"/>
    <w:rsid w:val="00700A68"/>
    <w:rsid w:val="00700A83"/>
    <w:rsid w:val="00700B21"/>
    <w:rsid w:val="00700B22"/>
    <w:rsid w:val="00700B8A"/>
    <w:rsid w:val="00700B9D"/>
    <w:rsid w:val="00700BA3"/>
    <w:rsid w:val="00700BDA"/>
    <w:rsid w:val="00700CBF"/>
    <w:rsid w:val="00700D12"/>
    <w:rsid w:val="00700D53"/>
    <w:rsid w:val="00700EE5"/>
    <w:rsid w:val="00700F5B"/>
    <w:rsid w:val="00701023"/>
    <w:rsid w:val="0070108A"/>
    <w:rsid w:val="0070110A"/>
    <w:rsid w:val="00701117"/>
    <w:rsid w:val="0070114D"/>
    <w:rsid w:val="00701184"/>
    <w:rsid w:val="007011E6"/>
    <w:rsid w:val="00701247"/>
    <w:rsid w:val="00701261"/>
    <w:rsid w:val="007012CD"/>
    <w:rsid w:val="0070133F"/>
    <w:rsid w:val="00701350"/>
    <w:rsid w:val="007013B8"/>
    <w:rsid w:val="0070142E"/>
    <w:rsid w:val="00701491"/>
    <w:rsid w:val="007014A1"/>
    <w:rsid w:val="007014AF"/>
    <w:rsid w:val="007014CA"/>
    <w:rsid w:val="0070152F"/>
    <w:rsid w:val="0070159B"/>
    <w:rsid w:val="0070159E"/>
    <w:rsid w:val="007015F3"/>
    <w:rsid w:val="0070160A"/>
    <w:rsid w:val="0070164D"/>
    <w:rsid w:val="0070165B"/>
    <w:rsid w:val="0070168F"/>
    <w:rsid w:val="007016DB"/>
    <w:rsid w:val="0070176A"/>
    <w:rsid w:val="0070177E"/>
    <w:rsid w:val="007017E1"/>
    <w:rsid w:val="007018A0"/>
    <w:rsid w:val="007018FB"/>
    <w:rsid w:val="00701A26"/>
    <w:rsid w:val="00701A51"/>
    <w:rsid w:val="00701A64"/>
    <w:rsid w:val="00701A99"/>
    <w:rsid w:val="00701AE0"/>
    <w:rsid w:val="00701AEE"/>
    <w:rsid w:val="00701B1C"/>
    <w:rsid w:val="00701B42"/>
    <w:rsid w:val="00701C3C"/>
    <w:rsid w:val="00701C84"/>
    <w:rsid w:val="00701CDE"/>
    <w:rsid w:val="00701CF0"/>
    <w:rsid w:val="00701D7C"/>
    <w:rsid w:val="00701D89"/>
    <w:rsid w:val="00701E13"/>
    <w:rsid w:val="00701E71"/>
    <w:rsid w:val="00701EB7"/>
    <w:rsid w:val="00701F1D"/>
    <w:rsid w:val="00701F42"/>
    <w:rsid w:val="00701F6E"/>
    <w:rsid w:val="00701FBF"/>
    <w:rsid w:val="00701FD0"/>
    <w:rsid w:val="00701FD1"/>
    <w:rsid w:val="00701FF6"/>
    <w:rsid w:val="00702029"/>
    <w:rsid w:val="0070203F"/>
    <w:rsid w:val="007020CF"/>
    <w:rsid w:val="007020F9"/>
    <w:rsid w:val="007020FE"/>
    <w:rsid w:val="0070213D"/>
    <w:rsid w:val="0070217B"/>
    <w:rsid w:val="00702215"/>
    <w:rsid w:val="0070226F"/>
    <w:rsid w:val="00702287"/>
    <w:rsid w:val="007022F9"/>
    <w:rsid w:val="007023CB"/>
    <w:rsid w:val="007023DF"/>
    <w:rsid w:val="0070240A"/>
    <w:rsid w:val="00702410"/>
    <w:rsid w:val="00702486"/>
    <w:rsid w:val="007024C9"/>
    <w:rsid w:val="0070250D"/>
    <w:rsid w:val="0070264A"/>
    <w:rsid w:val="00702670"/>
    <w:rsid w:val="0070268C"/>
    <w:rsid w:val="00702691"/>
    <w:rsid w:val="0070269C"/>
    <w:rsid w:val="00702702"/>
    <w:rsid w:val="0070279F"/>
    <w:rsid w:val="007028B5"/>
    <w:rsid w:val="00702948"/>
    <w:rsid w:val="00702964"/>
    <w:rsid w:val="00702993"/>
    <w:rsid w:val="00702A0F"/>
    <w:rsid w:val="00702A77"/>
    <w:rsid w:val="00702AC2"/>
    <w:rsid w:val="00702BCC"/>
    <w:rsid w:val="00702C94"/>
    <w:rsid w:val="00702CAC"/>
    <w:rsid w:val="00702CDF"/>
    <w:rsid w:val="00702D02"/>
    <w:rsid w:val="00702D1F"/>
    <w:rsid w:val="00702D2B"/>
    <w:rsid w:val="00702D4F"/>
    <w:rsid w:val="00702D61"/>
    <w:rsid w:val="00702E19"/>
    <w:rsid w:val="00702E5D"/>
    <w:rsid w:val="00702E74"/>
    <w:rsid w:val="00702EC7"/>
    <w:rsid w:val="00702F34"/>
    <w:rsid w:val="00702F5F"/>
    <w:rsid w:val="0070300D"/>
    <w:rsid w:val="0070304D"/>
    <w:rsid w:val="00703075"/>
    <w:rsid w:val="007030B9"/>
    <w:rsid w:val="0070310F"/>
    <w:rsid w:val="00703173"/>
    <w:rsid w:val="007031B5"/>
    <w:rsid w:val="007031C0"/>
    <w:rsid w:val="00703200"/>
    <w:rsid w:val="0070321E"/>
    <w:rsid w:val="0070327D"/>
    <w:rsid w:val="00703282"/>
    <w:rsid w:val="007032B6"/>
    <w:rsid w:val="00703339"/>
    <w:rsid w:val="00703348"/>
    <w:rsid w:val="00703356"/>
    <w:rsid w:val="00703379"/>
    <w:rsid w:val="0070337F"/>
    <w:rsid w:val="007033B8"/>
    <w:rsid w:val="007033D1"/>
    <w:rsid w:val="007033E0"/>
    <w:rsid w:val="007033F5"/>
    <w:rsid w:val="00703404"/>
    <w:rsid w:val="0070349E"/>
    <w:rsid w:val="007034B1"/>
    <w:rsid w:val="007034C2"/>
    <w:rsid w:val="007034F1"/>
    <w:rsid w:val="00703597"/>
    <w:rsid w:val="007035DF"/>
    <w:rsid w:val="007035F5"/>
    <w:rsid w:val="0070362E"/>
    <w:rsid w:val="0070363A"/>
    <w:rsid w:val="00703682"/>
    <w:rsid w:val="007036B6"/>
    <w:rsid w:val="007036D1"/>
    <w:rsid w:val="00703705"/>
    <w:rsid w:val="00703706"/>
    <w:rsid w:val="0070372B"/>
    <w:rsid w:val="00703774"/>
    <w:rsid w:val="007037EC"/>
    <w:rsid w:val="007037ED"/>
    <w:rsid w:val="00703809"/>
    <w:rsid w:val="0070385F"/>
    <w:rsid w:val="0070387E"/>
    <w:rsid w:val="007038CE"/>
    <w:rsid w:val="007038D4"/>
    <w:rsid w:val="007038ED"/>
    <w:rsid w:val="00703910"/>
    <w:rsid w:val="00703930"/>
    <w:rsid w:val="0070394C"/>
    <w:rsid w:val="007039A5"/>
    <w:rsid w:val="007039B3"/>
    <w:rsid w:val="007039DA"/>
    <w:rsid w:val="00703A44"/>
    <w:rsid w:val="00703A6B"/>
    <w:rsid w:val="00703A90"/>
    <w:rsid w:val="00703B19"/>
    <w:rsid w:val="00703BA6"/>
    <w:rsid w:val="00703BB0"/>
    <w:rsid w:val="00703C11"/>
    <w:rsid w:val="00703CEA"/>
    <w:rsid w:val="00703D34"/>
    <w:rsid w:val="00703DB1"/>
    <w:rsid w:val="00703DD7"/>
    <w:rsid w:val="00703E19"/>
    <w:rsid w:val="00703EAB"/>
    <w:rsid w:val="00703F45"/>
    <w:rsid w:val="00703FB1"/>
    <w:rsid w:val="00703FF2"/>
    <w:rsid w:val="00704017"/>
    <w:rsid w:val="00704038"/>
    <w:rsid w:val="00704046"/>
    <w:rsid w:val="00704054"/>
    <w:rsid w:val="007040CA"/>
    <w:rsid w:val="00704121"/>
    <w:rsid w:val="007041D5"/>
    <w:rsid w:val="007041DE"/>
    <w:rsid w:val="0070427C"/>
    <w:rsid w:val="00704361"/>
    <w:rsid w:val="007043EF"/>
    <w:rsid w:val="0070444B"/>
    <w:rsid w:val="00704461"/>
    <w:rsid w:val="007044FB"/>
    <w:rsid w:val="00704528"/>
    <w:rsid w:val="00704567"/>
    <w:rsid w:val="00704573"/>
    <w:rsid w:val="007045BE"/>
    <w:rsid w:val="007045DE"/>
    <w:rsid w:val="0070460C"/>
    <w:rsid w:val="00704614"/>
    <w:rsid w:val="00704621"/>
    <w:rsid w:val="00704657"/>
    <w:rsid w:val="007046CE"/>
    <w:rsid w:val="007046DB"/>
    <w:rsid w:val="007046E8"/>
    <w:rsid w:val="007047C2"/>
    <w:rsid w:val="007047D0"/>
    <w:rsid w:val="00704822"/>
    <w:rsid w:val="0070486A"/>
    <w:rsid w:val="007048D8"/>
    <w:rsid w:val="00704A4F"/>
    <w:rsid w:val="00704A77"/>
    <w:rsid w:val="00704AA0"/>
    <w:rsid w:val="00704AB5"/>
    <w:rsid w:val="00704AE3"/>
    <w:rsid w:val="00704B44"/>
    <w:rsid w:val="00704B4E"/>
    <w:rsid w:val="00704B91"/>
    <w:rsid w:val="00704BCE"/>
    <w:rsid w:val="00704BD4"/>
    <w:rsid w:val="00704C08"/>
    <w:rsid w:val="00704C0A"/>
    <w:rsid w:val="00704C1C"/>
    <w:rsid w:val="00704C4B"/>
    <w:rsid w:val="00704CCE"/>
    <w:rsid w:val="00704D73"/>
    <w:rsid w:val="00704D90"/>
    <w:rsid w:val="00704DBE"/>
    <w:rsid w:val="00704F35"/>
    <w:rsid w:val="00704F44"/>
    <w:rsid w:val="00704F4A"/>
    <w:rsid w:val="00704F82"/>
    <w:rsid w:val="00705095"/>
    <w:rsid w:val="007050C8"/>
    <w:rsid w:val="00705114"/>
    <w:rsid w:val="00705129"/>
    <w:rsid w:val="0070515B"/>
    <w:rsid w:val="00705170"/>
    <w:rsid w:val="0070528E"/>
    <w:rsid w:val="007052E2"/>
    <w:rsid w:val="00705362"/>
    <w:rsid w:val="00705383"/>
    <w:rsid w:val="0070539E"/>
    <w:rsid w:val="007053FD"/>
    <w:rsid w:val="00705456"/>
    <w:rsid w:val="0070547B"/>
    <w:rsid w:val="007054C5"/>
    <w:rsid w:val="007054C6"/>
    <w:rsid w:val="00705521"/>
    <w:rsid w:val="00705594"/>
    <w:rsid w:val="007055CD"/>
    <w:rsid w:val="00705615"/>
    <w:rsid w:val="00705617"/>
    <w:rsid w:val="00705633"/>
    <w:rsid w:val="00705653"/>
    <w:rsid w:val="0070565D"/>
    <w:rsid w:val="007056B5"/>
    <w:rsid w:val="007056E8"/>
    <w:rsid w:val="007056F9"/>
    <w:rsid w:val="0070589D"/>
    <w:rsid w:val="007058BB"/>
    <w:rsid w:val="00705900"/>
    <w:rsid w:val="00705904"/>
    <w:rsid w:val="00705910"/>
    <w:rsid w:val="0070591B"/>
    <w:rsid w:val="00705936"/>
    <w:rsid w:val="007059FC"/>
    <w:rsid w:val="00705A1C"/>
    <w:rsid w:val="00705A36"/>
    <w:rsid w:val="00705AAF"/>
    <w:rsid w:val="00705B27"/>
    <w:rsid w:val="00705BAD"/>
    <w:rsid w:val="00705BD3"/>
    <w:rsid w:val="00705BDE"/>
    <w:rsid w:val="00705C80"/>
    <w:rsid w:val="00705C8E"/>
    <w:rsid w:val="00705CA4"/>
    <w:rsid w:val="00705CD5"/>
    <w:rsid w:val="00705CD7"/>
    <w:rsid w:val="00705CDD"/>
    <w:rsid w:val="00705D02"/>
    <w:rsid w:val="00705D23"/>
    <w:rsid w:val="00705D69"/>
    <w:rsid w:val="00705D94"/>
    <w:rsid w:val="00705E15"/>
    <w:rsid w:val="00705E1E"/>
    <w:rsid w:val="00705E22"/>
    <w:rsid w:val="00705E54"/>
    <w:rsid w:val="00705E6F"/>
    <w:rsid w:val="00705E97"/>
    <w:rsid w:val="00705EDB"/>
    <w:rsid w:val="00705EF4"/>
    <w:rsid w:val="00705EF7"/>
    <w:rsid w:val="00705F17"/>
    <w:rsid w:val="00705FA5"/>
    <w:rsid w:val="00705FAC"/>
    <w:rsid w:val="00705FC1"/>
    <w:rsid w:val="00705FCE"/>
    <w:rsid w:val="00706037"/>
    <w:rsid w:val="0070605E"/>
    <w:rsid w:val="0070609C"/>
    <w:rsid w:val="007060CF"/>
    <w:rsid w:val="00706136"/>
    <w:rsid w:val="0070613D"/>
    <w:rsid w:val="0070615F"/>
    <w:rsid w:val="0070628B"/>
    <w:rsid w:val="00706291"/>
    <w:rsid w:val="007062A3"/>
    <w:rsid w:val="007062A7"/>
    <w:rsid w:val="007062F7"/>
    <w:rsid w:val="00706321"/>
    <w:rsid w:val="00706332"/>
    <w:rsid w:val="00706378"/>
    <w:rsid w:val="0070638E"/>
    <w:rsid w:val="007063AA"/>
    <w:rsid w:val="00706426"/>
    <w:rsid w:val="0070644F"/>
    <w:rsid w:val="00706457"/>
    <w:rsid w:val="0070645E"/>
    <w:rsid w:val="0070645F"/>
    <w:rsid w:val="00706555"/>
    <w:rsid w:val="0070655E"/>
    <w:rsid w:val="00706565"/>
    <w:rsid w:val="0070661F"/>
    <w:rsid w:val="00706635"/>
    <w:rsid w:val="0070665D"/>
    <w:rsid w:val="007066B2"/>
    <w:rsid w:val="007066EF"/>
    <w:rsid w:val="00706712"/>
    <w:rsid w:val="00706723"/>
    <w:rsid w:val="00706776"/>
    <w:rsid w:val="007067C8"/>
    <w:rsid w:val="007067D6"/>
    <w:rsid w:val="0070685B"/>
    <w:rsid w:val="007068C4"/>
    <w:rsid w:val="0070692A"/>
    <w:rsid w:val="0070695B"/>
    <w:rsid w:val="007069C6"/>
    <w:rsid w:val="00706A22"/>
    <w:rsid w:val="00706A27"/>
    <w:rsid w:val="00706A4A"/>
    <w:rsid w:val="00706A5B"/>
    <w:rsid w:val="00706A7F"/>
    <w:rsid w:val="00706BCA"/>
    <w:rsid w:val="00706C0B"/>
    <w:rsid w:val="00706CD0"/>
    <w:rsid w:val="00706CDD"/>
    <w:rsid w:val="00706D7D"/>
    <w:rsid w:val="00706DA1"/>
    <w:rsid w:val="00706DF2"/>
    <w:rsid w:val="00706E57"/>
    <w:rsid w:val="00706E63"/>
    <w:rsid w:val="00706E99"/>
    <w:rsid w:val="00706F1F"/>
    <w:rsid w:val="00706FA1"/>
    <w:rsid w:val="00706FDA"/>
    <w:rsid w:val="00706FDF"/>
    <w:rsid w:val="00707062"/>
    <w:rsid w:val="0070711C"/>
    <w:rsid w:val="0070711F"/>
    <w:rsid w:val="00707132"/>
    <w:rsid w:val="00707236"/>
    <w:rsid w:val="00707240"/>
    <w:rsid w:val="00707245"/>
    <w:rsid w:val="0070725B"/>
    <w:rsid w:val="0070728B"/>
    <w:rsid w:val="0070734C"/>
    <w:rsid w:val="007073AA"/>
    <w:rsid w:val="007073CB"/>
    <w:rsid w:val="007073FD"/>
    <w:rsid w:val="00707420"/>
    <w:rsid w:val="00707429"/>
    <w:rsid w:val="00707462"/>
    <w:rsid w:val="00707509"/>
    <w:rsid w:val="0070754A"/>
    <w:rsid w:val="00707567"/>
    <w:rsid w:val="007075ED"/>
    <w:rsid w:val="0070768E"/>
    <w:rsid w:val="007076D9"/>
    <w:rsid w:val="007077B0"/>
    <w:rsid w:val="00707828"/>
    <w:rsid w:val="00707861"/>
    <w:rsid w:val="007078AB"/>
    <w:rsid w:val="007078D3"/>
    <w:rsid w:val="00707938"/>
    <w:rsid w:val="00707942"/>
    <w:rsid w:val="0070797C"/>
    <w:rsid w:val="007079A0"/>
    <w:rsid w:val="007079E0"/>
    <w:rsid w:val="007079F3"/>
    <w:rsid w:val="00707A18"/>
    <w:rsid w:val="00707A3F"/>
    <w:rsid w:val="00707A4F"/>
    <w:rsid w:val="00707A60"/>
    <w:rsid w:val="00707A85"/>
    <w:rsid w:val="00707A88"/>
    <w:rsid w:val="00707A8B"/>
    <w:rsid w:val="00707A8D"/>
    <w:rsid w:val="00707AD8"/>
    <w:rsid w:val="00707AE7"/>
    <w:rsid w:val="00707AE9"/>
    <w:rsid w:val="00707B92"/>
    <w:rsid w:val="00707BC5"/>
    <w:rsid w:val="00707BD2"/>
    <w:rsid w:val="00707C12"/>
    <w:rsid w:val="00707C38"/>
    <w:rsid w:val="00707C76"/>
    <w:rsid w:val="00707C8C"/>
    <w:rsid w:val="00707D0B"/>
    <w:rsid w:val="00707DB9"/>
    <w:rsid w:val="00707DF9"/>
    <w:rsid w:val="00707E83"/>
    <w:rsid w:val="00707E8F"/>
    <w:rsid w:val="00707E9A"/>
    <w:rsid w:val="00707EFF"/>
    <w:rsid w:val="00707F16"/>
    <w:rsid w:val="00707F1B"/>
    <w:rsid w:val="00707F39"/>
    <w:rsid w:val="00707F4E"/>
    <w:rsid w:val="00707F7C"/>
    <w:rsid w:val="00707F7E"/>
    <w:rsid w:val="00707FB9"/>
    <w:rsid w:val="00707FDC"/>
    <w:rsid w:val="00710053"/>
    <w:rsid w:val="007100B8"/>
    <w:rsid w:val="00710116"/>
    <w:rsid w:val="00710134"/>
    <w:rsid w:val="00710139"/>
    <w:rsid w:val="00710165"/>
    <w:rsid w:val="00710175"/>
    <w:rsid w:val="00710179"/>
    <w:rsid w:val="0071017E"/>
    <w:rsid w:val="007101DD"/>
    <w:rsid w:val="00710211"/>
    <w:rsid w:val="00710213"/>
    <w:rsid w:val="0071022C"/>
    <w:rsid w:val="00710286"/>
    <w:rsid w:val="007102DB"/>
    <w:rsid w:val="00710313"/>
    <w:rsid w:val="0071032E"/>
    <w:rsid w:val="0071033D"/>
    <w:rsid w:val="007103C5"/>
    <w:rsid w:val="007103E9"/>
    <w:rsid w:val="007103FD"/>
    <w:rsid w:val="00710420"/>
    <w:rsid w:val="00710442"/>
    <w:rsid w:val="00710454"/>
    <w:rsid w:val="007104AE"/>
    <w:rsid w:val="007104C0"/>
    <w:rsid w:val="007104D1"/>
    <w:rsid w:val="0071052E"/>
    <w:rsid w:val="00710543"/>
    <w:rsid w:val="0071057F"/>
    <w:rsid w:val="00710596"/>
    <w:rsid w:val="007105F3"/>
    <w:rsid w:val="00710622"/>
    <w:rsid w:val="0071068A"/>
    <w:rsid w:val="0071071B"/>
    <w:rsid w:val="00710751"/>
    <w:rsid w:val="0071076C"/>
    <w:rsid w:val="007107BA"/>
    <w:rsid w:val="00710818"/>
    <w:rsid w:val="00710885"/>
    <w:rsid w:val="007108DA"/>
    <w:rsid w:val="0071093D"/>
    <w:rsid w:val="0071094E"/>
    <w:rsid w:val="0071095F"/>
    <w:rsid w:val="0071098F"/>
    <w:rsid w:val="007109CC"/>
    <w:rsid w:val="007109E3"/>
    <w:rsid w:val="00710A1D"/>
    <w:rsid w:val="00710A33"/>
    <w:rsid w:val="00710AEB"/>
    <w:rsid w:val="00710B3C"/>
    <w:rsid w:val="00710C26"/>
    <w:rsid w:val="00710CC2"/>
    <w:rsid w:val="00710D14"/>
    <w:rsid w:val="00710D41"/>
    <w:rsid w:val="00710D49"/>
    <w:rsid w:val="00710D61"/>
    <w:rsid w:val="00710E3F"/>
    <w:rsid w:val="00710E4F"/>
    <w:rsid w:val="00710E76"/>
    <w:rsid w:val="00710E80"/>
    <w:rsid w:val="00710EF8"/>
    <w:rsid w:val="00710F2F"/>
    <w:rsid w:val="00710FA1"/>
    <w:rsid w:val="00710FB4"/>
    <w:rsid w:val="00711031"/>
    <w:rsid w:val="007110C9"/>
    <w:rsid w:val="0071117B"/>
    <w:rsid w:val="00711240"/>
    <w:rsid w:val="007112DC"/>
    <w:rsid w:val="0071137C"/>
    <w:rsid w:val="007113BC"/>
    <w:rsid w:val="007113C7"/>
    <w:rsid w:val="007113E3"/>
    <w:rsid w:val="007113FF"/>
    <w:rsid w:val="00711402"/>
    <w:rsid w:val="00711413"/>
    <w:rsid w:val="00711436"/>
    <w:rsid w:val="00711441"/>
    <w:rsid w:val="007114A0"/>
    <w:rsid w:val="007114E3"/>
    <w:rsid w:val="0071151B"/>
    <w:rsid w:val="0071155E"/>
    <w:rsid w:val="00711575"/>
    <w:rsid w:val="00711588"/>
    <w:rsid w:val="00711593"/>
    <w:rsid w:val="007115A9"/>
    <w:rsid w:val="007115E4"/>
    <w:rsid w:val="00711628"/>
    <w:rsid w:val="0071162D"/>
    <w:rsid w:val="00711698"/>
    <w:rsid w:val="00711724"/>
    <w:rsid w:val="00711745"/>
    <w:rsid w:val="00711771"/>
    <w:rsid w:val="00711785"/>
    <w:rsid w:val="00711795"/>
    <w:rsid w:val="007117D9"/>
    <w:rsid w:val="0071181D"/>
    <w:rsid w:val="007118C0"/>
    <w:rsid w:val="007118CF"/>
    <w:rsid w:val="007118F6"/>
    <w:rsid w:val="00711952"/>
    <w:rsid w:val="007119B3"/>
    <w:rsid w:val="007119BC"/>
    <w:rsid w:val="007119F1"/>
    <w:rsid w:val="00711A17"/>
    <w:rsid w:val="00711A35"/>
    <w:rsid w:val="00711AC5"/>
    <w:rsid w:val="00711AF0"/>
    <w:rsid w:val="00711AF3"/>
    <w:rsid w:val="00711B0F"/>
    <w:rsid w:val="00711B11"/>
    <w:rsid w:val="00711B45"/>
    <w:rsid w:val="00711B6D"/>
    <w:rsid w:val="00711B89"/>
    <w:rsid w:val="00711BB0"/>
    <w:rsid w:val="00711BC8"/>
    <w:rsid w:val="00711BD4"/>
    <w:rsid w:val="00711C0A"/>
    <w:rsid w:val="00711C0C"/>
    <w:rsid w:val="00711C0F"/>
    <w:rsid w:val="00711C6E"/>
    <w:rsid w:val="00711C88"/>
    <w:rsid w:val="00711CA5"/>
    <w:rsid w:val="00711CC0"/>
    <w:rsid w:val="00711DBF"/>
    <w:rsid w:val="00711DF5"/>
    <w:rsid w:val="00711E1E"/>
    <w:rsid w:val="00711E37"/>
    <w:rsid w:val="00711E45"/>
    <w:rsid w:val="00711EC7"/>
    <w:rsid w:val="00711EF8"/>
    <w:rsid w:val="00711F2C"/>
    <w:rsid w:val="00711F4F"/>
    <w:rsid w:val="00711FC7"/>
    <w:rsid w:val="00711FF8"/>
    <w:rsid w:val="00711FFE"/>
    <w:rsid w:val="0071204C"/>
    <w:rsid w:val="007120BF"/>
    <w:rsid w:val="007120C5"/>
    <w:rsid w:val="007120CB"/>
    <w:rsid w:val="007120DB"/>
    <w:rsid w:val="007120E3"/>
    <w:rsid w:val="007120F4"/>
    <w:rsid w:val="0071225B"/>
    <w:rsid w:val="00712276"/>
    <w:rsid w:val="007122C5"/>
    <w:rsid w:val="007122DB"/>
    <w:rsid w:val="007122ED"/>
    <w:rsid w:val="00712320"/>
    <w:rsid w:val="0071233A"/>
    <w:rsid w:val="00712352"/>
    <w:rsid w:val="00712380"/>
    <w:rsid w:val="007123EF"/>
    <w:rsid w:val="007124B4"/>
    <w:rsid w:val="007124E0"/>
    <w:rsid w:val="0071258B"/>
    <w:rsid w:val="007125AD"/>
    <w:rsid w:val="0071261D"/>
    <w:rsid w:val="00712638"/>
    <w:rsid w:val="007126AB"/>
    <w:rsid w:val="007126B5"/>
    <w:rsid w:val="007126F3"/>
    <w:rsid w:val="0071276F"/>
    <w:rsid w:val="00712770"/>
    <w:rsid w:val="007127D3"/>
    <w:rsid w:val="007127F3"/>
    <w:rsid w:val="0071289F"/>
    <w:rsid w:val="007129EB"/>
    <w:rsid w:val="007129F3"/>
    <w:rsid w:val="00712A31"/>
    <w:rsid w:val="00712A7F"/>
    <w:rsid w:val="00712ABA"/>
    <w:rsid w:val="00712ADB"/>
    <w:rsid w:val="00712B17"/>
    <w:rsid w:val="00712BAF"/>
    <w:rsid w:val="00712BEF"/>
    <w:rsid w:val="00712C0E"/>
    <w:rsid w:val="00712CC4"/>
    <w:rsid w:val="00712D05"/>
    <w:rsid w:val="00712D28"/>
    <w:rsid w:val="00712D47"/>
    <w:rsid w:val="00712D6E"/>
    <w:rsid w:val="00712DF0"/>
    <w:rsid w:val="00712E53"/>
    <w:rsid w:val="00712E8E"/>
    <w:rsid w:val="00712ED6"/>
    <w:rsid w:val="00712EE1"/>
    <w:rsid w:val="00712F96"/>
    <w:rsid w:val="00712FC7"/>
    <w:rsid w:val="00712FEC"/>
    <w:rsid w:val="00712FF2"/>
    <w:rsid w:val="00713049"/>
    <w:rsid w:val="00713058"/>
    <w:rsid w:val="00713080"/>
    <w:rsid w:val="0071308D"/>
    <w:rsid w:val="007130C3"/>
    <w:rsid w:val="00713115"/>
    <w:rsid w:val="00713168"/>
    <w:rsid w:val="00713219"/>
    <w:rsid w:val="00713267"/>
    <w:rsid w:val="00713269"/>
    <w:rsid w:val="007132D0"/>
    <w:rsid w:val="007133E1"/>
    <w:rsid w:val="007134B6"/>
    <w:rsid w:val="0071358A"/>
    <w:rsid w:val="007135A4"/>
    <w:rsid w:val="007135B6"/>
    <w:rsid w:val="007135BF"/>
    <w:rsid w:val="007135D3"/>
    <w:rsid w:val="0071364C"/>
    <w:rsid w:val="00713658"/>
    <w:rsid w:val="00713810"/>
    <w:rsid w:val="0071384E"/>
    <w:rsid w:val="0071385C"/>
    <w:rsid w:val="007138DA"/>
    <w:rsid w:val="00713900"/>
    <w:rsid w:val="0071397D"/>
    <w:rsid w:val="007139A1"/>
    <w:rsid w:val="00713A47"/>
    <w:rsid w:val="00713A4C"/>
    <w:rsid w:val="00713A71"/>
    <w:rsid w:val="00713A79"/>
    <w:rsid w:val="00713A93"/>
    <w:rsid w:val="00713A9B"/>
    <w:rsid w:val="00713B69"/>
    <w:rsid w:val="00713BF1"/>
    <w:rsid w:val="00713C04"/>
    <w:rsid w:val="00713C37"/>
    <w:rsid w:val="00713C3C"/>
    <w:rsid w:val="00713C69"/>
    <w:rsid w:val="00713C97"/>
    <w:rsid w:val="00713CBA"/>
    <w:rsid w:val="00713D1B"/>
    <w:rsid w:val="00713D22"/>
    <w:rsid w:val="00713DB7"/>
    <w:rsid w:val="00713DE9"/>
    <w:rsid w:val="00713E0A"/>
    <w:rsid w:val="00713ECA"/>
    <w:rsid w:val="00713ECE"/>
    <w:rsid w:val="00713EF1"/>
    <w:rsid w:val="00713F4C"/>
    <w:rsid w:val="00713FF2"/>
    <w:rsid w:val="00713FF3"/>
    <w:rsid w:val="00714016"/>
    <w:rsid w:val="00714020"/>
    <w:rsid w:val="00714046"/>
    <w:rsid w:val="007140C1"/>
    <w:rsid w:val="007140C3"/>
    <w:rsid w:val="007140E3"/>
    <w:rsid w:val="007140E8"/>
    <w:rsid w:val="0071412E"/>
    <w:rsid w:val="00714190"/>
    <w:rsid w:val="00714196"/>
    <w:rsid w:val="007141E2"/>
    <w:rsid w:val="007141EF"/>
    <w:rsid w:val="00714298"/>
    <w:rsid w:val="007142DF"/>
    <w:rsid w:val="00714330"/>
    <w:rsid w:val="00714378"/>
    <w:rsid w:val="007143DF"/>
    <w:rsid w:val="00714406"/>
    <w:rsid w:val="00714431"/>
    <w:rsid w:val="0071443A"/>
    <w:rsid w:val="00714546"/>
    <w:rsid w:val="0071457C"/>
    <w:rsid w:val="007145D1"/>
    <w:rsid w:val="007145D2"/>
    <w:rsid w:val="007145DF"/>
    <w:rsid w:val="0071463F"/>
    <w:rsid w:val="0071466B"/>
    <w:rsid w:val="00714698"/>
    <w:rsid w:val="007146B1"/>
    <w:rsid w:val="007146BD"/>
    <w:rsid w:val="007146BE"/>
    <w:rsid w:val="007146DF"/>
    <w:rsid w:val="00714860"/>
    <w:rsid w:val="007148A0"/>
    <w:rsid w:val="007148B3"/>
    <w:rsid w:val="00714949"/>
    <w:rsid w:val="00714985"/>
    <w:rsid w:val="0071499B"/>
    <w:rsid w:val="007149A9"/>
    <w:rsid w:val="007149AA"/>
    <w:rsid w:val="00714A44"/>
    <w:rsid w:val="00714A88"/>
    <w:rsid w:val="00714AB4"/>
    <w:rsid w:val="00714ADE"/>
    <w:rsid w:val="00714B57"/>
    <w:rsid w:val="00714CD5"/>
    <w:rsid w:val="00714CE7"/>
    <w:rsid w:val="00714D48"/>
    <w:rsid w:val="00714DAB"/>
    <w:rsid w:val="00714DC5"/>
    <w:rsid w:val="00714DF5"/>
    <w:rsid w:val="00714E41"/>
    <w:rsid w:val="00714E68"/>
    <w:rsid w:val="00714F2B"/>
    <w:rsid w:val="00714F8F"/>
    <w:rsid w:val="0071500B"/>
    <w:rsid w:val="0071500E"/>
    <w:rsid w:val="00715011"/>
    <w:rsid w:val="007150C1"/>
    <w:rsid w:val="00715135"/>
    <w:rsid w:val="0071514E"/>
    <w:rsid w:val="00715248"/>
    <w:rsid w:val="00715277"/>
    <w:rsid w:val="007152A4"/>
    <w:rsid w:val="007152EB"/>
    <w:rsid w:val="00715309"/>
    <w:rsid w:val="00715346"/>
    <w:rsid w:val="0071536A"/>
    <w:rsid w:val="007153CD"/>
    <w:rsid w:val="0071540A"/>
    <w:rsid w:val="0071543A"/>
    <w:rsid w:val="0071545A"/>
    <w:rsid w:val="00715463"/>
    <w:rsid w:val="00715464"/>
    <w:rsid w:val="00715489"/>
    <w:rsid w:val="007154A0"/>
    <w:rsid w:val="00715660"/>
    <w:rsid w:val="00715673"/>
    <w:rsid w:val="007156AD"/>
    <w:rsid w:val="0071570B"/>
    <w:rsid w:val="00715720"/>
    <w:rsid w:val="0071574F"/>
    <w:rsid w:val="007157F7"/>
    <w:rsid w:val="0071582B"/>
    <w:rsid w:val="00715858"/>
    <w:rsid w:val="00715891"/>
    <w:rsid w:val="007158AC"/>
    <w:rsid w:val="00715908"/>
    <w:rsid w:val="0071593F"/>
    <w:rsid w:val="00715A26"/>
    <w:rsid w:val="00715A38"/>
    <w:rsid w:val="00715AC0"/>
    <w:rsid w:val="00715B29"/>
    <w:rsid w:val="00715B72"/>
    <w:rsid w:val="00715BF0"/>
    <w:rsid w:val="00715C12"/>
    <w:rsid w:val="00715C21"/>
    <w:rsid w:val="00715C8D"/>
    <w:rsid w:val="00715D1C"/>
    <w:rsid w:val="00715D1D"/>
    <w:rsid w:val="00715D30"/>
    <w:rsid w:val="00715D39"/>
    <w:rsid w:val="00715D70"/>
    <w:rsid w:val="00715DC8"/>
    <w:rsid w:val="00715E89"/>
    <w:rsid w:val="00715E93"/>
    <w:rsid w:val="00715ECE"/>
    <w:rsid w:val="00715EEE"/>
    <w:rsid w:val="00715EF2"/>
    <w:rsid w:val="00715F2C"/>
    <w:rsid w:val="00715F2F"/>
    <w:rsid w:val="00715F35"/>
    <w:rsid w:val="00715F56"/>
    <w:rsid w:val="00715F64"/>
    <w:rsid w:val="00715FF5"/>
    <w:rsid w:val="0071605A"/>
    <w:rsid w:val="00716089"/>
    <w:rsid w:val="0071609C"/>
    <w:rsid w:val="007160AE"/>
    <w:rsid w:val="00716127"/>
    <w:rsid w:val="007161C6"/>
    <w:rsid w:val="007161D1"/>
    <w:rsid w:val="00716203"/>
    <w:rsid w:val="00716207"/>
    <w:rsid w:val="007162EC"/>
    <w:rsid w:val="007162FF"/>
    <w:rsid w:val="0071636C"/>
    <w:rsid w:val="007163B7"/>
    <w:rsid w:val="007163D0"/>
    <w:rsid w:val="007163F9"/>
    <w:rsid w:val="007163FF"/>
    <w:rsid w:val="00716435"/>
    <w:rsid w:val="0071649E"/>
    <w:rsid w:val="007165A4"/>
    <w:rsid w:val="007165A6"/>
    <w:rsid w:val="007165A8"/>
    <w:rsid w:val="007165D6"/>
    <w:rsid w:val="0071664C"/>
    <w:rsid w:val="007166C6"/>
    <w:rsid w:val="0071673A"/>
    <w:rsid w:val="0071677E"/>
    <w:rsid w:val="007168C8"/>
    <w:rsid w:val="00716912"/>
    <w:rsid w:val="00716926"/>
    <w:rsid w:val="007169A2"/>
    <w:rsid w:val="007169B3"/>
    <w:rsid w:val="00716A5B"/>
    <w:rsid w:val="00716A7A"/>
    <w:rsid w:val="00716B01"/>
    <w:rsid w:val="00716B50"/>
    <w:rsid w:val="00716B93"/>
    <w:rsid w:val="00716B9C"/>
    <w:rsid w:val="00716BA8"/>
    <w:rsid w:val="00716CB9"/>
    <w:rsid w:val="00716D04"/>
    <w:rsid w:val="00716D2A"/>
    <w:rsid w:val="00716DD9"/>
    <w:rsid w:val="00716DDF"/>
    <w:rsid w:val="00716DE3"/>
    <w:rsid w:val="00716E15"/>
    <w:rsid w:val="00716E93"/>
    <w:rsid w:val="00716F60"/>
    <w:rsid w:val="00716FB7"/>
    <w:rsid w:val="00717079"/>
    <w:rsid w:val="00717089"/>
    <w:rsid w:val="007170A9"/>
    <w:rsid w:val="007170D0"/>
    <w:rsid w:val="007170E3"/>
    <w:rsid w:val="0071710E"/>
    <w:rsid w:val="00717176"/>
    <w:rsid w:val="0071718B"/>
    <w:rsid w:val="00717193"/>
    <w:rsid w:val="007171A5"/>
    <w:rsid w:val="007171B1"/>
    <w:rsid w:val="007171F8"/>
    <w:rsid w:val="00717241"/>
    <w:rsid w:val="007172DF"/>
    <w:rsid w:val="00717333"/>
    <w:rsid w:val="00717344"/>
    <w:rsid w:val="0071736E"/>
    <w:rsid w:val="00717396"/>
    <w:rsid w:val="00717409"/>
    <w:rsid w:val="00717466"/>
    <w:rsid w:val="0071751A"/>
    <w:rsid w:val="00717588"/>
    <w:rsid w:val="007175C8"/>
    <w:rsid w:val="00717654"/>
    <w:rsid w:val="0071768C"/>
    <w:rsid w:val="00717692"/>
    <w:rsid w:val="007176AC"/>
    <w:rsid w:val="007176DE"/>
    <w:rsid w:val="007176F6"/>
    <w:rsid w:val="00717706"/>
    <w:rsid w:val="00717737"/>
    <w:rsid w:val="00717751"/>
    <w:rsid w:val="0071779B"/>
    <w:rsid w:val="007177AF"/>
    <w:rsid w:val="007177DD"/>
    <w:rsid w:val="00717809"/>
    <w:rsid w:val="00717844"/>
    <w:rsid w:val="0071784E"/>
    <w:rsid w:val="007178D9"/>
    <w:rsid w:val="007178E2"/>
    <w:rsid w:val="00717927"/>
    <w:rsid w:val="00717946"/>
    <w:rsid w:val="00717993"/>
    <w:rsid w:val="00717A16"/>
    <w:rsid w:val="00717A77"/>
    <w:rsid w:val="00717ADF"/>
    <w:rsid w:val="00717AFB"/>
    <w:rsid w:val="00717B3F"/>
    <w:rsid w:val="00717BB7"/>
    <w:rsid w:val="00717BEB"/>
    <w:rsid w:val="00717C47"/>
    <w:rsid w:val="00717C78"/>
    <w:rsid w:val="00717D75"/>
    <w:rsid w:val="00717DD1"/>
    <w:rsid w:val="00717DEE"/>
    <w:rsid w:val="00717E86"/>
    <w:rsid w:val="00717E8E"/>
    <w:rsid w:val="00717EE4"/>
    <w:rsid w:val="00720027"/>
    <w:rsid w:val="00720064"/>
    <w:rsid w:val="0072012E"/>
    <w:rsid w:val="00720132"/>
    <w:rsid w:val="00720133"/>
    <w:rsid w:val="007201A8"/>
    <w:rsid w:val="0072026E"/>
    <w:rsid w:val="0072027B"/>
    <w:rsid w:val="007202E1"/>
    <w:rsid w:val="00720367"/>
    <w:rsid w:val="0072039F"/>
    <w:rsid w:val="007203E4"/>
    <w:rsid w:val="00720402"/>
    <w:rsid w:val="0072040C"/>
    <w:rsid w:val="0072045E"/>
    <w:rsid w:val="007204A0"/>
    <w:rsid w:val="007204B3"/>
    <w:rsid w:val="007204FC"/>
    <w:rsid w:val="00720547"/>
    <w:rsid w:val="00720550"/>
    <w:rsid w:val="00720556"/>
    <w:rsid w:val="0072055C"/>
    <w:rsid w:val="00720704"/>
    <w:rsid w:val="007207EE"/>
    <w:rsid w:val="007207F5"/>
    <w:rsid w:val="00720857"/>
    <w:rsid w:val="00720932"/>
    <w:rsid w:val="0072096A"/>
    <w:rsid w:val="00720981"/>
    <w:rsid w:val="007209DB"/>
    <w:rsid w:val="00720A3C"/>
    <w:rsid w:val="00720A83"/>
    <w:rsid w:val="00720A89"/>
    <w:rsid w:val="00720AAF"/>
    <w:rsid w:val="00720AB1"/>
    <w:rsid w:val="00720AE4"/>
    <w:rsid w:val="00720C48"/>
    <w:rsid w:val="00720C50"/>
    <w:rsid w:val="00720C8B"/>
    <w:rsid w:val="00720CC1"/>
    <w:rsid w:val="00720D10"/>
    <w:rsid w:val="00720D5A"/>
    <w:rsid w:val="00720E0D"/>
    <w:rsid w:val="00720E38"/>
    <w:rsid w:val="00720E46"/>
    <w:rsid w:val="00720E70"/>
    <w:rsid w:val="00720ED3"/>
    <w:rsid w:val="00720F20"/>
    <w:rsid w:val="00720F49"/>
    <w:rsid w:val="00720FEA"/>
    <w:rsid w:val="0072103C"/>
    <w:rsid w:val="00721050"/>
    <w:rsid w:val="00721051"/>
    <w:rsid w:val="0072108B"/>
    <w:rsid w:val="007210F4"/>
    <w:rsid w:val="00721139"/>
    <w:rsid w:val="00721237"/>
    <w:rsid w:val="007212C4"/>
    <w:rsid w:val="007212D3"/>
    <w:rsid w:val="007212E0"/>
    <w:rsid w:val="007212E7"/>
    <w:rsid w:val="007212F5"/>
    <w:rsid w:val="007212FD"/>
    <w:rsid w:val="007213A0"/>
    <w:rsid w:val="007213EA"/>
    <w:rsid w:val="007213EB"/>
    <w:rsid w:val="007213F7"/>
    <w:rsid w:val="00721462"/>
    <w:rsid w:val="00721496"/>
    <w:rsid w:val="007214D9"/>
    <w:rsid w:val="00721508"/>
    <w:rsid w:val="0072150A"/>
    <w:rsid w:val="00721525"/>
    <w:rsid w:val="00721549"/>
    <w:rsid w:val="007215A7"/>
    <w:rsid w:val="007215B0"/>
    <w:rsid w:val="00721643"/>
    <w:rsid w:val="007216CC"/>
    <w:rsid w:val="007216E7"/>
    <w:rsid w:val="00721724"/>
    <w:rsid w:val="00721741"/>
    <w:rsid w:val="00721749"/>
    <w:rsid w:val="00721756"/>
    <w:rsid w:val="00721799"/>
    <w:rsid w:val="007217B7"/>
    <w:rsid w:val="007217BC"/>
    <w:rsid w:val="00721812"/>
    <w:rsid w:val="00721837"/>
    <w:rsid w:val="00721844"/>
    <w:rsid w:val="00721851"/>
    <w:rsid w:val="007218E6"/>
    <w:rsid w:val="0072193B"/>
    <w:rsid w:val="007219B2"/>
    <w:rsid w:val="00721B6E"/>
    <w:rsid w:val="00721B75"/>
    <w:rsid w:val="00721B9A"/>
    <w:rsid w:val="00721C2E"/>
    <w:rsid w:val="00721C6D"/>
    <w:rsid w:val="00721C8A"/>
    <w:rsid w:val="00721CFC"/>
    <w:rsid w:val="00721D53"/>
    <w:rsid w:val="00721D83"/>
    <w:rsid w:val="00721DAE"/>
    <w:rsid w:val="00721DE9"/>
    <w:rsid w:val="00721E3E"/>
    <w:rsid w:val="00721E51"/>
    <w:rsid w:val="00721F27"/>
    <w:rsid w:val="00721F29"/>
    <w:rsid w:val="00721F51"/>
    <w:rsid w:val="00721F86"/>
    <w:rsid w:val="00721FA3"/>
    <w:rsid w:val="00721FAF"/>
    <w:rsid w:val="0072200F"/>
    <w:rsid w:val="0072201A"/>
    <w:rsid w:val="00722048"/>
    <w:rsid w:val="00722069"/>
    <w:rsid w:val="007220EA"/>
    <w:rsid w:val="007220ED"/>
    <w:rsid w:val="0072214D"/>
    <w:rsid w:val="00722181"/>
    <w:rsid w:val="007221BE"/>
    <w:rsid w:val="007221F6"/>
    <w:rsid w:val="007221FD"/>
    <w:rsid w:val="0072225B"/>
    <w:rsid w:val="0072227B"/>
    <w:rsid w:val="00722299"/>
    <w:rsid w:val="007223DB"/>
    <w:rsid w:val="007223FF"/>
    <w:rsid w:val="00722431"/>
    <w:rsid w:val="00722441"/>
    <w:rsid w:val="0072248E"/>
    <w:rsid w:val="0072255D"/>
    <w:rsid w:val="00722580"/>
    <w:rsid w:val="007226E6"/>
    <w:rsid w:val="00722726"/>
    <w:rsid w:val="0072275D"/>
    <w:rsid w:val="007227E4"/>
    <w:rsid w:val="007227F8"/>
    <w:rsid w:val="00722813"/>
    <w:rsid w:val="0072287B"/>
    <w:rsid w:val="007228A7"/>
    <w:rsid w:val="007228E4"/>
    <w:rsid w:val="0072299E"/>
    <w:rsid w:val="007229A5"/>
    <w:rsid w:val="007229B2"/>
    <w:rsid w:val="007229BC"/>
    <w:rsid w:val="007229D6"/>
    <w:rsid w:val="007229E5"/>
    <w:rsid w:val="007229F4"/>
    <w:rsid w:val="007229FA"/>
    <w:rsid w:val="00722A0D"/>
    <w:rsid w:val="00722A16"/>
    <w:rsid w:val="00722A45"/>
    <w:rsid w:val="00722AB7"/>
    <w:rsid w:val="00722B14"/>
    <w:rsid w:val="00722BC8"/>
    <w:rsid w:val="00722C25"/>
    <w:rsid w:val="00722C4C"/>
    <w:rsid w:val="00722C4F"/>
    <w:rsid w:val="00722C84"/>
    <w:rsid w:val="00722CEE"/>
    <w:rsid w:val="00722CF3"/>
    <w:rsid w:val="00722D1A"/>
    <w:rsid w:val="00722D54"/>
    <w:rsid w:val="00722DA1"/>
    <w:rsid w:val="00722E2A"/>
    <w:rsid w:val="00722E36"/>
    <w:rsid w:val="00722E3B"/>
    <w:rsid w:val="00722E65"/>
    <w:rsid w:val="00722EE8"/>
    <w:rsid w:val="00722EFD"/>
    <w:rsid w:val="00722F5D"/>
    <w:rsid w:val="00722FD3"/>
    <w:rsid w:val="00722FE4"/>
    <w:rsid w:val="00723009"/>
    <w:rsid w:val="007230C0"/>
    <w:rsid w:val="00723121"/>
    <w:rsid w:val="00723149"/>
    <w:rsid w:val="00723170"/>
    <w:rsid w:val="007231BD"/>
    <w:rsid w:val="00723238"/>
    <w:rsid w:val="0072327F"/>
    <w:rsid w:val="007232DB"/>
    <w:rsid w:val="007232EC"/>
    <w:rsid w:val="007232F1"/>
    <w:rsid w:val="00723369"/>
    <w:rsid w:val="00723394"/>
    <w:rsid w:val="007233BA"/>
    <w:rsid w:val="007233E7"/>
    <w:rsid w:val="00723404"/>
    <w:rsid w:val="007234D7"/>
    <w:rsid w:val="00723543"/>
    <w:rsid w:val="0072359E"/>
    <w:rsid w:val="007235A0"/>
    <w:rsid w:val="0072360B"/>
    <w:rsid w:val="00723648"/>
    <w:rsid w:val="00723677"/>
    <w:rsid w:val="007236AD"/>
    <w:rsid w:val="0072371A"/>
    <w:rsid w:val="0072379E"/>
    <w:rsid w:val="007237A6"/>
    <w:rsid w:val="007237CF"/>
    <w:rsid w:val="0072383E"/>
    <w:rsid w:val="007238A8"/>
    <w:rsid w:val="0072391A"/>
    <w:rsid w:val="00723920"/>
    <w:rsid w:val="00723936"/>
    <w:rsid w:val="0072395D"/>
    <w:rsid w:val="00723973"/>
    <w:rsid w:val="0072397A"/>
    <w:rsid w:val="0072398D"/>
    <w:rsid w:val="007239A2"/>
    <w:rsid w:val="007239CE"/>
    <w:rsid w:val="00723A08"/>
    <w:rsid w:val="00723A4D"/>
    <w:rsid w:val="00723A57"/>
    <w:rsid w:val="00723A5C"/>
    <w:rsid w:val="00723A65"/>
    <w:rsid w:val="00723A75"/>
    <w:rsid w:val="00723B0F"/>
    <w:rsid w:val="00723B32"/>
    <w:rsid w:val="00723BB2"/>
    <w:rsid w:val="00723BDA"/>
    <w:rsid w:val="00723BF7"/>
    <w:rsid w:val="00723C87"/>
    <w:rsid w:val="00723CAF"/>
    <w:rsid w:val="00723CCD"/>
    <w:rsid w:val="00723CCF"/>
    <w:rsid w:val="00723D5A"/>
    <w:rsid w:val="00723D75"/>
    <w:rsid w:val="00723DB4"/>
    <w:rsid w:val="00723DE1"/>
    <w:rsid w:val="00723E03"/>
    <w:rsid w:val="00723E4E"/>
    <w:rsid w:val="00723E91"/>
    <w:rsid w:val="00723EFF"/>
    <w:rsid w:val="00723F50"/>
    <w:rsid w:val="00723FDF"/>
    <w:rsid w:val="007240D8"/>
    <w:rsid w:val="007241EF"/>
    <w:rsid w:val="007241F5"/>
    <w:rsid w:val="0072421A"/>
    <w:rsid w:val="00724224"/>
    <w:rsid w:val="0072431B"/>
    <w:rsid w:val="00724335"/>
    <w:rsid w:val="00724378"/>
    <w:rsid w:val="00724392"/>
    <w:rsid w:val="007243FC"/>
    <w:rsid w:val="00724447"/>
    <w:rsid w:val="007244F2"/>
    <w:rsid w:val="00724529"/>
    <w:rsid w:val="007245D1"/>
    <w:rsid w:val="007245D5"/>
    <w:rsid w:val="00724603"/>
    <w:rsid w:val="00724637"/>
    <w:rsid w:val="00724641"/>
    <w:rsid w:val="0072465B"/>
    <w:rsid w:val="007246A5"/>
    <w:rsid w:val="007246AA"/>
    <w:rsid w:val="0072472F"/>
    <w:rsid w:val="0072476B"/>
    <w:rsid w:val="0072476E"/>
    <w:rsid w:val="007247BA"/>
    <w:rsid w:val="007247DB"/>
    <w:rsid w:val="0072484A"/>
    <w:rsid w:val="007248C2"/>
    <w:rsid w:val="007248ED"/>
    <w:rsid w:val="00724967"/>
    <w:rsid w:val="007249E1"/>
    <w:rsid w:val="007249F4"/>
    <w:rsid w:val="00724A3D"/>
    <w:rsid w:val="00724A62"/>
    <w:rsid w:val="00724AB6"/>
    <w:rsid w:val="00724B1E"/>
    <w:rsid w:val="00724B22"/>
    <w:rsid w:val="00724BA5"/>
    <w:rsid w:val="00724BC0"/>
    <w:rsid w:val="00724BFA"/>
    <w:rsid w:val="00724CC4"/>
    <w:rsid w:val="00724D1E"/>
    <w:rsid w:val="00724D90"/>
    <w:rsid w:val="00724E5D"/>
    <w:rsid w:val="00724E61"/>
    <w:rsid w:val="00724E84"/>
    <w:rsid w:val="00724ED7"/>
    <w:rsid w:val="00724F5B"/>
    <w:rsid w:val="00724FAD"/>
    <w:rsid w:val="00724FCF"/>
    <w:rsid w:val="0072505A"/>
    <w:rsid w:val="007250BD"/>
    <w:rsid w:val="007250D1"/>
    <w:rsid w:val="007250E0"/>
    <w:rsid w:val="007250E9"/>
    <w:rsid w:val="007250FA"/>
    <w:rsid w:val="0072514D"/>
    <w:rsid w:val="00725156"/>
    <w:rsid w:val="0072515D"/>
    <w:rsid w:val="00725196"/>
    <w:rsid w:val="007251AF"/>
    <w:rsid w:val="007251B3"/>
    <w:rsid w:val="007251E1"/>
    <w:rsid w:val="007251E7"/>
    <w:rsid w:val="00725232"/>
    <w:rsid w:val="00725234"/>
    <w:rsid w:val="00725271"/>
    <w:rsid w:val="00725286"/>
    <w:rsid w:val="00725292"/>
    <w:rsid w:val="007252C8"/>
    <w:rsid w:val="00725330"/>
    <w:rsid w:val="00725388"/>
    <w:rsid w:val="00725389"/>
    <w:rsid w:val="00725393"/>
    <w:rsid w:val="0072539C"/>
    <w:rsid w:val="007253AD"/>
    <w:rsid w:val="007254E1"/>
    <w:rsid w:val="00725507"/>
    <w:rsid w:val="00725511"/>
    <w:rsid w:val="00725588"/>
    <w:rsid w:val="007255DA"/>
    <w:rsid w:val="007257AD"/>
    <w:rsid w:val="007257C1"/>
    <w:rsid w:val="007257D5"/>
    <w:rsid w:val="00725888"/>
    <w:rsid w:val="007258B2"/>
    <w:rsid w:val="007258B6"/>
    <w:rsid w:val="00725912"/>
    <w:rsid w:val="00725960"/>
    <w:rsid w:val="00725973"/>
    <w:rsid w:val="00725985"/>
    <w:rsid w:val="0072599A"/>
    <w:rsid w:val="007259EA"/>
    <w:rsid w:val="007259F5"/>
    <w:rsid w:val="007259F8"/>
    <w:rsid w:val="00725A28"/>
    <w:rsid w:val="00725ACA"/>
    <w:rsid w:val="00725AD4"/>
    <w:rsid w:val="00725AF2"/>
    <w:rsid w:val="00725BFA"/>
    <w:rsid w:val="00725C5D"/>
    <w:rsid w:val="00725C79"/>
    <w:rsid w:val="00725CED"/>
    <w:rsid w:val="00725D5A"/>
    <w:rsid w:val="00725D79"/>
    <w:rsid w:val="00725D92"/>
    <w:rsid w:val="00725DC9"/>
    <w:rsid w:val="00725DD9"/>
    <w:rsid w:val="00725DDE"/>
    <w:rsid w:val="00725E85"/>
    <w:rsid w:val="00725ECD"/>
    <w:rsid w:val="00725FA1"/>
    <w:rsid w:val="00726041"/>
    <w:rsid w:val="007260E5"/>
    <w:rsid w:val="007260E9"/>
    <w:rsid w:val="00726102"/>
    <w:rsid w:val="0072610E"/>
    <w:rsid w:val="00726156"/>
    <w:rsid w:val="0072615D"/>
    <w:rsid w:val="0072618B"/>
    <w:rsid w:val="007261F8"/>
    <w:rsid w:val="00726200"/>
    <w:rsid w:val="00726238"/>
    <w:rsid w:val="0072626C"/>
    <w:rsid w:val="00726290"/>
    <w:rsid w:val="007262B1"/>
    <w:rsid w:val="007262F9"/>
    <w:rsid w:val="00726313"/>
    <w:rsid w:val="00726372"/>
    <w:rsid w:val="0072642C"/>
    <w:rsid w:val="007264A7"/>
    <w:rsid w:val="0072650A"/>
    <w:rsid w:val="0072652E"/>
    <w:rsid w:val="00726650"/>
    <w:rsid w:val="00726685"/>
    <w:rsid w:val="007266F7"/>
    <w:rsid w:val="007266FE"/>
    <w:rsid w:val="00726729"/>
    <w:rsid w:val="0072674C"/>
    <w:rsid w:val="007267B5"/>
    <w:rsid w:val="007267ED"/>
    <w:rsid w:val="00726814"/>
    <w:rsid w:val="00726843"/>
    <w:rsid w:val="0072686B"/>
    <w:rsid w:val="007268A4"/>
    <w:rsid w:val="007268FE"/>
    <w:rsid w:val="00726905"/>
    <w:rsid w:val="007269A5"/>
    <w:rsid w:val="00726A01"/>
    <w:rsid w:val="00726A3B"/>
    <w:rsid w:val="00726A55"/>
    <w:rsid w:val="00726AC5"/>
    <w:rsid w:val="00726B1C"/>
    <w:rsid w:val="00726B62"/>
    <w:rsid w:val="00726C03"/>
    <w:rsid w:val="00726C70"/>
    <w:rsid w:val="00726CB6"/>
    <w:rsid w:val="00726D9E"/>
    <w:rsid w:val="00726DAF"/>
    <w:rsid w:val="00726DEB"/>
    <w:rsid w:val="00726E1B"/>
    <w:rsid w:val="00726E44"/>
    <w:rsid w:val="00726E80"/>
    <w:rsid w:val="00726EA5"/>
    <w:rsid w:val="00726F15"/>
    <w:rsid w:val="00726F1D"/>
    <w:rsid w:val="00726F5D"/>
    <w:rsid w:val="00726F65"/>
    <w:rsid w:val="00726F89"/>
    <w:rsid w:val="00726FCD"/>
    <w:rsid w:val="0072702C"/>
    <w:rsid w:val="00727070"/>
    <w:rsid w:val="00727094"/>
    <w:rsid w:val="007270BA"/>
    <w:rsid w:val="007270BE"/>
    <w:rsid w:val="00727106"/>
    <w:rsid w:val="0072711A"/>
    <w:rsid w:val="00727154"/>
    <w:rsid w:val="007271FC"/>
    <w:rsid w:val="00727212"/>
    <w:rsid w:val="00727237"/>
    <w:rsid w:val="00727300"/>
    <w:rsid w:val="00727367"/>
    <w:rsid w:val="007273A0"/>
    <w:rsid w:val="007273C6"/>
    <w:rsid w:val="007273CF"/>
    <w:rsid w:val="007273E1"/>
    <w:rsid w:val="007273EC"/>
    <w:rsid w:val="00727429"/>
    <w:rsid w:val="0072749B"/>
    <w:rsid w:val="007274A0"/>
    <w:rsid w:val="007274E1"/>
    <w:rsid w:val="007274FE"/>
    <w:rsid w:val="0072752E"/>
    <w:rsid w:val="0072754F"/>
    <w:rsid w:val="007275C9"/>
    <w:rsid w:val="007277A9"/>
    <w:rsid w:val="007277AC"/>
    <w:rsid w:val="00727819"/>
    <w:rsid w:val="0072784E"/>
    <w:rsid w:val="00727913"/>
    <w:rsid w:val="0072793C"/>
    <w:rsid w:val="0072794F"/>
    <w:rsid w:val="0072798C"/>
    <w:rsid w:val="007279F8"/>
    <w:rsid w:val="00727A07"/>
    <w:rsid w:val="00727A3E"/>
    <w:rsid w:val="00727A48"/>
    <w:rsid w:val="00727A79"/>
    <w:rsid w:val="00727A95"/>
    <w:rsid w:val="00727A9C"/>
    <w:rsid w:val="00727B46"/>
    <w:rsid w:val="00727BAB"/>
    <w:rsid w:val="00727BE3"/>
    <w:rsid w:val="00727C0B"/>
    <w:rsid w:val="00727C31"/>
    <w:rsid w:val="00727C56"/>
    <w:rsid w:val="00727C9B"/>
    <w:rsid w:val="00727D23"/>
    <w:rsid w:val="00727D54"/>
    <w:rsid w:val="00727DF3"/>
    <w:rsid w:val="00727E22"/>
    <w:rsid w:val="00727E32"/>
    <w:rsid w:val="00727E70"/>
    <w:rsid w:val="00727EF8"/>
    <w:rsid w:val="00727F52"/>
    <w:rsid w:val="00727F89"/>
    <w:rsid w:val="00727FAB"/>
    <w:rsid w:val="00727FDD"/>
    <w:rsid w:val="00730072"/>
    <w:rsid w:val="0073012F"/>
    <w:rsid w:val="00730140"/>
    <w:rsid w:val="00730154"/>
    <w:rsid w:val="007301BD"/>
    <w:rsid w:val="007301DB"/>
    <w:rsid w:val="007302E3"/>
    <w:rsid w:val="0073033D"/>
    <w:rsid w:val="00730347"/>
    <w:rsid w:val="0073038E"/>
    <w:rsid w:val="007303A2"/>
    <w:rsid w:val="007303C1"/>
    <w:rsid w:val="007303E6"/>
    <w:rsid w:val="007303F5"/>
    <w:rsid w:val="007303F9"/>
    <w:rsid w:val="0073040F"/>
    <w:rsid w:val="00730459"/>
    <w:rsid w:val="0073046D"/>
    <w:rsid w:val="0073047F"/>
    <w:rsid w:val="00730485"/>
    <w:rsid w:val="007304D5"/>
    <w:rsid w:val="00730507"/>
    <w:rsid w:val="007305B1"/>
    <w:rsid w:val="00730606"/>
    <w:rsid w:val="00730696"/>
    <w:rsid w:val="007306B1"/>
    <w:rsid w:val="007306C6"/>
    <w:rsid w:val="00730751"/>
    <w:rsid w:val="0073075F"/>
    <w:rsid w:val="007307FB"/>
    <w:rsid w:val="007308DE"/>
    <w:rsid w:val="007308E3"/>
    <w:rsid w:val="00730931"/>
    <w:rsid w:val="00730935"/>
    <w:rsid w:val="007309A2"/>
    <w:rsid w:val="007309BF"/>
    <w:rsid w:val="00730AE8"/>
    <w:rsid w:val="00730AF8"/>
    <w:rsid w:val="00730B70"/>
    <w:rsid w:val="00730CE2"/>
    <w:rsid w:val="00730CFF"/>
    <w:rsid w:val="00730D85"/>
    <w:rsid w:val="00730DF9"/>
    <w:rsid w:val="00730E4C"/>
    <w:rsid w:val="00730E6B"/>
    <w:rsid w:val="00730EA3"/>
    <w:rsid w:val="00730F12"/>
    <w:rsid w:val="00730F52"/>
    <w:rsid w:val="00730F7C"/>
    <w:rsid w:val="00730F9E"/>
    <w:rsid w:val="00730FDD"/>
    <w:rsid w:val="00730FE8"/>
    <w:rsid w:val="00730FFF"/>
    <w:rsid w:val="00731016"/>
    <w:rsid w:val="00731066"/>
    <w:rsid w:val="00731080"/>
    <w:rsid w:val="00731084"/>
    <w:rsid w:val="007310DC"/>
    <w:rsid w:val="007310EA"/>
    <w:rsid w:val="00731174"/>
    <w:rsid w:val="00731222"/>
    <w:rsid w:val="0073124C"/>
    <w:rsid w:val="007312E6"/>
    <w:rsid w:val="007312F5"/>
    <w:rsid w:val="00731387"/>
    <w:rsid w:val="007313E4"/>
    <w:rsid w:val="0073147D"/>
    <w:rsid w:val="007314DA"/>
    <w:rsid w:val="0073150E"/>
    <w:rsid w:val="00731531"/>
    <w:rsid w:val="0073157D"/>
    <w:rsid w:val="0073158B"/>
    <w:rsid w:val="007315ED"/>
    <w:rsid w:val="00731627"/>
    <w:rsid w:val="00731679"/>
    <w:rsid w:val="0073171B"/>
    <w:rsid w:val="0073175A"/>
    <w:rsid w:val="0073178E"/>
    <w:rsid w:val="007317FA"/>
    <w:rsid w:val="0073180F"/>
    <w:rsid w:val="00731821"/>
    <w:rsid w:val="0073183F"/>
    <w:rsid w:val="007318B4"/>
    <w:rsid w:val="007318CF"/>
    <w:rsid w:val="007318DB"/>
    <w:rsid w:val="00731926"/>
    <w:rsid w:val="00731933"/>
    <w:rsid w:val="0073196F"/>
    <w:rsid w:val="0073198C"/>
    <w:rsid w:val="007319C2"/>
    <w:rsid w:val="007319EF"/>
    <w:rsid w:val="007319FB"/>
    <w:rsid w:val="00731AC4"/>
    <w:rsid w:val="00731BC0"/>
    <w:rsid w:val="00731BE2"/>
    <w:rsid w:val="00731C09"/>
    <w:rsid w:val="00731C49"/>
    <w:rsid w:val="00731C54"/>
    <w:rsid w:val="00731C6D"/>
    <w:rsid w:val="00731CC6"/>
    <w:rsid w:val="00731D5E"/>
    <w:rsid w:val="00731DED"/>
    <w:rsid w:val="00731E14"/>
    <w:rsid w:val="00731E21"/>
    <w:rsid w:val="00731E76"/>
    <w:rsid w:val="00731F51"/>
    <w:rsid w:val="00731FA9"/>
    <w:rsid w:val="00732033"/>
    <w:rsid w:val="0073206A"/>
    <w:rsid w:val="007320A7"/>
    <w:rsid w:val="007320AF"/>
    <w:rsid w:val="00732121"/>
    <w:rsid w:val="00732169"/>
    <w:rsid w:val="007321C1"/>
    <w:rsid w:val="00732239"/>
    <w:rsid w:val="007322AA"/>
    <w:rsid w:val="007322D5"/>
    <w:rsid w:val="007322EA"/>
    <w:rsid w:val="00732303"/>
    <w:rsid w:val="007323F0"/>
    <w:rsid w:val="00732485"/>
    <w:rsid w:val="007324AB"/>
    <w:rsid w:val="007324C7"/>
    <w:rsid w:val="007324D1"/>
    <w:rsid w:val="0073256D"/>
    <w:rsid w:val="00732580"/>
    <w:rsid w:val="007325CF"/>
    <w:rsid w:val="007325EB"/>
    <w:rsid w:val="00732607"/>
    <w:rsid w:val="0073269B"/>
    <w:rsid w:val="007326A3"/>
    <w:rsid w:val="0073278D"/>
    <w:rsid w:val="00732831"/>
    <w:rsid w:val="007328A8"/>
    <w:rsid w:val="007328AC"/>
    <w:rsid w:val="007328B9"/>
    <w:rsid w:val="007328F5"/>
    <w:rsid w:val="00732902"/>
    <w:rsid w:val="00732906"/>
    <w:rsid w:val="0073295C"/>
    <w:rsid w:val="007329F4"/>
    <w:rsid w:val="00732A4D"/>
    <w:rsid w:val="00732B1F"/>
    <w:rsid w:val="00732B2E"/>
    <w:rsid w:val="00732B31"/>
    <w:rsid w:val="00732B34"/>
    <w:rsid w:val="00732B5F"/>
    <w:rsid w:val="00732B85"/>
    <w:rsid w:val="00732BB6"/>
    <w:rsid w:val="00732BC6"/>
    <w:rsid w:val="00732BCC"/>
    <w:rsid w:val="00732C80"/>
    <w:rsid w:val="00732D4B"/>
    <w:rsid w:val="00732D69"/>
    <w:rsid w:val="00732DB9"/>
    <w:rsid w:val="00732E7F"/>
    <w:rsid w:val="00732F3A"/>
    <w:rsid w:val="00732FD2"/>
    <w:rsid w:val="00732FFD"/>
    <w:rsid w:val="0073303D"/>
    <w:rsid w:val="0073305B"/>
    <w:rsid w:val="007330BD"/>
    <w:rsid w:val="007330D2"/>
    <w:rsid w:val="0073312E"/>
    <w:rsid w:val="0073312F"/>
    <w:rsid w:val="0073315A"/>
    <w:rsid w:val="00733194"/>
    <w:rsid w:val="007331AD"/>
    <w:rsid w:val="007331B2"/>
    <w:rsid w:val="007331D9"/>
    <w:rsid w:val="007331E1"/>
    <w:rsid w:val="007331EA"/>
    <w:rsid w:val="0073320F"/>
    <w:rsid w:val="00733227"/>
    <w:rsid w:val="00733238"/>
    <w:rsid w:val="0073338D"/>
    <w:rsid w:val="0073338E"/>
    <w:rsid w:val="007333C1"/>
    <w:rsid w:val="007333D9"/>
    <w:rsid w:val="007334A8"/>
    <w:rsid w:val="007334D3"/>
    <w:rsid w:val="007334FC"/>
    <w:rsid w:val="00733520"/>
    <w:rsid w:val="007335B3"/>
    <w:rsid w:val="00733617"/>
    <w:rsid w:val="00733683"/>
    <w:rsid w:val="00733700"/>
    <w:rsid w:val="0073376E"/>
    <w:rsid w:val="007337AB"/>
    <w:rsid w:val="007337AE"/>
    <w:rsid w:val="007337C6"/>
    <w:rsid w:val="0073385D"/>
    <w:rsid w:val="007338C6"/>
    <w:rsid w:val="007338E0"/>
    <w:rsid w:val="00733921"/>
    <w:rsid w:val="0073392B"/>
    <w:rsid w:val="00733973"/>
    <w:rsid w:val="007339A1"/>
    <w:rsid w:val="00733A46"/>
    <w:rsid w:val="00733A6D"/>
    <w:rsid w:val="00733AD6"/>
    <w:rsid w:val="00733AEB"/>
    <w:rsid w:val="00733BD9"/>
    <w:rsid w:val="00733BF3"/>
    <w:rsid w:val="00733C0D"/>
    <w:rsid w:val="00733C30"/>
    <w:rsid w:val="00733C5E"/>
    <w:rsid w:val="00733E3F"/>
    <w:rsid w:val="00733E8F"/>
    <w:rsid w:val="00733E9B"/>
    <w:rsid w:val="00733EA8"/>
    <w:rsid w:val="00733ED6"/>
    <w:rsid w:val="00733FBE"/>
    <w:rsid w:val="00733FE3"/>
    <w:rsid w:val="0073401A"/>
    <w:rsid w:val="007341F5"/>
    <w:rsid w:val="00734217"/>
    <w:rsid w:val="00734221"/>
    <w:rsid w:val="00734256"/>
    <w:rsid w:val="00734257"/>
    <w:rsid w:val="00734284"/>
    <w:rsid w:val="007342A9"/>
    <w:rsid w:val="007342BA"/>
    <w:rsid w:val="007342E2"/>
    <w:rsid w:val="007342E8"/>
    <w:rsid w:val="00734356"/>
    <w:rsid w:val="0073435C"/>
    <w:rsid w:val="007343D7"/>
    <w:rsid w:val="00734404"/>
    <w:rsid w:val="00734410"/>
    <w:rsid w:val="00734438"/>
    <w:rsid w:val="0073446D"/>
    <w:rsid w:val="0073449D"/>
    <w:rsid w:val="007344D5"/>
    <w:rsid w:val="007344EF"/>
    <w:rsid w:val="007344F9"/>
    <w:rsid w:val="00734586"/>
    <w:rsid w:val="00734592"/>
    <w:rsid w:val="007345A4"/>
    <w:rsid w:val="00734675"/>
    <w:rsid w:val="007346F8"/>
    <w:rsid w:val="0073477A"/>
    <w:rsid w:val="0073480D"/>
    <w:rsid w:val="0073482B"/>
    <w:rsid w:val="0073486A"/>
    <w:rsid w:val="007348CF"/>
    <w:rsid w:val="007348FF"/>
    <w:rsid w:val="00734910"/>
    <w:rsid w:val="007349AE"/>
    <w:rsid w:val="00734A0A"/>
    <w:rsid w:val="00734A80"/>
    <w:rsid w:val="00734B54"/>
    <w:rsid w:val="00734B55"/>
    <w:rsid w:val="00734B64"/>
    <w:rsid w:val="00734C48"/>
    <w:rsid w:val="00734D49"/>
    <w:rsid w:val="00734DA5"/>
    <w:rsid w:val="00734DBA"/>
    <w:rsid w:val="00734DBC"/>
    <w:rsid w:val="00734E06"/>
    <w:rsid w:val="00734E6D"/>
    <w:rsid w:val="00734E90"/>
    <w:rsid w:val="00734EBF"/>
    <w:rsid w:val="00734EC7"/>
    <w:rsid w:val="00734F1D"/>
    <w:rsid w:val="00734F9E"/>
    <w:rsid w:val="00734FC1"/>
    <w:rsid w:val="00735091"/>
    <w:rsid w:val="0073509F"/>
    <w:rsid w:val="007350B6"/>
    <w:rsid w:val="0073512B"/>
    <w:rsid w:val="00735154"/>
    <w:rsid w:val="00735167"/>
    <w:rsid w:val="007351B4"/>
    <w:rsid w:val="00735231"/>
    <w:rsid w:val="0073525C"/>
    <w:rsid w:val="00735288"/>
    <w:rsid w:val="007352CF"/>
    <w:rsid w:val="00735389"/>
    <w:rsid w:val="0073538F"/>
    <w:rsid w:val="007353BF"/>
    <w:rsid w:val="0073541A"/>
    <w:rsid w:val="0073541F"/>
    <w:rsid w:val="0073546F"/>
    <w:rsid w:val="00735471"/>
    <w:rsid w:val="00735482"/>
    <w:rsid w:val="007354B5"/>
    <w:rsid w:val="007354F1"/>
    <w:rsid w:val="0073550F"/>
    <w:rsid w:val="00735514"/>
    <w:rsid w:val="007355AC"/>
    <w:rsid w:val="007355F5"/>
    <w:rsid w:val="007355F8"/>
    <w:rsid w:val="0073564A"/>
    <w:rsid w:val="007356FC"/>
    <w:rsid w:val="00735726"/>
    <w:rsid w:val="00735741"/>
    <w:rsid w:val="007357AC"/>
    <w:rsid w:val="007357C0"/>
    <w:rsid w:val="0073580F"/>
    <w:rsid w:val="00735815"/>
    <w:rsid w:val="00735820"/>
    <w:rsid w:val="0073583A"/>
    <w:rsid w:val="00735912"/>
    <w:rsid w:val="007359B0"/>
    <w:rsid w:val="007359C1"/>
    <w:rsid w:val="007359E5"/>
    <w:rsid w:val="007359EA"/>
    <w:rsid w:val="00735A32"/>
    <w:rsid w:val="00735A62"/>
    <w:rsid w:val="00735B14"/>
    <w:rsid w:val="00735B3C"/>
    <w:rsid w:val="00735C0E"/>
    <w:rsid w:val="00735C19"/>
    <w:rsid w:val="00735C90"/>
    <w:rsid w:val="00735CAC"/>
    <w:rsid w:val="00735DB1"/>
    <w:rsid w:val="00735DC6"/>
    <w:rsid w:val="00735E04"/>
    <w:rsid w:val="00735F91"/>
    <w:rsid w:val="00735F9B"/>
    <w:rsid w:val="00735FD0"/>
    <w:rsid w:val="00735FE5"/>
    <w:rsid w:val="0073604B"/>
    <w:rsid w:val="00736054"/>
    <w:rsid w:val="007360A2"/>
    <w:rsid w:val="007360DB"/>
    <w:rsid w:val="0073611E"/>
    <w:rsid w:val="0073612D"/>
    <w:rsid w:val="00736130"/>
    <w:rsid w:val="00736181"/>
    <w:rsid w:val="007361CC"/>
    <w:rsid w:val="007361CE"/>
    <w:rsid w:val="0073621E"/>
    <w:rsid w:val="0073626E"/>
    <w:rsid w:val="007362DE"/>
    <w:rsid w:val="007362EF"/>
    <w:rsid w:val="0073631B"/>
    <w:rsid w:val="007363BA"/>
    <w:rsid w:val="007363DA"/>
    <w:rsid w:val="00736434"/>
    <w:rsid w:val="00736454"/>
    <w:rsid w:val="0073646E"/>
    <w:rsid w:val="0073652E"/>
    <w:rsid w:val="00736562"/>
    <w:rsid w:val="0073659E"/>
    <w:rsid w:val="0073661D"/>
    <w:rsid w:val="00736649"/>
    <w:rsid w:val="0073665B"/>
    <w:rsid w:val="00736667"/>
    <w:rsid w:val="00736677"/>
    <w:rsid w:val="007366CC"/>
    <w:rsid w:val="00736728"/>
    <w:rsid w:val="00736781"/>
    <w:rsid w:val="0073678A"/>
    <w:rsid w:val="0073679C"/>
    <w:rsid w:val="00736812"/>
    <w:rsid w:val="00736818"/>
    <w:rsid w:val="0073689D"/>
    <w:rsid w:val="007368AD"/>
    <w:rsid w:val="007368C7"/>
    <w:rsid w:val="00736975"/>
    <w:rsid w:val="007369BB"/>
    <w:rsid w:val="007369E3"/>
    <w:rsid w:val="007369FC"/>
    <w:rsid w:val="007369FD"/>
    <w:rsid w:val="00736A43"/>
    <w:rsid w:val="00736AAE"/>
    <w:rsid w:val="00736ABC"/>
    <w:rsid w:val="00736AE8"/>
    <w:rsid w:val="00736AF8"/>
    <w:rsid w:val="00736B22"/>
    <w:rsid w:val="00736B93"/>
    <w:rsid w:val="00736BF2"/>
    <w:rsid w:val="00736C59"/>
    <w:rsid w:val="00736C78"/>
    <w:rsid w:val="00736C7B"/>
    <w:rsid w:val="00736C9F"/>
    <w:rsid w:val="00736CAB"/>
    <w:rsid w:val="00736CCF"/>
    <w:rsid w:val="00736D0F"/>
    <w:rsid w:val="00736DEF"/>
    <w:rsid w:val="00736E0B"/>
    <w:rsid w:val="00736E2E"/>
    <w:rsid w:val="00736E83"/>
    <w:rsid w:val="00737004"/>
    <w:rsid w:val="0073700C"/>
    <w:rsid w:val="007370B1"/>
    <w:rsid w:val="007370D4"/>
    <w:rsid w:val="00737103"/>
    <w:rsid w:val="00737144"/>
    <w:rsid w:val="00737163"/>
    <w:rsid w:val="007371B0"/>
    <w:rsid w:val="007371BC"/>
    <w:rsid w:val="007371DB"/>
    <w:rsid w:val="007371F7"/>
    <w:rsid w:val="00737223"/>
    <w:rsid w:val="0073728E"/>
    <w:rsid w:val="007372CB"/>
    <w:rsid w:val="007372FF"/>
    <w:rsid w:val="00737354"/>
    <w:rsid w:val="00737508"/>
    <w:rsid w:val="0073755F"/>
    <w:rsid w:val="00737576"/>
    <w:rsid w:val="007375E3"/>
    <w:rsid w:val="00737618"/>
    <w:rsid w:val="00737703"/>
    <w:rsid w:val="007378B9"/>
    <w:rsid w:val="007378E6"/>
    <w:rsid w:val="00737978"/>
    <w:rsid w:val="00737A26"/>
    <w:rsid w:val="00737A57"/>
    <w:rsid w:val="00737A9D"/>
    <w:rsid w:val="00737B30"/>
    <w:rsid w:val="00737B48"/>
    <w:rsid w:val="00737B56"/>
    <w:rsid w:val="00737B63"/>
    <w:rsid w:val="00737B68"/>
    <w:rsid w:val="00737B76"/>
    <w:rsid w:val="00737B90"/>
    <w:rsid w:val="00737BE4"/>
    <w:rsid w:val="00737C12"/>
    <w:rsid w:val="00737CB7"/>
    <w:rsid w:val="00737CC4"/>
    <w:rsid w:val="00737D0F"/>
    <w:rsid w:val="00737D52"/>
    <w:rsid w:val="00737D6B"/>
    <w:rsid w:val="00737DE9"/>
    <w:rsid w:val="00737DEC"/>
    <w:rsid w:val="00737E0C"/>
    <w:rsid w:val="00737E60"/>
    <w:rsid w:val="00737E69"/>
    <w:rsid w:val="00737E98"/>
    <w:rsid w:val="00737F14"/>
    <w:rsid w:val="00737FA0"/>
    <w:rsid w:val="00737FB7"/>
    <w:rsid w:val="00737FDF"/>
    <w:rsid w:val="00737FF2"/>
    <w:rsid w:val="0074002D"/>
    <w:rsid w:val="00740041"/>
    <w:rsid w:val="007400B4"/>
    <w:rsid w:val="0074011B"/>
    <w:rsid w:val="0074015F"/>
    <w:rsid w:val="007401CB"/>
    <w:rsid w:val="007401D2"/>
    <w:rsid w:val="007401DB"/>
    <w:rsid w:val="00740246"/>
    <w:rsid w:val="00740272"/>
    <w:rsid w:val="00740275"/>
    <w:rsid w:val="00740296"/>
    <w:rsid w:val="007402E1"/>
    <w:rsid w:val="007402F0"/>
    <w:rsid w:val="007402F4"/>
    <w:rsid w:val="0074034B"/>
    <w:rsid w:val="00740353"/>
    <w:rsid w:val="0074039D"/>
    <w:rsid w:val="00740417"/>
    <w:rsid w:val="00740475"/>
    <w:rsid w:val="007404BC"/>
    <w:rsid w:val="00740511"/>
    <w:rsid w:val="00740541"/>
    <w:rsid w:val="00740696"/>
    <w:rsid w:val="007406C0"/>
    <w:rsid w:val="00740713"/>
    <w:rsid w:val="00740773"/>
    <w:rsid w:val="00740798"/>
    <w:rsid w:val="007407C7"/>
    <w:rsid w:val="0074089B"/>
    <w:rsid w:val="007408AE"/>
    <w:rsid w:val="007408B2"/>
    <w:rsid w:val="007408C2"/>
    <w:rsid w:val="007408F3"/>
    <w:rsid w:val="0074094A"/>
    <w:rsid w:val="00740A14"/>
    <w:rsid w:val="00740AC1"/>
    <w:rsid w:val="00740AF2"/>
    <w:rsid w:val="00740AFC"/>
    <w:rsid w:val="00740B14"/>
    <w:rsid w:val="00740C4F"/>
    <w:rsid w:val="00740C51"/>
    <w:rsid w:val="00740C74"/>
    <w:rsid w:val="00740C91"/>
    <w:rsid w:val="00740CC3"/>
    <w:rsid w:val="00740CF9"/>
    <w:rsid w:val="00740D2E"/>
    <w:rsid w:val="00740D4A"/>
    <w:rsid w:val="00740D50"/>
    <w:rsid w:val="00740D5D"/>
    <w:rsid w:val="00740DA9"/>
    <w:rsid w:val="00740DD0"/>
    <w:rsid w:val="00740EAB"/>
    <w:rsid w:val="00740EC5"/>
    <w:rsid w:val="00740F85"/>
    <w:rsid w:val="00740FB8"/>
    <w:rsid w:val="00740FC4"/>
    <w:rsid w:val="00741069"/>
    <w:rsid w:val="00741082"/>
    <w:rsid w:val="007410D2"/>
    <w:rsid w:val="00741146"/>
    <w:rsid w:val="0074125B"/>
    <w:rsid w:val="0074129C"/>
    <w:rsid w:val="00741308"/>
    <w:rsid w:val="00741313"/>
    <w:rsid w:val="00741347"/>
    <w:rsid w:val="00741354"/>
    <w:rsid w:val="0074135E"/>
    <w:rsid w:val="00741373"/>
    <w:rsid w:val="00741385"/>
    <w:rsid w:val="007413CD"/>
    <w:rsid w:val="0074141A"/>
    <w:rsid w:val="007414A1"/>
    <w:rsid w:val="007414D3"/>
    <w:rsid w:val="00741528"/>
    <w:rsid w:val="00741555"/>
    <w:rsid w:val="00741570"/>
    <w:rsid w:val="00741587"/>
    <w:rsid w:val="007415AD"/>
    <w:rsid w:val="007415CB"/>
    <w:rsid w:val="007415DF"/>
    <w:rsid w:val="007415E1"/>
    <w:rsid w:val="00741670"/>
    <w:rsid w:val="007416AF"/>
    <w:rsid w:val="007416EE"/>
    <w:rsid w:val="007416F6"/>
    <w:rsid w:val="007417A2"/>
    <w:rsid w:val="007417D0"/>
    <w:rsid w:val="007417F5"/>
    <w:rsid w:val="00741818"/>
    <w:rsid w:val="00741822"/>
    <w:rsid w:val="00741832"/>
    <w:rsid w:val="0074183F"/>
    <w:rsid w:val="0074188B"/>
    <w:rsid w:val="0074188E"/>
    <w:rsid w:val="007418B4"/>
    <w:rsid w:val="007418B9"/>
    <w:rsid w:val="007418CE"/>
    <w:rsid w:val="007418CF"/>
    <w:rsid w:val="007418D9"/>
    <w:rsid w:val="007418DB"/>
    <w:rsid w:val="00741933"/>
    <w:rsid w:val="00741939"/>
    <w:rsid w:val="007419CE"/>
    <w:rsid w:val="00741A42"/>
    <w:rsid w:val="00741A6A"/>
    <w:rsid w:val="00741B56"/>
    <w:rsid w:val="00741C0B"/>
    <w:rsid w:val="00741C28"/>
    <w:rsid w:val="00741D41"/>
    <w:rsid w:val="00741DEF"/>
    <w:rsid w:val="00741E07"/>
    <w:rsid w:val="00741E20"/>
    <w:rsid w:val="00741E57"/>
    <w:rsid w:val="00741E61"/>
    <w:rsid w:val="00741E8C"/>
    <w:rsid w:val="00741E94"/>
    <w:rsid w:val="00741F2E"/>
    <w:rsid w:val="0074204C"/>
    <w:rsid w:val="0074208D"/>
    <w:rsid w:val="007420AE"/>
    <w:rsid w:val="007420D3"/>
    <w:rsid w:val="007420F1"/>
    <w:rsid w:val="0074215E"/>
    <w:rsid w:val="00742170"/>
    <w:rsid w:val="00742178"/>
    <w:rsid w:val="00742223"/>
    <w:rsid w:val="007423D2"/>
    <w:rsid w:val="007423E0"/>
    <w:rsid w:val="00742410"/>
    <w:rsid w:val="0074246D"/>
    <w:rsid w:val="00742481"/>
    <w:rsid w:val="00742484"/>
    <w:rsid w:val="007424DD"/>
    <w:rsid w:val="0074251B"/>
    <w:rsid w:val="0074251E"/>
    <w:rsid w:val="00742576"/>
    <w:rsid w:val="007425B1"/>
    <w:rsid w:val="007425BD"/>
    <w:rsid w:val="007425D8"/>
    <w:rsid w:val="00742621"/>
    <w:rsid w:val="007426F9"/>
    <w:rsid w:val="007427D8"/>
    <w:rsid w:val="007427DA"/>
    <w:rsid w:val="0074284F"/>
    <w:rsid w:val="00742899"/>
    <w:rsid w:val="00742948"/>
    <w:rsid w:val="007429D9"/>
    <w:rsid w:val="00742A5E"/>
    <w:rsid w:val="00742A82"/>
    <w:rsid w:val="00742B21"/>
    <w:rsid w:val="00742BA3"/>
    <w:rsid w:val="00742BC1"/>
    <w:rsid w:val="00742C2E"/>
    <w:rsid w:val="00742C41"/>
    <w:rsid w:val="00742C43"/>
    <w:rsid w:val="00742CEE"/>
    <w:rsid w:val="00742D2B"/>
    <w:rsid w:val="00742D71"/>
    <w:rsid w:val="00742D90"/>
    <w:rsid w:val="00742D9A"/>
    <w:rsid w:val="00742DC3"/>
    <w:rsid w:val="00742E2E"/>
    <w:rsid w:val="00742E2F"/>
    <w:rsid w:val="00742E72"/>
    <w:rsid w:val="00742E8E"/>
    <w:rsid w:val="00742EA6"/>
    <w:rsid w:val="00742EF8"/>
    <w:rsid w:val="00742F2D"/>
    <w:rsid w:val="00742F53"/>
    <w:rsid w:val="00742F55"/>
    <w:rsid w:val="00742FD6"/>
    <w:rsid w:val="00742FD9"/>
    <w:rsid w:val="00742FE2"/>
    <w:rsid w:val="007430D5"/>
    <w:rsid w:val="007430DB"/>
    <w:rsid w:val="0074311C"/>
    <w:rsid w:val="00743207"/>
    <w:rsid w:val="00743268"/>
    <w:rsid w:val="00743288"/>
    <w:rsid w:val="007432B7"/>
    <w:rsid w:val="007434E2"/>
    <w:rsid w:val="00743553"/>
    <w:rsid w:val="007435DC"/>
    <w:rsid w:val="0074364A"/>
    <w:rsid w:val="007436BC"/>
    <w:rsid w:val="00743743"/>
    <w:rsid w:val="00743774"/>
    <w:rsid w:val="00743836"/>
    <w:rsid w:val="0074396A"/>
    <w:rsid w:val="00743985"/>
    <w:rsid w:val="00743ADD"/>
    <w:rsid w:val="00743AF5"/>
    <w:rsid w:val="00743AFC"/>
    <w:rsid w:val="00743B56"/>
    <w:rsid w:val="00743BCD"/>
    <w:rsid w:val="00743BE3"/>
    <w:rsid w:val="00743C35"/>
    <w:rsid w:val="00743CCD"/>
    <w:rsid w:val="00743D0F"/>
    <w:rsid w:val="00743D3A"/>
    <w:rsid w:val="00743D6B"/>
    <w:rsid w:val="00743D6D"/>
    <w:rsid w:val="00743DC6"/>
    <w:rsid w:val="00743DC8"/>
    <w:rsid w:val="00743E1C"/>
    <w:rsid w:val="00743EA3"/>
    <w:rsid w:val="00743EF9"/>
    <w:rsid w:val="00743F65"/>
    <w:rsid w:val="00743FA3"/>
    <w:rsid w:val="00743FA7"/>
    <w:rsid w:val="00743FAA"/>
    <w:rsid w:val="00743FC6"/>
    <w:rsid w:val="00743FE1"/>
    <w:rsid w:val="00744032"/>
    <w:rsid w:val="00744065"/>
    <w:rsid w:val="007440CA"/>
    <w:rsid w:val="007440D4"/>
    <w:rsid w:val="00744135"/>
    <w:rsid w:val="00744184"/>
    <w:rsid w:val="007441C8"/>
    <w:rsid w:val="007441CA"/>
    <w:rsid w:val="007441DE"/>
    <w:rsid w:val="007442C3"/>
    <w:rsid w:val="007442D3"/>
    <w:rsid w:val="0074436E"/>
    <w:rsid w:val="00744387"/>
    <w:rsid w:val="007443F8"/>
    <w:rsid w:val="0074440F"/>
    <w:rsid w:val="007444DC"/>
    <w:rsid w:val="007444F3"/>
    <w:rsid w:val="00744515"/>
    <w:rsid w:val="00744539"/>
    <w:rsid w:val="007445BA"/>
    <w:rsid w:val="00744624"/>
    <w:rsid w:val="00744639"/>
    <w:rsid w:val="007446CB"/>
    <w:rsid w:val="00744707"/>
    <w:rsid w:val="00744764"/>
    <w:rsid w:val="00744794"/>
    <w:rsid w:val="007447F0"/>
    <w:rsid w:val="00744828"/>
    <w:rsid w:val="00744834"/>
    <w:rsid w:val="007448A2"/>
    <w:rsid w:val="007448DD"/>
    <w:rsid w:val="00744976"/>
    <w:rsid w:val="007449E4"/>
    <w:rsid w:val="00744AC2"/>
    <w:rsid w:val="00744AE3"/>
    <w:rsid w:val="00744AE6"/>
    <w:rsid w:val="00744B05"/>
    <w:rsid w:val="00744B1E"/>
    <w:rsid w:val="00744B7B"/>
    <w:rsid w:val="00744B8A"/>
    <w:rsid w:val="00744BA0"/>
    <w:rsid w:val="00744C79"/>
    <w:rsid w:val="00744CAC"/>
    <w:rsid w:val="00744CEB"/>
    <w:rsid w:val="00744CF4"/>
    <w:rsid w:val="00744D9C"/>
    <w:rsid w:val="00744DB4"/>
    <w:rsid w:val="00744DC6"/>
    <w:rsid w:val="00744E16"/>
    <w:rsid w:val="00744EE2"/>
    <w:rsid w:val="00744EF0"/>
    <w:rsid w:val="00744F90"/>
    <w:rsid w:val="00745029"/>
    <w:rsid w:val="0074509E"/>
    <w:rsid w:val="007450EF"/>
    <w:rsid w:val="00745111"/>
    <w:rsid w:val="0074513C"/>
    <w:rsid w:val="00745154"/>
    <w:rsid w:val="00745243"/>
    <w:rsid w:val="00745270"/>
    <w:rsid w:val="007452A9"/>
    <w:rsid w:val="007452C5"/>
    <w:rsid w:val="007452C9"/>
    <w:rsid w:val="0074534D"/>
    <w:rsid w:val="0074539F"/>
    <w:rsid w:val="007453B8"/>
    <w:rsid w:val="007453D0"/>
    <w:rsid w:val="0074540A"/>
    <w:rsid w:val="0074541E"/>
    <w:rsid w:val="00745423"/>
    <w:rsid w:val="00745435"/>
    <w:rsid w:val="0074544E"/>
    <w:rsid w:val="00745489"/>
    <w:rsid w:val="00745491"/>
    <w:rsid w:val="0074550C"/>
    <w:rsid w:val="0074554C"/>
    <w:rsid w:val="007455A6"/>
    <w:rsid w:val="007455A7"/>
    <w:rsid w:val="0074561E"/>
    <w:rsid w:val="00745625"/>
    <w:rsid w:val="0074568F"/>
    <w:rsid w:val="007456B7"/>
    <w:rsid w:val="007456C7"/>
    <w:rsid w:val="007456F0"/>
    <w:rsid w:val="0074570B"/>
    <w:rsid w:val="00745736"/>
    <w:rsid w:val="00745760"/>
    <w:rsid w:val="00745794"/>
    <w:rsid w:val="007457D2"/>
    <w:rsid w:val="0074583B"/>
    <w:rsid w:val="0074586A"/>
    <w:rsid w:val="007458BF"/>
    <w:rsid w:val="007458EA"/>
    <w:rsid w:val="007458F3"/>
    <w:rsid w:val="007458FC"/>
    <w:rsid w:val="00745912"/>
    <w:rsid w:val="00745972"/>
    <w:rsid w:val="00745A27"/>
    <w:rsid w:val="00745A4D"/>
    <w:rsid w:val="00745AA4"/>
    <w:rsid w:val="00745ABA"/>
    <w:rsid w:val="00745AD2"/>
    <w:rsid w:val="00745B9D"/>
    <w:rsid w:val="00745BAF"/>
    <w:rsid w:val="00745C52"/>
    <w:rsid w:val="00745CA3"/>
    <w:rsid w:val="00745CC7"/>
    <w:rsid w:val="00745D06"/>
    <w:rsid w:val="00745D4D"/>
    <w:rsid w:val="00745E05"/>
    <w:rsid w:val="00745E8D"/>
    <w:rsid w:val="00745EC2"/>
    <w:rsid w:val="00745EFC"/>
    <w:rsid w:val="00745F49"/>
    <w:rsid w:val="00745F4F"/>
    <w:rsid w:val="00745FE2"/>
    <w:rsid w:val="0074603B"/>
    <w:rsid w:val="0074604D"/>
    <w:rsid w:val="007460DF"/>
    <w:rsid w:val="007460FD"/>
    <w:rsid w:val="007461D3"/>
    <w:rsid w:val="0074626C"/>
    <w:rsid w:val="0074628D"/>
    <w:rsid w:val="007462B4"/>
    <w:rsid w:val="007462ED"/>
    <w:rsid w:val="00746379"/>
    <w:rsid w:val="007463CD"/>
    <w:rsid w:val="00746404"/>
    <w:rsid w:val="00746442"/>
    <w:rsid w:val="0074644F"/>
    <w:rsid w:val="00746452"/>
    <w:rsid w:val="007464D0"/>
    <w:rsid w:val="007464FA"/>
    <w:rsid w:val="0074650C"/>
    <w:rsid w:val="00746518"/>
    <w:rsid w:val="00746532"/>
    <w:rsid w:val="0074657D"/>
    <w:rsid w:val="007465D3"/>
    <w:rsid w:val="007465DD"/>
    <w:rsid w:val="007465F7"/>
    <w:rsid w:val="007465FC"/>
    <w:rsid w:val="00746643"/>
    <w:rsid w:val="00746666"/>
    <w:rsid w:val="007466A2"/>
    <w:rsid w:val="007466DD"/>
    <w:rsid w:val="00746707"/>
    <w:rsid w:val="0074671A"/>
    <w:rsid w:val="00746783"/>
    <w:rsid w:val="007467F1"/>
    <w:rsid w:val="00746924"/>
    <w:rsid w:val="00746956"/>
    <w:rsid w:val="00746975"/>
    <w:rsid w:val="0074698D"/>
    <w:rsid w:val="00746994"/>
    <w:rsid w:val="007469C4"/>
    <w:rsid w:val="00746A19"/>
    <w:rsid w:val="00746B44"/>
    <w:rsid w:val="00746B63"/>
    <w:rsid w:val="00746B95"/>
    <w:rsid w:val="00746B9B"/>
    <w:rsid w:val="00746BB5"/>
    <w:rsid w:val="00746BBA"/>
    <w:rsid w:val="00746BFA"/>
    <w:rsid w:val="00746C02"/>
    <w:rsid w:val="00746C35"/>
    <w:rsid w:val="00746C42"/>
    <w:rsid w:val="00746CA3"/>
    <w:rsid w:val="00746D4D"/>
    <w:rsid w:val="00746D94"/>
    <w:rsid w:val="00746DAF"/>
    <w:rsid w:val="00746DEA"/>
    <w:rsid w:val="00746E5E"/>
    <w:rsid w:val="00746EAC"/>
    <w:rsid w:val="00746EC2"/>
    <w:rsid w:val="00746EDD"/>
    <w:rsid w:val="00746F07"/>
    <w:rsid w:val="00746F51"/>
    <w:rsid w:val="00746FC1"/>
    <w:rsid w:val="00746FCB"/>
    <w:rsid w:val="00746FDE"/>
    <w:rsid w:val="00746FF2"/>
    <w:rsid w:val="00747088"/>
    <w:rsid w:val="00747097"/>
    <w:rsid w:val="00747114"/>
    <w:rsid w:val="0074716E"/>
    <w:rsid w:val="007471CF"/>
    <w:rsid w:val="00747260"/>
    <w:rsid w:val="007472EC"/>
    <w:rsid w:val="007472F2"/>
    <w:rsid w:val="00747363"/>
    <w:rsid w:val="00747399"/>
    <w:rsid w:val="007473A6"/>
    <w:rsid w:val="007473CA"/>
    <w:rsid w:val="007473E9"/>
    <w:rsid w:val="007473F8"/>
    <w:rsid w:val="00747469"/>
    <w:rsid w:val="0074749B"/>
    <w:rsid w:val="007474BB"/>
    <w:rsid w:val="007474DB"/>
    <w:rsid w:val="007474E8"/>
    <w:rsid w:val="00747589"/>
    <w:rsid w:val="007475BB"/>
    <w:rsid w:val="007475D4"/>
    <w:rsid w:val="00747673"/>
    <w:rsid w:val="007476BE"/>
    <w:rsid w:val="0074771E"/>
    <w:rsid w:val="0074773B"/>
    <w:rsid w:val="007477A4"/>
    <w:rsid w:val="007477BD"/>
    <w:rsid w:val="007477DA"/>
    <w:rsid w:val="007477E8"/>
    <w:rsid w:val="007477EB"/>
    <w:rsid w:val="0074782C"/>
    <w:rsid w:val="00747849"/>
    <w:rsid w:val="00747851"/>
    <w:rsid w:val="00747884"/>
    <w:rsid w:val="0074790C"/>
    <w:rsid w:val="007479D6"/>
    <w:rsid w:val="00747A9E"/>
    <w:rsid w:val="00747AAA"/>
    <w:rsid w:val="00747AC3"/>
    <w:rsid w:val="00747AD0"/>
    <w:rsid w:val="00747AE3"/>
    <w:rsid w:val="00747AF9"/>
    <w:rsid w:val="00747B02"/>
    <w:rsid w:val="00747B58"/>
    <w:rsid w:val="00747B9E"/>
    <w:rsid w:val="00747BB4"/>
    <w:rsid w:val="00747C20"/>
    <w:rsid w:val="00747C21"/>
    <w:rsid w:val="00747CB3"/>
    <w:rsid w:val="00747D0B"/>
    <w:rsid w:val="00747D1E"/>
    <w:rsid w:val="00747DB1"/>
    <w:rsid w:val="00747DF7"/>
    <w:rsid w:val="00747DFD"/>
    <w:rsid w:val="00747E0B"/>
    <w:rsid w:val="00747E2D"/>
    <w:rsid w:val="00747E45"/>
    <w:rsid w:val="00747E68"/>
    <w:rsid w:val="00747ED0"/>
    <w:rsid w:val="00747F04"/>
    <w:rsid w:val="00747F37"/>
    <w:rsid w:val="00747F60"/>
    <w:rsid w:val="00747FA6"/>
    <w:rsid w:val="007500F5"/>
    <w:rsid w:val="00750127"/>
    <w:rsid w:val="00750195"/>
    <w:rsid w:val="00750199"/>
    <w:rsid w:val="007501E0"/>
    <w:rsid w:val="007501F5"/>
    <w:rsid w:val="0075028E"/>
    <w:rsid w:val="00750404"/>
    <w:rsid w:val="0075055D"/>
    <w:rsid w:val="007505B3"/>
    <w:rsid w:val="007505E0"/>
    <w:rsid w:val="00750603"/>
    <w:rsid w:val="00750626"/>
    <w:rsid w:val="00750663"/>
    <w:rsid w:val="00750697"/>
    <w:rsid w:val="007506B6"/>
    <w:rsid w:val="007506FB"/>
    <w:rsid w:val="0075071B"/>
    <w:rsid w:val="00750766"/>
    <w:rsid w:val="007507BD"/>
    <w:rsid w:val="007507D1"/>
    <w:rsid w:val="007507D7"/>
    <w:rsid w:val="007507E7"/>
    <w:rsid w:val="0075084C"/>
    <w:rsid w:val="00750887"/>
    <w:rsid w:val="0075089B"/>
    <w:rsid w:val="00750986"/>
    <w:rsid w:val="007509B7"/>
    <w:rsid w:val="007509C1"/>
    <w:rsid w:val="00750A03"/>
    <w:rsid w:val="00750A92"/>
    <w:rsid w:val="00750AAB"/>
    <w:rsid w:val="00750AEB"/>
    <w:rsid w:val="00750B2A"/>
    <w:rsid w:val="00750BF5"/>
    <w:rsid w:val="00750BFF"/>
    <w:rsid w:val="00750C2F"/>
    <w:rsid w:val="00750C60"/>
    <w:rsid w:val="00750CB5"/>
    <w:rsid w:val="00750CC6"/>
    <w:rsid w:val="00750D25"/>
    <w:rsid w:val="00750DE6"/>
    <w:rsid w:val="00750E28"/>
    <w:rsid w:val="00750E61"/>
    <w:rsid w:val="00750E66"/>
    <w:rsid w:val="00750E9E"/>
    <w:rsid w:val="00750EA5"/>
    <w:rsid w:val="00750EA9"/>
    <w:rsid w:val="00750F03"/>
    <w:rsid w:val="00750F56"/>
    <w:rsid w:val="00750F65"/>
    <w:rsid w:val="00750F92"/>
    <w:rsid w:val="00750FB7"/>
    <w:rsid w:val="00750FCF"/>
    <w:rsid w:val="00750FDE"/>
    <w:rsid w:val="0075100A"/>
    <w:rsid w:val="0075100C"/>
    <w:rsid w:val="00751082"/>
    <w:rsid w:val="0075108D"/>
    <w:rsid w:val="007510B6"/>
    <w:rsid w:val="007510D0"/>
    <w:rsid w:val="007510F1"/>
    <w:rsid w:val="0075116A"/>
    <w:rsid w:val="00751180"/>
    <w:rsid w:val="0075122B"/>
    <w:rsid w:val="007512CF"/>
    <w:rsid w:val="007512FF"/>
    <w:rsid w:val="00751385"/>
    <w:rsid w:val="0075139A"/>
    <w:rsid w:val="007514A2"/>
    <w:rsid w:val="00751529"/>
    <w:rsid w:val="00751556"/>
    <w:rsid w:val="00751645"/>
    <w:rsid w:val="0075167E"/>
    <w:rsid w:val="00751682"/>
    <w:rsid w:val="0075171E"/>
    <w:rsid w:val="00751722"/>
    <w:rsid w:val="00751759"/>
    <w:rsid w:val="007517AE"/>
    <w:rsid w:val="0075184E"/>
    <w:rsid w:val="0075185A"/>
    <w:rsid w:val="0075191A"/>
    <w:rsid w:val="007519CA"/>
    <w:rsid w:val="007519E3"/>
    <w:rsid w:val="00751A69"/>
    <w:rsid w:val="00751AA6"/>
    <w:rsid w:val="00751AD1"/>
    <w:rsid w:val="00751AEC"/>
    <w:rsid w:val="00751C1F"/>
    <w:rsid w:val="00751C4A"/>
    <w:rsid w:val="00751C84"/>
    <w:rsid w:val="00751D06"/>
    <w:rsid w:val="00751D72"/>
    <w:rsid w:val="00751D93"/>
    <w:rsid w:val="00751DA4"/>
    <w:rsid w:val="00751DB5"/>
    <w:rsid w:val="00751DFB"/>
    <w:rsid w:val="00751E06"/>
    <w:rsid w:val="00751E54"/>
    <w:rsid w:val="00751E5B"/>
    <w:rsid w:val="00751E73"/>
    <w:rsid w:val="00751E83"/>
    <w:rsid w:val="00751E87"/>
    <w:rsid w:val="00751ECB"/>
    <w:rsid w:val="00751F4D"/>
    <w:rsid w:val="00751F81"/>
    <w:rsid w:val="00751F87"/>
    <w:rsid w:val="00752012"/>
    <w:rsid w:val="007520BE"/>
    <w:rsid w:val="0075210F"/>
    <w:rsid w:val="00752128"/>
    <w:rsid w:val="00752135"/>
    <w:rsid w:val="0075213F"/>
    <w:rsid w:val="0075217A"/>
    <w:rsid w:val="007521D5"/>
    <w:rsid w:val="007521EB"/>
    <w:rsid w:val="0075221B"/>
    <w:rsid w:val="0075223C"/>
    <w:rsid w:val="00752294"/>
    <w:rsid w:val="007522D0"/>
    <w:rsid w:val="0075230A"/>
    <w:rsid w:val="0075231E"/>
    <w:rsid w:val="0075233F"/>
    <w:rsid w:val="00752446"/>
    <w:rsid w:val="00752458"/>
    <w:rsid w:val="0075246D"/>
    <w:rsid w:val="00752477"/>
    <w:rsid w:val="00752500"/>
    <w:rsid w:val="0075255A"/>
    <w:rsid w:val="00752565"/>
    <w:rsid w:val="00752572"/>
    <w:rsid w:val="00752575"/>
    <w:rsid w:val="007525EB"/>
    <w:rsid w:val="0075263A"/>
    <w:rsid w:val="007526AA"/>
    <w:rsid w:val="0075279A"/>
    <w:rsid w:val="00752821"/>
    <w:rsid w:val="00752833"/>
    <w:rsid w:val="007528AE"/>
    <w:rsid w:val="007528DE"/>
    <w:rsid w:val="0075290F"/>
    <w:rsid w:val="0075293C"/>
    <w:rsid w:val="007529B7"/>
    <w:rsid w:val="007529D9"/>
    <w:rsid w:val="00752A21"/>
    <w:rsid w:val="00752A2B"/>
    <w:rsid w:val="00752A75"/>
    <w:rsid w:val="00752A9D"/>
    <w:rsid w:val="00752AE3"/>
    <w:rsid w:val="00752AFA"/>
    <w:rsid w:val="00752B31"/>
    <w:rsid w:val="00752B53"/>
    <w:rsid w:val="00752B64"/>
    <w:rsid w:val="00752B76"/>
    <w:rsid w:val="00752C0A"/>
    <w:rsid w:val="00752C4D"/>
    <w:rsid w:val="00752CB7"/>
    <w:rsid w:val="00752D56"/>
    <w:rsid w:val="00752E64"/>
    <w:rsid w:val="00752E67"/>
    <w:rsid w:val="00752EC5"/>
    <w:rsid w:val="00752ECD"/>
    <w:rsid w:val="00752ECE"/>
    <w:rsid w:val="00752ED4"/>
    <w:rsid w:val="00752EF8"/>
    <w:rsid w:val="00752F06"/>
    <w:rsid w:val="00752F91"/>
    <w:rsid w:val="00752FC9"/>
    <w:rsid w:val="00753047"/>
    <w:rsid w:val="0075305C"/>
    <w:rsid w:val="007530F3"/>
    <w:rsid w:val="007530F7"/>
    <w:rsid w:val="00753183"/>
    <w:rsid w:val="007531B0"/>
    <w:rsid w:val="00753231"/>
    <w:rsid w:val="0075327E"/>
    <w:rsid w:val="0075328C"/>
    <w:rsid w:val="007532AE"/>
    <w:rsid w:val="00753336"/>
    <w:rsid w:val="00753378"/>
    <w:rsid w:val="0075339A"/>
    <w:rsid w:val="007533BD"/>
    <w:rsid w:val="007533F9"/>
    <w:rsid w:val="00753427"/>
    <w:rsid w:val="00753433"/>
    <w:rsid w:val="00753447"/>
    <w:rsid w:val="00753516"/>
    <w:rsid w:val="00753548"/>
    <w:rsid w:val="0075356F"/>
    <w:rsid w:val="00753614"/>
    <w:rsid w:val="0075361D"/>
    <w:rsid w:val="00753679"/>
    <w:rsid w:val="0075368D"/>
    <w:rsid w:val="007536A5"/>
    <w:rsid w:val="00753705"/>
    <w:rsid w:val="0075371F"/>
    <w:rsid w:val="0075372A"/>
    <w:rsid w:val="0075373E"/>
    <w:rsid w:val="007537CE"/>
    <w:rsid w:val="00753806"/>
    <w:rsid w:val="00753923"/>
    <w:rsid w:val="0075392F"/>
    <w:rsid w:val="0075397E"/>
    <w:rsid w:val="007539B8"/>
    <w:rsid w:val="007539E8"/>
    <w:rsid w:val="00753A8F"/>
    <w:rsid w:val="00753B0B"/>
    <w:rsid w:val="00753B71"/>
    <w:rsid w:val="00753B7D"/>
    <w:rsid w:val="00753C12"/>
    <w:rsid w:val="00753C4C"/>
    <w:rsid w:val="00753CD0"/>
    <w:rsid w:val="00753CFD"/>
    <w:rsid w:val="00753DB2"/>
    <w:rsid w:val="00753E82"/>
    <w:rsid w:val="00753E90"/>
    <w:rsid w:val="00753ECC"/>
    <w:rsid w:val="00753EED"/>
    <w:rsid w:val="00753F0D"/>
    <w:rsid w:val="00753F1A"/>
    <w:rsid w:val="00753F21"/>
    <w:rsid w:val="00753F3E"/>
    <w:rsid w:val="00753F5C"/>
    <w:rsid w:val="00753F90"/>
    <w:rsid w:val="00753FBF"/>
    <w:rsid w:val="0075407D"/>
    <w:rsid w:val="00754098"/>
    <w:rsid w:val="007540F7"/>
    <w:rsid w:val="007541C6"/>
    <w:rsid w:val="00754202"/>
    <w:rsid w:val="00754226"/>
    <w:rsid w:val="00754236"/>
    <w:rsid w:val="00754242"/>
    <w:rsid w:val="0075426C"/>
    <w:rsid w:val="007542F7"/>
    <w:rsid w:val="0075432E"/>
    <w:rsid w:val="007543B7"/>
    <w:rsid w:val="00754403"/>
    <w:rsid w:val="00754454"/>
    <w:rsid w:val="00754455"/>
    <w:rsid w:val="00754467"/>
    <w:rsid w:val="0075446B"/>
    <w:rsid w:val="007544A3"/>
    <w:rsid w:val="007544B9"/>
    <w:rsid w:val="007545B3"/>
    <w:rsid w:val="007545DE"/>
    <w:rsid w:val="0075462B"/>
    <w:rsid w:val="007546E6"/>
    <w:rsid w:val="007546F7"/>
    <w:rsid w:val="007546FE"/>
    <w:rsid w:val="00754805"/>
    <w:rsid w:val="0075480B"/>
    <w:rsid w:val="00754887"/>
    <w:rsid w:val="007548A2"/>
    <w:rsid w:val="007548DD"/>
    <w:rsid w:val="0075494C"/>
    <w:rsid w:val="0075496A"/>
    <w:rsid w:val="007549AB"/>
    <w:rsid w:val="007549F3"/>
    <w:rsid w:val="00754A1E"/>
    <w:rsid w:val="00754AB1"/>
    <w:rsid w:val="00754AB9"/>
    <w:rsid w:val="00754AC7"/>
    <w:rsid w:val="00754B1B"/>
    <w:rsid w:val="00754B38"/>
    <w:rsid w:val="00754B44"/>
    <w:rsid w:val="00754B86"/>
    <w:rsid w:val="00754C10"/>
    <w:rsid w:val="00754C34"/>
    <w:rsid w:val="00754C6D"/>
    <w:rsid w:val="00754DBE"/>
    <w:rsid w:val="00754E2C"/>
    <w:rsid w:val="00754E7B"/>
    <w:rsid w:val="00754EF7"/>
    <w:rsid w:val="00754F93"/>
    <w:rsid w:val="00754FA3"/>
    <w:rsid w:val="00754FE0"/>
    <w:rsid w:val="00755026"/>
    <w:rsid w:val="00755080"/>
    <w:rsid w:val="0075509E"/>
    <w:rsid w:val="007550B6"/>
    <w:rsid w:val="007550EC"/>
    <w:rsid w:val="00755134"/>
    <w:rsid w:val="0075515A"/>
    <w:rsid w:val="0075515D"/>
    <w:rsid w:val="00755161"/>
    <w:rsid w:val="00755169"/>
    <w:rsid w:val="0075516F"/>
    <w:rsid w:val="007551D9"/>
    <w:rsid w:val="007551E4"/>
    <w:rsid w:val="0075521A"/>
    <w:rsid w:val="00755276"/>
    <w:rsid w:val="007552C4"/>
    <w:rsid w:val="00755324"/>
    <w:rsid w:val="0075532A"/>
    <w:rsid w:val="0075534D"/>
    <w:rsid w:val="00755375"/>
    <w:rsid w:val="007553B5"/>
    <w:rsid w:val="007553C0"/>
    <w:rsid w:val="007553C4"/>
    <w:rsid w:val="0075549D"/>
    <w:rsid w:val="007554C0"/>
    <w:rsid w:val="007554EB"/>
    <w:rsid w:val="0075554C"/>
    <w:rsid w:val="0075557A"/>
    <w:rsid w:val="007555CB"/>
    <w:rsid w:val="0075560B"/>
    <w:rsid w:val="0075562E"/>
    <w:rsid w:val="00755735"/>
    <w:rsid w:val="00755761"/>
    <w:rsid w:val="007557A1"/>
    <w:rsid w:val="00755893"/>
    <w:rsid w:val="007558CE"/>
    <w:rsid w:val="00755934"/>
    <w:rsid w:val="00755A66"/>
    <w:rsid w:val="00755B9E"/>
    <w:rsid w:val="00755BAF"/>
    <w:rsid w:val="00755BD0"/>
    <w:rsid w:val="00755BF2"/>
    <w:rsid w:val="00755C65"/>
    <w:rsid w:val="00755CAF"/>
    <w:rsid w:val="00755CB0"/>
    <w:rsid w:val="00755CFC"/>
    <w:rsid w:val="00755D15"/>
    <w:rsid w:val="00755D60"/>
    <w:rsid w:val="00755DB8"/>
    <w:rsid w:val="00755DC4"/>
    <w:rsid w:val="00755DDA"/>
    <w:rsid w:val="00755E77"/>
    <w:rsid w:val="00755EC1"/>
    <w:rsid w:val="00755ED5"/>
    <w:rsid w:val="00755F09"/>
    <w:rsid w:val="00755F3B"/>
    <w:rsid w:val="00755F99"/>
    <w:rsid w:val="00755FE0"/>
    <w:rsid w:val="00755FE5"/>
    <w:rsid w:val="0075607F"/>
    <w:rsid w:val="007560AE"/>
    <w:rsid w:val="007560BA"/>
    <w:rsid w:val="00756102"/>
    <w:rsid w:val="007561AE"/>
    <w:rsid w:val="007561B2"/>
    <w:rsid w:val="007561C3"/>
    <w:rsid w:val="00756211"/>
    <w:rsid w:val="00756251"/>
    <w:rsid w:val="0075627C"/>
    <w:rsid w:val="00756297"/>
    <w:rsid w:val="0075637D"/>
    <w:rsid w:val="0075639C"/>
    <w:rsid w:val="007563A4"/>
    <w:rsid w:val="007563D6"/>
    <w:rsid w:val="007563DD"/>
    <w:rsid w:val="007563FD"/>
    <w:rsid w:val="0075641F"/>
    <w:rsid w:val="0075643C"/>
    <w:rsid w:val="0075652E"/>
    <w:rsid w:val="0075655A"/>
    <w:rsid w:val="00756561"/>
    <w:rsid w:val="0075656F"/>
    <w:rsid w:val="00756573"/>
    <w:rsid w:val="007565B4"/>
    <w:rsid w:val="0075664F"/>
    <w:rsid w:val="007566C8"/>
    <w:rsid w:val="007566CF"/>
    <w:rsid w:val="007566E0"/>
    <w:rsid w:val="00756737"/>
    <w:rsid w:val="00756746"/>
    <w:rsid w:val="007567D0"/>
    <w:rsid w:val="0075680C"/>
    <w:rsid w:val="00756852"/>
    <w:rsid w:val="0075688D"/>
    <w:rsid w:val="007568C5"/>
    <w:rsid w:val="00756921"/>
    <w:rsid w:val="007569CF"/>
    <w:rsid w:val="00756A5B"/>
    <w:rsid w:val="00756A61"/>
    <w:rsid w:val="00756B80"/>
    <w:rsid w:val="00756BAA"/>
    <w:rsid w:val="00756C3F"/>
    <w:rsid w:val="00756C5B"/>
    <w:rsid w:val="00756CA3"/>
    <w:rsid w:val="00756CCA"/>
    <w:rsid w:val="00756D3C"/>
    <w:rsid w:val="00756D92"/>
    <w:rsid w:val="00756E4B"/>
    <w:rsid w:val="00756E86"/>
    <w:rsid w:val="00756EA6"/>
    <w:rsid w:val="00756ED1"/>
    <w:rsid w:val="00756EFD"/>
    <w:rsid w:val="00756F0B"/>
    <w:rsid w:val="00756F17"/>
    <w:rsid w:val="00756F19"/>
    <w:rsid w:val="00756F91"/>
    <w:rsid w:val="00756FCA"/>
    <w:rsid w:val="00756FCE"/>
    <w:rsid w:val="00756FFE"/>
    <w:rsid w:val="00757050"/>
    <w:rsid w:val="0075708E"/>
    <w:rsid w:val="007570D4"/>
    <w:rsid w:val="007570EF"/>
    <w:rsid w:val="0075710B"/>
    <w:rsid w:val="0075716D"/>
    <w:rsid w:val="0075718B"/>
    <w:rsid w:val="007571BE"/>
    <w:rsid w:val="00757224"/>
    <w:rsid w:val="00757236"/>
    <w:rsid w:val="00757239"/>
    <w:rsid w:val="0075728B"/>
    <w:rsid w:val="00757295"/>
    <w:rsid w:val="007572CD"/>
    <w:rsid w:val="007572DE"/>
    <w:rsid w:val="00757306"/>
    <w:rsid w:val="007573E2"/>
    <w:rsid w:val="00757455"/>
    <w:rsid w:val="00757516"/>
    <w:rsid w:val="00757540"/>
    <w:rsid w:val="00757546"/>
    <w:rsid w:val="0075771C"/>
    <w:rsid w:val="007577E3"/>
    <w:rsid w:val="007577F8"/>
    <w:rsid w:val="007578AC"/>
    <w:rsid w:val="0075790D"/>
    <w:rsid w:val="00757974"/>
    <w:rsid w:val="007579A9"/>
    <w:rsid w:val="00757A26"/>
    <w:rsid w:val="00757AEA"/>
    <w:rsid w:val="00757B0E"/>
    <w:rsid w:val="00757BB5"/>
    <w:rsid w:val="00757C07"/>
    <w:rsid w:val="00757C3F"/>
    <w:rsid w:val="00757C98"/>
    <w:rsid w:val="00757D93"/>
    <w:rsid w:val="00757D98"/>
    <w:rsid w:val="00757DBE"/>
    <w:rsid w:val="00757E2F"/>
    <w:rsid w:val="00757E85"/>
    <w:rsid w:val="00757EAE"/>
    <w:rsid w:val="00757F42"/>
    <w:rsid w:val="0076000C"/>
    <w:rsid w:val="0076006D"/>
    <w:rsid w:val="007600F3"/>
    <w:rsid w:val="00760121"/>
    <w:rsid w:val="00760210"/>
    <w:rsid w:val="00760259"/>
    <w:rsid w:val="00760289"/>
    <w:rsid w:val="007602D6"/>
    <w:rsid w:val="007602D8"/>
    <w:rsid w:val="007602EC"/>
    <w:rsid w:val="00760315"/>
    <w:rsid w:val="007603C0"/>
    <w:rsid w:val="007603F2"/>
    <w:rsid w:val="007603FA"/>
    <w:rsid w:val="00760561"/>
    <w:rsid w:val="007605E7"/>
    <w:rsid w:val="007606A3"/>
    <w:rsid w:val="007606B6"/>
    <w:rsid w:val="007606CD"/>
    <w:rsid w:val="007606E3"/>
    <w:rsid w:val="007607A3"/>
    <w:rsid w:val="007607ED"/>
    <w:rsid w:val="0076081A"/>
    <w:rsid w:val="00760868"/>
    <w:rsid w:val="007608E0"/>
    <w:rsid w:val="007608E4"/>
    <w:rsid w:val="00760990"/>
    <w:rsid w:val="00760994"/>
    <w:rsid w:val="00760A30"/>
    <w:rsid w:val="00760AA1"/>
    <w:rsid w:val="00760AB4"/>
    <w:rsid w:val="00760B38"/>
    <w:rsid w:val="00760B55"/>
    <w:rsid w:val="00760B7D"/>
    <w:rsid w:val="00760B97"/>
    <w:rsid w:val="00760BA2"/>
    <w:rsid w:val="00760BD1"/>
    <w:rsid w:val="00760CB6"/>
    <w:rsid w:val="00760CB9"/>
    <w:rsid w:val="00760D02"/>
    <w:rsid w:val="00760D3A"/>
    <w:rsid w:val="00760D6F"/>
    <w:rsid w:val="00760D7E"/>
    <w:rsid w:val="00760D7F"/>
    <w:rsid w:val="00760DDA"/>
    <w:rsid w:val="00760E9A"/>
    <w:rsid w:val="00760EC7"/>
    <w:rsid w:val="00760EF0"/>
    <w:rsid w:val="00760F36"/>
    <w:rsid w:val="00760F59"/>
    <w:rsid w:val="00760F7C"/>
    <w:rsid w:val="00760FE5"/>
    <w:rsid w:val="00761008"/>
    <w:rsid w:val="0076105E"/>
    <w:rsid w:val="0076107C"/>
    <w:rsid w:val="007610DB"/>
    <w:rsid w:val="00761101"/>
    <w:rsid w:val="00761165"/>
    <w:rsid w:val="00761177"/>
    <w:rsid w:val="00761183"/>
    <w:rsid w:val="007611DC"/>
    <w:rsid w:val="00761265"/>
    <w:rsid w:val="00761292"/>
    <w:rsid w:val="007612AE"/>
    <w:rsid w:val="0076131C"/>
    <w:rsid w:val="0076139E"/>
    <w:rsid w:val="007613BC"/>
    <w:rsid w:val="007614D1"/>
    <w:rsid w:val="00761504"/>
    <w:rsid w:val="0076157C"/>
    <w:rsid w:val="00761584"/>
    <w:rsid w:val="0076158C"/>
    <w:rsid w:val="007615EF"/>
    <w:rsid w:val="007615F2"/>
    <w:rsid w:val="00761659"/>
    <w:rsid w:val="00761676"/>
    <w:rsid w:val="0076170E"/>
    <w:rsid w:val="0076177A"/>
    <w:rsid w:val="0076177B"/>
    <w:rsid w:val="007617A3"/>
    <w:rsid w:val="007617C6"/>
    <w:rsid w:val="0076188A"/>
    <w:rsid w:val="00761893"/>
    <w:rsid w:val="0076191F"/>
    <w:rsid w:val="00761940"/>
    <w:rsid w:val="00761967"/>
    <w:rsid w:val="00761994"/>
    <w:rsid w:val="007619A0"/>
    <w:rsid w:val="007619FE"/>
    <w:rsid w:val="00761A26"/>
    <w:rsid w:val="00761A41"/>
    <w:rsid w:val="00761A42"/>
    <w:rsid w:val="00761A56"/>
    <w:rsid w:val="00761AC3"/>
    <w:rsid w:val="00761AF9"/>
    <w:rsid w:val="00761B67"/>
    <w:rsid w:val="00761B77"/>
    <w:rsid w:val="00761C78"/>
    <w:rsid w:val="00761C8C"/>
    <w:rsid w:val="00761C8D"/>
    <w:rsid w:val="00761CC4"/>
    <w:rsid w:val="00761CF5"/>
    <w:rsid w:val="00761D15"/>
    <w:rsid w:val="00761D36"/>
    <w:rsid w:val="00761D3B"/>
    <w:rsid w:val="00761D64"/>
    <w:rsid w:val="00761D75"/>
    <w:rsid w:val="00761DB6"/>
    <w:rsid w:val="00761E37"/>
    <w:rsid w:val="00761E41"/>
    <w:rsid w:val="00761E52"/>
    <w:rsid w:val="00761E69"/>
    <w:rsid w:val="00761E80"/>
    <w:rsid w:val="00761EC9"/>
    <w:rsid w:val="00761ED3"/>
    <w:rsid w:val="00761EFD"/>
    <w:rsid w:val="00761F2E"/>
    <w:rsid w:val="00761F48"/>
    <w:rsid w:val="00761F94"/>
    <w:rsid w:val="00761F9B"/>
    <w:rsid w:val="00761FC7"/>
    <w:rsid w:val="0076202B"/>
    <w:rsid w:val="00762048"/>
    <w:rsid w:val="00762083"/>
    <w:rsid w:val="007620BC"/>
    <w:rsid w:val="007620CB"/>
    <w:rsid w:val="007620F0"/>
    <w:rsid w:val="0076213F"/>
    <w:rsid w:val="00762176"/>
    <w:rsid w:val="00762265"/>
    <w:rsid w:val="007622A3"/>
    <w:rsid w:val="007622F0"/>
    <w:rsid w:val="00762354"/>
    <w:rsid w:val="007624DE"/>
    <w:rsid w:val="007624F3"/>
    <w:rsid w:val="00762515"/>
    <w:rsid w:val="00762596"/>
    <w:rsid w:val="007625A0"/>
    <w:rsid w:val="007625D1"/>
    <w:rsid w:val="007625D8"/>
    <w:rsid w:val="00762600"/>
    <w:rsid w:val="00762613"/>
    <w:rsid w:val="00762693"/>
    <w:rsid w:val="00762723"/>
    <w:rsid w:val="0076273D"/>
    <w:rsid w:val="00762785"/>
    <w:rsid w:val="00762792"/>
    <w:rsid w:val="007627A4"/>
    <w:rsid w:val="007627AB"/>
    <w:rsid w:val="007627AD"/>
    <w:rsid w:val="007627D2"/>
    <w:rsid w:val="007627FF"/>
    <w:rsid w:val="0076283A"/>
    <w:rsid w:val="00762842"/>
    <w:rsid w:val="00762856"/>
    <w:rsid w:val="0076287D"/>
    <w:rsid w:val="00762888"/>
    <w:rsid w:val="007628BE"/>
    <w:rsid w:val="00762910"/>
    <w:rsid w:val="00762920"/>
    <w:rsid w:val="00762927"/>
    <w:rsid w:val="0076295D"/>
    <w:rsid w:val="007629C9"/>
    <w:rsid w:val="007629FC"/>
    <w:rsid w:val="00762A1C"/>
    <w:rsid w:val="00762A21"/>
    <w:rsid w:val="00762A9A"/>
    <w:rsid w:val="00762A9C"/>
    <w:rsid w:val="00762AEF"/>
    <w:rsid w:val="00762B37"/>
    <w:rsid w:val="00762BF5"/>
    <w:rsid w:val="00762BFC"/>
    <w:rsid w:val="00762C33"/>
    <w:rsid w:val="00762C3A"/>
    <w:rsid w:val="00762C48"/>
    <w:rsid w:val="00762CAB"/>
    <w:rsid w:val="00762CC8"/>
    <w:rsid w:val="00762D7B"/>
    <w:rsid w:val="00762DE4"/>
    <w:rsid w:val="00762EAA"/>
    <w:rsid w:val="00762EAE"/>
    <w:rsid w:val="00762EEE"/>
    <w:rsid w:val="00762F1E"/>
    <w:rsid w:val="00762F1F"/>
    <w:rsid w:val="00762F2D"/>
    <w:rsid w:val="00762F8A"/>
    <w:rsid w:val="00762FC0"/>
    <w:rsid w:val="00762FD8"/>
    <w:rsid w:val="00762FF0"/>
    <w:rsid w:val="00763010"/>
    <w:rsid w:val="00763057"/>
    <w:rsid w:val="007630AE"/>
    <w:rsid w:val="007630F5"/>
    <w:rsid w:val="00763103"/>
    <w:rsid w:val="00763148"/>
    <w:rsid w:val="00763150"/>
    <w:rsid w:val="007631AF"/>
    <w:rsid w:val="007631C6"/>
    <w:rsid w:val="007632CE"/>
    <w:rsid w:val="007632E5"/>
    <w:rsid w:val="007632FE"/>
    <w:rsid w:val="00763302"/>
    <w:rsid w:val="00763321"/>
    <w:rsid w:val="00763365"/>
    <w:rsid w:val="00763368"/>
    <w:rsid w:val="007633A8"/>
    <w:rsid w:val="007633C0"/>
    <w:rsid w:val="007633E3"/>
    <w:rsid w:val="007633F3"/>
    <w:rsid w:val="007633F4"/>
    <w:rsid w:val="00763426"/>
    <w:rsid w:val="0076347B"/>
    <w:rsid w:val="007634A2"/>
    <w:rsid w:val="007634A6"/>
    <w:rsid w:val="00763515"/>
    <w:rsid w:val="0076354B"/>
    <w:rsid w:val="00763566"/>
    <w:rsid w:val="007635A4"/>
    <w:rsid w:val="007635DE"/>
    <w:rsid w:val="00763635"/>
    <w:rsid w:val="00763640"/>
    <w:rsid w:val="0076368B"/>
    <w:rsid w:val="007636B8"/>
    <w:rsid w:val="007636EC"/>
    <w:rsid w:val="007636F9"/>
    <w:rsid w:val="00763731"/>
    <w:rsid w:val="00763748"/>
    <w:rsid w:val="00763784"/>
    <w:rsid w:val="0076387A"/>
    <w:rsid w:val="0076387B"/>
    <w:rsid w:val="007638F0"/>
    <w:rsid w:val="00763919"/>
    <w:rsid w:val="00763A33"/>
    <w:rsid w:val="00763A6A"/>
    <w:rsid w:val="00763B0E"/>
    <w:rsid w:val="00763B40"/>
    <w:rsid w:val="00763B47"/>
    <w:rsid w:val="00763B52"/>
    <w:rsid w:val="00763B9E"/>
    <w:rsid w:val="00763C0D"/>
    <w:rsid w:val="00763C26"/>
    <w:rsid w:val="00763C3B"/>
    <w:rsid w:val="00763CD1"/>
    <w:rsid w:val="00763D56"/>
    <w:rsid w:val="00763DE8"/>
    <w:rsid w:val="00763E05"/>
    <w:rsid w:val="00763E20"/>
    <w:rsid w:val="00763E48"/>
    <w:rsid w:val="00763E61"/>
    <w:rsid w:val="00763F54"/>
    <w:rsid w:val="00763F8F"/>
    <w:rsid w:val="00763FC0"/>
    <w:rsid w:val="00763FD8"/>
    <w:rsid w:val="0076404A"/>
    <w:rsid w:val="00764084"/>
    <w:rsid w:val="0076411B"/>
    <w:rsid w:val="0076416A"/>
    <w:rsid w:val="00764179"/>
    <w:rsid w:val="00764184"/>
    <w:rsid w:val="00764189"/>
    <w:rsid w:val="0076418E"/>
    <w:rsid w:val="0076428F"/>
    <w:rsid w:val="007642AB"/>
    <w:rsid w:val="007642D0"/>
    <w:rsid w:val="00764336"/>
    <w:rsid w:val="00764383"/>
    <w:rsid w:val="00764454"/>
    <w:rsid w:val="00764456"/>
    <w:rsid w:val="00764492"/>
    <w:rsid w:val="007644B1"/>
    <w:rsid w:val="007644B6"/>
    <w:rsid w:val="007644DD"/>
    <w:rsid w:val="00764565"/>
    <w:rsid w:val="00764579"/>
    <w:rsid w:val="007645B4"/>
    <w:rsid w:val="00764657"/>
    <w:rsid w:val="007646BD"/>
    <w:rsid w:val="007646CB"/>
    <w:rsid w:val="007646F1"/>
    <w:rsid w:val="0076471C"/>
    <w:rsid w:val="007647E4"/>
    <w:rsid w:val="007647EA"/>
    <w:rsid w:val="00764804"/>
    <w:rsid w:val="007648FB"/>
    <w:rsid w:val="0076493A"/>
    <w:rsid w:val="007649AB"/>
    <w:rsid w:val="007649DD"/>
    <w:rsid w:val="007649E5"/>
    <w:rsid w:val="00764AAF"/>
    <w:rsid w:val="00764B1D"/>
    <w:rsid w:val="00764B53"/>
    <w:rsid w:val="00764B5B"/>
    <w:rsid w:val="00764B75"/>
    <w:rsid w:val="00764B97"/>
    <w:rsid w:val="00764BD5"/>
    <w:rsid w:val="00764BD7"/>
    <w:rsid w:val="00764BF2"/>
    <w:rsid w:val="00764C0E"/>
    <w:rsid w:val="00764C8D"/>
    <w:rsid w:val="00764D0E"/>
    <w:rsid w:val="00764D1E"/>
    <w:rsid w:val="00764D4B"/>
    <w:rsid w:val="00764E02"/>
    <w:rsid w:val="00764E5E"/>
    <w:rsid w:val="00764EC7"/>
    <w:rsid w:val="00764F09"/>
    <w:rsid w:val="00764F13"/>
    <w:rsid w:val="00764F24"/>
    <w:rsid w:val="007650BA"/>
    <w:rsid w:val="007650BF"/>
    <w:rsid w:val="007650DD"/>
    <w:rsid w:val="0076510B"/>
    <w:rsid w:val="00765180"/>
    <w:rsid w:val="007651F6"/>
    <w:rsid w:val="007651F9"/>
    <w:rsid w:val="00765227"/>
    <w:rsid w:val="0076529B"/>
    <w:rsid w:val="007652B2"/>
    <w:rsid w:val="00765321"/>
    <w:rsid w:val="00765463"/>
    <w:rsid w:val="00765474"/>
    <w:rsid w:val="0076550A"/>
    <w:rsid w:val="00765567"/>
    <w:rsid w:val="0076565D"/>
    <w:rsid w:val="00765674"/>
    <w:rsid w:val="00765681"/>
    <w:rsid w:val="007656FB"/>
    <w:rsid w:val="00765807"/>
    <w:rsid w:val="0076581B"/>
    <w:rsid w:val="00765853"/>
    <w:rsid w:val="007658AA"/>
    <w:rsid w:val="007658B3"/>
    <w:rsid w:val="007658B5"/>
    <w:rsid w:val="00765903"/>
    <w:rsid w:val="0076592E"/>
    <w:rsid w:val="0076594C"/>
    <w:rsid w:val="00765A00"/>
    <w:rsid w:val="00765A23"/>
    <w:rsid w:val="00765A3D"/>
    <w:rsid w:val="00765A45"/>
    <w:rsid w:val="00765A6C"/>
    <w:rsid w:val="00765A96"/>
    <w:rsid w:val="00765AD4"/>
    <w:rsid w:val="00765ADB"/>
    <w:rsid w:val="00765B01"/>
    <w:rsid w:val="00765B36"/>
    <w:rsid w:val="00765B4F"/>
    <w:rsid w:val="00765BA4"/>
    <w:rsid w:val="00765C07"/>
    <w:rsid w:val="00765C4D"/>
    <w:rsid w:val="00765C70"/>
    <w:rsid w:val="00765CD0"/>
    <w:rsid w:val="00765CD4"/>
    <w:rsid w:val="00765DBC"/>
    <w:rsid w:val="00765DDD"/>
    <w:rsid w:val="00765DE4"/>
    <w:rsid w:val="00765E13"/>
    <w:rsid w:val="00765E1E"/>
    <w:rsid w:val="00765E4C"/>
    <w:rsid w:val="00765EAC"/>
    <w:rsid w:val="00765F0B"/>
    <w:rsid w:val="00765F37"/>
    <w:rsid w:val="00765F3B"/>
    <w:rsid w:val="00765F7C"/>
    <w:rsid w:val="00765FD3"/>
    <w:rsid w:val="00766024"/>
    <w:rsid w:val="00766037"/>
    <w:rsid w:val="007660CA"/>
    <w:rsid w:val="00766145"/>
    <w:rsid w:val="007661B3"/>
    <w:rsid w:val="007661FE"/>
    <w:rsid w:val="00766223"/>
    <w:rsid w:val="007663AD"/>
    <w:rsid w:val="007663F0"/>
    <w:rsid w:val="007663F6"/>
    <w:rsid w:val="00766474"/>
    <w:rsid w:val="00766481"/>
    <w:rsid w:val="00766494"/>
    <w:rsid w:val="007664D8"/>
    <w:rsid w:val="0076653A"/>
    <w:rsid w:val="0076659D"/>
    <w:rsid w:val="00766601"/>
    <w:rsid w:val="00766626"/>
    <w:rsid w:val="007666B6"/>
    <w:rsid w:val="007666FF"/>
    <w:rsid w:val="0076670A"/>
    <w:rsid w:val="0076673F"/>
    <w:rsid w:val="00766780"/>
    <w:rsid w:val="0076679E"/>
    <w:rsid w:val="007667A7"/>
    <w:rsid w:val="0076681F"/>
    <w:rsid w:val="007668AC"/>
    <w:rsid w:val="007668E7"/>
    <w:rsid w:val="00766911"/>
    <w:rsid w:val="007669B5"/>
    <w:rsid w:val="00766A00"/>
    <w:rsid w:val="00766A25"/>
    <w:rsid w:val="00766A37"/>
    <w:rsid w:val="00766A5A"/>
    <w:rsid w:val="00766AA1"/>
    <w:rsid w:val="00766AA4"/>
    <w:rsid w:val="00766AA7"/>
    <w:rsid w:val="00766B10"/>
    <w:rsid w:val="00766B8D"/>
    <w:rsid w:val="00766C32"/>
    <w:rsid w:val="00766C38"/>
    <w:rsid w:val="00766C7D"/>
    <w:rsid w:val="00766CD6"/>
    <w:rsid w:val="00766D22"/>
    <w:rsid w:val="00766D35"/>
    <w:rsid w:val="00766D5F"/>
    <w:rsid w:val="00766D84"/>
    <w:rsid w:val="00766DA4"/>
    <w:rsid w:val="00766DCB"/>
    <w:rsid w:val="00766E86"/>
    <w:rsid w:val="00766EB1"/>
    <w:rsid w:val="00766F1F"/>
    <w:rsid w:val="00766F9A"/>
    <w:rsid w:val="00767026"/>
    <w:rsid w:val="00767037"/>
    <w:rsid w:val="007670CC"/>
    <w:rsid w:val="00767125"/>
    <w:rsid w:val="00767136"/>
    <w:rsid w:val="00767177"/>
    <w:rsid w:val="00767210"/>
    <w:rsid w:val="00767224"/>
    <w:rsid w:val="00767257"/>
    <w:rsid w:val="00767267"/>
    <w:rsid w:val="0076726A"/>
    <w:rsid w:val="007672D7"/>
    <w:rsid w:val="007672FC"/>
    <w:rsid w:val="00767353"/>
    <w:rsid w:val="0076738B"/>
    <w:rsid w:val="00767407"/>
    <w:rsid w:val="00767458"/>
    <w:rsid w:val="0076746E"/>
    <w:rsid w:val="00767472"/>
    <w:rsid w:val="00767482"/>
    <w:rsid w:val="007674D2"/>
    <w:rsid w:val="007674D5"/>
    <w:rsid w:val="007674E9"/>
    <w:rsid w:val="00767518"/>
    <w:rsid w:val="00767526"/>
    <w:rsid w:val="0076756F"/>
    <w:rsid w:val="00767620"/>
    <w:rsid w:val="00767628"/>
    <w:rsid w:val="007676A5"/>
    <w:rsid w:val="007676EC"/>
    <w:rsid w:val="00767762"/>
    <w:rsid w:val="007677B2"/>
    <w:rsid w:val="007677EC"/>
    <w:rsid w:val="00767800"/>
    <w:rsid w:val="00767808"/>
    <w:rsid w:val="00767833"/>
    <w:rsid w:val="0076787F"/>
    <w:rsid w:val="00767889"/>
    <w:rsid w:val="007678F3"/>
    <w:rsid w:val="00767904"/>
    <w:rsid w:val="007679F6"/>
    <w:rsid w:val="00767A2F"/>
    <w:rsid w:val="00767A66"/>
    <w:rsid w:val="00767A7B"/>
    <w:rsid w:val="00767AB6"/>
    <w:rsid w:val="00767AFC"/>
    <w:rsid w:val="00767B25"/>
    <w:rsid w:val="00767B4D"/>
    <w:rsid w:val="00767B76"/>
    <w:rsid w:val="00767B97"/>
    <w:rsid w:val="00767BF4"/>
    <w:rsid w:val="00767CBE"/>
    <w:rsid w:val="00767CD2"/>
    <w:rsid w:val="00767CF1"/>
    <w:rsid w:val="00767D0A"/>
    <w:rsid w:val="00767D30"/>
    <w:rsid w:val="00767D50"/>
    <w:rsid w:val="00767D57"/>
    <w:rsid w:val="00767D5A"/>
    <w:rsid w:val="00767D6E"/>
    <w:rsid w:val="00767DC4"/>
    <w:rsid w:val="00767E43"/>
    <w:rsid w:val="00767EDE"/>
    <w:rsid w:val="00767EF4"/>
    <w:rsid w:val="00767F1F"/>
    <w:rsid w:val="00767F68"/>
    <w:rsid w:val="00767F6F"/>
    <w:rsid w:val="00767FA6"/>
    <w:rsid w:val="00770084"/>
    <w:rsid w:val="007700F9"/>
    <w:rsid w:val="00770121"/>
    <w:rsid w:val="00770168"/>
    <w:rsid w:val="007701BD"/>
    <w:rsid w:val="007701D1"/>
    <w:rsid w:val="007701DB"/>
    <w:rsid w:val="00770205"/>
    <w:rsid w:val="00770245"/>
    <w:rsid w:val="0077025E"/>
    <w:rsid w:val="00770263"/>
    <w:rsid w:val="007702CC"/>
    <w:rsid w:val="007702D8"/>
    <w:rsid w:val="007703A8"/>
    <w:rsid w:val="007703BD"/>
    <w:rsid w:val="007703C0"/>
    <w:rsid w:val="0077040C"/>
    <w:rsid w:val="00770478"/>
    <w:rsid w:val="0077048C"/>
    <w:rsid w:val="007704B0"/>
    <w:rsid w:val="007704B6"/>
    <w:rsid w:val="007704D0"/>
    <w:rsid w:val="007704F4"/>
    <w:rsid w:val="00770527"/>
    <w:rsid w:val="00770548"/>
    <w:rsid w:val="0077059F"/>
    <w:rsid w:val="007705A3"/>
    <w:rsid w:val="007705BE"/>
    <w:rsid w:val="00770603"/>
    <w:rsid w:val="007706AF"/>
    <w:rsid w:val="007706DB"/>
    <w:rsid w:val="007706F6"/>
    <w:rsid w:val="00770750"/>
    <w:rsid w:val="00770772"/>
    <w:rsid w:val="0077077C"/>
    <w:rsid w:val="00770790"/>
    <w:rsid w:val="007707D8"/>
    <w:rsid w:val="007707F6"/>
    <w:rsid w:val="007708E1"/>
    <w:rsid w:val="00770908"/>
    <w:rsid w:val="0077091A"/>
    <w:rsid w:val="0077092A"/>
    <w:rsid w:val="0077094F"/>
    <w:rsid w:val="00770982"/>
    <w:rsid w:val="007709A2"/>
    <w:rsid w:val="007709AB"/>
    <w:rsid w:val="007709D0"/>
    <w:rsid w:val="00770A32"/>
    <w:rsid w:val="00770A73"/>
    <w:rsid w:val="00770A7E"/>
    <w:rsid w:val="00770A85"/>
    <w:rsid w:val="00770A98"/>
    <w:rsid w:val="00770A9C"/>
    <w:rsid w:val="00770B4E"/>
    <w:rsid w:val="00770B5C"/>
    <w:rsid w:val="00770BD8"/>
    <w:rsid w:val="00770C14"/>
    <w:rsid w:val="00770CE4"/>
    <w:rsid w:val="00770D2D"/>
    <w:rsid w:val="00770DA2"/>
    <w:rsid w:val="00770DD9"/>
    <w:rsid w:val="00770E17"/>
    <w:rsid w:val="00770E23"/>
    <w:rsid w:val="00770E58"/>
    <w:rsid w:val="00770EBA"/>
    <w:rsid w:val="00770F04"/>
    <w:rsid w:val="00770F27"/>
    <w:rsid w:val="00770F8C"/>
    <w:rsid w:val="00771009"/>
    <w:rsid w:val="00771011"/>
    <w:rsid w:val="00771048"/>
    <w:rsid w:val="0077106B"/>
    <w:rsid w:val="00771111"/>
    <w:rsid w:val="0077112C"/>
    <w:rsid w:val="00771165"/>
    <w:rsid w:val="0077116F"/>
    <w:rsid w:val="00771199"/>
    <w:rsid w:val="007711A3"/>
    <w:rsid w:val="00771265"/>
    <w:rsid w:val="00771340"/>
    <w:rsid w:val="00771409"/>
    <w:rsid w:val="0077140B"/>
    <w:rsid w:val="00771486"/>
    <w:rsid w:val="007714C5"/>
    <w:rsid w:val="00771501"/>
    <w:rsid w:val="00771513"/>
    <w:rsid w:val="00771516"/>
    <w:rsid w:val="00771539"/>
    <w:rsid w:val="00771564"/>
    <w:rsid w:val="007715B9"/>
    <w:rsid w:val="007715E8"/>
    <w:rsid w:val="00771621"/>
    <w:rsid w:val="007716F7"/>
    <w:rsid w:val="00771700"/>
    <w:rsid w:val="00771749"/>
    <w:rsid w:val="00771843"/>
    <w:rsid w:val="007718C8"/>
    <w:rsid w:val="00771904"/>
    <w:rsid w:val="00771914"/>
    <w:rsid w:val="007719FC"/>
    <w:rsid w:val="00771A59"/>
    <w:rsid w:val="00771A88"/>
    <w:rsid w:val="00771A8A"/>
    <w:rsid w:val="00771ACB"/>
    <w:rsid w:val="00771AD4"/>
    <w:rsid w:val="00771B3F"/>
    <w:rsid w:val="00771B51"/>
    <w:rsid w:val="00771BCD"/>
    <w:rsid w:val="00771BCF"/>
    <w:rsid w:val="00771C83"/>
    <w:rsid w:val="00771C94"/>
    <w:rsid w:val="00771CA2"/>
    <w:rsid w:val="00771CDD"/>
    <w:rsid w:val="00771D66"/>
    <w:rsid w:val="00771D75"/>
    <w:rsid w:val="00771D8D"/>
    <w:rsid w:val="00771DD4"/>
    <w:rsid w:val="00771E15"/>
    <w:rsid w:val="00771F05"/>
    <w:rsid w:val="00771F21"/>
    <w:rsid w:val="00771F6D"/>
    <w:rsid w:val="00771F78"/>
    <w:rsid w:val="00771FF7"/>
    <w:rsid w:val="007720C5"/>
    <w:rsid w:val="0077211B"/>
    <w:rsid w:val="00772126"/>
    <w:rsid w:val="0077215F"/>
    <w:rsid w:val="007721EC"/>
    <w:rsid w:val="00772213"/>
    <w:rsid w:val="00772250"/>
    <w:rsid w:val="00772252"/>
    <w:rsid w:val="00772304"/>
    <w:rsid w:val="0077234E"/>
    <w:rsid w:val="007724DD"/>
    <w:rsid w:val="007724F1"/>
    <w:rsid w:val="007724FB"/>
    <w:rsid w:val="0077250E"/>
    <w:rsid w:val="0077252F"/>
    <w:rsid w:val="00772540"/>
    <w:rsid w:val="007725D0"/>
    <w:rsid w:val="007725F7"/>
    <w:rsid w:val="0077272D"/>
    <w:rsid w:val="0077275C"/>
    <w:rsid w:val="00772814"/>
    <w:rsid w:val="00772834"/>
    <w:rsid w:val="0077286C"/>
    <w:rsid w:val="0077286E"/>
    <w:rsid w:val="007728B7"/>
    <w:rsid w:val="0077299A"/>
    <w:rsid w:val="007729F3"/>
    <w:rsid w:val="00772A14"/>
    <w:rsid w:val="00772B56"/>
    <w:rsid w:val="00772CCB"/>
    <w:rsid w:val="00772CEF"/>
    <w:rsid w:val="00772D24"/>
    <w:rsid w:val="00772D51"/>
    <w:rsid w:val="00772D6F"/>
    <w:rsid w:val="00772D92"/>
    <w:rsid w:val="00772E76"/>
    <w:rsid w:val="00772EAD"/>
    <w:rsid w:val="00772EE6"/>
    <w:rsid w:val="00772F15"/>
    <w:rsid w:val="00772F22"/>
    <w:rsid w:val="00772F37"/>
    <w:rsid w:val="00772F54"/>
    <w:rsid w:val="00772FCC"/>
    <w:rsid w:val="0077303E"/>
    <w:rsid w:val="00773055"/>
    <w:rsid w:val="0077307B"/>
    <w:rsid w:val="0077307F"/>
    <w:rsid w:val="0077309C"/>
    <w:rsid w:val="007730C5"/>
    <w:rsid w:val="00773137"/>
    <w:rsid w:val="0077315D"/>
    <w:rsid w:val="0077316F"/>
    <w:rsid w:val="007731E9"/>
    <w:rsid w:val="007731F6"/>
    <w:rsid w:val="007732A0"/>
    <w:rsid w:val="0077340F"/>
    <w:rsid w:val="00773413"/>
    <w:rsid w:val="00773454"/>
    <w:rsid w:val="00773503"/>
    <w:rsid w:val="0077354D"/>
    <w:rsid w:val="00773556"/>
    <w:rsid w:val="0077356C"/>
    <w:rsid w:val="0077368C"/>
    <w:rsid w:val="00773747"/>
    <w:rsid w:val="00773756"/>
    <w:rsid w:val="007737DF"/>
    <w:rsid w:val="0077386D"/>
    <w:rsid w:val="00773899"/>
    <w:rsid w:val="007738D8"/>
    <w:rsid w:val="007738EF"/>
    <w:rsid w:val="00773936"/>
    <w:rsid w:val="0077399A"/>
    <w:rsid w:val="00773A32"/>
    <w:rsid w:val="00773A5A"/>
    <w:rsid w:val="00773A96"/>
    <w:rsid w:val="00773AE8"/>
    <w:rsid w:val="00773AF7"/>
    <w:rsid w:val="00773B42"/>
    <w:rsid w:val="00773B82"/>
    <w:rsid w:val="00773BA4"/>
    <w:rsid w:val="00773BAF"/>
    <w:rsid w:val="00773C47"/>
    <w:rsid w:val="00773C57"/>
    <w:rsid w:val="00773C98"/>
    <w:rsid w:val="00773D27"/>
    <w:rsid w:val="00773D3B"/>
    <w:rsid w:val="00773D68"/>
    <w:rsid w:val="00773DAF"/>
    <w:rsid w:val="00773DC6"/>
    <w:rsid w:val="00773E11"/>
    <w:rsid w:val="00773E67"/>
    <w:rsid w:val="00773E71"/>
    <w:rsid w:val="00773E7E"/>
    <w:rsid w:val="00773E98"/>
    <w:rsid w:val="00773EA3"/>
    <w:rsid w:val="00773EC4"/>
    <w:rsid w:val="00773EDC"/>
    <w:rsid w:val="00773EE2"/>
    <w:rsid w:val="00773F26"/>
    <w:rsid w:val="00773F53"/>
    <w:rsid w:val="00774005"/>
    <w:rsid w:val="007740C1"/>
    <w:rsid w:val="0077417B"/>
    <w:rsid w:val="00774181"/>
    <w:rsid w:val="00774182"/>
    <w:rsid w:val="00774191"/>
    <w:rsid w:val="007741AA"/>
    <w:rsid w:val="007741B8"/>
    <w:rsid w:val="0077420E"/>
    <w:rsid w:val="00774268"/>
    <w:rsid w:val="007742A8"/>
    <w:rsid w:val="00774302"/>
    <w:rsid w:val="00774320"/>
    <w:rsid w:val="00774328"/>
    <w:rsid w:val="007743AA"/>
    <w:rsid w:val="007743CD"/>
    <w:rsid w:val="0077444E"/>
    <w:rsid w:val="007744D9"/>
    <w:rsid w:val="00774540"/>
    <w:rsid w:val="0077454B"/>
    <w:rsid w:val="00774552"/>
    <w:rsid w:val="00774589"/>
    <w:rsid w:val="0077458B"/>
    <w:rsid w:val="0077462C"/>
    <w:rsid w:val="00774633"/>
    <w:rsid w:val="0077466A"/>
    <w:rsid w:val="00774683"/>
    <w:rsid w:val="00774691"/>
    <w:rsid w:val="00774774"/>
    <w:rsid w:val="0077477B"/>
    <w:rsid w:val="00774782"/>
    <w:rsid w:val="00774794"/>
    <w:rsid w:val="007747A5"/>
    <w:rsid w:val="007747E5"/>
    <w:rsid w:val="007747F9"/>
    <w:rsid w:val="00774897"/>
    <w:rsid w:val="007748AF"/>
    <w:rsid w:val="007748DF"/>
    <w:rsid w:val="00774904"/>
    <w:rsid w:val="007749E5"/>
    <w:rsid w:val="007749F8"/>
    <w:rsid w:val="00774A5C"/>
    <w:rsid w:val="00774AB6"/>
    <w:rsid w:val="00774ADF"/>
    <w:rsid w:val="00774AF1"/>
    <w:rsid w:val="00774B1A"/>
    <w:rsid w:val="00774B59"/>
    <w:rsid w:val="00774B63"/>
    <w:rsid w:val="00774BE7"/>
    <w:rsid w:val="00774CC1"/>
    <w:rsid w:val="00774D15"/>
    <w:rsid w:val="00774D64"/>
    <w:rsid w:val="00774D8E"/>
    <w:rsid w:val="00774E27"/>
    <w:rsid w:val="00774EAA"/>
    <w:rsid w:val="00774EF7"/>
    <w:rsid w:val="00774F15"/>
    <w:rsid w:val="00774F31"/>
    <w:rsid w:val="00774F8B"/>
    <w:rsid w:val="00775017"/>
    <w:rsid w:val="0077501A"/>
    <w:rsid w:val="0077502F"/>
    <w:rsid w:val="007750F2"/>
    <w:rsid w:val="0077514F"/>
    <w:rsid w:val="00775155"/>
    <w:rsid w:val="00775184"/>
    <w:rsid w:val="007751B5"/>
    <w:rsid w:val="007751CE"/>
    <w:rsid w:val="00775269"/>
    <w:rsid w:val="0077528D"/>
    <w:rsid w:val="00775322"/>
    <w:rsid w:val="00775391"/>
    <w:rsid w:val="0077539D"/>
    <w:rsid w:val="007753C7"/>
    <w:rsid w:val="007753EA"/>
    <w:rsid w:val="00775420"/>
    <w:rsid w:val="00775453"/>
    <w:rsid w:val="00775494"/>
    <w:rsid w:val="00775495"/>
    <w:rsid w:val="007754EF"/>
    <w:rsid w:val="0077554D"/>
    <w:rsid w:val="00775556"/>
    <w:rsid w:val="0077555C"/>
    <w:rsid w:val="0077555D"/>
    <w:rsid w:val="007755ED"/>
    <w:rsid w:val="00775609"/>
    <w:rsid w:val="0077573A"/>
    <w:rsid w:val="00775750"/>
    <w:rsid w:val="00775753"/>
    <w:rsid w:val="007757D1"/>
    <w:rsid w:val="0077584F"/>
    <w:rsid w:val="0077585C"/>
    <w:rsid w:val="0077586B"/>
    <w:rsid w:val="0077587B"/>
    <w:rsid w:val="0077590C"/>
    <w:rsid w:val="00775940"/>
    <w:rsid w:val="00775994"/>
    <w:rsid w:val="007759DA"/>
    <w:rsid w:val="007759E8"/>
    <w:rsid w:val="00775AEB"/>
    <w:rsid w:val="00775B5B"/>
    <w:rsid w:val="00775B85"/>
    <w:rsid w:val="00775C13"/>
    <w:rsid w:val="00775C2F"/>
    <w:rsid w:val="00775C43"/>
    <w:rsid w:val="00775C4A"/>
    <w:rsid w:val="00775C67"/>
    <w:rsid w:val="00775C97"/>
    <w:rsid w:val="00775CB2"/>
    <w:rsid w:val="00775CD9"/>
    <w:rsid w:val="00775CE2"/>
    <w:rsid w:val="00775CFB"/>
    <w:rsid w:val="00775D25"/>
    <w:rsid w:val="00775DA0"/>
    <w:rsid w:val="00775DAD"/>
    <w:rsid w:val="00775E76"/>
    <w:rsid w:val="00775E86"/>
    <w:rsid w:val="00775E9A"/>
    <w:rsid w:val="00775EA3"/>
    <w:rsid w:val="00775F17"/>
    <w:rsid w:val="00775F2F"/>
    <w:rsid w:val="00775F9A"/>
    <w:rsid w:val="00775FDB"/>
    <w:rsid w:val="00776007"/>
    <w:rsid w:val="00776033"/>
    <w:rsid w:val="00776043"/>
    <w:rsid w:val="00776044"/>
    <w:rsid w:val="007760A1"/>
    <w:rsid w:val="0077611C"/>
    <w:rsid w:val="00776134"/>
    <w:rsid w:val="007761C8"/>
    <w:rsid w:val="00776271"/>
    <w:rsid w:val="007762EB"/>
    <w:rsid w:val="00776369"/>
    <w:rsid w:val="0077639C"/>
    <w:rsid w:val="007763EA"/>
    <w:rsid w:val="00776445"/>
    <w:rsid w:val="0077649A"/>
    <w:rsid w:val="00776588"/>
    <w:rsid w:val="00776596"/>
    <w:rsid w:val="007765C0"/>
    <w:rsid w:val="00776648"/>
    <w:rsid w:val="0077665A"/>
    <w:rsid w:val="00776661"/>
    <w:rsid w:val="00776675"/>
    <w:rsid w:val="007766A2"/>
    <w:rsid w:val="007766B2"/>
    <w:rsid w:val="00776707"/>
    <w:rsid w:val="00776715"/>
    <w:rsid w:val="00776741"/>
    <w:rsid w:val="00776759"/>
    <w:rsid w:val="007767ED"/>
    <w:rsid w:val="007767F3"/>
    <w:rsid w:val="0077684F"/>
    <w:rsid w:val="00776859"/>
    <w:rsid w:val="007768BB"/>
    <w:rsid w:val="007768D0"/>
    <w:rsid w:val="007768E5"/>
    <w:rsid w:val="00776927"/>
    <w:rsid w:val="0077698C"/>
    <w:rsid w:val="007769F0"/>
    <w:rsid w:val="00776A7A"/>
    <w:rsid w:val="00776B32"/>
    <w:rsid w:val="00776BB4"/>
    <w:rsid w:val="00776BBA"/>
    <w:rsid w:val="00776BE0"/>
    <w:rsid w:val="00776BFA"/>
    <w:rsid w:val="00776BFD"/>
    <w:rsid w:val="00776C29"/>
    <w:rsid w:val="00776C2C"/>
    <w:rsid w:val="00776C59"/>
    <w:rsid w:val="00776C61"/>
    <w:rsid w:val="00776C72"/>
    <w:rsid w:val="00776CA8"/>
    <w:rsid w:val="00776CD2"/>
    <w:rsid w:val="00776D20"/>
    <w:rsid w:val="00776D2A"/>
    <w:rsid w:val="00776DB5"/>
    <w:rsid w:val="00776DD1"/>
    <w:rsid w:val="00776F11"/>
    <w:rsid w:val="00776F17"/>
    <w:rsid w:val="00776F67"/>
    <w:rsid w:val="00776F89"/>
    <w:rsid w:val="00776F97"/>
    <w:rsid w:val="00776FC9"/>
    <w:rsid w:val="00777001"/>
    <w:rsid w:val="0077703E"/>
    <w:rsid w:val="0077707D"/>
    <w:rsid w:val="0077708A"/>
    <w:rsid w:val="00777193"/>
    <w:rsid w:val="007771A2"/>
    <w:rsid w:val="007771E9"/>
    <w:rsid w:val="0077722C"/>
    <w:rsid w:val="00777255"/>
    <w:rsid w:val="0077726B"/>
    <w:rsid w:val="0077729D"/>
    <w:rsid w:val="007772B7"/>
    <w:rsid w:val="007772BA"/>
    <w:rsid w:val="00777322"/>
    <w:rsid w:val="0077733B"/>
    <w:rsid w:val="00777350"/>
    <w:rsid w:val="007773B0"/>
    <w:rsid w:val="0077743C"/>
    <w:rsid w:val="0077749A"/>
    <w:rsid w:val="007774A1"/>
    <w:rsid w:val="007774A9"/>
    <w:rsid w:val="007774F2"/>
    <w:rsid w:val="0077752D"/>
    <w:rsid w:val="0077757A"/>
    <w:rsid w:val="00777604"/>
    <w:rsid w:val="0077767B"/>
    <w:rsid w:val="0077767E"/>
    <w:rsid w:val="00777681"/>
    <w:rsid w:val="00777715"/>
    <w:rsid w:val="00777723"/>
    <w:rsid w:val="0077776B"/>
    <w:rsid w:val="0077779E"/>
    <w:rsid w:val="007777FE"/>
    <w:rsid w:val="0077781D"/>
    <w:rsid w:val="00777827"/>
    <w:rsid w:val="0077782E"/>
    <w:rsid w:val="0077783B"/>
    <w:rsid w:val="0077785D"/>
    <w:rsid w:val="0077787C"/>
    <w:rsid w:val="00777AC2"/>
    <w:rsid w:val="00777B04"/>
    <w:rsid w:val="00777B97"/>
    <w:rsid w:val="00777C1D"/>
    <w:rsid w:val="00777C39"/>
    <w:rsid w:val="00777CA8"/>
    <w:rsid w:val="00777CB2"/>
    <w:rsid w:val="00777CF8"/>
    <w:rsid w:val="00777D1B"/>
    <w:rsid w:val="00777D35"/>
    <w:rsid w:val="00777D49"/>
    <w:rsid w:val="00777D80"/>
    <w:rsid w:val="00777D87"/>
    <w:rsid w:val="00777DA5"/>
    <w:rsid w:val="00777E2C"/>
    <w:rsid w:val="00777E7C"/>
    <w:rsid w:val="00777EAD"/>
    <w:rsid w:val="00777F0D"/>
    <w:rsid w:val="00777F49"/>
    <w:rsid w:val="00777F54"/>
    <w:rsid w:val="00777FE4"/>
    <w:rsid w:val="00777FEE"/>
    <w:rsid w:val="00777FF4"/>
    <w:rsid w:val="00780033"/>
    <w:rsid w:val="00780042"/>
    <w:rsid w:val="007800EF"/>
    <w:rsid w:val="007800F9"/>
    <w:rsid w:val="007801E9"/>
    <w:rsid w:val="007801EF"/>
    <w:rsid w:val="00780207"/>
    <w:rsid w:val="00780278"/>
    <w:rsid w:val="00780285"/>
    <w:rsid w:val="00780286"/>
    <w:rsid w:val="007802BD"/>
    <w:rsid w:val="007802DE"/>
    <w:rsid w:val="00780328"/>
    <w:rsid w:val="00780347"/>
    <w:rsid w:val="00780353"/>
    <w:rsid w:val="00780485"/>
    <w:rsid w:val="0078048E"/>
    <w:rsid w:val="007804FE"/>
    <w:rsid w:val="0078050C"/>
    <w:rsid w:val="007806F6"/>
    <w:rsid w:val="00780713"/>
    <w:rsid w:val="0078071C"/>
    <w:rsid w:val="00780782"/>
    <w:rsid w:val="00780815"/>
    <w:rsid w:val="007808F2"/>
    <w:rsid w:val="007808FE"/>
    <w:rsid w:val="00780907"/>
    <w:rsid w:val="0078091F"/>
    <w:rsid w:val="00780967"/>
    <w:rsid w:val="00780A08"/>
    <w:rsid w:val="00780A1D"/>
    <w:rsid w:val="00780A99"/>
    <w:rsid w:val="00780AC7"/>
    <w:rsid w:val="00780B01"/>
    <w:rsid w:val="00780B8C"/>
    <w:rsid w:val="00780BAE"/>
    <w:rsid w:val="00780BB5"/>
    <w:rsid w:val="00780C2F"/>
    <w:rsid w:val="00780C73"/>
    <w:rsid w:val="00780D1A"/>
    <w:rsid w:val="00780D1F"/>
    <w:rsid w:val="00780DB3"/>
    <w:rsid w:val="00780E49"/>
    <w:rsid w:val="00780E90"/>
    <w:rsid w:val="00780F06"/>
    <w:rsid w:val="00780F10"/>
    <w:rsid w:val="00780F25"/>
    <w:rsid w:val="00780F78"/>
    <w:rsid w:val="00780FB8"/>
    <w:rsid w:val="00780FE8"/>
    <w:rsid w:val="00781043"/>
    <w:rsid w:val="007810C1"/>
    <w:rsid w:val="0078114F"/>
    <w:rsid w:val="0078118A"/>
    <w:rsid w:val="00781257"/>
    <w:rsid w:val="007812A7"/>
    <w:rsid w:val="00781316"/>
    <w:rsid w:val="0078131E"/>
    <w:rsid w:val="00781358"/>
    <w:rsid w:val="007813E8"/>
    <w:rsid w:val="00781496"/>
    <w:rsid w:val="00781497"/>
    <w:rsid w:val="00781504"/>
    <w:rsid w:val="00781522"/>
    <w:rsid w:val="0078155A"/>
    <w:rsid w:val="007816B4"/>
    <w:rsid w:val="007816CB"/>
    <w:rsid w:val="0078172E"/>
    <w:rsid w:val="007817B5"/>
    <w:rsid w:val="007817DC"/>
    <w:rsid w:val="007817E3"/>
    <w:rsid w:val="00781878"/>
    <w:rsid w:val="00781895"/>
    <w:rsid w:val="007818ED"/>
    <w:rsid w:val="007818EE"/>
    <w:rsid w:val="0078197E"/>
    <w:rsid w:val="00781A0D"/>
    <w:rsid w:val="00781A2E"/>
    <w:rsid w:val="00781A72"/>
    <w:rsid w:val="00781B1E"/>
    <w:rsid w:val="00781C84"/>
    <w:rsid w:val="00781CBB"/>
    <w:rsid w:val="00781CBD"/>
    <w:rsid w:val="00781D15"/>
    <w:rsid w:val="00781DAA"/>
    <w:rsid w:val="00781E00"/>
    <w:rsid w:val="00781E39"/>
    <w:rsid w:val="00781E7A"/>
    <w:rsid w:val="00781F81"/>
    <w:rsid w:val="00781FD9"/>
    <w:rsid w:val="00782001"/>
    <w:rsid w:val="00782018"/>
    <w:rsid w:val="00782032"/>
    <w:rsid w:val="007820B1"/>
    <w:rsid w:val="00782118"/>
    <w:rsid w:val="00782190"/>
    <w:rsid w:val="0078222E"/>
    <w:rsid w:val="00782276"/>
    <w:rsid w:val="007822AE"/>
    <w:rsid w:val="007822B5"/>
    <w:rsid w:val="00782337"/>
    <w:rsid w:val="00782356"/>
    <w:rsid w:val="00782366"/>
    <w:rsid w:val="007823D8"/>
    <w:rsid w:val="007823F7"/>
    <w:rsid w:val="00782400"/>
    <w:rsid w:val="007824EA"/>
    <w:rsid w:val="00782506"/>
    <w:rsid w:val="0078251A"/>
    <w:rsid w:val="0078257F"/>
    <w:rsid w:val="007825FE"/>
    <w:rsid w:val="00782746"/>
    <w:rsid w:val="0078278E"/>
    <w:rsid w:val="007827FE"/>
    <w:rsid w:val="0078288C"/>
    <w:rsid w:val="007828EC"/>
    <w:rsid w:val="00782957"/>
    <w:rsid w:val="007829CC"/>
    <w:rsid w:val="007829DE"/>
    <w:rsid w:val="007829F5"/>
    <w:rsid w:val="00782A19"/>
    <w:rsid w:val="00782AE4"/>
    <w:rsid w:val="00782AFF"/>
    <w:rsid w:val="00782C5D"/>
    <w:rsid w:val="00782C75"/>
    <w:rsid w:val="00782CB6"/>
    <w:rsid w:val="00782CD0"/>
    <w:rsid w:val="00782D2C"/>
    <w:rsid w:val="00782D68"/>
    <w:rsid w:val="00782E41"/>
    <w:rsid w:val="00782E9B"/>
    <w:rsid w:val="00782EA8"/>
    <w:rsid w:val="00782EAB"/>
    <w:rsid w:val="00782EF7"/>
    <w:rsid w:val="00782F49"/>
    <w:rsid w:val="00783017"/>
    <w:rsid w:val="0078306E"/>
    <w:rsid w:val="007830F0"/>
    <w:rsid w:val="00783136"/>
    <w:rsid w:val="007831AE"/>
    <w:rsid w:val="0078322E"/>
    <w:rsid w:val="00783239"/>
    <w:rsid w:val="00783310"/>
    <w:rsid w:val="00783416"/>
    <w:rsid w:val="0078342B"/>
    <w:rsid w:val="007834A3"/>
    <w:rsid w:val="00783541"/>
    <w:rsid w:val="007835AD"/>
    <w:rsid w:val="007835C5"/>
    <w:rsid w:val="00783634"/>
    <w:rsid w:val="00783654"/>
    <w:rsid w:val="0078371D"/>
    <w:rsid w:val="0078372C"/>
    <w:rsid w:val="00783774"/>
    <w:rsid w:val="00783794"/>
    <w:rsid w:val="00783796"/>
    <w:rsid w:val="007838AF"/>
    <w:rsid w:val="0078394F"/>
    <w:rsid w:val="00783993"/>
    <w:rsid w:val="007839A4"/>
    <w:rsid w:val="00783A48"/>
    <w:rsid w:val="00783A53"/>
    <w:rsid w:val="00783A59"/>
    <w:rsid w:val="00783AEE"/>
    <w:rsid w:val="00783AFF"/>
    <w:rsid w:val="00783B35"/>
    <w:rsid w:val="00783B65"/>
    <w:rsid w:val="00783BA3"/>
    <w:rsid w:val="00783C6F"/>
    <w:rsid w:val="00783D16"/>
    <w:rsid w:val="00783D1D"/>
    <w:rsid w:val="00783D78"/>
    <w:rsid w:val="00783D91"/>
    <w:rsid w:val="00783E02"/>
    <w:rsid w:val="00783E0E"/>
    <w:rsid w:val="00783E93"/>
    <w:rsid w:val="00783EC2"/>
    <w:rsid w:val="00783ECD"/>
    <w:rsid w:val="00783F09"/>
    <w:rsid w:val="00783F49"/>
    <w:rsid w:val="00783FC5"/>
    <w:rsid w:val="00784007"/>
    <w:rsid w:val="00784051"/>
    <w:rsid w:val="007840D1"/>
    <w:rsid w:val="007840EA"/>
    <w:rsid w:val="00784124"/>
    <w:rsid w:val="0078415B"/>
    <w:rsid w:val="00784174"/>
    <w:rsid w:val="00784179"/>
    <w:rsid w:val="007841C0"/>
    <w:rsid w:val="007842AA"/>
    <w:rsid w:val="007842C1"/>
    <w:rsid w:val="007842FF"/>
    <w:rsid w:val="00784337"/>
    <w:rsid w:val="00784375"/>
    <w:rsid w:val="007843BB"/>
    <w:rsid w:val="007844D5"/>
    <w:rsid w:val="007844DC"/>
    <w:rsid w:val="00784566"/>
    <w:rsid w:val="007845AA"/>
    <w:rsid w:val="007845E1"/>
    <w:rsid w:val="00784607"/>
    <w:rsid w:val="0078462E"/>
    <w:rsid w:val="00784677"/>
    <w:rsid w:val="00784693"/>
    <w:rsid w:val="007846D2"/>
    <w:rsid w:val="00784748"/>
    <w:rsid w:val="00784792"/>
    <w:rsid w:val="00784830"/>
    <w:rsid w:val="00784854"/>
    <w:rsid w:val="007848C1"/>
    <w:rsid w:val="007848ED"/>
    <w:rsid w:val="007848F1"/>
    <w:rsid w:val="007848FF"/>
    <w:rsid w:val="0078496F"/>
    <w:rsid w:val="00784997"/>
    <w:rsid w:val="007849FC"/>
    <w:rsid w:val="00784A70"/>
    <w:rsid w:val="00784A76"/>
    <w:rsid w:val="00784ACD"/>
    <w:rsid w:val="00784ADD"/>
    <w:rsid w:val="00784B10"/>
    <w:rsid w:val="00784B75"/>
    <w:rsid w:val="00784B98"/>
    <w:rsid w:val="00784C49"/>
    <w:rsid w:val="00784C8C"/>
    <w:rsid w:val="00784CAB"/>
    <w:rsid w:val="00784CD7"/>
    <w:rsid w:val="00784CFB"/>
    <w:rsid w:val="00784CFE"/>
    <w:rsid w:val="00784D0A"/>
    <w:rsid w:val="00784DB2"/>
    <w:rsid w:val="00784DEF"/>
    <w:rsid w:val="00784E29"/>
    <w:rsid w:val="00784E76"/>
    <w:rsid w:val="00784ED1"/>
    <w:rsid w:val="00784EF4"/>
    <w:rsid w:val="00784EFA"/>
    <w:rsid w:val="00784F6F"/>
    <w:rsid w:val="00784F7D"/>
    <w:rsid w:val="00784FC4"/>
    <w:rsid w:val="00784FD6"/>
    <w:rsid w:val="00785061"/>
    <w:rsid w:val="007850A2"/>
    <w:rsid w:val="007850FC"/>
    <w:rsid w:val="00785128"/>
    <w:rsid w:val="00785186"/>
    <w:rsid w:val="007851A7"/>
    <w:rsid w:val="007851B1"/>
    <w:rsid w:val="007851C7"/>
    <w:rsid w:val="007851DA"/>
    <w:rsid w:val="00785232"/>
    <w:rsid w:val="007852C8"/>
    <w:rsid w:val="0078533E"/>
    <w:rsid w:val="00785352"/>
    <w:rsid w:val="0078539C"/>
    <w:rsid w:val="007853CB"/>
    <w:rsid w:val="007853FA"/>
    <w:rsid w:val="0078541F"/>
    <w:rsid w:val="00785443"/>
    <w:rsid w:val="00785488"/>
    <w:rsid w:val="00785495"/>
    <w:rsid w:val="00785555"/>
    <w:rsid w:val="007855C6"/>
    <w:rsid w:val="007855EB"/>
    <w:rsid w:val="0078560A"/>
    <w:rsid w:val="00785634"/>
    <w:rsid w:val="0078568E"/>
    <w:rsid w:val="007856CA"/>
    <w:rsid w:val="007856D6"/>
    <w:rsid w:val="007857AF"/>
    <w:rsid w:val="007857C3"/>
    <w:rsid w:val="007857F2"/>
    <w:rsid w:val="00785832"/>
    <w:rsid w:val="0078583C"/>
    <w:rsid w:val="007858D9"/>
    <w:rsid w:val="00785943"/>
    <w:rsid w:val="007859A3"/>
    <w:rsid w:val="007859B6"/>
    <w:rsid w:val="007859DE"/>
    <w:rsid w:val="00785A48"/>
    <w:rsid w:val="00785A74"/>
    <w:rsid w:val="00785AB1"/>
    <w:rsid w:val="00785ADA"/>
    <w:rsid w:val="00785ADC"/>
    <w:rsid w:val="00785C07"/>
    <w:rsid w:val="00785C21"/>
    <w:rsid w:val="00785C31"/>
    <w:rsid w:val="00785C81"/>
    <w:rsid w:val="00785C8A"/>
    <w:rsid w:val="00785C9B"/>
    <w:rsid w:val="00785C9D"/>
    <w:rsid w:val="00785CB8"/>
    <w:rsid w:val="00785D0A"/>
    <w:rsid w:val="00785D15"/>
    <w:rsid w:val="00785DC1"/>
    <w:rsid w:val="00785DEB"/>
    <w:rsid w:val="00785DED"/>
    <w:rsid w:val="00785DF5"/>
    <w:rsid w:val="00785DFC"/>
    <w:rsid w:val="00785E26"/>
    <w:rsid w:val="00785E32"/>
    <w:rsid w:val="00785E8B"/>
    <w:rsid w:val="00785EDC"/>
    <w:rsid w:val="00785F11"/>
    <w:rsid w:val="00785F84"/>
    <w:rsid w:val="007860BC"/>
    <w:rsid w:val="0078612C"/>
    <w:rsid w:val="007861F4"/>
    <w:rsid w:val="007861F8"/>
    <w:rsid w:val="00786221"/>
    <w:rsid w:val="00786233"/>
    <w:rsid w:val="0078623B"/>
    <w:rsid w:val="0078626F"/>
    <w:rsid w:val="00786279"/>
    <w:rsid w:val="0078628A"/>
    <w:rsid w:val="007862A9"/>
    <w:rsid w:val="007862AD"/>
    <w:rsid w:val="007862E2"/>
    <w:rsid w:val="00786360"/>
    <w:rsid w:val="007863A1"/>
    <w:rsid w:val="007863DD"/>
    <w:rsid w:val="0078641B"/>
    <w:rsid w:val="0078645A"/>
    <w:rsid w:val="0078652D"/>
    <w:rsid w:val="00786547"/>
    <w:rsid w:val="0078659C"/>
    <w:rsid w:val="007865A0"/>
    <w:rsid w:val="007865AF"/>
    <w:rsid w:val="007865B5"/>
    <w:rsid w:val="007865C2"/>
    <w:rsid w:val="007865E8"/>
    <w:rsid w:val="007865EA"/>
    <w:rsid w:val="00786627"/>
    <w:rsid w:val="00786663"/>
    <w:rsid w:val="00786698"/>
    <w:rsid w:val="007866A9"/>
    <w:rsid w:val="007866AB"/>
    <w:rsid w:val="007866DC"/>
    <w:rsid w:val="0078676C"/>
    <w:rsid w:val="0078679D"/>
    <w:rsid w:val="00786817"/>
    <w:rsid w:val="00786822"/>
    <w:rsid w:val="0078688C"/>
    <w:rsid w:val="007868C1"/>
    <w:rsid w:val="00786950"/>
    <w:rsid w:val="007869B0"/>
    <w:rsid w:val="00786A44"/>
    <w:rsid w:val="00786A51"/>
    <w:rsid w:val="00786A6F"/>
    <w:rsid w:val="00786A70"/>
    <w:rsid w:val="00786AA5"/>
    <w:rsid w:val="00786ADB"/>
    <w:rsid w:val="00786BC9"/>
    <w:rsid w:val="00786CB2"/>
    <w:rsid w:val="00786CE5"/>
    <w:rsid w:val="00786CE8"/>
    <w:rsid w:val="00786F05"/>
    <w:rsid w:val="00786F11"/>
    <w:rsid w:val="00786F6E"/>
    <w:rsid w:val="00786FB1"/>
    <w:rsid w:val="00786FC7"/>
    <w:rsid w:val="00786FCC"/>
    <w:rsid w:val="00786FEA"/>
    <w:rsid w:val="0078703F"/>
    <w:rsid w:val="007870D9"/>
    <w:rsid w:val="007870E0"/>
    <w:rsid w:val="007870FF"/>
    <w:rsid w:val="00787139"/>
    <w:rsid w:val="00787175"/>
    <w:rsid w:val="007871D7"/>
    <w:rsid w:val="0078721D"/>
    <w:rsid w:val="0078726F"/>
    <w:rsid w:val="00787282"/>
    <w:rsid w:val="007872CC"/>
    <w:rsid w:val="007872F5"/>
    <w:rsid w:val="0078730D"/>
    <w:rsid w:val="00787323"/>
    <w:rsid w:val="00787429"/>
    <w:rsid w:val="00787462"/>
    <w:rsid w:val="00787473"/>
    <w:rsid w:val="00787475"/>
    <w:rsid w:val="00787487"/>
    <w:rsid w:val="007874A3"/>
    <w:rsid w:val="0078754E"/>
    <w:rsid w:val="0078755F"/>
    <w:rsid w:val="00787585"/>
    <w:rsid w:val="007875AB"/>
    <w:rsid w:val="007875C1"/>
    <w:rsid w:val="00787659"/>
    <w:rsid w:val="00787693"/>
    <w:rsid w:val="007876F5"/>
    <w:rsid w:val="007876F8"/>
    <w:rsid w:val="00787716"/>
    <w:rsid w:val="00787769"/>
    <w:rsid w:val="00787773"/>
    <w:rsid w:val="0078777B"/>
    <w:rsid w:val="0078778C"/>
    <w:rsid w:val="007877BA"/>
    <w:rsid w:val="00787890"/>
    <w:rsid w:val="007878DC"/>
    <w:rsid w:val="00787903"/>
    <w:rsid w:val="00787943"/>
    <w:rsid w:val="0078798C"/>
    <w:rsid w:val="00787A09"/>
    <w:rsid w:val="00787A32"/>
    <w:rsid w:val="00787BCE"/>
    <w:rsid w:val="00787BD1"/>
    <w:rsid w:val="00787BDB"/>
    <w:rsid w:val="00787BFB"/>
    <w:rsid w:val="00787C03"/>
    <w:rsid w:val="00787C72"/>
    <w:rsid w:val="00787C99"/>
    <w:rsid w:val="00787CBF"/>
    <w:rsid w:val="00787D31"/>
    <w:rsid w:val="00787DEF"/>
    <w:rsid w:val="00787E1D"/>
    <w:rsid w:val="00787E5A"/>
    <w:rsid w:val="00787E76"/>
    <w:rsid w:val="00787E9B"/>
    <w:rsid w:val="00787EBB"/>
    <w:rsid w:val="00787ED2"/>
    <w:rsid w:val="00787EF7"/>
    <w:rsid w:val="00787F11"/>
    <w:rsid w:val="00787F60"/>
    <w:rsid w:val="00787F71"/>
    <w:rsid w:val="00787F7B"/>
    <w:rsid w:val="00787FA8"/>
    <w:rsid w:val="00787FD9"/>
    <w:rsid w:val="00787FF6"/>
    <w:rsid w:val="00790043"/>
    <w:rsid w:val="007900EF"/>
    <w:rsid w:val="00790160"/>
    <w:rsid w:val="0079016A"/>
    <w:rsid w:val="00790193"/>
    <w:rsid w:val="007901C0"/>
    <w:rsid w:val="007901CC"/>
    <w:rsid w:val="00790210"/>
    <w:rsid w:val="00790222"/>
    <w:rsid w:val="0079027D"/>
    <w:rsid w:val="007902B9"/>
    <w:rsid w:val="007902BD"/>
    <w:rsid w:val="007902CE"/>
    <w:rsid w:val="00790323"/>
    <w:rsid w:val="00790396"/>
    <w:rsid w:val="0079042F"/>
    <w:rsid w:val="00790445"/>
    <w:rsid w:val="0079047E"/>
    <w:rsid w:val="007904C6"/>
    <w:rsid w:val="0079051D"/>
    <w:rsid w:val="00790527"/>
    <w:rsid w:val="00790551"/>
    <w:rsid w:val="00790553"/>
    <w:rsid w:val="0079066E"/>
    <w:rsid w:val="0079067C"/>
    <w:rsid w:val="00790696"/>
    <w:rsid w:val="007906A9"/>
    <w:rsid w:val="007906BB"/>
    <w:rsid w:val="00790706"/>
    <w:rsid w:val="00790742"/>
    <w:rsid w:val="007907A9"/>
    <w:rsid w:val="00790808"/>
    <w:rsid w:val="00790822"/>
    <w:rsid w:val="007908A4"/>
    <w:rsid w:val="007908B5"/>
    <w:rsid w:val="007908B8"/>
    <w:rsid w:val="007908C6"/>
    <w:rsid w:val="00790919"/>
    <w:rsid w:val="00790944"/>
    <w:rsid w:val="00790954"/>
    <w:rsid w:val="007909B6"/>
    <w:rsid w:val="007909DA"/>
    <w:rsid w:val="00790A02"/>
    <w:rsid w:val="00790A7B"/>
    <w:rsid w:val="00790AA8"/>
    <w:rsid w:val="00790ABD"/>
    <w:rsid w:val="00790B3E"/>
    <w:rsid w:val="00790C13"/>
    <w:rsid w:val="00790C2D"/>
    <w:rsid w:val="00790C7E"/>
    <w:rsid w:val="00790CA6"/>
    <w:rsid w:val="00790CB8"/>
    <w:rsid w:val="00790CDE"/>
    <w:rsid w:val="00790DE8"/>
    <w:rsid w:val="00790E65"/>
    <w:rsid w:val="00790EAA"/>
    <w:rsid w:val="00790EC3"/>
    <w:rsid w:val="00790F48"/>
    <w:rsid w:val="00790F58"/>
    <w:rsid w:val="00790FC8"/>
    <w:rsid w:val="00790FF9"/>
    <w:rsid w:val="0079102C"/>
    <w:rsid w:val="00791167"/>
    <w:rsid w:val="0079117D"/>
    <w:rsid w:val="00791192"/>
    <w:rsid w:val="007911F9"/>
    <w:rsid w:val="00791232"/>
    <w:rsid w:val="007912BE"/>
    <w:rsid w:val="007912C5"/>
    <w:rsid w:val="007912E7"/>
    <w:rsid w:val="00791320"/>
    <w:rsid w:val="007913E8"/>
    <w:rsid w:val="00791482"/>
    <w:rsid w:val="007914EB"/>
    <w:rsid w:val="007914F1"/>
    <w:rsid w:val="0079155A"/>
    <w:rsid w:val="00791576"/>
    <w:rsid w:val="007915F1"/>
    <w:rsid w:val="00791633"/>
    <w:rsid w:val="00791638"/>
    <w:rsid w:val="00791666"/>
    <w:rsid w:val="007916D9"/>
    <w:rsid w:val="00791749"/>
    <w:rsid w:val="0079177A"/>
    <w:rsid w:val="00791784"/>
    <w:rsid w:val="00791785"/>
    <w:rsid w:val="0079178B"/>
    <w:rsid w:val="007917FF"/>
    <w:rsid w:val="00791850"/>
    <w:rsid w:val="0079185D"/>
    <w:rsid w:val="00791869"/>
    <w:rsid w:val="007918AE"/>
    <w:rsid w:val="007918C4"/>
    <w:rsid w:val="007918E9"/>
    <w:rsid w:val="0079191F"/>
    <w:rsid w:val="00791943"/>
    <w:rsid w:val="0079194C"/>
    <w:rsid w:val="00791959"/>
    <w:rsid w:val="0079195B"/>
    <w:rsid w:val="00791967"/>
    <w:rsid w:val="007919C2"/>
    <w:rsid w:val="00791A02"/>
    <w:rsid w:val="00791AB6"/>
    <w:rsid w:val="00791B21"/>
    <w:rsid w:val="00791B79"/>
    <w:rsid w:val="00791CF1"/>
    <w:rsid w:val="00791D0C"/>
    <w:rsid w:val="00791D49"/>
    <w:rsid w:val="00791D6C"/>
    <w:rsid w:val="00791D70"/>
    <w:rsid w:val="00791DAC"/>
    <w:rsid w:val="00791DF6"/>
    <w:rsid w:val="00791E13"/>
    <w:rsid w:val="00791E42"/>
    <w:rsid w:val="00791F3C"/>
    <w:rsid w:val="00791F6C"/>
    <w:rsid w:val="00791F92"/>
    <w:rsid w:val="007921B7"/>
    <w:rsid w:val="007921ED"/>
    <w:rsid w:val="00792207"/>
    <w:rsid w:val="00792233"/>
    <w:rsid w:val="007922AE"/>
    <w:rsid w:val="007922B8"/>
    <w:rsid w:val="007922CC"/>
    <w:rsid w:val="007922D0"/>
    <w:rsid w:val="007922E8"/>
    <w:rsid w:val="007922F7"/>
    <w:rsid w:val="0079230F"/>
    <w:rsid w:val="00792317"/>
    <w:rsid w:val="00792334"/>
    <w:rsid w:val="0079236F"/>
    <w:rsid w:val="007923A6"/>
    <w:rsid w:val="007923C0"/>
    <w:rsid w:val="00792407"/>
    <w:rsid w:val="00792422"/>
    <w:rsid w:val="007924D8"/>
    <w:rsid w:val="007924E3"/>
    <w:rsid w:val="0079254B"/>
    <w:rsid w:val="00792595"/>
    <w:rsid w:val="00792643"/>
    <w:rsid w:val="00792666"/>
    <w:rsid w:val="0079268E"/>
    <w:rsid w:val="00792769"/>
    <w:rsid w:val="0079278C"/>
    <w:rsid w:val="007927E6"/>
    <w:rsid w:val="00792841"/>
    <w:rsid w:val="00792849"/>
    <w:rsid w:val="00792881"/>
    <w:rsid w:val="007928DA"/>
    <w:rsid w:val="00792A0A"/>
    <w:rsid w:val="00792ABE"/>
    <w:rsid w:val="00792AC4"/>
    <w:rsid w:val="00792AEC"/>
    <w:rsid w:val="00792AFF"/>
    <w:rsid w:val="00792B43"/>
    <w:rsid w:val="00792B59"/>
    <w:rsid w:val="00792B5D"/>
    <w:rsid w:val="00792B7A"/>
    <w:rsid w:val="00792C2D"/>
    <w:rsid w:val="00792CEB"/>
    <w:rsid w:val="00792D55"/>
    <w:rsid w:val="00792D6D"/>
    <w:rsid w:val="00792D7E"/>
    <w:rsid w:val="00792E6F"/>
    <w:rsid w:val="00792EB7"/>
    <w:rsid w:val="00792F4C"/>
    <w:rsid w:val="00793000"/>
    <w:rsid w:val="00793028"/>
    <w:rsid w:val="00793035"/>
    <w:rsid w:val="00793094"/>
    <w:rsid w:val="007930B5"/>
    <w:rsid w:val="007930DC"/>
    <w:rsid w:val="007930FE"/>
    <w:rsid w:val="00793129"/>
    <w:rsid w:val="00793146"/>
    <w:rsid w:val="0079315E"/>
    <w:rsid w:val="007931CC"/>
    <w:rsid w:val="00793211"/>
    <w:rsid w:val="007932F7"/>
    <w:rsid w:val="0079330E"/>
    <w:rsid w:val="00793395"/>
    <w:rsid w:val="007933D7"/>
    <w:rsid w:val="00793400"/>
    <w:rsid w:val="00793444"/>
    <w:rsid w:val="00793445"/>
    <w:rsid w:val="007934D3"/>
    <w:rsid w:val="007934F1"/>
    <w:rsid w:val="007934F5"/>
    <w:rsid w:val="0079356C"/>
    <w:rsid w:val="0079359A"/>
    <w:rsid w:val="007935F3"/>
    <w:rsid w:val="0079367D"/>
    <w:rsid w:val="007937CD"/>
    <w:rsid w:val="00793802"/>
    <w:rsid w:val="0079380B"/>
    <w:rsid w:val="007938EB"/>
    <w:rsid w:val="007939BD"/>
    <w:rsid w:val="00793AAD"/>
    <w:rsid w:val="00793AF4"/>
    <w:rsid w:val="00793B14"/>
    <w:rsid w:val="00793B30"/>
    <w:rsid w:val="00793B32"/>
    <w:rsid w:val="00793B48"/>
    <w:rsid w:val="00793B88"/>
    <w:rsid w:val="00793B8D"/>
    <w:rsid w:val="00793BBF"/>
    <w:rsid w:val="00793D03"/>
    <w:rsid w:val="00793D28"/>
    <w:rsid w:val="00793D6F"/>
    <w:rsid w:val="00793D87"/>
    <w:rsid w:val="00793D8C"/>
    <w:rsid w:val="00793DBA"/>
    <w:rsid w:val="00793DD0"/>
    <w:rsid w:val="00793DEB"/>
    <w:rsid w:val="00793DF1"/>
    <w:rsid w:val="00793E83"/>
    <w:rsid w:val="00793F02"/>
    <w:rsid w:val="00793F2D"/>
    <w:rsid w:val="00793FA8"/>
    <w:rsid w:val="0079402E"/>
    <w:rsid w:val="0079403A"/>
    <w:rsid w:val="007940AE"/>
    <w:rsid w:val="007940DC"/>
    <w:rsid w:val="007940E6"/>
    <w:rsid w:val="007940E7"/>
    <w:rsid w:val="00794111"/>
    <w:rsid w:val="00794153"/>
    <w:rsid w:val="00794197"/>
    <w:rsid w:val="00794199"/>
    <w:rsid w:val="007941E4"/>
    <w:rsid w:val="0079421B"/>
    <w:rsid w:val="00794238"/>
    <w:rsid w:val="00794276"/>
    <w:rsid w:val="007942A8"/>
    <w:rsid w:val="007942B2"/>
    <w:rsid w:val="007942D9"/>
    <w:rsid w:val="00794390"/>
    <w:rsid w:val="007943EE"/>
    <w:rsid w:val="0079440D"/>
    <w:rsid w:val="0079441D"/>
    <w:rsid w:val="00794422"/>
    <w:rsid w:val="00794439"/>
    <w:rsid w:val="00794451"/>
    <w:rsid w:val="00794455"/>
    <w:rsid w:val="00794459"/>
    <w:rsid w:val="007944C5"/>
    <w:rsid w:val="007944DC"/>
    <w:rsid w:val="00794567"/>
    <w:rsid w:val="00794587"/>
    <w:rsid w:val="007945B0"/>
    <w:rsid w:val="00794605"/>
    <w:rsid w:val="0079464B"/>
    <w:rsid w:val="0079468B"/>
    <w:rsid w:val="0079468D"/>
    <w:rsid w:val="00794717"/>
    <w:rsid w:val="0079473A"/>
    <w:rsid w:val="0079475A"/>
    <w:rsid w:val="007947AF"/>
    <w:rsid w:val="0079482B"/>
    <w:rsid w:val="0079484F"/>
    <w:rsid w:val="007948B3"/>
    <w:rsid w:val="00794A1C"/>
    <w:rsid w:val="00794AED"/>
    <w:rsid w:val="00794B1D"/>
    <w:rsid w:val="00794B76"/>
    <w:rsid w:val="00794BD9"/>
    <w:rsid w:val="00794C18"/>
    <w:rsid w:val="00794C6C"/>
    <w:rsid w:val="00794C77"/>
    <w:rsid w:val="00794CBE"/>
    <w:rsid w:val="00794D3E"/>
    <w:rsid w:val="00794D4F"/>
    <w:rsid w:val="00794D5E"/>
    <w:rsid w:val="00794F06"/>
    <w:rsid w:val="00794FB0"/>
    <w:rsid w:val="00795092"/>
    <w:rsid w:val="007950A0"/>
    <w:rsid w:val="0079513B"/>
    <w:rsid w:val="00795191"/>
    <w:rsid w:val="007951EC"/>
    <w:rsid w:val="0079526A"/>
    <w:rsid w:val="00795298"/>
    <w:rsid w:val="0079538C"/>
    <w:rsid w:val="007953ED"/>
    <w:rsid w:val="007953F1"/>
    <w:rsid w:val="0079540D"/>
    <w:rsid w:val="00795470"/>
    <w:rsid w:val="00795475"/>
    <w:rsid w:val="00795476"/>
    <w:rsid w:val="00795485"/>
    <w:rsid w:val="0079551D"/>
    <w:rsid w:val="007955AA"/>
    <w:rsid w:val="007955AC"/>
    <w:rsid w:val="007955BB"/>
    <w:rsid w:val="00795600"/>
    <w:rsid w:val="00795659"/>
    <w:rsid w:val="007956DF"/>
    <w:rsid w:val="007956ED"/>
    <w:rsid w:val="007956F0"/>
    <w:rsid w:val="00795725"/>
    <w:rsid w:val="00795746"/>
    <w:rsid w:val="0079574E"/>
    <w:rsid w:val="00795773"/>
    <w:rsid w:val="00795798"/>
    <w:rsid w:val="007957CA"/>
    <w:rsid w:val="007957EF"/>
    <w:rsid w:val="007959EB"/>
    <w:rsid w:val="00795A08"/>
    <w:rsid w:val="00795AE6"/>
    <w:rsid w:val="00795AF8"/>
    <w:rsid w:val="00795B0C"/>
    <w:rsid w:val="00795B43"/>
    <w:rsid w:val="00795B6A"/>
    <w:rsid w:val="00795B6E"/>
    <w:rsid w:val="00795B8B"/>
    <w:rsid w:val="00795BB2"/>
    <w:rsid w:val="00795C28"/>
    <w:rsid w:val="00795C56"/>
    <w:rsid w:val="00795C77"/>
    <w:rsid w:val="00795C88"/>
    <w:rsid w:val="00795C90"/>
    <w:rsid w:val="00795CE2"/>
    <w:rsid w:val="00795D32"/>
    <w:rsid w:val="00795DA2"/>
    <w:rsid w:val="00795DB3"/>
    <w:rsid w:val="00795DD3"/>
    <w:rsid w:val="00795E05"/>
    <w:rsid w:val="00795E2B"/>
    <w:rsid w:val="00795E48"/>
    <w:rsid w:val="00795E57"/>
    <w:rsid w:val="00795E67"/>
    <w:rsid w:val="00795EC3"/>
    <w:rsid w:val="00795ECA"/>
    <w:rsid w:val="00795EFB"/>
    <w:rsid w:val="00795F28"/>
    <w:rsid w:val="00795FFD"/>
    <w:rsid w:val="00796040"/>
    <w:rsid w:val="00796115"/>
    <w:rsid w:val="0079611A"/>
    <w:rsid w:val="00796131"/>
    <w:rsid w:val="00796206"/>
    <w:rsid w:val="00796207"/>
    <w:rsid w:val="0079620C"/>
    <w:rsid w:val="00796214"/>
    <w:rsid w:val="00796220"/>
    <w:rsid w:val="00796222"/>
    <w:rsid w:val="0079622A"/>
    <w:rsid w:val="0079626C"/>
    <w:rsid w:val="00796380"/>
    <w:rsid w:val="00796399"/>
    <w:rsid w:val="007963A0"/>
    <w:rsid w:val="007963FB"/>
    <w:rsid w:val="00796421"/>
    <w:rsid w:val="00796497"/>
    <w:rsid w:val="007964DF"/>
    <w:rsid w:val="00796526"/>
    <w:rsid w:val="00796536"/>
    <w:rsid w:val="00796553"/>
    <w:rsid w:val="00796556"/>
    <w:rsid w:val="00796590"/>
    <w:rsid w:val="007965A2"/>
    <w:rsid w:val="007965D4"/>
    <w:rsid w:val="007965D6"/>
    <w:rsid w:val="007965DC"/>
    <w:rsid w:val="0079660E"/>
    <w:rsid w:val="00796616"/>
    <w:rsid w:val="007966BD"/>
    <w:rsid w:val="007966D3"/>
    <w:rsid w:val="007966E0"/>
    <w:rsid w:val="007966EE"/>
    <w:rsid w:val="00796702"/>
    <w:rsid w:val="00796709"/>
    <w:rsid w:val="0079678E"/>
    <w:rsid w:val="007967AB"/>
    <w:rsid w:val="007967E1"/>
    <w:rsid w:val="007967E2"/>
    <w:rsid w:val="007968B6"/>
    <w:rsid w:val="007968F6"/>
    <w:rsid w:val="0079697C"/>
    <w:rsid w:val="00796A09"/>
    <w:rsid w:val="00796A0D"/>
    <w:rsid w:val="00796AA1"/>
    <w:rsid w:val="00796AD2"/>
    <w:rsid w:val="00796B00"/>
    <w:rsid w:val="00796B4B"/>
    <w:rsid w:val="00796BB3"/>
    <w:rsid w:val="00796C28"/>
    <w:rsid w:val="00796C9A"/>
    <w:rsid w:val="00796D55"/>
    <w:rsid w:val="00796D74"/>
    <w:rsid w:val="00796D8F"/>
    <w:rsid w:val="00796DA7"/>
    <w:rsid w:val="00796E48"/>
    <w:rsid w:val="00796E4C"/>
    <w:rsid w:val="00796EA3"/>
    <w:rsid w:val="00796ED2"/>
    <w:rsid w:val="00796F4D"/>
    <w:rsid w:val="00796FAC"/>
    <w:rsid w:val="00796FCF"/>
    <w:rsid w:val="00796FE2"/>
    <w:rsid w:val="00797041"/>
    <w:rsid w:val="00797087"/>
    <w:rsid w:val="007970ED"/>
    <w:rsid w:val="00797176"/>
    <w:rsid w:val="007971F4"/>
    <w:rsid w:val="00797256"/>
    <w:rsid w:val="00797264"/>
    <w:rsid w:val="00797339"/>
    <w:rsid w:val="00797397"/>
    <w:rsid w:val="007973AF"/>
    <w:rsid w:val="007973EF"/>
    <w:rsid w:val="007973F7"/>
    <w:rsid w:val="007973F9"/>
    <w:rsid w:val="00797406"/>
    <w:rsid w:val="00797419"/>
    <w:rsid w:val="00797442"/>
    <w:rsid w:val="00797450"/>
    <w:rsid w:val="007974B1"/>
    <w:rsid w:val="007974F7"/>
    <w:rsid w:val="0079750A"/>
    <w:rsid w:val="00797532"/>
    <w:rsid w:val="00797575"/>
    <w:rsid w:val="00797594"/>
    <w:rsid w:val="007975AF"/>
    <w:rsid w:val="007975F5"/>
    <w:rsid w:val="00797609"/>
    <w:rsid w:val="0079760A"/>
    <w:rsid w:val="0079768F"/>
    <w:rsid w:val="007976E5"/>
    <w:rsid w:val="007976E7"/>
    <w:rsid w:val="007976F8"/>
    <w:rsid w:val="00797746"/>
    <w:rsid w:val="0079778C"/>
    <w:rsid w:val="007977A0"/>
    <w:rsid w:val="007977D3"/>
    <w:rsid w:val="007977E5"/>
    <w:rsid w:val="00797804"/>
    <w:rsid w:val="0079780C"/>
    <w:rsid w:val="00797848"/>
    <w:rsid w:val="007978E9"/>
    <w:rsid w:val="00797923"/>
    <w:rsid w:val="00797968"/>
    <w:rsid w:val="0079796E"/>
    <w:rsid w:val="007979D1"/>
    <w:rsid w:val="00797AE4"/>
    <w:rsid w:val="00797B98"/>
    <w:rsid w:val="00797BB6"/>
    <w:rsid w:val="00797C6A"/>
    <w:rsid w:val="00797C77"/>
    <w:rsid w:val="00797D8A"/>
    <w:rsid w:val="00797DC1"/>
    <w:rsid w:val="00797E0E"/>
    <w:rsid w:val="00797E6C"/>
    <w:rsid w:val="00797ED6"/>
    <w:rsid w:val="00797F15"/>
    <w:rsid w:val="00797F1A"/>
    <w:rsid w:val="00797F93"/>
    <w:rsid w:val="00797FBE"/>
    <w:rsid w:val="00797FC5"/>
    <w:rsid w:val="007A005B"/>
    <w:rsid w:val="007A00A4"/>
    <w:rsid w:val="007A00AB"/>
    <w:rsid w:val="007A01B1"/>
    <w:rsid w:val="007A0246"/>
    <w:rsid w:val="007A0260"/>
    <w:rsid w:val="007A02AC"/>
    <w:rsid w:val="007A02C6"/>
    <w:rsid w:val="007A02F8"/>
    <w:rsid w:val="007A0333"/>
    <w:rsid w:val="007A0367"/>
    <w:rsid w:val="007A0386"/>
    <w:rsid w:val="007A03FF"/>
    <w:rsid w:val="007A0415"/>
    <w:rsid w:val="007A0423"/>
    <w:rsid w:val="007A0494"/>
    <w:rsid w:val="007A0556"/>
    <w:rsid w:val="007A055C"/>
    <w:rsid w:val="007A057F"/>
    <w:rsid w:val="007A05AC"/>
    <w:rsid w:val="007A0633"/>
    <w:rsid w:val="007A0679"/>
    <w:rsid w:val="007A067E"/>
    <w:rsid w:val="007A069C"/>
    <w:rsid w:val="007A0724"/>
    <w:rsid w:val="007A0747"/>
    <w:rsid w:val="007A0766"/>
    <w:rsid w:val="007A0831"/>
    <w:rsid w:val="007A0876"/>
    <w:rsid w:val="007A08BC"/>
    <w:rsid w:val="007A08C8"/>
    <w:rsid w:val="007A098B"/>
    <w:rsid w:val="007A09D6"/>
    <w:rsid w:val="007A0A3C"/>
    <w:rsid w:val="007A0A8E"/>
    <w:rsid w:val="007A0A96"/>
    <w:rsid w:val="007A0AA0"/>
    <w:rsid w:val="007A0AB0"/>
    <w:rsid w:val="007A0ACB"/>
    <w:rsid w:val="007A0BD7"/>
    <w:rsid w:val="007A0C11"/>
    <w:rsid w:val="007A0CF3"/>
    <w:rsid w:val="007A0D1A"/>
    <w:rsid w:val="007A0D28"/>
    <w:rsid w:val="007A0D67"/>
    <w:rsid w:val="007A0DA1"/>
    <w:rsid w:val="007A0E61"/>
    <w:rsid w:val="007A0E7C"/>
    <w:rsid w:val="007A0EAE"/>
    <w:rsid w:val="007A0EDE"/>
    <w:rsid w:val="007A0F1F"/>
    <w:rsid w:val="007A0FB3"/>
    <w:rsid w:val="007A0FE6"/>
    <w:rsid w:val="007A0FF4"/>
    <w:rsid w:val="007A105D"/>
    <w:rsid w:val="007A10CD"/>
    <w:rsid w:val="007A1101"/>
    <w:rsid w:val="007A110B"/>
    <w:rsid w:val="007A115C"/>
    <w:rsid w:val="007A116B"/>
    <w:rsid w:val="007A11A4"/>
    <w:rsid w:val="007A11B2"/>
    <w:rsid w:val="007A1234"/>
    <w:rsid w:val="007A12A3"/>
    <w:rsid w:val="007A12F7"/>
    <w:rsid w:val="007A1311"/>
    <w:rsid w:val="007A1381"/>
    <w:rsid w:val="007A13AF"/>
    <w:rsid w:val="007A1439"/>
    <w:rsid w:val="007A1453"/>
    <w:rsid w:val="007A1477"/>
    <w:rsid w:val="007A14AC"/>
    <w:rsid w:val="007A14F0"/>
    <w:rsid w:val="007A14FD"/>
    <w:rsid w:val="007A14FE"/>
    <w:rsid w:val="007A1527"/>
    <w:rsid w:val="007A152E"/>
    <w:rsid w:val="007A159D"/>
    <w:rsid w:val="007A15AC"/>
    <w:rsid w:val="007A15C7"/>
    <w:rsid w:val="007A15D2"/>
    <w:rsid w:val="007A15F8"/>
    <w:rsid w:val="007A1624"/>
    <w:rsid w:val="007A164A"/>
    <w:rsid w:val="007A167B"/>
    <w:rsid w:val="007A16D5"/>
    <w:rsid w:val="007A1738"/>
    <w:rsid w:val="007A17C4"/>
    <w:rsid w:val="007A1847"/>
    <w:rsid w:val="007A184A"/>
    <w:rsid w:val="007A1896"/>
    <w:rsid w:val="007A18A1"/>
    <w:rsid w:val="007A1901"/>
    <w:rsid w:val="007A190F"/>
    <w:rsid w:val="007A193D"/>
    <w:rsid w:val="007A1A22"/>
    <w:rsid w:val="007A1A44"/>
    <w:rsid w:val="007A1A4F"/>
    <w:rsid w:val="007A1A7D"/>
    <w:rsid w:val="007A1B9B"/>
    <w:rsid w:val="007A1B9C"/>
    <w:rsid w:val="007A1BCB"/>
    <w:rsid w:val="007A1BF8"/>
    <w:rsid w:val="007A1C43"/>
    <w:rsid w:val="007A1CAA"/>
    <w:rsid w:val="007A1D01"/>
    <w:rsid w:val="007A1D26"/>
    <w:rsid w:val="007A1D91"/>
    <w:rsid w:val="007A1DB5"/>
    <w:rsid w:val="007A1DBC"/>
    <w:rsid w:val="007A1F13"/>
    <w:rsid w:val="007A1F39"/>
    <w:rsid w:val="007A1F53"/>
    <w:rsid w:val="007A1FA6"/>
    <w:rsid w:val="007A2041"/>
    <w:rsid w:val="007A207C"/>
    <w:rsid w:val="007A20B1"/>
    <w:rsid w:val="007A215D"/>
    <w:rsid w:val="007A2197"/>
    <w:rsid w:val="007A21B6"/>
    <w:rsid w:val="007A21D6"/>
    <w:rsid w:val="007A21D9"/>
    <w:rsid w:val="007A21E7"/>
    <w:rsid w:val="007A21EC"/>
    <w:rsid w:val="007A2218"/>
    <w:rsid w:val="007A228D"/>
    <w:rsid w:val="007A22A8"/>
    <w:rsid w:val="007A22B5"/>
    <w:rsid w:val="007A22D1"/>
    <w:rsid w:val="007A2327"/>
    <w:rsid w:val="007A234B"/>
    <w:rsid w:val="007A2383"/>
    <w:rsid w:val="007A23B0"/>
    <w:rsid w:val="007A247A"/>
    <w:rsid w:val="007A2503"/>
    <w:rsid w:val="007A2512"/>
    <w:rsid w:val="007A2578"/>
    <w:rsid w:val="007A2579"/>
    <w:rsid w:val="007A25C4"/>
    <w:rsid w:val="007A25DE"/>
    <w:rsid w:val="007A2659"/>
    <w:rsid w:val="007A265F"/>
    <w:rsid w:val="007A2726"/>
    <w:rsid w:val="007A2747"/>
    <w:rsid w:val="007A2752"/>
    <w:rsid w:val="007A27BE"/>
    <w:rsid w:val="007A27F0"/>
    <w:rsid w:val="007A27F6"/>
    <w:rsid w:val="007A2810"/>
    <w:rsid w:val="007A28A7"/>
    <w:rsid w:val="007A28F7"/>
    <w:rsid w:val="007A2957"/>
    <w:rsid w:val="007A2963"/>
    <w:rsid w:val="007A2972"/>
    <w:rsid w:val="007A29DA"/>
    <w:rsid w:val="007A29FB"/>
    <w:rsid w:val="007A2A3F"/>
    <w:rsid w:val="007A2A4C"/>
    <w:rsid w:val="007A2A5E"/>
    <w:rsid w:val="007A2A6C"/>
    <w:rsid w:val="007A2A81"/>
    <w:rsid w:val="007A2A90"/>
    <w:rsid w:val="007A2AC0"/>
    <w:rsid w:val="007A2ACA"/>
    <w:rsid w:val="007A2AFB"/>
    <w:rsid w:val="007A2BE1"/>
    <w:rsid w:val="007A2BF0"/>
    <w:rsid w:val="007A2CA8"/>
    <w:rsid w:val="007A2CB2"/>
    <w:rsid w:val="007A2CB7"/>
    <w:rsid w:val="007A2D0D"/>
    <w:rsid w:val="007A2D2A"/>
    <w:rsid w:val="007A2D99"/>
    <w:rsid w:val="007A2EA4"/>
    <w:rsid w:val="007A2F22"/>
    <w:rsid w:val="007A2F95"/>
    <w:rsid w:val="007A3038"/>
    <w:rsid w:val="007A304A"/>
    <w:rsid w:val="007A30E6"/>
    <w:rsid w:val="007A3189"/>
    <w:rsid w:val="007A320A"/>
    <w:rsid w:val="007A3246"/>
    <w:rsid w:val="007A32C3"/>
    <w:rsid w:val="007A3301"/>
    <w:rsid w:val="007A332E"/>
    <w:rsid w:val="007A3345"/>
    <w:rsid w:val="007A337F"/>
    <w:rsid w:val="007A341A"/>
    <w:rsid w:val="007A3440"/>
    <w:rsid w:val="007A34CC"/>
    <w:rsid w:val="007A352F"/>
    <w:rsid w:val="007A353A"/>
    <w:rsid w:val="007A35B2"/>
    <w:rsid w:val="007A35D4"/>
    <w:rsid w:val="007A35FE"/>
    <w:rsid w:val="007A3621"/>
    <w:rsid w:val="007A3625"/>
    <w:rsid w:val="007A363D"/>
    <w:rsid w:val="007A36E0"/>
    <w:rsid w:val="007A3715"/>
    <w:rsid w:val="007A372F"/>
    <w:rsid w:val="007A3730"/>
    <w:rsid w:val="007A3776"/>
    <w:rsid w:val="007A3778"/>
    <w:rsid w:val="007A37E2"/>
    <w:rsid w:val="007A3811"/>
    <w:rsid w:val="007A38BD"/>
    <w:rsid w:val="007A38D7"/>
    <w:rsid w:val="007A3938"/>
    <w:rsid w:val="007A3939"/>
    <w:rsid w:val="007A3A36"/>
    <w:rsid w:val="007A3B2D"/>
    <w:rsid w:val="007A3B2F"/>
    <w:rsid w:val="007A3B46"/>
    <w:rsid w:val="007A3B72"/>
    <w:rsid w:val="007A3BB0"/>
    <w:rsid w:val="007A3BD7"/>
    <w:rsid w:val="007A3BF3"/>
    <w:rsid w:val="007A3C4A"/>
    <w:rsid w:val="007A3C4F"/>
    <w:rsid w:val="007A3CF9"/>
    <w:rsid w:val="007A3D50"/>
    <w:rsid w:val="007A3D94"/>
    <w:rsid w:val="007A3DA5"/>
    <w:rsid w:val="007A3E06"/>
    <w:rsid w:val="007A3E57"/>
    <w:rsid w:val="007A3E8D"/>
    <w:rsid w:val="007A3EA6"/>
    <w:rsid w:val="007A3EFE"/>
    <w:rsid w:val="007A3F2F"/>
    <w:rsid w:val="007A3F42"/>
    <w:rsid w:val="007A3F51"/>
    <w:rsid w:val="007A3F83"/>
    <w:rsid w:val="007A3FEB"/>
    <w:rsid w:val="007A3FF7"/>
    <w:rsid w:val="007A4068"/>
    <w:rsid w:val="007A406B"/>
    <w:rsid w:val="007A40A9"/>
    <w:rsid w:val="007A40C2"/>
    <w:rsid w:val="007A40EA"/>
    <w:rsid w:val="007A4178"/>
    <w:rsid w:val="007A41C7"/>
    <w:rsid w:val="007A41C9"/>
    <w:rsid w:val="007A428C"/>
    <w:rsid w:val="007A4296"/>
    <w:rsid w:val="007A42EC"/>
    <w:rsid w:val="007A439D"/>
    <w:rsid w:val="007A43FD"/>
    <w:rsid w:val="007A4406"/>
    <w:rsid w:val="007A4449"/>
    <w:rsid w:val="007A44DE"/>
    <w:rsid w:val="007A4510"/>
    <w:rsid w:val="007A451E"/>
    <w:rsid w:val="007A454A"/>
    <w:rsid w:val="007A458E"/>
    <w:rsid w:val="007A4617"/>
    <w:rsid w:val="007A462C"/>
    <w:rsid w:val="007A467A"/>
    <w:rsid w:val="007A468B"/>
    <w:rsid w:val="007A46C4"/>
    <w:rsid w:val="007A46EF"/>
    <w:rsid w:val="007A471B"/>
    <w:rsid w:val="007A4725"/>
    <w:rsid w:val="007A4738"/>
    <w:rsid w:val="007A47B2"/>
    <w:rsid w:val="007A47BC"/>
    <w:rsid w:val="007A4818"/>
    <w:rsid w:val="007A4884"/>
    <w:rsid w:val="007A4937"/>
    <w:rsid w:val="007A4987"/>
    <w:rsid w:val="007A4995"/>
    <w:rsid w:val="007A49C9"/>
    <w:rsid w:val="007A4A0E"/>
    <w:rsid w:val="007A4A21"/>
    <w:rsid w:val="007A4A33"/>
    <w:rsid w:val="007A4A94"/>
    <w:rsid w:val="007A4B12"/>
    <w:rsid w:val="007A4B3A"/>
    <w:rsid w:val="007A4B87"/>
    <w:rsid w:val="007A4C7D"/>
    <w:rsid w:val="007A4D00"/>
    <w:rsid w:val="007A4D19"/>
    <w:rsid w:val="007A4D5E"/>
    <w:rsid w:val="007A4DC0"/>
    <w:rsid w:val="007A4E45"/>
    <w:rsid w:val="007A4ED3"/>
    <w:rsid w:val="007A4ED8"/>
    <w:rsid w:val="007A4EDD"/>
    <w:rsid w:val="007A4EE0"/>
    <w:rsid w:val="007A4EEA"/>
    <w:rsid w:val="007A4FA3"/>
    <w:rsid w:val="007A5013"/>
    <w:rsid w:val="007A501D"/>
    <w:rsid w:val="007A50AD"/>
    <w:rsid w:val="007A50AE"/>
    <w:rsid w:val="007A5171"/>
    <w:rsid w:val="007A517D"/>
    <w:rsid w:val="007A51CD"/>
    <w:rsid w:val="007A51E2"/>
    <w:rsid w:val="007A51EF"/>
    <w:rsid w:val="007A52AF"/>
    <w:rsid w:val="007A52BF"/>
    <w:rsid w:val="007A52C2"/>
    <w:rsid w:val="007A5308"/>
    <w:rsid w:val="007A534E"/>
    <w:rsid w:val="007A5351"/>
    <w:rsid w:val="007A5387"/>
    <w:rsid w:val="007A5391"/>
    <w:rsid w:val="007A53FD"/>
    <w:rsid w:val="007A541A"/>
    <w:rsid w:val="007A541F"/>
    <w:rsid w:val="007A542E"/>
    <w:rsid w:val="007A544E"/>
    <w:rsid w:val="007A5470"/>
    <w:rsid w:val="007A54EA"/>
    <w:rsid w:val="007A54F8"/>
    <w:rsid w:val="007A54F9"/>
    <w:rsid w:val="007A561B"/>
    <w:rsid w:val="007A56AB"/>
    <w:rsid w:val="007A56E8"/>
    <w:rsid w:val="007A56EB"/>
    <w:rsid w:val="007A56F4"/>
    <w:rsid w:val="007A5721"/>
    <w:rsid w:val="007A5750"/>
    <w:rsid w:val="007A57DA"/>
    <w:rsid w:val="007A59E9"/>
    <w:rsid w:val="007A5A70"/>
    <w:rsid w:val="007A5A7F"/>
    <w:rsid w:val="007A5A99"/>
    <w:rsid w:val="007A5AE3"/>
    <w:rsid w:val="007A5AE5"/>
    <w:rsid w:val="007A5B01"/>
    <w:rsid w:val="007A5B24"/>
    <w:rsid w:val="007A5B54"/>
    <w:rsid w:val="007A5B95"/>
    <w:rsid w:val="007A5BBC"/>
    <w:rsid w:val="007A5BFD"/>
    <w:rsid w:val="007A5C25"/>
    <w:rsid w:val="007A5C50"/>
    <w:rsid w:val="007A5D86"/>
    <w:rsid w:val="007A5D94"/>
    <w:rsid w:val="007A5D97"/>
    <w:rsid w:val="007A5DDF"/>
    <w:rsid w:val="007A5E2F"/>
    <w:rsid w:val="007A5E92"/>
    <w:rsid w:val="007A5EF6"/>
    <w:rsid w:val="007A5F03"/>
    <w:rsid w:val="007A5F44"/>
    <w:rsid w:val="007A5F4C"/>
    <w:rsid w:val="007A5F4D"/>
    <w:rsid w:val="007A5F5D"/>
    <w:rsid w:val="007A5F75"/>
    <w:rsid w:val="007A5FC3"/>
    <w:rsid w:val="007A5FEE"/>
    <w:rsid w:val="007A6031"/>
    <w:rsid w:val="007A6065"/>
    <w:rsid w:val="007A608F"/>
    <w:rsid w:val="007A60AE"/>
    <w:rsid w:val="007A6109"/>
    <w:rsid w:val="007A6113"/>
    <w:rsid w:val="007A6123"/>
    <w:rsid w:val="007A61AA"/>
    <w:rsid w:val="007A626D"/>
    <w:rsid w:val="007A62BC"/>
    <w:rsid w:val="007A62CC"/>
    <w:rsid w:val="007A62E8"/>
    <w:rsid w:val="007A62EF"/>
    <w:rsid w:val="007A62F9"/>
    <w:rsid w:val="007A636D"/>
    <w:rsid w:val="007A63E6"/>
    <w:rsid w:val="007A643A"/>
    <w:rsid w:val="007A6454"/>
    <w:rsid w:val="007A649B"/>
    <w:rsid w:val="007A64B6"/>
    <w:rsid w:val="007A64C2"/>
    <w:rsid w:val="007A6517"/>
    <w:rsid w:val="007A6520"/>
    <w:rsid w:val="007A6534"/>
    <w:rsid w:val="007A6555"/>
    <w:rsid w:val="007A6596"/>
    <w:rsid w:val="007A65B4"/>
    <w:rsid w:val="007A65DD"/>
    <w:rsid w:val="007A65E3"/>
    <w:rsid w:val="007A6618"/>
    <w:rsid w:val="007A663C"/>
    <w:rsid w:val="007A66CF"/>
    <w:rsid w:val="007A66E7"/>
    <w:rsid w:val="007A66FB"/>
    <w:rsid w:val="007A6728"/>
    <w:rsid w:val="007A6729"/>
    <w:rsid w:val="007A673C"/>
    <w:rsid w:val="007A674E"/>
    <w:rsid w:val="007A6782"/>
    <w:rsid w:val="007A678D"/>
    <w:rsid w:val="007A67A3"/>
    <w:rsid w:val="007A67B1"/>
    <w:rsid w:val="007A67B7"/>
    <w:rsid w:val="007A685F"/>
    <w:rsid w:val="007A68CF"/>
    <w:rsid w:val="007A68E1"/>
    <w:rsid w:val="007A69AC"/>
    <w:rsid w:val="007A69C0"/>
    <w:rsid w:val="007A6A6F"/>
    <w:rsid w:val="007A6AFF"/>
    <w:rsid w:val="007A6B5E"/>
    <w:rsid w:val="007A6B75"/>
    <w:rsid w:val="007A6BAC"/>
    <w:rsid w:val="007A6BDA"/>
    <w:rsid w:val="007A6C5E"/>
    <w:rsid w:val="007A6C80"/>
    <w:rsid w:val="007A6C8E"/>
    <w:rsid w:val="007A6D1B"/>
    <w:rsid w:val="007A6D77"/>
    <w:rsid w:val="007A6DAC"/>
    <w:rsid w:val="007A6DF9"/>
    <w:rsid w:val="007A6E1A"/>
    <w:rsid w:val="007A6E1B"/>
    <w:rsid w:val="007A6E79"/>
    <w:rsid w:val="007A6EDB"/>
    <w:rsid w:val="007A6F3A"/>
    <w:rsid w:val="007A6F4A"/>
    <w:rsid w:val="007A6F5C"/>
    <w:rsid w:val="007A6F90"/>
    <w:rsid w:val="007A6FD8"/>
    <w:rsid w:val="007A6FE1"/>
    <w:rsid w:val="007A70E7"/>
    <w:rsid w:val="007A7161"/>
    <w:rsid w:val="007A7238"/>
    <w:rsid w:val="007A724C"/>
    <w:rsid w:val="007A7254"/>
    <w:rsid w:val="007A728A"/>
    <w:rsid w:val="007A72CA"/>
    <w:rsid w:val="007A73C1"/>
    <w:rsid w:val="007A73DD"/>
    <w:rsid w:val="007A743F"/>
    <w:rsid w:val="007A7456"/>
    <w:rsid w:val="007A7463"/>
    <w:rsid w:val="007A74BC"/>
    <w:rsid w:val="007A74BD"/>
    <w:rsid w:val="007A74E8"/>
    <w:rsid w:val="007A7562"/>
    <w:rsid w:val="007A75CE"/>
    <w:rsid w:val="007A761D"/>
    <w:rsid w:val="007A763B"/>
    <w:rsid w:val="007A7644"/>
    <w:rsid w:val="007A76E0"/>
    <w:rsid w:val="007A76FE"/>
    <w:rsid w:val="007A7745"/>
    <w:rsid w:val="007A77BB"/>
    <w:rsid w:val="007A78A2"/>
    <w:rsid w:val="007A78FF"/>
    <w:rsid w:val="007A791D"/>
    <w:rsid w:val="007A79AA"/>
    <w:rsid w:val="007A79E4"/>
    <w:rsid w:val="007A79EB"/>
    <w:rsid w:val="007A7A17"/>
    <w:rsid w:val="007A7A24"/>
    <w:rsid w:val="007A7A26"/>
    <w:rsid w:val="007A7A62"/>
    <w:rsid w:val="007A7A9E"/>
    <w:rsid w:val="007A7AC3"/>
    <w:rsid w:val="007A7AC4"/>
    <w:rsid w:val="007A7B1B"/>
    <w:rsid w:val="007A7BCB"/>
    <w:rsid w:val="007A7BF7"/>
    <w:rsid w:val="007A7C0A"/>
    <w:rsid w:val="007A7C48"/>
    <w:rsid w:val="007A7CA4"/>
    <w:rsid w:val="007A7D5D"/>
    <w:rsid w:val="007A7D75"/>
    <w:rsid w:val="007A7E16"/>
    <w:rsid w:val="007A7E39"/>
    <w:rsid w:val="007A7E49"/>
    <w:rsid w:val="007A7F1E"/>
    <w:rsid w:val="007A7F4C"/>
    <w:rsid w:val="007A7F86"/>
    <w:rsid w:val="007A7FAB"/>
    <w:rsid w:val="007B0073"/>
    <w:rsid w:val="007B00C6"/>
    <w:rsid w:val="007B00EE"/>
    <w:rsid w:val="007B0103"/>
    <w:rsid w:val="007B012D"/>
    <w:rsid w:val="007B0174"/>
    <w:rsid w:val="007B018F"/>
    <w:rsid w:val="007B0295"/>
    <w:rsid w:val="007B02B3"/>
    <w:rsid w:val="007B02D5"/>
    <w:rsid w:val="007B02FB"/>
    <w:rsid w:val="007B0322"/>
    <w:rsid w:val="007B034C"/>
    <w:rsid w:val="007B0369"/>
    <w:rsid w:val="007B03EA"/>
    <w:rsid w:val="007B04C4"/>
    <w:rsid w:val="007B04F5"/>
    <w:rsid w:val="007B0523"/>
    <w:rsid w:val="007B057E"/>
    <w:rsid w:val="007B0596"/>
    <w:rsid w:val="007B0599"/>
    <w:rsid w:val="007B0626"/>
    <w:rsid w:val="007B0641"/>
    <w:rsid w:val="007B064E"/>
    <w:rsid w:val="007B067A"/>
    <w:rsid w:val="007B0711"/>
    <w:rsid w:val="007B0796"/>
    <w:rsid w:val="007B079A"/>
    <w:rsid w:val="007B07E7"/>
    <w:rsid w:val="007B0808"/>
    <w:rsid w:val="007B0813"/>
    <w:rsid w:val="007B092C"/>
    <w:rsid w:val="007B09E1"/>
    <w:rsid w:val="007B0AD4"/>
    <w:rsid w:val="007B0B0D"/>
    <w:rsid w:val="007B0B4F"/>
    <w:rsid w:val="007B0B59"/>
    <w:rsid w:val="007B0BE5"/>
    <w:rsid w:val="007B0BEA"/>
    <w:rsid w:val="007B0C62"/>
    <w:rsid w:val="007B0C81"/>
    <w:rsid w:val="007B0D2B"/>
    <w:rsid w:val="007B0DEB"/>
    <w:rsid w:val="007B0E8C"/>
    <w:rsid w:val="007B0F17"/>
    <w:rsid w:val="007B0F55"/>
    <w:rsid w:val="007B0F69"/>
    <w:rsid w:val="007B0FBB"/>
    <w:rsid w:val="007B0FD0"/>
    <w:rsid w:val="007B105E"/>
    <w:rsid w:val="007B1195"/>
    <w:rsid w:val="007B123E"/>
    <w:rsid w:val="007B1248"/>
    <w:rsid w:val="007B1273"/>
    <w:rsid w:val="007B1275"/>
    <w:rsid w:val="007B12AE"/>
    <w:rsid w:val="007B12C7"/>
    <w:rsid w:val="007B12EA"/>
    <w:rsid w:val="007B1328"/>
    <w:rsid w:val="007B133E"/>
    <w:rsid w:val="007B13AB"/>
    <w:rsid w:val="007B13F8"/>
    <w:rsid w:val="007B1460"/>
    <w:rsid w:val="007B14EE"/>
    <w:rsid w:val="007B154E"/>
    <w:rsid w:val="007B15D5"/>
    <w:rsid w:val="007B173A"/>
    <w:rsid w:val="007B176E"/>
    <w:rsid w:val="007B17C7"/>
    <w:rsid w:val="007B17CE"/>
    <w:rsid w:val="007B17EC"/>
    <w:rsid w:val="007B1903"/>
    <w:rsid w:val="007B194C"/>
    <w:rsid w:val="007B196E"/>
    <w:rsid w:val="007B197A"/>
    <w:rsid w:val="007B1989"/>
    <w:rsid w:val="007B19B6"/>
    <w:rsid w:val="007B1A2D"/>
    <w:rsid w:val="007B1A4C"/>
    <w:rsid w:val="007B1A8B"/>
    <w:rsid w:val="007B1A8D"/>
    <w:rsid w:val="007B1AFA"/>
    <w:rsid w:val="007B1B2B"/>
    <w:rsid w:val="007B1B4C"/>
    <w:rsid w:val="007B1B98"/>
    <w:rsid w:val="007B1BE0"/>
    <w:rsid w:val="007B1C6E"/>
    <w:rsid w:val="007B1D9F"/>
    <w:rsid w:val="007B1E28"/>
    <w:rsid w:val="007B1E7F"/>
    <w:rsid w:val="007B1EC8"/>
    <w:rsid w:val="007B1EEC"/>
    <w:rsid w:val="007B1F7C"/>
    <w:rsid w:val="007B1F8D"/>
    <w:rsid w:val="007B2095"/>
    <w:rsid w:val="007B2119"/>
    <w:rsid w:val="007B2135"/>
    <w:rsid w:val="007B21A2"/>
    <w:rsid w:val="007B21EE"/>
    <w:rsid w:val="007B2259"/>
    <w:rsid w:val="007B229A"/>
    <w:rsid w:val="007B22BE"/>
    <w:rsid w:val="007B22D6"/>
    <w:rsid w:val="007B231F"/>
    <w:rsid w:val="007B2347"/>
    <w:rsid w:val="007B234E"/>
    <w:rsid w:val="007B2353"/>
    <w:rsid w:val="007B23A0"/>
    <w:rsid w:val="007B23A1"/>
    <w:rsid w:val="007B23EC"/>
    <w:rsid w:val="007B23F5"/>
    <w:rsid w:val="007B247B"/>
    <w:rsid w:val="007B248B"/>
    <w:rsid w:val="007B24BE"/>
    <w:rsid w:val="007B24CB"/>
    <w:rsid w:val="007B251C"/>
    <w:rsid w:val="007B251E"/>
    <w:rsid w:val="007B25DA"/>
    <w:rsid w:val="007B25E0"/>
    <w:rsid w:val="007B263A"/>
    <w:rsid w:val="007B2640"/>
    <w:rsid w:val="007B2682"/>
    <w:rsid w:val="007B2683"/>
    <w:rsid w:val="007B2698"/>
    <w:rsid w:val="007B26D7"/>
    <w:rsid w:val="007B26E5"/>
    <w:rsid w:val="007B2717"/>
    <w:rsid w:val="007B271B"/>
    <w:rsid w:val="007B27AD"/>
    <w:rsid w:val="007B27B0"/>
    <w:rsid w:val="007B2941"/>
    <w:rsid w:val="007B29C4"/>
    <w:rsid w:val="007B29C8"/>
    <w:rsid w:val="007B29F1"/>
    <w:rsid w:val="007B2A1A"/>
    <w:rsid w:val="007B2A2D"/>
    <w:rsid w:val="007B2A48"/>
    <w:rsid w:val="007B2A4A"/>
    <w:rsid w:val="007B2A70"/>
    <w:rsid w:val="007B2B19"/>
    <w:rsid w:val="007B2B34"/>
    <w:rsid w:val="007B2B7B"/>
    <w:rsid w:val="007B2B92"/>
    <w:rsid w:val="007B2C36"/>
    <w:rsid w:val="007B2C4D"/>
    <w:rsid w:val="007B2D97"/>
    <w:rsid w:val="007B2E14"/>
    <w:rsid w:val="007B2E2A"/>
    <w:rsid w:val="007B2E56"/>
    <w:rsid w:val="007B2E63"/>
    <w:rsid w:val="007B2E7E"/>
    <w:rsid w:val="007B2EF7"/>
    <w:rsid w:val="007B2EF8"/>
    <w:rsid w:val="007B2F6A"/>
    <w:rsid w:val="007B2F90"/>
    <w:rsid w:val="007B2F97"/>
    <w:rsid w:val="007B2FA5"/>
    <w:rsid w:val="007B2FA6"/>
    <w:rsid w:val="007B3045"/>
    <w:rsid w:val="007B30CB"/>
    <w:rsid w:val="007B319B"/>
    <w:rsid w:val="007B339F"/>
    <w:rsid w:val="007B33C4"/>
    <w:rsid w:val="007B34A1"/>
    <w:rsid w:val="007B34D3"/>
    <w:rsid w:val="007B35CC"/>
    <w:rsid w:val="007B35FA"/>
    <w:rsid w:val="007B3620"/>
    <w:rsid w:val="007B3628"/>
    <w:rsid w:val="007B363B"/>
    <w:rsid w:val="007B36A0"/>
    <w:rsid w:val="007B3734"/>
    <w:rsid w:val="007B3740"/>
    <w:rsid w:val="007B3787"/>
    <w:rsid w:val="007B380C"/>
    <w:rsid w:val="007B3877"/>
    <w:rsid w:val="007B3893"/>
    <w:rsid w:val="007B3895"/>
    <w:rsid w:val="007B38AB"/>
    <w:rsid w:val="007B38F6"/>
    <w:rsid w:val="007B3910"/>
    <w:rsid w:val="007B393B"/>
    <w:rsid w:val="007B3942"/>
    <w:rsid w:val="007B396C"/>
    <w:rsid w:val="007B3A45"/>
    <w:rsid w:val="007B3A4C"/>
    <w:rsid w:val="007B3AB3"/>
    <w:rsid w:val="007B3AB4"/>
    <w:rsid w:val="007B3B05"/>
    <w:rsid w:val="007B3B27"/>
    <w:rsid w:val="007B3B4B"/>
    <w:rsid w:val="007B3B57"/>
    <w:rsid w:val="007B3BC2"/>
    <w:rsid w:val="007B3BCF"/>
    <w:rsid w:val="007B3C1E"/>
    <w:rsid w:val="007B3C5F"/>
    <w:rsid w:val="007B3C69"/>
    <w:rsid w:val="007B3D23"/>
    <w:rsid w:val="007B3D54"/>
    <w:rsid w:val="007B3D7C"/>
    <w:rsid w:val="007B3E69"/>
    <w:rsid w:val="007B3E7E"/>
    <w:rsid w:val="007B3ECE"/>
    <w:rsid w:val="007B3F0A"/>
    <w:rsid w:val="007B3F0E"/>
    <w:rsid w:val="007B3FB9"/>
    <w:rsid w:val="007B4077"/>
    <w:rsid w:val="007B40BF"/>
    <w:rsid w:val="007B40F6"/>
    <w:rsid w:val="007B413C"/>
    <w:rsid w:val="007B4192"/>
    <w:rsid w:val="007B41CE"/>
    <w:rsid w:val="007B428A"/>
    <w:rsid w:val="007B4301"/>
    <w:rsid w:val="007B4320"/>
    <w:rsid w:val="007B4345"/>
    <w:rsid w:val="007B43CD"/>
    <w:rsid w:val="007B43D9"/>
    <w:rsid w:val="007B445E"/>
    <w:rsid w:val="007B446A"/>
    <w:rsid w:val="007B44E7"/>
    <w:rsid w:val="007B452B"/>
    <w:rsid w:val="007B45AA"/>
    <w:rsid w:val="007B466B"/>
    <w:rsid w:val="007B471A"/>
    <w:rsid w:val="007B48A0"/>
    <w:rsid w:val="007B48BC"/>
    <w:rsid w:val="007B48E1"/>
    <w:rsid w:val="007B499A"/>
    <w:rsid w:val="007B49A9"/>
    <w:rsid w:val="007B4A17"/>
    <w:rsid w:val="007B4A1A"/>
    <w:rsid w:val="007B4AFB"/>
    <w:rsid w:val="007B4B97"/>
    <w:rsid w:val="007B4BB2"/>
    <w:rsid w:val="007B4BBA"/>
    <w:rsid w:val="007B4BEC"/>
    <w:rsid w:val="007B4C7F"/>
    <w:rsid w:val="007B4D11"/>
    <w:rsid w:val="007B4D7B"/>
    <w:rsid w:val="007B4DEF"/>
    <w:rsid w:val="007B4DF9"/>
    <w:rsid w:val="007B4E56"/>
    <w:rsid w:val="007B4E6F"/>
    <w:rsid w:val="007B4E80"/>
    <w:rsid w:val="007B4EE7"/>
    <w:rsid w:val="007B4FE0"/>
    <w:rsid w:val="007B4FFB"/>
    <w:rsid w:val="007B5016"/>
    <w:rsid w:val="007B5027"/>
    <w:rsid w:val="007B5070"/>
    <w:rsid w:val="007B5114"/>
    <w:rsid w:val="007B5197"/>
    <w:rsid w:val="007B524D"/>
    <w:rsid w:val="007B52A5"/>
    <w:rsid w:val="007B52D9"/>
    <w:rsid w:val="007B52E5"/>
    <w:rsid w:val="007B532A"/>
    <w:rsid w:val="007B534D"/>
    <w:rsid w:val="007B5352"/>
    <w:rsid w:val="007B539C"/>
    <w:rsid w:val="007B53B3"/>
    <w:rsid w:val="007B53EF"/>
    <w:rsid w:val="007B5407"/>
    <w:rsid w:val="007B5413"/>
    <w:rsid w:val="007B54FD"/>
    <w:rsid w:val="007B552D"/>
    <w:rsid w:val="007B5558"/>
    <w:rsid w:val="007B556B"/>
    <w:rsid w:val="007B5690"/>
    <w:rsid w:val="007B56A4"/>
    <w:rsid w:val="007B5710"/>
    <w:rsid w:val="007B5765"/>
    <w:rsid w:val="007B5767"/>
    <w:rsid w:val="007B57D1"/>
    <w:rsid w:val="007B582A"/>
    <w:rsid w:val="007B5983"/>
    <w:rsid w:val="007B599C"/>
    <w:rsid w:val="007B59A6"/>
    <w:rsid w:val="007B59DB"/>
    <w:rsid w:val="007B5A28"/>
    <w:rsid w:val="007B5A2E"/>
    <w:rsid w:val="007B5A81"/>
    <w:rsid w:val="007B5B82"/>
    <w:rsid w:val="007B5B97"/>
    <w:rsid w:val="007B5C51"/>
    <w:rsid w:val="007B5C5D"/>
    <w:rsid w:val="007B5CD2"/>
    <w:rsid w:val="007B5D4D"/>
    <w:rsid w:val="007B5DAB"/>
    <w:rsid w:val="007B5E00"/>
    <w:rsid w:val="007B5E86"/>
    <w:rsid w:val="007B5E8B"/>
    <w:rsid w:val="007B5E91"/>
    <w:rsid w:val="007B5ECC"/>
    <w:rsid w:val="007B5F7A"/>
    <w:rsid w:val="007B602D"/>
    <w:rsid w:val="007B60CF"/>
    <w:rsid w:val="007B60DA"/>
    <w:rsid w:val="007B60E5"/>
    <w:rsid w:val="007B612E"/>
    <w:rsid w:val="007B6135"/>
    <w:rsid w:val="007B61E5"/>
    <w:rsid w:val="007B6254"/>
    <w:rsid w:val="007B6262"/>
    <w:rsid w:val="007B6283"/>
    <w:rsid w:val="007B633E"/>
    <w:rsid w:val="007B6358"/>
    <w:rsid w:val="007B635A"/>
    <w:rsid w:val="007B63AB"/>
    <w:rsid w:val="007B6410"/>
    <w:rsid w:val="007B646F"/>
    <w:rsid w:val="007B65F4"/>
    <w:rsid w:val="007B660C"/>
    <w:rsid w:val="007B662A"/>
    <w:rsid w:val="007B6640"/>
    <w:rsid w:val="007B6692"/>
    <w:rsid w:val="007B66A2"/>
    <w:rsid w:val="007B672B"/>
    <w:rsid w:val="007B673D"/>
    <w:rsid w:val="007B67F2"/>
    <w:rsid w:val="007B6843"/>
    <w:rsid w:val="007B686C"/>
    <w:rsid w:val="007B68EA"/>
    <w:rsid w:val="007B6925"/>
    <w:rsid w:val="007B6974"/>
    <w:rsid w:val="007B69D1"/>
    <w:rsid w:val="007B69E2"/>
    <w:rsid w:val="007B6AB0"/>
    <w:rsid w:val="007B6B24"/>
    <w:rsid w:val="007B6B29"/>
    <w:rsid w:val="007B6B6F"/>
    <w:rsid w:val="007B6B9F"/>
    <w:rsid w:val="007B6BB6"/>
    <w:rsid w:val="007B6C0F"/>
    <w:rsid w:val="007B6C81"/>
    <w:rsid w:val="007B6D41"/>
    <w:rsid w:val="007B6D45"/>
    <w:rsid w:val="007B6D63"/>
    <w:rsid w:val="007B6DE3"/>
    <w:rsid w:val="007B6E36"/>
    <w:rsid w:val="007B6E89"/>
    <w:rsid w:val="007B6EB6"/>
    <w:rsid w:val="007B6EE3"/>
    <w:rsid w:val="007B6F33"/>
    <w:rsid w:val="007B6F62"/>
    <w:rsid w:val="007B6F9F"/>
    <w:rsid w:val="007B7058"/>
    <w:rsid w:val="007B7117"/>
    <w:rsid w:val="007B711E"/>
    <w:rsid w:val="007B719A"/>
    <w:rsid w:val="007B71D7"/>
    <w:rsid w:val="007B71E8"/>
    <w:rsid w:val="007B721A"/>
    <w:rsid w:val="007B728B"/>
    <w:rsid w:val="007B7290"/>
    <w:rsid w:val="007B72E4"/>
    <w:rsid w:val="007B732C"/>
    <w:rsid w:val="007B732E"/>
    <w:rsid w:val="007B737C"/>
    <w:rsid w:val="007B7384"/>
    <w:rsid w:val="007B73CC"/>
    <w:rsid w:val="007B73D7"/>
    <w:rsid w:val="007B7412"/>
    <w:rsid w:val="007B7477"/>
    <w:rsid w:val="007B74C0"/>
    <w:rsid w:val="007B7506"/>
    <w:rsid w:val="007B7546"/>
    <w:rsid w:val="007B7578"/>
    <w:rsid w:val="007B75FA"/>
    <w:rsid w:val="007B7669"/>
    <w:rsid w:val="007B7717"/>
    <w:rsid w:val="007B77A3"/>
    <w:rsid w:val="007B77BB"/>
    <w:rsid w:val="007B77D0"/>
    <w:rsid w:val="007B77D3"/>
    <w:rsid w:val="007B77FA"/>
    <w:rsid w:val="007B77FD"/>
    <w:rsid w:val="007B7822"/>
    <w:rsid w:val="007B78A0"/>
    <w:rsid w:val="007B78B3"/>
    <w:rsid w:val="007B78F5"/>
    <w:rsid w:val="007B7908"/>
    <w:rsid w:val="007B7924"/>
    <w:rsid w:val="007B7930"/>
    <w:rsid w:val="007B7947"/>
    <w:rsid w:val="007B7B48"/>
    <w:rsid w:val="007B7C85"/>
    <w:rsid w:val="007B7CB5"/>
    <w:rsid w:val="007B7D18"/>
    <w:rsid w:val="007B7D61"/>
    <w:rsid w:val="007B7E6B"/>
    <w:rsid w:val="007B7E86"/>
    <w:rsid w:val="007B7E98"/>
    <w:rsid w:val="007B7E9D"/>
    <w:rsid w:val="007B7EC3"/>
    <w:rsid w:val="007B7F1C"/>
    <w:rsid w:val="007B7F29"/>
    <w:rsid w:val="007B7F48"/>
    <w:rsid w:val="007B7F87"/>
    <w:rsid w:val="007C0040"/>
    <w:rsid w:val="007C0072"/>
    <w:rsid w:val="007C0084"/>
    <w:rsid w:val="007C0128"/>
    <w:rsid w:val="007C0199"/>
    <w:rsid w:val="007C028D"/>
    <w:rsid w:val="007C0318"/>
    <w:rsid w:val="007C031F"/>
    <w:rsid w:val="007C0393"/>
    <w:rsid w:val="007C03CC"/>
    <w:rsid w:val="007C041B"/>
    <w:rsid w:val="007C043B"/>
    <w:rsid w:val="007C04A6"/>
    <w:rsid w:val="007C054D"/>
    <w:rsid w:val="007C056F"/>
    <w:rsid w:val="007C059F"/>
    <w:rsid w:val="007C0601"/>
    <w:rsid w:val="007C0606"/>
    <w:rsid w:val="007C061E"/>
    <w:rsid w:val="007C0622"/>
    <w:rsid w:val="007C0636"/>
    <w:rsid w:val="007C064A"/>
    <w:rsid w:val="007C068A"/>
    <w:rsid w:val="007C06CF"/>
    <w:rsid w:val="007C06E6"/>
    <w:rsid w:val="007C073E"/>
    <w:rsid w:val="007C074F"/>
    <w:rsid w:val="007C084E"/>
    <w:rsid w:val="007C08CD"/>
    <w:rsid w:val="007C0989"/>
    <w:rsid w:val="007C098C"/>
    <w:rsid w:val="007C098E"/>
    <w:rsid w:val="007C0A14"/>
    <w:rsid w:val="007C0A20"/>
    <w:rsid w:val="007C0A85"/>
    <w:rsid w:val="007C0AEC"/>
    <w:rsid w:val="007C0AFF"/>
    <w:rsid w:val="007C0B2F"/>
    <w:rsid w:val="007C0B41"/>
    <w:rsid w:val="007C0B46"/>
    <w:rsid w:val="007C0B7E"/>
    <w:rsid w:val="007C0BA6"/>
    <w:rsid w:val="007C0BEA"/>
    <w:rsid w:val="007C0C20"/>
    <w:rsid w:val="007C0C77"/>
    <w:rsid w:val="007C0CB9"/>
    <w:rsid w:val="007C0CEC"/>
    <w:rsid w:val="007C0D57"/>
    <w:rsid w:val="007C0E1B"/>
    <w:rsid w:val="007C0E3C"/>
    <w:rsid w:val="007C0E57"/>
    <w:rsid w:val="007C0F53"/>
    <w:rsid w:val="007C0FBF"/>
    <w:rsid w:val="007C1096"/>
    <w:rsid w:val="007C10C8"/>
    <w:rsid w:val="007C10EA"/>
    <w:rsid w:val="007C115A"/>
    <w:rsid w:val="007C1168"/>
    <w:rsid w:val="007C11AF"/>
    <w:rsid w:val="007C139B"/>
    <w:rsid w:val="007C13D0"/>
    <w:rsid w:val="007C13D7"/>
    <w:rsid w:val="007C14BA"/>
    <w:rsid w:val="007C155C"/>
    <w:rsid w:val="007C1580"/>
    <w:rsid w:val="007C15C8"/>
    <w:rsid w:val="007C15EF"/>
    <w:rsid w:val="007C15F1"/>
    <w:rsid w:val="007C15F9"/>
    <w:rsid w:val="007C1613"/>
    <w:rsid w:val="007C1653"/>
    <w:rsid w:val="007C165E"/>
    <w:rsid w:val="007C16A8"/>
    <w:rsid w:val="007C16CD"/>
    <w:rsid w:val="007C1723"/>
    <w:rsid w:val="007C17C2"/>
    <w:rsid w:val="007C17D1"/>
    <w:rsid w:val="007C17ED"/>
    <w:rsid w:val="007C17F7"/>
    <w:rsid w:val="007C17F8"/>
    <w:rsid w:val="007C180D"/>
    <w:rsid w:val="007C183C"/>
    <w:rsid w:val="007C1845"/>
    <w:rsid w:val="007C189D"/>
    <w:rsid w:val="007C18CE"/>
    <w:rsid w:val="007C1924"/>
    <w:rsid w:val="007C1936"/>
    <w:rsid w:val="007C197A"/>
    <w:rsid w:val="007C1999"/>
    <w:rsid w:val="007C19FA"/>
    <w:rsid w:val="007C1A1E"/>
    <w:rsid w:val="007C1A6A"/>
    <w:rsid w:val="007C1AC9"/>
    <w:rsid w:val="007C1B79"/>
    <w:rsid w:val="007C1C0B"/>
    <w:rsid w:val="007C1C14"/>
    <w:rsid w:val="007C1C6E"/>
    <w:rsid w:val="007C1CA6"/>
    <w:rsid w:val="007C1CDB"/>
    <w:rsid w:val="007C1CEF"/>
    <w:rsid w:val="007C1D70"/>
    <w:rsid w:val="007C1D75"/>
    <w:rsid w:val="007C1D87"/>
    <w:rsid w:val="007C1DE0"/>
    <w:rsid w:val="007C1DF3"/>
    <w:rsid w:val="007C1E20"/>
    <w:rsid w:val="007C1EB0"/>
    <w:rsid w:val="007C1F5D"/>
    <w:rsid w:val="007C1FBC"/>
    <w:rsid w:val="007C1FD4"/>
    <w:rsid w:val="007C2049"/>
    <w:rsid w:val="007C2087"/>
    <w:rsid w:val="007C20C2"/>
    <w:rsid w:val="007C20F1"/>
    <w:rsid w:val="007C20F2"/>
    <w:rsid w:val="007C217C"/>
    <w:rsid w:val="007C217F"/>
    <w:rsid w:val="007C21BA"/>
    <w:rsid w:val="007C21CD"/>
    <w:rsid w:val="007C2227"/>
    <w:rsid w:val="007C223E"/>
    <w:rsid w:val="007C2243"/>
    <w:rsid w:val="007C229C"/>
    <w:rsid w:val="007C2308"/>
    <w:rsid w:val="007C2390"/>
    <w:rsid w:val="007C2393"/>
    <w:rsid w:val="007C239D"/>
    <w:rsid w:val="007C2483"/>
    <w:rsid w:val="007C24B5"/>
    <w:rsid w:val="007C24E8"/>
    <w:rsid w:val="007C24FC"/>
    <w:rsid w:val="007C258E"/>
    <w:rsid w:val="007C25DF"/>
    <w:rsid w:val="007C264E"/>
    <w:rsid w:val="007C26AD"/>
    <w:rsid w:val="007C272C"/>
    <w:rsid w:val="007C277A"/>
    <w:rsid w:val="007C27FA"/>
    <w:rsid w:val="007C289D"/>
    <w:rsid w:val="007C28AF"/>
    <w:rsid w:val="007C2985"/>
    <w:rsid w:val="007C29E2"/>
    <w:rsid w:val="007C29F0"/>
    <w:rsid w:val="007C2A0F"/>
    <w:rsid w:val="007C2B4B"/>
    <w:rsid w:val="007C2BEE"/>
    <w:rsid w:val="007C2BFC"/>
    <w:rsid w:val="007C2C0D"/>
    <w:rsid w:val="007C2C5A"/>
    <w:rsid w:val="007C2CCC"/>
    <w:rsid w:val="007C2CF3"/>
    <w:rsid w:val="007C2D25"/>
    <w:rsid w:val="007C2D56"/>
    <w:rsid w:val="007C2D6D"/>
    <w:rsid w:val="007C2E77"/>
    <w:rsid w:val="007C2EC6"/>
    <w:rsid w:val="007C2EDE"/>
    <w:rsid w:val="007C2EEE"/>
    <w:rsid w:val="007C2EEF"/>
    <w:rsid w:val="007C2F3E"/>
    <w:rsid w:val="007C2F4D"/>
    <w:rsid w:val="007C2F5F"/>
    <w:rsid w:val="007C2F71"/>
    <w:rsid w:val="007C2F8B"/>
    <w:rsid w:val="007C2FAD"/>
    <w:rsid w:val="007C2FD1"/>
    <w:rsid w:val="007C3084"/>
    <w:rsid w:val="007C3118"/>
    <w:rsid w:val="007C3122"/>
    <w:rsid w:val="007C314E"/>
    <w:rsid w:val="007C31BA"/>
    <w:rsid w:val="007C31C6"/>
    <w:rsid w:val="007C31EB"/>
    <w:rsid w:val="007C3260"/>
    <w:rsid w:val="007C327E"/>
    <w:rsid w:val="007C32EA"/>
    <w:rsid w:val="007C32F6"/>
    <w:rsid w:val="007C332A"/>
    <w:rsid w:val="007C33EE"/>
    <w:rsid w:val="007C3436"/>
    <w:rsid w:val="007C344D"/>
    <w:rsid w:val="007C348C"/>
    <w:rsid w:val="007C34F9"/>
    <w:rsid w:val="007C34FA"/>
    <w:rsid w:val="007C353C"/>
    <w:rsid w:val="007C3599"/>
    <w:rsid w:val="007C35E9"/>
    <w:rsid w:val="007C3680"/>
    <w:rsid w:val="007C36D3"/>
    <w:rsid w:val="007C37B4"/>
    <w:rsid w:val="007C3815"/>
    <w:rsid w:val="007C388D"/>
    <w:rsid w:val="007C38A7"/>
    <w:rsid w:val="007C3925"/>
    <w:rsid w:val="007C3929"/>
    <w:rsid w:val="007C3965"/>
    <w:rsid w:val="007C396A"/>
    <w:rsid w:val="007C39F4"/>
    <w:rsid w:val="007C3AB9"/>
    <w:rsid w:val="007C3B3C"/>
    <w:rsid w:val="007C3BD6"/>
    <w:rsid w:val="007C3C41"/>
    <w:rsid w:val="007C3C76"/>
    <w:rsid w:val="007C3CD0"/>
    <w:rsid w:val="007C3D31"/>
    <w:rsid w:val="007C3D4F"/>
    <w:rsid w:val="007C3DCA"/>
    <w:rsid w:val="007C3E1D"/>
    <w:rsid w:val="007C3E38"/>
    <w:rsid w:val="007C3EB4"/>
    <w:rsid w:val="007C3ED8"/>
    <w:rsid w:val="007C3EF2"/>
    <w:rsid w:val="007C3F83"/>
    <w:rsid w:val="007C3F96"/>
    <w:rsid w:val="007C3FC8"/>
    <w:rsid w:val="007C3FD2"/>
    <w:rsid w:val="007C4030"/>
    <w:rsid w:val="007C405A"/>
    <w:rsid w:val="007C408F"/>
    <w:rsid w:val="007C4093"/>
    <w:rsid w:val="007C40DC"/>
    <w:rsid w:val="007C4116"/>
    <w:rsid w:val="007C415D"/>
    <w:rsid w:val="007C41B3"/>
    <w:rsid w:val="007C41CD"/>
    <w:rsid w:val="007C4212"/>
    <w:rsid w:val="007C42AC"/>
    <w:rsid w:val="007C435E"/>
    <w:rsid w:val="007C4448"/>
    <w:rsid w:val="007C4465"/>
    <w:rsid w:val="007C4496"/>
    <w:rsid w:val="007C44D7"/>
    <w:rsid w:val="007C453A"/>
    <w:rsid w:val="007C45CD"/>
    <w:rsid w:val="007C46CB"/>
    <w:rsid w:val="007C4755"/>
    <w:rsid w:val="007C47DE"/>
    <w:rsid w:val="007C483B"/>
    <w:rsid w:val="007C487C"/>
    <w:rsid w:val="007C4887"/>
    <w:rsid w:val="007C4928"/>
    <w:rsid w:val="007C4970"/>
    <w:rsid w:val="007C49A2"/>
    <w:rsid w:val="007C49C2"/>
    <w:rsid w:val="007C49CF"/>
    <w:rsid w:val="007C4A13"/>
    <w:rsid w:val="007C4A21"/>
    <w:rsid w:val="007C4A22"/>
    <w:rsid w:val="007C4A4A"/>
    <w:rsid w:val="007C4A83"/>
    <w:rsid w:val="007C4AD4"/>
    <w:rsid w:val="007C4B06"/>
    <w:rsid w:val="007C4B48"/>
    <w:rsid w:val="007C4B6A"/>
    <w:rsid w:val="007C4BC1"/>
    <w:rsid w:val="007C4BFE"/>
    <w:rsid w:val="007C4C04"/>
    <w:rsid w:val="007C4C0D"/>
    <w:rsid w:val="007C4C63"/>
    <w:rsid w:val="007C4CA7"/>
    <w:rsid w:val="007C4D0A"/>
    <w:rsid w:val="007C4D9A"/>
    <w:rsid w:val="007C4DA8"/>
    <w:rsid w:val="007C4DD6"/>
    <w:rsid w:val="007C4E24"/>
    <w:rsid w:val="007C4E69"/>
    <w:rsid w:val="007C4FAC"/>
    <w:rsid w:val="007C4FB9"/>
    <w:rsid w:val="007C4FCC"/>
    <w:rsid w:val="007C4FDA"/>
    <w:rsid w:val="007C4FF2"/>
    <w:rsid w:val="007C500A"/>
    <w:rsid w:val="007C502A"/>
    <w:rsid w:val="007C502D"/>
    <w:rsid w:val="007C5043"/>
    <w:rsid w:val="007C504C"/>
    <w:rsid w:val="007C511C"/>
    <w:rsid w:val="007C5140"/>
    <w:rsid w:val="007C51A0"/>
    <w:rsid w:val="007C51CC"/>
    <w:rsid w:val="007C51D6"/>
    <w:rsid w:val="007C5219"/>
    <w:rsid w:val="007C521A"/>
    <w:rsid w:val="007C5239"/>
    <w:rsid w:val="007C5254"/>
    <w:rsid w:val="007C52A3"/>
    <w:rsid w:val="007C52CD"/>
    <w:rsid w:val="007C52E5"/>
    <w:rsid w:val="007C537D"/>
    <w:rsid w:val="007C5386"/>
    <w:rsid w:val="007C53FB"/>
    <w:rsid w:val="007C540E"/>
    <w:rsid w:val="007C5467"/>
    <w:rsid w:val="007C5476"/>
    <w:rsid w:val="007C54C4"/>
    <w:rsid w:val="007C550C"/>
    <w:rsid w:val="007C55AF"/>
    <w:rsid w:val="007C55B7"/>
    <w:rsid w:val="007C564D"/>
    <w:rsid w:val="007C5699"/>
    <w:rsid w:val="007C56CE"/>
    <w:rsid w:val="007C56E8"/>
    <w:rsid w:val="007C571D"/>
    <w:rsid w:val="007C578A"/>
    <w:rsid w:val="007C57AA"/>
    <w:rsid w:val="007C57E3"/>
    <w:rsid w:val="007C5842"/>
    <w:rsid w:val="007C58C1"/>
    <w:rsid w:val="007C5949"/>
    <w:rsid w:val="007C5965"/>
    <w:rsid w:val="007C59E7"/>
    <w:rsid w:val="007C59ED"/>
    <w:rsid w:val="007C5A3F"/>
    <w:rsid w:val="007C5A4E"/>
    <w:rsid w:val="007C5AAD"/>
    <w:rsid w:val="007C5ABC"/>
    <w:rsid w:val="007C5B1B"/>
    <w:rsid w:val="007C5C11"/>
    <w:rsid w:val="007C5C94"/>
    <w:rsid w:val="007C5D0A"/>
    <w:rsid w:val="007C5D19"/>
    <w:rsid w:val="007C5D1E"/>
    <w:rsid w:val="007C5D5A"/>
    <w:rsid w:val="007C5D81"/>
    <w:rsid w:val="007C5D88"/>
    <w:rsid w:val="007C5DD0"/>
    <w:rsid w:val="007C5DF7"/>
    <w:rsid w:val="007C5E4E"/>
    <w:rsid w:val="007C5E58"/>
    <w:rsid w:val="007C5E63"/>
    <w:rsid w:val="007C5EA7"/>
    <w:rsid w:val="007C5F44"/>
    <w:rsid w:val="007C5F4F"/>
    <w:rsid w:val="007C5F85"/>
    <w:rsid w:val="007C5FEC"/>
    <w:rsid w:val="007C6094"/>
    <w:rsid w:val="007C60BD"/>
    <w:rsid w:val="007C6110"/>
    <w:rsid w:val="007C6111"/>
    <w:rsid w:val="007C6152"/>
    <w:rsid w:val="007C6199"/>
    <w:rsid w:val="007C61B2"/>
    <w:rsid w:val="007C61C4"/>
    <w:rsid w:val="007C61F5"/>
    <w:rsid w:val="007C61FA"/>
    <w:rsid w:val="007C6215"/>
    <w:rsid w:val="007C6227"/>
    <w:rsid w:val="007C6347"/>
    <w:rsid w:val="007C63AF"/>
    <w:rsid w:val="007C63D0"/>
    <w:rsid w:val="007C6410"/>
    <w:rsid w:val="007C6413"/>
    <w:rsid w:val="007C646A"/>
    <w:rsid w:val="007C6472"/>
    <w:rsid w:val="007C653C"/>
    <w:rsid w:val="007C6553"/>
    <w:rsid w:val="007C6588"/>
    <w:rsid w:val="007C65E9"/>
    <w:rsid w:val="007C65FA"/>
    <w:rsid w:val="007C6611"/>
    <w:rsid w:val="007C6658"/>
    <w:rsid w:val="007C6666"/>
    <w:rsid w:val="007C668A"/>
    <w:rsid w:val="007C674B"/>
    <w:rsid w:val="007C674E"/>
    <w:rsid w:val="007C67AF"/>
    <w:rsid w:val="007C67BB"/>
    <w:rsid w:val="007C67F5"/>
    <w:rsid w:val="007C682D"/>
    <w:rsid w:val="007C686A"/>
    <w:rsid w:val="007C68EA"/>
    <w:rsid w:val="007C6925"/>
    <w:rsid w:val="007C6928"/>
    <w:rsid w:val="007C6948"/>
    <w:rsid w:val="007C697E"/>
    <w:rsid w:val="007C69AF"/>
    <w:rsid w:val="007C69B8"/>
    <w:rsid w:val="007C69CD"/>
    <w:rsid w:val="007C69D6"/>
    <w:rsid w:val="007C6AAE"/>
    <w:rsid w:val="007C6AAF"/>
    <w:rsid w:val="007C6ABC"/>
    <w:rsid w:val="007C6AC6"/>
    <w:rsid w:val="007C6AD8"/>
    <w:rsid w:val="007C6B4D"/>
    <w:rsid w:val="007C6C4C"/>
    <w:rsid w:val="007C6CB4"/>
    <w:rsid w:val="007C6CFB"/>
    <w:rsid w:val="007C6D0F"/>
    <w:rsid w:val="007C6D39"/>
    <w:rsid w:val="007C6DD8"/>
    <w:rsid w:val="007C6DEC"/>
    <w:rsid w:val="007C6E4D"/>
    <w:rsid w:val="007C6ED5"/>
    <w:rsid w:val="007C6F8A"/>
    <w:rsid w:val="007C6F9F"/>
    <w:rsid w:val="007C6FF3"/>
    <w:rsid w:val="007C6FF8"/>
    <w:rsid w:val="007C705B"/>
    <w:rsid w:val="007C7075"/>
    <w:rsid w:val="007C709B"/>
    <w:rsid w:val="007C70C3"/>
    <w:rsid w:val="007C70F6"/>
    <w:rsid w:val="007C7154"/>
    <w:rsid w:val="007C7248"/>
    <w:rsid w:val="007C725F"/>
    <w:rsid w:val="007C72C9"/>
    <w:rsid w:val="007C734F"/>
    <w:rsid w:val="007C736B"/>
    <w:rsid w:val="007C73B2"/>
    <w:rsid w:val="007C7448"/>
    <w:rsid w:val="007C7464"/>
    <w:rsid w:val="007C74BF"/>
    <w:rsid w:val="007C7507"/>
    <w:rsid w:val="007C7595"/>
    <w:rsid w:val="007C75BC"/>
    <w:rsid w:val="007C75FB"/>
    <w:rsid w:val="007C76BD"/>
    <w:rsid w:val="007C76DC"/>
    <w:rsid w:val="007C7724"/>
    <w:rsid w:val="007C7728"/>
    <w:rsid w:val="007C7775"/>
    <w:rsid w:val="007C778D"/>
    <w:rsid w:val="007C7808"/>
    <w:rsid w:val="007C782B"/>
    <w:rsid w:val="007C7834"/>
    <w:rsid w:val="007C7843"/>
    <w:rsid w:val="007C7875"/>
    <w:rsid w:val="007C7878"/>
    <w:rsid w:val="007C7889"/>
    <w:rsid w:val="007C791A"/>
    <w:rsid w:val="007C796A"/>
    <w:rsid w:val="007C79A8"/>
    <w:rsid w:val="007C7AC8"/>
    <w:rsid w:val="007C7AE4"/>
    <w:rsid w:val="007C7AE9"/>
    <w:rsid w:val="007C7B7B"/>
    <w:rsid w:val="007C7C25"/>
    <w:rsid w:val="007C7C31"/>
    <w:rsid w:val="007C7D5A"/>
    <w:rsid w:val="007C7D77"/>
    <w:rsid w:val="007C7D83"/>
    <w:rsid w:val="007C7DE1"/>
    <w:rsid w:val="007C7E15"/>
    <w:rsid w:val="007C7E73"/>
    <w:rsid w:val="007C7E74"/>
    <w:rsid w:val="007C7EBE"/>
    <w:rsid w:val="007C7EF4"/>
    <w:rsid w:val="007C7F05"/>
    <w:rsid w:val="007C7F3C"/>
    <w:rsid w:val="007D0008"/>
    <w:rsid w:val="007D0036"/>
    <w:rsid w:val="007D00BE"/>
    <w:rsid w:val="007D0125"/>
    <w:rsid w:val="007D0181"/>
    <w:rsid w:val="007D019A"/>
    <w:rsid w:val="007D0217"/>
    <w:rsid w:val="007D02A9"/>
    <w:rsid w:val="007D0383"/>
    <w:rsid w:val="007D03CF"/>
    <w:rsid w:val="007D03D9"/>
    <w:rsid w:val="007D0418"/>
    <w:rsid w:val="007D04BE"/>
    <w:rsid w:val="007D0552"/>
    <w:rsid w:val="007D0599"/>
    <w:rsid w:val="007D05D4"/>
    <w:rsid w:val="007D067A"/>
    <w:rsid w:val="007D0681"/>
    <w:rsid w:val="007D0685"/>
    <w:rsid w:val="007D06F6"/>
    <w:rsid w:val="007D0716"/>
    <w:rsid w:val="007D0775"/>
    <w:rsid w:val="007D07EF"/>
    <w:rsid w:val="007D08AB"/>
    <w:rsid w:val="007D08AD"/>
    <w:rsid w:val="007D0966"/>
    <w:rsid w:val="007D0991"/>
    <w:rsid w:val="007D0995"/>
    <w:rsid w:val="007D09C9"/>
    <w:rsid w:val="007D09CB"/>
    <w:rsid w:val="007D09E0"/>
    <w:rsid w:val="007D0A21"/>
    <w:rsid w:val="007D0AB0"/>
    <w:rsid w:val="007D0AC5"/>
    <w:rsid w:val="007D0B1C"/>
    <w:rsid w:val="007D0B29"/>
    <w:rsid w:val="007D0B45"/>
    <w:rsid w:val="007D0B5E"/>
    <w:rsid w:val="007D0B9A"/>
    <w:rsid w:val="007D0BCC"/>
    <w:rsid w:val="007D0BEC"/>
    <w:rsid w:val="007D0C6D"/>
    <w:rsid w:val="007D0C6E"/>
    <w:rsid w:val="007D0C91"/>
    <w:rsid w:val="007D0CDD"/>
    <w:rsid w:val="007D0CF1"/>
    <w:rsid w:val="007D0D00"/>
    <w:rsid w:val="007D0DD5"/>
    <w:rsid w:val="007D0E0D"/>
    <w:rsid w:val="007D0E31"/>
    <w:rsid w:val="007D0E3C"/>
    <w:rsid w:val="007D0E51"/>
    <w:rsid w:val="007D0EDC"/>
    <w:rsid w:val="007D0F0C"/>
    <w:rsid w:val="007D0FBD"/>
    <w:rsid w:val="007D0FD9"/>
    <w:rsid w:val="007D1040"/>
    <w:rsid w:val="007D10EB"/>
    <w:rsid w:val="007D1107"/>
    <w:rsid w:val="007D1169"/>
    <w:rsid w:val="007D1225"/>
    <w:rsid w:val="007D122C"/>
    <w:rsid w:val="007D124F"/>
    <w:rsid w:val="007D1307"/>
    <w:rsid w:val="007D1340"/>
    <w:rsid w:val="007D1372"/>
    <w:rsid w:val="007D1382"/>
    <w:rsid w:val="007D13A1"/>
    <w:rsid w:val="007D1481"/>
    <w:rsid w:val="007D14AC"/>
    <w:rsid w:val="007D14BE"/>
    <w:rsid w:val="007D1504"/>
    <w:rsid w:val="007D1511"/>
    <w:rsid w:val="007D1614"/>
    <w:rsid w:val="007D1631"/>
    <w:rsid w:val="007D1683"/>
    <w:rsid w:val="007D1701"/>
    <w:rsid w:val="007D173E"/>
    <w:rsid w:val="007D1785"/>
    <w:rsid w:val="007D17B2"/>
    <w:rsid w:val="007D17F2"/>
    <w:rsid w:val="007D18D6"/>
    <w:rsid w:val="007D1902"/>
    <w:rsid w:val="007D191D"/>
    <w:rsid w:val="007D1934"/>
    <w:rsid w:val="007D1975"/>
    <w:rsid w:val="007D1A11"/>
    <w:rsid w:val="007D1A9C"/>
    <w:rsid w:val="007D1A9E"/>
    <w:rsid w:val="007D1AB0"/>
    <w:rsid w:val="007D1B39"/>
    <w:rsid w:val="007D1B6F"/>
    <w:rsid w:val="007D1BAF"/>
    <w:rsid w:val="007D1BCC"/>
    <w:rsid w:val="007D1C83"/>
    <w:rsid w:val="007D1C8D"/>
    <w:rsid w:val="007D1CDA"/>
    <w:rsid w:val="007D1CE1"/>
    <w:rsid w:val="007D1CEA"/>
    <w:rsid w:val="007D1D13"/>
    <w:rsid w:val="007D1D39"/>
    <w:rsid w:val="007D1D40"/>
    <w:rsid w:val="007D1D97"/>
    <w:rsid w:val="007D1DD1"/>
    <w:rsid w:val="007D1E00"/>
    <w:rsid w:val="007D1EA5"/>
    <w:rsid w:val="007D1EF7"/>
    <w:rsid w:val="007D1F1A"/>
    <w:rsid w:val="007D2036"/>
    <w:rsid w:val="007D2040"/>
    <w:rsid w:val="007D204E"/>
    <w:rsid w:val="007D20A6"/>
    <w:rsid w:val="007D2163"/>
    <w:rsid w:val="007D217E"/>
    <w:rsid w:val="007D2285"/>
    <w:rsid w:val="007D234E"/>
    <w:rsid w:val="007D2394"/>
    <w:rsid w:val="007D23DE"/>
    <w:rsid w:val="007D23F2"/>
    <w:rsid w:val="007D2420"/>
    <w:rsid w:val="007D245B"/>
    <w:rsid w:val="007D2498"/>
    <w:rsid w:val="007D24BD"/>
    <w:rsid w:val="007D24C8"/>
    <w:rsid w:val="007D24E2"/>
    <w:rsid w:val="007D252A"/>
    <w:rsid w:val="007D2581"/>
    <w:rsid w:val="007D2598"/>
    <w:rsid w:val="007D25B8"/>
    <w:rsid w:val="007D25D1"/>
    <w:rsid w:val="007D260B"/>
    <w:rsid w:val="007D2633"/>
    <w:rsid w:val="007D2647"/>
    <w:rsid w:val="007D266A"/>
    <w:rsid w:val="007D26E2"/>
    <w:rsid w:val="007D279B"/>
    <w:rsid w:val="007D2834"/>
    <w:rsid w:val="007D2835"/>
    <w:rsid w:val="007D283C"/>
    <w:rsid w:val="007D2882"/>
    <w:rsid w:val="007D2886"/>
    <w:rsid w:val="007D2958"/>
    <w:rsid w:val="007D29DC"/>
    <w:rsid w:val="007D29FF"/>
    <w:rsid w:val="007D2A55"/>
    <w:rsid w:val="007D2A74"/>
    <w:rsid w:val="007D2A75"/>
    <w:rsid w:val="007D2A7B"/>
    <w:rsid w:val="007D2AE9"/>
    <w:rsid w:val="007D2B03"/>
    <w:rsid w:val="007D2B41"/>
    <w:rsid w:val="007D2B4F"/>
    <w:rsid w:val="007D2B96"/>
    <w:rsid w:val="007D2BCF"/>
    <w:rsid w:val="007D2BD7"/>
    <w:rsid w:val="007D2BE5"/>
    <w:rsid w:val="007D2C71"/>
    <w:rsid w:val="007D2C9F"/>
    <w:rsid w:val="007D2D17"/>
    <w:rsid w:val="007D2E36"/>
    <w:rsid w:val="007D2E3F"/>
    <w:rsid w:val="007D2E7D"/>
    <w:rsid w:val="007D2EED"/>
    <w:rsid w:val="007D2F06"/>
    <w:rsid w:val="007D2F0A"/>
    <w:rsid w:val="007D2F5A"/>
    <w:rsid w:val="007D309E"/>
    <w:rsid w:val="007D30CB"/>
    <w:rsid w:val="007D310E"/>
    <w:rsid w:val="007D312A"/>
    <w:rsid w:val="007D314D"/>
    <w:rsid w:val="007D31C2"/>
    <w:rsid w:val="007D31D6"/>
    <w:rsid w:val="007D329D"/>
    <w:rsid w:val="007D329E"/>
    <w:rsid w:val="007D3321"/>
    <w:rsid w:val="007D3357"/>
    <w:rsid w:val="007D3373"/>
    <w:rsid w:val="007D33EA"/>
    <w:rsid w:val="007D3434"/>
    <w:rsid w:val="007D34F3"/>
    <w:rsid w:val="007D35B4"/>
    <w:rsid w:val="007D35E0"/>
    <w:rsid w:val="007D362A"/>
    <w:rsid w:val="007D366E"/>
    <w:rsid w:val="007D3682"/>
    <w:rsid w:val="007D3690"/>
    <w:rsid w:val="007D36EB"/>
    <w:rsid w:val="007D37E8"/>
    <w:rsid w:val="007D3845"/>
    <w:rsid w:val="007D3883"/>
    <w:rsid w:val="007D38AB"/>
    <w:rsid w:val="007D38C0"/>
    <w:rsid w:val="007D38CD"/>
    <w:rsid w:val="007D399C"/>
    <w:rsid w:val="007D39AB"/>
    <w:rsid w:val="007D39B0"/>
    <w:rsid w:val="007D3A31"/>
    <w:rsid w:val="007D3A64"/>
    <w:rsid w:val="007D3A79"/>
    <w:rsid w:val="007D3ABE"/>
    <w:rsid w:val="007D3AEB"/>
    <w:rsid w:val="007D3AFF"/>
    <w:rsid w:val="007D3B84"/>
    <w:rsid w:val="007D3B96"/>
    <w:rsid w:val="007D3BA0"/>
    <w:rsid w:val="007D3BBF"/>
    <w:rsid w:val="007D3C60"/>
    <w:rsid w:val="007D3C65"/>
    <w:rsid w:val="007D3D18"/>
    <w:rsid w:val="007D3D22"/>
    <w:rsid w:val="007D3D3B"/>
    <w:rsid w:val="007D3D85"/>
    <w:rsid w:val="007D3DBA"/>
    <w:rsid w:val="007D3DD1"/>
    <w:rsid w:val="007D3DD3"/>
    <w:rsid w:val="007D3E17"/>
    <w:rsid w:val="007D3EC5"/>
    <w:rsid w:val="007D3F48"/>
    <w:rsid w:val="007D3F83"/>
    <w:rsid w:val="007D3FB5"/>
    <w:rsid w:val="007D3FC3"/>
    <w:rsid w:val="007D40F3"/>
    <w:rsid w:val="007D4108"/>
    <w:rsid w:val="007D415F"/>
    <w:rsid w:val="007D4196"/>
    <w:rsid w:val="007D4259"/>
    <w:rsid w:val="007D42AC"/>
    <w:rsid w:val="007D42B8"/>
    <w:rsid w:val="007D42B9"/>
    <w:rsid w:val="007D433B"/>
    <w:rsid w:val="007D43B5"/>
    <w:rsid w:val="007D43B8"/>
    <w:rsid w:val="007D43ED"/>
    <w:rsid w:val="007D443C"/>
    <w:rsid w:val="007D4459"/>
    <w:rsid w:val="007D4497"/>
    <w:rsid w:val="007D44D4"/>
    <w:rsid w:val="007D459C"/>
    <w:rsid w:val="007D45F1"/>
    <w:rsid w:val="007D4625"/>
    <w:rsid w:val="007D4713"/>
    <w:rsid w:val="007D47C5"/>
    <w:rsid w:val="007D4836"/>
    <w:rsid w:val="007D48AF"/>
    <w:rsid w:val="007D48B7"/>
    <w:rsid w:val="007D4966"/>
    <w:rsid w:val="007D4996"/>
    <w:rsid w:val="007D49A4"/>
    <w:rsid w:val="007D49ED"/>
    <w:rsid w:val="007D49FD"/>
    <w:rsid w:val="007D4A3C"/>
    <w:rsid w:val="007D4AF2"/>
    <w:rsid w:val="007D4AFC"/>
    <w:rsid w:val="007D4B7D"/>
    <w:rsid w:val="007D4B9F"/>
    <w:rsid w:val="007D4CE2"/>
    <w:rsid w:val="007D4D22"/>
    <w:rsid w:val="007D4F3F"/>
    <w:rsid w:val="007D4F97"/>
    <w:rsid w:val="007D4FE4"/>
    <w:rsid w:val="007D5007"/>
    <w:rsid w:val="007D5011"/>
    <w:rsid w:val="007D5032"/>
    <w:rsid w:val="007D5050"/>
    <w:rsid w:val="007D5063"/>
    <w:rsid w:val="007D5098"/>
    <w:rsid w:val="007D5134"/>
    <w:rsid w:val="007D514B"/>
    <w:rsid w:val="007D5172"/>
    <w:rsid w:val="007D521F"/>
    <w:rsid w:val="007D52BE"/>
    <w:rsid w:val="007D532F"/>
    <w:rsid w:val="007D53B4"/>
    <w:rsid w:val="007D53C5"/>
    <w:rsid w:val="007D544E"/>
    <w:rsid w:val="007D5490"/>
    <w:rsid w:val="007D54B9"/>
    <w:rsid w:val="007D5501"/>
    <w:rsid w:val="007D55AB"/>
    <w:rsid w:val="007D5622"/>
    <w:rsid w:val="007D5634"/>
    <w:rsid w:val="007D5640"/>
    <w:rsid w:val="007D5679"/>
    <w:rsid w:val="007D569F"/>
    <w:rsid w:val="007D56A7"/>
    <w:rsid w:val="007D5720"/>
    <w:rsid w:val="007D573F"/>
    <w:rsid w:val="007D579B"/>
    <w:rsid w:val="007D5861"/>
    <w:rsid w:val="007D5868"/>
    <w:rsid w:val="007D58A5"/>
    <w:rsid w:val="007D5A17"/>
    <w:rsid w:val="007D5A6F"/>
    <w:rsid w:val="007D5A98"/>
    <w:rsid w:val="007D5AC6"/>
    <w:rsid w:val="007D5B05"/>
    <w:rsid w:val="007D5BAF"/>
    <w:rsid w:val="007D5CD3"/>
    <w:rsid w:val="007D5D6C"/>
    <w:rsid w:val="007D5DB3"/>
    <w:rsid w:val="007D5E17"/>
    <w:rsid w:val="007D5E68"/>
    <w:rsid w:val="007D5E74"/>
    <w:rsid w:val="007D5F43"/>
    <w:rsid w:val="007D5F81"/>
    <w:rsid w:val="007D5FD0"/>
    <w:rsid w:val="007D5FE3"/>
    <w:rsid w:val="007D6025"/>
    <w:rsid w:val="007D60EA"/>
    <w:rsid w:val="007D6154"/>
    <w:rsid w:val="007D6155"/>
    <w:rsid w:val="007D6168"/>
    <w:rsid w:val="007D625D"/>
    <w:rsid w:val="007D62A2"/>
    <w:rsid w:val="007D632B"/>
    <w:rsid w:val="007D632E"/>
    <w:rsid w:val="007D6337"/>
    <w:rsid w:val="007D6360"/>
    <w:rsid w:val="007D63B6"/>
    <w:rsid w:val="007D63D0"/>
    <w:rsid w:val="007D63DE"/>
    <w:rsid w:val="007D64D2"/>
    <w:rsid w:val="007D64E3"/>
    <w:rsid w:val="007D650A"/>
    <w:rsid w:val="007D651C"/>
    <w:rsid w:val="007D6526"/>
    <w:rsid w:val="007D6547"/>
    <w:rsid w:val="007D655E"/>
    <w:rsid w:val="007D660B"/>
    <w:rsid w:val="007D666B"/>
    <w:rsid w:val="007D6691"/>
    <w:rsid w:val="007D66E7"/>
    <w:rsid w:val="007D66EA"/>
    <w:rsid w:val="007D66FA"/>
    <w:rsid w:val="007D672C"/>
    <w:rsid w:val="007D6753"/>
    <w:rsid w:val="007D6760"/>
    <w:rsid w:val="007D68CF"/>
    <w:rsid w:val="007D6944"/>
    <w:rsid w:val="007D6966"/>
    <w:rsid w:val="007D69B4"/>
    <w:rsid w:val="007D6A4F"/>
    <w:rsid w:val="007D6A8B"/>
    <w:rsid w:val="007D6B35"/>
    <w:rsid w:val="007D6B60"/>
    <w:rsid w:val="007D6BE2"/>
    <w:rsid w:val="007D6C56"/>
    <w:rsid w:val="007D6CEA"/>
    <w:rsid w:val="007D6CEB"/>
    <w:rsid w:val="007D6D50"/>
    <w:rsid w:val="007D6D9E"/>
    <w:rsid w:val="007D6DD7"/>
    <w:rsid w:val="007D6DEC"/>
    <w:rsid w:val="007D6E54"/>
    <w:rsid w:val="007D6E60"/>
    <w:rsid w:val="007D6EA6"/>
    <w:rsid w:val="007D6F38"/>
    <w:rsid w:val="007D6F4A"/>
    <w:rsid w:val="007D6FF3"/>
    <w:rsid w:val="007D6FF7"/>
    <w:rsid w:val="007D6FFF"/>
    <w:rsid w:val="007D7012"/>
    <w:rsid w:val="007D7041"/>
    <w:rsid w:val="007D7050"/>
    <w:rsid w:val="007D70EF"/>
    <w:rsid w:val="007D70FA"/>
    <w:rsid w:val="007D71B2"/>
    <w:rsid w:val="007D7236"/>
    <w:rsid w:val="007D72B3"/>
    <w:rsid w:val="007D72EA"/>
    <w:rsid w:val="007D7318"/>
    <w:rsid w:val="007D732D"/>
    <w:rsid w:val="007D7338"/>
    <w:rsid w:val="007D7359"/>
    <w:rsid w:val="007D7370"/>
    <w:rsid w:val="007D737D"/>
    <w:rsid w:val="007D7412"/>
    <w:rsid w:val="007D7424"/>
    <w:rsid w:val="007D742D"/>
    <w:rsid w:val="007D7454"/>
    <w:rsid w:val="007D755E"/>
    <w:rsid w:val="007D75D3"/>
    <w:rsid w:val="007D7750"/>
    <w:rsid w:val="007D7758"/>
    <w:rsid w:val="007D77B9"/>
    <w:rsid w:val="007D7866"/>
    <w:rsid w:val="007D78EB"/>
    <w:rsid w:val="007D7942"/>
    <w:rsid w:val="007D7989"/>
    <w:rsid w:val="007D7A45"/>
    <w:rsid w:val="007D7A50"/>
    <w:rsid w:val="007D7AA0"/>
    <w:rsid w:val="007D7ABE"/>
    <w:rsid w:val="007D7B7A"/>
    <w:rsid w:val="007D7C6F"/>
    <w:rsid w:val="007D7C73"/>
    <w:rsid w:val="007D7C74"/>
    <w:rsid w:val="007D7CA3"/>
    <w:rsid w:val="007D7CA6"/>
    <w:rsid w:val="007D7D0D"/>
    <w:rsid w:val="007D7E25"/>
    <w:rsid w:val="007D7E39"/>
    <w:rsid w:val="007D7E92"/>
    <w:rsid w:val="007D7EE1"/>
    <w:rsid w:val="007D7F59"/>
    <w:rsid w:val="007D7FB3"/>
    <w:rsid w:val="007D7FB8"/>
    <w:rsid w:val="007D7FF3"/>
    <w:rsid w:val="007E0037"/>
    <w:rsid w:val="007E0081"/>
    <w:rsid w:val="007E0094"/>
    <w:rsid w:val="007E00D3"/>
    <w:rsid w:val="007E00DD"/>
    <w:rsid w:val="007E0107"/>
    <w:rsid w:val="007E0108"/>
    <w:rsid w:val="007E010B"/>
    <w:rsid w:val="007E027F"/>
    <w:rsid w:val="007E02A7"/>
    <w:rsid w:val="007E02EF"/>
    <w:rsid w:val="007E0319"/>
    <w:rsid w:val="007E0348"/>
    <w:rsid w:val="007E0364"/>
    <w:rsid w:val="007E0373"/>
    <w:rsid w:val="007E03F6"/>
    <w:rsid w:val="007E044F"/>
    <w:rsid w:val="007E04B0"/>
    <w:rsid w:val="007E0534"/>
    <w:rsid w:val="007E0595"/>
    <w:rsid w:val="007E05B9"/>
    <w:rsid w:val="007E05E1"/>
    <w:rsid w:val="007E0669"/>
    <w:rsid w:val="007E067B"/>
    <w:rsid w:val="007E06C7"/>
    <w:rsid w:val="007E079C"/>
    <w:rsid w:val="007E07B5"/>
    <w:rsid w:val="007E07D5"/>
    <w:rsid w:val="007E07EA"/>
    <w:rsid w:val="007E083D"/>
    <w:rsid w:val="007E0966"/>
    <w:rsid w:val="007E0980"/>
    <w:rsid w:val="007E0993"/>
    <w:rsid w:val="007E09D8"/>
    <w:rsid w:val="007E0A12"/>
    <w:rsid w:val="007E0A20"/>
    <w:rsid w:val="007E0A6F"/>
    <w:rsid w:val="007E0B08"/>
    <w:rsid w:val="007E0B5D"/>
    <w:rsid w:val="007E0B87"/>
    <w:rsid w:val="007E0B91"/>
    <w:rsid w:val="007E0BB0"/>
    <w:rsid w:val="007E0BB5"/>
    <w:rsid w:val="007E0BBE"/>
    <w:rsid w:val="007E0BE2"/>
    <w:rsid w:val="007E0C3A"/>
    <w:rsid w:val="007E0C67"/>
    <w:rsid w:val="007E0C74"/>
    <w:rsid w:val="007E0C98"/>
    <w:rsid w:val="007E0CED"/>
    <w:rsid w:val="007E0D42"/>
    <w:rsid w:val="007E0D53"/>
    <w:rsid w:val="007E0D64"/>
    <w:rsid w:val="007E0D6D"/>
    <w:rsid w:val="007E0DBA"/>
    <w:rsid w:val="007E0E04"/>
    <w:rsid w:val="007E0E9E"/>
    <w:rsid w:val="007E0F40"/>
    <w:rsid w:val="007E0F5A"/>
    <w:rsid w:val="007E0F79"/>
    <w:rsid w:val="007E0FA7"/>
    <w:rsid w:val="007E0FBC"/>
    <w:rsid w:val="007E107A"/>
    <w:rsid w:val="007E10A4"/>
    <w:rsid w:val="007E10C6"/>
    <w:rsid w:val="007E1171"/>
    <w:rsid w:val="007E1176"/>
    <w:rsid w:val="007E11A3"/>
    <w:rsid w:val="007E11B3"/>
    <w:rsid w:val="007E1251"/>
    <w:rsid w:val="007E127C"/>
    <w:rsid w:val="007E12B1"/>
    <w:rsid w:val="007E12DC"/>
    <w:rsid w:val="007E1321"/>
    <w:rsid w:val="007E13D7"/>
    <w:rsid w:val="007E13F3"/>
    <w:rsid w:val="007E140A"/>
    <w:rsid w:val="007E1469"/>
    <w:rsid w:val="007E1487"/>
    <w:rsid w:val="007E1490"/>
    <w:rsid w:val="007E1491"/>
    <w:rsid w:val="007E14F6"/>
    <w:rsid w:val="007E1501"/>
    <w:rsid w:val="007E1548"/>
    <w:rsid w:val="007E1557"/>
    <w:rsid w:val="007E1570"/>
    <w:rsid w:val="007E15AC"/>
    <w:rsid w:val="007E15B8"/>
    <w:rsid w:val="007E15CF"/>
    <w:rsid w:val="007E1657"/>
    <w:rsid w:val="007E1688"/>
    <w:rsid w:val="007E169C"/>
    <w:rsid w:val="007E16C9"/>
    <w:rsid w:val="007E16CE"/>
    <w:rsid w:val="007E170F"/>
    <w:rsid w:val="007E1731"/>
    <w:rsid w:val="007E1760"/>
    <w:rsid w:val="007E17A0"/>
    <w:rsid w:val="007E17BC"/>
    <w:rsid w:val="007E17DD"/>
    <w:rsid w:val="007E18EE"/>
    <w:rsid w:val="007E18F6"/>
    <w:rsid w:val="007E1950"/>
    <w:rsid w:val="007E1953"/>
    <w:rsid w:val="007E195D"/>
    <w:rsid w:val="007E196A"/>
    <w:rsid w:val="007E1989"/>
    <w:rsid w:val="007E19C2"/>
    <w:rsid w:val="007E19F5"/>
    <w:rsid w:val="007E1A36"/>
    <w:rsid w:val="007E1AA5"/>
    <w:rsid w:val="007E1ADD"/>
    <w:rsid w:val="007E1B81"/>
    <w:rsid w:val="007E1C83"/>
    <w:rsid w:val="007E1D27"/>
    <w:rsid w:val="007E1D35"/>
    <w:rsid w:val="007E1EE1"/>
    <w:rsid w:val="007E1EED"/>
    <w:rsid w:val="007E1EF6"/>
    <w:rsid w:val="007E1F2C"/>
    <w:rsid w:val="007E1F32"/>
    <w:rsid w:val="007E1F93"/>
    <w:rsid w:val="007E1F99"/>
    <w:rsid w:val="007E207D"/>
    <w:rsid w:val="007E20C5"/>
    <w:rsid w:val="007E20D7"/>
    <w:rsid w:val="007E212A"/>
    <w:rsid w:val="007E2163"/>
    <w:rsid w:val="007E2169"/>
    <w:rsid w:val="007E21DC"/>
    <w:rsid w:val="007E2205"/>
    <w:rsid w:val="007E2221"/>
    <w:rsid w:val="007E231C"/>
    <w:rsid w:val="007E233A"/>
    <w:rsid w:val="007E2382"/>
    <w:rsid w:val="007E23DE"/>
    <w:rsid w:val="007E240B"/>
    <w:rsid w:val="007E241C"/>
    <w:rsid w:val="007E2421"/>
    <w:rsid w:val="007E246E"/>
    <w:rsid w:val="007E2524"/>
    <w:rsid w:val="007E2569"/>
    <w:rsid w:val="007E2576"/>
    <w:rsid w:val="007E2589"/>
    <w:rsid w:val="007E25AD"/>
    <w:rsid w:val="007E25F7"/>
    <w:rsid w:val="007E2663"/>
    <w:rsid w:val="007E2673"/>
    <w:rsid w:val="007E26A2"/>
    <w:rsid w:val="007E2713"/>
    <w:rsid w:val="007E2735"/>
    <w:rsid w:val="007E275F"/>
    <w:rsid w:val="007E279A"/>
    <w:rsid w:val="007E27BC"/>
    <w:rsid w:val="007E27F6"/>
    <w:rsid w:val="007E2800"/>
    <w:rsid w:val="007E2865"/>
    <w:rsid w:val="007E2882"/>
    <w:rsid w:val="007E2897"/>
    <w:rsid w:val="007E289D"/>
    <w:rsid w:val="007E28D4"/>
    <w:rsid w:val="007E28E2"/>
    <w:rsid w:val="007E28F7"/>
    <w:rsid w:val="007E2919"/>
    <w:rsid w:val="007E2920"/>
    <w:rsid w:val="007E2925"/>
    <w:rsid w:val="007E2949"/>
    <w:rsid w:val="007E297D"/>
    <w:rsid w:val="007E29A2"/>
    <w:rsid w:val="007E29CE"/>
    <w:rsid w:val="007E29D0"/>
    <w:rsid w:val="007E2A1A"/>
    <w:rsid w:val="007E2A4E"/>
    <w:rsid w:val="007E2AA8"/>
    <w:rsid w:val="007E2ACF"/>
    <w:rsid w:val="007E2AF1"/>
    <w:rsid w:val="007E2AF3"/>
    <w:rsid w:val="007E2B79"/>
    <w:rsid w:val="007E2BB6"/>
    <w:rsid w:val="007E2BCC"/>
    <w:rsid w:val="007E2BE8"/>
    <w:rsid w:val="007E2C04"/>
    <w:rsid w:val="007E2C17"/>
    <w:rsid w:val="007E2C9E"/>
    <w:rsid w:val="007E2CF9"/>
    <w:rsid w:val="007E2CFD"/>
    <w:rsid w:val="007E2D72"/>
    <w:rsid w:val="007E2DF3"/>
    <w:rsid w:val="007E2E81"/>
    <w:rsid w:val="007E2E89"/>
    <w:rsid w:val="007E2EFC"/>
    <w:rsid w:val="007E2F0F"/>
    <w:rsid w:val="007E2F5A"/>
    <w:rsid w:val="007E2F5E"/>
    <w:rsid w:val="007E2FEC"/>
    <w:rsid w:val="007E30AF"/>
    <w:rsid w:val="007E30DA"/>
    <w:rsid w:val="007E310F"/>
    <w:rsid w:val="007E31EF"/>
    <w:rsid w:val="007E3282"/>
    <w:rsid w:val="007E344F"/>
    <w:rsid w:val="007E345B"/>
    <w:rsid w:val="007E3483"/>
    <w:rsid w:val="007E34AF"/>
    <w:rsid w:val="007E34C1"/>
    <w:rsid w:val="007E34DC"/>
    <w:rsid w:val="007E34FE"/>
    <w:rsid w:val="007E3505"/>
    <w:rsid w:val="007E353B"/>
    <w:rsid w:val="007E35A2"/>
    <w:rsid w:val="007E35A3"/>
    <w:rsid w:val="007E35BE"/>
    <w:rsid w:val="007E364B"/>
    <w:rsid w:val="007E368F"/>
    <w:rsid w:val="007E3693"/>
    <w:rsid w:val="007E36AC"/>
    <w:rsid w:val="007E36D8"/>
    <w:rsid w:val="007E373A"/>
    <w:rsid w:val="007E373B"/>
    <w:rsid w:val="007E379E"/>
    <w:rsid w:val="007E382C"/>
    <w:rsid w:val="007E3845"/>
    <w:rsid w:val="007E393F"/>
    <w:rsid w:val="007E3946"/>
    <w:rsid w:val="007E3958"/>
    <w:rsid w:val="007E3964"/>
    <w:rsid w:val="007E397C"/>
    <w:rsid w:val="007E39AF"/>
    <w:rsid w:val="007E39D2"/>
    <w:rsid w:val="007E39D9"/>
    <w:rsid w:val="007E39E2"/>
    <w:rsid w:val="007E3AE2"/>
    <w:rsid w:val="007E3BD5"/>
    <w:rsid w:val="007E3C18"/>
    <w:rsid w:val="007E3C98"/>
    <w:rsid w:val="007E3CB8"/>
    <w:rsid w:val="007E3CDD"/>
    <w:rsid w:val="007E3DB9"/>
    <w:rsid w:val="007E3DC0"/>
    <w:rsid w:val="007E3DC9"/>
    <w:rsid w:val="007E3DF3"/>
    <w:rsid w:val="007E3E18"/>
    <w:rsid w:val="007E3E54"/>
    <w:rsid w:val="007E3E96"/>
    <w:rsid w:val="007E3F14"/>
    <w:rsid w:val="007E3F4F"/>
    <w:rsid w:val="007E3F5F"/>
    <w:rsid w:val="007E3F6F"/>
    <w:rsid w:val="007E3F92"/>
    <w:rsid w:val="007E3FED"/>
    <w:rsid w:val="007E4008"/>
    <w:rsid w:val="007E4017"/>
    <w:rsid w:val="007E40E5"/>
    <w:rsid w:val="007E4107"/>
    <w:rsid w:val="007E4126"/>
    <w:rsid w:val="007E4129"/>
    <w:rsid w:val="007E41AC"/>
    <w:rsid w:val="007E4206"/>
    <w:rsid w:val="007E4267"/>
    <w:rsid w:val="007E427B"/>
    <w:rsid w:val="007E4292"/>
    <w:rsid w:val="007E42C1"/>
    <w:rsid w:val="007E42DE"/>
    <w:rsid w:val="007E42EC"/>
    <w:rsid w:val="007E42F2"/>
    <w:rsid w:val="007E436B"/>
    <w:rsid w:val="007E43ED"/>
    <w:rsid w:val="007E43FE"/>
    <w:rsid w:val="007E442E"/>
    <w:rsid w:val="007E44AF"/>
    <w:rsid w:val="007E44BE"/>
    <w:rsid w:val="007E44CF"/>
    <w:rsid w:val="007E44D1"/>
    <w:rsid w:val="007E451F"/>
    <w:rsid w:val="007E453E"/>
    <w:rsid w:val="007E4555"/>
    <w:rsid w:val="007E45F3"/>
    <w:rsid w:val="007E45FD"/>
    <w:rsid w:val="007E464F"/>
    <w:rsid w:val="007E465B"/>
    <w:rsid w:val="007E4668"/>
    <w:rsid w:val="007E46D1"/>
    <w:rsid w:val="007E46F8"/>
    <w:rsid w:val="007E47C1"/>
    <w:rsid w:val="007E47E8"/>
    <w:rsid w:val="007E4848"/>
    <w:rsid w:val="007E48A1"/>
    <w:rsid w:val="007E491A"/>
    <w:rsid w:val="007E49A9"/>
    <w:rsid w:val="007E49B4"/>
    <w:rsid w:val="007E49C1"/>
    <w:rsid w:val="007E49CB"/>
    <w:rsid w:val="007E49E5"/>
    <w:rsid w:val="007E4A03"/>
    <w:rsid w:val="007E4A07"/>
    <w:rsid w:val="007E4A21"/>
    <w:rsid w:val="007E4A2B"/>
    <w:rsid w:val="007E4A64"/>
    <w:rsid w:val="007E4A71"/>
    <w:rsid w:val="007E4AA5"/>
    <w:rsid w:val="007E4ACC"/>
    <w:rsid w:val="007E4B7F"/>
    <w:rsid w:val="007E4BD5"/>
    <w:rsid w:val="007E4C64"/>
    <w:rsid w:val="007E4CB2"/>
    <w:rsid w:val="007E4D15"/>
    <w:rsid w:val="007E4D26"/>
    <w:rsid w:val="007E4D2F"/>
    <w:rsid w:val="007E4D3D"/>
    <w:rsid w:val="007E4E1A"/>
    <w:rsid w:val="007E4E29"/>
    <w:rsid w:val="007E4E48"/>
    <w:rsid w:val="007E4EDA"/>
    <w:rsid w:val="007E4F1B"/>
    <w:rsid w:val="007E4F23"/>
    <w:rsid w:val="007E4F37"/>
    <w:rsid w:val="007E4F56"/>
    <w:rsid w:val="007E4FE5"/>
    <w:rsid w:val="007E50CB"/>
    <w:rsid w:val="007E5194"/>
    <w:rsid w:val="007E51E8"/>
    <w:rsid w:val="007E5234"/>
    <w:rsid w:val="007E5239"/>
    <w:rsid w:val="007E5274"/>
    <w:rsid w:val="007E52BD"/>
    <w:rsid w:val="007E5327"/>
    <w:rsid w:val="007E5334"/>
    <w:rsid w:val="007E5366"/>
    <w:rsid w:val="007E5370"/>
    <w:rsid w:val="007E53F9"/>
    <w:rsid w:val="007E5408"/>
    <w:rsid w:val="007E5425"/>
    <w:rsid w:val="007E5493"/>
    <w:rsid w:val="007E54C4"/>
    <w:rsid w:val="007E54D8"/>
    <w:rsid w:val="007E555E"/>
    <w:rsid w:val="007E5587"/>
    <w:rsid w:val="007E55A7"/>
    <w:rsid w:val="007E55EA"/>
    <w:rsid w:val="007E5611"/>
    <w:rsid w:val="007E56BE"/>
    <w:rsid w:val="007E56DF"/>
    <w:rsid w:val="007E5780"/>
    <w:rsid w:val="007E57E3"/>
    <w:rsid w:val="007E5822"/>
    <w:rsid w:val="007E584D"/>
    <w:rsid w:val="007E5896"/>
    <w:rsid w:val="007E58CB"/>
    <w:rsid w:val="007E58D3"/>
    <w:rsid w:val="007E58EC"/>
    <w:rsid w:val="007E596E"/>
    <w:rsid w:val="007E59FC"/>
    <w:rsid w:val="007E5A0C"/>
    <w:rsid w:val="007E5A2D"/>
    <w:rsid w:val="007E5AC9"/>
    <w:rsid w:val="007E5B97"/>
    <w:rsid w:val="007E5BA4"/>
    <w:rsid w:val="007E5C72"/>
    <w:rsid w:val="007E5CC7"/>
    <w:rsid w:val="007E5CE8"/>
    <w:rsid w:val="007E5D00"/>
    <w:rsid w:val="007E5D34"/>
    <w:rsid w:val="007E5D49"/>
    <w:rsid w:val="007E5D69"/>
    <w:rsid w:val="007E5DEA"/>
    <w:rsid w:val="007E5DEF"/>
    <w:rsid w:val="007E5DFB"/>
    <w:rsid w:val="007E5E0E"/>
    <w:rsid w:val="007E5E68"/>
    <w:rsid w:val="007E5EF3"/>
    <w:rsid w:val="007E5F38"/>
    <w:rsid w:val="007E5F80"/>
    <w:rsid w:val="007E5F9E"/>
    <w:rsid w:val="007E602A"/>
    <w:rsid w:val="007E6048"/>
    <w:rsid w:val="007E60AC"/>
    <w:rsid w:val="007E610D"/>
    <w:rsid w:val="007E6187"/>
    <w:rsid w:val="007E618D"/>
    <w:rsid w:val="007E623D"/>
    <w:rsid w:val="007E625C"/>
    <w:rsid w:val="007E62DB"/>
    <w:rsid w:val="007E62F1"/>
    <w:rsid w:val="007E6329"/>
    <w:rsid w:val="007E632D"/>
    <w:rsid w:val="007E63EA"/>
    <w:rsid w:val="007E640C"/>
    <w:rsid w:val="007E6417"/>
    <w:rsid w:val="007E647D"/>
    <w:rsid w:val="007E655B"/>
    <w:rsid w:val="007E65A1"/>
    <w:rsid w:val="007E65B9"/>
    <w:rsid w:val="007E65E2"/>
    <w:rsid w:val="007E65FB"/>
    <w:rsid w:val="007E6610"/>
    <w:rsid w:val="007E6624"/>
    <w:rsid w:val="007E662C"/>
    <w:rsid w:val="007E66E8"/>
    <w:rsid w:val="007E6748"/>
    <w:rsid w:val="007E677A"/>
    <w:rsid w:val="007E67C5"/>
    <w:rsid w:val="007E67F3"/>
    <w:rsid w:val="007E6801"/>
    <w:rsid w:val="007E682A"/>
    <w:rsid w:val="007E6846"/>
    <w:rsid w:val="007E686F"/>
    <w:rsid w:val="007E68B4"/>
    <w:rsid w:val="007E68EA"/>
    <w:rsid w:val="007E6910"/>
    <w:rsid w:val="007E6945"/>
    <w:rsid w:val="007E695C"/>
    <w:rsid w:val="007E6A32"/>
    <w:rsid w:val="007E6AD9"/>
    <w:rsid w:val="007E6AE8"/>
    <w:rsid w:val="007E6AF1"/>
    <w:rsid w:val="007E6B0D"/>
    <w:rsid w:val="007E6B0E"/>
    <w:rsid w:val="007E6B17"/>
    <w:rsid w:val="007E6C4D"/>
    <w:rsid w:val="007E6CA0"/>
    <w:rsid w:val="007E6CC0"/>
    <w:rsid w:val="007E6D0F"/>
    <w:rsid w:val="007E6D61"/>
    <w:rsid w:val="007E6D91"/>
    <w:rsid w:val="007E6DA4"/>
    <w:rsid w:val="007E6DDA"/>
    <w:rsid w:val="007E6DEF"/>
    <w:rsid w:val="007E6EA4"/>
    <w:rsid w:val="007E6F3C"/>
    <w:rsid w:val="007E6F3E"/>
    <w:rsid w:val="007E6FF6"/>
    <w:rsid w:val="007E70DA"/>
    <w:rsid w:val="007E7112"/>
    <w:rsid w:val="007E7144"/>
    <w:rsid w:val="007E720A"/>
    <w:rsid w:val="007E724A"/>
    <w:rsid w:val="007E729C"/>
    <w:rsid w:val="007E7325"/>
    <w:rsid w:val="007E7328"/>
    <w:rsid w:val="007E73BA"/>
    <w:rsid w:val="007E73BE"/>
    <w:rsid w:val="007E7418"/>
    <w:rsid w:val="007E7442"/>
    <w:rsid w:val="007E7449"/>
    <w:rsid w:val="007E74A7"/>
    <w:rsid w:val="007E74F3"/>
    <w:rsid w:val="007E7574"/>
    <w:rsid w:val="007E759B"/>
    <w:rsid w:val="007E75B7"/>
    <w:rsid w:val="007E75E4"/>
    <w:rsid w:val="007E760A"/>
    <w:rsid w:val="007E7661"/>
    <w:rsid w:val="007E767C"/>
    <w:rsid w:val="007E769E"/>
    <w:rsid w:val="007E775D"/>
    <w:rsid w:val="007E778F"/>
    <w:rsid w:val="007E77B2"/>
    <w:rsid w:val="007E7813"/>
    <w:rsid w:val="007E7887"/>
    <w:rsid w:val="007E78BE"/>
    <w:rsid w:val="007E792F"/>
    <w:rsid w:val="007E79C1"/>
    <w:rsid w:val="007E79D1"/>
    <w:rsid w:val="007E79EC"/>
    <w:rsid w:val="007E79ED"/>
    <w:rsid w:val="007E7A13"/>
    <w:rsid w:val="007E7B72"/>
    <w:rsid w:val="007E7C06"/>
    <w:rsid w:val="007E7C5E"/>
    <w:rsid w:val="007E7D71"/>
    <w:rsid w:val="007E7DB8"/>
    <w:rsid w:val="007E7DEF"/>
    <w:rsid w:val="007E7E1B"/>
    <w:rsid w:val="007E7ED9"/>
    <w:rsid w:val="007E7EE7"/>
    <w:rsid w:val="007E7EFD"/>
    <w:rsid w:val="007E7F77"/>
    <w:rsid w:val="007E7F8D"/>
    <w:rsid w:val="007E7FA0"/>
    <w:rsid w:val="007E7FAD"/>
    <w:rsid w:val="007E7FC8"/>
    <w:rsid w:val="007E7FEC"/>
    <w:rsid w:val="007F006C"/>
    <w:rsid w:val="007F0097"/>
    <w:rsid w:val="007F00AE"/>
    <w:rsid w:val="007F012C"/>
    <w:rsid w:val="007F01B2"/>
    <w:rsid w:val="007F021B"/>
    <w:rsid w:val="007F022D"/>
    <w:rsid w:val="007F02C8"/>
    <w:rsid w:val="007F0398"/>
    <w:rsid w:val="007F03D1"/>
    <w:rsid w:val="007F047D"/>
    <w:rsid w:val="007F0495"/>
    <w:rsid w:val="007F055E"/>
    <w:rsid w:val="007F05C7"/>
    <w:rsid w:val="007F05CB"/>
    <w:rsid w:val="007F0646"/>
    <w:rsid w:val="007F06CE"/>
    <w:rsid w:val="007F0773"/>
    <w:rsid w:val="007F07AC"/>
    <w:rsid w:val="007F07F3"/>
    <w:rsid w:val="007F0805"/>
    <w:rsid w:val="007F086A"/>
    <w:rsid w:val="007F088E"/>
    <w:rsid w:val="007F0908"/>
    <w:rsid w:val="007F095A"/>
    <w:rsid w:val="007F0983"/>
    <w:rsid w:val="007F09AF"/>
    <w:rsid w:val="007F09E9"/>
    <w:rsid w:val="007F0A26"/>
    <w:rsid w:val="007F0A3D"/>
    <w:rsid w:val="007F0A66"/>
    <w:rsid w:val="007F0A98"/>
    <w:rsid w:val="007F0AC8"/>
    <w:rsid w:val="007F0B55"/>
    <w:rsid w:val="007F0B87"/>
    <w:rsid w:val="007F0BA8"/>
    <w:rsid w:val="007F0CD2"/>
    <w:rsid w:val="007F0D2D"/>
    <w:rsid w:val="007F0E02"/>
    <w:rsid w:val="007F0E65"/>
    <w:rsid w:val="007F0E66"/>
    <w:rsid w:val="007F0E9B"/>
    <w:rsid w:val="007F0EAE"/>
    <w:rsid w:val="007F0ED6"/>
    <w:rsid w:val="007F0EEB"/>
    <w:rsid w:val="007F0F0B"/>
    <w:rsid w:val="007F0F18"/>
    <w:rsid w:val="007F0F4D"/>
    <w:rsid w:val="007F0F95"/>
    <w:rsid w:val="007F0F9F"/>
    <w:rsid w:val="007F0FDF"/>
    <w:rsid w:val="007F1048"/>
    <w:rsid w:val="007F1056"/>
    <w:rsid w:val="007F10B3"/>
    <w:rsid w:val="007F10EB"/>
    <w:rsid w:val="007F10ED"/>
    <w:rsid w:val="007F1174"/>
    <w:rsid w:val="007F1179"/>
    <w:rsid w:val="007F1218"/>
    <w:rsid w:val="007F123D"/>
    <w:rsid w:val="007F1240"/>
    <w:rsid w:val="007F126A"/>
    <w:rsid w:val="007F12B1"/>
    <w:rsid w:val="007F13BB"/>
    <w:rsid w:val="007F142A"/>
    <w:rsid w:val="007F143D"/>
    <w:rsid w:val="007F14E4"/>
    <w:rsid w:val="007F1507"/>
    <w:rsid w:val="007F1548"/>
    <w:rsid w:val="007F15D5"/>
    <w:rsid w:val="007F15D6"/>
    <w:rsid w:val="007F15EB"/>
    <w:rsid w:val="007F1643"/>
    <w:rsid w:val="007F16AB"/>
    <w:rsid w:val="007F16F2"/>
    <w:rsid w:val="007F175A"/>
    <w:rsid w:val="007F176A"/>
    <w:rsid w:val="007F1787"/>
    <w:rsid w:val="007F179A"/>
    <w:rsid w:val="007F17EA"/>
    <w:rsid w:val="007F17F8"/>
    <w:rsid w:val="007F1848"/>
    <w:rsid w:val="007F187E"/>
    <w:rsid w:val="007F189D"/>
    <w:rsid w:val="007F18D4"/>
    <w:rsid w:val="007F18F0"/>
    <w:rsid w:val="007F199B"/>
    <w:rsid w:val="007F1A65"/>
    <w:rsid w:val="007F1A97"/>
    <w:rsid w:val="007F1B00"/>
    <w:rsid w:val="007F1B33"/>
    <w:rsid w:val="007F1B5D"/>
    <w:rsid w:val="007F1B87"/>
    <w:rsid w:val="007F1BD5"/>
    <w:rsid w:val="007F1C38"/>
    <w:rsid w:val="007F1C9C"/>
    <w:rsid w:val="007F1D5E"/>
    <w:rsid w:val="007F1DAB"/>
    <w:rsid w:val="007F1DC8"/>
    <w:rsid w:val="007F1E38"/>
    <w:rsid w:val="007F1E89"/>
    <w:rsid w:val="007F1ED0"/>
    <w:rsid w:val="007F1EDD"/>
    <w:rsid w:val="007F203B"/>
    <w:rsid w:val="007F2066"/>
    <w:rsid w:val="007F209B"/>
    <w:rsid w:val="007F2157"/>
    <w:rsid w:val="007F215D"/>
    <w:rsid w:val="007F21A4"/>
    <w:rsid w:val="007F222D"/>
    <w:rsid w:val="007F22EC"/>
    <w:rsid w:val="007F2309"/>
    <w:rsid w:val="007F230F"/>
    <w:rsid w:val="007F232A"/>
    <w:rsid w:val="007F2367"/>
    <w:rsid w:val="007F2403"/>
    <w:rsid w:val="007F2440"/>
    <w:rsid w:val="007F246C"/>
    <w:rsid w:val="007F24BE"/>
    <w:rsid w:val="007F24CE"/>
    <w:rsid w:val="007F2593"/>
    <w:rsid w:val="007F25B0"/>
    <w:rsid w:val="007F25BB"/>
    <w:rsid w:val="007F25CE"/>
    <w:rsid w:val="007F2635"/>
    <w:rsid w:val="007F264C"/>
    <w:rsid w:val="007F2723"/>
    <w:rsid w:val="007F2783"/>
    <w:rsid w:val="007F2794"/>
    <w:rsid w:val="007F27BD"/>
    <w:rsid w:val="007F280A"/>
    <w:rsid w:val="007F281F"/>
    <w:rsid w:val="007F2845"/>
    <w:rsid w:val="007F285D"/>
    <w:rsid w:val="007F2870"/>
    <w:rsid w:val="007F2892"/>
    <w:rsid w:val="007F28B5"/>
    <w:rsid w:val="007F292F"/>
    <w:rsid w:val="007F2933"/>
    <w:rsid w:val="007F294A"/>
    <w:rsid w:val="007F294C"/>
    <w:rsid w:val="007F29AA"/>
    <w:rsid w:val="007F29D2"/>
    <w:rsid w:val="007F2A03"/>
    <w:rsid w:val="007F2A35"/>
    <w:rsid w:val="007F2A65"/>
    <w:rsid w:val="007F2A80"/>
    <w:rsid w:val="007F2AE2"/>
    <w:rsid w:val="007F2AF0"/>
    <w:rsid w:val="007F2B09"/>
    <w:rsid w:val="007F2B28"/>
    <w:rsid w:val="007F2B9C"/>
    <w:rsid w:val="007F2C25"/>
    <w:rsid w:val="007F2CA6"/>
    <w:rsid w:val="007F2CAD"/>
    <w:rsid w:val="007F2D03"/>
    <w:rsid w:val="007F2D0C"/>
    <w:rsid w:val="007F2D16"/>
    <w:rsid w:val="007F2D1A"/>
    <w:rsid w:val="007F2D3A"/>
    <w:rsid w:val="007F2D49"/>
    <w:rsid w:val="007F2D4B"/>
    <w:rsid w:val="007F2D4F"/>
    <w:rsid w:val="007F2D8F"/>
    <w:rsid w:val="007F2DA9"/>
    <w:rsid w:val="007F2DF8"/>
    <w:rsid w:val="007F2DFA"/>
    <w:rsid w:val="007F2E47"/>
    <w:rsid w:val="007F2EE7"/>
    <w:rsid w:val="007F2EF1"/>
    <w:rsid w:val="007F2F31"/>
    <w:rsid w:val="007F2F53"/>
    <w:rsid w:val="007F2FA3"/>
    <w:rsid w:val="007F2FBF"/>
    <w:rsid w:val="007F2FE5"/>
    <w:rsid w:val="007F300F"/>
    <w:rsid w:val="007F3073"/>
    <w:rsid w:val="007F3133"/>
    <w:rsid w:val="007F3234"/>
    <w:rsid w:val="007F3241"/>
    <w:rsid w:val="007F3293"/>
    <w:rsid w:val="007F32CA"/>
    <w:rsid w:val="007F33D9"/>
    <w:rsid w:val="007F3424"/>
    <w:rsid w:val="007F3427"/>
    <w:rsid w:val="007F345C"/>
    <w:rsid w:val="007F34AD"/>
    <w:rsid w:val="007F34F2"/>
    <w:rsid w:val="007F35AE"/>
    <w:rsid w:val="007F35B1"/>
    <w:rsid w:val="007F367B"/>
    <w:rsid w:val="007F3688"/>
    <w:rsid w:val="007F36F3"/>
    <w:rsid w:val="007F374D"/>
    <w:rsid w:val="007F3789"/>
    <w:rsid w:val="007F37AD"/>
    <w:rsid w:val="007F37BD"/>
    <w:rsid w:val="007F37D3"/>
    <w:rsid w:val="007F38A3"/>
    <w:rsid w:val="007F38F0"/>
    <w:rsid w:val="007F38F6"/>
    <w:rsid w:val="007F395C"/>
    <w:rsid w:val="007F39DA"/>
    <w:rsid w:val="007F3A36"/>
    <w:rsid w:val="007F3A40"/>
    <w:rsid w:val="007F3AB9"/>
    <w:rsid w:val="007F3ADB"/>
    <w:rsid w:val="007F3B5D"/>
    <w:rsid w:val="007F3B94"/>
    <w:rsid w:val="007F3BA9"/>
    <w:rsid w:val="007F3BF6"/>
    <w:rsid w:val="007F3C2C"/>
    <w:rsid w:val="007F3C35"/>
    <w:rsid w:val="007F3C40"/>
    <w:rsid w:val="007F3CA7"/>
    <w:rsid w:val="007F3CC6"/>
    <w:rsid w:val="007F3CE4"/>
    <w:rsid w:val="007F3CE6"/>
    <w:rsid w:val="007F3D02"/>
    <w:rsid w:val="007F3D24"/>
    <w:rsid w:val="007F3D6B"/>
    <w:rsid w:val="007F3D7F"/>
    <w:rsid w:val="007F3DD8"/>
    <w:rsid w:val="007F3DF1"/>
    <w:rsid w:val="007F3E86"/>
    <w:rsid w:val="007F3EEE"/>
    <w:rsid w:val="007F3EF7"/>
    <w:rsid w:val="007F3F49"/>
    <w:rsid w:val="007F3F9E"/>
    <w:rsid w:val="007F4085"/>
    <w:rsid w:val="007F4195"/>
    <w:rsid w:val="007F41B2"/>
    <w:rsid w:val="007F4201"/>
    <w:rsid w:val="007F42CC"/>
    <w:rsid w:val="007F431C"/>
    <w:rsid w:val="007F4331"/>
    <w:rsid w:val="007F436E"/>
    <w:rsid w:val="007F4397"/>
    <w:rsid w:val="007F43C2"/>
    <w:rsid w:val="007F4445"/>
    <w:rsid w:val="007F44A1"/>
    <w:rsid w:val="007F453B"/>
    <w:rsid w:val="007F4584"/>
    <w:rsid w:val="007F459A"/>
    <w:rsid w:val="007F459B"/>
    <w:rsid w:val="007F46D1"/>
    <w:rsid w:val="007F47E2"/>
    <w:rsid w:val="007F47EE"/>
    <w:rsid w:val="007F4842"/>
    <w:rsid w:val="007F4892"/>
    <w:rsid w:val="007F4897"/>
    <w:rsid w:val="007F48B8"/>
    <w:rsid w:val="007F48BA"/>
    <w:rsid w:val="007F490A"/>
    <w:rsid w:val="007F494A"/>
    <w:rsid w:val="007F4A24"/>
    <w:rsid w:val="007F4AD4"/>
    <w:rsid w:val="007F4B30"/>
    <w:rsid w:val="007F4BCF"/>
    <w:rsid w:val="007F4C36"/>
    <w:rsid w:val="007F4D12"/>
    <w:rsid w:val="007F4D2F"/>
    <w:rsid w:val="007F4D66"/>
    <w:rsid w:val="007F4D74"/>
    <w:rsid w:val="007F4DFC"/>
    <w:rsid w:val="007F4E20"/>
    <w:rsid w:val="007F4E7C"/>
    <w:rsid w:val="007F4E82"/>
    <w:rsid w:val="007F4F60"/>
    <w:rsid w:val="007F4FF1"/>
    <w:rsid w:val="007F5031"/>
    <w:rsid w:val="007F5068"/>
    <w:rsid w:val="007F50A8"/>
    <w:rsid w:val="007F50C6"/>
    <w:rsid w:val="007F50D3"/>
    <w:rsid w:val="007F5279"/>
    <w:rsid w:val="007F52FD"/>
    <w:rsid w:val="007F534C"/>
    <w:rsid w:val="007F5378"/>
    <w:rsid w:val="007F538D"/>
    <w:rsid w:val="007F53BC"/>
    <w:rsid w:val="007F53BD"/>
    <w:rsid w:val="007F53D6"/>
    <w:rsid w:val="007F53D8"/>
    <w:rsid w:val="007F53E0"/>
    <w:rsid w:val="007F542D"/>
    <w:rsid w:val="007F5442"/>
    <w:rsid w:val="007F5444"/>
    <w:rsid w:val="007F548F"/>
    <w:rsid w:val="007F54C7"/>
    <w:rsid w:val="007F54F4"/>
    <w:rsid w:val="007F54F8"/>
    <w:rsid w:val="007F54FF"/>
    <w:rsid w:val="007F552C"/>
    <w:rsid w:val="007F561B"/>
    <w:rsid w:val="007F567B"/>
    <w:rsid w:val="007F56ED"/>
    <w:rsid w:val="007F5726"/>
    <w:rsid w:val="007F5738"/>
    <w:rsid w:val="007F57AC"/>
    <w:rsid w:val="007F583C"/>
    <w:rsid w:val="007F583E"/>
    <w:rsid w:val="007F5888"/>
    <w:rsid w:val="007F58AE"/>
    <w:rsid w:val="007F58BA"/>
    <w:rsid w:val="007F58EA"/>
    <w:rsid w:val="007F58EB"/>
    <w:rsid w:val="007F599B"/>
    <w:rsid w:val="007F59B9"/>
    <w:rsid w:val="007F59CF"/>
    <w:rsid w:val="007F5A34"/>
    <w:rsid w:val="007F5A72"/>
    <w:rsid w:val="007F5AFC"/>
    <w:rsid w:val="007F5B44"/>
    <w:rsid w:val="007F5B5C"/>
    <w:rsid w:val="007F5B8D"/>
    <w:rsid w:val="007F5BBE"/>
    <w:rsid w:val="007F5BBF"/>
    <w:rsid w:val="007F5BE7"/>
    <w:rsid w:val="007F5C72"/>
    <w:rsid w:val="007F5CA5"/>
    <w:rsid w:val="007F5CA8"/>
    <w:rsid w:val="007F5CEC"/>
    <w:rsid w:val="007F5DB4"/>
    <w:rsid w:val="007F5DE7"/>
    <w:rsid w:val="007F5E7C"/>
    <w:rsid w:val="007F5EA5"/>
    <w:rsid w:val="007F5EB8"/>
    <w:rsid w:val="007F5EFD"/>
    <w:rsid w:val="007F5F38"/>
    <w:rsid w:val="007F5FAF"/>
    <w:rsid w:val="007F5FF7"/>
    <w:rsid w:val="007F6040"/>
    <w:rsid w:val="007F606F"/>
    <w:rsid w:val="007F60A0"/>
    <w:rsid w:val="007F612B"/>
    <w:rsid w:val="007F613D"/>
    <w:rsid w:val="007F61FE"/>
    <w:rsid w:val="007F6286"/>
    <w:rsid w:val="007F6289"/>
    <w:rsid w:val="007F6290"/>
    <w:rsid w:val="007F6292"/>
    <w:rsid w:val="007F62C3"/>
    <w:rsid w:val="007F636A"/>
    <w:rsid w:val="007F637B"/>
    <w:rsid w:val="007F6423"/>
    <w:rsid w:val="007F6457"/>
    <w:rsid w:val="007F6479"/>
    <w:rsid w:val="007F651D"/>
    <w:rsid w:val="007F654E"/>
    <w:rsid w:val="007F6611"/>
    <w:rsid w:val="007F661F"/>
    <w:rsid w:val="007F662E"/>
    <w:rsid w:val="007F6632"/>
    <w:rsid w:val="007F6652"/>
    <w:rsid w:val="007F6698"/>
    <w:rsid w:val="007F671D"/>
    <w:rsid w:val="007F67B8"/>
    <w:rsid w:val="007F6866"/>
    <w:rsid w:val="007F686B"/>
    <w:rsid w:val="007F6939"/>
    <w:rsid w:val="007F69B9"/>
    <w:rsid w:val="007F69CD"/>
    <w:rsid w:val="007F69CF"/>
    <w:rsid w:val="007F69EF"/>
    <w:rsid w:val="007F6ACD"/>
    <w:rsid w:val="007F6B05"/>
    <w:rsid w:val="007F6B07"/>
    <w:rsid w:val="007F6B5F"/>
    <w:rsid w:val="007F6B8A"/>
    <w:rsid w:val="007F6BCC"/>
    <w:rsid w:val="007F6BFA"/>
    <w:rsid w:val="007F6C2B"/>
    <w:rsid w:val="007F6C5E"/>
    <w:rsid w:val="007F6CA1"/>
    <w:rsid w:val="007F6D01"/>
    <w:rsid w:val="007F6DA1"/>
    <w:rsid w:val="007F6DCC"/>
    <w:rsid w:val="007F6DF4"/>
    <w:rsid w:val="007F6E37"/>
    <w:rsid w:val="007F6E46"/>
    <w:rsid w:val="007F6E57"/>
    <w:rsid w:val="007F6E74"/>
    <w:rsid w:val="007F6E7E"/>
    <w:rsid w:val="007F6EFB"/>
    <w:rsid w:val="007F6F2D"/>
    <w:rsid w:val="007F6F52"/>
    <w:rsid w:val="007F6FC8"/>
    <w:rsid w:val="007F6FD9"/>
    <w:rsid w:val="007F7003"/>
    <w:rsid w:val="007F700F"/>
    <w:rsid w:val="007F7031"/>
    <w:rsid w:val="007F7073"/>
    <w:rsid w:val="007F708B"/>
    <w:rsid w:val="007F70B7"/>
    <w:rsid w:val="007F70DF"/>
    <w:rsid w:val="007F70EC"/>
    <w:rsid w:val="007F715A"/>
    <w:rsid w:val="007F71AF"/>
    <w:rsid w:val="007F7236"/>
    <w:rsid w:val="007F7266"/>
    <w:rsid w:val="007F72A2"/>
    <w:rsid w:val="007F7302"/>
    <w:rsid w:val="007F7308"/>
    <w:rsid w:val="007F7322"/>
    <w:rsid w:val="007F73E7"/>
    <w:rsid w:val="007F7426"/>
    <w:rsid w:val="007F7470"/>
    <w:rsid w:val="007F74D8"/>
    <w:rsid w:val="007F7534"/>
    <w:rsid w:val="007F756D"/>
    <w:rsid w:val="007F7591"/>
    <w:rsid w:val="007F75B6"/>
    <w:rsid w:val="007F7601"/>
    <w:rsid w:val="007F762B"/>
    <w:rsid w:val="007F7651"/>
    <w:rsid w:val="007F76A9"/>
    <w:rsid w:val="007F76CD"/>
    <w:rsid w:val="007F770A"/>
    <w:rsid w:val="007F770E"/>
    <w:rsid w:val="007F7793"/>
    <w:rsid w:val="007F77A2"/>
    <w:rsid w:val="007F77E3"/>
    <w:rsid w:val="007F77EB"/>
    <w:rsid w:val="007F77EC"/>
    <w:rsid w:val="007F783F"/>
    <w:rsid w:val="007F7853"/>
    <w:rsid w:val="007F790F"/>
    <w:rsid w:val="007F7912"/>
    <w:rsid w:val="007F7913"/>
    <w:rsid w:val="007F7952"/>
    <w:rsid w:val="007F795B"/>
    <w:rsid w:val="007F7995"/>
    <w:rsid w:val="007F79B0"/>
    <w:rsid w:val="007F79DB"/>
    <w:rsid w:val="007F7A17"/>
    <w:rsid w:val="007F7A3D"/>
    <w:rsid w:val="007F7A74"/>
    <w:rsid w:val="007F7ABC"/>
    <w:rsid w:val="007F7B0E"/>
    <w:rsid w:val="007F7B22"/>
    <w:rsid w:val="007F7B3F"/>
    <w:rsid w:val="007F7C3B"/>
    <w:rsid w:val="007F7C81"/>
    <w:rsid w:val="007F7CA4"/>
    <w:rsid w:val="007F7CD7"/>
    <w:rsid w:val="007F7D16"/>
    <w:rsid w:val="007F7E0C"/>
    <w:rsid w:val="007F7E75"/>
    <w:rsid w:val="007F7E79"/>
    <w:rsid w:val="007F7EDB"/>
    <w:rsid w:val="007F7F22"/>
    <w:rsid w:val="007F7F4C"/>
    <w:rsid w:val="007F7F5B"/>
    <w:rsid w:val="007F7F5D"/>
    <w:rsid w:val="008000AF"/>
    <w:rsid w:val="008000B0"/>
    <w:rsid w:val="00800112"/>
    <w:rsid w:val="0080011E"/>
    <w:rsid w:val="0080019E"/>
    <w:rsid w:val="008001B5"/>
    <w:rsid w:val="008001C3"/>
    <w:rsid w:val="008001DF"/>
    <w:rsid w:val="008002E1"/>
    <w:rsid w:val="008002FA"/>
    <w:rsid w:val="00800328"/>
    <w:rsid w:val="00800374"/>
    <w:rsid w:val="0080038B"/>
    <w:rsid w:val="008004DB"/>
    <w:rsid w:val="00800564"/>
    <w:rsid w:val="008005DE"/>
    <w:rsid w:val="008006B9"/>
    <w:rsid w:val="008006CD"/>
    <w:rsid w:val="008006D0"/>
    <w:rsid w:val="008006E4"/>
    <w:rsid w:val="0080075A"/>
    <w:rsid w:val="008007AF"/>
    <w:rsid w:val="008008AB"/>
    <w:rsid w:val="008008D6"/>
    <w:rsid w:val="008008E7"/>
    <w:rsid w:val="00800900"/>
    <w:rsid w:val="00800913"/>
    <w:rsid w:val="00800928"/>
    <w:rsid w:val="00800957"/>
    <w:rsid w:val="00800962"/>
    <w:rsid w:val="00800989"/>
    <w:rsid w:val="008009B5"/>
    <w:rsid w:val="008009C0"/>
    <w:rsid w:val="008009E6"/>
    <w:rsid w:val="00800AB2"/>
    <w:rsid w:val="00800AEB"/>
    <w:rsid w:val="00800B0E"/>
    <w:rsid w:val="00800B2E"/>
    <w:rsid w:val="00800B30"/>
    <w:rsid w:val="00800B57"/>
    <w:rsid w:val="00800B66"/>
    <w:rsid w:val="00800BC2"/>
    <w:rsid w:val="00800BFD"/>
    <w:rsid w:val="00800C01"/>
    <w:rsid w:val="00800C16"/>
    <w:rsid w:val="00800C32"/>
    <w:rsid w:val="00800D02"/>
    <w:rsid w:val="00800DA9"/>
    <w:rsid w:val="00800EAD"/>
    <w:rsid w:val="00800F61"/>
    <w:rsid w:val="00800FC0"/>
    <w:rsid w:val="00800FDD"/>
    <w:rsid w:val="00801007"/>
    <w:rsid w:val="00801085"/>
    <w:rsid w:val="008010B5"/>
    <w:rsid w:val="0080115B"/>
    <w:rsid w:val="00801236"/>
    <w:rsid w:val="0080126D"/>
    <w:rsid w:val="00801273"/>
    <w:rsid w:val="008012B9"/>
    <w:rsid w:val="008012CC"/>
    <w:rsid w:val="0080134F"/>
    <w:rsid w:val="00801360"/>
    <w:rsid w:val="008013E9"/>
    <w:rsid w:val="00801486"/>
    <w:rsid w:val="008014A8"/>
    <w:rsid w:val="00801515"/>
    <w:rsid w:val="00801584"/>
    <w:rsid w:val="008015C3"/>
    <w:rsid w:val="0080160E"/>
    <w:rsid w:val="00801614"/>
    <w:rsid w:val="0080161B"/>
    <w:rsid w:val="00801724"/>
    <w:rsid w:val="00801756"/>
    <w:rsid w:val="0080175C"/>
    <w:rsid w:val="00801882"/>
    <w:rsid w:val="008018BE"/>
    <w:rsid w:val="008018F0"/>
    <w:rsid w:val="00801914"/>
    <w:rsid w:val="00801940"/>
    <w:rsid w:val="008019C8"/>
    <w:rsid w:val="008019F4"/>
    <w:rsid w:val="008019FD"/>
    <w:rsid w:val="00801A02"/>
    <w:rsid w:val="00801A23"/>
    <w:rsid w:val="00801A68"/>
    <w:rsid w:val="00801AFD"/>
    <w:rsid w:val="00801B1E"/>
    <w:rsid w:val="00801BF4"/>
    <w:rsid w:val="00801C08"/>
    <w:rsid w:val="00801C1C"/>
    <w:rsid w:val="00801C41"/>
    <w:rsid w:val="00801C7B"/>
    <w:rsid w:val="00801C9A"/>
    <w:rsid w:val="00801CCF"/>
    <w:rsid w:val="00801D0D"/>
    <w:rsid w:val="00801D19"/>
    <w:rsid w:val="00801D6E"/>
    <w:rsid w:val="00801D8C"/>
    <w:rsid w:val="00801D92"/>
    <w:rsid w:val="00801E1B"/>
    <w:rsid w:val="00801E3C"/>
    <w:rsid w:val="00801E4A"/>
    <w:rsid w:val="00801E6A"/>
    <w:rsid w:val="00801EAB"/>
    <w:rsid w:val="00801ECD"/>
    <w:rsid w:val="00801EE7"/>
    <w:rsid w:val="00801EEC"/>
    <w:rsid w:val="00801EED"/>
    <w:rsid w:val="00801FDB"/>
    <w:rsid w:val="00801FFA"/>
    <w:rsid w:val="008020FA"/>
    <w:rsid w:val="0080214A"/>
    <w:rsid w:val="0080221E"/>
    <w:rsid w:val="00802250"/>
    <w:rsid w:val="0080225F"/>
    <w:rsid w:val="0080230A"/>
    <w:rsid w:val="0080232B"/>
    <w:rsid w:val="00802395"/>
    <w:rsid w:val="008023A4"/>
    <w:rsid w:val="008023EA"/>
    <w:rsid w:val="00802404"/>
    <w:rsid w:val="0080245E"/>
    <w:rsid w:val="00802466"/>
    <w:rsid w:val="008024C7"/>
    <w:rsid w:val="008024F5"/>
    <w:rsid w:val="008024FA"/>
    <w:rsid w:val="00802502"/>
    <w:rsid w:val="00802573"/>
    <w:rsid w:val="0080257A"/>
    <w:rsid w:val="008025B1"/>
    <w:rsid w:val="008025C7"/>
    <w:rsid w:val="00802691"/>
    <w:rsid w:val="008026BE"/>
    <w:rsid w:val="00802732"/>
    <w:rsid w:val="0080277C"/>
    <w:rsid w:val="008027A8"/>
    <w:rsid w:val="008027E8"/>
    <w:rsid w:val="00802885"/>
    <w:rsid w:val="008028CA"/>
    <w:rsid w:val="00802971"/>
    <w:rsid w:val="0080298C"/>
    <w:rsid w:val="008029CB"/>
    <w:rsid w:val="00802A11"/>
    <w:rsid w:val="00802A14"/>
    <w:rsid w:val="00802A16"/>
    <w:rsid w:val="00802A1F"/>
    <w:rsid w:val="00802A9D"/>
    <w:rsid w:val="00802B9D"/>
    <w:rsid w:val="00802CEF"/>
    <w:rsid w:val="00802CF4"/>
    <w:rsid w:val="00802CFD"/>
    <w:rsid w:val="00802D1E"/>
    <w:rsid w:val="00802D75"/>
    <w:rsid w:val="00802DB4"/>
    <w:rsid w:val="00802DB8"/>
    <w:rsid w:val="00802DD6"/>
    <w:rsid w:val="00802DE8"/>
    <w:rsid w:val="00802DE9"/>
    <w:rsid w:val="00802E2E"/>
    <w:rsid w:val="00802EA8"/>
    <w:rsid w:val="00802ED3"/>
    <w:rsid w:val="00802F12"/>
    <w:rsid w:val="00802F3C"/>
    <w:rsid w:val="00802FB2"/>
    <w:rsid w:val="00802FBE"/>
    <w:rsid w:val="00802FC0"/>
    <w:rsid w:val="00802FC5"/>
    <w:rsid w:val="00802FE7"/>
    <w:rsid w:val="008030E8"/>
    <w:rsid w:val="0080312F"/>
    <w:rsid w:val="008031A1"/>
    <w:rsid w:val="008031D2"/>
    <w:rsid w:val="008031FA"/>
    <w:rsid w:val="0080322D"/>
    <w:rsid w:val="008032A4"/>
    <w:rsid w:val="0080337C"/>
    <w:rsid w:val="008033F1"/>
    <w:rsid w:val="0080342F"/>
    <w:rsid w:val="0080346E"/>
    <w:rsid w:val="008034A8"/>
    <w:rsid w:val="00803511"/>
    <w:rsid w:val="0080359F"/>
    <w:rsid w:val="008036B1"/>
    <w:rsid w:val="008036E4"/>
    <w:rsid w:val="00803765"/>
    <w:rsid w:val="0080378E"/>
    <w:rsid w:val="008037A4"/>
    <w:rsid w:val="00803812"/>
    <w:rsid w:val="0080381A"/>
    <w:rsid w:val="00803823"/>
    <w:rsid w:val="00803892"/>
    <w:rsid w:val="00803898"/>
    <w:rsid w:val="008038F0"/>
    <w:rsid w:val="0080390D"/>
    <w:rsid w:val="0080392E"/>
    <w:rsid w:val="00803933"/>
    <w:rsid w:val="00803969"/>
    <w:rsid w:val="008039B0"/>
    <w:rsid w:val="008039C0"/>
    <w:rsid w:val="008039E8"/>
    <w:rsid w:val="008039FB"/>
    <w:rsid w:val="00803A7A"/>
    <w:rsid w:val="00803B06"/>
    <w:rsid w:val="00803B07"/>
    <w:rsid w:val="00803B54"/>
    <w:rsid w:val="00803BFD"/>
    <w:rsid w:val="00803CD9"/>
    <w:rsid w:val="00803CE5"/>
    <w:rsid w:val="00803CEE"/>
    <w:rsid w:val="00803D03"/>
    <w:rsid w:val="00803D14"/>
    <w:rsid w:val="00803D50"/>
    <w:rsid w:val="00803DE4"/>
    <w:rsid w:val="00803DFF"/>
    <w:rsid w:val="00803E04"/>
    <w:rsid w:val="00803E30"/>
    <w:rsid w:val="00803E48"/>
    <w:rsid w:val="00803E66"/>
    <w:rsid w:val="00803EA2"/>
    <w:rsid w:val="00803ECE"/>
    <w:rsid w:val="00803F1D"/>
    <w:rsid w:val="00803F55"/>
    <w:rsid w:val="00803FAB"/>
    <w:rsid w:val="00803FB8"/>
    <w:rsid w:val="00804013"/>
    <w:rsid w:val="0080401E"/>
    <w:rsid w:val="008040E0"/>
    <w:rsid w:val="00804106"/>
    <w:rsid w:val="00804166"/>
    <w:rsid w:val="0080416B"/>
    <w:rsid w:val="00804233"/>
    <w:rsid w:val="00804289"/>
    <w:rsid w:val="008042A8"/>
    <w:rsid w:val="008042DA"/>
    <w:rsid w:val="00804382"/>
    <w:rsid w:val="008043A7"/>
    <w:rsid w:val="008043AA"/>
    <w:rsid w:val="008043E8"/>
    <w:rsid w:val="0080443A"/>
    <w:rsid w:val="0080445B"/>
    <w:rsid w:val="008044B1"/>
    <w:rsid w:val="008044E1"/>
    <w:rsid w:val="008044EF"/>
    <w:rsid w:val="00804505"/>
    <w:rsid w:val="0080455F"/>
    <w:rsid w:val="008045A7"/>
    <w:rsid w:val="008045C3"/>
    <w:rsid w:val="0080460A"/>
    <w:rsid w:val="00804652"/>
    <w:rsid w:val="0080474C"/>
    <w:rsid w:val="00804798"/>
    <w:rsid w:val="008047BA"/>
    <w:rsid w:val="008047E6"/>
    <w:rsid w:val="008048E1"/>
    <w:rsid w:val="0080493C"/>
    <w:rsid w:val="00804946"/>
    <w:rsid w:val="0080494A"/>
    <w:rsid w:val="0080497D"/>
    <w:rsid w:val="008049B8"/>
    <w:rsid w:val="008049E7"/>
    <w:rsid w:val="00804A2E"/>
    <w:rsid w:val="00804A42"/>
    <w:rsid w:val="00804A74"/>
    <w:rsid w:val="00804B8C"/>
    <w:rsid w:val="00804B96"/>
    <w:rsid w:val="00804C89"/>
    <w:rsid w:val="00804CF7"/>
    <w:rsid w:val="00804CFC"/>
    <w:rsid w:val="00804D63"/>
    <w:rsid w:val="00804D79"/>
    <w:rsid w:val="00804D89"/>
    <w:rsid w:val="00804D96"/>
    <w:rsid w:val="00804E93"/>
    <w:rsid w:val="00804F5D"/>
    <w:rsid w:val="00804FB4"/>
    <w:rsid w:val="00804FF3"/>
    <w:rsid w:val="00805005"/>
    <w:rsid w:val="0080502B"/>
    <w:rsid w:val="008050BB"/>
    <w:rsid w:val="008050C1"/>
    <w:rsid w:val="008050DA"/>
    <w:rsid w:val="00805112"/>
    <w:rsid w:val="00805115"/>
    <w:rsid w:val="00805126"/>
    <w:rsid w:val="00805159"/>
    <w:rsid w:val="008051A4"/>
    <w:rsid w:val="008051A7"/>
    <w:rsid w:val="008051E4"/>
    <w:rsid w:val="008052FA"/>
    <w:rsid w:val="0080534E"/>
    <w:rsid w:val="008053F1"/>
    <w:rsid w:val="008054C2"/>
    <w:rsid w:val="0080556A"/>
    <w:rsid w:val="008055C4"/>
    <w:rsid w:val="0080565D"/>
    <w:rsid w:val="008056C7"/>
    <w:rsid w:val="008056D7"/>
    <w:rsid w:val="008056EB"/>
    <w:rsid w:val="00805765"/>
    <w:rsid w:val="0080578F"/>
    <w:rsid w:val="00805809"/>
    <w:rsid w:val="00805827"/>
    <w:rsid w:val="0080585B"/>
    <w:rsid w:val="008058D7"/>
    <w:rsid w:val="008058E4"/>
    <w:rsid w:val="00805926"/>
    <w:rsid w:val="00805930"/>
    <w:rsid w:val="00805959"/>
    <w:rsid w:val="00805982"/>
    <w:rsid w:val="00805995"/>
    <w:rsid w:val="00805AE9"/>
    <w:rsid w:val="00805C83"/>
    <w:rsid w:val="00805CA1"/>
    <w:rsid w:val="00805D2E"/>
    <w:rsid w:val="00805D96"/>
    <w:rsid w:val="00805DCD"/>
    <w:rsid w:val="00805E08"/>
    <w:rsid w:val="00805E6E"/>
    <w:rsid w:val="00805E71"/>
    <w:rsid w:val="00805EE8"/>
    <w:rsid w:val="00805F69"/>
    <w:rsid w:val="00805F90"/>
    <w:rsid w:val="0080602D"/>
    <w:rsid w:val="0080604B"/>
    <w:rsid w:val="008060AE"/>
    <w:rsid w:val="008060E9"/>
    <w:rsid w:val="00806119"/>
    <w:rsid w:val="0080611D"/>
    <w:rsid w:val="008061D1"/>
    <w:rsid w:val="008061DB"/>
    <w:rsid w:val="0080624E"/>
    <w:rsid w:val="00806252"/>
    <w:rsid w:val="00806253"/>
    <w:rsid w:val="008062AC"/>
    <w:rsid w:val="008062E8"/>
    <w:rsid w:val="008063CC"/>
    <w:rsid w:val="008063E4"/>
    <w:rsid w:val="008063F9"/>
    <w:rsid w:val="00806437"/>
    <w:rsid w:val="00806474"/>
    <w:rsid w:val="0080657A"/>
    <w:rsid w:val="008065ED"/>
    <w:rsid w:val="0080661A"/>
    <w:rsid w:val="00806671"/>
    <w:rsid w:val="00806693"/>
    <w:rsid w:val="008066F7"/>
    <w:rsid w:val="00806774"/>
    <w:rsid w:val="00806776"/>
    <w:rsid w:val="008067F0"/>
    <w:rsid w:val="00806840"/>
    <w:rsid w:val="00806857"/>
    <w:rsid w:val="008068E0"/>
    <w:rsid w:val="008068F6"/>
    <w:rsid w:val="008068FE"/>
    <w:rsid w:val="0080696C"/>
    <w:rsid w:val="00806AA6"/>
    <w:rsid w:val="00806AC0"/>
    <w:rsid w:val="00806ACC"/>
    <w:rsid w:val="00806B44"/>
    <w:rsid w:val="00806B68"/>
    <w:rsid w:val="00806BC6"/>
    <w:rsid w:val="00806C24"/>
    <w:rsid w:val="00806C2F"/>
    <w:rsid w:val="00806CDD"/>
    <w:rsid w:val="00806D30"/>
    <w:rsid w:val="00806D92"/>
    <w:rsid w:val="00806DFE"/>
    <w:rsid w:val="00806EAA"/>
    <w:rsid w:val="00806EB1"/>
    <w:rsid w:val="00806EFA"/>
    <w:rsid w:val="00806F2F"/>
    <w:rsid w:val="00806F94"/>
    <w:rsid w:val="00806FA9"/>
    <w:rsid w:val="00807049"/>
    <w:rsid w:val="0080707C"/>
    <w:rsid w:val="008070AD"/>
    <w:rsid w:val="0080710A"/>
    <w:rsid w:val="008071FC"/>
    <w:rsid w:val="008072FD"/>
    <w:rsid w:val="0080732E"/>
    <w:rsid w:val="00807365"/>
    <w:rsid w:val="00807389"/>
    <w:rsid w:val="0080747F"/>
    <w:rsid w:val="00807503"/>
    <w:rsid w:val="00807574"/>
    <w:rsid w:val="00807581"/>
    <w:rsid w:val="00807677"/>
    <w:rsid w:val="00807681"/>
    <w:rsid w:val="00807686"/>
    <w:rsid w:val="00807688"/>
    <w:rsid w:val="008076DF"/>
    <w:rsid w:val="00807763"/>
    <w:rsid w:val="00807766"/>
    <w:rsid w:val="00807789"/>
    <w:rsid w:val="00807798"/>
    <w:rsid w:val="008077E4"/>
    <w:rsid w:val="0080799C"/>
    <w:rsid w:val="008079DF"/>
    <w:rsid w:val="00807A0B"/>
    <w:rsid w:val="00807A29"/>
    <w:rsid w:val="00807A6B"/>
    <w:rsid w:val="00807ADD"/>
    <w:rsid w:val="00807B73"/>
    <w:rsid w:val="00807C3B"/>
    <w:rsid w:val="00807D87"/>
    <w:rsid w:val="00807DEA"/>
    <w:rsid w:val="00807DF6"/>
    <w:rsid w:val="00807E14"/>
    <w:rsid w:val="00807EB0"/>
    <w:rsid w:val="00807F00"/>
    <w:rsid w:val="00807F47"/>
    <w:rsid w:val="00807FC7"/>
    <w:rsid w:val="00807FFA"/>
    <w:rsid w:val="00810042"/>
    <w:rsid w:val="00810078"/>
    <w:rsid w:val="0081007A"/>
    <w:rsid w:val="00810088"/>
    <w:rsid w:val="00810099"/>
    <w:rsid w:val="008100C5"/>
    <w:rsid w:val="008100DF"/>
    <w:rsid w:val="008100ED"/>
    <w:rsid w:val="00810127"/>
    <w:rsid w:val="0081026A"/>
    <w:rsid w:val="00810285"/>
    <w:rsid w:val="008102FA"/>
    <w:rsid w:val="00810386"/>
    <w:rsid w:val="0081039B"/>
    <w:rsid w:val="008103B6"/>
    <w:rsid w:val="00810414"/>
    <w:rsid w:val="00810452"/>
    <w:rsid w:val="00810501"/>
    <w:rsid w:val="00810517"/>
    <w:rsid w:val="0081053F"/>
    <w:rsid w:val="0081056C"/>
    <w:rsid w:val="00810615"/>
    <w:rsid w:val="008106A4"/>
    <w:rsid w:val="008106C4"/>
    <w:rsid w:val="008106E0"/>
    <w:rsid w:val="008107DA"/>
    <w:rsid w:val="0081082D"/>
    <w:rsid w:val="00810867"/>
    <w:rsid w:val="0081086F"/>
    <w:rsid w:val="008108AC"/>
    <w:rsid w:val="008108CC"/>
    <w:rsid w:val="008108D1"/>
    <w:rsid w:val="008108E9"/>
    <w:rsid w:val="0081093F"/>
    <w:rsid w:val="00810943"/>
    <w:rsid w:val="0081096B"/>
    <w:rsid w:val="00810972"/>
    <w:rsid w:val="0081098F"/>
    <w:rsid w:val="008109B5"/>
    <w:rsid w:val="008109C9"/>
    <w:rsid w:val="008109F1"/>
    <w:rsid w:val="00810A54"/>
    <w:rsid w:val="00810A64"/>
    <w:rsid w:val="00810A82"/>
    <w:rsid w:val="00810AB4"/>
    <w:rsid w:val="00810B79"/>
    <w:rsid w:val="00810B8E"/>
    <w:rsid w:val="00810BC2"/>
    <w:rsid w:val="00810C17"/>
    <w:rsid w:val="00810C1F"/>
    <w:rsid w:val="00810C96"/>
    <w:rsid w:val="00810CC4"/>
    <w:rsid w:val="00810D78"/>
    <w:rsid w:val="00810E5E"/>
    <w:rsid w:val="00810E8C"/>
    <w:rsid w:val="00810EF3"/>
    <w:rsid w:val="00810F21"/>
    <w:rsid w:val="00810FA4"/>
    <w:rsid w:val="00810FCD"/>
    <w:rsid w:val="00811001"/>
    <w:rsid w:val="0081105E"/>
    <w:rsid w:val="00811064"/>
    <w:rsid w:val="008110A6"/>
    <w:rsid w:val="008110C9"/>
    <w:rsid w:val="0081112D"/>
    <w:rsid w:val="00811188"/>
    <w:rsid w:val="0081118B"/>
    <w:rsid w:val="00811190"/>
    <w:rsid w:val="00811243"/>
    <w:rsid w:val="008112AB"/>
    <w:rsid w:val="008112BD"/>
    <w:rsid w:val="00811328"/>
    <w:rsid w:val="0081137B"/>
    <w:rsid w:val="008113AA"/>
    <w:rsid w:val="00811418"/>
    <w:rsid w:val="00811426"/>
    <w:rsid w:val="0081145A"/>
    <w:rsid w:val="00811485"/>
    <w:rsid w:val="00811530"/>
    <w:rsid w:val="0081153F"/>
    <w:rsid w:val="008115F2"/>
    <w:rsid w:val="008115FC"/>
    <w:rsid w:val="0081167A"/>
    <w:rsid w:val="0081169D"/>
    <w:rsid w:val="008116B5"/>
    <w:rsid w:val="008116D2"/>
    <w:rsid w:val="0081172C"/>
    <w:rsid w:val="00811806"/>
    <w:rsid w:val="00811812"/>
    <w:rsid w:val="00811864"/>
    <w:rsid w:val="0081187E"/>
    <w:rsid w:val="00811896"/>
    <w:rsid w:val="00811968"/>
    <w:rsid w:val="0081197D"/>
    <w:rsid w:val="008119AE"/>
    <w:rsid w:val="00811A01"/>
    <w:rsid w:val="00811A0E"/>
    <w:rsid w:val="00811A4E"/>
    <w:rsid w:val="00811ADB"/>
    <w:rsid w:val="00811B39"/>
    <w:rsid w:val="00811B46"/>
    <w:rsid w:val="00811B66"/>
    <w:rsid w:val="00811C2E"/>
    <w:rsid w:val="00811C71"/>
    <w:rsid w:val="00811CA4"/>
    <w:rsid w:val="00811CAE"/>
    <w:rsid w:val="00811CD7"/>
    <w:rsid w:val="00811CE5"/>
    <w:rsid w:val="00811CF5"/>
    <w:rsid w:val="00811D48"/>
    <w:rsid w:val="00811D5B"/>
    <w:rsid w:val="00811DB7"/>
    <w:rsid w:val="00811E57"/>
    <w:rsid w:val="00811E7E"/>
    <w:rsid w:val="00811ED0"/>
    <w:rsid w:val="00811ED6"/>
    <w:rsid w:val="00811EDC"/>
    <w:rsid w:val="00811F42"/>
    <w:rsid w:val="00811FA8"/>
    <w:rsid w:val="00811FE0"/>
    <w:rsid w:val="008120BE"/>
    <w:rsid w:val="0081215B"/>
    <w:rsid w:val="00812196"/>
    <w:rsid w:val="00812198"/>
    <w:rsid w:val="008121E1"/>
    <w:rsid w:val="008121E5"/>
    <w:rsid w:val="00812280"/>
    <w:rsid w:val="00812286"/>
    <w:rsid w:val="008122E0"/>
    <w:rsid w:val="008122EE"/>
    <w:rsid w:val="00812319"/>
    <w:rsid w:val="0081237C"/>
    <w:rsid w:val="00812391"/>
    <w:rsid w:val="008123A2"/>
    <w:rsid w:val="008123A9"/>
    <w:rsid w:val="008123AF"/>
    <w:rsid w:val="00812409"/>
    <w:rsid w:val="00812496"/>
    <w:rsid w:val="008124FF"/>
    <w:rsid w:val="0081255B"/>
    <w:rsid w:val="0081261A"/>
    <w:rsid w:val="00812626"/>
    <w:rsid w:val="0081262E"/>
    <w:rsid w:val="008126F1"/>
    <w:rsid w:val="00812837"/>
    <w:rsid w:val="00812901"/>
    <w:rsid w:val="00812902"/>
    <w:rsid w:val="0081290A"/>
    <w:rsid w:val="00812970"/>
    <w:rsid w:val="008129A3"/>
    <w:rsid w:val="00812A2E"/>
    <w:rsid w:val="00812A3E"/>
    <w:rsid w:val="00812A98"/>
    <w:rsid w:val="00812AD2"/>
    <w:rsid w:val="00812B6D"/>
    <w:rsid w:val="00812B92"/>
    <w:rsid w:val="00812BD2"/>
    <w:rsid w:val="00812BEB"/>
    <w:rsid w:val="00812D03"/>
    <w:rsid w:val="00812D09"/>
    <w:rsid w:val="00812D76"/>
    <w:rsid w:val="00812DB8"/>
    <w:rsid w:val="00812E53"/>
    <w:rsid w:val="00812E83"/>
    <w:rsid w:val="00812ECD"/>
    <w:rsid w:val="00812F08"/>
    <w:rsid w:val="008130DA"/>
    <w:rsid w:val="008130E5"/>
    <w:rsid w:val="0081314E"/>
    <w:rsid w:val="008131E6"/>
    <w:rsid w:val="0081323A"/>
    <w:rsid w:val="00813268"/>
    <w:rsid w:val="0081327D"/>
    <w:rsid w:val="008132A5"/>
    <w:rsid w:val="008132BB"/>
    <w:rsid w:val="008132CC"/>
    <w:rsid w:val="00813345"/>
    <w:rsid w:val="0081337D"/>
    <w:rsid w:val="008133AA"/>
    <w:rsid w:val="008133D9"/>
    <w:rsid w:val="008133E7"/>
    <w:rsid w:val="008133F3"/>
    <w:rsid w:val="008133FA"/>
    <w:rsid w:val="008134A5"/>
    <w:rsid w:val="008134B1"/>
    <w:rsid w:val="008134B6"/>
    <w:rsid w:val="008134CE"/>
    <w:rsid w:val="008134D1"/>
    <w:rsid w:val="00813521"/>
    <w:rsid w:val="00813636"/>
    <w:rsid w:val="0081367E"/>
    <w:rsid w:val="0081369A"/>
    <w:rsid w:val="00813757"/>
    <w:rsid w:val="00813795"/>
    <w:rsid w:val="008137CD"/>
    <w:rsid w:val="00813842"/>
    <w:rsid w:val="00813847"/>
    <w:rsid w:val="008138B6"/>
    <w:rsid w:val="00813929"/>
    <w:rsid w:val="00813936"/>
    <w:rsid w:val="00813A31"/>
    <w:rsid w:val="00813A9A"/>
    <w:rsid w:val="00813B49"/>
    <w:rsid w:val="00813B7B"/>
    <w:rsid w:val="00813BFC"/>
    <w:rsid w:val="00813C24"/>
    <w:rsid w:val="00813C28"/>
    <w:rsid w:val="00813C42"/>
    <w:rsid w:val="00813C62"/>
    <w:rsid w:val="00813D15"/>
    <w:rsid w:val="00813D68"/>
    <w:rsid w:val="00813D7E"/>
    <w:rsid w:val="00813D82"/>
    <w:rsid w:val="00813DBB"/>
    <w:rsid w:val="00813DEF"/>
    <w:rsid w:val="00813E51"/>
    <w:rsid w:val="00813E93"/>
    <w:rsid w:val="00813F30"/>
    <w:rsid w:val="00813F73"/>
    <w:rsid w:val="00813F89"/>
    <w:rsid w:val="0081400A"/>
    <w:rsid w:val="00814053"/>
    <w:rsid w:val="00814099"/>
    <w:rsid w:val="0081409E"/>
    <w:rsid w:val="008140C5"/>
    <w:rsid w:val="008140FE"/>
    <w:rsid w:val="008141CB"/>
    <w:rsid w:val="008141CC"/>
    <w:rsid w:val="008141F2"/>
    <w:rsid w:val="008141F7"/>
    <w:rsid w:val="00814265"/>
    <w:rsid w:val="008142CE"/>
    <w:rsid w:val="008142D9"/>
    <w:rsid w:val="008142E9"/>
    <w:rsid w:val="008142EA"/>
    <w:rsid w:val="0081435E"/>
    <w:rsid w:val="00814364"/>
    <w:rsid w:val="00814379"/>
    <w:rsid w:val="0081438B"/>
    <w:rsid w:val="008143A2"/>
    <w:rsid w:val="008143A8"/>
    <w:rsid w:val="00814419"/>
    <w:rsid w:val="0081441B"/>
    <w:rsid w:val="0081448B"/>
    <w:rsid w:val="008144AB"/>
    <w:rsid w:val="008144C7"/>
    <w:rsid w:val="008144E3"/>
    <w:rsid w:val="008144E4"/>
    <w:rsid w:val="008144E6"/>
    <w:rsid w:val="00814522"/>
    <w:rsid w:val="00814553"/>
    <w:rsid w:val="00814572"/>
    <w:rsid w:val="008145CF"/>
    <w:rsid w:val="00814629"/>
    <w:rsid w:val="00814681"/>
    <w:rsid w:val="0081468E"/>
    <w:rsid w:val="008146C6"/>
    <w:rsid w:val="00814744"/>
    <w:rsid w:val="00814783"/>
    <w:rsid w:val="008147DB"/>
    <w:rsid w:val="00814816"/>
    <w:rsid w:val="00814833"/>
    <w:rsid w:val="008148DE"/>
    <w:rsid w:val="008148EE"/>
    <w:rsid w:val="00814988"/>
    <w:rsid w:val="00814990"/>
    <w:rsid w:val="008149AD"/>
    <w:rsid w:val="00814A5A"/>
    <w:rsid w:val="00814A74"/>
    <w:rsid w:val="00814AD1"/>
    <w:rsid w:val="00814B00"/>
    <w:rsid w:val="00814C38"/>
    <w:rsid w:val="00814C7C"/>
    <w:rsid w:val="00814CF1"/>
    <w:rsid w:val="00814D14"/>
    <w:rsid w:val="00814DE1"/>
    <w:rsid w:val="00814E04"/>
    <w:rsid w:val="00814E0B"/>
    <w:rsid w:val="00814E3E"/>
    <w:rsid w:val="00814EBA"/>
    <w:rsid w:val="00814ED3"/>
    <w:rsid w:val="00814F49"/>
    <w:rsid w:val="00814F71"/>
    <w:rsid w:val="00815006"/>
    <w:rsid w:val="008150E1"/>
    <w:rsid w:val="008150E8"/>
    <w:rsid w:val="00815113"/>
    <w:rsid w:val="00815146"/>
    <w:rsid w:val="00815174"/>
    <w:rsid w:val="00815184"/>
    <w:rsid w:val="008151AE"/>
    <w:rsid w:val="008151B7"/>
    <w:rsid w:val="008151CA"/>
    <w:rsid w:val="008151DE"/>
    <w:rsid w:val="008151E0"/>
    <w:rsid w:val="00815275"/>
    <w:rsid w:val="008152EF"/>
    <w:rsid w:val="00815340"/>
    <w:rsid w:val="00815364"/>
    <w:rsid w:val="008153C1"/>
    <w:rsid w:val="0081546B"/>
    <w:rsid w:val="00815527"/>
    <w:rsid w:val="00815550"/>
    <w:rsid w:val="0081556A"/>
    <w:rsid w:val="008155F7"/>
    <w:rsid w:val="00815664"/>
    <w:rsid w:val="00815775"/>
    <w:rsid w:val="008157DD"/>
    <w:rsid w:val="008157F1"/>
    <w:rsid w:val="0081582B"/>
    <w:rsid w:val="00815886"/>
    <w:rsid w:val="00815925"/>
    <w:rsid w:val="00815997"/>
    <w:rsid w:val="008159AD"/>
    <w:rsid w:val="00815A01"/>
    <w:rsid w:val="00815A91"/>
    <w:rsid w:val="00815AF3"/>
    <w:rsid w:val="00815B02"/>
    <w:rsid w:val="00815B18"/>
    <w:rsid w:val="00815B4D"/>
    <w:rsid w:val="00815C30"/>
    <w:rsid w:val="00815C33"/>
    <w:rsid w:val="00815C6A"/>
    <w:rsid w:val="00815D42"/>
    <w:rsid w:val="00815D91"/>
    <w:rsid w:val="00815DA4"/>
    <w:rsid w:val="00815E9B"/>
    <w:rsid w:val="00815EA9"/>
    <w:rsid w:val="00815F24"/>
    <w:rsid w:val="00815F72"/>
    <w:rsid w:val="00815FB3"/>
    <w:rsid w:val="00815FE7"/>
    <w:rsid w:val="0081600C"/>
    <w:rsid w:val="0081601F"/>
    <w:rsid w:val="0081603C"/>
    <w:rsid w:val="0081608E"/>
    <w:rsid w:val="008160AE"/>
    <w:rsid w:val="008160E8"/>
    <w:rsid w:val="008160FE"/>
    <w:rsid w:val="0081611E"/>
    <w:rsid w:val="00816175"/>
    <w:rsid w:val="00816197"/>
    <w:rsid w:val="008161BF"/>
    <w:rsid w:val="0081622B"/>
    <w:rsid w:val="00816257"/>
    <w:rsid w:val="0081628C"/>
    <w:rsid w:val="008162C6"/>
    <w:rsid w:val="008162D2"/>
    <w:rsid w:val="0081646C"/>
    <w:rsid w:val="0081648A"/>
    <w:rsid w:val="0081648E"/>
    <w:rsid w:val="008164DF"/>
    <w:rsid w:val="008164EA"/>
    <w:rsid w:val="00816510"/>
    <w:rsid w:val="0081653E"/>
    <w:rsid w:val="00816559"/>
    <w:rsid w:val="0081655A"/>
    <w:rsid w:val="00816566"/>
    <w:rsid w:val="0081659E"/>
    <w:rsid w:val="008165EC"/>
    <w:rsid w:val="008165EE"/>
    <w:rsid w:val="008165F7"/>
    <w:rsid w:val="00816674"/>
    <w:rsid w:val="008166A8"/>
    <w:rsid w:val="008166E1"/>
    <w:rsid w:val="00816781"/>
    <w:rsid w:val="00816793"/>
    <w:rsid w:val="008167BA"/>
    <w:rsid w:val="008167BE"/>
    <w:rsid w:val="008167C1"/>
    <w:rsid w:val="0081685E"/>
    <w:rsid w:val="0081686F"/>
    <w:rsid w:val="00816888"/>
    <w:rsid w:val="008168AE"/>
    <w:rsid w:val="008168B4"/>
    <w:rsid w:val="008168CA"/>
    <w:rsid w:val="008168CB"/>
    <w:rsid w:val="008168E5"/>
    <w:rsid w:val="008169A1"/>
    <w:rsid w:val="008169CB"/>
    <w:rsid w:val="00816A1B"/>
    <w:rsid w:val="00816A77"/>
    <w:rsid w:val="00816A86"/>
    <w:rsid w:val="00816A92"/>
    <w:rsid w:val="00816AF6"/>
    <w:rsid w:val="00816B3D"/>
    <w:rsid w:val="00816B5D"/>
    <w:rsid w:val="00816B73"/>
    <w:rsid w:val="00816B85"/>
    <w:rsid w:val="00816BA8"/>
    <w:rsid w:val="00816C2C"/>
    <w:rsid w:val="00816C31"/>
    <w:rsid w:val="00816C3F"/>
    <w:rsid w:val="00816C49"/>
    <w:rsid w:val="00816D18"/>
    <w:rsid w:val="00816DE9"/>
    <w:rsid w:val="00816E5D"/>
    <w:rsid w:val="00816EDC"/>
    <w:rsid w:val="00816F0E"/>
    <w:rsid w:val="00816F0F"/>
    <w:rsid w:val="00816F9C"/>
    <w:rsid w:val="00816FE4"/>
    <w:rsid w:val="00816FEF"/>
    <w:rsid w:val="00817032"/>
    <w:rsid w:val="00817048"/>
    <w:rsid w:val="00817055"/>
    <w:rsid w:val="0081708A"/>
    <w:rsid w:val="008170CC"/>
    <w:rsid w:val="008170DD"/>
    <w:rsid w:val="008170EC"/>
    <w:rsid w:val="008170F6"/>
    <w:rsid w:val="00817117"/>
    <w:rsid w:val="008171E7"/>
    <w:rsid w:val="008171FF"/>
    <w:rsid w:val="008172C3"/>
    <w:rsid w:val="008172F2"/>
    <w:rsid w:val="00817346"/>
    <w:rsid w:val="0081737B"/>
    <w:rsid w:val="008173DD"/>
    <w:rsid w:val="00817412"/>
    <w:rsid w:val="0081741F"/>
    <w:rsid w:val="0081742C"/>
    <w:rsid w:val="0081742D"/>
    <w:rsid w:val="00817445"/>
    <w:rsid w:val="00817448"/>
    <w:rsid w:val="00817479"/>
    <w:rsid w:val="008174D1"/>
    <w:rsid w:val="0081753C"/>
    <w:rsid w:val="00817593"/>
    <w:rsid w:val="00817594"/>
    <w:rsid w:val="008175B1"/>
    <w:rsid w:val="00817607"/>
    <w:rsid w:val="00817652"/>
    <w:rsid w:val="00817661"/>
    <w:rsid w:val="00817674"/>
    <w:rsid w:val="00817693"/>
    <w:rsid w:val="008176D5"/>
    <w:rsid w:val="00817735"/>
    <w:rsid w:val="0081777C"/>
    <w:rsid w:val="00817797"/>
    <w:rsid w:val="00817811"/>
    <w:rsid w:val="0081781E"/>
    <w:rsid w:val="0081788B"/>
    <w:rsid w:val="0081788D"/>
    <w:rsid w:val="00817923"/>
    <w:rsid w:val="008179F5"/>
    <w:rsid w:val="008179FC"/>
    <w:rsid w:val="00817A0F"/>
    <w:rsid w:val="00817A20"/>
    <w:rsid w:val="00817A22"/>
    <w:rsid w:val="00817ACB"/>
    <w:rsid w:val="00817AE8"/>
    <w:rsid w:val="00817B12"/>
    <w:rsid w:val="00817B2A"/>
    <w:rsid w:val="00817BC6"/>
    <w:rsid w:val="00817BD3"/>
    <w:rsid w:val="00817CB2"/>
    <w:rsid w:val="00817CDB"/>
    <w:rsid w:val="00817D93"/>
    <w:rsid w:val="00817E07"/>
    <w:rsid w:val="00817F3B"/>
    <w:rsid w:val="00817FA0"/>
    <w:rsid w:val="0082000C"/>
    <w:rsid w:val="00820073"/>
    <w:rsid w:val="008200BB"/>
    <w:rsid w:val="008200C5"/>
    <w:rsid w:val="008200D2"/>
    <w:rsid w:val="008200E6"/>
    <w:rsid w:val="00820124"/>
    <w:rsid w:val="0082013D"/>
    <w:rsid w:val="0082014D"/>
    <w:rsid w:val="008201DE"/>
    <w:rsid w:val="008201F5"/>
    <w:rsid w:val="008201FD"/>
    <w:rsid w:val="00820208"/>
    <w:rsid w:val="00820218"/>
    <w:rsid w:val="00820233"/>
    <w:rsid w:val="00820236"/>
    <w:rsid w:val="008202D2"/>
    <w:rsid w:val="0082035C"/>
    <w:rsid w:val="00820376"/>
    <w:rsid w:val="0082037D"/>
    <w:rsid w:val="00820475"/>
    <w:rsid w:val="0082047A"/>
    <w:rsid w:val="00820488"/>
    <w:rsid w:val="008204B5"/>
    <w:rsid w:val="00820641"/>
    <w:rsid w:val="00820652"/>
    <w:rsid w:val="00820762"/>
    <w:rsid w:val="008207B8"/>
    <w:rsid w:val="008207DE"/>
    <w:rsid w:val="008207FC"/>
    <w:rsid w:val="00820853"/>
    <w:rsid w:val="00820892"/>
    <w:rsid w:val="00820917"/>
    <w:rsid w:val="0082091A"/>
    <w:rsid w:val="0082091B"/>
    <w:rsid w:val="0082093C"/>
    <w:rsid w:val="00820962"/>
    <w:rsid w:val="00820973"/>
    <w:rsid w:val="0082097B"/>
    <w:rsid w:val="0082097F"/>
    <w:rsid w:val="008209C4"/>
    <w:rsid w:val="008209FD"/>
    <w:rsid w:val="00820A1E"/>
    <w:rsid w:val="00820A9A"/>
    <w:rsid w:val="00820AAC"/>
    <w:rsid w:val="00820B6B"/>
    <w:rsid w:val="00820BC5"/>
    <w:rsid w:val="00820BD9"/>
    <w:rsid w:val="00820BF1"/>
    <w:rsid w:val="00820C13"/>
    <w:rsid w:val="00820CA7"/>
    <w:rsid w:val="00820CC7"/>
    <w:rsid w:val="00820D42"/>
    <w:rsid w:val="00820DFB"/>
    <w:rsid w:val="00820E11"/>
    <w:rsid w:val="00820E49"/>
    <w:rsid w:val="00820E84"/>
    <w:rsid w:val="00820E98"/>
    <w:rsid w:val="00820EA6"/>
    <w:rsid w:val="00820F0B"/>
    <w:rsid w:val="00820F15"/>
    <w:rsid w:val="00820F16"/>
    <w:rsid w:val="00820F19"/>
    <w:rsid w:val="00820F36"/>
    <w:rsid w:val="00820FA7"/>
    <w:rsid w:val="00820FC6"/>
    <w:rsid w:val="00820FD0"/>
    <w:rsid w:val="00821003"/>
    <w:rsid w:val="008210AE"/>
    <w:rsid w:val="008210DB"/>
    <w:rsid w:val="00821148"/>
    <w:rsid w:val="008211E3"/>
    <w:rsid w:val="0082122F"/>
    <w:rsid w:val="0082126C"/>
    <w:rsid w:val="00821293"/>
    <w:rsid w:val="008212CF"/>
    <w:rsid w:val="008212F6"/>
    <w:rsid w:val="00821328"/>
    <w:rsid w:val="0082138F"/>
    <w:rsid w:val="008213A3"/>
    <w:rsid w:val="008213A5"/>
    <w:rsid w:val="008213E7"/>
    <w:rsid w:val="008213EE"/>
    <w:rsid w:val="00821441"/>
    <w:rsid w:val="00821474"/>
    <w:rsid w:val="00821480"/>
    <w:rsid w:val="008214E1"/>
    <w:rsid w:val="0082152B"/>
    <w:rsid w:val="008215CD"/>
    <w:rsid w:val="008216BF"/>
    <w:rsid w:val="0082171D"/>
    <w:rsid w:val="00821742"/>
    <w:rsid w:val="00821749"/>
    <w:rsid w:val="008217E5"/>
    <w:rsid w:val="008217FC"/>
    <w:rsid w:val="00821849"/>
    <w:rsid w:val="0082184B"/>
    <w:rsid w:val="00821861"/>
    <w:rsid w:val="008218FD"/>
    <w:rsid w:val="00821943"/>
    <w:rsid w:val="00821A15"/>
    <w:rsid w:val="00821A43"/>
    <w:rsid w:val="00821A65"/>
    <w:rsid w:val="00821B43"/>
    <w:rsid w:val="00821B70"/>
    <w:rsid w:val="00821BA3"/>
    <w:rsid w:val="00821C2E"/>
    <w:rsid w:val="00821C56"/>
    <w:rsid w:val="00821C73"/>
    <w:rsid w:val="00821C79"/>
    <w:rsid w:val="00821C7F"/>
    <w:rsid w:val="00821CFF"/>
    <w:rsid w:val="00821D31"/>
    <w:rsid w:val="00821D61"/>
    <w:rsid w:val="00821E51"/>
    <w:rsid w:val="00821E52"/>
    <w:rsid w:val="00821E8B"/>
    <w:rsid w:val="00821EF2"/>
    <w:rsid w:val="00821EF7"/>
    <w:rsid w:val="00821F16"/>
    <w:rsid w:val="00821F49"/>
    <w:rsid w:val="00821FAA"/>
    <w:rsid w:val="00821FB6"/>
    <w:rsid w:val="0082205D"/>
    <w:rsid w:val="00822130"/>
    <w:rsid w:val="00822171"/>
    <w:rsid w:val="00822179"/>
    <w:rsid w:val="00822257"/>
    <w:rsid w:val="0082228B"/>
    <w:rsid w:val="0082230B"/>
    <w:rsid w:val="0082230C"/>
    <w:rsid w:val="00822312"/>
    <w:rsid w:val="0082231D"/>
    <w:rsid w:val="00822356"/>
    <w:rsid w:val="0082235D"/>
    <w:rsid w:val="008223DF"/>
    <w:rsid w:val="00822416"/>
    <w:rsid w:val="00822430"/>
    <w:rsid w:val="0082243C"/>
    <w:rsid w:val="00822539"/>
    <w:rsid w:val="008225AD"/>
    <w:rsid w:val="008225F1"/>
    <w:rsid w:val="00822643"/>
    <w:rsid w:val="00822648"/>
    <w:rsid w:val="008226ED"/>
    <w:rsid w:val="008226F4"/>
    <w:rsid w:val="0082277A"/>
    <w:rsid w:val="00822782"/>
    <w:rsid w:val="0082288C"/>
    <w:rsid w:val="00822899"/>
    <w:rsid w:val="00822984"/>
    <w:rsid w:val="00822A2D"/>
    <w:rsid w:val="00822A4D"/>
    <w:rsid w:val="00822AD0"/>
    <w:rsid w:val="00822ADA"/>
    <w:rsid w:val="00822AE9"/>
    <w:rsid w:val="00822B33"/>
    <w:rsid w:val="00822B35"/>
    <w:rsid w:val="00822B3E"/>
    <w:rsid w:val="00822B8C"/>
    <w:rsid w:val="00822BCF"/>
    <w:rsid w:val="00822C37"/>
    <w:rsid w:val="00822C50"/>
    <w:rsid w:val="00822D4E"/>
    <w:rsid w:val="00822D8E"/>
    <w:rsid w:val="00822DB4"/>
    <w:rsid w:val="00822DC5"/>
    <w:rsid w:val="00822DD7"/>
    <w:rsid w:val="00822DE2"/>
    <w:rsid w:val="00822DF9"/>
    <w:rsid w:val="00822DFA"/>
    <w:rsid w:val="00822E1F"/>
    <w:rsid w:val="00822E8E"/>
    <w:rsid w:val="00822EC7"/>
    <w:rsid w:val="00822F09"/>
    <w:rsid w:val="00822F30"/>
    <w:rsid w:val="00822F32"/>
    <w:rsid w:val="00822F6C"/>
    <w:rsid w:val="0082304C"/>
    <w:rsid w:val="0082305E"/>
    <w:rsid w:val="00823060"/>
    <w:rsid w:val="0082306E"/>
    <w:rsid w:val="0082308F"/>
    <w:rsid w:val="00823126"/>
    <w:rsid w:val="0082312F"/>
    <w:rsid w:val="00823130"/>
    <w:rsid w:val="0082318C"/>
    <w:rsid w:val="008231BF"/>
    <w:rsid w:val="008231C0"/>
    <w:rsid w:val="008231C1"/>
    <w:rsid w:val="00823236"/>
    <w:rsid w:val="00823263"/>
    <w:rsid w:val="00823271"/>
    <w:rsid w:val="008232A9"/>
    <w:rsid w:val="008232BF"/>
    <w:rsid w:val="008232C4"/>
    <w:rsid w:val="0082330C"/>
    <w:rsid w:val="00823311"/>
    <w:rsid w:val="00823342"/>
    <w:rsid w:val="0082334D"/>
    <w:rsid w:val="0082336A"/>
    <w:rsid w:val="00823385"/>
    <w:rsid w:val="00823394"/>
    <w:rsid w:val="008233D4"/>
    <w:rsid w:val="008233FE"/>
    <w:rsid w:val="0082340F"/>
    <w:rsid w:val="00823469"/>
    <w:rsid w:val="00823495"/>
    <w:rsid w:val="008234BD"/>
    <w:rsid w:val="008234BF"/>
    <w:rsid w:val="008234C2"/>
    <w:rsid w:val="008234DE"/>
    <w:rsid w:val="008234FF"/>
    <w:rsid w:val="008235D9"/>
    <w:rsid w:val="0082362E"/>
    <w:rsid w:val="00823663"/>
    <w:rsid w:val="00823664"/>
    <w:rsid w:val="00823694"/>
    <w:rsid w:val="008236C0"/>
    <w:rsid w:val="008236C6"/>
    <w:rsid w:val="00823748"/>
    <w:rsid w:val="0082378B"/>
    <w:rsid w:val="008237C0"/>
    <w:rsid w:val="008237D8"/>
    <w:rsid w:val="0082385E"/>
    <w:rsid w:val="0082395F"/>
    <w:rsid w:val="00823A30"/>
    <w:rsid w:val="00823A52"/>
    <w:rsid w:val="00823A85"/>
    <w:rsid w:val="00823A93"/>
    <w:rsid w:val="00823AFE"/>
    <w:rsid w:val="00823B07"/>
    <w:rsid w:val="00823B60"/>
    <w:rsid w:val="00823B98"/>
    <w:rsid w:val="00823C67"/>
    <w:rsid w:val="00823C6A"/>
    <w:rsid w:val="00823C7E"/>
    <w:rsid w:val="00823C94"/>
    <w:rsid w:val="00823D45"/>
    <w:rsid w:val="00823D5A"/>
    <w:rsid w:val="00823DA4"/>
    <w:rsid w:val="00823DBE"/>
    <w:rsid w:val="00823DFB"/>
    <w:rsid w:val="00823DFE"/>
    <w:rsid w:val="00823EEC"/>
    <w:rsid w:val="00823F4E"/>
    <w:rsid w:val="00823F62"/>
    <w:rsid w:val="00823F97"/>
    <w:rsid w:val="0082407D"/>
    <w:rsid w:val="0082408A"/>
    <w:rsid w:val="008240BA"/>
    <w:rsid w:val="008240D1"/>
    <w:rsid w:val="008240DE"/>
    <w:rsid w:val="008240ED"/>
    <w:rsid w:val="008240FE"/>
    <w:rsid w:val="00824112"/>
    <w:rsid w:val="0082411E"/>
    <w:rsid w:val="00824295"/>
    <w:rsid w:val="008242DC"/>
    <w:rsid w:val="008242E1"/>
    <w:rsid w:val="008242E4"/>
    <w:rsid w:val="00824458"/>
    <w:rsid w:val="0082445B"/>
    <w:rsid w:val="0082446D"/>
    <w:rsid w:val="00824497"/>
    <w:rsid w:val="008244ED"/>
    <w:rsid w:val="008244FE"/>
    <w:rsid w:val="0082458B"/>
    <w:rsid w:val="008245D9"/>
    <w:rsid w:val="008246C5"/>
    <w:rsid w:val="0082471F"/>
    <w:rsid w:val="00824746"/>
    <w:rsid w:val="008247E3"/>
    <w:rsid w:val="0082485E"/>
    <w:rsid w:val="00824869"/>
    <w:rsid w:val="00824872"/>
    <w:rsid w:val="0082487C"/>
    <w:rsid w:val="0082488D"/>
    <w:rsid w:val="008248CC"/>
    <w:rsid w:val="00824976"/>
    <w:rsid w:val="00824983"/>
    <w:rsid w:val="00824996"/>
    <w:rsid w:val="00824A35"/>
    <w:rsid w:val="00824AA6"/>
    <w:rsid w:val="00824AAD"/>
    <w:rsid w:val="00824ABD"/>
    <w:rsid w:val="00824AE4"/>
    <w:rsid w:val="00824AF5"/>
    <w:rsid w:val="00824B49"/>
    <w:rsid w:val="00824B53"/>
    <w:rsid w:val="00824B55"/>
    <w:rsid w:val="00824B66"/>
    <w:rsid w:val="00824BD0"/>
    <w:rsid w:val="00824BE7"/>
    <w:rsid w:val="00824BFD"/>
    <w:rsid w:val="00824C24"/>
    <w:rsid w:val="00824C92"/>
    <w:rsid w:val="00824C9D"/>
    <w:rsid w:val="00824CE9"/>
    <w:rsid w:val="00824D1E"/>
    <w:rsid w:val="00824DC0"/>
    <w:rsid w:val="00824DE6"/>
    <w:rsid w:val="00824E2D"/>
    <w:rsid w:val="00824E74"/>
    <w:rsid w:val="00824E88"/>
    <w:rsid w:val="00824E96"/>
    <w:rsid w:val="00824E99"/>
    <w:rsid w:val="00824F19"/>
    <w:rsid w:val="00824FFB"/>
    <w:rsid w:val="00825182"/>
    <w:rsid w:val="008251F7"/>
    <w:rsid w:val="0082528E"/>
    <w:rsid w:val="008252E9"/>
    <w:rsid w:val="0082537F"/>
    <w:rsid w:val="0082540F"/>
    <w:rsid w:val="0082548D"/>
    <w:rsid w:val="008254A0"/>
    <w:rsid w:val="0082550C"/>
    <w:rsid w:val="00825537"/>
    <w:rsid w:val="00825594"/>
    <w:rsid w:val="008255BE"/>
    <w:rsid w:val="00825619"/>
    <w:rsid w:val="0082562E"/>
    <w:rsid w:val="00825674"/>
    <w:rsid w:val="00825678"/>
    <w:rsid w:val="00825679"/>
    <w:rsid w:val="008256D5"/>
    <w:rsid w:val="008256EF"/>
    <w:rsid w:val="00825718"/>
    <w:rsid w:val="00825723"/>
    <w:rsid w:val="00825756"/>
    <w:rsid w:val="00825853"/>
    <w:rsid w:val="0082586C"/>
    <w:rsid w:val="00825873"/>
    <w:rsid w:val="008258DB"/>
    <w:rsid w:val="008258EA"/>
    <w:rsid w:val="00825922"/>
    <w:rsid w:val="0082598C"/>
    <w:rsid w:val="00825AC6"/>
    <w:rsid w:val="00825AF4"/>
    <w:rsid w:val="00825B6C"/>
    <w:rsid w:val="00825B7A"/>
    <w:rsid w:val="00825BB5"/>
    <w:rsid w:val="00825C48"/>
    <w:rsid w:val="00825C63"/>
    <w:rsid w:val="00825C95"/>
    <w:rsid w:val="00825CC4"/>
    <w:rsid w:val="00825D71"/>
    <w:rsid w:val="00825D85"/>
    <w:rsid w:val="00825E49"/>
    <w:rsid w:val="00825E86"/>
    <w:rsid w:val="00825F2D"/>
    <w:rsid w:val="00825FEC"/>
    <w:rsid w:val="00825FFF"/>
    <w:rsid w:val="0082607E"/>
    <w:rsid w:val="008260A7"/>
    <w:rsid w:val="00826188"/>
    <w:rsid w:val="008261C1"/>
    <w:rsid w:val="008261F4"/>
    <w:rsid w:val="00826252"/>
    <w:rsid w:val="0082627A"/>
    <w:rsid w:val="008262D9"/>
    <w:rsid w:val="00826362"/>
    <w:rsid w:val="00826380"/>
    <w:rsid w:val="00826403"/>
    <w:rsid w:val="00826488"/>
    <w:rsid w:val="008264B1"/>
    <w:rsid w:val="008264C4"/>
    <w:rsid w:val="0082653A"/>
    <w:rsid w:val="0082654D"/>
    <w:rsid w:val="00826594"/>
    <w:rsid w:val="0082660E"/>
    <w:rsid w:val="0082661C"/>
    <w:rsid w:val="0082662F"/>
    <w:rsid w:val="00826640"/>
    <w:rsid w:val="00826674"/>
    <w:rsid w:val="0082669A"/>
    <w:rsid w:val="008266A0"/>
    <w:rsid w:val="008266B2"/>
    <w:rsid w:val="008266C0"/>
    <w:rsid w:val="008266CC"/>
    <w:rsid w:val="008266D8"/>
    <w:rsid w:val="008266FC"/>
    <w:rsid w:val="00826717"/>
    <w:rsid w:val="0082681C"/>
    <w:rsid w:val="00826847"/>
    <w:rsid w:val="00826882"/>
    <w:rsid w:val="008268E7"/>
    <w:rsid w:val="008268EA"/>
    <w:rsid w:val="00826962"/>
    <w:rsid w:val="008269B7"/>
    <w:rsid w:val="00826A07"/>
    <w:rsid w:val="00826A2A"/>
    <w:rsid w:val="00826A5F"/>
    <w:rsid w:val="00826AD9"/>
    <w:rsid w:val="00826AFC"/>
    <w:rsid w:val="00826AFF"/>
    <w:rsid w:val="00826B4B"/>
    <w:rsid w:val="00826B66"/>
    <w:rsid w:val="00826BD2"/>
    <w:rsid w:val="00826BEE"/>
    <w:rsid w:val="00826C2A"/>
    <w:rsid w:val="00826CA6"/>
    <w:rsid w:val="00826D1F"/>
    <w:rsid w:val="00826DB8"/>
    <w:rsid w:val="00826E3F"/>
    <w:rsid w:val="00826E7D"/>
    <w:rsid w:val="00826EA2"/>
    <w:rsid w:val="00826EB9"/>
    <w:rsid w:val="00826F09"/>
    <w:rsid w:val="00826F80"/>
    <w:rsid w:val="008271D7"/>
    <w:rsid w:val="00827330"/>
    <w:rsid w:val="00827387"/>
    <w:rsid w:val="008273AE"/>
    <w:rsid w:val="0082747A"/>
    <w:rsid w:val="0082747E"/>
    <w:rsid w:val="008274AD"/>
    <w:rsid w:val="00827528"/>
    <w:rsid w:val="00827580"/>
    <w:rsid w:val="008275B0"/>
    <w:rsid w:val="008275C6"/>
    <w:rsid w:val="008275CF"/>
    <w:rsid w:val="00827673"/>
    <w:rsid w:val="008276C7"/>
    <w:rsid w:val="008276E7"/>
    <w:rsid w:val="008276E8"/>
    <w:rsid w:val="008276FA"/>
    <w:rsid w:val="00827705"/>
    <w:rsid w:val="00827755"/>
    <w:rsid w:val="00827768"/>
    <w:rsid w:val="008277A9"/>
    <w:rsid w:val="00827816"/>
    <w:rsid w:val="00827856"/>
    <w:rsid w:val="00827919"/>
    <w:rsid w:val="008279CF"/>
    <w:rsid w:val="00827A0A"/>
    <w:rsid w:val="00827B61"/>
    <w:rsid w:val="00827BCA"/>
    <w:rsid w:val="00827BD1"/>
    <w:rsid w:val="00827BD7"/>
    <w:rsid w:val="00827BDA"/>
    <w:rsid w:val="00827BF5"/>
    <w:rsid w:val="00827C59"/>
    <w:rsid w:val="00827CCD"/>
    <w:rsid w:val="00827D12"/>
    <w:rsid w:val="00827E0E"/>
    <w:rsid w:val="00827E3A"/>
    <w:rsid w:val="00827E55"/>
    <w:rsid w:val="00827E5A"/>
    <w:rsid w:val="00827E61"/>
    <w:rsid w:val="00827E66"/>
    <w:rsid w:val="00827E8E"/>
    <w:rsid w:val="00827FBB"/>
    <w:rsid w:val="00827FD7"/>
    <w:rsid w:val="00827FF0"/>
    <w:rsid w:val="0083003F"/>
    <w:rsid w:val="00830053"/>
    <w:rsid w:val="00830106"/>
    <w:rsid w:val="00830113"/>
    <w:rsid w:val="008301B6"/>
    <w:rsid w:val="008301B7"/>
    <w:rsid w:val="008301FB"/>
    <w:rsid w:val="0083024D"/>
    <w:rsid w:val="0083024F"/>
    <w:rsid w:val="00830284"/>
    <w:rsid w:val="008303C9"/>
    <w:rsid w:val="0083042F"/>
    <w:rsid w:val="00830451"/>
    <w:rsid w:val="00830498"/>
    <w:rsid w:val="008304B7"/>
    <w:rsid w:val="008304CF"/>
    <w:rsid w:val="0083056A"/>
    <w:rsid w:val="00830594"/>
    <w:rsid w:val="008305A9"/>
    <w:rsid w:val="00830601"/>
    <w:rsid w:val="0083060E"/>
    <w:rsid w:val="008306B1"/>
    <w:rsid w:val="008306B9"/>
    <w:rsid w:val="008306E4"/>
    <w:rsid w:val="008306E6"/>
    <w:rsid w:val="008306F6"/>
    <w:rsid w:val="00830794"/>
    <w:rsid w:val="00830795"/>
    <w:rsid w:val="008308BB"/>
    <w:rsid w:val="008308C7"/>
    <w:rsid w:val="00830916"/>
    <w:rsid w:val="0083097A"/>
    <w:rsid w:val="0083097F"/>
    <w:rsid w:val="008309A6"/>
    <w:rsid w:val="00830A2E"/>
    <w:rsid w:val="00830AC1"/>
    <w:rsid w:val="00830BB6"/>
    <w:rsid w:val="00830C4B"/>
    <w:rsid w:val="00830CD3"/>
    <w:rsid w:val="00830CE0"/>
    <w:rsid w:val="00830D1A"/>
    <w:rsid w:val="00830DD9"/>
    <w:rsid w:val="00830E12"/>
    <w:rsid w:val="00830EBD"/>
    <w:rsid w:val="00830EDD"/>
    <w:rsid w:val="00830F40"/>
    <w:rsid w:val="00830FC9"/>
    <w:rsid w:val="00831030"/>
    <w:rsid w:val="008310B2"/>
    <w:rsid w:val="00831127"/>
    <w:rsid w:val="00831138"/>
    <w:rsid w:val="00831155"/>
    <w:rsid w:val="008311A3"/>
    <w:rsid w:val="008311EB"/>
    <w:rsid w:val="00831250"/>
    <w:rsid w:val="00831280"/>
    <w:rsid w:val="008312A0"/>
    <w:rsid w:val="008312A3"/>
    <w:rsid w:val="008312CF"/>
    <w:rsid w:val="008312E1"/>
    <w:rsid w:val="008312ED"/>
    <w:rsid w:val="0083139D"/>
    <w:rsid w:val="008313C6"/>
    <w:rsid w:val="008313E6"/>
    <w:rsid w:val="008313FC"/>
    <w:rsid w:val="00831421"/>
    <w:rsid w:val="0083145A"/>
    <w:rsid w:val="00831490"/>
    <w:rsid w:val="008314AD"/>
    <w:rsid w:val="0083153C"/>
    <w:rsid w:val="00831619"/>
    <w:rsid w:val="0083161D"/>
    <w:rsid w:val="00831621"/>
    <w:rsid w:val="008316E7"/>
    <w:rsid w:val="008316EC"/>
    <w:rsid w:val="00831736"/>
    <w:rsid w:val="008317BF"/>
    <w:rsid w:val="008317DC"/>
    <w:rsid w:val="008318FE"/>
    <w:rsid w:val="00831903"/>
    <w:rsid w:val="0083195D"/>
    <w:rsid w:val="008319D3"/>
    <w:rsid w:val="00831A23"/>
    <w:rsid w:val="00831A40"/>
    <w:rsid w:val="00831A8A"/>
    <w:rsid w:val="00831B16"/>
    <w:rsid w:val="00831B27"/>
    <w:rsid w:val="00831B32"/>
    <w:rsid w:val="00831B33"/>
    <w:rsid w:val="00831BB2"/>
    <w:rsid w:val="00831BB8"/>
    <w:rsid w:val="00831BB9"/>
    <w:rsid w:val="00831BC8"/>
    <w:rsid w:val="00831C0D"/>
    <w:rsid w:val="00831C58"/>
    <w:rsid w:val="00831E91"/>
    <w:rsid w:val="00831EB8"/>
    <w:rsid w:val="00831EC8"/>
    <w:rsid w:val="00831F0F"/>
    <w:rsid w:val="00831F18"/>
    <w:rsid w:val="00831F37"/>
    <w:rsid w:val="00831F3D"/>
    <w:rsid w:val="00831F75"/>
    <w:rsid w:val="00831F89"/>
    <w:rsid w:val="00831F9F"/>
    <w:rsid w:val="00831FB8"/>
    <w:rsid w:val="00832006"/>
    <w:rsid w:val="0083204E"/>
    <w:rsid w:val="008320CB"/>
    <w:rsid w:val="008320F4"/>
    <w:rsid w:val="0083215E"/>
    <w:rsid w:val="0083217D"/>
    <w:rsid w:val="0083219D"/>
    <w:rsid w:val="008321BA"/>
    <w:rsid w:val="008321D3"/>
    <w:rsid w:val="008321DD"/>
    <w:rsid w:val="00832232"/>
    <w:rsid w:val="00832249"/>
    <w:rsid w:val="008322A7"/>
    <w:rsid w:val="008323CB"/>
    <w:rsid w:val="008324E2"/>
    <w:rsid w:val="0083252C"/>
    <w:rsid w:val="00832571"/>
    <w:rsid w:val="00832583"/>
    <w:rsid w:val="008325B2"/>
    <w:rsid w:val="00832627"/>
    <w:rsid w:val="00832646"/>
    <w:rsid w:val="00832649"/>
    <w:rsid w:val="00832661"/>
    <w:rsid w:val="008326FB"/>
    <w:rsid w:val="0083271B"/>
    <w:rsid w:val="00832720"/>
    <w:rsid w:val="00832751"/>
    <w:rsid w:val="00832786"/>
    <w:rsid w:val="008327DF"/>
    <w:rsid w:val="008328C1"/>
    <w:rsid w:val="008328EF"/>
    <w:rsid w:val="008329A9"/>
    <w:rsid w:val="008329E0"/>
    <w:rsid w:val="00832A92"/>
    <w:rsid w:val="00832AD8"/>
    <w:rsid w:val="00832B11"/>
    <w:rsid w:val="00832BBB"/>
    <w:rsid w:val="00832C20"/>
    <w:rsid w:val="00832C2A"/>
    <w:rsid w:val="00832C38"/>
    <w:rsid w:val="00832C5F"/>
    <w:rsid w:val="00832C68"/>
    <w:rsid w:val="00832D15"/>
    <w:rsid w:val="00832D5A"/>
    <w:rsid w:val="00832D97"/>
    <w:rsid w:val="00832DBC"/>
    <w:rsid w:val="00832DCD"/>
    <w:rsid w:val="00832DE6"/>
    <w:rsid w:val="00832DF1"/>
    <w:rsid w:val="00832E06"/>
    <w:rsid w:val="00832E12"/>
    <w:rsid w:val="00832E5E"/>
    <w:rsid w:val="00832E63"/>
    <w:rsid w:val="00832E89"/>
    <w:rsid w:val="00832E8A"/>
    <w:rsid w:val="00832E94"/>
    <w:rsid w:val="00832ED9"/>
    <w:rsid w:val="00832EDB"/>
    <w:rsid w:val="00832F56"/>
    <w:rsid w:val="00832FC1"/>
    <w:rsid w:val="00833053"/>
    <w:rsid w:val="0083308C"/>
    <w:rsid w:val="00833110"/>
    <w:rsid w:val="00833182"/>
    <w:rsid w:val="0083318C"/>
    <w:rsid w:val="0083326F"/>
    <w:rsid w:val="00833278"/>
    <w:rsid w:val="008333D0"/>
    <w:rsid w:val="00833435"/>
    <w:rsid w:val="008334F2"/>
    <w:rsid w:val="0083359A"/>
    <w:rsid w:val="00833609"/>
    <w:rsid w:val="00833620"/>
    <w:rsid w:val="0083364D"/>
    <w:rsid w:val="0083366B"/>
    <w:rsid w:val="0083379C"/>
    <w:rsid w:val="008337E7"/>
    <w:rsid w:val="00833848"/>
    <w:rsid w:val="0083388F"/>
    <w:rsid w:val="008338D3"/>
    <w:rsid w:val="0083390F"/>
    <w:rsid w:val="00833948"/>
    <w:rsid w:val="00833964"/>
    <w:rsid w:val="00833977"/>
    <w:rsid w:val="008339C8"/>
    <w:rsid w:val="008339CE"/>
    <w:rsid w:val="008339D0"/>
    <w:rsid w:val="00833A19"/>
    <w:rsid w:val="00833A1A"/>
    <w:rsid w:val="00833A6E"/>
    <w:rsid w:val="00833ACC"/>
    <w:rsid w:val="00833B2D"/>
    <w:rsid w:val="00833B5B"/>
    <w:rsid w:val="00833BDE"/>
    <w:rsid w:val="00833BF0"/>
    <w:rsid w:val="00833BF1"/>
    <w:rsid w:val="00833C64"/>
    <w:rsid w:val="00833CC3"/>
    <w:rsid w:val="00833D1C"/>
    <w:rsid w:val="00833D46"/>
    <w:rsid w:val="00833D4E"/>
    <w:rsid w:val="00833D52"/>
    <w:rsid w:val="00833DF4"/>
    <w:rsid w:val="00833E5A"/>
    <w:rsid w:val="00833F01"/>
    <w:rsid w:val="00833F57"/>
    <w:rsid w:val="00833FA2"/>
    <w:rsid w:val="0083408C"/>
    <w:rsid w:val="008340B0"/>
    <w:rsid w:val="008340B9"/>
    <w:rsid w:val="008340BC"/>
    <w:rsid w:val="0083413E"/>
    <w:rsid w:val="00834147"/>
    <w:rsid w:val="00834162"/>
    <w:rsid w:val="00834173"/>
    <w:rsid w:val="008341CB"/>
    <w:rsid w:val="008341D7"/>
    <w:rsid w:val="008341DD"/>
    <w:rsid w:val="008341FC"/>
    <w:rsid w:val="0083423C"/>
    <w:rsid w:val="0083424D"/>
    <w:rsid w:val="0083426A"/>
    <w:rsid w:val="00834286"/>
    <w:rsid w:val="008342A0"/>
    <w:rsid w:val="008342C3"/>
    <w:rsid w:val="008342D5"/>
    <w:rsid w:val="00834317"/>
    <w:rsid w:val="00834349"/>
    <w:rsid w:val="0083435A"/>
    <w:rsid w:val="00834363"/>
    <w:rsid w:val="008343C3"/>
    <w:rsid w:val="008343E9"/>
    <w:rsid w:val="008343F3"/>
    <w:rsid w:val="00834405"/>
    <w:rsid w:val="0083444C"/>
    <w:rsid w:val="00834462"/>
    <w:rsid w:val="008344FE"/>
    <w:rsid w:val="0083450D"/>
    <w:rsid w:val="00834526"/>
    <w:rsid w:val="008345AB"/>
    <w:rsid w:val="00834680"/>
    <w:rsid w:val="008346C0"/>
    <w:rsid w:val="00834769"/>
    <w:rsid w:val="008347B3"/>
    <w:rsid w:val="008347E0"/>
    <w:rsid w:val="008348A1"/>
    <w:rsid w:val="00834951"/>
    <w:rsid w:val="00834A65"/>
    <w:rsid w:val="00834AA3"/>
    <w:rsid w:val="00834AA7"/>
    <w:rsid w:val="00834AA8"/>
    <w:rsid w:val="00834BC0"/>
    <w:rsid w:val="00834BF5"/>
    <w:rsid w:val="00834C4D"/>
    <w:rsid w:val="00834CA6"/>
    <w:rsid w:val="00834CC1"/>
    <w:rsid w:val="00834D09"/>
    <w:rsid w:val="00834D29"/>
    <w:rsid w:val="00834D35"/>
    <w:rsid w:val="00834D48"/>
    <w:rsid w:val="00834D67"/>
    <w:rsid w:val="00834DBA"/>
    <w:rsid w:val="00834DBF"/>
    <w:rsid w:val="00834DF7"/>
    <w:rsid w:val="00834E23"/>
    <w:rsid w:val="00834E6B"/>
    <w:rsid w:val="00834EA3"/>
    <w:rsid w:val="00834ECC"/>
    <w:rsid w:val="00834ED5"/>
    <w:rsid w:val="00834EE8"/>
    <w:rsid w:val="00834EF0"/>
    <w:rsid w:val="00834F0F"/>
    <w:rsid w:val="00834F76"/>
    <w:rsid w:val="00834F7F"/>
    <w:rsid w:val="00834FD0"/>
    <w:rsid w:val="00834FE6"/>
    <w:rsid w:val="0083505C"/>
    <w:rsid w:val="00835064"/>
    <w:rsid w:val="00835114"/>
    <w:rsid w:val="00835177"/>
    <w:rsid w:val="00835199"/>
    <w:rsid w:val="008351D7"/>
    <w:rsid w:val="00835266"/>
    <w:rsid w:val="008352C1"/>
    <w:rsid w:val="008352C4"/>
    <w:rsid w:val="00835309"/>
    <w:rsid w:val="0083535D"/>
    <w:rsid w:val="0083538D"/>
    <w:rsid w:val="008353AE"/>
    <w:rsid w:val="008353D9"/>
    <w:rsid w:val="008353DF"/>
    <w:rsid w:val="0083542F"/>
    <w:rsid w:val="00835435"/>
    <w:rsid w:val="0083547C"/>
    <w:rsid w:val="0083548E"/>
    <w:rsid w:val="008354DC"/>
    <w:rsid w:val="008354F5"/>
    <w:rsid w:val="00835550"/>
    <w:rsid w:val="008355CB"/>
    <w:rsid w:val="008356A0"/>
    <w:rsid w:val="008356A3"/>
    <w:rsid w:val="008356C1"/>
    <w:rsid w:val="00835713"/>
    <w:rsid w:val="0083576E"/>
    <w:rsid w:val="008357DC"/>
    <w:rsid w:val="00835891"/>
    <w:rsid w:val="008358E3"/>
    <w:rsid w:val="008358EA"/>
    <w:rsid w:val="008358F1"/>
    <w:rsid w:val="00835924"/>
    <w:rsid w:val="0083594B"/>
    <w:rsid w:val="00835970"/>
    <w:rsid w:val="00835980"/>
    <w:rsid w:val="008359D0"/>
    <w:rsid w:val="00835A5E"/>
    <w:rsid w:val="00835A96"/>
    <w:rsid w:val="00835AA0"/>
    <w:rsid w:val="00835AC5"/>
    <w:rsid w:val="00835B13"/>
    <w:rsid w:val="00835B23"/>
    <w:rsid w:val="00835B27"/>
    <w:rsid w:val="00835B7F"/>
    <w:rsid w:val="00835B87"/>
    <w:rsid w:val="00835C66"/>
    <w:rsid w:val="00835CA0"/>
    <w:rsid w:val="00835CBE"/>
    <w:rsid w:val="00835DAB"/>
    <w:rsid w:val="00835DFA"/>
    <w:rsid w:val="00835E5A"/>
    <w:rsid w:val="00835E72"/>
    <w:rsid w:val="00835EA4"/>
    <w:rsid w:val="00835EC4"/>
    <w:rsid w:val="00835EC6"/>
    <w:rsid w:val="00835EDE"/>
    <w:rsid w:val="00835F6E"/>
    <w:rsid w:val="00835FD9"/>
    <w:rsid w:val="0083605A"/>
    <w:rsid w:val="0083607C"/>
    <w:rsid w:val="0083607E"/>
    <w:rsid w:val="008360C2"/>
    <w:rsid w:val="008360CE"/>
    <w:rsid w:val="00836104"/>
    <w:rsid w:val="0083611C"/>
    <w:rsid w:val="0083612E"/>
    <w:rsid w:val="008361A1"/>
    <w:rsid w:val="008361B3"/>
    <w:rsid w:val="008361C2"/>
    <w:rsid w:val="008362A1"/>
    <w:rsid w:val="008362DA"/>
    <w:rsid w:val="00836344"/>
    <w:rsid w:val="0083639C"/>
    <w:rsid w:val="0083639D"/>
    <w:rsid w:val="008363AA"/>
    <w:rsid w:val="00836438"/>
    <w:rsid w:val="008364A2"/>
    <w:rsid w:val="008364DD"/>
    <w:rsid w:val="0083655F"/>
    <w:rsid w:val="008365E3"/>
    <w:rsid w:val="00836635"/>
    <w:rsid w:val="008366D3"/>
    <w:rsid w:val="00836709"/>
    <w:rsid w:val="00836768"/>
    <w:rsid w:val="0083676C"/>
    <w:rsid w:val="00836774"/>
    <w:rsid w:val="00836794"/>
    <w:rsid w:val="008367F3"/>
    <w:rsid w:val="0083680B"/>
    <w:rsid w:val="0083687D"/>
    <w:rsid w:val="008368DF"/>
    <w:rsid w:val="008368F0"/>
    <w:rsid w:val="00836914"/>
    <w:rsid w:val="0083697A"/>
    <w:rsid w:val="008369B7"/>
    <w:rsid w:val="00836A7F"/>
    <w:rsid w:val="00836AEE"/>
    <w:rsid w:val="00836B1A"/>
    <w:rsid w:val="00836B64"/>
    <w:rsid w:val="00836B95"/>
    <w:rsid w:val="00836B96"/>
    <w:rsid w:val="00836BF9"/>
    <w:rsid w:val="00836C9D"/>
    <w:rsid w:val="00836CFF"/>
    <w:rsid w:val="00836DB2"/>
    <w:rsid w:val="00836DD2"/>
    <w:rsid w:val="00836E0C"/>
    <w:rsid w:val="00836E13"/>
    <w:rsid w:val="00836E37"/>
    <w:rsid w:val="00836E99"/>
    <w:rsid w:val="00836EAB"/>
    <w:rsid w:val="00836F07"/>
    <w:rsid w:val="00836F5B"/>
    <w:rsid w:val="00836FDE"/>
    <w:rsid w:val="00836FF7"/>
    <w:rsid w:val="00837066"/>
    <w:rsid w:val="00837087"/>
    <w:rsid w:val="00837124"/>
    <w:rsid w:val="00837186"/>
    <w:rsid w:val="00837211"/>
    <w:rsid w:val="0083721E"/>
    <w:rsid w:val="0083724D"/>
    <w:rsid w:val="008372CB"/>
    <w:rsid w:val="008372E4"/>
    <w:rsid w:val="008372EC"/>
    <w:rsid w:val="0083733E"/>
    <w:rsid w:val="008373B1"/>
    <w:rsid w:val="008373C1"/>
    <w:rsid w:val="008373E0"/>
    <w:rsid w:val="00837486"/>
    <w:rsid w:val="008374B9"/>
    <w:rsid w:val="0083751C"/>
    <w:rsid w:val="0083756E"/>
    <w:rsid w:val="008375A3"/>
    <w:rsid w:val="00837609"/>
    <w:rsid w:val="0083766C"/>
    <w:rsid w:val="008376BB"/>
    <w:rsid w:val="008376D1"/>
    <w:rsid w:val="00837789"/>
    <w:rsid w:val="00837846"/>
    <w:rsid w:val="00837877"/>
    <w:rsid w:val="00837893"/>
    <w:rsid w:val="00837A21"/>
    <w:rsid w:val="00837A3C"/>
    <w:rsid w:val="00837A61"/>
    <w:rsid w:val="00837A9B"/>
    <w:rsid w:val="00837ABB"/>
    <w:rsid w:val="00837AD9"/>
    <w:rsid w:val="00837B81"/>
    <w:rsid w:val="00837BBE"/>
    <w:rsid w:val="00837C58"/>
    <w:rsid w:val="00837CE0"/>
    <w:rsid w:val="00837CE7"/>
    <w:rsid w:val="00837D60"/>
    <w:rsid w:val="00837DAE"/>
    <w:rsid w:val="00837DDC"/>
    <w:rsid w:val="00837E10"/>
    <w:rsid w:val="00837E22"/>
    <w:rsid w:val="00837E78"/>
    <w:rsid w:val="00837E93"/>
    <w:rsid w:val="00837F10"/>
    <w:rsid w:val="00837F24"/>
    <w:rsid w:val="00837F2D"/>
    <w:rsid w:val="00837F55"/>
    <w:rsid w:val="00837F66"/>
    <w:rsid w:val="00837F6C"/>
    <w:rsid w:val="00837FEA"/>
    <w:rsid w:val="00840039"/>
    <w:rsid w:val="008400BE"/>
    <w:rsid w:val="0084018C"/>
    <w:rsid w:val="00840236"/>
    <w:rsid w:val="00840255"/>
    <w:rsid w:val="0084028A"/>
    <w:rsid w:val="008402D8"/>
    <w:rsid w:val="00840343"/>
    <w:rsid w:val="0084038F"/>
    <w:rsid w:val="008403E6"/>
    <w:rsid w:val="008403FD"/>
    <w:rsid w:val="00840482"/>
    <w:rsid w:val="008404BC"/>
    <w:rsid w:val="00840508"/>
    <w:rsid w:val="0084052A"/>
    <w:rsid w:val="00840574"/>
    <w:rsid w:val="008405D7"/>
    <w:rsid w:val="008405DD"/>
    <w:rsid w:val="008405FB"/>
    <w:rsid w:val="00840667"/>
    <w:rsid w:val="0084068C"/>
    <w:rsid w:val="008406A5"/>
    <w:rsid w:val="008406A7"/>
    <w:rsid w:val="008406F5"/>
    <w:rsid w:val="00840751"/>
    <w:rsid w:val="00840777"/>
    <w:rsid w:val="008407DA"/>
    <w:rsid w:val="00840865"/>
    <w:rsid w:val="0084086A"/>
    <w:rsid w:val="008408A2"/>
    <w:rsid w:val="008408F6"/>
    <w:rsid w:val="00840950"/>
    <w:rsid w:val="008409E4"/>
    <w:rsid w:val="00840A6C"/>
    <w:rsid w:val="00840ABC"/>
    <w:rsid w:val="00840AC9"/>
    <w:rsid w:val="00840BD0"/>
    <w:rsid w:val="00840C20"/>
    <w:rsid w:val="00840C2B"/>
    <w:rsid w:val="00840C33"/>
    <w:rsid w:val="00840C49"/>
    <w:rsid w:val="00840C64"/>
    <w:rsid w:val="00840C68"/>
    <w:rsid w:val="00840C91"/>
    <w:rsid w:val="00840CF9"/>
    <w:rsid w:val="00840D17"/>
    <w:rsid w:val="00840D3F"/>
    <w:rsid w:val="00840D68"/>
    <w:rsid w:val="00840D95"/>
    <w:rsid w:val="00840DE8"/>
    <w:rsid w:val="00840E71"/>
    <w:rsid w:val="00840E99"/>
    <w:rsid w:val="00840ED4"/>
    <w:rsid w:val="00840F0B"/>
    <w:rsid w:val="00840F13"/>
    <w:rsid w:val="0084103C"/>
    <w:rsid w:val="008410AF"/>
    <w:rsid w:val="00841139"/>
    <w:rsid w:val="00841149"/>
    <w:rsid w:val="00841161"/>
    <w:rsid w:val="008411E0"/>
    <w:rsid w:val="008411EE"/>
    <w:rsid w:val="008412D0"/>
    <w:rsid w:val="008412F4"/>
    <w:rsid w:val="0084132E"/>
    <w:rsid w:val="0084133C"/>
    <w:rsid w:val="0084134C"/>
    <w:rsid w:val="008414B9"/>
    <w:rsid w:val="008414DF"/>
    <w:rsid w:val="008414FA"/>
    <w:rsid w:val="0084159C"/>
    <w:rsid w:val="008415B3"/>
    <w:rsid w:val="008415EA"/>
    <w:rsid w:val="00841603"/>
    <w:rsid w:val="00841686"/>
    <w:rsid w:val="00841722"/>
    <w:rsid w:val="00841780"/>
    <w:rsid w:val="00841794"/>
    <w:rsid w:val="008417CF"/>
    <w:rsid w:val="008417EF"/>
    <w:rsid w:val="0084186F"/>
    <w:rsid w:val="008418AE"/>
    <w:rsid w:val="008418B2"/>
    <w:rsid w:val="00841907"/>
    <w:rsid w:val="0084197D"/>
    <w:rsid w:val="008419DF"/>
    <w:rsid w:val="008419F1"/>
    <w:rsid w:val="00841A0A"/>
    <w:rsid w:val="00841A0E"/>
    <w:rsid w:val="00841A1E"/>
    <w:rsid w:val="00841A9A"/>
    <w:rsid w:val="00841ABA"/>
    <w:rsid w:val="00841BB7"/>
    <w:rsid w:val="00841C02"/>
    <w:rsid w:val="00841C11"/>
    <w:rsid w:val="00841C2F"/>
    <w:rsid w:val="00841CA1"/>
    <w:rsid w:val="00841CAB"/>
    <w:rsid w:val="00841CBB"/>
    <w:rsid w:val="00841CE3"/>
    <w:rsid w:val="00841D37"/>
    <w:rsid w:val="00841E11"/>
    <w:rsid w:val="00841E2F"/>
    <w:rsid w:val="00841E35"/>
    <w:rsid w:val="00841E55"/>
    <w:rsid w:val="00841E6D"/>
    <w:rsid w:val="00841EA2"/>
    <w:rsid w:val="00841EC4"/>
    <w:rsid w:val="00841EF3"/>
    <w:rsid w:val="00841F20"/>
    <w:rsid w:val="00841F3C"/>
    <w:rsid w:val="00841F7C"/>
    <w:rsid w:val="00841F9E"/>
    <w:rsid w:val="00841FBE"/>
    <w:rsid w:val="00841FDF"/>
    <w:rsid w:val="0084206F"/>
    <w:rsid w:val="00842082"/>
    <w:rsid w:val="00842154"/>
    <w:rsid w:val="0084219A"/>
    <w:rsid w:val="008421DF"/>
    <w:rsid w:val="0084225C"/>
    <w:rsid w:val="0084228A"/>
    <w:rsid w:val="008422C7"/>
    <w:rsid w:val="00842317"/>
    <w:rsid w:val="00842326"/>
    <w:rsid w:val="00842365"/>
    <w:rsid w:val="00842375"/>
    <w:rsid w:val="0084239D"/>
    <w:rsid w:val="00842437"/>
    <w:rsid w:val="008424B4"/>
    <w:rsid w:val="00842511"/>
    <w:rsid w:val="00842605"/>
    <w:rsid w:val="00842636"/>
    <w:rsid w:val="0084264A"/>
    <w:rsid w:val="008426E6"/>
    <w:rsid w:val="0084273D"/>
    <w:rsid w:val="00842746"/>
    <w:rsid w:val="0084274C"/>
    <w:rsid w:val="0084279B"/>
    <w:rsid w:val="00842812"/>
    <w:rsid w:val="00842853"/>
    <w:rsid w:val="008428DD"/>
    <w:rsid w:val="0084292E"/>
    <w:rsid w:val="00842964"/>
    <w:rsid w:val="00842988"/>
    <w:rsid w:val="008429AF"/>
    <w:rsid w:val="008429D9"/>
    <w:rsid w:val="00842A38"/>
    <w:rsid w:val="00842A67"/>
    <w:rsid w:val="00842A6E"/>
    <w:rsid w:val="00842A78"/>
    <w:rsid w:val="00842A79"/>
    <w:rsid w:val="00842A82"/>
    <w:rsid w:val="00842AC9"/>
    <w:rsid w:val="00842AEE"/>
    <w:rsid w:val="00842B3C"/>
    <w:rsid w:val="00842B75"/>
    <w:rsid w:val="00842B79"/>
    <w:rsid w:val="00842B95"/>
    <w:rsid w:val="00842C19"/>
    <w:rsid w:val="00842C23"/>
    <w:rsid w:val="00842C31"/>
    <w:rsid w:val="00842C8B"/>
    <w:rsid w:val="00842D6F"/>
    <w:rsid w:val="00842DF6"/>
    <w:rsid w:val="00842EE2"/>
    <w:rsid w:val="00842F86"/>
    <w:rsid w:val="00842F97"/>
    <w:rsid w:val="00842FAE"/>
    <w:rsid w:val="00842FF1"/>
    <w:rsid w:val="00843033"/>
    <w:rsid w:val="0084304A"/>
    <w:rsid w:val="00843088"/>
    <w:rsid w:val="008430AC"/>
    <w:rsid w:val="008430BC"/>
    <w:rsid w:val="008430DC"/>
    <w:rsid w:val="00843101"/>
    <w:rsid w:val="00843158"/>
    <w:rsid w:val="008431B1"/>
    <w:rsid w:val="0084323C"/>
    <w:rsid w:val="00843294"/>
    <w:rsid w:val="00843299"/>
    <w:rsid w:val="008432BB"/>
    <w:rsid w:val="0084336A"/>
    <w:rsid w:val="0084339E"/>
    <w:rsid w:val="008433E6"/>
    <w:rsid w:val="0084341E"/>
    <w:rsid w:val="008434E7"/>
    <w:rsid w:val="00843567"/>
    <w:rsid w:val="008435E6"/>
    <w:rsid w:val="008436F8"/>
    <w:rsid w:val="008437D0"/>
    <w:rsid w:val="008437D3"/>
    <w:rsid w:val="00843896"/>
    <w:rsid w:val="008438A9"/>
    <w:rsid w:val="008438BE"/>
    <w:rsid w:val="008438E0"/>
    <w:rsid w:val="00843905"/>
    <w:rsid w:val="00843997"/>
    <w:rsid w:val="008439BE"/>
    <w:rsid w:val="00843A1D"/>
    <w:rsid w:val="00843A31"/>
    <w:rsid w:val="00843A35"/>
    <w:rsid w:val="00843A63"/>
    <w:rsid w:val="00843AC9"/>
    <w:rsid w:val="00843AF8"/>
    <w:rsid w:val="00843B45"/>
    <w:rsid w:val="00843B6C"/>
    <w:rsid w:val="00843C8E"/>
    <w:rsid w:val="00843CB8"/>
    <w:rsid w:val="00843CC3"/>
    <w:rsid w:val="00843DEA"/>
    <w:rsid w:val="00843E93"/>
    <w:rsid w:val="00843EB4"/>
    <w:rsid w:val="00843EF7"/>
    <w:rsid w:val="00843F06"/>
    <w:rsid w:val="00843F84"/>
    <w:rsid w:val="00843FEA"/>
    <w:rsid w:val="00844020"/>
    <w:rsid w:val="00844028"/>
    <w:rsid w:val="00844126"/>
    <w:rsid w:val="0084416B"/>
    <w:rsid w:val="00844179"/>
    <w:rsid w:val="008441F7"/>
    <w:rsid w:val="00844208"/>
    <w:rsid w:val="0084421E"/>
    <w:rsid w:val="0084424D"/>
    <w:rsid w:val="0084427E"/>
    <w:rsid w:val="008442AF"/>
    <w:rsid w:val="008442D1"/>
    <w:rsid w:val="008442DF"/>
    <w:rsid w:val="00844372"/>
    <w:rsid w:val="00844385"/>
    <w:rsid w:val="008443EB"/>
    <w:rsid w:val="00844417"/>
    <w:rsid w:val="00844443"/>
    <w:rsid w:val="00844453"/>
    <w:rsid w:val="0084446B"/>
    <w:rsid w:val="008444D9"/>
    <w:rsid w:val="008445D1"/>
    <w:rsid w:val="008445E5"/>
    <w:rsid w:val="00844609"/>
    <w:rsid w:val="0084461E"/>
    <w:rsid w:val="00844664"/>
    <w:rsid w:val="008446FF"/>
    <w:rsid w:val="0084472B"/>
    <w:rsid w:val="00844791"/>
    <w:rsid w:val="008447F1"/>
    <w:rsid w:val="00844837"/>
    <w:rsid w:val="0084485D"/>
    <w:rsid w:val="008448AF"/>
    <w:rsid w:val="008448E9"/>
    <w:rsid w:val="0084491F"/>
    <w:rsid w:val="00844943"/>
    <w:rsid w:val="00844979"/>
    <w:rsid w:val="008449B2"/>
    <w:rsid w:val="008449CE"/>
    <w:rsid w:val="008449DD"/>
    <w:rsid w:val="008449E6"/>
    <w:rsid w:val="00844A18"/>
    <w:rsid w:val="00844A21"/>
    <w:rsid w:val="00844A72"/>
    <w:rsid w:val="00844A7B"/>
    <w:rsid w:val="00844A93"/>
    <w:rsid w:val="00844B1C"/>
    <w:rsid w:val="00844B57"/>
    <w:rsid w:val="00844BC0"/>
    <w:rsid w:val="00844BC4"/>
    <w:rsid w:val="00844C74"/>
    <w:rsid w:val="00844D68"/>
    <w:rsid w:val="00844DBB"/>
    <w:rsid w:val="00844DF2"/>
    <w:rsid w:val="00844E02"/>
    <w:rsid w:val="00844E2D"/>
    <w:rsid w:val="00844E40"/>
    <w:rsid w:val="00844E6D"/>
    <w:rsid w:val="00844E7A"/>
    <w:rsid w:val="00844EA2"/>
    <w:rsid w:val="00844F0C"/>
    <w:rsid w:val="00844F73"/>
    <w:rsid w:val="00844FBD"/>
    <w:rsid w:val="00845013"/>
    <w:rsid w:val="00845047"/>
    <w:rsid w:val="0084505A"/>
    <w:rsid w:val="008450A8"/>
    <w:rsid w:val="008451F6"/>
    <w:rsid w:val="00845256"/>
    <w:rsid w:val="00845286"/>
    <w:rsid w:val="00845316"/>
    <w:rsid w:val="008453D7"/>
    <w:rsid w:val="00845402"/>
    <w:rsid w:val="00845414"/>
    <w:rsid w:val="0084542C"/>
    <w:rsid w:val="0084546A"/>
    <w:rsid w:val="00845478"/>
    <w:rsid w:val="0084549B"/>
    <w:rsid w:val="008454B7"/>
    <w:rsid w:val="008454CB"/>
    <w:rsid w:val="008454CF"/>
    <w:rsid w:val="00845531"/>
    <w:rsid w:val="0084555B"/>
    <w:rsid w:val="0084555F"/>
    <w:rsid w:val="0084559B"/>
    <w:rsid w:val="008455B9"/>
    <w:rsid w:val="008455C6"/>
    <w:rsid w:val="008455D6"/>
    <w:rsid w:val="008455E6"/>
    <w:rsid w:val="008455F5"/>
    <w:rsid w:val="00845637"/>
    <w:rsid w:val="00845671"/>
    <w:rsid w:val="008456AE"/>
    <w:rsid w:val="008456BD"/>
    <w:rsid w:val="00845701"/>
    <w:rsid w:val="00845716"/>
    <w:rsid w:val="00845779"/>
    <w:rsid w:val="00845808"/>
    <w:rsid w:val="0084582D"/>
    <w:rsid w:val="0084585C"/>
    <w:rsid w:val="008458AE"/>
    <w:rsid w:val="008458D4"/>
    <w:rsid w:val="0084596C"/>
    <w:rsid w:val="00845A6E"/>
    <w:rsid w:val="00845A6F"/>
    <w:rsid w:val="00845A72"/>
    <w:rsid w:val="00845B6D"/>
    <w:rsid w:val="00845C3A"/>
    <w:rsid w:val="00845CB1"/>
    <w:rsid w:val="00845CE6"/>
    <w:rsid w:val="00845D34"/>
    <w:rsid w:val="00845DB0"/>
    <w:rsid w:val="00845E49"/>
    <w:rsid w:val="00845E8F"/>
    <w:rsid w:val="00845E91"/>
    <w:rsid w:val="00845E92"/>
    <w:rsid w:val="00845F12"/>
    <w:rsid w:val="00845F4C"/>
    <w:rsid w:val="00845F63"/>
    <w:rsid w:val="00845FAD"/>
    <w:rsid w:val="00845FFB"/>
    <w:rsid w:val="00846013"/>
    <w:rsid w:val="0084603F"/>
    <w:rsid w:val="008460DE"/>
    <w:rsid w:val="008460F8"/>
    <w:rsid w:val="00846134"/>
    <w:rsid w:val="008461D9"/>
    <w:rsid w:val="008461E1"/>
    <w:rsid w:val="00846262"/>
    <w:rsid w:val="00846266"/>
    <w:rsid w:val="0084629B"/>
    <w:rsid w:val="008462D3"/>
    <w:rsid w:val="008462FE"/>
    <w:rsid w:val="0084637F"/>
    <w:rsid w:val="008464E5"/>
    <w:rsid w:val="0084650A"/>
    <w:rsid w:val="00846553"/>
    <w:rsid w:val="0084657B"/>
    <w:rsid w:val="0084661B"/>
    <w:rsid w:val="0084669F"/>
    <w:rsid w:val="008466EB"/>
    <w:rsid w:val="008466EE"/>
    <w:rsid w:val="00846734"/>
    <w:rsid w:val="0084677F"/>
    <w:rsid w:val="00846899"/>
    <w:rsid w:val="0084689A"/>
    <w:rsid w:val="00846932"/>
    <w:rsid w:val="00846934"/>
    <w:rsid w:val="008469AF"/>
    <w:rsid w:val="00846A35"/>
    <w:rsid w:val="00846A4A"/>
    <w:rsid w:val="00846AE7"/>
    <w:rsid w:val="00846B29"/>
    <w:rsid w:val="00846BB9"/>
    <w:rsid w:val="00846BEF"/>
    <w:rsid w:val="00846C01"/>
    <w:rsid w:val="00846C2D"/>
    <w:rsid w:val="00846C76"/>
    <w:rsid w:val="00846C98"/>
    <w:rsid w:val="00846C9C"/>
    <w:rsid w:val="00846CAA"/>
    <w:rsid w:val="00846D06"/>
    <w:rsid w:val="00846DD3"/>
    <w:rsid w:val="00846E3A"/>
    <w:rsid w:val="00846E65"/>
    <w:rsid w:val="00846E80"/>
    <w:rsid w:val="00846EF7"/>
    <w:rsid w:val="00846F05"/>
    <w:rsid w:val="00846F35"/>
    <w:rsid w:val="00846F73"/>
    <w:rsid w:val="00846FCC"/>
    <w:rsid w:val="00847080"/>
    <w:rsid w:val="0084708F"/>
    <w:rsid w:val="00847107"/>
    <w:rsid w:val="0084714F"/>
    <w:rsid w:val="008471E8"/>
    <w:rsid w:val="00847212"/>
    <w:rsid w:val="00847232"/>
    <w:rsid w:val="008472AC"/>
    <w:rsid w:val="008473B4"/>
    <w:rsid w:val="00847406"/>
    <w:rsid w:val="0084741B"/>
    <w:rsid w:val="008474DC"/>
    <w:rsid w:val="008474EB"/>
    <w:rsid w:val="00847517"/>
    <w:rsid w:val="0084755F"/>
    <w:rsid w:val="0084756B"/>
    <w:rsid w:val="00847658"/>
    <w:rsid w:val="00847695"/>
    <w:rsid w:val="008476D9"/>
    <w:rsid w:val="008476DE"/>
    <w:rsid w:val="00847713"/>
    <w:rsid w:val="00847768"/>
    <w:rsid w:val="00847772"/>
    <w:rsid w:val="008477BE"/>
    <w:rsid w:val="008477FE"/>
    <w:rsid w:val="00847877"/>
    <w:rsid w:val="0084796E"/>
    <w:rsid w:val="0084798B"/>
    <w:rsid w:val="008479C7"/>
    <w:rsid w:val="008479FE"/>
    <w:rsid w:val="00847A07"/>
    <w:rsid w:val="00847A1A"/>
    <w:rsid w:val="00847ABF"/>
    <w:rsid w:val="00847AE3"/>
    <w:rsid w:val="00847B10"/>
    <w:rsid w:val="00847B16"/>
    <w:rsid w:val="00847B1C"/>
    <w:rsid w:val="00847B4D"/>
    <w:rsid w:val="00847B5C"/>
    <w:rsid w:val="00847BA5"/>
    <w:rsid w:val="00847BE0"/>
    <w:rsid w:val="00847C8E"/>
    <w:rsid w:val="00847CFC"/>
    <w:rsid w:val="00847D71"/>
    <w:rsid w:val="00847D8B"/>
    <w:rsid w:val="00847D9F"/>
    <w:rsid w:val="00847DBB"/>
    <w:rsid w:val="00847DD0"/>
    <w:rsid w:val="00847E02"/>
    <w:rsid w:val="00847E4A"/>
    <w:rsid w:val="00847E79"/>
    <w:rsid w:val="00847E9B"/>
    <w:rsid w:val="00847EF9"/>
    <w:rsid w:val="00847F1B"/>
    <w:rsid w:val="00847F23"/>
    <w:rsid w:val="00847F2B"/>
    <w:rsid w:val="00847FEF"/>
    <w:rsid w:val="0085003A"/>
    <w:rsid w:val="0085003B"/>
    <w:rsid w:val="00850054"/>
    <w:rsid w:val="00850058"/>
    <w:rsid w:val="00850074"/>
    <w:rsid w:val="0085008D"/>
    <w:rsid w:val="0085008E"/>
    <w:rsid w:val="008500E3"/>
    <w:rsid w:val="0085016F"/>
    <w:rsid w:val="008501C2"/>
    <w:rsid w:val="008501F3"/>
    <w:rsid w:val="00850224"/>
    <w:rsid w:val="00850247"/>
    <w:rsid w:val="0085028E"/>
    <w:rsid w:val="0085031D"/>
    <w:rsid w:val="008503E2"/>
    <w:rsid w:val="00850436"/>
    <w:rsid w:val="00850456"/>
    <w:rsid w:val="008504D3"/>
    <w:rsid w:val="008504D5"/>
    <w:rsid w:val="008504EA"/>
    <w:rsid w:val="00850508"/>
    <w:rsid w:val="0085050A"/>
    <w:rsid w:val="00850536"/>
    <w:rsid w:val="00850564"/>
    <w:rsid w:val="00850568"/>
    <w:rsid w:val="008505CD"/>
    <w:rsid w:val="0085063C"/>
    <w:rsid w:val="00850674"/>
    <w:rsid w:val="00850679"/>
    <w:rsid w:val="008506A0"/>
    <w:rsid w:val="008506DC"/>
    <w:rsid w:val="00850755"/>
    <w:rsid w:val="0085076B"/>
    <w:rsid w:val="008507E2"/>
    <w:rsid w:val="00850879"/>
    <w:rsid w:val="00850914"/>
    <w:rsid w:val="0085094D"/>
    <w:rsid w:val="0085096E"/>
    <w:rsid w:val="0085099A"/>
    <w:rsid w:val="008509C0"/>
    <w:rsid w:val="00850A52"/>
    <w:rsid w:val="00850A89"/>
    <w:rsid w:val="00850AC8"/>
    <w:rsid w:val="00850AD3"/>
    <w:rsid w:val="00850B1C"/>
    <w:rsid w:val="00850B30"/>
    <w:rsid w:val="00850B45"/>
    <w:rsid w:val="00850B4A"/>
    <w:rsid w:val="00850B60"/>
    <w:rsid w:val="00850B94"/>
    <w:rsid w:val="00850BB0"/>
    <w:rsid w:val="00850BD2"/>
    <w:rsid w:val="00850CA1"/>
    <w:rsid w:val="00850D53"/>
    <w:rsid w:val="00850D77"/>
    <w:rsid w:val="00850D92"/>
    <w:rsid w:val="00850DA2"/>
    <w:rsid w:val="00850DAF"/>
    <w:rsid w:val="00850DCC"/>
    <w:rsid w:val="00850DDD"/>
    <w:rsid w:val="00850DE0"/>
    <w:rsid w:val="00850E64"/>
    <w:rsid w:val="00850E7B"/>
    <w:rsid w:val="00850F67"/>
    <w:rsid w:val="00850F6B"/>
    <w:rsid w:val="00850FA5"/>
    <w:rsid w:val="00850FE9"/>
    <w:rsid w:val="0085101A"/>
    <w:rsid w:val="00851045"/>
    <w:rsid w:val="00851077"/>
    <w:rsid w:val="008510FE"/>
    <w:rsid w:val="0085111A"/>
    <w:rsid w:val="00851131"/>
    <w:rsid w:val="00851139"/>
    <w:rsid w:val="00851148"/>
    <w:rsid w:val="00851194"/>
    <w:rsid w:val="00851198"/>
    <w:rsid w:val="008511F6"/>
    <w:rsid w:val="008511FF"/>
    <w:rsid w:val="00851220"/>
    <w:rsid w:val="00851293"/>
    <w:rsid w:val="008512D9"/>
    <w:rsid w:val="008512DD"/>
    <w:rsid w:val="00851386"/>
    <w:rsid w:val="00851388"/>
    <w:rsid w:val="008513A1"/>
    <w:rsid w:val="008513C1"/>
    <w:rsid w:val="0085142C"/>
    <w:rsid w:val="008514E9"/>
    <w:rsid w:val="00851521"/>
    <w:rsid w:val="008515CF"/>
    <w:rsid w:val="008515EA"/>
    <w:rsid w:val="008516D1"/>
    <w:rsid w:val="0085171F"/>
    <w:rsid w:val="008517FA"/>
    <w:rsid w:val="00851866"/>
    <w:rsid w:val="0085188D"/>
    <w:rsid w:val="008518C7"/>
    <w:rsid w:val="0085191C"/>
    <w:rsid w:val="00851959"/>
    <w:rsid w:val="00851983"/>
    <w:rsid w:val="0085198A"/>
    <w:rsid w:val="008519A2"/>
    <w:rsid w:val="008519AA"/>
    <w:rsid w:val="008519B5"/>
    <w:rsid w:val="00851A1B"/>
    <w:rsid w:val="00851A40"/>
    <w:rsid w:val="00851A50"/>
    <w:rsid w:val="00851AA1"/>
    <w:rsid w:val="00851ACA"/>
    <w:rsid w:val="00851B2D"/>
    <w:rsid w:val="00851B3D"/>
    <w:rsid w:val="00851C0E"/>
    <w:rsid w:val="00851C12"/>
    <w:rsid w:val="00851C67"/>
    <w:rsid w:val="00851C97"/>
    <w:rsid w:val="00851CDA"/>
    <w:rsid w:val="00851D3E"/>
    <w:rsid w:val="00851D80"/>
    <w:rsid w:val="00851DCB"/>
    <w:rsid w:val="00851E62"/>
    <w:rsid w:val="00851E90"/>
    <w:rsid w:val="00851EAD"/>
    <w:rsid w:val="00851EFD"/>
    <w:rsid w:val="00851FDC"/>
    <w:rsid w:val="00851FFE"/>
    <w:rsid w:val="00852087"/>
    <w:rsid w:val="0085218E"/>
    <w:rsid w:val="008521EA"/>
    <w:rsid w:val="00852202"/>
    <w:rsid w:val="00852223"/>
    <w:rsid w:val="00852244"/>
    <w:rsid w:val="0085225E"/>
    <w:rsid w:val="008522C3"/>
    <w:rsid w:val="008522CF"/>
    <w:rsid w:val="008522E6"/>
    <w:rsid w:val="008522F8"/>
    <w:rsid w:val="00852309"/>
    <w:rsid w:val="00852319"/>
    <w:rsid w:val="00852345"/>
    <w:rsid w:val="00852371"/>
    <w:rsid w:val="00852372"/>
    <w:rsid w:val="008523B2"/>
    <w:rsid w:val="00852419"/>
    <w:rsid w:val="0085243D"/>
    <w:rsid w:val="00852442"/>
    <w:rsid w:val="00852468"/>
    <w:rsid w:val="00852592"/>
    <w:rsid w:val="0085262F"/>
    <w:rsid w:val="00852641"/>
    <w:rsid w:val="00852674"/>
    <w:rsid w:val="008526A3"/>
    <w:rsid w:val="008526CE"/>
    <w:rsid w:val="008528B0"/>
    <w:rsid w:val="008528B5"/>
    <w:rsid w:val="008528C7"/>
    <w:rsid w:val="008528E0"/>
    <w:rsid w:val="008528E6"/>
    <w:rsid w:val="008528FB"/>
    <w:rsid w:val="0085290C"/>
    <w:rsid w:val="00852936"/>
    <w:rsid w:val="0085296C"/>
    <w:rsid w:val="008529A2"/>
    <w:rsid w:val="008529FF"/>
    <w:rsid w:val="00852BC0"/>
    <w:rsid w:val="00852BCE"/>
    <w:rsid w:val="00852C3D"/>
    <w:rsid w:val="00852C53"/>
    <w:rsid w:val="00852C86"/>
    <w:rsid w:val="00852CFD"/>
    <w:rsid w:val="00852D05"/>
    <w:rsid w:val="00852D30"/>
    <w:rsid w:val="00852DD1"/>
    <w:rsid w:val="00852E0C"/>
    <w:rsid w:val="00852E86"/>
    <w:rsid w:val="00852F33"/>
    <w:rsid w:val="00852F54"/>
    <w:rsid w:val="00852FE9"/>
    <w:rsid w:val="00852FF6"/>
    <w:rsid w:val="0085300D"/>
    <w:rsid w:val="0085302D"/>
    <w:rsid w:val="00853106"/>
    <w:rsid w:val="0085310B"/>
    <w:rsid w:val="00853149"/>
    <w:rsid w:val="00853193"/>
    <w:rsid w:val="008531AC"/>
    <w:rsid w:val="008531F5"/>
    <w:rsid w:val="00853274"/>
    <w:rsid w:val="008532B2"/>
    <w:rsid w:val="008532FF"/>
    <w:rsid w:val="0085335E"/>
    <w:rsid w:val="0085335F"/>
    <w:rsid w:val="008533E7"/>
    <w:rsid w:val="00853404"/>
    <w:rsid w:val="00853436"/>
    <w:rsid w:val="00853481"/>
    <w:rsid w:val="0085349C"/>
    <w:rsid w:val="00853618"/>
    <w:rsid w:val="0085361A"/>
    <w:rsid w:val="00853660"/>
    <w:rsid w:val="00853661"/>
    <w:rsid w:val="00853696"/>
    <w:rsid w:val="0085369E"/>
    <w:rsid w:val="008536CA"/>
    <w:rsid w:val="00853725"/>
    <w:rsid w:val="008537A3"/>
    <w:rsid w:val="008537B7"/>
    <w:rsid w:val="008537DF"/>
    <w:rsid w:val="008537E6"/>
    <w:rsid w:val="00853849"/>
    <w:rsid w:val="00853889"/>
    <w:rsid w:val="008538B2"/>
    <w:rsid w:val="008538C6"/>
    <w:rsid w:val="00853920"/>
    <w:rsid w:val="0085392F"/>
    <w:rsid w:val="008539A9"/>
    <w:rsid w:val="008539C0"/>
    <w:rsid w:val="008539FE"/>
    <w:rsid w:val="00853A77"/>
    <w:rsid w:val="00853A95"/>
    <w:rsid w:val="00853AC7"/>
    <w:rsid w:val="00853B06"/>
    <w:rsid w:val="00853B08"/>
    <w:rsid w:val="00853B3F"/>
    <w:rsid w:val="00853BF5"/>
    <w:rsid w:val="00853BFD"/>
    <w:rsid w:val="00853C26"/>
    <w:rsid w:val="00853C33"/>
    <w:rsid w:val="00853C50"/>
    <w:rsid w:val="00853CA6"/>
    <w:rsid w:val="00853CD6"/>
    <w:rsid w:val="00853D00"/>
    <w:rsid w:val="00853D2B"/>
    <w:rsid w:val="00853D58"/>
    <w:rsid w:val="00853D65"/>
    <w:rsid w:val="00853D9F"/>
    <w:rsid w:val="00853DDB"/>
    <w:rsid w:val="00853DF7"/>
    <w:rsid w:val="00853EF0"/>
    <w:rsid w:val="00853F1D"/>
    <w:rsid w:val="00853F54"/>
    <w:rsid w:val="00853F87"/>
    <w:rsid w:val="00853F9F"/>
    <w:rsid w:val="0085401E"/>
    <w:rsid w:val="0085404D"/>
    <w:rsid w:val="00854070"/>
    <w:rsid w:val="008540CF"/>
    <w:rsid w:val="0085413A"/>
    <w:rsid w:val="008541E3"/>
    <w:rsid w:val="008541EE"/>
    <w:rsid w:val="008541F0"/>
    <w:rsid w:val="0085420C"/>
    <w:rsid w:val="00854229"/>
    <w:rsid w:val="0085422A"/>
    <w:rsid w:val="00854234"/>
    <w:rsid w:val="0085423D"/>
    <w:rsid w:val="008542C7"/>
    <w:rsid w:val="008543E9"/>
    <w:rsid w:val="008543F8"/>
    <w:rsid w:val="00854422"/>
    <w:rsid w:val="00854436"/>
    <w:rsid w:val="0085450D"/>
    <w:rsid w:val="00854562"/>
    <w:rsid w:val="008545C6"/>
    <w:rsid w:val="00854625"/>
    <w:rsid w:val="008546DE"/>
    <w:rsid w:val="00854703"/>
    <w:rsid w:val="00854760"/>
    <w:rsid w:val="00854791"/>
    <w:rsid w:val="008547BE"/>
    <w:rsid w:val="008547F4"/>
    <w:rsid w:val="00854837"/>
    <w:rsid w:val="0085486B"/>
    <w:rsid w:val="008548AC"/>
    <w:rsid w:val="008548D0"/>
    <w:rsid w:val="00854915"/>
    <w:rsid w:val="00854963"/>
    <w:rsid w:val="0085499D"/>
    <w:rsid w:val="00854A09"/>
    <w:rsid w:val="00854A0D"/>
    <w:rsid w:val="00854A3B"/>
    <w:rsid w:val="00854A5A"/>
    <w:rsid w:val="00854A9B"/>
    <w:rsid w:val="00854AAA"/>
    <w:rsid w:val="00854AF5"/>
    <w:rsid w:val="00854B43"/>
    <w:rsid w:val="00854B68"/>
    <w:rsid w:val="00854B8F"/>
    <w:rsid w:val="00854C33"/>
    <w:rsid w:val="00854C56"/>
    <w:rsid w:val="00854C7F"/>
    <w:rsid w:val="00854D00"/>
    <w:rsid w:val="00854D1F"/>
    <w:rsid w:val="00854D36"/>
    <w:rsid w:val="00854DD0"/>
    <w:rsid w:val="00854DEB"/>
    <w:rsid w:val="00854E8E"/>
    <w:rsid w:val="00854EAD"/>
    <w:rsid w:val="00854F33"/>
    <w:rsid w:val="00854F80"/>
    <w:rsid w:val="00854FD8"/>
    <w:rsid w:val="00854FFB"/>
    <w:rsid w:val="00854FFE"/>
    <w:rsid w:val="00855010"/>
    <w:rsid w:val="00855076"/>
    <w:rsid w:val="008550B5"/>
    <w:rsid w:val="008550EF"/>
    <w:rsid w:val="008550F4"/>
    <w:rsid w:val="00855161"/>
    <w:rsid w:val="00855179"/>
    <w:rsid w:val="008552C4"/>
    <w:rsid w:val="00855339"/>
    <w:rsid w:val="0085535D"/>
    <w:rsid w:val="00855379"/>
    <w:rsid w:val="00855399"/>
    <w:rsid w:val="008553BF"/>
    <w:rsid w:val="008553DD"/>
    <w:rsid w:val="008553EC"/>
    <w:rsid w:val="00855402"/>
    <w:rsid w:val="00855478"/>
    <w:rsid w:val="008554E5"/>
    <w:rsid w:val="0085550E"/>
    <w:rsid w:val="008555BD"/>
    <w:rsid w:val="008555C1"/>
    <w:rsid w:val="008555C8"/>
    <w:rsid w:val="00855604"/>
    <w:rsid w:val="00855612"/>
    <w:rsid w:val="0085566F"/>
    <w:rsid w:val="008556DF"/>
    <w:rsid w:val="008556F4"/>
    <w:rsid w:val="00855743"/>
    <w:rsid w:val="0085574E"/>
    <w:rsid w:val="00855791"/>
    <w:rsid w:val="008557E1"/>
    <w:rsid w:val="0085583F"/>
    <w:rsid w:val="00855869"/>
    <w:rsid w:val="00855892"/>
    <w:rsid w:val="008558DB"/>
    <w:rsid w:val="008558ED"/>
    <w:rsid w:val="008558FF"/>
    <w:rsid w:val="0085590F"/>
    <w:rsid w:val="00855960"/>
    <w:rsid w:val="00855968"/>
    <w:rsid w:val="008559DD"/>
    <w:rsid w:val="00855A06"/>
    <w:rsid w:val="00855A3A"/>
    <w:rsid w:val="00855AF2"/>
    <w:rsid w:val="00855B34"/>
    <w:rsid w:val="00855B6F"/>
    <w:rsid w:val="00855D2D"/>
    <w:rsid w:val="00855DC0"/>
    <w:rsid w:val="00855EBB"/>
    <w:rsid w:val="00855F0E"/>
    <w:rsid w:val="00855F67"/>
    <w:rsid w:val="00855FC9"/>
    <w:rsid w:val="00856012"/>
    <w:rsid w:val="0085602C"/>
    <w:rsid w:val="00856039"/>
    <w:rsid w:val="00856080"/>
    <w:rsid w:val="00856147"/>
    <w:rsid w:val="0085618E"/>
    <w:rsid w:val="008561A5"/>
    <w:rsid w:val="008561EC"/>
    <w:rsid w:val="0085621B"/>
    <w:rsid w:val="00856325"/>
    <w:rsid w:val="0085633F"/>
    <w:rsid w:val="0085638B"/>
    <w:rsid w:val="008563AC"/>
    <w:rsid w:val="008563FA"/>
    <w:rsid w:val="00856503"/>
    <w:rsid w:val="00856541"/>
    <w:rsid w:val="0085657D"/>
    <w:rsid w:val="00856585"/>
    <w:rsid w:val="00856671"/>
    <w:rsid w:val="008566B6"/>
    <w:rsid w:val="008566EF"/>
    <w:rsid w:val="008567E1"/>
    <w:rsid w:val="008567E7"/>
    <w:rsid w:val="008567E9"/>
    <w:rsid w:val="00856820"/>
    <w:rsid w:val="00856831"/>
    <w:rsid w:val="0085684F"/>
    <w:rsid w:val="00856856"/>
    <w:rsid w:val="008568C9"/>
    <w:rsid w:val="008568E5"/>
    <w:rsid w:val="0085691D"/>
    <w:rsid w:val="008569C3"/>
    <w:rsid w:val="00856AB0"/>
    <w:rsid w:val="00856ACA"/>
    <w:rsid w:val="00856B15"/>
    <w:rsid w:val="00856B32"/>
    <w:rsid w:val="00856B4A"/>
    <w:rsid w:val="00856B4D"/>
    <w:rsid w:val="00856C02"/>
    <w:rsid w:val="00856D0E"/>
    <w:rsid w:val="00856D68"/>
    <w:rsid w:val="00856D8A"/>
    <w:rsid w:val="00856D99"/>
    <w:rsid w:val="00856DF2"/>
    <w:rsid w:val="00856E0D"/>
    <w:rsid w:val="00856F06"/>
    <w:rsid w:val="00856F44"/>
    <w:rsid w:val="00856F91"/>
    <w:rsid w:val="00856FB8"/>
    <w:rsid w:val="00856FBF"/>
    <w:rsid w:val="00856FCE"/>
    <w:rsid w:val="0085708E"/>
    <w:rsid w:val="00857096"/>
    <w:rsid w:val="008570AE"/>
    <w:rsid w:val="008570F5"/>
    <w:rsid w:val="00857122"/>
    <w:rsid w:val="00857141"/>
    <w:rsid w:val="008571E2"/>
    <w:rsid w:val="0085724E"/>
    <w:rsid w:val="0085727E"/>
    <w:rsid w:val="0085728D"/>
    <w:rsid w:val="0085729D"/>
    <w:rsid w:val="008572ED"/>
    <w:rsid w:val="008572EF"/>
    <w:rsid w:val="008573BC"/>
    <w:rsid w:val="008573C7"/>
    <w:rsid w:val="00857423"/>
    <w:rsid w:val="00857476"/>
    <w:rsid w:val="008574A5"/>
    <w:rsid w:val="008574BE"/>
    <w:rsid w:val="008574E2"/>
    <w:rsid w:val="008574E6"/>
    <w:rsid w:val="00857545"/>
    <w:rsid w:val="00857571"/>
    <w:rsid w:val="00857574"/>
    <w:rsid w:val="00857584"/>
    <w:rsid w:val="008575CA"/>
    <w:rsid w:val="0085761D"/>
    <w:rsid w:val="00857660"/>
    <w:rsid w:val="0085768B"/>
    <w:rsid w:val="0085769D"/>
    <w:rsid w:val="008576A4"/>
    <w:rsid w:val="008576D2"/>
    <w:rsid w:val="008576D8"/>
    <w:rsid w:val="00857708"/>
    <w:rsid w:val="00857710"/>
    <w:rsid w:val="00857856"/>
    <w:rsid w:val="008578C0"/>
    <w:rsid w:val="008578F5"/>
    <w:rsid w:val="00857906"/>
    <w:rsid w:val="0085791F"/>
    <w:rsid w:val="00857963"/>
    <w:rsid w:val="00857986"/>
    <w:rsid w:val="00857A7D"/>
    <w:rsid w:val="00857AE3"/>
    <w:rsid w:val="00857B06"/>
    <w:rsid w:val="00857B2F"/>
    <w:rsid w:val="00857C05"/>
    <w:rsid w:val="00857C3E"/>
    <w:rsid w:val="00857C86"/>
    <w:rsid w:val="00857CA6"/>
    <w:rsid w:val="00857CB8"/>
    <w:rsid w:val="00857CBD"/>
    <w:rsid w:val="00857CCC"/>
    <w:rsid w:val="00857CED"/>
    <w:rsid w:val="00857D65"/>
    <w:rsid w:val="00857D76"/>
    <w:rsid w:val="00857DF0"/>
    <w:rsid w:val="00857DF9"/>
    <w:rsid w:val="00857E14"/>
    <w:rsid w:val="00857E22"/>
    <w:rsid w:val="00857E33"/>
    <w:rsid w:val="00857ECC"/>
    <w:rsid w:val="00857EFB"/>
    <w:rsid w:val="00857F12"/>
    <w:rsid w:val="00857F27"/>
    <w:rsid w:val="00857FB4"/>
    <w:rsid w:val="00857FE5"/>
    <w:rsid w:val="0086002D"/>
    <w:rsid w:val="00860070"/>
    <w:rsid w:val="0086008D"/>
    <w:rsid w:val="008600DA"/>
    <w:rsid w:val="008600DC"/>
    <w:rsid w:val="008601B7"/>
    <w:rsid w:val="008602C5"/>
    <w:rsid w:val="00860314"/>
    <w:rsid w:val="0086031D"/>
    <w:rsid w:val="00860339"/>
    <w:rsid w:val="00860343"/>
    <w:rsid w:val="00860346"/>
    <w:rsid w:val="00860378"/>
    <w:rsid w:val="00860383"/>
    <w:rsid w:val="008603AC"/>
    <w:rsid w:val="00860413"/>
    <w:rsid w:val="00860414"/>
    <w:rsid w:val="00860499"/>
    <w:rsid w:val="008604B0"/>
    <w:rsid w:val="008604B4"/>
    <w:rsid w:val="008604BC"/>
    <w:rsid w:val="008604F9"/>
    <w:rsid w:val="0086057A"/>
    <w:rsid w:val="008605DE"/>
    <w:rsid w:val="00860669"/>
    <w:rsid w:val="00860690"/>
    <w:rsid w:val="008606DA"/>
    <w:rsid w:val="00860778"/>
    <w:rsid w:val="008607A3"/>
    <w:rsid w:val="0086081D"/>
    <w:rsid w:val="00860868"/>
    <w:rsid w:val="00860869"/>
    <w:rsid w:val="00860928"/>
    <w:rsid w:val="00860952"/>
    <w:rsid w:val="00860AF3"/>
    <w:rsid w:val="00860AFB"/>
    <w:rsid w:val="00860AFD"/>
    <w:rsid w:val="00860B0C"/>
    <w:rsid w:val="00860B13"/>
    <w:rsid w:val="00860B16"/>
    <w:rsid w:val="00860B9A"/>
    <w:rsid w:val="00860BB2"/>
    <w:rsid w:val="00860C97"/>
    <w:rsid w:val="00860C9B"/>
    <w:rsid w:val="00860CDB"/>
    <w:rsid w:val="00860D3D"/>
    <w:rsid w:val="00860D3E"/>
    <w:rsid w:val="00860D4E"/>
    <w:rsid w:val="00860D86"/>
    <w:rsid w:val="00860DC9"/>
    <w:rsid w:val="00860DCB"/>
    <w:rsid w:val="00860DEA"/>
    <w:rsid w:val="00860E03"/>
    <w:rsid w:val="00860E8A"/>
    <w:rsid w:val="00860EF9"/>
    <w:rsid w:val="00860FAC"/>
    <w:rsid w:val="00860FCD"/>
    <w:rsid w:val="00861055"/>
    <w:rsid w:val="0086107E"/>
    <w:rsid w:val="0086109A"/>
    <w:rsid w:val="008610AA"/>
    <w:rsid w:val="00861105"/>
    <w:rsid w:val="00861133"/>
    <w:rsid w:val="0086117C"/>
    <w:rsid w:val="008611A8"/>
    <w:rsid w:val="008611AA"/>
    <w:rsid w:val="008611BE"/>
    <w:rsid w:val="008611D4"/>
    <w:rsid w:val="008611EF"/>
    <w:rsid w:val="00861241"/>
    <w:rsid w:val="008612A2"/>
    <w:rsid w:val="008612E4"/>
    <w:rsid w:val="00861384"/>
    <w:rsid w:val="00861391"/>
    <w:rsid w:val="008613A7"/>
    <w:rsid w:val="008613F2"/>
    <w:rsid w:val="0086143A"/>
    <w:rsid w:val="0086150E"/>
    <w:rsid w:val="00861566"/>
    <w:rsid w:val="0086156E"/>
    <w:rsid w:val="00861607"/>
    <w:rsid w:val="0086160D"/>
    <w:rsid w:val="00861730"/>
    <w:rsid w:val="00861738"/>
    <w:rsid w:val="0086173D"/>
    <w:rsid w:val="00861748"/>
    <w:rsid w:val="00861774"/>
    <w:rsid w:val="00861890"/>
    <w:rsid w:val="0086189F"/>
    <w:rsid w:val="008618F9"/>
    <w:rsid w:val="00861952"/>
    <w:rsid w:val="008619C6"/>
    <w:rsid w:val="008619D2"/>
    <w:rsid w:val="00861A01"/>
    <w:rsid w:val="00861A2F"/>
    <w:rsid w:val="00861AA4"/>
    <w:rsid w:val="00861B38"/>
    <w:rsid w:val="00861BA6"/>
    <w:rsid w:val="00861BE1"/>
    <w:rsid w:val="00861C20"/>
    <w:rsid w:val="00861CCD"/>
    <w:rsid w:val="00861D03"/>
    <w:rsid w:val="00861DC6"/>
    <w:rsid w:val="00861E3B"/>
    <w:rsid w:val="00861E6D"/>
    <w:rsid w:val="00861EA6"/>
    <w:rsid w:val="00861F23"/>
    <w:rsid w:val="00861FB4"/>
    <w:rsid w:val="00862071"/>
    <w:rsid w:val="00862089"/>
    <w:rsid w:val="008620DE"/>
    <w:rsid w:val="008621BE"/>
    <w:rsid w:val="008621E2"/>
    <w:rsid w:val="008621E6"/>
    <w:rsid w:val="00862227"/>
    <w:rsid w:val="00862231"/>
    <w:rsid w:val="0086223B"/>
    <w:rsid w:val="008622FF"/>
    <w:rsid w:val="0086234D"/>
    <w:rsid w:val="0086237F"/>
    <w:rsid w:val="008623E5"/>
    <w:rsid w:val="00862444"/>
    <w:rsid w:val="00862597"/>
    <w:rsid w:val="0086259C"/>
    <w:rsid w:val="008625B7"/>
    <w:rsid w:val="008625C9"/>
    <w:rsid w:val="0086266B"/>
    <w:rsid w:val="0086266D"/>
    <w:rsid w:val="00862684"/>
    <w:rsid w:val="008626C3"/>
    <w:rsid w:val="008626CE"/>
    <w:rsid w:val="008626D6"/>
    <w:rsid w:val="00862775"/>
    <w:rsid w:val="00862850"/>
    <w:rsid w:val="008628F3"/>
    <w:rsid w:val="00862924"/>
    <w:rsid w:val="00862930"/>
    <w:rsid w:val="0086295A"/>
    <w:rsid w:val="00862A01"/>
    <w:rsid w:val="00862A09"/>
    <w:rsid w:val="00862A38"/>
    <w:rsid w:val="00862A3A"/>
    <w:rsid w:val="00862AA4"/>
    <w:rsid w:val="00862ABD"/>
    <w:rsid w:val="00862BD3"/>
    <w:rsid w:val="00862BEE"/>
    <w:rsid w:val="00862C05"/>
    <w:rsid w:val="00862C06"/>
    <w:rsid w:val="00862C15"/>
    <w:rsid w:val="00862C34"/>
    <w:rsid w:val="00862C40"/>
    <w:rsid w:val="00862C4B"/>
    <w:rsid w:val="00862C8A"/>
    <w:rsid w:val="00862C93"/>
    <w:rsid w:val="00862E88"/>
    <w:rsid w:val="00862EBB"/>
    <w:rsid w:val="00862EE1"/>
    <w:rsid w:val="00862EF6"/>
    <w:rsid w:val="00862F20"/>
    <w:rsid w:val="00862F8C"/>
    <w:rsid w:val="00862FA6"/>
    <w:rsid w:val="00862FB9"/>
    <w:rsid w:val="00863003"/>
    <w:rsid w:val="00863024"/>
    <w:rsid w:val="00863027"/>
    <w:rsid w:val="0086303E"/>
    <w:rsid w:val="00863086"/>
    <w:rsid w:val="008630A4"/>
    <w:rsid w:val="008630BB"/>
    <w:rsid w:val="008630E1"/>
    <w:rsid w:val="00863126"/>
    <w:rsid w:val="0086312C"/>
    <w:rsid w:val="00863203"/>
    <w:rsid w:val="00863209"/>
    <w:rsid w:val="008632DC"/>
    <w:rsid w:val="008632DD"/>
    <w:rsid w:val="00863337"/>
    <w:rsid w:val="0086333C"/>
    <w:rsid w:val="00863346"/>
    <w:rsid w:val="008633FB"/>
    <w:rsid w:val="008634D3"/>
    <w:rsid w:val="008634D4"/>
    <w:rsid w:val="00863544"/>
    <w:rsid w:val="00863582"/>
    <w:rsid w:val="00863744"/>
    <w:rsid w:val="0086375C"/>
    <w:rsid w:val="0086375F"/>
    <w:rsid w:val="0086376E"/>
    <w:rsid w:val="0086379C"/>
    <w:rsid w:val="0086382C"/>
    <w:rsid w:val="008638A5"/>
    <w:rsid w:val="0086394A"/>
    <w:rsid w:val="008639C8"/>
    <w:rsid w:val="008639E6"/>
    <w:rsid w:val="008639EA"/>
    <w:rsid w:val="00863A4F"/>
    <w:rsid w:val="00863A6E"/>
    <w:rsid w:val="00863A99"/>
    <w:rsid w:val="00863B15"/>
    <w:rsid w:val="00863BC7"/>
    <w:rsid w:val="00863C55"/>
    <w:rsid w:val="00863C88"/>
    <w:rsid w:val="00863CE6"/>
    <w:rsid w:val="00863D5A"/>
    <w:rsid w:val="00863DB7"/>
    <w:rsid w:val="00863DEE"/>
    <w:rsid w:val="00863DF1"/>
    <w:rsid w:val="00863E28"/>
    <w:rsid w:val="00863E38"/>
    <w:rsid w:val="00863E39"/>
    <w:rsid w:val="00863E74"/>
    <w:rsid w:val="00863F24"/>
    <w:rsid w:val="00863F2B"/>
    <w:rsid w:val="00863F72"/>
    <w:rsid w:val="00863FC7"/>
    <w:rsid w:val="00863FE8"/>
    <w:rsid w:val="0086401B"/>
    <w:rsid w:val="0086406A"/>
    <w:rsid w:val="008640F4"/>
    <w:rsid w:val="00864148"/>
    <w:rsid w:val="008641D4"/>
    <w:rsid w:val="00864236"/>
    <w:rsid w:val="0086423F"/>
    <w:rsid w:val="00864260"/>
    <w:rsid w:val="00864288"/>
    <w:rsid w:val="008642C2"/>
    <w:rsid w:val="008642F5"/>
    <w:rsid w:val="00864353"/>
    <w:rsid w:val="00864364"/>
    <w:rsid w:val="0086438B"/>
    <w:rsid w:val="00864395"/>
    <w:rsid w:val="0086444B"/>
    <w:rsid w:val="0086444F"/>
    <w:rsid w:val="0086455D"/>
    <w:rsid w:val="0086460E"/>
    <w:rsid w:val="0086461B"/>
    <w:rsid w:val="00864629"/>
    <w:rsid w:val="00864636"/>
    <w:rsid w:val="00864642"/>
    <w:rsid w:val="008646E7"/>
    <w:rsid w:val="00864711"/>
    <w:rsid w:val="00864784"/>
    <w:rsid w:val="00864809"/>
    <w:rsid w:val="00864886"/>
    <w:rsid w:val="008648E0"/>
    <w:rsid w:val="008649AD"/>
    <w:rsid w:val="008649EF"/>
    <w:rsid w:val="00864A32"/>
    <w:rsid w:val="00864A42"/>
    <w:rsid w:val="00864A66"/>
    <w:rsid w:val="00864A96"/>
    <w:rsid w:val="00864AED"/>
    <w:rsid w:val="00864B0C"/>
    <w:rsid w:val="00864B8E"/>
    <w:rsid w:val="00864B9D"/>
    <w:rsid w:val="00864BF6"/>
    <w:rsid w:val="00864C56"/>
    <w:rsid w:val="00864C8F"/>
    <w:rsid w:val="00864CBA"/>
    <w:rsid w:val="00864CC0"/>
    <w:rsid w:val="00864D08"/>
    <w:rsid w:val="00864D59"/>
    <w:rsid w:val="00864D5C"/>
    <w:rsid w:val="00864D7D"/>
    <w:rsid w:val="00864D97"/>
    <w:rsid w:val="00864DC6"/>
    <w:rsid w:val="00864DCF"/>
    <w:rsid w:val="00864DDD"/>
    <w:rsid w:val="00864E4D"/>
    <w:rsid w:val="00864E80"/>
    <w:rsid w:val="00864E9A"/>
    <w:rsid w:val="00864EBF"/>
    <w:rsid w:val="00864ECF"/>
    <w:rsid w:val="00864ED1"/>
    <w:rsid w:val="00864F5E"/>
    <w:rsid w:val="00864F5F"/>
    <w:rsid w:val="00864F87"/>
    <w:rsid w:val="00864FBA"/>
    <w:rsid w:val="00864FD4"/>
    <w:rsid w:val="00864FD6"/>
    <w:rsid w:val="00864FF0"/>
    <w:rsid w:val="0086500C"/>
    <w:rsid w:val="00865028"/>
    <w:rsid w:val="00865052"/>
    <w:rsid w:val="008650DE"/>
    <w:rsid w:val="008650F0"/>
    <w:rsid w:val="00865110"/>
    <w:rsid w:val="00865115"/>
    <w:rsid w:val="00865171"/>
    <w:rsid w:val="00865192"/>
    <w:rsid w:val="00865195"/>
    <w:rsid w:val="008651BC"/>
    <w:rsid w:val="00865264"/>
    <w:rsid w:val="008652BA"/>
    <w:rsid w:val="008653DA"/>
    <w:rsid w:val="00865435"/>
    <w:rsid w:val="008655BB"/>
    <w:rsid w:val="008655C8"/>
    <w:rsid w:val="0086566B"/>
    <w:rsid w:val="00865670"/>
    <w:rsid w:val="008656D3"/>
    <w:rsid w:val="00865728"/>
    <w:rsid w:val="00865784"/>
    <w:rsid w:val="008657D4"/>
    <w:rsid w:val="008657E3"/>
    <w:rsid w:val="008657F8"/>
    <w:rsid w:val="00865802"/>
    <w:rsid w:val="00865836"/>
    <w:rsid w:val="0086585D"/>
    <w:rsid w:val="00865907"/>
    <w:rsid w:val="00865910"/>
    <w:rsid w:val="008659D9"/>
    <w:rsid w:val="008659FD"/>
    <w:rsid w:val="00865A1D"/>
    <w:rsid w:val="00865A5B"/>
    <w:rsid w:val="00865A9C"/>
    <w:rsid w:val="00865ABA"/>
    <w:rsid w:val="00865B75"/>
    <w:rsid w:val="00865B8F"/>
    <w:rsid w:val="00865BC2"/>
    <w:rsid w:val="00865BC6"/>
    <w:rsid w:val="00865BC9"/>
    <w:rsid w:val="00865BD1"/>
    <w:rsid w:val="00865C80"/>
    <w:rsid w:val="00865C8F"/>
    <w:rsid w:val="00865CA6"/>
    <w:rsid w:val="00865CCE"/>
    <w:rsid w:val="00865CF5"/>
    <w:rsid w:val="00865D5B"/>
    <w:rsid w:val="00865DAF"/>
    <w:rsid w:val="00865E50"/>
    <w:rsid w:val="00865E75"/>
    <w:rsid w:val="00865EC2"/>
    <w:rsid w:val="00865EF4"/>
    <w:rsid w:val="00865F00"/>
    <w:rsid w:val="00865F06"/>
    <w:rsid w:val="00865F1F"/>
    <w:rsid w:val="00865F6B"/>
    <w:rsid w:val="00865F8A"/>
    <w:rsid w:val="00865F99"/>
    <w:rsid w:val="00865FCB"/>
    <w:rsid w:val="0086603C"/>
    <w:rsid w:val="00866070"/>
    <w:rsid w:val="008660AC"/>
    <w:rsid w:val="008660CF"/>
    <w:rsid w:val="008660E9"/>
    <w:rsid w:val="008660EF"/>
    <w:rsid w:val="0086613E"/>
    <w:rsid w:val="0086615D"/>
    <w:rsid w:val="0086616D"/>
    <w:rsid w:val="00866194"/>
    <w:rsid w:val="008661C1"/>
    <w:rsid w:val="008662F2"/>
    <w:rsid w:val="00866356"/>
    <w:rsid w:val="0086638D"/>
    <w:rsid w:val="008663A5"/>
    <w:rsid w:val="008663DE"/>
    <w:rsid w:val="0086649C"/>
    <w:rsid w:val="00866538"/>
    <w:rsid w:val="00866553"/>
    <w:rsid w:val="008665CE"/>
    <w:rsid w:val="00866633"/>
    <w:rsid w:val="00866654"/>
    <w:rsid w:val="00866676"/>
    <w:rsid w:val="00866693"/>
    <w:rsid w:val="0086670F"/>
    <w:rsid w:val="00866747"/>
    <w:rsid w:val="00866769"/>
    <w:rsid w:val="008667A9"/>
    <w:rsid w:val="008667DD"/>
    <w:rsid w:val="008667E4"/>
    <w:rsid w:val="008667EE"/>
    <w:rsid w:val="008667FF"/>
    <w:rsid w:val="00866851"/>
    <w:rsid w:val="0086697E"/>
    <w:rsid w:val="008669DB"/>
    <w:rsid w:val="008669E9"/>
    <w:rsid w:val="008669F1"/>
    <w:rsid w:val="00866A1A"/>
    <w:rsid w:val="00866A8F"/>
    <w:rsid w:val="00866AA7"/>
    <w:rsid w:val="00866AB7"/>
    <w:rsid w:val="00866AE8"/>
    <w:rsid w:val="00866BF0"/>
    <w:rsid w:val="00866BF5"/>
    <w:rsid w:val="00866C26"/>
    <w:rsid w:val="00866C6B"/>
    <w:rsid w:val="00866CAF"/>
    <w:rsid w:val="00866D42"/>
    <w:rsid w:val="00866DA5"/>
    <w:rsid w:val="00866EA1"/>
    <w:rsid w:val="00866EC8"/>
    <w:rsid w:val="00866EFC"/>
    <w:rsid w:val="00866F06"/>
    <w:rsid w:val="00866F19"/>
    <w:rsid w:val="00866F2E"/>
    <w:rsid w:val="00866F5B"/>
    <w:rsid w:val="00866F60"/>
    <w:rsid w:val="00866FC6"/>
    <w:rsid w:val="008670AE"/>
    <w:rsid w:val="008670B9"/>
    <w:rsid w:val="008670D1"/>
    <w:rsid w:val="008670EF"/>
    <w:rsid w:val="00867130"/>
    <w:rsid w:val="00867179"/>
    <w:rsid w:val="008671B3"/>
    <w:rsid w:val="008671D9"/>
    <w:rsid w:val="00867215"/>
    <w:rsid w:val="0086721B"/>
    <w:rsid w:val="0086726F"/>
    <w:rsid w:val="008672B4"/>
    <w:rsid w:val="00867345"/>
    <w:rsid w:val="00867392"/>
    <w:rsid w:val="008673E5"/>
    <w:rsid w:val="00867401"/>
    <w:rsid w:val="0086742E"/>
    <w:rsid w:val="00867483"/>
    <w:rsid w:val="0086748C"/>
    <w:rsid w:val="0086750C"/>
    <w:rsid w:val="008675A0"/>
    <w:rsid w:val="008675AF"/>
    <w:rsid w:val="00867619"/>
    <w:rsid w:val="00867662"/>
    <w:rsid w:val="008676B7"/>
    <w:rsid w:val="008676E7"/>
    <w:rsid w:val="00867768"/>
    <w:rsid w:val="0086778F"/>
    <w:rsid w:val="00867886"/>
    <w:rsid w:val="008678B2"/>
    <w:rsid w:val="008678C2"/>
    <w:rsid w:val="008678CA"/>
    <w:rsid w:val="0086790E"/>
    <w:rsid w:val="00867931"/>
    <w:rsid w:val="0086793D"/>
    <w:rsid w:val="008679FF"/>
    <w:rsid w:val="00867A41"/>
    <w:rsid w:val="00867A5D"/>
    <w:rsid w:val="00867A63"/>
    <w:rsid w:val="00867BB6"/>
    <w:rsid w:val="00867BBC"/>
    <w:rsid w:val="00867BD5"/>
    <w:rsid w:val="00867BEE"/>
    <w:rsid w:val="00867C2D"/>
    <w:rsid w:val="00867CE3"/>
    <w:rsid w:val="00867D10"/>
    <w:rsid w:val="00867D5B"/>
    <w:rsid w:val="00867D95"/>
    <w:rsid w:val="00867DAA"/>
    <w:rsid w:val="00867DF7"/>
    <w:rsid w:val="00867E29"/>
    <w:rsid w:val="00867EB4"/>
    <w:rsid w:val="00867EBC"/>
    <w:rsid w:val="00867EFE"/>
    <w:rsid w:val="00867F3F"/>
    <w:rsid w:val="00867F72"/>
    <w:rsid w:val="00867F7D"/>
    <w:rsid w:val="00867F8B"/>
    <w:rsid w:val="00867F96"/>
    <w:rsid w:val="00867F99"/>
    <w:rsid w:val="00867FAA"/>
    <w:rsid w:val="00870013"/>
    <w:rsid w:val="008700B6"/>
    <w:rsid w:val="008700F7"/>
    <w:rsid w:val="00870108"/>
    <w:rsid w:val="00870121"/>
    <w:rsid w:val="0087016E"/>
    <w:rsid w:val="0087016F"/>
    <w:rsid w:val="00870178"/>
    <w:rsid w:val="00870193"/>
    <w:rsid w:val="008701F7"/>
    <w:rsid w:val="00870210"/>
    <w:rsid w:val="00870263"/>
    <w:rsid w:val="008702C7"/>
    <w:rsid w:val="008702F4"/>
    <w:rsid w:val="00870302"/>
    <w:rsid w:val="0087034A"/>
    <w:rsid w:val="0087037D"/>
    <w:rsid w:val="008703B9"/>
    <w:rsid w:val="008703D0"/>
    <w:rsid w:val="0087040A"/>
    <w:rsid w:val="0087044F"/>
    <w:rsid w:val="00870480"/>
    <w:rsid w:val="00870501"/>
    <w:rsid w:val="0087053B"/>
    <w:rsid w:val="00870550"/>
    <w:rsid w:val="0087063C"/>
    <w:rsid w:val="008706AF"/>
    <w:rsid w:val="008706E4"/>
    <w:rsid w:val="0087071F"/>
    <w:rsid w:val="00870734"/>
    <w:rsid w:val="00870738"/>
    <w:rsid w:val="008707DD"/>
    <w:rsid w:val="00870818"/>
    <w:rsid w:val="00870836"/>
    <w:rsid w:val="00870872"/>
    <w:rsid w:val="008708A0"/>
    <w:rsid w:val="008708B8"/>
    <w:rsid w:val="0087090C"/>
    <w:rsid w:val="00870981"/>
    <w:rsid w:val="008709EC"/>
    <w:rsid w:val="00870A60"/>
    <w:rsid w:val="00870A82"/>
    <w:rsid w:val="00870AA5"/>
    <w:rsid w:val="00870AB6"/>
    <w:rsid w:val="00870BBE"/>
    <w:rsid w:val="00870C01"/>
    <w:rsid w:val="00870C98"/>
    <w:rsid w:val="00870CC4"/>
    <w:rsid w:val="00870D2C"/>
    <w:rsid w:val="00870D45"/>
    <w:rsid w:val="00870D82"/>
    <w:rsid w:val="00870D9A"/>
    <w:rsid w:val="00870DD0"/>
    <w:rsid w:val="00870DFA"/>
    <w:rsid w:val="00870E66"/>
    <w:rsid w:val="00870EC7"/>
    <w:rsid w:val="00870F43"/>
    <w:rsid w:val="00870F99"/>
    <w:rsid w:val="00871012"/>
    <w:rsid w:val="0087102C"/>
    <w:rsid w:val="008710E7"/>
    <w:rsid w:val="00871144"/>
    <w:rsid w:val="00871160"/>
    <w:rsid w:val="00871166"/>
    <w:rsid w:val="00871173"/>
    <w:rsid w:val="0087119B"/>
    <w:rsid w:val="008711CF"/>
    <w:rsid w:val="00871225"/>
    <w:rsid w:val="0087122C"/>
    <w:rsid w:val="00871260"/>
    <w:rsid w:val="00871266"/>
    <w:rsid w:val="0087129B"/>
    <w:rsid w:val="008712EA"/>
    <w:rsid w:val="00871322"/>
    <w:rsid w:val="0087133E"/>
    <w:rsid w:val="0087135E"/>
    <w:rsid w:val="008713FF"/>
    <w:rsid w:val="00871445"/>
    <w:rsid w:val="0087145D"/>
    <w:rsid w:val="0087147F"/>
    <w:rsid w:val="00871494"/>
    <w:rsid w:val="00871531"/>
    <w:rsid w:val="00871546"/>
    <w:rsid w:val="008715AE"/>
    <w:rsid w:val="008715DB"/>
    <w:rsid w:val="008715EE"/>
    <w:rsid w:val="008716D9"/>
    <w:rsid w:val="0087177B"/>
    <w:rsid w:val="00871799"/>
    <w:rsid w:val="00871822"/>
    <w:rsid w:val="00871831"/>
    <w:rsid w:val="0087193E"/>
    <w:rsid w:val="008719C2"/>
    <w:rsid w:val="00871A2E"/>
    <w:rsid w:val="00871A68"/>
    <w:rsid w:val="00871A9C"/>
    <w:rsid w:val="00871A9F"/>
    <w:rsid w:val="00871ADA"/>
    <w:rsid w:val="00871B11"/>
    <w:rsid w:val="00871BA1"/>
    <w:rsid w:val="00871BC4"/>
    <w:rsid w:val="00871BD9"/>
    <w:rsid w:val="00871CA1"/>
    <w:rsid w:val="00871E45"/>
    <w:rsid w:val="00871E50"/>
    <w:rsid w:val="00871E87"/>
    <w:rsid w:val="00871EEF"/>
    <w:rsid w:val="00871FD2"/>
    <w:rsid w:val="00872027"/>
    <w:rsid w:val="0087206D"/>
    <w:rsid w:val="0087208E"/>
    <w:rsid w:val="0087217A"/>
    <w:rsid w:val="00872262"/>
    <w:rsid w:val="00872277"/>
    <w:rsid w:val="0087229C"/>
    <w:rsid w:val="008723B1"/>
    <w:rsid w:val="008723DE"/>
    <w:rsid w:val="00872406"/>
    <w:rsid w:val="0087245B"/>
    <w:rsid w:val="008724C5"/>
    <w:rsid w:val="008725B3"/>
    <w:rsid w:val="00872656"/>
    <w:rsid w:val="008726D0"/>
    <w:rsid w:val="00872765"/>
    <w:rsid w:val="00872769"/>
    <w:rsid w:val="008727AE"/>
    <w:rsid w:val="008727B0"/>
    <w:rsid w:val="00872815"/>
    <w:rsid w:val="0087285F"/>
    <w:rsid w:val="008728F4"/>
    <w:rsid w:val="00872944"/>
    <w:rsid w:val="00872947"/>
    <w:rsid w:val="00872A3E"/>
    <w:rsid w:val="00872A6F"/>
    <w:rsid w:val="00872ABD"/>
    <w:rsid w:val="00872B00"/>
    <w:rsid w:val="00872B4E"/>
    <w:rsid w:val="00872B50"/>
    <w:rsid w:val="00872BB1"/>
    <w:rsid w:val="00872BC7"/>
    <w:rsid w:val="00872BE3"/>
    <w:rsid w:val="00872C04"/>
    <w:rsid w:val="00872C27"/>
    <w:rsid w:val="00872C32"/>
    <w:rsid w:val="00872CB5"/>
    <w:rsid w:val="00872CBD"/>
    <w:rsid w:val="00872CD2"/>
    <w:rsid w:val="00872CE8"/>
    <w:rsid w:val="00872DFE"/>
    <w:rsid w:val="00872E31"/>
    <w:rsid w:val="00872E6E"/>
    <w:rsid w:val="00872E8C"/>
    <w:rsid w:val="00872F44"/>
    <w:rsid w:val="00872F5A"/>
    <w:rsid w:val="00873072"/>
    <w:rsid w:val="008730EB"/>
    <w:rsid w:val="008731AB"/>
    <w:rsid w:val="008731D1"/>
    <w:rsid w:val="0087320D"/>
    <w:rsid w:val="00873239"/>
    <w:rsid w:val="008732DE"/>
    <w:rsid w:val="00873366"/>
    <w:rsid w:val="00873389"/>
    <w:rsid w:val="008733AC"/>
    <w:rsid w:val="008733C3"/>
    <w:rsid w:val="008733F9"/>
    <w:rsid w:val="00873407"/>
    <w:rsid w:val="00873461"/>
    <w:rsid w:val="008734A1"/>
    <w:rsid w:val="008734C9"/>
    <w:rsid w:val="008734F9"/>
    <w:rsid w:val="0087356B"/>
    <w:rsid w:val="008735AF"/>
    <w:rsid w:val="008735D9"/>
    <w:rsid w:val="008735EC"/>
    <w:rsid w:val="00873688"/>
    <w:rsid w:val="00873698"/>
    <w:rsid w:val="008736C5"/>
    <w:rsid w:val="00873717"/>
    <w:rsid w:val="0087372F"/>
    <w:rsid w:val="0087376D"/>
    <w:rsid w:val="00873771"/>
    <w:rsid w:val="00873792"/>
    <w:rsid w:val="008737C0"/>
    <w:rsid w:val="008737C3"/>
    <w:rsid w:val="008737F1"/>
    <w:rsid w:val="00873800"/>
    <w:rsid w:val="00873806"/>
    <w:rsid w:val="0087383E"/>
    <w:rsid w:val="0087388A"/>
    <w:rsid w:val="008738AD"/>
    <w:rsid w:val="008738B2"/>
    <w:rsid w:val="008738BF"/>
    <w:rsid w:val="008738C2"/>
    <w:rsid w:val="008738C6"/>
    <w:rsid w:val="008738D4"/>
    <w:rsid w:val="008738FA"/>
    <w:rsid w:val="0087393E"/>
    <w:rsid w:val="00873974"/>
    <w:rsid w:val="0087398F"/>
    <w:rsid w:val="008739EC"/>
    <w:rsid w:val="00873A38"/>
    <w:rsid w:val="00873A48"/>
    <w:rsid w:val="00873A49"/>
    <w:rsid w:val="00873ABA"/>
    <w:rsid w:val="00873AF5"/>
    <w:rsid w:val="00873C15"/>
    <w:rsid w:val="00873C1F"/>
    <w:rsid w:val="00873C8A"/>
    <w:rsid w:val="00873CB1"/>
    <w:rsid w:val="00873CC9"/>
    <w:rsid w:val="00873CCD"/>
    <w:rsid w:val="00873D06"/>
    <w:rsid w:val="00873DA5"/>
    <w:rsid w:val="00873E09"/>
    <w:rsid w:val="00873E27"/>
    <w:rsid w:val="00873E88"/>
    <w:rsid w:val="00873ED5"/>
    <w:rsid w:val="00873F5C"/>
    <w:rsid w:val="00873FC1"/>
    <w:rsid w:val="00873FCB"/>
    <w:rsid w:val="008740EE"/>
    <w:rsid w:val="0087410F"/>
    <w:rsid w:val="0087413C"/>
    <w:rsid w:val="008741D6"/>
    <w:rsid w:val="00874247"/>
    <w:rsid w:val="00874254"/>
    <w:rsid w:val="008742C9"/>
    <w:rsid w:val="00874318"/>
    <w:rsid w:val="00874328"/>
    <w:rsid w:val="00874357"/>
    <w:rsid w:val="008743CF"/>
    <w:rsid w:val="008743F2"/>
    <w:rsid w:val="008743FB"/>
    <w:rsid w:val="00874468"/>
    <w:rsid w:val="00874529"/>
    <w:rsid w:val="00874594"/>
    <w:rsid w:val="008745C1"/>
    <w:rsid w:val="008745F3"/>
    <w:rsid w:val="00874634"/>
    <w:rsid w:val="0087465C"/>
    <w:rsid w:val="00874673"/>
    <w:rsid w:val="00874697"/>
    <w:rsid w:val="008746B7"/>
    <w:rsid w:val="008746D2"/>
    <w:rsid w:val="008746DF"/>
    <w:rsid w:val="00874737"/>
    <w:rsid w:val="008747E1"/>
    <w:rsid w:val="00874802"/>
    <w:rsid w:val="0087481E"/>
    <w:rsid w:val="00874824"/>
    <w:rsid w:val="00874836"/>
    <w:rsid w:val="008748AC"/>
    <w:rsid w:val="0087499A"/>
    <w:rsid w:val="008749CB"/>
    <w:rsid w:val="008749EB"/>
    <w:rsid w:val="008749ED"/>
    <w:rsid w:val="00874A01"/>
    <w:rsid w:val="00874A02"/>
    <w:rsid w:val="00874A08"/>
    <w:rsid w:val="00874A52"/>
    <w:rsid w:val="00874BAB"/>
    <w:rsid w:val="00874BE9"/>
    <w:rsid w:val="00874BEA"/>
    <w:rsid w:val="00874C15"/>
    <w:rsid w:val="00874C1E"/>
    <w:rsid w:val="00874C7A"/>
    <w:rsid w:val="00874CDB"/>
    <w:rsid w:val="00874CE2"/>
    <w:rsid w:val="00874D13"/>
    <w:rsid w:val="00874D79"/>
    <w:rsid w:val="00874D7B"/>
    <w:rsid w:val="00874E5A"/>
    <w:rsid w:val="00874E67"/>
    <w:rsid w:val="00874E9E"/>
    <w:rsid w:val="00874EB9"/>
    <w:rsid w:val="00874EBA"/>
    <w:rsid w:val="00874ECF"/>
    <w:rsid w:val="00874EF4"/>
    <w:rsid w:val="00874F49"/>
    <w:rsid w:val="00875002"/>
    <w:rsid w:val="0087502A"/>
    <w:rsid w:val="00875044"/>
    <w:rsid w:val="00875067"/>
    <w:rsid w:val="0087507C"/>
    <w:rsid w:val="008750AF"/>
    <w:rsid w:val="008750DA"/>
    <w:rsid w:val="008750EB"/>
    <w:rsid w:val="0087514F"/>
    <w:rsid w:val="008751A4"/>
    <w:rsid w:val="008751AB"/>
    <w:rsid w:val="00875252"/>
    <w:rsid w:val="0087525E"/>
    <w:rsid w:val="008752B1"/>
    <w:rsid w:val="008752C7"/>
    <w:rsid w:val="008752EA"/>
    <w:rsid w:val="00875304"/>
    <w:rsid w:val="00875405"/>
    <w:rsid w:val="00875435"/>
    <w:rsid w:val="00875446"/>
    <w:rsid w:val="008754BC"/>
    <w:rsid w:val="00875532"/>
    <w:rsid w:val="00875567"/>
    <w:rsid w:val="008755A5"/>
    <w:rsid w:val="008755DC"/>
    <w:rsid w:val="0087566C"/>
    <w:rsid w:val="008756D8"/>
    <w:rsid w:val="008757D3"/>
    <w:rsid w:val="00875852"/>
    <w:rsid w:val="0087585F"/>
    <w:rsid w:val="008758C7"/>
    <w:rsid w:val="008758EA"/>
    <w:rsid w:val="0087595B"/>
    <w:rsid w:val="0087598A"/>
    <w:rsid w:val="00875A27"/>
    <w:rsid w:val="00875A6D"/>
    <w:rsid w:val="00875AC7"/>
    <w:rsid w:val="00875B07"/>
    <w:rsid w:val="00875B4C"/>
    <w:rsid w:val="00875B6E"/>
    <w:rsid w:val="00875BF6"/>
    <w:rsid w:val="00875C0A"/>
    <w:rsid w:val="00875C50"/>
    <w:rsid w:val="00875C7D"/>
    <w:rsid w:val="00875CB2"/>
    <w:rsid w:val="00875D43"/>
    <w:rsid w:val="00875D53"/>
    <w:rsid w:val="00875D59"/>
    <w:rsid w:val="00875D5B"/>
    <w:rsid w:val="00875DF4"/>
    <w:rsid w:val="00875E18"/>
    <w:rsid w:val="00875E33"/>
    <w:rsid w:val="00875F09"/>
    <w:rsid w:val="00875F12"/>
    <w:rsid w:val="00875F62"/>
    <w:rsid w:val="00875F65"/>
    <w:rsid w:val="00875F7D"/>
    <w:rsid w:val="00875FDE"/>
    <w:rsid w:val="00876015"/>
    <w:rsid w:val="00876029"/>
    <w:rsid w:val="0087602F"/>
    <w:rsid w:val="0087603D"/>
    <w:rsid w:val="00876088"/>
    <w:rsid w:val="00876151"/>
    <w:rsid w:val="0087617B"/>
    <w:rsid w:val="00876180"/>
    <w:rsid w:val="00876186"/>
    <w:rsid w:val="00876295"/>
    <w:rsid w:val="00876309"/>
    <w:rsid w:val="00876370"/>
    <w:rsid w:val="0087637B"/>
    <w:rsid w:val="008763B0"/>
    <w:rsid w:val="008763C0"/>
    <w:rsid w:val="00876536"/>
    <w:rsid w:val="0087654A"/>
    <w:rsid w:val="00876553"/>
    <w:rsid w:val="0087656A"/>
    <w:rsid w:val="0087659E"/>
    <w:rsid w:val="008765A2"/>
    <w:rsid w:val="008765D9"/>
    <w:rsid w:val="00876638"/>
    <w:rsid w:val="00876645"/>
    <w:rsid w:val="0087664F"/>
    <w:rsid w:val="008766AB"/>
    <w:rsid w:val="008766D0"/>
    <w:rsid w:val="00876729"/>
    <w:rsid w:val="0087674E"/>
    <w:rsid w:val="00876866"/>
    <w:rsid w:val="0087691D"/>
    <w:rsid w:val="0087696A"/>
    <w:rsid w:val="0087698A"/>
    <w:rsid w:val="00876A9F"/>
    <w:rsid w:val="00876B6E"/>
    <w:rsid w:val="00876BAB"/>
    <w:rsid w:val="00876BD5"/>
    <w:rsid w:val="00876C8C"/>
    <w:rsid w:val="00876D45"/>
    <w:rsid w:val="00876D9F"/>
    <w:rsid w:val="00876DAF"/>
    <w:rsid w:val="00876E5A"/>
    <w:rsid w:val="00876E60"/>
    <w:rsid w:val="00876EB2"/>
    <w:rsid w:val="00876EBB"/>
    <w:rsid w:val="00876F51"/>
    <w:rsid w:val="00876F88"/>
    <w:rsid w:val="00877008"/>
    <w:rsid w:val="00877033"/>
    <w:rsid w:val="00877052"/>
    <w:rsid w:val="00877058"/>
    <w:rsid w:val="00877070"/>
    <w:rsid w:val="0087707D"/>
    <w:rsid w:val="00877133"/>
    <w:rsid w:val="00877154"/>
    <w:rsid w:val="008771AC"/>
    <w:rsid w:val="008771C3"/>
    <w:rsid w:val="00877211"/>
    <w:rsid w:val="00877270"/>
    <w:rsid w:val="008772F8"/>
    <w:rsid w:val="00877312"/>
    <w:rsid w:val="00877365"/>
    <w:rsid w:val="00877383"/>
    <w:rsid w:val="00877459"/>
    <w:rsid w:val="0087745A"/>
    <w:rsid w:val="0087746C"/>
    <w:rsid w:val="00877472"/>
    <w:rsid w:val="00877527"/>
    <w:rsid w:val="008775B8"/>
    <w:rsid w:val="008775BE"/>
    <w:rsid w:val="008775C9"/>
    <w:rsid w:val="008775DE"/>
    <w:rsid w:val="00877656"/>
    <w:rsid w:val="00877765"/>
    <w:rsid w:val="00877767"/>
    <w:rsid w:val="00877774"/>
    <w:rsid w:val="0087778C"/>
    <w:rsid w:val="008777B1"/>
    <w:rsid w:val="008777E7"/>
    <w:rsid w:val="008777EF"/>
    <w:rsid w:val="00877806"/>
    <w:rsid w:val="0087780D"/>
    <w:rsid w:val="0087789E"/>
    <w:rsid w:val="008778AA"/>
    <w:rsid w:val="00877A26"/>
    <w:rsid w:val="00877A2D"/>
    <w:rsid w:val="00877A3F"/>
    <w:rsid w:val="00877A91"/>
    <w:rsid w:val="00877AEE"/>
    <w:rsid w:val="00877B6A"/>
    <w:rsid w:val="00877B9C"/>
    <w:rsid w:val="00877BFB"/>
    <w:rsid w:val="00877C08"/>
    <w:rsid w:val="00877C38"/>
    <w:rsid w:val="00877C47"/>
    <w:rsid w:val="00877C4C"/>
    <w:rsid w:val="00877CAA"/>
    <w:rsid w:val="00877CC8"/>
    <w:rsid w:val="00877CC9"/>
    <w:rsid w:val="00877D54"/>
    <w:rsid w:val="00877D94"/>
    <w:rsid w:val="00877D95"/>
    <w:rsid w:val="00877D9F"/>
    <w:rsid w:val="00877E0C"/>
    <w:rsid w:val="00877E4F"/>
    <w:rsid w:val="00877EDB"/>
    <w:rsid w:val="00877EF7"/>
    <w:rsid w:val="00877F06"/>
    <w:rsid w:val="00877F4E"/>
    <w:rsid w:val="0088002B"/>
    <w:rsid w:val="008800C1"/>
    <w:rsid w:val="008800E6"/>
    <w:rsid w:val="00880139"/>
    <w:rsid w:val="008801B0"/>
    <w:rsid w:val="008801BB"/>
    <w:rsid w:val="0088020A"/>
    <w:rsid w:val="00880242"/>
    <w:rsid w:val="0088029E"/>
    <w:rsid w:val="008802D5"/>
    <w:rsid w:val="008802E1"/>
    <w:rsid w:val="0088032E"/>
    <w:rsid w:val="0088036A"/>
    <w:rsid w:val="008803A3"/>
    <w:rsid w:val="008803F5"/>
    <w:rsid w:val="00880446"/>
    <w:rsid w:val="00880447"/>
    <w:rsid w:val="008804F1"/>
    <w:rsid w:val="00880503"/>
    <w:rsid w:val="0088053D"/>
    <w:rsid w:val="0088053E"/>
    <w:rsid w:val="00880557"/>
    <w:rsid w:val="00880605"/>
    <w:rsid w:val="0088063C"/>
    <w:rsid w:val="008806F8"/>
    <w:rsid w:val="00880741"/>
    <w:rsid w:val="008807F6"/>
    <w:rsid w:val="00880990"/>
    <w:rsid w:val="008809D8"/>
    <w:rsid w:val="00880A24"/>
    <w:rsid w:val="00880A36"/>
    <w:rsid w:val="00880ABD"/>
    <w:rsid w:val="00880AC1"/>
    <w:rsid w:val="00880AE2"/>
    <w:rsid w:val="00880B59"/>
    <w:rsid w:val="00880BA1"/>
    <w:rsid w:val="00880BA2"/>
    <w:rsid w:val="00880BAB"/>
    <w:rsid w:val="00880C11"/>
    <w:rsid w:val="00880C27"/>
    <w:rsid w:val="00880C4F"/>
    <w:rsid w:val="00880C85"/>
    <w:rsid w:val="00880CD0"/>
    <w:rsid w:val="00880CD2"/>
    <w:rsid w:val="00880CEC"/>
    <w:rsid w:val="00880D56"/>
    <w:rsid w:val="00880D70"/>
    <w:rsid w:val="00880D7E"/>
    <w:rsid w:val="00880D9E"/>
    <w:rsid w:val="00880DBF"/>
    <w:rsid w:val="00880E9F"/>
    <w:rsid w:val="00880EAE"/>
    <w:rsid w:val="00880ED6"/>
    <w:rsid w:val="00880F34"/>
    <w:rsid w:val="00880F3C"/>
    <w:rsid w:val="00880F96"/>
    <w:rsid w:val="0088100C"/>
    <w:rsid w:val="00881042"/>
    <w:rsid w:val="0088104F"/>
    <w:rsid w:val="008810BE"/>
    <w:rsid w:val="00881100"/>
    <w:rsid w:val="0088112F"/>
    <w:rsid w:val="00881178"/>
    <w:rsid w:val="00881185"/>
    <w:rsid w:val="008811E3"/>
    <w:rsid w:val="008811E5"/>
    <w:rsid w:val="00881205"/>
    <w:rsid w:val="00881228"/>
    <w:rsid w:val="008812AB"/>
    <w:rsid w:val="008812E0"/>
    <w:rsid w:val="008812E1"/>
    <w:rsid w:val="008812E9"/>
    <w:rsid w:val="008812EE"/>
    <w:rsid w:val="00881361"/>
    <w:rsid w:val="008813A5"/>
    <w:rsid w:val="008813CC"/>
    <w:rsid w:val="00881433"/>
    <w:rsid w:val="008814BC"/>
    <w:rsid w:val="00881540"/>
    <w:rsid w:val="008815AA"/>
    <w:rsid w:val="008815BE"/>
    <w:rsid w:val="008815CA"/>
    <w:rsid w:val="008815DB"/>
    <w:rsid w:val="0088167F"/>
    <w:rsid w:val="00881689"/>
    <w:rsid w:val="008816A6"/>
    <w:rsid w:val="008816B9"/>
    <w:rsid w:val="008816E4"/>
    <w:rsid w:val="00881775"/>
    <w:rsid w:val="008817BB"/>
    <w:rsid w:val="008817E7"/>
    <w:rsid w:val="0088182D"/>
    <w:rsid w:val="00881832"/>
    <w:rsid w:val="00881865"/>
    <w:rsid w:val="008818CB"/>
    <w:rsid w:val="008818F2"/>
    <w:rsid w:val="008818FC"/>
    <w:rsid w:val="00881938"/>
    <w:rsid w:val="00881983"/>
    <w:rsid w:val="008819AD"/>
    <w:rsid w:val="008819C2"/>
    <w:rsid w:val="00881A13"/>
    <w:rsid w:val="00881A79"/>
    <w:rsid w:val="00881AB5"/>
    <w:rsid w:val="00881B3D"/>
    <w:rsid w:val="00881BC3"/>
    <w:rsid w:val="00881BE9"/>
    <w:rsid w:val="00881BEA"/>
    <w:rsid w:val="00881C23"/>
    <w:rsid w:val="00881CC1"/>
    <w:rsid w:val="00881CF8"/>
    <w:rsid w:val="00881D16"/>
    <w:rsid w:val="00881D95"/>
    <w:rsid w:val="00881E07"/>
    <w:rsid w:val="00881E57"/>
    <w:rsid w:val="00881EA1"/>
    <w:rsid w:val="00881EAF"/>
    <w:rsid w:val="00881F51"/>
    <w:rsid w:val="00881F80"/>
    <w:rsid w:val="00881FA8"/>
    <w:rsid w:val="00881FF6"/>
    <w:rsid w:val="00882026"/>
    <w:rsid w:val="0088204E"/>
    <w:rsid w:val="0088207B"/>
    <w:rsid w:val="00882080"/>
    <w:rsid w:val="00882170"/>
    <w:rsid w:val="00882192"/>
    <w:rsid w:val="0088220B"/>
    <w:rsid w:val="00882232"/>
    <w:rsid w:val="00882318"/>
    <w:rsid w:val="00882341"/>
    <w:rsid w:val="0088236A"/>
    <w:rsid w:val="008823A2"/>
    <w:rsid w:val="008823AA"/>
    <w:rsid w:val="00882413"/>
    <w:rsid w:val="00882455"/>
    <w:rsid w:val="0088249A"/>
    <w:rsid w:val="008824EF"/>
    <w:rsid w:val="008825EE"/>
    <w:rsid w:val="008825FB"/>
    <w:rsid w:val="00882627"/>
    <w:rsid w:val="00882628"/>
    <w:rsid w:val="0088263E"/>
    <w:rsid w:val="00882650"/>
    <w:rsid w:val="0088266D"/>
    <w:rsid w:val="0088266F"/>
    <w:rsid w:val="00882726"/>
    <w:rsid w:val="00882748"/>
    <w:rsid w:val="00882818"/>
    <w:rsid w:val="00882823"/>
    <w:rsid w:val="00882888"/>
    <w:rsid w:val="00882891"/>
    <w:rsid w:val="008828C0"/>
    <w:rsid w:val="0088291C"/>
    <w:rsid w:val="0088291F"/>
    <w:rsid w:val="00882967"/>
    <w:rsid w:val="0088296A"/>
    <w:rsid w:val="0088297A"/>
    <w:rsid w:val="0088297E"/>
    <w:rsid w:val="008829FC"/>
    <w:rsid w:val="00882A81"/>
    <w:rsid w:val="00882AA8"/>
    <w:rsid w:val="00882AF2"/>
    <w:rsid w:val="00882AF7"/>
    <w:rsid w:val="00882B6F"/>
    <w:rsid w:val="00882BAD"/>
    <w:rsid w:val="00882BB2"/>
    <w:rsid w:val="00882CB9"/>
    <w:rsid w:val="00882CBB"/>
    <w:rsid w:val="00882CDB"/>
    <w:rsid w:val="00882D40"/>
    <w:rsid w:val="00882D8A"/>
    <w:rsid w:val="00882DDA"/>
    <w:rsid w:val="00882DF2"/>
    <w:rsid w:val="00882E2C"/>
    <w:rsid w:val="00882E61"/>
    <w:rsid w:val="00882EE1"/>
    <w:rsid w:val="00882F1F"/>
    <w:rsid w:val="00882F51"/>
    <w:rsid w:val="00882F56"/>
    <w:rsid w:val="00882FCE"/>
    <w:rsid w:val="00882FD0"/>
    <w:rsid w:val="00883019"/>
    <w:rsid w:val="0088303D"/>
    <w:rsid w:val="00883081"/>
    <w:rsid w:val="0088308A"/>
    <w:rsid w:val="008830EF"/>
    <w:rsid w:val="0088310E"/>
    <w:rsid w:val="0088320E"/>
    <w:rsid w:val="0088321E"/>
    <w:rsid w:val="00883242"/>
    <w:rsid w:val="00883248"/>
    <w:rsid w:val="00883345"/>
    <w:rsid w:val="00883354"/>
    <w:rsid w:val="00883384"/>
    <w:rsid w:val="0088338A"/>
    <w:rsid w:val="0088338D"/>
    <w:rsid w:val="008833F5"/>
    <w:rsid w:val="00883424"/>
    <w:rsid w:val="00883439"/>
    <w:rsid w:val="008834A4"/>
    <w:rsid w:val="008834B0"/>
    <w:rsid w:val="008834E1"/>
    <w:rsid w:val="008834E8"/>
    <w:rsid w:val="00883508"/>
    <w:rsid w:val="0088352C"/>
    <w:rsid w:val="00883543"/>
    <w:rsid w:val="00883554"/>
    <w:rsid w:val="008835C1"/>
    <w:rsid w:val="00883619"/>
    <w:rsid w:val="0088362C"/>
    <w:rsid w:val="00883684"/>
    <w:rsid w:val="008836C0"/>
    <w:rsid w:val="00883717"/>
    <w:rsid w:val="00883777"/>
    <w:rsid w:val="00883786"/>
    <w:rsid w:val="00883788"/>
    <w:rsid w:val="00883791"/>
    <w:rsid w:val="00883811"/>
    <w:rsid w:val="0088383D"/>
    <w:rsid w:val="0088388A"/>
    <w:rsid w:val="008838AF"/>
    <w:rsid w:val="008838B6"/>
    <w:rsid w:val="008838E1"/>
    <w:rsid w:val="0088390C"/>
    <w:rsid w:val="0088391A"/>
    <w:rsid w:val="00883934"/>
    <w:rsid w:val="008839D7"/>
    <w:rsid w:val="008839E6"/>
    <w:rsid w:val="00883A5E"/>
    <w:rsid w:val="00883A8E"/>
    <w:rsid w:val="00883AA8"/>
    <w:rsid w:val="00883AB5"/>
    <w:rsid w:val="00883BA2"/>
    <w:rsid w:val="00883D65"/>
    <w:rsid w:val="00883D6A"/>
    <w:rsid w:val="00883D95"/>
    <w:rsid w:val="00883DCC"/>
    <w:rsid w:val="00883DD0"/>
    <w:rsid w:val="00883E11"/>
    <w:rsid w:val="00883E28"/>
    <w:rsid w:val="00883ECD"/>
    <w:rsid w:val="00883F74"/>
    <w:rsid w:val="00883FCC"/>
    <w:rsid w:val="0088402B"/>
    <w:rsid w:val="0088409A"/>
    <w:rsid w:val="008840B3"/>
    <w:rsid w:val="00884134"/>
    <w:rsid w:val="00884169"/>
    <w:rsid w:val="0088416E"/>
    <w:rsid w:val="0088418D"/>
    <w:rsid w:val="0088419A"/>
    <w:rsid w:val="0088419C"/>
    <w:rsid w:val="008841C3"/>
    <w:rsid w:val="008841C5"/>
    <w:rsid w:val="008841CA"/>
    <w:rsid w:val="008841EC"/>
    <w:rsid w:val="0088425D"/>
    <w:rsid w:val="00884268"/>
    <w:rsid w:val="008842B9"/>
    <w:rsid w:val="00884312"/>
    <w:rsid w:val="00884359"/>
    <w:rsid w:val="008843A4"/>
    <w:rsid w:val="008843BA"/>
    <w:rsid w:val="008843FE"/>
    <w:rsid w:val="00884445"/>
    <w:rsid w:val="008844A0"/>
    <w:rsid w:val="008844D0"/>
    <w:rsid w:val="0088455C"/>
    <w:rsid w:val="008845D9"/>
    <w:rsid w:val="008845DF"/>
    <w:rsid w:val="00884625"/>
    <w:rsid w:val="008846B1"/>
    <w:rsid w:val="00884710"/>
    <w:rsid w:val="0088476D"/>
    <w:rsid w:val="008847C4"/>
    <w:rsid w:val="008847F9"/>
    <w:rsid w:val="0088481E"/>
    <w:rsid w:val="00884882"/>
    <w:rsid w:val="008848A0"/>
    <w:rsid w:val="00884906"/>
    <w:rsid w:val="00884907"/>
    <w:rsid w:val="0088492E"/>
    <w:rsid w:val="00884938"/>
    <w:rsid w:val="0088493B"/>
    <w:rsid w:val="00884952"/>
    <w:rsid w:val="0088497A"/>
    <w:rsid w:val="008849F1"/>
    <w:rsid w:val="00884A60"/>
    <w:rsid w:val="00884A78"/>
    <w:rsid w:val="00884AEB"/>
    <w:rsid w:val="00884B17"/>
    <w:rsid w:val="00884B42"/>
    <w:rsid w:val="00884B4D"/>
    <w:rsid w:val="00884B69"/>
    <w:rsid w:val="00884CDE"/>
    <w:rsid w:val="00884CFB"/>
    <w:rsid w:val="00884D24"/>
    <w:rsid w:val="00884D40"/>
    <w:rsid w:val="00884DAD"/>
    <w:rsid w:val="00884E7C"/>
    <w:rsid w:val="00884E8F"/>
    <w:rsid w:val="00884F63"/>
    <w:rsid w:val="00884F79"/>
    <w:rsid w:val="00884FDB"/>
    <w:rsid w:val="00885031"/>
    <w:rsid w:val="00885065"/>
    <w:rsid w:val="00885097"/>
    <w:rsid w:val="008850A9"/>
    <w:rsid w:val="008850F0"/>
    <w:rsid w:val="00885119"/>
    <w:rsid w:val="0088512E"/>
    <w:rsid w:val="0088517D"/>
    <w:rsid w:val="008851E9"/>
    <w:rsid w:val="0088525C"/>
    <w:rsid w:val="00885261"/>
    <w:rsid w:val="008852A5"/>
    <w:rsid w:val="008852B3"/>
    <w:rsid w:val="008852EB"/>
    <w:rsid w:val="008852FB"/>
    <w:rsid w:val="00885383"/>
    <w:rsid w:val="008853F9"/>
    <w:rsid w:val="0088549C"/>
    <w:rsid w:val="008854E4"/>
    <w:rsid w:val="008854EA"/>
    <w:rsid w:val="00885531"/>
    <w:rsid w:val="00885550"/>
    <w:rsid w:val="00885594"/>
    <w:rsid w:val="008856F6"/>
    <w:rsid w:val="008856FD"/>
    <w:rsid w:val="00885749"/>
    <w:rsid w:val="00885809"/>
    <w:rsid w:val="0088583F"/>
    <w:rsid w:val="00885850"/>
    <w:rsid w:val="0088589C"/>
    <w:rsid w:val="008858B3"/>
    <w:rsid w:val="008858D3"/>
    <w:rsid w:val="00885965"/>
    <w:rsid w:val="008859A8"/>
    <w:rsid w:val="008859B7"/>
    <w:rsid w:val="00885A00"/>
    <w:rsid w:val="00885A21"/>
    <w:rsid w:val="00885A53"/>
    <w:rsid w:val="00885A56"/>
    <w:rsid w:val="00885AB4"/>
    <w:rsid w:val="00885AD1"/>
    <w:rsid w:val="00885AFD"/>
    <w:rsid w:val="00885B48"/>
    <w:rsid w:val="00885B4A"/>
    <w:rsid w:val="00885BAB"/>
    <w:rsid w:val="00885BC2"/>
    <w:rsid w:val="00885BC8"/>
    <w:rsid w:val="00885BFF"/>
    <w:rsid w:val="00885D04"/>
    <w:rsid w:val="00885D37"/>
    <w:rsid w:val="00885D57"/>
    <w:rsid w:val="00885D9B"/>
    <w:rsid w:val="00885E1A"/>
    <w:rsid w:val="00885E4B"/>
    <w:rsid w:val="00885EC7"/>
    <w:rsid w:val="00885F36"/>
    <w:rsid w:val="0088603E"/>
    <w:rsid w:val="0088607C"/>
    <w:rsid w:val="00886090"/>
    <w:rsid w:val="008860D3"/>
    <w:rsid w:val="008860D4"/>
    <w:rsid w:val="00886152"/>
    <w:rsid w:val="00886255"/>
    <w:rsid w:val="008862B7"/>
    <w:rsid w:val="0088637E"/>
    <w:rsid w:val="00886393"/>
    <w:rsid w:val="008863A1"/>
    <w:rsid w:val="008863BA"/>
    <w:rsid w:val="00886452"/>
    <w:rsid w:val="008864AC"/>
    <w:rsid w:val="008864B6"/>
    <w:rsid w:val="00886512"/>
    <w:rsid w:val="00886525"/>
    <w:rsid w:val="00886555"/>
    <w:rsid w:val="008865DB"/>
    <w:rsid w:val="008865FF"/>
    <w:rsid w:val="0088660D"/>
    <w:rsid w:val="00886612"/>
    <w:rsid w:val="00886619"/>
    <w:rsid w:val="0088665B"/>
    <w:rsid w:val="0088667E"/>
    <w:rsid w:val="00886682"/>
    <w:rsid w:val="008866BB"/>
    <w:rsid w:val="00886727"/>
    <w:rsid w:val="00886749"/>
    <w:rsid w:val="0088676B"/>
    <w:rsid w:val="00886880"/>
    <w:rsid w:val="008868F5"/>
    <w:rsid w:val="0088694A"/>
    <w:rsid w:val="0088699B"/>
    <w:rsid w:val="008869F3"/>
    <w:rsid w:val="00886A0C"/>
    <w:rsid w:val="00886A62"/>
    <w:rsid w:val="00886AD3"/>
    <w:rsid w:val="00886B95"/>
    <w:rsid w:val="00886B98"/>
    <w:rsid w:val="00886BB0"/>
    <w:rsid w:val="00886BE6"/>
    <w:rsid w:val="00886BED"/>
    <w:rsid w:val="00886C30"/>
    <w:rsid w:val="00886C62"/>
    <w:rsid w:val="00886C65"/>
    <w:rsid w:val="00886D45"/>
    <w:rsid w:val="00886D6F"/>
    <w:rsid w:val="00886E5C"/>
    <w:rsid w:val="00886E9A"/>
    <w:rsid w:val="00886EDF"/>
    <w:rsid w:val="00886F40"/>
    <w:rsid w:val="00886F93"/>
    <w:rsid w:val="00886FA5"/>
    <w:rsid w:val="00887011"/>
    <w:rsid w:val="00887076"/>
    <w:rsid w:val="008870BE"/>
    <w:rsid w:val="00887128"/>
    <w:rsid w:val="00887134"/>
    <w:rsid w:val="008871D9"/>
    <w:rsid w:val="008872CC"/>
    <w:rsid w:val="008872E4"/>
    <w:rsid w:val="00887348"/>
    <w:rsid w:val="00887447"/>
    <w:rsid w:val="00887451"/>
    <w:rsid w:val="00887499"/>
    <w:rsid w:val="008874C3"/>
    <w:rsid w:val="0088753D"/>
    <w:rsid w:val="008875A4"/>
    <w:rsid w:val="008875F5"/>
    <w:rsid w:val="0088760B"/>
    <w:rsid w:val="0088766C"/>
    <w:rsid w:val="00887684"/>
    <w:rsid w:val="0088779B"/>
    <w:rsid w:val="008877C0"/>
    <w:rsid w:val="008877FD"/>
    <w:rsid w:val="0088785B"/>
    <w:rsid w:val="0088787E"/>
    <w:rsid w:val="008878C5"/>
    <w:rsid w:val="008878DD"/>
    <w:rsid w:val="00887917"/>
    <w:rsid w:val="00887A16"/>
    <w:rsid w:val="00887AAF"/>
    <w:rsid w:val="00887B5A"/>
    <w:rsid w:val="00887BA9"/>
    <w:rsid w:val="00887C40"/>
    <w:rsid w:val="00887CE5"/>
    <w:rsid w:val="00887CFC"/>
    <w:rsid w:val="00887D9B"/>
    <w:rsid w:val="00887DCB"/>
    <w:rsid w:val="00887EB4"/>
    <w:rsid w:val="00887EDF"/>
    <w:rsid w:val="00887F04"/>
    <w:rsid w:val="00887FA5"/>
    <w:rsid w:val="0089009B"/>
    <w:rsid w:val="00890105"/>
    <w:rsid w:val="00890180"/>
    <w:rsid w:val="0089021E"/>
    <w:rsid w:val="0089022A"/>
    <w:rsid w:val="00890236"/>
    <w:rsid w:val="008903EA"/>
    <w:rsid w:val="00890401"/>
    <w:rsid w:val="008904A0"/>
    <w:rsid w:val="00890581"/>
    <w:rsid w:val="008905B0"/>
    <w:rsid w:val="008905DE"/>
    <w:rsid w:val="0089063E"/>
    <w:rsid w:val="00890641"/>
    <w:rsid w:val="0089064D"/>
    <w:rsid w:val="0089065C"/>
    <w:rsid w:val="0089066A"/>
    <w:rsid w:val="0089068A"/>
    <w:rsid w:val="008906AC"/>
    <w:rsid w:val="00890748"/>
    <w:rsid w:val="0089083E"/>
    <w:rsid w:val="00890875"/>
    <w:rsid w:val="008908CF"/>
    <w:rsid w:val="008909BC"/>
    <w:rsid w:val="008909CA"/>
    <w:rsid w:val="00890A36"/>
    <w:rsid w:val="00890A6C"/>
    <w:rsid w:val="00890A73"/>
    <w:rsid w:val="00890A8B"/>
    <w:rsid w:val="00890AB1"/>
    <w:rsid w:val="00890ACF"/>
    <w:rsid w:val="00890ADC"/>
    <w:rsid w:val="00890B13"/>
    <w:rsid w:val="00890B33"/>
    <w:rsid w:val="00890B63"/>
    <w:rsid w:val="00890C0A"/>
    <w:rsid w:val="00890C4D"/>
    <w:rsid w:val="00890C60"/>
    <w:rsid w:val="00890C78"/>
    <w:rsid w:val="00890CE6"/>
    <w:rsid w:val="00890D14"/>
    <w:rsid w:val="00890D22"/>
    <w:rsid w:val="00890D27"/>
    <w:rsid w:val="00890D81"/>
    <w:rsid w:val="00890DF3"/>
    <w:rsid w:val="00890DF6"/>
    <w:rsid w:val="00890E51"/>
    <w:rsid w:val="0089101D"/>
    <w:rsid w:val="00891022"/>
    <w:rsid w:val="00891085"/>
    <w:rsid w:val="0089109E"/>
    <w:rsid w:val="008910A0"/>
    <w:rsid w:val="008910B1"/>
    <w:rsid w:val="008910FF"/>
    <w:rsid w:val="00891113"/>
    <w:rsid w:val="00891184"/>
    <w:rsid w:val="00891252"/>
    <w:rsid w:val="008912B5"/>
    <w:rsid w:val="008912D5"/>
    <w:rsid w:val="008912FE"/>
    <w:rsid w:val="00891305"/>
    <w:rsid w:val="00891318"/>
    <w:rsid w:val="00891361"/>
    <w:rsid w:val="008913DF"/>
    <w:rsid w:val="00891408"/>
    <w:rsid w:val="008914CA"/>
    <w:rsid w:val="008914E2"/>
    <w:rsid w:val="0089151F"/>
    <w:rsid w:val="0089152A"/>
    <w:rsid w:val="00891585"/>
    <w:rsid w:val="0089159C"/>
    <w:rsid w:val="008915A4"/>
    <w:rsid w:val="008915DB"/>
    <w:rsid w:val="008915FC"/>
    <w:rsid w:val="0089161E"/>
    <w:rsid w:val="00891643"/>
    <w:rsid w:val="0089164C"/>
    <w:rsid w:val="00891659"/>
    <w:rsid w:val="0089167F"/>
    <w:rsid w:val="00891682"/>
    <w:rsid w:val="008916C1"/>
    <w:rsid w:val="00891730"/>
    <w:rsid w:val="008917CE"/>
    <w:rsid w:val="0089181F"/>
    <w:rsid w:val="008918B9"/>
    <w:rsid w:val="008918D0"/>
    <w:rsid w:val="00891925"/>
    <w:rsid w:val="0089193E"/>
    <w:rsid w:val="008919B2"/>
    <w:rsid w:val="00891A00"/>
    <w:rsid w:val="00891A15"/>
    <w:rsid w:val="00891A32"/>
    <w:rsid w:val="00891A40"/>
    <w:rsid w:val="00891ADE"/>
    <w:rsid w:val="00891AF9"/>
    <w:rsid w:val="00891B0B"/>
    <w:rsid w:val="00891B10"/>
    <w:rsid w:val="00891B50"/>
    <w:rsid w:val="00891B73"/>
    <w:rsid w:val="00891B83"/>
    <w:rsid w:val="00891CA5"/>
    <w:rsid w:val="00891CE6"/>
    <w:rsid w:val="00891D0B"/>
    <w:rsid w:val="00891D6D"/>
    <w:rsid w:val="00891E3A"/>
    <w:rsid w:val="00891E53"/>
    <w:rsid w:val="00891E89"/>
    <w:rsid w:val="00891F4D"/>
    <w:rsid w:val="00891F66"/>
    <w:rsid w:val="00891F89"/>
    <w:rsid w:val="00891FC0"/>
    <w:rsid w:val="00891FEE"/>
    <w:rsid w:val="00892009"/>
    <w:rsid w:val="0089206B"/>
    <w:rsid w:val="008920AC"/>
    <w:rsid w:val="008920B8"/>
    <w:rsid w:val="00892143"/>
    <w:rsid w:val="008921A0"/>
    <w:rsid w:val="008921AA"/>
    <w:rsid w:val="008921B8"/>
    <w:rsid w:val="008921CF"/>
    <w:rsid w:val="008921D4"/>
    <w:rsid w:val="0089220C"/>
    <w:rsid w:val="0089221D"/>
    <w:rsid w:val="00892255"/>
    <w:rsid w:val="008922AF"/>
    <w:rsid w:val="00892316"/>
    <w:rsid w:val="0089235C"/>
    <w:rsid w:val="00892375"/>
    <w:rsid w:val="008923A9"/>
    <w:rsid w:val="00892456"/>
    <w:rsid w:val="0089248B"/>
    <w:rsid w:val="0089254A"/>
    <w:rsid w:val="00892560"/>
    <w:rsid w:val="00892575"/>
    <w:rsid w:val="008925A8"/>
    <w:rsid w:val="008925FA"/>
    <w:rsid w:val="0089262E"/>
    <w:rsid w:val="0089276C"/>
    <w:rsid w:val="008927C9"/>
    <w:rsid w:val="008927ED"/>
    <w:rsid w:val="00892815"/>
    <w:rsid w:val="0089289C"/>
    <w:rsid w:val="008928A4"/>
    <w:rsid w:val="008928D0"/>
    <w:rsid w:val="0089293D"/>
    <w:rsid w:val="00892989"/>
    <w:rsid w:val="0089299D"/>
    <w:rsid w:val="008929C5"/>
    <w:rsid w:val="00892A39"/>
    <w:rsid w:val="00892A66"/>
    <w:rsid w:val="00892B08"/>
    <w:rsid w:val="00892B9C"/>
    <w:rsid w:val="00892BE1"/>
    <w:rsid w:val="00892C4C"/>
    <w:rsid w:val="00892C54"/>
    <w:rsid w:val="00892C62"/>
    <w:rsid w:val="00892CF7"/>
    <w:rsid w:val="00892D5F"/>
    <w:rsid w:val="00892E0F"/>
    <w:rsid w:val="00892E10"/>
    <w:rsid w:val="00892E54"/>
    <w:rsid w:val="00892E6E"/>
    <w:rsid w:val="00892FB6"/>
    <w:rsid w:val="00892FDE"/>
    <w:rsid w:val="00892FED"/>
    <w:rsid w:val="0089302E"/>
    <w:rsid w:val="0089304E"/>
    <w:rsid w:val="00893072"/>
    <w:rsid w:val="00893079"/>
    <w:rsid w:val="008930FD"/>
    <w:rsid w:val="0089318E"/>
    <w:rsid w:val="0089318F"/>
    <w:rsid w:val="008931E0"/>
    <w:rsid w:val="00893331"/>
    <w:rsid w:val="008933CB"/>
    <w:rsid w:val="0089342A"/>
    <w:rsid w:val="0089344B"/>
    <w:rsid w:val="00893488"/>
    <w:rsid w:val="0089348F"/>
    <w:rsid w:val="0089353A"/>
    <w:rsid w:val="0089354B"/>
    <w:rsid w:val="0089354D"/>
    <w:rsid w:val="008935DA"/>
    <w:rsid w:val="00893600"/>
    <w:rsid w:val="00893621"/>
    <w:rsid w:val="0089365C"/>
    <w:rsid w:val="0089369E"/>
    <w:rsid w:val="008936EE"/>
    <w:rsid w:val="00893740"/>
    <w:rsid w:val="008937B4"/>
    <w:rsid w:val="008937CE"/>
    <w:rsid w:val="00893821"/>
    <w:rsid w:val="00893847"/>
    <w:rsid w:val="00893853"/>
    <w:rsid w:val="00893865"/>
    <w:rsid w:val="008938CE"/>
    <w:rsid w:val="008938E0"/>
    <w:rsid w:val="0089392F"/>
    <w:rsid w:val="008939D7"/>
    <w:rsid w:val="00893A14"/>
    <w:rsid w:val="00893A1A"/>
    <w:rsid w:val="00893A64"/>
    <w:rsid w:val="00893A6B"/>
    <w:rsid w:val="00893AC5"/>
    <w:rsid w:val="00893AF6"/>
    <w:rsid w:val="00893B14"/>
    <w:rsid w:val="00893B30"/>
    <w:rsid w:val="00893B37"/>
    <w:rsid w:val="00893B4A"/>
    <w:rsid w:val="00893B7B"/>
    <w:rsid w:val="00893C7D"/>
    <w:rsid w:val="00893CA4"/>
    <w:rsid w:val="00893CA6"/>
    <w:rsid w:val="00893CCE"/>
    <w:rsid w:val="00893D49"/>
    <w:rsid w:val="00893D5E"/>
    <w:rsid w:val="00893E30"/>
    <w:rsid w:val="00893F0E"/>
    <w:rsid w:val="00893F43"/>
    <w:rsid w:val="00893F70"/>
    <w:rsid w:val="00893FE4"/>
    <w:rsid w:val="0089406D"/>
    <w:rsid w:val="00894077"/>
    <w:rsid w:val="00894089"/>
    <w:rsid w:val="0089409A"/>
    <w:rsid w:val="008940D2"/>
    <w:rsid w:val="008940D3"/>
    <w:rsid w:val="008940E1"/>
    <w:rsid w:val="008940E7"/>
    <w:rsid w:val="00894101"/>
    <w:rsid w:val="0089411E"/>
    <w:rsid w:val="00894126"/>
    <w:rsid w:val="0089417C"/>
    <w:rsid w:val="00894182"/>
    <w:rsid w:val="008941D5"/>
    <w:rsid w:val="008941EB"/>
    <w:rsid w:val="008941F8"/>
    <w:rsid w:val="00894204"/>
    <w:rsid w:val="0089425F"/>
    <w:rsid w:val="0089430B"/>
    <w:rsid w:val="00894367"/>
    <w:rsid w:val="0089438F"/>
    <w:rsid w:val="008943B3"/>
    <w:rsid w:val="008943F3"/>
    <w:rsid w:val="0089443A"/>
    <w:rsid w:val="00894489"/>
    <w:rsid w:val="0089460E"/>
    <w:rsid w:val="0089462A"/>
    <w:rsid w:val="00894667"/>
    <w:rsid w:val="0089477B"/>
    <w:rsid w:val="008947A7"/>
    <w:rsid w:val="008947F5"/>
    <w:rsid w:val="00894808"/>
    <w:rsid w:val="00894849"/>
    <w:rsid w:val="008948D1"/>
    <w:rsid w:val="008948ED"/>
    <w:rsid w:val="0089494A"/>
    <w:rsid w:val="00894A03"/>
    <w:rsid w:val="00894A05"/>
    <w:rsid w:val="00894AA3"/>
    <w:rsid w:val="00894B26"/>
    <w:rsid w:val="00894B50"/>
    <w:rsid w:val="00894B83"/>
    <w:rsid w:val="00894BB3"/>
    <w:rsid w:val="00894BC0"/>
    <w:rsid w:val="00894BE3"/>
    <w:rsid w:val="00894C2E"/>
    <w:rsid w:val="00894C48"/>
    <w:rsid w:val="00894C50"/>
    <w:rsid w:val="00894C6C"/>
    <w:rsid w:val="00894CB3"/>
    <w:rsid w:val="00894CB8"/>
    <w:rsid w:val="00894D04"/>
    <w:rsid w:val="00894D3A"/>
    <w:rsid w:val="00894D63"/>
    <w:rsid w:val="00894DF3"/>
    <w:rsid w:val="00894E5A"/>
    <w:rsid w:val="00894EE0"/>
    <w:rsid w:val="00894F1B"/>
    <w:rsid w:val="00894F92"/>
    <w:rsid w:val="00894FD1"/>
    <w:rsid w:val="00895005"/>
    <w:rsid w:val="00895031"/>
    <w:rsid w:val="0089505F"/>
    <w:rsid w:val="008950CA"/>
    <w:rsid w:val="008950DA"/>
    <w:rsid w:val="008950EF"/>
    <w:rsid w:val="0089512E"/>
    <w:rsid w:val="008951EF"/>
    <w:rsid w:val="008951FB"/>
    <w:rsid w:val="0089521D"/>
    <w:rsid w:val="00895225"/>
    <w:rsid w:val="008952B4"/>
    <w:rsid w:val="00895350"/>
    <w:rsid w:val="0089536B"/>
    <w:rsid w:val="00895393"/>
    <w:rsid w:val="0089539F"/>
    <w:rsid w:val="008953D4"/>
    <w:rsid w:val="0089542F"/>
    <w:rsid w:val="0089543F"/>
    <w:rsid w:val="0089544A"/>
    <w:rsid w:val="0089548C"/>
    <w:rsid w:val="008954C8"/>
    <w:rsid w:val="00895560"/>
    <w:rsid w:val="00895562"/>
    <w:rsid w:val="008955E8"/>
    <w:rsid w:val="00895648"/>
    <w:rsid w:val="00895686"/>
    <w:rsid w:val="0089568A"/>
    <w:rsid w:val="008956E1"/>
    <w:rsid w:val="008956ED"/>
    <w:rsid w:val="00895704"/>
    <w:rsid w:val="008957F8"/>
    <w:rsid w:val="0089583F"/>
    <w:rsid w:val="00895871"/>
    <w:rsid w:val="0089587F"/>
    <w:rsid w:val="0089589C"/>
    <w:rsid w:val="008958A7"/>
    <w:rsid w:val="008958DF"/>
    <w:rsid w:val="00895910"/>
    <w:rsid w:val="0089591D"/>
    <w:rsid w:val="008959A0"/>
    <w:rsid w:val="008959C5"/>
    <w:rsid w:val="008959D7"/>
    <w:rsid w:val="008959F7"/>
    <w:rsid w:val="008959F8"/>
    <w:rsid w:val="00895A6F"/>
    <w:rsid w:val="00895AC6"/>
    <w:rsid w:val="00895AFF"/>
    <w:rsid w:val="00895BDD"/>
    <w:rsid w:val="00895C2A"/>
    <w:rsid w:val="00895C5D"/>
    <w:rsid w:val="00895D2A"/>
    <w:rsid w:val="00895D39"/>
    <w:rsid w:val="00895D70"/>
    <w:rsid w:val="00895DF4"/>
    <w:rsid w:val="00895E22"/>
    <w:rsid w:val="00895EAD"/>
    <w:rsid w:val="00895ED6"/>
    <w:rsid w:val="00895F43"/>
    <w:rsid w:val="00895FCF"/>
    <w:rsid w:val="00895FE0"/>
    <w:rsid w:val="0089609E"/>
    <w:rsid w:val="008960A5"/>
    <w:rsid w:val="008960C8"/>
    <w:rsid w:val="00896153"/>
    <w:rsid w:val="00896157"/>
    <w:rsid w:val="008961EB"/>
    <w:rsid w:val="008961FF"/>
    <w:rsid w:val="0089625E"/>
    <w:rsid w:val="0089628F"/>
    <w:rsid w:val="00896293"/>
    <w:rsid w:val="008962C3"/>
    <w:rsid w:val="008962C7"/>
    <w:rsid w:val="008962FE"/>
    <w:rsid w:val="0089633F"/>
    <w:rsid w:val="00896379"/>
    <w:rsid w:val="008963FD"/>
    <w:rsid w:val="00896416"/>
    <w:rsid w:val="00896420"/>
    <w:rsid w:val="008964CD"/>
    <w:rsid w:val="008964E5"/>
    <w:rsid w:val="0089658C"/>
    <w:rsid w:val="00896666"/>
    <w:rsid w:val="00896667"/>
    <w:rsid w:val="008966A9"/>
    <w:rsid w:val="00896706"/>
    <w:rsid w:val="00896746"/>
    <w:rsid w:val="00896787"/>
    <w:rsid w:val="008967F2"/>
    <w:rsid w:val="008967FD"/>
    <w:rsid w:val="00896817"/>
    <w:rsid w:val="00896897"/>
    <w:rsid w:val="008968FF"/>
    <w:rsid w:val="00896953"/>
    <w:rsid w:val="008969AA"/>
    <w:rsid w:val="008969BE"/>
    <w:rsid w:val="008969CC"/>
    <w:rsid w:val="008969E3"/>
    <w:rsid w:val="00896A1C"/>
    <w:rsid w:val="00896A38"/>
    <w:rsid w:val="00896A3F"/>
    <w:rsid w:val="00896A5D"/>
    <w:rsid w:val="00896A78"/>
    <w:rsid w:val="00896B23"/>
    <w:rsid w:val="00896B5B"/>
    <w:rsid w:val="00896BEE"/>
    <w:rsid w:val="00896BFD"/>
    <w:rsid w:val="00896C31"/>
    <w:rsid w:val="00896C4D"/>
    <w:rsid w:val="00896C63"/>
    <w:rsid w:val="00896C97"/>
    <w:rsid w:val="00896D13"/>
    <w:rsid w:val="00896D35"/>
    <w:rsid w:val="00896D6C"/>
    <w:rsid w:val="00896D74"/>
    <w:rsid w:val="00896DBD"/>
    <w:rsid w:val="00896E13"/>
    <w:rsid w:val="00896E15"/>
    <w:rsid w:val="00896FAE"/>
    <w:rsid w:val="00896FC0"/>
    <w:rsid w:val="0089703F"/>
    <w:rsid w:val="008970DF"/>
    <w:rsid w:val="00897102"/>
    <w:rsid w:val="00897137"/>
    <w:rsid w:val="008971BE"/>
    <w:rsid w:val="008971E5"/>
    <w:rsid w:val="00897200"/>
    <w:rsid w:val="0089722C"/>
    <w:rsid w:val="0089724D"/>
    <w:rsid w:val="008972C6"/>
    <w:rsid w:val="00897309"/>
    <w:rsid w:val="008973E0"/>
    <w:rsid w:val="008973E7"/>
    <w:rsid w:val="0089741E"/>
    <w:rsid w:val="0089743E"/>
    <w:rsid w:val="008974A4"/>
    <w:rsid w:val="008974ED"/>
    <w:rsid w:val="00897504"/>
    <w:rsid w:val="008975E0"/>
    <w:rsid w:val="00897708"/>
    <w:rsid w:val="00897738"/>
    <w:rsid w:val="00897776"/>
    <w:rsid w:val="00897811"/>
    <w:rsid w:val="00897840"/>
    <w:rsid w:val="00897850"/>
    <w:rsid w:val="0089789B"/>
    <w:rsid w:val="008978C7"/>
    <w:rsid w:val="00897914"/>
    <w:rsid w:val="00897943"/>
    <w:rsid w:val="00897970"/>
    <w:rsid w:val="00897977"/>
    <w:rsid w:val="008979BC"/>
    <w:rsid w:val="008979E6"/>
    <w:rsid w:val="00897A35"/>
    <w:rsid w:val="00897A45"/>
    <w:rsid w:val="00897A5A"/>
    <w:rsid w:val="00897A89"/>
    <w:rsid w:val="00897A90"/>
    <w:rsid w:val="00897B3D"/>
    <w:rsid w:val="00897C50"/>
    <w:rsid w:val="00897C5B"/>
    <w:rsid w:val="00897C60"/>
    <w:rsid w:val="00897D05"/>
    <w:rsid w:val="00897D4C"/>
    <w:rsid w:val="00897D65"/>
    <w:rsid w:val="00897E25"/>
    <w:rsid w:val="00897E4D"/>
    <w:rsid w:val="00897EDD"/>
    <w:rsid w:val="00897F0C"/>
    <w:rsid w:val="00897F74"/>
    <w:rsid w:val="00897FC8"/>
    <w:rsid w:val="00897FFA"/>
    <w:rsid w:val="008A0028"/>
    <w:rsid w:val="008A008C"/>
    <w:rsid w:val="008A00C2"/>
    <w:rsid w:val="008A00C7"/>
    <w:rsid w:val="008A00FD"/>
    <w:rsid w:val="008A012F"/>
    <w:rsid w:val="008A0140"/>
    <w:rsid w:val="008A0166"/>
    <w:rsid w:val="008A0197"/>
    <w:rsid w:val="008A01A0"/>
    <w:rsid w:val="008A01FD"/>
    <w:rsid w:val="008A029A"/>
    <w:rsid w:val="008A0307"/>
    <w:rsid w:val="008A0335"/>
    <w:rsid w:val="008A038D"/>
    <w:rsid w:val="008A03DB"/>
    <w:rsid w:val="008A045B"/>
    <w:rsid w:val="008A04AB"/>
    <w:rsid w:val="008A0566"/>
    <w:rsid w:val="008A056B"/>
    <w:rsid w:val="008A0573"/>
    <w:rsid w:val="008A0575"/>
    <w:rsid w:val="008A05B4"/>
    <w:rsid w:val="008A05C9"/>
    <w:rsid w:val="008A05F6"/>
    <w:rsid w:val="008A05F9"/>
    <w:rsid w:val="008A06B7"/>
    <w:rsid w:val="008A0720"/>
    <w:rsid w:val="008A0762"/>
    <w:rsid w:val="008A0778"/>
    <w:rsid w:val="008A0882"/>
    <w:rsid w:val="008A089A"/>
    <w:rsid w:val="008A08CF"/>
    <w:rsid w:val="008A08E1"/>
    <w:rsid w:val="008A090B"/>
    <w:rsid w:val="008A0917"/>
    <w:rsid w:val="008A0939"/>
    <w:rsid w:val="008A0949"/>
    <w:rsid w:val="008A096D"/>
    <w:rsid w:val="008A09AE"/>
    <w:rsid w:val="008A0AE7"/>
    <w:rsid w:val="008A0B20"/>
    <w:rsid w:val="008A0B9E"/>
    <w:rsid w:val="008A0BB3"/>
    <w:rsid w:val="008A0BF9"/>
    <w:rsid w:val="008A0C1F"/>
    <w:rsid w:val="008A0C35"/>
    <w:rsid w:val="008A0C39"/>
    <w:rsid w:val="008A0C88"/>
    <w:rsid w:val="008A0C8B"/>
    <w:rsid w:val="008A0C98"/>
    <w:rsid w:val="008A0CAD"/>
    <w:rsid w:val="008A0CF1"/>
    <w:rsid w:val="008A0CF8"/>
    <w:rsid w:val="008A0D61"/>
    <w:rsid w:val="008A0D93"/>
    <w:rsid w:val="008A0DA8"/>
    <w:rsid w:val="008A0DAE"/>
    <w:rsid w:val="008A0DDD"/>
    <w:rsid w:val="008A0DE4"/>
    <w:rsid w:val="008A0E48"/>
    <w:rsid w:val="008A0E4A"/>
    <w:rsid w:val="008A0E89"/>
    <w:rsid w:val="008A0E93"/>
    <w:rsid w:val="008A0E9C"/>
    <w:rsid w:val="008A0F22"/>
    <w:rsid w:val="008A0F63"/>
    <w:rsid w:val="008A0FDB"/>
    <w:rsid w:val="008A0FFB"/>
    <w:rsid w:val="008A102F"/>
    <w:rsid w:val="008A10C3"/>
    <w:rsid w:val="008A10EA"/>
    <w:rsid w:val="008A1194"/>
    <w:rsid w:val="008A11EC"/>
    <w:rsid w:val="008A122E"/>
    <w:rsid w:val="008A1293"/>
    <w:rsid w:val="008A1393"/>
    <w:rsid w:val="008A13C1"/>
    <w:rsid w:val="008A142F"/>
    <w:rsid w:val="008A1461"/>
    <w:rsid w:val="008A146C"/>
    <w:rsid w:val="008A146F"/>
    <w:rsid w:val="008A14A5"/>
    <w:rsid w:val="008A14F2"/>
    <w:rsid w:val="008A1589"/>
    <w:rsid w:val="008A15E8"/>
    <w:rsid w:val="008A1621"/>
    <w:rsid w:val="008A16E8"/>
    <w:rsid w:val="008A17A6"/>
    <w:rsid w:val="008A17F2"/>
    <w:rsid w:val="008A180A"/>
    <w:rsid w:val="008A180C"/>
    <w:rsid w:val="008A1877"/>
    <w:rsid w:val="008A1970"/>
    <w:rsid w:val="008A199B"/>
    <w:rsid w:val="008A19CA"/>
    <w:rsid w:val="008A1A59"/>
    <w:rsid w:val="008A1A6E"/>
    <w:rsid w:val="008A1B02"/>
    <w:rsid w:val="008A1B3F"/>
    <w:rsid w:val="008A1BC8"/>
    <w:rsid w:val="008A1C59"/>
    <w:rsid w:val="008A1C7D"/>
    <w:rsid w:val="008A1CFD"/>
    <w:rsid w:val="008A1D36"/>
    <w:rsid w:val="008A1D98"/>
    <w:rsid w:val="008A1DA0"/>
    <w:rsid w:val="008A1DAD"/>
    <w:rsid w:val="008A1E29"/>
    <w:rsid w:val="008A1F69"/>
    <w:rsid w:val="008A1FE4"/>
    <w:rsid w:val="008A2029"/>
    <w:rsid w:val="008A203F"/>
    <w:rsid w:val="008A2045"/>
    <w:rsid w:val="008A20E7"/>
    <w:rsid w:val="008A21AF"/>
    <w:rsid w:val="008A21E2"/>
    <w:rsid w:val="008A2210"/>
    <w:rsid w:val="008A221C"/>
    <w:rsid w:val="008A222B"/>
    <w:rsid w:val="008A22D1"/>
    <w:rsid w:val="008A2309"/>
    <w:rsid w:val="008A231B"/>
    <w:rsid w:val="008A2383"/>
    <w:rsid w:val="008A23AE"/>
    <w:rsid w:val="008A23C3"/>
    <w:rsid w:val="008A23D0"/>
    <w:rsid w:val="008A2402"/>
    <w:rsid w:val="008A2416"/>
    <w:rsid w:val="008A245D"/>
    <w:rsid w:val="008A2462"/>
    <w:rsid w:val="008A2482"/>
    <w:rsid w:val="008A249F"/>
    <w:rsid w:val="008A24D6"/>
    <w:rsid w:val="008A2605"/>
    <w:rsid w:val="008A2633"/>
    <w:rsid w:val="008A267D"/>
    <w:rsid w:val="008A26B7"/>
    <w:rsid w:val="008A26BE"/>
    <w:rsid w:val="008A26CF"/>
    <w:rsid w:val="008A26D8"/>
    <w:rsid w:val="008A270E"/>
    <w:rsid w:val="008A27DD"/>
    <w:rsid w:val="008A2873"/>
    <w:rsid w:val="008A2896"/>
    <w:rsid w:val="008A28C2"/>
    <w:rsid w:val="008A28D1"/>
    <w:rsid w:val="008A28E6"/>
    <w:rsid w:val="008A2901"/>
    <w:rsid w:val="008A29C9"/>
    <w:rsid w:val="008A29EE"/>
    <w:rsid w:val="008A2A00"/>
    <w:rsid w:val="008A2A0E"/>
    <w:rsid w:val="008A2A0F"/>
    <w:rsid w:val="008A2A42"/>
    <w:rsid w:val="008A2BDB"/>
    <w:rsid w:val="008A2BDE"/>
    <w:rsid w:val="008A2C3E"/>
    <w:rsid w:val="008A2C7F"/>
    <w:rsid w:val="008A2CB6"/>
    <w:rsid w:val="008A2DE5"/>
    <w:rsid w:val="008A2E0F"/>
    <w:rsid w:val="008A2E53"/>
    <w:rsid w:val="008A2EE8"/>
    <w:rsid w:val="008A2F1E"/>
    <w:rsid w:val="008A2F43"/>
    <w:rsid w:val="008A2F67"/>
    <w:rsid w:val="008A2F78"/>
    <w:rsid w:val="008A3067"/>
    <w:rsid w:val="008A30E2"/>
    <w:rsid w:val="008A30E7"/>
    <w:rsid w:val="008A30E9"/>
    <w:rsid w:val="008A3102"/>
    <w:rsid w:val="008A3127"/>
    <w:rsid w:val="008A3131"/>
    <w:rsid w:val="008A3166"/>
    <w:rsid w:val="008A31B9"/>
    <w:rsid w:val="008A3275"/>
    <w:rsid w:val="008A32EA"/>
    <w:rsid w:val="008A32F8"/>
    <w:rsid w:val="008A32FA"/>
    <w:rsid w:val="008A3304"/>
    <w:rsid w:val="008A332F"/>
    <w:rsid w:val="008A3362"/>
    <w:rsid w:val="008A33EF"/>
    <w:rsid w:val="008A3477"/>
    <w:rsid w:val="008A34E2"/>
    <w:rsid w:val="008A353B"/>
    <w:rsid w:val="008A358D"/>
    <w:rsid w:val="008A35B5"/>
    <w:rsid w:val="008A35C4"/>
    <w:rsid w:val="008A35DB"/>
    <w:rsid w:val="008A35E6"/>
    <w:rsid w:val="008A3654"/>
    <w:rsid w:val="008A3668"/>
    <w:rsid w:val="008A367C"/>
    <w:rsid w:val="008A3694"/>
    <w:rsid w:val="008A36BD"/>
    <w:rsid w:val="008A3717"/>
    <w:rsid w:val="008A375F"/>
    <w:rsid w:val="008A37E6"/>
    <w:rsid w:val="008A3804"/>
    <w:rsid w:val="008A382D"/>
    <w:rsid w:val="008A382E"/>
    <w:rsid w:val="008A3892"/>
    <w:rsid w:val="008A38DA"/>
    <w:rsid w:val="008A3982"/>
    <w:rsid w:val="008A39D6"/>
    <w:rsid w:val="008A3A5E"/>
    <w:rsid w:val="008A3AE5"/>
    <w:rsid w:val="008A3AF8"/>
    <w:rsid w:val="008A3BA0"/>
    <w:rsid w:val="008A3BC1"/>
    <w:rsid w:val="008A3C17"/>
    <w:rsid w:val="008A3C3B"/>
    <w:rsid w:val="008A3C4F"/>
    <w:rsid w:val="008A3C71"/>
    <w:rsid w:val="008A3C72"/>
    <w:rsid w:val="008A3C8A"/>
    <w:rsid w:val="008A3CE9"/>
    <w:rsid w:val="008A3D4F"/>
    <w:rsid w:val="008A3DC8"/>
    <w:rsid w:val="008A3DD2"/>
    <w:rsid w:val="008A3DE1"/>
    <w:rsid w:val="008A3E1D"/>
    <w:rsid w:val="008A3E8B"/>
    <w:rsid w:val="008A3E91"/>
    <w:rsid w:val="008A3EBE"/>
    <w:rsid w:val="008A3F22"/>
    <w:rsid w:val="008A3F61"/>
    <w:rsid w:val="008A3F7B"/>
    <w:rsid w:val="008A3FB0"/>
    <w:rsid w:val="008A3FCC"/>
    <w:rsid w:val="008A400F"/>
    <w:rsid w:val="008A409C"/>
    <w:rsid w:val="008A40A4"/>
    <w:rsid w:val="008A412F"/>
    <w:rsid w:val="008A4165"/>
    <w:rsid w:val="008A4237"/>
    <w:rsid w:val="008A426F"/>
    <w:rsid w:val="008A4276"/>
    <w:rsid w:val="008A42ED"/>
    <w:rsid w:val="008A430B"/>
    <w:rsid w:val="008A4498"/>
    <w:rsid w:val="008A44F8"/>
    <w:rsid w:val="008A454C"/>
    <w:rsid w:val="008A4581"/>
    <w:rsid w:val="008A45BC"/>
    <w:rsid w:val="008A4625"/>
    <w:rsid w:val="008A4665"/>
    <w:rsid w:val="008A46CE"/>
    <w:rsid w:val="008A4707"/>
    <w:rsid w:val="008A4730"/>
    <w:rsid w:val="008A475B"/>
    <w:rsid w:val="008A47E5"/>
    <w:rsid w:val="008A484B"/>
    <w:rsid w:val="008A487E"/>
    <w:rsid w:val="008A495B"/>
    <w:rsid w:val="008A496A"/>
    <w:rsid w:val="008A4A41"/>
    <w:rsid w:val="008A4A6A"/>
    <w:rsid w:val="008A4AE1"/>
    <w:rsid w:val="008A4B41"/>
    <w:rsid w:val="008A4B4D"/>
    <w:rsid w:val="008A4B6D"/>
    <w:rsid w:val="008A4B7B"/>
    <w:rsid w:val="008A4BA5"/>
    <w:rsid w:val="008A4C4D"/>
    <w:rsid w:val="008A4C8F"/>
    <w:rsid w:val="008A4CAC"/>
    <w:rsid w:val="008A4CCB"/>
    <w:rsid w:val="008A4CF7"/>
    <w:rsid w:val="008A4D47"/>
    <w:rsid w:val="008A4D4F"/>
    <w:rsid w:val="008A4DDB"/>
    <w:rsid w:val="008A4DF0"/>
    <w:rsid w:val="008A4EBB"/>
    <w:rsid w:val="008A4F32"/>
    <w:rsid w:val="008A4FFE"/>
    <w:rsid w:val="008A5038"/>
    <w:rsid w:val="008A5066"/>
    <w:rsid w:val="008A508A"/>
    <w:rsid w:val="008A50B1"/>
    <w:rsid w:val="008A50B5"/>
    <w:rsid w:val="008A50BF"/>
    <w:rsid w:val="008A51C7"/>
    <w:rsid w:val="008A5230"/>
    <w:rsid w:val="008A5266"/>
    <w:rsid w:val="008A52CF"/>
    <w:rsid w:val="008A5303"/>
    <w:rsid w:val="008A5309"/>
    <w:rsid w:val="008A5319"/>
    <w:rsid w:val="008A535F"/>
    <w:rsid w:val="008A5391"/>
    <w:rsid w:val="008A5394"/>
    <w:rsid w:val="008A53AD"/>
    <w:rsid w:val="008A53B2"/>
    <w:rsid w:val="008A53F8"/>
    <w:rsid w:val="008A5438"/>
    <w:rsid w:val="008A547F"/>
    <w:rsid w:val="008A54B1"/>
    <w:rsid w:val="008A54B3"/>
    <w:rsid w:val="008A54D4"/>
    <w:rsid w:val="008A54D6"/>
    <w:rsid w:val="008A54DD"/>
    <w:rsid w:val="008A54E7"/>
    <w:rsid w:val="008A555F"/>
    <w:rsid w:val="008A5561"/>
    <w:rsid w:val="008A5591"/>
    <w:rsid w:val="008A5593"/>
    <w:rsid w:val="008A55BD"/>
    <w:rsid w:val="008A55DA"/>
    <w:rsid w:val="008A560F"/>
    <w:rsid w:val="008A5654"/>
    <w:rsid w:val="008A5691"/>
    <w:rsid w:val="008A56A5"/>
    <w:rsid w:val="008A5733"/>
    <w:rsid w:val="008A57AB"/>
    <w:rsid w:val="008A57AF"/>
    <w:rsid w:val="008A57CE"/>
    <w:rsid w:val="008A5841"/>
    <w:rsid w:val="008A58DE"/>
    <w:rsid w:val="008A58E4"/>
    <w:rsid w:val="008A58F6"/>
    <w:rsid w:val="008A5926"/>
    <w:rsid w:val="008A5A69"/>
    <w:rsid w:val="008A5A71"/>
    <w:rsid w:val="008A5BAC"/>
    <w:rsid w:val="008A5BEF"/>
    <w:rsid w:val="008A5C02"/>
    <w:rsid w:val="008A5C1A"/>
    <w:rsid w:val="008A5C33"/>
    <w:rsid w:val="008A5C3D"/>
    <w:rsid w:val="008A5C6B"/>
    <w:rsid w:val="008A5CF3"/>
    <w:rsid w:val="008A5D1F"/>
    <w:rsid w:val="008A5D35"/>
    <w:rsid w:val="008A5D59"/>
    <w:rsid w:val="008A5D76"/>
    <w:rsid w:val="008A5DAB"/>
    <w:rsid w:val="008A5E52"/>
    <w:rsid w:val="008A5E91"/>
    <w:rsid w:val="008A5EA2"/>
    <w:rsid w:val="008A5EA7"/>
    <w:rsid w:val="008A5ECD"/>
    <w:rsid w:val="008A5F09"/>
    <w:rsid w:val="008A5F76"/>
    <w:rsid w:val="008A5FC4"/>
    <w:rsid w:val="008A5FD9"/>
    <w:rsid w:val="008A6064"/>
    <w:rsid w:val="008A60AE"/>
    <w:rsid w:val="008A60F3"/>
    <w:rsid w:val="008A6125"/>
    <w:rsid w:val="008A615A"/>
    <w:rsid w:val="008A615D"/>
    <w:rsid w:val="008A6162"/>
    <w:rsid w:val="008A6185"/>
    <w:rsid w:val="008A6192"/>
    <w:rsid w:val="008A6196"/>
    <w:rsid w:val="008A61A3"/>
    <w:rsid w:val="008A61CF"/>
    <w:rsid w:val="008A61D9"/>
    <w:rsid w:val="008A61E3"/>
    <w:rsid w:val="008A6229"/>
    <w:rsid w:val="008A625A"/>
    <w:rsid w:val="008A627E"/>
    <w:rsid w:val="008A62F3"/>
    <w:rsid w:val="008A63D4"/>
    <w:rsid w:val="008A642E"/>
    <w:rsid w:val="008A6444"/>
    <w:rsid w:val="008A6449"/>
    <w:rsid w:val="008A6476"/>
    <w:rsid w:val="008A648C"/>
    <w:rsid w:val="008A64A4"/>
    <w:rsid w:val="008A64DD"/>
    <w:rsid w:val="008A64E0"/>
    <w:rsid w:val="008A64ED"/>
    <w:rsid w:val="008A6517"/>
    <w:rsid w:val="008A668D"/>
    <w:rsid w:val="008A66DE"/>
    <w:rsid w:val="008A6711"/>
    <w:rsid w:val="008A6733"/>
    <w:rsid w:val="008A6742"/>
    <w:rsid w:val="008A6746"/>
    <w:rsid w:val="008A674C"/>
    <w:rsid w:val="008A6784"/>
    <w:rsid w:val="008A678B"/>
    <w:rsid w:val="008A685D"/>
    <w:rsid w:val="008A6896"/>
    <w:rsid w:val="008A689E"/>
    <w:rsid w:val="008A68C7"/>
    <w:rsid w:val="008A6952"/>
    <w:rsid w:val="008A6967"/>
    <w:rsid w:val="008A69FF"/>
    <w:rsid w:val="008A6A10"/>
    <w:rsid w:val="008A6A45"/>
    <w:rsid w:val="008A6A9A"/>
    <w:rsid w:val="008A6AE2"/>
    <w:rsid w:val="008A6B5C"/>
    <w:rsid w:val="008A6BB7"/>
    <w:rsid w:val="008A6BE8"/>
    <w:rsid w:val="008A6C0C"/>
    <w:rsid w:val="008A6C57"/>
    <w:rsid w:val="008A6C9E"/>
    <w:rsid w:val="008A6CA9"/>
    <w:rsid w:val="008A6CED"/>
    <w:rsid w:val="008A6D4F"/>
    <w:rsid w:val="008A6DA4"/>
    <w:rsid w:val="008A6DC7"/>
    <w:rsid w:val="008A6DE8"/>
    <w:rsid w:val="008A6DFC"/>
    <w:rsid w:val="008A6E1A"/>
    <w:rsid w:val="008A6EFA"/>
    <w:rsid w:val="008A6F0E"/>
    <w:rsid w:val="008A6F17"/>
    <w:rsid w:val="008A6F6F"/>
    <w:rsid w:val="008A6F88"/>
    <w:rsid w:val="008A6F8B"/>
    <w:rsid w:val="008A6FC3"/>
    <w:rsid w:val="008A7049"/>
    <w:rsid w:val="008A7087"/>
    <w:rsid w:val="008A70C3"/>
    <w:rsid w:val="008A70F3"/>
    <w:rsid w:val="008A716F"/>
    <w:rsid w:val="008A7174"/>
    <w:rsid w:val="008A71A0"/>
    <w:rsid w:val="008A71D3"/>
    <w:rsid w:val="008A71F5"/>
    <w:rsid w:val="008A72C7"/>
    <w:rsid w:val="008A7347"/>
    <w:rsid w:val="008A7378"/>
    <w:rsid w:val="008A73F8"/>
    <w:rsid w:val="008A74CC"/>
    <w:rsid w:val="008A75B9"/>
    <w:rsid w:val="008A75BB"/>
    <w:rsid w:val="008A75D4"/>
    <w:rsid w:val="008A75DF"/>
    <w:rsid w:val="008A7621"/>
    <w:rsid w:val="008A7663"/>
    <w:rsid w:val="008A766C"/>
    <w:rsid w:val="008A76AD"/>
    <w:rsid w:val="008A76E8"/>
    <w:rsid w:val="008A76FF"/>
    <w:rsid w:val="008A783F"/>
    <w:rsid w:val="008A7891"/>
    <w:rsid w:val="008A78F9"/>
    <w:rsid w:val="008A790F"/>
    <w:rsid w:val="008A792F"/>
    <w:rsid w:val="008A795C"/>
    <w:rsid w:val="008A797D"/>
    <w:rsid w:val="008A79D3"/>
    <w:rsid w:val="008A7A0B"/>
    <w:rsid w:val="008A7A55"/>
    <w:rsid w:val="008A7AF4"/>
    <w:rsid w:val="008A7AF8"/>
    <w:rsid w:val="008A7B98"/>
    <w:rsid w:val="008A7BD9"/>
    <w:rsid w:val="008A7BE3"/>
    <w:rsid w:val="008A7BEA"/>
    <w:rsid w:val="008A7C09"/>
    <w:rsid w:val="008A7C28"/>
    <w:rsid w:val="008A7C30"/>
    <w:rsid w:val="008A7C46"/>
    <w:rsid w:val="008A7C61"/>
    <w:rsid w:val="008A7D2F"/>
    <w:rsid w:val="008A7D70"/>
    <w:rsid w:val="008A7D98"/>
    <w:rsid w:val="008A7DAD"/>
    <w:rsid w:val="008A7DB9"/>
    <w:rsid w:val="008A7E0D"/>
    <w:rsid w:val="008A7E28"/>
    <w:rsid w:val="008A7E2A"/>
    <w:rsid w:val="008A7E62"/>
    <w:rsid w:val="008A7E6C"/>
    <w:rsid w:val="008A7EEC"/>
    <w:rsid w:val="008A7F06"/>
    <w:rsid w:val="008A7F73"/>
    <w:rsid w:val="008A7F9C"/>
    <w:rsid w:val="008A7FB3"/>
    <w:rsid w:val="008B0002"/>
    <w:rsid w:val="008B0037"/>
    <w:rsid w:val="008B0051"/>
    <w:rsid w:val="008B0052"/>
    <w:rsid w:val="008B0059"/>
    <w:rsid w:val="008B0065"/>
    <w:rsid w:val="008B0089"/>
    <w:rsid w:val="008B0097"/>
    <w:rsid w:val="008B00FC"/>
    <w:rsid w:val="008B0187"/>
    <w:rsid w:val="008B018F"/>
    <w:rsid w:val="008B0245"/>
    <w:rsid w:val="008B02A2"/>
    <w:rsid w:val="008B02E7"/>
    <w:rsid w:val="008B02FF"/>
    <w:rsid w:val="008B030A"/>
    <w:rsid w:val="008B041E"/>
    <w:rsid w:val="008B0441"/>
    <w:rsid w:val="008B0498"/>
    <w:rsid w:val="008B0531"/>
    <w:rsid w:val="008B053D"/>
    <w:rsid w:val="008B053E"/>
    <w:rsid w:val="008B0541"/>
    <w:rsid w:val="008B05C8"/>
    <w:rsid w:val="008B0630"/>
    <w:rsid w:val="008B0689"/>
    <w:rsid w:val="008B068E"/>
    <w:rsid w:val="008B06DE"/>
    <w:rsid w:val="008B0744"/>
    <w:rsid w:val="008B0764"/>
    <w:rsid w:val="008B0774"/>
    <w:rsid w:val="008B07BB"/>
    <w:rsid w:val="008B0816"/>
    <w:rsid w:val="008B081C"/>
    <w:rsid w:val="008B0821"/>
    <w:rsid w:val="008B083E"/>
    <w:rsid w:val="008B0872"/>
    <w:rsid w:val="008B087D"/>
    <w:rsid w:val="008B08BF"/>
    <w:rsid w:val="008B091E"/>
    <w:rsid w:val="008B094A"/>
    <w:rsid w:val="008B09A3"/>
    <w:rsid w:val="008B09AA"/>
    <w:rsid w:val="008B0A25"/>
    <w:rsid w:val="008B0B4A"/>
    <w:rsid w:val="008B0B81"/>
    <w:rsid w:val="008B0B89"/>
    <w:rsid w:val="008B0BBB"/>
    <w:rsid w:val="008B0C38"/>
    <w:rsid w:val="008B0C83"/>
    <w:rsid w:val="008B0CB8"/>
    <w:rsid w:val="008B0CD9"/>
    <w:rsid w:val="008B0D85"/>
    <w:rsid w:val="008B0D90"/>
    <w:rsid w:val="008B0DBD"/>
    <w:rsid w:val="008B0E76"/>
    <w:rsid w:val="008B0EFE"/>
    <w:rsid w:val="008B0F47"/>
    <w:rsid w:val="008B1081"/>
    <w:rsid w:val="008B108F"/>
    <w:rsid w:val="008B10AF"/>
    <w:rsid w:val="008B1136"/>
    <w:rsid w:val="008B1154"/>
    <w:rsid w:val="008B1175"/>
    <w:rsid w:val="008B1183"/>
    <w:rsid w:val="008B1189"/>
    <w:rsid w:val="008B121B"/>
    <w:rsid w:val="008B127D"/>
    <w:rsid w:val="008B1319"/>
    <w:rsid w:val="008B1323"/>
    <w:rsid w:val="008B1388"/>
    <w:rsid w:val="008B1403"/>
    <w:rsid w:val="008B1414"/>
    <w:rsid w:val="008B14F8"/>
    <w:rsid w:val="008B1509"/>
    <w:rsid w:val="008B15B5"/>
    <w:rsid w:val="008B15B7"/>
    <w:rsid w:val="008B15ED"/>
    <w:rsid w:val="008B15F7"/>
    <w:rsid w:val="008B176D"/>
    <w:rsid w:val="008B17D6"/>
    <w:rsid w:val="008B17F1"/>
    <w:rsid w:val="008B183E"/>
    <w:rsid w:val="008B18F3"/>
    <w:rsid w:val="008B1931"/>
    <w:rsid w:val="008B194A"/>
    <w:rsid w:val="008B1966"/>
    <w:rsid w:val="008B1972"/>
    <w:rsid w:val="008B19E0"/>
    <w:rsid w:val="008B19F3"/>
    <w:rsid w:val="008B1AA0"/>
    <w:rsid w:val="008B1AE9"/>
    <w:rsid w:val="008B1B04"/>
    <w:rsid w:val="008B1BF7"/>
    <w:rsid w:val="008B1C34"/>
    <w:rsid w:val="008B1C4A"/>
    <w:rsid w:val="008B1C4C"/>
    <w:rsid w:val="008B1C95"/>
    <w:rsid w:val="008B1CEB"/>
    <w:rsid w:val="008B1E2B"/>
    <w:rsid w:val="008B1E2D"/>
    <w:rsid w:val="008B1EA7"/>
    <w:rsid w:val="008B1EF7"/>
    <w:rsid w:val="008B1F14"/>
    <w:rsid w:val="008B1F75"/>
    <w:rsid w:val="008B1F8A"/>
    <w:rsid w:val="008B204C"/>
    <w:rsid w:val="008B20C0"/>
    <w:rsid w:val="008B2142"/>
    <w:rsid w:val="008B219C"/>
    <w:rsid w:val="008B21A6"/>
    <w:rsid w:val="008B21DE"/>
    <w:rsid w:val="008B22CD"/>
    <w:rsid w:val="008B22FE"/>
    <w:rsid w:val="008B2320"/>
    <w:rsid w:val="008B2343"/>
    <w:rsid w:val="008B240B"/>
    <w:rsid w:val="008B2484"/>
    <w:rsid w:val="008B24A0"/>
    <w:rsid w:val="008B2502"/>
    <w:rsid w:val="008B2510"/>
    <w:rsid w:val="008B2530"/>
    <w:rsid w:val="008B2557"/>
    <w:rsid w:val="008B2572"/>
    <w:rsid w:val="008B259D"/>
    <w:rsid w:val="008B25A7"/>
    <w:rsid w:val="008B25BF"/>
    <w:rsid w:val="008B25EE"/>
    <w:rsid w:val="008B269E"/>
    <w:rsid w:val="008B2759"/>
    <w:rsid w:val="008B2811"/>
    <w:rsid w:val="008B2883"/>
    <w:rsid w:val="008B2911"/>
    <w:rsid w:val="008B2988"/>
    <w:rsid w:val="008B2A0E"/>
    <w:rsid w:val="008B2B05"/>
    <w:rsid w:val="008B2B39"/>
    <w:rsid w:val="008B2BAE"/>
    <w:rsid w:val="008B2C3D"/>
    <w:rsid w:val="008B2C45"/>
    <w:rsid w:val="008B2C98"/>
    <w:rsid w:val="008B2D0E"/>
    <w:rsid w:val="008B2DB4"/>
    <w:rsid w:val="008B2E73"/>
    <w:rsid w:val="008B2E95"/>
    <w:rsid w:val="008B2FAF"/>
    <w:rsid w:val="008B2FB2"/>
    <w:rsid w:val="008B3099"/>
    <w:rsid w:val="008B30CE"/>
    <w:rsid w:val="008B30EA"/>
    <w:rsid w:val="008B3113"/>
    <w:rsid w:val="008B315F"/>
    <w:rsid w:val="008B3189"/>
    <w:rsid w:val="008B319A"/>
    <w:rsid w:val="008B31E9"/>
    <w:rsid w:val="008B31EF"/>
    <w:rsid w:val="008B3281"/>
    <w:rsid w:val="008B3288"/>
    <w:rsid w:val="008B328B"/>
    <w:rsid w:val="008B3292"/>
    <w:rsid w:val="008B32E5"/>
    <w:rsid w:val="008B3309"/>
    <w:rsid w:val="008B3318"/>
    <w:rsid w:val="008B3320"/>
    <w:rsid w:val="008B3330"/>
    <w:rsid w:val="008B341B"/>
    <w:rsid w:val="008B341D"/>
    <w:rsid w:val="008B343E"/>
    <w:rsid w:val="008B344C"/>
    <w:rsid w:val="008B349E"/>
    <w:rsid w:val="008B34CE"/>
    <w:rsid w:val="008B34F0"/>
    <w:rsid w:val="008B3525"/>
    <w:rsid w:val="008B361D"/>
    <w:rsid w:val="008B362D"/>
    <w:rsid w:val="008B3669"/>
    <w:rsid w:val="008B36C8"/>
    <w:rsid w:val="008B3709"/>
    <w:rsid w:val="008B3771"/>
    <w:rsid w:val="008B3781"/>
    <w:rsid w:val="008B37A5"/>
    <w:rsid w:val="008B37AB"/>
    <w:rsid w:val="008B37CC"/>
    <w:rsid w:val="008B387C"/>
    <w:rsid w:val="008B3905"/>
    <w:rsid w:val="008B3918"/>
    <w:rsid w:val="008B391F"/>
    <w:rsid w:val="008B392B"/>
    <w:rsid w:val="008B3A67"/>
    <w:rsid w:val="008B3A6D"/>
    <w:rsid w:val="008B3AC6"/>
    <w:rsid w:val="008B3ACF"/>
    <w:rsid w:val="008B3AD1"/>
    <w:rsid w:val="008B3B26"/>
    <w:rsid w:val="008B3B70"/>
    <w:rsid w:val="008B3C4C"/>
    <w:rsid w:val="008B3C79"/>
    <w:rsid w:val="008B3E9B"/>
    <w:rsid w:val="008B3ECB"/>
    <w:rsid w:val="008B3F4F"/>
    <w:rsid w:val="008B3F8C"/>
    <w:rsid w:val="008B4015"/>
    <w:rsid w:val="008B4035"/>
    <w:rsid w:val="008B4056"/>
    <w:rsid w:val="008B4093"/>
    <w:rsid w:val="008B4095"/>
    <w:rsid w:val="008B40BF"/>
    <w:rsid w:val="008B40D3"/>
    <w:rsid w:val="008B410B"/>
    <w:rsid w:val="008B416A"/>
    <w:rsid w:val="008B4179"/>
    <w:rsid w:val="008B4181"/>
    <w:rsid w:val="008B41E2"/>
    <w:rsid w:val="008B4229"/>
    <w:rsid w:val="008B4261"/>
    <w:rsid w:val="008B4272"/>
    <w:rsid w:val="008B42B8"/>
    <w:rsid w:val="008B42FC"/>
    <w:rsid w:val="008B4336"/>
    <w:rsid w:val="008B437D"/>
    <w:rsid w:val="008B4386"/>
    <w:rsid w:val="008B438F"/>
    <w:rsid w:val="008B43BE"/>
    <w:rsid w:val="008B4442"/>
    <w:rsid w:val="008B4491"/>
    <w:rsid w:val="008B44AB"/>
    <w:rsid w:val="008B44D9"/>
    <w:rsid w:val="008B450A"/>
    <w:rsid w:val="008B452A"/>
    <w:rsid w:val="008B4574"/>
    <w:rsid w:val="008B457A"/>
    <w:rsid w:val="008B45C5"/>
    <w:rsid w:val="008B45E5"/>
    <w:rsid w:val="008B463C"/>
    <w:rsid w:val="008B466C"/>
    <w:rsid w:val="008B4680"/>
    <w:rsid w:val="008B46A9"/>
    <w:rsid w:val="008B46C0"/>
    <w:rsid w:val="008B46E6"/>
    <w:rsid w:val="008B46EF"/>
    <w:rsid w:val="008B46FD"/>
    <w:rsid w:val="008B47B1"/>
    <w:rsid w:val="008B47DB"/>
    <w:rsid w:val="008B47FC"/>
    <w:rsid w:val="008B4869"/>
    <w:rsid w:val="008B48BF"/>
    <w:rsid w:val="008B48C3"/>
    <w:rsid w:val="008B490F"/>
    <w:rsid w:val="008B4922"/>
    <w:rsid w:val="008B4A05"/>
    <w:rsid w:val="008B4A49"/>
    <w:rsid w:val="008B4A57"/>
    <w:rsid w:val="008B4A5E"/>
    <w:rsid w:val="008B4A8C"/>
    <w:rsid w:val="008B4B2D"/>
    <w:rsid w:val="008B4BD7"/>
    <w:rsid w:val="008B4BE1"/>
    <w:rsid w:val="008B4BEC"/>
    <w:rsid w:val="008B4BEE"/>
    <w:rsid w:val="008B4C5F"/>
    <w:rsid w:val="008B4C67"/>
    <w:rsid w:val="008B4CCE"/>
    <w:rsid w:val="008B4CF6"/>
    <w:rsid w:val="008B4D45"/>
    <w:rsid w:val="008B4D6D"/>
    <w:rsid w:val="008B4DDE"/>
    <w:rsid w:val="008B4E07"/>
    <w:rsid w:val="008B4E30"/>
    <w:rsid w:val="008B4E60"/>
    <w:rsid w:val="008B4EBD"/>
    <w:rsid w:val="008B4ED7"/>
    <w:rsid w:val="008B4F66"/>
    <w:rsid w:val="008B4FF5"/>
    <w:rsid w:val="008B5043"/>
    <w:rsid w:val="008B5056"/>
    <w:rsid w:val="008B5073"/>
    <w:rsid w:val="008B5092"/>
    <w:rsid w:val="008B50C7"/>
    <w:rsid w:val="008B50E0"/>
    <w:rsid w:val="008B50FE"/>
    <w:rsid w:val="008B5145"/>
    <w:rsid w:val="008B5238"/>
    <w:rsid w:val="008B523D"/>
    <w:rsid w:val="008B5327"/>
    <w:rsid w:val="008B5378"/>
    <w:rsid w:val="008B5393"/>
    <w:rsid w:val="008B53AC"/>
    <w:rsid w:val="008B53DD"/>
    <w:rsid w:val="008B54B8"/>
    <w:rsid w:val="008B54F5"/>
    <w:rsid w:val="008B550C"/>
    <w:rsid w:val="008B5523"/>
    <w:rsid w:val="008B5534"/>
    <w:rsid w:val="008B554E"/>
    <w:rsid w:val="008B5573"/>
    <w:rsid w:val="008B5595"/>
    <w:rsid w:val="008B5628"/>
    <w:rsid w:val="008B5643"/>
    <w:rsid w:val="008B5698"/>
    <w:rsid w:val="008B56E4"/>
    <w:rsid w:val="008B5734"/>
    <w:rsid w:val="008B5751"/>
    <w:rsid w:val="008B576A"/>
    <w:rsid w:val="008B57E2"/>
    <w:rsid w:val="008B5830"/>
    <w:rsid w:val="008B5890"/>
    <w:rsid w:val="008B58E1"/>
    <w:rsid w:val="008B590E"/>
    <w:rsid w:val="008B5960"/>
    <w:rsid w:val="008B5969"/>
    <w:rsid w:val="008B59A1"/>
    <w:rsid w:val="008B5A15"/>
    <w:rsid w:val="008B5A1F"/>
    <w:rsid w:val="008B5A21"/>
    <w:rsid w:val="008B5A56"/>
    <w:rsid w:val="008B5A97"/>
    <w:rsid w:val="008B5AFE"/>
    <w:rsid w:val="008B5BC8"/>
    <w:rsid w:val="008B5C19"/>
    <w:rsid w:val="008B5C2C"/>
    <w:rsid w:val="008B5C43"/>
    <w:rsid w:val="008B5D21"/>
    <w:rsid w:val="008B5D7A"/>
    <w:rsid w:val="008B5E0C"/>
    <w:rsid w:val="008B5E44"/>
    <w:rsid w:val="008B5E50"/>
    <w:rsid w:val="008B5EBD"/>
    <w:rsid w:val="008B5EDD"/>
    <w:rsid w:val="008B5EF6"/>
    <w:rsid w:val="008B5F26"/>
    <w:rsid w:val="008B5F91"/>
    <w:rsid w:val="008B5FD7"/>
    <w:rsid w:val="008B6013"/>
    <w:rsid w:val="008B6095"/>
    <w:rsid w:val="008B609B"/>
    <w:rsid w:val="008B60C6"/>
    <w:rsid w:val="008B60FD"/>
    <w:rsid w:val="008B6186"/>
    <w:rsid w:val="008B61B8"/>
    <w:rsid w:val="008B61BA"/>
    <w:rsid w:val="008B6241"/>
    <w:rsid w:val="008B6246"/>
    <w:rsid w:val="008B6265"/>
    <w:rsid w:val="008B62CD"/>
    <w:rsid w:val="008B6305"/>
    <w:rsid w:val="008B640C"/>
    <w:rsid w:val="008B644C"/>
    <w:rsid w:val="008B6495"/>
    <w:rsid w:val="008B64B7"/>
    <w:rsid w:val="008B6507"/>
    <w:rsid w:val="008B6529"/>
    <w:rsid w:val="008B65A7"/>
    <w:rsid w:val="008B65AE"/>
    <w:rsid w:val="008B65C8"/>
    <w:rsid w:val="008B65F9"/>
    <w:rsid w:val="008B65FB"/>
    <w:rsid w:val="008B660B"/>
    <w:rsid w:val="008B663E"/>
    <w:rsid w:val="008B6677"/>
    <w:rsid w:val="008B66E9"/>
    <w:rsid w:val="008B674C"/>
    <w:rsid w:val="008B67DB"/>
    <w:rsid w:val="008B67F5"/>
    <w:rsid w:val="008B680C"/>
    <w:rsid w:val="008B6849"/>
    <w:rsid w:val="008B6891"/>
    <w:rsid w:val="008B6892"/>
    <w:rsid w:val="008B6940"/>
    <w:rsid w:val="008B6944"/>
    <w:rsid w:val="008B6A70"/>
    <w:rsid w:val="008B6AB2"/>
    <w:rsid w:val="008B6AC5"/>
    <w:rsid w:val="008B6AD1"/>
    <w:rsid w:val="008B6AD6"/>
    <w:rsid w:val="008B6B13"/>
    <w:rsid w:val="008B6B41"/>
    <w:rsid w:val="008B6B46"/>
    <w:rsid w:val="008B6BC7"/>
    <w:rsid w:val="008B6C1F"/>
    <w:rsid w:val="008B6D1E"/>
    <w:rsid w:val="008B6DEE"/>
    <w:rsid w:val="008B6E24"/>
    <w:rsid w:val="008B6E45"/>
    <w:rsid w:val="008B6E50"/>
    <w:rsid w:val="008B6E66"/>
    <w:rsid w:val="008B6E9E"/>
    <w:rsid w:val="008B6EFF"/>
    <w:rsid w:val="008B6F28"/>
    <w:rsid w:val="008B6F5D"/>
    <w:rsid w:val="008B6F83"/>
    <w:rsid w:val="008B6FA5"/>
    <w:rsid w:val="008B6FC4"/>
    <w:rsid w:val="008B70BC"/>
    <w:rsid w:val="008B71AE"/>
    <w:rsid w:val="008B7277"/>
    <w:rsid w:val="008B728B"/>
    <w:rsid w:val="008B7291"/>
    <w:rsid w:val="008B729F"/>
    <w:rsid w:val="008B72A0"/>
    <w:rsid w:val="008B72AC"/>
    <w:rsid w:val="008B72CC"/>
    <w:rsid w:val="008B72DF"/>
    <w:rsid w:val="008B7339"/>
    <w:rsid w:val="008B734D"/>
    <w:rsid w:val="008B7361"/>
    <w:rsid w:val="008B7390"/>
    <w:rsid w:val="008B73A8"/>
    <w:rsid w:val="008B73E8"/>
    <w:rsid w:val="008B7404"/>
    <w:rsid w:val="008B7429"/>
    <w:rsid w:val="008B745B"/>
    <w:rsid w:val="008B750D"/>
    <w:rsid w:val="008B7511"/>
    <w:rsid w:val="008B753C"/>
    <w:rsid w:val="008B75D3"/>
    <w:rsid w:val="008B75D9"/>
    <w:rsid w:val="008B75E6"/>
    <w:rsid w:val="008B75FA"/>
    <w:rsid w:val="008B75FD"/>
    <w:rsid w:val="008B760C"/>
    <w:rsid w:val="008B76C2"/>
    <w:rsid w:val="008B76D6"/>
    <w:rsid w:val="008B77BA"/>
    <w:rsid w:val="008B77BD"/>
    <w:rsid w:val="008B77ED"/>
    <w:rsid w:val="008B77FA"/>
    <w:rsid w:val="008B7850"/>
    <w:rsid w:val="008B788D"/>
    <w:rsid w:val="008B7966"/>
    <w:rsid w:val="008B79C0"/>
    <w:rsid w:val="008B7A7C"/>
    <w:rsid w:val="008B7A84"/>
    <w:rsid w:val="008B7ADA"/>
    <w:rsid w:val="008B7B06"/>
    <w:rsid w:val="008B7B21"/>
    <w:rsid w:val="008B7C69"/>
    <w:rsid w:val="008B7C75"/>
    <w:rsid w:val="008B7C7F"/>
    <w:rsid w:val="008B7C9A"/>
    <w:rsid w:val="008B7CC0"/>
    <w:rsid w:val="008B7CDE"/>
    <w:rsid w:val="008B7CFE"/>
    <w:rsid w:val="008B7D32"/>
    <w:rsid w:val="008B7D90"/>
    <w:rsid w:val="008B7E0C"/>
    <w:rsid w:val="008B7ED4"/>
    <w:rsid w:val="008B7EF8"/>
    <w:rsid w:val="008B7EF9"/>
    <w:rsid w:val="008B7F1F"/>
    <w:rsid w:val="008B7F89"/>
    <w:rsid w:val="008B7FDA"/>
    <w:rsid w:val="008B7FE1"/>
    <w:rsid w:val="008B7FF2"/>
    <w:rsid w:val="008C0047"/>
    <w:rsid w:val="008C0053"/>
    <w:rsid w:val="008C00B7"/>
    <w:rsid w:val="008C00DB"/>
    <w:rsid w:val="008C0102"/>
    <w:rsid w:val="008C0157"/>
    <w:rsid w:val="008C019C"/>
    <w:rsid w:val="008C019E"/>
    <w:rsid w:val="008C01A2"/>
    <w:rsid w:val="008C02B9"/>
    <w:rsid w:val="008C034E"/>
    <w:rsid w:val="008C0395"/>
    <w:rsid w:val="008C03F9"/>
    <w:rsid w:val="008C0419"/>
    <w:rsid w:val="008C042F"/>
    <w:rsid w:val="008C0446"/>
    <w:rsid w:val="008C04CD"/>
    <w:rsid w:val="008C04E2"/>
    <w:rsid w:val="008C04F1"/>
    <w:rsid w:val="008C04F7"/>
    <w:rsid w:val="008C0506"/>
    <w:rsid w:val="008C05D1"/>
    <w:rsid w:val="008C05DA"/>
    <w:rsid w:val="008C061F"/>
    <w:rsid w:val="008C0624"/>
    <w:rsid w:val="008C0659"/>
    <w:rsid w:val="008C0694"/>
    <w:rsid w:val="008C06A9"/>
    <w:rsid w:val="008C06D4"/>
    <w:rsid w:val="008C0706"/>
    <w:rsid w:val="008C075A"/>
    <w:rsid w:val="008C07A6"/>
    <w:rsid w:val="008C07BB"/>
    <w:rsid w:val="008C07BD"/>
    <w:rsid w:val="008C0831"/>
    <w:rsid w:val="008C087E"/>
    <w:rsid w:val="008C08A7"/>
    <w:rsid w:val="008C0909"/>
    <w:rsid w:val="008C0967"/>
    <w:rsid w:val="008C0974"/>
    <w:rsid w:val="008C09DB"/>
    <w:rsid w:val="008C09EB"/>
    <w:rsid w:val="008C0A08"/>
    <w:rsid w:val="008C0A32"/>
    <w:rsid w:val="008C0B13"/>
    <w:rsid w:val="008C0B3E"/>
    <w:rsid w:val="008C0B51"/>
    <w:rsid w:val="008C0B59"/>
    <w:rsid w:val="008C0BDF"/>
    <w:rsid w:val="008C0CB5"/>
    <w:rsid w:val="008C0CB8"/>
    <w:rsid w:val="008C0CE8"/>
    <w:rsid w:val="008C0D65"/>
    <w:rsid w:val="008C0E8C"/>
    <w:rsid w:val="008C0EF0"/>
    <w:rsid w:val="008C0F1C"/>
    <w:rsid w:val="008C0F3B"/>
    <w:rsid w:val="008C0FE0"/>
    <w:rsid w:val="008C1033"/>
    <w:rsid w:val="008C1056"/>
    <w:rsid w:val="008C10B2"/>
    <w:rsid w:val="008C10CA"/>
    <w:rsid w:val="008C10D2"/>
    <w:rsid w:val="008C1152"/>
    <w:rsid w:val="008C1220"/>
    <w:rsid w:val="008C124C"/>
    <w:rsid w:val="008C1251"/>
    <w:rsid w:val="008C1269"/>
    <w:rsid w:val="008C1285"/>
    <w:rsid w:val="008C131F"/>
    <w:rsid w:val="008C1340"/>
    <w:rsid w:val="008C1348"/>
    <w:rsid w:val="008C13B3"/>
    <w:rsid w:val="008C13D6"/>
    <w:rsid w:val="008C1503"/>
    <w:rsid w:val="008C1588"/>
    <w:rsid w:val="008C15AF"/>
    <w:rsid w:val="008C15D3"/>
    <w:rsid w:val="008C1699"/>
    <w:rsid w:val="008C1731"/>
    <w:rsid w:val="008C177A"/>
    <w:rsid w:val="008C17A5"/>
    <w:rsid w:val="008C17B7"/>
    <w:rsid w:val="008C17D9"/>
    <w:rsid w:val="008C185F"/>
    <w:rsid w:val="008C186C"/>
    <w:rsid w:val="008C1937"/>
    <w:rsid w:val="008C1943"/>
    <w:rsid w:val="008C1945"/>
    <w:rsid w:val="008C1954"/>
    <w:rsid w:val="008C1957"/>
    <w:rsid w:val="008C197E"/>
    <w:rsid w:val="008C1990"/>
    <w:rsid w:val="008C19DF"/>
    <w:rsid w:val="008C19E0"/>
    <w:rsid w:val="008C19E6"/>
    <w:rsid w:val="008C1A02"/>
    <w:rsid w:val="008C1B53"/>
    <w:rsid w:val="008C1BBC"/>
    <w:rsid w:val="008C1BC7"/>
    <w:rsid w:val="008C1C46"/>
    <w:rsid w:val="008C1CAC"/>
    <w:rsid w:val="008C1D19"/>
    <w:rsid w:val="008C1D24"/>
    <w:rsid w:val="008C1D45"/>
    <w:rsid w:val="008C1D5E"/>
    <w:rsid w:val="008C1E09"/>
    <w:rsid w:val="008C1EF2"/>
    <w:rsid w:val="008C1EF4"/>
    <w:rsid w:val="008C1F17"/>
    <w:rsid w:val="008C1F38"/>
    <w:rsid w:val="008C1F3B"/>
    <w:rsid w:val="008C1F42"/>
    <w:rsid w:val="008C1F92"/>
    <w:rsid w:val="008C1FCE"/>
    <w:rsid w:val="008C1FF3"/>
    <w:rsid w:val="008C205D"/>
    <w:rsid w:val="008C2062"/>
    <w:rsid w:val="008C20C3"/>
    <w:rsid w:val="008C2183"/>
    <w:rsid w:val="008C21B1"/>
    <w:rsid w:val="008C2273"/>
    <w:rsid w:val="008C228D"/>
    <w:rsid w:val="008C2292"/>
    <w:rsid w:val="008C2299"/>
    <w:rsid w:val="008C229A"/>
    <w:rsid w:val="008C22D4"/>
    <w:rsid w:val="008C22F9"/>
    <w:rsid w:val="008C2302"/>
    <w:rsid w:val="008C2399"/>
    <w:rsid w:val="008C23BF"/>
    <w:rsid w:val="008C23C3"/>
    <w:rsid w:val="008C2450"/>
    <w:rsid w:val="008C2488"/>
    <w:rsid w:val="008C24AA"/>
    <w:rsid w:val="008C24E1"/>
    <w:rsid w:val="008C24EF"/>
    <w:rsid w:val="008C24FC"/>
    <w:rsid w:val="008C254D"/>
    <w:rsid w:val="008C2561"/>
    <w:rsid w:val="008C25CD"/>
    <w:rsid w:val="008C26BB"/>
    <w:rsid w:val="008C2731"/>
    <w:rsid w:val="008C278D"/>
    <w:rsid w:val="008C27B4"/>
    <w:rsid w:val="008C2813"/>
    <w:rsid w:val="008C2866"/>
    <w:rsid w:val="008C289F"/>
    <w:rsid w:val="008C28D1"/>
    <w:rsid w:val="008C2A00"/>
    <w:rsid w:val="008C2A34"/>
    <w:rsid w:val="008C2A92"/>
    <w:rsid w:val="008C2AA0"/>
    <w:rsid w:val="008C2AE3"/>
    <w:rsid w:val="008C2BC8"/>
    <w:rsid w:val="008C2C7A"/>
    <w:rsid w:val="008C2CDA"/>
    <w:rsid w:val="008C2D76"/>
    <w:rsid w:val="008C2E87"/>
    <w:rsid w:val="008C2EB1"/>
    <w:rsid w:val="008C2F2A"/>
    <w:rsid w:val="008C2F37"/>
    <w:rsid w:val="008C2F56"/>
    <w:rsid w:val="008C2F7C"/>
    <w:rsid w:val="008C302E"/>
    <w:rsid w:val="008C3042"/>
    <w:rsid w:val="008C3061"/>
    <w:rsid w:val="008C306F"/>
    <w:rsid w:val="008C30AC"/>
    <w:rsid w:val="008C30E6"/>
    <w:rsid w:val="008C3173"/>
    <w:rsid w:val="008C3224"/>
    <w:rsid w:val="008C32F9"/>
    <w:rsid w:val="008C33CD"/>
    <w:rsid w:val="008C3487"/>
    <w:rsid w:val="008C3493"/>
    <w:rsid w:val="008C34C2"/>
    <w:rsid w:val="008C34D4"/>
    <w:rsid w:val="008C34E2"/>
    <w:rsid w:val="008C359A"/>
    <w:rsid w:val="008C3608"/>
    <w:rsid w:val="008C3612"/>
    <w:rsid w:val="008C3680"/>
    <w:rsid w:val="008C3705"/>
    <w:rsid w:val="008C3744"/>
    <w:rsid w:val="008C3768"/>
    <w:rsid w:val="008C3778"/>
    <w:rsid w:val="008C37D5"/>
    <w:rsid w:val="008C3828"/>
    <w:rsid w:val="008C38D4"/>
    <w:rsid w:val="008C3901"/>
    <w:rsid w:val="008C393A"/>
    <w:rsid w:val="008C394E"/>
    <w:rsid w:val="008C394F"/>
    <w:rsid w:val="008C39AC"/>
    <w:rsid w:val="008C39BC"/>
    <w:rsid w:val="008C39E5"/>
    <w:rsid w:val="008C3A2F"/>
    <w:rsid w:val="008C3A41"/>
    <w:rsid w:val="008C3A98"/>
    <w:rsid w:val="008C3B0B"/>
    <w:rsid w:val="008C3B27"/>
    <w:rsid w:val="008C3B7C"/>
    <w:rsid w:val="008C3B8A"/>
    <w:rsid w:val="008C3CB6"/>
    <w:rsid w:val="008C3CEA"/>
    <w:rsid w:val="008C3D4B"/>
    <w:rsid w:val="008C3D63"/>
    <w:rsid w:val="008C3D70"/>
    <w:rsid w:val="008C3D73"/>
    <w:rsid w:val="008C3DA3"/>
    <w:rsid w:val="008C3E27"/>
    <w:rsid w:val="008C3E52"/>
    <w:rsid w:val="008C3E98"/>
    <w:rsid w:val="008C3F07"/>
    <w:rsid w:val="008C3F11"/>
    <w:rsid w:val="008C3F90"/>
    <w:rsid w:val="008C3FB6"/>
    <w:rsid w:val="008C3FE3"/>
    <w:rsid w:val="008C3FF3"/>
    <w:rsid w:val="008C40EA"/>
    <w:rsid w:val="008C410A"/>
    <w:rsid w:val="008C410E"/>
    <w:rsid w:val="008C417B"/>
    <w:rsid w:val="008C4190"/>
    <w:rsid w:val="008C41AE"/>
    <w:rsid w:val="008C421E"/>
    <w:rsid w:val="008C432C"/>
    <w:rsid w:val="008C437F"/>
    <w:rsid w:val="008C4457"/>
    <w:rsid w:val="008C44F0"/>
    <w:rsid w:val="008C453D"/>
    <w:rsid w:val="008C45C9"/>
    <w:rsid w:val="008C460D"/>
    <w:rsid w:val="008C466D"/>
    <w:rsid w:val="008C4682"/>
    <w:rsid w:val="008C4762"/>
    <w:rsid w:val="008C4782"/>
    <w:rsid w:val="008C4848"/>
    <w:rsid w:val="008C4873"/>
    <w:rsid w:val="008C4877"/>
    <w:rsid w:val="008C48C8"/>
    <w:rsid w:val="008C490C"/>
    <w:rsid w:val="008C491B"/>
    <w:rsid w:val="008C4A38"/>
    <w:rsid w:val="008C4A5E"/>
    <w:rsid w:val="008C4A72"/>
    <w:rsid w:val="008C4A77"/>
    <w:rsid w:val="008C4A7F"/>
    <w:rsid w:val="008C4AD6"/>
    <w:rsid w:val="008C4AE1"/>
    <w:rsid w:val="008C4B24"/>
    <w:rsid w:val="008C4B55"/>
    <w:rsid w:val="008C4B96"/>
    <w:rsid w:val="008C4BD0"/>
    <w:rsid w:val="008C4CF7"/>
    <w:rsid w:val="008C4D04"/>
    <w:rsid w:val="008C4DB0"/>
    <w:rsid w:val="008C4DC0"/>
    <w:rsid w:val="008C4E53"/>
    <w:rsid w:val="008C4ED8"/>
    <w:rsid w:val="008C4F6E"/>
    <w:rsid w:val="008C50ED"/>
    <w:rsid w:val="008C5186"/>
    <w:rsid w:val="008C518D"/>
    <w:rsid w:val="008C5213"/>
    <w:rsid w:val="008C525D"/>
    <w:rsid w:val="008C52D9"/>
    <w:rsid w:val="008C52E7"/>
    <w:rsid w:val="008C5343"/>
    <w:rsid w:val="008C5351"/>
    <w:rsid w:val="008C535C"/>
    <w:rsid w:val="008C53C1"/>
    <w:rsid w:val="008C5430"/>
    <w:rsid w:val="008C5437"/>
    <w:rsid w:val="008C5444"/>
    <w:rsid w:val="008C5495"/>
    <w:rsid w:val="008C54BB"/>
    <w:rsid w:val="008C54CE"/>
    <w:rsid w:val="008C5526"/>
    <w:rsid w:val="008C562E"/>
    <w:rsid w:val="008C565F"/>
    <w:rsid w:val="008C5665"/>
    <w:rsid w:val="008C56C2"/>
    <w:rsid w:val="008C5756"/>
    <w:rsid w:val="008C578B"/>
    <w:rsid w:val="008C5818"/>
    <w:rsid w:val="008C58BA"/>
    <w:rsid w:val="008C59B4"/>
    <w:rsid w:val="008C59ED"/>
    <w:rsid w:val="008C59EE"/>
    <w:rsid w:val="008C5A01"/>
    <w:rsid w:val="008C5A52"/>
    <w:rsid w:val="008C5A64"/>
    <w:rsid w:val="008C5A6E"/>
    <w:rsid w:val="008C5A8F"/>
    <w:rsid w:val="008C5AC3"/>
    <w:rsid w:val="008C5AC7"/>
    <w:rsid w:val="008C5AD6"/>
    <w:rsid w:val="008C5BA9"/>
    <w:rsid w:val="008C5BCC"/>
    <w:rsid w:val="008C5BEC"/>
    <w:rsid w:val="008C5C3A"/>
    <w:rsid w:val="008C5C4D"/>
    <w:rsid w:val="008C5CBD"/>
    <w:rsid w:val="008C5CC5"/>
    <w:rsid w:val="008C5CCA"/>
    <w:rsid w:val="008C5CE8"/>
    <w:rsid w:val="008C5D00"/>
    <w:rsid w:val="008C5D0F"/>
    <w:rsid w:val="008C5D90"/>
    <w:rsid w:val="008C5D97"/>
    <w:rsid w:val="008C5DA7"/>
    <w:rsid w:val="008C5E18"/>
    <w:rsid w:val="008C5E8B"/>
    <w:rsid w:val="008C5F08"/>
    <w:rsid w:val="008C5F59"/>
    <w:rsid w:val="008C5F61"/>
    <w:rsid w:val="008C5FF2"/>
    <w:rsid w:val="008C5FFA"/>
    <w:rsid w:val="008C600E"/>
    <w:rsid w:val="008C6030"/>
    <w:rsid w:val="008C6100"/>
    <w:rsid w:val="008C6121"/>
    <w:rsid w:val="008C6124"/>
    <w:rsid w:val="008C61B2"/>
    <w:rsid w:val="008C6209"/>
    <w:rsid w:val="008C629C"/>
    <w:rsid w:val="008C62CA"/>
    <w:rsid w:val="008C6313"/>
    <w:rsid w:val="008C6316"/>
    <w:rsid w:val="008C6347"/>
    <w:rsid w:val="008C636B"/>
    <w:rsid w:val="008C6387"/>
    <w:rsid w:val="008C6393"/>
    <w:rsid w:val="008C63E8"/>
    <w:rsid w:val="008C6471"/>
    <w:rsid w:val="008C649B"/>
    <w:rsid w:val="008C65BA"/>
    <w:rsid w:val="008C65BD"/>
    <w:rsid w:val="008C65FC"/>
    <w:rsid w:val="008C6624"/>
    <w:rsid w:val="008C6714"/>
    <w:rsid w:val="008C6759"/>
    <w:rsid w:val="008C675F"/>
    <w:rsid w:val="008C6780"/>
    <w:rsid w:val="008C68BF"/>
    <w:rsid w:val="008C6901"/>
    <w:rsid w:val="008C6916"/>
    <w:rsid w:val="008C6A58"/>
    <w:rsid w:val="008C6ADD"/>
    <w:rsid w:val="008C6AFE"/>
    <w:rsid w:val="008C6B60"/>
    <w:rsid w:val="008C6B63"/>
    <w:rsid w:val="008C6B77"/>
    <w:rsid w:val="008C6BA8"/>
    <w:rsid w:val="008C6BB9"/>
    <w:rsid w:val="008C6BC9"/>
    <w:rsid w:val="008C6C05"/>
    <w:rsid w:val="008C6C24"/>
    <w:rsid w:val="008C6C36"/>
    <w:rsid w:val="008C6D58"/>
    <w:rsid w:val="008C6E27"/>
    <w:rsid w:val="008C6E9B"/>
    <w:rsid w:val="008C6EB9"/>
    <w:rsid w:val="008C6F92"/>
    <w:rsid w:val="008C703C"/>
    <w:rsid w:val="008C70C2"/>
    <w:rsid w:val="008C7131"/>
    <w:rsid w:val="008C7153"/>
    <w:rsid w:val="008C7175"/>
    <w:rsid w:val="008C7190"/>
    <w:rsid w:val="008C71C5"/>
    <w:rsid w:val="008C71FF"/>
    <w:rsid w:val="008C722F"/>
    <w:rsid w:val="008C7287"/>
    <w:rsid w:val="008C72AB"/>
    <w:rsid w:val="008C7369"/>
    <w:rsid w:val="008C7417"/>
    <w:rsid w:val="008C7457"/>
    <w:rsid w:val="008C7488"/>
    <w:rsid w:val="008C74C3"/>
    <w:rsid w:val="008C74C5"/>
    <w:rsid w:val="008C7545"/>
    <w:rsid w:val="008C75D3"/>
    <w:rsid w:val="008C75F4"/>
    <w:rsid w:val="008C7647"/>
    <w:rsid w:val="008C764B"/>
    <w:rsid w:val="008C7661"/>
    <w:rsid w:val="008C7689"/>
    <w:rsid w:val="008C768B"/>
    <w:rsid w:val="008C7693"/>
    <w:rsid w:val="008C76B9"/>
    <w:rsid w:val="008C76E0"/>
    <w:rsid w:val="008C7731"/>
    <w:rsid w:val="008C7785"/>
    <w:rsid w:val="008C77B6"/>
    <w:rsid w:val="008C781D"/>
    <w:rsid w:val="008C784B"/>
    <w:rsid w:val="008C7888"/>
    <w:rsid w:val="008C788D"/>
    <w:rsid w:val="008C78DD"/>
    <w:rsid w:val="008C78E4"/>
    <w:rsid w:val="008C78FF"/>
    <w:rsid w:val="008C7975"/>
    <w:rsid w:val="008C797E"/>
    <w:rsid w:val="008C7A05"/>
    <w:rsid w:val="008C7A18"/>
    <w:rsid w:val="008C7A30"/>
    <w:rsid w:val="008C7A49"/>
    <w:rsid w:val="008C7A67"/>
    <w:rsid w:val="008C7AEC"/>
    <w:rsid w:val="008C7B5A"/>
    <w:rsid w:val="008C7B9E"/>
    <w:rsid w:val="008C7BC9"/>
    <w:rsid w:val="008C7BEC"/>
    <w:rsid w:val="008C7C9A"/>
    <w:rsid w:val="008C7D1E"/>
    <w:rsid w:val="008C7D25"/>
    <w:rsid w:val="008C7D37"/>
    <w:rsid w:val="008C7D45"/>
    <w:rsid w:val="008C7D63"/>
    <w:rsid w:val="008C7D6B"/>
    <w:rsid w:val="008C7E17"/>
    <w:rsid w:val="008C7E19"/>
    <w:rsid w:val="008C7EBA"/>
    <w:rsid w:val="008C7F2B"/>
    <w:rsid w:val="008C7F33"/>
    <w:rsid w:val="008C7F64"/>
    <w:rsid w:val="008C7FA7"/>
    <w:rsid w:val="008C7FD2"/>
    <w:rsid w:val="008C7FD4"/>
    <w:rsid w:val="008C7FD5"/>
    <w:rsid w:val="008C7FD7"/>
    <w:rsid w:val="008D002E"/>
    <w:rsid w:val="008D004F"/>
    <w:rsid w:val="008D0099"/>
    <w:rsid w:val="008D00E7"/>
    <w:rsid w:val="008D00F0"/>
    <w:rsid w:val="008D012F"/>
    <w:rsid w:val="008D0136"/>
    <w:rsid w:val="008D016C"/>
    <w:rsid w:val="008D018E"/>
    <w:rsid w:val="008D01C5"/>
    <w:rsid w:val="008D01E4"/>
    <w:rsid w:val="008D026F"/>
    <w:rsid w:val="008D02CC"/>
    <w:rsid w:val="008D031C"/>
    <w:rsid w:val="008D03C7"/>
    <w:rsid w:val="008D03ED"/>
    <w:rsid w:val="008D0407"/>
    <w:rsid w:val="008D0445"/>
    <w:rsid w:val="008D04B8"/>
    <w:rsid w:val="008D04D0"/>
    <w:rsid w:val="008D0518"/>
    <w:rsid w:val="008D0522"/>
    <w:rsid w:val="008D0560"/>
    <w:rsid w:val="008D0639"/>
    <w:rsid w:val="008D06F4"/>
    <w:rsid w:val="008D0725"/>
    <w:rsid w:val="008D0733"/>
    <w:rsid w:val="008D075E"/>
    <w:rsid w:val="008D075F"/>
    <w:rsid w:val="008D0778"/>
    <w:rsid w:val="008D0781"/>
    <w:rsid w:val="008D07CD"/>
    <w:rsid w:val="008D07DC"/>
    <w:rsid w:val="008D07EF"/>
    <w:rsid w:val="008D082D"/>
    <w:rsid w:val="008D08C5"/>
    <w:rsid w:val="008D0931"/>
    <w:rsid w:val="008D097B"/>
    <w:rsid w:val="008D0999"/>
    <w:rsid w:val="008D0A99"/>
    <w:rsid w:val="008D0ABA"/>
    <w:rsid w:val="008D0BD3"/>
    <w:rsid w:val="008D0C37"/>
    <w:rsid w:val="008D0C71"/>
    <w:rsid w:val="008D0CBB"/>
    <w:rsid w:val="008D0D1A"/>
    <w:rsid w:val="008D0D5C"/>
    <w:rsid w:val="008D0D5D"/>
    <w:rsid w:val="008D0D71"/>
    <w:rsid w:val="008D0DB4"/>
    <w:rsid w:val="008D0DD1"/>
    <w:rsid w:val="008D0E06"/>
    <w:rsid w:val="008D0E19"/>
    <w:rsid w:val="008D0E33"/>
    <w:rsid w:val="008D0E51"/>
    <w:rsid w:val="008D0F5B"/>
    <w:rsid w:val="008D110A"/>
    <w:rsid w:val="008D111E"/>
    <w:rsid w:val="008D1139"/>
    <w:rsid w:val="008D118A"/>
    <w:rsid w:val="008D11A8"/>
    <w:rsid w:val="008D1221"/>
    <w:rsid w:val="008D123E"/>
    <w:rsid w:val="008D126B"/>
    <w:rsid w:val="008D128D"/>
    <w:rsid w:val="008D12A4"/>
    <w:rsid w:val="008D12CD"/>
    <w:rsid w:val="008D12E3"/>
    <w:rsid w:val="008D12FA"/>
    <w:rsid w:val="008D1314"/>
    <w:rsid w:val="008D1384"/>
    <w:rsid w:val="008D1388"/>
    <w:rsid w:val="008D13E6"/>
    <w:rsid w:val="008D1400"/>
    <w:rsid w:val="008D1440"/>
    <w:rsid w:val="008D150E"/>
    <w:rsid w:val="008D1518"/>
    <w:rsid w:val="008D160E"/>
    <w:rsid w:val="008D1617"/>
    <w:rsid w:val="008D1663"/>
    <w:rsid w:val="008D166D"/>
    <w:rsid w:val="008D16BE"/>
    <w:rsid w:val="008D170A"/>
    <w:rsid w:val="008D177A"/>
    <w:rsid w:val="008D1794"/>
    <w:rsid w:val="008D17A9"/>
    <w:rsid w:val="008D17C3"/>
    <w:rsid w:val="008D17FE"/>
    <w:rsid w:val="008D183A"/>
    <w:rsid w:val="008D1870"/>
    <w:rsid w:val="008D1880"/>
    <w:rsid w:val="008D18A6"/>
    <w:rsid w:val="008D18BA"/>
    <w:rsid w:val="008D18BB"/>
    <w:rsid w:val="008D1964"/>
    <w:rsid w:val="008D19A2"/>
    <w:rsid w:val="008D19BC"/>
    <w:rsid w:val="008D19D0"/>
    <w:rsid w:val="008D1A5D"/>
    <w:rsid w:val="008D1AED"/>
    <w:rsid w:val="008D1B22"/>
    <w:rsid w:val="008D1BAA"/>
    <w:rsid w:val="008D1BBB"/>
    <w:rsid w:val="008D1C72"/>
    <w:rsid w:val="008D1C7D"/>
    <w:rsid w:val="008D1D35"/>
    <w:rsid w:val="008D1D3F"/>
    <w:rsid w:val="008D1D43"/>
    <w:rsid w:val="008D1D4B"/>
    <w:rsid w:val="008D1D67"/>
    <w:rsid w:val="008D1D81"/>
    <w:rsid w:val="008D1DBF"/>
    <w:rsid w:val="008D1DD8"/>
    <w:rsid w:val="008D1DF6"/>
    <w:rsid w:val="008D1E1D"/>
    <w:rsid w:val="008D1E8B"/>
    <w:rsid w:val="008D1EA3"/>
    <w:rsid w:val="008D1ECC"/>
    <w:rsid w:val="008D1F31"/>
    <w:rsid w:val="008D1F64"/>
    <w:rsid w:val="008D1F77"/>
    <w:rsid w:val="008D1F84"/>
    <w:rsid w:val="008D1FAD"/>
    <w:rsid w:val="008D203B"/>
    <w:rsid w:val="008D20C4"/>
    <w:rsid w:val="008D2146"/>
    <w:rsid w:val="008D2164"/>
    <w:rsid w:val="008D2169"/>
    <w:rsid w:val="008D2189"/>
    <w:rsid w:val="008D21B7"/>
    <w:rsid w:val="008D221C"/>
    <w:rsid w:val="008D222E"/>
    <w:rsid w:val="008D22FA"/>
    <w:rsid w:val="008D236A"/>
    <w:rsid w:val="008D23D8"/>
    <w:rsid w:val="008D23D9"/>
    <w:rsid w:val="008D23DC"/>
    <w:rsid w:val="008D24A3"/>
    <w:rsid w:val="008D24C8"/>
    <w:rsid w:val="008D24CD"/>
    <w:rsid w:val="008D24D3"/>
    <w:rsid w:val="008D2522"/>
    <w:rsid w:val="008D253A"/>
    <w:rsid w:val="008D2588"/>
    <w:rsid w:val="008D25A7"/>
    <w:rsid w:val="008D25BD"/>
    <w:rsid w:val="008D2616"/>
    <w:rsid w:val="008D26AA"/>
    <w:rsid w:val="008D26DA"/>
    <w:rsid w:val="008D26F1"/>
    <w:rsid w:val="008D2719"/>
    <w:rsid w:val="008D273C"/>
    <w:rsid w:val="008D27B5"/>
    <w:rsid w:val="008D27F0"/>
    <w:rsid w:val="008D28A3"/>
    <w:rsid w:val="008D28ED"/>
    <w:rsid w:val="008D2988"/>
    <w:rsid w:val="008D29A1"/>
    <w:rsid w:val="008D2A63"/>
    <w:rsid w:val="008D2B04"/>
    <w:rsid w:val="008D2BAA"/>
    <w:rsid w:val="008D2BDC"/>
    <w:rsid w:val="008D2D7C"/>
    <w:rsid w:val="008D2DE0"/>
    <w:rsid w:val="008D2E29"/>
    <w:rsid w:val="008D2E6D"/>
    <w:rsid w:val="008D2EBC"/>
    <w:rsid w:val="008D2EDB"/>
    <w:rsid w:val="008D2F71"/>
    <w:rsid w:val="008D2F75"/>
    <w:rsid w:val="008D2F8A"/>
    <w:rsid w:val="008D2FA4"/>
    <w:rsid w:val="008D3011"/>
    <w:rsid w:val="008D3196"/>
    <w:rsid w:val="008D31EB"/>
    <w:rsid w:val="008D3247"/>
    <w:rsid w:val="008D3281"/>
    <w:rsid w:val="008D3297"/>
    <w:rsid w:val="008D32AA"/>
    <w:rsid w:val="008D330F"/>
    <w:rsid w:val="008D331F"/>
    <w:rsid w:val="008D339D"/>
    <w:rsid w:val="008D33AD"/>
    <w:rsid w:val="008D33C2"/>
    <w:rsid w:val="008D3441"/>
    <w:rsid w:val="008D3442"/>
    <w:rsid w:val="008D3454"/>
    <w:rsid w:val="008D3492"/>
    <w:rsid w:val="008D34D7"/>
    <w:rsid w:val="008D34E4"/>
    <w:rsid w:val="008D3518"/>
    <w:rsid w:val="008D3556"/>
    <w:rsid w:val="008D357F"/>
    <w:rsid w:val="008D35BF"/>
    <w:rsid w:val="008D35C8"/>
    <w:rsid w:val="008D3655"/>
    <w:rsid w:val="008D3669"/>
    <w:rsid w:val="008D3677"/>
    <w:rsid w:val="008D3682"/>
    <w:rsid w:val="008D36F1"/>
    <w:rsid w:val="008D3703"/>
    <w:rsid w:val="008D3735"/>
    <w:rsid w:val="008D376D"/>
    <w:rsid w:val="008D3780"/>
    <w:rsid w:val="008D3786"/>
    <w:rsid w:val="008D37C6"/>
    <w:rsid w:val="008D3864"/>
    <w:rsid w:val="008D3866"/>
    <w:rsid w:val="008D3883"/>
    <w:rsid w:val="008D38B7"/>
    <w:rsid w:val="008D38BF"/>
    <w:rsid w:val="008D3957"/>
    <w:rsid w:val="008D3988"/>
    <w:rsid w:val="008D39E6"/>
    <w:rsid w:val="008D39F0"/>
    <w:rsid w:val="008D39FB"/>
    <w:rsid w:val="008D39FC"/>
    <w:rsid w:val="008D3A98"/>
    <w:rsid w:val="008D3AB1"/>
    <w:rsid w:val="008D3B36"/>
    <w:rsid w:val="008D3BD6"/>
    <w:rsid w:val="008D3C23"/>
    <w:rsid w:val="008D3C7E"/>
    <w:rsid w:val="008D3D7E"/>
    <w:rsid w:val="008D3DDE"/>
    <w:rsid w:val="008D3DEC"/>
    <w:rsid w:val="008D3E05"/>
    <w:rsid w:val="008D3E09"/>
    <w:rsid w:val="008D3E73"/>
    <w:rsid w:val="008D3F09"/>
    <w:rsid w:val="008D3F33"/>
    <w:rsid w:val="008D4002"/>
    <w:rsid w:val="008D4031"/>
    <w:rsid w:val="008D4102"/>
    <w:rsid w:val="008D4127"/>
    <w:rsid w:val="008D4190"/>
    <w:rsid w:val="008D41B0"/>
    <w:rsid w:val="008D420D"/>
    <w:rsid w:val="008D4237"/>
    <w:rsid w:val="008D424A"/>
    <w:rsid w:val="008D4252"/>
    <w:rsid w:val="008D4292"/>
    <w:rsid w:val="008D42B6"/>
    <w:rsid w:val="008D42EE"/>
    <w:rsid w:val="008D42FE"/>
    <w:rsid w:val="008D43F0"/>
    <w:rsid w:val="008D4436"/>
    <w:rsid w:val="008D4495"/>
    <w:rsid w:val="008D4501"/>
    <w:rsid w:val="008D4508"/>
    <w:rsid w:val="008D450D"/>
    <w:rsid w:val="008D4561"/>
    <w:rsid w:val="008D45A8"/>
    <w:rsid w:val="008D45AD"/>
    <w:rsid w:val="008D4611"/>
    <w:rsid w:val="008D46BA"/>
    <w:rsid w:val="008D46F1"/>
    <w:rsid w:val="008D4771"/>
    <w:rsid w:val="008D4777"/>
    <w:rsid w:val="008D47D7"/>
    <w:rsid w:val="008D48A5"/>
    <w:rsid w:val="008D48D8"/>
    <w:rsid w:val="008D4922"/>
    <w:rsid w:val="008D498A"/>
    <w:rsid w:val="008D498F"/>
    <w:rsid w:val="008D49FA"/>
    <w:rsid w:val="008D4A37"/>
    <w:rsid w:val="008D4A3D"/>
    <w:rsid w:val="008D4AA2"/>
    <w:rsid w:val="008D4AB4"/>
    <w:rsid w:val="008D4B48"/>
    <w:rsid w:val="008D4B69"/>
    <w:rsid w:val="008D4BA9"/>
    <w:rsid w:val="008D4BB1"/>
    <w:rsid w:val="008D4BFD"/>
    <w:rsid w:val="008D4C45"/>
    <w:rsid w:val="008D4C7D"/>
    <w:rsid w:val="008D4CF6"/>
    <w:rsid w:val="008D4D4D"/>
    <w:rsid w:val="008D4DC3"/>
    <w:rsid w:val="008D4EE3"/>
    <w:rsid w:val="008D4F50"/>
    <w:rsid w:val="008D50CC"/>
    <w:rsid w:val="008D5149"/>
    <w:rsid w:val="008D51A6"/>
    <w:rsid w:val="008D51C0"/>
    <w:rsid w:val="008D51EA"/>
    <w:rsid w:val="008D5233"/>
    <w:rsid w:val="008D52BA"/>
    <w:rsid w:val="008D52CF"/>
    <w:rsid w:val="008D5394"/>
    <w:rsid w:val="008D53CA"/>
    <w:rsid w:val="008D5401"/>
    <w:rsid w:val="008D54C5"/>
    <w:rsid w:val="008D54ED"/>
    <w:rsid w:val="008D5518"/>
    <w:rsid w:val="008D5577"/>
    <w:rsid w:val="008D55E5"/>
    <w:rsid w:val="008D56E7"/>
    <w:rsid w:val="008D56F0"/>
    <w:rsid w:val="008D56FD"/>
    <w:rsid w:val="008D57B2"/>
    <w:rsid w:val="008D5835"/>
    <w:rsid w:val="008D588E"/>
    <w:rsid w:val="008D58DD"/>
    <w:rsid w:val="008D58F0"/>
    <w:rsid w:val="008D5900"/>
    <w:rsid w:val="008D599C"/>
    <w:rsid w:val="008D599F"/>
    <w:rsid w:val="008D5AC7"/>
    <w:rsid w:val="008D5BBA"/>
    <w:rsid w:val="008D5C35"/>
    <w:rsid w:val="008D5C52"/>
    <w:rsid w:val="008D5CB6"/>
    <w:rsid w:val="008D5CF1"/>
    <w:rsid w:val="008D5D7A"/>
    <w:rsid w:val="008D5D81"/>
    <w:rsid w:val="008D5D8F"/>
    <w:rsid w:val="008D5E50"/>
    <w:rsid w:val="008D5E95"/>
    <w:rsid w:val="008D5F78"/>
    <w:rsid w:val="008D5F89"/>
    <w:rsid w:val="008D5FD8"/>
    <w:rsid w:val="008D6003"/>
    <w:rsid w:val="008D6038"/>
    <w:rsid w:val="008D6099"/>
    <w:rsid w:val="008D60DA"/>
    <w:rsid w:val="008D60E4"/>
    <w:rsid w:val="008D611D"/>
    <w:rsid w:val="008D6153"/>
    <w:rsid w:val="008D6227"/>
    <w:rsid w:val="008D6337"/>
    <w:rsid w:val="008D63C0"/>
    <w:rsid w:val="008D63D3"/>
    <w:rsid w:val="008D63F7"/>
    <w:rsid w:val="008D642D"/>
    <w:rsid w:val="008D6453"/>
    <w:rsid w:val="008D646B"/>
    <w:rsid w:val="008D6490"/>
    <w:rsid w:val="008D64EF"/>
    <w:rsid w:val="008D650E"/>
    <w:rsid w:val="008D6517"/>
    <w:rsid w:val="008D6562"/>
    <w:rsid w:val="008D666E"/>
    <w:rsid w:val="008D667F"/>
    <w:rsid w:val="008D668B"/>
    <w:rsid w:val="008D66B1"/>
    <w:rsid w:val="008D66B3"/>
    <w:rsid w:val="008D673B"/>
    <w:rsid w:val="008D6754"/>
    <w:rsid w:val="008D6792"/>
    <w:rsid w:val="008D67AE"/>
    <w:rsid w:val="008D6837"/>
    <w:rsid w:val="008D6888"/>
    <w:rsid w:val="008D6906"/>
    <w:rsid w:val="008D69DF"/>
    <w:rsid w:val="008D6A94"/>
    <w:rsid w:val="008D6AB4"/>
    <w:rsid w:val="008D6B64"/>
    <w:rsid w:val="008D6B69"/>
    <w:rsid w:val="008D6B75"/>
    <w:rsid w:val="008D6BB2"/>
    <w:rsid w:val="008D6C2C"/>
    <w:rsid w:val="008D6CDF"/>
    <w:rsid w:val="008D6CF9"/>
    <w:rsid w:val="008D6D0C"/>
    <w:rsid w:val="008D6DCF"/>
    <w:rsid w:val="008D6E01"/>
    <w:rsid w:val="008D6E12"/>
    <w:rsid w:val="008D6E70"/>
    <w:rsid w:val="008D6EEA"/>
    <w:rsid w:val="008D6F31"/>
    <w:rsid w:val="008D7034"/>
    <w:rsid w:val="008D7116"/>
    <w:rsid w:val="008D7182"/>
    <w:rsid w:val="008D7189"/>
    <w:rsid w:val="008D71A0"/>
    <w:rsid w:val="008D72A8"/>
    <w:rsid w:val="008D72D8"/>
    <w:rsid w:val="008D72FB"/>
    <w:rsid w:val="008D738F"/>
    <w:rsid w:val="008D7452"/>
    <w:rsid w:val="008D753A"/>
    <w:rsid w:val="008D75A4"/>
    <w:rsid w:val="008D75BF"/>
    <w:rsid w:val="008D760A"/>
    <w:rsid w:val="008D7697"/>
    <w:rsid w:val="008D7727"/>
    <w:rsid w:val="008D775F"/>
    <w:rsid w:val="008D7763"/>
    <w:rsid w:val="008D7781"/>
    <w:rsid w:val="008D778A"/>
    <w:rsid w:val="008D7795"/>
    <w:rsid w:val="008D77D7"/>
    <w:rsid w:val="008D785A"/>
    <w:rsid w:val="008D786E"/>
    <w:rsid w:val="008D78E8"/>
    <w:rsid w:val="008D790D"/>
    <w:rsid w:val="008D791B"/>
    <w:rsid w:val="008D79F9"/>
    <w:rsid w:val="008D7A69"/>
    <w:rsid w:val="008D7AD9"/>
    <w:rsid w:val="008D7B12"/>
    <w:rsid w:val="008D7B70"/>
    <w:rsid w:val="008D7B7E"/>
    <w:rsid w:val="008D7BA3"/>
    <w:rsid w:val="008D7BDD"/>
    <w:rsid w:val="008D7C3D"/>
    <w:rsid w:val="008D7C54"/>
    <w:rsid w:val="008D7C6C"/>
    <w:rsid w:val="008D7C70"/>
    <w:rsid w:val="008D7C93"/>
    <w:rsid w:val="008D7CD8"/>
    <w:rsid w:val="008D7DE1"/>
    <w:rsid w:val="008D7E1B"/>
    <w:rsid w:val="008D7E2B"/>
    <w:rsid w:val="008D7E4C"/>
    <w:rsid w:val="008D7E8D"/>
    <w:rsid w:val="008D7F0B"/>
    <w:rsid w:val="008D7F39"/>
    <w:rsid w:val="008D7F86"/>
    <w:rsid w:val="008D7F9D"/>
    <w:rsid w:val="008D7FD6"/>
    <w:rsid w:val="008E00C0"/>
    <w:rsid w:val="008E00D0"/>
    <w:rsid w:val="008E00F3"/>
    <w:rsid w:val="008E01C3"/>
    <w:rsid w:val="008E0206"/>
    <w:rsid w:val="008E020D"/>
    <w:rsid w:val="008E0232"/>
    <w:rsid w:val="008E0263"/>
    <w:rsid w:val="008E0283"/>
    <w:rsid w:val="008E0286"/>
    <w:rsid w:val="008E02AB"/>
    <w:rsid w:val="008E0342"/>
    <w:rsid w:val="008E03BA"/>
    <w:rsid w:val="008E0467"/>
    <w:rsid w:val="008E0517"/>
    <w:rsid w:val="008E05AC"/>
    <w:rsid w:val="008E05B4"/>
    <w:rsid w:val="008E066A"/>
    <w:rsid w:val="008E068E"/>
    <w:rsid w:val="008E0700"/>
    <w:rsid w:val="008E072A"/>
    <w:rsid w:val="008E082E"/>
    <w:rsid w:val="008E0848"/>
    <w:rsid w:val="008E098B"/>
    <w:rsid w:val="008E09A5"/>
    <w:rsid w:val="008E09BE"/>
    <w:rsid w:val="008E09C0"/>
    <w:rsid w:val="008E0AE8"/>
    <w:rsid w:val="008E0B36"/>
    <w:rsid w:val="008E0BA1"/>
    <w:rsid w:val="008E0C28"/>
    <w:rsid w:val="008E0D1A"/>
    <w:rsid w:val="008E0D21"/>
    <w:rsid w:val="008E0D2E"/>
    <w:rsid w:val="008E0D9F"/>
    <w:rsid w:val="008E0DBB"/>
    <w:rsid w:val="008E0E10"/>
    <w:rsid w:val="008E0E37"/>
    <w:rsid w:val="008E0E5B"/>
    <w:rsid w:val="008E0EB4"/>
    <w:rsid w:val="008E0F6E"/>
    <w:rsid w:val="008E0F74"/>
    <w:rsid w:val="008E0F94"/>
    <w:rsid w:val="008E1109"/>
    <w:rsid w:val="008E111C"/>
    <w:rsid w:val="008E1204"/>
    <w:rsid w:val="008E122C"/>
    <w:rsid w:val="008E126C"/>
    <w:rsid w:val="008E12CC"/>
    <w:rsid w:val="008E13CD"/>
    <w:rsid w:val="008E13D2"/>
    <w:rsid w:val="008E1408"/>
    <w:rsid w:val="008E1410"/>
    <w:rsid w:val="008E14A1"/>
    <w:rsid w:val="008E14AF"/>
    <w:rsid w:val="008E15FC"/>
    <w:rsid w:val="008E1624"/>
    <w:rsid w:val="008E16D6"/>
    <w:rsid w:val="008E1757"/>
    <w:rsid w:val="008E177E"/>
    <w:rsid w:val="008E1792"/>
    <w:rsid w:val="008E181D"/>
    <w:rsid w:val="008E187B"/>
    <w:rsid w:val="008E188A"/>
    <w:rsid w:val="008E18CF"/>
    <w:rsid w:val="008E18E3"/>
    <w:rsid w:val="008E1919"/>
    <w:rsid w:val="008E1922"/>
    <w:rsid w:val="008E1927"/>
    <w:rsid w:val="008E1948"/>
    <w:rsid w:val="008E19D1"/>
    <w:rsid w:val="008E19DE"/>
    <w:rsid w:val="008E19FE"/>
    <w:rsid w:val="008E1A14"/>
    <w:rsid w:val="008E1A48"/>
    <w:rsid w:val="008E1A68"/>
    <w:rsid w:val="008E1A76"/>
    <w:rsid w:val="008E1AB4"/>
    <w:rsid w:val="008E1ACF"/>
    <w:rsid w:val="008E1B18"/>
    <w:rsid w:val="008E1B19"/>
    <w:rsid w:val="008E1BB8"/>
    <w:rsid w:val="008E1BD5"/>
    <w:rsid w:val="008E1C23"/>
    <w:rsid w:val="008E1C4C"/>
    <w:rsid w:val="008E1CFC"/>
    <w:rsid w:val="008E1D99"/>
    <w:rsid w:val="008E1DAF"/>
    <w:rsid w:val="008E1E1D"/>
    <w:rsid w:val="008E1E49"/>
    <w:rsid w:val="008E1EBA"/>
    <w:rsid w:val="008E1ED3"/>
    <w:rsid w:val="008E1ED9"/>
    <w:rsid w:val="008E1EF8"/>
    <w:rsid w:val="008E1F2D"/>
    <w:rsid w:val="008E1F3D"/>
    <w:rsid w:val="008E1F74"/>
    <w:rsid w:val="008E1FF6"/>
    <w:rsid w:val="008E204B"/>
    <w:rsid w:val="008E2076"/>
    <w:rsid w:val="008E2092"/>
    <w:rsid w:val="008E20AD"/>
    <w:rsid w:val="008E20E4"/>
    <w:rsid w:val="008E20F2"/>
    <w:rsid w:val="008E216C"/>
    <w:rsid w:val="008E2183"/>
    <w:rsid w:val="008E225B"/>
    <w:rsid w:val="008E22BB"/>
    <w:rsid w:val="008E2326"/>
    <w:rsid w:val="008E234B"/>
    <w:rsid w:val="008E239F"/>
    <w:rsid w:val="008E23C0"/>
    <w:rsid w:val="008E23E7"/>
    <w:rsid w:val="008E2427"/>
    <w:rsid w:val="008E2513"/>
    <w:rsid w:val="008E2530"/>
    <w:rsid w:val="008E257A"/>
    <w:rsid w:val="008E2589"/>
    <w:rsid w:val="008E25BB"/>
    <w:rsid w:val="008E25C3"/>
    <w:rsid w:val="008E2623"/>
    <w:rsid w:val="008E262A"/>
    <w:rsid w:val="008E2654"/>
    <w:rsid w:val="008E266C"/>
    <w:rsid w:val="008E2729"/>
    <w:rsid w:val="008E274E"/>
    <w:rsid w:val="008E27DA"/>
    <w:rsid w:val="008E27E2"/>
    <w:rsid w:val="008E27E8"/>
    <w:rsid w:val="008E281F"/>
    <w:rsid w:val="008E28CE"/>
    <w:rsid w:val="008E28DF"/>
    <w:rsid w:val="008E28E7"/>
    <w:rsid w:val="008E28F3"/>
    <w:rsid w:val="008E2980"/>
    <w:rsid w:val="008E2A09"/>
    <w:rsid w:val="008E2A0D"/>
    <w:rsid w:val="008E2A29"/>
    <w:rsid w:val="008E2A3E"/>
    <w:rsid w:val="008E2A41"/>
    <w:rsid w:val="008E2A5F"/>
    <w:rsid w:val="008E2AC8"/>
    <w:rsid w:val="008E2B26"/>
    <w:rsid w:val="008E2B4B"/>
    <w:rsid w:val="008E2B53"/>
    <w:rsid w:val="008E2B90"/>
    <w:rsid w:val="008E2C62"/>
    <w:rsid w:val="008E2C8C"/>
    <w:rsid w:val="008E2CA0"/>
    <w:rsid w:val="008E2D22"/>
    <w:rsid w:val="008E2D90"/>
    <w:rsid w:val="008E2DB2"/>
    <w:rsid w:val="008E2EE8"/>
    <w:rsid w:val="008E2EED"/>
    <w:rsid w:val="008E2F9F"/>
    <w:rsid w:val="008E3017"/>
    <w:rsid w:val="008E3021"/>
    <w:rsid w:val="008E30B8"/>
    <w:rsid w:val="008E30C7"/>
    <w:rsid w:val="008E3178"/>
    <w:rsid w:val="008E3201"/>
    <w:rsid w:val="008E321B"/>
    <w:rsid w:val="008E3228"/>
    <w:rsid w:val="008E3237"/>
    <w:rsid w:val="008E3258"/>
    <w:rsid w:val="008E3266"/>
    <w:rsid w:val="008E327F"/>
    <w:rsid w:val="008E3291"/>
    <w:rsid w:val="008E329F"/>
    <w:rsid w:val="008E32A1"/>
    <w:rsid w:val="008E32B2"/>
    <w:rsid w:val="008E3350"/>
    <w:rsid w:val="008E33B6"/>
    <w:rsid w:val="008E3432"/>
    <w:rsid w:val="008E348B"/>
    <w:rsid w:val="008E34EA"/>
    <w:rsid w:val="008E35A9"/>
    <w:rsid w:val="008E35BD"/>
    <w:rsid w:val="008E35BE"/>
    <w:rsid w:val="008E35C6"/>
    <w:rsid w:val="008E3627"/>
    <w:rsid w:val="008E36AB"/>
    <w:rsid w:val="008E36D5"/>
    <w:rsid w:val="008E3703"/>
    <w:rsid w:val="008E3790"/>
    <w:rsid w:val="008E3826"/>
    <w:rsid w:val="008E383C"/>
    <w:rsid w:val="008E386E"/>
    <w:rsid w:val="008E387A"/>
    <w:rsid w:val="008E3893"/>
    <w:rsid w:val="008E38B6"/>
    <w:rsid w:val="008E38BE"/>
    <w:rsid w:val="008E38C0"/>
    <w:rsid w:val="008E38F1"/>
    <w:rsid w:val="008E39C5"/>
    <w:rsid w:val="008E39DE"/>
    <w:rsid w:val="008E3A36"/>
    <w:rsid w:val="008E3A4F"/>
    <w:rsid w:val="008E3A6F"/>
    <w:rsid w:val="008E3AE5"/>
    <w:rsid w:val="008E3B13"/>
    <w:rsid w:val="008E3B52"/>
    <w:rsid w:val="008E3B6D"/>
    <w:rsid w:val="008E3C15"/>
    <w:rsid w:val="008E3C78"/>
    <w:rsid w:val="008E3CA0"/>
    <w:rsid w:val="008E3CBA"/>
    <w:rsid w:val="008E3CBC"/>
    <w:rsid w:val="008E3CE9"/>
    <w:rsid w:val="008E3D69"/>
    <w:rsid w:val="008E3D85"/>
    <w:rsid w:val="008E3E03"/>
    <w:rsid w:val="008E3E68"/>
    <w:rsid w:val="008E3EA3"/>
    <w:rsid w:val="008E3EA4"/>
    <w:rsid w:val="008E3ED4"/>
    <w:rsid w:val="008E3F15"/>
    <w:rsid w:val="008E3F3A"/>
    <w:rsid w:val="008E404B"/>
    <w:rsid w:val="008E4070"/>
    <w:rsid w:val="008E4082"/>
    <w:rsid w:val="008E4094"/>
    <w:rsid w:val="008E40A4"/>
    <w:rsid w:val="008E40D9"/>
    <w:rsid w:val="008E418D"/>
    <w:rsid w:val="008E428D"/>
    <w:rsid w:val="008E4305"/>
    <w:rsid w:val="008E4316"/>
    <w:rsid w:val="008E436D"/>
    <w:rsid w:val="008E437A"/>
    <w:rsid w:val="008E445D"/>
    <w:rsid w:val="008E451B"/>
    <w:rsid w:val="008E4526"/>
    <w:rsid w:val="008E452C"/>
    <w:rsid w:val="008E4562"/>
    <w:rsid w:val="008E460E"/>
    <w:rsid w:val="008E4625"/>
    <w:rsid w:val="008E46A0"/>
    <w:rsid w:val="008E46E2"/>
    <w:rsid w:val="008E474B"/>
    <w:rsid w:val="008E47B0"/>
    <w:rsid w:val="008E47C6"/>
    <w:rsid w:val="008E4828"/>
    <w:rsid w:val="008E4834"/>
    <w:rsid w:val="008E4845"/>
    <w:rsid w:val="008E4876"/>
    <w:rsid w:val="008E4992"/>
    <w:rsid w:val="008E49B0"/>
    <w:rsid w:val="008E49B6"/>
    <w:rsid w:val="008E49B7"/>
    <w:rsid w:val="008E49D6"/>
    <w:rsid w:val="008E4A4E"/>
    <w:rsid w:val="008E4B0E"/>
    <w:rsid w:val="008E4B3F"/>
    <w:rsid w:val="008E4BA1"/>
    <w:rsid w:val="008E4C02"/>
    <w:rsid w:val="008E4C1B"/>
    <w:rsid w:val="008E4C1D"/>
    <w:rsid w:val="008E4C2D"/>
    <w:rsid w:val="008E4C2E"/>
    <w:rsid w:val="008E4C31"/>
    <w:rsid w:val="008E4CA3"/>
    <w:rsid w:val="008E4CD9"/>
    <w:rsid w:val="008E4D26"/>
    <w:rsid w:val="008E4D5B"/>
    <w:rsid w:val="008E4DAF"/>
    <w:rsid w:val="008E4DF8"/>
    <w:rsid w:val="008E4E35"/>
    <w:rsid w:val="008E4E84"/>
    <w:rsid w:val="008E4EAD"/>
    <w:rsid w:val="008E4F74"/>
    <w:rsid w:val="008E4FC3"/>
    <w:rsid w:val="008E500F"/>
    <w:rsid w:val="008E505B"/>
    <w:rsid w:val="008E5060"/>
    <w:rsid w:val="008E507F"/>
    <w:rsid w:val="008E50A6"/>
    <w:rsid w:val="008E50B5"/>
    <w:rsid w:val="008E512E"/>
    <w:rsid w:val="008E515E"/>
    <w:rsid w:val="008E5196"/>
    <w:rsid w:val="008E521E"/>
    <w:rsid w:val="008E5294"/>
    <w:rsid w:val="008E5339"/>
    <w:rsid w:val="008E5384"/>
    <w:rsid w:val="008E539C"/>
    <w:rsid w:val="008E539F"/>
    <w:rsid w:val="008E53B9"/>
    <w:rsid w:val="008E53DB"/>
    <w:rsid w:val="008E53FF"/>
    <w:rsid w:val="008E540A"/>
    <w:rsid w:val="008E543A"/>
    <w:rsid w:val="008E54C0"/>
    <w:rsid w:val="008E54CA"/>
    <w:rsid w:val="008E555A"/>
    <w:rsid w:val="008E5590"/>
    <w:rsid w:val="008E55B3"/>
    <w:rsid w:val="008E55C9"/>
    <w:rsid w:val="008E5635"/>
    <w:rsid w:val="008E56DA"/>
    <w:rsid w:val="008E56E1"/>
    <w:rsid w:val="008E5794"/>
    <w:rsid w:val="008E57BD"/>
    <w:rsid w:val="008E582C"/>
    <w:rsid w:val="008E589A"/>
    <w:rsid w:val="008E58F5"/>
    <w:rsid w:val="008E5947"/>
    <w:rsid w:val="008E5A63"/>
    <w:rsid w:val="008E5A6F"/>
    <w:rsid w:val="008E5AC4"/>
    <w:rsid w:val="008E5AD7"/>
    <w:rsid w:val="008E5ADE"/>
    <w:rsid w:val="008E5B34"/>
    <w:rsid w:val="008E5B96"/>
    <w:rsid w:val="008E5BF7"/>
    <w:rsid w:val="008E5C18"/>
    <w:rsid w:val="008E5C72"/>
    <w:rsid w:val="008E5D73"/>
    <w:rsid w:val="008E5D93"/>
    <w:rsid w:val="008E5D97"/>
    <w:rsid w:val="008E5D9F"/>
    <w:rsid w:val="008E5DDD"/>
    <w:rsid w:val="008E5E05"/>
    <w:rsid w:val="008E5E16"/>
    <w:rsid w:val="008E5E1B"/>
    <w:rsid w:val="008E5E64"/>
    <w:rsid w:val="008E5E66"/>
    <w:rsid w:val="008E5E9E"/>
    <w:rsid w:val="008E5EE8"/>
    <w:rsid w:val="008E5F97"/>
    <w:rsid w:val="008E5FD2"/>
    <w:rsid w:val="008E602E"/>
    <w:rsid w:val="008E603A"/>
    <w:rsid w:val="008E60D7"/>
    <w:rsid w:val="008E60D8"/>
    <w:rsid w:val="008E60EE"/>
    <w:rsid w:val="008E6217"/>
    <w:rsid w:val="008E624C"/>
    <w:rsid w:val="008E62FE"/>
    <w:rsid w:val="008E637C"/>
    <w:rsid w:val="008E6401"/>
    <w:rsid w:val="008E64A5"/>
    <w:rsid w:val="008E64CD"/>
    <w:rsid w:val="008E6503"/>
    <w:rsid w:val="008E652B"/>
    <w:rsid w:val="008E65E1"/>
    <w:rsid w:val="008E662B"/>
    <w:rsid w:val="008E6739"/>
    <w:rsid w:val="008E6765"/>
    <w:rsid w:val="008E6786"/>
    <w:rsid w:val="008E6787"/>
    <w:rsid w:val="008E681B"/>
    <w:rsid w:val="008E682E"/>
    <w:rsid w:val="008E6839"/>
    <w:rsid w:val="008E685E"/>
    <w:rsid w:val="008E687B"/>
    <w:rsid w:val="008E6965"/>
    <w:rsid w:val="008E69DB"/>
    <w:rsid w:val="008E6A4D"/>
    <w:rsid w:val="008E6A75"/>
    <w:rsid w:val="008E6A93"/>
    <w:rsid w:val="008E6AAA"/>
    <w:rsid w:val="008E6B52"/>
    <w:rsid w:val="008E6BF7"/>
    <w:rsid w:val="008E6C13"/>
    <w:rsid w:val="008E6C6E"/>
    <w:rsid w:val="008E6C8C"/>
    <w:rsid w:val="008E6CB1"/>
    <w:rsid w:val="008E6CC6"/>
    <w:rsid w:val="008E6D10"/>
    <w:rsid w:val="008E6D9C"/>
    <w:rsid w:val="008E6DAF"/>
    <w:rsid w:val="008E6DDB"/>
    <w:rsid w:val="008E6E35"/>
    <w:rsid w:val="008E6E5E"/>
    <w:rsid w:val="008E6E7D"/>
    <w:rsid w:val="008E6EDC"/>
    <w:rsid w:val="008E6F3F"/>
    <w:rsid w:val="008E6F97"/>
    <w:rsid w:val="008E6FAA"/>
    <w:rsid w:val="008E7032"/>
    <w:rsid w:val="008E7077"/>
    <w:rsid w:val="008E7099"/>
    <w:rsid w:val="008E70E2"/>
    <w:rsid w:val="008E70FE"/>
    <w:rsid w:val="008E7157"/>
    <w:rsid w:val="008E71DD"/>
    <w:rsid w:val="008E7219"/>
    <w:rsid w:val="008E7232"/>
    <w:rsid w:val="008E726F"/>
    <w:rsid w:val="008E7301"/>
    <w:rsid w:val="008E732E"/>
    <w:rsid w:val="008E7340"/>
    <w:rsid w:val="008E7389"/>
    <w:rsid w:val="008E738C"/>
    <w:rsid w:val="008E73CB"/>
    <w:rsid w:val="008E7403"/>
    <w:rsid w:val="008E748A"/>
    <w:rsid w:val="008E749D"/>
    <w:rsid w:val="008E7526"/>
    <w:rsid w:val="008E7542"/>
    <w:rsid w:val="008E756A"/>
    <w:rsid w:val="008E759E"/>
    <w:rsid w:val="008E7618"/>
    <w:rsid w:val="008E7620"/>
    <w:rsid w:val="008E764E"/>
    <w:rsid w:val="008E76AA"/>
    <w:rsid w:val="008E76E0"/>
    <w:rsid w:val="008E76F7"/>
    <w:rsid w:val="008E7724"/>
    <w:rsid w:val="008E77CF"/>
    <w:rsid w:val="008E7834"/>
    <w:rsid w:val="008E7890"/>
    <w:rsid w:val="008E78D3"/>
    <w:rsid w:val="008E78D4"/>
    <w:rsid w:val="008E790D"/>
    <w:rsid w:val="008E799E"/>
    <w:rsid w:val="008E79B2"/>
    <w:rsid w:val="008E79BD"/>
    <w:rsid w:val="008E79C7"/>
    <w:rsid w:val="008E7A3D"/>
    <w:rsid w:val="008E7ADB"/>
    <w:rsid w:val="008E7AEF"/>
    <w:rsid w:val="008E7B48"/>
    <w:rsid w:val="008E7B64"/>
    <w:rsid w:val="008E7B6C"/>
    <w:rsid w:val="008E7BC6"/>
    <w:rsid w:val="008E7BED"/>
    <w:rsid w:val="008E7C39"/>
    <w:rsid w:val="008E7C4B"/>
    <w:rsid w:val="008E7C57"/>
    <w:rsid w:val="008E7C62"/>
    <w:rsid w:val="008E7CAE"/>
    <w:rsid w:val="008E7CC7"/>
    <w:rsid w:val="008E7D1F"/>
    <w:rsid w:val="008E7DA2"/>
    <w:rsid w:val="008E7E8C"/>
    <w:rsid w:val="008E7E95"/>
    <w:rsid w:val="008E7EFE"/>
    <w:rsid w:val="008E7F3A"/>
    <w:rsid w:val="008E7F45"/>
    <w:rsid w:val="008E7F55"/>
    <w:rsid w:val="008E7FB8"/>
    <w:rsid w:val="008F0091"/>
    <w:rsid w:val="008F00C3"/>
    <w:rsid w:val="008F00C5"/>
    <w:rsid w:val="008F00DE"/>
    <w:rsid w:val="008F011F"/>
    <w:rsid w:val="008F0197"/>
    <w:rsid w:val="008F0222"/>
    <w:rsid w:val="008F0297"/>
    <w:rsid w:val="008F02A8"/>
    <w:rsid w:val="008F02B3"/>
    <w:rsid w:val="008F02B4"/>
    <w:rsid w:val="008F02D5"/>
    <w:rsid w:val="008F0337"/>
    <w:rsid w:val="008F038D"/>
    <w:rsid w:val="008F03AF"/>
    <w:rsid w:val="008F03EB"/>
    <w:rsid w:val="008F03F9"/>
    <w:rsid w:val="008F0459"/>
    <w:rsid w:val="008F0479"/>
    <w:rsid w:val="008F04BC"/>
    <w:rsid w:val="008F0530"/>
    <w:rsid w:val="008F0538"/>
    <w:rsid w:val="008F055E"/>
    <w:rsid w:val="008F0560"/>
    <w:rsid w:val="008F0598"/>
    <w:rsid w:val="008F05DF"/>
    <w:rsid w:val="008F0684"/>
    <w:rsid w:val="008F06F8"/>
    <w:rsid w:val="008F0706"/>
    <w:rsid w:val="008F0795"/>
    <w:rsid w:val="008F07BC"/>
    <w:rsid w:val="008F07C8"/>
    <w:rsid w:val="008F07D7"/>
    <w:rsid w:val="008F07FA"/>
    <w:rsid w:val="008F084E"/>
    <w:rsid w:val="008F097F"/>
    <w:rsid w:val="008F09F4"/>
    <w:rsid w:val="008F0A19"/>
    <w:rsid w:val="008F0A2B"/>
    <w:rsid w:val="008F0A85"/>
    <w:rsid w:val="008F0A94"/>
    <w:rsid w:val="008F0B42"/>
    <w:rsid w:val="008F0BF2"/>
    <w:rsid w:val="008F0C0F"/>
    <w:rsid w:val="008F0CA8"/>
    <w:rsid w:val="008F0CB2"/>
    <w:rsid w:val="008F0CB4"/>
    <w:rsid w:val="008F0CF3"/>
    <w:rsid w:val="008F0CF4"/>
    <w:rsid w:val="008F0D02"/>
    <w:rsid w:val="008F0D0B"/>
    <w:rsid w:val="008F0D52"/>
    <w:rsid w:val="008F0DAC"/>
    <w:rsid w:val="008F0E15"/>
    <w:rsid w:val="008F0E23"/>
    <w:rsid w:val="008F0E7A"/>
    <w:rsid w:val="008F0E84"/>
    <w:rsid w:val="008F0E99"/>
    <w:rsid w:val="008F0EAF"/>
    <w:rsid w:val="008F0ECF"/>
    <w:rsid w:val="008F0F00"/>
    <w:rsid w:val="008F0F42"/>
    <w:rsid w:val="008F0F59"/>
    <w:rsid w:val="008F0FF5"/>
    <w:rsid w:val="008F1056"/>
    <w:rsid w:val="008F1091"/>
    <w:rsid w:val="008F109B"/>
    <w:rsid w:val="008F10EA"/>
    <w:rsid w:val="008F10F3"/>
    <w:rsid w:val="008F118C"/>
    <w:rsid w:val="008F11D0"/>
    <w:rsid w:val="008F1236"/>
    <w:rsid w:val="008F1294"/>
    <w:rsid w:val="008F12E9"/>
    <w:rsid w:val="008F1325"/>
    <w:rsid w:val="008F13FC"/>
    <w:rsid w:val="008F1423"/>
    <w:rsid w:val="008F1441"/>
    <w:rsid w:val="008F1470"/>
    <w:rsid w:val="008F1497"/>
    <w:rsid w:val="008F14B8"/>
    <w:rsid w:val="008F1559"/>
    <w:rsid w:val="008F1561"/>
    <w:rsid w:val="008F156F"/>
    <w:rsid w:val="008F157C"/>
    <w:rsid w:val="008F1585"/>
    <w:rsid w:val="008F168F"/>
    <w:rsid w:val="008F16CA"/>
    <w:rsid w:val="008F16E0"/>
    <w:rsid w:val="008F16E6"/>
    <w:rsid w:val="008F1758"/>
    <w:rsid w:val="008F1874"/>
    <w:rsid w:val="008F18CA"/>
    <w:rsid w:val="008F18F3"/>
    <w:rsid w:val="008F1937"/>
    <w:rsid w:val="008F1A03"/>
    <w:rsid w:val="008F1A3B"/>
    <w:rsid w:val="008F1A89"/>
    <w:rsid w:val="008F1A91"/>
    <w:rsid w:val="008F1B5D"/>
    <w:rsid w:val="008F1B8E"/>
    <w:rsid w:val="008F1C1A"/>
    <w:rsid w:val="008F1C8C"/>
    <w:rsid w:val="008F1D0B"/>
    <w:rsid w:val="008F1D51"/>
    <w:rsid w:val="008F1D7A"/>
    <w:rsid w:val="008F1E53"/>
    <w:rsid w:val="008F1E74"/>
    <w:rsid w:val="008F1E78"/>
    <w:rsid w:val="008F1E7D"/>
    <w:rsid w:val="008F1EC3"/>
    <w:rsid w:val="008F1EE6"/>
    <w:rsid w:val="008F1F12"/>
    <w:rsid w:val="008F1F2A"/>
    <w:rsid w:val="008F1F51"/>
    <w:rsid w:val="008F1F79"/>
    <w:rsid w:val="008F1FD4"/>
    <w:rsid w:val="008F2019"/>
    <w:rsid w:val="008F206A"/>
    <w:rsid w:val="008F2143"/>
    <w:rsid w:val="008F216D"/>
    <w:rsid w:val="008F21F3"/>
    <w:rsid w:val="008F22A1"/>
    <w:rsid w:val="008F22BC"/>
    <w:rsid w:val="008F2323"/>
    <w:rsid w:val="008F2328"/>
    <w:rsid w:val="008F238B"/>
    <w:rsid w:val="008F23A7"/>
    <w:rsid w:val="008F243B"/>
    <w:rsid w:val="008F2452"/>
    <w:rsid w:val="008F2482"/>
    <w:rsid w:val="008F24A6"/>
    <w:rsid w:val="008F24A8"/>
    <w:rsid w:val="008F24E5"/>
    <w:rsid w:val="008F2579"/>
    <w:rsid w:val="008F25E3"/>
    <w:rsid w:val="008F2693"/>
    <w:rsid w:val="008F26D2"/>
    <w:rsid w:val="008F273B"/>
    <w:rsid w:val="008F2765"/>
    <w:rsid w:val="008F2766"/>
    <w:rsid w:val="008F27AB"/>
    <w:rsid w:val="008F27C4"/>
    <w:rsid w:val="008F27C8"/>
    <w:rsid w:val="008F282C"/>
    <w:rsid w:val="008F287D"/>
    <w:rsid w:val="008F28CC"/>
    <w:rsid w:val="008F2917"/>
    <w:rsid w:val="008F2A53"/>
    <w:rsid w:val="008F2ABC"/>
    <w:rsid w:val="008F2AD8"/>
    <w:rsid w:val="008F2AFB"/>
    <w:rsid w:val="008F2B69"/>
    <w:rsid w:val="008F2B77"/>
    <w:rsid w:val="008F2BCA"/>
    <w:rsid w:val="008F2BCF"/>
    <w:rsid w:val="008F2C54"/>
    <w:rsid w:val="008F2C6B"/>
    <w:rsid w:val="008F2CD6"/>
    <w:rsid w:val="008F2CE7"/>
    <w:rsid w:val="008F2D16"/>
    <w:rsid w:val="008F2D70"/>
    <w:rsid w:val="008F2D7A"/>
    <w:rsid w:val="008F2DD9"/>
    <w:rsid w:val="008F2E13"/>
    <w:rsid w:val="008F2E18"/>
    <w:rsid w:val="008F2E30"/>
    <w:rsid w:val="008F2E85"/>
    <w:rsid w:val="008F2E9D"/>
    <w:rsid w:val="008F2EBC"/>
    <w:rsid w:val="008F2EFE"/>
    <w:rsid w:val="008F2F24"/>
    <w:rsid w:val="008F2F3E"/>
    <w:rsid w:val="008F2F4D"/>
    <w:rsid w:val="008F2FA1"/>
    <w:rsid w:val="008F2FAF"/>
    <w:rsid w:val="008F2FED"/>
    <w:rsid w:val="008F3003"/>
    <w:rsid w:val="008F307B"/>
    <w:rsid w:val="008F30DF"/>
    <w:rsid w:val="008F31AC"/>
    <w:rsid w:val="008F3242"/>
    <w:rsid w:val="008F3243"/>
    <w:rsid w:val="008F3244"/>
    <w:rsid w:val="008F3266"/>
    <w:rsid w:val="008F3295"/>
    <w:rsid w:val="008F32E6"/>
    <w:rsid w:val="008F331A"/>
    <w:rsid w:val="008F334F"/>
    <w:rsid w:val="008F338E"/>
    <w:rsid w:val="008F33F2"/>
    <w:rsid w:val="008F3465"/>
    <w:rsid w:val="008F34E8"/>
    <w:rsid w:val="008F353F"/>
    <w:rsid w:val="008F3689"/>
    <w:rsid w:val="008F36D6"/>
    <w:rsid w:val="008F371E"/>
    <w:rsid w:val="008F3743"/>
    <w:rsid w:val="008F3747"/>
    <w:rsid w:val="008F3755"/>
    <w:rsid w:val="008F3767"/>
    <w:rsid w:val="008F3769"/>
    <w:rsid w:val="008F37C3"/>
    <w:rsid w:val="008F37EE"/>
    <w:rsid w:val="008F381F"/>
    <w:rsid w:val="008F3851"/>
    <w:rsid w:val="008F385B"/>
    <w:rsid w:val="008F3871"/>
    <w:rsid w:val="008F3890"/>
    <w:rsid w:val="008F3910"/>
    <w:rsid w:val="008F3918"/>
    <w:rsid w:val="008F3938"/>
    <w:rsid w:val="008F393C"/>
    <w:rsid w:val="008F3952"/>
    <w:rsid w:val="008F399A"/>
    <w:rsid w:val="008F39DD"/>
    <w:rsid w:val="008F3A7C"/>
    <w:rsid w:val="008F3A83"/>
    <w:rsid w:val="008F3A9D"/>
    <w:rsid w:val="008F3ACF"/>
    <w:rsid w:val="008F3AED"/>
    <w:rsid w:val="008F3BCA"/>
    <w:rsid w:val="008F3BCD"/>
    <w:rsid w:val="008F3C1A"/>
    <w:rsid w:val="008F3C2B"/>
    <w:rsid w:val="008F3D0D"/>
    <w:rsid w:val="008F3D91"/>
    <w:rsid w:val="008F3E20"/>
    <w:rsid w:val="008F3E69"/>
    <w:rsid w:val="008F3E7F"/>
    <w:rsid w:val="008F3F70"/>
    <w:rsid w:val="008F3F73"/>
    <w:rsid w:val="008F3FA4"/>
    <w:rsid w:val="008F4087"/>
    <w:rsid w:val="008F41C5"/>
    <w:rsid w:val="008F428E"/>
    <w:rsid w:val="008F429D"/>
    <w:rsid w:val="008F42B4"/>
    <w:rsid w:val="008F433C"/>
    <w:rsid w:val="008F434E"/>
    <w:rsid w:val="008F4388"/>
    <w:rsid w:val="008F43E5"/>
    <w:rsid w:val="008F43FD"/>
    <w:rsid w:val="008F441B"/>
    <w:rsid w:val="008F44B2"/>
    <w:rsid w:val="008F4503"/>
    <w:rsid w:val="008F45F4"/>
    <w:rsid w:val="008F4627"/>
    <w:rsid w:val="008F4641"/>
    <w:rsid w:val="008F4668"/>
    <w:rsid w:val="008F4674"/>
    <w:rsid w:val="008F4698"/>
    <w:rsid w:val="008F4711"/>
    <w:rsid w:val="008F4736"/>
    <w:rsid w:val="008F47AD"/>
    <w:rsid w:val="008F47AF"/>
    <w:rsid w:val="008F48AE"/>
    <w:rsid w:val="008F48D5"/>
    <w:rsid w:val="008F499E"/>
    <w:rsid w:val="008F4A0B"/>
    <w:rsid w:val="008F4A35"/>
    <w:rsid w:val="008F4A5F"/>
    <w:rsid w:val="008F4AA4"/>
    <w:rsid w:val="008F4AB1"/>
    <w:rsid w:val="008F4B0D"/>
    <w:rsid w:val="008F4B83"/>
    <w:rsid w:val="008F4B9E"/>
    <w:rsid w:val="008F4C66"/>
    <w:rsid w:val="008F4C7E"/>
    <w:rsid w:val="008F4CD2"/>
    <w:rsid w:val="008F4CE1"/>
    <w:rsid w:val="008F4D47"/>
    <w:rsid w:val="008F4D63"/>
    <w:rsid w:val="008F4DA3"/>
    <w:rsid w:val="008F4DB4"/>
    <w:rsid w:val="008F4EB2"/>
    <w:rsid w:val="008F4EB6"/>
    <w:rsid w:val="008F4EB7"/>
    <w:rsid w:val="008F4EBA"/>
    <w:rsid w:val="008F4F34"/>
    <w:rsid w:val="008F4F5E"/>
    <w:rsid w:val="008F4F8F"/>
    <w:rsid w:val="008F4FB6"/>
    <w:rsid w:val="008F4FCF"/>
    <w:rsid w:val="008F4FE6"/>
    <w:rsid w:val="008F4FFF"/>
    <w:rsid w:val="008F500F"/>
    <w:rsid w:val="008F501F"/>
    <w:rsid w:val="008F502D"/>
    <w:rsid w:val="008F5058"/>
    <w:rsid w:val="008F50E7"/>
    <w:rsid w:val="008F5103"/>
    <w:rsid w:val="008F5113"/>
    <w:rsid w:val="008F512A"/>
    <w:rsid w:val="008F5192"/>
    <w:rsid w:val="008F51C3"/>
    <w:rsid w:val="008F520C"/>
    <w:rsid w:val="008F5265"/>
    <w:rsid w:val="008F52B9"/>
    <w:rsid w:val="008F52C8"/>
    <w:rsid w:val="008F52CA"/>
    <w:rsid w:val="008F52D8"/>
    <w:rsid w:val="008F52F1"/>
    <w:rsid w:val="008F531D"/>
    <w:rsid w:val="008F535E"/>
    <w:rsid w:val="008F535F"/>
    <w:rsid w:val="008F53BC"/>
    <w:rsid w:val="008F5430"/>
    <w:rsid w:val="008F5498"/>
    <w:rsid w:val="008F54C8"/>
    <w:rsid w:val="008F5530"/>
    <w:rsid w:val="008F5555"/>
    <w:rsid w:val="008F559C"/>
    <w:rsid w:val="008F55B1"/>
    <w:rsid w:val="008F55CB"/>
    <w:rsid w:val="008F5623"/>
    <w:rsid w:val="008F5641"/>
    <w:rsid w:val="008F5680"/>
    <w:rsid w:val="008F56BF"/>
    <w:rsid w:val="008F5714"/>
    <w:rsid w:val="008F57B6"/>
    <w:rsid w:val="008F5818"/>
    <w:rsid w:val="008F5821"/>
    <w:rsid w:val="008F58B3"/>
    <w:rsid w:val="008F58D6"/>
    <w:rsid w:val="008F5918"/>
    <w:rsid w:val="008F594C"/>
    <w:rsid w:val="008F599A"/>
    <w:rsid w:val="008F5A21"/>
    <w:rsid w:val="008F5A92"/>
    <w:rsid w:val="008F5B68"/>
    <w:rsid w:val="008F5B6F"/>
    <w:rsid w:val="008F5B94"/>
    <w:rsid w:val="008F5B99"/>
    <w:rsid w:val="008F5BE7"/>
    <w:rsid w:val="008F5BF2"/>
    <w:rsid w:val="008F5BFF"/>
    <w:rsid w:val="008F5C16"/>
    <w:rsid w:val="008F5C91"/>
    <w:rsid w:val="008F5CB3"/>
    <w:rsid w:val="008F5D25"/>
    <w:rsid w:val="008F5D2C"/>
    <w:rsid w:val="008F5D5E"/>
    <w:rsid w:val="008F5D78"/>
    <w:rsid w:val="008F5D7C"/>
    <w:rsid w:val="008F5DD4"/>
    <w:rsid w:val="008F5DF6"/>
    <w:rsid w:val="008F5E20"/>
    <w:rsid w:val="008F5E91"/>
    <w:rsid w:val="008F5F4E"/>
    <w:rsid w:val="008F5F71"/>
    <w:rsid w:val="008F5F9A"/>
    <w:rsid w:val="008F5FA7"/>
    <w:rsid w:val="008F5FB3"/>
    <w:rsid w:val="008F5FC2"/>
    <w:rsid w:val="008F5FE4"/>
    <w:rsid w:val="008F602D"/>
    <w:rsid w:val="008F604C"/>
    <w:rsid w:val="008F6083"/>
    <w:rsid w:val="008F6088"/>
    <w:rsid w:val="008F60DF"/>
    <w:rsid w:val="008F60EC"/>
    <w:rsid w:val="008F610C"/>
    <w:rsid w:val="008F6223"/>
    <w:rsid w:val="008F6224"/>
    <w:rsid w:val="008F6241"/>
    <w:rsid w:val="008F627F"/>
    <w:rsid w:val="008F62D7"/>
    <w:rsid w:val="008F6329"/>
    <w:rsid w:val="008F6354"/>
    <w:rsid w:val="008F6367"/>
    <w:rsid w:val="008F645C"/>
    <w:rsid w:val="008F64C2"/>
    <w:rsid w:val="008F6505"/>
    <w:rsid w:val="008F651C"/>
    <w:rsid w:val="008F656C"/>
    <w:rsid w:val="008F65F4"/>
    <w:rsid w:val="008F6625"/>
    <w:rsid w:val="008F664B"/>
    <w:rsid w:val="008F66E1"/>
    <w:rsid w:val="008F6716"/>
    <w:rsid w:val="008F6721"/>
    <w:rsid w:val="008F67BE"/>
    <w:rsid w:val="008F67C7"/>
    <w:rsid w:val="008F67E4"/>
    <w:rsid w:val="008F67FA"/>
    <w:rsid w:val="008F67FB"/>
    <w:rsid w:val="008F68E6"/>
    <w:rsid w:val="008F6944"/>
    <w:rsid w:val="008F69D9"/>
    <w:rsid w:val="008F69DF"/>
    <w:rsid w:val="008F69E4"/>
    <w:rsid w:val="008F69FF"/>
    <w:rsid w:val="008F6A97"/>
    <w:rsid w:val="008F6B4B"/>
    <w:rsid w:val="008F6B6E"/>
    <w:rsid w:val="008F6B96"/>
    <w:rsid w:val="008F6BB0"/>
    <w:rsid w:val="008F6BBD"/>
    <w:rsid w:val="008F6BCB"/>
    <w:rsid w:val="008F6C49"/>
    <w:rsid w:val="008F6C5D"/>
    <w:rsid w:val="008F6C64"/>
    <w:rsid w:val="008F6CAF"/>
    <w:rsid w:val="008F6D11"/>
    <w:rsid w:val="008F6D27"/>
    <w:rsid w:val="008F6D28"/>
    <w:rsid w:val="008F6D84"/>
    <w:rsid w:val="008F6DA2"/>
    <w:rsid w:val="008F6DDE"/>
    <w:rsid w:val="008F6E00"/>
    <w:rsid w:val="008F6E3B"/>
    <w:rsid w:val="008F6EEB"/>
    <w:rsid w:val="008F6F7F"/>
    <w:rsid w:val="008F6FA0"/>
    <w:rsid w:val="008F7020"/>
    <w:rsid w:val="008F70AC"/>
    <w:rsid w:val="008F71B1"/>
    <w:rsid w:val="008F71F8"/>
    <w:rsid w:val="008F7257"/>
    <w:rsid w:val="008F72B7"/>
    <w:rsid w:val="008F7302"/>
    <w:rsid w:val="008F735E"/>
    <w:rsid w:val="008F73E3"/>
    <w:rsid w:val="008F74EF"/>
    <w:rsid w:val="008F75C0"/>
    <w:rsid w:val="008F75CE"/>
    <w:rsid w:val="008F75E6"/>
    <w:rsid w:val="008F75F9"/>
    <w:rsid w:val="008F7606"/>
    <w:rsid w:val="008F7631"/>
    <w:rsid w:val="008F76D0"/>
    <w:rsid w:val="008F770D"/>
    <w:rsid w:val="008F771C"/>
    <w:rsid w:val="008F773E"/>
    <w:rsid w:val="008F777C"/>
    <w:rsid w:val="008F778A"/>
    <w:rsid w:val="008F7821"/>
    <w:rsid w:val="008F7852"/>
    <w:rsid w:val="008F78B8"/>
    <w:rsid w:val="008F790C"/>
    <w:rsid w:val="008F7968"/>
    <w:rsid w:val="008F7986"/>
    <w:rsid w:val="008F798C"/>
    <w:rsid w:val="008F79E4"/>
    <w:rsid w:val="008F7A2D"/>
    <w:rsid w:val="008F7AB7"/>
    <w:rsid w:val="008F7B24"/>
    <w:rsid w:val="008F7B2C"/>
    <w:rsid w:val="008F7B2F"/>
    <w:rsid w:val="008F7B69"/>
    <w:rsid w:val="008F7B7E"/>
    <w:rsid w:val="008F7BA2"/>
    <w:rsid w:val="008F7BEF"/>
    <w:rsid w:val="008F7C26"/>
    <w:rsid w:val="008F7C2C"/>
    <w:rsid w:val="008F7C48"/>
    <w:rsid w:val="008F7C57"/>
    <w:rsid w:val="008F7C73"/>
    <w:rsid w:val="008F7CC7"/>
    <w:rsid w:val="008F7CD6"/>
    <w:rsid w:val="008F7CE0"/>
    <w:rsid w:val="008F7D55"/>
    <w:rsid w:val="008F7DA5"/>
    <w:rsid w:val="008F7DA8"/>
    <w:rsid w:val="008F7DD5"/>
    <w:rsid w:val="008F7DE8"/>
    <w:rsid w:val="008F7E15"/>
    <w:rsid w:val="008F7EBB"/>
    <w:rsid w:val="008F7ECA"/>
    <w:rsid w:val="008F7EF1"/>
    <w:rsid w:val="008F7F52"/>
    <w:rsid w:val="008F7F7F"/>
    <w:rsid w:val="008F7FBE"/>
    <w:rsid w:val="00900024"/>
    <w:rsid w:val="00900112"/>
    <w:rsid w:val="00900155"/>
    <w:rsid w:val="00900322"/>
    <w:rsid w:val="0090035E"/>
    <w:rsid w:val="009003F6"/>
    <w:rsid w:val="00900411"/>
    <w:rsid w:val="00900436"/>
    <w:rsid w:val="00900488"/>
    <w:rsid w:val="009004F3"/>
    <w:rsid w:val="00900502"/>
    <w:rsid w:val="009005BB"/>
    <w:rsid w:val="009005C2"/>
    <w:rsid w:val="00900696"/>
    <w:rsid w:val="009006DF"/>
    <w:rsid w:val="0090070C"/>
    <w:rsid w:val="0090073D"/>
    <w:rsid w:val="00900750"/>
    <w:rsid w:val="009007B0"/>
    <w:rsid w:val="009007C4"/>
    <w:rsid w:val="009007CB"/>
    <w:rsid w:val="00900806"/>
    <w:rsid w:val="0090080C"/>
    <w:rsid w:val="00900829"/>
    <w:rsid w:val="00900832"/>
    <w:rsid w:val="0090088D"/>
    <w:rsid w:val="00900895"/>
    <w:rsid w:val="009008E1"/>
    <w:rsid w:val="00900907"/>
    <w:rsid w:val="00900973"/>
    <w:rsid w:val="00900988"/>
    <w:rsid w:val="00900A2C"/>
    <w:rsid w:val="00900B6A"/>
    <w:rsid w:val="00900B92"/>
    <w:rsid w:val="00900BEA"/>
    <w:rsid w:val="00900BFA"/>
    <w:rsid w:val="00900C5C"/>
    <w:rsid w:val="00900DC0"/>
    <w:rsid w:val="00900DDE"/>
    <w:rsid w:val="00900DEF"/>
    <w:rsid w:val="00900DFB"/>
    <w:rsid w:val="00900E03"/>
    <w:rsid w:val="00900E35"/>
    <w:rsid w:val="00900E47"/>
    <w:rsid w:val="00900E9A"/>
    <w:rsid w:val="00900EB2"/>
    <w:rsid w:val="00900EF6"/>
    <w:rsid w:val="00900F42"/>
    <w:rsid w:val="00901007"/>
    <w:rsid w:val="00901040"/>
    <w:rsid w:val="009010A8"/>
    <w:rsid w:val="00901156"/>
    <w:rsid w:val="009011DA"/>
    <w:rsid w:val="009011F6"/>
    <w:rsid w:val="00901231"/>
    <w:rsid w:val="0090127E"/>
    <w:rsid w:val="00901285"/>
    <w:rsid w:val="009012BE"/>
    <w:rsid w:val="00901335"/>
    <w:rsid w:val="0090141A"/>
    <w:rsid w:val="0090144B"/>
    <w:rsid w:val="009014D6"/>
    <w:rsid w:val="00901524"/>
    <w:rsid w:val="00901538"/>
    <w:rsid w:val="00901576"/>
    <w:rsid w:val="009015B2"/>
    <w:rsid w:val="009015CB"/>
    <w:rsid w:val="009015DB"/>
    <w:rsid w:val="009015DE"/>
    <w:rsid w:val="009015ED"/>
    <w:rsid w:val="009016A2"/>
    <w:rsid w:val="009016E4"/>
    <w:rsid w:val="00901727"/>
    <w:rsid w:val="0090172B"/>
    <w:rsid w:val="00901870"/>
    <w:rsid w:val="009018D8"/>
    <w:rsid w:val="009018DB"/>
    <w:rsid w:val="00901950"/>
    <w:rsid w:val="00901972"/>
    <w:rsid w:val="00901978"/>
    <w:rsid w:val="00901A9A"/>
    <w:rsid w:val="00901A9C"/>
    <w:rsid w:val="00901AC8"/>
    <w:rsid w:val="00901AE8"/>
    <w:rsid w:val="00901BD8"/>
    <w:rsid w:val="00901C0A"/>
    <w:rsid w:val="00901C28"/>
    <w:rsid w:val="00901C51"/>
    <w:rsid w:val="00901CA4"/>
    <w:rsid w:val="00901DA1"/>
    <w:rsid w:val="00901DB1"/>
    <w:rsid w:val="00901DD3"/>
    <w:rsid w:val="00901E78"/>
    <w:rsid w:val="00901E7C"/>
    <w:rsid w:val="00901ED9"/>
    <w:rsid w:val="00901F97"/>
    <w:rsid w:val="00901FA6"/>
    <w:rsid w:val="00901FE6"/>
    <w:rsid w:val="00902004"/>
    <w:rsid w:val="009020A4"/>
    <w:rsid w:val="009020A7"/>
    <w:rsid w:val="009020AB"/>
    <w:rsid w:val="00902128"/>
    <w:rsid w:val="0090214E"/>
    <w:rsid w:val="00902226"/>
    <w:rsid w:val="00902288"/>
    <w:rsid w:val="0090229E"/>
    <w:rsid w:val="009022D1"/>
    <w:rsid w:val="00902321"/>
    <w:rsid w:val="009023B2"/>
    <w:rsid w:val="0090243C"/>
    <w:rsid w:val="009024F5"/>
    <w:rsid w:val="00902519"/>
    <w:rsid w:val="009025CA"/>
    <w:rsid w:val="009025F0"/>
    <w:rsid w:val="0090261C"/>
    <w:rsid w:val="00902628"/>
    <w:rsid w:val="0090268C"/>
    <w:rsid w:val="009026B4"/>
    <w:rsid w:val="009026D0"/>
    <w:rsid w:val="009026F1"/>
    <w:rsid w:val="00902705"/>
    <w:rsid w:val="00902738"/>
    <w:rsid w:val="00902754"/>
    <w:rsid w:val="009027E4"/>
    <w:rsid w:val="009027EC"/>
    <w:rsid w:val="009027FD"/>
    <w:rsid w:val="0090280A"/>
    <w:rsid w:val="0090280D"/>
    <w:rsid w:val="009028E0"/>
    <w:rsid w:val="009028E2"/>
    <w:rsid w:val="0090291B"/>
    <w:rsid w:val="00902927"/>
    <w:rsid w:val="00902940"/>
    <w:rsid w:val="009029B4"/>
    <w:rsid w:val="009029E3"/>
    <w:rsid w:val="009029F1"/>
    <w:rsid w:val="00902A21"/>
    <w:rsid w:val="00902AE1"/>
    <w:rsid w:val="00902B09"/>
    <w:rsid w:val="00902B38"/>
    <w:rsid w:val="00902B50"/>
    <w:rsid w:val="00902BAD"/>
    <w:rsid w:val="00902BDC"/>
    <w:rsid w:val="00902BEA"/>
    <w:rsid w:val="00902C25"/>
    <w:rsid w:val="00902C4A"/>
    <w:rsid w:val="00902C78"/>
    <w:rsid w:val="00902D3B"/>
    <w:rsid w:val="00902D3F"/>
    <w:rsid w:val="00902D76"/>
    <w:rsid w:val="00902E2E"/>
    <w:rsid w:val="00902E7B"/>
    <w:rsid w:val="00902E7D"/>
    <w:rsid w:val="00902E96"/>
    <w:rsid w:val="00902EB0"/>
    <w:rsid w:val="00902F17"/>
    <w:rsid w:val="00902F3A"/>
    <w:rsid w:val="0090300F"/>
    <w:rsid w:val="00903086"/>
    <w:rsid w:val="009030D9"/>
    <w:rsid w:val="009030F5"/>
    <w:rsid w:val="009030FF"/>
    <w:rsid w:val="009031CC"/>
    <w:rsid w:val="0090328B"/>
    <w:rsid w:val="00903439"/>
    <w:rsid w:val="0090343D"/>
    <w:rsid w:val="00903449"/>
    <w:rsid w:val="00903486"/>
    <w:rsid w:val="0090349D"/>
    <w:rsid w:val="0090350F"/>
    <w:rsid w:val="0090355F"/>
    <w:rsid w:val="009035C6"/>
    <w:rsid w:val="009035F7"/>
    <w:rsid w:val="0090360F"/>
    <w:rsid w:val="00903613"/>
    <w:rsid w:val="0090362F"/>
    <w:rsid w:val="00903645"/>
    <w:rsid w:val="00903689"/>
    <w:rsid w:val="009036B1"/>
    <w:rsid w:val="009036DE"/>
    <w:rsid w:val="00903744"/>
    <w:rsid w:val="009037A4"/>
    <w:rsid w:val="009037F2"/>
    <w:rsid w:val="00903838"/>
    <w:rsid w:val="0090387A"/>
    <w:rsid w:val="009038DD"/>
    <w:rsid w:val="0090393A"/>
    <w:rsid w:val="0090395F"/>
    <w:rsid w:val="009039B2"/>
    <w:rsid w:val="00903A3E"/>
    <w:rsid w:val="00903AE2"/>
    <w:rsid w:val="00903B10"/>
    <w:rsid w:val="00903B6B"/>
    <w:rsid w:val="00903B9E"/>
    <w:rsid w:val="00903C92"/>
    <w:rsid w:val="00903D68"/>
    <w:rsid w:val="00903DCF"/>
    <w:rsid w:val="00903E3B"/>
    <w:rsid w:val="00903F7C"/>
    <w:rsid w:val="00903FC2"/>
    <w:rsid w:val="00903FDB"/>
    <w:rsid w:val="0090400A"/>
    <w:rsid w:val="0090401A"/>
    <w:rsid w:val="00904020"/>
    <w:rsid w:val="0090413C"/>
    <w:rsid w:val="0090413F"/>
    <w:rsid w:val="00904169"/>
    <w:rsid w:val="00904175"/>
    <w:rsid w:val="009041D4"/>
    <w:rsid w:val="009041F9"/>
    <w:rsid w:val="0090421A"/>
    <w:rsid w:val="0090424F"/>
    <w:rsid w:val="009042AA"/>
    <w:rsid w:val="009042B4"/>
    <w:rsid w:val="009042E5"/>
    <w:rsid w:val="009043A2"/>
    <w:rsid w:val="0090442D"/>
    <w:rsid w:val="00904473"/>
    <w:rsid w:val="009044A7"/>
    <w:rsid w:val="00904519"/>
    <w:rsid w:val="0090452C"/>
    <w:rsid w:val="009045E7"/>
    <w:rsid w:val="009045EE"/>
    <w:rsid w:val="0090460A"/>
    <w:rsid w:val="0090466E"/>
    <w:rsid w:val="0090467F"/>
    <w:rsid w:val="009046B2"/>
    <w:rsid w:val="0090474A"/>
    <w:rsid w:val="0090477E"/>
    <w:rsid w:val="009047D2"/>
    <w:rsid w:val="00904812"/>
    <w:rsid w:val="0090481F"/>
    <w:rsid w:val="00904832"/>
    <w:rsid w:val="0090486D"/>
    <w:rsid w:val="009048D5"/>
    <w:rsid w:val="00904926"/>
    <w:rsid w:val="00904934"/>
    <w:rsid w:val="009049DF"/>
    <w:rsid w:val="00904A09"/>
    <w:rsid w:val="00904A10"/>
    <w:rsid w:val="00904A43"/>
    <w:rsid w:val="00904AC9"/>
    <w:rsid w:val="00904B7B"/>
    <w:rsid w:val="00904BA8"/>
    <w:rsid w:val="00904BBD"/>
    <w:rsid w:val="00904BBF"/>
    <w:rsid w:val="00904BEC"/>
    <w:rsid w:val="00904D2B"/>
    <w:rsid w:val="00904D31"/>
    <w:rsid w:val="00904DB6"/>
    <w:rsid w:val="00904E46"/>
    <w:rsid w:val="00904ED8"/>
    <w:rsid w:val="00904F00"/>
    <w:rsid w:val="00904F02"/>
    <w:rsid w:val="00904F70"/>
    <w:rsid w:val="0090513E"/>
    <w:rsid w:val="009051F7"/>
    <w:rsid w:val="00905203"/>
    <w:rsid w:val="0090521D"/>
    <w:rsid w:val="009052D4"/>
    <w:rsid w:val="00905324"/>
    <w:rsid w:val="00905327"/>
    <w:rsid w:val="0090533F"/>
    <w:rsid w:val="00905350"/>
    <w:rsid w:val="0090537B"/>
    <w:rsid w:val="0090538D"/>
    <w:rsid w:val="009053C2"/>
    <w:rsid w:val="009053F6"/>
    <w:rsid w:val="009054BB"/>
    <w:rsid w:val="009054D3"/>
    <w:rsid w:val="009054EE"/>
    <w:rsid w:val="00905544"/>
    <w:rsid w:val="00905572"/>
    <w:rsid w:val="009055C7"/>
    <w:rsid w:val="00905638"/>
    <w:rsid w:val="00905658"/>
    <w:rsid w:val="009056A6"/>
    <w:rsid w:val="009056AF"/>
    <w:rsid w:val="009056DF"/>
    <w:rsid w:val="0090575F"/>
    <w:rsid w:val="009057B4"/>
    <w:rsid w:val="009057C9"/>
    <w:rsid w:val="009058B9"/>
    <w:rsid w:val="009058E7"/>
    <w:rsid w:val="009058FA"/>
    <w:rsid w:val="00905905"/>
    <w:rsid w:val="00905934"/>
    <w:rsid w:val="00905979"/>
    <w:rsid w:val="00905AA4"/>
    <w:rsid w:val="00905AB3"/>
    <w:rsid w:val="00905B05"/>
    <w:rsid w:val="00905B9B"/>
    <w:rsid w:val="00905BF7"/>
    <w:rsid w:val="00905C02"/>
    <w:rsid w:val="00905C6E"/>
    <w:rsid w:val="00905C93"/>
    <w:rsid w:val="00905CB2"/>
    <w:rsid w:val="00905CC2"/>
    <w:rsid w:val="00905D4B"/>
    <w:rsid w:val="00905E25"/>
    <w:rsid w:val="00905E3D"/>
    <w:rsid w:val="00905E9E"/>
    <w:rsid w:val="00905ED2"/>
    <w:rsid w:val="00905ED8"/>
    <w:rsid w:val="00905EF9"/>
    <w:rsid w:val="00905F36"/>
    <w:rsid w:val="00905F42"/>
    <w:rsid w:val="00905F98"/>
    <w:rsid w:val="00905FFD"/>
    <w:rsid w:val="00906016"/>
    <w:rsid w:val="00906042"/>
    <w:rsid w:val="0090604A"/>
    <w:rsid w:val="0090607A"/>
    <w:rsid w:val="00906084"/>
    <w:rsid w:val="0090609B"/>
    <w:rsid w:val="009060B8"/>
    <w:rsid w:val="009060DF"/>
    <w:rsid w:val="0090614A"/>
    <w:rsid w:val="00906151"/>
    <w:rsid w:val="00906194"/>
    <w:rsid w:val="0090619D"/>
    <w:rsid w:val="00906313"/>
    <w:rsid w:val="00906339"/>
    <w:rsid w:val="009063ED"/>
    <w:rsid w:val="009063F1"/>
    <w:rsid w:val="0090643A"/>
    <w:rsid w:val="009064C4"/>
    <w:rsid w:val="009064E9"/>
    <w:rsid w:val="00906528"/>
    <w:rsid w:val="00906530"/>
    <w:rsid w:val="009065C5"/>
    <w:rsid w:val="00906600"/>
    <w:rsid w:val="00906615"/>
    <w:rsid w:val="00906659"/>
    <w:rsid w:val="0090666B"/>
    <w:rsid w:val="00906693"/>
    <w:rsid w:val="0090669B"/>
    <w:rsid w:val="009066B6"/>
    <w:rsid w:val="009066C7"/>
    <w:rsid w:val="0090672C"/>
    <w:rsid w:val="00906731"/>
    <w:rsid w:val="00906779"/>
    <w:rsid w:val="00906786"/>
    <w:rsid w:val="009067B3"/>
    <w:rsid w:val="0090683F"/>
    <w:rsid w:val="00906846"/>
    <w:rsid w:val="00906855"/>
    <w:rsid w:val="00906895"/>
    <w:rsid w:val="00906961"/>
    <w:rsid w:val="0090699E"/>
    <w:rsid w:val="009069BB"/>
    <w:rsid w:val="009069FA"/>
    <w:rsid w:val="00906A58"/>
    <w:rsid w:val="00906A9B"/>
    <w:rsid w:val="00906ABC"/>
    <w:rsid w:val="00906ABE"/>
    <w:rsid w:val="00906ADC"/>
    <w:rsid w:val="00906B29"/>
    <w:rsid w:val="00906B35"/>
    <w:rsid w:val="00906B54"/>
    <w:rsid w:val="00906BDC"/>
    <w:rsid w:val="00906BDD"/>
    <w:rsid w:val="00906BFD"/>
    <w:rsid w:val="00906CDB"/>
    <w:rsid w:val="00906CF3"/>
    <w:rsid w:val="00906E80"/>
    <w:rsid w:val="00906E91"/>
    <w:rsid w:val="00906EBF"/>
    <w:rsid w:val="00906F1C"/>
    <w:rsid w:val="00906F2D"/>
    <w:rsid w:val="00906F45"/>
    <w:rsid w:val="00906F81"/>
    <w:rsid w:val="00906FE5"/>
    <w:rsid w:val="00907036"/>
    <w:rsid w:val="009070AB"/>
    <w:rsid w:val="009070CE"/>
    <w:rsid w:val="0090710F"/>
    <w:rsid w:val="00907115"/>
    <w:rsid w:val="0090713D"/>
    <w:rsid w:val="00907144"/>
    <w:rsid w:val="009071B9"/>
    <w:rsid w:val="009071C6"/>
    <w:rsid w:val="0090723C"/>
    <w:rsid w:val="00907287"/>
    <w:rsid w:val="009072D1"/>
    <w:rsid w:val="00907416"/>
    <w:rsid w:val="00907471"/>
    <w:rsid w:val="0090748A"/>
    <w:rsid w:val="009074A6"/>
    <w:rsid w:val="009074A8"/>
    <w:rsid w:val="009074DE"/>
    <w:rsid w:val="009074F6"/>
    <w:rsid w:val="009074F7"/>
    <w:rsid w:val="009075D4"/>
    <w:rsid w:val="0090765E"/>
    <w:rsid w:val="00907708"/>
    <w:rsid w:val="0090776C"/>
    <w:rsid w:val="009077F1"/>
    <w:rsid w:val="0090785A"/>
    <w:rsid w:val="00907896"/>
    <w:rsid w:val="00907943"/>
    <w:rsid w:val="00907985"/>
    <w:rsid w:val="0090798F"/>
    <w:rsid w:val="009079FC"/>
    <w:rsid w:val="00907A42"/>
    <w:rsid w:val="00907B8B"/>
    <w:rsid w:val="00907BC0"/>
    <w:rsid w:val="00907BE9"/>
    <w:rsid w:val="00907C54"/>
    <w:rsid w:val="00907CA4"/>
    <w:rsid w:val="00907CB2"/>
    <w:rsid w:val="00907CD2"/>
    <w:rsid w:val="00907CE6"/>
    <w:rsid w:val="00907DBC"/>
    <w:rsid w:val="00907E02"/>
    <w:rsid w:val="00907E4B"/>
    <w:rsid w:val="00907E7D"/>
    <w:rsid w:val="00907F9B"/>
    <w:rsid w:val="009100C3"/>
    <w:rsid w:val="00910111"/>
    <w:rsid w:val="00910181"/>
    <w:rsid w:val="00910182"/>
    <w:rsid w:val="009101B8"/>
    <w:rsid w:val="009101D0"/>
    <w:rsid w:val="009102DB"/>
    <w:rsid w:val="009102EA"/>
    <w:rsid w:val="00910374"/>
    <w:rsid w:val="00910375"/>
    <w:rsid w:val="00910413"/>
    <w:rsid w:val="0091044C"/>
    <w:rsid w:val="00910456"/>
    <w:rsid w:val="009104A3"/>
    <w:rsid w:val="00910576"/>
    <w:rsid w:val="009105C5"/>
    <w:rsid w:val="0091064D"/>
    <w:rsid w:val="00910688"/>
    <w:rsid w:val="009106BB"/>
    <w:rsid w:val="009106FE"/>
    <w:rsid w:val="0091077A"/>
    <w:rsid w:val="00910792"/>
    <w:rsid w:val="00910798"/>
    <w:rsid w:val="009107A5"/>
    <w:rsid w:val="00910846"/>
    <w:rsid w:val="00910849"/>
    <w:rsid w:val="00910850"/>
    <w:rsid w:val="0091085E"/>
    <w:rsid w:val="00910860"/>
    <w:rsid w:val="00910878"/>
    <w:rsid w:val="0091090D"/>
    <w:rsid w:val="00910910"/>
    <w:rsid w:val="0091095B"/>
    <w:rsid w:val="00910984"/>
    <w:rsid w:val="009109AB"/>
    <w:rsid w:val="00910A21"/>
    <w:rsid w:val="00910A90"/>
    <w:rsid w:val="00910B44"/>
    <w:rsid w:val="00910C23"/>
    <w:rsid w:val="00910D5C"/>
    <w:rsid w:val="00910D72"/>
    <w:rsid w:val="00910DD6"/>
    <w:rsid w:val="00910E01"/>
    <w:rsid w:val="00910E80"/>
    <w:rsid w:val="00910EB7"/>
    <w:rsid w:val="00910F3C"/>
    <w:rsid w:val="00910F71"/>
    <w:rsid w:val="00910F8E"/>
    <w:rsid w:val="00910FBA"/>
    <w:rsid w:val="0091102D"/>
    <w:rsid w:val="0091107D"/>
    <w:rsid w:val="009110EB"/>
    <w:rsid w:val="00911105"/>
    <w:rsid w:val="00911144"/>
    <w:rsid w:val="009111B3"/>
    <w:rsid w:val="009111BF"/>
    <w:rsid w:val="009111D5"/>
    <w:rsid w:val="009111EE"/>
    <w:rsid w:val="009111EF"/>
    <w:rsid w:val="00911228"/>
    <w:rsid w:val="00911247"/>
    <w:rsid w:val="009112CA"/>
    <w:rsid w:val="009112DC"/>
    <w:rsid w:val="009112F2"/>
    <w:rsid w:val="00911307"/>
    <w:rsid w:val="00911336"/>
    <w:rsid w:val="009113DC"/>
    <w:rsid w:val="009113EB"/>
    <w:rsid w:val="00911432"/>
    <w:rsid w:val="0091147E"/>
    <w:rsid w:val="009114F2"/>
    <w:rsid w:val="0091152C"/>
    <w:rsid w:val="00911545"/>
    <w:rsid w:val="00911658"/>
    <w:rsid w:val="0091166B"/>
    <w:rsid w:val="00911681"/>
    <w:rsid w:val="009116AF"/>
    <w:rsid w:val="00911737"/>
    <w:rsid w:val="009117F1"/>
    <w:rsid w:val="0091180E"/>
    <w:rsid w:val="00911824"/>
    <w:rsid w:val="00911842"/>
    <w:rsid w:val="00911850"/>
    <w:rsid w:val="009118AD"/>
    <w:rsid w:val="009118AE"/>
    <w:rsid w:val="00911913"/>
    <w:rsid w:val="00911934"/>
    <w:rsid w:val="00911970"/>
    <w:rsid w:val="009119A5"/>
    <w:rsid w:val="00911A80"/>
    <w:rsid w:val="00911ABE"/>
    <w:rsid w:val="00911B1A"/>
    <w:rsid w:val="00911BF8"/>
    <w:rsid w:val="00911C08"/>
    <w:rsid w:val="00911C1C"/>
    <w:rsid w:val="00911C23"/>
    <w:rsid w:val="00911C51"/>
    <w:rsid w:val="00911C5A"/>
    <w:rsid w:val="00911CA3"/>
    <w:rsid w:val="00911D04"/>
    <w:rsid w:val="00911D75"/>
    <w:rsid w:val="00911D85"/>
    <w:rsid w:val="00911E9B"/>
    <w:rsid w:val="00911EBF"/>
    <w:rsid w:val="00911F07"/>
    <w:rsid w:val="00911F13"/>
    <w:rsid w:val="00911F9A"/>
    <w:rsid w:val="00911FA6"/>
    <w:rsid w:val="00911FCA"/>
    <w:rsid w:val="00911FEC"/>
    <w:rsid w:val="00912041"/>
    <w:rsid w:val="00912063"/>
    <w:rsid w:val="009120C0"/>
    <w:rsid w:val="00912161"/>
    <w:rsid w:val="00912184"/>
    <w:rsid w:val="009121C2"/>
    <w:rsid w:val="009121EC"/>
    <w:rsid w:val="00912295"/>
    <w:rsid w:val="009122C3"/>
    <w:rsid w:val="009122E0"/>
    <w:rsid w:val="0091231C"/>
    <w:rsid w:val="00912349"/>
    <w:rsid w:val="00912380"/>
    <w:rsid w:val="00912399"/>
    <w:rsid w:val="0091239D"/>
    <w:rsid w:val="00912413"/>
    <w:rsid w:val="009124CE"/>
    <w:rsid w:val="00912556"/>
    <w:rsid w:val="00912580"/>
    <w:rsid w:val="00912596"/>
    <w:rsid w:val="009125FB"/>
    <w:rsid w:val="00912629"/>
    <w:rsid w:val="009126E2"/>
    <w:rsid w:val="009126E3"/>
    <w:rsid w:val="00912705"/>
    <w:rsid w:val="0091273F"/>
    <w:rsid w:val="009127C0"/>
    <w:rsid w:val="00912835"/>
    <w:rsid w:val="009128C2"/>
    <w:rsid w:val="00912902"/>
    <w:rsid w:val="00912937"/>
    <w:rsid w:val="009129A1"/>
    <w:rsid w:val="009129BA"/>
    <w:rsid w:val="009129D2"/>
    <w:rsid w:val="009129D3"/>
    <w:rsid w:val="009129E6"/>
    <w:rsid w:val="00912A25"/>
    <w:rsid w:val="00912A3A"/>
    <w:rsid w:val="00912A3D"/>
    <w:rsid w:val="00912A62"/>
    <w:rsid w:val="00912A67"/>
    <w:rsid w:val="00912AE8"/>
    <w:rsid w:val="00912B1E"/>
    <w:rsid w:val="00912B35"/>
    <w:rsid w:val="00912B36"/>
    <w:rsid w:val="00912B7D"/>
    <w:rsid w:val="00912BB5"/>
    <w:rsid w:val="00912C05"/>
    <w:rsid w:val="00912C0B"/>
    <w:rsid w:val="00912C2C"/>
    <w:rsid w:val="00912C50"/>
    <w:rsid w:val="00912C76"/>
    <w:rsid w:val="00912C93"/>
    <w:rsid w:val="00912CAF"/>
    <w:rsid w:val="00912D40"/>
    <w:rsid w:val="00912DEA"/>
    <w:rsid w:val="00912E63"/>
    <w:rsid w:val="00912E91"/>
    <w:rsid w:val="00912EBC"/>
    <w:rsid w:val="0091300E"/>
    <w:rsid w:val="00913035"/>
    <w:rsid w:val="0091309C"/>
    <w:rsid w:val="009130CB"/>
    <w:rsid w:val="009131F7"/>
    <w:rsid w:val="00913240"/>
    <w:rsid w:val="00913258"/>
    <w:rsid w:val="0091325A"/>
    <w:rsid w:val="00913275"/>
    <w:rsid w:val="00913300"/>
    <w:rsid w:val="00913332"/>
    <w:rsid w:val="0091333A"/>
    <w:rsid w:val="0091334A"/>
    <w:rsid w:val="00913384"/>
    <w:rsid w:val="00913436"/>
    <w:rsid w:val="00913437"/>
    <w:rsid w:val="0091348E"/>
    <w:rsid w:val="009134D3"/>
    <w:rsid w:val="00913558"/>
    <w:rsid w:val="009135A9"/>
    <w:rsid w:val="009135BC"/>
    <w:rsid w:val="0091360B"/>
    <w:rsid w:val="0091364A"/>
    <w:rsid w:val="0091365C"/>
    <w:rsid w:val="00913667"/>
    <w:rsid w:val="0091369C"/>
    <w:rsid w:val="009136C9"/>
    <w:rsid w:val="00913707"/>
    <w:rsid w:val="0091377D"/>
    <w:rsid w:val="009137A3"/>
    <w:rsid w:val="009137E1"/>
    <w:rsid w:val="009137FA"/>
    <w:rsid w:val="0091381F"/>
    <w:rsid w:val="00913830"/>
    <w:rsid w:val="009138A7"/>
    <w:rsid w:val="0091394C"/>
    <w:rsid w:val="0091396E"/>
    <w:rsid w:val="009139CF"/>
    <w:rsid w:val="00913A34"/>
    <w:rsid w:val="00913A4C"/>
    <w:rsid w:val="00913A89"/>
    <w:rsid w:val="00913AF9"/>
    <w:rsid w:val="00913AFA"/>
    <w:rsid w:val="00913B0A"/>
    <w:rsid w:val="00913B12"/>
    <w:rsid w:val="00913B69"/>
    <w:rsid w:val="00913BC8"/>
    <w:rsid w:val="00913C2A"/>
    <w:rsid w:val="00913C3E"/>
    <w:rsid w:val="00913DE6"/>
    <w:rsid w:val="00913DF8"/>
    <w:rsid w:val="00913E59"/>
    <w:rsid w:val="00913EC9"/>
    <w:rsid w:val="00913ED0"/>
    <w:rsid w:val="00913EFB"/>
    <w:rsid w:val="00913F42"/>
    <w:rsid w:val="00913F70"/>
    <w:rsid w:val="00913F77"/>
    <w:rsid w:val="00913F85"/>
    <w:rsid w:val="00913F86"/>
    <w:rsid w:val="00913FAB"/>
    <w:rsid w:val="00913FBC"/>
    <w:rsid w:val="00913FCC"/>
    <w:rsid w:val="00913FD1"/>
    <w:rsid w:val="00913FD7"/>
    <w:rsid w:val="00914095"/>
    <w:rsid w:val="009140D7"/>
    <w:rsid w:val="009140DD"/>
    <w:rsid w:val="009140E9"/>
    <w:rsid w:val="00914106"/>
    <w:rsid w:val="00914260"/>
    <w:rsid w:val="009142E1"/>
    <w:rsid w:val="00914366"/>
    <w:rsid w:val="009143C2"/>
    <w:rsid w:val="009143F8"/>
    <w:rsid w:val="009143FA"/>
    <w:rsid w:val="0091448C"/>
    <w:rsid w:val="009144CD"/>
    <w:rsid w:val="009144E8"/>
    <w:rsid w:val="00914542"/>
    <w:rsid w:val="00914609"/>
    <w:rsid w:val="0091462F"/>
    <w:rsid w:val="00914668"/>
    <w:rsid w:val="0091467F"/>
    <w:rsid w:val="00914710"/>
    <w:rsid w:val="00914718"/>
    <w:rsid w:val="00914730"/>
    <w:rsid w:val="00914776"/>
    <w:rsid w:val="00914791"/>
    <w:rsid w:val="009147C7"/>
    <w:rsid w:val="009147FF"/>
    <w:rsid w:val="00914829"/>
    <w:rsid w:val="0091482A"/>
    <w:rsid w:val="00914876"/>
    <w:rsid w:val="009148E6"/>
    <w:rsid w:val="00914948"/>
    <w:rsid w:val="00914965"/>
    <w:rsid w:val="00914A24"/>
    <w:rsid w:val="00914A52"/>
    <w:rsid w:val="00914A6E"/>
    <w:rsid w:val="00914A9F"/>
    <w:rsid w:val="00914AC7"/>
    <w:rsid w:val="00914AD2"/>
    <w:rsid w:val="00914AE9"/>
    <w:rsid w:val="00914B30"/>
    <w:rsid w:val="00914BD5"/>
    <w:rsid w:val="00914CCD"/>
    <w:rsid w:val="00914D4D"/>
    <w:rsid w:val="00914D69"/>
    <w:rsid w:val="00914DD8"/>
    <w:rsid w:val="00914E07"/>
    <w:rsid w:val="00914E88"/>
    <w:rsid w:val="00914E8B"/>
    <w:rsid w:val="00914EA2"/>
    <w:rsid w:val="00914EA3"/>
    <w:rsid w:val="00914F0B"/>
    <w:rsid w:val="00914F64"/>
    <w:rsid w:val="00914F6F"/>
    <w:rsid w:val="00914F95"/>
    <w:rsid w:val="00914FAD"/>
    <w:rsid w:val="00914FE0"/>
    <w:rsid w:val="00915014"/>
    <w:rsid w:val="00915040"/>
    <w:rsid w:val="00915044"/>
    <w:rsid w:val="0091515E"/>
    <w:rsid w:val="0091528C"/>
    <w:rsid w:val="009152C4"/>
    <w:rsid w:val="009152E0"/>
    <w:rsid w:val="0091531E"/>
    <w:rsid w:val="009153B8"/>
    <w:rsid w:val="009153BA"/>
    <w:rsid w:val="009153FF"/>
    <w:rsid w:val="00915441"/>
    <w:rsid w:val="00915498"/>
    <w:rsid w:val="009154B2"/>
    <w:rsid w:val="00915503"/>
    <w:rsid w:val="0091555A"/>
    <w:rsid w:val="009155F0"/>
    <w:rsid w:val="00915689"/>
    <w:rsid w:val="00915776"/>
    <w:rsid w:val="0091578C"/>
    <w:rsid w:val="009157CE"/>
    <w:rsid w:val="00915801"/>
    <w:rsid w:val="00915863"/>
    <w:rsid w:val="009158C8"/>
    <w:rsid w:val="0091591B"/>
    <w:rsid w:val="00915946"/>
    <w:rsid w:val="00915950"/>
    <w:rsid w:val="00915A16"/>
    <w:rsid w:val="00915AFC"/>
    <w:rsid w:val="00915AFE"/>
    <w:rsid w:val="00915B00"/>
    <w:rsid w:val="00915B13"/>
    <w:rsid w:val="00915B16"/>
    <w:rsid w:val="00915B74"/>
    <w:rsid w:val="00915BF1"/>
    <w:rsid w:val="00915C25"/>
    <w:rsid w:val="00915C58"/>
    <w:rsid w:val="00915CC5"/>
    <w:rsid w:val="00915D34"/>
    <w:rsid w:val="00915D36"/>
    <w:rsid w:val="00915D56"/>
    <w:rsid w:val="00915E07"/>
    <w:rsid w:val="00915E16"/>
    <w:rsid w:val="00915E58"/>
    <w:rsid w:val="00915E80"/>
    <w:rsid w:val="00915EE3"/>
    <w:rsid w:val="00915FA4"/>
    <w:rsid w:val="00916003"/>
    <w:rsid w:val="00916046"/>
    <w:rsid w:val="00916051"/>
    <w:rsid w:val="0091607A"/>
    <w:rsid w:val="009160DE"/>
    <w:rsid w:val="00916191"/>
    <w:rsid w:val="009161A6"/>
    <w:rsid w:val="009161D6"/>
    <w:rsid w:val="00916260"/>
    <w:rsid w:val="0091626F"/>
    <w:rsid w:val="009162F1"/>
    <w:rsid w:val="00916326"/>
    <w:rsid w:val="009163A0"/>
    <w:rsid w:val="009163A5"/>
    <w:rsid w:val="00916404"/>
    <w:rsid w:val="0091648A"/>
    <w:rsid w:val="009164B9"/>
    <w:rsid w:val="009164C1"/>
    <w:rsid w:val="00916534"/>
    <w:rsid w:val="00916552"/>
    <w:rsid w:val="0091657F"/>
    <w:rsid w:val="0091659C"/>
    <w:rsid w:val="009165A6"/>
    <w:rsid w:val="00916612"/>
    <w:rsid w:val="00916636"/>
    <w:rsid w:val="00916685"/>
    <w:rsid w:val="009166A9"/>
    <w:rsid w:val="009166ED"/>
    <w:rsid w:val="00916743"/>
    <w:rsid w:val="00916752"/>
    <w:rsid w:val="0091677B"/>
    <w:rsid w:val="009167D8"/>
    <w:rsid w:val="0091687D"/>
    <w:rsid w:val="00916988"/>
    <w:rsid w:val="00916A06"/>
    <w:rsid w:val="00916A0E"/>
    <w:rsid w:val="00916B0B"/>
    <w:rsid w:val="00916B2C"/>
    <w:rsid w:val="00916B59"/>
    <w:rsid w:val="00916B5C"/>
    <w:rsid w:val="00916B6F"/>
    <w:rsid w:val="00916B74"/>
    <w:rsid w:val="00916B7A"/>
    <w:rsid w:val="00916BD0"/>
    <w:rsid w:val="00916BEB"/>
    <w:rsid w:val="00916C0B"/>
    <w:rsid w:val="00916C1A"/>
    <w:rsid w:val="00916C67"/>
    <w:rsid w:val="00916CBC"/>
    <w:rsid w:val="00916D17"/>
    <w:rsid w:val="00916D83"/>
    <w:rsid w:val="00916E5E"/>
    <w:rsid w:val="00916E76"/>
    <w:rsid w:val="00916E7A"/>
    <w:rsid w:val="00916F12"/>
    <w:rsid w:val="00916F2C"/>
    <w:rsid w:val="00916F58"/>
    <w:rsid w:val="00916FD7"/>
    <w:rsid w:val="00916FED"/>
    <w:rsid w:val="009170A9"/>
    <w:rsid w:val="009170CE"/>
    <w:rsid w:val="009171AE"/>
    <w:rsid w:val="009171DC"/>
    <w:rsid w:val="00917251"/>
    <w:rsid w:val="00917258"/>
    <w:rsid w:val="00917272"/>
    <w:rsid w:val="009172CF"/>
    <w:rsid w:val="009172EA"/>
    <w:rsid w:val="009173CF"/>
    <w:rsid w:val="00917478"/>
    <w:rsid w:val="009174A6"/>
    <w:rsid w:val="009174B3"/>
    <w:rsid w:val="009174DB"/>
    <w:rsid w:val="00917528"/>
    <w:rsid w:val="009175AD"/>
    <w:rsid w:val="009175F6"/>
    <w:rsid w:val="009175F9"/>
    <w:rsid w:val="00917690"/>
    <w:rsid w:val="009176B4"/>
    <w:rsid w:val="0091771D"/>
    <w:rsid w:val="00917755"/>
    <w:rsid w:val="00917781"/>
    <w:rsid w:val="009177AB"/>
    <w:rsid w:val="009177BD"/>
    <w:rsid w:val="009177F2"/>
    <w:rsid w:val="00917838"/>
    <w:rsid w:val="00917868"/>
    <w:rsid w:val="009178F8"/>
    <w:rsid w:val="00917909"/>
    <w:rsid w:val="0091791A"/>
    <w:rsid w:val="0091799E"/>
    <w:rsid w:val="00917A2B"/>
    <w:rsid w:val="00917A6B"/>
    <w:rsid w:val="00917B09"/>
    <w:rsid w:val="00917BE7"/>
    <w:rsid w:val="00917C1A"/>
    <w:rsid w:val="00917C6F"/>
    <w:rsid w:val="00917C98"/>
    <w:rsid w:val="00917CA4"/>
    <w:rsid w:val="00917CE4"/>
    <w:rsid w:val="00917D06"/>
    <w:rsid w:val="00917D0A"/>
    <w:rsid w:val="00917D34"/>
    <w:rsid w:val="00917D6E"/>
    <w:rsid w:val="00917DDC"/>
    <w:rsid w:val="00917E78"/>
    <w:rsid w:val="00917E81"/>
    <w:rsid w:val="00917EED"/>
    <w:rsid w:val="00917EF0"/>
    <w:rsid w:val="00917EF6"/>
    <w:rsid w:val="00917F27"/>
    <w:rsid w:val="00917F7C"/>
    <w:rsid w:val="00917F86"/>
    <w:rsid w:val="00917FD2"/>
    <w:rsid w:val="0092000D"/>
    <w:rsid w:val="00920055"/>
    <w:rsid w:val="00920110"/>
    <w:rsid w:val="0092011D"/>
    <w:rsid w:val="0092015C"/>
    <w:rsid w:val="0092019B"/>
    <w:rsid w:val="009201A1"/>
    <w:rsid w:val="009201E0"/>
    <w:rsid w:val="009201E1"/>
    <w:rsid w:val="00920235"/>
    <w:rsid w:val="00920259"/>
    <w:rsid w:val="00920267"/>
    <w:rsid w:val="009202C1"/>
    <w:rsid w:val="009202DA"/>
    <w:rsid w:val="009202F3"/>
    <w:rsid w:val="009203E5"/>
    <w:rsid w:val="00920473"/>
    <w:rsid w:val="0092049E"/>
    <w:rsid w:val="009204ED"/>
    <w:rsid w:val="00920565"/>
    <w:rsid w:val="009205A3"/>
    <w:rsid w:val="009205ED"/>
    <w:rsid w:val="00920606"/>
    <w:rsid w:val="00920662"/>
    <w:rsid w:val="0092067A"/>
    <w:rsid w:val="009206FC"/>
    <w:rsid w:val="009207E2"/>
    <w:rsid w:val="00920842"/>
    <w:rsid w:val="0092085E"/>
    <w:rsid w:val="00920864"/>
    <w:rsid w:val="0092089E"/>
    <w:rsid w:val="009208C6"/>
    <w:rsid w:val="009209EE"/>
    <w:rsid w:val="00920A01"/>
    <w:rsid w:val="00920A0A"/>
    <w:rsid w:val="00920A6D"/>
    <w:rsid w:val="00920AE4"/>
    <w:rsid w:val="00920B14"/>
    <w:rsid w:val="00920B17"/>
    <w:rsid w:val="00920B48"/>
    <w:rsid w:val="00920C6E"/>
    <w:rsid w:val="00920C83"/>
    <w:rsid w:val="00920C9A"/>
    <w:rsid w:val="00920CF1"/>
    <w:rsid w:val="00920D0E"/>
    <w:rsid w:val="00920D14"/>
    <w:rsid w:val="00920D24"/>
    <w:rsid w:val="00920D48"/>
    <w:rsid w:val="00920D64"/>
    <w:rsid w:val="00920E8A"/>
    <w:rsid w:val="00920E8B"/>
    <w:rsid w:val="00920F1F"/>
    <w:rsid w:val="00920F37"/>
    <w:rsid w:val="00920F50"/>
    <w:rsid w:val="00920FE1"/>
    <w:rsid w:val="00920FED"/>
    <w:rsid w:val="0092101D"/>
    <w:rsid w:val="00921070"/>
    <w:rsid w:val="0092107A"/>
    <w:rsid w:val="00921085"/>
    <w:rsid w:val="0092108A"/>
    <w:rsid w:val="00921144"/>
    <w:rsid w:val="00921192"/>
    <w:rsid w:val="009211BF"/>
    <w:rsid w:val="00921276"/>
    <w:rsid w:val="009212CE"/>
    <w:rsid w:val="0092139E"/>
    <w:rsid w:val="009213A8"/>
    <w:rsid w:val="009213C5"/>
    <w:rsid w:val="009213DD"/>
    <w:rsid w:val="0092143D"/>
    <w:rsid w:val="0092148F"/>
    <w:rsid w:val="009215D9"/>
    <w:rsid w:val="00921650"/>
    <w:rsid w:val="00921651"/>
    <w:rsid w:val="00921678"/>
    <w:rsid w:val="0092167F"/>
    <w:rsid w:val="009216AD"/>
    <w:rsid w:val="009216F8"/>
    <w:rsid w:val="00921709"/>
    <w:rsid w:val="00921735"/>
    <w:rsid w:val="009217CD"/>
    <w:rsid w:val="00921871"/>
    <w:rsid w:val="009218B1"/>
    <w:rsid w:val="009218FE"/>
    <w:rsid w:val="00921954"/>
    <w:rsid w:val="0092195D"/>
    <w:rsid w:val="0092199E"/>
    <w:rsid w:val="00921A15"/>
    <w:rsid w:val="00921A42"/>
    <w:rsid w:val="00921A59"/>
    <w:rsid w:val="00921A87"/>
    <w:rsid w:val="00921AA6"/>
    <w:rsid w:val="00921AAE"/>
    <w:rsid w:val="00921AE6"/>
    <w:rsid w:val="00921C17"/>
    <w:rsid w:val="00921C31"/>
    <w:rsid w:val="00921C47"/>
    <w:rsid w:val="00921C5A"/>
    <w:rsid w:val="00921C84"/>
    <w:rsid w:val="00921D34"/>
    <w:rsid w:val="00921D8D"/>
    <w:rsid w:val="00921DCA"/>
    <w:rsid w:val="00921DDE"/>
    <w:rsid w:val="00921E22"/>
    <w:rsid w:val="00921E7A"/>
    <w:rsid w:val="00921E81"/>
    <w:rsid w:val="00921FB6"/>
    <w:rsid w:val="00921FBA"/>
    <w:rsid w:val="0092201D"/>
    <w:rsid w:val="0092204D"/>
    <w:rsid w:val="0092205C"/>
    <w:rsid w:val="0092209C"/>
    <w:rsid w:val="009220CA"/>
    <w:rsid w:val="009220DD"/>
    <w:rsid w:val="009220DE"/>
    <w:rsid w:val="00922102"/>
    <w:rsid w:val="0092215B"/>
    <w:rsid w:val="0092221F"/>
    <w:rsid w:val="009222F7"/>
    <w:rsid w:val="00922304"/>
    <w:rsid w:val="00922321"/>
    <w:rsid w:val="0092232A"/>
    <w:rsid w:val="00922358"/>
    <w:rsid w:val="009223CF"/>
    <w:rsid w:val="00922437"/>
    <w:rsid w:val="009224AB"/>
    <w:rsid w:val="009224CF"/>
    <w:rsid w:val="0092250F"/>
    <w:rsid w:val="0092252E"/>
    <w:rsid w:val="0092253F"/>
    <w:rsid w:val="009225E3"/>
    <w:rsid w:val="00922613"/>
    <w:rsid w:val="00922647"/>
    <w:rsid w:val="0092272F"/>
    <w:rsid w:val="00922744"/>
    <w:rsid w:val="0092274B"/>
    <w:rsid w:val="00922826"/>
    <w:rsid w:val="0092282C"/>
    <w:rsid w:val="0092288A"/>
    <w:rsid w:val="009228BF"/>
    <w:rsid w:val="009228E0"/>
    <w:rsid w:val="009228EC"/>
    <w:rsid w:val="00922973"/>
    <w:rsid w:val="009229CA"/>
    <w:rsid w:val="00922AEC"/>
    <w:rsid w:val="00922B0C"/>
    <w:rsid w:val="00922B40"/>
    <w:rsid w:val="00922B59"/>
    <w:rsid w:val="00922B6A"/>
    <w:rsid w:val="00922BB7"/>
    <w:rsid w:val="00922BC0"/>
    <w:rsid w:val="00922BF2"/>
    <w:rsid w:val="00922CA5"/>
    <w:rsid w:val="00922CDF"/>
    <w:rsid w:val="00922CE5"/>
    <w:rsid w:val="00922CF1"/>
    <w:rsid w:val="00922D2C"/>
    <w:rsid w:val="00922DB4"/>
    <w:rsid w:val="00922E65"/>
    <w:rsid w:val="00922EA8"/>
    <w:rsid w:val="00922EBC"/>
    <w:rsid w:val="00922ED7"/>
    <w:rsid w:val="009230C8"/>
    <w:rsid w:val="0092311F"/>
    <w:rsid w:val="0092314A"/>
    <w:rsid w:val="00923177"/>
    <w:rsid w:val="009231AF"/>
    <w:rsid w:val="00923209"/>
    <w:rsid w:val="00923226"/>
    <w:rsid w:val="0092322D"/>
    <w:rsid w:val="00923249"/>
    <w:rsid w:val="0092325C"/>
    <w:rsid w:val="00923292"/>
    <w:rsid w:val="009232A8"/>
    <w:rsid w:val="009232B6"/>
    <w:rsid w:val="009232C1"/>
    <w:rsid w:val="009232DA"/>
    <w:rsid w:val="0092335C"/>
    <w:rsid w:val="009233EA"/>
    <w:rsid w:val="009233ED"/>
    <w:rsid w:val="009233F1"/>
    <w:rsid w:val="009234F8"/>
    <w:rsid w:val="00923537"/>
    <w:rsid w:val="00923542"/>
    <w:rsid w:val="009235EE"/>
    <w:rsid w:val="00923649"/>
    <w:rsid w:val="0092366E"/>
    <w:rsid w:val="0092376F"/>
    <w:rsid w:val="0092379F"/>
    <w:rsid w:val="0092389A"/>
    <w:rsid w:val="009238CF"/>
    <w:rsid w:val="009238D2"/>
    <w:rsid w:val="00923983"/>
    <w:rsid w:val="009239A1"/>
    <w:rsid w:val="009239F9"/>
    <w:rsid w:val="00923A07"/>
    <w:rsid w:val="00923A53"/>
    <w:rsid w:val="00923B00"/>
    <w:rsid w:val="00923BA2"/>
    <w:rsid w:val="00923BBB"/>
    <w:rsid w:val="00923BC1"/>
    <w:rsid w:val="00923CCE"/>
    <w:rsid w:val="00923D40"/>
    <w:rsid w:val="00923D58"/>
    <w:rsid w:val="00923D5F"/>
    <w:rsid w:val="00923D8E"/>
    <w:rsid w:val="00923DA9"/>
    <w:rsid w:val="00923E02"/>
    <w:rsid w:val="00923E18"/>
    <w:rsid w:val="00923EEB"/>
    <w:rsid w:val="00923EF9"/>
    <w:rsid w:val="00923F25"/>
    <w:rsid w:val="00923F65"/>
    <w:rsid w:val="00923FB7"/>
    <w:rsid w:val="00923FEE"/>
    <w:rsid w:val="00924140"/>
    <w:rsid w:val="00924152"/>
    <w:rsid w:val="0092416A"/>
    <w:rsid w:val="00924212"/>
    <w:rsid w:val="00924243"/>
    <w:rsid w:val="009242CB"/>
    <w:rsid w:val="0092430F"/>
    <w:rsid w:val="00924364"/>
    <w:rsid w:val="009243B8"/>
    <w:rsid w:val="00924403"/>
    <w:rsid w:val="00924404"/>
    <w:rsid w:val="00924435"/>
    <w:rsid w:val="0092445D"/>
    <w:rsid w:val="0092446D"/>
    <w:rsid w:val="0092454E"/>
    <w:rsid w:val="00924568"/>
    <w:rsid w:val="00924595"/>
    <w:rsid w:val="009245B4"/>
    <w:rsid w:val="009245BD"/>
    <w:rsid w:val="009245C8"/>
    <w:rsid w:val="009245E6"/>
    <w:rsid w:val="00924699"/>
    <w:rsid w:val="009246D7"/>
    <w:rsid w:val="0092473A"/>
    <w:rsid w:val="009247A3"/>
    <w:rsid w:val="009247CD"/>
    <w:rsid w:val="009247F8"/>
    <w:rsid w:val="00924803"/>
    <w:rsid w:val="0092480C"/>
    <w:rsid w:val="0092486D"/>
    <w:rsid w:val="0092488F"/>
    <w:rsid w:val="009248E9"/>
    <w:rsid w:val="009248F1"/>
    <w:rsid w:val="009249F0"/>
    <w:rsid w:val="00924ABF"/>
    <w:rsid w:val="00924AC3"/>
    <w:rsid w:val="00924B50"/>
    <w:rsid w:val="00924B64"/>
    <w:rsid w:val="00924B8F"/>
    <w:rsid w:val="00924BB4"/>
    <w:rsid w:val="00924BB6"/>
    <w:rsid w:val="00924BD4"/>
    <w:rsid w:val="00924CAB"/>
    <w:rsid w:val="00924CAC"/>
    <w:rsid w:val="00924CC2"/>
    <w:rsid w:val="00924CD8"/>
    <w:rsid w:val="00924D05"/>
    <w:rsid w:val="00924D24"/>
    <w:rsid w:val="00924D4A"/>
    <w:rsid w:val="00924D5B"/>
    <w:rsid w:val="00924E3D"/>
    <w:rsid w:val="00924F0F"/>
    <w:rsid w:val="00924F2C"/>
    <w:rsid w:val="00924F71"/>
    <w:rsid w:val="00924F79"/>
    <w:rsid w:val="00924FBB"/>
    <w:rsid w:val="00925003"/>
    <w:rsid w:val="0092501E"/>
    <w:rsid w:val="0092510A"/>
    <w:rsid w:val="00925139"/>
    <w:rsid w:val="00925141"/>
    <w:rsid w:val="00925168"/>
    <w:rsid w:val="0092517F"/>
    <w:rsid w:val="00925201"/>
    <w:rsid w:val="00925226"/>
    <w:rsid w:val="00925238"/>
    <w:rsid w:val="00925240"/>
    <w:rsid w:val="00925248"/>
    <w:rsid w:val="0092528D"/>
    <w:rsid w:val="009252BC"/>
    <w:rsid w:val="009252BF"/>
    <w:rsid w:val="009252D1"/>
    <w:rsid w:val="009252FD"/>
    <w:rsid w:val="00925300"/>
    <w:rsid w:val="00925323"/>
    <w:rsid w:val="00925377"/>
    <w:rsid w:val="009253B5"/>
    <w:rsid w:val="0092540F"/>
    <w:rsid w:val="0092544A"/>
    <w:rsid w:val="0092549E"/>
    <w:rsid w:val="009254AD"/>
    <w:rsid w:val="0092559E"/>
    <w:rsid w:val="00925617"/>
    <w:rsid w:val="00925635"/>
    <w:rsid w:val="009256A8"/>
    <w:rsid w:val="009256CE"/>
    <w:rsid w:val="009256FA"/>
    <w:rsid w:val="00925738"/>
    <w:rsid w:val="00925778"/>
    <w:rsid w:val="0092577D"/>
    <w:rsid w:val="009257A9"/>
    <w:rsid w:val="00925810"/>
    <w:rsid w:val="0092585A"/>
    <w:rsid w:val="00925866"/>
    <w:rsid w:val="009258A2"/>
    <w:rsid w:val="009258CC"/>
    <w:rsid w:val="009258DE"/>
    <w:rsid w:val="0092596F"/>
    <w:rsid w:val="00925A01"/>
    <w:rsid w:val="00925A1A"/>
    <w:rsid w:val="00925A59"/>
    <w:rsid w:val="00925A9B"/>
    <w:rsid w:val="00925B29"/>
    <w:rsid w:val="00925B34"/>
    <w:rsid w:val="00925B7A"/>
    <w:rsid w:val="00925B7F"/>
    <w:rsid w:val="00925BB3"/>
    <w:rsid w:val="00925C16"/>
    <w:rsid w:val="00925C79"/>
    <w:rsid w:val="00925CE9"/>
    <w:rsid w:val="00925D2A"/>
    <w:rsid w:val="00925DA8"/>
    <w:rsid w:val="00925E7F"/>
    <w:rsid w:val="00925EBC"/>
    <w:rsid w:val="00925ED5"/>
    <w:rsid w:val="00925EE9"/>
    <w:rsid w:val="00925F17"/>
    <w:rsid w:val="00925F3A"/>
    <w:rsid w:val="00925FB8"/>
    <w:rsid w:val="0092601C"/>
    <w:rsid w:val="0092604C"/>
    <w:rsid w:val="009260DE"/>
    <w:rsid w:val="00926108"/>
    <w:rsid w:val="00926109"/>
    <w:rsid w:val="0092610C"/>
    <w:rsid w:val="009261E0"/>
    <w:rsid w:val="00926230"/>
    <w:rsid w:val="009262C4"/>
    <w:rsid w:val="0092634B"/>
    <w:rsid w:val="00926376"/>
    <w:rsid w:val="009263C2"/>
    <w:rsid w:val="009263D1"/>
    <w:rsid w:val="0092642F"/>
    <w:rsid w:val="009264CE"/>
    <w:rsid w:val="0092653B"/>
    <w:rsid w:val="0092658C"/>
    <w:rsid w:val="009265AC"/>
    <w:rsid w:val="009266A3"/>
    <w:rsid w:val="009266CF"/>
    <w:rsid w:val="00926700"/>
    <w:rsid w:val="00926758"/>
    <w:rsid w:val="0092676A"/>
    <w:rsid w:val="009267EF"/>
    <w:rsid w:val="009267FA"/>
    <w:rsid w:val="00926803"/>
    <w:rsid w:val="00926843"/>
    <w:rsid w:val="00926849"/>
    <w:rsid w:val="00926871"/>
    <w:rsid w:val="009268A2"/>
    <w:rsid w:val="009268DE"/>
    <w:rsid w:val="00926933"/>
    <w:rsid w:val="009269B2"/>
    <w:rsid w:val="009269BA"/>
    <w:rsid w:val="00926AAF"/>
    <w:rsid w:val="00926AC8"/>
    <w:rsid w:val="00926AD0"/>
    <w:rsid w:val="00926AF0"/>
    <w:rsid w:val="00926B63"/>
    <w:rsid w:val="00926B78"/>
    <w:rsid w:val="00926C66"/>
    <w:rsid w:val="00926CA9"/>
    <w:rsid w:val="00926D7A"/>
    <w:rsid w:val="00926E23"/>
    <w:rsid w:val="00926E55"/>
    <w:rsid w:val="00926E5B"/>
    <w:rsid w:val="00926E70"/>
    <w:rsid w:val="00926E93"/>
    <w:rsid w:val="00926ED0"/>
    <w:rsid w:val="00926ED7"/>
    <w:rsid w:val="00926F02"/>
    <w:rsid w:val="00926F10"/>
    <w:rsid w:val="00926F18"/>
    <w:rsid w:val="00926FAB"/>
    <w:rsid w:val="00926FFD"/>
    <w:rsid w:val="00927077"/>
    <w:rsid w:val="009270F7"/>
    <w:rsid w:val="00927121"/>
    <w:rsid w:val="00927199"/>
    <w:rsid w:val="009271DA"/>
    <w:rsid w:val="00927222"/>
    <w:rsid w:val="00927267"/>
    <w:rsid w:val="009272C7"/>
    <w:rsid w:val="00927353"/>
    <w:rsid w:val="0092735D"/>
    <w:rsid w:val="00927394"/>
    <w:rsid w:val="009273BD"/>
    <w:rsid w:val="009273E5"/>
    <w:rsid w:val="0092749B"/>
    <w:rsid w:val="00927536"/>
    <w:rsid w:val="00927587"/>
    <w:rsid w:val="0092759D"/>
    <w:rsid w:val="009275E8"/>
    <w:rsid w:val="0092764E"/>
    <w:rsid w:val="00927668"/>
    <w:rsid w:val="009276AD"/>
    <w:rsid w:val="0092773D"/>
    <w:rsid w:val="00927854"/>
    <w:rsid w:val="00927870"/>
    <w:rsid w:val="00927886"/>
    <w:rsid w:val="009278F3"/>
    <w:rsid w:val="009278F8"/>
    <w:rsid w:val="00927931"/>
    <w:rsid w:val="0092797C"/>
    <w:rsid w:val="009279DD"/>
    <w:rsid w:val="00927A5A"/>
    <w:rsid w:val="00927A78"/>
    <w:rsid w:val="00927A80"/>
    <w:rsid w:val="00927AA0"/>
    <w:rsid w:val="00927AA3"/>
    <w:rsid w:val="00927AB2"/>
    <w:rsid w:val="00927AF1"/>
    <w:rsid w:val="00927B23"/>
    <w:rsid w:val="00927B59"/>
    <w:rsid w:val="00927B77"/>
    <w:rsid w:val="00927B8A"/>
    <w:rsid w:val="00927BF6"/>
    <w:rsid w:val="00927CF8"/>
    <w:rsid w:val="00927D53"/>
    <w:rsid w:val="00927D68"/>
    <w:rsid w:val="00927D6F"/>
    <w:rsid w:val="00927DFA"/>
    <w:rsid w:val="00927E0D"/>
    <w:rsid w:val="00927E3D"/>
    <w:rsid w:val="00927E57"/>
    <w:rsid w:val="00927EBF"/>
    <w:rsid w:val="00927ED2"/>
    <w:rsid w:val="00927EE7"/>
    <w:rsid w:val="00927EF9"/>
    <w:rsid w:val="00927F2A"/>
    <w:rsid w:val="00927FC2"/>
    <w:rsid w:val="00927FFE"/>
    <w:rsid w:val="00930043"/>
    <w:rsid w:val="009300AD"/>
    <w:rsid w:val="0093010E"/>
    <w:rsid w:val="00930258"/>
    <w:rsid w:val="0093025E"/>
    <w:rsid w:val="00930287"/>
    <w:rsid w:val="0093028B"/>
    <w:rsid w:val="009302F5"/>
    <w:rsid w:val="009302F6"/>
    <w:rsid w:val="00930316"/>
    <w:rsid w:val="00930379"/>
    <w:rsid w:val="0093037B"/>
    <w:rsid w:val="009303CE"/>
    <w:rsid w:val="0093046F"/>
    <w:rsid w:val="009304E0"/>
    <w:rsid w:val="00930502"/>
    <w:rsid w:val="00930558"/>
    <w:rsid w:val="0093058A"/>
    <w:rsid w:val="009305C2"/>
    <w:rsid w:val="009305FA"/>
    <w:rsid w:val="00930604"/>
    <w:rsid w:val="00930644"/>
    <w:rsid w:val="00930692"/>
    <w:rsid w:val="009306AF"/>
    <w:rsid w:val="009306C5"/>
    <w:rsid w:val="00930724"/>
    <w:rsid w:val="00930755"/>
    <w:rsid w:val="009307AA"/>
    <w:rsid w:val="009307C6"/>
    <w:rsid w:val="009307CB"/>
    <w:rsid w:val="009307E4"/>
    <w:rsid w:val="009307E7"/>
    <w:rsid w:val="009307E9"/>
    <w:rsid w:val="009307F8"/>
    <w:rsid w:val="009307FF"/>
    <w:rsid w:val="009308EA"/>
    <w:rsid w:val="00930908"/>
    <w:rsid w:val="00930937"/>
    <w:rsid w:val="00930943"/>
    <w:rsid w:val="0093097B"/>
    <w:rsid w:val="009309B1"/>
    <w:rsid w:val="009309CE"/>
    <w:rsid w:val="00930A62"/>
    <w:rsid w:val="00930A6D"/>
    <w:rsid w:val="00930AD4"/>
    <w:rsid w:val="00930AEB"/>
    <w:rsid w:val="00930B63"/>
    <w:rsid w:val="00930BB0"/>
    <w:rsid w:val="00930BCA"/>
    <w:rsid w:val="00930C44"/>
    <w:rsid w:val="00930C5C"/>
    <w:rsid w:val="00930CDE"/>
    <w:rsid w:val="00930D03"/>
    <w:rsid w:val="00930D09"/>
    <w:rsid w:val="00930DA9"/>
    <w:rsid w:val="00930DBA"/>
    <w:rsid w:val="00930DC7"/>
    <w:rsid w:val="00930DF4"/>
    <w:rsid w:val="00930E6D"/>
    <w:rsid w:val="00930E84"/>
    <w:rsid w:val="00930F01"/>
    <w:rsid w:val="00930F26"/>
    <w:rsid w:val="00930F4A"/>
    <w:rsid w:val="00930FE7"/>
    <w:rsid w:val="00931011"/>
    <w:rsid w:val="00931029"/>
    <w:rsid w:val="00931046"/>
    <w:rsid w:val="00931100"/>
    <w:rsid w:val="00931143"/>
    <w:rsid w:val="00931144"/>
    <w:rsid w:val="00931197"/>
    <w:rsid w:val="009311A5"/>
    <w:rsid w:val="0093121A"/>
    <w:rsid w:val="009312AD"/>
    <w:rsid w:val="009312B7"/>
    <w:rsid w:val="00931310"/>
    <w:rsid w:val="00931328"/>
    <w:rsid w:val="00931401"/>
    <w:rsid w:val="0093144D"/>
    <w:rsid w:val="0093146B"/>
    <w:rsid w:val="00931476"/>
    <w:rsid w:val="0093147A"/>
    <w:rsid w:val="009314AC"/>
    <w:rsid w:val="009314EF"/>
    <w:rsid w:val="00931572"/>
    <w:rsid w:val="009315AC"/>
    <w:rsid w:val="009315EB"/>
    <w:rsid w:val="00931617"/>
    <w:rsid w:val="00931683"/>
    <w:rsid w:val="009316C1"/>
    <w:rsid w:val="00931724"/>
    <w:rsid w:val="00931728"/>
    <w:rsid w:val="00931769"/>
    <w:rsid w:val="009317A8"/>
    <w:rsid w:val="00931811"/>
    <w:rsid w:val="0093186E"/>
    <w:rsid w:val="00931873"/>
    <w:rsid w:val="009318EE"/>
    <w:rsid w:val="0093192A"/>
    <w:rsid w:val="0093194A"/>
    <w:rsid w:val="009319F2"/>
    <w:rsid w:val="009319FB"/>
    <w:rsid w:val="00931A03"/>
    <w:rsid w:val="00931A1D"/>
    <w:rsid w:val="00931AF6"/>
    <w:rsid w:val="00931BE8"/>
    <w:rsid w:val="00931BF8"/>
    <w:rsid w:val="00931E78"/>
    <w:rsid w:val="00931E96"/>
    <w:rsid w:val="00931EDB"/>
    <w:rsid w:val="00931EE2"/>
    <w:rsid w:val="00931EF0"/>
    <w:rsid w:val="00931F61"/>
    <w:rsid w:val="00931F65"/>
    <w:rsid w:val="00931F83"/>
    <w:rsid w:val="00931FA1"/>
    <w:rsid w:val="00931FFA"/>
    <w:rsid w:val="0093208A"/>
    <w:rsid w:val="0093216E"/>
    <w:rsid w:val="009321E0"/>
    <w:rsid w:val="00932216"/>
    <w:rsid w:val="0093221F"/>
    <w:rsid w:val="00932223"/>
    <w:rsid w:val="00932233"/>
    <w:rsid w:val="0093225F"/>
    <w:rsid w:val="0093226C"/>
    <w:rsid w:val="00932274"/>
    <w:rsid w:val="009322CB"/>
    <w:rsid w:val="00932333"/>
    <w:rsid w:val="0093235A"/>
    <w:rsid w:val="009323C2"/>
    <w:rsid w:val="0093241C"/>
    <w:rsid w:val="0093241E"/>
    <w:rsid w:val="00932434"/>
    <w:rsid w:val="0093244B"/>
    <w:rsid w:val="00932460"/>
    <w:rsid w:val="00932464"/>
    <w:rsid w:val="009324DB"/>
    <w:rsid w:val="009324E4"/>
    <w:rsid w:val="00932512"/>
    <w:rsid w:val="00932541"/>
    <w:rsid w:val="0093257D"/>
    <w:rsid w:val="009325C0"/>
    <w:rsid w:val="00932611"/>
    <w:rsid w:val="00932612"/>
    <w:rsid w:val="00932683"/>
    <w:rsid w:val="00932850"/>
    <w:rsid w:val="009328F3"/>
    <w:rsid w:val="0093293F"/>
    <w:rsid w:val="00932980"/>
    <w:rsid w:val="009329AC"/>
    <w:rsid w:val="009329EB"/>
    <w:rsid w:val="009329EC"/>
    <w:rsid w:val="00932A0B"/>
    <w:rsid w:val="00932AB3"/>
    <w:rsid w:val="00932ABB"/>
    <w:rsid w:val="00932AD9"/>
    <w:rsid w:val="00932AEE"/>
    <w:rsid w:val="00932B16"/>
    <w:rsid w:val="00932B36"/>
    <w:rsid w:val="00932BA7"/>
    <w:rsid w:val="00932BF6"/>
    <w:rsid w:val="00932BFE"/>
    <w:rsid w:val="00932C82"/>
    <w:rsid w:val="00932C86"/>
    <w:rsid w:val="00932CF6"/>
    <w:rsid w:val="00932D0F"/>
    <w:rsid w:val="00932D28"/>
    <w:rsid w:val="00932D88"/>
    <w:rsid w:val="00932DBB"/>
    <w:rsid w:val="00932E36"/>
    <w:rsid w:val="00932E70"/>
    <w:rsid w:val="00932E86"/>
    <w:rsid w:val="00932EB3"/>
    <w:rsid w:val="00932F5B"/>
    <w:rsid w:val="00932F64"/>
    <w:rsid w:val="00932F8E"/>
    <w:rsid w:val="00933089"/>
    <w:rsid w:val="0093310E"/>
    <w:rsid w:val="009331A6"/>
    <w:rsid w:val="009331F3"/>
    <w:rsid w:val="0093322E"/>
    <w:rsid w:val="0093327C"/>
    <w:rsid w:val="0093327F"/>
    <w:rsid w:val="00933339"/>
    <w:rsid w:val="00933360"/>
    <w:rsid w:val="0093337C"/>
    <w:rsid w:val="0093337E"/>
    <w:rsid w:val="00933472"/>
    <w:rsid w:val="009334C1"/>
    <w:rsid w:val="0093359B"/>
    <w:rsid w:val="009335EB"/>
    <w:rsid w:val="009335ED"/>
    <w:rsid w:val="009335F0"/>
    <w:rsid w:val="0093367E"/>
    <w:rsid w:val="009336C0"/>
    <w:rsid w:val="009336CE"/>
    <w:rsid w:val="009336E8"/>
    <w:rsid w:val="009336EA"/>
    <w:rsid w:val="009336F3"/>
    <w:rsid w:val="00933700"/>
    <w:rsid w:val="00933789"/>
    <w:rsid w:val="009337B9"/>
    <w:rsid w:val="009337C7"/>
    <w:rsid w:val="00933826"/>
    <w:rsid w:val="0093382D"/>
    <w:rsid w:val="00933853"/>
    <w:rsid w:val="009338CD"/>
    <w:rsid w:val="00933944"/>
    <w:rsid w:val="00933959"/>
    <w:rsid w:val="00933969"/>
    <w:rsid w:val="00933978"/>
    <w:rsid w:val="009339A9"/>
    <w:rsid w:val="00933A1D"/>
    <w:rsid w:val="00933A37"/>
    <w:rsid w:val="00933A7A"/>
    <w:rsid w:val="00933A88"/>
    <w:rsid w:val="00933AC5"/>
    <w:rsid w:val="00933BC7"/>
    <w:rsid w:val="00933BC8"/>
    <w:rsid w:val="00933BEF"/>
    <w:rsid w:val="00933C02"/>
    <w:rsid w:val="00933C93"/>
    <w:rsid w:val="00933D0A"/>
    <w:rsid w:val="00933D2D"/>
    <w:rsid w:val="00933D58"/>
    <w:rsid w:val="00933DB7"/>
    <w:rsid w:val="00933DCF"/>
    <w:rsid w:val="00933E31"/>
    <w:rsid w:val="00933E37"/>
    <w:rsid w:val="00933F50"/>
    <w:rsid w:val="0093400C"/>
    <w:rsid w:val="0093406C"/>
    <w:rsid w:val="00934074"/>
    <w:rsid w:val="009340A1"/>
    <w:rsid w:val="0093418B"/>
    <w:rsid w:val="009341C7"/>
    <w:rsid w:val="00934210"/>
    <w:rsid w:val="00934251"/>
    <w:rsid w:val="0093426A"/>
    <w:rsid w:val="009342DD"/>
    <w:rsid w:val="0093430A"/>
    <w:rsid w:val="0093430D"/>
    <w:rsid w:val="00934358"/>
    <w:rsid w:val="009343B0"/>
    <w:rsid w:val="0093441F"/>
    <w:rsid w:val="00934491"/>
    <w:rsid w:val="009344BB"/>
    <w:rsid w:val="009344EE"/>
    <w:rsid w:val="0093452C"/>
    <w:rsid w:val="00934542"/>
    <w:rsid w:val="00934559"/>
    <w:rsid w:val="0093457D"/>
    <w:rsid w:val="00934599"/>
    <w:rsid w:val="009345B4"/>
    <w:rsid w:val="009345DC"/>
    <w:rsid w:val="0093461C"/>
    <w:rsid w:val="00934653"/>
    <w:rsid w:val="009346BF"/>
    <w:rsid w:val="00934715"/>
    <w:rsid w:val="0093472D"/>
    <w:rsid w:val="0093475E"/>
    <w:rsid w:val="00934767"/>
    <w:rsid w:val="0093476B"/>
    <w:rsid w:val="0093478B"/>
    <w:rsid w:val="009347D9"/>
    <w:rsid w:val="00934817"/>
    <w:rsid w:val="00934893"/>
    <w:rsid w:val="00934945"/>
    <w:rsid w:val="0093499F"/>
    <w:rsid w:val="009349AF"/>
    <w:rsid w:val="00934A9F"/>
    <w:rsid w:val="00934AA6"/>
    <w:rsid w:val="00934B59"/>
    <w:rsid w:val="00934BFB"/>
    <w:rsid w:val="00934C50"/>
    <w:rsid w:val="00934CB6"/>
    <w:rsid w:val="00934CF8"/>
    <w:rsid w:val="00934D19"/>
    <w:rsid w:val="00934D62"/>
    <w:rsid w:val="00934DB4"/>
    <w:rsid w:val="00934DE0"/>
    <w:rsid w:val="00934E39"/>
    <w:rsid w:val="00934E66"/>
    <w:rsid w:val="00934E68"/>
    <w:rsid w:val="00934E90"/>
    <w:rsid w:val="00934E97"/>
    <w:rsid w:val="00934F65"/>
    <w:rsid w:val="00934FDD"/>
    <w:rsid w:val="00934FE8"/>
    <w:rsid w:val="00934FEA"/>
    <w:rsid w:val="00935032"/>
    <w:rsid w:val="009350A2"/>
    <w:rsid w:val="009350D9"/>
    <w:rsid w:val="009350DF"/>
    <w:rsid w:val="0093519D"/>
    <w:rsid w:val="009351C4"/>
    <w:rsid w:val="009351E2"/>
    <w:rsid w:val="0093527B"/>
    <w:rsid w:val="009352BA"/>
    <w:rsid w:val="009352C6"/>
    <w:rsid w:val="00935332"/>
    <w:rsid w:val="00935343"/>
    <w:rsid w:val="009353BF"/>
    <w:rsid w:val="009353DB"/>
    <w:rsid w:val="00935425"/>
    <w:rsid w:val="00935472"/>
    <w:rsid w:val="00935605"/>
    <w:rsid w:val="0093571B"/>
    <w:rsid w:val="0093578C"/>
    <w:rsid w:val="009357B3"/>
    <w:rsid w:val="009357C0"/>
    <w:rsid w:val="0093581E"/>
    <w:rsid w:val="0093584C"/>
    <w:rsid w:val="00935879"/>
    <w:rsid w:val="009359EF"/>
    <w:rsid w:val="00935A64"/>
    <w:rsid w:val="00935AF8"/>
    <w:rsid w:val="00935B37"/>
    <w:rsid w:val="00935B5F"/>
    <w:rsid w:val="00935B7D"/>
    <w:rsid w:val="00935BCF"/>
    <w:rsid w:val="00935BDE"/>
    <w:rsid w:val="00935BDF"/>
    <w:rsid w:val="00935BF4"/>
    <w:rsid w:val="00935C8D"/>
    <w:rsid w:val="00935CCE"/>
    <w:rsid w:val="00935CE7"/>
    <w:rsid w:val="00935D24"/>
    <w:rsid w:val="00935E08"/>
    <w:rsid w:val="00935ED8"/>
    <w:rsid w:val="00935F72"/>
    <w:rsid w:val="00935F8E"/>
    <w:rsid w:val="00935FBE"/>
    <w:rsid w:val="00935FD6"/>
    <w:rsid w:val="009360C4"/>
    <w:rsid w:val="0093614F"/>
    <w:rsid w:val="00936188"/>
    <w:rsid w:val="00936198"/>
    <w:rsid w:val="009361A9"/>
    <w:rsid w:val="00936205"/>
    <w:rsid w:val="00936303"/>
    <w:rsid w:val="00936326"/>
    <w:rsid w:val="00936330"/>
    <w:rsid w:val="0093633E"/>
    <w:rsid w:val="00936370"/>
    <w:rsid w:val="00936438"/>
    <w:rsid w:val="0093643B"/>
    <w:rsid w:val="0093644D"/>
    <w:rsid w:val="00936475"/>
    <w:rsid w:val="009364F5"/>
    <w:rsid w:val="00936534"/>
    <w:rsid w:val="00936547"/>
    <w:rsid w:val="0093655C"/>
    <w:rsid w:val="00936563"/>
    <w:rsid w:val="00936578"/>
    <w:rsid w:val="0093660F"/>
    <w:rsid w:val="0093666C"/>
    <w:rsid w:val="009366E7"/>
    <w:rsid w:val="00936739"/>
    <w:rsid w:val="009367CE"/>
    <w:rsid w:val="009367FF"/>
    <w:rsid w:val="00936830"/>
    <w:rsid w:val="00936861"/>
    <w:rsid w:val="00936894"/>
    <w:rsid w:val="0093689E"/>
    <w:rsid w:val="009368AF"/>
    <w:rsid w:val="00936907"/>
    <w:rsid w:val="00936996"/>
    <w:rsid w:val="009369BB"/>
    <w:rsid w:val="009369D6"/>
    <w:rsid w:val="009369DA"/>
    <w:rsid w:val="00936A8D"/>
    <w:rsid w:val="00936AAB"/>
    <w:rsid w:val="00936ADF"/>
    <w:rsid w:val="00936B11"/>
    <w:rsid w:val="00936B13"/>
    <w:rsid w:val="00936B1B"/>
    <w:rsid w:val="00936B5B"/>
    <w:rsid w:val="00936B80"/>
    <w:rsid w:val="00936C0E"/>
    <w:rsid w:val="00936C1A"/>
    <w:rsid w:val="00936C3E"/>
    <w:rsid w:val="00936CAF"/>
    <w:rsid w:val="00936CE1"/>
    <w:rsid w:val="00936D12"/>
    <w:rsid w:val="00936D16"/>
    <w:rsid w:val="00936D59"/>
    <w:rsid w:val="00936D7B"/>
    <w:rsid w:val="00936DA5"/>
    <w:rsid w:val="00936DC0"/>
    <w:rsid w:val="00936ED1"/>
    <w:rsid w:val="00936EDB"/>
    <w:rsid w:val="00936F58"/>
    <w:rsid w:val="00936F92"/>
    <w:rsid w:val="00936FCA"/>
    <w:rsid w:val="00936FD4"/>
    <w:rsid w:val="00937050"/>
    <w:rsid w:val="00937102"/>
    <w:rsid w:val="0093712D"/>
    <w:rsid w:val="00937177"/>
    <w:rsid w:val="0093717F"/>
    <w:rsid w:val="009371B3"/>
    <w:rsid w:val="00937210"/>
    <w:rsid w:val="00937219"/>
    <w:rsid w:val="0093722B"/>
    <w:rsid w:val="0093723E"/>
    <w:rsid w:val="00937294"/>
    <w:rsid w:val="009372C4"/>
    <w:rsid w:val="009372C5"/>
    <w:rsid w:val="00937308"/>
    <w:rsid w:val="00937388"/>
    <w:rsid w:val="009373DD"/>
    <w:rsid w:val="00937408"/>
    <w:rsid w:val="009374DF"/>
    <w:rsid w:val="00937508"/>
    <w:rsid w:val="00937567"/>
    <w:rsid w:val="0093756A"/>
    <w:rsid w:val="00937577"/>
    <w:rsid w:val="00937589"/>
    <w:rsid w:val="009375BD"/>
    <w:rsid w:val="009375E0"/>
    <w:rsid w:val="009375FE"/>
    <w:rsid w:val="00937646"/>
    <w:rsid w:val="009376D7"/>
    <w:rsid w:val="00937749"/>
    <w:rsid w:val="009377D1"/>
    <w:rsid w:val="009377F5"/>
    <w:rsid w:val="0093782E"/>
    <w:rsid w:val="0093783C"/>
    <w:rsid w:val="00937840"/>
    <w:rsid w:val="0093784F"/>
    <w:rsid w:val="00937865"/>
    <w:rsid w:val="0093787C"/>
    <w:rsid w:val="009378FD"/>
    <w:rsid w:val="00937991"/>
    <w:rsid w:val="00937A05"/>
    <w:rsid w:val="00937A0F"/>
    <w:rsid w:val="00937A84"/>
    <w:rsid w:val="00937AEC"/>
    <w:rsid w:val="00937BBD"/>
    <w:rsid w:val="00937BF2"/>
    <w:rsid w:val="00937BFB"/>
    <w:rsid w:val="00937C07"/>
    <w:rsid w:val="00937C31"/>
    <w:rsid w:val="00937C58"/>
    <w:rsid w:val="00937C80"/>
    <w:rsid w:val="00937DA2"/>
    <w:rsid w:val="00937DC8"/>
    <w:rsid w:val="00937E01"/>
    <w:rsid w:val="00937E92"/>
    <w:rsid w:val="00937EA2"/>
    <w:rsid w:val="00937F86"/>
    <w:rsid w:val="00937FA6"/>
    <w:rsid w:val="00937FD5"/>
    <w:rsid w:val="00937FDB"/>
    <w:rsid w:val="00937FE3"/>
    <w:rsid w:val="00937FEF"/>
    <w:rsid w:val="00940156"/>
    <w:rsid w:val="009401A9"/>
    <w:rsid w:val="009401EA"/>
    <w:rsid w:val="00940268"/>
    <w:rsid w:val="009402A6"/>
    <w:rsid w:val="009402C6"/>
    <w:rsid w:val="009402D5"/>
    <w:rsid w:val="009402EC"/>
    <w:rsid w:val="00940321"/>
    <w:rsid w:val="009403B9"/>
    <w:rsid w:val="009403C6"/>
    <w:rsid w:val="009403CC"/>
    <w:rsid w:val="009403E8"/>
    <w:rsid w:val="00940417"/>
    <w:rsid w:val="00940446"/>
    <w:rsid w:val="00940489"/>
    <w:rsid w:val="009404E9"/>
    <w:rsid w:val="0094054D"/>
    <w:rsid w:val="0094055B"/>
    <w:rsid w:val="00940576"/>
    <w:rsid w:val="00940582"/>
    <w:rsid w:val="00940620"/>
    <w:rsid w:val="00940645"/>
    <w:rsid w:val="00940659"/>
    <w:rsid w:val="009406BA"/>
    <w:rsid w:val="0094071D"/>
    <w:rsid w:val="0094075E"/>
    <w:rsid w:val="0094077A"/>
    <w:rsid w:val="00940785"/>
    <w:rsid w:val="009407CC"/>
    <w:rsid w:val="009407DB"/>
    <w:rsid w:val="00940830"/>
    <w:rsid w:val="0094084A"/>
    <w:rsid w:val="0094086B"/>
    <w:rsid w:val="00940896"/>
    <w:rsid w:val="009408F5"/>
    <w:rsid w:val="00940907"/>
    <w:rsid w:val="0094092B"/>
    <w:rsid w:val="00940934"/>
    <w:rsid w:val="00940953"/>
    <w:rsid w:val="0094097A"/>
    <w:rsid w:val="009409BF"/>
    <w:rsid w:val="009409C5"/>
    <w:rsid w:val="00940A78"/>
    <w:rsid w:val="00940A8F"/>
    <w:rsid w:val="00940AAF"/>
    <w:rsid w:val="00940ADC"/>
    <w:rsid w:val="00940C0C"/>
    <w:rsid w:val="00940C2E"/>
    <w:rsid w:val="00940C5C"/>
    <w:rsid w:val="00940C66"/>
    <w:rsid w:val="00940D02"/>
    <w:rsid w:val="00940D17"/>
    <w:rsid w:val="00940DEE"/>
    <w:rsid w:val="00940E45"/>
    <w:rsid w:val="00940E60"/>
    <w:rsid w:val="00940E69"/>
    <w:rsid w:val="00940E6F"/>
    <w:rsid w:val="00940EED"/>
    <w:rsid w:val="00940F0F"/>
    <w:rsid w:val="00940FE9"/>
    <w:rsid w:val="00940FEE"/>
    <w:rsid w:val="00941079"/>
    <w:rsid w:val="009410BE"/>
    <w:rsid w:val="009410C9"/>
    <w:rsid w:val="00941183"/>
    <w:rsid w:val="009411BC"/>
    <w:rsid w:val="009411DD"/>
    <w:rsid w:val="009411F7"/>
    <w:rsid w:val="00941230"/>
    <w:rsid w:val="0094126C"/>
    <w:rsid w:val="009412CC"/>
    <w:rsid w:val="009412D9"/>
    <w:rsid w:val="00941317"/>
    <w:rsid w:val="00941348"/>
    <w:rsid w:val="009413A4"/>
    <w:rsid w:val="009413D4"/>
    <w:rsid w:val="009413D8"/>
    <w:rsid w:val="009413FE"/>
    <w:rsid w:val="00941456"/>
    <w:rsid w:val="00941460"/>
    <w:rsid w:val="0094146D"/>
    <w:rsid w:val="009414A8"/>
    <w:rsid w:val="00941530"/>
    <w:rsid w:val="009415C7"/>
    <w:rsid w:val="009415DF"/>
    <w:rsid w:val="00941685"/>
    <w:rsid w:val="0094169D"/>
    <w:rsid w:val="00941714"/>
    <w:rsid w:val="009417CB"/>
    <w:rsid w:val="009417D9"/>
    <w:rsid w:val="00941817"/>
    <w:rsid w:val="009418A6"/>
    <w:rsid w:val="009418D8"/>
    <w:rsid w:val="00941914"/>
    <w:rsid w:val="0094193E"/>
    <w:rsid w:val="00941963"/>
    <w:rsid w:val="009419A3"/>
    <w:rsid w:val="009419BD"/>
    <w:rsid w:val="00941A5A"/>
    <w:rsid w:val="00941AF3"/>
    <w:rsid w:val="00941B74"/>
    <w:rsid w:val="00941B94"/>
    <w:rsid w:val="00941BA9"/>
    <w:rsid w:val="00941BB3"/>
    <w:rsid w:val="00941BC1"/>
    <w:rsid w:val="00941BC9"/>
    <w:rsid w:val="00941C5B"/>
    <w:rsid w:val="00941CE7"/>
    <w:rsid w:val="00941D01"/>
    <w:rsid w:val="00941D58"/>
    <w:rsid w:val="00941D97"/>
    <w:rsid w:val="00941DD4"/>
    <w:rsid w:val="00941DF6"/>
    <w:rsid w:val="00941DFF"/>
    <w:rsid w:val="00941E23"/>
    <w:rsid w:val="00941EE9"/>
    <w:rsid w:val="00941EFE"/>
    <w:rsid w:val="00941F1F"/>
    <w:rsid w:val="00941FAE"/>
    <w:rsid w:val="00941FB0"/>
    <w:rsid w:val="00941FB6"/>
    <w:rsid w:val="00941FCB"/>
    <w:rsid w:val="00942078"/>
    <w:rsid w:val="009420A1"/>
    <w:rsid w:val="009420E0"/>
    <w:rsid w:val="009420EE"/>
    <w:rsid w:val="009420F8"/>
    <w:rsid w:val="00942109"/>
    <w:rsid w:val="00942113"/>
    <w:rsid w:val="0094212C"/>
    <w:rsid w:val="0094213C"/>
    <w:rsid w:val="00942199"/>
    <w:rsid w:val="009421B0"/>
    <w:rsid w:val="009421D2"/>
    <w:rsid w:val="009421DD"/>
    <w:rsid w:val="00942214"/>
    <w:rsid w:val="009422A5"/>
    <w:rsid w:val="009422FB"/>
    <w:rsid w:val="0094236B"/>
    <w:rsid w:val="00942386"/>
    <w:rsid w:val="0094239A"/>
    <w:rsid w:val="009423A0"/>
    <w:rsid w:val="009423F6"/>
    <w:rsid w:val="0094240A"/>
    <w:rsid w:val="00942427"/>
    <w:rsid w:val="00942495"/>
    <w:rsid w:val="009424B1"/>
    <w:rsid w:val="009424CB"/>
    <w:rsid w:val="00942512"/>
    <w:rsid w:val="00942564"/>
    <w:rsid w:val="00942567"/>
    <w:rsid w:val="009425D1"/>
    <w:rsid w:val="009425EB"/>
    <w:rsid w:val="009425F2"/>
    <w:rsid w:val="009425FF"/>
    <w:rsid w:val="00942673"/>
    <w:rsid w:val="0094268F"/>
    <w:rsid w:val="009426BB"/>
    <w:rsid w:val="009426C1"/>
    <w:rsid w:val="0094271E"/>
    <w:rsid w:val="009427B6"/>
    <w:rsid w:val="009427CD"/>
    <w:rsid w:val="009427DB"/>
    <w:rsid w:val="0094280F"/>
    <w:rsid w:val="009428A5"/>
    <w:rsid w:val="009428C2"/>
    <w:rsid w:val="0094290C"/>
    <w:rsid w:val="00942916"/>
    <w:rsid w:val="0094292F"/>
    <w:rsid w:val="00942994"/>
    <w:rsid w:val="00942998"/>
    <w:rsid w:val="009429DE"/>
    <w:rsid w:val="00942A05"/>
    <w:rsid w:val="00942A14"/>
    <w:rsid w:val="00942A1A"/>
    <w:rsid w:val="00942A77"/>
    <w:rsid w:val="00942A7C"/>
    <w:rsid w:val="00942B1A"/>
    <w:rsid w:val="00942B7E"/>
    <w:rsid w:val="00942B9D"/>
    <w:rsid w:val="00942BBC"/>
    <w:rsid w:val="00942BBE"/>
    <w:rsid w:val="00942BD5"/>
    <w:rsid w:val="00942C82"/>
    <w:rsid w:val="00942D42"/>
    <w:rsid w:val="00942D51"/>
    <w:rsid w:val="00942DD8"/>
    <w:rsid w:val="00942E60"/>
    <w:rsid w:val="00942ECC"/>
    <w:rsid w:val="00942FAC"/>
    <w:rsid w:val="00942FBF"/>
    <w:rsid w:val="00942FC9"/>
    <w:rsid w:val="00943049"/>
    <w:rsid w:val="00943063"/>
    <w:rsid w:val="00943191"/>
    <w:rsid w:val="009431AB"/>
    <w:rsid w:val="009431B5"/>
    <w:rsid w:val="009431DF"/>
    <w:rsid w:val="00943223"/>
    <w:rsid w:val="00943244"/>
    <w:rsid w:val="00943255"/>
    <w:rsid w:val="00943286"/>
    <w:rsid w:val="009432F9"/>
    <w:rsid w:val="00943343"/>
    <w:rsid w:val="00943371"/>
    <w:rsid w:val="0094338E"/>
    <w:rsid w:val="00943449"/>
    <w:rsid w:val="00943450"/>
    <w:rsid w:val="00943479"/>
    <w:rsid w:val="00943480"/>
    <w:rsid w:val="009434BB"/>
    <w:rsid w:val="009434CC"/>
    <w:rsid w:val="00943541"/>
    <w:rsid w:val="00943584"/>
    <w:rsid w:val="009435CC"/>
    <w:rsid w:val="00943614"/>
    <w:rsid w:val="0094371A"/>
    <w:rsid w:val="00943755"/>
    <w:rsid w:val="009437BE"/>
    <w:rsid w:val="009437E1"/>
    <w:rsid w:val="0094383F"/>
    <w:rsid w:val="0094384C"/>
    <w:rsid w:val="00943850"/>
    <w:rsid w:val="00943958"/>
    <w:rsid w:val="00943975"/>
    <w:rsid w:val="00943A0E"/>
    <w:rsid w:val="00943A16"/>
    <w:rsid w:val="00943B8B"/>
    <w:rsid w:val="00943BB5"/>
    <w:rsid w:val="00943C19"/>
    <w:rsid w:val="00943C38"/>
    <w:rsid w:val="00943C57"/>
    <w:rsid w:val="00943C99"/>
    <w:rsid w:val="00943CEC"/>
    <w:rsid w:val="00943CF2"/>
    <w:rsid w:val="00943D40"/>
    <w:rsid w:val="00943D7B"/>
    <w:rsid w:val="00943DB0"/>
    <w:rsid w:val="00943DBC"/>
    <w:rsid w:val="00943E2A"/>
    <w:rsid w:val="00943E84"/>
    <w:rsid w:val="00943ED4"/>
    <w:rsid w:val="00943EEF"/>
    <w:rsid w:val="00943FC3"/>
    <w:rsid w:val="00944010"/>
    <w:rsid w:val="00944099"/>
    <w:rsid w:val="0094409B"/>
    <w:rsid w:val="009440E4"/>
    <w:rsid w:val="009441A1"/>
    <w:rsid w:val="009441A6"/>
    <w:rsid w:val="009441BB"/>
    <w:rsid w:val="009441F7"/>
    <w:rsid w:val="0094425B"/>
    <w:rsid w:val="009442B4"/>
    <w:rsid w:val="00944340"/>
    <w:rsid w:val="00944361"/>
    <w:rsid w:val="00944400"/>
    <w:rsid w:val="0094441B"/>
    <w:rsid w:val="009444E5"/>
    <w:rsid w:val="00944515"/>
    <w:rsid w:val="00944531"/>
    <w:rsid w:val="00944536"/>
    <w:rsid w:val="0094454D"/>
    <w:rsid w:val="00944589"/>
    <w:rsid w:val="0094459A"/>
    <w:rsid w:val="0094459E"/>
    <w:rsid w:val="00944641"/>
    <w:rsid w:val="009446A0"/>
    <w:rsid w:val="009446F7"/>
    <w:rsid w:val="009447A4"/>
    <w:rsid w:val="009447B5"/>
    <w:rsid w:val="00944808"/>
    <w:rsid w:val="0094484A"/>
    <w:rsid w:val="009448FD"/>
    <w:rsid w:val="00944955"/>
    <w:rsid w:val="00944984"/>
    <w:rsid w:val="00944AA9"/>
    <w:rsid w:val="00944AD9"/>
    <w:rsid w:val="00944BA0"/>
    <w:rsid w:val="00944C12"/>
    <w:rsid w:val="00944C18"/>
    <w:rsid w:val="00944C2A"/>
    <w:rsid w:val="00944C9E"/>
    <w:rsid w:val="00944D35"/>
    <w:rsid w:val="00944D51"/>
    <w:rsid w:val="00944D75"/>
    <w:rsid w:val="00944DA0"/>
    <w:rsid w:val="00944DDD"/>
    <w:rsid w:val="00944ED0"/>
    <w:rsid w:val="00944ED9"/>
    <w:rsid w:val="00944F2E"/>
    <w:rsid w:val="00944F50"/>
    <w:rsid w:val="00944F5C"/>
    <w:rsid w:val="00944F84"/>
    <w:rsid w:val="00944F88"/>
    <w:rsid w:val="00944FA3"/>
    <w:rsid w:val="00944FAE"/>
    <w:rsid w:val="00945007"/>
    <w:rsid w:val="0094504A"/>
    <w:rsid w:val="00945059"/>
    <w:rsid w:val="0094508B"/>
    <w:rsid w:val="009450AB"/>
    <w:rsid w:val="0094517E"/>
    <w:rsid w:val="009451A3"/>
    <w:rsid w:val="009451B0"/>
    <w:rsid w:val="009451D8"/>
    <w:rsid w:val="00945234"/>
    <w:rsid w:val="00945243"/>
    <w:rsid w:val="00945250"/>
    <w:rsid w:val="00945257"/>
    <w:rsid w:val="0094527F"/>
    <w:rsid w:val="0094528B"/>
    <w:rsid w:val="009452C5"/>
    <w:rsid w:val="009452E6"/>
    <w:rsid w:val="0094532F"/>
    <w:rsid w:val="00945365"/>
    <w:rsid w:val="009453C9"/>
    <w:rsid w:val="009453D4"/>
    <w:rsid w:val="009453E7"/>
    <w:rsid w:val="00945418"/>
    <w:rsid w:val="00945438"/>
    <w:rsid w:val="0094544B"/>
    <w:rsid w:val="0094546C"/>
    <w:rsid w:val="00945530"/>
    <w:rsid w:val="00945531"/>
    <w:rsid w:val="009455DD"/>
    <w:rsid w:val="009455E3"/>
    <w:rsid w:val="009456A0"/>
    <w:rsid w:val="0094571E"/>
    <w:rsid w:val="0094579E"/>
    <w:rsid w:val="009457C5"/>
    <w:rsid w:val="00945850"/>
    <w:rsid w:val="00945863"/>
    <w:rsid w:val="0094587A"/>
    <w:rsid w:val="0094589E"/>
    <w:rsid w:val="00945917"/>
    <w:rsid w:val="00945942"/>
    <w:rsid w:val="009459CD"/>
    <w:rsid w:val="00945A51"/>
    <w:rsid w:val="00945B34"/>
    <w:rsid w:val="00945C5C"/>
    <w:rsid w:val="00945C65"/>
    <w:rsid w:val="00945CA6"/>
    <w:rsid w:val="00945CC4"/>
    <w:rsid w:val="00945D4C"/>
    <w:rsid w:val="00945D75"/>
    <w:rsid w:val="00945DB1"/>
    <w:rsid w:val="00945E48"/>
    <w:rsid w:val="00945E9F"/>
    <w:rsid w:val="00945F50"/>
    <w:rsid w:val="00945FB4"/>
    <w:rsid w:val="00945FB5"/>
    <w:rsid w:val="00945FD2"/>
    <w:rsid w:val="00945FD7"/>
    <w:rsid w:val="00946085"/>
    <w:rsid w:val="009460A4"/>
    <w:rsid w:val="009460D4"/>
    <w:rsid w:val="00946126"/>
    <w:rsid w:val="0094616A"/>
    <w:rsid w:val="009461AB"/>
    <w:rsid w:val="009461C7"/>
    <w:rsid w:val="009461E6"/>
    <w:rsid w:val="009462D1"/>
    <w:rsid w:val="009462F0"/>
    <w:rsid w:val="009462F4"/>
    <w:rsid w:val="009462F8"/>
    <w:rsid w:val="0094631C"/>
    <w:rsid w:val="00946327"/>
    <w:rsid w:val="00946337"/>
    <w:rsid w:val="00946342"/>
    <w:rsid w:val="00946360"/>
    <w:rsid w:val="009463AD"/>
    <w:rsid w:val="009463BD"/>
    <w:rsid w:val="00946432"/>
    <w:rsid w:val="0094644E"/>
    <w:rsid w:val="00946495"/>
    <w:rsid w:val="009464F4"/>
    <w:rsid w:val="009465AF"/>
    <w:rsid w:val="009465B7"/>
    <w:rsid w:val="00946634"/>
    <w:rsid w:val="009466C9"/>
    <w:rsid w:val="0094670A"/>
    <w:rsid w:val="0094670E"/>
    <w:rsid w:val="0094677B"/>
    <w:rsid w:val="00946815"/>
    <w:rsid w:val="00946877"/>
    <w:rsid w:val="009468E1"/>
    <w:rsid w:val="00946968"/>
    <w:rsid w:val="00946A57"/>
    <w:rsid w:val="00946A78"/>
    <w:rsid w:val="00946A8C"/>
    <w:rsid w:val="00946A9F"/>
    <w:rsid w:val="00946AA6"/>
    <w:rsid w:val="00946B14"/>
    <w:rsid w:val="00946B1F"/>
    <w:rsid w:val="00946B45"/>
    <w:rsid w:val="00946C2C"/>
    <w:rsid w:val="00946C48"/>
    <w:rsid w:val="00946C8B"/>
    <w:rsid w:val="00946CDE"/>
    <w:rsid w:val="00946DF8"/>
    <w:rsid w:val="00946E0B"/>
    <w:rsid w:val="00946E41"/>
    <w:rsid w:val="00946E45"/>
    <w:rsid w:val="00946E73"/>
    <w:rsid w:val="00946EBB"/>
    <w:rsid w:val="00946F20"/>
    <w:rsid w:val="00946F2F"/>
    <w:rsid w:val="00946F99"/>
    <w:rsid w:val="00946FC2"/>
    <w:rsid w:val="00946FF2"/>
    <w:rsid w:val="00947056"/>
    <w:rsid w:val="009470A5"/>
    <w:rsid w:val="009470B8"/>
    <w:rsid w:val="0094713F"/>
    <w:rsid w:val="009471A2"/>
    <w:rsid w:val="009471AC"/>
    <w:rsid w:val="0094722C"/>
    <w:rsid w:val="00947279"/>
    <w:rsid w:val="00947288"/>
    <w:rsid w:val="0094728B"/>
    <w:rsid w:val="009472B9"/>
    <w:rsid w:val="00947309"/>
    <w:rsid w:val="0094734A"/>
    <w:rsid w:val="0094734E"/>
    <w:rsid w:val="009473FD"/>
    <w:rsid w:val="00947422"/>
    <w:rsid w:val="0094750E"/>
    <w:rsid w:val="00947550"/>
    <w:rsid w:val="009475C9"/>
    <w:rsid w:val="009475CC"/>
    <w:rsid w:val="00947601"/>
    <w:rsid w:val="0094762F"/>
    <w:rsid w:val="0094765C"/>
    <w:rsid w:val="009476C9"/>
    <w:rsid w:val="00947797"/>
    <w:rsid w:val="009477A3"/>
    <w:rsid w:val="00947803"/>
    <w:rsid w:val="0094781A"/>
    <w:rsid w:val="00947854"/>
    <w:rsid w:val="0094785E"/>
    <w:rsid w:val="0094786D"/>
    <w:rsid w:val="0094788D"/>
    <w:rsid w:val="009478DD"/>
    <w:rsid w:val="0094794B"/>
    <w:rsid w:val="0094798C"/>
    <w:rsid w:val="009479D4"/>
    <w:rsid w:val="00947A25"/>
    <w:rsid w:val="00947A28"/>
    <w:rsid w:val="00947A2A"/>
    <w:rsid w:val="00947A80"/>
    <w:rsid w:val="00947A8D"/>
    <w:rsid w:val="00947AB3"/>
    <w:rsid w:val="00947AE6"/>
    <w:rsid w:val="00947B1B"/>
    <w:rsid w:val="00947B20"/>
    <w:rsid w:val="00947BE8"/>
    <w:rsid w:val="00947C14"/>
    <w:rsid w:val="00947C4E"/>
    <w:rsid w:val="00947C68"/>
    <w:rsid w:val="00947C69"/>
    <w:rsid w:val="00947CDE"/>
    <w:rsid w:val="00947D11"/>
    <w:rsid w:val="00947DC0"/>
    <w:rsid w:val="00947DE7"/>
    <w:rsid w:val="00947E5F"/>
    <w:rsid w:val="00947F4C"/>
    <w:rsid w:val="00947F7E"/>
    <w:rsid w:val="00947F89"/>
    <w:rsid w:val="0095000E"/>
    <w:rsid w:val="00950066"/>
    <w:rsid w:val="009500AA"/>
    <w:rsid w:val="009500E3"/>
    <w:rsid w:val="0095011C"/>
    <w:rsid w:val="00950123"/>
    <w:rsid w:val="0095019E"/>
    <w:rsid w:val="009501CE"/>
    <w:rsid w:val="009501FE"/>
    <w:rsid w:val="00950221"/>
    <w:rsid w:val="00950260"/>
    <w:rsid w:val="0095028B"/>
    <w:rsid w:val="009502B6"/>
    <w:rsid w:val="009502F5"/>
    <w:rsid w:val="0095031D"/>
    <w:rsid w:val="00950320"/>
    <w:rsid w:val="00950321"/>
    <w:rsid w:val="00950370"/>
    <w:rsid w:val="009503FB"/>
    <w:rsid w:val="0095042E"/>
    <w:rsid w:val="0095045C"/>
    <w:rsid w:val="0095046B"/>
    <w:rsid w:val="009504DD"/>
    <w:rsid w:val="00950522"/>
    <w:rsid w:val="009505BF"/>
    <w:rsid w:val="009505D8"/>
    <w:rsid w:val="00950655"/>
    <w:rsid w:val="009506A7"/>
    <w:rsid w:val="009506DF"/>
    <w:rsid w:val="00950727"/>
    <w:rsid w:val="00950756"/>
    <w:rsid w:val="0095075E"/>
    <w:rsid w:val="00950765"/>
    <w:rsid w:val="00950836"/>
    <w:rsid w:val="00950839"/>
    <w:rsid w:val="0095086C"/>
    <w:rsid w:val="00950883"/>
    <w:rsid w:val="009508F5"/>
    <w:rsid w:val="009508F9"/>
    <w:rsid w:val="009509FF"/>
    <w:rsid w:val="00950A37"/>
    <w:rsid w:val="00950AD5"/>
    <w:rsid w:val="00950B1F"/>
    <w:rsid w:val="00950B25"/>
    <w:rsid w:val="00950B3A"/>
    <w:rsid w:val="00950B64"/>
    <w:rsid w:val="00950BE3"/>
    <w:rsid w:val="00950C11"/>
    <w:rsid w:val="00950C12"/>
    <w:rsid w:val="00950C2A"/>
    <w:rsid w:val="00950C2B"/>
    <w:rsid w:val="00950C2D"/>
    <w:rsid w:val="00950C7D"/>
    <w:rsid w:val="00950C95"/>
    <w:rsid w:val="00950CB8"/>
    <w:rsid w:val="00950CEE"/>
    <w:rsid w:val="00950D8E"/>
    <w:rsid w:val="00950D92"/>
    <w:rsid w:val="00950E32"/>
    <w:rsid w:val="00950E68"/>
    <w:rsid w:val="00950F2D"/>
    <w:rsid w:val="00950F54"/>
    <w:rsid w:val="00950F7C"/>
    <w:rsid w:val="00950FAC"/>
    <w:rsid w:val="00950FB9"/>
    <w:rsid w:val="00951016"/>
    <w:rsid w:val="00951060"/>
    <w:rsid w:val="00951092"/>
    <w:rsid w:val="00951149"/>
    <w:rsid w:val="0095115A"/>
    <w:rsid w:val="00951169"/>
    <w:rsid w:val="0095119D"/>
    <w:rsid w:val="0095120C"/>
    <w:rsid w:val="00951257"/>
    <w:rsid w:val="0095125E"/>
    <w:rsid w:val="009512DC"/>
    <w:rsid w:val="009512E1"/>
    <w:rsid w:val="00951382"/>
    <w:rsid w:val="009513F6"/>
    <w:rsid w:val="009513F7"/>
    <w:rsid w:val="00951418"/>
    <w:rsid w:val="00951421"/>
    <w:rsid w:val="00951423"/>
    <w:rsid w:val="00951448"/>
    <w:rsid w:val="009514AB"/>
    <w:rsid w:val="00951510"/>
    <w:rsid w:val="00951565"/>
    <w:rsid w:val="0095157B"/>
    <w:rsid w:val="009515EE"/>
    <w:rsid w:val="009516D9"/>
    <w:rsid w:val="0095174C"/>
    <w:rsid w:val="0095178B"/>
    <w:rsid w:val="009517B1"/>
    <w:rsid w:val="0095182D"/>
    <w:rsid w:val="0095185E"/>
    <w:rsid w:val="009518BF"/>
    <w:rsid w:val="009518F8"/>
    <w:rsid w:val="00951905"/>
    <w:rsid w:val="0095195A"/>
    <w:rsid w:val="009519D1"/>
    <w:rsid w:val="00951A4C"/>
    <w:rsid w:val="00951A54"/>
    <w:rsid w:val="00951A8F"/>
    <w:rsid w:val="00951AC7"/>
    <w:rsid w:val="00951AF6"/>
    <w:rsid w:val="00951B21"/>
    <w:rsid w:val="00951BAA"/>
    <w:rsid w:val="00951BD3"/>
    <w:rsid w:val="00951C16"/>
    <w:rsid w:val="00951C19"/>
    <w:rsid w:val="00951CB9"/>
    <w:rsid w:val="00951D45"/>
    <w:rsid w:val="00951D5E"/>
    <w:rsid w:val="00951EDD"/>
    <w:rsid w:val="00951F83"/>
    <w:rsid w:val="00951F87"/>
    <w:rsid w:val="00951FA2"/>
    <w:rsid w:val="00951FF3"/>
    <w:rsid w:val="0095200E"/>
    <w:rsid w:val="0095202E"/>
    <w:rsid w:val="00952086"/>
    <w:rsid w:val="009520D4"/>
    <w:rsid w:val="009520ED"/>
    <w:rsid w:val="00952119"/>
    <w:rsid w:val="00952141"/>
    <w:rsid w:val="00952146"/>
    <w:rsid w:val="0095218C"/>
    <w:rsid w:val="009521A9"/>
    <w:rsid w:val="009521B3"/>
    <w:rsid w:val="009521FE"/>
    <w:rsid w:val="0095220F"/>
    <w:rsid w:val="009522DC"/>
    <w:rsid w:val="00952318"/>
    <w:rsid w:val="00952359"/>
    <w:rsid w:val="0095237C"/>
    <w:rsid w:val="00952492"/>
    <w:rsid w:val="009524AB"/>
    <w:rsid w:val="009524FC"/>
    <w:rsid w:val="00952566"/>
    <w:rsid w:val="009525CA"/>
    <w:rsid w:val="0095264D"/>
    <w:rsid w:val="00952685"/>
    <w:rsid w:val="009526A1"/>
    <w:rsid w:val="009526B0"/>
    <w:rsid w:val="00952730"/>
    <w:rsid w:val="00952763"/>
    <w:rsid w:val="009527A6"/>
    <w:rsid w:val="009527DC"/>
    <w:rsid w:val="00952828"/>
    <w:rsid w:val="0095291B"/>
    <w:rsid w:val="00952996"/>
    <w:rsid w:val="009529C6"/>
    <w:rsid w:val="009529EE"/>
    <w:rsid w:val="00952A5D"/>
    <w:rsid w:val="00952AB8"/>
    <w:rsid w:val="00952BBB"/>
    <w:rsid w:val="00952BE0"/>
    <w:rsid w:val="00952C4B"/>
    <w:rsid w:val="00952CBB"/>
    <w:rsid w:val="00952D3C"/>
    <w:rsid w:val="00952D78"/>
    <w:rsid w:val="00952DAA"/>
    <w:rsid w:val="00952E33"/>
    <w:rsid w:val="00952E88"/>
    <w:rsid w:val="00952EA0"/>
    <w:rsid w:val="00952F4A"/>
    <w:rsid w:val="00952FAD"/>
    <w:rsid w:val="00952FE2"/>
    <w:rsid w:val="0095303F"/>
    <w:rsid w:val="0095304D"/>
    <w:rsid w:val="009530C6"/>
    <w:rsid w:val="009530EC"/>
    <w:rsid w:val="00953111"/>
    <w:rsid w:val="00953154"/>
    <w:rsid w:val="00953172"/>
    <w:rsid w:val="00953195"/>
    <w:rsid w:val="00953201"/>
    <w:rsid w:val="00953511"/>
    <w:rsid w:val="0095362E"/>
    <w:rsid w:val="00953650"/>
    <w:rsid w:val="00953670"/>
    <w:rsid w:val="0095368D"/>
    <w:rsid w:val="0095378F"/>
    <w:rsid w:val="0095379C"/>
    <w:rsid w:val="009537BF"/>
    <w:rsid w:val="00953810"/>
    <w:rsid w:val="0095383A"/>
    <w:rsid w:val="0095385E"/>
    <w:rsid w:val="00953870"/>
    <w:rsid w:val="00953924"/>
    <w:rsid w:val="009539A8"/>
    <w:rsid w:val="00953A2E"/>
    <w:rsid w:val="00953A2F"/>
    <w:rsid w:val="00953A32"/>
    <w:rsid w:val="00953A42"/>
    <w:rsid w:val="00953A8E"/>
    <w:rsid w:val="00953ADD"/>
    <w:rsid w:val="00953B0B"/>
    <w:rsid w:val="00953B29"/>
    <w:rsid w:val="00953B3E"/>
    <w:rsid w:val="00953B5B"/>
    <w:rsid w:val="00953B61"/>
    <w:rsid w:val="00953B84"/>
    <w:rsid w:val="00953BD6"/>
    <w:rsid w:val="00953C36"/>
    <w:rsid w:val="00953C89"/>
    <w:rsid w:val="00953CB3"/>
    <w:rsid w:val="00953CEA"/>
    <w:rsid w:val="00953CF4"/>
    <w:rsid w:val="00953D05"/>
    <w:rsid w:val="00953D0D"/>
    <w:rsid w:val="00953DF2"/>
    <w:rsid w:val="00953E41"/>
    <w:rsid w:val="00953E45"/>
    <w:rsid w:val="00953E4B"/>
    <w:rsid w:val="00953F50"/>
    <w:rsid w:val="00953F86"/>
    <w:rsid w:val="00953FAD"/>
    <w:rsid w:val="00954038"/>
    <w:rsid w:val="00954167"/>
    <w:rsid w:val="0095423F"/>
    <w:rsid w:val="0095425D"/>
    <w:rsid w:val="009542E6"/>
    <w:rsid w:val="009542FC"/>
    <w:rsid w:val="00954345"/>
    <w:rsid w:val="00954377"/>
    <w:rsid w:val="00954390"/>
    <w:rsid w:val="00954392"/>
    <w:rsid w:val="009543A4"/>
    <w:rsid w:val="009543E1"/>
    <w:rsid w:val="00954425"/>
    <w:rsid w:val="00954465"/>
    <w:rsid w:val="00954497"/>
    <w:rsid w:val="00954498"/>
    <w:rsid w:val="009544BA"/>
    <w:rsid w:val="009544C6"/>
    <w:rsid w:val="00954501"/>
    <w:rsid w:val="00954509"/>
    <w:rsid w:val="0095452E"/>
    <w:rsid w:val="0095457E"/>
    <w:rsid w:val="009545F8"/>
    <w:rsid w:val="0095460E"/>
    <w:rsid w:val="0095465B"/>
    <w:rsid w:val="0095467C"/>
    <w:rsid w:val="009546DE"/>
    <w:rsid w:val="009546EB"/>
    <w:rsid w:val="00954734"/>
    <w:rsid w:val="0095473D"/>
    <w:rsid w:val="0095473E"/>
    <w:rsid w:val="009547C0"/>
    <w:rsid w:val="009547C8"/>
    <w:rsid w:val="009547D0"/>
    <w:rsid w:val="0095481A"/>
    <w:rsid w:val="00954848"/>
    <w:rsid w:val="0095486B"/>
    <w:rsid w:val="00954878"/>
    <w:rsid w:val="00954942"/>
    <w:rsid w:val="0095495E"/>
    <w:rsid w:val="0095496D"/>
    <w:rsid w:val="0095498F"/>
    <w:rsid w:val="00954A17"/>
    <w:rsid w:val="00954A4F"/>
    <w:rsid w:val="00954A7D"/>
    <w:rsid w:val="00954B24"/>
    <w:rsid w:val="00954B28"/>
    <w:rsid w:val="00954B46"/>
    <w:rsid w:val="00954B81"/>
    <w:rsid w:val="00954B8F"/>
    <w:rsid w:val="00954B99"/>
    <w:rsid w:val="00954C09"/>
    <w:rsid w:val="00954C38"/>
    <w:rsid w:val="00954C56"/>
    <w:rsid w:val="00954D15"/>
    <w:rsid w:val="00954D3C"/>
    <w:rsid w:val="00954D5B"/>
    <w:rsid w:val="00954D7F"/>
    <w:rsid w:val="00954DDE"/>
    <w:rsid w:val="00954E1A"/>
    <w:rsid w:val="00954E6D"/>
    <w:rsid w:val="00954E78"/>
    <w:rsid w:val="00954EC0"/>
    <w:rsid w:val="00954EF7"/>
    <w:rsid w:val="00954F5D"/>
    <w:rsid w:val="00954FD5"/>
    <w:rsid w:val="00954FDC"/>
    <w:rsid w:val="00955043"/>
    <w:rsid w:val="00955098"/>
    <w:rsid w:val="0095514F"/>
    <w:rsid w:val="009551A4"/>
    <w:rsid w:val="00955271"/>
    <w:rsid w:val="00955279"/>
    <w:rsid w:val="009552BA"/>
    <w:rsid w:val="009552CE"/>
    <w:rsid w:val="00955356"/>
    <w:rsid w:val="0095540F"/>
    <w:rsid w:val="0095541C"/>
    <w:rsid w:val="0095548B"/>
    <w:rsid w:val="00955492"/>
    <w:rsid w:val="0095552E"/>
    <w:rsid w:val="00955550"/>
    <w:rsid w:val="009555E7"/>
    <w:rsid w:val="0095561F"/>
    <w:rsid w:val="0095567F"/>
    <w:rsid w:val="0095573D"/>
    <w:rsid w:val="0095576B"/>
    <w:rsid w:val="00955777"/>
    <w:rsid w:val="0095577E"/>
    <w:rsid w:val="009557AB"/>
    <w:rsid w:val="009558E6"/>
    <w:rsid w:val="0095591C"/>
    <w:rsid w:val="0095595B"/>
    <w:rsid w:val="00955972"/>
    <w:rsid w:val="00955979"/>
    <w:rsid w:val="009559FC"/>
    <w:rsid w:val="00955A3C"/>
    <w:rsid w:val="00955A40"/>
    <w:rsid w:val="00955A62"/>
    <w:rsid w:val="00955AA1"/>
    <w:rsid w:val="00955AD8"/>
    <w:rsid w:val="00955AE9"/>
    <w:rsid w:val="00955B24"/>
    <w:rsid w:val="00955B6D"/>
    <w:rsid w:val="00955C0E"/>
    <w:rsid w:val="00955CB3"/>
    <w:rsid w:val="00955DA3"/>
    <w:rsid w:val="00955E32"/>
    <w:rsid w:val="00955E67"/>
    <w:rsid w:val="00955E79"/>
    <w:rsid w:val="00955EA5"/>
    <w:rsid w:val="00955EAE"/>
    <w:rsid w:val="00955F33"/>
    <w:rsid w:val="00955FA3"/>
    <w:rsid w:val="00955FD1"/>
    <w:rsid w:val="00955FE8"/>
    <w:rsid w:val="0095604E"/>
    <w:rsid w:val="0095607B"/>
    <w:rsid w:val="0095608C"/>
    <w:rsid w:val="009560B6"/>
    <w:rsid w:val="00956217"/>
    <w:rsid w:val="00956231"/>
    <w:rsid w:val="009562D8"/>
    <w:rsid w:val="00956347"/>
    <w:rsid w:val="0095639F"/>
    <w:rsid w:val="009563AC"/>
    <w:rsid w:val="009563B7"/>
    <w:rsid w:val="009563C2"/>
    <w:rsid w:val="00956427"/>
    <w:rsid w:val="0095644B"/>
    <w:rsid w:val="00956537"/>
    <w:rsid w:val="009565C3"/>
    <w:rsid w:val="009565DA"/>
    <w:rsid w:val="009565EB"/>
    <w:rsid w:val="00956618"/>
    <w:rsid w:val="0095663B"/>
    <w:rsid w:val="00956671"/>
    <w:rsid w:val="00956693"/>
    <w:rsid w:val="009567B3"/>
    <w:rsid w:val="009567C4"/>
    <w:rsid w:val="009567DD"/>
    <w:rsid w:val="009567EC"/>
    <w:rsid w:val="009567FC"/>
    <w:rsid w:val="009567FD"/>
    <w:rsid w:val="00956841"/>
    <w:rsid w:val="00956860"/>
    <w:rsid w:val="009568C1"/>
    <w:rsid w:val="00956901"/>
    <w:rsid w:val="00956905"/>
    <w:rsid w:val="00956926"/>
    <w:rsid w:val="00956936"/>
    <w:rsid w:val="00956938"/>
    <w:rsid w:val="00956A02"/>
    <w:rsid w:val="00956AA6"/>
    <w:rsid w:val="00956B09"/>
    <w:rsid w:val="00956B19"/>
    <w:rsid w:val="00956B46"/>
    <w:rsid w:val="00956BF6"/>
    <w:rsid w:val="00956C3A"/>
    <w:rsid w:val="00956C3E"/>
    <w:rsid w:val="00956C88"/>
    <w:rsid w:val="00956CCA"/>
    <w:rsid w:val="00956D1D"/>
    <w:rsid w:val="00956D9F"/>
    <w:rsid w:val="00956DBB"/>
    <w:rsid w:val="00956DE8"/>
    <w:rsid w:val="00956E1A"/>
    <w:rsid w:val="00956E1F"/>
    <w:rsid w:val="00956E39"/>
    <w:rsid w:val="00956E64"/>
    <w:rsid w:val="00956EEB"/>
    <w:rsid w:val="00956F3C"/>
    <w:rsid w:val="00956F3F"/>
    <w:rsid w:val="00956F61"/>
    <w:rsid w:val="00956FB5"/>
    <w:rsid w:val="00957070"/>
    <w:rsid w:val="0095709F"/>
    <w:rsid w:val="009570C7"/>
    <w:rsid w:val="009570E8"/>
    <w:rsid w:val="00957166"/>
    <w:rsid w:val="00957173"/>
    <w:rsid w:val="009571B4"/>
    <w:rsid w:val="009571E6"/>
    <w:rsid w:val="009571E9"/>
    <w:rsid w:val="00957231"/>
    <w:rsid w:val="0095724B"/>
    <w:rsid w:val="0095725C"/>
    <w:rsid w:val="00957299"/>
    <w:rsid w:val="009572E6"/>
    <w:rsid w:val="0095732F"/>
    <w:rsid w:val="00957332"/>
    <w:rsid w:val="0095738E"/>
    <w:rsid w:val="0095739F"/>
    <w:rsid w:val="009573C0"/>
    <w:rsid w:val="009573CF"/>
    <w:rsid w:val="00957444"/>
    <w:rsid w:val="00957458"/>
    <w:rsid w:val="0095745F"/>
    <w:rsid w:val="00957476"/>
    <w:rsid w:val="009574C8"/>
    <w:rsid w:val="009574D5"/>
    <w:rsid w:val="009575A6"/>
    <w:rsid w:val="00957618"/>
    <w:rsid w:val="0095761B"/>
    <w:rsid w:val="0095763A"/>
    <w:rsid w:val="00957695"/>
    <w:rsid w:val="00957697"/>
    <w:rsid w:val="0095772A"/>
    <w:rsid w:val="00957780"/>
    <w:rsid w:val="009577D1"/>
    <w:rsid w:val="009577DD"/>
    <w:rsid w:val="009578CB"/>
    <w:rsid w:val="0095795B"/>
    <w:rsid w:val="009579A1"/>
    <w:rsid w:val="00957A16"/>
    <w:rsid w:val="00957A2B"/>
    <w:rsid w:val="00957A4E"/>
    <w:rsid w:val="00957B6D"/>
    <w:rsid w:val="00957B77"/>
    <w:rsid w:val="00957C0F"/>
    <w:rsid w:val="00957C2B"/>
    <w:rsid w:val="00957C2F"/>
    <w:rsid w:val="00957C53"/>
    <w:rsid w:val="00957C97"/>
    <w:rsid w:val="00957CEC"/>
    <w:rsid w:val="00957D40"/>
    <w:rsid w:val="00957D65"/>
    <w:rsid w:val="00957D6B"/>
    <w:rsid w:val="00957D71"/>
    <w:rsid w:val="00957D87"/>
    <w:rsid w:val="00957DB7"/>
    <w:rsid w:val="00957DD1"/>
    <w:rsid w:val="00957E4E"/>
    <w:rsid w:val="00957EBE"/>
    <w:rsid w:val="00957EC9"/>
    <w:rsid w:val="00957EE2"/>
    <w:rsid w:val="00957EE9"/>
    <w:rsid w:val="00957EFC"/>
    <w:rsid w:val="00957F34"/>
    <w:rsid w:val="00957F3A"/>
    <w:rsid w:val="00957F83"/>
    <w:rsid w:val="00957FBF"/>
    <w:rsid w:val="00960085"/>
    <w:rsid w:val="009600B5"/>
    <w:rsid w:val="0096010D"/>
    <w:rsid w:val="0096012A"/>
    <w:rsid w:val="0096012C"/>
    <w:rsid w:val="009601C7"/>
    <w:rsid w:val="00960239"/>
    <w:rsid w:val="0096026E"/>
    <w:rsid w:val="009602A9"/>
    <w:rsid w:val="0096030D"/>
    <w:rsid w:val="00960321"/>
    <w:rsid w:val="009603E9"/>
    <w:rsid w:val="00960433"/>
    <w:rsid w:val="00960470"/>
    <w:rsid w:val="00960495"/>
    <w:rsid w:val="009604CC"/>
    <w:rsid w:val="0096051B"/>
    <w:rsid w:val="009605A9"/>
    <w:rsid w:val="009605FE"/>
    <w:rsid w:val="0096060A"/>
    <w:rsid w:val="00960621"/>
    <w:rsid w:val="009607A8"/>
    <w:rsid w:val="009607B7"/>
    <w:rsid w:val="009607F8"/>
    <w:rsid w:val="00960805"/>
    <w:rsid w:val="00960822"/>
    <w:rsid w:val="009608A4"/>
    <w:rsid w:val="009608CE"/>
    <w:rsid w:val="00960976"/>
    <w:rsid w:val="0096099D"/>
    <w:rsid w:val="009609B9"/>
    <w:rsid w:val="009609C5"/>
    <w:rsid w:val="00960A31"/>
    <w:rsid w:val="00960A7A"/>
    <w:rsid w:val="00960A89"/>
    <w:rsid w:val="00960AAC"/>
    <w:rsid w:val="00960ABC"/>
    <w:rsid w:val="00960B62"/>
    <w:rsid w:val="00960B7C"/>
    <w:rsid w:val="00960B88"/>
    <w:rsid w:val="00960BD0"/>
    <w:rsid w:val="00960C79"/>
    <w:rsid w:val="00960C80"/>
    <w:rsid w:val="00960CB5"/>
    <w:rsid w:val="00960D39"/>
    <w:rsid w:val="00960D3B"/>
    <w:rsid w:val="00960D55"/>
    <w:rsid w:val="00960E9A"/>
    <w:rsid w:val="00960EEA"/>
    <w:rsid w:val="00960F9D"/>
    <w:rsid w:val="00960FCC"/>
    <w:rsid w:val="00961022"/>
    <w:rsid w:val="0096107C"/>
    <w:rsid w:val="0096107F"/>
    <w:rsid w:val="0096114C"/>
    <w:rsid w:val="009611D4"/>
    <w:rsid w:val="00961251"/>
    <w:rsid w:val="0096129C"/>
    <w:rsid w:val="009612DC"/>
    <w:rsid w:val="00961367"/>
    <w:rsid w:val="009613CB"/>
    <w:rsid w:val="009613EF"/>
    <w:rsid w:val="00961414"/>
    <w:rsid w:val="00961484"/>
    <w:rsid w:val="009614B4"/>
    <w:rsid w:val="009614D6"/>
    <w:rsid w:val="009614EB"/>
    <w:rsid w:val="0096153F"/>
    <w:rsid w:val="00961545"/>
    <w:rsid w:val="009615B2"/>
    <w:rsid w:val="009615F9"/>
    <w:rsid w:val="00961614"/>
    <w:rsid w:val="009616A5"/>
    <w:rsid w:val="009616FE"/>
    <w:rsid w:val="00961710"/>
    <w:rsid w:val="0096172A"/>
    <w:rsid w:val="0096179E"/>
    <w:rsid w:val="009617CF"/>
    <w:rsid w:val="009617F3"/>
    <w:rsid w:val="0096190B"/>
    <w:rsid w:val="00961964"/>
    <w:rsid w:val="0096196B"/>
    <w:rsid w:val="00961981"/>
    <w:rsid w:val="00961985"/>
    <w:rsid w:val="009619FE"/>
    <w:rsid w:val="00961A73"/>
    <w:rsid w:val="00961AEC"/>
    <w:rsid w:val="00961B2D"/>
    <w:rsid w:val="00961BF1"/>
    <w:rsid w:val="00961C02"/>
    <w:rsid w:val="00961C05"/>
    <w:rsid w:val="00961CD8"/>
    <w:rsid w:val="00961CE3"/>
    <w:rsid w:val="00961D4E"/>
    <w:rsid w:val="00961D90"/>
    <w:rsid w:val="00961DB9"/>
    <w:rsid w:val="00961E23"/>
    <w:rsid w:val="00961E46"/>
    <w:rsid w:val="00961E9F"/>
    <w:rsid w:val="00961F09"/>
    <w:rsid w:val="00961F27"/>
    <w:rsid w:val="00961F46"/>
    <w:rsid w:val="00961FC4"/>
    <w:rsid w:val="00962003"/>
    <w:rsid w:val="0096215C"/>
    <w:rsid w:val="00962161"/>
    <w:rsid w:val="00962193"/>
    <w:rsid w:val="009621E6"/>
    <w:rsid w:val="009621E9"/>
    <w:rsid w:val="00962264"/>
    <w:rsid w:val="009622A0"/>
    <w:rsid w:val="009622BE"/>
    <w:rsid w:val="009622FA"/>
    <w:rsid w:val="00962327"/>
    <w:rsid w:val="00962391"/>
    <w:rsid w:val="009623B7"/>
    <w:rsid w:val="00962461"/>
    <w:rsid w:val="00962481"/>
    <w:rsid w:val="009624AF"/>
    <w:rsid w:val="009624F6"/>
    <w:rsid w:val="00962580"/>
    <w:rsid w:val="00962644"/>
    <w:rsid w:val="00962684"/>
    <w:rsid w:val="009626D6"/>
    <w:rsid w:val="00962739"/>
    <w:rsid w:val="0096286F"/>
    <w:rsid w:val="009628DC"/>
    <w:rsid w:val="009628E6"/>
    <w:rsid w:val="00962921"/>
    <w:rsid w:val="00962929"/>
    <w:rsid w:val="0096292A"/>
    <w:rsid w:val="00962954"/>
    <w:rsid w:val="00962964"/>
    <w:rsid w:val="00962AA3"/>
    <w:rsid w:val="00962AAB"/>
    <w:rsid w:val="00962AB3"/>
    <w:rsid w:val="00962AD4"/>
    <w:rsid w:val="00962AF9"/>
    <w:rsid w:val="00962B14"/>
    <w:rsid w:val="00962B2D"/>
    <w:rsid w:val="00962B3A"/>
    <w:rsid w:val="00962B49"/>
    <w:rsid w:val="00962B75"/>
    <w:rsid w:val="00962BA7"/>
    <w:rsid w:val="00962C05"/>
    <w:rsid w:val="00962C28"/>
    <w:rsid w:val="00962C3F"/>
    <w:rsid w:val="00962C91"/>
    <w:rsid w:val="00962D08"/>
    <w:rsid w:val="00962D67"/>
    <w:rsid w:val="00962D75"/>
    <w:rsid w:val="00962DCE"/>
    <w:rsid w:val="00962DD0"/>
    <w:rsid w:val="00962E1E"/>
    <w:rsid w:val="00962E55"/>
    <w:rsid w:val="00962E7E"/>
    <w:rsid w:val="00962EC9"/>
    <w:rsid w:val="00962EE2"/>
    <w:rsid w:val="00962F0E"/>
    <w:rsid w:val="00962F39"/>
    <w:rsid w:val="00962FA7"/>
    <w:rsid w:val="00962FD2"/>
    <w:rsid w:val="00962FFF"/>
    <w:rsid w:val="0096304E"/>
    <w:rsid w:val="009630A3"/>
    <w:rsid w:val="00963289"/>
    <w:rsid w:val="0096328D"/>
    <w:rsid w:val="00963296"/>
    <w:rsid w:val="009632B1"/>
    <w:rsid w:val="009632C9"/>
    <w:rsid w:val="009632EC"/>
    <w:rsid w:val="0096335D"/>
    <w:rsid w:val="00963373"/>
    <w:rsid w:val="009633B3"/>
    <w:rsid w:val="009633B5"/>
    <w:rsid w:val="009633BB"/>
    <w:rsid w:val="009633C4"/>
    <w:rsid w:val="009633DA"/>
    <w:rsid w:val="009633F6"/>
    <w:rsid w:val="00963492"/>
    <w:rsid w:val="009634E3"/>
    <w:rsid w:val="009634FA"/>
    <w:rsid w:val="0096352C"/>
    <w:rsid w:val="009635F9"/>
    <w:rsid w:val="00963618"/>
    <w:rsid w:val="0096366D"/>
    <w:rsid w:val="00963675"/>
    <w:rsid w:val="009636D5"/>
    <w:rsid w:val="009636F3"/>
    <w:rsid w:val="009636FF"/>
    <w:rsid w:val="00963722"/>
    <w:rsid w:val="00963741"/>
    <w:rsid w:val="009637D5"/>
    <w:rsid w:val="00963801"/>
    <w:rsid w:val="00963823"/>
    <w:rsid w:val="0096388B"/>
    <w:rsid w:val="0096388D"/>
    <w:rsid w:val="00963989"/>
    <w:rsid w:val="00963998"/>
    <w:rsid w:val="00963A7F"/>
    <w:rsid w:val="00963A8C"/>
    <w:rsid w:val="00963ABF"/>
    <w:rsid w:val="00963AF8"/>
    <w:rsid w:val="00963B0F"/>
    <w:rsid w:val="00963B1F"/>
    <w:rsid w:val="00963B6D"/>
    <w:rsid w:val="00963B9D"/>
    <w:rsid w:val="00963BBE"/>
    <w:rsid w:val="00963BCD"/>
    <w:rsid w:val="00963C18"/>
    <w:rsid w:val="00963C2A"/>
    <w:rsid w:val="00963C51"/>
    <w:rsid w:val="00963CF4"/>
    <w:rsid w:val="00963DA8"/>
    <w:rsid w:val="00963DC9"/>
    <w:rsid w:val="00963E0B"/>
    <w:rsid w:val="00963E0C"/>
    <w:rsid w:val="00963E41"/>
    <w:rsid w:val="00963E57"/>
    <w:rsid w:val="00963E5E"/>
    <w:rsid w:val="00963E73"/>
    <w:rsid w:val="00963E99"/>
    <w:rsid w:val="00963ED3"/>
    <w:rsid w:val="00963EF7"/>
    <w:rsid w:val="00963F9A"/>
    <w:rsid w:val="00963FA3"/>
    <w:rsid w:val="00963FED"/>
    <w:rsid w:val="00963FF9"/>
    <w:rsid w:val="0096416C"/>
    <w:rsid w:val="009641AC"/>
    <w:rsid w:val="009641DA"/>
    <w:rsid w:val="0096420F"/>
    <w:rsid w:val="00964252"/>
    <w:rsid w:val="009642A5"/>
    <w:rsid w:val="009642D1"/>
    <w:rsid w:val="009642DF"/>
    <w:rsid w:val="009643E8"/>
    <w:rsid w:val="009643F3"/>
    <w:rsid w:val="00964402"/>
    <w:rsid w:val="00964429"/>
    <w:rsid w:val="00964444"/>
    <w:rsid w:val="00964463"/>
    <w:rsid w:val="0096447A"/>
    <w:rsid w:val="00964505"/>
    <w:rsid w:val="0096451E"/>
    <w:rsid w:val="0096454F"/>
    <w:rsid w:val="00964599"/>
    <w:rsid w:val="009645AA"/>
    <w:rsid w:val="009645E7"/>
    <w:rsid w:val="009645FF"/>
    <w:rsid w:val="0096463D"/>
    <w:rsid w:val="00964665"/>
    <w:rsid w:val="00964666"/>
    <w:rsid w:val="0096466D"/>
    <w:rsid w:val="009646A7"/>
    <w:rsid w:val="00964782"/>
    <w:rsid w:val="0096480F"/>
    <w:rsid w:val="009648A0"/>
    <w:rsid w:val="009648E1"/>
    <w:rsid w:val="00964916"/>
    <w:rsid w:val="0096498B"/>
    <w:rsid w:val="00964994"/>
    <w:rsid w:val="00964A30"/>
    <w:rsid w:val="00964B14"/>
    <w:rsid w:val="00964B2F"/>
    <w:rsid w:val="00964B3F"/>
    <w:rsid w:val="00964B42"/>
    <w:rsid w:val="00964B9C"/>
    <w:rsid w:val="00964BAC"/>
    <w:rsid w:val="00964BF0"/>
    <w:rsid w:val="00964C3A"/>
    <w:rsid w:val="00964C4E"/>
    <w:rsid w:val="00964C8A"/>
    <w:rsid w:val="00964CFC"/>
    <w:rsid w:val="00964D05"/>
    <w:rsid w:val="00964D4D"/>
    <w:rsid w:val="00964DAA"/>
    <w:rsid w:val="00964DFD"/>
    <w:rsid w:val="00964E4E"/>
    <w:rsid w:val="00964EF2"/>
    <w:rsid w:val="00964F07"/>
    <w:rsid w:val="00964F14"/>
    <w:rsid w:val="00964F16"/>
    <w:rsid w:val="00964F25"/>
    <w:rsid w:val="00964F31"/>
    <w:rsid w:val="00964F84"/>
    <w:rsid w:val="00964FD6"/>
    <w:rsid w:val="00965002"/>
    <w:rsid w:val="00965058"/>
    <w:rsid w:val="0096508E"/>
    <w:rsid w:val="009650A3"/>
    <w:rsid w:val="009651A5"/>
    <w:rsid w:val="009651CD"/>
    <w:rsid w:val="0096529F"/>
    <w:rsid w:val="009652DA"/>
    <w:rsid w:val="009652FB"/>
    <w:rsid w:val="0096536C"/>
    <w:rsid w:val="0096536F"/>
    <w:rsid w:val="00965383"/>
    <w:rsid w:val="00965390"/>
    <w:rsid w:val="009653EF"/>
    <w:rsid w:val="00965480"/>
    <w:rsid w:val="009654F3"/>
    <w:rsid w:val="0096550B"/>
    <w:rsid w:val="00965566"/>
    <w:rsid w:val="009655F5"/>
    <w:rsid w:val="0096560D"/>
    <w:rsid w:val="00965630"/>
    <w:rsid w:val="00965648"/>
    <w:rsid w:val="0096569C"/>
    <w:rsid w:val="009656DC"/>
    <w:rsid w:val="0096573F"/>
    <w:rsid w:val="00965740"/>
    <w:rsid w:val="0096575F"/>
    <w:rsid w:val="009657A8"/>
    <w:rsid w:val="009657DC"/>
    <w:rsid w:val="0096584D"/>
    <w:rsid w:val="00965894"/>
    <w:rsid w:val="009658A6"/>
    <w:rsid w:val="009658D5"/>
    <w:rsid w:val="009658ED"/>
    <w:rsid w:val="0096591D"/>
    <w:rsid w:val="0096599A"/>
    <w:rsid w:val="009659C9"/>
    <w:rsid w:val="009659D1"/>
    <w:rsid w:val="00965A17"/>
    <w:rsid w:val="00965A2F"/>
    <w:rsid w:val="00965A3E"/>
    <w:rsid w:val="00965A55"/>
    <w:rsid w:val="00965A98"/>
    <w:rsid w:val="00965B6D"/>
    <w:rsid w:val="00965B86"/>
    <w:rsid w:val="00965C05"/>
    <w:rsid w:val="00965C06"/>
    <w:rsid w:val="00965C49"/>
    <w:rsid w:val="00965C81"/>
    <w:rsid w:val="00965C99"/>
    <w:rsid w:val="00965CC4"/>
    <w:rsid w:val="00965CCA"/>
    <w:rsid w:val="00965D76"/>
    <w:rsid w:val="00965DC3"/>
    <w:rsid w:val="00965DE7"/>
    <w:rsid w:val="00965DF9"/>
    <w:rsid w:val="00965E0B"/>
    <w:rsid w:val="00965E3E"/>
    <w:rsid w:val="00965EC2"/>
    <w:rsid w:val="00965EC7"/>
    <w:rsid w:val="00965F8B"/>
    <w:rsid w:val="00965FA5"/>
    <w:rsid w:val="00965FB3"/>
    <w:rsid w:val="00965FB5"/>
    <w:rsid w:val="00966048"/>
    <w:rsid w:val="00966049"/>
    <w:rsid w:val="0096604D"/>
    <w:rsid w:val="00966058"/>
    <w:rsid w:val="0096608A"/>
    <w:rsid w:val="00966113"/>
    <w:rsid w:val="0096617E"/>
    <w:rsid w:val="009661A5"/>
    <w:rsid w:val="009661B4"/>
    <w:rsid w:val="009661C2"/>
    <w:rsid w:val="009661EC"/>
    <w:rsid w:val="009661EF"/>
    <w:rsid w:val="00966279"/>
    <w:rsid w:val="00966297"/>
    <w:rsid w:val="009662A0"/>
    <w:rsid w:val="009662A9"/>
    <w:rsid w:val="009662B9"/>
    <w:rsid w:val="009663DB"/>
    <w:rsid w:val="00966400"/>
    <w:rsid w:val="00966412"/>
    <w:rsid w:val="0096643B"/>
    <w:rsid w:val="00966488"/>
    <w:rsid w:val="009664F6"/>
    <w:rsid w:val="00966514"/>
    <w:rsid w:val="0096656B"/>
    <w:rsid w:val="009665C7"/>
    <w:rsid w:val="0096661A"/>
    <w:rsid w:val="00966662"/>
    <w:rsid w:val="00966702"/>
    <w:rsid w:val="0096670D"/>
    <w:rsid w:val="00966741"/>
    <w:rsid w:val="009667DB"/>
    <w:rsid w:val="00966819"/>
    <w:rsid w:val="00966851"/>
    <w:rsid w:val="009668B4"/>
    <w:rsid w:val="0096692F"/>
    <w:rsid w:val="00966930"/>
    <w:rsid w:val="009669B6"/>
    <w:rsid w:val="009669D1"/>
    <w:rsid w:val="009669FF"/>
    <w:rsid w:val="00966A21"/>
    <w:rsid w:val="00966AA7"/>
    <w:rsid w:val="00966BAB"/>
    <w:rsid w:val="00966BCD"/>
    <w:rsid w:val="00966BF6"/>
    <w:rsid w:val="00966BF8"/>
    <w:rsid w:val="00966C43"/>
    <w:rsid w:val="00966C60"/>
    <w:rsid w:val="00966C69"/>
    <w:rsid w:val="00966C7A"/>
    <w:rsid w:val="00966C93"/>
    <w:rsid w:val="00966C9F"/>
    <w:rsid w:val="00966CB6"/>
    <w:rsid w:val="00966CBE"/>
    <w:rsid w:val="00966CD2"/>
    <w:rsid w:val="00966D37"/>
    <w:rsid w:val="00966D5D"/>
    <w:rsid w:val="00966D6B"/>
    <w:rsid w:val="00966E1C"/>
    <w:rsid w:val="00966E53"/>
    <w:rsid w:val="00966E5F"/>
    <w:rsid w:val="00966F2F"/>
    <w:rsid w:val="00966F4D"/>
    <w:rsid w:val="00966F7D"/>
    <w:rsid w:val="00966FB9"/>
    <w:rsid w:val="00967008"/>
    <w:rsid w:val="009670F9"/>
    <w:rsid w:val="0096710C"/>
    <w:rsid w:val="0096714F"/>
    <w:rsid w:val="0096716F"/>
    <w:rsid w:val="0096719C"/>
    <w:rsid w:val="009671CE"/>
    <w:rsid w:val="0096722F"/>
    <w:rsid w:val="00967244"/>
    <w:rsid w:val="0096727B"/>
    <w:rsid w:val="00967308"/>
    <w:rsid w:val="0096730D"/>
    <w:rsid w:val="00967313"/>
    <w:rsid w:val="0096737C"/>
    <w:rsid w:val="009674B2"/>
    <w:rsid w:val="009674E4"/>
    <w:rsid w:val="0096755A"/>
    <w:rsid w:val="00967634"/>
    <w:rsid w:val="009676A1"/>
    <w:rsid w:val="009676BB"/>
    <w:rsid w:val="009676C7"/>
    <w:rsid w:val="00967715"/>
    <w:rsid w:val="0096771B"/>
    <w:rsid w:val="00967750"/>
    <w:rsid w:val="00967756"/>
    <w:rsid w:val="00967786"/>
    <w:rsid w:val="009677A6"/>
    <w:rsid w:val="009677C8"/>
    <w:rsid w:val="009677E0"/>
    <w:rsid w:val="009678B3"/>
    <w:rsid w:val="0096791C"/>
    <w:rsid w:val="00967988"/>
    <w:rsid w:val="00967A05"/>
    <w:rsid w:val="00967A1E"/>
    <w:rsid w:val="00967A5A"/>
    <w:rsid w:val="00967A6E"/>
    <w:rsid w:val="00967A81"/>
    <w:rsid w:val="00967A82"/>
    <w:rsid w:val="00967A93"/>
    <w:rsid w:val="00967AAD"/>
    <w:rsid w:val="00967B00"/>
    <w:rsid w:val="00967B5E"/>
    <w:rsid w:val="00967B91"/>
    <w:rsid w:val="00967BB3"/>
    <w:rsid w:val="00967BC4"/>
    <w:rsid w:val="00967BCC"/>
    <w:rsid w:val="00967BE1"/>
    <w:rsid w:val="00967BE8"/>
    <w:rsid w:val="00967C2E"/>
    <w:rsid w:val="00967C43"/>
    <w:rsid w:val="00967C5B"/>
    <w:rsid w:val="00967C8F"/>
    <w:rsid w:val="00967CF3"/>
    <w:rsid w:val="00967D14"/>
    <w:rsid w:val="00967D25"/>
    <w:rsid w:val="00967D4F"/>
    <w:rsid w:val="00967E37"/>
    <w:rsid w:val="00967EE0"/>
    <w:rsid w:val="00967F02"/>
    <w:rsid w:val="00967F22"/>
    <w:rsid w:val="009700AB"/>
    <w:rsid w:val="00970175"/>
    <w:rsid w:val="009701AF"/>
    <w:rsid w:val="00970234"/>
    <w:rsid w:val="009702C9"/>
    <w:rsid w:val="00970361"/>
    <w:rsid w:val="00970363"/>
    <w:rsid w:val="0097039C"/>
    <w:rsid w:val="0097043E"/>
    <w:rsid w:val="00970459"/>
    <w:rsid w:val="00970475"/>
    <w:rsid w:val="0097047B"/>
    <w:rsid w:val="009704B1"/>
    <w:rsid w:val="009704E4"/>
    <w:rsid w:val="009704F6"/>
    <w:rsid w:val="00970506"/>
    <w:rsid w:val="00970508"/>
    <w:rsid w:val="0097055F"/>
    <w:rsid w:val="00970577"/>
    <w:rsid w:val="0097058D"/>
    <w:rsid w:val="00970647"/>
    <w:rsid w:val="0097064F"/>
    <w:rsid w:val="00970684"/>
    <w:rsid w:val="009706E2"/>
    <w:rsid w:val="009706ED"/>
    <w:rsid w:val="00970750"/>
    <w:rsid w:val="009707A9"/>
    <w:rsid w:val="00970823"/>
    <w:rsid w:val="0097082B"/>
    <w:rsid w:val="0097086A"/>
    <w:rsid w:val="00970930"/>
    <w:rsid w:val="00970982"/>
    <w:rsid w:val="0097099B"/>
    <w:rsid w:val="009709AF"/>
    <w:rsid w:val="00970AFC"/>
    <w:rsid w:val="00970C7F"/>
    <w:rsid w:val="00970C93"/>
    <w:rsid w:val="00970CC6"/>
    <w:rsid w:val="00970D20"/>
    <w:rsid w:val="00970D42"/>
    <w:rsid w:val="00970D47"/>
    <w:rsid w:val="00970DA7"/>
    <w:rsid w:val="00970DB8"/>
    <w:rsid w:val="00970DCA"/>
    <w:rsid w:val="00970DFA"/>
    <w:rsid w:val="00970E67"/>
    <w:rsid w:val="00970E69"/>
    <w:rsid w:val="00970F48"/>
    <w:rsid w:val="00970F7A"/>
    <w:rsid w:val="00971001"/>
    <w:rsid w:val="00971003"/>
    <w:rsid w:val="00971042"/>
    <w:rsid w:val="009710AE"/>
    <w:rsid w:val="00971121"/>
    <w:rsid w:val="009711F1"/>
    <w:rsid w:val="009711F7"/>
    <w:rsid w:val="00971209"/>
    <w:rsid w:val="0097127D"/>
    <w:rsid w:val="00971286"/>
    <w:rsid w:val="00971308"/>
    <w:rsid w:val="0097134C"/>
    <w:rsid w:val="00971453"/>
    <w:rsid w:val="0097147F"/>
    <w:rsid w:val="009714AE"/>
    <w:rsid w:val="009714B2"/>
    <w:rsid w:val="009714D3"/>
    <w:rsid w:val="00971567"/>
    <w:rsid w:val="0097159A"/>
    <w:rsid w:val="009715C1"/>
    <w:rsid w:val="009715E6"/>
    <w:rsid w:val="009715F0"/>
    <w:rsid w:val="009715FC"/>
    <w:rsid w:val="009716F9"/>
    <w:rsid w:val="009716FF"/>
    <w:rsid w:val="00971767"/>
    <w:rsid w:val="0097176F"/>
    <w:rsid w:val="009717F6"/>
    <w:rsid w:val="00971807"/>
    <w:rsid w:val="0097180F"/>
    <w:rsid w:val="0097189B"/>
    <w:rsid w:val="009719AD"/>
    <w:rsid w:val="009719F6"/>
    <w:rsid w:val="00971A5D"/>
    <w:rsid w:val="00971A5F"/>
    <w:rsid w:val="00971AAB"/>
    <w:rsid w:val="00971AAC"/>
    <w:rsid w:val="00971B05"/>
    <w:rsid w:val="00971B48"/>
    <w:rsid w:val="00971B55"/>
    <w:rsid w:val="00971B74"/>
    <w:rsid w:val="00971B9B"/>
    <w:rsid w:val="00971BE0"/>
    <w:rsid w:val="00971BEB"/>
    <w:rsid w:val="00971D5B"/>
    <w:rsid w:val="00971D7A"/>
    <w:rsid w:val="00971D8A"/>
    <w:rsid w:val="00971DC9"/>
    <w:rsid w:val="00971DDD"/>
    <w:rsid w:val="00971E3C"/>
    <w:rsid w:val="00971E4F"/>
    <w:rsid w:val="00971EAE"/>
    <w:rsid w:val="00971EB7"/>
    <w:rsid w:val="00971EDF"/>
    <w:rsid w:val="00971EFD"/>
    <w:rsid w:val="00971F3A"/>
    <w:rsid w:val="00971F79"/>
    <w:rsid w:val="00971F86"/>
    <w:rsid w:val="00971FAF"/>
    <w:rsid w:val="00971FE9"/>
    <w:rsid w:val="0097200F"/>
    <w:rsid w:val="00972051"/>
    <w:rsid w:val="00972060"/>
    <w:rsid w:val="009720C8"/>
    <w:rsid w:val="009720D3"/>
    <w:rsid w:val="0097212F"/>
    <w:rsid w:val="00972293"/>
    <w:rsid w:val="0097229D"/>
    <w:rsid w:val="00972397"/>
    <w:rsid w:val="00972426"/>
    <w:rsid w:val="0097244E"/>
    <w:rsid w:val="00972461"/>
    <w:rsid w:val="009724ED"/>
    <w:rsid w:val="0097254E"/>
    <w:rsid w:val="0097255E"/>
    <w:rsid w:val="00972667"/>
    <w:rsid w:val="00972679"/>
    <w:rsid w:val="009726A3"/>
    <w:rsid w:val="009726B8"/>
    <w:rsid w:val="009726D3"/>
    <w:rsid w:val="009726E2"/>
    <w:rsid w:val="00972771"/>
    <w:rsid w:val="009727D9"/>
    <w:rsid w:val="009727E8"/>
    <w:rsid w:val="009727F2"/>
    <w:rsid w:val="0097282A"/>
    <w:rsid w:val="00972955"/>
    <w:rsid w:val="00972959"/>
    <w:rsid w:val="009729F3"/>
    <w:rsid w:val="00972A17"/>
    <w:rsid w:val="00972AE6"/>
    <w:rsid w:val="00972B51"/>
    <w:rsid w:val="00972B5F"/>
    <w:rsid w:val="00972B9B"/>
    <w:rsid w:val="00972C1A"/>
    <w:rsid w:val="00972C1E"/>
    <w:rsid w:val="00972C73"/>
    <w:rsid w:val="00972C99"/>
    <w:rsid w:val="00972CDA"/>
    <w:rsid w:val="00972CF5"/>
    <w:rsid w:val="00972D16"/>
    <w:rsid w:val="00972D46"/>
    <w:rsid w:val="00972D6B"/>
    <w:rsid w:val="00972DED"/>
    <w:rsid w:val="00972DF9"/>
    <w:rsid w:val="00972DFC"/>
    <w:rsid w:val="00972E3D"/>
    <w:rsid w:val="00972EAD"/>
    <w:rsid w:val="00972F37"/>
    <w:rsid w:val="00972F41"/>
    <w:rsid w:val="00972F84"/>
    <w:rsid w:val="00972FCE"/>
    <w:rsid w:val="00972FE8"/>
    <w:rsid w:val="00973036"/>
    <w:rsid w:val="00973061"/>
    <w:rsid w:val="009730A4"/>
    <w:rsid w:val="00973154"/>
    <w:rsid w:val="009732D5"/>
    <w:rsid w:val="009732F5"/>
    <w:rsid w:val="0097336C"/>
    <w:rsid w:val="009733C9"/>
    <w:rsid w:val="009733F9"/>
    <w:rsid w:val="009733FB"/>
    <w:rsid w:val="00973456"/>
    <w:rsid w:val="00973480"/>
    <w:rsid w:val="00973492"/>
    <w:rsid w:val="009734C5"/>
    <w:rsid w:val="0097350E"/>
    <w:rsid w:val="0097356B"/>
    <w:rsid w:val="00973591"/>
    <w:rsid w:val="009735D0"/>
    <w:rsid w:val="00973639"/>
    <w:rsid w:val="0097366B"/>
    <w:rsid w:val="0097370D"/>
    <w:rsid w:val="00973758"/>
    <w:rsid w:val="0097375A"/>
    <w:rsid w:val="009737A5"/>
    <w:rsid w:val="00973812"/>
    <w:rsid w:val="0097386F"/>
    <w:rsid w:val="009738A4"/>
    <w:rsid w:val="00973910"/>
    <w:rsid w:val="0097394D"/>
    <w:rsid w:val="009739A3"/>
    <w:rsid w:val="00973A60"/>
    <w:rsid w:val="00973ADF"/>
    <w:rsid w:val="00973AE6"/>
    <w:rsid w:val="00973AFC"/>
    <w:rsid w:val="00973B48"/>
    <w:rsid w:val="00973B6C"/>
    <w:rsid w:val="00973BF3"/>
    <w:rsid w:val="00973C00"/>
    <w:rsid w:val="00973C68"/>
    <w:rsid w:val="00973CB0"/>
    <w:rsid w:val="00973CED"/>
    <w:rsid w:val="00973D9C"/>
    <w:rsid w:val="00973DC0"/>
    <w:rsid w:val="00973DEC"/>
    <w:rsid w:val="00973E50"/>
    <w:rsid w:val="00973E65"/>
    <w:rsid w:val="00973EC1"/>
    <w:rsid w:val="00973F29"/>
    <w:rsid w:val="00973F61"/>
    <w:rsid w:val="009740AB"/>
    <w:rsid w:val="00974182"/>
    <w:rsid w:val="0097418C"/>
    <w:rsid w:val="00974217"/>
    <w:rsid w:val="0097422E"/>
    <w:rsid w:val="0097423A"/>
    <w:rsid w:val="0097424D"/>
    <w:rsid w:val="00974259"/>
    <w:rsid w:val="0097428E"/>
    <w:rsid w:val="009742BF"/>
    <w:rsid w:val="009742EE"/>
    <w:rsid w:val="00974356"/>
    <w:rsid w:val="00974371"/>
    <w:rsid w:val="00974379"/>
    <w:rsid w:val="0097437E"/>
    <w:rsid w:val="009743C2"/>
    <w:rsid w:val="009743D3"/>
    <w:rsid w:val="00974489"/>
    <w:rsid w:val="0097449D"/>
    <w:rsid w:val="009744B6"/>
    <w:rsid w:val="0097451F"/>
    <w:rsid w:val="009745EB"/>
    <w:rsid w:val="00974657"/>
    <w:rsid w:val="0097465C"/>
    <w:rsid w:val="0097469F"/>
    <w:rsid w:val="009746BF"/>
    <w:rsid w:val="009746D2"/>
    <w:rsid w:val="00974701"/>
    <w:rsid w:val="0097479D"/>
    <w:rsid w:val="009748C2"/>
    <w:rsid w:val="009748D2"/>
    <w:rsid w:val="0097496B"/>
    <w:rsid w:val="0097499A"/>
    <w:rsid w:val="00974A9B"/>
    <w:rsid w:val="00974AB4"/>
    <w:rsid w:val="00974AC1"/>
    <w:rsid w:val="00974ADF"/>
    <w:rsid w:val="00974BF0"/>
    <w:rsid w:val="00974C05"/>
    <w:rsid w:val="00974C72"/>
    <w:rsid w:val="00974C7B"/>
    <w:rsid w:val="00974C7E"/>
    <w:rsid w:val="00974CAF"/>
    <w:rsid w:val="00974D15"/>
    <w:rsid w:val="00974DEF"/>
    <w:rsid w:val="00974E37"/>
    <w:rsid w:val="00974E56"/>
    <w:rsid w:val="00974E5B"/>
    <w:rsid w:val="00974E62"/>
    <w:rsid w:val="00974F39"/>
    <w:rsid w:val="00974F71"/>
    <w:rsid w:val="00974F8A"/>
    <w:rsid w:val="00974FC4"/>
    <w:rsid w:val="00974FD4"/>
    <w:rsid w:val="00974FDC"/>
    <w:rsid w:val="00974FDF"/>
    <w:rsid w:val="0097500B"/>
    <w:rsid w:val="00975010"/>
    <w:rsid w:val="0097519D"/>
    <w:rsid w:val="0097521B"/>
    <w:rsid w:val="00975246"/>
    <w:rsid w:val="0097525F"/>
    <w:rsid w:val="0097528A"/>
    <w:rsid w:val="0097529D"/>
    <w:rsid w:val="009752C5"/>
    <w:rsid w:val="00975376"/>
    <w:rsid w:val="00975379"/>
    <w:rsid w:val="009753BC"/>
    <w:rsid w:val="009754DF"/>
    <w:rsid w:val="00975594"/>
    <w:rsid w:val="009755B3"/>
    <w:rsid w:val="00975600"/>
    <w:rsid w:val="0097563A"/>
    <w:rsid w:val="00975658"/>
    <w:rsid w:val="00975694"/>
    <w:rsid w:val="009756BC"/>
    <w:rsid w:val="009756CF"/>
    <w:rsid w:val="00975714"/>
    <w:rsid w:val="00975724"/>
    <w:rsid w:val="00975749"/>
    <w:rsid w:val="009757DE"/>
    <w:rsid w:val="009757FC"/>
    <w:rsid w:val="0097584E"/>
    <w:rsid w:val="00975863"/>
    <w:rsid w:val="0097586B"/>
    <w:rsid w:val="009758EE"/>
    <w:rsid w:val="00975984"/>
    <w:rsid w:val="009759F5"/>
    <w:rsid w:val="00975A07"/>
    <w:rsid w:val="00975A44"/>
    <w:rsid w:val="00975A77"/>
    <w:rsid w:val="00975AC2"/>
    <w:rsid w:val="00975AD8"/>
    <w:rsid w:val="00975B41"/>
    <w:rsid w:val="00975B6F"/>
    <w:rsid w:val="00975BD2"/>
    <w:rsid w:val="00975BF4"/>
    <w:rsid w:val="00975C08"/>
    <w:rsid w:val="00975C38"/>
    <w:rsid w:val="00975C83"/>
    <w:rsid w:val="00975D7F"/>
    <w:rsid w:val="00975E25"/>
    <w:rsid w:val="00975E34"/>
    <w:rsid w:val="00975E8E"/>
    <w:rsid w:val="00975E9E"/>
    <w:rsid w:val="00975F20"/>
    <w:rsid w:val="00975FBA"/>
    <w:rsid w:val="00975FDF"/>
    <w:rsid w:val="00976014"/>
    <w:rsid w:val="00976033"/>
    <w:rsid w:val="00976056"/>
    <w:rsid w:val="009760E5"/>
    <w:rsid w:val="00976156"/>
    <w:rsid w:val="0097619E"/>
    <w:rsid w:val="009761B4"/>
    <w:rsid w:val="009762C3"/>
    <w:rsid w:val="009762C8"/>
    <w:rsid w:val="009763FD"/>
    <w:rsid w:val="0097642D"/>
    <w:rsid w:val="00976486"/>
    <w:rsid w:val="0097649A"/>
    <w:rsid w:val="0097649D"/>
    <w:rsid w:val="009764B1"/>
    <w:rsid w:val="009764F2"/>
    <w:rsid w:val="00976546"/>
    <w:rsid w:val="0097656E"/>
    <w:rsid w:val="009765A4"/>
    <w:rsid w:val="00976616"/>
    <w:rsid w:val="00976679"/>
    <w:rsid w:val="00976698"/>
    <w:rsid w:val="009766E3"/>
    <w:rsid w:val="00976764"/>
    <w:rsid w:val="0097684F"/>
    <w:rsid w:val="00976889"/>
    <w:rsid w:val="0097688B"/>
    <w:rsid w:val="009768D5"/>
    <w:rsid w:val="0097691A"/>
    <w:rsid w:val="009769ED"/>
    <w:rsid w:val="00976A06"/>
    <w:rsid w:val="00976A16"/>
    <w:rsid w:val="00976AC2"/>
    <w:rsid w:val="00976B5E"/>
    <w:rsid w:val="00976B89"/>
    <w:rsid w:val="00976BDF"/>
    <w:rsid w:val="00976BEE"/>
    <w:rsid w:val="00976CD4"/>
    <w:rsid w:val="00976D5B"/>
    <w:rsid w:val="00976DBC"/>
    <w:rsid w:val="00976E95"/>
    <w:rsid w:val="00976ECD"/>
    <w:rsid w:val="00976ED7"/>
    <w:rsid w:val="00976F28"/>
    <w:rsid w:val="00976F9E"/>
    <w:rsid w:val="00976FC0"/>
    <w:rsid w:val="00976FE5"/>
    <w:rsid w:val="0097707C"/>
    <w:rsid w:val="00977134"/>
    <w:rsid w:val="0097713E"/>
    <w:rsid w:val="00977145"/>
    <w:rsid w:val="009771BD"/>
    <w:rsid w:val="00977368"/>
    <w:rsid w:val="009773EF"/>
    <w:rsid w:val="00977426"/>
    <w:rsid w:val="00977437"/>
    <w:rsid w:val="00977450"/>
    <w:rsid w:val="0097746C"/>
    <w:rsid w:val="009774AD"/>
    <w:rsid w:val="009774DF"/>
    <w:rsid w:val="0097755E"/>
    <w:rsid w:val="0097767E"/>
    <w:rsid w:val="0097768F"/>
    <w:rsid w:val="00977708"/>
    <w:rsid w:val="0097770C"/>
    <w:rsid w:val="00977827"/>
    <w:rsid w:val="0097784C"/>
    <w:rsid w:val="0097785D"/>
    <w:rsid w:val="009778D1"/>
    <w:rsid w:val="009778F0"/>
    <w:rsid w:val="00977A0C"/>
    <w:rsid w:val="00977A11"/>
    <w:rsid w:val="00977A20"/>
    <w:rsid w:val="00977AB7"/>
    <w:rsid w:val="00977B3F"/>
    <w:rsid w:val="00977B63"/>
    <w:rsid w:val="00977BA3"/>
    <w:rsid w:val="00977BEC"/>
    <w:rsid w:val="00977BF1"/>
    <w:rsid w:val="00977C79"/>
    <w:rsid w:val="00977CC8"/>
    <w:rsid w:val="00977CD5"/>
    <w:rsid w:val="00977D44"/>
    <w:rsid w:val="00977DCA"/>
    <w:rsid w:val="00977E05"/>
    <w:rsid w:val="00977E07"/>
    <w:rsid w:val="00977ED3"/>
    <w:rsid w:val="00977F0B"/>
    <w:rsid w:val="00977F2D"/>
    <w:rsid w:val="00977F4B"/>
    <w:rsid w:val="00977FE1"/>
    <w:rsid w:val="00977FE6"/>
    <w:rsid w:val="00977FF8"/>
    <w:rsid w:val="00977FFD"/>
    <w:rsid w:val="00980041"/>
    <w:rsid w:val="00980050"/>
    <w:rsid w:val="00980080"/>
    <w:rsid w:val="009800FA"/>
    <w:rsid w:val="0098017E"/>
    <w:rsid w:val="009801A9"/>
    <w:rsid w:val="009801F8"/>
    <w:rsid w:val="00980268"/>
    <w:rsid w:val="0098028A"/>
    <w:rsid w:val="009802BA"/>
    <w:rsid w:val="009802F2"/>
    <w:rsid w:val="0098035D"/>
    <w:rsid w:val="009803A2"/>
    <w:rsid w:val="009803D2"/>
    <w:rsid w:val="00980422"/>
    <w:rsid w:val="0098052D"/>
    <w:rsid w:val="00980532"/>
    <w:rsid w:val="0098056E"/>
    <w:rsid w:val="00980598"/>
    <w:rsid w:val="009805A5"/>
    <w:rsid w:val="009805B9"/>
    <w:rsid w:val="009805BC"/>
    <w:rsid w:val="009805DE"/>
    <w:rsid w:val="0098068A"/>
    <w:rsid w:val="00980702"/>
    <w:rsid w:val="00980770"/>
    <w:rsid w:val="00980779"/>
    <w:rsid w:val="00980879"/>
    <w:rsid w:val="009808A6"/>
    <w:rsid w:val="009808C0"/>
    <w:rsid w:val="009809C6"/>
    <w:rsid w:val="009809E5"/>
    <w:rsid w:val="00980A28"/>
    <w:rsid w:val="00980A96"/>
    <w:rsid w:val="00980ADE"/>
    <w:rsid w:val="00980AF5"/>
    <w:rsid w:val="00980B29"/>
    <w:rsid w:val="00980B64"/>
    <w:rsid w:val="00980B87"/>
    <w:rsid w:val="00980BA9"/>
    <w:rsid w:val="00980BD2"/>
    <w:rsid w:val="00980C00"/>
    <w:rsid w:val="00980C54"/>
    <w:rsid w:val="00980C6E"/>
    <w:rsid w:val="00980CB8"/>
    <w:rsid w:val="00980CC5"/>
    <w:rsid w:val="00980CE0"/>
    <w:rsid w:val="00980D78"/>
    <w:rsid w:val="00980DA9"/>
    <w:rsid w:val="00980E42"/>
    <w:rsid w:val="00980EA5"/>
    <w:rsid w:val="00980ED5"/>
    <w:rsid w:val="00980EF2"/>
    <w:rsid w:val="00980F23"/>
    <w:rsid w:val="00980FC6"/>
    <w:rsid w:val="00980FE9"/>
    <w:rsid w:val="00981066"/>
    <w:rsid w:val="009810C0"/>
    <w:rsid w:val="009811B2"/>
    <w:rsid w:val="00981209"/>
    <w:rsid w:val="009812E2"/>
    <w:rsid w:val="00981337"/>
    <w:rsid w:val="0098133E"/>
    <w:rsid w:val="0098134F"/>
    <w:rsid w:val="00981377"/>
    <w:rsid w:val="009813D8"/>
    <w:rsid w:val="009813F7"/>
    <w:rsid w:val="0098143C"/>
    <w:rsid w:val="009814C3"/>
    <w:rsid w:val="009814F4"/>
    <w:rsid w:val="0098150F"/>
    <w:rsid w:val="0098151C"/>
    <w:rsid w:val="00981534"/>
    <w:rsid w:val="009815B0"/>
    <w:rsid w:val="009815F5"/>
    <w:rsid w:val="00981740"/>
    <w:rsid w:val="00981755"/>
    <w:rsid w:val="00981800"/>
    <w:rsid w:val="0098180A"/>
    <w:rsid w:val="0098189C"/>
    <w:rsid w:val="009818AF"/>
    <w:rsid w:val="00981913"/>
    <w:rsid w:val="00981942"/>
    <w:rsid w:val="009819E4"/>
    <w:rsid w:val="00981A22"/>
    <w:rsid w:val="00981AE7"/>
    <w:rsid w:val="00981B7E"/>
    <w:rsid w:val="00981BA1"/>
    <w:rsid w:val="00981BBD"/>
    <w:rsid w:val="00981BD1"/>
    <w:rsid w:val="00981BE0"/>
    <w:rsid w:val="00981C6C"/>
    <w:rsid w:val="00981CC1"/>
    <w:rsid w:val="00981D0F"/>
    <w:rsid w:val="00981D40"/>
    <w:rsid w:val="00981D6D"/>
    <w:rsid w:val="00981E03"/>
    <w:rsid w:val="00981E1D"/>
    <w:rsid w:val="00981E65"/>
    <w:rsid w:val="00981E81"/>
    <w:rsid w:val="00981F27"/>
    <w:rsid w:val="00981FC8"/>
    <w:rsid w:val="00982024"/>
    <w:rsid w:val="00982168"/>
    <w:rsid w:val="009821A4"/>
    <w:rsid w:val="0098222A"/>
    <w:rsid w:val="00982238"/>
    <w:rsid w:val="00982247"/>
    <w:rsid w:val="009822FF"/>
    <w:rsid w:val="0098232C"/>
    <w:rsid w:val="0098237E"/>
    <w:rsid w:val="00982466"/>
    <w:rsid w:val="0098246B"/>
    <w:rsid w:val="009824B8"/>
    <w:rsid w:val="00982530"/>
    <w:rsid w:val="0098255A"/>
    <w:rsid w:val="009826C5"/>
    <w:rsid w:val="009826D0"/>
    <w:rsid w:val="009826FD"/>
    <w:rsid w:val="0098270E"/>
    <w:rsid w:val="00982805"/>
    <w:rsid w:val="00982837"/>
    <w:rsid w:val="00982850"/>
    <w:rsid w:val="0098288F"/>
    <w:rsid w:val="009828B7"/>
    <w:rsid w:val="0098291D"/>
    <w:rsid w:val="0098295E"/>
    <w:rsid w:val="00982975"/>
    <w:rsid w:val="00982992"/>
    <w:rsid w:val="00982995"/>
    <w:rsid w:val="00982A6F"/>
    <w:rsid w:val="00982A9B"/>
    <w:rsid w:val="00982ADD"/>
    <w:rsid w:val="00982B03"/>
    <w:rsid w:val="00982B43"/>
    <w:rsid w:val="00982B6A"/>
    <w:rsid w:val="00982B6E"/>
    <w:rsid w:val="00982B71"/>
    <w:rsid w:val="00982BB5"/>
    <w:rsid w:val="00982BC5"/>
    <w:rsid w:val="00982BE3"/>
    <w:rsid w:val="00982C1B"/>
    <w:rsid w:val="00982C2D"/>
    <w:rsid w:val="00982C9E"/>
    <w:rsid w:val="00982CA9"/>
    <w:rsid w:val="00982CB8"/>
    <w:rsid w:val="00982CFC"/>
    <w:rsid w:val="00982CFD"/>
    <w:rsid w:val="00982D7A"/>
    <w:rsid w:val="00982D94"/>
    <w:rsid w:val="00982DCB"/>
    <w:rsid w:val="00982DD9"/>
    <w:rsid w:val="00982DDB"/>
    <w:rsid w:val="00982DDC"/>
    <w:rsid w:val="00982E4E"/>
    <w:rsid w:val="00982E70"/>
    <w:rsid w:val="00982EB3"/>
    <w:rsid w:val="00982EED"/>
    <w:rsid w:val="00982F05"/>
    <w:rsid w:val="00982FE3"/>
    <w:rsid w:val="009830AB"/>
    <w:rsid w:val="009830B4"/>
    <w:rsid w:val="009830D8"/>
    <w:rsid w:val="009830F5"/>
    <w:rsid w:val="0098310F"/>
    <w:rsid w:val="00983122"/>
    <w:rsid w:val="0098318A"/>
    <w:rsid w:val="00983194"/>
    <w:rsid w:val="009831D4"/>
    <w:rsid w:val="0098325A"/>
    <w:rsid w:val="009832A1"/>
    <w:rsid w:val="00983343"/>
    <w:rsid w:val="00983414"/>
    <w:rsid w:val="0098346C"/>
    <w:rsid w:val="0098350A"/>
    <w:rsid w:val="0098350C"/>
    <w:rsid w:val="00983514"/>
    <w:rsid w:val="00983539"/>
    <w:rsid w:val="00983570"/>
    <w:rsid w:val="00983592"/>
    <w:rsid w:val="009835BC"/>
    <w:rsid w:val="009835C1"/>
    <w:rsid w:val="009835CD"/>
    <w:rsid w:val="00983736"/>
    <w:rsid w:val="0098373A"/>
    <w:rsid w:val="0098373F"/>
    <w:rsid w:val="009837A6"/>
    <w:rsid w:val="0098384C"/>
    <w:rsid w:val="00983858"/>
    <w:rsid w:val="009838D9"/>
    <w:rsid w:val="009838DB"/>
    <w:rsid w:val="00983967"/>
    <w:rsid w:val="009839F8"/>
    <w:rsid w:val="00983A2A"/>
    <w:rsid w:val="00983AC7"/>
    <w:rsid w:val="00983B17"/>
    <w:rsid w:val="00983C91"/>
    <w:rsid w:val="00983D2D"/>
    <w:rsid w:val="00983D3D"/>
    <w:rsid w:val="00983D56"/>
    <w:rsid w:val="00983D64"/>
    <w:rsid w:val="00983DA5"/>
    <w:rsid w:val="00983E69"/>
    <w:rsid w:val="00983E93"/>
    <w:rsid w:val="00983EAE"/>
    <w:rsid w:val="00983EB3"/>
    <w:rsid w:val="00983ED7"/>
    <w:rsid w:val="00983FA4"/>
    <w:rsid w:val="0098405C"/>
    <w:rsid w:val="00984069"/>
    <w:rsid w:val="0098406F"/>
    <w:rsid w:val="0098410E"/>
    <w:rsid w:val="0098411C"/>
    <w:rsid w:val="00984175"/>
    <w:rsid w:val="009841A1"/>
    <w:rsid w:val="009841A2"/>
    <w:rsid w:val="009841DA"/>
    <w:rsid w:val="009841FA"/>
    <w:rsid w:val="009841FE"/>
    <w:rsid w:val="009842C5"/>
    <w:rsid w:val="009842D3"/>
    <w:rsid w:val="00984356"/>
    <w:rsid w:val="00984420"/>
    <w:rsid w:val="0098442F"/>
    <w:rsid w:val="0098445A"/>
    <w:rsid w:val="00984478"/>
    <w:rsid w:val="009844C2"/>
    <w:rsid w:val="009844FA"/>
    <w:rsid w:val="0098450E"/>
    <w:rsid w:val="00984540"/>
    <w:rsid w:val="00984545"/>
    <w:rsid w:val="009845DC"/>
    <w:rsid w:val="009845F6"/>
    <w:rsid w:val="00984602"/>
    <w:rsid w:val="00984664"/>
    <w:rsid w:val="00984687"/>
    <w:rsid w:val="009847AA"/>
    <w:rsid w:val="00984841"/>
    <w:rsid w:val="00984875"/>
    <w:rsid w:val="009849A5"/>
    <w:rsid w:val="009849CA"/>
    <w:rsid w:val="00984A2C"/>
    <w:rsid w:val="00984A34"/>
    <w:rsid w:val="00984A78"/>
    <w:rsid w:val="00984AA8"/>
    <w:rsid w:val="00984AF2"/>
    <w:rsid w:val="00984B61"/>
    <w:rsid w:val="00984B81"/>
    <w:rsid w:val="00984B94"/>
    <w:rsid w:val="00984B9F"/>
    <w:rsid w:val="00984C0F"/>
    <w:rsid w:val="00984E50"/>
    <w:rsid w:val="00984E73"/>
    <w:rsid w:val="00984E89"/>
    <w:rsid w:val="00984ED6"/>
    <w:rsid w:val="00984EEA"/>
    <w:rsid w:val="00984F57"/>
    <w:rsid w:val="00984FAE"/>
    <w:rsid w:val="00984FBA"/>
    <w:rsid w:val="00985041"/>
    <w:rsid w:val="0098508D"/>
    <w:rsid w:val="009850E8"/>
    <w:rsid w:val="0098515C"/>
    <w:rsid w:val="0098517B"/>
    <w:rsid w:val="0098519F"/>
    <w:rsid w:val="009851FB"/>
    <w:rsid w:val="00985202"/>
    <w:rsid w:val="00985243"/>
    <w:rsid w:val="00985288"/>
    <w:rsid w:val="009852CD"/>
    <w:rsid w:val="00985319"/>
    <w:rsid w:val="00985375"/>
    <w:rsid w:val="009853B1"/>
    <w:rsid w:val="009853C8"/>
    <w:rsid w:val="00985408"/>
    <w:rsid w:val="00985447"/>
    <w:rsid w:val="009854B8"/>
    <w:rsid w:val="009854F5"/>
    <w:rsid w:val="0098550F"/>
    <w:rsid w:val="00985515"/>
    <w:rsid w:val="0098552A"/>
    <w:rsid w:val="00985549"/>
    <w:rsid w:val="009855F7"/>
    <w:rsid w:val="00985690"/>
    <w:rsid w:val="009856C5"/>
    <w:rsid w:val="00985718"/>
    <w:rsid w:val="0098571B"/>
    <w:rsid w:val="0098578B"/>
    <w:rsid w:val="009857AE"/>
    <w:rsid w:val="009857C2"/>
    <w:rsid w:val="00985826"/>
    <w:rsid w:val="0098592B"/>
    <w:rsid w:val="009859B1"/>
    <w:rsid w:val="009859B9"/>
    <w:rsid w:val="00985A5B"/>
    <w:rsid w:val="00985AA9"/>
    <w:rsid w:val="00985BBB"/>
    <w:rsid w:val="00985C38"/>
    <w:rsid w:val="00985C5A"/>
    <w:rsid w:val="00985C7D"/>
    <w:rsid w:val="00985C86"/>
    <w:rsid w:val="00985CAE"/>
    <w:rsid w:val="00985CFB"/>
    <w:rsid w:val="00985D03"/>
    <w:rsid w:val="00985D23"/>
    <w:rsid w:val="00985D54"/>
    <w:rsid w:val="00985D8F"/>
    <w:rsid w:val="00985DC9"/>
    <w:rsid w:val="00985E95"/>
    <w:rsid w:val="00985EAD"/>
    <w:rsid w:val="00985EAF"/>
    <w:rsid w:val="00985EF7"/>
    <w:rsid w:val="00985F3A"/>
    <w:rsid w:val="00985F3B"/>
    <w:rsid w:val="00985F8A"/>
    <w:rsid w:val="0098602B"/>
    <w:rsid w:val="0098604C"/>
    <w:rsid w:val="0098606D"/>
    <w:rsid w:val="00986137"/>
    <w:rsid w:val="00986143"/>
    <w:rsid w:val="00986171"/>
    <w:rsid w:val="009861E6"/>
    <w:rsid w:val="009861FE"/>
    <w:rsid w:val="0098628D"/>
    <w:rsid w:val="009862A2"/>
    <w:rsid w:val="009862AF"/>
    <w:rsid w:val="009862CA"/>
    <w:rsid w:val="009862ED"/>
    <w:rsid w:val="00986314"/>
    <w:rsid w:val="00986350"/>
    <w:rsid w:val="009863D6"/>
    <w:rsid w:val="0098644D"/>
    <w:rsid w:val="00986497"/>
    <w:rsid w:val="0098649B"/>
    <w:rsid w:val="0098649D"/>
    <w:rsid w:val="0098651F"/>
    <w:rsid w:val="009865A7"/>
    <w:rsid w:val="009865E4"/>
    <w:rsid w:val="0098661F"/>
    <w:rsid w:val="009866A3"/>
    <w:rsid w:val="009866B0"/>
    <w:rsid w:val="009866E7"/>
    <w:rsid w:val="009867B9"/>
    <w:rsid w:val="00986832"/>
    <w:rsid w:val="00986840"/>
    <w:rsid w:val="0098688C"/>
    <w:rsid w:val="009868DE"/>
    <w:rsid w:val="009869B9"/>
    <w:rsid w:val="00986A43"/>
    <w:rsid w:val="00986A56"/>
    <w:rsid w:val="00986A77"/>
    <w:rsid w:val="00986A80"/>
    <w:rsid w:val="00986A87"/>
    <w:rsid w:val="00986AA4"/>
    <w:rsid w:val="00986B1B"/>
    <w:rsid w:val="00986B47"/>
    <w:rsid w:val="00986B5E"/>
    <w:rsid w:val="00986B85"/>
    <w:rsid w:val="00986C3D"/>
    <w:rsid w:val="00986C6B"/>
    <w:rsid w:val="00986CA8"/>
    <w:rsid w:val="00986D33"/>
    <w:rsid w:val="00986DCE"/>
    <w:rsid w:val="00986DDA"/>
    <w:rsid w:val="00986E22"/>
    <w:rsid w:val="00986E91"/>
    <w:rsid w:val="00986EAC"/>
    <w:rsid w:val="00986ED9"/>
    <w:rsid w:val="00986F80"/>
    <w:rsid w:val="00986F85"/>
    <w:rsid w:val="00986F8C"/>
    <w:rsid w:val="00986F9E"/>
    <w:rsid w:val="00986FD8"/>
    <w:rsid w:val="00986FF2"/>
    <w:rsid w:val="00987002"/>
    <w:rsid w:val="00987084"/>
    <w:rsid w:val="00987189"/>
    <w:rsid w:val="009871CA"/>
    <w:rsid w:val="009872D3"/>
    <w:rsid w:val="0098735E"/>
    <w:rsid w:val="00987361"/>
    <w:rsid w:val="00987363"/>
    <w:rsid w:val="0098736B"/>
    <w:rsid w:val="0098738F"/>
    <w:rsid w:val="0098739F"/>
    <w:rsid w:val="009873AD"/>
    <w:rsid w:val="009873D4"/>
    <w:rsid w:val="0098740B"/>
    <w:rsid w:val="0098742B"/>
    <w:rsid w:val="00987459"/>
    <w:rsid w:val="00987462"/>
    <w:rsid w:val="00987476"/>
    <w:rsid w:val="009874C7"/>
    <w:rsid w:val="009874D5"/>
    <w:rsid w:val="00987532"/>
    <w:rsid w:val="00987584"/>
    <w:rsid w:val="009875F0"/>
    <w:rsid w:val="00987648"/>
    <w:rsid w:val="009876BB"/>
    <w:rsid w:val="009876C3"/>
    <w:rsid w:val="00987726"/>
    <w:rsid w:val="00987735"/>
    <w:rsid w:val="00987757"/>
    <w:rsid w:val="009877D5"/>
    <w:rsid w:val="00987805"/>
    <w:rsid w:val="00987844"/>
    <w:rsid w:val="0098786B"/>
    <w:rsid w:val="00987883"/>
    <w:rsid w:val="009878FD"/>
    <w:rsid w:val="00987950"/>
    <w:rsid w:val="009879A6"/>
    <w:rsid w:val="009879B3"/>
    <w:rsid w:val="009879E4"/>
    <w:rsid w:val="00987A7F"/>
    <w:rsid w:val="00987ABB"/>
    <w:rsid w:val="00987AC4"/>
    <w:rsid w:val="00987B7F"/>
    <w:rsid w:val="00987B90"/>
    <w:rsid w:val="00987B9A"/>
    <w:rsid w:val="00987B9E"/>
    <w:rsid w:val="00987C02"/>
    <w:rsid w:val="00987C33"/>
    <w:rsid w:val="00987C48"/>
    <w:rsid w:val="00987C9C"/>
    <w:rsid w:val="00987CA2"/>
    <w:rsid w:val="00987CB1"/>
    <w:rsid w:val="00987CB9"/>
    <w:rsid w:val="00987D2C"/>
    <w:rsid w:val="00987DA0"/>
    <w:rsid w:val="00987E18"/>
    <w:rsid w:val="00987E1A"/>
    <w:rsid w:val="00987E44"/>
    <w:rsid w:val="00987E79"/>
    <w:rsid w:val="00987E91"/>
    <w:rsid w:val="00987ECB"/>
    <w:rsid w:val="00987ED5"/>
    <w:rsid w:val="00987EDE"/>
    <w:rsid w:val="00987F95"/>
    <w:rsid w:val="00987FB6"/>
    <w:rsid w:val="0099006C"/>
    <w:rsid w:val="00990072"/>
    <w:rsid w:val="00990083"/>
    <w:rsid w:val="009900B0"/>
    <w:rsid w:val="009900C1"/>
    <w:rsid w:val="00990111"/>
    <w:rsid w:val="00990188"/>
    <w:rsid w:val="009901B7"/>
    <w:rsid w:val="009901CF"/>
    <w:rsid w:val="00990265"/>
    <w:rsid w:val="00990267"/>
    <w:rsid w:val="00990348"/>
    <w:rsid w:val="00990352"/>
    <w:rsid w:val="0099037C"/>
    <w:rsid w:val="009903A1"/>
    <w:rsid w:val="00990459"/>
    <w:rsid w:val="00990467"/>
    <w:rsid w:val="009904AA"/>
    <w:rsid w:val="009904B3"/>
    <w:rsid w:val="009905E7"/>
    <w:rsid w:val="00990650"/>
    <w:rsid w:val="00990696"/>
    <w:rsid w:val="009906A9"/>
    <w:rsid w:val="009906DA"/>
    <w:rsid w:val="009906F5"/>
    <w:rsid w:val="00990717"/>
    <w:rsid w:val="0099074F"/>
    <w:rsid w:val="00990751"/>
    <w:rsid w:val="00990789"/>
    <w:rsid w:val="009907EE"/>
    <w:rsid w:val="00990813"/>
    <w:rsid w:val="00990815"/>
    <w:rsid w:val="009908DE"/>
    <w:rsid w:val="00990911"/>
    <w:rsid w:val="0099094D"/>
    <w:rsid w:val="009909C2"/>
    <w:rsid w:val="009909FA"/>
    <w:rsid w:val="00990A64"/>
    <w:rsid w:val="00990A82"/>
    <w:rsid w:val="00990ACF"/>
    <w:rsid w:val="00990B2B"/>
    <w:rsid w:val="00990BE9"/>
    <w:rsid w:val="00990CF1"/>
    <w:rsid w:val="00990D8E"/>
    <w:rsid w:val="00990E18"/>
    <w:rsid w:val="00990E20"/>
    <w:rsid w:val="00990F73"/>
    <w:rsid w:val="00990F83"/>
    <w:rsid w:val="00990FB4"/>
    <w:rsid w:val="00990FF0"/>
    <w:rsid w:val="00991014"/>
    <w:rsid w:val="0099102C"/>
    <w:rsid w:val="0099107D"/>
    <w:rsid w:val="00991179"/>
    <w:rsid w:val="009911A7"/>
    <w:rsid w:val="009911B9"/>
    <w:rsid w:val="009911DC"/>
    <w:rsid w:val="00991213"/>
    <w:rsid w:val="00991237"/>
    <w:rsid w:val="00991257"/>
    <w:rsid w:val="00991264"/>
    <w:rsid w:val="0099142A"/>
    <w:rsid w:val="0099148F"/>
    <w:rsid w:val="009914E0"/>
    <w:rsid w:val="009915AB"/>
    <w:rsid w:val="009915C2"/>
    <w:rsid w:val="00991611"/>
    <w:rsid w:val="009916E5"/>
    <w:rsid w:val="009916FD"/>
    <w:rsid w:val="00991767"/>
    <w:rsid w:val="00991819"/>
    <w:rsid w:val="00991866"/>
    <w:rsid w:val="00991879"/>
    <w:rsid w:val="009918DD"/>
    <w:rsid w:val="009918E9"/>
    <w:rsid w:val="00991989"/>
    <w:rsid w:val="0099198F"/>
    <w:rsid w:val="0099199D"/>
    <w:rsid w:val="009919AD"/>
    <w:rsid w:val="00991A0E"/>
    <w:rsid w:val="00991A55"/>
    <w:rsid w:val="00991AAF"/>
    <w:rsid w:val="00991ADB"/>
    <w:rsid w:val="00991B1F"/>
    <w:rsid w:val="00991B24"/>
    <w:rsid w:val="00991B3B"/>
    <w:rsid w:val="00991B5B"/>
    <w:rsid w:val="00991B63"/>
    <w:rsid w:val="00991B6F"/>
    <w:rsid w:val="00991B70"/>
    <w:rsid w:val="00991B81"/>
    <w:rsid w:val="00991B83"/>
    <w:rsid w:val="00991BCC"/>
    <w:rsid w:val="00991BD0"/>
    <w:rsid w:val="00991C28"/>
    <w:rsid w:val="00991C8E"/>
    <w:rsid w:val="00991CC8"/>
    <w:rsid w:val="00991D45"/>
    <w:rsid w:val="00991DB8"/>
    <w:rsid w:val="00991E8D"/>
    <w:rsid w:val="00991EA9"/>
    <w:rsid w:val="00991F49"/>
    <w:rsid w:val="00991F55"/>
    <w:rsid w:val="00991F90"/>
    <w:rsid w:val="00991FE0"/>
    <w:rsid w:val="00991FEF"/>
    <w:rsid w:val="00992031"/>
    <w:rsid w:val="0099204A"/>
    <w:rsid w:val="009920A4"/>
    <w:rsid w:val="009920BB"/>
    <w:rsid w:val="00992138"/>
    <w:rsid w:val="0099213D"/>
    <w:rsid w:val="0099214C"/>
    <w:rsid w:val="009921A0"/>
    <w:rsid w:val="009921F6"/>
    <w:rsid w:val="00992260"/>
    <w:rsid w:val="0099227F"/>
    <w:rsid w:val="0099229A"/>
    <w:rsid w:val="009922C6"/>
    <w:rsid w:val="009922D2"/>
    <w:rsid w:val="009922F1"/>
    <w:rsid w:val="0099232D"/>
    <w:rsid w:val="009923FF"/>
    <w:rsid w:val="00992419"/>
    <w:rsid w:val="00992448"/>
    <w:rsid w:val="0099245D"/>
    <w:rsid w:val="00992461"/>
    <w:rsid w:val="0099248A"/>
    <w:rsid w:val="0099248D"/>
    <w:rsid w:val="00992523"/>
    <w:rsid w:val="00992525"/>
    <w:rsid w:val="0099252A"/>
    <w:rsid w:val="009925D5"/>
    <w:rsid w:val="009925F2"/>
    <w:rsid w:val="00992680"/>
    <w:rsid w:val="00992692"/>
    <w:rsid w:val="00992693"/>
    <w:rsid w:val="00992750"/>
    <w:rsid w:val="00992777"/>
    <w:rsid w:val="00992791"/>
    <w:rsid w:val="00992795"/>
    <w:rsid w:val="009927B6"/>
    <w:rsid w:val="009927BA"/>
    <w:rsid w:val="009927C5"/>
    <w:rsid w:val="009927F7"/>
    <w:rsid w:val="00992824"/>
    <w:rsid w:val="0099283A"/>
    <w:rsid w:val="0099286B"/>
    <w:rsid w:val="009928C8"/>
    <w:rsid w:val="009928D6"/>
    <w:rsid w:val="0099290C"/>
    <w:rsid w:val="00992916"/>
    <w:rsid w:val="00992927"/>
    <w:rsid w:val="00992930"/>
    <w:rsid w:val="009929A9"/>
    <w:rsid w:val="00992A0F"/>
    <w:rsid w:val="00992A2F"/>
    <w:rsid w:val="00992A8B"/>
    <w:rsid w:val="00992B7E"/>
    <w:rsid w:val="00992BCD"/>
    <w:rsid w:val="00992D00"/>
    <w:rsid w:val="00992D1A"/>
    <w:rsid w:val="00992D22"/>
    <w:rsid w:val="00992D35"/>
    <w:rsid w:val="00992D54"/>
    <w:rsid w:val="00992D57"/>
    <w:rsid w:val="00992D9B"/>
    <w:rsid w:val="00992DA1"/>
    <w:rsid w:val="00992DAD"/>
    <w:rsid w:val="00992DCB"/>
    <w:rsid w:val="00992E01"/>
    <w:rsid w:val="00992E16"/>
    <w:rsid w:val="00992E4B"/>
    <w:rsid w:val="00992F22"/>
    <w:rsid w:val="00992F39"/>
    <w:rsid w:val="00992F8F"/>
    <w:rsid w:val="00992FAC"/>
    <w:rsid w:val="00992FAD"/>
    <w:rsid w:val="00992FBF"/>
    <w:rsid w:val="00993034"/>
    <w:rsid w:val="00993058"/>
    <w:rsid w:val="0099305A"/>
    <w:rsid w:val="00993079"/>
    <w:rsid w:val="009930A3"/>
    <w:rsid w:val="009930C2"/>
    <w:rsid w:val="00993116"/>
    <w:rsid w:val="00993156"/>
    <w:rsid w:val="0099316F"/>
    <w:rsid w:val="0099323B"/>
    <w:rsid w:val="00993247"/>
    <w:rsid w:val="009932D9"/>
    <w:rsid w:val="009932E9"/>
    <w:rsid w:val="00993312"/>
    <w:rsid w:val="0099333B"/>
    <w:rsid w:val="0099337E"/>
    <w:rsid w:val="00993381"/>
    <w:rsid w:val="00993393"/>
    <w:rsid w:val="009933F6"/>
    <w:rsid w:val="00993427"/>
    <w:rsid w:val="00993430"/>
    <w:rsid w:val="0099344B"/>
    <w:rsid w:val="009934E7"/>
    <w:rsid w:val="0099350E"/>
    <w:rsid w:val="0099351A"/>
    <w:rsid w:val="009935A7"/>
    <w:rsid w:val="009935D3"/>
    <w:rsid w:val="00993658"/>
    <w:rsid w:val="0099365B"/>
    <w:rsid w:val="0099370C"/>
    <w:rsid w:val="00993712"/>
    <w:rsid w:val="0099371D"/>
    <w:rsid w:val="009937D6"/>
    <w:rsid w:val="009937E3"/>
    <w:rsid w:val="009937E6"/>
    <w:rsid w:val="00993829"/>
    <w:rsid w:val="009938F6"/>
    <w:rsid w:val="00993902"/>
    <w:rsid w:val="00993918"/>
    <w:rsid w:val="00993929"/>
    <w:rsid w:val="00993989"/>
    <w:rsid w:val="00993993"/>
    <w:rsid w:val="009939BB"/>
    <w:rsid w:val="00993B04"/>
    <w:rsid w:val="00993B29"/>
    <w:rsid w:val="00993B49"/>
    <w:rsid w:val="00993BC1"/>
    <w:rsid w:val="00993C7F"/>
    <w:rsid w:val="00993C86"/>
    <w:rsid w:val="00993C9C"/>
    <w:rsid w:val="00993CCE"/>
    <w:rsid w:val="00993D2B"/>
    <w:rsid w:val="00993D48"/>
    <w:rsid w:val="00993E4E"/>
    <w:rsid w:val="00993E6D"/>
    <w:rsid w:val="00993E8B"/>
    <w:rsid w:val="00993ED6"/>
    <w:rsid w:val="00993F34"/>
    <w:rsid w:val="00993F51"/>
    <w:rsid w:val="00993F52"/>
    <w:rsid w:val="00993FAC"/>
    <w:rsid w:val="00993FB6"/>
    <w:rsid w:val="00993FDA"/>
    <w:rsid w:val="00993FF5"/>
    <w:rsid w:val="00994073"/>
    <w:rsid w:val="009940D6"/>
    <w:rsid w:val="009940E1"/>
    <w:rsid w:val="009940E9"/>
    <w:rsid w:val="0099410F"/>
    <w:rsid w:val="0099412F"/>
    <w:rsid w:val="009941A6"/>
    <w:rsid w:val="0099424D"/>
    <w:rsid w:val="00994301"/>
    <w:rsid w:val="00994385"/>
    <w:rsid w:val="009943A7"/>
    <w:rsid w:val="009943E5"/>
    <w:rsid w:val="00994509"/>
    <w:rsid w:val="00994845"/>
    <w:rsid w:val="0099485B"/>
    <w:rsid w:val="00994910"/>
    <w:rsid w:val="00994941"/>
    <w:rsid w:val="009949A6"/>
    <w:rsid w:val="009949E9"/>
    <w:rsid w:val="00994A21"/>
    <w:rsid w:val="00994AEE"/>
    <w:rsid w:val="00994B4E"/>
    <w:rsid w:val="00994B55"/>
    <w:rsid w:val="00994B98"/>
    <w:rsid w:val="00994BA5"/>
    <w:rsid w:val="00994C29"/>
    <w:rsid w:val="00994C73"/>
    <w:rsid w:val="00994C87"/>
    <w:rsid w:val="00994C9F"/>
    <w:rsid w:val="00994CC9"/>
    <w:rsid w:val="00994EAA"/>
    <w:rsid w:val="00994EC7"/>
    <w:rsid w:val="00994F53"/>
    <w:rsid w:val="00994F79"/>
    <w:rsid w:val="00994F7F"/>
    <w:rsid w:val="00994FAB"/>
    <w:rsid w:val="00994FB6"/>
    <w:rsid w:val="00994FC4"/>
    <w:rsid w:val="00994FFE"/>
    <w:rsid w:val="0099501B"/>
    <w:rsid w:val="00995020"/>
    <w:rsid w:val="00995028"/>
    <w:rsid w:val="009950A4"/>
    <w:rsid w:val="00995113"/>
    <w:rsid w:val="00995148"/>
    <w:rsid w:val="00995187"/>
    <w:rsid w:val="00995197"/>
    <w:rsid w:val="0099519D"/>
    <w:rsid w:val="009951E7"/>
    <w:rsid w:val="009951F7"/>
    <w:rsid w:val="009951FD"/>
    <w:rsid w:val="00995241"/>
    <w:rsid w:val="0099524C"/>
    <w:rsid w:val="00995268"/>
    <w:rsid w:val="009952AB"/>
    <w:rsid w:val="00995306"/>
    <w:rsid w:val="00995310"/>
    <w:rsid w:val="009953EB"/>
    <w:rsid w:val="00995401"/>
    <w:rsid w:val="0099543A"/>
    <w:rsid w:val="0099545A"/>
    <w:rsid w:val="0099549C"/>
    <w:rsid w:val="009954C9"/>
    <w:rsid w:val="009954D8"/>
    <w:rsid w:val="009955D0"/>
    <w:rsid w:val="009955D9"/>
    <w:rsid w:val="00995615"/>
    <w:rsid w:val="00995623"/>
    <w:rsid w:val="00995657"/>
    <w:rsid w:val="0099566C"/>
    <w:rsid w:val="0099580E"/>
    <w:rsid w:val="00995871"/>
    <w:rsid w:val="009958D7"/>
    <w:rsid w:val="009959B1"/>
    <w:rsid w:val="009959C6"/>
    <w:rsid w:val="009959F9"/>
    <w:rsid w:val="009959FC"/>
    <w:rsid w:val="00995A16"/>
    <w:rsid w:val="00995A6E"/>
    <w:rsid w:val="00995AA3"/>
    <w:rsid w:val="00995AAF"/>
    <w:rsid w:val="00995AB2"/>
    <w:rsid w:val="00995ACA"/>
    <w:rsid w:val="00995AEF"/>
    <w:rsid w:val="00995AF4"/>
    <w:rsid w:val="00995B3D"/>
    <w:rsid w:val="00995B52"/>
    <w:rsid w:val="00995B82"/>
    <w:rsid w:val="00995B9D"/>
    <w:rsid w:val="00995C0E"/>
    <w:rsid w:val="00995C51"/>
    <w:rsid w:val="00995CE4"/>
    <w:rsid w:val="00995D04"/>
    <w:rsid w:val="00995D17"/>
    <w:rsid w:val="00995D2C"/>
    <w:rsid w:val="00995D58"/>
    <w:rsid w:val="00995D6D"/>
    <w:rsid w:val="00995DF4"/>
    <w:rsid w:val="00995E99"/>
    <w:rsid w:val="00995EC4"/>
    <w:rsid w:val="00995EE6"/>
    <w:rsid w:val="00995F41"/>
    <w:rsid w:val="00995F63"/>
    <w:rsid w:val="0099601D"/>
    <w:rsid w:val="0099604E"/>
    <w:rsid w:val="009960F4"/>
    <w:rsid w:val="00996226"/>
    <w:rsid w:val="00996256"/>
    <w:rsid w:val="0099627C"/>
    <w:rsid w:val="009962E9"/>
    <w:rsid w:val="00996348"/>
    <w:rsid w:val="00996360"/>
    <w:rsid w:val="00996396"/>
    <w:rsid w:val="00996434"/>
    <w:rsid w:val="0099644B"/>
    <w:rsid w:val="00996491"/>
    <w:rsid w:val="00996493"/>
    <w:rsid w:val="00996536"/>
    <w:rsid w:val="00996538"/>
    <w:rsid w:val="00996629"/>
    <w:rsid w:val="0099662C"/>
    <w:rsid w:val="00996634"/>
    <w:rsid w:val="00996686"/>
    <w:rsid w:val="00996693"/>
    <w:rsid w:val="009966D3"/>
    <w:rsid w:val="0099670B"/>
    <w:rsid w:val="00996717"/>
    <w:rsid w:val="0099676E"/>
    <w:rsid w:val="0099677D"/>
    <w:rsid w:val="00996794"/>
    <w:rsid w:val="009967BE"/>
    <w:rsid w:val="009967DC"/>
    <w:rsid w:val="00996810"/>
    <w:rsid w:val="00996830"/>
    <w:rsid w:val="00996839"/>
    <w:rsid w:val="009968A8"/>
    <w:rsid w:val="009968AB"/>
    <w:rsid w:val="009968BC"/>
    <w:rsid w:val="009968ED"/>
    <w:rsid w:val="0099695D"/>
    <w:rsid w:val="009969E5"/>
    <w:rsid w:val="009969F3"/>
    <w:rsid w:val="00996A45"/>
    <w:rsid w:val="00996A7B"/>
    <w:rsid w:val="00996AB8"/>
    <w:rsid w:val="00996AEC"/>
    <w:rsid w:val="00996B00"/>
    <w:rsid w:val="00996B4E"/>
    <w:rsid w:val="00996BB5"/>
    <w:rsid w:val="00996C25"/>
    <w:rsid w:val="00996C47"/>
    <w:rsid w:val="00996E4A"/>
    <w:rsid w:val="00996E55"/>
    <w:rsid w:val="00996EE0"/>
    <w:rsid w:val="00996EFC"/>
    <w:rsid w:val="00996F00"/>
    <w:rsid w:val="00996F05"/>
    <w:rsid w:val="00996F23"/>
    <w:rsid w:val="00996F58"/>
    <w:rsid w:val="00996F96"/>
    <w:rsid w:val="00996FA4"/>
    <w:rsid w:val="00996FC2"/>
    <w:rsid w:val="00997080"/>
    <w:rsid w:val="009970A3"/>
    <w:rsid w:val="009970BE"/>
    <w:rsid w:val="009970C0"/>
    <w:rsid w:val="009970EC"/>
    <w:rsid w:val="009971C6"/>
    <w:rsid w:val="009971F6"/>
    <w:rsid w:val="00997244"/>
    <w:rsid w:val="0099728D"/>
    <w:rsid w:val="0099736F"/>
    <w:rsid w:val="00997458"/>
    <w:rsid w:val="009974DE"/>
    <w:rsid w:val="009974FF"/>
    <w:rsid w:val="00997542"/>
    <w:rsid w:val="00997551"/>
    <w:rsid w:val="0099758B"/>
    <w:rsid w:val="009975B4"/>
    <w:rsid w:val="00997650"/>
    <w:rsid w:val="00997695"/>
    <w:rsid w:val="00997700"/>
    <w:rsid w:val="0099770C"/>
    <w:rsid w:val="0099776E"/>
    <w:rsid w:val="00997780"/>
    <w:rsid w:val="009977A6"/>
    <w:rsid w:val="009977D1"/>
    <w:rsid w:val="0099781C"/>
    <w:rsid w:val="0099782E"/>
    <w:rsid w:val="00997914"/>
    <w:rsid w:val="00997982"/>
    <w:rsid w:val="00997A8A"/>
    <w:rsid w:val="00997AF6"/>
    <w:rsid w:val="00997B34"/>
    <w:rsid w:val="00997B59"/>
    <w:rsid w:val="00997B77"/>
    <w:rsid w:val="00997B83"/>
    <w:rsid w:val="00997B91"/>
    <w:rsid w:val="00997C21"/>
    <w:rsid w:val="00997C6A"/>
    <w:rsid w:val="00997CCB"/>
    <w:rsid w:val="00997CED"/>
    <w:rsid w:val="00997CFE"/>
    <w:rsid w:val="00997D19"/>
    <w:rsid w:val="00997D37"/>
    <w:rsid w:val="00997D65"/>
    <w:rsid w:val="00997D73"/>
    <w:rsid w:val="00997D95"/>
    <w:rsid w:val="00997DA4"/>
    <w:rsid w:val="00997E3F"/>
    <w:rsid w:val="00997E4C"/>
    <w:rsid w:val="00997E53"/>
    <w:rsid w:val="00997E69"/>
    <w:rsid w:val="00997EA4"/>
    <w:rsid w:val="009A0043"/>
    <w:rsid w:val="009A006C"/>
    <w:rsid w:val="009A00A7"/>
    <w:rsid w:val="009A00C5"/>
    <w:rsid w:val="009A00D3"/>
    <w:rsid w:val="009A012D"/>
    <w:rsid w:val="009A01E2"/>
    <w:rsid w:val="009A01FA"/>
    <w:rsid w:val="009A02A0"/>
    <w:rsid w:val="009A02C8"/>
    <w:rsid w:val="009A02ED"/>
    <w:rsid w:val="009A0350"/>
    <w:rsid w:val="009A03A2"/>
    <w:rsid w:val="009A03B2"/>
    <w:rsid w:val="009A03B6"/>
    <w:rsid w:val="009A03E4"/>
    <w:rsid w:val="009A0414"/>
    <w:rsid w:val="009A044B"/>
    <w:rsid w:val="009A0485"/>
    <w:rsid w:val="009A04D6"/>
    <w:rsid w:val="009A05ED"/>
    <w:rsid w:val="009A06AE"/>
    <w:rsid w:val="009A06B6"/>
    <w:rsid w:val="009A06C9"/>
    <w:rsid w:val="009A06D9"/>
    <w:rsid w:val="009A072E"/>
    <w:rsid w:val="009A077C"/>
    <w:rsid w:val="009A0782"/>
    <w:rsid w:val="009A0802"/>
    <w:rsid w:val="009A0968"/>
    <w:rsid w:val="009A09C8"/>
    <w:rsid w:val="009A0ADB"/>
    <w:rsid w:val="009A0B16"/>
    <w:rsid w:val="009A0B31"/>
    <w:rsid w:val="009A0B79"/>
    <w:rsid w:val="009A0B8A"/>
    <w:rsid w:val="009A0BD6"/>
    <w:rsid w:val="009A0C5C"/>
    <w:rsid w:val="009A0C82"/>
    <w:rsid w:val="009A0CB3"/>
    <w:rsid w:val="009A0CE4"/>
    <w:rsid w:val="009A0CF8"/>
    <w:rsid w:val="009A0D14"/>
    <w:rsid w:val="009A0D5A"/>
    <w:rsid w:val="009A0D63"/>
    <w:rsid w:val="009A0E00"/>
    <w:rsid w:val="009A0E0B"/>
    <w:rsid w:val="009A0E1A"/>
    <w:rsid w:val="009A0E59"/>
    <w:rsid w:val="009A0E78"/>
    <w:rsid w:val="009A0E83"/>
    <w:rsid w:val="009A0F79"/>
    <w:rsid w:val="009A0F7C"/>
    <w:rsid w:val="009A0F7D"/>
    <w:rsid w:val="009A0FB0"/>
    <w:rsid w:val="009A0FD7"/>
    <w:rsid w:val="009A0FF1"/>
    <w:rsid w:val="009A10ED"/>
    <w:rsid w:val="009A113A"/>
    <w:rsid w:val="009A1221"/>
    <w:rsid w:val="009A12D0"/>
    <w:rsid w:val="009A12D7"/>
    <w:rsid w:val="009A133A"/>
    <w:rsid w:val="009A1388"/>
    <w:rsid w:val="009A139A"/>
    <w:rsid w:val="009A14D4"/>
    <w:rsid w:val="009A1539"/>
    <w:rsid w:val="009A154C"/>
    <w:rsid w:val="009A1557"/>
    <w:rsid w:val="009A159C"/>
    <w:rsid w:val="009A15AB"/>
    <w:rsid w:val="009A16CA"/>
    <w:rsid w:val="009A16E7"/>
    <w:rsid w:val="009A1726"/>
    <w:rsid w:val="009A177D"/>
    <w:rsid w:val="009A17D3"/>
    <w:rsid w:val="009A1838"/>
    <w:rsid w:val="009A1886"/>
    <w:rsid w:val="009A18A0"/>
    <w:rsid w:val="009A18B2"/>
    <w:rsid w:val="009A191F"/>
    <w:rsid w:val="009A193F"/>
    <w:rsid w:val="009A196B"/>
    <w:rsid w:val="009A1990"/>
    <w:rsid w:val="009A199F"/>
    <w:rsid w:val="009A19A6"/>
    <w:rsid w:val="009A19B2"/>
    <w:rsid w:val="009A19F1"/>
    <w:rsid w:val="009A1A36"/>
    <w:rsid w:val="009A1ACC"/>
    <w:rsid w:val="009A1AD4"/>
    <w:rsid w:val="009A1B66"/>
    <w:rsid w:val="009A1BB3"/>
    <w:rsid w:val="009A1BC3"/>
    <w:rsid w:val="009A1C41"/>
    <w:rsid w:val="009A1C58"/>
    <w:rsid w:val="009A1C66"/>
    <w:rsid w:val="009A1C86"/>
    <w:rsid w:val="009A1CF9"/>
    <w:rsid w:val="009A1D09"/>
    <w:rsid w:val="009A1D0A"/>
    <w:rsid w:val="009A1D62"/>
    <w:rsid w:val="009A1D67"/>
    <w:rsid w:val="009A1D82"/>
    <w:rsid w:val="009A1DF6"/>
    <w:rsid w:val="009A1E0E"/>
    <w:rsid w:val="009A1E11"/>
    <w:rsid w:val="009A1E28"/>
    <w:rsid w:val="009A1E41"/>
    <w:rsid w:val="009A1E91"/>
    <w:rsid w:val="009A1ECB"/>
    <w:rsid w:val="009A1F17"/>
    <w:rsid w:val="009A1F2F"/>
    <w:rsid w:val="009A1F36"/>
    <w:rsid w:val="009A204D"/>
    <w:rsid w:val="009A20F7"/>
    <w:rsid w:val="009A2123"/>
    <w:rsid w:val="009A2145"/>
    <w:rsid w:val="009A2150"/>
    <w:rsid w:val="009A233E"/>
    <w:rsid w:val="009A2405"/>
    <w:rsid w:val="009A245E"/>
    <w:rsid w:val="009A2476"/>
    <w:rsid w:val="009A24AB"/>
    <w:rsid w:val="009A24C4"/>
    <w:rsid w:val="009A24E3"/>
    <w:rsid w:val="009A25A6"/>
    <w:rsid w:val="009A25FF"/>
    <w:rsid w:val="009A26A7"/>
    <w:rsid w:val="009A2798"/>
    <w:rsid w:val="009A27A7"/>
    <w:rsid w:val="009A27B5"/>
    <w:rsid w:val="009A27FA"/>
    <w:rsid w:val="009A2809"/>
    <w:rsid w:val="009A285B"/>
    <w:rsid w:val="009A289F"/>
    <w:rsid w:val="009A2917"/>
    <w:rsid w:val="009A2937"/>
    <w:rsid w:val="009A2942"/>
    <w:rsid w:val="009A298F"/>
    <w:rsid w:val="009A29AE"/>
    <w:rsid w:val="009A29DB"/>
    <w:rsid w:val="009A2A30"/>
    <w:rsid w:val="009A2A79"/>
    <w:rsid w:val="009A2A85"/>
    <w:rsid w:val="009A2AED"/>
    <w:rsid w:val="009A2B2F"/>
    <w:rsid w:val="009A2B43"/>
    <w:rsid w:val="009A2B6A"/>
    <w:rsid w:val="009A2BBE"/>
    <w:rsid w:val="009A2C29"/>
    <w:rsid w:val="009A2C2F"/>
    <w:rsid w:val="009A2C3E"/>
    <w:rsid w:val="009A2C45"/>
    <w:rsid w:val="009A2C65"/>
    <w:rsid w:val="009A2CDA"/>
    <w:rsid w:val="009A2CE6"/>
    <w:rsid w:val="009A2D3C"/>
    <w:rsid w:val="009A2D71"/>
    <w:rsid w:val="009A2D91"/>
    <w:rsid w:val="009A2D96"/>
    <w:rsid w:val="009A2DD7"/>
    <w:rsid w:val="009A2DF7"/>
    <w:rsid w:val="009A2E3B"/>
    <w:rsid w:val="009A2E4F"/>
    <w:rsid w:val="009A2E67"/>
    <w:rsid w:val="009A2EF4"/>
    <w:rsid w:val="009A2F5C"/>
    <w:rsid w:val="009A2FF9"/>
    <w:rsid w:val="009A3051"/>
    <w:rsid w:val="009A309D"/>
    <w:rsid w:val="009A309E"/>
    <w:rsid w:val="009A3151"/>
    <w:rsid w:val="009A31CC"/>
    <w:rsid w:val="009A31F0"/>
    <w:rsid w:val="009A32A2"/>
    <w:rsid w:val="009A330A"/>
    <w:rsid w:val="009A3344"/>
    <w:rsid w:val="009A3345"/>
    <w:rsid w:val="009A34B8"/>
    <w:rsid w:val="009A34BA"/>
    <w:rsid w:val="009A34F5"/>
    <w:rsid w:val="009A34FB"/>
    <w:rsid w:val="009A3523"/>
    <w:rsid w:val="009A3529"/>
    <w:rsid w:val="009A353C"/>
    <w:rsid w:val="009A35A6"/>
    <w:rsid w:val="009A3668"/>
    <w:rsid w:val="009A375F"/>
    <w:rsid w:val="009A376A"/>
    <w:rsid w:val="009A37F4"/>
    <w:rsid w:val="009A3815"/>
    <w:rsid w:val="009A3829"/>
    <w:rsid w:val="009A384C"/>
    <w:rsid w:val="009A3874"/>
    <w:rsid w:val="009A38F0"/>
    <w:rsid w:val="009A38FE"/>
    <w:rsid w:val="009A3963"/>
    <w:rsid w:val="009A39AC"/>
    <w:rsid w:val="009A3A54"/>
    <w:rsid w:val="009A3AC3"/>
    <w:rsid w:val="009A3ACF"/>
    <w:rsid w:val="009A3B03"/>
    <w:rsid w:val="009A3B31"/>
    <w:rsid w:val="009A3B76"/>
    <w:rsid w:val="009A3B9B"/>
    <w:rsid w:val="009A3C0E"/>
    <w:rsid w:val="009A3C3F"/>
    <w:rsid w:val="009A3C5F"/>
    <w:rsid w:val="009A3D02"/>
    <w:rsid w:val="009A3D1F"/>
    <w:rsid w:val="009A3D38"/>
    <w:rsid w:val="009A3D5B"/>
    <w:rsid w:val="009A3D69"/>
    <w:rsid w:val="009A3DB6"/>
    <w:rsid w:val="009A3E20"/>
    <w:rsid w:val="009A3E70"/>
    <w:rsid w:val="009A3E8A"/>
    <w:rsid w:val="009A3E98"/>
    <w:rsid w:val="009A3EA5"/>
    <w:rsid w:val="009A3EAD"/>
    <w:rsid w:val="009A3F2A"/>
    <w:rsid w:val="009A3F77"/>
    <w:rsid w:val="009A3FCE"/>
    <w:rsid w:val="009A3FF7"/>
    <w:rsid w:val="009A400E"/>
    <w:rsid w:val="009A401E"/>
    <w:rsid w:val="009A416B"/>
    <w:rsid w:val="009A419D"/>
    <w:rsid w:val="009A41FB"/>
    <w:rsid w:val="009A4216"/>
    <w:rsid w:val="009A42D0"/>
    <w:rsid w:val="009A4334"/>
    <w:rsid w:val="009A4338"/>
    <w:rsid w:val="009A435E"/>
    <w:rsid w:val="009A4360"/>
    <w:rsid w:val="009A437D"/>
    <w:rsid w:val="009A43A3"/>
    <w:rsid w:val="009A43CB"/>
    <w:rsid w:val="009A440E"/>
    <w:rsid w:val="009A4457"/>
    <w:rsid w:val="009A4466"/>
    <w:rsid w:val="009A44CE"/>
    <w:rsid w:val="009A4551"/>
    <w:rsid w:val="009A4590"/>
    <w:rsid w:val="009A45AF"/>
    <w:rsid w:val="009A45B8"/>
    <w:rsid w:val="009A45C1"/>
    <w:rsid w:val="009A4602"/>
    <w:rsid w:val="009A4613"/>
    <w:rsid w:val="009A462D"/>
    <w:rsid w:val="009A4665"/>
    <w:rsid w:val="009A46C7"/>
    <w:rsid w:val="009A46D3"/>
    <w:rsid w:val="009A47CA"/>
    <w:rsid w:val="009A4802"/>
    <w:rsid w:val="009A4845"/>
    <w:rsid w:val="009A4855"/>
    <w:rsid w:val="009A4979"/>
    <w:rsid w:val="009A4989"/>
    <w:rsid w:val="009A49B7"/>
    <w:rsid w:val="009A4A14"/>
    <w:rsid w:val="009A4A66"/>
    <w:rsid w:val="009A4A88"/>
    <w:rsid w:val="009A4ADE"/>
    <w:rsid w:val="009A4BA5"/>
    <w:rsid w:val="009A4C41"/>
    <w:rsid w:val="009A4C44"/>
    <w:rsid w:val="009A4D25"/>
    <w:rsid w:val="009A4D95"/>
    <w:rsid w:val="009A4DA6"/>
    <w:rsid w:val="009A4E1F"/>
    <w:rsid w:val="009A4EE1"/>
    <w:rsid w:val="009A4EF1"/>
    <w:rsid w:val="009A4EF9"/>
    <w:rsid w:val="009A4F81"/>
    <w:rsid w:val="009A4F9D"/>
    <w:rsid w:val="009A5010"/>
    <w:rsid w:val="009A504D"/>
    <w:rsid w:val="009A5061"/>
    <w:rsid w:val="009A50C4"/>
    <w:rsid w:val="009A50CB"/>
    <w:rsid w:val="009A5113"/>
    <w:rsid w:val="009A513E"/>
    <w:rsid w:val="009A5141"/>
    <w:rsid w:val="009A5142"/>
    <w:rsid w:val="009A5160"/>
    <w:rsid w:val="009A51D3"/>
    <w:rsid w:val="009A51EF"/>
    <w:rsid w:val="009A5247"/>
    <w:rsid w:val="009A52B5"/>
    <w:rsid w:val="009A532F"/>
    <w:rsid w:val="009A545C"/>
    <w:rsid w:val="009A5468"/>
    <w:rsid w:val="009A5476"/>
    <w:rsid w:val="009A548B"/>
    <w:rsid w:val="009A54EA"/>
    <w:rsid w:val="009A555A"/>
    <w:rsid w:val="009A5673"/>
    <w:rsid w:val="009A56B0"/>
    <w:rsid w:val="009A56D6"/>
    <w:rsid w:val="009A56ED"/>
    <w:rsid w:val="009A5703"/>
    <w:rsid w:val="009A57C1"/>
    <w:rsid w:val="009A57C3"/>
    <w:rsid w:val="009A57D2"/>
    <w:rsid w:val="009A5852"/>
    <w:rsid w:val="009A591C"/>
    <w:rsid w:val="009A593F"/>
    <w:rsid w:val="009A5969"/>
    <w:rsid w:val="009A5986"/>
    <w:rsid w:val="009A599D"/>
    <w:rsid w:val="009A59A4"/>
    <w:rsid w:val="009A59C9"/>
    <w:rsid w:val="009A5A01"/>
    <w:rsid w:val="009A5A1B"/>
    <w:rsid w:val="009A5A3E"/>
    <w:rsid w:val="009A5A9C"/>
    <w:rsid w:val="009A5B40"/>
    <w:rsid w:val="009A5B8A"/>
    <w:rsid w:val="009A5B95"/>
    <w:rsid w:val="009A5BE4"/>
    <w:rsid w:val="009A5C00"/>
    <w:rsid w:val="009A5C36"/>
    <w:rsid w:val="009A5CB3"/>
    <w:rsid w:val="009A5CF6"/>
    <w:rsid w:val="009A5CF7"/>
    <w:rsid w:val="009A5D05"/>
    <w:rsid w:val="009A5D82"/>
    <w:rsid w:val="009A5DC9"/>
    <w:rsid w:val="009A5DEA"/>
    <w:rsid w:val="009A5E1E"/>
    <w:rsid w:val="009A5E56"/>
    <w:rsid w:val="009A5E87"/>
    <w:rsid w:val="009A5EC4"/>
    <w:rsid w:val="009A5F24"/>
    <w:rsid w:val="009A5F6A"/>
    <w:rsid w:val="009A6043"/>
    <w:rsid w:val="009A6093"/>
    <w:rsid w:val="009A60BF"/>
    <w:rsid w:val="009A61D0"/>
    <w:rsid w:val="009A6244"/>
    <w:rsid w:val="009A6296"/>
    <w:rsid w:val="009A62D8"/>
    <w:rsid w:val="009A62DC"/>
    <w:rsid w:val="009A6337"/>
    <w:rsid w:val="009A6350"/>
    <w:rsid w:val="009A64F9"/>
    <w:rsid w:val="009A6508"/>
    <w:rsid w:val="009A656E"/>
    <w:rsid w:val="009A6583"/>
    <w:rsid w:val="009A65B8"/>
    <w:rsid w:val="009A65D3"/>
    <w:rsid w:val="009A65F4"/>
    <w:rsid w:val="009A65FF"/>
    <w:rsid w:val="009A667F"/>
    <w:rsid w:val="009A6682"/>
    <w:rsid w:val="009A66D3"/>
    <w:rsid w:val="009A66DD"/>
    <w:rsid w:val="009A6714"/>
    <w:rsid w:val="009A677E"/>
    <w:rsid w:val="009A67DE"/>
    <w:rsid w:val="009A67EA"/>
    <w:rsid w:val="009A67FC"/>
    <w:rsid w:val="009A6818"/>
    <w:rsid w:val="009A68C0"/>
    <w:rsid w:val="009A68E2"/>
    <w:rsid w:val="009A690F"/>
    <w:rsid w:val="009A6947"/>
    <w:rsid w:val="009A697A"/>
    <w:rsid w:val="009A69D2"/>
    <w:rsid w:val="009A6A09"/>
    <w:rsid w:val="009A6A7A"/>
    <w:rsid w:val="009A6A95"/>
    <w:rsid w:val="009A6AB1"/>
    <w:rsid w:val="009A6B7D"/>
    <w:rsid w:val="009A6B80"/>
    <w:rsid w:val="009A6BCE"/>
    <w:rsid w:val="009A6C19"/>
    <w:rsid w:val="009A6C2D"/>
    <w:rsid w:val="009A6C45"/>
    <w:rsid w:val="009A6C5C"/>
    <w:rsid w:val="009A6CCA"/>
    <w:rsid w:val="009A6D32"/>
    <w:rsid w:val="009A6D36"/>
    <w:rsid w:val="009A6E12"/>
    <w:rsid w:val="009A6E78"/>
    <w:rsid w:val="009A6E8B"/>
    <w:rsid w:val="009A6F67"/>
    <w:rsid w:val="009A6F6F"/>
    <w:rsid w:val="009A7030"/>
    <w:rsid w:val="009A7154"/>
    <w:rsid w:val="009A7177"/>
    <w:rsid w:val="009A71C5"/>
    <w:rsid w:val="009A7205"/>
    <w:rsid w:val="009A725D"/>
    <w:rsid w:val="009A7273"/>
    <w:rsid w:val="009A7298"/>
    <w:rsid w:val="009A730B"/>
    <w:rsid w:val="009A730D"/>
    <w:rsid w:val="009A7312"/>
    <w:rsid w:val="009A7348"/>
    <w:rsid w:val="009A740D"/>
    <w:rsid w:val="009A744C"/>
    <w:rsid w:val="009A75CB"/>
    <w:rsid w:val="009A7619"/>
    <w:rsid w:val="009A7671"/>
    <w:rsid w:val="009A7676"/>
    <w:rsid w:val="009A7760"/>
    <w:rsid w:val="009A77C4"/>
    <w:rsid w:val="009A77D0"/>
    <w:rsid w:val="009A782A"/>
    <w:rsid w:val="009A7861"/>
    <w:rsid w:val="009A78ED"/>
    <w:rsid w:val="009A78FD"/>
    <w:rsid w:val="009A7938"/>
    <w:rsid w:val="009A79EA"/>
    <w:rsid w:val="009A7A03"/>
    <w:rsid w:val="009A7A2B"/>
    <w:rsid w:val="009A7A37"/>
    <w:rsid w:val="009A7A3B"/>
    <w:rsid w:val="009A7A43"/>
    <w:rsid w:val="009A7A6A"/>
    <w:rsid w:val="009A7A8E"/>
    <w:rsid w:val="009A7B84"/>
    <w:rsid w:val="009A7C35"/>
    <w:rsid w:val="009A7CCE"/>
    <w:rsid w:val="009A7CFD"/>
    <w:rsid w:val="009A7D1C"/>
    <w:rsid w:val="009A7D6E"/>
    <w:rsid w:val="009A7E6B"/>
    <w:rsid w:val="009A7EE4"/>
    <w:rsid w:val="009A7F4F"/>
    <w:rsid w:val="009A7F5B"/>
    <w:rsid w:val="009A7FB5"/>
    <w:rsid w:val="009B00BD"/>
    <w:rsid w:val="009B00EA"/>
    <w:rsid w:val="009B00FA"/>
    <w:rsid w:val="009B013B"/>
    <w:rsid w:val="009B0177"/>
    <w:rsid w:val="009B0191"/>
    <w:rsid w:val="009B01BF"/>
    <w:rsid w:val="009B0206"/>
    <w:rsid w:val="009B020F"/>
    <w:rsid w:val="009B0210"/>
    <w:rsid w:val="009B025D"/>
    <w:rsid w:val="009B0279"/>
    <w:rsid w:val="009B02C1"/>
    <w:rsid w:val="009B02CD"/>
    <w:rsid w:val="009B02CE"/>
    <w:rsid w:val="009B035C"/>
    <w:rsid w:val="009B0390"/>
    <w:rsid w:val="009B03AB"/>
    <w:rsid w:val="009B0437"/>
    <w:rsid w:val="009B046D"/>
    <w:rsid w:val="009B0490"/>
    <w:rsid w:val="009B04AF"/>
    <w:rsid w:val="009B051C"/>
    <w:rsid w:val="009B051F"/>
    <w:rsid w:val="009B056E"/>
    <w:rsid w:val="009B0595"/>
    <w:rsid w:val="009B0604"/>
    <w:rsid w:val="009B0660"/>
    <w:rsid w:val="009B0665"/>
    <w:rsid w:val="009B06DB"/>
    <w:rsid w:val="009B06E4"/>
    <w:rsid w:val="009B06F9"/>
    <w:rsid w:val="009B0732"/>
    <w:rsid w:val="009B07C8"/>
    <w:rsid w:val="009B085C"/>
    <w:rsid w:val="009B093F"/>
    <w:rsid w:val="009B0969"/>
    <w:rsid w:val="009B0A4D"/>
    <w:rsid w:val="009B0B08"/>
    <w:rsid w:val="009B0BD4"/>
    <w:rsid w:val="009B0BEE"/>
    <w:rsid w:val="009B0BFF"/>
    <w:rsid w:val="009B0C08"/>
    <w:rsid w:val="009B0C3E"/>
    <w:rsid w:val="009B0C3F"/>
    <w:rsid w:val="009B0C9D"/>
    <w:rsid w:val="009B0CA1"/>
    <w:rsid w:val="009B0CBB"/>
    <w:rsid w:val="009B0CE9"/>
    <w:rsid w:val="009B0D28"/>
    <w:rsid w:val="009B0D5A"/>
    <w:rsid w:val="009B0DF6"/>
    <w:rsid w:val="009B0EA6"/>
    <w:rsid w:val="009B0EF5"/>
    <w:rsid w:val="009B0F0B"/>
    <w:rsid w:val="009B0F31"/>
    <w:rsid w:val="009B0F8C"/>
    <w:rsid w:val="009B0F90"/>
    <w:rsid w:val="009B0FEA"/>
    <w:rsid w:val="009B1086"/>
    <w:rsid w:val="009B10AB"/>
    <w:rsid w:val="009B10F5"/>
    <w:rsid w:val="009B122B"/>
    <w:rsid w:val="009B125F"/>
    <w:rsid w:val="009B12CA"/>
    <w:rsid w:val="009B12D6"/>
    <w:rsid w:val="009B12D9"/>
    <w:rsid w:val="009B12F1"/>
    <w:rsid w:val="009B1310"/>
    <w:rsid w:val="009B1327"/>
    <w:rsid w:val="009B13C0"/>
    <w:rsid w:val="009B1400"/>
    <w:rsid w:val="009B1406"/>
    <w:rsid w:val="009B1409"/>
    <w:rsid w:val="009B1432"/>
    <w:rsid w:val="009B1569"/>
    <w:rsid w:val="009B160A"/>
    <w:rsid w:val="009B1653"/>
    <w:rsid w:val="009B169B"/>
    <w:rsid w:val="009B1715"/>
    <w:rsid w:val="009B1725"/>
    <w:rsid w:val="009B175E"/>
    <w:rsid w:val="009B17DB"/>
    <w:rsid w:val="009B1928"/>
    <w:rsid w:val="009B1942"/>
    <w:rsid w:val="009B1954"/>
    <w:rsid w:val="009B1994"/>
    <w:rsid w:val="009B199D"/>
    <w:rsid w:val="009B19AD"/>
    <w:rsid w:val="009B19FA"/>
    <w:rsid w:val="009B1A49"/>
    <w:rsid w:val="009B1ABC"/>
    <w:rsid w:val="009B1B0D"/>
    <w:rsid w:val="009B1BE7"/>
    <w:rsid w:val="009B1C2F"/>
    <w:rsid w:val="009B1C4B"/>
    <w:rsid w:val="009B1D46"/>
    <w:rsid w:val="009B1E28"/>
    <w:rsid w:val="009B1E60"/>
    <w:rsid w:val="009B1E63"/>
    <w:rsid w:val="009B1F08"/>
    <w:rsid w:val="009B1F6D"/>
    <w:rsid w:val="009B1F98"/>
    <w:rsid w:val="009B1FF7"/>
    <w:rsid w:val="009B204D"/>
    <w:rsid w:val="009B20BE"/>
    <w:rsid w:val="009B2100"/>
    <w:rsid w:val="009B2104"/>
    <w:rsid w:val="009B2218"/>
    <w:rsid w:val="009B2231"/>
    <w:rsid w:val="009B225D"/>
    <w:rsid w:val="009B22A3"/>
    <w:rsid w:val="009B22F2"/>
    <w:rsid w:val="009B2324"/>
    <w:rsid w:val="009B23A1"/>
    <w:rsid w:val="009B23A2"/>
    <w:rsid w:val="009B246B"/>
    <w:rsid w:val="009B2519"/>
    <w:rsid w:val="009B258E"/>
    <w:rsid w:val="009B2590"/>
    <w:rsid w:val="009B25D2"/>
    <w:rsid w:val="009B25F4"/>
    <w:rsid w:val="009B25F9"/>
    <w:rsid w:val="009B2607"/>
    <w:rsid w:val="009B2631"/>
    <w:rsid w:val="009B266F"/>
    <w:rsid w:val="009B26DC"/>
    <w:rsid w:val="009B2717"/>
    <w:rsid w:val="009B2776"/>
    <w:rsid w:val="009B2793"/>
    <w:rsid w:val="009B27AC"/>
    <w:rsid w:val="009B27DE"/>
    <w:rsid w:val="009B2813"/>
    <w:rsid w:val="009B28DF"/>
    <w:rsid w:val="009B28E8"/>
    <w:rsid w:val="009B2919"/>
    <w:rsid w:val="009B2931"/>
    <w:rsid w:val="009B29CF"/>
    <w:rsid w:val="009B2A13"/>
    <w:rsid w:val="009B2A16"/>
    <w:rsid w:val="009B2A41"/>
    <w:rsid w:val="009B2A53"/>
    <w:rsid w:val="009B2A69"/>
    <w:rsid w:val="009B2ACC"/>
    <w:rsid w:val="009B2AD4"/>
    <w:rsid w:val="009B2B1E"/>
    <w:rsid w:val="009B2B20"/>
    <w:rsid w:val="009B2B2D"/>
    <w:rsid w:val="009B2B76"/>
    <w:rsid w:val="009B2C04"/>
    <w:rsid w:val="009B2C8B"/>
    <w:rsid w:val="009B2CA7"/>
    <w:rsid w:val="009B2CC7"/>
    <w:rsid w:val="009B2D69"/>
    <w:rsid w:val="009B2DB9"/>
    <w:rsid w:val="009B2DC4"/>
    <w:rsid w:val="009B2DCA"/>
    <w:rsid w:val="009B2E55"/>
    <w:rsid w:val="009B2E5D"/>
    <w:rsid w:val="009B2E69"/>
    <w:rsid w:val="009B2ECF"/>
    <w:rsid w:val="009B2F2A"/>
    <w:rsid w:val="009B2F51"/>
    <w:rsid w:val="009B2FCF"/>
    <w:rsid w:val="009B3080"/>
    <w:rsid w:val="009B3106"/>
    <w:rsid w:val="009B312F"/>
    <w:rsid w:val="009B313A"/>
    <w:rsid w:val="009B3143"/>
    <w:rsid w:val="009B31D8"/>
    <w:rsid w:val="009B325D"/>
    <w:rsid w:val="009B3284"/>
    <w:rsid w:val="009B329B"/>
    <w:rsid w:val="009B33EE"/>
    <w:rsid w:val="009B33F6"/>
    <w:rsid w:val="009B3492"/>
    <w:rsid w:val="009B3494"/>
    <w:rsid w:val="009B34E6"/>
    <w:rsid w:val="009B351C"/>
    <w:rsid w:val="009B351E"/>
    <w:rsid w:val="009B3592"/>
    <w:rsid w:val="009B361A"/>
    <w:rsid w:val="009B362E"/>
    <w:rsid w:val="009B3648"/>
    <w:rsid w:val="009B3666"/>
    <w:rsid w:val="009B368A"/>
    <w:rsid w:val="009B36B9"/>
    <w:rsid w:val="009B3708"/>
    <w:rsid w:val="009B3769"/>
    <w:rsid w:val="009B3782"/>
    <w:rsid w:val="009B37CE"/>
    <w:rsid w:val="009B3816"/>
    <w:rsid w:val="009B38E3"/>
    <w:rsid w:val="009B38FE"/>
    <w:rsid w:val="009B3942"/>
    <w:rsid w:val="009B3943"/>
    <w:rsid w:val="009B396A"/>
    <w:rsid w:val="009B39C9"/>
    <w:rsid w:val="009B39DA"/>
    <w:rsid w:val="009B3A64"/>
    <w:rsid w:val="009B3A70"/>
    <w:rsid w:val="009B3A75"/>
    <w:rsid w:val="009B3B08"/>
    <w:rsid w:val="009B3B7B"/>
    <w:rsid w:val="009B3B89"/>
    <w:rsid w:val="009B3B9E"/>
    <w:rsid w:val="009B3C28"/>
    <w:rsid w:val="009B3CAC"/>
    <w:rsid w:val="009B3D0D"/>
    <w:rsid w:val="009B3D57"/>
    <w:rsid w:val="009B3D6F"/>
    <w:rsid w:val="009B3E05"/>
    <w:rsid w:val="009B3E08"/>
    <w:rsid w:val="009B3E19"/>
    <w:rsid w:val="009B3E6D"/>
    <w:rsid w:val="009B3EBE"/>
    <w:rsid w:val="009B3F07"/>
    <w:rsid w:val="009B3F12"/>
    <w:rsid w:val="009B3F43"/>
    <w:rsid w:val="009B3FA1"/>
    <w:rsid w:val="009B3FAF"/>
    <w:rsid w:val="009B3FC6"/>
    <w:rsid w:val="009B3FFA"/>
    <w:rsid w:val="009B403A"/>
    <w:rsid w:val="009B4096"/>
    <w:rsid w:val="009B4098"/>
    <w:rsid w:val="009B40B8"/>
    <w:rsid w:val="009B40BC"/>
    <w:rsid w:val="009B410D"/>
    <w:rsid w:val="009B412D"/>
    <w:rsid w:val="009B4191"/>
    <w:rsid w:val="009B41B1"/>
    <w:rsid w:val="009B41F1"/>
    <w:rsid w:val="009B4234"/>
    <w:rsid w:val="009B4236"/>
    <w:rsid w:val="009B4241"/>
    <w:rsid w:val="009B4245"/>
    <w:rsid w:val="009B4297"/>
    <w:rsid w:val="009B4380"/>
    <w:rsid w:val="009B439E"/>
    <w:rsid w:val="009B445F"/>
    <w:rsid w:val="009B45AD"/>
    <w:rsid w:val="009B45B6"/>
    <w:rsid w:val="009B468A"/>
    <w:rsid w:val="009B469F"/>
    <w:rsid w:val="009B46AD"/>
    <w:rsid w:val="009B46D8"/>
    <w:rsid w:val="009B471F"/>
    <w:rsid w:val="009B4789"/>
    <w:rsid w:val="009B47AE"/>
    <w:rsid w:val="009B486E"/>
    <w:rsid w:val="009B48B4"/>
    <w:rsid w:val="009B49E7"/>
    <w:rsid w:val="009B4A0C"/>
    <w:rsid w:val="009B4A8C"/>
    <w:rsid w:val="009B4AFC"/>
    <w:rsid w:val="009B4C01"/>
    <w:rsid w:val="009B4C1F"/>
    <w:rsid w:val="009B4C26"/>
    <w:rsid w:val="009B4C69"/>
    <w:rsid w:val="009B4C78"/>
    <w:rsid w:val="009B4CA8"/>
    <w:rsid w:val="009B4D11"/>
    <w:rsid w:val="009B4D30"/>
    <w:rsid w:val="009B4DAC"/>
    <w:rsid w:val="009B4F84"/>
    <w:rsid w:val="009B4FC5"/>
    <w:rsid w:val="009B5056"/>
    <w:rsid w:val="009B5062"/>
    <w:rsid w:val="009B50FE"/>
    <w:rsid w:val="009B5119"/>
    <w:rsid w:val="009B5163"/>
    <w:rsid w:val="009B51B5"/>
    <w:rsid w:val="009B51BD"/>
    <w:rsid w:val="009B51C7"/>
    <w:rsid w:val="009B51C9"/>
    <w:rsid w:val="009B51D8"/>
    <w:rsid w:val="009B51F6"/>
    <w:rsid w:val="009B5202"/>
    <w:rsid w:val="009B5214"/>
    <w:rsid w:val="009B5260"/>
    <w:rsid w:val="009B52B0"/>
    <w:rsid w:val="009B532A"/>
    <w:rsid w:val="009B5461"/>
    <w:rsid w:val="009B54DD"/>
    <w:rsid w:val="009B550A"/>
    <w:rsid w:val="009B555F"/>
    <w:rsid w:val="009B559C"/>
    <w:rsid w:val="009B55B5"/>
    <w:rsid w:val="009B55C3"/>
    <w:rsid w:val="009B55C5"/>
    <w:rsid w:val="009B57F8"/>
    <w:rsid w:val="009B5839"/>
    <w:rsid w:val="009B5886"/>
    <w:rsid w:val="009B58BA"/>
    <w:rsid w:val="009B5940"/>
    <w:rsid w:val="009B598B"/>
    <w:rsid w:val="009B59EF"/>
    <w:rsid w:val="009B5A08"/>
    <w:rsid w:val="009B5AF4"/>
    <w:rsid w:val="009B5B33"/>
    <w:rsid w:val="009B5B75"/>
    <w:rsid w:val="009B5BCA"/>
    <w:rsid w:val="009B5BE9"/>
    <w:rsid w:val="009B5C29"/>
    <w:rsid w:val="009B5D28"/>
    <w:rsid w:val="009B5D5E"/>
    <w:rsid w:val="009B5DAD"/>
    <w:rsid w:val="009B5DB8"/>
    <w:rsid w:val="009B5DDE"/>
    <w:rsid w:val="009B5DED"/>
    <w:rsid w:val="009B5E3D"/>
    <w:rsid w:val="009B5E4C"/>
    <w:rsid w:val="009B5E9C"/>
    <w:rsid w:val="009B5F47"/>
    <w:rsid w:val="009B5F4A"/>
    <w:rsid w:val="009B5F5C"/>
    <w:rsid w:val="009B5F69"/>
    <w:rsid w:val="009B5FF8"/>
    <w:rsid w:val="009B6009"/>
    <w:rsid w:val="009B6048"/>
    <w:rsid w:val="009B6052"/>
    <w:rsid w:val="009B6055"/>
    <w:rsid w:val="009B605B"/>
    <w:rsid w:val="009B608A"/>
    <w:rsid w:val="009B60DA"/>
    <w:rsid w:val="009B6145"/>
    <w:rsid w:val="009B618C"/>
    <w:rsid w:val="009B61F3"/>
    <w:rsid w:val="009B636A"/>
    <w:rsid w:val="009B637B"/>
    <w:rsid w:val="009B6382"/>
    <w:rsid w:val="009B6397"/>
    <w:rsid w:val="009B63A4"/>
    <w:rsid w:val="009B63A8"/>
    <w:rsid w:val="009B6405"/>
    <w:rsid w:val="009B6417"/>
    <w:rsid w:val="009B6475"/>
    <w:rsid w:val="009B64C5"/>
    <w:rsid w:val="009B64CC"/>
    <w:rsid w:val="009B6524"/>
    <w:rsid w:val="009B6567"/>
    <w:rsid w:val="009B6575"/>
    <w:rsid w:val="009B657F"/>
    <w:rsid w:val="009B65AE"/>
    <w:rsid w:val="009B65B6"/>
    <w:rsid w:val="009B6616"/>
    <w:rsid w:val="009B6680"/>
    <w:rsid w:val="009B66AF"/>
    <w:rsid w:val="009B66F9"/>
    <w:rsid w:val="009B6717"/>
    <w:rsid w:val="009B671F"/>
    <w:rsid w:val="009B673F"/>
    <w:rsid w:val="009B67CA"/>
    <w:rsid w:val="009B67F7"/>
    <w:rsid w:val="009B6812"/>
    <w:rsid w:val="009B6827"/>
    <w:rsid w:val="009B687C"/>
    <w:rsid w:val="009B68E4"/>
    <w:rsid w:val="009B6B05"/>
    <w:rsid w:val="009B6B7B"/>
    <w:rsid w:val="009B6BAE"/>
    <w:rsid w:val="009B6BFE"/>
    <w:rsid w:val="009B6C3F"/>
    <w:rsid w:val="009B6CA3"/>
    <w:rsid w:val="009B6CB1"/>
    <w:rsid w:val="009B6CC4"/>
    <w:rsid w:val="009B6CE7"/>
    <w:rsid w:val="009B6CFD"/>
    <w:rsid w:val="009B6D46"/>
    <w:rsid w:val="009B6E16"/>
    <w:rsid w:val="009B6F17"/>
    <w:rsid w:val="009B6F63"/>
    <w:rsid w:val="009B6F87"/>
    <w:rsid w:val="009B6FB6"/>
    <w:rsid w:val="009B6FDA"/>
    <w:rsid w:val="009B6FFB"/>
    <w:rsid w:val="009B7066"/>
    <w:rsid w:val="009B7084"/>
    <w:rsid w:val="009B70AE"/>
    <w:rsid w:val="009B70EA"/>
    <w:rsid w:val="009B720F"/>
    <w:rsid w:val="009B72B3"/>
    <w:rsid w:val="009B72FD"/>
    <w:rsid w:val="009B7382"/>
    <w:rsid w:val="009B7385"/>
    <w:rsid w:val="009B73F0"/>
    <w:rsid w:val="009B7480"/>
    <w:rsid w:val="009B74B1"/>
    <w:rsid w:val="009B7573"/>
    <w:rsid w:val="009B7580"/>
    <w:rsid w:val="009B75E8"/>
    <w:rsid w:val="009B75F4"/>
    <w:rsid w:val="009B76B0"/>
    <w:rsid w:val="009B76BC"/>
    <w:rsid w:val="009B76CD"/>
    <w:rsid w:val="009B771C"/>
    <w:rsid w:val="009B7727"/>
    <w:rsid w:val="009B7764"/>
    <w:rsid w:val="009B779F"/>
    <w:rsid w:val="009B7818"/>
    <w:rsid w:val="009B7832"/>
    <w:rsid w:val="009B7892"/>
    <w:rsid w:val="009B792E"/>
    <w:rsid w:val="009B7982"/>
    <w:rsid w:val="009B799E"/>
    <w:rsid w:val="009B7A26"/>
    <w:rsid w:val="009B7A44"/>
    <w:rsid w:val="009B7A69"/>
    <w:rsid w:val="009B7A9D"/>
    <w:rsid w:val="009B7AA6"/>
    <w:rsid w:val="009B7AC4"/>
    <w:rsid w:val="009B7AF3"/>
    <w:rsid w:val="009B7AF8"/>
    <w:rsid w:val="009B7AFB"/>
    <w:rsid w:val="009B7B3C"/>
    <w:rsid w:val="009B7B69"/>
    <w:rsid w:val="009B7B72"/>
    <w:rsid w:val="009B7C0F"/>
    <w:rsid w:val="009B7CCB"/>
    <w:rsid w:val="009B7D1A"/>
    <w:rsid w:val="009B7E0A"/>
    <w:rsid w:val="009B7E91"/>
    <w:rsid w:val="009B7E9C"/>
    <w:rsid w:val="009B7F12"/>
    <w:rsid w:val="009B7F48"/>
    <w:rsid w:val="009B7F57"/>
    <w:rsid w:val="009B7FCE"/>
    <w:rsid w:val="009B7FF5"/>
    <w:rsid w:val="009C003F"/>
    <w:rsid w:val="009C004D"/>
    <w:rsid w:val="009C0069"/>
    <w:rsid w:val="009C00B3"/>
    <w:rsid w:val="009C00BD"/>
    <w:rsid w:val="009C00C0"/>
    <w:rsid w:val="009C0162"/>
    <w:rsid w:val="009C01A7"/>
    <w:rsid w:val="009C01D0"/>
    <w:rsid w:val="009C01D8"/>
    <w:rsid w:val="009C01E5"/>
    <w:rsid w:val="009C020B"/>
    <w:rsid w:val="009C023D"/>
    <w:rsid w:val="009C0259"/>
    <w:rsid w:val="009C0320"/>
    <w:rsid w:val="009C0351"/>
    <w:rsid w:val="009C0393"/>
    <w:rsid w:val="009C03AC"/>
    <w:rsid w:val="009C040E"/>
    <w:rsid w:val="009C040F"/>
    <w:rsid w:val="009C0473"/>
    <w:rsid w:val="009C0478"/>
    <w:rsid w:val="009C047D"/>
    <w:rsid w:val="009C04AD"/>
    <w:rsid w:val="009C057C"/>
    <w:rsid w:val="009C059C"/>
    <w:rsid w:val="009C0661"/>
    <w:rsid w:val="009C06B8"/>
    <w:rsid w:val="009C06D1"/>
    <w:rsid w:val="009C06ED"/>
    <w:rsid w:val="009C08A4"/>
    <w:rsid w:val="009C08A6"/>
    <w:rsid w:val="009C08B7"/>
    <w:rsid w:val="009C0937"/>
    <w:rsid w:val="009C09F6"/>
    <w:rsid w:val="009C0A48"/>
    <w:rsid w:val="009C0A7E"/>
    <w:rsid w:val="009C0AD7"/>
    <w:rsid w:val="009C0B05"/>
    <w:rsid w:val="009C0B13"/>
    <w:rsid w:val="009C0B3B"/>
    <w:rsid w:val="009C0B4E"/>
    <w:rsid w:val="009C0B91"/>
    <w:rsid w:val="009C0BA2"/>
    <w:rsid w:val="009C0BC4"/>
    <w:rsid w:val="009C0BCA"/>
    <w:rsid w:val="009C0C0E"/>
    <w:rsid w:val="009C0C12"/>
    <w:rsid w:val="009C0C20"/>
    <w:rsid w:val="009C0D45"/>
    <w:rsid w:val="009C0DF3"/>
    <w:rsid w:val="009C0E06"/>
    <w:rsid w:val="009C0E19"/>
    <w:rsid w:val="009C0E43"/>
    <w:rsid w:val="009C0E8E"/>
    <w:rsid w:val="009C0E9F"/>
    <w:rsid w:val="009C0EC2"/>
    <w:rsid w:val="009C0EF3"/>
    <w:rsid w:val="009C0F0F"/>
    <w:rsid w:val="009C0F13"/>
    <w:rsid w:val="009C0F33"/>
    <w:rsid w:val="009C0FA1"/>
    <w:rsid w:val="009C0FAF"/>
    <w:rsid w:val="009C0FD4"/>
    <w:rsid w:val="009C1038"/>
    <w:rsid w:val="009C108D"/>
    <w:rsid w:val="009C10C3"/>
    <w:rsid w:val="009C1109"/>
    <w:rsid w:val="009C1113"/>
    <w:rsid w:val="009C11DF"/>
    <w:rsid w:val="009C11F1"/>
    <w:rsid w:val="009C1238"/>
    <w:rsid w:val="009C1257"/>
    <w:rsid w:val="009C1275"/>
    <w:rsid w:val="009C1280"/>
    <w:rsid w:val="009C12AA"/>
    <w:rsid w:val="009C12E0"/>
    <w:rsid w:val="009C131E"/>
    <w:rsid w:val="009C1381"/>
    <w:rsid w:val="009C1449"/>
    <w:rsid w:val="009C14A6"/>
    <w:rsid w:val="009C14BF"/>
    <w:rsid w:val="009C14FF"/>
    <w:rsid w:val="009C1508"/>
    <w:rsid w:val="009C1537"/>
    <w:rsid w:val="009C1558"/>
    <w:rsid w:val="009C155F"/>
    <w:rsid w:val="009C15D1"/>
    <w:rsid w:val="009C15DA"/>
    <w:rsid w:val="009C1646"/>
    <w:rsid w:val="009C16C8"/>
    <w:rsid w:val="009C1717"/>
    <w:rsid w:val="009C177A"/>
    <w:rsid w:val="009C1791"/>
    <w:rsid w:val="009C17D8"/>
    <w:rsid w:val="009C17FA"/>
    <w:rsid w:val="009C18B0"/>
    <w:rsid w:val="009C18C6"/>
    <w:rsid w:val="009C18CE"/>
    <w:rsid w:val="009C18D1"/>
    <w:rsid w:val="009C1955"/>
    <w:rsid w:val="009C19EF"/>
    <w:rsid w:val="009C1A4E"/>
    <w:rsid w:val="009C1AB4"/>
    <w:rsid w:val="009C1ADC"/>
    <w:rsid w:val="009C1B38"/>
    <w:rsid w:val="009C1B3B"/>
    <w:rsid w:val="009C1BCA"/>
    <w:rsid w:val="009C1C81"/>
    <w:rsid w:val="009C1CA1"/>
    <w:rsid w:val="009C1CAC"/>
    <w:rsid w:val="009C1CC6"/>
    <w:rsid w:val="009C1CD6"/>
    <w:rsid w:val="009C1D56"/>
    <w:rsid w:val="009C1DC8"/>
    <w:rsid w:val="009C1E04"/>
    <w:rsid w:val="009C1E41"/>
    <w:rsid w:val="009C1E9C"/>
    <w:rsid w:val="009C1F00"/>
    <w:rsid w:val="009C1F8C"/>
    <w:rsid w:val="009C1F9F"/>
    <w:rsid w:val="009C2007"/>
    <w:rsid w:val="009C200F"/>
    <w:rsid w:val="009C2108"/>
    <w:rsid w:val="009C2111"/>
    <w:rsid w:val="009C217E"/>
    <w:rsid w:val="009C218F"/>
    <w:rsid w:val="009C2197"/>
    <w:rsid w:val="009C21DA"/>
    <w:rsid w:val="009C220A"/>
    <w:rsid w:val="009C221F"/>
    <w:rsid w:val="009C223D"/>
    <w:rsid w:val="009C223E"/>
    <w:rsid w:val="009C225A"/>
    <w:rsid w:val="009C22C4"/>
    <w:rsid w:val="009C22CB"/>
    <w:rsid w:val="009C22FD"/>
    <w:rsid w:val="009C230B"/>
    <w:rsid w:val="009C2375"/>
    <w:rsid w:val="009C2392"/>
    <w:rsid w:val="009C23C4"/>
    <w:rsid w:val="009C2433"/>
    <w:rsid w:val="009C245D"/>
    <w:rsid w:val="009C245F"/>
    <w:rsid w:val="009C246E"/>
    <w:rsid w:val="009C24E1"/>
    <w:rsid w:val="009C2503"/>
    <w:rsid w:val="009C254F"/>
    <w:rsid w:val="009C256A"/>
    <w:rsid w:val="009C257C"/>
    <w:rsid w:val="009C25A7"/>
    <w:rsid w:val="009C2604"/>
    <w:rsid w:val="009C260E"/>
    <w:rsid w:val="009C268B"/>
    <w:rsid w:val="009C2707"/>
    <w:rsid w:val="009C2735"/>
    <w:rsid w:val="009C2813"/>
    <w:rsid w:val="009C2830"/>
    <w:rsid w:val="009C2839"/>
    <w:rsid w:val="009C288A"/>
    <w:rsid w:val="009C294B"/>
    <w:rsid w:val="009C29F4"/>
    <w:rsid w:val="009C2AAB"/>
    <w:rsid w:val="009C2B11"/>
    <w:rsid w:val="009C2B5D"/>
    <w:rsid w:val="009C2B72"/>
    <w:rsid w:val="009C2B84"/>
    <w:rsid w:val="009C2B8E"/>
    <w:rsid w:val="009C2C86"/>
    <w:rsid w:val="009C2CA4"/>
    <w:rsid w:val="009C2CA6"/>
    <w:rsid w:val="009C2CC0"/>
    <w:rsid w:val="009C2D55"/>
    <w:rsid w:val="009C2D70"/>
    <w:rsid w:val="009C2D8B"/>
    <w:rsid w:val="009C2DD1"/>
    <w:rsid w:val="009C2DEE"/>
    <w:rsid w:val="009C2DFF"/>
    <w:rsid w:val="009C302D"/>
    <w:rsid w:val="009C3057"/>
    <w:rsid w:val="009C3065"/>
    <w:rsid w:val="009C30F5"/>
    <w:rsid w:val="009C3103"/>
    <w:rsid w:val="009C3117"/>
    <w:rsid w:val="009C3125"/>
    <w:rsid w:val="009C3168"/>
    <w:rsid w:val="009C31E2"/>
    <w:rsid w:val="009C3273"/>
    <w:rsid w:val="009C3275"/>
    <w:rsid w:val="009C32AC"/>
    <w:rsid w:val="009C335F"/>
    <w:rsid w:val="009C3417"/>
    <w:rsid w:val="009C3475"/>
    <w:rsid w:val="009C348C"/>
    <w:rsid w:val="009C34AA"/>
    <w:rsid w:val="009C34F7"/>
    <w:rsid w:val="009C3587"/>
    <w:rsid w:val="009C3592"/>
    <w:rsid w:val="009C35DE"/>
    <w:rsid w:val="009C35F9"/>
    <w:rsid w:val="009C364B"/>
    <w:rsid w:val="009C3659"/>
    <w:rsid w:val="009C3669"/>
    <w:rsid w:val="009C3677"/>
    <w:rsid w:val="009C3687"/>
    <w:rsid w:val="009C3699"/>
    <w:rsid w:val="009C3745"/>
    <w:rsid w:val="009C37A7"/>
    <w:rsid w:val="009C37BA"/>
    <w:rsid w:val="009C37C9"/>
    <w:rsid w:val="009C391A"/>
    <w:rsid w:val="009C398A"/>
    <w:rsid w:val="009C399E"/>
    <w:rsid w:val="009C39C3"/>
    <w:rsid w:val="009C3A43"/>
    <w:rsid w:val="009C3A84"/>
    <w:rsid w:val="009C3AAB"/>
    <w:rsid w:val="009C3AFE"/>
    <w:rsid w:val="009C3B33"/>
    <w:rsid w:val="009C3B75"/>
    <w:rsid w:val="009C3C2E"/>
    <w:rsid w:val="009C3C41"/>
    <w:rsid w:val="009C3CDB"/>
    <w:rsid w:val="009C3CFC"/>
    <w:rsid w:val="009C3D68"/>
    <w:rsid w:val="009C3D71"/>
    <w:rsid w:val="009C3D8A"/>
    <w:rsid w:val="009C3F67"/>
    <w:rsid w:val="009C3F6E"/>
    <w:rsid w:val="009C3F81"/>
    <w:rsid w:val="009C3F9D"/>
    <w:rsid w:val="009C3F9F"/>
    <w:rsid w:val="009C3FB6"/>
    <w:rsid w:val="009C4009"/>
    <w:rsid w:val="009C4053"/>
    <w:rsid w:val="009C4077"/>
    <w:rsid w:val="009C40B1"/>
    <w:rsid w:val="009C40B4"/>
    <w:rsid w:val="009C40D0"/>
    <w:rsid w:val="009C40F6"/>
    <w:rsid w:val="009C4177"/>
    <w:rsid w:val="009C4216"/>
    <w:rsid w:val="009C4221"/>
    <w:rsid w:val="009C427B"/>
    <w:rsid w:val="009C429C"/>
    <w:rsid w:val="009C4320"/>
    <w:rsid w:val="009C4409"/>
    <w:rsid w:val="009C441B"/>
    <w:rsid w:val="009C44A1"/>
    <w:rsid w:val="009C44D9"/>
    <w:rsid w:val="009C44E5"/>
    <w:rsid w:val="009C44E7"/>
    <w:rsid w:val="009C453E"/>
    <w:rsid w:val="009C4561"/>
    <w:rsid w:val="009C4588"/>
    <w:rsid w:val="009C458A"/>
    <w:rsid w:val="009C45CC"/>
    <w:rsid w:val="009C45ED"/>
    <w:rsid w:val="009C462D"/>
    <w:rsid w:val="009C4653"/>
    <w:rsid w:val="009C468A"/>
    <w:rsid w:val="009C46BD"/>
    <w:rsid w:val="009C46C0"/>
    <w:rsid w:val="009C4707"/>
    <w:rsid w:val="009C4736"/>
    <w:rsid w:val="009C475C"/>
    <w:rsid w:val="009C47A6"/>
    <w:rsid w:val="009C47A7"/>
    <w:rsid w:val="009C47AB"/>
    <w:rsid w:val="009C47FC"/>
    <w:rsid w:val="009C4829"/>
    <w:rsid w:val="009C48FC"/>
    <w:rsid w:val="009C497B"/>
    <w:rsid w:val="009C499A"/>
    <w:rsid w:val="009C49A4"/>
    <w:rsid w:val="009C4A3D"/>
    <w:rsid w:val="009C4A71"/>
    <w:rsid w:val="009C4A8D"/>
    <w:rsid w:val="009C4A8E"/>
    <w:rsid w:val="009C4A8F"/>
    <w:rsid w:val="009C4BC3"/>
    <w:rsid w:val="009C4CEB"/>
    <w:rsid w:val="009C4E3F"/>
    <w:rsid w:val="009C4EA7"/>
    <w:rsid w:val="009C4ED2"/>
    <w:rsid w:val="009C4EE9"/>
    <w:rsid w:val="009C4F36"/>
    <w:rsid w:val="009C4FE6"/>
    <w:rsid w:val="009C4FFE"/>
    <w:rsid w:val="009C5024"/>
    <w:rsid w:val="009C50B2"/>
    <w:rsid w:val="009C50CC"/>
    <w:rsid w:val="009C51D0"/>
    <w:rsid w:val="009C522D"/>
    <w:rsid w:val="009C5253"/>
    <w:rsid w:val="009C526D"/>
    <w:rsid w:val="009C53FE"/>
    <w:rsid w:val="009C543C"/>
    <w:rsid w:val="009C5452"/>
    <w:rsid w:val="009C552E"/>
    <w:rsid w:val="009C5574"/>
    <w:rsid w:val="009C55AC"/>
    <w:rsid w:val="009C55BC"/>
    <w:rsid w:val="009C5612"/>
    <w:rsid w:val="009C5681"/>
    <w:rsid w:val="009C5686"/>
    <w:rsid w:val="009C56B9"/>
    <w:rsid w:val="009C56BF"/>
    <w:rsid w:val="009C56C3"/>
    <w:rsid w:val="009C56E2"/>
    <w:rsid w:val="009C574B"/>
    <w:rsid w:val="009C5790"/>
    <w:rsid w:val="009C585E"/>
    <w:rsid w:val="009C58DF"/>
    <w:rsid w:val="009C5A13"/>
    <w:rsid w:val="009C5AE8"/>
    <w:rsid w:val="009C5B74"/>
    <w:rsid w:val="009C5C1D"/>
    <w:rsid w:val="009C5C27"/>
    <w:rsid w:val="009C5C63"/>
    <w:rsid w:val="009C5C8C"/>
    <w:rsid w:val="009C5C92"/>
    <w:rsid w:val="009C5C95"/>
    <w:rsid w:val="009C5D64"/>
    <w:rsid w:val="009C5D8F"/>
    <w:rsid w:val="009C5DB2"/>
    <w:rsid w:val="009C5DCB"/>
    <w:rsid w:val="009C5DDE"/>
    <w:rsid w:val="009C5E1E"/>
    <w:rsid w:val="009C5E5C"/>
    <w:rsid w:val="009C5E72"/>
    <w:rsid w:val="009C5EE3"/>
    <w:rsid w:val="009C6050"/>
    <w:rsid w:val="009C6057"/>
    <w:rsid w:val="009C60A7"/>
    <w:rsid w:val="009C60D4"/>
    <w:rsid w:val="009C60E0"/>
    <w:rsid w:val="009C6122"/>
    <w:rsid w:val="009C6183"/>
    <w:rsid w:val="009C619C"/>
    <w:rsid w:val="009C61D8"/>
    <w:rsid w:val="009C6217"/>
    <w:rsid w:val="009C625C"/>
    <w:rsid w:val="009C62DC"/>
    <w:rsid w:val="009C62F6"/>
    <w:rsid w:val="009C6363"/>
    <w:rsid w:val="009C6384"/>
    <w:rsid w:val="009C640F"/>
    <w:rsid w:val="009C649F"/>
    <w:rsid w:val="009C652B"/>
    <w:rsid w:val="009C65A4"/>
    <w:rsid w:val="009C65CD"/>
    <w:rsid w:val="009C6613"/>
    <w:rsid w:val="009C6615"/>
    <w:rsid w:val="009C66D0"/>
    <w:rsid w:val="009C6721"/>
    <w:rsid w:val="009C673F"/>
    <w:rsid w:val="009C678E"/>
    <w:rsid w:val="009C67E8"/>
    <w:rsid w:val="009C680C"/>
    <w:rsid w:val="009C6856"/>
    <w:rsid w:val="009C68B9"/>
    <w:rsid w:val="009C68F3"/>
    <w:rsid w:val="009C68FB"/>
    <w:rsid w:val="009C6990"/>
    <w:rsid w:val="009C6A8B"/>
    <w:rsid w:val="009C6B12"/>
    <w:rsid w:val="009C6B20"/>
    <w:rsid w:val="009C6B4D"/>
    <w:rsid w:val="009C6B93"/>
    <w:rsid w:val="009C6C29"/>
    <w:rsid w:val="009C6C3C"/>
    <w:rsid w:val="009C6CA1"/>
    <w:rsid w:val="009C6D23"/>
    <w:rsid w:val="009C6D91"/>
    <w:rsid w:val="009C6DD9"/>
    <w:rsid w:val="009C6E65"/>
    <w:rsid w:val="009C6EF7"/>
    <w:rsid w:val="009C6F42"/>
    <w:rsid w:val="009C6F70"/>
    <w:rsid w:val="009C6FA8"/>
    <w:rsid w:val="009C6FAB"/>
    <w:rsid w:val="009C7011"/>
    <w:rsid w:val="009C70BE"/>
    <w:rsid w:val="009C70C2"/>
    <w:rsid w:val="009C70F8"/>
    <w:rsid w:val="009C7164"/>
    <w:rsid w:val="009C71EF"/>
    <w:rsid w:val="009C7279"/>
    <w:rsid w:val="009C72DD"/>
    <w:rsid w:val="009C72F2"/>
    <w:rsid w:val="009C7300"/>
    <w:rsid w:val="009C731C"/>
    <w:rsid w:val="009C7374"/>
    <w:rsid w:val="009C73CF"/>
    <w:rsid w:val="009C7402"/>
    <w:rsid w:val="009C753C"/>
    <w:rsid w:val="009C7588"/>
    <w:rsid w:val="009C7597"/>
    <w:rsid w:val="009C75C3"/>
    <w:rsid w:val="009C763A"/>
    <w:rsid w:val="009C7650"/>
    <w:rsid w:val="009C7692"/>
    <w:rsid w:val="009C76F6"/>
    <w:rsid w:val="009C770F"/>
    <w:rsid w:val="009C772A"/>
    <w:rsid w:val="009C7771"/>
    <w:rsid w:val="009C7773"/>
    <w:rsid w:val="009C777C"/>
    <w:rsid w:val="009C77A1"/>
    <w:rsid w:val="009C77B9"/>
    <w:rsid w:val="009C77E0"/>
    <w:rsid w:val="009C7820"/>
    <w:rsid w:val="009C78BD"/>
    <w:rsid w:val="009C78D2"/>
    <w:rsid w:val="009C7973"/>
    <w:rsid w:val="009C798E"/>
    <w:rsid w:val="009C799C"/>
    <w:rsid w:val="009C79C6"/>
    <w:rsid w:val="009C7A04"/>
    <w:rsid w:val="009C7A14"/>
    <w:rsid w:val="009C7A5F"/>
    <w:rsid w:val="009C7A67"/>
    <w:rsid w:val="009C7B46"/>
    <w:rsid w:val="009C7C34"/>
    <w:rsid w:val="009C7C68"/>
    <w:rsid w:val="009C7C96"/>
    <w:rsid w:val="009C7CD7"/>
    <w:rsid w:val="009C7CEE"/>
    <w:rsid w:val="009C7D12"/>
    <w:rsid w:val="009C7D24"/>
    <w:rsid w:val="009C7D31"/>
    <w:rsid w:val="009C7D3E"/>
    <w:rsid w:val="009C7DF5"/>
    <w:rsid w:val="009C7DFD"/>
    <w:rsid w:val="009C7E10"/>
    <w:rsid w:val="009C7E47"/>
    <w:rsid w:val="009C7E53"/>
    <w:rsid w:val="009C7EC9"/>
    <w:rsid w:val="009C7F30"/>
    <w:rsid w:val="009C7F3A"/>
    <w:rsid w:val="009C7F4B"/>
    <w:rsid w:val="009C7F6F"/>
    <w:rsid w:val="009C7FB0"/>
    <w:rsid w:val="009D00F5"/>
    <w:rsid w:val="009D016D"/>
    <w:rsid w:val="009D0199"/>
    <w:rsid w:val="009D01AC"/>
    <w:rsid w:val="009D01DA"/>
    <w:rsid w:val="009D0233"/>
    <w:rsid w:val="009D0247"/>
    <w:rsid w:val="009D0248"/>
    <w:rsid w:val="009D0264"/>
    <w:rsid w:val="009D02AB"/>
    <w:rsid w:val="009D02AC"/>
    <w:rsid w:val="009D036C"/>
    <w:rsid w:val="009D03EE"/>
    <w:rsid w:val="009D0415"/>
    <w:rsid w:val="009D047C"/>
    <w:rsid w:val="009D04B0"/>
    <w:rsid w:val="009D04D1"/>
    <w:rsid w:val="009D04D6"/>
    <w:rsid w:val="009D0531"/>
    <w:rsid w:val="009D054D"/>
    <w:rsid w:val="009D0577"/>
    <w:rsid w:val="009D059B"/>
    <w:rsid w:val="009D05B5"/>
    <w:rsid w:val="009D060E"/>
    <w:rsid w:val="009D0634"/>
    <w:rsid w:val="009D068C"/>
    <w:rsid w:val="009D06D2"/>
    <w:rsid w:val="009D0746"/>
    <w:rsid w:val="009D0764"/>
    <w:rsid w:val="009D07B6"/>
    <w:rsid w:val="009D081B"/>
    <w:rsid w:val="009D087C"/>
    <w:rsid w:val="009D08A5"/>
    <w:rsid w:val="009D0975"/>
    <w:rsid w:val="009D09B4"/>
    <w:rsid w:val="009D09CB"/>
    <w:rsid w:val="009D09DF"/>
    <w:rsid w:val="009D0A24"/>
    <w:rsid w:val="009D0A33"/>
    <w:rsid w:val="009D0B14"/>
    <w:rsid w:val="009D0BC2"/>
    <w:rsid w:val="009D0C2D"/>
    <w:rsid w:val="009D0C34"/>
    <w:rsid w:val="009D0C6D"/>
    <w:rsid w:val="009D0C89"/>
    <w:rsid w:val="009D0CD0"/>
    <w:rsid w:val="009D0CF6"/>
    <w:rsid w:val="009D0D37"/>
    <w:rsid w:val="009D0DAC"/>
    <w:rsid w:val="009D0DCA"/>
    <w:rsid w:val="009D0DD8"/>
    <w:rsid w:val="009D0EB2"/>
    <w:rsid w:val="009D0F06"/>
    <w:rsid w:val="009D0F5F"/>
    <w:rsid w:val="009D0F92"/>
    <w:rsid w:val="009D0FA1"/>
    <w:rsid w:val="009D0FDA"/>
    <w:rsid w:val="009D0FDD"/>
    <w:rsid w:val="009D1068"/>
    <w:rsid w:val="009D1094"/>
    <w:rsid w:val="009D10EB"/>
    <w:rsid w:val="009D110E"/>
    <w:rsid w:val="009D1127"/>
    <w:rsid w:val="009D1128"/>
    <w:rsid w:val="009D1189"/>
    <w:rsid w:val="009D1191"/>
    <w:rsid w:val="009D120C"/>
    <w:rsid w:val="009D1286"/>
    <w:rsid w:val="009D1288"/>
    <w:rsid w:val="009D12C6"/>
    <w:rsid w:val="009D12D6"/>
    <w:rsid w:val="009D1436"/>
    <w:rsid w:val="009D14EA"/>
    <w:rsid w:val="009D1509"/>
    <w:rsid w:val="009D1531"/>
    <w:rsid w:val="009D1568"/>
    <w:rsid w:val="009D1573"/>
    <w:rsid w:val="009D15BE"/>
    <w:rsid w:val="009D164C"/>
    <w:rsid w:val="009D165D"/>
    <w:rsid w:val="009D1670"/>
    <w:rsid w:val="009D179F"/>
    <w:rsid w:val="009D17A1"/>
    <w:rsid w:val="009D18A8"/>
    <w:rsid w:val="009D1928"/>
    <w:rsid w:val="009D193B"/>
    <w:rsid w:val="009D198D"/>
    <w:rsid w:val="009D1999"/>
    <w:rsid w:val="009D19FC"/>
    <w:rsid w:val="009D1A1A"/>
    <w:rsid w:val="009D1AE5"/>
    <w:rsid w:val="009D1AFB"/>
    <w:rsid w:val="009D1B05"/>
    <w:rsid w:val="009D1B8E"/>
    <w:rsid w:val="009D1BCA"/>
    <w:rsid w:val="009D1C05"/>
    <w:rsid w:val="009D1C36"/>
    <w:rsid w:val="009D1C49"/>
    <w:rsid w:val="009D1C7E"/>
    <w:rsid w:val="009D1CDF"/>
    <w:rsid w:val="009D1D5A"/>
    <w:rsid w:val="009D1D90"/>
    <w:rsid w:val="009D1D96"/>
    <w:rsid w:val="009D1E18"/>
    <w:rsid w:val="009D1E47"/>
    <w:rsid w:val="009D1E87"/>
    <w:rsid w:val="009D1EFB"/>
    <w:rsid w:val="009D1F02"/>
    <w:rsid w:val="009D1F34"/>
    <w:rsid w:val="009D1F6F"/>
    <w:rsid w:val="009D1FA3"/>
    <w:rsid w:val="009D2043"/>
    <w:rsid w:val="009D2132"/>
    <w:rsid w:val="009D215C"/>
    <w:rsid w:val="009D21BD"/>
    <w:rsid w:val="009D21C0"/>
    <w:rsid w:val="009D21FB"/>
    <w:rsid w:val="009D220A"/>
    <w:rsid w:val="009D229B"/>
    <w:rsid w:val="009D22CB"/>
    <w:rsid w:val="009D2319"/>
    <w:rsid w:val="009D2322"/>
    <w:rsid w:val="009D234A"/>
    <w:rsid w:val="009D23BD"/>
    <w:rsid w:val="009D23C3"/>
    <w:rsid w:val="009D240F"/>
    <w:rsid w:val="009D2435"/>
    <w:rsid w:val="009D2568"/>
    <w:rsid w:val="009D256D"/>
    <w:rsid w:val="009D257F"/>
    <w:rsid w:val="009D25C7"/>
    <w:rsid w:val="009D25E8"/>
    <w:rsid w:val="009D260D"/>
    <w:rsid w:val="009D2629"/>
    <w:rsid w:val="009D2648"/>
    <w:rsid w:val="009D26D2"/>
    <w:rsid w:val="009D274C"/>
    <w:rsid w:val="009D2798"/>
    <w:rsid w:val="009D27C6"/>
    <w:rsid w:val="009D27CA"/>
    <w:rsid w:val="009D2851"/>
    <w:rsid w:val="009D28EC"/>
    <w:rsid w:val="009D2903"/>
    <w:rsid w:val="009D290D"/>
    <w:rsid w:val="009D2A3A"/>
    <w:rsid w:val="009D2A55"/>
    <w:rsid w:val="009D2B11"/>
    <w:rsid w:val="009D2B29"/>
    <w:rsid w:val="009D2B99"/>
    <w:rsid w:val="009D2BE4"/>
    <w:rsid w:val="009D2C1C"/>
    <w:rsid w:val="009D2C43"/>
    <w:rsid w:val="009D2C69"/>
    <w:rsid w:val="009D2CA5"/>
    <w:rsid w:val="009D2CFA"/>
    <w:rsid w:val="009D2D3C"/>
    <w:rsid w:val="009D2D3F"/>
    <w:rsid w:val="009D2D5C"/>
    <w:rsid w:val="009D2D74"/>
    <w:rsid w:val="009D2DBC"/>
    <w:rsid w:val="009D2DD5"/>
    <w:rsid w:val="009D2E2E"/>
    <w:rsid w:val="009D2E4B"/>
    <w:rsid w:val="009D2E4D"/>
    <w:rsid w:val="009D2E74"/>
    <w:rsid w:val="009D2EA4"/>
    <w:rsid w:val="009D2ED9"/>
    <w:rsid w:val="009D2FD1"/>
    <w:rsid w:val="009D3013"/>
    <w:rsid w:val="009D30C4"/>
    <w:rsid w:val="009D319D"/>
    <w:rsid w:val="009D31C5"/>
    <w:rsid w:val="009D3271"/>
    <w:rsid w:val="009D3286"/>
    <w:rsid w:val="009D32BC"/>
    <w:rsid w:val="009D32FF"/>
    <w:rsid w:val="009D3315"/>
    <w:rsid w:val="009D3365"/>
    <w:rsid w:val="009D3382"/>
    <w:rsid w:val="009D33AF"/>
    <w:rsid w:val="009D33DF"/>
    <w:rsid w:val="009D3436"/>
    <w:rsid w:val="009D34B7"/>
    <w:rsid w:val="009D34FF"/>
    <w:rsid w:val="009D3512"/>
    <w:rsid w:val="009D3519"/>
    <w:rsid w:val="009D3523"/>
    <w:rsid w:val="009D3529"/>
    <w:rsid w:val="009D357C"/>
    <w:rsid w:val="009D3602"/>
    <w:rsid w:val="009D3636"/>
    <w:rsid w:val="009D368B"/>
    <w:rsid w:val="009D3691"/>
    <w:rsid w:val="009D36EE"/>
    <w:rsid w:val="009D36F0"/>
    <w:rsid w:val="009D37FA"/>
    <w:rsid w:val="009D3802"/>
    <w:rsid w:val="009D383F"/>
    <w:rsid w:val="009D3877"/>
    <w:rsid w:val="009D3895"/>
    <w:rsid w:val="009D3907"/>
    <w:rsid w:val="009D399C"/>
    <w:rsid w:val="009D39B8"/>
    <w:rsid w:val="009D3A15"/>
    <w:rsid w:val="009D3A30"/>
    <w:rsid w:val="009D3A5C"/>
    <w:rsid w:val="009D3A94"/>
    <w:rsid w:val="009D3AB7"/>
    <w:rsid w:val="009D3AC2"/>
    <w:rsid w:val="009D3B41"/>
    <w:rsid w:val="009D3B42"/>
    <w:rsid w:val="009D3B5F"/>
    <w:rsid w:val="009D3B62"/>
    <w:rsid w:val="009D3B72"/>
    <w:rsid w:val="009D3B8B"/>
    <w:rsid w:val="009D3BC6"/>
    <w:rsid w:val="009D3BF8"/>
    <w:rsid w:val="009D3BFA"/>
    <w:rsid w:val="009D3C5E"/>
    <w:rsid w:val="009D3C9B"/>
    <w:rsid w:val="009D3CB8"/>
    <w:rsid w:val="009D3CDE"/>
    <w:rsid w:val="009D3D1F"/>
    <w:rsid w:val="009D3D52"/>
    <w:rsid w:val="009D3D9F"/>
    <w:rsid w:val="009D3DF9"/>
    <w:rsid w:val="009D3E28"/>
    <w:rsid w:val="009D3E80"/>
    <w:rsid w:val="009D3EA3"/>
    <w:rsid w:val="009D3EBC"/>
    <w:rsid w:val="009D3EF6"/>
    <w:rsid w:val="009D3F13"/>
    <w:rsid w:val="009D3F1E"/>
    <w:rsid w:val="009D3F46"/>
    <w:rsid w:val="009D3F5F"/>
    <w:rsid w:val="009D3FC0"/>
    <w:rsid w:val="009D4014"/>
    <w:rsid w:val="009D4083"/>
    <w:rsid w:val="009D40A0"/>
    <w:rsid w:val="009D40F2"/>
    <w:rsid w:val="009D415C"/>
    <w:rsid w:val="009D4188"/>
    <w:rsid w:val="009D4200"/>
    <w:rsid w:val="009D42C0"/>
    <w:rsid w:val="009D42FA"/>
    <w:rsid w:val="009D433E"/>
    <w:rsid w:val="009D43A6"/>
    <w:rsid w:val="009D43EE"/>
    <w:rsid w:val="009D43FC"/>
    <w:rsid w:val="009D442C"/>
    <w:rsid w:val="009D4460"/>
    <w:rsid w:val="009D4483"/>
    <w:rsid w:val="009D4512"/>
    <w:rsid w:val="009D4516"/>
    <w:rsid w:val="009D45A2"/>
    <w:rsid w:val="009D4646"/>
    <w:rsid w:val="009D4717"/>
    <w:rsid w:val="009D4788"/>
    <w:rsid w:val="009D47F2"/>
    <w:rsid w:val="009D4815"/>
    <w:rsid w:val="009D48D8"/>
    <w:rsid w:val="009D4947"/>
    <w:rsid w:val="009D4990"/>
    <w:rsid w:val="009D4AAB"/>
    <w:rsid w:val="009D4AEE"/>
    <w:rsid w:val="009D4B51"/>
    <w:rsid w:val="009D4C1E"/>
    <w:rsid w:val="009D4C91"/>
    <w:rsid w:val="009D4CA1"/>
    <w:rsid w:val="009D4D44"/>
    <w:rsid w:val="009D4D86"/>
    <w:rsid w:val="009D4EF0"/>
    <w:rsid w:val="009D4F27"/>
    <w:rsid w:val="009D4F28"/>
    <w:rsid w:val="009D4F2F"/>
    <w:rsid w:val="009D4F5A"/>
    <w:rsid w:val="009D4FE4"/>
    <w:rsid w:val="009D4FE6"/>
    <w:rsid w:val="009D4FEF"/>
    <w:rsid w:val="009D4FF4"/>
    <w:rsid w:val="009D501F"/>
    <w:rsid w:val="009D5034"/>
    <w:rsid w:val="009D50F4"/>
    <w:rsid w:val="009D510C"/>
    <w:rsid w:val="009D5116"/>
    <w:rsid w:val="009D5123"/>
    <w:rsid w:val="009D528D"/>
    <w:rsid w:val="009D52E9"/>
    <w:rsid w:val="009D5301"/>
    <w:rsid w:val="009D530F"/>
    <w:rsid w:val="009D5339"/>
    <w:rsid w:val="009D5379"/>
    <w:rsid w:val="009D5432"/>
    <w:rsid w:val="009D5503"/>
    <w:rsid w:val="009D5541"/>
    <w:rsid w:val="009D55E0"/>
    <w:rsid w:val="009D5609"/>
    <w:rsid w:val="009D5619"/>
    <w:rsid w:val="009D5652"/>
    <w:rsid w:val="009D56A7"/>
    <w:rsid w:val="009D56E6"/>
    <w:rsid w:val="009D5724"/>
    <w:rsid w:val="009D5731"/>
    <w:rsid w:val="009D5762"/>
    <w:rsid w:val="009D579D"/>
    <w:rsid w:val="009D57A9"/>
    <w:rsid w:val="009D580F"/>
    <w:rsid w:val="009D5882"/>
    <w:rsid w:val="009D58B5"/>
    <w:rsid w:val="009D5932"/>
    <w:rsid w:val="009D5975"/>
    <w:rsid w:val="009D59BA"/>
    <w:rsid w:val="009D5A12"/>
    <w:rsid w:val="009D5AF8"/>
    <w:rsid w:val="009D5AFA"/>
    <w:rsid w:val="009D5B42"/>
    <w:rsid w:val="009D5B72"/>
    <w:rsid w:val="009D5C47"/>
    <w:rsid w:val="009D5C8A"/>
    <w:rsid w:val="009D5CA1"/>
    <w:rsid w:val="009D5D1C"/>
    <w:rsid w:val="009D5D61"/>
    <w:rsid w:val="009D5D65"/>
    <w:rsid w:val="009D5D71"/>
    <w:rsid w:val="009D5D85"/>
    <w:rsid w:val="009D5E28"/>
    <w:rsid w:val="009D5E39"/>
    <w:rsid w:val="009D5E3D"/>
    <w:rsid w:val="009D5E56"/>
    <w:rsid w:val="009D5E5F"/>
    <w:rsid w:val="009D5E8C"/>
    <w:rsid w:val="009D5F4A"/>
    <w:rsid w:val="009D5FD0"/>
    <w:rsid w:val="009D6001"/>
    <w:rsid w:val="009D6064"/>
    <w:rsid w:val="009D60E7"/>
    <w:rsid w:val="009D60FC"/>
    <w:rsid w:val="009D612D"/>
    <w:rsid w:val="009D6139"/>
    <w:rsid w:val="009D6147"/>
    <w:rsid w:val="009D6192"/>
    <w:rsid w:val="009D61A2"/>
    <w:rsid w:val="009D61A8"/>
    <w:rsid w:val="009D6303"/>
    <w:rsid w:val="009D6385"/>
    <w:rsid w:val="009D63F3"/>
    <w:rsid w:val="009D649C"/>
    <w:rsid w:val="009D64F5"/>
    <w:rsid w:val="009D65A7"/>
    <w:rsid w:val="009D6602"/>
    <w:rsid w:val="009D6665"/>
    <w:rsid w:val="009D66E4"/>
    <w:rsid w:val="009D677E"/>
    <w:rsid w:val="009D67A5"/>
    <w:rsid w:val="009D67BE"/>
    <w:rsid w:val="009D681F"/>
    <w:rsid w:val="009D690D"/>
    <w:rsid w:val="009D6948"/>
    <w:rsid w:val="009D69A4"/>
    <w:rsid w:val="009D6A1E"/>
    <w:rsid w:val="009D6A77"/>
    <w:rsid w:val="009D6A88"/>
    <w:rsid w:val="009D6AD4"/>
    <w:rsid w:val="009D6B68"/>
    <w:rsid w:val="009D6B79"/>
    <w:rsid w:val="009D6B8C"/>
    <w:rsid w:val="009D6BC6"/>
    <w:rsid w:val="009D6C20"/>
    <w:rsid w:val="009D6C2C"/>
    <w:rsid w:val="009D6C65"/>
    <w:rsid w:val="009D6CC9"/>
    <w:rsid w:val="009D6CCA"/>
    <w:rsid w:val="009D6D21"/>
    <w:rsid w:val="009D6DA2"/>
    <w:rsid w:val="009D6DB1"/>
    <w:rsid w:val="009D6E2F"/>
    <w:rsid w:val="009D6F43"/>
    <w:rsid w:val="009D6F54"/>
    <w:rsid w:val="009D6F75"/>
    <w:rsid w:val="009D6F79"/>
    <w:rsid w:val="009D6FA0"/>
    <w:rsid w:val="009D703D"/>
    <w:rsid w:val="009D705B"/>
    <w:rsid w:val="009D7079"/>
    <w:rsid w:val="009D7096"/>
    <w:rsid w:val="009D7126"/>
    <w:rsid w:val="009D71DC"/>
    <w:rsid w:val="009D7205"/>
    <w:rsid w:val="009D7265"/>
    <w:rsid w:val="009D7291"/>
    <w:rsid w:val="009D72B2"/>
    <w:rsid w:val="009D731F"/>
    <w:rsid w:val="009D733A"/>
    <w:rsid w:val="009D7341"/>
    <w:rsid w:val="009D7372"/>
    <w:rsid w:val="009D737A"/>
    <w:rsid w:val="009D7387"/>
    <w:rsid w:val="009D73AE"/>
    <w:rsid w:val="009D73EC"/>
    <w:rsid w:val="009D7465"/>
    <w:rsid w:val="009D7482"/>
    <w:rsid w:val="009D74EC"/>
    <w:rsid w:val="009D7515"/>
    <w:rsid w:val="009D7541"/>
    <w:rsid w:val="009D763B"/>
    <w:rsid w:val="009D766A"/>
    <w:rsid w:val="009D769E"/>
    <w:rsid w:val="009D76A3"/>
    <w:rsid w:val="009D76B3"/>
    <w:rsid w:val="009D76B8"/>
    <w:rsid w:val="009D76BE"/>
    <w:rsid w:val="009D7769"/>
    <w:rsid w:val="009D7775"/>
    <w:rsid w:val="009D7782"/>
    <w:rsid w:val="009D7785"/>
    <w:rsid w:val="009D77BC"/>
    <w:rsid w:val="009D77FE"/>
    <w:rsid w:val="009D783D"/>
    <w:rsid w:val="009D7872"/>
    <w:rsid w:val="009D78C2"/>
    <w:rsid w:val="009D78CB"/>
    <w:rsid w:val="009D7966"/>
    <w:rsid w:val="009D7972"/>
    <w:rsid w:val="009D797A"/>
    <w:rsid w:val="009D7983"/>
    <w:rsid w:val="009D7996"/>
    <w:rsid w:val="009D7A0E"/>
    <w:rsid w:val="009D7A12"/>
    <w:rsid w:val="009D7A35"/>
    <w:rsid w:val="009D7A4D"/>
    <w:rsid w:val="009D7A88"/>
    <w:rsid w:val="009D7AB3"/>
    <w:rsid w:val="009D7B16"/>
    <w:rsid w:val="009D7B56"/>
    <w:rsid w:val="009D7C84"/>
    <w:rsid w:val="009D7C8B"/>
    <w:rsid w:val="009D7C9A"/>
    <w:rsid w:val="009D7CA1"/>
    <w:rsid w:val="009D7CAC"/>
    <w:rsid w:val="009D7E3F"/>
    <w:rsid w:val="009D7EAD"/>
    <w:rsid w:val="009D7F37"/>
    <w:rsid w:val="009D7F62"/>
    <w:rsid w:val="009E0023"/>
    <w:rsid w:val="009E00E3"/>
    <w:rsid w:val="009E0105"/>
    <w:rsid w:val="009E01C7"/>
    <w:rsid w:val="009E01D1"/>
    <w:rsid w:val="009E01D8"/>
    <w:rsid w:val="009E0271"/>
    <w:rsid w:val="009E02ED"/>
    <w:rsid w:val="009E031E"/>
    <w:rsid w:val="009E035B"/>
    <w:rsid w:val="009E03DF"/>
    <w:rsid w:val="009E0436"/>
    <w:rsid w:val="009E0439"/>
    <w:rsid w:val="009E0445"/>
    <w:rsid w:val="009E0469"/>
    <w:rsid w:val="009E049F"/>
    <w:rsid w:val="009E04D0"/>
    <w:rsid w:val="009E04DA"/>
    <w:rsid w:val="009E04EB"/>
    <w:rsid w:val="009E04FA"/>
    <w:rsid w:val="009E0577"/>
    <w:rsid w:val="009E0600"/>
    <w:rsid w:val="009E06A8"/>
    <w:rsid w:val="009E071A"/>
    <w:rsid w:val="009E0758"/>
    <w:rsid w:val="009E076A"/>
    <w:rsid w:val="009E083C"/>
    <w:rsid w:val="009E0847"/>
    <w:rsid w:val="009E08A5"/>
    <w:rsid w:val="009E0945"/>
    <w:rsid w:val="009E09BD"/>
    <w:rsid w:val="009E09F7"/>
    <w:rsid w:val="009E0A21"/>
    <w:rsid w:val="009E0A56"/>
    <w:rsid w:val="009E0AF2"/>
    <w:rsid w:val="009E0B20"/>
    <w:rsid w:val="009E0B2F"/>
    <w:rsid w:val="009E0B37"/>
    <w:rsid w:val="009E0B62"/>
    <w:rsid w:val="009E0B89"/>
    <w:rsid w:val="009E0B97"/>
    <w:rsid w:val="009E0C09"/>
    <w:rsid w:val="009E0CCF"/>
    <w:rsid w:val="009E0D39"/>
    <w:rsid w:val="009E0E72"/>
    <w:rsid w:val="009E0EA8"/>
    <w:rsid w:val="009E0F0A"/>
    <w:rsid w:val="009E0F8F"/>
    <w:rsid w:val="009E0FCC"/>
    <w:rsid w:val="009E0FFB"/>
    <w:rsid w:val="009E1069"/>
    <w:rsid w:val="009E10AB"/>
    <w:rsid w:val="009E10B0"/>
    <w:rsid w:val="009E10B9"/>
    <w:rsid w:val="009E1180"/>
    <w:rsid w:val="009E11D7"/>
    <w:rsid w:val="009E120C"/>
    <w:rsid w:val="009E124C"/>
    <w:rsid w:val="009E128E"/>
    <w:rsid w:val="009E12A2"/>
    <w:rsid w:val="009E12A7"/>
    <w:rsid w:val="009E130B"/>
    <w:rsid w:val="009E134F"/>
    <w:rsid w:val="009E1384"/>
    <w:rsid w:val="009E1386"/>
    <w:rsid w:val="009E144F"/>
    <w:rsid w:val="009E1451"/>
    <w:rsid w:val="009E1489"/>
    <w:rsid w:val="009E148B"/>
    <w:rsid w:val="009E1491"/>
    <w:rsid w:val="009E14B6"/>
    <w:rsid w:val="009E14BD"/>
    <w:rsid w:val="009E156A"/>
    <w:rsid w:val="009E1578"/>
    <w:rsid w:val="009E15E6"/>
    <w:rsid w:val="009E1603"/>
    <w:rsid w:val="009E1658"/>
    <w:rsid w:val="009E165B"/>
    <w:rsid w:val="009E16DF"/>
    <w:rsid w:val="009E1721"/>
    <w:rsid w:val="009E1728"/>
    <w:rsid w:val="009E1748"/>
    <w:rsid w:val="009E175F"/>
    <w:rsid w:val="009E1789"/>
    <w:rsid w:val="009E1791"/>
    <w:rsid w:val="009E179E"/>
    <w:rsid w:val="009E17E8"/>
    <w:rsid w:val="009E18C3"/>
    <w:rsid w:val="009E18FC"/>
    <w:rsid w:val="009E191F"/>
    <w:rsid w:val="009E195F"/>
    <w:rsid w:val="009E19AA"/>
    <w:rsid w:val="009E19C2"/>
    <w:rsid w:val="009E1AC2"/>
    <w:rsid w:val="009E1ACD"/>
    <w:rsid w:val="009E1B15"/>
    <w:rsid w:val="009E1B39"/>
    <w:rsid w:val="009E1B50"/>
    <w:rsid w:val="009E1C08"/>
    <w:rsid w:val="009E1C2D"/>
    <w:rsid w:val="009E1C32"/>
    <w:rsid w:val="009E1C66"/>
    <w:rsid w:val="009E1C68"/>
    <w:rsid w:val="009E1C96"/>
    <w:rsid w:val="009E1CE7"/>
    <w:rsid w:val="009E1CFE"/>
    <w:rsid w:val="009E1D3E"/>
    <w:rsid w:val="009E1E2A"/>
    <w:rsid w:val="009E1E78"/>
    <w:rsid w:val="009E1E7A"/>
    <w:rsid w:val="009E1EFD"/>
    <w:rsid w:val="009E1FF9"/>
    <w:rsid w:val="009E202D"/>
    <w:rsid w:val="009E203C"/>
    <w:rsid w:val="009E2076"/>
    <w:rsid w:val="009E208B"/>
    <w:rsid w:val="009E20AD"/>
    <w:rsid w:val="009E20C4"/>
    <w:rsid w:val="009E20D7"/>
    <w:rsid w:val="009E20DE"/>
    <w:rsid w:val="009E2116"/>
    <w:rsid w:val="009E218A"/>
    <w:rsid w:val="009E21A0"/>
    <w:rsid w:val="009E21DB"/>
    <w:rsid w:val="009E21F2"/>
    <w:rsid w:val="009E220E"/>
    <w:rsid w:val="009E2215"/>
    <w:rsid w:val="009E221F"/>
    <w:rsid w:val="009E22AE"/>
    <w:rsid w:val="009E2347"/>
    <w:rsid w:val="009E235F"/>
    <w:rsid w:val="009E24C7"/>
    <w:rsid w:val="009E24C8"/>
    <w:rsid w:val="009E24D1"/>
    <w:rsid w:val="009E251E"/>
    <w:rsid w:val="009E2538"/>
    <w:rsid w:val="009E25A2"/>
    <w:rsid w:val="009E25CB"/>
    <w:rsid w:val="009E25D5"/>
    <w:rsid w:val="009E2617"/>
    <w:rsid w:val="009E2643"/>
    <w:rsid w:val="009E2688"/>
    <w:rsid w:val="009E26FF"/>
    <w:rsid w:val="009E2736"/>
    <w:rsid w:val="009E2796"/>
    <w:rsid w:val="009E27B0"/>
    <w:rsid w:val="009E27FE"/>
    <w:rsid w:val="009E283B"/>
    <w:rsid w:val="009E283C"/>
    <w:rsid w:val="009E2846"/>
    <w:rsid w:val="009E286B"/>
    <w:rsid w:val="009E28C8"/>
    <w:rsid w:val="009E28FC"/>
    <w:rsid w:val="009E290C"/>
    <w:rsid w:val="009E2925"/>
    <w:rsid w:val="009E292F"/>
    <w:rsid w:val="009E2949"/>
    <w:rsid w:val="009E298C"/>
    <w:rsid w:val="009E29BA"/>
    <w:rsid w:val="009E29C1"/>
    <w:rsid w:val="009E29F7"/>
    <w:rsid w:val="009E2A41"/>
    <w:rsid w:val="009E2AFE"/>
    <w:rsid w:val="009E2B63"/>
    <w:rsid w:val="009E2B9B"/>
    <w:rsid w:val="009E2BE6"/>
    <w:rsid w:val="009E2C3E"/>
    <w:rsid w:val="009E2DB2"/>
    <w:rsid w:val="009E2DB6"/>
    <w:rsid w:val="009E2DF9"/>
    <w:rsid w:val="009E2EC4"/>
    <w:rsid w:val="009E2EE4"/>
    <w:rsid w:val="009E2F19"/>
    <w:rsid w:val="009E2F9F"/>
    <w:rsid w:val="009E30C1"/>
    <w:rsid w:val="009E30C7"/>
    <w:rsid w:val="009E3115"/>
    <w:rsid w:val="009E3116"/>
    <w:rsid w:val="009E312F"/>
    <w:rsid w:val="009E314B"/>
    <w:rsid w:val="009E314D"/>
    <w:rsid w:val="009E31AC"/>
    <w:rsid w:val="009E31CE"/>
    <w:rsid w:val="009E31FE"/>
    <w:rsid w:val="009E321A"/>
    <w:rsid w:val="009E326F"/>
    <w:rsid w:val="009E3284"/>
    <w:rsid w:val="009E32F1"/>
    <w:rsid w:val="009E331B"/>
    <w:rsid w:val="009E33A4"/>
    <w:rsid w:val="009E33B7"/>
    <w:rsid w:val="009E3478"/>
    <w:rsid w:val="009E3488"/>
    <w:rsid w:val="009E34BF"/>
    <w:rsid w:val="009E34E2"/>
    <w:rsid w:val="009E353C"/>
    <w:rsid w:val="009E35F2"/>
    <w:rsid w:val="009E36CE"/>
    <w:rsid w:val="009E36FA"/>
    <w:rsid w:val="009E3782"/>
    <w:rsid w:val="009E3824"/>
    <w:rsid w:val="009E38DA"/>
    <w:rsid w:val="009E3909"/>
    <w:rsid w:val="009E3971"/>
    <w:rsid w:val="009E3998"/>
    <w:rsid w:val="009E39C5"/>
    <w:rsid w:val="009E39DC"/>
    <w:rsid w:val="009E3A03"/>
    <w:rsid w:val="009E3A26"/>
    <w:rsid w:val="009E3A70"/>
    <w:rsid w:val="009E3BC5"/>
    <w:rsid w:val="009E3BC6"/>
    <w:rsid w:val="009E3C8F"/>
    <w:rsid w:val="009E3CD3"/>
    <w:rsid w:val="009E3CF9"/>
    <w:rsid w:val="009E3D39"/>
    <w:rsid w:val="009E3DBF"/>
    <w:rsid w:val="009E3DD5"/>
    <w:rsid w:val="009E3DE4"/>
    <w:rsid w:val="009E3E86"/>
    <w:rsid w:val="009E3E97"/>
    <w:rsid w:val="009E3E9C"/>
    <w:rsid w:val="009E3E9D"/>
    <w:rsid w:val="009E3ED1"/>
    <w:rsid w:val="009E3EEA"/>
    <w:rsid w:val="009E3F06"/>
    <w:rsid w:val="009E3F2D"/>
    <w:rsid w:val="009E3F51"/>
    <w:rsid w:val="009E3F52"/>
    <w:rsid w:val="009E3F5D"/>
    <w:rsid w:val="009E3F8F"/>
    <w:rsid w:val="009E3FF3"/>
    <w:rsid w:val="009E4003"/>
    <w:rsid w:val="009E406E"/>
    <w:rsid w:val="009E4070"/>
    <w:rsid w:val="009E40F9"/>
    <w:rsid w:val="009E410C"/>
    <w:rsid w:val="009E414B"/>
    <w:rsid w:val="009E4197"/>
    <w:rsid w:val="009E42E7"/>
    <w:rsid w:val="009E4370"/>
    <w:rsid w:val="009E43EB"/>
    <w:rsid w:val="009E4422"/>
    <w:rsid w:val="009E44AE"/>
    <w:rsid w:val="009E44E2"/>
    <w:rsid w:val="009E4519"/>
    <w:rsid w:val="009E452E"/>
    <w:rsid w:val="009E454B"/>
    <w:rsid w:val="009E4574"/>
    <w:rsid w:val="009E45AC"/>
    <w:rsid w:val="009E4613"/>
    <w:rsid w:val="009E4635"/>
    <w:rsid w:val="009E464C"/>
    <w:rsid w:val="009E46E3"/>
    <w:rsid w:val="009E477C"/>
    <w:rsid w:val="009E47AF"/>
    <w:rsid w:val="009E4811"/>
    <w:rsid w:val="009E48C6"/>
    <w:rsid w:val="009E48F0"/>
    <w:rsid w:val="009E4918"/>
    <w:rsid w:val="009E4923"/>
    <w:rsid w:val="009E495C"/>
    <w:rsid w:val="009E496D"/>
    <w:rsid w:val="009E4975"/>
    <w:rsid w:val="009E4A05"/>
    <w:rsid w:val="009E4A39"/>
    <w:rsid w:val="009E4A75"/>
    <w:rsid w:val="009E4A78"/>
    <w:rsid w:val="009E4AAE"/>
    <w:rsid w:val="009E4AEA"/>
    <w:rsid w:val="009E4B23"/>
    <w:rsid w:val="009E4B52"/>
    <w:rsid w:val="009E4C41"/>
    <w:rsid w:val="009E4C43"/>
    <w:rsid w:val="009E4C50"/>
    <w:rsid w:val="009E4C83"/>
    <w:rsid w:val="009E4D51"/>
    <w:rsid w:val="009E4D9E"/>
    <w:rsid w:val="009E4DA6"/>
    <w:rsid w:val="009E4DAD"/>
    <w:rsid w:val="009E4E06"/>
    <w:rsid w:val="009E4EAF"/>
    <w:rsid w:val="009E4F0B"/>
    <w:rsid w:val="009E4F45"/>
    <w:rsid w:val="009E4F6E"/>
    <w:rsid w:val="009E4FDF"/>
    <w:rsid w:val="009E4FEE"/>
    <w:rsid w:val="009E501F"/>
    <w:rsid w:val="009E5054"/>
    <w:rsid w:val="009E5093"/>
    <w:rsid w:val="009E5096"/>
    <w:rsid w:val="009E512E"/>
    <w:rsid w:val="009E513A"/>
    <w:rsid w:val="009E5160"/>
    <w:rsid w:val="009E51E9"/>
    <w:rsid w:val="009E5242"/>
    <w:rsid w:val="009E524A"/>
    <w:rsid w:val="009E52F3"/>
    <w:rsid w:val="009E52F4"/>
    <w:rsid w:val="009E5314"/>
    <w:rsid w:val="009E538F"/>
    <w:rsid w:val="009E5400"/>
    <w:rsid w:val="009E5433"/>
    <w:rsid w:val="009E545B"/>
    <w:rsid w:val="009E54EF"/>
    <w:rsid w:val="009E556E"/>
    <w:rsid w:val="009E55D0"/>
    <w:rsid w:val="009E55E3"/>
    <w:rsid w:val="009E566F"/>
    <w:rsid w:val="009E567A"/>
    <w:rsid w:val="009E567F"/>
    <w:rsid w:val="009E568B"/>
    <w:rsid w:val="009E5716"/>
    <w:rsid w:val="009E575B"/>
    <w:rsid w:val="009E5791"/>
    <w:rsid w:val="009E583E"/>
    <w:rsid w:val="009E58B0"/>
    <w:rsid w:val="009E58D0"/>
    <w:rsid w:val="009E5925"/>
    <w:rsid w:val="009E596B"/>
    <w:rsid w:val="009E5986"/>
    <w:rsid w:val="009E598F"/>
    <w:rsid w:val="009E59BA"/>
    <w:rsid w:val="009E59DC"/>
    <w:rsid w:val="009E59F2"/>
    <w:rsid w:val="009E5A21"/>
    <w:rsid w:val="009E5A6F"/>
    <w:rsid w:val="009E5A74"/>
    <w:rsid w:val="009E5A99"/>
    <w:rsid w:val="009E5AB4"/>
    <w:rsid w:val="009E5B35"/>
    <w:rsid w:val="009E5B38"/>
    <w:rsid w:val="009E5B6A"/>
    <w:rsid w:val="009E5BB7"/>
    <w:rsid w:val="009E5C31"/>
    <w:rsid w:val="009E5C53"/>
    <w:rsid w:val="009E5CAC"/>
    <w:rsid w:val="009E5CCA"/>
    <w:rsid w:val="009E5CF4"/>
    <w:rsid w:val="009E5D06"/>
    <w:rsid w:val="009E5D40"/>
    <w:rsid w:val="009E5D64"/>
    <w:rsid w:val="009E5DAC"/>
    <w:rsid w:val="009E5DB9"/>
    <w:rsid w:val="009E5DDF"/>
    <w:rsid w:val="009E5E22"/>
    <w:rsid w:val="009E5E6B"/>
    <w:rsid w:val="009E5EC4"/>
    <w:rsid w:val="009E5EFD"/>
    <w:rsid w:val="009E5F37"/>
    <w:rsid w:val="009E5F44"/>
    <w:rsid w:val="009E5F67"/>
    <w:rsid w:val="009E5FCC"/>
    <w:rsid w:val="009E5FED"/>
    <w:rsid w:val="009E6137"/>
    <w:rsid w:val="009E615B"/>
    <w:rsid w:val="009E618A"/>
    <w:rsid w:val="009E61BC"/>
    <w:rsid w:val="009E61DE"/>
    <w:rsid w:val="009E6203"/>
    <w:rsid w:val="009E6220"/>
    <w:rsid w:val="009E62A9"/>
    <w:rsid w:val="009E62B7"/>
    <w:rsid w:val="009E62B8"/>
    <w:rsid w:val="009E62E6"/>
    <w:rsid w:val="009E6380"/>
    <w:rsid w:val="009E641A"/>
    <w:rsid w:val="009E6448"/>
    <w:rsid w:val="009E65E8"/>
    <w:rsid w:val="009E660B"/>
    <w:rsid w:val="009E66E9"/>
    <w:rsid w:val="009E66F9"/>
    <w:rsid w:val="009E6793"/>
    <w:rsid w:val="009E67E9"/>
    <w:rsid w:val="009E67F7"/>
    <w:rsid w:val="009E68CC"/>
    <w:rsid w:val="009E691B"/>
    <w:rsid w:val="009E6920"/>
    <w:rsid w:val="009E6928"/>
    <w:rsid w:val="009E693E"/>
    <w:rsid w:val="009E6999"/>
    <w:rsid w:val="009E69A0"/>
    <w:rsid w:val="009E69D1"/>
    <w:rsid w:val="009E6A79"/>
    <w:rsid w:val="009E6A91"/>
    <w:rsid w:val="009E6AF3"/>
    <w:rsid w:val="009E6B05"/>
    <w:rsid w:val="009E6B31"/>
    <w:rsid w:val="009E6B64"/>
    <w:rsid w:val="009E6BA4"/>
    <w:rsid w:val="009E6BA8"/>
    <w:rsid w:val="009E6BBA"/>
    <w:rsid w:val="009E6BBF"/>
    <w:rsid w:val="009E6BDD"/>
    <w:rsid w:val="009E6D8C"/>
    <w:rsid w:val="009E6DD0"/>
    <w:rsid w:val="009E6DFE"/>
    <w:rsid w:val="009E6E09"/>
    <w:rsid w:val="009E6E17"/>
    <w:rsid w:val="009E6E43"/>
    <w:rsid w:val="009E6E4D"/>
    <w:rsid w:val="009E6E5F"/>
    <w:rsid w:val="009E6E75"/>
    <w:rsid w:val="009E6E9F"/>
    <w:rsid w:val="009E6EBE"/>
    <w:rsid w:val="009E6F52"/>
    <w:rsid w:val="009E6F76"/>
    <w:rsid w:val="009E6FF8"/>
    <w:rsid w:val="009E7001"/>
    <w:rsid w:val="009E705D"/>
    <w:rsid w:val="009E706D"/>
    <w:rsid w:val="009E70A9"/>
    <w:rsid w:val="009E70D1"/>
    <w:rsid w:val="009E70E8"/>
    <w:rsid w:val="009E7201"/>
    <w:rsid w:val="009E7234"/>
    <w:rsid w:val="009E72A9"/>
    <w:rsid w:val="009E72BF"/>
    <w:rsid w:val="009E72E5"/>
    <w:rsid w:val="009E72EE"/>
    <w:rsid w:val="009E7342"/>
    <w:rsid w:val="009E7360"/>
    <w:rsid w:val="009E739A"/>
    <w:rsid w:val="009E739D"/>
    <w:rsid w:val="009E73D0"/>
    <w:rsid w:val="009E73ED"/>
    <w:rsid w:val="009E7516"/>
    <w:rsid w:val="009E7523"/>
    <w:rsid w:val="009E75B1"/>
    <w:rsid w:val="009E75B4"/>
    <w:rsid w:val="009E75EF"/>
    <w:rsid w:val="009E766D"/>
    <w:rsid w:val="009E77AF"/>
    <w:rsid w:val="009E7909"/>
    <w:rsid w:val="009E7957"/>
    <w:rsid w:val="009E7960"/>
    <w:rsid w:val="009E79B8"/>
    <w:rsid w:val="009E7A07"/>
    <w:rsid w:val="009E7A08"/>
    <w:rsid w:val="009E7A0D"/>
    <w:rsid w:val="009E7AC7"/>
    <w:rsid w:val="009E7AF8"/>
    <w:rsid w:val="009E7AFC"/>
    <w:rsid w:val="009E7B19"/>
    <w:rsid w:val="009E7B57"/>
    <w:rsid w:val="009E7C60"/>
    <w:rsid w:val="009E7CD1"/>
    <w:rsid w:val="009E7CD3"/>
    <w:rsid w:val="009E7CEC"/>
    <w:rsid w:val="009E7DB3"/>
    <w:rsid w:val="009E7E33"/>
    <w:rsid w:val="009E7E5F"/>
    <w:rsid w:val="009E7ECD"/>
    <w:rsid w:val="009E7F15"/>
    <w:rsid w:val="009E7F98"/>
    <w:rsid w:val="009E7FAB"/>
    <w:rsid w:val="009F000E"/>
    <w:rsid w:val="009F0051"/>
    <w:rsid w:val="009F0054"/>
    <w:rsid w:val="009F0060"/>
    <w:rsid w:val="009F008E"/>
    <w:rsid w:val="009F00E5"/>
    <w:rsid w:val="009F0153"/>
    <w:rsid w:val="009F015C"/>
    <w:rsid w:val="009F018D"/>
    <w:rsid w:val="009F01B1"/>
    <w:rsid w:val="009F024F"/>
    <w:rsid w:val="009F028D"/>
    <w:rsid w:val="009F0364"/>
    <w:rsid w:val="009F0376"/>
    <w:rsid w:val="009F03E9"/>
    <w:rsid w:val="009F03F7"/>
    <w:rsid w:val="009F0428"/>
    <w:rsid w:val="009F0477"/>
    <w:rsid w:val="009F0497"/>
    <w:rsid w:val="009F049B"/>
    <w:rsid w:val="009F04CE"/>
    <w:rsid w:val="009F050B"/>
    <w:rsid w:val="009F050F"/>
    <w:rsid w:val="009F0560"/>
    <w:rsid w:val="009F0568"/>
    <w:rsid w:val="009F0642"/>
    <w:rsid w:val="009F0655"/>
    <w:rsid w:val="009F0662"/>
    <w:rsid w:val="009F0668"/>
    <w:rsid w:val="009F0692"/>
    <w:rsid w:val="009F06FC"/>
    <w:rsid w:val="009F0700"/>
    <w:rsid w:val="009F0732"/>
    <w:rsid w:val="009F0737"/>
    <w:rsid w:val="009F073B"/>
    <w:rsid w:val="009F073D"/>
    <w:rsid w:val="009F0741"/>
    <w:rsid w:val="009F0742"/>
    <w:rsid w:val="009F07A4"/>
    <w:rsid w:val="009F07B4"/>
    <w:rsid w:val="009F07D8"/>
    <w:rsid w:val="009F082B"/>
    <w:rsid w:val="009F08B3"/>
    <w:rsid w:val="009F08E7"/>
    <w:rsid w:val="009F0909"/>
    <w:rsid w:val="009F09F3"/>
    <w:rsid w:val="009F0A6A"/>
    <w:rsid w:val="009F0ACC"/>
    <w:rsid w:val="009F0AD9"/>
    <w:rsid w:val="009F0B34"/>
    <w:rsid w:val="009F0BB5"/>
    <w:rsid w:val="009F0BEF"/>
    <w:rsid w:val="009F0C45"/>
    <w:rsid w:val="009F0CBE"/>
    <w:rsid w:val="009F0D45"/>
    <w:rsid w:val="009F0D6B"/>
    <w:rsid w:val="009F0E1A"/>
    <w:rsid w:val="009F0E24"/>
    <w:rsid w:val="009F0E3F"/>
    <w:rsid w:val="009F0EBE"/>
    <w:rsid w:val="009F0EE2"/>
    <w:rsid w:val="009F0EEE"/>
    <w:rsid w:val="009F0EFD"/>
    <w:rsid w:val="009F0FA3"/>
    <w:rsid w:val="009F0FAD"/>
    <w:rsid w:val="009F0FCD"/>
    <w:rsid w:val="009F0FFB"/>
    <w:rsid w:val="009F1007"/>
    <w:rsid w:val="009F1017"/>
    <w:rsid w:val="009F10E0"/>
    <w:rsid w:val="009F1127"/>
    <w:rsid w:val="009F112C"/>
    <w:rsid w:val="009F1276"/>
    <w:rsid w:val="009F12B5"/>
    <w:rsid w:val="009F12CD"/>
    <w:rsid w:val="009F1323"/>
    <w:rsid w:val="009F138D"/>
    <w:rsid w:val="009F13B6"/>
    <w:rsid w:val="009F1452"/>
    <w:rsid w:val="009F1465"/>
    <w:rsid w:val="009F1470"/>
    <w:rsid w:val="009F1476"/>
    <w:rsid w:val="009F1480"/>
    <w:rsid w:val="009F1568"/>
    <w:rsid w:val="009F15DA"/>
    <w:rsid w:val="009F15DD"/>
    <w:rsid w:val="009F161E"/>
    <w:rsid w:val="009F1641"/>
    <w:rsid w:val="009F1643"/>
    <w:rsid w:val="009F1669"/>
    <w:rsid w:val="009F167E"/>
    <w:rsid w:val="009F16DF"/>
    <w:rsid w:val="009F173E"/>
    <w:rsid w:val="009F174C"/>
    <w:rsid w:val="009F180B"/>
    <w:rsid w:val="009F18FB"/>
    <w:rsid w:val="009F1980"/>
    <w:rsid w:val="009F19ED"/>
    <w:rsid w:val="009F1A1F"/>
    <w:rsid w:val="009F1A4A"/>
    <w:rsid w:val="009F1B3A"/>
    <w:rsid w:val="009F1B62"/>
    <w:rsid w:val="009F1B7C"/>
    <w:rsid w:val="009F1B8D"/>
    <w:rsid w:val="009F1BE1"/>
    <w:rsid w:val="009F1C03"/>
    <w:rsid w:val="009F1C7B"/>
    <w:rsid w:val="009F1CA6"/>
    <w:rsid w:val="009F1CC9"/>
    <w:rsid w:val="009F1CF9"/>
    <w:rsid w:val="009F1D06"/>
    <w:rsid w:val="009F1D2A"/>
    <w:rsid w:val="009F1D3C"/>
    <w:rsid w:val="009F1DB8"/>
    <w:rsid w:val="009F1E2F"/>
    <w:rsid w:val="009F1E7F"/>
    <w:rsid w:val="009F1E94"/>
    <w:rsid w:val="009F1E96"/>
    <w:rsid w:val="009F1EB5"/>
    <w:rsid w:val="009F1ECF"/>
    <w:rsid w:val="009F1F01"/>
    <w:rsid w:val="009F1F1B"/>
    <w:rsid w:val="009F1F71"/>
    <w:rsid w:val="009F1FDA"/>
    <w:rsid w:val="009F1FE3"/>
    <w:rsid w:val="009F2027"/>
    <w:rsid w:val="009F20EC"/>
    <w:rsid w:val="009F2109"/>
    <w:rsid w:val="009F2206"/>
    <w:rsid w:val="009F229D"/>
    <w:rsid w:val="009F22A4"/>
    <w:rsid w:val="009F2368"/>
    <w:rsid w:val="009F23B2"/>
    <w:rsid w:val="009F23BA"/>
    <w:rsid w:val="009F23FB"/>
    <w:rsid w:val="009F241B"/>
    <w:rsid w:val="009F2433"/>
    <w:rsid w:val="009F2453"/>
    <w:rsid w:val="009F2472"/>
    <w:rsid w:val="009F24F3"/>
    <w:rsid w:val="009F254F"/>
    <w:rsid w:val="009F25BA"/>
    <w:rsid w:val="009F25F3"/>
    <w:rsid w:val="009F2610"/>
    <w:rsid w:val="009F2623"/>
    <w:rsid w:val="009F271C"/>
    <w:rsid w:val="009F276F"/>
    <w:rsid w:val="009F278A"/>
    <w:rsid w:val="009F279D"/>
    <w:rsid w:val="009F27A8"/>
    <w:rsid w:val="009F28B9"/>
    <w:rsid w:val="009F28CA"/>
    <w:rsid w:val="009F2975"/>
    <w:rsid w:val="009F2A36"/>
    <w:rsid w:val="009F2A99"/>
    <w:rsid w:val="009F2AE6"/>
    <w:rsid w:val="009F2B5A"/>
    <w:rsid w:val="009F2B66"/>
    <w:rsid w:val="009F2BA1"/>
    <w:rsid w:val="009F2BA4"/>
    <w:rsid w:val="009F2BD8"/>
    <w:rsid w:val="009F2C17"/>
    <w:rsid w:val="009F2C44"/>
    <w:rsid w:val="009F2D55"/>
    <w:rsid w:val="009F2DCB"/>
    <w:rsid w:val="009F2E8A"/>
    <w:rsid w:val="009F2E8B"/>
    <w:rsid w:val="009F2F2C"/>
    <w:rsid w:val="009F2F5B"/>
    <w:rsid w:val="009F2F95"/>
    <w:rsid w:val="009F2FD1"/>
    <w:rsid w:val="009F2FEE"/>
    <w:rsid w:val="009F3028"/>
    <w:rsid w:val="009F302D"/>
    <w:rsid w:val="009F305E"/>
    <w:rsid w:val="009F306F"/>
    <w:rsid w:val="009F30A0"/>
    <w:rsid w:val="009F30AE"/>
    <w:rsid w:val="009F30D8"/>
    <w:rsid w:val="009F3102"/>
    <w:rsid w:val="009F3150"/>
    <w:rsid w:val="009F3163"/>
    <w:rsid w:val="009F3176"/>
    <w:rsid w:val="009F31A1"/>
    <w:rsid w:val="009F31C7"/>
    <w:rsid w:val="009F31D5"/>
    <w:rsid w:val="009F3216"/>
    <w:rsid w:val="009F332B"/>
    <w:rsid w:val="009F3380"/>
    <w:rsid w:val="009F3386"/>
    <w:rsid w:val="009F3419"/>
    <w:rsid w:val="009F3460"/>
    <w:rsid w:val="009F356E"/>
    <w:rsid w:val="009F3598"/>
    <w:rsid w:val="009F368F"/>
    <w:rsid w:val="009F3693"/>
    <w:rsid w:val="009F371C"/>
    <w:rsid w:val="009F3731"/>
    <w:rsid w:val="009F3743"/>
    <w:rsid w:val="009F3777"/>
    <w:rsid w:val="009F37F6"/>
    <w:rsid w:val="009F37FD"/>
    <w:rsid w:val="009F3836"/>
    <w:rsid w:val="009F3859"/>
    <w:rsid w:val="009F3888"/>
    <w:rsid w:val="009F3891"/>
    <w:rsid w:val="009F38AD"/>
    <w:rsid w:val="009F38B1"/>
    <w:rsid w:val="009F38B4"/>
    <w:rsid w:val="009F3916"/>
    <w:rsid w:val="009F39B0"/>
    <w:rsid w:val="009F3A0B"/>
    <w:rsid w:val="009F3A22"/>
    <w:rsid w:val="009F3A3A"/>
    <w:rsid w:val="009F3A4F"/>
    <w:rsid w:val="009F3AD0"/>
    <w:rsid w:val="009F3B16"/>
    <w:rsid w:val="009F3B5C"/>
    <w:rsid w:val="009F3C37"/>
    <w:rsid w:val="009F3C90"/>
    <w:rsid w:val="009F3D09"/>
    <w:rsid w:val="009F3DDF"/>
    <w:rsid w:val="009F3DE4"/>
    <w:rsid w:val="009F3E3C"/>
    <w:rsid w:val="009F3ED3"/>
    <w:rsid w:val="009F3F17"/>
    <w:rsid w:val="009F3F7D"/>
    <w:rsid w:val="009F3FD0"/>
    <w:rsid w:val="009F3FF6"/>
    <w:rsid w:val="009F3FF8"/>
    <w:rsid w:val="009F4027"/>
    <w:rsid w:val="009F404D"/>
    <w:rsid w:val="009F408B"/>
    <w:rsid w:val="009F40A0"/>
    <w:rsid w:val="009F40D7"/>
    <w:rsid w:val="009F4113"/>
    <w:rsid w:val="009F4129"/>
    <w:rsid w:val="009F412D"/>
    <w:rsid w:val="009F4157"/>
    <w:rsid w:val="009F419B"/>
    <w:rsid w:val="009F41B4"/>
    <w:rsid w:val="009F41F3"/>
    <w:rsid w:val="009F4223"/>
    <w:rsid w:val="009F4232"/>
    <w:rsid w:val="009F4268"/>
    <w:rsid w:val="009F4273"/>
    <w:rsid w:val="009F42A7"/>
    <w:rsid w:val="009F42EB"/>
    <w:rsid w:val="009F4301"/>
    <w:rsid w:val="009F4345"/>
    <w:rsid w:val="009F4376"/>
    <w:rsid w:val="009F438A"/>
    <w:rsid w:val="009F43A5"/>
    <w:rsid w:val="009F43D3"/>
    <w:rsid w:val="009F4400"/>
    <w:rsid w:val="009F442B"/>
    <w:rsid w:val="009F44BA"/>
    <w:rsid w:val="009F4528"/>
    <w:rsid w:val="009F4544"/>
    <w:rsid w:val="009F4563"/>
    <w:rsid w:val="009F4598"/>
    <w:rsid w:val="009F45C4"/>
    <w:rsid w:val="009F4695"/>
    <w:rsid w:val="009F46B4"/>
    <w:rsid w:val="009F4728"/>
    <w:rsid w:val="009F4732"/>
    <w:rsid w:val="009F475F"/>
    <w:rsid w:val="009F479C"/>
    <w:rsid w:val="009F47F1"/>
    <w:rsid w:val="009F4806"/>
    <w:rsid w:val="009F4807"/>
    <w:rsid w:val="009F481A"/>
    <w:rsid w:val="009F4831"/>
    <w:rsid w:val="009F4928"/>
    <w:rsid w:val="009F497B"/>
    <w:rsid w:val="009F4987"/>
    <w:rsid w:val="009F4A84"/>
    <w:rsid w:val="009F4A88"/>
    <w:rsid w:val="009F4AE7"/>
    <w:rsid w:val="009F4B2B"/>
    <w:rsid w:val="009F4BA1"/>
    <w:rsid w:val="009F4C21"/>
    <w:rsid w:val="009F4CB0"/>
    <w:rsid w:val="009F4D0B"/>
    <w:rsid w:val="009F4DB1"/>
    <w:rsid w:val="009F4DFB"/>
    <w:rsid w:val="009F4E4F"/>
    <w:rsid w:val="009F4E53"/>
    <w:rsid w:val="009F4E8F"/>
    <w:rsid w:val="009F4EF0"/>
    <w:rsid w:val="009F4F0D"/>
    <w:rsid w:val="009F4F4A"/>
    <w:rsid w:val="009F4FC5"/>
    <w:rsid w:val="009F502A"/>
    <w:rsid w:val="009F5077"/>
    <w:rsid w:val="009F5117"/>
    <w:rsid w:val="009F518A"/>
    <w:rsid w:val="009F51DB"/>
    <w:rsid w:val="009F51FD"/>
    <w:rsid w:val="009F5222"/>
    <w:rsid w:val="009F52C7"/>
    <w:rsid w:val="009F52F4"/>
    <w:rsid w:val="009F53AC"/>
    <w:rsid w:val="009F5434"/>
    <w:rsid w:val="009F5490"/>
    <w:rsid w:val="009F5563"/>
    <w:rsid w:val="009F556A"/>
    <w:rsid w:val="009F556D"/>
    <w:rsid w:val="009F55A1"/>
    <w:rsid w:val="009F55AB"/>
    <w:rsid w:val="009F56BA"/>
    <w:rsid w:val="009F56EF"/>
    <w:rsid w:val="009F57A4"/>
    <w:rsid w:val="009F5850"/>
    <w:rsid w:val="009F58A6"/>
    <w:rsid w:val="009F591A"/>
    <w:rsid w:val="009F59A1"/>
    <w:rsid w:val="009F59A3"/>
    <w:rsid w:val="009F59A7"/>
    <w:rsid w:val="009F59B5"/>
    <w:rsid w:val="009F59BE"/>
    <w:rsid w:val="009F5A4F"/>
    <w:rsid w:val="009F5A64"/>
    <w:rsid w:val="009F5A91"/>
    <w:rsid w:val="009F5A99"/>
    <w:rsid w:val="009F5A9D"/>
    <w:rsid w:val="009F5AE0"/>
    <w:rsid w:val="009F5B30"/>
    <w:rsid w:val="009F5B54"/>
    <w:rsid w:val="009F5B8C"/>
    <w:rsid w:val="009F5BB7"/>
    <w:rsid w:val="009F5BF6"/>
    <w:rsid w:val="009F5C3B"/>
    <w:rsid w:val="009F5C94"/>
    <w:rsid w:val="009F5CC3"/>
    <w:rsid w:val="009F5D28"/>
    <w:rsid w:val="009F5DCB"/>
    <w:rsid w:val="009F5DCE"/>
    <w:rsid w:val="009F5E02"/>
    <w:rsid w:val="009F5E55"/>
    <w:rsid w:val="009F5EAA"/>
    <w:rsid w:val="009F5EB2"/>
    <w:rsid w:val="009F5EC8"/>
    <w:rsid w:val="009F5F15"/>
    <w:rsid w:val="009F5F1A"/>
    <w:rsid w:val="009F5F3C"/>
    <w:rsid w:val="009F5F5D"/>
    <w:rsid w:val="009F5F9F"/>
    <w:rsid w:val="009F5FC4"/>
    <w:rsid w:val="009F5FC6"/>
    <w:rsid w:val="009F5FCA"/>
    <w:rsid w:val="009F5FDB"/>
    <w:rsid w:val="009F601D"/>
    <w:rsid w:val="009F6088"/>
    <w:rsid w:val="009F60A9"/>
    <w:rsid w:val="009F60D5"/>
    <w:rsid w:val="009F60E5"/>
    <w:rsid w:val="009F611B"/>
    <w:rsid w:val="009F612A"/>
    <w:rsid w:val="009F612F"/>
    <w:rsid w:val="009F613F"/>
    <w:rsid w:val="009F617A"/>
    <w:rsid w:val="009F61DA"/>
    <w:rsid w:val="009F622A"/>
    <w:rsid w:val="009F625B"/>
    <w:rsid w:val="009F630D"/>
    <w:rsid w:val="009F6356"/>
    <w:rsid w:val="009F6367"/>
    <w:rsid w:val="009F63A3"/>
    <w:rsid w:val="009F6428"/>
    <w:rsid w:val="009F643A"/>
    <w:rsid w:val="009F643F"/>
    <w:rsid w:val="009F6445"/>
    <w:rsid w:val="009F64E6"/>
    <w:rsid w:val="009F64EE"/>
    <w:rsid w:val="009F6582"/>
    <w:rsid w:val="009F663D"/>
    <w:rsid w:val="009F6651"/>
    <w:rsid w:val="009F6667"/>
    <w:rsid w:val="009F66C9"/>
    <w:rsid w:val="009F66EA"/>
    <w:rsid w:val="009F66F7"/>
    <w:rsid w:val="009F66FB"/>
    <w:rsid w:val="009F66FF"/>
    <w:rsid w:val="009F6728"/>
    <w:rsid w:val="009F6840"/>
    <w:rsid w:val="009F6918"/>
    <w:rsid w:val="009F6A14"/>
    <w:rsid w:val="009F6A19"/>
    <w:rsid w:val="009F6A3E"/>
    <w:rsid w:val="009F6A79"/>
    <w:rsid w:val="009F6A82"/>
    <w:rsid w:val="009F6B00"/>
    <w:rsid w:val="009F6BC8"/>
    <w:rsid w:val="009F6BF4"/>
    <w:rsid w:val="009F6BFA"/>
    <w:rsid w:val="009F6C45"/>
    <w:rsid w:val="009F6C54"/>
    <w:rsid w:val="009F6C67"/>
    <w:rsid w:val="009F6CFF"/>
    <w:rsid w:val="009F6D17"/>
    <w:rsid w:val="009F6D36"/>
    <w:rsid w:val="009F6D6F"/>
    <w:rsid w:val="009F6D7D"/>
    <w:rsid w:val="009F6DC9"/>
    <w:rsid w:val="009F6DCA"/>
    <w:rsid w:val="009F6DF3"/>
    <w:rsid w:val="009F6E04"/>
    <w:rsid w:val="009F6E24"/>
    <w:rsid w:val="009F6E27"/>
    <w:rsid w:val="009F6E40"/>
    <w:rsid w:val="009F6F44"/>
    <w:rsid w:val="009F6F56"/>
    <w:rsid w:val="009F6F62"/>
    <w:rsid w:val="009F6FE5"/>
    <w:rsid w:val="009F6FFC"/>
    <w:rsid w:val="009F705F"/>
    <w:rsid w:val="009F7091"/>
    <w:rsid w:val="009F70DA"/>
    <w:rsid w:val="009F7121"/>
    <w:rsid w:val="009F7230"/>
    <w:rsid w:val="009F72BE"/>
    <w:rsid w:val="009F72C2"/>
    <w:rsid w:val="009F7305"/>
    <w:rsid w:val="009F730D"/>
    <w:rsid w:val="009F735C"/>
    <w:rsid w:val="009F736E"/>
    <w:rsid w:val="009F7391"/>
    <w:rsid w:val="009F73D4"/>
    <w:rsid w:val="009F73D6"/>
    <w:rsid w:val="009F743E"/>
    <w:rsid w:val="009F748C"/>
    <w:rsid w:val="009F74E5"/>
    <w:rsid w:val="009F751C"/>
    <w:rsid w:val="009F755B"/>
    <w:rsid w:val="009F75D3"/>
    <w:rsid w:val="009F7633"/>
    <w:rsid w:val="009F7657"/>
    <w:rsid w:val="009F767F"/>
    <w:rsid w:val="009F76CD"/>
    <w:rsid w:val="009F77C9"/>
    <w:rsid w:val="009F7838"/>
    <w:rsid w:val="009F783F"/>
    <w:rsid w:val="009F7846"/>
    <w:rsid w:val="009F7856"/>
    <w:rsid w:val="009F78D0"/>
    <w:rsid w:val="009F7952"/>
    <w:rsid w:val="009F7991"/>
    <w:rsid w:val="009F79A0"/>
    <w:rsid w:val="009F79B6"/>
    <w:rsid w:val="009F79B9"/>
    <w:rsid w:val="009F7ADA"/>
    <w:rsid w:val="009F7B4F"/>
    <w:rsid w:val="009F7B89"/>
    <w:rsid w:val="009F7BF1"/>
    <w:rsid w:val="009F7C23"/>
    <w:rsid w:val="009F7C50"/>
    <w:rsid w:val="009F7D1A"/>
    <w:rsid w:val="009F7DF5"/>
    <w:rsid w:val="009F7E0D"/>
    <w:rsid w:val="009F7E2F"/>
    <w:rsid w:val="009F7E9C"/>
    <w:rsid w:val="009F7EF8"/>
    <w:rsid w:val="009F7F07"/>
    <w:rsid w:val="009F7F19"/>
    <w:rsid w:val="009F7F6C"/>
    <w:rsid w:val="009F7F7F"/>
    <w:rsid w:val="009F7F8F"/>
    <w:rsid w:val="009F7FA1"/>
    <w:rsid w:val="00A00053"/>
    <w:rsid w:val="00A000B8"/>
    <w:rsid w:val="00A0018B"/>
    <w:rsid w:val="00A0019D"/>
    <w:rsid w:val="00A001A7"/>
    <w:rsid w:val="00A001CE"/>
    <w:rsid w:val="00A00250"/>
    <w:rsid w:val="00A0027D"/>
    <w:rsid w:val="00A003B2"/>
    <w:rsid w:val="00A003F9"/>
    <w:rsid w:val="00A004B4"/>
    <w:rsid w:val="00A004CA"/>
    <w:rsid w:val="00A00514"/>
    <w:rsid w:val="00A0052F"/>
    <w:rsid w:val="00A0054E"/>
    <w:rsid w:val="00A0056F"/>
    <w:rsid w:val="00A0058E"/>
    <w:rsid w:val="00A00593"/>
    <w:rsid w:val="00A005CA"/>
    <w:rsid w:val="00A0062A"/>
    <w:rsid w:val="00A00645"/>
    <w:rsid w:val="00A00673"/>
    <w:rsid w:val="00A00675"/>
    <w:rsid w:val="00A006AF"/>
    <w:rsid w:val="00A00749"/>
    <w:rsid w:val="00A00777"/>
    <w:rsid w:val="00A007B7"/>
    <w:rsid w:val="00A00802"/>
    <w:rsid w:val="00A00861"/>
    <w:rsid w:val="00A00878"/>
    <w:rsid w:val="00A0087E"/>
    <w:rsid w:val="00A008A3"/>
    <w:rsid w:val="00A008B3"/>
    <w:rsid w:val="00A008B7"/>
    <w:rsid w:val="00A00931"/>
    <w:rsid w:val="00A00A3C"/>
    <w:rsid w:val="00A00A8F"/>
    <w:rsid w:val="00A00B2B"/>
    <w:rsid w:val="00A00B46"/>
    <w:rsid w:val="00A00B62"/>
    <w:rsid w:val="00A00BE5"/>
    <w:rsid w:val="00A00C63"/>
    <w:rsid w:val="00A00C70"/>
    <w:rsid w:val="00A00C9B"/>
    <w:rsid w:val="00A00CC2"/>
    <w:rsid w:val="00A00CF9"/>
    <w:rsid w:val="00A00D21"/>
    <w:rsid w:val="00A00D55"/>
    <w:rsid w:val="00A00D7F"/>
    <w:rsid w:val="00A00DE7"/>
    <w:rsid w:val="00A00E33"/>
    <w:rsid w:val="00A00E3B"/>
    <w:rsid w:val="00A00E3C"/>
    <w:rsid w:val="00A00EAA"/>
    <w:rsid w:val="00A00F55"/>
    <w:rsid w:val="00A00F91"/>
    <w:rsid w:val="00A00FBF"/>
    <w:rsid w:val="00A00FEF"/>
    <w:rsid w:val="00A0100C"/>
    <w:rsid w:val="00A01032"/>
    <w:rsid w:val="00A01034"/>
    <w:rsid w:val="00A01139"/>
    <w:rsid w:val="00A0114E"/>
    <w:rsid w:val="00A01172"/>
    <w:rsid w:val="00A01187"/>
    <w:rsid w:val="00A01199"/>
    <w:rsid w:val="00A01272"/>
    <w:rsid w:val="00A0129B"/>
    <w:rsid w:val="00A012A7"/>
    <w:rsid w:val="00A012C2"/>
    <w:rsid w:val="00A012D8"/>
    <w:rsid w:val="00A012F0"/>
    <w:rsid w:val="00A01360"/>
    <w:rsid w:val="00A013E4"/>
    <w:rsid w:val="00A014A3"/>
    <w:rsid w:val="00A014A4"/>
    <w:rsid w:val="00A0154E"/>
    <w:rsid w:val="00A01559"/>
    <w:rsid w:val="00A0156A"/>
    <w:rsid w:val="00A01570"/>
    <w:rsid w:val="00A01654"/>
    <w:rsid w:val="00A01661"/>
    <w:rsid w:val="00A0167E"/>
    <w:rsid w:val="00A016CB"/>
    <w:rsid w:val="00A016F2"/>
    <w:rsid w:val="00A01778"/>
    <w:rsid w:val="00A0178C"/>
    <w:rsid w:val="00A01806"/>
    <w:rsid w:val="00A01848"/>
    <w:rsid w:val="00A0189A"/>
    <w:rsid w:val="00A0189D"/>
    <w:rsid w:val="00A01902"/>
    <w:rsid w:val="00A019D4"/>
    <w:rsid w:val="00A01A33"/>
    <w:rsid w:val="00A01A36"/>
    <w:rsid w:val="00A01A85"/>
    <w:rsid w:val="00A01BCD"/>
    <w:rsid w:val="00A01C43"/>
    <w:rsid w:val="00A01C8B"/>
    <w:rsid w:val="00A01CC3"/>
    <w:rsid w:val="00A01CF2"/>
    <w:rsid w:val="00A01D1C"/>
    <w:rsid w:val="00A01D25"/>
    <w:rsid w:val="00A01D2A"/>
    <w:rsid w:val="00A01D77"/>
    <w:rsid w:val="00A01D9D"/>
    <w:rsid w:val="00A01E07"/>
    <w:rsid w:val="00A01F12"/>
    <w:rsid w:val="00A01FD8"/>
    <w:rsid w:val="00A020BC"/>
    <w:rsid w:val="00A0211D"/>
    <w:rsid w:val="00A0212C"/>
    <w:rsid w:val="00A02199"/>
    <w:rsid w:val="00A0219B"/>
    <w:rsid w:val="00A021D5"/>
    <w:rsid w:val="00A02257"/>
    <w:rsid w:val="00A0225C"/>
    <w:rsid w:val="00A022E4"/>
    <w:rsid w:val="00A023BD"/>
    <w:rsid w:val="00A023D4"/>
    <w:rsid w:val="00A0245D"/>
    <w:rsid w:val="00A0246C"/>
    <w:rsid w:val="00A02537"/>
    <w:rsid w:val="00A02548"/>
    <w:rsid w:val="00A025A8"/>
    <w:rsid w:val="00A025B6"/>
    <w:rsid w:val="00A0261B"/>
    <w:rsid w:val="00A02640"/>
    <w:rsid w:val="00A02648"/>
    <w:rsid w:val="00A02700"/>
    <w:rsid w:val="00A02730"/>
    <w:rsid w:val="00A02763"/>
    <w:rsid w:val="00A027A1"/>
    <w:rsid w:val="00A027F4"/>
    <w:rsid w:val="00A028C0"/>
    <w:rsid w:val="00A02903"/>
    <w:rsid w:val="00A02968"/>
    <w:rsid w:val="00A0297D"/>
    <w:rsid w:val="00A029D1"/>
    <w:rsid w:val="00A029D8"/>
    <w:rsid w:val="00A02A1A"/>
    <w:rsid w:val="00A02A44"/>
    <w:rsid w:val="00A02A83"/>
    <w:rsid w:val="00A02AD7"/>
    <w:rsid w:val="00A02B04"/>
    <w:rsid w:val="00A02BD4"/>
    <w:rsid w:val="00A02C87"/>
    <w:rsid w:val="00A02C97"/>
    <w:rsid w:val="00A02CD4"/>
    <w:rsid w:val="00A02D20"/>
    <w:rsid w:val="00A02D80"/>
    <w:rsid w:val="00A02D81"/>
    <w:rsid w:val="00A02E4B"/>
    <w:rsid w:val="00A02E9A"/>
    <w:rsid w:val="00A02EB9"/>
    <w:rsid w:val="00A02F53"/>
    <w:rsid w:val="00A02FEA"/>
    <w:rsid w:val="00A03045"/>
    <w:rsid w:val="00A03047"/>
    <w:rsid w:val="00A0305D"/>
    <w:rsid w:val="00A030EC"/>
    <w:rsid w:val="00A03114"/>
    <w:rsid w:val="00A0312F"/>
    <w:rsid w:val="00A031A7"/>
    <w:rsid w:val="00A032B2"/>
    <w:rsid w:val="00A032F9"/>
    <w:rsid w:val="00A03317"/>
    <w:rsid w:val="00A03327"/>
    <w:rsid w:val="00A03331"/>
    <w:rsid w:val="00A03352"/>
    <w:rsid w:val="00A03389"/>
    <w:rsid w:val="00A03398"/>
    <w:rsid w:val="00A033D2"/>
    <w:rsid w:val="00A033E6"/>
    <w:rsid w:val="00A03418"/>
    <w:rsid w:val="00A0344B"/>
    <w:rsid w:val="00A03581"/>
    <w:rsid w:val="00A0358D"/>
    <w:rsid w:val="00A035E9"/>
    <w:rsid w:val="00A0364C"/>
    <w:rsid w:val="00A036AB"/>
    <w:rsid w:val="00A0372D"/>
    <w:rsid w:val="00A03737"/>
    <w:rsid w:val="00A037A1"/>
    <w:rsid w:val="00A037A7"/>
    <w:rsid w:val="00A037E2"/>
    <w:rsid w:val="00A03833"/>
    <w:rsid w:val="00A03862"/>
    <w:rsid w:val="00A03863"/>
    <w:rsid w:val="00A03892"/>
    <w:rsid w:val="00A038E3"/>
    <w:rsid w:val="00A03944"/>
    <w:rsid w:val="00A0394D"/>
    <w:rsid w:val="00A0398B"/>
    <w:rsid w:val="00A03A28"/>
    <w:rsid w:val="00A03BA0"/>
    <w:rsid w:val="00A03C45"/>
    <w:rsid w:val="00A03CBF"/>
    <w:rsid w:val="00A03CF6"/>
    <w:rsid w:val="00A03D66"/>
    <w:rsid w:val="00A03D6F"/>
    <w:rsid w:val="00A03D8C"/>
    <w:rsid w:val="00A03DA4"/>
    <w:rsid w:val="00A03DD1"/>
    <w:rsid w:val="00A03EEB"/>
    <w:rsid w:val="00A03F31"/>
    <w:rsid w:val="00A03F43"/>
    <w:rsid w:val="00A03F97"/>
    <w:rsid w:val="00A0406F"/>
    <w:rsid w:val="00A040BF"/>
    <w:rsid w:val="00A04239"/>
    <w:rsid w:val="00A04294"/>
    <w:rsid w:val="00A042E0"/>
    <w:rsid w:val="00A0430E"/>
    <w:rsid w:val="00A0431F"/>
    <w:rsid w:val="00A043CC"/>
    <w:rsid w:val="00A04427"/>
    <w:rsid w:val="00A04464"/>
    <w:rsid w:val="00A04514"/>
    <w:rsid w:val="00A0456A"/>
    <w:rsid w:val="00A045A9"/>
    <w:rsid w:val="00A045B1"/>
    <w:rsid w:val="00A045B7"/>
    <w:rsid w:val="00A045C3"/>
    <w:rsid w:val="00A045CF"/>
    <w:rsid w:val="00A045FE"/>
    <w:rsid w:val="00A04622"/>
    <w:rsid w:val="00A04680"/>
    <w:rsid w:val="00A046C7"/>
    <w:rsid w:val="00A046E5"/>
    <w:rsid w:val="00A0470A"/>
    <w:rsid w:val="00A04725"/>
    <w:rsid w:val="00A0476A"/>
    <w:rsid w:val="00A047A1"/>
    <w:rsid w:val="00A047C4"/>
    <w:rsid w:val="00A0489A"/>
    <w:rsid w:val="00A048A0"/>
    <w:rsid w:val="00A048CA"/>
    <w:rsid w:val="00A048DD"/>
    <w:rsid w:val="00A0496E"/>
    <w:rsid w:val="00A0498A"/>
    <w:rsid w:val="00A04AFE"/>
    <w:rsid w:val="00A04B3D"/>
    <w:rsid w:val="00A04B7B"/>
    <w:rsid w:val="00A04BB9"/>
    <w:rsid w:val="00A04BF9"/>
    <w:rsid w:val="00A04C54"/>
    <w:rsid w:val="00A04C90"/>
    <w:rsid w:val="00A04CBD"/>
    <w:rsid w:val="00A04CE7"/>
    <w:rsid w:val="00A04D46"/>
    <w:rsid w:val="00A04DAA"/>
    <w:rsid w:val="00A04DB2"/>
    <w:rsid w:val="00A04E0E"/>
    <w:rsid w:val="00A04E40"/>
    <w:rsid w:val="00A04E45"/>
    <w:rsid w:val="00A04E95"/>
    <w:rsid w:val="00A04F11"/>
    <w:rsid w:val="00A04F8E"/>
    <w:rsid w:val="00A05040"/>
    <w:rsid w:val="00A0509A"/>
    <w:rsid w:val="00A0514E"/>
    <w:rsid w:val="00A05266"/>
    <w:rsid w:val="00A05275"/>
    <w:rsid w:val="00A052A9"/>
    <w:rsid w:val="00A052DB"/>
    <w:rsid w:val="00A052F7"/>
    <w:rsid w:val="00A0535C"/>
    <w:rsid w:val="00A053D6"/>
    <w:rsid w:val="00A05403"/>
    <w:rsid w:val="00A0547E"/>
    <w:rsid w:val="00A0549C"/>
    <w:rsid w:val="00A054F8"/>
    <w:rsid w:val="00A05524"/>
    <w:rsid w:val="00A05537"/>
    <w:rsid w:val="00A0567A"/>
    <w:rsid w:val="00A0577B"/>
    <w:rsid w:val="00A057EA"/>
    <w:rsid w:val="00A05810"/>
    <w:rsid w:val="00A05893"/>
    <w:rsid w:val="00A058E7"/>
    <w:rsid w:val="00A058EB"/>
    <w:rsid w:val="00A05903"/>
    <w:rsid w:val="00A0597B"/>
    <w:rsid w:val="00A05A6F"/>
    <w:rsid w:val="00A05AA0"/>
    <w:rsid w:val="00A05AE2"/>
    <w:rsid w:val="00A05B18"/>
    <w:rsid w:val="00A05B40"/>
    <w:rsid w:val="00A05BC4"/>
    <w:rsid w:val="00A05C63"/>
    <w:rsid w:val="00A05CA6"/>
    <w:rsid w:val="00A05CBF"/>
    <w:rsid w:val="00A05D08"/>
    <w:rsid w:val="00A05D0B"/>
    <w:rsid w:val="00A05DB9"/>
    <w:rsid w:val="00A05E12"/>
    <w:rsid w:val="00A05E2D"/>
    <w:rsid w:val="00A05EF6"/>
    <w:rsid w:val="00A05F43"/>
    <w:rsid w:val="00A05F54"/>
    <w:rsid w:val="00A06031"/>
    <w:rsid w:val="00A06045"/>
    <w:rsid w:val="00A06069"/>
    <w:rsid w:val="00A060C4"/>
    <w:rsid w:val="00A06159"/>
    <w:rsid w:val="00A0617A"/>
    <w:rsid w:val="00A061D1"/>
    <w:rsid w:val="00A06224"/>
    <w:rsid w:val="00A06232"/>
    <w:rsid w:val="00A0630A"/>
    <w:rsid w:val="00A0631F"/>
    <w:rsid w:val="00A06339"/>
    <w:rsid w:val="00A0637E"/>
    <w:rsid w:val="00A063AF"/>
    <w:rsid w:val="00A063ED"/>
    <w:rsid w:val="00A063F5"/>
    <w:rsid w:val="00A0645D"/>
    <w:rsid w:val="00A06545"/>
    <w:rsid w:val="00A065DD"/>
    <w:rsid w:val="00A06653"/>
    <w:rsid w:val="00A066A6"/>
    <w:rsid w:val="00A066A7"/>
    <w:rsid w:val="00A067CE"/>
    <w:rsid w:val="00A067DA"/>
    <w:rsid w:val="00A067E5"/>
    <w:rsid w:val="00A067E6"/>
    <w:rsid w:val="00A067EF"/>
    <w:rsid w:val="00A068AD"/>
    <w:rsid w:val="00A068E6"/>
    <w:rsid w:val="00A0695F"/>
    <w:rsid w:val="00A06A2F"/>
    <w:rsid w:val="00A06A8E"/>
    <w:rsid w:val="00A06ADE"/>
    <w:rsid w:val="00A06AF6"/>
    <w:rsid w:val="00A06B02"/>
    <w:rsid w:val="00A06BA4"/>
    <w:rsid w:val="00A06BCA"/>
    <w:rsid w:val="00A06BD0"/>
    <w:rsid w:val="00A06BE2"/>
    <w:rsid w:val="00A06CB9"/>
    <w:rsid w:val="00A06CC3"/>
    <w:rsid w:val="00A06CD8"/>
    <w:rsid w:val="00A06D6A"/>
    <w:rsid w:val="00A06D75"/>
    <w:rsid w:val="00A06E0E"/>
    <w:rsid w:val="00A06E32"/>
    <w:rsid w:val="00A06EB1"/>
    <w:rsid w:val="00A06ED6"/>
    <w:rsid w:val="00A0700B"/>
    <w:rsid w:val="00A07035"/>
    <w:rsid w:val="00A070A7"/>
    <w:rsid w:val="00A070AB"/>
    <w:rsid w:val="00A07113"/>
    <w:rsid w:val="00A07122"/>
    <w:rsid w:val="00A07137"/>
    <w:rsid w:val="00A07182"/>
    <w:rsid w:val="00A071A7"/>
    <w:rsid w:val="00A071B0"/>
    <w:rsid w:val="00A071C7"/>
    <w:rsid w:val="00A0722E"/>
    <w:rsid w:val="00A07288"/>
    <w:rsid w:val="00A07293"/>
    <w:rsid w:val="00A072B3"/>
    <w:rsid w:val="00A072CE"/>
    <w:rsid w:val="00A072EA"/>
    <w:rsid w:val="00A07339"/>
    <w:rsid w:val="00A07384"/>
    <w:rsid w:val="00A0738C"/>
    <w:rsid w:val="00A0739F"/>
    <w:rsid w:val="00A073B2"/>
    <w:rsid w:val="00A073C2"/>
    <w:rsid w:val="00A073D6"/>
    <w:rsid w:val="00A074B0"/>
    <w:rsid w:val="00A074B2"/>
    <w:rsid w:val="00A074F2"/>
    <w:rsid w:val="00A07508"/>
    <w:rsid w:val="00A07521"/>
    <w:rsid w:val="00A07522"/>
    <w:rsid w:val="00A0754A"/>
    <w:rsid w:val="00A0755D"/>
    <w:rsid w:val="00A07624"/>
    <w:rsid w:val="00A0767D"/>
    <w:rsid w:val="00A0768D"/>
    <w:rsid w:val="00A076B5"/>
    <w:rsid w:val="00A07770"/>
    <w:rsid w:val="00A07792"/>
    <w:rsid w:val="00A077DC"/>
    <w:rsid w:val="00A077E3"/>
    <w:rsid w:val="00A0780E"/>
    <w:rsid w:val="00A07820"/>
    <w:rsid w:val="00A07836"/>
    <w:rsid w:val="00A0790C"/>
    <w:rsid w:val="00A0793D"/>
    <w:rsid w:val="00A07973"/>
    <w:rsid w:val="00A07982"/>
    <w:rsid w:val="00A079FD"/>
    <w:rsid w:val="00A07A0E"/>
    <w:rsid w:val="00A07A12"/>
    <w:rsid w:val="00A07A26"/>
    <w:rsid w:val="00A07A51"/>
    <w:rsid w:val="00A07A70"/>
    <w:rsid w:val="00A07A8C"/>
    <w:rsid w:val="00A07BE4"/>
    <w:rsid w:val="00A07BF0"/>
    <w:rsid w:val="00A07C16"/>
    <w:rsid w:val="00A07C92"/>
    <w:rsid w:val="00A07CE8"/>
    <w:rsid w:val="00A07D45"/>
    <w:rsid w:val="00A07DA7"/>
    <w:rsid w:val="00A07DFB"/>
    <w:rsid w:val="00A07E45"/>
    <w:rsid w:val="00A07E72"/>
    <w:rsid w:val="00A07EDF"/>
    <w:rsid w:val="00A07F07"/>
    <w:rsid w:val="00A07F77"/>
    <w:rsid w:val="00A07FB2"/>
    <w:rsid w:val="00A10087"/>
    <w:rsid w:val="00A100D4"/>
    <w:rsid w:val="00A100DA"/>
    <w:rsid w:val="00A10138"/>
    <w:rsid w:val="00A1013D"/>
    <w:rsid w:val="00A10145"/>
    <w:rsid w:val="00A1019A"/>
    <w:rsid w:val="00A10202"/>
    <w:rsid w:val="00A10267"/>
    <w:rsid w:val="00A102C4"/>
    <w:rsid w:val="00A10335"/>
    <w:rsid w:val="00A1037A"/>
    <w:rsid w:val="00A10418"/>
    <w:rsid w:val="00A1046D"/>
    <w:rsid w:val="00A10489"/>
    <w:rsid w:val="00A1049D"/>
    <w:rsid w:val="00A104B3"/>
    <w:rsid w:val="00A1052B"/>
    <w:rsid w:val="00A10585"/>
    <w:rsid w:val="00A105A9"/>
    <w:rsid w:val="00A10617"/>
    <w:rsid w:val="00A10650"/>
    <w:rsid w:val="00A10652"/>
    <w:rsid w:val="00A10676"/>
    <w:rsid w:val="00A107B9"/>
    <w:rsid w:val="00A107BB"/>
    <w:rsid w:val="00A107D9"/>
    <w:rsid w:val="00A1082B"/>
    <w:rsid w:val="00A108DB"/>
    <w:rsid w:val="00A108EA"/>
    <w:rsid w:val="00A10984"/>
    <w:rsid w:val="00A109F4"/>
    <w:rsid w:val="00A10AD1"/>
    <w:rsid w:val="00A10AFC"/>
    <w:rsid w:val="00A10B38"/>
    <w:rsid w:val="00A10B39"/>
    <w:rsid w:val="00A10B47"/>
    <w:rsid w:val="00A10B57"/>
    <w:rsid w:val="00A10BB0"/>
    <w:rsid w:val="00A10C5C"/>
    <w:rsid w:val="00A10C82"/>
    <w:rsid w:val="00A10C90"/>
    <w:rsid w:val="00A10CB1"/>
    <w:rsid w:val="00A10D04"/>
    <w:rsid w:val="00A10D3D"/>
    <w:rsid w:val="00A10D41"/>
    <w:rsid w:val="00A10D79"/>
    <w:rsid w:val="00A10D7B"/>
    <w:rsid w:val="00A10D7D"/>
    <w:rsid w:val="00A10DE8"/>
    <w:rsid w:val="00A10E08"/>
    <w:rsid w:val="00A10E2E"/>
    <w:rsid w:val="00A10E8F"/>
    <w:rsid w:val="00A10F31"/>
    <w:rsid w:val="00A10FB9"/>
    <w:rsid w:val="00A1108E"/>
    <w:rsid w:val="00A110B2"/>
    <w:rsid w:val="00A1112A"/>
    <w:rsid w:val="00A111DD"/>
    <w:rsid w:val="00A1121B"/>
    <w:rsid w:val="00A1121C"/>
    <w:rsid w:val="00A11269"/>
    <w:rsid w:val="00A11277"/>
    <w:rsid w:val="00A1127C"/>
    <w:rsid w:val="00A112E8"/>
    <w:rsid w:val="00A11347"/>
    <w:rsid w:val="00A11407"/>
    <w:rsid w:val="00A1140B"/>
    <w:rsid w:val="00A114B7"/>
    <w:rsid w:val="00A114EE"/>
    <w:rsid w:val="00A11598"/>
    <w:rsid w:val="00A11676"/>
    <w:rsid w:val="00A1168D"/>
    <w:rsid w:val="00A116E6"/>
    <w:rsid w:val="00A116EE"/>
    <w:rsid w:val="00A11738"/>
    <w:rsid w:val="00A11781"/>
    <w:rsid w:val="00A1179C"/>
    <w:rsid w:val="00A117AF"/>
    <w:rsid w:val="00A117BD"/>
    <w:rsid w:val="00A117C3"/>
    <w:rsid w:val="00A11806"/>
    <w:rsid w:val="00A1181C"/>
    <w:rsid w:val="00A11822"/>
    <w:rsid w:val="00A11827"/>
    <w:rsid w:val="00A119CE"/>
    <w:rsid w:val="00A11A14"/>
    <w:rsid w:val="00A11A4B"/>
    <w:rsid w:val="00A11AB1"/>
    <w:rsid w:val="00A11AB2"/>
    <w:rsid w:val="00A11AC4"/>
    <w:rsid w:val="00A11B11"/>
    <w:rsid w:val="00A11B9B"/>
    <w:rsid w:val="00A11BE8"/>
    <w:rsid w:val="00A11C2A"/>
    <w:rsid w:val="00A11CCA"/>
    <w:rsid w:val="00A11CEE"/>
    <w:rsid w:val="00A11D0F"/>
    <w:rsid w:val="00A11DBC"/>
    <w:rsid w:val="00A11DD9"/>
    <w:rsid w:val="00A11DF3"/>
    <w:rsid w:val="00A11E01"/>
    <w:rsid w:val="00A11E5F"/>
    <w:rsid w:val="00A11E74"/>
    <w:rsid w:val="00A11EA2"/>
    <w:rsid w:val="00A11EA8"/>
    <w:rsid w:val="00A11FBE"/>
    <w:rsid w:val="00A11FED"/>
    <w:rsid w:val="00A12050"/>
    <w:rsid w:val="00A120FC"/>
    <w:rsid w:val="00A12107"/>
    <w:rsid w:val="00A121A6"/>
    <w:rsid w:val="00A121C0"/>
    <w:rsid w:val="00A121CB"/>
    <w:rsid w:val="00A1222F"/>
    <w:rsid w:val="00A1224E"/>
    <w:rsid w:val="00A12250"/>
    <w:rsid w:val="00A122A9"/>
    <w:rsid w:val="00A122FF"/>
    <w:rsid w:val="00A123AE"/>
    <w:rsid w:val="00A12459"/>
    <w:rsid w:val="00A1247A"/>
    <w:rsid w:val="00A124BC"/>
    <w:rsid w:val="00A124D2"/>
    <w:rsid w:val="00A124E8"/>
    <w:rsid w:val="00A12513"/>
    <w:rsid w:val="00A1254D"/>
    <w:rsid w:val="00A12558"/>
    <w:rsid w:val="00A1257D"/>
    <w:rsid w:val="00A12580"/>
    <w:rsid w:val="00A125D3"/>
    <w:rsid w:val="00A12601"/>
    <w:rsid w:val="00A12680"/>
    <w:rsid w:val="00A126C0"/>
    <w:rsid w:val="00A126C7"/>
    <w:rsid w:val="00A12704"/>
    <w:rsid w:val="00A1277A"/>
    <w:rsid w:val="00A12788"/>
    <w:rsid w:val="00A1278C"/>
    <w:rsid w:val="00A127D2"/>
    <w:rsid w:val="00A127D7"/>
    <w:rsid w:val="00A128C2"/>
    <w:rsid w:val="00A128FC"/>
    <w:rsid w:val="00A12910"/>
    <w:rsid w:val="00A12925"/>
    <w:rsid w:val="00A1299D"/>
    <w:rsid w:val="00A129A4"/>
    <w:rsid w:val="00A129AE"/>
    <w:rsid w:val="00A129B0"/>
    <w:rsid w:val="00A129DF"/>
    <w:rsid w:val="00A129F3"/>
    <w:rsid w:val="00A12A38"/>
    <w:rsid w:val="00A12A45"/>
    <w:rsid w:val="00A12A4C"/>
    <w:rsid w:val="00A12AF7"/>
    <w:rsid w:val="00A12AFF"/>
    <w:rsid w:val="00A12B1A"/>
    <w:rsid w:val="00A12B2E"/>
    <w:rsid w:val="00A12B79"/>
    <w:rsid w:val="00A12B81"/>
    <w:rsid w:val="00A12C0B"/>
    <w:rsid w:val="00A12C2E"/>
    <w:rsid w:val="00A12C95"/>
    <w:rsid w:val="00A12CDE"/>
    <w:rsid w:val="00A12CE3"/>
    <w:rsid w:val="00A12D44"/>
    <w:rsid w:val="00A12DDE"/>
    <w:rsid w:val="00A12E54"/>
    <w:rsid w:val="00A12EB0"/>
    <w:rsid w:val="00A12EB1"/>
    <w:rsid w:val="00A12F74"/>
    <w:rsid w:val="00A13045"/>
    <w:rsid w:val="00A130E5"/>
    <w:rsid w:val="00A130EC"/>
    <w:rsid w:val="00A13104"/>
    <w:rsid w:val="00A13157"/>
    <w:rsid w:val="00A1315D"/>
    <w:rsid w:val="00A1319F"/>
    <w:rsid w:val="00A13201"/>
    <w:rsid w:val="00A132AF"/>
    <w:rsid w:val="00A132DC"/>
    <w:rsid w:val="00A132FD"/>
    <w:rsid w:val="00A13307"/>
    <w:rsid w:val="00A13315"/>
    <w:rsid w:val="00A1331C"/>
    <w:rsid w:val="00A13339"/>
    <w:rsid w:val="00A133D8"/>
    <w:rsid w:val="00A13424"/>
    <w:rsid w:val="00A13447"/>
    <w:rsid w:val="00A1345A"/>
    <w:rsid w:val="00A134AE"/>
    <w:rsid w:val="00A134CA"/>
    <w:rsid w:val="00A13518"/>
    <w:rsid w:val="00A13522"/>
    <w:rsid w:val="00A13534"/>
    <w:rsid w:val="00A1354F"/>
    <w:rsid w:val="00A13562"/>
    <w:rsid w:val="00A13587"/>
    <w:rsid w:val="00A13604"/>
    <w:rsid w:val="00A13616"/>
    <w:rsid w:val="00A13622"/>
    <w:rsid w:val="00A136ED"/>
    <w:rsid w:val="00A136FD"/>
    <w:rsid w:val="00A1370E"/>
    <w:rsid w:val="00A13717"/>
    <w:rsid w:val="00A137E6"/>
    <w:rsid w:val="00A13827"/>
    <w:rsid w:val="00A13829"/>
    <w:rsid w:val="00A13947"/>
    <w:rsid w:val="00A1394E"/>
    <w:rsid w:val="00A1396D"/>
    <w:rsid w:val="00A13992"/>
    <w:rsid w:val="00A139E0"/>
    <w:rsid w:val="00A13A3E"/>
    <w:rsid w:val="00A13A62"/>
    <w:rsid w:val="00A13A81"/>
    <w:rsid w:val="00A13A99"/>
    <w:rsid w:val="00A13AFB"/>
    <w:rsid w:val="00A13B27"/>
    <w:rsid w:val="00A13BCE"/>
    <w:rsid w:val="00A13C4D"/>
    <w:rsid w:val="00A13C50"/>
    <w:rsid w:val="00A13D4D"/>
    <w:rsid w:val="00A13F81"/>
    <w:rsid w:val="00A13F93"/>
    <w:rsid w:val="00A140A8"/>
    <w:rsid w:val="00A140EF"/>
    <w:rsid w:val="00A14135"/>
    <w:rsid w:val="00A1416F"/>
    <w:rsid w:val="00A14197"/>
    <w:rsid w:val="00A141D1"/>
    <w:rsid w:val="00A141FB"/>
    <w:rsid w:val="00A14211"/>
    <w:rsid w:val="00A14284"/>
    <w:rsid w:val="00A1429F"/>
    <w:rsid w:val="00A142A4"/>
    <w:rsid w:val="00A142BB"/>
    <w:rsid w:val="00A1434C"/>
    <w:rsid w:val="00A143B5"/>
    <w:rsid w:val="00A143CB"/>
    <w:rsid w:val="00A143DA"/>
    <w:rsid w:val="00A143DD"/>
    <w:rsid w:val="00A143E5"/>
    <w:rsid w:val="00A1447E"/>
    <w:rsid w:val="00A144E1"/>
    <w:rsid w:val="00A144E9"/>
    <w:rsid w:val="00A14542"/>
    <w:rsid w:val="00A14569"/>
    <w:rsid w:val="00A1456E"/>
    <w:rsid w:val="00A145AF"/>
    <w:rsid w:val="00A145EB"/>
    <w:rsid w:val="00A14651"/>
    <w:rsid w:val="00A146C2"/>
    <w:rsid w:val="00A146CB"/>
    <w:rsid w:val="00A146D5"/>
    <w:rsid w:val="00A14733"/>
    <w:rsid w:val="00A1473B"/>
    <w:rsid w:val="00A14755"/>
    <w:rsid w:val="00A147A1"/>
    <w:rsid w:val="00A147CC"/>
    <w:rsid w:val="00A14846"/>
    <w:rsid w:val="00A1489B"/>
    <w:rsid w:val="00A1495E"/>
    <w:rsid w:val="00A14B8D"/>
    <w:rsid w:val="00A14B8F"/>
    <w:rsid w:val="00A14BB0"/>
    <w:rsid w:val="00A14C34"/>
    <w:rsid w:val="00A14C54"/>
    <w:rsid w:val="00A14C56"/>
    <w:rsid w:val="00A14C8D"/>
    <w:rsid w:val="00A14C8F"/>
    <w:rsid w:val="00A14CC8"/>
    <w:rsid w:val="00A14D78"/>
    <w:rsid w:val="00A14DAD"/>
    <w:rsid w:val="00A14E59"/>
    <w:rsid w:val="00A14EA7"/>
    <w:rsid w:val="00A14EE7"/>
    <w:rsid w:val="00A14F12"/>
    <w:rsid w:val="00A14F1A"/>
    <w:rsid w:val="00A14FA6"/>
    <w:rsid w:val="00A15099"/>
    <w:rsid w:val="00A15103"/>
    <w:rsid w:val="00A15149"/>
    <w:rsid w:val="00A1516F"/>
    <w:rsid w:val="00A151A3"/>
    <w:rsid w:val="00A15210"/>
    <w:rsid w:val="00A15269"/>
    <w:rsid w:val="00A1527B"/>
    <w:rsid w:val="00A15281"/>
    <w:rsid w:val="00A152B3"/>
    <w:rsid w:val="00A152C8"/>
    <w:rsid w:val="00A1535F"/>
    <w:rsid w:val="00A15387"/>
    <w:rsid w:val="00A15393"/>
    <w:rsid w:val="00A153C7"/>
    <w:rsid w:val="00A153E5"/>
    <w:rsid w:val="00A1540A"/>
    <w:rsid w:val="00A1554D"/>
    <w:rsid w:val="00A156C9"/>
    <w:rsid w:val="00A15765"/>
    <w:rsid w:val="00A1576D"/>
    <w:rsid w:val="00A15803"/>
    <w:rsid w:val="00A1581B"/>
    <w:rsid w:val="00A1584C"/>
    <w:rsid w:val="00A15862"/>
    <w:rsid w:val="00A1587C"/>
    <w:rsid w:val="00A158BD"/>
    <w:rsid w:val="00A158F9"/>
    <w:rsid w:val="00A15959"/>
    <w:rsid w:val="00A159CF"/>
    <w:rsid w:val="00A15A23"/>
    <w:rsid w:val="00A15A7A"/>
    <w:rsid w:val="00A15A9A"/>
    <w:rsid w:val="00A15AA0"/>
    <w:rsid w:val="00A15AEA"/>
    <w:rsid w:val="00A15B0C"/>
    <w:rsid w:val="00A15C68"/>
    <w:rsid w:val="00A15C9B"/>
    <w:rsid w:val="00A15CB3"/>
    <w:rsid w:val="00A15D10"/>
    <w:rsid w:val="00A15E0F"/>
    <w:rsid w:val="00A15EB7"/>
    <w:rsid w:val="00A15ED6"/>
    <w:rsid w:val="00A15F39"/>
    <w:rsid w:val="00A15F3E"/>
    <w:rsid w:val="00A15FB6"/>
    <w:rsid w:val="00A15FCE"/>
    <w:rsid w:val="00A15FD2"/>
    <w:rsid w:val="00A1601E"/>
    <w:rsid w:val="00A16032"/>
    <w:rsid w:val="00A16251"/>
    <w:rsid w:val="00A16277"/>
    <w:rsid w:val="00A1635B"/>
    <w:rsid w:val="00A163F5"/>
    <w:rsid w:val="00A16413"/>
    <w:rsid w:val="00A164A3"/>
    <w:rsid w:val="00A164B7"/>
    <w:rsid w:val="00A164E5"/>
    <w:rsid w:val="00A165D7"/>
    <w:rsid w:val="00A165F8"/>
    <w:rsid w:val="00A16642"/>
    <w:rsid w:val="00A1664D"/>
    <w:rsid w:val="00A16652"/>
    <w:rsid w:val="00A16656"/>
    <w:rsid w:val="00A166D1"/>
    <w:rsid w:val="00A166E0"/>
    <w:rsid w:val="00A167AC"/>
    <w:rsid w:val="00A16826"/>
    <w:rsid w:val="00A16863"/>
    <w:rsid w:val="00A168AC"/>
    <w:rsid w:val="00A16934"/>
    <w:rsid w:val="00A16954"/>
    <w:rsid w:val="00A169A1"/>
    <w:rsid w:val="00A169F7"/>
    <w:rsid w:val="00A16A09"/>
    <w:rsid w:val="00A16A1A"/>
    <w:rsid w:val="00A16A34"/>
    <w:rsid w:val="00A16AFB"/>
    <w:rsid w:val="00A16B22"/>
    <w:rsid w:val="00A16B53"/>
    <w:rsid w:val="00A16B74"/>
    <w:rsid w:val="00A16B82"/>
    <w:rsid w:val="00A16BB2"/>
    <w:rsid w:val="00A16C8C"/>
    <w:rsid w:val="00A16CA5"/>
    <w:rsid w:val="00A16CED"/>
    <w:rsid w:val="00A16D64"/>
    <w:rsid w:val="00A16D88"/>
    <w:rsid w:val="00A16DEF"/>
    <w:rsid w:val="00A16E50"/>
    <w:rsid w:val="00A16E7B"/>
    <w:rsid w:val="00A16E9B"/>
    <w:rsid w:val="00A16EA1"/>
    <w:rsid w:val="00A16EC7"/>
    <w:rsid w:val="00A16FFF"/>
    <w:rsid w:val="00A1701E"/>
    <w:rsid w:val="00A17074"/>
    <w:rsid w:val="00A17093"/>
    <w:rsid w:val="00A170C5"/>
    <w:rsid w:val="00A171CE"/>
    <w:rsid w:val="00A171F7"/>
    <w:rsid w:val="00A17207"/>
    <w:rsid w:val="00A1720B"/>
    <w:rsid w:val="00A1723A"/>
    <w:rsid w:val="00A17259"/>
    <w:rsid w:val="00A172B8"/>
    <w:rsid w:val="00A172C8"/>
    <w:rsid w:val="00A172EA"/>
    <w:rsid w:val="00A17316"/>
    <w:rsid w:val="00A173DD"/>
    <w:rsid w:val="00A17438"/>
    <w:rsid w:val="00A17524"/>
    <w:rsid w:val="00A17551"/>
    <w:rsid w:val="00A1760E"/>
    <w:rsid w:val="00A176CF"/>
    <w:rsid w:val="00A17715"/>
    <w:rsid w:val="00A1775E"/>
    <w:rsid w:val="00A177AE"/>
    <w:rsid w:val="00A177C6"/>
    <w:rsid w:val="00A177CF"/>
    <w:rsid w:val="00A177D6"/>
    <w:rsid w:val="00A177DF"/>
    <w:rsid w:val="00A17837"/>
    <w:rsid w:val="00A17841"/>
    <w:rsid w:val="00A17847"/>
    <w:rsid w:val="00A178FD"/>
    <w:rsid w:val="00A1791C"/>
    <w:rsid w:val="00A1796E"/>
    <w:rsid w:val="00A17A12"/>
    <w:rsid w:val="00A17A26"/>
    <w:rsid w:val="00A17A4A"/>
    <w:rsid w:val="00A17A6B"/>
    <w:rsid w:val="00A17A96"/>
    <w:rsid w:val="00A17AED"/>
    <w:rsid w:val="00A17B3A"/>
    <w:rsid w:val="00A17B66"/>
    <w:rsid w:val="00A17B7D"/>
    <w:rsid w:val="00A17B86"/>
    <w:rsid w:val="00A17B90"/>
    <w:rsid w:val="00A17BD7"/>
    <w:rsid w:val="00A17CBD"/>
    <w:rsid w:val="00A17CCF"/>
    <w:rsid w:val="00A17CDE"/>
    <w:rsid w:val="00A17D14"/>
    <w:rsid w:val="00A17D25"/>
    <w:rsid w:val="00A17D35"/>
    <w:rsid w:val="00A17D69"/>
    <w:rsid w:val="00A17D74"/>
    <w:rsid w:val="00A17D85"/>
    <w:rsid w:val="00A17D97"/>
    <w:rsid w:val="00A17DFE"/>
    <w:rsid w:val="00A17E16"/>
    <w:rsid w:val="00A17E32"/>
    <w:rsid w:val="00A17E55"/>
    <w:rsid w:val="00A17EAC"/>
    <w:rsid w:val="00A17EC4"/>
    <w:rsid w:val="00A17F13"/>
    <w:rsid w:val="00A17F3C"/>
    <w:rsid w:val="00A17F7F"/>
    <w:rsid w:val="00A17F91"/>
    <w:rsid w:val="00A17FC4"/>
    <w:rsid w:val="00A20086"/>
    <w:rsid w:val="00A2008D"/>
    <w:rsid w:val="00A20128"/>
    <w:rsid w:val="00A20154"/>
    <w:rsid w:val="00A20196"/>
    <w:rsid w:val="00A201DD"/>
    <w:rsid w:val="00A2020E"/>
    <w:rsid w:val="00A20217"/>
    <w:rsid w:val="00A2029F"/>
    <w:rsid w:val="00A202A7"/>
    <w:rsid w:val="00A202B6"/>
    <w:rsid w:val="00A202F0"/>
    <w:rsid w:val="00A20330"/>
    <w:rsid w:val="00A2036E"/>
    <w:rsid w:val="00A203AF"/>
    <w:rsid w:val="00A203B2"/>
    <w:rsid w:val="00A20491"/>
    <w:rsid w:val="00A20506"/>
    <w:rsid w:val="00A2052F"/>
    <w:rsid w:val="00A2054A"/>
    <w:rsid w:val="00A20564"/>
    <w:rsid w:val="00A205D9"/>
    <w:rsid w:val="00A20691"/>
    <w:rsid w:val="00A206C1"/>
    <w:rsid w:val="00A207B2"/>
    <w:rsid w:val="00A20910"/>
    <w:rsid w:val="00A2091D"/>
    <w:rsid w:val="00A20960"/>
    <w:rsid w:val="00A209F4"/>
    <w:rsid w:val="00A20A0D"/>
    <w:rsid w:val="00A20B2F"/>
    <w:rsid w:val="00A20B70"/>
    <w:rsid w:val="00A20B8B"/>
    <w:rsid w:val="00A20BD2"/>
    <w:rsid w:val="00A20C26"/>
    <w:rsid w:val="00A20C30"/>
    <w:rsid w:val="00A20CE8"/>
    <w:rsid w:val="00A20D96"/>
    <w:rsid w:val="00A20E18"/>
    <w:rsid w:val="00A20E6B"/>
    <w:rsid w:val="00A20F0E"/>
    <w:rsid w:val="00A20F11"/>
    <w:rsid w:val="00A20F46"/>
    <w:rsid w:val="00A20F68"/>
    <w:rsid w:val="00A20F72"/>
    <w:rsid w:val="00A20F81"/>
    <w:rsid w:val="00A210C3"/>
    <w:rsid w:val="00A210F9"/>
    <w:rsid w:val="00A21111"/>
    <w:rsid w:val="00A2111D"/>
    <w:rsid w:val="00A2119A"/>
    <w:rsid w:val="00A211DB"/>
    <w:rsid w:val="00A21250"/>
    <w:rsid w:val="00A21332"/>
    <w:rsid w:val="00A21361"/>
    <w:rsid w:val="00A21385"/>
    <w:rsid w:val="00A2139C"/>
    <w:rsid w:val="00A2144E"/>
    <w:rsid w:val="00A21527"/>
    <w:rsid w:val="00A2152A"/>
    <w:rsid w:val="00A2154E"/>
    <w:rsid w:val="00A2163A"/>
    <w:rsid w:val="00A21669"/>
    <w:rsid w:val="00A21672"/>
    <w:rsid w:val="00A216EA"/>
    <w:rsid w:val="00A21715"/>
    <w:rsid w:val="00A2183B"/>
    <w:rsid w:val="00A21897"/>
    <w:rsid w:val="00A218BA"/>
    <w:rsid w:val="00A218EF"/>
    <w:rsid w:val="00A219C1"/>
    <w:rsid w:val="00A21A37"/>
    <w:rsid w:val="00A21B7B"/>
    <w:rsid w:val="00A21B89"/>
    <w:rsid w:val="00A21C34"/>
    <w:rsid w:val="00A21C89"/>
    <w:rsid w:val="00A21CB2"/>
    <w:rsid w:val="00A21CC5"/>
    <w:rsid w:val="00A21D0F"/>
    <w:rsid w:val="00A21D37"/>
    <w:rsid w:val="00A21D8D"/>
    <w:rsid w:val="00A21D96"/>
    <w:rsid w:val="00A21DD0"/>
    <w:rsid w:val="00A21DD6"/>
    <w:rsid w:val="00A21EFE"/>
    <w:rsid w:val="00A21F53"/>
    <w:rsid w:val="00A21F77"/>
    <w:rsid w:val="00A21F88"/>
    <w:rsid w:val="00A22014"/>
    <w:rsid w:val="00A22063"/>
    <w:rsid w:val="00A220BB"/>
    <w:rsid w:val="00A220E1"/>
    <w:rsid w:val="00A220F2"/>
    <w:rsid w:val="00A22110"/>
    <w:rsid w:val="00A2211A"/>
    <w:rsid w:val="00A22155"/>
    <w:rsid w:val="00A221E0"/>
    <w:rsid w:val="00A22235"/>
    <w:rsid w:val="00A22260"/>
    <w:rsid w:val="00A222B6"/>
    <w:rsid w:val="00A222C7"/>
    <w:rsid w:val="00A22397"/>
    <w:rsid w:val="00A223C8"/>
    <w:rsid w:val="00A2244E"/>
    <w:rsid w:val="00A224A9"/>
    <w:rsid w:val="00A224AE"/>
    <w:rsid w:val="00A224E3"/>
    <w:rsid w:val="00A2250E"/>
    <w:rsid w:val="00A2254B"/>
    <w:rsid w:val="00A22656"/>
    <w:rsid w:val="00A226C5"/>
    <w:rsid w:val="00A226C9"/>
    <w:rsid w:val="00A22734"/>
    <w:rsid w:val="00A22750"/>
    <w:rsid w:val="00A22770"/>
    <w:rsid w:val="00A22916"/>
    <w:rsid w:val="00A229A4"/>
    <w:rsid w:val="00A229F9"/>
    <w:rsid w:val="00A22A16"/>
    <w:rsid w:val="00A22A42"/>
    <w:rsid w:val="00A22ABF"/>
    <w:rsid w:val="00A22B24"/>
    <w:rsid w:val="00A22B7C"/>
    <w:rsid w:val="00A22B89"/>
    <w:rsid w:val="00A22BF0"/>
    <w:rsid w:val="00A22C15"/>
    <w:rsid w:val="00A22C6B"/>
    <w:rsid w:val="00A22D33"/>
    <w:rsid w:val="00A22D3C"/>
    <w:rsid w:val="00A22D8E"/>
    <w:rsid w:val="00A22D95"/>
    <w:rsid w:val="00A22DAF"/>
    <w:rsid w:val="00A22E09"/>
    <w:rsid w:val="00A22E86"/>
    <w:rsid w:val="00A22EFF"/>
    <w:rsid w:val="00A22F01"/>
    <w:rsid w:val="00A22F45"/>
    <w:rsid w:val="00A22F77"/>
    <w:rsid w:val="00A22F93"/>
    <w:rsid w:val="00A22FB9"/>
    <w:rsid w:val="00A22FD5"/>
    <w:rsid w:val="00A2300A"/>
    <w:rsid w:val="00A23072"/>
    <w:rsid w:val="00A230A3"/>
    <w:rsid w:val="00A23162"/>
    <w:rsid w:val="00A23172"/>
    <w:rsid w:val="00A2319F"/>
    <w:rsid w:val="00A231E1"/>
    <w:rsid w:val="00A23231"/>
    <w:rsid w:val="00A23243"/>
    <w:rsid w:val="00A2324C"/>
    <w:rsid w:val="00A23257"/>
    <w:rsid w:val="00A23268"/>
    <w:rsid w:val="00A23291"/>
    <w:rsid w:val="00A23305"/>
    <w:rsid w:val="00A23316"/>
    <w:rsid w:val="00A23349"/>
    <w:rsid w:val="00A2335A"/>
    <w:rsid w:val="00A23412"/>
    <w:rsid w:val="00A23458"/>
    <w:rsid w:val="00A234A4"/>
    <w:rsid w:val="00A234DA"/>
    <w:rsid w:val="00A234EE"/>
    <w:rsid w:val="00A23627"/>
    <w:rsid w:val="00A2365E"/>
    <w:rsid w:val="00A2368E"/>
    <w:rsid w:val="00A23694"/>
    <w:rsid w:val="00A2372A"/>
    <w:rsid w:val="00A23777"/>
    <w:rsid w:val="00A2383B"/>
    <w:rsid w:val="00A23887"/>
    <w:rsid w:val="00A238A8"/>
    <w:rsid w:val="00A238B3"/>
    <w:rsid w:val="00A23941"/>
    <w:rsid w:val="00A23978"/>
    <w:rsid w:val="00A239B6"/>
    <w:rsid w:val="00A23A04"/>
    <w:rsid w:val="00A23A30"/>
    <w:rsid w:val="00A23A5F"/>
    <w:rsid w:val="00A23A68"/>
    <w:rsid w:val="00A23A7F"/>
    <w:rsid w:val="00A23AFB"/>
    <w:rsid w:val="00A23B1F"/>
    <w:rsid w:val="00A23B26"/>
    <w:rsid w:val="00A23C2F"/>
    <w:rsid w:val="00A23CEA"/>
    <w:rsid w:val="00A23CED"/>
    <w:rsid w:val="00A23D5E"/>
    <w:rsid w:val="00A23D78"/>
    <w:rsid w:val="00A23E17"/>
    <w:rsid w:val="00A23E5F"/>
    <w:rsid w:val="00A23F21"/>
    <w:rsid w:val="00A23F27"/>
    <w:rsid w:val="00A23F77"/>
    <w:rsid w:val="00A23F9C"/>
    <w:rsid w:val="00A23FAC"/>
    <w:rsid w:val="00A23FB2"/>
    <w:rsid w:val="00A23FC1"/>
    <w:rsid w:val="00A2405D"/>
    <w:rsid w:val="00A2407F"/>
    <w:rsid w:val="00A24154"/>
    <w:rsid w:val="00A24168"/>
    <w:rsid w:val="00A241B4"/>
    <w:rsid w:val="00A241B5"/>
    <w:rsid w:val="00A24211"/>
    <w:rsid w:val="00A2423A"/>
    <w:rsid w:val="00A242A6"/>
    <w:rsid w:val="00A242DB"/>
    <w:rsid w:val="00A2433C"/>
    <w:rsid w:val="00A2434F"/>
    <w:rsid w:val="00A2437A"/>
    <w:rsid w:val="00A243B1"/>
    <w:rsid w:val="00A24412"/>
    <w:rsid w:val="00A2442D"/>
    <w:rsid w:val="00A2444C"/>
    <w:rsid w:val="00A24461"/>
    <w:rsid w:val="00A2447B"/>
    <w:rsid w:val="00A2449D"/>
    <w:rsid w:val="00A244AA"/>
    <w:rsid w:val="00A244E3"/>
    <w:rsid w:val="00A24653"/>
    <w:rsid w:val="00A2467C"/>
    <w:rsid w:val="00A24730"/>
    <w:rsid w:val="00A24772"/>
    <w:rsid w:val="00A247DD"/>
    <w:rsid w:val="00A2480F"/>
    <w:rsid w:val="00A2481C"/>
    <w:rsid w:val="00A2483A"/>
    <w:rsid w:val="00A24841"/>
    <w:rsid w:val="00A24882"/>
    <w:rsid w:val="00A248C7"/>
    <w:rsid w:val="00A248DA"/>
    <w:rsid w:val="00A24930"/>
    <w:rsid w:val="00A24934"/>
    <w:rsid w:val="00A24959"/>
    <w:rsid w:val="00A24A4B"/>
    <w:rsid w:val="00A24A72"/>
    <w:rsid w:val="00A24B00"/>
    <w:rsid w:val="00A24B92"/>
    <w:rsid w:val="00A24BB3"/>
    <w:rsid w:val="00A24BC9"/>
    <w:rsid w:val="00A24CE2"/>
    <w:rsid w:val="00A24DE3"/>
    <w:rsid w:val="00A24E89"/>
    <w:rsid w:val="00A24ED8"/>
    <w:rsid w:val="00A24F45"/>
    <w:rsid w:val="00A24F5E"/>
    <w:rsid w:val="00A25051"/>
    <w:rsid w:val="00A250EB"/>
    <w:rsid w:val="00A25108"/>
    <w:rsid w:val="00A25152"/>
    <w:rsid w:val="00A25232"/>
    <w:rsid w:val="00A25235"/>
    <w:rsid w:val="00A252DF"/>
    <w:rsid w:val="00A252E1"/>
    <w:rsid w:val="00A25309"/>
    <w:rsid w:val="00A2538E"/>
    <w:rsid w:val="00A253C8"/>
    <w:rsid w:val="00A253DF"/>
    <w:rsid w:val="00A253F3"/>
    <w:rsid w:val="00A2546D"/>
    <w:rsid w:val="00A2547C"/>
    <w:rsid w:val="00A2547E"/>
    <w:rsid w:val="00A254CE"/>
    <w:rsid w:val="00A25514"/>
    <w:rsid w:val="00A25577"/>
    <w:rsid w:val="00A2559C"/>
    <w:rsid w:val="00A255C8"/>
    <w:rsid w:val="00A255F6"/>
    <w:rsid w:val="00A25649"/>
    <w:rsid w:val="00A2567D"/>
    <w:rsid w:val="00A256D3"/>
    <w:rsid w:val="00A2571C"/>
    <w:rsid w:val="00A257AC"/>
    <w:rsid w:val="00A25848"/>
    <w:rsid w:val="00A2586F"/>
    <w:rsid w:val="00A25878"/>
    <w:rsid w:val="00A2587F"/>
    <w:rsid w:val="00A2588D"/>
    <w:rsid w:val="00A258CD"/>
    <w:rsid w:val="00A25918"/>
    <w:rsid w:val="00A25936"/>
    <w:rsid w:val="00A25937"/>
    <w:rsid w:val="00A259CF"/>
    <w:rsid w:val="00A259D6"/>
    <w:rsid w:val="00A259EC"/>
    <w:rsid w:val="00A25A9A"/>
    <w:rsid w:val="00A25ADF"/>
    <w:rsid w:val="00A25B29"/>
    <w:rsid w:val="00A25B46"/>
    <w:rsid w:val="00A25BB8"/>
    <w:rsid w:val="00A25C65"/>
    <w:rsid w:val="00A25CEB"/>
    <w:rsid w:val="00A25CEF"/>
    <w:rsid w:val="00A25D11"/>
    <w:rsid w:val="00A25DFB"/>
    <w:rsid w:val="00A25E4A"/>
    <w:rsid w:val="00A25E5C"/>
    <w:rsid w:val="00A25E72"/>
    <w:rsid w:val="00A25E7A"/>
    <w:rsid w:val="00A25EDA"/>
    <w:rsid w:val="00A25F27"/>
    <w:rsid w:val="00A25F40"/>
    <w:rsid w:val="00A25F8E"/>
    <w:rsid w:val="00A26041"/>
    <w:rsid w:val="00A26079"/>
    <w:rsid w:val="00A260AB"/>
    <w:rsid w:val="00A260B8"/>
    <w:rsid w:val="00A260D8"/>
    <w:rsid w:val="00A2614B"/>
    <w:rsid w:val="00A2615B"/>
    <w:rsid w:val="00A26169"/>
    <w:rsid w:val="00A261F0"/>
    <w:rsid w:val="00A2621B"/>
    <w:rsid w:val="00A26266"/>
    <w:rsid w:val="00A2627B"/>
    <w:rsid w:val="00A26285"/>
    <w:rsid w:val="00A262C5"/>
    <w:rsid w:val="00A262D3"/>
    <w:rsid w:val="00A26344"/>
    <w:rsid w:val="00A263B6"/>
    <w:rsid w:val="00A263E0"/>
    <w:rsid w:val="00A26435"/>
    <w:rsid w:val="00A26530"/>
    <w:rsid w:val="00A265E6"/>
    <w:rsid w:val="00A2665B"/>
    <w:rsid w:val="00A2667E"/>
    <w:rsid w:val="00A266D1"/>
    <w:rsid w:val="00A26715"/>
    <w:rsid w:val="00A26724"/>
    <w:rsid w:val="00A26752"/>
    <w:rsid w:val="00A267BF"/>
    <w:rsid w:val="00A267CC"/>
    <w:rsid w:val="00A267DA"/>
    <w:rsid w:val="00A267F5"/>
    <w:rsid w:val="00A26829"/>
    <w:rsid w:val="00A2684A"/>
    <w:rsid w:val="00A2684B"/>
    <w:rsid w:val="00A2684E"/>
    <w:rsid w:val="00A268CA"/>
    <w:rsid w:val="00A268D0"/>
    <w:rsid w:val="00A26937"/>
    <w:rsid w:val="00A2694A"/>
    <w:rsid w:val="00A26969"/>
    <w:rsid w:val="00A2697D"/>
    <w:rsid w:val="00A269C3"/>
    <w:rsid w:val="00A269C6"/>
    <w:rsid w:val="00A26ABF"/>
    <w:rsid w:val="00A26B3F"/>
    <w:rsid w:val="00A26B4D"/>
    <w:rsid w:val="00A26B70"/>
    <w:rsid w:val="00A26B7B"/>
    <w:rsid w:val="00A26BA2"/>
    <w:rsid w:val="00A26BA4"/>
    <w:rsid w:val="00A26C22"/>
    <w:rsid w:val="00A26C2C"/>
    <w:rsid w:val="00A26C57"/>
    <w:rsid w:val="00A26C7E"/>
    <w:rsid w:val="00A26C88"/>
    <w:rsid w:val="00A26D01"/>
    <w:rsid w:val="00A26D2C"/>
    <w:rsid w:val="00A26E14"/>
    <w:rsid w:val="00A26E97"/>
    <w:rsid w:val="00A26E9F"/>
    <w:rsid w:val="00A26EB2"/>
    <w:rsid w:val="00A26F3E"/>
    <w:rsid w:val="00A26FCA"/>
    <w:rsid w:val="00A26FCE"/>
    <w:rsid w:val="00A26FD2"/>
    <w:rsid w:val="00A26FF4"/>
    <w:rsid w:val="00A2704D"/>
    <w:rsid w:val="00A270B2"/>
    <w:rsid w:val="00A270D4"/>
    <w:rsid w:val="00A270D9"/>
    <w:rsid w:val="00A270EC"/>
    <w:rsid w:val="00A27109"/>
    <w:rsid w:val="00A2714F"/>
    <w:rsid w:val="00A27177"/>
    <w:rsid w:val="00A271EA"/>
    <w:rsid w:val="00A27201"/>
    <w:rsid w:val="00A272D9"/>
    <w:rsid w:val="00A2732B"/>
    <w:rsid w:val="00A2734C"/>
    <w:rsid w:val="00A27360"/>
    <w:rsid w:val="00A2736E"/>
    <w:rsid w:val="00A273AA"/>
    <w:rsid w:val="00A273D4"/>
    <w:rsid w:val="00A273E9"/>
    <w:rsid w:val="00A2743E"/>
    <w:rsid w:val="00A27447"/>
    <w:rsid w:val="00A27469"/>
    <w:rsid w:val="00A27472"/>
    <w:rsid w:val="00A27477"/>
    <w:rsid w:val="00A274F5"/>
    <w:rsid w:val="00A27552"/>
    <w:rsid w:val="00A27584"/>
    <w:rsid w:val="00A275EE"/>
    <w:rsid w:val="00A275FA"/>
    <w:rsid w:val="00A2760B"/>
    <w:rsid w:val="00A2761F"/>
    <w:rsid w:val="00A2768B"/>
    <w:rsid w:val="00A276F7"/>
    <w:rsid w:val="00A2779F"/>
    <w:rsid w:val="00A27846"/>
    <w:rsid w:val="00A27874"/>
    <w:rsid w:val="00A27875"/>
    <w:rsid w:val="00A278C4"/>
    <w:rsid w:val="00A2790C"/>
    <w:rsid w:val="00A27968"/>
    <w:rsid w:val="00A279E1"/>
    <w:rsid w:val="00A27B33"/>
    <w:rsid w:val="00A27B7C"/>
    <w:rsid w:val="00A27B85"/>
    <w:rsid w:val="00A27BB6"/>
    <w:rsid w:val="00A27BD8"/>
    <w:rsid w:val="00A27BDD"/>
    <w:rsid w:val="00A27C00"/>
    <w:rsid w:val="00A27C17"/>
    <w:rsid w:val="00A27C3B"/>
    <w:rsid w:val="00A27C5F"/>
    <w:rsid w:val="00A27C66"/>
    <w:rsid w:val="00A27CC0"/>
    <w:rsid w:val="00A27CCC"/>
    <w:rsid w:val="00A27D35"/>
    <w:rsid w:val="00A27D70"/>
    <w:rsid w:val="00A27DB4"/>
    <w:rsid w:val="00A27DD1"/>
    <w:rsid w:val="00A27E1A"/>
    <w:rsid w:val="00A27E6D"/>
    <w:rsid w:val="00A27E9B"/>
    <w:rsid w:val="00A27EFE"/>
    <w:rsid w:val="00A27F01"/>
    <w:rsid w:val="00A27FAE"/>
    <w:rsid w:val="00A27FC9"/>
    <w:rsid w:val="00A27FFC"/>
    <w:rsid w:val="00A3002A"/>
    <w:rsid w:val="00A3002C"/>
    <w:rsid w:val="00A3003E"/>
    <w:rsid w:val="00A300ED"/>
    <w:rsid w:val="00A3018F"/>
    <w:rsid w:val="00A3021A"/>
    <w:rsid w:val="00A3030F"/>
    <w:rsid w:val="00A30367"/>
    <w:rsid w:val="00A30368"/>
    <w:rsid w:val="00A3036C"/>
    <w:rsid w:val="00A303CA"/>
    <w:rsid w:val="00A303FA"/>
    <w:rsid w:val="00A3048F"/>
    <w:rsid w:val="00A304A8"/>
    <w:rsid w:val="00A304FE"/>
    <w:rsid w:val="00A3051C"/>
    <w:rsid w:val="00A30564"/>
    <w:rsid w:val="00A305B3"/>
    <w:rsid w:val="00A305D3"/>
    <w:rsid w:val="00A30626"/>
    <w:rsid w:val="00A30652"/>
    <w:rsid w:val="00A30661"/>
    <w:rsid w:val="00A30776"/>
    <w:rsid w:val="00A307BB"/>
    <w:rsid w:val="00A3082E"/>
    <w:rsid w:val="00A3087A"/>
    <w:rsid w:val="00A308A9"/>
    <w:rsid w:val="00A308E2"/>
    <w:rsid w:val="00A30923"/>
    <w:rsid w:val="00A3092B"/>
    <w:rsid w:val="00A30940"/>
    <w:rsid w:val="00A30942"/>
    <w:rsid w:val="00A30989"/>
    <w:rsid w:val="00A3099F"/>
    <w:rsid w:val="00A30A02"/>
    <w:rsid w:val="00A30A48"/>
    <w:rsid w:val="00A30AA8"/>
    <w:rsid w:val="00A30AF1"/>
    <w:rsid w:val="00A30AF3"/>
    <w:rsid w:val="00A30B29"/>
    <w:rsid w:val="00A30B6C"/>
    <w:rsid w:val="00A30B72"/>
    <w:rsid w:val="00A30B99"/>
    <w:rsid w:val="00A30C3E"/>
    <w:rsid w:val="00A30C44"/>
    <w:rsid w:val="00A30CFD"/>
    <w:rsid w:val="00A30D55"/>
    <w:rsid w:val="00A30DE3"/>
    <w:rsid w:val="00A30E35"/>
    <w:rsid w:val="00A30E56"/>
    <w:rsid w:val="00A30ED8"/>
    <w:rsid w:val="00A30EF2"/>
    <w:rsid w:val="00A30F48"/>
    <w:rsid w:val="00A30F67"/>
    <w:rsid w:val="00A30F8D"/>
    <w:rsid w:val="00A30FB5"/>
    <w:rsid w:val="00A30FE5"/>
    <w:rsid w:val="00A31081"/>
    <w:rsid w:val="00A31117"/>
    <w:rsid w:val="00A31151"/>
    <w:rsid w:val="00A31167"/>
    <w:rsid w:val="00A311C1"/>
    <w:rsid w:val="00A311E4"/>
    <w:rsid w:val="00A31217"/>
    <w:rsid w:val="00A3121B"/>
    <w:rsid w:val="00A31247"/>
    <w:rsid w:val="00A3126F"/>
    <w:rsid w:val="00A31275"/>
    <w:rsid w:val="00A31293"/>
    <w:rsid w:val="00A3129C"/>
    <w:rsid w:val="00A31320"/>
    <w:rsid w:val="00A31352"/>
    <w:rsid w:val="00A31373"/>
    <w:rsid w:val="00A31389"/>
    <w:rsid w:val="00A3138B"/>
    <w:rsid w:val="00A313A0"/>
    <w:rsid w:val="00A313AB"/>
    <w:rsid w:val="00A313C7"/>
    <w:rsid w:val="00A313EB"/>
    <w:rsid w:val="00A31450"/>
    <w:rsid w:val="00A3151A"/>
    <w:rsid w:val="00A31520"/>
    <w:rsid w:val="00A31524"/>
    <w:rsid w:val="00A31539"/>
    <w:rsid w:val="00A31594"/>
    <w:rsid w:val="00A315A4"/>
    <w:rsid w:val="00A3163E"/>
    <w:rsid w:val="00A31649"/>
    <w:rsid w:val="00A3170C"/>
    <w:rsid w:val="00A31750"/>
    <w:rsid w:val="00A31833"/>
    <w:rsid w:val="00A31852"/>
    <w:rsid w:val="00A3186D"/>
    <w:rsid w:val="00A31891"/>
    <w:rsid w:val="00A31897"/>
    <w:rsid w:val="00A31898"/>
    <w:rsid w:val="00A31939"/>
    <w:rsid w:val="00A31A08"/>
    <w:rsid w:val="00A31A1F"/>
    <w:rsid w:val="00A31A80"/>
    <w:rsid w:val="00A31B3C"/>
    <w:rsid w:val="00A31B52"/>
    <w:rsid w:val="00A31BA0"/>
    <w:rsid w:val="00A31BA6"/>
    <w:rsid w:val="00A31BA9"/>
    <w:rsid w:val="00A31BCB"/>
    <w:rsid w:val="00A31BE7"/>
    <w:rsid w:val="00A31CD7"/>
    <w:rsid w:val="00A31D51"/>
    <w:rsid w:val="00A31D80"/>
    <w:rsid w:val="00A31DDE"/>
    <w:rsid w:val="00A31E35"/>
    <w:rsid w:val="00A31E37"/>
    <w:rsid w:val="00A31E3F"/>
    <w:rsid w:val="00A31E5F"/>
    <w:rsid w:val="00A31ED1"/>
    <w:rsid w:val="00A31EFB"/>
    <w:rsid w:val="00A31F4E"/>
    <w:rsid w:val="00A31F81"/>
    <w:rsid w:val="00A31FE7"/>
    <w:rsid w:val="00A32093"/>
    <w:rsid w:val="00A3209D"/>
    <w:rsid w:val="00A32147"/>
    <w:rsid w:val="00A322AA"/>
    <w:rsid w:val="00A3233F"/>
    <w:rsid w:val="00A32360"/>
    <w:rsid w:val="00A323D0"/>
    <w:rsid w:val="00A323F3"/>
    <w:rsid w:val="00A32406"/>
    <w:rsid w:val="00A3245E"/>
    <w:rsid w:val="00A32493"/>
    <w:rsid w:val="00A324B5"/>
    <w:rsid w:val="00A32536"/>
    <w:rsid w:val="00A32563"/>
    <w:rsid w:val="00A32588"/>
    <w:rsid w:val="00A326AA"/>
    <w:rsid w:val="00A326DC"/>
    <w:rsid w:val="00A3270A"/>
    <w:rsid w:val="00A3279F"/>
    <w:rsid w:val="00A327D5"/>
    <w:rsid w:val="00A3287B"/>
    <w:rsid w:val="00A328A4"/>
    <w:rsid w:val="00A328CC"/>
    <w:rsid w:val="00A328E1"/>
    <w:rsid w:val="00A32931"/>
    <w:rsid w:val="00A3293D"/>
    <w:rsid w:val="00A329AD"/>
    <w:rsid w:val="00A32A7B"/>
    <w:rsid w:val="00A32ADC"/>
    <w:rsid w:val="00A32B68"/>
    <w:rsid w:val="00A32BFE"/>
    <w:rsid w:val="00A32C8B"/>
    <w:rsid w:val="00A32CE9"/>
    <w:rsid w:val="00A32CF2"/>
    <w:rsid w:val="00A32D1B"/>
    <w:rsid w:val="00A32D34"/>
    <w:rsid w:val="00A32DEB"/>
    <w:rsid w:val="00A32E52"/>
    <w:rsid w:val="00A32E6C"/>
    <w:rsid w:val="00A32E77"/>
    <w:rsid w:val="00A32EE0"/>
    <w:rsid w:val="00A32EF0"/>
    <w:rsid w:val="00A32F00"/>
    <w:rsid w:val="00A32F0E"/>
    <w:rsid w:val="00A32F74"/>
    <w:rsid w:val="00A33016"/>
    <w:rsid w:val="00A3301D"/>
    <w:rsid w:val="00A33025"/>
    <w:rsid w:val="00A330FC"/>
    <w:rsid w:val="00A3312C"/>
    <w:rsid w:val="00A33152"/>
    <w:rsid w:val="00A33182"/>
    <w:rsid w:val="00A331A9"/>
    <w:rsid w:val="00A331CB"/>
    <w:rsid w:val="00A33324"/>
    <w:rsid w:val="00A33339"/>
    <w:rsid w:val="00A3335A"/>
    <w:rsid w:val="00A33492"/>
    <w:rsid w:val="00A334A4"/>
    <w:rsid w:val="00A33524"/>
    <w:rsid w:val="00A3356C"/>
    <w:rsid w:val="00A33599"/>
    <w:rsid w:val="00A335C7"/>
    <w:rsid w:val="00A335FF"/>
    <w:rsid w:val="00A33615"/>
    <w:rsid w:val="00A3363A"/>
    <w:rsid w:val="00A3379F"/>
    <w:rsid w:val="00A337A9"/>
    <w:rsid w:val="00A337D7"/>
    <w:rsid w:val="00A338BE"/>
    <w:rsid w:val="00A338C1"/>
    <w:rsid w:val="00A338C2"/>
    <w:rsid w:val="00A338C6"/>
    <w:rsid w:val="00A338CE"/>
    <w:rsid w:val="00A338DE"/>
    <w:rsid w:val="00A3390F"/>
    <w:rsid w:val="00A3392B"/>
    <w:rsid w:val="00A3397D"/>
    <w:rsid w:val="00A33A1E"/>
    <w:rsid w:val="00A33A39"/>
    <w:rsid w:val="00A33A75"/>
    <w:rsid w:val="00A33B1B"/>
    <w:rsid w:val="00A33BC3"/>
    <w:rsid w:val="00A33BDD"/>
    <w:rsid w:val="00A33BE4"/>
    <w:rsid w:val="00A33C9F"/>
    <w:rsid w:val="00A33CEE"/>
    <w:rsid w:val="00A33D12"/>
    <w:rsid w:val="00A33D69"/>
    <w:rsid w:val="00A33DC9"/>
    <w:rsid w:val="00A33E15"/>
    <w:rsid w:val="00A33E56"/>
    <w:rsid w:val="00A33E70"/>
    <w:rsid w:val="00A33FA4"/>
    <w:rsid w:val="00A33FB7"/>
    <w:rsid w:val="00A33FE0"/>
    <w:rsid w:val="00A34030"/>
    <w:rsid w:val="00A34063"/>
    <w:rsid w:val="00A340C5"/>
    <w:rsid w:val="00A34117"/>
    <w:rsid w:val="00A34148"/>
    <w:rsid w:val="00A341A8"/>
    <w:rsid w:val="00A341DD"/>
    <w:rsid w:val="00A341E2"/>
    <w:rsid w:val="00A34201"/>
    <w:rsid w:val="00A34233"/>
    <w:rsid w:val="00A34241"/>
    <w:rsid w:val="00A34324"/>
    <w:rsid w:val="00A3432A"/>
    <w:rsid w:val="00A3433A"/>
    <w:rsid w:val="00A34366"/>
    <w:rsid w:val="00A343A2"/>
    <w:rsid w:val="00A34472"/>
    <w:rsid w:val="00A3452C"/>
    <w:rsid w:val="00A3456C"/>
    <w:rsid w:val="00A34581"/>
    <w:rsid w:val="00A345E5"/>
    <w:rsid w:val="00A34621"/>
    <w:rsid w:val="00A34649"/>
    <w:rsid w:val="00A34656"/>
    <w:rsid w:val="00A3468C"/>
    <w:rsid w:val="00A34696"/>
    <w:rsid w:val="00A346B4"/>
    <w:rsid w:val="00A346F9"/>
    <w:rsid w:val="00A3477B"/>
    <w:rsid w:val="00A347B5"/>
    <w:rsid w:val="00A347F3"/>
    <w:rsid w:val="00A349DB"/>
    <w:rsid w:val="00A349FC"/>
    <w:rsid w:val="00A34A33"/>
    <w:rsid w:val="00A34A62"/>
    <w:rsid w:val="00A34AC9"/>
    <w:rsid w:val="00A34AD7"/>
    <w:rsid w:val="00A34B0A"/>
    <w:rsid w:val="00A34B6C"/>
    <w:rsid w:val="00A34B88"/>
    <w:rsid w:val="00A34BA9"/>
    <w:rsid w:val="00A34BF4"/>
    <w:rsid w:val="00A34C4A"/>
    <w:rsid w:val="00A34CBC"/>
    <w:rsid w:val="00A34D18"/>
    <w:rsid w:val="00A34D22"/>
    <w:rsid w:val="00A34DAC"/>
    <w:rsid w:val="00A34DC1"/>
    <w:rsid w:val="00A34EED"/>
    <w:rsid w:val="00A34F01"/>
    <w:rsid w:val="00A34F61"/>
    <w:rsid w:val="00A34F62"/>
    <w:rsid w:val="00A34F8A"/>
    <w:rsid w:val="00A34FDD"/>
    <w:rsid w:val="00A35031"/>
    <w:rsid w:val="00A3508B"/>
    <w:rsid w:val="00A350B3"/>
    <w:rsid w:val="00A3510A"/>
    <w:rsid w:val="00A3518D"/>
    <w:rsid w:val="00A351C2"/>
    <w:rsid w:val="00A351DD"/>
    <w:rsid w:val="00A3524E"/>
    <w:rsid w:val="00A352A2"/>
    <w:rsid w:val="00A352BE"/>
    <w:rsid w:val="00A352C9"/>
    <w:rsid w:val="00A3532F"/>
    <w:rsid w:val="00A35382"/>
    <w:rsid w:val="00A35385"/>
    <w:rsid w:val="00A3538A"/>
    <w:rsid w:val="00A3538B"/>
    <w:rsid w:val="00A3539F"/>
    <w:rsid w:val="00A353C0"/>
    <w:rsid w:val="00A353DB"/>
    <w:rsid w:val="00A353DC"/>
    <w:rsid w:val="00A353FD"/>
    <w:rsid w:val="00A3544E"/>
    <w:rsid w:val="00A3545C"/>
    <w:rsid w:val="00A3547E"/>
    <w:rsid w:val="00A35482"/>
    <w:rsid w:val="00A3549C"/>
    <w:rsid w:val="00A354B4"/>
    <w:rsid w:val="00A354C8"/>
    <w:rsid w:val="00A354FA"/>
    <w:rsid w:val="00A3554C"/>
    <w:rsid w:val="00A3557F"/>
    <w:rsid w:val="00A35585"/>
    <w:rsid w:val="00A3558E"/>
    <w:rsid w:val="00A355B0"/>
    <w:rsid w:val="00A355C1"/>
    <w:rsid w:val="00A35608"/>
    <w:rsid w:val="00A3565A"/>
    <w:rsid w:val="00A356B0"/>
    <w:rsid w:val="00A3571D"/>
    <w:rsid w:val="00A3574D"/>
    <w:rsid w:val="00A357EB"/>
    <w:rsid w:val="00A3585E"/>
    <w:rsid w:val="00A358C8"/>
    <w:rsid w:val="00A35910"/>
    <w:rsid w:val="00A3593D"/>
    <w:rsid w:val="00A3594C"/>
    <w:rsid w:val="00A359C7"/>
    <w:rsid w:val="00A35A20"/>
    <w:rsid w:val="00A35A8C"/>
    <w:rsid w:val="00A35B94"/>
    <w:rsid w:val="00A35BE1"/>
    <w:rsid w:val="00A35C3C"/>
    <w:rsid w:val="00A35D36"/>
    <w:rsid w:val="00A35DBB"/>
    <w:rsid w:val="00A35E45"/>
    <w:rsid w:val="00A35E8C"/>
    <w:rsid w:val="00A35EC2"/>
    <w:rsid w:val="00A35F22"/>
    <w:rsid w:val="00A35F2C"/>
    <w:rsid w:val="00A35F46"/>
    <w:rsid w:val="00A35F7B"/>
    <w:rsid w:val="00A35F9B"/>
    <w:rsid w:val="00A35FA5"/>
    <w:rsid w:val="00A35FBD"/>
    <w:rsid w:val="00A35FDB"/>
    <w:rsid w:val="00A35FE8"/>
    <w:rsid w:val="00A36063"/>
    <w:rsid w:val="00A360A6"/>
    <w:rsid w:val="00A360D3"/>
    <w:rsid w:val="00A360F4"/>
    <w:rsid w:val="00A3614D"/>
    <w:rsid w:val="00A3615D"/>
    <w:rsid w:val="00A3623F"/>
    <w:rsid w:val="00A3628F"/>
    <w:rsid w:val="00A36298"/>
    <w:rsid w:val="00A362B5"/>
    <w:rsid w:val="00A363F6"/>
    <w:rsid w:val="00A3640C"/>
    <w:rsid w:val="00A36411"/>
    <w:rsid w:val="00A36443"/>
    <w:rsid w:val="00A36478"/>
    <w:rsid w:val="00A364E6"/>
    <w:rsid w:val="00A36500"/>
    <w:rsid w:val="00A36530"/>
    <w:rsid w:val="00A3656C"/>
    <w:rsid w:val="00A36575"/>
    <w:rsid w:val="00A3658A"/>
    <w:rsid w:val="00A36631"/>
    <w:rsid w:val="00A36649"/>
    <w:rsid w:val="00A36665"/>
    <w:rsid w:val="00A36667"/>
    <w:rsid w:val="00A36677"/>
    <w:rsid w:val="00A36678"/>
    <w:rsid w:val="00A36687"/>
    <w:rsid w:val="00A366F5"/>
    <w:rsid w:val="00A36745"/>
    <w:rsid w:val="00A36780"/>
    <w:rsid w:val="00A367E7"/>
    <w:rsid w:val="00A367F6"/>
    <w:rsid w:val="00A36800"/>
    <w:rsid w:val="00A36864"/>
    <w:rsid w:val="00A368C2"/>
    <w:rsid w:val="00A36935"/>
    <w:rsid w:val="00A369CE"/>
    <w:rsid w:val="00A36A14"/>
    <w:rsid w:val="00A36A55"/>
    <w:rsid w:val="00A36B14"/>
    <w:rsid w:val="00A36B35"/>
    <w:rsid w:val="00A36B4A"/>
    <w:rsid w:val="00A36B72"/>
    <w:rsid w:val="00A36B74"/>
    <w:rsid w:val="00A36B89"/>
    <w:rsid w:val="00A36C55"/>
    <w:rsid w:val="00A36CF6"/>
    <w:rsid w:val="00A36D4C"/>
    <w:rsid w:val="00A36DCA"/>
    <w:rsid w:val="00A36E07"/>
    <w:rsid w:val="00A36EB0"/>
    <w:rsid w:val="00A36EF7"/>
    <w:rsid w:val="00A36F09"/>
    <w:rsid w:val="00A36F29"/>
    <w:rsid w:val="00A36F51"/>
    <w:rsid w:val="00A37013"/>
    <w:rsid w:val="00A37024"/>
    <w:rsid w:val="00A370FC"/>
    <w:rsid w:val="00A37147"/>
    <w:rsid w:val="00A3715A"/>
    <w:rsid w:val="00A3716A"/>
    <w:rsid w:val="00A371A4"/>
    <w:rsid w:val="00A371AC"/>
    <w:rsid w:val="00A37219"/>
    <w:rsid w:val="00A37258"/>
    <w:rsid w:val="00A37266"/>
    <w:rsid w:val="00A37281"/>
    <w:rsid w:val="00A37295"/>
    <w:rsid w:val="00A372A0"/>
    <w:rsid w:val="00A372A2"/>
    <w:rsid w:val="00A372E4"/>
    <w:rsid w:val="00A373DF"/>
    <w:rsid w:val="00A373FE"/>
    <w:rsid w:val="00A37490"/>
    <w:rsid w:val="00A374AF"/>
    <w:rsid w:val="00A37572"/>
    <w:rsid w:val="00A375EE"/>
    <w:rsid w:val="00A37630"/>
    <w:rsid w:val="00A37658"/>
    <w:rsid w:val="00A3765D"/>
    <w:rsid w:val="00A37682"/>
    <w:rsid w:val="00A3769D"/>
    <w:rsid w:val="00A376A7"/>
    <w:rsid w:val="00A376D9"/>
    <w:rsid w:val="00A377F1"/>
    <w:rsid w:val="00A378E5"/>
    <w:rsid w:val="00A37925"/>
    <w:rsid w:val="00A37928"/>
    <w:rsid w:val="00A37990"/>
    <w:rsid w:val="00A37A1C"/>
    <w:rsid w:val="00A37A44"/>
    <w:rsid w:val="00A37A72"/>
    <w:rsid w:val="00A37AA2"/>
    <w:rsid w:val="00A37AED"/>
    <w:rsid w:val="00A37B3A"/>
    <w:rsid w:val="00A37B54"/>
    <w:rsid w:val="00A37B5B"/>
    <w:rsid w:val="00A37B88"/>
    <w:rsid w:val="00A37BDC"/>
    <w:rsid w:val="00A37C05"/>
    <w:rsid w:val="00A37CB0"/>
    <w:rsid w:val="00A37CB8"/>
    <w:rsid w:val="00A37CD2"/>
    <w:rsid w:val="00A37CDB"/>
    <w:rsid w:val="00A37CDE"/>
    <w:rsid w:val="00A37CF9"/>
    <w:rsid w:val="00A37D0C"/>
    <w:rsid w:val="00A37D98"/>
    <w:rsid w:val="00A37DD0"/>
    <w:rsid w:val="00A37E9B"/>
    <w:rsid w:val="00A37EAE"/>
    <w:rsid w:val="00A37F94"/>
    <w:rsid w:val="00A40032"/>
    <w:rsid w:val="00A40035"/>
    <w:rsid w:val="00A400BB"/>
    <w:rsid w:val="00A400D5"/>
    <w:rsid w:val="00A40170"/>
    <w:rsid w:val="00A401B2"/>
    <w:rsid w:val="00A401DE"/>
    <w:rsid w:val="00A401E5"/>
    <w:rsid w:val="00A40221"/>
    <w:rsid w:val="00A4027E"/>
    <w:rsid w:val="00A40341"/>
    <w:rsid w:val="00A40388"/>
    <w:rsid w:val="00A403CA"/>
    <w:rsid w:val="00A4042E"/>
    <w:rsid w:val="00A40430"/>
    <w:rsid w:val="00A4043B"/>
    <w:rsid w:val="00A40487"/>
    <w:rsid w:val="00A40499"/>
    <w:rsid w:val="00A404C5"/>
    <w:rsid w:val="00A404C8"/>
    <w:rsid w:val="00A4052B"/>
    <w:rsid w:val="00A40594"/>
    <w:rsid w:val="00A405DE"/>
    <w:rsid w:val="00A4062E"/>
    <w:rsid w:val="00A4066D"/>
    <w:rsid w:val="00A40686"/>
    <w:rsid w:val="00A40689"/>
    <w:rsid w:val="00A406C2"/>
    <w:rsid w:val="00A40788"/>
    <w:rsid w:val="00A40827"/>
    <w:rsid w:val="00A40844"/>
    <w:rsid w:val="00A4088C"/>
    <w:rsid w:val="00A408AB"/>
    <w:rsid w:val="00A408AD"/>
    <w:rsid w:val="00A4091A"/>
    <w:rsid w:val="00A40A0A"/>
    <w:rsid w:val="00A40A1B"/>
    <w:rsid w:val="00A40A61"/>
    <w:rsid w:val="00A40A97"/>
    <w:rsid w:val="00A40AF5"/>
    <w:rsid w:val="00A40B35"/>
    <w:rsid w:val="00A40B6F"/>
    <w:rsid w:val="00A40B73"/>
    <w:rsid w:val="00A40C14"/>
    <w:rsid w:val="00A40C52"/>
    <w:rsid w:val="00A40C8A"/>
    <w:rsid w:val="00A40CD6"/>
    <w:rsid w:val="00A40CE8"/>
    <w:rsid w:val="00A40D5A"/>
    <w:rsid w:val="00A40D61"/>
    <w:rsid w:val="00A40DA7"/>
    <w:rsid w:val="00A40DCD"/>
    <w:rsid w:val="00A40DD5"/>
    <w:rsid w:val="00A40DE0"/>
    <w:rsid w:val="00A40DEB"/>
    <w:rsid w:val="00A40E42"/>
    <w:rsid w:val="00A40E9B"/>
    <w:rsid w:val="00A40EB3"/>
    <w:rsid w:val="00A40ED6"/>
    <w:rsid w:val="00A40FC5"/>
    <w:rsid w:val="00A40FD6"/>
    <w:rsid w:val="00A41015"/>
    <w:rsid w:val="00A41062"/>
    <w:rsid w:val="00A410DC"/>
    <w:rsid w:val="00A41105"/>
    <w:rsid w:val="00A41113"/>
    <w:rsid w:val="00A41185"/>
    <w:rsid w:val="00A41191"/>
    <w:rsid w:val="00A41210"/>
    <w:rsid w:val="00A412DC"/>
    <w:rsid w:val="00A412F4"/>
    <w:rsid w:val="00A413D0"/>
    <w:rsid w:val="00A41402"/>
    <w:rsid w:val="00A4143E"/>
    <w:rsid w:val="00A41446"/>
    <w:rsid w:val="00A4144A"/>
    <w:rsid w:val="00A41453"/>
    <w:rsid w:val="00A41481"/>
    <w:rsid w:val="00A414A0"/>
    <w:rsid w:val="00A414DE"/>
    <w:rsid w:val="00A41529"/>
    <w:rsid w:val="00A4160D"/>
    <w:rsid w:val="00A4161D"/>
    <w:rsid w:val="00A41659"/>
    <w:rsid w:val="00A416DE"/>
    <w:rsid w:val="00A416F5"/>
    <w:rsid w:val="00A41746"/>
    <w:rsid w:val="00A4175B"/>
    <w:rsid w:val="00A417C7"/>
    <w:rsid w:val="00A41852"/>
    <w:rsid w:val="00A41861"/>
    <w:rsid w:val="00A41867"/>
    <w:rsid w:val="00A41975"/>
    <w:rsid w:val="00A41978"/>
    <w:rsid w:val="00A41997"/>
    <w:rsid w:val="00A419BD"/>
    <w:rsid w:val="00A419BF"/>
    <w:rsid w:val="00A41A11"/>
    <w:rsid w:val="00A41A23"/>
    <w:rsid w:val="00A41AA2"/>
    <w:rsid w:val="00A41AD5"/>
    <w:rsid w:val="00A41B1C"/>
    <w:rsid w:val="00A41B2D"/>
    <w:rsid w:val="00A41BE8"/>
    <w:rsid w:val="00A41C05"/>
    <w:rsid w:val="00A41C51"/>
    <w:rsid w:val="00A41CB8"/>
    <w:rsid w:val="00A41CB9"/>
    <w:rsid w:val="00A41CC4"/>
    <w:rsid w:val="00A41D86"/>
    <w:rsid w:val="00A41DC8"/>
    <w:rsid w:val="00A41DCE"/>
    <w:rsid w:val="00A41E2C"/>
    <w:rsid w:val="00A41ED4"/>
    <w:rsid w:val="00A41F02"/>
    <w:rsid w:val="00A41F5B"/>
    <w:rsid w:val="00A41F89"/>
    <w:rsid w:val="00A41FBA"/>
    <w:rsid w:val="00A41FC1"/>
    <w:rsid w:val="00A41FC5"/>
    <w:rsid w:val="00A4209B"/>
    <w:rsid w:val="00A420B2"/>
    <w:rsid w:val="00A4211E"/>
    <w:rsid w:val="00A4214B"/>
    <w:rsid w:val="00A421E6"/>
    <w:rsid w:val="00A421E9"/>
    <w:rsid w:val="00A4223D"/>
    <w:rsid w:val="00A42286"/>
    <w:rsid w:val="00A42338"/>
    <w:rsid w:val="00A42355"/>
    <w:rsid w:val="00A423BB"/>
    <w:rsid w:val="00A42435"/>
    <w:rsid w:val="00A424B6"/>
    <w:rsid w:val="00A424CE"/>
    <w:rsid w:val="00A424CF"/>
    <w:rsid w:val="00A4250E"/>
    <w:rsid w:val="00A4250F"/>
    <w:rsid w:val="00A42538"/>
    <w:rsid w:val="00A4253D"/>
    <w:rsid w:val="00A4257A"/>
    <w:rsid w:val="00A425A0"/>
    <w:rsid w:val="00A42617"/>
    <w:rsid w:val="00A4267B"/>
    <w:rsid w:val="00A42714"/>
    <w:rsid w:val="00A42715"/>
    <w:rsid w:val="00A4271D"/>
    <w:rsid w:val="00A4274B"/>
    <w:rsid w:val="00A42752"/>
    <w:rsid w:val="00A4278F"/>
    <w:rsid w:val="00A427C7"/>
    <w:rsid w:val="00A427D1"/>
    <w:rsid w:val="00A4282D"/>
    <w:rsid w:val="00A42836"/>
    <w:rsid w:val="00A428CF"/>
    <w:rsid w:val="00A42942"/>
    <w:rsid w:val="00A42998"/>
    <w:rsid w:val="00A429BE"/>
    <w:rsid w:val="00A42AA0"/>
    <w:rsid w:val="00A42AD9"/>
    <w:rsid w:val="00A42AEF"/>
    <w:rsid w:val="00A42B49"/>
    <w:rsid w:val="00A42B98"/>
    <w:rsid w:val="00A42BE8"/>
    <w:rsid w:val="00A42BEF"/>
    <w:rsid w:val="00A42BF2"/>
    <w:rsid w:val="00A42C0D"/>
    <w:rsid w:val="00A42C45"/>
    <w:rsid w:val="00A42C68"/>
    <w:rsid w:val="00A42C7C"/>
    <w:rsid w:val="00A42D02"/>
    <w:rsid w:val="00A42D07"/>
    <w:rsid w:val="00A42D11"/>
    <w:rsid w:val="00A42D2D"/>
    <w:rsid w:val="00A42D3A"/>
    <w:rsid w:val="00A42D41"/>
    <w:rsid w:val="00A42D93"/>
    <w:rsid w:val="00A42DC0"/>
    <w:rsid w:val="00A42DDB"/>
    <w:rsid w:val="00A42DF0"/>
    <w:rsid w:val="00A42E57"/>
    <w:rsid w:val="00A42F30"/>
    <w:rsid w:val="00A42F4C"/>
    <w:rsid w:val="00A42F5B"/>
    <w:rsid w:val="00A42F7B"/>
    <w:rsid w:val="00A4306A"/>
    <w:rsid w:val="00A430BB"/>
    <w:rsid w:val="00A430C1"/>
    <w:rsid w:val="00A430C8"/>
    <w:rsid w:val="00A4312F"/>
    <w:rsid w:val="00A4313B"/>
    <w:rsid w:val="00A4317A"/>
    <w:rsid w:val="00A4317C"/>
    <w:rsid w:val="00A43187"/>
    <w:rsid w:val="00A431B8"/>
    <w:rsid w:val="00A431F0"/>
    <w:rsid w:val="00A43202"/>
    <w:rsid w:val="00A4322E"/>
    <w:rsid w:val="00A432FF"/>
    <w:rsid w:val="00A4330C"/>
    <w:rsid w:val="00A4332C"/>
    <w:rsid w:val="00A43343"/>
    <w:rsid w:val="00A43384"/>
    <w:rsid w:val="00A433F7"/>
    <w:rsid w:val="00A43405"/>
    <w:rsid w:val="00A4341F"/>
    <w:rsid w:val="00A4342E"/>
    <w:rsid w:val="00A434A9"/>
    <w:rsid w:val="00A434AE"/>
    <w:rsid w:val="00A434E5"/>
    <w:rsid w:val="00A43554"/>
    <w:rsid w:val="00A43583"/>
    <w:rsid w:val="00A435B3"/>
    <w:rsid w:val="00A4360A"/>
    <w:rsid w:val="00A43621"/>
    <w:rsid w:val="00A43692"/>
    <w:rsid w:val="00A436BA"/>
    <w:rsid w:val="00A436D5"/>
    <w:rsid w:val="00A436DF"/>
    <w:rsid w:val="00A43730"/>
    <w:rsid w:val="00A43768"/>
    <w:rsid w:val="00A43784"/>
    <w:rsid w:val="00A43796"/>
    <w:rsid w:val="00A437A5"/>
    <w:rsid w:val="00A437D4"/>
    <w:rsid w:val="00A437E0"/>
    <w:rsid w:val="00A438EA"/>
    <w:rsid w:val="00A43914"/>
    <w:rsid w:val="00A43A52"/>
    <w:rsid w:val="00A43A53"/>
    <w:rsid w:val="00A43A71"/>
    <w:rsid w:val="00A43A8C"/>
    <w:rsid w:val="00A43B94"/>
    <w:rsid w:val="00A43C4A"/>
    <w:rsid w:val="00A43C61"/>
    <w:rsid w:val="00A43CCB"/>
    <w:rsid w:val="00A43DE4"/>
    <w:rsid w:val="00A43E24"/>
    <w:rsid w:val="00A43E7E"/>
    <w:rsid w:val="00A43E82"/>
    <w:rsid w:val="00A43E86"/>
    <w:rsid w:val="00A43EA7"/>
    <w:rsid w:val="00A43EB8"/>
    <w:rsid w:val="00A43ED1"/>
    <w:rsid w:val="00A43EED"/>
    <w:rsid w:val="00A43F4C"/>
    <w:rsid w:val="00A43F7B"/>
    <w:rsid w:val="00A440B7"/>
    <w:rsid w:val="00A440C2"/>
    <w:rsid w:val="00A44185"/>
    <w:rsid w:val="00A44220"/>
    <w:rsid w:val="00A44261"/>
    <w:rsid w:val="00A442AB"/>
    <w:rsid w:val="00A442AF"/>
    <w:rsid w:val="00A442B8"/>
    <w:rsid w:val="00A442CC"/>
    <w:rsid w:val="00A442D8"/>
    <w:rsid w:val="00A4436E"/>
    <w:rsid w:val="00A443DE"/>
    <w:rsid w:val="00A4440E"/>
    <w:rsid w:val="00A44422"/>
    <w:rsid w:val="00A44514"/>
    <w:rsid w:val="00A44652"/>
    <w:rsid w:val="00A44654"/>
    <w:rsid w:val="00A446E0"/>
    <w:rsid w:val="00A446FE"/>
    <w:rsid w:val="00A4471E"/>
    <w:rsid w:val="00A44773"/>
    <w:rsid w:val="00A447B8"/>
    <w:rsid w:val="00A447EA"/>
    <w:rsid w:val="00A44801"/>
    <w:rsid w:val="00A44813"/>
    <w:rsid w:val="00A4484B"/>
    <w:rsid w:val="00A44877"/>
    <w:rsid w:val="00A448C7"/>
    <w:rsid w:val="00A448ED"/>
    <w:rsid w:val="00A44906"/>
    <w:rsid w:val="00A4490B"/>
    <w:rsid w:val="00A4492B"/>
    <w:rsid w:val="00A4493A"/>
    <w:rsid w:val="00A449DB"/>
    <w:rsid w:val="00A449F4"/>
    <w:rsid w:val="00A44A0E"/>
    <w:rsid w:val="00A44A5A"/>
    <w:rsid w:val="00A44AA8"/>
    <w:rsid w:val="00A44AD6"/>
    <w:rsid w:val="00A44B15"/>
    <w:rsid w:val="00A44B22"/>
    <w:rsid w:val="00A44B3C"/>
    <w:rsid w:val="00A44B87"/>
    <w:rsid w:val="00A44C44"/>
    <w:rsid w:val="00A44C95"/>
    <w:rsid w:val="00A44CAD"/>
    <w:rsid w:val="00A44D4C"/>
    <w:rsid w:val="00A44DCC"/>
    <w:rsid w:val="00A44EDF"/>
    <w:rsid w:val="00A44F80"/>
    <w:rsid w:val="00A44FAF"/>
    <w:rsid w:val="00A44FB2"/>
    <w:rsid w:val="00A44FD1"/>
    <w:rsid w:val="00A44FF0"/>
    <w:rsid w:val="00A44FF8"/>
    <w:rsid w:val="00A45018"/>
    <w:rsid w:val="00A4506E"/>
    <w:rsid w:val="00A450B0"/>
    <w:rsid w:val="00A45158"/>
    <w:rsid w:val="00A45167"/>
    <w:rsid w:val="00A4516F"/>
    <w:rsid w:val="00A451C3"/>
    <w:rsid w:val="00A4522F"/>
    <w:rsid w:val="00A45249"/>
    <w:rsid w:val="00A452E7"/>
    <w:rsid w:val="00A45359"/>
    <w:rsid w:val="00A45391"/>
    <w:rsid w:val="00A453B4"/>
    <w:rsid w:val="00A45422"/>
    <w:rsid w:val="00A4543E"/>
    <w:rsid w:val="00A45471"/>
    <w:rsid w:val="00A45480"/>
    <w:rsid w:val="00A4551D"/>
    <w:rsid w:val="00A45529"/>
    <w:rsid w:val="00A4557C"/>
    <w:rsid w:val="00A455F8"/>
    <w:rsid w:val="00A456D6"/>
    <w:rsid w:val="00A456F6"/>
    <w:rsid w:val="00A456FD"/>
    <w:rsid w:val="00A45742"/>
    <w:rsid w:val="00A457A1"/>
    <w:rsid w:val="00A4586F"/>
    <w:rsid w:val="00A45876"/>
    <w:rsid w:val="00A4591E"/>
    <w:rsid w:val="00A45956"/>
    <w:rsid w:val="00A45965"/>
    <w:rsid w:val="00A459BC"/>
    <w:rsid w:val="00A459D2"/>
    <w:rsid w:val="00A45A08"/>
    <w:rsid w:val="00A45A41"/>
    <w:rsid w:val="00A45A59"/>
    <w:rsid w:val="00A45AA7"/>
    <w:rsid w:val="00A45B57"/>
    <w:rsid w:val="00A45B5B"/>
    <w:rsid w:val="00A45BA2"/>
    <w:rsid w:val="00A45C37"/>
    <w:rsid w:val="00A45C40"/>
    <w:rsid w:val="00A45C9F"/>
    <w:rsid w:val="00A45D4F"/>
    <w:rsid w:val="00A45D7B"/>
    <w:rsid w:val="00A45D84"/>
    <w:rsid w:val="00A45DA7"/>
    <w:rsid w:val="00A45DC2"/>
    <w:rsid w:val="00A45DD2"/>
    <w:rsid w:val="00A45E42"/>
    <w:rsid w:val="00A45E55"/>
    <w:rsid w:val="00A45E5C"/>
    <w:rsid w:val="00A45E77"/>
    <w:rsid w:val="00A45E8C"/>
    <w:rsid w:val="00A45EED"/>
    <w:rsid w:val="00A45FB6"/>
    <w:rsid w:val="00A45FDE"/>
    <w:rsid w:val="00A46084"/>
    <w:rsid w:val="00A46086"/>
    <w:rsid w:val="00A460E4"/>
    <w:rsid w:val="00A46126"/>
    <w:rsid w:val="00A46189"/>
    <w:rsid w:val="00A46198"/>
    <w:rsid w:val="00A461DB"/>
    <w:rsid w:val="00A461DD"/>
    <w:rsid w:val="00A461FE"/>
    <w:rsid w:val="00A4622D"/>
    <w:rsid w:val="00A462CF"/>
    <w:rsid w:val="00A462FA"/>
    <w:rsid w:val="00A4632E"/>
    <w:rsid w:val="00A46369"/>
    <w:rsid w:val="00A46395"/>
    <w:rsid w:val="00A463C4"/>
    <w:rsid w:val="00A463F7"/>
    <w:rsid w:val="00A4645E"/>
    <w:rsid w:val="00A46492"/>
    <w:rsid w:val="00A46494"/>
    <w:rsid w:val="00A464BF"/>
    <w:rsid w:val="00A464DD"/>
    <w:rsid w:val="00A46521"/>
    <w:rsid w:val="00A4656A"/>
    <w:rsid w:val="00A465B3"/>
    <w:rsid w:val="00A4667D"/>
    <w:rsid w:val="00A466B6"/>
    <w:rsid w:val="00A466EB"/>
    <w:rsid w:val="00A466FD"/>
    <w:rsid w:val="00A4670B"/>
    <w:rsid w:val="00A46721"/>
    <w:rsid w:val="00A46736"/>
    <w:rsid w:val="00A467A9"/>
    <w:rsid w:val="00A46810"/>
    <w:rsid w:val="00A4683C"/>
    <w:rsid w:val="00A468F1"/>
    <w:rsid w:val="00A468F4"/>
    <w:rsid w:val="00A4691E"/>
    <w:rsid w:val="00A4694C"/>
    <w:rsid w:val="00A46980"/>
    <w:rsid w:val="00A469DB"/>
    <w:rsid w:val="00A469EE"/>
    <w:rsid w:val="00A46AAA"/>
    <w:rsid w:val="00A46AAF"/>
    <w:rsid w:val="00A46AF6"/>
    <w:rsid w:val="00A46B26"/>
    <w:rsid w:val="00A46B4D"/>
    <w:rsid w:val="00A46B7E"/>
    <w:rsid w:val="00A46B80"/>
    <w:rsid w:val="00A46B98"/>
    <w:rsid w:val="00A46C17"/>
    <w:rsid w:val="00A46C4C"/>
    <w:rsid w:val="00A46C83"/>
    <w:rsid w:val="00A46CB6"/>
    <w:rsid w:val="00A46D7B"/>
    <w:rsid w:val="00A46DC6"/>
    <w:rsid w:val="00A46E0F"/>
    <w:rsid w:val="00A46E10"/>
    <w:rsid w:val="00A46E7D"/>
    <w:rsid w:val="00A46EEB"/>
    <w:rsid w:val="00A46F44"/>
    <w:rsid w:val="00A46FFB"/>
    <w:rsid w:val="00A470AB"/>
    <w:rsid w:val="00A47141"/>
    <w:rsid w:val="00A471A9"/>
    <w:rsid w:val="00A4725A"/>
    <w:rsid w:val="00A472B5"/>
    <w:rsid w:val="00A472CE"/>
    <w:rsid w:val="00A473F4"/>
    <w:rsid w:val="00A4743A"/>
    <w:rsid w:val="00A47444"/>
    <w:rsid w:val="00A47459"/>
    <w:rsid w:val="00A4745A"/>
    <w:rsid w:val="00A474AB"/>
    <w:rsid w:val="00A474FB"/>
    <w:rsid w:val="00A47505"/>
    <w:rsid w:val="00A4751C"/>
    <w:rsid w:val="00A47542"/>
    <w:rsid w:val="00A475C7"/>
    <w:rsid w:val="00A477CE"/>
    <w:rsid w:val="00A477E3"/>
    <w:rsid w:val="00A4780B"/>
    <w:rsid w:val="00A4780F"/>
    <w:rsid w:val="00A4781B"/>
    <w:rsid w:val="00A47835"/>
    <w:rsid w:val="00A47886"/>
    <w:rsid w:val="00A478DB"/>
    <w:rsid w:val="00A47901"/>
    <w:rsid w:val="00A47902"/>
    <w:rsid w:val="00A479B9"/>
    <w:rsid w:val="00A479E0"/>
    <w:rsid w:val="00A479F2"/>
    <w:rsid w:val="00A47A0C"/>
    <w:rsid w:val="00A47A41"/>
    <w:rsid w:val="00A47A4B"/>
    <w:rsid w:val="00A47A92"/>
    <w:rsid w:val="00A47AD0"/>
    <w:rsid w:val="00A47AF2"/>
    <w:rsid w:val="00A47AFC"/>
    <w:rsid w:val="00A47B1C"/>
    <w:rsid w:val="00A47B1D"/>
    <w:rsid w:val="00A47B27"/>
    <w:rsid w:val="00A47B43"/>
    <w:rsid w:val="00A47C19"/>
    <w:rsid w:val="00A47C26"/>
    <w:rsid w:val="00A47CA0"/>
    <w:rsid w:val="00A47CB3"/>
    <w:rsid w:val="00A47CBC"/>
    <w:rsid w:val="00A47CCB"/>
    <w:rsid w:val="00A47D64"/>
    <w:rsid w:val="00A47D65"/>
    <w:rsid w:val="00A47D7D"/>
    <w:rsid w:val="00A47DC8"/>
    <w:rsid w:val="00A47E1C"/>
    <w:rsid w:val="00A47E3A"/>
    <w:rsid w:val="00A47E8A"/>
    <w:rsid w:val="00A47EA0"/>
    <w:rsid w:val="00A47EF7"/>
    <w:rsid w:val="00A47F98"/>
    <w:rsid w:val="00A47F9E"/>
    <w:rsid w:val="00A47FCB"/>
    <w:rsid w:val="00A5001A"/>
    <w:rsid w:val="00A50060"/>
    <w:rsid w:val="00A500F0"/>
    <w:rsid w:val="00A500F8"/>
    <w:rsid w:val="00A50106"/>
    <w:rsid w:val="00A50148"/>
    <w:rsid w:val="00A501D6"/>
    <w:rsid w:val="00A501E1"/>
    <w:rsid w:val="00A501FD"/>
    <w:rsid w:val="00A50213"/>
    <w:rsid w:val="00A50275"/>
    <w:rsid w:val="00A50298"/>
    <w:rsid w:val="00A502AB"/>
    <w:rsid w:val="00A503E8"/>
    <w:rsid w:val="00A50425"/>
    <w:rsid w:val="00A5048F"/>
    <w:rsid w:val="00A504D3"/>
    <w:rsid w:val="00A504D9"/>
    <w:rsid w:val="00A50573"/>
    <w:rsid w:val="00A50574"/>
    <w:rsid w:val="00A505DE"/>
    <w:rsid w:val="00A5060A"/>
    <w:rsid w:val="00A50653"/>
    <w:rsid w:val="00A50670"/>
    <w:rsid w:val="00A5078D"/>
    <w:rsid w:val="00A507B4"/>
    <w:rsid w:val="00A507CA"/>
    <w:rsid w:val="00A508B3"/>
    <w:rsid w:val="00A50956"/>
    <w:rsid w:val="00A50A60"/>
    <w:rsid w:val="00A50AEF"/>
    <w:rsid w:val="00A50B36"/>
    <w:rsid w:val="00A50B74"/>
    <w:rsid w:val="00A50BFF"/>
    <w:rsid w:val="00A50D53"/>
    <w:rsid w:val="00A50D56"/>
    <w:rsid w:val="00A50DAB"/>
    <w:rsid w:val="00A50E4F"/>
    <w:rsid w:val="00A50E55"/>
    <w:rsid w:val="00A50E6B"/>
    <w:rsid w:val="00A50F1A"/>
    <w:rsid w:val="00A50F7D"/>
    <w:rsid w:val="00A50F87"/>
    <w:rsid w:val="00A50F99"/>
    <w:rsid w:val="00A51017"/>
    <w:rsid w:val="00A5106F"/>
    <w:rsid w:val="00A51195"/>
    <w:rsid w:val="00A512A0"/>
    <w:rsid w:val="00A512E6"/>
    <w:rsid w:val="00A513DE"/>
    <w:rsid w:val="00A5140F"/>
    <w:rsid w:val="00A51416"/>
    <w:rsid w:val="00A514D8"/>
    <w:rsid w:val="00A51538"/>
    <w:rsid w:val="00A51563"/>
    <w:rsid w:val="00A515FE"/>
    <w:rsid w:val="00A5169C"/>
    <w:rsid w:val="00A516A4"/>
    <w:rsid w:val="00A51716"/>
    <w:rsid w:val="00A517C7"/>
    <w:rsid w:val="00A517EA"/>
    <w:rsid w:val="00A517EC"/>
    <w:rsid w:val="00A51809"/>
    <w:rsid w:val="00A51831"/>
    <w:rsid w:val="00A51868"/>
    <w:rsid w:val="00A518C8"/>
    <w:rsid w:val="00A5195F"/>
    <w:rsid w:val="00A51A29"/>
    <w:rsid w:val="00A51AA7"/>
    <w:rsid w:val="00A51B27"/>
    <w:rsid w:val="00A51B41"/>
    <w:rsid w:val="00A51B54"/>
    <w:rsid w:val="00A51B69"/>
    <w:rsid w:val="00A51C3B"/>
    <w:rsid w:val="00A51C3E"/>
    <w:rsid w:val="00A51C5D"/>
    <w:rsid w:val="00A51C88"/>
    <w:rsid w:val="00A51D67"/>
    <w:rsid w:val="00A51D82"/>
    <w:rsid w:val="00A51DCF"/>
    <w:rsid w:val="00A51DE7"/>
    <w:rsid w:val="00A51E08"/>
    <w:rsid w:val="00A51E50"/>
    <w:rsid w:val="00A51EA8"/>
    <w:rsid w:val="00A51F10"/>
    <w:rsid w:val="00A51F61"/>
    <w:rsid w:val="00A52038"/>
    <w:rsid w:val="00A52051"/>
    <w:rsid w:val="00A5208C"/>
    <w:rsid w:val="00A520CC"/>
    <w:rsid w:val="00A520D4"/>
    <w:rsid w:val="00A5212C"/>
    <w:rsid w:val="00A52215"/>
    <w:rsid w:val="00A52230"/>
    <w:rsid w:val="00A52256"/>
    <w:rsid w:val="00A522C1"/>
    <w:rsid w:val="00A522D8"/>
    <w:rsid w:val="00A522F5"/>
    <w:rsid w:val="00A52335"/>
    <w:rsid w:val="00A523E3"/>
    <w:rsid w:val="00A5241A"/>
    <w:rsid w:val="00A5242E"/>
    <w:rsid w:val="00A524FB"/>
    <w:rsid w:val="00A52568"/>
    <w:rsid w:val="00A5260A"/>
    <w:rsid w:val="00A526D4"/>
    <w:rsid w:val="00A526DB"/>
    <w:rsid w:val="00A52717"/>
    <w:rsid w:val="00A52720"/>
    <w:rsid w:val="00A52734"/>
    <w:rsid w:val="00A527BA"/>
    <w:rsid w:val="00A5282F"/>
    <w:rsid w:val="00A528BD"/>
    <w:rsid w:val="00A528BF"/>
    <w:rsid w:val="00A52921"/>
    <w:rsid w:val="00A52940"/>
    <w:rsid w:val="00A529B5"/>
    <w:rsid w:val="00A52A04"/>
    <w:rsid w:val="00A52A05"/>
    <w:rsid w:val="00A52A5D"/>
    <w:rsid w:val="00A52A5E"/>
    <w:rsid w:val="00A52A8B"/>
    <w:rsid w:val="00A52A95"/>
    <w:rsid w:val="00A52AE0"/>
    <w:rsid w:val="00A52AF4"/>
    <w:rsid w:val="00A52B83"/>
    <w:rsid w:val="00A52BEE"/>
    <w:rsid w:val="00A52C09"/>
    <w:rsid w:val="00A52C1A"/>
    <w:rsid w:val="00A52C6A"/>
    <w:rsid w:val="00A52C84"/>
    <w:rsid w:val="00A52CD1"/>
    <w:rsid w:val="00A52D00"/>
    <w:rsid w:val="00A52D2F"/>
    <w:rsid w:val="00A52D6F"/>
    <w:rsid w:val="00A52E40"/>
    <w:rsid w:val="00A52EAA"/>
    <w:rsid w:val="00A52EE0"/>
    <w:rsid w:val="00A52F6F"/>
    <w:rsid w:val="00A53003"/>
    <w:rsid w:val="00A5302D"/>
    <w:rsid w:val="00A53094"/>
    <w:rsid w:val="00A5309E"/>
    <w:rsid w:val="00A5311B"/>
    <w:rsid w:val="00A5312D"/>
    <w:rsid w:val="00A53137"/>
    <w:rsid w:val="00A53172"/>
    <w:rsid w:val="00A5317F"/>
    <w:rsid w:val="00A531E1"/>
    <w:rsid w:val="00A5322F"/>
    <w:rsid w:val="00A5325B"/>
    <w:rsid w:val="00A532BE"/>
    <w:rsid w:val="00A532C7"/>
    <w:rsid w:val="00A532DC"/>
    <w:rsid w:val="00A532E7"/>
    <w:rsid w:val="00A532FE"/>
    <w:rsid w:val="00A53328"/>
    <w:rsid w:val="00A53371"/>
    <w:rsid w:val="00A533A0"/>
    <w:rsid w:val="00A533D4"/>
    <w:rsid w:val="00A533E2"/>
    <w:rsid w:val="00A5342E"/>
    <w:rsid w:val="00A53486"/>
    <w:rsid w:val="00A5348D"/>
    <w:rsid w:val="00A534B0"/>
    <w:rsid w:val="00A534B5"/>
    <w:rsid w:val="00A534C3"/>
    <w:rsid w:val="00A5354E"/>
    <w:rsid w:val="00A53632"/>
    <w:rsid w:val="00A53669"/>
    <w:rsid w:val="00A5369B"/>
    <w:rsid w:val="00A536BF"/>
    <w:rsid w:val="00A536CA"/>
    <w:rsid w:val="00A53721"/>
    <w:rsid w:val="00A5375C"/>
    <w:rsid w:val="00A5376A"/>
    <w:rsid w:val="00A537A0"/>
    <w:rsid w:val="00A537A3"/>
    <w:rsid w:val="00A537F7"/>
    <w:rsid w:val="00A53814"/>
    <w:rsid w:val="00A538A2"/>
    <w:rsid w:val="00A538D4"/>
    <w:rsid w:val="00A5395E"/>
    <w:rsid w:val="00A53980"/>
    <w:rsid w:val="00A539C2"/>
    <w:rsid w:val="00A53A1B"/>
    <w:rsid w:val="00A53A8A"/>
    <w:rsid w:val="00A53B33"/>
    <w:rsid w:val="00A53B6E"/>
    <w:rsid w:val="00A53B79"/>
    <w:rsid w:val="00A53BA2"/>
    <w:rsid w:val="00A53C08"/>
    <w:rsid w:val="00A53C09"/>
    <w:rsid w:val="00A53C39"/>
    <w:rsid w:val="00A53CEB"/>
    <w:rsid w:val="00A53CFB"/>
    <w:rsid w:val="00A53D34"/>
    <w:rsid w:val="00A53D47"/>
    <w:rsid w:val="00A53D59"/>
    <w:rsid w:val="00A53D86"/>
    <w:rsid w:val="00A53E1C"/>
    <w:rsid w:val="00A53E7D"/>
    <w:rsid w:val="00A53E9D"/>
    <w:rsid w:val="00A53EA1"/>
    <w:rsid w:val="00A53ECF"/>
    <w:rsid w:val="00A53ED9"/>
    <w:rsid w:val="00A53F01"/>
    <w:rsid w:val="00A53FF2"/>
    <w:rsid w:val="00A5406B"/>
    <w:rsid w:val="00A5409C"/>
    <w:rsid w:val="00A540C6"/>
    <w:rsid w:val="00A5410B"/>
    <w:rsid w:val="00A541A6"/>
    <w:rsid w:val="00A541B6"/>
    <w:rsid w:val="00A5424E"/>
    <w:rsid w:val="00A54288"/>
    <w:rsid w:val="00A5428F"/>
    <w:rsid w:val="00A542AE"/>
    <w:rsid w:val="00A542B5"/>
    <w:rsid w:val="00A54300"/>
    <w:rsid w:val="00A54387"/>
    <w:rsid w:val="00A543C6"/>
    <w:rsid w:val="00A543D4"/>
    <w:rsid w:val="00A543F6"/>
    <w:rsid w:val="00A54496"/>
    <w:rsid w:val="00A544D6"/>
    <w:rsid w:val="00A5452E"/>
    <w:rsid w:val="00A54542"/>
    <w:rsid w:val="00A54566"/>
    <w:rsid w:val="00A545AE"/>
    <w:rsid w:val="00A545E2"/>
    <w:rsid w:val="00A545F2"/>
    <w:rsid w:val="00A54604"/>
    <w:rsid w:val="00A54633"/>
    <w:rsid w:val="00A5465B"/>
    <w:rsid w:val="00A546B5"/>
    <w:rsid w:val="00A546E7"/>
    <w:rsid w:val="00A546F3"/>
    <w:rsid w:val="00A5472F"/>
    <w:rsid w:val="00A547A9"/>
    <w:rsid w:val="00A54830"/>
    <w:rsid w:val="00A54881"/>
    <w:rsid w:val="00A5488A"/>
    <w:rsid w:val="00A548D9"/>
    <w:rsid w:val="00A548F6"/>
    <w:rsid w:val="00A54905"/>
    <w:rsid w:val="00A54988"/>
    <w:rsid w:val="00A549E0"/>
    <w:rsid w:val="00A54ADF"/>
    <w:rsid w:val="00A54AEF"/>
    <w:rsid w:val="00A54B0F"/>
    <w:rsid w:val="00A54B47"/>
    <w:rsid w:val="00A54B5A"/>
    <w:rsid w:val="00A54B68"/>
    <w:rsid w:val="00A54BD9"/>
    <w:rsid w:val="00A54C13"/>
    <w:rsid w:val="00A54E3A"/>
    <w:rsid w:val="00A54E70"/>
    <w:rsid w:val="00A54E80"/>
    <w:rsid w:val="00A54EB3"/>
    <w:rsid w:val="00A54EFE"/>
    <w:rsid w:val="00A54F02"/>
    <w:rsid w:val="00A54F20"/>
    <w:rsid w:val="00A54F96"/>
    <w:rsid w:val="00A55015"/>
    <w:rsid w:val="00A55023"/>
    <w:rsid w:val="00A55066"/>
    <w:rsid w:val="00A55070"/>
    <w:rsid w:val="00A5508E"/>
    <w:rsid w:val="00A5515E"/>
    <w:rsid w:val="00A55268"/>
    <w:rsid w:val="00A55324"/>
    <w:rsid w:val="00A5540A"/>
    <w:rsid w:val="00A554D3"/>
    <w:rsid w:val="00A554F8"/>
    <w:rsid w:val="00A555E2"/>
    <w:rsid w:val="00A55621"/>
    <w:rsid w:val="00A55664"/>
    <w:rsid w:val="00A556A1"/>
    <w:rsid w:val="00A556CA"/>
    <w:rsid w:val="00A55714"/>
    <w:rsid w:val="00A5574B"/>
    <w:rsid w:val="00A55754"/>
    <w:rsid w:val="00A55777"/>
    <w:rsid w:val="00A55784"/>
    <w:rsid w:val="00A557EE"/>
    <w:rsid w:val="00A5580E"/>
    <w:rsid w:val="00A558E5"/>
    <w:rsid w:val="00A55915"/>
    <w:rsid w:val="00A55923"/>
    <w:rsid w:val="00A55932"/>
    <w:rsid w:val="00A55959"/>
    <w:rsid w:val="00A55970"/>
    <w:rsid w:val="00A55985"/>
    <w:rsid w:val="00A55991"/>
    <w:rsid w:val="00A559DE"/>
    <w:rsid w:val="00A55A3C"/>
    <w:rsid w:val="00A55A3D"/>
    <w:rsid w:val="00A55B98"/>
    <w:rsid w:val="00A55BDD"/>
    <w:rsid w:val="00A55BE5"/>
    <w:rsid w:val="00A55BE9"/>
    <w:rsid w:val="00A55C12"/>
    <w:rsid w:val="00A55C8C"/>
    <w:rsid w:val="00A55CD7"/>
    <w:rsid w:val="00A55D5E"/>
    <w:rsid w:val="00A55DD9"/>
    <w:rsid w:val="00A55E18"/>
    <w:rsid w:val="00A55E37"/>
    <w:rsid w:val="00A55E82"/>
    <w:rsid w:val="00A55EF1"/>
    <w:rsid w:val="00A55EFA"/>
    <w:rsid w:val="00A55F43"/>
    <w:rsid w:val="00A55F69"/>
    <w:rsid w:val="00A55F72"/>
    <w:rsid w:val="00A55F84"/>
    <w:rsid w:val="00A55FA4"/>
    <w:rsid w:val="00A55FB0"/>
    <w:rsid w:val="00A56050"/>
    <w:rsid w:val="00A56081"/>
    <w:rsid w:val="00A56092"/>
    <w:rsid w:val="00A560E1"/>
    <w:rsid w:val="00A561C9"/>
    <w:rsid w:val="00A56225"/>
    <w:rsid w:val="00A562A0"/>
    <w:rsid w:val="00A562BF"/>
    <w:rsid w:val="00A5634C"/>
    <w:rsid w:val="00A5635C"/>
    <w:rsid w:val="00A56372"/>
    <w:rsid w:val="00A5637E"/>
    <w:rsid w:val="00A563AB"/>
    <w:rsid w:val="00A564E8"/>
    <w:rsid w:val="00A564EF"/>
    <w:rsid w:val="00A56510"/>
    <w:rsid w:val="00A5651B"/>
    <w:rsid w:val="00A56550"/>
    <w:rsid w:val="00A5657F"/>
    <w:rsid w:val="00A56583"/>
    <w:rsid w:val="00A5662F"/>
    <w:rsid w:val="00A56641"/>
    <w:rsid w:val="00A567AA"/>
    <w:rsid w:val="00A567AB"/>
    <w:rsid w:val="00A56833"/>
    <w:rsid w:val="00A5688F"/>
    <w:rsid w:val="00A5689D"/>
    <w:rsid w:val="00A56922"/>
    <w:rsid w:val="00A56933"/>
    <w:rsid w:val="00A56934"/>
    <w:rsid w:val="00A56936"/>
    <w:rsid w:val="00A5697B"/>
    <w:rsid w:val="00A569E2"/>
    <w:rsid w:val="00A56A57"/>
    <w:rsid w:val="00A56B00"/>
    <w:rsid w:val="00A56B60"/>
    <w:rsid w:val="00A56B74"/>
    <w:rsid w:val="00A56B89"/>
    <w:rsid w:val="00A56B93"/>
    <w:rsid w:val="00A56BB9"/>
    <w:rsid w:val="00A56C2F"/>
    <w:rsid w:val="00A56C52"/>
    <w:rsid w:val="00A56CF3"/>
    <w:rsid w:val="00A56DAE"/>
    <w:rsid w:val="00A56DFA"/>
    <w:rsid w:val="00A56E00"/>
    <w:rsid w:val="00A56E0D"/>
    <w:rsid w:val="00A56F75"/>
    <w:rsid w:val="00A56F7A"/>
    <w:rsid w:val="00A56FD9"/>
    <w:rsid w:val="00A56FE0"/>
    <w:rsid w:val="00A56FFA"/>
    <w:rsid w:val="00A56FFD"/>
    <w:rsid w:val="00A57072"/>
    <w:rsid w:val="00A570CE"/>
    <w:rsid w:val="00A57151"/>
    <w:rsid w:val="00A5716B"/>
    <w:rsid w:val="00A57174"/>
    <w:rsid w:val="00A57185"/>
    <w:rsid w:val="00A571A9"/>
    <w:rsid w:val="00A571D0"/>
    <w:rsid w:val="00A571F8"/>
    <w:rsid w:val="00A57232"/>
    <w:rsid w:val="00A57258"/>
    <w:rsid w:val="00A572EF"/>
    <w:rsid w:val="00A573A4"/>
    <w:rsid w:val="00A573CA"/>
    <w:rsid w:val="00A5740A"/>
    <w:rsid w:val="00A57458"/>
    <w:rsid w:val="00A57462"/>
    <w:rsid w:val="00A57464"/>
    <w:rsid w:val="00A57470"/>
    <w:rsid w:val="00A574BC"/>
    <w:rsid w:val="00A575AE"/>
    <w:rsid w:val="00A575C4"/>
    <w:rsid w:val="00A575D2"/>
    <w:rsid w:val="00A575E6"/>
    <w:rsid w:val="00A575EF"/>
    <w:rsid w:val="00A57621"/>
    <w:rsid w:val="00A576F4"/>
    <w:rsid w:val="00A576F6"/>
    <w:rsid w:val="00A576F8"/>
    <w:rsid w:val="00A577C6"/>
    <w:rsid w:val="00A57812"/>
    <w:rsid w:val="00A57837"/>
    <w:rsid w:val="00A578D4"/>
    <w:rsid w:val="00A578DD"/>
    <w:rsid w:val="00A57987"/>
    <w:rsid w:val="00A57992"/>
    <w:rsid w:val="00A579EA"/>
    <w:rsid w:val="00A57A40"/>
    <w:rsid w:val="00A57A42"/>
    <w:rsid w:val="00A57A71"/>
    <w:rsid w:val="00A57A79"/>
    <w:rsid w:val="00A57AEE"/>
    <w:rsid w:val="00A57B57"/>
    <w:rsid w:val="00A57B8A"/>
    <w:rsid w:val="00A57B9F"/>
    <w:rsid w:val="00A57C36"/>
    <w:rsid w:val="00A57C5F"/>
    <w:rsid w:val="00A57C9E"/>
    <w:rsid w:val="00A57CA8"/>
    <w:rsid w:val="00A57CB1"/>
    <w:rsid w:val="00A57CD2"/>
    <w:rsid w:val="00A57DB8"/>
    <w:rsid w:val="00A57E0A"/>
    <w:rsid w:val="00A57E38"/>
    <w:rsid w:val="00A57E83"/>
    <w:rsid w:val="00A57E87"/>
    <w:rsid w:val="00A57FA1"/>
    <w:rsid w:val="00A57FC7"/>
    <w:rsid w:val="00A6001D"/>
    <w:rsid w:val="00A60028"/>
    <w:rsid w:val="00A600F8"/>
    <w:rsid w:val="00A600FB"/>
    <w:rsid w:val="00A60104"/>
    <w:rsid w:val="00A6017C"/>
    <w:rsid w:val="00A601C0"/>
    <w:rsid w:val="00A60269"/>
    <w:rsid w:val="00A6026E"/>
    <w:rsid w:val="00A6027D"/>
    <w:rsid w:val="00A60282"/>
    <w:rsid w:val="00A602C0"/>
    <w:rsid w:val="00A602E4"/>
    <w:rsid w:val="00A602EF"/>
    <w:rsid w:val="00A602F8"/>
    <w:rsid w:val="00A60348"/>
    <w:rsid w:val="00A6037A"/>
    <w:rsid w:val="00A6039A"/>
    <w:rsid w:val="00A603B9"/>
    <w:rsid w:val="00A603D1"/>
    <w:rsid w:val="00A603D4"/>
    <w:rsid w:val="00A6040B"/>
    <w:rsid w:val="00A6043E"/>
    <w:rsid w:val="00A6056E"/>
    <w:rsid w:val="00A6065E"/>
    <w:rsid w:val="00A60699"/>
    <w:rsid w:val="00A6070F"/>
    <w:rsid w:val="00A60815"/>
    <w:rsid w:val="00A60860"/>
    <w:rsid w:val="00A60896"/>
    <w:rsid w:val="00A608A1"/>
    <w:rsid w:val="00A608AD"/>
    <w:rsid w:val="00A60964"/>
    <w:rsid w:val="00A60977"/>
    <w:rsid w:val="00A60990"/>
    <w:rsid w:val="00A60A5D"/>
    <w:rsid w:val="00A60BFA"/>
    <w:rsid w:val="00A60C5B"/>
    <w:rsid w:val="00A60CAF"/>
    <w:rsid w:val="00A60CC2"/>
    <w:rsid w:val="00A60D0A"/>
    <w:rsid w:val="00A60D37"/>
    <w:rsid w:val="00A60DFA"/>
    <w:rsid w:val="00A60E11"/>
    <w:rsid w:val="00A60E51"/>
    <w:rsid w:val="00A60E96"/>
    <w:rsid w:val="00A60EBA"/>
    <w:rsid w:val="00A60EF4"/>
    <w:rsid w:val="00A60F26"/>
    <w:rsid w:val="00A60F6F"/>
    <w:rsid w:val="00A60FC6"/>
    <w:rsid w:val="00A60FE2"/>
    <w:rsid w:val="00A60FEA"/>
    <w:rsid w:val="00A61085"/>
    <w:rsid w:val="00A612EB"/>
    <w:rsid w:val="00A6131F"/>
    <w:rsid w:val="00A6134F"/>
    <w:rsid w:val="00A613A9"/>
    <w:rsid w:val="00A613BA"/>
    <w:rsid w:val="00A614C4"/>
    <w:rsid w:val="00A614C5"/>
    <w:rsid w:val="00A614EE"/>
    <w:rsid w:val="00A614F2"/>
    <w:rsid w:val="00A61521"/>
    <w:rsid w:val="00A6154D"/>
    <w:rsid w:val="00A616A0"/>
    <w:rsid w:val="00A61786"/>
    <w:rsid w:val="00A617AB"/>
    <w:rsid w:val="00A6186A"/>
    <w:rsid w:val="00A618EB"/>
    <w:rsid w:val="00A61932"/>
    <w:rsid w:val="00A619BF"/>
    <w:rsid w:val="00A619F6"/>
    <w:rsid w:val="00A61A4D"/>
    <w:rsid w:val="00A61AA8"/>
    <w:rsid w:val="00A61B0A"/>
    <w:rsid w:val="00A61B4E"/>
    <w:rsid w:val="00A61B74"/>
    <w:rsid w:val="00A61B84"/>
    <w:rsid w:val="00A61BC3"/>
    <w:rsid w:val="00A61BCC"/>
    <w:rsid w:val="00A61BDD"/>
    <w:rsid w:val="00A61C2F"/>
    <w:rsid w:val="00A61C46"/>
    <w:rsid w:val="00A61C4E"/>
    <w:rsid w:val="00A61C78"/>
    <w:rsid w:val="00A61C98"/>
    <w:rsid w:val="00A61CF1"/>
    <w:rsid w:val="00A61D56"/>
    <w:rsid w:val="00A61D6A"/>
    <w:rsid w:val="00A61D75"/>
    <w:rsid w:val="00A61DC5"/>
    <w:rsid w:val="00A61E23"/>
    <w:rsid w:val="00A61E95"/>
    <w:rsid w:val="00A61EA3"/>
    <w:rsid w:val="00A61EBB"/>
    <w:rsid w:val="00A61EF9"/>
    <w:rsid w:val="00A61F1B"/>
    <w:rsid w:val="00A61F20"/>
    <w:rsid w:val="00A61F3F"/>
    <w:rsid w:val="00A61F4A"/>
    <w:rsid w:val="00A61F6B"/>
    <w:rsid w:val="00A61FAF"/>
    <w:rsid w:val="00A6209E"/>
    <w:rsid w:val="00A620B4"/>
    <w:rsid w:val="00A6213E"/>
    <w:rsid w:val="00A62156"/>
    <w:rsid w:val="00A621E6"/>
    <w:rsid w:val="00A622C8"/>
    <w:rsid w:val="00A622EB"/>
    <w:rsid w:val="00A622F0"/>
    <w:rsid w:val="00A62341"/>
    <w:rsid w:val="00A6235A"/>
    <w:rsid w:val="00A624A1"/>
    <w:rsid w:val="00A624C6"/>
    <w:rsid w:val="00A624FB"/>
    <w:rsid w:val="00A62514"/>
    <w:rsid w:val="00A62632"/>
    <w:rsid w:val="00A6266C"/>
    <w:rsid w:val="00A6267A"/>
    <w:rsid w:val="00A6280C"/>
    <w:rsid w:val="00A62815"/>
    <w:rsid w:val="00A6282C"/>
    <w:rsid w:val="00A62848"/>
    <w:rsid w:val="00A62859"/>
    <w:rsid w:val="00A6285C"/>
    <w:rsid w:val="00A6286B"/>
    <w:rsid w:val="00A6289E"/>
    <w:rsid w:val="00A628A1"/>
    <w:rsid w:val="00A628A7"/>
    <w:rsid w:val="00A628DF"/>
    <w:rsid w:val="00A62A52"/>
    <w:rsid w:val="00A62A6F"/>
    <w:rsid w:val="00A62BB7"/>
    <w:rsid w:val="00A62BBC"/>
    <w:rsid w:val="00A62C3B"/>
    <w:rsid w:val="00A62C5E"/>
    <w:rsid w:val="00A62C61"/>
    <w:rsid w:val="00A62C67"/>
    <w:rsid w:val="00A62C74"/>
    <w:rsid w:val="00A62C9E"/>
    <w:rsid w:val="00A62CCF"/>
    <w:rsid w:val="00A62D0E"/>
    <w:rsid w:val="00A62D5F"/>
    <w:rsid w:val="00A62D71"/>
    <w:rsid w:val="00A62D7C"/>
    <w:rsid w:val="00A62D81"/>
    <w:rsid w:val="00A62D87"/>
    <w:rsid w:val="00A62E0C"/>
    <w:rsid w:val="00A62EBF"/>
    <w:rsid w:val="00A62EDC"/>
    <w:rsid w:val="00A62EEC"/>
    <w:rsid w:val="00A62F0F"/>
    <w:rsid w:val="00A62F33"/>
    <w:rsid w:val="00A62F62"/>
    <w:rsid w:val="00A62F8E"/>
    <w:rsid w:val="00A62F9B"/>
    <w:rsid w:val="00A62FB8"/>
    <w:rsid w:val="00A63082"/>
    <w:rsid w:val="00A630A5"/>
    <w:rsid w:val="00A630F2"/>
    <w:rsid w:val="00A6310E"/>
    <w:rsid w:val="00A6312F"/>
    <w:rsid w:val="00A6315E"/>
    <w:rsid w:val="00A631CB"/>
    <w:rsid w:val="00A631D5"/>
    <w:rsid w:val="00A63222"/>
    <w:rsid w:val="00A63244"/>
    <w:rsid w:val="00A632BA"/>
    <w:rsid w:val="00A63300"/>
    <w:rsid w:val="00A63335"/>
    <w:rsid w:val="00A63354"/>
    <w:rsid w:val="00A6335E"/>
    <w:rsid w:val="00A63366"/>
    <w:rsid w:val="00A63384"/>
    <w:rsid w:val="00A63397"/>
    <w:rsid w:val="00A633FF"/>
    <w:rsid w:val="00A6351C"/>
    <w:rsid w:val="00A63588"/>
    <w:rsid w:val="00A635AF"/>
    <w:rsid w:val="00A635F4"/>
    <w:rsid w:val="00A63680"/>
    <w:rsid w:val="00A6368B"/>
    <w:rsid w:val="00A636DD"/>
    <w:rsid w:val="00A63768"/>
    <w:rsid w:val="00A63781"/>
    <w:rsid w:val="00A6378D"/>
    <w:rsid w:val="00A637D6"/>
    <w:rsid w:val="00A63877"/>
    <w:rsid w:val="00A63887"/>
    <w:rsid w:val="00A638A5"/>
    <w:rsid w:val="00A638DE"/>
    <w:rsid w:val="00A638E1"/>
    <w:rsid w:val="00A638FF"/>
    <w:rsid w:val="00A6392C"/>
    <w:rsid w:val="00A6394E"/>
    <w:rsid w:val="00A639FD"/>
    <w:rsid w:val="00A63A0D"/>
    <w:rsid w:val="00A63A1E"/>
    <w:rsid w:val="00A63A84"/>
    <w:rsid w:val="00A63A85"/>
    <w:rsid w:val="00A63B2B"/>
    <w:rsid w:val="00A63B7C"/>
    <w:rsid w:val="00A63BBB"/>
    <w:rsid w:val="00A63BFD"/>
    <w:rsid w:val="00A63C1B"/>
    <w:rsid w:val="00A63C3A"/>
    <w:rsid w:val="00A63C56"/>
    <w:rsid w:val="00A63C75"/>
    <w:rsid w:val="00A63CA2"/>
    <w:rsid w:val="00A63CDF"/>
    <w:rsid w:val="00A63CF3"/>
    <w:rsid w:val="00A63D94"/>
    <w:rsid w:val="00A63DC5"/>
    <w:rsid w:val="00A63E1A"/>
    <w:rsid w:val="00A63E21"/>
    <w:rsid w:val="00A63E98"/>
    <w:rsid w:val="00A63EC6"/>
    <w:rsid w:val="00A63EDD"/>
    <w:rsid w:val="00A63F8F"/>
    <w:rsid w:val="00A63FA0"/>
    <w:rsid w:val="00A63FF2"/>
    <w:rsid w:val="00A64018"/>
    <w:rsid w:val="00A64039"/>
    <w:rsid w:val="00A64076"/>
    <w:rsid w:val="00A64138"/>
    <w:rsid w:val="00A6417E"/>
    <w:rsid w:val="00A64197"/>
    <w:rsid w:val="00A641AC"/>
    <w:rsid w:val="00A641D9"/>
    <w:rsid w:val="00A6422D"/>
    <w:rsid w:val="00A6423C"/>
    <w:rsid w:val="00A6424F"/>
    <w:rsid w:val="00A64297"/>
    <w:rsid w:val="00A642C2"/>
    <w:rsid w:val="00A6437C"/>
    <w:rsid w:val="00A643E5"/>
    <w:rsid w:val="00A64450"/>
    <w:rsid w:val="00A64455"/>
    <w:rsid w:val="00A644A4"/>
    <w:rsid w:val="00A644C1"/>
    <w:rsid w:val="00A64507"/>
    <w:rsid w:val="00A64555"/>
    <w:rsid w:val="00A64558"/>
    <w:rsid w:val="00A64586"/>
    <w:rsid w:val="00A64613"/>
    <w:rsid w:val="00A64656"/>
    <w:rsid w:val="00A6467C"/>
    <w:rsid w:val="00A64683"/>
    <w:rsid w:val="00A646A5"/>
    <w:rsid w:val="00A646A8"/>
    <w:rsid w:val="00A64710"/>
    <w:rsid w:val="00A64730"/>
    <w:rsid w:val="00A647C1"/>
    <w:rsid w:val="00A647D0"/>
    <w:rsid w:val="00A647E1"/>
    <w:rsid w:val="00A64829"/>
    <w:rsid w:val="00A648BD"/>
    <w:rsid w:val="00A648F0"/>
    <w:rsid w:val="00A6492B"/>
    <w:rsid w:val="00A64968"/>
    <w:rsid w:val="00A6496A"/>
    <w:rsid w:val="00A6499C"/>
    <w:rsid w:val="00A649D6"/>
    <w:rsid w:val="00A64A15"/>
    <w:rsid w:val="00A64A57"/>
    <w:rsid w:val="00A64AE8"/>
    <w:rsid w:val="00A64AEB"/>
    <w:rsid w:val="00A64B01"/>
    <w:rsid w:val="00A64B53"/>
    <w:rsid w:val="00A64B56"/>
    <w:rsid w:val="00A64B5F"/>
    <w:rsid w:val="00A64B70"/>
    <w:rsid w:val="00A64B83"/>
    <w:rsid w:val="00A64C16"/>
    <w:rsid w:val="00A64CF7"/>
    <w:rsid w:val="00A64D2A"/>
    <w:rsid w:val="00A64D42"/>
    <w:rsid w:val="00A64D6C"/>
    <w:rsid w:val="00A64D6F"/>
    <w:rsid w:val="00A64D71"/>
    <w:rsid w:val="00A64E07"/>
    <w:rsid w:val="00A64E4F"/>
    <w:rsid w:val="00A64E60"/>
    <w:rsid w:val="00A64E68"/>
    <w:rsid w:val="00A64E86"/>
    <w:rsid w:val="00A64EAE"/>
    <w:rsid w:val="00A64F4B"/>
    <w:rsid w:val="00A64F5E"/>
    <w:rsid w:val="00A64FF2"/>
    <w:rsid w:val="00A65006"/>
    <w:rsid w:val="00A6500F"/>
    <w:rsid w:val="00A6506D"/>
    <w:rsid w:val="00A65084"/>
    <w:rsid w:val="00A65092"/>
    <w:rsid w:val="00A650DE"/>
    <w:rsid w:val="00A6515B"/>
    <w:rsid w:val="00A65163"/>
    <w:rsid w:val="00A65171"/>
    <w:rsid w:val="00A65197"/>
    <w:rsid w:val="00A651A3"/>
    <w:rsid w:val="00A652A8"/>
    <w:rsid w:val="00A652B1"/>
    <w:rsid w:val="00A6531C"/>
    <w:rsid w:val="00A6532B"/>
    <w:rsid w:val="00A65433"/>
    <w:rsid w:val="00A654A9"/>
    <w:rsid w:val="00A654C4"/>
    <w:rsid w:val="00A654C5"/>
    <w:rsid w:val="00A654E6"/>
    <w:rsid w:val="00A654ED"/>
    <w:rsid w:val="00A655A6"/>
    <w:rsid w:val="00A655AF"/>
    <w:rsid w:val="00A655B5"/>
    <w:rsid w:val="00A655E3"/>
    <w:rsid w:val="00A6567E"/>
    <w:rsid w:val="00A656CB"/>
    <w:rsid w:val="00A656D7"/>
    <w:rsid w:val="00A65708"/>
    <w:rsid w:val="00A65711"/>
    <w:rsid w:val="00A6574C"/>
    <w:rsid w:val="00A657CE"/>
    <w:rsid w:val="00A65887"/>
    <w:rsid w:val="00A658D0"/>
    <w:rsid w:val="00A65979"/>
    <w:rsid w:val="00A65997"/>
    <w:rsid w:val="00A659A8"/>
    <w:rsid w:val="00A659BD"/>
    <w:rsid w:val="00A659D7"/>
    <w:rsid w:val="00A65A00"/>
    <w:rsid w:val="00A65A30"/>
    <w:rsid w:val="00A65A49"/>
    <w:rsid w:val="00A65A4A"/>
    <w:rsid w:val="00A65A95"/>
    <w:rsid w:val="00A65AFD"/>
    <w:rsid w:val="00A65B4D"/>
    <w:rsid w:val="00A65B4F"/>
    <w:rsid w:val="00A65B9C"/>
    <w:rsid w:val="00A65C0C"/>
    <w:rsid w:val="00A65C4B"/>
    <w:rsid w:val="00A65CB4"/>
    <w:rsid w:val="00A65D5A"/>
    <w:rsid w:val="00A65E0D"/>
    <w:rsid w:val="00A65E0F"/>
    <w:rsid w:val="00A65E25"/>
    <w:rsid w:val="00A65E9B"/>
    <w:rsid w:val="00A65EA0"/>
    <w:rsid w:val="00A65F75"/>
    <w:rsid w:val="00A66028"/>
    <w:rsid w:val="00A66053"/>
    <w:rsid w:val="00A6608D"/>
    <w:rsid w:val="00A660C7"/>
    <w:rsid w:val="00A66127"/>
    <w:rsid w:val="00A6613E"/>
    <w:rsid w:val="00A66141"/>
    <w:rsid w:val="00A66160"/>
    <w:rsid w:val="00A66263"/>
    <w:rsid w:val="00A662CA"/>
    <w:rsid w:val="00A66306"/>
    <w:rsid w:val="00A66377"/>
    <w:rsid w:val="00A66386"/>
    <w:rsid w:val="00A663D4"/>
    <w:rsid w:val="00A663E9"/>
    <w:rsid w:val="00A6645F"/>
    <w:rsid w:val="00A6646F"/>
    <w:rsid w:val="00A6647F"/>
    <w:rsid w:val="00A664F1"/>
    <w:rsid w:val="00A66503"/>
    <w:rsid w:val="00A6654A"/>
    <w:rsid w:val="00A6655E"/>
    <w:rsid w:val="00A66581"/>
    <w:rsid w:val="00A6658A"/>
    <w:rsid w:val="00A6660D"/>
    <w:rsid w:val="00A66610"/>
    <w:rsid w:val="00A66693"/>
    <w:rsid w:val="00A6669F"/>
    <w:rsid w:val="00A666F2"/>
    <w:rsid w:val="00A66791"/>
    <w:rsid w:val="00A668D5"/>
    <w:rsid w:val="00A6697E"/>
    <w:rsid w:val="00A669B9"/>
    <w:rsid w:val="00A669E5"/>
    <w:rsid w:val="00A669EF"/>
    <w:rsid w:val="00A66A5E"/>
    <w:rsid w:val="00A66A8A"/>
    <w:rsid w:val="00A66B70"/>
    <w:rsid w:val="00A66BA7"/>
    <w:rsid w:val="00A66BB9"/>
    <w:rsid w:val="00A66BC0"/>
    <w:rsid w:val="00A66C16"/>
    <w:rsid w:val="00A66C5D"/>
    <w:rsid w:val="00A66C7E"/>
    <w:rsid w:val="00A66C8A"/>
    <w:rsid w:val="00A66C90"/>
    <w:rsid w:val="00A66CDB"/>
    <w:rsid w:val="00A66E3B"/>
    <w:rsid w:val="00A66E84"/>
    <w:rsid w:val="00A66F48"/>
    <w:rsid w:val="00A66F81"/>
    <w:rsid w:val="00A66FB0"/>
    <w:rsid w:val="00A66FBF"/>
    <w:rsid w:val="00A66FC9"/>
    <w:rsid w:val="00A66FF7"/>
    <w:rsid w:val="00A6700F"/>
    <w:rsid w:val="00A6707B"/>
    <w:rsid w:val="00A670B1"/>
    <w:rsid w:val="00A670BB"/>
    <w:rsid w:val="00A670D3"/>
    <w:rsid w:val="00A670D4"/>
    <w:rsid w:val="00A670F7"/>
    <w:rsid w:val="00A6710E"/>
    <w:rsid w:val="00A67116"/>
    <w:rsid w:val="00A67124"/>
    <w:rsid w:val="00A67126"/>
    <w:rsid w:val="00A67127"/>
    <w:rsid w:val="00A67172"/>
    <w:rsid w:val="00A671A6"/>
    <w:rsid w:val="00A67244"/>
    <w:rsid w:val="00A67267"/>
    <w:rsid w:val="00A672D4"/>
    <w:rsid w:val="00A67315"/>
    <w:rsid w:val="00A673CA"/>
    <w:rsid w:val="00A6748B"/>
    <w:rsid w:val="00A6748C"/>
    <w:rsid w:val="00A674CB"/>
    <w:rsid w:val="00A67510"/>
    <w:rsid w:val="00A67538"/>
    <w:rsid w:val="00A67653"/>
    <w:rsid w:val="00A676C1"/>
    <w:rsid w:val="00A67716"/>
    <w:rsid w:val="00A67765"/>
    <w:rsid w:val="00A67777"/>
    <w:rsid w:val="00A67785"/>
    <w:rsid w:val="00A6779D"/>
    <w:rsid w:val="00A677AC"/>
    <w:rsid w:val="00A67930"/>
    <w:rsid w:val="00A679DA"/>
    <w:rsid w:val="00A679F2"/>
    <w:rsid w:val="00A67A14"/>
    <w:rsid w:val="00A67A8A"/>
    <w:rsid w:val="00A67AD0"/>
    <w:rsid w:val="00A67AFC"/>
    <w:rsid w:val="00A67B26"/>
    <w:rsid w:val="00A67B3B"/>
    <w:rsid w:val="00A67BB0"/>
    <w:rsid w:val="00A67C30"/>
    <w:rsid w:val="00A67C48"/>
    <w:rsid w:val="00A67C9B"/>
    <w:rsid w:val="00A67CA8"/>
    <w:rsid w:val="00A67CBD"/>
    <w:rsid w:val="00A67D50"/>
    <w:rsid w:val="00A67D51"/>
    <w:rsid w:val="00A67D62"/>
    <w:rsid w:val="00A67DBC"/>
    <w:rsid w:val="00A67E39"/>
    <w:rsid w:val="00A67E9E"/>
    <w:rsid w:val="00A67EA4"/>
    <w:rsid w:val="00A67EC0"/>
    <w:rsid w:val="00A67F05"/>
    <w:rsid w:val="00A67F77"/>
    <w:rsid w:val="00A67F7D"/>
    <w:rsid w:val="00A70003"/>
    <w:rsid w:val="00A70007"/>
    <w:rsid w:val="00A7009B"/>
    <w:rsid w:val="00A7011A"/>
    <w:rsid w:val="00A7018D"/>
    <w:rsid w:val="00A701F6"/>
    <w:rsid w:val="00A70218"/>
    <w:rsid w:val="00A70342"/>
    <w:rsid w:val="00A70390"/>
    <w:rsid w:val="00A7040F"/>
    <w:rsid w:val="00A704C4"/>
    <w:rsid w:val="00A7059D"/>
    <w:rsid w:val="00A705FF"/>
    <w:rsid w:val="00A7068A"/>
    <w:rsid w:val="00A70790"/>
    <w:rsid w:val="00A707B0"/>
    <w:rsid w:val="00A707BA"/>
    <w:rsid w:val="00A707DB"/>
    <w:rsid w:val="00A70856"/>
    <w:rsid w:val="00A7085F"/>
    <w:rsid w:val="00A70881"/>
    <w:rsid w:val="00A708BA"/>
    <w:rsid w:val="00A708F5"/>
    <w:rsid w:val="00A70901"/>
    <w:rsid w:val="00A7092F"/>
    <w:rsid w:val="00A70980"/>
    <w:rsid w:val="00A7099D"/>
    <w:rsid w:val="00A70A2D"/>
    <w:rsid w:val="00A70A6E"/>
    <w:rsid w:val="00A70A9E"/>
    <w:rsid w:val="00A70AAE"/>
    <w:rsid w:val="00A70AB9"/>
    <w:rsid w:val="00A70AD0"/>
    <w:rsid w:val="00A70B7E"/>
    <w:rsid w:val="00A70BC4"/>
    <w:rsid w:val="00A70BDA"/>
    <w:rsid w:val="00A70C5C"/>
    <w:rsid w:val="00A70C75"/>
    <w:rsid w:val="00A70CB4"/>
    <w:rsid w:val="00A70CE8"/>
    <w:rsid w:val="00A70D47"/>
    <w:rsid w:val="00A70DA2"/>
    <w:rsid w:val="00A70DD9"/>
    <w:rsid w:val="00A70E9F"/>
    <w:rsid w:val="00A70F8C"/>
    <w:rsid w:val="00A71016"/>
    <w:rsid w:val="00A7108D"/>
    <w:rsid w:val="00A7109B"/>
    <w:rsid w:val="00A7115E"/>
    <w:rsid w:val="00A71183"/>
    <w:rsid w:val="00A7125E"/>
    <w:rsid w:val="00A7130F"/>
    <w:rsid w:val="00A71335"/>
    <w:rsid w:val="00A713B7"/>
    <w:rsid w:val="00A71413"/>
    <w:rsid w:val="00A71416"/>
    <w:rsid w:val="00A7141C"/>
    <w:rsid w:val="00A71428"/>
    <w:rsid w:val="00A71429"/>
    <w:rsid w:val="00A7143D"/>
    <w:rsid w:val="00A71491"/>
    <w:rsid w:val="00A7151B"/>
    <w:rsid w:val="00A71526"/>
    <w:rsid w:val="00A715D2"/>
    <w:rsid w:val="00A71609"/>
    <w:rsid w:val="00A71634"/>
    <w:rsid w:val="00A71650"/>
    <w:rsid w:val="00A71678"/>
    <w:rsid w:val="00A716D2"/>
    <w:rsid w:val="00A71715"/>
    <w:rsid w:val="00A71720"/>
    <w:rsid w:val="00A7172A"/>
    <w:rsid w:val="00A71749"/>
    <w:rsid w:val="00A7176E"/>
    <w:rsid w:val="00A7178B"/>
    <w:rsid w:val="00A7178F"/>
    <w:rsid w:val="00A71847"/>
    <w:rsid w:val="00A71853"/>
    <w:rsid w:val="00A7187E"/>
    <w:rsid w:val="00A718B3"/>
    <w:rsid w:val="00A718B6"/>
    <w:rsid w:val="00A71902"/>
    <w:rsid w:val="00A7191E"/>
    <w:rsid w:val="00A7198B"/>
    <w:rsid w:val="00A719A5"/>
    <w:rsid w:val="00A71ACC"/>
    <w:rsid w:val="00A71B23"/>
    <w:rsid w:val="00A71B56"/>
    <w:rsid w:val="00A71BC5"/>
    <w:rsid w:val="00A71BD6"/>
    <w:rsid w:val="00A71BF7"/>
    <w:rsid w:val="00A71D0B"/>
    <w:rsid w:val="00A71D17"/>
    <w:rsid w:val="00A71D3C"/>
    <w:rsid w:val="00A71D9C"/>
    <w:rsid w:val="00A71DFB"/>
    <w:rsid w:val="00A71E92"/>
    <w:rsid w:val="00A71E9B"/>
    <w:rsid w:val="00A72019"/>
    <w:rsid w:val="00A7203E"/>
    <w:rsid w:val="00A72043"/>
    <w:rsid w:val="00A720A9"/>
    <w:rsid w:val="00A720F9"/>
    <w:rsid w:val="00A7214F"/>
    <w:rsid w:val="00A72177"/>
    <w:rsid w:val="00A721FC"/>
    <w:rsid w:val="00A7229C"/>
    <w:rsid w:val="00A72329"/>
    <w:rsid w:val="00A72331"/>
    <w:rsid w:val="00A7237E"/>
    <w:rsid w:val="00A723B6"/>
    <w:rsid w:val="00A72506"/>
    <w:rsid w:val="00A72553"/>
    <w:rsid w:val="00A725A3"/>
    <w:rsid w:val="00A7262D"/>
    <w:rsid w:val="00A72663"/>
    <w:rsid w:val="00A7267A"/>
    <w:rsid w:val="00A72698"/>
    <w:rsid w:val="00A726CE"/>
    <w:rsid w:val="00A7271D"/>
    <w:rsid w:val="00A72743"/>
    <w:rsid w:val="00A727A8"/>
    <w:rsid w:val="00A72814"/>
    <w:rsid w:val="00A728ED"/>
    <w:rsid w:val="00A728FE"/>
    <w:rsid w:val="00A7295E"/>
    <w:rsid w:val="00A729DB"/>
    <w:rsid w:val="00A729E7"/>
    <w:rsid w:val="00A72AA3"/>
    <w:rsid w:val="00A72AAE"/>
    <w:rsid w:val="00A72B00"/>
    <w:rsid w:val="00A72B2E"/>
    <w:rsid w:val="00A72B74"/>
    <w:rsid w:val="00A72BA2"/>
    <w:rsid w:val="00A72BB7"/>
    <w:rsid w:val="00A72BEC"/>
    <w:rsid w:val="00A72C3C"/>
    <w:rsid w:val="00A72C3D"/>
    <w:rsid w:val="00A72C76"/>
    <w:rsid w:val="00A72D14"/>
    <w:rsid w:val="00A72D33"/>
    <w:rsid w:val="00A72D38"/>
    <w:rsid w:val="00A72D52"/>
    <w:rsid w:val="00A72D82"/>
    <w:rsid w:val="00A72D97"/>
    <w:rsid w:val="00A72DE2"/>
    <w:rsid w:val="00A72E0A"/>
    <w:rsid w:val="00A72E27"/>
    <w:rsid w:val="00A72E46"/>
    <w:rsid w:val="00A72EA7"/>
    <w:rsid w:val="00A72EB7"/>
    <w:rsid w:val="00A72F66"/>
    <w:rsid w:val="00A72F7E"/>
    <w:rsid w:val="00A73015"/>
    <w:rsid w:val="00A7302C"/>
    <w:rsid w:val="00A7309F"/>
    <w:rsid w:val="00A730D4"/>
    <w:rsid w:val="00A7311B"/>
    <w:rsid w:val="00A73135"/>
    <w:rsid w:val="00A73149"/>
    <w:rsid w:val="00A7314E"/>
    <w:rsid w:val="00A73238"/>
    <w:rsid w:val="00A732E2"/>
    <w:rsid w:val="00A732F6"/>
    <w:rsid w:val="00A73351"/>
    <w:rsid w:val="00A73366"/>
    <w:rsid w:val="00A733FE"/>
    <w:rsid w:val="00A73407"/>
    <w:rsid w:val="00A7345C"/>
    <w:rsid w:val="00A7345F"/>
    <w:rsid w:val="00A734B5"/>
    <w:rsid w:val="00A734B8"/>
    <w:rsid w:val="00A7354C"/>
    <w:rsid w:val="00A73569"/>
    <w:rsid w:val="00A735B7"/>
    <w:rsid w:val="00A735D6"/>
    <w:rsid w:val="00A735F3"/>
    <w:rsid w:val="00A736CC"/>
    <w:rsid w:val="00A736F2"/>
    <w:rsid w:val="00A7374F"/>
    <w:rsid w:val="00A73765"/>
    <w:rsid w:val="00A73797"/>
    <w:rsid w:val="00A73842"/>
    <w:rsid w:val="00A7384A"/>
    <w:rsid w:val="00A7385B"/>
    <w:rsid w:val="00A73886"/>
    <w:rsid w:val="00A738C3"/>
    <w:rsid w:val="00A739DA"/>
    <w:rsid w:val="00A739F4"/>
    <w:rsid w:val="00A73A11"/>
    <w:rsid w:val="00A73A1F"/>
    <w:rsid w:val="00A73A8D"/>
    <w:rsid w:val="00A73AA6"/>
    <w:rsid w:val="00A73AB5"/>
    <w:rsid w:val="00A73ACC"/>
    <w:rsid w:val="00A73BB3"/>
    <w:rsid w:val="00A73C1A"/>
    <w:rsid w:val="00A73C8B"/>
    <w:rsid w:val="00A73CD8"/>
    <w:rsid w:val="00A73D19"/>
    <w:rsid w:val="00A73D63"/>
    <w:rsid w:val="00A73D8E"/>
    <w:rsid w:val="00A73DA3"/>
    <w:rsid w:val="00A73DE2"/>
    <w:rsid w:val="00A73DEE"/>
    <w:rsid w:val="00A73E1E"/>
    <w:rsid w:val="00A73E33"/>
    <w:rsid w:val="00A73EAA"/>
    <w:rsid w:val="00A7401C"/>
    <w:rsid w:val="00A74042"/>
    <w:rsid w:val="00A7407F"/>
    <w:rsid w:val="00A7409E"/>
    <w:rsid w:val="00A741F1"/>
    <w:rsid w:val="00A74204"/>
    <w:rsid w:val="00A7429E"/>
    <w:rsid w:val="00A742B5"/>
    <w:rsid w:val="00A74343"/>
    <w:rsid w:val="00A743ED"/>
    <w:rsid w:val="00A745EE"/>
    <w:rsid w:val="00A7461E"/>
    <w:rsid w:val="00A74664"/>
    <w:rsid w:val="00A746EB"/>
    <w:rsid w:val="00A74704"/>
    <w:rsid w:val="00A747B1"/>
    <w:rsid w:val="00A7482E"/>
    <w:rsid w:val="00A7483D"/>
    <w:rsid w:val="00A7488D"/>
    <w:rsid w:val="00A74934"/>
    <w:rsid w:val="00A7493D"/>
    <w:rsid w:val="00A74947"/>
    <w:rsid w:val="00A749F7"/>
    <w:rsid w:val="00A74B75"/>
    <w:rsid w:val="00A74BD3"/>
    <w:rsid w:val="00A74BE0"/>
    <w:rsid w:val="00A74C69"/>
    <w:rsid w:val="00A74C91"/>
    <w:rsid w:val="00A74CA2"/>
    <w:rsid w:val="00A74CEC"/>
    <w:rsid w:val="00A74D68"/>
    <w:rsid w:val="00A74D7D"/>
    <w:rsid w:val="00A74DB6"/>
    <w:rsid w:val="00A74DD6"/>
    <w:rsid w:val="00A74DDA"/>
    <w:rsid w:val="00A74DE2"/>
    <w:rsid w:val="00A74DFD"/>
    <w:rsid w:val="00A74E0C"/>
    <w:rsid w:val="00A74E8C"/>
    <w:rsid w:val="00A74EB1"/>
    <w:rsid w:val="00A74EED"/>
    <w:rsid w:val="00A74F1D"/>
    <w:rsid w:val="00A74F20"/>
    <w:rsid w:val="00A74F5E"/>
    <w:rsid w:val="00A74F9D"/>
    <w:rsid w:val="00A74FCD"/>
    <w:rsid w:val="00A74FE4"/>
    <w:rsid w:val="00A75037"/>
    <w:rsid w:val="00A750B5"/>
    <w:rsid w:val="00A750DF"/>
    <w:rsid w:val="00A75142"/>
    <w:rsid w:val="00A7515C"/>
    <w:rsid w:val="00A751AA"/>
    <w:rsid w:val="00A751B0"/>
    <w:rsid w:val="00A751D4"/>
    <w:rsid w:val="00A75236"/>
    <w:rsid w:val="00A752D7"/>
    <w:rsid w:val="00A75349"/>
    <w:rsid w:val="00A75378"/>
    <w:rsid w:val="00A753CF"/>
    <w:rsid w:val="00A754C6"/>
    <w:rsid w:val="00A754FB"/>
    <w:rsid w:val="00A75536"/>
    <w:rsid w:val="00A75564"/>
    <w:rsid w:val="00A7558A"/>
    <w:rsid w:val="00A75592"/>
    <w:rsid w:val="00A755E4"/>
    <w:rsid w:val="00A75632"/>
    <w:rsid w:val="00A75674"/>
    <w:rsid w:val="00A7568A"/>
    <w:rsid w:val="00A756CB"/>
    <w:rsid w:val="00A75737"/>
    <w:rsid w:val="00A7574A"/>
    <w:rsid w:val="00A75769"/>
    <w:rsid w:val="00A7579E"/>
    <w:rsid w:val="00A758F0"/>
    <w:rsid w:val="00A7592E"/>
    <w:rsid w:val="00A75961"/>
    <w:rsid w:val="00A75985"/>
    <w:rsid w:val="00A7598D"/>
    <w:rsid w:val="00A75A19"/>
    <w:rsid w:val="00A75A48"/>
    <w:rsid w:val="00A75A74"/>
    <w:rsid w:val="00A75A9E"/>
    <w:rsid w:val="00A75AAE"/>
    <w:rsid w:val="00A75AC5"/>
    <w:rsid w:val="00A75AF7"/>
    <w:rsid w:val="00A75AF9"/>
    <w:rsid w:val="00A75B63"/>
    <w:rsid w:val="00A75C0B"/>
    <w:rsid w:val="00A75D01"/>
    <w:rsid w:val="00A75D20"/>
    <w:rsid w:val="00A75D43"/>
    <w:rsid w:val="00A75D67"/>
    <w:rsid w:val="00A75D6D"/>
    <w:rsid w:val="00A75E39"/>
    <w:rsid w:val="00A75E9B"/>
    <w:rsid w:val="00A75EB6"/>
    <w:rsid w:val="00A75ECC"/>
    <w:rsid w:val="00A75EF8"/>
    <w:rsid w:val="00A75F2D"/>
    <w:rsid w:val="00A75FD3"/>
    <w:rsid w:val="00A75FD6"/>
    <w:rsid w:val="00A75FE1"/>
    <w:rsid w:val="00A75FF5"/>
    <w:rsid w:val="00A7604B"/>
    <w:rsid w:val="00A7608E"/>
    <w:rsid w:val="00A760CE"/>
    <w:rsid w:val="00A760D5"/>
    <w:rsid w:val="00A76122"/>
    <w:rsid w:val="00A7613C"/>
    <w:rsid w:val="00A7616D"/>
    <w:rsid w:val="00A7617B"/>
    <w:rsid w:val="00A76192"/>
    <w:rsid w:val="00A761AF"/>
    <w:rsid w:val="00A761CC"/>
    <w:rsid w:val="00A761D3"/>
    <w:rsid w:val="00A761F7"/>
    <w:rsid w:val="00A7621C"/>
    <w:rsid w:val="00A76229"/>
    <w:rsid w:val="00A7624A"/>
    <w:rsid w:val="00A76273"/>
    <w:rsid w:val="00A762E0"/>
    <w:rsid w:val="00A762F5"/>
    <w:rsid w:val="00A7632F"/>
    <w:rsid w:val="00A76373"/>
    <w:rsid w:val="00A763A0"/>
    <w:rsid w:val="00A763BF"/>
    <w:rsid w:val="00A7640B"/>
    <w:rsid w:val="00A76444"/>
    <w:rsid w:val="00A7646C"/>
    <w:rsid w:val="00A76495"/>
    <w:rsid w:val="00A764B8"/>
    <w:rsid w:val="00A764BE"/>
    <w:rsid w:val="00A76529"/>
    <w:rsid w:val="00A7656C"/>
    <w:rsid w:val="00A76571"/>
    <w:rsid w:val="00A7658D"/>
    <w:rsid w:val="00A76602"/>
    <w:rsid w:val="00A7660E"/>
    <w:rsid w:val="00A76636"/>
    <w:rsid w:val="00A7666F"/>
    <w:rsid w:val="00A766F7"/>
    <w:rsid w:val="00A767E0"/>
    <w:rsid w:val="00A767F7"/>
    <w:rsid w:val="00A7681A"/>
    <w:rsid w:val="00A7683D"/>
    <w:rsid w:val="00A7685F"/>
    <w:rsid w:val="00A7689C"/>
    <w:rsid w:val="00A768BE"/>
    <w:rsid w:val="00A76951"/>
    <w:rsid w:val="00A769C8"/>
    <w:rsid w:val="00A769D8"/>
    <w:rsid w:val="00A76A42"/>
    <w:rsid w:val="00A76A45"/>
    <w:rsid w:val="00A76A4F"/>
    <w:rsid w:val="00A76A56"/>
    <w:rsid w:val="00A76A7F"/>
    <w:rsid w:val="00A76A88"/>
    <w:rsid w:val="00A76A9D"/>
    <w:rsid w:val="00A76AEC"/>
    <w:rsid w:val="00A76B20"/>
    <w:rsid w:val="00A76B93"/>
    <w:rsid w:val="00A76BE3"/>
    <w:rsid w:val="00A76BED"/>
    <w:rsid w:val="00A76BEE"/>
    <w:rsid w:val="00A76C5D"/>
    <w:rsid w:val="00A76C7B"/>
    <w:rsid w:val="00A76DE4"/>
    <w:rsid w:val="00A76DF0"/>
    <w:rsid w:val="00A76E19"/>
    <w:rsid w:val="00A76E33"/>
    <w:rsid w:val="00A76E3A"/>
    <w:rsid w:val="00A76E57"/>
    <w:rsid w:val="00A76E6C"/>
    <w:rsid w:val="00A76EA9"/>
    <w:rsid w:val="00A76EEF"/>
    <w:rsid w:val="00A76F33"/>
    <w:rsid w:val="00A76F4A"/>
    <w:rsid w:val="00A76F5C"/>
    <w:rsid w:val="00A76FA5"/>
    <w:rsid w:val="00A76FCE"/>
    <w:rsid w:val="00A77005"/>
    <w:rsid w:val="00A77078"/>
    <w:rsid w:val="00A77082"/>
    <w:rsid w:val="00A770A3"/>
    <w:rsid w:val="00A77122"/>
    <w:rsid w:val="00A771C7"/>
    <w:rsid w:val="00A77220"/>
    <w:rsid w:val="00A7724F"/>
    <w:rsid w:val="00A77264"/>
    <w:rsid w:val="00A7728B"/>
    <w:rsid w:val="00A77319"/>
    <w:rsid w:val="00A7731E"/>
    <w:rsid w:val="00A7745F"/>
    <w:rsid w:val="00A774A7"/>
    <w:rsid w:val="00A77536"/>
    <w:rsid w:val="00A77547"/>
    <w:rsid w:val="00A77566"/>
    <w:rsid w:val="00A7757C"/>
    <w:rsid w:val="00A775E8"/>
    <w:rsid w:val="00A77611"/>
    <w:rsid w:val="00A77620"/>
    <w:rsid w:val="00A77690"/>
    <w:rsid w:val="00A77698"/>
    <w:rsid w:val="00A776C3"/>
    <w:rsid w:val="00A7772B"/>
    <w:rsid w:val="00A7773D"/>
    <w:rsid w:val="00A7777D"/>
    <w:rsid w:val="00A777D5"/>
    <w:rsid w:val="00A777D8"/>
    <w:rsid w:val="00A7781C"/>
    <w:rsid w:val="00A7781D"/>
    <w:rsid w:val="00A7789A"/>
    <w:rsid w:val="00A778E5"/>
    <w:rsid w:val="00A778E8"/>
    <w:rsid w:val="00A778FB"/>
    <w:rsid w:val="00A779A7"/>
    <w:rsid w:val="00A779CC"/>
    <w:rsid w:val="00A779D9"/>
    <w:rsid w:val="00A77A00"/>
    <w:rsid w:val="00A77A02"/>
    <w:rsid w:val="00A77A03"/>
    <w:rsid w:val="00A77A0B"/>
    <w:rsid w:val="00A77A80"/>
    <w:rsid w:val="00A77A91"/>
    <w:rsid w:val="00A77AFF"/>
    <w:rsid w:val="00A77B24"/>
    <w:rsid w:val="00A77B51"/>
    <w:rsid w:val="00A77C16"/>
    <w:rsid w:val="00A77CA1"/>
    <w:rsid w:val="00A77CFB"/>
    <w:rsid w:val="00A77D57"/>
    <w:rsid w:val="00A77D63"/>
    <w:rsid w:val="00A77D83"/>
    <w:rsid w:val="00A77DC0"/>
    <w:rsid w:val="00A77DC2"/>
    <w:rsid w:val="00A77E3F"/>
    <w:rsid w:val="00A77EBC"/>
    <w:rsid w:val="00A77EBE"/>
    <w:rsid w:val="00A77EC3"/>
    <w:rsid w:val="00A77F06"/>
    <w:rsid w:val="00A77F26"/>
    <w:rsid w:val="00A77F7B"/>
    <w:rsid w:val="00A77F7D"/>
    <w:rsid w:val="00A77FA5"/>
    <w:rsid w:val="00A77FAA"/>
    <w:rsid w:val="00A77FDA"/>
    <w:rsid w:val="00A77FE9"/>
    <w:rsid w:val="00A77FF6"/>
    <w:rsid w:val="00A80078"/>
    <w:rsid w:val="00A800D2"/>
    <w:rsid w:val="00A800EE"/>
    <w:rsid w:val="00A800F1"/>
    <w:rsid w:val="00A800FA"/>
    <w:rsid w:val="00A801BA"/>
    <w:rsid w:val="00A801DD"/>
    <w:rsid w:val="00A8023E"/>
    <w:rsid w:val="00A8027A"/>
    <w:rsid w:val="00A802ED"/>
    <w:rsid w:val="00A8034B"/>
    <w:rsid w:val="00A80431"/>
    <w:rsid w:val="00A804F1"/>
    <w:rsid w:val="00A804FF"/>
    <w:rsid w:val="00A80517"/>
    <w:rsid w:val="00A8056F"/>
    <w:rsid w:val="00A805A4"/>
    <w:rsid w:val="00A805AA"/>
    <w:rsid w:val="00A805AC"/>
    <w:rsid w:val="00A80625"/>
    <w:rsid w:val="00A80686"/>
    <w:rsid w:val="00A8078E"/>
    <w:rsid w:val="00A80794"/>
    <w:rsid w:val="00A8087F"/>
    <w:rsid w:val="00A8089A"/>
    <w:rsid w:val="00A808F7"/>
    <w:rsid w:val="00A80950"/>
    <w:rsid w:val="00A80962"/>
    <w:rsid w:val="00A809E7"/>
    <w:rsid w:val="00A80A64"/>
    <w:rsid w:val="00A80A98"/>
    <w:rsid w:val="00A80AF0"/>
    <w:rsid w:val="00A80B48"/>
    <w:rsid w:val="00A80B4F"/>
    <w:rsid w:val="00A80B6A"/>
    <w:rsid w:val="00A80B6D"/>
    <w:rsid w:val="00A80BA0"/>
    <w:rsid w:val="00A80BF9"/>
    <w:rsid w:val="00A80C44"/>
    <w:rsid w:val="00A80C4A"/>
    <w:rsid w:val="00A80C8A"/>
    <w:rsid w:val="00A80CBB"/>
    <w:rsid w:val="00A80CF8"/>
    <w:rsid w:val="00A80CFE"/>
    <w:rsid w:val="00A80D90"/>
    <w:rsid w:val="00A80DAA"/>
    <w:rsid w:val="00A80DD1"/>
    <w:rsid w:val="00A80DF5"/>
    <w:rsid w:val="00A80E64"/>
    <w:rsid w:val="00A80E77"/>
    <w:rsid w:val="00A80F8D"/>
    <w:rsid w:val="00A80FB1"/>
    <w:rsid w:val="00A80FDC"/>
    <w:rsid w:val="00A81010"/>
    <w:rsid w:val="00A8102E"/>
    <w:rsid w:val="00A810CD"/>
    <w:rsid w:val="00A810E4"/>
    <w:rsid w:val="00A810F5"/>
    <w:rsid w:val="00A81140"/>
    <w:rsid w:val="00A81147"/>
    <w:rsid w:val="00A81148"/>
    <w:rsid w:val="00A81163"/>
    <w:rsid w:val="00A81184"/>
    <w:rsid w:val="00A81263"/>
    <w:rsid w:val="00A81283"/>
    <w:rsid w:val="00A812F4"/>
    <w:rsid w:val="00A81390"/>
    <w:rsid w:val="00A81435"/>
    <w:rsid w:val="00A814DB"/>
    <w:rsid w:val="00A81504"/>
    <w:rsid w:val="00A81539"/>
    <w:rsid w:val="00A815A1"/>
    <w:rsid w:val="00A815A7"/>
    <w:rsid w:val="00A815B5"/>
    <w:rsid w:val="00A815DB"/>
    <w:rsid w:val="00A8165F"/>
    <w:rsid w:val="00A816B3"/>
    <w:rsid w:val="00A81716"/>
    <w:rsid w:val="00A81753"/>
    <w:rsid w:val="00A81774"/>
    <w:rsid w:val="00A81781"/>
    <w:rsid w:val="00A817CF"/>
    <w:rsid w:val="00A817D1"/>
    <w:rsid w:val="00A817F6"/>
    <w:rsid w:val="00A8186F"/>
    <w:rsid w:val="00A818B8"/>
    <w:rsid w:val="00A818CB"/>
    <w:rsid w:val="00A818DD"/>
    <w:rsid w:val="00A81913"/>
    <w:rsid w:val="00A81926"/>
    <w:rsid w:val="00A819D0"/>
    <w:rsid w:val="00A81A4F"/>
    <w:rsid w:val="00A81A89"/>
    <w:rsid w:val="00A81B10"/>
    <w:rsid w:val="00A81B32"/>
    <w:rsid w:val="00A81B3E"/>
    <w:rsid w:val="00A81B79"/>
    <w:rsid w:val="00A81BAE"/>
    <w:rsid w:val="00A81C23"/>
    <w:rsid w:val="00A81C24"/>
    <w:rsid w:val="00A81C7E"/>
    <w:rsid w:val="00A81D7F"/>
    <w:rsid w:val="00A81DBB"/>
    <w:rsid w:val="00A81DD5"/>
    <w:rsid w:val="00A81EBA"/>
    <w:rsid w:val="00A81FEF"/>
    <w:rsid w:val="00A82007"/>
    <w:rsid w:val="00A82031"/>
    <w:rsid w:val="00A8203E"/>
    <w:rsid w:val="00A8208A"/>
    <w:rsid w:val="00A821CB"/>
    <w:rsid w:val="00A82360"/>
    <w:rsid w:val="00A82417"/>
    <w:rsid w:val="00A82418"/>
    <w:rsid w:val="00A82431"/>
    <w:rsid w:val="00A82451"/>
    <w:rsid w:val="00A8246B"/>
    <w:rsid w:val="00A82505"/>
    <w:rsid w:val="00A82534"/>
    <w:rsid w:val="00A825B5"/>
    <w:rsid w:val="00A825B7"/>
    <w:rsid w:val="00A82630"/>
    <w:rsid w:val="00A826D2"/>
    <w:rsid w:val="00A82730"/>
    <w:rsid w:val="00A82773"/>
    <w:rsid w:val="00A82785"/>
    <w:rsid w:val="00A8279C"/>
    <w:rsid w:val="00A8289D"/>
    <w:rsid w:val="00A828AC"/>
    <w:rsid w:val="00A828CB"/>
    <w:rsid w:val="00A82931"/>
    <w:rsid w:val="00A82952"/>
    <w:rsid w:val="00A82993"/>
    <w:rsid w:val="00A829CF"/>
    <w:rsid w:val="00A829EC"/>
    <w:rsid w:val="00A82AE8"/>
    <w:rsid w:val="00A82B82"/>
    <w:rsid w:val="00A82BEA"/>
    <w:rsid w:val="00A82BEF"/>
    <w:rsid w:val="00A82CB2"/>
    <w:rsid w:val="00A82D08"/>
    <w:rsid w:val="00A82D29"/>
    <w:rsid w:val="00A82D99"/>
    <w:rsid w:val="00A82DD9"/>
    <w:rsid w:val="00A82DF9"/>
    <w:rsid w:val="00A82E0A"/>
    <w:rsid w:val="00A82E26"/>
    <w:rsid w:val="00A82E94"/>
    <w:rsid w:val="00A82EFA"/>
    <w:rsid w:val="00A82F91"/>
    <w:rsid w:val="00A82FD6"/>
    <w:rsid w:val="00A8301A"/>
    <w:rsid w:val="00A8305B"/>
    <w:rsid w:val="00A830FF"/>
    <w:rsid w:val="00A8311D"/>
    <w:rsid w:val="00A83120"/>
    <w:rsid w:val="00A8313F"/>
    <w:rsid w:val="00A83153"/>
    <w:rsid w:val="00A8320E"/>
    <w:rsid w:val="00A83241"/>
    <w:rsid w:val="00A83269"/>
    <w:rsid w:val="00A83276"/>
    <w:rsid w:val="00A83291"/>
    <w:rsid w:val="00A832C8"/>
    <w:rsid w:val="00A83392"/>
    <w:rsid w:val="00A833B0"/>
    <w:rsid w:val="00A833BD"/>
    <w:rsid w:val="00A834CF"/>
    <w:rsid w:val="00A83513"/>
    <w:rsid w:val="00A83586"/>
    <w:rsid w:val="00A8358A"/>
    <w:rsid w:val="00A8359B"/>
    <w:rsid w:val="00A8363C"/>
    <w:rsid w:val="00A8364E"/>
    <w:rsid w:val="00A837CC"/>
    <w:rsid w:val="00A8380B"/>
    <w:rsid w:val="00A8388D"/>
    <w:rsid w:val="00A838CF"/>
    <w:rsid w:val="00A83928"/>
    <w:rsid w:val="00A8392B"/>
    <w:rsid w:val="00A83933"/>
    <w:rsid w:val="00A83973"/>
    <w:rsid w:val="00A83A07"/>
    <w:rsid w:val="00A83A5B"/>
    <w:rsid w:val="00A83A82"/>
    <w:rsid w:val="00A83C1A"/>
    <w:rsid w:val="00A83C51"/>
    <w:rsid w:val="00A83C7F"/>
    <w:rsid w:val="00A83CDD"/>
    <w:rsid w:val="00A83CDE"/>
    <w:rsid w:val="00A83DC5"/>
    <w:rsid w:val="00A83DE3"/>
    <w:rsid w:val="00A83E2E"/>
    <w:rsid w:val="00A83E92"/>
    <w:rsid w:val="00A83EB7"/>
    <w:rsid w:val="00A83EEA"/>
    <w:rsid w:val="00A83FC7"/>
    <w:rsid w:val="00A83FED"/>
    <w:rsid w:val="00A83FF7"/>
    <w:rsid w:val="00A84032"/>
    <w:rsid w:val="00A8407A"/>
    <w:rsid w:val="00A840C4"/>
    <w:rsid w:val="00A840E3"/>
    <w:rsid w:val="00A840E5"/>
    <w:rsid w:val="00A84106"/>
    <w:rsid w:val="00A84111"/>
    <w:rsid w:val="00A84114"/>
    <w:rsid w:val="00A8411F"/>
    <w:rsid w:val="00A84232"/>
    <w:rsid w:val="00A84253"/>
    <w:rsid w:val="00A842CB"/>
    <w:rsid w:val="00A8433C"/>
    <w:rsid w:val="00A84351"/>
    <w:rsid w:val="00A843B8"/>
    <w:rsid w:val="00A843DB"/>
    <w:rsid w:val="00A8443D"/>
    <w:rsid w:val="00A8447A"/>
    <w:rsid w:val="00A844D3"/>
    <w:rsid w:val="00A844F0"/>
    <w:rsid w:val="00A844FB"/>
    <w:rsid w:val="00A84509"/>
    <w:rsid w:val="00A8451E"/>
    <w:rsid w:val="00A8458D"/>
    <w:rsid w:val="00A8459F"/>
    <w:rsid w:val="00A84697"/>
    <w:rsid w:val="00A8474E"/>
    <w:rsid w:val="00A8477A"/>
    <w:rsid w:val="00A84805"/>
    <w:rsid w:val="00A8480A"/>
    <w:rsid w:val="00A84859"/>
    <w:rsid w:val="00A8492A"/>
    <w:rsid w:val="00A8494D"/>
    <w:rsid w:val="00A84968"/>
    <w:rsid w:val="00A849AC"/>
    <w:rsid w:val="00A849C6"/>
    <w:rsid w:val="00A849DD"/>
    <w:rsid w:val="00A849E8"/>
    <w:rsid w:val="00A84A7F"/>
    <w:rsid w:val="00A84AD9"/>
    <w:rsid w:val="00A84B08"/>
    <w:rsid w:val="00A84B4F"/>
    <w:rsid w:val="00A84B69"/>
    <w:rsid w:val="00A84B83"/>
    <w:rsid w:val="00A84B85"/>
    <w:rsid w:val="00A84B8A"/>
    <w:rsid w:val="00A84B99"/>
    <w:rsid w:val="00A84BD7"/>
    <w:rsid w:val="00A84C2E"/>
    <w:rsid w:val="00A84C64"/>
    <w:rsid w:val="00A84CAB"/>
    <w:rsid w:val="00A84CC7"/>
    <w:rsid w:val="00A84D99"/>
    <w:rsid w:val="00A84DA7"/>
    <w:rsid w:val="00A84DD5"/>
    <w:rsid w:val="00A84E6A"/>
    <w:rsid w:val="00A84E8A"/>
    <w:rsid w:val="00A84EAD"/>
    <w:rsid w:val="00A84ED3"/>
    <w:rsid w:val="00A84F1D"/>
    <w:rsid w:val="00A84FB6"/>
    <w:rsid w:val="00A85001"/>
    <w:rsid w:val="00A8500B"/>
    <w:rsid w:val="00A85032"/>
    <w:rsid w:val="00A85066"/>
    <w:rsid w:val="00A8509C"/>
    <w:rsid w:val="00A850B1"/>
    <w:rsid w:val="00A850CD"/>
    <w:rsid w:val="00A850D1"/>
    <w:rsid w:val="00A85128"/>
    <w:rsid w:val="00A85168"/>
    <w:rsid w:val="00A851B6"/>
    <w:rsid w:val="00A8525B"/>
    <w:rsid w:val="00A85268"/>
    <w:rsid w:val="00A8526E"/>
    <w:rsid w:val="00A852EB"/>
    <w:rsid w:val="00A852F3"/>
    <w:rsid w:val="00A85378"/>
    <w:rsid w:val="00A853DA"/>
    <w:rsid w:val="00A85409"/>
    <w:rsid w:val="00A85420"/>
    <w:rsid w:val="00A85534"/>
    <w:rsid w:val="00A855A6"/>
    <w:rsid w:val="00A85614"/>
    <w:rsid w:val="00A85776"/>
    <w:rsid w:val="00A857AD"/>
    <w:rsid w:val="00A857F8"/>
    <w:rsid w:val="00A85809"/>
    <w:rsid w:val="00A85810"/>
    <w:rsid w:val="00A85851"/>
    <w:rsid w:val="00A8586F"/>
    <w:rsid w:val="00A858F4"/>
    <w:rsid w:val="00A858F7"/>
    <w:rsid w:val="00A859F2"/>
    <w:rsid w:val="00A85A9F"/>
    <w:rsid w:val="00A85AA8"/>
    <w:rsid w:val="00A85AAC"/>
    <w:rsid w:val="00A85AC8"/>
    <w:rsid w:val="00A85ACE"/>
    <w:rsid w:val="00A85B22"/>
    <w:rsid w:val="00A85B39"/>
    <w:rsid w:val="00A85B41"/>
    <w:rsid w:val="00A85B73"/>
    <w:rsid w:val="00A85B7F"/>
    <w:rsid w:val="00A85C60"/>
    <w:rsid w:val="00A85CE2"/>
    <w:rsid w:val="00A85D78"/>
    <w:rsid w:val="00A85E16"/>
    <w:rsid w:val="00A85E1C"/>
    <w:rsid w:val="00A85EB3"/>
    <w:rsid w:val="00A85EBC"/>
    <w:rsid w:val="00A85F06"/>
    <w:rsid w:val="00A85F24"/>
    <w:rsid w:val="00A85F2F"/>
    <w:rsid w:val="00A85F41"/>
    <w:rsid w:val="00A86026"/>
    <w:rsid w:val="00A8608D"/>
    <w:rsid w:val="00A860C2"/>
    <w:rsid w:val="00A86141"/>
    <w:rsid w:val="00A86155"/>
    <w:rsid w:val="00A8618C"/>
    <w:rsid w:val="00A861AF"/>
    <w:rsid w:val="00A861D2"/>
    <w:rsid w:val="00A861F7"/>
    <w:rsid w:val="00A86278"/>
    <w:rsid w:val="00A86298"/>
    <w:rsid w:val="00A862E9"/>
    <w:rsid w:val="00A86323"/>
    <w:rsid w:val="00A86356"/>
    <w:rsid w:val="00A86360"/>
    <w:rsid w:val="00A863C1"/>
    <w:rsid w:val="00A863D0"/>
    <w:rsid w:val="00A863DD"/>
    <w:rsid w:val="00A863F5"/>
    <w:rsid w:val="00A8643A"/>
    <w:rsid w:val="00A8645F"/>
    <w:rsid w:val="00A86469"/>
    <w:rsid w:val="00A864CD"/>
    <w:rsid w:val="00A86530"/>
    <w:rsid w:val="00A86545"/>
    <w:rsid w:val="00A8655C"/>
    <w:rsid w:val="00A8655F"/>
    <w:rsid w:val="00A865D4"/>
    <w:rsid w:val="00A865EA"/>
    <w:rsid w:val="00A86647"/>
    <w:rsid w:val="00A86693"/>
    <w:rsid w:val="00A86720"/>
    <w:rsid w:val="00A86746"/>
    <w:rsid w:val="00A8674B"/>
    <w:rsid w:val="00A867B7"/>
    <w:rsid w:val="00A867C8"/>
    <w:rsid w:val="00A867F7"/>
    <w:rsid w:val="00A8681E"/>
    <w:rsid w:val="00A868E0"/>
    <w:rsid w:val="00A868F1"/>
    <w:rsid w:val="00A86945"/>
    <w:rsid w:val="00A86952"/>
    <w:rsid w:val="00A869A3"/>
    <w:rsid w:val="00A869F6"/>
    <w:rsid w:val="00A86A33"/>
    <w:rsid w:val="00A86A49"/>
    <w:rsid w:val="00A86A53"/>
    <w:rsid w:val="00A86A80"/>
    <w:rsid w:val="00A86AA7"/>
    <w:rsid w:val="00A86AC7"/>
    <w:rsid w:val="00A86ACD"/>
    <w:rsid w:val="00A86ADA"/>
    <w:rsid w:val="00A86AE9"/>
    <w:rsid w:val="00A86AEC"/>
    <w:rsid w:val="00A86B5F"/>
    <w:rsid w:val="00A86B9D"/>
    <w:rsid w:val="00A86BCF"/>
    <w:rsid w:val="00A86C30"/>
    <w:rsid w:val="00A86C61"/>
    <w:rsid w:val="00A86CDF"/>
    <w:rsid w:val="00A86D16"/>
    <w:rsid w:val="00A86D3B"/>
    <w:rsid w:val="00A86D67"/>
    <w:rsid w:val="00A86D9F"/>
    <w:rsid w:val="00A86DD6"/>
    <w:rsid w:val="00A86DFC"/>
    <w:rsid w:val="00A86E00"/>
    <w:rsid w:val="00A86E14"/>
    <w:rsid w:val="00A86E86"/>
    <w:rsid w:val="00A86ECF"/>
    <w:rsid w:val="00A86ED5"/>
    <w:rsid w:val="00A86EF3"/>
    <w:rsid w:val="00A86F0C"/>
    <w:rsid w:val="00A86F92"/>
    <w:rsid w:val="00A86FCA"/>
    <w:rsid w:val="00A87008"/>
    <w:rsid w:val="00A87028"/>
    <w:rsid w:val="00A87073"/>
    <w:rsid w:val="00A870B5"/>
    <w:rsid w:val="00A870BF"/>
    <w:rsid w:val="00A870C3"/>
    <w:rsid w:val="00A870E1"/>
    <w:rsid w:val="00A870FA"/>
    <w:rsid w:val="00A87241"/>
    <w:rsid w:val="00A8730F"/>
    <w:rsid w:val="00A8736C"/>
    <w:rsid w:val="00A8736F"/>
    <w:rsid w:val="00A8739F"/>
    <w:rsid w:val="00A873E6"/>
    <w:rsid w:val="00A873EE"/>
    <w:rsid w:val="00A87425"/>
    <w:rsid w:val="00A87465"/>
    <w:rsid w:val="00A8747C"/>
    <w:rsid w:val="00A874AB"/>
    <w:rsid w:val="00A874AF"/>
    <w:rsid w:val="00A875B1"/>
    <w:rsid w:val="00A875B9"/>
    <w:rsid w:val="00A875C9"/>
    <w:rsid w:val="00A87639"/>
    <w:rsid w:val="00A8763B"/>
    <w:rsid w:val="00A87649"/>
    <w:rsid w:val="00A876C7"/>
    <w:rsid w:val="00A876DD"/>
    <w:rsid w:val="00A87766"/>
    <w:rsid w:val="00A877DB"/>
    <w:rsid w:val="00A878AF"/>
    <w:rsid w:val="00A878C1"/>
    <w:rsid w:val="00A8790E"/>
    <w:rsid w:val="00A87950"/>
    <w:rsid w:val="00A87952"/>
    <w:rsid w:val="00A879DB"/>
    <w:rsid w:val="00A879F4"/>
    <w:rsid w:val="00A87A15"/>
    <w:rsid w:val="00A87A26"/>
    <w:rsid w:val="00A87A96"/>
    <w:rsid w:val="00A87B2A"/>
    <w:rsid w:val="00A87B36"/>
    <w:rsid w:val="00A87B58"/>
    <w:rsid w:val="00A87B92"/>
    <w:rsid w:val="00A87BCF"/>
    <w:rsid w:val="00A87BF6"/>
    <w:rsid w:val="00A87C71"/>
    <w:rsid w:val="00A87CB6"/>
    <w:rsid w:val="00A87CB9"/>
    <w:rsid w:val="00A87CBB"/>
    <w:rsid w:val="00A87D3B"/>
    <w:rsid w:val="00A87D4F"/>
    <w:rsid w:val="00A87D62"/>
    <w:rsid w:val="00A87D97"/>
    <w:rsid w:val="00A87DE4"/>
    <w:rsid w:val="00A87E4F"/>
    <w:rsid w:val="00A87ECF"/>
    <w:rsid w:val="00A87EF8"/>
    <w:rsid w:val="00A87EFE"/>
    <w:rsid w:val="00A87FAB"/>
    <w:rsid w:val="00A87FD9"/>
    <w:rsid w:val="00A9004A"/>
    <w:rsid w:val="00A90065"/>
    <w:rsid w:val="00A900D0"/>
    <w:rsid w:val="00A90198"/>
    <w:rsid w:val="00A901DD"/>
    <w:rsid w:val="00A901DE"/>
    <w:rsid w:val="00A90259"/>
    <w:rsid w:val="00A902A1"/>
    <w:rsid w:val="00A90315"/>
    <w:rsid w:val="00A90320"/>
    <w:rsid w:val="00A90329"/>
    <w:rsid w:val="00A9032A"/>
    <w:rsid w:val="00A90351"/>
    <w:rsid w:val="00A903B3"/>
    <w:rsid w:val="00A90401"/>
    <w:rsid w:val="00A9041D"/>
    <w:rsid w:val="00A9047D"/>
    <w:rsid w:val="00A90487"/>
    <w:rsid w:val="00A9049B"/>
    <w:rsid w:val="00A904F0"/>
    <w:rsid w:val="00A90539"/>
    <w:rsid w:val="00A9053F"/>
    <w:rsid w:val="00A90660"/>
    <w:rsid w:val="00A90724"/>
    <w:rsid w:val="00A90725"/>
    <w:rsid w:val="00A90776"/>
    <w:rsid w:val="00A907FD"/>
    <w:rsid w:val="00A9080F"/>
    <w:rsid w:val="00A908ED"/>
    <w:rsid w:val="00A908FF"/>
    <w:rsid w:val="00A909BD"/>
    <w:rsid w:val="00A909C1"/>
    <w:rsid w:val="00A90A10"/>
    <w:rsid w:val="00A90A63"/>
    <w:rsid w:val="00A90AE5"/>
    <w:rsid w:val="00A90B73"/>
    <w:rsid w:val="00A90BC7"/>
    <w:rsid w:val="00A90BD4"/>
    <w:rsid w:val="00A90CA1"/>
    <w:rsid w:val="00A90CE3"/>
    <w:rsid w:val="00A90D29"/>
    <w:rsid w:val="00A90D4D"/>
    <w:rsid w:val="00A90DB8"/>
    <w:rsid w:val="00A90E68"/>
    <w:rsid w:val="00A90E78"/>
    <w:rsid w:val="00A90ECF"/>
    <w:rsid w:val="00A90EDD"/>
    <w:rsid w:val="00A90EEA"/>
    <w:rsid w:val="00A90F33"/>
    <w:rsid w:val="00A90F6E"/>
    <w:rsid w:val="00A90F86"/>
    <w:rsid w:val="00A90FED"/>
    <w:rsid w:val="00A90FEF"/>
    <w:rsid w:val="00A91009"/>
    <w:rsid w:val="00A910AF"/>
    <w:rsid w:val="00A910E6"/>
    <w:rsid w:val="00A910EA"/>
    <w:rsid w:val="00A910EC"/>
    <w:rsid w:val="00A910ED"/>
    <w:rsid w:val="00A9110D"/>
    <w:rsid w:val="00A91128"/>
    <w:rsid w:val="00A911D3"/>
    <w:rsid w:val="00A911FE"/>
    <w:rsid w:val="00A91233"/>
    <w:rsid w:val="00A91235"/>
    <w:rsid w:val="00A9124D"/>
    <w:rsid w:val="00A91250"/>
    <w:rsid w:val="00A91297"/>
    <w:rsid w:val="00A912C8"/>
    <w:rsid w:val="00A912ED"/>
    <w:rsid w:val="00A9134E"/>
    <w:rsid w:val="00A91358"/>
    <w:rsid w:val="00A91368"/>
    <w:rsid w:val="00A91453"/>
    <w:rsid w:val="00A914A6"/>
    <w:rsid w:val="00A914CF"/>
    <w:rsid w:val="00A914DD"/>
    <w:rsid w:val="00A91523"/>
    <w:rsid w:val="00A91660"/>
    <w:rsid w:val="00A9174E"/>
    <w:rsid w:val="00A91757"/>
    <w:rsid w:val="00A917A7"/>
    <w:rsid w:val="00A917E5"/>
    <w:rsid w:val="00A91842"/>
    <w:rsid w:val="00A918B2"/>
    <w:rsid w:val="00A91912"/>
    <w:rsid w:val="00A919A7"/>
    <w:rsid w:val="00A919A8"/>
    <w:rsid w:val="00A919AE"/>
    <w:rsid w:val="00A919B6"/>
    <w:rsid w:val="00A919B7"/>
    <w:rsid w:val="00A919C9"/>
    <w:rsid w:val="00A919CC"/>
    <w:rsid w:val="00A919E8"/>
    <w:rsid w:val="00A91A0F"/>
    <w:rsid w:val="00A91A34"/>
    <w:rsid w:val="00A91A9C"/>
    <w:rsid w:val="00A91AE8"/>
    <w:rsid w:val="00A91BA7"/>
    <w:rsid w:val="00A91BAC"/>
    <w:rsid w:val="00A91C05"/>
    <w:rsid w:val="00A91C46"/>
    <w:rsid w:val="00A91C7C"/>
    <w:rsid w:val="00A91CA1"/>
    <w:rsid w:val="00A91CEC"/>
    <w:rsid w:val="00A91D06"/>
    <w:rsid w:val="00A91D87"/>
    <w:rsid w:val="00A91E7A"/>
    <w:rsid w:val="00A91E86"/>
    <w:rsid w:val="00A91E97"/>
    <w:rsid w:val="00A91EA3"/>
    <w:rsid w:val="00A91EBF"/>
    <w:rsid w:val="00A91EDC"/>
    <w:rsid w:val="00A91EF3"/>
    <w:rsid w:val="00A91EF9"/>
    <w:rsid w:val="00A91F20"/>
    <w:rsid w:val="00A91F7C"/>
    <w:rsid w:val="00A91F8C"/>
    <w:rsid w:val="00A91F98"/>
    <w:rsid w:val="00A91FDF"/>
    <w:rsid w:val="00A91FE1"/>
    <w:rsid w:val="00A91FFE"/>
    <w:rsid w:val="00A92077"/>
    <w:rsid w:val="00A9209E"/>
    <w:rsid w:val="00A920AD"/>
    <w:rsid w:val="00A920BB"/>
    <w:rsid w:val="00A920DB"/>
    <w:rsid w:val="00A92105"/>
    <w:rsid w:val="00A9212F"/>
    <w:rsid w:val="00A9215D"/>
    <w:rsid w:val="00A92235"/>
    <w:rsid w:val="00A92268"/>
    <w:rsid w:val="00A922C2"/>
    <w:rsid w:val="00A9231B"/>
    <w:rsid w:val="00A923B4"/>
    <w:rsid w:val="00A92400"/>
    <w:rsid w:val="00A92427"/>
    <w:rsid w:val="00A9244E"/>
    <w:rsid w:val="00A9244F"/>
    <w:rsid w:val="00A92462"/>
    <w:rsid w:val="00A92509"/>
    <w:rsid w:val="00A9251F"/>
    <w:rsid w:val="00A92523"/>
    <w:rsid w:val="00A92533"/>
    <w:rsid w:val="00A9254D"/>
    <w:rsid w:val="00A92680"/>
    <w:rsid w:val="00A92726"/>
    <w:rsid w:val="00A92779"/>
    <w:rsid w:val="00A92843"/>
    <w:rsid w:val="00A92868"/>
    <w:rsid w:val="00A92893"/>
    <w:rsid w:val="00A9291B"/>
    <w:rsid w:val="00A929CA"/>
    <w:rsid w:val="00A92A6A"/>
    <w:rsid w:val="00A92A89"/>
    <w:rsid w:val="00A92AC0"/>
    <w:rsid w:val="00A92ACA"/>
    <w:rsid w:val="00A92ADD"/>
    <w:rsid w:val="00A92AF0"/>
    <w:rsid w:val="00A92B40"/>
    <w:rsid w:val="00A92B5E"/>
    <w:rsid w:val="00A92B70"/>
    <w:rsid w:val="00A92C29"/>
    <w:rsid w:val="00A92C85"/>
    <w:rsid w:val="00A92D37"/>
    <w:rsid w:val="00A92D58"/>
    <w:rsid w:val="00A92DD3"/>
    <w:rsid w:val="00A92DFC"/>
    <w:rsid w:val="00A92E12"/>
    <w:rsid w:val="00A92E55"/>
    <w:rsid w:val="00A92ECB"/>
    <w:rsid w:val="00A92F25"/>
    <w:rsid w:val="00A92F8D"/>
    <w:rsid w:val="00A92FC1"/>
    <w:rsid w:val="00A92FD3"/>
    <w:rsid w:val="00A93029"/>
    <w:rsid w:val="00A9302B"/>
    <w:rsid w:val="00A93058"/>
    <w:rsid w:val="00A93073"/>
    <w:rsid w:val="00A93086"/>
    <w:rsid w:val="00A9313E"/>
    <w:rsid w:val="00A93141"/>
    <w:rsid w:val="00A93151"/>
    <w:rsid w:val="00A93173"/>
    <w:rsid w:val="00A93287"/>
    <w:rsid w:val="00A932C7"/>
    <w:rsid w:val="00A932CA"/>
    <w:rsid w:val="00A932CE"/>
    <w:rsid w:val="00A932FE"/>
    <w:rsid w:val="00A93312"/>
    <w:rsid w:val="00A93351"/>
    <w:rsid w:val="00A93368"/>
    <w:rsid w:val="00A933FB"/>
    <w:rsid w:val="00A9341F"/>
    <w:rsid w:val="00A93446"/>
    <w:rsid w:val="00A93466"/>
    <w:rsid w:val="00A934A2"/>
    <w:rsid w:val="00A934E6"/>
    <w:rsid w:val="00A9356D"/>
    <w:rsid w:val="00A93579"/>
    <w:rsid w:val="00A93581"/>
    <w:rsid w:val="00A935C6"/>
    <w:rsid w:val="00A935F4"/>
    <w:rsid w:val="00A936D8"/>
    <w:rsid w:val="00A93849"/>
    <w:rsid w:val="00A9384B"/>
    <w:rsid w:val="00A93861"/>
    <w:rsid w:val="00A93870"/>
    <w:rsid w:val="00A939CE"/>
    <w:rsid w:val="00A93A79"/>
    <w:rsid w:val="00A93A94"/>
    <w:rsid w:val="00A93AD3"/>
    <w:rsid w:val="00A93AED"/>
    <w:rsid w:val="00A93B3D"/>
    <w:rsid w:val="00A93B67"/>
    <w:rsid w:val="00A93BCF"/>
    <w:rsid w:val="00A93CA1"/>
    <w:rsid w:val="00A93CE7"/>
    <w:rsid w:val="00A93D27"/>
    <w:rsid w:val="00A93D66"/>
    <w:rsid w:val="00A93DB7"/>
    <w:rsid w:val="00A93DFF"/>
    <w:rsid w:val="00A93E4E"/>
    <w:rsid w:val="00A93E78"/>
    <w:rsid w:val="00A93F34"/>
    <w:rsid w:val="00A93F62"/>
    <w:rsid w:val="00A93F82"/>
    <w:rsid w:val="00A93F8B"/>
    <w:rsid w:val="00A94061"/>
    <w:rsid w:val="00A94137"/>
    <w:rsid w:val="00A941FA"/>
    <w:rsid w:val="00A94218"/>
    <w:rsid w:val="00A9426D"/>
    <w:rsid w:val="00A942C4"/>
    <w:rsid w:val="00A942DD"/>
    <w:rsid w:val="00A942FE"/>
    <w:rsid w:val="00A943C4"/>
    <w:rsid w:val="00A943D9"/>
    <w:rsid w:val="00A9446F"/>
    <w:rsid w:val="00A94473"/>
    <w:rsid w:val="00A944A9"/>
    <w:rsid w:val="00A944B6"/>
    <w:rsid w:val="00A944C3"/>
    <w:rsid w:val="00A944D8"/>
    <w:rsid w:val="00A944E4"/>
    <w:rsid w:val="00A94526"/>
    <w:rsid w:val="00A9454E"/>
    <w:rsid w:val="00A94582"/>
    <w:rsid w:val="00A94672"/>
    <w:rsid w:val="00A946C4"/>
    <w:rsid w:val="00A946E2"/>
    <w:rsid w:val="00A9471C"/>
    <w:rsid w:val="00A9471F"/>
    <w:rsid w:val="00A94766"/>
    <w:rsid w:val="00A94769"/>
    <w:rsid w:val="00A94787"/>
    <w:rsid w:val="00A947CD"/>
    <w:rsid w:val="00A9482E"/>
    <w:rsid w:val="00A94875"/>
    <w:rsid w:val="00A948A1"/>
    <w:rsid w:val="00A948A2"/>
    <w:rsid w:val="00A948CF"/>
    <w:rsid w:val="00A94923"/>
    <w:rsid w:val="00A949B1"/>
    <w:rsid w:val="00A949DF"/>
    <w:rsid w:val="00A94A89"/>
    <w:rsid w:val="00A94A9A"/>
    <w:rsid w:val="00A94AB1"/>
    <w:rsid w:val="00A94AE7"/>
    <w:rsid w:val="00A94B3C"/>
    <w:rsid w:val="00A94C4D"/>
    <w:rsid w:val="00A94C58"/>
    <w:rsid w:val="00A94C61"/>
    <w:rsid w:val="00A94C73"/>
    <w:rsid w:val="00A94CFD"/>
    <w:rsid w:val="00A94D1E"/>
    <w:rsid w:val="00A94D3D"/>
    <w:rsid w:val="00A94D48"/>
    <w:rsid w:val="00A94D73"/>
    <w:rsid w:val="00A94D97"/>
    <w:rsid w:val="00A94E92"/>
    <w:rsid w:val="00A94EA7"/>
    <w:rsid w:val="00A94ECA"/>
    <w:rsid w:val="00A94ED5"/>
    <w:rsid w:val="00A94F1C"/>
    <w:rsid w:val="00A94F81"/>
    <w:rsid w:val="00A95074"/>
    <w:rsid w:val="00A950EE"/>
    <w:rsid w:val="00A95106"/>
    <w:rsid w:val="00A95119"/>
    <w:rsid w:val="00A9511F"/>
    <w:rsid w:val="00A9515A"/>
    <w:rsid w:val="00A951D8"/>
    <w:rsid w:val="00A951DE"/>
    <w:rsid w:val="00A951E0"/>
    <w:rsid w:val="00A95231"/>
    <w:rsid w:val="00A95272"/>
    <w:rsid w:val="00A953EF"/>
    <w:rsid w:val="00A95410"/>
    <w:rsid w:val="00A95417"/>
    <w:rsid w:val="00A9542A"/>
    <w:rsid w:val="00A9542C"/>
    <w:rsid w:val="00A9548C"/>
    <w:rsid w:val="00A954D6"/>
    <w:rsid w:val="00A954E1"/>
    <w:rsid w:val="00A9550C"/>
    <w:rsid w:val="00A95542"/>
    <w:rsid w:val="00A955C8"/>
    <w:rsid w:val="00A955CA"/>
    <w:rsid w:val="00A955D4"/>
    <w:rsid w:val="00A955D9"/>
    <w:rsid w:val="00A955DA"/>
    <w:rsid w:val="00A956BB"/>
    <w:rsid w:val="00A95725"/>
    <w:rsid w:val="00A9577B"/>
    <w:rsid w:val="00A957CD"/>
    <w:rsid w:val="00A9580A"/>
    <w:rsid w:val="00A95812"/>
    <w:rsid w:val="00A95821"/>
    <w:rsid w:val="00A95901"/>
    <w:rsid w:val="00A95949"/>
    <w:rsid w:val="00A959B9"/>
    <w:rsid w:val="00A959C3"/>
    <w:rsid w:val="00A95A2E"/>
    <w:rsid w:val="00A95A45"/>
    <w:rsid w:val="00A95A78"/>
    <w:rsid w:val="00A95ABB"/>
    <w:rsid w:val="00A95ABE"/>
    <w:rsid w:val="00A95B6C"/>
    <w:rsid w:val="00A95B78"/>
    <w:rsid w:val="00A95B9D"/>
    <w:rsid w:val="00A95C7C"/>
    <w:rsid w:val="00A95CA1"/>
    <w:rsid w:val="00A95CA8"/>
    <w:rsid w:val="00A95D0C"/>
    <w:rsid w:val="00A95D12"/>
    <w:rsid w:val="00A95D93"/>
    <w:rsid w:val="00A95E3A"/>
    <w:rsid w:val="00A95E45"/>
    <w:rsid w:val="00A95E7E"/>
    <w:rsid w:val="00A95EC2"/>
    <w:rsid w:val="00A95F01"/>
    <w:rsid w:val="00A95F63"/>
    <w:rsid w:val="00A95F87"/>
    <w:rsid w:val="00A95FD2"/>
    <w:rsid w:val="00A96004"/>
    <w:rsid w:val="00A9603C"/>
    <w:rsid w:val="00A9609C"/>
    <w:rsid w:val="00A960D9"/>
    <w:rsid w:val="00A9611A"/>
    <w:rsid w:val="00A9613B"/>
    <w:rsid w:val="00A9614B"/>
    <w:rsid w:val="00A9618F"/>
    <w:rsid w:val="00A9619D"/>
    <w:rsid w:val="00A961D7"/>
    <w:rsid w:val="00A9624B"/>
    <w:rsid w:val="00A96252"/>
    <w:rsid w:val="00A962E8"/>
    <w:rsid w:val="00A962F7"/>
    <w:rsid w:val="00A96321"/>
    <w:rsid w:val="00A96368"/>
    <w:rsid w:val="00A96402"/>
    <w:rsid w:val="00A9641B"/>
    <w:rsid w:val="00A96429"/>
    <w:rsid w:val="00A96490"/>
    <w:rsid w:val="00A964C2"/>
    <w:rsid w:val="00A964FE"/>
    <w:rsid w:val="00A9653C"/>
    <w:rsid w:val="00A96637"/>
    <w:rsid w:val="00A966CA"/>
    <w:rsid w:val="00A966D5"/>
    <w:rsid w:val="00A9675D"/>
    <w:rsid w:val="00A9678A"/>
    <w:rsid w:val="00A967D2"/>
    <w:rsid w:val="00A9682D"/>
    <w:rsid w:val="00A96865"/>
    <w:rsid w:val="00A9687D"/>
    <w:rsid w:val="00A968CA"/>
    <w:rsid w:val="00A96960"/>
    <w:rsid w:val="00A96A28"/>
    <w:rsid w:val="00A96A3A"/>
    <w:rsid w:val="00A96AB6"/>
    <w:rsid w:val="00A96AF7"/>
    <w:rsid w:val="00A96BA9"/>
    <w:rsid w:val="00A96BE6"/>
    <w:rsid w:val="00A96C06"/>
    <w:rsid w:val="00A96C09"/>
    <w:rsid w:val="00A96C7C"/>
    <w:rsid w:val="00A96C98"/>
    <w:rsid w:val="00A96CB9"/>
    <w:rsid w:val="00A96DD7"/>
    <w:rsid w:val="00A96DF0"/>
    <w:rsid w:val="00A96E09"/>
    <w:rsid w:val="00A96E18"/>
    <w:rsid w:val="00A96E63"/>
    <w:rsid w:val="00A96EC0"/>
    <w:rsid w:val="00A96ED8"/>
    <w:rsid w:val="00A96F1E"/>
    <w:rsid w:val="00A96F63"/>
    <w:rsid w:val="00A96F66"/>
    <w:rsid w:val="00A96F84"/>
    <w:rsid w:val="00A96FF1"/>
    <w:rsid w:val="00A9704E"/>
    <w:rsid w:val="00A9706A"/>
    <w:rsid w:val="00A970CF"/>
    <w:rsid w:val="00A971C9"/>
    <w:rsid w:val="00A97209"/>
    <w:rsid w:val="00A97217"/>
    <w:rsid w:val="00A9723C"/>
    <w:rsid w:val="00A9726A"/>
    <w:rsid w:val="00A97276"/>
    <w:rsid w:val="00A9727A"/>
    <w:rsid w:val="00A9728E"/>
    <w:rsid w:val="00A9729E"/>
    <w:rsid w:val="00A972AF"/>
    <w:rsid w:val="00A972B8"/>
    <w:rsid w:val="00A972D7"/>
    <w:rsid w:val="00A972EE"/>
    <w:rsid w:val="00A97352"/>
    <w:rsid w:val="00A973A4"/>
    <w:rsid w:val="00A9740E"/>
    <w:rsid w:val="00A9741B"/>
    <w:rsid w:val="00A9750B"/>
    <w:rsid w:val="00A9755C"/>
    <w:rsid w:val="00A9759C"/>
    <w:rsid w:val="00A975DB"/>
    <w:rsid w:val="00A975F0"/>
    <w:rsid w:val="00A9761C"/>
    <w:rsid w:val="00A97627"/>
    <w:rsid w:val="00A97687"/>
    <w:rsid w:val="00A976B3"/>
    <w:rsid w:val="00A976EC"/>
    <w:rsid w:val="00A97711"/>
    <w:rsid w:val="00A97760"/>
    <w:rsid w:val="00A97788"/>
    <w:rsid w:val="00A977B9"/>
    <w:rsid w:val="00A97832"/>
    <w:rsid w:val="00A97872"/>
    <w:rsid w:val="00A978A3"/>
    <w:rsid w:val="00A9792F"/>
    <w:rsid w:val="00A97974"/>
    <w:rsid w:val="00A979B7"/>
    <w:rsid w:val="00A979C6"/>
    <w:rsid w:val="00A97AC4"/>
    <w:rsid w:val="00A97AE1"/>
    <w:rsid w:val="00A97B14"/>
    <w:rsid w:val="00A97B1D"/>
    <w:rsid w:val="00A97B87"/>
    <w:rsid w:val="00A97C63"/>
    <w:rsid w:val="00A97CD5"/>
    <w:rsid w:val="00A97CD8"/>
    <w:rsid w:val="00A97D17"/>
    <w:rsid w:val="00A97D4B"/>
    <w:rsid w:val="00A97DEE"/>
    <w:rsid w:val="00A97E52"/>
    <w:rsid w:val="00A97E8A"/>
    <w:rsid w:val="00A97E8D"/>
    <w:rsid w:val="00A97ECC"/>
    <w:rsid w:val="00A97ED4"/>
    <w:rsid w:val="00A97ED7"/>
    <w:rsid w:val="00A97EE2"/>
    <w:rsid w:val="00A97F7D"/>
    <w:rsid w:val="00AA008F"/>
    <w:rsid w:val="00AA00F9"/>
    <w:rsid w:val="00AA0124"/>
    <w:rsid w:val="00AA0148"/>
    <w:rsid w:val="00AA017F"/>
    <w:rsid w:val="00AA021F"/>
    <w:rsid w:val="00AA02BF"/>
    <w:rsid w:val="00AA030C"/>
    <w:rsid w:val="00AA0322"/>
    <w:rsid w:val="00AA0329"/>
    <w:rsid w:val="00AA0478"/>
    <w:rsid w:val="00AA04BE"/>
    <w:rsid w:val="00AA04DA"/>
    <w:rsid w:val="00AA0668"/>
    <w:rsid w:val="00AA0698"/>
    <w:rsid w:val="00AA0724"/>
    <w:rsid w:val="00AA0755"/>
    <w:rsid w:val="00AA07DB"/>
    <w:rsid w:val="00AA0871"/>
    <w:rsid w:val="00AA0889"/>
    <w:rsid w:val="00AA0977"/>
    <w:rsid w:val="00AA09D3"/>
    <w:rsid w:val="00AA09D9"/>
    <w:rsid w:val="00AA0A65"/>
    <w:rsid w:val="00AA0B0A"/>
    <w:rsid w:val="00AA0B70"/>
    <w:rsid w:val="00AA0B8E"/>
    <w:rsid w:val="00AA0BB6"/>
    <w:rsid w:val="00AA0C03"/>
    <w:rsid w:val="00AA0C88"/>
    <w:rsid w:val="00AA0D50"/>
    <w:rsid w:val="00AA0E09"/>
    <w:rsid w:val="00AA0EA3"/>
    <w:rsid w:val="00AA0EC7"/>
    <w:rsid w:val="00AA100B"/>
    <w:rsid w:val="00AA1091"/>
    <w:rsid w:val="00AA1149"/>
    <w:rsid w:val="00AA1161"/>
    <w:rsid w:val="00AA116B"/>
    <w:rsid w:val="00AA118B"/>
    <w:rsid w:val="00AA1251"/>
    <w:rsid w:val="00AA12AC"/>
    <w:rsid w:val="00AA12B1"/>
    <w:rsid w:val="00AA12EF"/>
    <w:rsid w:val="00AA133E"/>
    <w:rsid w:val="00AA1388"/>
    <w:rsid w:val="00AA1398"/>
    <w:rsid w:val="00AA13C6"/>
    <w:rsid w:val="00AA140B"/>
    <w:rsid w:val="00AA1434"/>
    <w:rsid w:val="00AA14C3"/>
    <w:rsid w:val="00AA1512"/>
    <w:rsid w:val="00AA158D"/>
    <w:rsid w:val="00AA1640"/>
    <w:rsid w:val="00AA16A9"/>
    <w:rsid w:val="00AA1705"/>
    <w:rsid w:val="00AA1788"/>
    <w:rsid w:val="00AA178C"/>
    <w:rsid w:val="00AA18AF"/>
    <w:rsid w:val="00AA18F3"/>
    <w:rsid w:val="00AA18F6"/>
    <w:rsid w:val="00AA1911"/>
    <w:rsid w:val="00AA1917"/>
    <w:rsid w:val="00AA1954"/>
    <w:rsid w:val="00AA1A10"/>
    <w:rsid w:val="00AA1A4F"/>
    <w:rsid w:val="00AA1A82"/>
    <w:rsid w:val="00AA1AA5"/>
    <w:rsid w:val="00AA1AC6"/>
    <w:rsid w:val="00AA1ADE"/>
    <w:rsid w:val="00AA1B00"/>
    <w:rsid w:val="00AA1B1B"/>
    <w:rsid w:val="00AA1BEF"/>
    <w:rsid w:val="00AA1C50"/>
    <w:rsid w:val="00AA1C7E"/>
    <w:rsid w:val="00AA1CC2"/>
    <w:rsid w:val="00AA1CF0"/>
    <w:rsid w:val="00AA1DD4"/>
    <w:rsid w:val="00AA1E02"/>
    <w:rsid w:val="00AA1E8D"/>
    <w:rsid w:val="00AA1EC0"/>
    <w:rsid w:val="00AA1EEA"/>
    <w:rsid w:val="00AA1F04"/>
    <w:rsid w:val="00AA1F0F"/>
    <w:rsid w:val="00AA1F72"/>
    <w:rsid w:val="00AA204D"/>
    <w:rsid w:val="00AA20E5"/>
    <w:rsid w:val="00AA20E9"/>
    <w:rsid w:val="00AA214F"/>
    <w:rsid w:val="00AA215F"/>
    <w:rsid w:val="00AA2221"/>
    <w:rsid w:val="00AA2227"/>
    <w:rsid w:val="00AA2242"/>
    <w:rsid w:val="00AA224A"/>
    <w:rsid w:val="00AA22CA"/>
    <w:rsid w:val="00AA22CB"/>
    <w:rsid w:val="00AA2314"/>
    <w:rsid w:val="00AA231B"/>
    <w:rsid w:val="00AA233C"/>
    <w:rsid w:val="00AA2368"/>
    <w:rsid w:val="00AA23C0"/>
    <w:rsid w:val="00AA23D8"/>
    <w:rsid w:val="00AA23E8"/>
    <w:rsid w:val="00AA2485"/>
    <w:rsid w:val="00AA2497"/>
    <w:rsid w:val="00AA24AD"/>
    <w:rsid w:val="00AA24B2"/>
    <w:rsid w:val="00AA2519"/>
    <w:rsid w:val="00AA255B"/>
    <w:rsid w:val="00AA2561"/>
    <w:rsid w:val="00AA2611"/>
    <w:rsid w:val="00AA2623"/>
    <w:rsid w:val="00AA264F"/>
    <w:rsid w:val="00AA2693"/>
    <w:rsid w:val="00AA26A1"/>
    <w:rsid w:val="00AA26C6"/>
    <w:rsid w:val="00AA26FB"/>
    <w:rsid w:val="00AA26FC"/>
    <w:rsid w:val="00AA277D"/>
    <w:rsid w:val="00AA27F3"/>
    <w:rsid w:val="00AA2802"/>
    <w:rsid w:val="00AA2813"/>
    <w:rsid w:val="00AA283A"/>
    <w:rsid w:val="00AA2845"/>
    <w:rsid w:val="00AA2858"/>
    <w:rsid w:val="00AA2A0A"/>
    <w:rsid w:val="00AA2A10"/>
    <w:rsid w:val="00AA2A18"/>
    <w:rsid w:val="00AA2A1E"/>
    <w:rsid w:val="00AA2AD0"/>
    <w:rsid w:val="00AA2BA1"/>
    <w:rsid w:val="00AA2BAF"/>
    <w:rsid w:val="00AA2BF3"/>
    <w:rsid w:val="00AA2BF5"/>
    <w:rsid w:val="00AA2CD2"/>
    <w:rsid w:val="00AA2DE4"/>
    <w:rsid w:val="00AA2E38"/>
    <w:rsid w:val="00AA2E78"/>
    <w:rsid w:val="00AA2EE7"/>
    <w:rsid w:val="00AA2F33"/>
    <w:rsid w:val="00AA2F48"/>
    <w:rsid w:val="00AA2F6A"/>
    <w:rsid w:val="00AA2F8C"/>
    <w:rsid w:val="00AA2F94"/>
    <w:rsid w:val="00AA2F97"/>
    <w:rsid w:val="00AA2FE9"/>
    <w:rsid w:val="00AA301B"/>
    <w:rsid w:val="00AA3022"/>
    <w:rsid w:val="00AA3095"/>
    <w:rsid w:val="00AA30AD"/>
    <w:rsid w:val="00AA30B1"/>
    <w:rsid w:val="00AA32CF"/>
    <w:rsid w:val="00AA331F"/>
    <w:rsid w:val="00AA3332"/>
    <w:rsid w:val="00AA33C8"/>
    <w:rsid w:val="00AA3416"/>
    <w:rsid w:val="00AA35A8"/>
    <w:rsid w:val="00AA3612"/>
    <w:rsid w:val="00AA3634"/>
    <w:rsid w:val="00AA3663"/>
    <w:rsid w:val="00AA3671"/>
    <w:rsid w:val="00AA36CD"/>
    <w:rsid w:val="00AA3723"/>
    <w:rsid w:val="00AA3771"/>
    <w:rsid w:val="00AA377E"/>
    <w:rsid w:val="00AA379D"/>
    <w:rsid w:val="00AA37BB"/>
    <w:rsid w:val="00AA3815"/>
    <w:rsid w:val="00AA383C"/>
    <w:rsid w:val="00AA3861"/>
    <w:rsid w:val="00AA38B2"/>
    <w:rsid w:val="00AA392A"/>
    <w:rsid w:val="00AA399E"/>
    <w:rsid w:val="00AA39C6"/>
    <w:rsid w:val="00AA39EB"/>
    <w:rsid w:val="00AA3A99"/>
    <w:rsid w:val="00AA3AD1"/>
    <w:rsid w:val="00AA3AE7"/>
    <w:rsid w:val="00AA3AFE"/>
    <w:rsid w:val="00AA3B0A"/>
    <w:rsid w:val="00AA3B10"/>
    <w:rsid w:val="00AA3B51"/>
    <w:rsid w:val="00AA3B8C"/>
    <w:rsid w:val="00AA3BB3"/>
    <w:rsid w:val="00AA3C42"/>
    <w:rsid w:val="00AA3CB7"/>
    <w:rsid w:val="00AA3D25"/>
    <w:rsid w:val="00AA3D9F"/>
    <w:rsid w:val="00AA3E42"/>
    <w:rsid w:val="00AA3F97"/>
    <w:rsid w:val="00AA4023"/>
    <w:rsid w:val="00AA4032"/>
    <w:rsid w:val="00AA404F"/>
    <w:rsid w:val="00AA4139"/>
    <w:rsid w:val="00AA415E"/>
    <w:rsid w:val="00AA417B"/>
    <w:rsid w:val="00AA41D8"/>
    <w:rsid w:val="00AA4238"/>
    <w:rsid w:val="00AA42A6"/>
    <w:rsid w:val="00AA42CF"/>
    <w:rsid w:val="00AA43CF"/>
    <w:rsid w:val="00AA4581"/>
    <w:rsid w:val="00AA4672"/>
    <w:rsid w:val="00AA4683"/>
    <w:rsid w:val="00AA4685"/>
    <w:rsid w:val="00AA4714"/>
    <w:rsid w:val="00AA4782"/>
    <w:rsid w:val="00AA47DA"/>
    <w:rsid w:val="00AA482B"/>
    <w:rsid w:val="00AA4879"/>
    <w:rsid w:val="00AA48F8"/>
    <w:rsid w:val="00AA4961"/>
    <w:rsid w:val="00AA4A17"/>
    <w:rsid w:val="00AA4A3E"/>
    <w:rsid w:val="00AA4AC1"/>
    <w:rsid w:val="00AA4C12"/>
    <w:rsid w:val="00AA4C1A"/>
    <w:rsid w:val="00AA4D87"/>
    <w:rsid w:val="00AA4DC1"/>
    <w:rsid w:val="00AA4E7F"/>
    <w:rsid w:val="00AA4ECB"/>
    <w:rsid w:val="00AA4FB3"/>
    <w:rsid w:val="00AA4FE1"/>
    <w:rsid w:val="00AA5096"/>
    <w:rsid w:val="00AA50A8"/>
    <w:rsid w:val="00AA50F9"/>
    <w:rsid w:val="00AA5146"/>
    <w:rsid w:val="00AA5150"/>
    <w:rsid w:val="00AA51EE"/>
    <w:rsid w:val="00AA5285"/>
    <w:rsid w:val="00AA52C9"/>
    <w:rsid w:val="00AA545E"/>
    <w:rsid w:val="00AA549F"/>
    <w:rsid w:val="00AA54A4"/>
    <w:rsid w:val="00AA54C2"/>
    <w:rsid w:val="00AA54ED"/>
    <w:rsid w:val="00AA5528"/>
    <w:rsid w:val="00AA5579"/>
    <w:rsid w:val="00AA55D8"/>
    <w:rsid w:val="00AA560C"/>
    <w:rsid w:val="00AA5643"/>
    <w:rsid w:val="00AA5693"/>
    <w:rsid w:val="00AA5712"/>
    <w:rsid w:val="00AA5794"/>
    <w:rsid w:val="00AA5798"/>
    <w:rsid w:val="00AA57C1"/>
    <w:rsid w:val="00AA57DD"/>
    <w:rsid w:val="00AA589F"/>
    <w:rsid w:val="00AA58CE"/>
    <w:rsid w:val="00AA59D5"/>
    <w:rsid w:val="00AA5A24"/>
    <w:rsid w:val="00AA5B2D"/>
    <w:rsid w:val="00AA5B51"/>
    <w:rsid w:val="00AA5B57"/>
    <w:rsid w:val="00AA5B9B"/>
    <w:rsid w:val="00AA5BD0"/>
    <w:rsid w:val="00AA5C2F"/>
    <w:rsid w:val="00AA5C4D"/>
    <w:rsid w:val="00AA5C61"/>
    <w:rsid w:val="00AA5C92"/>
    <w:rsid w:val="00AA5D01"/>
    <w:rsid w:val="00AA5D0E"/>
    <w:rsid w:val="00AA5D74"/>
    <w:rsid w:val="00AA5D75"/>
    <w:rsid w:val="00AA5D8B"/>
    <w:rsid w:val="00AA5E0C"/>
    <w:rsid w:val="00AA5E5D"/>
    <w:rsid w:val="00AA5E80"/>
    <w:rsid w:val="00AA5E99"/>
    <w:rsid w:val="00AA5EC6"/>
    <w:rsid w:val="00AA5F2C"/>
    <w:rsid w:val="00AA5F67"/>
    <w:rsid w:val="00AA5F92"/>
    <w:rsid w:val="00AA5F9D"/>
    <w:rsid w:val="00AA5FAA"/>
    <w:rsid w:val="00AA5FE3"/>
    <w:rsid w:val="00AA5FE4"/>
    <w:rsid w:val="00AA6132"/>
    <w:rsid w:val="00AA6190"/>
    <w:rsid w:val="00AA629A"/>
    <w:rsid w:val="00AA62EA"/>
    <w:rsid w:val="00AA62FE"/>
    <w:rsid w:val="00AA63F6"/>
    <w:rsid w:val="00AA6403"/>
    <w:rsid w:val="00AA640E"/>
    <w:rsid w:val="00AA6449"/>
    <w:rsid w:val="00AA64C2"/>
    <w:rsid w:val="00AA64EB"/>
    <w:rsid w:val="00AA64EF"/>
    <w:rsid w:val="00AA6574"/>
    <w:rsid w:val="00AA6594"/>
    <w:rsid w:val="00AA659F"/>
    <w:rsid w:val="00AA6621"/>
    <w:rsid w:val="00AA6651"/>
    <w:rsid w:val="00AA666B"/>
    <w:rsid w:val="00AA66A2"/>
    <w:rsid w:val="00AA66B7"/>
    <w:rsid w:val="00AA6747"/>
    <w:rsid w:val="00AA6781"/>
    <w:rsid w:val="00AA6800"/>
    <w:rsid w:val="00AA6868"/>
    <w:rsid w:val="00AA6886"/>
    <w:rsid w:val="00AA6996"/>
    <w:rsid w:val="00AA6A13"/>
    <w:rsid w:val="00AA6A5A"/>
    <w:rsid w:val="00AA6B29"/>
    <w:rsid w:val="00AA6B59"/>
    <w:rsid w:val="00AA6B5C"/>
    <w:rsid w:val="00AA6BE7"/>
    <w:rsid w:val="00AA6C1E"/>
    <w:rsid w:val="00AA6C52"/>
    <w:rsid w:val="00AA6C63"/>
    <w:rsid w:val="00AA6CC6"/>
    <w:rsid w:val="00AA6D17"/>
    <w:rsid w:val="00AA6D2B"/>
    <w:rsid w:val="00AA6D9A"/>
    <w:rsid w:val="00AA6DBE"/>
    <w:rsid w:val="00AA6DF9"/>
    <w:rsid w:val="00AA6E36"/>
    <w:rsid w:val="00AA6EA6"/>
    <w:rsid w:val="00AA6ECD"/>
    <w:rsid w:val="00AA6ECE"/>
    <w:rsid w:val="00AA6F56"/>
    <w:rsid w:val="00AA70BF"/>
    <w:rsid w:val="00AA70C5"/>
    <w:rsid w:val="00AA7133"/>
    <w:rsid w:val="00AA71C7"/>
    <w:rsid w:val="00AA7200"/>
    <w:rsid w:val="00AA7245"/>
    <w:rsid w:val="00AA7258"/>
    <w:rsid w:val="00AA727C"/>
    <w:rsid w:val="00AA72E4"/>
    <w:rsid w:val="00AA7316"/>
    <w:rsid w:val="00AA7394"/>
    <w:rsid w:val="00AA73D4"/>
    <w:rsid w:val="00AA74B8"/>
    <w:rsid w:val="00AA74EA"/>
    <w:rsid w:val="00AA751D"/>
    <w:rsid w:val="00AA75C4"/>
    <w:rsid w:val="00AA75D6"/>
    <w:rsid w:val="00AA7660"/>
    <w:rsid w:val="00AA76C1"/>
    <w:rsid w:val="00AA779B"/>
    <w:rsid w:val="00AA77C4"/>
    <w:rsid w:val="00AA782C"/>
    <w:rsid w:val="00AA7837"/>
    <w:rsid w:val="00AA7889"/>
    <w:rsid w:val="00AA793A"/>
    <w:rsid w:val="00AA796D"/>
    <w:rsid w:val="00AA7983"/>
    <w:rsid w:val="00AA7A3D"/>
    <w:rsid w:val="00AA7A9B"/>
    <w:rsid w:val="00AA7B29"/>
    <w:rsid w:val="00AA7B96"/>
    <w:rsid w:val="00AA7BC7"/>
    <w:rsid w:val="00AA7C0C"/>
    <w:rsid w:val="00AA7C3E"/>
    <w:rsid w:val="00AA7C60"/>
    <w:rsid w:val="00AA7C68"/>
    <w:rsid w:val="00AA7CA0"/>
    <w:rsid w:val="00AA7CBF"/>
    <w:rsid w:val="00AA7D18"/>
    <w:rsid w:val="00AA7D5F"/>
    <w:rsid w:val="00AA7E17"/>
    <w:rsid w:val="00AA7EE6"/>
    <w:rsid w:val="00AA7F00"/>
    <w:rsid w:val="00AA7F49"/>
    <w:rsid w:val="00AA7F58"/>
    <w:rsid w:val="00AA7F6A"/>
    <w:rsid w:val="00AA7F96"/>
    <w:rsid w:val="00AA7FA5"/>
    <w:rsid w:val="00AB0044"/>
    <w:rsid w:val="00AB0177"/>
    <w:rsid w:val="00AB01AE"/>
    <w:rsid w:val="00AB01FE"/>
    <w:rsid w:val="00AB0200"/>
    <w:rsid w:val="00AB0221"/>
    <w:rsid w:val="00AB03B8"/>
    <w:rsid w:val="00AB042F"/>
    <w:rsid w:val="00AB0458"/>
    <w:rsid w:val="00AB04DB"/>
    <w:rsid w:val="00AB051D"/>
    <w:rsid w:val="00AB0550"/>
    <w:rsid w:val="00AB05D2"/>
    <w:rsid w:val="00AB05F2"/>
    <w:rsid w:val="00AB06BD"/>
    <w:rsid w:val="00AB075D"/>
    <w:rsid w:val="00AB0763"/>
    <w:rsid w:val="00AB07AD"/>
    <w:rsid w:val="00AB0877"/>
    <w:rsid w:val="00AB08C0"/>
    <w:rsid w:val="00AB08ED"/>
    <w:rsid w:val="00AB091F"/>
    <w:rsid w:val="00AB0933"/>
    <w:rsid w:val="00AB0940"/>
    <w:rsid w:val="00AB0995"/>
    <w:rsid w:val="00AB09E2"/>
    <w:rsid w:val="00AB0A4D"/>
    <w:rsid w:val="00AB0A88"/>
    <w:rsid w:val="00AB0AA5"/>
    <w:rsid w:val="00AB0B09"/>
    <w:rsid w:val="00AB0B2F"/>
    <w:rsid w:val="00AB0B94"/>
    <w:rsid w:val="00AB0BB1"/>
    <w:rsid w:val="00AB0BEC"/>
    <w:rsid w:val="00AB0C22"/>
    <w:rsid w:val="00AB0C52"/>
    <w:rsid w:val="00AB0CA2"/>
    <w:rsid w:val="00AB0CF4"/>
    <w:rsid w:val="00AB0D24"/>
    <w:rsid w:val="00AB0D54"/>
    <w:rsid w:val="00AB0DB0"/>
    <w:rsid w:val="00AB0DDA"/>
    <w:rsid w:val="00AB0DF7"/>
    <w:rsid w:val="00AB0E07"/>
    <w:rsid w:val="00AB0E0C"/>
    <w:rsid w:val="00AB0E84"/>
    <w:rsid w:val="00AB0F18"/>
    <w:rsid w:val="00AB0FB6"/>
    <w:rsid w:val="00AB0FE3"/>
    <w:rsid w:val="00AB1060"/>
    <w:rsid w:val="00AB10AC"/>
    <w:rsid w:val="00AB10D5"/>
    <w:rsid w:val="00AB10E7"/>
    <w:rsid w:val="00AB11EB"/>
    <w:rsid w:val="00AB1208"/>
    <w:rsid w:val="00AB125D"/>
    <w:rsid w:val="00AB12CA"/>
    <w:rsid w:val="00AB12DE"/>
    <w:rsid w:val="00AB130F"/>
    <w:rsid w:val="00AB14AA"/>
    <w:rsid w:val="00AB14C8"/>
    <w:rsid w:val="00AB152A"/>
    <w:rsid w:val="00AB1597"/>
    <w:rsid w:val="00AB1599"/>
    <w:rsid w:val="00AB15C1"/>
    <w:rsid w:val="00AB15D8"/>
    <w:rsid w:val="00AB15E8"/>
    <w:rsid w:val="00AB1620"/>
    <w:rsid w:val="00AB1637"/>
    <w:rsid w:val="00AB1665"/>
    <w:rsid w:val="00AB16DF"/>
    <w:rsid w:val="00AB1706"/>
    <w:rsid w:val="00AB1721"/>
    <w:rsid w:val="00AB172E"/>
    <w:rsid w:val="00AB172F"/>
    <w:rsid w:val="00AB1748"/>
    <w:rsid w:val="00AB17B6"/>
    <w:rsid w:val="00AB17FB"/>
    <w:rsid w:val="00AB1814"/>
    <w:rsid w:val="00AB186A"/>
    <w:rsid w:val="00AB186E"/>
    <w:rsid w:val="00AB18F6"/>
    <w:rsid w:val="00AB19B4"/>
    <w:rsid w:val="00AB19E1"/>
    <w:rsid w:val="00AB1A12"/>
    <w:rsid w:val="00AB1A29"/>
    <w:rsid w:val="00AB1A30"/>
    <w:rsid w:val="00AB1A44"/>
    <w:rsid w:val="00AB1B19"/>
    <w:rsid w:val="00AB1B3F"/>
    <w:rsid w:val="00AB1B65"/>
    <w:rsid w:val="00AB1B91"/>
    <w:rsid w:val="00AB1BA0"/>
    <w:rsid w:val="00AB1C7D"/>
    <w:rsid w:val="00AB1DA9"/>
    <w:rsid w:val="00AB1DAA"/>
    <w:rsid w:val="00AB1DE9"/>
    <w:rsid w:val="00AB1DF3"/>
    <w:rsid w:val="00AB1E61"/>
    <w:rsid w:val="00AB1EA1"/>
    <w:rsid w:val="00AB1ECF"/>
    <w:rsid w:val="00AB1FA4"/>
    <w:rsid w:val="00AB2059"/>
    <w:rsid w:val="00AB209F"/>
    <w:rsid w:val="00AB20CD"/>
    <w:rsid w:val="00AB20F2"/>
    <w:rsid w:val="00AB219D"/>
    <w:rsid w:val="00AB21B0"/>
    <w:rsid w:val="00AB21BE"/>
    <w:rsid w:val="00AB2218"/>
    <w:rsid w:val="00AB22DA"/>
    <w:rsid w:val="00AB232C"/>
    <w:rsid w:val="00AB236D"/>
    <w:rsid w:val="00AB23D3"/>
    <w:rsid w:val="00AB2522"/>
    <w:rsid w:val="00AB252C"/>
    <w:rsid w:val="00AB25C9"/>
    <w:rsid w:val="00AB2606"/>
    <w:rsid w:val="00AB2659"/>
    <w:rsid w:val="00AB26B5"/>
    <w:rsid w:val="00AB26B9"/>
    <w:rsid w:val="00AB2739"/>
    <w:rsid w:val="00AB2742"/>
    <w:rsid w:val="00AB2769"/>
    <w:rsid w:val="00AB276A"/>
    <w:rsid w:val="00AB277E"/>
    <w:rsid w:val="00AB27B4"/>
    <w:rsid w:val="00AB27FC"/>
    <w:rsid w:val="00AB281E"/>
    <w:rsid w:val="00AB2857"/>
    <w:rsid w:val="00AB2902"/>
    <w:rsid w:val="00AB290C"/>
    <w:rsid w:val="00AB2950"/>
    <w:rsid w:val="00AB2A9B"/>
    <w:rsid w:val="00AB2AB5"/>
    <w:rsid w:val="00AB2ACD"/>
    <w:rsid w:val="00AB2B9D"/>
    <w:rsid w:val="00AB2BAE"/>
    <w:rsid w:val="00AB2BCE"/>
    <w:rsid w:val="00AB2C07"/>
    <w:rsid w:val="00AB2C0B"/>
    <w:rsid w:val="00AB2C4F"/>
    <w:rsid w:val="00AB2D7F"/>
    <w:rsid w:val="00AB2D82"/>
    <w:rsid w:val="00AB2DF2"/>
    <w:rsid w:val="00AB2E3C"/>
    <w:rsid w:val="00AB2E97"/>
    <w:rsid w:val="00AB2F1C"/>
    <w:rsid w:val="00AB2F1F"/>
    <w:rsid w:val="00AB2F20"/>
    <w:rsid w:val="00AB2F27"/>
    <w:rsid w:val="00AB2F42"/>
    <w:rsid w:val="00AB2F5A"/>
    <w:rsid w:val="00AB2F91"/>
    <w:rsid w:val="00AB2FA6"/>
    <w:rsid w:val="00AB3007"/>
    <w:rsid w:val="00AB3081"/>
    <w:rsid w:val="00AB3093"/>
    <w:rsid w:val="00AB30B3"/>
    <w:rsid w:val="00AB30D3"/>
    <w:rsid w:val="00AB30E6"/>
    <w:rsid w:val="00AB312E"/>
    <w:rsid w:val="00AB313D"/>
    <w:rsid w:val="00AB3140"/>
    <w:rsid w:val="00AB315E"/>
    <w:rsid w:val="00AB317F"/>
    <w:rsid w:val="00AB31AC"/>
    <w:rsid w:val="00AB3217"/>
    <w:rsid w:val="00AB321D"/>
    <w:rsid w:val="00AB3230"/>
    <w:rsid w:val="00AB3284"/>
    <w:rsid w:val="00AB32FF"/>
    <w:rsid w:val="00AB3352"/>
    <w:rsid w:val="00AB33A7"/>
    <w:rsid w:val="00AB3413"/>
    <w:rsid w:val="00AB3483"/>
    <w:rsid w:val="00AB34B2"/>
    <w:rsid w:val="00AB3589"/>
    <w:rsid w:val="00AB359C"/>
    <w:rsid w:val="00AB36AF"/>
    <w:rsid w:val="00AB36D6"/>
    <w:rsid w:val="00AB36DA"/>
    <w:rsid w:val="00AB3702"/>
    <w:rsid w:val="00AB3711"/>
    <w:rsid w:val="00AB37AC"/>
    <w:rsid w:val="00AB37CB"/>
    <w:rsid w:val="00AB3827"/>
    <w:rsid w:val="00AB38B0"/>
    <w:rsid w:val="00AB38C7"/>
    <w:rsid w:val="00AB38DA"/>
    <w:rsid w:val="00AB38E5"/>
    <w:rsid w:val="00AB38EC"/>
    <w:rsid w:val="00AB3A81"/>
    <w:rsid w:val="00AB3B65"/>
    <w:rsid w:val="00AB3B6E"/>
    <w:rsid w:val="00AB3BC3"/>
    <w:rsid w:val="00AB3BD4"/>
    <w:rsid w:val="00AB3BD9"/>
    <w:rsid w:val="00AB3C39"/>
    <w:rsid w:val="00AB3C89"/>
    <w:rsid w:val="00AB3CB4"/>
    <w:rsid w:val="00AB3CC7"/>
    <w:rsid w:val="00AB3CF2"/>
    <w:rsid w:val="00AB3D64"/>
    <w:rsid w:val="00AB3E54"/>
    <w:rsid w:val="00AB3E78"/>
    <w:rsid w:val="00AB3E95"/>
    <w:rsid w:val="00AB3F24"/>
    <w:rsid w:val="00AB3FA1"/>
    <w:rsid w:val="00AB4010"/>
    <w:rsid w:val="00AB40A8"/>
    <w:rsid w:val="00AB4103"/>
    <w:rsid w:val="00AB4175"/>
    <w:rsid w:val="00AB4199"/>
    <w:rsid w:val="00AB42A5"/>
    <w:rsid w:val="00AB4432"/>
    <w:rsid w:val="00AB4453"/>
    <w:rsid w:val="00AB4476"/>
    <w:rsid w:val="00AB449D"/>
    <w:rsid w:val="00AB44A0"/>
    <w:rsid w:val="00AB44A8"/>
    <w:rsid w:val="00AB44D6"/>
    <w:rsid w:val="00AB4528"/>
    <w:rsid w:val="00AB4530"/>
    <w:rsid w:val="00AB4577"/>
    <w:rsid w:val="00AB45C9"/>
    <w:rsid w:val="00AB45E1"/>
    <w:rsid w:val="00AB4620"/>
    <w:rsid w:val="00AB46C5"/>
    <w:rsid w:val="00AB470A"/>
    <w:rsid w:val="00AB4788"/>
    <w:rsid w:val="00AB4790"/>
    <w:rsid w:val="00AB4794"/>
    <w:rsid w:val="00AB481B"/>
    <w:rsid w:val="00AB4828"/>
    <w:rsid w:val="00AB4856"/>
    <w:rsid w:val="00AB48D7"/>
    <w:rsid w:val="00AB492A"/>
    <w:rsid w:val="00AB4944"/>
    <w:rsid w:val="00AB498A"/>
    <w:rsid w:val="00AB49A3"/>
    <w:rsid w:val="00AB4A41"/>
    <w:rsid w:val="00AB4A67"/>
    <w:rsid w:val="00AB4AFD"/>
    <w:rsid w:val="00AB4B41"/>
    <w:rsid w:val="00AB4BAC"/>
    <w:rsid w:val="00AB4BDC"/>
    <w:rsid w:val="00AB4C0D"/>
    <w:rsid w:val="00AB4C3C"/>
    <w:rsid w:val="00AB4CE0"/>
    <w:rsid w:val="00AB4CF0"/>
    <w:rsid w:val="00AB4D07"/>
    <w:rsid w:val="00AB4D1B"/>
    <w:rsid w:val="00AB4D56"/>
    <w:rsid w:val="00AB4DAC"/>
    <w:rsid w:val="00AB4E54"/>
    <w:rsid w:val="00AB4E77"/>
    <w:rsid w:val="00AB4E9F"/>
    <w:rsid w:val="00AB4EBF"/>
    <w:rsid w:val="00AB4ED2"/>
    <w:rsid w:val="00AB4F0B"/>
    <w:rsid w:val="00AB4F30"/>
    <w:rsid w:val="00AB4F98"/>
    <w:rsid w:val="00AB508B"/>
    <w:rsid w:val="00AB5090"/>
    <w:rsid w:val="00AB510C"/>
    <w:rsid w:val="00AB5124"/>
    <w:rsid w:val="00AB512A"/>
    <w:rsid w:val="00AB517B"/>
    <w:rsid w:val="00AB51E7"/>
    <w:rsid w:val="00AB5216"/>
    <w:rsid w:val="00AB5269"/>
    <w:rsid w:val="00AB52A7"/>
    <w:rsid w:val="00AB530C"/>
    <w:rsid w:val="00AB532E"/>
    <w:rsid w:val="00AB537E"/>
    <w:rsid w:val="00AB537F"/>
    <w:rsid w:val="00AB53F9"/>
    <w:rsid w:val="00AB5452"/>
    <w:rsid w:val="00AB54C2"/>
    <w:rsid w:val="00AB54CE"/>
    <w:rsid w:val="00AB54DE"/>
    <w:rsid w:val="00AB550C"/>
    <w:rsid w:val="00AB55A7"/>
    <w:rsid w:val="00AB55BE"/>
    <w:rsid w:val="00AB5635"/>
    <w:rsid w:val="00AB56BA"/>
    <w:rsid w:val="00AB5702"/>
    <w:rsid w:val="00AB5750"/>
    <w:rsid w:val="00AB5772"/>
    <w:rsid w:val="00AB577E"/>
    <w:rsid w:val="00AB579D"/>
    <w:rsid w:val="00AB5823"/>
    <w:rsid w:val="00AB5829"/>
    <w:rsid w:val="00AB582F"/>
    <w:rsid w:val="00AB584B"/>
    <w:rsid w:val="00AB5895"/>
    <w:rsid w:val="00AB592D"/>
    <w:rsid w:val="00AB5936"/>
    <w:rsid w:val="00AB5AC7"/>
    <w:rsid w:val="00AB5B0D"/>
    <w:rsid w:val="00AB5B60"/>
    <w:rsid w:val="00AB5BB2"/>
    <w:rsid w:val="00AB5BBC"/>
    <w:rsid w:val="00AB5C18"/>
    <w:rsid w:val="00AB5C1A"/>
    <w:rsid w:val="00AB5C75"/>
    <w:rsid w:val="00AB5CD1"/>
    <w:rsid w:val="00AB5CE1"/>
    <w:rsid w:val="00AB5CF1"/>
    <w:rsid w:val="00AB5D4F"/>
    <w:rsid w:val="00AB5DE4"/>
    <w:rsid w:val="00AB5E0D"/>
    <w:rsid w:val="00AB5E1F"/>
    <w:rsid w:val="00AB5E89"/>
    <w:rsid w:val="00AB5ED1"/>
    <w:rsid w:val="00AB5EDE"/>
    <w:rsid w:val="00AB5F20"/>
    <w:rsid w:val="00AB5F26"/>
    <w:rsid w:val="00AB5FBE"/>
    <w:rsid w:val="00AB5FEB"/>
    <w:rsid w:val="00AB60BC"/>
    <w:rsid w:val="00AB60D8"/>
    <w:rsid w:val="00AB613C"/>
    <w:rsid w:val="00AB61B8"/>
    <w:rsid w:val="00AB61C8"/>
    <w:rsid w:val="00AB61D8"/>
    <w:rsid w:val="00AB6240"/>
    <w:rsid w:val="00AB6249"/>
    <w:rsid w:val="00AB6276"/>
    <w:rsid w:val="00AB62C6"/>
    <w:rsid w:val="00AB6401"/>
    <w:rsid w:val="00AB6433"/>
    <w:rsid w:val="00AB6461"/>
    <w:rsid w:val="00AB6476"/>
    <w:rsid w:val="00AB6494"/>
    <w:rsid w:val="00AB64CD"/>
    <w:rsid w:val="00AB64F5"/>
    <w:rsid w:val="00AB657D"/>
    <w:rsid w:val="00AB6591"/>
    <w:rsid w:val="00AB6644"/>
    <w:rsid w:val="00AB664B"/>
    <w:rsid w:val="00AB6662"/>
    <w:rsid w:val="00AB66D8"/>
    <w:rsid w:val="00AB6746"/>
    <w:rsid w:val="00AB67B1"/>
    <w:rsid w:val="00AB67CC"/>
    <w:rsid w:val="00AB6815"/>
    <w:rsid w:val="00AB6839"/>
    <w:rsid w:val="00AB683E"/>
    <w:rsid w:val="00AB6856"/>
    <w:rsid w:val="00AB686B"/>
    <w:rsid w:val="00AB69D3"/>
    <w:rsid w:val="00AB6A0E"/>
    <w:rsid w:val="00AB6A4D"/>
    <w:rsid w:val="00AB6A76"/>
    <w:rsid w:val="00AB6ACC"/>
    <w:rsid w:val="00AB6CA1"/>
    <w:rsid w:val="00AB6CAF"/>
    <w:rsid w:val="00AB6CBC"/>
    <w:rsid w:val="00AB6CC5"/>
    <w:rsid w:val="00AB6D3E"/>
    <w:rsid w:val="00AB6DC2"/>
    <w:rsid w:val="00AB6DF4"/>
    <w:rsid w:val="00AB6E54"/>
    <w:rsid w:val="00AB6ECF"/>
    <w:rsid w:val="00AB6EF1"/>
    <w:rsid w:val="00AB6F24"/>
    <w:rsid w:val="00AB6F31"/>
    <w:rsid w:val="00AB6F3F"/>
    <w:rsid w:val="00AB6F56"/>
    <w:rsid w:val="00AB6F71"/>
    <w:rsid w:val="00AB6FC1"/>
    <w:rsid w:val="00AB7002"/>
    <w:rsid w:val="00AB716A"/>
    <w:rsid w:val="00AB71DD"/>
    <w:rsid w:val="00AB726D"/>
    <w:rsid w:val="00AB7297"/>
    <w:rsid w:val="00AB7301"/>
    <w:rsid w:val="00AB7315"/>
    <w:rsid w:val="00AB7323"/>
    <w:rsid w:val="00AB736C"/>
    <w:rsid w:val="00AB7390"/>
    <w:rsid w:val="00AB73A4"/>
    <w:rsid w:val="00AB7406"/>
    <w:rsid w:val="00AB7412"/>
    <w:rsid w:val="00AB7418"/>
    <w:rsid w:val="00AB7464"/>
    <w:rsid w:val="00AB74AD"/>
    <w:rsid w:val="00AB7505"/>
    <w:rsid w:val="00AB754B"/>
    <w:rsid w:val="00AB75A1"/>
    <w:rsid w:val="00AB75C4"/>
    <w:rsid w:val="00AB75CA"/>
    <w:rsid w:val="00AB75DA"/>
    <w:rsid w:val="00AB7629"/>
    <w:rsid w:val="00AB764F"/>
    <w:rsid w:val="00AB7693"/>
    <w:rsid w:val="00AB76F6"/>
    <w:rsid w:val="00AB77BC"/>
    <w:rsid w:val="00AB77EA"/>
    <w:rsid w:val="00AB7843"/>
    <w:rsid w:val="00AB789E"/>
    <w:rsid w:val="00AB78C8"/>
    <w:rsid w:val="00AB7980"/>
    <w:rsid w:val="00AB79BA"/>
    <w:rsid w:val="00AB7A30"/>
    <w:rsid w:val="00AB7A47"/>
    <w:rsid w:val="00AB7A48"/>
    <w:rsid w:val="00AB7A53"/>
    <w:rsid w:val="00AB7AF0"/>
    <w:rsid w:val="00AB7B1B"/>
    <w:rsid w:val="00AB7B1F"/>
    <w:rsid w:val="00AB7B23"/>
    <w:rsid w:val="00AB7B36"/>
    <w:rsid w:val="00AB7BE8"/>
    <w:rsid w:val="00AB7C19"/>
    <w:rsid w:val="00AB7C81"/>
    <w:rsid w:val="00AB7D03"/>
    <w:rsid w:val="00AB7D05"/>
    <w:rsid w:val="00AB7D0B"/>
    <w:rsid w:val="00AB7D70"/>
    <w:rsid w:val="00AB7D9E"/>
    <w:rsid w:val="00AB7DFC"/>
    <w:rsid w:val="00AB7E0E"/>
    <w:rsid w:val="00AB7E31"/>
    <w:rsid w:val="00AB7E3C"/>
    <w:rsid w:val="00AB7EC9"/>
    <w:rsid w:val="00AB7ED1"/>
    <w:rsid w:val="00AB7EDF"/>
    <w:rsid w:val="00AB7EF0"/>
    <w:rsid w:val="00AB7F09"/>
    <w:rsid w:val="00AB7F61"/>
    <w:rsid w:val="00AB7FAD"/>
    <w:rsid w:val="00AB7FC8"/>
    <w:rsid w:val="00AB7FCE"/>
    <w:rsid w:val="00AB7FE4"/>
    <w:rsid w:val="00AC005E"/>
    <w:rsid w:val="00AC0089"/>
    <w:rsid w:val="00AC00D4"/>
    <w:rsid w:val="00AC00D7"/>
    <w:rsid w:val="00AC00DB"/>
    <w:rsid w:val="00AC00FD"/>
    <w:rsid w:val="00AC0107"/>
    <w:rsid w:val="00AC0193"/>
    <w:rsid w:val="00AC01F8"/>
    <w:rsid w:val="00AC0268"/>
    <w:rsid w:val="00AC029A"/>
    <w:rsid w:val="00AC03EF"/>
    <w:rsid w:val="00AC04A9"/>
    <w:rsid w:val="00AC04C5"/>
    <w:rsid w:val="00AC0557"/>
    <w:rsid w:val="00AC05AA"/>
    <w:rsid w:val="00AC05D7"/>
    <w:rsid w:val="00AC0636"/>
    <w:rsid w:val="00AC06A5"/>
    <w:rsid w:val="00AC06E6"/>
    <w:rsid w:val="00AC0708"/>
    <w:rsid w:val="00AC073C"/>
    <w:rsid w:val="00AC0796"/>
    <w:rsid w:val="00AC07CD"/>
    <w:rsid w:val="00AC08C9"/>
    <w:rsid w:val="00AC0902"/>
    <w:rsid w:val="00AC092F"/>
    <w:rsid w:val="00AC0997"/>
    <w:rsid w:val="00AC09DC"/>
    <w:rsid w:val="00AC0A33"/>
    <w:rsid w:val="00AC0A43"/>
    <w:rsid w:val="00AC0A60"/>
    <w:rsid w:val="00AC0A89"/>
    <w:rsid w:val="00AC0AA9"/>
    <w:rsid w:val="00AC0AC2"/>
    <w:rsid w:val="00AC0B16"/>
    <w:rsid w:val="00AC0BB6"/>
    <w:rsid w:val="00AC0C47"/>
    <w:rsid w:val="00AC0C5A"/>
    <w:rsid w:val="00AC0C83"/>
    <w:rsid w:val="00AC0CCC"/>
    <w:rsid w:val="00AC0D86"/>
    <w:rsid w:val="00AC0DFB"/>
    <w:rsid w:val="00AC0E60"/>
    <w:rsid w:val="00AC0E73"/>
    <w:rsid w:val="00AC0E7B"/>
    <w:rsid w:val="00AC0E92"/>
    <w:rsid w:val="00AC0EA7"/>
    <w:rsid w:val="00AC0EF4"/>
    <w:rsid w:val="00AC0F17"/>
    <w:rsid w:val="00AC0F19"/>
    <w:rsid w:val="00AC0F81"/>
    <w:rsid w:val="00AC1025"/>
    <w:rsid w:val="00AC1065"/>
    <w:rsid w:val="00AC10DF"/>
    <w:rsid w:val="00AC111B"/>
    <w:rsid w:val="00AC11BE"/>
    <w:rsid w:val="00AC11EB"/>
    <w:rsid w:val="00AC1200"/>
    <w:rsid w:val="00AC125A"/>
    <w:rsid w:val="00AC1299"/>
    <w:rsid w:val="00AC129B"/>
    <w:rsid w:val="00AC12B7"/>
    <w:rsid w:val="00AC12BC"/>
    <w:rsid w:val="00AC1330"/>
    <w:rsid w:val="00AC1350"/>
    <w:rsid w:val="00AC136F"/>
    <w:rsid w:val="00AC1447"/>
    <w:rsid w:val="00AC14BE"/>
    <w:rsid w:val="00AC14DE"/>
    <w:rsid w:val="00AC1507"/>
    <w:rsid w:val="00AC1532"/>
    <w:rsid w:val="00AC1581"/>
    <w:rsid w:val="00AC1603"/>
    <w:rsid w:val="00AC163E"/>
    <w:rsid w:val="00AC1660"/>
    <w:rsid w:val="00AC16A9"/>
    <w:rsid w:val="00AC173A"/>
    <w:rsid w:val="00AC17A6"/>
    <w:rsid w:val="00AC17E4"/>
    <w:rsid w:val="00AC1817"/>
    <w:rsid w:val="00AC1919"/>
    <w:rsid w:val="00AC191C"/>
    <w:rsid w:val="00AC197B"/>
    <w:rsid w:val="00AC19CF"/>
    <w:rsid w:val="00AC1A02"/>
    <w:rsid w:val="00AC1A07"/>
    <w:rsid w:val="00AC1A40"/>
    <w:rsid w:val="00AC1A8C"/>
    <w:rsid w:val="00AC1B1F"/>
    <w:rsid w:val="00AC1B8A"/>
    <w:rsid w:val="00AC1BB2"/>
    <w:rsid w:val="00AC1BCC"/>
    <w:rsid w:val="00AC1C11"/>
    <w:rsid w:val="00AC1C69"/>
    <w:rsid w:val="00AC1D18"/>
    <w:rsid w:val="00AC1D34"/>
    <w:rsid w:val="00AC1D66"/>
    <w:rsid w:val="00AC1E34"/>
    <w:rsid w:val="00AC1E96"/>
    <w:rsid w:val="00AC1EE3"/>
    <w:rsid w:val="00AC1F08"/>
    <w:rsid w:val="00AC1F57"/>
    <w:rsid w:val="00AC1F91"/>
    <w:rsid w:val="00AC1FAA"/>
    <w:rsid w:val="00AC2059"/>
    <w:rsid w:val="00AC205C"/>
    <w:rsid w:val="00AC2064"/>
    <w:rsid w:val="00AC219A"/>
    <w:rsid w:val="00AC21D2"/>
    <w:rsid w:val="00AC21E4"/>
    <w:rsid w:val="00AC21F2"/>
    <w:rsid w:val="00AC2272"/>
    <w:rsid w:val="00AC22C2"/>
    <w:rsid w:val="00AC22E0"/>
    <w:rsid w:val="00AC2330"/>
    <w:rsid w:val="00AC23FF"/>
    <w:rsid w:val="00AC2417"/>
    <w:rsid w:val="00AC2430"/>
    <w:rsid w:val="00AC2464"/>
    <w:rsid w:val="00AC2468"/>
    <w:rsid w:val="00AC24BF"/>
    <w:rsid w:val="00AC2547"/>
    <w:rsid w:val="00AC255C"/>
    <w:rsid w:val="00AC25DC"/>
    <w:rsid w:val="00AC262F"/>
    <w:rsid w:val="00AC2693"/>
    <w:rsid w:val="00AC26BC"/>
    <w:rsid w:val="00AC2701"/>
    <w:rsid w:val="00AC2709"/>
    <w:rsid w:val="00AC2722"/>
    <w:rsid w:val="00AC2775"/>
    <w:rsid w:val="00AC2787"/>
    <w:rsid w:val="00AC27AE"/>
    <w:rsid w:val="00AC27C5"/>
    <w:rsid w:val="00AC27F4"/>
    <w:rsid w:val="00AC2800"/>
    <w:rsid w:val="00AC280B"/>
    <w:rsid w:val="00AC2897"/>
    <w:rsid w:val="00AC28FE"/>
    <w:rsid w:val="00AC2958"/>
    <w:rsid w:val="00AC2959"/>
    <w:rsid w:val="00AC2964"/>
    <w:rsid w:val="00AC29AF"/>
    <w:rsid w:val="00AC2A22"/>
    <w:rsid w:val="00AC2AD1"/>
    <w:rsid w:val="00AC2B29"/>
    <w:rsid w:val="00AC2B90"/>
    <w:rsid w:val="00AC2BF6"/>
    <w:rsid w:val="00AC2C16"/>
    <w:rsid w:val="00AC2C61"/>
    <w:rsid w:val="00AC2CC6"/>
    <w:rsid w:val="00AC2CFA"/>
    <w:rsid w:val="00AC2D17"/>
    <w:rsid w:val="00AC2D33"/>
    <w:rsid w:val="00AC2DB3"/>
    <w:rsid w:val="00AC2EA8"/>
    <w:rsid w:val="00AC2EC4"/>
    <w:rsid w:val="00AC2F0A"/>
    <w:rsid w:val="00AC2F59"/>
    <w:rsid w:val="00AC2F5A"/>
    <w:rsid w:val="00AC2F8A"/>
    <w:rsid w:val="00AC3135"/>
    <w:rsid w:val="00AC3179"/>
    <w:rsid w:val="00AC318C"/>
    <w:rsid w:val="00AC3235"/>
    <w:rsid w:val="00AC32A4"/>
    <w:rsid w:val="00AC335C"/>
    <w:rsid w:val="00AC3362"/>
    <w:rsid w:val="00AC3374"/>
    <w:rsid w:val="00AC33B3"/>
    <w:rsid w:val="00AC33C6"/>
    <w:rsid w:val="00AC3416"/>
    <w:rsid w:val="00AC3488"/>
    <w:rsid w:val="00AC34A8"/>
    <w:rsid w:val="00AC3547"/>
    <w:rsid w:val="00AC3548"/>
    <w:rsid w:val="00AC3558"/>
    <w:rsid w:val="00AC357F"/>
    <w:rsid w:val="00AC35B9"/>
    <w:rsid w:val="00AC35D3"/>
    <w:rsid w:val="00AC35FB"/>
    <w:rsid w:val="00AC3604"/>
    <w:rsid w:val="00AC36AF"/>
    <w:rsid w:val="00AC36B1"/>
    <w:rsid w:val="00AC3701"/>
    <w:rsid w:val="00AC3721"/>
    <w:rsid w:val="00AC3768"/>
    <w:rsid w:val="00AC3784"/>
    <w:rsid w:val="00AC3858"/>
    <w:rsid w:val="00AC387D"/>
    <w:rsid w:val="00AC38DF"/>
    <w:rsid w:val="00AC3979"/>
    <w:rsid w:val="00AC39C2"/>
    <w:rsid w:val="00AC39DF"/>
    <w:rsid w:val="00AC3A42"/>
    <w:rsid w:val="00AC3A79"/>
    <w:rsid w:val="00AC3AF6"/>
    <w:rsid w:val="00AC3B40"/>
    <w:rsid w:val="00AC3B49"/>
    <w:rsid w:val="00AC3B51"/>
    <w:rsid w:val="00AC3B56"/>
    <w:rsid w:val="00AC3B87"/>
    <w:rsid w:val="00AC3CAB"/>
    <w:rsid w:val="00AC3D10"/>
    <w:rsid w:val="00AC3D18"/>
    <w:rsid w:val="00AC3D1E"/>
    <w:rsid w:val="00AC3D62"/>
    <w:rsid w:val="00AC3DAF"/>
    <w:rsid w:val="00AC3DE6"/>
    <w:rsid w:val="00AC3E2F"/>
    <w:rsid w:val="00AC3E71"/>
    <w:rsid w:val="00AC3EAD"/>
    <w:rsid w:val="00AC3F22"/>
    <w:rsid w:val="00AC3F46"/>
    <w:rsid w:val="00AC3F47"/>
    <w:rsid w:val="00AC3F5C"/>
    <w:rsid w:val="00AC3F79"/>
    <w:rsid w:val="00AC400D"/>
    <w:rsid w:val="00AC40F5"/>
    <w:rsid w:val="00AC4143"/>
    <w:rsid w:val="00AC4179"/>
    <w:rsid w:val="00AC4195"/>
    <w:rsid w:val="00AC41CC"/>
    <w:rsid w:val="00AC41D7"/>
    <w:rsid w:val="00AC420A"/>
    <w:rsid w:val="00AC4213"/>
    <w:rsid w:val="00AC424C"/>
    <w:rsid w:val="00AC425A"/>
    <w:rsid w:val="00AC4282"/>
    <w:rsid w:val="00AC429F"/>
    <w:rsid w:val="00AC42A0"/>
    <w:rsid w:val="00AC42D0"/>
    <w:rsid w:val="00AC42F2"/>
    <w:rsid w:val="00AC432F"/>
    <w:rsid w:val="00AC4352"/>
    <w:rsid w:val="00AC4379"/>
    <w:rsid w:val="00AC4393"/>
    <w:rsid w:val="00AC44BB"/>
    <w:rsid w:val="00AC44DA"/>
    <w:rsid w:val="00AC44E7"/>
    <w:rsid w:val="00AC4544"/>
    <w:rsid w:val="00AC456D"/>
    <w:rsid w:val="00AC457B"/>
    <w:rsid w:val="00AC4601"/>
    <w:rsid w:val="00AC464E"/>
    <w:rsid w:val="00AC46AC"/>
    <w:rsid w:val="00AC4703"/>
    <w:rsid w:val="00AC47C5"/>
    <w:rsid w:val="00AC4849"/>
    <w:rsid w:val="00AC484C"/>
    <w:rsid w:val="00AC4861"/>
    <w:rsid w:val="00AC48DF"/>
    <w:rsid w:val="00AC48F7"/>
    <w:rsid w:val="00AC4947"/>
    <w:rsid w:val="00AC496E"/>
    <w:rsid w:val="00AC49BE"/>
    <w:rsid w:val="00AC4A3A"/>
    <w:rsid w:val="00AC4A9F"/>
    <w:rsid w:val="00AC4AC3"/>
    <w:rsid w:val="00AC4B30"/>
    <w:rsid w:val="00AC4B81"/>
    <w:rsid w:val="00AC4BCC"/>
    <w:rsid w:val="00AC4C70"/>
    <w:rsid w:val="00AC4C85"/>
    <w:rsid w:val="00AC4CA0"/>
    <w:rsid w:val="00AC4CB5"/>
    <w:rsid w:val="00AC4D84"/>
    <w:rsid w:val="00AC4D93"/>
    <w:rsid w:val="00AC4E55"/>
    <w:rsid w:val="00AC4E75"/>
    <w:rsid w:val="00AC4ECE"/>
    <w:rsid w:val="00AC4F19"/>
    <w:rsid w:val="00AC4F47"/>
    <w:rsid w:val="00AC4F56"/>
    <w:rsid w:val="00AC4F9A"/>
    <w:rsid w:val="00AC4FE4"/>
    <w:rsid w:val="00AC50E7"/>
    <w:rsid w:val="00AC51E2"/>
    <w:rsid w:val="00AC51FE"/>
    <w:rsid w:val="00AC522E"/>
    <w:rsid w:val="00AC5234"/>
    <w:rsid w:val="00AC529F"/>
    <w:rsid w:val="00AC5300"/>
    <w:rsid w:val="00AC5357"/>
    <w:rsid w:val="00AC5399"/>
    <w:rsid w:val="00AC545C"/>
    <w:rsid w:val="00AC5489"/>
    <w:rsid w:val="00AC54EE"/>
    <w:rsid w:val="00AC5519"/>
    <w:rsid w:val="00AC5577"/>
    <w:rsid w:val="00AC567A"/>
    <w:rsid w:val="00AC5701"/>
    <w:rsid w:val="00AC574A"/>
    <w:rsid w:val="00AC575C"/>
    <w:rsid w:val="00AC576E"/>
    <w:rsid w:val="00AC577D"/>
    <w:rsid w:val="00AC5787"/>
    <w:rsid w:val="00AC57B4"/>
    <w:rsid w:val="00AC57C8"/>
    <w:rsid w:val="00AC57F7"/>
    <w:rsid w:val="00AC5833"/>
    <w:rsid w:val="00AC584A"/>
    <w:rsid w:val="00AC587B"/>
    <w:rsid w:val="00AC5887"/>
    <w:rsid w:val="00AC58BA"/>
    <w:rsid w:val="00AC5910"/>
    <w:rsid w:val="00AC59A9"/>
    <w:rsid w:val="00AC5A4B"/>
    <w:rsid w:val="00AC5B11"/>
    <w:rsid w:val="00AC5B9F"/>
    <w:rsid w:val="00AC5BBE"/>
    <w:rsid w:val="00AC5C58"/>
    <w:rsid w:val="00AC5C7A"/>
    <w:rsid w:val="00AC5CA7"/>
    <w:rsid w:val="00AC5CF4"/>
    <w:rsid w:val="00AC5D03"/>
    <w:rsid w:val="00AC5D1B"/>
    <w:rsid w:val="00AC5D29"/>
    <w:rsid w:val="00AC5D74"/>
    <w:rsid w:val="00AC5E1A"/>
    <w:rsid w:val="00AC5E68"/>
    <w:rsid w:val="00AC5E9D"/>
    <w:rsid w:val="00AC5EE8"/>
    <w:rsid w:val="00AC5EF5"/>
    <w:rsid w:val="00AC5F58"/>
    <w:rsid w:val="00AC5F6F"/>
    <w:rsid w:val="00AC5FA4"/>
    <w:rsid w:val="00AC602E"/>
    <w:rsid w:val="00AC60F2"/>
    <w:rsid w:val="00AC611C"/>
    <w:rsid w:val="00AC6167"/>
    <w:rsid w:val="00AC618F"/>
    <w:rsid w:val="00AC6219"/>
    <w:rsid w:val="00AC6289"/>
    <w:rsid w:val="00AC6323"/>
    <w:rsid w:val="00AC6398"/>
    <w:rsid w:val="00AC63D3"/>
    <w:rsid w:val="00AC6400"/>
    <w:rsid w:val="00AC641E"/>
    <w:rsid w:val="00AC64A4"/>
    <w:rsid w:val="00AC64CB"/>
    <w:rsid w:val="00AC64DF"/>
    <w:rsid w:val="00AC64ED"/>
    <w:rsid w:val="00AC6631"/>
    <w:rsid w:val="00AC66A7"/>
    <w:rsid w:val="00AC66D3"/>
    <w:rsid w:val="00AC6721"/>
    <w:rsid w:val="00AC6744"/>
    <w:rsid w:val="00AC674D"/>
    <w:rsid w:val="00AC6779"/>
    <w:rsid w:val="00AC67B5"/>
    <w:rsid w:val="00AC680D"/>
    <w:rsid w:val="00AC683D"/>
    <w:rsid w:val="00AC6865"/>
    <w:rsid w:val="00AC689F"/>
    <w:rsid w:val="00AC68CE"/>
    <w:rsid w:val="00AC6977"/>
    <w:rsid w:val="00AC6987"/>
    <w:rsid w:val="00AC69B0"/>
    <w:rsid w:val="00AC69D9"/>
    <w:rsid w:val="00AC69DD"/>
    <w:rsid w:val="00AC69EA"/>
    <w:rsid w:val="00AC6A31"/>
    <w:rsid w:val="00AC6A8A"/>
    <w:rsid w:val="00AC6B6B"/>
    <w:rsid w:val="00AC6B84"/>
    <w:rsid w:val="00AC6BF1"/>
    <w:rsid w:val="00AC6C4C"/>
    <w:rsid w:val="00AC6CCD"/>
    <w:rsid w:val="00AC6CD7"/>
    <w:rsid w:val="00AC6CFC"/>
    <w:rsid w:val="00AC6D86"/>
    <w:rsid w:val="00AC6DB0"/>
    <w:rsid w:val="00AC6EBB"/>
    <w:rsid w:val="00AC6EF8"/>
    <w:rsid w:val="00AC6F42"/>
    <w:rsid w:val="00AC6F4A"/>
    <w:rsid w:val="00AC6F85"/>
    <w:rsid w:val="00AC6FA8"/>
    <w:rsid w:val="00AC6FB0"/>
    <w:rsid w:val="00AC6FB4"/>
    <w:rsid w:val="00AC6FE9"/>
    <w:rsid w:val="00AC6FEE"/>
    <w:rsid w:val="00AC700B"/>
    <w:rsid w:val="00AC7011"/>
    <w:rsid w:val="00AC7078"/>
    <w:rsid w:val="00AC7079"/>
    <w:rsid w:val="00AC7093"/>
    <w:rsid w:val="00AC70AD"/>
    <w:rsid w:val="00AC70E8"/>
    <w:rsid w:val="00AC710B"/>
    <w:rsid w:val="00AC711E"/>
    <w:rsid w:val="00AC7123"/>
    <w:rsid w:val="00AC7163"/>
    <w:rsid w:val="00AC718B"/>
    <w:rsid w:val="00AC723E"/>
    <w:rsid w:val="00AC72C2"/>
    <w:rsid w:val="00AC72D2"/>
    <w:rsid w:val="00AC7319"/>
    <w:rsid w:val="00AC732B"/>
    <w:rsid w:val="00AC734F"/>
    <w:rsid w:val="00AC73DE"/>
    <w:rsid w:val="00AC7435"/>
    <w:rsid w:val="00AC744D"/>
    <w:rsid w:val="00AC7471"/>
    <w:rsid w:val="00AC749C"/>
    <w:rsid w:val="00AC74DD"/>
    <w:rsid w:val="00AC75CF"/>
    <w:rsid w:val="00AC75EB"/>
    <w:rsid w:val="00AC761F"/>
    <w:rsid w:val="00AC766C"/>
    <w:rsid w:val="00AC7699"/>
    <w:rsid w:val="00AC7713"/>
    <w:rsid w:val="00AC77ED"/>
    <w:rsid w:val="00AC7807"/>
    <w:rsid w:val="00AC7886"/>
    <w:rsid w:val="00AC78F4"/>
    <w:rsid w:val="00AC790C"/>
    <w:rsid w:val="00AC7945"/>
    <w:rsid w:val="00AC7977"/>
    <w:rsid w:val="00AC79CE"/>
    <w:rsid w:val="00AC7A00"/>
    <w:rsid w:val="00AC7A7A"/>
    <w:rsid w:val="00AC7A87"/>
    <w:rsid w:val="00AC7B17"/>
    <w:rsid w:val="00AC7B2B"/>
    <w:rsid w:val="00AC7B3C"/>
    <w:rsid w:val="00AC7B5D"/>
    <w:rsid w:val="00AC7B84"/>
    <w:rsid w:val="00AC7BE7"/>
    <w:rsid w:val="00AC7C5B"/>
    <w:rsid w:val="00AC7C65"/>
    <w:rsid w:val="00AC7C6E"/>
    <w:rsid w:val="00AC7C82"/>
    <w:rsid w:val="00AC7CC5"/>
    <w:rsid w:val="00AC7CE6"/>
    <w:rsid w:val="00AC7CFD"/>
    <w:rsid w:val="00AC7D1B"/>
    <w:rsid w:val="00AC7D76"/>
    <w:rsid w:val="00AC7DA6"/>
    <w:rsid w:val="00AC7DC4"/>
    <w:rsid w:val="00AC7E2B"/>
    <w:rsid w:val="00AC7EA0"/>
    <w:rsid w:val="00AC7EAD"/>
    <w:rsid w:val="00AC7EDA"/>
    <w:rsid w:val="00AC7EFA"/>
    <w:rsid w:val="00AD000A"/>
    <w:rsid w:val="00AD00B8"/>
    <w:rsid w:val="00AD012A"/>
    <w:rsid w:val="00AD0154"/>
    <w:rsid w:val="00AD015B"/>
    <w:rsid w:val="00AD0178"/>
    <w:rsid w:val="00AD01BD"/>
    <w:rsid w:val="00AD01E6"/>
    <w:rsid w:val="00AD02AF"/>
    <w:rsid w:val="00AD02D6"/>
    <w:rsid w:val="00AD0362"/>
    <w:rsid w:val="00AD037F"/>
    <w:rsid w:val="00AD0393"/>
    <w:rsid w:val="00AD03A7"/>
    <w:rsid w:val="00AD0425"/>
    <w:rsid w:val="00AD044A"/>
    <w:rsid w:val="00AD04D2"/>
    <w:rsid w:val="00AD0513"/>
    <w:rsid w:val="00AD054C"/>
    <w:rsid w:val="00AD058E"/>
    <w:rsid w:val="00AD05DE"/>
    <w:rsid w:val="00AD0663"/>
    <w:rsid w:val="00AD066E"/>
    <w:rsid w:val="00AD068D"/>
    <w:rsid w:val="00AD06C3"/>
    <w:rsid w:val="00AD0702"/>
    <w:rsid w:val="00AD0714"/>
    <w:rsid w:val="00AD075E"/>
    <w:rsid w:val="00AD07C7"/>
    <w:rsid w:val="00AD07E6"/>
    <w:rsid w:val="00AD0833"/>
    <w:rsid w:val="00AD0907"/>
    <w:rsid w:val="00AD0930"/>
    <w:rsid w:val="00AD094B"/>
    <w:rsid w:val="00AD0951"/>
    <w:rsid w:val="00AD0A92"/>
    <w:rsid w:val="00AD0B33"/>
    <w:rsid w:val="00AD0BAE"/>
    <w:rsid w:val="00AD0BB1"/>
    <w:rsid w:val="00AD0BC3"/>
    <w:rsid w:val="00AD0C00"/>
    <w:rsid w:val="00AD0C04"/>
    <w:rsid w:val="00AD0C60"/>
    <w:rsid w:val="00AD0C8E"/>
    <w:rsid w:val="00AD0CC6"/>
    <w:rsid w:val="00AD0D74"/>
    <w:rsid w:val="00AD0D98"/>
    <w:rsid w:val="00AD0DA5"/>
    <w:rsid w:val="00AD0DB4"/>
    <w:rsid w:val="00AD0E35"/>
    <w:rsid w:val="00AD0E90"/>
    <w:rsid w:val="00AD0EBE"/>
    <w:rsid w:val="00AD0EC7"/>
    <w:rsid w:val="00AD0ECB"/>
    <w:rsid w:val="00AD0EDB"/>
    <w:rsid w:val="00AD0F0C"/>
    <w:rsid w:val="00AD0F2B"/>
    <w:rsid w:val="00AD0F2D"/>
    <w:rsid w:val="00AD0F5F"/>
    <w:rsid w:val="00AD0F7F"/>
    <w:rsid w:val="00AD0F84"/>
    <w:rsid w:val="00AD0FB7"/>
    <w:rsid w:val="00AD1060"/>
    <w:rsid w:val="00AD1098"/>
    <w:rsid w:val="00AD109E"/>
    <w:rsid w:val="00AD10FE"/>
    <w:rsid w:val="00AD1101"/>
    <w:rsid w:val="00AD1113"/>
    <w:rsid w:val="00AD111A"/>
    <w:rsid w:val="00AD1121"/>
    <w:rsid w:val="00AD1125"/>
    <w:rsid w:val="00AD1183"/>
    <w:rsid w:val="00AD11DF"/>
    <w:rsid w:val="00AD1220"/>
    <w:rsid w:val="00AD122A"/>
    <w:rsid w:val="00AD122D"/>
    <w:rsid w:val="00AD12DB"/>
    <w:rsid w:val="00AD12EF"/>
    <w:rsid w:val="00AD14BB"/>
    <w:rsid w:val="00AD1579"/>
    <w:rsid w:val="00AD15DC"/>
    <w:rsid w:val="00AD1637"/>
    <w:rsid w:val="00AD1648"/>
    <w:rsid w:val="00AD1667"/>
    <w:rsid w:val="00AD1786"/>
    <w:rsid w:val="00AD1795"/>
    <w:rsid w:val="00AD17F4"/>
    <w:rsid w:val="00AD183C"/>
    <w:rsid w:val="00AD1846"/>
    <w:rsid w:val="00AD1886"/>
    <w:rsid w:val="00AD18CD"/>
    <w:rsid w:val="00AD18E9"/>
    <w:rsid w:val="00AD18ED"/>
    <w:rsid w:val="00AD195F"/>
    <w:rsid w:val="00AD197E"/>
    <w:rsid w:val="00AD19CB"/>
    <w:rsid w:val="00AD1A3D"/>
    <w:rsid w:val="00AD1A4C"/>
    <w:rsid w:val="00AD1AFD"/>
    <w:rsid w:val="00AD1C1E"/>
    <w:rsid w:val="00AD1CE1"/>
    <w:rsid w:val="00AD1D15"/>
    <w:rsid w:val="00AD1DC6"/>
    <w:rsid w:val="00AD1DEB"/>
    <w:rsid w:val="00AD1E11"/>
    <w:rsid w:val="00AD1E21"/>
    <w:rsid w:val="00AD1E43"/>
    <w:rsid w:val="00AD1E47"/>
    <w:rsid w:val="00AD1E51"/>
    <w:rsid w:val="00AD1E6F"/>
    <w:rsid w:val="00AD1EB2"/>
    <w:rsid w:val="00AD1F7C"/>
    <w:rsid w:val="00AD1FF5"/>
    <w:rsid w:val="00AD2043"/>
    <w:rsid w:val="00AD206E"/>
    <w:rsid w:val="00AD20A0"/>
    <w:rsid w:val="00AD20A3"/>
    <w:rsid w:val="00AD20C1"/>
    <w:rsid w:val="00AD20F0"/>
    <w:rsid w:val="00AD216C"/>
    <w:rsid w:val="00AD21AA"/>
    <w:rsid w:val="00AD22B2"/>
    <w:rsid w:val="00AD23A3"/>
    <w:rsid w:val="00AD23BF"/>
    <w:rsid w:val="00AD23E0"/>
    <w:rsid w:val="00AD24A9"/>
    <w:rsid w:val="00AD25BF"/>
    <w:rsid w:val="00AD25D6"/>
    <w:rsid w:val="00AD262A"/>
    <w:rsid w:val="00AD2678"/>
    <w:rsid w:val="00AD270F"/>
    <w:rsid w:val="00AD271F"/>
    <w:rsid w:val="00AD2724"/>
    <w:rsid w:val="00AD278F"/>
    <w:rsid w:val="00AD27FE"/>
    <w:rsid w:val="00AD28A7"/>
    <w:rsid w:val="00AD28DB"/>
    <w:rsid w:val="00AD290E"/>
    <w:rsid w:val="00AD293B"/>
    <w:rsid w:val="00AD2971"/>
    <w:rsid w:val="00AD29F5"/>
    <w:rsid w:val="00AD2A01"/>
    <w:rsid w:val="00AD2A29"/>
    <w:rsid w:val="00AD2A2E"/>
    <w:rsid w:val="00AD2A5A"/>
    <w:rsid w:val="00AD2A7F"/>
    <w:rsid w:val="00AD2A97"/>
    <w:rsid w:val="00AD2AAB"/>
    <w:rsid w:val="00AD2ACA"/>
    <w:rsid w:val="00AD2AF6"/>
    <w:rsid w:val="00AD2B56"/>
    <w:rsid w:val="00AD2B73"/>
    <w:rsid w:val="00AD2B9F"/>
    <w:rsid w:val="00AD2BE1"/>
    <w:rsid w:val="00AD2BE6"/>
    <w:rsid w:val="00AD2C39"/>
    <w:rsid w:val="00AD2C9F"/>
    <w:rsid w:val="00AD2DFE"/>
    <w:rsid w:val="00AD2E3B"/>
    <w:rsid w:val="00AD2E43"/>
    <w:rsid w:val="00AD2E73"/>
    <w:rsid w:val="00AD2E9C"/>
    <w:rsid w:val="00AD2EA5"/>
    <w:rsid w:val="00AD2EE0"/>
    <w:rsid w:val="00AD2EE5"/>
    <w:rsid w:val="00AD2EE8"/>
    <w:rsid w:val="00AD2F27"/>
    <w:rsid w:val="00AD2F28"/>
    <w:rsid w:val="00AD2F3D"/>
    <w:rsid w:val="00AD2F4B"/>
    <w:rsid w:val="00AD2FB2"/>
    <w:rsid w:val="00AD3010"/>
    <w:rsid w:val="00AD3013"/>
    <w:rsid w:val="00AD3017"/>
    <w:rsid w:val="00AD30EE"/>
    <w:rsid w:val="00AD3138"/>
    <w:rsid w:val="00AD3176"/>
    <w:rsid w:val="00AD3293"/>
    <w:rsid w:val="00AD3296"/>
    <w:rsid w:val="00AD329B"/>
    <w:rsid w:val="00AD32A4"/>
    <w:rsid w:val="00AD32A7"/>
    <w:rsid w:val="00AD33BB"/>
    <w:rsid w:val="00AD33F5"/>
    <w:rsid w:val="00AD344B"/>
    <w:rsid w:val="00AD34FA"/>
    <w:rsid w:val="00AD354F"/>
    <w:rsid w:val="00AD3678"/>
    <w:rsid w:val="00AD368A"/>
    <w:rsid w:val="00AD3701"/>
    <w:rsid w:val="00AD373A"/>
    <w:rsid w:val="00AD37A1"/>
    <w:rsid w:val="00AD3841"/>
    <w:rsid w:val="00AD385F"/>
    <w:rsid w:val="00AD3867"/>
    <w:rsid w:val="00AD38AB"/>
    <w:rsid w:val="00AD38BC"/>
    <w:rsid w:val="00AD3901"/>
    <w:rsid w:val="00AD39D3"/>
    <w:rsid w:val="00AD3A2A"/>
    <w:rsid w:val="00AD3A3A"/>
    <w:rsid w:val="00AD3AFD"/>
    <w:rsid w:val="00AD3B24"/>
    <w:rsid w:val="00AD3B2C"/>
    <w:rsid w:val="00AD3B6F"/>
    <w:rsid w:val="00AD3BBC"/>
    <w:rsid w:val="00AD3C39"/>
    <w:rsid w:val="00AD3C3D"/>
    <w:rsid w:val="00AD3CC3"/>
    <w:rsid w:val="00AD3D6E"/>
    <w:rsid w:val="00AD3D7A"/>
    <w:rsid w:val="00AD3E5E"/>
    <w:rsid w:val="00AD3E7B"/>
    <w:rsid w:val="00AD3F82"/>
    <w:rsid w:val="00AD3F85"/>
    <w:rsid w:val="00AD3F8B"/>
    <w:rsid w:val="00AD3FBC"/>
    <w:rsid w:val="00AD407A"/>
    <w:rsid w:val="00AD40C2"/>
    <w:rsid w:val="00AD40E9"/>
    <w:rsid w:val="00AD40F3"/>
    <w:rsid w:val="00AD41FF"/>
    <w:rsid w:val="00AD4211"/>
    <w:rsid w:val="00AD4247"/>
    <w:rsid w:val="00AD4267"/>
    <w:rsid w:val="00AD42D7"/>
    <w:rsid w:val="00AD42F7"/>
    <w:rsid w:val="00AD4314"/>
    <w:rsid w:val="00AD4347"/>
    <w:rsid w:val="00AD4375"/>
    <w:rsid w:val="00AD4392"/>
    <w:rsid w:val="00AD43A4"/>
    <w:rsid w:val="00AD43B2"/>
    <w:rsid w:val="00AD43B3"/>
    <w:rsid w:val="00AD440D"/>
    <w:rsid w:val="00AD4422"/>
    <w:rsid w:val="00AD4434"/>
    <w:rsid w:val="00AD443E"/>
    <w:rsid w:val="00AD4441"/>
    <w:rsid w:val="00AD44AB"/>
    <w:rsid w:val="00AD44BC"/>
    <w:rsid w:val="00AD44E5"/>
    <w:rsid w:val="00AD44FD"/>
    <w:rsid w:val="00AD4541"/>
    <w:rsid w:val="00AD4544"/>
    <w:rsid w:val="00AD458B"/>
    <w:rsid w:val="00AD45E7"/>
    <w:rsid w:val="00AD45EF"/>
    <w:rsid w:val="00AD4654"/>
    <w:rsid w:val="00AD4691"/>
    <w:rsid w:val="00AD476C"/>
    <w:rsid w:val="00AD4782"/>
    <w:rsid w:val="00AD4796"/>
    <w:rsid w:val="00AD479B"/>
    <w:rsid w:val="00AD47AB"/>
    <w:rsid w:val="00AD47D4"/>
    <w:rsid w:val="00AD47F7"/>
    <w:rsid w:val="00AD4859"/>
    <w:rsid w:val="00AD487D"/>
    <w:rsid w:val="00AD48CA"/>
    <w:rsid w:val="00AD496B"/>
    <w:rsid w:val="00AD4A61"/>
    <w:rsid w:val="00AD4A6E"/>
    <w:rsid w:val="00AD4A82"/>
    <w:rsid w:val="00AD4A88"/>
    <w:rsid w:val="00AD4A91"/>
    <w:rsid w:val="00AD4ADE"/>
    <w:rsid w:val="00AD4ADF"/>
    <w:rsid w:val="00AD4AFC"/>
    <w:rsid w:val="00AD4B17"/>
    <w:rsid w:val="00AD4B4F"/>
    <w:rsid w:val="00AD4BA0"/>
    <w:rsid w:val="00AD4BC9"/>
    <w:rsid w:val="00AD4BE0"/>
    <w:rsid w:val="00AD4C5D"/>
    <w:rsid w:val="00AD4CA2"/>
    <w:rsid w:val="00AD4CDD"/>
    <w:rsid w:val="00AD4E02"/>
    <w:rsid w:val="00AD4E39"/>
    <w:rsid w:val="00AD4E7F"/>
    <w:rsid w:val="00AD4EFC"/>
    <w:rsid w:val="00AD4EFD"/>
    <w:rsid w:val="00AD4F39"/>
    <w:rsid w:val="00AD4FFB"/>
    <w:rsid w:val="00AD5027"/>
    <w:rsid w:val="00AD5051"/>
    <w:rsid w:val="00AD511B"/>
    <w:rsid w:val="00AD511E"/>
    <w:rsid w:val="00AD5198"/>
    <w:rsid w:val="00AD51A8"/>
    <w:rsid w:val="00AD51AE"/>
    <w:rsid w:val="00AD5209"/>
    <w:rsid w:val="00AD520C"/>
    <w:rsid w:val="00AD5258"/>
    <w:rsid w:val="00AD527B"/>
    <w:rsid w:val="00AD52CA"/>
    <w:rsid w:val="00AD532A"/>
    <w:rsid w:val="00AD5387"/>
    <w:rsid w:val="00AD53D3"/>
    <w:rsid w:val="00AD5494"/>
    <w:rsid w:val="00AD54A7"/>
    <w:rsid w:val="00AD55EC"/>
    <w:rsid w:val="00AD560B"/>
    <w:rsid w:val="00AD569C"/>
    <w:rsid w:val="00AD573F"/>
    <w:rsid w:val="00AD5765"/>
    <w:rsid w:val="00AD57BE"/>
    <w:rsid w:val="00AD57E5"/>
    <w:rsid w:val="00AD57FE"/>
    <w:rsid w:val="00AD582E"/>
    <w:rsid w:val="00AD58D5"/>
    <w:rsid w:val="00AD5922"/>
    <w:rsid w:val="00AD5945"/>
    <w:rsid w:val="00AD5961"/>
    <w:rsid w:val="00AD596B"/>
    <w:rsid w:val="00AD5979"/>
    <w:rsid w:val="00AD59EB"/>
    <w:rsid w:val="00AD59EF"/>
    <w:rsid w:val="00AD59F6"/>
    <w:rsid w:val="00AD5A97"/>
    <w:rsid w:val="00AD5B12"/>
    <w:rsid w:val="00AD5BD9"/>
    <w:rsid w:val="00AD5BE8"/>
    <w:rsid w:val="00AD5C2C"/>
    <w:rsid w:val="00AD5C6A"/>
    <w:rsid w:val="00AD5C96"/>
    <w:rsid w:val="00AD5C98"/>
    <w:rsid w:val="00AD5CB6"/>
    <w:rsid w:val="00AD5D1D"/>
    <w:rsid w:val="00AD5D3C"/>
    <w:rsid w:val="00AD5D49"/>
    <w:rsid w:val="00AD5D78"/>
    <w:rsid w:val="00AD5DA0"/>
    <w:rsid w:val="00AD5E03"/>
    <w:rsid w:val="00AD5E15"/>
    <w:rsid w:val="00AD5E2C"/>
    <w:rsid w:val="00AD5E2D"/>
    <w:rsid w:val="00AD5E69"/>
    <w:rsid w:val="00AD5E7B"/>
    <w:rsid w:val="00AD5EEB"/>
    <w:rsid w:val="00AD5F8A"/>
    <w:rsid w:val="00AD5FA7"/>
    <w:rsid w:val="00AD5FC4"/>
    <w:rsid w:val="00AD5FEA"/>
    <w:rsid w:val="00AD606C"/>
    <w:rsid w:val="00AD60DF"/>
    <w:rsid w:val="00AD612D"/>
    <w:rsid w:val="00AD612E"/>
    <w:rsid w:val="00AD619D"/>
    <w:rsid w:val="00AD622A"/>
    <w:rsid w:val="00AD6273"/>
    <w:rsid w:val="00AD62E9"/>
    <w:rsid w:val="00AD62F0"/>
    <w:rsid w:val="00AD6321"/>
    <w:rsid w:val="00AD6339"/>
    <w:rsid w:val="00AD6360"/>
    <w:rsid w:val="00AD6376"/>
    <w:rsid w:val="00AD638D"/>
    <w:rsid w:val="00AD6391"/>
    <w:rsid w:val="00AD644E"/>
    <w:rsid w:val="00AD6467"/>
    <w:rsid w:val="00AD6483"/>
    <w:rsid w:val="00AD6493"/>
    <w:rsid w:val="00AD64A5"/>
    <w:rsid w:val="00AD64BC"/>
    <w:rsid w:val="00AD64BF"/>
    <w:rsid w:val="00AD64EC"/>
    <w:rsid w:val="00AD6531"/>
    <w:rsid w:val="00AD654D"/>
    <w:rsid w:val="00AD656F"/>
    <w:rsid w:val="00AD65BF"/>
    <w:rsid w:val="00AD65F5"/>
    <w:rsid w:val="00AD662D"/>
    <w:rsid w:val="00AD6671"/>
    <w:rsid w:val="00AD671E"/>
    <w:rsid w:val="00AD67F0"/>
    <w:rsid w:val="00AD67F3"/>
    <w:rsid w:val="00AD6831"/>
    <w:rsid w:val="00AD6833"/>
    <w:rsid w:val="00AD6843"/>
    <w:rsid w:val="00AD68CF"/>
    <w:rsid w:val="00AD6965"/>
    <w:rsid w:val="00AD6A28"/>
    <w:rsid w:val="00AD6A2A"/>
    <w:rsid w:val="00AD6A5B"/>
    <w:rsid w:val="00AD6A74"/>
    <w:rsid w:val="00AD6A87"/>
    <w:rsid w:val="00AD6AA3"/>
    <w:rsid w:val="00AD6B2C"/>
    <w:rsid w:val="00AD6C19"/>
    <w:rsid w:val="00AD6C29"/>
    <w:rsid w:val="00AD6CA1"/>
    <w:rsid w:val="00AD6CF3"/>
    <w:rsid w:val="00AD6D0D"/>
    <w:rsid w:val="00AD6D27"/>
    <w:rsid w:val="00AD6D57"/>
    <w:rsid w:val="00AD6D5D"/>
    <w:rsid w:val="00AD6D85"/>
    <w:rsid w:val="00AD6E1E"/>
    <w:rsid w:val="00AD6E87"/>
    <w:rsid w:val="00AD6E88"/>
    <w:rsid w:val="00AD6E97"/>
    <w:rsid w:val="00AD6EC2"/>
    <w:rsid w:val="00AD6EED"/>
    <w:rsid w:val="00AD6F89"/>
    <w:rsid w:val="00AD705E"/>
    <w:rsid w:val="00AD70AB"/>
    <w:rsid w:val="00AD70B5"/>
    <w:rsid w:val="00AD70D5"/>
    <w:rsid w:val="00AD712C"/>
    <w:rsid w:val="00AD717B"/>
    <w:rsid w:val="00AD71CE"/>
    <w:rsid w:val="00AD7230"/>
    <w:rsid w:val="00AD7280"/>
    <w:rsid w:val="00AD7283"/>
    <w:rsid w:val="00AD72A3"/>
    <w:rsid w:val="00AD72C6"/>
    <w:rsid w:val="00AD7361"/>
    <w:rsid w:val="00AD73F1"/>
    <w:rsid w:val="00AD7414"/>
    <w:rsid w:val="00AD7450"/>
    <w:rsid w:val="00AD74A1"/>
    <w:rsid w:val="00AD7589"/>
    <w:rsid w:val="00AD75D7"/>
    <w:rsid w:val="00AD75F3"/>
    <w:rsid w:val="00AD7641"/>
    <w:rsid w:val="00AD76C5"/>
    <w:rsid w:val="00AD771C"/>
    <w:rsid w:val="00AD779E"/>
    <w:rsid w:val="00AD781E"/>
    <w:rsid w:val="00AD787E"/>
    <w:rsid w:val="00AD7883"/>
    <w:rsid w:val="00AD78EA"/>
    <w:rsid w:val="00AD793A"/>
    <w:rsid w:val="00AD79D9"/>
    <w:rsid w:val="00AD79FD"/>
    <w:rsid w:val="00AD7A77"/>
    <w:rsid w:val="00AD7A8F"/>
    <w:rsid w:val="00AD7A9D"/>
    <w:rsid w:val="00AD7AAF"/>
    <w:rsid w:val="00AD7AF5"/>
    <w:rsid w:val="00AD7B84"/>
    <w:rsid w:val="00AD7C5C"/>
    <w:rsid w:val="00AD7CC0"/>
    <w:rsid w:val="00AD7CC5"/>
    <w:rsid w:val="00AD7D2A"/>
    <w:rsid w:val="00AD7D77"/>
    <w:rsid w:val="00AD7D93"/>
    <w:rsid w:val="00AD7D99"/>
    <w:rsid w:val="00AD7DDD"/>
    <w:rsid w:val="00AD7DE9"/>
    <w:rsid w:val="00AD7DF6"/>
    <w:rsid w:val="00AD7E5F"/>
    <w:rsid w:val="00AD7E75"/>
    <w:rsid w:val="00AD7EE6"/>
    <w:rsid w:val="00AD7EFB"/>
    <w:rsid w:val="00AD7F8B"/>
    <w:rsid w:val="00AD7FAC"/>
    <w:rsid w:val="00AD7FCB"/>
    <w:rsid w:val="00AE0003"/>
    <w:rsid w:val="00AE0019"/>
    <w:rsid w:val="00AE0021"/>
    <w:rsid w:val="00AE022A"/>
    <w:rsid w:val="00AE02AD"/>
    <w:rsid w:val="00AE02CB"/>
    <w:rsid w:val="00AE02D5"/>
    <w:rsid w:val="00AE0349"/>
    <w:rsid w:val="00AE0376"/>
    <w:rsid w:val="00AE03B1"/>
    <w:rsid w:val="00AE04B2"/>
    <w:rsid w:val="00AE0644"/>
    <w:rsid w:val="00AE0682"/>
    <w:rsid w:val="00AE078D"/>
    <w:rsid w:val="00AE07BB"/>
    <w:rsid w:val="00AE07F6"/>
    <w:rsid w:val="00AE0860"/>
    <w:rsid w:val="00AE08A7"/>
    <w:rsid w:val="00AE08F4"/>
    <w:rsid w:val="00AE0928"/>
    <w:rsid w:val="00AE09ED"/>
    <w:rsid w:val="00AE09F3"/>
    <w:rsid w:val="00AE0A19"/>
    <w:rsid w:val="00AE0A29"/>
    <w:rsid w:val="00AE0AB3"/>
    <w:rsid w:val="00AE0B4E"/>
    <w:rsid w:val="00AE0B98"/>
    <w:rsid w:val="00AE0BF6"/>
    <w:rsid w:val="00AE0C20"/>
    <w:rsid w:val="00AE0C63"/>
    <w:rsid w:val="00AE0CA7"/>
    <w:rsid w:val="00AE0CB0"/>
    <w:rsid w:val="00AE0CFE"/>
    <w:rsid w:val="00AE0D23"/>
    <w:rsid w:val="00AE0D4E"/>
    <w:rsid w:val="00AE0D97"/>
    <w:rsid w:val="00AE0DE4"/>
    <w:rsid w:val="00AE0E3B"/>
    <w:rsid w:val="00AE0E72"/>
    <w:rsid w:val="00AE0EA0"/>
    <w:rsid w:val="00AE0EBF"/>
    <w:rsid w:val="00AE0F3A"/>
    <w:rsid w:val="00AE0F71"/>
    <w:rsid w:val="00AE0F9A"/>
    <w:rsid w:val="00AE100D"/>
    <w:rsid w:val="00AE101F"/>
    <w:rsid w:val="00AE1114"/>
    <w:rsid w:val="00AE1156"/>
    <w:rsid w:val="00AE11A4"/>
    <w:rsid w:val="00AE11FE"/>
    <w:rsid w:val="00AE129A"/>
    <w:rsid w:val="00AE12F5"/>
    <w:rsid w:val="00AE1358"/>
    <w:rsid w:val="00AE1390"/>
    <w:rsid w:val="00AE13A2"/>
    <w:rsid w:val="00AE13A6"/>
    <w:rsid w:val="00AE13B5"/>
    <w:rsid w:val="00AE13C7"/>
    <w:rsid w:val="00AE13F9"/>
    <w:rsid w:val="00AE1400"/>
    <w:rsid w:val="00AE140C"/>
    <w:rsid w:val="00AE1411"/>
    <w:rsid w:val="00AE14B4"/>
    <w:rsid w:val="00AE14F2"/>
    <w:rsid w:val="00AE1514"/>
    <w:rsid w:val="00AE1519"/>
    <w:rsid w:val="00AE15CC"/>
    <w:rsid w:val="00AE1602"/>
    <w:rsid w:val="00AE1659"/>
    <w:rsid w:val="00AE1701"/>
    <w:rsid w:val="00AE17F3"/>
    <w:rsid w:val="00AE1823"/>
    <w:rsid w:val="00AE1839"/>
    <w:rsid w:val="00AE1858"/>
    <w:rsid w:val="00AE18FD"/>
    <w:rsid w:val="00AE19B9"/>
    <w:rsid w:val="00AE19F3"/>
    <w:rsid w:val="00AE1A74"/>
    <w:rsid w:val="00AE1A83"/>
    <w:rsid w:val="00AE1A90"/>
    <w:rsid w:val="00AE1ACB"/>
    <w:rsid w:val="00AE1B32"/>
    <w:rsid w:val="00AE1B46"/>
    <w:rsid w:val="00AE1B87"/>
    <w:rsid w:val="00AE1C32"/>
    <w:rsid w:val="00AE1C4B"/>
    <w:rsid w:val="00AE1CDF"/>
    <w:rsid w:val="00AE1D40"/>
    <w:rsid w:val="00AE1D6F"/>
    <w:rsid w:val="00AE1D7E"/>
    <w:rsid w:val="00AE1DAF"/>
    <w:rsid w:val="00AE1DE6"/>
    <w:rsid w:val="00AE1DE8"/>
    <w:rsid w:val="00AE1E64"/>
    <w:rsid w:val="00AE1E76"/>
    <w:rsid w:val="00AE1EB4"/>
    <w:rsid w:val="00AE1F23"/>
    <w:rsid w:val="00AE1F28"/>
    <w:rsid w:val="00AE1F31"/>
    <w:rsid w:val="00AE1F32"/>
    <w:rsid w:val="00AE1FD1"/>
    <w:rsid w:val="00AE2010"/>
    <w:rsid w:val="00AE2018"/>
    <w:rsid w:val="00AE2059"/>
    <w:rsid w:val="00AE20AA"/>
    <w:rsid w:val="00AE2221"/>
    <w:rsid w:val="00AE2267"/>
    <w:rsid w:val="00AE233B"/>
    <w:rsid w:val="00AE2345"/>
    <w:rsid w:val="00AE238F"/>
    <w:rsid w:val="00AE23B0"/>
    <w:rsid w:val="00AE243D"/>
    <w:rsid w:val="00AE24C4"/>
    <w:rsid w:val="00AE24D5"/>
    <w:rsid w:val="00AE24EE"/>
    <w:rsid w:val="00AE252E"/>
    <w:rsid w:val="00AE2561"/>
    <w:rsid w:val="00AE2563"/>
    <w:rsid w:val="00AE256F"/>
    <w:rsid w:val="00AE2584"/>
    <w:rsid w:val="00AE2603"/>
    <w:rsid w:val="00AE2618"/>
    <w:rsid w:val="00AE2653"/>
    <w:rsid w:val="00AE2662"/>
    <w:rsid w:val="00AE269D"/>
    <w:rsid w:val="00AE26A6"/>
    <w:rsid w:val="00AE26AB"/>
    <w:rsid w:val="00AE26E4"/>
    <w:rsid w:val="00AE2700"/>
    <w:rsid w:val="00AE2723"/>
    <w:rsid w:val="00AE2734"/>
    <w:rsid w:val="00AE2762"/>
    <w:rsid w:val="00AE279A"/>
    <w:rsid w:val="00AE27F7"/>
    <w:rsid w:val="00AE2809"/>
    <w:rsid w:val="00AE282E"/>
    <w:rsid w:val="00AE284C"/>
    <w:rsid w:val="00AE2907"/>
    <w:rsid w:val="00AE292B"/>
    <w:rsid w:val="00AE2969"/>
    <w:rsid w:val="00AE29A8"/>
    <w:rsid w:val="00AE29EB"/>
    <w:rsid w:val="00AE2B07"/>
    <w:rsid w:val="00AE2BC1"/>
    <w:rsid w:val="00AE2C0D"/>
    <w:rsid w:val="00AE2C1B"/>
    <w:rsid w:val="00AE2C4F"/>
    <w:rsid w:val="00AE2C56"/>
    <w:rsid w:val="00AE2C68"/>
    <w:rsid w:val="00AE2C73"/>
    <w:rsid w:val="00AE2D03"/>
    <w:rsid w:val="00AE2D05"/>
    <w:rsid w:val="00AE2D71"/>
    <w:rsid w:val="00AE2DCC"/>
    <w:rsid w:val="00AE2E95"/>
    <w:rsid w:val="00AE2ED7"/>
    <w:rsid w:val="00AE2F12"/>
    <w:rsid w:val="00AE2F14"/>
    <w:rsid w:val="00AE2F3B"/>
    <w:rsid w:val="00AE2FFD"/>
    <w:rsid w:val="00AE3001"/>
    <w:rsid w:val="00AE305D"/>
    <w:rsid w:val="00AE30CE"/>
    <w:rsid w:val="00AE312C"/>
    <w:rsid w:val="00AE3136"/>
    <w:rsid w:val="00AE3138"/>
    <w:rsid w:val="00AE314E"/>
    <w:rsid w:val="00AE3161"/>
    <w:rsid w:val="00AE3163"/>
    <w:rsid w:val="00AE317B"/>
    <w:rsid w:val="00AE3195"/>
    <w:rsid w:val="00AE3198"/>
    <w:rsid w:val="00AE31B2"/>
    <w:rsid w:val="00AE31C1"/>
    <w:rsid w:val="00AE31FC"/>
    <w:rsid w:val="00AE3250"/>
    <w:rsid w:val="00AE32E1"/>
    <w:rsid w:val="00AE330E"/>
    <w:rsid w:val="00AE334A"/>
    <w:rsid w:val="00AE3356"/>
    <w:rsid w:val="00AE337F"/>
    <w:rsid w:val="00AE338C"/>
    <w:rsid w:val="00AE33EF"/>
    <w:rsid w:val="00AE344B"/>
    <w:rsid w:val="00AE347C"/>
    <w:rsid w:val="00AE34A4"/>
    <w:rsid w:val="00AE3510"/>
    <w:rsid w:val="00AE351A"/>
    <w:rsid w:val="00AE35F1"/>
    <w:rsid w:val="00AE35FB"/>
    <w:rsid w:val="00AE3609"/>
    <w:rsid w:val="00AE362B"/>
    <w:rsid w:val="00AE3727"/>
    <w:rsid w:val="00AE3741"/>
    <w:rsid w:val="00AE3767"/>
    <w:rsid w:val="00AE377E"/>
    <w:rsid w:val="00AE378B"/>
    <w:rsid w:val="00AE37A9"/>
    <w:rsid w:val="00AE37E3"/>
    <w:rsid w:val="00AE38A3"/>
    <w:rsid w:val="00AE3903"/>
    <w:rsid w:val="00AE39CE"/>
    <w:rsid w:val="00AE39CF"/>
    <w:rsid w:val="00AE39F0"/>
    <w:rsid w:val="00AE3AC0"/>
    <w:rsid w:val="00AE3AE9"/>
    <w:rsid w:val="00AE3B22"/>
    <w:rsid w:val="00AE3B2C"/>
    <w:rsid w:val="00AE3B6E"/>
    <w:rsid w:val="00AE3B9A"/>
    <w:rsid w:val="00AE3BA2"/>
    <w:rsid w:val="00AE3BCB"/>
    <w:rsid w:val="00AE3D02"/>
    <w:rsid w:val="00AE3D15"/>
    <w:rsid w:val="00AE3D7C"/>
    <w:rsid w:val="00AE3EE9"/>
    <w:rsid w:val="00AE3EF5"/>
    <w:rsid w:val="00AE3F1D"/>
    <w:rsid w:val="00AE3F2F"/>
    <w:rsid w:val="00AE3FAA"/>
    <w:rsid w:val="00AE3FC9"/>
    <w:rsid w:val="00AE401A"/>
    <w:rsid w:val="00AE4057"/>
    <w:rsid w:val="00AE4085"/>
    <w:rsid w:val="00AE40A1"/>
    <w:rsid w:val="00AE40A7"/>
    <w:rsid w:val="00AE40D4"/>
    <w:rsid w:val="00AE4104"/>
    <w:rsid w:val="00AE414C"/>
    <w:rsid w:val="00AE41EC"/>
    <w:rsid w:val="00AE4206"/>
    <w:rsid w:val="00AE420A"/>
    <w:rsid w:val="00AE4231"/>
    <w:rsid w:val="00AE4237"/>
    <w:rsid w:val="00AE4273"/>
    <w:rsid w:val="00AE4277"/>
    <w:rsid w:val="00AE4284"/>
    <w:rsid w:val="00AE432E"/>
    <w:rsid w:val="00AE4381"/>
    <w:rsid w:val="00AE43F5"/>
    <w:rsid w:val="00AE43F9"/>
    <w:rsid w:val="00AE43FC"/>
    <w:rsid w:val="00AE441E"/>
    <w:rsid w:val="00AE44D4"/>
    <w:rsid w:val="00AE4588"/>
    <w:rsid w:val="00AE458A"/>
    <w:rsid w:val="00AE45E5"/>
    <w:rsid w:val="00AE45FE"/>
    <w:rsid w:val="00AE463D"/>
    <w:rsid w:val="00AE4647"/>
    <w:rsid w:val="00AE4699"/>
    <w:rsid w:val="00AE46BE"/>
    <w:rsid w:val="00AE4773"/>
    <w:rsid w:val="00AE47E4"/>
    <w:rsid w:val="00AE4845"/>
    <w:rsid w:val="00AE4882"/>
    <w:rsid w:val="00AE48E4"/>
    <w:rsid w:val="00AE48EB"/>
    <w:rsid w:val="00AE492A"/>
    <w:rsid w:val="00AE4934"/>
    <w:rsid w:val="00AE4972"/>
    <w:rsid w:val="00AE497E"/>
    <w:rsid w:val="00AE49CD"/>
    <w:rsid w:val="00AE49CE"/>
    <w:rsid w:val="00AE49D4"/>
    <w:rsid w:val="00AE49F9"/>
    <w:rsid w:val="00AE4A10"/>
    <w:rsid w:val="00AE4A12"/>
    <w:rsid w:val="00AE4A2B"/>
    <w:rsid w:val="00AE4A9E"/>
    <w:rsid w:val="00AE4AE5"/>
    <w:rsid w:val="00AE4B4B"/>
    <w:rsid w:val="00AE4C10"/>
    <w:rsid w:val="00AE4C3E"/>
    <w:rsid w:val="00AE4D34"/>
    <w:rsid w:val="00AE4D54"/>
    <w:rsid w:val="00AE4D76"/>
    <w:rsid w:val="00AE4DF1"/>
    <w:rsid w:val="00AE4E4E"/>
    <w:rsid w:val="00AE4F1E"/>
    <w:rsid w:val="00AE4F45"/>
    <w:rsid w:val="00AE4FA4"/>
    <w:rsid w:val="00AE4FDD"/>
    <w:rsid w:val="00AE5008"/>
    <w:rsid w:val="00AE502C"/>
    <w:rsid w:val="00AE51AD"/>
    <w:rsid w:val="00AE52F6"/>
    <w:rsid w:val="00AE534A"/>
    <w:rsid w:val="00AE5364"/>
    <w:rsid w:val="00AE53A3"/>
    <w:rsid w:val="00AE53E7"/>
    <w:rsid w:val="00AE5467"/>
    <w:rsid w:val="00AE5482"/>
    <w:rsid w:val="00AE54F2"/>
    <w:rsid w:val="00AE5500"/>
    <w:rsid w:val="00AE550D"/>
    <w:rsid w:val="00AE5552"/>
    <w:rsid w:val="00AE559A"/>
    <w:rsid w:val="00AE55DB"/>
    <w:rsid w:val="00AE563E"/>
    <w:rsid w:val="00AE5651"/>
    <w:rsid w:val="00AE5670"/>
    <w:rsid w:val="00AE5684"/>
    <w:rsid w:val="00AE56BE"/>
    <w:rsid w:val="00AE5747"/>
    <w:rsid w:val="00AE5795"/>
    <w:rsid w:val="00AE57AF"/>
    <w:rsid w:val="00AE57D4"/>
    <w:rsid w:val="00AE57DC"/>
    <w:rsid w:val="00AE581F"/>
    <w:rsid w:val="00AE585D"/>
    <w:rsid w:val="00AE588C"/>
    <w:rsid w:val="00AE594C"/>
    <w:rsid w:val="00AE595E"/>
    <w:rsid w:val="00AE59B3"/>
    <w:rsid w:val="00AE5A55"/>
    <w:rsid w:val="00AE5ACE"/>
    <w:rsid w:val="00AE5B24"/>
    <w:rsid w:val="00AE5B41"/>
    <w:rsid w:val="00AE5BBB"/>
    <w:rsid w:val="00AE5BFE"/>
    <w:rsid w:val="00AE5C30"/>
    <w:rsid w:val="00AE5C52"/>
    <w:rsid w:val="00AE5C76"/>
    <w:rsid w:val="00AE5C9A"/>
    <w:rsid w:val="00AE5CF7"/>
    <w:rsid w:val="00AE5D51"/>
    <w:rsid w:val="00AE5D86"/>
    <w:rsid w:val="00AE5DD9"/>
    <w:rsid w:val="00AE5E17"/>
    <w:rsid w:val="00AE5E41"/>
    <w:rsid w:val="00AE5E65"/>
    <w:rsid w:val="00AE5EFB"/>
    <w:rsid w:val="00AE5F17"/>
    <w:rsid w:val="00AE5F29"/>
    <w:rsid w:val="00AE600E"/>
    <w:rsid w:val="00AE603D"/>
    <w:rsid w:val="00AE60C2"/>
    <w:rsid w:val="00AE60E0"/>
    <w:rsid w:val="00AE6116"/>
    <w:rsid w:val="00AE6130"/>
    <w:rsid w:val="00AE6160"/>
    <w:rsid w:val="00AE61B0"/>
    <w:rsid w:val="00AE61DE"/>
    <w:rsid w:val="00AE61E7"/>
    <w:rsid w:val="00AE6206"/>
    <w:rsid w:val="00AE62CC"/>
    <w:rsid w:val="00AE63BA"/>
    <w:rsid w:val="00AE63C3"/>
    <w:rsid w:val="00AE63F6"/>
    <w:rsid w:val="00AE640E"/>
    <w:rsid w:val="00AE6414"/>
    <w:rsid w:val="00AE6428"/>
    <w:rsid w:val="00AE642C"/>
    <w:rsid w:val="00AE64CB"/>
    <w:rsid w:val="00AE64F6"/>
    <w:rsid w:val="00AE6504"/>
    <w:rsid w:val="00AE653A"/>
    <w:rsid w:val="00AE656A"/>
    <w:rsid w:val="00AE65FF"/>
    <w:rsid w:val="00AE6648"/>
    <w:rsid w:val="00AE667C"/>
    <w:rsid w:val="00AE6699"/>
    <w:rsid w:val="00AE672A"/>
    <w:rsid w:val="00AE672D"/>
    <w:rsid w:val="00AE6746"/>
    <w:rsid w:val="00AE6749"/>
    <w:rsid w:val="00AE6795"/>
    <w:rsid w:val="00AE6803"/>
    <w:rsid w:val="00AE682A"/>
    <w:rsid w:val="00AE6856"/>
    <w:rsid w:val="00AE68A0"/>
    <w:rsid w:val="00AE690B"/>
    <w:rsid w:val="00AE6940"/>
    <w:rsid w:val="00AE69B8"/>
    <w:rsid w:val="00AE69FB"/>
    <w:rsid w:val="00AE6A6C"/>
    <w:rsid w:val="00AE6AC8"/>
    <w:rsid w:val="00AE6B50"/>
    <w:rsid w:val="00AE6B81"/>
    <w:rsid w:val="00AE6B95"/>
    <w:rsid w:val="00AE6BC5"/>
    <w:rsid w:val="00AE6BFC"/>
    <w:rsid w:val="00AE6C2B"/>
    <w:rsid w:val="00AE6C33"/>
    <w:rsid w:val="00AE6C70"/>
    <w:rsid w:val="00AE6CB1"/>
    <w:rsid w:val="00AE6DC7"/>
    <w:rsid w:val="00AE6DD9"/>
    <w:rsid w:val="00AE6E3B"/>
    <w:rsid w:val="00AE6ECC"/>
    <w:rsid w:val="00AE6F1D"/>
    <w:rsid w:val="00AE6F37"/>
    <w:rsid w:val="00AE6F5A"/>
    <w:rsid w:val="00AE6F5D"/>
    <w:rsid w:val="00AE6F94"/>
    <w:rsid w:val="00AE700D"/>
    <w:rsid w:val="00AE704B"/>
    <w:rsid w:val="00AE70A1"/>
    <w:rsid w:val="00AE7116"/>
    <w:rsid w:val="00AE7148"/>
    <w:rsid w:val="00AE7159"/>
    <w:rsid w:val="00AE71E4"/>
    <w:rsid w:val="00AE7253"/>
    <w:rsid w:val="00AE7285"/>
    <w:rsid w:val="00AE7372"/>
    <w:rsid w:val="00AE73B9"/>
    <w:rsid w:val="00AE73BA"/>
    <w:rsid w:val="00AE73EF"/>
    <w:rsid w:val="00AE7428"/>
    <w:rsid w:val="00AE747E"/>
    <w:rsid w:val="00AE74BE"/>
    <w:rsid w:val="00AE7538"/>
    <w:rsid w:val="00AE7583"/>
    <w:rsid w:val="00AE7584"/>
    <w:rsid w:val="00AE758A"/>
    <w:rsid w:val="00AE762B"/>
    <w:rsid w:val="00AE7661"/>
    <w:rsid w:val="00AE767D"/>
    <w:rsid w:val="00AE76E3"/>
    <w:rsid w:val="00AE76E8"/>
    <w:rsid w:val="00AE7802"/>
    <w:rsid w:val="00AE786F"/>
    <w:rsid w:val="00AE7871"/>
    <w:rsid w:val="00AE787D"/>
    <w:rsid w:val="00AE7931"/>
    <w:rsid w:val="00AE7944"/>
    <w:rsid w:val="00AE794D"/>
    <w:rsid w:val="00AE794F"/>
    <w:rsid w:val="00AE7950"/>
    <w:rsid w:val="00AE796A"/>
    <w:rsid w:val="00AE7976"/>
    <w:rsid w:val="00AE7A2B"/>
    <w:rsid w:val="00AE7A2C"/>
    <w:rsid w:val="00AE7A3A"/>
    <w:rsid w:val="00AE7AC7"/>
    <w:rsid w:val="00AE7B04"/>
    <w:rsid w:val="00AE7B49"/>
    <w:rsid w:val="00AE7BBB"/>
    <w:rsid w:val="00AE7BC7"/>
    <w:rsid w:val="00AE7C00"/>
    <w:rsid w:val="00AE7C8F"/>
    <w:rsid w:val="00AE7D56"/>
    <w:rsid w:val="00AE7E55"/>
    <w:rsid w:val="00AE7F54"/>
    <w:rsid w:val="00AE7FB7"/>
    <w:rsid w:val="00AF0037"/>
    <w:rsid w:val="00AF0099"/>
    <w:rsid w:val="00AF009A"/>
    <w:rsid w:val="00AF00DE"/>
    <w:rsid w:val="00AF012A"/>
    <w:rsid w:val="00AF0171"/>
    <w:rsid w:val="00AF0199"/>
    <w:rsid w:val="00AF01EB"/>
    <w:rsid w:val="00AF01F3"/>
    <w:rsid w:val="00AF0203"/>
    <w:rsid w:val="00AF026B"/>
    <w:rsid w:val="00AF0286"/>
    <w:rsid w:val="00AF028B"/>
    <w:rsid w:val="00AF02BB"/>
    <w:rsid w:val="00AF02DB"/>
    <w:rsid w:val="00AF035D"/>
    <w:rsid w:val="00AF0408"/>
    <w:rsid w:val="00AF04A7"/>
    <w:rsid w:val="00AF04F4"/>
    <w:rsid w:val="00AF0537"/>
    <w:rsid w:val="00AF0555"/>
    <w:rsid w:val="00AF0576"/>
    <w:rsid w:val="00AF05C3"/>
    <w:rsid w:val="00AF0664"/>
    <w:rsid w:val="00AF06FA"/>
    <w:rsid w:val="00AF070B"/>
    <w:rsid w:val="00AF0744"/>
    <w:rsid w:val="00AF0759"/>
    <w:rsid w:val="00AF0774"/>
    <w:rsid w:val="00AF07B5"/>
    <w:rsid w:val="00AF0805"/>
    <w:rsid w:val="00AF0854"/>
    <w:rsid w:val="00AF0910"/>
    <w:rsid w:val="00AF097C"/>
    <w:rsid w:val="00AF0982"/>
    <w:rsid w:val="00AF0989"/>
    <w:rsid w:val="00AF09BA"/>
    <w:rsid w:val="00AF09D9"/>
    <w:rsid w:val="00AF0A76"/>
    <w:rsid w:val="00AF0A85"/>
    <w:rsid w:val="00AF0AC3"/>
    <w:rsid w:val="00AF0AD0"/>
    <w:rsid w:val="00AF0B73"/>
    <w:rsid w:val="00AF0C37"/>
    <w:rsid w:val="00AF0C86"/>
    <w:rsid w:val="00AF0CEA"/>
    <w:rsid w:val="00AF0D31"/>
    <w:rsid w:val="00AF0DA3"/>
    <w:rsid w:val="00AF0DCF"/>
    <w:rsid w:val="00AF0DDA"/>
    <w:rsid w:val="00AF0E2B"/>
    <w:rsid w:val="00AF0E55"/>
    <w:rsid w:val="00AF0E9B"/>
    <w:rsid w:val="00AF0EF1"/>
    <w:rsid w:val="00AF0F24"/>
    <w:rsid w:val="00AF0F6D"/>
    <w:rsid w:val="00AF102A"/>
    <w:rsid w:val="00AF106E"/>
    <w:rsid w:val="00AF1072"/>
    <w:rsid w:val="00AF10A8"/>
    <w:rsid w:val="00AF10B5"/>
    <w:rsid w:val="00AF10F8"/>
    <w:rsid w:val="00AF1131"/>
    <w:rsid w:val="00AF1163"/>
    <w:rsid w:val="00AF120A"/>
    <w:rsid w:val="00AF1215"/>
    <w:rsid w:val="00AF121A"/>
    <w:rsid w:val="00AF1270"/>
    <w:rsid w:val="00AF12C8"/>
    <w:rsid w:val="00AF12CE"/>
    <w:rsid w:val="00AF1308"/>
    <w:rsid w:val="00AF1339"/>
    <w:rsid w:val="00AF136E"/>
    <w:rsid w:val="00AF13BC"/>
    <w:rsid w:val="00AF13D5"/>
    <w:rsid w:val="00AF1431"/>
    <w:rsid w:val="00AF14A6"/>
    <w:rsid w:val="00AF1527"/>
    <w:rsid w:val="00AF1570"/>
    <w:rsid w:val="00AF164E"/>
    <w:rsid w:val="00AF166B"/>
    <w:rsid w:val="00AF175C"/>
    <w:rsid w:val="00AF1788"/>
    <w:rsid w:val="00AF178C"/>
    <w:rsid w:val="00AF17E9"/>
    <w:rsid w:val="00AF17F0"/>
    <w:rsid w:val="00AF17F5"/>
    <w:rsid w:val="00AF1819"/>
    <w:rsid w:val="00AF1885"/>
    <w:rsid w:val="00AF1902"/>
    <w:rsid w:val="00AF191B"/>
    <w:rsid w:val="00AF1955"/>
    <w:rsid w:val="00AF1967"/>
    <w:rsid w:val="00AF19A8"/>
    <w:rsid w:val="00AF19AF"/>
    <w:rsid w:val="00AF1AA2"/>
    <w:rsid w:val="00AF1AC6"/>
    <w:rsid w:val="00AF1B74"/>
    <w:rsid w:val="00AF1BEA"/>
    <w:rsid w:val="00AF1C49"/>
    <w:rsid w:val="00AF1C78"/>
    <w:rsid w:val="00AF1CCB"/>
    <w:rsid w:val="00AF1D05"/>
    <w:rsid w:val="00AF1D1D"/>
    <w:rsid w:val="00AF1D3A"/>
    <w:rsid w:val="00AF1E7C"/>
    <w:rsid w:val="00AF1ED6"/>
    <w:rsid w:val="00AF1EF4"/>
    <w:rsid w:val="00AF1F75"/>
    <w:rsid w:val="00AF1FF6"/>
    <w:rsid w:val="00AF2008"/>
    <w:rsid w:val="00AF2011"/>
    <w:rsid w:val="00AF2051"/>
    <w:rsid w:val="00AF20A3"/>
    <w:rsid w:val="00AF20AB"/>
    <w:rsid w:val="00AF213A"/>
    <w:rsid w:val="00AF21A0"/>
    <w:rsid w:val="00AF21A5"/>
    <w:rsid w:val="00AF2203"/>
    <w:rsid w:val="00AF220E"/>
    <w:rsid w:val="00AF2259"/>
    <w:rsid w:val="00AF226F"/>
    <w:rsid w:val="00AF227C"/>
    <w:rsid w:val="00AF2286"/>
    <w:rsid w:val="00AF22BE"/>
    <w:rsid w:val="00AF234A"/>
    <w:rsid w:val="00AF238D"/>
    <w:rsid w:val="00AF239A"/>
    <w:rsid w:val="00AF23A5"/>
    <w:rsid w:val="00AF241C"/>
    <w:rsid w:val="00AF2535"/>
    <w:rsid w:val="00AF2545"/>
    <w:rsid w:val="00AF2546"/>
    <w:rsid w:val="00AF25BF"/>
    <w:rsid w:val="00AF260B"/>
    <w:rsid w:val="00AF2619"/>
    <w:rsid w:val="00AF2627"/>
    <w:rsid w:val="00AF263F"/>
    <w:rsid w:val="00AF2658"/>
    <w:rsid w:val="00AF2718"/>
    <w:rsid w:val="00AF274A"/>
    <w:rsid w:val="00AF2752"/>
    <w:rsid w:val="00AF2781"/>
    <w:rsid w:val="00AF2782"/>
    <w:rsid w:val="00AF2841"/>
    <w:rsid w:val="00AF2849"/>
    <w:rsid w:val="00AF28AF"/>
    <w:rsid w:val="00AF28E6"/>
    <w:rsid w:val="00AF28FB"/>
    <w:rsid w:val="00AF295A"/>
    <w:rsid w:val="00AF2976"/>
    <w:rsid w:val="00AF29BF"/>
    <w:rsid w:val="00AF29F7"/>
    <w:rsid w:val="00AF2A10"/>
    <w:rsid w:val="00AF2AB9"/>
    <w:rsid w:val="00AF2B01"/>
    <w:rsid w:val="00AF2B31"/>
    <w:rsid w:val="00AF2B5F"/>
    <w:rsid w:val="00AF2B7F"/>
    <w:rsid w:val="00AF2C18"/>
    <w:rsid w:val="00AF2C57"/>
    <w:rsid w:val="00AF2C6F"/>
    <w:rsid w:val="00AF2CDA"/>
    <w:rsid w:val="00AF2CE7"/>
    <w:rsid w:val="00AF2CF5"/>
    <w:rsid w:val="00AF2D2B"/>
    <w:rsid w:val="00AF2D82"/>
    <w:rsid w:val="00AF2DBF"/>
    <w:rsid w:val="00AF2E3C"/>
    <w:rsid w:val="00AF2E6A"/>
    <w:rsid w:val="00AF2E78"/>
    <w:rsid w:val="00AF2FAA"/>
    <w:rsid w:val="00AF2FBE"/>
    <w:rsid w:val="00AF3008"/>
    <w:rsid w:val="00AF303D"/>
    <w:rsid w:val="00AF30BD"/>
    <w:rsid w:val="00AF30C1"/>
    <w:rsid w:val="00AF3116"/>
    <w:rsid w:val="00AF3152"/>
    <w:rsid w:val="00AF317A"/>
    <w:rsid w:val="00AF3193"/>
    <w:rsid w:val="00AF3265"/>
    <w:rsid w:val="00AF3274"/>
    <w:rsid w:val="00AF3276"/>
    <w:rsid w:val="00AF32CA"/>
    <w:rsid w:val="00AF3318"/>
    <w:rsid w:val="00AF337E"/>
    <w:rsid w:val="00AF339A"/>
    <w:rsid w:val="00AF3420"/>
    <w:rsid w:val="00AF34A2"/>
    <w:rsid w:val="00AF34B7"/>
    <w:rsid w:val="00AF34FA"/>
    <w:rsid w:val="00AF351E"/>
    <w:rsid w:val="00AF354B"/>
    <w:rsid w:val="00AF35A0"/>
    <w:rsid w:val="00AF35F7"/>
    <w:rsid w:val="00AF3600"/>
    <w:rsid w:val="00AF3616"/>
    <w:rsid w:val="00AF36AF"/>
    <w:rsid w:val="00AF36FB"/>
    <w:rsid w:val="00AF3700"/>
    <w:rsid w:val="00AF378C"/>
    <w:rsid w:val="00AF37C8"/>
    <w:rsid w:val="00AF37F9"/>
    <w:rsid w:val="00AF381D"/>
    <w:rsid w:val="00AF386E"/>
    <w:rsid w:val="00AF3891"/>
    <w:rsid w:val="00AF38A8"/>
    <w:rsid w:val="00AF38B2"/>
    <w:rsid w:val="00AF396C"/>
    <w:rsid w:val="00AF3ADD"/>
    <w:rsid w:val="00AF3AF7"/>
    <w:rsid w:val="00AF3B02"/>
    <w:rsid w:val="00AF3B45"/>
    <w:rsid w:val="00AF3BAA"/>
    <w:rsid w:val="00AF3BF3"/>
    <w:rsid w:val="00AF3C36"/>
    <w:rsid w:val="00AF3C69"/>
    <w:rsid w:val="00AF3CBE"/>
    <w:rsid w:val="00AF3CF8"/>
    <w:rsid w:val="00AF3D19"/>
    <w:rsid w:val="00AF3D33"/>
    <w:rsid w:val="00AF3D45"/>
    <w:rsid w:val="00AF3DE4"/>
    <w:rsid w:val="00AF3DEB"/>
    <w:rsid w:val="00AF3F42"/>
    <w:rsid w:val="00AF3F87"/>
    <w:rsid w:val="00AF3FB3"/>
    <w:rsid w:val="00AF3FB7"/>
    <w:rsid w:val="00AF3FE9"/>
    <w:rsid w:val="00AF404C"/>
    <w:rsid w:val="00AF4091"/>
    <w:rsid w:val="00AF40CD"/>
    <w:rsid w:val="00AF40E0"/>
    <w:rsid w:val="00AF40EC"/>
    <w:rsid w:val="00AF4114"/>
    <w:rsid w:val="00AF413E"/>
    <w:rsid w:val="00AF4141"/>
    <w:rsid w:val="00AF4176"/>
    <w:rsid w:val="00AF41C6"/>
    <w:rsid w:val="00AF41D7"/>
    <w:rsid w:val="00AF41F3"/>
    <w:rsid w:val="00AF41FC"/>
    <w:rsid w:val="00AF427F"/>
    <w:rsid w:val="00AF429C"/>
    <w:rsid w:val="00AF42A1"/>
    <w:rsid w:val="00AF4305"/>
    <w:rsid w:val="00AF4318"/>
    <w:rsid w:val="00AF4346"/>
    <w:rsid w:val="00AF4411"/>
    <w:rsid w:val="00AF4454"/>
    <w:rsid w:val="00AF44A3"/>
    <w:rsid w:val="00AF4635"/>
    <w:rsid w:val="00AF466B"/>
    <w:rsid w:val="00AF46E6"/>
    <w:rsid w:val="00AF4705"/>
    <w:rsid w:val="00AF474A"/>
    <w:rsid w:val="00AF4775"/>
    <w:rsid w:val="00AF47A2"/>
    <w:rsid w:val="00AF47B8"/>
    <w:rsid w:val="00AF47E1"/>
    <w:rsid w:val="00AF47FA"/>
    <w:rsid w:val="00AF4800"/>
    <w:rsid w:val="00AF4877"/>
    <w:rsid w:val="00AF48C4"/>
    <w:rsid w:val="00AF48D5"/>
    <w:rsid w:val="00AF490F"/>
    <w:rsid w:val="00AF4929"/>
    <w:rsid w:val="00AF498D"/>
    <w:rsid w:val="00AF49F3"/>
    <w:rsid w:val="00AF4C33"/>
    <w:rsid w:val="00AF4D81"/>
    <w:rsid w:val="00AF4D85"/>
    <w:rsid w:val="00AF4E3D"/>
    <w:rsid w:val="00AF4E6B"/>
    <w:rsid w:val="00AF4ED9"/>
    <w:rsid w:val="00AF4EFF"/>
    <w:rsid w:val="00AF5023"/>
    <w:rsid w:val="00AF5031"/>
    <w:rsid w:val="00AF5083"/>
    <w:rsid w:val="00AF508B"/>
    <w:rsid w:val="00AF50AE"/>
    <w:rsid w:val="00AF50C1"/>
    <w:rsid w:val="00AF50DB"/>
    <w:rsid w:val="00AF51B1"/>
    <w:rsid w:val="00AF523B"/>
    <w:rsid w:val="00AF5240"/>
    <w:rsid w:val="00AF5253"/>
    <w:rsid w:val="00AF52B8"/>
    <w:rsid w:val="00AF52C6"/>
    <w:rsid w:val="00AF52F0"/>
    <w:rsid w:val="00AF5316"/>
    <w:rsid w:val="00AF53BD"/>
    <w:rsid w:val="00AF5461"/>
    <w:rsid w:val="00AF54CC"/>
    <w:rsid w:val="00AF54E6"/>
    <w:rsid w:val="00AF5515"/>
    <w:rsid w:val="00AF55BD"/>
    <w:rsid w:val="00AF5661"/>
    <w:rsid w:val="00AF569C"/>
    <w:rsid w:val="00AF56A5"/>
    <w:rsid w:val="00AF56A7"/>
    <w:rsid w:val="00AF56C1"/>
    <w:rsid w:val="00AF5700"/>
    <w:rsid w:val="00AF570D"/>
    <w:rsid w:val="00AF571E"/>
    <w:rsid w:val="00AF573B"/>
    <w:rsid w:val="00AF5744"/>
    <w:rsid w:val="00AF5763"/>
    <w:rsid w:val="00AF578F"/>
    <w:rsid w:val="00AF57D6"/>
    <w:rsid w:val="00AF588C"/>
    <w:rsid w:val="00AF58CD"/>
    <w:rsid w:val="00AF58E5"/>
    <w:rsid w:val="00AF591A"/>
    <w:rsid w:val="00AF5922"/>
    <w:rsid w:val="00AF593D"/>
    <w:rsid w:val="00AF5943"/>
    <w:rsid w:val="00AF5962"/>
    <w:rsid w:val="00AF5975"/>
    <w:rsid w:val="00AF5984"/>
    <w:rsid w:val="00AF5A3A"/>
    <w:rsid w:val="00AF5AC0"/>
    <w:rsid w:val="00AF5AE1"/>
    <w:rsid w:val="00AF5AFF"/>
    <w:rsid w:val="00AF5B2E"/>
    <w:rsid w:val="00AF5B87"/>
    <w:rsid w:val="00AF5BF7"/>
    <w:rsid w:val="00AF5C17"/>
    <w:rsid w:val="00AF5C55"/>
    <w:rsid w:val="00AF5CCC"/>
    <w:rsid w:val="00AF5CDF"/>
    <w:rsid w:val="00AF5DA7"/>
    <w:rsid w:val="00AF5E02"/>
    <w:rsid w:val="00AF5E03"/>
    <w:rsid w:val="00AF5E6D"/>
    <w:rsid w:val="00AF5F14"/>
    <w:rsid w:val="00AF5F50"/>
    <w:rsid w:val="00AF6099"/>
    <w:rsid w:val="00AF611F"/>
    <w:rsid w:val="00AF612C"/>
    <w:rsid w:val="00AF6136"/>
    <w:rsid w:val="00AF6141"/>
    <w:rsid w:val="00AF6146"/>
    <w:rsid w:val="00AF6167"/>
    <w:rsid w:val="00AF6193"/>
    <w:rsid w:val="00AF61EA"/>
    <w:rsid w:val="00AF6202"/>
    <w:rsid w:val="00AF622F"/>
    <w:rsid w:val="00AF62DA"/>
    <w:rsid w:val="00AF6318"/>
    <w:rsid w:val="00AF6389"/>
    <w:rsid w:val="00AF639E"/>
    <w:rsid w:val="00AF6416"/>
    <w:rsid w:val="00AF6444"/>
    <w:rsid w:val="00AF6495"/>
    <w:rsid w:val="00AF64F8"/>
    <w:rsid w:val="00AF653C"/>
    <w:rsid w:val="00AF654C"/>
    <w:rsid w:val="00AF65CF"/>
    <w:rsid w:val="00AF65F3"/>
    <w:rsid w:val="00AF65F9"/>
    <w:rsid w:val="00AF664A"/>
    <w:rsid w:val="00AF6689"/>
    <w:rsid w:val="00AF6791"/>
    <w:rsid w:val="00AF67D8"/>
    <w:rsid w:val="00AF6804"/>
    <w:rsid w:val="00AF6891"/>
    <w:rsid w:val="00AF6892"/>
    <w:rsid w:val="00AF68AA"/>
    <w:rsid w:val="00AF68CA"/>
    <w:rsid w:val="00AF68FD"/>
    <w:rsid w:val="00AF6994"/>
    <w:rsid w:val="00AF69A0"/>
    <w:rsid w:val="00AF69B7"/>
    <w:rsid w:val="00AF6A08"/>
    <w:rsid w:val="00AF6A43"/>
    <w:rsid w:val="00AF6A82"/>
    <w:rsid w:val="00AF6AA8"/>
    <w:rsid w:val="00AF6AAB"/>
    <w:rsid w:val="00AF6B08"/>
    <w:rsid w:val="00AF6B35"/>
    <w:rsid w:val="00AF6B4A"/>
    <w:rsid w:val="00AF6B99"/>
    <w:rsid w:val="00AF6BD4"/>
    <w:rsid w:val="00AF6BDE"/>
    <w:rsid w:val="00AF6BE2"/>
    <w:rsid w:val="00AF6C29"/>
    <w:rsid w:val="00AF6C37"/>
    <w:rsid w:val="00AF6C45"/>
    <w:rsid w:val="00AF6C4E"/>
    <w:rsid w:val="00AF6C56"/>
    <w:rsid w:val="00AF6C61"/>
    <w:rsid w:val="00AF6C95"/>
    <w:rsid w:val="00AF6C9C"/>
    <w:rsid w:val="00AF6CA1"/>
    <w:rsid w:val="00AF6CF4"/>
    <w:rsid w:val="00AF6CF5"/>
    <w:rsid w:val="00AF6D4A"/>
    <w:rsid w:val="00AF6D8A"/>
    <w:rsid w:val="00AF6D95"/>
    <w:rsid w:val="00AF6DB6"/>
    <w:rsid w:val="00AF6DBF"/>
    <w:rsid w:val="00AF6DEC"/>
    <w:rsid w:val="00AF6E21"/>
    <w:rsid w:val="00AF6ED5"/>
    <w:rsid w:val="00AF6F40"/>
    <w:rsid w:val="00AF6F64"/>
    <w:rsid w:val="00AF6FD1"/>
    <w:rsid w:val="00AF7032"/>
    <w:rsid w:val="00AF7091"/>
    <w:rsid w:val="00AF70B9"/>
    <w:rsid w:val="00AF70C5"/>
    <w:rsid w:val="00AF70CC"/>
    <w:rsid w:val="00AF70CF"/>
    <w:rsid w:val="00AF710A"/>
    <w:rsid w:val="00AF7122"/>
    <w:rsid w:val="00AF712D"/>
    <w:rsid w:val="00AF7163"/>
    <w:rsid w:val="00AF71EA"/>
    <w:rsid w:val="00AF7212"/>
    <w:rsid w:val="00AF7224"/>
    <w:rsid w:val="00AF722C"/>
    <w:rsid w:val="00AF72B9"/>
    <w:rsid w:val="00AF7338"/>
    <w:rsid w:val="00AF7348"/>
    <w:rsid w:val="00AF7371"/>
    <w:rsid w:val="00AF7401"/>
    <w:rsid w:val="00AF7480"/>
    <w:rsid w:val="00AF7496"/>
    <w:rsid w:val="00AF74A7"/>
    <w:rsid w:val="00AF74E3"/>
    <w:rsid w:val="00AF7509"/>
    <w:rsid w:val="00AF7544"/>
    <w:rsid w:val="00AF759C"/>
    <w:rsid w:val="00AF75B6"/>
    <w:rsid w:val="00AF7698"/>
    <w:rsid w:val="00AF76EB"/>
    <w:rsid w:val="00AF7825"/>
    <w:rsid w:val="00AF7845"/>
    <w:rsid w:val="00AF785E"/>
    <w:rsid w:val="00AF7865"/>
    <w:rsid w:val="00AF7874"/>
    <w:rsid w:val="00AF78B4"/>
    <w:rsid w:val="00AF78B6"/>
    <w:rsid w:val="00AF78BF"/>
    <w:rsid w:val="00AF7949"/>
    <w:rsid w:val="00AF7985"/>
    <w:rsid w:val="00AF79AE"/>
    <w:rsid w:val="00AF7A0F"/>
    <w:rsid w:val="00AF7A7F"/>
    <w:rsid w:val="00AF7AD8"/>
    <w:rsid w:val="00AF7B11"/>
    <w:rsid w:val="00AF7B82"/>
    <w:rsid w:val="00AF7BAD"/>
    <w:rsid w:val="00AF7BBD"/>
    <w:rsid w:val="00AF7C1F"/>
    <w:rsid w:val="00AF7C9F"/>
    <w:rsid w:val="00AF7CA7"/>
    <w:rsid w:val="00AF7CB2"/>
    <w:rsid w:val="00AF7CD0"/>
    <w:rsid w:val="00AF7D8E"/>
    <w:rsid w:val="00AF7DC6"/>
    <w:rsid w:val="00AF7DC7"/>
    <w:rsid w:val="00AF7DE9"/>
    <w:rsid w:val="00AF7EEE"/>
    <w:rsid w:val="00AF7F3E"/>
    <w:rsid w:val="00AF7F4F"/>
    <w:rsid w:val="00AF7F7A"/>
    <w:rsid w:val="00AF7FF3"/>
    <w:rsid w:val="00B0004F"/>
    <w:rsid w:val="00B00059"/>
    <w:rsid w:val="00B0006E"/>
    <w:rsid w:val="00B000BE"/>
    <w:rsid w:val="00B000E9"/>
    <w:rsid w:val="00B001A1"/>
    <w:rsid w:val="00B00290"/>
    <w:rsid w:val="00B00353"/>
    <w:rsid w:val="00B003B4"/>
    <w:rsid w:val="00B00410"/>
    <w:rsid w:val="00B00438"/>
    <w:rsid w:val="00B00467"/>
    <w:rsid w:val="00B004B9"/>
    <w:rsid w:val="00B004D9"/>
    <w:rsid w:val="00B00550"/>
    <w:rsid w:val="00B00553"/>
    <w:rsid w:val="00B0058A"/>
    <w:rsid w:val="00B0058D"/>
    <w:rsid w:val="00B005B6"/>
    <w:rsid w:val="00B0065D"/>
    <w:rsid w:val="00B006DC"/>
    <w:rsid w:val="00B006E1"/>
    <w:rsid w:val="00B00740"/>
    <w:rsid w:val="00B007E8"/>
    <w:rsid w:val="00B00815"/>
    <w:rsid w:val="00B008F1"/>
    <w:rsid w:val="00B0098D"/>
    <w:rsid w:val="00B009DA"/>
    <w:rsid w:val="00B009EC"/>
    <w:rsid w:val="00B009FA"/>
    <w:rsid w:val="00B00A51"/>
    <w:rsid w:val="00B00A99"/>
    <w:rsid w:val="00B00AC0"/>
    <w:rsid w:val="00B00B17"/>
    <w:rsid w:val="00B00B2F"/>
    <w:rsid w:val="00B00B35"/>
    <w:rsid w:val="00B00B73"/>
    <w:rsid w:val="00B00B8F"/>
    <w:rsid w:val="00B00BF4"/>
    <w:rsid w:val="00B00C16"/>
    <w:rsid w:val="00B00C21"/>
    <w:rsid w:val="00B00C7C"/>
    <w:rsid w:val="00B00CAB"/>
    <w:rsid w:val="00B00CD8"/>
    <w:rsid w:val="00B00CF7"/>
    <w:rsid w:val="00B00D04"/>
    <w:rsid w:val="00B00D1C"/>
    <w:rsid w:val="00B00EC9"/>
    <w:rsid w:val="00B00ECB"/>
    <w:rsid w:val="00B00F31"/>
    <w:rsid w:val="00B00FCF"/>
    <w:rsid w:val="00B00FFA"/>
    <w:rsid w:val="00B01010"/>
    <w:rsid w:val="00B01045"/>
    <w:rsid w:val="00B01079"/>
    <w:rsid w:val="00B010D4"/>
    <w:rsid w:val="00B01110"/>
    <w:rsid w:val="00B01121"/>
    <w:rsid w:val="00B0114D"/>
    <w:rsid w:val="00B0115C"/>
    <w:rsid w:val="00B01189"/>
    <w:rsid w:val="00B01262"/>
    <w:rsid w:val="00B01282"/>
    <w:rsid w:val="00B01328"/>
    <w:rsid w:val="00B01386"/>
    <w:rsid w:val="00B0140F"/>
    <w:rsid w:val="00B0141D"/>
    <w:rsid w:val="00B015A8"/>
    <w:rsid w:val="00B016D5"/>
    <w:rsid w:val="00B0170F"/>
    <w:rsid w:val="00B0173B"/>
    <w:rsid w:val="00B017AA"/>
    <w:rsid w:val="00B01898"/>
    <w:rsid w:val="00B019C1"/>
    <w:rsid w:val="00B019DA"/>
    <w:rsid w:val="00B019FF"/>
    <w:rsid w:val="00B01A10"/>
    <w:rsid w:val="00B01A3F"/>
    <w:rsid w:val="00B01A47"/>
    <w:rsid w:val="00B01A54"/>
    <w:rsid w:val="00B01B22"/>
    <w:rsid w:val="00B01BAE"/>
    <w:rsid w:val="00B01C3E"/>
    <w:rsid w:val="00B01CFB"/>
    <w:rsid w:val="00B01D2F"/>
    <w:rsid w:val="00B01D6F"/>
    <w:rsid w:val="00B01DE6"/>
    <w:rsid w:val="00B01DEF"/>
    <w:rsid w:val="00B01E40"/>
    <w:rsid w:val="00B01E50"/>
    <w:rsid w:val="00B01EA2"/>
    <w:rsid w:val="00B01EDC"/>
    <w:rsid w:val="00B01F11"/>
    <w:rsid w:val="00B01F2B"/>
    <w:rsid w:val="00B01F68"/>
    <w:rsid w:val="00B01F98"/>
    <w:rsid w:val="00B01FAD"/>
    <w:rsid w:val="00B02059"/>
    <w:rsid w:val="00B02121"/>
    <w:rsid w:val="00B02146"/>
    <w:rsid w:val="00B02149"/>
    <w:rsid w:val="00B02153"/>
    <w:rsid w:val="00B02162"/>
    <w:rsid w:val="00B021AD"/>
    <w:rsid w:val="00B021DD"/>
    <w:rsid w:val="00B02210"/>
    <w:rsid w:val="00B02225"/>
    <w:rsid w:val="00B02244"/>
    <w:rsid w:val="00B02273"/>
    <w:rsid w:val="00B022FB"/>
    <w:rsid w:val="00B02308"/>
    <w:rsid w:val="00B02320"/>
    <w:rsid w:val="00B02357"/>
    <w:rsid w:val="00B023DF"/>
    <w:rsid w:val="00B02416"/>
    <w:rsid w:val="00B02431"/>
    <w:rsid w:val="00B02450"/>
    <w:rsid w:val="00B024C6"/>
    <w:rsid w:val="00B024E6"/>
    <w:rsid w:val="00B02505"/>
    <w:rsid w:val="00B025B8"/>
    <w:rsid w:val="00B025DF"/>
    <w:rsid w:val="00B02617"/>
    <w:rsid w:val="00B0262D"/>
    <w:rsid w:val="00B0268A"/>
    <w:rsid w:val="00B02741"/>
    <w:rsid w:val="00B02757"/>
    <w:rsid w:val="00B027FC"/>
    <w:rsid w:val="00B0280D"/>
    <w:rsid w:val="00B0282C"/>
    <w:rsid w:val="00B02845"/>
    <w:rsid w:val="00B028F5"/>
    <w:rsid w:val="00B02915"/>
    <w:rsid w:val="00B02934"/>
    <w:rsid w:val="00B02982"/>
    <w:rsid w:val="00B029A6"/>
    <w:rsid w:val="00B02A0C"/>
    <w:rsid w:val="00B02AA9"/>
    <w:rsid w:val="00B02AC2"/>
    <w:rsid w:val="00B02AEC"/>
    <w:rsid w:val="00B02AF0"/>
    <w:rsid w:val="00B02B1E"/>
    <w:rsid w:val="00B02B36"/>
    <w:rsid w:val="00B02C4C"/>
    <w:rsid w:val="00B02DEB"/>
    <w:rsid w:val="00B02E16"/>
    <w:rsid w:val="00B02E5E"/>
    <w:rsid w:val="00B02E85"/>
    <w:rsid w:val="00B02ED2"/>
    <w:rsid w:val="00B02EEB"/>
    <w:rsid w:val="00B02F74"/>
    <w:rsid w:val="00B02F78"/>
    <w:rsid w:val="00B02FBE"/>
    <w:rsid w:val="00B02FFA"/>
    <w:rsid w:val="00B03004"/>
    <w:rsid w:val="00B0300E"/>
    <w:rsid w:val="00B0301E"/>
    <w:rsid w:val="00B030D0"/>
    <w:rsid w:val="00B03137"/>
    <w:rsid w:val="00B03172"/>
    <w:rsid w:val="00B03179"/>
    <w:rsid w:val="00B031F0"/>
    <w:rsid w:val="00B03228"/>
    <w:rsid w:val="00B032A1"/>
    <w:rsid w:val="00B033B2"/>
    <w:rsid w:val="00B033E6"/>
    <w:rsid w:val="00B0342C"/>
    <w:rsid w:val="00B03445"/>
    <w:rsid w:val="00B034C9"/>
    <w:rsid w:val="00B034DB"/>
    <w:rsid w:val="00B034EB"/>
    <w:rsid w:val="00B034FC"/>
    <w:rsid w:val="00B035AE"/>
    <w:rsid w:val="00B035B9"/>
    <w:rsid w:val="00B035DC"/>
    <w:rsid w:val="00B035E4"/>
    <w:rsid w:val="00B0361C"/>
    <w:rsid w:val="00B036F0"/>
    <w:rsid w:val="00B036F5"/>
    <w:rsid w:val="00B03736"/>
    <w:rsid w:val="00B03739"/>
    <w:rsid w:val="00B03748"/>
    <w:rsid w:val="00B03767"/>
    <w:rsid w:val="00B03768"/>
    <w:rsid w:val="00B0377A"/>
    <w:rsid w:val="00B037A1"/>
    <w:rsid w:val="00B037A2"/>
    <w:rsid w:val="00B037DE"/>
    <w:rsid w:val="00B037F9"/>
    <w:rsid w:val="00B03828"/>
    <w:rsid w:val="00B0382F"/>
    <w:rsid w:val="00B03869"/>
    <w:rsid w:val="00B038D6"/>
    <w:rsid w:val="00B03911"/>
    <w:rsid w:val="00B03927"/>
    <w:rsid w:val="00B03959"/>
    <w:rsid w:val="00B03961"/>
    <w:rsid w:val="00B03971"/>
    <w:rsid w:val="00B03989"/>
    <w:rsid w:val="00B039F4"/>
    <w:rsid w:val="00B03A47"/>
    <w:rsid w:val="00B03A55"/>
    <w:rsid w:val="00B03AAA"/>
    <w:rsid w:val="00B03AE2"/>
    <w:rsid w:val="00B03B4D"/>
    <w:rsid w:val="00B03B5B"/>
    <w:rsid w:val="00B03B61"/>
    <w:rsid w:val="00B03C17"/>
    <w:rsid w:val="00B03C27"/>
    <w:rsid w:val="00B03C62"/>
    <w:rsid w:val="00B03C7B"/>
    <w:rsid w:val="00B03C93"/>
    <w:rsid w:val="00B03CFE"/>
    <w:rsid w:val="00B03D53"/>
    <w:rsid w:val="00B03D65"/>
    <w:rsid w:val="00B03DE1"/>
    <w:rsid w:val="00B03E54"/>
    <w:rsid w:val="00B03E65"/>
    <w:rsid w:val="00B03EB9"/>
    <w:rsid w:val="00B03ECA"/>
    <w:rsid w:val="00B03ED9"/>
    <w:rsid w:val="00B03EED"/>
    <w:rsid w:val="00B03F45"/>
    <w:rsid w:val="00B03FEA"/>
    <w:rsid w:val="00B0402C"/>
    <w:rsid w:val="00B0408E"/>
    <w:rsid w:val="00B0411E"/>
    <w:rsid w:val="00B0418A"/>
    <w:rsid w:val="00B041ED"/>
    <w:rsid w:val="00B04230"/>
    <w:rsid w:val="00B0426A"/>
    <w:rsid w:val="00B0439B"/>
    <w:rsid w:val="00B0439E"/>
    <w:rsid w:val="00B043A6"/>
    <w:rsid w:val="00B043BA"/>
    <w:rsid w:val="00B043DF"/>
    <w:rsid w:val="00B04418"/>
    <w:rsid w:val="00B04443"/>
    <w:rsid w:val="00B04457"/>
    <w:rsid w:val="00B04488"/>
    <w:rsid w:val="00B0453C"/>
    <w:rsid w:val="00B04566"/>
    <w:rsid w:val="00B045CF"/>
    <w:rsid w:val="00B045D7"/>
    <w:rsid w:val="00B045D8"/>
    <w:rsid w:val="00B04633"/>
    <w:rsid w:val="00B04647"/>
    <w:rsid w:val="00B0464E"/>
    <w:rsid w:val="00B04738"/>
    <w:rsid w:val="00B047D4"/>
    <w:rsid w:val="00B047D5"/>
    <w:rsid w:val="00B04829"/>
    <w:rsid w:val="00B04855"/>
    <w:rsid w:val="00B048A3"/>
    <w:rsid w:val="00B04905"/>
    <w:rsid w:val="00B04976"/>
    <w:rsid w:val="00B049DA"/>
    <w:rsid w:val="00B049FA"/>
    <w:rsid w:val="00B04A04"/>
    <w:rsid w:val="00B04A11"/>
    <w:rsid w:val="00B04A18"/>
    <w:rsid w:val="00B04B3C"/>
    <w:rsid w:val="00B04B53"/>
    <w:rsid w:val="00B04BB2"/>
    <w:rsid w:val="00B04C3F"/>
    <w:rsid w:val="00B04C7C"/>
    <w:rsid w:val="00B04C88"/>
    <w:rsid w:val="00B04CE0"/>
    <w:rsid w:val="00B04D7C"/>
    <w:rsid w:val="00B04D8D"/>
    <w:rsid w:val="00B04DAF"/>
    <w:rsid w:val="00B04DC7"/>
    <w:rsid w:val="00B04DD6"/>
    <w:rsid w:val="00B04E9E"/>
    <w:rsid w:val="00B04ED6"/>
    <w:rsid w:val="00B04F2A"/>
    <w:rsid w:val="00B04F41"/>
    <w:rsid w:val="00B0501F"/>
    <w:rsid w:val="00B05023"/>
    <w:rsid w:val="00B05188"/>
    <w:rsid w:val="00B052A5"/>
    <w:rsid w:val="00B052C4"/>
    <w:rsid w:val="00B05313"/>
    <w:rsid w:val="00B0547B"/>
    <w:rsid w:val="00B054B7"/>
    <w:rsid w:val="00B0551A"/>
    <w:rsid w:val="00B05565"/>
    <w:rsid w:val="00B055CD"/>
    <w:rsid w:val="00B055EE"/>
    <w:rsid w:val="00B05662"/>
    <w:rsid w:val="00B0568A"/>
    <w:rsid w:val="00B05699"/>
    <w:rsid w:val="00B056B7"/>
    <w:rsid w:val="00B056C3"/>
    <w:rsid w:val="00B05772"/>
    <w:rsid w:val="00B05789"/>
    <w:rsid w:val="00B057DF"/>
    <w:rsid w:val="00B05884"/>
    <w:rsid w:val="00B058A9"/>
    <w:rsid w:val="00B058E5"/>
    <w:rsid w:val="00B0592F"/>
    <w:rsid w:val="00B05937"/>
    <w:rsid w:val="00B059DF"/>
    <w:rsid w:val="00B059E4"/>
    <w:rsid w:val="00B05A26"/>
    <w:rsid w:val="00B05A50"/>
    <w:rsid w:val="00B05A95"/>
    <w:rsid w:val="00B05AEF"/>
    <w:rsid w:val="00B05AF6"/>
    <w:rsid w:val="00B05BDC"/>
    <w:rsid w:val="00B05BEE"/>
    <w:rsid w:val="00B05CFC"/>
    <w:rsid w:val="00B05D0E"/>
    <w:rsid w:val="00B05D14"/>
    <w:rsid w:val="00B05D23"/>
    <w:rsid w:val="00B05D36"/>
    <w:rsid w:val="00B05D89"/>
    <w:rsid w:val="00B05D90"/>
    <w:rsid w:val="00B05DC5"/>
    <w:rsid w:val="00B05DE9"/>
    <w:rsid w:val="00B05E26"/>
    <w:rsid w:val="00B05E48"/>
    <w:rsid w:val="00B05FAA"/>
    <w:rsid w:val="00B0601C"/>
    <w:rsid w:val="00B0604A"/>
    <w:rsid w:val="00B0605D"/>
    <w:rsid w:val="00B06067"/>
    <w:rsid w:val="00B060ED"/>
    <w:rsid w:val="00B06114"/>
    <w:rsid w:val="00B06174"/>
    <w:rsid w:val="00B061B1"/>
    <w:rsid w:val="00B061C1"/>
    <w:rsid w:val="00B062B1"/>
    <w:rsid w:val="00B062B9"/>
    <w:rsid w:val="00B062EC"/>
    <w:rsid w:val="00B06310"/>
    <w:rsid w:val="00B06383"/>
    <w:rsid w:val="00B063D4"/>
    <w:rsid w:val="00B063E6"/>
    <w:rsid w:val="00B06464"/>
    <w:rsid w:val="00B064B3"/>
    <w:rsid w:val="00B064B6"/>
    <w:rsid w:val="00B064E8"/>
    <w:rsid w:val="00B06504"/>
    <w:rsid w:val="00B065B3"/>
    <w:rsid w:val="00B06650"/>
    <w:rsid w:val="00B06656"/>
    <w:rsid w:val="00B06686"/>
    <w:rsid w:val="00B06697"/>
    <w:rsid w:val="00B066B5"/>
    <w:rsid w:val="00B06775"/>
    <w:rsid w:val="00B0677E"/>
    <w:rsid w:val="00B06783"/>
    <w:rsid w:val="00B06796"/>
    <w:rsid w:val="00B067A1"/>
    <w:rsid w:val="00B067AD"/>
    <w:rsid w:val="00B067B9"/>
    <w:rsid w:val="00B06886"/>
    <w:rsid w:val="00B068C8"/>
    <w:rsid w:val="00B0690D"/>
    <w:rsid w:val="00B06927"/>
    <w:rsid w:val="00B069B5"/>
    <w:rsid w:val="00B06A0F"/>
    <w:rsid w:val="00B06A24"/>
    <w:rsid w:val="00B06A43"/>
    <w:rsid w:val="00B06A5C"/>
    <w:rsid w:val="00B06A5D"/>
    <w:rsid w:val="00B06AD8"/>
    <w:rsid w:val="00B06ADD"/>
    <w:rsid w:val="00B06B20"/>
    <w:rsid w:val="00B06B60"/>
    <w:rsid w:val="00B06B9A"/>
    <w:rsid w:val="00B06CF2"/>
    <w:rsid w:val="00B06D02"/>
    <w:rsid w:val="00B06DD2"/>
    <w:rsid w:val="00B06DD8"/>
    <w:rsid w:val="00B06E16"/>
    <w:rsid w:val="00B06E1E"/>
    <w:rsid w:val="00B06E33"/>
    <w:rsid w:val="00B06E4D"/>
    <w:rsid w:val="00B06EFE"/>
    <w:rsid w:val="00B06F06"/>
    <w:rsid w:val="00B06F3B"/>
    <w:rsid w:val="00B06F87"/>
    <w:rsid w:val="00B06FF2"/>
    <w:rsid w:val="00B07019"/>
    <w:rsid w:val="00B070EC"/>
    <w:rsid w:val="00B07115"/>
    <w:rsid w:val="00B07121"/>
    <w:rsid w:val="00B072D1"/>
    <w:rsid w:val="00B07347"/>
    <w:rsid w:val="00B07348"/>
    <w:rsid w:val="00B07367"/>
    <w:rsid w:val="00B073D4"/>
    <w:rsid w:val="00B07418"/>
    <w:rsid w:val="00B0742A"/>
    <w:rsid w:val="00B07432"/>
    <w:rsid w:val="00B0743A"/>
    <w:rsid w:val="00B0746E"/>
    <w:rsid w:val="00B07491"/>
    <w:rsid w:val="00B0758F"/>
    <w:rsid w:val="00B075E1"/>
    <w:rsid w:val="00B07629"/>
    <w:rsid w:val="00B0762B"/>
    <w:rsid w:val="00B0767B"/>
    <w:rsid w:val="00B0772C"/>
    <w:rsid w:val="00B07767"/>
    <w:rsid w:val="00B0777B"/>
    <w:rsid w:val="00B0779F"/>
    <w:rsid w:val="00B077E0"/>
    <w:rsid w:val="00B07863"/>
    <w:rsid w:val="00B07893"/>
    <w:rsid w:val="00B078B7"/>
    <w:rsid w:val="00B07904"/>
    <w:rsid w:val="00B0790E"/>
    <w:rsid w:val="00B0794E"/>
    <w:rsid w:val="00B079DE"/>
    <w:rsid w:val="00B07B16"/>
    <w:rsid w:val="00B07B22"/>
    <w:rsid w:val="00B07B76"/>
    <w:rsid w:val="00B07B99"/>
    <w:rsid w:val="00B07BF3"/>
    <w:rsid w:val="00B07CA2"/>
    <w:rsid w:val="00B07CAE"/>
    <w:rsid w:val="00B07CEF"/>
    <w:rsid w:val="00B07D82"/>
    <w:rsid w:val="00B07DB6"/>
    <w:rsid w:val="00B07DD8"/>
    <w:rsid w:val="00B07E23"/>
    <w:rsid w:val="00B07E49"/>
    <w:rsid w:val="00B07E8B"/>
    <w:rsid w:val="00B07EA4"/>
    <w:rsid w:val="00B07ED2"/>
    <w:rsid w:val="00B07F4B"/>
    <w:rsid w:val="00B07F54"/>
    <w:rsid w:val="00B07F68"/>
    <w:rsid w:val="00B10019"/>
    <w:rsid w:val="00B100DF"/>
    <w:rsid w:val="00B100F5"/>
    <w:rsid w:val="00B10169"/>
    <w:rsid w:val="00B101D9"/>
    <w:rsid w:val="00B101FA"/>
    <w:rsid w:val="00B10255"/>
    <w:rsid w:val="00B10336"/>
    <w:rsid w:val="00B10361"/>
    <w:rsid w:val="00B10389"/>
    <w:rsid w:val="00B103B2"/>
    <w:rsid w:val="00B103CD"/>
    <w:rsid w:val="00B10402"/>
    <w:rsid w:val="00B1041A"/>
    <w:rsid w:val="00B104B5"/>
    <w:rsid w:val="00B104FA"/>
    <w:rsid w:val="00B1054A"/>
    <w:rsid w:val="00B10634"/>
    <w:rsid w:val="00B1064E"/>
    <w:rsid w:val="00B1072D"/>
    <w:rsid w:val="00B10745"/>
    <w:rsid w:val="00B107DC"/>
    <w:rsid w:val="00B107E4"/>
    <w:rsid w:val="00B107EE"/>
    <w:rsid w:val="00B1083C"/>
    <w:rsid w:val="00B10854"/>
    <w:rsid w:val="00B1088A"/>
    <w:rsid w:val="00B10899"/>
    <w:rsid w:val="00B108F5"/>
    <w:rsid w:val="00B10913"/>
    <w:rsid w:val="00B10918"/>
    <w:rsid w:val="00B10963"/>
    <w:rsid w:val="00B109AC"/>
    <w:rsid w:val="00B10A5E"/>
    <w:rsid w:val="00B10A9F"/>
    <w:rsid w:val="00B10C38"/>
    <w:rsid w:val="00B10C90"/>
    <w:rsid w:val="00B10D42"/>
    <w:rsid w:val="00B10D46"/>
    <w:rsid w:val="00B10D65"/>
    <w:rsid w:val="00B10D68"/>
    <w:rsid w:val="00B10DAF"/>
    <w:rsid w:val="00B10E41"/>
    <w:rsid w:val="00B10E56"/>
    <w:rsid w:val="00B10E9A"/>
    <w:rsid w:val="00B10EAF"/>
    <w:rsid w:val="00B10ED2"/>
    <w:rsid w:val="00B10EF2"/>
    <w:rsid w:val="00B10F22"/>
    <w:rsid w:val="00B10F79"/>
    <w:rsid w:val="00B10F9C"/>
    <w:rsid w:val="00B10FA2"/>
    <w:rsid w:val="00B1101F"/>
    <w:rsid w:val="00B11070"/>
    <w:rsid w:val="00B11077"/>
    <w:rsid w:val="00B11083"/>
    <w:rsid w:val="00B110EF"/>
    <w:rsid w:val="00B110F1"/>
    <w:rsid w:val="00B1115F"/>
    <w:rsid w:val="00B11260"/>
    <w:rsid w:val="00B112C1"/>
    <w:rsid w:val="00B112CC"/>
    <w:rsid w:val="00B112DE"/>
    <w:rsid w:val="00B112F8"/>
    <w:rsid w:val="00B11325"/>
    <w:rsid w:val="00B11395"/>
    <w:rsid w:val="00B113D6"/>
    <w:rsid w:val="00B113DB"/>
    <w:rsid w:val="00B113F5"/>
    <w:rsid w:val="00B1142B"/>
    <w:rsid w:val="00B11433"/>
    <w:rsid w:val="00B1146D"/>
    <w:rsid w:val="00B1148F"/>
    <w:rsid w:val="00B1149A"/>
    <w:rsid w:val="00B114A9"/>
    <w:rsid w:val="00B114F1"/>
    <w:rsid w:val="00B1153B"/>
    <w:rsid w:val="00B1153C"/>
    <w:rsid w:val="00B1155C"/>
    <w:rsid w:val="00B11598"/>
    <w:rsid w:val="00B115B9"/>
    <w:rsid w:val="00B115E2"/>
    <w:rsid w:val="00B1163B"/>
    <w:rsid w:val="00B11641"/>
    <w:rsid w:val="00B116AD"/>
    <w:rsid w:val="00B116B5"/>
    <w:rsid w:val="00B116BB"/>
    <w:rsid w:val="00B116F6"/>
    <w:rsid w:val="00B11748"/>
    <w:rsid w:val="00B11770"/>
    <w:rsid w:val="00B11840"/>
    <w:rsid w:val="00B1186A"/>
    <w:rsid w:val="00B119AA"/>
    <w:rsid w:val="00B119CF"/>
    <w:rsid w:val="00B11A1E"/>
    <w:rsid w:val="00B11A28"/>
    <w:rsid w:val="00B11A40"/>
    <w:rsid w:val="00B11A52"/>
    <w:rsid w:val="00B11A53"/>
    <w:rsid w:val="00B11AA4"/>
    <w:rsid w:val="00B11AA7"/>
    <w:rsid w:val="00B11B02"/>
    <w:rsid w:val="00B11B0E"/>
    <w:rsid w:val="00B11B10"/>
    <w:rsid w:val="00B11B5C"/>
    <w:rsid w:val="00B11B8B"/>
    <w:rsid w:val="00B11BB4"/>
    <w:rsid w:val="00B11C64"/>
    <w:rsid w:val="00B11C6A"/>
    <w:rsid w:val="00B11C9A"/>
    <w:rsid w:val="00B11CFB"/>
    <w:rsid w:val="00B11D62"/>
    <w:rsid w:val="00B11E06"/>
    <w:rsid w:val="00B11EF8"/>
    <w:rsid w:val="00B11F50"/>
    <w:rsid w:val="00B11F9F"/>
    <w:rsid w:val="00B11FF6"/>
    <w:rsid w:val="00B1205B"/>
    <w:rsid w:val="00B12092"/>
    <w:rsid w:val="00B1209A"/>
    <w:rsid w:val="00B120B6"/>
    <w:rsid w:val="00B12106"/>
    <w:rsid w:val="00B1219A"/>
    <w:rsid w:val="00B12249"/>
    <w:rsid w:val="00B12269"/>
    <w:rsid w:val="00B1229A"/>
    <w:rsid w:val="00B123C3"/>
    <w:rsid w:val="00B1240F"/>
    <w:rsid w:val="00B124D6"/>
    <w:rsid w:val="00B124E7"/>
    <w:rsid w:val="00B12565"/>
    <w:rsid w:val="00B125F2"/>
    <w:rsid w:val="00B125F4"/>
    <w:rsid w:val="00B1260B"/>
    <w:rsid w:val="00B12612"/>
    <w:rsid w:val="00B126FE"/>
    <w:rsid w:val="00B12709"/>
    <w:rsid w:val="00B1270B"/>
    <w:rsid w:val="00B1271C"/>
    <w:rsid w:val="00B12720"/>
    <w:rsid w:val="00B12729"/>
    <w:rsid w:val="00B1278B"/>
    <w:rsid w:val="00B12798"/>
    <w:rsid w:val="00B12830"/>
    <w:rsid w:val="00B12872"/>
    <w:rsid w:val="00B12886"/>
    <w:rsid w:val="00B128A6"/>
    <w:rsid w:val="00B128E4"/>
    <w:rsid w:val="00B1298B"/>
    <w:rsid w:val="00B12A1A"/>
    <w:rsid w:val="00B12A8D"/>
    <w:rsid w:val="00B12AA4"/>
    <w:rsid w:val="00B12AB6"/>
    <w:rsid w:val="00B12BF4"/>
    <w:rsid w:val="00B12C5D"/>
    <w:rsid w:val="00B12C61"/>
    <w:rsid w:val="00B12C75"/>
    <w:rsid w:val="00B12CAD"/>
    <w:rsid w:val="00B12CBD"/>
    <w:rsid w:val="00B12CC0"/>
    <w:rsid w:val="00B12D07"/>
    <w:rsid w:val="00B12D7E"/>
    <w:rsid w:val="00B12DA1"/>
    <w:rsid w:val="00B12DC5"/>
    <w:rsid w:val="00B12E04"/>
    <w:rsid w:val="00B12E52"/>
    <w:rsid w:val="00B12E5F"/>
    <w:rsid w:val="00B12EC8"/>
    <w:rsid w:val="00B12EDB"/>
    <w:rsid w:val="00B12FC3"/>
    <w:rsid w:val="00B13013"/>
    <w:rsid w:val="00B13055"/>
    <w:rsid w:val="00B13074"/>
    <w:rsid w:val="00B13075"/>
    <w:rsid w:val="00B13097"/>
    <w:rsid w:val="00B13141"/>
    <w:rsid w:val="00B1314B"/>
    <w:rsid w:val="00B1318C"/>
    <w:rsid w:val="00B131E0"/>
    <w:rsid w:val="00B13203"/>
    <w:rsid w:val="00B1322F"/>
    <w:rsid w:val="00B132C5"/>
    <w:rsid w:val="00B132E5"/>
    <w:rsid w:val="00B132E6"/>
    <w:rsid w:val="00B132F3"/>
    <w:rsid w:val="00B132F4"/>
    <w:rsid w:val="00B13302"/>
    <w:rsid w:val="00B1332F"/>
    <w:rsid w:val="00B13381"/>
    <w:rsid w:val="00B1338E"/>
    <w:rsid w:val="00B13467"/>
    <w:rsid w:val="00B1347D"/>
    <w:rsid w:val="00B13499"/>
    <w:rsid w:val="00B134A2"/>
    <w:rsid w:val="00B13503"/>
    <w:rsid w:val="00B1352A"/>
    <w:rsid w:val="00B13532"/>
    <w:rsid w:val="00B1355E"/>
    <w:rsid w:val="00B135B3"/>
    <w:rsid w:val="00B13600"/>
    <w:rsid w:val="00B1363F"/>
    <w:rsid w:val="00B136C0"/>
    <w:rsid w:val="00B13749"/>
    <w:rsid w:val="00B1376B"/>
    <w:rsid w:val="00B137BB"/>
    <w:rsid w:val="00B137D6"/>
    <w:rsid w:val="00B137EC"/>
    <w:rsid w:val="00B137EE"/>
    <w:rsid w:val="00B13829"/>
    <w:rsid w:val="00B1382D"/>
    <w:rsid w:val="00B13879"/>
    <w:rsid w:val="00B13945"/>
    <w:rsid w:val="00B13953"/>
    <w:rsid w:val="00B13959"/>
    <w:rsid w:val="00B139A2"/>
    <w:rsid w:val="00B139B5"/>
    <w:rsid w:val="00B13A76"/>
    <w:rsid w:val="00B13ABB"/>
    <w:rsid w:val="00B13B5E"/>
    <w:rsid w:val="00B13B86"/>
    <w:rsid w:val="00B13C77"/>
    <w:rsid w:val="00B13C86"/>
    <w:rsid w:val="00B13CCA"/>
    <w:rsid w:val="00B13CE9"/>
    <w:rsid w:val="00B13D3B"/>
    <w:rsid w:val="00B13D60"/>
    <w:rsid w:val="00B13E70"/>
    <w:rsid w:val="00B13EB7"/>
    <w:rsid w:val="00B13F13"/>
    <w:rsid w:val="00B13F14"/>
    <w:rsid w:val="00B13F4D"/>
    <w:rsid w:val="00B13F58"/>
    <w:rsid w:val="00B13F8F"/>
    <w:rsid w:val="00B13F96"/>
    <w:rsid w:val="00B13FA1"/>
    <w:rsid w:val="00B14008"/>
    <w:rsid w:val="00B1407B"/>
    <w:rsid w:val="00B14104"/>
    <w:rsid w:val="00B1414D"/>
    <w:rsid w:val="00B141D1"/>
    <w:rsid w:val="00B142C0"/>
    <w:rsid w:val="00B142C6"/>
    <w:rsid w:val="00B1432C"/>
    <w:rsid w:val="00B1433A"/>
    <w:rsid w:val="00B14382"/>
    <w:rsid w:val="00B143BE"/>
    <w:rsid w:val="00B143CC"/>
    <w:rsid w:val="00B143DE"/>
    <w:rsid w:val="00B143F3"/>
    <w:rsid w:val="00B14424"/>
    <w:rsid w:val="00B144DB"/>
    <w:rsid w:val="00B14628"/>
    <w:rsid w:val="00B14635"/>
    <w:rsid w:val="00B1465D"/>
    <w:rsid w:val="00B1466A"/>
    <w:rsid w:val="00B1470B"/>
    <w:rsid w:val="00B14859"/>
    <w:rsid w:val="00B14861"/>
    <w:rsid w:val="00B14893"/>
    <w:rsid w:val="00B14920"/>
    <w:rsid w:val="00B14973"/>
    <w:rsid w:val="00B149FD"/>
    <w:rsid w:val="00B14A18"/>
    <w:rsid w:val="00B14A4E"/>
    <w:rsid w:val="00B14A63"/>
    <w:rsid w:val="00B14AAB"/>
    <w:rsid w:val="00B14AF6"/>
    <w:rsid w:val="00B14B14"/>
    <w:rsid w:val="00B14B6D"/>
    <w:rsid w:val="00B14BA6"/>
    <w:rsid w:val="00B14BBE"/>
    <w:rsid w:val="00B14BE5"/>
    <w:rsid w:val="00B14BFA"/>
    <w:rsid w:val="00B14C0F"/>
    <w:rsid w:val="00B14C2D"/>
    <w:rsid w:val="00B14C42"/>
    <w:rsid w:val="00B14CD3"/>
    <w:rsid w:val="00B14D3F"/>
    <w:rsid w:val="00B14DAF"/>
    <w:rsid w:val="00B14E6A"/>
    <w:rsid w:val="00B14F49"/>
    <w:rsid w:val="00B14F6A"/>
    <w:rsid w:val="00B14FF1"/>
    <w:rsid w:val="00B15016"/>
    <w:rsid w:val="00B15038"/>
    <w:rsid w:val="00B15073"/>
    <w:rsid w:val="00B1510B"/>
    <w:rsid w:val="00B1514F"/>
    <w:rsid w:val="00B151AF"/>
    <w:rsid w:val="00B15228"/>
    <w:rsid w:val="00B15236"/>
    <w:rsid w:val="00B15258"/>
    <w:rsid w:val="00B1525E"/>
    <w:rsid w:val="00B1529F"/>
    <w:rsid w:val="00B152DD"/>
    <w:rsid w:val="00B15343"/>
    <w:rsid w:val="00B15359"/>
    <w:rsid w:val="00B15372"/>
    <w:rsid w:val="00B153B0"/>
    <w:rsid w:val="00B153BD"/>
    <w:rsid w:val="00B15411"/>
    <w:rsid w:val="00B1542A"/>
    <w:rsid w:val="00B154A2"/>
    <w:rsid w:val="00B154E2"/>
    <w:rsid w:val="00B154FF"/>
    <w:rsid w:val="00B15597"/>
    <w:rsid w:val="00B15678"/>
    <w:rsid w:val="00B15696"/>
    <w:rsid w:val="00B156A6"/>
    <w:rsid w:val="00B156A9"/>
    <w:rsid w:val="00B156E6"/>
    <w:rsid w:val="00B156F4"/>
    <w:rsid w:val="00B157B3"/>
    <w:rsid w:val="00B157BC"/>
    <w:rsid w:val="00B15909"/>
    <w:rsid w:val="00B15925"/>
    <w:rsid w:val="00B15973"/>
    <w:rsid w:val="00B15999"/>
    <w:rsid w:val="00B159A2"/>
    <w:rsid w:val="00B159D9"/>
    <w:rsid w:val="00B15A20"/>
    <w:rsid w:val="00B15A52"/>
    <w:rsid w:val="00B15A90"/>
    <w:rsid w:val="00B15A9D"/>
    <w:rsid w:val="00B15B1C"/>
    <w:rsid w:val="00B15B60"/>
    <w:rsid w:val="00B15BA6"/>
    <w:rsid w:val="00B15BBE"/>
    <w:rsid w:val="00B15C31"/>
    <w:rsid w:val="00B15C3C"/>
    <w:rsid w:val="00B15C49"/>
    <w:rsid w:val="00B15C4F"/>
    <w:rsid w:val="00B15C55"/>
    <w:rsid w:val="00B15C8D"/>
    <w:rsid w:val="00B15CBE"/>
    <w:rsid w:val="00B15D1B"/>
    <w:rsid w:val="00B15DAB"/>
    <w:rsid w:val="00B15DAF"/>
    <w:rsid w:val="00B15E18"/>
    <w:rsid w:val="00B15EF8"/>
    <w:rsid w:val="00B15F91"/>
    <w:rsid w:val="00B16005"/>
    <w:rsid w:val="00B1600A"/>
    <w:rsid w:val="00B1601C"/>
    <w:rsid w:val="00B160CF"/>
    <w:rsid w:val="00B160DF"/>
    <w:rsid w:val="00B16111"/>
    <w:rsid w:val="00B16116"/>
    <w:rsid w:val="00B1611D"/>
    <w:rsid w:val="00B161FC"/>
    <w:rsid w:val="00B16210"/>
    <w:rsid w:val="00B16212"/>
    <w:rsid w:val="00B16232"/>
    <w:rsid w:val="00B162C4"/>
    <w:rsid w:val="00B1632C"/>
    <w:rsid w:val="00B1633D"/>
    <w:rsid w:val="00B164D7"/>
    <w:rsid w:val="00B165CC"/>
    <w:rsid w:val="00B165E5"/>
    <w:rsid w:val="00B16624"/>
    <w:rsid w:val="00B1668E"/>
    <w:rsid w:val="00B166D4"/>
    <w:rsid w:val="00B166FE"/>
    <w:rsid w:val="00B16729"/>
    <w:rsid w:val="00B1672F"/>
    <w:rsid w:val="00B167A1"/>
    <w:rsid w:val="00B167D7"/>
    <w:rsid w:val="00B16811"/>
    <w:rsid w:val="00B1686A"/>
    <w:rsid w:val="00B168C1"/>
    <w:rsid w:val="00B16907"/>
    <w:rsid w:val="00B1690D"/>
    <w:rsid w:val="00B169D5"/>
    <w:rsid w:val="00B169DA"/>
    <w:rsid w:val="00B16A0D"/>
    <w:rsid w:val="00B16A55"/>
    <w:rsid w:val="00B16A6E"/>
    <w:rsid w:val="00B16A8E"/>
    <w:rsid w:val="00B16AA9"/>
    <w:rsid w:val="00B16AE1"/>
    <w:rsid w:val="00B16B02"/>
    <w:rsid w:val="00B16B2F"/>
    <w:rsid w:val="00B16B30"/>
    <w:rsid w:val="00B16CEE"/>
    <w:rsid w:val="00B16CF5"/>
    <w:rsid w:val="00B16D2B"/>
    <w:rsid w:val="00B16D2D"/>
    <w:rsid w:val="00B16D43"/>
    <w:rsid w:val="00B16D75"/>
    <w:rsid w:val="00B16DC6"/>
    <w:rsid w:val="00B16E43"/>
    <w:rsid w:val="00B16E47"/>
    <w:rsid w:val="00B16EA0"/>
    <w:rsid w:val="00B16F03"/>
    <w:rsid w:val="00B16F29"/>
    <w:rsid w:val="00B16F71"/>
    <w:rsid w:val="00B16FA3"/>
    <w:rsid w:val="00B1704A"/>
    <w:rsid w:val="00B1704F"/>
    <w:rsid w:val="00B1709F"/>
    <w:rsid w:val="00B17151"/>
    <w:rsid w:val="00B1715F"/>
    <w:rsid w:val="00B1716F"/>
    <w:rsid w:val="00B17192"/>
    <w:rsid w:val="00B1727F"/>
    <w:rsid w:val="00B17363"/>
    <w:rsid w:val="00B17395"/>
    <w:rsid w:val="00B173A6"/>
    <w:rsid w:val="00B17432"/>
    <w:rsid w:val="00B17498"/>
    <w:rsid w:val="00B17535"/>
    <w:rsid w:val="00B175DE"/>
    <w:rsid w:val="00B175EC"/>
    <w:rsid w:val="00B175ED"/>
    <w:rsid w:val="00B175F9"/>
    <w:rsid w:val="00B17644"/>
    <w:rsid w:val="00B17656"/>
    <w:rsid w:val="00B176F1"/>
    <w:rsid w:val="00B17748"/>
    <w:rsid w:val="00B1775B"/>
    <w:rsid w:val="00B17774"/>
    <w:rsid w:val="00B177A9"/>
    <w:rsid w:val="00B17837"/>
    <w:rsid w:val="00B1783E"/>
    <w:rsid w:val="00B17842"/>
    <w:rsid w:val="00B17865"/>
    <w:rsid w:val="00B1787D"/>
    <w:rsid w:val="00B1789F"/>
    <w:rsid w:val="00B179D0"/>
    <w:rsid w:val="00B179F5"/>
    <w:rsid w:val="00B17A41"/>
    <w:rsid w:val="00B17A97"/>
    <w:rsid w:val="00B17B0A"/>
    <w:rsid w:val="00B17C6D"/>
    <w:rsid w:val="00B17CC3"/>
    <w:rsid w:val="00B17CDA"/>
    <w:rsid w:val="00B17D1E"/>
    <w:rsid w:val="00B17D1F"/>
    <w:rsid w:val="00B17DB6"/>
    <w:rsid w:val="00B17DD3"/>
    <w:rsid w:val="00B17E3A"/>
    <w:rsid w:val="00B17E4A"/>
    <w:rsid w:val="00B17E6E"/>
    <w:rsid w:val="00B17E9D"/>
    <w:rsid w:val="00B17ED9"/>
    <w:rsid w:val="00B17EE1"/>
    <w:rsid w:val="00B17EEA"/>
    <w:rsid w:val="00B17F78"/>
    <w:rsid w:val="00B17F7A"/>
    <w:rsid w:val="00B2000D"/>
    <w:rsid w:val="00B2003F"/>
    <w:rsid w:val="00B200AE"/>
    <w:rsid w:val="00B200B0"/>
    <w:rsid w:val="00B200D3"/>
    <w:rsid w:val="00B200D7"/>
    <w:rsid w:val="00B2012E"/>
    <w:rsid w:val="00B2016A"/>
    <w:rsid w:val="00B201F5"/>
    <w:rsid w:val="00B2020B"/>
    <w:rsid w:val="00B202E7"/>
    <w:rsid w:val="00B2031E"/>
    <w:rsid w:val="00B20335"/>
    <w:rsid w:val="00B20351"/>
    <w:rsid w:val="00B2036D"/>
    <w:rsid w:val="00B203B9"/>
    <w:rsid w:val="00B20433"/>
    <w:rsid w:val="00B204A5"/>
    <w:rsid w:val="00B204F9"/>
    <w:rsid w:val="00B2051A"/>
    <w:rsid w:val="00B2053E"/>
    <w:rsid w:val="00B20541"/>
    <w:rsid w:val="00B20562"/>
    <w:rsid w:val="00B205B2"/>
    <w:rsid w:val="00B206C1"/>
    <w:rsid w:val="00B206F2"/>
    <w:rsid w:val="00B20783"/>
    <w:rsid w:val="00B207A4"/>
    <w:rsid w:val="00B207D6"/>
    <w:rsid w:val="00B20802"/>
    <w:rsid w:val="00B208CE"/>
    <w:rsid w:val="00B208D2"/>
    <w:rsid w:val="00B208F3"/>
    <w:rsid w:val="00B208F5"/>
    <w:rsid w:val="00B2095F"/>
    <w:rsid w:val="00B20960"/>
    <w:rsid w:val="00B20963"/>
    <w:rsid w:val="00B2096A"/>
    <w:rsid w:val="00B20990"/>
    <w:rsid w:val="00B209C0"/>
    <w:rsid w:val="00B209D3"/>
    <w:rsid w:val="00B209E6"/>
    <w:rsid w:val="00B20A08"/>
    <w:rsid w:val="00B20A44"/>
    <w:rsid w:val="00B20A72"/>
    <w:rsid w:val="00B20A7A"/>
    <w:rsid w:val="00B20A90"/>
    <w:rsid w:val="00B20AF2"/>
    <w:rsid w:val="00B20B20"/>
    <w:rsid w:val="00B20B77"/>
    <w:rsid w:val="00B20BC8"/>
    <w:rsid w:val="00B20BC9"/>
    <w:rsid w:val="00B20C43"/>
    <w:rsid w:val="00B20C87"/>
    <w:rsid w:val="00B20CA1"/>
    <w:rsid w:val="00B20CE8"/>
    <w:rsid w:val="00B20D58"/>
    <w:rsid w:val="00B20D5D"/>
    <w:rsid w:val="00B20DF2"/>
    <w:rsid w:val="00B20E2C"/>
    <w:rsid w:val="00B20E76"/>
    <w:rsid w:val="00B20E86"/>
    <w:rsid w:val="00B20EB2"/>
    <w:rsid w:val="00B20F3B"/>
    <w:rsid w:val="00B20FC3"/>
    <w:rsid w:val="00B21013"/>
    <w:rsid w:val="00B21014"/>
    <w:rsid w:val="00B21039"/>
    <w:rsid w:val="00B210BA"/>
    <w:rsid w:val="00B210D0"/>
    <w:rsid w:val="00B21158"/>
    <w:rsid w:val="00B21159"/>
    <w:rsid w:val="00B21183"/>
    <w:rsid w:val="00B211EB"/>
    <w:rsid w:val="00B21254"/>
    <w:rsid w:val="00B21288"/>
    <w:rsid w:val="00B2130A"/>
    <w:rsid w:val="00B2131D"/>
    <w:rsid w:val="00B2140E"/>
    <w:rsid w:val="00B21411"/>
    <w:rsid w:val="00B2146C"/>
    <w:rsid w:val="00B21485"/>
    <w:rsid w:val="00B214AE"/>
    <w:rsid w:val="00B214FD"/>
    <w:rsid w:val="00B2153D"/>
    <w:rsid w:val="00B21576"/>
    <w:rsid w:val="00B215DB"/>
    <w:rsid w:val="00B215E7"/>
    <w:rsid w:val="00B21654"/>
    <w:rsid w:val="00B21697"/>
    <w:rsid w:val="00B216A6"/>
    <w:rsid w:val="00B216D4"/>
    <w:rsid w:val="00B21839"/>
    <w:rsid w:val="00B2183D"/>
    <w:rsid w:val="00B21847"/>
    <w:rsid w:val="00B2185C"/>
    <w:rsid w:val="00B218D5"/>
    <w:rsid w:val="00B2190E"/>
    <w:rsid w:val="00B2192F"/>
    <w:rsid w:val="00B2195E"/>
    <w:rsid w:val="00B2197C"/>
    <w:rsid w:val="00B21981"/>
    <w:rsid w:val="00B21A2C"/>
    <w:rsid w:val="00B21A2E"/>
    <w:rsid w:val="00B21A4A"/>
    <w:rsid w:val="00B21AA3"/>
    <w:rsid w:val="00B21BE4"/>
    <w:rsid w:val="00B21BE8"/>
    <w:rsid w:val="00B21BEB"/>
    <w:rsid w:val="00B21CA2"/>
    <w:rsid w:val="00B21CC0"/>
    <w:rsid w:val="00B21CC8"/>
    <w:rsid w:val="00B21CD7"/>
    <w:rsid w:val="00B21CEA"/>
    <w:rsid w:val="00B21D08"/>
    <w:rsid w:val="00B21D5F"/>
    <w:rsid w:val="00B21D6F"/>
    <w:rsid w:val="00B21D77"/>
    <w:rsid w:val="00B21D84"/>
    <w:rsid w:val="00B21DC7"/>
    <w:rsid w:val="00B21DEA"/>
    <w:rsid w:val="00B21E64"/>
    <w:rsid w:val="00B21F25"/>
    <w:rsid w:val="00B21F2F"/>
    <w:rsid w:val="00B21F42"/>
    <w:rsid w:val="00B21FA4"/>
    <w:rsid w:val="00B21FBE"/>
    <w:rsid w:val="00B21FE4"/>
    <w:rsid w:val="00B2203B"/>
    <w:rsid w:val="00B22059"/>
    <w:rsid w:val="00B220CF"/>
    <w:rsid w:val="00B2217D"/>
    <w:rsid w:val="00B22196"/>
    <w:rsid w:val="00B221E8"/>
    <w:rsid w:val="00B223C2"/>
    <w:rsid w:val="00B22406"/>
    <w:rsid w:val="00B2247D"/>
    <w:rsid w:val="00B2249E"/>
    <w:rsid w:val="00B224B9"/>
    <w:rsid w:val="00B2253D"/>
    <w:rsid w:val="00B225F8"/>
    <w:rsid w:val="00B225FB"/>
    <w:rsid w:val="00B22663"/>
    <w:rsid w:val="00B22670"/>
    <w:rsid w:val="00B22699"/>
    <w:rsid w:val="00B226A2"/>
    <w:rsid w:val="00B226B0"/>
    <w:rsid w:val="00B22764"/>
    <w:rsid w:val="00B22796"/>
    <w:rsid w:val="00B227A6"/>
    <w:rsid w:val="00B227D8"/>
    <w:rsid w:val="00B227DA"/>
    <w:rsid w:val="00B227F4"/>
    <w:rsid w:val="00B2281F"/>
    <w:rsid w:val="00B22829"/>
    <w:rsid w:val="00B22847"/>
    <w:rsid w:val="00B22855"/>
    <w:rsid w:val="00B228C0"/>
    <w:rsid w:val="00B22929"/>
    <w:rsid w:val="00B2292B"/>
    <w:rsid w:val="00B22953"/>
    <w:rsid w:val="00B2297E"/>
    <w:rsid w:val="00B229BF"/>
    <w:rsid w:val="00B22A02"/>
    <w:rsid w:val="00B22A0C"/>
    <w:rsid w:val="00B22A2B"/>
    <w:rsid w:val="00B22A39"/>
    <w:rsid w:val="00B22A69"/>
    <w:rsid w:val="00B22A73"/>
    <w:rsid w:val="00B22AD3"/>
    <w:rsid w:val="00B22B29"/>
    <w:rsid w:val="00B22B47"/>
    <w:rsid w:val="00B22B5F"/>
    <w:rsid w:val="00B22B93"/>
    <w:rsid w:val="00B22BDA"/>
    <w:rsid w:val="00B22BE4"/>
    <w:rsid w:val="00B22C04"/>
    <w:rsid w:val="00B22C93"/>
    <w:rsid w:val="00B22D35"/>
    <w:rsid w:val="00B22D8C"/>
    <w:rsid w:val="00B22DD5"/>
    <w:rsid w:val="00B22E42"/>
    <w:rsid w:val="00B22E80"/>
    <w:rsid w:val="00B22EB1"/>
    <w:rsid w:val="00B22EC6"/>
    <w:rsid w:val="00B22ED1"/>
    <w:rsid w:val="00B22EE5"/>
    <w:rsid w:val="00B22F38"/>
    <w:rsid w:val="00B22FA5"/>
    <w:rsid w:val="00B22FE1"/>
    <w:rsid w:val="00B22FEB"/>
    <w:rsid w:val="00B23013"/>
    <w:rsid w:val="00B2302D"/>
    <w:rsid w:val="00B2305E"/>
    <w:rsid w:val="00B23069"/>
    <w:rsid w:val="00B2307F"/>
    <w:rsid w:val="00B2308A"/>
    <w:rsid w:val="00B2308F"/>
    <w:rsid w:val="00B23109"/>
    <w:rsid w:val="00B23124"/>
    <w:rsid w:val="00B23191"/>
    <w:rsid w:val="00B231D2"/>
    <w:rsid w:val="00B23219"/>
    <w:rsid w:val="00B2326B"/>
    <w:rsid w:val="00B2329D"/>
    <w:rsid w:val="00B232BA"/>
    <w:rsid w:val="00B2333C"/>
    <w:rsid w:val="00B2334E"/>
    <w:rsid w:val="00B23367"/>
    <w:rsid w:val="00B23380"/>
    <w:rsid w:val="00B2342A"/>
    <w:rsid w:val="00B234B4"/>
    <w:rsid w:val="00B23510"/>
    <w:rsid w:val="00B23523"/>
    <w:rsid w:val="00B2359A"/>
    <w:rsid w:val="00B235BA"/>
    <w:rsid w:val="00B235D3"/>
    <w:rsid w:val="00B236E3"/>
    <w:rsid w:val="00B2370B"/>
    <w:rsid w:val="00B2376C"/>
    <w:rsid w:val="00B2377D"/>
    <w:rsid w:val="00B2379C"/>
    <w:rsid w:val="00B2380A"/>
    <w:rsid w:val="00B2387A"/>
    <w:rsid w:val="00B238FC"/>
    <w:rsid w:val="00B2390E"/>
    <w:rsid w:val="00B2391F"/>
    <w:rsid w:val="00B23948"/>
    <w:rsid w:val="00B2396B"/>
    <w:rsid w:val="00B2398B"/>
    <w:rsid w:val="00B239E7"/>
    <w:rsid w:val="00B23A40"/>
    <w:rsid w:val="00B23A5F"/>
    <w:rsid w:val="00B23AA4"/>
    <w:rsid w:val="00B23BAD"/>
    <w:rsid w:val="00B23C1D"/>
    <w:rsid w:val="00B23CBE"/>
    <w:rsid w:val="00B23CC3"/>
    <w:rsid w:val="00B23CDF"/>
    <w:rsid w:val="00B23D82"/>
    <w:rsid w:val="00B23DB7"/>
    <w:rsid w:val="00B23DF5"/>
    <w:rsid w:val="00B23E86"/>
    <w:rsid w:val="00B23E8A"/>
    <w:rsid w:val="00B23F08"/>
    <w:rsid w:val="00B23F44"/>
    <w:rsid w:val="00B23FB4"/>
    <w:rsid w:val="00B23FC8"/>
    <w:rsid w:val="00B2406E"/>
    <w:rsid w:val="00B2408A"/>
    <w:rsid w:val="00B240C5"/>
    <w:rsid w:val="00B2410B"/>
    <w:rsid w:val="00B2413F"/>
    <w:rsid w:val="00B2418F"/>
    <w:rsid w:val="00B241C8"/>
    <w:rsid w:val="00B241DA"/>
    <w:rsid w:val="00B2421E"/>
    <w:rsid w:val="00B24245"/>
    <w:rsid w:val="00B24284"/>
    <w:rsid w:val="00B242C2"/>
    <w:rsid w:val="00B242FD"/>
    <w:rsid w:val="00B24324"/>
    <w:rsid w:val="00B24518"/>
    <w:rsid w:val="00B24564"/>
    <w:rsid w:val="00B24673"/>
    <w:rsid w:val="00B24691"/>
    <w:rsid w:val="00B24741"/>
    <w:rsid w:val="00B247D4"/>
    <w:rsid w:val="00B247DA"/>
    <w:rsid w:val="00B24826"/>
    <w:rsid w:val="00B2485F"/>
    <w:rsid w:val="00B248A0"/>
    <w:rsid w:val="00B248D0"/>
    <w:rsid w:val="00B248D8"/>
    <w:rsid w:val="00B2491C"/>
    <w:rsid w:val="00B2493C"/>
    <w:rsid w:val="00B24981"/>
    <w:rsid w:val="00B249CB"/>
    <w:rsid w:val="00B249D6"/>
    <w:rsid w:val="00B24A48"/>
    <w:rsid w:val="00B24B55"/>
    <w:rsid w:val="00B24BCF"/>
    <w:rsid w:val="00B24C26"/>
    <w:rsid w:val="00B24C2C"/>
    <w:rsid w:val="00B24C78"/>
    <w:rsid w:val="00B24CB4"/>
    <w:rsid w:val="00B24CDA"/>
    <w:rsid w:val="00B24D10"/>
    <w:rsid w:val="00B24D21"/>
    <w:rsid w:val="00B24D8F"/>
    <w:rsid w:val="00B24DF4"/>
    <w:rsid w:val="00B24DF6"/>
    <w:rsid w:val="00B24E1C"/>
    <w:rsid w:val="00B24E7B"/>
    <w:rsid w:val="00B24E81"/>
    <w:rsid w:val="00B24E90"/>
    <w:rsid w:val="00B24EA9"/>
    <w:rsid w:val="00B24EC5"/>
    <w:rsid w:val="00B24EE2"/>
    <w:rsid w:val="00B24FAD"/>
    <w:rsid w:val="00B24FE6"/>
    <w:rsid w:val="00B24FE8"/>
    <w:rsid w:val="00B25082"/>
    <w:rsid w:val="00B250BC"/>
    <w:rsid w:val="00B250E0"/>
    <w:rsid w:val="00B25135"/>
    <w:rsid w:val="00B25142"/>
    <w:rsid w:val="00B25144"/>
    <w:rsid w:val="00B25149"/>
    <w:rsid w:val="00B25169"/>
    <w:rsid w:val="00B251A9"/>
    <w:rsid w:val="00B251B9"/>
    <w:rsid w:val="00B2520B"/>
    <w:rsid w:val="00B25266"/>
    <w:rsid w:val="00B2527A"/>
    <w:rsid w:val="00B25291"/>
    <w:rsid w:val="00B2529F"/>
    <w:rsid w:val="00B252C2"/>
    <w:rsid w:val="00B2533C"/>
    <w:rsid w:val="00B2534F"/>
    <w:rsid w:val="00B2539B"/>
    <w:rsid w:val="00B253C9"/>
    <w:rsid w:val="00B2544F"/>
    <w:rsid w:val="00B2546B"/>
    <w:rsid w:val="00B2546F"/>
    <w:rsid w:val="00B2549B"/>
    <w:rsid w:val="00B254F0"/>
    <w:rsid w:val="00B2551D"/>
    <w:rsid w:val="00B25549"/>
    <w:rsid w:val="00B2558E"/>
    <w:rsid w:val="00B255B4"/>
    <w:rsid w:val="00B255B9"/>
    <w:rsid w:val="00B255E9"/>
    <w:rsid w:val="00B255ED"/>
    <w:rsid w:val="00B25607"/>
    <w:rsid w:val="00B25641"/>
    <w:rsid w:val="00B25659"/>
    <w:rsid w:val="00B2565D"/>
    <w:rsid w:val="00B25699"/>
    <w:rsid w:val="00B2575F"/>
    <w:rsid w:val="00B257B7"/>
    <w:rsid w:val="00B257DB"/>
    <w:rsid w:val="00B25886"/>
    <w:rsid w:val="00B258D5"/>
    <w:rsid w:val="00B25966"/>
    <w:rsid w:val="00B25972"/>
    <w:rsid w:val="00B25979"/>
    <w:rsid w:val="00B25A04"/>
    <w:rsid w:val="00B25A27"/>
    <w:rsid w:val="00B25A4E"/>
    <w:rsid w:val="00B25A66"/>
    <w:rsid w:val="00B25A6E"/>
    <w:rsid w:val="00B25B4C"/>
    <w:rsid w:val="00B25B7F"/>
    <w:rsid w:val="00B25BAA"/>
    <w:rsid w:val="00B25BC8"/>
    <w:rsid w:val="00B25BD2"/>
    <w:rsid w:val="00B25CC8"/>
    <w:rsid w:val="00B25CD2"/>
    <w:rsid w:val="00B25D14"/>
    <w:rsid w:val="00B25DF2"/>
    <w:rsid w:val="00B25E7B"/>
    <w:rsid w:val="00B25F14"/>
    <w:rsid w:val="00B25F1A"/>
    <w:rsid w:val="00B25F21"/>
    <w:rsid w:val="00B26071"/>
    <w:rsid w:val="00B26102"/>
    <w:rsid w:val="00B26114"/>
    <w:rsid w:val="00B26126"/>
    <w:rsid w:val="00B26181"/>
    <w:rsid w:val="00B261BF"/>
    <w:rsid w:val="00B261DD"/>
    <w:rsid w:val="00B261E3"/>
    <w:rsid w:val="00B261F8"/>
    <w:rsid w:val="00B26251"/>
    <w:rsid w:val="00B26269"/>
    <w:rsid w:val="00B26281"/>
    <w:rsid w:val="00B26290"/>
    <w:rsid w:val="00B262B0"/>
    <w:rsid w:val="00B263E2"/>
    <w:rsid w:val="00B264A5"/>
    <w:rsid w:val="00B264B0"/>
    <w:rsid w:val="00B264D3"/>
    <w:rsid w:val="00B264DE"/>
    <w:rsid w:val="00B26556"/>
    <w:rsid w:val="00B26583"/>
    <w:rsid w:val="00B26585"/>
    <w:rsid w:val="00B265C6"/>
    <w:rsid w:val="00B2661F"/>
    <w:rsid w:val="00B266AD"/>
    <w:rsid w:val="00B26724"/>
    <w:rsid w:val="00B26732"/>
    <w:rsid w:val="00B26747"/>
    <w:rsid w:val="00B2675D"/>
    <w:rsid w:val="00B26772"/>
    <w:rsid w:val="00B26783"/>
    <w:rsid w:val="00B26798"/>
    <w:rsid w:val="00B267B6"/>
    <w:rsid w:val="00B267E5"/>
    <w:rsid w:val="00B26858"/>
    <w:rsid w:val="00B2688A"/>
    <w:rsid w:val="00B268BB"/>
    <w:rsid w:val="00B268CF"/>
    <w:rsid w:val="00B2690C"/>
    <w:rsid w:val="00B2692C"/>
    <w:rsid w:val="00B26AAE"/>
    <w:rsid w:val="00B26AF2"/>
    <w:rsid w:val="00B26B07"/>
    <w:rsid w:val="00B26B19"/>
    <w:rsid w:val="00B26B62"/>
    <w:rsid w:val="00B26B97"/>
    <w:rsid w:val="00B26C03"/>
    <w:rsid w:val="00B26C11"/>
    <w:rsid w:val="00B26C68"/>
    <w:rsid w:val="00B26C6F"/>
    <w:rsid w:val="00B26CC0"/>
    <w:rsid w:val="00B26D43"/>
    <w:rsid w:val="00B26E00"/>
    <w:rsid w:val="00B26E32"/>
    <w:rsid w:val="00B26F72"/>
    <w:rsid w:val="00B271AF"/>
    <w:rsid w:val="00B2721A"/>
    <w:rsid w:val="00B27237"/>
    <w:rsid w:val="00B27301"/>
    <w:rsid w:val="00B2731D"/>
    <w:rsid w:val="00B27350"/>
    <w:rsid w:val="00B273C7"/>
    <w:rsid w:val="00B274BE"/>
    <w:rsid w:val="00B2751B"/>
    <w:rsid w:val="00B2757A"/>
    <w:rsid w:val="00B2758D"/>
    <w:rsid w:val="00B2766C"/>
    <w:rsid w:val="00B276AF"/>
    <w:rsid w:val="00B276DF"/>
    <w:rsid w:val="00B2773C"/>
    <w:rsid w:val="00B27778"/>
    <w:rsid w:val="00B277B9"/>
    <w:rsid w:val="00B2781A"/>
    <w:rsid w:val="00B2781C"/>
    <w:rsid w:val="00B27821"/>
    <w:rsid w:val="00B2782A"/>
    <w:rsid w:val="00B27849"/>
    <w:rsid w:val="00B27891"/>
    <w:rsid w:val="00B27922"/>
    <w:rsid w:val="00B2799C"/>
    <w:rsid w:val="00B279A2"/>
    <w:rsid w:val="00B27A1C"/>
    <w:rsid w:val="00B27AB0"/>
    <w:rsid w:val="00B27AB9"/>
    <w:rsid w:val="00B27ABC"/>
    <w:rsid w:val="00B27AE3"/>
    <w:rsid w:val="00B27B39"/>
    <w:rsid w:val="00B27B6A"/>
    <w:rsid w:val="00B27BB2"/>
    <w:rsid w:val="00B27BDD"/>
    <w:rsid w:val="00B27BE2"/>
    <w:rsid w:val="00B27C05"/>
    <w:rsid w:val="00B27C7E"/>
    <w:rsid w:val="00B27E29"/>
    <w:rsid w:val="00B27EA5"/>
    <w:rsid w:val="00B27EAA"/>
    <w:rsid w:val="00B27EBA"/>
    <w:rsid w:val="00B27ED9"/>
    <w:rsid w:val="00B27EE3"/>
    <w:rsid w:val="00B27F1D"/>
    <w:rsid w:val="00B27F57"/>
    <w:rsid w:val="00B27F65"/>
    <w:rsid w:val="00B27F95"/>
    <w:rsid w:val="00B30044"/>
    <w:rsid w:val="00B300BB"/>
    <w:rsid w:val="00B300CE"/>
    <w:rsid w:val="00B300F7"/>
    <w:rsid w:val="00B30177"/>
    <w:rsid w:val="00B30199"/>
    <w:rsid w:val="00B301B0"/>
    <w:rsid w:val="00B301C8"/>
    <w:rsid w:val="00B301F1"/>
    <w:rsid w:val="00B30237"/>
    <w:rsid w:val="00B3023B"/>
    <w:rsid w:val="00B3024A"/>
    <w:rsid w:val="00B30284"/>
    <w:rsid w:val="00B302A0"/>
    <w:rsid w:val="00B302B1"/>
    <w:rsid w:val="00B302B8"/>
    <w:rsid w:val="00B3043B"/>
    <w:rsid w:val="00B3044D"/>
    <w:rsid w:val="00B304FB"/>
    <w:rsid w:val="00B30526"/>
    <w:rsid w:val="00B3053B"/>
    <w:rsid w:val="00B3054C"/>
    <w:rsid w:val="00B305D6"/>
    <w:rsid w:val="00B30604"/>
    <w:rsid w:val="00B30639"/>
    <w:rsid w:val="00B30645"/>
    <w:rsid w:val="00B306C9"/>
    <w:rsid w:val="00B306D8"/>
    <w:rsid w:val="00B30726"/>
    <w:rsid w:val="00B30761"/>
    <w:rsid w:val="00B307A0"/>
    <w:rsid w:val="00B307C0"/>
    <w:rsid w:val="00B307C2"/>
    <w:rsid w:val="00B307D2"/>
    <w:rsid w:val="00B307D5"/>
    <w:rsid w:val="00B30845"/>
    <w:rsid w:val="00B30854"/>
    <w:rsid w:val="00B30868"/>
    <w:rsid w:val="00B3086D"/>
    <w:rsid w:val="00B30899"/>
    <w:rsid w:val="00B308B4"/>
    <w:rsid w:val="00B308B8"/>
    <w:rsid w:val="00B308F0"/>
    <w:rsid w:val="00B308F7"/>
    <w:rsid w:val="00B3090F"/>
    <w:rsid w:val="00B30928"/>
    <w:rsid w:val="00B309C6"/>
    <w:rsid w:val="00B309CD"/>
    <w:rsid w:val="00B30A36"/>
    <w:rsid w:val="00B30AFF"/>
    <w:rsid w:val="00B30B26"/>
    <w:rsid w:val="00B30B40"/>
    <w:rsid w:val="00B30B5F"/>
    <w:rsid w:val="00B30B77"/>
    <w:rsid w:val="00B30B7D"/>
    <w:rsid w:val="00B30BDE"/>
    <w:rsid w:val="00B30BF6"/>
    <w:rsid w:val="00B30CA1"/>
    <w:rsid w:val="00B30CAA"/>
    <w:rsid w:val="00B30D1E"/>
    <w:rsid w:val="00B30D22"/>
    <w:rsid w:val="00B30D73"/>
    <w:rsid w:val="00B30D92"/>
    <w:rsid w:val="00B30D9F"/>
    <w:rsid w:val="00B30E61"/>
    <w:rsid w:val="00B30EBD"/>
    <w:rsid w:val="00B30F36"/>
    <w:rsid w:val="00B30F80"/>
    <w:rsid w:val="00B30F8B"/>
    <w:rsid w:val="00B30FBB"/>
    <w:rsid w:val="00B30FBD"/>
    <w:rsid w:val="00B30FCA"/>
    <w:rsid w:val="00B31041"/>
    <w:rsid w:val="00B31045"/>
    <w:rsid w:val="00B31049"/>
    <w:rsid w:val="00B310A2"/>
    <w:rsid w:val="00B310BF"/>
    <w:rsid w:val="00B310CB"/>
    <w:rsid w:val="00B310CC"/>
    <w:rsid w:val="00B310DC"/>
    <w:rsid w:val="00B310E6"/>
    <w:rsid w:val="00B3111B"/>
    <w:rsid w:val="00B3118E"/>
    <w:rsid w:val="00B311C9"/>
    <w:rsid w:val="00B31211"/>
    <w:rsid w:val="00B3121D"/>
    <w:rsid w:val="00B3129F"/>
    <w:rsid w:val="00B312D7"/>
    <w:rsid w:val="00B31340"/>
    <w:rsid w:val="00B3134F"/>
    <w:rsid w:val="00B313A1"/>
    <w:rsid w:val="00B31432"/>
    <w:rsid w:val="00B31442"/>
    <w:rsid w:val="00B314DC"/>
    <w:rsid w:val="00B314E0"/>
    <w:rsid w:val="00B314FA"/>
    <w:rsid w:val="00B31513"/>
    <w:rsid w:val="00B31536"/>
    <w:rsid w:val="00B31583"/>
    <w:rsid w:val="00B3159B"/>
    <w:rsid w:val="00B315A3"/>
    <w:rsid w:val="00B3164D"/>
    <w:rsid w:val="00B316D4"/>
    <w:rsid w:val="00B316E7"/>
    <w:rsid w:val="00B31709"/>
    <w:rsid w:val="00B31750"/>
    <w:rsid w:val="00B31751"/>
    <w:rsid w:val="00B3180C"/>
    <w:rsid w:val="00B3192C"/>
    <w:rsid w:val="00B31970"/>
    <w:rsid w:val="00B31974"/>
    <w:rsid w:val="00B319F0"/>
    <w:rsid w:val="00B31A4B"/>
    <w:rsid w:val="00B31A5D"/>
    <w:rsid w:val="00B31AEF"/>
    <w:rsid w:val="00B31B04"/>
    <w:rsid w:val="00B31B56"/>
    <w:rsid w:val="00B31B6E"/>
    <w:rsid w:val="00B31B90"/>
    <w:rsid w:val="00B31BC6"/>
    <w:rsid w:val="00B31C24"/>
    <w:rsid w:val="00B31C4D"/>
    <w:rsid w:val="00B31D0E"/>
    <w:rsid w:val="00B31D30"/>
    <w:rsid w:val="00B31D3A"/>
    <w:rsid w:val="00B31D5D"/>
    <w:rsid w:val="00B31D82"/>
    <w:rsid w:val="00B31D97"/>
    <w:rsid w:val="00B31E0B"/>
    <w:rsid w:val="00B31E23"/>
    <w:rsid w:val="00B31E35"/>
    <w:rsid w:val="00B31E56"/>
    <w:rsid w:val="00B31E7E"/>
    <w:rsid w:val="00B31F2A"/>
    <w:rsid w:val="00B31FC3"/>
    <w:rsid w:val="00B31FEC"/>
    <w:rsid w:val="00B32032"/>
    <w:rsid w:val="00B32038"/>
    <w:rsid w:val="00B32049"/>
    <w:rsid w:val="00B32067"/>
    <w:rsid w:val="00B320BC"/>
    <w:rsid w:val="00B320C1"/>
    <w:rsid w:val="00B320FE"/>
    <w:rsid w:val="00B32125"/>
    <w:rsid w:val="00B32149"/>
    <w:rsid w:val="00B321C7"/>
    <w:rsid w:val="00B32241"/>
    <w:rsid w:val="00B3226A"/>
    <w:rsid w:val="00B322A3"/>
    <w:rsid w:val="00B322D5"/>
    <w:rsid w:val="00B32324"/>
    <w:rsid w:val="00B3235C"/>
    <w:rsid w:val="00B3239D"/>
    <w:rsid w:val="00B324A5"/>
    <w:rsid w:val="00B32519"/>
    <w:rsid w:val="00B32568"/>
    <w:rsid w:val="00B326E6"/>
    <w:rsid w:val="00B32701"/>
    <w:rsid w:val="00B3272F"/>
    <w:rsid w:val="00B32760"/>
    <w:rsid w:val="00B32769"/>
    <w:rsid w:val="00B3277E"/>
    <w:rsid w:val="00B32786"/>
    <w:rsid w:val="00B327A2"/>
    <w:rsid w:val="00B3284D"/>
    <w:rsid w:val="00B328E1"/>
    <w:rsid w:val="00B328EE"/>
    <w:rsid w:val="00B3293D"/>
    <w:rsid w:val="00B329E4"/>
    <w:rsid w:val="00B329E8"/>
    <w:rsid w:val="00B329E9"/>
    <w:rsid w:val="00B32A10"/>
    <w:rsid w:val="00B32A17"/>
    <w:rsid w:val="00B32A67"/>
    <w:rsid w:val="00B32AA6"/>
    <w:rsid w:val="00B32B14"/>
    <w:rsid w:val="00B32B17"/>
    <w:rsid w:val="00B32B24"/>
    <w:rsid w:val="00B32B27"/>
    <w:rsid w:val="00B32BC4"/>
    <w:rsid w:val="00B32BF8"/>
    <w:rsid w:val="00B32C6A"/>
    <w:rsid w:val="00B32C99"/>
    <w:rsid w:val="00B32D4B"/>
    <w:rsid w:val="00B32E00"/>
    <w:rsid w:val="00B32E1B"/>
    <w:rsid w:val="00B32E66"/>
    <w:rsid w:val="00B32ED4"/>
    <w:rsid w:val="00B32EDF"/>
    <w:rsid w:val="00B3304D"/>
    <w:rsid w:val="00B330EF"/>
    <w:rsid w:val="00B33139"/>
    <w:rsid w:val="00B3318D"/>
    <w:rsid w:val="00B331AD"/>
    <w:rsid w:val="00B33203"/>
    <w:rsid w:val="00B3324E"/>
    <w:rsid w:val="00B3325A"/>
    <w:rsid w:val="00B332E5"/>
    <w:rsid w:val="00B333FD"/>
    <w:rsid w:val="00B3354D"/>
    <w:rsid w:val="00B335D4"/>
    <w:rsid w:val="00B3361B"/>
    <w:rsid w:val="00B3362E"/>
    <w:rsid w:val="00B33637"/>
    <w:rsid w:val="00B3368D"/>
    <w:rsid w:val="00B3369C"/>
    <w:rsid w:val="00B336BE"/>
    <w:rsid w:val="00B33783"/>
    <w:rsid w:val="00B337AF"/>
    <w:rsid w:val="00B337C8"/>
    <w:rsid w:val="00B3381A"/>
    <w:rsid w:val="00B3385E"/>
    <w:rsid w:val="00B338AE"/>
    <w:rsid w:val="00B3395B"/>
    <w:rsid w:val="00B339C0"/>
    <w:rsid w:val="00B33A0C"/>
    <w:rsid w:val="00B33A24"/>
    <w:rsid w:val="00B33A27"/>
    <w:rsid w:val="00B33A34"/>
    <w:rsid w:val="00B33A40"/>
    <w:rsid w:val="00B33A5D"/>
    <w:rsid w:val="00B33A6C"/>
    <w:rsid w:val="00B33A7B"/>
    <w:rsid w:val="00B33AE8"/>
    <w:rsid w:val="00B33B0C"/>
    <w:rsid w:val="00B33B8B"/>
    <w:rsid w:val="00B33BA6"/>
    <w:rsid w:val="00B33BB1"/>
    <w:rsid w:val="00B33BC2"/>
    <w:rsid w:val="00B33BEA"/>
    <w:rsid w:val="00B33C08"/>
    <w:rsid w:val="00B33C09"/>
    <w:rsid w:val="00B33C70"/>
    <w:rsid w:val="00B33CB3"/>
    <w:rsid w:val="00B33CBB"/>
    <w:rsid w:val="00B33CE0"/>
    <w:rsid w:val="00B33D21"/>
    <w:rsid w:val="00B33D71"/>
    <w:rsid w:val="00B33D90"/>
    <w:rsid w:val="00B33DAD"/>
    <w:rsid w:val="00B33DE7"/>
    <w:rsid w:val="00B33E0E"/>
    <w:rsid w:val="00B33E6F"/>
    <w:rsid w:val="00B33E8E"/>
    <w:rsid w:val="00B33F0E"/>
    <w:rsid w:val="00B33F2B"/>
    <w:rsid w:val="00B33F3C"/>
    <w:rsid w:val="00B33F75"/>
    <w:rsid w:val="00B33F81"/>
    <w:rsid w:val="00B33F8A"/>
    <w:rsid w:val="00B3402C"/>
    <w:rsid w:val="00B34035"/>
    <w:rsid w:val="00B3404A"/>
    <w:rsid w:val="00B34088"/>
    <w:rsid w:val="00B340C9"/>
    <w:rsid w:val="00B34124"/>
    <w:rsid w:val="00B34171"/>
    <w:rsid w:val="00B341D9"/>
    <w:rsid w:val="00B34233"/>
    <w:rsid w:val="00B3427B"/>
    <w:rsid w:val="00B342CE"/>
    <w:rsid w:val="00B342F2"/>
    <w:rsid w:val="00B34346"/>
    <w:rsid w:val="00B34351"/>
    <w:rsid w:val="00B344D5"/>
    <w:rsid w:val="00B344E2"/>
    <w:rsid w:val="00B3455E"/>
    <w:rsid w:val="00B34563"/>
    <w:rsid w:val="00B345ED"/>
    <w:rsid w:val="00B345F4"/>
    <w:rsid w:val="00B34622"/>
    <w:rsid w:val="00B3471A"/>
    <w:rsid w:val="00B34765"/>
    <w:rsid w:val="00B3478A"/>
    <w:rsid w:val="00B347A8"/>
    <w:rsid w:val="00B3481C"/>
    <w:rsid w:val="00B3481D"/>
    <w:rsid w:val="00B3483B"/>
    <w:rsid w:val="00B3484B"/>
    <w:rsid w:val="00B34869"/>
    <w:rsid w:val="00B3486C"/>
    <w:rsid w:val="00B3488D"/>
    <w:rsid w:val="00B3489E"/>
    <w:rsid w:val="00B348B3"/>
    <w:rsid w:val="00B348B7"/>
    <w:rsid w:val="00B34952"/>
    <w:rsid w:val="00B34970"/>
    <w:rsid w:val="00B349DA"/>
    <w:rsid w:val="00B34A02"/>
    <w:rsid w:val="00B34B07"/>
    <w:rsid w:val="00B34B23"/>
    <w:rsid w:val="00B34B67"/>
    <w:rsid w:val="00B34BDE"/>
    <w:rsid w:val="00B34C4A"/>
    <w:rsid w:val="00B34CBB"/>
    <w:rsid w:val="00B34D10"/>
    <w:rsid w:val="00B34D16"/>
    <w:rsid w:val="00B34D41"/>
    <w:rsid w:val="00B34D85"/>
    <w:rsid w:val="00B34E4E"/>
    <w:rsid w:val="00B34E59"/>
    <w:rsid w:val="00B34E9D"/>
    <w:rsid w:val="00B34EA9"/>
    <w:rsid w:val="00B34EFA"/>
    <w:rsid w:val="00B34EFD"/>
    <w:rsid w:val="00B34F70"/>
    <w:rsid w:val="00B35061"/>
    <w:rsid w:val="00B350F7"/>
    <w:rsid w:val="00B350FA"/>
    <w:rsid w:val="00B35101"/>
    <w:rsid w:val="00B35131"/>
    <w:rsid w:val="00B3513B"/>
    <w:rsid w:val="00B35186"/>
    <w:rsid w:val="00B35196"/>
    <w:rsid w:val="00B351CD"/>
    <w:rsid w:val="00B352C3"/>
    <w:rsid w:val="00B352E9"/>
    <w:rsid w:val="00B35303"/>
    <w:rsid w:val="00B35315"/>
    <w:rsid w:val="00B3532C"/>
    <w:rsid w:val="00B35364"/>
    <w:rsid w:val="00B353BE"/>
    <w:rsid w:val="00B3542D"/>
    <w:rsid w:val="00B3545F"/>
    <w:rsid w:val="00B3549E"/>
    <w:rsid w:val="00B35503"/>
    <w:rsid w:val="00B3554E"/>
    <w:rsid w:val="00B3556C"/>
    <w:rsid w:val="00B355AD"/>
    <w:rsid w:val="00B355F3"/>
    <w:rsid w:val="00B355F5"/>
    <w:rsid w:val="00B35655"/>
    <w:rsid w:val="00B3566F"/>
    <w:rsid w:val="00B3567D"/>
    <w:rsid w:val="00B35742"/>
    <w:rsid w:val="00B35751"/>
    <w:rsid w:val="00B3577B"/>
    <w:rsid w:val="00B3579C"/>
    <w:rsid w:val="00B357B1"/>
    <w:rsid w:val="00B357F8"/>
    <w:rsid w:val="00B35806"/>
    <w:rsid w:val="00B3584F"/>
    <w:rsid w:val="00B358AA"/>
    <w:rsid w:val="00B358E9"/>
    <w:rsid w:val="00B358F7"/>
    <w:rsid w:val="00B35933"/>
    <w:rsid w:val="00B3595E"/>
    <w:rsid w:val="00B359B1"/>
    <w:rsid w:val="00B35A33"/>
    <w:rsid w:val="00B35A3A"/>
    <w:rsid w:val="00B35A99"/>
    <w:rsid w:val="00B35BC6"/>
    <w:rsid w:val="00B35BCB"/>
    <w:rsid w:val="00B35BCD"/>
    <w:rsid w:val="00B35C68"/>
    <w:rsid w:val="00B35CDB"/>
    <w:rsid w:val="00B35CE9"/>
    <w:rsid w:val="00B35D64"/>
    <w:rsid w:val="00B35E15"/>
    <w:rsid w:val="00B35E71"/>
    <w:rsid w:val="00B35E99"/>
    <w:rsid w:val="00B35F08"/>
    <w:rsid w:val="00B35F0C"/>
    <w:rsid w:val="00B35F3F"/>
    <w:rsid w:val="00B35F7E"/>
    <w:rsid w:val="00B35F8E"/>
    <w:rsid w:val="00B36055"/>
    <w:rsid w:val="00B360CB"/>
    <w:rsid w:val="00B360F4"/>
    <w:rsid w:val="00B360F6"/>
    <w:rsid w:val="00B36109"/>
    <w:rsid w:val="00B36113"/>
    <w:rsid w:val="00B36127"/>
    <w:rsid w:val="00B36144"/>
    <w:rsid w:val="00B3615A"/>
    <w:rsid w:val="00B361AB"/>
    <w:rsid w:val="00B361C0"/>
    <w:rsid w:val="00B361E5"/>
    <w:rsid w:val="00B362A2"/>
    <w:rsid w:val="00B362A3"/>
    <w:rsid w:val="00B36356"/>
    <w:rsid w:val="00B36360"/>
    <w:rsid w:val="00B363E7"/>
    <w:rsid w:val="00B36445"/>
    <w:rsid w:val="00B3646C"/>
    <w:rsid w:val="00B3655D"/>
    <w:rsid w:val="00B3656B"/>
    <w:rsid w:val="00B36584"/>
    <w:rsid w:val="00B36595"/>
    <w:rsid w:val="00B365AD"/>
    <w:rsid w:val="00B36656"/>
    <w:rsid w:val="00B366C4"/>
    <w:rsid w:val="00B36712"/>
    <w:rsid w:val="00B36725"/>
    <w:rsid w:val="00B36746"/>
    <w:rsid w:val="00B3675B"/>
    <w:rsid w:val="00B367AE"/>
    <w:rsid w:val="00B367B7"/>
    <w:rsid w:val="00B367C8"/>
    <w:rsid w:val="00B36811"/>
    <w:rsid w:val="00B36823"/>
    <w:rsid w:val="00B36832"/>
    <w:rsid w:val="00B36841"/>
    <w:rsid w:val="00B368AF"/>
    <w:rsid w:val="00B368C5"/>
    <w:rsid w:val="00B368CD"/>
    <w:rsid w:val="00B368DB"/>
    <w:rsid w:val="00B368DE"/>
    <w:rsid w:val="00B368E4"/>
    <w:rsid w:val="00B3699D"/>
    <w:rsid w:val="00B369D6"/>
    <w:rsid w:val="00B36A01"/>
    <w:rsid w:val="00B36A6B"/>
    <w:rsid w:val="00B36B38"/>
    <w:rsid w:val="00B36B3C"/>
    <w:rsid w:val="00B36BD3"/>
    <w:rsid w:val="00B36BF5"/>
    <w:rsid w:val="00B36C20"/>
    <w:rsid w:val="00B36C27"/>
    <w:rsid w:val="00B36C97"/>
    <w:rsid w:val="00B36CD4"/>
    <w:rsid w:val="00B36CE3"/>
    <w:rsid w:val="00B36CFC"/>
    <w:rsid w:val="00B36D07"/>
    <w:rsid w:val="00B36DB3"/>
    <w:rsid w:val="00B36DDB"/>
    <w:rsid w:val="00B36E5C"/>
    <w:rsid w:val="00B36F0C"/>
    <w:rsid w:val="00B36F59"/>
    <w:rsid w:val="00B36F6D"/>
    <w:rsid w:val="00B3700B"/>
    <w:rsid w:val="00B37012"/>
    <w:rsid w:val="00B3704D"/>
    <w:rsid w:val="00B37061"/>
    <w:rsid w:val="00B3712E"/>
    <w:rsid w:val="00B371C2"/>
    <w:rsid w:val="00B371DF"/>
    <w:rsid w:val="00B37206"/>
    <w:rsid w:val="00B3720B"/>
    <w:rsid w:val="00B37268"/>
    <w:rsid w:val="00B3736D"/>
    <w:rsid w:val="00B37376"/>
    <w:rsid w:val="00B37450"/>
    <w:rsid w:val="00B37491"/>
    <w:rsid w:val="00B37495"/>
    <w:rsid w:val="00B3749E"/>
    <w:rsid w:val="00B37520"/>
    <w:rsid w:val="00B3754A"/>
    <w:rsid w:val="00B37575"/>
    <w:rsid w:val="00B3757A"/>
    <w:rsid w:val="00B375A6"/>
    <w:rsid w:val="00B37611"/>
    <w:rsid w:val="00B37614"/>
    <w:rsid w:val="00B37635"/>
    <w:rsid w:val="00B376DC"/>
    <w:rsid w:val="00B37726"/>
    <w:rsid w:val="00B37731"/>
    <w:rsid w:val="00B37745"/>
    <w:rsid w:val="00B37786"/>
    <w:rsid w:val="00B37798"/>
    <w:rsid w:val="00B377EC"/>
    <w:rsid w:val="00B377F4"/>
    <w:rsid w:val="00B37814"/>
    <w:rsid w:val="00B3783C"/>
    <w:rsid w:val="00B37880"/>
    <w:rsid w:val="00B378DC"/>
    <w:rsid w:val="00B37907"/>
    <w:rsid w:val="00B3792E"/>
    <w:rsid w:val="00B37944"/>
    <w:rsid w:val="00B379AD"/>
    <w:rsid w:val="00B379C1"/>
    <w:rsid w:val="00B379E0"/>
    <w:rsid w:val="00B37A41"/>
    <w:rsid w:val="00B37A8B"/>
    <w:rsid w:val="00B37AB3"/>
    <w:rsid w:val="00B37B2D"/>
    <w:rsid w:val="00B37B5E"/>
    <w:rsid w:val="00B37B8A"/>
    <w:rsid w:val="00B37BBD"/>
    <w:rsid w:val="00B37C18"/>
    <w:rsid w:val="00B37C1D"/>
    <w:rsid w:val="00B37C23"/>
    <w:rsid w:val="00B37CF3"/>
    <w:rsid w:val="00B37D0A"/>
    <w:rsid w:val="00B37D20"/>
    <w:rsid w:val="00B37D45"/>
    <w:rsid w:val="00B37D66"/>
    <w:rsid w:val="00B37D89"/>
    <w:rsid w:val="00B37DE7"/>
    <w:rsid w:val="00B37E47"/>
    <w:rsid w:val="00B37E9E"/>
    <w:rsid w:val="00B37EE6"/>
    <w:rsid w:val="00B37F71"/>
    <w:rsid w:val="00B37FDC"/>
    <w:rsid w:val="00B37FE2"/>
    <w:rsid w:val="00B400B9"/>
    <w:rsid w:val="00B40118"/>
    <w:rsid w:val="00B40194"/>
    <w:rsid w:val="00B401D2"/>
    <w:rsid w:val="00B40206"/>
    <w:rsid w:val="00B40220"/>
    <w:rsid w:val="00B4024A"/>
    <w:rsid w:val="00B40266"/>
    <w:rsid w:val="00B4028A"/>
    <w:rsid w:val="00B40294"/>
    <w:rsid w:val="00B4029E"/>
    <w:rsid w:val="00B402AD"/>
    <w:rsid w:val="00B402CC"/>
    <w:rsid w:val="00B40308"/>
    <w:rsid w:val="00B40309"/>
    <w:rsid w:val="00B40314"/>
    <w:rsid w:val="00B40330"/>
    <w:rsid w:val="00B40351"/>
    <w:rsid w:val="00B40390"/>
    <w:rsid w:val="00B40491"/>
    <w:rsid w:val="00B404BD"/>
    <w:rsid w:val="00B40539"/>
    <w:rsid w:val="00B4053D"/>
    <w:rsid w:val="00B40581"/>
    <w:rsid w:val="00B40584"/>
    <w:rsid w:val="00B40637"/>
    <w:rsid w:val="00B4064D"/>
    <w:rsid w:val="00B40667"/>
    <w:rsid w:val="00B406DC"/>
    <w:rsid w:val="00B406DE"/>
    <w:rsid w:val="00B4070B"/>
    <w:rsid w:val="00B4073D"/>
    <w:rsid w:val="00B40750"/>
    <w:rsid w:val="00B407E1"/>
    <w:rsid w:val="00B407ED"/>
    <w:rsid w:val="00B40837"/>
    <w:rsid w:val="00B40861"/>
    <w:rsid w:val="00B40868"/>
    <w:rsid w:val="00B4086A"/>
    <w:rsid w:val="00B40875"/>
    <w:rsid w:val="00B40888"/>
    <w:rsid w:val="00B40890"/>
    <w:rsid w:val="00B408D7"/>
    <w:rsid w:val="00B40965"/>
    <w:rsid w:val="00B4099D"/>
    <w:rsid w:val="00B40A47"/>
    <w:rsid w:val="00B40A91"/>
    <w:rsid w:val="00B40AC3"/>
    <w:rsid w:val="00B40AEF"/>
    <w:rsid w:val="00B40BFE"/>
    <w:rsid w:val="00B40C6D"/>
    <w:rsid w:val="00B40C71"/>
    <w:rsid w:val="00B40C81"/>
    <w:rsid w:val="00B40CB3"/>
    <w:rsid w:val="00B40CD9"/>
    <w:rsid w:val="00B40E40"/>
    <w:rsid w:val="00B40E64"/>
    <w:rsid w:val="00B40EC3"/>
    <w:rsid w:val="00B40F0A"/>
    <w:rsid w:val="00B40F2E"/>
    <w:rsid w:val="00B40F31"/>
    <w:rsid w:val="00B40F93"/>
    <w:rsid w:val="00B40FBF"/>
    <w:rsid w:val="00B41054"/>
    <w:rsid w:val="00B41078"/>
    <w:rsid w:val="00B4109A"/>
    <w:rsid w:val="00B4109D"/>
    <w:rsid w:val="00B41152"/>
    <w:rsid w:val="00B411DF"/>
    <w:rsid w:val="00B41286"/>
    <w:rsid w:val="00B4130D"/>
    <w:rsid w:val="00B4138D"/>
    <w:rsid w:val="00B413A1"/>
    <w:rsid w:val="00B41428"/>
    <w:rsid w:val="00B4143A"/>
    <w:rsid w:val="00B41447"/>
    <w:rsid w:val="00B414CB"/>
    <w:rsid w:val="00B414E6"/>
    <w:rsid w:val="00B415BC"/>
    <w:rsid w:val="00B415C9"/>
    <w:rsid w:val="00B41615"/>
    <w:rsid w:val="00B4161F"/>
    <w:rsid w:val="00B41640"/>
    <w:rsid w:val="00B4167C"/>
    <w:rsid w:val="00B416C0"/>
    <w:rsid w:val="00B416C1"/>
    <w:rsid w:val="00B416F3"/>
    <w:rsid w:val="00B4173F"/>
    <w:rsid w:val="00B41749"/>
    <w:rsid w:val="00B4174B"/>
    <w:rsid w:val="00B41753"/>
    <w:rsid w:val="00B4177D"/>
    <w:rsid w:val="00B417EF"/>
    <w:rsid w:val="00B41834"/>
    <w:rsid w:val="00B41838"/>
    <w:rsid w:val="00B418AE"/>
    <w:rsid w:val="00B418FE"/>
    <w:rsid w:val="00B4194C"/>
    <w:rsid w:val="00B41966"/>
    <w:rsid w:val="00B41AC0"/>
    <w:rsid w:val="00B41B52"/>
    <w:rsid w:val="00B41B7E"/>
    <w:rsid w:val="00B41BF4"/>
    <w:rsid w:val="00B41BFD"/>
    <w:rsid w:val="00B41C5D"/>
    <w:rsid w:val="00B41C79"/>
    <w:rsid w:val="00B41C8C"/>
    <w:rsid w:val="00B41C9C"/>
    <w:rsid w:val="00B41D14"/>
    <w:rsid w:val="00B41D98"/>
    <w:rsid w:val="00B41DA1"/>
    <w:rsid w:val="00B41DBC"/>
    <w:rsid w:val="00B41E12"/>
    <w:rsid w:val="00B41E15"/>
    <w:rsid w:val="00B41E2F"/>
    <w:rsid w:val="00B41E71"/>
    <w:rsid w:val="00B41E78"/>
    <w:rsid w:val="00B41EB1"/>
    <w:rsid w:val="00B41EB8"/>
    <w:rsid w:val="00B41EC6"/>
    <w:rsid w:val="00B41EDC"/>
    <w:rsid w:val="00B41F0C"/>
    <w:rsid w:val="00B41F15"/>
    <w:rsid w:val="00B41F4F"/>
    <w:rsid w:val="00B41F5F"/>
    <w:rsid w:val="00B4201A"/>
    <w:rsid w:val="00B42062"/>
    <w:rsid w:val="00B4206B"/>
    <w:rsid w:val="00B420E7"/>
    <w:rsid w:val="00B42127"/>
    <w:rsid w:val="00B421F8"/>
    <w:rsid w:val="00B4227B"/>
    <w:rsid w:val="00B422B4"/>
    <w:rsid w:val="00B422EE"/>
    <w:rsid w:val="00B42331"/>
    <w:rsid w:val="00B42335"/>
    <w:rsid w:val="00B42354"/>
    <w:rsid w:val="00B42378"/>
    <w:rsid w:val="00B423A8"/>
    <w:rsid w:val="00B4254A"/>
    <w:rsid w:val="00B42563"/>
    <w:rsid w:val="00B4259C"/>
    <w:rsid w:val="00B425DA"/>
    <w:rsid w:val="00B425F7"/>
    <w:rsid w:val="00B42691"/>
    <w:rsid w:val="00B42744"/>
    <w:rsid w:val="00B42763"/>
    <w:rsid w:val="00B427B3"/>
    <w:rsid w:val="00B427C4"/>
    <w:rsid w:val="00B427F2"/>
    <w:rsid w:val="00B4281A"/>
    <w:rsid w:val="00B42857"/>
    <w:rsid w:val="00B4290B"/>
    <w:rsid w:val="00B42946"/>
    <w:rsid w:val="00B4295F"/>
    <w:rsid w:val="00B42961"/>
    <w:rsid w:val="00B4298C"/>
    <w:rsid w:val="00B429D9"/>
    <w:rsid w:val="00B429FA"/>
    <w:rsid w:val="00B42A6F"/>
    <w:rsid w:val="00B42A97"/>
    <w:rsid w:val="00B42AE7"/>
    <w:rsid w:val="00B42B2E"/>
    <w:rsid w:val="00B42B45"/>
    <w:rsid w:val="00B42BCE"/>
    <w:rsid w:val="00B42BEF"/>
    <w:rsid w:val="00B42C11"/>
    <w:rsid w:val="00B42D2A"/>
    <w:rsid w:val="00B42D45"/>
    <w:rsid w:val="00B42E23"/>
    <w:rsid w:val="00B42E48"/>
    <w:rsid w:val="00B42E7D"/>
    <w:rsid w:val="00B42FA2"/>
    <w:rsid w:val="00B42FD1"/>
    <w:rsid w:val="00B42FE7"/>
    <w:rsid w:val="00B43080"/>
    <w:rsid w:val="00B43224"/>
    <w:rsid w:val="00B432EA"/>
    <w:rsid w:val="00B43349"/>
    <w:rsid w:val="00B43373"/>
    <w:rsid w:val="00B43396"/>
    <w:rsid w:val="00B433FC"/>
    <w:rsid w:val="00B4342B"/>
    <w:rsid w:val="00B43444"/>
    <w:rsid w:val="00B4345C"/>
    <w:rsid w:val="00B43503"/>
    <w:rsid w:val="00B43560"/>
    <w:rsid w:val="00B435F1"/>
    <w:rsid w:val="00B4362C"/>
    <w:rsid w:val="00B4362F"/>
    <w:rsid w:val="00B436D3"/>
    <w:rsid w:val="00B43729"/>
    <w:rsid w:val="00B43732"/>
    <w:rsid w:val="00B43758"/>
    <w:rsid w:val="00B43766"/>
    <w:rsid w:val="00B4378F"/>
    <w:rsid w:val="00B438BE"/>
    <w:rsid w:val="00B4390B"/>
    <w:rsid w:val="00B43A01"/>
    <w:rsid w:val="00B43AD7"/>
    <w:rsid w:val="00B43AE1"/>
    <w:rsid w:val="00B43AFE"/>
    <w:rsid w:val="00B43B7A"/>
    <w:rsid w:val="00B43B9D"/>
    <w:rsid w:val="00B43BA9"/>
    <w:rsid w:val="00B43BAD"/>
    <w:rsid w:val="00B43C4F"/>
    <w:rsid w:val="00B43C66"/>
    <w:rsid w:val="00B43C8E"/>
    <w:rsid w:val="00B43D42"/>
    <w:rsid w:val="00B43DC6"/>
    <w:rsid w:val="00B43DE7"/>
    <w:rsid w:val="00B43F55"/>
    <w:rsid w:val="00B43F72"/>
    <w:rsid w:val="00B43F8B"/>
    <w:rsid w:val="00B4406C"/>
    <w:rsid w:val="00B44084"/>
    <w:rsid w:val="00B44085"/>
    <w:rsid w:val="00B4408B"/>
    <w:rsid w:val="00B440CD"/>
    <w:rsid w:val="00B440EA"/>
    <w:rsid w:val="00B4411E"/>
    <w:rsid w:val="00B4413B"/>
    <w:rsid w:val="00B44150"/>
    <w:rsid w:val="00B441AF"/>
    <w:rsid w:val="00B441B9"/>
    <w:rsid w:val="00B44249"/>
    <w:rsid w:val="00B44254"/>
    <w:rsid w:val="00B442E2"/>
    <w:rsid w:val="00B44354"/>
    <w:rsid w:val="00B4435A"/>
    <w:rsid w:val="00B44382"/>
    <w:rsid w:val="00B4439C"/>
    <w:rsid w:val="00B443DE"/>
    <w:rsid w:val="00B443ED"/>
    <w:rsid w:val="00B443FC"/>
    <w:rsid w:val="00B4440F"/>
    <w:rsid w:val="00B4444C"/>
    <w:rsid w:val="00B444A3"/>
    <w:rsid w:val="00B44526"/>
    <w:rsid w:val="00B44533"/>
    <w:rsid w:val="00B4455C"/>
    <w:rsid w:val="00B44638"/>
    <w:rsid w:val="00B44666"/>
    <w:rsid w:val="00B44678"/>
    <w:rsid w:val="00B4468C"/>
    <w:rsid w:val="00B446CC"/>
    <w:rsid w:val="00B446DF"/>
    <w:rsid w:val="00B44795"/>
    <w:rsid w:val="00B447C7"/>
    <w:rsid w:val="00B447F9"/>
    <w:rsid w:val="00B44806"/>
    <w:rsid w:val="00B4481F"/>
    <w:rsid w:val="00B4484E"/>
    <w:rsid w:val="00B44869"/>
    <w:rsid w:val="00B44957"/>
    <w:rsid w:val="00B449C0"/>
    <w:rsid w:val="00B449CE"/>
    <w:rsid w:val="00B449E3"/>
    <w:rsid w:val="00B44A1E"/>
    <w:rsid w:val="00B44A27"/>
    <w:rsid w:val="00B44A65"/>
    <w:rsid w:val="00B44A87"/>
    <w:rsid w:val="00B44AE8"/>
    <w:rsid w:val="00B44AF3"/>
    <w:rsid w:val="00B44B72"/>
    <w:rsid w:val="00B44BD4"/>
    <w:rsid w:val="00B44C91"/>
    <w:rsid w:val="00B44CFC"/>
    <w:rsid w:val="00B44CFE"/>
    <w:rsid w:val="00B44DEC"/>
    <w:rsid w:val="00B44FE4"/>
    <w:rsid w:val="00B44FF3"/>
    <w:rsid w:val="00B45020"/>
    <w:rsid w:val="00B45023"/>
    <w:rsid w:val="00B4505D"/>
    <w:rsid w:val="00B4507B"/>
    <w:rsid w:val="00B4517C"/>
    <w:rsid w:val="00B45208"/>
    <w:rsid w:val="00B45270"/>
    <w:rsid w:val="00B45290"/>
    <w:rsid w:val="00B452C3"/>
    <w:rsid w:val="00B452C6"/>
    <w:rsid w:val="00B452CE"/>
    <w:rsid w:val="00B452F3"/>
    <w:rsid w:val="00B45328"/>
    <w:rsid w:val="00B45344"/>
    <w:rsid w:val="00B45376"/>
    <w:rsid w:val="00B45379"/>
    <w:rsid w:val="00B453C4"/>
    <w:rsid w:val="00B453E5"/>
    <w:rsid w:val="00B4542B"/>
    <w:rsid w:val="00B454C3"/>
    <w:rsid w:val="00B454D8"/>
    <w:rsid w:val="00B454E7"/>
    <w:rsid w:val="00B45612"/>
    <w:rsid w:val="00B4561B"/>
    <w:rsid w:val="00B4564F"/>
    <w:rsid w:val="00B45651"/>
    <w:rsid w:val="00B456A9"/>
    <w:rsid w:val="00B45716"/>
    <w:rsid w:val="00B45776"/>
    <w:rsid w:val="00B45796"/>
    <w:rsid w:val="00B457E9"/>
    <w:rsid w:val="00B458C4"/>
    <w:rsid w:val="00B459D9"/>
    <w:rsid w:val="00B45A10"/>
    <w:rsid w:val="00B45A4E"/>
    <w:rsid w:val="00B45A5E"/>
    <w:rsid w:val="00B45A60"/>
    <w:rsid w:val="00B45A74"/>
    <w:rsid w:val="00B45A92"/>
    <w:rsid w:val="00B45ADC"/>
    <w:rsid w:val="00B45B32"/>
    <w:rsid w:val="00B45B6A"/>
    <w:rsid w:val="00B45B7D"/>
    <w:rsid w:val="00B45C24"/>
    <w:rsid w:val="00B45C57"/>
    <w:rsid w:val="00B45CA8"/>
    <w:rsid w:val="00B45DFB"/>
    <w:rsid w:val="00B45E74"/>
    <w:rsid w:val="00B45EEF"/>
    <w:rsid w:val="00B45F0F"/>
    <w:rsid w:val="00B45F4E"/>
    <w:rsid w:val="00B45F50"/>
    <w:rsid w:val="00B45F98"/>
    <w:rsid w:val="00B45FE8"/>
    <w:rsid w:val="00B45FEE"/>
    <w:rsid w:val="00B46006"/>
    <w:rsid w:val="00B460A9"/>
    <w:rsid w:val="00B460BC"/>
    <w:rsid w:val="00B460BD"/>
    <w:rsid w:val="00B460D6"/>
    <w:rsid w:val="00B460E5"/>
    <w:rsid w:val="00B46186"/>
    <w:rsid w:val="00B461D4"/>
    <w:rsid w:val="00B461ED"/>
    <w:rsid w:val="00B462F8"/>
    <w:rsid w:val="00B4634A"/>
    <w:rsid w:val="00B46485"/>
    <w:rsid w:val="00B46498"/>
    <w:rsid w:val="00B464BC"/>
    <w:rsid w:val="00B464F4"/>
    <w:rsid w:val="00B46504"/>
    <w:rsid w:val="00B465D1"/>
    <w:rsid w:val="00B46682"/>
    <w:rsid w:val="00B4669C"/>
    <w:rsid w:val="00B46811"/>
    <w:rsid w:val="00B46824"/>
    <w:rsid w:val="00B4683E"/>
    <w:rsid w:val="00B46875"/>
    <w:rsid w:val="00B46886"/>
    <w:rsid w:val="00B4695F"/>
    <w:rsid w:val="00B469E3"/>
    <w:rsid w:val="00B46A68"/>
    <w:rsid w:val="00B46BA8"/>
    <w:rsid w:val="00B46BBA"/>
    <w:rsid w:val="00B46BD5"/>
    <w:rsid w:val="00B46C47"/>
    <w:rsid w:val="00B46C6F"/>
    <w:rsid w:val="00B46C91"/>
    <w:rsid w:val="00B46CB4"/>
    <w:rsid w:val="00B46D15"/>
    <w:rsid w:val="00B46D5A"/>
    <w:rsid w:val="00B46DCF"/>
    <w:rsid w:val="00B46E3B"/>
    <w:rsid w:val="00B46E3F"/>
    <w:rsid w:val="00B46EE7"/>
    <w:rsid w:val="00B46EF3"/>
    <w:rsid w:val="00B46F07"/>
    <w:rsid w:val="00B47024"/>
    <w:rsid w:val="00B4704C"/>
    <w:rsid w:val="00B4706F"/>
    <w:rsid w:val="00B470D3"/>
    <w:rsid w:val="00B470EC"/>
    <w:rsid w:val="00B47182"/>
    <w:rsid w:val="00B47189"/>
    <w:rsid w:val="00B4719D"/>
    <w:rsid w:val="00B471CE"/>
    <w:rsid w:val="00B471E0"/>
    <w:rsid w:val="00B471F3"/>
    <w:rsid w:val="00B47239"/>
    <w:rsid w:val="00B47251"/>
    <w:rsid w:val="00B47277"/>
    <w:rsid w:val="00B472C6"/>
    <w:rsid w:val="00B4733C"/>
    <w:rsid w:val="00B473A4"/>
    <w:rsid w:val="00B473D7"/>
    <w:rsid w:val="00B4742F"/>
    <w:rsid w:val="00B4743C"/>
    <w:rsid w:val="00B4746B"/>
    <w:rsid w:val="00B474F7"/>
    <w:rsid w:val="00B47582"/>
    <w:rsid w:val="00B4759C"/>
    <w:rsid w:val="00B47628"/>
    <w:rsid w:val="00B4769D"/>
    <w:rsid w:val="00B476D0"/>
    <w:rsid w:val="00B476EC"/>
    <w:rsid w:val="00B4770B"/>
    <w:rsid w:val="00B47779"/>
    <w:rsid w:val="00B47811"/>
    <w:rsid w:val="00B478A4"/>
    <w:rsid w:val="00B478D6"/>
    <w:rsid w:val="00B478F5"/>
    <w:rsid w:val="00B47914"/>
    <w:rsid w:val="00B47936"/>
    <w:rsid w:val="00B47962"/>
    <w:rsid w:val="00B47AC0"/>
    <w:rsid w:val="00B47B16"/>
    <w:rsid w:val="00B47B3D"/>
    <w:rsid w:val="00B47B89"/>
    <w:rsid w:val="00B47B8E"/>
    <w:rsid w:val="00B47BA1"/>
    <w:rsid w:val="00B47BD6"/>
    <w:rsid w:val="00B47BE5"/>
    <w:rsid w:val="00B47BF6"/>
    <w:rsid w:val="00B47C87"/>
    <w:rsid w:val="00B47CAE"/>
    <w:rsid w:val="00B47CB3"/>
    <w:rsid w:val="00B47D0B"/>
    <w:rsid w:val="00B47D3D"/>
    <w:rsid w:val="00B47D47"/>
    <w:rsid w:val="00B47DDD"/>
    <w:rsid w:val="00B47E60"/>
    <w:rsid w:val="00B47E6A"/>
    <w:rsid w:val="00B47F06"/>
    <w:rsid w:val="00B47F21"/>
    <w:rsid w:val="00B47FB2"/>
    <w:rsid w:val="00B47FBE"/>
    <w:rsid w:val="00B500DA"/>
    <w:rsid w:val="00B50102"/>
    <w:rsid w:val="00B5010C"/>
    <w:rsid w:val="00B50139"/>
    <w:rsid w:val="00B5015B"/>
    <w:rsid w:val="00B5018A"/>
    <w:rsid w:val="00B501BC"/>
    <w:rsid w:val="00B501C7"/>
    <w:rsid w:val="00B501D4"/>
    <w:rsid w:val="00B50211"/>
    <w:rsid w:val="00B502A0"/>
    <w:rsid w:val="00B50325"/>
    <w:rsid w:val="00B50327"/>
    <w:rsid w:val="00B503E0"/>
    <w:rsid w:val="00B5043C"/>
    <w:rsid w:val="00B5046E"/>
    <w:rsid w:val="00B504B3"/>
    <w:rsid w:val="00B504D5"/>
    <w:rsid w:val="00B50500"/>
    <w:rsid w:val="00B50540"/>
    <w:rsid w:val="00B505B8"/>
    <w:rsid w:val="00B505C9"/>
    <w:rsid w:val="00B50646"/>
    <w:rsid w:val="00B5064A"/>
    <w:rsid w:val="00B50682"/>
    <w:rsid w:val="00B50685"/>
    <w:rsid w:val="00B506DD"/>
    <w:rsid w:val="00B50794"/>
    <w:rsid w:val="00B507AE"/>
    <w:rsid w:val="00B50808"/>
    <w:rsid w:val="00B50814"/>
    <w:rsid w:val="00B50920"/>
    <w:rsid w:val="00B509A7"/>
    <w:rsid w:val="00B509E7"/>
    <w:rsid w:val="00B509EB"/>
    <w:rsid w:val="00B50AB6"/>
    <w:rsid w:val="00B50AE7"/>
    <w:rsid w:val="00B50C5D"/>
    <w:rsid w:val="00B50C6D"/>
    <w:rsid w:val="00B50D01"/>
    <w:rsid w:val="00B50E04"/>
    <w:rsid w:val="00B50E3C"/>
    <w:rsid w:val="00B50E78"/>
    <w:rsid w:val="00B50EB1"/>
    <w:rsid w:val="00B50EBE"/>
    <w:rsid w:val="00B50F37"/>
    <w:rsid w:val="00B50F49"/>
    <w:rsid w:val="00B51010"/>
    <w:rsid w:val="00B5101C"/>
    <w:rsid w:val="00B5102E"/>
    <w:rsid w:val="00B51095"/>
    <w:rsid w:val="00B51108"/>
    <w:rsid w:val="00B5111F"/>
    <w:rsid w:val="00B51139"/>
    <w:rsid w:val="00B5126C"/>
    <w:rsid w:val="00B51285"/>
    <w:rsid w:val="00B512C9"/>
    <w:rsid w:val="00B512E9"/>
    <w:rsid w:val="00B5134C"/>
    <w:rsid w:val="00B51361"/>
    <w:rsid w:val="00B5137B"/>
    <w:rsid w:val="00B51385"/>
    <w:rsid w:val="00B5139D"/>
    <w:rsid w:val="00B513D8"/>
    <w:rsid w:val="00B5150F"/>
    <w:rsid w:val="00B5155E"/>
    <w:rsid w:val="00B515AB"/>
    <w:rsid w:val="00B515DA"/>
    <w:rsid w:val="00B51622"/>
    <w:rsid w:val="00B5165E"/>
    <w:rsid w:val="00B516E7"/>
    <w:rsid w:val="00B516EB"/>
    <w:rsid w:val="00B516F4"/>
    <w:rsid w:val="00B51754"/>
    <w:rsid w:val="00B517C9"/>
    <w:rsid w:val="00B5189B"/>
    <w:rsid w:val="00B518CE"/>
    <w:rsid w:val="00B519AD"/>
    <w:rsid w:val="00B51A15"/>
    <w:rsid w:val="00B51AA5"/>
    <w:rsid w:val="00B51B44"/>
    <w:rsid w:val="00B51B56"/>
    <w:rsid w:val="00B51B99"/>
    <w:rsid w:val="00B51B9B"/>
    <w:rsid w:val="00B51C56"/>
    <w:rsid w:val="00B51CDB"/>
    <w:rsid w:val="00B51D7B"/>
    <w:rsid w:val="00B51E3B"/>
    <w:rsid w:val="00B51E58"/>
    <w:rsid w:val="00B51E62"/>
    <w:rsid w:val="00B51E91"/>
    <w:rsid w:val="00B51ECB"/>
    <w:rsid w:val="00B51F14"/>
    <w:rsid w:val="00B51F48"/>
    <w:rsid w:val="00B51FC0"/>
    <w:rsid w:val="00B5204A"/>
    <w:rsid w:val="00B5205C"/>
    <w:rsid w:val="00B52081"/>
    <w:rsid w:val="00B520F4"/>
    <w:rsid w:val="00B5212E"/>
    <w:rsid w:val="00B52166"/>
    <w:rsid w:val="00B52237"/>
    <w:rsid w:val="00B52273"/>
    <w:rsid w:val="00B52288"/>
    <w:rsid w:val="00B52305"/>
    <w:rsid w:val="00B52354"/>
    <w:rsid w:val="00B523D2"/>
    <w:rsid w:val="00B523ED"/>
    <w:rsid w:val="00B52421"/>
    <w:rsid w:val="00B524A1"/>
    <w:rsid w:val="00B524C8"/>
    <w:rsid w:val="00B524E2"/>
    <w:rsid w:val="00B52511"/>
    <w:rsid w:val="00B5257B"/>
    <w:rsid w:val="00B525AC"/>
    <w:rsid w:val="00B525CD"/>
    <w:rsid w:val="00B525F7"/>
    <w:rsid w:val="00B52684"/>
    <w:rsid w:val="00B52688"/>
    <w:rsid w:val="00B526BE"/>
    <w:rsid w:val="00B526DB"/>
    <w:rsid w:val="00B52745"/>
    <w:rsid w:val="00B5276C"/>
    <w:rsid w:val="00B5277A"/>
    <w:rsid w:val="00B5278E"/>
    <w:rsid w:val="00B527BA"/>
    <w:rsid w:val="00B52825"/>
    <w:rsid w:val="00B52839"/>
    <w:rsid w:val="00B52892"/>
    <w:rsid w:val="00B528E8"/>
    <w:rsid w:val="00B52978"/>
    <w:rsid w:val="00B52A24"/>
    <w:rsid w:val="00B52A41"/>
    <w:rsid w:val="00B52A83"/>
    <w:rsid w:val="00B52AA3"/>
    <w:rsid w:val="00B52ABB"/>
    <w:rsid w:val="00B52B16"/>
    <w:rsid w:val="00B52B3D"/>
    <w:rsid w:val="00B52B86"/>
    <w:rsid w:val="00B52BB0"/>
    <w:rsid w:val="00B52BD5"/>
    <w:rsid w:val="00B52C00"/>
    <w:rsid w:val="00B52C02"/>
    <w:rsid w:val="00B52C22"/>
    <w:rsid w:val="00B52C34"/>
    <w:rsid w:val="00B52C6E"/>
    <w:rsid w:val="00B52D00"/>
    <w:rsid w:val="00B52D4A"/>
    <w:rsid w:val="00B52DB8"/>
    <w:rsid w:val="00B52E42"/>
    <w:rsid w:val="00B52E5C"/>
    <w:rsid w:val="00B52E91"/>
    <w:rsid w:val="00B52EDF"/>
    <w:rsid w:val="00B52EF1"/>
    <w:rsid w:val="00B52EF7"/>
    <w:rsid w:val="00B52F06"/>
    <w:rsid w:val="00B52F36"/>
    <w:rsid w:val="00B52F67"/>
    <w:rsid w:val="00B52F6C"/>
    <w:rsid w:val="00B52FB5"/>
    <w:rsid w:val="00B52FDC"/>
    <w:rsid w:val="00B53048"/>
    <w:rsid w:val="00B53071"/>
    <w:rsid w:val="00B530A0"/>
    <w:rsid w:val="00B530A4"/>
    <w:rsid w:val="00B530D3"/>
    <w:rsid w:val="00B530E8"/>
    <w:rsid w:val="00B5315E"/>
    <w:rsid w:val="00B531F9"/>
    <w:rsid w:val="00B5322A"/>
    <w:rsid w:val="00B5323A"/>
    <w:rsid w:val="00B5327F"/>
    <w:rsid w:val="00B532F8"/>
    <w:rsid w:val="00B533A1"/>
    <w:rsid w:val="00B533B4"/>
    <w:rsid w:val="00B533BB"/>
    <w:rsid w:val="00B533DF"/>
    <w:rsid w:val="00B533F3"/>
    <w:rsid w:val="00B5342C"/>
    <w:rsid w:val="00B53479"/>
    <w:rsid w:val="00B534EF"/>
    <w:rsid w:val="00B534FC"/>
    <w:rsid w:val="00B5356E"/>
    <w:rsid w:val="00B535AD"/>
    <w:rsid w:val="00B53619"/>
    <w:rsid w:val="00B53665"/>
    <w:rsid w:val="00B53682"/>
    <w:rsid w:val="00B536A1"/>
    <w:rsid w:val="00B53779"/>
    <w:rsid w:val="00B53802"/>
    <w:rsid w:val="00B53807"/>
    <w:rsid w:val="00B53845"/>
    <w:rsid w:val="00B5385B"/>
    <w:rsid w:val="00B538F0"/>
    <w:rsid w:val="00B5390B"/>
    <w:rsid w:val="00B53925"/>
    <w:rsid w:val="00B539DF"/>
    <w:rsid w:val="00B53A2B"/>
    <w:rsid w:val="00B53A82"/>
    <w:rsid w:val="00B53AF8"/>
    <w:rsid w:val="00B53B5E"/>
    <w:rsid w:val="00B53B8A"/>
    <w:rsid w:val="00B53C08"/>
    <w:rsid w:val="00B53C9E"/>
    <w:rsid w:val="00B53CBD"/>
    <w:rsid w:val="00B53CBF"/>
    <w:rsid w:val="00B53CFE"/>
    <w:rsid w:val="00B53D0A"/>
    <w:rsid w:val="00B53D27"/>
    <w:rsid w:val="00B53D86"/>
    <w:rsid w:val="00B53DE8"/>
    <w:rsid w:val="00B53EBA"/>
    <w:rsid w:val="00B53ECF"/>
    <w:rsid w:val="00B53F20"/>
    <w:rsid w:val="00B53F2C"/>
    <w:rsid w:val="00B53F4B"/>
    <w:rsid w:val="00B53F4E"/>
    <w:rsid w:val="00B53F62"/>
    <w:rsid w:val="00B54175"/>
    <w:rsid w:val="00B5417F"/>
    <w:rsid w:val="00B541F5"/>
    <w:rsid w:val="00B54269"/>
    <w:rsid w:val="00B5426C"/>
    <w:rsid w:val="00B542C9"/>
    <w:rsid w:val="00B5435F"/>
    <w:rsid w:val="00B54406"/>
    <w:rsid w:val="00B5444B"/>
    <w:rsid w:val="00B5445C"/>
    <w:rsid w:val="00B54478"/>
    <w:rsid w:val="00B544BB"/>
    <w:rsid w:val="00B544BF"/>
    <w:rsid w:val="00B5450A"/>
    <w:rsid w:val="00B5454E"/>
    <w:rsid w:val="00B54563"/>
    <w:rsid w:val="00B545E2"/>
    <w:rsid w:val="00B545F8"/>
    <w:rsid w:val="00B54647"/>
    <w:rsid w:val="00B54654"/>
    <w:rsid w:val="00B54686"/>
    <w:rsid w:val="00B546DB"/>
    <w:rsid w:val="00B5471E"/>
    <w:rsid w:val="00B5473F"/>
    <w:rsid w:val="00B547A5"/>
    <w:rsid w:val="00B547A9"/>
    <w:rsid w:val="00B547E0"/>
    <w:rsid w:val="00B54802"/>
    <w:rsid w:val="00B54865"/>
    <w:rsid w:val="00B548AD"/>
    <w:rsid w:val="00B548D4"/>
    <w:rsid w:val="00B54933"/>
    <w:rsid w:val="00B54946"/>
    <w:rsid w:val="00B54988"/>
    <w:rsid w:val="00B549B6"/>
    <w:rsid w:val="00B54A11"/>
    <w:rsid w:val="00B54A3A"/>
    <w:rsid w:val="00B54AF0"/>
    <w:rsid w:val="00B54B2B"/>
    <w:rsid w:val="00B54B41"/>
    <w:rsid w:val="00B54C1D"/>
    <w:rsid w:val="00B54C26"/>
    <w:rsid w:val="00B54C7F"/>
    <w:rsid w:val="00B54CB7"/>
    <w:rsid w:val="00B54D7A"/>
    <w:rsid w:val="00B54D84"/>
    <w:rsid w:val="00B54DBE"/>
    <w:rsid w:val="00B54EDA"/>
    <w:rsid w:val="00B54F02"/>
    <w:rsid w:val="00B54F82"/>
    <w:rsid w:val="00B5501D"/>
    <w:rsid w:val="00B55063"/>
    <w:rsid w:val="00B5506C"/>
    <w:rsid w:val="00B550A5"/>
    <w:rsid w:val="00B550E6"/>
    <w:rsid w:val="00B550E7"/>
    <w:rsid w:val="00B550FA"/>
    <w:rsid w:val="00B550FB"/>
    <w:rsid w:val="00B55188"/>
    <w:rsid w:val="00B551B2"/>
    <w:rsid w:val="00B551FF"/>
    <w:rsid w:val="00B55283"/>
    <w:rsid w:val="00B55367"/>
    <w:rsid w:val="00B553E8"/>
    <w:rsid w:val="00B55438"/>
    <w:rsid w:val="00B55540"/>
    <w:rsid w:val="00B55543"/>
    <w:rsid w:val="00B55583"/>
    <w:rsid w:val="00B55587"/>
    <w:rsid w:val="00B555A2"/>
    <w:rsid w:val="00B555C2"/>
    <w:rsid w:val="00B555D3"/>
    <w:rsid w:val="00B5560D"/>
    <w:rsid w:val="00B55621"/>
    <w:rsid w:val="00B55641"/>
    <w:rsid w:val="00B5564E"/>
    <w:rsid w:val="00B556A5"/>
    <w:rsid w:val="00B556F3"/>
    <w:rsid w:val="00B55742"/>
    <w:rsid w:val="00B5575C"/>
    <w:rsid w:val="00B5576B"/>
    <w:rsid w:val="00B557A0"/>
    <w:rsid w:val="00B557B1"/>
    <w:rsid w:val="00B557F5"/>
    <w:rsid w:val="00B55842"/>
    <w:rsid w:val="00B55858"/>
    <w:rsid w:val="00B5589C"/>
    <w:rsid w:val="00B5590F"/>
    <w:rsid w:val="00B559CD"/>
    <w:rsid w:val="00B559F2"/>
    <w:rsid w:val="00B55A5E"/>
    <w:rsid w:val="00B55A95"/>
    <w:rsid w:val="00B55AB3"/>
    <w:rsid w:val="00B55AC4"/>
    <w:rsid w:val="00B55B02"/>
    <w:rsid w:val="00B55B59"/>
    <w:rsid w:val="00B55B92"/>
    <w:rsid w:val="00B55C43"/>
    <w:rsid w:val="00B55CEA"/>
    <w:rsid w:val="00B55D20"/>
    <w:rsid w:val="00B55D29"/>
    <w:rsid w:val="00B55D4B"/>
    <w:rsid w:val="00B55D83"/>
    <w:rsid w:val="00B55DEB"/>
    <w:rsid w:val="00B55DED"/>
    <w:rsid w:val="00B55E19"/>
    <w:rsid w:val="00B55E5A"/>
    <w:rsid w:val="00B55E74"/>
    <w:rsid w:val="00B55E76"/>
    <w:rsid w:val="00B55EDC"/>
    <w:rsid w:val="00B55EF9"/>
    <w:rsid w:val="00B55F53"/>
    <w:rsid w:val="00B55FBF"/>
    <w:rsid w:val="00B560EB"/>
    <w:rsid w:val="00B56149"/>
    <w:rsid w:val="00B56167"/>
    <w:rsid w:val="00B5625E"/>
    <w:rsid w:val="00B56264"/>
    <w:rsid w:val="00B5629C"/>
    <w:rsid w:val="00B562D9"/>
    <w:rsid w:val="00B56353"/>
    <w:rsid w:val="00B563CF"/>
    <w:rsid w:val="00B56488"/>
    <w:rsid w:val="00B564E2"/>
    <w:rsid w:val="00B56557"/>
    <w:rsid w:val="00B565D5"/>
    <w:rsid w:val="00B56604"/>
    <w:rsid w:val="00B56650"/>
    <w:rsid w:val="00B56665"/>
    <w:rsid w:val="00B56678"/>
    <w:rsid w:val="00B5676C"/>
    <w:rsid w:val="00B56778"/>
    <w:rsid w:val="00B567A8"/>
    <w:rsid w:val="00B567B5"/>
    <w:rsid w:val="00B567EF"/>
    <w:rsid w:val="00B5681E"/>
    <w:rsid w:val="00B5685E"/>
    <w:rsid w:val="00B56871"/>
    <w:rsid w:val="00B568B0"/>
    <w:rsid w:val="00B568BA"/>
    <w:rsid w:val="00B568CC"/>
    <w:rsid w:val="00B568D8"/>
    <w:rsid w:val="00B568F8"/>
    <w:rsid w:val="00B56953"/>
    <w:rsid w:val="00B569A2"/>
    <w:rsid w:val="00B569FD"/>
    <w:rsid w:val="00B56A11"/>
    <w:rsid w:val="00B56A15"/>
    <w:rsid w:val="00B56A4D"/>
    <w:rsid w:val="00B56B03"/>
    <w:rsid w:val="00B56B97"/>
    <w:rsid w:val="00B56BC8"/>
    <w:rsid w:val="00B56C15"/>
    <w:rsid w:val="00B56C64"/>
    <w:rsid w:val="00B56CE8"/>
    <w:rsid w:val="00B56CF6"/>
    <w:rsid w:val="00B56D10"/>
    <w:rsid w:val="00B56D8A"/>
    <w:rsid w:val="00B56E10"/>
    <w:rsid w:val="00B56E4E"/>
    <w:rsid w:val="00B56E6D"/>
    <w:rsid w:val="00B56E84"/>
    <w:rsid w:val="00B56F69"/>
    <w:rsid w:val="00B56F86"/>
    <w:rsid w:val="00B56FD9"/>
    <w:rsid w:val="00B56FEA"/>
    <w:rsid w:val="00B5709B"/>
    <w:rsid w:val="00B570C2"/>
    <w:rsid w:val="00B57132"/>
    <w:rsid w:val="00B57149"/>
    <w:rsid w:val="00B57230"/>
    <w:rsid w:val="00B57264"/>
    <w:rsid w:val="00B572B1"/>
    <w:rsid w:val="00B57320"/>
    <w:rsid w:val="00B5733F"/>
    <w:rsid w:val="00B57356"/>
    <w:rsid w:val="00B57399"/>
    <w:rsid w:val="00B57413"/>
    <w:rsid w:val="00B57551"/>
    <w:rsid w:val="00B575AA"/>
    <w:rsid w:val="00B57629"/>
    <w:rsid w:val="00B57653"/>
    <w:rsid w:val="00B57664"/>
    <w:rsid w:val="00B57666"/>
    <w:rsid w:val="00B576CC"/>
    <w:rsid w:val="00B577AC"/>
    <w:rsid w:val="00B577E5"/>
    <w:rsid w:val="00B577F9"/>
    <w:rsid w:val="00B5783F"/>
    <w:rsid w:val="00B578B4"/>
    <w:rsid w:val="00B578F0"/>
    <w:rsid w:val="00B578FB"/>
    <w:rsid w:val="00B5794E"/>
    <w:rsid w:val="00B57993"/>
    <w:rsid w:val="00B579DE"/>
    <w:rsid w:val="00B57A31"/>
    <w:rsid w:val="00B57A63"/>
    <w:rsid w:val="00B57A71"/>
    <w:rsid w:val="00B57A94"/>
    <w:rsid w:val="00B57B7D"/>
    <w:rsid w:val="00B57B98"/>
    <w:rsid w:val="00B57C20"/>
    <w:rsid w:val="00B57C7D"/>
    <w:rsid w:val="00B57D3D"/>
    <w:rsid w:val="00B57E74"/>
    <w:rsid w:val="00B57E94"/>
    <w:rsid w:val="00B57EB4"/>
    <w:rsid w:val="00B57EBA"/>
    <w:rsid w:val="00B57EFF"/>
    <w:rsid w:val="00B57F4A"/>
    <w:rsid w:val="00B57F92"/>
    <w:rsid w:val="00B57F98"/>
    <w:rsid w:val="00B57FEB"/>
    <w:rsid w:val="00B57FEF"/>
    <w:rsid w:val="00B6000F"/>
    <w:rsid w:val="00B60017"/>
    <w:rsid w:val="00B60057"/>
    <w:rsid w:val="00B600D8"/>
    <w:rsid w:val="00B601F1"/>
    <w:rsid w:val="00B6023F"/>
    <w:rsid w:val="00B6026A"/>
    <w:rsid w:val="00B60344"/>
    <w:rsid w:val="00B603B9"/>
    <w:rsid w:val="00B6044A"/>
    <w:rsid w:val="00B604FF"/>
    <w:rsid w:val="00B6054A"/>
    <w:rsid w:val="00B605FB"/>
    <w:rsid w:val="00B60642"/>
    <w:rsid w:val="00B6069C"/>
    <w:rsid w:val="00B606C4"/>
    <w:rsid w:val="00B6070F"/>
    <w:rsid w:val="00B6073D"/>
    <w:rsid w:val="00B60757"/>
    <w:rsid w:val="00B607C4"/>
    <w:rsid w:val="00B607D7"/>
    <w:rsid w:val="00B607EA"/>
    <w:rsid w:val="00B607F6"/>
    <w:rsid w:val="00B607F7"/>
    <w:rsid w:val="00B60866"/>
    <w:rsid w:val="00B60930"/>
    <w:rsid w:val="00B60984"/>
    <w:rsid w:val="00B609B0"/>
    <w:rsid w:val="00B60A3D"/>
    <w:rsid w:val="00B60A74"/>
    <w:rsid w:val="00B60A94"/>
    <w:rsid w:val="00B60AC1"/>
    <w:rsid w:val="00B60ACF"/>
    <w:rsid w:val="00B60AD0"/>
    <w:rsid w:val="00B60AF0"/>
    <w:rsid w:val="00B60B31"/>
    <w:rsid w:val="00B60BB0"/>
    <w:rsid w:val="00B60CB3"/>
    <w:rsid w:val="00B60CB5"/>
    <w:rsid w:val="00B60CE2"/>
    <w:rsid w:val="00B60CE8"/>
    <w:rsid w:val="00B60D8B"/>
    <w:rsid w:val="00B60DB1"/>
    <w:rsid w:val="00B60E0A"/>
    <w:rsid w:val="00B60E0E"/>
    <w:rsid w:val="00B60E5A"/>
    <w:rsid w:val="00B60EB0"/>
    <w:rsid w:val="00B60F4D"/>
    <w:rsid w:val="00B60F98"/>
    <w:rsid w:val="00B60FB6"/>
    <w:rsid w:val="00B60FEA"/>
    <w:rsid w:val="00B61007"/>
    <w:rsid w:val="00B61011"/>
    <w:rsid w:val="00B61051"/>
    <w:rsid w:val="00B61073"/>
    <w:rsid w:val="00B610F4"/>
    <w:rsid w:val="00B61153"/>
    <w:rsid w:val="00B61164"/>
    <w:rsid w:val="00B61172"/>
    <w:rsid w:val="00B611DE"/>
    <w:rsid w:val="00B612DD"/>
    <w:rsid w:val="00B612F6"/>
    <w:rsid w:val="00B612FD"/>
    <w:rsid w:val="00B6130D"/>
    <w:rsid w:val="00B61327"/>
    <w:rsid w:val="00B61341"/>
    <w:rsid w:val="00B6135C"/>
    <w:rsid w:val="00B613CA"/>
    <w:rsid w:val="00B61482"/>
    <w:rsid w:val="00B61579"/>
    <w:rsid w:val="00B61584"/>
    <w:rsid w:val="00B615FF"/>
    <w:rsid w:val="00B6161B"/>
    <w:rsid w:val="00B61674"/>
    <w:rsid w:val="00B616C0"/>
    <w:rsid w:val="00B616CE"/>
    <w:rsid w:val="00B61718"/>
    <w:rsid w:val="00B61726"/>
    <w:rsid w:val="00B61767"/>
    <w:rsid w:val="00B617E0"/>
    <w:rsid w:val="00B61803"/>
    <w:rsid w:val="00B6187A"/>
    <w:rsid w:val="00B61888"/>
    <w:rsid w:val="00B618C9"/>
    <w:rsid w:val="00B618D2"/>
    <w:rsid w:val="00B618FA"/>
    <w:rsid w:val="00B6196F"/>
    <w:rsid w:val="00B61974"/>
    <w:rsid w:val="00B61980"/>
    <w:rsid w:val="00B619EB"/>
    <w:rsid w:val="00B61A0A"/>
    <w:rsid w:val="00B61A4C"/>
    <w:rsid w:val="00B61B31"/>
    <w:rsid w:val="00B61B51"/>
    <w:rsid w:val="00B61B5A"/>
    <w:rsid w:val="00B61B9E"/>
    <w:rsid w:val="00B61BA3"/>
    <w:rsid w:val="00B61BCA"/>
    <w:rsid w:val="00B61BD6"/>
    <w:rsid w:val="00B61BEB"/>
    <w:rsid w:val="00B61C12"/>
    <w:rsid w:val="00B61C7E"/>
    <w:rsid w:val="00B61C87"/>
    <w:rsid w:val="00B61C92"/>
    <w:rsid w:val="00B61CA7"/>
    <w:rsid w:val="00B61CBE"/>
    <w:rsid w:val="00B61CEB"/>
    <w:rsid w:val="00B61D13"/>
    <w:rsid w:val="00B61D57"/>
    <w:rsid w:val="00B61DD8"/>
    <w:rsid w:val="00B61DFA"/>
    <w:rsid w:val="00B61E0C"/>
    <w:rsid w:val="00B61E51"/>
    <w:rsid w:val="00B61E8A"/>
    <w:rsid w:val="00B61E96"/>
    <w:rsid w:val="00B61E9B"/>
    <w:rsid w:val="00B61EF1"/>
    <w:rsid w:val="00B61F14"/>
    <w:rsid w:val="00B61F2E"/>
    <w:rsid w:val="00B61FB7"/>
    <w:rsid w:val="00B62069"/>
    <w:rsid w:val="00B62093"/>
    <w:rsid w:val="00B620E0"/>
    <w:rsid w:val="00B62159"/>
    <w:rsid w:val="00B62181"/>
    <w:rsid w:val="00B621CA"/>
    <w:rsid w:val="00B622D1"/>
    <w:rsid w:val="00B622D3"/>
    <w:rsid w:val="00B6233E"/>
    <w:rsid w:val="00B6242A"/>
    <w:rsid w:val="00B62496"/>
    <w:rsid w:val="00B624A8"/>
    <w:rsid w:val="00B624B4"/>
    <w:rsid w:val="00B624BB"/>
    <w:rsid w:val="00B62515"/>
    <w:rsid w:val="00B62589"/>
    <w:rsid w:val="00B625CE"/>
    <w:rsid w:val="00B625E6"/>
    <w:rsid w:val="00B62605"/>
    <w:rsid w:val="00B62622"/>
    <w:rsid w:val="00B62626"/>
    <w:rsid w:val="00B62638"/>
    <w:rsid w:val="00B62665"/>
    <w:rsid w:val="00B626C9"/>
    <w:rsid w:val="00B62768"/>
    <w:rsid w:val="00B62795"/>
    <w:rsid w:val="00B62801"/>
    <w:rsid w:val="00B62815"/>
    <w:rsid w:val="00B62854"/>
    <w:rsid w:val="00B62973"/>
    <w:rsid w:val="00B62975"/>
    <w:rsid w:val="00B6297F"/>
    <w:rsid w:val="00B629EE"/>
    <w:rsid w:val="00B62A15"/>
    <w:rsid w:val="00B62A53"/>
    <w:rsid w:val="00B62AAA"/>
    <w:rsid w:val="00B62AC1"/>
    <w:rsid w:val="00B62B43"/>
    <w:rsid w:val="00B62B67"/>
    <w:rsid w:val="00B62BED"/>
    <w:rsid w:val="00B62C2A"/>
    <w:rsid w:val="00B62C6B"/>
    <w:rsid w:val="00B62C8B"/>
    <w:rsid w:val="00B62D3B"/>
    <w:rsid w:val="00B62D6D"/>
    <w:rsid w:val="00B62DC3"/>
    <w:rsid w:val="00B62DF4"/>
    <w:rsid w:val="00B62E62"/>
    <w:rsid w:val="00B62EEB"/>
    <w:rsid w:val="00B62EED"/>
    <w:rsid w:val="00B62F16"/>
    <w:rsid w:val="00B62F52"/>
    <w:rsid w:val="00B62FAF"/>
    <w:rsid w:val="00B62FFB"/>
    <w:rsid w:val="00B6300A"/>
    <w:rsid w:val="00B63023"/>
    <w:rsid w:val="00B630F4"/>
    <w:rsid w:val="00B63121"/>
    <w:rsid w:val="00B63141"/>
    <w:rsid w:val="00B631D2"/>
    <w:rsid w:val="00B631DD"/>
    <w:rsid w:val="00B63209"/>
    <w:rsid w:val="00B6324C"/>
    <w:rsid w:val="00B63272"/>
    <w:rsid w:val="00B632A7"/>
    <w:rsid w:val="00B632C1"/>
    <w:rsid w:val="00B63339"/>
    <w:rsid w:val="00B633F6"/>
    <w:rsid w:val="00B634A3"/>
    <w:rsid w:val="00B634D2"/>
    <w:rsid w:val="00B634D7"/>
    <w:rsid w:val="00B6353F"/>
    <w:rsid w:val="00B63554"/>
    <w:rsid w:val="00B635D1"/>
    <w:rsid w:val="00B63662"/>
    <w:rsid w:val="00B63663"/>
    <w:rsid w:val="00B636B9"/>
    <w:rsid w:val="00B6374D"/>
    <w:rsid w:val="00B6379C"/>
    <w:rsid w:val="00B637F4"/>
    <w:rsid w:val="00B638DA"/>
    <w:rsid w:val="00B63972"/>
    <w:rsid w:val="00B639A5"/>
    <w:rsid w:val="00B639CF"/>
    <w:rsid w:val="00B639D7"/>
    <w:rsid w:val="00B63A7B"/>
    <w:rsid w:val="00B63ADF"/>
    <w:rsid w:val="00B63B5C"/>
    <w:rsid w:val="00B63B8E"/>
    <w:rsid w:val="00B63B93"/>
    <w:rsid w:val="00B63C35"/>
    <w:rsid w:val="00B63D0B"/>
    <w:rsid w:val="00B63D37"/>
    <w:rsid w:val="00B63D4A"/>
    <w:rsid w:val="00B63DD6"/>
    <w:rsid w:val="00B63DEB"/>
    <w:rsid w:val="00B63E55"/>
    <w:rsid w:val="00B63E9A"/>
    <w:rsid w:val="00B63EE3"/>
    <w:rsid w:val="00B63EE5"/>
    <w:rsid w:val="00B63EEB"/>
    <w:rsid w:val="00B63FD6"/>
    <w:rsid w:val="00B6401E"/>
    <w:rsid w:val="00B64054"/>
    <w:rsid w:val="00B64070"/>
    <w:rsid w:val="00B64071"/>
    <w:rsid w:val="00B64191"/>
    <w:rsid w:val="00B64221"/>
    <w:rsid w:val="00B64231"/>
    <w:rsid w:val="00B64285"/>
    <w:rsid w:val="00B64292"/>
    <w:rsid w:val="00B642B6"/>
    <w:rsid w:val="00B6431E"/>
    <w:rsid w:val="00B64362"/>
    <w:rsid w:val="00B643AC"/>
    <w:rsid w:val="00B64460"/>
    <w:rsid w:val="00B644CA"/>
    <w:rsid w:val="00B64522"/>
    <w:rsid w:val="00B645B0"/>
    <w:rsid w:val="00B645D5"/>
    <w:rsid w:val="00B6460F"/>
    <w:rsid w:val="00B6463D"/>
    <w:rsid w:val="00B6467A"/>
    <w:rsid w:val="00B6474F"/>
    <w:rsid w:val="00B647AA"/>
    <w:rsid w:val="00B647F8"/>
    <w:rsid w:val="00B64812"/>
    <w:rsid w:val="00B64822"/>
    <w:rsid w:val="00B64828"/>
    <w:rsid w:val="00B6482B"/>
    <w:rsid w:val="00B6484A"/>
    <w:rsid w:val="00B6487C"/>
    <w:rsid w:val="00B64887"/>
    <w:rsid w:val="00B648B3"/>
    <w:rsid w:val="00B648D8"/>
    <w:rsid w:val="00B6490E"/>
    <w:rsid w:val="00B64945"/>
    <w:rsid w:val="00B64962"/>
    <w:rsid w:val="00B64984"/>
    <w:rsid w:val="00B649A3"/>
    <w:rsid w:val="00B649D2"/>
    <w:rsid w:val="00B649FD"/>
    <w:rsid w:val="00B64A0B"/>
    <w:rsid w:val="00B64A57"/>
    <w:rsid w:val="00B64ACA"/>
    <w:rsid w:val="00B64B30"/>
    <w:rsid w:val="00B64BE5"/>
    <w:rsid w:val="00B64C26"/>
    <w:rsid w:val="00B64C44"/>
    <w:rsid w:val="00B64C6A"/>
    <w:rsid w:val="00B64C7F"/>
    <w:rsid w:val="00B64CA1"/>
    <w:rsid w:val="00B64CA2"/>
    <w:rsid w:val="00B64D04"/>
    <w:rsid w:val="00B64D39"/>
    <w:rsid w:val="00B64D59"/>
    <w:rsid w:val="00B64DB6"/>
    <w:rsid w:val="00B64E15"/>
    <w:rsid w:val="00B64E18"/>
    <w:rsid w:val="00B64EA1"/>
    <w:rsid w:val="00B64EFC"/>
    <w:rsid w:val="00B64F20"/>
    <w:rsid w:val="00B64F2A"/>
    <w:rsid w:val="00B64F3F"/>
    <w:rsid w:val="00B64F77"/>
    <w:rsid w:val="00B64FC5"/>
    <w:rsid w:val="00B64FE2"/>
    <w:rsid w:val="00B6500F"/>
    <w:rsid w:val="00B65188"/>
    <w:rsid w:val="00B651A3"/>
    <w:rsid w:val="00B651EC"/>
    <w:rsid w:val="00B65201"/>
    <w:rsid w:val="00B6523B"/>
    <w:rsid w:val="00B65246"/>
    <w:rsid w:val="00B65482"/>
    <w:rsid w:val="00B6549A"/>
    <w:rsid w:val="00B65595"/>
    <w:rsid w:val="00B65598"/>
    <w:rsid w:val="00B655EA"/>
    <w:rsid w:val="00B65600"/>
    <w:rsid w:val="00B65652"/>
    <w:rsid w:val="00B65668"/>
    <w:rsid w:val="00B65675"/>
    <w:rsid w:val="00B656FD"/>
    <w:rsid w:val="00B65711"/>
    <w:rsid w:val="00B6572F"/>
    <w:rsid w:val="00B65755"/>
    <w:rsid w:val="00B65779"/>
    <w:rsid w:val="00B65801"/>
    <w:rsid w:val="00B65834"/>
    <w:rsid w:val="00B65838"/>
    <w:rsid w:val="00B6588A"/>
    <w:rsid w:val="00B65899"/>
    <w:rsid w:val="00B65910"/>
    <w:rsid w:val="00B65950"/>
    <w:rsid w:val="00B65A0F"/>
    <w:rsid w:val="00B65A5C"/>
    <w:rsid w:val="00B65AF0"/>
    <w:rsid w:val="00B65B0E"/>
    <w:rsid w:val="00B65B6B"/>
    <w:rsid w:val="00B65B7B"/>
    <w:rsid w:val="00B65BE6"/>
    <w:rsid w:val="00B65C72"/>
    <w:rsid w:val="00B65C9B"/>
    <w:rsid w:val="00B65CF1"/>
    <w:rsid w:val="00B65D41"/>
    <w:rsid w:val="00B65D66"/>
    <w:rsid w:val="00B65D6F"/>
    <w:rsid w:val="00B65D92"/>
    <w:rsid w:val="00B65DEE"/>
    <w:rsid w:val="00B65E43"/>
    <w:rsid w:val="00B65E9E"/>
    <w:rsid w:val="00B65ED8"/>
    <w:rsid w:val="00B65F16"/>
    <w:rsid w:val="00B65F2F"/>
    <w:rsid w:val="00B65F3F"/>
    <w:rsid w:val="00B65F7A"/>
    <w:rsid w:val="00B65F87"/>
    <w:rsid w:val="00B66012"/>
    <w:rsid w:val="00B66061"/>
    <w:rsid w:val="00B660D3"/>
    <w:rsid w:val="00B660DF"/>
    <w:rsid w:val="00B661B5"/>
    <w:rsid w:val="00B661B8"/>
    <w:rsid w:val="00B661D4"/>
    <w:rsid w:val="00B6627B"/>
    <w:rsid w:val="00B66286"/>
    <w:rsid w:val="00B662A1"/>
    <w:rsid w:val="00B662AE"/>
    <w:rsid w:val="00B6633C"/>
    <w:rsid w:val="00B66359"/>
    <w:rsid w:val="00B66389"/>
    <w:rsid w:val="00B663BB"/>
    <w:rsid w:val="00B663EE"/>
    <w:rsid w:val="00B66417"/>
    <w:rsid w:val="00B66424"/>
    <w:rsid w:val="00B66435"/>
    <w:rsid w:val="00B6649F"/>
    <w:rsid w:val="00B664A5"/>
    <w:rsid w:val="00B664D5"/>
    <w:rsid w:val="00B66544"/>
    <w:rsid w:val="00B665AE"/>
    <w:rsid w:val="00B665CF"/>
    <w:rsid w:val="00B66634"/>
    <w:rsid w:val="00B6663F"/>
    <w:rsid w:val="00B66668"/>
    <w:rsid w:val="00B66684"/>
    <w:rsid w:val="00B66688"/>
    <w:rsid w:val="00B66692"/>
    <w:rsid w:val="00B666C8"/>
    <w:rsid w:val="00B66750"/>
    <w:rsid w:val="00B66760"/>
    <w:rsid w:val="00B6694A"/>
    <w:rsid w:val="00B66953"/>
    <w:rsid w:val="00B66A46"/>
    <w:rsid w:val="00B66A5F"/>
    <w:rsid w:val="00B66AD6"/>
    <w:rsid w:val="00B66ADF"/>
    <w:rsid w:val="00B66B06"/>
    <w:rsid w:val="00B66B46"/>
    <w:rsid w:val="00B66BA8"/>
    <w:rsid w:val="00B66C1C"/>
    <w:rsid w:val="00B66C6F"/>
    <w:rsid w:val="00B66D3B"/>
    <w:rsid w:val="00B66D57"/>
    <w:rsid w:val="00B66DCD"/>
    <w:rsid w:val="00B66E5E"/>
    <w:rsid w:val="00B66EE7"/>
    <w:rsid w:val="00B66F10"/>
    <w:rsid w:val="00B66F20"/>
    <w:rsid w:val="00B66F25"/>
    <w:rsid w:val="00B66F39"/>
    <w:rsid w:val="00B66F68"/>
    <w:rsid w:val="00B66F88"/>
    <w:rsid w:val="00B67072"/>
    <w:rsid w:val="00B6707B"/>
    <w:rsid w:val="00B670BB"/>
    <w:rsid w:val="00B670BE"/>
    <w:rsid w:val="00B67143"/>
    <w:rsid w:val="00B67152"/>
    <w:rsid w:val="00B6716B"/>
    <w:rsid w:val="00B67184"/>
    <w:rsid w:val="00B67203"/>
    <w:rsid w:val="00B6721C"/>
    <w:rsid w:val="00B67267"/>
    <w:rsid w:val="00B67282"/>
    <w:rsid w:val="00B672D0"/>
    <w:rsid w:val="00B67391"/>
    <w:rsid w:val="00B673F0"/>
    <w:rsid w:val="00B6744D"/>
    <w:rsid w:val="00B6745C"/>
    <w:rsid w:val="00B6746A"/>
    <w:rsid w:val="00B674C1"/>
    <w:rsid w:val="00B674C4"/>
    <w:rsid w:val="00B67530"/>
    <w:rsid w:val="00B67543"/>
    <w:rsid w:val="00B6757F"/>
    <w:rsid w:val="00B67587"/>
    <w:rsid w:val="00B67644"/>
    <w:rsid w:val="00B6766F"/>
    <w:rsid w:val="00B67691"/>
    <w:rsid w:val="00B676FA"/>
    <w:rsid w:val="00B67756"/>
    <w:rsid w:val="00B677B9"/>
    <w:rsid w:val="00B677BC"/>
    <w:rsid w:val="00B677C2"/>
    <w:rsid w:val="00B677E0"/>
    <w:rsid w:val="00B67808"/>
    <w:rsid w:val="00B67836"/>
    <w:rsid w:val="00B6783D"/>
    <w:rsid w:val="00B6785B"/>
    <w:rsid w:val="00B6789D"/>
    <w:rsid w:val="00B678AF"/>
    <w:rsid w:val="00B678D9"/>
    <w:rsid w:val="00B67915"/>
    <w:rsid w:val="00B67970"/>
    <w:rsid w:val="00B67A04"/>
    <w:rsid w:val="00B67A2D"/>
    <w:rsid w:val="00B67AD9"/>
    <w:rsid w:val="00B67AF9"/>
    <w:rsid w:val="00B67B25"/>
    <w:rsid w:val="00B67B2C"/>
    <w:rsid w:val="00B67B5E"/>
    <w:rsid w:val="00B67C5C"/>
    <w:rsid w:val="00B67C91"/>
    <w:rsid w:val="00B67C9B"/>
    <w:rsid w:val="00B67CBA"/>
    <w:rsid w:val="00B67CDD"/>
    <w:rsid w:val="00B67CF9"/>
    <w:rsid w:val="00B67CFC"/>
    <w:rsid w:val="00B67D57"/>
    <w:rsid w:val="00B67D7B"/>
    <w:rsid w:val="00B67E77"/>
    <w:rsid w:val="00B67F47"/>
    <w:rsid w:val="00B70060"/>
    <w:rsid w:val="00B70083"/>
    <w:rsid w:val="00B700C9"/>
    <w:rsid w:val="00B70125"/>
    <w:rsid w:val="00B70127"/>
    <w:rsid w:val="00B70151"/>
    <w:rsid w:val="00B70187"/>
    <w:rsid w:val="00B70196"/>
    <w:rsid w:val="00B701EB"/>
    <w:rsid w:val="00B70234"/>
    <w:rsid w:val="00B70241"/>
    <w:rsid w:val="00B70274"/>
    <w:rsid w:val="00B70298"/>
    <w:rsid w:val="00B702BE"/>
    <w:rsid w:val="00B70332"/>
    <w:rsid w:val="00B70372"/>
    <w:rsid w:val="00B7039A"/>
    <w:rsid w:val="00B703CA"/>
    <w:rsid w:val="00B703D7"/>
    <w:rsid w:val="00B7048A"/>
    <w:rsid w:val="00B704F2"/>
    <w:rsid w:val="00B70528"/>
    <w:rsid w:val="00B705C0"/>
    <w:rsid w:val="00B705DC"/>
    <w:rsid w:val="00B70651"/>
    <w:rsid w:val="00B70686"/>
    <w:rsid w:val="00B706D3"/>
    <w:rsid w:val="00B706E6"/>
    <w:rsid w:val="00B7072B"/>
    <w:rsid w:val="00B70732"/>
    <w:rsid w:val="00B70779"/>
    <w:rsid w:val="00B7080A"/>
    <w:rsid w:val="00B70865"/>
    <w:rsid w:val="00B70877"/>
    <w:rsid w:val="00B70881"/>
    <w:rsid w:val="00B70A5D"/>
    <w:rsid w:val="00B70A77"/>
    <w:rsid w:val="00B70A8E"/>
    <w:rsid w:val="00B70AB8"/>
    <w:rsid w:val="00B70B70"/>
    <w:rsid w:val="00B70B92"/>
    <w:rsid w:val="00B70C0F"/>
    <w:rsid w:val="00B70C43"/>
    <w:rsid w:val="00B70CA0"/>
    <w:rsid w:val="00B70CCE"/>
    <w:rsid w:val="00B70CEA"/>
    <w:rsid w:val="00B70D30"/>
    <w:rsid w:val="00B70D86"/>
    <w:rsid w:val="00B70D97"/>
    <w:rsid w:val="00B70DF1"/>
    <w:rsid w:val="00B70E57"/>
    <w:rsid w:val="00B70EC4"/>
    <w:rsid w:val="00B70EFF"/>
    <w:rsid w:val="00B70FD2"/>
    <w:rsid w:val="00B70FED"/>
    <w:rsid w:val="00B71007"/>
    <w:rsid w:val="00B710DC"/>
    <w:rsid w:val="00B7111D"/>
    <w:rsid w:val="00B71165"/>
    <w:rsid w:val="00B711C3"/>
    <w:rsid w:val="00B711CE"/>
    <w:rsid w:val="00B711F2"/>
    <w:rsid w:val="00B71229"/>
    <w:rsid w:val="00B712BC"/>
    <w:rsid w:val="00B71373"/>
    <w:rsid w:val="00B713B7"/>
    <w:rsid w:val="00B713B8"/>
    <w:rsid w:val="00B713F0"/>
    <w:rsid w:val="00B71435"/>
    <w:rsid w:val="00B714AD"/>
    <w:rsid w:val="00B714D2"/>
    <w:rsid w:val="00B714ED"/>
    <w:rsid w:val="00B71513"/>
    <w:rsid w:val="00B7151E"/>
    <w:rsid w:val="00B71544"/>
    <w:rsid w:val="00B7155D"/>
    <w:rsid w:val="00B715D6"/>
    <w:rsid w:val="00B715FE"/>
    <w:rsid w:val="00B7161A"/>
    <w:rsid w:val="00B71631"/>
    <w:rsid w:val="00B7167A"/>
    <w:rsid w:val="00B71686"/>
    <w:rsid w:val="00B716F4"/>
    <w:rsid w:val="00B71705"/>
    <w:rsid w:val="00B7170B"/>
    <w:rsid w:val="00B7177E"/>
    <w:rsid w:val="00B71787"/>
    <w:rsid w:val="00B7178F"/>
    <w:rsid w:val="00B717A9"/>
    <w:rsid w:val="00B717DB"/>
    <w:rsid w:val="00B717DD"/>
    <w:rsid w:val="00B71813"/>
    <w:rsid w:val="00B71829"/>
    <w:rsid w:val="00B7186C"/>
    <w:rsid w:val="00B718B9"/>
    <w:rsid w:val="00B718E2"/>
    <w:rsid w:val="00B718FA"/>
    <w:rsid w:val="00B7195E"/>
    <w:rsid w:val="00B719B5"/>
    <w:rsid w:val="00B71A22"/>
    <w:rsid w:val="00B71A4B"/>
    <w:rsid w:val="00B71ACA"/>
    <w:rsid w:val="00B71ADA"/>
    <w:rsid w:val="00B71B2E"/>
    <w:rsid w:val="00B71B65"/>
    <w:rsid w:val="00B71BB8"/>
    <w:rsid w:val="00B71CF8"/>
    <w:rsid w:val="00B71D80"/>
    <w:rsid w:val="00B71D8A"/>
    <w:rsid w:val="00B71DDA"/>
    <w:rsid w:val="00B71E5C"/>
    <w:rsid w:val="00B71E76"/>
    <w:rsid w:val="00B71EF9"/>
    <w:rsid w:val="00B71EFB"/>
    <w:rsid w:val="00B71F02"/>
    <w:rsid w:val="00B71F3A"/>
    <w:rsid w:val="00B71F4B"/>
    <w:rsid w:val="00B71F68"/>
    <w:rsid w:val="00B71F8B"/>
    <w:rsid w:val="00B71FBD"/>
    <w:rsid w:val="00B71FD0"/>
    <w:rsid w:val="00B71FE8"/>
    <w:rsid w:val="00B72017"/>
    <w:rsid w:val="00B72022"/>
    <w:rsid w:val="00B72101"/>
    <w:rsid w:val="00B72148"/>
    <w:rsid w:val="00B72173"/>
    <w:rsid w:val="00B7222C"/>
    <w:rsid w:val="00B7223E"/>
    <w:rsid w:val="00B72261"/>
    <w:rsid w:val="00B722CE"/>
    <w:rsid w:val="00B72386"/>
    <w:rsid w:val="00B7239B"/>
    <w:rsid w:val="00B723F3"/>
    <w:rsid w:val="00B7240C"/>
    <w:rsid w:val="00B7247D"/>
    <w:rsid w:val="00B7248A"/>
    <w:rsid w:val="00B72535"/>
    <w:rsid w:val="00B72569"/>
    <w:rsid w:val="00B725B2"/>
    <w:rsid w:val="00B7262A"/>
    <w:rsid w:val="00B72636"/>
    <w:rsid w:val="00B7266C"/>
    <w:rsid w:val="00B7268E"/>
    <w:rsid w:val="00B726A7"/>
    <w:rsid w:val="00B7276A"/>
    <w:rsid w:val="00B727A5"/>
    <w:rsid w:val="00B727C1"/>
    <w:rsid w:val="00B7280D"/>
    <w:rsid w:val="00B72855"/>
    <w:rsid w:val="00B728C0"/>
    <w:rsid w:val="00B729A7"/>
    <w:rsid w:val="00B72A7E"/>
    <w:rsid w:val="00B72B20"/>
    <w:rsid w:val="00B72B70"/>
    <w:rsid w:val="00B72BEC"/>
    <w:rsid w:val="00B72C29"/>
    <w:rsid w:val="00B72C50"/>
    <w:rsid w:val="00B72C8D"/>
    <w:rsid w:val="00B72C92"/>
    <w:rsid w:val="00B72CD3"/>
    <w:rsid w:val="00B72CF8"/>
    <w:rsid w:val="00B72D0E"/>
    <w:rsid w:val="00B72D96"/>
    <w:rsid w:val="00B72DA0"/>
    <w:rsid w:val="00B72DDF"/>
    <w:rsid w:val="00B72DEB"/>
    <w:rsid w:val="00B72E27"/>
    <w:rsid w:val="00B72E29"/>
    <w:rsid w:val="00B72E58"/>
    <w:rsid w:val="00B72E5E"/>
    <w:rsid w:val="00B72E9A"/>
    <w:rsid w:val="00B72EA4"/>
    <w:rsid w:val="00B72ED8"/>
    <w:rsid w:val="00B72FC0"/>
    <w:rsid w:val="00B7307A"/>
    <w:rsid w:val="00B7309F"/>
    <w:rsid w:val="00B730AD"/>
    <w:rsid w:val="00B730EA"/>
    <w:rsid w:val="00B73113"/>
    <w:rsid w:val="00B73192"/>
    <w:rsid w:val="00B7319A"/>
    <w:rsid w:val="00B731A1"/>
    <w:rsid w:val="00B731BD"/>
    <w:rsid w:val="00B73207"/>
    <w:rsid w:val="00B73269"/>
    <w:rsid w:val="00B73293"/>
    <w:rsid w:val="00B73295"/>
    <w:rsid w:val="00B732A2"/>
    <w:rsid w:val="00B732D1"/>
    <w:rsid w:val="00B73373"/>
    <w:rsid w:val="00B73449"/>
    <w:rsid w:val="00B734D5"/>
    <w:rsid w:val="00B73535"/>
    <w:rsid w:val="00B7354F"/>
    <w:rsid w:val="00B73577"/>
    <w:rsid w:val="00B73591"/>
    <w:rsid w:val="00B735D2"/>
    <w:rsid w:val="00B7362D"/>
    <w:rsid w:val="00B7363D"/>
    <w:rsid w:val="00B73669"/>
    <w:rsid w:val="00B736F1"/>
    <w:rsid w:val="00B73759"/>
    <w:rsid w:val="00B737B9"/>
    <w:rsid w:val="00B737CD"/>
    <w:rsid w:val="00B73801"/>
    <w:rsid w:val="00B73850"/>
    <w:rsid w:val="00B738AD"/>
    <w:rsid w:val="00B7392C"/>
    <w:rsid w:val="00B73950"/>
    <w:rsid w:val="00B739D2"/>
    <w:rsid w:val="00B739DC"/>
    <w:rsid w:val="00B73A2C"/>
    <w:rsid w:val="00B73A58"/>
    <w:rsid w:val="00B73A67"/>
    <w:rsid w:val="00B73AC6"/>
    <w:rsid w:val="00B73ADC"/>
    <w:rsid w:val="00B73AE5"/>
    <w:rsid w:val="00B73B64"/>
    <w:rsid w:val="00B73BC5"/>
    <w:rsid w:val="00B73C01"/>
    <w:rsid w:val="00B73C1A"/>
    <w:rsid w:val="00B73C56"/>
    <w:rsid w:val="00B73CA3"/>
    <w:rsid w:val="00B73CBC"/>
    <w:rsid w:val="00B73CBF"/>
    <w:rsid w:val="00B73CD5"/>
    <w:rsid w:val="00B73CE9"/>
    <w:rsid w:val="00B73D5A"/>
    <w:rsid w:val="00B73D62"/>
    <w:rsid w:val="00B73D6A"/>
    <w:rsid w:val="00B73D74"/>
    <w:rsid w:val="00B73D8E"/>
    <w:rsid w:val="00B73DA9"/>
    <w:rsid w:val="00B73E52"/>
    <w:rsid w:val="00B73E5C"/>
    <w:rsid w:val="00B73E64"/>
    <w:rsid w:val="00B73EB3"/>
    <w:rsid w:val="00B73F14"/>
    <w:rsid w:val="00B73FC4"/>
    <w:rsid w:val="00B73FD6"/>
    <w:rsid w:val="00B73FDE"/>
    <w:rsid w:val="00B73FE8"/>
    <w:rsid w:val="00B73FF7"/>
    <w:rsid w:val="00B7406F"/>
    <w:rsid w:val="00B74084"/>
    <w:rsid w:val="00B7408E"/>
    <w:rsid w:val="00B740AB"/>
    <w:rsid w:val="00B74124"/>
    <w:rsid w:val="00B74167"/>
    <w:rsid w:val="00B741AC"/>
    <w:rsid w:val="00B7421A"/>
    <w:rsid w:val="00B74230"/>
    <w:rsid w:val="00B74233"/>
    <w:rsid w:val="00B742D3"/>
    <w:rsid w:val="00B742D7"/>
    <w:rsid w:val="00B74349"/>
    <w:rsid w:val="00B743B1"/>
    <w:rsid w:val="00B743CF"/>
    <w:rsid w:val="00B7441E"/>
    <w:rsid w:val="00B744C5"/>
    <w:rsid w:val="00B74516"/>
    <w:rsid w:val="00B74524"/>
    <w:rsid w:val="00B74582"/>
    <w:rsid w:val="00B7458A"/>
    <w:rsid w:val="00B745DB"/>
    <w:rsid w:val="00B7460E"/>
    <w:rsid w:val="00B74624"/>
    <w:rsid w:val="00B74660"/>
    <w:rsid w:val="00B74672"/>
    <w:rsid w:val="00B74721"/>
    <w:rsid w:val="00B747EA"/>
    <w:rsid w:val="00B74804"/>
    <w:rsid w:val="00B7484C"/>
    <w:rsid w:val="00B748B9"/>
    <w:rsid w:val="00B74927"/>
    <w:rsid w:val="00B7495F"/>
    <w:rsid w:val="00B749B8"/>
    <w:rsid w:val="00B749D0"/>
    <w:rsid w:val="00B74A06"/>
    <w:rsid w:val="00B74A16"/>
    <w:rsid w:val="00B74A4E"/>
    <w:rsid w:val="00B74A58"/>
    <w:rsid w:val="00B74A61"/>
    <w:rsid w:val="00B74A93"/>
    <w:rsid w:val="00B74AB2"/>
    <w:rsid w:val="00B74AC9"/>
    <w:rsid w:val="00B74B06"/>
    <w:rsid w:val="00B74B3A"/>
    <w:rsid w:val="00B74BB2"/>
    <w:rsid w:val="00B74BCA"/>
    <w:rsid w:val="00B74C12"/>
    <w:rsid w:val="00B74D55"/>
    <w:rsid w:val="00B74D87"/>
    <w:rsid w:val="00B74DFD"/>
    <w:rsid w:val="00B74E10"/>
    <w:rsid w:val="00B74E3E"/>
    <w:rsid w:val="00B74E73"/>
    <w:rsid w:val="00B74E9A"/>
    <w:rsid w:val="00B74EA2"/>
    <w:rsid w:val="00B74EB7"/>
    <w:rsid w:val="00B74F9D"/>
    <w:rsid w:val="00B74FE9"/>
    <w:rsid w:val="00B75013"/>
    <w:rsid w:val="00B7501A"/>
    <w:rsid w:val="00B75041"/>
    <w:rsid w:val="00B75081"/>
    <w:rsid w:val="00B750AF"/>
    <w:rsid w:val="00B75113"/>
    <w:rsid w:val="00B7511B"/>
    <w:rsid w:val="00B7514A"/>
    <w:rsid w:val="00B751A4"/>
    <w:rsid w:val="00B751ED"/>
    <w:rsid w:val="00B752EA"/>
    <w:rsid w:val="00B75364"/>
    <w:rsid w:val="00B75399"/>
    <w:rsid w:val="00B7539B"/>
    <w:rsid w:val="00B75464"/>
    <w:rsid w:val="00B754AB"/>
    <w:rsid w:val="00B754D2"/>
    <w:rsid w:val="00B754DE"/>
    <w:rsid w:val="00B75563"/>
    <w:rsid w:val="00B755A8"/>
    <w:rsid w:val="00B7564F"/>
    <w:rsid w:val="00B75755"/>
    <w:rsid w:val="00B75781"/>
    <w:rsid w:val="00B757AE"/>
    <w:rsid w:val="00B757B2"/>
    <w:rsid w:val="00B757D3"/>
    <w:rsid w:val="00B757D6"/>
    <w:rsid w:val="00B757E8"/>
    <w:rsid w:val="00B7582F"/>
    <w:rsid w:val="00B7583C"/>
    <w:rsid w:val="00B7583D"/>
    <w:rsid w:val="00B75891"/>
    <w:rsid w:val="00B758BF"/>
    <w:rsid w:val="00B7598A"/>
    <w:rsid w:val="00B759B3"/>
    <w:rsid w:val="00B759CA"/>
    <w:rsid w:val="00B75A3E"/>
    <w:rsid w:val="00B75A94"/>
    <w:rsid w:val="00B75AE0"/>
    <w:rsid w:val="00B75AF3"/>
    <w:rsid w:val="00B75B5C"/>
    <w:rsid w:val="00B75B8A"/>
    <w:rsid w:val="00B75BA3"/>
    <w:rsid w:val="00B75C16"/>
    <w:rsid w:val="00B75C41"/>
    <w:rsid w:val="00B75C74"/>
    <w:rsid w:val="00B75C99"/>
    <w:rsid w:val="00B75CC6"/>
    <w:rsid w:val="00B75CD0"/>
    <w:rsid w:val="00B75E38"/>
    <w:rsid w:val="00B75E7D"/>
    <w:rsid w:val="00B75E7F"/>
    <w:rsid w:val="00B75F5F"/>
    <w:rsid w:val="00B75FBF"/>
    <w:rsid w:val="00B75FE6"/>
    <w:rsid w:val="00B76014"/>
    <w:rsid w:val="00B7603E"/>
    <w:rsid w:val="00B7605B"/>
    <w:rsid w:val="00B7610B"/>
    <w:rsid w:val="00B76147"/>
    <w:rsid w:val="00B7614E"/>
    <w:rsid w:val="00B76169"/>
    <w:rsid w:val="00B7617B"/>
    <w:rsid w:val="00B7619D"/>
    <w:rsid w:val="00B761AB"/>
    <w:rsid w:val="00B761B5"/>
    <w:rsid w:val="00B762A1"/>
    <w:rsid w:val="00B762CB"/>
    <w:rsid w:val="00B762ED"/>
    <w:rsid w:val="00B76337"/>
    <w:rsid w:val="00B763D3"/>
    <w:rsid w:val="00B763DF"/>
    <w:rsid w:val="00B76515"/>
    <w:rsid w:val="00B76535"/>
    <w:rsid w:val="00B765F1"/>
    <w:rsid w:val="00B7669B"/>
    <w:rsid w:val="00B766A1"/>
    <w:rsid w:val="00B766F8"/>
    <w:rsid w:val="00B76712"/>
    <w:rsid w:val="00B767B9"/>
    <w:rsid w:val="00B76819"/>
    <w:rsid w:val="00B7685D"/>
    <w:rsid w:val="00B76937"/>
    <w:rsid w:val="00B7695A"/>
    <w:rsid w:val="00B76983"/>
    <w:rsid w:val="00B769C4"/>
    <w:rsid w:val="00B769EF"/>
    <w:rsid w:val="00B769FD"/>
    <w:rsid w:val="00B76A20"/>
    <w:rsid w:val="00B76B15"/>
    <w:rsid w:val="00B76B39"/>
    <w:rsid w:val="00B76B4D"/>
    <w:rsid w:val="00B76B73"/>
    <w:rsid w:val="00B76BB3"/>
    <w:rsid w:val="00B76BBB"/>
    <w:rsid w:val="00B76C20"/>
    <w:rsid w:val="00B76C3F"/>
    <w:rsid w:val="00B76C68"/>
    <w:rsid w:val="00B76C84"/>
    <w:rsid w:val="00B76C93"/>
    <w:rsid w:val="00B76D0C"/>
    <w:rsid w:val="00B76D51"/>
    <w:rsid w:val="00B76DC7"/>
    <w:rsid w:val="00B76DCC"/>
    <w:rsid w:val="00B76DE9"/>
    <w:rsid w:val="00B76DEF"/>
    <w:rsid w:val="00B76E1B"/>
    <w:rsid w:val="00B76E20"/>
    <w:rsid w:val="00B76F50"/>
    <w:rsid w:val="00B76F6A"/>
    <w:rsid w:val="00B76FC0"/>
    <w:rsid w:val="00B7700A"/>
    <w:rsid w:val="00B77031"/>
    <w:rsid w:val="00B7703D"/>
    <w:rsid w:val="00B770C3"/>
    <w:rsid w:val="00B770FA"/>
    <w:rsid w:val="00B7714F"/>
    <w:rsid w:val="00B7716F"/>
    <w:rsid w:val="00B77209"/>
    <w:rsid w:val="00B77274"/>
    <w:rsid w:val="00B77308"/>
    <w:rsid w:val="00B77360"/>
    <w:rsid w:val="00B77380"/>
    <w:rsid w:val="00B773B3"/>
    <w:rsid w:val="00B773C3"/>
    <w:rsid w:val="00B774C4"/>
    <w:rsid w:val="00B774C6"/>
    <w:rsid w:val="00B775EC"/>
    <w:rsid w:val="00B77677"/>
    <w:rsid w:val="00B77693"/>
    <w:rsid w:val="00B77705"/>
    <w:rsid w:val="00B77740"/>
    <w:rsid w:val="00B77742"/>
    <w:rsid w:val="00B7776D"/>
    <w:rsid w:val="00B777EA"/>
    <w:rsid w:val="00B7783F"/>
    <w:rsid w:val="00B77843"/>
    <w:rsid w:val="00B77960"/>
    <w:rsid w:val="00B77A45"/>
    <w:rsid w:val="00B77A51"/>
    <w:rsid w:val="00B77ADA"/>
    <w:rsid w:val="00B77B1C"/>
    <w:rsid w:val="00B77B9E"/>
    <w:rsid w:val="00B77BAA"/>
    <w:rsid w:val="00B77C72"/>
    <w:rsid w:val="00B77CC0"/>
    <w:rsid w:val="00B77D10"/>
    <w:rsid w:val="00B77D59"/>
    <w:rsid w:val="00B77D7E"/>
    <w:rsid w:val="00B77DBF"/>
    <w:rsid w:val="00B77E05"/>
    <w:rsid w:val="00B77E33"/>
    <w:rsid w:val="00B77E7D"/>
    <w:rsid w:val="00B77ECD"/>
    <w:rsid w:val="00B77F81"/>
    <w:rsid w:val="00B77F85"/>
    <w:rsid w:val="00B8000A"/>
    <w:rsid w:val="00B800E2"/>
    <w:rsid w:val="00B8015B"/>
    <w:rsid w:val="00B8017E"/>
    <w:rsid w:val="00B80201"/>
    <w:rsid w:val="00B8020B"/>
    <w:rsid w:val="00B80217"/>
    <w:rsid w:val="00B8024E"/>
    <w:rsid w:val="00B8028D"/>
    <w:rsid w:val="00B8037B"/>
    <w:rsid w:val="00B8037E"/>
    <w:rsid w:val="00B803B6"/>
    <w:rsid w:val="00B80464"/>
    <w:rsid w:val="00B80489"/>
    <w:rsid w:val="00B8048C"/>
    <w:rsid w:val="00B804C9"/>
    <w:rsid w:val="00B8057E"/>
    <w:rsid w:val="00B80652"/>
    <w:rsid w:val="00B80665"/>
    <w:rsid w:val="00B806AA"/>
    <w:rsid w:val="00B806B9"/>
    <w:rsid w:val="00B806F8"/>
    <w:rsid w:val="00B8070A"/>
    <w:rsid w:val="00B8072D"/>
    <w:rsid w:val="00B807DA"/>
    <w:rsid w:val="00B80833"/>
    <w:rsid w:val="00B80852"/>
    <w:rsid w:val="00B8085D"/>
    <w:rsid w:val="00B808FE"/>
    <w:rsid w:val="00B8093E"/>
    <w:rsid w:val="00B8095A"/>
    <w:rsid w:val="00B809BD"/>
    <w:rsid w:val="00B80AB9"/>
    <w:rsid w:val="00B80ACE"/>
    <w:rsid w:val="00B80ADA"/>
    <w:rsid w:val="00B80AF4"/>
    <w:rsid w:val="00B80AFB"/>
    <w:rsid w:val="00B80B24"/>
    <w:rsid w:val="00B80C70"/>
    <w:rsid w:val="00B80D65"/>
    <w:rsid w:val="00B80D7B"/>
    <w:rsid w:val="00B80DBC"/>
    <w:rsid w:val="00B80DDD"/>
    <w:rsid w:val="00B80E00"/>
    <w:rsid w:val="00B80E04"/>
    <w:rsid w:val="00B80E7F"/>
    <w:rsid w:val="00B80E8A"/>
    <w:rsid w:val="00B80EC7"/>
    <w:rsid w:val="00B80F6C"/>
    <w:rsid w:val="00B80FAA"/>
    <w:rsid w:val="00B80FE1"/>
    <w:rsid w:val="00B81008"/>
    <w:rsid w:val="00B8100F"/>
    <w:rsid w:val="00B81028"/>
    <w:rsid w:val="00B81107"/>
    <w:rsid w:val="00B81110"/>
    <w:rsid w:val="00B81111"/>
    <w:rsid w:val="00B8114C"/>
    <w:rsid w:val="00B81301"/>
    <w:rsid w:val="00B81311"/>
    <w:rsid w:val="00B81338"/>
    <w:rsid w:val="00B8133E"/>
    <w:rsid w:val="00B81353"/>
    <w:rsid w:val="00B81373"/>
    <w:rsid w:val="00B81464"/>
    <w:rsid w:val="00B814F1"/>
    <w:rsid w:val="00B81519"/>
    <w:rsid w:val="00B8151C"/>
    <w:rsid w:val="00B81671"/>
    <w:rsid w:val="00B816FD"/>
    <w:rsid w:val="00B8172B"/>
    <w:rsid w:val="00B81742"/>
    <w:rsid w:val="00B8176D"/>
    <w:rsid w:val="00B8190D"/>
    <w:rsid w:val="00B81924"/>
    <w:rsid w:val="00B819C5"/>
    <w:rsid w:val="00B819CD"/>
    <w:rsid w:val="00B81A14"/>
    <w:rsid w:val="00B81A26"/>
    <w:rsid w:val="00B81A6B"/>
    <w:rsid w:val="00B81ABA"/>
    <w:rsid w:val="00B81ABC"/>
    <w:rsid w:val="00B81BA7"/>
    <w:rsid w:val="00B81C3B"/>
    <w:rsid w:val="00B81C76"/>
    <w:rsid w:val="00B81C8F"/>
    <w:rsid w:val="00B81C9F"/>
    <w:rsid w:val="00B81CBF"/>
    <w:rsid w:val="00B81D80"/>
    <w:rsid w:val="00B81D8D"/>
    <w:rsid w:val="00B81DD7"/>
    <w:rsid w:val="00B81E25"/>
    <w:rsid w:val="00B81ED6"/>
    <w:rsid w:val="00B81EE5"/>
    <w:rsid w:val="00B81F22"/>
    <w:rsid w:val="00B81F57"/>
    <w:rsid w:val="00B81FC7"/>
    <w:rsid w:val="00B81FD9"/>
    <w:rsid w:val="00B8200A"/>
    <w:rsid w:val="00B82054"/>
    <w:rsid w:val="00B82067"/>
    <w:rsid w:val="00B820BA"/>
    <w:rsid w:val="00B820CB"/>
    <w:rsid w:val="00B820DF"/>
    <w:rsid w:val="00B82141"/>
    <w:rsid w:val="00B82155"/>
    <w:rsid w:val="00B8215C"/>
    <w:rsid w:val="00B821FE"/>
    <w:rsid w:val="00B8225D"/>
    <w:rsid w:val="00B8228C"/>
    <w:rsid w:val="00B82354"/>
    <w:rsid w:val="00B8236D"/>
    <w:rsid w:val="00B823AC"/>
    <w:rsid w:val="00B823E2"/>
    <w:rsid w:val="00B823E7"/>
    <w:rsid w:val="00B8240A"/>
    <w:rsid w:val="00B82429"/>
    <w:rsid w:val="00B82473"/>
    <w:rsid w:val="00B82488"/>
    <w:rsid w:val="00B82550"/>
    <w:rsid w:val="00B825D4"/>
    <w:rsid w:val="00B8260D"/>
    <w:rsid w:val="00B8264F"/>
    <w:rsid w:val="00B82668"/>
    <w:rsid w:val="00B826D2"/>
    <w:rsid w:val="00B826F3"/>
    <w:rsid w:val="00B82702"/>
    <w:rsid w:val="00B82708"/>
    <w:rsid w:val="00B82762"/>
    <w:rsid w:val="00B827FC"/>
    <w:rsid w:val="00B8289F"/>
    <w:rsid w:val="00B828D6"/>
    <w:rsid w:val="00B828FD"/>
    <w:rsid w:val="00B829D1"/>
    <w:rsid w:val="00B82A36"/>
    <w:rsid w:val="00B82A7B"/>
    <w:rsid w:val="00B82A7E"/>
    <w:rsid w:val="00B82ABF"/>
    <w:rsid w:val="00B82BD6"/>
    <w:rsid w:val="00B82C1A"/>
    <w:rsid w:val="00B82C28"/>
    <w:rsid w:val="00B82C79"/>
    <w:rsid w:val="00B82C96"/>
    <w:rsid w:val="00B82D40"/>
    <w:rsid w:val="00B82DA2"/>
    <w:rsid w:val="00B82DB3"/>
    <w:rsid w:val="00B82DDD"/>
    <w:rsid w:val="00B82E03"/>
    <w:rsid w:val="00B82E06"/>
    <w:rsid w:val="00B82F10"/>
    <w:rsid w:val="00B82F2E"/>
    <w:rsid w:val="00B82F96"/>
    <w:rsid w:val="00B82FAE"/>
    <w:rsid w:val="00B8300A"/>
    <w:rsid w:val="00B83011"/>
    <w:rsid w:val="00B83023"/>
    <w:rsid w:val="00B83119"/>
    <w:rsid w:val="00B83123"/>
    <w:rsid w:val="00B83141"/>
    <w:rsid w:val="00B832FE"/>
    <w:rsid w:val="00B83323"/>
    <w:rsid w:val="00B83338"/>
    <w:rsid w:val="00B8334A"/>
    <w:rsid w:val="00B83391"/>
    <w:rsid w:val="00B83487"/>
    <w:rsid w:val="00B8355A"/>
    <w:rsid w:val="00B83569"/>
    <w:rsid w:val="00B8356E"/>
    <w:rsid w:val="00B835CA"/>
    <w:rsid w:val="00B835DD"/>
    <w:rsid w:val="00B8365D"/>
    <w:rsid w:val="00B8369B"/>
    <w:rsid w:val="00B836D2"/>
    <w:rsid w:val="00B836E3"/>
    <w:rsid w:val="00B8370E"/>
    <w:rsid w:val="00B83775"/>
    <w:rsid w:val="00B83804"/>
    <w:rsid w:val="00B83874"/>
    <w:rsid w:val="00B83919"/>
    <w:rsid w:val="00B8394A"/>
    <w:rsid w:val="00B83A03"/>
    <w:rsid w:val="00B83A3A"/>
    <w:rsid w:val="00B83A73"/>
    <w:rsid w:val="00B83A75"/>
    <w:rsid w:val="00B83A8F"/>
    <w:rsid w:val="00B83AD5"/>
    <w:rsid w:val="00B83B14"/>
    <w:rsid w:val="00B83B41"/>
    <w:rsid w:val="00B83B60"/>
    <w:rsid w:val="00B83BB2"/>
    <w:rsid w:val="00B83BE0"/>
    <w:rsid w:val="00B83BED"/>
    <w:rsid w:val="00B83C36"/>
    <w:rsid w:val="00B83DE0"/>
    <w:rsid w:val="00B83DF3"/>
    <w:rsid w:val="00B83DF6"/>
    <w:rsid w:val="00B83E01"/>
    <w:rsid w:val="00B83E25"/>
    <w:rsid w:val="00B83F3C"/>
    <w:rsid w:val="00B83F4E"/>
    <w:rsid w:val="00B840DF"/>
    <w:rsid w:val="00B8412C"/>
    <w:rsid w:val="00B841A0"/>
    <w:rsid w:val="00B841D9"/>
    <w:rsid w:val="00B84233"/>
    <w:rsid w:val="00B84237"/>
    <w:rsid w:val="00B84276"/>
    <w:rsid w:val="00B84369"/>
    <w:rsid w:val="00B8436F"/>
    <w:rsid w:val="00B84375"/>
    <w:rsid w:val="00B8440B"/>
    <w:rsid w:val="00B84413"/>
    <w:rsid w:val="00B84436"/>
    <w:rsid w:val="00B844D2"/>
    <w:rsid w:val="00B844F4"/>
    <w:rsid w:val="00B84526"/>
    <w:rsid w:val="00B8456C"/>
    <w:rsid w:val="00B84598"/>
    <w:rsid w:val="00B84599"/>
    <w:rsid w:val="00B845C2"/>
    <w:rsid w:val="00B84651"/>
    <w:rsid w:val="00B8469D"/>
    <w:rsid w:val="00B846A4"/>
    <w:rsid w:val="00B846D2"/>
    <w:rsid w:val="00B847F4"/>
    <w:rsid w:val="00B84805"/>
    <w:rsid w:val="00B84847"/>
    <w:rsid w:val="00B84865"/>
    <w:rsid w:val="00B8490C"/>
    <w:rsid w:val="00B84952"/>
    <w:rsid w:val="00B849DD"/>
    <w:rsid w:val="00B84AB1"/>
    <w:rsid w:val="00B84AF4"/>
    <w:rsid w:val="00B84B08"/>
    <w:rsid w:val="00B84B55"/>
    <w:rsid w:val="00B84C54"/>
    <w:rsid w:val="00B84D27"/>
    <w:rsid w:val="00B84D98"/>
    <w:rsid w:val="00B84DEC"/>
    <w:rsid w:val="00B84E38"/>
    <w:rsid w:val="00B84ED1"/>
    <w:rsid w:val="00B84F89"/>
    <w:rsid w:val="00B85039"/>
    <w:rsid w:val="00B85064"/>
    <w:rsid w:val="00B8509D"/>
    <w:rsid w:val="00B850B8"/>
    <w:rsid w:val="00B850E9"/>
    <w:rsid w:val="00B85131"/>
    <w:rsid w:val="00B8515F"/>
    <w:rsid w:val="00B85169"/>
    <w:rsid w:val="00B851BF"/>
    <w:rsid w:val="00B85254"/>
    <w:rsid w:val="00B85278"/>
    <w:rsid w:val="00B85294"/>
    <w:rsid w:val="00B85295"/>
    <w:rsid w:val="00B852DA"/>
    <w:rsid w:val="00B853DE"/>
    <w:rsid w:val="00B85443"/>
    <w:rsid w:val="00B85448"/>
    <w:rsid w:val="00B8546D"/>
    <w:rsid w:val="00B8549B"/>
    <w:rsid w:val="00B854AB"/>
    <w:rsid w:val="00B854BC"/>
    <w:rsid w:val="00B85513"/>
    <w:rsid w:val="00B8554E"/>
    <w:rsid w:val="00B85553"/>
    <w:rsid w:val="00B855DF"/>
    <w:rsid w:val="00B855E2"/>
    <w:rsid w:val="00B85638"/>
    <w:rsid w:val="00B85740"/>
    <w:rsid w:val="00B8576B"/>
    <w:rsid w:val="00B8577F"/>
    <w:rsid w:val="00B8581D"/>
    <w:rsid w:val="00B858F7"/>
    <w:rsid w:val="00B85931"/>
    <w:rsid w:val="00B8594A"/>
    <w:rsid w:val="00B85983"/>
    <w:rsid w:val="00B859F0"/>
    <w:rsid w:val="00B85A3F"/>
    <w:rsid w:val="00B85A5A"/>
    <w:rsid w:val="00B85AAA"/>
    <w:rsid w:val="00B85AB3"/>
    <w:rsid w:val="00B85AC4"/>
    <w:rsid w:val="00B85ADD"/>
    <w:rsid w:val="00B85BCE"/>
    <w:rsid w:val="00B85BDC"/>
    <w:rsid w:val="00B85BDF"/>
    <w:rsid w:val="00B85C4A"/>
    <w:rsid w:val="00B85CAE"/>
    <w:rsid w:val="00B85CD0"/>
    <w:rsid w:val="00B85D2A"/>
    <w:rsid w:val="00B85D48"/>
    <w:rsid w:val="00B85DB2"/>
    <w:rsid w:val="00B85E42"/>
    <w:rsid w:val="00B85E4D"/>
    <w:rsid w:val="00B85E6F"/>
    <w:rsid w:val="00B85EC8"/>
    <w:rsid w:val="00B85F06"/>
    <w:rsid w:val="00B85F50"/>
    <w:rsid w:val="00B85F83"/>
    <w:rsid w:val="00B85F9A"/>
    <w:rsid w:val="00B85FA3"/>
    <w:rsid w:val="00B85FCA"/>
    <w:rsid w:val="00B85FF5"/>
    <w:rsid w:val="00B86042"/>
    <w:rsid w:val="00B86063"/>
    <w:rsid w:val="00B860FC"/>
    <w:rsid w:val="00B8615F"/>
    <w:rsid w:val="00B8616D"/>
    <w:rsid w:val="00B8617E"/>
    <w:rsid w:val="00B861DD"/>
    <w:rsid w:val="00B86222"/>
    <w:rsid w:val="00B86228"/>
    <w:rsid w:val="00B86237"/>
    <w:rsid w:val="00B86245"/>
    <w:rsid w:val="00B86255"/>
    <w:rsid w:val="00B862EE"/>
    <w:rsid w:val="00B8631E"/>
    <w:rsid w:val="00B86338"/>
    <w:rsid w:val="00B86348"/>
    <w:rsid w:val="00B86350"/>
    <w:rsid w:val="00B8635A"/>
    <w:rsid w:val="00B86396"/>
    <w:rsid w:val="00B863A9"/>
    <w:rsid w:val="00B863AD"/>
    <w:rsid w:val="00B863E0"/>
    <w:rsid w:val="00B864B1"/>
    <w:rsid w:val="00B8651A"/>
    <w:rsid w:val="00B865C2"/>
    <w:rsid w:val="00B865FD"/>
    <w:rsid w:val="00B86607"/>
    <w:rsid w:val="00B8660D"/>
    <w:rsid w:val="00B86640"/>
    <w:rsid w:val="00B8666F"/>
    <w:rsid w:val="00B8667D"/>
    <w:rsid w:val="00B86693"/>
    <w:rsid w:val="00B867BF"/>
    <w:rsid w:val="00B8680D"/>
    <w:rsid w:val="00B8682F"/>
    <w:rsid w:val="00B868FB"/>
    <w:rsid w:val="00B86962"/>
    <w:rsid w:val="00B869CE"/>
    <w:rsid w:val="00B86A1E"/>
    <w:rsid w:val="00B86A1F"/>
    <w:rsid w:val="00B86A47"/>
    <w:rsid w:val="00B86A98"/>
    <w:rsid w:val="00B86AA8"/>
    <w:rsid w:val="00B86AC5"/>
    <w:rsid w:val="00B86B16"/>
    <w:rsid w:val="00B86B7F"/>
    <w:rsid w:val="00B86B98"/>
    <w:rsid w:val="00B86BA9"/>
    <w:rsid w:val="00B86BC7"/>
    <w:rsid w:val="00B86BDA"/>
    <w:rsid w:val="00B86C13"/>
    <w:rsid w:val="00B86CED"/>
    <w:rsid w:val="00B86D0F"/>
    <w:rsid w:val="00B86D50"/>
    <w:rsid w:val="00B86D54"/>
    <w:rsid w:val="00B86E2E"/>
    <w:rsid w:val="00B86E97"/>
    <w:rsid w:val="00B86EB1"/>
    <w:rsid w:val="00B86F6C"/>
    <w:rsid w:val="00B86FCA"/>
    <w:rsid w:val="00B86FDF"/>
    <w:rsid w:val="00B86FE8"/>
    <w:rsid w:val="00B8703C"/>
    <w:rsid w:val="00B87063"/>
    <w:rsid w:val="00B87071"/>
    <w:rsid w:val="00B870C4"/>
    <w:rsid w:val="00B871BA"/>
    <w:rsid w:val="00B871C1"/>
    <w:rsid w:val="00B871D0"/>
    <w:rsid w:val="00B87235"/>
    <w:rsid w:val="00B8732F"/>
    <w:rsid w:val="00B8733F"/>
    <w:rsid w:val="00B87358"/>
    <w:rsid w:val="00B87407"/>
    <w:rsid w:val="00B87424"/>
    <w:rsid w:val="00B8742F"/>
    <w:rsid w:val="00B8746D"/>
    <w:rsid w:val="00B87498"/>
    <w:rsid w:val="00B87515"/>
    <w:rsid w:val="00B87520"/>
    <w:rsid w:val="00B875FF"/>
    <w:rsid w:val="00B87628"/>
    <w:rsid w:val="00B87636"/>
    <w:rsid w:val="00B87676"/>
    <w:rsid w:val="00B8769E"/>
    <w:rsid w:val="00B876AB"/>
    <w:rsid w:val="00B8772E"/>
    <w:rsid w:val="00B87791"/>
    <w:rsid w:val="00B877A2"/>
    <w:rsid w:val="00B8785B"/>
    <w:rsid w:val="00B878C6"/>
    <w:rsid w:val="00B878E1"/>
    <w:rsid w:val="00B8791D"/>
    <w:rsid w:val="00B879A5"/>
    <w:rsid w:val="00B87A0A"/>
    <w:rsid w:val="00B87A56"/>
    <w:rsid w:val="00B87ACC"/>
    <w:rsid w:val="00B87B18"/>
    <w:rsid w:val="00B87BB5"/>
    <w:rsid w:val="00B87BC2"/>
    <w:rsid w:val="00B87BE0"/>
    <w:rsid w:val="00B87C6F"/>
    <w:rsid w:val="00B87C73"/>
    <w:rsid w:val="00B87CC4"/>
    <w:rsid w:val="00B87D2E"/>
    <w:rsid w:val="00B87D3F"/>
    <w:rsid w:val="00B87D65"/>
    <w:rsid w:val="00B87E38"/>
    <w:rsid w:val="00B87F66"/>
    <w:rsid w:val="00B87F94"/>
    <w:rsid w:val="00B87FE7"/>
    <w:rsid w:val="00B90138"/>
    <w:rsid w:val="00B9013F"/>
    <w:rsid w:val="00B90144"/>
    <w:rsid w:val="00B90150"/>
    <w:rsid w:val="00B902BC"/>
    <w:rsid w:val="00B902F2"/>
    <w:rsid w:val="00B9034F"/>
    <w:rsid w:val="00B90389"/>
    <w:rsid w:val="00B9038C"/>
    <w:rsid w:val="00B90406"/>
    <w:rsid w:val="00B9050B"/>
    <w:rsid w:val="00B90549"/>
    <w:rsid w:val="00B90550"/>
    <w:rsid w:val="00B9075B"/>
    <w:rsid w:val="00B907E6"/>
    <w:rsid w:val="00B90860"/>
    <w:rsid w:val="00B9092D"/>
    <w:rsid w:val="00B909C2"/>
    <w:rsid w:val="00B909EF"/>
    <w:rsid w:val="00B909FD"/>
    <w:rsid w:val="00B90A49"/>
    <w:rsid w:val="00B90A8C"/>
    <w:rsid w:val="00B90AF3"/>
    <w:rsid w:val="00B90B22"/>
    <w:rsid w:val="00B90B64"/>
    <w:rsid w:val="00B90B98"/>
    <w:rsid w:val="00B90B9C"/>
    <w:rsid w:val="00B90C3E"/>
    <w:rsid w:val="00B90C40"/>
    <w:rsid w:val="00B90C66"/>
    <w:rsid w:val="00B90CE2"/>
    <w:rsid w:val="00B90CED"/>
    <w:rsid w:val="00B90CFF"/>
    <w:rsid w:val="00B90D2B"/>
    <w:rsid w:val="00B90DA7"/>
    <w:rsid w:val="00B90DA8"/>
    <w:rsid w:val="00B90DCE"/>
    <w:rsid w:val="00B90E15"/>
    <w:rsid w:val="00B90E7F"/>
    <w:rsid w:val="00B90E93"/>
    <w:rsid w:val="00B90E9E"/>
    <w:rsid w:val="00B90EC5"/>
    <w:rsid w:val="00B90F5A"/>
    <w:rsid w:val="00B90F84"/>
    <w:rsid w:val="00B90F96"/>
    <w:rsid w:val="00B90FF3"/>
    <w:rsid w:val="00B90FFC"/>
    <w:rsid w:val="00B91010"/>
    <w:rsid w:val="00B910B8"/>
    <w:rsid w:val="00B910BF"/>
    <w:rsid w:val="00B91166"/>
    <w:rsid w:val="00B91182"/>
    <w:rsid w:val="00B91191"/>
    <w:rsid w:val="00B911B5"/>
    <w:rsid w:val="00B911E8"/>
    <w:rsid w:val="00B91212"/>
    <w:rsid w:val="00B9124D"/>
    <w:rsid w:val="00B912E7"/>
    <w:rsid w:val="00B9132A"/>
    <w:rsid w:val="00B91331"/>
    <w:rsid w:val="00B91379"/>
    <w:rsid w:val="00B9138C"/>
    <w:rsid w:val="00B91412"/>
    <w:rsid w:val="00B9141B"/>
    <w:rsid w:val="00B91441"/>
    <w:rsid w:val="00B91478"/>
    <w:rsid w:val="00B9147B"/>
    <w:rsid w:val="00B914E9"/>
    <w:rsid w:val="00B9150F"/>
    <w:rsid w:val="00B9158B"/>
    <w:rsid w:val="00B915A5"/>
    <w:rsid w:val="00B915F5"/>
    <w:rsid w:val="00B91623"/>
    <w:rsid w:val="00B9168C"/>
    <w:rsid w:val="00B916E1"/>
    <w:rsid w:val="00B91710"/>
    <w:rsid w:val="00B91749"/>
    <w:rsid w:val="00B9175A"/>
    <w:rsid w:val="00B91762"/>
    <w:rsid w:val="00B9179B"/>
    <w:rsid w:val="00B917A6"/>
    <w:rsid w:val="00B917C1"/>
    <w:rsid w:val="00B917E8"/>
    <w:rsid w:val="00B91818"/>
    <w:rsid w:val="00B9181A"/>
    <w:rsid w:val="00B91837"/>
    <w:rsid w:val="00B9183F"/>
    <w:rsid w:val="00B918D4"/>
    <w:rsid w:val="00B91951"/>
    <w:rsid w:val="00B91998"/>
    <w:rsid w:val="00B919BC"/>
    <w:rsid w:val="00B919C5"/>
    <w:rsid w:val="00B91A50"/>
    <w:rsid w:val="00B91A7E"/>
    <w:rsid w:val="00B91AB5"/>
    <w:rsid w:val="00B91B09"/>
    <w:rsid w:val="00B91B48"/>
    <w:rsid w:val="00B91B4B"/>
    <w:rsid w:val="00B91B79"/>
    <w:rsid w:val="00B91BCE"/>
    <w:rsid w:val="00B91C7B"/>
    <w:rsid w:val="00B91D02"/>
    <w:rsid w:val="00B91D0A"/>
    <w:rsid w:val="00B91D86"/>
    <w:rsid w:val="00B91E40"/>
    <w:rsid w:val="00B91ED7"/>
    <w:rsid w:val="00B91F33"/>
    <w:rsid w:val="00B91FA0"/>
    <w:rsid w:val="00B91FE3"/>
    <w:rsid w:val="00B92027"/>
    <w:rsid w:val="00B92069"/>
    <w:rsid w:val="00B9206D"/>
    <w:rsid w:val="00B9207A"/>
    <w:rsid w:val="00B92161"/>
    <w:rsid w:val="00B921A3"/>
    <w:rsid w:val="00B92231"/>
    <w:rsid w:val="00B92296"/>
    <w:rsid w:val="00B922D5"/>
    <w:rsid w:val="00B9230D"/>
    <w:rsid w:val="00B9237D"/>
    <w:rsid w:val="00B923AA"/>
    <w:rsid w:val="00B9244D"/>
    <w:rsid w:val="00B92463"/>
    <w:rsid w:val="00B92466"/>
    <w:rsid w:val="00B9246B"/>
    <w:rsid w:val="00B92501"/>
    <w:rsid w:val="00B92560"/>
    <w:rsid w:val="00B9257F"/>
    <w:rsid w:val="00B925B9"/>
    <w:rsid w:val="00B92624"/>
    <w:rsid w:val="00B92689"/>
    <w:rsid w:val="00B926EA"/>
    <w:rsid w:val="00B927BA"/>
    <w:rsid w:val="00B927BD"/>
    <w:rsid w:val="00B928FA"/>
    <w:rsid w:val="00B92932"/>
    <w:rsid w:val="00B92A1B"/>
    <w:rsid w:val="00B92AFF"/>
    <w:rsid w:val="00B92B48"/>
    <w:rsid w:val="00B92BA5"/>
    <w:rsid w:val="00B92C10"/>
    <w:rsid w:val="00B92C7F"/>
    <w:rsid w:val="00B92CA1"/>
    <w:rsid w:val="00B92D61"/>
    <w:rsid w:val="00B92D68"/>
    <w:rsid w:val="00B92DCC"/>
    <w:rsid w:val="00B92DCD"/>
    <w:rsid w:val="00B92E08"/>
    <w:rsid w:val="00B92E17"/>
    <w:rsid w:val="00B92EC8"/>
    <w:rsid w:val="00B92EE0"/>
    <w:rsid w:val="00B92F1A"/>
    <w:rsid w:val="00B92F20"/>
    <w:rsid w:val="00B92F78"/>
    <w:rsid w:val="00B92F8B"/>
    <w:rsid w:val="00B92F97"/>
    <w:rsid w:val="00B92FD6"/>
    <w:rsid w:val="00B92FD8"/>
    <w:rsid w:val="00B92FF5"/>
    <w:rsid w:val="00B9300A"/>
    <w:rsid w:val="00B9302B"/>
    <w:rsid w:val="00B93046"/>
    <w:rsid w:val="00B930B3"/>
    <w:rsid w:val="00B930E1"/>
    <w:rsid w:val="00B930E9"/>
    <w:rsid w:val="00B93113"/>
    <w:rsid w:val="00B9311D"/>
    <w:rsid w:val="00B93148"/>
    <w:rsid w:val="00B93174"/>
    <w:rsid w:val="00B93184"/>
    <w:rsid w:val="00B93268"/>
    <w:rsid w:val="00B93276"/>
    <w:rsid w:val="00B9328B"/>
    <w:rsid w:val="00B9328C"/>
    <w:rsid w:val="00B932C7"/>
    <w:rsid w:val="00B93371"/>
    <w:rsid w:val="00B933C7"/>
    <w:rsid w:val="00B9342A"/>
    <w:rsid w:val="00B93433"/>
    <w:rsid w:val="00B934CC"/>
    <w:rsid w:val="00B934E6"/>
    <w:rsid w:val="00B93509"/>
    <w:rsid w:val="00B935A6"/>
    <w:rsid w:val="00B93695"/>
    <w:rsid w:val="00B936CD"/>
    <w:rsid w:val="00B937A8"/>
    <w:rsid w:val="00B937BD"/>
    <w:rsid w:val="00B9387F"/>
    <w:rsid w:val="00B938A9"/>
    <w:rsid w:val="00B939EA"/>
    <w:rsid w:val="00B93A14"/>
    <w:rsid w:val="00B93A3B"/>
    <w:rsid w:val="00B93AEB"/>
    <w:rsid w:val="00B93AFE"/>
    <w:rsid w:val="00B93B16"/>
    <w:rsid w:val="00B93B18"/>
    <w:rsid w:val="00B93B41"/>
    <w:rsid w:val="00B93B9E"/>
    <w:rsid w:val="00B93C63"/>
    <w:rsid w:val="00B93C89"/>
    <w:rsid w:val="00B93C91"/>
    <w:rsid w:val="00B93CA0"/>
    <w:rsid w:val="00B93D52"/>
    <w:rsid w:val="00B93D7E"/>
    <w:rsid w:val="00B93DB4"/>
    <w:rsid w:val="00B93DCE"/>
    <w:rsid w:val="00B93DDC"/>
    <w:rsid w:val="00B93EFD"/>
    <w:rsid w:val="00B93F36"/>
    <w:rsid w:val="00B93F3B"/>
    <w:rsid w:val="00B94006"/>
    <w:rsid w:val="00B94021"/>
    <w:rsid w:val="00B940D9"/>
    <w:rsid w:val="00B940FD"/>
    <w:rsid w:val="00B94122"/>
    <w:rsid w:val="00B9415C"/>
    <w:rsid w:val="00B941F7"/>
    <w:rsid w:val="00B941FB"/>
    <w:rsid w:val="00B94244"/>
    <w:rsid w:val="00B94261"/>
    <w:rsid w:val="00B942AA"/>
    <w:rsid w:val="00B942D0"/>
    <w:rsid w:val="00B94309"/>
    <w:rsid w:val="00B94322"/>
    <w:rsid w:val="00B94387"/>
    <w:rsid w:val="00B943C2"/>
    <w:rsid w:val="00B943C8"/>
    <w:rsid w:val="00B943F3"/>
    <w:rsid w:val="00B94419"/>
    <w:rsid w:val="00B94465"/>
    <w:rsid w:val="00B94485"/>
    <w:rsid w:val="00B944CD"/>
    <w:rsid w:val="00B944DA"/>
    <w:rsid w:val="00B944E1"/>
    <w:rsid w:val="00B9450D"/>
    <w:rsid w:val="00B94522"/>
    <w:rsid w:val="00B9453A"/>
    <w:rsid w:val="00B9456F"/>
    <w:rsid w:val="00B945B5"/>
    <w:rsid w:val="00B94600"/>
    <w:rsid w:val="00B94639"/>
    <w:rsid w:val="00B946B6"/>
    <w:rsid w:val="00B946D4"/>
    <w:rsid w:val="00B94710"/>
    <w:rsid w:val="00B9473D"/>
    <w:rsid w:val="00B94776"/>
    <w:rsid w:val="00B94797"/>
    <w:rsid w:val="00B94798"/>
    <w:rsid w:val="00B9483E"/>
    <w:rsid w:val="00B94862"/>
    <w:rsid w:val="00B9488F"/>
    <w:rsid w:val="00B94918"/>
    <w:rsid w:val="00B9491B"/>
    <w:rsid w:val="00B94950"/>
    <w:rsid w:val="00B94998"/>
    <w:rsid w:val="00B949F5"/>
    <w:rsid w:val="00B94A00"/>
    <w:rsid w:val="00B94A86"/>
    <w:rsid w:val="00B94A98"/>
    <w:rsid w:val="00B94AFB"/>
    <w:rsid w:val="00B94B1D"/>
    <w:rsid w:val="00B94C3D"/>
    <w:rsid w:val="00B94C5A"/>
    <w:rsid w:val="00B94C75"/>
    <w:rsid w:val="00B94CD2"/>
    <w:rsid w:val="00B94CEC"/>
    <w:rsid w:val="00B94DFA"/>
    <w:rsid w:val="00B94DFB"/>
    <w:rsid w:val="00B94E10"/>
    <w:rsid w:val="00B94E2B"/>
    <w:rsid w:val="00B94E5A"/>
    <w:rsid w:val="00B94EBC"/>
    <w:rsid w:val="00B94F23"/>
    <w:rsid w:val="00B94F3D"/>
    <w:rsid w:val="00B94F4D"/>
    <w:rsid w:val="00B94F58"/>
    <w:rsid w:val="00B94F85"/>
    <w:rsid w:val="00B94FFD"/>
    <w:rsid w:val="00B95041"/>
    <w:rsid w:val="00B950B2"/>
    <w:rsid w:val="00B950B7"/>
    <w:rsid w:val="00B950C3"/>
    <w:rsid w:val="00B9518F"/>
    <w:rsid w:val="00B95266"/>
    <w:rsid w:val="00B9528C"/>
    <w:rsid w:val="00B9533C"/>
    <w:rsid w:val="00B95369"/>
    <w:rsid w:val="00B95375"/>
    <w:rsid w:val="00B953E3"/>
    <w:rsid w:val="00B95446"/>
    <w:rsid w:val="00B9544B"/>
    <w:rsid w:val="00B954FC"/>
    <w:rsid w:val="00B95550"/>
    <w:rsid w:val="00B9555A"/>
    <w:rsid w:val="00B95594"/>
    <w:rsid w:val="00B956E4"/>
    <w:rsid w:val="00B956FF"/>
    <w:rsid w:val="00B9579C"/>
    <w:rsid w:val="00B957B6"/>
    <w:rsid w:val="00B957BD"/>
    <w:rsid w:val="00B958DA"/>
    <w:rsid w:val="00B95965"/>
    <w:rsid w:val="00B959BE"/>
    <w:rsid w:val="00B959C7"/>
    <w:rsid w:val="00B95A76"/>
    <w:rsid w:val="00B95A8B"/>
    <w:rsid w:val="00B95ABC"/>
    <w:rsid w:val="00B95AC4"/>
    <w:rsid w:val="00B95B0C"/>
    <w:rsid w:val="00B95B1A"/>
    <w:rsid w:val="00B95B3C"/>
    <w:rsid w:val="00B95B45"/>
    <w:rsid w:val="00B95BC0"/>
    <w:rsid w:val="00B95BD0"/>
    <w:rsid w:val="00B95C6B"/>
    <w:rsid w:val="00B95C80"/>
    <w:rsid w:val="00B95C98"/>
    <w:rsid w:val="00B95CBA"/>
    <w:rsid w:val="00B95CFD"/>
    <w:rsid w:val="00B95D26"/>
    <w:rsid w:val="00B95D6B"/>
    <w:rsid w:val="00B95D92"/>
    <w:rsid w:val="00B95DE7"/>
    <w:rsid w:val="00B95E09"/>
    <w:rsid w:val="00B95EAB"/>
    <w:rsid w:val="00B95EC9"/>
    <w:rsid w:val="00B95EF4"/>
    <w:rsid w:val="00B95EFB"/>
    <w:rsid w:val="00B9607F"/>
    <w:rsid w:val="00B9609E"/>
    <w:rsid w:val="00B9615D"/>
    <w:rsid w:val="00B96160"/>
    <w:rsid w:val="00B96193"/>
    <w:rsid w:val="00B9619A"/>
    <w:rsid w:val="00B961A3"/>
    <w:rsid w:val="00B961F3"/>
    <w:rsid w:val="00B962C7"/>
    <w:rsid w:val="00B962D4"/>
    <w:rsid w:val="00B962E2"/>
    <w:rsid w:val="00B9633C"/>
    <w:rsid w:val="00B96375"/>
    <w:rsid w:val="00B9639D"/>
    <w:rsid w:val="00B963B4"/>
    <w:rsid w:val="00B963BD"/>
    <w:rsid w:val="00B964FF"/>
    <w:rsid w:val="00B96531"/>
    <w:rsid w:val="00B965C0"/>
    <w:rsid w:val="00B965D3"/>
    <w:rsid w:val="00B96669"/>
    <w:rsid w:val="00B966A3"/>
    <w:rsid w:val="00B966E9"/>
    <w:rsid w:val="00B96713"/>
    <w:rsid w:val="00B96728"/>
    <w:rsid w:val="00B96799"/>
    <w:rsid w:val="00B967C2"/>
    <w:rsid w:val="00B96884"/>
    <w:rsid w:val="00B968BC"/>
    <w:rsid w:val="00B9695C"/>
    <w:rsid w:val="00B969D4"/>
    <w:rsid w:val="00B969DC"/>
    <w:rsid w:val="00B96A0A"/>
    <w:rsid w:val="00B96A30"/>
    <w:rsid w:val="00B96A34"/>
    <w:rsid w:val="00B96A4F"/>
    <w:rsid w:val="00B96A5A"/>
    <w:rsid w:val="00B96AE1"/>
    <w:rsid w:val="00B96B4A"/>
    <w:rsid w:val="00B96B54"/>
    <w:rsid w:val="00B96B7B"/>
    <w:rsid w:val="00B96C18"/>
    <w:rsid w:val="00B96C67"/>
    <w:rsid w:val="00B96C6D"/>
    <w:rsid w:val="00B96CA5"/>
    <w:rsid w:val="00B96CBA"/>
    <w:rsid w:val="00B96D0C"/>
    <w:rsid w:val="00B96DB6"/>
    <w:rsid w:val="00B96DC0"/>
    <w:rsid w:val="00B96DD4"/>
    <w:rsid w:val="00B96E0D"/>
    <w:rsid w:val="00B96E3C"/>
    <w:rsid w:val="00B96EC7"/>
    <w:rsid w:val="00B96EC8"/>
    <w:rsid w:val="00B96ECF"/>
    <w:rsid w:val="00B96EF7"/>
    <w:rsid w:val="00B96FC7"/>
    <w:rsid w:val="00B97020"/>
    <w:rsid w:val="00B97097"/>
    <w:rsid w:val="00B970D7"/>
    <w:rsid w:val="00B9711F"/>
    <w:rsid w:val="00B97129"/>
    <w:rsid w:val="00B97197"/>
    <w:rsid w:val="00B971D0"/>
    <w:rsid w:val="00B9722E"/>
    <w:rsid w:val="00B9725B"/>
    <w:rsid w:val="00B972E9"/>
    <w:rsid w:val="00B9732C"/>
    <w:rsid w:val="00B97383"/>
    <w:rsid w:val="00B973EF"/>
    <w:rsid w:val="00B97422"/>
    <w:rsid w:val="00B974B2"/>
    <w:rsid w:val="00B975D1"/>
    <w:rsid w:val="00B9761F"/>
    <w:rsid w:val="00B9766A"/>
    <w:rsid w:val="00B976E0"/>
    <w:rsid w:val="00B97707"/>
    <w:rsid w:val="00B977AC"/>
    <w:rsid w:val="00B977C8"/>
    <w:rsid w:val="00B97835"/>
    <w:rsid w:val="00B97873"/>
    <w:rsid w:val="00B97954"/>
    <w:rsid w:val="00B9795E"/>
    <w:rsid w:val="00B97997"/>
    <w:rsid w:val="00B979D5"/>
    <w:rsid w:val="00B979F9"/>
    <w:rsid w:val="00B97A57"/>
    <w:rsid w:val="00B97A78"/>
    <w:rsid w:val="00B97AD8"/>
    <w:rsid w:val="00B97B8C"/>
    <w:rsid w:val="00B97B8F"/>
    <w:rsid w:val="00B97BF3"/>
    <w:rsid w:val="00B97C16"/>
    <w:rsid w:val="00B97C28"/>
    <w:rsid w:val="00B97C53"/>
    <w:rsid w:val="00B97C7F"/>
    <w:rsid w:val="00B97D42"/>
    <w:rsid w:val="00B97D66"/>
    <w:rsid w:val="00B97D6D"/>
    <w:rsid w:val="00B97D6F"/>
    <w:rsid w:val="00B97DA6"/>
    <w:rsid w:val="00B97DA9"/>
    <w:rsid w:val="00B97DE6"/>
    <w:rsid w:val="00B97E04"/>
    <w:rsid w:val="00B97E83"/>
    <w:rsid w:val="00B97ED6"/>
    <w:rsid w:val="00B97F18"/>
    <w:rsid w:val="00B97F9A"/>
    <w:rsid w:val="00B97FA3"/>
    <w:rsid w:val="00BA000B"/>
    <w:rsid w:val="00BA003B"/>
    <w:rsid w:val="00BA0063"/>
    <w:rsid w:val="00BA006E"/>
    <w:rsid w:val="00BA0079"/>
    <w:rsid w:val="00BA0103"/>
    <w:rsid w:val="00BA0170"/>
    <w:rsid w:val="00BA0248"/>
    <w:rsid w:val="00BA0257"/>
    <w:rsid w:val="00BA0280"/>
    <w:rsid w:val="00BA02F0"/>
    <w:rsid w:val="00BA0307"/>
    <w:rsid w:val="00BA031C"/>
    <w:rsid w:val="00BA032E"/>
    <w:rsid w:val="00BA034F"/>
    <w:rsid w:val="00BA0444"/>
    <w:rsid w:val="00BA0470"/>
    <w:rsid w:val="00BA049C"/>
    <w:rsid w:val="00BA04E8"/>
    <w:rsid w:val="00BA04FD"/>
    <w:rsid w:val="00BA05B4"/>
    <w:rsid w:val="00BA05ED"/>
    <w:rsid w:val="00BA05F9"/>
    <w:rsid w:val="00BA0660"/>
    <w:rsid w:val="00BA06D2"/>
    <w:rsid w:val="00BA06DE"/>
    <w:rsid w:val="00BA0729"/>
    <w:rsid w:val="00BA07F0"/>
    <w:rsid w:val="00BA07FE"/>
    <w:rsid w:val="00BA081E"/>
    <w:rsid w:val="00BA084C"/>
    <w:rsid w:val="00BA087F"/>
    <w:rsid w:val="00BA0890"/>
    <w:rsid w:val="00BA08BA"/>
    <w:rsid w:val="00BA0963"/>
    <w:rsid w:val="00BA0969"/>
    <w:rsid w:val="00BA096A"/>
    <w:rsid w:val="00BA09E9"/>
    <w:rsid w:val="00BA0A51"/>
    <w:rsid w:val="00BA0A6A"/>
    <w:rsid w:val="00BA0A89"/>
    <w:rsid w:val="00BA0AA7"/>
    <w:rsid w:val="00BA0AB3"/>
    <w:rsid w:val="00BA0AEA"/>
    <w:rsid w:val="00BA0B32"/>
    <w:rsid w:val="00BA0C1E"/>
    <w:rsid w:val="00BA0C51"/>
    <w:rsid w:val="00BA0C63"/>
    <w:rsid w:val="00BA0CA8"/>
    <w:rsid w:val="00BA0CE8"/>
    <w:rsid w:val="00BA0D25"/>
    <w:rsid w:val="00BA0DEF"/>
    <w:rsid w:val="00BA0E1B"/>
    <w:rsid w:val="00BA0E51"/>
    <w:rsid w:val="00BA0E86"/>
    <w:rsid w:val="00BA0EEC"/>
    <w:rsid w:val="00BA0F71"/>
    <w:rsid w:val="00BA0FA5"/>
    <w:rsid w:val="00BA107F"/>
    <w:rsid w:val="00BA10BB"/>
    <w:rsid w:val="00BA110D"/>
    <w:rsid w:val="00BA1152"/>
    <w:rsid w:val="00BA1178"/>
    <w:rsid w:val="00BA119E"/>
    <w:rsid w:val="00BA11B1"/>
    <w:rsid w:val="00BA11B9"/>
    <w:rsid w:val="00BA11C7"/>
    <w:rsid w:val="00BA11E1"/>
    <w:rsid w:val="00BA1269"/>
    <w:rsid w:val="00BA12AE"/>
    <w:rsid w:val="00BA12B1"/>
    <w:rsid w:val="00BA12B8"/>
    <w:rsid w:val="00BA12E0"/>
    <w:rsid w:val="00BA1366"/>
    <w:rsid w:val="00BA139C"/>
    <w:rsid w:val="00BA145C"/>
    <w:rsid w:val="00BA147E"/>
    <w:rsid w:val="00BA148B"/>
    <w:rsid w:val="00BA14C1"/>
    <w:rsid w:val="00BA14CF"/>
    <w:rsid w:val="00BA14D7"/>
    <w:rsid w:val="00BA1563"/>
    <w:rsid w:val="00BA156C"/>
    <w:rsid w:val="00BA1596"/>
    <w:rsid w:val="00BA15A0"/>
    <w:rsid w:val="00BA15BA"/>
    <w:rsid w:val="00BA15CA"/>
    <w:rsid w:val="00BA1624"/>
    <w:rsid w:val="00BA168A"/>
    <w:rsid w:val="00BA169E"/>
    <w:rsid w:val="00BA1703"/>
    <w:rsid w:val="00BA173D"/>
    <w:rsid w:val="00BA17E7"/>
    <w:rsid w:val="00BA1805"/>
    <w:rsid w:val="00BA18AB"/>
    <w:rsid w:val="00BA18EC"/>
    <w:rsid w:val="00BA19DD"/>
    <w:rsid w:val="00BA19E0"/>
    <w:rsid w:val="00BA1A97"/>
    <w:rsid w:val="00BA1B3E"/>
    <w:rsid w:val="00BA1BA9"/>
    <w:rsid w:val="00BA1BBA"/>
    <w:rsid w:val="00BA1BCB"/>
    <w:rsid w:val="00BA1BE3"/>
    <w:rsid w:val="00BA1BEB"/>
    <w:rsid w:val="00BA1C88"/>
    <w:rsid w:val="00BA1CF2"/>
    <w:rsid w:val="00BA1D64"/>
    <w:rsid w:val="00BA1D91"/>
    <w:rsid w:val="00BA1E27"/>
    <w:rsid w:val="00BA1F7D"/>
    <w:rsid w:val="00BA1F9C"/>
    <w:rsid w:val="00BA1FA5"/>
    <w:rsid w:val="00BA200F"/>
    <w:rsid w:val="00BA2072"/>
    <w:rsid w:val="00BA20F5"/>
    <w:rsid w:val="00BA2116"/>
    <w:rsid w:val="00BA2179"/>
    <w:rsid w:val="00BA21C8"/>
    <w:rsid w:val="00BA2236"/>
    <w:rsid w:val="00BA223B"/>
    <w:rsid w:val="00BA22BF"/>
    <w:rsid w:val="00BA235A"/>
    <w:rsid w:val="00BA2388"/>
    <w:rsid w:val="00BA23E4"/>
    <w:rsid w:val="00BA2423"/>
    <w:rsid w:val="00BA244F"/>
    <w:rsid w:val="00BA2460"/>
    <w:rsid w:val="00BA24E7"/>
    <w:rsid w:val="00BA24FC"/>
    <w:rsid w:val="00BA2567"/>
    <w:rsid w:val="00BA2580"/>
    <w:rsid w:val="00BA2592"/>
    <w:rsid w:val="00BA2599"/>
    <w:rsid w:val="00BA25C6"/>
    <w:rsid w:val="00BA25D2"/>
    <w:rsid w:val="00BA2678"/>
    <w:rsid w:val="00BA26F2"/>
    <w:rsid w:val="00BA26FA"/>
    <w:rsid w:val="00BA2714"/>
    <w:rsid w:val="00BA27AD"/>
    <w:rsid w:val="00BA2808"/>
    <w:rsid w:val="00BA2852"/>
    <w:rsid w:val="00BA28E7"/>
    <w:rsid w:val="00BA2953"/>
    <w:rsid w:val="00BA2976"/>
    <w:rsid w:val="00BA2978"/>
    <w:rsid w:val="00BA29A3"/>
    <w:rsid w:val="00BA29C3"/>
    <w:rsid w:val="00BA29CD"/>
    <w:rsid w:val="00BA29E3"/>
    <w:rsid w:val="00BA29FB"/>
    <w:rsid w:val="00BA2A08"/>
    <w:rsid w:val="00BA2A1D"/>
    <w:rsid w:val="00BA2B18"/>
    <w:rsid w:val="00BA2B56"/>
    <w:rsid w:val="00BA2B5F"/>
    <w:rsid w:val="00BA2B7A"/>
    <w:rsid w:val="00BA2B84"/>
    <w:rsid w:val="00BA2B89"/>
    <w:rsid w:val="00BA2B9F"/>
    <w:rsid w:val="00BA2BC5"/>
    <w:rsid w:val="00BA2BCE"/>
    <w:rsid w:val="00BA2D30"/>
    <w:rsid w:val="00BA2D6B"/>
    <w:rsid w:val="00BA2D9E"/>
    <w:rsid w:val="00BA2E2B"/>
    <w:rsid w:val="00BA2ED3"/>
    <w:rsid w:val="00BA2EFE"/>
    <w:rsid w:val="00BA2F6C"/>
    <w:rsid w:val="00BA3009"/>
    <w:rsid w:val="00BA300F"/>
    <w:rsid w:val="00BA301F"/>
    <w:rsid w:val="00BA3054"/>
    <w:rsid w:val="00BA306F"/>
    <w:rsid w:val="00BA3108"/>
    <w:rsid w:val="00BA3143"/>
    <w:rsid w:val="00BA3178"/>
    <w:rsid w:val="00BA31A4"/>
    <w:rsid w:val="00BA31D8"/>
    <w:rsid w:val="00BA3278"/>
    <w:rsid w:val="00BA32BE"/>
    <w:rsid w:val="00BA33B8"/>
    <w:rsid w:val="00BA33CD"/>
    <w:rsid w:val="00BA3421"/>
    <w:rsid w:val="00BA3451"/>
    <w:rsid w:val="00BA3458"/>
    <w:rsid w:val="00BA3459"/>
    <w:rsid w:val="00BA345A"/>
    <w:rsid w:val="00BA3468"/>
    <w:rsid w:val="00BA3546"/>
    <w:rsid w:val="00BA3578"/>
    <w:rsid w:val="00BA35F1"/>
    <w:rsid w:val="00BA35F8"/>
    <w:rsid w:val="00BA3651"/>
    <w:rsid w:val="00BA3658"/>
    <w:rsid w:val="00BA366B"/>
    <w:rsid w:val="00BA375F"/>
    <w:rsid w:val="00BA37A2"/>
    <w:rsid w:val="00BA37AC"/>
    <w:rsid w:val="00BA37AD"/>
    <w:rsid w:val="00BA37BF"/>
    <w:rsid w:val="00BA380F"/>
    <w:rsid w:val="00BA384E"/>
    <w:rsid w:val="00BA390B"/>
    <w:rsid w:val="00BA394A"/>
    <w:rsid w:val="00BA39AF"/>
    <w:rsid w:val="00BA39B6"/>
    <w:rsid w:val="00BA3A02"/>
    <w:rsid w:val="00BA3A67"/>
    <w:rsid w:val="00BA3A9A"/>
    <w:rsid w:val="00BA3AB4"/>
    <w:rsid w:val="00BA3B09"/>
    <w:rsid w:val="00BA3B1E"/>
    <w:rsid w:val="00BA3B68"/>
    <w:rsid w:val="00BA3BB0"/>
    <w:rsid w:val="00BA3C17"/>
    <w:rsid w:val="00BA3C19"/>
    <w:rsid w:val="00BA3C6F"/>
    <w:rsid w:val="00BA3C97"/>
    <w:rsid w:val="00BA3D59"/>
    <w:rsid w:val="00BA3EAA"/>
    <w:rsid w:val="00BA3ECA"/>
    <w:rsid w:val="00BA3EDF"/>
    <w:rsid w:val="00BA3EFB"/>
    <w:rsid w:val="00BA3F80"/>
    <w:rsid w:val="00BA3FA6"/>
    <w:rsid w:val="00BA4006"/>
    <w:rsid w:val="00BA4059"/>
    <w:rsid w:val="00BA4067"/>
    <w:rsid w:val="00BA417E"/>
    <w:rsid w:val="00BA41A1"/>
    <w:rsid w:val="00BA41B6"/>
    <w:rsid w:val="00BA41BE"/>
    <w:rsid w:val="00BA4204"/>
    <w:rsid w:val="00BA4295"/>
    <w:rsid w:val="00BA42A6"/>
    <w:rsid w:val="00BA42AB"/>
    <w:rsid w:val="00BA42FC"/>
    <w:rsid w:val="00BA435C"/>
    <w:rsid w:val="00BA43CB"/>
    <w:rsid w:val="00BA43E5"/>
    <w:rsid w:val="00BA4439"/>
    <w:rsid w:val="00BA4444"/>
    <w:rsid w:val="00BA44DD"/>
    <w:rsid w:val="00BA44FA"/>
    <w:rsid w:val="00BA45CC"/>
    <w:rsid w:val="00BA45CF"/>
    <w:rsid w:val="00BA45F5"/>
    <w:rsid w:val="00BA45FD"/>
    <w:rsid w:val="00BA46E0"/>
    <w:rsid w:val="00BA46F3"/>
    <w:rsid w:val="00BA4703"/>
    <w:rsid w:val="00BA473C"/>
    <w:rsid w:val="00BA4864"/>
    <w:rsid w:val="00BA48A6"/>
    <w:rsid w:val="00BA48F7"/>
    <w:rsid w:val="00BA492B"/>
    <w:rsid w:val="00BA4945"/>
    <w:rsid w:val="00BA49C5"/>
    <w:rsid w:val="00BA49C9"/>
    <w:rsid w:val="00BA49ED"/>
    <w:rsid w:val="00BA4A1D"/>
    <w:rsid w:val="00BA4A3D"/>
    <w:rsid w:val="00BA4A71"/>
    <w:rsid w:val="00BA4AA5"/>
    <w:rsid w:val="00BA4B46"/>
    <w:rsid w:val="00BA4B78"/>
    <w:rsid w:val="00BA4BB3"/>
    <w:rsid w:val="00BA4BD2"/>
    <w:rsid w:val="00BA4CB1"/>
    <w:rsid w:val="00BA4D15"/>
    <w:rsid w:val="00BA4E82"/>
    <w:rsid w:val="00BA4EE1"/>
    <w:rsid w:val="00BA4EEB"/>
    <w:rsid w:val="00BA4EFA"/>
    <w:rsid w:val="00BA4F62"/>
    <w:rsid w:val="00BA4FD0"/>
    <w:rsid w:val="00BA4FFF"/>
    <w:rsid w:val="00BA5005"/>
    <w:rsid w:val="00BA5086"/>
    <w:rsid w:val="00BA50BE"/>
    <w:rsid w:val="00BA50C2"/>
    <w:rsid w:val="00BA517A"/>
    <w:rsid w:val="00BA51A6"/>
    <w:rsid w:val="00BA5217"/>
    <w:rsid w:val="00BA5291"/>
    <w:rsid w:val="00BA529F"/>
    <w:rsid w:val="00BA52C6"/>
    <w:rsid w:val="00BA52E4"/>
    <w:rsid w:val="00BA5358"/>
    <w:rsid w:val="00BA5377"/>
    <w:rsid w:val="00BA537C"/>
    <w:rsid w:val="00BA53C6"/>
    <w:rsid w:val="00BA5436"/>
    <w:rsid w:val="00BA543A"/>
    <w:rsid w:val="00BA54BF"/>
    <w:rsid w:val="00BA54FC"/>
    <w:rsid w:val="00BA5519"/>
    <w:rsid w:val="00BA5597"/>
    <w:rsid w:val="00BA55AB"/>
    <w:rsid w:val="00BA55BD"/>
    <w:rsid w:val="00BA5628"/>
    <w:rsid w:val="00BA56D1"/>
    <w:rsid w:val="00BA56F4"/>
    <w:rsid w:val="00BA571C"/>
    <w:rsid w:val="00BA575D"/>
    <w:rsid w:val="00BA579F"/>
    <w:rsid w:val="00BA57F5"/>
    <w:rsid w:val="00BA57FB"/>
    <w:rsid w:val="00BA586B"/>
    <w:rsid w:val="00BA58CD"/>
    <w:rsid w:val="00BA58D6"/>
    <w:rsid w:val="00BA58E6"/>
    <w:rsid w:val="00BA5912"/>
    <w:rsid w:val="00BA59A7"/>
    <w:rsid w:val="00BA5A8C"/>
    <w:rsid w:val="00BA5AC5"/>
    <w:rsid w:val="00BA5B9E"/>
    <w:rsid w:val="00BA5BDC"/>
    <w:rsid w:val="00BA5BF0"/>
    <w:rsid w:val="00BA5C1B"/>
    <w:rsid w:val="00BA5C52"/>
    <w:rsid w:val="00BA5CAF"/>
    <w:rsid w:val="00BA5CB1"/>
    <w:rsid w:val="00BA5D1D"/>
    <w:rsid w:val="00BA5D94"/>
    <w:rsid w:val="00BA5DC3"/>
    <w:rsid w:val="00BA5DD5"/>
    <w:rsid w:val="00BA5DD7"/>
    <w:rsid w:val="00BA5E2C"/>
    <w:rsid w:val="00BA5E57"/>
    <w:rsid w:val="00BA5F48"/>
    <w:rsid w:val="00BA5F73"/>
    <w:rsid w:val="00BA5F97"/>
    <w:rsid w:val="00BA5FD2"/>
    <w:rsid w:val="00BA6069"/>
    <w:rsid w:val="00BA606F"/>
    <w:rsid w:val="00BA607C"/>
    <w:rsid w:val="00BA60E2"/>
    <w:rsid w:val="00BA618F"/>
    <w:rsid w:val="00BA61C6"/>
    <w:rsid w:val="00BA6224"/>
    <w:rsid w:val="00BA628B"/>
    <w:rsid w:val="00BA6324"/>
    <w:rsid w:val="00BA636F"/>
    <w:rsid w:val="00BA63E8"/>
    <w:rsid w:val="00BA63E9"/>
    <w:rsid w:val="00BA63EF"/>
    <w:rsid w:val="00BA640D"/>
    <w:rsid w:val="00BA640E"/>
    <w:rsid w:val="00BA641A"/>
    <w:rsid w:val="00BA645A"/>
    <w:rsid w:val="00BA649D"/>
    <w:rsid w:val="00BA64F8"/>
    <w:rsid w:val="00BA6524"/>
    <w:rsid w:val="00BA65FF"/>
    <w:rsid w:val="00BA6607"/>
    <w:rsid w:val="00BA6628"/>
    <w:rsid w:val="00BA66AF"/>
    <w:rsid w:val="00BA66BC"/>
    <w:rsid w:val="00BA66E1"/>
    <w:rsid w:val="00BA670B"/>
    <w:rsid w:val="00BA67F3"/>
    <w:rsid w:val="00BA6810"/>
    <w:rsid w:val="00BA6818"/>
    <w:rsid w:val="00BA682E"/>
    <w:rsid w:val="00BA687B"/>
    <w:rsid w:val="00BA6882"/>
    <w:rsid w:val="00BA690C"/>
    <w:rsid w:val="00BA6971"/>
    <w:rsid w:val="00BA6983"/>
    <w:rsid w:val="00BA69F1"/>
    <w:rsid w:val="00BA6B97"/>
    <w:rsid w:val="00BA6C02"/>
    <w:rsid w:val="00BA6C66"/>
    <w:rsid w:val="00BA6C6F"/>
    <w:rsid w:val="00BA6CB5"/>
    <w:rsid w:val="00BA6D45"/>
    <w:rsid w:val="00BA6DEE"/>
    <w:rsid w:val="00BA6E43"/>
    <w:rsid w:val="00BA6E9E"/>
    <w:rsid w:val="00BA6EBC"/>
    <w:rsid w:val="00BA6F0A"/>
    <w:rsid w:val="00BA6F20"/>
    <w:rsid w:val="00BA6FA2"/>
    <w:rsid w:val="00BA6FD4"/>
    <w:rsid w:val="00BA7060"/>
    <w:rsid w:val="00BA714E"/>
    <w:rsid w:val="00BA7174"/>
    <w:rsid w:val="00BA71A4"/>
    <w:rsid w:val="00BA71B0"/>
    <w:rsid w:val="00BA71F2"/>
    <w:rsid w:val="00BA71FB"/>
    <w:rsid w:val="00BA7244"/>
    <w:rsid w:val="00BA7295"/>
    <w:rsid w:val="00BA72CB"/>
    <w:rsid w:val="00BA730E"/>
    <w:rsid w:val="00BA7337"/>
    <w:rsid w:val="00BA7355"/>
    <w:rsid w:val="00BA735D"/>
    <w:rsid w:val="00BA73F9"/>
    <w:rsid w:val="00BA7452"/>
    <w:rsid w:val="00BA745F"/>
    <w:rsid w:val="00BA7521"/>
    <w:rsid w:val="00BA7546"/>
    <w:rsid w:val="00BA758C"/>
    <w:rsid w:val="00BA75D2"/>
    <w:rsid w:val="00BA7606"/>
    <w:rsid w:val="00BA761B"/>
    <w:rsid w:val="00BA761D"/>
    <w:rsid w:val="00BA7673"/>
    <w:rsid w:val="00BA7695"/>
    <w:rsid w:val="00BA76D5"/>
    <w:rsid w:val="00BA76E5"/>
    <w:rsid w:val="00BA76E7"/>
    <w:rsid w:val="00BA770F"/>
    <w:rsid w:val="00BA776B"/>
    <w:rsid w:val="00BA7892"/>
    <w:rsid w:val="00BA78D2"/>
    <w:rsid w:val="00BA7918"/>
    <w:rsid w:val="00BA795C"/>
    <w:rsid w:val="00BA7973"/>
    <w:rsid w:val="00BA7A16"/>
    <w:rsid w:val="00BA7A38"/>
    <w:rsid w:val="00BA7A4B"/>
    <w:rsid w:val="00BA7A57"/>
    <w:rsid w:val="00BA7A86"/>
    <w:rsid w:val="00BA7B0A"/>
    <w:rsid w:val="00BA7B2D"/>
    <w:rsid w:val="00BA7B3C"/>
    <w:rsid w:val="00BA7B42"/>
    <w:rsid w:val="00BA7B6A"/>
    <w:rsid w:val="00BA7B70"/>
    <w:rsid w:val="00BA7C9A"/>
    <w:rsid w:val="00BA7CA7"/>
    <w:rsid w:val="00BA7CBD"/>
    <w:rsid w:val="00BA7D56"/>
    <w:rsid w:val="00BA7D90"/>
    <w:rsid w:val="00BA7D94"/>
    <w:rsid w:val="00BA7E50"/>
    <w:rsid w:val="00BA7EB7"/>
    <w:rsid w:val="00BA7F50"/>
    <w:rsid w:val="00BA7FBC"/>
    <w:rsid w:val="00BA7FCA"/>
    <w:rsid w:val="00BA7FF3"/>
    <w:rsid w:val="00BB0015"/>
    <w:rsid w:val="00BB0045"/>
    <w:rsid w:val="00BB00BE"/>
    <w:rsid w:val="00BB00D3"/>
    <w:rsid w:val="00BB00DD"/>
    <w:rsid w:val="00BB010D"/>
    <w:rsid w:val="00BB0167"/>
    <w:rsid w:val="00BB019A"/>
    <w:rsid w:val="00BB0229"/>
    <w:rsid w:val="00BB0276"/>
    <w:rsid w:val="00BB0278"/>
    <w:rsid w:val="00BB0310"/>
    <w:rsid w:val="00BB0354"/>
    <w:rsid w:val="00BB0355"/>
    <w:rsid w:val="00BB03E4"/>
    <w:rsid w:val="00BB0419"/>
    <w:rsid w:val="00BB0473"/>
    <w:rsid w:val="00BB048C"/>
    <w:rsid w:val="00BB04A6"/>
    <w:rsid w:val="00BB0525"/>
    <w:rsid w:val="00BB06C0"/>
    <w:rsid w:val="00BB06F4"/>
    <w:rsid w:val="00BB07AC"/>
    <w:rsid w:val="00BB07B1"/>
    <w:rsid w:val="00BB0818"/>
    <w:rsid w:val="00BB0884"/>
    <w:rsid w:val="00BB088B"/>
    <w:rsid w:val="00BB08BC"/>
    <w:rsid w:val="00BB090F"/>
    <w:rsid w:val="00BB093D"/>
    <w:rsid w:val="00BB09BB"/>
    <w:rsid w:val="00BB09D0"/>
    <w:rsid w:val="00BB09D2"/>
    <w:rsid w:val="00BB09DE"/>
    <w:rsid w:val="00BB0A3A"/>
    <w:rsid w:val="00BB0A73"/>
    <w:rsid w:val="00BB0A96"/>
    <w:rsid w:val="00BB0AB3"/>
    <w:rsid w:val="00BB0AC4"/>
    <w:rsid w:val="00BB0B02"/>
    <w:rsid w:val="00BB0B0D"/>
    <w:rsid w:val="00BB0B5E"/>
    <w:rsid w:val="00BB0B7B"/>
    <w:rsid w:val="00BB0BC1"/>
    <w:rsid w:val="00BB0BCC"/>
    <w:rsid w:val="00BB0C2B"/>
    <w:rsid w:val="00BB0C67"/>
    <w:rsid w:val="00BB0CA5"/>
    <w:rsid w:val="00BB0CE9"/>
    <w:rsid w:val="00BB0D04"/>
    <w:rsid w:val="00BB0D1A"/>
    <w:rsid w:val="00BB0DA2"/>
    <w:rsid w:val="00BB0DBE"/>
    <w:rsid w:val="00BB0DCF"/>
    <w:rsid w:val="00BB0DF6"/>
    <w:rsid w:val="00BB0E07"/>
    <w:rsid w:val="00BB0E8F"/>
    <w:rsid w:val="00BB0F77"/>
    <w:rsid w:val="00BB0FB8"/>
    <w:rsid w:val="00BB0FB9"/>
    <w:rsid w:val="00BB0FE2"/>
    <w:rsid w:val="00BB0FF0"/>
    <w:rsid w:val="00BB0FFA"/>
    <w:rsid w:val="00BB103E"/>
    <w:rsid w:val="00BB1055"/>
    <w:rsid w:val="00BB10DA"/>
    <w:rsid w:val="00BB112D"/>
    <w:rsid w:val="00BB121B"/>
    <w:rsid w:val="00BB123E"/>
    <w:rsid w:val="00BB1270"/>
    <w:rsid w:val="00BB1310"/>
    <w:rsid w:val="00BB1321"/>
    <w:rsid w:val="00BB136C"/>
    <w:rsid w:val="00BB136E"/>
    <w:rsid w:val="00BB138B"/>
    <w:rsid w:val="00BB13A8"/>
    <w:rsid w:val="00BB13BA"/>
    <w:rsid w:val="00BB13C7"/>
    <w:rsid w:val="00BB13E9"/>
    <w:rsid w:val="00BB13EE"/>
    <w:rsid w:val="00BB1510"/>
    <w:rsid w:val="00BB1546"/>
    <w:rsid w:val="00BB1553"/>
    <w:rsid w:val="00BB1589"/>
    <w:rsid w:val="00BB15A6"/>
    <w:rsid w:val="00BB15DC"/>
    <w:rsid w:val="00BB1657"/>
    <w:rsid w:val="00BB1686"/>
    <w:rsid w:val="00BB16CC"/>
    <w:rsid w:val="00BB180D"/>
    <w:rsid w:val="00BB1824"/>
    <w:rsid w:val="00BB1825"/>
    <w:rsid w:val="00BB1848"/>
    <w:rsid w:val="00BB1896"/>
    <w:rsid w:val="00BB1986"/>
    <w:rsid w:val="00BB19A5"/>
    <w:rsid w:val="00BB19C2"/>
    <w:rsid w:val="00BB1AA9"/>
    <w:rsid w:val="00BB1AB6"/>
    <w:rsid w:val="00BB1B6C"/>
    <w:rsid w:val="00BB1BA3"/>
    <w:rsid w:val="00BB1C35"/>
    <w:rsid w:val="00BB1CA7"/>
    <w:rsid w:val="00BB1CC5"/>
    <w:rsid w:val="00BB1CC7"/>
    <w:rsid w:val="00BB1D08"/>
    <w:rsid w:val="00BB1D1F"/>
    <w:rsid w:val="00BB1D35"/>
    <w:rsid w:val="00BB1D99"/>
    <w:rsid w:val="00BB1E20"/>
    <w:rsid w:val="00BB1E25"/>
    <w:rsid w:val="00BB1E31"/>
    <w:rsid w:val="00BB1E78"/>
    <w:rsid w:val="00BB1E7C"/>
    <w:rsid w:val="00BB1EA9"/>
    <w:rsid w:val="00BB1F01"/>
    <w:rsid w:val="00BB1F11"/>
    <w:rsid w:val="00BB2022"/>
    <w:rsid w:val="00BB204B"/>
    <w:rsid w:val="00BB206D"/>
    <w:rsid w:val="00BB20AD"/>
    <w:rsid w:val="00BB20C9"/>
    <w:rsid w:val="00BB20FA"/>
    <w:rsid w:val="00BB2109"/>
    <w:rsid w:val="00BB213B"/>
    <w:rsid w:val="00BB2155"/>
    <w:rsid w:val="00BB21C5"/>
    <w:rsid w:val="00BB22E0"/>
    <w:rsid w:val="00BB2314"/>
    <w:rsid w:val="00BB2349"/>
    <w:rsid w:val="00BB23B9"/>
    <w:rsid w:val="00BB23F6"/>
    <w:rsid w:val="00BB2453"/>
    <w:rsid w:val="00BB245F"/>
    <w:rsid w:val="00BB24B9"/>
    <w:rsid w:val="00BB24DC"/>
    <w:rsid w:val="00BB24F9"/>
    <w:rsid w:val="00BB253D"/>
    <w:rsid w:val="00BB254A"/>
    <w:rsid w:val="00BB2581"/>
    <w:rsid w:val="00BB25A4"/>
    <w:rsid w:val="00BB26DD"/>
    <w:rsid w:val="00BB26E3"/>
    <w:rsid w:val="00BB26F4"/>
    <w:rsid w:val="00BB2702"/>
    <w:rsid w:val="00BB2726"/>
    <w:rsid w:val="00BB2732"/>
    <w:rsid w:val="00BB2736"/>
    <w:rsid w:val="00BB276C"/>
    <w:rsid w:val="00BB27F8"/>
    <w:rsid w:val="00BB2820"/>
    <w:rsid w:val="00BB285D"/>
    <w:rsid w:val="00BB2869"/>
    <w:rsid w:val="00BB2884"/>
    <w:rsid w:val="00BB28F9"/>
    <w:rsid w:val="00BB28FB"/>
    <w:rsid w:val="00BB296E"/>
    <w:rsid w:val="00BB2984"/>
    <w:rsid w:val="00BB29E9"/>
    <w:rsid w:val="00BB29FF"/>
    <w:rsid w:val="00BB2A9F"/>
    <w:rsid w:val="00BB2AC4"/>
    <w:rsid w:val="00BB2B1E"/>
    <w:rsid w:val="00BB2BE4"/>
    <w:rsid w:val="00BB2BE9"/>
    <w:rsid w:val="00BB2BED"/>
    <w:rsid w:val="00BB2C21"/>
    <w:rsid w:val="00BB2C52"/>
    <w:rsid w:val="00BB2CD9"/>
    <w:rsid w:val="00BB2D37"/>
    <w:rsid w:val="00BB2D3A"/>
    <w:rsid w:val="00BB2DAD"/>
    <w:rsid w:val="00BB2DB6"/>
    <w:rsid w:val="00BB2ECC"/>
    <w:rsid w:val="00BB2F19"/>
    <w:rsid w:val="00BB2F1E"/>
    <w:rsid w:val="00BB2F6B"/>
    <w:rsid w:val="00BB2F91"/>
    <w:rsid w:val="00BB2FEA"/>
    <w:rsid w:val="00BB2FF9"/>
    <w:rsid w:val="00BB303B"/>
    <w:rsid w:val="00BB306D"/>
    <w:rsid w:val="00BB3081"/>
    <w:rsid w:val="00BB3084"/>
    <w:rsid w:val="00BB3109"/>
    <w:rsid w:val="00BB317A"/>
    <w:rsid w:val="00BB31CC"/>
    <w:rsid w:val="00BB322A"/>
    <w:rsid w:val="00BB322D"/>
    <w:rsid w:val="00BB3255"/>
    <w:rsid w:val="00BB325F"/>
    <w:rsid w:val="00BB3291"/>
    <w:rsid w:val="00BB3296"/>
    <w:rsid w:val="00BB32E5"/>
    <w:rsid w:val="00BB3300"/>
    <w:rsid w:val="00BB343A"/>
    <w:rsid w:val="00BB3473"/>
    <w:rsid w:val="00BB3484"/>
    <w:rsid w:val="00BB34C8"/>
    <w:rsid w:val="00BB34DC"/>
    <w:rsid w:val="00BB34EC"/>
    <w:rsid w:val="00BB3540"/>
    <w:rsid w:val="00BB3546"/>
    <w:rsid w:val="00BB3640"/>
    <w:rsid w:val="00BB3648"/>
    <w:rsid w:val="00BB3658"/>
    <w:rsid w:val="00BB36C5"/>
    <w:rsid w:val="00BB370B"/>
    <w:rsid w:val="00BB3727"/>
    <w:rsid w:val="00BB3765"/>
    <w:rsid w:val="00BB37EA"/>
    <w:rsid w:val="00BB37EE"/>
    <w:rsid w:val="00BB3814"/>
    <w:rsid w:val="00BB3867"/>
    <w:rsid w:val="00BB3914"/>
    <w:rsid w:val="00BB3949"/>
    <w:rsid w:val="00BB3951"/>
    <w:rsid w:val="00BB3A47"/>
    <w:rsid w:val="00BB3A4D"/>
    <w:rsid w:val="00BB3B34"/>
    <w:rsid w:val="00BB3B4E"/>
    <w:rsid w:val="00BB3BD5"/>
    <w:rsid w:val="00BB3BDA"/>
    <w:rsid w:val="00BB3BE3"/>
    <w:rsid w:val="00BB3C3C"/>
    <w:rsid w:val="00BB3C42"/>
    <w:rsid w:val="00BB3C47"/>
    <w:rsid w:val="00BB3C6B"/>
    <w:rsid w:val="00BB3C7F"/>
    <w:rsid w:val="00BB3C87"/>
    <w:rsid w:val="00BB3C96"/>
    <w:rsid w:val="00BB3D32"/>
    <w:rsid w:val="00BB3D40"/>
    <w:rsid w:val="00BB3D6F"/>
    <w:rsid w:val="00BB3D7A"/>
    <w:rsid w:val="00BB3D7F"/>
    <w:rsid w:val="00BB3DF9"/>
    <w:rsid w:val="00BB3E9A"/>
    <w:rsid w:val="00BB3EEB"/>
    <w:rsid w:val="00BB3F1B"/>
    <w:rsid w:val="00BB3F26"/>
    <w:rsid w:val="00BB3F6E"/>
    <w:rsid w:val="00BB3F76"/>
    <w:rsid w:val="00BB3F89"/>
    <w:rsid w:val="00BB405A"/>
    <w:rsid w:val="00BB40AA"/>
    <w:rsid w:val="00BB40C1"/>
    <w:rsid w:val="00BB40C4"/>
    <w:rsid w:val="00BB410C"/>
    <w:rsid w:val="00BB4124"/>
    <w:rsid w:val="00BB4126"/>
    <w:rsid w:val="00BB4287"/>
    <w:rsid w:val="00BB42CB"/>
    <w:rsid w:val="00BB43AF"/>
    <w:rsid w:val="00BB43D2"/>
    <w:rsid w:val="00BB44D0"/>
    <w:rsid w:val="00BB452B"/>
    <w:rsid w:val="00BB4607"/>
    <w:rsid w:val="00BB462B"/>
    <w:rsid w:val="00BB463B"/>
    <w:rsid w:val="00BB463C"/>
    <w:rsid w:val="00BB46AE"/>
    <w:rsid w:val="00BB46B4"/>
    <w:rsid w:val="00BB46BE"/>
    <w:rsid w:val="00BB4736"/>
    <w:rsid w:val="00BB4752"/>
    <w:rsid w:val="00BB476C"/>
    <w:rsid w:val="00BB47BC"/>
    <w:rsid w:val="00BB480A"/>
    <w:rsid w:val="00BB4813"/>
    <w:rsid w:val="00BB4820"/>
    <w:rsid w:val="00BB482F"/>
    <w:rsid w:val="00BB483A"/>
    <w:rsid w:val="00BB483D"/>
    <w:rsid w:val="00BB4844"/>
    <w:rsid w:val="00BB48CE"/>
    <w:rsid w:val="00BB4992"/>
    <w:rsid w:val="00BB49AC"/>
    <w:rsid w:val="00BB49F1"/>
    <w:rsid w:val="00BB4A3C"/>
    <w:rsid w:val="00BB4A3E"/>
    <w:rsid w:val="00BB4A56"/>
    <w:rsid w:val="00BB4AA4"/>
    <w:rsid w:val="00BB4ADC"/>
    <w:rsid w:val="00BB4AE9"/>
    <w:rsid w:val="00BB4B8D"/>
    <w:rsid w:val="00BB4B9C"/>
    <w:rsid w:val="00BB4BBD"/>
    <w:rsid w:val="00BB4BC5"/>
    <w:rsid w:val="00BB4BE7"/>
    <w:rsid w:val="00BB4C00"/>
    <w:rsid w:val="00BB4C20"/>
    <w:rsid w:val="00BB4C2C"/>
    <w:rsid w:val="00BB4C46"/>
    <w:rsid w:val="00BB4C55"/>
    <w:rsid w:val="00BB4CC3"/>
    <w:rsid w:val="00BB4D0D"/>
    <w:rsid w:val="00BB4D52"/>
    <w:rsid w:val="00BB4D64"/>
    <w:rsid w:val="00BB4DC7"/>
    <w:rsid w:val="00BB4E0A"/>
    <w:rsid w:val="00BB4E4B"/>
    <w:rsid w:val="00BB4E5D"/>
    <w:rsid w:val="00BB4E88"/>
    <w:rsid w:val="00BB4EC4"/>
    <w:rsid w:val="00BB4EDB"/>
    <w:rsid w:val="00BB4F92"/>
    <w:rsid w:val="00BB4FAE"/>
    <w:rsid w:val="00BB4FF1"/>
    <w:rsid w:val="00BB5015"/>
    <w:rsid w:val="00BB5031"/>
    <w:rsid w:val="00BB51D5"/>
    <w:rsid w:val="00BB51E2"/>
    <w:rsid w:val="00BB51E4"/>
    <w:rsid w:val="00BB52AC"/>
    <w:rsid w:val="00BB5317"/>
    <w:rsid w:val="00BB5351"/>
    <w:rsid w:val="00BB53CD"/>
    <w:rsid w:val="00BB5468"/>
    <w:rsid w:val="00BB54E1"/>
    <w:rsid w:val="00BB5526"/>
    <w:rsid w:val="00BB5535"/>
    <w:rsid w:val="00BB555B"/>
    <w:rsid w:val="00BB5647"/>
    <w:rsid w:val="00BB5675"/>
    <w:rsid w:val="00BB5692"/>
    <w:rsid w:val="00BB5731"/>
    <w:rsid w:val="00BB5754"/>
    <w:rsid w:val="00BB5761"/>
    <w:rsid w:val="00BB577C"/>
    <w:rsid w:val="00BB57B1"/>
    <w:rsid w:val="00BB57D0"/>
    <w:rsid w:val="00BB57DE"/>
    <w:rsid w:val="00BB57EF"/>
    <w:rsid w:val="00BB5821"/>
    <w:rsid w:val="00BB5829"/>
    <w:rsid w:val="00BB583A"/>
    <w:rsid w:val="00BB58C0"/>
    <w:rsid w:val="00BB58FF"/>
    <w:rsid w:val="00BB598C"/>
    <w:rsid w:val="00BB598D"/>
    <w:rsid w:val="00BB59DB"/>
    <w:rsid w:val="00BB5A24"/>
    <w:rsid w:val="00BB5A5A"/>
    <w:rsid w:val="00BB5AA2"/>
    <w:rsid w:val="00BB5AF5"/>
    <w:rsid w:val="00BB5B32"/>
    <w:rsid w:val="00BB5B67"/>
    <w:rsid w:val="00BB5C2E"/>
    <w:rsid w:val="00BB5C58"/>
    <w:rsid w:val="00BB5CC0"/>
    <w:rsid w:val="00BB5D99"/>
    <w:rsid w:val="00BB5DE4"/>
    <w:rsid w:val="00BB5E1A"/>
    <w:rsid w:val="00BB5E3C"/>
    <w:rsid w:val="00BB5E8D"/>
    <w:rsid w:val="00BB5E9B"/>
    <w:rsid w:val="00BB5EA7"/>
    <w:rsid w:val="00BB5ECD"/>
    <w:rsid w:val="00BB5ECF"/>
    <w:rsid w:val="00BB5EF1"/>
    <w:rsid w:val="00BB5F8A"/>
    <w:rsid w:val="00BB602F"/>
    <w:rsid w:val="00BB604C"/>
    <w:rsid w:val="00BB6079"/>
    <w:rsid w:val="00BB607B"/>
    <w:rsid w:val="00BB60A4"/>
    <w:rsid w:val="00BB60BE"/>
    <w:rsid w:val="00BB60D9"/>
    <w:rsid w:val="00BB6172"/>
    <w:rsid w:val="00BB61B5"/>
    <w:rsid w:val="00BB628C"/>
    <w:rsid w:val="00BB6291"/>
    <w:rsid w:val="00BB6346"/>
    <w:rsid w:val="00BB63A5"/>
    <w:rsid w:val="00BB63BA"/>
    <w:rsid w:val="00BB63E6"/>
    <w:rsid w:val="00BB641B"/>
    <w:rsid w:val="00BB6425"/>
    <w:rsid w:val="00BB64B0"/>
    <w:rsid w:val="00BB64D6"/>
    <w:rsid w:val="00BB64FF"/>
    <w:rsid w:val="00BB65C7"/>
    <w:rsid w:val="00BB65F0"/>
    <w:rsid w:val="00BB66FB"/>
    <w:rsid w:val="00BB6751"/>
    <w:rsid w:val="00BB6810"/>
    <w:rsid w:val="00BB68C0"/>
    <w:rsid w:val="00BB68F8"/>
    <w:rsid w:val="00BB6900"/>
    <w:rsid w:val="00BB6918"/>
    <w:rsid w:val="00BB6921"/>
    <w:rsid w:val="00BB6975"/>
    <w:rsid w:val="00BB6A90"/>
    <w:rsid w:val="00BB6AD5"/>
    <w:rsid w:val="00BB6AFF"/>
    <w:rsid w:val="00BB6B0B"/>
    <w:rsid w:val="00BB6B11"/>
    <w:rsid w:val="00BB6B3F"/>
    <w:rsid w:val="00BB6B66"/>
    <w:rsid w:val="00BB6B8E"/>
    <w:rsid w:val="00BB6BBF"/>
    <w:rsid w:val="00BB6C15"/>
    <w:rsid w:val="00BB6C1B"/>
    <w:rsid w:val="00BB6CA0"/>
    <w:rsid w:val="00BB6CBB"/>
    <w:rsid w:val="00BB6CBD"/>
    <w:rsid w:val="00BB6CD1"/>
    <w:rsid w:val="00BB6D26"/>
    <w:rsid w:val="00BB6D5F"/>
    <w:rsid w:val="00BB6D6F"/>
    <w:rsid w:val="00BB6D83"/>
    <w:rsid w:val="00BB6DE6"/>
    <w:rsid w:val="00BB6E01"/>
    <w:rsid w:val="00BB6E1C"/>
    <w:rsid w:val="00BB6E3C"/>
    <w:rsid w:val="00BB6EE6"/>
    <w:rsid w:val="00BB6EEB"/>
    <w:rsid w:val="00BB6F9D"/>
    <w:rsid w:val="00BB6FBB"/>
    <w:rsid w:val="00BB6FCB"/>
    <w:rsid w:val="00BB703D"/>
    <w:rsid w:val="00BB7058"/>
    <w:rsid w:val="00BB70D4"/>
    <w:rsid w:val="00BB70EB"/>
    <w:rsid w:val="00BB711A"/>
    <w:rsid w:val="00BB7171"/>
    <w:rsid w:val="00BB717E"/>
    <w:rsid w:val="00BB7190"/>
    <w:rsid w:val="00BB720E"/>
    <w:rsid w:val="00BB72B5"/>
    <w:rsid w:val="00BB72BF"/>
    <w:rsid w:val="00BB73D8"/>
    <w:rsid w:val="00BB7424"/>
    <w:rsid w:val="00BB742A"/>
    <w:rsid w:val="00BB748B"/>
    <w:rsid w:val="00BB7597"/>
    <w:rsid w:val="00BB75B2"/>
    <w:rsid w:val="00BB75C9"/>
    <w:rsid w:val="00BB75F1"/>
    <w:rsid w:val="00BB7620"/>
    <w:rsid w:val="00BB76ED"/>
    <w:rsid w:val="00BB76FA"/>
    <w:rsid w:val="00BB771F"/>
    <w:rsid w:val="00BB7754"/>
    <w:rsid w:val="00BB777C"/>
    <w:rsid w:val="00BB77C0"/>
    <w:rsid w:val="00BB7815"/>
    <w:rsid w:val="00BB7816"/>
    <w:rsid w:val="00BB7834"/>
    <w:rsid w:val="00BB784D"/>
    <w:rsid w:val="00BB797C"/>
    <w:rsid w:val="00BB7AA9"/>
    <w:rsid w:val="00BB7AC5"/>
    <w:rsid w:val="00BB7AD8"/>
    <w:rsid w:val="00BB7B1D"/>
    <w:rsid w:val="00BB7B53"/>
    <w:rsid w:val="00BB7B5C"/>
    <w:rsid w:val="00BB7B8E"/>
    <w:rsid w:val="00BB7C1B"/>
    <w:rsid w:val="00BB7C7A"/>
    <w:rsid w:val="00BB7C86"/>
    <w:rsid w:val="00BB7C98"/>
    <w:rsid w:val="00BB7CD6"/>
    <w:rsid w:val="00BB7CF3"/>
    <w:rsid w:val="00BB7D33"/>
    <w:rsid w:val="00BB7D63"/>
    <w:rsid w:val="00BB7D7A"/>
    <w:rsid w:val="00BB7D7D"/>
    <w:rsid w:val="00BB7DA4"/>
    <w:rsid w:val="00BB7DCF"/>
    <w:rsid w:val="00BB7DEF"/>
    <w:rsid w:val="00BB7E0F"/>
    <w:rsid w:val="00BB7E31"/>
    <w:rsid w:val="00BB7EA4"/>
    <w:rsid w:val="00BB7EA9"/>
    <w:rsid w:val="00BB7F62"/>
    <w:rsid w:val="00BB7F68"/>
    <w:rsid w:val="00BB7F9D"/>
    <w:rsid w:val="00BB7FC4"/>
    <w:rsid w:val="00BC0002"/>
    <w:rsid w:val="00BC0007"/>
    <w:rsid w:val="00BC0033"/>
    <w:rsid w:val="00BC006D"/>
    <w:rsid w:val="00BC00DB"/>
    <w:rsid w:val="00BC0133"/>
    <w:rsid w:val="00BC0136"/>
    <w:rsid w:val="00BC0155"/>
    <w:rsid w:val="00BC01B7"/>
    <w:rsid w:val="00BC022B"/>
    <w:rsid w:val="00BC025C"/>
    <w:rsid w:val="00BC02A6"/>
    <w:rsid w:val="00BC02CD"/>
    <w:rsid w:val="00BC045E"/>
    <w:rsid w:val="00BC0465"/>
    <w:rsid w:val="00BC0486"/>
    <w:rsid w:val="00BC054C"/>
    <w:rsid w:val="00BC05A5"/>
    <w:rsid w:val="00BC06E1"/>
    <w:rsid w:val="00BC06E4"/>
    <w:rsid w:val="00BC06FE"/>
    <w:rsid w:val="00BC0758"/>
    <w:rsid w:val="00BC085D"/>
    <w:rsid w:val="00BC0865"/>
    <w:rsid w:val="00BC0894"/>
    <w:rsid w:val="00BC08C1"/>
    <w:rsid w:val="00BC0962"/>
    <w:rsid w:val="00BC096C"/>
    <w:rsid w:val="00BC0A01"/>
    <w:rsid w:val="00BC0A5E"/>
    <w:rsid w:val="00BC0A8B"/>
    <w:rsid w:val="00BC0B1E"/>
    <w:rsid w:val="00BC0B4F"/>
    <w:rsid w:val="00BC0C0F"/>
    <w:rsid w:val="00BC0C37"/>
    <w:rsid w:val="00BC0C3F"/>
    <w:rsid w:val="00BC0D44"/>
    <w:rsid w:val="00BC0D46"/>
    <w:rsid w:val="00BC0D51"/>
    <w:rsid w:val="00BC0DED"/>
    <w:rsid w:val="00BC0E2B"/>
    <w:rsid w:val="00BC0E8B"/>
    <w:rsid w:val="00BC0EB3"/>
    <w:rsid w:val="00BC0EC3"/>
    <w:rsid w:val="00BC0F0C"/>
    <w:rsid w:val="00BC0F75"/>
    <w:rsid w:val="00BC102D"/>
    <w:rsid w:val="00BC104D"/>
    <w:rsid w:val="00BC10B3"/>
    <w:rsid w:val="00BC10C2"/>
    <w:rsid w:val="00BC114A"/>
    <w:rsid w:val="00BC116E"/>
    <w:rsid w:val="00BC11A9"/>
    <w:rsid w:val="00BC12E9"/>
    <w:rsid w:val="00BC1327"/>
    <w:rsid w:val="00BC1452"/>
    <w:rsid w:val="00BC14DC"/>
    <w:rsid w:val="00BC14F3"/>
    <w:rsid w:val="00BC1517"/>
    <w:rsid w:val="00BC1525"/>
    <w:rsid w:val="00BC154C"/>
    <w:rsid w:val="00BC155A"/>
    <w:rsid w:val="00BC1573"/>
    <w:rsid w:val="00BC1579"/>
    <w:rsid w:val="00BC1598"/>
    <w:rsid w:val="00BC15FF"/>
    <w:rsid w:val="00BC1604"/>
    <w:rsid w:val="00BC16E7"/>
    <w:rsid w:val="00BC1758"/>
    <w:rsid w:val="00BC175C"/>
    <w:rsid w:val="00BC1760"/>
    <w:rsid w:val="00BC1762"/>
    <w:rsid w:val="00BC178E"/>
    <w:rsid w:val="00BC17D0"/>
    <w:rsid w:val="00BC184B"/>
    <w:rsid w:val="00BC1866"/>
    <w:rsid w:val="00BC1937"/>
    <w:rsid w:val="00BC19A9"/>
    <w:rsid w:val="00BC1A4C"/>
    <w:rsid w:val="00BC1A52"/>
    <w:rsid w:val="00BC1A60"/>
    <w:rsid w:val="00BC1AE9"/>
    <w:rsid w:val="00BC1B24"/>
    <w:rsid w:val="00BC1B31"/>
    <w:rsid w:val="00BC1B3F"/>
    <w:rsid w:val="00BC1B8E"/>
    <w:rsid w:val="00BC1C4E"/>
    <w:rsid w:val="00BC1C58"/>
    <w:rsid w:val="00BC1CA3"/>
    <w:rsid w:val="00BC1CB3"/>
    <w:rsid w:val="00BC1CB4"/>
    <w:rsid w:val="00BC1CC8"/>
    <w:rsid w:val="00BC1CCE"/>
    <w:rsid w:val="00BC1DA7"/>
    <w:rsid w:val="00BC1DBA"/>
    <w:rsid w:val="00BC1DFB"/>
    <w:rsid w:val="00BC1E2F"/>
    <w:rsid w:val="00BC1E4F"/>
    <w:rsid w:val="00BC1E90"/>
    <w:rsid w:val="00BC1EE0"/>
    <w:rsid w:val="00BC1F07"/>
    <w:rsid w:val="00BC1F67"/>
    <w:rsid w:val="00BC1F72"/>
    <w:rsid w:val="00BC1F86"/>
    <w:rsid w:val="00BC1FAA"/>
    <w:rsid w:val="00BC2015"/>
    <w:rsid w:val="00BC2086"/>
    <w:rsid w:val="00BC20E4"/>
    <w:rsid w:val="00BC20F8"/>
    <w:rsid w:val="00BC21B3"/>
    <w:rsid w:val="00BC2215"/>
    <w:rsid w:val="00BC2239"/>
    <w:rsid w:val="00BC228A"/>
    <w:rsid w:val="00BC2298"/>
    <w:rsid w:val="00BC22B3"/>
    <w:rsid w:val="00BC238F"/>
    <w:rsid w:val="00BC2395"/>
    <w:rsid w:val="00BC2486"/>
    <w:rsid w:val="00BC24AF"/>
    <w:rsid w:val="00BC24BE"/>
    <w:rsid w:val="00BC24E7"/>
    <w:rsid w:val="00BC24F2"/>
    <w:rsid w:val="00BC250E"/>
    <w:rsid w:val="00BC25F2"/>
    <w:rsid w:val="00BC2621"/>
    <w:rsid w:val="00BC2640"/>
    <w:rsid w:val="00BC2655"/>
    <w:rsid w:val="00BC2681"/>
    <w:rsid w:val="00BC26C1"/>
    <w:rsid w:val="00BC26C2"/>
    <w:rsid w:val="00BC26DB"/>
    <w:rsid w:val="00BC2733"/>
    <w:rsid w:val="00BC2745"/>
    <w:rsid w:val="00BC2746"/>
    <w:rsid w:val="00BC2769"/>
    <w:rsid w:val="00BC277A"/>
    <w:rsid w:val="00BC2780"/>
    <w:rsid w:val="00BC27A3"/>
    <w:rsid w:val="00BC2838"/>
    <w:rsid w:val="00BC288A"/>
    <w:rsid w:val="00BC28CC"/>
    <w:rsid w:val="00BC290E"/>
    <w:rsid w:val="00BC291D"/>
    <w:rsid w:val="00BC2A1B"/>
    <w:rsid w:val="00BC2AEB"/>
    <w:rsid w:val="00BC2B0B"/>
    <w:rsid w:val="00BC2B1A"/>
    <w:rsid w:val="00BC2B1B"/>
    <w:rsid w:val="00BC2BBB"/>
    <w:rsid w:val="00BC2BCE"/>
    <w:rsid w:val="00BC2C49"/>
    <w:rsid w:val="00BC2C9E"/>
    <w:rsid w:val="00BC2CCB"/>
    <w:rsid w:val="00BC2CE2"/>
    <w:rsid w:val="00BC2D1C"/>
    <w:rsid w:val="00BC2D1E"/>
    <w:rsid w:val="00BC2D31"/>
    <w:rsid w:val="00BC2D49"/>
    <w:rsid w:val="00BC2D95"/>
    <w:rsid w:val="00BC2DB6"/>
    <w:rsid w:val="00BC2DEE"/>
    <w:rsid w:val="00BC2DF0"/>
    <w:rsid w:val="00BC2E03"/>
    <w:rsid w:val="00BC2E3A"/>
    <w:rsid w:val="00BC2E55"/>
    <w:rsid w:val="00BC2E67"/>
    <w:rsid w:val="00BC2E9B"/>
    <w:rsid w:val="00BC2FE3"/>
    <w:rsid w:val="00BC301B"/>
    <w:rsid w:val="00BC3020"/>
    <w:rsid w:val="00BC3093"/>
    <w:rsid w:val="00BC3095"/>
    <w:rsid w:val="00BC3171"/>
    <w:rsid w:val="00BC319A"/>
    <w:rsid w:val="00BC320E"/>
    <w:rsid w:val="00BC3216"/>
    <w:rsid w:val="00BC3264"/>
    <w:rsid w:val="00BC32C5"/>
    <w:rsid w:val="00BC3321"/>
    <w:rsid w:val="00BC333B"/>
    <w:rsid w:val="00BC334F"/>
    <w:rsid w:val="00BC33AA"/>
    <w:rsid w:val="00BC33B3"/>
    <w:rsid w:val="00BC33BC"/>
    <w:rsid w:val="00BC33F8"/>
    <w:rsid w:val="00BC3454"/>
    <w:rsid w:val="00BC34E7"/>
    <w:rsid w:val="00BC34F8"/>
    <w:rsid w:val="00BC34FF"/>
    <w:rsid w:val="00BC352C"/>
    <w:rsid w:val="00BC365D"/>
    <w:rsid w:val="00BC366E"/>
    <w:rsid w:val="00BC377D"/>
    <w:rsid w:val="00BC3784"/>
    <w:rsid w:val="00BC37CB"/>
    <w:rsid w:val="00BC37E0"/>
    <w:rsid w:val="00BC37FA"/>
    <w:rsid w:val="00BC383D"/>
    <w:rsid w:val="00BC3889"/>
    <w:rsid w:val="00BC389C"/>
    <w:rsid w:val="00BC38B4"/>
    <w:rsid w:val="00BC38C0"/>
    <w:rsid w:val="00BC3935"/>
    <w:rsid w:val="00BC3992"/>
    <w:rsid w:val="00BC39F1"/>
    <w:rsid w:val="00BC3AA4"/>
    <w:rsid w:val="00BC3AFB"/>
    <w:rsid w:val="00BC3AFD"/>
    <w:rsid w:val="00BC3B68"/>
    <w:rsid w:val="00BC3BCE"/>
    <w:rsid w:val="00BC3BCF"/>
    <w:rsid w:val="00BC3BDF"/>
    <w:rsid w:val="00BC3C01"/>
    <w:rsid w:val="00BC3C53"/>
    <w:rsid w:val="00BC3CB5"/>
    <w:rsid w:val="00BC3CE8"/>
    <w:rsid w:val="00BC3CED"/>
    <w:rsid w:val="00BC3DAB"/>
    <w:rsid w:val="00BC3DCF"/>
    <w:rsid w:val="00BC3E03"/>
    <w:rsid w:val="00BC3E8D"/>
    <w:rsid w:val="00BC3F24"/>
    <w:rsid w:val="00BC3FEA"/>
    <w:rsid w:val="00BC3FFA"/>
    <w:rsid w:val="00BC4067"/>
    <w:rsid w:val="00BC40B1"/>
    <w:rsid w:val="00BC40DD"/>
    <w:rsid w:val="00BC415B"/>
    <w:rsid w:val="00BC4172"/>
    <w:rsid w:val="00BC41B9"/>
    <w:rsid w:val="00BC41D3"/>
    <w:rsid w:val="00BC426C"/>
    <w:rsid w:val="00BC42AE"/>
    <w:rsid w:val="00BC42B6"/>
    <w:rsid w:val="00BC43C8"/>
    <w:rsid w:val="00BC43F1"/>
    <w:rsid w:val="00BC4405"/>
    <w:rsid w:val="00BC451C"/>
    <w:rsid w:val="00BC4583"/>
    <w:rsid w:val="00BC459C"/>
    <w:rsid w:val="00BC45A5"/>
    <w:rsid w:val="00BC4607"/>
    <w:rsid w:val="00BC4621"/>
    <w:rsid w:val="00BC467B"/>
    <w:rsid w:val="00BC4681"/>
    <w:rsid w:val="00BC46D1"/>
    <w:rsid w:val="00BC4723"/>
    <w:rsid w:val="00BC4794"/>
    <w:rsid w:val="00BC4860"/>
    <w:rsid w:val="00BC48CE"/>
    <w:rsid w:val="00BC4910"/>
    <w:rsid w:val="00BC4929"/>
    <w:rsid w:val="00BC49E2"/>
    <w:rsid w:val="00BC4A45"/>
    <w:rsid w:val="00BC4A8F"/>
    <w:rsid w:val="00BC4A99"/>
    <w:rsid w:val="00BC4AAC"/>
    <w:rsid w:val="00BC4AEB"/>
    <w:rsid w:val="00BC4B9E"/>
    <w:rsid w:val="00BC4BD5"/>
    <w:rsid w:val="00BC4BD7"/>
    <w:rsid w:val="00BC4BE5"/>
    <w:rsid w:val="00BC4C0F"/>
    <w:rsid w:val="00BC4CB6"/>
    <w:rsid w:val="00BC4CFC"/>
    <w:rsid w:val="00BC4D61"/>
    <w:rsid w:val="00BC4DAD"/>
    <w:rsid w:val="00BC4DBB"/>
    <w:rsid w:val="00BC4E77"/>
    <w:rsid w:val="00BC4EED"/>
    <w:rsid w:val="00BC4F0E"/>
    <w:rsid w:val="00BC4F46"/>
    <w:rsid w:val="00BC4F57"/>
    <w:rsid w:val="00BC4F59"/>
    <w:rsid w:val="00BC4F69"/>
    <w:rsid w:val="00BC4F6F"/>
    <w:rsid w:val="00BC4F73"/>
    <w:rsid w:val="00BC4FD4"/>
    <w:rsid w:val="00BC500C"/>
    <w:rsid w:val="00BC5094"/>
    <w:rsid w:val="00BC5098"/>
    <w:rsid w:val="00BC50BA"/>
    <w:rsid w:val="00BC5117"/>
    <w:rsid w:val="00BC52A0"/>
    <w:rsid w:val="00BC5300"/>
    <w:rsid w:val="00BC5327"/>
    <w:rsid w:val="00BC532F"/>
    <w:rsid w:val="00BC537A"/>
    <w:rsid w:val="00BC53A8"/>
    <w:rsid w:val="00BC53FA"/>
    <w:rsid w:val="00BC5416"/>
    <w:rsid w:val="00BC54C6"/>
    <w:rsid w:val="00BC5557"/>
    <w:rsid w:val="00BC5627"/>
    <w:rsid w:val="00BC5685"/>
    <w:rsid w:val="00BC5689"/>
    <w:rsid w:val="00BC56C9"/>
    <w:rsid w:val="00BC56CB"/>
    <w:rsid w:val="00BC56E5"/>
    <w:rsid w:val="00BC5729"/>
    <w:rsid w:val="00BC5734"/>
    <w:rsid w:val="00BC576B"/>
    <w:rsid w:val="00BC576C"/>
    <w:rsid w:val="00BC5837"/>
    <w:rsid w:val="00BC589F"/>
    <w:rsid w:val="00BC58AB"/>
    <w:rsid w:val="00BC58BF"/>
    <w:rsid w:val="00BC5935"/>
    <w:rsid w:val="00BC595E"/>
    <w:rsid w:val="00BC5984"/>
    <w:rsid w:val="00BC5A53"/>
    <w:rsid w:val="00BC5AB2"/>
    <w:rsid w:val="00BC5ABB"/>
    <w:rsid w:val="00BC5AC5"/>
    <w:rsid w:val="00BC5BB4"/>
    <w:rsid w:val="00BC5BDC"/>
    <w:rsid w:val="00BC5C18"/>
    <w:rsid w:val="00BC5C3D"/>
    <w:rsid w:val="00BC5C49"/>
    <w:rsid w:val="00BC5C55"/>
    <w:rsid w:val="00BC5C82"/>
    <w:rsid w:val="00BC5CA8"/>
    <w:rsid w:val="00BC5CC4"/>
    <w:rsid w:val="00BC5D13"/>
    <w:rsid w:val="00BC5E6E"/>
    <w:rsid w:val="00BC5EA1"/>
    <w:rsid w:val="00BC5EA9"/>
    <w:rsid w:val="00BC5F4A"/>
    <w:rsid w:val="00BC5F55"/>
    <w:rsid w:val="00BC5FBB"/>
    <w:rsid w:val="00BC5FCC"/>
    <w:rsid w:val="00BC5FE6"/>
    <w:rsid w:val="00BC604C"/>
    <w:rsid w:val="00BC607D"/>
    <w:rsid w:val="00BC60D7"/>
    <w:rsid w:val="00BC6188"/>
    <w:rsid w:val="00BC61A5"/>
    <w:rsid w:val="00BC6256"/>
    <w:rsid w:val="00BC6261"/>
    <w:rsid w:val="00BC630A"/>
    <w:rsid w:val="00BC6320"/>
    <w:rsid w:val="00BC6333"/>
    <w:rsid w:val="00BC636F"/>
    <w:rsid w:val="00BC6377"/>
    <w:rsid w:val="00BC6383"/>
    <w:rsid w:val="00BC6385"/>
    <w:rsid w:val="00BC63FB"/>
    <w:rsid w:val="00BC6404"/>
    <w:rsid w:val="00BC6542"/>
    <w:rsid w:val="00BC65E6"/>
    <w:rsid w:val="00BC65E9"/>
    <w:rsid w:val="00BC6629"/>
    <w:rsid w:val="00BC665C"/>
    <w:rsid w:val="00BC67BE"/>
    <w:rsid w:val="00BC6852"/>
    <w:rsid w:val="00BC6937"/>
    <w:rsid w:val="00BC6938"/>
    <w:rsid w:val="00BC6952"/>
    <w:rsid w:val="00BC69D6"/>
    <w:rsid w:val="00BC69EC"/>
    <w:rsid w:val="00BC6A2F"/>
    <w:rsid w:val="00BC6A49"/>
    <w:rsid w:val="00BC6A4E"/>
    <w:rsid w:val="00BC6ADD"/>
    <w:rsid w:val="00BC6B1D"/>
    <w:rsid w:val="00BC6BFA"/>
    <w:rsid w:val="00BC6D3E"/>
    <w:rsid w:val="00BC6D89"/>
    <w:rsid w:val="00BC6DC5"/>
    <w:rsid w:val="00BC6E80"/>
    <w:rsid w:val="00BC6EBC"/>
    <w:rsid w:val="00BC6ECF"/>
    <w:rsid w:val="00BC6F0A"/>
    <w:rsid w:val="00BC6F81"/>
    <w:rsid w:val="00BC6F9A"/>
    <w:rsid w:val="00BC7065"/>
    <w:rsid w:val="00BC7077"/>
    <w:rsid w:val="00BC7103"/>
    <w:rsid w:val="00BC7134"/>
    <w:rsid w:val="00BC7152"/>
    <w:rsid w:val="00BC7178"/>
    <w:rsid w:val="00BC7198"/>
    <w:rsid w:val="00BC71C8"/>
    <w:rsid w:val="00BC71F3"/>
    <w:rsid w:val="00BC723B"/>
    <w:rsid w:val="00BC723C"/>
    <w:rsid w:val="00BC7261"/>
    <w:rsid w:val="00BC728D"/>
    <w:rsid w:val="00BC72D3"/>
    <w:rsid w:val="00BC72E6"/>
    <w:rsid w:val="00BC731A"/>
    <w:rsid w:val="00BC73AB"/>
    <w:rsid w:val="00BC73C3"/>
    <w:rsid w:val="00BC7417"/>
    <w:rsid w:val="00BC741E"/>
    <w:rsid w:val="00BC742D"/>
    <w:rsid w:val="00BC7434"/>
    <w:rsid w:val="00BC7481"/>
    <w:rsid w:val="00BC74BD"/>
    <w:rsid w:val="00BC752B"/>
    <w:rsid w:val="00BC7553"/>
    <w:rsid w:val="00BC75BC"/>
    <w:rsid w:val="00BC766E"/>
    <w:rsid w:val="00BC76C4"/>
    <w:rsid w:val="00BC76EA"/>
    <w:rsid w:val="00BC77C9"/>
    <w:rsid w:val="00BC7821"/>
    <w:rsid w:val="00BC78EB"/>
    <w:rsid w:val="00BC792C"/>
    <w:rsid w:val="00BC7956"/>
    <w:rsid w:val="00BC7A27"/>
    <w:rsid w:val="00BC7A65"/>
    <w:rsid w:val="00BC7A90"/>
    <w:rsid w:val="00BC7AA6"/>
    <w:rsid w:val="00BC7ABD"/>
    <w:rsid w:val="00BC7ACB"/>
    <w:rsid w:val="00BC7B60"/>
    <w:rsid w:val="00BC7B8E"/>
    <w:rsid w:val="00BC7BDE"/>
    <w:rsid w:val="00BC7BEE"/>
    <w:rsid w:val="00BC7C69"/>
    <w:rsid w:val="00BC7C7A"/>
    <w:rsid w:val="00BC7CB8"/>
    <w:rsid w:val="00BC7CC2"/>
    <w:rsid w:val="00BC7D53"/>
    <w:rsid w:val="00BC7E0D"/>
    <w:rsid w:val="00BC7E30"/>
    <w:rsid w:val="00BC7E86"/>
    <w:rsid w:val="00BC7E87"/>
    <w:rsid w:val="00BC7ECC"/>
    <w:rsid w:val="00BC7F18"/>
    <w:rsid w:val="00BC7F76"/>
    <w:rsid w:val="00BC7FA8"/>
    <w:rsid w:val="00BD002B"/>
    <w:rsid w:val="00BD0083"/>
    <w:rsid w:val="00BD0127"/>
    <w:rsid w:val="00BD014A"/>
    <w:rsid w:val="00BD0192"/>
    <w:rsid w:val="00BD019E"/>
    <w:rsid w:val="00BD01AE"/>
    <w:rsid w:val="00BD01F9"/>
    <w:rsid w:val="00BD0260"/>
    <w:rsid w:val="00BD02A9"/>
    <w:rsid w:val="00BD02C9"/>
    <w:rsid w:val="00BD0327"/>
    <w:rsid w:val="00BD0343"/>
    <w:rsid w:val="00BD0353"/>
    <w:rsid w:val="00BD03BC"/>
    <w:rsid w:val="00BD03BE"/>
    <w:rsid w:val="00BD03BF"/>
    <w:rsid w:val="00BD03C9"/>
    <w:rsid w:val="00BD03D1"/>
    <w:rsid w:val="00BD0469"/>
    <w:rsid w:val="00BD0494"/>
    <w:rsid w:val="00BD0560"/>
    <w:rsid w:val="00BD057E"/>
    <w:rsid w:val="00BD05B4"/>
    <w:rsid w:val="00BD0606"/>
    <w:rsid w:val="00BD068E"/>
    <w:rsid w:val="00BD06A7"/>
    <w:rsid w:val="00BD06B0"/>
    <w:rsid w:val="00BD06FF"/>
    <w:rsid w:val="00BD0719"/>
    <w:rsid w:val="00BD072C"/>
    <w:rsid w:val="00BD0769"/>
    <w:rsid w:val="00BD076E"/>
    <w:rsid w:val="00BD07A0"/>
    <w:rsid w:val="00BD07A5"/>
    <w:rsid w:val="00BD086A"/>
    <w:rsid w:val="00BD0881"/>
    <w:rsid w:val="00BD0892"/>
    <w:rsid w:val="00BD08E0"/>
    <w:rsid w:val="00BD0905"/>
    <w:rsid w:val="00BD0907"/>
    <w:rsid w:val="00BD0937"/>
    <w:rsid w:val="00BD095B"/>
    <w:rsid w:val="00BD09A7"/>
    <w:rsid w:val="00BD09DA"/>
    <w:rsid w:val="00BD0A47"/>
    <w:rsid w:val="00BD0AAE"/>
    <w:rsid w:val="00BD0ACD"/>
    <w:rsid w:val="00BD0B3C"/>
    <w:rsid w:val="00BD0B5A"/>
    <w:rsid w:val="00BD0B68"/>
    <w:rsid w:val="00BD0B79"/>
    <w:rsid w:val="00BD0B84"/>
    <w:rsid w:val="00BD0BD8"/>
    <w:rsid w:val="00BD0C0C"/>
    <w:rsid w:val="00BD0C1A"/>
    <w:rsid w:val="00BD0C3A"/>
    <w:rsid w:val="00BD0C9B"/>
    <w:rsid w:val="00BD0CC8"/>
    <w:rsid w:val="00BD0CF0"/>
    <w:rsid w:val="00BD0D7A"/>
    <w:rsid w:val="00BD0DCF"/>
    <w:rsid w:val="00BD0DD3"/>
    <w:rsid w:val="00BD0DF0"/>
    <w:rsid w:val="00BD0E40"/>
    <w:rsid w:val="00BD0E7E"/>
    <w:rsid w:val="00BD0E98"/>
    <w:rsid w:val="00BD0E9E"/>
    <w:rsid w:val="00BD0EE6"/>
    <w:rsid w:val="00BD0EF8"/>
    <w:rsid w:val="00BD0EFA"/>
    <w:rsid w:val="00BD0F03"/>
    <w:rsid w:val="00BD0F54"/>
    <w:rsid w:val="00BD10A3"/>
    <w:rsid w:val="00BD10B1"/>
    <w:rsid w:val="00BD10CC"/>
    <w:rsid w:val="00BD10DD"/>
    <w:rsid w:val="00BD10F1"/>
    <w:rsid w:val="00BD1186"/>
    <w:rsid w:val="00BD11B8"/>
    <w:rsid w:val="00BD11EE"/>
    <w:rsid w:val="00BD1200"/>
    <w:rsid w:val="00BD120C"/>
    <w:rsid w:val="00BD1216"/>
    <w:rsid w:val="00BD12A9"/>
    <w:rsid w:val="00BD130A"/>
    <w:rsid w:val="00BD1321"/>
    <w:rsid w:val="00BD142A"/>
    <w:rsid w:val="00BD14CB"/>
    <w:rsid w:val="00BD14CD"/>
    <w:rsid w:val="00BD14E8"/>
    <w:rsid w:val="00BD1507"/>
    <w:rsid w:val="00BD1568"/>
    <w:rsid w:val="00BD1577"/>
    <w:rsid w:val="00BD157A"/>
    <w:rsid w:val="00BD1584"/>
    <w:rsid w:val="00BD15BB"/>
    <w:rsid w:val="00BD1606"/>
    <w:rsid w:val="00BD163D"/>
    <w:rsid w:val="00BD1679"/>
    <w:rsid w:val="00BD1692"/>
    <w:rsid w:val="00BD16A4"/>
    <w:rsid w:val="00BD175C"/>
    <w:rsid w:val="00BD1763"/>
    <w:rsid w:val="00BD17BF"/>
    <w:rsid w:val="00BD17D1"/>
    <w:rsid w:val="00BD1880"/>
    <w:rsid w:val="00BD18AA"/>
    <w:rsid w:val="00BD18C6"/>
    <w:rsid w:val="00BD18FC"/>
    <w:rsid w:val="00BD1989"/>
    <w:rsid w:val="00BD1990"/>
    <w:rsid w:val="00BD1997"/>
    <w:rsid w:val="00BD199D"/>
    <w:rsid w:val="00BD19CA"/>
    <w:rsid w:val="00BD1A20"/>
    <w:rsid w:val="00BD1A66"/>
    <w:rsid w:val="00BD1A67"/>
    <w:rsid w:val="00BD1AA7"/>
    <w:rsid w:val="00BD1AF9"/>
    <w:rsid w:val="00BD1B48"/>
    <w:rsid w:val="00BD1B7B"/>
    <w:rsid w:val="00BD1BCD"/>
    <w:rsid w:val="00BD1C0D"/>
    <w:rsid w:val="00BD1C13"/>
    <w:rsid w:val="00BD1C3E"/>
    <w:rsid w:val="00BD1C45"/>
    <w:rsid w:val="00BD1C85"/>
    <w:rsid w:val="00BD1CF1"/>
    <w:rsid w:val="00BD1CFE"/>
    <w:rsid w:val="00BD1D1B"/>
    <w:rsid w:val="00BD1E3F"/>
    <w:rsid w:val="00BD1E7E"/>
    <w:rsid w:val="00BD1EAE"/>
    <w:rsid w:val="00BD1F0A"/>
    <w:rsid w:val="00BD1F33"/>
    <w:rsid w:val="00BD1F3C"/>
    <w:rsid w:val="00BD1F51"/>
    <w:rsid w:val="00BD2022"/>
    <w:rsid w:val="00BD2075"/>
    <w:rsid w:val="00BD20D4"/>
    <w:rsid w:val="00BD2178"/>
    <w:rsid w:val="00BD219C"/>
    <w:rsid w:val="00BD21FC"/>
    <w:rsid w:val="00BD22C0"/>
    <w:rsid w:val="00BD2326"/>
    <w:rsid w:val="00BD2331"/>
    <w:rsid w:val="00BD2351"/>
    <w:rsid w:val="00BD23C3"/>
    <w:rsid w:val="00BD245A"/>
    <w:rsid w:val="00BD2520"/>
    <w:rsid w:val="00BD2566"/>
    <w:rsid w:val="00BD2571"/>
    <w:rsid w:val="00BD25C8"/>
    <w:rsid w:val="00BD25E4"/>
    <w:rsid w:val="00BD2693"/>
    <w:rsid w:val="00BD270D"/>
    <w:rsid w:val="00BD2728"/>
    <w:rsid w:val="00BD27C3"/>
    <w:rsid w:val="00BD27FA"/>
    <w:rsid w:val="00BD2820"/>
    <w:rsid w:val="00BD2955"/>
    <w:rsid w:val="00BD299D"/>
    <w:rsid w:val="00BD29F8"/>
    <w:rsid w:val="00BD29FE"/>
    <w:rsid w:val="00BD2A31"/>
    <w:rsid w:val="00BD2A46"/>
    <w:rsid w:val="00BD2ACB"/>
    <w:rsid w:val="00BD2B1D"/>
    <w:rsid w:val="00BD2C0B"/>
    <w:rsid w:val="00BD2C2D"/>
    <w:rsid w:val="00BD2C3A"/>
    <w:rsid w:val="00BD2C86"/>
    <w:rsid w:val="00BD2C8C"/>
    <w:rsid w:val="00BD2C9A"/>
    <w:rsid w:val="00BD2CE7"/>
    <w:rsid w:val="00BD2D01"/>
    <w:rsid w:val="00BD2E6F"/>
    <w:rsid w:val="00BD2E9B"/>
    <w:rsid w:val="00BD2EED"/>
    <w:rsid w:val="00BD2F8F"/>
    <w:rsid w:val="00BD2F97"/>
    <w:rsid w:val="00BD2FED"/>
    <w:rsid w:val="00BD3031"/>
    <w:rsid w:val="00BD3048"/>
    <w:rsid w:val="00BD30B9"/>
    <w:rsid w:val="00BD3141"/>
    <w:rsid w:val="00BD3191"/>
    <w:rsid w:val="00BD31CD"/>
    <w:rsid w:val="00BD3263"/>
    <w:rsid w:val="00BD326E"/>
    <w:rsid w:val="00BD328F"/>
    <w:rsid w:val="00BD3366"/>
    <w:rsid w:val="00BD338C"/>
    <w:rsid w:val="00BD3390"/>
    <w:rsid w:val="00BD33E1"/>
    <w:rsid w:val="00BD3436"/>
    <w:rsid w:val="00BD34BC"/>
    <w:rsid w:val="00BD34D9"/>
    <w:rsid w:val="00BD3517"/>
    <w:rsid w:val="00BD3555"/>
    <w:rsid w:val="00BD3577"/>
    <w:rsid w:val="00BD358C"/>
    <w:rsid w:val="00BD35FD"/>
    <w:rsid w:val="00BD366F"/>
    <w:rsid w:val="00BD36BD"/>
    <w:rsid w:val="00BD36D1"/>
    <w:rsid w:val="00BD3749"/>
    <w:rsid w:val="00BD377D"/>
    <w:rsid w:val="00BD378E"/>
    <w:rsid w:val="00BD37BF"/>
    <w:rsid w:val="00BD37F1"/>
    <w:rsid w:val="00BD381F"/>
    <w:rsid w:val="00BD3824"/>
    <w:rsid w:val="00BD382B"/>
    <w:rsid w:val="00BD386D"/>
    <w:rsid w:val="00BD38B2"/>
    <w:rsid w:val="00BD390D"/>
    <w:rsid w:val="00BD3918"/>
    <w:rsid w:val="00BD3947"/>
    <w:rsid w:val="00BD3948"/>
    <w:rsid w:val="00BD3951"/>
    <w:rsid w:val="00BD3A25"/>
    <w:rsid w:val="00BD3A86"/>
    <w:rsid w:val="00BD3AF1"/>
    <w:rsid w:val="00BD3B0C"/>
    <w:rsid w:val="00BD3B1C"/>
    <w:rsid w:val="00BD3B33"/>
    <w:rsid w:val="00BD3B36"/>
    <w:rsid w:val="00BD3BB0"/>
    <w:rsid w:val="00BD3BB1"/>
    <w:rsid w:val="00BD3C19"/>
    <w:rsid w:val="00BD3CCF"/>
    <w:rsid w:val="00BD3CE3"/>
    <w:rsid w:val="00BD3D05"/>
    <w:rsid w:val="00BD3D15"/>
    <w:rsid w:val="00BD3D3E"/>
    <w:rsid w:val="00BD3D4A"/>
    <w:rsid w:val="00BD3D4B"/>
    <w:rsid w:val="00BD3D87"/>
    <w:rsid w:val="00BD3DCF"/>
    <w:rsid w:val="00BD3EF7"/>
    <w:rsid w:val="00BD3EFF"/>
    <w:rsid w:val="00BD3F03"/>
    <w:rsid w:val="00BD3FDC"/>
    <w:rsid w:val="00BD3FE6"/>
    <w:rsid w:val="00BD402E"/>
    <w:rsid w:val="00BD4037"/>
    <w:rsid w:val="00BD408A"/>
    <w:rsid w:val="00BD4091"/>
    <w:rsid w:val="00BD40EE"/>
    <w:rsid w:val="00BD40FE"/>
    <w:rsid w:val="00BD411D"/>
    <w:rsid w:val="00BD411F"/>
    <w:rsid w:val="00BD41C5"/>
    <w:rsid w:val="00BD41EE"/>
    <w:rsid w:val="00BD421A"/>
    <w:rsid w:val="00BD4221"/>
    <w:rsid w:val="00BD4230"/>
    <w:rsid w:val="00BD4239"/>
    <w:rsid w:val="00BD42C2"/>
    <w:rsid w:val="00BD42C4"/>
    <w:rsid w:val="00BD42D0"/>
    <w:rsid w:val="00BD42E3"/>
    <w:rsid w:val="00BD437E"/>
    <w:rsid w:val="00BD4388"/>
    <w:rsid w:val="00BD43B4"/>
    <w:rsid w:val="00BD441A"/>
    <w:rsid w:val="00BD4423"/>
    <w:rsid w:val="00BD4424"/>
    <w:rsid w:val="00BD442E"/>
    <w:rsid w:val="00BD4434"/>
    <w:rsid w:val="00BD4480"/>
    <w:rsid w:val="00BD453F"/>
    <w:rsid w:val="00BD455E"/>
    <w:rsid w:val="00BD4572"/>
    <w:rsid w:val="00BD458A"/>
    <w:rsid w:val="00BD45F5"/>
    <w:rsid w:val="00BD462C"/>
    <w:rsid w:val="00BD463B"/>
    <w:rsid w:val="00BD465D"/>
    <w:rsid w:val="00BD4689"/>
    <w:rsid w:val="00BD46CA"/>
    <w:rsid w:val="00BD471F"/>
    <w:rsid w:val="00BD4739"/>
    <w:rsid w:val="00BD478C"/>
    <w:rsid w:val="00BD483C"/>
    <w:rsid w:val="00BD488A"/>
    <w:rsid w:val="00BD48C1"/>
    <w:rsid w:val="00BD493B"/>
    <w:rsid w:val="00BD49B6"/>
    <w:rsid w:val="00BD4A73"/>
    <w:rsid w:val="00BD4A90"/>
    <w:rsid w:val="00BD4B66"/>
    <w:rsid w:val="00BD4B8B"/>
    <w:rsid w:val="00BD4BCB"/>
    <w:rsid w:val="00BD4C08"/>
    <w:rsid w:val="00BD4C0B"/>
    <w:rsid w:val="00BD4C37"/>
    <w:rsid w:val="00BD4CD2"/>
    <w:rsid w:val="00BD4CD9"/>
    <w:rsid w:val="00BD4CEE"/>
    <w:rsid w:val="00BD4D34"/>
    <w:rsid w:val="00BD4D3B"/>
    <w:rsid w:val="00BD4DDC"/>
    <w:rsid w:val="00BD4E5C"/>
    <w:rsid w:val="00BD4E68"/>
    <w:rsid w:val="00BD4E7E"/>
    <w:rsid w:val="00BD4F13"/>
    <w:rsid w:val="00BD4F35"/>
    <w:rsid w:val="00BD4F4B"/>
    <w:rsid w:val="00BD4F6A"/>
    <w:rsid w:val="00BD4F7C"/>
    <w:rsid w:val="00BD501B"/>
    <w:rsid w:val="00BD501F"/>
    <w:rsid w:val="00BD5061"/>
    <w:rsid w:val="00BD5067"/>
    <w:rsid w:val="00BD5072"/>
    <w:rsid w:val="00BD5093"/>
    <w:rsid w:val="00BD5094"/>
    <w:rsid w:val="00BD50D2"/>
    <w:rsid w:val="00BD50D5"/>
    <w:rsid w:val="00BD510B"/>
    <w:rsid w:val="00BD5156"/>
    <w:rsid w:val="00BD519D"/>
    <w:rsid w:val="00BD519F"/>
    <w:rsid w:val="00BD51A2"/>
    <w:rsid w:val="00BD51AC"/>
    <w:rsid w:val="00BD525D"/>
    <w:rsid w:val="00BD5268"/>
    <w:rsid w:val="00BD5289"/>
    <w:rsid w:val="00BD52B0"/>
    <w:rsid w:val="00BD539A"/>
    <w:rsid w:val="00BD53F2"/>
    <w:rsid w:val="00BD541C"/>
    <w:rsid w:val="00BD544A"/>
    <w:rsid w:val="00BD5459"/>
    <w:rsid w:val="00BD5472"/>
    <w:rsid w:val="00BD54A1"/>
    <w:rsid w:val="00BD54E0"/>
    <w:rsid w:val="00BD54E7"/>
    <w:rsid w:val="00BD5502"/>
    <w:rsid w:val="00BD551D"/>
    <w:rsid w:val="00BD5528"/>
    <w:rsid w:val="00BD5529"/>
    <w:rsid w:val="00BD5535"/>
    <w:rsid w:val="00BD5599"/>
    <w:rsid w:val="00BD566E"/>
    <w:rsid w:val="00BD567C"/>
    <w:rsid w:val="00BD567D"/>
    <w:rsid w:val="00BD5681"/>
    <w:rsid w:val="00BD5699"/>
    <w:rsid w:val="00BD5786"/>
    <w:rsid w:val="00BD57CC"/>
    <w:rsid w:val="00BD57F2"/>
    <w:rsid w:val="00BD5803"/>
    <w:rsid w:val="00BD580C"/>
    <w:rsid w:val="00BD5820"/>
    <w:rsid w:val="00BD5842"/>
    <w:rsid w:val="00BD5865"/>
    <w:rsid w:val="00BD589B"/>
    <w:rsid w:val="00BD5923"/>
    <w:rsid w:val="00BD597E"/>
    <w:rsid w:val="00BD5A49"/>
    <w:rsid w:val="00BD5A60"/>
    <w:rsid w:val="00BD5B27"/>
    <w:rsid w:val="00BD5B2C"/>
    <w:rsid w:val="00BD5B70"/>
    <w:rsid w:val="00BD5B77"/>
    <w:rsid w:val="00BD5BA0"/>
    <w:rsid w:val="00BD5BD4"/>
    <w:rsid w:val="00BD5C46"/>
    <w:rsid w:val="00BD5C62"/>
    <w:rsid w:val="00BD5C71"/>
    <w:rsid w:val="00BD5C80"/>
    <w:rsid w:val="00BD5C8C"/>
    <w:rsid w:val="00BD5CA1"/>
    <w:rsid w:val="00BD5D3D"/>
    <w:rsid w:val="00BD5D4E"/>
    <w:rsid w:val="00BD5E0D"/>
    <w:rsid w:val="00BD5E59"/>
    <w:rsid w:val="00BD5F03"/>
    <w:rsid w:val="00BD5F23"/>
    <w:rsid w:val="00BD5F80"/>
    <w:rsid w:val="00BD5FC0"/>
    <w:rsid w:val="00BD5FC9"/>
    <w:rsid w:val="00BD5FF0"/>
    <w:rsid w:val="00BD600A"/>
    <w:rsid w:val="00BD6018"/>
    <w:rsid w:val="00BD6023"/>
    <w:rsid w:val="00BD6032"/>
    <w:rsid w:val="00BD60A2"/>
    <w:rsid w:val="00BD61DA"/>
    <w:rsid w:val="00BD61E0"/>
    <w:rsid w:val="00BD6218"/>
    <w:rsid w:val="00BD62D8"/>
    <w:rsid w:val="00BD62E7"/>
    <w:rsid w:val="00BD6349"/>
    <w:rsid w:val="00BD6361"/>
    <w:rsid w:val="00BD6389"/>
    <w:rsid w:val="00BD6395"/>
    <w:rsid w:val="00BD6399"/>
    <w:rsid w:val="00BD63CC"/>
    <w:rsid w:val="00BD63E0"/>
    <w:rsid w:val="00BD63E3"/>
    <w:rsid w:val="00BD6445"/>
    <w:rsid w:val="00BD64B3"/>
    <w:rsid w:val="00BD64F8"/>
    <w:rsid w:val="00BD6675"/>
    <w:rsid w:val="00BD6681"/>
    <w:rsid w:val="00BD6745"/>
    <w:rsid w:val="00BD6776"/>
    <w:rsid w:val="00BD67C2"/>
    <w:rsid w:val="00BD67F5"/>
    <w:rsid w:val="00BD6804"/>
    <w:rsid w:val="00BD690D"/>
    <w:rsid w:val="00BD69A8"/>
    <w:rsid w:val="00BD69D1"/>
    <w:rsid w:val="00BD6A5E"/>
    <w:rsid w:val="00BD6A82"/>
    <w:rsid w:val="00BD6AD1"/>
    <w:rsid w:val="00BD6B24"/>
    <w:rsid w:val="00BD6B33"/>
    <w:rsid w:val="00BD6B37"/>
    <w:rsid w:val="00BD6B75"/>
    <w:rsid w:val="00BD6B7D"/>
    <w:rsid w:val="00BD6BF4"/>
    <w:rsid w:val="00BD6C07"/>
    <w:rsid w:val="00BD6CBA"/>
    <w:rsid w:val="00BD6D5A"/>
    <w:rsid w:val="00BD6D86"/>
    <w:rsid w:val="00BD6DBB"/>
    <w:rsid w:val="00BD6DDA"/>
    <w:rsid w:val="00BD6F20"/>
    <w:rsid w:val="00BD6F29"/>
    <w:rsid w:val="00BD6F56"/>
    <w:rsid w:val="00BD6F69"/>
    <w:rsid w:val="00BD6FA2"/>
    <w:rsid w:val="00BD6FA4"/>
    <w:rsid w:val="00BD6FD0"/>
    <w:rsid w:val="00BD6FFA"/>
    <w:rsid w:val="00BD6FFF"/>
    <w:rsid w:val="00BD7019"/>
    <w:rsid w:val="00BD7030"/>
    <w:rsid w:val="00BD70F0"/>
    <w:rsid w:val="00BD711B"/>
    <w:rsid w:val="00BD71B5"/>
    <w:rsid w:val="00BD720A"/>
    <w:rsid w:val="00BD725E"/>
    <w:rsid w:val="00BD72C4"/>
    <w:rsid w:val="00BD72C5"/>
    <w:rsid w:val="00BD72E6"/>
    <w:rsid w:val="00BD73E1"/>
    <w:rsid w:val="00BD73F6"/>
    <w:rsid w:val="00BD740D"/>
    <w:rsid w:val="00BD74C3"/>
    <w:rsid w:val="00BD7564"/>
    <w:rsid w:val="00BD75AF"/>
    <w:rsid w:val="00BD75CC"/>
    <w:rsid w:val="00BD7616"/>
    <w:rsid w:val="00BD7676"/>
    <w:rsid w:val="00BD76C6"/>
    <w:rsid w:val="00BD76F4"/>
    <w:rsid w:val="00BD774F"/>
    <w:rsid w:val="00BD7799"/>
    <w:rsid w:val="00BD77A6"/>
    <w:rsid w:val="00BD7845"/>
    <w:rsid w:val="00BD7861"/>
    <w:rsid w:val="00BD7873"/>
    <w:rsid w:val="00BD789B"/>
    <w:rsid w:val="00BD78B9"/>
    <w:rsid w:val="00BD790B"/>
    <w:rsid w:val="00BD796B"/>
    <w:rsid w:val="00BD796D"/>
    <w:rsid w:val="00BD797C"/>
    <w:rsid w:val="00BD79F8"/>
    <w:rsid w:val="00BD7A16"/>
    <w:rsid w:val="00BD7A3C"/>
    <w:rsid w:val="00BD7ACC"/>
    <w:rsid w:val="00BD7BB6"/>
    <w:rsid w:val="00BD7BDF"/>
    <w:rsid w:val="00BD7C21"/>
    <w:rsid w:val="00BD7C33"/>
    <w:rsid w:val="00BD7C68"/>
    <w:rsid w:val="00BD7CC8"/>
    <w:rsid w:val="00BD7D05"/>
    <w:rsid w:val="00BD7D56"/>
    <w:rsid w:val="00BD7D98"/>
    <w:rsid w:val="00BD7DB6"/>
    <w:rsid w:val="00BD7DCA"/>
    <w:rsid w:val="00BD7DD6"/>
    <w:rsid w:val="00BD7E16"/>
    <w:rsid w:val="00BD7E51"/>
    <w:rsid w:val="00BD7E58"/>
    <w:rsid w:val="00BD7F09"/>
    <w:rsid w:val="00BD7F12"/>
    <w:rsid w:val="00BD7FDC"/>
    <w:rsid w:val="00BE0018"/>
    <w:rsid w:val="00BE0067"/>
    <w:rsid w:val="00BE00B1"/>
    <w:rsid w:val="00BE00C6"/>
    <w:rsid w:val="00BE026B"/>
    <w:rsid w:val="00BE0285"/>
    <w:rsid w:val="00BE029D"/>
    <w:rsid w:val="00BE02FE"/>
    <w:rsid w:val="00BE030B"/>
    <w:rsid w:val="00BE030D"/>
    <w:rsid w:val="00BE0367"/>
    <w:rsid w:val="00BE038B"/>
    <w:rsid w:val="00BE0499"/>
    <w:rsid w:val="00BE04A9"/>
    <w:rsid w:val="00BE04FB"/>
    <w:rsid w:val="00BE0513"/>
    <w:rsid w:val="00BE0525"/>
    <w:rsid w:val="00BE0563"/>
    <w:rsid w:val="00BE05CC"/>
    <w:rsid w:val="00BE05FE"/>
    <w:rsid w:val="00BE0642"/>
    <w:rsid w:val="00BE064B"/>
    <w:rsid w:val="00BE06A4"/>
    <w:rsid w:val="00BE072E"/>
    <w:rsid w:val="00BE0794"/>
    <w:rsid w:val="00BE07A9"/>
    <w:rsid w:val="00BE07F7"/>
    <w:rsid w:val="00BE0833"/>
    <w:rsid w:val="00BE0835"/>
    <w:rsid w:val="00BE0872"/>
    <w:rsid w:val="00BE0882"/>
    <w:rsid w:val="00BE08AB"/>
    <w:rsid w:val="00BE08DD"/>
    <w:rsid w:val="00BE09B9"/>
    <w:rsid w:val="00BE0A89"/>
    <w:rsid w:val="00BE0AB2"/>
    <w:rsid w:val="00BE0AC8"/>
    <w:rsid w:val="00BE0B12"/>
    <w:rsid w:val="00BE0B4F"/>
    <w:rsid w:val="00BE0C02"/>
    <w:rsid w:val="00BE0C19"/>
    <w:rsid w:val="00BE0C44"/>
    <w:rsid w:val="00BE0C56"/>
    <w:rsid w:val="00BE0C85"/>
    <w:rsid w:val="00BE0CBB"/>
    <w:rsid w:val="00BE0D45"/>
    <w:rsid w:val="00BE0D48"/>
    <w:rsid w:val="00BE0D8B"/>
    <w:rsid w:val="00BE0D8D"/>
    <w:rsid w:val="00BE0DB4"/>
    <w:rsid w:val="00BE0E81"/>
    <w:rsid w:val="00BE0EAC"/>
    <w:rsid w:val="00BE0EDD"/>
    <w:rsid w:val="00BE0F65"/>
    <w:rsid w:val="00BE0F7B"/>
    <w:rsid w:val="00BE0FA6"/>
    <w:rsid w:val="00BE1006"/>
    <w:rsid w:val="00BE1017"/>
    <w:rsid w:val="00BE1058"/>
    <w:rsid w:val="00BE10A6"/>
    <w:rsid w:val="00BE11AE"/>
    <w:rsid w:val="00BE1224"/>
    <w:rsid w:val="00BE1237"/>
    <w:rsid w:val="00BE1249"/>
    <w:rsid w:val="00BE12A0"/>
    <w:rsid w:val="00BE12B4"/>
    <w:rsid w:val="00BE12F5"/>
    <w:rsid w:val="00BE12FF"/>
    <w:rsid w:val="00BE133F"/>
    <w:rsid w:val="00BE1387"/>
    <w:rsid w:val="00BE13A9"/>
    <w:rsid w:val="00BE157D"/>
    <w:rsid w:val="00BE1608"/>
    <w:rsid w:val="00BE162A"/>
    <w:rsid w:val="00BE170C"/>
    <w:rsid w:val="00BE1733"/>
    <w:rsid w:val="00BE17D4"/>
    <w:rsid w:val="00BE18D5"/>
    <w:rsid w:val="00BE1957"/>
    <w:rsid w:val="00BE19CC"/>
    <w:rsid w:val="00BE1A2E"/>
    <w:rsid w:val="00BE1A53"/>
    <w:rsid w:val="00BE1A93"/>
    <w:rsid w:val="00BE1A94"/>
    <w:rsid w:val="00BE1AB4"/>
    <w:rsid w:val="00BE1ADE"/>
    <w:rsid w:val="00BE1B20"/>
    <w:rsid w:val="00BE1B22"/>
    <w:rsid w:val="00BE1B64"/>
    <w:rsid w:val="00BE1B89"/>
    <w:rsid w:val="00BE1BD6"/>
    <w:rsid w:val="00BE1C6B"/>
    <w:rsid w:val="00BE1C72"/>
    <w:rsid w:val="00BE1C7E"/>
    <w:rsid w:val="00BE1C88"/>
    <w:rsid w:val="00BE1CC1"/>
    <w:rsid w:val="00BE1CF6"/>
    <w:rsid w:val="00BE1CF9"/>
    <w:rsid w:val="00BE1D70"/>
    <w:rsid w:val="00BE1D7D"/>
    <w:rsid w:val="00BE1DBB"/>
    <w:rsid w:val="00BE1EC2"/>
    <w:rsid w:val="00BE1F14"/>
    <w:rsid w:val="00BE1F36"/>
    <w:rsid w:val="00BE1F87"/>
    <w:rsid w:val="00BE1FB9"/>
    <w:rsid w:val="00BE1FC8"/>
    <w:rsid w:val="00BE20F9"/>
    <w:rsid w:val="00BE2215"/>
    <w:rsid w:val="00BE2290"/>
    <w:rsid w:val="00BE22B5"/>
    <w:rsid w:val="00BE2366"/>
    <w:rsid w:val="00BE23E2"/>
    <w:rsid w:val="00BE2442"/>
    <w:rsid w:val="00BE2461"/>
    <w:rsid w:val="00BE2489"/>
    <w:rsid w:val="00BE24F7"/>
    <w:rsid w:val="00BE255A"/>
    <w:rsid w:val="00BE2589"/>
    <w:rsid w:val="00BE258C"/>
    <w:rsid w:val="00BE25DE"/>
    <w:rsid w:val="00BE260C"/>
    <w:rsid w:val="00BE2616"/>
    <w:rsid w:val="00BE262B"/>
    <w:rsid w:val="00BE262F"/>
    <w:rsid w:val="00BE26B2"/>
    <w:rsid w:val="00BE26F5"/>
    <w:rsid w:val="00BE2705"/>
    <w:rsid w:val="00BE2713"/>
    <w:rsid w:val="00BE273C"/>
    <w:rsid w:val="00BE27FC"/>
    <w:rsid w:val="00BE282B"/>
    <w:rsid w:val="00BE285A"/>
    <w:rsid w:val="00BE2864"/>
    <w:rsid w:val="00BE2882"/>
    <w:rsid w:val="00BE28BE"/>
    <w:rsid w:val="00BE290E"/>
    <w:rsid w:val="00BE2922"/>
    <w:rsid w:val="00BE295A"/>
    <w:rsid w:val="00BE29B3"/>
    <w:rsid w:val="00BE29B6"/>
    <w:rsid w:val="00BE29CF"/>
    <w:rsid w:val="00BE29D1"/>
    <w:rsid w:val="00BE2ABC"/>
    <w:rsid w:val="00BE2B07"/>
    <w:rsid w:val="00BE2B5D"/>
    <w:rsid w:val="00BE2B61"/>
    <w:rsid w:val="00BE2B82"/>
    <w:rsid w:val="00BE2B8F"/>
    <w:rsid w:val="00BE2BC7"/>
    <w:rsid w:val="00BE2BF1"/>
    <w:rsid w:val="00BE2C2E"/>
    <w:rsid w:val="00BE2D0F"/>
    <w:rsid w:val="00BE2D34"/>
    <w:rsid w:val="00BE2D4B"/>
    <w:rsid w:val="00BE2D55"/>
    <w:rsid w:val="00BE2D64"/>
    <w:rsid w:val="00BE2D8C"/>
    <w:rsid w:val="00BE2DD6"/>
    <w:rsid w:val="00BE2DE5"/>
    <w:rsid w:val="00BE2E11"/>
    <w:rsid w:val="00BE2EF5"/>
    <w:rsid w:val="00BE2F5E"/>
    <w:rsid w:val="00BE2FB4"/>
    <w:rsid w:val="00BE2FC4"/>
    <w:rsid w:val="00BE2FFB"/>
    <w:rsid w:val="00BE3015"/>
    <w:rsid w:val="00BE3074"/>
    <w:rsid w:val="00BE3085"/>
    <w:rsid w:val="00BE30C5"/>
    <w:rsid w:val="00BE30F8"/>
    <w:rsid w:val="00BE3165"/>
    <w:rsid w:val="00BE31B0"/>
    <w:rsid w:val="00BE31B6"/>
    <w:rsid w:val="00BE3220"/>
    <w:rsid w:val="00BE32A4"/>
    <w:rsid w:val="00BE32D8"/>
    <w:rsid w:val="00BE33F9"/>
    <w:rsid w:val="00BE343E"/>
    <w:rsid w:val="00BE347F"/>
    <w:rsid w:val="00BE34AC"/>
    <w:rsid w:val="00BE34BE"/>
    <w:rsid w:val="00BE3516"/>
    <w:rsid w:val="00BE354E"/>
    <w:rsid w:val="00BE3568"/>
    <w:rsid w:val="00BE3571"/>
    <w:rsid w:val="00BE3576"/>
    <w:rsid w:val="00BE35B0"/>
    <w:rsid w:val="00BE3602"/>
    <w:rsid w:val="00BE3610"/>
    <w:rsid w:val="00BE3623"/>
    <w:rsid w:val="00BE3669"/>
    <w:rsid w:val="00BE3768"/>
    <w:rsid w:val="00BE37F4"/>
    <w:rsid w:val="00BE3867"/>
    <w:rsid w:val="00BE3915"/>
    <w:rsid w:val="00BE3926"/>
    <w:rsid w:val="00BE3992"/>
    <w:rsid w:val="00BE39BC"/>
    <w:rsid w:val="00BE3A37"/>
    <w:rsid w:val="00BE3A3F"/>
    <w:rsid w:val="00BE3A5C"/>
    <w:rsid w:val="00BE3A6F"/>
    <w:rsid w:val="00BE3A85"/>
    <w:rsid w:val="00BE3A92"/>
    <w:rsid w:val="00BE3ABB"/>
    <w:rsid w:val="00BE3AF0"/>
    <w:rsid w:val="00BE3B56"/>
    <w:rsid w:val="00BE3B6C"/>
    <w:rsid w:val="00BE3C44"/>
    <w:rsid w:val="00BE3C49"/>
    <w:rsid w:val="00BE3C6B"/>
    <w:rsid w:val="00BE3CC1"/>
    <w:rsid w:val="00BE3CC2"/>
    <w:rsid w:val="00BE3CFD"/>
    <w:rsid w:val="00BE3D4D"/>
    <w:rsid w:val="00BE3D51"/>
    <w:rsid w:val="00BE3D5C"/>
    <w:rsid w:val="00BE3D63"/>
    <w:rsid w:val="00BE3DA4"/>
    <w:rsid w:val="00BE3DF0"/>
    <w:rsid w:val="00BE3F01"/>
    <w:rsid w:val="00BE3F60"/>
    <w:rsid w:val="00BE3F94"/>
    <w:rsid w:val="00BE3FE7"/>
    <w:rsid w:val="00BE3FF4"/>
    <w:rsid w:val="00BE4071"/>
    <w:rsid w:val="00BE408D"/>
    <w:rsid w:val="00BE40A2"/>
    <w:rsid w:val="00BE40D0"/>
    <w:rsid w:val="00BE40FC"/>
    <w:rsid w:val="00BE41CB"/>
    <w:rsid w:val="00BE41E2"/>
    <w:rsid w:val="00BE41F4"/>
    <w:rsid w:val="00BE4255"/>
    <w:rsid w:val="00BE42F1"/>
    <w:rsid w:val="00BE436F"/>
    <w:rsid w:val="00BE4392"/>
    <w:rsid w:val="00BE442D"/>
    <w:rsid w:val="00BE453A"/>
    <w:rsid w:val="00BE4553"/>
    <w:rsid w:val="00BE4599"/>
    <w:rsid w:val="00BE4602"/>
    <w:rsid w:val="00BE4604"/>
    <w:rsid w:val="00BE4684"/>
    <w:rsid w:val="00BE46A1"/>
    <w:rsid w:val="00BE4760"/>
    <w:rsid w:val="00BE4813"/>
    <w:rsid w:val="00BE4870"/>
    <w:rsid w:val="00BE48C3"/>
    <w:rsid w:val="00BE48D2"/>
    <w:rsid w:val="00BE4932"/>
    <w:rsid w:val="00BE496E"/>
    <w:rsid w:val="00BE4983"/>
    <w:rsid w:val="00BE4989"/>
    <w:rsid w:val="00BE4990"/>
    <w:rsid w:val="00BE49D8"/>
    <w:rsid w:val="00BE49F9"/>
    <w:rsid w:val="00BE4B19"/>
    <w:rsid w:val="00BE4B38"/>
    <w:rsid w:val="00BE4BB2"/>
    <w:rsid w:val="00BE4C11"/>
    <w:rsid w:val="00BE4C4B"/>
    <w:rsid w:val="00BE4D0D"/>
    <w:rsid w:val="00BE4D1B"/>
    <w:rsid w:val="00BE4D8A"/>
    <w:rsid w:val="00BE4DD6"/>
    <w:rsid w:val="00BE4DE8"/>
    <w:rsid w:val="00BE4FAB"/>
    <w:rsid w:val="00BE4FC2"/>
    <w:rsid w:val="00BE5081"/>
    <w:rsid w:val="00BE50B2"/>
    <w:rsid w:val="00BE50B7"/>
    <w:rsid w:val="00BE50D9"/>
    <w:rsid w:val="00BE50E8"/>
    <w:rsid w:val="00BE5112"/>
    <w:rsid w:val="00BE5135"/>
    <w:rsid w:val="00BE5162"/>
    <w:rsid w:val="00BE516C"/>
    <w:rsid w:val="00BE51C8"/>
    <w:rsid w:val="00BE51EB"/>
    <w:rsid w:val="00BE51F8"/>
    <w:rsid w:val="00BE5248"/>
    <w:rsid w:val="00BE5287"/>
    <w:rsid w:val="00BE5426"/>
    <w:rsid w:val="00BE543E"/>
    <w:rsid w:val="00BE545D"/>
    <w:rsid w:val="00BE5471"/>
    <w:rsid w:val="00BE5497"/>
    <w:rsid w:val="00BE54BB"/>
    <w:rsid w:val="00BE558D"/>
    <w:rsid w:val="00BE55DE"/>
    <w:rsid w:val="00BE55F0"/>
    <w:rsid w:val="00BE560D"/>
    <w:rsid w:val="00BE56C9"/>
    <w:rsid w:val="00BE56F6"/>
    <w:rsid w:val="00BE5706"/>
    <w:rsid w:val="00BE5778"/>
    <w:rsid w:val="00BE57D1"/>
    <w:rsid w:val="00BE57FF"/>
    <w:rsid w:val="00BE5873"/>
    <w:rsid w:val="00BE58DA"/>
    <w:rsid w:val="00BE5ADE"/>
    <w:rsid w:val="00BE5BB0"/>
    <w:rsid w:val="00BE5BE3"/>
    <w:rsid w:val="00BE5C22"/>
    <w:rsid w:val="00BE5C5A"/>
    <w:rsid w:val="00BE5CBF"/>
    <w:rsid w:val="00BE5D2D"/>
    <w:rsid w:val="00BE5E52"/>
    <w:rsid w:val="00BE5E57"/>
    <w:rsid w:val="00BE5EF0"/>
    <w:rsid w:val="00BE603B"/>
    <w:rsid w:val="00BE60B0"/>
    <w:rsid w:val="00BE6159"/>
    <w:rsid w:val="00BE61D0"/>
    <w:rsid w:val="00BE6205"/>
    <w:rsid w:val="00BE62E1"/>
    <w:rsid w:val="00BE62F2"/>
    <w:rsid w:val="00BE630C"/>
    <w:rsid w:val="00BE634D"/>
    <w:rsid w:val="00BE6365"/>
    <w:rsid w:val="00BE63A1"/>
    <w:rsid w:val="00BE63B9"/>
    <w:rsid w:val="00BE63FE"/>
    <w:rsid w:val="00BE640F"/>
    <w:rsid w:val="00BE647D"/>
    <w:rsid w:val="00BE64AF"/>
    <w:rsid w:val="00BE657D"/>
    <w:rsid w:val="00BE65D0"/>
    <w:rsid w:val="00BE65DA"/>
    <w:rsid w:val="00BE65DB"/>
    <w:rsid w:val="00BE6658"/>
    <w:rsid w:val="00BE66B4"/>
    <w:rsid w:val="00BE6758"/>
    <w:rsid w:val="00BE67EC"/>
    <w:rsid w:val="00BE67FD"/>
    <w:rsid w:val="00BE6829"/>
    <w:rsid w:val="00BE6860"/>
    <w:rsid w:val="00BE69BD"/>
    <w:rsid w:val="00BE6A4E"/>
    <w:rsid w:val="00BE6A6A"/>
    <w:rsid w:val="00BE6AAA"/>
    <w:rsid w:val="00BE6AB9"/>
    <w:rsid w:val="00BE6AC4"/>
    <w:rsid w:val="00BE6AD1"/>
    <w:rsid w:val="00BE6AD5"/>
    <w:rsid w:val="00BE6AE3"/>
    <w:rsid w:val="00BE6AF4"/>
    <w:rsid w:val="00BE6B6E"/>
    <w:rsid w:val="00BE6C5B"/>
    <w:rsid w:val="00BE6CE4"/>
    <w:rsid w:val="00BE6D20"/>
    <w:rsid w:val="00BE6D2A"/>
    <w:rsid w:val="00BE6D5D"/>
    <w:rsid w:val="00BE6DE2"/>
    <w:rsid w:val="00BE6E63"/>
    <w:rsid w:val="00BE6E6C"/>
    <w:rsid w:val="00BE6ED2"/>
    <w:rsid w:val="00BE6EFC"/>
    <w:rsid w:val="00BE6F27"/>
    <w:rsid w:val="00BE6F52"/>
    <w:rsid w:val="00BE6F64"/>
    <w:rsid w:val="00BE6F66"/>
    <w:rsid w:val="00BE6FDA"/>
    <w:rsid w:val="00BE6FEC"/>
    <w:rsid w:val="00BE705B"/>
    <w:rsid w:val="00BE70CA"/>
    <w:rsid w:val="00BE70D7"/>
    <w:rsid w:val="00BE70D8"/>
    <w:rsid w:val="00BE7132"/>
    <w:rsid w:val="00BE7134"/>
    <w:rsid w:val="00BE71D6"/>
    <w:rsid w:val="00BE71E3"/>
    <w:rsid w:val="00BE7255"/>
    <w:rsid w:val="00BE726C"/>
    <w:rsid w:val="00BE7307"/>
    <w:rsid w:val="00BE731C"/>
    <w:rsid w:val="00BE732E"/>
    <w:rsid w:val="00BE7334"/>
    <w:rsid w:val="00BE7377"/>
    <w:rsid w:val="00BE73A6"/>
    <w:rsid w:val="00BE73D7"/>
    <w:rsid w:val="00BE7434"/>
    <w:rsid w:val="00BE746D"/>
    <w:rsid w:val="00BE74CA"/>
    <w:rsid w:val="00BE74D4"/>
    <w:rsid w:val="00BE7572"/>
    <w:rsid w:val="00BE75CE"/>
    <w:rsid w:val="00BE75FD"/>
    <w:rsid w:val="00BE76F0"/>
    <w:rsid w:val="00BE774F"/>
    <w:rsid w:val="00BE777D"/>
    <w:rsid w:val="00BE77FB"/>
    <w:rsid w:val="00BE7803"/>
    <w:rsid w:val="00BE782F"/>
    <w:rsid w:val="00BE7861"/>
    <w:rsid w:val="00BE793A"/>
    <w:rsid w:val="00BE799E"/>
    <w:rsid w:val="00BE79FB"/>
    <w:rsid w:val="00BE7A45"/>
    <w:rsid w:val="00BE7A79"/>
    <w:rsid w:val="00BE7B07"/>
    <w:rsid w:val="00BE7B7B"/>
    <w:rsid w:val="00BE7BBB"/>
    <w:rsid w:val="00BE7BE9"/>
    <w:rsid w:val="00BE7C70"/>
    <w:rsid w:val="00BE7C89"/>
    <w:rsid w:val="00BE7D25"/>
    <w:rsid w:val="00BE7D36"/>
    <w:rsid w:val="00BE7D4B"/>
    <w:rsid w:val="00BE7DA9"/>
    <w:rsid w:val="00BE7DD8"/>
    <w:rsid w:val="00BE7E98"/>
    <w:rsid w:val="00BE7EA5"/>
    <w:rsid w:val="00BE7FAF"/>
    <w:rsid w:val="00BF0063"/>
    <w:rsid w:val="00BF00AB"/>
    <w:rsid w:val="00BF00F7"/>
    <w:rsid w:val="00BF0155"/>
    <w:rsid w:val="00BF01EC"/>
    <w:rsid w:val="00BF031E"/>
    <w:rsid w:val="00BF035D"/>
    <w:rsid w:val="00BF0406"/>
    <w:rsid w:val="00BF04B3"/>
    <w:rsid w:val="00BF0504"/>
    <w:rsid w:val="00BF051F"/>
    <w:rsid w:val="00BF056D"/>
    <w:rsid w:val="00BF0575"/>
    <w:rsid w:val="00BF0641"/>
    <w:rsid w:val="00BF066C"/>
    <w:rsid w:val="00BF073F"/>
    <w:rsid w:val="00BF07B4"/>
    <w:rsid w:val="00BF0807"/>
    <w:rsid w:val="00BF0835"/>
    <w:rsid w:val="00BF0890"/>
    <w:rsid w:val="00BF0895"/>
    <w:rsid w:val="00BF0936"/>
    <w:rsid w:val="00BF096F"/>
    <w:rsid w:val="00BF097D"/>
    <w:rsid w:val="00BF0988"/>
    <w:rsid w:val="00BF09D0"/>
    <w:rsid w:val="00BF0A7F"/>
    <w:rsid w:val="00BF0A85"/>
    <w:rsid w:val="00BF0AA1"/>
    <w:rsid w:val="00BF0ABA"/>
    <w:rsid w:val="00BF0B0D"/>
    <w:rsid w:val="00BF0B8D"/>
    <w:rsid w:val="00BF0BE4"/>
    <w:rsid w:val="00BF0CA4"/>
    <w:rsid w:val="00BF0D21"/>
    <w:rsid w:val="00BF0D5A"/>
    <w:rsid w:val="00BF0DCE"/>
    <w:rsid w:val="00BF0E73"/>
    <w:rsid w:val="00BF0EBE"/>
    <w:rsid w:val="00BF0EFC"/>
    <w:rsid w:val="00BF0F05"/>
    <w:rsid w:val="00BF0F85"/>
    <w:rsid w:val="00BF100F"/>
    <w:rsid w:val="00BF107E"/>
    <w:rsid w:val="00BF10EB"/>
    <w:rsid w:val="00BF10FF"/>
    <w:rsid w:val="00BF1118"/>
    <w:rsid w:val="00BF113C"/>
    <w:rsid w:val="00BF114C"/>
    <w:rsid w:val="00BF1168"/>
    <w:rsid w:val="00BF11B7"/>
    <w:rsid w:val="00BF11F3"/>
    <w:rsid w:val="00BF11F7"/>
    <w:rsid w:val="00BF1241"/>
    <w:rsid w:val="00BF12B5"/>
    <w:rsid w:val="00BF12B9"/>
    <w:rsid w:val="00BF1331"/>
    <w:rsid w:val="00BF1334"/>
    <w:rsid w:val="00BF134F"/>
    <w:rsid w:val="00BF1380"/>
    <w:rsid w:val="00BF1459"/>
    <w:rsid w:val="00BF145F"/>
    <w:rsid w:val="00BF147D"/>
    <w:rsid w:val="00BF14AE"/>
    <w:rsid w:val="00BF14C0"/>
    <w:rsid w:val="00BF1550"/>
    <w:rsid w:val="00BF161A"/>
    <w:rsid w:val="00BF1621"/>
    <w:rsid w:val="00BF1682"/>
    <w:rsid w:val="00BF16C3"/>
    <w:rsid w:val="00BF1717"/>
    <w:rsid w:val="00BF175C"/>
    <w:rsid w:val="00BF177D"/>
    <w:rsid w:val="00BF1795"/>
    <w:rsid w:val="00BF17B1"/>
    <w:rsid w:val="00BF1816"/>
    <w:rsid w:val="00BF1856"/>
    <w:rsid w:val="00BF187D"/>
    <w:rsid w:val="00BF18ED"/>
    <w:rsid w:val="00BF190C"/>
    <w:rsid w:val="00BF19D9"/>
    <w:rsid w:val="00BF1A45"/>
    <w:rsid w:val="00BF1ABA"/>
    <w:rsid w:val="00BF1B46"/>
    <w:rsid w:val="00BF1BAC"/>
    <w:rsid w:val="00BF1BD5"/>
    <w:rsid w:val="00BF1BE7"/>
    <w:rsid w:val="00BF1BF1"/>
    <w:rsid w:val="00BF1C04"/>
    <w:rsid w:val="00BF1C3C"/>
    <w:rsid w:val="00BF1C5D"/>
    <w:rsid w:val="00BF1C9B"/>
    <w:rsid w:val="00BF1CE6"/>
    <w:rsid w:val="00BF1D84"/>
    <w:rsid w:val="00BF1DA1"/>
    <w:rsid w:val="00BF1E3A"/>
    <w:rsid w:val="00BF1F06"/>
    <w:rsid w:val="00BF1F36"/>
    <w:rsid w:val="00BF1F86"/>
    <w:rsid w:val="00BF1F96"/>
    <w:rsid w:val="00BF1FCD"/>
    <w:rsid w:val="00BF2039"/>
    <w:rsid w:val="00BF2048"/>
    <w:rsid w:val="00BF2076"/>
    <w:rsid w:val="00BF2118"/>
    <w:rsid w:val="00BF219A"/>
    <w:rsid w:val="00BF21D8"/>
    <w:rsid w:val="00BF221F"/>
    <w:rsid w:val="00BF2270"/>
    <w:rsid w:val="00BF22C6"/>
    <w:rsid w:val="00BF22FF"/>
    <w:rsid w:val="00BF2372"/>
    <w:rsid w:val="00BF2374"/>
    <w:rsid w:val="00BF23BA"/>
    <w:rsid w:val="00BF24DC"/>
    <w:rsid w:val="00BF24E9"/>
    <w:rsid w:val="00BF24F4"/>
    <w:rsid w:val="00BF255C"/>
    <w:rsid w:val="00BF25D0"/>
    <w:rsid w:val="00BF25E4"/>
    <w:rsid w:val="00BF25ED"/>
    <w:rsid w:val="00BF2629"/>
    <w:rsid w:val="00BF26AC"/>
    <w:rsid w:val="00BF277A"/>
    <w:rsid w:val="00BF27AC"/>
    <w:rsid w:val="00BF27C7"/>
    <w:rsid w:val="00BF27E3"/>
    <w:rsid w:val="00BF27FE"/>
    <w:rsid w:val="00BF2844"/>
    <w:rsid w:val="00BF2871"/>
    <w:rsid w:val="00BF2887"/>
    <w:rsid w:val="00BF288E"/>
    <w:rsid w:val="00BF2A0D"/>
    <w:rsid w:val="00BF2A18"/>
    <w:rsid w:val="00BF2A50"/>
    <w:rsid w:val="00BF2A69"/>
    <w:rsid w:val="00BF2A82"/>
    <w:rsid w:val="00BF2AD4"/>
    <w:rsid w:val="00BF2B4A"/>
    <w:rsid w:val="00BF2B89"/>
    <w:rsid w:val="00BF2B8F"/>
    <w:rsid w:val="00BF2B94"/>
    <w:rsid w:val="00BF2C04"/>
    <w:rsid w:val="00BF2C0D"/>
    <w:rsid w:val="00BF2C29"/>
    <w:rsid w:val="00BF2C56"/>
    <w:rsid w:val="00BF2C5B"/>
    <w:rsid w:val="00BF2CAF"/>
    <w:rsid w:val="00BF2CEA"/>
    <w:rsid w:val="00BF2CEF"/>
    <w:rsid w:val="00BF2D53"/>
    <w:rsid w:val="00BF2D7F"/>
    <w:rsid w:val="00BF2DEB"/>
    <w:rsid w:val="00BF2E35"/>
    <w:rsid w:val="00BF2E75"/>
    <w:rsid w:val="00BF2E88"/>
    <w:rsid w:val="00BF2ED0"/>
    <w:rsid w:val="00BF2F9C"/>
    <w:rsid w:val="00BF30E0"/>
    <w:rsid w:val="00BF30EA"/>
    <w:rsid w:val="00BF3132"/>
    <w:rsid w:val="00BF31E3"/>
    <w:rsid w:val="00BF322A"/>
    <w:rsid w:val="00BF331A"/>
    <w:rsid w:val="00BF34AA"/>
    <w:rsid w:val="00BF34B6"/>
    <w:rsid w:val="00BF3667"/>
    <w:rsid w:val="00BF368D"/>
    <w:rsid w:val="00BF36A1"/>
    <w:rsid w:val="00BF36B4"/>
    <w:rsid w:val="00BF36B6"/>
    <w:rsid w:val="00BF36D9"/>
    <w:rsid w:val="00BF36DF"/>
    <w:rsid w:val="00BF3703"/>
    <w:rsid w:val="00BF3788"/>
    <w:rsid w:val="00BF378D"/>
    <w:rsid w:val="00BF3867"/>
    <w:rsid w:val="00BF38BA"/>
    <w:rsid w:val="00BF38D5"/>
    <w:rsid w:val="00BF391C"/>
    <w:rsid w:val="00BF3991"/>
    <w:rsid w:val="00BF39CF"/>
    <w:rsid w:val="00BF39F4"/>
    <w:rsid w:val="00BF3A16"/>
    <w:rsid w:val="00BF3A57"/>
    <w:rsid w:val="00BF3A88"/>
    <w:rsid w:val="00BF3AF6"/>
    <w:rsid w:val="00BF3B30"/>
    <w:rsid w:val="00BF3B5D"/>
    <w:rsid w:val="00BF3C9F"/>
    <w:rsid w:val="00BF3CCD"/>
    <w:rsid w:val="00BF3CE5"/>
    <w:rsid w:val="00BF3D32"/>
    <w:rsid w:val="00BF3F07"/>
    <w:rsid w:val="00BF3F7B"/>
    <w:rsid w:val="00BF3FDD"/>
    <w:rsid w:val="00BF3FED"/>
    <w:rsid w:val="00BF4010"/>
    <w:rsid w:val="00BF4017"/>
    <w:rsid w:val="00BF4039"/>
    <w:rsid w:val="00BF4069"/>
    <w:rsid w:val="00BF406A"/>
    <w:rsid w:val="00BF4072"/>
    <w:rsid w:val="00BF40A1"/>
    <w:rsid w:val="00BF4137"/>
    <w:rsid w:val="00BF4147"/>
    <w:rsid w:val="00BF4149"/>
    <w:rsid w:val="00BF41CE"/>
    <w:rsid w:val="00BF4226"/>
    <w:rsid w:val="00BF423E"/>
    <w:rsid w:val="00BF427B"/>
    <w:rsid w:val="00BF4285"/>
    <w:rsid w:val="00BF428C"/>
    <w:rsid w:val="00BF42AD"/>
    <w:rsid w:val="00BF42BC"/>
    <w:rsid w:val="00BF4356"/>
    <w:rsid w:val="00BF43F2"/>
    <w:rsid w:val="00BF440A"/>
    <w:rsid w:val="00BF4417"/>
    <w:rsid w:val="00BF4423"/>
    <w:rsid w:val="00BF442E"/>
    <w:rsid w:val="00BF44A0"/>
    <w:rsid w:val="00BF4519"/>
    <w:rsid w:val="00BF4557"/>
    <w:rsid w:val="00BF45F7"/>
    <w:rsid w:val="00BF4636"/>
    <w:rsid w:val="00BF465B"/>
    <w:rsid w:val="00BF4661"/>
    <w:rsid w:val="00BF468C"/>
    <w:rsid w:val="00BF46A5"/>
    <w:rsid w:val="00BF46C8"/>
    <w:rsid w:val="00BF46DE"/>
    <w:rsid w:val="00BF4706"/>
    <w:rsid w:val="00BF470C"/>
    <w:rsid w:val="00BF4737"/>
    <w:rsid w:val="00BF4756"/>
    <w:rsid w:val="00BF4784"/>
    <w:rsid w:val="00BF47DA"/>
    <w:rsid w:val="00BF47E0"/>
    <w:rsid w:val="00BF4818"/>
    <w:rsid w:val="00BF4823"/>
    <w:rsid w:val="00BF4827"/>
    <w:rsid w:val="00BF482C"/>
    <w:rsid w:val="00BF489C"/>
    <w:rsid w:val="00BF48D1"/>
    <w:rsid w:val="00BF49A2"/>
    <w:rsid w:val="00BF49F8"/>
    <w:rsid w:val="00BF4A0C"/>
    <w:rsid w:val="00BF4A61"/>
    <w:rsid w:val="00BF4A7A"/>
    <w:rsid w:val="00BF4ABA"/>
    <w:rsid w:val="00BF4ADF"/>
    <w:rsid w:val="00BF4B0F"/>
    <w:rsid w:val="00BF4BB9"/>
    <w:rsid w:val="00BF4BCC"/>
    <w:rsid w:val="00BF4BE3"/>
    <w:rsid w:val="00BF4BE7"/>
    <w:rsid w:val="00BF4C44"/>
    <w:rsid w:val="00BF4C4E"/>
    <w:rsid w:val="00BF4C81"/>
    <w:rsid w:val="00BF4CE4"/>
    <w:rsid w:val="00BF4D1C"/>
    <w:rsid w:val="00BF4D30"/>
    <w:rsid w:val="00BF4F41"/>
    <w:rsid w:val="00BF4F5C"/>
    <w:rsid w:val="00BF4F7E"/>
    <w:rsid w:val="00BF5017"/>
    <w:rsid w:val="00BF503B"/>
    <w:rsid w:val="00BF507D"/>
    <w:rsid w:val="00BF5108"/>
    <w:rsid w:val="00BF5198"/>
    <w:rsid w:val="00BF51A4"/>
    <w:rsid w:val="00BF51D1"/>
    <w:rsid w:val="00BF51EF"/>
    <w:rsid w:val="00BF5248"/>
    <w:rsid w:val="00BF52B1"/>
    <w:rsid w:val="00BF52B7"/>
    <w:rsid w:val="00BF52E9"/>
    <w:rsid w:val="00BF5368"/>
    <w:rsid w:val="00BF53A9"/>
    <w:rsid w:val="00BF53FC"/>
    <w:rsid w:val="00BF5485"/>
    <w:rsid w:val="00BF553D"/>
    <w:rsid w:val="00BF5595"/>
    <w:rsid w:val="00BF55CF"/>
    <w:rsid w:val="00BF55EB"/>
    <w:rsid w:val="00BF5609"/>
    <w:rsid w:val="00BF561A"/>
    <w:rsid w:val="00BF5622"/>
    <w:rsid w:val="00BF5630"/>
    <w:rsid w:val="00BF5709"/>
    <w:rsid w:val="00BF571F"/>
    <w:rsid w:val="00BF577F"/>
    <w:rsid w:val="00BF579A"/>
    <w:rsid w:val="00BF57F0"/>
    <w:rsid w:val="00BF5854"/>
    <w:rsid w:val="00BF5870"/>
    <w:rsid w:val="00BF58B5"/>
    <w:rsid w:val="00BF58BF"/>
    <w:rsid w:val="00BF5990"/>
    <w:rsid w:val="00BF5996"/>
    <w:rsid w:val="00BF59B9"/>
    <w:rsid w:val="00BF5AE8"/>
    <w:rsid w:val="00BF5BA1"/>
    <w:rsid w:val="00BF5BA3"/>
    <w:rsid w:val="00BF5CA3"/>
    <w:rsid w:val="00BF5CB5"/>
    <w:rsid w:val="00BF5CD1"/>
    <w:rsid w:val="00BF5D24"/>
    <w:rsid w:val="00BF5D36"/>
    <w:rsid w:val="00BF5D7D"/>
    <w:rsid w:val="00BF5DA1"/>
    <w:rsid w:val="00BF5DBA"/>
    <w:rsid w:val="00BF5EDB"/>
    <w:rsid w:val="00BF5F32"/>
    <w:rsid w:val="00BF5F6B"/>
    <w:rsid w:val="00BF5F94"/>
    <w:rsid w:val="00BF5FB1"/>
    <w:rsid w:val="00BF5FF9"/>
    <w:rsid w:val="00BF6015"/>
    <w:rsid w:val="00BF6019"/>
    <w:rsid w:val="00BF6080"/>
    <w:rsid w:val="00BF60B0"/>
    <w:rsid w:val="00BF6155"/>
    <w:rsid w:val="00BF6157"/>
    <w:rsid w:val="00BF616A"/>
    <w:rsid w:val="00BF6192"/>
    <w:rsid w:val="00BF61F5"/>
    <w:rsid w:val="00BF61F9"/>
    <w:rsid w:val="00BF6206"/>
    <w:rsid w:val="00BF631B"/>
    <w:rsid w:val="00BF6381"/>
    <w:rsid w:val="00BF642B"/>
    <w:rsid w:val="00BF648F"/>
    <w:rsid w:val="00BF649E"/>
    <w:rsid w:val="00BF64AE"/>
    <w:rsid w:val="00BF64D1"/>
    <w:rsid w:val="00BF6506"/>
    <w:rsid w:val="00BF6523"/>
    <w:rsid w:val="00BF657E"/>
    <w:rsid w:val="00BF6586"/>
    <w:rsid w:val="00BF65A6"/>
    <w:rsid w:val="00BF6606"/>
    <w:rsid w:val="00BF6611"/>
    <w:rsid w:val="00BF6652"/>
    <w:rsid w:val="00BF673C"/>
    <w:rsid w:val="00BF6778"/>
    <w:rsid w:val="00BF67C3"/>
    <w:rsid w:val="00BF67E9"/>
    <w:rsid w:val="00BF6857"/>
    <w:rsid w:val="00BF68A2"/>
    <w:rsid w:val="00BF68A6"/>
    <w:rsid w:val="00BF68E1"/>
    <w:rsid w:val="00BF6950"/>
    <w:rsid w:val="00BF6952"/>
    <w:rsid w:val="00BF69DE"/>
    <w:rsid w:val="00BF6AD8"/>
    <w:rsid w:val="00BF6B67"/>
    <w:rsid w:val="00BF6BB4"/>
    <w:rsid w:val="00BF6BE6"/>
    <w:rsid w:val="00BF6BE9"/>
    <w:rsid w:val="00BF6C6D"/>
    <w:rsid w:val="00BF6CA7"/>
    <w:rsid w:val="00BF6CB5"/>
    <w:rsid w:val="00BF6E58"/>
    <w:rsid w:val="00BF6E65"/>
    <w:rsid w:val="00BF6E83"/>
    <w:rsid w:val="00BF6EA5"/>
    <w:rsid w:val="00BF6ED7"/>
    <w:rsid w:val="00BF6EF4"/>
    <w:rsid w:val="00BF6F0C"/>
    <w:rsid w:val="00BF6F55"/>
    <w:rsid w:val="00BF6F99"/>
    <w:rsid w:val="00BF6FB5"/>
    <w:rsid w:val="00BF708E"/>
    <w:rsid w:val="00BF70A6"/>
    <w:rsid w:val="00BF71C4"/>
    <w:rsid w:val="00BF71C5"/>
    <w:rsid w:val="00BF71D2"/>
    <w:rsid w:val="00BF71ED"/>
    <w:rsid w:val="00BF729C"/>
    <w:rsid w:val="00BF73DD"/>
    <w:rsid w:val="00BF73F3"/>
    <w:rsid w:val="00BF741A"/>
    <w:rsid w:val="00BF741D"/>
    <w:rsid w:val="00BF7428"/>
    <w:rsid w:val="00BF7448"/>
    <w:rsid w:val="00BF7493"/>
    <w:rsid w:val="00BF749E"/>
    <w:rsid w:val="00BF74F6"/>
    <w:rsid w:val="00BF7501"/>
    <w:rsid w:val="00BF7586"/>
    <w:rsid w:val="00BF75DB"/>
    <w:rsid w:val="00BF7652"/>
    <w:rsid w:val="00BF7685"/>
    <w:rsid w:val="00BF77FA"/>
    <w:rsid w:val="00BF781F"/>
    <w:rsid w:val="00BF7858"/>
    <w:rsid w:val="00BF787E"/>
    <w:rsid w:val="00BF787F"/>
    <w:rsid w:val="00BF78CF"/>
    <w:rsid w:val="00BF796D"/>
    <w:rsid w:val="00BF7A07"/>
    <w:rsid w:val="00BF7A36"/>
    <w:rsid w:val="00BF7A9F"/>
    <w:rsid w:val="00BF7AA1"/>
    <w:rsid w:val="00BF7B23"/>
    <w:rsid w:val="00BF7BBA"/>
    <w:rsid w:val="00BF7BE4"/>
    <w:rsid w:val="00BF7BEC"/>
    <w:rsid w:val="00BF7C27"/>
    <w:rsid w:val="00BF7C31"/>
    <w:rsid w:val="00BF7CA4"/>
    <w:rsid w:val="00BF7CBF"/>
    <w:rsid w:val="00BF7CD3"/>
    <w:rsid w:val="00BF7CDB"/>
    <w:rsid w:val="00BF7D2B"/>
    <w:rsid w:val="00BF7D33"/>
    <w:rsid w:val="00BF7D51"/>
    <w:rsid w:val="00BF7D94"/>
    <w:rsid w:val="00BF7DC5"/>
    <w:rsid w:val="00BF7DC8"/>
    <w:rsid w:val="00BF7DE0"/>
    <w:rsid w:val="00BF7DF2"/>
    <w:rsid w:val="00BF7DFE"/>
    <w:rsid w:val="00BF7E23"/>
    <w:rsid w:val="00BF7E99"/>
    <w:rsid w:val="00BF7EA8"/>
    <w:rsid w:val="00BF7EC6"/>
    <w:rsid w:val="00BF7EFD"/>
    <w:rsid w:val="00BF7F0A"/>
    <w:rsid w:val="00BF7F63"/>
    <w:rsid w:val="00C000AF"/>
    <w:rsid w:val="00C0011C"/>
    <w:rsid w:val="00C00144"/>
    <w:rsid w:val="00C001AB"/>
    <w:rsid w:val="00C001B8"/>
    <w:rsid w:val="00C001DC"/>
    <w:rsid w:val="00C001E4"/>
    <w:rsid w:val="00C001F0"/>
    <w:rsid w:val="00C00207"/>
    <w:rsid w:val="00C002E7"/>
    <w:rsid w:val="00C0032A"/>
    <w:rsid w:val="00C00330"/>
    <w:rsid w:val="00C00374"/>
    <w:rsid w:val="00C0039C"/>
    <w:rsid w:val="00C003A8"/>
    <w:rsid w:val="00C003B4"/>
    <w:rsid w:val="00C0040B"/>
    <w:rsid w:val="00C00456"/>
    <w:rsid w:val="00C00459"/>
    <w:rsid w:val="00C0047C"/>
    <w:rsid w:val="00C004CA"/>
    <w:rsid w:val="00C00506"/>
    <w:rsid w:val="00C0053F"/>
    <w:rsid w:val="00C005BC"/>
    <w:rsid w:val="00C006C0"/>
    <w:rsid w:val="00C006E8"/>
    <w:rsid w:val="00C00772"/>
    <w:rsid w:val="00C007B7"/>
    <w:rsid w:val="00C0089A"/>
    <w:rsid w:val="00C008C2"/>
    <w:rsid w:val="00C00934"/>
    <w:rsid w:val="00C0094B"/>
    <w:rsid w:val="00C0099D"/>
    <w:rsid w:val="00C009ED"/>
    <w:rsid w:val="00C00A00"/>
    <w:rsid w:val="00C00A49"/>
    <w:rsid w:val="00C00A4C"/>
    <w:rsid w:val="00C00B32"/>
    <w:rsid w:val="00C00B48"/>
    <w:rsid w:val="00C00BB4"/>
    <w:rsid w:val="00C00BC5"/>
    <w:rsid w:val="00C00CFA"/>
    <w:rsid w:val="00C00D0B"/>
    <w:rsid w:val="00C00D71"/>
    <w:rsid w:val="00C00D8D"/>
    <w:rsid w:val="00C00DA7"/>
    <w:rsid w:val="00C00DAE"/>
    <w:rsid w:val="00C00DB3"/>
    <w:rsid w:val="00C00E2F"/>
    <w:rsid w:val="00C00E45"/>
    <w:rsid w:val="00C00E96"/>
    <w:rsid w:val="00C00EF1"/>
    <w:rsid w:val="00C00FB7"/>
    <w:rsid w:val="00C00FBF"/>
    <w:rsid w:val="00C01056"/>
    <w:rsid w:val="00C010DD"/>
    <w:rsid w:val="00C010F6"/>
    <w:rsid w:val="00C01164"/>
    <w:rsid w:val="00C011C4"/>
    <w:rsid w:val="00C01214"/>
    <w:rsid w:val="00C012DA"/>
    <w:rsid w:val="00C012DF"/>
    <w:rsid w:val="00C0133B"/>
    <w:rsid w:val="00C013EF"/>
    <w:rsid w:val="00C01407"/>
    <w:rsid w:val="00C014B5"/>
    <w:rsid w:val="00C014D0"/>
    <w:rsid w:val="00C01504"/>
    <w:rsid w:val="00C01507"/>
    <w:rsid w:val="00C01582"/>
    <w:rsid w:val="00C01594"/>
    <w:rsid w:val="00C015BE"/>
    <w:rsid w:val="00C0162B"/>
    <w:rsid w:val="00C01643"/>
    <w:rsid w:val="00C0165B"/>
    <w:rsid w:val="00C016D3"/>
    <w:rsid w:val="00C016FD"/>
    <w:rsid w:val="00C01704"/>
    <w:rsid w:val="00C01774"/>
    <w:rsid w:val="00C017CA"/>
    <w:rsid w:val="00C017FD"/>
    <w:rsid w:val="00C01808"/>
    <w:rsid w:val="00C01898"/>
    <w:rsid w:val="00C018E1"/>
    <w:rsid w:val="00C01989"/>
    <w:rsid w:val="00C019DE"/>
    <w:rsid w:val="00C019DF"/>
    <w:rsid w:val="00C019EF"/>
    <w:rsid w:val="00C01A62"/>
    <w:rsid w:val="00C01AD0"/>
    <w:rsid w:val="00C01B68"/>
    <w:rsid w:val="00C01BED"/>
    <w:rsid w:val="00C01C22"/>
    <w:rsid w:val="00C01C2A"/>
    <w:rsid w:val="00C01C48"/>
    <w:rsid w:val="00C01CC3"/>
    <w:rsid w:val="00C01D0D"/>
    <w:rsid w:val="00C01D22"/>
    <w:rsid w:val="00C01D3E"/>
    <w:rsid w:val="00C01D59"/>
    <w:rsid w:val="00C01DA6"/>
    <w:rsid w:val="00C01DE2"/>
    <w:rsid w:val="00C01EC1"/>
    <w:rsid w:val="00C01F3E"/>
    <w:rsid w:val="00C01F5D"/>
    <w:rsid w:val="00C01FCF"/>
    <w:rsid w:val="00C01FD9"/>
    <w:rsid w:val="00C0207B"/>
    <w:rsid w:val="00C02112"/>
    <w:rsid w:val="00C0211F"/>
    <w:rsid w:val="00C02128"/>
    <w:rsid w:val="00C0213D"/>
    <w:rsid w:val="00C02198"/>
    <w:rsid w:val="00C021D4"/>
    <w:rsid w:val="00C021FC"/>
    <w:rsid w:val="00C021FE"/>
    <w:rsid w:val="00C0224E"/>
    <w:rsid w:val="00C022A7"/>
    <w:rsid w:val="00C022C4"/>
    <w:rsid w:val="00C022C8"/>
    <w:rsid w:val="00C022E6"/>
    <w:rsid w:val="00C022FF"/>
    <w:rsid w:val="00C02328"/>
    <w:rsid w:val="00C0233E"/>
    <w:rsid w:val="00C02350"/>
    <w:rsid w:val="00C02397"/>
    <w:rsid w:val="00C023EC"/>
    <w:rsid w:val="00C0240C"/>
    <w:rsid w:val="00C02443"/>
    <w:rsid w:val="00C0244B"/>
    <w:rsid w:val="00C02483"/>
    <w:rsid w:val="00C02508"/>
    <w:rsid w:val="00C0250B"/>
    <w:rsid w:val="00C02561"/>
    <w:rsid w:val="00C025A5"/>
    <w:rsid w:val="00C025A8"/>
    <w:rsid w:val="00C02642"/>
    <w:rsid w:val="00C026C5"/>
    <w:rsid w:val="00C02736"/>
    <w:rsid w:val="00C027C3"/>
    <w:rsid w:val="00C027D3"/>
    <w:rsid w:val="00C027F7"/>
    <w:rsid w:val="00C0281E"/>
    <w:rsid w:val="00C02959"/>
    <w:rsid w:val="00C029A5"/>
    <w:rsid w:val="00C029A7"/>
    <w:rsid w:val="00C029FC"/>
    <w:rsid w:val="00C02A14"/>
    <w:rsid w:val="00C02A6D"/>
    <w:rsid w:val="00C02AC6"/>
    <w:rsid w:val="00C02AC7"/>
    <w:rsid w:val="00C02AE4"/>
    <w:rsid w:val="00C02B1B"/>
    <w:rsid w:val="00C02BBA"/>
    <w:rsid w:val="00C02BF1"/>
    <w:rsid w:val="00C02C39"/>
    <w:rsid w:val="00C02C4D"/>
    <w:rsid w:val="00C02C8E"/>
    <w:rsid w:val="00C02CD2"/>
    <w:rsid w:val="00C02D2C"/>
    <w:rsid w:val="00C02D36"/>
    <w:rsid w:val="00C02D3A"/>
    <w:rsid w:val="00C02D76"/>
    <w:rsid w:val="00C02D8E"/>
    <w:rsid w:val="00C02DAA"/>
    <w:rsid w:val="00C02DF7"/>
    <w:rsid w:val="00C02E08"/>
    <w:rsid w:val="00C02E26"/>
    <w:rsid w:val="00C02E4E"/>
    <w:rsid w:val="00C02E7E"/>
    <w:rsid w:val="00C02E8F"/>
    <w:rsid w:val="00C02F03"/>
    <w:rsid w:val="00C02F4D"/>
    <w:rsid w:val="00C02F7E"/>
    <w:rsid w:val="00C02F94"/>
    <w:rsid w:val="00C03007"/>
    <w:rsid w:val="00C03008"/>
    <w:rsid w:val="00C03036"/>
    <w:rsid w:val="00C03051"/>
    <w:rsid w:val="00C03090"/>
    <w:rsid w:val="00C030F9"/>
    <w:rsid w:val="00C030FC"/>
    <w:rsid w:val="00C0310E"/>
    <w:rsid w:val="00C03124"/>
    <w:rsid w:val="00C0313A"/>
    <w:rsid w:val="00C031E6"/>
    <w:rsid w:val="00C0321A"/>
    <w:rsid w:val="00C03233"/>
    <w:rsid w:val="00C03243"/>
    <w:rsid w:val="00C032B5"/>
    <w:rsid w:val="00C03308"/>
    <w:rsid w:val="00C03384"/>
    <w:rsid w:val="00C033ED"/>
    <w:rsid w:val="00C03409"/>
    <w:rsid w:val="00C034AE"/>
    <w:rsid w:val="00C034BA"/>
    <w:rsid w:val="00C034DA"/>
    <w:rsid w:val="00C03514"/>
    <w:rsid w:val="00C03560"/>
    <w:rsid w:val="00C03567"/>
    <w:rsid w:val="00C03576"/>
    <w:rsid w:val="00C03590"/>
    <w:rsid w:val="00C035C0"/>
    <w:rsid w:val="00C036A6"/>
    <w:rsid w:val="00C036BB"/>
    <w:rsid w:val="00C036D6"/>
    <w:rsid w:val="00C036D9"/>
    <w:rsid w:val="00C037AB"/>
    <w:rsid w:val="00C037C4"/>
    <w:rsid w:val="00C03809"/>
    <w:rsid w:val="00C03830"/>
    <w:rsid w:val="00C038B3"/>
    <w:rsid w:val="00C038BC"/>
    <w:rsid w:val="00C038C4"/>
    <w:rsid w:val="00C03975"/>
    <w:rsid w:val="00C039E9"/>
    <w:rsid w:val="00C03A57"/>
    <w:rsid w:val="00C03A8C"/>
    <w:rsid w:val="00C03AC5"/>
    <w:rsid w:val="00C03ACD"/>
    <w:rsid w:val="00C03AE5"/>
    <w:rsid w:val="00C03AE8"/>
    <w:rsid w:val="00C03AFE"/>
    <w:rsid w:val="00C03AFF"/>
    <w:rsid w:val="00C03C16"/>
    <w:rsid w:val="00C03C3B"/>
    <w:rsid w:val="00C03C68"/>
    <w:rsid w:val="00C03C8B"/>
    <w:rsid w:val="00C03CC9"/>
    <w:rsid w:val="00C03D3C"/>
    <w:rsid w:val="00C03D3E"/>
    <w:rsid w:val="00C03D40"/>
    <w:rsid w:val="00C03D4B"/>
    <w:rsid w:val="00C03DFA"/>
    <w:rsid w:val="00C03E95"/>
    <w:rsid w:val="00C03EC1"/>
    <w:rsid w:val="00C03ED3"/>
    <w:rsid w:val="00C03EDC"/>
    <w:rsid w:val="00C03EF0"/>
    <w:rsid w:val="00C03F3F"/>
    <w:rsid w:val="00C03F86"/>
    <w:rsid w:val="00C03F98"/>
    <w:rsid w:val="00C0404B"/>
    <w:rsid w:val="00C040B7"/>
    <w:rsid w:val="00C04120"/>
    <w:rsid w:val="00C04125"/>
    <w:rsid w:val="00C04232"/>
    <w:rsid w:val="00C0424F"/>
    <w:rsid w:val="00C04264"/>
    <w:rsid w:val="00C04278"/>
    <w:rsid w:val="00C04279"/>
    <w:rsid w:val="00C042B1"/>
    <w:rsid w:val="00C04324"/>
    <w:rsid w:val="00C0432B"/>
    <w:rsid w:val="00C043D4"/>
    <w:rsid w:val="00C043FB"/>
    <w:rsid w:val="00C04419"/>
    <w:rsid w:val="00C044EC"/>
    <w:rsid w:val="00C04539"/>
    <w:rsid w:val="00C04544"/>
    <w:rsid w:val="00C0456C"/>
    <w:rsid w:val="00C045AD"/>
    <w:rsid w:val="00C045B4"/>
    <w:rsid w:val="00C045B5"/>
    <w:rsid w:val="00C04691"/>
    <w:rsid w:val="00C046A5"/>
    <w:rsid w:val="00C046DE"/>
    <w:rsid w:val="00C0474F"/>
    <w:rsid w:val="00C0481F"/>
    <w:rsid w:val="00C04841"/>
    <w:rsid w:val="00C048A7"/>
    <w:rsid w:val="00C049FA"/>
    <w:rsid w:val="00C04A2D"/>
    <w:rsid w:val="00C04A58"/>
    <w:rsid w:val="00C04A5A"/>
    <w:rsid w:val="00C04B0D"/>
    <w:rsid w:val="00C04B59"/>
    <w:rsid w:val="00C04BF1"/>
    <w:rsid w:val="00C04C25"/>
    <w:rsid w:val="00C04CAF"/>
    <w:rsid w:val="00C04CD1"/>
    <w:rsid w:val="00C04CE5"/>
    <w:rsid w:val="00C04D25"/>
    <w:rsid w:val="00C04D29"/>
    <w:rsid w:val="00C04E1E"/>
    <w:rsid w:val="00C04E45"/>
    <w:rsid w:val="00C04E87"/>
    <w:rsid w:val="00C04F11"/>
    <w:rsid w:val="00C04FD8"/>
    <w:rsid w:val="00C05087"/>
    <w:rsid w:val="00C050EC"/>
    <w:rsid w:val="00C05106"/>
    <w:rsid w:val="00C05131"/>
    <w:rsid w:val="00C0515D"/>
    <w:rsid w:val="00C0520B"/>
    <w:rsid w:val="00C0522A"/>
    <w:rsid w:val="00C05245"/>
    <w:rsid w:val="00C05258"/>
    <w:rsid w:val="00C0526E"/>
    <w:rsid w:val="00C052B6"/>
    <w:rsid w:val="00C052CE"/>
    <w:rsid w:val="00C0531E"/>
    <w:rsid w:val="00C0533D"/>
    <w:rsid w:val="00C0539C"/>
    <w:rsid w:val="00C053A2"/>
    <w:rsid w:val="00C05471"/>
    <w:rsid w:val="00C054A8"/>
    <w:rsid w:val="00C054D3"/>
    <w:rsid w:val="00C05515"/>
    <w:rsid w:val="00C05565"/>
    <w:rsid w:val="00C055BE"/>
    <w:rsid w:val="00C055C5"/>
    <w:rsid w:val="00C0562D"/>
    <w:rsid w:val="00C0564E"/>
    <w:rsid w:val="00C05694"/>
    <w:rsid w:val="00C056E9"/>
    <w:rsid w:val="00C0572E"/>
    <w:rsid w:val="00C0573B"/>
    <w:rsid w:val="00C058B5"/>
    <w:rsid w:val="00C058E0"/>
    <w:rsid w:val="00C05990"/>
    <w:rsid w:val="00C05A48"/>
    <w:rsid w:val="00C05B1B"/>
    <w:rsid w:val="00C05B7F"/>
    <w:rsid w:val="00C05BB2"/>
    <w:rsid w:val="00C05BF3"/>
    <w:rsid w:val="00C05D64"/>
    <w:rsid w:val="00C05DD2"/>
    <w:rsid w:val="00C05DFF"/>
    <w:rsid w:val="00C05E0A"/>
    <w:rsid w:val="00C05E6D"/>
    <w:rsid w:val="00C05EC0"/>
    <w:rsid w:val="00C05EE5"/>
    <w:rsid w:val="00C05F1A"/>
    <w:rsid w:val="00C05F1C"/>
    <w:rsid w:val="00C05F2F"/>
    <w:rsid w:val="00C05F63"/>
    <w:rsid w:val="00C05F89"/>
    <w:rsid w:val="00C05FA7"/>
    <w:rsid w:val="00C05FEA"/>
    <w:rsid w:val="00C05FF9"/>
    <w:rsid w:val="00C06050"/>
    <w:rsid w:val="00C06070"/>
    <w:rsid w:val="00C060E4"/>
    <w:rsid w:val="00C06165"/>
    <w:rsid w:val="00C0616B"/>
    <w:rsid w:val="00C0621F"/>
    <w:rsid w:val="00C06221"/>
    <w:rsid w:val="00C06226"/>
    <w:rsid w:val="00C0625A"/>
    <w:rsid w:val="00C06281"/>
    <w:rsid w:val="00C06297"/>
    <w:rsid w:val="00C062DF"/>
    <w:rsid w:val="00C06342"/>
    <w:rsid w:val="00C0634A"/>
    <w:rsid w:val="00C0635F"/>
    <w:rsid w:val="00C0648E"/>
    <w:rsid w:val="00C06494"/>
    <w:rsid w:val="00C064CF"/>
    <w:rsid w:val="00C06522"/>
    <w:rsid w:val="00C06580"/>
    <w:rsid w:val="00C065BE"/>
    <w:rsid w:val="00C065C3"/>
    <w:rsid w:val="00C0662F"/>
    <w:rsid w:val="00C06631"/>
    <w:rsid w:val="00C06753"/>
    <w:rsid w:val="00C0680A"/>
    <w:rsid w:val="00C0683A"/>
    <w:rsid w:val="00C06847"/>
    <w:rsid w:val="00C068D3"/>
    <w:rsid w:val="00C06945"/>
    <w:rsid w:val="00C06975"/>
    <w:rsid w:val="00C06A19"/>
    <w:rsid w:val="00C06A38"/>
    <w:rsid w:val="00C06A86"/>
    <w:rsid w:val="00C06ACE"/>
    <w:rsid w:val="00C06AF3"/>
    <w:rsid w:val="00C06BD0"/>
    <w:rsid w:val="00C06C16"/>
    <w:rsid w:val="00C06C66"/>
    <w:rsid w:val="00C06C68"/>
    <w:rsid w:val="00C06D59"/>
    <w:rsid w:val="00C06DA5"/>
    <w:rsid w:val="00C06DF1"/>
    <w:rsid w:val="00C06E00"/>
    <w:rsid w:val="00C06E89"/>
    <w:rsid w:val="00C06E8D"/>
    <w:rsid w:val="00C06EE2"/>
    <w:rsid w:val="00C06EED"/>
    <w:rsid w:val="00C06F0C"/>
    <w:rsid w:val="00C06F42"/>
    <w:rsid w:val="00C06FE5"/>
    <w:rsid w:val="00C07084"/>
    <w:rsid w:val="00C070D2"/>
    <w:rsid w:val="00C071B3"/>
    <w:rsid w:val="00C071C4"/>
    <w:rsid w:val="00C07206"/>
    <w:rsid w:val="00C07250"/>
    <w:rsid w:val="00C07287"/>
    <w:rsid w:val="00C072AD"/>
    <w:rsid w:val="00C07337"/>
    <w:rsid w:val="00C07382"/>
    <w:rsid w:val="00C074B5"/>
    <w:rsid w:val="00C0752B"/>
    <w:rsid w:val="00C075B8"/>
    <w:rsid w:val="00C075C5"/>
    <w:rsid w:val="00C075E6"/>
    <w:rsid w:val="00C07643"/>
    <w:rsid w:val="00C07645"/>
    <w:rsid w:val="00C0765E"/>
    <w:rsid w:val="00C07692"/>
    <w:rsid w:val="00C076AB"/>
    <w:rsid w:val="00C076C3"/>
    <w:rsid w:val="00C076E4"/>
    <w:rsid w:val="00C076E9"/>
    <w:rsid w:val="00C07719"/>
    <w:rsid w:val="00C0774F"/>
    <w:rsid w:val="00C0777F"/>
    <w:rsid w:val="00C077E9"/>
    <w:rsid w:val="00C07810"/>
    <w:rsid w:val="00C078B5"/>
    <w:rsid w:val="00C078DC"/>
    <w:rsid w:val="00C078DE"/>
    <w:rsid w:val="00C07930"/>
    <w:rsid w:val="00C079AF"/>
    <w:rsid w:val="00C07A00"/>
    <w:rsid w:val="00C07A47"/>
    <w:rsid w:val="00C07A61"/>
    <w:rsid w:val="00C07A95"/>
    <w:rsid w:val="00C07AED"/>
    <w:rsid w:val="00C07B27"/>
    <w:rsid w:val="00C07B30"/>
    <w:rsid w:val="00C07B9A"/>
    <w:rsid w:val="00C07BE4"/>
    <w:rsid w:val="00C07BED"/>
    <w:rsid w:val="00C07C07"/>
    <w:rsid w:val="00C07C47"/>
    <w:rsid w:val="00C07C60"/>
    <w:rsid w:val="00C07CAC"/>
    <w:rsid w:val="00C07CC4"/>
    <w:rsid w:val="00C07CC7"/>
    <w:rsid w:val="00C07CCD"/>
    <w:rsid w:val="00C07CF7"/>
    <w:rsid w:val="00C07D47"/>
    <w:rsid w:val="00C07D5E"/>
    <w:rsid w:val="00C07DC5"/>
    <w:rsid w:val="00C07DCC"/>
    <w:rsid w:val="00C07E34"/>
    <w:rsid w:val="00C07EBE"/>
    <w:rsid w:val="00C07ED3"/>
    <w:rsid w:val="00C07F67"/>
    <w:rsid w:val="00C07F84"/>
    <w:rsid w:val="00C07FB4"/>
    <w:rsid w:val="00C07FCE"/>
    <w:rsid w:val="00C100A9"/>
    <w:rsid w:val="00C10100"/>
    <w:rsid w:val="00C10125"/>
    <w:rsid w:val="00C1014C"/>
    <w:rsid w:val="00C101C4"/>
    <w:rsid w:val="00C1026A"/>
    <w:rsid w:val="00C1033E"/>
    <w:rsid w:val="00C1034E"/>
    <w:rsid w:val="00C10398"/>
    <w:rsid w:val="00C103A9"/>
    <w:rsid w:val="00C1042B"/>
    <w:rsid w:val="00C1046B"/>
    <w:rsid w:val="00C10473"/>
    <w:rsid w:val="00C104B8"/>
    <w:rsid w:val="00C104F1"/>
    <w:rsid w:val="00C10583"/>
    <w:rsid w:val="00C10593"/>
    <w:rsid w:val="00C1059F"/>
    <w:rsid w:val="00C106C4"/>
    <w:rsid w:val="00C106F5"/>
    <w:rsid w:val="00C10717"/>
    <w:rsid w:val="00C10733"/>
    <w:rsid w:val="00C1074E"/>
    <w:rsid w:val="00C107C3"/>
    <w:rsid w:val="00C10811"/>
    <w:rsid w:val="00C1084C"/>
    <w:rsid w:val="00C10908"/>
    <w:rsid w:val="00C10923"/>
    <w:rsid w:val="00C1094E"/>
    <w:rsid w:val="00C10994"/>
    <w:rsid w:val="00C109A8"/>
    <w:rsid w:val="00C109D7"/>
    <w:rsid w:val="00C10A02"/>
    <w:rsid w:val="00C10A04"/>
    <w:rsid w:val="00C10A18"/>
    <w:rsid w:val="00C10A36"/>
    <w:rsid w:val="00C10A55"/>
    <w:rsid w:val="00C10B1B"/>
    <w:rsid w:val="00C10B26"/>
    <w:rsid w:val="00C10B75"/>
    <w:rsid w:val="00C10B9F"/>
    <w:rsid w:val="00C10C28"/>
    <w:rsid w:val="00C10C61"/>
    <w:rsid w:val="00C10C71"/>
    <w:rsid w:val="00C10CE0"/>
    <w:rsid w:val="00C10D0A"/>
    <w:rsid w:val="00C10D46"/>
    <w:rsid w:val="00C10D57"/>
    <w:rsid w:val="00C10D8B"/>
    <w:rsid w:val="00C10D93"/>
    <w:rsid w:val="00C10DA8"/>
    <w:rsid w:val="00C10E67"/>
    <w:rsid w:val="00C10E77"/>
    <w:rsid w:val="00C10EDB"/>
    <w:rsid w:val="00C10F86"/>
    <w:rsid w:val="00C11017"/>
    <w:rsid w:val="00C11092"/>
    <w:rsid w:val="00C110E5"/>
    <w:rsid w:val="00C11144"/>
    <w:rsid w:val="00C111A5"/>
    <w:rsid w:val="00C111BF"/>
    <w:rsid w:val="00C11244"/>
    <w:rsid w:val="00C112A4"/>
    <w:rsid w:val="00C112C4"/>
    <w:rsid w:val="00C11362"/>
    <w:rsid w:val="00C11393"/>
    <w:rsid w:val="00C1139B"/>
    <w:rsid w:val="00C113A1"/>
    <w:rsid w:val="00C114BE"/>
    <w:rsid w:val="00C114FA"/>
    <w:rsid w:val="00C1153F"/>
    <w:rsid w:val="00C1159A"/>
    <w:rsid w:val="00C115A1"/>
    <w:rsid w:val="00C115C2"/>
    <w:rsid w:val="00C115F2"/>
    <w:rsid w:val="00C11631"/>
    <w:rsid w:val="00C1164F"/>
    <w:rsid w:val="00C11727"/>
    <w:rsid w:val="00C1176A"/>
    <w:rsid w:val="00C11775"/>
    <w:rsid w:val="00C11778"/>
    <w:rsid w:val="00C117CC"/>
    <w:rsid w:val="00C11835"/>
    <w:rsid w:val="00C11840"/>
    <w:rsid w:val="00C11878"/>
    <w:rsid w:val="00C11898"/>
    <w:rsid w:val="00C118CF"/>
    <w:rsid w:val="00C11912"/>
    <w:rsid w:val="00C11936"/>
    <w:rsid w:val="00C11975"/>
    <w:rsid w:val="00C11981"/>
    <w:rsid w:val="00C11988"/>
    <w:rsid w:val="00C11997"/>
    <w:rsid w:val="00C119D0"/>
    <w:rsid w:val="00C119E9"/>
    <w:rsid w:val="00C11A15"/>
    <w:rsid w:val="00C11A6D"/>
    <w:rsid w:val="00C11A8A"/>
    <w:rsid w:val="00C11AC5"/>
    <w:rsid w:val="00C11B16"/>
    <w:rsid w:val="00C11B1C"/>
    <w:rsid w:val="00C11B6E"/>
    <w:rsid w:val="00C11BA3"/>
    <w:rsid w:val="00C11BE9"/>
    <w:rsid w:val="00C11BF2"/>
    <w:rsid w:val="00C11C5D"/>
    <w:rsid w:val="00C11C89"/>
    <w:rsid w:val="00C11C90"/>
    <w:rsid w:val="00C11CE4"/>
    <w:rsid w:val="00C11D55"/>
    <w:rsid w:val="00C11DAA"/>
    <w:rsid w:val="00C11DD3"/>
    <w:rsid w:val="00C11E0B"/>
    <w:rsid w:val="00C11E48"/>
    <w:rsid w:val="00C11E4E"/>
    <w:rsid w:val="00C11E8F"/>
    <w:rsid w:val="00C11E9F"/>
    <w:rsid w:val="00C11EB0"/>
    <w:rsid w:val="00C11ED5"/>
    <w:rsid w:val="00C11F85"/>
    <w:rsid w:val="00C11F8D"/>
    <w:rsid w:val="00C11FCD"/>
    <w:rsid w:val="00C1200B"/>
    <w:rsid w:val="00C1200D"/>
    <w:rsid w:val="00C12028"/>
    <w:rsid w:val="00C1205B"/>
    <w:rsid w:val="00C12080"/>
    <w:rsid w:val="00C120C7"/>
    <w:rsid w:val="00C12138"/>
    <w:rsid w:val="00C1216D"/>
    <w:rsid w:val="00C121A0"/>
    <w:rsid w:val="00C121E8"/>
    <w:rsid w:val="00C12308"/>
    <w:rsid w:val="00C1238E"/>
    <w:rsid w:val="00C123FB"/>
    <w:rsid w:val="00C1240A"/>
    <w:rsid w:val="00C12429"/>
    <w:rsid w:val="00C12494"/>
    <w:rsid w:val="00C124B7"/>
    <w:rsid w:val="00C12507"/>
    <w:rsid w:val="00C1256E"/>
    <w:rsid w:val="00C125A2"/>
    <w:rsid w:val="00C125B9"/>
    <w:rsid w:val="00C125BD"/>
    <w:rsid w:val="00C12705"/>
    <w:rsid w:val="00C1272B"/>
    <w:rsid w:val="00C12734"/>
    <w:rsid w:val="00C12843"/>
    <w:rsid w:val="00C12848"/>
    <w:rsid w:val="00C128FB"/>
    <w:rsid w:val="00C12912"/>
    <w:rsid w:val="00C1296F"/>
    <w:rsid w:val="00C129B2"/>
    <w:rsid w:val="00C129E2"/>
    <w:rsid w:val="00C12A9D"/>
    <w:rsid w:val="00C12ABE"/>
    <w:rsid w:val="00C12AE6"/>
    <w:rsid w:val="00C12B14"/>
    <w:rsid w:val="00C12B41"/>
    <w:rsid w:val="00C12BAA"/>
    <w:rsid w:val="00C12BC3"/>
    <w:rsid w:val="00C12BD1"/>
    <w:rsid w:val="00C12C13"/>
    <w:rsid w:val="00C12C19"/>
    <w:rsid w:val="00C12C23"/>
    <w:rsid w:val="00C12D0B"/>
    <w:rsid w:val="00C12D6F"/>
    <w:rsid w:val="00C12D95"/>
    <w:rsid w:val="00C12DDD"/>
    <w:rsid w:val="00C12E0B"/>
    <w:rsid w:val="00C12E5D"/>
    <w:rsid w:val="00C12EBA"/>
    <w:rsid w:val="00C12EC5"/>
    <w:rsid w:val="00C12F2A"/>
    <w:rsid w:val="00C12F34"/>
    <w:rsid w:val="00C12F68"/>
    <w:rsid w:val="00C13010"/>
    <w:rsid w:val="00C13075"/>
    <w:rsid w:val="00C13186"/>
    <w:rsid w:val="00C131C5"/>
    <w:rsid w:val="00C1322D"/>
    <w:rsid w:val="00C1323D"/>
    <w:rsid w:val="00C1324B"/>
    <w:rsid w:val="00C13295"/>
    <w:rsid w:val="00C132A0"/>
    <w:rsid w:val="00C132B8"/>
    <w:rsid w:val="00C1334E"/>
    <w:rsid w:val="00C13350"/>
    <w:rsid w:val="00C1338C"/>
    <w:rsid w:val="00C13405"/>
    <w:rsid w:val="00C13435"/>
    <w:rsid w:val="00C13458"/>
    <w:rsid w:val="00C13484"/>
    <w:rsid w:val="00C134A9"/>
    <w:rsid w:val="00C135B0"/>
    <w:rsid w:val="00C135B4"/>
    <w:rsid w:val="00C135E1"/>
    <w:rsid w:val="00C13609"/>
    <w:rsid w:val="00C1362C"/>
    <w:rsid w:val="00C1363D"/>
    <w:rsid w:val="00C1369C"/>
    <w:rsid w:val="00C1379F"/>
    <w:rsid w:val="00C137A6"/>
    <w:rsid w:val="00C1382B"/>
    <w:rsid w:val="00C1382C"/>
    <w:rsid w:val="00C1384F"/>
    <w:rsid w:val="00C13879"/>
    <w:rsid w:val="00C138A9"/>
    <w:rsid w:val="00C138CA"/>
    <w:rsid w:val="00C1392D"/>
    <w:rsid w:val="00C13931"/>
    <w:rsid w:val="00C13A1B"/>
    <w:rsid w:val="00C13A5E"/>
    <w:rsid w:val="00C13AF2"/>
    <w:rsid w:val="00C13B19"/>
    <w:rsid w:val="00C13C3D"/>
    <w:rsid w:val="00C13CE6"/>
    <w:rsid w:val="00C13D4B"/>
    <w:rsid w:val="00C13D59"/>
    <w:rsid w:val="00C13D78"/>
    <w:rsid w:val="00C13D8D"/>
    <w:rsid w:val="00C13DA7"/>
    <w:rsid w:val="00C13DF3"/>
    <w:rsid w:val="00C13E48"/>
    <w:rsid w:val="00C13E5B"/>
    <w:rsid w:val="00C13E9B"/>
    <w:rsid w:val="00C13EB7"/>
    <w:rsid w:val="00C13EDF"/>
    <w:rsid w:val="00C13EE6"/>
    <w:rsid w:val="00C13EF7"/>
    <w:rsid w:val="00C13F2C"/>
    <w:rsid w:val="00C13F61"/>
    <w:rsid w:val="00C13FB6"/>
    <w:rsid w:val="00C14039"/>
    <w:rsid w:val="00C1403B"/>
    <w:rsid w:val="00C14068"/>
    <w:rsid w:val="00C14198"/>
    <w:rsid w:val="00C141A1"/>
    <w:rsid w:val="00C141CE"/>
    <w:rsid w:val="00C14201"/>
    <w:rsid w:val="00C14219"/>
    <w:rsid w:val="00C1425A"/>
    <w:rsid w:val="00C14260"/>
    <w:rsid w:val="00C142ED"/>
    <w:rsid w:val="00C14312"/>
    <w:rsid w:val="00C1436C"/>
    <w:rsid w:val="00C14403"/>
    <w:rsid w:val="00C14437"/>
    <w:rsid w:val="00C1445B"/>
    <w:rsid w:val="00C144C2"/>
    <w:rsid w:val="00C14526"/>
    <w:rsid w:val="00C14539"/>
    <w:rsid w:val="00C14588"/>
    <w:rsid w:val="00C145A1"/>
    <w:rsid w:val="00C145B1"/>
    <w:rsid w:val="00C14602"/>
    <w:rsid w:val="00C14632"/>
    <w:rsid w:val="00C14672"/>
    <w:rsid w:val="00C14707"/>
    <w:rsid w:val="00C1472B"/>
    <w:rsid w:val="00C1476C"/>
    <w:rsid w:val="00C14798"/>
    <w:rsid w:val="00C147BA"/>
    <w:rsid w:val="00C147CD"/>
    <w:rsid w:val="00C147D3"/>
    <w:rsid w:val="00C1492C"/>
    <w:rsid w:val="00C1496E"/>
    <w:rsid w:val="00C14981"/>
    <w:rsid w:val="00C149CE"/>
    <w:rsid w:val="00C149E2"/>
    <w:rsid w:val="00C14A18"/>
    <w:rsid w:val="00C14A50"/>
    <w:rsid w:val="00C14A56"/>
    <w:rsid w:val="00C14AD3"/>
    <w:rsid w:val="00C14B3F"/>
    <w:rsid w:val="00C14B72"/>
    <w:rsid w:val="00C14BDD"/>
    <w:rsid w:val="00C14BF3"/>
    <w:rsid w:val="00C14CC7"/>
    <w:rsid w:val="00C14CE4"/>
    <w:rsid w:val="00C14DBE"/>
    <w:rsid w:val="00C14E4D"/>
    <w:rsid w:val="00C14E74"/>
    <w:rsid w:val="00C14E93"/>
    <w:rsid w:val="00C14EFD"/>
    <w:rsid w:val="00C14F31"/>
    <w:rsid w:val="00C14F87"/>
    <w:rsid w:val="00C14FD5"/>
    <w:rsid w:val="00C14FE9"/>
    <w:rsid w:val="00C15025"/>
    <w:rsid w:val="00C1502B"/>
    <w:rsid w:val="00C15032"/>
    <w:rsid w:val="00C1508C"/>
    <w:rsid w:val="00C15098"/>
    <w:rsid w:val="00C1509D"/>
    <w:rsid w:val="00C1509E"/>
    <w:rsid w:val="00C150A2"/>
    <w:rsid w:val="00C150B9"/>
    <w:rsid w:val="00C150FE"/>
    <w:rsid w:val="00C15218"/>
    <w:rsid w:val="00C15251"/>
    <w:rsid w:val="00C1534B"/>
    <w:rsid w:val="00C15365"/>
    <w:rsid w:val="00C153AA"/>
    <w:rsid w:val="00C153EA"/>
    <w:rsid w:val="00C1543C"/>
    <w:rsid w:val="00C15466"/>
    <w:rsid w:val="00C15474"/>
    <w:rsid w:val="00C15480"/>
    <w:rsid w:val="00C15527"/>
    <w:rsid w:val="00C15556"/>
    <w:rsid w:val="00C155A9"/>
    <w:rsid w:val="00C155E8"/>
    <w:rsid w:val="00C15631"/>
    <w:rsid w:val="00C15655"/>
    <w:rsid w:val="00C156C0"/>
    <w:rsid w:val="00C15716"/>
    <w:rsid w:val="00C157BD"/>
    <w:rsid w:val="00C15892"/>
    <w:rsid w:val="00C158C5"/>
    <w:rsid w:val="00C15980"/>
    <w:rsid w:val="00C15997"/>
    <w:rsid w:val="00C159E1"/>
    <w:rsid w:val="00C159FE"/>
    <w:rsid w:val="00C15A2F"/>
    <w:rsid w:val="00C15A8A"/>
    <w:rsid w:val="00C15AB4"/>
    <w:rsid w:val="00C15B2B"/>
    <w:rsid w:val="00C15B69"/>
    <w:rsid w:val="00C15B81"/>
    <w:rsid w:val="00C15BDB"/>
    <w:rsid w:val="00C15C06"/>
    <w:rsid w:val="00C15CA0"/>
    <w:rsid w:val="00C15CB9"/>
    <w:rsid w:val="00C15D33"/>
    <w:rsid w:val="00C15D64"/>
    <w:rsid w:val="00C15DAC"/>
    <w:rsid w:val="00C15DB4"/>
    <w:rsid w:val="00C15DF4"/>
    <w:rsid w:val="00C15EE5"/>
    <w:rsid w:val="00C15EF9"/>
    <w:rsid w:val="00C16024"/>
    <w:rsid w:val="00C16026"/>
    <w:rsid w:val="00C1607D"/>
    <w:rsid w:val="00C160B5"/>
    <w:rsid w:val="00C160F6"/>
    <w:rsid w:val="00C16130"/>
    <w:rsid w:val="00C1614E"/>
    <w:rsid w:val="00C1616C"/>
    <w:rsid w:val="00C16207"/>
    <w:rsid w:val="00C16236"/>
    <w:rsid w:val="00C16295"/>
    <w:rsid w:val="00C162B3"/>
    <w:rsid w:val="00C162E3"/>
    <w:rsid w:val="00C162ED"/>
    <w:rsid w:val="00C16318"/>
    <w:rsid w:val="00C1635C"/>
    <w:rsid w:val="00C1638C"/>
    <w:rsid w:val="00C16485"/>
    <w:rsid w:val="00C164D2"/>
    <w:rsid w:val="00C16536"/>
    <w:rsid w:val="00C16581"/>
    <w:rsid w:val="00C165B8"/>
    <w:rsid w:val="00C165BD"/>
    <w:rsid w:val="00C1663D"/>
    <w:rsid w:val="00C16644"/>
    <w:rsid w:val="00C16650"/>
    <w:rsid w:val="00C166A6"/>
    <w:rsid w:val="00C166A9"/>
    <w:rsid w:val="00C166F3"/>
    <w:rsid w:val="00C16739"/>
    <w:rsid w:val="00C16758"/>
    <w:rsid w:val="00C167D0"/>
    <w:rsid w:val="00C16821"/>
    <w:rsid w:val="00C16850"/>
    <w:rsid w:val="00C16896"/>
    <w:rsid w:val="00C168E1"/>
    <w:rsid w:val="00C16933"/>
    <w:rsid w:val="00C1693E"/>
    <w:rsid w:val="00C16973"/>
    <w:rsid w:val="00C16A52"/>
    <w:rsid w:val="00C16A6B"/>
    <w:rsid w:val="00C16AC3"/>
    <w:rsid w:val="00C16AC9"/>
    <w:rsid w:val="00C16ACF"/>
    <w:rsid w:val="00C16AE0"/>
    <w:rsid w:val="00C16AFB"/>
    <w:rsid w:val="00C16B1A"/>
    <w:rsid w:val="00C16B47"/>
    <w:rsid w:val="00C16B6C"/>
    <w:rsid w:val="00C16B92"/>
    <w:rsid w:val="00C16BD0"/>
    <w:rsid w:val="00C16BE3"/>
    <w:rsid w:val="00C16C0F"/>
    <w:rsid w:val="00C16C1D"/>
    <w:rsid w:val="00C16C45"/>
    <w:rsid w:val="00C16C6D"/>
    <w:rsid w:val="00C16C86"/>
    <w:rsid w:val="00C16D15"/>
    <w:rsid w:val="00C16D2C"/>
    <w:rsid w:val="00C16E0E"/>
    <w:rsid w:val="00C16E21"/>
    <w:rsid w:val="00C16E38"/>
    <w:rsid w:val="00C16E4B"/>
    <w:rsid w:val="00C16E81"/>
    <w:rsid w:val="00C16E90"/>
    <w:rsid w:val="00C16EB3"/>
    <w:rsid w:val="00C16EE6"/>
    <w:rsid w:val="00C16F0D"/>
    <w:rsid w:val="00C16F5F"/>
    <w:rsid w:val="00C16FF1"/>
    <w:rsid w:val="00C1701A"/>
    <w:rsid w:val="00C1704F"/>
    <w:rsid w:val="00C1709C"/>
    <w:rsid w:val="00C170CA"/>
    <w:rsid w:val="00C1716E"/>
    <w:rsid w:val="00C171C7"/>
    <w:rsid w:val="00C171DB"/>
    <w:rsid w:val="00C17292"/>
    <w:rsid w:val="00C172A2"/>
    <w:rsid w:val="00C172FA"/>
    <w:rsid w:val="00C17310"/>
    <w:rsid w:val="00C17313"/>
    <w:rsid w:val="00C17361"/>
    <w:rsid w:val="00C173A2"/>
    <w:rsid w:val="00C1744F"/>
    <w:rsid w:val="00C17465"/>
    <w:rsid w:val="00C17485"/>
    <w:rsid w:val="00C17501"/>
    <w:rsid w:val="00C1750E"/>
    <w:rsid w:val="00C1753C"/>
    <w:rsid w:val="00C17585"/>
    <w:rsid w:val="00C175FD"/>
    <w:rsid w:val="00C17600"/>
    <w:rsid w:val="00C17673"/>
    <w:rsid w:val="00C176C2"/>
    <w:rsid w:val="00C176EC"/>
    <w:rsid w:val="00C17716"/>
    <w:rsid w:val="00C1775E"/>
    <w:rsid w:val="00C1776A"/>
    <w:rsid w:val="00C1778B"/>
    <w:rsid w:val="00C177FC"/>
    <w:rsid w:val="00C1798A"/>
    <w:rsid w:val="00C179A3"/>
    <w:rsid w:val="00C179FC"/>
    <w:rsid w:val="00C17A01"/>
    <w:rsid w:val="00C17A40"/>
    <w:rsid w:val="00C17A63"/>
    <w:rsid w:val="00C17AA8"/>
    <w:rsid w:val="00C17AB2"/>
    <w:rsid w:val="00C17AD1"/>
    <w:rsid w:val="00C17ADE"/>
    <w:rsid w:val="00C17AE4"/>
    <w:rsid w:val="00C17B38"/>
    <w:rsid w:val="00C17BDB"/>
    <w:rsid w:val="00C17BFE"/>
    <w:rsid w:val="00C17CC5"/>
    <w:rsid w:val="00C17CEA"/>
    <w:rsid w:val="00C17D0F"/>
    <w:rsid w:val="00C17D2D"/>
    <w:rsid w:val="00C17D52"/>
    <w:rsid w:val="00C17D5A"/>
    <w:rsid w:val="00C17D9A"/>
    <w:rsid w:val="00C17DA1"/>
    <w:rsid w:val="00C17E12"/>
    <w:rsid w:val="00C17E2D"/>
    <w:rsid w:val="00C17E4B"/>
    <w:rsid w:val="00C17E69"/>
    <w:rsid w:val="00C17E6D"/>
    <w:rsid w:val="00C17E8C"/>
    <w:rsid w:val="00C17EDB"/>
    <w:rsid w:val="00C17F3B"/>
    <w:rsid w:val="00C17F8A"/>
    <w:rsid w:val="00C17FBA"/>
    <w:rsid w:val="00C20058"/>
    <w:rsid w:val="00C20086"/>
    <w:rsid w:val="00C2008B"/>
    <w:rsid w:val="00C200BA"/>
    <w:rsid w:val="00C20160"/>
    <w:rsid w:val="00C20170"/>
    <w:rsid w:val="00C201B8"/>
    <w:rsid w:val="00C201EB"/>
    <w:rsid w:val="00C2021C"/>
    <w:rsid w:val="00C2024E"/>
    <w:rsid w:val="00C2029F"/>
    <w:rsid w:val="00C20339"/>
    <w:rsid w:val="00C203A8"/>
    <w:rsid w:val="00C203B2"/>
    <w:rsid w:val="00C20408"/>
    <w:rsid w:val="00C204B2"/>
    <w:rsid w:val="00C204CB"/>
    <w:rsid w:val="00C20546"/>
    <w:rsid w:val="00C2054A"/>
    <w:rsid w:val="00C20551"/>
    <w:rsid w:val="00C20580"/>
    <w:rsid w:val="00C205AA"/>
    <w:rsid w:val="00C205C8"/>
    <w:rsid w:val="00C205D6"/>
    <w:rsid w:val="00C20620"/>
    <w:rsid w:val="00C20681"/>
    <w:rsid w:val="00C20691"/>
    <w:rsid w:val="00C20761"/>
    <w:rsid w:val="00C207E6"/>
    <w:rsid w:val="00C20814"/>
    <w:rsid w:val="00C20815"/>
    <w:rsid w:val="00C20846"/>
    <w:rsid w:val="00C2084B"/>
    <w:rsid w:val="00C2085E"/>
    <w:rsid w:val="00C20865"/>
    <w:rsid w:val="00C2086B"/>
    <w:rsid w:val="00C20883"/>
    <w:rsid w:val="00C208A8"/>
    <w:rsid w:val="00C208F4"/>
    <w:rsid w:val="00C20931"/>
    <w:rsid w:val="00C20936"/>
    <w:rsid w:val="00C20951"/>
    <w:rsid w:val="00C20970"/>
    <w:rsid w:val="00C209C3"/>
    <w:rsid w:val="00C20A27"/>
    <w:rsid w:val="00C20AF9"/>
    <w:rsid w:val="00C20AFA"/>
    <w:rsid w:val="00C20B0A"/>
    <w:rsid w:val="00C20BC1"/>
    <w:rsid w:val="00C20BE5"/>
    <w:rsid w:val="00C20BF2"/>
    <w:rsid w:val="00C20C41"/>
    <w:rsid w:val="00C20CEF"/>
    <w:rsid w:val="00C20D42"/>
    <w:rsid w:val="00C20DDD"/>
    <w:rsid w:val="00C20DE7"/>
    <w:rsid w:val="00C20E49"/>
    <w:rsid w:val="00C20E67"/>
    <w:rsid w:val="00C20EC8"/>
    <w:rsid w:val="00C20F03"/>
    <w:rsid w:val="00C20F79"/>
    <w:rsid w:val="00C20F88"/>
    <w:rsid w:val="00C20F92"/>
    <w:rsid w:val="00C20FA0"/>
    <w:rsid w:val="00C20FB0"/>
    <w:rsid w:val="00C20FC1"/>
    <w:rsid w:val="00C2105D"/>
    <w:rsid w:val="00C2111C"/>
    <w:rsid w:val="00C21140"/>
    <w:rsid w:val="00C21183"/>
    <w:rsid w:val="00C2119F"/>
    <w:rsid w:val="00C211D1"/>
    <w:rsid w:val="00C211F4"/>
    <w:rsid w:val="00C2121E"/>
    <w:rsid w:val="00C21246"/>
    <w:rsid w:val="00C2124F"/>
    <w:rsid w:val="00C2128C"/>
    <w:rsid w:val="00C212EF"/>
    <w:rsid w:val="00C212F4"/>
    <w:rsid w:val="00C2132C"/>
    <w:rsid w:val="00C213A4"/>
    <w:rsid w:val="00C213FD"/>
    <w:rsid w:val="00C21470"/>
    <w:rsid w:val="00C214EB"/>
    <w:rsid w:val="00C215C4"/>
    <w:rsid w:val="00C21608"/>
    <w:rsid w:val="00C2160F"/>
    <w:rsid w:val="00C21617"/>
    <w:rsid w:val="00C2163D"/>
    <w:rsid w:val="00C21694"/>
    <w:rsid w:val="00C216BB"/>
    <w:rsid w:val="00C216D4"/>
    <w:rsid w:val="00C2172C"/>
    <w:rsid w:val="00C2175E"/>
    <w:rsid w:val="00C21773"/>
    <w:rsid w:val="00C21787"/>
    <w:rsid w:val="00C21794"/>
    <w:rsid w:val="00C217D1"/>
    <w:rsid w:val="00C217E8"/>
    <w:rsid w:val="00C2181F"/>
    <w:rsid w:val="00C2183F"/>
    <w:rsid w:val="00C21849"/>
    <w:rsid w:val="00C21922"/>
    <w:rsid w:val="00C2194D"/>
    <w:rsid w:val="00C21A1A"/>
    <w:rsid w:val="00C21A20"/>
    <w:rsid w:val="00C21A4A"/>
    <w:rsid w:val="00C21A58"/>
    <w:rsid w:val="00C21A8B"/>
    <w:rsid w:val="00C21AA8"/>
    <w:rsid w:val="00C21AC1"/>
    <w:rsid w:val="00C21AE1"/>
    <w:rsid w:val="00C21B24"/>
    <w:rsid w:val="00C21B2E"/>
    <w:rsid w:val="00C21B68"/>
    <w:rsid w:val="00C21BD1"/>
    <w:rsid w:val="00C21C29"/>
    <w:rsid w:val="00C21CE7"/>
    <w:rsid w:val="00C21D4C"/>
    <w:rsid w:val="00C21D57"/>
    <w:rsid w:val="00C21DC2"/>
    <w:rsid w:val="00C21DE0"/>
    <w:rsid w:val="00C21ED2"/>
    <w:rsid w:val="00C21EE0"/>
    <w:rsid w:val="00C21F08"/>
    <w:rsid w:val="00C21F46"/>
    <w:rsid w:val="00C21FBB"/>
    <w:rsid w:val="00C22002"/>
    <w:rsid w:val="00C22017"/>
    <w:rsid w:val="00C220A8"/>
    <w:rsid w:val="00C220C9"/>
    <w:rsid w:val="00C220D9"/>
    <w:rsid w:val="00C220E9"/>
    <w:rsid w:val="00C2211A"/>
    <w:rsid w:val="00C2213D"/>
    <w:rsid w:val="00C22159"/>
    <w:rsid w:val="00C22175"/>
    <w:rsid w:val="00C2218C"/>
    <w:rsid w:val="00C2222B"/>
    <w:rsid w:val="00C22299"/>
    <w:rsid w:val="00C222D4"/>
    <w:rsid w:val="00C22324"/>
    <w:rsid w:val="00C2233D"/>
    <w:rsid w:val="00C22383"/>
    <w:rsid w:val="00C2241F"/>
    <w:rsid w:val="00C22465"/>
    <w:rsid w:val="00C225AC"/>
    <w:rsid w:val="00C225DE"/>
    <w:rsid w:val="00C2265F"/>
    <w:rsid w:val="00C226C1"/>
    <w:rsid w:val="00C22720"/>
    <w:rsid w:val="00C22841"/>
    <w:rsid w:val="00C22893"/>
    <w:rsid w:val="00C228CC"/>
    <w:rsid w:val="00C228DE"/>
    <w:rsid w:val="00C228E3"/>
    <w:rsid w:val="00C22932"/>
    <w:rsid w:val="00C22979"/>
    <w:rsid w:val="00C22988"/>
    <w:rsid w:val="00C229FE"/>
    <w:rsid w:val="00C22A0F"/>
    <w:rsid w:val="00C22A3B"/>
    <w:rsid w:val="00C22B76"/>
    <w:rsid w:val="00C22B9A"/>
    <w:rsid w:val="00C22BD2"/>
    <w:rsid w:val="00C22C2D"/>
    <w:rsid w:val="00C22C32"/>
    <w:rsid w:val="00C22C35"/>
    <w:rsid w:val="00C22CBE"/>
    <w:rsid w:val="00C22CDB"/>
    <w:rsid w:val="00C22DA5"/>
    <w:rsid w:val="00C22DD4"/>
    <w:rsid w:val="00C22EAA"/>
    <w:rsid w:val="00C22EED"/>
    <w:rsid w:val="00C22EFA"/>
    <w:rsid w:val="00C22EFD"/>
    <w:rsid w:val="00C22F27"/>
    <w:rsid w:val="00C22F2D"/>
    <w:rsid w:val="00C22F71"/>
    <w:rsid w:val="00C22FAD"/>
    <w:rsid w:val="00C230BF"/>
    <w:rsid w:val="00C23138"/>
    <w:rsid w:val="00C2318B"/>
    <w:rsid w:val="00C231D7"/>
    <w:rsid w:val="00C232EF"/>
    <w:rsid w:val="00C2334D"/>
    <w:rsid w:val="00C23396"/>
    <w:rsid w:val="00C233DA"/>
    <w:rsid w:val="00C23436"/>
    <w:rsid w:val="00C23439"/>
    <w:rsid w:val="00C23443"/>
    <w:rsid w:val="00C23462"/>
    <w:rsid w:val="00C23481"/>
    <w:rsid w:val="00C234A6"/>
    <w:rsid w:val="00C2352A"/>
    <w:rsid w:val="00C2352D"/>
    <w:rsid w:val="00C2364F"/>
    <w:rsid w:val="00C23745"/>
    <w:rsid w:val="00C2380B"/>
    <w:rsid w:val="00C2380E"/>
    <w:rsid w:val="00C23924"/>
    <w:rsid w:val="00C23931"/>
    <w:rsid w:val="00C23937"/>
    <w:rsid w:val="00C23959"/>
    <w:rsid w:val="00C2395F"/>
    <w:rsid w:val="00C23972"/>
    <w:rsid w:val="00C23997"/>
    <w:rsid w:val="00C23B5E"/>
    <w:rsid w:val="00C23B9B"/>
    <w:rsid w:val="00C23B9C"/>
    <w:rsid w:val="00C23BCF"/>
    <w:rsid w:val="00C23BF2"/>
    <w:rsid w:val="00C23BF5"/>
    <w:rsid w:val="00C23C1D"/>
    <w:rsid w:val="00C23C28"/>
    <w:rsid w:val="00C23C55"/>
    <w:rsid w:val="00C23CD3"/>
    <w:rsid w:val="00C23CE6"/>
    <w:rsid w:val="00C23CF7"/>
    <w:rsid w:val="00C23D54"/>
    <w:rsid w:val="00C23D79"/>
    <w:rsid w:val="00C23DF3"/>
    <w:rsid w:val="00C23E00"/>
    <w:rsid w:val="00C23EB8"/>
    <w:rsid w:val="00C23F0E"/>
    <w:rsid w:val="00C23F2A"/>
    <w:rsid w:val="00C23F8C"/>
    <w:rsid w:val="00C23F9F"/>
    <w:rsid w:val="00C23FC1"/>
    <w:rsid w:val="00C23FC8"/>
    <w:rsid w:val="00C24044"/>
    <w:rsid w:val="00C2407C"/>
    <w:rsid w:val="00C2409B"/>
    <w:rsid w:val="00C240AA"/>
    <w:rsid w:val="00C240D4"/>
    <w:rsid w:val="00C24125"/>
    <w:rsid w:val="00C24149"/>
    <w:rsid w:val="00C24235"/>
    <w:rsid w:val="00C2429A"/>
    <w:rsid w:val="00C242B2"/>
    <w:rsid w:val="00C24337"/>
    <w:rsid w:val="00C243B7"/>
    <w:rsid w:val="00C24406"/>
    <w:rsid w:val="00C24455"/>
    <w:rsid w:val="00C2448C"/>
    <w:rsid w:val="00C244A6"/>
    <w:rsid w:val="00C2462F"/>
    <w:rsid w:val="00C2469D"/>
    <w:rsid w:val="00C246AC"/>
    <w:rsid w:val="00C246EC"/>
    <w:rsid w:val="00C2475A"/>
    <w:rsid w:val="00C2485E"/>
    <w:rsid w:val="00C24862"/>
    <w:rsid w:val="00C24878"/>
    <w:rsid w:val="00C248C0"/>
    <w:rsid w:val="00C24900"/>
    <w:rsid w:val="00C24925"/>
    <w:rsid w:val="00C24931"/>
    <w:rsid w:val="00C249D4"/>
    <w:rsid w:val="00C24A01"/>
    <w:rsid w:val="00C24A5A"/>
    <w:rsid w:val="00C24AAB"/>
    <w:rsid w:val="00C24AC0"/>
    <w:rsid w:val="00C24AD1"/>
    <w:rsid w:val="00C24B42"/>
    <w:rsid w:val="00C24B44"/>
    <w:rsid w:val="00C24B47"/>
    <w:rsid w:val="00C24BF7"/>
    <w:rsid w:val="00C24C0A"/>
    <w:rsid w:val="00C24C31"/>
    <w:rsid w:val="00C24C39"/>
    <w:rsid w:val="00C24C77"/>
    <w:rsid w:val="00C24D3B"/>
    <w:rsid w:val="00C24D4A"/>
    <w:rsid w:val="00C24DBE"/>
    <w:rsid w:val="00C24DE2"/>
    <w:rsid w:val="00C24E21"/>
    <w:rsid w:val="00C24E2C"/>
    <w:rsid w:val="00C24E6D"/>
    <w:rsid w:val="00C24E78"/>
    <w:rsid w:val="00C24EC6"/>
    <w:rsid w:val="00C24FD7"/>
    <w:rsid w:val="00C25001"/>
    <w:rsid w:val="00C2504C"/>
    <w:rsid w:val="00C25074"/>
    <w:rsid w:val="00C250F9"/>
    <w:rsid w:val="00C2512D"/>
    <w:rsid w:val="00C25152"/>
    <w:rsid w:val="00C25179"/>
    <w:rsid w:val="00C25207"/>
    <w:rsid w:val="00C2526C"/>
    <w:rsid w:val="00C25289"/>
    <w:rsid w:val="00C2529B"/>
    <w:rsid w:val="00C25306"/>
    <w:rsid w:val="00C2534F"/>
    <w:rsid w:val="00C25365"/>
    <w:rsid w:val="00C25375"/>
    <w:rsid w:val="00C25453"/>
    <w:rsid w:val="00C25454"/>
    <w:rsid w:val="00C25515"/>
    <w:rsid w:val="00C25536"/>
    <w:rsid w:val="00C25566"/>
    <w:rsid w:val="00C2564E"/>
    <w:rsid w:val="00C25664"/>
    <w:rsid w:val="00C256AD"/>
    <w:rsid w:val="00C256B1"/>
    <w:rsid w:val="00C256B3"/>
    <w:rsid w:val="00C256FE"/>
    <w:rsid w:val="00C25789"/>
    <w:rsid w:val="00C2578D"/>
    <w:rsid w:val="00C257CB"/>
    <w:rsid w:val="00C25827"/>
    <w:rsid w:val="00C2584A"/>
    <w:rsid w:val="00C25855"/>
    <w:rsid w:val="00C258A3"/>
    <w:rsid w:val="00C258C2"/>
    <w:rsid w:val="00C25974"/>
    <w:rsid w:val="00C2597C"/>
    <w:rsid w:val="00C25982"/>
    <w:rsid w:val="00C259BB"/>
    <w:rsid w:val="00C259FE"/>
    <w:rsid w:val="00C25A34"/>
    <w:rsid w:val="00C25B31"/>
    <w:rsid w:val="00C25B3F"/>
    <w:rsid w:val="00C25CD3"/>
    <w:rsid w:val="00C25D15"/>
    <w:rsid w:val="00C25D32"/>
    <w:rsid w:val="00C25D85"/>
    <w:rsid w:val="00C25D8D"/>
    <w:rsid w:val="00C25DA8"/>
    <w:rsid w:val="00C25E03"/>
    <w:rsid w:val="00C25E0D"/>
    <w:rsid w:val="00C25E16"/>
    <w:rsid w:val="00C25E58"/>
    <w:rsid w:val="00C25E60"/>
    <w:rsid w:val="00C25EB2"/>
    <w:rsid w:val="00C25EEA"/>
    <w:rsid w:val="00C25EFB"/>
    <w:rsid w:val="00C25F38"/>
    <w:rsid w:val="00C25F85"/>
    <w:rsid w:val="00C26020"/>
    <w:rsid w:val="00C261CA"/>
    <w:rsid w:val="00C262DB"/>
    <w:rsid w:val="00C262E6"/>
    <w:rsid w:val="00C26342"/>
    <w:rsid w:val="00C26346"/>
    <w:rsid w:val="00C2635A"/>
    <w:rsid w:val="00C2638E"/>
    <w:rsid w:val="00C263D5"/>
    <w:rsid w:val="00C2641A"/>
    <w:rsid w:val="00C2646B"/>
    <w:rsid w:val="00C264C6"/>
    <w:rsid w:val="00C2657A"/>
    <w:rsid w:val="00C265B2"/>
    <w:rsid w:val="00C265FC"/>
    <w:rsid w:val="00C26614"/>
    <w:rsid w:val="00C26660"/>
    <w:rsid w:val="00C26672"/>
    <w:rsid w:val="00C26689"/>
    <w:rsid w:val="00C2668D"/>
    <w:rsid w:val="00C2668E"/>
    <w:rsid w:val="00C26699"/>
    <w:rsid w:val="00C266AC"/>
    <w:rsid w:val="00C266D0"/>
    <w:rsid w:val="00C266F8"/>
    <w:rsid w:val="00C26742"/>
    <w:rsid w:val="00C2676D"/>
    <w:rsid w:val="00C26841"/>
    <w:rsid w:val="00C26850"/>
    <w:rsid w:val="00C26870"/>
    <w:rsid w:val="00C26938"/>
    <w:rsid w:val="00C26945"/>
    <w:rsid w:val="00C269E0"/>
    <w:rsid w:val="00C26A46"/>
    <w:rsid w:val="00C26AEB"/>
    <w:rsid w:val="00C26B15"/>
    <w:rsid w:val="00C26BE9"/>
    <w:rsid w:val="00C26BFB"/>
    <w:rsid w:val="00C26C14"/>
    <w:rsid w:val="00C26CAE"/>
    <w:rsid w:val="00C26DB0"/>
    <w:rsid w:val="00C26E2E"/>
    <w:rsid w:val="00C26EA1"/>
    <w:rsid w:val="00C26EBA"/>
    <w:rsid w:val="00C26EBB"/>
    <w:rsid w:val="00C26ED5"/>
    <w:rsid w:val="00C26F02"/>
    <w:rsid w:val="00C26F11"/>
    <w:rsid w:val="00C26F9E"/>
    <w:rsid w:val="00C26FB6"/>
    <w:rsid w:val="00C2704B"/>
    <w:rsid w:val="00C270E2"/>
    <w:rsid w:val="00C27179"/>
    <w:rsid w:val="00C27211"/>
    <w:rsid w:val="00C2721A"/>
    <w:rsid w:val="00C27257"/>
    <w:rsid w:val="00C2726F"/>
    <w:rsid w:val="00C272E3"/>
    <w:rsid w:val="00C27334"/>
    <w:rsid w:val="00C27345"/>
    <w:rsid w:val="00C27388"/>
    <w:rsid w:val="00C273AF"/>
    <w:rsid w:val="00C273EE"/>
    <w:rsid w:val="00C27441"/>
    <w:rsid w:val="00C27455"/>
    <w:rsid w:val="00C2755E"/>
    <w:rsid w:val="00C27582"/>
    <w:rsid w:val="00C27583"/>
    <w:rsid w:val="00C275C6"/>
    <w:rsid w:val="00C275D3"/>
    <w:rsid w:val="00C27604"/>
    <w:rsid w:val="00C27641"/>
    <w:rsid w:val="00C276EB"/>
    <w:rsid w:val="00C276F9"/>
    <w:rsid w:val="00C27706"/>
    <w:rsid w:val="00C2776B"/>
    <w:rsid w:val="00C2785D"/>
    <w:rsid w:val="00C27933"/>
    <w:rsid w:val="00C27941"/>
    <w:rsid w:val="00C27943"/>
    <w:rsid w:val="00C2795C"/>
    <w:rsid w:val="00C27960"/>
    <w:rsid w:val="00C27983"/>
    <w:rsid w:val="00C2799A"/>
    <w:rsid w:val="00C279CD"/>
    <w:rsid w:val="00C27A83"/>
    <w:rsid w:val="00C27AD0"/>
    <w:rsid w:val="00C27AE0"/>
    <w:rsid w:val="00C27C23"/>
    <w:rsid w:val="00C27D2C"/>
    <w:rsid w:val="00C27D66"/>
    <w:rsid w:val="00C27D6E"/>
    <w:rsid w:val="00C27D7E"/>
    <w:rsid w:val="00C27D93"/>
    <w:rsid w:val="00C27D9C"/>
    <w:rsid w:val="00C27E1C"/>
    <w:rsid w:val="00C27E27"/>
    <w:rsid w:val="00C27E9F"/>
    <w:rsid w:val="00C27EB8"/>
    <w:rsid w:val="00C27F11"/>
    <w:rsid w:val="00C27F25"/>
    <w:rsid w:val="00C27F27"/>
    <w:rsid w:val="00C27F67"/>
    <w:rsid w:val="00C30019"/>
    <w:rsid w:val="00C30046"/>
    <w:rsid w:val="00C30074"/>
    <w:rsid w:val="00C30077"/>
    <w:rsid w:val="00C30080"/>
    <w:rsid w:val="00C300B9"/>
    <w:rsid w:val="00C300F5"/>
    <w:rsid w:val="00C30180"/>
    <w:rsid w:val="00C301D4"/>
    <w:rsid w:val="00C30257"/>
    <w:rsid w:val="00C30339"/>
    <w:rsid w:val="00C303AE"/>
    <w:rsid w:val="00C3040B"/>
    <w:rsid w:val="00C3043A"/>
    <w:rsid w:val="00C30482"/>
    <w:rsid w:val="00C3052B"/>
    <w:rsid w:val="00C30562"/>
    <w:rsid w:val="00C305D3"/>
    <w:rsid w:val="00C305EB"/>
    <w:rsid w:val="00C3067D"/>
    <w:rsid w:val="00C306D9"/>
    <w:rsid w:val="00C306F2"/>
    <w:rsid w:val="00C3070E"/>
    <w:rsid w:val="00C30812"/>
    <w:rsid w:val="00C3082A"/>
    <w:rsid w:val="00C3084D"/>
    <w:rsid w:val="00C3087A"/>
    <w:rsid w:val="00C30899"/>
    <w:rsid w:val="00C308AC"/>
    <w:rsid w:val="00C308B7"/>
    <w:rsid w:val="00C308DA"/>
    <w:rsid w:val="00C308F3"/>
    <w:rsid w:val="00C3090D"/>
    <w:rsid w:val="00C30916"/>
    <w:rsid w:val="00C30A1B"/>
    <w:rsid w:val="00C30A60"/>
    <w:rsid w:val="00C30A93"/>
    <w:rsid w:val="00C30AF5"/>
    <w:rsid w:val="00C30C47"/>
    <w:rsid w:val="00C30CA5"/>
    <w:rsid w:val="00C30CDB"/>
    <w:rsid w:val="00C30CFC"/>
    <w:rsid w:val="00C30D35"/>
    <w:rsid w:val="00C30D7C"/>
    <w:rsid w:val="00C30D8B"/>
    <w:rsid w:val="00C30DF2"/>
    <w:rsid w:val="00C30E0E"/>
    <w:rsid w:val="00C30E4C"/>
    <w:rsid w:val="00C30E7D"/>
    <w:rsid w:val="00C30E90"/>
    <w:rsid w:val="00C30EB4"/>
    <w:rsid w:val="00C30EC7"/>
    <w:rsid w:val="00C30EF7"/>
    <w:rsid w:val="00C30F54"/>
    <w:rsid w:val="00C30F8E"/>
    <w:rsid w:val="00C30FAC"/>
    <w:rsid w:val="00C3103E"/>
    <w:rsid w:val="00C31162"/>
    <w:rsid w:val="00C311A9"/>
    <w:rsid w:val="00C311E0"/>
    <w:rsid w:val="00C31208"/>
    <w:rsid w:val="00C31219"/>
    <w:rsid w:val="00C3121A"/>
    <w:rsid w:val="00C3123A"/>
    <w:rsid w:val="00C31246"/>
    <w:rsid w:val="00C31267"/>
    <w:rsid w:val="00C312B3"/>
    <w:rsid w:val="00C312C2"/>
    <w:rsid w:val="00C31313"/>
    <w:rsid w:val="00C3131B"/>
    <w:rsid w:val="00C313CC"/>
    <w:rsid w:val="00C31441"/>
    <w:rsid w:val="00C31483"/>
    <w:rsid w:val="00C31484"/>
    <w:rsid w:val="00C314EE"/>
    <w:rsid w:val="00C31509"/>
    <w:rsid w:val="00C3150C"/>
    <w:rsid w:val="00C31536"/>
    <w:rsid w:val="00C3155A"/>
    <w:rsid w:val="00C31567"/>
    <w:rsid w:val="00C315AE"/>
    <w:rsid w:val="00C315CA"/>
    <w:rsid w:val="00C31648"/>
    <w:rsid w:val="00C31711"/>
    <w:rsid w:val="00C31751"/>
    <w:rsid w:val="00C31764"/>
    <w:rsid w:val="00C317F7"/>
    <w:rsid w:val="00C31801"/>
    <w:rsid w:val="00C3182A"/>
    <w:rsid w:val="00C318B1"/>
    <w:rsid w:val="00C319B2"/>
    <w:rsid w:val="00C319B5"/>
    <w:rsid w:val="00C319BD"/>
    <w:rsid w:val="00C31A65"/>
    <w:rsid w:val="00C31A68"/>
    <w:rsid w:val="00C31A6F"/>
    <w:rsid w:val="00C31AC9"/>
    <w:rsid w:val="00C31AD0"/>
    <w:rsid w:val="00C31B66"/>
    <w:rsid w:val="00C31BEA"/>
    <w:rsid w:val="00C31C89"/>
    <w:rsid w:val="00C31D0C"/>
    <w:rsid w:val="00C31D56"/>
    <w:rsid w:val="00C31D93"/>
    <w:rsid w:val="00C31DCB"/>
    <w:rsid w:val="00C31E3C"/>
    <w:rsid w:val="00C31E87"/>
    <w:rsid w:val="00C31EF4"/>
    <w:rsid w:val="00C31FA5"/>
    <w:rsid w:val="00C32033"/>
    <w:rsid w:val="00C32066"/>
    <w:rsid w:val="00C320B7"/>
    <w:rsid w:val="00C32156"/>
    <w:rsid w:val="00C321F1"/>
    <w:rsid w:val="00C322A4"/>
    <w:rsid w:val="00C322C3"/>
    <w:rsid w:val="00C322D5"/>
    <w:rsid w:val="00C322FD"/>
    <w:rsid w:val="00C323A1"/>
    <w:rsid w:val="00C323F9"/>
    <w:rsid w:val="00C32467"/>
    <w:rsid w:val="00C3254D"/>
    <w:rsid w:val="00C32558"/>
    <w:rsid w:val="00C325AB"/>
    <w:rsid w:val="00C325B7"/>
    <w:rsid w:val="00C325EE"/>
    <w:rsid w:val="00C326F1"/>
    <w:rsid w:val="00C32764"/>
    <w:rsid w:val="00C3276B"/>
    <w:rsid w:val="00C327BC"/>
    <w:rsid w:val="00C32803"/>
    <w:rsid w:val="00C32809"/>
    <w:rsid w:val="00C3287A"/>
    <w:rsid w:val="00C328C5"/>
    <w:rsid w:val="00C328D8"/>
    <w:rsid w:val="00C32903"/>
    <w:rsid w:val="00C3293F"/>
    <w:rsid w:val="00C3297E"/>
    <w:rsid w:val="00C329B5"/>
    <w:rsid w:val="00C329D3"/>
    <w:rsid w:val="00C32A89"/>
    <w:rsid w:val="00C32AA7"/>
    <w:rsid w:val="00C32C26"/>
    <w:rsid w:val="00C32C3A"/>
    <w:rsid w:val="00C32CC4"/>
    <w:rsid w:val="00C32E49"/>
    <w:rsid w:val="00C32E7A"/>
    <w:rsid w:val="00C32E98"/>
    <w:rsid w:val="00C32EAB"/>
    <w:rsid w:val="00C32F2A"/>
    <w:rsid w:val="00C32F7C"/>
    <w:rsid w:val="00C32FBE"/>
    <w:rsid w:val="00C32FD2"/>
    <w:rsid w:val="00C32FDD"/>
    <w:rsid w:val="00C3300A"/>
    <w:rsid w:val="00C33036"/>
    <w:rsid w:val="00C33049"/>
    <w:rsid w:val="00C33061"/>
    <w:rsid w:val="00C33078"/>
    <w:rsid w:val="00C33112"/>
    <w:rsid w:val="00C33114"/>
    <w:rsid w:val="00C3312A"/>
    <w:rsid w:val="00C3317C"/>
    <w:rsid w:val="00C33210"/>
    <w:rsid w:val="00C33212"/>
    <w:rsid w:val="00C3322C"/>
    <w:rsid w:val="00C33289"/>
    <w:rsid w:val="00C332A6"/>
    <w:rsid w:val="00C332FB"/>
    <w:rsid w:val="00C33308"/>
    <w:rsid w:val="00C33339"/>
    <w:rsid w:val="00C3334A"/>
    <w:rsid w:val="00C3338C"/>
    <w:rsid w:val="00C33394"/>
    <w:rsid w:val="00C333C7"/>
    <w:rsid w:val="00C333F9"/>
    <w:rsid w:val="00C33425"/>
    <w:rsid w:val="00C3348C"/>
    <w:rsid w:val="00C334A8"/>
    <w:rsid w:val="00C334E4"/>
    <w:rsid w:val="00C334EB"/>
    <w:rsid w:val="00C33566"/>
    <w:rsid w:val="00C3357A"/>
    <w:rsid w:val="00C3357C"/>
    <w:rsid w:val="00C335D6"/>
    <w:rsid w:val="00C33626"/>
    <w:rsid w:val="00C3367E"/>
    <w:rsid w:val="00C33699"/>
    <w:rsid w:val="00C336C3"/>
    <w:rsid w:val="00C337CF"/>
    <w:rsid w:val="00C337ED"/>
    <w:rsid w:val="00C33803"/>
    <w:rsid w:val="00C3387B"/>
    <w:rsid w:val="00C33914"/>
    <w:rsid w:val="00C33986"/>
    <w:rsid w:val="00C339A0"/>
    <w:rsid w:val="00C339F2"/>
    <w:rsid w:val="00C33A27"/>
    <w:rsid w:val="00C33A2C"/>
    <w:rsid w:val="00C33A53"/>
    <w:rsid w:val="00C33A8B"/>
    <w:rsid w:val="00C33ABD"/>
    <w:rsid w:val="00C33ACC"/>
    <w:rsid w:val="00C33B25"/>
    <w:rsid w:val="00C33B5C"/>
    <w:rsid w:val="00C33B7C"/>
    <w:rsid w:val="00C33BD5"/>
    <w:rsid w:val="00C33BDA"/>
    <w:rsid w:val="00C33BEB"/>
    <w:rsid w:val="00C33C09"/>
    <w:rsid w:val="00C33C0B"/>
    <w:rsid w:val="00C33C0E"/>
    <w:rsid w:val="00C33C5A"/>
    <w:rsid w:val="00C33CD6"/>
    <w:rsid w:val="00C33D0A"/>
    <w:rsid w:val="00C33D33"/>
    <w:rsid w:val="00C33D3D"/>
    <w:rsid w:val="00C33DAD"/>
    <w:rsid w:val="00C33DB5"/>
    <w:rsid w:val="00C33DCB"/>
    <w:rsid w:val="00C33DCF"/>
    <w:rsid w:val="00C33DDD"/>
    <w:rsid w:val="00C33E13"/>
    <w:rsid w:val="00C33E14"/>
    <w:rsid w:val="00C33E1F"/>
    <w:rsid w:val="00C33E52"/>
    <w:rsid w:val="00C33E74"/>
    <w:rsid w:val="00C33E76"/>
    <w:rsid w:val="00C33ECA"/>
    <w:rsid w:val="00C33EDB"/>
    <w:rsid w:val="00C33F3D"/>
    <w:rsid w:val="00C33FF5"/>
    <w:rsid w:val="00C34005"/>
    <w:rsid w:val="00C34008"/>
    <w:rsid w:val="00C3405B"/>
    <w:rsid w:val="00C3408B"/>
    <w:rsid w:val="00C340FB"/>
    <w:rsid w:val="00C34114"/>
    <w:rsid w:val="00C34133"/>
    <w:rsid w:val="00C341AA"/>
    <w:rsid w:val="00C341DA"/>
    <w:rsid w:val="00C342A1"/>
    <w:rsid w:val="00C342A6"/>
    <w:rsid w:val="00C34315"/>
    <w:rsid w:val="00C3431C"/>
    <w:rsid w:val="00C34401"/>
    <w:rsid w:val="00C3447D"/>
    <w:rsid w:val="00C3449C"/>
    <w:rsid w:val="00C3451E"/>
    <w:rsid w:val="00C3453F"/>
    <w:rsid w:val="00C34547"/>
    <w:rsid w:val="00C3457D"/>
    <w:rsid w:val="00C3465B"/>
    <w:rsid w:val="00C346A0"/>
    <w:rsid w:val="00C346CA"/>
    <w:rsid w:val="00C346D0"/>
    <w:rsid w:val="00C3477D"/>
    <w:rsid w:val="00C3483F"/>
    <w:rsid w:val="00C3484A"/>
    <w:rsid w:val="00C3484F"/>
    <w:rsid w:val="00C34899"/>
    <w:rsid w:val="00C348EB"/>
    <w:rsid w:val="00C348F9"/>
    <w:rsid w:val="00C34951"/>
    <w:rsid w:val="00C34964"/>
    <w:rsid w:val="00C3496D"/>
    <w:rsid w:val="00C349C7"/>
    <w:rsid w:val="00C34A25"/>
    <w:rsid w:val="00C34AC7"/>
    <w:rsid w:val="00C34AF7"/>
    <w:rsid w:val="00C34AFF"/>
    <w:rsid w:val="00C34BEF"/>
    <w:rsid w:val="00C34C17"/>
    <w:rsid w:val="00C34C24"/>
    <w:rsid w:val="00C34C3A"/>
    <w:rsid w:val="00C34C40"/>
    <w:rsid w:val="00C34C82"/>
    <w:rsid w:val="00C34C9E"/>
    <w:rsid w:val="00C34CEF"/>
    <w:rsid w:val="00C34D30"/>
    <w:rsid w:val="00C34D45"/>
    <w:rsid w:val="00C34D7D"/>
    <w:rsid w:val="00C34D82"/>
    <w:rsid w:val="00C34DA5"/>
    <w:rsid w:val="00C34DC1"/>
    <w:rsid w:val="00C34DFD"/>
    <w:rsid w:val="00C34E2C"/>
    <w:rsid w:val="00C34E2F"/>
    <w:rsid w:val="00C34E4B"/>
    <w:rsid w:val="00C34EB6"/>
    <w:rsid w:val="00C34EDA"/>
    <w:rsid w:val="00C34F59"/>
    <w:rsid w:val="00C34F86"/>
    <w:rsid w:val="00C34FA3"/>
    <w:rsid w:val="00C3504E"/>
    <w:rsid w:val="00C350BA"/>
    <w:rsid w:val="00C350DD"/>
    <w:rsid w:val="00C35113"/>
    <w:rsid w:val="00C35142"/>
    <w:rsid w:val="00C35143"/>
    <w:rsid w:val="00C3519D"/>
    <w:rsid w:val="00C351CC"/>
    <w:rsid w:val="00C351D7"/>
    <w:rsid w:val="00C3521A"/>
    <w:rsid w:val="00C35229"/>
    <w:rsid w:val="00C3525C"/>
    <w:rsid w:val="00C35280"/>
    <w:rsid w:val="00C3528A"/>
    <w:rsid w:val="00C352D2"/>
    <w:rsid w:val="00C35375"/>
    <w:rsid w:val="00C3539F"/>
    <w:rsid w:val="00C35460"/>
    <w:rsid w:val="00C35492"/>
    <w:rsid w:val="00C35496"/>
    <w:rsid w:val="00C35519"/>
    <w:rsid w:val="00C35528"/>
    <w:rsid w:val="00C3556E"/>
    <w:rsid w:val="00C35572"/>
    <w:rsid w:val="00C355D5"/>
    <w:rsid w:val="00C3560E"/>
    <w:rsid w:val="00C3562F"/>
    <w:rsid w:val="00C35636"/>
    <w:rsid w:val="00C35659"/>
    <w:rsid w:val="00C35679"/>
    <w:rsid w:val="00C356CD"/>
    <w:rsid w:val="00C35785"/>
    <w:rsid w:val="00C357B9"/>
    <w:rsid w:val="00C357D9"/>
    <w:rsid w:val="00C358FD"/>
    <w:rsid w:val="00C35936"/>
    <w:rsid w:val="00C3593F"/>
    <w:rsid w:val="00C359A7"/>
    <w:rsid w:val="00C35A49"/>
    <w:rsid w:val="00C35B59"/>
    <w:rsid w:val="00C35CE1"/>
    <w:rsid w:val="00C35CEB"/>
    <w:rsid w:val="00C35D19"/>
    <w:rsid w:val="00C35D21"/>
    <w:rsid w:val="00C35D43"/>
    <w:rsid w:val="00C35D73"/>
    <w:rsid w:val="00C35D76"/>
    <w:rsid w:val="00C35D8C"/>
    <w:rsid w:val="00C35DB7"/>
    <w:rsid w:val="00C35DC8"/>
    <w:rsid w:val="00C35DEB"/>
    <w:rsid w:val="00C35E3E"/>
    <w:rsid w:val="00C35E70"/>
    <w:rsid w:val="00C35E7C"/>
    <w:rsid w:val="00C35E8F"/>
    <w:rsid w:val="00C35E93"/>
    <w:rsid w:val="00C35EA1"/>
    <w:rsid w:val="00C35ED0"/>
    <w:rsid w:val="00C35EEB"/>
    <w:rsid w:val="00C35EF6"/>
    <w:rsid w:val="00C35F47"/>
    <w:rsid w:val="00C35FC5"/>
    <w:rsid w:val="00C35FE0"/>
    <w:rsid w:val="00C35FFA"/>
    <w:rsid w:val="00C36029"/>
    <w:rsid w:val="00C36043"/>
    <w:rsid w:val="00C36048"/>
    <w:rsid w:val="00C3605D"/>
    <w:rsid w:val="00C36101"/>
    <w:rsid w:val="00C36127"/>
    <w:rsid w:val="00C362BD"/>
    <w:rsid w:val="00C36365"/>
    <w:rsid w:val="00C363C7"/>
    <w:rsid w:val="00C363FF"/>
    <w:rsid w:val="00C36427"/>
    <w:rsid w:val="00C364B7"/>
    <w:rsid w:val="00C364E5"/>
    <w:rsid w:val="00C365A1"/>
    <w:rsid w:val="00C365D7"/>
    <w:rsid w:val="00C365DA"/>
    <w:rsid w:val="00C36605"/>
    <w:rsid w:val="00C3667B"/>
    <w:rsid w:val="00C36697"/>
    <w:rsid w:val="00C3677C"/>
    <w:rsid w:val="00C3679E"/>
    <w:rsid w:val="00C367B4"/>
    <w:rsid w:val="00C36804"/>
    <w:rsid w:val="00C3680A"/>
    <w:rsid w:val="00C3685F"/>
    <w:rsid w:val="00C368CC"/>
    <w:rsid w:val="00C368F9"/>
    <w:rsid w:val="00C36917"/>
    <w:rsid w:val="00C369CE"/>
    <w:rsid w:val="00C36A27"/>
    <w:rsid w:val="00C36A67"/>
    <w:rsid w:val="00C36AD1"/>
    <w:rsid w:val="00C36AD5"/>
    <w:rsid w:val="00C36C5E"/>
    <w:rsid w:val="00C36CB6"/>
    <w:rsid w:val="00C36CB7"/>
    <w:rsid w:val="00C36CC4"/>
    <w:rsid w:val="00C36CC9"/>
    <w:rsid w:val="00C36CD5"/>
    <w:rsid w:val="00C36E1B"/>
    <w:rsid w:val="00C36E37"/>
    <w:rsid w:val="00C36EA4"/>
    <w:rsid w:val="00C36EDF"/>
    <w:rsid w:val="00C36F46"/>
    <w:rsid w:val="00C36FA7"/>
    <w:rsid w:val="00C36FC5"/>
    <w:rsid w:val="00C36FD2"/>
    <w:rsid w:val="00C37063"/>
    <w:rsid w:val="00C370AA"/>
    <w:rsid w:val="00C370CA"/>
    <w:rsid w:val="00C370CB"/>
    <w:rsid w:val="00C370FA"/>
    <w:rsid w:val="00C371C9"/>
    <w:rsid w:val="00C37219"/>
    <w:rsid w:val="00C37236"/>
    <w:rsid w:val="00C37267"/>
    <w:rsid w:val="00C3729A"/>
    <w:rsid w:val="00C372A6"/>
    <w:rsid w:val="00C372E1"/>
    <w:rsid w:val="00C3732A"/>
    <w:rsid w:val="00C37377"/>
    <w:rsid w:val="00C373AB"/>
    <w:rsid w:val="00C373B3"/>
    <w:rsid w:val="00C373FC"/>
    <w:rsid w:val="00C374C8"/>
    <w:rsid w:val="00C3754B"/>
    <w:rsid w:val="00C37571"/>
    <w:rsid w:val="00C37576"/>
    <w:rsid w:val="00C3758F"/>
    <w:rsid w:val="00C375A5"/>
    <w:rsid w:val="00C37795"/>
    <w:rsid w:val="00C377E0"/>
    <w:rsid w:val="00C37806"/>
    <w:rsid w:val="00C3788E"/>
    <w:rsid w:val="00C378B5"/>
    <w:rsid w:val="00C3797A"/>
    <w:rsid w:val="00C379A8"/>
    <w:rsid w:val="00C379F0"/>
    <w:rsid w:val="00C379F2"/>
    <w:rsid w:val="00C37B99"/>
    <w:rsid w:val="00C37BBC"/>
    <w:rsid w:val="00C37BE0"/>
    <w:rsid w:val="00C37C15"/>
    <w:rsid w:val="00C37C57"/>
    <w:rsid w:val="00C37C97"/>
    <w:rsid w:val="00C37CDF"/>
    <w:rsid w:val="00C37CE2"/>
    <w:rsid w:val="00C37D25"/>
    <w:rsid w:val="00C37D41"/>
    <w:rsid w:val="00C37E58"/>
    <w:rsid w:val="00C37FB5"/>
    <w:rsid w:val="00C40099"/>
    <w:rsid w:val="00C4009E"/>
    <w:rsid w:val="00C400C3"/>
    <w:rsid w:val="00C400DF"/>
    <w:rsid w:val="00C4017E"/>
    <w:rsid w:val="00C401EC"/>
    <w:rsid w:val="00C40202"/>
    <w:rsid w:val="00C40225"/>
    <w:rsid w:val="00C402B3"/>
    <w:rsid w:val="00C4035C"/>
    <w:rsid w:val="00C40364"/>
    <w:rsid w:val="00C40406"/>
    <w:rsid w:val="00C4040A"/>
    <w:rsid w:val="00C40499"/>
    <w:rsid w:val="00C404BC"/>
    <w:rsid w:val="00C404DD"/>
    <w:rsid w:val="00C404FD"/>
    <w:rsid w:val="00C4053F"/>
    <w:rsid w:val="00C40589"/>
    <w:rsid w:val="00C405DE"/>
    <w:rsid w:val="00C405F2"/>
    <w:rsid w:val="00C40643"/>
    <w:rsid w:val="00C40714"/>
    <w:rsid w:val="00C40777"/>
    <w:rsid w:val="00C4077F"/>
    <w:rsid w:val="00C40782"/>
    <w:rsid w:val="00C407C5"/>
    <w:rsid w:val="00C40844"/>
    <w:rsid w:val="00C4086E"/>
    <w:rsid w:val="00C4087E"/>
    <w:rsid w:val="00C408A9"/>
    <w:rsid w:val="00C40A3A"/>
    <w:rsid w:val="00C40A6D"/>
    <w:rsid w:val="00C40A94"/>
    <w:rsid w:val="00C40A96"/>
    <w:rsid w:val="00C40ABA"/>
    <w:rsid w:val="00C40ABB"/>
    <w:rsid w:val="00C40AD0"/>
    <w:rsid w:val="00C40AE7"/>
    <w:rsid w:val="00C40BA7"/>
    <w:rsid w:val="00C40C10"/>
    <w:rsid w:val="00C40C3F"/>
    <w:rsid w:val="00C40C42"/>
    <w:rsid w:val="00C40C4A"/>
    <w:rsid w:val="00C40C4B"/>
    <w:rsid w:val="00C40C4D"/>
    <w:rsid w:val="00C40C59"/>
    <w:rsid w:val="00C40CD4"/>
    <w:rsid w:val="00C40D11"/>
    <w:rsid w:val="00C40D49"/>
    <w:rsid w:val="00C40D55"/>
    <w:rsid w:val="00C40D7A"/>
    <w:rsid w:val="00C40DD3"/>
    <w:rsid w:val="00C40DE7"/>
    <w:rsid w:val="00C40E26"/>
    <w:rsid w:val="00C40E63"/>
    <w:rsid w:val="00C40E72"/>
    <w:rsid w:val="00C40E81"/>
    <w:rsid w:val="00C40EA8"/>
    <w:rsid w:val="00C40EC3"/>
    <w:rsid w:val="00C40EE1"/>
    <w:rsid w:val="00C40F53"/>
    <w:rsid w:val="00C40F5F"/>
    <w:rsid w:val="00C40FC8"/>
    <w:rsid w:val="00C40FFD"/>
    <w:rsid w:val="00C4100E"/>
    <w:rsid w:val="00C4101C"/>
    <w:rsid w:val="00C410A2"/>
    <w:rsid w:val="00C41119"/>
    <w:rsid w:val="00C41141"/>
    <w:rsid w:val="00C4114A"/>
    <w:rsid w:val="00C41226"/>
    <w:rsid w:val="00C41373"/>
    <w:rsid w:val="00C413B4"/>
    <w:rsid w:val="00C413F8"/>
    <w:rsid w:val="00C413FD"/>
    <w:rsid w:val="00C41411"/>
    <w:rsid w:val="00C41445"/>
    <w:rsid w:val="00C41482"/>
    <w:rsid w:val="00C414B2"/>
    <w:rsid w:val="00C414CE"/>
    <w:rsid w:val="00C4152D"/>
    <w:rsid w:val="00C41538"/>
    <w:rsid w:val="00C41541"/>
    <w:rsid w:val="00C4169D"/>
    <w:rsid w:val="00C416B7"/>
    <w:rsid w:val="00C416DC"/>
    <w:rsid w:val="00C4170F"/>
    <w:rsid w:val="00C4173F"/>
    <w:rsid w:val="00C41745"/>
    <w:rsid w:val="00C41791"/>
    <w:rsid w:val="00C417D4"/>
    <w:rsid w:val="00C417DC"/>
    <w:rsid w:val="00C417E8"/>
    <w:rsid w:val="00C4180C"/>
    <w:rsid w:val="00C41822"/>
    <w:rsid w:val="00C41835"/>
    <w:rsid w:val="00C4186D"/>
    <w:rsid w:val="00C4187B"/>
    <w:rsid w:val="00C41882"/>
    <w:rsid w:val="00C41889"/>
    <w:rsid w:val="00C41A65"/>
    <w:rsid w:val="00C41AB7"/>
    <w:rsid w:val="00C41AEE"/>
    <w:rsid w:val="00C41AF0"/>
    <w:rsid w:val="00C41B5D"/>
    <w:rsid w:val="00C41BA2"/>
    <w:rsid w:val="00C41BCE"/>
    <w:rsid w:val="00C41BD3"/>
    <w:rsid w:val="00C41C27"/>
    <w:rsid w:val="00C41C98"/>
    <w:rsid w:val="00C41CC9"/>
    <w:rsid w:val="00C41CE7"/>
    <w:rsid w:val="00C41CED"/>
    <w:rsid w:val="00C41D5F"/>
    <w:rsid w:val="00C41D7F"/>
    <w:rsid w:val="00C41E67"/>
    <w:rsid w:val="00C41E77"/>
    <w:rsid w:val="00C41EA5"/>
    <w:rsid w:val="00C41EE0"/>
    <w:rsid w:val="00C41F8A"/>
    <w:rsid w:val="00C41F96"/>
    <w:rsid w:val="00C41FBD"/>
    <w:rsid w:val="00C42048"/>
    <w:rsid w:val="00C420BC"/>
    <w:rsid w:val="00C420BF"/>
    <w:rsid w:val="00C420D6"/>
    <w:rsid w:val="00C42151"/>
    <w:rsid w:val="00C4215E"/>
    <w:rsid w:val="00C42175"/>
    <w:rsid w:val="00C421E5"/>
    <w:rsid w:val="00C422D3"/>
    <w:rsid w:val="00C422F1"/>
    <w:rsid w:val="00C4238E"/>
    <w:rsid w:val="00C42395"/>
    <w:rsid w:val="00C42499"/>
    <w:rsid w:val="00C424F2"/>
    <w:rsid w:val="00C4253A"/>
    <w:rsid w:val="00C42550"/>
    <w:rsid w:val="00C42577"/>
    <w:rsid w:val="00C42616"/>
    <w:rsid w:val="00C42626"/>
    <w:rsid w:val="00C4265A"/>
    <w:rsid w:val="00C42667"/>
    <w:rsid w:val="00C426FB"/>
    <w:rsid w:val="00C42719"/>
    <w:rsid w:val="00C42734"/>
    <w:rsid w:val="00C42780"/>
    <w:rsid w:val="00C427DF"/>
    <w:rsid w:val="00C42863"/>
    <w:rsid w:val="00C4289D"/>
    <w:rsid w:val="00C428D8"/>
    <w:rsid w:val="00C428DF"/>
    <w:rsid w:val="00C4291A"/>
    <w:rsid w:val="00C429E5"/>
    <w:rsid w:val="00C42A00"/>
    <w:rsid w:val="00C42A32"/>
    <w:rsid w:val="00C42A52"/>
    <w:rsid w:val="00C42AF3"/>
    <w:rsid w:val="00C42B36"/>
    <w:rsid w:val="00C42B59"/>
    <w:rsid w:val="00C42B91"/>
    <w:rsid w:val="00C42BC2"/>
    <w:rsid w:val="00C42BD7"/>
    <w:rsid w:val="00C42BE4"/>
    <w:rsid w:val="00C42C2F"/>
    <w:rsid w:val="00C42DB8"/>
    <w:rsid w:val="00C42E63"/>
    <w:rsid w:val="00C42EAB"/>
    <w:rsid w:val="00C42F66"/>
    <w:rsid w:val="00C4304D"/>
    <w:rsid w:val="00C43093"/>
    <w:rsid w:val="00C430C3"/>
    <w:rsid w:val="00C43169"/>
    <w:rsid w:val="00C431A0"/>
    <w:rsid w:val="00C431B6"/>
    <w:rsid w:val="00C431D2"/>
    <w:rsid w:val="00C431DB"/>
    <w:rsid w:val="00C431E9"/>
    <w:rsid w:val="00C43250"/>
    <w:rsid w:val="00C4332E"/>
    <w:rsid w:val="00C433AD"/>
    <w:rsid w:val="00C433B4"/>
    <w:rsid w:val="00C433F8"/>
    <w:rsid w:val="00C435A5"/>
    <w:rsid w:val="00C435E9"/>
    <w:rsid w:val="00C435F3"/>
    <w:rsid w:val="00C436A4"/>
    <w:rsid w:val="00C43730"/>
    <w:rsid w:val="00C43745"/>
    <w:rsid w:val="00C4377A"/>
    <w:rsid w:val="00C4377C"/>
    <w:rsid w:val="00C437A3"/>
    <w:rsid w:val="00C437F7"/>
    <w:rsid w:val="00C43817"/>
    <w:rsid w:val="00C4381B"/>
    <w:rsid w:val="00C43828"/>
    <w:rsid w:val="00C438AF"/>
    <w:rsid w:val="00C438EA"/>
    <w:rsid w:val="00C4390A"/>
    <w:rsid w:val="00C43929"/>
    <w:rsid w:val="00C4396B"/>
    <w:rsid w:val="00C4396D"/>
    <w:rsid w:val="00C439BD"/>
    <w:rsid w:val="00C43A61"/>
    <w:rsid w:val="00C43B06"/>
    <w:rsid w:val="00C43B3C"/>
    <w:rsid w:val="00C43B9D"/>
    <w:rsid w:val="00C43BC1"/>
    <w:rsid w:val="00C43C36"/>
    <w:rsid w:val="00C43C96"/>
    <w:rsid w:val="00C43CAF"/>
    <w:rsid w:val="00C43CED"/>
    <w:rsid w:val="00C43CF5"/>
    <w:rsid w:val="00C43D22"/>
    <w:rsid w:val="00C43D3D"/>
    <w:rsid w:val="00C43D66"/>
    <w:rsid w:val="00C43D72"/>
    <w:rsid w:val="00C43DD4"/>
    <w:rsid w:val="00C43E00"/>
    <w:rsid w:val="00C43E73"/>
    <w:rsid w:val="00C43E7D"/>
    <w:rsid w:val="00C43ED8"/>
    <w:rsid w:val="00C43F06"/>
    <w:rsid w:val="00C43F1E"/>
    <w:rsid w:val="00C43F30"/>
    <w:rsid w:val="00C43F61"/>
    <w:rsid w:val="00C43F6F"/>
    <w:rsid w:val="00C43F7B"/>
    <w:rsid w:val="00C43F9F"/>
    <w:rsid w:val="00C440AB"/>
    <w:rsid w:val="00C440AD"/>
    <w:rsid w:val="00C440CB"/>
    <w:rsid w:val="00C440DC"/>
    <w:rsid w:val="00C440E0"/>
    <w:rsid w:val="00C440E3"/>
    <w:rsid w:val="00C441AA"/>
    <w:rsid w:val="00C44251"/>
    <w:rsid w:val="00C442CA"/>
    <w:rsid w:val="00C443BE"/>
    <w:rsid w:val="00C44438"/>
    <w:rsid w:val="00C444AD"/>
    <w:rsid w:val="00C444B9"/>
    <w:rsid w:val="00C445C4"/>
    <w:rsid w:val="00C445F6"/>
    <w:rsid w:val="00C446CC"/>
    <w:rsid w:val="00C446F9"/>
    <w:rsid w:val="00C44713"/>
    <w:rsid w:val="00C447E6"/>
    <w:rsid w:val="00C44887"/>
    <w:rsid w:val="00C44926"/>
    <w:rsid w:val="00C4496A"/>
    <w:rsid w:val="00C449EF"/>
    <w:rsid w:val="00C44A1E"/>
    <w:rsid w:val="00C44A27"/>
    <w:rsid w:val="00C44A89"/>
    <w:rsid w:val="00C44AAB"/>
    <w:rsid w:val="00C44BAF"/>
    <w:rsid w:val="00C44BC2"/>
    <w:rsid w:val="00C44C0D"/>
    <w:rsid w:val="00C44C46"/>
    <w:rsid w:val="00C44C78"/>
    <w:rsid w:val="00C44CDB"/>
    <w:rsid w:val="00C44D03"/>
    <w:rsid w:val="00C44DC0"/>
    <w:rsid w:val="00C44DCE"/>
    <w:rsid w:val="00C44E58"/>
    <w:rsid w:val="00C44E60"/>
    <w:rsid w:val="00C44E6F"/>
    <w:rsid w:val="00C44EB3"/>
    <w:rsid w:val="00C44EC9"/>
    <w:rsid w:val="00C44EEB"/>
    <w:rsid w:val="00C44F13"/>
    <w:rsid w:val="00C44F40"/>
    <w:rsid w:val="00C44F77"/>
    <w:rsid w:val="00C44F82"/>
    <w:rsid w:val="00C44F8E"/>
    <w:rsid w:val="00C44FC7"/>
    <w:rsid w:val="00C44FCA"/>
    <w:rsid w:val="00C44FEC"/>
    <w:rsid w:val="00C44FFD"/>
    <w:rsid w:val="00C4511E"/>
    <w:rsid w:val="00C4511F"/>
    <w:rsid w:val="00C45172"/>
    <w:rsid w:val="00C45205"/>
    <w:rsid w:val="00C4529C"/>
    <w:rsid w:val="00C45329"/>
    <w:rsid w:val="00C4536C"/>
    <w:rsid w:val="00C453B1"/>
    <w:rsid w:val="00C45441"/>
    <w:rsid w:val="00C45481"/>
    <w:rsid w:val="00C454AE"/>
    <w:rsid w:val="00C45526"/>
    <w:rsid w:val="00C455FA"/>
    <w:rsid w:val="00C45603"/>
    <w:rsid w:val="00C456BB"/>
    <w:rsid w:val="00C456F4"/>
    <w:rsid w:val="00C4572A"/>
    <w:rsid w:val="00C45761"/>
    <w:rsid w:val="00C45763"/>
    <w:rsid w:val="00C45779"/>
    <w:rsid w:val="00C4578C"/>
    <w:rsid w:val="00C457A1"/>
    <w:rsid w:val="00C458BF"/>
    <w:rsid w:val="00C45935"/>
    <w:rsid w:val="00C4593F"/>
    <w:rsid w:val="00C4597C"/>
    <w:rsid w:val="00C459EE"/>
    <w:rsid w:val="00C45A2C"/>
    <w:rsid w:val="00C45A75"/>
    <w:rsid w:val="00C45A88"/>
    <w:rsid w:val="00C45AB8"/>
    <w:rsid w:val="00C45AC0"/>
    <w:rsid w:val="00C45AD6"/>
    <w:rsid w:val="00C45B88"/>
    <w:rsid w:val="00C45BBB"/>
    <w:rsid w:val="00C45BDE"/>
    <w:rsid w:val="00C45BE6"/>
    <w:rsid w:val="00C45C48"/>
    <w:rsid w:val="00C45D13"/>
    <w:rsid w:val="00C45D4C"/>
    <w:rsid w:val="00C45DDC"/>
    <w:rsid w:val="00C46052"/>
    <w:rsid w:val="00C460A3"/>
    <w:rsid w:val="00C460D3"/>
    <w:rsid w:val="00C461B9"/>
    <w:rsid w:val="00C461BB"/>
    <w:rsid w:val="00C461E5"/>
    <w:rsid w:val="00C461F2"/>
    <w:rsid w:val="00C46208"/>
    <w:rsid w:val="00C46221"/>
    <w:rsid w:val="00C46273"/>
    <w:rsid w:val="00C46344"/>
    <w:rsid w:val="00C4640C"/>
    <w:rsid w:val="00C46420"/>
    <w:rsid w:val="00C46443"/>
    <w:rsid w:val="00C4644F"/>
    <w:rsid w:val="00C46487"/>
    <w:rsid w:val="00C4648C"/>
    <w:rsid w:val="00C464A6"/>
    <w:rsid w:val="00C464BB"/>
    <w:rsid w:val="00C464BC"/>
    <w:rsid w:val="00C464CD"/>
    <w:rsid w:val="00C464E8"/>
    <w:rsid w:val="00C465A7"/>
    <w:rsid w:val="00C465B1"/>
    <w:rsid w:val="00C465B9"/>
    <w:rsid w:val="00C465D4"/>
    <w:rsid w:val="00C465E0"/>
    <w:rsid w:val="00C466A0"/>
    <w:rsid w:val="00C466D2"/>
    <w:rsid w:val="00C466D7"/>
    <w:rsid w:val="00C466E9"/>
    <w:rsid w:val="00C466F0"/>
    <w:rsid w:val="00C46797"/>
    <w:rsid w:val="00C467ED"/>
    <w:rsid w:val="00C467F8"/>
    <w:rsid w:val="00C46834"/>
    <w:rsid w:val="00C4688A"/>
    <w:rsid w:val="00C4691F"/>
    <w:rsid w:val="00C4693C"/>
    <w:rsid w:val="00C46A49"/>
    <w:rsid w:val="00C46ACC"/>
    <w:rsid w:val="00C46AFB"/>
    <w:rsid w:val="00C46B71"/>
    <w:rsid w:val="00C46BF0"/>
    <w:rsid w:val="00C46C7D"/>
    <w:rsid w:val="00C46D01"/>
    <w:rsid w:val="00C46D82"/>
    <w:rsid w:val="00C46DED"/>
    <w:rsid w:val="00C46E03"/>
    <w:rsid w:val="00C46E0A"/>
    <w:rsid w:val="00C46EA9"/>
    <w:rsid w:val="00C46F17"/>
    <w:rsid w:val="00C46F29"/>
    <w:rsid w:val="00C46F9D"/>
    <w:rsid w:val="00C47002"/>
    <w:rsid w:val="00C47042"/>
    <w:rsid w:val="00C47043"/>
    <w:rsid w:val="00C470D5"/>
    <w:rsid w:val="00C47163"/>
    <w:rsid w:val="00C471CC"/>
    <w:rsid w:val="00C47224"/>
    <w:rsid w:val="00C47282"/>
    <w:rsid w:val="00C472D7"/>
    <w:rsid w:val="00C4730F"/>
    <w:rsid w:val="00C47311"/>
    <w:rsid w:val="00C4735D"/>
    <w:rsid w:val="00C47393"/>
    <w:rsid w:val="00C473C9"/>
    <w:rsid w:val="00C473D7"/>
    <w:rsid w:val="00C473E2"/>
    <w:rsid w:val="00C4744A"/>
    <w:rsid w:val="00C47472"/>
    <w:rsid w:val="00C474B7"/>
    <w:rsid w:val="00C4750A"/>
    <w:rsid w:val="00C47536"/>
    <w:rsid w:val="00C47576"/>
    <w:rsid w:val="00C475FE"/>
    <w:rsid w:val="00C4765C"/>
    <w:rsid w:val="00C476E2"/>
    <w:rsid w:val="00C4774F"/>
    <w:rsid w:val="00C47797"/>
    <w:rsid w:val="00C477DB"/>
    <w:rsid w:val="00C47822"/>
    <w:rsid w:val="00C47897"/>
    <w:rsid w:val="00C478B1"/>
    <w:rsid w:val="00C4798E"/>
    <w:rsid w:val="00C479EF"/>
    <w:rsid w:val="00C47A04"/>
    <w:rsid w:val="00C47B25"/>
    <w:rsid w:val="00C47B53"/>
    <w:rsid w:val="00C47B6A"/>
    <w:rsid w:val="00C47B99"/>
    <w:rsid w:val="00C47BC4"/>
    <w:rsid w:val="00C47BC8"/>
    <w:rsid w:val="00C47BCF"/>
    <w:rsid w:val="00C47C3A"/>
    <w:rsid w:val="00C47C5F"/>
    <w:rsid w:val="00C47C89"/>
    <w:rsid w:val="00C47CD0"/>
    <w:rsid w:val="00C47CD2"/>
    <w:rsid w:val="00C47CF6"/>
    <w:rsid w:val="00C47D1F"/>
    <w:rsid w:val="00C47D2E"/>
    <w:rsid w:val="00C47D4C"/>
    <w:rsid w:val="00C47D6F"/>
    <w:rsid w:val="00C47DA1"/>
    <w:rsid w:val="00C47DE5"/>
    <w:rsid w:val="00C47DF7"/>
    <w:rsid w:val="00C47E0C"/>
    <w:rsid w:val="00C47E0D"/>
    <w:rsid w:val="00C47E49"/>
    <w:rsid w:val="00C47EC6"/>
    <w:rsid w:val="00C47ED6"/>
    <w:rsid w:val="00C47F94"/>
    <w:rsid w:val="00C47FC7"/>
    <w:rsid w:val="00C50018"/>
    <w:rsid w:val="00C50021"/>
    <w:rsid w:val="00C50038"/>
    <w:rsid w:val="00C50080"/>
    <w:rsid w:val="00C5008C"/>
    <w:rsid w:val="00C50092"/>
    <w:rsid w:val="00C500C4"/>
    <w:rsid w:val="00C50115"/>
    <w:rsid w:val="00C50143"/>
    <w:rsid w:val="00C5018A"/>
    <w:rsid w:val="00C501AE"/>
    <w:rsid w:val="00C501B2"/>
    <w:rsid w:val="00C501C6"/>
    <w:rsid w:val="00C50209"/>
    <w:rsid w:val="00C502D7"/>
    <w:rsid w:val="00C502E0"/>
    <w:rsid w:val="00C5043C"/>
    <w:rsid w:val="00C5048D"/>
    <w:rsid w:val="00C50490"/>
    <w:rsid w:val="00C50519"/>
    <w:rsid w:val="00C505D5"/>
    <w:rsid w:val="00C50664"/>
    <w:rsid w:val="00C506A9"/>
    <w:rsid w:val="00C50722"/>
    <w:rsid w:val="00C5073F"/>
    <w:rsid w:val="00C5076F"/>
    <w:rsid w:val="00C50796"/>
    <w:rsid w:val="00C508B4"/>
    <w:rsid w:val="00C508D8"/>
    <w:rsid w:val="00C50936"/>
    <w:rsid w:val="00C50966"/>
    <w:rsid w:val="00C5099A"/>
    <w:rsid w:val="00C509AD"/>
    <w:rsid w:val="00C509F7"/>
    <w:rsid w:val="00C50A46"/>
    <w:rsid w:val="00C50A57"/>
    <w:rsid w:val="00C50B1E"/>
    <w:rsid w:val="00C50B7A"/>
    <w:rsid w:val="00C50C29"/>
    <w:rsid w:val="00C50D0D"/>
    <w:rsid w:val="00C50D10"/>
    <w:rsid w:val="00C50D1C"/>
    <w:rsid w:val="00C50D51"/>
    <w:rsid w:val="00C50D6B"/>
    <w:rsid w:val="00C50DEB"/>
    <w:rsid w:val="00C50DED"/>
    <w:rsid w:val="00C50E32"/>
    <w:rsid w:val="00C50E34"/>
    <w:rsid w:val="00C50EAD"/>
    <w:rsid w:val="00C50EC0"/>
    <w:rsid w:val="00C50EF9"/>
    <w:rsid w:val="00C50F1E"/>
    <w:rsid w:val="00C50F3C"/>
    <w:rsid w:val="00C50F44"/>
    <w:rsid w:val="00C50F4A"/>
    <w:rsid w:val="00C50F9A"/>
    <w:rsid w:val="00C50FBD"/>
    <w:rsid w:val="00C50FCF"/>
    <w:rsid w:val="00C51025"/>
    <w:rsid w:val="00C51035"/>
    <w:rsid w:val="00C51095"/>
    <w:rsid w:val="00C510BE"/>
    <w:rsid w:val="00C510D4"/>
    <w:rsid w:val="00C51122"/>
    <w:rsid w:val="00C51128"/>
    <w:rsid w:val="00C5124A"/>
    <w:rsid w:val="00C5125E"/>
    <w:rsid w:val="00C5128C"/>
    <w:rsid w:val="00C51336"/>
    <w:rsid w:val="00C51356"/>
    <w:rsid w:val="00C51390"/>
    <w:rsid w:val="00C51396"/>
    <w:rsid w:val="00C51397"/>
    <w:rsid w:val="00C513AA"/>
    <w:rsid w:val="00C513D7"/>
    <w:rsid w:val="00C5148F"/>
    <w:rsid w:val="00C514DC"/>
    <w:rsid w:val="00C5152F"/>
    <w:rsid w:val="00C51531"/>
    <w:rsid w:val="00C51564"/>
    <w:rsid w:val="00C51577"/>
    <w:rsid w:val="00C5159C"/>
    <w:rsid w:val="00C515CE"/>
    <w:rsid w:val="00C515FF"/>
    <w:rsid w:val="00C516AD"/>
    <w:rsid w:val="00C516C6"/>
    <w:rsid w:val="00C516E4"/>
    <w:rsid w:val="00C516F8"/>
    <w:rsid w:val="00C51729"/>
    <w:rsid w:val="00C5173F"/>
    <w:rsid w:val="00C5175A"/>
    <w:rsid w:val="00C517C9"/>
    <w:rsid w:val="00C51810"/>
    <w:rsid w:val="00C51896"/>
    <w:rsid w:val="00C518A6"/>
    <w:rsid w:val="00C518B3"/>
    <w:rsid w:val="00C518D7"/>
    <w:rsid w:val="00C51907"/>
    <w:rsid w:val="00C51912"/>
    <w:rsid w:val="00C5194E"/>
    <w:rsid w:val="00C519ED"/>
    <w:rsid w:val="00C51A37"/>
    <w:rsid w:val="00C51AA1"/>
    <w:rsid w:val="00C51AAA"/>
    <w:rsid w:val="00C51AD3"/>
    <w:rsid w:val="00C51B10"/>
    <w:rsid w:val="00C51B45"/>
    <w:rsid w:val="00C51C2E"/>
    <w:rsid w:val="00C51C7F"/>
    <w:rsid w:val="00C51D10"/>
    <w:rsid w:val="00C51D1F"/>
    <w:rsid w:val="00C51DB0"/>
    <w:rsid w:val="00C51DC9"/>
    <w:rsid w:val="00C51E18"/>
    <w:rsid w:val="00C51E35"/>
    <w:rsid w:val="00C51E68"/>
    <w:rsid w:val="00C51E70"/>
    <w:rsid w:val="00C51E83"/>
    <w:rsid w:val="00C51EF8"/>
    <w:rsid w:val="00C51EFF"/>
    <w:rsid w:val="00C51FCC"/>
    <w:rsid w:val="00C51FEF"/>
    <w:rsid w:val="00C52009"/>
    <w:rsid w:val="00C52029"/>
    <w:rsid w:val="00C5202C"/>
    <w:rsid w:val="00C5206E"/>
    <w:rsid w:val="00C52085"/>
    <w:rsid w:val="00C5208C"/>
    <w:rsid w:val="00C520DD"/>
    <w:rsid w:val="00C520E2"/>
    <w:rsid w:val="00C52120"/>
    <w:rsid w:val="00C52137"/>
    <w:rsid w:val="00C52174"/>
    <w:rsid w:val="00C521B1"/>
    <w:rsid w:val="00C52255"/>
    <w:rsid w:val="00C52277"/>
    <w:rsid w:val="00C522C2"/>
    <w:rsid w:val="00C522DD"/>
    <w:rsid w:val="00C522F2"/>
    <w:rsid w:val="00C5241A"/>
    <w:rsid w:val="00C52477"/>
    <w:rsid w:val="00C524D5"/>
    <w:rsid w:val="00C52562"/>
    <w:rsid w:val="00C525AD"/>
    <w:rsid w:val="00C525B1"/>
    <w:rsid w:val="00C525F1"/>
    <w:rsid w:val="00C525F8"/>
    <w:rsid w:val="00C52626"/>
    <w:rsid w:val="00C526FA"/>
    <w:rsid w:val="00C5273D"/>
    <w:rsid w:val="00C52781"/>
    <w:rsid w:val="00C52858"/>
    <w:rsid w:val="00C528B3"/>
    <w:rsid w:val="00C52926"/>
    <w:rsid w:val="00C5293E"/>
    <w:rsid w:val="00C5296B"/>
    <w:rsid w:val="00C529D5"/>
    <w:rsid w:val="00C529F6"/>
    <w:rsid w:val="00C52A09"/>
    <w:rsid w:val="00C52A21"/>
    <w:rsid w:val="00C52A71"/>
    <w:rsid w:val="00C52AC2"/>
    <w:rsid w:val="00C52AD5"/>
    <w:rsid w:val="00C52AD6"/>
    <w:rsid w:val="00C52B66"/>
    <w:rsid w:val="00C52BCD"/>
    <w:rsid w:val="00C52C3D"/>
    <w:rsid w:val="00C52C90"/>
    <w:rsid w:val="00C52C91"/>
    <w:rsid w:val="00C52CBB"/>
    <w:rsid w:val="00C52CF5"/>
    <w:rsid w:val="00C52D0B"/>
    <w:rsid w:val="00C52D37"/>
    <w:rsid w:val="00C52D8C"/>
    <w:rsid w:val="00C52DF0"/>
    <w:rsid w:val="00C52E10"/>
    <w:rsid w:val="00C52E24"/>
    <w:rsid w:val="00C52E4F"/>
    <w:rsid w:val="00C52E8E"/>
    <w:rsid w:val="00C52E94"/>
    <w:rsid w:val="00C52F00"/>
    <w:rsid w:val="00C52F44"/>
    <w:rsid w:val="00C53072"/>
    <w:rsid w:val="00C530C9"/>
    <w:rsid w:val="00C530F4"/>
    <w:rsid w:val="00C5311A"/>
    <w:rsid w:val="00C53126"/>
    <w:rsid w:val="00C53146"/>
    <w:rsid w:val="00C53192"/>
    <w:rsid w:val="00C531AC"/>
    <w:rsid w:val="00C531BC"/>
    <w:rsid w:val="00C531C4"/>
    <w:rsid w:val="00C531EE"/>
    <w:rsid w:val="00C532CA"/>
    <w:rsid w:val="00C53378"/>
    <w:rsid w:val="00C533A0"/>
    <w:rsid w:val="00C53483"/>
    <w:rsid w:val="00C5348C"/>
    <w:rsid w:val="00C534A4"/>
    <w:rsid w:val="00C534F5"/>
    <w:rsid w:val="00C53537"/>
    <w:rsid w:val="00C53554"/>
    <w:rsid w:val="00C53595"/>
    <w:rsid w:val="00C535EF"/>
    <w:rsid w:val="00C536A0"/>
    <w:rsid w:val="00C5370E"/>
    <w:rsid w:val="00C5375F"/>
    <w:rsid w:val="00C537A9"/>
    <w:rsid w:val="00C537B2"/>
    <w:rsid w:val="00C537BF"/>
    <w:rsid w:val="00C5380B"/>
    <w:rsid w:val="00C53871"/>
    <w:rsid w:val="00C53ABA"/>
    <w:rsid w:val="00C53ACF"/>
    <w:rsid w:val="00C53B6C"/>
    <w:rsid w:val="00C53B84"/>
    <w:rsid w:val="00C53B85"/>
    <w:rsid w:val="00C53B99"/>
    <w:rsid w:val="00C53BCE"/>
    <w:rsid w:val="00C53BF4"/>
    <w:rsid w:val="00C53C47"/>
    <w:rsid w:val="00C53C68"/>
    <w:rsid w:val="00C53C8E"/>
    <w:rsid w:val="00C53CA1"/>
    <w:rsid w:val="00C53D55"/>
    <w:rsid w:val="00C53D67"/>
    <w:rsid w:val="00C53DBB"/>
    <w:rsid w:val="00C53E02"/>
    <w:rsid w:val="00C53EF4"/>
    <w:rsid w:val="00C53F09"/>
    <w:rsid w:val="00C53FB9"/>
    <w:rsid w:val="00C53FD2"/>
    <w:rsid w:val="00C53FDF"/>
    <w:rsid w:val="00C53FEE"/>
    <w:rsid w:val="00C54098"/>
    <w:rsid w:val="00C540B2"/>
    <w:rsid w:val="00C540B3"/>
    <w:rsid w:val="00C540DA"/>
    <w:rsid w:val="00C540E6"/>
    <w:rsid w:val="00C540FC"/>
    <w:rsid w:val="00C5413D"/>
    <w:rsid w:val="00C54142"/>
    <w:rsid w:val="00C541C6"/>
    <w:rsid w:val="00C541D0"/>
    <w:rsid w:val="00C541D7"/>
    <w:rsid w:val="00C54216"/>
    <w:rsid w:val="00C54226"/>
    <w:rsid w:val="00C54278"/>
    <w:rsid w:val="00C542CE"/>
    <w:rsid w:val="00C54308"/>
    <w:rsid w:val="00C54343"/>
    <w:rsid w:val="00C54394"/>
    <w:rsid w:val="00C543DC"/>
    <w:rsid w:val="00C54404"/>
    <w:rsid w:val="00C54429"/>
    <w:rsid w:val="00C5449A"/>
    <w:rsid w:val="00C54572"/>
    <w:rsid w:val="00C5459E"/>
    <w:rsid w:val="00C54619"/>
    <w:rsid w:val="00C5463E"/>
    <w:rsid w:val="00C5467A"/>
    <w:rsid w:val="00C5468D"/>
    <w:rsid w:val="00C546B7"/>
    <w:rsid w:val="00C546D5"/>
    <w:rsid w:val="00C54703"/>
    <w:rsid w:val="00C54731"/>
    <w:rsid w:val="00C54764"/>
    <w:rsid w:val="00C547FA"/>
    <w:rsid w:val="00C54809"/>
    <w:rsid w:val="00C54816"/>
    <w:rsid w:val="00C54878"/>
    <w:rsid w:val="00C5487D"/>
    <w:rsid w:val="00C548BB"/>
    <w:rsid w:val="00C54917"/>
    <w:rsid w:val="00C54963"/>
    <w:rsid w:val="00C549CB"/>
    <w:rsid w:val="00C549F6"/>
    <w:rsid w:val="00C54ABB"/>
    <w:rsid w:val="00C54AC9"/>
    <w:rsid w:val="00C54AD6"/>
    <w:rsid w:val="00C54B7D"/>
    <w:rsid w:val="00C54B82"/>
    <w:rsid w:val="00C54B91"/>
    <w:rsid w:val="00C54BA9"/>
    <w:rsid w:val="00C54BC6"/>
    <w:rsid w:val="00C54BD1"/>
    <w:rsid w:val="00C54C55"/>
    <w:rsid w:val="00C54CEF"/>
    <w:rsid w:val="00C54D3F"/>
    <w:rsid w:val="00C54D6C"/>
    <w:rsid w:val="00C54D8E"/>
    <w:rsid w:val="00C54DF9"/>
    <w:rsid w:val="00C54E66"/>
    <w:rsid w:val="00C54F15"/>
    <w:rsid w:val="00C54FC1"/>
    <w:rsid w:val="00C55003"/>
    <w:rsid w:val="00C55006"/>
    <w:rsid w:val="00C55014"/>
    <w:rsid w:val="00C550E3"/>
    <w:rsid w:val="00C55124"/>
    <w:rsid w:val="00C5514A"/>
    <w:rsid w:val="00C551BA"/>
    <w:rsid w:val="00C551C8"/>
    <w:rsid w:val="00C5521C"/>
    <w:rsid w:val="00C552CA"/>
    <w:rsid w:val="00C552CF"/>
    <w:rsid w:val="00C552ED"/>
    <w:rsid w:val="00C55316"/>
    <w:rsid w:val="00C55323"/>
    <w:rsid w:val="00C55368"/>
    <w:rsid w:val="00C553C5"/>
    <w:rsid w:val="00C5547E"/>
    <w:rsid w:val="00C55483"/>
    <w:rsid w:val="00C554F2"/>
    <w:rsid w:val="00C554FF"/>
    <w:rsid w:val="00C55525"/>
    <w:rsid w:val="00C55557"/>
    <w:rsid w:val="00C55588"/>
    <w:rsid w:val="00C555A0"/>
    <w:rsid w:val="00C55605"/>
    <w:rsid w:val="00C55618"/>
    <w:rsid w:val="00C55677"/>
    <w:rsid w:val="00C556A8"/>
    <w:rsid w:val="00C556E0"/>
    <w:rsid w:val="00C556E4"/>
    <w:rsid w:val="00C5571B"/>
    <w:rsid w:val="00C5580C"/>
    <w:rsid w:val="00C55824"/>
    <w:rsid w:val="00C5588D"/>
    <w:rsid w:val="00C558B8"/>
    <w:rsid w:val="00C5599D"/>
    <w:rsid w:val="00C559DB"/>
    <w:rsid w:val="00C559E7"/>
    <w:rsid w:val="00C559F5"/>
    <w:rsid w:val="00C55A12"/>
    <w:rsid w:val="00C55A48"/>
    <w:rsid w:val="00C55AA1"/>
    <w:rsid w:val="00C55AE0"/>
    <w:rsid w:val="00C55B3D"/>
    <w:rsid w:val="00C55B48"/>
    <w:rsid w:val="00C55BCB"/>
    <w:rsid w:val="00C55BCC"/>
    <w:rsid w:val="00C55C3F"/>
    <w:rsid w:val="00C55C58"/>
    <w:rsid w:val="00C55C7B"/>
    <w:rsid w:val="00C55C8D"/>
    <w:rsid w:val="00C55CB0"/>
    <w:rsid w:val="00C55CBD"/>
    <w:rsid w:val="00C55CFD"/>
    <w:rsid w:val="00C55DBA"/>
    <w:rsid w:val="00C55E31"/>
    <w:rsid w:val="00C55EC4"/>
    <w:rsid w:val="00C55ECC"/>
    <w:rsid w:val="00C55F32"/>
    <w:rsid w:val="00C55F45"/>
    <w:rsid w:val="00C55FDA"/>
    <w:rsid w:val="00C560EB"/>
    <w:rsid w:val="00C561BC"/>
    <w:rsid w:val="00C561C8"/>
    <w:rsid w:val="00C56248"/>
    <w:rsid w:val="00C5639B"/>
    <w:rsid w:val="00C56408"/>
    <w:rsid w:val="00C5642F"/>
    <w:rsid w:val="00C56472"/>
    <w:rsid w:val="00C56475"/>
    <w:rsid w:val="00C56503"/>
    <w:rsid w:val="00C565B1"/>
    <w:rsid w:val="00C56679"/>
    <w:rsid w:val="00C566C3"/>
    <w:rsid w:val="00C5672E"/>
    <w:rsid w:val="00C56751"/>
    <w:rsid w:val="00C56762"/>
    <w:rsid w:val="00C5677C"/>
    <w:rsid w:val="00C567AA"/>
    <w:rsid w:val="00C56810"/>
    <w:rsid w:val="00C56859"/>
    <w:rsid w:val="00C56870"/>
    <w:rsid w:val="00C568AA"/>
    <w:rsid w:val="00C568BA"/>
    <w:rsid w:val="00C568C9"/>
    <w:rsid w:val="00C568F8"/>
    <w:rsid w:val="00C56966"/>
    <w:rsid w:val="00C56992"/>
    <w:rsid w:val="00C569A7"/>
    <w:rsid w:val="00C569C6"/>
    <w:rsid w:val="00C569CD"/>
    <w:rsid w:val="00C569F6"/>
    <w:rsid w:val="00C56A30"/>
    <w:rsid w:val="00C56A6E"/>
    <w:rsid w:val="00C56A81"/>
    <w:rsid w:val="00C56ABB"/>
    <w:rsid w:val="00C56B2D"/>
    <w:rsid w:val="00C56BB6"/>
    <w:rsid w:val="00C56BBF"/>
    <w:rsid w:val="00C56C42"/>
    <w:rsid w:val="00C56C45"/>
    <w:rsid w:val="00C56CB6"/>
    <w:rsid w:val="00C56CD6"/>
    <w:rsid w:val="00C56CDC"/>
    <w:rsid w:val="00C56D5B"/>
    <w:rsid w:val="00C56D95"/>
    <w:rsid w:val="00C56DC4"/>
    <w:rsid w:val="00C56DDC"/>
    <w:rsid w:val="00C56E5B"/>
    <w:rsid w:val="00C56E71"/>
    <w:rsid w:val="00C56EFC"/>
    <w:rsid w:val="00C56FB2"/>
    <w:rsid w:val="00C57024"/>
    <w:rsid w:val="00C57027"/>
    <w:rsid w:val="00C5704E"/>
    <w:rsid w:val="00C57081"/>
    <w:rsid w:val="00C570AC"/>
    <w:rsid w:val="00C570AF"/>
    <w:rsid w:val="00C5718D"/>
    <w:rsid w:val="00C571FA"/>
    <w:rsid w:val="00C57245"/>
    <w:rsid w:val="00C57299"/>
    <w:rsid w:val="00C572CC"/>
    <w:rsid w:val="00C57338"/>
    <w:rsid w:val="00C5737A"/>
    <w:rsid w:val="00C5737C"/>
    <w:rsid w:val="00C57382"/>
    <w:rsid w:val="00C57386"/>
    <w:rsid w:val="00C573EA"/>
    <w:rsid w:val="00C57407"/>
    <w:rsid w:val="00C57421"/>
    <w:rsid w:val="00C57422"/>
    <w:rsid w:val="00C57450"/>
    <w:rsid w:val="00C57480"/>
    <w:rsid w:val="00C57561"/>
    <w:rsid w:val="00C57572"/>
    <w:rsid w:val="00C575B5"/>
    <w:rsid w:val="00C575E1"/>
    <w:rsid w:val="00C575E4"/>
    <w:rsid w:val="00C57631"/>
    <w:rsid w:val="00C57639"/>
    <w:rsid w:val="00C576B5"/>
    <w:rsid w:val="00C576C9"/>
    <w:rsid w:val="00C57721"/>
    <w:rsid w:val="00C57733"/>
    <w:rsid w:val="00C57780"/>
    <w:rsid w:val="00C5787A"/>
    <w:rsid w:val="00C57888"/>
    <w:rsid w:val="00C5798D"/>
    <w:rsid w:val="00C579BB"/>
    <w:rsid w:val="00C57A07"/>
    <w:rsid w:val="00C57A56"/>
    <w:rsid w:val="00C57AA2"/>
    <w:rsid w:val="00C57B0F"/>
    <w:rsid w:val="00C57B9D"/>
    <w:rsid w:val="00C57BCC"/>
    <w:rsid w:val="00C57C1F"/>
    <w:rsid w:val="00C57C24"/>
    <w:rsid w:val="00C57C78"/>
    <w:rsid w:val="00C57E00"/>
    <w:rsid w:val="00C57E26"/>
    <w:rsid w:val="00C57E5E"/>
    <w:rsid w:val="00C57E84"/>
    <w:rsid w:val="00C57E9F"/>
    <w:rsid w:val="00C57F1C"/>
    <w:rsid w:val="00C60059"/>
    <w:rsid w:val="00C600B3"/>
    <w:rsid w:val="00C600B5"/>
    <w:rsid w:val="00C600C2"/>
    <w:rsid w:val="00C6010F"/>
    <w:rsid w:val="00C60144"/>
    <w:rsid w:val="00C6015C"/>
    <w:rsid w:val="00C601A3"/>
    <w:rsid w:val="00C60207"/>
    <w:rsid w:val="00C602AA"/>
    <w:rsid w:val="00C60377"/>
    <w:rsid w:val="00C60396"/>
    <w:rsid w:val="00C60499"/>
    <w:rsid w:val="00C6052D"/>
    <w:rsid w:val="00C6053A"/>
    <w:rsid w:val="00C6056D"/>
    <w:rsid w:val="00C60576"/>
    <w:rsid w:val="00C60589"/>
    <w:rsid w:val="00C60604"/>
    <w:rsid w:val="00C60677"/>
    <w:rsid w:val="00C606E6"/>
    <w:rsid w:val="00C606FF"/>
    <w:rsid w:val="00C6075F"/>
    <w:rsid w:val="00C607B0"/>
    <w:rsid w:val="00C60825"/>
    <w:rsid w:val="00C60837"/>
    <w:rsid w:val="00C60855"/>
    <w:rsid w:val="00C60867"/>
    <w:rsid w:val="00C60905"/>
    <w:rsid w:val="00C60913"/>
    <w:rsid w:val="00C60948"/>
    <w:rsid w:val="00C6094D"/>
    <w:rsid w:val="00C609F7"/>
    <w:rsid w:val="00C60A09"/>
    <w:rsid w:val="00C60A3A"/>
    <w:rsid w:val="00C60A41"/>
    <w:rsid w:val="00C60A8B"/>
    <w:rsid w:val="00C60A96"/>
    <w:rsid w:val="00C60B4F"/>
    <w:rsid w:val="00C60B5B"/>
    <w:rsid w:val="00C60B86"/>
    <w:rsid w:val="00C60BA4"/>
    <w:rsid w:val="00C60C05"/>
    <w:rsid w:val="00C60C44"/>
    <w:rsid w:val="00C60C96"/>
    <w:rsid w:val="00C60CD5"/>
    <w:rsid w:val="00C60D05"/>
    <w:rsid w:val="00C60D14"/>
    <w:rsid w:val="00C60D27"/>
    <w:rsid w:val="00C60D81"/>
    <w:rsid w:val="00C60D94"/>
    <w:rsid w:val="00C60DDB"/>
    <w:rsid w:val="00C60DEE"/>
    <w:rsid w:val="00C60E3F"/>
    <w:rsid w:val="00C60F26"/>
    <w:rsid w:val="00C60F51"/>
    <w:rsid w:val="00C60F6B"/>
    <w:rsid w:val="00C60FC4"/>
    <w:rsid w:val="00C60FE5"/>
    <w:rsid w:val="00C6102A"/>
    <w:rsid w:val="00C61041"/>
    <w:rsid w:val="00C61075"/>
    <w:rsid w:val="00C610D5"/>
    <w:rsid w:val="00C61117"/>
    <w:rsid w:val="00C61190"/>
    <w:rsid w:val="00C61193"/>
    <w:rsid w:val="00C611B6"/>
    <w:rsid w:val="00C61222"/>
    <w:rsid w:val="00C6128E"/>
    <w:rsid w:val="00C61299"/>
    <w:rsid w:val="00C612E4"/>
    <w:rsid w:val="00C612EA"/>
    <w:rsid w:val="00C61301"/>
    <w:rsid w:val="00C61318"/>
    <w:rsid w:val="00C61375"/>
    <w:rsid w:val="00C61385"/>
    <w:rsid w:val="00C613A0"/>
    <w:rsid w:val="00C613B1"/>
    <w:rsid w:val="00C613BB"/>
    <w:rsid w:val="00C613F4"/>
    <w:rsid w:val="00C61409"/>
    <w:rsid w:val="00C61415"/>
    <w:rsid w:val="00C614CE"/>
    <w:rsid w:val="00C614FB"/>
    <w:rsid w:val="00C6154D"/>
    <w:rsid w:val="00C615D1"/>
    <w:rsid w:val="00C615F4"/>
    <w:rsid w:val="00C615FD"/>
    <w:rsid w:val="00C61719"/>
    <w:rsid w:val="00C6175F"/>
    <w:rsid w:val="00C61776"/>
    <w:rsid w:val="00C617A6"/>
    <w:rsid w:val="00C61822"/>
    <w:rsid w:val="00C61869"/>
    <w:rsid w:val="00C61878"/>
    <w:rsid w:val="00C6187C"/>
    <w:rsid w:val="00C618C9"/>
    <w:rsid w:val="00C61942"/>
    <w:rsid w:val="00C619B8"/>
    <w:rsid w:val="00C619C7"/>
    <w:rsid w:val="00C619D8"/>
    <w:rsid w:val="00C61A50"/>
    <w:rsid w:val="00C61A51"/>
    <w:rsid w:val="00C61A58"/>
    <w:rsid w:val="00C61A59"/>
    <w:rsid w:val="00C61A72"/>
    <w:rsid w:val="00C61AFE"/>
    <w:rsid w:val="00C61B79"/>
    <w:rsid w:val="00C61BD4"/>
    <w:rsid w:val="00C61BDC"/>
    <w:rsid w:val="00C61BF0"/>
    <w:rsid w:val="00C61C11"/>
    <w:rsid w:val="00C61C2A"/>
    <w:rsid w:val="00C61C9D"/>
    <w:rsid w:val="00C61CEF"/>
    <w:rsid w:val="00C61CFF"/>
    <w:rsid w:val="00C61D4C"/>
    <w:rsid w:val="00C61DA6"/>
    <w:rsid w:val="00C61E14"/>
    <w:rsid w:val="00C61E19"/>
    <w:rsid w:val="00C61E33"/>
    <w:rsid w:val="00C61EF0"/>
    <w:rsid w:val="00C61F3B"/>
    <w:rsid w:val="00C61F4C"/>
    <w:rsid w:val="00C61FA2"/>
    <w:rsid w:val="00C61FDB"/>
    <w:rsid w:val="00C61FE4"/>
    <w:rsid w:val="00C62146"/>
    <w:rsid w:val="00C62165"/>
    <w:rsid w:val="00C621A0"/>
    <w:rsid w:val="00C62223"/>
    <w:rsid w:val="00C62227"/>
    <w:rsid w:val="00C62234"/>
    <w:rsid w:val="00C6223A"/>
    <w:rsid w:val="00C62320"/>
    <w:rsid w:val="00C6234E"/>
    <w:rsid w:val="00C623E2"/>
    <w:rsid w:val="00C62401"/>
    <w:rsid w:val="00C62411"/>
    <w:rsid w:val="00C6241A"/>
    <w:rsid w:val="00C62435"/>
    <w:rsid w:val="00C62440"/>
    <w:rsid w:val="00C62455"/>
    <w:rsid w:val="00C62472"/>
    <w:rsid w:val="00C624DE"/>
    <w:rsid w:val="00C6255A"/>
    <w:rsid w:val="00C625A7"/>
    <w:rsid w:val="00C625C2"/>
    <w:rsid w:val="00C625E9"/>
    <w:rsid w:val="00C62652"/>
    <w:rsid w:val="00C626B2"/>
    <w:rsid w:val="00C62706"/>
    <w:rsid w:val="00C62738"/>
    <w:rsid w:val="00C62744"/>
    <w:rsid w:val="00C62752"/>
    <w:rsid w:val="00C62754"/>
    <w:rsid w:val="00C627DD"/>
    <w:rsid w:val="00C6282F"/>
    <w:rsid w:val="00C628CC"/>
    <w:rsid w:val="00C6295F"/>
    <w:rsid w:val="00C629A5"/>
    <w:rsid w:val="00C62A25"/>
    <w:rsid w:val="00C62A28"/>
    <w:rsid w:val="00C62A54"/>
    <w:rsid w:val="00C62A97"/>
    <w:rsid w:val="00C62AAB"/>
    <w:rsid w:val="00C62ABF"/>
    <w:rsid w:val="00C62AF0"/>
    <w:rsid w:val="00C62B09"/>
    <w:rsid w:val="00C62B15"/>
    <w:rsid w:val="00C62B16"/>
    <w:rsid w:val="00C62B70"/>
    <w:rsid w:val="00C62BE4"/>
    <w:rsid w:val="00C62C25"/>
    <w:rsid w:val="00C62C45"/>
    <w:rsid w:val="00C62CA6"/>
    <w:rsid w:val="00C62CAE"/>
    <w:rsid w:val="00C62D07"/>
    <w:rsid w:val="00C62D68"/>
    <w:rsid w:val="00C62E01"/>
    <w:rsid w:val="00C62F1E"/>
    <w:rsid w:val="00C62FA9"/>
    <w:rsid w:val="00C62FBC"/>
    <w:rsid w:val="00C62FC0"/>
    <w:rsid w:val="00C62FCA"/>
    <w:rsid w:val="00C62FD6"/>
    <w:rsid w:val="00C62FD9"/>
    <w:rsid w:val="00C62FEC"/>
    <w:rsid w:val="00C62FF7"/>
    <w:rsid w:val="00C6308A"/>
    <w:rsid w:val="00C63110"/>
    <w:rsid w:val="00C63174"/>
    <w:rsid w:val="00C6319C"/>
    <w:rsid w:val="00C631E7"/>
    <w:rsid w:val="00C6322C"/>
    <w:rsid w:val="00C63242"/>
    <w:rsid w:val="00C6325F"/>
    <w:rsid w:val="00C63294"/>
    <w:rsid w:val="00C63296"/>
    <w:rsid w:val="00C63368"/>
    <w:rsid w:val="00C6337D"/>
    <w:rsid w:val="00C633F8"/>
    <w:rsid w:val="00C63416"/>
    <w:rsid w:val="00C6344F"/>
    <w:rsid w:val="00C63453"/>
    <w:rsid w:val="00C63489"/>
    <w:rsid w:val="00C635B5"/>
    <w:rsid w:val="00C635B9"/>
    <w:rsid w:val="00C635EA"/>
    <w:rsid w:val="00C63622"/>
    <w:rsid w:val="00C63661"/>
    <w:rsid w:val="00C6368F"/>
    <w:rsid w:val="00C636EA"/>
    <w:rsid w:val="00C6370F"/>
    <w:rsid w:val="00C63728"/>
    <w:rsid w:val="00C6373D"/>
    <w:rsid w:val="00C6374D"/>
    <w:rsid w:val="00C63774"/>
    <w:rsid w:val="00C6377B"/>
    <w:rsid w:val="00C63784"/>
    <w:rsid w:val="00C6378D"/>
    <w:rsid w:val="00C63793"/>
    <w:rsid w:val="00C637BC"/>
    <w:rsid w:val="00C637E6"/>
    <w:rsid w:val="00C63849"/>
    <w:rsid w:val="00C63860"/>
    <w:rsid w:val="00C63943"/>
    <w:rsid w:val="00C6395A"/>
    <w:rsid w:val="00C63987"/>
    <w:rsid w:val="00C6398F"/>
    <w:rsid w:val="00C63A0D"/>
    <w:rsid w:val="00C63A7F"/>
    <w:rsid w:val="00C63A8C"/>
    <w:rsid w:val="00C63ACA"/>
    <w:rsid w:val="00C63AD4"/>
    <w:rsid w:val="00C63AD5"/>
    <w:rsid w:val="00C63ADD"/>
    <w:rsid w:val="00C63B86"/>
    <w:rsid w:val="00C63BC5"/>
    <w:rsid w:val="00C63BE2"/>
    <w:rsid w:val="00C63C06"/>
    <w:rsid w:val="00C63C3A"/>
    <w:rsid w:val="00C63C72"/>
    <w:rsid w:val="00C63C9B"/>
    <w:rsid w:val="00C63CC0"/>
    <w:rsid w:val="00C63CF1"/>
    <w:rsid w:val="00C63CFA"/>
    <w:rsid w:val="00C63DBC"/>
    <w:rsid w:val="00C63E1A"/>
    <w:rsid w:val="00C63ED1"/>
    <w:rsid w:val="00C63EF6"/>
    <w:rsid w:val="00C63F20"/>
    <w:rsid w:val="00C63F77"/>
    <w:rsid w:val="00C63F8A"/>
    <w:rsid w:val="00C64073"/>
    <w:rsid w:val="00C640A6"/>
    <w:rsid w:val="00C6415B"/>
    <w:rsid w:val="00C64187"/>
    <w:rsid w:val="00C64279"/>
    <w:rsid w:val="00C64295"/>
    <w:rsid w:val="00C642B1"/>
    <w:rsid w:val="00C642D1"/>
    <w:rsid w:val="00C64349"/>
    <w:rsid w:val="00C64391"/>
    <w:rsid w:val="00C643BB"/>
    <w:rsid w:val="00C64411"/>
    <w:rsid w:val="00C6449B"/>
    <w:rsid w:val="00C6452A"/>
    <w:rsid w:val="00C6452C"/>
    <w:rsid w:val="00C645F7"/>
    <w:rsid w:val="00C64654"/>
    <w:rsid w:val="00C64658"/>
    <w:rsid w:val="00C64663"/>
    <w:rsid w:val="00C64697"/>
    <w:rsid w:val="00C64701"/>
    <w:rsid w:val="00C64715"/>
    <w:rsid w:val="00C6472C"/>
    <w:rsid w:val="00C647D6"/>
    <w:rsid w:val="00C64813"/>
    <w:rsid w:val="00C648ED"/>
    <w:rsid w:val="00C6491A"/>
    <w:rsid w:val="00C6494F"/>
    <w:rsid w:val="00C64986"/>
    <w:rsid w:val="00C649D2"/>
    <w:rsid w:val="00C649D3"/>
    <w:rsid w:val="00C64A1C"/>
    <w:rsid w:val="00C64A2B"/>
    <w:rsid w:val="00C64A2C"/>
    <w:rsid w:val="00C64A66"/>
    <w:rsid w:val="00C64B3B"/>
    <w:rsid w:val="00C64B42"/>
    <w:rsid w:val="00C64B8F"/>
    <w:rsid w:val="00C64B9C"/>
    <w:rsid w:val="00C64C24"/>
    <w:rsid w:val="00C64C35"/>
    <w:rsid w:val="00C64CC5"/>
    <w:rsid w:val="00C64CDA"/>
    <w:rsid w:val="00C64CF5"/>
    <w:rsid w:val="00C64D1F"/>
    <w:rsid w:val="00C64D59"/>
    <w:rsid w:val="00C64D77"/>
    <w:rsid w:val="00C64D8C"/>
    <w:rsid w:val="00C64D8D"/>
    <w:rsid w:val="00C64DAD"/>
    <w:rsid w:val="00C64E1A"/>
    <w:rsid w:val="00C64E41"/>
    <w:rsid w:val="00C64E69"/>
    <w:rsid w:val="00C64EBA"/>
    <w:rsid w:val="00C64EBC"/>
    <w:rsid w:val="00C64ECA"/>
    <w:rsid w:val="00C64EF3"/>
    <w:rsid w:val="00C64F0F"/>
    <w:rsid w:val="00C64F10"/>
    <w:rsid w:val="00C64F58"/>
    <w:rsid w:val="00C64F94"/>
    <w:rsid w:val="00C64FBC"/>
    <w:rsid w:val="00C65025"/>
    <w:rsid w:val="00C650DD"/>
    <w:rsid w:val="00C65112"/>
    <w:rsid w:val="00C65154"/>
    <w:rsid w:val="00C6516F"/>
    <w:rsid w:val="00C651F0"/>
    <w:rsid w:val="00C6523F"/>
    <w:rsid w:val="00C65250"/>
    <w:rsid w:val="00C6529A"/>
    <w:rsid w:val="00C652A5"/>
    <w:rsid w:val="00C652D5"/>
    <w:rsid w:val="00C652F5"/>
    <w:rsid w:val="00C652F7"/>
    <w:rsid w:val="00C653D3"/>
    <w:rsid w:val="00C653E5"/>
    <w:rsid w:val="00C653F2"/>
    <w:rsid w:val="00C65453"/>
    <w:rsid w:val="00C654B3"/>
    <w:rsid w:val="00C6559C"/>
    <w:rsid w:val="00C65603"/>
    <w:rsid w:val="00C65637"/>
    <w:rsid w:val="00C6563C"/>
    <w:rsid w:val="00C65650"/>
    <w:rsid w:val="00C65651"/>
    <w:rsid w:val="00C65656"/>
    <w:rsid w:val="00C656AB"/>
    <w:rsid w:val="00C656CA"/>
    <w:rsid w:val="00C65774"/>
    <w:rsid w:val="00C65825"/>
    <w:rsid w:val="00C65841"/>
    <w:rsid w:val="00C65865"/>
    <w:rsid w:val="00C658A6"/>
    <w:rsid w:val="00C65968"/>
    <w:rsid w:val="00C6597C"/>
    <w:rsid w:val="00C659DA"/>
    <w:rsid w:val="00C659FF"/>
    <w:rsid w:val="00C65A6F"/>
    <w:rsid w:val="00C65B13"/>
    <w:rsid w:val="00C65B62"/>
    <w:rsid w:val="00C65BDA"/>
    <w:rsid w:val="00C65CD8"/>
    <w:rsid w:val="00C65CE7"/>
    <w:rsid w:val="00C65D08"/>
    <w:rsid w:val="00C65D33"/>
    <w:rsid w:val="00C65D3A"/>
    <w:rsid w:val="00C65D3F"/>
    <w:rsid w:val="00C65DA5"/>
    <w:rsid w:val="00C65DE4"/>
    <w:rsid w:val="00C65E07"/>
    <w:rsid w:val="00C65E65"/>
    <w:rsid w:val="00C65E99"/>
    <w:rsid w:val="00C65EA0"/>
    <w:rsid w:val="00C65F30"/>
    <w:rsid w:val="00C65F3A"/>
    <w:rsid w:val="00C65FA0"/>
    <w:rsid w:val="00C65FBD"/>
    <w:rsid w:val="00C66050"/>
    <w:rsid w:val="00C660FB"/>
    <w:rsid w:val="00C66106"/>
    <w:rsid w:val="00C66140"/>
    <w:rsid w:val="00C66230"/>
    <w:rsid w:val="00C6624D"/>
    <w:rsid w:val="00C6627B"/>
    <w:rsid w:val="00C662F4"/>
    <w:rsid w:val="00C66301"/>
    <w:rsid w:val="00C6630E"/>
    <w:rsid w:val="00C66334"/>
    <w:rsid w:val="00C663BC"/>
    <w:rsid w:val="00C663DC"/>
    <w:rsid w:val="00C663E2"/>
    <w:rsid w:val="00C6646E"/>
    <w:rsid w:val="00C66478"/>
    <w:rsid w:val="00C66508"/>
    <w:rsid w:val="00C6652C"/>
    <w:rsid w:val="00C66541"/>
    <w:rsid w:val="00C6654C"/>
    <w:rsid w:val="00C665C8"/>
    <w:rsid w:val="00C665D6"/>
    <w:rsid w:val="00C665EB"/>
    <w:rsid w:val="00C665F7"/>
    <w:rsid w:val="00C6665A"/>
    <w:rsid w:val="00C6665E"/>
    <w:rsid w:val="00C6668C"/>
    <w:rsid w:val="00C666F3"/>
    <w:rsid w:val="00C66802"/>
    <w:rsid w:val="00C66858"/>
    <w:rsid w:val="00C66896"/>
    <w:rsid w:val="00C668A1"/>
    <w:rsid w:val="00C66918"/>
    <w:rsid w:val="00C6691C"/>
    <w:rsid w:val="00C6698C"/>
    <w:rsid w:val="00C669C5"/>
    <w:rsid w:val="00C669D6"/>
    <w:rsid w:val="00C66A81"/>
    <w:rsid w:val="00C66B1B"/>
    <w:rsid w:val="00C66B44"/>
    <w:rsid w:val="00C66B90"/>
    <w:rsid w:val="00C66BD9"/>
    <w:rsid w:val="00C66BF6"/>
    <w:rsid w:val="00C66C51"/>
    <w:rsid w:val="00C66C64"/>
    <w:rsid w:val="00C66CCC"/>
    <w:rsid w:val="00C66CD3"/>
    <w:rsid w:val="00C66D54"/>
    <w:rsid w:val="00C66D8E"/>
    <w:rsid w:val="00C66D9F"/>
    <w:rsid w:val="00C66DD0"/>
    <w:rsid w:val="00C66E1F"/>
    <w:rsid w:val="00C66E2E"/>
    <w:rsid w:val="00C66E3B"/>
    <w:rsid w:val="00C66F09"/>
    <w:rsid w:val="00C66F73"/>
    <w:rsid w:val="00C66F98"/>
    <w:rsid w:val="00C66FD4"/>
    <w:rsid w:val="00C67020"/>
    <w:rsid w:val="00C67028"/>
    <w:rsid w:val="00C67068"/>
    <w:rsid w:val="00C6709C"/>
    <w:rsid w:val="00C670C0"/>
    <w:rsid w:val="00C67171"/>
    <w:rsid w:val="00C671EF"/>
    <w:rsid w:val="00C67202"/>
    <w:rsid w:val="00C6728A"/>
    <w:rsid w:val="00C672D4"/>
    <w:rsid w:val="00C6731A"/>
    <w:rsid w:val="00C6742E"/>
    <w:rsid w:val="00C67456"/>
    <w:rsid w:val="00C6746E"/>
    <w:rsid w:val="00C674D7"/>
    <w:rsid w:val="00C674FC"/>
    <w:rsid w:val="00C6754B"/>
    <w:rsid w:val="00C675B9"/>
    <w:rsid w:val="00C675BC"/>
    <w:rsid w:val="00C676D1"/>
    <w:rsid w:val="00C67725"/>
    <w:rsid w:val="00C67770"/>
    <w:rsid w:val="00C6779D"/>
    <w:rsid w:val="00C677AB"/>
    <w:rsid w:val="00C677C0"/>
    <w:rsid w:val="00C677D0"/>
    <w:rsid w:val="00C677DE"/>
    <w:rsid w:val="00C6780E"/>
    <w:rsid w:val="00C67872"/>
    <w:rsid w:val="00C67879"/>
    <w:rsid w:val="00C67892"/>
    <w:rsid w:val="00C678D4"/>
    <w:rsid w:val="00C6792E"/>
    <w:rsid w:val="00C6795A"/>
    <w:rsid w:val="00C679FC"/>
    <w:rsid w:val="00C67AA5"/>
    <w:rsid w:val="00C67AD3"/>
    <w:rsid w:val="00C67AFE"/>
    <w:rsid w:val="00C67B0A"/>
    <w:rsid w:val="00C67B59"/>
    <w:rsid w:val="00C67B5F"/>
    <w:rsid w:val="00C67B7C"/>
    <w:rsid w:val="00C67BB0"/>
    <w:rsid w:val="00C67BCE"/>
    <w:rsid w:val="00C67BE5"/>
    <w:rsid w:val="00C67C20"/>
    <w:rsid w:val="00C67C2F"/>
    <w:rsid w:val="00C67C7F"/>
    <w:rsid w:val="00C67D0A"/>
    <w:rsid w:val="00C67D31"/>
    <w:rsid w:val="00C67DE3"/>
    <w:rsid w:val="00C67DE7"/>
    <w:rsid w:val="00C67E89"/>
    <w:rsid w:val="00C67EF3"/>
    <w:rsid w:val="00C67F95"/>
    <w:rsid w:val="00C67FA8"/>
    <w:rsid w:val="00C67FD3"/>
    <w:rsid w:val="00C67FD4"/>
    <w:rsid w:val="00C70049"/>
    <w:rsid w:val="00C70079"/>
    <w:rsid w:val="00C7008F"/>
    <w:rsid w:val="00C700AB"/>
    <w:rsid w:val="00C700AE"/>
    <w:rsid w:val="00C700BD"/>
    <w:rsid w:val="00C701A9"/>
    <w:rsid w:val="00C701B2"/>
    <w:rsid w:val="00C701DA"/>
    <w:rsid w:val="00C701DD"/>
    <w:rsid w:val="00C70202"/>
    <w:rsid w:val="00C70264"/>
    <w:rsid w:val="00C70330"/>
    <w:rsid w:val="00C70464"/>
    <w:rsid w:val="00C7048E"/>
    <w:rsid w:val="00C704B9"/>
    <w:rsid w:val="00C704CC"/>
    <w:rsid w:val="00C704D8"/>
    <w:rsid w:val="00C704EA"/>
    <w:rsid w:val="00C70566"/>
    <w:rsid w:val="00C705BF"/>
    <w:rsid w:val="00C705D2"/>
    <w:rsid w:val="00C7065C"/>
    <w:rsid w:val="00C7065D"/>
    <w:rsid w:val="00C706D8"/>
    <w:rsid w:val="00C706FE"/>
    <w:rsid w:val="00C7078D"/>
    <w:rsid w:val="00C707AB"/>
    <w:rsid w:val="00C707C0"/>
    <w:rsid w:val="00C707EC"/>
    <w:rsid w:val="00C707F1"/>
    <w:rsid w:val="00C708A2"/>
    <w:rsid w:val="00C708F9"/>
    <w:rsid w:val="00C70900"/>
    <w:rsid w:val="00C7090D"/>
    <w:rsid w:val="00C709C1"/>
    <w:rsid w:val="00C709EA"/>
    <w:rsid w:val="00C70A14"/>
    <w:rsid w:val="00C70A18"/>
    <w:rsid w:val="00C70AB6"/>
    <w:rsid w:val="00C70AF3"/>
    <w:rsid w:val="00C70B54"/>
    <w:rsid w:val="00C70BAC"/>
    <w:rsid w:val="00C70BB6"/>
    <w:rsid w:val="00C70BD8"/>
    <w:rsid w:val="00C70C06"/>
    <w:rsid w:val="00C70C16"/>
    <w:rsid w:val="00C70C4C"/>
    <w:rsid w:val="00C70C50"/>
    <w:rsid w:val="00C70C98"/>
    <w:rsid w:val="00C70CDC"/>
    <w:rsid w:val="00C70CF7"/>
    <w:rsid w:val="00C70D36"/>
    <w:rsid w:val="00C70D82"/>
    <w:rsid w:val="00C70DF1"/>
    <w:rsid w:val="00C70E5D"/>
    <w:rsid w:val="00C70E9D"/>
    <w:rsid w:val="00C70ED5"/>
    <w:rsid w:val="00C70F11"/>
    <w:rsid w:val="00C70F41"/>
    <w:rsid w:val="00C70F7F"/>
    <w:rsid w:val="00C71024"/>
    <w:rsid w:val="00C71068"/>
    <w:rsid w:val="00C710F6"/>
    <w:rsid w:val="00C710FB"/>
    <w:rsid w:val="00C7110C"/>
    <w:rsid w:val="00C7112C"/>
    <w:rsid w:val="00C71149"/>
    <w:rsid w:val="00C71159"/>
    <w:rsid w:val="00C7118A"/>
    <w:rsid w:val="00C711B8"/>
    <w:rsid w:val="00C711F4"/>
    <w:rsid w:val="00C71236"/>
    <w:rsid w:val="00C71275"/>
    <w:rsid w:val="00C712DC"/>
    <w:rsid w:val="00C712EE"/>
    <w:rsid w:val="00C71300"/>
    <w:rsid w:val="00C71343"/>
    <w:rsid w:val="00C71367"/>
    <w:rsid w:val="00C71378"/>
    <w:rsid w:val="00C71383"/>
    <w:rsid w:val="00C713D7"/>
    <w:rsid w:val="00C713E1"/>
    <w:rsid w:val="00C7141C"/>
    <w:rsid w:val="00C71437"/>
    <w:rsid w:val="00C7143D"/>
    <w:rsid w:val="00C71442"/>
    <w:rsid w:val="00C7146E"/>
    <w:rsid w:val="00C71480"/>
    <w:rsid w:val="00C714FF"/>
    <w:rsid w:val="00C7150A"/>
    <w:rsid w:val="00C7150F"/>
    <w:rsid w:val="00C7153B"/>
    <w:rsid w:val="00C715A3"/>
    <w:rsid w:val="00C71612"/>
    <w:rsid w:val="00C71614"/>
    <w:rsid w:val="00C71646"/>
    <w:rsid w:val="00C71720"/>
    <w:rsid w:val="00C71758"/>
    <w:rsid w:val="00C717E9"/>
    <w:rsid w:val="00C717FA"/>
    <w:rsid w:val="00C718E4"/>
    <w:rsid w:val="00C7192E"/>
    <w:rsid w:val="00C71971"/>
    <w:rsid w:val="00C71988"/>
    <w:rsid w:val="00C7198F"/>
    <w:rsid w:val="00C719E4"/>
    <w:rsid w:val="00C71A7F"/>
    <w:rsid w:val="00C71AB7"/>
    <w:rsid w:val="00C71AD0"/>
    <w:rsid w:val="00C71AE5"/>
    <w:rsid w:val="00C71AF8"/>
    <w:rsid w:val="00C71B33"/>
    <w:rsid w:val="00C71BB0"/>
    <w:rsid w:val="00C71C4D"/>
    <w:rsid w:val="00C71C57"/>
    <w:rsid w:val="00C71C69"/>
    <w:rsid w:val="00C71D49"/>
    <w:rsid w:val="00C71DAE"/>
    <w:rsid w:val="00C71DCB"/>
    <w:rsid w:val="00C71DE0"/>
    <w:rsid w:val="00C71DE7"/>
    <w:rsid w:val="00C71DF5"/>
    <w:rsid w:val="00C71E32"/>
    <w:rsid w:val="00C71E64"/>
    <w:rsid w:val="00C71EEF"/>
    <w:rsid w:val="00C71EF0"/>
    <w:rsid w:val="00C71F2B"/>
    <w:rsid w:val="00C71F67"/>
    <w:rsid w:val="00C71FB8"/>
    <w:rsid w:val="00C71FC8"/>
    <w:rsid w:val="00C71FFF"/>
    <w:rsid w:val="00C72088"/>
    <w:rsid w:val="00C72095"/>
    <w:rsid w:val="00C72098"/>
    <w:rsid w:val="00C7211F"/>
    <w:rsid w:val="00C7216A"/>
    <w:rsid w:val="00C7219D"/>
    <w:rsid w:val="00C721CA"/>
    <w:rsid w:val="00C721F2"/>
    <w:rsid w:val="00C7221C"/>
    <w:rsid w:val="00C72285"/>
    <w:rsid w:val="00C722B0"/>
    <w:rsid w:val="00C722B9"/>
    <w:rsid w:val="00C722C8"/>
    <w:rsid w:val="00C722E5"/>
    <w:rsid w:val="00C7234E"/>
    <w:rsid w:val="00C72396"/>
    <w:rsid w:val="00C723A8"/>
    <w:rsid w:val="00C723C1"/>
    <w:rsid w:val="00C7245C"/>
    <w:rsid w:val="00C7246A"/>
    <w:rsid w:val="00C724DE"/>
    <w:rsid w:val="00C72515"/>
    <w:rsid w:val="00C7254E"/>
    <w:rsid w:val="00C72562"/>
    <w:rsid w:val="00C725BF"/>
    <w:rsid w:val="00C72640"/>
    <w:rsid w:val="00C726A4"/>
    <w:rsid w:val="00C726AD"/>
    <w:rsid w:val="00C726B7"/>
    <w:rsid w:val="00C72780"/>
    <w:rsid w:val="00C72794"/>
    <w:rsid w:val="00C72865"/>
    <w:rsid w:val="00C728AD"/>
    <w:rsid w:val="00C728B0"/>
    <w:rsid w:val="00C7294A"/>
    <w:rsid w:val="00C72956"/>
    <w:rsid w:val="00C7296F"/>
    <w:rsid w:val="00C729BE"/>
    <w:rsid w:val="00C729D2"/>
    <w:rsid w:val="00C72A41"/>
    <w:rsid w:val="00C72AA7"/>
    <w:rsid w:val="00C72AB9"/>
    <w:rsid w:val="00C72B0C"/>
    <w:rsid w:val="00C72C62"/>
    <w:rsid w:val="00C72CC5"/>
    <w:rsid w:val="00C72CC9"/>
    <w:rsid w:val="00C72D3D"/>
    <w:rsid w:val="00C72E11"/>
    <w:rsid w:val="00C72E23"/>
    <w:rsid w:val="00C72E39"/>
    <w:rsid w:val="00C72EEA"/>
    <w:rsid w:val="00C72F20"/>
    <w:rsid w:val="00C72F31"/>
    <w:rsid w:val="00C72F4B"/>
    <w:rsid w:val="00C72F53"/>
    <w:rsid w:val="00C72F94"/>
    <w:rsid w:val="00C72FC6"/>
    <w:rsid w:val="00C72FE8"/>
    <w:rsid w:val="00C72FFE"/>
    <w:rsid w:val="00C7301D"/>
    <w:rsid w:val="00C7310F"/>
    <w:rsid w:val="00C73131"/>
    <w:rsid w:val="00C73159"/>
    <w:rsid w:val="00C73181"/>
    <w:rsid w:val="00C731CB"/>
    <w:rsid w:val="00C7322D"/>
    <w:rsid w:val="00C732CE"/>
    <w:rsid w:val="00C73347"/>
    <w:rsid w:val="00C733A0"/>
    <w:rsid w:val="00C733A7"/>
    <w:rsid w:val="00C73414"/>
    <w:rsid w:val="00C73439"/>
    <w:rsid w:val="00C73462"/>
    <w:rsid w:val="00C73484"/>
    <w:rsid w:val="00C73512"/>
    <w:rsid w:val="00C73527"/>
    <w:rsid w:val="00C7353E"/>
    <w:rsid w:val="00C735D8"/>
    <w:rsid w:val="00C735E6"/>
    <w:rsid w:val="00C7367D"/>
    <w:rsid w:val="00C736A8"/>
    <w:rsid w:val="00C736BA"/>
    <w:rsid w:val="00C736E7"/>
    <w:rsid w:val="00C73724"/>
    <w:rsid w:val="00C7376B"/>
    <w:rsid w:val="00C73782"/>
    <w:rsid w:val="00C73791"/>
    <w:rsid w:val="00C737F6"/>
    <w:rsid w:val="00C73872"/>
    <w:rsid w:val="00C73897"/>
    <w:rsid w:val="00C738DE"/>
    <w:rsid w:val="00C7391B"/>
    <w:rsid w:val="00C73A03"/>
    <w:rsid w:val="00C73A09"/>
    <w:rsid w:val="00C73A16"/>
    <w:rsid w:val="00C73A34"/>
    <w:rsid w:val="00C73A38"/>
    <w:rsid w:val="00C73A7A"/>
    <w:rsid w:val="00C73ACC"/>
    <w:rsid w:val="00C73AD7"/>
    <w:rsid w:val="00C73B1F"/>
    <w:rsid w:val="00C73B2B"/>
    <w:rsid w:val="00C73B8C"/>
    <w:rsid w:val="00C73BA7"/>
    <w:rsid w:val="00C73BCE"/>
    <w:rsid w:val="00C73C35"/>
    <w:rsid w:val="00C73C57"/>
    <w:rsid w:val="00C73C68"/>
    <w:rsid w:val="00C73CED"/>
    <w:rsid w:val="00C73D11"/>
    <w:rsid w:val="00C73D17"/>
    <w:rsid w:val="00C73D58"/>
    <w:rsid w:val="00C73D67"/>
    <w:rsid w:val="00C73DA3"/>
    <w:rsid w:val="00C73DBF"/>
    <w:rsid w:val="00C73DC7"/>
    <w:rsid w:val="00C73DDF"/>
    <w:rsid w:val="00C73DFD"/>
    <w:rsid w:val="00C73E05"/>
    <w:rsid w:val="00C73EC1"/>
    <w:rsid w:val="00C73EE4"/>
    <w:rsid w:val="00C73EF3"/>
    <w:rsid w:val="00C73EFD"/>
    <w:rsid w:val="00C73F2E"/>
    <w:rsid w:val="00C73F58"/>
    <w:rsid w:val="00C73FCA"/>
    <w:rsid w:val="00C73FCC"/>
    <w:rsid w:val="00C73FF0"/>
    <w:rsid w:val="00C73FFD"/>
    <w:rsid w:val="00C74024"/>
    <w:rsid w:val="00C740DC"/>
    <w:rsid w:val="00C74198"/>
    <w:rsid w:val="00C741DD"/>
    <w:rsid w:val="00C74206"/>
    <w:rsid w:val="00C74223"/>
    <w:rsid w:val="00C74241"/>
    <w:rsid w:val="00C74272"/>
    <w:rsid w:val="00C74290"/>
    <w:rsid w:val="00C742AE"/>
    <w:rsid w:val="00C742B2"/>
    <w:rsid w:val="00C742C1"/>
    <w:rsid w:val="00C742F6"/>
    <w:rsid w:val="00C74312"/>
    <w:rsid w:val="00C74323"/>
    <w:rsid w:val="00C74391"/>
    <w:rsid w:val="00C743F9"/>
    <w:rsid w:val="00C7445F"/>
    <w:rsid w:val="00C74498"/>
    <w:rsid w:val="00C744BC"/>
    <w:rsid w:val="00C744E9"/>
    <w:rsid w:val="00C74628"/>
    <w:rsid w:val="00C746FA"/>
    <w:rsid w:val="00C746FE"/>
    <w:rsid w:val="00C7473F"/>
    <w:rsid w:val="00C74774"/>
    <w:rsid w:val="00C747A1"/>
    <w:rsid w:val="00C747BD"/>
    <w:rsid w:val="00C747D2"/>
    <w:rsid w:val="00C747E1"/>
    <w:rsid w:val="00C7481B"/>
    <w:rsid w:val="00C7483D"/>
    <w:rsid w:val="00C7486D"/>
    <w:rsid w:val="00C7488A"/>
    <w:rsid w:val="00C7493B"/>
    <w:rsid w:val="00C74981"/>
    <w:rsid w:val="00C74987"/>
    <w:rsid w:val="00C74A4E"/>
    <w:rsid w:val="00C74A59"/>
    <w:rsid w:val="00C74A78"/>
    <w:rsid w:val="00C74A7E"/>
    <w:rsid w:val="00C74A9E"/>
    <w:rsid w:val="00C74C4B"/>
    <w:rsid w:val="00C74C83"/>
    <w:rsid w:val="00C74D0F"/>
    <w:rsid w:val="00C74D46"/>
    <w:rsid w:val="00C74F00"/>
    <w:rsid w:val="00C74F2F"/>
    <w:rsid w:val="00C74F44"/>
    <w:rsid w:val="00C74FD5"/>
    <w:rsid w:val="00C75011"/>
    <w:rsid w:val="00C75025"/>
    <w:rsid w:val="00C75033"/>
    <w:rsid w:val="00C7504F"/>
    <w:rsid w:val="00C7506D"/>
    <w:rsid w:val="00C75165"/>
    <w:rsid w:val="00C75172"/>
    <w:rsid w:val="00C75197"/>
    <w:rsid w:val="00C751C0"/>
    <w:rsid w:val="00C751CC"/>
    <w:rsid w:val="00C75209"/>
    <w:rsid w:val="00C7520F"/>
    <w:rsid w:val="00C75310"/>
    <w:rsid w:val="00C7532B"/>
    <w:rsid w:val="00C75388"/>
    <w:rsid w:val="00C753DD"/>
    <w:rsid w:val="00C754A2"/>
    <w:rsid w:val="00C754C7"/>
    <w:rsid w:val="00C754DA"/>
    <w:rsid w:val="00C754E8"/>
    <w:rsid w:val="00C754F0"/>
    <w:rsid w:val="00C75570"/>
    <w:rsid w:val="00C756EF"/>
    <w:rsid w:val="00C7570A"/>
    <w:rsid w:val="00C7571A"/>
    <w:rsid w:val="00C75752"/>
    <w:rsid w:val="00C757C3"/>
    <w:rsid w:val="00C757EF"/>
    <w:rsid w:val="00C7584D"/>
    <w:rsid w:val="00C75859"/>
    <w:rsid w:val="00C7588A"/>
    <w:rsid w:val="00C7589C"/>
    <w:rsid w:val="00C7593F"/>
    <w:rsid w:val="00C75958"/>
    <w:rsid w:val="00C759B2"/>
    <w:rsid w:val="00C759D1"/>
    <w:rsid w:val="00C759FC"/>
    <w:rsid w:val="00C75A84"/>
    <w:rsid w:val="00C75A90"/>
    <w:rsid w:val="00C75AE1"/>
    <w:rsid w:val="00C75BCD"/>
    <w:rsid w:val="00C75BCF"/>
    <w:rsid w:val="00C75BDA"/>
    <w:rsid w:val="00C75C0B"/>
    <w:rsid w:val="00C75C20"/>
    <w:rsid w:val="00C75D78"/>
    <w:rsid w:val="00C75DA5"/>
    <w:rsid w:val="00C75DD5"/>
    <w:rsid w:val="00C75EC0"/>
    <w:rsid w:val="00C75ECE"/>
    <w:rsid w:val="00C75F2B"/>
    <w:rsid w:val="00C760A6"/>
    <w:rsid w:val="00C760EC"/>
    <w:rsid w:val="00C76161"/>
    <w:rsid w:val="00C7617F"/>
    <w:rsid w:val="00C76193"/>
    <w:rsid w:val="00C761A4"/>
    <w:rsid w:val="00C76244"/>
    <w:rsid w:val="00C7629C"/>
    <w:rsid w:val="00C7629E"/>
    <w:rsid w:val="00C7630C"/>
    <w:rsid w:val="00C76333"/>
    <w:rsid w:val="00C76339"/>
    <w:rsid w:val="00C76358"/>
    <w:rsid w:val="00C7635D"/>
    <w:rsid w:val="00C76366"/>
    <w:rsid w:val="00C763B5"/>
    <w:rsid w:val="00C763DE"/>
    <w:rsid w:val="00C764C0"/>
    <w:rsid w:val="00C76534"/>
    <w:rsid w:val="00C76569"/>
    <w:rsid w:val="00C76574"/>
    <w:rsid w:val="00C76582"/>
    <w:rsid w:val="00C76591"/>
    <w:rsid w:val="00C765BC"/>
    <w:rsid w:val="00C76628"/>
    <w:rsid w:val="00C76653"/>
    <w:rsid w:val="00C76699"/>
    <w:rsid w:val="00C766D3"/>
    <w:rsid w:val="00C766FB"/>
    <w:rsid w:val="00C766FD"/>
    <w:rsid w:val="00C76752"/>
    <w:rsid w:val="00C767B3"/>
    <w:rsid w:val="00C767E5"/>
    <w:rsid w:val="00C768A2"/>
    <w:rsid w:val="00C768A5"/>
    <w:rsid w:val="00C768EB"/>
    <w:rsid w:val="00C7694B"/>
    <w:rsid w:val="00C76953"/>
    <w:rsid w:val="00C76970"/>
    <w:rsid w:val="00C769B3"/>
    <w:rsid w:val="00C769E3"/>
    <w:rsid w:val="00C76AB5"/>
    <w:rsid w:val="00C76B1B"/>
    <w:rsid w:val="00C76B83"/>
    <w:rsid w:val="00C76BB6"/>
    <w:rsid w:val="00C76BBE"/>
    <w:rsid w:val="00C76BEC"/>
    <w:rsid w:val="00C76BF0"/>
    <w:rsid w:val="00C76BF8"/>
    <w:rsid w:val="00C76C1B"/>
    <w:rsid w:val="00C76C97"/>
    <w:rsid w:val="00C76D56"/>
    <w:rsid w:val="00C76DF8"/>
    <w:rsid w:val="00C76E71"/>
    <w:rsid w:val="00C76E7B"/>
    <w:rsid w:val="00C76ECD"/>
    <w:rsid w:val="00C76ED3"/>
    <w:rsid w:val="00C76FB5"/>
    <w:rsid w:val="00C76FE6"/>
    <w:rsid w:val="00C77025"/>
    <w:rsid w:val="00C77048"/>
    <w:rsid w:val="00C7707D"/>
    <w:rsid w:val="00C770AD"/>
    <w:rsid w:val="00C77108"/>
    <w:rsid w:val="00C7710D"/>
    <w:rsid w:val="00C77120"/>
    <w:rsid w:val="00C7719B"/>
    <w:rsid w:val="00C771A6"/>
    <w:rsid w:val="00C771FF"/>
    <w:rsid w:val="00C77276"/>
    <w:rsid w:val="00C77279"/>
    <w:rsid w:val="00C77388"/>
    <w:rsid w:val="00C77392"/>
    <w:rsid w:val="00C773DA"/>
    <w:rsid w:val="00C77403"/>
    <w:rsid w:val="00C77438"/>
    <w:rsid w:val="00C77444"/>
    <w:rsid w:val="00C7748A"/>
    <w:rsid w:val="00C774F3"/>
    <w:rsid w:val="00C77567"/>
    <w:rsid w:val="00C77584"/>
    <w:rsid w:val="00C7758B"/>
    <w:rsid w:val="00C775BB"/>
    <w:rsid w:val="00C77638"/>
    <w:rsid w:val="00C77683"/>
    <w:rsid w:val="00C776B5"/>
    <w:rsid w:val="00C776CC"/>
    <w:rsid w:val="00C77791"/>
    <w:rsid w:val="00C77796"/>
    <w:rsid w:val="00C777D0"/>
    <w:rsid w:val="00C777DB"/>
    <w:rsid w:val="00C77814"/>
    <w:rsid w:val="00C7782B"/>
    <w:rsid w:val="00C77841"/>
    <w:rsid w:val="00C778DE"/>
    <w:rsid w:val="00C77907"/>
    <w:rsid w:val="00C7790A"/>
    <w:rsid w:val="00C779C2"/>
    <w:rsid w:val="00C77A73"/>
    <w:rsid w:val="00C77A97"/>
    <w:rsid w:val="00C77AFF"/>
    <w:rsid w:val="00C77B3A"/>
    <w:rsid w:val="00C77B57"/>
    <w:rsid w:val="00C77B8C"/>
    <w:rsid w:val="00C77C3F"/>
    <w:rsid w:val="00C77C68"/>
    <w:rsid w:val="00C77C7A"/>
    <w:rsid w:val="00C77D25"/>
    <w:rsid w:val="00C77E4E"/>
    <w:rsid w:val="00C77E91"/>
    <w:rsid w:val="00C77EA6"/>
    <w:rsid w:val="00C77EBC"/>
    <w:rsid w:val="00C77F2E"/>
    <w:rsid w:val="00C77F8B"/>
    <w:rsid w:val="00C77F92"/>
    <w:rsid w:val="00C77FB4"/>
    <w:rsid w:val="00C8001A"/>
    <w:rsid w:val="00C8004C"/>
    <w:rsid w:val="00C80050"/>
    <w:rsid w:val="00C8008D"/>
    <w:rsid w:val="00C800A5"/>
    <w:rsid w:val="00C800C4"/>
    <w:rsid w:val="00C8011B"/>
    <w:rsid w:val="00C80125"/>
    <w:rsid w:val="00C80159"/>
    <w:rsid w:val="00C80209"/>
    <w:rsid w:val="00C80279"/>
    <w:rsid w:val="00C8028F"/>
    <w:rsid w:val="00C8038B"/>
    <w:rsid w:val="00C803BB"/>
    <w:rsid w:val="00C803F3"/>
    <w:rsid w:val="00C8046C"/>
    <w:rsid w:val="00C804BD"/>
    <w:rsid w:val="00C804CB"/>
    <w:rsid w:val="00C804DF"/>
    <w:rsid w:val="00C804E6"/>
    <w:rsid w:val="00C80504"/>
    <w:rsid w:val="00C80537"/>
    <w:rsid w:val="00C8054F"/>
    <w:rsid w:val="00C8056A"/>
    <w:rsid w:val="00C805C4"/>
    <w:rsid w:val="00C805F2"/>
    <w:rsid w:val="00C8067B"/>
    <w:rsid w:val="00C806E1"/>
    <w:rsid w:val="00C8076A"/>
    <w:rsid w:val="00C80775"/>
    <w:rsid w:val="00C8077D"/>
    <w:rsid w:val="00C8078F"/>
    <w:rsid w:val="00C807CE"/>
    <w:rsid w:val="00C8080B"/>
    <w:rsid w:val="00C80829"/>
    <w:rsid w:val="00C80868"/>
    <w:rsid w:val="00C808E6"/>
    <w:rsid w:val="00C808F5"/>
    <w:rsid w:val="00C80917"/>
    <w:rsid w:val="00C80936"/>
    <w:rsid w:val="00C80984"/>
    <w:rsid w:val="00C80988"/>
    <w:rsid w:val="00C809B3"/>
    <w:rsid w:val="00C809B6"/>
    <w:rsid w:val="00C809C2"/>
    <w:rsid w:val="00C809EF"/>
    <w:rsid w:val="00C80A01"/>
    <w:rsid w:val="00C80A2E"/>
    <w:rsid w:val="00C80A51"/>
    <w:rsid w:val="00C80A7E"/>
    <w:rsid w:val="00C80AC5"/>
    <w:rsid w:val="00C80ACE"/>
    <w:rsid w:val="00C80B3A"/>
    <w:rsid w:val="00C80B77"/>
    <w:rsid w:val="00C80BAE"/>
    <w:rsid w:val="00C80BC3"/>
    <w:rsid w:val="00C80C0B"/>
    <w:rsid w:val="00C80C13"/>
    <w:rsid w:val="00C80C82"/>
    <w:rsid w:val="00C80CB8"/>
    <w:rsid w:val="00C80CB9"/>
    <w:rsid w:val="00C80CD1"/>
    <w:rsid w:val="00C80D4E"/>
    <w:rsid w:val="00C80DBC"/>
    <w:rsid w:val="00C80E08"/>
    <w:rsid w:val="00C80E3A"/>
    <w:rsid w:val="00C80E79"/>
    <w:rsid w:val="00C80E8E"/>
    <w:rsid w:val="00C80E98"/>
    <w:rsid w:val="00C80ECF"/>
    <w:rsid w:val="00C80EE2"/>
    <w:rsid w:val="00C80F06"/>
    <w:rsid w:val="00C80F29"/>
    <w:rsid w:val="00C80F92"/>
    <w:rsid w:val="00C80F9A"/>
    <w:rsid w:val="00C80FB0"/>
    <w:rsid w:val="00C80FBB"/>
    <w:rsid w:val="00C80FBD"/>
    <w:rsid w:val="00C81033"/>
    <w:rsid w:val="00C8104F"/>
    <w:rsid w:val="00C81180"/>
    <w:rsid w:val="00C811B6"/>
    <w:rsid w:val="00C811C9"/>
    <w:rsid w:val="00C8122D"/>
    <w:rsid w:val="00C81355"/>
    <w:rsid w:val="00C81370"/>
    <w:rsid w:val="00C81394"/>
    <w:rsid w:val="00C8139C"/>
    <w:rsid w:val="00C813E3"/>
    <w:rsid w:val="00C813FD"/>
    <w:rsid w:val="00C8142D"/>
    <w:rsid w:val="00C81432"/>
    <w:rsid w:val="00C8144C"/>
    <w:rsid w:val="00C81452"/>
    <w:rsid w:val="00C8159B"/>
    <w:rsid w:val="00C81603"/>
    <w:rsid w:val="00C81639"/>
    <w:rsid w:val="00C8163A"/>
    <w:rsid w:val="00C8165A"/>
    <w:rsid w:val="00C81744"/>
    <w:rsid w:val="00C81762"/>
    <w:rsid w:val="00C8180A"/>
    <w:rsid w:val="00C81827"/>
    <w:rsid w:val="00C81840"/>
    <w:rsid w:val="00C81868"/>
    <w:rsid w:val="00C8189F"/>
    <w:rsid w:val="00C818A7"/>
    <w:rsid w:val="00C81973"/>
    <w:rsid w:val="00C81A0C"/>
    <w:rsid w:val="00C81A26"/>
    <w:rsid w:val="00C81A5A"/>
    <w:rsid w:val="00C81A75"/>
    <w:rsid w:val="00C81A78"/>
    <w:rsid w:val="00C81A7E"/>
    <w:rsid w:val="00C81AB5"/>
    <w:rsid w:val="00C81B2E"/>
    <w:rsid w:val="00C81B30"/>
    <w:rsid w:val="00C81CA3"/>
    <w:rsid w:val="00C81CA4"/>
    <w:rsid w:val="00C81D34"/>
    <w:rsid w:val="00C81D77"/>
    <w:rsid w:val="00C81DFE"/>
    <w:rsid w:val="00C81E81"/>
    <w:rsid w:val="00C81EF8"/>
    <w:rsid w:val="00C81F47"/>
    <w:rsid w:val="00C81FA8"/>
    <w:rsid w:val="00C81FB1"/>
    <w:rsid w:val="00C81FD3"/>
    <w:rsid w:val="00C82129"/>
    <w:rsid w:val="00C82137"/>
    <w:rsid w:val="00C82147"/>
    <w:rsid w:val="00C82174"/>
    <w:rsid w:val="00C82259"/>
    <w:rsid w:val="00C822A4"/>
    <w:rsid w:val="00C822C5"/>
    <w:rsid w:val="00C822CE"/>
    <w:rsid w:val="00C822E3"/>
    <w:rsid w:val="00C8234C"/>
    <w:rsid w:val="00C82362"/>
    <w:rsid w:val="00C823D4"/>
    <w:rsid w:val="00C823FD"/>
    <w:rsid w:val="00C82426"/>
    <w:rsid w:val="00C824B2"/>
    <w:rsid w:val="00C824E5"/>
    <w:rsid w:val="00C824F8"/>
    <w:rsid w:val="00C82542"/>
    <w:rsid w:val="00C8265B"/>
    <w:rsid w:val="00C8269E"/>
    <w:rsid w:val="00C827B9"/>
    <w:rsid w:val="00C827C0"/>
    <w:rsid w:val="00C82862"/>
    <w:rsid w:val="00C8287F"/>
    <w:rsid w:val="00C8289D"/>
    <w:rsid w:val="00C828D5"/>
    <w:rsid w:val="00C82974"/>
    <w:rsid w:val="00C82984"/>
    <w:rsid w:val="00C829BB"/>
    <w:rsid w:val="00C829D0"/>
    <w:rsid w:val="00C82A5B"/>
    <w:rsid w:val="00C82A6A"/>
    <w:rsid w:val="00C82A98"/>
    <w:rsid w:val="00C82AD9"/>
    <w:rsid w:val="00C82B20"/>
    <w:rsid w:val="00C82BA0"/>
    <w:rsid w:val="00C82BB8"/>
    <w:rsid w:val="00C82BF1"/>
    <w:rsid w:val="00C82BFD"/>
    <w:rsid w:val="00C82C80"/>
    <w:rsid w:val="00C82CB0"/>
    <w:rsid w:val="00C82CB7"/>
    <w:rsid w:val="00C82D54"/>
    <w:rsid w:val="00C82DF3"/>
    <w:rsid w:val="00C82E60"/>
    <w:rsid w:val="00C82E7E"/>
    <w:rsid w:val="00C82E8F"/>
    <w:rsid w:val="00C82F04"/>
    <w:rsid w:val="00C82F1C"/>
    <w:rsid w:val="00C82F1F"/>
    <w:rsid w:val="00C82F39"/>
    <w:rsid w:val="00C82F82"/>
    <w:rsid w:val="00C82FA7"/>
    <w:rsid w:val="00C82FA8"/>
    <w:rsid w:val="00C83016"/>
    <w:rsid w:val="00C8303D"/>
    <w:rsid w:val="00C8304D"/>
    <w:rsid w:val="00C83057"/>
    <w:rsid w:val="00C83058"/>
    <w:rsid w:val="00C8305D"/>
    <w:rsid w:val="00C830D6"/>
    <w:rsid w:val="00C83125"/>
    <w:rsid w:val="00C831DA"/>
    <w:rsid w:val="00C83271"/>
    <w:rsid w:val="00C832A7"/>
    <w:rsid w:val="00C83337"/>
    <w:rsid w:val="00C8333B"/>
    <w:rsid w:val="00C83366"/>
    <w:rsid w:val="00C833AD"/>
    <w:rsid w:val="00C833CE"/>
    <w:rsid w:val="00C83461"/>
    <w:rsid w:val="00C834C4"/>
    <w:rsid w:val="00C834E0"/>
    <w:rsid w:val="00C83520"/>
    <w:rsid w:val="00C83541"/>
    <w:rsid w:val="00C8356F"/>
    <w:rsid w:val="00C83585"/>
    <w:rsid w:val="00C835CB"/>
    <w:rsid w:val="00C83634"/>
    <w:rsid w:val="00C8363A"/>
    <w:rsid w:val="00C83663"/>
    <w:rsid w:val="00C836D4"/>
    <w:rsid w:val="00C83732"/>
    <w:rsid w:val="00C8374E"/>
    <w:rsid w:val="00C837AE"/>
    <w:rsid w:val="00C837DB"/>
    <w:rsid w:val="00C8382C"/>
    <w:rsid w:val="00C838AC"/>
    <w:rsid w:val="00C838D4"/>
    <w:rsid w:val="00C839E8"/>
    <w:rsid w:val="00C83A44"/>
    <w:rsid w:val="00C83B20"/>
    <w:rsid w:val="00C83B75"/>
    <w:rsid w:val="00C83B89"/>
    <w:rsid w:val="00C83B8F"/>
    <w:rsid w:val="00C83B96"/>
    <w:rsid w:val="00C83B9C"/>
    <w:rsid w:val="00C83BCE"/>
    <w:rsid w:val="00C83C2E"/>
    <w:rsid w:val="00C83C30"/>
    <w:rsid w:val="00C83C8F"/>
    <w:rsid w:val="00C83CCB"/>
    <w:rsid w:val="00C83D06"/>
    <w:rsid w:val="00C83D65"/>
    <w:rsid w:val="00C83E7A"/>
    <w:rsid w:val="00C83E97"/>
    <w:rsid w:val="00C83F67"/>
    <w:rsid w:val="00C83F73"/>
    <w:rsid w:val="00C83F7E"/>
    <w:rsid w:val="00C83F9D"/>
    <w:rsid w:val="00C8407B"/>
    <w:rsid w:val="00C840AA"/>
    <w:rsid w:val="00C840BC"/>
    <w:rsid w:val="00C84114"/>
    <w:rsid w:val="00C8411D"/>
    <w:rsid w:val="00C84121"/>
    <w:rsid w:val="00C84166"/>
    <w:rsid w:val="00C84194"/>
    <w:rsid w:val="00C84198"/>
    <w:rsid w:val="00C841C5"/>
    <w:rsid w:val="00C841DA"/>
    <w:rsid w:val="00C842B8"/>
    <w:rsid w:val="00C842DB"/>
    <w:rsid w:val="00C84319"/>
    <w:rsid w:val="00C84340"/>
    <w:rsid w:val="00C84360"/>
    <w:rsid w:val="00C843A7"/>
    <w:rsid w:val="00C843BA"/>
    <w:rsid w:val="00C843FB"/>
    <w:rsid w:val="00C844C2"/>
    <w:rsid w:val="00C844E6"/>
    <w:rsid w:val="00C84519"/>
    <w:rsid w:val="00C84570"/>
    <w:rsid w:val="00C845D1"/>
    <w:rsid w:val="00C845EF"/>
    <w:rsid w:val="00C84665"/>
    <w:rsid w:val="00C84671"/>
    <w:rsid w:val="00C84692"/>
    <w:rsid w:val="00C846F2"/>
    <w:rsid w:val="00C84708"/>
    <w:rsid w:val="00C8470A"/>
    <w:rsid w:val="00C84718"/>
    <w:rsid w:val="00C8472C"/>
    <w:rsid w:val="00C84734"/>
    <w:rsid w:val="00C84758"/>
    <w:rsid w:val="00C8488C"/>
    <w:rsid w:val="00C848E3"/>
    <w:rsid w:val="00C8495E"/>
    <w:rsid w:val="00C8498B"/>
    <w:rsid w:val="00C8498C"/>
    <w:rsid w:val="00C849C8"/>
    <w:rsid w:val="00C849FB"/>
    <w:rsid w:val="00C84A02"/>
    <w:rsid w:val="00C84A97"/>
    <w:rsid w:val="00C84AA4"/>
    <w:rsid w:val="00C84B1D"/>
    <w:rsid w:val="00C84C1B"/>
    <w:rsid w:val="00C84C21"/>
    <w:rsid w:val="00C84D20"/>
    <w:rsid w:val="00C84DA2"/>
    <w:rsid w:val="00C84DAA"/>
    <w:rsid w:val="00C84E48"/>
    <w:rsid w:val="00C84E52"/>
    <w:rsid w:val="00C84EE8"/>
    <w:rsid w:val="00C84F01"/>
    <w:rsid w:val="00C84F79"/>
    <w:rsid w:val="00C84FA6"/>
    <w:rsid w:val="00C84FFB"/>
    <w:rsid w:val="00C85022"/>
    <w:rsid w:val="00C850D0"/>
    <w:rsid w:val="00C850E4"/>
    <w:rsid w:val="00C85107"/>
    <w:rsid w:val="00C8511C"/>
    <w:rsid w:val="00C8517A"/>
    <w:rsid w:val="00C851B2"/>
    <w:rsid w:val="00C851E1"/>
    <w:rsid w:val="00C851F5"/>
    <w:rsid w:val="00C85248"/>
    <w:rsid w:val="00C852B0"/>
    <w:rsid w:val="00C853CE"/>
    <w:rsid w:val="00C853D4"/>
    <w:rsid w:val="00C85416"/>
    <w:rsid w:val="00C85493"/>
    <w:rsid w:val="00C854AA"/>
    <w:rsid w:val="00C854DF"/>
    <w:rsid w:val="00C8553C"/>
    <w:rsid w:val="00C8554B"/>
    <w:rsid w:val="00C85559"/>
    <w:rsid w:val="00C85682"/>
    <w:rsid w:val="00C856A6"/>
    <w:rsid w:val="00C856F4"/>
    <w:rsid w:val="00C85794"/>
    <w:rsid w:val="00C857AC"/>
    <w:rsid w:val="00C85845"/>
    <w:rsid w:val="00C8587D"/>
    <w:rsid w:val="00C85892"/>
    <w:rsid w:val="00C85914"/>
    <w:rsid w:val="00C85953"/>
    <w:rsid w:val="00C85A3C"/>
    <w:rsid w:val="00C85A8E"/>
    <w:rsid w:val="00C85B44"/>
    <w:rsid w:val="00C85BE3"/>
    <w:rsid w:val="00C85BED"/>
    <w:rsid w:val="00C85C39"/>
    <w:rsid w:val="00C85C57"/>
    <w:rsid w:val="00C85CA8"/>
    <w:rsid w:val="00C85E1D"/>
    <w:rsid w:val="00C85E4E"/>
    <w:rsid w:val="00C85E6E"/>
    <w:rsid w:val="00C85ED3"/>
    <w:rsid w:val="00C85EDE"/>
    <w:rsid w:val="00C85F95"/>
    <w:rsid w:val="00C86042"/>
    <w:rsid w:val="00C8606C"/>
    <w:rsid w:val="00C860C3"/>
    <w:rsid w:val="00C86120"/>
    <w:rsid w:val="00C86147"/>
    <w:rsid w:val="00C8616B"/>
    <w:rsid w:val="00C861EF"/>
    <w:rsid w:val="00C86263"/>
    <w:rsid w:val="00C86271"/>
    <w:rsid w:val="00C86348"/>
    <w:rsid w:val="00C863C3"/>
    <w:rsid w:val="00C863CA"/>
    <w:rsid w:val="00C8643F"/>
    <w:rsid w:val="00C8648A"/>
    <w:rsid w:val="00C864A8"/>
    <w:rsid w:val="00C8655E"/>
    <w:rsid w:val="00C86603"/>
    <w:rsid w:val="00C86629"/>
    <w:rsid w:val="00C86691"/>
    <w:rsid w:val="00C86713"/>
    <w:rsid w:val="00C86766"/>
    <w:rsid w:val="00C867C7"/>
    <w:rsid w:val="00C867D2"/>
    <w:rsid w:val="00C867E2"/>
    <w:rsid w:val="00C8680F"/>
    <w:rsid w:val="00C86832"/>
    <w:rsid w:val="00C8683B"/>
    <w:rsid w:val="00C86841"/>
    <w:rsid w:val="00C868B7"/>
    <w:rsid w:val="00C86909"/>
    <w:rsid w:val="00C8696F"/>
    <w:rsid w:val="00C86975"/>
    <w:rsid w:val="00C869C6"/>
    <w:rsid w:val="00C869D3"/>
    <w:rsid w:val="00C869E7"/>
    <w:rsid w:val="00C869F6"/>
    <w:rsid w:val="00C86A22"/>
    <w:rsid w:val="00C86A35"/>
    <w:rsid w:val="00C86A75"/>
    <w:rsid w:val="00C86A88"/>
    <w:rsid w:val="00C86A9E"/>
    <w:rsid w:val="00C86AF0"/>
    <w:rsid w:val="00C86B08"/>
    <w:rsid w:val="00C86C30"/>
    <w:rsid w:val="00C86C40"/>
    <w:rsid w:val="00C86C95"/>
    <w:rsid w:val="00C86CA7"/>
    <w:rsid w:val="00C86CAE"/>
    <w:rsid w:val="00C86CEF"/>
    <w:rsid w:val="00C86D22"/>
    <w:rsid w:val="00C86D34"/>
    <w:rsid w:val="00C86D9A"/>
    <w:rsid w:val="00C86DD7"/>
    <w:rsid w:val="00C86E69"/>
    <w:rsid w:val="00C86E88"/>
    <w:rsid w:val="00C86EBC"/>
    <w:rsid w:val="00C86EE8"/>
    <w:rsid w:val="00C86F1C"/>
    <w:rsid w:val="00C86F37"/>
    <w:rsid w:val="00C86F61"/>
    <w:rsid w:val="00C86F7C"/>
    <w:rsid w:val="00C86F83"/>
    <w:rsid w:val="00C87046"/>
    <w:rsid w:val="00C87052"/>
    <w:rsid w:val="00C87092"/>
    <w:rsid w:val="00C870A5"/>
    <w:rsid w:val="00C870C0"/>
    <w:rsid w:val="00C8712A"/>
    <w:rsid w:val="00C87141"/>
    <w:rsid w:val="00C87155"/>
    <w:rsid w:val="00C87186"/>
    <w:rsid w:val="00C871E5"/>
    <w:rsid w:val="00C87259"/>
    <w:rsid w:val="00C872EC"/>
    <w:rsid w:val="00C873D5"/>
    <w:rsid w:val="00C873E2"/>
    <w:rsid w:val="00C874A7"/>
    <w:rsid w:val="00C874C9"/>
    <w:rsid w:val="00C87539"/>
    <w:rsid w:val="00C87542"/>
    <w:rsid w:val="00C87549"/>
    <w:rsid w:val="00C875B8"/>
    <w:rsid w:val="00C875D2"/>
    <w:rsid w:val="00C87623"/>
    <w:rsid w:val="00C87624"/>
    <w:rsid w:val="00C87626"/>
    <w:rsid w:val="00C87628"/>
    <w:rsid w:val="00C87662"/>
    <w:rsid w:val="00C876B1"/>
    <w:rsid w:val="00C87767"/>
    <w:rsid w:val="00C877A0"/>
    <w:rsid w:val="00C877A3"/>
    <w:rsid w:val="00C877C7"/>
    <w:rsid w:val="00C87804"/>
    <w:rsid w:val="00C8780B"/>
    <w:rsid w:val="00C87841"/>
    <w:rsid w:val="00C87885"/>
    <w:rsid w:val="00C878F8"/>
    <w:rsid w:val="00C87952"/>
    <w:rsid w:val="00C8798A"/>
    <w:rsid w:val="00C8799D"/>
    <w:rsid w:val="00C879BA"/>
    <w:rsid w:val="00C879C8"/>
    <w:rsid w:val="00C87A30"/>
    <w:rsid w:val="00C87A77"/>
    <w:rsid w:val="00C87AA3"/>
    <w:rsid w:val="00C87AE8"/>
    <w:rsid w:val="00C87AF2"/>
    <w:rsid w:val="00C87B1E"/>
    <w:rsid w:val="00C87B2D"/>
    <w:rsid w:val="00C87B2E"/>
    <w:rsid w:val="00C87B49"/>
    <w:rsid w:val="00C87B4A"/>
    <w:rsid w:val="00C87C46"/>
    <w:rsid w:val="00C87C66"/>
    <w:rsid w:val="00C87C92"/>
    <w:rsid w:val="00C87CC9"/>
    <w:rsid w:val="00C87CD5"/>
    <w:rsid w:val="00C87D92"/>
    <w:rsid w:val="00C87DB5"/>
    <w:rsid w:val="00C87E24"/>
    <w:rsid w:val="00C87E2B"/>
    <w:rsid w:val="00C87F05"/>
    <w:rsid w:val="00C87F22"/>
    <w:rsid w:val="00C87F2D"/>
    <w:rsid w:val="00C87F56"/>
    <w:rsid w:val="00C87F59"/>
    <w:rsid w:val="00C90024"/>
    <w:rsid w:val="00C9004E"/>
    <w:rsid w:val="00C90112"/>
    <w:rsid w:val="00C90115"/>
    <w:rsid w:val="00C901BC"/>
    <w:rsid w:val="00C901BE"/>
    <w:rsid w:val="00C901F1"/>
    <w:rsid w:val="00C90218"/>
    <w:rsid w:val="00C90225"/>
    <w:rsid w:val="00C9042E"/>
    <w:rsid w:val="00C9046D"/>
    <w:rsid w:val="00C904E4"/>
    <w:rsid w:val="00C9054B"/>
    <w:rsid w:val="00C905BB"/>
    <w:rsid w:val="00C905C0"/>
    <w:rsid w:val="00C905CE"/>
    <w:rsid w:val="00C905EC"/>
    <w:rsid w:val="00C90647"/>
    <w:rsid w:val="00C90652"/>
    <w:rsid w:val="00C906AA"/>
    <w:rsid w:val="00C90720"/>
    <w:rsid w:val="00C907E8"/>
    <w:rsid w:val="00C908D3"/>
    <w:rsid w:val="00C908E9"/>
    <w:rsid w:val="00C9095A"/>
    <w:rsid w:val="00C90964"/>
    <w:rsid w:val="00C909B9"/>
    <w:rsid w:val="00C909CC"/>
    <w:rsid w:val="00C909F3"/>
    <w:rsid w:val="00C90A38"/>
    <w:rsid w:val="00C90A97"/>
    <w:rsid w:val="00C90AC3"/>
    <w:rsid w:val="00C90AD3"/>
    <w:rsid w:val="00C90B4B"/>
    <w:rsid w:val="00C90B74"/>
    <w:rsid w:val="00C90BD0"/>
    <w:rsid w:val="00C90C60"/>
    <w:rsid w:val="00C90C67"/>
    <w:rsid w:val="00C90C99"/>
    <w:rsid w:val="00C90D00"/>
    <w:rsid w:val="00C90D20"/>
    <w:rsid w:val="00C90D29"/>
    <w:rsid w:val="00C90D42"/>
    <w:rsid w:val="00C90D4D"/>
    <w:rsid w:val="00C90D76"/>
    <w:rsid w:val="00C90E63"/>
    <w:rsid w:val="00C90ED5"/>
    <w:rsid w:val="00C90EDB"/>
    <w:rsid w:val="00C90F54"/>
    <w:rsid w:val="00C90F7A"/>
    <w:rsid w:val="00C90F93"/>
    <w:rsid w:val="00C90FF3"/>
    <w:rsid w:val="00C9112E"/>
    <w:rsid w:val="00C91136"/>
    <w:rsid w:val="00C9115B"/>
    <w:rsid w:val="00C91177"/>
    <w:rsid w:val="00C91195"/>
    <w:rsid w:val="00C911E8"/>
    <w:rsid w:val="00C91250"/>
    <w:rsid w:val="00C91266"/>
    <w:rsid w:val="00C91269"/>
    <w:rsid w:val="00C91273"/>
    <w:rsid w:val="00C9127F"/>
    <w:rsid w:val="00C91291"/>
    <w:rsid w:val="00C91322"/>
    <w:rsid w:val="00C91327"/>
    <w:rsid w:val="00C9136A"/>
    <w:rsid w:val="00C9139C"/>
    <w:rsid w:val="00C913C9"/>
    <w:rsid w:val="00C9142F"/>
    <w:rsid w:val="00C91452"/>
    <w:rsid w:val="00C914AD"/>
    <w:rsid w:val="00C9150D"/>
    <w:rsid w:val="00C91575"/>
    <w:rsid w:val="00C9157F"/>
    <w:rsid w:val="00C915B9"/>
    <w:rsid w:val="00C915EE"/>
    <w:rsid w:val="00C91648"/>
    <w:rsid w:val="00C91651"/>
    <w:rsid w:val="00C916DC"/>
    <w:rsid w:val="00C916E3"/>
    <w:rsid w:val="00C9171D"/>
    <w:rsid w:val="00C917A6"/>
    <w:rsid w:val="00C917E5"/>
    <w:rsid w:val="00C917EC"/>
    <w:rsid w:val="00C917EF"/>
    <w:rsid w:val="00C91884"/>
    <w:rsid w:val="00C91907"/>
    <w:rsid w:val="00C91916"/>
    <w:rsid w:val="00C91949"/>
    <w:rsid w:val="00C919E0"/>
    <w:rsid w:val="00C919EA"/>
    <w:rsid w:val="00C91A13"/>
    <w:rsid w:val="00C91A70"/>
    <w:rsid w:val="00C91A8C"/>
    <w:rsid w:val="00C91AFB"/>
    <w:rsid w:val="00C91B7B"/>
    <w:rsid w:val="00C91BB8"/>
    <w:rsid w:val="00C91BF7"/>
    <w:rsid w:val="00C91C37"/>
    <w:rsid w:val="00C91C3A"/>
    <w:rsid w:val="00C91C50"/>
    <w:rsid w:val="00C91C55"/>
    <w:rsid w:val="00C91D53"/>
    <w:rsid w:val="00C91E7C"/>
    <w:rsid w:val="00C91E92"/>
    <w:rsid w:val="00C91EEF"/>
    <w:rsid w:val="00C91F04"/>
    <w:rsid w:val="00C91F16"/>
    <w:rsid w:val="00C91F7F"/>
    <w:rsid w:val="00C91F93"/>
    <w:rsid w:val="00C91FAD"/>
    <w:rsid w:val="00C91FB2"/>
    <w:rsid w:val="00C91FC4"/>
    <w:rsid w:val="00C91FDF"/>
    <w:rsid w:val="00C91FFD"/>
    <w:rsid w:val="00C92020"/>
    <w:rsid w:val="00C92023"/>
    <w:rsid w:val="00C92092"/>
    <w:rsid w:val="00C92093"/>
    <w:rsid w:val="00C92122"/>
    <w:rsid w:val="00C92241"/>
    <w:rsid w:val="00C922A2"/>
    <w:rsid w:val="00C922C8"/>
    <w:rsid w:val="00C922F5"/>
    <w:rsid w:val="00C9232A"/>
    <w:rsid w:val="00C92357"/>
    <w:rsid w:val="00C924B3"/>
    <w:rsid w:val="00C924BF"/>
    <w:rsid w:val="00C924C6"/>
    <w:rsid w:val="00C924D6"/>
    <w:rsid w:val="00C9252F"/>
    <w:rsid w:val="00C92531"/>
    <w:rsid w:val="00C9256F"/>
    <w:rsid w:val="00C925A3"/>
    <w:rsid w:val="00C925BB"/>
    <w:rsid w:val="00C925D3"/>
    <w:rsid w:val="00C92602"/>
    <w:rsid w:val="00C9276F"/>
    <w:rsid w:val="00C928AE"/>
    <w:rsid w:val="00C928D6"/>
    <w:rsid w:val="00C92947"/>
    <w:rsid w:val="00C92985"/>
    <w:rsid w:val="00C929C3"/>
    <w:rsid w:val="00C929C4"/>
    <w:rsid w:val="00C929FA"/>
    <w:rsid w:val="00C92A03"/>
    <w:rsid w:val="00C92A12"/>
    <w:rsid w:val="00C92A15"/>
    <w:rsid w:val="00C92A81"/>
    <w:rsid w:val="00C92AC2"/>
    <w:rsid w:val="00C92B27"/>
    <w:rsid w:val="00C92B2D"/>
    <w:rsid w:val="00C92B3D"/>
    <w:rsid w:val="00C92B75"/>
    <w:rsid w:val="00C92B9D"/>
    <w:rsid w:val="00C92BD8"/>
    <w:rsid w:val="00C92BE5"/>
    <w:rsid w:val="00C92BF3"/>
    <w:rsid w:val="00C92C11"/>
    <w:rsid w:val="00C92C4B"/>
    <w:rsid w:val="00C92D22"/>
    <w:rsid w:val="00C92D34"/>
    <w:rsid w:val="00C92D39"/>
    <w:rsid w:val="00C92D3B"/>
    <w:rsid w:val="00C92DFA"/>
    <w:rsid w:val="00C92E24"/>
    <w:rsid w:val="00C92E62"/>
    <w:rsid w:val="00C92E68"/>
    <w:rsid w:val="00C92F21"/>
    <w:rsid w:val="00C92F34"/>
    <w:rsid w:val="00C92F48"/>
    <w:rsid w:val="00C92FF7"/>
    <w:rsid w:val="00C92FF9"/>
    <w:rsid w:val="00C93037"/>
    <w:rsid w:val="00C930A2"/>
    <w:rsid w:val="00C93109"/>
    <w:rsid w:val="00C9316B"/>
    <w:rsid w:val="00C931FA"/>
    <w:rsid w:val="00C93241"/>
    <w:rsid w:val="00C9326F"/>
    <w:rsid w:val="00C932BB"/>
    <w:rsid w:val="00C93318"/>
    <w:rsid w:val="00C93338"/>
    <w:rsid w:val="00C933C2"/>
    <w:rsid w:val="00C933ED"/>
    <w:rsid w:val="00C93487"/>
    <w:rsid w:val="00C93523"/>
    <w:rsid w:val="00C93563"/>
    <w:rsid w:val="00C93589"/>
    <w:rsid w:val="00C935CA"/>
    <w:rsid w:val="00C936C6"/>
    <w:rsid w:val="00C937E0"/>
    <w:rsid w:val="00C937F9"/>
    <w:rsid w:val="00C9380F"/>
    <w:rsid w:val="00C9382A"/>
    <w:rsid w:val="00C9385B"/>
    <w:rsid w:val="00C93860"/>
    <w:rsid w:val="00C938AD"/>
    <w:rsid w:val="00C9391B"/>
    <w:rsid w:val="00C93960"/>
    <w:rsid w:val="00C939B4"/>
    <w:rsid w:val="00C93A1E"/>
    <w:rsid w:val="00C93B0B"/>
    <w:rsid w:val="00C93B18"/>
    <w:rsid w:val="00C93B2B"/>
    <w:rsid w:val="00C93B34"/>
    <w:rsid w:val="00C93B8D"/>
    <w:rsid w:val="00C93B8F"/>
    <w:rsid w:val="00C93B96"/>
    <w:rsid w:val="00C93B99"/>
    <w:rsid w:val="00C93C57"/>
    <w:rsid w:val="00C93CA8"/>
    <w:rsid w:val="00C93CDE"/>
    <w:rsid w:val="00C93D94"/>
    <w:rsid w:val="00C93E17"/>
    <w:rsid w:val="00C93E43"/>
    <w:rsid w:val="00C93E4D"/>
    <w:rsid w:val="00C93E6B"/>
    <w:rsid w:val="00C93E86"/>
    <w:rsid w:val="00C93EA1"/>
    <w:rsid w:val="00C93ECB"/>
    <w:rsid w:val="00C93ED0"/>
    <w:rsid w:val="00C93EDB"/>
    <w:rsid w:val="00C93F15"/>
    <w:rsid w:val="00C93F49"/>
    <w:rsid w:val="00C93F51"/>
    <w:rsid w:val="00C93F6B"/>
    <w:rsid w:val="00C93FD0"/>
    <w:rsid w:val="00C94064"/>
    <w:rsid w:val="00C94075"/>
    <w:rsid w:val="00C94099"/>
    <w:rsid w:val="00C940A3"/>
    <w:rsid w:val="00C941A1"/>
    <w:rsid w:val="00C9421C"/>
    <w:rsid w:val="00C94231"/>
    <w:rsid w:val="00C94246"/>
    <w:rsid w:val="00C94298"/>
    <w:rsid w:val="00C9429D"/>
    <w:rsid w:val="00C942FC"/>
    <w:rsid w:val="00C9435E"/>
    <w:rsid w:val="00C943F5"/>
    <w:rsid w:val="00C943FE"/>
    <w:rsid w:val="00C9443B"/>
    <w:rsid w:val="00C944D4"/>
    <w:rsid w:val="00C944F7"/>
    <w:rsid w:val="00C9452B"/>
    <w:rsid w:val="00C9456E"/>
    <w:rsid w:val="00C94586"/>
    <w:rsid w:val="00C94588"/>
    <w:rsid w:val="00C9459E"/>
    <w:rsid w:val="00C945A6"/>
    <w:rsid w:val="00C945DE"/>
    <w:rsid w:val="00C94627"/>
    <w:rsid w:val="00C9463D"/>
    <w:rsid w:val="00C94672"/>
    <w:rsid w:val="00C946F3"/>
    <w:rsid w:val="00C94707"/>
    <w:rsid w:val="00C9472E"/>
    <w:rsid w:val="00C94748"/>
    <w:rsid w:val="00C9477F"/>
    <w:rsid w:val="00C94796"/>
    <w:rsid w:val="00C94802"/>
    <w:rsid w:val="00C94810"/>
    <w:rsid w:val="00C94826"/>
    <w:rsid w:val="00C948E3"/>
    <w:rsid w:val="00C948F1"/>
    <w:rsid w:val="00C948FC"/>
    <w:rsid w:val="00C9496B"/>
    <w:rsid w:val="00C94A53"/>
    <w:rsid w:val="00C94A80"/>
    <w:rsid w:val="00C94AA3"/>
    <w:rsid w:val="00C94B4B"/>
    <w:rsid w:val="00C94B5E"/>
    <w:rsid w:val="00C94B6A"/>
    <w:rsid w:val="00C94B9F"/>
    <w:rsid w:val="00C94C77"/>
    <w:rsid w:val="00C94D7B"/>
    <w:rsid w:val="00C94D9F"/>
    <w:rsid w:val="00C94E27"/>
    <w:rsid w:val="00C94E43"/>
    <w:rsid w:val="00C94ECC"/>
    <w:rsid w:val="00C94F0A"/>
    <w:rsid w:val="00C94F31"/>
    <w:rsid w:val="00C94FA0"/>
    <w:rsid w:val="00C94FE0"/>
    <w:rsid w:val="00C9501B"/>
    <w:rsid w:val="00C95100"/>
    <w:rsid w:val="00C95108"/>
    <w:rsid w:val="00C95123"/>
    <w:rsid w:val="00C95199"/>
    <w:rsid w:val="00C9519F"/>
    <w:rsid w:val="00C951BE"/>
    <w:rsid w:val="00C95226"/>
    <w:rsid w:val="00C952A3"/>
    <w:rsid w:val="00C952BA"/>
    <w:rsid w:val="00C952F7"/>
    <w:rsid w:val="00C9530F"/>
    <w:rsid w:val="00C95332"/>
    <w:rsid w:val="00C95354"/>
    <w:rsid w:val="00C95358"/>
    <w:rsid w:val="00C95373"/>
    <w:rsid w:val="00C953BD"/>
    <w:rsid w:val="00C953F6"/>
    <w:rsid w:val="00C953FD"/>
    <w:rsid w:val="00C95453"/>
    <w:rsid w:val="00C95458"/>
    <w:rsid w:val="00C954BB"/>
    <w:rsid w:val="00C955F9"/>
    <w:rsid w:val="00C95611"/>
    <w:rsid w:val="00C95625"/>
    <w:rsid w:val="00C9565C"/>
    <w:rsid w:val="00C9567B"/>
    <w:rsid w:val="00C956C3"/>
    <w:rsid w:val="00C95709"/>
    <w:rsid w:val="00C95742"/>
    <w:rsid w:val="00C95778"/>
    <w:rsid w:val="00C957EB"/>
    <w:rsid w:val="00C95820"/>
    <w:rsid w:val="00C95831"/>
    <w:rsid w:val="00C95837"/>
    <w:rsid w:val="00C9583B"/>
    <w:rsid w:val="00C95854"/>
    <w:rsid w:val="00C9587C"/>
    <w:rsid w:val="00C958CC"/>
    <w:rsid w:val="00C958D7"/>
    <w:rsid w:val="00C958F9"/>
    <w:rsid w:val="00C9591C"/>
    <w:rsid w:val="00C95925"/>
    <w:rsid w:val="00C959A7"/>
    <w:rsid w:val="00C959B0"/>
    <w:rsid w:val="00C959C4"/>
    <w:rsid w:val="00C959DB"/>
    <w:rsid w:val="00C95A15"/>
    <w:rsid w:val="00C95A70"/>
    <w:rsid w:val="00C95A8C"/>
    <w:rsid w:val="00C95A93"/>
    <w:rsid w:val="00C95AD1"/>
    <w:rsid w:val="00C95B7B"/>
    <w:rsid w:val="00C95C27"/>
    <w:rsid w:val="00C95C63"/>
    <w:rsid w:val="00C95C75"/>
    <w:rsid w:val="00C95C9F"/>
    <w:rsid w:val="00C95D32"/>
    <w:rsid w:val="00C95D45"/>
    <w:rsid w:val="00C95D89"/>
    <w:rsid w:val="00C95DB0"/>
    <w:rsid w:val="00C95DE4"/>
    <w:rsid w:val="00C95E0C"/>
    <w:rsid w:val="00C95E41"/>
    <w:rsid w:val="00C95E52"/>
    <w:rsid w:val="00C95E5F"/>
    <w:rsid w:val="00C95EA7"/>
    <w:rsid w:val="00C95EEC"/>
    <w:rsid w:val="00C95F19"/>
    <w:rsid w:val="00C95F23"/>
    <w:rsid w:val="00C95F25"/>
    <w:rsid w:val="00C95F3D"/>
    <w:rsid w:val="00C95F42"/>
    <w:rsid w:val="00C95FFB"/>
    <w:rsid w:val="00C96032"/>
    <w:rsid w:val="00C9606D"/>
    <w:rsid w:val="00C960F3"/>
    <w:rsid w:val="00C9615D"/>
    <w:rsid w:val="00C9618B"/>
    <w:rsid w:val="00C96192"/>
    <w:rsid w:val="00C962C9"/>
    <w:rsid w:val="00C962E4"/>
    <w:rsid w:val="00C962F9"/>
    <w:rsid w:val="00C96312"/>
    <w:rsid w:val="00C9634F"/>
    <w:rsid w:val="00C96352"/>
    <w:rsid w:val="00C96358"/>
    <w:rsid w:val="00C9636F"/>
    <w:rsid w:val="00C9639F"/>
    <w:rsid w:val="00C963A4"/>
    <w:rsid w:val="00C963D0"/>
    <w:rsid w:val="00C963F5"/>
    <w:rsid w:val="00C964A3"/>
    <w:rsid w:val="00C964F6"/>
    <w:rsid w:val="00C9651B"/>
    <w:rsid w:val="00C9653E"/>
    <w:rsid w:val="00C96593"/>
    <w:rsid w:val="00C965A8"/>
    <w:rsid w:val="00C965DD"/>
    <w:rsid w:val="00C965EC"/>
    <w:rsid w:val="00C96614"/>
    <w:rsid w:val="00C96654"/>
    <w:rsid w:val="00C966B7"/>
    <w:rsid w:val="00C96716"/>
    <w:rsid w:val="00C96797"/>
    <w:rsid w:val="00C9679A"/>
    <w:rsid w:val="00C9679C"/>
    <w:rsid w:val="00C96868"/>
    <w:rsid w:val="00C96880"/>
    <w:rsid w:val="00C968B1"/>
    <w:rsid w:val="00C9692D"/>
    <w:rsid w:val="00C96930"/>
    <w:rsid w:val="00C96953"/>
    <w:rsid w:val="00C969D0"/>
    <w:rsid w:val="00C96A2F"/>
    <w:rsid w:val="00C96A46"/>
    <w:rsid w:val="00C96A8C"/>
    <w:rsid w:val="00C96AA8"/>
    <w:rsid w:val="00C96AB0"/>
    <w:rsid w:val="00C96AE9"/>
    <w:rsid w:val="00C96AED"/>
    <w:rsid w:val="00C96B02"/>
    <w:rsid w:val="00C96B22"/>
    <w:rsid w:val="00C96B5A"/>
    <w:rsid w:val="00C96C38"/>
    <w:rsid w:val="00C96C4E"/>
    <w:rsid w:val="00C96C54"/>
    <w:rsid w:val="00C96C8C"/>
    <w:rsid w:val="00C96C9E"/>
    <w:rsid w:val="00C96D08"/>
    <w:rsid w:val="00C96DB6"/>
    <w:rsid w:val="00C96E27"/>
    <w:rsid w:val="00C96F2C"/>
    <w:rsid w:val="00C96F5A"/>
    <w:rsid w:val="00C97020"/>
    <w:rsid w:val="00C9705F"/>
    <w:rsid w:val="00C970D3"/>
    <w:rsid w:val="00C970E4"/>
    <w:rsid w:val="00C97177"/>
    <w:rsid w:val="00C971D6"/>
    <w:rsid w:val="00C97310"/>
    <w:rsid w:val="00C97355"/>
    <w:rsid w:val="00C973C1"/>
    <w:rsid w:val="00C973CD"/>
    <w:rsid w:val="00C973D9"/>
    <w:rsid w:val="00C97526"/>
    <w:rsid w:val="00C97550"/>
    <w:rsid w:val="00C9757D"/>
    <w:rsid w:val="00C97580"/>
    <w:rsid w:val="00C97596"/>
    <w:rsid w:val="00C9759F"/>
    <w:rsid w:val="00C975D0"/>
    <w:rsid w:val="00C9764D"/>
    <w:rsid w:val="00C9765C"/>
    <w:rsid w:val="00C976C2"/>
    <w:rsid w:val="00C97758"/>
    <w:rsid w:val="00C97774"/>
    <w:rsid w:val="00C977C0"/>
    <w:rsid w:val="00C9782A"/>
    <w:rsid w:val="00C97867"/>
    <w:rsid w:val="00C978A3"/>
    <w:rsid w:val="00C979A0"/>
    <w:rsid w:val="00C979DA"/>
    <w:rsid w:val="00C97A0D"/>
    <w:rsid w:val="00C97A58"/>
    <w:rsid w:val="00C97ADD"/>
    <w:rsid w:val="00C97B81"/>
    <w:rsid w:val="00C97B82"/>
    <w:rsid w:val="00C97BAB"/>
    <w:rsid w:val="00C97BC4"/>
    <w:rsid w:val="00C97BF1"/>
    <w:rsid w:val="00C97C52"/>
    <w:rsid w:val="00C97C7A"/>
    <w:rsid w:val="00C97CF5"/>
    <w:rsid w:val="00C97D7D"/>
    <w:rsid w:val="00C97D80"/>
    <w:rsid w:val="00C97E0A"/>
    <w:rsid w:val="00C97E17"/>
    <w:rsid w:val="00C97E97"/>
    <w:rsid w:val="00C97EAF"/>
    <w:rsid w:val="00C97EBA"/>
    <w:rsid w:val="00C97EC4"/>
    <w:rsid w:val="00C97EFB"/>
    <w:rsid w:val="00C97F00"/>
    <w:rsid w:val="00C97F4A"/>
    <w:rsid w:val="00C97FBA"/>
    <w:rsid w:val="00C97FD9"/>
    <w:rsid w:val="00CA004F"/>
    <w:rsid w:val="00CA0071"/>
    <w:rsid w:val="00CA0185"/>
    <w:rsid w:val="00CA01C8"/>
    <w:rsid w:val="00CA01D2"/>
    <w:rsid w:val="00CA021B"/>
    <w:rsid w:val="00CA0221"/>
    <w:rsid w:val="00CA027F"/>
    <w:rsid w:val="00CA03E8"/>
    <w:rsid w:val="00CA03E9"/>
    <w:rsid w:val="00CA040D"/>
    <w:rsid w:val="00CA0436"/>
    <w:rsid w:val="00CA047B"/>
    <w:rsid w:val="00CA0488"/>
    <w:rsid w:val="00CA04AF"/>
    <w:rsid w:val="00CA04D3"/>
    <w:rsid w:val="00CA04D4"/>
    <w:rsid w:val="00CA04E0"/>
    <w:rsid w:val="00CA0547"/>
    <w:rsid w:val="00CA0554"/>
    <w:rsid w:val="00CA057A"/>
    <w:rsid w:val="00CA0608"/>
    <w:rsid w:val="00CA0649"/>
    <w:rsid w:val="00CA0669"/>
    <w:rsid w:val="00CA0689"/>
    <w:rsid w:val="00CA070A"/>
    <w:rsid w:val="00CA0736"/>
    <w:rsid w:val="00CA0769"/>
    <w:rsid w:val="00CA0782"/>
    <w:rsid w:val="00CA07FE"/>
    <w:rsid w:val="00CA081C"/>
    <w:rsid w:val="00CA0844"/>
    <w:rsid w:val="00CA085D"/>
    <w:rsid w:val="00CA08CF"/>
    <w:rsid w:val="00CA08F2"/>
    <w:rsid w:val="00CA0902"/>
    <w:rsid w:val="00CA0978"/>
    <w:rsid w:val="00CA0985"/>
    <w:rsid w:val="00CA09C7"/>
    <w:rsid w:val="00CA09CD"/>
    <w:rsid w:val="00CA0A11"/>
    <w:rsid w:val="00CA0A43"/>
    <w:rsid w:val="00CA0AA6"/>
    <w:rsid w:val="00CA0AF6"/>
    <w:rsid w:val="00CA0B4B"/>
    <w:rsid w:val="00CA0B4C"/>
    <w:rsid w:val="00CA0B4D"/>
    <w:rsid w:val="00CA0D13"/>
    <w:rsid w:val="00CA0D90"/>
    <w:rsid w:val="00CA0DC3"/>
    <w:rsid w:val="00CA0DF1"/>
    <w:rsid w:val="00CA0E16"/>
    <w:rsid w:val="00CA0E28"/>
    <w:rsid w:val="00CA0E2E"/>
    <w:rsid w:val="00CA0E43"/>
    <w:rsid w:val="00CA0E8B"/>
    <w:rsid w:val="00CA0EA0"/>
    <w:rsid w:val="00CA0EC0"/>
    <w:rsid w:val="00CA0F08"/>
    <w:rsid w:val="00CA0F8A"/>
    <w:rsid w:val="00CA0FAA"/>
    <w:rsid w:val="00CA1014"/>
    <w:rsid w:val="00CA1094"/>
    <w:rsid w:val="00CA10BC"/>
    <w:rsid w:val="00CA1136"/>
    <w:rsid w:val="00CA11A5"/>
    <w:rsid w:val="00CA11D8"/>
    <w:rsid w:val="00CA120E"/>
    <w:rsid w:val="00CA1265"/>
    <w:rsid w:val="00CA12DE"/>
    <w:rsid w:val="00CA142E"/>
    <w:rsid w:val="00CA1430"/>
    <w:rsid w:val="00CA145A"/>
    <w:rsid w:val="00CA145F"/>
    <w:rsid w:val="00CA146A"/>
    <w:rsid w:val="00CA14A9"/>
    <w:rsid w:val="00CA14D3"/>
    <w:rsid w:val="00CA1548"/>
    <w:rsid w:val="00CA158E"/>
    <w:rsid w:val="00CA15E1"/>
    <w:rsid w:val="00CA15ED"/>
    <w:rsid w:val="00CA1626"/>
    <w:rsid w:val="00CA167F"/>
    <w:rsid w:val="00CA1733"/>
    <w:rsid w:val="00CA173C"/>
    <w:rsid w:val="00CA17FB"/>
    <w:rsid w:val="00CA180D"/>
    <w:rsid w:val="00CA1824"/>
    <w:rsid w:val="00CA1857"/>
    <w:rsid w:val="00CA186A"/>
    <w:rsid w:val="00CA1879"/>
    <w:rsid w:val="00CA18CB"/>
    <w:rsid w:val="00CA196B"/>
    <w:rsid w:val="00CA1994"/>
    <w:rsid w:val="00CA19B9"/>
    <w:rsid w:val="00CA19E3"/>
    <w:rsid w:val="00CA19F4"/>
    <w:rsid w:val="00CA19F8"/>
    <w:rsid w:val="00CA1A8E"/>
    <w:rsid w:val="00CA1AB8"/>
    <w:rsid w:val="00CA1AC7"/>
    <w:rsid w:val="00CA1B0A"/>
    <w:rsid w:val="00CA1B46"/>
    <w:rsid w:val="00CA1BE8"/>
    <w:rsid w:val="00CA1C83"/>
    <w:rsid w:val="00CA1C9D"/>
    <w:rsid w:val="00CA1CB9"/>
    <w:rsid w:val="00CA1CD1"/>
    <w:rsid w:val="00CA1CD4"/>
    <w:rsid w:val="00CA1CEA"/>
    <w:rsid w:val="00CA1D01"/>
    <w:rsid w:val="00CA1D07"/>
    <w:rsid w:val="00CA1D7C"/>
    <w:rsid w:val="00CA1D95"/>
    <w:rsid w:val="00CA1DAD"/>
    <w:rsid w:val="00CA1EFB"/>
    <w:rsid w:val="00CA1F0E"/>
    <w:rsid w:val="00CA1F31"/>
    <w:rsid w:val="00CA1FC4"/>
    <w:rsid w:val="00CA211B"/>
    <w:rsid w:val="00CA2126"/>
    <w:rsid w:val="00CA213F"/>
    <w:rsid w:val="00CA21F9"/>
    <w:rsid w:val="00CA2286"/>
    <w:rsid w:val="00CA234D"/>
    <w:rsid w:val="00CA23A3"/>
    <w:rsid w:val="00CA23DC"/>
    <w:rsid w:val="00CA23DF"/>
    <w:rsid w:val="00CA2435"/>
    <w:rsid w:val="00CA2533"/>
    <w:rsid w:val="00CA25C5"/>
    <w:rsid w:val="00CA267A"/>
    <w:rsid w:val="00CA2786"/>
    <w:rsid w:val="00CA27A7"/>
    <w:rsid w:val="00CA27C4"/>
    <w:rsid w:val="00CA27DB"/>
    <w:rsid w:val="00CA27E2"/>
    <w:rsid w:val="00CA27E5"/>
    <w:rsid w:val="00CA282E"/>
    <w:rsid w:val="00CA284D"/>
    <w:rsid w:val="00CA2951"/>
    <w:rsid w:val="00CA299C"/>
    <w:rsid w:val="00CA2A36"/>
    <w:rsid w:val="00CA2A92"/>
    <w:rsid w:val="00CA2B00"/>
    <w:rsid w:val="00CA2B09"/>
    <w:rsid w:val="00CA2B29"/>
    <w:rsid w:val="00CA2B5E"/>
    <w:rsid w:val="00CA2B7C"/>
    <w:rsid w:val="00CA2C21"/>
    <w:rsid w:val="00CA2C64"/>
    <w:rsid w:val="00CA2CBD"/>
    <w:rsid w:val="00CA2D4D"/>
    <w:rsid w:val="00CA2D9D"/>
    <w:rsid w:val="00CA2DC7"/>
    <w:rsid w:val="00CA2DE6"/>
    <w:rsid w:val="00CA2E78"/>
    <w:rsid w:val="00CA2ED3"/>
    <w:rsid w:val="00CA2F76"/>
    <w:rsid w:val="00CA2F89"/>
    <w:rsid w:val="00CA2F8C"/>
    <w:rsid w:val="00CA3003"/>
    <w:rsid w:val="00CA3073"/>
    <w:rsid w:val="00CA3098"/>
    <w:rsid w:val="00CA30A9"/>
    <w:rsid w:val="00CA30B8"/>
    <w:rsid w:val="00CA30EA"/>
    <w:rsid w:val="00CA3175"/>
    <w:rsid w:val="00CA31A0"/>
    <w:rsid w:val="00CA3220"/>
    <w:rsid w:val="00CA3223"/>
    <w:rsid w:val="00CA322C"/>
    <w:rsid w:val="00CA322E"/>
    <w:rsid w:val="00CA3246"/>
    <w:rsid w:val="00CA3257"/>
    <w:rsid w:val="00CA328E"/>
    <w:rsid w:val="00CA32D8"/>
    <w:rsid w:val="00CA32FA"/>
    <w:rsid w:val="00CA333A"/>
    <w:rsid w:val="00CA339F"/>
    <w:rsid w:val="00CA33D2"/>
    <w:rsid w:val="00CA3459"/>
    <w:rsid w:val="00CA3519"/>
    <w:rsid w:val="00CA356C"/>
    <w:rsid w:val="00CA35E8"/>
    <w:rsid w:val="00CA35F6"/>
    <w:rsid w:val="00CA3695"/>
    <w:rsid w:val="00CA369A"/>
    <w:rsid w:val="00CA36A0"/>
    <w:rsid w:val="00CA36C7"/>
    <w:rsid w:val="00CA370B"/>
    <w:rsid w:val="00CA3737"/>
    <w:rsid w:val="00CA3779"/>
    <w:rsid w:val="00CA3782"/>
    <w:rsid w:val="00CA378F"/>
    <w:rsid w:val="00CA379E"/>
    <w:rsid w:val="00CA37CD"/>
    <w:rsid w:val="00CA37D0"/>
    <w:rsid w:val="00CA3853"/>
    <w:rsid w:val="00CA386B"/>
    <w:rsid w:val="00CA38AF"/>
    <w:rsid w:val="00CA38E5"/>
    <w:rsid w:val="00CA38FE"/>
    <w:rsid w:val="00CA3945"/>
    <w:rsid w:val="00CA39E5"/>
    <w:rsid w:val="00CA39FC"/>
    <w:rsid w:val="00CA39FE"/>
    <w:rsid w:val="00CA3A1D"/>
    <w:rsid w:val="00CA3A24"/>
    <w:rsid w:val="00CA3A74"/>
    <w:rsid w:val="00CA3A95"/>
    <w:rsid w:val="00CA3AA4"/>
    <w:rsid w:val="00CA3AB2"/>
    <w:rsid w:val="00CA3ACD"/>
    <w:rsid w:val="00CA3AD9"/>
    <w:rsid w:val="00CA3B50"/>
    <w:rsid w:val="00CA3B77"/>
    <w:rsid w:val="00CA3BA1"/>
    <w:rsid w:val="00CA3C94"/>
    <w:rsid w:val="00CA3CE6"/>
    <w:rsid w:val="00CA3D9A"/>
    <w:rsid w:val="00CA3DDA"/>
    <w:rsid w:val="00CA3DDF"/>
    <w:rsid w:val="00CA3E3A"/>
    <w:rsid w:val="00CA3E47"/>
    <w:rsid w:val="00CA3E87"/>
    <w:rsid w:val="00CA3F1B"/>
    <w:rsid w:val="00CA3F7A"/>
    <w:rsid w:val="00CA3F7B"/>
    <w:rsid w:val="00CA3F85"/>
    <w:rsid w:val="00CA401B"/>
    <w:rsid w:val="00CA4029"/>
    <w:rsid w:val="00CA404F"/>
    <w:rsid w:val="00CA40A6"/>
    <w:rsid w:val="00CA40BB"/>
    <w:rsid w:val="00CA40F1"/>
    <w:rsid w:val="00CA414A"/>
    <w:rsid w:val="00CA41E3"/>
    <w:rsid w:val="00CA41F9"/>
    <w:rsid w:val="00CA4218"/>
    <w:rsid w:val="00CA4240"/>
    <w:rsid w:val="00CA42C0"/>
    <w:rsid w:val="00CA42EC"/>
    <w:rsid w:val="00CA42F0"/>
    <w:rsid w:val="00CA42F1"/>
    <w:rsid w:val="00CA4376"/>
    <w:rsid w:val="00CA43B5"/>
    <w:rsid w:val="00CA4416"/>
    <w:rsid w:val="00CA4444"/>
    <w:rsid w:val="00CA4522"/>
    <w:rsid w:val="00CA45C2"/>
    <w:rsid w:val="00CA45DA"/>
    <w:rsid w:val="00CA478A"/>
    <w:rsid w:val="00CA478F"/>
    <w:rsid w:val="00CA479C"/>
    <w:rsid w:val="00CA482B"/>
    <w:rsid w:val="00CA492C"/>
    <w:rsid w:val="00CA492E"/>
    <w:rsid w:val="00CA4956"/>
    <w:rsid w:val="00CA496B"/>
    <w:rsid w:val="00CA499B"/>
    <w:rsid w:val="00CA499E"/>
    <w:rsid w:val="00CA4A55"/>
    <w:rsid w:val="00CA4A66"/>
    <w:rsid w:val="00CA4A73"/>
    <w:rsid w:val="00CA4AC7"/>
    <w:rsid w:val="00CA4B3F"/>
    <w:rsid w:val="00CA4B52"/>
    <w:rsid w:val="00CA4BAB"/>
    <w:rsid w:val="00CA4BF3"/>
    <w:rsid w:val="00CA4C0F"/>
    <w:rsid w:val="00CA4C80"/>
    <w:rsid w:val="00CA4CC0"/>
    <w:rsid w:val="00CA4D01"/>
    <w:rsid w:val="00CA4E6A"/>
    <w:rsid w:val="00CA4E83"/>
    <w:rsid w:val="00CA4EB9"/>
    <w:rsid w:val="00CA4F19"/>
    <w:rsid w:val="00CA4F3F"/>
    <w:rsid w:val="00CA4F4C"/>
    <w:rsid w:val="00CA502E"/>
    <w:rsid w:val="00CA505E"/>
    <w:rsid w:val="00CA50E0"/>
    <w:rsid w:val="00CA51B0"/>
    <w:rsid w:val="00CA5203"/>
    <w:rsid w:val="00CA5229"/>
    <w:rsid w:val="00CA528A"/>
    <w:rsid w:val="00CA52BD"/>
    <w:rsid w:val="00CA52BE"/>
    <w:rsid w:val="00CA53A6"/>
    <w:rsid w:val="00CA53AD"/>
    <w:rsid w:val="00CA53CC"/>
    <w:rsid w:val="00CA53D7"/>
    <w:rsid w:val="00CA54D4"/>
    <w:rsid w:val="00CA54D5"/>
    <w:rsid w:val="00CA5530"/>
    <w:rsid w:val="00CA55EC"/>
    <w:rsid w:val="00CA56F6"/>
    <w:rsid w:val="00CA5715"/>
    <w:rsid w:val="00CA5729"/>
    <w:rsid w:val="00CA57C9"/>
    <w:rsid w:val="00CA5816"/>
    <w:rsid w:val="00CA588A"/>
    <w:rsid w:val="00CA58B9"/>
    <w:rsid w:val="00CA5981"/>
    <w:rsid w:val="00CA59E7"/>
    <w:rsid w:val="00CA59F1"/>
    <w:rsid w:val="00CA5A22"/>
    <w:rsid w:val="00CA5A31"/>
    <w:rsid w:val="00CA5A84"/>
    <w:rsid w:val="00CA5AB6"/>
    <w:rsid w:val="00CA5B0C"/>
    <w:rsid w:val="00CA5B2D"/>
    <w:rsid w:val="00CA5BCF"/>
    <w:rsid w:val="00CA5BE0"/>
    <w:rsid w:val="00CA5BE4"/>
    <w:rsid w:val="00CA5C43"/>
    <w:rsid w:val="00CA5C5C"/>
    <w:rsid w:val="00CA5CA0"/>
    <w:rsid w:val="00CA5CB0"/>
    <w:rsid w:val="00CA5D23"/>
    <w:rsid w:val="00CA5D52"/>
    <w:rsid w:val="00CA5D63"/>
    <w:rsid w:val="00CA5DEF"/>
    <w:rsid w:val="00CA5E97"/>
    <w:rsid w:val="00CA5EEF"/>
    <w:rsid w:val="00CA5F30"/>
    <w:rsid w:val="00CA5F74"/>
    <w:rsid w:val="00CA5FD8"/>
    <w:rsid w:val="00CA5FFB"/>
    <w:rsid w:val="00CA6153"/>
    <w:rsid w:val="00CA6173"/>
    <w:rsid w:val="00CA61FE"/>
    <w:rsid w:val="00CA6207"/>
    <w:rsid w:val="00CA626B"/>
    <w:rsid w:val="00CA6312"/>
    <w:rsid w:val="00CA6349"/>
    <w:rsid w:val="00CA6368"/>
    <w:rsid w:val="00CA6401"/>
    <w:rsid w:val="00CA6439"/>
    <w:rsid w:val="00CA6447"/>
    <w:rsid w:val="00CA6461"/>
    <w:rsid w:val="00CA64E8"/>
    <w:rsid w:val="00CA65BA"/>
    <w:rsid w:val="00CA65BC"/>
    <w:rsid w:val="00CA6604"/>
    <w:rsid w:val="00CA6643"/>
    <w:rsid w:val="00CA6685"/>
    <w:rsid w:val="00CA66C9"/>
    <w:rsid w:val="00CA66CE"/>
    <w:rsid w:val="00CA6737"/>
    <w:rsid w:val="00CA6747"/>
    <w:rsid w:val="00CA67A8"/>
    <w:rsid w:val="00CA67BD"/>
    <w:rsid w:val="00CA6863"/>
    <w:rsid w:val="00CA68A2"/>
    <w:rsid w:val="00CA68E4"/>
    <w:rsid w:val="00CA697C"/>
    <w:rsid w:val="00CA697E"/>
    <w:rsid w:val="00CA699E"/>
    <w:rsid w:val="00CA6B0A"/>
    <w:rsid w:val="00CA6B32"/>
    <w:rsid w:val="00CA6C86"/>
    <w:rsid w:val="00CA6CF0"/>
    <w:rsid w:val="00CA6D24"/>
    <w:rsid w:val="00CA6D94"/>
    <w:rsid w:val="00CA6DA6"/>
    <w:rsid w:val="00CA6DAB"/>
    <w:rsid w:val="00CA6DD3"/>
    <w:rsid w:val="00CA6E6D"/>
    <w:rsid w:val="00CA6EA6"/>
    <w:rsid w:val="00CA6F23"/>
    <w:rsid w:val="00CA6F5F"/>
    <w:rsid w:val="00CA6F70"/>
    <w:rsid w:val="00CA6FB6"/>
    <w:rsid w:val="00CA6FD8"/>
    <w:rsid w:val="00CA6FDF"/>
    <w:rsid w:val="00CA701B"/>
    <w:rsid w:val="00CA70C3"/>
    <w:rsid w:val="00CA70DF"/>
    <w:rsid w:val="00CA7189"/>
    <w:rsid w:val="00CA718A"/>
    <w:rsid w:val="00CA71AF"/>
    <w:rsid w:val="00CA721F"/>
    <w:rsid w:val="00CA722A"/>
    <w:rsid w:val="00CA723C"/>
    <w:rsid w:val="00CA732F"/>
    <w:rsid w:val="00CA735C"/>
    <w:rsid w:val="00CA7380"/>
    <w:rsid w:val="00CA7381"/>
    <w:rsid w:val="00CA7385"/>
    <w:rsid w:val="00CA739A"/>
    <w:rsid w:val="00CA73B2"/>
    <w:rsid w:val="00CA73E7"/>
    <w:rsid w:val="00CA740C"/>
    <w:rsid w:val="00CA741B"/>
    <w:rsid w:val="00CA7594"/>
    <w:rsid w:val="00CA75AF"/>
    <w:rsid w:val="00CA75D6"/>
    <w:rsid w:val="00CA7615"/>
    <w:rsid w:val="00CA7673"/>
    <w:rsid w:val="00CA76F8"/>
    <w:rsid w:val="00CA7758"/>
    <w:rsid w:val="00CA777F"/>
    <w:rsid w:val="00CA7780"/>
    <w:rsid w:val="00CA7944"/>
    <w:rsid w:val="00CA7984"/>
    <w:rsid w:val="00CA79A4"/>
    <w:rsid w:val="00CA79E7"/>
    <w:rsid w:val="00CA7A22"/>
    <w:rsid w:val="00CA7A2D"/>
    <w:rsid w:val="00CA7AB2"/>
    <w:rsid w:val="00CA7B0E"/>
    <w:rsid w:val="00CA7B29"/>
    <w:rsid w:val="00CA7B30"/>
    <w:rsid w:val="00CA7B3E"/>
    <w:rsid w:val="00CA7BC6"/>
    <w:rsid w:val="00CA7BFB"/>
    <w:rsid w:val="00CA7D0C"/>
    <w:rsid w:val="00CA7D17"/>
    <w:rsid w:val="00CA7D6E"/>
    <w:rsid w:val="00CA7D70"/>
    <w:rsid w:val="00CA7D80"/>
    <w:rsid w:val="00CA7DD6"/>
    <w:rsid w:val="00CA7E69"/>
    <w:rsid w:val="00CA7EAE"/>
    <w:rsid w:val="00CA7EEC"/>
    <w:rsid w:val="00CA7F99"/>
    <w:rsid w:val="00CA7FA3"/>
    <w:rsid w:val="00CB0002"/>
    <w:rsid w:val="00CB001F"/>
    <w:rsid w:val="00CB0061"/>
    <w:rsid w:val="00CB01FB"/>
    <w:rsid w:val="00CB026A"/>
    <w:rsid w:val="00CB02AA"/>
    <w:rsid w:val="00CB02EC"/>
    <w:rsid w:val="00CB0369"/>
    <w:rsid w:val="00CB036F"/>
    <w:rsid w:val="00CB03A3"/>
    <w:rsid w:val="00CB048F"/>
    <w:rsid w:val="00CB04B5"/>
    <w:rsid w:val="00CB04CC"/>
    <w:rsid w:val="00CB04D1"/>
    <w:rsid w:val="00CB04FE"/>
    <w:rsid w:val="00CB0512"/>
    <w:rsid w:val="00CB0538"/>
    <w:rsid w:val="00CB056F"/>
    <w:rsid w:val="00CB059A"/>
    <w:rsid w:val="00CB05C9"/>
    <w:rsid w:val="00CB063E"/>
    <w:rsid w:val="00CB06BC"/>
    <w:rsid w:val="00CB06BE"/>
    <w:rsid w:val="00CB06D6"/>
    <w:rsid w:val="00CB0749"/>
    <w:rsid w:val="00CB0752"/>
    <w:rsid w:val="00CB0759"/>
    <w:rsid w:val="00CB0773"/>
    <w:rsid w:val="00CB07E8"/>
    <w:rsid w:val="00CB085B"/>
    <w:rsid w:val="00CB08D8"/>
    <w:rsid w:val="00CB08E4"/>
    <w:rsid w:val="00CB08EE"/>
    <w:rsid w:val="00CB08F5"/>
    <w:rsid w:val="00CB090A"/>
    <w:rsid w:val="00CB0945"/>
    <w:rsid w:val="00CB0999"/>
    <w:rsid w:val="00CB09CE"/>
    <w:rsid w:val="00CB09FA"/>
    <w:rsid w:val="00CB0A66"/>
    <w:rsid w:val="00CB0B28"/>
    <w:rsid w:val="00CB0BA1"/>
    <w:rsid w:val="00CB0BB4"/>
    <w:rsid w:val="00CB0BD8"/>
    <w:rsid w:val="00CB0C3E"/>
    <w:rsid w:val="00CB0C5D"/>
    <w:rsid w:val="00CB0CE0"/>
    <w:rsid w:val="00CB0D17"/>
    <w:rsid w:val="00CB0D2A"/>
    <w:rsid w:val="00CB0D7F"/>
    <w:rsid w:val="00CB0DD6"/>
    <w:rsid w:val="00CB0DD8"/>
    <w:rsid w:val="00CB0DDF"/>
    <w:rsid w:val="00CB0DF6"/>
    <w:rsid w:val="00CB0DF9"/>
    <w:rsid w:val="00CB0E34"/>
    <w:rsid w:val="00CB0E3C"/>
    <w:rsid w:val="00CB0E94"/>
    <w:rsid w:val="00CB1086"/>
    <w:rsid w:val="00CB10B6"/>
    <w:rsid w:val="00CB11A1"/>
    <w:rsid w:val="00CB11CC"/>
    <w:rsid w:val="00CB1270"/>
    <w:rsid w:val="00CB12B4"/>
    <w:rsid w:val="00CB1304"/>
    <w:rsid w:val="00CB1325"/>
    <w:rsid w:val="00CB138C"/>
    <w:rsid w:val="00CB13B5"/>
    <w:rsid w:val="00CB13D2"/>
    <w:rsid w:val="00CB1437"/>
    <w:rsid w:val="00CB1465"/>
    <w:rsid w:val="00CB14C9"/>
    <w:rsid w:val="00CB1502"/>
    <w:rsid w:val="00CB156A"/>
    <w:rsid w:val="00CB157F"/>
    <w:rsid w:val="00CB1609"/>
    <w:rsid w:val="00CB161A"/>
    <w:rsid w:val="00CB162D"/>
    <w:rsid w:val="00CB1630"/>
    <w:rsid w:val="00CB16E9"/>
    <w:rsid w:val="00CB16EE"/>
    <w:rsid w:val="00CB1707"/>
    <w:rsid w:val="00CB17A0"/>
    <w:rsid w:val="00CB17E9"/>
    <w:rsid w:val="00CB1800"/>
    <w:rsid w:val="00CB181C"/>
    <w:rsid w:val="00CB1890"/>
    <w:rsid w:val="00CB18EA"/>
    <w:rsid w:val="00CB1984"/>
    <w:rsid w:val="00CB1995"/>
    <w:rsid w:val="00CB19D4"/>
    <w:rsid w:val="00CB1A1C"/>
    <w:rsid w:val="00CB1A28"/>
    <w:rsid w:val="00CB1A3A"/>
    <w:rsid w:val="00CB1A4E"/>
    <w:rsid w:val="00CB1A5C"/>
    <w:rsid w:val="00CB1ABD"/>
    <w:rsid w:val="00CB1ADA"/>
    <w:rsid w:val="00CB1B08"/>
    <w:rsid w:val="00CB1B40"/>
    <w:rsid w:val="00CB1BBD"/>
    <w:rsid w:val="00CB1BC6"/>
    <w:rsid w:val="00CB1BF9"/>
    <w:rsid w:val="00CB1BFC"/>
    <w:rsid w:val="00CB1C20"/>
    <w:rsid w:val="00CB1C2E"/>
    <w:rsid w:val="00CB1C46"/>
    <w:rsid w:val="00CB1CD6"/>
    <w:rsid w:val="00CB1CE6"/>
    <w:rsid w:val="00CB1D0F"/>
    <w:rsid w:val="00CB1D1A"/>
    <w:rsid w:val="00CB1D65"/>
    <w:rsid w:val="00CB1D7A"/>
    <w:rsid w:val="00CB1DD6"/>
    <w:rsid w:val="00CB1DF6"/>
    <w:rsid w:val="00CB1E28"/>
    <w:rsid w:val="00CB1E5B"/>
    <w:rsid w:val="00CB1E7F"/>
    <w:rsid w:val="00CB1F2F"/>
    <w:rsid w:val="00CB1F91"/>
    <w:rsid w:val="00CB1F9F"/>
    <w:rsid w:val="00CB1FA0"/>
    <w:rsid w:val="00CB1FAB"/>
    <w:rsid w:val="00CB1FC9"/>
    <w:rsid w:val="00CB2092"/>
    <w:rsid w:val="00CB2108"/>
    <w:rsid w:val="00CB213C"/>
    <w:rsid w:val="00CB2157"/>
    <w:rsid w:val="00CB2182"/>
    <w:rsid w:val="00CB21AA"/>
    <w:rsid w:val="00CB21E0"/>
    <w:rsid w:val="00CB2217"/>
    <w:rsid w:val="00CB2277"/>
    <w:rsid w:val="00CB22BF"/>
    <w:rsid w:val="00CB22DA"/>
    <w:rsid w:val="00CB2324"/>
    <w:rsid w:val="00CB237C"/>
    <w:rsid w:val="00CB23B0"/>
    <w:rsid w:val="00CB244F"/>
    <w:rsid w:val="00CB2453"/>
    <w:rsid w:val="00CB2519"/>
    <w:rsid w:val="00CB258F"/>
    <w:rsid w:val="00CB25B7"/>
    <w:rsid w:val="00CB2609"/>
    <w:rsid w:val="00CB261E"/>
    <w:rsid w:val="00CB2654"/>
    <w:rsid w:val="00CB269C"/>
    <w:rsid w:val="00CB26CE"/>
    <w:rsid w:val="00CB2844"/>
    <w:rsid w:val="00CB2853"/>
    <w:rsid w:val="00CB2876"/>
    <w:rsid w:val="00CB2911"/>
    <w:rsid w:val="00CB2933"/>
    <w:rsid w:val="00CB2948"/>
    <w:rsid w:val="00CB2992"/>
    <w:rsid w:val="00CB29DF"/>
    <w:rsid w:val="00CB29E0"/>
    <w:rsid w:val="00CB2A03"/>
    <w:rsid w:val="00CB2A2E"/>
    <w:rsid w:val="00CB2A31"/>
    <w:rsid w:val="00CB2A92"/>
    <w:rsid w:val="00CB2B0D"/>
    <w:rsid w:val="00CB2B59"/>
    <w:rsid w:val="00CB2BBE"/>
    <w:rsid w:val="00CB2C32"/>
    <w:rsid w:val="00CB2C8C"/>
    <w:rsid w:val="00CB2CBA"/>
    <w:rsid w:val="00CB2D03"/>
    <w:rsid w:val="00CB2D4E"/>
    <w:rsid w:val="00CB2DAB"/>
    <w:rsid w:val="00CB2E2D"/>
    <w:rsid w:val="00CB2E3D"/>
    <w:rsid w:val="00CB2EAB"/>
    <w:rsid w:val="00CB2F15"/>
    <w:rsid w:val="00CB2F5A"/>
    <w:rsid w:val="00CB2F97"/>
    <w:rsid w:val="00CB2FBA"/>
    <w:rsid w:val="00CB2FDA"/>
    <w:rsid w:val="00CB300C"/>
    <w:rsid w:val="00CB306D"/>
    <w:rsid w:val="00CB3087"/>
    <w:rsid w:val="00CB30B3"/>
    <w:rsid w:val="00CB3132"/>
    <w:rsid w:val="00CB3170"/>
    <w:rsid w:val="00CB31C0"/>
    <w:rsid w:val="00CB31EC"/>
    <w:rsid w:val="00CB3202"/>
    <w:rsid w:val="00CB3215"/>
    <w:rsid w:val="00CB321A"/>
    <w:rsid w:val="00CB32CF"/>
    <w:rsid w:val="00CB32F9"/>
    <w:rsid w:val="00CB3301"/>
    <w:rsid w:val="00CB3319"/>
    <w:rsid w:val="00CB334F"/>
    <w:rsid w:val="00CB33CA"/>
    <w:rsid w:val="00CB3465"/>
    <w:rsid w:val="00CB3477"/>
    <w:rsid w:val="00CB3489"/>
    <w:rsid w:val="00CB34D2"/>
    <w:rsid w:val="00CB34E3"/>
    <w:rsid w:val="00CB3502"/>
    <w:rsid w:val="00CB353D"/>
    <w:rsid w:val="00CB3563"/>
    <w:rsid w:val="00CB3572"/>
    <w:rsid w:val="00CB357F"/>
    <w:rsid w:val="00CB35CE"/>
    <w:rsid w:val="00CB3603"/>
    <w:rsid w:val="00CB3638"/>
    <w:rsid w:val="00CB363C"/>
    <w:rsid w:val="00CB3692"/>
    <w:rsid w:val="00CB36CF"/>
    <w:rsid w:val="00CB36D2"/>
    <w:rsid w:val="00CB36D4"/>
    <w:rsid w:val="00CB36DB"/>
    <w:rsid w:val="00CB36E0"/>
    <w:rsid w:val="00CB36FB"/>
    <w:rsid w:val="00CB375D"/>
    <w:rsid w:val="00CB376B"/>
    <w:rsid w:val="00CB37CF"/>
    <w:rsid w:val="00CB38A4"/>
    <w:rsid w:val="00CB391D"/>
    <w:rsid w:val="00CB392C"/>
    <w:rsid w:val="00CB39B3"/>
    <w:rsid w:val="00CB3A26"/>
    <w:rsid w:val="00CB3A32"/>
    <w:rsid w:val="00CB3A83"/>
    <w:rsid w:val="00CB3B06"/>
    <w:rsid w:val="00CB3BB8"/>
    <w:rsid w:val="00CB3C3D"/>
    <w:rsid w:val="00CB3C49"/>
    <w:rsid w:val="00CB3C6C"/>
    <w:rsid w:val="00CB3CCE"/>
    <w:rsid w:val="00CB3D34"/>
    <w:rsid w:val="00CB3E22"/>
    <w:rsid w:val="00CB3E75"/>
    <w:rsid w:val="00CB3F1A"/>
    <w:rsid w:val="00CB3F7E"/>
    <w:rsid w:val="00CB3FFC"/>
    <w:rsid w:val="00CB4010"/>
    <w:rsid w:val="00CB406E"/>
    <w:rsid w:val="00CB40D4"/>
    <w:rsid w:val="00CB40DE"/>
    <w:rsid w:val="00CB40E6"/>
    <w:rsid w:val="00CB4120"/>
    <w:rsid w:val="00CB4192"/>
    <w:rsid w:val="00CB4197"/>
    <w:rsid w:val="00CB420F"/>
    <w:rsid w:val="00CB423A"/>
    <w:rsid w:val="00CB4253"/>
    <w:rsid w:val="00CB4291"/>
    <w:rsid w:val="00CB42D3"/>
    <w:rsid w:val="00CB42D5"/>
    <w:rsid w:val="00CB434A"/>
    <w:rsid w:val="00CB436F"/>
    <w:rsid w:val="00CB437B"/>
    <w:rsid w:val="00CB43F5"/>
    <w:rsid w:val="00CB449A"/>
    <w:rsid w:val="00CB44F0"/>
    <w:rsid w:val="00CB44F5"/>
    <w:rsid w:val="00CB4505"/>
    <w:rsid w:val="00CB4552"/>
    <w:rsid w:val="00CB4557"/>
    <w:rsid w:val="00CB456D"/>
    <w:rsid w:val="00CB45B4"/>
    <w:rsid w:val="00CB45B9"/>
    <w:rsid w:val="00CB4679"/>
    <w:rsid w:val="00CB4730"/>
    <w:rsid w:val="00CB4755"/>
    <w:rsid w:val="00CB47BF"/>
    <w:rsid w:val="00CB4824"/>
    <w:rsid w:val="00CB4849"/>
    <w:rsid w:val="00CB4A52"/>
    <w:rsid w:val="00CB4AB0"/>
    <w:rsid w:val="00CB4AB1"/>
    <w:rsid w:val="00CB4B73"/>
    <w:rsid w:val="00CB4B77"/>
    <w:rsid w:val="00CB4BC1"/>
    <w:rsid w:val="00CB4C16"/>
    <w:rsid w:val="00CB4C26"/>
    <w:rsid w:val="00CB4C5B"/>
    <w:rsid w:val="00CB4C5C"/>
    <w:rsid w:val="00CB4CF5"/>
    <w:rsid w:val="00CB4D03"/>
    <w:rsid w:val="00CB4D53"/>
    <w:rsid w:val="00CB4D8A"/>
    <w:rsid w:val="00CB4DF5"/>
    <w:rsid w:val="00CB4E64"/>
    <w:rsid w:val="00CB4E74"/>
    <w:rsid w:val="00CB4E76"/>
    <w:rsid w:val="00CB4EF1"/>
    <w:rsid w:val="00CB4F1A"/>
    <w:rsid w:val="00CB4F86"/>
    <w:rsid w:val="00CB4F9F"/>
    <w:rsid w:val="00CB5002"/>
    <w:rsid w:val="00CB5055"/>
    <w:rsid w:val="00CB5110"/>
    <w:rsid w:val="00CB5192"/>
    <w:rsid w:val="00CB523D"/>
    <w:rsid w:val="00CB5262"/>
    <w:rsid w:val="00CB5270"/>
    <w:rsid w:val="00CB5288"/>
    <w:rsid w:val="00CB5363"/>
    <w:rsid w:val="00CB536C"/>
    <w:rsid w:val="00CB547C"/>
    <w:rsid w:val="00CB5490"/>
    <w:rsid w:val="00CB549E"/>
    <w:rsid w:val="00CB549F"/>
    <w:rsid w:val="00CB54D8"/>
    <w:rsid w:val="00CB54E5"/>
    <w:rsid w:val="00CB54EB"/>
    <w:rsid w:val="00CB54EC"/>
    <w:rsid w:val="00CB550F"/>
    <w:rsid w:val="00CB55F5"/>
    <w:rsid w:val="00CB5603"/>
    <w:rsid w:val="00CB5611"/>
    <w:rsid w:val="00CB566B"/>
    <w:rsid w:val="00CB5678"/>
    <w:rsid w:val="00CB56A4"/>
    <w:rsid w:val="00CB56D4"/>
    <w:rsid w:val="00CB5705"/>
    <w:rsid w:val="00CB5736"/>
    <w:rsid w:val="00CB57AE"/>
    <w:rsid w:val="00CB57D3"/>
    <w:rsid w:val="00CB57D6"/>
    <w:rsid w:val="00CB57E8"/>
    <w:rsid w:val="00CB57F1"/>
    <w:rsid w:val="00CB5814"/>
    <w:rsid w:val="00CB5832"/>
    <w:rsid w:val="00CB5840"/>
    <w:rsid w:val="00CB5865"/>
    <w:rsid w:val="00CB5879"/>
    <w:rsid w:val="00CB588B"/>
    <w:rsid w:val="00CB58AB"/>
    <w:rsid w:val="00CB59E8"/>
    <w:rsid w:val="00CB5A9A"/>
    <w:rsid w:val="00CB5AB3"/>
    <w:rsid w:val="00CB5ACB"/>
    <w:rsid w:val="00CB5B05"/>
    <w:rsid w:val="00CB5B7B"/>
    <w:rsid w:val="00CB5B9C"/>
    <w:rsid w:val="00CB5BD3"/>
    <w:rsid w:val="00CB5BEC"/>
    <w:rsid w:val="00CB5C92"/>
    <w:rsid w:val="00CB5D16"/>
    <w:rsid w:val="00CB5D25"/>
    <w:rsid w:val="00CB5D2A"/>
    <w:rsid w:val="00CB5D86"/>
    <w:rsid w:val="00CB5D8E"/>
    <w:rsid w:val="00CB5DDE"/>
    <w:rsid w:val="00CB5DEC"/>
    <w:rsid w:val="00CB5E3A"/>
    <w:rsid w:val="00CB5E51"/>
    <w:rsid w:val="00CB5EA2"/>
    <w:rsid w:val="00CB5EAB"/>
    <w:rsid w:val="00CB5F30"/>
    <w:rsid w:val="00CB5FFC"/>
    <w:rsid w:val="00CB6203"/>
    <w:rsid w:val="00CB62A8"/>
    <w:rsid w:val="00CB62E4"/>
    <w:rsid w:val="00CB6333"/>
    <w:rsid w:val="00CB634E"/>
    <w:rsid w:val="00CB6358"/>
    <w:rsid w:val="00CB6367"/>
    <w:rsid w:val="00CB63A6"/>
    <w:rsid w:val="00CB63D8"/>
    <w:rsid w:val="00CB63DB"/>
    <w:rsid w:val="00CB63F4"/>
    <w:rsid w:val="00CB6486"/>
    <w:rsid w:val="00CB64E2"/>
    <w:rsid w:val="00CB6530"/>
    <w:rsid w:val="00CB65C1"/>
    <w:rsid w:val="00CB6624"/>
    <w:rsid w:val="00CB664D"/>
    <w:rsid w:val="00CB66A3"/>
    <w:rsid w:val="00CB66B7"/>
    <w:rsid w:val="00CB66DF"/>
    <w:rsid w:val="00CB6742"/>
    <w:rsid w:val="00CB681A"/>
    <w:rsid w:val="00CB685D"/>
    <w:rsid w:val="00CB686E"/>
    <w:rsid w:val="00CB688C"/>
    <w:rsid w:val="00CB68B2"/>
    <w:rsid w:val="00CB6957"/>
    <w:rsid w:val="00CB6959"/>
    <w:rsid w:val="00CB69CA"/>
    <w:rsid w:val="00CB6B30"/>
    <w:rsid w:val="00CB6B4A"/>
    <w:rsid w:val="00CB6B93"/>
    <w:rsid w:val="00CB6BBA"/>
    <w:rsid w:val="00CB6BCB"/>
    <w:rsid w:val="00CB6C00"/>
    <w:rsid w:val="00CB6C1F"/>
    <w:rsid w:val="00CB6C48"/>
    <w:rsid w:val="00CB6C50"/>
    <w:rsid w:val="00CB6C86"/>
    <w:rsid w:val="00CB6CA8"/>
    <w:rsid w:val="00CB6DB7"/>
    <w:rsid w:val="00CB6DDA"/>
    <w:rsid w:val="00CB6DDE"/>
    <w:rsid w:val="00CB6E04"/>
    <w:rsid w:val="00CB6E26"/>
    <w:rsid w:val="00CB6EC5"/>
    <w:rsid w:val="00CB6F3B"/>
    <w:rsid w:val="00CB6F6E"/>
    <w:rsid w:val="00CB6FC4"/>
    <w:rsid w:val="00CB6FEF"/>
    <w:rsid w:val="00CB7099"/>
    <w:rsid w:val="00CB70D0"/>
    <w:rsid w:val="00CB7185"/>
    <w:rsid w:val="00CB71EA"/>
    <w:rsid w:val="00CB7234"/>
    <w:rsid w:val="00CB7268"/>
    <w:rsid w:val="00CB73AC"/>
    <w:rsid w:val="00CB74B3"/>
    <w:rsid w:val="00CB7589"/>
    <w:rsid w:val="00CB75B1"/>
    <w:rsid w:val="00CB75B2"/>
    <w:rsid w:val="00CB75C7"/>
    <w:rsid w:val="00CB75C8"/>
    <w:rsid w:val="00CB75D2"/>
    <w:rsid w:val="00CB7631"/>
    <w:rsid w:val="00CB7655"/>
    <w:rsid w:val="00CB76CB"/>
    <w:rsid w:val="00CB76DC"/>
    <w:rsid w:val="00CB7712"/>
    <w:rsid w:val="00CB7719"/>
    <w:rsid w:val="00CB7734"/>
    <w:rsid w:val="00CB7754"/>
    <w:rsid w:val="00CB7790"/>
    <w:rsid w:val="00CB77A3"/>
    <w:rsid w:val="00CB785B"/>
    <w:rsid w:val="00CB7870"/>
    <w:rsid w:val="00CB7887"/>
    <w:rsid w:val="00CB78D3"/>
    <w:rsid w:val="00CB78F5"/>
    <w:rsid w:val="00CB791E"/>
    <w:rsid w:val="00CB795D"/>
    <w:rsid w:val="00CB7A1F"/>
    <w:rsid w:val="00CB7A4D"/>
    <w:rsid w:val="00CB7AC0"/>
    <w:rsid w:val="00CB7AF7"/>
    <w:rsid w:val="00CB7B12"/>
    <w:rsid w:val="00CB7B5D"/>
    <w:rsid w:val="00CB7B9D"/>
    <w:rsid w:val="00CB7BBB"/>
    <w:rsid w:val="00CB7BBE"/>
    <w:rsid w:val="00CB7C11"/>
    <w:rsid w:val="00CB7C33"/>
    <w:rsid w:val="00CB7C78"/>
    <w:rsid w:val="00CB7CE5"/>
    <w:rsid w:val="00CB7D35"/>
    <w:rsid w:val="00CB7D5C"/>
    <w:rsid w:val="00CB7E55"/>
    <w:rsid w:val="00CB7E8B"/>
    <w:rsid w:val="00CB7EA8"/>
    <w:rsid w:val="00CB7F42"/>
    <w:rsid w:val="00CB7F5A"/>
    <w:rsid w:val="00CB7FB2"/>
    <w:rsid w:val="00CB7FD2"/>
    <w:rsid w:val="00CC0044"/>
    <w:rsid w:val="00CC00BF"/>
    <w:rsid w:val="00CC00E9"/>
    <w:rsid w:val="00CC00F5"/>
    <w:rsid w:val="00CC0192"/>
    <w:rsid w:val="00CC01F8"/>
    <w:rsid w:val="00CC0275"/>
    <w:rsid w:val="00CC0293"/>
    <w:rsid w:val="00CC02A6"/>
    <w:rsid w:val="00CC02B1"/>
    <w:rsid w:val="00CC02C1"/>
    <w:rsid w:val="00CC0308"/>
    <w:rsid w:val="00CC0332"/>
    <w:rsid w:val="00CC0361"/>
    <w:rsid w:val="00CC0395"/>
    <w:rsid w:val="00CC039F"/>
    <w:rsid w:val="00CC03AA"/>
    <w:rsid w:val="00CC03C2"/>
    <w:rsid w:val="00CC0428"/>
    <w:rsid w:val="00CC0454"/>
    <w:rsid w:val="00CC0457"/>
    <w:rsid w:val="00CC0476"/>
    <w:rsid w:val="00CC04FB"/>
    <w:rsid w:val="00CC052F"/>
    <w:rsid w:val="00CC05E6"/>
    <w:rsid w:val="00CC06D4"/>
    <w:rsid w:val="00CC0785"/>
    <w:rsid w:val="00CC078C"/>
    <w:rsid w:val="00CC07C1"/>
    <w:rsid w:val="00CC08E4"/>
    <w:rsid w:val="00CC0906"/>
    <w:rsid w:val="00CC092F"/>
    <w:rsid w:val="00CC094D"/>
    <w:rsid w:val="00CC0995"/>
    <w:rsid w:val="00CC09E7"/>
    <w:rsid w:val="00CC0A2E"/>
    <w:rsid w:val="00CC0A8A"/>
    <w:rsid w:val="00CC0A94"/>
    <w:rsid w:val="00CC0AF0"/>
    <w:rsid w:val="00CC0BA5"/>
    <w:rsid w:val="00CC0BB6"/>
    <w:rsid w:val="00CC0BE6"/>
    <w:rsid w:val="00CC0BFE"/>
    <w:rsid w:val="00CC0C00"/>
    <w:rsid w:val="00CC0C33"/>
    <w:rsid w:val="00CC0C37"/>
    <w:rsid w:val="00CC0C47"/>
    <w:rsid w:val="00CC0CA0"/>
    <w:rsid w:val="00CC0D8D"/>
    <w:rsid w:val="00CC0DF6"/>
    <w:rsid w:val="00CC0F54"/>
    <w:rsid w:val="00CC0F67"/>
    <w:rsid w:val="00CC0F87"/>
    <w:rsid w:val="00CC0FC3"/>
    <w:rsid w:val="00CC0FE0"/>
    <w:rsid w:val="00CC1016"/>
    <w:rsid w:val="00CC1085"/>
    <w:rsid w:val="00CC1141"/>
    <w:rsid w:val="00CC1146"/>
    <w:rsid w:val="00CC1211"/>
    <w:rsid w:val="00CC12E6"/>
    <w:rsid w:val="00CC1304"/>
    <w:rsid w:val="00CC1305"/>
    <w:rsid w:val="00CC131F"/>
    <w:rsid w:val="00CC136E"/>
    <w:rsid w:val="00CC139D"/>
    <w:rsid w:val="00CC13CE"/>
    <w:rsid w:val="00CC142D"/>
    <w:rsid w:val="00CC142F"/>
    <w:rsid w:val="00CC1440"/>
    <w:rsid w:val="00CC1473"/>
    <w:rsid w:val="00CC149E"/>
    <w:rsid w:val="00CC14E8"/>
    <w:rsid w:val="00CC14EF"/>
    <w:rsid w:val="00CC151B"/>
    <w:rsid w:val="00CC152D"/>
    <w:rsid w:val="00CC15A2"/>
    <w:rsid w:val="00CC1622"/>
    <w:rsid w:val="00CC1641"/>
    <w:rsid w:val="00CC166D"/>
    <w:rsid w:val="00CC169A"/>
    <w:rsid w:val="00CC16AB"/>
    <w:rsid w:val="00CC16B7"/>
    <w:rsid w:val="00CC1739"/>
    <w:rsid w:val="00CC176C"/>
    <w:rsid w:val="00CC1809"/>
    <w:rsid w:val="00CC1839"/>
    <w:rsid w:val="00CC1917"/>
    <w:rsid w:val="00CC1992"/>
    <w:rsid w:val="00CC19A7"/>
    <w:rsid w:val="00CC19B9"/>
    <w:rsid w:val="00CC19D5"/>
    <w:rsid w:val="00CC1B18"/>
    <w:rsid w:val="00CC1B66"/>
    <w:rsid w:val="00CC1B6B"/>
    <w:rsid w:val="00CC1B89"/>
    <w:rsid w:val="00CC1BC4"/>
    <w:rsid w:val="00CC1BF0"/>
    <w:rsid w:val="00CC1C89"/>
    <w:rsid w:val="00CC1C92"/>
    <w:rsid w:val="00CC1CC1"/>
    <w:rsid w:val="00CC1CC5"/>
    <w:rsid w:val="00CC1D2C"/>
    <w:rsid w:val="00CC1DC7"/>
    <w:rsid w:val="00CC1DF6"/>
    <w:rsid w:val="00CC1E83"/>
    <w:rsid w:val="00CC1E96"/>
    <w:rsid w:val="00CC1EF8"/>
    <w:rsid w:val="00CC1F3F"/>
    <w:rsid w:val="00CC1F80"/>
    <w:rsid w:val="00CC1FD7"/>
    <w:rsid w:val="00CC1FD9"/>
    <w:rsid w:val="00CC1FEA"/>
    <w:rsid w:val="00CC200D"/>
    <w:rsid w:val="00CC2072"/>
    <w:rsid w:val="00CC20B9"/>
    <w:rsid w:val="00CC20FD"/>
    <w:rsid w:val="00CC2160"/>
    <w:rsid w:val="00CC21D3"/>
    <w:rsid w:val="00CC220F"/>
    <w:rsid w:val="00CC2242"/>
    <w:rsid w:val="00CC2299"/>
    <w:rsid w:val="00CC23CE"/>
    <w:rsid w:val="00CC23F1"/>
    <w:rsid w:val="00CC2432"/>
    <w:rsid w:val="00CC245B"/>
    <w:rsid w:val="00CC24AD"/>
    <w:rsid w:val="00CC2555"/>
    <w:rsid w:val="00CC2556"/>
    <w:rsid w:val="00CC2575"/>
    <w:rsid w:val="00CC25E3"/>
    <w:rsid w:val="00CC261B"/>
    <w:rsid w:val="00CC267F"/>
    <w:rsid w:val="00CC269A"/>
    <w:rsid w:val="00CC2704"/>
    <w:rsid w:val="00CC2719"/>
    <w:rsid w:val="00CC27A5"/>
    <w:rsid w:val="00CC27AF"/>
    <w:rsid w:val="00CC27BF"/>
    <w:rsid w:val="00CC2874"/>
    <w:rsid w:val="00CC291A"/>
    <w:rsid w:val="00CC29BB"/>
    <w:rsid w:val="00CC2A60"/>
    <w:rsid w:val="00CC2A85"/>
    <w:rsid w:val="00CC2AE8"/>
    <w:rsid w:val="00CC2AEC"/>
    <w:rsid w:val="00CC2B47"/>
    <w:rsid w:val="00CC2B8A"/>
    <w:rsid w:val="00CC2CBE"/>
    <w:rsid w:val="00CC2D05"/>
    <w:rsid w:val="00CC2DDB"/>
    <w:rsid w:val="00CC2DFC"/>
    <w:rsid w:val="00CC2E05"/>
    <w:rsid w:val="00CC2E32"/>
    <w:rsid w:val="00CC2E5F"/>
    <w:rsid w:val="00CC2E6C"/>
    <w:rsid w:val="00CC2EA7"/>
    <w:rsid w:val="00CC2EF4"/>
    <w:rsid w:val="00CC2F40"/>
    <w:rsid w:val="00CC2FF1"/>
    <w:rsid w:val="00CC3011"/>
    <w:rsid w:val="00CC302A"/>
    <w:rsid w:val="00CC302E"/>
    <w:rsid w:val="00CC3051"/>
    <w:rsid w:val="00CC30B8"/>
    <w:rsid w:val="00CC3121"/>
    <w:rsid w:val="00CC31C5"/>
    <w:rsid w:val="00CC321E"/>
    <w:rsid w:val="00CC3259"/>
    <w:rsid w:val="00CC3281"/>
    <w:rsid w:val="00CC329B"/>
    <w:rsid w:val="00CC32E2"/>
    <w:rsid w:val="00CC3381"/>
    <w:rsid w:val="00CC3400"/>
    <w:rsid w:val="00CC3404"/>
    <w:rsid w:val="00CC3450"/>
    <w:rsid w:val="00CC34B3"/>
    <w:rsid w:val="00CC34E0"/>
    <w:rsid w:val="00CC34F3"/>
    <w:rsid w:val="00CC3551"/>
    <w:rsid w:val="00CC3596"/>
    <w:rsid w:val="00CC35CA"/>
    <w:rsid w:val="00CC35D2"/>
    <w:rsid w:val="00CC3623"/>
    <w:rsid w:val="00CC3707"/>
    <w:rsid w:val="00CC37CF"/>
    <w:rsid w:val="00CC3839"/>
    <w:rsid w:val="00CC384C"/>
    <w:rsid w:val="00CC386E"/>
    <w:rsid w:val="00CC3880"/>
    <w:rsid w:val="00CC3885"/>
    <w:rsid w:val="00CC38AC"/>
    <w:rsid w:val="00CC38D5"/>
    <w:rsid w:val="00CC3948"/>
    <w:rsid w:val="00CC3976"/>
    <w:rsid w:val="00CC39D7"/>
    <w:rsid w:val="00CC3A44"/>
    <w:rsid w:val="00CC3A4D"/>
    <w:rsid w:val="00CC3AD8"/>
    <w:rsid w:val="00CC3B59"/>
    <w:rsid w:val="00CC3B9D"/>
    <w:rsid w:val="00CC3BC3"/>
    <w:rsid w:val="00CC3BCF"/>
    <w:rsid w:val="00CC3C38"/>
    <w:rsid w:val="00CC3C76"/>
    <w:rsid w:val="00CC3CD2"/>
    <w:rsid w:val="00CC3D59"/>
    <w:rsid w:val="00CC3DEF"/>
    <w:rsid w:val="00CC3E28"/>
    <w:rsid w:val="00CC3E93"/>
    <w:rsid w:val="00CC3E9E"/>
    <w:rsid w:val="00CC3EA6"/>
    <w:rsid w:val="00CC3EBA"/>
    <w:rsid w:val="00CC3EF8"/>
    <w:rsid w:val="00CC3F4B"/>
    <w:rsid w:val="00CC3F66"/>
    <w:rsid w:val="00CC3F77"/>
    <w:rsid w:val="00CC3FC0"/>
    <w:rsid w:val="00CC3FDB"/>
    <w:rsid w:val="00CC3FE7"/>
    <w:rsid w:val="00CC3FFF"/>
    <w:rsid w:val="00CC40D2"/>
    <w:rsid w:val="00CC41D1"/>
    <w:rsid w:val="00CC4239"/>
    <w:rsid w:val="00CC4249"/>
    <w:rsid w:val="00CC424A"/>
    <w:rsid w:val="00CC4361"/>
    <w:rsid w:val="00CC4486"/>
    <w:rsid w:val="00CC4515"/>
    <w:rsid w:val="00CC4554"/>
    <w:rsid w:val="00CC457F"/>
    <w:rsid w:val="00CC4599"/>
    <w:rsid w:val="00CC461A"/>
    <w:rsid w:val="00CC461B"/>
    <w:rsid w:val="00CC4627"/>
    <w:rsid w:val="00CC465B"/>
    <w:rsid w:val="00CC466D"/>
    <w:rsid w:val="00CC46A5"/>
    <w:rsid w:val="00CC4799"/>
    <w:rsid w:val="00CC47AA"/>
    <w:rsid w:val="00CC47F0"/>
    <w:rsid w:val="00CC4808"/>
    <w:rsid w:val="00CC48D4"/>
    <w:rsid w:val="00CC492F"/>
    <w:rsid w:val="00CC493D"/>
    <w:rsid w:val="00CC493F"/>
    <w:rsid w:val="00CC49F0"/>
    <w:rsid w:val="00CC49F6"/>
    <w:rsid w:val="00CC4A03"/>
    <w:rsid w:val="00CC4A7E"/>
    <w:rsid w:val="00CC4A91"/>
    <w:rsid w:val="00CC4B38"/>
    <w:rsid w:val="00CC4BF0"/>
    <w:rsid w:val="00CC4D1D"/>
    <w:rsid w:val="00CC4D2E"/>
    <w:rsid w:val="00CC4D75"/>
    <w:rsid w:val="00CC4E2C"/>
    <w:rsid w:val="00CC4F26"/>
    <w:rsid w:val="00CC4F8A"/>
    <w:rsid w:val="00CC4FBE"/>
    <w:rsid w:val="00CC5003"/>
    <w:rsid w:val="00CC50B1"/>
    <w:rsid w:val="00CC50F3"/>
    <w:rsid w:val="00CC5113"/>
    <w:rsid w:val="00CC5125"/>
    <w:rsid w:val="00CC51DE"/>
    <w:rsid w:val="00CC5211"/>
    <w:rsid w:val="00CC528A"/>
    <w:rsid w:val="00CC5299"/>
    <w:rsid w:val="00CC52D5"/>
    <w:rsid w:val="00CC5349"/>
    <w:rsid w:val="00CC53A4"/>
    <w:rsid w:val="00CC540F"/>
    <w:rsid w:val="00CC5434"/>
    <w:rsid w:val="00CC544C"/>
    <w:rsid w:val="00CC5454"/>
    <w:rsid w:val="00CC5498"/>
    <w:rsid w:val="00CC54AD"/>
    <w:rsid w:val="00CC54DC"/>
    <w:rsid w:val="00CC54E6"/>
    <w:rsid w:val="00CC54F9"/>
    <w:rsid w:val="00CC5531"/>
    <w:rsid w:val="00CC5533"/>
    <w:rsid w:val="00CC5543"/>
    <w:rsid w:val="00CC555B"/>
    <w:rsid w:val="00CC557B"/>
    <w:rsid w:val="00CC55AA"/>
    <w:rsid w:val="00CC561F"/>
    <w:rsid w:val="00CC5677"/>
    <w:rsid w:val="00CC56B7"/>
    <w:rsid w:val="00CC56CA"/>
    <w:rsid w:val="00CC5743"/>
    <w:rsid w:val="00CC57EA"/>
    <w:rsid w:val="00CC57FA"/>
    <w:rsid w:val="00CC57FF"/>
    <w:rsid w:val="00CC592B"/>
    <w:rsid w:val="00CC5950"/>
    <w:rsid w:val="00CC597B"/>
    <w:rsid w:val="00CC59A3"/>
    <w:rsid w:val="00CC5A27"/>
    <w:rsid w:val="00CC5A7E"/>
    <w:rsid w:val="00CC5AF3"/>
    <w:rsid w:val="00CC5B06"/>
    <w:rsid w:val="00CC5B57"/>
    <w:rsid w:val="00CC5B59"/>
    <w:rsid w:val="00CC5B71"/>
    <w:rsid w:val="00CC5C40"/>
    <w:rsid w:val="00CC5CA0"/>
    <w:rsid w:val="00CC5CB5"/>
    <w:rsid w:val="00CC5CC6"/>
    <w:rsid w:val="00CC5D07"/>
    <w:rsid w:val="00CC5D5C"/>
    <w:rsid w:val="00CC5DAE"/>
    <w:rsid w:val="00CC5DC6"/>
    <w:rsid w:val="00CC5DCF"/>
    <w:rsid w:val="00CC5E0C"/>
    <w:rsid w:val="00CC5E96"/>
    <w:rsid w:val="00CC5F18"/>
    <w:rsid w:val="00CC5F1A"/>
    <w:rsid w:val="00CC5F33"/>
    <w:rsid w:val="00CC5F75"/>
    <w:rsid w:val="00CC5F9D"/>
    <w:rsid w:val="00CC6026"/>
    <w:rsid w:val="00CC6059"/>
    <w:rsid w:val="00CC60A3"/>
    <w:rsid w:val="00CC60B7"/>
    <w:rsid w:val="00CC60EA"/>
    <w:rsid w:val="00CC60EB"/>
    <w:rsid w:val="00CC6127"/>
    <w:rsid w:val="00CC614A"/>
    <w:rsid w:val="00CC6170"/>
    <w:rsid w:val="00CC617D"/>
    <w:rsid w:val="00CC61C0"/>
    <w:rsid w:val="00CC6244"/>
    <w:rsid w:val="00CC6264"/>
    <w:rsid w:val="00CC6291"/>
    <w:rsid w:val="00CC62E4"/>
    <w:rsid w:val="00CC6345"/>
    <w:rsid w:val="00CC6348"/>
    <w:rsid w:val="00CC63AC"/>
    <w:rsid w:val="00CC63BF"/>
    <w:rsid w:val="00CC63D6"/>
    <w:rsid w:val="00CC6448"/>
    <w:rsid w:val="00CC648F"/>
    <w:rsid w:val="00CC6582"/>
    <w:rsid w:val="00CC65C5"/>
    <w:rsid w:val="00CC6634"/>
    <w:rsid w:val="00CC663A"/>
    <w:rsid w:val="00CC66B9"/>
    <w:rsid w:val="00CC66E0"/>
    <w:rsid w:val="00CC66F2"/>
    <w:rsid w:val="00CC67A0"/>
    <w:rsid w:val="00CC67A7"/>
    <w:rsid w:val="00CC67C5"/>
    <w:rsid w:val="00CC6872"/>
    <w:rsid w:val="00CC68A1"/>
    <w:rsid w:val="00CC68D0"/>
    <w:rsid w:val="00CC693E"/>
    <w:rsid w:val="00CC6967"/>
    <w:rsid w:val="00CC6968"/>
    <w:rsid w:val="00CC69A7"/>
    <w:rsid w:val="00CC69A9"/>
    <w:rsid w:val="00CC69E9"/>
    <w:rsid w:val="00CC6A09"/>
    <w:rsid w:val="00CC6A1D"/>
    <w:rsid w:val="00CC6A22"/>
    <w:rsid w:val="00CC6A54"/>
    <w:rsid w:val="00CC6A61"/>
    <w:rsid w:val="00CC6ADB"/>
    <w:rsid w:val="00CC6AFE"/>
    <w:rsid w:val="00CC6B54"/>
    <w:rsid w:val="00CC6B8D"/>
    <w:rsid w:val="00CC6BDE"/>
    <w:rsid w:val="00CC6C05"/>
    <w:rsid w:val="00CC6C25"/>
    <w:rsid w:val="00CC6C30"/>
    <w:rsid w:val="00CC6C4C"/>
    <w:rsid w:val="00CC6C8F"/>
    <w:rsid w:val="00CC6CDB"/>
    <w:rsid w:val="00CC6D55"/>
    <w:rsid w:val="00CC6DD0"/>
    <w:rsid w:val="00CC6DDB"/>
    <w:rsid w:val="00CC6DDE"/>
    <w:rsid w:val="00CC6DF0"/>
    <w:rsid w:val="00CC6E37"/>
    <w:rsid w:val="00CC6E49"/>
    <w:rsid w:val="00CC6E59"/>
    <w:rsid w:val="00CC6E8B"/>
    <w:rsid w:val="00CC6EBF"/>
    <w:rsid w:val="00CC6EE2"/>
    <w:rsid w:val="00CC6EFB"/>
    <w:rsid w:val="00CC6F32"/>
    <w:rsid w:val="00CC6F58"/>
    <w:rsid w:val="00CC6F7F"/>
    <w:rsid w:val="00CC6F8F"/>
    <w:rsid w:val="00CC6FF1"/>
    <w:rsid w:val="00CC6FFD"/>
    <w:rsid w:val="00CC7081"/>
    <w:rsid w:val="00CC70AE"/>
    <w:rsid w:val="00CC714F"/>
    <w:rsid w:val="00CC71B9"/>
    <w:rsid w:val="00CC71C0"/>
    <w:rsid w:val="00CC71D5"/>
    <w:rsid w:val="00CC7242"/>
    <w:rsid w:val="00CC7296"/>
    <w:rsid w:val="00CC732F"/>
    <w:rsid w:val="00CC7333"/>
    <w:rsid w:val="00CC7399"/>
    <w:rsid w:val="00CC73B9"/>
    <w:rsid w:val="00CC73FD"/>
    <w:rsid w:val="00CC7437"/>
    <w:rsid w:val="00CC74FB"/>
    <w:rsid w:val="00CC750B"/>
    <w:rsid w:val="00CC751C"/>
    <w:rsid w:val="00CC756B"/>
    <w:rsid w:val="00CC759B"/>
    <w:rsid w:val="00CC75BC"/>
    <w:rsid w:val="00CC75C1"/>
    <w:rsid w:val="00CC75DE"/>
    <w:rsid w:val="00CC760A"/>
    <w:rsid w:val="00CC765C"/>
    <w:rsid w:val="00CC76A9"/>
    <w:rsid w:val="00CC7715"/>
    <w:rsid w:val="00CC778C"/>
    <w:rsid w:val="00CC77BE"/>
    <w:rsid w:val="00CC7836"/>
    <w:rsid w:val="00CC7852"/>
    <w:rsid w:val="00CC7892"/>
    <w:rsid w:val="00CC78A7"/>
    <w:rsid w:val="00CC78B4"/>
    <w:rsid w:val="00CC78D6"/>
    <w:rsid w:val="00CC7975"/>
    <w:rsid w:val="00CC7992"/>
    <w:rsid w:val="00CC7A61"/>
    <w:rsid w:val="00CC7AAA"/>
    <w:rsid w:val="00CC7ADC"/>
    <w:rsid w:val="00CC7AE9"/>
    <w:rsid w:val="00CC7B10"/>
    <w:rsid w:val="00CC7B1B"/>
    <w:rsid w:val="00CC7B53"/>
    <w:rsid w:val="00CC7BDE"/>
    <w:rsid w:val="00CC7BE0"/>
    <w:rsid w:val="00CC7CB1"/>
    <w:rsid w:val="00CC7D0B"/>
    <w:rsid w:val="00CC7D24"/>
    <w:rsid w:val="00CC7D4E"/>
    <w:rsid w:val="00CC7D66"/>
    <w:rsid w:val="00CC7D84"/>
    <w:rsid w:val="00CC7DF9"/>
    <w:rsid w:val="00CC7DFA"/>
    <w:rsid w:val="00CC7E3A"/>
    <w:rsid w:val="00CC7E54"/>
    <w:rsid w:val="00CC7E97"/>
    <w:rsid w:val="00CC7EE2"/>
    <w:rsid w:val="00CD0001"/>
    <w:rsid w:val="00CD0004"/>
    <w:rsid w:val="00CD0009"/>
    <w:rsid w:val="00CD0075"/>
    <w:rsid w:val="00CD00B4"/>
    <w:rsid w:val="00CD0127"/>
    <w:rsid w:val="00CD019F"/>
    <w:rsid w:val="00CD0213"/>
    <w:rsid w:val="00CD0297"/>
    <w:rsid w:val="00CD02FD"/>
    <w:rsid w:val="00CD030A"/>
    <w:rsid w:val="00CD035B"/>
    <w:rsid w:val="00CD036D"/>
    <w:rsid w:val="00CD03DC"/>
    <w:rsid w:val="00CD042E"/>
    <w:rsid w:val="00CD04F5"/>
    <w:rsid w:val="00CD0509"/>
    <w:rsid w:val="00CD054E"/>
    <w:rsid w:val="00CD0606"/>
    <w:rsid w:val="00CD0607"/>
    <w:rsid w:val="00CD0612"/>
    <w:rsid w:val="00CD061B"/>
    <w:rsid w:val="00CD061F"/>
    <w:rsid w:val="00CD0648"/>
    <w:rsid w:val="00CD065A"/>
    <w:rsid w:val="00CD0684"/>
    <w:rsid w:val="00CD06B7"/>
    <w:rsid w:val="00CD06C4"/>
    <w:rsid w:val="00CD06C9"/>
    <w:rsid w:val="00CD06E6"/>
    <w:rsid w:val="00CD0706"/>
    <w:rsid w:val="00CD076F"/>
    <w:rsid w:val="00CD08AC"/>
    <w:rsid w:val="00CD0941"/>
    <w:rsid w:val="00CD098F"/>
    <w:rsid w:val="00CD09D0"/>
    <w:rsid w:val="00CD09D2"/>
    <w:rsid w:val="00CD09E6"/>
    <w:rsid w:val="00CD0A7D"/>
    <w:rsid w:val="00CD0ADA"/>
    <w:rsid w:val="00CD0AED"/>
    <w:rsid w:val="00CD0B1C"/>
    <w:rsid w:val="00CD0B3C"/>
    <w:rsid w:val="00CD0B75"/>
    <w:rsid w:val="00CD0BA7"/>
    <w:rsid w:val="00CD0BF0"/>
    <w:rsid w:val="00CD0C32"/>
    <w:rsid w:val="00CD0C3F"/>
    <w:rsid w:val="00CD0C9F"/>
    <w:rsid w:val="00CD0CCE"/>
    <w:rsid w:val="00CD0D08"/>
    <w:rsid w:val="00CD0DB0"/>
    <w:rsid w:val="00CD0DCE"/>
    <w:rsid w:val="00CD0E12"/>
    <w:rsid w:val="00CD0EEA"/>
    <w:rsid w:val="00CD0F70"/>
    <w:rsid w:val="00CD1086"/>
    <w:rsid w:val="00CD10C0"/>
    <w:rsid w:val="00CD1125"/>
    <w:rsid w:val="00CD113A"/>
    <w:rsid w:val="00CD1148"/>
    <w:rsid w:val="00CD11E3"/>
    <w:rsid w:val="00CD11FB"/>
    <w:rsid w:val="00CD1238"/>
    <w:rsid w:val="00CD1260"/>
    <w:rsid w:val="00CD1272"/>
    <w:rsid w:val="00CD12B5"/>
    <w:rsid w:val="00CD12F9"/>
    <w:rsid w:val="00CD1300"/>
    <w:rsid w:val="00CD1315"/>
    <w:rsid w:val="00CD1386"/>
    <w:rsid w:val="00CD13A8"/>
    <w:rsid w:val="00CD1437"/>
    <w:rsid w:val="00CD14AC"/>
    <w:rsid w:val="00CD14CF"/>
    <w:rsid w:val="00CD1588"/>
    <w:rsid w:val="00CD15AD"/>
    <w:rsid w:val="00CD1609"/>
    <w:rsid w:val="00CD160F"/>
    <w:rsid w:val="00CD1636"/>
    <w:rsid w:val="00CD164D"/>
    <w:rsid w:val="00CD1654"/>
    <w:rsid w:val="00CD165D"/>
    <w:rsid w:val="00CD16D5"/>
    <w:rsid w:val="00CD16F7"/>
    <w:rsid w:val="00CD1700"/>
    <w:rsid w:val="00CD1783"/>
    <w:rsid w:val="00CD178E"/>
    <w:rsid w:val="00CD1798"/>
    <w:rsid w:val="00CD17E2"/>
    <w:rsid w:val="00CD17EB"/>
    <w:rsid w:val="00CD17FB"/>
    <w:rsid w:val="00CD1802"/>
    <w:rsid w:val="00CD1851"/>
    <w:rsid w:val="00CD1870"/>
    <w:rsid w:val="00CD18DF"/>
    <w:rsid w:val="00CD19A3"/>
    <w:rsid w:val="00CD19D0"/>
    <w:rsid w:val="00CD1A62"/>
    <w:rsid w:val="00CD1B38"/>
    <w:rsid w:val="00CD1B96"/>
    <w:rsid w:val="00CD1B9C"/>
    <w:rsid w:val="00CD1BE9"/>
    <w:rsid w:val="00CD1C03"/>
    <w:rsid w:val="00CD1C07"/>
    <w:rsid w:val="00CD1C1E"/>
    <w:rsid w:val="00CD1C74"/>
    <w:rsid w:val="00CD1CC6"/>
    <w:rsid w:val="00CD1D47"/>
    <w:rsid w:val="00CD1E43"/>
    <w:rsid w:val="00CD1EBB"/>
    <w:rsid w:val="00CD1EBE"/>
    <w:rsid w:val="00CD1F0B"/>
    <w:rsid w:val="00CD1F5D"/>
    <w:rsid w:val="00CD2018"/>
    <w:rsid w:val="00CD2025"/>
    <w:rsid w:val="00CD2189"/>
    <w:rsid w:val="00CD2193"/>
    <w:rsid w:val="00CD21A8"/>
    <w:rsid w:val="00CD21D3"/>
    <w:rsid w:val="00CD21F9"/>
    <w:rsid w:val="00CD2217"/>
    <w:rsid w:val="00CD22BE"/>
    <w:rsid w:val="00CD22EA"/>
    <w:rsid w:val="00CD22F3"/>
    <w:rsid w:val="00CD22F4"/>
    <w:rsid w:val="00CD234E"/>
    <w:rsid w:val="00CD23AA"/>
    <w:rsid w:val="00CD23C3"/>
    <w:rsid w:val="00CD23FF"/>
    <w:rsid w:val="00CD242D"/>
    <w:rsid w:val="00CD245C"/>
    <w:rsid w:val="00CD2464"/>
    <w:rsid w:val="00CD246D"/>
    <w:rsid w:val="00CD24C0"/>
    <w:rsid w:val="00CD24C9"/>
    <w:rsid w:val="00CD24CE"/>
    <w:rsid w:val="00CD2554"/>
    <w:rsid w:val="00CD2563"/>
    <w:rsid w:val="00CD25B3"/>
    <w:rsid w:val="00CD2621"/>
    <w:rsid w:val="00CD26C9"/>
    <w:rsid w:val="00CD2723"/>
    <w:rsid w:val="00CD28EF"/>
    <w:rsid w:val="00CD2950"/>
    <w:rsid w:val="00CD2A1E"/>
    <w:rsid w:val="00CD2AC8"/>
    <w:rsid w:val="00CD2AD5"/>
    <w:rsid w:val="00CD2AF0"/>
    <w:rsid w:val="00CD2B0F"/>
    <w:rsid w:val="00CD2B4E"/>
    <w:rsid w:val="00CD2B6B"/>
    <w:rsid w:val="00CD2B89"/>
    <w:rsid w:val="00CD2B8D"/>
    <w:rsid w:val="00CD2B9C"/>
    <w:rsid w:val="00CD2BF7"/>
    <w:rsid w:val="00CD2E19"/>
    <w:rsid w:val="00CD2E5F"/>
    <w:rsid w:val="00CD2EFB"/>
    <w:rsid w:val="00CD2F38"/>
    <w:rsid w:val="00CD2F63"/>
    <w:rsid w:val="00CD2F95"/>
    <w:rsid w:val="00CD2FB8"/>
    <w:rsid w:val="00CD3016"/>
    <w:rsid w:val="00CD303A"/>
    <w:rsid w:val="00CD3078"/>
    <w:rsid w:val="00CD307C"/>
    <w:rsid w:val="00CD30BC"/>
    <w:rsid w:val="00CD3163"/>
    <w:rsid w:val="00CD3165"/>
    <w:rsid w:val="00CD31C8"/>
    <w:rsid w:val="00CD3210"/>
    <w:rsid w:val="00CD32C5"/>
    <w:rsid w:val="00CD333B"/>
    <w:rsid w:val="00CD335C"/>
    <w:rsid w:val="00CD336C"/>
    <w:rsid w:val="00CD3443"/>
    <w:rsid w:val="00CD3453"/>
    <w:rsid w:val="00CD346B"/>
    <w:rsid w:val="00CD3529"/>
    <w:rsid w:val="00CD358A"/>
    <w:rsid w:val="00CD35D7"/>
    <w:rsid w:val="00CD3665"/>
    <w:rsid w:val="00CD366C"/>
    <w:rsid w:val="00CD3707"/>
    <w:rsid w:val="00CD378B"/>
    <w:rsid w:val="00CD381A"/>
    <w:rsid w:val="00CD3842"/>
    <w:rsid w:val="00CD3876"/>
    <w:rsid w:val="00CD38C7"/>
    <w:rsid w:val="00CD3925"/>
    <w:rsid w:val="00CD393C"/>
    <w:rsid w:val="00CD3961"/>
    <w:rsid w:val="00CD399B"/>
    <w:rsid w:val="00CD39C9"/>
    <w:rsid w:val="00CD39FF"/>
    <w:rsid w:val="00CD3A5E"/>
    <w:rsid w:val="00CD3A67"/>
    <w:rsid w:val="00CD3A7C"/>
    <w:rsid w:val="00CD3B63"/>
    <w:rsid w:val="00CD3C35"/>
    <w:rsid w:val="00CD3CC0"/>
    <w:rsid w:val="00CD3CE3"/>
    <w:rsid w:val="00CD3D29"/>
    <w:rsid w:val="00CD3DA8"/>
    <w:rsid w:val="00CD3DE6"/>
    <w:rsid w:val="00CD3E1B"/>
    <w:rsid w:val="00CD3E2B"/>
    <w:rsid w:val="00CD3EB4"/>
    <w:rsid w:val="00CD3EC5"/>
    <w:rsid w:val="00CD3ED4"/>
    <w:rsid w:val="00CD3EEE"/>
    <w:rsid w:val="00CD3F56"/>
    <w:rsid w:val="00CD3FF6"/>
    <w:rsid w:val="00CD4005"/>
    <w:rsid w:val="00CD4045"/>
    <w:rsid w:val="00CD4048"/>
    <w:rsid w:val="00CD4053"/>
    <w:rsid w:val="00CD4079"/>
    <w:rsid w:val="00CD40DC"/>
    <w:rsid w:val="00CD40EC"/>
    <w:rsid w:val="00CD4118"/>
    <w:rsid w:val="00CD415F"/>
    <w:rsid w:val="00CD4184"/>
    <w:rsid w:val="00CD41DA"/>
    <w:rsid w:val="00CD4266"/>
    <w:rsid w:val="00CD4282"/>
    <w:rsid w:val="00CD428B"/>
    <w:rsid w:val="00CD42D9"/>
    <w:rsid w:val="00CD430F"/>
    <w:rsid w:val="00CD4380"/>
    <w:rsid w:val="00CD4399"/>
    <w:rsid w:val="00CD4470"/>
    <w:rsid w:val="00CD449D"/>
    <w:rsid w:val="00CD44A1"/>
    <w:rsid w:val="00CD44B1"/>
    <w:rsid w:val="00CD44EC"/>
    <w:rsid w:val="00CD450E"/>
    <w:rsid w:val="00CD45A4"/>
    <w:rsid w:val="00CD45BD"/>
    <w:rsid w:val="00CD45CA"/>
    <w:rsid w:val="00CD46A7"/>
    <w:rsid w:val="00CD46C3"/>
    <w:rsid w:val="00CD47C8"/>
    <w:rsid w:val="00CD47CE"/>
    <w:rsid w:val="00CD47F8"/>
    <w:rsid w:val="00CD47FC"/>
    <w:rsid w:val="00CD484A"/>
    <w:rsid w:val="00CD486D"/>
    <w:rsid w:val="00CD48EC"/>
    <w:rsid w:val="00CD4914"/>
    <w:rsid w:val="00CD4936"/>
    <w:rsid w:val="00CD4A6B"/>
    <w:rsid w:val="00CD4A72"/>
    <w:rsid w:val="00CD4AA1"/>
    <w:rsid w:val="00CD4B1C"/>
    <w:rsid w:val="00CD4BC6"/>
    <w:rsid w:val="00CD4BEA"/>
    <w:rsid w:val="00CD4C01"/>
    <w:rsid w:val="00CD4C2F"/>
    <w:rsid w:val="00CD4C61"/>
    <w:rsid w:val="00CD4CE8"/>
    <w:rsid w:val="00CD4CF8"/>
    <w:rsid w:val="00CD4CFB"/>
    <w:rsid w:val="00CD4D1A"/>
    <w:rsid w:val="00CD4D6E"/>
    <w:rsid w:val="00CD4DD2"/>
    <w:rsid w:val="00CD4E05"/>
    <w:rsid w:val="00CD4E14"/>
    <w:rsid w:val="00CD4E2B"/>
    <w:rsid w:val="00CD4E7B"/>
    <w:rsid w:val="00CD4ECC"/>
    <w:rsid w:val="00CD4F54"/>
    <w:rsid w:val="00CD4F57"/>
    <w:rsid w:val="00CD4F6F"/>
    <w:rsid w:val="00CD4FD3"/>
    <w:rsid w:val="00CD4FE4"/>
    <w:rsid w:val="00CD500D"/>
    <w:rsid w:val="00CD5024"/>
    <w:rsid w:val="00CD504A"/>
    <w:rsid w:val="00CD5076"/>
    <w:rsid w:val="00CD50B3"/>
    <w:rsid w:val="00CD5112"/>
    <w:rsid w:val="00CD511D"/>
    <w:rsid w:val="00CD5158"/>
    <w:rsid w:val="00CD51DF"/>
    <w:rsid w:val="00CD5268"/>
    <w:rsid w:val="00CD52AC"/>
    <w:rsid w:val="00CD52BC"/>
    <w:rsid w:val="00CD52C6"/>
    <w:rsid w:val="00CD52D8"/>
    <w:rsid w:val="00CD5304"/>
    <w:rsid w:val="00CD5374"/>
    <w:rsid w:val="00CD5387"/>
    <w:rsid w:val="00CD539B"/>
    <w:rsid w:val="00CD53C4"/>
    <w:rsid w:val="00CD54AD"/>
    <w:rsid w:val="00CD54F4"/>
    <w:rsid w:val="00CD550E"/>
    <w:rsid w:val="00CD5513"/>
    <w:rsid w:val="00CD5540"/>
    <w:rsid w:val="00CD55D7"/>
    <w:rsid w:val="00CD55FF"/>
    <w:rsid w:val="00CD5642"/>
    <w:rsid w:val="00CD5663"/>
    <w:rsid w:val="00CD56B3"/>
    <w:rsid w:val="00CD56D8"/>
    <w:rsid w:val="00CD576C"/>
    <w:rsid w:val="00CD5794"/>
    <w:rsid w:val="00CD57F9"/>
    <w:rsid w:val="00CD57FF"/>
    <w:rsid w:val="00CD58D3"/>
    <w:rsid w:val="00CD58D5"/>
    <w:rsid w:val="00CD58F8"/>
    <w:rsid w:val="00CD5948"/>
    <w:rsid w:val="00CD5983"/>
    <w:rsid w:val="00CD59EA"/>
    <w:rsid w:val="00CD59F2"/>
    <w:rsid w:val="00CD5A1E"/>
    <w:rsid w:val="00CD5A45"/>
    <w:rsid w:val="00CD5ABC"/>
    <w:rsid w:val="00CD5B38"/>
    <w:rsid w:val="00CD5B4C"/>
    <w:rsid w:val="00CD5B5B"/>
    <w:rsid w:val="00CD5B68"/>
    <w:rsid w:val="00CD5BCF"/>
    <w:rsid w:val="00CD5C20"/>
    <w:rsid w:val="00CD5C29"/>
    <w:rsid w:val="00CD5CC9"/>
    <w:rsid w:val="00CD5D11"/>
    <w:rsid w:val="00CD5D45"/>
    <w:rsid w:val="00CD5DA0"/>
    <w:rsid w:val="00CD5DAE"/>
    <w:rsid w:val="00CD5E2E"/>
    <w:rsid w:val="00CD5E31"/>
    <w:rsid w:val="00CD5E51"/>
    <w:rsid w:val="00CD5E69"/>
    <w:rsid w:val="00CD5E90"/>
    <w:rsid w:val="00CD5EAC"/>
    <w:rsid w:val="00CD5ED7"/>
    <w:rsid w:val="00CD5F25"/>
    <w:rsid w:val="00CD5F44"/>
    <w:rsid w:val="00CD5F47"/>
    <w:rsid w:val="00CD5F9B"/>
    <w:rsid w:val="00CD5FED"/>
    <w:rsid w:val="00CD60D6"/>
    <w:rsid w:val="00CD61EE"/>
    <w:rsid w:val="00CD61F7"/>
    <w:rsid w:val="00CD623B"/>
    <w:rsid w:val="00CD6261"/>
    <w:rsid w:val="00CD62AF"/>
    <w:rsid w:val="00CD645B"/>
    <w:rsid w:val="00CD6501"/>
    <w:rsid w:val="00CD6543"/>
    <w:rsid w:val="00CD655C"/>
    <w:rsid w:val="00CD65CC"/>
    <w:rsid w:val="00CD65E9"/>
    <w:rsid w:val="00CD65FB"/>
    <w:rsid w:val="00CD6619"/>
    <w:rsid w:val="00CD665B"/>
    <w:rsid w:val="00CD668D"/>
    <w:rsid w:val="00CD672E"/>
    <w:rsid w:val="00CD673D"/>
    <w:rsid w:val="00CD6762"/>
    <w:rsid w:val="00CD679E"/>
    <w:rsid w:val="00CD67C2"/>
    <w:rsid w:val="00CD680C"/>
    <w:rsid w:val="00CD684F"/>
    <w:rsid w:val="00CD688E"/>
    <w:rsid w:val="00CD6896"/>
    <w:rsid w:val="00CD6992"/>
    <w:rsid w:val="00CD69B0"/>
    <w:rsid w:val="00CD69E9"/>
    <w:rsid w:val="00CD6A00"/>
    <w:rsid w:val="00CD6A32"/>
    <w:rsid w:val="00CD6B5A"/>
    <w:rsid w:val="00CD6B87"/>
    <w:rsid w:val="00CD6B8E"/>
    <w:rsid w:val="00CD6B90"/>
    <w:rsid w:val="00CD6BB5"/>
    <w:rsid w:val="00CD6BCA"/>
    <w:rsid w:val="00CD6C08"/>
    <w:rsid w:val="00CD6CBB"/>
    <w:rsid w:val="00CD6CD8"/>
    <w:rsid w:val="00CD6CFA"/>
    <w:rsid w:val="00CD6D09"/>
    <w:rsid w:val="00CD6D1A"/>
    <w:rsid w:val="00CD6D26"/>
    <w:rsid w:val="00CD6D7D"/>
    <w:rsid w:val="00CD6DE8"/>
    <w:rsid w:val="00CD6E37"/>
    <w:rsid w:val="00CD6E94"/>
    <w:rsid w:val="00CD6EB0"/>
    <w:rsid w:val="00CD6F24"/>
    <w:rsid w:val="00CD6FA6"/>
    <w:rsid w:val="00CD6FAB"/>
    <w:rsid w:val="00CD6FDA"/>
    <w:rsid w:val="00CD6FDC"/>
    <w:rsid w:val="00CD6FF1"/>
    <w:rsid w:val="00CD7014"/>
    <w:rsid w:val="00CD70EC"/>
    <w:rsid w:val="00CD712F"/>
    <w:rsid w:val="00CD716D"/>
    <w:rsid w:val="00CD7235"/>
    <w:rsid w:val="00CD7245"/>
    <w:rsid w:val="00CD728A"/>
    <w:rsid w:val="00CD7293"/>
    <w:rsid w:val="00CD7321"/>
    <w:rsid w:val="00CD7341"/>
    <w:rsid w:val="00CD73AE"/>
    <w:rsid w:val="00CD73CA"/>
    <w:rsid w:val="00CD73FA"/>
    <w:rsid w:val="00CD7450"/>
    <w:rsid w:val="00CD7452"/>
    <w:rsid w:val="00CD7458"/>
    <w:rsid w:val="00CD74F3"/>
    <w:rsid w:val="00CD7508"/>
    <w:rsid w:val="00CD7546"/>
    <w:rsid w:val="00CD755B"/>
    <w:rsid w:val="00CD7589"/>
    <w:rsid w:val="00CD75D0"/>
    <w:rsid w:val="00CD7616"/>
    <w:rsid w:val="00CD763A"/>
    <w:rsid w:val="00CD7698"/>
    <w:rsid w:val="00CD76BF"/>
    <w:rsid w:val="00CD76CA"/>
    <w:rsid w:val="00CD771D"/>
    <w:rsid w:val="00CD77A1"/>
    <w:rsid w:val="00CD77A8"/>
    <w:rsid w:val="00CD77F9"/>
    <w:rsid w:val="00CD7876"/>
    <w:rsid w:val="00CD788B"/>
    <w:rsid w:val="00CD78CF"/>
    <w:rsid w:val="00CD78E5"/>
    <w:rsid w:val="00CD78FC"/>
    <w:rsid w:val="00CD792D"/>
    <w:rsid w:val="00CD7945"/>
    <w:rsid w:val="00CD7963"/>
    <w:rsid w:val="00CD7999"/>
    <w:rsid w:val="00CD7A51"/>
    <w:rsid w:val="00CD7A53"/>
    <w:rsid w:val="00CD7A73"/>
    <w:rsid w:val="00CD7B36"/>
    <w:rsid w:val="00CD7B37"/>
    <w:rsid w:val="00CD7B42"/>
    <w:rsid w:val="00CD7C07"/>
    <w:rsid w:val="00CD7C08"/>
    <w:rsid w:val="00CD7C29"/>
    <w:rsid w:val="00CD7C33"/>
    <w:rsid w:val="00CD7C73"/>
    <w:rsid w:val="00CD7CE9"/>
    <w:rsid w:val="00CD7CF3"/>
    <w:rsid w:val="00CD7E22"/>
    <w:rsid w:val="00CD7E6A"/>
    <w:rsid w:val="00CD7E6B"/>
    <w:rsid w:val="00CD7E8D"/>
    <w:rsid w:val="00CD7ED8"/>
    <w:rsid w:val="00CD7EE6"/>
    <w:rsid w:val="00CD7F04"/>
    <w:rsid w:val="00CD7FEB"/>
    <w:rsid w:val="00CE002E"/>
    <w:rsid w:val="00CE0087"/>
    <w:rsid w:val="00CE0107"/>
    <w:rsid w:val="00CE011A"/>
    <w:rsid w:val="00CE014E"/>
    <w:rsid w:val="00CE0169"/>
    <w:rsid w:val="00CE0194"/>
    <w:rsid w:val="00CE01B6"/>
    <w:rsid w:val="00CE0316"/>
    <w:rsid w:val="00CE0340"/>
    <w:rsid w:val="00CE038D"/>
    <w:rsid w:val="00CE03C7"/>
    <w:rsid w:val="00CE0433"/>
    <w:rsid w:val="00CE0481"/>
    <w:rsid w:val="00CE04A9"/>
    <w:rsid w:val="00CE04ED"/>
    <w:rsid w:val="00CE0520"/>
    <w:rsid w:val="00CE0527"/>
    <w:rsid w:val="00CE05D6"/>
    <w:rsid w:val="00CE060E"/>
    <w:rsid w:val="00CE0616"/>
    <w:rsid w:val="00CE063B"/>
    <w:rsid w:val="00CE0694"/>
    <w:rsid w:val="00CE0711"/>
    <w:rsid w:val="00CE0721"/>
    <w:rsid w:val="00CE0732"/>
    <w:rsid w:val="00CE0799"/>
    <w:rsid w:val="00CE079E"/>
    <w:rsid w:val="00CE07C4"/>
    <w:rsid w:val="00CE0802"/>
    <w:rsid w:val="00CE081D"/>
    <w:rsid w:val="00CE08AE"/>
    <w:rsid w:val="00CE090B"/>
    <w:rsid w:val="00CE090E"/>
    <w:rsid w:val="00CE0931"/>
    <w:rsid w:val="00CE0967"/>
    <w:rsid w:val="00CE0982"/>
    <w:rsid w:val="00CE09A8"/>
    <w:rsid w:val="00CE09B5"/>
    <w:rsid w:val="00CE09C7"/>
    <w:rsid w:val="00CE09D7"/>
    <w:rsid w:val="00CE0BF3"/>
    <w:rsid w:val="00CE0C2D"/>
    <w:rsid w:val="00CE0C3F"/>
    <w:rsid w:val="00CE0CDE"/>
    <w:rsid w:val="00CE0D03"/>
    <w:rsid w:val="00CE0D0A"/>
    <w:rsid w:val="00CE0D0E"/>
    <w:rsid w:val="00CE0D26"/>
    <w:rsid w:val="00CE0D92"/>
    <w:rsid w:val="00CE0DD7"/>
    <w:rsid w:val="00CE0E2E"/>
    <w:rsid w:val="00CE0E9E"/>
    <w:rsid w:val="00CE0ED0"/>
    <w:rsid w:val="00CE0F15"/>
    <w:rsid w:val="00CE0FE2"/>
    <w:rsid w:val="00CE0FEA"/>
    <w:rsid w:val="00CE0FF8"/>
    <w:rsid w:val="00CE104E"/>
    <w:rsid w:val="00CE10C2"/>
    <w:rsid w:val="00CE1113"/>
    <w:rsid w:val="00CE1139"/>
    <w:rsid w:val="00CE11BE"/>
    <w:rsid w:val="00CE11CE"/>
    <w:rsid w:val="00CE12F8"/>
    <w:rsid w:val="00CE1343"/>
    <w:rsid w:val="00CE13D5"/>
    <w:rsid w:val="00CE13FE"/>
    <w:rsid w:val="00CE1419"/>
    <w:rsid w:val="00CE143E"/>
    <w:rsid w:val="00CE1441"/>
    <w:rsid w:val="00CE1476"/>
    <w:rsid w:val="00CE158B"/>
    <w:rsid w:val="00CE15B7"/>
    <w:rsid w:val="00CE1636"/>
    <w:rsid w:val="00CE163A"/>
    <w:rsid w:val="00CE16BB"/>
    <w:rsid w:val="00CE16FC"/>
    <w:rsid w:val="00CE171E"/>
    <w:rsid w:val="00CE1753"/>
    <w:rsid w:val="00CE177E"/>
    <w:rsid w:val="00CE1800"/>
    <w:rsid w:val="00CE1891"/>
    <w:rsid w:val="00CE194B"/>
    <w:rsid w:val="00CE196E"/>
    <w:rsid w:val="00CE1A1C"/>
    <w:rsid w:val="00CE1A25"/>
    <w:rsid w:val="00CE1A66"/>
    <w:rsid w:val="00CE1AB4"/>
    <w:rsid w:val="00CE1B88"/>
    <w:rsid w:val="00CE1B8B"/>
    <w:rsid w:val="00CE1D4D"/>
    <w:rsid w:val="00CE1D7C"/>
    <w:rsid w:val="00CE1D94"/>
    <w:rsid w:val="00CE1E01"/>
    <w:rsid w:val="00CE1E37"/>
    <w:rsid w:val="00CE1E59"/>
    <w:rsid w:val="00CE1ED3"/>
    <w:rsid w:val="00CE1F07"/>
    <w:rsid w:val="00CE1F6A"/>
    <w:rsid w:val="00CE1F86"/>
    <w:rsid w:val="00CE1FA3"/>
    <w:rsid w:val="00CE1FBA"/>
    <w:rsid w:val="00CE2070"/>
    <w:rsid w:val="00CE2101"/>
    <w:rsid w:val="00CE2105"/>
    <w:rsid w:val="00CE214D"/>
    <w:rsid w:val="00CE21DC"/>
    <w:rsid w:val="00CE2219"/>
    <w:rsid w:val="00CE2284"/>
    <w:rsid w:val="00CE22A4"/>
    <w:rsid w:val="00CE2419"/>
    <w:rsid w:val="00CE2474"/>
    <w:rsid w:val="00CE2479"/>
    <w:rsid w:val="00CE24BA"/>
    <w:rsid w:val="00CE24BD"/>
    <w:rsid w:val="00CE2508"/>
    <w:rsid w:val="00CE2563"/>
    <w:rsid w:val="00CE25E8"/>
    <w:rsid w:val="00CE25EB"/>
    <w:rsid w:val="00CE262C"/>
    <w:rsid w:val="00CE26DE"/>
    <w:rsid w:val="00CE2783"/>
    <w:rsid w:val="00CE279F"/>
    <w:rsid w:val="00CE27C7"/>
    <w:rsid w:val="00CE27CA"/>
    <w:rsid w:val="00CE27EA"/>
    <w:rsid w:val="00CE2818"/>
    <w:rsid w:val="00CE2838"/>
    <w:rsid w:val="00CE2998"/>
    <w:rsid w:val="00CE29E1"/>
    <w:rsid w:val="00CE2A33"/>
    <w:rsid w:val="00CE2ACC"/>
    <w:rsid w:val="00CE2B26"/>
    <w:rsid w:val="00CE2B45"/>
    <w:rsid w:val="00CE2B74"/>
    <w:rsid w:val="00CE2B78"/>
    <w:rsid w:val="00CE2B8A"/>
    <w:rsid w:val="00CE2BE5"/>
    <w:rsid w:val="00CE2C45"/>
    <w:rsid w:val="00CE2C66"/>
    <w:rsid w:val="00CE2C9C"/>
    <w:rsid w:val="00CE2CB6"/>
    <w:rsid w:val="00CE2D15"/>
    <w:rsid w:val="00CE2D84"/>
    <w:rsid w:val="00CE2DB1"/>
    <w:rsid w:val="00CE2DD3"/>
    <w:rsid w:val="00CE2DE0"/>
    <w:rsid w:val="00CE2E52"/>
    <w:rsid w:val="00CE2E78"/>
    <w:rsid w:val="00CE2ECE"/>
    <w:rsid w:val="00CE2F42"/>
    <w:rsid w:val="00CE2F68"/>
    <w:rsid w:val="00CE3061"/>
    <w:rsid w:val="00CE308A"/>
    <w:rsid w:val="00CE311E"/>
    <w:rsid w:val="00CE31FF"/>
    <w:rsid w:val="00CE3200"/>
    <w:rsid w:val="00CE3204"/>
    <w:rsid w:val="00CE3253"/>
    <w:rsid w:val="00CE325E"/>
    <w:rsid w:val="00CE3270"/>
    <w:rsid w:val="00CE32D6"/>
    <w:rsid w:val="00CE3324"/>
    <w:rsid w:val="00CE3331"/>
    <w:rsid w:val="00CE333C"/>
    <w:rsid w:val="00CE3382"/>
    <w:rsid w:val="00CE33AA"/>
    <w:rsid w:val="00CE33BC"/>
    <w:rsid w:val="00CE33CE"/>
    <w:rsid w:val="00CE33F9"/>
    <w:rsid w:val="00CE3431"/>
    <w:rsid w:val="00CE3439"/>
    <w:rsid w:val="00CE343A"/>
    <w:rsid w:val="00CE3480"/>
    <w:rsid w:val="00CE34C1"/>
    <w:rsid w:val="00CE3504"/>
    <w:rsid w:val="00CE3518"/>
    <w:rsid w:val="00CE356E"/>
    <w:rsid w:val="00CE35CD"/>
    <w:rsid w:val="00CE35E3"/>
    <w:rsid w:val="00CE3617"/>
    <w:rsid w:val="00CE3651"/>
    <w:rsid w:val="00CE36A2"/>
    <w:rsid w:val="00CE36BB"/>
    <w:rsid w:val="00CE36D3"/>
    <w:rsid w:val="00CE372C"/>
    <w:rsid w:val="00CE37B2"/>
    <w:rsid w:val="00CE3832"/>
    <w:rsid w:val="00CE3866"/>
    <w:rsid w:val="00CE386E"/>
    <w:rsid w:val="00CE3877"/>
    <w:rsid w:val="00CE3894"/>
    <w:rsid w:val="00CE38EE"/>
    <w:rsid w:val="00CE3962"/>
    <w:rsid w:val="00CE397D"/>
    <w:rsid w:val="00CE39A7"/>
    <w:rsid w:val="00CE3A15"/>
    <w:rsid w:val="00CE3A23"/>
    <w:rsid w:val="00CE3AA3"/>
    <w:rsid w:val="00CE3AD4"/>
    <w:rsid w:val="00CE3B20"/>
    <w:rsid w:val="00CE3B60"/>
    <w:rsid w:val="00CE3B69"/>
    <w:rsid w:val="00CE3BFB"/>
    <w:rsid w:val="00CE3C23"/>
    <w:rsid w:val="00CE3CC3"/>
    <w:rsid w:val="00CE3D18"/>
    <w:rsid w:val="00CE3DB5"/>
    <w:rsid w:val="00CE3E44"/>
    <w:rsid w:val="00CE3EB5"/>
    <w:rsid w:val="00CE3EC8"/>
    <w:rsid w:val="00CE3ECF"/>
    <w:rsid w:val="00CE3EF2"/>
    <w:rsid w:val="00CE3F6F"/>
    <w:rsid w:val="00CE3FA3"/>
    <w:rsid w:val="00CE3FAF"/>
    <w:rsid w:val="00CE3FED"/>
    <w:rsid w:val="00CE4010"/>
    <w:rsid w:val="00CE401C"/>
    <w:rsid w:val="00CE4079"/>
    <w:rsid w:val="00CE4091"/>
    <w:rsid w:val="00CE4092"/>
    <w:rsid w:val="00CE409A"/>
    <w:rsid w:val="00CE40B6"/>
    <w:rsid w:val="00CE40D4"/>
    <w:rsid w:val="00CE40E7"/>
    <w:rsid w:val="00CE410A"/>
    <w:rsid w:val="00CE411A"/>
    <w:rsid w:val="00CE4134"/>
    <w:rsid w:val="00CE418B"/>
    <w:rsid w:val="00CE41CE"/>
    <w:rsid w:val="00CE41DB"/>
    <w:rsid w:val="00CE4201"/>
    <w:rsid w:val="00CE423B"/>
    <w:rsid w:val="00CE425E"/>
    <w:rsid w:val="00CE4298"/>
    <w:rsid w:val="00CE42EC"/>
    <w:rsid w:val="00CE4391"/>
    <w:rsid w:val="00CE43BD"/>
    <w:rsid w:val="00CE441A"/>
    <w:rsid w:val="00CE448D"/>
    <w:rsid w:val="00CE44AF"/>
    <w:rsid w:val="00CE44CB"/>
    <w:rsid w:val="00CE4574"/>
    <w:rsid w:val="00CE4594"/>
    <w:rsid w:val="00CE45FC"/>
    <w:rsid w:val="00CE4623"/>
    <w:rsid w:val="00CE46AE"/>
    <w:rsid w:val="00CE47BD"/>
    <w:rsid w:val="00CE47D7"/>
    <w:rsid w:val="00CE483A"/>
    <w:rsid w:val="00CE483E"/>
    <w:rsid w:val="00CE4863"/>
    <w:rsid w:val="00CE4885"/>
    <w:rsid w:val="00CE4991"/>
    <w:rsid w:val="00CE49A0"/>
    <w:rsid w:val="00CE4A66"/>
    <w:rsid w:val="00CE4A70"/>
    <w:rsid w:val="00CE4B46"/>
    <w:rsid w:val="00CE4B57"/>
    <w:rsid w:val="00CE4BD0"/>
    <w:rsid w:val="00CE4BD2"/>
    <w:rsid w:val="00CE4C49"/>
    <w:rsid w:val="00CE4C68"/>
    <w:rsid w:val="00CE4CBC"/>
    <w:rsid w:val="00CE4D2B"/>
    <w:rsid w:val="00CE4D56"/>
    <w:rsid w:val="00CE4D58"/>
    <w:rsid w:val="00CE4D94"/>
    <w:rsid w:val="00CE4E79"/>
    <w:rsid w:val="00CE4ED4"/>
    <w:rsid w:val="00CE4EF7"/>
    <w:rsid w:val="00CE4F7C"/>
    <w:rsid w:val="00CE4FA6"/>
    <w:rsid w:val="00CE4FE4"/>
    <w:rsid w:val="00CE4FFD"/>
    <w:rsid w:val="00CE5014"/>
    <w:rsid w:val="00CE50B0"/>
    <w:rsid w:val="00CE511C"/>
    <w:rsid w:val="00CE5128"/>
    <w:rsid w:val="00CE514A"/>
    <w:rsid w:val="00CE5182"/>
    <w:rsid w:val="00CE5193"/>
    <w:rsid w:val="00CE519B"/>
    <w:rsid w:val="00CE51C5"/>
    <w:rsid w:val="00CE51C7"/>
    <w:rsid w:val="00CE5205"/>
    <w:rsid w:val="00CE5214"/>
    <w:rsid w:val="00CE523E"/>
    <w:rsid w:val="00CE528E"/>
    <w:rsid w:val="00CE52BE"/>
    <w:rsid w:val="00CE52D6"/>
    <w:rsid w:val="00CE53D2"/>
    <w:rsid w:val="00CE54B6"/>
    <w:rsid w:val="00CE54C1"/>
    <w:rsid w:val="00CE54C7"/>
    <w:rsid w:val="00CE55B7"/>
    <w:rsid w:val="00CE55D9"/>
    <w:rsid w:val="00CE55E3"/>
    <w:rsid w:val="00CE5630"/>
    <w:rsid w:val="00CE5696"/>
    <w:rsid w:val="00CE569E"/>
    <w:rsid w:val="00CE56EF"/>
    <w:rsid w:val="00CE56F0"/>
    <w:rsid w:val="00CE5784"/>
    <w:rsid w:val="00CE57F0"/>
    <w:rsid w:val="00CE57F2"/>
    <w:rsid w:val="00CE57F4"/>
    <w:rsid w:val="00CE57FB"/>
    <w:rsid w:val="00CE5882"/>
    <w:rsid w:val="00CE58B3"/>
    <w:rsid w:val="00CE5945"/>
    <w:rsid w:val="00CE5A06"/>
    <w:rsid w:val="00CE5A33"/>
    <w:rsid w:val="00CE5AB1"/>
    <w:rsid w:val="00CE5AD6"/>
    <w:rsid w:val="00CE5AF3"/>
    <w:rsid w:val="00CE5AF9"/>
    <w:rsid w:val="00CE5B01"/>
    <w:rsid w:val="00CE5BE1"/>
    <w:rsid w:val="00CE5C34"/>
    <w:rsid w:val="00CE5C36"/>
    <w:rsid w:val="00CE5C86"/>
    <w:rsid w:val="00CE5C98"/>
    <w:rsid w:val="00CE5D09"/>
    <w:rsid w:val="00CE5D8F"/>
    <w:rsid w:val="00CE5DD6"/>
    <w:rsid w:val="00CE5DE7"/>
    <w:rsid w:val="00CE5E0B"/>
    <w:rsid w:val="00CE5E0C"/>
    <w:rsid w:val="00CE5E12"/>
    <w:rsid w:val="00CE5E81"/>
    <w:rsid w:val="00CE5EB3"/>
    <w:rsid w:val="00CE5EEE"/>
    <w:rsid w:val="00CE5F20"/>
    <w:rsid w:val="00CE5F56"/>
    <w:rsid w:val="00CE5F71"/>
    <w:rsid w:val="00CE5FD1"/>
    <w:rsid w:val="00CE600E"/>
    <w:rsid w:val="00CE6057"/>
    <w:rsid w:val="00CE6071"/>
    <w:rsid w:val="00CE6088"/>
    <w:rsid w:val="00CE60BC"/>
    <w:rsid w:val="00CE60C6"/>
    <w:rsid w:val="00CE60E3"/>
    <w:rsid w:val="00CE618A"/>
    <w:rsid w:val="00CE61E7"/>
    <w:rsid w:val="00CE6206"/>
    <w:rsid w:val="00CE624F"/>
    <w:rsid w:val="00CE6293"/>
    <w:rsid w:val="00CE62C4"/>
    <w:rsid w:val="00CE6311"/>
    <w:rsid w:val="00CE63B2"/>
    <w:rsid w:val="00CE64C4"/>
    <w:rsid w:val="00CE64DD"/>
    <w:rsid w:val="00CE64FD"/>
    <w:rsid w:val="00CE6578"/>
    <w:rsid w:val="00CE65BD"/>
    <w:rsid w:val="00CE65C8"/>
    <w:rsid w:val="00CE65FA"/>
    <w:rsid w:val="00CE6630"/>
    <w:rsid w:val="00CE66D6"/>
    <w:rsid w:val="00CE673E"/>
    <w:rsid w:val="00CE676D"/>
    <w:rsid w:val="00CE678C"/>
    <w:rsid w:val="00CE6798"/>
    <w:rsid w:val="00CE67B3"/>
    <w:rsid w:val="00CE67CD"/>
    <w:rsid w:val="00CE6819"/>
    <w:rsid w:val="00CE6A26"/>
    <w:rsid w:val="00CE6A37"/>
    <w:rsid w:val="00CE6AE2"/>
    <w:rsid w:val="00CE6B1A"/>
    <w:rsid w:val="00CE6B20"/>
    <w:rsid w:val="00CE6B3B"/>
    <w:rsid w:val="00CE6B62"/>
    <w:rsid w:val="00CE6B72"/>
    <w:rsid w:val="00CE6B79"/>
    <w:rsid w:val="00CE6B7D"/>
    <w:rsid w:val="00CE6B89"/>
    <w:rsid w:val="00CE6BAA"/>
    <w:rsid w:val="00CE6BD8"/>
    <w:rsid w:val="00CE6C28"/>
    <w:rsid w:val="00CE6CE7"/>
    <w:rsid w:val="00CE6D50"/>
    <w:rsid w:val="00CE6DB0"/>
    <w:rsid w:val="00CE6DE9"/>
    <w:rsid w:val="00CE6E05"/>
    <w:rsid w:val="00CE6E3C"/>
    <w:rsid w:val="00CE6E7D"/>
    <w:rsid w:val="00CE6E84"/>
    <w:rsid w:val="00CE6EA2"/>
    <w:rsid w:val="00CE6ED1"/>
    <w:rsid w:val="00CE6EEB"/>
    <w:rsid w:val="00CE6EFC"/>
    <w:rsid w:val="00CE6F42"/>
    <w:rsid w:val="00CE6F44"/>
    <w:rsid w:val="00CE6F46"/>
    <w:rsid w:val="00CE6F4D"/>
    <w:rsid w:val="00CE6FBE"/>
    <w:rsid w:val="00CE709D"/>
    <w:rsid w:val="00CE70C9"/>
    <w:rsid w:val="00CE7157"/>
    <w:rsid w:val="00CE7236"/>
    <w:rsid w:val="00CE7240"/>
    <w:rsid w:val="00CE7243"/>
    <w:rsid w:val="00CE7264"/>
    <w:rsid w:val="00CE7290"/>
    <w:rsid w:val="00CE72AC"/>
    <w:rsid w:val="00CE72BA"/>
    <w:rsid w:val="00CE72C7"/>
    <w:rsid w:val="00CE72D2"/>
    <w:rsid w:val="00CE731A"/>
    <w:rsid w:val="00CE7361"/>
    <w:rsid w:val="00CE7387"/>
    <w:rsid w:val="00CE73A6"/>
    <w:rsid w:val="00CE73A9"/>
    <w:rsid w:val="00CE740B"/>
    <w:rsid w:val="00CE7443"/>
    <w:rsid w:val="00CE746D"/>
    <w:rsid w:val="00CE74E7"/>
    <w:rsid w:val="00CE7509"/>
    <w:rsid w:val="00CE7556"/>
    <w:rsid w:val="00CE7593"/>
    <w:rsid w:val="00CE75CB"/>
    <w:rsid w:val="00CE75EB"/>
    <w:rsid w:val="00CE75FA"/>
    <w:rsid w:val="00CE7614"/>
    <w:rsid w:val="00CE7638"/>
    <w:rsid w:val="00CE763A"/>
    <w:rsid w:val="00CE7649"/>
    <w:rsid w:val="00CE7709"/>
    <w:rsid w:val="00CE772C"/>
    <w:rsid w:val="00CE7735"/>
    <w:rsid w:val="00CE7747"/>
    <w:rsid w:val="00CE7801"/>
    <w:rsid w:val="00CE780D"/>
    <w:rsid w:val="00CE7820"/>
    <w:rsid w:val="00CE7832"/>
    <w:rsid w:val="00CE7889"/>
    <w:rsid w:val="00CE78EE"/>
    <w:rsid w:val="00CE7943"/>
    <w:rsid w:val="00CE794D"/>
    <w:rsid w:val="00CE79C1"/>
    <w:rsid w:val="00CE79C7"/>
    <w:rsid w:val="00CE7A03"/>
    <w:rsid w:val="00CE7AC2"/>
    <w:rsid w:val="00CE7B0C"/>
    <w:rsid w:val="00CE7B6C"/>
    <w:rsid w:val="00CE7B70"/>
    <w:rsid w:val="00CE7BAB"/>
    <w:rsid w:val="00CE7C60"/>
    <w:rsid w:val="00CE7C8F"/>
    <w:rsid w:val="00CE7D66"/>
    <w:rsid w:val="00CE7DE5"/>
    <w:rsid w:val="00CE7E46"/>
    <w:rsid w:val="00CE7E55"/>
    <w:rsid w:val="00CE7EB2"/>
    <w:rsid w:val="00CE7ECC"/>
    <w:rsid w:val="00CE7ECF"/>
    <w:rsid w:val="00CE7EDA"/>
    <w:rsid w:val="00CE7F05"/>
    <w:rsid w:val="00CE7F84"/>
    <w:rsid w:val="00CE7FDD"/>
    <w:rsid w:val="00CE7FFB"/>
    <w:rsid w:val="00CF0039"/>
    <w:rsid w:val="00CF008A"/>
    <w:rsid w:val="00CF013A"/>
    <w:rsid w:val="00CF018E"/>
    <w:rsid w:val="00CF0193"/>
    <w:rsid w:val="00CF0227"/>
    <w:rsid w:val="00CF023A"/>
    <w:rsid w:val="00CF024B"/>
    <w:rsid w:val="00CF0275"/>
    <w:rsid w:val="00CF02AD"/>
    <w:rsid w:val="00CF02DE"/>
    <w:rsid w:val="00CF038C"/>
    <w:rsid w:val="00CF038F"/>
    <w:rsid w:val="00CF03DA"/>
    <w:rsid w:val="00CF03EC"/>
    <w:rsid w:val="00CF046C"/>
    <w:rsid w:val="00CF048D"/>
    <w:rsid w:val="00CF0519"/>
    <w:rsid w:val="00CF0530"/>
    <w:rsid w:val="00CF0557"/>
    <w:rsid w:val="00CF055D"/>
    <w:rsid w:val="00CF0681"/>
    <w:rsid w:val="00CF0720"/>
    <w:rsid w:val="00CF073C"/>
    <w:rsid w:val="00CF0824"/>
    <w:rsid w:val="00CF08FF"/>
    <w:rsid w:val="00CF092A"/>
    <w:rsid w:val="00CF0A20"/>
    <w:rsid w:val="00CF0A2C"/>
    <w:rsid w:val="00CF0A9B"/>
    <w:rsid w:val="00CF0B00"/>
    <w:rsid w:val="00CF0B1A"/>
    <w:rsid w:val="00CF0BC6"/>
    <w:rsid w:val="00CF0BC8"/>
    <w:rsid w:val="00CF0C7C"/>
    <w:rsid w:val="00CF0CEE"/>
    <w:rsid w:val="00CF0D13"/>
    <w:rsid w:val="00CF0D44"/>
    <w:rsid w:val="00CF0DF5"/>
    <w:rsid w:val="00CF0EB5"/>
    <w:rsid w:val="00CF0F10"/>
    <w:rsid w:val="00CF0F2E"/>
    <w:rsid w:val="00CF0F58"/>
    <w:rsid w:val="00CF0F5C"/>
    <w:rsid w:val="00CF0FEB"/>
    <w:rsid w:val="00CF1002"/>
    <w:rsid w:val="00CF101B"/>
    <w:rsid w:val="00CF1072"/>
    <w:rsid w:val="00CF1090"/>
    <w:rsid w:val="00CF10DD"/>
    <w:rsid w:val="00CF111B"/>
    <w:rsid w:val="00CF1124"/>
    <w:rsid w:val="00CF112B"/>
    <w:rsid w:val="00CF1148"/>
    <w:rsid w:val="00CF1160"/>
    <w:rsid w:val="00CF116B"/>
    <w:rsid w:val="00CF11BD"/>
    <w:rsid w:val="00CF11C0"/>
    <w:rsid w:val="00CF11E7"/>
    <w:rsid w:val="00CF11F1"/>
    <w:rsid w:val="00CF1221"/>
    <w:rsid w:val="00CF1222"/>
    <w:rsid w:val="00CF124C"/>
    <w:rsid w:val="00CF1259"/>
    <w:rsid w:val="00CF125F"/>
    <w:rsid w:val="00CF1293"/>
    <w:rsid w:val="00CF1294"/>
    <w:rsid w:val="00CF12DF"/>
    <w:rsid w:val="00CF12EC"/>
    <w:rsid w:val="00CF133C"/>
    <w:rsid w:val="00CF1350"/>
    <w:rsid w:val="00CF138D"/>
    <w:rsid w:val="00CF145E"/>
    <w:rsid w:val="00CF1477"/>
    <w:rsid w:val="00CF14CD"/>
    <w:rsid w:val="00CF14E2"/>
    <w:rsid w:val="00CF1521"/>
    <w:rsid w:val="00CF155D"/>
    <w:rsid w:val="00CF15FB"/>
    <w:rsid w:val="00CF1643"/>
    <w:rsid w:val="00CF16F9"/>
    <w:rsid w:val="00CF1793"/>
    <w:rsid w:val="00CF17FD"/>
    <w:rsid w:val="00CF1882"/>
    <w:rsid w:val="00CF193D"/>
    <w:rsid w:val="00CF19DF"/>
    <w:rsid w:val="00CF1A5B"/>
    <w:rsid w:val="00CF1A62"/>
    <w:rsid w:val="00CF1B63"/>
    <w:rsid w:val="00CF1C06"/>
    <w:rsid w:val="00CF1C1E"/>
    <w:rsid w:val="00CF1D49"/>
    <w:rsid w:val="00CF1D74"/>
    <w:rsid w:val="00CF1D8D"/>
    <w:rsid w:val="00CF1DAE"/>
    <w:rsid w:val="00CF1DB2"/>
    <w:rsid w:val="00CF1DFD"/>
    <w:rsid w:val="00CF1E52"/>
    <w:rsid w:val="00CF1F14"/>
    <w:rsid w:val="00CF1F76"/>
    <w:rsid w:val="00CF1FC3"/>
    <w:rsid w:val="00CF202C"/>
    <w:rsid w:val="00CF2067"/>
    <w:rsid w:val="00CF20A3"/>
    <w:rsid w:val="00CF2116"/>
    <w:rsid w:val="00CF212F"/>
    <w:rsid w:val="00CF2131"/>
    <w:rsid w:val="00CF2183"/>
    <w:rsid w:val="00CF2184"/>
    <w:rsid w:val="00CF21A5"/>
    <w:rsid w:val="00CF21BA"/>
    <w:rsid w:val="00CF2293"/>
    <w:rsid w:val="00CF2328"/>
    <w:rsid w:val="00CF2397"/>
    <w:rsid w:val="00CF23D2"/>
    <w:rsid w:val="00CF23E8"/>
    <w:rsid w:val="00CF2404"/>
    <w:rsid w:val="00CF241A"/>
    <w:rsid w:val="00CF2444"/>
    <w:rsid w:val="00CF2450"/>
    <w:rsid w:val="00CF246D"/>
    <w:rsid w:val="00CF248E"/>
    <w:rsid w:val="00CF24A8"/>
    <w:rsid w:val="00CF2542"/>
    <w:rsid w:val="00CF2545"/>
    <w:rsid w:val="00CF256A"/>
    <w:rsid w:val="00CF2577"/>
    <w:rsid w:val="00CF25BB"/>
    <w:rsid w:val="00CF25E1"/>
    <w:rsid w:val="00CF2607"/>
    <w:rsid w:val="00CF260F"/>
    <w:rsid w:val="00CF261F"/>
    <w:rsid w:val="00CF262E"/>
    <w:rsid w:val="00CF2674"/>
    <w:rsid w:val="00CF26AD"/>
    <w:rsid w:val="00CF2710"/>
    <w:rsid w:val="00CF2777"/>
    <w:rsid w:val="00CF277A"/>
    <w:rsid w:val="00CF277D"/>
    <w:rsid w:val="00CF27A6"/>
    <w:rsid w:val="00CF28F9"/>
    <w:rsid w:val="00CF2912"/>
    <w:rsid w:val="00CF2994"/>
    <w:rsid w:val="00CF29AE"/>
    <w:rsid w:val="00CF29E2"/>
    <w:rsid w:val="00CF2A8A"/>
    <w:rsid w:val="00CF2ABC"/>
    <w:rsid w:val="00CF2B1D"/>
    <w:rsid w:val="00CF2B64"/>
    <w:rsid w:val="00CF2BA0"/>
    <w:rsid w:val="00CF2BE6"/>
    <w:rsid w:val="00CF2C67"/>
    <w:rsid w:val="00CF2C95"/>
    <w:rsid w:val="00CF2CBF"/>
    <w:rsid w:val="00CF2CC3"/>
    <w:rsid w:val="00CF2CE4"/>
    <w:rsid w:val="00CF2CE9"/>
    <w:rsid w:val="00CF2D33"/>
    <w:rsid w:val="00CF2D3C"/>
    <w:rsid w:val="00CF2D89"/>
    <w:rsid w:val="00CF2DC5"/>
    <w:rsid w:val="00CF2DCF"/>
    <w:rsid w:val="00CF2DE0"/>
    <w:rsid w:val="00CF2E01"/>
    <w:rsid w:val="00CF2ECB"/>
    <w:rsid w:val="00CF2F28"/>
    <w:rsid w:val="00CF2F78"/>
    <w:rsid w:val="00CF2FF9"/>
    <w:rsid w:val="00CF3010"/>
    <w:rsid w:val="00CF3040"/>
    <w:rsid w:val="00CF30E1"/>
    <w:rsid w:val="00CF3152"/>
    <w:rsid w:val="00CF3160"/>
    <w:rsid w:val="00CF3174"/>
    <w:rsid w:val="00CF3198"/>
    <w:rsid w:val="00CF3199"/>
    <w:rsid w:val="00CF31AE"/>
    <w:rsid w:val="00CF31C0"/>
    <w:rsid w:val="00CF31D3"/>
    <w:rsid w:val="00CF334E"/>
    <w:rsid w:val="00CF3401"/>
    <w:rsid w:val="00CF3416"/>
    <w:rsid w:val="00CF347A"/>
    <w:rsid w:val="00CF349F"/>
    <w:rsid w:val="00CF34B9"/>
    <w:rsid w:val="00CF34CA"/>
    <w:rsid w:val="00CF354E"/>
    <w:rsid w:val="00CF35E5"/>
    <w:rsid w:val="00CF35E8"/>
    <w:rsid w:val="00CF35FE"/>
    <w:rsid w:val="00CF3605"/>
    <w:rsid w:val="00CF3608"/>
    <w:rsid w:val="00CF363E"/>
    <w:rsid w:val="00CF365A"/>
    <w:rsid w:val="00CF3851"/>
    <w:rsid w:val="00CF38E8"/>
    <w:rsid w:val="00CF39D6"/>
    <w:rsid w:val="00CF39D8"/>
    <w:rsid w:val="00CF3A1B"/>
    <w:rsid w:val="00CF3A23"/>
    <w:rsid w:val="00CF3A26"/>
    <w:rsid w:val="00CF3A46"/>
    <w:rsid w:val="00CF3A5A"/>
    <w:rsid w:val="00CF3A97"/>
    <w:rsid w:val="00CF3B02"/>
    <w:rsid w:val="00CF3B26"/>
    <w:rsid w:val="00CF3B55"/>
    <w:rsid w:val="00CF3B67"/>
    <w:rsid w:val="00CF3BAA"/>
    <w:rsid w:val="00CF3BB7"/>
    <w:rsid w:val="00CF3BBE"/>
    <w:rsid w:val="00CF3BC2"/>
    <w:rsid w:val="00CF3C2F"/>
    <w:rsid w:val="00CF3C50"/>
    <w:rsid w:val="00CF3C6D"/>
    <w:rsid w:val="00CF3C8F"/>
    <w:rsid w:val="00CF3D22"/>
    <w:rsid w:val="00CF3D8F"/>
    <w:rsid w:val="00CF3DEE"/>
    <w:rsid w:val="00CF3E00"/>
    <w:rsid w:val="00CF3E01"/>
    <w:rsid w:val="00CF3E3F"/>
    <w:rsid w:val="00CF3E9D"/>
    <w:rsid w:val="00CF3F4B"/>
    <w:rsid w:val="00CF3F73"/>
    <w:rsid w:val="00CF3FB5"/>
    <w:rsid w:val="00CF3FE4"/>
    <w:rsid w:val="00CF400E"/>
    <w:rsid w:val="00CF405B"/>
    <w:rsid w:val="00CF4083"/>
    <w:rsid w:val="00CF4090"/>
    <w:rsid w:val="00CF40A7"/>
    <w:rsid w:val="00CF40CE"/>
    <w:rsid w:val="00CF411A"/>
    <w:rsid w:val="00CF4136"/>
    <w:rsid w:val="00CF4157"/>
    <w:rsid w:val="00CF4203"/>
    <w:rsid w:val="00CF420C"/>
    <w:rsid w:val="00CF4231"/>
    <w:rsid w:val="00CF4245"/>
    <w:rsid w:val="00CF4268"/>
    <w:rsid w:val="00CF4282"/>
    <w:rsid w:val="00CF42BA"/>
    <w:rsid w:val="00CF42DD"/>
    <w:rsid w:val="00CF430C"/>
    <w:rsid w:val="00CF432D"/>
    <w:rsid w:val="00CF4339"/>
    <w:rsid w:val="00CF433D"/>
    <w:rsid w:val="00CF43D8"/>
    <w:rsid w:val="00CF4447"/>
    <w:rsid w:val="00CF4486"/>
    <w:rsid w:val="00CF44D4"/>
    <w:rsid w:val="00CF44FC"/>
    <w:rsid w:val="00CF4504"/>
    <w:rsid w:val="00CF4559"/>
    <w:rsid w:val="00CF4572"/>
    <w:rsid w:val="00CF4593"/>
    <w:rsid w:val="00CF45C4"/>
    <w:rsid w:val="00CF4600"/>
    <w:rsid w:val="00CF4664"/>
    <w:rsid w:val="00CF46E3"/>
    <w:rsid w:val="00CF478E"/>
    <w:rsid w:val="00CF4798"/>
    <w:rsid w:val="00CF47C7"/>
    <w:rsid w:val="00CF4829"/>
    <w:rsid w:val="00CF484A"/>
    <w:rsid w:val="00CF48D7"/>
    <w:rsid w:val="00CF48DC"/>
    <w:rsid w:val="00CF49C9"/>
    <w:rsid w:val="00CF4A58"/>
    <w:rsid w:val="00CF4AC1"/>
    <w:rsid w:val="00CF4ADE"/>
    <w:rsid w:val="00CF4C16"/>
    <w:rsid w:val="00CF4CF8"/>
    <w:rsid w:val="00CF4D52"/>
    <w:rsid w:val="00CF4D8C"/>
    <w:rsid w:val="00CF4E02"/>
    <w:rsid w:val="00CF4EDF"/>
    <w:rsid w:val="00CF4F9B"/>
    <w:rsid w:val="00CF4FA5"/>
    <w:rsid w:val="00CF500C"/>
    <w:rsid w:val="00CF505C"/>
    <w:rsid w:val="00CF509C"/>
    <w:rsid w:val="00CF50B1"/>
    <w:rsid w:val="00CF50CB"/>
    <w:rsid w:val="00CF50E4"/>
    <w:rsid w:val="00CF50ED"/>
    <w:rsid w:val="00CF51C0"/>
    <w:rsid w:val="00CF51C2"/>
    <w:rsid w:val="00CF51C3"/>
    <w:rsid w:val="00CF51ED"/>
    <w:rsid w:val="00CF51F5"/>
    <w:rsid w:val="00CF521E"/>
    <w:rsid w:val="00CF5296"/>
    <w:rsid w:val="00CF5320"/>
    <w:rsid w:val="00CF5325"/>
    <w:rsid w:val="00CF5333"/>
    <w:rsid w:val="00CF5435"/>
    <w:rsid w:val="00CF54A4"/>
    <w:rsid w:val="00CF54C0"/>
    <w:rsid w:val="00CF5555"/>
    <w:rsid w:val="00CF5557"/>
    <w:rsid w:val="00CF556A"/>
    <w:rsid w:val="00CF564D"/>
    <w:rsid w:val="00CF568F"/>
    <w:rsid w:val="00CF569A"/>
    <w:rsid w:val="00CF56EA"/>
    <w:rsid w:val="00CF57EB"/>
    <w:rsid w:val="00CF5873"/>
    <w:rsid w:val="00CF58B0"/>
    <w:rsid w:val="00CF58C7"/>
    <w:rsid w:val="00CF5945"/>
    <w:rsid w:val="00CF5A11"/>
    <w:rsid w:val="00CF5A1E"/>
    <w:rsid w:val="00CF5A52"/>
    <w:rsid w:val="00CF5AF2"/>
    <w:rsid w:val="00CF5B65"/>
    <w:rsid w:val="00CF5C0D"/>
    <w:rsid w:val="00CF5C11"/>
    <w:rsid w:val="00CF5C2E"/>
    <w:rsid w:val="00CF5C6C"/>
    <w:rsid w:val="00CF5C72"/>
    <w:rsid w:val="00CF5CB5"/>
    <w:rsid w:val="00CF5CCE"/>
    <w:rsid w:val="00CF5CD8"/>
    <w:rsid w:val="00CF5D06"/>
    <w:rsid w:val="00CF5D57"/>
    <w:rsid w:val="00CF5D5C"/>
    <w:rsid w:val="00CF5D5D"/>
    <w:rsid w:val="00CF5D66"/>
    <w:rsid w:val="00CF5D6A"/>
    <w:rsid w:val="00CF5D71"/>
    <w:rsid w:val="00CF5DC9"/>
    <w:rsid w:val="00CF5F12"/>
    <w:rsid w:val="00CF5FA9"/>
    <w:rsid w:val="00CF5FB2"/>
    <w:rsid w:val="00CF5FBA"/>
    <w:rsid w:val="00CF5FC4"/>
    <w:rsid w:val="00CF6089"/>
    <w:rsid w:val="00CF6108"/>
    <w:rsid w:val="00CF614F"/>
    <w:rsid w:val="00CF617B"/>
    <w:rsid w:val="00CF622E"/>
    <w:rsid w:val="00CF623C"/>
    <w:rsid w:val="00CF635D"/>
    <w:rsid w:val="00CF6387"/>
    <w:rsid w:val="00CF646A"/>
    <w:rsid w:val="00CF65E0"/>
    <w:rsid w:val="00CF6624"/>
    <w:rsid w:val="00CF663C"/>
    <w:rsid w:val="00CF6659"/>
    <w:rsid w:val="00CF6771"/>
    <w:rsid w:val="00CF6772"/>
    <w:rsid w:val="00CF67A2"/>
    <w:rsid w:val="00CF67EF"/>
    <w:rsid w:val="00CF6857"/>
    <w:rsid w:val="00CF6860"/>
    <w:rsid w:val="00CF687D"/>
    <w:rsid w:val="00CF68CF"/>
    <w:rsid w:val="00CF6938"/>
    <w:rsid w:val="00CF6941"/>
    <w:rsid w:val="00CF696F"/>
    <w:rsid w:val="00CF6A61"/>
    <w:rsid w:val="00CF6A80"/>
    <w:rsid w:val="00CF6AA0"/>
    <w:rsid w:val="00CF6AF0"/>
    <w:rsid w:val="00CF6AF2"/>
    <w:rsid w:val="00CF6B8E"/>
    <w:rsid w:val="00CF6B98"/>
    <w:rsid w:val="00CF6BC7"/>
    <w:rsid w:val="00CF6BCE"/>
    <w:rsid w:val="00CF6BD2"/>
    <w:rsid w:val="00CF6BDD"/>
    <w:rsid w:val="00CF6C0D"/>
    <w:rsid w:val="00CF6C2C"/>
    <w:rsid w:val="00CF6C33"/>
    <w:rsid w:val="00CF6CEB"/>
    <w:rsid w:val="00CF6D36"/>
    <w:rsid w:val="00CF6D55"/>
    <w:rsid w:val="00CF6D80"/>
    <w:rsid w:val="00CF6D8E"/>
    <w:rsid w:val="00CF6DD0"/>
    <w:rsid w:val="00CF6DDE"/>
    <w:rsid w:val="00CF6E83"/>
    <w:rsid w:val="00CF7003"/>
    <w:rsid w:val="00CF706F"/>
    <w:rsid w:val="00CF708A"/>
    <w:rsid w:val="00CF70B0"/>
    <w:rsid w:val="00CF70BC"/>
    <w:rsid w:val="00CF711B"/>
    <w:rsid w:val="00CF71B6"/>
    <w:rsid w:val="00CF71FC"/>
    <w:rsid w:val="00CF725F"/>
    <w:rsid w:val="00CF72D9"/>
    <w:rsid w:val="00CF7361"/>
    <w:rsid w:val="00CF7365"/>
    <w:rsid w:val="00CF73AC"/>
    <w:rsid w:val="00CF7461"/>
    <w:rsid w:val="00CF7472"/>
    <w:rsid w:val="00CF747C"/>
    <w:rsid w:val="00CF74D9"/>
    <w:rsid w:val="00CF74F7"/>
    <w:rsid w:val="00CF756C"/>
    <w:rsid w:val="00CF7577"/>
    <w:rsid w:val="00CF75BF"/>
    <w:rsid w:val="00CF75D1"/>
    <w:rsid w:val="00CF75F5"/>
    <w:rsid w:val="00CF7639"/>
    <w:rsid w:val="00CF76C0"/>
    <w:rsid w:val="00CF76E6"/>
    <w:rsid w:val="00CF7754"/>
    <w:rsid w:val="00CF779A"/>
    <w:rsid w:val="00CF77A0"/>
    <w:rsid w:val="00CF77F8"/>
    <w:rsid w:val="00CF7889"/>
    <w:rsid w:val="00CF790F"/>
    <w:rsid w:val="00CF79C4"/>
    <w:rsid w:val="00CF79DE"/>
    <w:rsid w:val="00CF79E4"/>
    <w:rsid w:val="00CF7A22"/>
    <w:rsid w:val="00CF7BC6"/>
    <w:rsid w:val="00CF7C01"/>
    <w:rsid w:val="00CF7C49"/>
    <w:rsid w:val="00CF7C62"/>
    <w:rsid w:val="00CF7C72"/>
    <w:rsid w:val="00CF7CC2"/>
    <w:rsid w:val="00CF7CD0"/>
    <w:rsid w:val="00CF7CD8"/>
    <w:rsid w:val="00CF7CFD"/>
    <w:rsid w:val="00CF7D7B"/>
    <w:rsid w:val="00CF7DE4"/>
    <w:rsid w:val="00CF7E27"/>
    <w:rsid w:val="00CF7E6B"/>
    <w:rsid w:val="00CF7E95"/>
    <w:rsid w:val="00CF7F30"/>
    <w:rsid w:val="00CF7FB2"/>
    <w:rsid w:val="00D00021"/>
    <w:rsid w:val="00D0008B"/>
    <w:rsid w:val="00D000DE"/>
    <w:rsid w:val="00D0017B"/>
    <w:rsid w:val="00D00198"/>
    <w:rsid w:val="00D00240"/>
    <w:rsid w:val="00D003F4"/>
    <w:rsid w:val="00D00408"/>
    <w:rsid w:val="00D0040F"/>
    <w:rsid w:val="00D0047E"/>
    <w:rsid w:val="00D004CE"/>
    <w:rsid w:val="00D004F7"/>
    <w:rsid w:val="00D00541"/>
    <w:rsid w:val="00D005DD"/>
    <w:rsid w:val="00D00618"/>
    <w:rsid w:val="00D0064C"/>
    <w:rsid w:val="00D006B7"/>
    <w:rsid w:val="00D006F6"/>
    <w:rsid w:val="00D00710"/>
    <w:rsid w:val="00D0083B"/>
    <w:rsid w:val="00D00841"/>
    <w:rsid w:val="00D00857"/>
    <w:rsid w:val="00D00894"/>
    <w:rsid w:val="00D008C3"/>
    <w:rsid w:val="00D00910"/>
    <w:rsid w:val="00D0093B"/>
    <w:rsid w:val="00D00960"/>
    <w:rsid w:val="00D00969"/>
    <w:rsid w:val="00D009B1"/>
    <w:rsid w:val="00D009EF"/>
    <w:rsid w:val="00D00A0E"/>
    <w:rsid w:val="00D00A61"/>
    <w:rsid w:val="00D00A6C"/>
    <w:rsid w:val="00D00AB8"/>
    <w:rsid w:val="00D00B4C"/>
    <w:rsid w:val="00D00B74"/>
    <w:rsid w:val="00D00C1E"/>
    <w:rsid w:val="00D00C23"/>
    <w:rsid w:val="00D00C33"/>
    <w:rsid w:val="00D00C38"/>
    <w:rsid w:val="00D00C78"/>
    <w:rsid w:val="00D00C7C"/>
    <w:rsid w:val="00D00C8F"/>
    <w:rsid w:val="00D00EC4"/>
    <w:rsid w:val="00D00EF3"/>
    <w:rsid w:val="00D00F0E"/>
    <w:rsid w:val="00D00F1B"/>
    <w:rsid w:val="00D00F28"/>
    <w:rsid w:val="00D00F32"/>
    <w:rsid w:val="00D00F63"/>
    <w:rsid w:val="00D00F79"/>
    <w:rsid w:val="00D00F81"/>
    <w:rsid w:val="00D00FBA"/>
    <w:rsid w:val="00D010AD"/>
    <w:rsid w:val="00D01109"/>
    <w:rsid w:val="00D01199"/>
    <w:rsid w:val="00D0127F"/>
    <w:rsid w:val="00D012D6"/>
    <w:rsid w:val="00D012EB"/>
    <w:rsid w:val="00D012FF"/>
    <w:rsid w:val="00D01341"/>
    <w:rsid w:val="00D01349"/>
    <w:rsid w:val="00D01383"/>
    <w:rsid w:val="00D01399"/>
    <w:rsid w:val="00D0139F"/>
    <w:rsid w:val="00D0149F"/>
    <w:rsid w:val="00D014A1"/>
    <w:rsid w:val="00D014B0"/>
    <w:rsid w:val="00D014DE"/>
    <w:rsid w:val="00D01500"/>
    <w:rsid w:val="00D0154A"/>
    <w:rsid w:val="00D0155C"/>
    <w:rsid w:val="00D015D1"/>
    <w:rsid w:val="00D01646"/>
    <w:rsid w:val="00D01665"/>
    <w:rsid w:val="00D01666"/>
    <w:rsid w:val="00D0167A"/>
    <w:rsid w:val="00D01685"/>
    <w:rsid w:val="00D016C1"/>
    <w:rsid w:val="00D01742"/>
    <w:rsid w:val="00D01743"/>
    <w:rsid w:val="00D0174D"/>
    <w:rsid w:val="00D01761"/>
    <w:rsid w:val="00D01794"/>
    <w:rsid w:val="00D0179A"/>
    <w:rsid w:val="00D017AC"/>
    <w:rsid w:val="00D017F3"/>
    <w:rsid w:val="00D018D5"/>
    <w:rsid w:val="00D0191A"/>
    <w:rsid w:val="00D019B0"/>
    <w:rsid w:val="00D019B8"/>
    <w:rsid w:val="00D019E4"/>
    <w:rsid w:val="00D01B2A"/>
    <w:rsid w:val="00D01B74"/>
    <w:rsid w:val="00D01B7A"/>
    <w:rsid w:val="00D01BB4"/>
    <w:rsid w:val="00D01C07"/>
    <w:rsid w:val="00D01C32"/>
    <w:rsid w:val="00D01C83"/>
    <w:rsid w:val="00D01C8A"/>
    <w:rsid w:val="00D01C99"/>
    <w:rsid w:val="00D01CC7"/>
    <w:rsid w:val="00D01CE2"/>
    <w:rsid w:val="00D01E06"/>
    <w:rsid w:val="00D01EE7"/>
    <w:rsid w:val="00D01EF5"/>
    <w:rsid w:val="00D01F3C"/>
    <w:rsid w:val="00D01F4E"/>
    <w:rsid w:val="00D01FCE"/>
    <w:rsid w:val="00D01FEE"/>
    <w:rsid w:val="00D0216A"/>
    <w:rsid w:val="00D02175"/>
    <w:rsid w:val="00D02182"/>
    <w:rsid w:val="00D021B9"/>
    <w:rsid w:val="00D021D5"/>
    <w:rsid w:val="00D021DF"/>
    <w:rsid w:val="00D02250"/>
    <w:rsid w:val="00D0229B"/>
    <w:rsid w:val="00D022F6"/>
    <w:rsid w:val="00D02318"/>
    <w:rsid w:val="00D023E9"/>
    <w:rsid w:val="00D023ED"/>
    <w:rsid w:val="00D02413"/>
    <w:rsid w:val="00D02450"/>
    <w:rsid w:val="00D024D4"/>
    <w:rsid w:val="00D025D6"/>
    <w:rsid w:val="00D02620"/>
    <w:rsid w:val="00D0262C"/>
    <w:rsid w:val="00D02659"/>
    <w:rsid w:val="00D02672"/>
    <w:rsid w:val="00D026B7"/>
    <w:rsid w:val="00D026CD"/>
    <w:rsid w:val="00D026D9"/>
    <w:rsid w:val="00D026F8"/>
    <w:rsid w:val="00D02743"/>
    <w:rsid w:val="00D0274B"/>
    <w:rsid w:val="00D0275E"/>
    <w:rsid w:val="00D0277F"/>
    <w:rsid w:val="00D027C9"/>
    <w:rsid w:val="00D02800"/>
    <w:rsid w:val="00D02844"/>
    <w:rsid w:val="00D02849"/>
    <w:rsid w:val="00D02895"/>
    <w:rsid w:val="00D028ED"/>
    <w:rsid w:val="00D028F5"/>
    <w:rsid w:val="00D02928"/>
    <w:rsid w:val="00D02937"/>
    <w:rsid w:val="00D029A7"/>
    <w:rsid w:val="00D029B2"/>
    <w:rsid w:val="00D02A2D"/>
    <w:rsid w:val="00D02A5C"/>
    <w:rsid w:val="00D02AA5"/>
    <w:rsid w:val="00D02AB0"/>
    <w:rsid w:val="00D02B0E"/>
    <w:rsid w:val="00D02B1E"/>
    <w:rsid w:val="00D02B5D"/>
    <w:rsid w:val="00D02B7D"/>
    <w:rsid w:val="00D02BAD"/>
    <w:rsid w:val="00D02BAE"/>
    <w:rsid w:val="00D02BB8"/>
    <w:rsid w:val="00D02BD7"/>
    <w:rsid w:val="00D02BF5"/>
    <w:rsid w:val="00D02C6F"/>
    <w:rsid w:val="00D02C8D"/>
    <w:rsid w:val="00D02D11"/>
    <w:rsid w:val="00D02D4D"/>
    <w:rsid w:val="00D02D99"/>
    <w:rsid w:val="00D02DE4"/>
    <w:rsid w:val="00D02DFA"/>
    <w:rsid w:val="00D02E04"/>
    <w:rsid w:val="00D02E68"/>
    <w:rsid w:val="00D02E80"/>
    <w:rsid w:val="00D02ECF"/>
    <w:rsid w:val="00D02EE4"/>
    <w:rsid w:val="00D02F28"/>
    <w:rsid w:val="00D02F60"/>
    <w:rsid w:val="00D02F76"/>
    <w:rsid w:val="00D02F80"/>
    <w:rsid w:val="00D02FD0"/>
    <w:rsid w:val="00D02FD5"/>
    <w:rsid w:val="00D03088"/>
    <w:rsid w:val="00D030FB"/>
    <w:rsid w:val="00D03194"/>
    <w:rsid w:val="00D031EE"/>
    <w:rsid w:val="00D0320C"/>
    <w:rsid w:val="00D032BB"/>
    <w:rsid w:val="00D03305"/>
    <w:rsid w:val="00D0330F"/>
    <w:rsid w:val="00D03355"/>
    <w:rsid w:val="00D0338D"/>
    <w:rsid w:val="00D033C7"/>
    <w:rsid w:val="00D033D9"/>
    <w:rsid w:val="00D033DB"/>
    <w:rsid w:val="00D0341F"/>
    <w:rsid w:val="00D03455"/>
    <w:rsid w:val="00D03486"/>
    <w:rsid w:val="00D034B6"/>
    <w:rsid w:val="00D034E8"/>
    <w:rsid w:val="00D0356E"/>
    <w:rsid w:val="00D0357B"/>
    <w:rsid w:val="00D035B4"/>
    <w:rsid w:val="00D03673"/>
    <w:rsid w:val="00D03723"/>
    <w:rsid w:val="00D0377A"/>
    <w:rsid w:val="00D037A8"/>
    <w:rsid w:val="00D03846"/>
    <w:rsid w:val="00D0388B"/>
    <w:rsid w:val="00D038C3"/>
    <w:rsid w:val="00D038EB"/>
    <w:rsid w:val="00D0390D"/>
    <w:rsid w:val="00D0392B"/>
    <w:rsid w:val="00D0394E"/>
    <w:rsid w:val="00D03961"/>
    <w:rsid w:val="00D0399F"/>
    <w:rsid w:val="00D039E1"/>
    <w:rsid w:val="00D039F4"/>
    <w:rsid w:val="00D03A2E"/>
    <w:rsid w:val="00D03A37"/>
    <w:rsid w:val="00D03A85"/>
    <w:rsid w:val="00D03B7D"/>
    <w:rsid w:val="00D03B9A"/>
    <w:rsid w:val="00D03C13"/>
    <w:rsid w:val="00D03CAF"/>
    <w:rsid w:val="00D03D15"/>
    <w:rsid w:val="00D03D6F"/>
    <w:rsid w:val="00D03E2B"/>
    <w:rsid w:val="00D03E55"/>
    <w:rsid w:val="00D03EB7"/>
    <w:rsid w:val="00D03EEF"/>
    <w:rsid w:val="00D03F14"/>
    <w:rsid w:val="00D03F1F"/>
    <w:rsid w:val="00D03F36"/>
    <w:rsid w:val="00D03F64"/>
    <w:rsid w:val="00D03FCC"/>
    <w:rsid w:val="00D041C9"/>
    <w:rsid w:val="00D041E5"/>
    <w:rsid w:val="00D0420E"/>
    <w:rsid w:val="00D04250"/>
    <w:rsid w:val="00D042AD"/>
    <w:rsid w:val="00D042C2"/>
    <w:rsid w:val="00D04301"/>
    <w:rsid w:val="00D04361"/>
    <w:rsid w:val="00D043C9"/>
    <w:rsid w:val="00D04424"/>
    <w:rsid w:val="00D0445B"/>
    <w:rsid w:val="00D04460"/>
    <w:rsid w:val="00D044E0"/>
    <w:rsid w:val="00D0451C"/>
    <w:rsid w:val="00D04547"/>
    <w:rsid w:val="00D046A2"/>
    <w:rsid w:val="00D046B8"/>
    <w:rsid w:val="00D04711"/>
    <w:rsid w:val="00D04748"/>
    <w:rsid w:val="00D0476B"/>
    <w:rsid w:val="00D047D5"/>
    <w:rsid w:val="00D047D8"/>
    <w:rsid w:val="00D04824"/>
    <w:rsid w:val="00D04844"/>
    <w:rsid w:val="00D048C8"/>
    <w:rsid w:val="00D048FD"/>
    <w:rsid w:val="00D04910"/>
    <w:rsid w:val="00D04918"/>
    <w:rsid w:val="00D0493C"/>
    <w:rsid w:val="00D04949"/>
    <w:rsid w:val="00D0499E"/>
    <w:rsid w:val="00D049F2"/>
    <w:rsid w:val="00D04A3E"/>
    <w:rsid w:val="00D04A4B"/>
    <w:rsid w:val="00D04A57"/>
    <w:rsid w:val="00D04A7A"/>
    <w:rsid w:val="00D04AB0"/>
    <w:rsid w:val="00D04AD7"/>
    <w:rsid w:val="00D04B5C"/>
    <w:rsid w:val="00D04B7F"/>
    <w:rsid w:val="00D04C4B"/>
    <w:rsid w:val="00D04C6B"/>
    <w:rsid w:val="00D04C9D"/>
    <w:rsid w:val="00D04CCF"/>
    <w:rsid w:val="00D04D6B"/>
    <w:rsid w:val="00D04D78"/>
    <w:rsid w:val="00D04EAC"/>
    <w:rsid w:val="00D04EB5"/>
    <w:rsid w:val="00D04ED7"/>
    <w:rsid w:val="00D04F80"/>
    <w:rsid w:val="00D04FCF"/>
    <w:rsid w:val="00D05025"/>
    <w:rsid w:val="00D0503A"/>
    <w:rsid w:val="00D0503B"/>
    <w:rsid w:val="00D05094"/>
    <w:rsid w:val="00D050BF"/>
    <w:rsid w:val="00D0511B"/>
    <w:rsid w:val="00D05128"/>
    <w:rsid w:val="00D05137"/>
    <w:rsid w:val="00D05153"/>
    <w:rsid w:val="00D051FD"/>
    <w:rsid w:val="00D05205"/>
    <w:rsid w:val="00D05207"/>
    <w:rsid w:val="00D0525E"/>
    <w:rsid w:val="00D05273"/>
    <w:rsid w:val="00D052E5"/>
    <w:rsid w:val="00D0535F"/>
    <w:rsid w:val="00D0541D"/>
    <w:rsid w:val="00D0549C"/>
    <w:rsid w:val="00D05508"/>
    <w:rsid w:val="00D05561"/>
    <w:rsid w:val="00D05577"/>
    <w:rsid w:val="00D05589"/>
    <w:rsid w:val="00D05647"/>
    <w:rsid w:val="00D056AA"/>
    <w:rsid w:val="00D056B9"/>
    <w:rsid w:val="00D05743"/>
    <w:rsid w:val="00D0574C"/>
    <w:rsid w:val="00D0579F"/>
    <w:rsid w:val="00D057B0"/>
    <w:rsid w:val="00D057E0"/>
    <w:rsid w:val="00D05835"/>
    <w:rsid w:val="00D05845"/>
    <w:rsid w:val="00D058EB"/>
    <w:rsid w:val="00D059A1"/>
    <w:rsid w:val="00D059CB"/>
    <w:rsid w:val="00D05A07"/>
    <w:rsid w:val="00D05A1A"/>
    <w:rsid w:val="00D05A57"/>
    <w:rsid w:val="00D05A89"/>
    <w:rsid w:val="00D05A95"/>
    <w:rsid w:val="00D05AF9"/>
    <w:rsid w:val="00D05B08"/>
    <w:rsid w:val="00D05BBB"/>
    <w:rsid w:val="00D05BD2"/>
    <w:rsid w:val="00D05C00"/>
    <w:rsid w:val="00D05CC2"/>
    <w:rsid w:val="00D05DA1"/>
    <w:rsid w:val="00D05DCA"/>
    <w:rsid w:val="00D05DCC"/>
    <w:rsid w:val="00D05DD9"/>
    <w:rsid w:val="00D05DEB"/>
    <w:rsid w:val="00D05F61"/>
    <w:rsid w:val="00D05F78"/>
    <w:rsid w:val="00D05F8C"/>
    <w:rsid w:val="00D06072"/>
    <w:rsid w:val="00D060B7"/>
    <w:rsid w:val="00D0612D"/>
    <w:rsid w:val="00D061DB"/>
    <w:rsid w:val="00D06235"/>
    <w:rsid w:val="00D062C2"/>
    <w:rsid w:val="00D0634A"/>
    <w:rsid w:val="00D063A3"/>
    <w:rsid w:val="00D063A7"/>
    <w:rsid w:val="00D063EB"/>
    <w:rsid w:val="00D063F0"/>
    <w:rsid w:val="00D0641B"/>
    <w:rsid w:val="00D06420"/>
    <w:rsid w:val="00D06434"/>
    <w:rsid w:val="00D0648C"/>
    <w:rsid w:val="00D064B5"/>
    <w:rsid w:val="00D064E0"/>
    <w:rsid w:val="00D064EE"/>
    <w:rsid w:val="00D064EF"/>
    <w:rsid w:val="00D065CD"/>
    <w:rsid w:val="00D06612"/>
    <w:rsid w:val="00D0664C"/>
    <w:rsid w:val="00D066BB"/>
    <w:rsid w:val="00D066E0"/>
    <w:rsid w:val="00D066FF"/>
    <w:rsid w:val="00D0678E"/>
    <w:rsid w:val="00D0679C"/>
    <w:rsid w:val="00D067B2"/>
    <w:rsid w:val="00D067D7"/>
    <w:rsid w:val="00D068AA"/>
    <w:rsid w:val="00D068DF"/>
    <w:rsid w:val="00D06915"/>
    <w:rsid w:val="00D06942"/>
    <w:rsid w:val="00D06955"/>
    <w:rsid w:val="00D069A1"/>
    <w:rsid w:val="00D069E7"/>
    <w:rsid w:val="00D069F7"/>
    <w:rsid w:val="00D06A28"/>
    <w:rsid w:val="00D06A51"/>
    <w:rsid w:val="00D06AFB"/>
    <w:rsid w:val="00D06B1D"/>
    <w:rsid w:val="00D06C16"/>
    <w:rsid w:val="00D06C82"/>
    <w:rsid w:val="00D06C93"/>
    <w:rsid w:val="00D06CA8"/>
    <w:rsid w:val="00D06CE0"/>
    <w:rsid w:val="00D06D2D"/>
    <w:rsid w:val="00D06D67"/>
    <w:rsid w:val="00D06DF8"/>
    <w:rsid w:val="00D06E2F"/>
    <w:rsid w:val="00D06EBC"/>
    <w:rsid w:val="00D06EF1"/>
    <w:rsid w:val="00D06F5D"/>
    <w:rsid w:val="00D06FA6"/>
    <w:rsid w:val="00D06FC0"/>
    <w:rsid w:val="00D07016"/>
    <w:rsid w:val="00D0707D"/>
    <w:rsid w:val="00D07086"/>
    <w:rsid w:val="00D070B5"/>
    <w:rsid w:val="00D070C4"/>
    <w:rsid w:val="00D070C5"/>
    <w:rsid w:val="00D0716E"/>
    <w:rsid w:val="00D071BC"/>
    <w:rsid w:val="00D07201"/>
    <w:rsid w:val="00D07301"/>
    <w:rsid w:val="00D07310"/>
    <w:rsid w:val="00D0731F"/>
    <w:rsid w:val="00D07371"/>
    <w:rsid w:val="00D07439"/>
    <w:rsid w:val="00D074D7"/>
    <w:rsid w:val="00D07527"/>
    <w:rsid w:val="00D07531"/>
    <w:rsid w:val="00D07553"/>
    <w:rsid w:val="00D0755E"/>
    <w:rsid w:val="00D0757D"/>
    <w:rsid w:val="00D075B1"/>
    <w:rsid w:val="00D0768F"/>
    <w:rsid w:val="00D07699"/>
    <w:rsid w:val="00D076DC"/>
    <w:rsid w:val="00D0775B"/>
    <w:rsid w:val="00D0777E"/>
    <w:rsid w:val="00D077F9"/>
    <w:rsid w:val="00D07848"/>
    <w:rsid w:val="00D07897"/>
    <w:rsid w:val="00D07941"/>
    <w:rsid w:val="00D07958"/>
    <w:rsid w:val="00D07973"/>
    <w:rsid w:val="00D0797E"/>
    <w:rsid w:val="00D079C9"/>
    <w:rsid w:val="00D079DF"/>
    <w:rsid w:val="00D07A07"/>
    <w:rsid w:val="00D07A09"/>
    <w:rsid w:val="00D07A59"/>
    <w:rsid w:val="00D07A8A"/>
    <w:rsid w:val="00D07A9C"/>
    <w:rsid w:val="00D07AC3"/>
    <w:rsid w:val="00D07B12"/>
    <w:rsid w:val="00D07B1A"/>
    <w:rsid w:val="00D07B1E"/>
    <w:rsid w:val="00D07B58"/>
    <w:rsid w:val="00D07BAF"/>
    <w:rsid w:val="00D07C03"/>
    <w:rsid w:val="00D07C04"/>
    <w:rsid w:val="00D07C67"/>
    <w:rsid w:val="00D07C8E"/>
    <w:rsid w:val="00D07CD8"/>
    <w:rsid w:val="00D07CD9"/>
    <w:rsid w:val="00D07CED"/>
    <w:rsid w:val="00D07D16"/>
    <w:rsid w:val="00D07D84"/>
    <w:rsid w:val="00D07E2B"/>
    <w:rsid w:val="00D07F0F"/>
    <w:rsid w:val="00D07F2E"/>
    <w:rsid w:val="00D07F3A"/>
    <w:rsid w:val="00D07F8B"/>
    <w:rsid w:val="00D1002A"/>
    <w:rsid w:val="00D10033"/>
    <w:rsid w:val="00D1004F"/>
    <w:rsid w:val="00D10062"/>
    <w:rsid w:val="00D101ED"/>
    <w:rsid w:val="00D101FD"/>
    <w:rsid w:val="00D10245"/>
    <w:rsid w:val="00D1024D"/>
    <w:rsid w:val="00D1026D"/>
    <w:rsid w:val="00D1033A"/>
    <w:rsid w:val="00D10372"/>
    <w:rsid w:val="00D103BA"/>
    <w:rsid w:val="00D1048E"/>
    <w:rsid w:val="00D104C8"/>
    <w:rsid w:val="00D104F4"/>
    <w:rsid w:val="00D10531"/>
    <w:rsid w:val="00D10537"/>
    <w:rsid w:val="00D105B9"/>
    <w:rsid w:val="00D105D7"/>
    <w:rsid w:val="00D105FC"/>
    <w:rsid w:val="00D106A7"/>
    <w:rsid w:val="00D106AA"/>
    <w:rsid w:val="00D106BE"/>
    <w:rsid w:val="00D10715"/>
    <w:rsid w:val="00D10736"/>
    <w:rsid w:val="00D10746"/>
    <w:rsid w:val="00D1081A"/>
    <w:rsid w:val="00D108E8"/>
    <w:rsid w:val="00D10984"/>
    <w:rsid w:val="00D109AC"/>
    <w:rsid w:val="00D109CB"/>
    <w:rsid w:val="00D109E1"/>
    <w:rsid w:val="00D109F0"/>
    <w:rsid w:val="00D10A00"/>
    <w:rsid w:val="00D10A39"/>
    <w:rsid w:val="00D10AA6"/>
    <w:rsid w:val="00D10AE3"/>
    <w:rsid w:val="00D10B01"/>
    <w:rsid w:val="00D10B79"/>
    <w:rsid w:val="00D10BB4"/>
    <w:rsid w:val="00D10BF8"/>
    <w:rsid w:val="00D10C1A"/>
    <w:rsid w:val="00D10C31"/>
    <w:rsid w:val="00D10D5A"/>
    <w:rsid w:val="00D10D6F"/>
    <w:rsid w:val="00D10D9B"/>
    <w:rsid w:val="00D10DC6"/>
    <w:rsid w:val="00D10E11"/>
    <w:rsid w:val="00D10E8D"/>
    <w:rsid w:val="00D10F8F"/>
    <w:rsid w:val="00D10FA0"/>
    <w:rsid w:val="00D10FAD"/>
    <w:rsid w:val="00D10FB9"/>
    <w:rsid w:val="00D1103A"/>
    <w:rsid w:val="00D11058"/>
    <w:rsid w:val="00D1108A"/>
    <w:rsid w:val="00D110BF"/>
    <w:rsid w:val="00D110E5"/>
    <w:rsid w:val="00D11165"/>
    <w:rsid w:val="00D111AA"/>
    <w:rsid w:val="00D111B8"/>
    <w:rsid w:val="00D11204"/>
    <w:rsid w:val="00D11211"/>
    <w:rsid w:val="00D11231"/>
    <w:rsid w:val="00D11265"/>
    <w:rsid w:val="00D11374"/>
    <w:rsid w:val="00D113A8"/>
    <w:rsid w:val="00D113D6"/>
    <w:rsid w:val="00D113EE"/>
    <w:rsid w:val="00D11439"/>
    <w:rsid w:val="00D1145F"/>
    <w:rsid w:val="00D114BD"/>
    <w:rsid w:val="00D114C9"/>
    <w:rsid w:val="00D1155D"/>
    <w:rsid w:val="00D115A0"/>
    <w:rsid w:val="00D115A9"/>
    <w:rsid w:val="00D1161F"/>
    <w:rsid w:val="00D11660"/>
    <w:rsid w:val="00D1168D"/>
    <w:rsid w:val="00D116AB"/>
    <w:rsid w:val="00D116D3"/>
    <w:rsid w:val="00D11711"/>
    <w:rsid w:val="00D11735"/>
    <w:rsid w:val="00D1174F"/>
    <w:rsid w:val="00D117B5"/>
    <w:rsid w:val="00D1181C"/>
    <w:rsid w:val="00D1183B"/>
    <w:rsid w:val="00D1189B"/>
    <w:rsid w:val="00D118D1"/>
    <w:rsid w:val="00D118FE"/>
    <w:rsid w:val="00D1191A"/>
    <w:rsid w:val="00D1192D"/>
    <w:rsid w:val="00D11AFB"/>
    <w:rsid w:val="00D11B25"/>
    <w:rsid w:val="00D11B48"/>
    <w:rsid w:val="00D11C73"/>
    <w:rsid w:val="00D11CED"/>
    <w:rsid w:val="00D11D05"/>
    <w:rsid w:val="00D11D40"/>
    <w:rsid w:val="00D11D96"/>
    <w:rsid w:val="00D11D9F"/>
    <w:rsid w:val="00D11DD7"/>
    <w:rsid w:val="00D11DDC"/>
    <w:rsid w:val="00D11DF6"/>
    <w:rsid w:val="00D11E6C"/>
    <w:rsid w:val="00D11EAB"/>
    <w:rsid w:val="00D11EB1"/>
    <w:rsid w:val="00D11F45"/>
    <w:rsid w:val="00D11F98"/>
    <w:rsid w:val="00D11FAE"/>
    <w:rsid w:val="00D11FB9"/>
    <w:rsid w:val="00D1200F"/>
    <w:rsid w:val="00D1205C"/>
    <w:rsid w:val="00D12097"/>
    <w:rsid w:val="00D120CB"/>
    <w:rsid w:val="00D120F2"/>
    <w:rsid w:val="00D12147"/>
    <w:rsid w:val="00D121A8"/>
    <w:rsid w:val="00D122EB"/>
    <w:rsid w:val="00D12326"/>
    <w:rsid w:val="00D123DA"/>
    <w:rsid w:val="00D123DF"/>
    <w:rsid w:val="00D12426"/>
    <w:rsid w:val="00D12437"/>
    <w:rsid w:val="00D12507"/>
    <w:rsid w:val="00D12564"/>
    <w:rsid w:val="00D12581"/>
    <w:rsid w:val="00D126E6"/>
    <w:rsid w:val="00D12721"/>
    <w:rsid w:val="00D12757"/>
    <w:rsid w:val="00D12760"/>
    <w:rsid w:val="00D127B3"/>
    <w:rsid w:val="00D127BA"/>
    <w:rsid w:val="00D1281B"/>
    <w:rsid w:val="00D1281C"/>
    <w:rsid w:val="00D12839"/>
    <w:rsid w:val="00D12920"/>
    <w:rsid w:val="00D12943"/>
    <w:rsid w:val="00D129CB"/>
    <w:rsid w:val="00D129E0"/>
    <w:rsid w:val="00D12A63"/>
    <w:rsid w:val="00D12A99"/>
    <w:rsid w:val="00D12AA0"/>
    <w:rsid w:val="00D12AAE"/>
    <w:rsid w:val="00D12AD4"/>
    <w:rsid w:val="00D12B06"/>
    <w:rsid w:val="00D12B2E"/>
    <w:rsid w:val="00D12B91"/>
    <w:rsid w:val="00D12C41"/>
    <w:rsid w:val="00D12C5C"/>
    <w:rsid w:val="00D12C6C"/>
    <w:rsid w:val="00D12C6E"/>
    <w:rsid w:val="00D12CF7"/>
    <w:rsid w:val="00D12D90"/>
    <w:rsid w:val="00D12DA2"/>
    <w:rsid w:val="00D12EA5"/>
    <w:rsid w:val="00D12F4F"/>
    <w:rsid w:val="00D12F88"/>
    <w:rsid w:val="00D12F8B"/>
    <w:rsid w:val="00D13000"/>
    <w:rsid w:val="00D13046"/>
    <w:rsid w:val="00D1307C"/>
    <w:rsid w:val="00D13091"/>
    <w:rsid w:val="00D1316C"/>
    <w:rsid w:val="00D13172"/>
    <w:rsid w:val="00D131A4"/>
    <w:rsid w:val="00D13223"/>
    <w:rsid w:val="00D13233"/>
    <w:rsid w:val="00D13237"/>
    <w:rsid w:val="00D13247"/>
    <w:rsid w:val="00D1325A"/>
    <w:rsid w:val="00D132A6"/>
    <w:rsid w:val="00D132B9"/>
    <w:rsid w:val="00D1330C"/>
    <w:rsid w:val="00D1336F"/>
    <w:rsid w:val="00D13419"/>
    <w:rsid w:val="00D13421"/>
    <w:rsid w:val="00D134A6"/>
    <w:rsid w:val="00D134FE"/>
    <w:rsid w:val="00D1352B"/>
    <w:rsid w:val="00D135D8"/>
    <w:rsid w:val="00D135DE"/>
    <w:rsid w:val="00D135E4"/>
    <w:rsid w:val="00D1364E"/>
    <w:rsid w:val="00D13777"/>
    <w:rsid w:val="00D137C5"/>
    <w:rsid w:val="00D137C6"/>
    <w:rsid w:val="00D137D2"/>
    <w:rsid w:val="00D137DF"/>
    <w:rsid w:val="00D138A3"/>
    <w:rsid w:val="00D138EE"/>
    <w:rsid w:val="00D13923"/>
    <w:rsid w:val="00D1392D"/>
    <w:rsid w:val="00D1393E"/>
    <w:rsid w:val="00D13945"/>
    <w:rsid w:val="00D13961"/>
    <w:rsid w:val="00D13971"/>
    <w:rsid w:val="00D139B8"/>
    <w:rsid w:val="00D13AAA"/>
    <w:rsid w:val="00D13B43"/>
    <w:rsid w:val="00D13B5F"/>
    <w:rsid w:val="00D13BF2"/>
    <w:rsid w:val="00D13C2A"/>
    <w:rsid w:val="00D13C90"/>
    <w:rsid w:val="00D13CC8"/>
    <w:rsid w:val="00D13D56"/>
    <w:rsid w:val="00D13DC0"/>
    <w:rsid w:val="00D13F35"/>
    <w:rsid w:val="00D13F42"/>
    <w:rsid w:val="00D13FB8"/>
    <w:rsid w:val="00D13FC6"/>
    <w:rsid w:val="00D13FE3"/>
    <w:rsid w:val="00D13FE8"/>
    <w:rsid w:val="00D14085"/>
    <w:rsid w:val="00D14092"/>
    <w:rsid w:val="00D140D4"/>
    <w:rsid w:val="00D14111"/>
    <w:rsid w:val="00D1414E"/>
    <w:rsid w:val="00D141DE"/>
    <w:rsid w:val="00D141FB"/>
    <w:rsid w:val="00D1422E"/>
    <w:rsid w:val="00D142AD"/>
    <w:rsid w:val="00D142C2"/>
    <w:rsid w:val="00D142CC"/>
    <w:rsid w:val="00D142FD"/>
    <w:rsid w:val="00D1430E"/>
    <w:rsid w:val="00D14385"/>
    <w:rsid w:val="00D1438E"/>
    <w:rsid w:val="00D143BF"/>
    <w:rsid w:val="00D143CC"/>
    <w:rsid w:val="00D14460"/>
    <w:rsid w:val="00D1446B"/>
    <w:rsid w:val="00D1447B"/>
    <w:rsid w:val="00D144AC"/>
    <w:rsid w:val="00D145F0"/>
    <w:rsid w:val="00D14638"/>
    <w:rsid w:val="00D14672"/>
    <w:rsid w:val="00D146B5"/>
    <w:rsid w:val="00D146B9"/>
    <w:rsid w:val="00D146BD"/>
    <w:rsid w:val="00D146EE"/>
    <w:rsid w:val="00D146F2"/>
    <w:rsid w:val="00D14736"/>
    <w:rsid w:val="00D14769"/>
    <w:rsid w:val="00D1478E"/>
    <w:rsid w:val="00D14808"/>
    <w:rsid w:val="00D14815"/>
    <w:rsid w:val="00D1482E"/>
    <w:rsid w:val="00D1486B"/>
    <w:rsid w:val="00D14882"/>
    <w:rsid w:val="00D148DC"/>
    <w:rsid w:val="00D148DD"/>
    <w:rsid w:val="00D14994"/>
    <w:rsid w:val="00D149BE"/>
    <w:rsid w:val="00D14A3F"/>
    <w:rsid w:val="00D14A48"/>
    <w:rsid w:val="00D14AE6"/>
    <w:rsid w:val="00D14AF5"/>
    <w:rsid w:val="00D14B0D"/>
    <w:rsid w:val="00D14B95"/>
    <w:rsid w:val="00D14B96"/>
    <w:rsid w:val="00D14BCA"/>
    <w:rsid w:val="00D14BE4"/>
    <w:rsid w:val="00D14BF7"/>
    <w:rsid w:val="00D14C43"/>
    <w:rsid w:val="00D14CB8"/>
    <w:rsid w:val="00D14CC6"/>
    <w:rsid w:val="00D14D8C"/>
    <w:rsid w:val="00D14E10"/>
    <w:rsid w:val="00D14E19"/>
    <w:rsid w:val="00D14E28"/>
    <w:rsid w:val="00D14EAC"/>
    <w:rsid w:val="00D14EEA"/>
    <w:rsid w:val="00D14F2F"/>
    <w:rsid w:val="00D14F5D"/>
    <w:rsid w:val="00D14FC3"/>
    <w:rsid w:val="00D14FC8"/>
    <w:rsid w:val="00D15184"/>
    <w:rsid w:val="00D1518C"/>
    <w:rsid w:val="00D151BF"/>
    <w:rsid w:val="00D151FF"/>
    <w:rsid w:val="00D15212"/>
    <w:rsid w:val="00D15221"/>
    <w:rsid w:val="00D15292"/>
    <w:rsid w:val="00D153DF"/>
    <w:rsid w:val="00D1549C"/>
    <w:rsid w:val="00D154DB"/>
    <w:rsid w:val="00D15544"/>
    <w:rsid w:val="00D15552"/>
    <w:rsid w:val="00D155E5"/>
    <w:rsid w:val="00D15641"/>
    <w:rsid w:val="00D1564B"/>
    <w:rsid w:val="00D15650"/>
    <w:rsid w:val="00D1567A"/>
    <w:rsid w:val="00D156B4"/>
    <w:rsid w:val="00D15740"/>
    <w:rsid w:val="00D1584E"/>
    <w:rsid w:val="00D15888"/>
    <w:rsid w:val="00D158B3"/>
    <w:rsid w:val="00D159B8"/>
    <w:rsid w:val="00D159C2"/>
    <w:rsid w:val="00D15A2F"/>
    <w:rsid w:val="00D15A81"/>
    <w:rsid w:val="00D15B16"/>
    <w:rsid w:val="00D15B75"/>
    <w:rsid w:val="00D15B83"/>
    <w:rsid w:val="00D15BD3"/>
    <w:rsid w:val="00D15C7E"/>
    <w:rsid w:val="00D15CAF"/>
    <w:rsid w:val="00D15D06"/>
    <w:rsid w:val="00D15D0C"/>
    <w:rsid w:val="00D15D33"/>
    <w:rsid w:val="00D15DA2"/>
    <w:rsid w:val="00D15DE7"/>
    <w:rsid w:val="00D15E5E"/>
    <w:rsid w:val="00D15E92"/>
    <w:rsid w:val="00D15EF8"/>
    <w:rsid w:val="00D15FAF"/>
    <w:rsid w:val="00D15FDE"/>
    <w:rsid w:val="00D15FFC"/>
    <w:rsid w:val="00D16007"/>
    <w:rsid w:val="00D16045"/>
    <w:rsid w:val="00D160C9"/>
    <w:rsid w:val="00D1613E"/>
    <w:rsid w:val="00D16143"/>
    <w:rsid w:val="00D1614C"/>
    <w:rsid w:val="00D1614E"/>
    <w:rsid w:val="00D16164"/>
    <w:rsid w:val="00D16187"/>
    <w:rsid w:val="00D1620B"/>
    <w:rsid w:val="00D16275"/>
    <w:rsid w:val="00D16301"/>
    <w:rsid w:val="00D1631F"/>
    <w:rsid w:val="00D16399"/>
    <w:rsid w:val="00D1639C"/>
    <w:rsid w:val="00D163D1"/>
    <w:rsid w:val="00D163FE"/>
    <w:rsid w:val="00D16449"/>
    <w:rsid w:val="00D16453"/>
    <w:rsid w:val="00D16467"/>
    <w:rsid w:val="00D164A2"/>
    <w:rsid w:val="00D164A7"/>
    <w:rsid w:val="00D164C3"/>
    <w:rsid w:val="00D164C9"/>
    <w:rsid w:val="00D1651E"/>
    <w:rsid w:val="00D1659B"/>
    <w:rsid w:val="00D165AE"/>
    <w:rsid w:val="00D16604"/>
    <w:rsid w:val="00D166D2"/>
    <w:rsid w:val="00D166F2"/>
    <w:rsid w:val="00D1670C"/>
    <w:rsid w:val="00D1672B"/>
    <w:rsid w:val="00D16771"/>
    <w:rsid w:val="00D167F4"/>
    <w:rsid w:val="00D1680A"/>
    <w:rsid w:val="00D16847"/>
    <w:rsid w:val="00D168BB"/>
    <w:rsid w:val="00D168F3"/>
    <w:rsid w:val="00D16909"/>
    <w:rsid w:val="00D1692B"/>
    <w:rsid w:val="00D16938"/>
    <w:rsid w:val="00D16970"/>
    <w:rsid w:val="00D16981"/>
    <w:rsid w:val="00D16994"/>
    <w:rsid w:val="00D16A5F"/>
    <w:rsid w:val="00D16A66"/>
    <w:rsid w:val="00D16B6A"/>
    <w:rsid w:val="00D16B7B"/>
    <w:rsid w:val="00D16C44"/>
    <w:rsid w:val="00D16C83"/>
    <w:rsid w:val="00D16CCD"/>
    <w:rsid w:val="00D16D3D"/>
    <w:rsid w:val="00D16D57"/>
    <w:rsid w:val="00D16D5B"/>
    <w:rsid w:val="00D16DDA"/>
    <w:rsid w:val="00D16DED"/>
    <w:rsid w:val="00D16E28"/>
    <w:rsid w:val="00D16E93"/>
    <w:rsid w:val="00D16F00"/>
    <w:rsid w:val="00D16F1E"/>
    <w:rsid w:val="00D16F82"/>
    <w:rsid w:val="00D16FC6"/>
    <w:rsid w:val="00D16FCB"/>
    <w:rsid w:val="00D16FF0"/>
    <w:rsid w:val="00D17007"/>
    <w:rsid w:val="00D17018"/>
    <w:rsid w:val="00D1716C"/>
    <w:rsid w:val="00D171B8"/>
    <w:rsid w:val="00D1720C"/>
    <w:rsid w:val="00D17449"/>
    <w:rsid w:val="00D17488"/>
    <w:rsid w:val="00D174D2"/>
    <w:rsid w:val="00D174DF"/>
    <w:rsid w:val="00D17556"/>
    <w:rsid w:val="00D175F0"/>
    <w:rsid w:val="00D175FB"/>
    <w:rsid w:val="00D17609"/>
    <w:rsid w:val="00D17639"/>
    <w:rsid w:val="00D176D6"/>
    <w:rsid w:val="00D176DB"/>
    <w:rsid w:val="00D177CA"/>
    <w:rsid w:val="00D177F0"/>
    <w:rsid w:val="00D17839"/>
    <w:rsid w:val="00D1785B"/>
    <w:rsid w:val="00D17878"/>
    <w:rsid w:val="00D178BE"/>
    <w:rsid w:val="00D178C4"/>
    <w:rsid w:val="00D17908"/>
    <w:rsid w:val="00D17956"/>
    <w:rsid w:val="00D179A6"/>
    <w:rsid w:val="00D179A9"/>
    <w:rsid w:val="00D179BB"/>
    <w:rsid w:val="00D179BD"/>
    <w:rsid w:val="00D179F9"/>
    <w:rsid w:val="00D17A4E"/>
    <w:rsid w:val="00D17B06"/>
    <w:rsid w:val="00D17BA8"/>
    <w:rsid w:val="00D17BB7"/>
    <w:rsid w:val="00D17BD7"/>
    <w:rsid w:val="00D17C31"/>
    <w:rsid w:val="00D17C44"/>
    <w:rsid w:val="00D17C4C"/>
    <w:rsid w:val="00D17CED"/>
    <w:rsid w:val="00D17D14"/>
    <w:rsid w:val="00D17D2C"/>
    <w:rsid w:val="00D17DAE"/>
    <w:rsid w:val="00D17DBB"/>
    <w:rsid w:val="00D17DD0"/>
    <w:rsid w:val="00D17E2A"/>
    <w:rsid w:val="00D17E76"/>
    <w:rsid w:val="00D17EB1"/>
    <w:rsid w:val="00D17F04"/>
    <w:rsid w:val="00D17F3A"/>
    <w:rsid w:val="00D17F8F"/>
    <w:rsid w:val="00D17FBF"/>
    <w:rsid w:val="00D20011"/>
    <w:rsid w:val="00D20013"/>
    <w:rsid w:val="00D20015"/>
    <w:rsid w:val="00D2003B"/>
    <w:rsid w:val="00D20093"/>
    <w:rsid w:val="00D200EA"/>
    <w:rsid w:val="00D200EF"/>
    <w:rsid w:val="00D200FD"/>
    <w:rsid w:val="00D20106"/>
    <w:rsid w:val="00D2015D"/>
    <w:rsid w:val="00D201A0"/>
    <w:rsid w:val="00D201E2"/>
    <w:rsid w:val="00D2021A"/>
    <w:rsid w:val="00D202BB"/>
    <w:rsid w:val="00D202D7"/>
    <w:rsid w:val="00D202FA"/>
    <w:rsid w:val="00D20335"/>
    <w:rsid w:val="00D203DC"/>
    <w:rsid w:val="00D20403"/>
    <w:rsid w:val="00D2040E"/>
    <w:rsid w:val="00D20420"/>
    <w:rsid w:val="00D2042B"/>
    <w:rsid w:val="00D20463"/>
    <w:rsid w:val="00D204B0"/>
    <w:rsid w:val="00D2050E"/>
    <w:rsid w:val="00D2059A"/>
    <w:rsid w:val="00D20600"/>
    <w:rsid w:val="00D2069D"/>
    <w:rsid w:val="00D206C0"/>
    <w:rsid w:val="00D207DA"/>
    <w:rsid w:val="00D2080A"/>
    <w:rsid w:val="00D20867"/>
    <w:rsid w:val="00D20869"/>
    <w:rsid w:val="00D20880"/>
    <w:rsid w:val="00D208CB"/>
    <w:rsid w:val="00D208D8"/>
    <w:rsid w:val="00D208EF"/>
    <w:rsid w:val="00D20905"/>
    <w:rsid w:val="00D20977"/>
    <w:rsid w:val="00D20A54"/>
    <w:rsid w:val="00D20A5A"/>
    <w:rsid w:val="00D20A5D"/>
    <w:rsid w:val="00D20A68"/>
    <w:rsid w:val="00D20B2E"/>
    <w:rsid w:val="00D20B63"/>
    <w:rsid w:val="00D20B8D"/>
    <w:rsid w:val="00D20BE8"/>
    <w:rsid w:val="00D20CFC"/>
    <w:rsid w:val="00D20D0F"/>
    <w:rsid w:val="00D20D89"/>
    <w:rsid w:val="00D20DC3"/>
    <w:rsid w:val="00D20E0C"/>
    <w:rsid w:val="00D20F06"/>
    <w:rsid w:val="00D20F25"/>
    <w:rsid w:val="00D21086"/>
    <w:rsid w:val="00D210A3"/>
    <w:rsid w:val="00D210AA"/>
    <w:rsid w:val="00D210D1"/>
    <w:rsid w:val="00D210DE"/>
    <w:rsid w:val="00D211F8"/>
    <w:rsid w:val="00D2120D"/>
    <w:rsid w:val="00D21293"/>
    <w:rsid w:val="00D212CC"/>
    <w:rsid w:val="00D2133E"/>
    <w:rsid w:val="00D2138C"/>
    <w:rsid w:val="00D213F6"/>
    <w:rsid w:val="00D213FA"/>
    <w:rsid w:val="00D21401"/>
    <w:rsid w:val="00D2144B"/>
    <w:rsid w:val="00D214A3"/>
    <w:rsid w:val="00D21519"/>
    <w:rsid w:val="00D21539"/>
    <w:rsid w:val="00D2156A"/>
    <w:rsid w:val="00D2159B"/>
    <w:rsid w:val="00D215E1"/>
    <w:rsid w:val="00D215F4"/>
    <w:rsid w:val="00D21637"/>
    <w:rsid w:val="00D216A7"/>
    <w:rsid w:val="00D216C6"/>
    <w:rsid w:val="00D2171A"/>
    <w:rsid w:val="00D21839"/>
    <w:rsid w:val="00D21873"/>
    <w:rsid w:val="00D218AE"/>
    <w:rsid w:val="00D2192C"/>
    <w:rsid w:val="00D2195F"/>
    <w:rsid w:val="00D219E4"/>
    <w:rsid w:val="00D21A1F"/>
    <w:rsid w:val="00D21A23"/>
    <w:rsid w:val="00D21AB6"/>
    <w:rsid w:val="00D21B34"/>
    <w:rsid w:val="00D21B4C"/>
    <w:rsid w:val="00D21B53"/>
    <w:rsid w:val="00D21B69"/>
    <w:rsid w:val="00D21B71"/>
    <w:rsid w:val="00D21BB1"/>
    <w:rsid w:val="00D21C6A"/>
    <w:rsid w:val="00D21C92"/>
    <w:rsid w:val="00D21CA3"/>
    <w:rsid w:val="00D21D18"/>
    <w:rsid w:val="00D21E42"/>
    <w:rsid w:val="00D21EF0"/>
    <w:rsid w:val="00D21F1F"/>
    <w:rsid w:val="00D21F56"/>
    <w:rsid w:val="00D21F71"/>
    <w:rsid w:val="00D21F90"/>
    <w:rsid w:val="00D21FAA"/>
    <w:rsid w:val="00D22098"/>
    <w:rsid w:val="00D2220A"/>
    <w:rsid w:val="00D222A9"/>
    <w:rsid w:val="00D222CB"/>
    <w:rsid w:val="00D223A0"/>
    <w:rsid w:val="00D223FA"/>
    <w:rsid w:val="00D22487"/>
    <w:rsid w:val="00D22494"/>
    <w:rsid w:val="00D22576"/>
    <w:rsid w:val="00D22597"/>
    <w:rsid w:val="00D225C3"/>
    <w:rsid w:val="00D225C6"/>
    <w:rsid w:val="00D225D2"/>
    <w:rsid w:val="00D22603"/>
    <w:rsid w:val="00D2262C"/>
    <w:rsid w:val="00D22662"/>
    <w:rsid w:val="00D2271D"/>
    <w:rsid w:val="00D22741"/>
    <w:rsid w:val="00D22755"/>
    <w:rsid w:val="00D22762"/>
    <w:rsid w:val="00D22766"/>
    <w:rsid w:val="00D22797"/>
    <w:rsid w:val="00D227B9"/>
    <w:rsid w:val="00D227C6"/>
    <w:rsid w:val="00D227F5"/>
    <w:rsid w:val="00D2281F"/>
    <w:rsid w:val="00D2282D"/>
    <w:rsid w:val="00D2285B"/>
    <w:rsid w:val="00D22879"/>
    <w:rsid w:val="00D22882"/>
    <w:rsid w:val="00D22890"/>
    <w:rsid w:val="00D228EC"/>
    <w:rsid w:val="00D22A33"/>
    <w:rsid w:val="00D22A6D"/>
    <w:rsid w:val="00D22AA0"/>
    <w:rsid w:val="00D22ACF"/>
    <w:rsid w:val="00D22AE8"/>
    <w:rsid w:val="00D22B13"/>
    <w:rsid w:val="00D22BA4"/>
    <w:rsid w:val="00D22BB2"/>
    <w:rsid w:val="00D22BD4"/>
    <w:rsid w:val="00D22BF1"/>
    <w:rsid w:val="00D22BF9"/>
    <w:rsid w:val="00D22C1F"/>
    <w:rsid w:val="00D22C30"/>
    <w:rsid w:val="00D22C38"/>
    <w:rsid w:val="00D22D1D"/>
    <w:rsid w:val="00D22D3F"/>
    <w:rsid w:val="00D22D43"/>
    <w:rsid w:val="00D22D49"/>
    <w:rsid w:val="00D22D4A"/>
    <w:rsid w:val="00D22D6A"/>
    <w:rsid w:val="00D22DF3"/>
    <w:rsid w:val="00D22DFD"/>
    <w:rsid w:val="00D22E30"/>
    <w:rsid w:val="00D22ED3"/>
    <w:rsid w:val="00D22FC0"/>
    <w:rsid w:val="00D23073"/>
    <w:rsid w:val="00D2308E"/>
    <w:rsid w:val="00D2310B"/>
    <w:rsid w:val="00D2313E"/>
    <w:rsid w:val="00D23151"/>
    <w:rsid w:val="00D23179"/>
    <w:rsid w:val="00D23191"/>
    <w:rsid w:val="00D231EE"/>
    <w:rsid w:val="00D23209"/>
    <w:rsid w:val="00D23267"/>
    <w:rsid w:val="00D23276"/>
    <w:rsid w:val="00D23294"/>
    <w:rsid w:val="00D23299"/>
    <w:rsid w:val="00D232E6"/>
    <w:rsid w:val="00D232E8"/>
    <w:rsid w:val="00D232F2"/>
    <w:rsid w:val="00D2334C"/>
    <w:rsid w:val="00D233B3"/>
    <w:rsid w:val="00D233D3"/>
    <w:rsid w:val="00D23498"/>
    <w:rsid w:val="00D234C0"/>
    <w:rsid w:val="00D234D2"/>
    <w:rsid w:val="00D2356C"/>
    <w:rsid w:val="00D235C7"/>
    <w:rsid w:val="00D2366D"/>
    <w:rsid w:val="00D236BB"/>
    <w:rsid w:val="00D236D9"/>
    <w:rsid w:val="00D23701"/>
    <w:rsid w:val="00D23809"/>
    <w:rsid w:val="00D2381D"/>
    <w:rsid w:val="00D23874"/>
    <w:rsid w:val="00D23884"/>
    <w:rsid w:val="00D23887"/>
    <w:rsid w:val="00D238CD"/>
    <w:rsid w:val="00D239A6"/>
    <w:rsid w:val="00D239DB"/>
    <w:rsid w:val="00D23A29"/>
    <w:rsid w:val="00D23AA0"/>
    <w:rsid w:val="00D23B8C"/>
    <w:rsid w:val="00D23BD7"/>
    <w:rsid w:val="00D23C2D"/>
    <w:rsid w:val="00D23C9D"/>
    <w:rsid w:val="00D23CD2"/>
    <w:rsid w:val="00D23E43"/>
    <w:rsid w:val="00D23EF8"/>
    <w:rsid w:val="00D23F1D"/>
    <w:rsid w:val="00D23F60"/>
    <w:rsid w:val="00D23FA1"/>
    <w:rsid w:val="00D23FD6"/>
    <w:rsid w:val="00D24039"/>
    <w:rsid w:val="00D2405F"/>
    <w:rsid w:val="00D24145"/>
    <w:rsid w:val="00D241C0"/>
    <w:rsid w:val="00D2424B"/>
    <w:rsid w:val="00D2424F"/>
    <w:rsid w:val="00D24277"/>
    <w:rsid w:val="00D242DA"/>
    <w:rsid w:val="00D242E4"/>
    <w:rsid w:val="00D2430A"/>
    <w:rsid w:val="00D2432E"/>
    <w:rsid w:val="00D24394"/>
    <w:rsid w:val="00D243EF"/>
    <w:rsid w:val="00D244DE"/>
    <w:rsid w:val="00D2456A"/>
    <w:rsid w:val="00D245E8"/>
    <w:rsid w:val="00D245EC"/>
    <w:rsid w:val="00D24607"/>
    <w:rsid w:val="00D24666"/>
    <w:rsid w:val="00D24669"/>
    <w:rsid w:val="00D2467C"/>
    <w:rsid w:val="00D2470C"/>
    <w:rsid w:val="00D24741"/>
    <w:rsid w:val="00D24744"/>
    <w:rsid w:val="00D2474E"/>
    <w:rsid w:val="00D24753"/>
    <w:rsid w:val="00D24781"/>
    <w:rsid w:val="00D24788"/>
    <w:rsid w:val="00D247F1"/>
    <w:rsid w:val="00D24814"/>
    <w:rsid w:val="00D24841"/>
    <w:rsid w:val="00D24880"/>
    <w:rsid w:val="00D24888"/>
    <w:rsid w:val="00D248F9"/>
    <w:rsid w:val="00D249D0"/>
    <w:rsid w:val="00D24A3A"/>
    <w:rsid w:val="00D24A7B"/>
    <w:rsid w:val="00D24A8B"/>
    <w:rsid w:val="00D24AC7"/>
    <w:rsid w:val="00D24ACB"/>
    <w:rsid w:val="00D24AEC"/>
    <w:rsid w:val="00D24B22"/>
    <w:rsid w:val="00D24B82"/>
    <w:rsid w:val="00D24BBA"/>
    <w:rsid w:val="00D24BD0"/>
    <w:rsid w:val="00D24C53"/>
    <w:rsid w:val="00D24C64"/>
    <w:rsid w:val="00D24C98"/>
    <w:rsid w:val="00D24CAD"/>
    <w:rsid w:val="00D24CBC"/>
    <w:rsid w:val="00D24CCD"/>
    <w:rsid w:val="00D24CDA"/>
    <w:rsid w:val="00D24D0C"/>
    <w:rsid w:val="00D24D54"/>
    <w:rsid w:val="00D24D55"/>
    <w:rsid w:val="00D24D57"/>
    <w:rsid w:val="00D24D5E"/>
    <w:rsid w:val="00D24D97"/>
    <w:rsid w:val="00D24DEA"/>
    <w:rsid w:val="00D24E2F"/>
    <w:rsid w:val="00D24E60"/>
    <w:rsid w:val="00D24EAB"/>
    <w:rsid w:val="00D24ED5"/>
    <w:rsid w:val="00D24EDB"/>
    <w:rsid w:val="00D24EEE"/>
    <w:rsid w:val="00D24EF4"/>
    <w:rsid w:val="00D24F4E"/>
    <w:rsid w:val="00D24FC6"/>
    <w:rsid w:val="00D24FEE"/>
    <w:rsid w:val="00D250A9"/>
    <w:rsid w:val="00D25135"/>
    <w:rsid w:val="00D25146"/>
    <w:rsid w:val="00D251B0"/>
    <w:rsid w:val="00D25223"/>
    <w:rsid w:val="00D2526C"/>
    <w:rsid w:val="00D2528F"/>
    <w:rsid w:val="00D252A6"/>
    <w:rsid w:val="00D252DC"/>
    <w:rsid w:val="00D25311"/>
    <w:rsid w:val="00D253CB"/>
    <w:rsid w:val="00D25436"/>
    <w:rsid w:val="00D2545D"/>
    <w:rsid w:val="00D2547A"/>
    <w:rsid w:val="00D254DE"/>
    <w:rsid w:val="00D25503"/>
    <w:rsid w:val="00D2550F"/>
    <w:rsid w:val="00D25533"/>
    <w:rsid w:val="00D255A3"/>
    <w:rsid w:val="00D255B9"/>
    <w:rsid w:val="00D2560B"/>
    <w:rsid w:val="00D256A8"/>
    <w:rsid w:val="00D256C2"/>
    <w:rsid w:val="00D256E9"/>
    <w:rsid w:val="00D2574F"/>
    <w:rsid w:val="00D25773"/>
    <w:rsid w:val="00D257C6"/>
    <w:rsid w:val="00D25814"/>
    <w:rsid w:val="00D2587B"/>
    <w:rsid w:val="00D258FC"/>
    <w:rsid w:val="00D2590F"/>
    <w:rsid w:val="00D25943"/>
    <w:rsid w:val="00D25965"/>
    <w:rsid w:val="00D259EE"/>
    <w:rsid w:val="00D25A45"/>
    <w:rsid w:val="00D25A53"/>
    <w:rsid w:val="00D25AB9"/>
    <w:rsid w:val="00D25AC2"/>
    <w:rsid w:val="00D25AD2"/>
    <w:rsid w:val="00D25C6B"/>
    <w:rsid w:val="00D25CF2"/>
    <w:rsid w:val="00D25D12"/>
    <w:rsid w:val="00D25D3A"/>
    <w:rsid w:val="00D25D64"/>
    <w:rsid w:val="00D25DEC"/>
    <w:rsid w:val="00D25E85"/>
    <w:rsid w:val="00D25EC8"/>
    <w:rsid w:val="00D25ED5"/>
    <w:rsid w:val="00D25ED9"/>
    <w:rsid w:val="00D25F2D"/>
    <w:rsid w:val="00D25F2F"/>
    <w:rsid w:val="00D25F9F"/>
    <w:rsid w:val="00D260BB"/>
    <w:rsid w:val="00D260D8"/>
    <w:rsid w:val="00D2610C"/>
    <w:rsid w:val="00D26162"/>
    <w:rsid w:val="00D261C8"/>
    <w:rsid w:val="00D2624B"/>
    <w:rsid w:val="00D2624D"/>
    <w:rsid w:val="00D2625B"/>
    <w:rsid w:val="00D263B6"/>
    <w:rsid w:val="00D26409"/>
    <w:rsid w:val="00D2645B"/>
    <w:rsid w:val="00D26462"/>
    <w:rsid w:val="00D2649B"/>
    <w:rsid w:val="00D264A2"/>
    <w:rsid w:val="00D264CE"/>
    <w:rsid w:val="00D264D0"/>
    <w:rsid w:val="00D265AF"/>
    <w:rsid w:val="00D2662E"/>
    <w:rsid w:val="00D26694"/>
    <w:rsid w:val="00D267A8"/>
    <w:rsid w:val="00D267C0"/>
    <w:rsid w:val="00D2680E"/>
    <w:rsid w:val="00D26814"/>
    <w:rsid w:val="00D268FB"/>
    <w:rsid w:val="00D26928"/>
    <w:rsid w:val="00D26931"/>
    <w:rsid w:val="00D26940"/>
    <w:rsid w:val="00D2699F"/>
    <w:rsid w:val="00D269C8"/>
    <w:rsid w:val="00D26A5D"/>
    <w:rsid w:val="00D26ABA"/>
    <w:rsid w:val="00D26B42"/>
    <w:rsid w:val="00D26B62"/>
    <w:rsid w:val="00D26B6A"/>
    <w:rsid w:val="00D26B80"/>
    <w:rsid w:val="00D26BA9"/>
    <w:rsid w:val="00D26C19"/>
    <w:rsid w:val="00D26C9D"/>
    <w:rsid w:val="00D26CCC"/>
    <w:rsid w:val="00D26CFA"/>
    <w:rsid w:val="00D26D45"/>
    <w:rsid w:val="00D26DEC"/>
    <w:rsid w:val="00D26E61"/>
    <w:rsid w:val="00D26EE7"/>
    <w:rsid w:val="00D26F5B"/>
    <w:rsid w:val="00D26FBF"/>
    <w:rsid w:val="00D26FF7"/>
    <w:rsid w:val="00D27018"/>
    <w:rsid w:val="00D2705F"/>
    <w:rsid w:val="00D270A7"/>
    <w:rsid w:val="00D270CA"/>
    <w:rsid w:val="00D270DB"/>
    <w:rsid w:val="00D27139"/>
    <w:rsid w:val="00D271A6"/>
    <w:rsid w:val="00D271DB"/>
    <w:rsid w:val="00D27228"/>
    <w:rsid w:val="00D27280"/>
    <w:rsid w:val="00D272C8"/>
    <w:rsid w:val="00D27392"/>
    <w:rsid w:val="00D2742E"/>
    <w:rsid w:val="00D27461"/>
    <w:rsid w:val="00D27494"/>
    <w:rsid w:val="00D2749C"/>
    <w:rsid w:val="00D274D0"/>
    <w:rsid w:val="00D274EA"/>
    <w:rsid w:val="00D2755A"/>
    <w:rsid w:val="00D275D4"/>
    <w:rsid w:val="00D275DA"/>
    <w:rsid w:val="00D2760D"/>
    <w:rsid w:val="00D27640"/>
    <w:rsid w:val="00D27676"/>
    <w:rsid w:val="00D276BD"/>
    <w:rsid w:val="00D2776B"/>
    <w:rsid w:val="00D2778B"/>
    <w:rsid w:val="00D27792"/>
    <w:rsid w:val="00D277B9"/>
    <w:rsid w:val="00D277EB"/>
    <w:rsid w:val="00D277F0"/>
    <w:rsid w:val="00D27839"/>
    <w:rsid w:val="00D2784E"/>
    <w:rsid w:val="00D27880"/>
    <w:rsid w:val="00D27917"/>
    <w:rsid w:val="00D27959"/>
    <w:rsid w:val="00D279BB"/>
    <w:rsid w:val="00D279E2"/>
    <w:rsid w:val="00D27A49"/>
    <w:rsid w:val="00D27A84"/>
    <w:rsid w:val="00D27BC2"/>
    <w:rsid w:val="00D27C42"/>
    <w:rsid w:val="00D27C76"/>
    <w:rsid w:val="00D27C96"/>
    <w:rsid w:val="00D27CA1"/>
    <w:rsid w:val="00D27DA8"/>
    <w:rsid w:val="00D27DC6"/>
    <w:rsid w:val="00D27E02"/>
    <w:rsid w:val="00D27EED"/>
    <w:rsid w:val="00D27F97"/>
    <w:rsid w:val="00D27FB3"/>
    <w:rsid w:val="00D300E2"/>
    <w:rsid w:val="00D30129"/>
    <w:rsid w:val="00D30143"/>
    <w:rsid w:val="00D301FB"/>
    <w:rsid w:val="00D302A8"/>
    <w:rsid w:val="00D302AD"/>
    <w:rsid w:val="00D302BA"/>
    <w:rsid w:val="00D30363"/>
    <w:rsid w:val="00D303A1"/>
    <w:rsid w:val="00D303D1"/>
    <w:rsid w:val="00D303F0"/>
    <w:rsid w:val="00D303F9"/>
    <w:rsid w:val="00D30489"/>
    <w:rsid w:val="00D30490"/>
    <w:rsid w:val="00D30491"/>
    <w:rsid w:val="00D304BB"/>
    <w:rsid w:val="00D304DF"/>
    <w:rsid w:val="00D30505"/>
    <w:rsid w:val="00D30597"/>
    <w:rsid w:val="00D3059E"/>
    <w:rsid w:val="00D305E8"/>
    <w:rsid w:val="00D305FB"/>
    <w:rsid w:val="00D30691"/>
    <w:rsid w:val="00D3069D"/>
    <w:rsid w:val="00D306D1"/>
    <w:rsid w:val="00D307A2"/>
    <w:rsid w:val="00D307ED"/>
    <w:rsid w:val="00D308B0"/>
    <w:rsid w:val="00D308C4"/>
    <w:rsid w:val="00D308CE"/>
    <w:rsid w:val="00D3093F"/>
    <w:rsid w:val="00D309C3"/>
    <w:rsid w:val="00D30A2B"/>
    <w:rsid w:val="00D30B21"/>
    <w:rsid w:val="00D30B7C"/>
    <w:rsid w:val="00D30C05"/>
    <w:rsid w:val="00D30C62"/>
    <w:rsid w:val="00D30CBC"/>
    <w:rsid w:val="00D30DCE"/>
    <w:rsid w:val="00D30DFA"/>
    <w:rsid w:val="00D30E56"/>
    <w:rsid w:val="00D30EB5"/>
    <w:rsid w:val="00D30EB8"/>
    <w:rsid w:val="00D30F06"/>
    <w:rsid w:val="00D30F87"/>
    <w:rsid w:val="00D30FA5"/>
    <w:rsid w:val="00D30FF5"/>
    <w:rsid w:val="00D31066"/>
    <w:rsid w:val="00D3109B"/>
    <w:rsid w:val="00D310A8"/>
    <w:rsid w:val="00D310F1"/>
    <w:rsid w:val="00D3112B"/>
    <w:rsid w:val="00D3113D"/>
    <w:rsid w:val="00D31204"/>
    <w:rsid w:val="00D31216"/>
    <w:rsid w:val="00D31296"/>
    <w:rsid w:val="00D31297"/>
    <w:rsid w:val="00D312AD"/>
    <w:rsid w:val="00D312D4"/>
    <w:rsid w:val="00D313EE"/>
    <w:rsid w:val="00D31401"/>
    <w:rsid w:val="00D31404"/>
    <w:rsid w:val="00D3142B"/>
    <w:rsid w:val="00D3147A"/>
    <w:rsid w:val="00D31486"/>
    <w:rsid w:val="00D314BA"/>
    <w:rsid w:val="00D314DC"/>
    <w:rsid w:val="00D3156E"/>
    <w:rsid w:val="00D31593"/>
    <w:rsid w:val="00D315FC"/>
    <w:rsid w:val="00D31648"/>
    <w:rsid w:val="00D316D7"/>
    <w:rsid w:val="00D316FE"/>
    <w:rsid w:val="00D31723"/>
    <w:rsid w:val="00D31775"/>
    <w:rsid w:val="00D318E1"/>
    <w:rsid w:val="00D318E7"/>
    <w:rsid w:val="00D318E9"/>
    <w:rsid w:val="00D31908"/>
    <w:rsid w:val="00D31946"/>
    <w:rsid w:val="00D3194A"/>
    <w:rsid w:val="00D3195A"/>
    <w:rsid w:val="00D319A0"/>
    <w:rsid w:val="00D319C1"/>
    <w:rsid w:val="00D319DA"/>
    <w:rsid w:val="00D319ED"/>
    <w:rsid w:val="00D319F3"/>
    <w:rsid w:val="00D31B62"/>
    <w:rsid w:val="00D31B9B"/>
    <w:rsid w:val="00D31BA2"/>
    <w:rsid w:val="00D31BCC"/>
    <w:rsid w:val="00D31BF5"/>
    <w:rsid w:val="00D31C05"/>
    <w:rsid w:val="00D31C2B"/>
    <w:rsid w:val="00D31C30"/>
    <w:rsid w:val="00D31CA0"/>
    <w:rsid w:val="00D31D34"/>
    <w:rsid w:val="00D31D57"/>
    <w:rsid w:val="00D31DEA"/>
    <w:rsid w:val="00D31E44"/>
    <w:rsid w:val="00D31E5D"/>
    <w:rsid w:val="00D31EB5"/>
    <w:rsid w:val="00D31F5B"/>
    <w:rsid w:val="00D31F5E"/>
    <w:rsid w:val="00D31FEE"/>
    <w:rsid w:val="00D32009"/>
    <w:rsid w:val="00D320DB"/>
    <w:rsid w:val="00D32285"/>
    <w:rsid w:val="00D322A3"/>
    <w:rsid w:val="00D322B2"/>
    <w:rsid w:val="00D322EB"/>
    <w:rsid w:val="00D323F0"/>
    <w:rsid w:val="00D32418"/>
    <w:rsid w:val="00D324C3"/>
    <w:rsid w:val="00D32651"/>
    <w:rsid w:val="00D3265A"/>
    <w:rsid w:val="00D3265D"/>
    <w:rsid w:val="00D32690"/>
    <w:rsid w:val="00D32725"/>
    <w:rsid w:val="00D3273B"/>
    <w:rsid w:val="00D32773"/>
    <w:rsid w:val="00D327AA"/>
    <w:rsid w:val="00D327B3"/>
    <w:rsid w:val="00D327DA"/>
    <w:rsid w:val="00D32805"/>
    <w:rsid w:val="00D328A8"/>
    <w:rsid w:val="00D32968"/>
    <w:rsid w:val="00D329BE"/>
    <w:rsid w:val="00D329C4"/>
    <w:rsid w:val="00D329E4"/>
    <w:rsid w:val="00D329E6"/>
    <w:rsid w:val="00D32A15"/>
    <w:rsid w:val="00D32A2A"/>
    <w:rsid w:val="00D32A48"/>
    <w:rsid w:val="00D32ACE"/>
    <w:rsid w:val="00D32AF0"/>
    <w:rsid w:val="00D32B5B"/>
    <w:rsid w:val="00D32B63"/>
    <w:rsid w:val="00D32C11"/>
    <w:rsid w:val="00D32C4E"/>
    <w:rsid w:val="00D32CB0"/>
    <w:rsid w:val="00D32D0A"/>
    <w:rsid w:val="00D32D1F"/>
    <w:rsid w:val="00D32D52"/>
    <w:rsid w:val="00D32DDE"/>
    <w:rsid w:val="00D32E75"/>
    <w:rsid w:val="00D32E9F"/>
    <w:rsid w:val="00D32ED6"/>
    <w:rsid w:val="00D32EE1"/>
    <w:rsid w:val="00D32F2A"/>
    <w:rsid w:val="00D32FE4"/>
    <w:rsid w:val="00D3301E"/>
    <w:rsid w:val="00D33047"/>
    <w:rsid w:val="00D3313F"/>
    <w:rsid w:val="00D331B8"/>
    <w:rsid w:val="00D331F0"/>
    <w:rsid w:val="00D33207"/>
    <w:rsid w:val="00D33257"/>
    <w:rsid w:val="00D33277"/>
    <w:rsid w:val="00D33285"/>
    <w:rsid w:val="00D332F8"/>
    <w:rsid w:val="00D33320"/>
    <w:rsid w:val="00D33334"/>
    <w:rsid w:val="00D3340E"/>
    <w:rsid w:val="00D3342F"/>
    <w:rsid w:val="00D3346E"/>
    <w:rsid w:val="00D3347F"/>
    <w:rsid w:val="00D334B7"/>
    <w:rsid w:val="00D3352A"/>
    <w:rsid w:val="00D3356B"/>
    <w:rsid w:val="00D33668"/>
    <w:rsid w:val="00D3366E"/>
    <w:rsid w:val="00D3367A"/>
    <w:rsid w:val="00D33795"/>
    <w:rsid w:val="00D337F5"/>
    <w:rsid w:val="00D3384A"/>
    <w:rsid w:val="00D338E9"/>
    <w:rsid w:val="00D33906"/>
    <w:rsid w:val="00D339BA"/>
    <w:rsid w:val="00D339E1"/>
    <w:rsid w:val="00D33AC4"/>
    <w:rsid w:val="00D33ACB"/>
    <w:rsid w:val="00D33AF7"/>
    <w:rsid w:val="00D33B12"/>
    <w:rsid w:val="00D33B2A"/>
    <w:rsid w:val="00D33B53"/>
    <w:rsid w:val="00D33BAA"/>
    <w:rsid w:val="00D33BCE"/>
    <w:rsid w:val="00D33C31"/>
    <w:rsid w:val="00D33C69"/>
    <w:rsid w:val="00D33CA3"/>
    <w:rsid w:val="00D33DB7"/>
    <w:rsid w:val="00D33DE6"/>
    <w:rsid w:val="00D33E19"/>
    <w:rsid w:val="00D33E7A"/>
    <w:rsid w:val="00D33EB4"/>
    <w:rsid w:val="00D33EED"/>
    <w:rsid w:val="00D33F33"/>
    <w:rsid w:val="00D33F90"/>
    <w:rsid w:val="00D33FD6"/>
    <w:rsid w:val="00D33FE2"/>
    <w:rsid w:val="00D33FF6"/>
    <w:rsid w:val="00D33FF8"/>
    <w:rsid w:val="00D3400D"/>
    <w:rsid w:val="00D340A7"/>
    <w:rsid w:val="00D3410F"/>
    <w:rsid w:val="00D34119"/>
    <w:rsid w:val="00D34129"/>
    <w:rsid w:val="00D34170"/>
    <w:rsid w:val="00D3424F"/>
    <w:rsid w:val="00D3427C"/>
    <w:rsid w:val="00D343A1"/>
    <w:rsid w:val="00D34419"/>
    <w:rsid w:val="00D34454"/>
    <w:rsid w:val="00D3446D"/>
    <w:rsid w:val="00D34482"/>
    <w:rsid w:val="00D344D5"/>
    <w:rsid w:val="00D344E6"/>
    <w:rsid w:val="00D3453D"/>
    <w:rsid w:val="00D34546"/>
    <w:rsid w:val="00D3454E"/>
    <w:rsid w:val="00D34552"/>
    <w:rsid w:val="00D345B1"/>
    <w:rsid w:val="00D346E9"/>
    <w:rsid w:val="00D346F2"/>
    <w:rsid w:val="00D346F3"/>
    <w:rsid w:val="00D34752"/>
    <w:rsid w:val="00D3479C"/>
    <w:rsid w:val="00D347AB"/>
    <w:rsid w:val="00D34899"/>
    <w:rsid w:val="00D348C4"/>
    <w:rsid w:val="00D348FC"/>
    <w:rsid w:val="00D34963"/>
    <w:rsid w:val="00D3496F"/>
    <w:rsid w:val="00D34971"/>
    <w:rsid w:val="00D34A34"/>
    <w:rsid w:val="00D34A4D"/>
    <w:rsid w:val="00D34ACC"/>
    <w:rsid w:val="00D34B0D"/>
    <w:rsid w:val="00D34B1D"/>
    <w:rsid w:val="00D34B4D"/>
    <w:rsid w:val="00D34BF3"/>
    <w:rsid w:val="00D34C51"/>
    <w:rsid w:val="00D34C67"/>
    <w:rsid w:val="00D34D1A"/>
    <w:rsid w:val="00D34D33"/>
    <w:rsid w:val="00D34D83"/>
    <w:rsid w:val="00D34DAF"/>
    <w:rsid w:val="00D34E9C"/>
    <w:rsid w:val="00D34EA2"/>
    <w:rsid w:val="00D34F1C"/>
    <w:rsid w:val="00D34F20"/>
    <w:rsid w:val="00D34F46"/>
    <w:rsid w:val="00D34FAC"/>
    <w:rsid w:val="00D35015"/>
    <w:rsid w:val="00D350EB"/>
    <w:rsid w:val="00D351B6"/>
    <w:rsid w:val="00D351E7"/>
    <w:rsid w:val="00D352D0"/>
    <w:rsid w:val="00D3531D"/>
    <w:rsid w:val="00D3534C"/>
    <w:rsid w:val="00D353B0"/>
    <w:rsid w:val="00D353F3"/>
    <w:rsid w:val="00D353FF"/>
    <w:rsid w:val="00D35503"/>
    <w:rsid w:val="00D35584"/>
    <w:rsid w:val="00D355A5"/>
    <w:rsid w:val="00D35609"/>
    <w:rsid w:val="00D35683"/>
    <w:rsid w:val="00D356A4"/>
    <w:rsid w:val="00D3573C"/>
    <w:rsid w:val="00D35740"/>
    <w:rsid w:val="00D35746"/>
    <w:rsid w:val="00D35777"/>
    <w:rsid w:val="00D35780"/>
    <w:rsid w:val="00D35790"/>
    <w:rsid w:val="00D357B7"/>
    <w:rsid w:val="00D357FC"/>
    <w:rsid w:val="00D35855"/>
    <w:rsid w:val="00D358E1"/>
    <w:rsid w:val="00D35917"/>
    <w:rsid w:val="00D35A30"/>
    <w:rsid w:val="00D35A89"/>
    <w:rsid w:val="00D35AFA"/>
    <w:rsid w:val="00D35B0B"/>
    <w:rsid w:val="00D35B4B"/>
    <w:rsid w:val="00D35B4C"/>
    <w:rsid w:val="00D35B53"/>
    <w:rsid w:val="00D35C1E"/>
    <w:rsid w:val="00D35C29"/>
    <w:rsid w:val="00D35C5D"/>
    <w:rsid w:val="00D35C9A"/>
    <w:rsid w:val="00D35CBF"/>
    <w:rsid w:val="00D35D00"/>
    <w:rsid w:val="00D35D78"/>
    <w:rsid w:val="00D35DD3"/>
    <w:rsid w:val="00D35DD4"/>
    <w:rsid w:val="00D35E0E"/>
    <w:rsid w:val="00D35EB8"/>
    <w:rsid w:val="00D35EE3"/>
    <w:rsid w:val="00D35EE7"/>
    <w:rsid w:val="00D35EF0"/>
    <w:rsid w:val="00D35F06"/>
    <w:rsid w:val="00D35F17"/>
    <w:rsid w:val="00D35F1B"/>
    <w:rsid w:val="00D35F65"/>
    <w:rsid w:val="00D35F6D"/>
    <w:rsid w:val="00D36052"/>
    <w:rsid w:val="00D36067"/>
    <w:rsid w:val="00D3611D"/>
    <w:rsid w:val="00D36197"/>
    <w:rsid w:val="00D361B1"/>
    <w:rsid w:val="00D36234"/>
    <w:rsid w:val="00D36250"/>
    <w:rsid w:val="00D36294"/>
    <w:rsid w:val="00D362C5"/>
    <w:rsid w:val="00D362F9"/>
    <w:rsid w:val="00D36343"/>
    <w:rsid w:val="00D36374"/>
    <w:rsid w:val="00D36398"/>
    <w:rsid w:val="00D363AF"/>
    <w:rsid w:val="00D3642A"/>
    <w:rsid w:val="00D3654D"/>
    <w:rsid w:val="00D36555"/>
    <w:rsid w:val="00D36562"/>
    <w:rsid w:val="00D3658D"/>
    <w:rsid w:val="00D36590"/>
    <w:rsid w:val="00D365B5"/>
    <w:rsid w:val="00D365B7"/>
    <w:rsid w:val="00D36608"/>
    <w:rsid w:val="00D36621"/>
    <w:rsid w:val="00D3663A"/>
    <w:rsid w:val="00D36696"/>
    <w:rsid w:val="00D366AD"/>
    <w:rsid w:val="00D366C0"/>
    <w:rsid w:val="00D366CE"/>
    <w:rsid w:val="00D36752"/>
    <w:rsid w:val="00D3676B"/>
    <w:rsid w:val="00D36794"/>
    <w:rsid w:val="00D367AA"/>
    <w:rsid w:val="00D36828"/>
    <w:rsid w:val="00D3685E"/>
    <w:rsid w:val="00D36889"/>
    <w:rsid w:val="00D368ED"/>
    <w:rsid w:val="00D36938"/>
    <w:rsid w:val="00D36987"/>
    <w:rsid w:val="00D369E3"/>
    <w:rsid w:val="00D36A14"/>
    <w:rsid w:val="00D36A23"/>
    <w:rsid w:val="00D36A4E"/>
    <w:rsid w:val="00D36AA3"/>
    <w:rsid w:val="00D36AB8"/>
    <w:rsid w:val="00D36B19"/>
    <w:rsid w:val="00D36B1A"/>
    <w:rsid w:val="00D36C48"/>
    <w:rsid w:val="00D36C56"/>
    <w:rsid w:val="00D36C7A"/>
    <w:rsid w:val="00D36C96"/>
    <w:rsid w:val="00D36CCD"/>
    <w:rsid w:val="00D36CE7"/>
    <w:rsid w:val="00D36CED"/>
    <w:rsid w:val="00D36D5B"/>
    <w:rsid w:val="00D36E1C"/>
    <w:rsid w:val="00D36E6F"/>
    <w:rsid w:val="00D36EC5"/>
    <w:rsid w:val="00D36F66"/>
    <w:rsid w:val="00D36FD4"/>
    <w:rsid w:val="00D37038"/>
    <w:rsid w:val="00D37039"/>
    <w:rsid w:val="00D3703E"/>
    <w:rsid w:val="00D37140"/>
    <w:rsid w:val="00D3715C"/>
    <w:rsid w:val="00D371DD"/>
    <w:rsid w:val="00D37221"/>
    <w:rsid w:val="00D3724E"/>
    <w:rsid w:val="00D372B3"/>
    <w:rsid w:val="00D3731E"/>
    <w:rsid w:val="00D37375"/>
    <w:rsid w:val="00D37396"/>
    <w:rsid w:val="00D373CE"/>
    <w:rsid w:val="00D374E5"/>
    <w:rsid w:val="00D37510"/>
    <w:rsid w:val="00D37511"/>
    <w:rsid w:val="00D37513"/>
    <w:rsid w:val="00D37514"/>
    <w:rsid w:val="00D3756F"/>
    <w:rsid w:val="00D37598"/>
    <w:rsid w:val="00D375AE"/>
    <w:rsid w:val="00D375F8"/>
    <w:rsid w:val="00D3766C"/>
    <w:rsid w:val="00D3768E"/>
    <w:rsid w:val="00D3770D"/>
    <w:rsid w:val="00D37729"/>
    <w:rsid w:val="00D3779B"/>
    <w:rsid w:val="00D377BE"/>
    <w:rsid w:val="00D37809"/>
    <w:rsid w:val="00D3789D"/>
    <w:rsid w:val="00D3789F"/>
    <w:rsid w:val="00D37910"/>
    <w:rsid w:val="00D3795B"/>
    <w:rsid w:val="00D379B3"/>
    <w:rsid w:val="00D379C8"/>
    <w:rsid w:val="00D379E4"/>
    <w:rsid w:val="00D379F2"/>
    <w:rsid w:val="00D37A13"/>
    <w:rsid w:val="00D37A50"/>
    <w:rsid w:val="00D37A51"/>
    <w:rsid w:val="00D37A68"/>
    <w:rsid w:val="00D37A6D"/>
    <w:rsid w:val="00D37AF3"/>
    <w:rsid w:val="00D37B11"/>
    <w:rsid w:val="00D37B4E"/>
    <w:rsid w:val="00D37BA1"/>
    <w:rsid w:val="00D37C11"/>
    <w:rsid w:val="00D37C6C"/>
    <w:rsid w:val="00D37C9C"/>
    <w:rsid w:val="00D37CC5"/>
    <w:rsid w:val="00D37CFD"/>
    <w:rsid w:val="00D37D0B"/>
    <w:rsid w:val="00D37D44"/>
    <w:rsid w:val="00D37E10"/>
    <w:rsid w:val="00D37E3F"/>
    <w:rsid w:val="00D37E46"/>
    <w:rsid w:val="00D37E51"/>
    <w:rsid w:val="00D37E59"/>
    <w:rsid w:val="00D37EA6"/>
    <w:rsid w:val="00D37EB9"/>
    <w:rsid w:val="00D37F24"/>
    <w:rsid w:val="00D37F6E"/>
    <w:rsid w:val="00D37FC6"/>
    <w:rsid w:val="00D40104"/>
    <w:rsid w:val="00D40126"/>
    <w:rsid w:val="00D40131"/>
    <w:rsid w:val="00D4015B"/>
    <w:rsid w:val="00D40163"/>
    <w:rsid w:val="00D40194"/>
    <w:rsid w:val="00D40219"/>
    <w:rsid w:val="00D4024B"/>
    <w:rsid w:val="00D4026A"/>
    <w:rsid w:val="00D40295"/>
    <w:rsid w:val="00D4029D"/>
    <w:rsid w:val="00D402B2"/>
    <w:rsid w:val="00D403C9"/>
    <w:rsid w:val="00D403CC"/>
    <w:rsid w:val="00D40429"/>
    <w:rsid w:val="00D4051F"/>
    <w:rsid w:val="00D4053E"/>
    <w:rsid w:val="00D405BD"/>
    <w:rsid w:val="00D405E0"/>
    <w:rsid w:val="00D40623"/>
    <w:rsid w:val="00D40637"/>
    <w:rsid w:val="00D40694"/>
    <w:rsid w:val="00D406D0"/>
    <w:rsid w:val="00D406FD"/>
    <w:rsid w:val="00D4077E"/>
    <w:rsid w:val="00D40797"/>
    <w:rsid w:val="00D40819"/>
    <w:rsid w:val="00D40841"/>
    <w:rsid w:val="00D4085B"/>
    <w:rsid w:val="00D4087B"/>
    <w:rsid w:val="00D408D9"/>
    <w:rsid w:val="00D4094C"/>
    <w:rsid w:val="00D4094E"/>
    <w:rsid w:val="00D40978"/>
    <w:rsid w:val="00D4099C"/>
    <w:rsid w:val="00D409AB"/>
    <w:rsid w:val="00D409D0"/>
    <w:rsid w:val="00D409DC"/>
    <w:rsid w:val="00D409E8"/>
    <w:rsid w:val="00D40A7C"/>
    <w:rsid w:val="00D40A9A"/>
    <w:rsid w:val="00D40AA4"/>
    <w:rsid w:val="00D40B16"/>
    <w:rsid w:val="00D40B1B"/>
    <w:rsid w:val="00D40BAB"/>
    <w:rsid w:val="00D40C0B"/>
    <w:rsid w:val="00D40C0F"/>
    <w:rsid w:val="00D40C56"/>
    <w:rsid w:val="00D40C9B"/>
    <w:rsid w:val="00D40CC5"/>
    <w:rsid w:val="00D40CED"/>
    <w:rsid w:val="00D40D06"/>
    <w:rsid w:val="00D40D16"/>
    <w:rsid w:val="00D40DD9"/>
    <w:rsid w:val="00D40DE4"/>
    <w:rsid w:val="00D40DEB"/>
    <w:rsid w:val="00D40DF8"/>
    <w:rsid w:val="00D40E19"/>
    <w:rsid w:val="00D40E32"/>
    <w:rsid w:val="00D40E96"/>
    <w:rsid w:val="00D40FE6"/>
    <w:rsid w:val="00D4100E"/>
    <w:rsid w:val="00D41020"/>
    <w:rsid w:val="00D4102A"/>
    <w:rsid w:val="00D41155"/>
    <w:rsid w:val="00D411F3"/>
    <w:rsid w:val="00D411FC"/>
    <w:rsid w:val="00D4124C"/>
    <w:rsid w:val="00D41274"/>
    <w:rsid w:val="00D41340"/>
    <w:rsid w:val="00D4136E"/>
    <w:rsid w:val="00D4139D"/>
    <w:rsid w:val="00D413C0"/>
    <w:rsid w:val="00D41415"/>
    <w:rsid w:val="00D41419"/>
    <w:rsid w:val="00D41475"/>
    <w:rsid w:val="00D4149A"/>
    <w:rsid w:val="00D414E3"/>
    <w:rsid w:val="00D41593"/>
    <w:rsid w:val="00D415B2"/>
    <w:rsid w:val="00D4162B"/>
    <w:rsid w:val="00D41649"/>
    <w:rsid w:val="00D4164B"/>
    <w:rsid w:val="00D41694"/>
    <w:rsid w:val="00D4170C"/>
    <w:rsid w:val="00D4171F"/>
    <w:rsid w:val="00D41747"/>
    <w:rsid w:val="00D41765"/>
    <w:rsid w:val="00D417A3"/>
    <w:rsid w:val="00D417FB"/>
    <w:rsid w:val="00D418B5"/>
    <w:rsid w:val="00D418C3"/>
    <w:rsid w:val="00D418F4"/>
    <w:rsid w:val="00D418FE"/>
    <w:rsid w:val="00D41914"/>
    <w:rsid w:val="00D4191A"/>
    <w:rsid w:val="00D419E6"/>
    <w:rsid w:val="00D419EC"/>
    <w:rsid w:val="00D41A0E"/>
    <w:rsid w:val="00D41A78"/>
    <w:rsid w:val="00D41A79"/>
    <w:rsid w:val="00D41A94"/>
    <w:rsid w:val="00D41AC4"/>
    <w:rsid w:val="00D41AFD"/>
    <w:rsid w:val="00D41B05"/>
    <w:rsid w:val="00D41B31"/>
    <w:rsid w:val="00D41B6C"/>
    <w:rsid w:val="00D41BFC"/>
    <w:rsid w:val="00D41C94"/>
    <w:rsid w:val="00D41CA0"/>
    <w:rsid w:val="00D41CF0"/>
    <w:rsid w:val="00D41D00"/>
    <w:rsid w:val="00D41D0F"/>
    <w:rsid w:val="00D41D4B"/>
    <w:rsid w:val="00D41DE7"/>
    <w:rsid w:val="00D41E29"/>
    <w:rsid w:val="00D41E60"/>
    <w:rsid w:val="00D41F66"/>
    <w:rsid w:val="00D41F7B"/>
    <w:rsid w:val="00D41F80"/>
    <w:rsid w:val="00D41F97"/>
    <w:rsid w:val="00D41FA0"/>
    <w:rsid w:val="00D41FA2"/>
    <w:rsid w:val="00D41FC1"/>
    <w:rsid w:val="00D41FE8"/>
    <w:rsid w:val="00D42011"/>
    <w:rsid w:val="00D42074"/>
    <w:rsid w:val="00D420AA"/>
    <w:rsid w:val="00D4213F"/>
    <w:rsid w:val="00D42186"/>
    <w:rsid w:val="00D421F0"/>
    <w:rsid w:val="00D4220A"/>
    <w:rsid w:val="00D4223E"/>
    <w:rsid w:val="00D42248"/>
    <w:rsid w:val="00D42266"/>
    <w:rsid w:val="00D4231B"/>
    <w:rsid w:val="00D4232B"/>
    <w:rsid w:val="00D4234F"/>
    <w:rsid w:val="00D42373"/>
    <w:rsid w:val="00D423BF"/>
    <w:rsid w:val="00D423C9"/>
    <w:rsid w:val="00D423F2"/>
    <w:rsid w:val="00D42518"/>
    <w:rsid w:val="00D4263C"/>
    <w:rsid w:val="00D42653"/>
    <w:rsid w:val="00D42713"/>
    <w:rsid w:val="00D42719"/>
    <w:rsid w:val="00D4272D"/>
    <w:rsid w:val="00D42883"/>
    <w:rsid w:val="00D4288F"/>
    <w:rsid w:val="00D428B3"/>
    <w:rsid w:val="00D428C5"/>
    <w:rsid w:val="00D428EB"/>
    <w:rsid w:val="00D42930"/>
    <w:rsid w:val="00D42948"/>
    <w:rsid w:val="00D4297E"/>
    <w:rsid w:val="00D4299B"/>
    <w:rsid w:val="00D429D9"/>
    <w:rsid w:val="00D42A23"/>
    <w:rsid w:val="00D42A83"/>
    <w:rsid w:val="00D42B20"/>
    <w:rsid w:val="00D42B78"/>
    <w:rsid w:val="00D42BB4"/>
    <w:rsid w:val="00D42BBC"/>
    <w:rsid w:val="00D42BD0"/>
    <w:rsid w:val="00D42C07"/>
    <w:rsid w:val="00D42C33"/>
    <w:rsid w:val="00D42C36"/>
    <w:rsid w:val="00D42C90"/>
    <w:rsid w:val="00D42CA1"/>
    <w:rsid w:val="00D42CD3"/>
    <w:rsid w:val="00D42CE0"/>
    <w:rsid w:val="00D42D37"/>
    <w:rsid w:val="00D42D50"/>
    <w:rsid w:val="00D42DB3"/>
    <w:rsid w:val="00D42E9F"/>
    <w:rsid w:val="00D42F17"/>
    <w:rsid w:val="00D42F41"/>
    <w:rsid w:val="00D42FC0"/>
    <w:rsid w:val="00D43012"/>
    <w:rsid w:val="00D43044"/>
    <w:rsid w:val="00D4306B"/>
    <w:rsid w:val="00D430B0"/>
    <w:rsid w:val="00D430D0"/>
    <w:rsid w:val="00D43125"/>
    <w:rsid w:val="00D43128"/>
    <w:rsid w:val="00D4314F"/>
    <w:rsid w:val="00D43154"/>
    <w:rsid w:val="00D4323F"/>
    <w:rsid w:val="00D43247"/>
    <w:rsid w:val="00D43302"/>
    <w:rsid w:val="00D43386"/>
    <w:rsid w:val="00D4338F"/>
    <w:rsid w:val="00D434FA"/>
    <w:rsid w:val="00D43546"/>
    <w:rsid w:val="00D43550"/>
    <w:rsid w:val="00D43571"/>
    <w:rsid w:val="00D43579"/>
    <w:rsid w:val="00D435BD"/>
    <w:rsid w:val="00D435E8"/>
    <w:rsid w:val="00D4360C"/>
    <w:rsid w:val="00D4362C"/>
    <w:rsid w:val="00D436A5"/>
    <w:rsid w:val="00D436A7"/>
    <w:rsid w:val="00D436FA"/>
    <w:rsid w:val="00D43765"/>
    <w:rsid w:val="00D437A9"/>
    <w:rsid w:val="00D437B3"/>
    <w:rsid w:val="00D4382D"/>
    <w:rsid w:val="00D43862"/>
    <w:rsid w:val="00D438AE"/>
    <w:rsid w:val="00D43916"/>
    <w:rsid w:val="00D4393D"/>
    <w:rsid w:val="00D43A57"/>
    <w:rsid w:val="00D43A66"/>
    <w:rsid w:val="00D43ABA"/>
    <w:rsid w:val="00D43AE6"/>
    <w:rsid w:val="00D43AF6"/>
    <w:rsid w:val="00D43BA4"/>
    <w:rsid w:val="00D43BDF"/>
    <w:rsid w:val="00D43C3D"/>
    <w:rsid w:val="00D43CC2"/>
    <w:rsid w:val="00D43CDE"/>
    <w:rsid w:val="00D43D2C"/>
    <w:rsid w:val="00D43E0D"/>
    <w:rsid w:val="00D43EA7"/>
    <w:rsid w:val="00D43F9E"/>
    <w:rsid w:val="00D43FB8"/>
    <w:rsid w:val="00D43FC9"/>
    <w:rsid w:val="00D43FCA"/>
    <w:rsid w:val="00D43FD9"/>
    <w:rsid w:val="00D4400F"/>
    <w:rsid w:val="00D44014"/>
    <w:rsid w:val="00D4402E"/>
    <w:rsid w:val="00D440D8"/>
    <w:rsid w:val="00D440E9"/>
    <w:rsid w:val="00D44123"/>
    <w:rsid w:val="00D44153"/>
    <w:rsid w:val="00D441B7"/>
    <w:rsid w:val="00D441EE"/>
    <w:rsid w:val="00D4422E"/>
    <w:rsid w:val="00D44257"/>
    <w:rsid w:val="00D44275"/>
    <w:rsid w:val="00D4428A"/>
    <w:rsid w:val="00D442BC"/>
    <w:rsid w:val="00D442F3"/>
    <w:rsid w:val="00D442FD"/>
    <w:rsid w:val="00D4430E"/>
    <w:rsid w:val="00D443A7"/>
    <w:rsid w:val="00D443B7"/>
    <w:rsid w:val="00D4446C"/>
    <w:rsid w:val="00D4453E"/>
    <w:rsid w:val="00D44556"/>
    <w:rsid w:val="00D4457D"/>
    <w:rsid w:val="00D445C0"/>
    <w:rsid w:val="00D4465B"/>
    <w:rsid w:val="00D44668"/>
    <w:rsid w:val="00D446B1"/>
    <w:rsid w:val="00D446C8"/>
    <w:rsid w:val="00D446EA"/>
    <w:rsid w:val="00D447A1"/>
    <w:rsid w:val="00D447AF"/>
    <w:rsid w:val="00D447EE"/>
    <w:rsid w:val="00D447FD"/>
    <w:rsid w:val="00D44834"/>
    <w:rsid w:val="00D44840"/>
    <w:rsid w:val="00D4485E"/>
    <w:rsid w:val="00D44865"/>
    <w:rsid w:val="00D44870"/>
    <w:rsid w:val="00D448B2"/>
    <w:rsid w:val="00D448BA"/>
    <w:rsid w:val="00D44968"/>
    <w:rsid w:val="00D449D2"/>
    <w:rsid w:val="00D449D4"/>
    <w:rsid w:val="00D44A4A"/>
    <w:rsid w:val="00D44A7E"/>
    <w:rsid w:val="00D44A8B"/>
    <w:rsid w:val="00D44AF2"/>
    <w:rsid w:val="00D44B02"/>
    <w:rsid w:val="00D44B15"/>
    <w:rsid w:val="00D44B45"/>
    <w:rsid w:val="00D44B59"/>
    <w:rsid w:val="00D44B67"/>
    <w:rsid w:val="00D44C2F"/>
    <w:rsid w:val="00D44C3D"/>
    <w:rsid w:val="00D44C51"/>
    <w:rsid w:val="00D44C65"/>
    <w:rsid w:val="00D44C7D"/>
    <w:rsid w:val="00D44CD2"/>
    <w:rsid w:val="00D44CDF"/>
    <w:rsid w:val="00D44CED"/>
    <w:rsid w:val="00D44CF8"/>
    <w:rsid w:val="00D44D25"/>
    <w:rsid w:val="00D44D79"/>
    <w:rsid w:val="00D44DA7"/>
    <w:rsid w:val="00D44E4F"/>
    <w:rsid w:val="00D44E5A"/>
    <w:rsid w:val="00D44E5F"/>
    <w:rsid w:val="00D44F32"/>
    <w:rsid w:val="00D44F3C"/>
    <w:rsid w:val="00D44FA1"/>
    <w:rsid w:val="00D44FE9"/>
    <w:rsid w:val="00D45029"/>
    <w:rsid w:val="00D45034"/>
    <w:rsid w:val="00D45115"/>
    <w:rsid w:val="00D45192"/>
    <w:rsid w:val="00D451AF"/>
    <w:rsid w:val="00D4523A"/>
    <w:rsid w:val="00D45243"/>
    <w:rsid w:val="00D45276"/>
    <w:rsid w:val="00D4527A"/>
    <w:rsid w:val="00D452F3"/>
    <w:rsid w:val="00D45300"/>
    <w:rsid w:val="00D4539B"/>
    <w:rsid w:val="00D453C3"/>
    <w:rsid w:val="00D453EB"/>
    <w:rsid w:val="00D45413"/>
    <w:rsid w:val="00D45426"/>
    <w:rsid w:val="00D45489"/>
    <w:rsid w:val="00D454F8"/>
    <w:rsid w:val="00D45576"/>
    <w:rsid w:val="00D45614"/>
    <w:rsid w:val="00D45649"/>
    <w:rsid w:val="00D45666"/>
    <w:rsid w:val="00D456C7"/>
    <w:rsid w:val="00D45736"/>
    <w:rsid w:val="00D45742"/>
    <w:rsid w:val="00D4575D"/>
    <w:rsid w:val="00D4579B"/>
    <w:rsid w:val="00D457BD"/>
    <w:rsid w:val="00D4580C"/>
    <w:rsid w:val="00D45825"/>
    <w:rsid w:val="00D45871"/>
    <w:rsid w:val="00D45875"/>
    <w:rsid w:val="00D45893"/>
    <w:rsid w:val="00D45933"/>
    <w:rsid w:val="00D45994"/>
    <w:rsid w:val="00D459BC"/>
    <w:rsid w:val="00D459C0"/>
    <w:rsid w:val="00D459CD"/>
    <w:rsid w:val="00D45A35"/>
    <w:rsid w:val="00D45A6D"/>
    <w:rsid w:val="00D45A90"/>
    <w:rsid w:val="00D45A92"/>
    <w:rsid w:val="00D45AB5"/>
    <w:rsid w:val="00D45B8E"/>
    <w:rsid w:val="00D45BA4"/>
    <w:rsid w:val="00D45BA6"/>
    <w:rsid w:val="00D45C0B"/>
    <w:rsid w:val="00D45C3B"/>
    <w:rsid w:val="00D45CAC"/>
    <w:rsid w:val="00D45CD0"/>
    <w:rsid w:val="00D45D83"/>
    <w:rsid w:val="00D45D85"/>
    <w:rsid w:val="00D45E11"/>
    <w:rsid w:val="00D45E50"/>
    <w:rsid w:val="00D45FBA"/>
    <w:rsid w:val="00D45FCB"/>
    <w:rsid w:val="00D4605E"/>
    <w:rsid w:val="00D460C0"/>
    <w:rsid w:val="00D460E4"/>
    <w:rsid w:val="00D460F7"/>
    <w:rsid w:val="00D460FA"/>
    <w:rsid w:val="00D4618C"/>
    <w:rsid w:val="00D461B3"/>
    <w:rsid w:val="00D46220"/>
    <w:rsid w:val="00D4622E"/>
    <w:rsid w:val="00D4627A"/>
    <w:rsid w:val="00D46284"/>
    <w:rsid w:val="00D4628A"/>
    <w:rsid w:val="00D4628C"/>
    <w:rsid w:val="00D462E8"/>
    <w:rsid w:val="00D46303"/>
    <w:rsid w:val="00D46329"/>
    <w:rsid w:val="00D4634D"/>
    <w:rsid w:val="00D463B0"/>
    <w:rsid w:val="00D46402"/>
    <w:rsid w:val="00D4643D"/>
    <w:rsid w:val="00D464F3"/>
    <w:rsid w:val="00D4653A"/>
    <w:rsid w:val="00D46592"/>
    <w:rsid w:val="00D46681"/>
    <w:rsid w:val="00D466B9"/>
    <w:rsid w:val="00D46872"/>
    <w:rsid w:val="00D468FF"/>
    <w:rsid w:val="00D4690A"/>
    <w:rsid w:val="00D4690C"/>
    <w:rsid w:val="00D4699F"/>
    <w:rsid w:val="00D469F5"/>
    <w:rsid w:val="00D469FC"/>
    <w:rsid w:val="00D46A09"/>
    <w:rsid w:val="00D46A43"/>
    <w:rsid w:val="00D46A6C"/>
    <w:rsid w:val="00D46AB8"/>
    <w:rsid w:val="00D46AFC"/>
    <w:rsid w:val="00D46B17"/>
    <w:rsid w:val="00D46B43"/>
    <w:rsid w:val="00D46B89"/>
    <w:rsid w:val="00D46BA6"/>
    <w:rsid w:val="00D46C10"/>
    <w:rsid w:val="00D46C9D"/>
    <w:rsid w:val="00D46CF4"/>
    <w:rsid w:val="00D46D09"/>
    <w:rsid w:val="00D46D18"/>
    <w:rsid w:val="00D46DFC"/>
    <w:rsid w:val="00D46E0F"/>
    <w:rsid w:val="00D46E86"/>
    <w:rsid w:val="00D46EDE"/>
    <w:rsid w:val="00D46EF8"/>
    <w:rsid w:val="00D46F57"/>
    <w:rsid w:val="00D4700E"/>
    <w:rsid w:val="00D4709C"/>
    <w:rsid w:val="00D471FF"/>
    <w:rsid w:val="00D4725B"/>
    <w:rsid w:val="00D47264"/>
    <w:rsid w:val="00D47298"/>
    <w:rsid w:val="00D472AB"/>
    <w:rsid w:val="00D47312"/>
    <w:rsid w:val="00D473B6"/>
    <w:rsid w:val="00D473EC"/>
    <w:rsid w:val="00D47401"/>
    <w:rsid w:val="00D47435"/>
    <w:rsid w:val="00D47443"/>
    <w:rsid w:val="00D474AB"/>
    <w:rsid w:val="00D474BE"/>
    <w:rsid w:val="00D474FD"/>
    <w:rsid w:val="00D474FF"/>
    <w:rsid w:val="00D47503"/>
    <w:rsid w:val="00D4750D"/>
    <w:rsid w:val="00D475CF"/>
    <w:rsid w:val="00D475D8"/>
    <w:rsid w:val="00D47637"/>
    <w:rsid w:val="00D47691"/>
    <w:rsid w:val="00D476E8"/>
    <w:rsid w:val="00D47743"/>
    <w:rsid w:val="00D4781B"/>
    <w:rsid w:val="00D4784F"/>
    <w:rsid w:val="00D47857"/>
    <w:rsid w:val="00D4785F"/>
    <w:rsid w:val="00D47894"/>
    <w:rsid w:val="00D47917"/>
    <w:rsid w:val="00D47A3B"/>
    <w:rsid w:val="00D47A66"/>
    <w:rsid w:val="00D47A8A"/>
    <w:rsid w:val="00D47AD9"/>
    <w:rsid w:val="00D47AFB"/>
    <w:rsid w:val="00D47B7C"/>
    <w:rsid w:val="00D47B82"/>
    <w:rsid w:val="00D47B90"/>
    <w:rsid w:val="00D47BAA"/>
    <w:rsid w:val="00D47BC9"/>
    <w:rsid w:val="00D47BD8"/>
    <w:rsid w:val="00D47BE1"/>
    <w:rsid w:val="00D47C04"/>
    <w:rsid w:val="00D47C29"/>
    <w:rsid w:val="00D47D08"/>
    <w:rsid w:val="00D47D0B"/>
    <w:rsid w:val="00D47D9B"/>
    <w:rsid w:val="00D47DF0"/>
    <w:rsid w:val="00D47E17"/>
    <w:rsid w:val="00D47F12"/>
    <w:rsid w:val="00D47F4B"/>
    <w:rsid w:val="00D47FAF"/>
    <w:rsid w:val="00D47FDC"/>
    <w:rsid w:val="00D50036"/>
    <w:rsid w:val="00D50041"/>
    <w:rsid w:val="00D500F8"/>
    <w:rsid w:val="00D5011E"/>
    <w:rsid w:val="00D5015A"/>
    <w:rsid w:val="00D501B5"/>
    <w:rsid w:val="00D501FA"/>
    <w:rsid w:val="00D50230"/>
    <w:rsid w:val="00D50260"/>
    <w:rsid w:val="00D50292"/>
    <w:rsid w:val="00D50298"/>
    <w:rsid w:val="00D502B9"/>
    <w:rsid w:val="00D502DF"/>
    <w:rsid w:val="00D50395"/>
    <w:rsid w:val="00D503F5"/>
    <w:rsid w:val="00D50445"/>
    <w:rsid w:val="00D5044C"/>
    <w:rsid w:val="00D50497"/>
    <w:rsid w:val="00D50498"/>
    <w:rsid w:val="00D504A2"/>
    <w:rsid w:val="00D5050A"/>
    <w:rsid w:val="00D5053C"/>
    <w:rsid w:val="00D50610"/>
    <w:rsid w:val="00D5067D"/>
    <w:rsid w:val="00D506A7"/>
    <w:rsid w:val="00D506CC"/>
    <w:rsid w:val="00D506DC"/>
    <w:rsid w:val="00D50762"/>
    <w:rsid w:val="00D5079D"/>
    <w:rsid w:val="00D507A3"/>
    <w:rsid w:val="00D507D0"/>
    <w:rsid w:val="00D50812"/>
    <w:rsid w:val="00D5088A"/>
    <w:rsid w:val="00D508AA"/>
    <w:rsid w:val="00D508CA"/>
    <w:rsid w:val="00D50986"/>
    <w:rsid w:val="00D50A2F"/>
    <w:rsid w:val="00D50AFB"/>
    <w:rsid w:val="00D50B42"/>
    <w:rsid w:val="00D50BAA"/>
    <w:rsid w:val="00D50BCF"/>
    <w:rsid w:val="00D50C84"/>
    <w:rsid w:val="00D50CCA"/>
    <w:rsid w:val="00D50CEF"/>
    <w:rsid w:val="00D50D00"/>
    <w:rsid w:val="00D50D97"/>
    <w:rsid w:val="00D50DC8"/>
    <w:rsid w:val="00D50DE1"/>
    <w:rsid w:val="00D50DE7"/>
    <w:rsid w:val="00D50DFC"/>
    <w:rsid w:val="00D50E1F"/>
    <w:rsid w:val="00D50E26"/>
    <w:rsid w:val="00D50E2F"/>
    <w:rsid w:val="00D50E82"/>
    <w:rsid w:val="00D50E9C"/>
    <w:rsid w:val="00D50EFA"/>
    <w:rsid w:val="00D50F05"/>
    <w:rsid w:val="00D50F5B"/>
    <w:rsid w:val="00D50F8A"/>
    <w:rsid w:val="00D50FA3"/>
    <w:rsid w:val="00D51012"/>
    <w:rsid w:val="00D51049"/>
    <w:rsid w:val="00D5108C"/>
    <w:rsid w:val="00D51105"/>
    <w:rsid w:val="00D51134"/>
    <w:rsid w:val="00D5115E"/>
    <w:rsid w:val="00D51182"/>
    <w:rsid w:val="00D51198"/>
    <w:rsid w:val="00D511C1"/>
    <w:rsid w:val="00D5128C"/>
    <w:rsid w:val="00D51293"/>
    <w:rsid w:val="00D512F2"/>
    <w:rsid w:val="00D5130F"/>
    <w:rsid w:val="00D51347"/>
    <w:rsid w:val="00D5135E"/>
    <w:rsid w:val="00D5138E"/>
    <w:rsid w:val="00D51498"/>
    <w:rsid w:val="00D5153E"/>
    <w:rsid w:val="00D5155D"/>
    <w:rsid w:val="00D515BD"/>
    <w:rsid w:val="00D515E9"/>
    <w:rsid w:val="00D515FF"/>
    <w:rsid w:val="00D51634"/>
    <w:rsid w:val="00D5164E"/>
    <w:rsid w:val="00D51684"/>
    <w:rsid w:val="00D51685"/>
    <w:rsid w:val="00D5170B"/>
    <w:rsid w:val="00D51804"/>
    <w:rsid w:val="00D51808"/>
    <w:rsid w:val="00D518B7"/>
    <w:rsid w:val="00D518CD"/>
    <w:rsid w:val="00D518E3"/>
    <w:rsid w:val="00D518E5"/>
    <w:rsid w:val="00D518E6"/>
    <w:rsid w:val="00D51933"/>
    <w:rsid w:val="00D51947"/>
    <w:rsid w:val="00D5199D"/>
    <w:rsid w:val="00D51ACB"/>
    <w:rsid w:val="00D51AF7"/>
    <w:rsid w:val="00D51B14"/>
    <w:rsid w:val="00D51B4E"/>
    <w:rsid w:val="00D51B52"/>
    <w:rsid w:val="00D51BFA"/>
    <w:rsid w:val="00D51C3E"/>
    <w:rsid w:val="00D51C63"/>
    <w:rsid w:val="00D51CE5"/>
    <w:rsid w:val="00D51D26"/>
    <w:rsid w:val="00D51D41"/>
    <w:rsid w:val="00D51D73"/>
    <w:rsid w:val="00D51E00"/>
    <w:rsid w:val="00D51E1E"/>
    <w:rsid w:val="00D51E27"/>
    <w:rsid w:val="00D51E41"/>
    <w:rsid w:val="00D51EE0"/>
    <w:rsid w:val="00D51F2C"/>
    <w:rsid w:val="00D51F34"/>
    <w:rsid w:val="00D5202D"/>
    <w:rsid w:val="00D5205F"/>
    <w:rsid w:val="00D52094"/>
    <w:rsid w:val="00D52198"/>
    <w:rsid w:val="00D521C8"/>
    <w:rsid w:val="00D521D1"/>
    <w:rsid w:val="00D521D8"/>
    <w:rsid w:val="00D522A5"/>
    <w:rsid w:val="00D523E9"/>
    <w:rsid w:val="00D5247F"/>
    <w:rsid w:val="00D524A6"/>
    <w:rsid w:val="00D524F1"/>
    <w:rsid w:val="00D52564"/>
    <w:rsid w:val="00D52584"/>
    <w:rsid w:val="00D52599"/>
    <w:rsid w:val="00D525B3"/>
    <w:rsid w:val="00D5262B"/>
    <w:rsid w:val="00D52640"/>
    <w:rsid w:val="00D5266D"/>
    <w:rsid w:val="00D526AC"/>
    <w:rsid w:val="00D526C6"/>
    <w:rsid w:val="00D52730"/>
    <w:rsid w:val="00D52779"/>
    <w:rsid w:val="00D52793"/>
    <w:rsid w:val="00D527D1"/>
    <w:rsid w:val="00D52806"/>
    <w:rsid w:val="00D52808"/>
    <w:rsid w:val="00D5283D"/>
    <w:rsid w:val="00D52856"/>
    <w:rsid w:val="00D52898"/>
    <w:rsid w:val="00D5291A"/>
    <w:rsid w:val="00D529C2"/>
    <w:rsid w:val="00D529F7"/>
    <w:rsid w:val="00D52A41"/>
    <w:rsid w:val="00D52AB6"/>
    <w:rsid w:val="00D52BAD"/>
    <w:rsid w:val="00D52BB9"/>
    <w:rsid w:val="00D52C29"/>
    <w:rsid w:val="00D52C42"/>
    <w:rsid w:val="00D52CB1"/>
    <w:rsid w:val="00D52CBF"/>
    <w:rsid w:val="00D52CC0"/>
    <w:rsid w:val="00D52CEB"/>
    <w:rsid w:val="00D52EC0"/>
    <w:rsid w:val="00D52F1B"/>
    <w:rsid w:val="00D52FA4"/>
    <w:rsid w:val="00D52FEB"/>
    <w:rsid w:val="00D53025"/>
    <w:rsid w:val="00D5308B"/>
    <w:rsid w:val="00D5309B"/>
    <w:rsid w:val="00D530D0"/>
    <w:rsid w:val="00D530D4"/>
    <w:rsid w:val="00D530DD"/>
    <w:rsid w:val="00D53144"/>
    <w:rsid w:val="00D53147"/>
    <w:rsid w:val="00D53186"/>
    <w:rsid w:val="00D532A7"/>
    <w:rsid w:val="00D532AA"/>
    <w:rsid w:val="00D532D2"/>
    <w:rsid w:val="00D532D5"/>
    <w:rsid w:val="00D53305"/>
    <w:rsid w:val="00D53321"/>
    <w:rsid w:val="00D533B1"/>
    <w:rsid w:val="00D533B2"/>
    <w:rsid w:val="00D53415"/>
    <w:rsid w:val="00D534AD"/>
    <w:rsid w:val="00D534CC"/>
    <w:rsid w:val="00D534EC"/>
    <w:rsid w:val="00D53512"/>
    <w:rsid w:val="00D53532"/>
    <w:rsid w:val="00D53772"/>
    <w:rsid w:val="00D53775"/>
    <w:rsid w:val="00D537BB"/>
    <w:rsid w:val="00D537FC"/>
    <w:rsid w:val="00D5380F"/>
    <w:rsid w:val="00D53839"/>
    <w:rsid w:val="00D538D3"/>
    <w:rsid w:val="00D53914"/>
    <w:rsid w:val="00D53918"/>
    <w:rsid w:val="00D53922"/>
    <w:rsid w:val="00D53998"/>
    <w:rsid w:val="00D539EF"/>
    <w:rsid w:val="00D53AC0"/>
    <w:rsid w:val="00D53B1A"/>
    <w:rsid w:val="00D53B1B"/>
    <w:rsid w:val="00D53B37"/>
    <w:rsid w:val="00D53B3F"/>
    <w:rsid w:val="00D53C19"/>
    <w:rsid w:val="00D53C79"/>
    <w:rsid w:val="00D53CF6"/>
    <w:rsid w:val="00D53DBD"/>
    <w:rsid w:val="00D53DC4"/>
    <w:rsid w:val="00D53E2C"/>
    <w:rsid w:val="00D53EA2"/>
    <w:rsid w:val="00D53ECD"/>
    <w:rsid w:val="00D53F19"/>
    <w:rsid w:val="00D53F64"/>
    <w:rsid w:val="00D53FCC"/>
    <w:rsid w:val="00D53FF2"/>
    <w:rsid w:val="00D53FFC"/>
    <w:rsid w:val="00D5403D"/>
    <w:rsid w:val="00D540A0"/>
    <w:rsid w:val="00D540BB"/>
    <w:rsid w:val="00D540CC"/>
    <w:rsid w:val="00D5410B"/>
    <w:rsid w:val="00D5416F"/>
    <w:rsid w:val="00D541AB"/>
    <w:rsid w:val="00D54238"/>
    <w:rsid w:val="00D5423D"/>
    <w:rsid w:val="00D54295"/>
    <w:rsid w:val="00D542A9"/>
    <w:rsid w:val="00D542C4"/>
    <w:rsid w:val="00D54314"/>
    <w:rsid w:val="00D54339"/>
    <w:rsid w:val="00D543B4"/>
    <w:rsid w:val="00D543FF"/>
    <w:rsid w:val="00D54411"/>
    <w:rsid w:val="00D54432"/>
    <w:rsid w:val="00D5444C"/>
    <w:rsid w:val="00D544B3"/>
    <w:rsid w:val="00D544D0"/>
    <w:rsid w:val="00D54561"/>
    <w:rsid w:val="00D5456B"/>
    <w:rsid w:val="00D5456C"/>
    <w:rsid w:val="00D54572"/>
    <w:rsid w:val="00D546A2"/>
    <w:rsid w:val="00D546E2"/>
    <w:rsid w:val="00D54798"/>
    <w:rsid w:val="00D5479A"/>
    <w:rsid w:val="00D547DF"/>
    <w:rsid w:val="00D547E6"/>
    <w:rsid w:val="00D54901"/>
    <w:rsid w:val="00D5493F"/>
    <w:rsid w:val="00D54950"/>
    <w:rsid w:val="00D549DD"/>
    <w:rsid w:val="00D54B1A"/>
    <w:rsid w:val="00D54B74"/>
    <w:rsid w:val="00D54BAF"/>
    <w:rsid w:val="00D54C07"/>
    <w:rsid w:val="00D54C44"/>
    <w:rsid w:val="00D54DB8"/>
    <w:rsid w:val="00D54DDA"/>
    <w:rsid w:val="00D54E16"/>
    <w:rsid w:val="00D54E50"/>
    <w:rsid w:val="00D54E6A"/>
    <w:rsid w:val="00D54E78"/>
    <w:rsid w:val="00D54EFF"/>
    <w:rsid w:val="00D54F13"/>
    <w:rsid w:val="00D54F36"/>
    <w:rsid w:val="00D54FDB"/>
    <w:rsid w:val="00D54FF5"/>
    <w:rsid w:val="00D550A2"/>
    <w:rsid w:val="00D550A5"/>
    <w:rsid w:val="00D5516E"/>
    <w:rsid w:val="00D5517E"/>
    <w:rsid w:val="00D551B4"/>
    <w:rsid w:val="00D551CC"/>
    <w:rsid w:val="00D551F0"/>
    <w:rsid w:val="00D5521E"/>
    <w:rsid w:val="00D55220"/>
    <w:rsid w:val="00D55229"/>
    <w:rsid w:val="00D55261"/>
    <w:rsid w:val="00D552BB"/>
    <w:rsid w:val="00D5530D"/>
    <w:rsid w:val="00D553BF"/>
    <w:rsid w:val="00D553EC"/>
    <w:rsid w:val="00D553F5"/>
    <w:rsid w:val="00D55406"/>
    <w:rsid w:val="00D55420"/>
    <w:rsid w:val="00D55433"/>
    <w:rsid w:val="00D5543C"/>
    <w:rsid w:val="00D55440"/>
    <w:rsid w:val="00D55441"/>
    <w:rsid w:val="00D55486"/>
    <w:rsid w:val="00D554CA"/>
    <w:rsid w:val="00D554FB"/>
    <w:rsid w:val="00D55546"/>
    <w:rsid w:val="00D555BE"/>
    <w:rsid w:val="00D55686"/>
    <w:rsid w:val="00D5576F"/>
    <w:rsid w:val="00D557C8"/>
    <w:rsid w:val="00D558ED"/>
    <w:rsid w:val="00D558F9"/>
    <w:rsid w:val="00D55926"/>
    <w:rsid w:val="00D5596C"/>
    <w:rsid w:val="00D559F7"/>
    <w:rsid w:val="00D55A4F"/>
    <w:rsid w:val="00D55B8B"/>
    <w:rsid w:val="00D55BBD"/>
    <w:rsid w:val="00D55BFD"/>
    <w:rsid w:val="00D55C90"/>
    <w:rsid w:val="00D55DAF"/>
    <w:rsid w:val="00D55DDD"/>
    <w:rsid w:val="00D55E10"/>
    <w:rsid w:val="00D55E49"/>
    <w:rsid w:val="00D55E57"/>
    <w:rsid w:val="00D55E6E"/>
    <w:rsid w:val="00D55E6F"/>
    <w:rsid w:val="00D55EA1"/>
    <w:rsid w:val="00D55F95"/>
    <w:rsid w:val="00D56008"/>
    <w:rsid w:val="00D5606B"/>
    <w:rsid w:val="00D56082"/>
    <w:rsid w:val="00D561DD"/>
    <w:rsid w:val="00D56201"/>
    <w:rsid w:val="00D5620C"/>
    <w:rsid w:val="00D56215"/>
    <w:rsid w:val="00D5626F"/>
    <w:rsid w:val="00D562CD"/>
    <w:rsid w:val="00D562E5"/>
    <w:rsid w:val="00D5638C"/>
    <w:rsid w:val="00D563C8"/>
    <w:rsid w:val="00D563D9"/>
    <w:rsid w:val="00D5644D"/>
    <w:rsid w:val="00D5647E"/>
    <w:rsid w:val="00D56494"/>
    <w:rsid w:val="00D564E3"/>
    <w:rsid w:val="00D56509"/>
    <w:rsid w:val="00D56567"/>
    <w:rsid w:val="00D56599"/>
    <w:rsid w:val="00D5660D"/>
    <w:rsid w:val="00D5660E"/>
    <w:rsid w:val="00D5666C"/>
    <w:rsid w:val="00D566F0"/>
    <w:rsid w:val="00D5670C"/>
    <w:rsid w:val="00D56748"/>
    <w:rsid w:val="00D56753"/>
    <w:rsid w:val="00D567CE"/>
    <w:rsid w:val="00D56829"/>
    <w:rsid w:val="00D5682B"/>
    <w:rsid w:val="00D568FC"/>
    <w:rsid w:val="00D56904"/>
    <w:rsid w:val="00D5691D"/>
    <w:rsid w:val="00D5691F"/>
    <w:rsid w:val="00D56937"/>
    <w:rsid w:val="00D569A2"/>
    <w:rsid w:val="00D569BF"/>
    <w:rsid w:val="00D569D9"/>
    <w:rsid w:val="00D56A48"/>
    <w:rsid w:val="00D56B1A"/>
    <w:rsid w:val="00D56C23"/>
    <w:rsid w:val="00D56C47"/>
    <w:rsid w:val="00D56C75"/>
    <w:rsid w:val="00D56CB0"/>
    <w:rsid w:val="00D56CB6"/>
    <w:rsid w:val="00D56CE0"/>
    <w:rsid w:val="00D56CE8"/>
    <w:rsid w:val="00D56CEC"/>
    <w:rsid w:val="00D56D88"/>
    <w:rsid w:val="00D56DB8"/>
    <w:rsid w:val="00D56DD2"/>
    <w:rsid w:val="00D56E80"/>
    <w:rsid w:val="00D56EA1"/>
    <w:rsid w:val="00D56ECA"/>
    <w:rsid w:val="00D56ED1"/>
    <w:rsid w:val="00D56EE1"/>
    <w:rsid w:val="00D56F6D"/>
    <w:rsid w:val="00D56F77"/>
    <w:rsid w:val="00D56FA7"/>
    <w:rsid w:val="00D56FD9"/>
    <w:rsid w:val="00D57023"/>
    <w:rsid w:val="00D57046"/>
    <w:rsid w:val="00D57050"/>
    <w:rsid w:val="00D57069"/>
    <w:rsid w:val="00D57099"/>
    <w:rsid w:val="00D5710B"/>
    <w:rsid w:val="00D57148"/>
    <w:rsid w:val="00D5715A"/>
    <w:rsid w:val="00D57289"/>
    <w:rsid w:val="00D5729B"/>
    <w:rsid w:val="00D572C4"/>
    <w:rsid w:val="00D5732D"/>
    <w:rsid w:val="00D5736B"/>
    <w:rsid w:val="00D5739A"/>
    <w:rsid w:val="00D574AC"/>
    <w:rsid w:val="00D574BE"/>
    <w:rsid w:val="00D574C4"/>
    <w:rsid w:val="00D574F1"/>
    <w:rsid w:val="00D57529"/>
    <w:rsid w:val="00D57573"/>
    <w:rsid w:val="00D575DC"/>
    <w:rsid w:val="00D576D1"/>
    <w:rsid w:val="00D576EA"/>
    <w:rsid w:val="00D57715"/>
    <w:rsid w:val="00D57754"/>
    <w:rsid w:val="00D57757"/>
    <w:rsid w:val="00D577C0"/>
    <w:rsid w:val="00D577E0"/>
    <w:rsid w:val="00D5786C"/>
    <w:rsid w:val="00D578CE"/>
    <w:rsid w:val="00D5794A"/>
    <w:rsid w:val="00D57A8B"/>
    <w:rsid w:val="00D57AD1"/>
    <w:rsid w:val="00D57B08"/>
    <w:rsid w:val="00D57B31"/>
    <w:rsid w:val="00D57B40"/>
    <w:rsid w:val="00D57B59"/>
    <w:rsid w:val="00D57C54"/>
    <w:rsid w:val="00D57C71"/>
    <w:rsid w:val="00D57C83"/>
    <w:rsid w:val="00D57C8D"/>
    <w:rsid w:val="00D57CC1"/>
    <w:rsid w:val="00D57D0A"/>
    <w:rsid w:val="00D57DB8"/>
    <w:rsid w:val="00D57E73"/>
    <w:rsid w:val="00D57EBB"/>
    <w:rsid w:val="00D57EF9"/>
    <w:rsid w:val="00D57F95"/>
    <w:rsid w:val="00D57F97"/>
    <w:rsid w:val="00D57FDE"/>
    <w:rsid w:val="00D600CD"/>
    <w:rsid w:val="00D600CF"/>
    <w:rsid w:val="00D60194"/>
    <w:rsid w:val="00D60199"/>
    <w:rsid w:val="00D60229"/>
    <w:rsid w:val="00D6023D"/>
    <w:rsid w:val="00D602F6"/>
    <w:rsid w:val="00D60404"/>
    <w:rsid w:val="00D6043A"/>
    <w:rsid w:val="00D60445"/>
    <w:rsid w:val="00D604C5"/>
    <w:rsid w:val="00D60545"/>
    <w:rsid w:val="00D60578"/>
    <w:rsid w:val="00D605C1"/>
    <w:rsid w:val="00D605C2"/>
    <w:rsid w:val="00D605C6"/>
    <w:rsid w:val="00D60794"/>
    <w:rsid w:val="00D6083F"/>
    <w:rsid w:val="00D60871"/>
    <w:rsid w:val="00D6088D"/>
    <w:rsid w:val="00D60894"/>
    <w:rsid w:val="00D608BC"/>
    <w:rsid w:val="00D6092F"/>
    <w:rsid w:val="00D60930"/>
    <w:rsid w:val="00D60983"/>
    <w:rsid w:val="00D609C6"/>
    <w:rsid w:val="00D609F5"/>
    <w:rsid w:val="00D60A53"/>
    <w:rsid w:val="00D60AD8"/>
    <w:rsid w:val="00D60B10"/>
    <w:rsid w:val="00D60B64"/>
    <w:rsid w:val="00D60B77"/>
    <w:rsid w:val="00D60B8C"/>
    <w:rsid w:val="00D60BAF"/>
    <w:rsid w:val="00D60BBB"/>
    <w:rsid w:val="00D60C3C"/>
    <w:rsid w:val="00D60C78"/>
    <w:rsid w:val="00D60CA7"/>
    <w:rsid w:val="00D60D1B"/>
    <w:rsid w:val="00D60D72"/>
    <w:rsid w:val="00D60D7C"/>
    <w:rsid w:val="00D60D95"/>
    <w:rsid w:val="00D60DDC"/>
    <w:rsid w:val="00D60EC0"/>
    <w:rsid w:val="00D60F16"/>
    <w:rsid w:val="00D60FB4"/>
    <w:rsid w:val="00D60FC0"/>
    <w:rsid w:val="00D6101A"/>
    <w:rsid w:val="00D6105C"/>
    <w:rsid w:val="00D6109A"/>
    <w:rsid w:val="00D610A3"/>
    <w:rsid w:val="00D610BD"/>
    <w:rsid w:val="00D610D2"/>
    <w:rsid w:val="00D610D9"/>
    <w:rsid w:val="00D61146"/>
    <w:rsid w:val="00D6115A"/>
    <w:rsid w:val="00D6118A"/>
    <w:rsid w:val="00D611EC"/>
    <w:rsid w:val="00D61233"/>
    <w:rsid w:val="00D612AC"/>
    <w:rsid w:val="00D612C2"/>
    <w:rsid w:val="00D612C8"/>
    <w:rsid w:val="00D612E0"/>
    <w:rsid w:val="00D612E3"/>
    <w:rsid w:val="00D61365"/>
    <w:rsid w:val="00D61392"/>
    <w:rsid w:val="00D613A6"/>
    <w:rsid w:val="00D613E0"/>
    <w:rsid w:val="00D61464"/>
    <w:rsid w:val="00D614A1"/>
    <w:rsid w:val="00D614F4"/>
    <w:rsid w:val="00D614F7"/>
    <w:rsid w:val="00D614FE"/>
    <w:rsid w:val="00D6154A"/>
    <w:rsid w:val="00D61639"/>
    <w:rsid w:val="00D616AC"/>
    <w:rsid w:val="00D61708"/>
    <w:rsid w:val="00D61881"/>
    <w:rsid w:val="00D61919"/>
    <w:rsid w:val="00D61926"/>
    <w:rsid w:val="00D6193B"/>
    <w:rsid w:val="00D61A36"/>
    <w:rsid w:val="00D61A5A"/>
    <w:rsid w:val="00D61ABB"/>
    <w:rsid w:val="00D61ABF"/>
    <w:rsid w:val="00D61AE1"/>
    <w:rsid w:val="00D61B11"/>
    <w:rsid w:val="00D61B1C"/>
    <w:rsid w:val="00D61B21"/>
    <w:rsid w:val="00D61B2D"/>
    <w:rsid w:val="00D61B36"/>
    <w:rsid w:val="00D61B59"/>
    <w:rsid w:val="00D61BE4"/>
    <w:rsid w:val="00D61C2A"/>
    <w:rsid w:val="00D61C39"/>
    <w:rsid w:val="00D61CEF"/>
    <w:rsid w:val="00D61D46"/>
    <w:rsid w:val="00D61D5F"/>
    <w:rsid w:val="00D61D6D"/>
    <w:rsid w:val="00D61D88"/>
    <w:rsid w:val="00D61E2B"/>
    <w:rsid w:val="00D61EB2"/>
    <w:rsid w:val="00D61EBC"/>
    <w:rsid w:val="00D61EBD"/>
    <w:rsid w:val="00D61EEB"/>
    <w:rsid w:val="00D61EEF"/>
    <w:rsid w:val="00D61F54"/>
    <w:rsid w:val="00D6204D"/>
    <w:rsid w:val="00D6210C"/>
    <w:rsid w:val="00D62113"/>
    <w:rsid w:val="00D62156"/>
    <w:rsid w:val="00D62181"/>
    <w:rsid w:val="00D62210"/>
    <w:rsid w:val="00D62244"/>
    <w:rsid w:val="00D62248"/>
    <w:rsid w:val="00D622A8"/>
    <w:rsid w:val="00D622C5"/>
    <w:rsid w:val="00D622ED"/>
    <w:rsid w:val="00D6231E"/>
    <w:rsid w:val="00D623D1"/>
    <w:rsid w:val="00D62443"/>
    <w:rsid w:val="00D624A4"/>
    <w:rsid w:val="00D624B1"/>
    <w:rsid w:val="00D624E3"/>
    <w:rsid w:val="00D62593"/>
    <w:rsid w:val="00D625CF"/>
    <w:rsid w:val="00D625E2"/>
    <w:rsid w:val="00D625E4"/>
    <w:rsid w:val="00D62618"/>
    <w:rsid w:val="00D62630"/>
    <w:rsid w:val="00D6267C"/>
    <w:rsid w:val="00D626A9"/>
    <w:rsid w:val="00D626CA"/>
    <w:rsid w:val="00D626D8"/>
    <w:rsid w:val="00D626F9"/>
    <w:rsid w:val="00D626FA"/>
    <w:rsid w:val="00D62742"/>
    <w:rsid w:val="00D6274D"/>
    <w:rsid w:val="00D62798"/>
    <w:rsid w:val="00D627B8"/>
    <w:rsid w:val="00D627CC"/>
    <w:rsid w:val="00D627CD"/>
    <w:rsid w:val="00D627D6"/>
    <w:rsid w:val="00D6281D"/>
    <w:rsid w:val="00D62844"/>
    <w:rsid w:val="00D62893"/>
    <w:rsid w:val="00D628B4"/>
    <w:rsid w:val="00D628E9"/>
    <w:rsid w:val="00D62931"/>
    <w:rsid w:val="00D6293E"/>
    <w:rsid w:val="00D62958"/>
    <w:rsid w:val="00D6298B"/>
    <w:rsid w:val="00D6298C"/>
    <w:rsid w:val="00D629AF"/>
    <w:rsid w:val="00D62A2F"/>
    <w:rsid w:val="00D62AB9"/>
    <w:rsid w:val="00D62ABB"/>
    <w:rsid w:val="00D62B1B"/>
    <w:rsid w:val="00D62B39"/>
    <w:rsid w:val="00D62B59"/>
    <w:rsid w:val="00D62B8A"/>
    <w:rsid w:val="00D62C00"/>
    <w:rsid w:val="00D62CD9"/>
    <w:rsid w:val="00D62CE4"/>
    <w:rsid w:val="00D62D99"/>
    <w:rsid w:val="00D62E08"/>
    <w:rsid w:val="00D62E20"/>
    <w:rsid w:val="00D62E8E"/>
    <w:rsid w:val="00D62E98"/>
    <w:rsid w:val="00D62F0A"/>
    <w:rsid w:val="00D62F11"/>
    <w:rsid w:val="00D62F14"/>
    <w:rsid w:val="00D62FC3"/>
    <w:rsid w:val="00D62FE7"/>
    <w:rsid w:val="00D6303C"/>
    <w:rsid w:val="00D630B2"/>
    <w:rsid w:val="00D630D0"/>
    <w:rsid w:val="00D630EC"/>
    <w:rsid w:val="00D6315E"/>
    <w:rsid w:val="00D6318C"/>
    <w:rsid w:val="00D631C9"/>
    <w:rsid w:val="00D63204"/>
    <w:rsid w:val="00D6325A"/>
    <w:rsid w:val="00D63261"/>
    <w:rsid w:val="00D63262"/>
    <w:rsid w:val="00D6328C"/>
    <w:rsid w:val="00D6330C"/>
    <w:rsid w:val="00D633C8"/>
    <w:rsid w:val="00D633E5"/>
    <w:rsid w:val="00D63408"/>
    <w:rsid w:val="00D6343C"/>
    <w:rsid w:val="00D6347B"/>
    <w:rsid w:val="00D63496"/>
    <w:rsid w:val="00D634D5"/>
    <w:rsid w:val="00D634E0"/>
    <w:rsid w:val="00D635A2"/>
    <w:rsid w:val="00D635A7"/>
    <w:rsid w:val="00D635BF"/>
    <w:rsid w:val="00D63621"/>
    <w:rsid w:val="00D63699"/>
    <w:rsid w:val="00D636B4"/>
    <w:rsid w:val="00D636C0"/>
    <w:rsid w:val="00D636D5"/>
    <w:rsid w:val="00D63735"/>
    <w:rsid w:val="00D63741"/>
    <w:rsid w:val="00D6374A"/>
    <w:rsid w:val="00D63756"/>
    <w:rsid w:val="00D63766"/>
    <w:rsid w:val="00D6378C"/>
    <w:rsid w:val="00D6378E"/>
    <w:rsid w:val="00D637C2"/>
    <w:rsid w:val="00D637DB"/>
    <w:rsid w:val="00D63809"/>
    <w:rsid w:val="00D63830"/>
    <w:rsid w:val="00D6383C"/>
    <w:rsid w:val="00D63841"/>
    <w:rsid w:val="00D638D2"/>
    <w:rsid w:val="00D63946"/>
    <w:rsid w:val="00D63975"/>
    <w:rsid w:val="00D63A75"/>
    <w:rsid w:val="00D63A88"/>
    <w:rsid w:val="00D63A8B"/>
    <w:rsid w:val="00D63A8D"/>
    <w:rsid w:val="00D63ACD"/>
    <w:rsid w:val="00D63B5A"/>
    <w:rsid w:val="00D63BEA"/>
    <w:rsid w:val="00D63BF3"/>
    <w:rsid w:val="00D63C04"/>
    <w:rsid w:val="00D63CB2"/>
    <w:rsid w:val="00D63CF5"/>
    <w:rsid w:val="00D63CF8"/>
    <w:rsid w:val="00D63D2F"/>
    <w:rsid w:val="00D63D59"/>
    <w:rsid w:val="00D63DA3"/>
    <w:rsid w:val="00D63DBE"/>
    <w:rsid w:val="00D63E01"/>
    <w:rsid w:val="00D63E23"/>
    <w:rsid w:val="00D63E47"/>
    <w:rsid w:val="00D63E5C"/>
    <w:rsid w:val="00D63EA1"/>
    <w:rsid w:val="00D63EFE"/>
    <w:rsid w:val="00D63F81"/>
    <w:rsid w:val="00D63FBE"/>
    <w:rsid w:val="00D63FCA"/>
    <w:rsid w:val="00D64022"/>
    <w:rsid w:val="00D64068"/>
    <w:rsid w:val="00D64085"/>
    <w:rsid w:val="00D640C6"/>
    <w:rsid w:val="00D640F5"/>
    <w:rsid w:val="00D640F8"/>
    <w:rsid w:val="00D64269"/>
    <w:rsid w:val="00D6428A"/>
    <w:rsid w:val="00D642A1"/>
    <w:rsid w:val="00D642DE"/>
    <w:rsid w:val="00D643CD"/>
    <w:rsid w:val="00D6440A"/>
    <w:rsid w:val="00D6445C"/>
    <w:rsid w:val="00D644CA"/>
    <w:rsid w:val="00D644CB"/>
    <w:rsid w:val="00D644D2"/>
    <w:rsid w:val="00D644F5"/>
    <w:rsid w:val="00D64526"/>
    <w:rsid w:val="00D64536"/>
    <w:rsid w:val="00D64550"/>
    <w:rsid w:val="00D645A7"/>
    <w:rsid w:val="00D645E3"/>
    <w:rsid w:val="00D6462E"/>
    <w:rsid w:val="00D6463C"/>
    <w:rsid w:val="00D64654"/>
    <w:rsid w:val="00D6467B"/>
    <w:rsid w:val="00D6467E"/>
    <w:rsid w:val="00D646FB"/>
    <w:rsid w:val="00D64728"/>
    <w:rsid w:val="00D64771"/>
    <w:rsid w:val="00D64802"/>
    <w:rsid w:val="00D648B2"/>
    <w:rsid w:val="00D64916"/>
    <w:rsid w:val="00D64920"/>
    <w:rsid w:val="00D64921"/>
    <w:rsid w:val="00D6494F"/>
    <w:rsid w:val="00D6498C"/>
    <w:rsid w:val="00D64997"/>
    <w:rsid w:val="00D649A5"/>
    <w:rsid w:val="00D649D0"/>
    <w:rsid w:val="00D64A17"/>
    <w:rsid w:val="00D64AD9"/>
    <w:rsid w:val="00D64AE5"/>
    <w:rsid w:val="00D64AE9"/>
    <w:rsid w:val="00D64B32"/>
    <w:rsid w:val="00D64BB4"/>
    <w:rsid w:val="00D64BD6"/>
    <w:rsid w:val="00D64BF6"/>
    <w:rsid w:val="00D64C28"/>
    <w:rsid w:val="00D64C44"/>
    <w:rsid w:val="00D64D67"/>
    <w:rsid w:val="00D64D7F"/>
    <w:rsid w:val="00D64DF8"/>
    <w:rsid w:val="00D64EE5"/>
    <w:rsid w:val="00D64EF7"/>
    <w:rsid w:val="00D64F2F"/>
    <w:rsid w:val="00D6502C"/>
    <w:rsid w:val="00D65107"/>
    <w:rsid w:val="00D65134"/>
    <w:rsid w:val="00D6515A"/>
    <w:rsid w:val="00D6518E"/>
    <w:rsid w:val="00D6522B"/>
    <w:rsid w:val="00D6523E"/>
    <w:rsid w:val="00D65263"/>
    <w:rsid w:val="00D652AB"/>
    <w:rsid w:val="00D652BE"/>
    <w:rsid w:val="00D652C7"/>
    <w:rsid w:val="00D652D7"/>
    <w:rsid w:val="00D65369"/>
    <w:rsid w:val="00D653B3"/>
    <w:rsid w:val="00D65400"/>
    <w:rsid w:val="00D6549C"/>
    <w:rsid w:val="00D654F9"/>
    <w:rsid w:val="00D65523"/>
    <w:rsid w:val="00D65631"/>
    <w:rsid w:val="00D656E1"/>
    <w:rsid w:val="00D6572D"/>
    <w:rsid w:val="00D657A1"/>
    <w:rsid w:val="00D657CD"/>
    <w:rsid w:val="00D6589F"/>
    <w:rsid w:val="00D6595C"/>
    <w:rsid w:val="00D65973"/>
    <w:rsid w:val="00D65A63"/>
    <w:rsid w:val="00D65A8C"/>
    <w:rsid w:val="00D65B5E"/>
    <w:rsid w:val="00D65B61"/>
    <w:rsid w:val="00D65BAA"/>
    <w:rsid w:val="00D65BB2"/>
    <w:rsid w:val="00D65C17"/>
    <w:rsid w:val="00D65C69"/>
    <w:rsid w:val="00D65C89"/>
    <w:rsid w:val="00D65CA8"/>
    <w:rsid w:val="00D65D2F"/>
    <w:rsid w:val="00D65D95"/>
    <w:rsid w:val="00D65DF0"/>
    <w:rsid w:val="00D65E1B"/>
    <w:rsid w:val="00D65E4C"/>
    <w:rsid w:val="00D65EA8"/>
    <w:rsid w:val="00D65EBB"/>
    <w:rsid w:val="00D65EE8"/>
    <w:rsid w:val="00D65FAF"/>
    <w:rsid w:val="00D6606A"/>
    <w:rsid w:val="00D66114"/>
    <w:rsid w:val="00D66223"/>
    <w:rsid w:val="00D6622F"/>
    <w:rsid w:val="00D662F9"/>
    <w:rsid w:val="00D66374"/>
    <w:rsid w:val="00D663C0"/>
    <w:rsid w:val="00D66405"/>
    <w:rsid w:val="00D66411"/>
    <w:rsid w:val="00D66490"/>
    <w:rsid w:val="00D66492"/>
    <w:rsid w:val="00D66497"/>
    <w:rsid w:val="00D664C5"/>
    <w:rsid w:val="00D665A1"/>
    <w:rsid w:val="00D665B9"/>
    <w:rsid w:val="00D665CA"/>
    <w:rsid w:val="00D66604"/>
    <w:rsid w:val="00D66631"/>
    <w:rsid w:val="00D666CF"/>
    <w:rsid w:val="00D666D2"/>
    <w:rsid w:val="00D66760"/>
    <w:rsid w:val="00D66792"/>
    <w:rsid w:val="00D667B5"/>
    <w:rsid w:val="00D6683C"/>
    <w:rsid w:val="00D66852"/>
    <w:rsid w:val="00D66892"/>
    <w:rsid w:val="00D668A0"/>
    <w:rsid w:val="00D668CB"/>
    <w:rsid w:val="00D668FC"/>
    <w:rsid w:val="00D6697D"/>
    <w:rsid w:val="00D6699B"/>
    <w:rsid w:val="00D6699C"/>
    <w:rsid w:val="00D66A6A"/>
    <w:rsid w:val="00D66A84"/>
    <w:rsid w:val="00D66B6D"/>
    <w:rsid w:val="00D66B90"/>
    <w:rsid w:val="00D66BA1"/>
    <w:rsid w:val="00D66BA9"/>
    <w:rsid w:val="00D66BFA"/>
    <w:rsid w:val="00D66C31"/>
    <w:rsid w:val="00D66C9C"/>
    <w:rsid w:val="00D66CD9"/>
    <w:rsid w:val="00D66D7C"/>
    <w:rsid w:val="00D66D85"/>
    <w:rsid w:val="00D66D9E"/>
    <w:rsid w:val="00D66DE2"/>
    <w:rsid w:val="00D66E2E"/>
    <w:rsid w:val="00D66E66"/>
    <w:rsid w:val="00D66E91"/>
    <w:rsid w:val="00D66F15"/>
    <w:rsid w:val="00D66F33"/>
    <w:rsid w:val="00D66F41"/>
    <w:rsid w:val="00D66F8A"/>
    <w:rsid w:val="00D66FDE"/>
    <w:rsid w:val="00D66FE7"/>
    <w:rsid w:val="00D66FEA"/>
    <w:rsid w:val="00D66FF1"/>
    <w:rsid w:val="00D67063"/>
    <w:rsid w:val="00D6711B"/>
    <w:rsid w:val="00D67135"/>
    <w:rsid w:val="00D671C4"/>
    <w:rsid w:val="00D671D2"/>
    <w:rsid w:val="00D6727A"/>
    <w:rsid w:val="00D67296"/>
    <w:rsid w:val="00D672D8"/>
    <w:rsid w:val="00D67354"/>
    <w:rsid w:val="00D67357"/>
    <w:rsid w:val="00D673A1"/>
    <w:rsid w:val="00D673C7"/>
    <w:rsid w:val="00D6747A"/>
    <w:rsid w:val="00D674B5"/>
    <w:rsid w:val="00D6752B"/>
    <w:rsid w:val="00D67557"/>
    <w:rsid w:val="00D67575"/>
    <w:rsid w:val="00D67595"/>
    <w:rsid w:val="00D675DD"/>
    <w:rsid w:val="00D675E4"/>
    <w:rsid w:val="00D6761B"/>
    <w:rsid w:val="00D67681"/>
    <w:rsid w:val="00D676E6"/>
    <w:rsid w:val="00D6774C"/>
    <w:rsid w:val="00D67751"/>
    <w:rsid w:val="00D67763"/>
    <w:rsid w:val="00D67792"/>
    <w:rsid w:val="00D6779B"/>
    <w:rsid w:val="00D67822"/>
    <w:rsid w:val="00D678CB"/>
    <w:rsid w:val="00D67909"/>
    <w:rsid w:val="00D67916"/>
    <w:rsid w:val="00D67929"/>
    <w:rsid w:val="00D67943"/>
    <w:rsid w:val="00D679C8"/>
    <w:rsid w:val="00D679E6"/>
    <w:rsid w:val="00D679F2"/>
    <w:rsid w:val="00D67A23"/>
    <w:rsid w:val="00D67A45"/>
    <w:rsid w:val="00D67A48"/>
    <w:rsid w:val="00D67A69"/>
    <w:rsid w:val="00D67A7E"/>
    <w:rsid w:val="00D67AF7"/>
    <w:rsid w:val="00D67B03"/>
    <w:rsid w:val="00D67BC5"/>
    <w:rsid w:val="00D67BED"/>
    <w:rsid w:val="00D67C21"/>
    <w:rsid w:val="00D67CBB"/>
    <w:rsid w:val="00D67CC1"/>
    <w:rsid w:val="00D67CF7"/>
    <w:rsid w:val="00D67D77"/>
    <w:rsid w:val="00D67D7B"/>
    <w:rsid w:val="00D67D84"/>
    <w:rsid w:val="00D67D88"/>
    <w:rsid w:val="00D67DA1"/>
    <w:rsid w:val="00D67DB3"/>
    <w:rsid w:val="00D67E19"/>
    <w:rsid w:val="00D67E51"/>
    <w:rsid w:val="00D67F3A"/>
    <w:rsid w:val="00D67F72"/>
    <w:rsid w:val="00D67FA3"/>
    <w:rsid w:val="00D67FCC"/>
    <w:rsid w:val="00D7003F"/>
    <w:rsid w:val="00D7004B"/>
    <w:rsid w:val="00D70115"/>
    <w:rsid w:val="00D70138"/>
    <w:rsid w:val="00D7021B"/>
    <w:rsid w:val="00D7022D"/>
    <w:rsid w:val="00D70252"/>
    <w:rsid w:val="00D702AC"/>
    <w:rsid w:val="00D7036E"/>
    <w:rsid w:val="00D703BE"/>
    <w:rsid w:val="00D703CC"/>
    <w:rsid w:val="00D703E1"/>
    <w:rsid w:val="00D703EC"/>
    <w:rsid w:val="00D70424"/>
    <w:rsid w:val="00D70427"/>
    <w:rsid w:val="00D7048A"/>
    <w:rsid w:val="00D704CD"/>
    <w:rsid w:val="00D704DA"/>
    <w:rsid w:val="00D70512"/>
    <w:rsid w:val="00D7053A"/>
    <w:rsid w:val="00D70557"/>
    <w:rsid w:val="00D706D9"/>
    <w:rsid w:val="00D707EB"/>
    <w:rsid w:val="00D708D3"/>
    <w:rsid w:val="00D708E8"/>
    <w:rsid w:val="00D7090A"/>
    <w:rsid w:val="00D7094E"/>
    <w:rsid w:val="00D70992"/>
    <w:rsid w:val="00D709DC"/>
    <w:rsid w:val="00D70A22"/>
    <w:rsid w:val="00D70A48"/>
    <w:rsid w:val="00D70A83"/>
    <w:rsid w:val="00D70AC8"/>
    <w:rsid w:val="00D70AD5"/>
    <w:rsid w:val="00D70B6B"/>
    <w:rsid w:val="00D70B77"/>
    <w:rsid w:val="00D70BB9"/>
    <w:rsid w:val="00D70BD3"/>
    <w:rsid w:val="00D70BED"/>
    <w:rsid w:val="00D70C3D"/>
    <w:rsid w:val="00D70C45"/>
    <w:rsid w:val="00D70C83"/>
    <w:rsid w:val="00D70CAF"/>
    <w:rsid w:val="00D70D4A"/>
    <w:rsid w:val="00D70DEA"/>
    <w:rsid w:val="00D70E7A"/>
    <w:rsid w:val="00D70F6E"/>
    <w:rsid w:val="00D70F6F"/>
    <w:rsid w:val="00D70F85"/>
    <w:rsid w:val="00D70FAF"/>
    <w:rsid w:val="00D70FDF"/>
    <w:rsid w:val="00D71041"/>
    <w:rsid w:val="00D7106B"/>
    <w:rsid w:val="00D710D4"/>
    <w:rsid w:val="00D7123F"/>
    <w:rsid w:val="00D712A3"/>
    <w:rsid w:val="00D712BA"/>
    <w:rsid w:val="00D71367"/>
    <w:rsid w:val="00D71374"/>
    <w:rsid w:val="00D713AF"/>
    <w:rsid w:val="00D713B4"/>
    <w:rsid w:val="00D713B7"/>
    <w:rsid w:val="00D71424"/>
    <w:rsid w:val="00D71455"/>
    <w:rsid w:val="00D7145F"/>
    <w:rsid w:val="00D71491"/>
    <w:rsid w:val="00D7152C"/>
    <w:rsid w:val="00D71567"/>
    <w:rsid w:val="00D71592"/>
    <w:rsid w:val="00D715B7"/>
    <w:rsid w:val="00D715B8"/>
    <w:rsid w:val="00D715D9"/>
    <w:rsid w:val="00D71609"/>
    <w:rsid w:val="00D71625"/>
    <w:rsid w:val="00D71661"/>
    <w:rsid w:val="00D7169D"/>
    <w:rsid w:val="00D716C7"/>
    <w:rsid w:val="00D716F9"/>
    <w:rsid w:val="00D7176A"/>
    <w:rsid w:val="00D71772"/>
    <w:rsid w:val="00D71790"/>
    <w:rsid w:val="00D717A2"/>
    <w:rsid w:val="00D7188F"/>
    <w:rsid w:val="00D7189A"/>
    <w:rsid w:val="00D718BE"/>
    <w:rsid w:val="00D718F5"/>
    <w:rsid w:val="00D71939"/>
    <w:rsid w:val="00D7193D"/>
    <w:rsid w:val="00D71949"/>
    <w:rsid w:val="00D71985"/>
    <w:rsid w:val="00D719D4"/>
    <w:rsid w:val="00D719F1"/>
    <w:rsid w:val="00D71A10"/>
    <w:rsid w:val="00D71A68"/>
    <w:rsid w:val="00D71AE6"/>
    <w:rsid w:val="00D71B02"/>
    <w:rsid w:val="00D71B08"/>
    <w:rsid w:val="00D71B60"/>
    <w:rsid w:val="00D71BA6"/>
    <w:rsid w:val="00D71BC6"/>
    <w:rsid w:val="00D71BE3"/>
    <w:rsid w:val="00D71C97"/>
    <w:rsid w:val="00D71CCF"/>
    <w:rsid w:val="00D71D1B"/>
    <w:rsid w:val="00D71D1C"/>
    <w:rsid w:val="00D71D36"/>
    <w:rsid w:val="00D71D50"/>
    <w:rsid w:val="00D71DC6"/>
    <w:rsid w:val="00D71E02"/>
    <w:rsid w:val="00D71E4F"/>
    <w:rsid w:val="00D71EE0"/>
    <w:rsid w:val="00D71F19"/>
    <w:rsid w:val="00D71FAF"/>
    <w:rsid w:val="00D71FEF"/>
    <w:rsid w:val="00D7208A"/>
    <w:rsid w:val="00D720C8"/>
    <w:rsid w:val="00D720F6"/>
    <w:rsid w:val="00D72154"/>
    <w:rsid w:val="00D7216D"/>
    <w:rsid w:val="00D7218A"/>
    <w:rsid w:val="00D7222D"/>
    <w:rsid w:val="00D7226D"/>
    <w:rsid w:val="00D72277"/>
    <w:rsid w:val="00D722BF"/>
    <w:rsid w:val="00D72305"/>
    <w:rsid w:val="00D72384"/>
    <w:rsid w:val="00D7239E"/>
    <w:rsid w:val="00D723F7"/>
    <w:rsid w:val="00D72422"/>
    <w:rsid w:val="00D7244C"/>
    <w:rsid w:val="00D7247F"/>
    <w:rsid w:val="00D7249E"/>
    <w:rsid w:val="00D72545"/>
    <w:rsid w:val="00D7256D"/>
    <w:rsid w:val="00D725C7"/>
    <w:rsid w:val="00D725CB"/>
    <w:rsid w:val="00D725E7"/>
    <w:rsid w:val="00D7268B"/>
    <w:rsid w:val="00D726C1"/>
    <w:rsid w:val="00D726F9"/>
    <w:rsid w:val="00D7275B"/>
    <w:rsid w:val="00D72793"/>
    <w:rsid w:val="00D727C5"/>
    <w:rsid w:val="00D72802"/>
    <w:rsid w:val="00D7280C"/>
    <w:rsid w:val="00D7294D"/>
    <w:rsid w:val="00D72A01"/>
    <w:rsid w:val="00D72A55"/>
    <w:rsid w:val="00D72A74"/>
    <w:rsid w:val="00D72AC8"/>
    <w:rsid w:val="00D72AF9"/>
    <w:rsid w:val="00D72B00"/>
    <w:rsid w:val="00D72B66"/>
    <w:rsid w:val="00D72BC5"/>
    <w:rsid w:val="00D72C9F"/>
    <w:rsid w:val="00D72CEB"/>
    <w:rsid w:val="00D72D13"/>
    <w:rsid w:val="00D72D14"/>
    <w:rsid w:val="00D72D35"/>
    <w:rsid w:val="00D72D5B"/>
    <w:rsid w:val="00D72DA1"/>
    <w:rsid w:val="00D72DA5"/>
    <w:rsid w:val="00D72DCD"/>
    <w:rsid w:val="00D72DEA"/>
    <w:rsid w:val="00D72E1B"/>
    <w:rsid w:val="00D72E99"/>
    <w:rsid w:val="00D72EF6"/>
    <w:rsid w:val="00D72F3E"/>
    <w:rsid w:val="00D72F59"/>
    <w:rsid w:val="00D72F96"/>
    <w:rsid w:val="00D72FC3"/>
    <w:rsid w:val="00D72FD3"/>
    <w:rsid w:val="00D7302E"/>
    <w:rsid w:val="00D73110"/>
    <w:rsid w:val="00D73144"/>
    <w:rsid w:val="00D731A4"/>
    <w:rsid w:val="00D731F3"/>
    <w:rsid w:val="00D73293"/>
    <w:rsid w:val="00D732F0"/>
    <w:rsid w:val="00D732F8"/>
    <w:rsid w:val="00D73383"/>
    <w:rsid w:val="00D73388"/>
    <w:rsid w:val="00D73392"/>
    <w:rsid w:val="00D733B9"/>
    <w:rsid w:val="00D7340E"/>
    <w:rsid w:val="00D734D9"/>
    <w:rsid w:val="00D73597"/>
    <w:rsid w:val="00D7363E"/>
    <w:rsid w:val="00D73670"/>
    <w:rsid w:val="00D73730"/>
    <w:rsid w:val="00D73769"/>
    <w:rsid w:val="00D737CC"/>
    <w:rsid w:val="00D73879"/>
    <w:rsid w:val="00D738B5"/>
    <w:rsid w:val="00D7391F"/>
    <w:rsid w:val="00D73927"/>
    <w:rsid w:val="00D73941"/>
    <w:rsid w:val="00D73977"/>
    <w:rsid w:val="00D739CF"/>
    <w:rsid w:val="00D73A18"/>
    <w:rsid w:val="00D73A9A"/>
    <w:rsid w:val="00D73AA0"/>
    <w:rsid w:val="00D73AA6"/>
    <w:rsid w:val="00D73AF5"/>
    <w:rsid w:val="00D73B2A"/>
    <w:rsid w:val="00D73B2D"/>
    <w:rsid w:val="00D73B43"/>
    <w:rsid w:val="00D73B64"/>
    <w:rsid w:val="00D73BBC"/>
    <w:rsid w:val="00D73BF6"/>
    <w:rsid w:val="00D73CDF"/>
    <w:rsid w:val="00D73D8C"/>
    <w:rsid w:val="00D73DAE"/>
    <w:rsid w:val="00D73E16"/>
    <w:rsid w:val="00D73E4F"/>
    <w:rsid w:val="00D73E7C"/>
    <w:rsid w:val="00D73E8B"/>
    <w:rsid w:val="00D73ED7"/>
    <w:rsid w:val="00D7403E"/>
    <w:rsid w:val="00D74065"/>
    <w:rsid w:val="00D74191"/>
    <w:rsid w:val="00D741A3"/>
    <w:rsid w:val="00D741AF"/>
    <w:rsid w:val="00D741BC"/>
    <w:rsid w:val="00D7421E"/>
    <w:rsid w:val="00D74226"/>
    <w:rsid w:val="00D7424B"/>
    <w:rsid w:val="00D74265"/>
    <w:rsid w:val="00D74267"/>
    <w:rsid w:val="00D742CB"/>
    <w:rsid w:val="00D74364"/>
    <w:rsid w:val="00D743EF"/>
    <w:rsid w:val="00D7452D"/>
    <w:rsid w:val="00D745A5"/>
    <w:rsid w:val="00D745D2"/>
    <w:rsid w:val="00D745F7"/>
    <w:rsid w:val="00D74604"/>
    <w:rsid w:val="00D74633"/>
    <w:rsid w:val="00D74680"/>
    <w:rsid w:val="00D74694"/>
    <w:rsid w:val="00D746AB"/>
    <w:rsid w:val="00D746C8"/>
    <w:rsid w:val="00D746D8"/>
    <w:rsid w:val="00D7471A"/>
    <w:rsid w:val="00D74739"/>
    <w:rsid w:val="00D7482F"/>
    <w:rsid w:val="00D74840"/>
    <w:rsid w:val="00D7487E"/>
    <w:rsid w:val="00D74966"/>
    <w:rsid w:val="00D749C2"/>
    <w:rsid w:val="00D749C8"/>
    <w:rsid w:val="00D749E3"/>
    <w:rsid w:val="00D74A06"/>
    <w:rsid w:val="00D74A07"/>
    <w:rsid w:val="00D74A9B"/>
    <w:rsid w:val="00D74AA5"/>
    <w:rsid w:val="00D74AB7"/>
    <w:rsid w:val="00D74B27"/>
    <w:rsid w:val="00D74BB0"/>
    <w:rsid w:val="00D74D21"/>
    <w:rsid w:val="00D74D41"/>
    <w:rsid w:val="00D74DC8"/>
    <w:rsid w:val="00D74DCE"/>
    <w:rsid w:val="00D74DEF"/>
    <w:rsid w:val="00D74DF6"/>
    <w:rsid w:val="00D74E0C"/>
    <w:rsid w:val="00D74E25"/>
    <w:rsid w:val="00D74E6F"/>
    <w:rsid w:val="00D74E73"/>
    <w:rsid w:val="00D74F05"/>
    <w:rsid w:val="00D74F24"/>
    <w:rsid w:val="00D74F95"/>
    <w:rsid w:val="00D75065"/>
    <w:rsid w:val="00D750CF"/>
    <w:rsid w:val="00D750E2"/>
    <w:rsid w:val="00D75102"/>
    <w:rsid w:val="00D75121"/>
    <w:rsid w:val="00D7513A"/>
    <w:rsid w:val="00D7516C"/>
    <w:rsid w:val="00D7517D"/>
    <w:rsid w:val="00D751D5"/>
    <w:rsid w:val="00D751D8"/>
    <w:rsid w:val="00D751E4"/>
    <w:rsid w:val="00D752A5"/>
    <w:rsid w:val="00D752C3"/>
    <w:rsid w:val="00D75320"/>
    <w:rsid w:val="00D75335"/>
    <w:rsid w:val="00D753AE"/>
    <w:rsid w:val="00D753D4"/>
    <w:rsid w:val="00D753FA"/>
    <w:rsid w:val="00D75403"/>
    <w:rsid w:val="00D75473"/>
    <w:rsid w:val="00D75488"/>
    <w:rsid w:val="00D75557"/>
    <w:rsid w:val="00D75565"/>
    <w:rsid w:val="00D75586"/>
    <w:rsid w:val="00D755A1"/>
    <w:rsid w:val="00D755BE"/>
    <w:rsid w:val="00D75608"/>
    <w:rsid w:val="00D75617"/>
    <w:rsid w:val="00D75647"/>
    <w:rsid w:val="00D756B1"/>
    <w:rsid w:val="00D7575A"/>
    <w:rsid w:val="00D757E3"/>
    <w:rsid w:val="00D75825"/>
    <w:rsid w:val="00D75896"/>
    <w:rsid w:val="00D75924"/>
    <w:rsid w:val="00D75950"/>
    <w:rsid w:val="00D75967"/>
    <w:rsid w:val="00D7596A"/>
    <w:rsid w:val="00D759C7"/>
    <w:rsid w:val="00D759E7"/>
    <w:rsid w:val="00D759F7"/>
    <w:rsid w:val="00D75A51"/>
    <w:rsid w:val="00D75A5D"/>
    <w:rsid w:val="00D75A65"/>
    <w:rsid w:val="00D75A6D"/>
    <w:rsid w:val="00D75A89"/>
    <w:rsid w:val="00D75A93"/>
    <w:rsid w:val="00D75A97"/>
    <w:rsid w:val="00D75AE5"/>
    <w:rsid w:val="00D75B36"/>
    <w:rsid w:val="00D75BD6"/>
    <w:rsid w:val="00D75C0A"/>
    <w:rsid w:val="00D75C1E"/>
    <w:rsid w:val="00D75C32"/>
    <w:rsid w:val="00D75C97"/>
    <w:rsid w:val="00D75CA7"/>
    <w:rsid w:val="00D75D13"/>
    <w:rsid w:val="00D75D46"/>
    <w:rsid w:val="00D75E23"/>
    <w:rsid w:val="00D75E6E"/>
    <w:rsid w:val="00D75E93"/>
    <w:rsid w:val="00D75EC5"/>
    <w:rsid w:val="00D75EF3"/>
    <w:rsid w:val="00D75F3B"/>
    <w:rsid w:val="00D75F96"/>
    <w:rsid w:val="00D75FCE"/>
    <w:rsid w:val="00D75FE4"/>
    <w:rsid w:val="00D75FE6"/>
    <w:rsid w:val="00D75FE8"/>
    <w:rsid w:val="00D76018"/>
    <w:rsid w:val="00D76053"/>
    <w:rsid w:val="00D76095"/>
    <w:rsid w:val="00D760C9"/>
    <w:rsid w:val="00D760E0"/>
    <w:rsid w:val="00D76175"/>
    <w:rsid w:val="00D7617B"/>
    <w:rsid w:val="00D761A6"/>
    <w:rsid w:val="00D761F1"/>
    <w:rsid w:val="00D76271"/>
    <w:rsid w:val="00D76276"/>
    <w:rsid w:val="00D762A3"/>
    <w:rsid w:val="00D76314"/>
    <w:rsid w:val="00D76320"/>
    <w:rsid w:val="00D763AB"/>
    <w:rsid w:val="00D763B4"/>
    <w:rsid w:val="00D763B5"/>
    <w:rsid w:val="00D763D0"/>
    <w:rsid w:val="00D76412"/>
    <w:rsid w:val="00D764C0"/>
    <w:rsid w:val="00D764E0"/>
    <w:rsid w:val="00D76520"/>
    <w:rsid w:val="00D76576"/>
    <w:rsid w:val="00D76593"/>
    <w:rsid w:val="00D765B1"/>
    <w:rsid w:val="00D765F8"/>
    <w:rsid w:val="00D76622"/>
    <w:rsid w:val="00D76631"/>
    <w:rsid w:val="00D76711"/>
    <w:rsid w:val="00D76735"/>
    <w:rsid w:val="00D767E2"/>
    <w:rsid w:val="00D7682A"/>
    <w:rsid w:val="00D76860"/>
    <w:rsid w:val="00D7686D"/>
    <w:rsid w:val="00D768BC"/>
    <w:rsid w:val="00D768DB"/>
    <w:rsid w:val="00D768E0"/>
    <w:rsid w:val="00D76938"/>
    <w:rsid w:val="00D7693B"/>
    <w:rsid w:val="00D76975"/>
    <w:rsid w:val="00D769B3"/>
    <w:rsid w:val="00D769ED"/>
    <w:rsid w:val="00D769FB"/>
    <w:rsid w:val="00D76A1E"/>
    <w:rsid w:val="00D76ADB"/>
    <w:rsid w:val="00D76B04"/>
    <w:rsid w:val="00D76B07"/>
    <w:rsid w:val="00D76B25"/>
    <w:rsid w:val="00D76B50"/>
    <w:rsid w:val="00D76B55"/>
    <w:rsid w:val="00D76B80"/>
    <w:rsid w:val="00D76BAD"/>
    <w:rsid w:val="00D76BC4"/>
    <w:rsid w:val="00D76BD1"/>
    <w:rsid w:val="00D76C71"/>
    <w:rsid w:val="00D76C92"/>
    <w:rsid w:val="00D76CF5"/>
    <w:rsid w:val="00D76CFF"/>
    <w:rsid w:val="00D76D07"/>
    <w:rsid w:val="00D76D2D"/>
    <w:rsid w:val="00D76D32"/>
    <w:rsid w:val="00D76D61"/>
    <w:rsid w:val="00D76D84"/>
    <w:rsid w:val="00D76D99"/>
    <w:rsid w:val="00D76EA8"/>
    <w:rsid w:val="00D76EDB"/>
    <w:rsid w:val="00D76F26"/>
    <w:rsid w:val="00D76F2B"/>
    <w:rsid w:val="00D76F54"/>
    <w:rsid w:val="00D76F55"/>
    <w:rsid w:val="00D76FCF"/>
    <w:rsid w:val="00D7702C"/>
    <w:rsid w:val="00D77049"/>
    <w:rsid w:val="00D77165"/>
    <w:rsid w:val="00D7723D"/>
    <w:rsid w:val="00D772CD"/>
    <w:rsid w:val="00D77305"/>
    <w:rsid w:val="00D77381"/>
    <w:rsid w:val="00D7738E"/>
    <w:rsid w:val="00D773D2"/>
    <w:rsid w:val="00D77419"/>
    <w:rsid w:val="00D7741C"/>
    <w:rsid w:val="00D774EA"/>
    <w:rsid w:val="00D774F1"/>
    <w:rsid w:val="00D77538"/>
    <w:rsid w:val="00D7755D"/>
    <w:rsid w:val="00D77589"/>
    <w:rsid w:val="00D7764F"/>
    <w:rsid w:val="00D7765C"/>
    <w:rsid w:val="00D776DF"/>
    <w:rsid w:val="00D77718"/>
    <w:rsid w:val="00D7777A"/>
    <w:rsid w:val="00D7784A"/>
    <w:rsid w:val="00D77860"/>
    <w:rsid w:val="00D77865"/>
    <w:rsid w:val="00D77885"/>
    <w:rsid w:val="00D778D5"/>
    <w:rsid w:val="00D779F5"/>
    <w:rsid w:val="00D77A06"/>
    <w:rsid w:val="00D77A1E"/>
    <w:rsid w:val="00D77A79"/>
    <w:rsid w:val="00D77A83"/>
    <w:rsid w:val="00D77B07"/>
    <w:rsid w:val="00D77B3E"/>
    <w:rsid w:val="00D77B5D"/>
    <w:rsid w:val="00D77D0C"/>
    <w:rsid w:val="00D77D11"/>
    <w:rsid w:val="00D77D76"/>
    <w:rsid w:val="00D77F4D"/>
    <w:rsid w:val="00D77FA9"/>
    <w:rsid w:val="00D8012C"/>
    <w:rsid w:val="00D801A8"/>
    <w:rsid w:val="00D801BE"/>
    <w:rsid w:val="00D801E2"/>
    <w:rsid w:val="00D802DB"/>
    <w:rsid w:val="00D802F0"/>
    <w:rsid w:val="00D802FE"/>
    <w:rsid w:val="00D80348"/>
    <w:rsid w:val="00D803A8"/>
    <w:rsid w:val="00D803DD"/>
    <w:rsid w:val="00D8044F"/>
    <w:rsid w:val="00D804D2"/>
    <w:rsid w:val="00D80527"/>
    <w:rsid w:val="00D80529"/>
    <w:rsid w:val="00D8052A"/>
    <w:rsid w:val="00D80586"/>
    <w:rsid w:val="00D805BB"/>
    <w:rsid w:val="00D805C0"/>
    <w:rsid w:val="00D80602"/>
    <w:rsid w:val="00D8060F"/>
    <w:rsid w:val="00D80647"/>
    <w:rsid w:val="00D80690"/>
    <w:rsid w:val="00D806B2"/>
    <w:rsid w:val="00D80763"/>
    <w:rsid w:val="00D80783"/>
    <w:rsid w:val="00D80827"/>
    <w:rsid w:val="00D80846"/>
    <w:rsid w:val="00D80847"/>
    <w:rsid w:val="00D8085F"/>
    <w:rsid w:val="00D808A5"/>
    <w:rsid w:val="00D80950"/>
    <w:rsid w:val="00D80965"/>
    <w:rsid w:val="00D809E7"/>
    <w:rsid w:val="00D80A26"/>
    <w:rsid w:val="00D80AD8"/>
    <w:rsid w:val="00D80AFF"/>
    <w:rsid w:val="00D80B0A"/>
    <w:rsid w:val="00D80B19"/>
    <w:rsid w:val="00D80B39"/>
    <w:rsid w:val="00D80BB0"/>
    <w:rsid w:val="00D80C23"/>
    <w:rsid w:val="00D80C7F"/>
    <w:rsid w:val="00D80C92"/>
    <w:rsid w:val="00D80CD7"/>
    <w:rsid w:val="00D80D1C"/>
    <w:rsid w:val="00D80D54"/>
    <w:rsid w:val="00D80D6A"/>
    <w:rsid w:val="00D80D95"/>
    <w:rsid w:val="00D80DFB"/>
    <w:rsid w:val="00D80E02"/>
    <w:rsid w:val="00D80E80"/>
    <w:rsid w:val="00D80EE7"/>
    <w:rsid w:val="00D80F10"/>
    <w:rsid w:val="00D80FCE"/>
    <w:rsid w:val="00D81091"/>
    <w:rsid w:val="00D810D5"/>
    <w:rsid w:val="00D810E6"/>
    <w:rsid w:val="00D81103"/>
    <w:rsid w:val="00D81184"/>
    <w:rsid w:val="00D811B1"/>
    <w:rsid w:val="00D811C7"/>
    <w:rsid w:val="00D812C7"/>
    <w:rsid w:val="00D812D5"/>
    <w:rsid w:val="00D81361"/>
    <w:rsid w:val="00D8137E"/>
    <w:rsid w:val="00D813CB"/>
    <w:rsid w:val="00D8142F"/>
    <w:rsid w:val="00D81441"/>
    <w:rsid w:val="00D81504"/>
    <w:rsid w:val="00D8153E"/>
    <w:rsid w:val="00D81557"/>
    <w:rsid w:val="00D81562"/>
    <w:rsid w:val="00D815AB"/>
    <w:rsid w:val="00D81606"/>
    <w:rsid w:val="00D816F1"/>
    <w:rsid w:val="00D8178E"/>
    <w:rsid w:val="00D817B6"/>
    <w:rsid w:val="00D817E5"/>
    <w:rsid w:val="00D81874"/>
    <w:rsid w:val="00D81887"/>
    <w:rsid w:val="00D818BA"/>
    <w:rsid w:val="00D818E5"/>
    <w:rsid w:val="00D818ED"/>
    <w:rsid w:val="00D818F9"/>
    <w:rsid w:val="00D8192D"/>
    <w:rsid w:val="00D8195A"/>
    <w:rsid w:val="00D81966"/>
    <w:rsid w:val="00D81999"/>
    <w:rsid w:val="00D819D0"/>
    <w:rsid w:val="00D81A36"/>
    <w:rsid w:val="00D81A38"/>
    <w:rsid w:val="00D81ACC"/>
    <w:rsid w:val="00D81B1C"/>
    <w:rsid w:val="00D81B36"/>
    <w:rsid w:val="00D81B7B"/>
    <w:rsid w:val="00D81B7C"/>
    <w:rsid w:val="00D81BD6"/>
    <w:rsid w:val="00D81C24"/>
    <w:rsid w:val="00D81C77"/>
    <w:rsid w:val="00D81C8D"/>
    <w:rsid w:val="00D81CCD"/>
    <w:rsid w:val="00D81D70"/>
    <w:rsid w:val="00D81D82"/>
    <w:rsid w:val="00D81DDA"/>
    <w:rsid w:val="00D81DF1"/>
    <w:rsid w:val="00D81DFF"/>
    <w:rsid w:val="00D81E2F"/>
    <w:rsid w:val="00D81E61"/>
    <w:rsid w:val="00D81EB7"/>
    <w:rsid w:val="00D81EBB"/>
    <w:rsid w:val="00D81ED0"/>
    <w:rsid w:val="00D82003"/>
    <w:rsid w:val="00D82045"/>
    <w:rsid w:val="00D8204F"/>
    <w:rsid w:val="00D82088"/>
    <w:rsid w:val="00D820AB"/>
    <w:rsid w:val="00D82134"/>
    <w:rsid w:val="00D8222D"/>
    <w:rsid w:val="00D82248"/>
    <w:rsid w:val="00D8226D"/>
    <w:rsid w:val="00D822CB"/>
    <w:rsid w:val="00D823BA"/>
    <w:rsid w:val="00D8241B"/>
    <w:rsid w:val="00D8244E"/>
    <w:rsid w:val="00D82483"/>
    <w:rsid w:val="00D82543"/>
    <w:rsid w:val="00D82581"/>
    <w:rsid w:val="00D82598"/>
    <w:rsid w:val="00D825DF"/>
    <w:rsid w:val="00D825F1"/>
    <w:rsid w:val="00D82786"/>
    <w:rsid w:val="00D82789"/>
    <w:rsid w:val="00D82805"/>
    <w:rsid w:val="00D82838"/>
    <w:rsid w:val="00D8285B"/>
    <w:rsid w:val="00D8288E"/>
    <w:rsid w:val="00D828A6"/>
    <w:rsid w:val="00D82963"/>
    <w:rsid w:val="00D82998"/>
    <w:rsid w:val="00D829F5"/>
    <w:rsid w:val="00D82A88"/>
    <w:rsid w:val="00D82A8E"/>
    <w:rsid w:val="00D82AA4"/>
    <w:rsid w:val="00D82B07"/>
    <w:rsid w:val="00D82B8C"/>
    <w:rsid w:val="00D82BC6"/>
    <w:rsid w:val="00D82BDA"/>
    <w:rsid w:val="00D82BEA"/>
    <w:rsid w:val="00D82CD1"/>
    <w:rsid w:val="00D82CD2"/>
    <w:rsid w:val="00D82D2F"/>
    <w:rsid w:val="00D82E2F"/>
    <w:rsid w:val="00D82E7F"/>
    <w:rsid w:val="00D82ED1"/>
    <w:rsid w:val="00D82F23"/>
    <w:rsid w:val="00D82F24"/>
    <w:rsid w:val="00D82F6C"/>
    <w:rsid w:val="00D82F82"/>
    <w:rsid w:val="00D82FE3"/>
    <w:rsid w:val="00D830E9"/>
    <w:rsid w:val="00D830FB"/>
    <w:rsid w:val="00D8310F"/>
    <w:rsid w:val="00D83140"/>
    <w:rsid w:val="00D8314E"/>
    <w:rsid w:val="00D83190"/>
    <w:rsid w:val="00D831CA"/>
    <w:rsid w:val="00D831EC"/>
    <w:rsid w:val="00D83286"/>
    <w:rsid w:val="00D832F8"/>
    <w:rsid w:val="00D83304"/>
    <w:rsid w:val="00D83353"/>
    <w:rsid w:val="00D8343C"/>
    <w:rsid w:val="00D83453"/>
    <w:rsid w:val="00D834ED"/>
    <w:rsid w:val="00D834FF"/>
    <w:rsid w:val="00D835BD"/>
    <w:rsid w:val="00D8361D"/>
    <w:rsid w:val="00D8362C"/>
    <w:rsid w:val="00D83645"/>
    <w:rsid w:val="00D836CC"/>
    <w:rsid w:val="00D83775"/>
    <w:rsid w:val="00D837BA"/>
    <w:rsid w:val="00D837D1"/>
    <w:rsid w:val="00D8385B"/>
    <w:rsid w:val="00D8387D"/>
    <w:rsid w:val="00D83907"/>
    <w:rsid w:val="00D839EE"/>
    <w:rsid w:val="00D83A38"/>
    <w:rsid w:val="00D83A88"/>
    <w:rsid w:val="00D83AAE"/>
    <w:rsid w:val="00D83AB8"/>
    <w:rsid w:val="00D83AD7"/>
    <w:rsid w:val="00D83B0A"/>
    <w:rsid w:val="00D83B15"/>
    <w:rsid w:val="00D83B35"/>
    <w:rsid w:val="00D83BA7"/>
    <w:rsid w:val="00D83BFF"/>
    <w:rsid w:val="00D83C24"/>
    <w:rsid w:val="00D83C6B"/>
    <w:rsid w:val="00D83C83"/>
    <w:rsid w:val="00D83CA2"/>
    <w:rsid w:val="00D83CC3"/>
    <w:rsid w:val="00D83DA8"/>
    <w:rsid w:val="00D83DFC"/>
    <w:rsid w:val="00D83E86"/>
    <w:rsid w:val="00D83EC8"/>
    <w:rsid w:val="00D83F36"/>
    <w:rsid w:val="00D83FD7"/>
    <w:rsid w:val="00D83FEC"/>
    <w:rsid w:val="00D84091"/>
    <w:rsid w:val="00D84096"/>
    <w:rsid w:val="00D840B6"/>
    <w:rsid w:val="00D8410F"/>
    <w:rsid w:val="00D8411C"/>
    <w:rsid w:val="00D8415A"/>
    <w:rsid w:val="00D84260"/>
    <w:rsid w:val="00D842D1"/>
    <w:rsid w:val="00D8434A"/>
    <w:rsid w:val="00D843AB"/>
    <w:rsid w:val="00D843B5"/>
    <w:rsid w:val="00D843C5"/>
    <w:rsid w:val="00D843C6"/>
    <w:rsid w:val="00D843EF"/>
    <w:rsid w:val="00D84423"/>
    <w:rsid w:val="00D8442A"/>
    <w:rsid w:val="00D8445B"/>
    <w:rsid w:val="00D84493"/>
    <w:rsid w:val="00D844AF"/>
    <w:rsid w:val="00D844CD"/>
    <w:rsid w:val="00D84503"/>
    <w:rsid w:val="00D84513"/>
    <w:rsid w:val="00D84514"/>
    <w:rsid w:val="00D84551"/>
    <w:rsid w:val="00D84560"/>
    <w:rsid w:val="00D84570"/>
    <w:rsid w:val="00D845CE"/>
    <w:rsid w:val="00D8464B"/>
    <w:rsid w:val="00D84656"/>
    <w:rsid w:val="00D8465B"/>
    <w:rsid w:val="00D846C4"/>
    <w:rsid w:val="00D846E8"/>
    <w:rsid w:val="00D846ED"/>
    <w:rsid w:val="00D84739"/>
    <w:rsid w:val="00D8473E"/>
    <w:rsid w:val="00D847F3"/>
    <w:rsid w:val="00D847FC"/>
    <w:rsid w:val="00D8481F"/>
    <w:rsid w:val="00D8484A"/>
    <w:rsid w:val="00D8486F"/>
    <w:rsid w:val="00D84913"/>
    <w:rsid w:val="00D84946"/>
    <w:rsid w:val="00D84959"/>
    <w:rsid w:val="00D849A7"/>
    <w:rsid w:val="00D849C4"/>
    <w:rsid w:val="00D84A15"/>
    <w:rsid w:val="00D84A20"/>
    <w:rsid w:val="00D84A61"/>
    <w:rsid w:val="00D84A7C"/>
    <w:rsid w:val="00D84B9E"/>
    <w:rsid w:val="00D84BC5"/>
    <w:rsid w:val="00D84BDF"/>
    <w:rsid w:val="00D84C9E"/>
    <w:rsid w:val="00D84CB8"/>
    <w:rsid w:val="00D84D14"/>
    <w:rsid w:val="00D84D90"/>
    <w:rsid w:val="00D84DF1"/>
    <w:rsid w:val="00D84E06"/>
    <w:rsid w:val="00D84E29"/>
    <w:rsid w:val="00D84E76"/>
    <w:rsid w:val="00D84F59"/>
    <w:rsid w:val="00D84FE3"/>
    <w:rsid w:val="00D84FE6"/>
    <w:rsid w:val="00D8500A"/>
    <w:rsid w:val="00D850F9"/>
    <w:rsid w:val="00D85121"/>
    <w:rsid w:val="00D85172"/>
    <w:rsid w:val="00D851A7"/>
    <w:rsid w:val="00D851A9"/>
    <w:rsid w:val="00D851E0"/>
    <w:rsid w:val="00D851E3"/>
    <w:rsid w:val="00D8523A"/>
    <w:rsid w:val="00D8525B"/>
    <w:rsid w:val="00D85304"/>
    <w:rsid w:val="00D8530A"/>
    <w:rsid w:val="00D8538D"/>
    <w:rsid w:val="00D853A1"/>
    <w:rsid w:val="00D85441"/>
    <w:rsid w:val="00D85466"/>
    <w:rsid w:val="00D85502"/>
    <w:rsid w:val="00D85511"/>
    <w:rsid w:val="00D855BA"/>
    <w:rsid w:val="00D855E7"/>
    <w:rsid w:val="00D8560E"/>
    <w:rsid w:val="00D85610"/>
    <w:rsid w:val="00D85624"/>
    <w:rsid w:val="00D8565D"/>
    <w:rsid w:val="00D8575F"/>
    <w:rsid w:val="00D857A0"/>
    <w:rsid w:val="00D857D9"/>
    <w:rsid w:val="00D857DE"/>
    <w:rsid w:val="00D85855"/>
    <w:rsid w:val="00D85863"/>
    <w:rsid w:val="00D85884"/>
    <w:rsid w:val="00D858E8"/>
    <w:rsid w:val="00D85947"/>
    <w:rsid w:val="00D8594E"/>
    <w:rsid w:val="00D85962"/>
    <w:rsid w:val="00D85985"/>
    <w:rsid w:val="00D8599D"/>
    <w:rsid w:val="00D859D6"/>
    <w:rsid w:val="00D859DC"/>
    <w:rsid w:val="00D85A20"/>
    <w:rsid w:val="00D85A41"/>
    <w:rsid w:val="00D85AAC"/>
    <w:rsid w:val="00D85ADE"/>
    <w:rsid w:val="00D85AE9"/>
    <w:rsid w:val="00D85B1C"/>
    <w:rsid w:val="00D85B88"/>
    <w:rsid w:val="00D85C5E"/>
    <w:rsid w:val="00D85CB6"/>
    <w:rsid w:val="00D85CCB"/>
    <w:rsid w:val="00D85D61"/>
    <w:rsid w:val="00D85D9D"/>
    <w:rsid w:val="00D85E22"/>
    <w:rsid w:val="00D85E47"/>
    <w:rsid w:val="00D85EE5"/>
    <w:rsid w:val="00D85F77"/>
    <w:rsid w:val="00D85F9F"/>
    <w:rsid w:val="00D85FB9"/>
    <w:rsid w:val="00D86064"/>
    <w:rsid w:val="00D86177"/>
    <w:rsid w:val="00D8618D"/>
    <w:rsid w:val="00D861C5"/>
    <w:rsid w:val="00D861CA"/>
    <w:rsid w:val="00D861D0"/>
    <w:rsid w:val="00D861DE"/>
    <w:rsid w:val="00D861E3"/>
    <w:rsid w:val="00D8620F"/>
    <w:rsid w:val="00D86236"/>
    <w:rsid w:val="00D86308"/>
    <w:rsid w:val="00D86381"/>
    <w:rsid w:val="00D8645C"/>
    <w:rsid w:val="00D864DF"/>
    <w:rsid w:val="00D86508"/>
    <w:rsid w:val="00D8657D"/>
    <w:rsid w:val="00D865B1"/>
    <w:rsid w:val="00D86726"/>
    <w:rsid w:val="00D86774"/>
    <w:rsid w:val="00D8677B"/>
    <w:rsid w:val="00D86782"/>
    <w:rsid w:val="00D86798"/>
    <w:rsid w:val="00D867CA"/>
    <w:rsid w:val="00D867CD"/>
    <w:rsid w:val="00D86828"/>
    <w:rsid w:val="00D86900"/>
    <w:rsid w:val="00D869A4"/>
    <w:rsid w:val="00D869B2"/>
    <w:rsid w:val="00D869F0"/>
    <w:rsid w:val="00D86A9D"/>
    <w:rsid w:val="00D86AF2"/>
    <w:rsid w:val="00D86B3D"/>
    <w:rsid w:val="00D86B58"/>
    <w:rsid w:val="00D86B97"/>
    <w:rsid w:val="00D86BB3"/>
    <w:rsid w:val="00D86BFA"/>
    <w:rsid w:val="00D86C20"/>
    <w:rsid w:val="00D86C46"/>
    <w:rsid w:val="00D86C4A"/>
    <w:rsid w:val="00D86C4C"/>
    <w:rsid w:val="00D86CAB"/>
    <w:rsid w:val="00D86CB6"/>
    <w:rsid w:val="00D86CE0"/>
    <w:rsid w:val="00D86DD7"/>
    <w:rsid w:val="00D86E34"/>
    <w:rsid w:val="00D86E4F"/>
    <w:rsid w:val="00D86E88"/>
    <w:rsid w:val="00D86E89"/>
    <w:rsid w:val="00D86F15"/>
    <w:rsid w:val="00D86F23"/>
    <w:rsid w:val="00D86FAF"/>
    <w:rsid w:val="00D86FF4"/>
    <w:rsid w:val="00D87052"/>
    <w:rsid w:val="00D87089"/>
    <w:rsid w:val="00D870F5"/>
    <w:rsid w:val="00D87129"/>
    <w:rsid w:val="00D871CD"/>
    <w:rsid w:val="00D87269"/>
    <w:rsid w:val="00D87273"/>
    <w:rsid w:val="00D87319"/>
    <w:rsid w:val="00D87329"/>
    <w:rsid w:val="00D8732D"/>
    <w:rsid w:val="00D8736C"/>
    <w:rsid w:val="00D8738B"/>
    <w:rsid w:val="00D87394"/>
    <w:rsid w:val="00D873E4"/>
    <w:rsid w:val="00D873E7"/>
    <w:rsid w:val="00D87445"/>
    <w:rsid w:val="00D87448"/>
    <w:rsid w:val="00D8745D"/>
    <w:rsid w:val="00D8747C"/>
    <w:rsid w:val="00D874A3"/>
    <w:rsid w:val="00D87562"/>
    <w:rsid w:val="00D87591"/>
    <w:rsid w:val="00D875C1"/>
    <w:rsid w:val="00D875E2"/>
    <w:rsid w:val="00D87629"/>
    <w:rsid w:val="00D87660"/>
    <w:rsid w:val="00D8768C"/>
    <w:rsid w:val="00D876C6"/>
    <w:rsid w:val="00D876E8"/>
    <w:rsid w:val="00D8770D"/>
    <w:rsid w:val="00D8770E"/>
    <w:rsid w:val="00D8773D"/>
    <w:rsid w:val="00D8780D"/>
    <w:rsid w:val="00D87844"/>
    <w:rsid w:val="00D878D8"/>
    <w:rsid w:val="00D878FB"/>
    <w:rsid w:val="00D87960"/>
    <w:rsid w:val="00D87A7E"/>
    <w:rsid w:val="00D87B6B"/>
    <w:rsid w:val="00D87B9F"/>
    <w:rsid w:val="00D87BE7"/>
    <w:rsid w:val="00D87C61"/>
    <w:rsid w:val="00D87C79"/>
    <w:rsid w:val="00D87D1D"/>
    <w:rsid w:val="00D87D30"/>
    <w:rsid w:val="00D87D62"/>
    <w:rsid w:val="00D87DCF"/>
    <w:rsid w:val="00D87DE8"/>
    <w:rsid w:val="00D87E05"/>
    <w:rsid w:val="00D87E3B"/>
    <w:rsid w:val="00D87E3E"/>
    <w:rsid w:val="00D87E8F"/>
    <w:rsid w:val="00D87E93"/>
    <w:rsid w:val="00D87E95"/>
    <w:rsid w:val="00D87EA4"/>
    <w:rsid w:val="00D87EBA"/>
    <w:rsid w:val="00D87EDD"/>
    <w:rsid w:val="00D87EE9"/>
    <w:rsid w:val="00D87EF3"/>
    <w:rsid w:val="00D87F24"/>
    <w:rsid w:val="00D87F25"/>
    <w:rsid w:val="00D87F8C"/>
    <w:rsid w:val="00D87FF3"/>
    <w:rsid w:val="00D90000"/>
    <w:rsid w:val="00D9010D"/>
    <w:rsid w:val="00D90180"/>
    <w:rsid w:val="00D901C0"/>
    <w:rsid w:val="00D901CD"/>
    <w:rsid w:val="00D901F7"/>
    <w:rsid w:val="00D9021A"/>
    <w:rsid w:val="00D9028A"/>
    <w:rsid w:val="00D902E5"/>
    <w:rsid w:val="00D90306"/>
    <w:rsid w:val="00D90307"/>
    <w:rsid w:val="00D90357"/>
    <w:rsid w:val="00D9039B"/>
    <w:rsid w:val="00D903C7"/>
    <w:rsid w:val="00D903D7"/>
    <w:rsid w:val="00D90419"/>
    <w:rsid w:val="00D9041F"/>
    <w:rsid w:val="00D90473"/>
    <w:rsid w:val="00D90517"/>
    <w:rsid w:val="00D90546"/>
    <w:rsid w:val="00D905C7"/>
    <w:rsid w:val="00D9061B"/>
    <w:rsid w:val="00D90634"/>
    <w:rsid w:val="00D9063D"/>
    <w:rsid w:val="00D9068F"/>
    <w:rsid w:val="00D9070C"/>
    <w:rsid w:val="00D90711"/>
    <w:rsid w:val="00D90741"/>
    <w:rsid w:val="00D90762"/>
    <w:rsid w:val="00D90774"/>
    <w:rsid w:val="00D90798"/>
    <w:rsid w:val="00D907A5"/>
    <w:rsid w:val="00D907C8"/>
    <w:rsid w:val="00D90859"/>
    <w:rsid w:val="00D9086C"/>
    <w:rsid w:val="00D9089C"/>
    <w:rsid w:val="00D908A9"/>
    <w:rsid w:val="00D90932"/>
    <w:rsid w:val="00D9094B"/>
    <w:rsid w:val="00D9098F"/>
    <w:rsid w:val="00D90997"/>
    <w:rsid w:val="00D909B5"/>
    <w:rsid w:val="00D909CB"/>
    <w:rsid w:val="00D90A85"/>
    <w:rsid w:val="00D90B02"/>
    <w:rsid w:val="00D90B34"/>
    <w:rsid w:val="00D90B39"/>
    <w:rsid w:val="00D90B48"/>
    <w:rsid w:val="00D90BEC"/>
    <w:rsid w:val="00D90BEF"/>
    <w:rsid w:val="00D90C10"/>
    <w:rsid w:val="00D90C76"/>
    <w:rsid w:val="00D90C7D"/>
    <w:rsid w:val="00D90CAE"/>
    <w:rsid w:val="00D90CB0"/>
    <w:rsid w:val="00D90CC5"/>
    <w:rsid w:val="00D90D87"/>
    <w:rsid w:val="00D90EBD"/>
    <w:rsid w:val="00D90F1F"/>
    <w:rsid w:val="00D90F58"/>
    <w:rsid w:val="00D90FB7"/>
    <w:rsid w:val="00D9101B"/>
    <w:rsid w:val="00D91043"/>
    <w:rsid w:val="00D910C0"/>
    <w:rsid w:val="00D910CF"/>
    <w:rsid w:val="00D91121"/>
    <w:rsid w:val="00D91173"/>
    <w:rsid w:val="00D911F2"/>
    <w:rsid w:val="00D91236"/>
    <w:rsid w:val="00D91298"/>
    <w:rsid w:val="00D912A2"/>
    <w:rsid w:val="00D912C5"/>
    <w:rsid w:val="00D912C8"/>
    <w:rsid w:val="00D912E2"/>
    <w:rsid w:val="00D912E4"/>
    <w:rsid w:val="00D912FD"/>
    <w:rsid w:val="00D9131B"/>
    <w:rsid w:val="00D91324"/>
    <w:rsid w:val="00D91375"/>
    <w:rsid w:val="00D914BB"/>
    <w:rsid w:val="00D914DC"/>
    <w:rsid w:val="00D91502"/>
    <w:rsid w:val="00D91511"/>
    <w:rsid w:val="00D91625"/>
    <w:rsid w:val="00D91688"/>
    <w:rsid w:val="00D916D8"/>
    <w:rsid w:val="00D916ED"/>
    <w:rsid w:val="00D91753"/>
    <w:rsid w:val="00D91782"/>
    <w:rsid w:val="00D917D4"/>
    <w:rsid w:val="00D917DB"/>
    <w:rsid w:val="00D917E5"/>
    <w:rsid w:val="00D9184D"/>
    <w:rsid w:val="00D9186F"/>
    <w:rsid w:val="00D91948"/>
    <w:rsid w:val="00D91A27"/>
    <w:rsid w:val="00D91A92"/>
    <w:rsid w:val="00D91B36"/>
    <w:rsid w:val="00D91B57"/>
    <w:rsid w:val="00D91BC3"/>
    <w:rsid w:val="00D91C3E"/>
    <w:rsid w:val="00D91E24"/>
    <w:rsid w:val="00D91E36"/>
    <w:rsid w:val="00D91E89"/>
    <w:rsid w:val="00D91EB3"/>
    <w:rsid w:val="00D91ECE"/>
    <w:rsid w:val="00D91F14"/>
    <w:rsid w:val="00D91F4F"/>
    <w:rsid w:val="00D91FED"/>
    <w:rsid w:val="00D92011"/>
    <w:rsid w:val="00D92079"/>
    <w:rsid w:val="00D920A1"/>
    <w:rsid w:val="00D920F3"/>
    <w:rsid w:val="00D920F9"/>
    <w:rsid w:val="00D9210B"/>
    <w:rsid w:val="00D92135"/>
    <w:rsid w:val="00D92192"/>
    <w:rsid w:val="00D921D3"/>
    <w:rsid w:val="00D921D4"/>
    <w:rsid w:val="00D921E6"/>
    <w:rsid w:val="00D921F4"/>
    <w:rsid w:val="00D923A0"/>
    <w:rsid w:val="00D92406"/>
    <w:rsid w:val="00D92420"/>
    <w:rsid w:val="00D924C4"/>
    <w:rsid w:val="00D925E3"/>
    <w:rsid w:val="00D92635"/>
    <w:rsid w:val="00D92736"/>
    <w:rsid w:val="00D9274A"/>
    <w:rsid w:val="00D9275F"/>
    <w:rsid w:val="00D92786"/>
    <w:rsid w:val="00D927A2"/>
    <w:rsid w:val="00D92853"/>
    <w:rsid w:val="00D9285F"/>
    <w:rsid w:val="00D92961"/>
    <w:rsid w:val="00D929C9"/>
    <w:rsid w:val="00D929D4"/>
    <w:rsid w:val="00D929F9"/>
    <w:rsid w:val="00D92A03"/>
    <w:rsid w:val="00D92A08"/>
    <w:rsid w:val="00D92A19"/>
    <w:rsid w:val="00D92A3B"/>
    <w:rsid w:val="00D92A41"/>
    <w:rsid w:val="00D92A65"/>
    <w:rsid w:val="00D92AD1"/>
    <w:rsid w:val="00D92B56"/>
    <w:rsid w:val="00D92B6C"/>
    <w:rsid w:val="00D92BA3"/>
    <w:rsid w:val="00D92BB3"/>
    <w:rsid w:val="00D92C38"/>
    <w:rsid w:val="00D92CA2"/>
    <w:rsid w:val="00D92CBE"/>
    <w:rsid w:val="00D92CCC"/>
    <w:rsid w:val="00D92D9B"/>
    <w:rsid w:val="00D92DA6"/>
    <w:rsid w:val="00D92DCA"/>
    <w:rsid w:val="00D92E26"/>
    <w:rsid w:val="00D92E36"/>
    <w:rsid w:val="00D92EAB"/>
    <w:rsid w:val="00D92EF6"/>
    <w:rsid w:val="00D92F00"/>
    <w:rsid w:val="00D92F58"/>
    <w:rsid w:val="00D92F9F"/>
    <w:rsid w:val="00D92FD3"/>
    <w:rsid w:val="00D93008"/>
    <w:rsid w:val="00D9300D"/>
    <w:rsid w:val="00D9308D"/>
    <w:rsid w:val="00D930E0"/>
    <w:rsid w:val="00D930EB"/>
    <w:rsid w:val="00D93148"/>
    <w:rsid w:val="00D93188"/>
    <w:rsid w:val="00D93202"/>
    <w:rsid w:val="00D93218"/>
    <w:rsid w:val="00D93220"/>
    <w:rsid w:val="00D93241"/>
    <w:rsid w:val="00D93259"/>
    <w:rsid w:val="00D9327E"/>
    <w:rsid w:val="00D932AE"/>
    <w:rsid w:val="00D932F2"/>
    <w:rsid w:val="00D9338D"/>
    <w:rsid w:val="00D933CA"/>
    <w:rsid w:val="00D93416"/>
    <w:rsid w:val="00D9348A"/>
    <w:rsid w:val="00D9348C"/>
    <w:rsid w:val="00D93559"/>
    <w:rsid w:val="00D93574"/>
    <w:rsid w:val="00D935AF"/>
    <w:rsid w:val="00D93612"/>
    <w:rsid w:val="00D93671"/>
    <w:rsid w:val="00D93674"/>
    <w:rsid w:val="00D937B3"/>
    <w:rsid w:val="00D9385B"/>
    <w:rsid w:val="00D93919"/>
    <w:rsid w:val="00D93944"/>
    <w:rsid w:val="00D93951"/>
    <w:rsid w:val="00D9397B"/>
    <w:rsid w:val="00D93A3F"/>
    <w:rsid w:val="00D93A65"/>
    <w:rsid w:val="00D93A6E"/>
    <w:rsid w:val="00D93AC0"/>
    <w:rsid w:val="00D93AFA"/>
    <w:rsid w:val="00D93B02"/>
    <w:rsid w:val="00D93BF6"/>
    <w:rsid w:val="00D93C27"/>
    <w:rsid w:val="00D93C4F"/>
    <w:rsid w:val="00D93C95"/>
    <w:rsid w:val="00D93CBC"/>
    <w:rsid w:val="00D93D43"/>
    <w:rsid w:val="00D93D93"/>
    <w:rsid w:val="00D93DD7"/>
    <w:rsid w:val="00D93E06"/>
    <w:rsid w:val="00D93E3C"/>
    <w:rsid w:val="00D93E5E"/>
    <w:rsid w:val="00D93E73"/>
    <w:rsid w:val="00D93EF9"/>
    <w:rsid w:val="00D93FB1"/>
    <w:rsid w:val="00D93FB9"/>
    <w:rsid w:val="00D94058"/>
    <w:rsid w:val="00D9407D"/>
    <w:rsid w:val="00D940BD"/>
    <w:rsid w:val="00D9413E"/>
    <w:rsid w:val="00D94183"/>
    <w:rsid w:val="00D941C7"/>
    <w:rsid w:val="00D942A8"/>
    <w:rsid w:val="00D942F0"/>
    <w:rsid w:val="00D942F1"/>
    <w:rsid w:val="00D94389"/>
    <w:rsid w:val="00D943C4"/>
    <w:rsid w:val="00D943C6"/>
    <w:rsid w:val="00D943EF"/>
    <w:rsid w:val="00D94445"/>
    <w:rsid w:val="00D944B9"/>
    <w:rsid w:val="00D945ED"/>
    <w:rsid w:val="00D9461C"/>
    <w:rsid w:val="00D94634"/>
    <w:rsid w:val="00D94674"/>
    <w:rsid w:val="00D946CA"/>
    <w:rsid w:val="00D946F4"/>
    <w:rsid w:val="00D947F2"/>
    <w:rsid w:val="00D9485B"/>
    <w:rsid w:val="00D94929"/>
    <w:rsid w:val="00D94930"/>
    <w:rsid w:val="00D94931"/>
    <w:rsid w:val="00D94947"/>
    <w:rsid w:val="00D94952"/>
    <w:rsid w:val="00D94989"/>
    <w:rsid w:val="00D949BF"/>
    <w:rsid w:val="00D949C5"/>
    <w:rsid w:val="00D94A86"/>
    <w:rsid w:val="00D94A9B"/>
    <w:rsid w:val="00D94AAA"/>
    <w:rsid w:val="00D94B32"/>
    <w:rsid w:val="00D94B7A"/>
    <w:rsid w:val="00D94B89"/>
    <w:rsid w:val="00D94B9C"/>
    <w:rsid w:val="00D94C49"/>
    <w:rsid w:val="00D94C60"/>
    <w:rsid w:val="00D94C68"/>
    <w:rsid w:val="00D94C9F"/>
    <w:rsid w:val="00D94CA2"/>
    <w:rsid w:val="00D94E12"/>
    <w:rsid w:val="00D94E13"/>
    <w:rsid w:val="00D94E52"/>
    <w:rsid w:val="00D94EDB"/>
    <w:rsid w:val="00D94EE0"/>
    <w:rsid w:val="00D94EEB"/>
    <w:rsid w:val="00D94F1D"/>
    <w:rsid w:val="00D94F46"/>
    <w:rsid w:val="00D94F47"/>
    <w:rsid w:val="00D94F5F"/>
    <w:rsid w:val="00D94F76"/>
    <w:rsid w:val="00D94FE3"/>
    <w:rsid w:val="00D95094"/>
    <w:rsid w:val="00D950AA"/>
    <w:rsid w:val="00D95176"/>
    <w:rsid w:val="00D9519A"/>
    <w:rsid w:val="00D95218"/>
    <w:rsid w:val="00D95246"/>
    <w:rsid w:val="00D95250"/>
    <w:rsid w:val="00D952CD"/>
    <w:rsid w:val="00D952DE"/>
    <w:rsid w:val="00D9531E"/>
    <w:rsid w:val="00D953FF"/>
    <w:rsid w:val="00D95417"/>
    <w:rsid w:val="00D95418"/>
    <w:rsid w:val="00D95465"/>
    <w:rsid w:val="00D954AA"/>
    <w:rsid w:val="00D954F3"/>
    <w:rsid w:val="00D954F9"/>
    <w:rsid w:val="00D95503"/>
    <w:rsid w:val="00D9554C"/>
    <w:rsid w:val="00D95584"/>
    <w:rsid w:val="00D955A4"/>
    <w:rsid w:val="00D955BC"/>
    <w:rsid w:val="00D955F2"/>
    <w:rsid w:val="00D95669"/>
    <w:rsid w:val="00D95683"/>
    <w:rsid w:val="00D9568F"/>
    <w:rsid w:val="00D95715"/>
    <w:rsid w:val="00D9573A"/>
    <w:rsid w:val="00D957B0"/>
    <w:rsid w:val="00D9580A"/>
    <w:rsid w:val="00D95812"/>
    <w:rsid w:val="00D95860"/>
    <w:rsid w:val="00D9589B"/>
    <w:rsid w:val="00D959BC"/>
    <w:rsid w:val="00D95A69"/>
    <w:rsid w:val="00D95A7A"/>
    <w:rsid w:val="00D95A97"/>
    <w:rsid w:val="00D95AA4"/>
    <w:rsid w:val="00D95AD9"/>
    <w:rsid w:val="00D95B11"/>
    <w:rsid w:val="00D95B25"/>
    <w:rsid w:val="00D95B80"/>
    <w:rsid w:val="00D95C44"/>
    <w:rsid w:val="00D95C56"/>
    <w:rsid w:val="00D95CF4"/>
    <w:rsid w:val="00D95D50"/>
    <w:rsid w:val="00D95D6D"/>
    <w:rsid w:val="00D95D97"/>
    <w:rsid w:val="00D95DB0"/>
    <w:rsid w:val="00D95DFB"/>
    <w:rsid w:val="00D95E5B"/>
    <w:rsid w:val="00D95EB8"/>
    <w:rsid w:val="00D95F25"/>
    <w:rsid w:val="00D95F67"/>
    <w:rsid w:val="00D95F8B"/>
    <w:rsid w:val="00D95F90"/>
    <w:rsid w:val="00D95F96"/>
    <w:rsid w:val="00D95FE4"/>
    <w:rsid w:val="00D96003"/>
    <w:rsid w:val="00D960BC"/>
    <w:rsid w:val="00D960DC"/>
    <w:rsid w:val="00D960FA"/>
    <w:rsid w:val="00D9613A"/>
    <w:rsid w:val="00D96142"/>
    <w:rsid w:val="00D9621B"/>
    <w:rsid w:val="00D962F0"/>
    <w:rsid w:val="00D9632D"/>
    <w:rsid w:val="00D96338"/>
    <w:rsid w:val="00D96343"/>
    <w:rsid w:val="00D96360"/>
    <w:rsid w:val="00D963A4"/>
    <w:rsid w:val="00D963B0"/>
    <w:rsid w:val="00D96403"/>
    <w:rsid w:val="00D96411"/>
    <w:rsid w:val="00D96437"/>
    <w:rsid w:val="00D964F4"/>
    <w:rsid w:val="00D96520"/>
    <w:rsid w:val="00D965DF"/>
    <w:rsid w:val="00D965EF"/>
    <w:rsid w:val="00D966A4"/>
    <w:rsid w:val="00D9670C"/>
    <w:rsid w:val="00D96721"/>
    <w:rsid w:val="00D967A8"/>
    <w:rsid w:val="00D967FE"/>
    <w:rsid w:val="00D96898"/>
    <w:rsid w:val="00D96903"/>
    <w:rsid w:val="00D96928"/>
    <w:rsid w:val="00D9692A"/>
    <w:rsid w:val="00D9695F"/>
    <w:rsid w:val="00D9697C"/>
    <w:rsid w:val="00D969BE"/>
    <w:rsid w:val="00D969F7"/>
    <w:rsid w:val="00D96A4D"/>
    <w:rsid w:val="00D96A94"/>
    <w:rsid w:val="00D96AE4"/>
    <w:rsid w:val="00D96B75"/>
    <w:rsid w:val="00D96B76"/>
    <w:rsid w:val="00D96BB8"/>
    <w:rsid w:val="00D96BDC"/>
    <w:rsid w:val="00D96BE3"/>
    <w:rsid w:val="00D96CD5"/>
    <w:rsid w:val="00D96CE6"/>
    <w:rsid w:val="00D96D09"/>
    <w:rsid w:val="00D96D33"/>
    <w:rsid w:val="00D96D46"/>
    <w:rsid w:val="00D96E45"/>
    <w:rsid w:val="00D96EEE"/>
    <w:rsid w:val="00D96F11"/>
    <w:rsid w:val="00D96F3B"/>
    <w:rsid w:val="00D96F68"/>
    <w:rsid w:val="00D97004"/>
    <w:rsid w:val="00D97029"/>
    <w:rsid w:val="00D97048"/>
    <w:rsid w:val="00D9706D"/>
    <w:rsid w:val="00D97177"/>
    <w:rsid w:val="00D971B7"/>
    <w:rsid w:val="00D9720A"/>
    <w:rsid w:val="00D972A8"/>
    <w:rsid w:val="00D97373"/>
    <w:rsid w:val="00D973AA"/>
    <w:rsid w:val="00D9743F"/>
    <w:rsid w:val="00D9746D"/>
    <w:rsid w:val="00D97497"/>
    <w:rsid w:val="00D974D3"/>
    <w:rsid w:val="00D974DB"/>
    <w:rsid w:val="00D974DD"/>
    <w:rsid w:val="00D97529"/>
    <w:rsid w:val="00D97675"/>
    <w:rsid w:val="00D97704"/>
    <w:rsid w:val="00D9771D"/>
    <w:rsid w:val="00D97725"/>
    <w:rsid w:val="00D9776D"/>
    <w:rsid w:val="00D977E5"/>
    <w:rsid w:val="00D97859"/>
    <w:rsid w:val="00D97897"/>
    <w:rsid w:val="00D978BD"/>
    <w:rsid w:val="00D9793E"/>
    <w:rsid w:val="00D97945"/>
    <w:rsid w:val="00D9794B"/>
    <w:rsid w:val="00D9799A"/>
    <w:rsid w:val="00D979E1"/>
    <w:rsid w:val="00D979E2"/>
    <w:rsid w:val="00D97A59"/>
    <w:rsid w:val="00D97A85"/>
    <w:rsid w:val="00D97B32"/>
    <w:rsid w:val="00D97B65"/>
    <w:rsid w:val="00D97B6C"/>
    <w:rsid w:val="00D97B9F"/>
    <w:rsid w:val="00D97BAA"/>
    <w:rsid w:val="00D97BC9"/>
    <w:rsid w:val="00D97C81"/>
    <w:rsid w:val="00D97CCC"/>
    <w:rsid w:val="00D97CF1"/>
    <w:rsid w:val="00D97D1E"/>
    <w:rsid w:val="00D97D88"/>
    <w:rsid w:val="00D97D97"/>
    <w:rsid w:val="00D97DBA"/>
    <w:rsid w:val="00D97E0C"/>
    <w:rsid w:val="00D97E36"/>
    <w:rsid w:val="00D97F59"/>
    <w:rsid w:val="00D97F7B"/>
    <w:rsid w:val="00D97F7F"/>
    <w:rsid w:val="00D97FA1"/>
    <w:rsid w:val="00D97FE9"/>
    <w:rsid w:val="00DA00FE"/>
    <w:rsid w:val="00DA015B"/>
    <w:rsid w:val="00DA015C"/>
    <w:rsid w:val="00DA0195"/>
    <w:rsid w:val="00DA019F"/>
    <w:rsid w:val="00DA01DD"/>
    <w:rsid w:val="00DA01EE"/>
    <w:rsid w:val="00DA0213"/>
    <w:rsid w:val="00DA0234"/>
    <w:rsid w:val="00DA0248"/>
    <w:rsid w:val="00DA0331"/>
    <w:rsid w:val="00DA0362"/>
    <w:rsid w:val="00DA03A9"/>
    <w:rsid w:val="00DA03BC"/>
    <w:rsid w:val="00DA03D5"/>
    <w:rsid w:val="00DA03E2"/>
    <w:rsid w:val="00DA04D4"/>
    <w:rsid w:val="00DA0526"/>
    <w:rsid w:val="00DA05A2"/>
    <w:rsid w:val="00DA05BF"/>
    <w:rsid w:val="00DA05E4"/>
    <w:rsid w:val="00DA0605"/>
    <w:rsid w:val="00DA0622"/>
    <w:rsid w:val="00DA062F"/>
    <w:rsid w:val="00DA06AB"/>
    <w:rsid w:val="00DA06C8"/>
    <w:rsid w:val="00DA06E9"/>
    <w:rsid w:val="00DA072B"/>
    <w:rsid w:val="00DA0732"/>
    <w:rsid w:val="00DA07CF"/>
    <w:rsid w:val="00DA080E"/>
    <w:rsid w:val="00DA08DE"/>
    <w:rsid w:val="00DA0927"/>
    <w:rsid w:val="00DA0963"/>
    <w:rsid w:val="00DA09C9"/>
    <w:rsid w:val="00DA0A45"/>
    <w:rsid w:val="00DA0A53"/>
    <w:rsid w:val="00DA0ACC"/>
    <w:rsid w:val="00DA0B26"/>
    <w:rsid w:val="00DA0B6C"/>
    <w:rsid w:val="00DA0B8B"/>
    <w:rsid w:val="00DA0BAC"/>
    <w:rsid w:val="00DA0C91"/>
    <w:rsid w:val="00DA0CB9"/>
    <w:rsid w:val="00DA0CBC"/>
    <w:rsid w:val="00DA0D20"/>
    <w:rsid w:val="00DA0D80"/>
    <w:rsid w:val="00DA0DEC"/>
    <w:rsid w:val="00DA0E0B"/>
    <w:rsid w:val="00DA0E1F"/>
    <w:rsid w:val="00DA0E23"/>
    <w:rsid w:val="00DA0E63"/>
    <w:rsid w:val="00DA0E72"/>
    <w:rsid w:val="00DA0EFA"/>
    <w:rsid w:val="00DA0F23"/>
    <w:rsid w:val="00DA0F96"/>
    <w:rsid w:val="00DA0F98"/>
    <w:rsid w:val="00DA0FF2"/>
    <w:rsid w:val="00DA107C"/>
    <w:rsid w:val="00DA1188"/>
    <w:rsid w:val="00DA1210"/>
    <w:rsid w:val="00DA1222"/>
    <w:rsid w:val="00DA1254"/>
    <w:rsid w:val="00DA1297"/>
    <w:rsid w:val="00DA12BA"/>
    <w:rsid w:val="00DA1324"/>
    <w:rsid w:val="00DA1333"/>
    <w:rsid w:val="00DA1336"/>
    <w:rsid w:val="00DA13AA"/>
    <w:rsid w:val="00DA13B5"/>
    <w:rsid w:val="00DA13B8"/>
    <w:rsid w:val="00DA14AF"/>
    <w:rsid w:val="00DA14D6"/>
    <w:rsid w:val="00DA154B"/>
    <w:rsid w:val="00DA156C"/>
    <w:rsid w:val="00DA1644"/>
    <w:rsid w:val="00DA16C4"/>
    <w:rsid w:val="00DA1759"/>
    <w:rsid w:val="00DA176B"/>
    <w:rsid w:val="00DA1797"/>
    <w:rsid w:val="00DA17A9"/>
    <w:rsid w:val="00DA17ED"/>
    <w:rsid w:val="00DA18B2"/>
    <w:rsid w:val="00DA18BD"/>
    <w:rsid w:val="00DA18CB"/>
    <w:rsid w:val="00DA197E"/>
    <w:rsid w:val="00DA19E7"/>
    <w:rsid w:val="00DA1A29"/>
    <w:rsid w:val="00DA1B18"/>
    <w:rsid w:val="00DA1B77"/>
    <w:rsid w:val="00DA1BAE"/>
    <w:rsid w:val="00DA1BC3"/>
    <w:rsid w:val="00DA1BDC"/>
    <w:rsid w:val="00DA1C5B"/>
    <w:rsid w:val="00DA1C85"/>
    <w:rsid w:val="00DA1C8B"/>
    <w:rsid w:val="00DA1CD0"/>
    <w:rsid w:val="00DA1D07"/>
    <w:rsid w:val="00DA1D4F"/>
    <w:rsid w:val="00DA1D84"/>
    <w:rsid w:val="00DA1D95"/>
    <w:rsid w:val="00DA1D9F"/>
    <w:rsid w:val="00DA1DA1"/>
    <w:rsid w:val="00DA1DC7"/>
    <w:rsid w:val="00DA1DCB"/>
    <w:rsid w:val="00DA1EC6"/>
    <w:rsid w:val="00DA1ECA"/>
    <w:rsid w:val="00DA1ECD"/>
    <w:rsid w:val="00DA1EDD"/>
    <w:rsid w:val="00DA1F1B"/>
    <w:rsid w:val="00DA1F3F"/>
    <w:rsid w:val="00DA1F9E"/>
    <w:rsid w:val="00DA1FCC"/>
    <w:rsid w:val="00DA1FDD"/>
    <w:rsid w:val="00DA2027"/>
    <w:rsid w:val="00DA2098"/>
    <w:rsid w:val="00DA20CD"/>
    <w:rsid w:val="00DA213E"/>
    <w:rsid w:val="00DA214A"/>
    <w:rsid w:val="00DA2170"/>
    <w:rsid w:val="00DA2174"/>
    <w:rsid w:val="00DA218E"/>
    <w:rsid w:val="00DA21E7"/>
    <w:rsid w:val="00DA21FE"/>
    <w:rsid w:val="00DA220B"/>
    <w:rsid w:val="00DA2257"/>
    <w:rsid w:val="00DA22B1"/>
    <w:rsid w:val="00DA22D9"/>
    <w:rsid w:val="00DA22DB"/>
    <w:rsid w:val="00DA22F4"/>
    <w:rsid w:val="00DA2343"/>
    <w:rsid w:val="00DA2346"/>
    <w:rsid w:val="00DA2350"/>
    <w:rsid w:val="00DA2386"/>
    <w:rsid w:val="00DA2521"/>
    <w:rsid w:val="00DA258C"/>
    <w:rsid w:val="00DA2606"/>
    <w:rsid w:val="00DA260A"/>
    <w:rsid w:val="00DA264B"/>
    <w:rsid w:val="00DA2668"/>
    <w:rsid w:val="00DA266A"/>
    <w:rsid w:val="00DA26AC"/>
    <w:rsid w:val="00DA26FD"/>
    <w:rsid w:val="00DA2715"/>
    <w:rsid w:val="00DA27A8"/>
    <w:rsid w:val="00DA27D2"/>
    <w:rsid w:val="00DA2802"/>
    <w:rsid w:val="00DA2885"/>
    <w:rsid w:val="00DA2918"/>
    <w:rsid w:val="00DA2928"/>
    <w:rsid w:val="00DA2956"/>
    <w:rsid w:val="00DA29BF"/>
    <w:rsid w:val="00DA2A2D"/>
    <w:rsid w:val="00DA2A34"/>
    <w:rsid w:val="00DA2A71"/>
    <w:rsid w:val="00DA2AC3"/>
    <w:rsid w:val="00DA2AE6"/>
    <w:rsid w:val="00DA2B12"/>
    <w:rsid w:val="00DA2B15"/>
    <w:rsid w:val="00DA2B32"/>
    <w:rsid w:val="00DA2B8C"/>
    <w:rsid w:val="00DA2BFF"/>
    <w:rsid w:val="00DA2C08"/>
    <w:rsid w:val="00DA2C0C"/>
    <w:rsid w:val="00DA2C41"/>
    <w:rsid w:val="00DA2C67"/>
    <w:rsid w:val="00DA2CE4"/>
    <w:rsid w:val="00DA2CFD"/>
    <w:rsid w:val="00DA2D72"/>
    <w:rsid w:val="00DA2DB7"/>
    <w:rsid w:val="00DA2DD3"/>
    <w:rsid w:val="00DA2DF4"/>
    <w:rsid w:val="00DA2E1C"/>
    <w:rsid w:val="00DA2E38"/>
    <w:rsid w:val="00DA2E6E"/>
    <w:rsid w:val="00DA2ECE"/>
    <w:rsid w:val="00DA2EEA"/>
    <w:rsid w:val="00DA2F0C"/>
    <w:rsid w:val="00DA2F41"/>
    <w:rsid w:val="00DA2F49"/>
    <w:rsid w:val="00DA2F8C"/>
    <w:rsid w:val="00DA2FBF"/>
    <w:rsid w:val="00DA3003"/>
    <w:rsid w:val="00DA303D"/>
    <w:rsid w:val="00DA3048"/>
    <w:rsid w:val="00DA3052"/>
    <w:rsid w:val="00DA30DB"/>
    <w:rsid w:val="00DA30E2"/>
    <w:rsid w:val="00DA30E9"/>
    <w:rsid w:val="00DA312E"/>
    <w:rsid w:val="00DA3135"/>
    <w:rsid w:val="00DA313E"/>
    <w:rsid w:val="00DA3145"/>
    <w:rsid w:val="00DA315B"/>
    <w:rsid w:val="00DA3169"/>
    <w:rsid w:val="00DA3185"/>
    <w:rsid w:val="00DA31BD"/>
    <w:rsid w:val="00DA31BE"/>
    <w:rsid w:val="00DA321B"/>
    <w:rsid w:val="00DA325B"/>
    <w:rsid w:val="00DA328D"/>
    <w:rsid w:val="00DA32A5"/>
    <w:rsid w:val="00DA32A7"/>
    <w:rsid w:val="00DA3303"/>
    <w:rsid w:val="00DA330E"/>
    <w:rsid w:val="00DA3350"/>
    <w:rsid w:val="00DA3395"/>
    <w:rsid w:val="00DA33D9"/>
    <w:rsid w:val="00DA3424"/>
    <w:rsid w:val="00DA3474"/>
    <w:rsid w:val="00DA34D6"/>
    <w:rsid w:val="00DA3532"/>
    <w:rsid w:val="00DA3538"/>
    <w:rsid w:val="00DA357C"/>
    <w:rsid w:val="00DA358C"/>
    <w:rsid w:val="00DA3630"/>
    <w:rsid w:val="00DA3656"/>
    <w:rsid w:val="00DA3668"/>
    <w:rsid w:val="00DA3682"/>
    <w:rsid w:val="00DA368F"/>
    <w:rsid w:val="00DA36DD"/>
    <w:rsid w:val="00DA36E8"/>
    <w:rsid w:val="00DA3729"/>
    <w:rsid w:val="00DA373E"/>
    <w:rsid w:val="00DA3752"/>
    <w:rsid w:val="00DA3775"/>
    <w:rsid w:val="00DA386A"/>
    <w:rsid w:val="00DA395F"/>
    <w:rsid w:val="00DA3A08"/>
    <w:rsid w:val="00DA3B64"/>
    <w:rsid w:val="00DA3B6F"/>
    <w:rsid w:val="00DA3BDA"/>
    <w:rsid w:val="00DA3BE1"/>
    <w:rsid w:val="00DA3C12"/>
    <w:rsid w:val="00DA3CAC"/>
    <w:rsid w:val="00DA3CD0"/>
    <w:rsid w:val="00DA3D72"/>
    <w:rsid w:val="00DA3D7E"/>
    <w:rsid w:val="00DA3DF6"/>
    <w:rsid w:val="00DA3E6F"/>
    <w:rsid w:val="00DA3EA3"/>
    <w:rsid w:val="00DA3EDA"/>
    <w:rsid w:val="00DA3F1D"/>
    <w:rsid w:val="00DA3F75"/>
    <w:rsid w:val="00DA3FEE"/>
    <w:rsid w:val="00DA4001"/>
    <w:rsid w:val="00DA4013"/>
    <w:rsid w:val="00DA404A"/>
    <w:rsid w:val="00DA4116"/>
    <w:rsid w:val="00DA4133"/>
    <w:rsid w:val="00DA414F"/>
    <w:rsid w:val="00DA4162"/>
    <w:rsid w:val="00DA41DD"/>
    <w:rsid w:val="00DA4217"/>
    <w:rsid w:val="00DA42CD"/>
    <w:rsid w:val="00DA42E0"/>
    <w:rsid w:val="00DA4328"/>
    <w:rsid w:val="00DA433D"/>
    <w:rsid w:val="00DA4377"/>
    <w:rsid w:val="00DA43EB"/>
    <w:rsid w:val="00DA43EF"/>
    <w:rsid w:val="00DA451B"/>
    <w:rsid w:val="00DA453D"/>
    <w:rsid w:val="00DA4544"/>
    <w:rsid w:val="00DA45A1"/>
    <w:rsid w:val="00DA45CF"/>
    <w:rsid w:val="00DA4748"/>
    <w:rsid w:val="00DA474D"/>
    <w:rsid w:val="00DA4792"/>
    <w:rsid w:val="00DA47AD"/>
    <w:rsid w:val="00DA47E1"/>
    <w:rsid w:val="00DA47F5"/>
    <w:rsid w:val="00DA4822"/>
    <w:rsid w:val="00DA4844"/>
    <w:rsid w:val="00DA4873"/>
    <w:rsid w:val="00DA4875"/>
    <w:rsid w:val="00DA4880"/>
    <w:rsid w:val="00DA48A2"/>
    <w:rsid w:val="00DA48B3"/>
    <w:rsid w:val="00DA48DF"/>
    <w:rsid w:val="00DA48FA"/>
    <w:rsid w:val="00DA4963"/>
    <w:rsid w:val="00DA4971"/>
    <w:rsid w:val="00DA49DF"/>
    <w:rsid w:val="00DA4A12"/>
    <w:rsid w:val="00DA4A1A"/>
    <w:rsid w:val="00DA4A3E"/>
    <w:rsid w:val="00DA4B2C"/>
    <w:rsid w:val="00DA4B47"/>
    <w:rsid w:val="00DA4BB1"/>
    <w:rsid w:val="00DA4BE1"/>
    <w:rsid w:val="00DA4BE5"/>
    <w:rsid w:val="00DA4C20"/>
    <w:rsid w:val="00DA4C5B"/>
    <w:rsid w:val="00DA4C7D"/>
    <w:rsid w:val="00DA4CB1"/>
    <w:rsid w:val="00DA4CB5"/>
    <w:rsid w:val="00DA4CD0"/>
    <w:rsid w:val="00DA4D35"/>
    <w:rsid w:val="00DA4D4C"/>
    <w:rsid w:val="00DA4D83"/>
    <w:rsid w:val="00DA4E76"/>
    <w:rsid w:val="00DA4F09"/>
    <w:rsid w:val="00DA4F30"/>
    <w:rsid w:val="00DA4FA1"/>
    <w:rsid w:val="00DA50AD"/>
    <w:rsid w:val="00DA50FF"/>
    <w:rsid w:val="00DA5149"/>
    <w:rsid w:val="00DA5272"/>
    <w:rsid w:val="00DA527E"/>
    <w:rsid w:val="00DA52DD"/>
    <w:rsid w:val="00DA534C"/>
    <w:rsid w:val="00DA5422"/>
    <w:rsid w:val="00DA543E"/>
    <w:rsid w:val="00DA54AD"/>
    <w:rsid w:val="00DA54B4"/>
    <w:rsid w:val="00DA54C8"/>
    <w:rsid w:val="00DA54DC"/>
    <w:rsid w:val="00DA5623"/>
    <w:rsid w:val="00DA5654"/>
    <w:rsid w:val="00DA566D"/>
    <w:rsid w:val="00DA569E"/>
    <w:rsid w:val="00DA5716"/>
    <w:rsid w:val="00DA571B"/>
    <w:rsid w:val="00DA5721"/>
    <w:rsid w:val="00DA5784"/>
    <w:rsid w:val="00DA57B7"/>
    <w:rsid w:val="00DA57C2"/>
    <w:rsid w:val="00DA5831"/>
    <w:rsid w:val="00DA583B"/>
    <w:rsid w:val="00DA58B6"/>
    <w:rsid w:val="00DA58E7"/>
    <w:rsid w:val="00DA5930"/>
    <w:rsid w:val="00DA593D"/>
    <w:rsid w:val="00DA593E"/>
    <w:rsid w:val="00DA5981"/>
    <w:rsid w:val="00DA59B6"/>
    <w:rsid w:val="00DA5AA0"/>
    <w:rsid w:val="00DA5B1C"/>
    <w:rsid w:val="00DA5B41"/>
    <w:rsid w:val="00DA5B54"/>
    <w:rsid w:val="00DA5B5C"/>
    <w:rsid w:val="00DA5B6C"/>
    <w:rsid w:val="00DA5C06"/>
    <w:rsid w:val="00DA5C55"/>
    <w:rsid w:val="00DA5D48"/>
    <w:rsid w:val="00DA5D4D"/>
    <w:rsid w:val="00DA5D70"/>
    <w:rsid w:val="00DA5DBB"/>
    <w:rsid w:val="00DA5DE3"/>
    <w:rsid w:val="00DA5EA1"/>
    <w:rsid w:val="00DA5EA4"/>
    <w:rsid w:val="00DA5ED3"/>
    <w:rsid w:val="00DA5EF6"/>
    <w:rsid w:val="00DA5EFB"/>
    <w:rsid w:val="00DA5F42"/>
    <w:rsid w:val="00DA5F50"/>
    <w:rsid w:val="00DA5FAD"/>
    <w:rsid w:val="00DA6021"/>
    <w:rsid w:val="00DA606C"/>
    <w:rsid w:val="00DA606D"/>
    <w:rsid w:val="00DA60A0"/>
    <w:rsid w:val="00DA60A8"/>
    <w:rsid w:val="00DA60CC"/>
    <w:rsid w:val="00DA6159"/>
    <w:rsid w:val="00DA618D"/>
    <w:rsid w:val="00DA627C"/>
    <w:rsid w:val="00DA6288"/>
    <w:rsid w:val="00DA62A6"/>
    <w:rsid w:val="00DA62EE"/>
    <w:rsid w:val="00DA63A7"/>
    <w:rsid w:val="00DA63B3"/>
    <w:rsid w:val="00DA63FB"/>
    <w:rsid w:val="00DA6400"/>
    <w:rsid w:val="00DA641E"/>
    <w:rsid w:val="00DA64A3"/>
    <w:rsid w:val="00DA64AE"/>
    <w:rsid w:val="00DA64D0"/>
    <w:rsid w:val="00DA64F7"/>
    <w:rsid w:val="00DA655C"/>
    <w:rsid w:val="00DA6596"/>
    <w:rsid w:val="00DA6637"/>
    <w:rsid w:val="00DA66F9"/>
    <w:rsid w:val="00DA672A"/>
    <w:rsid w:val="00DA6826"/>
    <w:rsid w:val="00DA68FA"/>
    <w:rsid w:val="00DA6900"/>
    <w:rsid w:val="00DA6926"/>
    <w:rsid w:val="00DA6959"/>
    <w:rsid w:val="00DA6A09"/>
    <w:rsid w:val="00DA6A0C"/>
    <w:rsid w:val="00DA6A73"/>
    <w:rsid w:val="00DA6AA7"/>
    <w:rsid w:val="00DA6ADE"/>
    <w:rsid w:val="00DA6B0F"/>
    <w:rsid w:val="00DA6B1B"/>
    <w:rsid w:val="00DA6B37"/>
    <w:rsid w:val="00DA6B73"/>
    <w:rsid w:val="00DA6BCD"/>
    <w:rsid w:val="00DA6C4D"/>
    <w:rsid w:val="00DA6C61"/>
    <w:rsid w:val="00DA6C71"/>
    <w:rsid w:val="00DA6C92"/>
    <w:rsid w:val="00DA6CBB"/>
    <w:rsid w:val="00DA6D15"/>
    <w:rsid w:val="00DA6D3B"/>
    <w:rsid w:val="00DA6D90"/>
    <w:rsid w:val="00DA6DB1"/>
    <w:rsid w:val="00DA6E6B"/>
    <w:rsid w:val="00DA6F1E"/>
    <w:rsid w:val="00DA6FD5"/>
    <w:rsid w:val="00DA702A"/>
    <w:rsid w:val="00DA70F4"/>
    <w:rsid w:val="00DA70F7"/>
    <w:rsid w:val="00DA711E"/>
    <w:rsid w:val="00DA7139"/>
    <w:rsid w:val="00DA713A"/>
    <w:rsid w:val="00DA716F"/>
    <w:rsid w:val="00DA71D6"/>
    <w:rsid w:val="00DA71E6"/>
    <w:rsid w:val="00DA7209"/>
    <w:rsid w:val="00DA7235"/>
    <w:rsid w:val="00DA7296"/>
    <w:rsid w:val="00DA72A6"/>
    <w:rsid w:val="00DA733C"/>
    <w:rsid w:val="00DA7369"/>
    <w:rsid w:val="00DA73CC"/>
    <w:rsid w:val="00DA743D"/>
    <w:rsid w:val="00DA7451"/>
    <w:rsid w:val="00DA74E9"/>
    <w:rsid w:val="00DA75C1"/>
    <w:rsid w:val="00DA75FE"/>
    <w:rsid w:val="00DA760C"/>
    <w:rsid w:val="00DA7654"/>
    <w:rsid w:val="00DA767D"/>
    <w:rsid w:val="00DA7695"/>
    <w:rsid w:val="00DA76F9"/>
    <w:rsid w:val="00DA7739"/>
    <w:rsid w:val="00DA777A"/>
    <w:rsid w:val="00DA7805"/>
    <w:rsid w:val="00DA7830"/>
    <w:rsid w:val="00DA7841"/>
    <w:rsid w:val="00DA785A"/>
    <w:rsid w:val="00DA7916"/>
    <w:rsid w:val="00DA797C"/>
    <w:rsid w:val="00DA79C4"/>
    <w:rsid w:val="00DA79DB"/>
    <w:rsid w:val="00DA7A0C"/>
    <w:rsid w:val="00DA7A1F"/>
    <w:rsid w:val="00DA7A83"/>
    <w:rsid w:val="00DA7A85"/>
    <w:rsid w:val="00DA7A8D"/>
    <w:rsid w:val="00DA7AA7"/>
    <w:rsid w:val="00DA7ABB"/>
    <w:rsid w:val="00DA7AC4"/>
    <w:rsid w:val="00DA7AF5"/>
    <w:rsid w:val="00DA7B30"/>
    <w:rsid w:val="00DA7B6F"/>
    <w:rsid w:val="00DA7B72"/>
    <w:rsid w:val="00DA7BAA"/>
    <w:rsid w:val="00DA7BEA"/>
    <w:rsid w:val="00DA7BF5"/>
    <w:rsid w:val="00DA7BFF"/>
    <w:rsid w:val="00DA7C9C"/>
    <w:rsid w:val="00DA7CA5"/>
    <w:rsid w:val="00DA7CBE"/>
    <w:rsid w:val="00DA7D31"/>
    <w:rsid w:val="00DA7DE7"/>
    <w:rsid w:val="00DA7E8A"/>
    <w:rsid w:val="00DA7EA4"/>
    <w:rsid w:val="00DA7EED"/>
    <w:rsid w:val="00DA7F5E"/>
    <w:rsid w:val="00DA7FCA"/>
    <w:rsid w:val="00DB0007"/>
    <w:rsid w:val="00DB0026"/>
    <w:rsid w:val="00DB00A8"/>
    <w:rsid w:val="00DB0192"/>
    <w:rsid w:val="00DB01AF"/>
    <w:rsid w:val="00DB01C8"/>
    <w:rsid w:val="00DB01E6"/>
    <w:rsid w:val="00DB01EA"/>
    <w:rsid w:val="00DB023A"/>
    <w:rsid w:val="00DB02C7"/>
    <w:rsid w:val="00DB0308"/>
    <w:rsid w:val="00DB0328"/>
    <w:rsid w:val="00DB033B"/>
    <w:rsid w:val="00DB0342"/>
    <w:rsid w:val="00DB03AE"/>
    <w:rsid w:val="00DB0423"/>
    <w:rsid w:val="00DB045B"/>
    <w:rsid w:val="00DB046B"/>
    <w:rsid w:val="00DB049A"/>
    <w:rsid w:val="00DB0513"/>
    <w:rsid w:val="00DB055B"/>
    <w:rsid w:val="00DB0569"/>
    <w:rsid w:val="00DB05CE"/>
    <w:rsid w:val="00DB0663"/>
    <w:rsid w:val="00DB073B"/>
    <w:rsid w:val="00DB07CF"/>
    <w:rsid w:val="00DB07F1"/>
    <w:rsid w:val="00DB0821"/>
    <w:rsid w:val="00DB0835"/>
    <w:rsid w:val="00DB0861"/>
    <w:rsid w:val="00DB08C4"/>
    <w:rsid w:val="00DB08F9"/>
    <w:rsid w:val="00DB0940"/>
    <w:rsid w:val="00DB0967"/>
    <w:rsid w:val="00DB096F"/>
    <w:rsid w:val="00DB09D4"/>
    <w:rsid w:val="00DB0A24"/>
    <w:rsid w:val="00DB0A2F"/>
    <w:rsid w:val="00DB0A38"/>
    <w:rsid w:val="00DB0A94"/>
    <w:rsid w:val="00DB0AC3"/>
    <w:rsid w:val="00DB0AC8"/>
    <w:rsid w:val="00DB0AEC"/>
    <w:rsid w:val="00DB0B19"/>
    <w:rsid w:val="00DB0C05"/>
    <w:rsid w:val="00DB0C11"/>
    <w:rsid w:val="00DB0C44"/>
    <w:rsid w:val="00DB0CF4"/>
    <w:rsid w:val="00DB0D53"/>
    <w:rsid w:val="00DB0D9C"/>
    <w:rsid w:val="00DB0DDC"/>
    <w:rsid w:val="00DB0E2B"/>
    <w:rsid w:val="00DB0E84"/>
    <w:rsid w:val="00DB0E8E"/>
    <w:rsid w:val="00DB0F81"/>
    <w:rsid w:val="00DB1069"/>
    <w:rsid w:val="00DB1071"/>
    <w:rsid w:val="00DB10D9"/>
    <w:rsid w:val="00DB1133"/>
    <w:rsid w:val="00DB116B"/>
    <w:rsid w:val="00DB116F"/>
    <w:rsid w:val="00DB1188"/>
    <w:rsid w:val="00DB1200"/>
    <w:rsid w:val="00DB12AA"/>
    <w:rsid w:val="00DB134F"/>
    <w:rsid w:val="00DB1352"/>
    <w:rsid w:val="00DB1367"/>
    <w:rsid w:val="00DB137C"/>
    <w:rsid w:val="00DB1401"/>
    <w:rsid w:val="00DB1463"/>
    <w:rsid w:val="00DB147B"/>
    <w:rsid w:val="00DB1495"/>
    <w:rsid w:val="00DB1497"/>
    <w:rsid w:val="00DB1537"/>
    <w:rsid w:val="00DB1566"/>
    <w:rsid w:val="00DB15FD"/>
    <w:rsid w:val="00DB1607"/>
    <w:rsid w:val="00DB167A"/>
    <w:rsid w:val="00DB16CD"/>
    <w:rsid w:val="00DB16ED"/>
    <w:rsid w:val="00DB1702"/>
    <w:rsid w:val="00DB174D"/>
    <w:rsid w:val="00DB175B"/>
    <w:rsid w:val="00DB17EB"/>
    <w:rsid w:val="00DB1812"/>
    <w:rsid w:val="00DB1830"/>
    <w:rsid w:val="00DB18A6"/>
    <w:rsid w:val="00DB18FF"/>
    <w:rsid w:val="00DB1920"/>
    <w:rsid w:val="00DB19E4"/>
    <w:rsid w:val="00DB1A02"/>
    <w:rsid w:val="00DB1A0E"/>
    <w:rsid w:val="00DB1A0F"/>
    <w:rsid w:val="00DB1A12"/>
    <w:rsid w:val="00DB1A8E"/>
    <w:rsid w:val="00DB1AE5"/>
    <w:rsid w:val="00DB1AE9"/>
    <w:rsid w:val="00DB1B88"/>
    <w:rsid w:val="00DB1BA8"/>
    <w:rsid w:val="00DB1BAE"/>
    <w:rsid w:val="00DB1BAF"/>
    <w:rsid w:val="00DB1C10"/>
    <w:rsid w:val="00DB1C27"/>
    <w:rsid w:val="00DB1C96"/>
    <w:rsid w:val="00DB1C9E"/>
    <w:rsid w:val="00DB1CB1"/>
    <w:rsid w:val="00DB1CDE"/>
    <w:rsid w:val="00DB1D6F"/>
    <w:rsid w:val="00DB1DE3"/>
    <w:rsid w:val="00DB1E30"/>
    <w:rsid w:val="00DB1E6D"/>
    <w:rsid w:val="00DB1E8D"/>
    <w:rsid w:val="00DB1E96"/>
    <w:rsid w:val="00DB1F2F"/>
    <w:rsid w:val="00DB1FE4"/>
    <w:rsid w:val="00DB2034"/>
    <w:rsid w:val="00DB206D"/>
    <w:rsid w:val="00DB20DD"/>
    <w:rsid w:val="00DB20EF"/>
    <w:rsid w:val="00DB2118"/>
    <w:rsid w:val="00DB2137"/>
    <w:rsid w:val="00DB21C5"/>
    <w:rsid w:val="00DB2260"/>
    <w:rsid w:val="00DB22C8"/>
    <w:rsid w:val="00DB23B6"/>
    <w:rsid w:val="00DB23FA"/>
    <w:rsid w:val="00DB2451"/>
    <w:rsid w:val="00DB24BE"/>
    <w:rsid w:val="00DB24D4"/>
    <w:rsid w:val="00DB252F"/>
    <w:rsid w:val="00DB259D"/>
    <w:rsid w:val="00DB25AF"/>
    <w:rsid w:val="00DB25D4"/>
    <w:rsid w:val="00DB25E7"/>
    <w:rsid w:val="00DB2656"/>
    <w:rsid w:val="00DB2661"/>
    <w:rsid w:val="00DB2680"/>
    <w:rsid w:val="00DB2727"/>
    <w:rsid w:val="00DB2761"/>
    <w:rsid w:val="00DB27AE"/>
    <w:rsid w:val="00DB27CD"/>
    <w:rsid w:val="00DB2803"/>
    <w:rsid w:val="00DB286A"/>
    <w:rsid w:val="00DB2896"/>
    <w:rsid w:val="00DB291A"/>
    <w:rsid w:val="00DB297A"/>
    <w:rsid w:val="00DB29B9"/>
    <w:rsid w:val="00DB29BF"/>
    <w:rsid w:val="00DB2A69"/>
    <w:rsid w:val="00DB2A84"/>
    <w:rsid w:val="00DB2B6A"/>
    <w:rsid w:val="00DB2B7F"/>
    <w:rsid w:val="00DB2BBF"/>
    <w:rsid w:val="00DB2C00"/>
    <w:rsid w:val="00DB2C40"/>
    <w:rsid w:val="00DB2C71"/>
    <w:rsid w:val="00DB2C95"/>
    <w:rsid w:val="00DB2CA7"/>
    <w:rsid w:val="00DB2CD6"/>
    <w:rsid w:val="00DB2CEA"/>
    <w:rsid w:val="00DB2D66"/>
    <w:rsid w:val="00DB2DDF"/>
    <w:rsid w:val="00DB2E07"/>
    <w:rsid w:val="00DB2EA7"/>
    <w:rsid w:val="00DB2EAB"/>
    <w:rsid w:val="00DB2ECC"/>
    <w:rsid w:val="00DB2F3C"/>
    <w:rsid w:val="00DB2F43"/>
    <w:rsid w:val="00DB2F51"/>
    <w:rsid w:val="00DB2F54"/>
    <w:rsid w:val="00DB2F9B"/>
    <w:rsid w:val="00DB2FE6"/>
    <w:rsid w:val="00DB3023"/>
    <w:rsid w:val="00DB306F"/>
    <w:rsid w:val="00DB30A3"/>
    <w:rsid w:val="00DB3143"/>
    <w:rsid w:val="00DB3166"/>
    <w:rsid w:val="00DB31D3"/>
    <w:rsid w:val="00DB3201"/>
    <w:rsid w:val="00DB3240"/>
    <w:rsid w:val="00DB32AE"/>
    <w:rsid w:val="00DB32BF"/>
    <w:rsid w:val="00DB333C"/>
    <w:rsid w:val="00DB3388"/>
    <w:rsid w:val="00DB33B0"/>
    <w:rsid w:val="00DB33C2"/>
    <w:rsid w:val="00DB33C9"/>
    <w:rsid w:val="00DB33FF"/>
    <w:rsid w:val="00DB342E"/>
    <w:rsid w:val="00DB34C3"/>
    <w:rsid w:val="00DB34F6"/>
    <w:rsid w:val="00DB351B"/>
    <w:rsid w:val="00DB3557"/>
    <w:rsid w:val="00DB3583"/>
    <w:rsid w:val="00DB3588"/>
    <w:rsid w:val="00DB358D"/>
    <w:rsid w:val="00DB35D3"/>
    <w:rsid w:val="00DB363A"/>
    <w:rsid w:val="00DB3658"/>
    <w:rsid w:val="00DB3696"/>
    <w:rsid w:val="00DB36B0"/>
    <w:rsid w:val="00DB36C4"/>
    <w:rsid w:val="00DB3733"/>
    <w:rsid w:val="00DB378F"/>
    <w:rsid w:val="00DB37A0"/>
    <w:rsid w:val="00DB37C2"/>
    <w:rsid w:val="00DB380C"/>
    <w:rsid w:val="00DB3830"/>
    <w:rsid w:val="00DB3839"/>
    <w:rsid w:val="00DB3841"/>
    <w:rsid w:val="00DB388B"/>
    <w:rsid w:val="00DB392A"/>
    <w:rsid w:val="00DB393D"/>
    <w:rsid w:val="00DB39C8"/>
    <w:rsid w:val="00DB39D6"/>
    <w:rsid w:val="00DB3A79"/>
    <w:rsid w:val="00DB3AEA"/>
    <w:rsid w:val="00DB3B4D"/>
    <w:rsid w:val="00DB3B86"/>
    <w:rsid w:val="00DB3BCD"/>
    <w:rsid w:val="00DB3C6A"/>
    <w:rsid w:val="00DB3CB5"/>
    <w:rsid w:val="00DB3CC9"/>
    <w:rsid w:val="00DB3CE1"/>
    <w:rsid w:val="00DB3D58"/>
    <w:rsid w:val="00DB3D59"/>
    <w:rsid w:val="00DB3DBD"/>
    <w:rsid w:val="00DB3E2F"/>
    <w:rsid w:val="00DB3E84"/>
    <w:rsid w:val="00DB3E9C"/>
    <w:rsid w:val="00DB3F06"/>
    <w:rsid w:val="00DB3F17"/>
    <w:rsid w:val="00DB3F73"/>
    <w:rsid w:val="00DB3F84"/>
    <w:rsid w:val="00DB3FE0"/>
    <w:rsid w:val="00DB4034"/>
    <w:rsid w:val="00DB408D"/>
    <w:rsid w:val="00DB40AE"/>
    <w:rsid w:val="00DB40F8"/>
    <w:rsid w:val="00DB40FA"/>
    <w:rsid w:val="00DB413B"/>
    <w:rsid w:val="00DB4148"/>
    <w:rsid w:val="00DB4197"/>
    <w:rsid w:val="00DB4215"/>
    <w:rsid w:val="00DB4236"/>
    <w:rsid w:val="00DB42A1"/>
    <w:rsid w:val="00DB42A8"/>
    <w:rsid w:val="00DB43B1"/>
    <w:rsid w:val="00DB43DB"/>
    <w:rsid w:val="00DB4448"/>
    <w:rsid w:val="00DB4508"/>
    <w:rsid w:val="00DB450B"/>
    <w:rsid w:val="00DB4543"/>
    <w:rsid w:val="00DB4673"/>
    <w:rsid w:val="00DB4817"/>
    <w:rsid w:val="00DB482A"/>
    <w:rsid w:val="00DB4859"/>
    <w:rsid w:val="00DB489D"/>
    <w:rsid w:val="00DB48BB"/>
    <w:rsid w:val="00DB48C9"/>
    <w:rsid w:val="00DB48CB"/>
    <w:rsid w:val="00DB4989"/>
    <w:rsid w:val="00DB49EB"/>
    <w:rsid w:val="00DB4A17"/>
    <w:rsid w:val="00DB4A43"/>
    <w:rsid w:val="00DB4A4F"/>
    <w:rsid w:val="00DB4A97"/>
    <w:rsid w:val="00DB4ACC"/>
    <w:rsid w:val="00DB4B10"/>
    <w:rsid w:val="00DB4B24"/>
    <w:rsid w:val="00DB4B40"/>
    <w:rsid w:val="00DB4B50"/>
    <w:rsid w:val="00DB4B7C"/>
    <w:rsid w:val="00DB4B89"/>
    <w:rsid w:val="00DB4BC9"/>
    <w:rsid w:val="00DB4BD5"/>
    <w:rsid w:val="00DB4C6B"/>
    <w:rsid w:val="00DB4C86"/>
    <w:rsid w:val="00DB4C88"/>
    <w:rsid w:val="00DB4CA0"/>
    <w:rsid w:val="00DB4CBD"/>
    <w:rsid w:val="00DB4D44"/>
    <w:rsid w:val="00DB4D7D"/>
    <w:rsid w:val="00DB4D9F"/>
    <w:rsid w:val="00DB4EDD"/>
    <w:rsid w:val="00DB4F2B"/>
    <w:rsid w:val="00DB4F48"/>
    <w:rsid w:val="00DB4F4F"/>
    <w:rsid w:val="00DB4FC5"/>
    <w:rsid w:val="00DB4FCF"/>
    <w:rsid w:val="00DB4FD2"/>
    <w:rsid w:val="00DB4FF6"/>
    <w:rsid w:val="00DB5037"/>
    <w:rsid w:val="00DB5068"/>
    <w:rsid w:val="00DB5079"/>
    <w:rsid w:val="00DB50A6"/>
    <w:rsid w:val="00DB50D8"/>
    <w:rsid w:val="00DB518F"/>
    <w:rsid w:val="00DB51FF"/>
    <w:rsid w:val="00DB5221"/>
    <w:rsid w:val="00DB5234"/>
    <w:rsid w:val="00DB5337"/>
    <w:rsid w:val="00DB5341"/>
    <w:rsid w:val="00DB5362"/>
    <w:rsid w:val="00DB5370"/>
    <w:rsid w:val="00DB5408"/>
    <w:rsid w:val="00DB540B"/>
    <w:rsid w:val="00DB546B"/>
    <w:rsid w:val="00DB54AD"/>
    <w:rsid w:val="00DB54B8"/>
    <w:rsid w:val="00DB54FF"/>
    <w:rsid w:val="00DB553B"/>
    <w:rsid w:val="00DB5551"/>
    <w:rsid w:val="00DB564B"/>
    <w:rsid w:val="00DB566E"/>
    <w:rsid w:val="00DB571E"/>
    <w:rsid w:val="00DB5723"/>
    <w:rsid w:val="00DB573F"/>
    <w:rsid w:val="00DB57F5"/>
    <w:rsid w:val="00DB582F"/>
    <w:rsid w:val="00DB5882"/>
    <w:rsid w:val="00DB5892"/>
    <w:rsid w:val="00DB58B7"/>
    <w:rsid w:val="00DB58F3"/>
    <w:rsid w:val="00DB5901"/>
    <w:rsid w:val="00DB5933"/>
    <w:rsid w:val="00DB5A5C"/>
    <w:rsid w:val="00DB5AE8"/>
    <w:rsid w:val="00DB5B18"/>
    <w:rsid w:val="00DB5B3C"/>
    <w:rsid w:val="00DB5B9A"/>
    <w:rsid w:val="00DB5C4D"/>
    <w:rsid w:val="00DB5C80"/>
    <w:rsid w:val="00DB5C8E"/>
    <w:rsid w:val="00DB5CCE"/>
    <w:rsid w:val="00DB5D32"/>
    <w:rsid w:val="00DB5D4A"/>
    <w:rsid w:val="00DB5DD9"/>
    <w:rsid w:val="00DB5DEB"/>
    <w:rsid w:val="00DB5E4C"/>
    <w:rsid w:val="00DB5E6F"/>
    <w:rsid w:val="00DB5E9B"/>
    <w:rsid w:val="00DB5F8C"/>
    <w:rsid w:val="00DB5FB1"/>
    <w:rsid w:val="00DB5FDA"/>
    <w:rsid w:val="00DB6017"/>
    <w:rsid w:val="00DB60F8"/>
    <w:rsid w:val="00DB610D"/>
    <w:rsid w:val="00DB61A7"/>
    <w:rsid w:val="00DB61AB"/>
    <w:rsid w:val="00DB6243"/>
    <w:rsid w:val="00DB6248"/>
    <w:rsid w:val="00DB6292"/>
    <w:rsid w:val="00DB629F"/>
    <w:rsid w:val="00DB62BC"/>
    <w:rsid w:val="00DB6302"/>
    <w:rsid w:val="00DB6431"/>
    <w:rsid w:val="00DB646B"/>
    <w:rsid w:val="00DB6473"/>
    <w:rsid w:val="00DB64CF"/>
    <w:rsid w:val="00DB6519"/>
    <w:rsid w:val="00DB651F"/>
    <w:rsid w:val="00DB6586"/>
    <w:rsid w:val="00DB65C9"/>
    <w:rsid w:val="00DB65F8"/>
    <w:rsid w:val="00DB6637"/>
    <w:rsid w:val="00DB6664"/>
    <w:rsid w:val="00DB667F"/>
    <w:rsid w:val="00DB66B9"/>
    <w:rsid w:val="00DB6703"/>
    <w:rsid w:val="00DB670C"/>
    <w:rsid w:val="00DB670D"/>
    <w:rsid w:val="00DB67B8"/>
    <w:rsid w:val="00DB67BE"/>
    <w:rsid w:val="00DB67FF"/>
    <w:rsid w:val="00DB6804"/>
    <w:rsid w:val="00DB681C"/>
    <w:rsid w:val="00DB6831"/>
    <w:rsid w:val="00DB6833"/>
    <w:rsid w:val="00DB6887"/>
    <w:rsid w:val="00DB68B5"/>
    <w:rsid w:val="00DB68BD"/>
    <w:rsid w:val="00DB68D7"/>
    <w:rsid w:val="00DB68DA"/>
    <w:rsid w:val="00DB694F"/>
    <w:rsid w:val="00DB698A"/>
    <w:rsid w:val="00DB699A"/>
    <w:rsid w:val="00DB69A7"/>
    <w:rsid w:val="00DB69C5"/>
    <w:rsid w:val="00DB69D2"/>
    <w:rsid w:val="00DB69E4"/>
    <w:rsid w:val="00DB6A0F"/>
    <w:rsid w:val="00DB6A9A"/>
    <w:rsid w:val="00DB6AD9"/>
    <w:rsid w:val="00DB6AFE"/>
    <w:rsid w:val="00DB6B44"/>
    <w:rsid w:val="00DB6B64"/>
    <w:rsid w:val="00DB6C16"/>
    <w:rsid w:val="00DB6C39"/>
    <w:rsid w:val="00DB6C45"/>
    <w:rsid w:val="00DB6C48"/>
    <w:rsid w:val="00DB6C60"/>
    <w:rsid w:val="00DB6CBC"/>
    <w:rsid w:val="00DB6D44"/>
    <w:rsid w:val="00DB6D53"/>
    <w:rsid w:val="00DB6D7C"/>
    <w:rsid w:val="00DB6DDC"/>
    <w:rsid w:val="00DB6DE0"/>
    <w:rsid w:val="00DB6DF4"/>
    <w:rsid w:val="00DB6E32"/>
    <w:rsid w:val="00DB6E52"/>
    <w:rsid w:val="00DB6E8D"/>
    <w:rsid w:val="00DB6ED7"/>
    <w:rsid w:val="00DB6F0D"/>
    <w:rsid w:val="00DB6F2A"/>
    <w:rsid w:val="00DB6F57"/>
    <w:rsid w:val="00DB6FC6"/>
    <w:rsid w:val="00DB6FE1"/>
    <w:rsid w:val="00DB6FEB"/>
    <w:rsid w:val="00DB6FF2"/>
    <w:rsid w:val="00DB7023"/>
    <w:rsid w:val="00DB7036"/>
    <w:rsid w:val="00DB7079"/>
    <w:rsid w:val="00DB7164"/>
    <w:rsid w:val="00DB71F7"/>
    <w:rsid w:val="00DB7276"/>
    <w:rsid w:val="00DB728A"/>
    <w:rsid w:val="00DB729D"/>
    <w:rsid w:val="00DB7307"/>
    <w:rsid w:val="00DB7314"/>
    <w:rsid w:val="00DB7317"/>
    <w:rsid w:val="00DB7388"/>
    <w:rsid w:val="00DB73A4"/>
    <w:rsid w:val="00DB73AC"/>
    <w:rsid w:val="00DB74A0"/>
    <w:rsid w:val="00DB74FD"/>
    <w:rsid w:val="00DB7533"/>
    <w:rsid w:val="00DB755E"/>
    <w:rsid w:val="00DB75A0"/>
    <w:rsid w:val="00DB75CF"/>
    <w:rsid w:val="00DB76C0"/>
    <w:rsid w:val="00DB76C7"/>
    <w:rsid w:val="00DB76E5"/>
    <w:rsid w:val="00DB770C"/>
    <w:rsid w:val="00DB7739"/>
    <w:rsid w:val="00DB7785"/>
    <w:rsid w:val="00DB77DD"/>
    <w:rsid w:val="00DB780D"/>
    <w:rsid w:val="00DB7819"/>
    <w:rsid w:val="00DB781D"/>
    <w:rsid w:val="00DB782F"/>
    <w:rsid w:val="00DB7863"/>
    <w:rsid w:val="00DB78A3"/>
    <w:rsid w:val="00DB792A"/>
    <w:rsid w:val="00DB79B2"/>
    <w:rsid w:val="00DB7A0C"/>
    <w:rsid w:val="00DB7A1F"/>
    <w:rsid w:val="00DB7A48"/>
    <w:rsid w:val="00DB7A7D"/>
    <w:rsid w:val="00DB7AE1"/>
    <w:rsid w:val="00DB7B23"/>
    <w:rsid w:val="00DB7B30"/>
    <w:rsid w:val="00DB7B35"/>
    <w:rsid w:val="00DB7B5A"/>
    <w:rsid w:val="00DB7B73"/>
    <w:rsid w:val="00DB7B9C"/>
    <w:rsid w:val="00DB7C07"/>
    <w:rsid w:val="00DB7D23"/>
    <w:rsid w:val="00DB7D46"/>
    <w:rsid w:val="00DB7DDE"/>
    <w:rsid w:val="00DB7DE4"/>
    <w:rsid w:val="00DB7E03"/>
    <w:rsid w:val="00DB7E41"/>
    <w:rsid w:val="00DB7E7F"/>
    <w:rsid w:val="00DB7EAC"/>
    <w:rsid w:val="00DB7EFC"/>
    <w:rsid w:val="00DB7F84"/>
    <w:rsid w:val="00DB7FF7"/>
    <w:rsid w:val="00DC0014"/>
    <w:rsid w:val="00DC0086"/>
    <w:rsid w:val="00DC00B0"/>
    <w:rsid w:val="00DC00D2"/>
    <w:rsid w:val="00DC01E2"/>
    <w:rsid w:val="00DC0234"/>
    <w:rsid w:val="00DC0293"/>
    <w:rsid w:val="00DC02EC"/>
    <w:rsid w:val="00DC03C8"/>
    <w:rsid w:val="00DC04AC"/>
    <w:rsid w:val="00DC04BE"/>
    <w:rsid w:val="00DC054E"/>
    <w:rsid w:val="00DC056A"/>
    <w:rsid w:val="00DC0574"/>
    <w:rsid w:val="00DC05D8"/>
    <w:rsid w:val="00DC05E4"/>
    <w:rsid w:val="00DC05E6"/>
    <w:rsid w:val="00DC0685"/>
    <w:rsid w:val="00DC06F8"/>
    <w:rsid w:val="00DC06FD"/>
    <w:rsid w:val="00DC0700"/>
    <w:rsid w:val="00DC0810"/>
    <w:rsid w:val="00DC0852"/>
    <w:rsid w:val="00DC08AA"/>
    <w:rsid w:val="00DC08B5"/>
    <w:rsid w:val="00DC08B6"/>
    <w:rsid w:val="00DC08C9"/>
    <w:rsid w:val="00DC08E8"/>
    <w:rsid w:val="00DC0902"/>
    <w:rsid w:val="00DC0911"/>
    <w:rsid w:val="00DC0951"/>
    <w:rsid w:val="00DC0971"/>
    <w:rsid w:val="00DC0991"/>
    <w:rsid w:val="00DC09A5"/>
    <w:rsid w:val="00DC09CE"/>
    <w:rsid w:val="00DC09E0"/>
    <w:rsid w:val="00DC09F1"/>
    <w:rsid w:val="00DC0AA7"/>
    <w:rsid w:val="00DC0AAC"/>
    <w:rsid w:val="00DC0ADB"/>
    <w:rsid w:val="00DC0ADD"/>
    <w:rsid w:val="00DC0AF9"/>
    <w:rsid w:val="00DC0B0A"/>
    <w:rsid w:val="00DC0B71"/>
    <w:rsid w:val="00DC0C10"/>
    <w:rsid w:val="00DC0C95"/>
    <w:rsid w:val="00DC0D07"/>
    <w:rsid w:val="00DC0D27"/>
    <w:rsid w:val="00DC0D51"/>
    <w:rsid w:val="00DC0DDA"/>
    <w:rsid w:val="00DC0E2C"/>
    <w:rsid w:val="00DC0E3C"/>
    <w:rsid w:val="00DC0EAB"/>
    <w:rsid w:val="00DC0EBB"/>
    <w:rsid w:val="00DC0F35"/>
    <w:rsid w:val="00DC0F8E"/>
    <w:rsid w:val="00DC1043"/>
    <w:rsid w:val="00DC10AA"/>
    <w:rsid w:val="00DC10D9"/>
    <w:rsid w:val="00DC11A6"/>
    <w:rsid w:val="00DC11B9"/>
    <w:rsid w:val="00DC11C8"/>
    <w:rsid w:val="00DC126B"/>
    <w:rsid w:val="00DC12E3"/>
    <w:rsid w:val="00DC12FA"/>
    <w:rsid w:val="00DC1312"/>
    <w:rsid w:val="00DC1455"/>
    <w:rsid w:val="00DC1480"/>
    <w:rsid w:val="00DC1483"/>
    <w:rsid w:val="00DC1491"/>
    <w:rsid w:val="00DC14EB"/>
    <w:rsid w:val="00DC1519"/>
    <w:rsid w:val="00DC1520"/>
    <w:rsid w:val="00DC1568"/>
    <w:rsid w:val="00DC15A6"/>
    <w:rsid w:val="00DC15D5"/>
    <w:rsid w:val="00DC15E7"/>
    <w:rsid w:val="00DC160E"/>
    <w:rsid w:val="00DC16A0"/>
    <w:rsid w:val="00DC16F0"/>
    <w:rsid w:val="00DC1841"/>
    <w:rsid w:val="00DC186B"/>
    <w:rsid w:val="00DC18A4"/>
    <w:rsid w:val="00DC1937"/>
    <w:rsid w:val="00DC195B"/>
    <w:rsid w:val="00DC1A0E"/>
    <w:rsid w:val="00DC1A67"/>
    <w:rsid w:val="00DC1A87"/>
    <w:rsid w:val="00DC1B84"/>
    <w:rsid w:val="00DC1BDB"/>
    <w:rsid w:val="00DC1BEC"/>
    <w:rsid w:val="00DC1C08"/>
    <w:rsid w:val="00DC1C19"/>
    <w:rsid w:val="00DC1C34"/>
    <w:rsid w:val="00DC1C45"/>
    <w:rsid w:val="00DC1C52"/>
    <w:rsid w:val="00DC1C93"/>
    <w:rsid w:val="00DC1C9B"/>
    <w:rsid w:val="00DC1CEE"/>
    <w:rsid w:val="00DC1D3C"/>
    <w:rsid w:val="00DC1D80"/>
    <w:rsid w:val="00DC1DB5"/>
    <w:rsid w:val="00DC1DDA"/>
    <w:rsid w:val="00DC1E10"/>
    <w:rsid w:val="00DC1F50"/>
    <w:rsid w:val="00DC20B3"/>
    <w:rsid w:val="00DC20D6"/>
    <w:rsid w:val="00DC211D"/>
    <w:rsid w:val="00DC2122"/>
    <w:rsid w:val="00DC21B4"/>
    <w:rsid w:val="00DC2204"/>
    <w:rsid w:val="00DC2235"/>
    <w:rsid w:val="00DC226D"/>
    <w:rsid w:val="00DC22A4"/>
    <w:rsid w:val="00DC22E1"/>
    <w:rsid w:val="00DC22F2"/>
    <w:rsid w:val="00DC230F"/>
    <w:rsid w:val="00DC2366"/>
    <w:rsid w:val="00DC23B1"/>
    <w:rsid w:val="00DC23D7"/>
    <w:rsid w:val="00DC23DA"/>
    <w:rsid w:val="00DC2412"/>
    <w:rsid w:val="00DC242D"/>
    <w:rsid w:val="00DC2457"/>
    <w:rsid w:val="00DC24E0"/>
    <w:rsid w:val="00DC258B"/>
    <w:rsid w:val="00DC2599"/>
    <w:rsid w:val="00DC25A7"/>
    <w:rsid w:val="00DC265B"/>
    <w:rsid w:val="00DC26B8"/>
    <w:rsid w:val="00DC271A"/>
    <w:rsid w:val="00DC2767"/>
    <w:rsid w:val="00DC27EC"/>
    <w:rsid w:val="00DC288B"/>
    <w:rsid w:val="00DC28EA"/>
    <w:rsid w:val="00DC2935"/>
    <w:rsid w:val="00DC29A5"/>
    <w:rsid w:val="00DC29B5"/>
    <w:rsid w:val="00DC29CA"/>
    <w:rsid w:val="00DC2A00"/>
    <w:rsid w:val="00DC2A44"/>
    <w:rsid w:val="00DC2A7E"/>
    <w:rsid w:val="00DC2A8B"/>
    <w:rsid w:val="00DC2ACC"/>
    <w:rsid w:val="00DC2ACF"/>
    <w:rsid w:val="00DC2AE7"/>
    <w:rsid w:val="00DC2AFD"/>
    <w:rsid w:val="00DC2B15"/>
    <w:rsid w:val="00DC2B44"/>
    <w:rsid w:val="00DC2B73"/>
    <w:rsid w:val="00DC2D13"/>
    <w:rsid w:val="00DC2DBF"/>
    <w:rsid w:val="00DC2E48"/>
    <w:rsid w:val="00DC2E9B"/>
    <w:rsid w:val="00DC2F4E"/>
    <w:rsid w:val="00DC2F57"/>
    <w:rsid w:val="00DC2F59"/>
    <w:rsid w:val="00DC2FA4"/>
    <w:rsid w:val="00DC2FCE"/>
    <w:rsid w:val="00DC30A8"/>
    <w:rsid w:val="00DC30BF"/>
    <w:rsid w:val="00DC30F5"/>
    <w:rsid w:val="00DC3119"/>
    <w:rsid w:val="00DC312B"/>
    <w:rsid w:val="00DC31A0"/>
    <w:rsid w:val="00DC31BA"/>
    <w:rsid w:val="00DC31EB"/>
    <w:rsid w:val="00DC31EF"/>
    <w:rsid w:val="00DC3216"/>
    <w:rsid w:val="00DC324F"/>
    <w:rsid w:val="00DC3267"/>
    <w:rsid w:val="00DC327E"/>
    <w:rsid w:val="00DC3291"/>
    <w:rsid w:val="00DC330D"/>
    <w:rsid w:val="00DC3394"/>
    <w:rsid w:val="00DC3454"/>
    <w:rsid w:val="00DC34F0"/>
    <w:rsid w:val="00DC352E"/>
    <w:rsid w:val="00DC3546"/>
    <w:rsid w:val="00DC3589"/>
    <w:rsid w:val="00DC35CB"/>
    <w:rsid w:val="00DC35F0"/>
    <w:rsid w:val="00DC35FE"/>
    <w:rsid w:val="00DC361C"/>
    <w:rsid w:val="00DC36F8"/>
    <w:rsid w:val="00DC371B"/>
    <w:rsid w:val="00DC375C"/>
    <w:rsid w:val="00DC37A0"/>
    <w:rsid w:val="00DC37C3"/>
    <w:rsid w:val="00DC37C7"/>
    <w:rsid w:val="00DC37F6"/>
    <w:rsid w:val="00DC3854"/>
    <w:rsid w:val="00DC387B"/>
    <w:rsid w:val="00DC3A04"/>
    <w:rsid w:val="00DC3A2B"/>
    <w:rsid w:val="00DC3A6C"/>
    <w:rsid w:val="00DC3ADD"/>
    <w:rsid w:val="00DC3B04"/>
    <w:rsid w:val="00DC3B78"/>
    <w:rsid w:val="00DC3C0D"/>
    <w:rsid w:val="00DC3CCC"/>
    <w:rsid w:val="00DC3D01"/>
    <w:rsid w:val="00DC3E0F"/>
    <w:rsid w:val="00DC3E22"/>
    <w:rsid w:val="00DC3E31"/>
    <w:rsid w:val="00DC3E67"/>
    <w:rsid w:val="00DC3E76"/>
    <w:rsid w:val="00DC3EC5"/>
    <w:rsid w:val="00DC3ED8"/>
    <w:rsid w:val="00DC3ED9"/>
    <w:rsid w:val="00DC3F58"/>
    <w:rsid w:val="00DC3F99"/>
    <w:rsid w:val="00DC3FC0"/>
    <w:rsid w:val="00DC4017"/>
    <w:rsid w:val="00DC402D"/>
    <w:rsid w:val="00DC4033"/>
    <w:rsid w:val="00DC4037"/>
    <w:rsid w:val="00DC405C"/>
    <w:rsid w:val="00DC4168"/>
    <w:rsid w:val="00DC417E"/>
    <w:rsid w:val="00DC41D9"/>
    <w:rsid w:val="00DC41EE"/>
    <w:rsid w:val="00DC426E"/>
    <w:rsid w:val="00DC4273"/>
    <w:rsid w:val="00DC4286"/>
    <w:rsid w:val="00DC42C5"/>
    <w:rsid w:val="00DC431B"/>
    <w:rsid w:val="00DC4375"/>
    <w:rsid w:val="00DC440C"/>
    <w:rsid w:val="00DC440F"/>
    <w:rsid w:val="00DC4464"/>
    <w:rsid w:val="00DC44E4"/>
    <w:rsid w:val="00DC4517"/>
    <w:rsid w:val="00DC4594"/>
    <w:rsid w:val="00DC4596"/>
    <w:rsid w:val="00DC4605"/>
    <w:rsid w:val="00DC4608"/>
    <w:rsid w:val="00DC462D"/>
    <w:rsid w:val="00DC4667"/>
    <w:rsid w:val="00DC4731"/>
    <w:rsid w:val="00DC473B"/>
    <w:rsid w:val="00DC489B"/>
    <w:rsid w:val="00DC491F"/>
    <w:rsid w:val="00DC4937"/>
    <w:rsid w:val="00DC4970"/>
    <w:rsid w:val="00DC4993"/>
    <w:rsid w:val="00DC4AE0"/>
    <w:rsid w:val="00DC4B68"/>
    <w:rsid w:val="00DC4B9A"/>
    <w:rsid w:val="00DC4BD1"/>
    <w:rsid w:val="00DC4C08"/>
    <w:rsid w:val="00DC4CCF"/>
    <w:rsid w:val="00DC4D03"/>
    <w:rsid w:val="00DC4D37"/>
    <w:rsid w:val="00DC4DAB"/>
    <w:rsid w:val="00DC4DB2"/>
    <w:rsid w:val="00DC4DD0"/>
    <w:rsid w:val="00DC4E5B"/>
    <w:rsid w:val="00DC4E7E"/>
    <w:rsid w:val="00DC4ECA"/>
    <w:rsid w:val="00DC4EE1"/>
    <w:rsid w:val="00DC4F0D"/>
    <w:rsid w:val="00DC4F2D"/>
    <w:rsid w:val="00DC4F5D"/>
    <w:rsid w:val="00DC4F77"/>
    <w:rsid w:val="00DC4FB7"/>
    <w:rsid w:val="00DC504D"/>
    <w:rsid w:val="00DC506B"/>
    <w:rsid w:val="00DC50EE"/>
    <w:rsid w:val="00DC512C"/>
    <w:rsid w:val="00DC51C1"/>
    <w:rsid w:val="00DC51CD"/>
    <w:rsid w:val="00DC5237"/>
    <w:rsid w:val="00DC523E"/>
    <w:rsid w:val="00DC524F"/>
    <w:rsid w:val="00DC529A"/>
    <w:rsid w:val="00DC52A1"/>
    <w:rsid w:val="00DC52AE"/>
    <w:rsid w:val="00DC52C7"/>
    <w:rsid w:val="00DC52D4"/>
    <w:rsid w:val="00DC530C"/>
    <w:rsid w:val="00DC533E"/>
    <w:rsid w:val="00DC5369"/>
    <w:rsid w:val="00DC53A3"/>
    <w:rsid w:val="00DC53A5"/>
    <w:rsid w:val="00DC543A"/>
    <w:rsid w:val="00DC54D5"/>
    <w:rsid w:val="00DC5523"/>
    <w:rsid w:val="00DC5530"/>
    <w:rsid w:val="00DC5532"/>
    <w:rsid w:val="00DC555B"/>
    <w:rsid w:val="00DC555E"/>
    <w:rsid w:val="00DC5591"/>
    <w:rsid w:val="00DC55A3"/>
    <w:rsid w:val="00DC55DB"/>
    <w:rsid w:val="00DC55E1"/>
    <w:rsid w:val="00DC5634"/>
    <w:rsid w:val="00DC563D"/>
    <w:rsid w:val="00DC5644"/>
    <w:rsid w:val="00DC5685"/>
    <w:rsid w:val="00DC5687"/>
    <w:rsid w:val="00DC56C5"/>
    <w:rsid w:val="00DC570D"/>
    <w:rsid w:val="00DC578E"/>
    <w:rsid w:val="00DC579B"/>
    <w:rsid w:val="00DC57AA"/>
    <w:rsid w:val="00DC57FD"/>
    <w:rsid w:val="00DC5807"/>
    <w:rsid w:val="00DC580E"/>
    <w:rsid w:val="00DC580F"/>
    <w:rsid w:val="00DC586F"/>
    <w:rsid w:val="00DC5884"/>
    <w:rsid w:val="00DC58C1"/>
    <w:rsid w:val="00DC58E2"/>
    <w:rsid w:val="00DC593E"/>
    <w:rsid w:val="00DC59E5"/>
    <w:rsid w:val="00DC5A5C"/>
    <w:rsid w:val="00DC5A95"/>
    <w:rsid w:val="00DC5AB5"/>
    <w:rsid w:val="00DC5B83"/>
    <w:rsid w:val="00DC5BDA"/>
    <w:rsid w:val="00DC5BE4"/>
    <w:rsid w:val="00DC5C61"/>
    <w:rsid w:val="00DC5C77"/>
    <w:rsid w:val="00DC5C98"/>
    <w:rsid w:val="00DC5C9B"/>
    <w:rsid w:val="00DC5CD7"/>
    <w:rsid w:val="00DC5CF6"/>
    <w:rsid w:val="00DC5D26"/>
    <w:rsid w:val="00DC5D51"/>
    <w:rsid w:val="00DC5DAC"/>
    <w:rsid w:val="00DC5DC6"/>
    <w:rsid w:val="00DC5DE7"/>
    <w:rsid w:val="00DC5F61"/>
    <w:rsid w:val="00DC5F85"/>
    <w:rsid w:val="00DC5F95"/>
    <w:rsid w:val="00DC5FF6"/>
    <w:rsid w:val="00DC600E"/>
    <w:rsid w:val="00DC6038"/>
    <w:rsid w:val="00DC604F"/>
    <w:rsid w:val="00DC609E"/>
    <w:rsid w:val="00DC60D6"/>
    <w:rsid w:val="00DC60EA"/>
    <w:rsid w:val="00DC615C"/>
    <w:rsid w:val="00DC616D"/>
    <w:rsid w:val="00DC61AC"/>
    <w:rsid w:val="00DC61F2"/>
    <w:rsid w:val="00DC621E"/>
    <w:rsid w:val="00DC62B4"/>
    <w:rsid w:val="00DC62DB"/>
    <w:rsid w:val="00DC6304"/>
    <w:rsid w:val="00DC63AC"/>
    <w:rsid w:val="00DC6455"/>
    <w:rsid w:val="00DC64C2"/>
    <w:rsid w:val="00DC64D5"/>
    <w:rsid w:val="00DC654A"/>
    <w:rsid w:val="00DC6563"/>
    <w:rsid w:val="00DC658F"/>
    <w:rsid w:val="00DC65B2"/>
    <w:rsid w:val="00DC65EB"/>
    <w:rsid w:val="00DC6640"/>
    <w:rsid w:val="00DC66D8"/>
    <w:rsid w:val="00DC66E7"/>
    <w:rsid w:val="00DC67C8"/>
    <w:rsid w:val="00DC67D2"/>
    <w:rsid w:val="00DC6816"/>
    <w:rsid w:val="00DC683D"/>
    <w:rsid w:val="00DC68DB"/>
    <w:rsid w:val="00DC69DB"/>
    <w:rsid w:val="00DC69F9"/>
    <w:rsid w:val="00DC6A2D"/>
    <w:rsid w:val="00DC6A7B"/>
    <w:rsid w:val="00DC6A7F"/>
    <w:rsid w:val="00DC6ABD"/>
    <w:rsid w:val="00DC6AD5"/>
    <w:rsid w:val="00DC6AE3"/>
    <w:rsid w:val="00DC6B6D"/>
    <w:rsid w:val="00DC6C09"/>
    <w:rsid w:val="00DC6CD5"/>
    <w:rsid w:val="00DC6CE0"/>
    <w:rsid w:val="00DC6CFA"/>
    <w:rsid w:val="00DC6CFE"/>
    <w:rsid w:val="00DC6DFA"/>
    <w:rsid w:val="00DC707D"/>
    <w:rsid w:val="00DC70AE"/>
    <w:rsid w:val="00DC70C5"/>
    <w:rsid w:val="00DC70E1"/>
    <w:rsid w:val="00DC712A"/>
    <w:rsid w:val="00DC7133"/>
    <w:rsid w:val="00DC7217"/>
    <w:rsid w:val="00DC7229"/>
    <w:rsid w:val="00DC7298"/>
    <w:rsid w:val="00DC72B3"/>
    <w:rsid w:val="00DC72C5"/>
    <w:rsid w:val="00DC733D"/>
    <w:rsid w:val="00DC73BD"/>
    <w:rsid w:val="00DC73C3"/>
    <w:rsid w:val="00DC7404"/>
    <w:rsid w:val="00DC740C"/>
    <w:rsid w:val="00DC7492"/>
    <w:rsid w:val="00DC7547"/>
    <w:rsid w:val="00DC75BB"/>
    <w:rsid w:val="00DC767E"/>
    <w:rsid w:val="00DC76A9"/>
    <w:rsid w:val="00DC76B5"/>
    <w:rsid w:val="00DC770F"/>
    <w:rsid w:val="00DC775F"/>
    <w:rsid w:val="00DC7875"/>
    <w:rsid w:val="00DC788F"/>
    <w:rsid w:val="00DC789F"/>
    <w:rsid w:val="00DC78B7"/>
    <w:rsid w:val="00DC7920"/>
    <w:rsid w:val="00DC7926"/>
    <w:rsid w:val="00DC79A0"/>
    <w:rsid w:val="00DC79C2"/>
    <w:rsid w:val="00DC79DC"/>
    <w:rsid w:val="00DC79EF"/>
    <w:rsid w:val="00DC7A20"/>
    <w:rsid w:val="00DC7A67"/>
    <w:rsid w:val="00DC7B3F"/>
    <w:rsid w:val="00DC7B40"/>
    <w:rsid w:val="00DC7B4E"/>
    <w:rsid w:val="00DC7B9E"/>
    <w:rsid w:val="00DC7C67"/>
    <w:rsid w:val="00DC7C74"/>
    <w:rsid w:val="00DC7CBE"/>
    <w:rsid w:val="00DC7D1F"/>
    <w:rsid w:val="00DC7D49"/>
    <w:rsid w:val="00DC7D79"/>
    <w:rsid w:val="00DC7E09"/>
    <w:rsid w:val="00DC7E16"/>
    <w:rsid w:val="00DC7E4F"/>
    <w:rsid w:val="00DC7E70"/>
    <w:rsid w:val="00DD0057"/>
    <w:rsid w:val="00DD00F6"/>
    <w:rsid w:val="00DD00FC"/>
    <w:rsid w:val="00DD013F"/>
    <w:rsid w:val="00DD0172"/>
    <w:rsid w:val="00DD0358"/>
    <w:rsid w:val="00DD0373"/>
    <w:rsid w:val="00DD03E9"/>
    <w:rsid w:val="00DD0448"/>
    <w:rsid w:val="00DD045C"/>
    <w:rsid w:val="00DD04A2"/>
    <w:rsid w:val="00DD04E2"/>
    <w:rsid w:val="00DD0536"/>
    <w:rsid w:val="00DD056D"/>
    <w:rsid w:val="00DD058C"/>
    <w:rsid w:val="00DD059F"/>
    <w:rsid w:val="00DD05D9"/>
    <w:rsid w:val="00DD061E"/>
    <w:rsid w:val="00DD0626"/>
    <w:rsid w:val="00DD0730"/>
    <w:rsid w:val="00DD077F"/>
    <w:rsid w:val="00DD079E"/>
    <w:rsid w:val="00DD0839"/>
    <w:rsid w:val="00DD08B3"/>
    <w:rsid w:val="00DD08B5"/>
    <w:rsid w:val="00DD08C9"/>
    <w:rsid w:val="00DD09E5"/>
    <w:rsid w:val="00DD0A2C"/>
    <w:rsid w:val="00DD0A5F"/>
    <w:rsid w:val="00DD0AA6"/>
    <w:rsid w:val="00DD0AAC"/>
    <w:rsid w:val="00DD0AB2"/>
    <w:rsid w:val="00DD0B0A"/>
    <w:rsid w:val="00DD0BD9"/>
    <w:rsid w:val="00DD0C29"/>
    <w:rsid w:val="00DD0C34"/>
    <w:rsid w:val="00DD0C41"/>
    <w:rsid w:val="00DD0C64"/>
    <w:rsid w:val="00DD0CB4"/>
    <w:rsid w:val="00DD0CC9"/>
    <w:rsid w:val="00DD0D85"/>
    <w:rsid w:val="00DD0E29"/>
    <w:rsid w:val="00DD0E9A"/>
    <w:rsid w:val="00DD0F12"/>
    <w:rsid w:val="00DD0F32"/>
    <w:rsid w:val="00DD0F6A"/>
    <w:rsid w:val="00DD0FA1"/>
    <w:rsid w:val="00DD0FF4"/>
    <w:rsid w:val="00DD1076"/>
    <w:rsid w:val="00DD109B"/>
    <w:rsid w:val="00DD10D4"/>
    <w:rsid w:val="00DD10D9"/>
    <w:rsid w:val="00DD10FF"/>
    <w:rsid w:val="00DD1161"/>
    <w:rsid w:val="00DD121F"/>
    <w:rsid w:val="00DD1295"/>
    <w:rsid w:val="00DD129F"/>
    <w:rsid w:val="00DD12C1"/>
    <w:rsid w:val="00DD12E1"/>
    <w:rsid w:val="00DD12E9"/>
    <w:rsid w:val="00DD13A1"/>
    <w:rsid w:val="00DD13EB"/>
    <w:rsid w:val="00DD1457"/>
    <w:rsid w:val="00DD146E"/>
    <w:rsid w:val="00DD149C"/>
    <w:rsid w:val="00DD14B0"/>
    <w:rsid w:val="00DD14D3"/>
    <w:rsid w:val="00DD14F7"/>
    <w:rsid w:val="00DD1503"/>
    <w:rsid w:val="00DD1550"/>
    <w:rsid w:val="00DD15A6"/>
    <w:rsid w:val="00DD15E2"/>
    <w:rsid w:val="00DD15F5"/>
    <w:rsid w:val="00DD1662"/>
    <w:rsid w:val="00DD16EA"/>
    <w:rsid w:val="00DD172C"/>
    <w:rsid w:val="00DD1741"/>
    <w:rsid w:val="00DD1769"/>
    <w:rsid w:val="00DD17F0"/>
    <w:rsid w:val="00DD189C"/>
    <w:rsid w:val="00DD18FA"/>
    <w:rsid w:val="00DD1936"/>
    <w:rsid w:val="00DD1988"/>
    <w:rsid w:val="00DD19AF"/>
    <w:rsid w:val="00DD19B2"/>
    <w:rsid w:val="00DD19E2"/>
    <w:rsid w:val="00DD1A79"/>
    <w:rsid w:val="00DD1AD4"/>
    <w:rsid w:val="00DD1AE6"/>
    <w:rsid w:val="00DD1AEB"/>
    <w:rsid w:val="00DD1B4E"/>
    <w:rsid w:val="00DD1B5B"/>
    <w:rsid w:val="00DD1B5E"/>
    <w:rsid w:val="00DD1B8C"/>
    <w:rsid w:val="00DD1BB3"/>
    <w:rsid w:val="00DD1CC9"/>
    <w:rsid w:val="00DD1CE1"/>
    <w:rsid w:val="00DD1D1B"/>
    <w:rsid w:val="00DD1D47"/>
    <w:rsid w:val="00DD1D5C"/>
    <w:rsid w:val="00DD1DE8"/>
    <w:rsid w:val="00DD1E06"/>
    <w:rsid w:val="00DD1EE9"/>
    <w:rsid w:val="00DD1F01"/>
    <w:rsid w:val="00DD1F6C"/>
    <w:rsid w:val="00DD2090"/>
    <w:rsid w:val="00DD216F"/>
    <w:rsid w:val="00DD2174"/>
    <w:rsid w:val="00DD218E"/>
    <w:rsid w:val="00DD2190"/>
    <w:rsid w:val="00DD21BD"/>
    <w:rsid w:val="00DD21EB"/>
    <w:rsid w:val="00DD221A"/>
    <w:rsid w:val="00DD2236"/>
    <w:rsid w:val="00DD227F"/>
    <w:rsid w:val="00DD2295"/>
    <w:rsid w:val="00DD2359"/>
    <w:rsid w:val="00DD2363"/>
    <w:rsid w:val="00DD23A0"/>
    <w:rsid w:val="00DD23D3"/>
    <w:rsid w:val="00DD23FA"/>
    <w:rsid w:val="00DD2404"/>
    <w:rsid w:val="00DD2450"/>
    <w:rsid w:val="00DD2497"/>
    <w:rsid w:val="00DD250E"/>
    <w:rsid w:val="00DD2560"/>
    <w:rsid w:val="00DD2569"/>
    <w:rsid w:val="00DD25A5"/>
    <w:rsid w:val="00DD25D1"/>
    <w:rsid w:val="00DD2621"/>
    <w:rsid w:val="00DD2637"/>
    <w:rsid w:val="00DD263F"/>
    <w:rsid w:val="00DD2694"/>
    <w:rsid w:val="00DD26A2"/>
    <w:rsid w:val="00DD26C6"/>
    <w:rsid w:val="00DD2710"/>
    <w:rsid w:val="00DD2822"/>
    <w:rsid w:val="00DD283C"/>
    <w:rsid w:val="00DD289E"/>
    <w:rsid w:val="00DD28C8"/>
    <w:rsid w:val="00DD2927"/>
    <w:rsid w:val="00DD293A"/>
    <w:rsid w:val="00DD2949"/>
    <w:rsid w:val="00DD2970"/>
    <w:rsid w:val="00DD2998"/>
    <w:rsid w:val="00DD29B5"/>
    <w:rsid w:val="00DD2A44"/>
    <w:rsid w:val="00DD2A4A"/>
    <w:rsid w:val="00DD2AEF"/>
    <w:rsid w:val="00DD2B66"/>
    <w:rsid w:val="00DD2B90"/>
    <w:rsid w:val="00DD2B9A"/>
    <w:rsid w:val="00DD2BA6"/>
    <w:rsid w:val="00DD2BB2"/>
    <w:rsid w:val="00DD2BB9"/>
    <w:rsid w:val="00DD2BC5"/>
    <w:rsid w:val="00DD2BF6"/>
    <w:rsid w:val="00DD2C17"/>
    <w:rsid w:val="00DD2C2C"/>
    <w:rsid w:val="00DD2C4B"/>
    <w:rsid w:val="00DD2C54"/>
    <w:rsid w:val="00DD2CD1"/>
    <w:rsid w:val="00DD2D23"/>
    <w:rsid w:val="00DD2D79"/>
    <w:rsid w:val="00DD2DCD"/>
    <w:rsid w:val="00DD2E05"/>
    <w:rsid w:val="00DD2E1C"/>
    <w:rsid w:val="00DD2E40"/>
    <w:rsid w:val="00DD2E4F"/>
    <w:rsid w:val="00DD2E92"/>
    <w:rsid w:val="00DD2EA7"/>
    <w:rsid w:val="00DD2EDF"/>
    <w:rsid w:val="00DD2EEA"/>
    <w:rsid w:val="00DD2F2A"/>
    <w:rsid w:val="00DD2F3E"/>
    <w:rsid w:val="00DD2FB4"/>
    <w:rsid w:val="00DD2FBA"/>
    <w:rsid w:val="00DD3009"/>
    <w:rsid w:val="00DD3077"/>
    <w:rsid w:val="00DD3085"/>
    <w:rsid w:val="00DD3141"/>
    <w:rsid w:val="00DD314F"/>
    <w:rsid w:val="00DD319E"/>
    <w:rsid w:val="00DD31E9"/>
    <w:rsid w:val="00DD31F0"/>
    <w:rsid w:val="00DD325D"/>
    <w:rsid w:val="00DD32A3"/>
    <w:rsid w:val="00DD32FE"/>
    <w:rsid w:val="00DD338C"/>
    <w:rsid w:val="00DD33DA"/>
    <w:rsid w:val="00DD3441"/>
    <w:rsid w:val="00DD34B9"/>
    <w:rsid w:val="00DD34EE"/>
    <w:rsid w:val="00DD35C9"/>
    <w:rsid w:val="00DD35D0"/>
    <w:rsid w:val="00DD36D7"/>
    <w:rsid w:val="00DD36E6"/>
    <w:rsid w:val="00DD3715"/>
    <w:rsid w:val="00DD376B"/>
    <w:rsid w:val="00DD377F"/>
    <w:rsid w:val="00DD37B5"/>
    <w:rsid w:val="00DD3807"/>
    <w:rsid w:val="00DD380A"/>
    <w:rsid w:val="00DD380B"/>
    <w:rsid w:val="00DD38AC"/>
    <w:rsid w:val="00DD38E2"/>
    <w:rsid w:val="00DD3919"/>
    <w:rsid w:val="00DD3921"/>
    <w:rsid w:val="00DD39F6"/>
    <w:rsid w:val="00DD39FC"/>
    <w:rsid w:val="00DD3AAA"/>
    <w:rsid w:val="00DD3B14"/>
    <w:rsid w:val="00DD3B2A"/>
    <w:rsid w:val="00DD3B55"/>
    <w:rsid w:val="00DD3CBD"/>
    <w:rsid w:val="00DD3CFA"/>
    <w:rsid w:val="00DD3D2B"/>
    <w:rsid w:val="00DD3D66"/>
    <w:rsid w:val="00DD3D74"/>
    <w:rsid w:val="00DD3D84"/>
    <w:rsid w:val="00DD3D99"/>
    <w:rsid w:val="00DD3DEF"/>
    <w:rsid w:val="00DD3DFA"/>
    <w:rsid w:val="00DD3F0B"/>
    <w:rsid w:val="00DD3F5E"/>
    <w:rsid w:val="00DD3F63"/>
    <w:rsid w:val="00DD3FB2"/>
    <w:rsid w:val="00DD3FBF"/>
    <w:rsid w:val="00DD3FC7"/>
    <w:rsid w:val="00DD3FDB"/>
    <w:rsid w:val="00DD3FFE"/>
    <w:rsid w:val="00DD4068"/>
    <w:rsid w:val="00DD4084"/>
    <w:rsid w:val="00DD40A4"/>
    <w:rsid w:val="00DD40B3"/>
    <w:rsid w:val="00DD4147"/>
    <w:rsid w:val="00DD41B5"/>
    <w:rsid w:val="00DD4214"/>
    <w:rsid w:val="00DD42B6"/>
    <w:rsid w:val="00DD42BF"/>
    <w:rsid w:val="00DD433A"/>
    <w:rsid w:val="00DD4364"/>
    <w:rsid w:val="00DD438F"/>
    <w:rsid w:val="00DD43CF"/>
    <w:rsid w:val="00DD43FB"/>
    <w:rsid w:val="00DD4404"/>
    <w:rsid w:val="00DD4494"/>
    <w:rsid w:val="00DD4543"/>
    <w:rsid w:val="00DD4574"/>
    <w:rsid w:val="00DD45B4"/>
    <w:rsid w:val="00DD4617"/>
    <w:rsid w:val="00DD46E7"/>
    <w:rsid w:val="00DD471B"/>
    <w:rsid w:val="00DD4722"/>
    <w:rsid w:val="00DD47D0"/>
    <w:rsid w:val="00DD4864"/>
    <w:rsid w:val="00DD486E"/>
    <w:rsid w:val="00DD4890"/>
    <w:rsid w:val="00DD4895"/>
    <w:rsid w:val="00DD48F8"/>
    <w:rsid w:val="00DD4923"/>
    <w:rsid w:val="00DD4937"/>
    <w:rsid w:val="00DD4960"/>
    <w:rsid w:val="00DD49C5"/>
    <w:rsid w:val="00DD49E9"/>
    <w:rsid w:val="00DD4A4C"/>
    <w:rsid w:val="00DD4A90"/>
    <w:rsid w:val="00DD4AC6"/>
    <w:rsid w:val="00DD4ADB"/>
    <w:rsid w:val="00DD4B28"/>
    <w:rsid w:val="00DD4BEB"/>
    <w:rsid w:val="00DD4C22"/>
    <w:rsid w:val="00DD4C81"/>
    <w:rsid w:val="00DD4C85"/>
    <w:rsid w:val="00DD4C8E"/>
    <w:rsid w:val="00DD4D38"/>
    <w:rsid w:val="00DD4D76"/>
    <w:rsid w:val="00DD4D9B"/>
    <w:rsid w:val="00DD4DCE"/>
    <w:rsid w:val="00DD4DDF"/>
    <w:rsid w:val="00DD4DE4"/>
    <w:rsid w:val="00DD4E31"/>
    <w:rsid w:val="00DD4E34"/>
    <w:rsid w:val="00DD4E63"/>
    <w:rsid w:val="00DD4EAF"/>
    <w:rsid w:val="00DD4F35"/>
    <w:rsid w:val="00DD4F86"/>
    <w:rsid w:val="00DD4F9C"/>
    <w:rsid w:val="00DD4F9E"/>
    <w:rsid w:val="00DD4FF0"/>
    <w:rsid w:val="00DD5018"/>
    <w:rsid w:val="00DD50AC"/>
    <w:rsid w:val="00DD50B8"/>
    <w:rsid w:val="00DD51A6"/>
    <w:rsid w:val="00DD51D5"/>
    <w:rsid w:val="00DD52C5"/>
    <w:rsid w:val="00DD52DA"/>
    <w:rsid w:val="00DD52E3"/>
    <w:rsid w:val="00DD53D3"/>
    <w:rsid w:val="00DD544C"/>
    <w:rsid w:val="00DD5489"/>
    <w:rsid w:val="00DD54A9"/>
    <w:rsid w:val="00DD552C"/>
    <w:rsid w:val="00DD5538"/>
    <w:rsid w:val="00DD55BD"/>
    <w:rsid w:val="00DD55C7"/>
    <w:rsid w:val="00DD5617"/>
    <w:rsid w:val="00DD561D"/>
    <w:rsid w:val="00DD563A"/>
    <w:rsid w:val="00DD5668"/>
    <w:rsid w:val="00DD568E"/>
    <w:rsid w:val="00DD56AF"/>
    <w:rsid w:val="00DD579A"/>
    <w:rsid w:val="00DD57E4"/>
    <w:rsid w:val="00DD58B6"/>
    <w:rsid w:val="00DD590C"/>
    <w:rsid w:val="00DD5977"/>
    <w:rsid w:val="00DD59EC"/>
    <w:rsid w:val="00DD59F6"/>
    <w:rsid w:val="00DD5A3D"/>
    <w:rsid w:val="00DD5A3F"/>
    <w:rsid w:val="00DD5A6A"/>
    <w:rsid w:val="00DD5ADE"/>
    <w:rsid w:val="00DD5AE3"/>
    <w:rsid w:val="00DD5AEA"/>
    <w:rsid w:val="00DD5B26"/>
    <w:rsid w:val="00DD5B48"/>
    <w:rsid w:val="00DD5BA7"/>
    <w:rsid w:val="00DD5C14"/>
    <w:rsid w:val="00DD5C23"/>
    <w:rsid w:val="00DD5C3A"/>
    <w:rsid w:val="00DD5D39"/>
    <w:rsid w:val="00DD5D51"/>
    <w:rsid w:val="00DD5DD6"/>
    <w:rsid w:val="00DD5E3B"/>
    <w:rsid w:val="00DD5E3F"/>
    <w:rsid w:val="00DD5E90"/>
    <w:rsid w:val="00DD5EE9"/>
    <w:rsid w:val="00DD5F3E"/>
    <w:rsid w:val="00DD6018"/>
    <w:rsid w:val="00DD6045"/>
    <w:rsid w:val="00DD6053"/>
    <w:rsid w:val="00DD608B"/>
    <w:rsid w:val="00DD60A4"/>
    <w:rsid w:val="00DD60C7"/>
    <w:rsid w:val="00DD610E"/>
    <w:rsid w:val="00DD6145"/>
    <w:rsid w:val="00DD616F"/>
    <w:rsid w:val="00DD61A2"/>
    <w:rsid w:val="00DD61BB"/>
    <w:rsid w:val="00DD620D"/>
    <w:rsid w:val="00DD6226"/>
    <w:rsid w:val="00DD6234"/>
    <w:rsid w:val="00DD6249"/>
    <w:rsid w:val="00DD628E"/>
    <w:rsid w:val="00DD6295"/>
    <w:rsid w:val="00DD62B3"/>
    <w:rsid w:val="00DD62DD"/>
    <w:rsid w:val="00DD62EF"/>
    <w:rsid w:val="00DD6302"/>
    <w:rsid w:val="00DD6322"/>
    <w:rsid w:val="00DD6329"/>
    <w:rsid w:val="00DD638B"/>
    <w:rsid w:val="00DD6436"/>
    <w:rsid w:val="00DD646D"/>
    <w:rsid w:val="00DD6472"/>
    <w:rsid w:val="00DD6492"/>
    <w:rsid w:val="00DD64AB"/>
    <w:rsid w:val="00DD65C1"/>
    <w:rsid w:val="00DD65F0"/>
    <w:rsid w:val="00DD6615"/>
    <w:rsid w:val="00DD6699"/>
    <w:rsid w:val="00DD66C1"/>
    <w:rsid w:val="00DD66C3"/>
    <w:rsid w:val="00DD6745"/>
    <w:rsid w:val="00DD6830"/>
    <w:rsid w:val="00DD6897"/>
    <w:rsid w:val="00DD68E8"/>
    <w:rsid w:val="00DD690F"/>
    <w:rsid w:val="00DD697A"/>
    <w:rsid w:val="00DD6A09"/>
    <w:rsid w:val="00DD6A4B"/>
    <w:rsid w:val="00DD6A4D"/>
    <w:rsid w:val="00DD6A95"/>
    <w:rsid w:val="00DD6BAF"/>
    <w:rsid w:val="00DD6BFC"/>
    <w:rsid w:val="00DD6C02"/>
    <w:rsid w:val="00DD6C36"/>
    <w:rsid w:val="00DD6C57"/>
    <w:rsid w:val="00DD6CDE"/>
    <w:rsid w:val="00DD6CDF"/>
    <w:rsid w:val="00DD6D0D"/>
    <w:rsid w:val="00DD6D2B"/>
    <w:rsid w:val="00DD6DA7"/>
    <w:rsid w:val="00DD6DB1"/>
    <w:rsid w:val="00DD6E96"/>
    <w:rsid w:val="00DD6F26"/>
    <w:rsid w:val="00DD6F4B"/>
    <w:rsid w:val="00DD6F6B"/>
    <w:rsid w:val="00DD6F74"/>
    <w:rsid w:val="00DD6FA3"/>
    <w:rsid w:val="00DD6FCB"/>
    <w:rsid w:val="00DD7068"/>
    <w:rsid w:val="00DD7078"/>
    <w:rsid w:val="00DD70C2"/>
    <w:rsid w:val="00DD70C4"/>
    <w:rsid w:val="00DD7147"/>
    <w:rsid w:val="00DD7154"/>
    <w:rsid w:val="00DD7159"/>
    <w:rsid w:val="00DD715E"/>
    <w:rsid w:val="00DD7164"/>
    <w:rsid w:val="00DD7204"/>
    <w:rsid w:val="00DD7218"/>
    <w:rsid w:val="00DD72B7"/>
    <w:rsid w:val="00DD7300"/>
    <w:rsid w:val="00DD7314"/>
    <w:rsid w:val="00DD7385"/>
    <w:rsid w:val="00DD7388"/>
    <w:rsid w:val="00DD73CD"/>
    <w:rsid w:val="00DD73DD"/>
    <w:rsid w:val="00DD741D"/>
    <w:rsid w:val="00DD74AC"/>
    <w:rsid w:val="00DD74C0"/>
    <w:rsid w:val="00DD751F"/>
    <w:rsid w:val="00DD7548"/>
    <w:rsid w:val="00DD7578"/>
    <w:rsid w:val="00DD760F"/>
    <w:rsid w:val="00DD7626"/>
    <w:rsid w:val="00DD76B4"/>
    <w:rsid w:val="00DD76F5"/>
    <w:rsid w:val="00DD7729"/>
    <w:rsid w:val="00DD773F"/>
    <w:rsid w:val="00DD7741"/>
    <w:rsid w:val="00DD77A8"/>
    <w:rsid w:val="00DD77C2"/>
    <w:rsid w:val="00DD7809"/>
    <w:rsid w:val="00DD780F"/>
    <w:rsid w:val="00DD7839"/>
    <w:rsid w:val="00DD788D"/>
    <w:rsid w:val="00DD78BB"/>
    <w:rsid w:val="00DD7907"/>
    <w:rsid w:val="00DD79C7"/>
    <w:rsid w:val="00DD79EF"/>
    <w:rsid w:val="00DD79F3"/>
    <w:rsid w:val="00DD7A17"/>
    <w:rsid w:val="00DD7A38"/>
    <w:rsid w:val="00DD7B20"/>
    <w:rsid w:val="00DD7B99"/>
    <w:rsid w:val="00DD7C71"/>
    <w:rsid w:val="00DD7CC4"/>
    <w:rsid w:val="00DD7D51"/>
    <w:rsid w:val="00DD7DC7"/>
    <w:rsid w:val="00DD7E1F"/>
    <w:rsid w:val="00DD7E84"/>
    <w:rsid w:val="00DD7EEB"/>
    <w:rsid w:val="00DD7F09"/>
    <w:rsid w:val="00DD7F51"/>
    <w:rsid w:val="00DD7F75"/>
    <w:rsid w:val="00DD7F89"/>
    <w:rsid w:val="00DD7FBF"/>
    <w:rsid w:val="00DD7FCE"/>
    <w:rsid w:val="00DE0028"/>
    <w:rsid w:val="00DE003A"/>
    <w:rsid w:val="00DE0049"/>
    <w:rsid w:val="00DE0050"/>
    <w:rsid w:val="00DE00DA"/>
    <w:rsid w:val="00DE00FB"/>
    <w:rsid w:val="00DE0128"/>
    <w:rsid w:val="00DE01F6"/>
    <w:rsid w:val="00DE020C"/>
    <w:rsid w:val="00DE02C4"/>
    <w:rsid w:val="00DE02F4"/>
    <w:rsid w:val="00DE0315"/>
    <w:rsid w:val="00DE0371"/>
    <w:rsid w:val="00DE0395"/>
    <w:rsid w:val="00DE03DE"/>
    <w:rsid w:val="00DE040E"/>
    <w:rsid w:val="00DE0430"/>
    <w:rsid w:val="00DE05B8"/>
    <w:rsid w:val="00DE05D1"/>
    <w:rsid w:val="00DE0619"/>
    <w:rsid w:val="00DE0628"/>
    <w:rsid w:val="00DE0668"/>
    <w:rsid w:val="00DE0695"/>
    <w:rsid w:val="00DE06DF"/>
    <w:rsid w:val="00DE0716"/>
    <w:rsid w:val="00DE0819"/>
    <w:rsid w:val="00DE082D"/>
    <w:rsid w:val="00DE0832"/>
    <w:rsid w:val="00DE087A"/>
    <w:rsid w:val="00DE0890"/>
    <w:rsid w:val="00DE0958"/>
    <w:rsid w:val="00DE09CB"/>
    <w:rsid w:val="00DE09FE"/>
    <w:rsid w:val="00DE0A55"/>
    <w:rsid w:val="00DE0A7E"/>
    <w:rsid w:val="00DE0ACB"/>
    <w:rsid w:val="00DE0B31"/>
    <w:rsid w:val="00DE0B5C"/>
    <w:rsid w:val="00DE0B97"/>
    <w:rsid w:val="00DE0C05"/>
    <w:rsid w:val="00DE0C31"/>
    <w:rsid w:val="00DE0CA7"/>
    <w:rsid w:val="00DE0CD0"/>
    <w:rsid w:val="00DE0CFB"/>
    <w:rsid w:val="00DE0D75"/>
    <w:rsid w:val="00DE0DBF"/>
    <w:rsid w:val="00DE0DC8"/>
    <w:rsid w:val="00DE0DEE"/>
    <w:rsid w:val="00DE0E1C"/>
    <w:rsid w:val="00DE0E66"/>
    <w:rsid w:val="00DE0EE5"/>
    <w:rsid w:val="00DE0F00"/>
    <w:rsid w:val="00DE0F33"/>
    <w:rsid w:val="00DE0F5D"/>
    <w:rsid w:val="00DE103E"/>
    <w:rsid w:val="00DE10D2"/>
    <w:rsid w:val="00DE10E4"/>
    <w:rsid w:val="00DE1144"/>
    <w:rsid w:val="00DE11CD"/>
    <w:rsid w:val="00DE12CB"/>
    <w:rsid w:val="00DE12D3"/>
    <w:rsid w:val="00DE12DC"/>
    <w:rsid w:val="00DE12F4"/>
    <w:rsid w:val="00DE1313"/>
    <w:rsid w:val="00DE13F1"/>
    <w:rsid w:val="00DE1435"/>
    <w:rsid w:val="00DE143C"/>
    <w:rsid w:val="00DE146D"/>
    <w:rsid w:val="00DE1494"/>
    <w:rsid w:val="00DE14A4"/>
    <w:rsid w:val="00DE14F6"/>
    <w:rsid w:val="00DE1516"/>
    <w:rsid w:val="00DE1539"/>
    <w:rsid w:val="00DE1551"/>
    <w:rsid w:val="00DE16D4"/>
    <w:rsid w:val="00DE16F6"/>
    <w:rsid w:val="00DE1730"/>
    <w:rsid w:val="00DE1762"/>
    <w:rsid w:val="00DE17F2"/>
    <w:rsid w:val="00DE1864"/>
    <w:rsid w:val="00DE1865"/>
    <w:rsid w:val="00DE189B"/>
    <w:rsid w:val="00DE18E9"/>
    <w:rsid w:val="00DE191E"/>
    <w:rsid w:val="00DE1955"/>
    <w:rsid w:val="00DE195C"/>
    <w:rsid w:val="00DE1973"/>
    <w:rsid w:val="00DE1983"/>
    <w:rsid w:val="00DE19D3"/>
    <w:rsid w:val="00DE1A4A"/>
    <w:rsid w:val="00DE1A6A"/>
    <w:rsid w:val="00DE1AEE"/>
    <w:rsid w:val="00DE1AFF"/>
    <w:rsid w:val="00DE1B84"/>
    <w:rsid w:val="00DE1BA8"/>
    <w:rsid w:val="00DE1BD4"/>
    <w:rsid w:val="00DE1CC9"/>
    <w:rsid w:val="00DE1DC2"/>
    <w:rsid w:val="00DE1EA2"/>
    <w:rsid w:val="00DE1EB6"/>
    <w:rsid w:val="00DE1EF9"/>
    <w:rsid w:val="00DE1EFE"/>
    <w:rsid w:val="00DE1F0A"/>
    <w:rsid w:val="00DE1F4B"/>
    <w:rsid w:val="00DE1F58"/>
    <w:rsid w:val="00DE1F70"/>
    <w:rsid w:val="00DE1FD9"/>
    <w:rsid w:val="00DE2070"/>
    <w:rsid w:val="00DE20D6"/>
    <w:rsid w:val="00DE20F9"/>
    <w:rsid w:val="00DE2124"/>
    <w:rsid w:val="00DE213C"/>
    <w:rsid w:val="00DE2177"/>
    <w:rsid w:val="00DE219E"/>
    <w:rsid w:val="00DE2265"/>
    <w:rsid w:val="00DE22E1"/>
    <w:rsid w:val="00DE2376"/>
    <w:rsid w:val="00DE2377"/>
    <w:rsid w:val="00DE23B1"/>
    <w:rsid w:val="00DE23E9"/>
    <w:rsid w:val="00DE242C"/>
    <w:rsid w:val="00DE2430"/>
    <w:rsid w:val="00DE2447"/>
    <w:rsid w:val="00DE2486"/>
    <w:rsid w:val="00DE250B"/>
    <w:rsid w:val="00DE251A"/>
    <w:rsid w:val="00DE2584"/>
    <w:rsid w:val="00DE259D"/>
    <w:rsid w:val="00DE25BF"/>
    <w:rsid w:val="00DE262C"/>
    <w:rsid w:val="00DE2842"/>
    <w:rsid w:val="00DE28DD"/>
    <w:rsid w:val="00DE2988"/>
    <w:rsid w:val="00DE2A08"/>
    <w:rsid w:val="00DE2A57"/>
    <w:rsid w:val="00DE2A64"/>
    <w:rsid w:val="00DE2ACE"/>
    <w:rsid w:val="00DE2B37"/>
    <w:rsid w:val="00DE2B56"/>
    <w:rsid w:val="00DE2BEB"/>
    <w:rsid w:val="00DE2C04"/>
    <w:rsid w:val="00DE2C0E"/>
    <w:rsid w:val="00DE2C25"/>
    <w:rsid w:val="00DE2D03"/>
    <w:rsid w:val="00DE2D0E"/>
    <w:rsid w:val="00DE2D34"/>
    <w:rsid w:val="00DE2D67"/>
    <w:rsid w:val="00DE2D87"/>
    <w:rsid w:val="00DE2E94"/>
    <w:rsid w:val="00DE2E9A"/>
    <w:rsid w:val="00DE2F16"/>
    <w:rsid w:val="00DE2F1C"/>
    <w:rsid w:val="00DE302C"/>
    <w:rsid w:val="00DE304D"/>
    <w:rsid w:val="00DE309B"/>
    <w:rsid w:val="00DE3153"/>
    <w:rsid w:val="00DE31AC"/>
    <w:rsid w:val="00DE31B7"/>
    <w:rsid w:val="00DE31E0"/>
    <w:rsid w:val="00DE3297"/>
    <w:rsid w:val="00DE330F"/>
    <w:rsid w:val="00DE33C4"/>
    <w:rsid w:val="00DE33EF"/>
    <w:rsid w:val="00DE3502"/>
    <w:rsid w:val="00DE35EA"/>
    <w:rsid w:val="00DE35EC"/>
    <w:rsid w:val="00DE360F"/>
    <w:rsid w:val="00DE3663"/>
    <w:rsid w:val="00DE3671"/>
    <w:rsid w:val="00DE369A"/>
    <w:rsid w:val="00DE3714"/>
    <w:rsid w:val="00DE3726"/>
    <w:rsid w:val="00DE387D"/>
    <w:rsid w:val="00DE3899"/>
    <w:rsid w:val="00DE38C4"/>
    <w:rsid w:val="00DE392F"/>
    <w:rsid w:val="00DE3946"/>
    <w:rsid w:val="00DE3960"/>
    <w:rsid w:val="00DE39A4"/>
    <w:rsid w:val="00DE39D4"/>
    <w:rsid w:val="00DE3A43"/>
    <w:rsid w:val="00DE3A4D"/>
    <w:rsid w:val="00DE3AA4"/>
    <w:rsid w:val="00DE3AE4"/>
    <w:rsid w:val="00DE3BB8"/>
    <w:rsid w:val="00DE3BBF"/>
    <w:rsid w:val="00DE3BC2"/>
    <w:rsid w:val="00DE3C1D"/>
    <w:rsid w:val="00DE3C84"/>
    <w:rsid w:val="00DE3C96"/>
    <w:rsid w:val="00DE3CD0"/>
    <w:rsid w:val="00DE3CED"/>
    <w:rsid w:val="00DE3D00"/>
    <w:rsid w:val="00DE3D10"/>
    <w:rsid w:val="00DE3D24"/>
    <w:rsid w:val="00DE3EBC"/>
    <w:rsid w:val="00DE3EC9"/>
    <w:rsid w:val="00DE3ED6"/>
    <w:rsid w:val="00DE3F0E"/>
    <w:rsid w:val="00DE3F7A"/>
    <w:rsid w:val="00DE3FA7"/>
    <w:rsid w:val="00DE4032"/>
    <w:rsid w:val="00DE4042"/>
    <w:rsid w:val="00DE411F"/>
    <w:rsid w:val="00DE412E"/>
    <w:rsid w:val="00DE4131"/>
    <w:rsid w:val="00DE41A8"/>
    <w:rsid w:val="00DE41B4"/>
    <w:rsid w:val="00DE41F6"/>
    <w:rsid w:val="00DE423E"/>
    <w:rsid w:val="00DE4254"/>
    <w:rsid w:val="00DE427F"/>
    <w:rsid w:val="00DE428A"/>
    <w:rsid w:val="00DE42BD"/>
    <w:rsid w:val="00DE438D"/>
    <w:rsid w:val="00DE4394"/>
    <w:rsid w:val="00DE43B3"/>
    <w:rsid w:val="00DE43CA"/>
    <w:rsid w:val="00DE43D3"/>
    <w:rsid w:val="00DE442C"/>
    <w:rsid w:val="00DE4442"/>
    <w:rsid w:val="00DE449A"/>
    <w:rsid w:val="00DE44CE"/>
    <w:rsid w:val="00DE44E8"/>
    <w:rsid w:val="00DE44FB"/>
    <w:rsid w:val="00DE453A"/>
    <w:rsid w:val="00DE4552"/>
    <w:rsid w:val="00DE4555"/>
    <w:rsid w:val="00DE4574"/>
    <w:rsid w:val="00DE45B8"/>
    <w:rsid w:val="00DE463C"/>
    <w:rsid w:val="00DE468B"/>
    <w:rsid w:val="00DE46BC"/>
    <w:rsid w:val="00DE46DC"/>
    <w:rsid w:val="00DE4712"/>
    <w:rsid w:val="00DE474B"/>
    <w:rsid w:val="00DE4770"/>
    <w:rsid w:val="00DE47A4"/>
    <w:rsid w:val="00DE47BE"/>
    <w:rsid w:val="00DE47ED"/>
    <w:rsid w:val="00DE489A"/>
    <w:rsid w:val="00DE4944"/>
    <w:rsid w:val="00DE4945"/>
    <w:rsid w:val="00DE494A"/>
    <w:rsid w:val="00DE49F8"/>
    <w:rsid w:val="00DE4AF1"/>
    <w:rsid w:val="00DE4B54"/>
    <w:rsid w:val="00DE4BFD"/>
    <w:rsid w:val="00DE4C42"/>
    <w:rsid w:val="00DE4CB7"/>
    <w:rsid w:val="00DE4D82"/>
    <w:rsid w:val="00DE4DB2"/>
    <w:rsid w:val="00DE4E0E"/>
    <w:rsid w:val="00DE4E29"/>
    <w:rsid w:val="00DE4E7D"/>
    <w:rsid w:val="00DE4E89"/>
    <w:rsid w:val="00DE4ED8"/>
    <w:rsid w:val="00DE4F05"/>
    <w:rsid w:val="00DE4F18"/>
    <w:rsid w:val="00DE4F26"/>
    <w:rsid w:val="00DE4F40"/>
    <w:rsid w:val="00DE4F97"/>
    <w:rsid w:val="00DE4F9B"/>
    <w:rsid w:val="00DE4F9E"/>
    <w:rsid w:val="00DE4FEB"/>
    <w:rsid w:val="00DE5009"/>
    <w:rsid w:val="00DE500E"/>
    <w:rsid w:val="00DE502F"/>
    <w:rsid w:val="00DE50A5"/>
    <w:rsid w:val="00DE50CD"/>
    <w:rsid w:val="00DE50F7"/>
    <w:rsid w:val="00DE5113"/>
    <w:rsid w:val="00DE5118"/>
    <w:rsid w:val="00DE5128"/>
    <w:rsid w:val="00DE515B"/>
    <w:rsid w:val="00DE5168"/>
    <w:rsid w:val="00DE51AE"/>
    <w:rsid w:val="00DE521C"/>
    <w:rsid w:val="00DE52A7"/>
    <w:rsid w:val="00DE52FF"/>
    <w:rsid w:val="00DE5410"/>
    <w:rsid w:val="00DE5414"/>
    <w:rsid w:val="00DE5447"/>
    <w:rsid w:val="00DE545C"/>
    <w:rsid w:val="00DE5476"/>
    <w:rsid w:val="00DE5479"/>
    <w:rsid w:val="00DE5482"/>
    <w:rsid w:val="00DE54CD"/>
    <w:rsid w:val="00DE54FE"/>
    <w:rsid w:val="00DE5542"/>
    <w:rsid w:val="00DE5559"/>
    <w:rsid w:val="00DE5589"/>
    <w:rsid w:val="00DE5623"/>
    <w:rsid w:val="00DE5630"/>
    <w:rsid w:val="00DE56D3"/>
    <w:rsid w:val="00DE578B"/>
    <w:rsid w:val="00DE57D7"/>
    <w:rsid w:val="00DE57E1"/>
    <w:rsid w:val="00DE57EB"/>
    <w:rsid w:val="00DE5803"/>
    <w:rsid w:val="00DE5831"/>
    <w:rsid w:val="00DE5843"/>
    <w:rsid w:val="00DE5856"/>
    <w:rsid w:val="00DE5869"/>
    <w:rsid w:val="00DE58C7"/>
    <w:rsid w:val="00DE5908"/>
    <w:rsid w:val="00DE59DB"/>
    <w:rsid w:val="00DE5A7F"/>
    <w:rsid w:val="00DE5A8F"/>
    <w:rsid w:val="00DE5AAB"/>
    <w:rsid w:val="00DE5AEF"/>
    <w:rsid w:val="00DE5B08"/>
    <w:rsid w:val="00DE5C2A"/>
    <w:rsid w:val="00DE5C39"/>
    <w:rsid w:val="00DE5C48"/>
    <w:rsid w:val="00DE5C4A"/>
    <w:rsid w:val="00DE5CA5"/>
    <w:rsid w:val="00DE5CFD"/>
    <w:rsid w:val="00DE5D02"/>
    <w:rsid w:val="00DE5D63"/>
    <w:rsid w:val="00DE5DA5"/>
    <w:rsid w:val="00DE5DC8"/>
    <w:rsid w:val="00DE5E01"/>
    <w:rsid w:val="00DE5E4D"/>
    <w:rsid w:val="00DE5E87"/>
    <w:rsid w:val="00DE5EBA"/>
    <w:rsid w:val="00DE5EEA"/>
    <w:rsid w:val="00DE5F2E"/>
    <w:rsid w:val="00DE5F9D"/>
    <w:rsid w:val="00DE5FC5"/>
    <w:rsid w:val="00DE6040"/>
    <w:rsid w:val="00DE6097"/>
    <w:rsid w:val="00DE611F"/>
    <w:rsid w:val="00DE613D"/>
    <w:rsid w:val="00DE6169"/>
    <w:rsid w:val="00DE617E"/>
    <w:rsid w:val="00DE622E"/>
    <w:rsid w:val="00DE626D"/>
    <w:rsid w:val="00DE6278"/>
    <w:rsid w:val="00DE6296"/>
    <w:rsid w:val="00DE62C0"/>
    <w:rsid w:val="00DE62D5"/>
    <w:rsid w:val="00DE633B"/>
    <w:rsid w:val="00DE634B"/>
    <w:rsid w:val="00DE637A"/>
    <w:rsid w:val="00DE63FD"/>
    <w:rsid w:val="00DE6477"/>
    <w:rsid w:val="00DE64BF"/>
    <w:rsid w:val="00DE64D7"/>
    <w:rsid w:val="00DE64DB"/>
    <w:rsid w:val="00DE64E3"/>
    <w:rsid w:val="00DE653B"/>
    <w:rsid w:val="00DE663C"/>
    <w:rsid w:val="00DE6677"/>
    <w:rsid w:val="00DE66A6"/>
    <w:rsid w:val="00DE66BD"/>
    <w:rsid w:val="00DE66BE"/>
    <w:rsid w:val="00DE66CF"/>
    <w:rsid w:val="00DE6863"/>
    <w:rsid w:val="00DE6909"/>
    <w:rsid w:val="00DE691B"/>
    <w:rsid w:val="00DE693B"/>
    <w:rsid w:val="00DE6966"/>
    <w:rsid w:val="00DE6A00"/>
    <w:rsid w:val="00DE6A17"/>
    <w:rsid w:val="00DE6AA6"/>
    <w:rsid w:val="00DE6B0B"/>
    <w:rsid w:val="00DE6B65"/>
    <w:rsid w:val="00DE6CE0"/>
    <w:rsid w:val="00DE6D3D"/>
    <w:rsid w:val="00DE6DB3"/>
    <w:rsid w:val="00DE6DC3"/>
    <w:rsid w:val="00DE6E0A"/>
    <w:rsid w:val="00DE6E12"/>
    <w:rsid w:val="00DE6E4B"/>
    <w:rsid w:val="00DE6E62"/>
    <w:rsid w:val="00DE6ED1"/>
    <w:rsid w:val="00DE6F1F"/>
    <w:rsid w:val="00DE6FA6"/>
    <w:rsid w:val="00DE6FAF"/>
    <w:rsid w:val="00DE6FE9"/>
    <w:rsid w:val="00DE6FEE"/>
    <w:rsid w:val="00DE7047"/>
    <w:rsid w:val="00DE704F"/>
    <w:rsid w:val="00DE7177"/>
    <w:rsid w:val="00DE718C"/>
    <w:rsid w:val="00DE71B8"/>
    <w:rsid w:val="00DE7269"/>
    <w:rsid w:val="00DE726B"/>
    <w:rsid w:val="00DE72BD"/>
    <w:rsid w:val="00DE72CB"/>
    <w:rsid w:val="00DE73AF"/>
    <w:rsid w:val="00DE7435"/>
    <w:rsid w:val="00DE7448"/>
    <w:rsid w:val="00DE744E"/>
    <w:rsid w:val="00DE746E"/>
    <w:rsid w:val="00DE74D8"/>
    <w:rsid w:val="00DE759B"/>
    <w:rsid w:val="00DE75A0"/>
    <w:rsid w:val="00DE75C8"/>
    <w:rsid w:val="00DE76AF"/>
    <w:rsid w:val="00DE76BC"/>
    <w:rsid w:val="00DE76E9"/>
    <w:rsid w:val="00DE7740"/>
    <w:rsid w:val="00DE7746"/>
    <w:rsid w:val="00DE7778"/>
    <w:rsid w:val="00DE77B7"/>
    <w:rsid w:val="00DE783C"/>
    <w:rsid w:val="00DE7851"/>
    <w:rsid w:val="00DE7876"/>
    <w:rsid w:val="00DE7882"/>
    <w:rsid w:val="00DE78E8"/>
    <w:rsid w:val="00DE78E9"/>
    <w:rsid w:val="00DE78EB"/>
    <w:rsid w:val="00DE794C"/>
    <w:rsid w:val="00DE79AD"/>
    <w:rsid w:val="00DE7A2B"/>
    <w:rsid w:val="00DE7A4B"/>
    <w:rsid w:val="00DE7A65"/>
    <w:rsid w:val="00DE7ADD"/>
    <w:rsid w:val="00DE7AEE"/>
    <w:rsid w:val="00DE7AF9"/>
    <w:rsid w:val="00DE7B0B"/>
    <w:rsid w:val="00DE7B95"/>
    <w:rsid w:val="00DE7BF8"/>
    <w:rsid w:val="00DE7BFA"/>
    <w:rsid w:val="00DE7C11"/>
    <w:rsid w:val="00DE7C72"/>
    <w:rsid w:val="00DE7CA2"/>
    <w:rsid w:val="00DE7D3E"/>
    <w:rsid w:val="00DE7D45"/>
    <w:rsid w:val="00DE7D66"/>
    <w:rsid w:val="00DE7D6D"/>
    <w:rsid w:val="00DE7DE5"/>
    <w:rsid w:val="00DE7E63"/>
    <w:rsid w:val="00DE7E8D"/>
    <w:rsid w:val="00DE7EA7"/>
    <w:rsid w:val="00DE7EB6"/>
    <w:rsid w:val="00DE7EC7"/>
    <w:rsid w:val="00DE7F2E"/>
    <w:rsid w:val="00DE7F35"/>
    <w:rsid w:val="00DE7F71"/>
    <w:rsid w:val="00DE7FEE"/>
    <w:rsid w:val="00DF0020"/>
    <w:rsid w:val="00DF002B"/>
    <w:rsid w:val="00DF006C"/>
    <w:rsid w:val="00DF0074"/>
    <w:rsid w:val="00DF00D5"/>
    <w:rsid w:val="00DF00D6"/>
    <w:rsid w:val="00DF00DB"/>
    <w:rsid w:val="00DF00F4"/>
    <w:rsid w:val="00DF0118"/>
    <w:rsid w:val="00DF015C"/>
    <w:rsid w:val="00DF019E"/>
    <w:rsid w:val="00DF01CA"/>
    <w:rsid w:val="00DF01D3"/>
    <w:rsid w:val="00DF0226"/>
    <w:rsid w:val="00DF0245"/>
    <w:rsid w:val="00DF027E"/>
    <w:rsid w:val="00DF028A"/>
    <w:rsid w:val="00DF0294"/>
    <w:rsid w:val="00DF030E"/>
    <w:rsid w:val="00DF0313"/>
    <w:rsid w:val="00DF03E9"/>
    <w:rsid w:val="00DF041B"/>
    <w:rsid w:val="00DF0514"/>
    <w:rsid w:val="00DF052B"/>
    <w:rsid w:val="00DF0553"/>
    <w:rsid w:val="00DF055B"/>
    <w:rsid w:val="00DF0589"/>
    <w:rsid w:val="00DF05AF"/>
    <w:rsid w:val="00DF061B"/>
    <w:rsid w:val="00DF063A"/>
    <w:rsid w:val="00DF067C"/>
    <w:rsid w:val="00DF0685"/>
    <w:rsid w:val="00DF06C7"/>
    <w:rsid w:val="00DF06CF"/>
    <w:rsid w:val="00DF0731"/>
    <w:rsid w:val="00DF0744"/>
    <w:rsid w:val="00DF076D"/>
    <w:rsid w:val="00DF079D"/>
    <w:rsid w:val="00DF080A"/>
    <w:rsid w:val="00DF0909"/>
    <w:rsid w:val="00DF098F"/>
    <w:rsid w:val="00DF0A2D"/>
    <w:rsid w:val="00DF0A37"/>
    <w:rsid w:val="00DF0ACC"/>
    <w:rsid w:val="00DF0AF4"/>
    <w:rsid w:val="00DF0AFF"/>
    <w:rsid w:val="00DF0B3C"/>
    <w:rsid w:val="00DF0B4F"/>
    <w:rsid w:val="00DF0BB4"/>
    <w:rsid w:val="00DF0C0F"/>
    <w:rsid w:val="00DF0C41"/>
    <w:rsid w:val="00DF0CBF"/>
    <w:rsid w:val="00DF0CCA"/>
    <w:rsid w:val="00DF0CFA"/>
    <w:rsid w:val="00DF0D17"/>
    <w:rsid w:val="00DF0D1D"/>
    <w:rsid w:val="00DF0D2F"/>
    <w:rsid w:val="00DF0D79"/>
    <w:rsid w:val="00DF0D8E"/>
    <w:rsid w:val="00DF0E28"/>
    <w:rsid w:val="00DF0E35"/>
    <w:rsid w:val="00DF0E67"/>
    <w:rsid w:val="00DF0F4F"/>
    <w:rsid w:val="00DF0F9A"/>
    <w:rsid w:val="00DF0FBD"/>
    <w:rsid w:val="00DF0FDB"/>
    <w:rsid w:val="00DF0FFE"/>
    <w:rsid w:val="00DF1003"/>
    <w:rsid w:val="00DF1019"/>
    <w:rsid w:val="00DF101B"/>
    <w:rsid w:val="00DF101C"/>
    <w:rsid w:val="00DF1098"/>
    <w:rsid w:val="00DF1216"/>
    <w:rsid w:val="00DF129B"/>
    <w:rsid w:val="00DF12D0"/>
    <w:rsid w:val="00DF136F"/>
    <w:rsid w:val="00DF13D2"/>
    <w:rsid w:val="00DF13E3"/>
    <w:rsid w:val="00DF13F9"/>
    <w:rsid w:val="00DF1465"/>
    <w:rsid w:val="00DF14DE"/>
    <w:rsid w:val="00DF155F"/>
    <w:rsid w:val="00DF15B2"/>
    <w:rsid w:val="00DF15C6"/>
    <w:rsid w:val="00DF1699"/>
    <w:rsid w:val="00DF169E"/>
    <w:rsid w:val="00DF16A3"/>
    <w:rsid w:val="00DF16AB"/>
    <w:rsid w:val="00DF16BA"/>
    <w:rsid w:val="00DF16D1"/>
    <w:rsid w:val="00DF16E8"/>
    <w:rsid w:val="00DF170F"/>
    <w:rsid w:val="00DF171F"/>
    <w:rsid w:val="00DF1732"/>
    <w:rsid w:val="00DF1735"/>
    <w:rsid w:val="00DF176B"/>
    <w:rsid w:val="00DF17E3"/>
    <w:rsid w:val="00DF1823"/>
    <w:rsid w:val="00DF1879"/>
    <w:rsid w:val="00DF18BF"/>
    <w:rsid w:val="00DF18C2"/>
    <w:rsid w:val="00DF18F3"/>
    <w:rsid w:val="00DF1937"/>
    <w:rsid w:val="00DF1964"/>
    <w:rsid w:val="00DF198F"/>
    <w:rsid w:val="00DF19C9"/>
    <w:rsid w:val="00DF1A2A"/>
    <w:rsid w:val="00DF1A48"/>
    <w:rsid w:val="00DF1A5F"/>
    <w:rsid w:val="00DF1ABA"/>
    <w:rsid w:val="00DF1AC2"/>
    <w:rsid w:val="00DF1AED"/>
    <w:rsid w:val="00DF1B37"/>
    <w:rsid w:val="00DF1B9F"/>
    <w:rsid w:val="00DF1BAD"/>
    <w:rsid w:val="00DF1BD3"/>
    <w:rsid w:val="00DF1C18"/>
    <w:rsid w:val="00DF1C1E"/>
    <w:rsid w:val="00DF1C4C"/>
    <w:rsid w:val="00DF1C79"/>
    <w:rsid w:val="00DF1CD1"/>
    <w:rsid w:val="00DF1D23"/>
    <w:rsid w:val="00DF1DB4"/>
    <w:rsid w:val="00DF1E2D"/>
    <w:rsid w:val="00DF1E56"/>
    <w:rsid w:val="00DF1F03"/>
    <w:rsid w:val="00DF1F0B"/>
    <w:rsid w:val="00DF1F1B"/>
    <w:rsid w:val="00DF1F28"/>
    <w:rsid w:val="00DF1F91"/>
    <w:rsid w:val="00DF1FA7"/>
    <w:rsid w:val="00DF1FD9"/>
    <w:rsid w:val="00DF2024"/>
    <w:rsid w:val="00DF203E"/>
    <w:rsid w:val="00DF208D"/>
    <w:rsid w:val="00DF20B7"/>
    <w:rsid w:val="00DF2301"/>
    <w:rsid w:val="00DF234A"/>
    <w:rsid w:val="00DF2361"/>
    <w:rsid w:val="00DF2364"/>
    <w:rsid w:val="00DF2384"/>
    <w:rsid w:val="00DF23CB"/>
    <w:rsid w:val="00DF23CC"/>
    <w:rsid w:val="00DF23EB"/>
    <w:rsid w:val="00DF23FA"/>
    <w:rsid w:val="00DF24A5"/>
    <w:rsid w:val="00DF24EC"/>
    <w:rsid w:val="00DF2525"/>
    <w:rsid w:val="00DF2571"/>
    <w:rsid w:val="00DF2689"/>
    <w:rsid w:val="00DF26FD"/>
    <w:rsid w:val="00DF27DC"/>
    <w:rsid w:val="00DF2809"/>
    <w:rsid w:val="00DF2862"/>
    <w:rsid w:val="00DF28AF"/>
    <w:rsid w:val="00DF295E"/>
    <w:rsid w:val="00DF2968"/>
    <w:rsid w:val="00DF29F0"/>
    <w:rsid w:val="00DF2A21"/>
    <w:rsid w:val="00DF2A27"/>
    <w:rsid w:val="00DF2ADF"/>
    <w:rsid w:val="00DF2AEA"/>
    <w:rsid w:val="00DF2B16"/>
    <w:rsid w:val="00DF2B57"/>
    <w:rsid w:val="00DF2B69"/>
    <w:rsid w:val="00DF2B6B"/>
    <w:rsid w:val="00DF2B92"/>
    <w:rsid w:val="00DF2BB5"/>
    <w:rsid w:val="00DF2C09"/>
    <w:rsid w:val="00DF2C28"/>
    <w:rsid w:val="00DF2C47"/>
    <w:rsid w:val="00DF2C5E"/>
    <w:rsid w:val="00DF2C61"/>
    <w:rsid w:val="00DF2D2C"/>
    <w:rsid w:val="00DF2ECD"/>
    <w:rsid w:val="00DF2EEB"/>
    <w:rsid w:val="00DF2F03"/>
    <w:rsid w:val="00DF2F61"/>
    <w:rsid w:val="00DF2F9B"/>
    <w:rsid w:val="00DF2FDA"/>
    <w:rsid w:val="00DF300B"/>
    <w:rsid w:val="00DF3088"/>
    <w:rsid w:val="00DF3107"/>
    <w:rsid w:val="00DF310E"/>
    <w:rsid w:val="00DF3156"/>
    <w:rsid w:val="00DF3172"/>
    <w:rsid w:val="00DF3197"/>
    <w:rsid w:val="00DF31DB"/>
    <w:rsid w:val="00DF3265"/>
    <w:rsid w:val="00DF3286"/>
    <w:rsid w:val="00DF32C9"/>
    <w:rsid w:val="00DF32DF"/>
    <w:rsid w:val="00DF3338"/>
    <w:rsid w:val="00DF337C"/>
    <w:rsid w:val="00DF33C4"/>
    <w:rsid w:val="00DF33F6"/>
    <w:rsid w:val="00DF3427"/>
    <w:rsid w:val="00DF3437"/>
    <w:rsid w:val="00DF34CC"/>
    <w:rsid w:val="00DF34E5"/>
    <w:rsid w:val="00DF34F1"/>
    <w:rsid w:val="00DF3511"/>
    <w:rsid w:val="00DF3582"/>
    <w:rsid w:val="00DF35DA"/>
    <w:rsid w:val="00DF3627"/>
    <w:rsid w:val="00DF3680"/>
    <w:rsid w:val="00DF36A6"/>
    <w:rsid w:val="00DF36AF"/>
    <w:rsid w:val="00DF36B3"/>
    <w:rsid w:val="00DF370C"/>
    <w:rsid w:val="00DF37DA"/>
    <w:rsid w:val="00DF37EA"/>
    <w:rsid w:val="00DF3811"/>
    <w:rsid w:val="00DF3864"/>
    <w:rsid w:val="00DF38AA"/>
    <w:rsid w:val="00DF3905"/>
    <w:rsid w:val="00DF3913"/>
    <w:rsid w:val="00DF398E"/>
    <w:rsid w:val="00DF3A2E"/>
    <w:rsid w:val="00DF3AA2"/>
    <w:rsid w:val="00DF3AF9"/>
    <w:rsid w:val="00DF3B14"/>
    <w:rsid w:val="00DF3B3E"/>
    <w:rsid w:val="00DF3B59"/>
    <w:rsid w:val="00DF3B8E"/>
    <w:rsid w:val="00DF3C34"/>
    <w:rsid w:val="00DF3CB6"/>
    <w:rsid w:val="00DF3CED"/>
    <w:rsid w:val="00DF3D50"/>
    <w:rsid w:val="00DF3D7B"/>
    <w:rsid w:val="00DF3DD6"/>
    <w:rsid w:val="00DF3DDA"/>
    <w:rsid w:val="00DF3E23"/>
    <w:rsid w:val="00DF3F02"/>
    <w:rsid w:val="00DF3F24"/>
    <w:rsid w:val="00DF3F75"/>
    <w:rsid w:val="00DF3FB0"/>
    <w:rsid w:val="00DF3FC8"/>
    <w:rsid w:val="00DF4079"/>
    <w:rsid w:val="00DF4153"/>
    <w:rsid w:val="00DF4157"/>
    <w:rsid w:val="00DF4172"/>
    <w:rsid w:val="00DF41FB"/>
    <w:rsid w:val="00DF4250"/>
    <w:rsid w:val="00DF4269"/>
    <w:rsid w:val="00DF4292"/>
    <w:rsid w:val="00DF42A0"/>
    <w:rsid w:val="00DF43FB"/>
    <w:rsid w:val="00DF4474"/>
    <w:rsid w:val="00DF44E2"/>
    <w:rsid w:val="00DF44E9"/>
    <w:rsid w:val="00DF44EF"/>
    <w:rsid w:val="00DF4504"/>
    <w:rsid w:val="00DF456C"/>
    <w:rsid w:val="00DF4582"/>
    <w:rsid w:val="00DF458D"/>
    <w:rsid w:val="00DF45AF"/>
    <w:rsid w:val="00DF4619"/>
    <w:rsid w:val="00DF465F"/>
    <w:rsid w:val="00DF469C"/>
    <w:rsid w:val="00DF46B5"/>
    <w:rsid w:val="00DF46D5"/>
    <w:rsid w:val="00DF478B"/>
    <w:rsid w:val="00DF47ED"/>
    <w:rsid w:val="00DF4810"/>
    <w:rsid w:val="00DF481B"/>
    <w:rsid w:val="00DF4905"/>
    <w:rsid w:val="00DF4913"/>
    <w:rsid w:val="00DF4958"/>
    <w:rsid w:val="00DF496B"/>
    <w:rsid w:val="00DF49C3"/>
    <w:rsid w:val="00DF49CD"/>
    <w:rsid w:val="00DF49DC"/>
    <w:rsid w:val="00DF4A60"/>
    <w:rsid w:val="00DF4AB6"/>
    <w:rsid w:val="00DF4AC0"/>
    <w:rsid w:val="00DF4B45"/>
    <w:rsid w:val="00DF4CC7"/>
    <w:rsid w:val="00DF4D09"/>
    <w:rsid w:val="00DF4D25"/>
    <w:rsid w:val="00DF4D3B"/>
    <w:rsid w:val="00DF4D3E"/>
    <w:rsid w:val="00DF4D52"/>
    <w:rsid w:val="00DF4D53"/>
    <w:rsid w:val="00DF4D8B"/>
    <w:rsid w:val="00DF4E37"/>
    <w:rsid w:val="00DF4E38"/>
    <w:rsid w:val="00DF4E4C"/>
    <w:rsid w:val="00DF4E51"/>
    <w:rsid w:val="00DF4E61"/>
    <w:rsid w:val="00DF4EBB"/>
    <w:rsid w:val="00DF4EC8"/>
    <w:rsid w:val="00DF4F42"/>
    <w:rsid w:val="00DF4F46"/>
    <w:rsid w:val="00DF4F50"/>
    <w:rsid w:val="00DF4FB3"/>
    <w:rsid w:val="00DF4FBA"/>
    <w:rsid w:val="00DF500D"/>
    <w:rsid w:val="00DF50CE"/>
    <w:rsid w:val="00DF510E"/>
    <w:rsid w:val="00DF5162"/>
    <w:rsid w:val="00DF5171"/>
    <w:rsid w:val="00DF5183"/>
    <w:rsid w:val="00DF51B9"/>
    <w:rsid w:val="00DF51D1"/>
    <w:rsid w:val="00DF51DF"/>
    <w:rsid w:val="00DF5248"/>
    <w:rsid w:val="00DF5306"/>
    <w:rsid w:val="00DF5353"/>
    <w:rsid w:val="00DF53B2"/>
    <w:rsid w:val="00DF5460"/>
    <w:rsid w:val="00DF54D5"/>
    <w:rsid w:val="00DF5568"/>
    <w:rsid w:val="00DF5641"/>
    <w:rsid w:val="00DF5647"/>
    <w:rsid w:val="00DF566F"/>
    <w:rsid w:val="00DF56FB"/>
    <w:rsid w:val="00DF5723"/>
    <w:rsid w:val="00DF57A3"/>
    <w:rsid w:val="00DF57AE"/>
    <w:rsid w:val="00DF5849"/>
    <w:rsid w:val="00DF5897"/>
    <w:rsid w:val="00DF58D4"/>
    <w:rsid w:val="00DF58DD"/>
    <w:rsid w:val="00DF58E9"/>
    <w:rsid w:val="00DF58FE"/>
    <w:rsid w:val="00DF5969"/>
    <w:rsid w:val="00DF59D9"/>
    <w:rsid w:val="00DF59E7"/>
    <w:rsid w:val="00DF59FD"/>
    <w:rsid w:val="00DF5A06"/>
    <w:rsid w:val="00DF5A11"/>
    <w:rsid w:val="00DF5B2A"/>
    <w:rsid w:val="00DF5B2F"/>
    <w:rsid w:val="00DF5CCD"/>
    <w:rsid w:val="00DF5D0B"/>
    <w:rsid w:val="00DF5E6E"/>
    <w:rsid w:val="00DF5EA7"/>
    <w:rsid w:val="00DF5F75"/>
    <w:rsid w:val="00DF5FB9"/>
    <w:rsid w:val="00DF5FF4"/>
    <w:rsid w:val="00DF604B"/>
    <w:rsid w:val="00DF6050"/>
    <w:rsid w:val="00DF6057"/>
    <w:rsid w:val="00DF60AA"/>
    <w:rsid w:val="00DF60D1"/>
    <w:rsid w:val="00DF6128"/>
    <w:rsid w:val="00DF616B"/>
    <w:rsid w:val="00DF61CB"/>
    <w:rsid w:val="00DF62AF"/>
    <w:rsid w:val="00DF62CC"/>
    <w:rsid w:val="00DF6374"/>
    <w:rsid w:val="00DF6414"/>
    <w:rsid w:val="00DF642A"/>
    <w:rsid w:val="00DF64B0"/>
    <w:rsid w:val="00DF6589"/>
    <w:rsid w:val="00DF6606"/>
    <w:rsid w:val="00DF67F0"/>
    <w:rsid w:val="00DF680B"/>
    <w:rsid w:val="00DF683F"/>
    <w:rsid w:val="00DF6846"/>
    <w:rsid w:val="00DF6865"/>
    <w:rsid w:val="00DF68AB"/>
    <w:rsid w:val="00DF68AF"/>
    <w:rsid w:val="00DF6953"/>
    <w:rsid w:val="00DF6999"/>
    <w:rsid w:val="00DF69AF"/>
    <w:rsid w:val="00DF69CC"/>
    <w:rsid w:val="00DF6A7F"/>
    <w:rsid w:val="00DF6B1F"/>
    <w:rsid w:val="00DF6B4A"/>
    <w:rsid w:val="00DF6B5E"/>
    <w:rsid w:val="00DF6B80"/>
    <w:rsid w:val="00DF6BC1"/>
    <w:rsid w:val="00DF6C11"/>
    <w:rsid w:val="00DF6C94"/>
    <w:rsid w:val="00DF6CF3"/>
    <w:rsid w:val="00DF6D09"/>
    <w:rsid w:val="00DF6DA9"/>
    <w:rsid w:val="00DF6DB0"/>
    <w:rsid w:val="00DF6DCA"/>
    <w:rsid w:val="00DF6DDE"/>
    <w:rsid w:val="00DF6E01"/>
    <w:rsid w:val="00DF6E29"/>
    <w:rsid w:val="00DF6E50"/>
    <w:rsid w:val="00DF6E75"/>
    <w:rsid w:val="00DF6E7B"/>
    <w:rsid w:val="00DF6E88"/>
    <w:rsid w:val="00DF6FE9"/>
    <w:rsid w:val="00DF701D"/>
    <w:rsid w:val="00DF7055"/>
    <w:rsid w:val="00DF7090"/>
    <w:rsid w:val="00DF70CD"/>
    <w:rsid w:val="00DF712E"/>
    <w:rsid w:val="00DF7176"/>
    <w:rsid w:val="00DF71BD"/>
    <w:rsid w:val="00DF71DD"/>
    <w:rsid w:val="00DF7254"/>
    <w:rsid w:val="00DF7293"/>
    <w:rsid w:val="00DF72B7"/>
    <w:rsid w:val="00DF72C7"/>
    <w:rsid w:val="00DF72F0"/>
    <w:rsid w:val="00DF7321"/>
    <w:rsid w:val="00DF732F"/>
    <w:rsid w:val="00DF7398"/>
    <w:rsid w:val="00DF73BB"/>
    <w:rsid w:val="00DF73C5"/>
    <w:rsid w:val="00DF73FD"/>
    <w:rsid w:val="00DF7465"/>
    <w:rsid w:val="00DF7476"/>
    <w:rsid w:val="00DF748A"/>
    <w:rsid w:val="00DF7533"/>
    <w:rsid w:val="00DF7584"/>
    <w:rsid w:val="00DF75B0"/>
    <w:rsid w:val="00DF7610"/>
    <w:rsid w:val="00DF765F"/>
    <w:rsid w:val="00DF775E"/>
    <w:rsid w:val="00DF77A5"/>
    <w:rsid w:val="00DF77E9"/>
    <w:rsid w:val="00DF77F2"/>
    <w:rsid w:val="00DF780D"/>
    <w:rsid w:val="00DF783E"/>
    <w:rsid w:val="00DF7866"/>
    <w:rsid w:val="00DF7868"/>
    <w:rsid w:val="00DF788D"/>
    <w:rsid w:val="00DF78A6"/>
    <w:rsid w:val="00DF78A7"/>
    <w:rsid w:val="00DF78D3"/>
    <w:rsid w:val="00DF78F3"/>
    <w:rsid w:val="00DF7995"/>
    <w:rsid w:val="00DF79D6"/>
    <w:rsid w:val="00DF7A10"/>
    <w:rsid w:val="00DF7A44"/>
    <w:rsid w:val="00DF7A75"/>
    <w:rsid w:val="00DF7AB5"/>
    <w:rsid w:val="00DF7ACD"/>
    <w:rsid w:val="00DF7B37"/>
    <w:rsid w:val="00DF7B9C"/>
    <w:rsid w:val="00DF7C15"/>
    <w:rsid w:val="00DF7C9B"/>
    <w:rsid w:val="00DF7CA1"/>
    <w:rsid w:val="00DF7CB4"/>
    <w:rsid w:val="00DF7CBD"/>
    <w:rsid w:val="00DF7CDA"/>
    <w:rsid w:val="00DF7D16"/>
    <w:rsid w:val="00DF7D25"/>
    <w:rsid w:val="00DF7D2A"/>
    <w:rsid w:val="00DF7D3D"/>
    <w:rsid w:val="00DF7F3D"/>
    <w:rsid w:val="00DF7F5E"/>
    <w:rsid w:val="00DF7F72"/>
    <w:rsid w:val="00E0003D"/>
    <w:rsid w:val="00E0008E"/>
    <w:rsid w:val="00E000DF"/>
    <w:rsid w:val="00E00126"/>
    <w:rsid w:val="00E00195"/>
    <w:rsid w:val="00E001E7"/>
    <w:rsid w:val="00E001FD"/>
    <w:rsid w:val="00E00216"/>
    <w:rsid w:val="00E002F6"/>
    <w:rsid w:val="00E0038F"/>
    <w:rsid w:val="00E00397"/>
    <w:rsid w:val="00E00476"/>
    <w:rsid w:val="00E00478"/>
    <w:rsid w:val="00E004A8"/>
    <w:rsid w:val="00E004B5"/>
    <w:rsid w:val="00E004B6"/>
    <w:rsid w:val="00E004BE"/>
    <w:rsid w:val="00E0050F"/>
    <w:rsid w:val="00E00555"/>
    <w:rsid w:val="00E005A7"/>
    <w:rsid w:val="00E005E0"/>
    <w:rsid w:val="00E00609"/>
    <w:rsid w:val="00E00656"/>
    <w:rsid w:val="00E006D8"/>
    <w:rsid w:val="00E00727"/>
    <w:rsid w:val="00E007D6"/>
    <w:rsid w:val="00E00800"/>
    <w:rsid w:val="00E008D0"/>
    <w:rsid w:val="00E008E2"/>
    <w:rsid w:val="00E00931"/>
    <w:rsid w:val="00E00968"/>
    <w:rsid w:val="00E009EA"/>
    <w:rsid w:val="00E00A23"/>
    <w:rsid w:val="00E00A54"/>
    <w:rsid w:val="00E00AB6"/>
    <w:rsid w:val="00E00AC0"/>
    <w:rsid w:val="00E00ACF"/>
    <w:rsid w:val="00E00AD6"/>
    <w:rsid w:val="00E00AD7"/>
    <w:rsid w:val="00E00ADB"/>
    <w:rsid w:val="00E00B05"/>
    <w:rsid w:val="00E00BDD"/>
    <w:rsid w:val="00E00C34"/>
    <w:rsid w:val="00E00C57"/>
    <w:rsid w:val="00E00C66"/>
    <w:rsid w:val="00E00C6F"/>
    <w:rsid w:val="00E00C72"/>
    <w:rsid w:val="00E00CEC"/>
    <w:rsid w:val="00E00D04"/>
    <w:rsid w:val="00E00D3A"/>
    <w:rsid w:val="00E00D8C"/>
    <w:rsid w:val="00E00E1F"/>
    <w:rsid w:val="00E00E3B"/>
    <w:rsid w:val="00E00E4E"/>
    <w:rsid w:val="00E00E64"/>
    <w:rsid w:val="00E00EBE"/>
    <w:rsid w:val="00E00F57"/>
    <w:rsid w:val="00E00F9E"/>
    <w:rsid w:val="00E00FBF"/>
    <w:rsid w:val="00E00FEF"/>
    <w:rsid w:val="00E01060"/>
    <w:rsid w:val="00E01089"/>
    <w:rsid w:val="00E010CF"/>
    <w:rsid w:val="00E01100"/>
    <w:rsid w:val="00E0110E"/>
    <w:rsid w:val="00E01110"/>
    <w:rsid w:val="00E01122"/>
    <w:rsid w:val="00E0114C"/>
    <w:rsid w:val="00E01186"/>
    <w:rsid w:val="00E011BE"/>
    <w:rsid w:val="00E011C4"/>
    <w:rsid w:val="00E011FE"/>
    <w:rsid w:val="00E01243"/>
    <w:rsid w:val="00E01257"/>
    <w:rsid w:val="00E01262"/>
    <w:rsid w:val="00E01284"/>
    <w:rsid w:val="00E012AE"/>
    <w:rsid w:val="00E01330"/>
    <w:rsid w:val="00E0135F"/>
    <w:rsid w:val="00E01367"/>
    <w:rsid w:val="00E0137A"/>
    <w:rsid w:val="00E0139A"/>
    <w:rsid w:val="00E013B3"/>
    <w:rsid w:val="00E013C5"/>
    <w:rsid w:val="00E013DF"/>
    <w:rsid w:val="00E013E0"/>
    <w:rsid w:val="00E01495"/>
    <w:rsid w:val="00E014D6"/>
    <w:rsid w:val="00E014D9"/>
    <w:rsid w:val="00E015D2"/>
    <w:rsid w:val="00E0160C"/>
    <w:rsid w:val="00E0162D"/>
    <w:rsid w:val="00E01662"/>
    <w:rsid w:val="00E016B6"/>
    <w:rsid w:val="00E016C6"/>
    <w:rsid w:val="00E016C7"/>
    <w:rsid w:val="00E016F3"/>
    <w:rsid w:val="00E016F7"/>
    <w:rsid w:val="00E0178B"/>
    <w:rsid w:val="00E017A9"/>
    <w:rsid w:val="00E01809"/>
    <w:rsid w:val="00E0181D"/>
    <w:rsid w:val="00E01840"/>
    <w:rsid w:val="00E01881"/>
    <w:rsid w:val="00E0188E"/>
    <w:rsid w:val="00E018A8"/>
    <w:rsid w:val="00E01930"/>
    <w:rsid w:val="00E01974"/>
    <w:rsid w:val="00E019F4"/>
    <w:rsid w:val="00E01A2C"/>
    <w:rsid w:val="00E01A80"/>
    <w:rsid w:val="00E01A8A"/>
    <w:rsid w:val="00E01AD4"/>
    <w:rsid w:val="00E01B1D"/>
    <w:rsid w:val="00E01C4E"/>
    <w:rsid w:val="00E01C56"/>
    <w:rsid w:val="00E01C9D"/>
    <w:rsid w:val="00E01CAD"/>
    <w:rsid w:val="00E01CB8"/>
    <w:rsid w:val="00E01CCB"/>
    <w:rsid w:val="00E01D14"/>
    <w:rsid w:val="00E01D15"/>
    <w:rsid w:val="00E01DA4"/>
    <w:rsid w:val="00E01DCF"/>
    <w:rsid w:val="00E01E39"/>
    <w:rsid w:val="00E01E66"/>
    <w:rsid w:val="00E01EB0"/>
    <w:rsid w:val="00E01EB5"/>
    <w:rsid w:val="00E01F35"/>
    <w:rsid w:val="00E01F86"/>
    <w:rsid w:val="00E01FB9"/>
    <w:rsid w:val="00E01FCC"/>
    <w:rsid w:val="00E0205F"/>
    <w:rsid w:val="00E0208A"/>
    <w:rsid w:val="00E020F6"/>
    <w:rsid w:val="00E0213B"/>
    <w:rsid w:val="00E021D8"/>
    <w:rsid w:val="00E021F5"/>
    <w:rsid w:val="00E0220B"/>
    <w:rsid w:val="00E02222"/>
    <w:rsid w:val="00E0227C"/>
    <w:rsid w:val="00E0229F"/>
    <w:rsid w:val="00E022BA"/>
    <w:rsid w:val="00E0230D"/>
    <w:rsid w:val="00E02376"/>
    <w:rsid w:val="00E023A5"/>
    <w:rsid w:val="00E023AE"/>
    <w:rsid w:val="00E023CE"/>
    <w:rsid w:val="00E0244B"/>
    <w:rsid w:val="00E0248E"/>
    <w:rsid w:val="00E024BB"/>
    <w:rsid w:val="00E02533"/>
    <w:rsid w:val="00E02594"/>
    <w:rsid w:val="00E0259A"/>
    <w:rsid w:val="00E026B8"/>
    <w:rsid w:val="00E026E7"/>
    <w:rsid w:val="00E02734"/>
    <w:rsid w:val="00E02756"/>
    <w:rsid w:val="00E02769"/>
    <w:rsid w:val="00E02774"/>
    <w:rsid w:val="00E02779"/>
    <w:rsid w:val="00E027B8"/>
    <w:rsid w:val="00E02878"/>
    <w:rsid w:val="00E0293D"/>
    <w:rsid w:val="00E02996"/>
    <w:rsid w:val="00E029A1"/>
    <w:rsid w:val="00E029A4"/>
    <w:rsid w:val="00E029E1"/>
    <w:rsid w:val="00E02A0C"/>
    <w:rsid w:val="00E02A24"/>
    <w:rsid w:val="00E02A87"/>
    <w:rsid w:val="00E02A91"/>
    <w:rsid w:val="00E02AAB"/>
    <w:rsid w:val="00E02AED"/>
    <w:rsid w:val="00E02AEF"/>
    <w:rsid w:val="00E02AF0"/>
    <w:rsid w:val="00E02B1A"/>
    <w:rsid w:val="00E02B40"/>
    <w:rsid w:val="00E02BA8"/>
    <w:rsid w:val="00E02BBA"/>
    <w:rsid w:val="00E02BED"/>
    <w:rsid w:val="00E02C93"/>
    <w:rsid w:val="00E02CC4"/>
    <w:rsid w:val="00E02E17"/>
    <w:rsid w:val="00E02E2B"/>
    <w:rsid w:val="00E02E6B"/>
    <w:rsid w:val="00E02E7C"/>
    <w:rsid w:val="00E02E8F"/>
    <w:rsid w:val="00E02ED4"/>
    <w:rsid w:val="00E02EDB"/>
    <w:rsid w:val="00E02EEA"/>
    <w:rsid w:val="00E02F43"/>
    <w:rsid w:val="00E02FFC"/>
    <w:rsid w:val="00E03045"/>
    <w:rsid w:val="00E03080"/>
    <w:rsid w:val="00E030E0"/>
    <w:rsid w:val="00E0310D"/>
    <w:rsid w:val="00E03157"/>
    <w:rsid w:val="00E0315B"/>
    <w:rsid w:val="00E03175"/>
    <w:rsid w:val="00E0319A"/>
    <w:rsid w:val="00E0325E"/>
    <w:rsid w:val="00E0329E"/>
    <w:rsid w:val="00E032A3"/>
    <w:rsid w:val="00E032D4"/>
    <w:rsid w:val="00E03317"/>
    <w:rsid w:val="00E03322"/>
    <w:rsid w:val="00E033D7"/>
    <w:rsid w:val="00E033E0"/>
    <w:rsid w:val="00E033E7"/>
    <w:rsid w:val="00E03422"/>
    <w:rsid w:val="00E0344E"/>
    <w:rsid w:val="00E036AD"/>
    <w:rsid w:val="00E03748"/>
    <w:rsid w:val="00E0375F"/>
    <w:rsid w:val="00E037EC"/>
    <w:rsid w:val="00E03809"/>
    <w:rsid w:val="00E03837"/>
    <w:rsid w:val="00E0385A"/>
    <w:rsid w:val="00E038A3"/>
    <w:rsid w:val="00E038A8"/>
    <w:rsid w:val="00E038BE"/>
    <w:rsid w:val="00E03956"/>
    <w:rsid w:val="00E039DA"/>
    <w:rsid w:val="00E03A06"/>
    <w:rsid w:val="00E03ACA"/>
    <w:rsid w:val="00E03AFF"/>
    <w:rsid w:val="00E03BBC"/>
    <w:rsid w:val="00E03C15"/>
    <w:rsid w:val="00E03C57"/>
    <w:rsid w:val="00E03C5F"/>
    <w:rsid w:val="00E03CB3"/>
    <w:rsid w:val="00E03CF3"/>
    <w:rsid w:val="00E03D03"/>
    <w:rsid w:val="00E03D28"/>
    <w:rsid w:val="00E03D4D"/>
    <w:rsid w:val="00E03D8D"/>
    <w:rsid w:val="00E03DBE"/>
    <w:rsid w:val="00E03E34"/>
    <w:rsid w:val="00E03E7D"/>
    <w:rsid w:val="00E03E87"/>
    <w:rsid w:val="00E03EA0"/>
    <w:rsid w:val="00E03EA3"/>
    <w:rsid w:val="00E03F05"/>
    <w:rsid w:val="00E03F9B"/>
    <w:rsid w:val="00E0407A"/>
    <w:rsid w:val="00E04089"/>
    <w:rsid w:val="00E040B9"/>
    <w:rsid w:val="00E040BC"/>
    <w:rsid w:val="00E04108"/>
    <w:rsid w:val="00E0411B"/>
    <w:rsid w:val="00E04131"/>
    <w:rsid w:val="00E04183"/>
    <w:rsid w:val="00E04288"/>
    <w:rsid w:val="00E0429C"/>
    <w:rsid w:val="00E042C4"/>
    <w:rsid w:val="00E04315"/>
    <w:rsid w:val="00E0431D"/>
    <w:rsid w:val="00E043A2"/>
    <w:rsid w:val="00E04426"/>
    <w:rsid w:val="00E0445F"/>
    <w:rsid w:val="00E04481"/>
    <w:rsid w:val="00E044F1"/>
    <w:rsid w:val="00E044F5"/>
    <w:rsid w:val="00E04543"/>
    <w:rsid w:val="00E04566"/>
    <w:rsid w:val="00E04585"/>
    <w:rsid w:val="00E0464C"/>
    <w:rsid w:val="00E046B0"/>
    <w:rsid w:val="00E046DF"/>
    <w:rsid w:val="00E046E4"/>
    <w:rsid w:val="00E04719"/>
    <w:rsid w:val="00E04745"/>
    <w:rsid w:val="00E04763"/>
    <w:rsid w:val="00E04776"/>
    <w:rsid w:val="00E0478F"/>
    <w:rsid w:val="00E047D4"/>
    <w:rsid w:val="00E047F3"/>
    <w:rsid w:val="00E0488F"/>
    <w:rsid w:val="00E048A9"/>
    <w:rsid w:val="00E048CC"/>
    <w:rsid w:val="00E048DD"/>
    <w:rsid w:val="00E048F2"/>
    <w:rsid w:val="00E0491A"/>
    <w:rsid w:val="00E0495D"/>
    <w:rsid w:val="00E04A18"/>
    <w:rsid w:val="00E04A85"/>
    <w:rsid w:val="00E04B56"/>
    <w:rsid w:val="00E04B9A"/>
    <w:rsid w:val="00E04BB0"/>
    <w:rsid w:val="00E04BE7"/>
    <w:rsid w:val="00E04C00"/>
    <w:rsid w:val="00E04C12"/>
    <w:rsid w:val="00E04C20"/>
    <w:rsid w:val="00E04C56"/>
    <w:rsid w:val="00E04C65"/>
    <w:rsid w:val="00E04C7B"/>
    <w:rsid w:val="00E04C96"/>
    <w:rsid w:val="00E04CDA"/>
    <w:rsid w:val="00E04CE1"/>
    <w:rsid w:val="00E04D1A"/>
    <w:rsid w:val="00E04D91"/>
    <w:rsid w:val="00E04DAF"/>
    <w:rsid w:val="00E04DE7"/>
    <w:rsid w:val="00E04EF5"/>
    <w:rsid w:val="00E04F01"/>
    <w:rsid w:val="00E04F0A"/>
    <w:rsid w:val="00E04F75"/>
    <w:rsid w:val="00E04F8B"/>
    <w:rsid w:val="00E04FDB"/>
    <w:rsid w:val="00E0502E"/>
    <w:rsid w:val="00E0503F"/>
    <w:rsid w:val="00E050B7"/>
    <w:rsid w:val="00E050B9"/>
    <w:rsid w:val="00E0516E"/>
    <w:rsid w:val="00E051DC"/>
    <w:rsid w:val="00E05205"/>
    <w:rsid w:val="00E05274"/>
    <w:rsid w:val="00E052C5"/>
    <w:rsid w:val="00E052EE"/>
    <w:rsid w:val="00E05337"/>
    <w:rsid w:val="00E05350"/>
    <w:rsid w:val="00E05393"/>
    <w:rsid w:val="00E053A6"/>
    <w:rsid w:val="00E053C6"/>
    <w:rsid w:val="00E05434"/>
    <w:rsid w:val="00E05449"/>
    <w:rsid w:val="00E0544C"/>
    <w:rsid w:val="00E05457"/>
    <w:rsid w:val="00E05467"/>
    <w:rsid w:val="00E05497"/>
    <w:rsid w:val="00E054A3"/>
    <w:rsid w:val="00E054E3"/>
    <w:rsid w:val="00E05565"/>
    <w:rsid w:val="00E05592"/>
    <w:rsid w:val="00E055A3"/>
    <w:rsid w:val="00E055CE"/>
    <w:rsid w:val="00E055F4"/>
    <w:rsid w:val="00E0562E"/>
    <w:rsid w:val="00E0567B"/>
    <w:rsid w:val="00E05705"/>
    <w:rsid w:val="00E0570C"/>
    <w:rsid w:val="00E05751"/>
    <w:rsid w:val="00E0576B"/>
    <w:rsid w:val="00E05789"/>
    <w:rsid w:val="00E057BC"/>
    <w:rsid w:val="00E057E4"/>
    <w:rsid w:val="00E057E7"/>
    <w:rsid w:val="00E057EC"/>
    <w:rsid w:val="00E0586D"/>
    <w:rsid w:val="00E058FB"/>
    <w:rsid w:val="00E0592F"/>
    <w:rsid w:val="00E05946"/>
    <w:rsid w:val="00E05952"/>
    <w:rsid w:val="00E0596E"/>
    <w:rsid w:val="00E05A1A"/>
    <w:rsid w:val="00E05A1B"/>
    <w:rsid w:val="00E05A5F"/>
    <w:rsid w:val="00E05A68"/>
    <w:rsid w:val="00E05A7B"/>
    <w:rsid w:val="00E05A94"/>
    <w:rsid w:val="00E05AF9"/>
    <w:rsid w:val="00E05B1E"/>
    <w:rsid w:val="00E05BBA"/>
    <w:rsid w:val="00E05C77"/>
    <w:rsid w:val="00E05D08"/>
    <w:rsid w:val="00E05D4B"/>
    <w:rsid w:val="00E05D7F"/>
    <w:rsid w:val="00E05DE4"/>
    <w:rsid w:val="00E05E1A"/>
    <w:rsid w:val="00E05E2D"/>
    <w:rsid w:val="00E05E4D"/>
    <w:rsid w:val="00E05ED9"/>
    <w:rsid w:val="00E05F4D"/>
    <w:rsid w:val="00E05F6C"/>
    <w:rsid w:val="00E05F9E"/>
    <w:rsid w:val="00E06031"/>
    <w:rsid w:val="00E06076"/>
    <w:rsid w:val="00E060E2"/>
    <w:rsid w:val="00E061F3"/>
    <w:rsid w:val="00E06224"/>
    <w:rsid w:val="00E0633F"/>
    <w:rsid w:val="00E06358"/>
    <w:rsid w:val="00E06399"/>
    <w:rsid w:val="00E063A9"/>
    <w:rsid w:val="00E06402"/>
    <w:rsid w:val="00E06409"/>
    <w:rsid w:val="00E0641C"/>
    <w:rsid w:val="00E0649D"/>
    <w:rsid w:val="00E06514"/>
    <w:rsid w:val="00E06553"/>
    <w:rsid w:val="00E06610"/>
    <w:rsid w:val="00E06616"/>
    <w:rsid w:val="00E0661E"/>
    <w:rsid w:val="00E066E6"/>
    <w:rsid w:val="00E06739"/>
    <w:rsid w:val="00E06750"/>
    <w:rsid w:val="00E067BD"/>
    <w:rsid w:val="00E0684D"/>
    <w:rsid w:val="00E06878"/>
    <w:rsid w:val="00E068A9"/>
    <w:rsid w:val="00E068C1"/>
    <w:rsid w:val="00E06989"/>
    <w:rsid w:val="00E069A2"/>
    <w:rsid w:val="00E069FD"/>
    <w:rsid w:val="00E06A41"/>
    <w:rsid w:val="00E06A7D"/>
    <w:rsid w:val="00E06A95"/>
    <w:rsid w:val="00E06AC7"/>
    <w:rsid w:val="00E06B09"/>
    <w:rsid w:val="00E06B41"/>
    <w:rsid w:val="00E06BBA"/>
    <w:rsid w:val="00E06BCC"/>
    <w:rsid w:val="00E06BCF"/>
    <w:rsid w:val="00E06BD0"/>
    <w:rsid w:val="00E06BDB"/>
    <w:rsid w:val="00E06BE9"/>
    <w:rsid w:val="00E06C00"/>
    <w:rsid w:val="00E06C3D"/>
    <w:rsid w:val="00E06C83"/>
    <w:rsid w:val="00E06C85"/>
    <w:rsid w:val="00E06CCC"/>
    <w:rsid w:val="00E06D39"/>
    <w:rsid w:val="00E06D3C"/>
    <w:rsid w:val="00E06D54"/>
    <w:rsid w:val="00E06D9B"/>
    <w:rsid w:val="00E06E0A"/>
    <w:rsid w:val="00E06E19"/>
    <w:rsid w:val="00E06EBF"/>
    <w:rsid w:val="00E06F12"/>
    <w:rsid w:val="00E06F45"/>
    <w:rsid w:val="00E0702A"/>
    <w:rsid w:val="00E0703D"/>
    <w:rsid w:val="00E07081"/>
    <w:rsid w:val="00E0716A"/>
    <w:rsid w:val="00E071A2"/>
    <w:rsid w:val="00E071AE"/>
    <w:rsid w:val="00E071C9"/>
    <w:rsid w:val="00E071DF"/>
    <w:rsid w:val="00E071EA"/>
    <w:rsid w:val="00E07218"/>
    <w:rsid w:val="00E0721C"/>
    <w:rsid w:val="00E0723E"/>
    <w:rsid w:val="00E07252"/>
    <w:rsid w:val="00E0729F"/>
    <w:rsid w:val="00E07300"/>
    <w:rsid w:val="00E07329"/>
    <w:rsid w:val="00E07349"/>
    <w:rsid w:val="00E073D9"/>
    <w:rsid w:val="00E07435"/>
    <w:rsid w:val="00E0745E"/>
    <w:rsid w:val="00E074A1"/>
    <w:rsid w:val="00E0753C"/>
    <w:rsid w:val="00E07553"/>
    <w:rsid w:val="00E07629"/>
    <w:rsid w:val="00E076C5"/>
    <w:rsid w:val="00E0774C"/>
    <w:rsid w:val="00E077B2"/>
    <w:rsid w:val="00E077CB"/>
    <w:rsid w:val="00E0781D"/>
    <w:rsid w:val="00E07833"/>
    <w:rsid w:val="00E0794B"/>
    <w:rsid w:val="00E0796C"/>
    <w:rsid w:val="00E0797D"/>
    <w:rsid w:val="00E07984"/>
    <w:rsid w:val="00E0799D"/>
    <w:rsid w:val="00E079D3"/>
    <w:rsid w:val="00E079D7"/>
    <w:rsid w:val="00E07A98"/>
    <w:rsid w:val="00E07A9C"/>
    <w:rsid w:val="00E07AF1"/>
    <w:rsid w:val="00E07B11"/>
    <w:rsid w:val="00E07B4D"/>
    <w:rsid w:val="00E07B6B"/>
    <w:rsid w:val="00E07B6D"/>
    <w:rsid w:val="00E07B7B"/>
    <w:rsid w:val="00E07B9C"/>
    <w:rsid w:val="00E07BC9"/>
    <w:rsid w:val="00E07C94"/>
    <w:rsid w:val="00E07CC6"/>
    <w:rsid w:val="00E07D22"/>
    <w:rsid w:val="00E07D23"/>
    <w:rsid w:val="00E07D51"/>
    <w:rsid w:val="00E07D52"/>
    <w:rsid w:val="00E07E40"/>
    <w:rsid w:val="00E07E44"/>
    <w:rsid w:val="00E07E92"/>
    <w:rsid w:val="00E07EE2"/>
    <w:rsid w:val="00E07F60"/>
    <w:rsid w:val="00E07FB4"/>
    <w:rsid w:val="00E07FBF"/>
    <w:rsid w:val="00E07FCD"/>
    <w:rsid w:val="00E10049"/>
    <w:rsid w:val="00E10096"/>
    <w:rsid w:val="00E100BA"/>
    <w:rsid w:val="00E100BC"/>
    <w:rsid w:val="00E100C0"/>
    <w:rsid w:val="00E10166"/>
    <w:rsid w:val="00E101B8"/>
    <w:rsid w:val="00E101C5"/>
    <w:rsid w:val="00E101C7"/>
    <w:rsid w:val="00E101DB"/>
    <w:rsid w:val="00E101E9"/>
    <w:rsid w:val="00E1022E"/>
    <w:rsid w:val="00E10248"/>
    <w:rsid w:val="00E10371"/>
    <w:rsid w:val="00E1037E"/>
    <w:rsid w:val="00E10381"/>
    <w:rsid w:val="00E1048F"/>
    <w:rsid w:val="00E104BC"/>
    <w:rsid w:val="00E10558"/>
    <w:rsid w:val="00E10571"/>
    <w:rsid w:val="00E10586"/>
    <w:rsid w:val="00E105BC"/>
    <w:rsid w:val="00E1063F"/>
    <w:rsid w:val="00E106D7"/>
    <w:rsid w:val="00E106FD"/>
    <w:rsid w:val="00E10727"/>
    <w:rsid w:val="00E10740"/>
    <w:rsid w:val="00E107F3"/>
    <w:rsid w:val="00E10823"/>
    <w:rsid w:val="00E10855"/>
    <w:rsid w:val="00E1095A"/>
    <w:rsid w:val="00E10963"/>
    <w:rsid w:val="00E10990"/>
    <w:rsid w:val="00E10A59"/>
    <w:rsid w:val="00E10A74"/>
    <w:rsid w:val="00E10A86"/>
    <w:rsid w:val="00E10A95"/>
    <w:rsid w:val="00E10AD5"/>
    <w:rsid w:val="00E10AD7"/>
    <w:rsid w:val="00E10AE2"/>
    <w:rsid w:val="00E10B64"/>
    <w:rsid w:val="00E10B7E"/>
    <w:rsid w:val="00E10C84"/>
    <w:rsid w:val="00E10CA7"/>
    <w:rsid w:val="00E10CB2"/>
    <w:rsid w:val="00E10CD3"/>
    <w:rsid w:val="00E10CD6"/>
    <w:rsid w:val="00E10D24"/>
    <w:rsid w:val="00E10DA5"/>
    <w:rsid w:val="00E10DB0"/>
    <w:rsid w:val="00E10DB3"/>
    <w:rsid w:val="00E10DEB"/>
    <w:rsid w:val="00E10E07"/>
    <w:rsid w:val="00E10E36"/>
    <w:rsid w:val="00E10E4B"/>
    <w:rsid w:val="00E10F16"/>
    <w:rsid w:val="00E10F44"/>
    <w:rsid w:val="00E10F4F"/>
    <w:rsid w:val="00E10F5D"/>
    <w:rsid w:val="00E11003"/>
    <w:rsid w:val="00E110F4"/>
    <w:rsid w:val="00E11102"/>
    <w:rsid w:val="00E1110E"/>
    <w:rsid w:val="00E1118B"/>
    <w:rsid w:val="00E111AC"/>
    <w:rsid w:val="00E1123F"/>
    <w:rsid w:val="00E11294"/>
    <w:rsid w:val="00E1129A"/>
    <w:rsid w:val="00E112F3"/>
    <w:rsid w:val="00E11309"/>
    <w:rsid w:val="00E11361"/>
    <w:rsid w:val="00E113EA"/>
    <w:rsid w:val="00E1141E"/>
    <w:rsid w:val="00E114EF"/>
    <w:rsid w:val="00E1154E"/>
    <w:rsid w:val="00E115A7"/>
    <w:rsid w:val="00E115A9"/>
    <w:rsid w:val="00E11605"/>
    <w:rsid w:val="00E11635"/>
    <w:rsid w:val="00E11638"/>
    <w:rsid w:val="00E11649"/>
    <w:rsid w:val="00E11676"/>
    <w:rsid w:val="00E1179D"/>
    <w:rsid w:val="00E117B9"/>
    <w:rsid w:val="00E117BD"/>
    <w:rsid w:val="00E11800"/>
    <w:rsid w:val="00E119F9"/>
    <w:rsid w:val="00E11A1F"/>
    <w:rsid w:val="00E11A2B"/>
    <w:rsid w:val="00E11A6A"/>
    <w:rsid w:val="00E11A9D"/>
    <w:rsid w:val="00E11AB0"/>
    <w:rsid w:val="00E11AC9"/>
    <w:rsid w:val="00E11B16"/>
    <w:rsid w:val="00E11B46"/>
    <w:rsid w:val="00E11B91"/>
    <w:rsid w:val="00E11BC2"/>
    <w:rsid w:val="00E11BCC"/>
    <w:rsid w:val="00E11C99"/>
    <w:rsid w:val="00E11D1E"/>
    <w:rsid w:val="00E11D3E"/>
    <w:rsid w:val="00E11D92"/>
    <w:rsid w:val="00E11DFB"/>
    <w:rsid w:val="00E11E00"/>
    <w:rsid w:val="00E11E50"/>
    <w:rsid w:val="00E11E95"/>
    <w:rsid w:val="00E11EB3"/>
    <w:rsid w:val="00E1201E"/>
    <w:rsid w:val="00E1207C"/>
    <w:rsid w:val="00E12091"/>
    <w:rsid w:val="00E120BB"/>
    <w:rsid w:val="00E12116"/>
    <w:rsid w:val="00E12130"/>
    <w:rsid w:val="00E121D5"/>
    <w:rsid w:val="00E121DC"/>
    <w:rsid w:val="00E121E1"/>
    <w:rsid w:val="00E121E8"/>
    <w:rsid w:val="00E121FB"/>
    <w:rsid w:val="00E1220D"/>
    <w:rsid w:val="00E1220F"/>
    <w:rsid w:val="00E1225C"/>
    <w:rsid w:val="00E12277"/>
    <w:rsid w:val="00E1229C"/>
    <w:rsid w:val="00E122A5"/>
    <w:rsid w:val="00E122C4"/>
    <w:rsid w:val="00E122CF"/>
    <w:rsid w:val="00E12301"/>
    <w:rsid w:val="00E123C2"/>
    <w:rsid w:val="00E1244D"/>
    <w:rsid w:val="00E12529"/>
    <w:rsid w:val="00E12532"/>
    <w:rsid w:val="00E12606"/>
    <w:rsid w:val="00E12620"/>
    <w:rsid w:val="00E12638"/>
    <w:rsid w:val="00E12721"/>
    <w:rsid w:val="00E12747"/>
    <w:rsid w:val="00E12749"/>
    <w:rsid w:val="00E12771"/>
    <w:rsid w:val="00E127C0"/>
    <w:rsid w:val="00E1280D"/>
    <w:rsid w:val="00E12850"/>
    <w:rsid w:val="00E1289B"/>
    <w:rsid w:val="00E12920"/>
    <w:rsid w:val="00E12946"/>
    <w:rsid w:val="00E12947"/>
    <w:rsid w:val="00E129C1"/>
    <w:rsid w:val="00E12A16"/>
    <w:rsid w:val="00E12A1A"/>
    <w:rsid w:val="00E12AF5"/>
    <w:rsid w:val="00E12B24"/>
    <w:rsid w:val="00E12B97"/>
    <w:rsid w:val="00E12C13"/>
    <w:rsid w:val="00E12C30"/>
    <w:rsid w:val="00E12C32"/>
    <w:rsid w:val="00E12C55"/>
    <w:rsid w:val="00E12C88"/>
    <w:rsid w:val="00E12CA3"/>
    <w:rsid w:val="00E12CBE"/>
    <w:rsid w:val="00E12D1A"/>
    <w:rsid w:val="00E12D4D"/>
    <w:rsid w:val="00E12E96"/>
    <w:rsid w:val="00E12E9E"/>
    <w:rsid w:val="00E12EA7"/>
    <w:rsid w:val="00E12EB0"/>
    <w:rsid w:val="00E12F67"/>
    <w:rsid w:val="00E12FB4"/>
    <w:rsid w:val="00E12FCA"/>
    <w:rsid w:val="00E12FD7"/>
    <w:rsid w:val="00E12FE0"/>
    <w:rsid w:val="00E13009"/>
    <w:rsid w:val="00E1303C"/>
    <w:rsid w:val="00E13047"/>
    <w:rsid w:val="00E130C3"/>
    <w:rsid w:val="00E13180"/>
    <w:rsid w:val="00E1319F"/>
    <w:rsid w:val="00E131F1"/>
    <w:rsid w:val="00E13259"/>
    <w:rsid w:val="00E1328B"/>
    <w:rsid w:val="00E13294"/>
    <w:rsid w:val="00E1336A"/>
    <w:rsid w:val="00E133A3"/>
    <w:rsid w:val="00E133A7"/>
    <w:rsid w:val="00E133FF"/>
    <w:rsid w:val="00E13418"/>
    <w:rsid w:val="00E13478"/>
    <w:rsid w:val="00E134CC"/>
    <w:rsid w:val="00E134FE"/>
    <w:rsid w:val="00E1350A"/>
    <w:rsid w:val="00E13591"/>
    <w:rsid w:val="00E135B9"/>
    <w:rsid w:val="00E13681"/>
    <w:rsid w:val="00E136F0"/>
    <w:rsid w:val="00E13712"/>
    <w:rsid w:val="00E1377E"/>
    <w:rsid w:val="00E13796"/>
    <w:rsid w:val="00E137AC"/>
    <w:rsid w:val="00E137B8"/>
    <w:rsid w:val="00E137BA"/>
    <w:rsid w:val="00E137E5"/>
    <w:rsid w:val="00E13804"/>
    <w:rsid w:val="00E13812"/>
    <w:rsid w:val="00E1383A"/>
    <w:rsid w:val="00E13892"/>
    <w:rsid w:val="00E13894"/>
    <w:rsid w:val="00E13899"/>
    <w:rsid w:val="00E138F3"/>
    <w:rsid w:val="00E13945"/>
    <w:rsid w:val="00E13976"/>
    <w:rsid w:val="00E139C0"/>
    <w:rsid w:val="00E139DC"/>
    <w:rsid w:val="00E13A4F"/>
    <w:rsid w:val="00E13A7B"/>
    <w:rsid w:val="00E13AE5"/>
    <w:rsid w:val="00E13B2C"/>
    <w:rsid w:val="00E13B6B"/>
    <w:rsid w:val="00E13BF5"/>
    <w:rsid w:val="00E13C19"/>
    <w:rsid w:val="00E13C1A"/>
    <w:rsid w:val="00E13C48"/>
    <w:rsid w:val="00E13C96"/>
    <w:rsid w:val="00E13CC9"/>
    <w:rsid w:val="00E13D48"/>
    <w:rsid w:val="00E13E76"/>
    <w:rsid w:val="00E13F56"/>
    <w:rsid w:val="00E13F64"/>
    <w:rsid w:val="00E13FDD"/>
    <w:rsid w:val="00E13FF9"/>
    <w:rsid w:val="00E13FFB"/>
    <w:rsid w:val="00E14023"/>
    <w:rsid w:val="00E1408B"/>
    <w:rsid w:val="00E140C3"/>
    <w:rsid w:val="00E140D6"/>
    <w:rsid w:val="00E1416F"/>
    <w:rsid w:val="00E141E1"/>
    <w:rsid w:val="00E14224"/>
    <w:rsid w:val="00E14294"/>
    <w:rsid w:val="00E1435A"/>
    <w:rsid w:val="00E1438E"/>
    <w:rsid w:val="00E1443C"/>
    <w:rsid w:val="00E1445F"/>
    <w:rsid w:val="00E14460"/>
    <w:rsid w:val="00E144CA"/>
    <w:rsid w:val="00E144D7"/>
    <w:rsid w:val="00E14510"/>
    <w:rsid w:val="00E14618"/>
    <w:rsid w:val="00E1462E"/>
    <w:rsid w:val="00E1466D"/>
    <w:rsid w:val="00E146AF"/>
    <w:rsid w:val="00E1470F"/>
    <w:rsid w:val="00E1473A"/>
    <w:rsid w:val="00E1475B"/>
    <w:rsid w:val="00E147E2"/>
    <w:rsid w:val="00E147EB"/>
    <w:rsid w:val="00E147EC"/>
    <w:rsid w:val="00E14865"/>
    <w:rsid w:val="00E14880"/>
    <w:rsid w:val="00E14884"/>
    <w:rsid w:val="00E148C8"/>
    <w:rsid w:val="00E148E5"/>
    <w:rsid w:val="00E148EB"/>
    <w:rsid w:val="00E14916"/>
    <w:rsid w:val="00E14978"/>
    <w:rsid w:val="00E1498F"/>
    <w:rsid w:val="00E149B3"/>
    <w:rsid w:val="00E149FD"/>
    <w:rsid w:val="00E14A41"/>
    <w:rsid w:val="00E14AB9"/>
    <w:rsid w:val="00E14B14"/>
    <w:rsid w:val="00E14B30"/>
    <w:rsid w:val="00E14B8D"/>
    <w:rsid w:val="00E14BEA"/>
    <w:rsid w:val="00E14C65"/>
    <w:rsid w:val="00E14C7C"/>
    <w:rsid w:val="00E14CE6"/>
    <w:rsid w:val="00E14D07"/>
    <w:rsid w:val="00E14D12"/>
    <w:rsid w:val="00E14D67"/>
    <w:rsid w:val="00E14DB2"/>
    <w:rsid w:val="00E14E52"/>
    <w:rsid w:val="00E14E5D"/>
    <w:rsid w:val="00E14EF3"/>
    <w:rsid w:val="00E14FCB"/>
    <w:rsid w:val="00E14FCC"/>
    <w:rsid w:val="00E1501D"/>
    <w:rsid w:val="00E1506F"/>
    <w:rsid w:val="00E15098"/>
    <w:rsid w:val="00E150E2"/>
    <w:rsid w:val="00E150E9"/>
    <w:rsid w:val="00E150F1"/>
    <w:rsid w:val="00E15120"/>
    <w:rsid w:val="00E1516E"/>
    <w:rsid w:val="00E1519D"/>
    <w:rsid w:val="00E15225"/>
    <w:rsid w:val="00E15247"/>
    <w:rsid w:val="00E1527A"/>
    <w:rsid w:val="00E153A1"/>
    <w:rsid w:val="00E15412"/>
    <w:rsid w:val="00E154F0"/>
    <w:rsid w:val="00E1550F"/>
    <w:rsid w:val="00E15516"/>
    <w:rsid w:val="00E15564"/>
    <w:rsid w:val="00E15597"/>
    <w:rsid w:val="00E15650"/>
    <w:rsid w:val="00E15664"/>
    <w:rsid w:val="00E156B5"/>
    <w:rsid w:val="00E156E5"/>
    <w:rsid w:val="00E157B2"/>
    <w:rsid w:val="00E157BD"/>
    <w:rsid w:val="00E15808"/>
    <w:rsid w:val="00E15831"/>
    <w:rsid w:val="00E15839"/>
    <w:rsid w:val="00E1587B"/>
    <w:rsid w:val="00E158E8"/>
    <w:rsid w:val="00E158EC"/>
    <w:rsid w:val="00E1592E"/>
    <w:rsid w:val="00E15933"/>
    <w:rsid w:val="00E159C6"/>
    <w:rsid w:val="00E15A0C"/>
    <w:rsid w:val="00E15A54"/>
    <w:rsid w:val="00E15A70"/>
    <w:rsid w:val="00E15A8D"/>
    <w:rsid w:val="00E15AB1"/>
    <w:rsid w:val="00E15AB6"/>
    <w:rsid w:val="00E15B2B"/>
    <w:rsid w:val="00E15B8C"/>
    <w:rsid w:val="00E15BC9"/>
    <w:rsid w:val="00E15C15"/>
    <w:rsid w:val="00E15C4C"/>
    <w:rsid w:val="00E15C67"/>
    <w:rsid w:val="00E15D3B"/>
    <w:rsid w:val="00E15D8D"/>
    <w:rsid w:val="00E15DC0"/>
    <w:rsid w:val="00E15EDF"/>
    <w:rsid w:val="00E15F2E"/>
    <w:rsid w:val="00E15F76"/>
    <w:rsid w:val="00E16026"/>
    <w:rsid w:val="00E16049"/>
    <w:rsid w:val="00E16062"/>
    <w:rsid w:val="00E160B4"/>
    <w:rsid w:val="00E161D1"/>
    <w:rsid w:val="00E16222"/>
    <w:rsid w:val="00E1627C"/>
    <w:rsid w:val="00E1634A"/>
    <w:rsid w:val="00E16388"/>
    <w:rsid w:val="00E16475"/>
    <w:rsid w:val="00E164A9"/>
    <w:rsid w:val="00E164FA"/>
    <w:rsid w:val="00E16528"/>
    <w:rsid w:val="00E1655F"/>
    <w:rsid w:val="00E16576"/>
    <w:rsid w:val="00E165F2"/>
    <w:rsid w:val="00E1661F"/>
    <w:rsid w:val="00E16626"/>
    <w:rsid w:val="00E1663F"/>
    <w:rsid w:val="00E1668A"/>
    <w:rsid w:val="00E166A1"/>
    <w:rsid w:val="00E166A7"/>
    <w:rsid w:val="00E166B6"/>
    <w:rsid w:val="00E166E1"/>
    <w:rsid w:val="00E16754"/>
    <w:rsid w:val="00E16817"/>
    <w:rsid w:val="00E1682E"/>
    <w:rsid w:val="00E168F5"/>
    <w:rsid w:val="00E16957"/>
    <w:rsid w:val="00E16982"/>
    <w:rsid w:val="00E1699D"/>
    <w:rsid w:val="00E169C0"/>
    <w:rsid w:val="00E16A25"/>
    <w:rsid w:val="00E16A70"/>
    <w:rsid w:val="00E16AC1"/>
    <w:rsid w:val="00E16AF3"/>
    <w:rsid w:val="00E16B0A"/>
    <w:rsid w:val="00E16B37"/>
    <w:rsid w:val="00E16B57"/>
    <w:rsid w:val="00E16B91"/>
    <w:rsid w:val="00E16BD8"/>
    <w:rsid w:val="00E16BF0"/>
    <w:rsid w:val="00E16C1B"/>
    <w:rsid w:val="00E16C4F"/>
    <w:rsid w:val="00E16C7D"/>
    <w:rsid w:val="00E16D38"/>
    <w:rsid w:val="00E16DD0"/>
    <w:rsid w:val="00E16DFA"/>
    <w:rsid w:val="00E16E8E"/>
    <w:rsid w:val="00E16F1E"/>
    <w:rsid w:val="00E16F7B"/>
    <w:rsid w:val="00E16FAB"/>
    <w:rsid w:val="00E16FFC"/>
    <w:rsid w:val="00E1702C"/>
    <w:rsid w:val="00E171BF"/>
    <w:rsid w:val="00E171D1"/>
    <w:rsid w:val="00E17260"/>
    <w:rsid w:val="00E17302"/>
    <w:rsid w:val="00E17324"/>
    <w:rsid w:val="00E1736A"/>
    <w:rsid w:val="00E1746F"/>
    <w:rsid w:val="00E174CD"/>
    <w:rsid w:val="00E174EA"/>
    <w:rsid w:val="00E174EC"/>
    <w:rsid w:val="00E175F4"/>
    <w:rsid w:val="00E175FE"/>
    <w:rsid w:val="00E1762F"/>
    <w:rsid w:val="00E17641"/>
    <w:rsid w:val="00E1769C"/>
    <w:rsid w:val="00E1769F"/>
    <w:rsid w:val="00E176A1"/>
    <w:rsid w:val="00E176EB"/>
    <w:rsid w:val="00E1771A"/>
    <w:rsid w:val="00E1772A"/>
    <w:rsid w:val="00E17752"/>
    <w:rsid w:val="00E17760"/>
    <w:rsid w:val="00E17899"/>
    <w:rsid w:val="00E178DE"/>
    <w:rsid w:val="00E17911"/>
    <w:rsid w:val="00E1794B"/>
    <w:rsid w:val="00E179DD"/>
    <w:rsid w:val="00E179E5"/>
    <w:rsid w:val="00E179E7"/>
    <w:rsid w:val="00E17A14"/>
    <w:rsid w:val="00E17A6F"/>
    <w:rsid w:val="00E17A95"/>
    <w:rsid w:val="00E17B18"/>
    <w:rsid w:val="00E17B22"/>
    <w:rsid w:val="00E17B3D"/>
    <w:rsid w:val="00E17B78"/>
    <w:rsid w:val="00E17B81"/>
    <w:rsid w:val="00E17BB8"/>
    <w:rsid w:val="00E17BBF"/>
    <w:rsid w:val="00E17BD4"/>
    <w:rsid w:val="00E17BE4"/>
    <w:rsid w:val="00E17C83"/>
    <w:rsid w:val="00E17D0B"/>
    <w:rsid w:val="00E17D5A"/>
    <w:rsid w:val="00E17D75"/>
    <w:rsid w:val="00E17D7D"/>
    <w:rsid w:val="00E17DC8"/>
    <w:rsid w:val="00E17E20"/>
    <w:rsid w:val="00E17E2F"/>
    <w:rsid w:val="00E17E6D"/>
    <w:rsid w:val="00E17E8E"/>
    <w:rsid w:val="00E17E9B"/>
    <w:rsid w:val="00E17E9D"/>
    <w:rsid w:val="00E17EB4"/>
    <w:rsid w:val="00E17F22"/>
    <w:rsid w:val="00E17F2A"/>
    <w:rsid w:val="00E17F61"/>
    <w:rsid w:val="00E17FB6"/>
    <w:rsid w:val="00E17FB7"/>
    <w:rsid w:val="00E20062"/>
    <w:rsid w:val="00E2008A"/>
    <w:rsid w:val="00E20098"/>
    <w:rsid w:val="00E20175"/>
    <w:rsid w:val="00E2021B"/>
    <w:rsid w:val="00E203E8"/>
    <w:rsid w:val="00E20416"/>
    <w:rsid w:val="00E2046A"/>
    <w:rsid w:val="00E20473"/>
    <w:rsid w:val="00E20479"/>
    <w:rsid w:val="00E204A2"/>
    <w:rsid w:val="00E205B7"/>
    <w:rsid w:val="00E205D6"/>
    <w:rsid w:val="00E20615"/>
    <w:rsid w:val="00E20618"/>
    <w:rsid w:val="00E20633"/>
    <w:rsid w:val="00E206AA"/>
    <w:rsid w:val="00E206D0"/>
    <w:rsid w:val="00E20755"/>
    <w:rsid w:val="00E2076D"/>
    <w:rsid w:val="00E20781"/>
    <w:rsid w:val="00E20795"/>
    <w:rsid w:val="00E207A3"/>
    <w:rsid w:val="00E208A4"/>
    <w:rsid w:val="00E208F6"/>
    <w:rsid w:val="00E20931"/>
    <w:rsid w:val="00E2094D"/>
    <w:rsid w:val="00E20973"/>
    <w:rsid w:val="00E209A1"/>
    <w:rsid w:val="00E209E5"/>
    <w:rsid w:val="00E20A56"/>
    <w:rsid w:val="00E20AD9"/>
    <w:rsid w:val="00E20B12"/>
    <w:rsid w:val="00E20B31"/>
    <w:rsid w:val="00E20B44"/>
    <w:rsid w:val="00E20BB1"/>
    <w:rsid w:val="00E20CB6"/>
    <w:rsid w:val="00E20D84"/>
    <w:rsid w:val="00E20D86"/>
    <w:rsid w:val="00E20D89"/>
    <w:rsid w:val="00E20D96"/>
    <w:rsid w:val="00E20DBD"/>
    <w:rsid w:val="00E20DC8"/>
    <w:rsid w:val="00E20DF2"/>
    <w:rsid w:val="00E20E60"/>
    <w:rsid w:val="00E20EC2"/>
    <w:rsid w:val="00E21017"/>
    <w:rsid w:val="00E2101C"/>
    <w:rsid w:val="00E21049"/>
    <w:rsid w:val="00E21068"/>
    <w:rsid w:val="00E21094"/>
    <w:rsid w:val="00E210EE"/>
    <w:rsid w:val="00E210F6"/>
    <w:rsid w:val="00E21119"/>
    <w:rsid w:val="00E2112E"/>
    <w:rsid w:val="00E2114E"/>
    <w:rsid w:val="00E21194"/>
    <w:rsid w:val="00E211DE"/>
    <w:rsid w:val="00E211EA"/>
    <w:rsid w:val="00E2121C"/>
    <w:rsid w:val="00E21303"/>
    <w:rsid w:val="00E21380"/>
    <w:rsid w:val="00E21385"/>
    <w:rsid w:val="00E21434"/>
    <w:rsid w:val="00E21466"/>
    <w:rsid w:val="00E21482"/>
    <w:rsid w:val="00E215C6"/>
    <w:rsid w:val="00E2167A"/>
    <w:rsid w:val="00E2167E"/>
    <w:rsid w:val="00E2168A"/>
    <w:rsid w:val="00E2169F"/>
    <w:rsid w:val="00E216A3"/>
    <w:rsid w:val="00E216FC"/>
    <w:rsid w:val="00E2176D"/>
    <w:rsid w:val="00E217C8"/>
    <w:rsid w:val="00E217DB"/>
    <w:rsid w:val="00E217E1"/>
    <w:rsid w:val="00E21825"/>
    <w:rsid w:val="00E218A2"/>
    <w:rsid w:val="00E218E8"/>
    <w:rsid w:val="00E218F5"/>
    <w:rsid w:val="00E2190A"/>
    <w:rsid w:val="00E2192E"/>
    <w:rsid w:val="00E21935"/>
    <w:rsid w:val="00E219BD"/>
    <w:rsid w:val="00E219F6"/>
    <w:rsid w:val="00E219FE"/>
    <w:rsid w:val="00E21A43"/>
    <w:rsid w:val="00E21A83"/>
    <w:rsid w:val="00E21B38"/>
    <w:rsid w:val="00E21B5A"/>
    <w:rsid w:val="00E21B80"/>
    <w:rsid w:val="00E21BA6"/>
    <w:rsid w:val="00E21BA9"/>
    <w:rsid w:val="00E21BBC"/>
    <w:rsid w:val="00E21BE8"/>
    <w:rsid w:val="00E21C3C"/>
    <w:rsid w:val="00E21C49"/>
    <w:rsid w:val="00E21C6B"/>
    <w:rsid w:val="00E21CA4"/>
    <w:rsid w:val="00E21DCD"/>
    <w:rsid w:val="00E21DD5"/>
    <w:rsid w:val="00E21DD6"/>
    <w:rsid w:val="00E21E34"/>
    <w:rsid w:val="00E21E82"/>
    <w:rsid w:val="00E21ECA"/>
    <w:rsid w:val="00E21EFE"/>
    <w:rsid w:val="00E21F6B"/>
    <w:rsid w:val="00E21FD0"/>
    <w:rsid w:val="00E22033"/>
    <w:rsid w:val="00E220A3"/>
    <w:rsid w:val="00E220BA"/>
    <w:rsid w:val="00E220C4"/>
    <w:rsid w:val="00E220C9"/>
    <w:rsid w:val="00E220D5"/>
    <w:rsid w:val="00E22132"/>
    <w:rsid w:val="00E2217C"/>
    <w:rsid w:val="00E221C5"/>
    <w:rsid w:val="00E22257"/>
    <w:rsid w:val="00E2227E"/>
    <w:rsid w:val="00E2228C"/>
    <w:rsid w:val="00E222C5"/>
    <w:rsid w:val="00E22300"/>
    <w:rsid w:val="00E2236C"/>
    <w:rsid w:val="00E223C4"/>
    <w:rsid w:val="00E2241A"/>
    <w:rsid w:val="00E22460"/>
    <w:rsid w:val="00E224B8"/>
    <w:rsid w:val="00E2251F"/>
    <w:rsid w:val="00E22585"/>
    <w:rsid w:val="00E22588"/>
    <w:rsid w:val="00E22625"/>
    <w:rsid w:val="00E2266C"/>
    <w:rsid w:val="00E22692"/>
    <w:rsid w:val="00E22694"/>
    <w:rsid w:val="00E2276D"/>
    <w:rsid w:val="00E227AB"/>
    <w:rsid w:val="00E227B1"/>
    <w:rsid w:val="00E22803"/>
    <w:rsid w:val="00E22874"/>
    <w:rsid w:val="00E22882"/>
    <w:rsid w:val="00E228E1"/>
    <w:rsid w:val="00E22909"/>
    <w:rsid w:val="00E2295A"/>
    <w:rsid w:val="00E22A16"/>
    <w:rsid w:val="00E22A44"/>
    <w:rsid w:val="00E22AE4"/>
    <w:rsid w:val="00E22B14"/>
    <w:rsid w:val="00E22B5F"/>
    <w:rsid w:val="00E22B8C"/>
    <w:rsid w:val="00E22C05"/>
    <w:rsid w:val="00E22C4C"/>
    <w:rsid w:val="00E22CBA"/>
    <w:rsid w:val="00E22D1A"/>
    <w:rsid w:val="00E22D4C"/>
    <w:rsid w:val="00E22E3E"/>
    <w:rsid w:val="00E22E5F"/>
    <w:rsid w:val="00E22E63"/>
    <w:rsid w:val="00E22E6C"/>
    <w:rsid w:val="00E22EA2"/>
    <w:rsid w:val="00E22F28"/>
    <w:rsid w:val="00E22F68"/>
    <w:rsid w:val="00E22F72"/>
    <w:rsid w:val="00E2311F"/>
    <w:rsid w:val="00E23165"/>
    <w:rsid w:val="00E2317D"/>
    <w:rsid w:val="00E23216"/>
    <w:rsid w:val="00E2321C"/>
    <w:rsid w:val="00E2329B"/>
    <w:rsid w:val="00E232A6"/>
    <w:rsid w:val="00E232D6"/>
    <w:rsid w:val="00E232E4"/>
    <w:rsid w:val="00E23381"/>
    <w:rsid w:val="00E233A2"/>
    <w:rsid w:val="00E233D1"/>
    <w:rsid w:val="00E233F6"/>
    <w:rsid w:val="00E234FB"/>
    <w:rsid w:val="00E235A1"/>
    <w:rsid w:val="00E23632"/>
    <w:rsid w:val="00E2369E"/>
    <w:rsid w:val="00E237EB"/>
    <w:rsid w:val="00E23892"/>
    <w:rsid w:val="00E238DB"/>
    <w:rsid w:val="00E238DC"/>
    <w:rsid w:val="00E238E3"/>
    <w:rsid w:val="00E23917"/>
    <w:rsid w:val="00E23939"/>
    <w:rsid w:val="00E2395A"/>
    <w:rsid w:val="00E23963"/>
    <w:rsid w:val="00E2397B"/>
    <w:rsid w:val="00E239AD"/>
    <w:rsid w:val="00E239F5"/>
    <w:rsid w:val="00E23A00"/>
    <w:rsid w:val="00E23A11"/>
    <w:rsid w:val="00E23A63"/>
    <w:rsid w:val="00E23A6D"/>
    <w:rsid w:val="00E23AC6"/>
    <w:rsid w:val="00E23B47"/>
    <w:rsid w:val="00E23C6D"/>
    <w:rsid w:val="00E23D12"/>
    <w:rsid w:val="00E23D28"/>
    <w:rsid w:val="00E23D71"/>
    <w:rsid w:val="00E23DED"/>
    <w:rsid w:val="00E23E16"/>
    <w:rsid w:val="00E23EA2"/>
    <w:rsid w:val="00E23EA6"/>
    <w:rsid w:val="00E23F22"/>
    <w:rsid w:val="00E23F39"/>
    <w:rsid w:val="00E23F62"/>
    <w:rsid w:val="00E23FCF"/>
    <w:rsid w:val="00E24063"/>
    <w:rsid w:val="00E24080"/>
    <w:rsid w:val="00E24158"/>
    <w:rsid w:val="00E2417A"/>
    <w:rsid w:val="00E24198"/>
    <w:rsid w:val="00E241A2"/>
    <w:rsid w:val="00E2420E"/>
    <w:rsid w:val="00E2422B"/>
    <w:rsid w:val="00E242DF"/>
    <w:rsid w:val="00E24308"/>
    <w:rsid w:val="00E24356"/>
    <w:rsid w:val="00E24395"/>
    <w:rsid w:val="00E243D3"/>
    <w:rsid w:val="00E243E5"/>
    <w:rsid w:val="00E243F1"/>
    <w:rsid w:val="00E24414"/>
    <w:rsid w:val="00E24438"/>
    <w:rsid w:val="00E24489"/>
    <w:rsid w:val="00E244D2"/>
    <w:rsid w:val="00E24505"/>
    <w:rsid w:val="00E2450A"/>
    <w:rsid w:val="00E24543"/>
    <w:rsid w:val="00E246F7"/>
    <w:rsid w:val="00E24785"/>
    <w:rsid w:val="00E24786"/>
    <w:rsid w:val="00E247A9"/>
    <w:rsid w:val="00E2480A"/>
    <w:rsid w:val="00E2485B"/>
    <w:rsid w:val="00E248B1"/>
    <w:rsid w:val="00E24927"/>
    <w:rsid w:val="00E249DD"/>
    <w:rsid w:val="00E249F8"/>
    <w:rsid w:val="00E24A19"/>
    <w:rsid w:val="00E24AB2"/>
    <w:rsid w:val="00E24AC1"/>
    <w:rsid w:val="00E24ADE"/>
    <w:rsid w:val="00E24B8F"/>
    <w:rsid w:val="00E24BCC"/>
    <w:rsid w:val="00E24BE4"/>
    <w:rsid w:val="00E24C03"/>
    <w:rsid w:val="00E24C28"/>
    <w:rsid w:val="00E24C7C"/>
    <w:rsid w:val="00E24D3B"/>
    <w:rsid w:val="00E24D52"/>
    <w:rsid w:val="00E24D7A"/>
    <w:rsid w:val="00E24E09"/>
    <w:rsid w:val="00E24E28"/>
    <w:rsid w:val="00E24E3D"/>
    <w:rsid w:val="00E24E6F"/>
    <w:rsid w:val="00E24ECF"/>
    <w:rsid w:val="00E24F20"/>
    <w:rsid w:val="00E24F2D"/>
    <w:rsid w:val="00E24FD5"/>
    <w:rsid w:val="00E24FEF"/>
    <w:rsid w:val="00E250BD"/>
    <w:rsid w:val="00E2516A"/>
    <w:rsid w:val="00E251AA"/>
    <w:rsid w:val="00E251F4"/>
    <w:rsid w:val="00E25231"/>
    <w:rsid w:val="00E252A4"/>
    <w:rsid w:val="00E252CC"/>
    <w:rsid w:val="00E253D5"/>
    <w:rsid w:val="00E254E1"/>
    <w:rsid w:val="00E254FE"/>
    <w:rsid w:val="00E2550C"/>
    <w:rsid w:val="00E2551F"/>
    <w:rsid w:val="00E255B1"/>
    <w:rsid w:val="00E255BE"/>
    <w:rsid w:val="00E255E1"/>
    <w:rsid w:val="00E2561A"/>
    <w:rsid w:val="00E25628"/>
    <w:rsid w:val="00E25670"/>
    <w:rsid w:val="00E256C8"/>
    <w:rsid w:val="00E256CC"/>
    <w:rsid w:val="00E256F1"/>
    <w:rsid w:val="00E25736"/>
    <w:rsid w:val="00E2573F"/>
    <w:rsid w:val="00E25746"/>
    <w:rsid w:val="00E2578B"/>
    <w:rsid w:val="00E257B1"/>
    <w:rsid w:val="00E257DA"/>
    <w:rsid w:val="00E257FE"/>
    <w:rsid w:val="00E25812"/>
    <w:rsid w:val="00E258AE"/>
    <w:rsid w:val="00E258B4"/>
    <w:rsid w:val="00E2592E"/>
    <w:rsid w:val="00E2594E"/>
    <w:rsid w:val="00E2595C"/>
    <w:rsid w:val="00E25980"/>
    <w:rsid w:val="00E259AC"/>
    <w:rsid w:val="00E259C0"/>
    <w:rsid w:val="00E25A82"/>
    <w:rsid w:val="00E25B13"/>
    <w:rsid w:val="00E25B22"/>
    <w:rsid w:val="00E25B3B"/>
    <w:rsid w:val="00E25C27"/>
    <w:rsid w:val="00E25CBD"/>
    <w:rsid w:val="00E25CC0"/>
    <w:rsid w:val="00E25D3B"/>
    <w:rsid w:val="00E25D46"/>
    <w:rsid w:val="00E25DC7"/>
    <w:rsid w:val="00E25E3B"/>
    <w:rsid w:val="00E25E4D"/>
    <w:rsid w:val="00E25E88"/>
    <w:rsid w:val="00E25E94"/>
    <w:rsid w:val="00E25E9A"/>
    <w:rsid w:val="00E25EBE"/>
    <w:rsid w:val="00E25EC1"/>
    <w:rsid w:val="00E25F0A"/>
    <w:rsid w:val="00E25F4D"/>
    <w:rsid w:val="00E25FE2"/>
    <w:rsid w:val="00E25FE3"/>
    <w:rsid w:val="00E26043"/>
    <w:rsid w:val="00E26086"/>
    <w:rsid w:val="00E2608F"/>
    <w:rsid w:val="00E2610A"/>
    <w:rsid w:val="00E26157"/>
    <w:rsid w:val="00E26196"/>
    <w:rsid w:val="00E26226"/>
    <w:rsid w:val="00E26283"/>
    <w:rsid w:val="00E262B6"/>
    <w:rsid w:val="00E262BE"/>
    <w:rsid w:val="00E26338"/>
    <w:rsid w:val="00E26348"/>
    <w:rsid w:val="00E263D4"/>
    <w:rsid w:val="00E263ED"/>
    <w:rsid w:val="00E263F0"/>
    <w:rsid w:val="00E2647F"/>
    <w:rsid w:val="00E26480"/>
    <w:rsid w:val="00E264B2"/>
    <w:rsid w:val="00E264B4"/>
    <w:rsid w:val="00E26539"/>
    <w:rsid w:val="00E265BF"/>
    <w:rsid w:val="00E26603"/>
    <w:rsid w:val="00E2665E"/>
    <w:rsid w:val="00E26708"/>
    <w:rsid w:val="00E26788"/>
    <w:rsid w:val="00E267FF"/>
    <w:rsid w:val="00E26837"/>
    <w:rsid w:val="00E26849"/>
    <w:rsid w:val="00E26853"/>
    <w:rsid w:val="00E26870"/>
    <w:rsid w:val="00E2687A"/>
    <w:rsid w:val="00E2688D"/>
    <w:rsid w:val="00E268A4"/>
    <w:rsid w:val="00E268BD"/>
    <w:rsid w:val="00E268CA"/>
    <w:rsid w:val="00E26900"/>
    <w:rsid w:val="00E26920"/>
    <w:rsid w:val="00E26922"/>
    <w:rsid w:val="00E2697D"/>
    <w:rsid w:val="00E269C8"/>
    <w:rsid w:val="00E26A41"/>
    <w:rsid w:val="00E26A63"/>
    <w:rsid w:val="00E26ABB"/>
    <w:rsid w:val="00E26ACF"/>
    <w:rsid w:val="00E26B00"/>
    <w:rsid w:val="00E26B05"/>
    <w:rsid w:val="00E26B0C"/>
    <w:rsid w:val="00E26B34"/>
    <w:rsid w:val="00E26B37"/>
    <w:rsid w:val="00E26B38"/>
    <w:rsid w:val="00E26B56"/>
    <w:rsid w:val="00E26B90"/>
    <w:rsid w:val="00E26BC7"/>
    <w:rsid w:val="00E26BDC"/>
    <w:rsid w:val="00E26C1C"/>
    <w:rsid w:val="00E26C59"/>
    <w:rsid w:val="00E26C7A"/>
    <w:rsid w:val="00E26D47"/>
    <w:rsid w:val="00E26D6E"/>
    <w:rsid w:val="00E26DB6"/>
    <w:rsid w:val="00E26DBA"/>
    <w:rsid w:val="00E26E46"/>
    <w:rsid w:val="00E26F2D"/>
    <w:rsid w:val="00E26F39"/>
    <w:rsid w:val="00E26F8C"/>
    <w:rsid w:val="00E26F91"/>
    <w:rsid w:val="00E26FA2"/>
    <w:rsid w:val="00E2708E"/>
    <w:rsid w:val="00E27153"/>
    <w:rsid w:val="00E2715F"/>
    <w:rsid w:val="00E27167"/>
    <w:rsid w:val="00E27195"/>
    <w:rsid w:val="00E271C0"/>
    <w:rsid w:val="00E271D6"/>
    <w:rsid w:val="00E27234"/>
    <w:rsid w:val="00E2727C"/>
    <w:rsid w:val="00E272C6"/>
    <w:rsid w:val="00E27326"/>
    <w:rsid w:val="00E27342"/>
    <w:rsid w:val="00E273E9"/>
    <w:rsid w:val="00E27466"/>
    <w:rsid w:val="00E27586"/>
    <w:rsid w:val="00E275CE"/>
    <w:rsid w:val="00E27611"/>
    <w:rsid w:val="00E27621"/>
    <w:rsid w:val="00E27656"/>
    <w:rsid w:val="00E27678"/>
    <w:rsid w:val="00E2769C"/>
    <w:rsid w:val="00E276BB"/>
    <w:rsid w:val="00E27725"/>
    <w:rsid w:val="00E277D2"/>
    <w:rsid w:val="00E277DA"/>
    <w:rsid w:val="00E277FA"/>
    <w:rsid w:val="00E27848"/>
    <w:rsid w:val="00E278C4"/>
    <w:rsid w:val="00E27914"/>
    <w:rsid w:val="00E2791F"/>
    <w:rsid w:val="00E27971"/>
    <w:rsid w:val="00E27A9E"/>
    <w:rsid w:val="00E27AA7"/>
    <w:rsid w:val="00E27AFF"/>
    <w:rsid w:val="00E27B21"/>
    <w:rsid w:val="00E27B36"/>
    <w:rsid w:val="00E27B69"/>
    <w:rsid w:val="00E27B80"/>
    <w:rsid w:val="00E27BB1"/>
    <w:rsid w:val="00E27BC6"/>
    <w:rsid w:val="00E27C0B"/>
    <w:rsid w:val="00E27C17"/>
    <w:rsid w:val="00E27C3B"/>
    <w:rsid w:val="00E27C41"/>
    <w:rsid w:val="00E27C42"/>
    <w:rsid w:val="00E27C60"/>
    <w:rsid w:val="00E27C7A"/>
    <w:rsid w:val="00E27C91"/>
    <w:rsid w:val="00E27CBC"/>
    <w:rsid w:val="00E27CFD"/>
    <w:rsid w:val="00E27D19"/>
    <w:rsid w:val="00E27D25"/>
    <w:rsid w:val="00E27DA3"/>
    <w:rsid w:val="00E27DBA"/>
    <w:rsid w:val="00E27E2E"/>
    <w:rsid w:val="00E27EC4"/>
    <w:rsid w:val="00E27F47"/>
    <w:rsid w:val="00E30023"/>
    <w:rsid w:val="00E3009C"/>
    <w:rsid w:val="00E30131"/>
    <w:rsid w:val="00E3015F"/>
    <w:rsid w:val="00E3016D"/>
    <w:rsid w:val="00E30179"/>
    <w:rsid w:val="00E30199"/>
    <w:rsid w:val="00E301C2"/>
    <w:rsid w:val="00E301DA"/>
    <w:rsid w:val="00E301E5"/>
    <w:rsid w:val="00E301FE"/>
    <w:rsid w:val="00E30286"/>
    <w:rsid w:val="00E3028A"/>
    <w:rsid w:val="00E302DB"/>
    <w:rsid w:val="00E3032C"/>
    <w:rsid w:val="00E3032D"/>
    <w:rsid w:val="00E30436"/>
    <w:rsid w:val="00E304D0"/>
    <w:rsid w:val="00E30555"/>
    <w:rsid w:val="00E30575"/>
    <w:rsid w:val="00E305A1"/>
    <w:rsid w:val="00E305AE"/>
    <w:rsid w:val="00E305E2"/>
    <w:rsid w:val="00E305ED"/>
    <w:rsid w:val="00E3065D"/>
    <w:rsid w:val="00E3065F"/>
    <w:rsid w:val="00E306A7"/>
    <w:rsid w:val="00E306AC"/>
    <w:rsid w:val="00E306CA"/>
    <w:rsid w:val="00E3072C"/>
    <w:rsid w:val="00E30730"/>
    <w:rsid w:val="00E30789"/>
    <w:rsid w:val="00E307FC"/>
    <w:rsid w:val="00E30840"/>
    <w:rsid w:val="00E30844"/>
    <w:rsid w:val="00E30866"/>
    <w:rsid w:val="00E30904"/>
    <w:rsid w:val="00E30958"/>
    <w:rsid w:val="00E309CA"/>
    <w:rsid w:val="00E309E0"/>
    <w:rsid w:val="00E30A0D"/>
    <w:rsid w:val="00E30A14"/>
    <w:rsid w:val="00E30A77"/>
    <w:rsid w:val="00E30AED"/>
    <w:rsid w:val="00E30AEF"/>
    <w:rsid w:val="00E30B43"/>
    <w:rsid w:val="00E30B62"/>
    <w:rsid w:val="00E30BDF"/>
    <w:rsid w:val="00E30CFB"/>
    <w:rsid w:val="00E30D5B"/>
    <w:rsid w:val="00E30D8D"/>
    <w:rsid w:val="00E30E17"/>
    <w:rsid w:val="00E30E93"/>
    <w:rsid w:val="00E30F03"/>
    <w:rsid w:val="00E30F29"/>
    <w:rsid w:val="00E30FB7"/>
    <w:rsid w:val="00E30FFB"/>
    <w:rsid w:val="00E31042"/>
    <w:rsid w:val="00E31092"/>
    <w:rsid w:val="00E310A7"/>
    <w:rsid w:val="00E310B5"/>
    <w:rsid w:val="00E310C7"/>
    <w:rsid w:val="00E3110C"/>
    <w:rsid w:val="00E31157"/>
    <w:rsid w:val="00E3117E"/>
    <w:rsid w:val="00E311B2"/>
    <w:rsid w:val="00E311EF"/>
    <w:rsid w:val="00E31252"/>
    <w:rsid w:val="00E312A8"/>
    <w:rsid w:val="00E312B1"/>
    <w:rsid w:val="00E312EE"/>
    <w:rsid w:val="00E31328"/>
    <w:rsid w:val="00E313C1"/>
    <w:rsid w:val="00E31437"/>
    <w:rsid w:val="00E314CD"/>
    <w:rsid w:val="00E31570"/>
    <w:rsid w:val="00E315A2"/>
    <w:rsid w:val="00E3160D"/>
    <w:rsid w:val="00E31645"/>
    <w:rsid w:val="00E3164C"/>
    <w:rsid w:val="00E3165A"/>
    <w:rsid w:val="00E31660"/>
    <w:rsid w:val="00E316DF"/>
    <w:rsid w:val="00E31715"/>
    <w:rsid w:val="00E31729"/>
    <w:rsid w:val="00E31764"/>
    <w:rsid w:val="00E317DC"/>
    <w:rsid w:val="00E3180D"/>
    <w:rsid w:val="00E3188C"/>
    <w:rsid w:val="00E318D8"/>
    <w:rsid w:val="00E318E0"/>
    <w:rsid w:val="00E318E2"/>
    <w:rsid w:val="00E31A82"/>
    <w:rsid w:val="00E31ACA"/>
    <w:rsid w:val="00E31AD0"/>
    <w:rsid w:val="00E31AE7"/>
    <w:rsid w:val="00E31AF4"/>
    <w:rsid w:val="00E31B4C"/>
    <w:rsid w:val="00E31B56"/>
    <w:rsid w:val="00E31B76"/>
    <w:rsid w:val="00E31C70"/>
    <w:rsid w:val="00E31CCA"/>
    <w:rsid w:val="00E31D16"/>
    <w:rsid w:val="00E31D63"/>
    <w:rsid w:val="00E31DAB"/>
    <w:rsid w:val="00E31DD5"/>
    <w:rsid w:val="00E31DFB"/>
    <w:rsid w:val="00E31E2A"/>
    <w:rsid w:val="00E31E65"/>
    <w:rsid w:val="00E31EAC"/>
    <w:rsid w:val="00E31F5D"/>
    <w:rsid w:val="00E31F65"/>
    <w:rsid w:val="00E31FDC"/>
    <w:rsid w:val="00E3206D"/>
    <w:rsid w:val="00E32100"/>
    <w:rsid w:val="00E32135"/>
    <w:rsid w:val="00E32141"/>
    <w:rsid w:val="00E32158"/>
    <w:rsid w:val="00E32179"/>
    <w:rsid w:val="00E32182"/>
    <w:rsid w:val="00E32198"/>
    <w:rsid w:val="00E321C4"/>
    <w:rsid w:val="00E3223E"/>
    <w:rsid w:val="00E32261"/>
    <w:rsid w:val="00E32265"/>
    <w:rsid w:val="00E322C2"/>
    <w:rsid w:val="00E32323"/>
    <w:rsid w:val="00E32391"/>
    <w:rsid w:val="00E323BA"/>
    <w:rsid w:val="00E323C5"/>
    <w:rsid w:val="00E32484"/>
    <w:rsid w:val="00E324A2"/>
    <w:rsid w:val="00E324B6"/>
    <w:rsid w:val="00E3253A"/>
    <w:rsid w:val="00E3255F"/>
    <w:rsid w:val="00E32570"/>
    <w:rsid w:val="00E325DA"/>
    <w:rsid w:val="00E325FD"/>
    <w:rsid w:val="00E32665"/>
    <w:rsid w:val="00E32672"/>
    <w:rsid w:val="00E326BA"/>
    <w:rsid w:val="00E32713"/>
    <w:rsid w:val="00E32736"/>
    <w:rsid w:val="00E327AB"/>
    <w:rsid w:val="00E32827"/>
    <w:rsid w:val="00E328E5"/>
    <w:rsid w:val="00E32923"/>
    <w:rsid w:val="00E3296A"/>
    <w:rsid w:val="00E329B0"/>
    <w:rsid w:val="00E32AC8"/>
    <w:rsid w:val="00E32AD5"/>
    <w:rsid w:val="00E32AD7"/>
    <w:rsid w:val="00E32B39"/>
    <w:rsid w:val="00E32B6F"/>
    <w:rsid w:val="00E32B80"/>
    <w:rsid w:val="00E32BBA"/>
    <w:rsid w:val="00E32BBD"/>
    <w:rsid w:val="00E32BC1"/>
    <w:rsid w:val="00E32D81"/>
    <w:rsid w:val="00E32D8C"/>
    <w:rsid w:val="00E32DB2"/>
    <w:rsid w:val="00E32E03"/>
    <w:rsid w:val="00E32E5D"/>
    <w:rsid w:val="00E32E82"/>
    <w:rsid w:val="00E32E83"/>
    <w:rsid w:val="00E32E94"/>
    <w:rsid w:val="00E32EBE"/>
    <w:rsid w:val="00E32F20"/>
    <w:rsid w:val="00E32F2D"/>
    <w:rsid w:val="00E32F36"/>
    <w:rsid w:val="00E32F8E"/>
    <w:rsid w:val="00E32F99"/>
    <w:rsid w:val="00E32FC7"/>
    <w:rsid w:val="00E32FF8"/>
    <w:rsid w:val="00E33013"/>
    <w:rsid w:val="00E33021"/>
    <w:rsid w:val="00E3302A"/>
    <w:rsid w:val="00E33056"/>
    <w:rsid w:val="00E33064"/>
    <w:rsid w:val="00E330CA"/>
    <w:rsid w:val="00E3311B"/>
    <w:rsid w:val="00E33174"/>
    <w:rsid w:val="00E33183"/>
    <w:rsid w:val="00E331A8"/>
    <w:rsid w:val="00E331CD"/>
    <w:rsid w:val="00E331D3"/>
    <w:rsid w:val="00E3321A"/>
    <w:rsid w:val="00E33239"/>
    <w:rsid w:val="00E332A3"/>
    <w:rsid w:val="00E332A9"/>
    <w:rsid w:val="00E332FE"/>
    <w:rsid w:val="00E3330E"/>
    <w:rsid w:val="00E3340C"/>
    <w:rsid w:val="00E33469"/>
    <w:rsid w:val="00E3356D"/>
    <w:rsid w:val="00E3359C"/>
    <w:rsid w:val="00E3364E"/>
    <w:rsid w:val="00E3365C"/>
    <w:rsid w:val="00E33687"/>
    <w:rsid w:val="00E336E6"/>
    <w:rsid w:val="00E33756"/>
    <w:rsid w:val="00E33783"/>
    <w:rsid w:val="00E33792"/>
    <w:rsid w:val="00E337A0"/>
    <w:rsid w:val="00E337F1"/>
    <w:rsid w:val="00E33844"/>
    <w:rsid w:val="00E33847"/>
    <w:rsid w:val="00E338CE"/>
    <w:rsid w:val="00E338E0"/>
    <w:rsid w:val="00E338FB"/>
    <w:rsid w:val="00E33989"/>
    <w:rsid w:val="00E339C9"/>
    <w:rsid w:val="00E33A0E"/>
    <w:rsid w:val="00E33B00"/>
    <w:rsid w:val="00E33B03"/>
    <w:rsid w:val="00E33B4E"/>
    <w:rsid w:val="00E33B8B"/>
    <w:rsid w:val="00E33BB7"/>
    <w:rsid w:val="00E33BC0"/>
    <w:rsid w:val="00E33BFF"/>
    <w:rsid w:val="00E33C5C"/>
    <w:rsid w:val="00E33C86"/>
    <w:rsid w:val="00E33CFC"/>
    <w:rsid w:val="00E33D34"/>
    <w:rsid w:val="00E33D92"/>
    <w:rsid w:val="00E33E1B"/>
    <w:rsid w:val="00E33E7D"/>
    <w:rsid w:val="00E33E7E"/>
    <w:rsid w:val="00E33F43"/>
    <w:rsid w:val="00E33FAF"/>
    <w:rsid w:val="00E340A7"/>
    <w:rsid w:val="00E340D0"/>
    <w:rsid w:val="00E340FF"/>
    <w:rsid w:val="00E34100"/>
    <w:rsid w:val="00E34105"/>
    <w:rsid w:val="00E341D9"/>
    <w:rsid w:val="00E34288"/>
    <w:rsid w:val="00E342B2"/>
    <w:rsid w:val="00E342E3"/>
    <w:rsid w:val="00E342E5"/>
    <w:rsid w:val="00E342F7"/>
    <w:rsid w:val="00E343F2"/>
    <w:rsid w:val="00E343FD"/>
    <w:rsid w:val="00E3441F"/>
    <w:rsid w:val="00E34427"/>
    <w:rsid w:val="00E34471"/>
    <w:rsid w:val="00E34476"/>
    <w:rsid w:val="00E34478"/>
    <w:rsid w:val="00E34493"/>
    <w:rsid w:val="00E3450A"/>
    <w:rsid w:val="00E34515"/>
    <w:rsid w:val="00E3457D"/>
    <w:rsid w:val="00E3459F"/>
    <w:rsid w:val="00E345A5"/>
    <w:rsid w:val="00E346E6"/>
    <w:rsid w:val="00E34738"/>
    <w:rsid w:val="00E347EC"/>
    <w:rsid w:val="00E347F5"/>
    <w:rsid w:val="00E34872"/>
    <w:rsid w:val="00E34972"/>
    <w:rsid w:val="00E34987"/>
    <w:rsid w:val="00E349AC"/>
    <w:rsid w:val="00E349BB"/>
    <w:rsid w:val="00E349E2"/>
    <w:rsid w:val="00E349F5"/>
    <w:rsid w:val="00E34A65"/>
    <w:rsid w:val="00E34A77"/>
    <w:rsid w:val="00E34AA5"/>
    <w:rsid w:val="00E34B0A"/>
    <w:rsid w:val="00E34B0F"/>
    <w:rsid w:val="00E34B13"/>
    <w:rsid w:val="00E34B61"/>
    <w:rsid w:val="00E34BE5"/>
    <w:rsid w:val="00E34CB5"/>
    <w:rsid w:val="00E34CC7"/>
    <w:rsid w:val="00E34DAD"/>
    <w:rsid w:val="00E34DD6"/>
    <w:rsid w:val="00E34DE6"/>
    <w:rsid w:val="00E34DF8"/>
    <w:rsid w:val="00E34E19"/>
    <w:rsid w:val="00E34E29"/>
    <w:rsid w:val="00E34EBB"/>
    <w:rsid w:val="00E34F43"/>
    <w:rsid w:val="00E34F4C"/>
    <w:rsid w:val="00E34F4F"/>
    <w:rsid w:val="00E34F54"/>
    <w:rsid w:val="00E34F87"/>
    <w:rsid w:val="00E34FA6"/>
    <w:rsid w:val="00E34FB8"/>
    <w:rsid w:val="00E3504D"/>
    <w:rsid w:val="00E3505C"/>
    <w:rsid w:val="00E35071"/>
    <w:rsid w:val="00E3507A"/>
    <w:rsid w:val="00E350D5"/>
    <w:rsid w:val="00E3510B"/>
    <w:rsid w:val="00E3514A"/>
    <w:rsid w:val="00E351A5"/>
    <w:rsid w:val="00E351F2"/>
    <w:rsid w:val="00E35233"/>
    <w:rsid w:val="00E35284"/>
    <w:rsid w:val="00E352A6"/>
    <w:rsid w:val="00E352B3"/>
    <w:rsid w:val="00E3530B"/>
    <w:rsid w:val="00E35315"/>
    <w:rsid w:val="00E353B6"/>
    <w:rsid w:val="00E35482"/>
    <w:rsid w:val="00E3548C"/>
    <w:rsid w:val="00E35597"/>
    <w:rsid w:val="00E355D9"/>
    <w:rsid w:val="00E355F3"/>
    <w:rsid w:val="00E3567D"/>
    <w:rsid w:val="00E356D4"/>
    <w:rsid w:val="00E356ED"/>
    <w:rsid w:val="00E35729"/>
    <w:rsid w:val="00E35771"/>
    <w:rsid w:val="00E35803"/>
    <w:rsid w:val="00E3580F"/>
    <w:rsid w:val="00E35832"/>
    <w:rsid w:val="00E35855"/>
    <w:rsid w:val="00E3587D"/>
    <w:rsid w:val="00E358B5"/>
    <w:rsid w:val="00E35931"/>
    <w:rsid w:val="00E3598A"/>
    <w:rsid w:val="00E35A03"/>
    <w:rsid w:val="00E35A33"/>
    <w:rsid w:val="00E35B1A"/>
    <w:rsid w:val="00E35BFF"/>
    <w:rsid w:val="00E35CAF"/>
    <w:rsid w:val="00E35CC1"/>
    <w:rsid w:val="00E35CCD"/>
    <w:rsid w:val="00E35CD2"/>
    <w:rsid w:val="00E35D09"/>
    <w:rsid w:val="00E35D27"/>
    <w:rsid w:val="00E35D2F"/>
    <w:rsid w:val="00E35D82"/>
    <w:rsid w:val="00E35D9A"/>
    <w:rsid w:val="00E35E1C"/>
    <w:rsid w:val="00E35E8C"/>
    <w:rsid w:val="00E35EBF"/>
    <w:rsid w:val="00E35EDF"/>
    <w:rsid w:val="00E35F3E"/>
    <w:rsid w:val="00E35F5E"/>
    <w:rsid w:val="00E3601C"/>
    <w:rsid w:val="00E360AA"/>
    <w:rsid w:val="00E360C8"/>
    <w:rsid w:val="00E3615A"/>
    <w:rsid w:val="00E3618E"/>
    <w:rsid w:val="00E3619F"/>
    <w:rsid w:val="00E3620E"/>
    <w:rsid w:val="00E36219"/>
    <w:rsid w:val="00E36263"/>
    <w:rsid w:val="00E3626B"/>
    <w:rsid w:val="00E36286"/>
    <w:rsid w:val="00E362BD"/>
    <w:rsid w:val="00E3635A"/>
    <w:rsid w:val="00E3638F"/>
    <w:rsid w:val="00E36465"/>
    <w:rsid w:val="00E3655D"/>
    <w:rsid w:val="00E36577"/>
    <w:rsid w:val="00E36585"/>
    <w:rsid w:val="00E365E1"/>
    <w:rsid w:val="00E36630"/>
    <w:rsid w:val="00E3663C"/>
    <w:rsid w:val="00E3664B"/>
    <w:rsid w:val="00E3677A"/>
    <w:rsid w:val="00E367A0"/>
    <w:rsid w:val="00E367B0"/>
    <w:rsid w:val="00E367B9"/>
    <w:rsid w:val="00E36846"/>
    <w:rsid w:val="00E36868"/>
    <w:rsid w:val="00E3689A"/>
    <w:rsid w:val="00E368AC"/>
    <w:rsid w:val="00E36900"/>
    <w:rsid w:val="00E3690F"/>
    <w:rsid w:val="00E36936"/>
    <w:rsid w:val="00E3695C"/>
    <w:rsid w:val="00E36964"/>
    <w:rsid w:val="00E3696E"/>
    <w:rsid w:val="00E36988"/>
    <w:rsid w:val="00E369AE"/>
    <w:rsid w:val="00E369D6"/>
    <w:rsid w:val="00E36A03"/>
    <w:rsid w:val="00E36AB6"/>
    <w:rsid w:val="00E36AE6"/>
    <w:rsid w:val="00E36B13"/>
    <w:rsid w:val="00E36B44"/>
    <w:rsid w:val="00E36C2C"/>
    <w:rsid w:val="00E36C58"/>
    <w:rsid w:val="00E36C8C"/>
    <w:rsid w:val="00E36CB4"/>
    <w:rsid w:val="00E36CEF"/>
    <w:rsid w:val="00E36D12"/>
    <w:rsid w:val="00E36D4A"/>
    <w:rsid w:val="00E36E36"/>
    <w:rsid w:val="00E36E6B"/>
    <w:rsid w:val="00E36F24"/>
    <w:rsid w:val="00E36F45"/>
    <w:rsid w:val="00E36F46"/>
    <w:rsid w:val="00E36F5C"/>
    <w:rsid w:val="00E36F7D"/>
    <w:rsid w:val="00E36FA8"/>
    <w:rsid w:val="00E36FC0"/>
    <w:rsid w:val="00E36FE8"/>
    <w:rsid w:val="00E37038"/>
    <w:rsid w:val="00E37040"/>
    <w:rsid w:val="00E3704C"/>
    <w:rsid w:val="00E37052"/>
    <w:rsid w:val="00E37074"/>
    <w:rsid w:val="00E37080"/>
    <w:rsid w:val="00E3709A"/>
    <w:rsid w:val="00E370ED"/>
    <w:rsid w:val="00E37145"/>
    <w:rsid w:val="00E3714C"/>
    <w:rsid w:val="00E37164"/>
    <w:rsid w:val="00E37187"/>
    <w:rsid w:val="00E37190"/>
    <w:rsid w:val="00E371C2"/>
    <w:rsid w:val="00E371FB"/>
    <w:rsid w:val="00E37211"/>
    <w:rsid w:val="00E37269"/>
    <w:rsid w:val="00E37273"/>
    <w:rsid w:val="00E37286"/>
    <w:rsid w:val="00E372D6"/>
    <w:rsid w:val="00E3739D"/>
    <w:rsid w:val="00E3744C"/>
    <w:rsid w:val="00E374A2"/>
    <w:rsid w:val="00E37551"/>
    <w:rsid w:val="00E37576"/>
    <w:rsid w:val="00E37578"/>
    <w:rsid w:val="00E375B2"/>
    <w:rsid w:val="00E375B5"/>
    <w:rsid w:val="00E376EB"/>
    <w:rsid w:val="00E37730"/>
    <w:rsid w:val="00E37757"/>
    <w:rsid w:val="00E377C1"/>
    <w:rsid w:val="00E377C2"/>
    <w:rsid w:val="00E377E2"/>
    <w:rsid w:val="00E37810"/>
    <w:rsid w:val="00E37820"/>
    <w:rsid w:val="00E3786D"/>
    <w:rsid w:val="00E3787D"/>
    <w:rsid w:val="00E37925"/>
    <w:rsid w:val="00E379C3"/>
    <w:rsid w:val="00E379EF"/>
    <w:rsid w:val="00E379F8"/>
    <w:rsid w:val="00E37A33"/>
    <w:rsid w:val="00E37A34"/>
    <w:rsid w:val="00E37B09"/>
    <w:rsid w:val="00E37BBF"/>
    <w:rsid w:val="00E37C18"/>
    <w:rsid w:val="00E37C5C"/>
    <w:rsid w:val="00E37C81"/>
    <w:rsid w:val="00E37C97"/>
    <w:rsid w:val="00E37CA5"/>
    <w:rsid w:val="00E37CE5"/>
    <w:rsid w:val="00E37D8D"/>
    <w:rsid w:val="00E37D98"/>
    <w:rsid w:val="00E37E75"/>
    <w:rsid w:val="00E37EA1"/>
    <w:rsid w:val="00E37F52"/>
    <w:rsid w:val="00E37F59"/>
    <w:rsid w:val="00E40007"/>
    <w:rsid w:val="00E40038"/>
    <w:rsid w:val="00E401C4"/>
    <w:rsid w:val="00E401C6"/>
    <w:rsid w:val="00E401FE"/>
    <w:rsid w:val="00E40202"/>
    <w:rsid w:val="00E40219"/>
    <w:rsid w:val="00E4027A"/>
    <w:rsid w:val="00E402AC"/>
    <w:rsid w:val="00E40312"/>
    <w:rsid w:val="00E40319"/>
    <w:rsid w:val="00E40328"/>
    <w:rsid w:val="00E4039E"/>
    <w:rsid w:val="00E4041B"/>
    <w:rsid w:val="00E404DC"/>
    <w:rsid w:val="00E4050A"/>
    <w:rsid w:val="00E4057B"/>
    <w:rsid w:val="00E405CB"/>
    <w:rsid w:val="00E405F2"/>
    <w:rsid w:val="00E40682"/>
    <w:rsid w:val="00E4068D"/>
    <w:rsid w:val="00E40752"/>
    <w:rsid w:val="00E407C7"/>
    <w:rsid w:val="00E4081B"/>
    <w:rsid w:val="00E40886"/>
    <w:rsid w:val="00E40986"/>
    <w:rsid w:val="00E40993"/>
    <w:rsid w:val="00E409AE"/>
    <w:rsid w:val="00E409E5"/>
    <w:rsid w:val="00E40A26"/>
    <w:rsid w:val="00E40A45"/>
    <w:rsid w:val="00E40AE6"/>
    <w:rsid w:val="00E40B28"/>
    <w:rsid w:val="00E40B2E"/>
    <w:rsid w:val="00E40B51"/>
    <w:rsid w:val="00E40C06"/>
    <w:rsid w:val="00E40C0A"/>
    <w:rsid w:val="00E40C15"/>
    <w:rsid w:val="00E40CCC"/>
    <w:rsid w:val="00E40D0C"/>
    <w:rsid w:val="00E40DBF"/>
    <w:rsid w:val="00E40DC7"/>
    <w:rsid w:val="00E40DFC"/>
    <w:rsid w:val="00E40DFF"/>
    <w:rsid w:val="00E40E16"/>
    <w:rsid w:val="00E40E1F"/>
    <w:rsid w:val="00E40E9A"/>
    <w:rsid w:val="00E40EAF"/>
    <w:rsid w:val="00E40ECA"/>
    <w:rsid w:val="00E40ED1"/>
    <w:rsid w:val="00E40EEE"/>
    <w:rsid w:val="00E40F26"/>
    <w:rsid w:val="00E40FEB"/>
    <w:rsid w:val="00E4105C"/>
    <w:rsid w:val="00E41086"/>
    <w:rsid w:val="00E41087"/>
    <w:rsid w:val="00E410D5"/>
    <w:rsid w:val="00E4112B"/>
    <w:rsid w:val="00E41167"/>
    <w:rsid w:val="00E41179"/>
    <w:rsid w:val="00E41199"/>
    <w:rsid w:val="00E411A8"/>
    <w:rsid w:val="00E41253"/>
    <w:rsid w:val="00E41310"/>
    <w:rsid w:val="00E4134B"/>
    <w:rsid w:val="00E41383"/>
    <w:rsid w:val="00E413AF"/>
    <w:rsid w:val="00E413B1"/>
    <w:rsid w:val="00E4143E"/>
    <w:rsid w:val="00E41440"/>
    <w:rsid w:val="00E4159F"/>
    <w:rsid w:val="00E415A0"/>
    <w:rsid w:val="00E41668"/>
    <w:rsid w:val="00E4177F"/>
    <w:rsid w:val="00E41794"/>
    <w:rsid w:val="00E417D2"/>
    <w:rsid w:val="00E417DB"/>
    <w:rsid w:val="00E417E1"/>
    <w:rsid w:val="00E417E9"/>
    <w:rsid w:val="00E417EE"/>
    <w:rsid w:val="00E41820"/>
    <w:rsid w:val="00E4182A"/>
    <w:rsid w:val="00E418DC"/>
    <w:rsid w:val="00E4190D"/>
    <w:rsid w:val="00E4190F"/>
    <w:rsid w:val="00E41965"/>
    <w:rsid w:val="00E41983"/>
    <w:rsid w:val="00E41998"/>
    <w:rsid w:val="00E419C4"/>
    <w:rsid w:val="00E41ABA"/>
    <w:rsid w:val="00E41AD3"/>
    <w:rsid w:val="00E41AD9"/>
    <w:rsid w:val="00E41B04"/>
    <w:rsid w:val="00E41B13"/>
    <w:rsid w:val="00E41B18"/>
    <w:rsid w:val="00E41B2E"/>
    <w:rsid w:val="00E41B8A"/>
    <w:rsid w:val="00E41BCE"/>
    <w:rsid w:val="00E41E56"/>
    <w:rsid w:val="00E41E77"/>
    <w:rsid w:val="00E41E81"/>
    <w:rsid w:val="00E41EA4"/>
    <w:rsid w:val="00E41EA8"/>
    <w:rsid w:val="00E41EAD"/>
    <w:rsid w:val="00E41EB6"/>
    <w:rsid w:val="00E41ED8"/>
    <w:rsid w:val="00E41F3E"/>
    <w:rsid w:val="00E41F5C"/>
    <w:rsid w:val="00E41F88"/>
    <w:rsid w:val="00E41FF4"/>
    <w:rsid w:val="00E41FF5"/>
    <w:rsid w:val="00E42038"/>
    <w:rsid w:val="00E42143"/>
    <w:rsid w:val="00E42165"/>
    <w:rsid w:val="00E4218F"/>
    <w:rsid w:val="00E42219"/>
    <w:rsid w:val="00E422C2"/>
    <w:rsid w:val="00E42331"/>
    <w:rsid w:val="00E42392"/>
    <w:rsid w:val="00E423DD"/>
    <w:rsid w:val="00E423F4"/>
    <w:rsid w:val="00E42401"/>
    <w:rsid w:val="00E4240F"/>
    <w:rsid w:val="00E42412"/>
    <w:rsid w:val="00E4244A"/>
    <w:rsid w:val="00E42456"/>
    <w:rsid w:val="00E424BF"/>
    <w:rsid w:val="00E424CA"/>
    <w:rsid w:val="00E424ED"/>
    <w:rsid w:val="00E4253A"/>
    <w:rsid w:val="00E4257F"/>
    <w:rsid w:val="00E42590"/>
    <w:rsid w:val="00E42598"/>
    <w:rsid w:val="00E425FA"/>
    <w:rsid w:val="00E42678"/>
    <w:rsid w:val="00E4267C"/>
    <w:rsid w:val="00E42695"/>
    <w:rsid w:val="00E426C1"/>
    <w:rsid w:val="00E426DF"/>
    <w:rsid w:val="00E42739"/>
    <w:rsid w:val="00E4274C"/>
    <w:rsid w:val="00E42754"/>
    <w:rsid w:val="00E42785"/>
    <w:rsid w:val="00E427B3"/>
    <w:rsid w:val="00E4282B"/>
    <w:rsid w:val="00E428BE"/>
    <w:rsid w:val="00E428D7"/>
    <w:rsid w:val="00E429CB"/>
    <w:rsid w:val="00E429DA"/>
    <w:rsid w:val="00E42A09"/>
    <w:rsid w:val="00E42A32"/>
    <w:rsid w:val="00E42A50"/>
    <w:rsid w:val="00E42A59"/>
    <w:rsid w:val="00E42A96"/>
    <w:rsid w:val="00E42B15"/>
    <w:rsid w:val="00E42B30"/>
    <w:rsid w:val="00E42B3B"/>
    <w:rsid w:val="00E42B45"/>
    <w:rsid w:val="00E42B5A"/>
    <w:rsid w:val="00E42B64"/>
    <w:rsid w:val="00E42BDD"/>
    <w:rsid w:val="00E42C08"/>
    <w:rsid w:val="00E42C51"/>
    <w:rsid w:val="00E42D29"/>
    <w:rsid w:val="00E42D3D"/>
    <w:rsid w:val="00E42D7E"/>
    <w:rsid w:val="00E42DAE"/>
    <w:rsid w:val="00E42DDD"/>
    <w:rsid w:val="00E42E7E"/>
    <w:rsid w:val="00E42F21"/>
    <w:rsid w:val="00E42F7C"/>
    <w:rsid w:val="00E42FEA"/>
    <w:rsid w:val="00E43051"/>
    <w:rsid w:val="00E4308F"/>
    <w:rsid w:val="00E430E0"/>
    <w:rsid w:val="00E43104"/>
    <w:rsid w:val="00E4314C"/>
    <w:rsid w:val="00E43187"/>
    <w:rsid w:val="00E431B2"/>
    <w:rsid w:val="00E431E2"/>
    <w:rsid w:val="00E431F9"/>
    <w:rsid w:val="00E431FC"/>
    <w:rsid w:val="00E43226"/>
    <w:rsid w:val="00E4323C"/>
    <w:rsid w:val="00E432A8"/>
    <w:rsid w:val="00E432D2"/>
    <w:rsid w:val="00E432D9"/>
    <w:rsid w:val="00E43386"/>
    <w:rsid w:val="00E4338F"/>
    <w:rsid w:val="00E433F9"/>
    <w:rsid w:val="00E43401"/>
    <w:rsid w:val="00E43445"/>
    <w:rsid w:val="00E43465"/>
    <w:rsid w:val="00E4347D"/>
    <w:rsid w:val="00E43505"/>
    <w:rsid w:val="00E4350B"/>
    <w:rsid w:val="00E43577"/>
    <w:rsid w:val="00E43590"/>
    <w:rsid w:val="00E435B4"/>
    <w:rsid w:val="00E435B8"/>
    <w:rsid w:val="00E43615"/>
    <w:rsid w:val="00E4368B"/>
    <w:rsid w:val="00E436F8"/>
    <w:rsid w:val="00E43776"/>
    <w:rsid w:val="00E43778"/>
    <w:rsid w:val="00E43791"/>
    <w:rsid w:val="00E437E2"/>
    <w:rsid w:val="00E437F9"/>
    <w:rsid w:val="00E43892"/>
    <w:rsid w:val="00E43896"/>
    <w:rsid w:val="00E43900"/>
    <w:rsid w:val="00E43912"/>
    <w:rsid w:val="00E43933"/>
    <w:rsid w:val="00E43944"/>
    <w:rsid w:val="00E4397B"/>
    <w:rsid w:val="00E43A00"/>
    <w:rsid w:val="00E43AC3"/>
    <w:rsid w:val="00E43B09"/>
    <w:rsid w:val="00E43B2C"/>
    <w:rsid w:val="00E43BC0"/>
    <w:rsid w:val="00E43C93"/>
    <w:rsid w:val="00E43D0E"/>
    <w:rsid w:val="00E43D4A"/>
    <w:rsid w:val="00E43D96"/>
    <w:rsid w:val="00E43DF7"/>
    <w:rsid w:val="00E43E04"/>
    <w:rsid w:val="00E43E32"/>
    <w:rsid w:val="00E43E46"/>
    <w:rsid w:val="00E43E50"/>
    <w:rsid w:val="00E43E66"/>
    <w:rsid w:val="00E43EAB"/>
    <w:rsid w:val="00E43EAF"/>
    <w:rsid w:val="00E43F18"/>
    <w:rsid w:val="00E43F39"/>
    <w:rsid w:val="00E43FB1"/>
    <w:rsid w:val="00E43FFF"/>
    <w:rsid w:val="00E44064"/>
    <w:rsid w:val="00E440B5"/>
    <w:rsid w:val="00E440CE"/>
    <w:rsid w:val="00E4410E"/>
    <w:rsid w:val="00E4414C"/>
    <w:rsid w:val="00E44158"/>
    <w:rsid w:val="00E44183"/>
    <w:rsid w:val="00E441BE"/>
    <w:rsid w:val="00E441EC"/>
    <w:rsid w:val="00E441F7"/>
    <w:rsid w:val="00E44238"/>
    <w:rsid w:val="00E442DB"/>
    <w:rsid w:val="00E44364"/>
    <w:rsid w:val="00E44384"/>
    <w:rsid w:val="00E44397"/>
    <w:rsid w:val="00E44406"/>
    <w:rsid w:val="00E44434"/>
    <w:rsid w:val="00E44454"/>
    <w:rsid w:val="00E44492"/>
    <w:rsid w:val="00E444D7"/>
    <w:rsid w:val="00E44525"/>
    <w:rsid w:val="00E44572"/>
    <w:rsid w:val="00E44661"/>
    <w:rsid w:val="00E4468B"/>
    <w:rsid w:val="00E446B5"/>
    <w:rsid w:val="00E44721"/>
    <w:rsid w:val="00E4488E"/>
    <w:rsid w:val="00E448BC"/>
    <w:rsid w:val="00E448D7"/>
    <w:rsid w:val="00E44904"/>
    <w:rsid w:val="00E44940"/>
    <w:rsid w:val="00E4496B"/>
    <w:rsid w:val="00E4497D"/>
    <w:rsid w:val="00E44A15"/>
    <w:rsid w:val="00E44AE8"/>
    <w:rsid w:val="00E44B5C"/>
    <w:rsid w:val="00E44BAF"/>
    <w:rsid w:val="00E44C18"/>
    <w:rsid w:val="00E44C24"/>
    <w:rsid w:val="00E44C60"/>
    <w:rsid w:val="00E44CD6"/>
    <w:rsid w:val="00E44D38"/>
    <w:rsid w:val="00E44D3A"/>
    <w:rsid w:val="00E44D7B"/>
    <w:rsid w:val="00E44D97"/>
    <w:rsid w:val="00E44E19"/>
    <w:rsid w:val="00E44E62"/>
    <w:rsid w:val="00E44E82"/>
    <w:rsid w:val="00E44EA2"/>
    <w:rsid w:val="00E44F6D"/>
    <w:rsid w:val="00E44FBE"/>
    <w:rsid w:val="00E45003"/>
    <w:rsid w:val="00E45046"/>
    <w:rsid w:val="00E4505F"/>
    <w:rsid w:val="00E45073"/>
    <w:rsid w:val="00E45109"/>
    <w:rsid w:val="00E45136"/>
    <w:rsid w:val="00E451B8"/>
    <w:rsid w:val="00E451EB"/>
    <w:rsid w:val="00E45223"/>
    <w:rsid w:val="00E45243"/>
    <w:rsid w:val="00E45247"/>
    <w:rsid w:val="00E45256"/>
    <w:rsid w:val="00E4527A"/>
    <w:rsid w:val="00E452C3"/>
    <w:rsid w:val="00E452CC"/>
    <w:rsid w:val="00E453CA"/>
    <w:rsid w:val="00E453D1"/>
    <w:rsid w:val="00E4542D"/>
    <w:rsid w:val="00E45450"/>
    <w:rsid w:val="00E45464"/>
    <w:rsid w:val="00E45509"/>
    <w:rsid w:val="00E45510"/>
    <w:rsid w:val="00E4556C"/>
    <w:rsid w:val="00E45592"/>
    <w:rsid w:val="00E455DA"/>
    <w:rsid w:val="00E456A8"/>
    <w:rsid w:val="00E456D5"/>
    <w:rsid w:val="00E456EA"/>
    <w:rsid w:val="00E45712"/>
    <w:rsid w:val="00E45752"/>
    <w:rsid w:val="00E45778"/>
    <w:rsid w:val="00E457B1"/>
    <w:rsid w:val="00E457BF"/>
    <w:rsid w:val="00E457D5"/>
    <w:rsid w:val="00E4583C"/>
    <w:rsid w:val="00E4589E"/>
    <w:rsid w:val="00E45950"/>
    <w:rsid w:val="00E459A2"/>
    <w:rsid w:val="00E459F1"/>
    <w:rsid w:val="00E45A1E"/>
    <w:rsid w:val="00E45A48"/>
    <w:rsid w:val="00E45A72"/>
    <w:rsid w:val="00E45AB9"/>
    <w:rsid w:val="00E45AFF"/>
    <w:rsid w:val="00E45B2C"/>
    <w:rsid w:val="00E45B52"/>
    <w:rsid w:val="00E45B8C"/>
    <w:rsid w:val="00E45BCA"/>
    <w:rsid w:val="00E45CB9"/>
    <w:rsid w:val="00E45CD1"/>
    <w:rsid w:val="00E45D00"/>
    <w:rsid w:val="00E45D24"/>
    <w:rsid w:val="00E45D49"/>
    <w:rsid w:val="00E45D88"/>
    <w:rsid w:val="00E45D92"/>
    <w:rsid w:val="00E45D9D"/>
    <w:rsid w:val="00E45DAB"/>
    <w:rsid w:val="00E45DB1"/>
    <w:rsid w:val="00E45DC2"/>
    <w:rsid w:val="00E45DCC"/>
    <w:rsid w:val="00E45DD2"/>
    <w:rsid w:val="00E45E09"/>
    <w:rsid w:val="00E45E33"/>
    <w:rsid w:val="00E45E40"/>
    <w:rsid w:val="00E45E60"/>
    <w:rsid w:val="00E45E9F"/>
    <w:rsid w:val="00E45EAB"/>
    <w:rsid w:val="00E45EB2"/>
    <w:rsid w:val="00E45EC1"/>
    <w:rsid w:val="00E45F0D"/>
    <w:rsid w:val="00E45F29"/>
    <w:rsid w:val="00E45F4B"/>
    <w:rsid w:val="00E4601A"/>
    <w:rsid w:val="00E46023"/>
    <w:rsid w:val="00E46050"/>
    <w:rsid w:val="00E46070"/>
    <w:rsid w:val="00E46094"/>
    <w:rsid w:val="00E460D1"/>
    <w:rsid w:val="00E4616C"/>
    <w:rsid w:val="00E461D3"/>
    <w:rsid w:val="00E46238"/>
    <w:rsid w:val="00E46275"/>
    <w:rsid w:val="00E4632E"/>
    <w:rsid w:val="00E4634E"/>
    <w:rsid w:val="00E46357"/>
    <w:rsid w:val="00E46369"/>
    <w:rsid w:val="00E4636D"/>
    <w:rsid w:val="00E463BA"/>
    <w:rsid w:val="00E463CB"/>
    <w:rsid w:val="00E463D2"/>
    <w:rsid w:val="00E463DB"/>
    <w:rsid w:val="00E4642E"/>
    <w:rsid w:val="00E46447"/>
    <w:rsid w:val="00E46462"/>
    <w:rsid w:val="00E465A0"/>
    <w:rsid w:val="00E465CF"/>
    <w:rsid w:val="00E46618"/>
    <w:rsid w:val="00E4662B"/>
    <w:rsid w:val="00E46662"/>
    <w:rsid w:val="00E46680"/>
    <w:rsid w:val="00E466E3"/>
    <w:rsid w:val="00E466E5"/>
    <w:rsid w:val="00E467C2"/>
    <w:rsid w:val="00E46879"/>
    <w:rsid w:val="00E4688E"/>
    <w:rsid w:val="00E468A4"/>
    <w:rsid w:val="00E4692A"/>
    <w:rsid w:val="00E469A5"/>
    <w:rsid w:val="00E469E9"/>
    <w:rsid w:val="00E46A52"/>
    <w:rsid w:val="00E46A7C"/>
    <w:rsid w:val="00E46A88"/>
    <w:rsid w:val="00E46A8A"/>
    <w:rsid w:val="00E46A9D"/>
    <w:rsid w:val="00E46AA6"/>
    <w:rsid w:val="00E46AD9"/>
    <w:rsid w:val="00E46AE0"/>
    <w:rsid w:val="00E46AF0"/>
    <w:rsid w:val="00E46B65"/>
    <w:rsid w:val="00E46B91"/>
    <w:rsid w:val="00E46B9B"/>
    <w:rsid w:val="00E46BF5"/>
    <w:rsid w:val="00E46C4D"/>
    <w:rsid w:val="00E46C6F"/>
    <w:rsid w:val="00E46CD0"/>
    <w:rsid w:val="00E46CE7"/>
    <w:rsid w:val="00E46CF3"/>
    <w:rsid w:val="00E46D51"/>
    <w:rsid w:val="00E46D58"/>
    <w:rsid w:val="00E46D6E"/>
    <w:rsid w:val="00E46D7A"/>
    <w:rsid w:val="00E46DFE"/>
    <w:rsid w:val="00E46E1C"/>
    <w:rsid w:val="00E46E77"/>
    <w:rsid w:val="00E46ED0"/>
    <w:rsid w:val="00E46F0B"/>
    <w:rsid w:val="00E46F77"/>
    <w:rsid w:val="00E46FCB"/>
    <w:rsid w:val="00E47059"/>
    <w:rsid w:val="00E4706F"/>
    <w:rsid w:val="00E4707D"/>
    <w:rsid w:val="00E47147"/>
    <w:rsid w:val="00E47183"/>
    <w:rsid w:val="00E4729C"/>
    <w:rsid w:val="00E47326"/>
    <w:rsid w:val="00E47364"/>
    <w:rsid w:val="00E4736B"/>
    <w:rsid w:val="00E4736E"/>
    <w:rsid w:val="00E47382"/>
    <w:rsid w:val="00E47387"/>
    <w:rsid w:val="00E473A2"/>
    <w:rsid w:val="00E473D7"/>
    <w:rsid w:val="00E473EF"/>
    <w:rsid w:val="00E47432"/>
    <w:rsid w:val="00E474C0"/>
    <w:rsid w:val="00E474C4"/>
    <w:rsid w:val="00E474FC"/>
    <w:rsid w:val="00E47516"/>
    <w:rsid w:val="00E47542"/>
    <w:rsid w:val="00E47602"/>
    <w:rsid w:val="00E4761E"/>
    <w:rsid w:val="00E4764A"/>
    <w:rsid w:val="00E4765D"/>
    <w:rsid w:val="00E47692"/>
    <w:rsid w:val="00E476A5"/>
    <w:rsid w:val="00E47855"/>
    <w:rsid w:val="00E47875"/>
    <w:rsid w:val="00E47887"/>
    <w:rsid w:val="00E478C0"/>
    <w:rsid w:val="00E478E6"/>
    <w:rsid w:val="00E47912"/>
    <w:rsid w:val="00E47934"/>
    <w:rsid w:val="00E4794B"/>
    <w:rsid w:val="00E47977"/>
    <w:rsid w:val="00E47A0D"/>
    <w:rsid w:val="00E47A2C"/>
    <w:rsid w:val="00E47A9E"/>
    <w:rsid w:val="00E47B04"/>
    <w:rsid w:val="00E47B55"/>
    <w:rsid w:val="00E47B83"/>
    <w:rsid w:val="00E47B97"/>
    <w:rsid w:val="00E47BA1"/>
    <w:rsid w:val="00E47C44"/>
    <w:rsid w:val="00E47C56"/>
    <w:rsid w:val="00E47C76"/>
    <w:rsid w:val="00E47D51"/>
    <w:rsid w:val="00E47DED"/>
    <w:rsid w:val="00E47E55"/>
    <w:rsid w:val="00E47E6E"/>
    <w:rsid w:val="00E47E7C"/>
    <w:rsid w:val="00E47E92"/>
    <w:rsid w:val="00E47ED9"/>
    <w:rsid w:val="00E5003F"/>
    <w:rsid w:val="00E50046"/>
    <w:rsid w:val="00E5007F"/>
    <w:rsid w:val="00E50084"/>
    <w:rsid w:val="00E5010E"/>
    <w:rsid w:val="00E50164"/>
    <w:rsid w:val="00E50183"/>
    <w:rsid w:val="00E501C4"/>
    <w:rsid w:val="00E5020F"/>
    <w:rsid w:val="00E50356"/>
    <w:rsid w:val="00E50374"/>
    <w:rsid w:val="00E5040E"/>
    <w:rsid w:val="00E5044E"/>
    <w:rsid w:val="00E50454"/>
    <w:rsid w:val="00E50457"/>
    <w:rsid w:val="00E50536"/>
    <w:rsid w:val="00E505C9"/>
    <w:rsid w:val="00E50689"/>
    <w:rsid w:val="00E506B9"/>
    <w:rsid w:val="00E506BB"/>
    <w:rsid w:val="00E50721"/>
    <w:rsid w:val="00E50753"/>
    <w:rsid w:val="00E50896"/>
    <w:rsid w:val="00E508BC"/>
    <w:rsid w:val="00E5097D"/>
    <w:rsid w:val="00E509C0"/>
    <w:rsid w:val="00E509C5"/>
    <w:rsid w:val="00E509E8"/>
    <w:rsid w:val="00E509F4"/>
    <w:rsid w:val="00E50A47"/>
    <w:rsid w:val="00E50A55"/>
    <w:rsid w:val="00E50A67"/>
    <w:rsid w:val="00E50AA7"/>
    <w:rsid w:val="00E50AD0"/>
    <w:rsid w:val="00E50AFA"/>
    <w:rsid w:val="00E50B0C"/>
    <w:rsid w:val="00E50B0F"/>
    <w:rsid w:val="00E50B25"/>
    <w:rsid w:val="00E50B54"/>
    <w:rsid w:val="00E50B55"/>
    <w:rsid w:val="00E50BA8"/>
    <w:rsid w:val="00E50C0C"/>
    <w:rsid w:val="00E50C47"/>
    <w:rsid w:val="00E50C8B"/>
    <w:rsid w:val="00E50CDB"/>
    <w:rsid w:val="00E50CE0"/>
    <w:rsid w:val="00E50D41"/>
    <w:rsid w:val="00E50E49"/>
    <w:rsid w:val="00E50F1F"/>
    <w:rsid w:val="00E50F87"/>
    <w:rsid w:val="00E50F9B"/>
    <w:rsid w:val="00E50FCC"/>
    <w:rsid w:val="00E50FFA"/>
    <w:rsid w:val="00E5100D"/>
    <w:rsid w:val="00E5111A"/>
    <w:rsid w:val="00E51126"/>
    <w:rsid w:val="00E51157"/>
    <w:rsid w:val="00E511E7"/>
    <w:rsid w:val="00E511F8"/>
    <w:rsid w:val="00E51252"/>
    <w:rsid w:val="00E512A6"/>
    <w:rsid w:val="00E512D6"/>
    <w:rsid w:val="00E51317"/>
    <w:rsid w:val="00E5135F"/>
    <w:rsid w:val="00E513CD"/>
    <w:rsid w:val="00E513E4"/>
    <w:rsid w:val="00E5145F"/>
    <w:rsid w:val="00E5146B"/>
    <w:rsid w:val="00E51491"/>
    <w:rsid w:val="00E5152C"/>
    <w:rsid w:val="00E51544"/>
    <w:rsid w:val="00E5157D"/>
    <w:rsid w:val="00E515A3"/>
    <w:rsid w:val="00E515BC"/>
    <w:rsid w:val="00E515BE"/>
    <w:rsid w:val="00E51717"/>
    <w:rsid w:val="00E5178D"/>
    <w:rsid w:val="00E517A1"/>
    <w:rsid w:val="00E517B5"/>
    <w:rsid w:val="00E51850"/>
    <w:rsid w:val="00E51860"/>
    <w:rsid w:val="00E518B8"/>
    <w:rsid w:val="00E518FC"/>
    <w:rsid w:val="00E51943"/>
    <w:rsid w:val="00E51986"/>
    <w:rsid w:val="00E5199E"/>
    <w:rsid w:val="00E519AC"/>
    <w:rsid w:val="00E519D3"/>
    <w:rsid w:val="00E51A00"/>
    <w:rsid w:val="00E51AFC"/>
    <w:rsid w:val="00E51B5D"/>
    <w:rsid w:val="00E51BF6"/>
    <w:rsid w:val="00E51C33"/>
    <w:rsid w:val="00E51CD8"/>
    <w:rsid w:val="00E51D6D"/>
    <w:rsid w:val="00E51E29"/>
    <w:rsid w:val="00E51E7A"/>
    <w:rsid w:val="00E51EE0"/>
    <w:rsid w:val="00E51F2D"/>
    <w:rsid w:val="00E51F8D"/>
    <w:rsid w:val="00E52036"/>
    <w:rsid w:val="00E52041"/>
    <w:rsid w:val="00E5204D"/>
    <w:rsid w:val="00E52062"/>
    <w:rsid w:val="00E5208A"/>
    <w:rsid w:val="00E520CC"/>
    <w:rsid w:val="00E52105"/>
    <w:rsid w:val="00E5219E"/>
    <w:rsid w:val="00E521C7"/>
    <w:rsid w:val="00E52235"/>
    <w:rsid w:val="00E52245"/>
    <w:rsid w:val="00E52251"/>
    <w:rsid w:val="00E522AC"/>
    <w:rsid w:val="00E522BC"/>
    <w:rsid w:val="00E5237A"/>
    <w:rsid w:val="00E524F0"/>
    <w:rsid w:val="00E52716"/>
    <w:rsid w:val="00E52745"/>
    <w:rsid w:val="00E5276F"/>
    <w:rsid w:val="00E52787"/>
    <w:rsid w:val="00E52814"/>
    <w:rsid w:val="00E5289B"/>
    <w:rsid w:val="00E528A4"/>
    <w:rsid w:val="00E52A24"/>
    <w:rsid w:val="00E52A65"/>
    <w:rsid w:val="00E52A81"/>
    <w:rsid w:val="00E52B84"/>
    <w:rsid w:val="00E52BBA"/>
    <w:rsid w:val="00E52C2C"/>
    <w:rsid w:val="00E52C6D"/>
    <w:rsid w:val="00E52CB7"/>
    <w:rsid w:val="00E52CDB"/>
    <w:rsid w:val="00E52D71"/>
    <w:rsid w:val="00E52DB7"/>
    <w:rsid w:val="00E52DC1"/>
    <w:rsid w:val="00E52DDA"/>
    <w:rsid w:val="00E52E77"/>
    <w:rsid w:val="00E52EE9"/>
    <w:rsid w:val="00E52F2C"/>
    <w:rsid w:val="00E52F3C"/>
    <w:rsid w:val="00E52F74"/>
    <w:rsid w:val="00E52F84"/>
    <w:rsid w:val="00E52FCE"/>
    <w:rsid w:val="00E530B2"/>
    <w:rsid w:val="00E530BF"/>
    <w:rsid w:val="00E532AA"/>
    <w:rsid w:val="00E532B6"/>
    <w:rsid w:val="00E532BF"/>
    <w:rsid w:val="00E533C5"/>
    <w:rsid w:val="00E53411"/>
    <w:rsid w:val="00E53426"/>
    <w:rsid w:val="00E5349F"/>
    <w:rsid w:val="00E53580"/>
    <w:rsid w:val="00E53584"/>
    <w:rsid w:val="00E53590"/>
    <w:rsid w:val="00E5359D"/>
    <w:rsid w:val="00E535A2"/>
    <w:rsid w:val="00E535B0"/>
    <w:rsid w:val="00E53601"/>
    <w:rsid w:val="00E53602"/>
    <w:rsid w:val="00E5369C"/>
    <w:rsid w:val="00E536B4"/>
    <w:rsid w:val="00E536CD"/>
    <w:rsid w:val="00E537B0"/>
    <w:rsid w:val="00E537B1"/>
    <w:rsid w:val="00E5387D"/>
    <w:rsid w:val="00E5387F"/>
    <w:rsid w:val="00E538F1"/>
    <w:rsid w:val="00E53956"/>
    <w:rsid w:val="00E53991"/>
    <w:rsid w:val="00E539E8"/>
    <w:rsid w:val="00E539EF"/>
    <w:rsid w:val="00E53A05"/>
    <w:rsid w:val="00E53AD8"/>
    <w:rsid w:val="00E53AF7"/>
    <w:rsid w:val="00E53BDD"/>
    <w:rsid w:val="00E53BE7"/>
    <w:rsid w:val="00E53C7F"/>
    <w:rsid w:val="00E53C80"/>
    <w:rsid w:val="00E53CD7"/>
    <w:rsid w:val="00E53D1C"/>
    <w:rsid w:val="00E53D9B"/>
    <w:rsid w:val="00E53DD6"/>
    <w:rsid w:val="00E53DF3"/>
    <w:rsid w:val="00E53E1C"/>
    <w:rsid w:val="00E53E42"/>
    <w:rsid w:val="00E53E74"/>
    <w:rsid w:val="00E53E7C"/>
    <w:rsid w:val="00E53E97"/>
    <w:rsid w:val="00E53EF5"/>
    <w:rsid w:val="00E53F05"/>
    <w:rsid w:val="00E53F0B"/>
    <w:rsid w:val="00E53F37"/>
    <w:rsid w:val="00E53F38"/>
    <w:rsid w:val="00E53F74"/>
    <w:rsid w:val="00E53F9B"/>
    <w:rsid w:val="00E53FB2"/>
    <w:rsid w:val="00E5402F"/>
    <w:rsid w:val="00E5408F"/>
    <w:rsid w:val="00E5410A"/>
    <w:rsid w:val="00E54141"/>
    <w:rsid w:val="00E54161"/>
    <w:rsid w:val="00E54181"/>
    <w:rsid w:val="00E54182"/>
    <w:rsid w:val="00E54196"/>
    <w:rsid w:val="00E541CD"/>
    <w:rsid w:val="00E54293"/>
    <w:rsid w:val="00E542AF"/>
    <w:rsid w:val="00E542D0"/>
    <w:rsid w:val="00E542F9"/>
    <w:rsid w:val="00E54303"/>
    <w:rsid w:val="00E54363"/>
    <w:rsid w:val="00E543B0"/>
    <w:rsid w:val="00E543FC"/>
    <w:rsid w:val="00E54407"/>
    <w:rsid w:val="00E5442A"/>
    <w:rsid w:val="00E5447D"/>
    <w:rsid w:val="00E54520"/>
    <w:rsid w:val="00E5455E"/>
    <w:rsid w:val="00E545AE"/>
    <w:rsid w:val="00E545ED"/>
    <w:rsid w:val="00E54691"/>
    <w:rsid w:val="00E54693"/>
    <w:rsid w:val="00E546D8"/>
    <w:rsid w:val="00E5479D"/>
    <w:rsid w:val="00E547BD"/>
    <w:rsid w:val="00E54801"/>
    <w:rsid w:val="00E5481C"/>
    <w:rsid w:val="00E5482C"/>
    <w:rsid w:val="00E54837"/>
    <w:rsid w:val="00E548B7"/>
    <w:rsid w:val="00E548C3"/>
    <w:rsid w:val="00E548CA"/>
    <w:rsid w:val="00E548D2"/>
    <w:rsid w:val="00E548E2"/>
    <w:rsid w:val="00E54935"/>
    <w:rsid w:val="00E5494C"/>
    <w:rsid w:val="00E5495B"/>
    <w:rsid w:val="00E54962"/>
    <w:rsid w:val="00E5497F"/>
    <w:rsid w:val="00E549F4"/>
    <w:rsid w:val="00E54A08"/>
    <w:rsid w:val="00E54A1B"/>
    <w:rsid w:val="00E54A7F"/>
    <w:rsid w:val="00E54B51"/>
    <w:rsid w:val="00E54B64"/>
    <w:rsid w:val="00E54B92"/>
    <w:rsid w:val="00E54BE8"/>
    <w:rsid w:val="00E54C23"/>
    <w:rsid w:val="00E54C24"/>
    <w:rsid w:val="00E54D92"/>
    <w:rsid w:val="00E54DC1"/>
    <w:rsid w:val="00E54E10"/>
    <w:rsid w:val="00E54E26"/>
    <w:rsid w:val="00E54E5A"/>
    <w:rsid w:val="00E54E9D"/>
    <w:rsid w:val="00E54F9A"/>
    <w:rsid w:val="00E5507C"/>
    <w:rsid w:val="00E5517F"/>
    <w:rsid w:val="00E5519A"/>
    <w:rsid w:val="00E551F1"/>
    <w:rsid w:val="00E55211"/>
    <w:rsid w:val="00E5526C"/>
    <w:rsid w:val="00E55279"/>
    <w:rsid w:val="00E5528F"/>
    <w:rsid w:val="00E552A5"/>
    <w:rsid w:val="00E552D6"/>
    <w:rsid w:val="00E55335"/>
    <w:rsid w:val="00E55349"/>
    <w:rsid w:val="00E5534F"/>
    <w:rsid w:val="00E55362"/>
    <w:rsid w:val="00E55386"/>
    <w:rsid w:val="00E553CC"/>
    <w:rsid w:val="00E553FE"/>
    <w:rsid w:val="00E55413"/>
    <w:rsid w:val="00E55437"/>
    <w:rsid w:val="00E5543B"/>
    <w:rsid w:val="00E5544F"/>
    <w:rsid w:val="00E55468"/>
    <w:rsid w:val="00E554AF"/>
    <w:rsid w:val="00E55555"/>
    <w:rsid w:val="00E5557F"/>
    <w:rsid w:val="00E555B4"/>
    <w:rsid w:val="00E55610"/>
    <w:rsid w:val="00E55654"/>
    <w:rsid w:val="00E55659"/>
    <w:rsid w:val="00E5565C"/>
    <w:rsid w:val="00E55796"/>
    <w:rsid w:val="00E55811"/>
    <w:rsid w:val="00E558BE"/>
    <w:rsid w:val="00E5591D"/>
    <w:rsid w:val="00E55B09"/>
    <w:rsid w:val="00E55BC9"/>
    <w:rsid w:val="00E55BCC"/>
    <w:rsid w:val="00E55C18"/>
    <w:rsid w:val="00E55CB9"/>
    <w:rsid w:val="00E55CE1"/>
    <w:rsid w:val="00E55CE7"/>
    <w:rsid w:val="00E55D2A"/>
    <w:rsid w:val="00E55D54"/>
    <w:rsid w:val="00E55D81"/>
    <w:rsid w:val="00E55D95"/>
    <w:rsid w:val="00E55DC1"/>
    <w:rsid w:val="00E55DD7"/>
    <w:rsid w:val="00E55E80"/>
    <w:rsid w:val="00E55ECD"/>
    <w:rsid w:val="00E55EEF"/>
    <w:rsid w:val="00E55F17"/>
    <w:rsid w:val="00E55F25"/>
    <w:rsid w:val="00E55F4F"/>
    <w:rsid w:val="00E55F57"/>
    <w:rsid w:val="00E55F82"/>
    <w:rsid w:val="00E56010"/>
    <w:rsid w:val="00E56038"/>
    <w:rsid w:val="00E5605E"/>
    <w:rsid w:val="00E5608A"/>
    <w:rsid w:val="00E56159"/>
    <w:rsid w:val="00E56199"/>
    <w:rsid w:val="00E5624B"/>
    <w:rsid w:val="00E56308"/>
    <w:rsid w:val="00E56338"/>
    <w:rsid w:val="00E56399"/>
    <w:rsid w:val="00E563E0"/>
    <w:rsid w:val="00E56422"/>
    <w:rsid w:val="00E56452"/>
    <w:rsid w:val="00E56479"/>
    <w:rsid w:val="00E5647D"/>
    <w:rsid w:val="00E564D8"/>
    <w:rsid w:val="00E56522"/>
    <w:rsid w:val="00E5655F"/>
    <w:rsid w:val="00E5657C"/>
    <w:rsid w:val="00E565A8"/>
    <w:rsid w:val="00E565AE"/>
    <w:rsid w:val="00E565C7"/>
    <w:rsid w:val="00E56627"/>
    <w:rsid w:val="00E566EB"/>
    <w:rsid w:val="00E56706"/>
    <w:rsid w:val="00E5677A"/>
    <w:rsid w:val="00E567A1"/>
    <w:rsid w:val="00E567C4"/>
    <w:rsid w:val="00E56866"/>
    <w:rsid w:val="00E568E2"/>
    <w:rsid w:val="00E568F5"/>
    <w:rsid w:val="00E56917"/>
    <w:rsid w:val="00E56936"/>
    <w:rsid w:val="00E56941"/>
    <w:rsid w:val="00E5698E"/>
    <w:rsid w:val="00E569A6"/>
    <w:rsid w:val="00E569B5"/>
    <w:rsid w:val="00E569D0"/>
    <w:rsid w:val="00E569F8"/>
    <w:rsid w:val="00E56A3F"/>
    <w:rsid w:val="00E56A45"/>
    <w:rsid w:val="00E56B86"/>
    <w:rsid w:val="00E56B97"/>
    <w:rsid w:val="00E56C17"/>
    <w:rsid w:val="00E56C3C"/>
    <w:rsid w:val="00E56CCF"/>
    <w:rsid w:val="00E56D02"/>
    <w:rsid w:val="00E56D0E"/>
    <w:rsid w:val="00E56DCC"/>
    <w:rsid w:val="00E56DE6"/>
    <w:rsid w:val="00E56E05"/>
    <w:rsid w:val="00E56E0D"/>
    <w:rsid w:val="00E56E0E"/>
    <w:rsid w:val="00E56E15"/>
    <w:rsid w:val="00E56E2F"/>
    <w:rsid w:val="00E56E48"/>
    <w:rsid w:val="00E56E54"/>
    <w:rsid w:val="00E56EB0"/>
    <w:rsid w:val="00E56F1D"/>
    <w:rsid w:val="00E56F7B"/>
    <w:rsid w:val="00E56FF4"/>
    <w:rsid w:val="00E57064"/>
    <w:rsid w:val="00E570C9"/>
    <w:rsid w:val="00E57213"/>
    <w:rsid w:val="00E57251"/>
    <w:rsid w:val="00E57258"/>
    <w:rsid w:val="00E57271"/>
    <w:rsid w:val="00E57277"/>
    <w:rsid w:val="00E5727F"/>
    <w:rsid w:val="00E57373"/>
    <w:rsid w:val="00E573A0"/>
    <w:rsid w:val="00E57431"/>
    <w:rsid w:val="00E57446"/>
    <w:rsid w:val="00E57460"/>
    <w:rsid w:val="00E57467"/>
    <w:rsid w:val="00E57488"/>
    <w:rsid w:val="00E574EE"/>
    <w:rsid w:val="00E57594"/>
    <w:rsid w:val="00E57599"/>
    <w:rsid w:val="00E575A8"/>
    <w:rsid w:val="00E575AF"/>
    <w:rsid w:val="00E575C5"/>
    <w:rsid w:val="00E57619"/>
    <w:rsid w:val="00E5767D"/>
    <w:rsid w:val="00E57829"/>
    <w:rsid w:val="00E5786D"/>
    <w:rsid w:val="00E57871"/>
    <w:rsid w:val="00E578C2"/>
    <w:rsid w:val="00E578FB"/>
    <w:rsid w:val="00E57906"/>
    <w:rsid w:val="00E57916"/>
    <w:rsid w:val="00E57962"/>
    <w:rsid w:val="00E57976"/>
    <w:rsid w:val="00E579A5"/>
    <w:rsid w:val="00E579B6"/>
    <w:rsid w:val="00E579CD"/>
    <w:rsid w:val="00E57A17"/>
    <w:rsid w:val="00E57A52"/>
    <w:rsid w:val="00E57A53"/>
    <w:rsid w:val="00E57A68"/>
    <w:rsid w:val="00E57A9C"/>
    <w:rsid w:val="00E57AD4"/>
    <w:rsid w:val="00E57AEB"/>
    <w:rsid w:val="00E57AFF"/>
    <w:rsid w:val="00E57B76"/>
    <w:rsid w:val="00E57BCD"/>
    <w:rsid w:val="00E57BDC"/>
    <w:rsid w:val="00E57C20"/>
    <w:rsid w:val="00E57C32"/>
    <w:rsid w:val="00E57C8F"/>
    <w:rsid w:val="00E57CAB"/>
    <w:rsid w:val="00E57CE9"/>
    <w:rsid w:val="00E57CEE"/>
    <w:rsid w:val="00E57CF6"/>
    <w:rsid w:val="00E57D64"/>
    <w:rsid w:val="00E57D8B"/>
    <w:rsid w:val="00E57DA3"/>
    <w:rsid w:val="00E57E1E"/>
    <w:rsid w:val="00E57E38"/>
    <w:rsid w:val="00E57E82"/>
    <w:rsid w:val="00E57EC2"/>
    <w:rsid w:val="00E57EF0"/>
    <w:rsid w:val="00E57F8A"/>
    <w:rsid w:val="00E6000D"/>
    <w:rsid w:val="00E60012"/>
    <w:rsid w:val="00E60020"/>
    <w:rsid w:val="00E6002A"/>
    <w:rsid w:val="00E600FD"/>
    <w:rsid w:val="00E60166"/>
    <w:rsid w:val="00E601DB"/>
    <w:rsid w:val="00E60216"/>
    <w:rsid w:val="00E602A9"/>
    <w:rsid w:val="00E603FB"/>
    <w:rsid w:val="00E6041B"/>
    <w:rsid w:val="00E60483"/>
    <w:rsid w:val="00E604B8"/>
    <w:rsid w:val="00E60508"/>
    <w:rsid w:val="00E60529"/>
    <w:rsid w:val="00E60531"/>
    <w:rsid w:val="00E6057D"/>
    <w:rsid w:val="00E605AB"/>
    <w:rsid w:val="00E605F7"/>
    <w:rsid w:val="00E605FF"/>
    <w:rsid w:val="00E60664"/>
    <w:rsid w:val="00E606A3"/>
    <w:rsid w:val="00E6072C"/>
    <w:rsid w:val="00E60738"/>
    <w:rsid w:val="00E6074C"/>
    <w:rsid w:val="00E60758"/>
    <w:rsid w:val="00E6075D"/>
    <w:rsid w:val="00E6079B"/>
    <w:rsid w:val="00E607E9"/>
    <w:rsid w:val="00E60861"/>
    <w:rsid w:val="00E609D3"/>
    <w:rsid w:val="00E60A60"/>
    <w:rsid w:val="00E60A85"/>
    <w:rsid w:val="00E60AB4"/>
    <w:rsid w:val="00E60AC0"/>
    <w:rsid w:val="00E60B36"/>
    <w:rsid w:val="00E60B6B"/>
    <w:rsid w:val="00E60BCC"/>
    <w:rsid w:val="00E60BF2"/>
    <w:rsid w:val="00E60CB7"/>
    <w:rsid w:val="00E60CC7"/>
    <w:rsid w:val="00E60CCD"/>
    <w:rsid w:val="00E60D04"/>
    <w:rsid w:val="00E60D55"/>
    <w:rsid w:val="00E60D60"/>
    <w:rsid w:val="00E60D73"/>
    <w:rsid w:val="00E60D7F"/>
    <w:rsid w:val="00E60DDA"/>
    <w:rsid w:val="00E60E70"/>
    <w:rsid w:val="00E60E7E"/>
    <w:rsid w:val="00E60ED4"/>
    <w:rsid w:val="00E60EEA"/>
    <w:rsid w:val="00E60F1C"/>
    <w:rsid w:val="00E60F49"/>
    <w:rsid w:val="00E60F6B"/>
    <w:rsid w:val="00E60F82"/>
    <w:rsid w:val="00E60F99"/>
    <w:rsid w:val="00E61067"/>
    <w:rsid w:val="00E61097"/>
    <w:rsid w:val="00E610A0"/>
    <w:rsid w:val="00E610BE"/>
    <w:rsid w:val="00E610CE"/>
    <w:rsid w:val="00E61131"/>
    <w:rsid w:val="00E6114B"/>
    <w:rsid w:val="00E61205"/>
    <w:rsid w:val="00E61277"/>
    <w:rsid w:val="00E612C9"/>
    <w:rsid w:val="00E612F6"/>
    <w:rsid w:val="00E6133C"/>
    <w:rsid w:val="00E6138C"/>
    <w:rsid w:val="00E613AB"/>
    <w:rsid w:val="00E613D9"/>
    <w:rsid w:val="00E6140F"/>
    <w:rsid w:val="00E61428"/>
    <w:rsid w:val="00E6145A"/>
    <w:rsid w:val="00E6147F"/>
    <w:rsid w:val="00E614A8"/>
    <w:rsid w:val="00E61592"/>
    <w:rsid w:val="00E6159D"/>
    <w:rsid w:val="00E615F1"/>
    <w:rsid w:val="00E61609"/>
    <w:rsid w:val="00E616FD"/>
    <w:rsid w:val="00E61712"/>
    <w:rsid w:val="00E617A8"/>
    <w:rsid w:val="00E61815"/>
    <w:rsid w:val="00E61818"/>
    <w:rsid w:val="00E6182F"/>
    <w:rsid w:val="00E618C3"/>
    <w:rsid w:val="00E6198D"/>
    <w:rsid w:val="00E619B1"/>
    <w:rsid w:val="00E619B7"/>
    <w:rsid w:val="00E619B8"/>
    <w:rsid w:val="00E619C7"/>
    <w:rsid w:val="00E619D9"/>
    <w:rsid w:val="00E61A2C"/>
    <w:rsid w:val="00E61A43"/>
    <w:rsid w:val="00E61B89"/>
    <w:rsid w:val="00E61B92"/>
    <w:rsid w:val="00E61BDA"/>
    <w:rsid w:val="00E61BF0"/>
    <w:rsid w:val="00E61C10"/>
    <w:rsid w:val="00E61C7B"/>
    <w:rsid w:val="00E61C9D"/>
    <w:rsid w:val="00E61CA1"/>
    <w:rsid w:val="00E61D0F"/>
    <w:rsid w:val="00E61D56"/>
    <w:rsid w:val="00E61D7B"/>
    <w:rsid w:val="00E61DCE"/>
    <w:rsid w:val="00E61DED"/>
    <w:rsid w:val="00E61E3F"/>
    <w:rsid w:val="00E61E70"/>
    <w:rsid w:val="00E61EA1"/>
    <w:rsid w:val="00E61EB0"/>
    <w:rsid w:val="00E61ECA"/>
    <w:rsid w:val="00E61F8A"/>
    <w:rsid w:val="00E6200D"/>
    <w:rsid w:val="00E6201C"/>
    <w:rsid w:val="00E620B6"/>
    <w:rsid w:val="00E620B7"/>
    <w:rsid w:val="00E62119"/>
    <w:rsid w:val="00E62123"/>
    <w:rsid w:val="00E62129"/>
    <w:rsid w:val="00E62149"/>
    <w:rsid w:val="00E62152"/>
    <w:rsid w:val="00E6215B"/>
    <w:rsid w:val="00E62261"/>
    <w:rsid w:val="00E62337"/>
    <w:rsid w:val="00E6233E"/>
    <w:rsid w:val="00E62381"/>
    <w:rsid w:val="00E623ED"/>
    <w:rsid w:val="00E6241B"/>
    <w:rsid w:val="00E6249B"/>
    <w:rsid w:val="00E624F7"/>
    <w:rsid w:val="00E624FD"/>
    <w:rsid w:val="00E6252D"/>
    <w:rsid w:val="00E625C0"/>
    <w:rsid w:val="00E625FB"/>
    <w:rsid w:val="00E62646"/>
    <w:rsid w:val="00E6267D"/>
    <w:rsid w:val="00E626BD"/>
    <w:rsid w:val="00E626C4"/>
    <w:rsid w:val="00E626E9"/>
    <w:rsid w:val="00E62729"/>
    <w:rsid w:val="00E62771"/>
    <w:rsid w:val="00E62849"/>
    <w:rsid w:val="00E6285E"/>
    <w:rsid w:val="00E62888"/>
    <w:rsid w:val="00E628AC"/>
    <w:rsid w:val="00E628DC"/>
    <w:rsid w:val="00E6290E"/>
    <w:rsid w:val="00E6297C"/>
    <w:rsid w:val="00E629C9"/>
    <w:rsid w:val="00E62A31"/>
    <w:rsid w:val="00E62A4E"/>
    <w:rsid w:val="00E62A6F"/>
    <w:rsid w:val="00E62A7F"/>
    <w:rsid w:val="00E62ABA"/>
    <w:rsid w:val="00E62AC0"/>
    <w:rsid w:val="00E62AD0"/>
    <w:rsid w:val="00E62AD3"/>
    <w:rsid w:val="00E62ADB"/>
    <w:rsid w:val="00E62B26"/>
    <w:rsid w:val="00E62B49"/>
    <w:rsid w:val="00E62B54"/>
    <w:rsid w:val="00E62CDD"/>
    <w:rsid w:val="00E62D02"/>
    <w:rsid w:val="00E62D26"/>
    <w:rsid w:val="00E62D6D"/>
    <w:rsid w:val="00E62DB0"/>
    <w:rsid w:val="00E62DC7"/>
    <w:rsid w:val="00E62DF0"/>
    <w:rsid w:val="00E62DFF"/>
    <w:rsid w:val="00E62E3F"/>
    <w:rsid w:val="00E62E4A"/>
    <w:rsid w:val="00E62EA2"/>
    <w:rsid w:val="00E62EBB"/>
    <w:rsid w:val="00E62ECA"/>
    <w:rsid w:val="00E62F2E"/>
    <w:rsid w:val="00E62F36"/>
    <w:rsid w:val="00E62F45"/>
    <w:rsid w:val="00E62F73"/>
    <w:rsid w:val="00E62FE7"/>
    <w:rsid w:val="00E62FEC"/>
    <w:rsid w:val="00E6305E"/>
    <w:rsid w:val="00E63081"/>
    <w:rsid w:val="00E63095"/>
    <w:rsid w:val="00E630BA"/>
    <w:rsid w:val="00E630C0"/>
    <w:rsid w:val="00E63117"/>
    <w:rsid w:val="00E6320A"/>
    <w:rsid w:val="00E63271"/>
    <w:rsid w:val="00E632FD"/>
    <w:rsid w:val="00E63321"/>
    <w:rsid w:val="00E63330"/>
    <w:rsid w:val="00E6339A"/>
    <w:rsid w:val="00E633CC"/>
    <w:rsid w:val="00E633F1"/>
    <w:rsid w:val="00E63407"/>
    <w:rsid w:val="00E63460"/>
    <w:rsid w:val="00E6348B"/>
    <w:rsid w:val="00E63496"/>
    <w:rsid w:val="00E634CE"/>
    <w:rsid w:val="00E634E8"/>
    <w:rsid w:val="00E63509"/>
    <w:rsid w:val="00E63544"/>
    <w:rsid w:val="00E63577"/>
    <w:rsid w:val="00E63657"/>
    <w:rsid w:val="00E6369B"/>
    <w:rsid w:val="00E636DA"/>
    <w:rsid w:val="00E63734"/>
    <w:rsid w:val="00E6373B"/>
    <w:rsid w:val="00E6373D"/>
    <w:rsid w:val="00E63746"/>
    <w:rsid w:val="00E63760"/>
    <w:rsid w:val="00E63765"/>
    <w:rsid w:val="00E6386A"/>
    <w:rsid w:val="00E6387F"/>
    <w:rsid w:val="00E6389D"/>
    <w:rsid w:val="00E638AC"/>
    <w:rsid w:val="00E638CB"/>
    <w:rsid w:val="00E63900"/>
    <w:rsid w:val="00E6397B"/>
    <w:rsid w:val="00E639D9"/>
    <w:rsid w:val="00E639F2"/>
    <w:rsid w:val="00E63A2E"/>
    <w:rsid w:val="00E63A57"/>
    <w:rsid w:val="00E63A59"/>
    <w:rsid w:val="00E63A8A"/>
    <w:rsid w:val="00E63B0E"/>
    <w:rsid w:val="00E63B47"/>
    <w:rsid w:val="00E63C50"/>
    <w:rsid w:val="00E63CB9"/>
    <w:rsid w:val="00E63CF6"/>
    <w:rsid w:val="00E63D4C"/>
    <w:rsid w:val="00E63D8A"/>
    <w:rsid w:val="00E63E12"/>
    <w:rsid w:val="00E63E5A"/>
    <w:rsid w:val="00E63E98"/>
    <w:rsid w:val="00E63F89"/>
    <w:rsid w:val="00E63FB1"/>
    <w:rsid w:val="00E64001"/>
    <w:rsid w:val="00E6406E"/>
    <w:rsid w:val="00E64110"/>
    <w:rsid w:val="00E64153"/>
    <w:rsid w:val="00E6415D"/>
    <w:rsid w:val="00E641A0"/>
    <w:rsid w:val="00E642A4"/>
    <w:rsid w:val="00E642E5"/>
    <w:rsid w:val="00E642EF"/>
    <w:rsid w:val="00E6431F"/>
    <w:rsid w:val="00E64384"/>
    <w:rsid w:val="00E643EE"/>
    <w:rsid w:val="00E6442A"/>
    <w:rsid w:val="00E64505"/>
    <w:rsid w:val="00E6451D"/>
    <w:rsid w:val="00E6454C"/>
    <w:rsid w:val="00E6455B"/>
    <w:rsid w:val="00E64614"/>
    <w:rsid w:val="00E646AD"/>
    <w:rsid w:val="00E646FF"/>
    <w:rsid w:val="00E64703"/>
    <w:rsid w:val="00E6470B"/>
    <w:rsid w:val="00E64717"/>
    <w:rsid w:val="00E64719"/>
    <w:rsid w:val="00E6472B"/>
    <w:rsid w:val="00E64730"/>
    <w:rsid w:val="00E64779"/>
    <w:rsid w:val="00E64806"/>
    <w:rsid w:val="00E64821"/>
    <w:rsid w:val="00E64839"/>
    <w:rsid w:val="00E64843"/>
    <w:rsid w:val="00E64879"/>
    <w:rsid w:val="00E64897"/>
    <w:rsid w:val="00E648EF"/>
    <w:rsid w:val="00E6490C"/>
    <w:rsid w:val="00E6490D"/>
    <w:rsid w:val="00E6492D"/>
    <w:rsid w:val="00E6498A"/>
    <w:rsid w:val="00E649A4"/>
    <w:rsid w:val="00E649ED"/>
    <w:rsid w:val="00E64A0E"/>
    <w:rsid w:val="00E64AD1"/>
    <w:rsid w:val="00E64B9C"/>
    <w:rsid w:val="00E64BE8"/>
    <w:rsid w:val="00E64BF2"/>
    <w:rsid w:val="00E64CAB"/>
    <w:rsid w:val="00E64DD5"/>
    <w:rsid w:val="00E64E5E"/>
    <w:rsid w:val="00E64E73"/>
    <w:rsid w:val="00E64E9F"/>
    <w:rsid w:val="00E64EBF"/>
    <w:rsid w:val="00E64ED2"/>
    <w:rsid w:val="00E64FE3"/>
    <w:rsid w:val="00E64FEB"/>
    <w:rsid w:val="00E6508C"/>
    <w:rsid w:val="00E6508D"/>
    <w:rsid w:val="00E650C8"/>
    <w:rsid w:val="00E650D3"/>
    <w:rsid w:val="00E65125"/>
    <w:rsid w:val="00E65189"/>
    <w:rsid w:val="00E65196"/>
    <w:rsid w:val="00E651FB"/>
    <w:rsid w:val="00E65245"/>
    <w:rsid w:val="00E65249"/>
    <w:rsid w:val="00E65305"/>
    <w:rsid w:val="00E6537E"/>
    <w:rsid w:val="00E65391"/>
    <w:rsid w:val="00E653A8"/>
    <w:rsid w:val="00E654F8"/>
    <w:rsid w:val="00E6550B"/>
    <w:rsid w:val="00E6550E"/>
    <w:rsid w:val="00E65548"/>
    <w:rsid w:val="00E655D3"/>
    <w:rsid w:val="00E65601"/>
    <w:rsid w:val="00E656AE"/>
    <w:rsid w:val="00E6570A"/>
    <w:rsid w:val="00E65747"/>
    <w:rsid w:val="00E6577E"/>
    <w:rsid w:val="00E657D7"/>
    <w:rsid w:val="00E657ED"/>
    <w:rsid w:val="00E6580F"/>
    <w:rsid w:val="00E6581A"/>
    <w:rsid w:val="00E6582A"/>
    <w:rsid w:val="00E6587D"/>
    <w:rsid w:val="00E658B7"/>
    <w:rsid w:val="00E658F7"/>
    <w:rsid w:val="00E65906"/>
    <w:rsid w:val="00E6592C"/>
    <w:rsid w:val="00E65970"/>
    <w:rsid w:val="00E65A0B"/>
    <w:rsid w:val="00E65A57"/>
    <w:rsid w:val="00E65A5C"/>
    <w:rsid w:val="00E65A9E"/>
    <w:rsid w:val="00E65AD1"/>
    <w:rsid w:val="00E65AE4"/>
    <w:rsid w:val="00E65B1A"/>
    <w:rsid w:val="00E65B27"/>
    <w:rsid w:val="00E65B46"/>
    <w:rsid w:val="00E65B5D"/>
    <w:rsid w:val="00E65B60"/>
    <w:rsid w:val="00E65B74"/>
    <w:rsid w:val="00E65B76"/>
    <w:rsid w:val="00E65B8E"/>
    <w:rsid w:val="00E65BB8"/>
    <w:rsid w:val="00E65C05"/>
    <w:rsid w:val="00E65C15"/>
    <w:rsid w:val="00E65C18"/>
    <w:rsid w:val="00E65C31"/>
    <w:rsid w:val="00E65C89"/>
    <w:rsid w:val="00E65CA3"/>
    <w:rsid w:val="00E65CB5"/>
    <w:rsid w:val="00E65CB9"/>
    <w:rsid w:val="00E65CBF"/>
    <w:rsid w:val="00E65D02"/>
    <w:rsid w:val="00E65D05"/>
    <w:rsid w:val="00E65D78"/>
    <w:rsid w:val="00E65D7A"/>
    <w:rsid w:val="00E65E0A"/>
    <w:rsid w:val="00E65E1C"/>
    <w:rsid w:val="00E65E38"/>
    <w:rsid w:val="00E65E42"/>
    <w:rsid w:val="00E65E71"/>
    <w:rsid w:val="00E65ED6"/>
    <w:rsid w:val="00E65EE7"/>
    <w:rsid w:val="00E65F82"/>
    <w:rsid w:val="00E65F83"/>
    <w:rsid w:val="00E65FCF"/>
    <w:rsid w:val="00E66024"/>
    <w:rsid w:val="00E66051"/>
    <w:rsid w:val="00E66065"/>
    <w:rsid w:val="00E660D5"/>
    <w:rsid w:val="00E660EB"/>
    <w:rsid w:val="00E660F7"/>
    <w:rsid w:val="00E66147"/>
    <w:rsid w:val="00E66195"/>
    <w:rsid w:val="00E661C7"/>
    <w:rsid w:val="00E6620A"/>
    <w:rsid w:val="00E6622B"/>
    <w:rsid w:val="00E66267"/>
    <w:rsid w:val="00E66271"/>
    <w:rsid w:val="00E662A0"/>
    <w:rsid w:val="00E66306"/>
    <w:rsid w:val="00E6631E"/>
    <w:rsid w:val="00E6634C"/>
    <w:rsid w:val="00E6638D"/>
    <w:rsid w:val="00E66399"/>
    <w:rsid w:val="00E6645B"/>
    <w:rsid w:val="00E664A4"/>
    <w:rsid w:val="00E66537"/>
    <w:rsid w:val="00E66577"/>
    <w:rsid w:val="00E665AC"/>
    <w:rsid w:val="00E665AE"/>
    <w:rsid w:val="00E6660E"/>
    <w:rsid w:val="00E66637"/>
    <w:rsid w:val="00E66692"/>
    <w:rsid w:val="00E666B4"/>
    <w:rsid w:val="00E666D9"/>
    <w:rsid w:val="00E66747"/>
    <w:rsid w:val="00E667E8"/>
    <w:rsid w:val="00E6687C"/>
    <w:rsid w:val="00E668CB"/>
    <w:rsid w:val="00E668FD"/>
    <w:rsid w:val="00E6693E"/>
    <w:rsid w:val="00E6693F"/>
    <w:rsid w:val="00E6696A"/>
    <w:rsid w:val="00E669C6"/>
    <w:rsid w:val="00E669D1"/>
    <w:rsid w:val="00E66A5F"/>
    <w:rsid w:val="00E66AAB"/>
    <w:rsid w:val="00E66B0C"/>
    <w:rsid w:val="00E66C40"/>
    <w:rsid w:val="00E66C6E"/>
    <w:rsid w:val="00E66CDE"/>
    <w:rsid w:val="00E66CE3"/>
    <w:rsid w:val="00E66D06"/>
    <w:rsid w:val="00E66D07"/>
    <w:rsid w:val="00E66D0F"/>
    <w:rsid w:val="00E66DED"/>
    <w:rsid w:val="00E66E23"/>
    <w:rsid w:val="00E66E4C"/>
    <w:rsid w:val="00E66E4D"/>
    <w:rsid w:val="00E66E7D"/>
    <w:rsid w:val="00E66E7F"/>
    <w:rsid w:val="00E66EBC"/>
    <w:rsid w:val="00E66F0E"/>
    <w:rsid w:val="00E66F1A"/>
    <w:rsid w:val="00E66FD6"/>
    <w:rsid w:val="00E670A6"/>
    <w:rsid w:val="00E670AC"/>
    <w:rsid w:val="00E670AD"/>
    <w:rsid w:val="00E670EB"/>
    <w:rsid w:val="00E67115"/>
    <w:rsid w:val="00E67170"/>
    <w:rsid w:val="00E67224"/>
    <w:rsid w:val="00E6723F"/>
    <w:rsid w:val="00E67251"/>
    <w:rsid w:val="00E67295"/>
    <w:rsid w:val="00E672D6"/>
    <w:rsid w:val="00E67324"/>
    <w:rsid w:val="00E67371"/>
    <w:rsid w:val="00E67445"/>
    <w:rsid w:val="00E6744A"/>
    <w:rsid w:val="00E674FE"/>
    <w:rsid w:val="00E67661"/>
    <w:rsid w:val="00E6769A"/>
    <w:rsid w:val="00E676EB"/>
    <w:rsid w:val="00E67767"/>
    <w:rsid w:val="00E67771"/>
    <w:rsid w:val="00E67796"/>
    <w:rsid w:val="00E677BF"/>
    <w:rsid w:val="00E677C3"/>
    <w:rsid w:val="00E677D4"/>
    <w:rsid w:val="00E677D9"/>
    <w:rsid w:val="00E67831"/>
    <w:rsid w:val="00E67833"/>
    <w:rsid w:val="00E6788F"/>
    <w:rsid w:val="00E678FC"/>
    <w:rsid w:val="00E6790B"/>
    <w:rsid w:val="00E67933"/>
    <w:rsid w:val="00E6796B"/>
    <w:rsid w:val="00E67994"/>
    <w:rsid w:val="00E679A8"/>
    <w:rsid w:val="00E679C4"/>
    <w:rsid w:val="00E679DF"/>
    <w:rsid w:val="00E67A31"/>
    <w:rsid w:val="00E67A87"/>
    <w:rsid w:val="00E67B5F"/>
    <w:rsid w:val="00E67BA7"/>
    <w:rsid w:val="00E67BA8"/>
    <w:rsid w:val="00E67BD4"/>
    <w:rsid w:val="00E67C2C"/>
    <w:rsid w:val="00E67C55"/>
    <w:rsid w:val="00E67CC6"/>
    <w:rsid w:val="00E67D69"/>
    <w:rsid w:val="00E67DDA"/>
    <w:rsid w:val="00E67EA9"/>
    <w:rsid w:val="00E67EB7"/>
    <w:rsid w:val="00E67F06"/>
    <w:rsid w:val="00E67FB4"/>
    <w:rsid w:val="00E67FF6"/>
    <w:rsid w:val="00E70059"/>
    <w:rsid w:val="00E70071"/>
    <w:rsid w:val="00E700BB"/>
    <w:rsid w:val="00E70180"/>
    <w:rsid w:val="00E701F8"/>
    <w:rsid w:val="00E7021C"/>
    <w:rsid w:val="00E702CB"/>
    <w:rsid w:val="00E70307"/>
    <w:rsid w:val="00E7030D"/>
    <w:rsid w:val="00E70334"/>
    <w:rsid w:val="00E70374"/>
    <w:rsid w:val="00E70391"/>
    <w:rsid w:val="00E703C1"/>
    <w:rsid w:val="00E703EF"/>
    <w:rsid w:val="00E70430"/>
    <w:rsid w:val="00E704A9"/>
    <w:rsid w:val="00E704E2"/>
    <w:rsid w:val="00E704E5"/>
    <w:rsid w:val="00E704EA"/>
    <w:rsid w:val="00E704FD"/>
    <w:rsid w:val="00E70534"/>
    <w:rsid w:val="00E70547"/>
    <w:rsid w:val="00E705C7"/>
    <w:rsid w:val="00E705FE"/>
    <w:rsid w:val="00E7065D"/>
    <w:rsid w:val="00E706F8"/>
    <w:rsid w:val="00E70778"/>
    <w:rsid w:val="00E707A4"/>
    <w:rsid w:val="00E70801"/>
    <w:rsid w:val="00E70866"/>
    <w:rsid w:val="00E70867"/>
    <w:rsid w:val="00E708BF"/>
    <w:rsid w:val="00E708DD"/>
    <w:rsid w:val="00E708EC"/>
    <w:rsid w:val="00E7092B"/>
    <w:rsid w:val="00E709BB"/>
    <w:rsid w:val="00E709FB"/>
    <w:rsid w:val="00E70AF9"/>
    <w:rsid w:val="00E70B66"/>
    <w:rsid w:val="00E70BE7"/>
    <w:rsid w:val="00E70C05"/>
    <w:rsid w:val="00E70CB6"/>
    <w:rsid w:val="00E70D88"/>
    <w:rsid w:val="00E70E06"/>
    <w:rsid w:val="00E70E14"/>
    <w:rsid w:val="00E70E38"/>
    <w:rsid w:val="00E70E40"/>
    <w:rsid w:val="00E70E8F"/>
    <w:rsid w:val="00E70EB9"/>
    <w:rsid w:val="00E70F93"/>
    <w:rsid w:val="00E70F99"/>
    <w:rsid w:val="00E70FDD"/>
    <w:rsid w:val="00E71072"/>
    <w:rsid w:val="00E710C5"/>
    <w:rsid w:val="00E7112E"/>
    <w:rsid w:val="00E7119F"/>
    <w:rsid w:val="00E711E3"/>
    <w:rsid w:val="00E711E7"/>
    <w:rsid w:val="00E7127F"/>
    <w:rsid w:val="00E712BC"/>
    <w:rsid w:val="00E712BF"/>
    <w:rsid w:val="00E712C8"/>
    <w:rsid w:val="00E712FE"/>
    <w:rsid w:val="00E71322"/>
    <w:rsid w:val="00E713B5"/>
    <w:rsid w:val="00E71436"/>
    <w:rsid w:val="00E71470"/>
    <w:rsid w:val="00E7148B"/>
    <w:rsid w:val="00E714AA"/>
    <w:rsid w:val="00E714AE"/>
    <w:rsid w:val="00E71553"/>
    <w:rsid w:val="00E71569"/>
    <w:rsid w:val="00E71578"/>
    <w:rsid w:val="00E7164A"/>
    <w:rsid w:val="00E71650"/>
    <w:rsid w:val="00E716DE"/>
    <w:rsid w:val="00E716F6"/>
    <w:rsid w:val="00E7179A"/>
    <w:rsid w:val="00E717C8"/>
    <w:rsid w:val="00E717CC"/>
    <w:rsid w:val="00E717E1"/>
    <w:rsid w:val="00E71853"/>
    <w:rsid w:val="00E71856"/>
    <w:rsid w:val="00E718C8"/>
    <w:rsid w:val="00E718CB"/>
    <w:rsid w:val="00E718DF"/>
    <w:rsid w:val="00E71953"/>
    <w:rsid w:val="00E71A55"/>
    <w:rsid w:val="00E71BCD"/>
    <w:rsid w:val="00E71BF2"/>
    <w:rsid w:val="00E71C42"/>
    <w:rsid w:val="00E71C97"/>
    <w:rsid w:val="00E71E99"/>
    <w:rsid w:val="00E71EB4"/>
    <w:rsid w:val="00E71EDC"/>
    <w:rsid w:val="00E71F32"/>
    <w:rsid w:val="00E71F8F"/>
    <w:rsid w:val="00E7200C"/>
    <w:rsid w:val="00E72028"/>
    <w:rsid w:val="00E7203A"/>
    <w:rsid w:val="00E72049"/>
    <w:rsid w:val="00E72050"/>
    <w:rsid w:val="00E72059"/>
    <w:rsid w:val="00E72107"/>
    <w:rsid w:val="00E72137"/>
    <w:rsid w:val="00E72179"/>
    <w:rsid w:val="00E72239"/>
    <w:rsid w:val="00E7225B"/>
    <w:rsid w:val="00E7225E"/>
    <w:rsid w:val="00E72265"/>
    <w:rsid w:val="00E7226E"/>
    <w:rsid w:val="00E722A0"/>
    <w:rsid w:val="00E722C6"/>
    <w:rsid w:val="00E722EA"/>
    <w:rsid w:val="00E72325"/>
    <w:rsid w:val="00E72386"/>
    <w:rsid w:val="00E7246E"/>
    <w:rsid w:val="00E724D3"/>
    <w:rsid w:val="00E72545"/>
    <w:rsid w:val="00E72680"/>
    <w:rsid w:val="00E726AC"/>
    <w:rsid w:val="00E726C2"/>
    <w:rsid w:val="00E726DE"/>
    <w:rsid w:val="00E72726"/>
    <w:rsid w:val="00E72735"/>
    <w:rsid w:val="00E7273F"/>
    <w:rsid w:val="00E72772"/>
    <w:rsid w:val="00E72788"/>
    <w:rsid w:val="00E72798"/>
    <w:rsid w:val="00E727C1"/>
    <w:rsid w:val="00E72830"/>
    <w:rsid w:val="00E728B8"/>
    <w:rsid w:val="00E729A2"/>
    <w:rsid w:val="00E729DC"/>
    <w:rsid w:val="00E729F0"/>
    <w:rsid w:val="00E72A07"/>
    <w:rsid w:val="00E72A2E"/>
    <w:rsid w:val="00E72A86"/>
    <w:rsid w:val="00E72B25"/>
    <w:rsid w:val="00E72C01"/>
    <w:rsid w:val="00E72C3E"/>
    <w:rsid w:val="00E72C47"/>
    <w:rsid w:val="00E72C89"/>
    <w:rsid w:val="00E72CEC"/>
    <w:rsid w:val="00E72D03"/>
    <w:rsid w:val="00E72D2A"/>
    <w:rsid w:val="00E72E3B"/>
    <w:rsid w:val="00E72E50"/>
    <w:rsid w:val="00E72EA8"/>
    <w:rsid w:val="00E72EAA"/>
    <w:rsid w:val="00E72EB0"/>
    <w:rsid w:val="00E72EB4"/>
    <w:rsid w:val="00E72ED6"/>
    <w:rsid w:val="00E72F26"/>
    <w:rsid w:val="00E72F97"/>
    <w:rsid w:val="00E72FA2"/>
    <w:rsid w:val="00E72FCB"/>
    <w:rsid w:val="00E73051"/>
    <w:rsid w:val="00E73064"/>
    <w:rsid w:val="00E730BA"/>
    <w:rsid w:val="00E730D8"/>
    <w:rsid w:val="00E730E5"/>
    <w:rsid w:val="00E730ED"/>
    <w:rsid w:val="00E7310E"/>
    <w:rsid w:val="00E73124"/>
    <w:rsid w:val="00E731FC"/>
    <w:rsid w:val="00E7321D"/>
    <w:rsid w:val="00E73252"/>
    <w:rsid w:val="00E73253"/>
    <w:rsid w:val="00E732A0"/>
    <w:rsid w:val="00E732FB"/>
    <w:rsid w:val="00E73341"/>
    <w:rsid w:val="00E7335E"/>
    <w:rsid w:val="00E7336A"/>
    <w:rsid w:val="00E73404"/>
    <w:rsid w:val="00E73452"/>
    <w:rsid w:val="00E73458"/>
    <w:rsid w:val="00E734A0"/>
    <w:rsid w:val="00E734CD"/>
    <w:rsid w:val="00E734E1"/>
    <w:rsid w:val="00E734F9"/>
    <w:rsid w:val="00E73538"/>
    <w:rsid w:val="00E73574"/>
    <w:rsid w:val="00E7361D"/>
    <w:rsid w:val="00E73674"/>
    <w:rsid w:val="00E7367A"/>
    <w:rsid w:val="00E7369D"/>
    <w:rsid w:val="00E736DC"/>
    <w:rsid w:val="00E7375E"/>
    <w:rsid w:val="00E737D5"/>
    <w:rsid w:val="00E73832"/>
    <w:rsid w:val="00E73842"/>
    <w:rsid w:val="00E738BC"/>
    <w:rsid w:val="00E738CE"/>
    <w:rsid w:val="00E738E3"/>
    <w:rsid w:val="00E738E4"/>
    <w:rsid w:val="00E73912"/>
    <w:rsid w:val="00E7398C"/>
    <w:rsid w:val="00E73996"/>
    <w:rsid w:val="00E739C1"/>
    <w:rsid w:val="00E739C8"/>
    <w:rsid w:val="00E73A03"/>
    <w:rsid w:val="00E73B01"/>
    <w:rsid w:val="00E73B76"/>
    <w:rsid w:val="00E73BB1"/>
    <w:rsid w:val="00E73BB5"/>
    <w:rsid w:val="00E73BCF"/>
    <w:rsid w:val="00E73BE5"/>
    <w:rsid w:val="00E73C00"/>
    <w:rsid w:val="00E73C3C"/>
    <w:rsid w:val="00E73CAA"/>
    <w:rsid w:val="00E73DD5"/>
    <w:rsid w:val="00E73E04"/>
    <w:rsid w:val="00E73E94"/>
    <w:rsid w:val="00E73F6B"/>
    <w:rsid w:val="00E73F72"/>
    <w:rsid w:val="00E73FFE"/>
    <w:rsid w:val="00E74030"/>
    <w:rsid w:val="00E74038"/>
    <w:rsid w:val="00E740D2"/>
    <w:rsid w:val="00E74194"/>
    <w:rsid w:val="00E741AF"/>
    <w:rsid w:val="00E741C6"/>
    <w:rsid w:val="00E74234"/>
    <w:rsid w:val="00E7424A"/>
    <w:rsid w:val="00E74253"/>
    <w:rsid w:val="00E74260"/>
    <w:rsid w:val="00E742B4"/>
    <w:rsid w:val="00E742DB"/>
    <w:rsid w:val="00E74333"/>
    <w:rsid w:val="00E7434E"/>
    <w:rsid w:val="00E743A3"/>
    <w:rsid w:val="00E74452"/>
    <w:rsid w:val="00E7449E"/>
    <w:rsid w:val="00E744D8"/>
    <w:rsid w:val="00E744EB"/>
    <w:rsid w:val="00E744EF"/>
    <w:rsid w:val="00E74515"/>
    <w:rsid w:val="00E74528"/>
    <w:rsid w:val="00E7453C"/>
    <w:rsid w:val="00E7454F"/>
    <w:rsid w:val="00E7457E"/>
    <w:rsid w:val="00E745B9"/>
    <w:rsid w:val="00E746C8"/>
    <w:rsid w:val="00E746FD"/>
    <w:rsid w:val="00E74719"/>
    <w:rsid w:val="00E74741"/>
    <w:rsid w:val="00E747AE"/>
    <w:rsid w:val="00E747DE"/>
    <w:rsid w:val="00E747E1"/>
    <w:rsid w:val="00E747F1"/>
    <w:rsid w:val="00E747FF"/>
    <w:rsid w:val="00E74861"/>
    <w:rsid w:val="00E748D5"/>
    <w:rsid w:val="00E74976"/>
    <w:rsid w:val="00E749CE"/>
    <w:rsid w:val="00E74A14"/>
    <w:rsid w:val="00E74A7E"/>
    <w:rsid w:val="00E74A89"/>
    <w:rsid w:val="00E74AC9"/>
    <w:rsid w:val="00E74B3A"/>
    <w:rsid w:val="00E74B47"/>
    <w:rsid w:val="00E74B4E"/>
    <w:rsid w:val="00E74C3C"/>
    <w:rsid w:val="00E74C5B"/>
    <w:rsid w:val="00E74CCE"/>
    <w:rsid w:val="00E74CDF"/>
    <w:rsid w:val="00E74D5B"/>
    <w:rsid w:val="00E74D66"/>
    <w:rsid w:val="00E74E7D"/>
    <w:rsid w:val="00E74E9D"/>
    <w:rsid w:val="00E74F09"/>
    <w:rsid w:val="00E74F47"/>
    <w:rsid w:val="00E74FE7"/>
    <w:rsid w:val="00E75037"/>
    <w:rsid w:val="00E7504D"/>
    <w:rsid w:val="00E75057"/>
    <w:rsid w:val="00E75086"/>
    <w:rsid w:val="00E75098"/>
    <w:rsid w:val="00E750B1"/>
    <w:rsid w:val="00E750E3"/>
    <w:rsid w:val="00E75132"/>
    <w:rsid w:val="00E751A3"/>
    <w:rsid w:val="00E751B8"/>
    <w:rsid w:val="00E751D9"/>
    <w:rsid w:val="00E75203"/>
    <w:rsid w:val="00E75205"/>
    <w:rsid w:val="00E75221"/>
    <w:rsid w:val="00E752CA"/>
    <w:rsid w:val="00E752EF"/>
    <w:rsid w:val="00E752F4"/>
    <w:rsid w:val="00E7534B"/>
    <w:rsid w:val="00E75366"/>
    <w:rsid w:val="00E753A9"/>
    <w:rsid w:val="00E753AA"/>
    <w:rsid w:val="00E7540A"/>
    <w:rsid w:val="00E7546F"/>
    <w:rsid w:val="00E75493"/>
    <w:rsid w:val="00E7549E"/>
    <w:rsid w:val="00E754CB"/>
    <w:rsid w:val="00E754E0"/>
    <w:rsid w:val="00E754E5"/>
    <w:rsid w:val="00E754F3"/>
    <w:rsid w:val="00E7558E"/>
    <w:rsid w:val="00E755AA"/>
    <w:rsid w:val="00E755FA"/>
    <w:rsid w:val="00E75727"/>
    <w:rsid w:val="00E75742"/>
    <w:rsid w:val="00E75770"/>
    <w:rsid w:val="00E757A8"/>
    <w:rsid w:val="00E757F1"/>
    <w:rsid w:val="00E758EC"/>
    <w:rsid w:val="00E7590B"/>
    <w:rsid w:val="00E759AE"/>
    <w:rsid w:val="00E75A57"/>
    <w:rsid w:val="00E75AC3"/>
    <w:rsid w:val="00E75AD9"/>
    <w:rsid w:val="00E75B00"/>
    <w:rsid w:val="00E75BBE"/>
    <w:rsid w:val="00E75BD0"/>
    <w:rsid w:val="00E75C33"/>
    <w:rsid w:val="00E75C99"/>
    <w:rsid w:val="00E75DAF"/>
    <w:rsid w:val="00E75DC7"/>
    <w:rsid w:val="00E75E35"/>
    <w:rsid w:val="00E75E48"/>
    <w:rsid w:val="00E75ED4"/>
    <w:rsid w:val="00E75EDC"/>
    <w:rsid w:val="00E75F25"/>
    <w:rsid w:val="00E75F28"/>
    <w:rsid w:val="00E75FA5"/>
    <w:rsid w:val="00E75FB4"/>
    <w:rsid w:val="00E7603E"/>
    <w:rsid w:val="00E76040"/>
    <w:rsid w:val="00E76062"/>
    <w:rsid w:val="00E761C9"/>
    <w:rsid w:val="00E76233"/>
    <w:rsid w:val="00E76262"/>
    <w:rsid w:val="00E76268"/>
    <w:rsid w:val="00E76286"/>
    <w:rsid w:val="00E762BF"/>
    <w:rsid w:val="00E762CF"/>
    <w:rsid w:val="00E76304"/>
    <w:rsid w:val="00E76311"/>
    <w:rsid w:val="00E76329"/>
    <w:rsid w:val="00E763B8"/>
    <w:rsid w:val="00E763D7"/>
    <w:rsid w:val="00E76445"/>
    <w:rsid w:val="00E7646F"/>
    <w:rsid w:val="00E7648A"/>
    <w:rsid w:val="00E765BD"/>
    <w:rsid w:val="00E765EB"/>
    <w:rsid w:val="00E76648"/>
    <w:rsid w:val="00E7665F"/>
    <w:rsid w:val="00E76662"/>
    <w:rsid w:val="00E76685"/>
    <w:rsid w:val="00E7669B"/>
    <w:rsid w:val="00E766B5"/>
    <w:rsid w:val="00E76723"/>
    <w:rsid w:val="00E76749"/>
    <w:rsid w:val="00E76868"/>
    <w:rsid w:val="00E7689F"/>
    <w:rsid w:val="00E768AB"/>
    <w:rsid w:val="00E768EA"/>
    <w:rsid w:val="00E76917"/>
    <w:rsid w:val="00E76935"/>
    <w:rsid w:val="00E76947"/>
    <w:rsid w:val="00E76963"/>
    <w:rsid w:val="00E7698C"/>
    <w:rsid w:val="00E769E8"/>
    <w:rsid w:val="00E76A07"/>
    <w:rsid w:val="00E76A35"/>
    <w:rsid w:val="00E76A70"/>
    <w:rsid w:val="00E76B4E"/>
    <w:rsid w:val="00E76BCE"/>
    <w:rsid w:val="00E76C16"/>
    <w:rsid w:val="00E76CBA"/>
    <w:rsid w:val="00E76CDF"/>
    <w:rsid w:val="00E76D11"/>
    <w:rsid w:val="00E76D55"/>
    <w:rsid w:val="00E76D76"/>
    <w:rsid w:val="00E76E77"/>
    <w:rsid w:val="00E76E9C"/>
    <w:rsid w:val="00E76E9D"/>
    <w:rsid w:val="00E76EA3"/>
    <w:rsid w:val="00E76EAB"/>
    <w:rsid w:val="00E76F23"/>
    <w:rsid w:val="00E76F61"/>
    <w:rsid w:val="00E76FF7"/>
    <w:rsid w:val="00E76FF9"/>
    <w:rsid w:val="00E77018"/>
    <w:rsid w:val="00E7702A"/>
    <w:rsid w:val="00E7706E"/>
    <w:rsid w:val="00E77072"/>
    <w:rsid w:val="00E7707F"/>
    <w:rsid w:val="00E77083"/>
    <w:rsid w:val="00E770F9"/>
    <w:rsid w:val="00E77191"/>
    <w:rsid w:val="00E77232"/>
    <w:rsid w:val="00E77259"/>
    <w:rsid w:val="00E7728B"/>
    <w:rsid w:val="00E772C1"/>
    <w:rsid w:val="00E77364"/>
    <w:rsid w:val="00E773F3"/>
    <w:rsid w:val="00E773F6"/>
    <w:rsid w:val="00E77467"/>
    <w:rsid w:val="00E7746C"/>
    <w:rsid w:val="00E7749D"/>
    <w:rsid w:val="00E77502"/>
    <w:rsid w:val="00E7756B"/>
    <w:rsid w:val="00E77571"/>
    <w:rsid w:val="00E775DA"/>
    <w:rsid w:val="00E77628"/>
    <w:rsid w:val="00E7762A"/>
    <w:rsid w:val="00E77653"/>
    <w:rsid w:val="00E77698"/>
    <w:rsid w:val="00E776CF"/>
    <w:rsid w:val="00E77706"/>
    <w:rsid w:val="00E7775D"/>
    <w:rsid w:val="00E777BC"/>
    <w:rsid w:val="00E777DB"/>
    <w:rsid w:val="00E777E1"/>
    <w:rsid w:val="00E77851"/>
    <w:rsid w:val="00E77896"/>
    <w:rsid w:val="00E7789C"/>
    <w:rsid w:val="00E77937"/>
    <w:rsid w:val="00E7798F"/>
    <w:rsid w:val="00E779DE"/>
    <w:rsid w:val="00E77A4F"/>
    <w:rsid w:val="00E77A54"/>
    <w:rsid w:val="00E77A75"/>
    <w:rsid w:val="00E77A88"/>
    <w:rsid w:val="00E77B0D"/>
    <w:rsid w:val="00E77B38"/>
    <w:rsid w:val="00E77B6B"/>
    <w:rsid w:val="00E77BAB"/>
    <w:rsid w:val="00E77BFD"/>
    <w:rsid w:val="00E77C2D"/>
    <w:rsid w:val="00E77C6E"/>
    <w:rsid w:val="00E77CA8"/>
    <w:rsid w:val="00E77CDB"/>
    <w:rsid w:val="00E77D0B"/>
    <w:rsid w:val="00E77D11"/>
    <w:rsid w:val="00E77D3D"/>
    <w:rsid w:val="00E77D4E"/>
    <w:rsid w:val="00E77D7A"/>
    <w:rsid w:val="00E77D83"/>
    <w:rsid w:val="00E77D8C"/>
    <w:rsid w:val="00E77DC8"/>
    <w:rsid w:val="00E77E08"/>
    <w:rsid w:val="00E77E25"/>
    <w:rsid w:val="00E77E2C"/>
    <w:rsid w:val="00E77E48"/>
    <w:rsid w:val="00E77E70"/>
    <w:rsid w:val="00E77E85"/>
    <w:rsid w:val="00E77ECB"/>
    <w:rsid w:val="00E77F58"/>
    <w:rsid w:val="00E77FE3"/>
    <w:rsid w:val="00E8002E"/>
    <w:rsid w:val="00E80077"/>
    <w:rsid w:val="00E80154"/>
    <w:rsid w:val="00E80264"/>
    <w:rsid w:val="00E80289"/>
    <w:rsid w:val="00E802B1"/>
    <w:rsid w:val="00E8035E"/>
    <w:rsid w:val="00E8035F"/>
    <w:rsid w:val="00E8036A"/>
    <w:rsid w:val="00E80447"/>
    <w:rsid w:val="00E804A0"/>
    <w:rsid w:val="00E804DB"/>
    <w:rsid w:val="00E80502"/>
    <w:rsid w:val="00E80510"/>
    <w:rsid w:val="00E80530"/>
    <w:rsid w:val="00E80623"/>
    <w:rsid w:val="00E8068A"/>
    <w:rsid w:val="00E80703"/>
    <w:rsid w:val="00E80796"/>
    <w:rsid w:val="00E8079F"/>
    <w:rsid w:val="00E807B3"/>
    <w:rsid w:val="00E807DC"/>
    <w:rsid w:val="00E8082E"/>
    <w:rsid w:val="00E8088C"/>
    <w:rsid w:val="00E808A7"/>
    <w:rsid w:val="00E808BA"/>
    <w:rsid w:val="00E808D5"/>
    <w:rsid w:val="00E808DB"/>
    <w:rsid w:val="00E808F5"/>
    <w:rsid w:val="00E80905"/>
    <w:rsid w:val="00E80925"/>
    <w:rsid w:val="00E80941"/>
    <w:rsid w:val="00E8095D"/>
    <w:rsid w:val="00E8099E"/>
    <w:rsid w:val="00E809A0"/>
    <w:rsid w:val="00E809AA"/>
    <w:rsid w:val="00E809EF"/>
    <w:rsid w:val="00E80A0C"/>
    <w:rsid w:val="00E80A10"/>
    <w:rsid w:val="00E80A69"/>
    <w:rsid w:val="00E80AC1"/>
    <w:rsid w:val="00E80B02"/>
    <w:rsid w:val="00E80BB2"/>
    <w:rsid w:val="00E80BC6"/>
    <w:rsid w:val="00E80BCA"/>
    <w:rsid w:val="00E80BD8"/>
    <w:rsid w:val="00E80C10"/>
    <w:rsid w:val="00E80C33"/>
    <w:rsid w:val="00E80C9A"/>
    <w:rsid w:val="00E80D32"/>
    <w:rsid w:val="00E80E25"/>
    <w:rsid w:val="00E80E50"/>
    <w:rsid w:val="00E80F9C"/>
    <w:rsid w:val="00E80FAB"/>
    <w:rsid w:val="00E81097"/>
    <w:rsid w:val="00E810BA"/>
    <w:rsid w:val="00E81157"/>
    <w:rsid w:val="00E81207"/>
    <w:rsid w:val="00E812C3"/>
    <w:rsid w:val="00E8133B"/>
    <w:rsid w:val="00E81364"/>
    <w:rsid w:val="00E81365"/>
    <w:rsid w:val="00E81372"/>
    <w:rsid w:val="00E813D5"/>
    <w:rsid w:val="00E813F0"/>
    <w:rsid w:val="00E8140A"/>
    <w:rsid w:val="00E814C3"/>
    <w:rsid w:val="00E81519"/>
    <w:rsid w:val="00E815B2"/>
    <w:rsid w:val="00E815FC"/>
    <w:rsid w:val="00E8165A"/>
    <w:rsid w:val="00E816A9"/>
    <w:rsid w:val="00E8170E"/>
    <w:rsid w:val="00E8171A"/>
    <w:rsid w:val="00E81733"/>
    <w:rsid w:val="00E81735"/>
    <w:rsid w:val="00E81789"/>
    <w:rsid w:val="00E8179E"/>
    <w:rsid w:val="00E817E7"/>
    <w:rsid w:val="00E818BA"/>
    <w:rsid w:val="00E81944"/>
    <w:rsid w:val="00E81947"/>
    <w:rsid w:val="00E8195C"/>
    <w:rsid w:val="00E81A11"/>
    <w:rsid w:val="00E81B93"/>
    <w:rsid w:val="00E81BA6"/>
    <w:rsid w:val="00E81BEF"/>
    <w:rsid w:val="00E81C4F"/>
    <w:rsid w:val="00E81C50"/>
    <w:rsid w:val="00E81CDD"/>
    <w:rsid w:val="00E81D31"/>
    <w:rsid w:val="00E81D32"/>
    <w:rsid w:val="00E81D33"/>
    <w:rsid w:val="00E81D98"/>
    <w:rsid w:val="00E81DD8"/>
    <w:rsid w:val="00E81E49"/>
    <w:rsid w:val="00E81ECD"/>
    <w:rsid w:val="00E81F13"/>
    <w:rsid w:val="00E81F26"/>
    <w:rsid w:val="00E82000"/>
    <w:rsid w:val="00E8202C"/>
    <w:rsid w:val="00E820AA"/>
    <w:rsid w:val="00E820C6"/>
    <w:rsid w:val="00E820D8"/>
    <w:rsid w:val="00E820E1"/>
    <w:rsid w:val="00E820F6"/>
    <w:rsid w:val="00E8211A"/>
    <w:rsid w:val="00E8211E"/>
    <w:rsid w:val="00E8219E"/>
    <w:rsid w:val="00E821CB"/>
    <w:rsid w:val="00E82225"/>
    <w:rsid w:val="00E8232D"/>
    <w:rsid w:val="00E823AB"/>
    <w:rsid w:val="00E8241D"/>
    <w:rsid w:val="00E8243B"/>
    <w:rsid w:val="00E8249D"/>
    <w:rsid w:val="00E8249F"/>
    <w:rsid w:val="00E824DA"/>
    <w:rsid w:val="00E824F2"/>
    <w:rsid w:val="00E82525"/>
    <w:rsid w:val="00E82528"/>
    <w:rsid w:val="00E8254A"/>
    <w:rsid w:val="00E8254E"/>
    <w:rsid w:val="00E8265E"/>
    <w:rsid w:val="00E82662"/>
    <w:rsid w:val="00E8268A"/>
    <w:rsid w:val="00E82773"/>
    <w:rsid w:val="00E82779"/>
    <w:rsid w:val="00E827A7"/>
    <w:rsid w:val="00E827BA"/>
    <w:rsid w:val="00E827CC"/>
    <w:rsid w:val="00E827EE"/>
    <w:rsid w:val="00E82853"/>
    <w:rsid w:val="00E8286D"/>
    <w:rsid w:val="00E828E9"/>
    <w:rsid w:val="00E82978"/>
    <w:rsid w:val="00E829B3"/>
    <w:rsid w:val="00E829BF"/>
    <w:rsid w:val="00E829D1"/>
    <w:rsid w:val="00E82A3A"/>
    <w:rsid w:val="00E82A5F"/>
    <w:rsid w:val="00E82B09"/>
    <w:rsid w:val="00E82B77"/>
    <w:rsid w:val="00E82B9C"/>
    <w:rsid w:val="00E82BB6"/>
    <w:rsid w:val="00E82C3A"/>
    <w:rsid w:val="00E82C5E"/>
    <w:rsid w:val="00E82CED"/>
    <w:rsid w:val="00E82D90"/>
    <w:rsid w:val="00E82DA9"/>
    <w:rsid w:val="00E82DB8"/>
    <w:rsid w:val="00E82E4C"/>
    <w:rsid w:val="00E82EF0"/>
    <w:rsid w:val="00E82EF4"/>
    <w:rsid w:val="00E82F4A"/>
    <w:rsid w:val="00E82FF3"/>
    <w:rsid w:val="00E830E4"/>
    <w:rsid w:val="00E83148"/>
    <w:rsid w:val="00E8319F"/>
    <w:rsid w:val="00E831CC"/>
    <w:rsid w:val="00E83222"/>
    <w:rsid w:val="00E8324D"/>
    <w:rsid w:val="00E83317"/>
    <w:rsid w:val="00E833CD"/>
    <w:rsid w:val="00E833E2"/>
    <w:rsid w:val="00E83412"/>
    <w:rsid w:val="00E83424"/>
    <w:rsid w:val="00E834C0"/>
    <w:rsid w:val="00E834E2"/>
    <w:rsid w:val="00E8356F"/>
    <w:rsid w:val="00E835EA"/>
    <w:rsid w:val="00E835F5"/>
    <w:rsid w:val="00E83695"/>
    <w:rsid w:val="00E836AA"/>
    <w:rsid w:val="00E8371D"/>
    <w:rsid w:val="00E83755"/>
    <w:rsid w:val="00E837E9"/>
    <w:rsid w:val="00E837F9"/>
    <w:rsid w:val="00E838A9"/>
    <w:rsid w:val="00E8395E"/>
    <w:rsid w:val="00E83A5F"/>
    <w:rsid w:val="00E83AA2"/>
    <w:rsid w:val="00E83ABD"/>
    <w:rsid w:val="00E83AD8"/>
    <w:rsid w:val="00E83B59"/>
    <w:rsid w:val="00E83C00"/>
    <w:rsid w:val="00E83C45"/>
    <w:rsid w:val="00E83C95"/>
    <w:rsid w:val="00E83CB9"/>
    <w:rsid w:val="00E83D12"/>
    <w:rsid w:val="00E83D1E"/>
    <w:rsid w:val="00E83D70"/>
    <w:rsid w:val="00E83D71"/>
    <w:rsid w:val="00E83D8A"/>
    <w:rsid w:val="00E83DF5"/>
    <w:rsid w:val="00E83E59"/>
    <w:rsid w:val="00E83EDE"/>
    <w:rsid w:val="00E83F1B"/>
    <w:rsid w:val="00E83F27"/>
    <w:rsid w:val="00E840B7"/>
    <w:rsid w:val="00E840F4"/>
    <w:rsid w:val="00E841AD"/>
    <w:rsid w:val="00E841B6"/>
    <w:rsid w:val="00E841C0"/>
    <w:rsid w:val="00E841C1"/>
    <w:rsid w:val="00E84225"/>
    <w:rsid w:val="00E8422C"/>
    <w:rsid w:val="00E842F0"/>
    <w:rsid w:val="00E84374"/>
    <w:rsid w:val="00E8446D"/>
    <w:rsid w:val="00E844B6"/>
    <w:rsid w:val="00E8457E"/>
    <w:rsid w:val="00E84589"/>
    <w:rsid w:val="00E845A9"/>
    <w:rsid w:val="00E8461B"/>
    <w:rsid w:val="00E84620"/>
    <w:rsid w:val="00E846CD"/>
    <w:rsid w:val="00E846D3"/>
    <w:rsid w:val="00E84734"/>
    <w:rsid w:val="00E84736"/>
    <w:rsid w:val="00E84828"/>
    <w:rsid w:val="00E8482D"/>
    <w:rsid w:val="00E8491F"/>
    <w:rsid w:val="00E84931"/>
    <w:rsid w:val="00E849CC"/>
    <w:rsid w:val="00E849EA"/>
    <w:rsid w:val="00E84A09"/>
    <w:rsid w:val="00E84A28"/>
    <w:rsid w:val="00E84AB5"/>
    <w:rsid w:val="00E84AD6"/>
    <w:rsid w:val="00E84C09"/>
    <w:rsid w:val="00E84C10"/>
    <w:rsid w:val="00E84C3A"/>
    <w:rsid w:val="00E84C43"/>
    <w:rsid w:val="00E84C92"/>
    <w:rsid w:val="00E84CAB"/>
    <w:rsid w:val="00E84CC0"/>
    <w:rsid w:val="00E84CCE"/>
    <w:rsid w:val="00E84CD1"/>
    <w:rsid w:val="00E84CD8"/>
    <w:rsid w:val="00E84CEA"/>
    <w:rsid w:val="00E84D1D"/>
    <w:rsid w:val="00E84D36"/>
    <w:rsid w:val="00E84D7B"/>
    <w:rsid w:val="00E84DC6"/>
    <w:rsid w:val="00E84DF6"/>
    <w:rsid w:val="00E84E28"/>
    <w:rsid w:val="00E84EB7"/>
    <w:rsid w:val="00E84ED1"/>
    <w:rsid w:val="00E84EF4"/>
    <w:rsid w:val="00E84F01"/>
    <w:rsid w:val="00E84F55"/>
    <w:rsid w:val="00E84FDA"/>
    <w:rsid w:val="00E85050"/>
    <w:rsid w:val="00E85094"/>
    <w:rsid w:val="00E850D8"/>
    <w:rsid w:val="00E85153"/>
    <w:rsid w:val="00E85179"/>
    <w:rsid w:val="00E851C6"/>
    <w:rsid w:val="00E8520B"/>
    <w:rsid w:val="00E85269"/>
    <w:rsid w:val="00E852CF"/>
    <w:rsid w:val="00E85337"/>
    <w:rsid w:val="00E8538E"/>
    <w:rsid w:val="00E853A1"/>
    <w:rsid w:val="00E853B8"/>
    <w:rsid w:val="00E853EB"/>
    <w:rsid w:val="00E85435"/>
    <w:rsid w:val="00E85462"/>
    <w:rsid w:val="00E854D6"/>
    <w:rsid w:val="00E854F1"/>
    <w:rsid w:val="00E85572"/>
    <w:rsid w:val="00E855E6"/>
    <w:rsid w:val="00E85605"/>
    <w:rsid w:val="00E85620"/>
    <w:rsid w:val="00E85622"/>
    <w:rsid w:val="00E85625"/>
    <w:rsid w:val="00E85637"/>
    <w:rsid w:val="00E85652"/>
    <w:rsid w:val="00E8568E"/>
    <w:rsid w:val="00E856BA"/>
    <w:rsid w:val="00E85711"/>
    <w:rsid w:val="00E857B0"/>
    <w:rsid w:val="00E858A5"/>
    <w:rsid w:val="00E858BC"/>
    <w:rsid w:val="00E858D9"/>
    <w:rsid w:val="00E85978"/>
    <w:rsid w:val="00E859CB"/>
    <w:rsid w:val="00E85A49"/>
    <w:rsid w:val="00E85A69"/>
    <w:rsid w:val="00E85A71"/>
    <w:rsid w:val="00E85AE8"/>
    <w:rsid w:val="00E85AF2"/>
    <w:rsid w:val="00E85B30"/>
    <w:rsid w:val="00E85B9B"/>
    <w:rsid w:val="00E85BE4"/>
    <w:rsid w:val="00E85C1C"/>
    <w:rsid w:val="00E85C1F"/>
    <w:rsid w:val="00E85CC6"/>
    <w:rsid w:val="00E85CDE"/>
    <w:rsid w:val="00E85D1A"/>
    <w:rsid w:val="00E85D26"/>
    <w:rsid w:val="00E85D2F"/>
    <w:rsid w:val="00E85DEE"/>
    <w:rsid w:val="00E85E1C"/>
    <w:rsid w:val="00E85EA2"/>
    <w:rsid w:val="00E85EA4"/>
    <w:rsid w:val="00E85EC3"/>
    <w:rsid w:val="00E85EE7"/>
    <w:rsid w:val="00E85F0B"/>
    <w:rsid w:val="00E85F59"/>
    <w:rsid w:val="00E85FF8"/>
    <w:rsid w:val="00E860A9"/>
    <w:rsid w:val="00E8611A"/>
    <w:rsid w:val="00E86132"/>
    <w:rsid w:val="00E86158"/>
    <w:rsid w:val="00E8616B"/>
    <w:rsid w:val="00E861ED"/>
    <w:rsid w:val="00E86256"/>
    <w:rsid w:val="00E86278"/>
    <w:rsid w:val="00E862D4"/>
    <w:rsid w:val="00E862E4"/>
    <w:rsid w:val="00E8636C"/>
    <w:rsid w:val="00E8637C"/>
    <w:rsid w:val="00E863CC"/>
    <w:rsid w:val="00E86485"/>
    <w:rsid w:val="00E86492"/>
    <w:rsid w:val="00E864B3"/>
    <w:rsid w:val="00E86512"/>
    <w:rsid w:val="00E86520"/>
    <w:rsid w:val="00E8652A"/>
    <w:rsid w:val="00E8652D"/>
    <w:rsid w:val="00E86557"/>
    <w:rsid w:val="00E8657C"/>
    <w:rsid w:val="00E865B4"/>
    <w:rsid w:val="00E86616"/>
    <w:rsid w:val="00E86661"/>
    <w:rsid w:val="00E8669C"/>
    <w:rsid w:val="00E866BE"/>
    <w:rsid w:val="00E866E4"/>
    <w:rsid w:val="00E86724"/>
    <w:rsid w:val="00E8673E"/>
    <w:rsid w:val="00E8676D"/>
    <w:rsid w:val="00E86781"/>
    <w:rsid w:val="00E868C1"/>
    <w:rsid w:val="00E868F0"/>
    <w:rsid w:val="00E868F7"/>
    <w:rsid w:val="00E86912"/>
    <w:rsid w:val="00E869AD"/>
    <w:rsid w:val="00E86A47"/>
    <w:rsid w:val="00E86A60"/>
    <w:rsid w:val="00E86A8B"/>
    <w:rsid w:val="00E86ABD"/>
    <w:rsid w:val="00E86B32"/>
    <w:rsid w:val="00E86C37"/>
    <w:rsid w:val="00E86C5D"/>
    <w:rsid w:val="00E86C60"/>
    <w:rsid w:val="00E86CC2"/>
    <w:rsid w:val="00E86D28"/>
    <w:rsid w:val="00E86D56"/>
    <w:rsid w:val="00E86D57"/>
    <w:rsid w:val="00E86DBE"/>
    <w:rsid w:val="00E86E06"/>
    <w:rsid w:val="00E86E1F"/>
    <w:rsid w:val="00E86E4D"/>
    <w:rsid w:val="00E86EF4"/>
    <w:rsid w:val="00E86F64"/>
    <w:rsid w:val="00E86FE4"/>
    <w:rsid w:val="00E87094"/>
    <w:rsid w:val="00E870C1"/>
    <w:rsid w:val="00E8717C"/>
    <w:rsid w:val="00E871E9"/>
    <w:rsid w:val="00E8725D"/>
    <w:rsid w:val="00E8727D"/>
    <w:rsid w:val="00E8735A"/>
    <w:rsid w:val="00E8738C"/>
    <w:rsid w:val="00E87439"/>
    <w:rsid w:val="00E8751E"/>
    <w:rsid w:val="00E8754C"/>
    <w:rsid w:val="00E87558"/>
    <w:rsid w:val="00E8755E"/>
    <w:rsid w:val="00E875FB"/>
    <w:rsid w:val="00E8761F"/>
    <w:rsid w:val="00E87671"/>
    <w:rsid w:val="00E87734"/>
    <w:rsid w:val="00E8778A"/>
    <w:rsid w:val="00E877D9"/>
    <w:rsid w:val="00E87836"/>
    <w:rsid w:val="00E87848"/>
    <w:rsid w:val="00E8784A"/>
    <w:rsid w:val="00E8785A"/>
    <w:rsid w:val="00E87874"/>
    <w:rsid w:val="00E87886"/>
    <w:rsid w:val="00E878C2"/>
    <w:rsid w:val="00E87970"/>
    <w:rsid w:val="00E879AD"/>
    <w:rsid w:val="00E879AE"/>
    <w:rsid w:val="00E87A32"/>
    <w:rsid w:val="00E87A9B"/>
    <w:rsid w:val="00E87ABD"/>
    <w:rsid w:val="00E87ABF"/>
    <w:rsid w:val="00E87B14"/>
    <w:rsid w:val="00E87B32"/>
    <w:rsid w:val="00E87B84"/>
    <w:rsid w:val="00E87BA9"/>
    <w:rsid w:val="00E87BBA"/>
    <w:rsid w:val="00E87C56"/>
    <w:rsid w:val="00E87C80"/>
    <w:rsid w:val="00E87C89"/>
    <w:rsid w:val="00E87CFD"/>
    <w:rsid w:val="00E87D10"/>
    <w:rsid w:val="00E87D5A"/>
    <w:rsid w:val="00E87D65"/>
    <w:rsid w:val="00E87D6B"/>
    <w:rsid w:val="00E87D82"/>
    <w:rsid w:val="00E87D98"/>
    <w:rsid w:val="00E87DCE"/>
    <w:rsid w:val="00E87E0E"/>
    <w:rsid w:val="00E87E8D"/>
    <w:rsid w:val="00E87E9D"/>
    <w:rsid w:val="00E87F4D"/>
    <w:rsid w:val="00E87F59"/>
    <w:rsid w:val="00E87F64"/>
    <w:rsid w:val="00E900A1"/>
    <w:rsid w:val="00E90119"/>
    <w:rsid w:val="00E9012C"/>
    <w:rsid w:val="00E90132"/>
    <w:rsid w:val="00E902B5"/>
    <w:rsid w:val="00E90323"/>
    <w:rsid w:val="00E9036F"/>
    <w:rsid w:val="00E90373"/>
    <w:rsid w:val="00E9041A"/>
    <w:rsid w:val="00E90462"/>
    <w:rsid w:val="00E90468"/>
    <w:rsid w:val="00E905B9"/>
    <w:rsid w:val="00E9066C"/>
    <w:rsid w:val="00E90675"/>
    <w:rsid w:val="00E9068E"/>
    <w:rsid w:val="00E906E9"/>
    <w:rsid w:val="00E9071D"/>
    <w:rsid w:val="00E907DF"/>
    <w:rsid w:val="00E907FF"/>
    <w:rsid w:val="00E9083D"/>
    <w:rsid w:val="00E90851"/>
    <w:rsid w:val="00E90895"/>
    <w:rsid w:val="00E9089C"/>
    <w:rsid w:val="00E90987"/>
    <w:rsid w:val="00E909D9"/>
    <w:rsid w:val="00E90A5A"/>
    <w:rsid w:val="00E90A8F"/>
    <w:rsid w:val="00E90AF7"/>
    <w:rsid w:val="00E90B04"/>
    <w:rsid w:val="00E90B9B"/>
    <w:rsid w:val="00E90BB8"/>
    <w:rsid w:val="00E90C1E"/>
    <w:rsid w:val="00E90C6C"/>
    <w:rsid w:val="00E90CA6"/>
    <w:rsid w:val="00E90CFF"/>
    <w:rsid w:val="00E90D72"/>
    <w:rsid w:val="00E90DCD"/>
    <w:rsid w:val="00E90E71"/>
    <w:rsid w:val="00E90E76"/>
    <w:rsid w:val="00E90E80"/>
    <w:rsid w:val="00E90ED5"/>
    <w:rsid w:val="00E90F3A"/>
    <w:rsid w:val="00E90F5E"/>
    <w:rsid w:val="00E90FF8"/>
    <w:rsid w:val="00E9102C"/>
    <w:rsid w:val="00E91066"/>
    <w:rsid w:val="00E91084"/>
    <w:rsid w:val="00E910B4"/>
    <w:rsid w:val="00E9111C"/>
    <w:rsid w:val="00E91160"/>
    <w:rsid w:val="00E91195"/>
    <w:rsid w:val="00E91197"/>
    <w:rsid w:val="00E911E1"/>
    <w:rsid w:val="00E91211"/>
    <w:rsid w:val="00E91264"/>
    <w:rsid w:val="00E912A4"/>
    <w:rsid w:val="00E912D4"/>
    <w:rsid w:val="00E912FF"/>
    <w:rsid w:val="00E91304"/>
    <w:rsid w:val="00E9143F"/>
    <w:rsid w:val="00E9146B"/>
    <w:rsid w:val="00E914B8"/>
    <w:rsid w:val="00E914E8"/>
    <w:rsid w:val="00E9151B"/>
    <w:rsid w:val="00E91544"/>
    <w:rsid w:val="00E91559"/>
    <w:rsid w:val="00E915B1"/>
    <w:rsid w:val="00E915C0"/>
    <w:rsid w:val="00E915DC"/>
    <w:rsid w:val="00E915F0"/>
    <w:rsid w:val="00E9163F"/>
    <w:rsid w:val="00E91653"/>
    <w:rsid w:val="00E91661"/>
    <w:rsid w:val="00E91682"/>
    <w:rsid w:val="00E91686"/>
    <w:rsid w:val="00E91762"/>
    <w:rsid w:val="00E9178D"/>
    <w:rsid w:val="00E917E9"/>
    <w:rsid w:val="00E9183B"/>
    <w:rsid w:val="00E9185A"/>
    <w:rsid w:val="00E91927"/>
    <w:rsid w:val="00E91935"/>
    <w:rsid w:val="00E91979"/>
    <w:rsid w:val="00E91981"/>
    <w:rsid w:val="00E919EA"/>
    <w:rsid w:val="00E91A3C"/>
    <w:rsid w:val="00E91A47"/>
    <w:rsid w:val="00E91A58"/>
    <w:rsid w:val="00E91A88"/>
    <w:rsid w:val="00E91AD5"/>
    <w:rsid w:val="00E91AD9"/>
    <w:rsid w:val="00E91B1A"/>
    <w:rsid w:val="00E91B1B"/>
    <w:rsid w:val="00E91B98"/>
    <w:rsid w:val="00E91C90"/>
    <w:rsid w:val="00E91CE1"/>
    <w:rsid w:val="00E91CF0"/>
    <w:rsid w:val="00E91D41"/>
    <w:rsid w:val="00E91DB1"/>
    <w:rsid w:val="00E91DE8"/>
    <w:rsid w:val="00E91E34"/>
    <w:rsid w:val="00E91E67"/>
    <w:rsid w:val="00E91EEB"/>
    <w:rsid w:val="00E91F49"/>
    <w:rsid w:val="00E91F6A"/>
    <w:rsid w:val="00E91FA4"/>
    <w:rsid w:val="00E920A6"/>
    <w:rsid w:val="00E92104"/>
    <w:rsid w:val="00E92195"/>
    <w:rsid w:val="00E921F2"/>
    <w:rsid w:val="00E9222F"/>
    <w:rsid w:val="00E92241"/>
    <w:rsid w:val="00E92275"/>
    <w:rsid w:val="00E922BE"/>
    <w:rsid w:val="00E9232F"/>
    <w:rsid w:val="00E923E1"/>
    <w:rsid w:val="00E923FA"/>
    <w:rsid w:val="00E9241D"/>
    <w:rsid w:val="00E92456"/>
    <w:rsid w:val="00E92459"/>
    <w:rsid w:val="00E9254F"/>
    <w:rsid w:val="00E925F5"/>
    <w:rsid w:val="00E92634"/>
    <w:rsid w:val="00E926B2"/>
    <w:rsid w:val="00E926C8"/>
    <w:rsid w:val="00E9277A"/>
    <w:rsid w:val="00E927C0"/>
    <w:rsid w:val="00E927D2"/>
    <w:rsid w:val="00E9285C"/>
    <w:rsid w:val="00E9287C"/>
    <w:rsid w:val="00E928BC"/>
    <w:rsid w:val="00E928EF"/>
    <w:rsid w:val="00E92946"/>
    <w:rsid w:val="00E9294A"/>
    <w:rsid w:val="00E92963"/>
    <w:rsid w:val="00E929BA"/>
    <w:rsid w:val="00E92A7D"/>
    <w:rsid w:val="00E92B26"/>
    <w:rsid w:val="00E92B3C"/>
    <w:rsid w:val="00E92BDB"/>
    <w:rsid w:val="00E92C30"/>
    <w:rsid w:val="00E92C91"/>
    <w:rsid w:val="00E92CCB"/>
    <w:rsid w:val="00E92CEB"/>
    <w:rsid w:val="00E92DD5"/>
    <w:rsid w:val="00E92E2D"/>
    <w:rsid w:val="00E92E6E"/>
    <w:rsid w:val="00E92E96"/>
    <w:rsid w:val="00E92ED5"/>
    <w:rsid w:val="00E92EFE"/>
    <w:rsid w:val="00E92FE7"/>
    <w:rsid w:val="00E9303D"/>
    <w:rsid w:val="00E93055"/>
    <w:rsid w:val="00E930AB"/>
    <w:rsid w:val="00E930BE"/>
    <w:rsid w:val="00E930D5"/>
    <w:rsid w:val="00E931C3"/>
    <w:rsid w:val="00E93206"/>
    <w:rsid w:val="00E93227"/>
    <w:rsid w:val="00E93281"/>
    <w:rsid w:val="00E93291"/>
    <w:rsid w:val="00E932B2"/>
    <w:rsid w:val="00E9330B"/>
    <w:rsid w:val="00E9330C"/>
    <w:rsid w:val="00E9331B"/>
    <w:rsid w:val="00E933BF"/>
    <w:rsid w:val="00E933F1"/>
    <w:rsid w:val="00E93456"/>
    <w:rsid w:val="00E93486"/>
    <w:rsid w:val="00E9348F"/>
    <w:rsid w:val="00E934C0"/>
    <w:rsid w:val="00E93542"/>
    <w:rsid w:val="00E93554"/>
    <w:rsid w:val="00E935A8"/>
    <w:rsid w:val="00E93605"/>
    <w:rsid w:val="00E93653"/>
    <w:rsid w:val="00E93691"/>
    <w:rsid w:val="00E936E7"/>
    <w:rsid w:val="00E93701"/>
    <w:rsid w:val="00E93739"/>
    <w:rsid w:val="00E937F7"/>
    <w:rsid w:val="00E9390E"/>
    <w:rsid w:val="00E9392B"/>
    <w:rsid w:val="00E93932"/>
    <w:rsid w:val="00E93953"/>
    <w:rsid w:val="00E939DC"/>
    <w:rsid w:val="00E93A08"/>
    <w:rsid w:val="00E93A21"/>
    <w:rsid w:val="00E93A3B"/>
    <w:rsid w:val="00E93A4B"/>
    <w:rsid w:val="00E93A6F"/>
    <w:rsid w:val="00E93A8D"/>
    <w:rsid w:val="00E93AA8"/>
    <w:rsid w:val="00E93AC3"/>
    <w:rsid w:val="00E93AE1"/>
    <w:rsid w:val="00E93B06"/>
    <w:rsid w:val="00E93B59"/>
    <w:rsid w:val="00E93B76"/>
    <w:rsid w:val="00E93BFC"/>
    <w:rsid w:val="00E93C39"/>
    <w:rsid w:val="00E93C76"/>
    <w:rsid w:val="00E93C9C"/>
    <w:rsid w:val="00E93C9F"/>
    <w:rsid w:val="00E93CAD"/>
    <w:rsid w:val="00E93CBF"/>
    <w:rsid w:val="00E93CD2"/>
    <w:rsid w:val="00E93CF3"/>
    <w:rsid w:val="00E93D0C"/>
    <w:rsid w:val="00E93D19"/>
    <w:rsid w:val="00E93D56"/>
    <w:rsid w:val="00E93D70"/>
    <w:rsid w:val="00E93E11"/>
    <w:rsid w:val="00E93ECD"/>
    <w:rsid w:val="00E93EF3"/>
    <w:rsid w:val="00E93F36"/>
    <w:rsid w:val="00E940AF"/>
    <w:rsid w:val="00E94166"/>
    <w:rsid w:val="00E9416F"/>
    <w:rsid w:val="00E941C0"/>
    <w:rsid w:val="00E941C9"/>
    <w:rsid w:val="00E941E8"/>
    <w:rsid w:val="00E94217"/>
    <w:rsid w:val="00E94230"/>
    <w:rsid w:val="00E942A7"/>
    <w:rsid w:val="00E942BB"/>
    <w:rsid w:val="00E943E4"/>
    <w:rsid w:val="00E944DC"/>
    <w:rsid w:val="00E9450F"/>
    <w:rsid w:val="00E94519"/>
    <w:rsid w:val="00E9458C"/>
    <w:rsid w:val="00E94597"/>
    <w:rsid w:val="00E94680"/>
    <w:rsid w:val="00E94753"/>
    <w:rsid w:val="00E94786"/>
    <w:rsid w:val="00E94791"/>
    <w:rsid w:val="00E947FB"/>
    <w:rsid w:val="00E9480E"/>
    <w:rsid w:val="00E9486E"/>
    <w:rsid w:val="00E94899"/>
    <w:rsid w:val="00E949BA"/>
    <w:rsid w:val="00E949C6"/>
    <w:rsid w:val="00E94A4F"/>
    <w:rsid w:val="00E94A64"/>
    <w:rsid w:val="00E94AAD"/>
    <w:rsid w:val="00E94B28"/>
    <w:rsid w:val="00E94B56"/>
    <w:rsid w:val="00E94B65"/>
    <w:rsid w:val="00E94B97"/>
    <w:rsid w:val="00E94BC3"/>
    <w:rsid w:val="00E94C08"/>
    <w:rsid w:val="00E94C1E"/>
    <w:rsid w:val="00E94C2E"/>
    <w:rsid w:val="00E94CA6"/>
    <w:rsid w:val="00E94CF7"/>
    <w:rsid w:val="00E94D15"/>
    <w:rsid w:val="00E94D25"/>
    <w:rsid w:val="00E94D28"/>
    <w:rsid w:val="00E94D2F"/>
    <w:rsid w:val="00E94DC1"/>
    <w:rsid w:val="00E94EF8"/>
    <w:rsid w:val="00E94EFC"/>
    <w:rsid w:val="00E94F48"/>
    <w:rsid w:val="00E94F7E"/>
    <w:rsid w:val="00E94FA4"/>
    <w:rsid w:val="00E94FA6"/>
    <w:rsid w:val="00E94FCB"/>
    <w:rsid w:val="00E95050"/>
    <w:rsid w:val="00E9508A"/>
    <w:rsid w:val="00E95095"/>
    <w:rsid w:val="00E95180"/>
    <w:rsid w:val="00E951A7"/>
    <w:rsid w:val="00E951B6"/>
    <w:rsid w:val="00E951BD"/>
    <w:rsid w:val="00E95204"/>
    <w:rsid w:val="00E95275"/>
    <w:rsid w:val="00E95297"/>
    <w:rsid w:val="00E952CE"/>
    <w:rsid w:val="00E95375"/>
    <w:rsid w:val="00E953AB"/>
    <w:rsid w:val="00E953C1"/>
    <w:rsid w:val="00E95450"/>
    <w:rsid w:val="00E95507"/>
    <w:rsid w:val="00E9552F"/>
    <w:rsid w:val="00E95545"/>
    <w:rsid w:val="00E95591"/>
    <w:rsid w:val="00E95623"/>
    <w:rsid w:val="00E95699"/>
    <w:rsid w:val="00E956F8"/>
    <w:rsid w:val="00E956FD"/>
    <w:rsid w:val="00E9575D"/>
    <w:rsid w:val="00E957A0"/>
    <w:rsid w:val="00E95991"/>
    <w:rsid w:val="00E95994"/>
    <w:rsid w:val="00E959C0"/>
    <w:rsid w:val="00E959C2"/>
    <w:rsid w:val="00E959EE"/>
    <w:rsid w:val="00E959EF"/>
    <w:rsid w:val="00E959FE"/>
    <w:rsid w:val="00E95A3F"/>
    <w:rsid w:val="00E95A64"/>
    <w:rsid w:val="00E95A98"/>
    <w:rsid w:val="00E95AB2"/>
    <w:rsid w:val="00E95B5E"/>
    <w:rsid w:val="00E95BF1"/>
    <w:rsid w:val="00E95C2A"/>
    <w:rsid w:val="00E95C5F"/>
    <w:rsid w:val="00E95C67"/>
    <w:rsid w:val="00E95C87"/>
    <w:rsid w:val="00E95CD5"/>
    <w:rsid w:val="00E95D11"/>
    <w:rsid w:val="00E95D35"/>
    <w:rsid w:val="00E95D43"/>
    <w:rsid w:val="00E95D6A"/>
    <w:rsid w:val="00E95D74"/>
    <w:rsid w:val="00E95E16"/>
    <w:rsid w:val="00E95E29"/>
    <w:rsid w:val="00E95E8A"/>
    <w:rsid w:val="00E95EF7"/>
    <w:rsid w:val="00E95F99"/>
    <w:rsid w:val="00E95FCB"/>
    <w:rsid w:val="00E95FE5"/>
    <w:rsid w:val="00E9601D"/>
    <w:rsid w:val="00E96052"/>
    <w:rsid w:val="00E9605C"/>
    <w:rsid w:val="00E9606C"/>
    <w:rsid w:val="00E9606F"/>
    <w:rsid w:val="00E9609E"/>
    <w:rsid w:val="00E960A9"/>
    <w:rsid w:val="00E960ED"/>
    <w:rsid w:val="00E96126"/>
    <w:rsid w:val="00E96130"/>
    <w:rsid w:val="00E96168"/>
    <w:rsid w:val="00E961FC"/>
    <w:rsid w:val="00E96231"/>
    <w:rsid w:val="00E9628F"/>
    <w:rsid w:val="00E962BF"/>
    <w:rsid w:val="00E9638F"/>
    <w:rsid w:val="00E963A0"/>
    <w:rsid w:val="00E963B6"/>
    <w:rsid w:val="00E9641A"/>
    <w:rsid w:val="00E96495"/>
    <w:rsid w:val="00E9649F"/>
    <w:rsid w:val="00E964C1"/>
    <w:rsid w:val="00E9655B"/>
    <w:rsid w:val="00E9658B"/>
    <w:rsid w:val="00E965AB"/>
    <w:rsid w:val="00E965B3"/>
    <w:rsid w:val="00E965C3"/>
    <w:rsid w:val="00E965D5"/>
    <w:rsid w:val="00E9662D"/>
    <w:rsid w:val="00E9666B"/>
    <w:rsid w:val="00E96748"/>
    <w:rsid w:val="00E967D9"/>
    <w:rsid w:val="00E967FA"/>
    <w:rsid w:val="00E96821"/>
    <w:rsid w:val="00E9685A"/>
    <w:rsid w:val="00E96864"/>
    <w:rsid w:val="00E9691D"/>
    <w:rsid w:val="00E96948"/>
    <w:rsid w:val="00E9695F"/>
    <w:rsid w:val="00E96961"/>
    <w:rsid w:val="00E96970"/>
    <w:rsid w:val="00E96A03"/>
    <w:rsid w:val="00E96A64"/>
    <w:rsid w:val="00E96BAD"/>
    <w:rsid w:val="00E96BF5"/>
    <w:rsid w:val="00E96C1B"/>
    <w:rsid w:val="00E96CA4"/>
    <w:rsid w:val="00E96CE0"/>
    <w:rsid w:val="00E96CE9"/>
    <w:rsid w:val="00E96D64"/>
    <w:rsid w:val="00E96DCD"/>
    <w:rsid w:val="00E96E2C"/>
    <w:rsid w:val="00E96E79"/>
    <w:rsid w:val="00E96E7E"/>
    <w:rsid w:val="00E96EFB"/>
    <w:rsid w:val="00E96FDE"/>
    <w:rsid w:val="00E97010"/>
    <w:rsid w:val="00E97040"/>
    <w:rsid w:val="00E9705C"/>
    <w:rsid w:val="00E970B5"/>
    <w:rsid w:val="00E970C0"/>
    <w:rsid w:val="00E970DD"/>
    <w:rsid w:val="00E97140"/>
    <w:rsid w:val="00E9720E"/>
    <w:rsid w:val="00E9727A"/>
    <w:rsid w:val="00E972D1"/>
    <w:rsid w:val="00E972DF"/>
    <w:rsid w:val="00E9733A"/>
    <w:rsid w:val="00E97396"/>
    <w:rsid w:val="00E973C4"/>
    <w:rsid w:val="00E973EF"/>
    <w:rsid w:val="00E9741F"/>
    <w:rsid w:val="00E97475"/>
    <w:rsid w:val="00E974A6"/>
    <w:rsid w:val="00E97516"/>
    <w:rsid w:val="00E97562"/>
    <w:rsid w:val="00E975EA"/>
    <w:rsid w:val="00E9761A"/>
    <w:rsid w:val="00E9761F"/>
    <w:rsid w:val="00E9764A"/>
    <w:rsid w:val="00E976B9"/>
    <w:rsid w:val="00E976E7"/>
    <w:rsid w:val="00E976EA"/>
    <w:rsid w:val="00E97712"/>
    <w:rsid w:val="00E9773D"/>
    <w:rsid w:val="00E97740"/>
    <w:rsid w:val="00E97783"/>
    <w:rsid w:val="00E977C8"/>
    <w:rsid w:val="00E977CD"/>
    <w:rsid w:val="00E977D3"/>
    <w:rsid w:val="00E977FB"/>
    <w:rsid w:val="00E97811"/>
    <w:rsid w:val="00E97911"/>
    <w:rsid w:val="00E97A57"/>
    <w:rsid w:val="00E97A72"/>
    <w:rsid w:val="00E97A84"/>
    <w:rsid w:val="00E97ABE"/>
    <w:rsid w:val="00E97AE5"/>
    <w:rsid w:val="00E97AF0"/>
    <w:rsid w:val="00E97B07"/>
    <w:rsid w:val="00E97B80"/>
    <w:rsid w:val="00E97BB6"/>
    <w:rsid w:val="00E97BFD"/>
    <w:rsid w:val="00E97CF0"/>
    <w:rsid w:val="00E97D81"/>
    <w:rsid w:val="00E97D83"/>
    <w:rsid w:val="00E97DAA"/>
    <w:rsid w:val="00E97DB1"/>
    <w:rsid w:val="00E97DB9"/>
    <w:rsid w:val="00E97ECE"/>
    <w:rsid w:val="00E97ED0"/>
    <w:rsid w:val="00E97EE3"/>
    <w:rsid w:val="00E97F57"/>
    <w:rsid w:val="00E97F63"/>
    <w:rsid w:val="00E97F68"/>
    <w:rsid w:val="00E97FC6"/>
    <w:rsid w:val="00E97FDA"/>
    <w:rsid w:val="00E97FE7"/>
    <w:rsid w:val="00EA001F"/>
    <w:rsid w:val="00EA0036"/>
    <w:rsid w:val="00EA0059"/>
    <w:rsid w:val="00EA00CE"/>
    <w:rsid w:val="00EA014A"/>
    <w:rsid w:val="00EA0194"/>
    <w:rsid w:val="00EA01F0"/>
    <w:rsid w:val="00EA020B"/>
    <w:rsid w:val="00EA024A"/>
    <w:rsid w:val="00EA0269"/>
    <w:rsid w:val="00EA02A8"/>
    <w:rsid w:val="00EA02C5"/>
    <w:rsid w:val="00EA034C"/>
    <w:rsid w:val="00EA03BC"/>
    <w:rsid w:val="00EA04CF"/>
    <w:rsid w:val="00EA0688"/>
    <w:rsid w:val="00EA0691"/>
    <w:rsid w:val="00EA069F"/>
    <w:rsid w:val="00EA06CE"/>
    <w:rsid w:val="00EA06DC"/>
    <w:rsid w:val="00EA0717"/>
    <w:rsid w:val="00EA076F"/>
    <w:rsid w:val="00EA079B"/>
    <w:rsid w:val="00EA07B0"/>
    <w:rsid w:val="00EA07B3"/>
    <w:rsid w:val="00EA081E"/>
    <w:rsid w:val="00EA08FC"/>
    <w:rsid w:val="00EA092C"/>
    <w:rsid w:val="00EA09B7"/>
    <w:rsid w:val="00EA0A2E"/>
    <w:rsid w:val="00EA0A3E"/>
    <w:rsid w:val="00EA0A44"/>
    <w:rsid w:val="00EA0AE4"/>
    <w:rsid w:val="00EA0B10"/>
    <w:rsid w:val="00EA0B4B"/>
    <w:rsid w:val="00EA0B85"/>
    <w:rsid w:val="00EA0B96"/>
    <w:rsid w:val="00EA0C31"/>
    <w:rsid w:val="00EA0C3C"/>
    <w:rsid w:val="00EA0D06"/>
    <w:rsid w:val="00EA0D90"/>
    <w:rsid w:val="00EA0E05"/>
    <w:rsid w:val="00EA0EC4"/>
    <w:rsid w:val="00EA0ECF"/>
    <w:rsid w:val="00EA0F13"/>
    <w:rsid w:val="00EA0F61"/>
    <w:rsid w:val="00EA0F6F"/>
    <w:rsid w:val="00EA0FA3"/>
    <w:rsid w:val="00EA1055"/>
    <w:rsid w:val="00EA1066"/>
    <w:rsid w:val="00EA1079"/>
    <w:rsid w:val="00EA1085"/>
    <w:rsid w:val="00EA1137"/>
    <w:rsid w:val="00EA11B5"/>
    <w:rsid w:val="00EA122B"/>
    <w:rsid w:val="00EA1266"/>
    <w:rsid w:val="00EA1271"/>
    <w:rsid w:val="00EA1288"/>
    <w:rsid w:val="00EA1365"/>
    <w:rsid w:val="00EA1379"/>
    <w:rsid w:val="00EA1392"/>
    <w:rsid w:val="00EA1459"/>
    <w:rsid w:val="00EA148E"/>
    <w:rsid w:val="00EA1500"/>
    <w:rsid w:val="00EA156C"/>
    <w:rsid w:val="00EA15F0"/>
    <w:rsid w:val="00EA1603"/>
    <w:rsid w:val="00EA1675"/>
    <w:rsid w:val="00EA173F"/>
    <w:rsid w:val="00EA1758"/>
    <w:rsid w:val="00EA17CB"/>
    <w:rsid w:val="00EA17E7"/>
    <w:rsid w:val="00EA181F"/>
    <w:rsid w:val="00EA1828"/>
    <w:rsid w:val="00EA18F2"/>
    <w:rsid w:val="00EA192B"/>
    <w:rsid w:val="00EA192E"/>
    <w:rsid w:val="00EA1A11"/>
    <w:rsid w:val="00EA1A32"/>
    <w:rsid w:val="00EA1AB8"/>
    <w:rsid w:val="00EA1B01"/>
    <w:rsid w:val="00EA1B84"/>
    <w:rsid w:val="00EA1B92"/>
    <w:rsid w:val="00EA1C26"/>
    <w:rsid w:val="00EA1C39"/>
    <w:rsid w:val="00EA1CA7"/>
    <w:rsid w:val="00EA1CBC"/>
    <w:rsid w:val="00EA1CC9"/>
    <w:rsid w:val="00EA1D1A"/>
    <w:rsid w:val="00EA1DB0"/>
    <w:rsid w:val="00EA1E16"/>
    <w:rsid w:val="00EA1E46"/>
    <w:rsid w:val="00EA1E5B"/>
    <w:rsid w:val="00EA1E81"/>
    <w:rsid w:val="00EA1E92"/>
    <w:rsid w:val="00EA1EBA"/>
    <w:rsid w:val="00EA1ECD"/>
    <w:rsid w:val="00EA1ED1"/>
    <w:rsid w:val="00EA1F45"/>
    <w:rsid w:val="00EA2008"/>
    <w:rsid w:val="00EA2082"/>
    <w:rsid w:val="00EA20E9"/>
    <w:rsid w:val="00EA21AB"/>
    <w:rsid w:val="00EA21BF"/>
    <w:rsid w:val="00EA21C1"/>
    <w:rsid w:val="00EA21CF"/>
    <w:rsid w:val="00EA221A"/>
    <w:rsid w:val="00EA2276"/>
    <w:rsid w:val="00EA2280"/>
    <w:rsid w:val="00EA2307"/>
    <w:rsid w:val="00EA2327"/>
    <w:rsid w:val="00EA2355"/>
    <w:rsid w:val="00EA2374"/>
    <w:rsid w:val="00EA237E"/>
    <w:rsid w:val="00EA23AC"/>
    <w:rsid w:val="00EA23D0"/>
    <w:rsid w:val="00EA23EF"/>
    <w:rsid w:val="00EA23F9"/>
    <w:rsid w:val="00EA2439"/>
    <w:rsid w:val="00EA2468"/>
    <w:rsid w:val="00EA2491"/>
    <w:rsid w:val="00EA249A"/>
    <w:rsid w:val="00EA2511"/>
    <w:rsid w:val="00EA2529"/>
    <w:rsid w:val="00EA252D"/>
    <w:rsid w:val="00EA25B7"/>
    <w:rsid w:val="00EA25DC"/>
    <w:rsid w:val="00EA25FB"/>
    <w:rsid w:val="00EA2615"/>
    <w:rsid w:val="00EA263F"/>
    <w:rsid w:val="00EA264B"/>
    <w:rsid w:val="00EA26CC"/>
    <w:rsid w:val="00EA2708"/>
    <w:rsid w:val="00EA273C"/>
    <w:rsid w:val="00EA2789"/>
    <w:rsid w:val="00EA287F"/>
    <w:rsid w:val="00EA28A1"/>
    <w:rsid w:val="00EA28BC"/>
    <w:rsid w:val="00EA28C0"/>
    <w:rsid w:val="00EA28D8"/>
    <w:rsid w:val="00EA298C"/>
    <w:rsid w:val="00EA2999"/>
    <w:rsid w:val="00EA29C3"/>
    <w:rsid w:val="00EA2AB4"/>
    <w:rsid w:val="00EA2B2E"/>
    <w:rsid w:val="00EA2B59"/>
    <w:rsid w:val="00EA2B78"/>
    <w:rsid w:val="00EA2C0F"/>
    <w:rsid w:val="00EA2C14"/>
    <w:rsid w:val="00EA2C4C"/>
    <w:rsid w:val="00EA2C75"/>
    <w:rsid w:val="00EA2D0F"/>
    <w:rsid w:val="00EA2D2E"/>
    <w:rsid w:val="00EA2E6B"/>
    <w:rsid w:val="00EA2E9A"/>
    <w:rsid w:val="00EA2EA7"/>
    <w:rsid w:val="00EA2ECB"/>
    <w:rsid w:val="00EA2F2D"/>
    <w:rsid w:val="00EA2F33"/>
    <w:rsid w:val="00EA2F35"/>
    <w:rsid w:val="00EA2F3A"/>
    <w:rsid w:val="00EA2F57"/>
    <w:rsid w:val="00EA300B"/>
    <w:rsid w:val="00EA306E"/>
    <w:rsid w:val="00EA3089"/>
    <w:rsid w:val="00EA3153"/>
    <w:rsid w:val="00EA3172"/>
    <w:rsid w:val="00EA31A5"/>
    <w:rsid w:val="00EA31FF"/>
    <w:rsid w:val="00EA32AC"/>
    <w:rsid w:val="00EA3305"/>
    <w:rsid w:val="00EA330C"/>
    <w:rsid w:val="00EA3419"/>
    <w:rsid w:val="00EA3430"/>
    <w:rsid w:val="00EA3441"/>
    <w:rsid w:val="00EA3461"/>
    <w:rsid w:val="00EA34D3"/>
    <w:rsid w:val="00EA35AB"/>
    <w:rsid w:val="00EA3627"/>
    <w:rsid w:val="00EA3679"/>
    <w:rsid w:val="00EA36B3"/>
    <w:rsid w:val="00EA36D6"/>
    <w:rsid w:val="00EA36F9"/>
    <w:rsid w:val="00EA3765"/>
    <w:rsid w:val="00EA3778"/>
    <w:rsid w:val="00EA3857"/>
    <w:rsid w:val="00EA38BA"/>
    <w:rsid w:val="00EA38DA"/>
    <w:rsid w:val="00EA38E2"/>
    <w:rsid w:val="00EA38F1"/>
    <w:rsid w:val="00EA3994"/>
    <w:rsid w:val="00EA39AD"/>
    <w:rsid w:val="00EA39AF"/>
    <w:rsid w:val="00EA3A09"/>
    <w:rsid w:val="00EA3A13"/>
    <w:rsid w:val="00EA3A27"/>
    <w:rsid w:val="00EA3AE1"/>
    <w:rsid w:val="00EA3B07"/>
    <w:rsid w:val="00EA3B0D"/>
    <w:rsid w:val="00EA3B37"/>
    <w:rsid w:val="00EA3B39"/>
    <w:rsid w:val="00EA3BD7"/>
    <w:rsid w:val="00EA3CA3"/>
    <w:rsid w:val="00EA3CD7"/>
    <w:rsid w:val="00EA3CD8"/>
    <w:rsid w:val="00EA3CE9"/>
    <w:rsid w:val="00EA3CEB"/>
    <w:rsid w:val="00EA3CEE"/>
    <w:rsid w:val="00EA3D3B"/>
    <w:rsid w:val="00EA3DA7"/>
    <w:rsid w:val="00EA3DBB"/>
    <w:rsid w:val="00EA3DCF"/>
    <w:rsid w:val="00EA3DDC"/>
    <w:rsid w:val="00EA3DF3"/>
    <w:rsid w:val="00EA3DFE"/>
    <w:rsid w:val="00EA3E2E"/>
    <w:rsid w:val="00EA3E62"/>
    <w:rsid w:val="00EA3E73"/>
    <w:rsid w:val="00EA3E74"/>
    <w:rsid w:val="00EA3ED5"/>
    <w:rsid w:val="00EA3F96"/>
    <w:rsid w:val="00EA3FE2"/>
    <w:rsid w:val="00EA3FFD"/>
    <w:rsid w:val="00EA4047"/>
    <w:rsid w:val="00EA4052"/>
    <w:rsid w:val="00EA4068"/>
    <w:rsid w:val="00EA4083"/>
    <w:rsid w:val="00EA40BB"/>
    <w:rsid w:val="00EA4129"/>
    <w:rsid w:val="00EA415C"/>
    <w:rsid w:val="00EA4162"/>
    <w:rsid w:val="00EA4236"/>
    <w:rsid w:val="00EA426E"/>
    <w:rsid w:val="00EA42BF"/>
    <w:rsid w:val="00EA431A"/>
    <w:rsid w:val="00EA4352"/>
    <w:rsid w:val="00EA439E"/>
    <w:rsid w:val="00EA43B0"/>
    <w:rsid w:val="00EA43F3"/>
    <w:rsid w:val="00EA4407"/>
    <w:rsid w:val="00EA4409"/>
    <w:rsid w:val="00EA4464"/>
    <w:rsid w:val="00EA44A5"/>
    <w:rsid w:val="00EA44C8"/>
    <w:rsid w:val="00EA4522"/>
    <w:rsid w:val="00EA459F"/>
    <w:rsid w:val="00EA45CF"/>
    <w:rsid w:val="00EA470F"/>
    <w:rsid w:val="00EA4733"/>
    <w:rsid w:val="00EA484D"/>
    <w:rsid w:val="00EA4852"/>
    <w:rsid w:val="00EA4860"/>
    <w:rsid w:val="00EA486F"/>
    <w:rsid w:val="00EA48A6"/>
    <w:rsid w:val="00EA48CD"/>
    <w:rsid w:val="00EA493D"/>
    <w:rsid w:val="00EA4997"/>
    <w:rsid w:val="00EA49BE"/>
    <w:rsid w:val="00EA4A14"/>
    <w:rsid w:val="00EA4A66"/>
    <w:rsid w:val="00EA4AED"/>
    <w:rsid w:val="00EA4B31"/>
    <w:rsid w:val="00EA4B62"/>
    <w:rsid w:val="00EA4BAF"/>
    <w:rsid w:val="00EA4C18"/>
    <w:rsid w:val="00EA4C29"/>
    <w:rsid w:val="00EA4C2F"/>
    <w:rsid w:val="00EA4C3F"/>
    <w:rsid w:val="00EA4C40"/>
    <w:rsid w:val="00EA4C69"/>
    <w:rsid w:val="00EA4C73"/>
    <w:rsid w:val="00EA4CA3"/>
    <w:rsid w:val="00EA4D0D"/>
    <w:rsid w:val="00EA4D8C"/>
    <w:rsid w:val="00EA4E04"/>
    <w:rsid w:val="00EA4E0E"/>
    <w:rsid w:val="00EA4E2C"/>
    <w:rsid w:val="00EA4E45"/>
    <w:rsid w:val="00EA4E9E"/>
    <w:rsid w:val="00EA4EA4"/>
    <w:rsid w:val="00EA4EA8"/>
    <w:rsid w:val="00EA4EB4"/>
    <w:rsid w:val="00EA4EE5"/>
    <w:rsid w:val="00EA4EF4"/>
    <w:rsid w:val="00EA4F2E"/>
    <w:rsid w:val="00EA4FB9"/>
    <w:rsid w:val="00EA4FEF"/>
    <w:rsid w:val="00EA5017"/>
    <w:rsid w:val="00EA5039"/>
    <w:rsid w:val="00EA50BB"/>
    <w:rsid w:val="00EA50E1"/>
    <w:rsid w:val="00EA5144"/>
    <w:rsid w:val="00EA5168"/>
    <w:rsid w:val="00EA5171"/>
    <w:rsid w:val="00EA51E9"/>
    <w:rsid w:val="00EA52C8"/>
    <w:rsid w:val="00EA52D6"/>
    <w:rsid w:val="00EA52E9"/>
    <w:rsid w:val="00EA5306"/>
    <w:rsid w:val="00EA533D"/>
    <w:rsid w:val="00EA53C3"/>
    <w:rsid w:val="00EA5419"/>
    <w:rsid w:val="00EA5445"/>
    <w:rsid w:val="00EA5521"/>
    <w:rsid w:val="00EA5535"/>
    <w:rsid w:val="00EA5557"/>
    <w:rsid w:val="00EA55E6"/>
    <w:rsid w:val="00EA55FF"/>
    <w:rsid w:val="00EA56CA"/>
    <w:rsid w:val="00EA570D"/>
    <w:rsid w:val="00EA57C1"/>
    <w:rsid w:val="00EA5851"/>
    <w:rsid w:val="00EA585B"/>
    <w:rsid w:val="00EA586E"/>
    <w:rsid w:val="00EA5939"/>
    <w:rsid w:val="00EA596B"/>
    <w:rsid w:val="00EA5A37"/>
    <w:rsid w:val="00EA5A90"/>
    <w:rsid w:val="00EA5B2B"/>
    <w:rsid w:val="00EA5B3B"/>
    <w:rsid w:val="00EA5B4C"/>
    <w:rsid w:val="00EA5B4E"/>
    <w:rsid w:val="00EA5B50"/>
    <w:rsid w:val="00EA5BF2"/>
    <w:rsid w:val="00EA5C96"/>
    <w:rsid w:val="00EA5CD8"/>
    <w:rsid w:val="00EA5D13"/>
    <w:rsid w:val="00EA5D4A"/>
    <w:rsid w:val="00EA5D7F"/>
    <w:rsid w:val="00EA5D99"/>
    <w:rsid w:val="00EA5DAF"/>
    <w:rsid w:val="00EA5DC1"/>
    <w:rsid w:val="00EA5DE7"/>
    <w:rsid w:val="00EA5E0A"/>
    <w:rsid w:val="00EA5E2F"/>
    <w:rsid w:val="00EA5E39"/>
    <w:rsid w:val="00EA5EC6"/>
    <w:rsid w:val="00EA5EF2"/>
    <w:rsid w:val="00EA5FCC"/>
    <w:rsid w:val="00EA603E"/>
    <w:rsid w:val="00EA604B"/>
    <w:rsid w:val="00EA60DD"/>
    <w:rsid w:val="00EA61C4"/>
    <w:rsid w:val="00EA6203"/>
    <w:rsid w:val="00EA6212"/>
    <w:rsid w:val="00EA6293"/>
    <w:rsid w:val="00EA62BE"/>
    <w:rsid w:val="00EA62D6"/>
    <w:rsid w:val="00EA62DA"/>
    <w:rsid w:val="00EA62FE"/>
    <w:rsid w:val="00EA63E3"/>
    <w:rsid w:val="00EA6419"/>
    <w:rsid w:val="00EA655F"/>
    <w:rsid w:val="00EA65A1"/>
    <w:rsid w:val="00EA65CF"/>
    <w:rsid w:val="00EA660A"/>
    <w:rsid w:val="00EA663A"/>
    <w:rsid w:val="00EA6644"/>
    <w:rsid w:val="00EA66BB"/>
    <w:rsid w:val="00EA673D"/>
    <w:rsid w:val="00EA673F"/>
    <w:rsid w:val="00EA675B"/>
    <w:rsid w:val="00EA6791"/>
    <w:rsid w:val="00EA679C"/>
    <w:rsid w:val="00EA67AA"/>
    <w:rsid w:val="00EA67BB"/>
    <w:rsid w:val="00EA6880"/>
    <w:rsid w:val="00EA68A9"/>
    <w:rsid w:val="00EA68BE"/>
    <w:rsid w:val="00EA68E5"/>
    <w:rsid w:val="00EA6919"/>
    <w:rsid w:val="00EA691B"/>
    <w:rsid w:val="00EA694F"/>
    <w:rsid w:val="00EA69DB"/>
    <w:rsid w:val="00EA6A00"/>
    <w:rsid w:val="00EA6A26"/>
    <w:rsid w:val="00EA6A3A"/>
    <w:rsid w:val="00EA6A59"/>
    <w:rsid w:val="00EA6A79"/>
    <w:rsid w:val="00EA6AF4"/>
    <w:rsid w:val="00EA6B24"/>
    <w:rsid w:val="00EA6B43"/>
    <w:rsid w:val="00EA6B50"/>
    <w:rsid w:val="00EA6B8E"/>
    <w:rsid w:val="00EA6BF2"/>
    <w:rsid w:val="00EA6BF3"/>
    <w:rsid w:val="00EA6BFD"/>
    <w:rsid w:val="00EA6C7F"/>
    <w:rsid w:val="00EA6C83"/>
    <w:rsid w:val="00EA6CEF"/>
    <w:rsid w:val="00EA6D56"/>
    <w:rsid w:val="00EA6D73"/>
    <w:rsid w:val="00EA6DE9"/>
    <w:rsid w:val="00EA6E28"/>
    <w:rsid w:val="00EA6E6C"/>
    <w:rsid w:val="00EA6EA0"/>
    <w:rsid w:val="00EA6EE5"/>
    <w:rsid w:val="00EA6F45"/>
    <w:rsid w:val="00EA6FA1"/>
    <w:rsid w:val="00EA701A"/>
    <w:rsid w:val="00EA701F"/>
    <w:rsid w:val="00EA706D"/>
    <w:rsid w:val="00EA7138"/>
    <w:rsid w:val="00EA713D"/>
    <w:rsid w:val="00EA7141"/>
    <w:rsid w:val="00EA71CC"/>
    <w:rsid w:val="00EA721B"/>
    <w:rsid w:val="00EA7370"/>
    <w:rsid w:val="00EA7397"/>
    <w:rsid w:val="00EA73C1"/>
    <w:rsid w:val="00EA740F"/>
    <w:rsid w:val="00EA7416"/>
    <w:rsid w:val="00EA7534"/>
    <w:rsid w:val="00EA75C0"/>
    <w:rsid w:val="00EA7669"/>
    <w:rsid w:val="00EA76FB"/>
    <w:rsid w:val="00EA7749"/>
    <w:rsid w:val="00EA774B"/>
    <w:rsid w:val="00EA7777"/>
    <w:rsid w:val="00EA77E6"/>
    <w:rsid w:val="00EA7808"/>
    <w:rsid w:val="00EA7844"/>
    <w:rsid w:val="00EA7850"/>
    <w:rsid w:val="00EA7882"/>
    <w:rsid w:val="00EA78D8"/>
    <w:rsid w:val="00EA7946"/>
    <w:rsid w:val="00EA7A6B"/>
    <w:rsid w:val="00EA7B21"/>
    <w:rsid w:val="00EA7BDA"/>
    <w:rsid w:val="00EA7BE4"/>
    <w:rsid w:val="00EA7C12"/>
    <w:rsid w:val="00EA7C5C"/>
    <w:rsid w:val="00EA7C7C"/>
    <w:rsid w:val="00EA7C8A"/>
    <w:rsid w:val="00EA7C95"/>
    <w:rsid w:val="00EA7C99"/>
    <w:rsid w:val="00EA7C9E"/>
    <w:rsid w:val="00EA7CA1"/>
    <w:rsid w:val="00EA7D12"/>
    <w:rsid w:val="00EA7D31"/>
    <w:rsid w:val="00EA7D59"/>
    <w:rsid w:val="00EA7DCC"/>
    <w:rsid w:val="00EA7E40"/>
    <w:rsid w:val="00EA7E4A"/>
    <w:rsid w:val="00EA7E7F"/>
    <w:rsid w:val="00EA7ED2"/>
    <w:rsid w:val="00EA7EFB"/>
    <w:rsid w:val="00EA7F22"/>
    <w:rsid w:val="00EA7F6B"/>
    <w:rsid w:val="00EA7FB1"/>
    <w:rsid w:val="00EA7FB4"/>
    <w:rsid w:val="00EA7FDE"/>
    <w:rsid w:val="00EB0020"/>
    <w:rsid w:val="00EB005D"/>
    <w:rsid w:val="00EB00CB"/>
    <w:rsid w:val="00EB00F5"/>
    <w:rsid w:val="00EB013D"/>
    <w:rsid w:val="00EB01DA"/>
    <w:rsid w:val="00EB01FF"/>
    <w:rsid w:val="00EB02BF"/>
    <w:rsid w:val="00EB02C1"/>
    <w:rsid w:val="00EB02E4"/>
    <w:rsid w:val="00EB02E5"/>
    <w:rsid w:val="00EB036D"/>
    <w:rsid w:val="00EB038B"/>
    <w:rsid w:val="00EB053D"/>
    <w:rsid w:val="00EB057E"/>
    <w:rsid w:val="00EB0583"/>
    <w:rsid w:val="00EB05C4"/>
    <w:rsid w:val="00EB05E7"/>
    <w:rsid w:val="00EB05EF"/>
    <w:rsid w:val="00EB064D"/>
    <w:rsid w:val="00EB068E"/>
    <w:rsid w:val="00EB0705"/>
    <w:rsid w:val="00EB0708"/>
    <w:rsid w:val="00EB071E"/>
    <w:rsid w:val="00EB0736"/>
    <w:rsid w:val="00EB0772"/>
    <w:rsid w:val="00EB083F"/>
    <w:rsid w:val="00EB0870"/>
    <w:rsid w:val="00EB08F4"/>
    <w:rsid w:val="00EB0906"/>
    <w:rsid w:val="00EB091D"/>
    <w:rsid w:val="00EB091E"/>
    <w:rsid w:val="00EB0946"/>
    <w:rsid w:val="00EB0950"/>
    <w:rsid w:val="00EB0A02"/>
    <w:rsid w:val="00EB0AB6"/>
    <w:rsid w:val="00EB0ACE"/>
    <w:rsid w:val="00EB0AF6"/>
    <w:rsid w:val="00EB0AF7"/>
    <w:rsid w:val="00EB0B23"/>
    <w:rsid w:val="00EB0B48"/>
    <w:rsid w:val="00EB0B54"/>
    <w:rsid w:val="00EB0B5C"/>
    <w:rsid w:val="00EB0B66"/>
    <w:rsid w:val="00EB0B8E"/>
    <w:rsid w:val="00EB0CAB"/>
    <w:rsid w:val="00EB0CEB"/>
    <w:rsid w:val="00EB0D04"/>
    <w:rsid w:val="00EB0D90"/>
    <w:rsid w:val="00EB0E20"/>
    <w:rsid w:val="00EB0E57"/>
    <w:rsid w:val="00EB0EE8"/>
    <w:rsid w:val="00EB0FEF"/>
    <w:rsid w:val="00EB100E"/>
    <w:rsid w:val="00EB104F"/>
    <w:rsid w:val="00EB10B6"/>
    <w:rsid w:val="00EB119D"/>
    <w:rsid w:val="00EB11A2"/>
    <w:rsid w:val="00EB11BC"/>
    <w:rsid w:val="00EB11EC"/>
    <w:rsid w:val="00EB1215"/>
    <w:rsid w:val="00EB1285"/>
    <w:rsid w:val="00EB12E7"/>
    <w:rsid w:val="00EB1330"/>
    <w:rsid w:val="00EB1366"/>
    <w:rsid w:val="00EB1393"/>
    <w:rsid w:val="00EB13D2"/>
    <w:rsid w:val="00EB13D4"/>
    <w:rsid w:val="00EB13F3"/>
    <w:rsid w:val="00EB1422"/>
    <w:rsid w:val="00EB144F"/>
    <w:rsid w:val="00EB1456"/>
    <w:rsid w:val="00EB145E"/>
    <w:rsid w:val="00EB1485"/>
    <w:rsid w:val="00EB14DF"/>
    <w:rsid w:val="00EB1528"/>
    <w:rsid w:val="00EB1540"/>
    <w:rsid w:val="00EB1541"/>
    <w:rsid w:val="00EB1573"/>
    <w:rsid w:val="00EB158F"/>
    <w:rsid w:val="00EB1598"/>
    <w:rsid w:val="00EB15C6"/>
    <w:rsid w:val="00EB15D6"/>
    <w:rsid w:val="00EB1604"/>
    <w:rsid w:val="00EB1611"/>
    <w:rsid w:val="00EB1650"/>
    <w:rsid w:val="00EB169A"/>
    <w:rsid w:val="00EB17AA"/>
    <w:rsid w:val="00EB17CC"/>
    <w:rsid w:val="00EB17D1"/>
    <w:rsid w:val="00EB17EC"/>
    <w:rsid w:val="00EB1818"/>
    <w:rsid w:val="00EB188B"/>
    <w:rsid w:val="00EB18F8"/>
    <w:rsid w:val="00EB199C"/>
    <w:rsid w:val="00EB19AE"/>
    <w:rsid w:val="00EB1A24"/>
    <w:rsid w:val="00EB1AE4"/>
    <w:rsid w:val="00EB1AF6"/>
    <w:rsid w:val="00EB1B45"/>
    <w:rsid w:val="00EB1B55"/>
    <w:rsid w:val="00EB1B79"/>
    <w:rsid w:val="00EB1B9D"/>
    <w:rsid w:val="00EB1C42"/>
    <w:rsid w:val="00EB1C82"/>
    <w:rsid w:val="00EB1C84"/>
    <w:rsid w:val="00EB1C90"/>
    <w:rsid w:val="00EB1CC0"/>
    <w:rsid w:val="00EB1D4B"/>
    <w:rsid w:val="00EB1D6E"/>
    <w:rsid w:val="00EB1D9B"/>
    <w:rsid w:val="00EB1DF5"/>
    <w:rsid w:val="00EB1E0B"/>
    <w:rsid w:val="00EB1E43"/>
    <w:rsid w:val="00EB1E49"/>
    <w:rsid w:val="00EB1E4C"/>
    <w:rsid w:val="00EB1E9A"/>
    <w:rsid w:val="00EB1F01"/>
    <w:rsid w:val="00EB1F03"/>
    <w:rsid w:val="00EB1F20"/>
    <w:rsid w:val="00EB1F50"/>
    <w:rsid w:val="00EB1F78"/>
    <w:rsid w:val="00EB1FB4"/>
    <w:rsid w:val="00EB1FBD"/>
    <w:rsid w:val="00EB1FE8"/>
    <w:rsid w:val="00EB1FF2"/>
    <w:rsid w:val="00EB1FFF"/>
    <w:rsid w:val="00EB2051"/>
    <w:rsid w:val="00EB2082"/>
    <w:rsid w:val="00EB209A"/>
    <w:rsid w:val="00EB20B1"/>
    <w:rsid w:val="00EB20EE"/>
    <w:rsid w:val="00EB2101"/>
    <w:rsid w:val="00EB210A"/>
    <w:rsid w:val="00EB216F"/>
    <w:rsid w:val="00EB2255"/>
    <w:rsid w:val="00EB2272"/>
    <w:rsid w:val="00EB227F"/>
    <w:rsid w:val="00EB2292"/>
    <w:rsid w:val="00EB22D3"/>
    <w:rsid w:val="00EB2318"/>
    <w:rsid w:val="00EB23A3"/>
    <w:rsid w:val="00EB23E9"/>
    <w:rsid w:val="00EB240B"/>
    <w:rsid w:val="00EB2419"/>
    <w:rsid w:val="00EB244F"/>
    <w:rsid w:val="00EB2475"/>
    <w:rsid w:val="00EB24CA"/>
    <w:rsid w:val="00EB24F9"/>
    <w:rsid w:val="00EB256C"/>
    <w:rsid w:val="00EB25B0"/>
    <w:rsid w:val="00EB25E1"/>
    <w:rsid w:val="00EB26AB"/>
    <w:rsid w:val="00EB26E6"/>
    <w:rsid w:val="00EB26EC"/>
    <w:rsid w:val="00EB2711"/>
    <w:rsid w:val="00EB2730"/>
    <w:rsid w:val="00EB2778"/>
    <w:rsid w:val="00EB2834"/>
    <w:rsid w:val="00EB287A"/>
    <w:rsid w:val="00EB287E"/>
    <w:rsid w:val="00EB28E2"/>
    <w:rsid w:val="00EB295D"/>
    <w:rsid w:val="00EB2A23"/>
    <w:rsid w:val="00EB2A45"/>
    <w:rsid w:val="00EB2A8F"/>
    <w:rsid w:val="00EB2ABF"/>
    <w:rsid w:val="00EB2B71"/>
    <w:rsid w:val="00EB2BC6"/>
    <w:rsid w:val="00EB2C0C"/>
    <w:rsid w:val="00EB2C11"/>
    <w:rsid w:val="00EB2C1D"/>
    <w:rsid w:val="00EB2CDB"/>
    <w:rsid w:val="00EB2CFB"/>
    <w:rsid w:val="00EB2D0D"/>
    <w:rsid w:val="00EB2D1C"/>
    <w:rsid w:val="00EB2D4D"/>
    <w:rsid w:val="00EB2DA2"/>
    <w:rsid w:val="00EB2DD3"/>
    <w:rsid w:val="00EB2DF5"/>
    <w:rsid w:val="00EB2E0F"/>
    <w:rsid w:val="00EB2E3A"/>
    <w:rsid w:val="00EB2E5C"/>
    <w:rsid w:val="00EB2E84"/>
    <w:rsid w:val="00EB2E8A"/>
    <w:rsid w:val="00EB2F18"/>
    <w:rsid w:val="00EB2F30"/>
    <w:rsid w:val="00EB2F87"/>
    <w:rsid w:val="00EB303B"/>
    <w:rsid w:val="00EB30A7"/>
    <w:rsid w:val="00EB30DE"/>
    <w:rsid w:val="00EB30FC"/>
    <w:rsid w:val="00EB311F"/>
    <w:rsid w:val="00EB3136"/>
    <w:rsid w:val="00EB3147"/>
    <w:rsid w:val="00EB317A"/>
    <w:rsid w:val="00EB3188"/>
    <w:rsid w:val="00EB3252"/>
    <w:rsid w:val="00EB3258"/>
    <w:rsid w:val="00EB3276"/>
    <w:rsid w:val="00EB32D6"/>
    <w:rsid w:val="00EB32E4"/>
    <w:rsid w:val="00EB32FC"/>
    <w:rsid w:val="00EB3320"/>
    <w:rsid w:val="00EB3340"/>
    <w:rsid w:val="00EB33BE"/>
    <w:rsid w:val="00EB3402"/>
    <w:rsid w:val="00EB3438"/>
    <w:rsid w:val="00EB3455"/>
    <w:rsid w:val="00EB3456"/>
    <w:rsid w:val="00EB3457"/>
    <w:rsid w:val="00EB34E9"/>
    <w:rsid w:val="00EB34ED"/>
    <w:rsid w:val="00EB3509"/>
    <w:rsid w:val="00EB35E7"/>
    <w:rsid w:val="00EB3713"/>
    <w:rsid w:val="00EB376B"/>
    <w:rsid w:val="00EB3795"/>
    <w:rsid w:val="00EB37B3"/>
    <w:rsid w:val="00EB37CB"/>
    <w:rsid w:val="00EB37E7"/>
    <w:rsid w:val="00EB37F2"/>
    <w:rsid w:val="00EB3838"/>
    <w:rsid w:val="00EB3863"/>
    <w:rsid w:val="00EB392D"/>
    <w:rsid w:val="00EB396E"/>
    <w:rsid w:val="00EB399D"/>
    <w:rsid w:val="00EB3A43"/>
    <w:rsid w:val="00EB3AAB"/>
    <w:rsid w:val="00EB3AAD"/>
    <w:rsid w:val="00EB3AB4"/>
    <w:rsid w:val="00EB3ABB"/>
    <w:rsid w:val="00EB3B23"/>
    <w:rsid w:val="00EB3B45"/>
    <w:rsid w:val="00EB3B66"/>
    <w:rsid w:val="00EB3B8D"/>
    <w:rsid w:val="00EB3BD0"/>
    <w:rsid w:val="00EB3C75"/>
    <w:rsid w:val="00EB3CAE"/>
    <w:rsid w:val="00EB3D14"/>
    <w:rsid w:val="00EB3D4D"/>
    <w:rsid w:val="00EB3D63"/>
    <w:rsid w:val="00EB3D9D"/>
    <w:rsid w:val="00EB3DC3"/>
    <w:rsid w:val="00EB3E1C"/>
    <w:rsid w:val="00EB3EB4"/>
    <w:rsid w:val="00EB3F23"/>
    <w:rsid w:val="00EB3F62"/>
    <w:rsid w:val="00EB3F75"/>
    <w:rsid w:val="00EB3F89"/>
    <w:rsid w:val="00EB3F9E"/>
    <w:rsid w:val="00EB3FB7"/>
    <w:rsid w:val="00EB403E"/>
    <w:rsid w:val="00EB4068"/>
    <w:rsid w:val="00EB40B1"/>
    <w:rsid w:val="00EB40CB"/>
    <w:rsid w:val="00EB41C9"/>
    <w:rsid w:val="00EB41D8"/>
    <w:rsid w:val="00EB41FF"/>
    <w:rsid w:val="00EB4204"/>
    <w:rsid w:val="00EB424C"/>
    <w:rsid w:val="00EB428F"/>
    <w:rsid w:val="00EB42ED"/>
    <w:rsid w:val="00EB4301"/>
    <w:rsid w:val="00EB432B"/>
    <w:rsid w:val="00EB434B"/>
    <w:rsid w:val="00EB4396"/>
    <w:rsid w:val="00EB43A8"/>
    <w:rsid w:val="00EB4480"/>
    <w:rsid w:val="00EB44A8"/>
    <w:rsid w:val="00EB44CC"/>
    <w:rsid w:val="00EB4503"/>
    <w:rsid w:val="00EB451E"/>
    <w:rsid w:val="00EB452D"/>
    <w:rsid w:val="00EB4536"/>
    <w:rsid w:val="00EB4546"/>
    <w:rsid w:val="00EB4586"/>
    <w:rsid w:val="00EB45CE"/>
    <w:rsid w:val="00EB461A"/>
    <w:rsid w:val="00EB463E"/>
    <w:rsid w:val="00EB469E"/>
    <w:rsid w:val="00EB46B0"/>
    <w:rsid w:val="00EB46F5"/>
    <w:rsid w:val="00EB46F8"/>
    <w:rsid w:val="00EB4746"/>
    <w:rsid w:val="00EB479B"/>
    <w:rsid w:val="00EB47C0"/>
    <w:rsid w:val="00EB4809"/>
    <w:rsid w:val="00EB4850"/>
    <w:rsid w:val="00EB4857"/>
    <w:rsid w:val="00EB48AB"/>
    <w:rsid w:val="00EB48AD"/>
    <w:rsid w:val="00EB48F2"/>
    <w:rsid w:val="00EB493F"/>
    <w:rsid w:val="00EB4990"/>
    <w:rsid w:val="00EB49C8"/>
    <w:rsid w:val="00EB4A30"/>
    <w:rsid w:val="00EB4AC6"/>
    <w:rsid w:val="00EB4B8F"/>
    <w:rsid w:val="00EB4C7C"/>
    <w:rsid w:val="00EB4CBC"/>
    <w:rsid w:val="00EB4DC6"/>
    <w:rsid w:val="00EB4E18"/>
    <w:rsid w:val="00EB4FC3"/>
    <w:rsid w:val="00EB504C"/>
    <w:rsid w:val="00EB5053"/>
    <w:rsid w:val="00EB50D0"/>
    <w:rsid w:val="00EB50D9"/>
    <w:rsid w:val="00EB50E6"/>
    <w:rsid w:val="00EB5140"/>
    <w:rsid w:val="00EB517E"/>
    <w:rsid w:val="00EB5218"/>
    <w:rsid w:val="00EB5248"/>
    <w:rsid w:val="00EB5255"/>
    <w:rsid w:val="00EB527F"/>
    <w:rsid w:val="00EB52FB"/>
    <w:rsid w:val="00EB5301"/>
    <w:rsid w:val="00EB53A6"/>
    <w:rsid w:val="00EB5442"/>
    <w:rsid w:val="00EB546D"/>
    <w:rsid w:val="00EB54F8"/>
    <w:rsid w:val="00EB553F"/>
    <w:rsid w:val="00EB5560"/>
    <w:rsid w:val="00EB55F2"/>
    <w:rsid w:val="00EB5628"/>
    <w:rsid w:val="00EB5641"/>
    <w:rsid w:val="00EB56DF"/>
    <w:rsid w:val="00EB573F"/>
    <w:rsid w:val="00EB5743"/>
    <w:rsid w:val="00EB575F"/>
    <w:rsid w:val="00EB5791"/>
    <w:rsid w:val="00EB57A1"/>
    <w:rsid w:val="00EB57EE"/>
    <w:rsid w:val="00EB57F7"/>
    <w:rsid w:val="00EB58D6"/>
    <w:rsid w:val="00EB5919"/>
    <w:rsid w:val="00EB59B1"/>
    <w:rsid w:val="00EB59CD"/>
    <w:rsid w:val="00EB5B85"/>
    <w:rsid w:val="00EB5BB2"/>
    <w:rsid w:val="00EB5BE9"/>
    <w:rsid w:val="00EB5C4C"/>
    <w:rsid w:val="00EB5CAA"/>
    <w:rsid w:val="00EB5CB1"/>
    <w:rsid w:val="00EB5CF9"/>
    <w:rsid w:val="00EB5D8E"/>
    <w:rsid w:val="00EB5DB9"/>
    <w:rsid w:val="00EB5DC7"/>
    <w:rsid w:val="00EB5DF1"/>
    <w:rsid w:val="00EB5DF6"/>
    <w:rsid w:val="00EB5E2E"/>
    <w:rsid w:val="00EB5E59"/>
    <w:rsid w:val="00EB5F7F"/>
    <w:rsid w:val="00EB5FB5"/>
    <w:rsid w:val="00EB5FD9"/>
    <w:rsid w:val="00EB5FE4"/>
    <w:rsid w:val="00EB602C"/>
    <w:rsid w:val="00EB6053"/>
    <w:rsid w:val="00EB60C2"/>
    <w:rsid w:val="00EB6215"/>
    <w:rsid w:val="00EB6330"/>
    <w:rsid w:val="00EB63A6"/>
    <w:rsid w:val="00EB63D1"/>
    <w:rsid w:val="00EB6402"/>
    <w:rsid w:val="00EB6441"/>
    <w:rsid w:val="00EB64AB"/>
    <w:rsid w:val="00EB6504"/>
    <w:rsid w:val="00EB6536"/>
    <w:rsid w:val="00EB65F6"/>
    <w:rsid w:val="00EB661B"/>
    <w:rsid w:val="00EB6665"/>
    <w:rsid w:val="00EB6684"/>
    <w:rsid w:val="00EB66C8"/>
    <w:rsid w:val="00EB66C9"/>
    <w:rsid w:val="00EB6777"/>
    <w:rsid w:val="00EB67AE"/>
    <w:rsid w:val="00EB6831"/>
    <w:rsid w:val="00EB687A"/>
    <w:rsid w:val="00EB6907"/>
    <w:rsid w:val="00EB691B"/>
    <w:rsid w:val="00EB691E"/>
    <w:rsid w:val="00EB692D"/>
    <w:rsid w:val="00EB6952"/>
    <w:rsid w:val="00EB696E"/>
    <w:rsid w:val="00EB697B"/>
    <w:rsid w:val="00EB6983"/>
    <w:rsid w:val="00EB69AE"/>
    <w:rsid w:val="00EB69BE"/>
    <w:rsid w:val="00EB69CB"/>
    <w:rsid w:val="00EB69D7"/>
    <w:rsid w:val="00EB69DE"/>
    <w:rsid w:val="00EB6A20"/>
    <w:rsid w:val="00EB6A36"/>
    <w:rsid w:val="00EB6A63"/>
    <w:rsid w:val="00EB6ABB"/>
    <w:rsid w:val="00EB6B0B"/>
    <w:rsid w:val="00EB6B60"/>
    <w:rsid w:val="00EB6B90"/>
    <w:rsid w:val="00EB6CDD"/>
    <w:rsid w:val="00EB6D6D"/>
    <w:rsid w:val="00EB6D78"/>
    <w:rsid w:val="00EB6DAA"/>
    <w:rsid w:val="00EB6DAB"/>
    <w:rsid w:val="00EB6E0A"/>
    <w:rsid w:val="00EB6EEC"/>
    <w:rsid w:val="00EB6EED"/>
    <w:rsid w:val="00EB6F2E"/>
    <w:rsid w:val="00EB6F8F"/>
    <w:rsid w:val="00EB6FE9"/>
    <w:rsid w:val="00EB703B"/>
    <w:rsid w:val="00EB70B9"/>
    <w:rsid w:val="00EB714C"/>
    <w:rsid w:val="00EB7154"/>
    <w:rsid w:val="00EB71DC"/>
    <w:rsid w:val="00EB7271"/>
    <w:rsid w:val="00EB729E"/>
    <w:rsid w:val="00EB72E2"/>
    <w:rsid w:val="00EB734E"/>
    <w:rsid w:val="00EB7354"/>
    <w:rsid w:val="00EB7365"/>
    <w:rsid w:val="00EB736F"/>
    <w:rsid w:val="00EB737B"/>
    <w:rsid w:val="00EB738D"/>
    <w:rsid w:val="00EB7403"/>
    <w:rsid w:val="00EB7471"/>
    <w:rsid w:val="00EB748F"/>
    <w:rsid w:val="00EB74A5"/>
    <w:rsid w:val="00EB74CB"/>
    <w:rsid w:val="00EB74E9"/>
    <w:rsid w:val="00EB7511"/>
    <w:rsid w:val="00EB756F"/>
    <w:rsid w:val="00EB75A9"/>
    <w:rsid w:val="00EB763F"/>
    <w:rsid w:val="00EB76A7"/>
    <w:rsid w:val="00EB776C"/>
    <w:rsid w:val="00EB778A"/>
    <w:rsid w:val="00EB7885"/>
    <w:rsid w:val="00EB78CD"/>
    <w:rsid w:val="00EB78D5"/>
    <w:rsid w:val="00EB78DD"/>
    <w:rsid w:val="00EB794B"/>
    <w:rsid w:val="00EB796A"/>
    <w:rsid w:val="00EB796D"/>
    <w:rsid w:val="00EB7983"/>
    <w:rsid w:val="00EB7A34"/>
    <w:rsid w:val="00EB7A4F"/>
    <w:rsid w:val="00EB7A75"/>
    <w:rsid w:val="00EB7A7B"/>
    <w:rsid w:val="00EB7B2A"/>
    <w:rsid w:val="00EB7B71"/>
    <w:rsid w:val="00EB7B93"/>
    <w:rsid w:val="00EB7C30"/>
    <w:rsid w:val="00EB7C89"/>
    <w:rsid w:val="00EB7CD5"/>
    <w:rsid w:val="00EB7DD8"/>
    <w:rsid w:val="00EB7DF3"/>
    <w:rsid w:val="00EB7DF6"/>
    <w:rsid w:val="00EB7F07"/>
    <w:rsid w:val="00EB7F7B"/>
    <w:rsid w:val="00EB7FF5"/>
    <w:rsid w:val="00EC0043"/>
    <w:rsid w:val="00EC009B"/>
    <w:rsid w:val="00EC00A9"/>
    <w:rsid w:val="00EC00AA"/>
    <w:rsid w:val="00EC00EC"/>
    <w:rsid w:val="00EC019D"/>
    <w:rsid w:val="00EC0242"/>
    <w:rsid w:val="00EC026C"/>
    <w:rsid w:val="00EC0281"/>
    <w:rsid w:val="00EC031B"/>
    <w:rsid w:val="00EC036D"/>
    <w:rsid w:val="00EC03A0"/>
    <w:rsid w:val="00EC03D3"/>
    <w:rsid w:val="00EC03D9"/>
    <w:rsid w:val="00EC0409"/>
    <w:rsid w:val="00EC040B"/>
    <w:rsid w:val="00EC045F"/>
    <w:rsid w:val="00EC0482"/>
    <w:rsid w:val="00EC04CF"/>
    <w:rsid w:val="00EC04FD"/>
    <w:rsid w:val="00EC0529"/>
    <w:rsid w:val="00EC054F"/>
    <w:rsid w:val="00EC0581"/>
    <w:rsid w:val="00EC059C"/>
    <w:rsid w:val="00EC05B4"/>
    <w:rsid w:val="00EC05EB"/>
    <w:rsid w:val="00EC05F5"/>
    <w:rsid w:val="00EC060E"/>
    <w:rsid w:val="00EC061C"/>
    <w:rsid w:val="00EC0630"/>
    <w:rsid w:val="00EC0633"/>
    <w:rsid w:val="00EC0635"/>
    <w:rsid w:val="00EC06FE"/>
    <w:rsid w:val="00EC0729"/>
    <w:rsid w:val="00EC0743"/>
    <w:rsid w:val="00EC0745"/>
    <w:rsid w:val="00EC078A"/>
    <w:rsid w:val="00EC07CB"/>
    <w:rsid w:val="00EC07ED"/>
    <w:rsid w:val="00EC08EE"/>
    <w:rsid w:val="00EC09C7"/>
    <w:rsid w:val="00EC09F0"/>
    <w:rsid w:val="00EC0B8D"/>
    <w:rsid w:val="00EC0B9E"/>
    <w:rsid w:val="00EC0BEC"/>
    <w:rsid w:val="00EC0C14"/>
    <w:rsid w:val="00EC0C74"/>
    <w:rsid w:val="00EC0CA0"/>
    <w:rsid w:val="00EC0D38"/>
    <w:rsid w:val="00EC0D66"/>
    <w:rsid w:val="00EC0D9B"/>
    <w:rsid w:val="00EC0DAD"/>
    <w:rsid w:val="00EC0E52"/>
    <w:rsid w:val="00EC0EB9"/>
    <w:rsid w:val="00EC0EBE"/>
    <w:rsid w:val="00EC0EDA"/>
    <w:rsid w:val="00EC0F34"/>
    <w:rsid w:val="00EC0FDD"/>
    <w:rsid w:val="00EC0FE9"/>
    <w:rsid w:val="00EC0FF2"/>
    <w:rsid w:val="00EC1023"/>
    <w:rsid w:val="00EC108C"/>
    <w:rsid w:val="00EC1095"/>
    <w:rsid w:val="00EC1107"/>
    <w:rsid w:val="00EC1120"/>
    <w:rsid w:val="00EC112C"/>
    <w:rsid w:val="00EC11A8"/>
    <w:rsid w:val="00EC120F"/>
    <w:rsid w:val="00EC1249"/>
    <w:rsid w:val="00EC126D"/>
    <w:rsid w:val="00EC12B5"/>
    <w:rsid w:val="00EC12E1"/>
    <w:rsid w:val="00EC13B8"/>
    <w:rsid w:val="00EC1504"/>
    <w:rsid w:val="00EC150E"/>
    <w:rsid w:val="00EC15A2"/>
    <w:rsid w:val="00EC15CB"/>
    <w:rsid w:val="00EC1675"/>
    <w:rsid w:val="00EC1690"/>
    <w:rsid w:val="00EC16BC"/>
    <w:rsid w:val="00EC16E2"/>
    <w:rsid w:val="00EC16F2"/>
    <w:rsid w:val="00EC1742"/>
    <w:rsid w:val="00EC17C8"/>
    <w:rsid w:val="00EC17F2"/>
    <w:rsid w:val="00EC1847"/>
    <w:rsid w:val="00EC189E"/>
    <w:rsid w:val="00EC18AE"/>
    <w:rsid w:val="00EC193C"/>
    <w:rsid w:val="00EC19A1"/>
    <w:rsid w:val="00EC1A9D"/>
    <w:rsid w:val="00EC1AAE"/>
    <w:rsid w:val="00EC1AB8"/>
    <w:rsid w:val="00EC1AC6"/>
    <w:rsid w:val="00EC1B14"/>
    <w:rsid w:val="00EC1B77"/>
    <w:rsid w:val="00EC1BEA"/>
    <w:rsid w:val="00EC1C7A"/>
    <w:rsid w:val="00EC1CAA"/>
    <w:rsid w:val="00EC1CB9"/>
    <w:rsid w:val="00EC1CBD"/>
    <w:rsid w:val="00EC1DA5"/>
    <w:rsid w:val="00EC1DF0"/>
    <w:rsid w:val="00EC1E6F"/>
    <w:rsid w:val="00EC1EAD"/>
    <w:rsid w:val="00EC1F0A"/>
    <w:rsid w:val="00EC1F16"/>
    <w:rsid w:val="00EC1F33"/>
    <w:rsid w:val="00EC1F4D"/>
    <w:rsid w:val="00EC1F57"/>
    <w:rsid w:val="00EC1F7F"/>
    <w:rsid w:val="00EC1FB9"/>
    <w:rsid w:val="00EC2041"/>
    <w:rsid w:val="00EC2043"/>
    <w:rsid w:val="00EC2076"/>
    <w:rsid w:val="00EC20A3"/>
    <w:rsid w:val="00EC20C2"/>
    <w:rsid w:val="00EC20C8"/>
    <w:rsid w:val="00EC20CE"/>
    <w:rsid w:val="00EC20F2"/>
    <w:rsid w:val="00EC2114"/>
    <w:rsid w:val="00EC2132"/>
    <w:rsid w:val="00EC222B"/>
    <w:rsid w:val="00EC22CF"/>
    <w:rsid w:val="00EC22D6"/>
    <w:rsid w:val="00EC22EC"/>
    <w:rsid w:val="00EC22FD"/>
    <w:rsid w:val="00EC232B"/>
    <w:rsid w:val="00EC2339"/>
    <w:rsid w:val="00EC2363"/>
    <w:rsid w:val="00EC236F"/>
    <w:rsid w:val="00EC23B5"/>
    <w:rsid w:val="00EC2422"/>
    <w:rsid w:val="00EC24AE"/>
    <w:rsid w:val="00EC2527"/>
    <w:rsid w:val="00EC255A"/>
    <w:rsid w:val="00EC25B4"/>
    <w:rsid w:val="00EC263C"/>
    <w:rsid w:val="00EC2671"/>
    <w:rsid w:val="00EC2709"/>
    <w:rsid w:val="00EC2711"/>
    <w:rsid w:val="00EC271D"/>
    <w:rsid w:val="00EC2744"/>
    <w:rsid w:val="00EC2747"/>
    <w:rsid w:val="00EC280C"/>
    <w:rsid w:val="00EC281C"/>
    <w:rsid w:val="00EC284E"/>
    <w:rsid w:val="00EC2876"/>
    <w:rsid w:val="00EC2895"/>
    <w:rsid w:val="00EC28C0"/>
    <w:rsid w:val="00EC28D0"/>
    <w:rsid w:val="00EC291A"/>
    <w:rsid w:val="00EC291C"/>
    <w:rsid w:val="00EC292C"/>
    <w:rsid w:val="00EC293D"/>
    <w:rsid w:val="00EC29B6"/>
    <w:rsid w:val="00EC29E8"/>
    <w:rsid w:val="00EC2A9A"/>
    <w:rsid w:val="00EC2AA7"/>
    <w:rsid w:val="00EC2AAF"/>
    <w:rsid w:val="00EC2AF5"/>
    <w:rsid w:val="00EC2BCD"/>
    <w:rsid w:val="00EC2C51"/>
    <w:rsid w:val="00EC2C71"/>
    <w:rsid w:val="00EC2CA1"/>
    <w:rsid w:val="00EC2D0F"/>
    <w:rsid w:val="00EC2D33"/>
    <w:rsid w:val="00EC2D83"/>
    <w:rsid w:val="00EC2D8A"/>
    <w:rsid w:val="00EC2D92"/>
    <w:rsid w:val="00EC2DBB"/>
    <w:rsid w:val="00EC2E24"/>
    <w:rsid w:val="00EC2E2A"/>
    <w:rsid w:val="00EC2E67"/>
    <w:rsid w:val="00EC2E7F"/>
    <w:rsid w:val="00EC2E83"/>
    <w:rsid w:val="00EC2EC1"/>
    <w:rsid w:val="00EC2F31"/>
    <w:rsid w:val="00EC2F3E"/>
    <w:rsid w:val="00EC2FB5"/>
    <w:rsid w:val="00EC2FE6"/>
    <w:rsid w:val="00EC307F"/>
    <w:rsid w:val="00EC30B4"/>
    <w:rsid w:val="00EC30C6"/>
    <w:rsid w:val="00EC3127"/>
    <w:rsid w:val="00EC3133"/>
    <w:rsid w:val="00EC3175"/>
    <w:rsid w:val="00EC3196"/>
    <w:rsid w:val="00EC325D"/>
    <w:rsid w:val="00EC32A0"/>
    <w:rsid w:val="00EC3374"/>
    <w:rsid w:val="00EC3383"/>
    <w:rsid w:val="00EC339B"/>
    <w:rsid w:val="00EC33B6"/>
    <w:rsid w:val="00EC33D4"/>
    <w:rsid w:val="00EC3414"/>
    <w:rsid w:val="00EC345E"/>
    <w:rsid w:val="00EC3473"/>
    <w:rsid w:val="00EC347F"/>
    <w:rsid w:val="00EC3526"/>
    <w:rsid w:val="00EC354C"/>
    <w:rsid w:val="00EC35CD"/>
    <w:rsid w:val="00EC364F"/>
    <w:rsid w:val="00EC3650"/>
    <w:rsid w:val="00EC369B"/>
    <w:rsid w:val="00EC36A1"/>
    <w:rsid w:val="00EC3712"/>
    <w:rsid w:val="00EC371C"/>
    <w:rsid w:val="00EC374A"/>
    <w:rsid w:val="00EC384D"/>
    <w:rsid w:val="00EC3856"/>
    <w:rsid w:val="00EC385B"/>
    <w:rsid w:val="00EC38C9"/>
    <w:rsid w:val="00EC38DD"/>
    <w:rsid w:val="00EC39BB"/>
    <w:rsid w:val="00EC39C5"/>
    <w:rsid w:val="00EC39F3"/>
    <w:rsid w:val="00EC3B28"/>
    <w:rsid w:val="00EC3B36"/>
    <w:rsid w:val="00EC3B83"/>
    <w:rsid w:val="00EC3C11"/>
    <w:rsid w:val="00EC3C15"/>
    <w:rsid w:val="00EC3CF5"/>
    <w:rsid w:val="00EC3CFD"/>
    <w:rsid w:val="00EC3D9D"/>
    <w:rsid w:val="00EC3DC0"/>
    <w:rsid w:val="00EC3DC6"/>
    <w:rsid w:val="00EC3DCA"/>
    <w:rsid w:val="00EC3E09"/>
    <w:rsid w:val="00EC3E2E"/>
    <w:rsid w:val="00EC4114"/>
    <w:rsid w:val="00EC4127"/>
    <w:rsid w:val="00EC4135"/>
    <w:rsid w:val="00EC4215"/>
    <w:rsid w:val="00EC424F"/>
    <w:rsid w:val="00EC4250"/>
    <w:rsid w:val="00EC42BC"/>
    <w:rsid w:val="00EC4376"/>
    <w:rsid w:val="00EC43F6"/>
    <w:rsid w:val="00EC4484"/>
    <w:rsid w:val="00EC44B3"/>
    <w:rsid w:val="00EC44D7"/>
    <w:rsid w:val="00EC44DA"/>
    <w:rsid w:val="00EC450E"/>
    <w:rsid w:val="00EC4597"/>
    <w:rsid w:val="00EC45C0"/>
    <w:rsid w:val="00EC45EC"/>
    <w:rsid w:val="00EC45F1"/>
    <w:rsid w:val="00EC45F3"/>
    <w:rsid w:val="00EC45F5"/>
    <w:rsid w:val="00EC4600"/>
    <w:rsid w:val="00EC461C"/>
    <w:rsid w:val="00EC4622"/>
    <w:rsid w:val="00EC4623"/>
    <w:rsid w:val="00EC4682"/>
    <w:rsid w:val="00EC46CE"/>
    <w:rsid w:val="00EC474C"/>
    <w:rsid w:val="00EC4802"/>
    <w:rsid w:val="00EC4815"/>
    <w:rsid w:val="00EC4851"/>
    <w:rsid w:val="00EC489F"/>
    <w:rsid w:val="00EC48C2"/>
    <w:rsid w:val="00EC49C8"/>
    <w:rsid w:val="00EC49CC"/>
    <w:rsid w:val="00EC4A2D"/>
    <w:rsid w:val="00EC4AF9"/>
    <w:rsid w:val="00EC4B20"/>
    <w:rsid w:val="00EC4B35"/>
    <w:rsid w:val="00EC4B68"/>
    <w:rsid w:val="00EC4B8F"/>
    <w:rsid w:val="00EC4BAF"/>
    <w:rsid w:val="00EC4C3C"/>
    <w:rsid w:val="00EC4C47"/>
    <w:rsid w:val="00EC4DB8"/>
    <w:rsid w:val="00EC4DBB"/>
    <w:rsid w:val="00EC4EC1"/>
    <w:rsid w:val="00EC4F22"/>
    <w:rsid w:val="00EC4F28"/>
    <w:rsid w:val="00EC4F9E"/>
    <w:rsid w:val="00EC5083"/>
    <w:rsid w:val="00EC50CF"/>
    <w:rsid w:val="00EC50D6"/>
    <w:rsid w:val="00EC50FB"/>
    <w:rsid w:val="00EC50FE"/>
    <w:rsid w:val="00EC5143"/>
    <w:rsid w:val="00EC5151"/>
    <w:rsid w:val="00EC51A8"/>
    <w:rsid w:val="00EC51D0"/>
    <w:rsid w:val="00EC51EE"/>
    <w:rsid w:val="00EC51F9"/>
    <w:rsid w:val="00EC5239"/>
    <w:rsid w:val="00EC52DF"/>
    <w:rsid w:val="00EC5309"/>
    <w:rsid w:val="00EC530C"/>
    <w:rsid w:val="00EC531E"/>
    <w:rsid w:val="00EC5334"/>
    <w:rsid w:val="00EC533C"/>
    <w:rsid w:val="00EC53B5"/>
    <w:rsid w:val="00EC53BE"/>
    <w:rsid w:val="00EC542C"/>
    <w:rsid w:val="00EC543E"/>
    <w:rsid w:val="00EC5451"/>
    <w:rsid w:val="00EC54F2"/>
    <w:rsid w:val="00EC54FB"/>
    <w:rsid w:val="00EC5602"/>
    <w:rsid w:val="00EC560C"/>
    <w:rsid w:val="00EC5644"/>
    <w:rsid w:val="00EC5675"/>
    <w:rsid w:val="00EC56DB"/>
    <w:rsid w:val="00EC5767"/>
    <w:rsid w:val="00EC5769"/>
    <w:rsid w:val="00EC57BD"/>
    <w:rsid w:val="00EC57F0"/>
    <w:rsid w:val="00EC5808"/>
    <w:rsid w:val="00EC5810"/>
    <w:rsid w:val="00EC58E8"/>
    <w:rsid w:val="00EC593C"/>
    <w:rsid w:val="00EC5974"/>
    <w:rsid w:val="00EC5A0C"/>
    <w:rsid w:val="00EC5A15"/>
    <w:rsid w:val="00EC5A24"/>
    <w:rsid w:val="00EC5A34"/>
    <w:rsid w:val="00EC5AB8"/>
    <w:rsid w:val="00EC5ACA"/>
    <w:rsid w:val="00EC5AD1"/>
    <w:rsid w:val="00EC5B93"/>
    <w:rsid w:val="00EC5C11"/>
    <w:rsid w:val="00EC5C1D"/>
    <w:rsid w:val="00EC5CA9"/>
    <w:rsid w:val="00EC5CB1"/>
    <w:rsid w:val="00EC5DC4"/>
    <w:rsid w:val="00EC5E73"/>
    <w:rsid w:val="00EC5E75"/>
    <w:rsid w:val="00EC5E8F"/>
    <w:rsid w:val="00EC5EAC"/>
    <w:rsid w:val="00EC5EE2"/>
    <w:rsid w:val="00EC5F6C"/>
    <w:rsid w:val="00EC5FD4"/>
    <w:rsid w:val="00EC6066"/>
    <w:rsid w:val="00EC6086"/>
    <w:rsid w:val="00EC60C9"/>
    <w:rsid w:val="00EC6143"/>
    <w:rsid w:val="00EC6159"/>
    <w:rsid w:val="00EC6223"/>
    <w:rsid w:val="00EC6323"/>
    <w:rsid w:val="00EC63C8"/>
    <w:rsid w:val="00EC6428"/>
    <w:rsid w:val="00EC64B6"/>
    <w:rsid w:val="00EC64F8"/>
    <w:rsid w:val="00EC6535"/>
    <w:rsid w:val="00EC6571"/>
    <w:rsid w:val="00EC659A"/>
    <w:rsid w:val="00EC65CA"/>
    <w:rsid w:val="00EC662C"/>
    <w:rsid w:val="00EC6658"/>
    <w:rsid w:val="00EC669F"/>
    <w:rsid w:val="00EC66EF"/>
    <w:rsid w:val="00EC674E"/>
    <w:rsid w:val="00EC67BF"/>
    <w:rsid w:val="00EC67C0"/>
    <w:rsid w:val="00EC6830"/>
    <w:rsid w:val="00EC684C"/>
    <w:rsid w:val="00EC6920"/>
    <w:rsid w:val="00EC6976"/>
    <w:rsid w:val="00EC69B2"/>
    <w:rsid w:val="00EC69C3"/>
    <w:rsid w:val="00EC6A85"/>
    <w:rsid w:val="00EC6A96"/>
    <w:rsid w:val="00EC6AC4"/>
    <w:rsid w:val="00EC6ACE"/>
    <w:rsid w:val="00EC6ADA"/>
    <w:rsid w:val="00EC6B1D"/>
    <w:rsid w:val="00EC6BA1"/>
    <w:rsid w:val="00EC6BF9"/>
    <w:rsid w:val="00EC6C5B"/>
    <w:rsid w:val="00EC6CC2"/>
    <w:rsid w:val="00EC6CCE"/>
    <w:rsid w:val="00EC6D19"/>
    <w:rsid w:val="00EC6D2F"/>
    <w:rsid w:val="00EC6D61"/>
    <w:rsid w:val="00EC6DBD"/>
    <w:rsid w:val="00EC6E89"/>
    <w:rsid w:val="00EC6EAD"/>
    <w:rsid w:val="00EC6EBF"/>
    <w:rsid w:val="00EC6EEF"/>
    <w:rsid w:val="00EC6F50"/>
    <w:rsid w:val="00EC70B9"/>
    <w:rsid w:val="00EC70E7"/>
    <w:rsid w:val="00EC7150"/>
    <w:rsid w:val="00EC7191"/>
    <w:rsid w:val="00EC71CD"/>
    <w:rsid w:val="00EC7218"/>
    <w:rsid w:val="00EC72A3"/>
    <w:rsid w:val="00EC72C8"/>
    <w:rsid w:val="00EC7357"/>
    <w:rsid w:val="00EC739E"/>
    <w:rsid w:val="00EC7469"/>
    <w:rsid w:val="00EC74C1"/>
    <w:rsid w:val="00EC74DE"/>
    <w:rsid w:val="00EC7571"/>
    <w:rsid w:val="00EC75FE"/>
    <w:rsid w:val="00EC7661"/>
    <w:rsid w:val="00EC76ED"/>
    <w:rsid w:val="00EC7718"/>
    <w:rsid w:val="00EC7744"/>
    <w:rsid w:val="00EC7771"/>
    <w:rsid w:val="00EC7774"/>
    <w:rsid w:val="00EC77C3"/>
    <w:rsid w:val="00EC77C4"/>
    <w:rsid w:val="00EC7873"/>
    <w:rsid w:val="00EC78D0"/>
    <w:rsid w:val="00EC7911"/>
    <w:rsid w:val="00EC791B"/>
    <w:rsid w:val="00EC7932"/>
    <w:rsid w:val="00EC794E"/>
    <w:rsid w:val="00EC7966"/>
    <w:rsid w:val="00EC79E0"/>
    <w:rsid w:val="00EC7A71"/>
    <w:rsid w:val="00EC7A8F"/>
    <w:rsid w:val="00EC7AB1"/>
    <w:rsid w:val="00EC7ABE"/>
    <w:rsid w:val="00EC7AC1"/>
    <w:rsid w:val="00EC7AF1"/>
    <w:rsid w:val="00EC7B28"/>
    <w:rsid w:val="00EC7B63"/>
    <w:rsid w:val="00EC7B98"/>
    <w:rsid w:val="00EC7C6A"/>
    <w:rsid w:val="00EC7C7B"/>
    <w:rsid w:val="00EC7D3A"/>
    <w:rsid w:val="00EC7D88"/>
    <w:rsid w:val="00EC7DB7"/>
    <w:rsid w:val="00EC7DDC"/>
    <w:rsid w:val="00EC7E3C"/>
    <w:rsid w:val="00EC7E6C"/>
    <w:rsid w:val="00EC7E6E"/>
    <w:rsid w:val="00EC7ED1"/>
    <w:rsid w:val="00EC7EE7"/>
    <w:rsid w:val="00EC7EFC"/>
    <w:rsid w:val="00EC7F08"/>
    <w:rsid w:val="00EC7F51"/>
    <w:rsid w:val="00EC7F93"/>
    <w:rsid w:val="00EC7FA1"/>
    <w:rsid w:val="00EC7FB6"/>
    <w:rsid w:val="00EC7FDF"/>
    <w:rsid w:val="00ED0003"/>
    <w:rsid w:val="00ED0010"/>
    <w:rsid w:val="00ED002D"/>
    <w:rsid w:val="00ED0030"/>
    <w:rsid w:val="00ED003B"/>
    <w:rsid w:val="00ED005E"/>
    <w:rsid w:val="00ED0064"/>
    <w:rsid w:val="00ED0077"/>
    <w:rsid w:val="00ED0082"/>
    <w:rsid w:val="00ED0112"/>
    <w:rsid w:val="00ED021D"/>
    <w:rsid w:val="00ED024A"/>
    <w:rsid w:val="00ED027D"/>
    <w:rsid w:val="00ED029E"/>
    <w:rsid w:val="00ED02A0"/>
    <w:rsid w:val="00ED02C4"/>
    <w:rsid w:val="00ED02FA"/>
    <w:rsid w:val="00ED02FD"/>
    <w:rsid w:val="00ED0331"/>
    <w:rsid w:val="00ED0361"/>
    <w:rsid w:val="00ED039E"/>
    <w:rsid w:val="00ED03AF"/>
    <w:rsid w:val="00ED03BA"/>
    <w:rsid w:val="00ED03FF"/>
    <w:rsid w:val="00ED041A"/>
    <w:rsid w:val="00ED042F"/>
    <w:rsid w:val="00ED050F"/>
    <w:rsid w:val="00ED0538"/>
    <w:rsid w:val="00ED0545"/>
    <w:rsid w:val="00ED0550"/>
    <w:rsid w:val="00ED0556"/>
    <w:rsid w:val="00ED0569"/>
    <w:rsid w:val="00ED05AF"/>
    <w:rsid w:val="00ED05B7"/>
    <w:rsid w:val="00ED05D3"/>
    <w:rsid w:val="00ED0603"/>
    <w:rsid w:val="00ED0640"/>
    <w:rsid w:val="00ED0696"/>
    <w:rsid w:val="00ED069D"/>
    <w:rsid w:val="00ED06B4"/>
    <w:rsid w:val="00ED06C4"/>
    <w:rsid w:val="00ED0724"/>
    <w:rsid w:val="00ED074F"/>
    <w:rsid w:val="00ED0820"/>
    <w:rsid w:val="00ED085E"/>
    <w:rsid w:val="00ED0877"/>
    <w:rsid w:val="00ED08CA"/>
    <w:rsid w:val="00ED08D4"/>
    <w:rsid w:val="00ED09CA"/>
    <w:rsid w:val="00ED09FF"/>
    <w:rsid w:val="00ED0A1D"/>
    <w:rsid w:val="00ED0A63"/>
    <w:rsid w:val="00ED0ACC"/>
    <w:rsid w:val="00ED0ADE"/>
    <w:rsid w:val="00ED0B34"/>
    <w:rsid w:val="00ED0B65"/>
    <w:rsid w:val="00ED0C48"/>
    <w:rsid w:val="00ED0C7E"/>
    <w:rsid w:val="00ED0CB9"/>
    <w:rsid w:val="00ED0D08"/>
    <w:rsid w:val="00ED0D20"/>
    <w:rsid w:val="00ED0D5C"/>
    <w:rsid w:val="00ED0DA6"/>
    <w:rsid w:val="00ED0E05"/>
    <w:rsid w:val="00ED0E27"/>
    <w:rsid w:val="00ED0E52"/>
    <w:rsid w:val="00ED0F01"/>
    <w:rsid w:val="00ED0F1C"/>
    <w:rsid w:val="00ED0F54"/>
    <w:rsid w:val="00ED101F"/>
    <w:rsid w:val="00ED1064"/>
    <w:rsid w:val="00ED1093"/>
    <w:rsid w:val="00ED11A1"/>
    <w:rsid w:val="00ED1229"/>
    <w:rsid w:val="00ED1294"/>
    <w:rsid w:val="00ED1298"/>
    <w:rsid w:val="00ED13AD"/>
    <w:rsid w:val="00ED1464"/>
    <w:rsid w:val="00ED1492"/>
    <w:rsid w:val="00ED14D4"/>
    <w:rsid w:val="00ED1592"/>
    <w:rsid w:val="00ED15BC"/>
    <w:rsid w:val="00ED1612"/>
    <w:rsid w:val="00ED16E8"/>
    <w:rsid w:val="00ED16EE"/>
    <w:rsid w:val="00ED1721"/>
    <w:rsid w:val="00ED1742"/>
    <w:rsid w:val="00ED1751"/>
    <w:rsid w:val="00ED1778"/>
    <w:rsid w:val="00ED17B6"/>
    <w:rsid w:val="00ED17DD"/>
    <w:rsid w:val="00ED17E8"/>
    <w:rsid w:val="00ED17EF"/>
    <w:rsid w:val="00ED1838"/>
    <w:rsid w:val="00ED184B"/>
    <w:rsid w:val="00ED1850"/>
    <w:rsid w:val="00ED18CC"/>
    <w:rsid w:val="00ED191A"/>
    <w:rsid w:val="00ED1921"/>
    <w:rsid w:val="00ED194A"/>
    <w:rsid w:val="00ED194D"/>
    <w:rsid w:val="00ED1983"/>
    <w:rsid w:val="00ED1998"/>
    <w:rsid w:val="00ED1A25"/>
    <w:rsid w:val="00ED1A26"/>
    <w:rsid w:val="00ED1A2B"/>
    <w:rsid w:val="00ED1A8F"/>
    <w:rsid w:val="00ED1B6E"/>
    <w:rsid w:val="00ED1B7F"/>
    <w:rsid w:val="00ED1B80"/>
    <w:rsid w:val="00ED1BAF"/>
    <w:rsid w:val="00ED1BBF"/>
    <w:rsid w:val="00ED1C13"/>
    <w:rsid w:val="00ED1C17"/>
    <w:rsid w:val="00ED1CEB"/>
    <w:rsid w:val="00ED1CF6"/>
    <w:rsid w:val="00ED1D96"/>
    <w:rsid w:val="00ED1E26"/>
    <w:rsid w:val="00ED1E53"/>
    <w:rsid w:val="00ED1E66"/>
    <w:rsid w:val="00ED1EC7"/>
    <w:rsid w:val="00ED1EE5"/>
    <w:rsid w:val="00ED1F00"/>
    <w:rsid w:val="00ED1F0B"/>
    <w:rsid w:val="00ED1F1E"/>
    <w:rsid w:val="00ED1F91"/>
    <w:rsid w:val="00ED2010"/>
    <w:rsid w:val="00ED202D"/>
    <w:rsid w:val="00ED204B"/>
    <w:rsid w:val="00ED2086"/>
    <w:rsid w:val="00ED20CB"/>
    <w:rsid w:val="00ED22D7"/>
    <w:rsid w:val="00ED22FB"/>
    <w:rsid w:val="00ED2359"/>
    <w:rsid w:val="00ED23BA"/>
    <w:rsid w:val="00ED2406"/>
    <w:rsid w:val="00ED243E"/>
    <w:rsid w:val="00ED2466"/>
    <w:rsid w:val="00ED2468"/>
    <w:rsid w:val="00ED2475"/>
    <w:rsid w:val="00ED24B3"/>
    <w:rsid w:val="00ED2509"/>
    <w:rsid w:val="00ED254F"/>
    <w:rsid w:val="00ED2575"/>
    <w:rsid w:val="00ED2582"/>
    <w:rsid w:val="00ED2593"/>
    <w:rsid w:val="00ED25C8"/>
    <w:rsid w:val="00ED25EE"/>
    <w:rsid w:val="00ED2631"/>
    <w:rsid w:val="00ED2657"/>
    <w:rsid w:val="00ED2666"/>
    <w:rsid w:val="00ED2698"/>
    <w:rsid w:val="00ED278C"/>
    <w:rsid w:val="00ED28A7"/>
    <w:rsid w:val="00ED28D9"/>
    <w:rsid w:val="00ED28EE"/>
    <w:rsid w:val="00ED293A"/>
    <w:rsid w:val="00ED2A18"/>
    <w:rsid w:val="00ED2ADF"/>
    <w:rsid w:val="00ED2AFE"/>
    <w:rsid w:val="00ED2B8A"/>
    <w:rsid w:val="00ED2B9D"/>
    <w:rsid w:val="00ED2BFF"/>
    <w:rsid w:val="00ED2C2D"/>
    <w:rsid w:val="00ED2CFD"/>
    <w:rsid w:val="00ED2D46"/>
    <w:rsid w:val="00ED2D64"/>
    <w:rsid w:val="00ED2E2B"/>
    <w:rsid w:val="00ED2E36"/>
    <w:rsid w:val="00ED2E3F"/>
    <w:rsid w:val="00ED2E66"/>
    <w:rsid w:val="00ED2E73"/>
    <w:rsid w:val="00ED2F47"/>
    <w:rsid w:val="00ED2FA6"/>
    <w:rsid w:val="00ED2FAD"/>
    <w:rsid w:val="00ED2FD1"/>
    <w:rsid w:val="00ED3047"/>
    <w:rsid w:val="00ED308B"/>
    <w:rsid w:val="00ED30B8"/>
    <w:rsid w:val="00ED310C"/>
    <w:rsid w:val="00ED3111"/>
    <w:rsid w:val="00ED3124"/>
    <w:rsid w:val="00ED31FE"/>
    <w:rsid w:val="00ED323A"/>
    <w:rsid w:val="00ED3252"/>
    <w:rsid w:val="00ED32A2"/>
    <w:rsid w:val="00ED3308"/>
    <w:rsid w:val="00ED3317"/>
    <w:rsid w:val="00ED3347"/>
    <w:rsid w:val="00ED33F3"/>
    <w:rsid w:val="00ED347E"/>
    <w:rsid w:val="00ED34ED"/>
    <w:rsid w:val="00ED3560"/>
    <w:rsid w:val="00ED356A"/>
    <w:rsid w:val="00ED35D2"/>
    <w:rsid w:val="00ED362D"/>
    <w:rsid w:val="00ED368D"/>
    <w:rsid w:val="00ED36B2"/>
    <w:rsid w:val="00ED3720"/>
    <w:rsid w:val="00ED3747"/>
    <w:rsid w:val="00ED374B"/>
    <w:rsid w:val="00ED374F"/>
    <w:rsid w:val="00ED37C0"/>
    <w:rsid w:val="00ED3816"/>
    <w:rsid w:val="00ED3871"/>
    <w:rsid w:val="00ED3906"/>
    <w:rsid w:val="00ED3908"/>
    <w:rsid w:val="00ED3913"/>
    <w:rsid w:val="00ED3970"/>
    <w:rsid w:val="00ED3994"/>
    <w:rsid w:val="00ED39B1"/>
    <w:rsid w:val="00ED39DD"/>
    <w:rsid w:val="00ED3A1E"/>
    <w:rsid w:val="00ED3A33"/>
    <w:rsid w:val="00ED3B35"/>
    <w:rsid w:val="00ED3B38"/>
    <w:rsid w:val="00ED3B98"/>
    <w:rsid w:val="00ED3B9F"/>
    <w:rsid w:val="00ED3BBE"/>
    <w:rsid w:val="00ED3BE4"/>
    <w:rsid w:val="00ED3C56"/>
    <w:rsid w:val="00ED3CAD"/>
    <w:rsid w:val="00ED3D80"/>
    <w:rsid w:val="00ED3DF9"/>
    <w:rsid w:val="00ED3E2C"/>
    <w:rsid w:val="00ED3E3D"/>
    <w:rsid w:val="00ED3ED6"/>
    <w:rsid w:val="00ED3EE7"/>
    <w:rsid w:val="00ED3F2A"/>
    <w:rsid w:val="00ED3FEE"/>
    <w:rsid w:val="00ED4052"/>
    <w:rsid w:val="00ED4055"/>
    <w:rsid w:val="00ED406B"/>
    <w:rsid w:val="00ED4080"/>
    <w:rsid w:val="00ED4096"/>
    <w:rsid w:val="00ED40A9"/>
    <w:rsid w:val="00ED40CF"/>
    <w:rsid w:val="00ED40E7"/>
    <w:rsid w:val="00ED4116"/>
    <w:rsid w:val="00ED4119"/>
    <w:rsid w:val="00ED4251"/>
    <w:rsid w:val="00ED42F5"/>
    <w:rsid w:val="00ED431C"/>
    <w:rsid w:val="00ED43EE"/>
    <w:rsid w:val="00ED4436"/>
    <w:rsid w:val="00ED4545"/>
    <w:rsid w:val="00ED454A"/>
    <w:rsid w:val="00ED45ED"/>
    <w:rsid w:val="00ED45F2"/>
    <w:rsid w:val="00ED462D"/>
    <w:rsid w:val="00ED4746"/>
    <w:rsid w:val="00ED4768"/>
    <w:rsid w:val="00ED4770"/>
    <w:rsid w:val="00ED4818"/>
    <w:rsid w:val="00ED4819"/>
    <w:rsid w:val="00ED487E"/>
    <w:rsid w:val="00ED48B8"/>
    <w:rsid w:val="00ED4919"/>
    <w:rsid w:val="00ED4958"/>
    <w:rsid w:val="00ED4959"/>
    <w:rsid w:val="00ED49C7"/>
    <w:rsid w:val="00ED49D1"/>
    <w:rsid w:val="00ED49E4"/>
    <w:rsid w:val="00ED49E7"/>
    <w:rsid w:val="00ED4A0F"/>
    <w:rsid w:val="00ED4A37"/>
    <w:rsid w:val="00ED4A3B"/>
    <w:rsid w:val="00ED4A48"/>
    <w:rsid w:val="00ED4A4A"/>
    <w:rsid w:val="00ED4A53"/>
    <w:rsid w:val="00ED4A91"/>
    <w:rsid w:val="00ED4B5A"/>
    <w:rsid w:val="00ED4B91"/>
    <w:rsid w:val="00ED4BB3"/>
    <w:rsid w:val="00ED4C34"/>
    <w:rsid w:val="00ED4C4C"/>
    <w:rsid w:val="00ED4C73"/>
    <w:rsid w:val="00ED4D02"/>
    <w:rsid w:val="00ED4D18"/>
    <w:rsid w:val="00ED4D1E"/>
    <w:rsid w:val="00ED4D89"/>
    <w:rsid w:val="00ED4DC2"/>
    <w:rsid w:val="00ED4E10"/>
    <w:rsid w:val="00ED4E17"/>
    <w:rsid w:val="00ED4E62"/>
    <w:rsid w:val="00ED4E6D"/>
    <w:rsid w:val="00ED4EA0"/>
    <w:rsid w:val="00ED4FB6"/>
    <w:rsid w:val="00ED4FD2"/>
    <w:rsid w:val="00ED4FF3"/>
    <w:rsid w:val="00ED5033"/>
    <w:rsid w:val="00ED5060"/>
    <w:rsid w:val="00ED508E"/>
    <w:rsid w:val="00ED5110"/>
    <w:rsid w:val="00ED5124"/>
    <w:rsid w:val="00ED5136"/>
    <w:rsid w:val="00ED514D"/>
    <w:rsid w:val="00ED5152"/>
    <w:rsid w:val="00ED521D"/>
    <w:rsid w:val="00ED5237"/>
    <w:rsid w:val="00ED5239"/>
    <w:rsid w:val="00ED52DB"/>
    <w:rsid w:val="00ED52F1"/>
    <w:rsid w:val="00ED532D"/>
    <w:rsid w:val="00ED53F9"/>
    <w:rsid w:val="00ED541C"/>
    <w:rsid w:val="00ED5462"/>
    <w:rsid w:val="00ED5473"/>
    <w:rsid w:val="00ED5492"/>
    <w:rsid w:val="00ED55B2"/>
    <w:rsid w:val="00ED562C"/>
    <w:rsid w:val="00ED5636"/>
    <w:rsid w:val="00ED563D"/>
    <w:rsid w:val="00ED5681"/>
    <w:rsid w:val="00ED569F"/>
    <w:rsid w:val="00ED56B9"/>
    <w:rsid w:val="00ED56BB"/>
    <w:rsid w:val="00ED5722"/>
    <w:rsid w:val="00ED5772"/>
    <w:rsid w:val="00ED5787"/>
    <w:rsid w:val="00ED58BD"/>
    <w:rsid w:val="00ED590E"/>
    <w:rsid w:val="00ED5987"/>
    <w:rsid w:val="00ED598B"/>
    <w:rsid w:val="00ED59F9"/>
    <w:rsid w:val="00ED5A08"/>
    <w:rsid w:val="00ED5A6F"/>
    <w:rsid w:val="00ED5A76"/>
    <w:rsid w:val="00ED5A7D"/>
    <w:rsid w:val="00ED5AAF"/>
    <w:rsid w:val="00ED5B5F"/>
    <w:rsid w:val="00ED5B97"/>
    <w:rsid w:val="00ED5BD0"/>
    <w:rsid w:val="00ED5C0D"/>
    <w:rsid w:val="00ED5C45"/>
    <w:rsid w:val="00ED5C81"/>
    <w:rsid w:val="00ED5C8D"/>
    <w:rsid w:val="00ED5CE3"/>
    <w:rsid w:val="00ED5D5D"/>
    <w:rsid w:val="00ED5DBB"/>
    <w:rsid w:val="00ED5DCE"/>
    <w:rsid w:val="00ED5E16"/>
    <w:rsid w:val="00ED5E17"/>
    <w:rsid w:val="00ED5E5B"/>
    <w:rsid w:val="00ED5E85"/>
    <w:rsid w:val="00ED5E9D"/>
    <w:rsid w:val="00ED5EB8"/>
    <w:rsid w:val="00ED5EC1"/>
    <w:rsid w:val="00ED5EE3"/>
    <w:rsid w:val="00ED5F24"/>
    <w:rsid w:val="00ED5F47"/>
    <w:rsid w:val="00ED5F8D"/>
    <w:rsid w:val="00ED5FE1"/>
    <w:rsid w:val="00ED6066"/>
    <w:rsid w:val="00ED60C2"/>
    <w:rsid w:val="00ED60EE"/>
    <w:rsid w:val="00ED6162"/>
    <w:rsid w:val="00ED6190"/>
    <w:rsid w:val="00ED61A5"/>
    <w:rsid w:val="00ED61BC"/>
    <w:rsid w:val="00ED6217"/>
    <w:rsid w:val="00ED622C"/>
    <w:rsid w:val="00ED625F"/>
    <w:rsid w:val="00ED630D"/>
    <w:rsid w:val="00ED631D"/>
    <w:rsid w:val="00ED635F"/>
    <w:rsid w:val="00ED63C3"/>
    <w:rsid w:val="00ED63C7"/>
    <w:rsid w:val="00ED63DF"/>
    <w:rsid w:val="00ED643D"/>
    <w:rsid w:val="00ED647E"/>
    <w:rsid w:val="00ED6495"/>
    <w:rsid w:val="00ED64DE"/>
    <w:rsid w:val="00ED6539"/>
    <w:rsid w:val="00ED657A"/>
    <w:rsid w:val="00ED65A7"/>
    <w:rsid w:val="00ED6637"/>
    <w:rsid w:val="00ED6658"/>
    <w:rsid w:val="00ED665F"/>
    <w:rsid w:val="00ED6683"/>
    <w:rsid w:val="00ED6703"/>
    <w:rsid w:val="00ED6710"/>
    <w:rsid w:val="00ED675F"/>
    <w:rsid w:val="00ED6799"/>
    <w:rsid w:val="00ED683A"/>
    <w:rsid w:val="00ED685C"/>
    <w:rsid w:val="00ED6879"/>
    <w:rsid w:val="00ED6982"/>
    <w:rsid w:val="00ED69D5"/>
    <w:rsid w:val="00ED69E4"/>
    <w:rsid w:val="00ED69E5"/>
    <w:rsid w:val="00ED6A1B"/>
    <w:rsid w:val="00ED6A23"/>
    <w:rsid w:val="00ED6A62"/>
    <w:rsid w:val="00ED6A7C"/>
    <w:rsid w:val="00ED6AAA"/>
    <w:rsid w:val="00ED6AD5"/>
    <w:rsid w:val="00ED6AF4"/>
    <w:rsid w:val="00ED6AF6"/>
    <w:rsid w:val="00ED6C7D"/>
    <w:rsid w:val="00ED6C86"/>
    <w:rsid w:val="00ED6CE3"/>
    <w:rsid w:val="00ED6CF6"/>
    <w:rsid w:val="00ED6E3F"/>
    <w:rsid w:val="00ED6FF6"/>
    <w:rsid w:val="00ED7001"/>
    <w:rsid w:val="00ED7039"/>
    <w:rsid w:val="00ED705D"/>
    <w:rsid w:val="00ED714B"/>
    <w:rsid w:val="00ED7171"/>
    <w:rsid w:val="00ED71A9"/>
    <w:rsid w:val="00ED71CA"/>
    <w:rsid w:val="00ED7291"/>
    <w:rsid w:val="00ED729F"/>
    <w:rsid w:val="00ED72C2"/>
    <w:rsid w:val="00ED72D4"/>
    <w:rsid w:val="00ED72F8"/>
    <w:rsid w:val="00ED733F"/>
    <w:rsid w:val="00ED735C"/>
    <w:rsid w:val="00ED735E"/>
    <w:rsid w:val="00ED7392"/>
    <w:rsid w:val="00ED73C0"/>
    <w:rsid w:val="00ED7419"/>
    <w:rsid w:val="00ED74DE"/>
    <w:rsid w:val="00ED7531"/>
    <w:rsid w:val="00ED7561"/>
    <w:rsid w:val="00ED75B3"/>
    <w:rsid w:val="00ED75C8"/>
    <w:rsid w:val="00ED75ED"/>
    <w:rsid w:val="00ED7690"/>
    <w:rsid w:val="00ED7729"/>
    <w:rsid w:val="00ED7768"/>
    <w:rsid w:val="00ED7772"/>
    <w:rsid w:val="00ED77F1"/>
    <w:rsid w:val="00ED7814"/>
    <w:rsid w:val="00ED791B"/>
    <w:rsid w:val="00ED796B"/>
    <w:rsid w:val="00ED79F1"/>
    <w:rsid w:val="00ED7A11"/>
    <w:rsid w:val="00ED7A38"/>
    <w:rsid w:val="00ED7A6E"/>
    <w:rsid w:val="00ED7ABE"/>
    <w:rsid w:val="00ED7AEC"/>
    <w:rsid w:val="00ED7B36"/>
    <w:rsid w:val="00ED7B55"/>
    <w:rsid w:val="00ED7BAC"/>
    <w:rsid w:val="00ED7C22"/>
    <w:rsid w:val="00ED7C3A"/>
    <w:rsid w:val="00ED7CCC"/>
    <w:rsid w:val="00ED7D10"/>
    <w:rsid w:val="00ED7D1B"/>
    <w:rsid w:val="00ED7DCD"/>
    <w:rsid w:val="00ED7E55"/>
    <w:rsid w:val="00ED7E56"/>
    <w:rsid w:val="00ED7E71"/>
    <w:rsid w:val="00ED7E93"/>
    <w:rsid w:val="00ED7EB8"/>
    <w:rsid w:val="00ED7F7D"/>
    <w:rsid w:val="00EE0016"/>
    <w:rsid w:val="00EE010F"/>
    <w:rsid w:val="00EE01A0"/>
    <w:rsid w:val="00EE01D4"/>
    <w:rsid w:val="00EE0201"/>
    <w:rsid w:val="00EE020C"/>
    <w:rsid w:val="00EE0270"/>
    <w:rsid w:val="00EE02AD"/>
    <w:rsid w:val="00EE02B2"/>
    <w:rsid w:val="00EE02EB"/>
    <w:rsid w:val="00EE0301"/>
    <w:rsid w:val="00EE031D"/>
    <w:rsid w:val="00EE034E"/>
    <w:rsid w:val="00EE039A"/>
    <w:rsid w:val="00EE0419"/>
    <w:rsid w:val="00EE043C"/>
    <w:rsid w:val="00EE0449"/>
    <w:rsid w:val="00EE045A"/>
    <w:rsid w:val="00EE04D4"/>
    <w:rsid w:val="00EE0512"/>
    <w:rsid w:val="00EE0551"/>
    <w:rsid w:val="00EE0572"/>
    <w:rsid w:val="00EE0573"/>
    <w:rsid w:val="00EE05D2"/>
    <w:rsid w:val="00EE0622"/>
    <w:rsid w:val="00EE0682"/>
    <w:rsid w:val="00EE06C1"/>
    <w:rsid w:val="00EE06F8"/>
    <w:rsid w:val="00EE072C"/>
    <w:rsid w:val="00EE0762"/>
    <w:rsid w:val="00EE077F"/>
    <w:rsid w:val="00EE07B1"/>
    <w:rsid w:val="00EE07D0"/>
    <w:rsid w:val="00EE0867"/>
    <w:rsid w:val="00EE0873"/>
    <w:rsid w:val="00EE087F"/>
    <w:rsid w:val="00EE08B5"/>
    <w:rsid w:val="00EE08B7"/>
    <w:rsid w:val="00EE08B8"/>
    <w:rsid w:val="00EE08C1"/>
    <w:rsid w:val="00EE08C4"/>
    <w:rsid w:val="00EE0957"/>
    <w:rsid w:val="00EE095E"/>
    <w:rsid w:val="00EE0A15"/>
    <w:rsid w:val="00EE0A17"/>
    <w:rsid w:val="00EE0A32"/>
    <w:rsid w:val="00EE0A55"/>
    <w:rsid w:val="00EE0A73"/>
    <w:rsid w:val="00EE0AD4"/>
    <w:rsid w:val="00EE0B0A"/>
    <w:rsid w:val="00EE0B3E"/>
    <w:rsid w:val="00EE0B55"/>
    <w:rsid w:val="00EE0B90"/>
    <w:rsid w:val="00EE0DAA"/>
    <w:rsid w:val="00EE0DB9"/>
    <w:rsid w:val="00EE0DE2"/>
    <w:rsid w:val="00EE0E2A"/>
    <w:rsid w:val="00EE0E52"/>
    <w:rsid w:val="00EE0E9F"/>
    <w:rsid w:val="00EE0EC4"/>
    <w:rsid w:val="00EE0F35"/>
    <w:rsid w:val="00EE101E"/>
    <w:rsid w:val="00EE1036"/>
    <w:rsid w:val="00EE1059"/>
    <w:rsid w:val="00EE108F"/>
    <w:rsid w:val="00EE1110"/>
    <w:rsid w:val="00EE11BB"/>
    <w:rsid w:val="00EE11F3"/>
    <w:rsid w:val="00EE13EA"/>
    <w:rsid w:val="00EE13FF"/>
    <w:rsid w:val="00EE1463"/>
    <w:rsid w:val="00EE1479"/>
    <w:rsid w:val="00EE1481"/>
    <w:rsid w:val="00EE148E"/>
    <w:rsid w:val="00EE14A5"/>
    <w:rsid w:val="00EE1508"/>
    <w:rsid w:val="00EE1520"/>
    <w:rsid w:val="00EE158E"/>
    <w:rsid w:val="00EE159B"/>
    <w:rsid w:val="00EE1647"/>
    <w:rsid w:val="00EE1656"/>
    <w:rsid w:val="00EE1670"/>
    <w:rsid w:val="00EE16B5"/>
    <w:rsid w:val="00EE16B8"/>
    <w:rsid w:val="00EE1733"/>
    <w:rsid w:val="00EE1771"/>
    <w:rsid w:val="00EE17A3"/>
    <w:rsid w:val="00EE17AF"/>
    <w:rsid w:val="00EE17C1"/>
    <w:rsid w:val="00EE17E3"/>
    <w:rsid w:val="00EE18A0"/>
    <w:rsid w:val="00EE18B3"/>
    <w:rsid w:val="00EE18B4"/>
    <w:rsid w:val="00EE18DB"/>
    <w:rsid w:val="00EE197B"/>
    <w:rsid w:val="00EE1992"/>
    <w:rsid w:val="00EE19A5"/>
    <w:rsid w:val="00EE19BF"/>
    <w:rsid w:val="00EE19D2"/>
    <w:rsid w:val="00EE1A0E"/>
    <w:rsid w:val="00EE1A52"/>
    <w:rsid w:val="00EE1AC5"/>
    <w:rsid w:val="00EE1AFF"/>
    <w:rsid w:val="00EE1B84"/>
    <w:rsid w:val="00EE1C17"/>
    <w:rsid w:val="00EE1CA3"/>
    <w:rsid w:val="00EE1D57"/>
    <w:rsid w:val="00EE1D78"/>
    <w:rsid w:val="00EE1D7C"/>
    <w:rsid w:val="00EE1D87"/>
    <w:rsid w:val="00EE1DF1"/>
    <w:rsid w:val="00EE1E19"/>
    <w:rsid w:val="00EE1E3D"/>
    <w:rsid w:val="00EE1E5D"/>
    <w:rsid w:val="00EE1E62"/>
    <w:rsid w:val="00EE1F2E"/>
    <w:rsid w:val="00EE1F62"/>
    <w:rsid w:val="00EE1F6C"/>
    <w:rsid w:val="00EE1FC7"/>
    <w:rsid w:val="00EE2083"/>
    <w:rsid w:val="00EE20C8"/>
    <w:rsid w:val="00EE20CA"/>
    <w:rsid w:val="00EE2189"/>
    <w:rsid w:val="00EE21F9"/>
    <w:rsid w:val="00EE2217"/>
    <w:rsid w:val="00EE2227"/>
    <w:rsid w:val="00EE226F"/>
    <w:rsid w:val="00EE227D"/>
    <w:rsid w:val="00EE2295"/>
    <w:rsid w:val="00EE22B9"/>
    <w:rsid w:val="00EE22CE"/>
    <w:rsid w:val="00EE2396"/>
    <w:rsid w:val="00EE23A6"/>
    <w:rsid w:val="00EE23EA"/>
    <w:rsid w:val="00EE23EE"/>
    <w:rsid w:val="00EE242B"/>
    <w:rsid w:val="00EE2485"/>
    <w:rsid w:val="00EE24A1"/>
    <w:rsid w:val="00EE24F6"/>
    <w:rsid w:val="00EE24FE"/>
    <w:rsid w:val="00EE2503"/>
    <w:rsid w:val="00EE2504"/>
    <w:rsid w:val="00EE2532"/>
    <w:rsid w:val="00EE253A"/>
    <w:rsid w:val="00EE2546"/>
    <w:rsid w:val="00EE2554"/>
    <w:rsid w:val="00EE260F"/>
    <w:rsid w:val="00EE263C"/>
    <w:rsid w:val="00EE2644"/>
    <w:rsid w:val="00EE2699"/>
    <w:rsid w:val="00EE26DE"/>
    <w:rsid w:val="00EE26F8"/>
    <w:rsid w:val="00EE272A"/>
    <w:rsid w:val="00EE2879"/>
    <w:rsid w:val="00EE287B"/>
    <w:rsid w:val="00EE289B"/>
    <w:rsid w:val="00EE292B"/>
    <w:rsid w:val="00EE2931"/>
    <w:rsid w:val="00EE297D"/>
    <w:rsid w:val="00EE2992"/>
    <w:rsid w:val="00EE2AE7"/>
    <w:rsid w:val="00EE2B8F"/>
    <w:rsid w:val="00EE2BB7"/>
    <w:rsid w:val="00EE2C21"/>
    <w:rsid w:val="00EE2CB6"/>
    <w:rsid w:val="00EE2CD7"/>
    <w:rsid w:val="00EE2CE7"/>
    <w:rsid w:val="00EE2CE9"/>
    <w:rsid w:val="00EE2CEB"/>
    <w:rsid w:val="00EE2D14"/>
    <w:rsid w:val="00EE2D1B"/>
    <w:rsid w:val="00EE2D27"/>
    <w:rsid w:val="00EE2D37"/>
    <w:rsid w:val="00EE2D75"/>
    <w:rsid w:val="00EE2E3D"/>
    <w:rsid w:val="00EE2E68"/>
    <w:rsid w:val="00EE2EAB"/>
    <w:rsid w:val="00EE2EE1"/>
    <w:rsid w:val="00EE2F01"/>
    <w:rsid w:val="00EE2F31"/>
    <w:rsid w:val="00EE2F7A"/>
    <w:rsid w:val="00EE2F93"/>
    <w:rsid w:val="00EE2F9A"/>
    <w:rsid w:val="00EE2FC4"/>
    <w:rsid w:val="00EE300C"/>
    <w:rsid w:val="00EE3022"/>
    <w:rsid w:val="00EE3038"/>
    <w:rsid w:val="00EE32B5"/>
    <w:rsid w:val="00EE32F2"/>
    <w:rsid w:val="00EE3335"/>
    <w:rsid w:val="00EE335B"/>
    <w:rsid w:val="00EE3368"/>
    <w:rsid w:val="00EE33A9"/>
    <w:rsid w:val="00EE33CB"/>
    <w:rsid w:val="00EE344C"/>
    <w:rsid w:val="00EE3456"/>
    <w:rsid w:val="00EE34D8"/>
    <w:rsid w:val="00EE3557"/>
    <w:rsid w:val="00EE3575"/>
    <w:rsid w:val="00EE3580"/>
    <w:rsid w:val="00EE3591"/>
    <w:rsid w:val="00EE359A"/>
    <w:rsid w:val="00EE3603"/>
    <w:rsid w:val="00EE362A"/>
    <w:rsid w:val="00EE36A2"/>
    <w:rsid w:val="00EE36DC"/>
    <w:rsid w:val="00EE36E6"/>
    <w:rsid w:val="00EE37A6"/>
    <w:rsid w:val="00EE37D1"/>
    <w:rsid w:val="00EE3907"/>
    <w:rsid w:val="00EE395D"/>
    <w:rsid w:val="00EE39CF"/>
    <w:rsid w:val="00EE39DE"/>
    <w:rsid w:val="00EE39E4"/>
    <w:rsid w:val="00EE3A2F"/>
    <w:rsid w:val="00EE3A67"/>
    <w:rsid w:val="00EE3A8F"/>
    <w:rsid w:val="00EE3B0B"/>
    <w:rsid w:val="00EE3B60"/>
    <w:rsid w:val="00EE3B6B"/>
    <w:rsid w:val="00EE3B88"/>
    <w:rsid w:val="00EE3BE7"/>
    <w:rsid w:val="00EE3C1F"/>
    <w:rsid w:val="00EE3C50"/>
    <w:rsid w:val="00EE3C65"/>
    <w:rsid w:val="00EE3C94"/>
    <w:rsid w:val="00EE3D86"/>
    <w:rsid w:val="00EE3DE0"/>
    <w:rsid w:val="00EE3DF7"/>
    <w:rsid w:val="00EE3EAE"/>
    <w:rsid w:val="00EE3ED9"/>
    <w:rsid w:val="00EE3F68"/>
    <w:rsid w:val="00EE3F7B"/>
    <w:rsid w:val="00EE3FBE"/>
    <w:rsid w:val="00EE4010"/>
    <w:rsid w:val="00EE4031"/>
    <w:rsid w:val="00EE403E"/>
    <w:rsid w:val="00EE4042"/>
    <w:rsid w:val="00EE4085"/>
    <w:rsid w:val="00EE4097"/>
    <w:rsid w:val="00EE4162"/>
    <w:rsid w:val="00EE41CC"/>
    <w:rsid w:val="00EE41D7"/>
    <w:rsid w:val="00EE423C"/>
    <w:rsid w:val="00EE4257"/>
    <w:rsid w:val="00EE4279"/>
    <w:rsid w:val="00EE43FB"/>
    <w:rsid w:val="00EE440F"/>
    <w:rsid w:val="00EE44A2"/>
    <w:rsid w:val="00EE4543"/>
    <w:rsid w:val="00EE4550"/>
    <w:rsid w:val="00EE466B"/>
    <w:rsid w:val="00EE468B"/>
    <w:rsid w:val="00EE4733"/>
    <w:rsid w:val="00EE476A"/>
    <w:rsid w:val="00EE4771"/>
    <w:rsid w:val="00EE478E"/>
    <w:rsid w:val="00EE48D6"/>
    <w:rsid w:val="00EE4905"/>
    <w:rsid w:val="00EE492C"/>
    <w:rsid w:val="00EE494E"/>
    <w:rsid w:val="00EE495A"/>
    <w:rsid w:val="00EE4A1A"/>
    <w:rsid w:val="00EE4A1F"/>
    <w:rsid w:val="00EE4A55"/>
    <w:rsid w:val="00EE4A89"/>
    <w:rsid w:val="00EE4ABC"/>
    <w:rsid w:val="00EE4AE3"/>
    <w:rsid w:val="00EE4AF3"/>
    <w:rsid w:val="00EE4B1F"/>
    <w:rsid w:val="00EE4B24"/>
    <w:rsid w:val="00EE4BC6"/>
    <w:rsid w:val="00EE4C00"/>
    <w:rsid w:val="00EE4C83"/>
    <w:rsid w:val="00EE4CD7"/>
    <w:rsid w:val="00EE4D21"/>
    <w:rsid w:val="00EE4DB3"/>
    <w:rsid w:val="00EE4DF0"/>
    <w:rsid w:val="00EE4E36"/>
    <w:rsid w:val="00EE4E53"/>
    <w:rsid w:val="00EE4E56"/>
    <w:rsid w:val="00EE4E65"/>
    <w:rsid w:val="00EE4E91"/>
    <w:rsid w:val="00EE4F2C"/>
    <w:rsid w:val="00EE4F4A"/>
    <w:rsid w:val="00EE4FA2"/>
    <w:rsid w:val="00EE4FC8"/>
    <w:rsid w:val="00EE5081"/>
    <w:rsid w:val="00EE5084"/>
    <w:rsid w:val="00EE50A0"/>
    <w:rsid w:val="00EE50A2"/>
    <w:rsid w:val="00EE50E1"/>
    <w:rsid w:val="00EE5116"/>
    <w:rsid w:val="00EE5123"/>
    <w:rsid w:val="00EE5133"/>
    <w:rsid w:val="00EE5188"/>
    <w:rsid w:val="00EE51FA"/>
    <w:rsid w:val="00EE5223"/>
    <w:rsid w:val="00EE522D"/>
    <w:rsid w:val="00EE52F5"/>
    <w:rsid w:val="00EE5313"/>
    <w:rsid w:val="00EE5445"/>
    <w:rsid w:val="00EE5449"/>
    <w:rsid w:val="00EE544A"/>
    <w:rsid w:val="00EE544C"/>
    <w:rsid w:val="00EE545E"/>
    <w:rsid w:val="00EE54B5"/>
    <w:rsid w:val="00EE54BE"/>
    <w:rsid w:val="00EE5516"/>
    <w:rsid w:val="00EE552A"/>
    <w:rsid w:val="00EE55D7"/>
    <w:rsid w:val="00EE55F6"/>
    <w:rsid w:val="00EE55FC"/>
    <w:rsid w:val="00EE567F"/>
    <w:rsid w:val="00EE5680"/>
    <w:rsid w:val="00EE56C0"/>
    <w:rsid w:val="00EE56E5"/>
    <w:rsid w:val="00EE56F1"/>
    <w:rsid w:val="00EE5718"/>
    <w:rsid w:val="00EE5763"/>
    <w:rsid w:val="00EE5780"/>
    <w:rsid w:val="00EE578A"/>
    <w:rsid w:val="00EE57AB"/>
    <w:rsid w:val="00EE5804"/>
    <w:rsid w:val="00EE580E"/>
    <w:rsid w:val="00EE58A0"/>
    <w:rsid w:val="00EE58D7"/>
    <w:rsid w:val="00EE58D9"/>
    <w:rsid w:val="00EE58DC"/>
    <w:rsid w:val="00EE58F6"/>
    <w:rsid w:val="00EE5937"/>
    <w:rsid w:val="00EE593C"/>
    <w:rsid w:val="00EE595C"/>
    <w:rsid w:val="00EE5983"/>
    <w:rsid w:val="00EE59F8"/>
    <w:rsid w:val="00EE5A19"/>
    <w:rsid w:val="00EE5AB3"/>
    <w:rsid w:val="00EE5ACD"/>
    <w:rsid w:val="00EE5AE1"/>
    <w:rsid w:val="00EE5B1E"/>
    <w:rsid w:val="00EE5B8C"/>
    <w:rsid w:val="00EE5BF7"/>
    <w:rsid w:val="00EE5C0F"/>
    <w:rsid w:val="00EE5C11"/>
    <w:rsid w:val="00EE5C19"/>
    <w:rsid w:val="00EE5C6B"/>
    <w:rsid w:val="00EE5C7A"/>
    <w:rsid w:val="00EE5D0E"/>
    <w:rsid w:val="00EE5D76"/>
    <w:rsid w:val="00EE5D7F"/>
    <w:rsid w:val="00EE5E0A"/>
    <w:rsid w:val="00EE5E45"/>
    <w:rsid w:val="00EE5EE5"/>
    <w:rsid w:val="00EE5EEE"/>
    <w:rsid w:val="00EE5F06"/>
    <w:rsid w:val="00EE5F30"/>
    <w:rsid w:val="00EE5F88"/>
    <w:rsid w:val="00EE5F8B"/>
    <w:rsid w:val="00EE5FED"/>
    <w:rsid w:val="00EE600F"/>
    <w:rsid w:val="00EE6074"/>
    <w:rsid w:val="00EE60C8"/>
    <w:rsid w:val="00EE6142"/>
    <w:rsid w:val="00EE61D7"/>
    <w:rsid w:val="00EE62CC"/>
    <w:rsid w:val="00EE62ED"/>
    <w:rsid w:val="00EE6331"/>
    <w:rsid w:val="00EE6362"/>
    <w:rsid w:val="00EE63C1"/>
    <w:rsid w:val="00EE640E"/>
    <w:rsid w:val="00EE648F"/>
    <w:rsid w:val="00EE650A"/>
    <w:rsid w:val="00EE65AF"/>
    <w:rsid w:val="00EE65B4"/>
    <w:rsid w:val="00EE65D2"/>
    <w:rsid w:val="00EE65D4"/>
    <w:rsid w:val="00EE6617"/>
    <w:rsid w:val="00EE66DC"/>
    <w:rsid w:val="00EE66EF"/>
    <w:rsid w:val="00EE67A7"/>
    <w:rsid w:val="00EE67BF"/>
    <w:rsid w:val="00EE67E3"/>
    <w:rsid w:val="00EE6804"/>
    <w:rsid w:val="00EE680B"/>
    <w:rsid w:val="00EE6852"/>
    <w:rsid w:val="00EE6855"/>
    <w:rsid w:val="00EE6858"/>
    <w:rsid w:val="00EE687E"/>
    <w:rsid w:val="00EE68CF"/>
    <w:rsid w:val="00EE68E6"/>
    <w:rsid w:val="00EE68EB"/>
    <w:rsid w:val="00EE68FA"/>
    <w:rsid w:val="00EE6990"/>
    <w:rsid w:val="00EE69BA"/>
    <w:rsid w:val="00EE6B2A"/>
    <w:rsid w:val="00EE6BCB"/>
    <w:rsid w:val="00EE6C02"/>
    <w:rsid w:val="00EE6C27"/>
    <w:rsid w:val="00EE6C63"/>
    <w:rsid w:val="00EE6C70"/>
    <w:rsid w:val="00EE6C77"/>
    <w:rsid w:val="00EE6D87"/>
    <w:rsid w:val="00EE6DC9"/>
    <w:rsid w:val="00EE6E2F"/>
    <w:rsid w:val="00EE6E7D"/>
    <w:rsid w:val="00EE6E87"/>
    <w:rsid w:val="00EE6EE9"/>
    <w:rsid w:val="00EE6F58"/>
    <w:rsid w:val="00EE707D"/>
    <w:rsid w:val="00EE70DB"/>
    <w:rsid w:val="00EE7192"/>
    <w:rsid w:val="00EE7236"/>
    <w:rsid w:val="00EE7343"/>
    <w:rsid w:val="00EE74EB"/>
    <w:rsid w:val="00EE74FC"/>
    <w:rsid w:val="00EE752E"/>
    <w:rsid w:val="00EE7646"/>
    <w:rsid w:val="00EE76A5"/>
    <w:rsid w:val="00EE76E2"/>
    <w:rsid w:val="00EE773A"/>
    <w:rsid w:val="00EE7748"/>
    <w:rsid w:val="00EE7764"/>
    <w:rsid w:val="00EE77A0"/>
    <w:rsid w:val="00EE77AE"/>
    <w:rsid w:val="00EE77CC"/>
    <w:rsid w:val="00EE77DD"/>
    <w:rsid w:val="00EE7849"/>
    <w:rsid w:val="00EE787F"/>
    <w:rsid w:val="00EE78B6"/>
    <w:rsid w:val="00EE793D"/>
    <w:rsid w:val="00EE795B"/>
    <w:rsid w:val="00EE795E"/>
    <w:rsid w:val="00EE7979"/>
    <w:rsid w:val="00EE79D7"/>
    <w:rsid w:val="00EE7A5B"/>
    <w:rsid w:val="00EE7A6C"/>
    <w:rsid w:val="00EE7AA8"/>
    <w:rsid w:val="00EE7C04"/>
    <w:rsid w:val="00EE7C1D"/>
    <w:rsid w:val="00EE7C34"/>
    <w:rsid w:val="00EE7C7C"/>
    <w:rsid w:val="00EE7D43"/>
    <w:rsid w:val="00EE7D4B"/>
    <w:rsid w:val="00EE7D5C"/>
    <w:rsid w:val="00EE7DBB"/>
    <w:rsid w:val="00EE7DBD"/>
    <w:rsid w:val="00EE7DEE"/>
    <w:rsid w:val="00EE7E97"/>
    <w:rsid w:val="00EE7ECD"/>
    <w:rsid w:val="00EE7F55"/>
    <w:rsid w:val="00EE7F8C"/>
    <w:rsid w:val="00EE7FC2"/>
    <w:rsid w:val="00EE7FE1"/>
    <w:rsid w:val="00EE7FF7"/>
    <w:rsid w:val="00EF00E8"/>
    <w:rsid w:val="00EF01F2"/>
    <w:rsid w:val="00EF033D"/>
    <w:rsid w:val="00EF0464"/>
    <w:rsid w:val="00EF04A4"/>
    <w:rsid w:val="00EF04CC"/>
    <w:rsid w:val="00EF04CD"/>
    <w:rsid w:val="00EF04E2"/>
    <w:rsid w:val="00EF05A8"/>
    <w:rsid w:val="00EF05AE"/>
    <w:rsid w:val="00EF05F5"/>
    <w:rsid w:val="00EF060C"/>
    <w:rsid w:val="00EF0639"/>
    <w:rsid w:val="00EF0795"/>
    <w:rsid w:val="00EF083C"/>
    <w:rsid w:val="00EF083E"/>
    <w:rsid w:val="00EF0848"/>
    <w:rsid w:val="00EF0849"/>
    <w:rsid w:val="00EF084A"/>
    <w:rsid w:val="00EF0905"/>
    <w:rsid w:val="00EF0914"/>
    <w:rsid w:val="00EF0920"/>
    <w:rsid w:val="00EF099D"/>
    <w:rsid w:val="00EF09B4"/>
    <w:rsid w:val="00EF09DF"/>
    <w:rsid w:val="00EF09E3"/>
    <w:rsid w:val="00EF0A2E"/>
    <w:rsid w:val="00EF0A6F"/>
    <w:rsid w:val="00EF0AF3"/>
    <w:rsid w:val="00EF0AFE"/>
    <w:rsid w:val="00EF0B62"/>
    <w:rsid w:val="00EF0B90"/>
    <w:rsid w:val="00EF0B92"/>
    <w:rsid w:val="00EF0B98"/>
    <w:rsid w:val="00EF0C9B"/>
    <w:rsid w:val="00EF0D12"/>
    <w:rsid w:val="00EF0D9C"/>
    <w:rsid w:val="00EF0DFA"/>
    <w:rsid w:val="00EF0E61"/>
    <w:rsid w:val="00EF0E6F"/>
    <w:rsid w:val="00EF0F0F"/>
    <w:rsid w:val="00EF0F24"/>
    <w:rsid w:val="00EF0FD1"/>
    <w:rsid w:val="00EF1003"/>
    <w:rsid w:val="00EF102F"/>
    <w:rsid w:val="00EF106C"/>
    <w:rsid w:val="00EF10DE"/>
    <w:rsid w:val="00EF1186"/>
    <w:rsid w:val="00EF11D2"/>
    <w:rsid w:val="00EF11D3"/>
    <w:rsid w:val="00EF125E"/>
    <w:rsid w:val="00EF1292"/>
    <w:rsid w:val="00EF12EE"/>
    <w:rsid w:val="00EF12F5"/>
    <w:rsid w:val="00EF1339"/>
    <w:rsid w:val="00EF1367"/>
    <w:rsid w:val="00EF13A3"/>
    <w:rsid w:val="00EF13D5"/>
    <w:rsid w:val="00EF141A"/>
    <w:rsid w:val="00EF141E"/>
    <w:rsid w:val="00EF1447"/>
    <w:rsid w:val="00EF1449"/>
    <w:rsid w:val="00EF1521"/>
    <w:rsid w:val="00EF1576"/>
    <w:rsid w:val="00EF15A8"/>
    <w:rsid w:val="00EF1615"/>
    <w:rsid w:val="00EF1634"/>
    <w:rsid w:val="00EF16EA"/>
    <w:rsid w:val="00EF16EE"/>
    <w:rsid w:val="00EF1725"/>
    <w:rsid w:val="00EF1736"/>
    <w:rsid w:val="00EF1767"/>
    <w:rsid w:val="00EF1781"/>
    <w:rsid w:val="00EF1782"/>
    <w:rsid w:val="00EF17A9"/>
    <w:rsid w:val="00EF17E8"/>
    <w:rsid w:val="00EF1886"/>
    <w:rsid w:val="00EF1898"/>
    <w:rsid w:val="00EF18A8"/>
    <w:rsid w:val="00EF18F9"/>
    <w:rsid w:val="00EF195F"/>
    <w:rsid w:val="00EF19BE"/>
    <w:rsid w:val="00EF1A29"/>
    <w:rsid w:val="00EF1A91"/>
    <w:rsid w:val="00EF1A99"/>
    <w:rsid w:val="00EF1AB7"/>
    <w:rsid w:val="00EF1ABB"/>
    <w:rsid w:val="00EF1AF9"/>
    <w:rsid w:val="00EF1B07"/>
    <w:rsid w:val="00EF1B63"/>
    <w:rsid w:val="00EF1BE1"/>
    <w:rsid w:val="00EF1C34"/>
    <w:rsid w:val="00EF1C87"/>
    <w:rsid w:val="00EF1D3D"/>
    <w:rsid w:val="00EF1D6B"/>
    <w:rsid w:val="00EF1DAF"/>
    <w:rsid w:val="00EF1DBA"/>
    <w:rsid w:val="00EF1DF7"/>
    <w:rsid w:val="00EF1E5A"/>
    <w:rsid w:val="00EF1E80"/>
    <w:rsid w:val="00EF1F0C"/>
    <w:rsid w:val="00EF1F49"/>
    <w:rsid w:val="00EF1F4D"/>
    <w:rsid w:val="00EF1F82"/>
    <w:rsid w:val="00EF1FB0"/>
    <w:rsid w:val="00EF1FC3"/>
    <w:rsid w:val="00EF1FE5"/>
    <w:rsid w:val="00EF20C5"/>
    <w:rsid w:val="00EF2128"/>
    <w:rsid w:val="00EF213E"/>
    <w:rsid w:val="00EF2308"/>
    <w:rsid w:val="00EF232B"/>
    <w:rsid w:val="00EF23B6"/>
    <w:rsid w:val="00EF23DD"/>
    <w:rsid w:val="00EF23EA"/>
    <w:rsid w:val="00EF2416"/>
    <w:rsid w:val="00EF2473"/>
    <w:rsid w:val="00EF2482"/>
    <w:rsid w:val="00EF24A4"/>
    <w:rsid w:val="00EF2528"/>
    <w:rsid w:val="00EF255F"/>
    <w:rsid w:val="00EF2661"/>
    <w:rsid w:val="00EF272B"/>
    <w:rsid w:val="00EF2773"/>
    <w:rsid w:val="00EF2801"/>
    <w:rsid w:val="00EF281F"/>
    <w:rsid w:val="00EF2826"/>
    <w:rsid w:val="00EF286C"/>
    <w:rsid w:val="00EF2912"/>
    <w:rsid w:val="00EF2995"/>
    <w:rsid w:val="00EF29A6"/>
    <w:rsid w:val="00EF29AA"/>
    <w:rsid w:val="00EF2A3E"/>
    <w:rsid w:val="00EF2AFB"/>
    <w:rsid w:val="00EF2B19"/>
    <w:rsid w:val="00EF2B2D"/>
    <w:rsid w:val="00EF2B6B"/>
    <w:rsid w:val="00EF2B73"/>
    <w:rsid w:val="00EF2B7C"/>
    <w:rsid w:val="00EF2BD0"/>
    <w:rsid w:val="00EF2BD8"/>
    <w:rsid w:val="00EF2C13"/>
    <w:rsid w:val="00EF2CF2"/>
    <w:rsid w:val="00EF2CF5"/>
    <w:rsid w:val="00EF2D08"/>
    <w:rsid w:val="00EF2DB5"/>
    <w:rsid w:val="00EF2DF5"/>
    <w:rsid w:val="00EF2E04"/>
    <w:rsid w:val="00EF2E27"/>
    <w:rsid w:val="00EF2ED4"/>
    <w:rsid w:val="00EF2EE3"/>
    <w:rsid w:val="00EF2EE6"/>
    <w:rsid w:val="00EF2F16"/>
    <w:rsid w:val="00EF2F5A"/>
    <w:rsid w:val="00EF3067"/>
    <w:rsid w:val="00EF306F"/>
    <w:rsid w:val="00EF3094"/>
    <w:rsid w:val="00EF30A9"/>
    <w:rsid w:val="00EF3196"/>
    <w:rsid w:val="00EF3262"/>
    <w:rsid w:val="00EF3277"/>
    <w:rsid w:val="00EF328D"/>
    <w:rsid w:val="00EF32A4"/>
    <w:rsid w:val="00EF331D"/>
    <w:rsid w:val="00EF3403"/>
    <w:rsid w:val="00EF3417"/>
    <w:rsid w:val="00EF3433"/>
    <w:rsid w:val="00EF3445"/>
    <w:rsid w:val="00EF34D8"/>
    <w:rsid w:val="00EF35B2"/>
    <w:rsid w:val="00EF35CC"/>
    <w:rsid w:val="00EF35CE"/>
    <w:rsid w:val="00EF35ED"/>
    <w:rsid w:val="00EF3716"/>
    <w:rsid w:val="00EF371E"/>
    <w:rsid w:val="00EF374E"/>
    <w:rsid w:val="00EF377E"/>
    <w:rsid w:val="00EF3793"/>
    <w:rsid w:val="00EF37C4"/>
    <w:rsid w:val="00EF3885"/>
    <w:rsid w:val="00EF388D"/>
    <w:rsid w:val="00EF38F3"/>
    <w:rsid w:val="00EF3926"/>
    <w:rsid w:val="00EF3960"/>
    <w:rsid w:val="00EF39E8"/>
    <w:rsid w:val="00EF3A07"/>
    <w:rsid w:val="00EF3A2E"/>
    <w:rsid w:val="00EF3A34"/>
    <w:rsid w:val="00EF3A67"/>
    <w:rsid w:val="00EF3A7B"/>
    <w:rsid w:val="00EF3A97"/>
    <w:rsid w:val="00EF3B2B"/>
    <w:rsid w:val="00EF3B56"/>
    <w:rsid w:val="00EF3BAE"/>
    <w:rsid w:val="00EF3BB4"/>
    <w:rsid w:val="00EF3BD2"/>
    <w:rsid w:val="00EF3BE9"/>
    <w:rsid w:val="00EF3BED"/>
    <w:rsid w:val="00EF3BEE"/>
    <w:rsid w:val="00EF3C66"/>
    <w:rsid w:val="00EF3C6F"/>
    <w:rsid w:val="00EF3D6E"/>
    <w:rsid w:val="00EF3D83"/>
    <w:rsid w:val="00EF3E78"/>
    <w:rsid w:val="00EF3E91"/>
    <w:rsid w:val="00EF3F08"/>
    <w:rsid w:val="00EF3F6E"/>
    <w:rsid w:val="00EF3FE9"/>
    <w:rsid w:val="00EF400B"/>
    <w:rsid w:val="00EF4012"/>
    <w:rsid w:val="00EF4058"/>
    <w:rsid w:val="00EF4079"/>
    <w:rsid w:val="00EF412F"/>
    <w:rsid w:val="00EF4300"/>
    <w:rsid w:val="00EF4323"/>
    <w:rsid w:val="00EF4336"/>
    <w:rsid w:val="00EF4378"/>
    <w:rsid w:val="00EF4468"/>
    <w:rsid w:val="00EF44F1"/>
    <w:rsid w:val="00EF452C"/>
    <w:rsid w:val="00EF4558"/>
    <w:rsid w:val="00EF46D0"/>
    <w:rsid w:val="00EF4702"/>
    <w:rsid w:val="00EF4729"/>
    <w:rsid w:val="00EF4759"/>
    <w:rsid w:val="00EF47F5"/>
    <w:rsid w:val="00EF48A0"/>
    <w:rsid w:val="00EF48F9"/>
    <w:rsid w:val="00EF490D"/>
    <w:rsid w:val="00EF4914"/>
    <w:rsid w:val="00EF4918"/>
    <w:rsid w:val="00EF4946"/>
    <w:rsid w:val="00EF49F0"/>
    <w:rsid w:val="00EF49F6"/>
    <w:rsid w:val="00EF4A1B"/>
    <w:rsid w:val="00EF4A63"/>
    <w:rsid w:val="00EF4A8F"/>
    <w:rsid w:val="00EF4A96"/>
    <w:rsid w:val="00EF4AA4"/>
    <w:rsid w:val="00EF4AAB"/>
    <w:rsid w:val="00EF4AB8"/>
    <w:rsid w:val="00EF4AD3"/>
    <w:rsid w:val="00EF4AF6"/>
    <w:rsid w:val="00EF4BD2"/>
    <w:rsid w:val="00EF4C7F"/>
    <w:rsid w:val="00EF4D62"/>
    <w:rsid w:val="00EF4DC4"/>
    <w:rsid w:val="00EF4DC8"/>
    <w:rsid w:val="00EF4E19"/>
    <w:rsid w:val="00EF4E1B"/>
    <w:rsid w:val="00EF4E1C"/>
    <w:rsid w:val="00EF4E36"/>
    <w:rsid w:val="00EF4E57"/>
    <w:rsid w:val="00EF4E7E"/>
    <w:rsid w:val="00EF4EEC"/>
    <w:rsid w:val="00EF4F22"/>
    <w:rsid w:val="00EF4F3C"/>
    <w:rsid w:val="00EF5021"/>
    <w:rsid w:val="00EF5037"/>
    <w:rsid w:val="00EF5064"/>
    <w:rsid w:val="00EF508E"/>
    <w:rsid w:val="00EF50B7"/>
    <w:rsid w:val="00EF51BB"/>
    <w:rsid w:val="00EF5270"/>
    <w:rsid w:val="00EF52CD"/>
    <w:rsid w:val="00EF530A"/>
    <w:rsid w:val="00EF533A"/>
    <w:rsid w:val="00EF5378"/>
    <w:rsid w:val="00EF53C3"/>
    <w:rsid w:val="00EF53E1"/>
    <w:rsid w:val="00EF5415"/>
    <w:rsid w:val="00EF5449"/>
    <w:rsid w:val="00EF5459"/>
    <w:rsid w:val="00EF5506"/>
    <w:rsid w:val="00EF554F"/>
    <w:rsid w:val="00EF5576"/>
    <w:rsid w:val="00EF5617"/>
    <w:rsid w:val="00EF568E"/>
    <w:rsid w:val="00EF56AF"/>
    <w:rsid w:val="00EF56CF"/>
    <w:rsid w:val="00EF56E8"/>
    <w:rsid w:val="00EF56FA"/>
    <w:rsid w:val="00EF578F"/>
    <w:rsid w:val="00EF5795"/>
    <w:rsid w:val="00EF57E1"/>
    <w:rsid w:val="00EF5849"/>
    <w:rsid w:val="00EF585B"/>
    <w:rsid w:val="00EF5942"/>
    <w:rsid w:val="00EF5968"/>
    <w:rsid w:val="00EF5BBD"/>
    <w:rsid w:val="00EF5C2D"/>
    <w:rsid w:val="00EF5C3A"/>
    <w:rsid w:val="00EF5C5A"/>
    <w:rsid w:val="00EF5C60"/>
    <w:rsid w:val="00EF5CC1"/>
    <w:rsid w:val="00EF5CF4"/>
    <w:rsid w:val="00EF5D10"/>
    <w:rsid w:val="00EF5D78"/>
    <w:rsid w:val="00EF5DE2"/>
    <w:rsid w:val="00EF5E09"/>
    <w:rsid w:val="00EF5E2E"/>
    <w:rsid w:val="00EF5E31"/>
    <w:rsid w:val="00EF5E50"/>
    <w:rsid w:val="00EF5E7B"/>
    <w:rsid w:val="00EF5E94"/>
    <w:rsid w:val="00EF5EF8"/>
    <w:rsid w:val="00EF5F0F"/>
    <w:rsid w:val="00EF5F12"/>
    <w:rsid w:val="00EF5F26"/>
    <w:rsid w:val="00EF5F2B"/>
    <w:rsid w:val="00EF5FFE"/>
    <w:rsid w:val="00EF6008"/>
    <w:rsid w:val="00EF6016"/>
    <w:rsid w:val="00EF60A1"/>
    <w:rsid w:val="00EF60D1"/>
    <w:rsid w:val="00EF6110"/>
    <w:rsid w:val="00EF6115"/>
    <w:rsid w:val="00EF612B"/>
    <w:rsid w:val="00EF6183"/>
    <w:rsid w:val="00EF629B"/>
    <w:rsid w:val="00EF62BD"/>
    <w:rsid w:val="00EF62D3"/>
    <w:rsid w:val="00EF6354"/>
    <w:rsid w:val="00EF63DA"/>
    <w:rsid w:val="00EF64E5"/>
    <w:rsid w:val="00EF64EF"/>
    <w:rsid w:val="00EF65F4"/>
    <w:rsid w:val="00EF65F9"/>
    <w:rsid w:val="00EF660C"/>
    <w:rsid w:val="00EF667A"/>
    <w:rsid w:val="00EF667D"/>
    <w:rsid w:val="00EF66C7"/>
    <w:rsid w:val="00EF66EB"/>
    <w:rsid w:val="00EF6716"/>
    <w:rsid w:val="00EF676A"/>
    <w:rsid w:val="00EF6771"/>
    <w:rsid w:val="00EF677E"/>
    <w:rsid w:val="00EF67BB"/>
    <w:rsid w:val="00EF683D"/>
    <w:rsid w:val="00EF68D8"/>
    <w:rsid w:val="00EF68E7"/>
    <w:rsid w:val="00EF6960"/>
    <w:rsid w:val="00EF6A49"/>
    <w:rsid w:val="00EF6A81"/>
    <w:rsid w:val="00EF6AD9"/>
    <w:rsid w:val="00EF6B24"/>
    <w:rsid w:val="00EF6B5C"/>
    <w:rsid w:val="00EF6B64"/>
    <w:rsid w:val="00EF6B82"/>
    <w:rsid w:val="00EF6BC9"/>
    <w:rsid w:val="00EF6C0B"/>
    <w:rsid w:val="00EF6C0D"/>
    <w:rsid w:val="00EF6C27"/>
    <w:rsid w:val="00EF6C2B"/>
    <w:rsid w:val="00EF6C3D"/>
    <w:rsid w:val="00EF6C51"/>
    <w:rsid w:val="00EF6C72"/>
    <w:rsid w:val="00EF6CFE"/>
    <w:rsid w:val="00EF6D17"/>
    <w:rsid w:val="00EF6D52"/>
    <w:rsid w:val="00EF6D61"/>
    <w:rsid w:val="00EF6D75"/>
    <w:rsid w:val="00EF6D7C"/>
    <w:rsid w:val="00EF6E0B"/>
    <w:rsid w:val="00EF6F02"/>
    <w:rsid w:val="00EF6F28"/>
    <w:rsid w:val="00EF7004"/>
    <w:rsid w:val="00EF7074"/>
    <w:rsid w:val="00EF707F"/>
    <w:rsid w:val="00EF70A9"/>
    <w:rsid w:val="00EF70F2"/>
    <w:rsid w:val="00EF7172"/>
    <w:rsid w:val="00EF7179"/>
    <w:rsid w:val="00EF7188"/>
    <w:rsid w:val="00EF71A7"/>
    <w:rsid w:val="00EF71F2"/>
    <w:rsid w:val="00EF72AE"/>
    <w:rsid w:val="00EF72BE"/>
    <w:rsid w:val="00EF72C8"/>
    <w:rsid w:val="00EF72F4"/>
    <w:rsid w:val="00EF737A"/>
    <w:rsid w:val="00EF740E"/>
    <w:rsid w:val="00EF74AC"/>
    <w:rsid w:val="00EF74BB"/>
    <w:rsid w:val="00EF74ED"/>
    <w:rsid w:val="00EF754B"/>
    <w:rsid w:val="00EF7552"/>
    <w:rsid w:val="00EF755E"/>
    <w:rsid w:val="00EF75B7"/>
    <w:rsid w:val="00EF7627"/>
    <w:rsid w:val="00EF7661"/>
    <w:rsid w:val="00EF7690"/>
    <w:rsid w:val="00EF76A8"/>
    <w:rsid w:val="00EF76CD"/>
    <w:rsid w:val="00EF772F"/>
    <w:rsid w:val="00EF779A"/>
    <w:rsid w:val="00EF77B8"/>
    <w:rsid w:val="00EF77E9"/>
    <w:rsid w:val="00EF7835"/>
    <w:rsid w:val="00EF783B"/>
    <w:rsid w:val="00EF7844"/>
    <w:rsid w:val="00EF7858"/>
    <w:rsid w:val="00EF790A"/>
    <w:rsid w:val="00EF7914"/>
    <w:rsid w:val="00EF79A8"/>
    <w:rsid w:val="00EF79D8"/>
    <w:rsid w:val="00EF79EA"/>
    <w:rsid w:val="00EF7A4F"/>
    <w:rsid w:val="00EF7B2F"/>
    <w:rsid w:val="00EF7B66"/>
    <w:rsid w:val="00EF7C3A"/>
    <w:rsid w:val="00EF7C41"/>
    <w:rsid w:val="00EF7C44"/>
    <w:rsid w:val="00EF7C56"/>
    <w:rsid w:val="00EF7D7D"/>
    <w:rsid w:val="00EF7DD5"/>
    <w:rsid w:val="00EF7E14"/>
    <w:rsid w:val="00EF7EB2"/>
    <w:rsid w:val="00EF7F1F"/>
    <w:rsid w:val="00EF7F21"/>
    <w:rsid w:val="00EF7F4F"/>
    <w:rsid w:val="00EF7F93"/>
    <w:rsid w:val="00EF7F97"/>
    <w:rsid w:val="00EF7F9A"/>
    <w:rsid w:val="00EF7FA7"/>
    <w:rsid w:val="00F00088"/>
    <w:rsid w:val="00F000A0"/>
    <w:rsid w:val="00F000C1"/>
    <w:rsid w:val="00F000C5"/>
    <w:rsid w:val="00F000D9"/>
    <w:rsid w:val="00F00112"/>
    <w:rsid w:val="00F0012A"/>
    <w:rsid w:val="00F00133"/>
    <w:rsid w:val="00F00256"/>
    <w:rsid w:val="00F00265"/>
    <w:rsid w:val="00F0026F"/>
    <w:rsid w:val="00F00289"/>
    <w:rsid w:val="00F002AB"/>
    <w:rsid w:val="00F002B0"/>
    <w:rsid w:val="00F002EF"/>
    <w:rsid w:val="00F00340"/>
    <w:rsid w:val="00F00351"/>
    <w:rsid w:val="00F00357"/>
    <w:rsid w:val="00F00370"/>
    <w:rsid w:val="00F00375"/>
    <w:rsid w:val="00F00382"/>
    <w:rsid w:val="00F00384"/>
    <w:rsid w:val="00F003F3"/>
    <w:rsid w:val="00F004C6"/>
    <w:rsid w:val="00F004F6"/>
    <w:rsid w:val="00F00595"/>
    <w:rsid w:val="00F005B5"/>
    <w:rsid w:val="00F005E2"/>
    <w:rsid w:val="00F0063A"/>
    <w:rsid w:val="00F00654"/>
    <w:rsid w:val="00F00658"/>
    <w:rsid w:val="00F00680"/>
    <w:rsid w:val="00F006E3"/>
    <w:rsid w:val="00F007E6"/>
    <w:rsid w:val="00F00815"/>
    <w:rsid w:val="00F0084C"/>
    <w:rsid w:val="00F00877"/>
    <w:rsid w:val="00F00930"/>
    <w:rsid w:val="00F0096B"/>
    <w:rsid w:val="00F00A2E"/>
    <w:rsid w:val="00F00A67"/>
    <w:rsid w:val="00F00AF0"/>
    <w:rsid w:val="00F00B40"/>
    <w:rsid w:val="00F00B70"/>
    <w:rsid w:val="00F00B99"/>
    <w:rsid w:val="00F00BB3"/>
    <w:rsid w:val="00F00C0C"/>
    <w:rsid w:val="00F00C1C"/>
    <w:rsid w:val="00F00C59"/>
    <w:rsid w:val="00F00C5B"/>
    <w:rsid w:val="00F00D41"/>
    <w:rsid w:val="00F00DF3"/>
    <w:rsid w:val="00F00E12"/>
    <w:rsid w:val="00F00E3A"/>
    <w:rsid w:val="00F00E45"/>
    <w:rsid w:val="00F00EB8"/>
    <w:rsid w:val="00F00EE0"/>
    <w:rsid w:val="00F00EE7"/>
    <w:rsid w:val="00F00F65"/>
    <w:rsid w:val="00F00FB9"/>
    <w:rsid w:val="00F00FCD"/>
    <w:rsid w:val="00F00FCF"/>
    <w:rsid w:val="00F00FD2"/>
    <w:rsid w:val="00F00FE0"/>
    <w:rsid w:val="00F00FE3"/>
    <w:rsid w:val="00F0101D"/>
    <w:rsid w:val="00F01059"/>
    <w:rsid w:val="00F0105B"/>
    <w:rsid w:val="00F01192"/>
    <w:rsid w:val="00F01197"/>
    <w:rsid w:val="00F011F7"/>
    <w:rsid w:val="00F0121A"/>
    <w:rsid w:val="00F0124D"/>
    <w:rsid w:val="00F012C3"/>
    <w:rsid w:val="00F01315"/>
    <w:rsid w:val="00F01355"/>
    <w:rsid w:val="00F01357"/>
    <w:rsid w:val="00F01379"/>
    <w:rsid w:val="00F013BA"/>
    <w:rsid w:val="00F013F1"/>
    <w:rsid w:val="00F01447"/>
    <w:rsid w:val="00F014DE"/>
    <w:rsid w:val="00F01587"/>
    <w:rsid w:val="00F01593"/>
    <w:rsid w:val="00F015DC"/>
    <w:rsid w:val="00F0161C"/>
    <w:rsid w:val="00F01665"/>
    <w:rsid w:val="00F01674"/>
    <w:rsid w:val="00F0167D"/>
    <w:rsid w:val="00F016FE"/>
    <w:rsid w:val="00F0171C"/>
    <w:rsid w:val="00F01756"/>
    <w:rsid w:val="00F0176B"/>
    <w:rsid w:val="00F017A2"/>
    <w:rsid w:val="00F017AD"/>
    <w:rsid w:val="00F0181A"/>
    <w:rsid w:val="00F01834"/>
    <w:rsid w:val="00F01854"/>
    <w:rsid w:val="00F0187B"/>
    <w:rsid w:val="00F0187C"/>
    <w:rsid w:val="00F0188E"/>
    <w:rsid w:val="00F0199B"/>
    <w:rsid w:val="00F019C9"/>
    <w:rsid w:val="00F019CA"/>
    <w:rsid w:val="00F019D2"/>
    <w:rsid w:val="00F019DD"/>
    <w:rsid w:val="00F019E2"/>
    <w:rsid w:val="00F019F7"/>
    <w:rsid w:val="00F01A22"/>
    <w:rsid w:val="00F01A56"/>
    <w:rsid w:val="00F01A57"/>
    <w:rsid w:val="00F01B0B"/>
    <w:rsid w:val="00F01B1B"/>
    <w:rsid w:val="00F01B43"/>
    <w:rsid w:val="00F01BE8"/>
    <w:rsid w:val="00F01C29"/>
    <w:rsid w:val="00F01C6B"/>
    <w:rsid w:val="00F01C73"/>
    <w:rsid w:val="00F01D1D"/>
    <w:rsid w:val="00F01DB0"/>
    <w:rsid w:val="00F01E4D"/>
    <w:rsid w:val="00F01ED4"/>
    <w:rsid w:val="00F01EFA"/>
    <w:rsid w:val="00F01F76"/>
    <w:rsid w:val="00F0202B"/>
    <w:rsid w:val="00F0205E"/>
    <w:rsid w:val="00F0208D"/>
    <w:rsid w:val="00F0209E"/>
    <w:rsid w:val="00F020EB"/>
    <w:rsid w:val="00F02108"/>
    <w:rsid w:val="00F02119"/>
    <w:rsid w:val="00F02126"/>
    <w:rsid w:val="00F0213A"/>
    <w:rsid w:val="00F02172"/>
    <w:rsid w:val="00F021C3"/>
    <w:rsid w:val="00F021F7"/>
    <w:rsid w:val="00F02209"/>
    <w:rsid w:val="00F02215"/>
    <w:rsid w:val="00F02244"/>
    <w:rsid w:val="00F0224B"/>
    <w:rsid w:val="00F02264"/>
    <w:rsid w:val="00F02269"/>
    <w:rsid w:val="00F022CF"/>
    <w:rsid w:val="00F022D5"/>
    <w:rsid w:val="00F02314"/>
    <w:rsid w:val="00F02352"/>
    <w:rsid w:val="00F0238D"/>
    <w:rsid w:val="00F02443"/>
    <w:rsid w:val="00F02456"/>
    <w:rsid w:val="00F0247C"/>
    <w:rsid w:val="00F024CD"/>
    <w:rsid w:val="00F024E1"/>
    <w:rsid w:val="00F0255A"/>
    <w:rsid w:val="00F025B8"/>
    <w:rsid w:val="00F02608"/>
    <w:rsid w:val="00F0260B"/>
    <w:rsid w:val="00F0261B"/>
    <w:rsid w:val="00F0261C"/>
    <w:rsid w:val="00F0263B"/>
    <w:rsid w:val="00F02649"/>
    <w:rsid w:val="00F026AA"/>
    <w:rsid w:val="00F026F3"/>
    <w:rsid w:val="00F026F6"/>
    <w:rsid w:val="00F026FE"/>
    <w:rsid w:val="00F0274C"/>
    <w:rsid w:val="00F0277A"/>
    <w:rsid w:val="00F0277F"/>
    <w:rsid w:val="00F02797"/>
    <w:rsid w:val="00F02850"/>
    <w:rsid w:val="00F02865"/>
    <w:rsid w:val="00F02890"/>
    <w:rsid w:val="00F028A4"/>
    <w:rsid w:val="00F028C2"/>
    <w:rsid w:val="00F028CC"/>
    <w:rsid w:val="00F0292D"/>
    <w:rsid w:val="00F0296E"/>
    <w:rsid w:val="00F02988"/>
    <w:rsid w:val="00F0298C"/>
    <w:rsid w:val="00F029B4"/>
    <w:rsid w:val="00F029CF"/>
    <w:rsid w:val="00F029DA"/>
    <w:rsid w:val="00F029E5"/>
    <w:rsid w:val="00F029EB"/>
    <w:rsid w:val="00F02A19"/>
    <w:rsid w:val="00F02AF4"/>
    <w:rsid w:val="00F02B01"/>
    <w:rsid w:val="00F02B4C"/>
    <w:rsid w:val="00F02B8E"/>
    <w:rsid w:val="00F02C0C"/>
    <w:rsid w:val="00F02C71"/>
    <w:rsid w:val="00F02C77"/>
    <w:rsid w:val="00F02CB7"/>
    <w:rsid w:val="00F02CC5"/>
    <w:rsid w:val="00F02CCE"/>
    <w:rsid w:val="00F02D06"/>
    <w:rsid w:val="00F02D6F"/>
    <w:rsid w:val="00F02D9F"/>
    <w:rsid w:val="00F02E04"/>
    <w:rsid w:val="00F02E22"/>
    <w:rsid w:val="00F02E49"/>
    <w:rsid w:val="00F02E59"/>
    <w:rsid w:val="00F02E90"/>
    <w:rsid w:val="00F02EB3"/>
    <w:rsid w:val="00F02ED8"/>
    <w:rsid w:val="00F02F06"/>
    <w:rsid w:val="00F02F0E"/>
    <w:rsid w:val="00F02F92"/>
    <w:rsid w:val="00F02FE8"/>
    <w:rsid w:val="00F03023"/>
    <w:rsid w:val="00F03039"/>
    <w:rsid w:val="00F030FA"/>
    <w:rsid w:val="00F031C2"/>
    <w:rsid w:val="00F03211"/>
    <w:rsid w:val="00F03270"/>
    <w:rsid w:val="00F03297"/>
    <w:rsid w:val="00F032C4"/>
    <w:rsid w:val="00F032C6"/>
    <w:rsid w:val="00F032DA"/>
    <w:rsid w:val="00F032F2"/>
    <w:rsid w:val="00F03310"/>
    <w:rsid w:val="00F03362"/>
    <w:rsid w:val="00F03410"/>
    <w:rsid w:val="00F034CF"/>
    <w:rsid w:val="00F03582"/>
    <w:rsid w:val="00F035AD"/>
    <w:rsid w:val="00F036C2"/>
    <w:rsid w:val="00F037A7"/>
    <w:rsid w:val="00F037F6"/>
    <w:rsid w:val="00F03814"/>
    <w:rsid w:val="00F03833"/>
    <w:rsid w:val="00F03875"/>
    <w:rsid w:val="00F03883"/>
    <w:rsid w:val="00F038B5"/>
    <w:rsid w:val="00F038DA"/>
    <w:rsid w:val="00F038EF"/>
    <w:rsid w:val="00F038F7"/>
    <w:rsid w:val="00F03961"/>
    <w:rsid w:val="00F0398B"/>
    <w:rsid w:val="00F03990"/>
    <w:rsid w:val="00F039D5"/>
    <w:rsid w:val="00F03A02"/>
    <w:rsid w:val="00F03A51"/>
    <w:rsid w:val="00F03A78"/>
    <w:rsid w:val="00F03B7A"/>
    <w:rsid w:val="00F03B96"/>
    <w:rsid w:val="00F03BFB"/>
    <w:rsid w:val="00F03C60"/>
    <w:rsid w:val="00F03C80"/>
    <w:rsid w:val="00F03CCA"/>
    <w:rsid w:val="00F03CE5"/>
    <w:rsid w:val="00F03CEE"/>
    <w:rsid w:val="00F03D9F"/>
    <w:rsid w:val="00F03EC4"/>
    <w:rsid w:val="00F03EC7"/>
    <w:rsid w:val="00F03FC5"/>
    <w:rsid w:val="00F0405F"/>
    <w:rsid w:val="00F0406D"/>
    <w:rsid w:val="00F040D7"/>
    <w:rsid w:val="00F040F9"/>
    <w:rsid w:val="00F04155"/>
    <w:rsid w:val="00F04180"/>
    <w:rsid w:val="00F0419F"/>
    <w:rsid w:val="00F041E5"/>
    <w:rsid w:val="00F0425F"/>
    <w:rsid w:val="00F042B2"/>
    <w:rsid w:val="00F04350"/>
    <w:rsid w:val="00F04362"/>
    <w:rsid w:val="00F04385"/>
    <w:rsid w:val="00F04386"/>
    <w:rsid w:val="00F043D7"/>
    <w:rsid w:val="00F043E4"/>
    <w:rsid w:val="00F04470"/>
    <w:rsid w:val="00F044CE"/>
    <w:rsid w:val="00F044E3"/>
    <w:rsid w:val="00F04509"/>
    <w:rsid w:val="00F04510"/>
    <w:rsid w:val="00F0456F"/>
    <w:rsid w:val="00F045F5"/>
    <w:rsid w:val="00F04664"/>
    <w:rsid w:val="00F04688"/>
    <w:rsid w:val="00F0468C"/>
    <w:rsid w:val="00F046A7"/>
    <w:rsid w:val="00F0470B"/>
    <w:rsid w:val="00F0474A"/>
    <w:rsid w:val="00F0474D"/>
    <w:rsid w:val="00F04758"/>
    <w:rsid w:val="00F047E9"/>
    <w:rsid w:val="00F047EE"/>
    <w:rsid w:val="00F04849"/>
    <w:rsid w:val="00F0490D"/>
    <w:rsid w:val="00F04941"/>
    <w:rsid w:val="00F04958"/>
    <w:rsid w:val="00F0495D"/>
    <w:rsid w:val="00F0498D"/>
    <w:rsid w:val="00F049D1"/>
    <w:rsid w:val="00F04A1E"/>
    <w:rsid w:val="00F04A27"/>
    <w:rsid w:val="00F04A82"/>
    <w:rsid w:val="00F04AD2"/>
    <w:rsid w:val="00F04AE2"/>
    <w:rsid w:val="00F04BDF"/>
    <w:rsid w:val="00F04C00"/>
    <w:rsid w:val="00F04C28"/>
    <w:rsid w:val="00F04C29"/>
    <w:rsid w:val="00F04CBC"/>
    <w:rsid w:val="00F04CC3"/>
    <w:rsid w:val="00F04CE5"/>
    <w:rsid w:val="00F04D58"/>
    <w:rsid w:val="00F04DB4"/>
    <w:rsid w:val="00F04DDB"/>
    <w:rsid w:val="00F04DE4"/>
    <w:rsid w:val="00F04DF8"/>
    <w:rsid w:val="00F04DFE"/>
    <w:rsid w:val="00F04E4F"/>
    <w:rsid w:val="00F04F24"/>
    <w:rsid w:val="00F04F59"/>
    <w:rsid w:val="00F04F61"/>
    <w:rsid w:val="00F04F63"/>
    <w:rsid w:val="00F04FF3"/>
    <w:rsid w:val="00F05026"/>
    <w:rsid w:val="00F0512B"/>
    <w:rsid w:val="00F05245"/>
    <w:rsid w:val="00F05255"/>
    <w:rsid w:val="00F0528F"/>
    <w:rsid w:val="00F052E3"/>
    <w:rsid w:val="00F052F3"/>
    <w:rsid w:val="00F05304"/>
    <w:rsid w:val="00F0532A"/>
    <w:rsid w:val="00F053D2"/>
    <w:rsid w:val="00F05424"/>
    <w:rsid w:val="00F05473"/>
    <w:rsid w:val="00F0552A"/>
    <w:rsid w:val="00F05547"/>
    <w:rsid w:val="00F0557E"/>
    <w:rsid w:val="00F055DE"/>
    <w:rsid w:val="00F05614"/>
    <w:rsid w:val="00F05709"/>
    <w:rsid w:val="00F0578F"/>
    <w:rsid w:val="00F057F9"/>
    <w:rsid w:val="00F05806"/>
    <w:rsid w:val="00F0586D"/>
    <w:rsid w:val="00F058BA"/>
    <w:rsid w:val="00F058E7"/>
    <w:rsid w:val="00F058F8"/>
    <w:rsid w:val="00F0596B"/>
    <w:rsid w:val="00F059B2"/>
    <w:rsid w:val="00F059F9"/>
    <w:rsid w:val="00F05A38"/>
    <w:rsid w:val="00F05A4F"/>
    <w:rsid w:val="00F05AB1"/>
    <w:rsid w:val="00F05AC5"/>
    <w:rsid w:val="00F05B3A"/>
    <w:rsid w:val="00F05B40"/>
    <w:rsid w:val="00F05B61"/>
    <w:rsid w:val="00F05B7F"/>
    <w:rsid w:val="00F05BA2"/>
    <w:rsid w:val="00F05BAD"/>
    <w:rsid w:val="00F05BCB"/>
    <w:rsid w:val="00F05C7D"/>
    <w:rsid w:val="00F05CD0"/>
    <w:rsid w:val="00F05CDF"/>
    <w:rsid w:val="00F05CF7"/>
    <w:rsid w:val="00F05D27"/>
    <w:rsid w:val="00F05D2C"/>
    <w:rsid w:val="00F05ED5"/>
    <w:rsid w:val="00F05F41"/>
    <w:rsid w:val="00F05F70"/>
    <w:rsid w:val="00F05F81"/>
    <w:rsid w:val="00F05F8D"/>
    <w:rsid w:val="00F05FB4"/>
    <w:rsid w:val="00F05FEC"/>
    <w:rsid w:val="00F06037"/>
    <w:rsid w:val="00F0603C"/>
    <w:rsid w:val="00F060F7"/>
    <w:rsid w:val="00F06137"/>
    <w:rsid w:val="00F061C3"/>
    <w:rsid w:val="00F061EF"/>
    <w:rsid w:val="00F061FB"/>
    <w:rsid w:val="00F06215"/>
    <w:rsid w:val="00F0621D"/>
    <w:rsid w:val="00F0621F"/>
    <w:rsid w:val="00F062BC"/>
    <w:rsid w:val="00F062C7"/>
    <w:rsid w:val="00F06353"/>
    <w:rsid w:val="00F063E1"/>
    <w:rsid w:val="00F064C7"/>
    <w:rsid w:val="00F06530"/>
    <w:rsid w:val="00F0653D"/>
    <w:rsid w:val="00F0654C"/>
    <w:rsid w:val="00F065B2"/>
    <w:rsid w:val="00F0661C"/>
    <w:rsid w:val="00F066FA"/>
    <w:rsid w:val="00F06837"/>
    <w:rsid w:val="00F0687B"/>
    <w:rsid w:val="00F0696B"/>
    <w:rsid w:val="00F0697B"/>
    <w:rsid w:val="00F0699E"/>
    <w:rsid w:val="00F06B92"/>
    <w:rsid w:val="00F06CD2"/>
    <w:rsid w:val="00F06D2B"/>
    <w:rsid w:val="00F06E01"/>
    <w:rsid w:val="00F06E46"/>
    <w:rsid w:val="00F06E47"/>
    <w:rsid w:val="00F06E49"/>
    <w:rsid w:val="00F06E7B"/>
    <w:rsid w:val="00F06F06"/>
    <w:rsid w:val="00F06F31"/>
    <w:rsid w:val="00F06F5C"/>
    <w:rsid w:val="00F06F9D"/>
    <w:rsid w:val="00F06FD5"/>
    <w:rsid w:val="00F06FEC"/>
    <w:rsid w:val="00F06FF0"/>
    <w:rsid w:val="00F06FF7"/>
    <w:rsid w:val="00F07070"/>
    <w:rsid w:val="00F0707A"/>
    <w:rsid w:val="00F070A9"/>
    <w:rsid w:val="00F070C9"/>
    <w:rsid w:val="00F07154"/>
    <w:rsid w:val="00F07239"/>
    <w:rsid w:val="00F0724A"/>
    <w:rsid w:val="00F0724E"/>
    <w:rsid w:val="00F07319"/>
    <w:rsid w:val="00F07325"/>
    <w:rsid w:val="00F0736F"/>
    <w:rsid w:val="00F07380"/>
    <w:rsid w:val="00F0738C"/>
    <w:rsid w:val="00F073E1"/>
    <w:rsid w:val="00F07415"/>
    <w:rsid w:val="00F07416"/>
    <w:rsid w:val="00F07467"/>
    <w:rsid w:val="00F074B4"/>
    <w:rsid w:val="00F074C4"/>
    <w:rsid w:val="00F074F1"/>
    <w:rsid w:val="00F0752D"/>
    <w:rsid w:val="00F07558"/>
    <w:rsid w:val="00F075AF"/>
    <w:rsid w:val="00F075B3"/>
    <w:rsid w:val="00F075C7"/>
    <w:rsid w:val="00F07603"/>
    <w:rsid w:val="00F0767F"/>
    <w:rsid w:val="00F07687"/>
    <w:rsid w:val="00F076A5"/>
    <w:rsid w:val="00F076E2"/>
    <w:rsid w:val="00F076FB"/>
    <w:rsid w:val="00F07767"/>
    <w:rsid w:val="00F077AF"/>
    <w:rsid w:val="00F077B6"/>
    <w:rsid w:val="00F077E8"/>
    <w:rsid w:val="00F0784E"/>
    <w:rsid w:val="00F07859"/>
    <w:rsid w:val="00F07862"/>
    <w:rsid w:val="00F078C5"/>
    <w:rsid w:val="00F078CB"/>
    <w:rsid w:val="00F0796D"/>
    <w:rsid w:val="00F079E9"/>
    <w:rsid w:val="00F07A1F"/>
    <w:rsid w:val="00F07B51"/>
    <w:rsid w:val="00F07B87"/>
    <w:rsid w:val="00F07B88"/>
    <w:rsid w:val="00F07BE0"/>
    <w:rsid w:val="00F07BF1"/>
    <w:rsid w:val="00F07C2C"/>
    <w:rsid w:val="00F07C55"/>
    <w:rsid w:val="00F07D3C"/>
    <w:rsid w:val="00F07D49"/>
    <w:rsid w:val="00F07D5E"/>
    <w:rsid w:val="00F07D9A"/>
    <w:rsid w:val="00F07E04"/>
    <w:rsid w:val="00F07E0B"/>
    <w:rsid w:val="00F07E31"/>
    <w:rsid w:val="00F07E5D"/>
    <w:rsid w:val="00F07EE9"/>
    <w:rsid w:val="00F07F13"/>
    <w:rsid w:val="00F07F4E"/>
    <w:rsid w:val="00F07F7F"/>
    <w:rsid w:val="00F07F9E"/>
    <w:rsid w:val="00F07FB5"/>
    <w:rsid w:val="00F10015"/>
    <w:rsid w:val="00F1001D"/>
    <w:rsid w:val="00F10023"/>
    <w:rsid w:val="00F1007A"/>
    <w:rsid w:val="00F10085"/>
    <w:rsid w:val="00F10087"/>
    <w:rsid w:val="00F100BF"/>
    <w:rsid w:val="00F100E0"/>
    <w:rsid w:val="00F10137"/>
    <w:rsid w:val="00F10144"/>
    <w:rsid w:val="00F102E6"/>
    <w:rsid w:val="00F102F1"/>
    <w:rsid w:val="00F10310"/>
    <w:rsid w:val="00F10331"/>
    <w:rsid w:val="00F10343"/>
    <w:rsid w:val="00F10346"/>
    <w:rsid w:val="00F10357"/>
    <w:rsid w:val="00F1039D"/>
    <w:rsid w:val="00F10433"/>
    <w:rsid w:val="00F10475"/>
    <w:rsid w:val="00F104D7"/>
    <w:rsid w:val="00F10570"/>
    <w:rsid w:val="00F10582"/>
    <w:rsid w:val="00F1059B"/>
    <w:rsid w:val="00F105AC"/>
    <w:rsid w:val="00F105D2"/>
    <w:rsid w:val="00F1062F"/>
    <w:rsid w:val="00F106D2"/>
    <w:rsid w:val="00F106DA"/>
    <w:rsid w:val="00F106EA"/>
    <w:rsid w:val="00F10758"/>
    <w:rsid w:val="00F1079D"/>
    <w:rsid w:val="00F107A9"/>
    <w:rsid w:val="00F10800"/>
    <w:rsid w:val="00F1082E"/>
    <w:rsid w:val="00F10885"/>
    <w:rsid w:val="00F1089C"/>
    <w:rsid w:val="00F108F2"/>
    <w:rsid w:val="00F10920"/>
    <w:rsid w:val="00F10927"/>
    <w:rsid w:val="00F109BD"/>
    <w:rsid w:val="00F109D2"/>
    <w:rsid w:val="00F10A06"/>
    <w:rsid w:val="00F10A53"/>
    <w:rsid w:val="00F10A55"/>
    <w:rsid w:val="00F10A5B"/>
    <w:rsid w:val="00F10A94"/>
    <w:rsid w:val="00F10B4A"/>
    <w:rsid w:val="00F10B8C"/>
    <w:rsid w:val="00F10BA1"/>
    <w:rsid w:val="00F10BFC"/>
    <w:rsid w:val="00F10C4C"/>
    <w:rsid w:val="00F10C56"/>
    <w:rsid w:val="00F10C98"/>
    <w:rsid w:val="00F10CD2"/>
    <w:rsid w:val="00F10D01"/>
    <w:rsid w:val="00F10D44"/>
    <w:rsid w:val="00F10D69"/>
    <w:rsid w:val="00F10D8A"/>
    <w:rsid w:val="00F10DBA"/>
    <w:rsid w:val="00F10DE5"/>
    <w:rsid w:val="00F10DF3"/>
    <w:rsid w:val="00F10E16"/>
    <w:rsid w:val="00F10E24"/>
    <w:rsid w:val="00F10E42"/>
    <w:rsid w:val="00F10E5E"/>
    <w:rsid w:val="00F10E86"/>
    <w:rsid w:val="00F10EC4"/>
    <w:rsid w:val="00F10EEF"/>
    <w:rsid w:val="00F10F49"/>
    <w:rsid w:val="00F10F77"/>
    <w:rsid w:val="00F10F9F"/>
    <w:rsid w:val="00F10FE5"/>
    <w:rsid w:val="00F11013"/>
    <w:rsid w:val="00F11061"/>
    <w:rsid w:val="00F110E9"/>
    <w:rsid w:val="00F1111A"/>
    <w:rsid w:val="00F1111C"/>
    <w:rsid w:val="00F1112A"/>
    <w:rsid w:val="00F11169"/>
    <w:rsid w:val="00F111B6"/>
    <w:rsid w:val="00F111D3"/>
    <w:rsid w:val="00F111F1"/>
    <w:rsid w:val="00F111F2"/>
    <w:rsid w:val="00F11237"/>
    <w:rsid w:val="00F11246"/>
    <w:rsid w:val="00F1125E"/>
    <w:rsid w:val="00F1128E"/>
    <w:rsid w:val="00F112B6"/>
    <w:rsid w:val="00F112DD"/>
    <w:rsid w:val="00F11315"/>
    <w:rsid w:val="00F1133C"/>
    <w:rsid w:val="00F1134C"/>
    <w:rsid w:val="00F11363"/>
    <w:rsid w:val="00F113D5"/>
    <w:rsid w:val="00F113DE"/>
    <w:rsid w:val="00F1155F"/>
    <w:rsid w:val="00F115A0"/>
    <w:rsid w:val="00F115B0"/>
    <w:rsid w:val="00F11604"/>
    <w:rsid w:val="00F116A5"/>
    <w:rsid w:val="00F11700"/>
    <w:rsid w:val="00F11762"/>
    <w:rsid w:val="00F117C6"/>
    <w:rsid w:val="00F11814"/>
    <w:rsid w:val="00F11836"/>
    <w:rsid w:val="00F11869"/>
    <w:rsid w:val="00F1188E"/>
    <w:rsid w:val="00F118E4"/>
    <w:rsid w:val="00F1195E"/>
    <w:rsid w:val="00F119C7"/>
    <w:rsid w:val="00F11A5C"/>
    <w:rsid w:val="00F11A9E"/>
    <w:rsid w:val="00F11ACD"/>
    <w:rsid w:val="00F11AED"/>
    <w:rsid w:val="00F11B48"/>
    <w:rsid w:val="00F11BA0"/>
    <w:rsid w:val="00F11BE1"/>
    <w:rsid w:val="00F11C20"/>
    <w:rsid w:val="00F11C28"/>
    <w:rsid w:val="00F11C5A"/>
    <w:rsid w:val="00F11C79"/>
    <w:rsid w:val="00F11CD6"/>
    <w:rsid w:val="00F11CF1"/>
    <w:rsid w:val="00F11DB2"/>
    <w:rsid w:val="00F11EA4"/>
    <w:rsid w:val="00F11ED0"/>
    <w:rsid w:val="00F11F58"/>
    <w:rsid w:val="00F1201E"/>
    <w:rsid w:val="00F12057"/>
    <w:rsid w:val="00F12072"/>
    <w:rsid w:val="00F12121"/>
    <w:rsid w:val="00F12144"/>
    <w:rsid w:val="00F1219F"/>
    <w:rsid w:val="00F121B1"/>
    <w:rsid w:val="00F121B4"/>
    <w:rsid w:val="00F12263"/>
    <w:rsid w:val="00F12276"/>
    <w:rsid w:val="00F122BB"/>
    <w:rsid w:val="00F123A5"/>
    <w:rsid w:val="00F123A8"/>
    <w:rsid w:val="00F123AD"/>
    <w:rsid w:val="00F123C2"/>
    <w:rsid w:val="00F123CF"/>
    <w:rsid w:val="00F12428"/>
    <w:rsid w:val="00F12432"/>
    <w:rsid w:val="00F12479"/>
    <w:rsid w:val="00F12484"/>
    <w:rsid w:val="00F1248A"/>
    <w:rsid w:val="00F1249C"/>
    <w:rsid w:val="00F124AF"/>
    <w:rsid w:val="00F124B3"/>
    <w:rsid w:val="00F12517"/>
    <w:rsid w:val="00F1251F"/>
    <w:rsid w:val="00F1253D"/>
    <w:rsid w:val="00F1253E"/>
    <w:rsid w:val="00F12555"/>
    <w:rsid w:val="00F12575"/>
    <w:rsid w:val="00F125CA"/>
    <w:rsid w:val="00F125D9"/>
    <w:rsid w:val="00F1263F"/>
    <w:rsid w:val="00F12667"/>
    <w:rsid w:val="00F12673"/>
    <w:rsid w:val="00F1268E"/>
    <w:rsid w:val="00F126F6"/>
    <w:rsid w:val="00F1273B"/>
    <w:rsid w:val="00F127FD"/>
    <w:rsid w:val="00F1282C"/>
    <w:rsid w:val="00F12831"/>
    <w:rsid w:val="00F12931"/>
    <w:rsid w:val="00F1297E"/>
    <w:rsid w:val="00F129D5"/>
    <w:rsid w:val="00F129E7"/>
    <w:rsid w:val="00F12A06"/>
    <w:rsid w:val="00F12A08"/>
    <w:rsid w:val="00F12A3B"/>
    <w:rsid w:val="00F12A83"/>
    <w:rsid w:val="00F12A90"/>
    <w:rsid w:val="00F12A95"/>
    <w:rsid w:val="00F12AAA"/>
    <w:rsid w:val="00F12AF1"/>
    <w:rsid w:val="00F12B00"/>
    <w:rsid w:val="00F12B68"/>
    <w:rsid w:val="00F12BB8"/>
    <w:rsid w:val="00F12BC6"/>
    <w:rsid w:val="00F12C18"/>
    <w:rsid w:val="00F12C26"/>
    <w:rsid w:val="00F12C34"/>
    <w:rsid w:val="00F12CD6"/>
    <w:rsid w:val="00F12D15"/>
    <w:rsid w:val="00F12D79"/>
    <w:rsid w:val="00F12DC7"/>
    <w:rsid w:val="00F12DCF"/>
    <w:rsid w:val="00F12F3F"/>
    <w:rsid w:val="00F12F51"/>
    <w:rsid w:val="00F12F96"/>
    <w:rsid w:val="00F13064"/>
    <w:rsid w:val="00F13079"/>
    <w:rsid w:val="00F13084"/>
    <w:rsid w:val="00F130CA"/>
    <w:rsid w:val="00F130DE"/>
    <w:rsid w:val="00F131A7"/>
    <w:rsid w:val="00F131C5"/>
    <w:rsid w:val="00F131F7"/>
    <w:rsid w:val="00F132B0"/>
    <w:rsid w:val="00F132C4"/>
    <w:rsid w:val="00F13314"/>
    <w:rsid w:val="00F13344"/>
    <w:rsid w:val="00F1337D"/>
    <w:rsid w:val="00F133F2"/>
    <w:rsid w:val="00F13409"/>
    <w:rsid w:val="00F13439"/>
    <w:rsid w:val="00F134C6"/>
    <w:rsid w:val="00F135CD"/>
    <w:rsid w:val="00F135D7"/>
    <w:rsid w:val="00F135E8"/>
    <w:rsid w:val="00F13620"/>
    <w:rsid w:val="00F1365C"/>
    <w:rsid w:val="00F1368C"/>
    <w:rsid w:val="00F136F4"/>
    <w:rsid w:val="00F13768"/>
    <w:rsid w:val="00F1376C"/>
    <w:rsid w:val="00F1379C"/>
    <w:rsid w:val="00F137C6"/>
    <w:rsid w:val="00F137EF"/>
    <w:rsid w:val="00F13873"/>
    <w:rsid w:val="00F13887"/>
    <w:rsid w:val="00F1393F"/>
    <w:rsid w:val="00F1398D"/>
    <w:rsid w:val="00F139AA"/>
    <w:rsid w:val="00F139B4"/>
    <w:rsid w:val="00F139C5"/>
    <w:rsid w:val="00F13A13"/>
    <w:rsid w:val="00F13A20"/>
    <w:rsid w:val="00F13A34"/>
    <w:rsid w:val="00F13A3A"/>
    <w:rsid w:val="00F13C28"/>
    <w:rsid w:val="00F13CD8"/>
    <w:rsid w:val="00F13CF2"/>
    <w:rsid w:val="00F13D27"/>
    <w:rsid w:val="00F13D36"/>
    <w:rsid w:val="00F13D53"/>
    <w:rsid w:val="00F13DBE"/>
    <w:rsid w:val="00F13DDF"/>
    <w:rsid w:val="00F13E15"/>
    <w:rsid w:val="00F13E4F"/>
    <w:rsid w:val="00F13E84"/>
    <w:rsid w:val="00F13E89"/>
    <w:rsid w:val="00F13ECC"/>
    <w:rsid w:val="00F13F1C"/>
    <w:rsid w:val="00F13FCB"/>
    <w:rsid w:val="00F14001"/>
    <w:rsid w:val="00F1405E"/>
    <w:rsid w:val="00F14145"/>
    <w:rsid w:val="00F14157"/>
    <w:rsid w:val="00F14158"/>
    <w:rsid w:val="00F1415E"/>
    <w:rsid w:val="00F1417C"/>
    <w:rsid w:val="00F141EF"/>
    <w:rsid w:val="00F1427A"/>
    <w:rsid w:val="00F142A4"/>
    <w:rsid w:val="00F142C4"/>
    <w:rsid w:val="00F142C7"/>
    <w:rsid w:val="00F142FB"/>
    <w:rsid w:val="00F14316"/>
    <w:rsid w:val="00F1433D"/>
    <w:rsid w:val="00F1433F"/>
    <w:rsid w:val="00F1441A"/>
    <w:rsid w:val="00F14441"/>
    <w:rsid w:val="00F1451B"/>
    <w:rsid w:val="00F1451C"/>
    <w:rsid w:val="00F14552"/>
    <w:rsid w:val="00F1459D"/>
    <w:rsid w:val="00F145A5"/>
    <w:rsid w:val="00F147B1"/>
    <w:rsid w:val="00F14879"/>
    <w:rsid w:val="00F148D8"/>
    <w:rsid w:val="00F1490E"/>
    <w:rsid w:val="00F14978"/>
    <w:rsid w:val="00F149C4"/>
    <w:rsid w:val="00F14A22"/>
    <w:rsid w:val="00F14A8A"/>
    <w:rsid w:val="00F14AA6"/>
    <w:rsid w:val="00F14AF5"/>
    <w:rsid w:val="00F14B25"/>
    <w:rsid w:val="00F14B2A"/>
    <w:rsid w:val="00F14B31"/>
    <w:rsid w:val="00F14B59"/>
    <w:rsid w:val="00F14BAC"/>
    <w:rsid w:val="00F14BD5"/>
    <w:rsid w:val="00F14C28"/>
    <w:rsid w:val="00F14C7B"/>
    <w:rsid w:val="00F14C99"/>
    <w:rsid w:val="00F14CA0"/>
    <w:rsid w:val="00F14CAB"/>
    <w:rsid w:val="00F14D02"/>
    <w:rsid w:val="00F14EC5"/>
    <w:rsid w:val="00F14ED5"/>
    <w:rsid w:val="00F14F2C"/>
    <w:rsid w:val="00F14F2D"/>
    <w:rsid w:val="00F14F48"/>
    <w:rsid w:val="00F14FA2"/>
    <w:rsid w:val="00F15014"/>
    <w:rsid w:val="00F15064"/>
    <w:rsid w:val="00F15067"/>
    <w:rsid w:val="00F15093"/>
    <w:rsid w:val="00F150D9"/>
    <w:rsid w:val="00F1514E"/>
    <w:rsid w:val="00F15179"/>
    <w:rsid w:val="00F1518E"/>
    <w:rsid w:val="00F151D6"/>
    <w:rsid w:val="00F15217"/>
    <w:rsid w:val="00F1524D"/>
    <w:rsid w:val="00F1529D"/>
    <w:rsid w:val="00F152C2"/>
    <w:rsid w:val="00F153B6"/>
    <w:rsid w:val="00F153C6"/>
    <w:rsid w:val="00F15403"/>
    <w:rsid w:val="00F15480"/>
    <w:rsid w:val="00F15491"/>
    <w:rsid w:val="00F15588"/>
    <w:rsid w:val="00F155BC"/>
    <w:rsid w:val="00F15699"/>
    <w:rsid w:val="00F156AD"/>
    <w:rsid w:val="00F156C5"/>
    <w:rsid w:val="00F15727"/>
    <w:rsid w:val="00F15786"/>
    <w:rsid w:val="00F1578F"/>
    <w:rsid w:val="00F15863"/>
    <w:rsid w:val="00F1589C"/>
    <w:rsid w:val="00F158BA"/>
    <w:rsid w:val="00F158CF"/>
    <w:rsid w:val="00F158F0"/>
    <w:rsid w:val="00F15916"/>
    <w:rsid w:val="00F1596E"/>
    <w:rsid w:val="00F1597B"/>
    <w:rsid w:val="00F15991"/>
    <w:rsid w:val="00F159A3"/>
    <w:rsid w:val="00F159E8"/>
    <w:rsid w:val="00F15A09"/>
    <w:rsid w:val="00F15A34"/>
    <w:rsid w:val="00F15AAE"/>
    <w:rsid w:val="00F15AC6"/>
    <w:rsid w:val="00F15B0F"/>
    <w:rsid w:val="00F15B27"/>
    <w:rsid w:val="00F15BBB"/>
    <w:rsid w:val="00F15C4C"/>
    <w:rsid w:val="00F15CAF"/>
    <w:rsid w:val="00F15CB1"/>
    <w:rsid w:val="00F15CFA"/>
    <w:rsid w:val="00F15D34"/>
    <w:rsid w:val="00F15D52"/>
    <w:rsid w:val="00F15D85"/>
    <w:rsid w:val="00F15DBC"/>
    <w:rsid w:val="00F15DC2"/>
    <w:rsid w:val="00F15DE2"/>
    <w:rsid w:val="00F15DEE"/>
    <w:rsid w:val="00F15E23"/>
    <w:rsid w:val="00F15E2B"/>
    <w:rsid w:val="00F15E4E"/>
    <w:rsid w:val="00F15F08"/>
    <w:rsid w:val="00F16007"/>
    <w:rsid w:val="00F1604C"/>
    <w:rsid w:val="00F160B6"/>
    <w:rsid w:val="00F160C1"/>
    <w:rsid w:val="00F1611C"/>
    <w:rsid w:val="00F16254"/>
    <w:rsid w:val="00F1626B"/>
    <w:rsid w:val="00F16286"/>
    <w:rsid w:val="00F16299"/>
    <w:rsid w:val="00F16302"/>
    <w:rsid w:val="00F16332"/>
    <w:rsid w:val="00F16354"/>
    <w:rsid w:val="00F16369"/>
    <w:rsid w:val="00F16376"/>
    <w:rsid w:val="00F163C4"/>
    <w:rsid w:val="00F163FD"/>
    <w:rsid w:val="00F1646D"/>
    <w:rsid w:val="00F16484"/>
    <w:rsid w:val="00F16487"/>
    <w:rsid w:val="00F164FF"/>
    <w:rsid w:val="00F16508"/>
    <w:rsid w:val="00F16516"/>
    <w:rsid w:val="00F16537"/>
    <w:rsid w:val="00F16555"/>
    <w:rsid w:val="00F1655D"/>
    <w:rsid w:val="00F165B7"/>
    <w:rsid w:val="00F165D4"/>
    <w:rsid w:val="00F16605"/>
    <w:rsid w:val="00F1660E"/>
    <w:rsid w:val="00F16616"/>
    <w:rsid w:val="00F16628"/>
    <w:rsid w:val="00F166A3"/>
    <w:rsid w:val="00F16731"/>
    <w:rsid w:val="00F1674A"/>
    <w:rsid w:val="00F16774"/>
    <w:rsid w:val="00F16780"/>
    <w:rsid w:val="00F167E5"/>
    <w:rsid w:val="00F168AE"/>
    <w:rsid w:val="00F16926"/>
    <w:rsid w:val="00F16943"/>
    <w:rsid w:val="00F16998"/>
    <w:rsid w:val="00F169B7"/>
    <w:rsid w:val="00F16A3B"/>
    <w:rsid w:val="00F16A3F"/>
    <w:rsid w:val="00F16A55"/>
    <w:rsid w:val="00F16A67"/>
    <w:rsid w:val="00F16AC0"/>
    <w:rsid w:val="00F16BDB"/>
    <w:rsid w:val="00F16C15"/>
    <w:rsid w:val="00F16C22"/>
    <w:rsid w:val="00F16CD5"/>
    <w:rsid w:val="00F16D37"/>
    <w:rsid w:val="00F16D41"/>
    <w:rsid w:val="00F16D44"/>
    <w:rsid w:val="00F16D6B"/>
    <w:rsid w:val="00F16DAA"/>
    <w:rsid w:val="00F16DD0"/>
    <w:rsid w:val="00F16E26"/>
    <w:rsid w:val="00F16E38"/>
    <w:rsid w:val="00F16EBB"/>
    <w:rsid w:val="00F16ED9"/>
    <w:rsid w:val="00F16FCA"/>
    <w:rsid w:val="00F1700D"/>
    <w:rsid w:val="00F17076"/>
    <w:rsid w:val="00F170C4"/>
    <w:rsid w:val="00F17104"/>
    <w:rsid w:val="00F1715A"/>
    <w:rsid w:val="00F171B8"/>
    <w:rsid w:val="00F171DF"/>
    <w:rsid w:val="00F171FB"/>
    <w:rsid w:val="00F17225"/>
    <w:rsid w:val="00F1724A"/>
    <w:rsid w:val="00F1724E"/>
    <w:rsid w:val="00F17312"/>
    <w:rsid w:val="00F1733B"/>
    <w:rsid w:val="00F173D0"/>
    <w:rsid w:val="00F173DA"/>
    <w:rsid w:val="00F173FA"/>
    <w:rsid w:val="00F17459"/>
    <w:rsid w:val="00F17474"/>
    <w:rsid w:val="00F1747D"/>
    <w:rsid w:val="00F174A8"/>
    <w:rsid w:val="00F174AB"/>
    <w:rsid w:val="00F1755E"/>
    <w:rsid w:val="00F17583"/>
    <w:rsid w:val="00F1769A"/>
    <w:rsid w:val="00F176D6"/>
    <w:rsid w:val="00F17728"/>
    <w:rsid w:val="00F17772"/>
    <w:rsid w:val="00F177F3"/>
    <w:rsid w:val="00F17819"/>
    <w:rsid w:val="00F17826"/>
    <w:rsid w:val="00F17868"/>
    <w:rsid w:val="00F17895"/>
    <w:rsid w:val="00F178F8"/>
    <w:rsid w:val="00F17950"/>
    <w:rsid w:val="00F17996"/>
    <w:rsid w:val="00F179B0"/>
    <w:rsid w:val="00F17AC6"/>
    <w:rsid w:val="00F17B1D"/>
    <w:rsid w:val="00F17BA5"/>
    <w:rsid w:val="00F17BBF"/>
    <w:rsid w:val="00F17C07"/>
    <w:rsid w:val="00F17C6B"/>
    <w:rsid w:val="00F17CDD"/>
    <w:rsid w:val="00F17D0C"/>
    <w:rsid w:val="00F17D57"/>
    <w:rsid w:val="00F17DED"/>
    <w:rsid w:val="00F17EDF"/>
    <w:rsid w:val="00F17F47"/>
    <w:rsid w:val="00F17F50"/>
    <w:rsid w:val="00F17FF8"/>
    <w:rsid w:val="00F2000B"/>
    <w:rsid w:val="00F20036"/>
    <w:rsid w:val="00F20038"/>
    <w:rsid w:val="00F2008F"/>
    <w:rsid w:val="00F200F1"/>
    <w:rsid w:val="00F2011A"/>
    <w:rsid w:val="00F20131"/>
    <w:rsid w:val="00F20135"/>
    <w:rsid w:val="00F20168"/>
    <w:rsid w:val="00F2016B"/>
    <w:rsid w:val="00F201A9"/>
    <w:rsid w:val="00F201DE"/>
    <w:rsid w:val="00F20214"/>
    <w:rsid w:val="00F20266"/>
    <w:rsid w:val="00F2027A"/>
    <w:rsid w:val="00F2027E"/>
    <w:rsid w:val="00F202C7"/>
    <w:rsid w:val="00F202CC"/>
    <w:rsid w:val="00F202CE"/>
    <w:rsid w:val="00F20345"/>
    <w:rsid w:val="00F20383"/>
    <w:rsid w:val="00F20387"/>
    <w:rsid w:val="00F20493"/>
    <w:rsid w:val="00F20494"/>
    <w:rsid w:val="00F20514"/>
    <w:rsid w:val="00F2051B"/>
    <w:rsid w:val="00F20588"/>
    <w:rsid w:val="00F205F5"/>
    <w:rsid w:val="00F20680"/>
    <w:rsid w:val="00F206AF"/>
    <w:rsid w:val="00F20750"/>
    <w:rsid w:val="00F207AB"/>
    <w:rsid w:val="00F2087D"/>
    <w:rsid w:val="00F20891"/>
    <w:rsid w:val="00F208BF"/>
    <w:rsid w:val="00F208F8"/>
    <w:rsid w:val="00F20902"/>
    <w:rsid w:val="00F20921"/>
    <w:rsid w:val="00F2098B"/>
    <w:rsid w:val="00F20A1F"/>
    <w:rsid w:val="00F20A20"/>
    <w:rsid w:val="00F20BA5"/>
    <w:rsid w:val="00F20C64"/>
    <w:rsid w:val="00F20C95"/>
    <w:rsid w:val="00F20D39"/>
    <w:rsid w:val="00F20D3A"/>
    <w:rsid w:val="00F20E10"/>
    <w:rsid w:val="00F20E6A"/>
    <w:rsid w:val="00F20F37"/>
    <w:rsid w:val="00F20F72"/>
    <w:rsid w:val="00F21031"/>
    <w:rsid w:val="00F21044"/>
    <w:rsid w:val="00F2105C"/>
    <w:rsid w:val="00F210BF"/>
    <w:rsid w:val="00F210DB"/>
    <w:rsid w:val="00F21104"/>
    <w:rsid w:val="00F21142"/>
    <w:rsid w:val="00F21156"/>
    <w:rsid w:val="00F21192"/>
    <w:rsid w:val="00F211E3"/>
    <w:rsid w:val="00F211F2"/>
    <w:rsid w:val="00F21203"/>
    <w:rsid w:val="00F21229"/>
    <w:rsid w:val="00F2128C"/>
    <w:rsid w:val="00F212D2"/>
    <w:rsid w:val="00F212D3"/>
    <w:rsid w:val="00F212FA"/>
    <w:rsid w:val="00F21398"/>
    <w:rsid w:val="00F2139A"/>
    <w:rsid w:val="00F213B4"/>
    <w:rsid w:val="00F213F3"/>
    <w:rsid w:val="00F21403"/>
    <w:rsid w:val="00F21439"/>
    <w:rsid w:val="00F21452"/>
    <w:rsid w:val="00F21470"/>
    <w:rsid w:val="00F2147E"/>
    <w:rsid w:val="00F21507"/>
    <w:rsid w:val="00F215B3"/>
    <w:rsid w:val="00F21658"/>
    <w:rsid w:val="00F216D4"/>
    <w:rsid w:val="00F217C2"/>
    <w:rsid w:val="00F21856"/>
    <w:rsid w:val="00F21873"/>
    <w:rsid w:val="00F21890"/>
    <w:rsid w:val="00F218F2"/>
    <w:rsid w:val="00F21956"/>
    <w:rsid w:val="00F21964"/>
    <w:rsid w:val="00F219D3"/>
    <w:rsid w:val="00F219FC"/>
    <w:rsid w:val="00F21A1B"/>
    <w:rsid w:val="00F21A27"/>
    <w:rsid w:val="00F21AB5"/>
    <w:rsid w:val="00F21AC4"/>
    <w:rsid w:val="00F21BA4"/>
    <w:rsid w:val="00F21BE8"/>
    <w:rsid w:val="00F21C65"/>
    <w:rsid w:val="00F21C8E"/>
    <w:rsid w:val="00F21CB7"/>
    <w:rsid w:val="00F21E20"/>
    <w:rsid w:val="00F21EDD"/>
    <w:rsid w:val="00F21FE4"/>
    <w:rsid w:val="00F2202C"/>
    <w:rsid w:val="00F2207B"/>
    <w:rsid w:val="00F22087"/>
    <w:rsid w:val="00F2218B"/>
    <w:rsid w:val="00F22263"/>
    <w:rsid w:val="00F222DF"/>
    <w:rsid w:val="00F222E9"/>
    <w:rsid w:val="00F22394"/>
    <w:rsid w:val="00F22397"/>
    <w:rsid w:val="00F223A8"/>
    <w:rsid w:val="00F223A9"/>
    <w:rsid w:val="00F22471"/>
    <w:rsid w:val="00F22474"/>
    <w:rsid w:val="00F224BC"/>
    <w:rsid w:val="00F224E2"/>
    <w:rsid w:val="00F224F7"/>
    <w:rsid w:val="00F22501"/>
    <w:rsid w:val="00F22534"/>
    <w:rsid w:val="00F2254B"/>
    <w:rsid w:val="00F22577"/>
    <w:rsid w:val="00F225AF"/>
    <w:rsid w:val="00F225E0"/>
    <w:rsid w:val="00F225E3"/>
    <w:rsid w:val="00F225E9"/>
    <w:rsid w:val="00F225F6"/>
    <w:rsid w:val="00F22601"/>
    <w:rsid w:val="00F22642"/>
    <w:rsid w:val="00F2268C"/>
    <w:rsid w:val="00F226D7"/>
    <w:rsid w:val="00F2277A"/>
    <w:rsid w:val="00F227A3"/>
    <w:rsid w:val="00F227C0"/>
    <w:rsid w:val="00F22909"/>
    <w:rsid w:val="00F22954"/>
    <w:rsid w:val="00F22971"/>
    <w:rsid w:val="00F22991"/>
    <w:rsid w:val="00F2299B"/>
    <w:rsid w:val="00F22A21"/>
    <w:rsid w:val="00F22A28"/>
    <w:rsid w:val="00F22A50"/>
    <w:rsid w:val="00F22A83"/>
    <w:rsid w:val="00F22AA2"/>
    <w:rsid w:val="00F22ABA"/>
    <w:rsid w:val="00F22ADE"/>
    <w:rsid w:val="00F22B84"/>
    <w:rsid w:val="00F22BCA"/>
    <w:rsid w:val="00F22C23"/>
    <w:rsid w:val="00F22C75"/>
    <w:rsid w:val="00F22CB9"/>
    <w:rsid w:val="00F22D11"/>
    <w:rsid w:val="00F22D9D"/>
    <w:rsid w:val="00F22DC6"/>
    <w:rsid w:val="00F22E05"/>
    <w:rsid w:val="00F22E11"/>
    <w:rsid w:val="00F22ED9"/>
    <w:rsid w:val="00F22F0D"/>
    <w:rsid w:val="00F22F42"/>
    <w:rsid w:val="00F22F9D"/>
    <w:rsid w:val="00F23069"/>
    <w:rsid w:val="00F230AC"/>
    <w:rsid w:val="00F230D7"/>
    <w:rsid w:val="00F23141"/>
    <w:rsid w:val="00F23187"/>
    <w:rsid w:val="00F2318F"/>
    <w:rsid w:val="00F231CD"/>
    <w:rsid w:val="00F231E8"/>
    <w:rsid w:val="00F2323C"/>
    <w:rsid w:val="00F23289"/>
    <w:rsid w:val="00F2330B"/>
    <w:rsid w:val="00F2331D"/>
    <w:rsid w:val="00F233CD"/>
    <w:rsid w:val="00F23419"/>
    <w:rsid w:val="00F2344D"/>
    <w:rsid w:val="00F234BE"/>
    <w:rsid w:val="00F234EC"/>
    <w:rsid w:val="00F2352C"/>
    <w:rsid w:val="00F2354C"/>
    <w:rsid w:val="00F2358E"/>
    <w:rsid w:val="00F235AB"/>
    <w:rsid w:val="00F23648"/>
    <w:rsid w:val="00F23687"/>
    <w:rsid w:val="00F236AC"/>
    <w:rsid w:val="00F236E8"/>
    <w:rsid w:val="00F236FA"/>
    <w:rsid w:val="00F2373E"/>
    <w:rsid w:val="00F2376E"/>
    <w:rsid w:val="00F2376F"/>
    <w:rsid w:val="00F23800"/>
    <w:rsid w:val="00F2380A"/>
    <w:rsid w:val="00F23898"/>
    <w:rsid w:val="00F238FF"/>
    <w:rsid w:val="00F23944"/>
    <w:rsid w:val="00F23976"/>
    <w:rsid w:val="00F23A02"/>
    <w:rsid w:val="00F23A0F"/>
    <w:rsid w:val="00F23A26"/>
    <w:rsid w:val="00F23A27"/>
    <w:rsid w:val="00F23B19"/>
    <w:rsid w:val="00F23B40"/>
    <w:rsid w:val="00F23BA0"/>
    <w:rsid w:val="00F23BE1"/>
    <w:rsid w:val="00F23D12"/>
    <w:rsid w:val="00F23D26"/>
    <w:rsid w:val="00F23D5F"/>
    <w:rsid w:val="00F23D72"/>
    <w:rsid w:val="00F23DB8"/>
    <w:rsid w:val="00F23DC8"/>
    <w:rsid w:val="00F23DEC"/>
    <w:rsid w:val="00F23E03"/>
    <w:rsid w:val="00F23ED0"/>
    <w:rsid w:val="00F23EEE"/>
    <w:rsid w:val="00F24033"/>
    <w:rsid w:val="00F2403C"/>
    <w:rsid w:val="00F2406C"/>
    <w:rsid w:val="00F24076"/>
    <w:rsid w:val="00F240E9"/>
    <w:rsid w:val="00F24114"/>
    <w:rsid w:val="00F2413C"/>
    <w:rsid w:val="00F241B0"/>
    <w:rsid w:val="00F241E4"/>
    <w:rsid w:val="00F24249"/>
    <w:rsid w:val="00F242E6"/>
    <w:rsid w:val="00F243B6"/>
    <w:rsid w:val="00F2441E"/>
    <w:rsid w:val="00F2448F"/>
    <w:rsid w:val="00F244A1"/>
    <w:rsid w:val="00F244E9"/>
    <w:rsid w:val="00F244ED"/>
    <w:rsid w:val="00F24524"/>
    <w:rsid w:val="00F24526"/>
    <w:rsid w:val="00F24591"/>
    <w:rsid w:val="00F245B2"/>
    <w:rsid w:val="00F245ED"/>
    <w:rsid w:val="00F24602"/>
    <w:rsid w:val="00F2463D"/>
    <w:rsid w:val="00F246A5"/>
    <w:rsid w:val="00F246E9"/>
    <w:rsid w:val="00F2472D"/>
    <w:rsid w:val="00F2473C"/>
    <w:rsid w:val="00F2473F"/>
    <w:rsid w:val="00F248E4"/>
    <w:rsid w:val="00F24915"/>
    <w:rsid w:val="00F249BC"/>
    <w:rsid w:val="00F249D2"/>
    <w:rsid w:val="00F24A44"/>
    <w:rsid w:val="00F24AA4"/>
    <w:rsid w:val="00F24B85"/>
    <w:rsid w:val="00F24BE8"/>
    <w:rsid w:val="00F24C0C"/>
    <w:rsid w:val="00F24C28"/>
    <w:rsid w:val="00F24C30"/>
    <w:rsid w:val="00F24C3E"/>
    <w:rsid w:val="00F24C3F"/>
    <w:rsid w:val="00F24C48"/>
    <w:rsid w:val="00F24C68"/>
    <w:rsid w:val="00F24C7D"/>
    <w:rsid w:val="00F24C8B"/>
    <w:rsid w:val="00F24DAE"/>
    <w:rsid w:val="00F24DBB"/>
    <w:rsid w:val="00F24E10"/>
    <w:rsid w:val="00F24E52"/>
    <w:rsid w:val="00F24E70"/>
    <w:rsid w:val="00F24EBA"/>
    <w:rsid w:val="00F24F6F"/>
    <w:rsid w:val="00F25033"/>
    <w:rsid w:val="00F25078"/>
    <w:rsid w:val="00F250A4"/>
    <w:rsid w:val="00F2511D"/>
    <w:rsid w:val="00F252C5"/>
    <w:rsid w:val="00F25337"/>
    <w:rsid w:val="00F2537C"/>
    <w:rsid w:val="00F253E5"/>
    <w:rsid w:val="00F2548A"/>
    <w:rsid w:val="00F254E9"/>
    <w:rsid w:val="00F254F1"/>
    <w:rsid w:val="00F25569"/>
    <w:rsid w:val="00F25573"/>
    <w:rsid w:val="00F255A1"/>
    <w:rsid w:val="00F255D4"/>
    <w:rsid w:val="00F255DD"/>
    <w:rsid w:val="00F255E6"/>
    <w:rsid w:val="00F25615"/>
    <w:rsid w:val="00F25631"/>
    <w:rsid w:val="00F25643"/>
    <w:rsid w:val="00F2566C"/>
    <w:rsid w:val="00F25713"/>
    <w:rsid w:val="00F25734"/>
    <w:rsid w:val="00F2573A"/>
    <w:rsid w:val="00F25778"/>
    <w:rsid w:val="00F257A5"/>
    <w:rsid w:val="00F2588D"/>
    <w:rsid w:val="00F258AB"/>
    <w:rsid w:val="00F25919"/>
    <w:rsid w:val="00F25964"/>
    <w:rsid w:val="00F25977"/>
    <w:rsid w:val="00F259D8"/>
    <w:rsid w:val="00F25A3B"/>
    <w:rsid w:val="00F25AB2"/>
    <w:rsid w:val="00F25B21"/>
    <w:rsid w:val="00F25B6E"/>
    <w:rsid w:val="00F25B74"/>
    <w:rsid w:val="00F25B87"/>
    <w:rsid w:val="00F25BE7"/>
    <w:rsid w:val="00F25CDB"/>
    <w:rsid w:val="00F25D31"/>
    <w:rsid w:val="00F25D36"/>
    <w:rsid w:val="00F25D72"/>
    <w:rsid w:val="00F25D78"/>
    <w:rsid w:val="00F25D8F"/>
    <w:rsid w:val="00F25DAD"/>
    <w:rsid w:val="00F25DD7"/>
    <w:rsid w:val="00F25DDA"/>
    <w:rsid w:val="00F25DE7"/>
    <w:rsid w:val="00F25DEA"/>
    <w:rsid w:val="00F25E2D"/>
    <w:rsid w:val="00F25E3C"/>
    <w:rsid w:val="00F25F7A"/>
    <w:rsid w:val="00F25F7E"/>
    <w:rsid w:val="00F25F95"/>
    <w:rsid w:val="00F25F9A"/>
    <w:rsid w:val="00F25FB3"/>
    <w:rsid w:val="00F25FBF"/>
    <w:rsid w:val="00F25FD6"/>
    <w:rsid w:val="00F25FF2"/>
    <w:rsid w:val="00F26025"/>
    <w:rsid w:val="00F2603B"/>
    <w:rsid w:val="00F2606E"/>
    <w:rsid w:val="00F260D0"/>
    <w:rsid w:val="00F26228"/>
    <w:rsid w:val="00F26258"/>
    <w:rsid w:val="00F262A1"/>
    <w:rsid w:val="00F263A0"/>
    <w:rsid w:val="00F263AF"/>
    <w:rsid w:val="00F263CA"/>
    <w:rsid w:val="00F2645D"/>
    <w:rsid w:val="00F26484"/>
    <w:rsid w:val="00F264A5"/>
    <w:rsid w:val="00F264FE"/>
    <w:rsid w:val="00F26500"/>
    <w:rsid w:val="00F2650D"/>
    <w:rsid w:val="00F265F3"/>
    <w:rsid w:val="00F26633"/>
    <w:rsid w:val="00F26650"/>
    <w:rsid w:val="00F26652"/>
    <w:rsid w:val="00F26666"/>
    <w:rsid w:val="00F2667C"/>
    <w:rsid w:val="00F266C6"/>
    <w:rsid w:val="00F2676B"/>
    <w:rsid w:val="00F26782"/>
    <w:rsid w:val="00F26798"/>
    <w:rsid w:val="00F267CA"/>
    <w:rsid w:val="00F2685E"/>
    <w:rsid w:val="00F26886"/>
    <w:rsid w:val="00F268B6"/>
    <w:rsid w:val="00F2694F"/>
    <w:rsid w:val="00F26963"/>
    <w:rsid w:val="00F26977"/>
    <w:rsid w:val="00F2698E"/>
    <w:rsid w:val="00F26991"/>
    <w:rsid w:val="00F2699D"/>
    <w:rsid w:val="00F269C2"/>
    <w:rsid w:val="00F269F0"/>
    <w:rsid w:val="00F26A62"/>
    <w:rsid w:val="00F26B41"/>
    <w:rsid w:val="00F26B98"/>
    <w:rsid w:val="00F26BC0"/>
    <w:rsid w:val="00F26BF3"/>
    <w:rsid w:val="00F26C10"/>
    <w:rsid w:val="00F26C5B"/>
    <w:rsid w:val="00F26C8C"/>
    <w:rsid w:val="00F26CCF"/>
    <w:rsid w:val="00F26CDD"/>
    <w:rsid w:val="00F26D49"/>
    <w:rsid w:val="00F26D9B"/>
    <w:rsid w:val="00F26DD8"/>
    <w:rsid w:val="00F26DEF"/>
    <w:rsid w:val="00F26DF7"/>
    <w:rsid w:val="00F26EB5"/>
    <w:rsid w:val="00F26EFB"/>
    <w:rsid w:val="00F26F20"/>
    <w:rsid w:val="00F26F2D"/>
    <w:rsid w:val="00F26F59"/>
    <w:rsid w:val="00F26F8E"/>
    <w:rsid w:val="00F26F95"/>
    <w:rsid w:val="00F26FF4"/>
    <w:rsid w:val="00F27065"/>
    <w:rsid w:val="00F27068"/>
    <w:rsid w:val="00F270C5"/>
    <w:rsid w:val="00F270FF"/>
    <w:rsid w:val="00F2710A"/>
    <w:rsid w:val="00F27125"/>
    <w:rsid w:val="00F27134"/>
    <w:rsid w:val="00F2715B"/>
    <w:rsid w:val="00F27188"/>
    <w:rsid w:val="00F2720C"/>
    <w:rsid w:val="00F2721C"/>
    <w:rsid w:val="00F272A7"/>
    <w:rsid w:val="00F272CB"/>
    <w:rsid w:val="00F27327"/>
    <w:rsid w:val="00F2734D"/>
    <w:rsid w:val="00F27426"/>
    <w:rsid w:val="00F27490"/>
    <w:rsid w:val="00F274AB"/>
    <w:rsid w:val="00F2752B"/>
    <w:rsid w:val="00F27578"/>
    <w:rsid w:val="00F275AE"/>
    <w:rsid w:val="00F275E0"/>
    <w:rsid w:val="00F27600"/>
    <w:rsid w:val="00F27660"/>
    <w:rsid w:val="00F27698"/>
    <w:rsid w:val="00F276B2"/>
    <w:rsid w:val="00F276F1"/>
    <w:rsid w:val="00F2770B"/>
    <w:rsid w:val="00F27832"/>
    <w:rsid w:val="00F2783D"/>
    <w:rsid w:val="00F2785D"/>
    <w:rsid w:val="00F27863"/>
    <w:rsid w:val="00F2787D"/>
    <w:rsid w:val="00F278C5"/>
    <w:rsid w:val="00F27901"/>
    <w:rsid w:val="00F279AD"/>
    <w:rsid w:val="00F279B1"/>
    <w:rsid w:val="00F279EB"/>
    <w:rsid w:val="00F27A52"/>
    <w:rsid w:val="00F27ABC"/>
    <w:rsid w:val="00F27B79"/>
    <w:rsid w:val="00F27BA0"/>
    <w:rsid w:val="00F27BCF"/>
    <w:rsid w:val="00F27BEE"/>
    <w:rsid w:val="00F27C50"/>
    <w:rsid w:val="00F27C84"/>
    <w:rsid w:val="00F27D2F"/>
    <w:rsid w:val="00F27DBF"/>
    <w:rsid w:val="00F27DDA"/>
    <w:rsid w:val="00F27E1A"/>
    <w:rsid w:val="00F27E22"/>
    <w:rsid w:val="00F27E34"/>
    <w:rsid w:val="00F27EBD"/>
    <w:rsid w:val="00F27EE2"/>
    <w:rsid w:val="00F27EE7"/>
    <w:rsid w:val="00F27F12"/>
    <w:rsid w:val="00F27F1E"/>
    <w:rsid w:val="00F27F75"/>
    <w:rsid w:val="00F27F82"/>
    <w:rsid w:val="00F27F93"/>
    <w:rsid w:val="00F3003F"/>
    <w:rsid w:val="00F30074"/>
    <w:rsid w:val="00F300B4"/>
    <w:rsid w:val="00F300B7"/>
    <w:rsid w:val="00F30133"/>
    <w:rsid w:val="00F3018D"/>
    <w:rsid w:val="00F301CC"/>
    <w:rsid w:val="00F301D4"/>
    <w:rsid w:val="00F3029F"/>
    <w:rsid w:val="00F302BE"/>
    <w:rsid w:val="00F302CE"/>
    <w:rsid w:val="00F3036F"/>
    <w:rsid w:val="00F303D4"/>
    <w:rsid w:val="00F30429"/>
    <w:rsid w:val="00F30436"/>
    <w:rsid w:val="00F30450"/>
    <w:rsid w:val="00F30496"/>
    <w:rsid w:val="00F30562"/>
    <w:rsid w:val="00F305A4"/>
    <w:rsid w:val="00F305C8"/>
    <w:rsid w:val="00F306CA"/>
    <w:rsid w:val="00F307AA"/>
    <w:rsid w:val="00F3080D"/>
    <w:rsid w:val="00F3083F"/>
    <w:rsid w:val="00F30893"/>
    <w:rsid w:val="00F308A8"/>
    <w:rsid w:val="00F308AB"/>
    <w:rsid w:val="00F308D2"/>
    <w:rsid w:val="00F308F9"/>
    <w:rsid w:val="00F3094E"/>
    <w:rsid w:val="00F30978"/>
    <w:rsid w:val="00F3098F"/>
    <w:rsid w:val="00F3099F"/>
    <w:rsid w:val="00F309A5"/>
    <w:rsid w:val="00F30A42"/>
    <w:rsid w:val="00F30A43"/>
    <w:rsid w:val="00F30AD6"/>
    <w:rsid w:val="00F30B08"/>
    <w:rsid w:val="00F30B33"/>
    <w:rsid w:val="00F30B38"/>
    <w:rsid w:val="00F30B8B"/>
    <w:rsid w:val="00F30BD0"/>
    <w:rsid w:val="00F30BD2"/>
    <w:rsid w:val="00F30BF2"/>
    <w:rsid w:val="00F30C3C"/>
    <w:rsid w:val="00F30C41"/>
    <w:rsid w:val="00F30CCA"/>
    <w:rsid w:val="00F30CFC"/>
    <w:rsid w:val="00F30D37"/>
    <w:rsid w:val="00F30D54"/>
    <w:rsid w:val="00F30D81"/>
    <w:rsid w:val="00F30D9C"/>
    <w:rsid w:val="00F30E09"/>
    <w:rsid w:val="00F30E71"/>
    <w:rsid w:val="00F30EAE"/>
    <w:rsid w:val="00F30EFA"/>
    <w:rsid w:val="00F30F04"/>
    <w:rsid w:val="00F30F36"/>
    <w:rsid w:val="00F31052"/>
    <w:rsid w:val="00F3106E"/>
    <w:rsid w:val="00F31098"/>
    <w:rsid w:val="00F3109A"/>
    <w:rsid w:val="00F310A2"/>
    <w:rsid w:val="00F3110A"/>
    <w:rsid w:val="00F31158"/>
    <w:rsid w:val="00F311E9"/>
    <w:rsid w:val="00F31221"/>
    <w:rsid w:val="00F3124C"/>
    <w:rsid w:val="00F3128D"/>
    <w:rsid w:val="00F3137F"/>
    <w:rsid w:val="00F313E7"/>
    <w:rsid w:val="00F313F9"/>
    <w:rsid w:val="00F31422"/>
    <w:rsid w:val="00F31482"/>
    <w:rsid w:val="00F314A3"/>
    <w:rsid w:val="00F314E6"/>
    <w:rsid w:val="00F3152B"/>
    <w:rsid w:val="00F3163A"/>
    <w:rsid w:val="00F316DB"/>
    <w:rsid w:val="00F31702"/>
    <w:rsid w:val="00F3170A"/>
    <w:rsid w:val="00F31726"/>
    <w:rsid w:val="00F31778"/>
    <w:rsid w:val="00F31784"/>
    <w:rsid w:val="00F3178E"/>
    <w:rsid w:val="00F317D9"/>
    <w:rsid w:val="00F31826"/>
    <w:rsid w:val="00F31901"/>
    <w:rsid w:val="00F3190E"/>
    <w:rsid w:val="00F31927"/>
    <w:rsid w:val="00F3194B"/>
    <w:rsid w:val="00F3194F"/>
    <w:rsid w:val="00F31974"/>
    <w:rsid w:val="00F319DE"/>
    <w:rsid w:val="00F31A0B"/>
    <w:rsid w:val="00F31B11"/>
    <w:rsid w:val="00F31B24"/>
    <w:rsid w:val="00F31B34"/>
    <w:rsid w:val="00F31B3B"/>
    <w:rsid w:val="00F31B3F"/>
    <w:rsid w:val="00F31C27"/>
    <w:rsid w:val="00F31C31"/>
    <w:rsid w:val="00F31C3B"/>
    <w:rsid w:val="00F31C4E"/>
    <w:rsid w:val="00F31C79"/>
    <w:rsid w:val="00F31C90"/>
    <w:rsid w:val="00F31CF2"/>
    <w:rsid w:val="00F31CF4"/>
    <w:rsid w:val="00F31D37"/>
    <w:rsid w:val="00F31D56"/>
    <w:rsid w:val="00F31DB1"/>
    <w:rsid w:val="00F31DF9"/>
    <w:rsid w:val="00F31E80"/>
    <w:rsid w:val="00F31E88"/>
    <w:rsid w:val="00F31E99"/>
    <w:rsid w:val="00F31EC3"/>
    <w:rsid w:val="00F31EE9"/>
    <w:rsid w:val="00F31F2E"/>
    <w:rsid w:val="00F31F35"/>
    <w:rsid w:val="00F31F5B"/>
    <w:rsid w:val="00F31F71"/>
    <w:rsid w:val="00F31FBA"/>
    <w:rsid w:val="00F31FDE"/>
    <w:rsid w:val="00F32019"/>
    <w:rsid w:val="00F3207F"/>
    <w:rsid w:val="00F32089"/>
    <w:rsid w:val="00F321A2"/>
    <w:rsid w:val="00F32221"/>
    <w:rsid w:val="00F32242"/>
    <w:rsid w:val="00F32256"/>
    <w:rsid w:val="00F322AF"/>
    <w:rsid w:val="00F322B0"/>
    <w:rsid w:val="00F32319"/>
    <w:rsid w:val="00F3231C"/>
    <w:rsid w:val="00F32324"/>
    <w:rsid w:val="00F3233A"/>
    <w:rsid w:val="00F323DB"/>
    <w:rsid w:val="00F323F9"/>
    <w:rsid w:val="00F324CF"/>
    <w:rsid w:val="00F32536"/>
    <w:rsid w:val="00F3257F"/>
    <w:rsid w:val="00F32589"/>
    <w:rsid w:val="00F325C1"/>
    <w:rsid w:val="00F326E8"/>
    <w:rsid w:val="00F32771"/>
    <w:rsid w:val="00F32820"/>
    <w:rsid w:val="00F32838"/>
    <w:rsid w:val="00F32887"/>
    <w:rsid w:val="00F3288B"/>
    <w:rsid w:val="00F328B9"/>
    <w:rsid w:val="00F32906"/>
    <w:rsid w:val="00F3292D"/>
    <w:rsid w:val="00F32946"/>
    <w:rsid w:val="00F32960"/>
    <w:rsid w:val="00F32980"/>
    <w:rsid w:val="00F32A0A"/>
    <w:rsid w:val="00F32ABA"/>
    <w:rsid w:val="00F32B19"/>
    <w:rsid w:val="00F32B7A"/>
    <w:rsid w:val="00F32B80"/>
    <w:rsid w:val="00F32B9B"/>
    <w:rsid w:val="00F32C28"/>
    <w:rsid w:val="00F32C32"/>
    <w:rsid w:val="00F32C54"/>
    <w:rsid w:val="00F32CC9"/>
    <w:rsid w:val="00F32CDB"/>
    <w:rsid w:val="00F32D97"/>
    <w:rsid w:val="00F32DC0"/>
    <w:rsid w:val="00F32DDA"/>
    <w:rsid w:val="00F32DEA"/>
    <w:rsid w:val="00F32E41"/>
    <w:rsid w:val="00F32F19"/>
    <w:rsid w:val="00F32F64"/>
    <w:rsid w:val="00F32F71"/>
    <w:rsid w:val="00F32F75"/>
    <w:rsid w:val="00F32FB1"/>
    <w:rsid w:val="00F33004"/>
    <w:rsid w:val="00F33021"/>
    <w:rsid w:val="00F33041"/>
    <w:rsid w:val="00F33042"/>
    <w:rsid w:val="00F33086"/>
    <w:rsid w:val="00F33090"/>
    <w:rsid w:val="00F33098"/>
    <w:rsid w:val="00F33199"/>
    <w:rsid w:val="00F331BA"/>
    <w:rsid w:val="00F33295"/>
    <w:rsid w:val="00F332C2"/>
    <w:rsid w:val="00F3333F"/>
    <w:rsid w:val="00F33340"/>
    <w:rsid w:val="00F3335D"/>
    <w:rsid w:val="00F333B4"/>
    <w:rsid w:val="00F333DB"/>
    <w:rsid w:val="00F33410"/>
    <w:rsid w:val="00F33420"/>
    <w:rsid w:val="00F334DB"/>
    <w:rsid w:val="00F334DF"/>
    <w:rsid w:val="00F3356C"/>
    <w:rsid w:val="00F335B4"/>
    <w:rsid w:val="00F335D1"/>
    <w:rsid w:val="00F336A1"/>
    <w:rsid w:val="00F33703"/>
    <w:rsid w:val="00F3374E"/>
    <w:rsid w:val="00F33754"/>
    <w:rsid w:val="00F3378D"/>
    <w:rsid w:val="00F337FC"/>
    <w:rsid w:val="00F3383F"/>
    <w:rsid w:val="00F338A8"/>
    <w:rsid w:val="00F338F3"/>
    <w:rsid w:val="00F338FD"/>
    <w:rsid w:val="00F33911"/>
    <w:rsid w:val="00F3397B"/>
    <w:rsid w:val="00F339AE"/>
    <w:rsid w:val="00F339BB"/>
    <w:rsid w:val="00F339BE"/>
    <w:rsid w:val="00F33A3C"/>
    <w:rsid w:val="00F33A6F"/>
    <w:rsid w:val="00F33AA0"/>
    <w:rsid w:val="00F33AAD"/>
    <w:rsid w:val="00F33ACE"/>
    <w:rsid w:val="00F33AEE"/>
    <w:rsid w:val="00F33B40"/>
    <w:rsid w:val="00F33BC2"/>
    <w:rsid w:val="00F33BC5"/>
    <w:rsid w:val="00F33C76"/>
    <w:rsid w:val="00F33D07"/>
    <w:rsid w:val="00F33D0D"/>
    <w:rsid w:val="00F33DA8"/>
    <w:rsid w:val="00F33DAE"/>
    <w:rsid w:val="00F33E9F"/>
    <w:rsid w:val="00F33EB4"/>
    <w:rsid w:val="00F33F10"/>
    <w:rsid w:val="00F33F12"/>
    <w:rsid w:val="00F33F46"/>
    <w:rsid w:val="00F33FD2"/>
    <w:rsid w:val="00F3404C"/>
    <w:rsid w:val="00F3410A"/>
    <w:rsid w:val="00F34136"/>
    <w:rsid w:val="00F34162"/>
    <w:rsid w:val="00F3418A"/>
    <w:rsid w:val="00F341A4"/>
    <w:rsid w:val="00F341F3"/>
    <w:rsid w:val="00F34276"/>
    <w:rsid w:val="00F3427C"/>
    <w:rsid w:val="00F34298"/>
    <w:rsid w:val="00F342A9"/>
    <w:rsid w:val="00F34381"/>
    <w:rsid w:val="00F343AB"/>
    <w:rsid w:val="00F34443"/>
    <w:rsid w:val="00F34464"/>
    <w:rsid w:val="00F3448C"/>
    <w:rsid w:val="00F344C4"/>
    <w:rsid w:val="00F34500"/>
    <w:rsid w:val="00F34508"/>
    <w:rsid w:val="00F3452B"/>
    <w:rsid w:val="00F34531"/>
    <w:rsid w:val="00F34550"/>
    <w:rsid w:val="00F345C2"/>
    <w:rsid w:val="00F345FA"/>
    <w:rsid w:val="00F34687"/>
    <w:rsid w:val="00F346E9"/>
    <w:rsid w:val="00F347D8"/>
    <w:rsid w:val="00F34805"/>
    <w:rsid w:val="00F3485D"/>
    <w:rsid w:val="00F34862"/>
    <w:rsid w:val="00F3486A"/>
    <w:rsid w:val="00F348DB"/>
    <w:rsid w:val="00F34926"/>
    <w:rsid w:val="00F34987"/>
    <w:rsid w:val="00F349DE"/>
    <w:rsid w:val="00F349F3"/>
    <w:rsid w:val="00F34A50"/>
    <w:rsid w:val="00F34AA6"/>
    <w:rsid w:val="00F34ABE"/>
    <w:rsid w:val="00F34B58"/>
    <w:rsid w:val="00F34BBA"/>
    <w:rsid w:val="00F34BDE"/>
    <w:rsid w:val="00F34BED"/>
    <w:rsid w:val="00F34C1E"/>
    <w:rsid w:val="00F34D01"/>
    <w:rsid w:val="00F34D20"/>
    <w:rsid w:val="00F34D43"/>
    <w:rsid w:val="00F34EFB"/>
    <w:rsid w:val="00F34F30"/>
    <w:rsid w:val="00F34FB2"/>
    <w:rsid w:val="00F34FD4"/>
    <w:rsid w:val="00F3501E"/>
    <w:rsid w:val="00F35079"/>
    <w:rsid w:val="00F3508B"/>
    <w:rsid w:val="00F350A4"/>
    <w:rsid w:val="00F350B2"/>
    <w:rsid w:val="00F350B6"/>
    <w:rsid w:val="00F351BA"/>
    <w:rsid w:val="00F351CE"/>
    <w:rsid w:val="00F352DB"/>
    <w:rsid w:val="00F3531E"/>
    <w:rsid w:val="00F35391"/>
    <w:rsid w:val="00F35412"/>
    <w:rsid w:val="00F3547C"/>
    <w:rsid w:val="00F354D1"/>
    <w:rsid w:val="00F354E1"/>
    <w:rsid w:val="00F354FD"/>
    <w:rsid w:val="00F35500"/>
    <w:rsid w:val="00F35527"/>
    <w:rsid w:val="00F3552B"/>
    <w:rsid w:val="00F3556E"/>
    <w:rsid w:val="00F3557B"/>
    <w:rsid w:val="00F355A4"/>
    <w:rsid w:val="00F355C8"/>
    <w:rsid w:val="00F35661"/>
    <w:rsid w:val="00F35679"/>
    <w:rsid w:val="00F35683"/>
    <w:rsid w:val="00F35689"/>
    <w:rsid w:val="00F356A8"/>
    <w:rsid w:val="00F356C9"/>
    <w:rsid w:val="00F35743"/>
    <w:rsid w:val="00F35744"/>
    <w:rsid w:val="00F3577B"/>
    <w:rsid w:val="00F357DA"/>
    <w:rsid w:val="00F358AE"/>
    <w:rsid w:val="00F358C5"/>
    <w:rsid w:val="00F3590C"/>
    <w:rsid w:val="00F35923"/>
    <w:rsid w:val="00F35A0D"/>
    <w:rsid w:val="00F35A2D"/>
    <w:rsid w:val="00F35B0A"/>
    <w:rsid w:val="00F35B17"/>
    <w:rsid w:val="00F35B4E"/>
    <w:rsid w:val="00F35B63"/>
    <w:rsid w:val="00F35B9D"/>
    <w:rsid w:val="00F35BA7"/>
    <w:rsid w:val="00F35BD1"/>
    <w:rsid w:val="00F35C7E"/>
    <w:rsid w:val="00F35C91"/>
    <w:rsid w:val="00F35CAA"/>
    <w:rsid w:val="00F35CDB"/>
    <w:rsid w:val="00F35D82"/>
    <w:rsid w:val="00F35E9A"/>
    <w:rsid w:val="00F35F32"/>
    <w:rsid w:val="00F35F6A"/>
    <w:rsid w:val="00F35F73"/>
    <w:rsid w:val="00F35F81"/>
    <w:rsid w:val="00F35FB9"/>
    <w:rsid w:val="00F35FE0"/>
    <w:rsid w:val="00F3600B"/>
    <w:rsid w:val="00F3606D"/>
    <w:rsid w:val="00F3609F"/>
    <w:rsid w:val="00F360A1"/>
    <w:rsid w:val="00F360AD"/>
    <w:rsid w:val="00F360DD"/>
    <w:rsid w:val="00F36108"/>
    <w:rsid w:val="00F36120"/>
    <w:rsid w:val="00F361C5"/>
    <w:rsid w:val="00F361C8"/>
    <w:rsid w:val="00F3623E"/>
    <w:rsid w:val="00F36285"/>
    <w:rsid w:val="00F362A0"/>
    <w:rsid w:val="00F362B8"/>
    <w:rsid w:val="00F362E4"/>
    <w:rsid w:val="00F362F4"/>
    <w:rsid w:val="00F36351"/>
    <w:rsid w:val="00F363BE"/>
    <w:rsid w:val="00F363D5"/>
    <w:rsid w:val="00F36451"/>
    <w:rsid w:val="00F364BD"/>
    <w:rsid w:val="00F36565"/>
    <w:rsid w:val="00F365CB"/>
    <w:rsid w:val="00F365DE"/>
    <w:rsid w:val="00F3664C"/>
    <w:rsid w:val="00F36652"/>
    <w:rsid w:val="00F36661"/>
    <w:rsid w:val="00F3669B"/>
    <w:rsid w:val="00F366A0"/>
    <w:rsid w:val="00F366BF"/>
    <w:rsid w:val="00F366DE"/>
    <w:rsid w:val="00F36802"/>
    <w:rsid w:val="00F3683B"/>
    <w:rsid w:val="00F368FB"/>
    <w:rsid w:val="00F3692E"/>
    <w:rsid w:val="00F36945"/>
    <w:rsid w:val="00F369D1"/>
    <w:rsid w:val="00F369E3"/>
    <w:rsid w:val="00F36A20"/>
    <w:rsid w:val="00F36A53"/>
    <w:rsid w:val="00F36AA3"/>
    <w:rsid w:val="00F36AE6"/>
    <w:rsid w:val="00F36B2A"/>
    <w:rsid w:val="00F36B87"/>
    <w:rsid w:val="00F36B9E"/>
    <w:rsid w:val="00F36BFB"/>
    <w:rsid w:val="00F36C97"/>
    <w:rsid w:val="00F36CB0"/>
    <w:rsid w:val="00F36CD7"/>
    <w:rsid w:val="00F36D6F"/>
    <w:rsid w:val="00F36DD4"/>
    <w:rsid w:val="00F36DD8"/>
    <w:rsid w:val="00F36E4F"/>
    <w:rsid w:val="00F36EAF"/>
    <w:rsid w:val="00F36ECD"/>
    <w:rsid w:val="00F36ED6"/>
    <w:rsid w:val="00F36F36"/>
    <w:rsid w:val="00F37044"/>
    <w:rsid w:val="00F3706F"/>
    <w:rsid w:val="00F370D5"/>
    <w:rsid w:val="00F370E5"/>
    <w:rsid w:val="00F37157"/>
    <w:rsid w:val="00F371C0"/>
    <w:rsid w:val="00F371F2"/>
    <w:rsid w:val="00F3720B"/>
    <w:rsid w:val="00F372A8"/>
    <w:rsid w:val="00F3732D"/>
    <w:rsid w:val="00F37342"/>
    <w:rsid w:val="00F3735C"/>
    <w:rsid w:val="00F373A0"/>
    <w:rsid w:val="00F374E2"/>
    <w:rsid w:val="00F37554"/>
    <w:rsid w:val="00F3758B"/>
    <w:rsid w:val="00F375CC"/>
    <w:rsid w:val="00F375ED"/>
    <w:rsid w:val="00F375F6"/>
    <w:rsid w:val="00F3762D"/>
    <w:rsid w:val="00F37653"/>
    <w:rsid w:val="00F3766D"/>
    <w:rsid w:val="00F37689"/>
    <w:rsid w:val="00F376D3"/>
    <w:rsid w:val="00F37717"/>
    <w:rsid w:val="00F3773D"/>
    <w:rsid w:val="00F377C8"/>
    <w:rsid w:val="00F377DA"/>
    <w:rsid w:val="00F377ED"/>
    <w:rsid w:val="00F37807"/>
    <w:rsid w:val="00F37877"/>
    <w:rsid w:val="00F37896"/>
    <w:rsid w:val="00F378DD"/>
    <w:rsid w:val="00F3796A"/>
    <w:rsid w:val="00F37973"/>
    <w:rsid w:val="00F3799D"/>
    <w:rsid w:val="00F379C6"/>
    <w:rsid w:val="00F37A04"/>
    <w:rsid w:val="00F37A0C"/>
    <w:rsid w:val="00F37A0F"/>
    <w:rsid w:val="00F37A35"/>
    <w:rsid w:val="00F37A5E"/>
    <w:rsid w:val="00F37A82"/>
    <w:rsid w:val="00F37AE2"/>
    <w:rsid w:val="00F37B03"/>
    <w:rsid w:val="00F37B78"/>
    <w:rsid w:val="00F37B95"/>
    <w:rsid w:val="00F37C10"/>
    <w:rsid w:val="00F37C19"/>
    <w:rsid w:val="00F37C28"/>
    <w:rsid w:val="00F37C3E"/>
    <w:rsid w:val="00F37C4E"/>
    <w:rsid w:val="00F37CBF"/>
    <w:rsid w:val="00F37D00"/>
    <w:rsid w:val="00F37DA6"/>
    <w:rsid w:val="00F37DB7"/>
    <w:rsid w:val="00F37E10"/>
    <w:rsid w:val="00F37E12"/>
    <w:rsid w:val="00F37E15"/>
    <w:rsid w:val="00F37F73"/>
    <w:rsid w:val="00F37F98"/>
    <w:rsid w:val="00F37FD7"/>
    <w:rsid w:val="00F37FEF"/>
    <w:rsid w:val="00F40087"/>
    <w:rsid w:val="00F400FA"/>
    <w:rsid w:val="00F4013A"/>
    <w:rsid w:val="00F4016A"/>
    <w:rsid w:val="00F401C7"/>
    <w:rsid w:val="00F40266"/>
    <w:rsid w:val="00F40292"/>
    <w:rsid w:val="00F402B6"/>
    <w:rsid w:val="00F402FE"/>
    <w:rsid w:val="00F4036C"/>
    <w:rsid w:val="00F403A4"/>
    <w:rsid w:val="00F4041C"/>
    <w:rsid w:val="00F40452"/>
    <w:rsid w:val="00F4047A"/>
    <w:rsid w:val="00F40570"/>
    <w:rsid w:val="00F405B9"/>
    <w:rsid w:val="00F405BF"/>
    <w:rsid w:val="00F405C0"/>
    <w:rsid w:val="00F4062B"/>
    <w:rsid w:val="00F40638"/>
    <w:rsid w:val="00F40647"/>
    <w:rsid w:val="00F40655"/>
    <w:rsid w:val="00F406B2"/>
    <w:rsid w:val="00F406D5"/>
    <w:rsid w:val="00F406E6"/>
    <w:rsid w:val="00F407B1"/>
    <w:rsid w:val="00F408E1"/>
    <w:rsid w:val="00F409F9"/>
    <w:rsid w:val="00F40A3C"/>
    <w:rsid w:val="00F40A61"/>
    <w:rsid w:val="00F40AF8"/>
    <w:rsid w:val="00F40B1A"/>
    <w:rsid w:val="00F40B7B"/>
    <w:rsid w:val="00F40BBF"/>
    <w:rsid w:val="00F40C0B"/>
    <w:rsid w:val="00F40C87"/>
    <w:rsid w:val="00F40D05"/>
    <w:rsid w:val="00F40D36"/>
    <w:rsid w:val="00F40D4F"/>
    <w:rsid w:val="00F40D6D"/>
    <w:rsid w:val="00F40D9F"/>
    <w:rsid w:val="00F40DD3"/>
    <w:rsid w:val="00F40E05"/>
    <w:rsid w:val="00F40E49"/>
    <w:rsid w:val="00F40EDC"/>
    <w:rsid w:val="00F40F86"/>
    <w:rsid w:val="00F40F8E"/>
    <w:rsid w:val="00F40FBD"/>
    <w:rsid w:val="00F41009"/>
    <w:rsid w:val="00F41054"/>
    <w:rsid w:val="00F410D0"/>
    <w:rsid w:val="00F41114"/>
    <w:rsid w:val="00F41140"/>
    <w:rsid w:val="00F41157"/>
    <w:rsid w:val="00F41176"/>
    <w:rsid w:val="00F4117F"/>
    <w:rsid w:val="00F411F2"/>
    <w:rsid w:val="00F4125A"/>
    <w:rsid w:val="00F4128E"/>
    <w:rsid w:val="00F412DE"/>
    <w:rsid w:val="00F41333"/>
    <w:rsid w:val="00F4138E"/>
    <w:rsid w:val="00F413DB"/>
    <w:rsid w:val="00F413E7"/>
    <w:rsid w:val="00F41417"/>
    <w:rsid w:val="00F41443"/>
    <w:rsid w:val="00F41506"/>
    <w:rsid w:val="00F41556"/>
    <w:rsid w:val="00F4161B"/>
    <w:rsid w:val="00F41624"/>
    <w:rsid w:val="00F4168C"/>
    <w:rsid w:val="00F416E2"/>
    <w:rsid w:val="00F417BF"/>
    <w:rsid w:val="00F4182A"/>
    <w:rsid w:val="00F41890"/>
    <w:rsid w:val="00F4192F"/>
    <w:rsid w:val="00F41950"/>
    <w:rsid w:val="00F41A05"/>
    <w:rsid w:val="00F41A31"/>
    <w:rsid w:val="00F41A3E"/>
    <w:rsid w:val="00F41A54"/>
    <w:rsid w:val="00F41ABD"/>
    <w:rsid w:val="00F41B21"/>
    <w:rsid w:val="00F41B61"/>
    <w:rsid w:val="00F41B6E"/>
    <w:rsid w:val="00F41BC9"/>
    <w:rsid w:val="00F41C80"/>
    <w:rsid w:val="00F41C93"/>
    <w:rsid w:val="00F41CAD"/>
    <w:rsid w:val="00F41CB6"/>
    <w:rsid w:val="00F41D09"/>
    <w:rsid w:val="00F41D91"/>
    <w:rsid w:val="00F41EB5"/>
    <w:rsid w:val="00F41EEC"/>
    <w:rsid w:val="00F41EF0"/>
    <w:rsid w:val="00F41F4E"/>
    <w:rsid w:val="00F42026"/>
    <w:rsid w:val="00F42042"/>
    <w:rsid w:val="00F4207D"/>
    <w:rsid w:val="00F4208E"/>
    <w:rsid w:val="00F420EF"/>
    <w:rsid w:val="00F42155"/>
    <w:rsid w:val="00F42194"/>
    <w:rsid w:val="00F421CB"/>
    <w:rsid w:val="00F421E5"/>
    <w:rsid w:val="00F4224C"/>
    <w:rsid w:val="00F4226E"/>
    <w:rsid w:val="00F422BF"/>
    <w:rsid w:val="00F42304"/>
    <w:rsid w:val="00F42427"/>
    <w:rsid w:val="00F424ED"/>
    <w:rsid w:val="00F4254B"/>
    <w:rsid w:val="00F42582"/>
    <w:rsid w:val="00F425E2"/>
    <w:rsid w:val="00F425ED"/>
    <w:rsid w:val="00F425FC"/>
    <w:rsid w:val="00F426FE"/>
    <w:rsid w:val="00F427BB"/>
    <w:rsid w:val="00F427C5"/>
    <w:rsid w:val="00F42823"/>
    <w:rsid w:val="00F428A1"/>
    <w:rsid w:val="00F428AF"/>
    <w:rsid w:val="00F42917"/>
    <w:rsid w:val="00F42960"/>
    <w:rsid w:val="00F42977"/>
    <w:rsid w:val="00F42A0F"/>
    <w:rsid w:val="00F42A8A"/>
    <w:rsid w:val="00F42A92"/>
    <w:rsid w:val="00F42AA6"/>
    <w:rsid w:val="00F42AB8"/>
    <w:rsid w:val="00F42B19"/>
    <w:rsid w:val="00F42C28"/>
    <w:rsid w:val="00F42CBD"/>
    <w:rsid w:val="00F42CCB"/>
    <w:rsid w:val="00F42D4A"/>
    <w:rsid w:val="00F42D5A"/>
    <w:rsid w:val="00F42DB6"/>
    <w:rsid w:val="00F42E17"/>
    <w:rsid w:val="00F42E4B"/>
    <w:rsid w:val="00F42E4D"/>
    <w:rsid w:val="00F42E82"/>
    <w:rsid w:val="00F42EBB"/>
    <w:rsid w:val="00F42ECE"/>
    <w:rsid w:val="00F42EEA"/>
    <w:rsid w:val="00F42EFD"/>
    <w:rsid w:val="00F42F11"/>
    <w:rsid w:val="00F42F1F"/>
    <w:rsid w:val="00F4304F"/>
    <w:rsid w:val="00F43089"/>
    <w:rsid w:val="00F43152"/>
    <w:rsid w:val="00F4318E"/>
    <w:rsid w:val="00F4321B"/>
    <w:rsid w:val="00F4324A"/>
    <w:rsid w:val="00F43299"/>
    <w:rsid w:val="00F43300"/>
    <w:rsid w:val="00F43394"/>
    <w:rsid w:val="00F433AD"/>
    <w:rsid w:val="00F433B0"/>
    <w:rsid w:val="00F433B6"/>
    <w:rsid w:val="00F433C6"/>
    <w:rsid w:val="00F43425"/>
    <w:rsid w:val="00F4342F"/>
    <w:rsid w:val="00F43526"/>
    <w:rsid w:val="00F43582"/>
    <w:rsid w:val="00F4358E"/>
    <w:rsid w:val="00F4365B"/>
    <w:rsid w:val="00F437A4"/>
    <w:rsid w:val="00F437BF"/>
    <w:rsid w:val="00F437F2"/>
    <w:rsid w:val="00F437F9"/>
    <w:rsid w:val="00F43884"/>
    <w:rsid w:val="00F439AA"/>
    <w:rsid w:val="00F43A23"/>
    <w:rsid w:val="00F43A2A"/>
    <w:rsid w:val="00F43A64"/>
    <w:rsid w:val="00F43AA3"/>
    <w:rsid w:val="00F43AED"/>
    <w:rsid w:val="00F43B20"/>
    <w:rsid w:val="00F43BC6"/>
    <w:rsid w:val="00F43BDB"/>
    <w:rsid w:val="00F43C2A"/>
    <w:rsid w:val="00F43C64"/>
    <w:rsid w:val="00F43C77"/>
    <w:rsid w:val="00F43D33"/>
    <w:rsid w:val="00F43DBE"/>
    <w:rsid w:val="00F43E11"/>
    <w:rsid w:val="00F43E2F"/>
    <w:rsid w:val="00F43E85"/>
    <w:rsid w:val="00F43F14"/>
    <w:rsid w:val="00F43F4D"/>
    <w:rsid w:val="00F43F66"/>
    <w:rsid w:val="00F43F7B"/>
    <w:rsid w:val="00F43F8E"/>
    <w:rsid w:val="00F43FA9"/>
    <w:rsid w:val="00F44065"/>
    <w:rsid w:val="00F44069"/>
    <w:rsid w:val="00F440E0"/>
    <w:rsid w:val="00F440EA"/>
    <w:rsid w:val="00F44124"/>
    <w:rsid w:val="00F44162"/>
    <w:rsid w:val="00F44188"/>
    <w:rsid w:val="00F4426A"/>
    <w:rsid w:val="00F44270"/>
    <w:rsid w:val="00F44287"/>
    <w:rsid w:val="00F442AF"/>
    <w:rsid w:val="00F442B6"/>
    <w:rsid w:val="00F442BC"/>
    <w:rsid w:val="00F442FE"/>
    <w:rsid w:val="00F4434F"/>
    <w:rsid w:val="00F44397"/>
    <w:rsid w:val="00F443CF"/>
    <w:rsid w:val="00F443E2"/>
    <w:rsid w:val="00F443FD"/>
    <w:rsid w:val="00F44494"/>
    <w:rsid w:val="00F444BC"/>
    <w:rsid w:val="00F4458C"/>
    <w:rsid w:val="00F445C8"/>
    <w:rsid w:val="00F445DF"/>
    <w:rsid w:val="00F4463A"/>
    <w:rsid w:val="00F44642"/>
    <w:rsid w:val="00F446C8"/>
    <w:rsid w:val="00F446FD"/>
    <w:rsid w:val="00F4470F"/>
    <w:rsid w:val="00F44718"/>
    <w:rsid w:val="00F44791"/>
    <w:rsid w:val="00F447EA"/>
    <w:rsid w:val="00F447FE"/>
    <w:rsid w:val="00F44857"/>
    <w:rsid w:val="00F44881"/>
    <w:rsid w:val="00F4489B"/>
    <w:rsid w:val="00F448AF"/>
    <w:rsid w:val="00F448D2"/>
    <w:rsid w:val="00F44934"/>
    <w:rsid w:val="00F4495F"/>
    <w:rsid w:val="00F44986"/>
    <w:rsid w:val="00F449D0"/>
    <w:rsid w:val="00F44A3B"/>
    <w:rsid w:val="00F44A4A"/>
    <w:rsid w:val="00F44B25"/>
    <w:rsid w:val="00F44B64"/>
    <w:rsid w:val="00F44BE2"/>
    <w:rsid w:val="00F44C6F"/>
    <w:rsid w:val="00F44CDC"/>
    <w:rsid w:val="00F44D33"/>
    <w:rsid w:val="00F44E51"/>
    <w:rsid w:val="00F44EF7"/>
    <w:rsid w:val="00F44F05"/>
    <w:rsid w:val="00F44F70"/>
    <w:rsid w:val="00F44F89"/>
    <w:rsid w:val="00F44FEE"/>
    <w:rsid w:val="00F45028"/>
    <w:rsid w:val="00F450A8"/>
    <w:rsid w:val="00F45112"/>
    <w:rsid w:val="00F4511F"/>
    <w:rsid w:val="00F4513B"/>
    <w:rsid w:val="00F45186"/>
    <w:rsid w:val="00F451D1"/>
    <w:rsid w:val="00F45209"/>
    <w:rsid w:val="00F4528A"/>
    <w:rsid w:val="00F452B2"/>
    <w:rsid w:val="00F452F7"/>
    <w:rsid w:val="00F4534D"/>
    <w:rsid w:val="00F45379"/>
    <w:rsid w:val="00F453A3"/>
    <w:rsid w:val="00F45407"/>
    <w:rsid w:val="00F45425"/>
    <w:rsid w:val="00F45429"/>
    <w:rsid w:val="00F454B4"/>
    <w:rsid w:val="00F454DF"/>
    <w:rsid w:val="00F4552F"/>
    <w:rsid w:val="00F45536"/>
    <w:rsid w:val="00F45549"/>
    <w:rsid w:val="00F45558"/>
    <w:rsid w:val="00F45571"/>
    <w:rsid w:val="00F455A8"/>
    <w:rsid w:val="00F45609"/>
    <w:rsid w:val="00F4562F"/>
    <w:rsid w:val="00F45666"/>
    <w:rsid w:val="00F456C8"/>
    <w:rsid w:val="00F4573B"/>
    <w:rsid w:val="00F45740"/>
    <w:rsid w:val="00F457ED"/>
    <w:rsid w:val="00F458A4"/>
    <w:rsid w:val="00F458CD"/>
    <w:rsid w:val="00F45945"/>
    <w:rsid w:val="00F45978"/>
    <w:rsid w:val="00F459BC"/>
    <w:rsid w:val="00F459EE"/>
    <w:rsid w:val="00F45A19"/>
    <w:rsid w:val="00F45A69"/>
    <w:rsid w:val="00F45AB7"/>
    <w:rsid w:val="00F45B70"/>
    <w:rsid w:val="00F45C92"/>
    <w:rsid w:val="00F45CE2"/>
    <w:rsid w:val="00F45D04"/>
    <w:rsid w:val="00F45D27"/>
    <w:rsid w:val="00F45D43"/>
    <w:rsid w:val="00F45D50"/>
    <w:rsid w:val="00F45D8B"/>
    <w:rsid w:val="00F45DF4"/>
    <w:rsid w:val="00F45E2F"/>
    <w:rsid w:val="00F45E65"/>
    <w:rsid w:val="00F45F20"/>
    <w:rsid w:val="00F45F40"/>
    <w:rsid w:val="00F4601F"/>
    <w:rsid w:val="00F46071"/>
    <w:rsid w:val="00F46083"/>
    <w:rsid w:val="00F46108"/>
    <w:rsid w:val="00F4610B"/>
    <w:rsid w:val="00F46122"/>
    <w:rsid w:val="00F46125"/>
    <w:rsid w:val="00F4615D"/>
    <w:rsid w:val="00F46266"/>
    <w:rsid w:val="00F46271"/>
    <w:rsid w:val="00F462DB"/>
    <w:rsid w:val="00F46327"/>
    <w:rsid w:val="00F4633F"/>
    <w:rsid w:val="00F4634E"/>
    <w:rsid w:val="00F46392"/>
    <w:rsid w:val="00F4644D"/>
    <w:rsid w:val="00F46469"/>
    <w:rsid w:val="00F46492"/>
    <w:rsid w:val="00F4650D"/>
    <w:rsid w:val="00F46519"/>
    <w:rsid w:val="00F4654E"/>
    <w:rsid w:val="00F46567"/>
    <w:rsid w:val="00F46589"/>
    <w:rsid w:val="00F4659D"/>
    <w:rsid w:val="00F46609"/>
    <w:rsid w:val="00F4661A"/>
    <w:rsid w:val="00F4663F"/>
    <w:rsid w:val="00F466CF"/>
    <w:rsid w:val="00F467B0"/>
    <w:rsid w:val="00F46830"/>
    <w:rsid w:val="00F46870"/>
    <w:rsid w:val="00F46878"/>
    <w:rsid w:val="00F46924"/>
    <w:rsid w:val="00F4692D"/>
    <w:rsid w:val="00F4699B"/>
    <w:rsid w:val="00F469B9"/>
    <w:rsid w:val="00F469EB"/>
    <w:rsid w:val="00F469F0"/>
    <w:rsid w:val="00F46A50"/>
    <w:rsid w:val="00F46AE8"/>
    <w:rsid w:val="00F46AF6"/>
    <w:rsid w:val="00F46B21"/>
    <w:rsid w:val="00F46B2C"/>
    <w:rsid w:val="00F46B37"/>
    <w:rsid w:val="00F46BC0"/>
    <w:rsid w:val="00F46C09"/>
    <w:rsid w:val="00F46C7D"/>
    <w:rsid w:val="00F46CC1"/>
    <w:rsid w:val="00F46D09"/>
    <w:rsid w:val="00F46D1B"/>
    <w:rsid w:val="00F46DDE"/>
    <w:rsid w:val="00F46E12"/>
    <w:rsid w:val="00F46E2C"/>
    <w:rsid w:val="00F46E2F"/>
    <w:rsid w:val="00F46E79"/>
    <w:rsid w:val="00F46E98"/>
    <w:rsid w:val="00F46F02"/>
    <w:rsid w:val="00F46F28"/>
    <w:rsid w:val="00F46F50"/>
    <w:rsid w:val="00F470A8"/>
    <w:rsid w:val="00F470C4"/>
    <w:rsid w:val="00F470CA"/>
    <w:rsid w:val="00F470D4"/>
    <w:rsid w:val="00F47185"/>
    <w:rsid w:val="00F47196"/>
    <w:rsid w:val="00F4721C"/>
    <w:rsid w:val="00F472F3"/>
    <w:rsid w:val="00F47385"/>
    <w:rsid w:val="00F473B2"/>
    <w:rsid w:val="00F473E5"/>
    <w:rsid w:val="00F47409"/>
    <w:rsid w:val="00F4742D"/>
    <w:rsid w:val="00F4742E"/>
    <w:rsid w:val="00F47569"/>
    <w:rsid w:val="00F47585"/>
    <w:rsid w:val="00F475BD"/>
    <w:rsid w:val="00F475BF"/>
    <w:rsid w:val="00F4760F"/>
    <w:rsid w:val="00F47636"/>
    <w:rsid w:val="00F47638"/>
    <w:rsid w:val="00F476B7"/>
    <w:rsid w:val="00F476DB"/>
    <w:rsid w:val="00F47720"/>
    <w:rsid w:val="00F47756"/>
    <w:rsid w:val="00F4776B"/>
    <w:rsid w:val="00F47814"/>
    <w:rsid w:val="00F47818"/>
    <w:rsid w:val="00F478F6"/>
    <w:rsid w:val="00F478F7"/>
    <w:rsid w:val="00F47916"/>
    <w:rsid w:val="00F479AA"/>
    <w:rsid w:val="00F479B3"/>
    <w:rsid w:val="00F47A41"/>
    <w:rsid w:val="00F47A87"/>
    <w:rsid w:val="00F47ACE"/>
    <w:rsid w:val="00F47AF1"/>
    <w:rsid w:val="00F47B7B"/>
    <w:rsid w:val="00F47B83"/>
    <w:rsid w:val="00F47BD0"/>
    <w:rsid w:val="00F47BEB"/>
    <w:rsid w:val="00F47C37"/>
    <w:rsid w:val="00F47D9C"/>
    <w:rsid w:val="00F47E02"/>
    <w:rsid w:val="00F47E24"/>
    <w:rsid w:val="00F47E95"/>
    <w:rsid w:val="00F47EA2"/>
    <w:rsid w:val="00F47ECD"/>
    <w:rsid w:val="00F47EDC"/>
    <w:rsid w:val="00F47F0F"/>
    <w:rsid w:val="00F47F3B"/>
    <w:rsid w:val="00F47F3F"/>
    <w:rsid w:val="00F47F83"/>
    <w:rsid w:val="00F47F8E"/>
    <w:rsid w:val="00F47FB8"/>
    <w:rsid w:val="00F47FC9"/>
    <w:rsid w:val="00F47FF2"/>
    <w:rsid w:val="00F50007"/>
    <w:rsid w:val="00F5002D"/>
    <w:rsid w:val="00F50151"/>
    <w:rsid w:val="00F50163"/>
    <w:rsid w:val="00F50180"/>
    <w:rsid w:val="00F50242"/>
    <w:rsid w:val="00F50258"/>
    <w:rsid w:val="00F50292"/>
    <w:rsid w:val="00F502F3"/>
    <w:rsid w:val="00F5031A"/>
    <w:rsid w:val="00F50323"/>
    <w:rsid w:val="00F50327"/>
    <w:rsid w:val="00F50332"/>
    <w:rsid w:val="00F50369"/>
    <w:rsid w:val="00F503EF"/>
    <w:rsid w:val="00F50411"/>
    <w:rsid w:val="00F50418"/>
    <w:rsid w:val="00F504A1"/>
    <w:rsid w:val="00F5051A"/>
    <w:rsid w:val="00F50532"/>
    <w:rsid w:val="00F505BE"/>
    <w:rsid w:val="00F505EC"/>
    <w:rsid w:val="00F5064C"/>
    <w:rsid w:val="00F5068F"/>
    <w:rsid w:val="00F506D2"/>
    <w:rsid w:val="00F5071F"/>
    <w:rsid w:val="00F50779"/>
    <w:rsid w:val="00F507F9"/>
    <w:rsid w:val="00F50807"/>
    <w:rsid w:val="00F5096E"/>
    <w:rsid w:val="00F509A8"/>
    <w:rsid w:val="00F509E5"/>
    <w:rsid w:val="00F50A27"/>
    <w:rsid w:val="00F50B0B"/>
    <w:rsid w:val="00F50B75"/>
    <w:rsid w:val="00F50B92"/>
    <w:rsid w:val="00F50C51"/>
    <w:rsid w:val="00F50C93"/>
    <w:rsid w:val="00F50CF1"/>
    <w:rsid w:val="00F50D61"/>
    <w:rsid w:val="00F50DE9"/>
    <w:rsid w:val="00F50DF2"/>
    <w:rsid w:val="00F50E57"/>
    <w:rsid w:val="00F50E59"/>
    <w:rsid w:val="00F50E79"/>
    <w:rsid w:val="00F50EA8"/>
    <w:rsid w:val="00F50F94"/>
    <w:rsid w:val="00F50FA5"/>
    <w:rsid w:val="00F51050"/>
    <w:rsid w:val="00F51054"/>
    <w:rsid w:val="00F51073"/>
    <w:rsid w:val="00F51074"/>
    <w:rsid w:val="00F510DC"/>
    <w:rsid w:val="00F511C3"/>
    <w:rsid w:val="00F511C5"/>
    <w:rsid w:val="00F51201"/>
    <w:rsid w:val="00F51244"/>
    <w:rsid w:val="00F5124D"/>
    <w:rsid w:val="00F512B8"/>
    <w:rsid w:val="00F51376"/>
    <w:rsid w:val="00F51432"/>
    <w:rsid w:val="00F51438"/>
    <w:rsid w:val="00F5145C"/>
    <w:rsid w:val="00F5145F"/>
    <w:rsid w:val="00F51487"/>
    <w:rsid w:val="00F514BD"/>
    <w:rsid w:val="00F514CD"/>
    <w:rsid w:val="00F51566"/>
    <w:rsid w:val="00F5166D"/>
    <w:rsid w:val="00F516EF"/>
    <w:rsid w:val="00F5176C"/>
    <w:rsid w:val="00F517DA"/>
    <w:rsid w:val="00F51848"/>
    <w:rsid w:val="00F51885"/>
    <w:rsid w:val="00F518CE"/>
    <w:rsid w:val="00F5190C"/>
    <w:rsid w:val="00F51956"/>
    <w:rsid w:val="00F519AD"/>
    <w:rsid w:val="00F519DA"/>
    <w:rsid w:val="00F519F7"/>
    <w:rsid w:val="00F51A03"/>
    <w:rsid w:val="00F51A2C"/>
    <w:rsid w:val="00F51AD1"/>
    <w:rsid w:val="00F51BBF"/>
    <w:rsid w:val="00F51BFB"/>
    <w:rsid w:val="00F51C07"/>
    <w:rsid w:val="00F51C15"/>
    <w:rsid w:val="00F51C9C"/>
    <w:rsid w:val="00F51CA5"/>
    <w:rsid w:val="00F51CA6"/>
    <w:rsid w:val="00F51CB8"/>
    <w:rsid w:val="00F51D1A"/>
    <w:rsid w:val="00F51D30"/>
    <w:rsid w:val="00F51D92"/>
    <w:rsid w:val="00F51D9E"/>
    <w:rsid w:val="00F51DBA"/>
    <w:rsid w:val="00F51E95"/>
    <w:rsid w:val="00F51EC0"/>
    <w:rsid w:val="00F51EC2"/>
    <w:rsid w:val="00F51ED3"/>
    <w:rsid w:val="00F51F67"/>
    <w:rsid w:val="00F51F6B"/>
    <w:rsid w:val="00F51F9B"/>
    <w:rsid w:val="00F51FAA"/>
    <w:rsid w:val="00F51FC5"/>
    <w:rsid w:val="00F51FF7"/>
    <w:rsid w:val="00F52024"/>
    <w:rsid w:val="00F52038"/>
    <w:rsid w:val="00F5210B"/>
    <w:rsid w:val="00F5213D"/>
    <w:rsid w:val="00F52170"/>
    <w:rsid w:val="00F5219D"/>
    <w:rsid w:val="00F521C6"/>
    <w:rsid w:val="00F521E6"/>
    <w:rsid w:val="00F52214"/>
    <w:rsid w:val="00F52267"/>
    <w:rsid w:val="00F522E1"/>
    <w:rsid w:val="00F52343"/>
    <w:rsid w:val="00F52356"/>
    <w:rsid w:val="00F523CD"/>
    <w:rsid w:val="00F523F0"/>
    <w:rsid w:val="00F52403"/>
    <w:rsid w:val="00F52431"/>
    <w:rsid w:val="00F524E9"/>
    <w:rsid w:val="00F52544"/>
    <w:rsid w:val="00F525C1"/>
    <w:rsid w:val="00F52675"/>
    <w:rsid w:val="00F5267A"/>
    <w:rsid w:val="00F526B8"/>
    <w:rsid w:val="00F526C4"/>
    <w:rsid w:val="00F5276F"/>
    <w:rsid w:val="00F527C2"/>
    <w:rsid w:val="00F527C4"/>
    <w:rsid w:val="00F5280D"/>
    <w:rsid w:val="00F52832"/>
    <w:rsid w:val="00F528B3"/>
    <w:rsid w:val="00F528C9"/>
    <w:rsid w:val="00F528D4"/>
    <w:rsid w:val="00F52947"/>
    <w:rsid w:val="00F52976"/>
    <w:rsid w:val="00F529FA"/>
    <w:rsid w:val="00F52A7D"/>
    <w:rsid w:val="00F52B22"/>
    <w:rsid w:val="00F52BE4"/>
    <w:rsid w:val="00F52BE9"/>
    <w:rsid w:val="00F52C10"/>
    <w:rsid w:val="00F52C33"/>
    <w:rsid w:val="00F52C5B"/>
    <w:rsid w:val="00F52C74"/>
    <w:rsid w:val="00F52C7A"/>
    <w:rsid w:val="00F52CB1"/>
    <w:rsid w:val="00F52CB3"/>
    <w:rsid w:val="00F52CF0"/>
    <w:rsid w:val="00F52D46"/>
    <w:rsid w:val="00F52D57"/>
    <w:rsid w:val="00F52DB3"/>
    <w:rsid w:val="00F52DE8"/>
    <w:rsid w:val="00F52E07"/>
    <w:rsid w:val="00F52EE7"/>
    <w:rsid w:val="00F52F3F"/>
    <w:rsid w:val="00F53015"/>
    <w:rsid w:val="00F53023"/>
    <w:rsid w:val="00F53061"/>
    <w:rsid w:val="00F53082"/>
    <w:rsid w:val="00F5308A"/>
    <w:rsid w:val="00F53090"/>
    <w:rsid w:val="00F530D1"/>
    <w:rsid w:val="00F530E8"/>
    <w:rsid w:val="00F530FE"/>
    <w:rsid w:val="00F5313C"/>
    <w:rsid w:val="00F5313D"/>
    <w:rsid w:val="00F53176"/>
    <w:rsid w:val="00F5317A"/>
    <w:rsid w:val="00F531AF"/>
    <w:rsid w:val="00F53215"/>
    <w:rsid w:val="00F5324E"/>
    <w:rsid w:val="00F5326A"/>
    <w:rsid w:val="00F5327E"/>
    <w:rsid w:val="00F53290"/>
    <w:rsid w:val="00F5329F"/>
    <w:rsid w:val="00F532DC"/>
    <w:rsid w:val="00F532F2"/>
    <w:rsid w:val="00F53323"/>
    <w:rsid w:val="00F53325"/>
    <w:rsid w:val="00F5333E"/>
    <w:rsid w:val="00F5334D"/>
    <w:rsid w:val="00F533D4"/>
    <w:rsid w:val="00F534A8"/>
    <w:rsid w:val="00F534AD"/>
    <w:rsid w:val="00F534B5"/>
    <w:rsid w:val="00F53523"/>
    <w:rsid w:val="00F5357B"/>
    <w:rsid w:val="00F535AE"/>
    <w:rsid w:val="00F5369F"/>
    <w:rsid w:val="00F5375E"/>
    <w:rsid w:val="00F5376B"/>
    <w:rsid w:val="00F537D8"/>
    <w:rsid w:val="00F53880"/>
    <w:rsid w:val="00F5394C"/>
    <w:rsid w:val="00F53977"/>
    <w:rsid w:val="00F539B6"/>
    <w:rsid w:val="00F539DA"/>
    <w:rsid w:val="00F53A02"/>
    <w:rsid w:val="00F53AA7"/>
    <w:rsid w:val="00F53B89"/>
    <w:rsid w:val="00F53B8B"/>
    <w:rsid w:val="00F53BD2"/>
    <w:rsid w:val="00F53C32"/>
    <w:rsid w:val="00F53C4C"/>
    <w:rsid w:val="00F53C63"/>
    <w:rsid w:val="00F53CE6"/>
    <w:rsid w:val="00F53D03"/>
    <w:rsid w:val="00F53DE2"/>
    <w:rsid w:val="00F53EC6"/>
    <w:rsid w:val="00F53EDE"/>
    <w:rsid w:val="00F53F83"/>
    <w:rsid w:val="00F53F99"/>
    <w:rsid w:val="00F53FAB"/>
    <w:rsid w:val="00F53FBC"/>
    <w:rsid w:val="00F53FFC"/>
    <w:rsid w:val="00F54062"/>
    <w:rsid w:val="00F54078"/>
    <w:rsid w:val="00F5413A"/>
    <w:rsid w:val="00F54160"/>
    <w:rsid w:val="00F54165"/>
    <w:rsid w:val="00F54184"/>
    <w:rsid w:val="00F54245"/>
    <w:rsid w:val="00F54248"/>
    <w:rsid w:val="00F54290"/>
    <w:rsid w:val="00F54293"/>
    <w:rsid w:val="00F542DA"/>
    <w:rsid w:val="00F542DD"/>
    <w:rsid w:val="00F54364"/>
    <w:rsid w:val="00F54400"/>
    <w:rsid w:val="00F54477"/>
    <w:rsid w:val="00F5454F"/>
    <w:rsid w:val="00F545A4"/>
    <w:rsid w:val="00F545CB"/>
    <w:rsid w:val="00F545E3"/>
    <w:rsid w:val="00F5463C"/>
    <w:rsid w:val="00F547C2"/>
    <w:rsid w:val="00F54833"/>
    <w:rsid w:val="00F54861"/>
    <w:rsid w:val="00F54889"/>
    <w:rsid w:val="00F548A6"/>
    <w:rsid w:val="00F549E9"/>
    <w:rsid w:val="00F54A81"/>
    <w:rsid w:val="00F54ACB"/>
    <w:rsid w:val="00F54B34"/>
    <w:rsid w:val="00F54BB3"/>
    <w:rsid w:val="00F54CAE"/>
    <w:rsid w:val="00F54CF5"/>
    <w:rsid w:val="00F54CF6"/>
    <w:rsid w:val="00F54D3E"/>
    <w:rsid w:val="00F54D6E"/>
    <w:rsid w:val="00F54D95"/>
    <w:rsid w:val="00F54D99"/>
    <w:rsid w:val="00F54DBD"/>
    <w:rsid w:val="00F54E0F"/>
    <w:rsid w:val="00F54E34"/>
    <w:rsid w:val="00F54E6F"/>
    <w:rsid w:val="00F54F15"/>
    <w:rsid w:val="00F54F35"/>
    <w:rsid w:val="00F54FD5"/>
    <w:rsid w:val="00F54FF8"/>
    <w:rsid w:val="00F55006"/>
    <w:rsid w:val="00F55027"/>
    <w:rsid w:val="00F55064"/>
    <w:rsid w:val="00F55087"/>
    <w:rsid w:val="00F550DD"/>
    <w:rsid w:val="00F5512F"/>
    <w:rsid w:val="00F55141"/>
    <w:rsid w:val="00F55163"/>
    <w:rsid w:val="00F5516B"/>
    <w:rsid w:val="00F551A3"/>
    <w:rsid w:val="00F55215"/>
    <w:rsid w:val="00F55251"/>
    <w:rsid w:val="00F55254"/>
    <w:rsid w:val="00F552A8"/>
    <w:rsid w:val="00F552D1"/>
    <w:rsid w:val="00F55348"/>
    <w:rsid w:val="00F55354"/>
    <w:rsid w:val="00F55375"/>
    <w:rsid w:val="00F553D7"/>
    <w:rsid w:val="00F553F6"/>
    <w:rsid w:val="00F5544C"/>
    <w:rsid w:val="00F55497"/>
    <w:rsid w:val="00F554C6"/>
    <w:rsid w:val="00F5550B"/>
    <w:rsid w:val="00F5553E"/>
    <w:rsid w:val="00F55548"/>
    <w:rsid w:val="00F555A0"/>
    <w:rsid w:val="00F55611"/>
    <w:rsid w:val="00F55625"/>
    <w:rsid w:val="00F5564F"/>
    <w:rsid w:val="00F556B5"/>
    <w:rsid w:val="00F556C9"/>
    <w:rsid w:val="00F5570D"/>
    <w:rsid w:val="00F55733"/>
    <w:rsid w:val="00F557A1"/>
    <w:rsid w:val="00F5580C"/>
    <w:rsid w:val="00F55876"/>
    <w:rsid w:val="00F558A5"/>
    <w:rsid w:val="00F558B7"/>
    <w:rsid w:val="00F55941"/>
    <w:rsid w:val="00F55961"/>
    <w:rsid w:val="00F559B8"/>
    <w:rsid w:val="00F559E2"/>
    <w:rsid w:val="00F55A39"/>
    <w:rsid w:val="00F55A8A"/>
    <w:rsid w:val="00F55AA9"/>
    <w:rsid w:val="00F55ABB"/>
    <w:rsid w:val="00F55AF1"/>
    <w:rsid w:val="00F55B2B"/>
    <w:rsid w:val="00F55B2D"/>
    <w:rsid w:val="00F55B30"/>
    <w:rsid w:val="00F55BBC"/>
    <w:rsid w:val="00F55C17"/>
    <w:rsid w:val="00F55C94"/>
    <w:rsid w:val="00F55C9D"/>
    <w:rsid w:val="00F55CAE"/>
    <w:rsid w:val="00F55D0D"/>
    <w:rsid w:val="00F55D21"/>
    <w:rsid w:val="00F55DA3"/>
    <w:rsid w:val="00F55DCE"/>
    <w:rsid w:val="00F55E83"/>
    <w:rsid w:val="00F55EBE"/>
    <w:rsid w:val="00F55F2A"/>
    <w:rsid w:val="00F55FA6"/>
    <w:rsid w:val="00F55FCA"/>
    <w:rsid w:val="00F56011"/>
    <w:rsid w:val="00F56013"/>
    <w:rsid w:val="00F56021"/>
    <w:rsid w:val="00F5603D"/>
    <w:rsid w:val="00F5604C"/>
    <w:rsid w:val="00F560D7"/>
    <w:rsid w:val="00F560D9"/>
    <w:rsid w:val="00F56110"/>
    <w:rsid w:val="00F56112"/>
    <w:rsid w:val="00F561FF"/>
    <w:rsid w:val="00F562C4"/>
    <w:rsid w:val="00F562D1"/>
    <w:rsid w:val="00F5633A"/>
    <w:rsid w:val="00F56383"/>
    <w:rsid w:val="00F563B7"/>
    <w:rsid w:val="00F563BB"/>
    <w:rsid w:val="00F563D6"/>
    <w:rsid w:val="00F5641E"/>
    <w:rsid w:val="00F564A3"/>
    <w:rsid w:val="00F564F6"/>
    <w:rsid w:val="00F56564"/>
    <w:rsid w:val="00F56574"/>
    <w:rsid w:val="00F565A2"/>
    <w:rsid w:val="00F565F8"/>
    <w:rsid w:val="00F5660A"/>
    <w:rsid w:val="00F56610"/>
    <w:rsid w:val="00F5662E"/>
    <w:rsid w:val="00F566C1"/>
    <w:rsid w:val="00F56710"/>
    <w:rsid w:val="00F5675C"/>
    <w:rsid w:val="00F568D5"/>
    <w:rsid w:val="00F56965"/>
    <w:rsid w:val="00F5697F"/>
    <w:rsid w:val="00F56A08"/>
    <w:rsid w:val="00F56A2F"/>
    <w:rsid w:val="00F56AC7"/>
    <w:rsid w:val="00F56B0E"/>
    <w:rsid w:val="00F56B3E"/>
    <w:rsid w:val="00F56B46"/>
    <w:rsid w:val="00F56B5E"/>
    <w:rsid w:val="00F56BFF"/>
    <w:rsid w:val="00F56C8C"/>
    <w:rsid w:val="00F56CA6"/>
    <w:rsid w:val="00F56CE3"/>
    <w:rsid w:val="00F56DEE"/>
    <w:rsid w:val="00F56DF8"/>
    <w:rsid w:val="00F56E15"/>
    <w:rsid w:val="00F56E1C"/>
    <w:rsid w:val="00F56E5A"/>
    <w:rsid w:val="00F56EA3"/>
    <w:rsid w:val="00F56F8F"/>
    <w:rsid w:val="00F56FBF"/>
    <w:rsid w:val="00F57035"/>
    <w:rsid w:val="00F5704C"/>
    <w:rsid w:val="00F570D6"/>
    <w:rsid w:val="00F570E4"/>
    <w:rsid w:val="00F570F4"/>
    <w:rsid w:val="00F57189"/>
    <w:rsid w:val="00F5719B"/>
    <w:rsid w:val="00F571A9"/>
    <w:rsid w:val="00F571FA"/>
    <w:rsid w:val="00F5720D"/>
    <w:rsid w:val="00F5722B"/>
    <w:rsid w:val="00F57231"/>
    <w:rsid w:val="00F57243"/>
    <w:rsid w:val="00F572D5"/>
    <w:rsid w:val="00F57304"/>
    <w:rsid w:val="00F5731D"/>
    <w:rsid w:val="00F57335"/>
    <w:rsid w:val="00F5739A"/>
    <w:rsid w:val="00F57427"/>
    <w:rsid w:val="00F5743B"/>
    <w:rsid w:val="00F57442"/>
    <w:rsid w:val="00F5747B"/>
    <w:rsid w:val="00F574B9"/>
    <w:rsid w:val="00F57574"/>
    <w:rsid w:val="00F57597"/>
    <w:rsid w:val="00F576A5"/>
    <w:rsid w:val="00F576F8"/>
    <w:rsid w:val="00F57704"/>
    <w:rsid w:val="00F57711"/>
    <w:rsid w:val="00F57867"/>
    <w:rsid w:val="00F57874"/>
    <w:rsid w:val="00F578DF"/>
    <w:rsid w:val="00F578E1"/>
    <w:rsid w:val="00F5794A"/>
    <w:rsid w:val="00F57985"/>
    <w:rsid w:val="00F579A0"/>
    <w:rsid w:val="00F579E1"/>
    <w:rsid w:val="00F57A16"/>
    <w:rsid w:val="00F57AB9"/>
    <w:rsid w:val="00F57AEE"/>
    <w:rsid w:val="00F57AF7"/>
    <w:rsid w:val="00F57B1A"/>
    <w:rsid w:val="00F57B3B"/>
    <w:rsid w:val="00F57B68"/>
    <w:rsid w:val="00F57BAA"/>
    <w:rsid w:val="00F57BF0"/>
    <w:rsid w:val="00F57C01"/>
    <w:rsid w:val="00F57C10"/>
    <w:rsid w:val="00F57C33"/>
    <w:rsid w:val="00F57C68"/>
    <w:rsid w:val="00F57CB2"/>
    <w:rsid w:val="00F57CCF"/>
    <w:rsid w:val="00F57D46"/>
    <w:rsid w:val="00F57D7F"/>
    <w:rsid w:val="00F57DCF"/>
    <w:rsid w:val="00F57E19"/>
    <w:rsid w:val="00F57E31"/>
    <w:rsid w:val="00F57E33"/>
    <w:rsid w:val="00F57E49"/>
    <w:rsid w:val="00F57F16"/>
    <w:rsid w:val="00F57FD3"/>
    <w:rsid w:val="00F57FF7"/>
    <w:rsid w:val="00F57FFE"/>
    <w:rsid w:val="00F60000"/>
    <w:rsid w:val="00F6000A"/>
    <w:rsid w:val="00F60046"/>
    <w:rsid w:val="00F60069"/>
    <w:rsid w:val="00F60079"/>
    <w:rsid w:val="00F600DC"/>
    <w:rsid w:val="00F600EB"/>
    <w:rsid w:val="00F60100"/>
    <w:rsid w:val="00F60146"/>
    <w:rsid w:val="00F6017C"/>
    <w:rsid w:val="00F60187"/>
    <w:rsid w:val="00F60189"/>
    <w:rsid w:val="00F60197"/>
    <w:rsid w:val="00F601F5"/>
    <w:rsid w:val="00F60202"/>
    <w:rsid w:val="00F6021A"/>
    <w:rsid w:val="00F6023A"/>
    <w:rsid w:val="00F602AE"/>
    <w:rsid w:val="00F602F8"/>
    <w:rsid w:val="00F60335"/>
    <w:rsid w:val="00F60359"/>
    <w:rsid w:val="00F6037A"/>
    <w:rsid w:val="00F603AC"/>
    <w:rsid w:val="00F603E2"/>
    <w:rsid w:val="00F60494"/>
    <w:rsid w:val="00F60517"/>
    <w:rsid w:val="00F6059D"/>
    <w:rsid w:val="00F605AD"/>
    <w:rsid w:val="00F605C1"/>
    <w:rsid w:val="00F60609"/>
    <w:rsid w:val="00F6064B"/>
    <w:rsid w:val="00F60682"/>
    <w:rsid w:val="00F6069E"/>
    <w:rsid w:val="00F60729"/>
    <w:rsid w:val="00F6078A"/>
    <w:rsid w:val="00F6081C"/>
    <w:rsid w:val="00F608AF"/>
    <w:rsid w:val="00F6090D"/>
    <w:rsid w:val="00F60913"/>
    <w:rsid w:val="00F60978"/>
    <w:rsid w:val="00F60A29"/>
    <w:rsid w:val="00F60A34"/>
    <w:rsid w:val="00F60A5D"/>
    <w:rsid w:val="00F60A74"/>
    <w:rsid w:val="00F60AA3"/>
    <w:rsid w:val="00F60B0C"/>
    <w:rsid w:val="00F60C0E"/>
    <w:rsid w:val="00F60C8D"/>
    <w:rsid w:val="00F60C96"/>
    <w:rsid w:val="00F60C9A"/>
    <w:rsid w:val="00F60CAB"/>
    <w:rsid w:val="00F60CBA"/>
    <w:rsid w:val="00F60DAF"/>
    <w:rsid w:val="00F60DCF"/>
    <w:rsid w:val="00F60E55"/>
    <w:rsid w:val="00F60E62"/>
    <w:rsid w:val="00F60F5A"/>
    <w:rsid w:val="00F60FC7"/>
    <w:rsid w:val="00F61063"/>
    <w:rsid w:val="00F6107B"/>
    <w:rsid w:val="00F610A3"/>
    <w:rsid w:val="00F610FC"/>
    <w:rsid w:val="00F6111B"/>
    <w:rsid w:val="00F61134"/>
    <w:rsid w:val="00F6117C"/>
    <w:rsid w:val="00F611D8"/>
    <w:rsid w:val="00F6124B"/>
    <w:rsid w:val="00F612DA"/>
    <w:rsid w:val="00F61306"/>
    <w:rsid w:val="00F61339"/>
    <w:rsid w:val="00F61369"/>
    <w:rsid w:val="00F613AE"/>
    <w:rsid w:val="00F613B1"/>
    <w:rsid w:val="00F61410"/>
    <w:rsid w:val="00F614B3"/>
    <w:rsid w:val="00F614F6"/>
    <w:rsid w:val="00F6150D"/>
    <w:rsid w:val="00F615F3"/>
    <w:rsid w:val="00F61685"/>
    <w:rsid w:val="00F6168A"/>
    <w:rsid w:val="00F616B5"/>
    <w:rsid w:val="00F616C6"/>
    <w:rsid w:val="00F61793"/>
    <w:rsid w:val="00F617D9"/>
    <w:rsid w:val="00F6180B"/>
    <w:rsid w:val="00F61863"/>
    <w:rsid w:val="00F618A1"/>
    <w:rsid w:val="00F61912"/>
    <w:rsid w:val="00F619A1"/>
    <w:rsid w:val="00F619C3"/>
    <w:rsid w:val="00F619FA"/>
    <w:rsid w:val="00F61A57"/>
    <w:rsid w:val="00F61ACC"/>
    <w:rsid w:val="00F61B18"/>
    <w:rsid w:val="00F61B46"/>
    <w:rsid w:val="00F61B90"/>
    <w:rsid w:val="00F61BBB"/>
    <w:rsid w:val="00F61C83"/>
    <w:rsid w:val="00F61CC2"/>
    <w:rsid w:val="00F61CF7"/>
    <w:rsid w:val="00F61D11"/>
    <w:rsid w:val="00F61D44"/>
    <w:rsid w:val="00F61DB4"/>
    <w:rsid w:val="00F61DEF"/>
    <w:rsid w:val="00F61E90"/>
    <w:rsid w:val="00F61EA7"/>
    <w:rsid w:val="00F61ED3"/>
    <w:rsid w:val="00F61FAE"/>
    <w:rsid w:val="00F61FEB"/>
    <w:rsid w:val="00F62007"/>
    <w:rsid w:val="00F62023"/>
    <w:rsid w:val="00F62044"/>
    <w:rsid w:val="00F62054"/>
    <w:rsid w:val="00F62070"/>
    <w:rsid w:val="00F621CC"/>
    <w:rsid w:val="00F6226D"/>
    <w:rsid w:val="00F622CA"/>
    <w:rsid w:val="00F622F7"/>
    <w:rsid w:val="00F62340"/>
    <w:rsid w:val="00F62355"/>
    <w:rsid w:val="00F6239A"/>
    <w:rsid w:val="00F623A1"/>
    <w:rsid w:val="00F62423"/>
    <w:rsid w:val="00F62467"/>
    <w:rsid w:val="00F6247C"/>
    <w:rsid w:val="00F624F8"/>
    <w:rsid w:val="00F624FC"/>
    <w:rsid w:val="00F62506"/>
    <w:rsid w:val="00F62541"/>
    <w:rsid w:val="00F62579"/>
    <w:rsid w:val="00F62586"/>
    <w:rsid w:val="00F625D1"/>
    <w:rsid w:val="00F6260E"/>
    <w:rsid w:val="00F62631"/>
    <w:rsid w:val="00F62690"/>
    <w:rsid w:val="00F627F9"/>
    <w:rsid w:val="00F62821"/>
    <w:rsid w:val="00F62878"/>
    <w:rsid w:val="00F62887"/>
    <w:rsid w:val="00F62893"/>
    <w:rsid w:val="00F628EB"/>
    <w:rsid w:val="00F62A11"/>
    <w:rsid w:val="00F62A86"/>
    <w:rsid w:val="00F62B1A"/>
    <w:rsid w:val="00F62B67"/>
    <w:rsid w:val="00F62B8E"/>
    <w:rsid w:val="00F62B94"/>
    <w:rsid w:val="00F62BBF"/>
    <w:rsid w:val="00F62BC2"/>
    <w:rsid w:val="00F62BE0"/>
    <w:rsid w:val="00F62BE1"/>
    <w:rsid w:val="00F62C1A"/>
    <w:rsid w:val="00F62C6A"/>
    <w:rsid w:val="00F62C92"/>
    <w:rsid w:val="00F62CAC"/>
    <w:rsid w:val="00F62D0C"/>
    <w:rsid w:val="00F62D1E"/>
    <w:rsid w:val="00F62DAB"/>
    <w:rsid w:val="00F62DD2"/>
    <w:rsid w:val="00F62E27"/>
    <w:rsid w:val="00F62F19"/>
    <w:rsid w:val="00F62FB0"/>
    <w:rsid w:val="00F63039"/>
    <w:rsid w:val="00F6303F"/>
    <w:rsid w:val="00F6308F"/>
    <w:rsid w:val="00F63097"/>
    <w:rsid w:val="00F630A9"/>
    <w:rsid w:val="00F630B8"/>
    <w:rsid w:val="00F630D7"/>
    <w:rsid w:val="00F631B9"/>
    <w:rsid w:val="00F631ED"/>
    <w:rsid w:val="00F631F1"/>
    <w:rsid w:val="00F63231"/>
    <w:rsid w:val="00F63297"/>
    <w:rsid w:val="00F632B2"/>
    <w:rsid w:val="00F63330"/>
    <w:rsid w:val="00F633DF"/>
    <w:rsid w:val="00F6342C"/>
    <w:rsid w:val="00F63452"/>
    <w:rsid w:val="00F6346B"/>
    <w:rsid w:val="00F6346F"/>
    <w:rsid w:val="00F634C9"/>
    <w:rsid w:val="00F634F3"/>
    <w:rsid w:val="00F635EC"/>
    <w:rsid w:val="00F63612"/>
    <w:rsid w:val="00F6364F"/>
    <w:rsid w:val="00F63771"/>
    <w:rsid w:val="00F63775"/>
    <w:rsid w:val="00F6379B"/>
    <w:rsid w:val="00F63802"/>
    <w:rsid w:val="00F638A3"/>
    <w:rsid w:val="00F638D0"/>
    <w:rsid w:val="00F638FF"/>
    <w:rsid w:val="00F63952"/>
    <w:rsid w:val="00F63953"/>
    <w:rsid w:val="00F63A33"/>
    <w:rsid w:val="00F63A5D"/>
    <w:rsid w:val="00F63A7A"/>
    <w:rsid w:val="00F63B88"/>
    <w:rsid w:val="00F63BA4"/>
    <w:rsid w:val="00F63BBF"/>
    <w:rsid w:val="00F63BDD"/>
    <w:rsid w:val="00F63BF5"/>
    <w:rsid w:val="00F63C53"/>
    <w:rsid w:val="00F63D12"/>
    <w:rsid w:val="00F63D3D"/>
    <w:rsid w:val="00F63D6F"/>
    <w:rsid w:val="00F63D7D"/>
    <w:rsid w:val="00F63DC8"/>
    <w:rsid w:val="00F63DD1"/>
    <w:rsid w:val="00F63DE7"/>
    <w:rsid w:val="00F63E19"/>
    <w:rsid w:val="00F63E26"/>
    <w:rsid w:val="00F63E41"/>
    <w:rsid w:val="00F63E71"/>
    <w:rsid w:val="00F63E7C"/>
    <w:rsid w:val="00F63F4A"/>
    <w:rsid w:val="00F63F9A"/>
    <w:rsid w:val="00F6402D"/>
    <w:rsid w:val="00F64035"/>
    <w:rsid w:val="00F64056"/>
    <w:rsid w:val="00F640EF"/>
    <w:rsid w:val="00F64121"/>
    <w:rsid w:val="00F64131"/>
    <w:rsid w:val="00F6415B"/>
    <w:rsid w:val="00F641AC"/>
    <w:rsid w:val="00F641C5"/>
    <w:rsid w:val="00F641CD"/>
    <w:rsid w:val="00F6423E"/>
    <w:rsid w:val="00F64290"/>
    <w:rsid w:val="00F642A5"/>
    <w:rsid w:val="00F642AB"/>
    <w:rsid w:val="00F642F3"/>
    <w:rsid w:val="00F642F4"/>
    <w:rsid w:val="00F64358"/>
    <w:rsid w:val="00F64382"/>
    <w:rsid w:val="00F643DC"/>
    <w:rsid w:val="00F6440B"/>
    <w:rsid w:val="00F6442E"/>
    <w:rsid w:val="00F64459"/>
    <w:rsid w:val="00F64488"/>
    <w:rsid w:val="00F6448D"/>
    <w:rsid w:val="00F644DE"/>
    <w:rsid w:val="00F644E7"/>
    <w:rsid w:val="00F644F9"/>
    <w:rsid w:val="00F64507"/>
    <w:rsid w:val="00F64516"/>
    <w:rsid w:val="00F6454D"/>
    <w:rsid w:val="00F645F3"/>
    <w:rsid w:val="00F64686"/>
    <w:rsid w:val="00F646EE"/>
    <w:rsid w:val="00F64724"/>
    <w:rsid w:val="00F64746"/>
    <w:rsid w:val="00F64776"/>
    <w:rsid w:val="00F647C5"/>
    <w:rsid w:val="00F647E2"/>
    <w:rsid w:val="00F64821"/>
    <w:rsid w:val="00F64826"/>
    <w:rsid w:val="00F6484A"/>
    <w:rsid w:val="00F6485D"/>
    <w:rsid w:val="00F648E9"/>
    <w:rsid w:val="00F6490A"/>
    <w:rsid w:val="00F6493A"/>
    <w:rsid w:val="00F6497C"/>
    <w:rsid w:val="00F64995"/>
    <w:rsid w:val="00F6499A"/>
    <w:rsid w:val="00F64A33"/>
    <w:rsid w:val="00F64A40"/>
    <w:rsid w:val="00F64BD3"/>
    <w:rsid w:val="00F64BD4"/>
    <w:rsid w:val="00F64BD6"/>
    <w:rsid w:val="00F64BF6"/>
    <w:rsid w:val="00F64C28"/>
    <w:rsid w:val="00F64C99"/>
    <w:rsid w:val="00F64CE5"/>
    <w:rsid w:val="00F64CEC"/>
    <w:rsid w:val="00F64D01"/>
    <w:rsid w:val="00F64DB0"/>
    <w:rsid w:val="00F64DB7"/>
    <w:rsid w:val="00F64E52"/>
    <w:rsid w:val="00F64E6C"/>
    <w:rsid w:val="00F64E71"/>
    <w:rsid w:val="00F64E9B"/>
    <w:rsid w:val="00F64F26"/>
    <w:rsid w:val="00F64FB1"/>
    <w:rsid w:val="00F64FFB"/>
    <w:rsid w:val="00F6502D"/>
    <w:rsid w:val="00F65071"/>
    <w:rsid w:val="00F650BB"/>
    <w:rsid w:val="00F650D3"/>
    <w:rsid w:val="00F650D7"/>
    <w:rsid w:val="00F65103"/>
    <w:rsid w:val="00F6510F"/>
    <w:rsid w:val="00F65139"/>
    <w:rsid w:val="00F6513F"/>
    <w:rsid w:val="00F652EA"/>
    <w:rsid w:val="00F652FB"/>
    <w:rsid w:val="00F6533A"/>
    <w:rsid w:val="00F65356"/>
    <w:rsid w:val="00F65387"/>
    <w:rsid w:val="00F653CB"/>
    <w:rsid w:val="00F653F4"/>
    <w:rsid w:val="00F6546A"/>
    <w:rsid w:val="00F654AC"/>
    <w:rsid w:val="00F655AA"/>
    <w:rsid w:val="00F655B2"/>
    <w:rsid w:val="00F65609"/>
    <w:rsid w:val="00F6560E"/>
    <w:rsid w:val="00F6562A"/>
    <w:rsid w:val="00F6569B"/>
    <w:rsid w:val="00F65713"/>
    <w:rsid w:val="00F6586A"/>
    <w:rsid w:val="00F65872"/>
    <w:rsid w:val="00F658A5"/>
    <w:rsid w:val="00F65937"/>
    <w:rsid w:val="00F65965"/>
    <w:rsid w:val="00F65996"/>
    <w:rsid w:val="00F659AE"/>
    <w:rsid w:val="00F65A21"/>
    <w:rsid w:val="00F65AC5"/>
    <w:rsid w:val="00F65AF5"/>
    <w:rsid w:val="00F65B32"/>
    <w:rsid w:val="00F65B5D"/>
    <w:rsid w:val="00F65B76"/>
    <w:rsid w:val="00F65BC8"/>
    <w:rsid w:val="00F65BD9"/>
    <w:rsid w:val="00F65BF6"/>
    <w:rsid w:val="00F65C03"/>
    <w:rsid w:val="00F65C83"/>
    <w:rsid w:val="00F65C8E"/>
    <w:rsid w:val="00F65D2D"/>
    <w:rsid w:val="00F65D37"/>
    <w:rsid w:val="00F65E0A"/>
    <w:rsid w:val="00F65E26"/>
    <w:rsid w:val="00F65E64"/>
    <w:rsid w:val="00F65EA5"/>
    <w:rsid w:val="00F65EC0"/>
    <w:rsid w:val="00F65EE0"/>
    <w:rsid w:val="00F65EE8"/>
    <w:rsid w:val="00F65F0A"/>
    <w:rsid w:val="00F65F47"/>
    <w:rsid w:val="00F65F72"/>
    <w:rsid w:val="00F65FD4"/>
    <w:rsid w:val="00F6605B"/>
    <w:rsid w:val="00F66090"/>
    <w:rsid w:val="00F660D6"/>
    <w:rsid w:val="00F66146"/>
    <w:rsid w:val="00F66158"/>
    <w:rsid w:val="00F661CB"/>
    <w:rsid w:val="00F661E6"/>
    <w:rsid w:val="00F66202"/>
    <w:rsid w:val="00F6623B"/>
    <w:rsid w:val="00F66244"/>
    <w:rsid w:val="00F662F0"/>
    <w:rsid w:val="00F66301"/>
    <w:rsid w:val="00F6631C"/>
    <w:rsid w:val="00F66331"/>
    <w:rsid w:val="00F66390"/>
    <w:rsid w:val="00F663C8"/>
    <w:rsid w:val="00F66491"/>
    <w:rsid w:val="00F664E5"/>
    <w:rsid w:val="00F66527"/>
    <w:rsid w:val="00F66593"/>
    <w:rsid w:val="00F665B8"/>
    <w:rsid w:val="00F6660D"/>
    <w:rsid w:val="00F66654"/>
    <w:rsid w:val="00F66656"/>
    <w:rsid w:val="00F6668C"/>
    <w:rsid w:val="00F6669D"/>
    <w:rsid w:val="00F666AA"/>
    <w:rsid w:val="00F666CB"/>
    <w:rsid w:val="00F66718"/>
    <w:rsid w:val="00F6676D"/>
    <w:rsid w:val="00F667A7"/>
    <w:rsid w:val="00F667BE"/>
    <w:rsid w:val="00F66885"/>
    <w:rsid w:val="00F668CD"/>
    <w:rsid w:val="00F66967"/>
    <w:rsid w:val="00F669AA"/>
    <w:rsid w:val="00F669B5"/>
    <w:rsid w:val="00F669B7"/>
    <w:rsid w:val="00F66A74"/>
    <w:rsid w:val="00F66AD1"/>
    <w:rsid w:val="00F66AE5"/>
    <w:rsid w:val="00F66B8D"/>
    <w:rsid w:val="00F66BE6"/>
    <w:rsid w:val="00F66C4B"/>
    <w:rsid w:val="00F66C5F"/>
    <w:rsid w:val="00F66C60"/>
    <w:rsid w:val="00F66CC9"/>
    <w:rsid w:val="00F66CCB"/>
    <w:rsid w:val="00F66CFF"/>
    <w:rsid w:val="00F66D5A"/>
    <w:rsid w:val="00F66DAB"/>
    <w:rsid w:val="00F66DAF"/>
    <w:rsid w:val="00F66F0A"/>
    <w:rsid w:val="00F66F0E"/>
    <w:rsid w:val="00F66FAB"/>
    <w:rsid w:val="00F66FC1"/>
    <w:rsid w:val="00F66FD6"/>
    <w:rsid w:val="00F67008"/>
    <w:rsid w:val="00F670D5"/>
    <w:rsid w:val="00F671D5"/>
    <w:rsid w:val="00F67217"/>
    <w:rsid w:val="00F67221"/>
    <w:rsid w:val="00F67223"/>
    <w:rsid w:val="00F67224"/>
    <w:rsid w:val="00F6722D"/>
    <w:rsid w:val="00F67279"/>
    <w:rsid w:val="00F672CB"/>
    <w:rsid w:val="00F672EE"/>
    <w:rsid w:val="00F672FC"/>
    <w:rsid w:val="00F67318"/>
    <w:rsid w:val="00F6731B"/>
    <w:rsid w:val="00F6731C"/>
    <w:rsid w:val="00F67334"/>
    <w:rsid w:val="00F673EF"/>
    <w:rsid w:val="00F67501"/>
    <w:rsid w:val="00F67556"/>
    <w:rsid w:val="00F675AE"/>
    <w:rsid w:val="00F675D8"/>
    <w:rsid w:val="00F67695"/>
    <w:rsid w:val="00F676B7"/>
    <w:rsid w:val="00F67705"/>
    <w:rsid w:val="00F67711"/>
    <w:rsid w:val="00F6772A"/>
    <w:rsid w:val="00F6779C"/>
    <w:rsid w:val="00F67818"/>
    <w:rsid w:val="00F67854"/>
    <w:rsid w:val="00F6785A"/>
    <w:rsid w:val="00F678F8"/>
    <w:rsid w:val="00F67952"/>
    <w:rsid w:val="00F6799E"/>
    <w:rsid w:val="00F679AE"/>
    <w:rsid w:val="00F67ADD"/>
    <w:rsid w:val="00F67C34"/>
    <w:rsid w:val="00F67D30"/>
    <w:rsid w:val="00F67E49"/>
    <w:rsid w:val="00F67E5C"/>
    <w:rsid w:val="00F67E7B"/>
    <w:rsid w:val="00F67EE1"/>
    <w:rsid w:val="00F67FCF"/>
    <w:rsid w:val="00F7003B"/>
    <w:rsid w:val="00F700F6"/>
    <w:rsid w:val="00F70121"/>
    <w:rsid w:val="00F7015C"/>
    <w:rsid w:val="00F701BE"/>
    <w:rsid w:val="00F70217"/>
    <w:rsid w:val="00F70242"/>
    <w:rsid w:val="00F70244"/>
    <w:rsid w:val="00F70292"/>
    <w:rsid w:val="00F702D4"/>
    <w:rsid w:val="00F702F2"/>
    <w:rsid w:val="00F70312"/>
    <w:rsid w:val="00F703A8"/>
    <w:rsid w:val="00F703CA"/>
    <w:rsid w:val="00F703F1"/>
    <w:rsid w:val="00F703FD"/>
    <w:rsid w:val="00F70424"/>
    <w:rsid w:val="00F7042C"/>
    <w:rsid w:val="00F70432"/>
    <w:rsid w:val="00F704F0"/>
    <w:rsid w:val="00F70588"/>
    <w:rsid w:val="00F7058D"/>
    <w:rsid w:val="00F70595"/>
    <w:rsid w:val="00F705DF"/>
    <w:rsid w:val="00F70629"/>
    <w:rsid w:val="00F7065A"/>
    <w:rsid w:val="00F70665"/>
    <w:rsid w:val="00F70674"/>
    <w:rsid w:val="00F706D0"/>
    <w:rsid w:val="00F706DA"/>
    <w:rsid w:val="00F70700"/>
    <w:rsid w:val="00F70704"/>
    <w:rsid w:val="00F7075B"/>
    <w:rsid w:val="00F70799"/>
    <w:rsid w:val="00F70804"/>
    <w:rsid w:val="00F70871"/>
    <w:rsid w:val="00F708E3"/>
    <w:rsid w:val="00F70907"/>
    <w:rsid w:val="00F7092A"/>
    <w:rsid w:val="00F7096A"/>
    <w:rsid w:val="00F709A7"/>
    <w:rsid w:val="00F709DA"/>
    <w:rsid w:val="00F70ABB"/>
    <w:rsid w:val="00F70AC6"/>
    <w:rsid w:val="00F70ACD"/>
    <w:rsid w:val="00F70AD1"/>
    <w:rsid w:val="00F70B37"/>
    <w:rsid w:val="00F70BCE"/>
    <w:rsid w:val="00F70C19"/>
    <w:rsid w:val="00F70C29"/>
    <w:rsid w:val="00F70C30"/>
    <w:rsid w:val="00F70C44"/>
    <w:rsid w:val="00F70C4C"/>
    <w:rsid w:val="00F70C73"/>
    <w:rsid w:val="00F70CB3"/>
    <w:rsid w:val="00F70CF4"/>
    <w:rsid w:val="00F70D3D"/>
    <w:rsid w:val="00F70D94"/>
    <w:rsid w:val="00F70DE7"/>
    <w:rsid w:val="00F70DE9"/>
    <w:rsid w:val="00F70E81"/>
    <w:rsid w:val="00F70ED1"/>
    <w:rsid w:val="00F70EEE"/>
    <w:rsid w:val="00F70F38"/>
    <w:rsid w:val="00F70F46"/>
    <w:rsid w:val="00F70F4D"/>
    <w:rsid w:val="00F70FA5"/>
    <w:rsid w:val="00F70FB7"/>
    <w:rsid w:val="00F7100D"/>
    <w:rsid w:val="00F71016"/>
    <w:rsid w:val="00F71079"/>
    <w:rsid w:val="00F7109B"/>
    <w:rsid w:val="00F7110B"/>
    <w:rsid w:val="00F7113C"/>
    <w:rsid w:val="00F7113E"/>
    <w:rsid w:val="00F71238"/>
    <w:rsid w:val="00F71240"/>
    <w:rsid w:val="00F7129F"/>
    <w:rsid w:val="00F713F5"/>
    <w:rsid w:val="00F71416"/>
    <w:rsid w:val="00F71461"/>
    <w:rsid w:val="00F715CD"/>
    <w:rsid w:val="00F716E0"/>
    <w:rsid w:val="00F71734"/>
    <w:rsid w:val="00F7175A"/>
    <w:rsid w:val="00F7175B"/>
    <w:rsid w:val="00F717B9"/>
    <w:rsid w:val="00F717C2"/>
    <w:rsid w:val="00F717F8"/>
    <w:rsid w:val="00F71824"/>
    <w:rsid w:val="00F71827"/>
    <w:rsid w:val="00F71884"/>
    <w:rsid w:val="00F71929"/>
    <w:rsid w:val="00F7192D"/>
    <w:rsid w:val="00F719EC"/>
    <w:rsid w:val="00F71A00"/>
    <w:rsid w:val="00F71A12"/>
    <w:rsid w:val="00F71A47"/>
    <w:rsid w:val="00F71AFA"/>
    <w:rsid w:val="00F71B44"/>
    <w:rsid w:val="00F71B58"/>
    <w:rsid w:val="00F71B5C"/>
    <w:rsid w:val="00F71B6A"/>
    <w:rsid w:val="00F71B78"/>
    <w:rsid w:val="00F71B89"/>
    <w:rsid w:val="00F71B93"/>
    <w:rsid w:val="00F71BB3"/>
    <w:rsid w:val="00F71BB8"/>
    <w:rsid w:val="00F71C0E"/>
    <w:rsid w:val="00F71CB6"/>
    <w:rsid w:val="00F71CF5"/>
    <w:rsid w:val="00F71D24"/>
    <w:rsid w:val="00F71D39"/>
    <w:rsid w:val="00F71D6D"/>
    <w:rsid w:val="00F71D99"/>
    <w:rsid w:val="00F71E1A"/>
    <w:rsid w:val="00F71E75"/>
    <w:rsid w:val="00F71F09"/>
    <w:rsid w:val="00F71F33"/>
    <w:rsid w:val="00F71F4C"/>
    <w:rsid w:val="00F72031"/>
    <w:rsid w:val="00F72103"/>
    <w:rsid w:val="00F72263"/>
    <w:rsid w:val="00F722B6"/>
    <w:rsid w:val="00F722B7"/>
    <w:rsid w:val="00F722FF"/>
    <w:rsid w:val="00F72319"/>
    <w:rsid w:val="00F723CD"/>
    <w:rsid w:val="00F72443"/>
    <w:rsid w:val="00F724AA"/>
    <w:rsid w:val="00F724B4"/>
    <w:rsid w:val="00F725A5"/>
    <w:rsid w:val="00F72617"/>
    <w:rsid w:val="00F726F2"/>
    <w:rsid w:val="00F726FF"/>
    <w:rsid w:val="00F72759"/>
    <w:rsid w:val="00F72762"/>
    <w:rsid w:val="00F7279C"/>
    <w:rsid w:val="00F727D8"/>
    <w:rsid w:val="00F7290B"/>
    <w:rsid w:val="00F72912"/>
    <w:rsid w:val="00F72931"/>
    <w:rsid w:val="00F72988"/>
    <w:rsid w:val="00F729C8"/>
    <w:rsid w:val="00F729F9"/>
    <w:rsid w:val="00F72AB5"/>
    <w:rsid w:val="00F72AFA"/>
    <w:rsid w:val="00F72B0E"/>
    <w:rsid w:val="00F72B5B"/>
    <w:rsid w:val="00F72BD6"/>
    <w:rsid w:val="00F72C25"/>
    <w:rsid w:val="00F72C68"/>
    <w:rsid w:val="00F72CC4"/>
    <w:rsid w:val="00F72CD2"/>
    <w:rsid w:val="00F72D1A"/>
    <w:rsid w:val="00F72D3B"/>
    <w:rsid w:val="00F72DBB"/>
    <w:rsid w:val="00F72DC7"/>
    <w:rsid w:val="00F72DF6"/>
    <w:rsid w:val="00F72EB1"/>
    <w:rsid w:val="00F72EB6"/>
    <w:rsid w:val="00F72F93"/>
    <w:rsid w:val="00F73066"/>
    <w:rsid w:val="00F730A8"/>
    <w:rsid w:val="00F73183"/>
    <w:rsid w:val="00F7318C"/>
    <w:rsid w:val="00F731DB"/>
    <w:rsid w:val="00F73241"/>
    <w:rsid w:val="00F7334A"/>
    <w:rsid w:val="00F733E4"/>
    <w:rsid w:val="00F73427"/>
    <w:rsid w:val="00F7348A"/>
    <w:rsid w:val="00F734A1"/>
    <w:rsid w:val="00F734CC"/>
    <w:rsid w:val="00F73574"/>
    <w:rsid w:val="00F735E6"/>
    <w:rsid w:val="00F73626"/>
    <w:rsid w:val="00F7362A"/>
    <w:rsid w:val="00F7363D"/>
    <w:rsid w:val="00F73699"/>
    <w:rsid w:val="00F736CB"/>
    <w:rsid w:val="00F736F1"/>
    <w:rsid w:val="00F73716"/>
    <w:rsid w:val="00F737E0"/>
    <w:rsid w:val="00F737F0"/>
    <w:rsid w:val="00F737F2"/>
    <w:rsid w:val="00F7383A"/>
    <w:rsid w:val="00F73844"/>
    <w:rsid w:val="00F73867"/>
    <w:rsid w:val="00F73972"/>
    <w:rsid w:val="00F739E5"/>
    <w:rsid w:val="00F739FD"/>
    <w:rsid w:val="00F73A02"/>
    <w:rsid w:val="00F73A4C"/>
    <w:rsid w:val="00F73A5A"/>
    <w:rsid w:val="00F73ABC"/>
    <w:rsid w:val="00F73B17"/>
    <w:rsid w:val="00F73B29"/>
    <w:rsid w:val="00F73B5B"/>
    <w:rsid w:val="00F73B69"/>
    <w:rsid w:val="00F73BB3"/>
    <w:rsid w:val="00F73BC4"/>
    <w:rsid w:val="00F73BE3"/>
    <w:rsid w:val="00F73C39"/>
    <w:rsid w:val="00F73C72"/>
    <w:rsid w:val="00F73C9A"/>
    <w:rsid w:val="00F73CCB"/>
    <w:rsid w:val="00F73D00"/>
    <w:rsid w:val="00F73D83"/>
    <w:rsid w:val="00F73DA1"/>
    <w:rsid w:val="00F73DDE"/>
    <w:rsid w:val="00F73DE8"/>
    <w:rsid w:val="00F73DF5"/>
    <w:rsid w:val="00F73E1C"/>
    <w:rsid w:val="00F73E26"/>
    <w:rsid w:val="00F73E37"/>
    <w:rsid w:val="00F73E3A"/>
    <w:rsid w:val="00F73F7B"/>
    <w:rsid w:val="00F73FA5"/>
    <w:rsid w:val="00F73FBE"/>
    <w:rsid w:val="00F73FC0"/>
    <w:rsid w:val="00F7400B"/>
    <w:rsid w:val="00F7402D"/>
    <w:rsid w:val="00F74089"/>
    <w:rsid w:val="00F740B2"/>
    <w:rsid w:val="00F740C9"/>
    <w:rsid w:val="00F7416B"/>
    <w:rsid w:val="00F74192"/>
    <w:rsid w:val="00F741BB"/>
    <w:rsid w:val="00F741C1"/>
    <w:rsid w:val="00F741DE"/>
    <w:rsid w:val="00F741ED"/>
    <w:rsid w:val="00F742F9"/>
    <w:rsid w:val="00F7431B"/>
    <w:rsid w:val="00F74323"/>
    <w:rsid w:val="00F743FF"/>
    <w:rsid w:val="00F74461"/>
    <w:rsid w:val="00F74474"/>
    <w:rsid w:val="00F744D3"/>
    <w:rsid w:val="00F744D4"/>
    <w:rsid w:val="00F74512"/>
    <w:rsid w:val="00F74530"/>
    <w:rsid w:val="00F7459C"/>
    <w:rsid w:val="00F745D4"/>
    <w:rsid w:val="00F74622"/>
    <w:rsid w:val="00F74659"/>
    <w:rsid w:val="00F7473D"/>
    <w:rsid w:val="00F747CE"/>
    <w:rsid w:val="00F747D0"/>
    <w:rsid w:val="00F747DA"/>
    <w:rsid w:val="00F747F1"/>
    <w:rsid w:val="00F74802"/>
    <w:rsid w:val="00F7480E"/>
    <w:rsid w:val="00F748BF"/>
    <w:rsid w:val="00F74949"/>
    <w:rsid w:val="00F74964"/>
    <w:rsid w:val="00F74A01"/>
    <w:rsid w:val="00F74A0A"/>
    <w:rsid w:val="00F74A60"/>
    <w:rsid w:val="00F74AAD"/>
    <w:rsid w:val="00F74ACA"/>
    <w:rsid w:val="00F74B17"/>
    <w:rsid w:val="00F74B3E"/>
    <w:rsid w:val="00F74B6D"/>
    <w:rsid w:val="00F74B8B"/>
    <w:rsid w:val="00F74B9A"/>
    <w:rsid w:val="00F74C05"/>
    <w:rsid w:val="00F74C11"/>
    <w:rsid w:val="00F74D49"/>
    <w:rsid w:val="00F74E0B"/>
    <w:rsid w:val="00F74E69"/>
    <w:rsid w:val="00F74E91"/>
    <w:rsid w:val="00F74F1B"/>
    <w:rsid w:val="00F74F35"/>
    <w:rsid w:val="00F74F6C"/>
    <w:rsid w:val="00F74F7D"/>
    <w:rsid w:val="00F74F9D"/>
    <w:rsid w:val="00F74FC3"/>
    <w:rsid w:val="00F74FF4"/>
    <w:rsid w:val="00F7505D"/>
    <w:rsid w:val="00F75099"/>
    <w:rsid w:val="00F750FE"/>
    <w:rsid w:val="00F75187"/>
    <w:rsid w:val="00F751AE"/>
    <w:rsid w:val="00F751E3"/>
    <w:rsid w:val="00F75238"/>
    <w:rsid w:val="00F75268"/>
    <w:rsid w:val="00F752AC"/>
    <w:rsid w:val="00F75305"/>
    <w:rsid w:val="00F75307"/>
    <w:rsid w:val="00F7531C"/>
    <w:rsid w:val="00F75333"/>
    <w:rsid w:val="00F7535A"/>
    <w:rsid w:val="00F7536D"/>
    <w:rsid w:val="00F75400"/>
    <w:rsid w:val="00F75482"/>
    <w:rsid w:val="00F7549D"/>
    <w:rsid w:val="00F754D7"/>
    <w:rsid w:val="00F754EC"/>
    <w:rsid w:val="00F7556B"/>
    <w:rsid w:val="00F7559F"/>
    <w:rsid w:val="00F755D7"/>
    <w:rsid w:val="00F755F7"/>
    <w:rsid w:val="00F7566B"/>
    <w:rsid w:val="00F75678"/>
    <w:rsid w:val="00F75682"/>
    <w:rsid w:val="00F75684"/>
    <w:rsid w:val="00F756BF"/>
    <w:rsid w:val="00F75762"/>
    <w:rsid w:val="00F757AB"/>
    <w:rsid w:val="00F757D6"/>
    <w:rsid w:val="00F757F1"/>
    <w:rsid w:val="00F7584F"/>
    <w:rsid w:val="00F7585E"/>
    <w:rsid w:val="00F75917"/>
    <w:rsid w:val="00F7593C"/>
    <w:rsid w:val="00F759A3"/>
    <w:rsid w:val="00F759CC"/>
    <w:rsid w:val="00F75A14"/>
    <w:rsid w:val="00F75A3F"/>
    <w:rsid w:val="00F75AA5"/>
    <w:rsid w:val="00F75AB2"/>
    <w:rsid w:val="00F75AC0"/>
    <w:rsid w:val="00F75C69"/>
    <w:rsid w:val="00F75D05"/>
    <w:rsid w:val="00F75D28"/>
    <w:rsid w:val="00F75D97"/>
    <w:rsid w:val="00F75E38"/>
    <w:rsid w:val="00F75E9E"/>
    <w:rsid w:val="00F75EAC"/>
    <w:rsid w:val="00F75ECA"/>
    <w:rsid w:val="00F75EF3"/>
    <w:rsid w:val="00F75F13"/>
    <w:rsid w:val="00F75F57"/>
    <w:rsid w:val="00F75FA6"/>
    <w:rsid w:val="00F75FFD"/>
    <w:rsid w:val="00F7600A"/>
    <w:rsid w:val="00F76025"/>
    <w:rsid w:val="00F76120"/>
    <w:rsid w:val="00F76141"/>
    <w:rsid w:val="00F76165"/>
    <w:rsid w:val="00F76181"/>
    <w:rsid w:val="00F761F7"/>
    <w:rsid w:val="00F7627F"/>
    <w:rsid w:val="00F76294"/>
    <w:rsid w:val="00F7636A"/>
    <w:rsid w:val="00F7638F"/>
    <w:rsid w:val="00F763CC"/>
    <w:rsid w:val="00F76448"/>
    <w:rsid w:val="00F764CE"/>
    <w:rsid w:val="00F76545"/>
    <w:rsid w:val="00F76546"/>
    <w:rsid w:val="00F765AA"/>
    <w:rsid w:val="00F76680"/>
    <w:rsid w:val="00F766B3"/>
    <w:rsid w:val="00F767A8"/>
    <w:rsid w:val="00F76808"/>
    <w:rsid w:val="00F768E0"/>
    <w:rsid w:val="00F76913"/>
    <w:rsid w:val="00F76996"/>
    <w:rsid w:val="00F769CF"/>
    <w:rsid w:val="00F769D0"/>
    <w:rsid w:val="00F769FD"/>
    <w:rsid w:val="00F76A00"/>
    <w:rsid w:val="00F76A08"/>
    <w:rsid w:val="00F76A09"/>
    <w:rsid w:val="00F76A20"/>
    <w:rsid w:val="00F76A30"/>
    <w:rsid w:val="00F76A96"/>
    <w:rsid w:val="00F76AA3"/>
    <w:rsid w:val="00F76AD3"/>
    <w:rsid w:val="00F76B02"/>
    <w:rsid w:val="00F76B12"/>
    <w:rsid w:val="00F76B64"/>
    <w:rsid w:val="00F76C20"/>
    <w:rsid w:val="00F76C25"/>
    <w:rsid w:val="00F76C3C"/>
    <w:rsid w:val="00F76C9B"/>
    <w:rsid w:val="00F76CBA"/>
    <w:rsid w:val="00F76CC1"/>
    <w:rsid w:val="00F76CEF"/>
    <w:rsid w:val="00F76D24"/>
    <w:rsid w:val="00F76DB3"/>
    <w:rsid w:val="00F76DD3"/>
    <w:rsid w:val="00F76DD9"/>
    <w:rsid w:val="00F76E34"/>
    <w:rsid w:val="00F76ECB"/>
    <w:rsid w:val="00F76F91"/>
    <w:rsid w:val="00F76FA1"/>
    <w:rsid w:val="00F76FB4"/>
    <w:rsid w:val="00F76FFA"/>
    <w:rsid w:val="00F77034"/>
    <w:rsid w:val="00F77053"/>
    <w:rsid w:val="00F770DC"/>
    <w:rsid w:val="00F770F4"/>
    <w:rsid w:val="00F77131"/>
    <w:rsid w:val="00F7724F"/>
    <w:rsid w:val="00F772D4"/>
    <w:rsid w:val="00F77322"/>
    <w:rsid w:val="00F77325"/>
    <w:rsid w:val="00F77364"/>
    <w:rsid w:val="00F773EE"/>
    <w:rsid w:val="00F773FE"/>
    <w:rsid w:val="00F77438"/>
    <w:rsid w:val="00F77445"/>
    <w:rsid w:val="00F77476"/>
    <w:rsid w:val="00F774E3"/>
    <w:rsid w:val="00F7754F"/>
    <w:rsid w:val="00F7759B"/>
    <w:rsid w:val="00F77647"/>
    <w:rsid w:val="00F776DA"/>
    <w:rsid w:val="00F776DD"/>
    <w:rsid w:val="00F77751"/>
    <w:rsid w:val="00F77756"/>
    <w:rsid w:val="00F777D8"/>
    <w:rsid w:val="00F777EA"/>
    <w:rsid w:val="00F7783E"/>
    <w:rsid w:val="00F778C7"/>
    <w:rsid w:val="00F7791E"/>
    <w:rsid w:val="00F77949"/>
    <w:rsid w:val="00F7794F"/>
    <w:rsid w:val="00F779A4"/>
    <w:rsid w:val="00F779C1"/>
    <w:rsid w:val="00F779D5"/>
    <w:rsid w:val="00F779F8"/>
    <w:rsid w:val="00F77A18"/>
    <w:rsid w:val="00F77A3C"/>
    <w:rsid w:val="00F77A92"/>
    <w:rsid w:val="00F77AEC"/>
    <w:rsid w:val="00F77AF1"/>
    <w:rsid w:val="00F77B33"/>
    <w:rsid w:val="00F77B49"/>
    <w:rsid w:val="00F77B59"/>
    <w:rsid w:val="00F77B82"/>
    <w:rsid w:val="00F77C6E"/>
    <w:rsid w:val="00F77CC9"/>
    <w:rsid w:val="00F77D27"/>
    <w:rsid w:val="00F77DA2"/>
    <w:rsid w:val="00F77DDF"/>
    <w:rsid w:val="00F77E24"/>
    <w:rsid w:val="00F77E69"/>
    <w:rsid w:val="00F77E9A"/>
    <w:rsid w:val="00F77ED1"/>
    <w:rsid w:val="00F77F35"/>
    <w:rsid w:val="00F77F44"/>
    <w:rsid w:val="00F77F51"/>
    <w:rsid w:val="00F80012"/>
    <w:rsid w:val="00F80055"/>
    <w:rsid w:val="00F80098"/>
    <w:rsid w:val="00F800C6"/>
    <w:rsid w:val="00F80121"/>
    <w:rsid w:val="00F8014B"/>
    <w:rsid w:val="00F80171"/>
    <w:rsid w:val="00F80199"/>
    <w:rsid w:val="00F801AC"/>
    <w:rsid w:val="00F801AD"/>
    <w:rsid w:val="00F801F2"/>
    <w:rsid w:val="00F802E3"/>
    <w:rsid w:val="00F80351"/>
    <w:rsid w:val="00F803AC"/>
    <w:rsid w:val="00F803BD"/>
    <w:rsid w:val="00F80402"/>
    <w:rsid w:val="00F8040E"/>
    <w:rsid w:val="00F80439"/>
    <w:rsid w:val="00F8043C"/>
    <w:rsid w:val="00F80453"/>
    <w:rsid w:val="00F804E0"/>
    <w:rsid w:val="00F80533"/>
    <w:rsid w:val="00F80537"/>
    <w:rsid w:val="00F8056A"/>
    <w:rsid w:val="00F805F4"/>
    <w:rsid w:val="00F8069D"/>
    <w:rsid w:val="00F8072B"/>
    <w:rsid w:val="00F8075C"/>
    <w:rsid w:val="00F80764"/>
    <w:rsid w:val="00F8078F"/>
    <w:rsid w:val="00F807A2"/>
    <w:rsid w:val="00F807C5"/>
    <w:rsid w:val="00F807D5"/>
    <w:rsid w:val="00F80838"/>
    <w:rsid w:val="00F80849"/>
    <w:rsid w:val="00F8084B"/>
    <w:rsid w:val="00F8085A"/>
    <w:rsid w:val="00F80887"/>
    <w:rsid w:val="00F8089C"/>
    <w:rsid w:val="00F808BA"/>
    <w:rsid w:val="00F80910"/>
    <w:rsid w:val="00F8094C"/>
    <w:rsid w:val="00F80990"/>
    <w:rsid w:val="00F809A6"/>
    <w:rsid w:val="00F809BB"/>
    <w:rsid w:val="00F809BF"/>
    <w:rsid w:val="00F80A02"/>
    <w:rsid w:val="00F80A0B"/>
    <w:rsid w:val="00F80A76"/>
    <w:rsid w:val="00F80BB4"/>
    <w:rsid w:val="00F80BC3"/>
    <w:rsid w:val="00F80BD8"/>
    <w:rsid w:val="00F80C14"/>
    <w:rsid w:val="00F80CE6"/>
    <w:rsid w:val="00F80CE9"/>
    <w:rsid w:val="00F80D01"/>
    <w:rsid w:val="00F80D37"/>
    <w:rsid w:val="00F80D46"/>
    <w:rsid w:val="00F80DCD"/>
    <w:rsid w:val="00F80DD6"/>
    <w:rsid w:val="00F80E0D"/>
    <w:rsid w:val="00F80EBA"/>
    <w:rsid w:val="00F80F0F"/>
    <w:rsid w:val="00F80F82"/>
    <w:rsid w:val="00F810BB"/>
    <w:rsid w:val="00F810FC"/>
    <w:rsid w:val="00F81198"/>
    <w:rsid w:val="00F811EC"/>
    <w:rsid w:val="00F81234"/>
    <w:rsid w:val="00F812B1"/>
    <w:rsid w:val="00F812C2"/>
    <w:rsid w:val="00F812CD"/>
    <w:rsid w:val="00F81369"/>
    <w:rsid w:val="00F81379"/>
    <w:rsid w:val="00F813BC"/>
    <w:rsid w:val="00F813F5"/>
    <w:rsid w:val="00F814BE"/>
    <w:rsid w:val="00F814EC"/>
    <w:rsid w:val="00F81535"/>
    <w:rsid w:val="00F8155F"/>
    <w:rsid w:val="00F8156B"/>
    <w:rsid w:val="00F815BF"/>
    <w:rsid w:val="00F815ED"/>
    <w:rsid w:val="00F8160E"/>
    <w:rsid w:val="00F8165F"/>
    <w:rsid w:val="00F81660"/>
    <w:rsid w:val="00F816DA"/>
    <w:rsid w:val="00F81741"/>
    <w:rsid w:val="00F8181C"/>
    <w:rsid w:val="00F8192F"/>
    <w:rsid w:val="00F81947"/>
    <w:rsid w:val="00F819EF"/>
    <w:rsid w:val="00F81A3A"/>
    <w:rsid w:val="00F81A40"/>
    <w:rsid w:val="00F81A4A"/>
    <w:rsid w:val="00F81A60"/>
    <w:rsid w:val="00F81A86"/>
    <w:rsid w:val="00F81A95"/>
    <w:rsid w:val="00F81AC6"/>
    <w:rsid w:val="00F81B77"/>
    <w:rsid w:val="00F81B94"/>
    <w:rsid w:val="00F81BAF"/>
    <w:rsid w:val="00F81BBD"/>
    <w:rsid w:val="00F81C12"/>
    <w:rsid w:val="00F81C32"/>
    <w:rsid w:val="00F81C7B"/>
    <w:rsid w:val="00F81C7E"/>
    <w:rsid w:val="00F81CF4"/>
    <w:rsid w:val="00F81D55"/>
    <w:rsid w:val="00F81D6C"/>
    <w:rsid w:val="00F81DA5"/>
    <w:rsid w:val="00F81DBC"/>
    <w:rsid w:val="00F81E76"/>
    <w:rsid w:val="00F81E8E"/>
    <w:rsid w:val="00F81EC2"/>
    <w:rsid w:val="00F81F70"/>
    <w:rsid w:val="00F81F8B"/>
    <w:rsid w:val="00F81F91"/>
    <w:rsid w:val="00F82036"/>
    <w:rsid w:val="00F82087"/>
    <w:rsid w:val="00F820AB"/>
    <w:rsid w:val="00F820D8"/>
    <w:rsid w:val="00F821CD"/>
    <w:rsid w:val="00F82262"/>
    <w:rsid w:val="00F82271"/>
    <w:rsid w:val="00F822C4"/>
    <w:rsid w:val="00F822DE"/>
    <w:rsid w:val="00F82305"/>
    <w:rsid w:val="00F82355"/>
    <w:rsid w:val="00F82361"/>
    <w:rsid w:val="00F82371"/>
    <w:rsid w:val="00F823FB"/>
    <w:rsid w:val="00F82423"/>
    <w:rsid w:val="00F8242C"/>
    <w:rsid w:val="00F82438"/>
    <w:rsid w:val="00F82488"/>
    <w:rsid w:val="00F824F7"/>
    <w:rsid w:val="00F82547"/>
    <w:rsid w:val="00F825CC"/>
    <w:rsid w:val="00F825D0"/>
    <w:rsid w:val="00F8260A"/>
    <w:rsid w:val="00F8266D"/>
    <w:rsid w:val="00F82686"/>
    <w:rsid w:val="00F8273B"/>
    <w:rsid w:val="00F8273E"/>
    <w:rsid w:val="00F8274E"/>
    <w:rsid w:val="00F82756"/>
    <w:rsid w:val="00F82772"/>
    <w:rsid w:val="00F82774"/>
    <w:rsid w:val="00F827FD"/>
    <w:rsid w:val="00F82853"/>
    <w:rsid w:val="00F8285F"/>
    <w:rsid w:val="00F82879"/>
    <w:rsid w:val="00F8292A"/>
    <w:rsid w:val="00F829B6"/>
    <w:rsid w:val="00F829DB"/>
    <w:rsid w:val="00F829F2"/>
    <w:rsid w:val="00F82A44"/>
    <w:rsid w:val="00F82AE0"/>
    <w:rsid w:val="00F82AFC"/>
    <w:rsid w:val="00F82B41"/>
    <w:rsid w:val="00F82BDD"/>
    <w:rsid w:val="00F82C84"/>
    <w:rsid w:val="00F82C94"/>
    <w:rsid w:val="00F82D03"/>
    <w:rsid w:val="00F82D27"/>
    <w:rsid w:val="00F82D67"/>
    <w:rsid w:val="00F82DEF"/>
    <w:rsid w:val="00F82E42"/>
    <w:rsid w:val="00F82E68"/>
    <w:rsid w:val="00F82E9E"/>
    <w:rsid w:val="00F82EA7"/>
    <w:rsid w:val="00F82EBC"/>
    <w:rsid w:val="00F82F27"/>
    <w:rsid w:val="00F82F2F"/>
    <w:rsid w:val="00F82F37"/>
    <w:rsid w:val="00F83015"/>
    <w:rsid w:val="00F8305E"/>
    <w:rsid w:val="00F830A8"/>
    <w:rsid w:val="00F830CA"/>
    <w:rsid w:val="00F83142"/>
    <w:rsid w:val="00F8314F"/>
    <w:rsid w:val="00F83199"/>
    <w:rsid w:val="00F831A4"/>
    <w:rsid w:val="00F83235"/>
    <w:rsid w:val="00F832BA"/>
    <w:rsid w:val="00F832E0"/>
    <w:rsid w:val="00F832E9"/>
    <w:rsid w:val="00F8333F"/>
    <w:rsid w:val="00F83372"/>
    <w:rsid w:val="00F83380"/>
    <w:rsid w:val="00F83443"/>
    <w:rsid w:val="00F83474"/>
    <w:rsid w:val="00F83496"/>
    <w:rsid w:val="00F834FE"/>
    <w:rsid w:val="00F83525"/>
    <w:rsid w:val="00F83566"/>
    <w:rsid w:val="00F8363E"/>
    <w:rsid w:val="00F83679"/>
    <w:rsid w:val="00F83736"/>
    <w:rsid w:val="00F8374C"/>
    <w:rsid w:val="00F837F4"/>
    <w:rsid w:val="00F83806"/>
    <w:rsid w:val="00F8386B"/>
    <w:rsid w:val="00F8389C"/>
    <w:rsid w:val="00F838E1"/>
    <w:rsid w:val="00F83915"/>
    <w:rsid w:val="00F83919"/>
    <w:rsid w:val="00F839F7"/>
    <w:rsid w:val="00F83A0C"/>
    <w:rsid w:val="00F83A1B"/>
    <w:rsid w:val="00F83A50"/>
    <w:rsid w:val="00F83A64"/>
    <w:rsid w:val="00F83AD6"/>
    <w:rsid w:val="00F83B1F"/>
    <w:rsid w:val="00F83B81"/>
    <w:rsid w:val="00F83BB5"/>
    <w:rsid w:val="00F83BDF"/>
    <w:rsid w:val="00F83C09"/>
    <w:rsid w:val="00F83C3F"/>
    <w:rsid w:val="00F83C5A"/>
    <w:rsid w:val="00F83CAC"/>
    <w:rsid w:val="00F83CCA"/>
    <w:rsid w:val="00F83D07"/>
    <w:rsid w:val="00F83DC9"/>
    <w:rsid w:val="00F83E0B"/>
    <w:rsid w:val="00F83E0F"/>
    <w:rsid w:val="00F83E7B"/>
    <w:rsid w:val="00F83EB3"/>
    <w:rsid w:val="00F83F12"/>
    <w:rsid w:val="00F83F58"/>
    <w:rsid w:val="00F83F95"/>
    <w:rsid w:val="00F8408E"/>
    <w:rsid w:val="00F840D7"/>
    <w:rsid w:val="00F84132"/>
    <w:rsid w:val="00F84146"/>
    <w:rsid w:val="00F84174"/>
    <w:rsid w:val="00F841C3"/>
    <w:rsid w:val="00F8422D"/>
    <w:rsid w:val="00F842B3"/>
    <w:rsid w:val="00F84340"/>
    <w:rsid w:val="00F8437D"/>
    <w:rsid w:val="00F843AA"/>
    <w:rsid w:val="00F84400"/>
    <w:rsid w:val="00F84429"/>
    <w:rsid w:val="00F8442F"/>
    <w:rsid w:val="00F84433"/>
    <w:rsid w:val="00F8444F"/>
    <w:rsid w:val="00F844F2"/>
    <w:rsid w:val="00F844F8"/>
    <w:rsid w:val="00F84541"/>
    <w:rsid w:val="00F84548"/>
    <w:rsid w:val="00F84587"/>
    <w:rsid w:val="00F845CC"/>
    <w:rsid w:val="00F845F6"/>
    <w:rsid w:val="00F845F9"/>
    <w:rsid w:val="00F84692"/>
    <w:rsid w:val="00F8469B"/>
    <w:rsid w:val="00F846EA"/>
    <w:rsid w:val="00F8470E"/>
    <w:rsid w:val="00F84773"/>
    <w:rsid w:val="00F84782"/>
    <w:rsid w:val="00F847E5"/>
    <w:rsid w:val="00F847FA"/>
    <w:rsid w:val="00F847FD"/>
    <w:rsid w:val="00F8481B"/>
    <w:rsid w:val="00F84837"/>
    <w:rsid w:val="00F8484D"/>
    <w:rsid w:val="00F848D3"/>
    <w:rsid w:val="00F84903"/>
    <w:rsid w:val="00F849B3"/>
    <w:rsid w:val="00F849BB"/>
    <w:rsid w:val="00F849EF"/>
    <w:rsid w:val="00F84A33"/>
    <w:rsid w:val="00F84A43"/>
    <w:rsid w:val="00F84A60"/>
    <w:rsid w:val="00F84A9A"/>
    <w:rsid w:val="00F84AAD"/>
    <w:rsid w:val="00F84C6A"/>
    <w:rsid w:val="00F84DE4"/>
    <w:rsid w:val="00F84E82"/>
    <w:rsid w:val="00F84EBF"/>
    <w:rsid w:val="00F84F29"/>
    <w:rsid w:val="00F84F30"/>
    <w:rsid w:val="00F84F36"/>
    <w:rsid w:val="00F85007"/>
    <w:rsid w:val="00F850D9"/>
    <w:rsid w:val="00F850DE"/>
    <w:rsid w:val="00F8516B"/>
    <w:rsid w:val="00F85190"/>
    <w:rsid w:val="00F85196"/>
    <w:rsid w:val="00F851CA"/>
    <w:rsid w:val="00F85204"/>
    <w:rsid w:val="00F8522F"/>
    <w:rsid w:val="00F8527F"/>
    <w:rsid w:val="00F8539C"/>
    <w:rsid w:val="00F853A6"/>
    <w:rsid w:val="00F853AD"/>
    <w:rsid w:val="00F853C1"/>
    <w:rsid w:val="00F853DE"/>
    <w:rsid w:val="00F8540A"/>
    <w:rsid w:val="00F85426"/>
    <w:rsid w:val="00F8546E"/>
    <w:rsid w:val="00F85536"/>
    <w:rsid w:val="00F855A2"/>
    <w:rsid w:val="00F855D0"/>
    <w:rsid w:val="00F855EB"/>
    <w:rsid w:val="00F85657"/>
    <w:rsid w:val="00F856C6"/>
    <w:rsid w:val="00F8571C"/>
    <w:rsid w:val="00F85725"/>
    <w:rsid w:val="00F8573D"/>
    <w:rsid w:val="00F85753"/>
    <w:rsid w:val="00F8578B"/>
    <w:rsid w:val="00F85792"/>
    <w:rsid w:val="00F85793"/>
    <w:rsid w:val="00F85846"/>
    <w:rsid w:val="00F8586C"/>
    <w:rsid w:val="00F8586F"/>
    <w:rsid w:val="00F85879"/>
    <w:rsid w:val="00F858BD"/>
    <w:rsid w:val="00F858D9"/>
    <w:rsid w:val="00F85928"/>
    <w:rsid w:val="00F85949"/>
    <w:rsid w:val="00F859FB"/>
    <w:rsid w:val="00F85A1B"/>
    <w:rsid w:val="00F85A40"/>
    <w:rsid w:val="00F85A4E"/>
    <w:rsid w:val="00F85BF1"/>
    <w:rsid w:val="00F85C52"/>
    <w:rsid w:val="00F85C8D"/>
    <w:rsid w:val="00F85CAF"/>
    <w:rsid w:val="00F85CFA"/>
    <w:rsid w:val="00F85D0F"/>
    <w:rsid w:val="00F85D66"/>
    <w:rsid w:val="00F85D9F"/>
    <w:rsid w:val="00F85DB4"/>
    <w:rsid w:val="00F85E09"/>
    <w:rsid w:val="00F85E2C"/>
    <w:rsid w:val="00F85EBD"/>
    <w:rsid w:val="00F85EFC"/>
    <w:rsid w:val="00F85F09"/>
    <w:rsid w:val="00F85F66"/>
    <w:rsid w:val="00F85FFE"/>
    <w:rsid w:val="00F8605C"/>
    <w:rsid w:val="00F860A1"/>
    <w:rsid w:val="00F86121"/>
    <w:rsid w:val="00F8612D"/>
    <w:rsid w:val="00F86165"/>
    <w:rsid w:val="00F86227"/>
    <w:rsid w:val="00F8623C"/>
    <w:rsid w:val="00F86270"/>
    <w:rsid w:val="00F862AA"/>
    <w:rsid w:val="00F862BE"/>
    <w:rsid w:val="00F86376"/>
    <w:rsid w:val="00F86379"/>
    <w:rsid w:val="00F8642E"/>
    <w:rsid w:val="00F864B0"/>
    <w:rsid w:val="00F864F8"/>
    <w:rsid w:val="00F86511"/>
    <w:rsid w:val="00F8655A"/>
    <w:rsid w:val="00F866A2"/>
    <w:rsid w:val="00F866A6"/>
    <w:rsid w:val="00F86705"/>
    <w:rsid w:val="00F86774"/>
    <w:rsid w:val="00F8679C"/>
    <w:rsid w:val="00F867A2"/>
    <w:rsid w:val="00F867AD"/>
    <w:rsid w:val="00F867B7"/>
    <w:rsid w:val="00F8681F"/>
    <w:rsid w:val="00F8684C"/>
    <w:rsid w:val="00F8685C"/>
    <w:rsid w:val="00F868A3"/>
    <w:rsid w:val="00F868D5"/>
    <w:rsid w:val="00F868DC"/>
    <w:rsid w:val="00F868F6"/>
    <w:rsid w:val="00F86931"/>
    <w:rsid w:val="00F869E6"/>
    <w:rsid w:val="00F86AB6"/>
    <w:rsid w:val="00F86AD5"/>
    <w:rsid w:val="00F86B23"/>
    <w:rsid w:val="00F86B31"/>
    <w:rsid w:val="00F86B69"/>
    <w:rsid w:val="00F86C18"/>
    <w:rsid w:val="00F86C51"/>
    <w:rsid w:val="00F86D44"/>
    <w:rsid w:val="00F86D60"/>
    <w:rsid w:val="00F86D69"/>
    <w:rsid w:val="00F86D7F"/>
    <w:rsid w:val="00F86DAF"/>
    <w:rsid w:val="00F86DBC"/>
    <w:rsid w:val="00F86E66"/>
    <w:rsid w:val="00F86E73"/>
    <w:rsid w:val="00F86EDB"/>
    <w:rsid w:val="00F86EFA"/>
    <w:rsid w:val="00F86F5F"/>
    <w:rsid w:val="00F86F66"/>
    <w:rsid w:val="00F86FA6"/>
    <w:rsid w:val="00F87042"/>
    <w:rsid w:val="00F87047"/>
    <w:rsid w:val="00F870B2"/>
    <w:rsid w:val="00F87191"/>
    <w:rsid w:val="00F87192"/>
    <w:rsid w:val="00F87256"/>
    <w:rsid w:val="00F87272"/>
    <w:rsid w:val="00F87286"/>
    <w:rsid w:val="00F872BB"/>
    <w:rsid w:val="00F872CE"/>
    <w:rsid w:val="00F872F7"/>
    <w:rsid w:val="00F872FA"/>
    <w:rsid w:val="00F87335"/>
    <w:rsid w:val="00F873D2"/>
    <w:rsid w:val="00F87401"/>
    <w:rsid w:val="00F87408"/>
    <w:rsid w:val="00F87447"/>
    <w:rsid w:val="00F8747E"/>
    <w:rsid w:val="00F8749F"/>
    <w:rsid w:val="00F8756B"/>
    <w:rsid w:val="00F87640"/>
    <w:rsid w:val="00F87646"/>
    <w:rsid w:val="00F876E1"/>
    <w:rsid w:val="00F876EF"/>
    <w:rsid w:val="00F8771E"/>
    <w:rsid w:val="00F87730"/>
    <w:rsid w:val="00F87770"/>
    <w:rsid w:val="00F87789"/>
    <w:rsid w:val="00F877F7"/>
    <w:rsid w:val="00F87803"/>
    <w:rsid w:val="00F87809"/>
    <w:rsid w:val="00F8784F"/>
    <w:rsid w:val="00F87924"/>
    <w:rsid w:val="00F87940"/>
    <w:rsid w:val="00F87945"/>
    <w:rsid w:val="00F879A8"/>
    <w:rsid w:val="00F879C7"/>
    <w:rsid w:val="00F87A0A"/>
    <w:rsid w:val="00F87A3D"/>
    <w:rsid w:val="00F87A4A"/>
    <w:rsid w:val="00F87ADD"/>
    <w:rsid w:val="00F87AF3"/>
    <w:rsid w:val="00F87B04"/>
    <w:rsid w:val="00F87BC1"/>
    <w:rsid w:val="00F87BC4"/>
    <w:rsid w:val="00F87BE7"/>
    <w:rsid w:val="00F87C28"/>
    <w:rsid w:val="00F87D13"/>
    <w:rsid w:val="00F87D1C"/>
    <w:rsid w:val="00F87D5F"/>
    <w:rsid w:val="00F87DC0"/>
    <w:rsid w:val="00F87DF6"/>
    <w:rsid w:val="00F87DF8"/>
    <w:rsid w:val="00F87E28"/>
    <w:rsid w:val="00F87E44"/>
    <w:rsid w:val="00F87E45"/>
    <w:rsid w:val="00F87E5D"/>
    <w:rsid w:val="00F87EFA"/>
    <w:rsid w:val="00F87F10"/>
    <w:rsid w:val="00F87F13"/>
    <w:rsid w:val="00F87F97"/>
    <w:rsid w:val="00F87FA7"/>
    <w:rsid w:val="00F90048"/>
    <w:rsid w:val="00F90063"/>
    <w:rsid w:val="00F90067"/>
    <w:rsid w:val="00F900BD"/>
    <w:rsid w:val="00F900E3"/>
    <w:rsid w:val="00F9019A"/>
    <w:rsid w:val="00F901CC"/>
    <w:rsid w:val="00F901D4"/>
    <w:rsid w:val="00F901D5"/>
    <w:rsid w:val="00F90220"/>
    <w:rsid w:val="00F90262"/>
    <w:rsid w:val="00F902EC"/>
    <w:rsid w:val="00F9034E"/>
    <w:rsid w:val="00F903CF"/>
    <w:rsid w:val="00F90413"/>
    <w:rsid w:val="00F90441"/>
    <w:rsid w:val="00F9045F"/>
    <w:rsid w:val="00F904EE"/>
    <w:rsid w:val="00F90519"/>
    <w:rsid w:val="00F90556"/>
    <w:rsid w:val="00F90620"/>
    <w:rsid w:val="00F9072B"/>
    <w:rsid w:val="00F9074F"/>
    <w:rsid w:val="00F90751"/>
    <w:rsid w:val="00F907AF"/>
    <w:rsid w:val="00F907D3"/>
    <w:rsid w:val="00F907F9"/>
    <w:rsid w:val="00F9083E"/>
    <w:rsid w:val="00F90843"/>
    <w:rsid w:val="00F908E4"/>
    <w:rsid w:val="00F909B3"/>
    <w:rsid w:val="00F909FC"/>
    <w:rsid w:val="00F90A26"/>
    <w:rsid w:val="00F90A4F"/>
    <w:rsid w:val="00F90B24"/>
    <w:rsid w:val="00F90BAC"/>
    <w:rsid w:val="00F90C11"/>
    <w:rsid w:val="00F90C3E"/>
    <w:rsid w:val="00F90CC3"/>
    <w:rsid w:val="00F90D38"/>
    <w:rsid w:val="00F90D54"/>
    <w:rsid w:val="00F90E5D"/>
    <w:rsid w:val="00F90FBE"/>
    <w:rsid w:val="00F90FEB"/>
    <w:rsid w:val="00F91005"/>
    <w:rsid w:val="00F91006"/>
    <w:rsid w:val="00F91014"/>
    <w:rsid w:val="00F91026"/>
    <w:rsid w:val="00F91049"/>
    <w:rsid w:val="00F9109E"/>
    <w:rsid w:val="00F910FA"/>
    <w:rsid w:val="00F91110"/>
    <w:rsid w:val="00F911B4"/>
    <w:rsid w:val="00F911B5"/>
    <w:rsid w:val="00F91207"/>
    <w:rsid w:val="00F91234"/>
    <w:rsid w:val="00F91350"/>
    <w:rsid w:val="00F91355"/>
    <w:rsid w:val="00F9135C"/>
    <w:rsid w:val="00F91388"/>
    <w:rsid w:val="00F913B7"/>
    <w:rsid w:val="00F913C4"/>
    <w:rsid w:val="00F913E2"/>
    <w:rsid w:val="00F9140F"/>
    <w:rsid w:val="00F9141B"/>
    <w:rsid w:val="00F91478"/>
    <w:rsid w:val="00F9148E"/>
    <w:rsid w:val="00F9149A"/>
    <w:rsid w:val="00F91507"/>
    <w:rsid w:val="00F9151F"/>
    <w:rsid w:val="00F9158C"/>
    <w:rsid w:val="00F915AA"/>
    <w:rsid w:val="00F915E4"/>
    <w:rsid w:val="00F915F0"/>
    <w:rsid w:val="00F916AD"/>
    <w:rsid w:val="00F9170A"/>
    <w:rsid w:val="00F9170D"/>
    <w:rsid w:val="00F9179B"/>
    <w:rsid w:val="00F91873"/>
    <w:rsid w:val="00F918A2"/>
    <w:rsid w:val="00F918A3"/>
    <w:rsid w:val="00F91974"/>
    <w:rsid w:val="00F919AF"/>
    <w:rsid w:val="00F91A39"/>
    <w:rsid w:val="00F91A7A"/>
    <w:rsid w:val="00F91A7E"/>
    <w:rsid w:val="00F91AB8"/>
    <w:rsid w:val="00F91BEF"/>
    <w:rsid w:val="00F91BFC"/>
    <w:rsid w:val="00F91C54"/>
    <w:rsid w:val="00F91D03"/>
    <w:rsid w:val="00F91D20"/>
    <w:rsid w:val="00F91D75"/>
    <w:rsid w:val="00F91D91"/>
    <w:rsid w:val="00F91D9E"/>
    <w:rsid w:val="00F91E43"/>
    <w:rsid w:val="00F91E4E"/>
    <w:rsid w:val="00F91E53"/>
    <w:rsid w:val="00F91E86"/>
    <w:rsid w:val="00F91EC9"/>
    <w:rsid w:val="00F91EDF"/>
    <w:rsid w:val="00F91F46"/>
    <w:rsid w:val="00F91F5B"/>
    <w:rsid w:val="00F92007"/>
    <w:rsid w:val="00F92013"/>
    <w:rsid w:val="00F9205A"/>
    <w:rsid w:val="00F9206D"/>
    <w:rsid w:val="00F92085"/>
    <w:rsid w:val="00F92091"/>
    <w:rsid w:val="00F92117"/>
    <w:rsid w:val="00F92264"/>
    <w:rsid w:val="00F922CB"/>
    <w:rsid w:val="00F922CF"/>
    <w:rsid w:val="00F9231B"/>
    <w:rsid w:val="00F92340"/>
    <w:rsid w:val="00F92354"/>
    <w:rsid w:val="00F92371"/>
    <w:rsid w:val="00F923F9"/>
    <w:rsid w:val="00F92447"/>
    <w:rsid w:val="00F92468"/>
    <w:rsid w:val="00F924D0"/>
    <w:rsid w:val="00F924D4"/>
    <w:rsid w:val="00F9252D"/>
    <w:rsid w:val="00F92549"/>
    <w:rsid w:val="00F9258E"/>
    <w:rsid w:val="00F925F0"/>
    <w:rsid w:val="00F9266A"/>
    <w:rsid w:val="00F9267F"/>
    <w:rsid w:val="00F926DD"/>
    <w:rsid w:val="00F9271F"/>
    <w:rsid w:val="00F9274A"/>
    <w:rsid w:val="00F92754"/>
    <w:rsid w:val="00F927AB"/>
    <w:rsid w:val="00F927DD"/>
    <w:rsid w:val="00F92814"/>
    <w:rsid w:val="00F928DA"/>
    <w:rsid w:val="00F92939"/>
    <w:rsid w:val="00F9295C"/>
    <w:rsid w:val="00F929B5"/>
    <w:rsid w:val="00F929BC"/>
    <w:rsid w:val="00F92A30"/>
    <w:rsid w:val="00F92AE9"/>
    <w:rsid w:val="00F92AF1"/>
    <w:rsid w:val="00F92AFB"/>
    <w:rsid w:val="00F92B09"/>
    <w:rsid w:val="00F92B50"/>
    <w:rsid w:val="00F92B5D"/>
    <w:rsid w:val="00F92B68"/>
    <w:rsid w:val="00F92B86"/>
    <w:rsid w:val="00F92BDB"/>
    <w:rsid w:val="00F92C3F"/>
    <w:rsid w:val="00F92C84"/>
    <w:rsid w:val="00F92D7C"/>
    <w:rsid w:val="00F92D87"/>
    <w:rsid w:val="00F92D9F"/>
    <w:rsid w:val="00F92E51"/>
    <w:rsid w:val="00F92EB5"/>
    <w:rsid w:val="00F92EED"/>
    <w:rsid w:val="00F92F40"/>
    <w:rsid w:val="00F92F4B"/>
    <w:rsid w:val="00F92F68"/>
    <w:rsid w:val="00F92F7A"/>
    <w:rsid w:val="00F92FBE"/>
    <w:rsid w:val="00F9309B"/>
    <w:rsid w:val="00F930B1"/>
    <w:rsid w:val="00F930C9"/>
    <w:rsid w:val="00F93169"/>
    <w:rsid w:val="00F93171"/>
    <w:rsid w:val="00F93187"/>
    <w:rsid w:val="00F93191"/>
    <w:rsid w:val="00F931EA"/>
    <w:rsid w:val="00F931F3"/>
    <w:rsid w:val="00F9320E"/>
    <w:rsid w:val="00F93254"/>
    <w:rsid w:val="00F932AC"/>
    <w:rsid w:val="00F932D0"/>
    <w:rsid w:val="00F932EA"/>
    <w:rsid w:val="00F9331A"/>
    <w:rsid w:val="00F93331"/>
    <w:rsid w:val="00F933AA"/>
    <w:rsid w:val="00F933C5"/>
    <w:rsid w:val="00F933CF"/>
    <w:rsid w:val="00F93474"/>
    <w:rsid w:val="00F934A6"/>
    <w:rsid w:val="00F9360F"/>
    <w:rsid w:val="00F93627"/>
    <w:rsid w:val="00F93679"/>
    <w:rsid w:val="00F9367F"/>
    <w:rsid w:val="00F9370B"/>
    <w:rsid w:val="00F9374B"/>
    <w:rsid w:val="00F93807"/>
    <w:rsid w:val="00F93810"/>
    <w:rsid w:val="00F9386C"/>
    <w:rsid w:val="00F938CF"/>
    <w:rsid w:val="00F938E1"/>
    <w:rsid w:val="00F938FB"/>
    <w:rsid w:val="00F93967"/>
    <w:rsid w:val="00F939B1"/>
    <w:rsid w:val="00F93AE9"/>
    <w:rsid w:val="00F93BBD"/>
    <w:rsid w:val="00F93BF5"/>
    <w:rsid w:val="00F93C04"/>
    <w:rsid w:val="00F93C24"/>
    <w:rsid w:val="00F93C2C"/>
    <w:rsid w:val="00F93C34"/>
    <w:rsid w:val="00F93C74"/>
    <w:rsid w:val="00F93C9E"/>
    <w:rsid w:val="00F93CA7"/>
    <w:rsid w:val="00F93CB9"/>
    <w:rsid w:val="00F93CD0"/>
    <w:rsid w:val="00F93DB7"/>
    <w:rsid w:val="00F93DD8"/>
    <w:rsid w:val="00F93E2F"/>
    <w:rsid w:val="00F93E5E"/>
    <w:rsid w:val="00F93E62"/>
    <w:rsid w:val="00F93E6C"/>
    <w:rsid w:val="00F93E70"/>
    <w:rsid w:val="00F93E9F"/>
    <w:rsid w:val="00F93EC7"/>
    <w:rsid w:val="00F93ED1"/>
    <w:rsid w:val="00F93F73"/>
    <w:rsid w:val="00F93FAF"/>
    <w:rsid w:val="00F94012"/>
    <w:rsid w:val="00F94025"/>
    <w:rsid w:val="00F9404E"/>
    <w:rsid w:val="00F940C9"/>
    <w:rsid w:val="00F94119"/>
    <w:rsid w:val="00F94135"/>
    <w:rsid w:val="00F9417C"/>
    <w:rsid w:val="00F94257"/>
    <w:rsid w:val="00F94259"/>
    <w:rsid w:val="00F94269"/>
    <w:rsid w:val="00F942D8"/>
    <w:rsid w:val="00F942E8"/>
    <w:rsid w:val="00F942F8"/>
    <w:rsid w:val="00F9439F"/>
    <w:rsid w:val="00F94474"/>
    <w:rsid w:val="00F94488"/>
    <w:rsid w:val="00F944BE"/>
    <w:rsid w:val="00F944E6"/>
    <w:rsid w:val="00F9453E"/>
    <w:rsid w:val="00F9458E"/>
    <w:rsid w:val="00F94592"/>
    <w:rsid w:val="00F945CD"/>
    <w:rsid w:val="00F94633"/>
    <w:rsid w:val="00F94637"/>
    <w:rsid w:val="00F9464C"/>
    <w:rsid w:val="00F94683"/>
    <w:rsid w:val="00F946B5"/>
    <w:rsid w:val="00F946F1"/>
    <w:rsid w:val="00F94710"/>
    <w:rsid w:val="00F94754"/>
    <w:rsid w:val="00F9479E"/>
    <w:rsid w:val="00F947A5"/>
    <w:rsid w:val="00F947EB"/>
    <w:rsid w:val="00F94846"/>
    <w:rsid w:val="00F94882"/>
    <w:rsid w:val="00F9489C"/>
    <w:rsid w:val="00F948D5"/>
    <w:rsid w:val="00F94910"/>
    <w:rsid w:val="00F94917"/>
    <w:rsid w:val="00F94943"/>
    <w:rsid w:val="00F9496A"/>
    <w:rsid w:val="00F94A13"/>
    <w:rsid w:val="00F94A2D"/>
    <w:rsid w:val="00F94A4C"/>
    <w:rsid w:val="00F94A89"/>
    <w:rsid w:val="00F94ADA"/>
    <w:rsid w:val="00F94B24"/>
    <w:rsid w:val="00F94B73"/>
    <w:rsid w:val="00F94B9F"/>
    <w:rsid w:val="00F94BB4"/>
    <w:rsid w:val="00F94BB6"/>
    <w:rsid w:val="00F94BC6"/>
    <w:rsid w:val="00F94CDD"/>
    <w:rsid w:val="00F94DB1"/>
    <w:rsid w:val="00F94E36"/>
    <w:rsid w:val="00F94EEA"/>
    <w:rsid w:val="00F94F3A"/>
    <w:rsid w:val="00F94F42"/>
    <w:rsid w:val="00F94FCD"/>
    <w:rsid w:val="00F94FDE"/>
    <w:rsid w:val="00F94FEB"/>
    <w:rsid w:val="00F9501A"/>
    <w:rsid w:val="00F9508F"/>
    <w:rsid w:val="00F950A1"/>
    <w:rsid w:val="00F950C6"/>
    <w:rsid w:val="00F9510A"/>
    <w:rsid w:val="00F9511C"/>
    <w:rsid w:val="00F9516D"/>
    <w:rsid w:val="00F951A1"/>
    <w:rsid w:val="00F951D4"/>
    <w:rsid w:val="00F9521C"/>
    <w:rsid w:val="00F95284"/>
    <w:rsid w:val="00F952F3"/>
    <w:rsid w:val="00F9533F"/>
    <w:rsid w:val="00F95399"/>
    <w:rsid w:val="00F953A6"/>
    <w:rsid w:val="00F95419"/>
    <w:rsid w:val="00F95430"/>
    <w:rsid w:val="00F9544D"/>
    <w:rsid w:val="00F9550C"/>
    <w:rsid w:val="00F95525"/>
    <w:rsid w:val="00F955C9"/>
    <w:rsid w:val="00F95692"/>
    <w:rsid w:val="00F956A6"/>
    <w:rsid w:val="00F956E6"/>
    <w:rsid w:val="00F956F8"/>
    <w:rsid w:val="00F95743"/>
    <w:rsid w:val="00F95758"/>
    <w:rsid w:val="00F95815"/>
    <w:rsid w:val="00F95874"/>
    <w:rsid w:val="00F958B5"/>
    <w:rsid w:val="00F958B8"/>
    <w:rsid w:val="00F95919"/>
    <w:rsid w:val="00F95964"/>
    <w:rsid w:val="00F95A25"/>
    <w:rsid w:val="00F95A7F"/>
    <w:rsid w:val="00F95B57"/>
    <w:rsid w:val="00F95BB1"/>
    <w:rsid w:val="00F95BFB"/>
    <w:rsid w:val="00F95BFE"/>
    <w:rsid w:val="00F95C07"/>
    <w:rsid w:val="00F95C11"/>
    <w:rsid w:val="00F95C44"/>
    <w:rsid w:val="00F95C61"/>
    <w:rsid w:val="00F95CA7"/>
    <w:rsid w:val="00F95D19"/>
    <w:rsid w:val="00F95D78"/>
    <w:rsid w:val="00F95D82"/>
    <w:rsid w:val="00F95E5D"/>
    <w:rsid w:val="00F95E6D"/>
    <w:rsid w:val="00F95E72"/>
    <w:rsid w:val="00F95E74"/>
    <w:rsid w:val="00F95F12"/>
    <w:rsid w:val="00F95F19"/>
    <w:rsid w:val="00F95F9C"/>
    <w:rsid w:val="00F95FA7"/>
    <w:rsid w:val="00F96025"/>
    <w:rsid w:val="00F96057"/>
    <w:rsid w:val="00F960A5"/>
    <w:rsid w:val="00F960C8"/>
    <w:rsid w:val="00F960EA"/>
    <w:rsid w:val="00F9610F"/>
    <w:rsid w:val="00F9626D"/>
    <w:rsid w:val="00F962B4"/>
    <w:rsid w:val="00F96334"/>
    <w:rsid w:val="00F96352"/>
    <w:rsid w:val="00F96363"/>
    <w:rsid w:val="00F96430"/>
    <w:rsid w:val="00F9649F"/>
    <w:rsid w:val="00F964B5"/>
    <w:rsid w:val="00F96546"/>
    <w:rsid w:val="00F9657E"/>
    <w:rsid w:val="00F965B6"/>
    <w:rsid w:val="00F965D8"/>
    <w:rsid w:val="00F96603"/>
    <w:rsid w:val="00F96695"/>
    <w:rsid w:val="00F966A3"/>
    <w:rsid w:val="00F96789"/>
    <w:rsid w:val="00F96813"/>
    <w:rsid w:val="00F96822"/>
    <w:rsid w:val="00F96889"/>
    <w:rsid w:val="00F968CD"/>
    <w:rsid w:val="00F9698D"/>
    <w:rsid w:val="00F969DE"/>
    <w:rsid w:val="00F969FC"/>
    <w:rsid w:val="00F96A07"/>
    <w:rsid w:val="00F96AAA"/>
    <w:rsid w:val="00F96AC5"/>
    <w:rsid w:val="00F96AF8"/>
    <w:rsid w:val="00F96B28"/>
    <w:rsid w:val="00F96C65"/>
    <w:rsid w:val="00F96D12"/>
    <w:rsid w:val="00F96D6C"/>
    <w:rsid w:val="00F96E28"/>
    <w:rsid w:val="00F96E34"/>
    <w:rsid w:val="00F96EC6"/>
    <w:rsid w:val="00F96F1A"/>
    <w:rsid w:val="00F96F32"/>
    <w:rsid w:val="00F96FED"/>
    <w:rsid w:val="00F97013"/>
    <w:rsid w:val="00F97020"/>
    <w:rsid w:val="00F97101"/>
    <w:rsid w:val="00F97160"/>
    <w:rsid w:val="00F971B2"/>
    <w:rsid w:val="00F971EC"/>
    <w:rsid w:val="00F97282"/>
    <w:rsid w:val="00F972CD"/>
    <w:rsid w:val="00F972FC"/>
    <w:rsid w:val="00F9735F"/>
    <w:rsid w:val="00F97372"/>
    <w:rsid w:val="00F973E4"/>
    <w:rsid w:val="00F974EF"/>
    <w:rsid w:val="00F97500"/>
    <w:rsid w:val="00F97503"/>
    <w:rsid w:val="00F97553"/>
    <w:rsid w:val="00F97589"/>
    <w:rsid w:val="00F9758A"/>
    <w:rsid w:val="00F9766C"/>
    <w:rsid w:val="00F976AD"/>
    <w:rsid w:val="00F976BA"/>
    <w:rsid w:val="00F976C7"/>
    <w:rsid w:val="00F976F6"/>
    <w:rsid w:val="00F97724"/>
    <w:rsid w:val="00F9778E"/>
    <w:rsid w:val="00F977C9"/>
    <w:rsid w:val="00F97858"/>
    <w:rsid w:val="00F97869"/>
    <w:rsid w:val="00F978CD"/>
    <w:rsid w:val="00F979B9"/>
    <w:rsid w:val="00F979C2"/>
    <w:rsid w:val="00F97A56"/>
    <w:rsid w:val="00F97A99"/>
    <w:rsid w:val="00F97AB9"/>
    <w:rsid w:val="00F97AC2"/>
    <w:rsid w:val="00F97B26"/>
    <w:rsid w:val="00F97B32"/>
    <w:rsid w:val="00F97B4D"/>
    <w:rsid w:val="00F97BAA"/>
    <w:rsid w:val="00F97BD9"/>
    <w:rsid w:val="00F97C34"/>
    <w:rsid w:val="00F97C82"/>
    <w:rsid w:val="00F97CB0"/>
    <w:rsid w:val="00F97CC6"/>
    <w:rsid w:val="00F97CDB"/>
    <w:rsid w:val="00F97D14"/>
    <w:rsid w:val="00F97D72"/>
    <w:rsid w:val="00F97DC8"/>
    <w:rsid w:val="00F97F05"/>
    <w:rsid w:val="00F97F4B"/>
    <w:rsid w:val="00F97FB4"/>
    <w:rsid w:val="00F97FD2"/>
    <w:rsid w:val="00F97FDD"/>
    <w:rsid w:val="00FA000E"/>
    <w:rsid w:val="00FA00D8"/>
    <w:rsid w:val="00FA018B"/>
    <w:rsid w:val="00FA01BE"/>
    <w:rsid w:val="00FA01EF"/>
    <w:rsid w:val="00FA01FC"/>
    <w:rsid w:val="00FA0234"/>
    <w:rsid w:val="00FA0319"/>
    <w:rsid w:val="00FA032B"/>
    <w:rsid w:val="00FA03E5"/>
    <w:rsid w:val="00FA042C"/>
    <w:rsid w:val="00FA0436"/>
    <w:rsid w:val="00FA0454"/>
    <w:rsid w:val="00FA0469"/>
    <w:rsid w:val="00FA04D0"/>
    <w:rsid w:val="00FA04FA"/>
    <w:rsid w:val="00FA052E"/>
    <w:rsid w:val="00FA053D"/>
    <w:rsid w:val="00FA0562"/>
    <w:rsid w:val="00FA0574"/>
    <w:rsid w:val="00FA05F2"/>
    <w:rsid w:val="00FA0622"/>
    <w:rsid w:val="00FA062B"/>
    <w:rsid w:val="00FA06F0"/>
    <w:rsid w:val="00FA06FF"/>
    <w:rsid w:val="00FA0709"/>
    <w:rsid w:val="00FA071E"/>
    <w:rsid w:val="00FA07D9"/>
    <w:rsid w:val="00FA0800"/>
    <w:rsid w:val="00FA0815"/>
    <w:rsid w:val="00FA0817"/>
    <w:rsid w:val="00FA081F"/>
    <w:rsid w:val="00FA0868"/>
    <w:rsid w:val="00FA0887"/>
    <w:rsid w:val="00FA08B6"/>
    <w:rsid w:val="00FA09A7"/>
    <w:rsid w:val="00FA09C7"/>
    <w:rsid w:val="00FA0A1E"/>
    <w:rsid w:val="00FA0A24"/>
    <w:rsid w:val="00FA0A40"/>
    <w:rsid w:val="00FA0A7D"/>
    <w:rsid w:val="00FA0A82"/>
    <w:rsid w:val="00FA0AE9"/>
    <w:rsid w:val="00FA0B10"/>
    <w:rsid w:val="00FA0B15"/>
    <w:rsid w:val="00FA0B4E"/>
    <w:rsid w:val="00FA0B59"/>
    <w:rsid w:val="00FA0BBB"/>
    <w:rsid w:val="00FA0BCB"/>
    <w:rsid w:val="00FA0C19"/>
    <w:rsid w:val="00FA0C44"/>
    <w:rsid w:val="00FA0C75"/>
    <w:rsid w:val="00FA0CD7"/>
    <w:rsid w:val="00FA0CF7"/>
    <w:rsid w:val="00FA0D8C"/>
    <w:rsid w:val="00FA0DBD"/>
    <w:rsid w:val="00FA0E4E"/>
    <w:rsid w:val="00FA0E72"/>
    <w:rsid w:val="00FA0EC7"/>
    <w:rsid w:val="00FA0F30"/>
    <w:rsid w:val="00FA0F9E"/>
    <w:rsid w:val="00FA0FC4"/>
    <w:rsid w:val="00FA0FD2"/>
    <w:rsid w:val="00FA0FF0"/>
    <w:rsid w:val="00FA0FF7"/>
    <w:rsid w:val="00FA1000"/>
    <w:rsid w:val="00FA1006"/>
    <w:rsid w:val="00FA1036"/>
    <w:rsid w:val="00FA1052"/>
    <w:rsid w:val="00FA1053"/>
    <w:rsid w:val="00FA10A8"/>
    <w:rsid w:val="00FA10A9"/>
    <w:rsid w:val="00FA10E4"/>
    <w:rsid w:val="00FA1174"/>
    <w:rsid w:val="00FA117C"/>
    <w:rsid w:val="00FA11A5"/>
    <w:rsid w:val="00FA11F0"/>
    <w:rsid w:val="00FA1275"/>
    <w:rsid w:val="00FA1286"/>
    <w:rsid w:val="00FA129D"/>
    <w:rsid w:val="00FA1366"/>
    <w:rsid w:val="00FA139B"/>
    <w:rsid w:val="00FA13AB"/>
    <w:rsid w:val="00FA13CE"/>
    <w:rsid w:val="00FA13D1"/>
    <w:rsid w:val="00FA1407"/>
    <w:rsid w:val="00FA145D"/>
    <w:rsid w:val="00FA14C9"/>
    <w:rsid w:val="00FA14CD"/>
    <w:rsid w:val="00FA1564"/>
    <w:rsid w:val="00FA162B"/>
    <w:rsid w:val="00FA167D"/>
    <w:rsid w:val="00FA16E6"/>
    <w:rsid w:val="00FA16FF"/>
    <w:rsid w:val="00FA1701"/>
    <w:rsid w:val="00FA1731"/>
    <w:rsid w:val="00FA17D4"/>
    <w:rsid w:val="00FA1828"/>
    <w:rsid w:val="00FA182E"/>
    <w:rsid w:val="00FA183B"/>
    <w:rsid w:val="00FA18A1"/>
    <w:rsid w:val="00FA18C5"/>
    <w:rsid w:val="00FA1925"/>
    <w:rsid w:val="00FA196E"/>
    <w:rsid w:val="00FA1987"/>
    <w:rsid w:val="00FA19EF"/>
    <w:rsid w:val="00FA19F8"/>
    <w:rsid w:val="00FA1ABD"/>
    <w:rsid w:val="00FA1AEE"/>
    <w:rsid w:val="00FA1B0A"/>
    <w:rsid w:val="00FA1B98"/>
    <w:rsid w:val="00FA1C28"/>
    <w:rsid w:val="00FA1C7A"/>
    <w:rsid w:val="00FA1D0A"/>
    <w:rsid w:val="00FA1D5D"/>
    <w:rsid w:val="00FA1E3B"/>
    <w:rsid w:val="00FA1E8D"/>
    <w:rsid w:val="00FA1EA4"/>
    <w:rsid w:val="00FA1EA6"/>
    <w:rsid w:val="00FA1EFA"/>
    <w:rsid w:val="00FA1EFD"/>
    <w:rsid w:val="00FA1F92"/>
    <w:rsid w:val="00FA200E"/>
    <w:rsid w:val="00FA2093"/>
    <w:rsid w:val="00FA20E3"/>
    <w:rsid w:val="00FA2148"/>
    <w:rsid w:val="00FA21AD"/>
    <w:rsid w:val="00FA21CB"/>
    <w:rsid w:val="00FA221D"/>
    <w:rsid w:val="00FA225F"/>
    <w:rsid w:val="00FA232A"/>
    <w:rsid w:val="00FA2386"/>
    <w:rsid w:val="00FA23F2"/>
    <w:rsid w:val="00FA2405"/>
    <w:rsid w:val="00FA24BA"/>
    <w:rsid w:val="00FA251C"/>
    <w:rsid w:val="00FA254A"/>
    <w:rsid w:val="00FA265D"/>
    <w:rsid w:val="00FA267B"/>
    <w:rsid w:val="00FA26CA"/>
    <w:rsid w:val="00FA2703"/>
    <w:rsid w:val="00FA2711"/>
    <w:rsid w:val="00FA277E"/>
    <w:rsid w:val="00FA27C1"/>
    <w:rsid w:val="00FA27C9"/>
    <w:rsid w:val="00FA285F"/>
    <w:rsid w:val="00FA28F6"/>
    <w:rsid w:val="00FA291B"/>
    <w:rsid w:val="00FA29AC"/>
    <w:rsid w:val="00FA29B9"/>
    <w:rsid w:val="00FA2B74"/>
    <w:rsid w:val="00FA2BA9"/>
    <w:rsid w:val="00FA2BE6"/>
    <w:rsid w:val="00FA2C32"/>
    <w:rsid w:val="00FA2C43"/>
    <w:rsid w:val="00FA2C46"/>
    <w:rsid w:val="00FA2CBF"/>
    <w:rsid w:val="00FA2D02"/>
    <w:rsid w:val="00FA2D18"/>
    <w:rsid w:val="00FA2DDE"/>
    <w:rsid w:val="00FA2DED"/>
    <w:rsid w:val="00FA2E3F"/>
    <w:rsid w:val="00FA2E82"/>
    <w:rsid w:val="00FA2EBC"/>
    <w:rsid w:val="00FA2EC6"/>
    <w:rsid w:val="00FA2F87"/>
    <w:rsid w:val="00FA2FD4"/>
    <w:rsid w:val="00FA3059"/>
    <w:rsid w:val="00FA3064"/>
    <w:rsid w:val="00FA30C2"/>
    <w:rsid w:val="00FA30CF"/>
    <w:rsid w:val="00FA3105"/>
    <w:rsid w:val="00FA311A"/>
    <w:rsid w:val="00FA3127"/>
    <w:rsid w:val="00FA3137"/>
    <w:rsid w:val="00FA3180"/>
    <w:rsid w:val="00FA31B8"/>
    <w:rsid w:val="00FA31C7"/>
    <w:rsid w:val="00FA31E0"/>
    <w:rsid w:val="00FA3259"/>
    <w:rsid w:val="00FA32F3"/>
    <w:rsid w:val="00FA333B"/>
    <w:rsid w:val="00FA33D6"/>
    <w:rsid w:val="00FA3405"/>
    <w:rsid w:val="00FA342C"/>
    <w:rsid w:val="00FA34CA"/>
    <w:rsid w:val="00FA3528"/>
    <w:rsid w:val="00FA3542"/>
    <w:rsid w:val="00FA3552"/>
    <w:rsid w:val="00FA3602"/>
    <w:rsid w:val="00FA3630"/>
    <w:rsid w:val="00FA364C"/>
    <w:rsid w:val="00FA3650"/>
    <w:rsid w:val="00FA3691"/>
    <w:rsid w:val="00FA36FD"/>
    <w:rsid w:val="00FA3721"/>
    <w:rsid w:val="00FA38C6"/>
    <w:rsid w:val="00FA394C"/>
    <w:rsid w:val="00FA39EA"/>
    <w:rsid w:val="00FA3A44"/>
    <w:rsid w:val="00FA3A4A"/>
    <w:rsid w:val="00FA3A53"/>
    <w:rsid w:val="00FA3AB2"/>
    <w:rsid w:val="00FA3B84"/>
    <w:rsid w:val="00FA3BE6"/>
    <w:rsid w:val="00FA3C56"/>
    <w:rsid w:val="00FA3C81"/>
    <w:rsid w:val="00FA3C91"/>
    <w:rsid w:val="00FA3CCB"/>
    <w:rsid w:val="00FA3CF3"/>
    <w:rsid w:val="00FA3DE6"/>
    <w:rsid w:val="00FA3DF4"/>
    <w:rsid w:val="00FA3E22"/>
    <w:rsid w:val="00FA3E63"/>
    <w:rsid w:val="00FA3E98"/>
    <w:rsid w:val="00FA3FEA"/>
    <w:rsid w:val="00FA4099"/>
    <w:rsid w:val="00FA40A8"/>
    <w:rsid w:val="00FA40B9"/>
    <w:rsid w:val="00FA40D5"/>
    <w:rsid w:val="00FA4125"/>
    <w:rsid w:val="00FA41E0"/>
    <w:rsid w:val="00FA420D"/>
    <w:rsid w:val="00FA4230"/>
    <w:rsid w:val="00FA424C"/>
    <w:rsid w:val="00FA4318"/>
    <w:rsid w:val="00FA4387"/>
    <w:rsid w:val="00FA43E7"/>
    <w:rsid w:val="00FA4404"/>
    <w:rsid w:val="00FA446A"/>
    <w:rsid w:val="00FA4472"/>
    <w:rsid w:val="00FA449A"/>
    <w:rsid w:val="00FA4504"/>
    <w:rsid w:val="00FA4553"/>
    <w:rsid w:val="00FA45B1"/>
    <w:rsid w:val="00FA464F"/>
    <w:rsid w:val="00FA4687"/>
    <w:rsid w:val="00FA46D9"/>
    <w:rsid w:val="00FA46F8"/>
    <w:rsid w:val="00FA4719"/>
    <w:rsid w:val="00FA484B"/>
    <w:rsid w:val="00FA485F"/>
    <w:rsid w:val="00FA48A0"/>
    <w:rsid w:val="00FA48A4"/>
    <w:rsid w:val="00FA48B0"/>
    <w:rsid w:val="00FA48F9"/>
    <w:rsid w:val="00FA496A"/>
    <w:rsid w:val="00FA49CC"/>
    <w:rsid w:val="00FA4A00"/>
    <w:rsid w:val="00FA4A5B"/>
    <w:rsid w:val="00FA4A74"/>
    <w:rsid w:val="00FA4A90"/>
    <w:rsid w:val="00FA4AD9"/>
    <w:rsid w:val="00FA4B20"/>
    <w:rsid w:val="00FA4BEA"/>
    <w:rsid w:val="00FA4BF3"/>
    <w:rsid w:val="00FA4BF7"/>
    <w:rsid w:val="00FA4C43"/>
    <w:rsid w:val="00FA4CB9"/>
    <w:rsid w:val="00FA4CD2"/>
    <w:rsid w:val="00FA4D35"/>
    <w:rsid w:val="00FA4D4C"/>
    <w:rsid w:val="00FA4D51"/>
    <w:rsid w:val="00FA4D64"/>
    <w:rsid w:val="00FA4D95"/>
    <w:rsid w:val="00FA4DAD"/>
    <w:rsid w:val="00FA4E3D"/>
    <w:rsid w:val="00FA4E6B"/>
    <w:rsid w:val="00FA4EE9"/>
    <w:rsid w:val="00FA4F4A"/>
    <w:rsid w:val="00FA4F4D"/>
    <w:rsid w:val="00FA4F85"/>
    <w:rsid w:val="00FA500C"/>
    <w:rsid w:val="00FA5010"/>
    <w:rsid w:val="00FA50DF"/>
    <w:rsid w:val="00FA513D"/>
    <w:rsid w:val="00FA5190"/>
    <w:rsid w:val="00FA51AA"/>
    <w:rsid w:val="00FA51B4"/>
    <w:rsid w:val="00FA51D4"/>
    <w:rsid w:val="00FA51F5"/>
    <w:rsid w:val="00FA52AC"/>
    <w:rsid w:val="00FA5322"/>
    <w:rsid w:val="00FA538E"/>
    <w:rsid w:val="00FA5395"/>
    <w:rsid w:val="00FA53AB"/>
    <w:rsid w:val="00FA53C4"/>
    <w:rsid w:val="00FA53D1"/>
    <w:rsid w:val="00FA53E3"/>
    <w:rsid w:val="00FA5415"/>
    <w:rsid w:val="00FA5458"/>
    <w:rsid w:val="00FA5494"/>
    <w:rsid w:val="00FA54D1"/>
    <w:rsid w:val="00FA5532"/>
    <w:rsid w:val="00FA557C"/>
    <w:rsid w:val="00FA558A"/>
    <w:rsid w:val="00FA559A"/>
    <w:rsid w:val="00FA5627"/>
    <w:rsid w:val="00FA5644"/>
    <w:rsid w:val="00FA56DF"/>
    <w:rsid w:val="00FA5705"/>
    <w:rsid w:val="00FA570A"/>
    <w:rsid w:val="00FA5755"/>
    <w:rsid w:val="00FA5756"/>
    <w:rsid w:val="00FA57C5"/>
    <w:rsid w:val="00FA57EA"/>
    <w:rsid w:val="00FA57FE"/>
    <w:rsid w:val="00FA583D"/>
    <w:rsid w:val="00FA584D"/>
    <w:rsid w:val="00FA5862"/>
    <w:rsid w:val="00FA586F"/>
    <w:rsid w:val="00FA5889"/>
    <w:rsid w:val="00FA58C3"/>
    <w:rsid w:val="00FA58FC"/>
    <w:rsid w:val="00FA593A"/>
    <w:rsid w:val="00FA59B1"/>
    <w:rsid w:val="00FA59EA"/>
    <w:rsid w:val="00FA5A2E"/>
    <w:rsid w:val="00FA5AB5"/>
    <w:rsid w:val="00FA5AB7"/>
    <w:rsid w:val="00FA5AC3"/>
    <w:rsid w:val="00FA5B12"/>
    <w:rsid w:val="00FA5B6C"/>
    <w:rsid w:val="00FA5B76"/>
    <w:rsid w:val="00FA5B90"/>
    <w:rsid w:val="00FA5C0C"/>
    <w:rsid w:val="00FA5C46"/>
    <w:rsid w:val="00FA5C64"/>
    <w:rsid w:val="00FA5C92"/>
    <w:rsid w:val="00FA5D35"/>
    <w:rsid w:val="00FA5DC3"/>
    <w:rsid w:val="00FA5E20"/>
    <w:rsid w:val="00FA5E39"/>
    <w:rsid w:val="00FA5E54"/>
    <w:rsid w:val="00FA5E61"/>
    <w:rsid w:val="00FA5E7D"/>
    <w:rsid w:val="00FA5EBB"/>
    <w:rsid w:val="00FA5EE1"/>
    <w:rsid w:val="00FA5EFE"/>
    <w:rsid w:val="00FA5F22"/>
    <w:rsid w:val="00FA5F23"/>
    <w:rsid w:val="00FA5F8C"/>
    <w:rsid w:val="00FA6057"/>
    <w:rsid w:val="00FA607E"/>
    <w:rsid w:val="00FA60A3"/>
    <w:rsid w:val="00FA60A9"/>
    <w:rsid w:val="00FA612F"/>
    <w:rsid w:val="00FA61DD"/>
    <w:rsid w:val="00FA624C"/>
    <w:rsid w:val="00FA6316"/>
    <w:rsid w:val="00FA632A"/>
    <w:rsid w:val="00FA635B"/>
    <w:rsid w:val="00FA63C9"/>
    <w:rsid w:val="00FA6442"/>
    <w:rsid w:val="00FA6454"/>
    <w:rsid w:val="00FA64C0"/>
    <w:rsid w:val="00FA64D7"/>
    <w:rsid w:val="00FA6572"/>
    <w:rsid w:val="00FA65AE"/>
    <w:rsid w:val="00FA65B7"/>
    <w:rsid w:val="00FA65EE"/>
    <w:rsid w:val="00FA6603"/>
    <w:rsid w:val="00FA662D"/>
    <w:rsid w:val="00FA664D"/>
    <w:rsid w:val="00FA666C"/>
    <w:rsid w:val="00FA6686"/>
    <w:rsid w:val="00FA66A6"/>
    <w:rsid w:val="00FA6742"/>
    <w:rsid w:val="00FA6761"/>
    <w:rsid w:val="00FA6772"/>
    <w:rsid w:val="00FA677A"/>
    <w:rsid w:val="00FA678A"/>
    <w:rsid w:val="00FA68C8"/>
    <w:rsid w:val="00FA68D9"/>
    <w:rsid w:val="00FA6908"/>
    <w:rsid w:val="00FA6964"/>
    <w:rsid w:val="00FA697F"/>
    <w:rsid w:val="00FA69C4"/>
    <w:rsid w:val="00FA69CE"/>
    <w:rsid w:val="00FA6A14"/>
    <w:rsid w:val="00FA6A60"/>
    <w:rsid w:val="00FA6A6B"/>
    <w:rsid w:val="00FA6A6E"/>
    <w:rsid w:val="00FA6B39"/>
    <w:rsid w:val="00FA6B68"/>
    <w:rsid w:val="00FA6B75"/>
    <w:rsid w:val="00FA6BB4"/>
    <w:rsid w:val="00FA6BD3"/>
    <w:rsid w:val="00FA6C76"/>
    <w:rsid w:val="00FA6E08"/>
    <w:rsid w:val="00FA6E68"/>
    <w:rsid w:val="00FA6E88"/>
    <w:rsid w:val="00FA6EF2"/>
    <w:rsid w:val="00FA6F6E"/>
    <w:rsid w:val="00FA6FEA"/>
    <w:rsid w:val="00FA702C"/>
    <w:rsid w:val="00FA71A7"/>
    <w:rsid w:val="00FA723F"/>
    <w:rsid w:val="00FA7252"/>
    <w:rsid w:val="00FA7275"/>
    <w:rsid w:val="00FA72B0"/>
    <w:rsid w:val="00FA7322"/>
    <w:rsid w:val="00FA7328"/>
    <w:rsid w:val="00FA7345"/>
    <w:rsid w:val="00FA7370"/>
    <w:rsid w:val="00FA73A5"/>
    <w:rsid w:val="00FA73B9"/>
    <w:rsid w:val="00FA73C4"/>
    <w:rsid w:val="00FA742C"/>
    <w:rsid w:val="00FA742F"/>
    <w:rsid w:val="00FA7485"/>
    <w:rsid w:val="00FA7509"/>
    <w:rsid w:val="00FA7576"/>
    <w:rsid w:val="00FA75A3"/>
    <w:rsid w:val="00FA75D1"/>
    <w:rsid w:val="00FA75ED"/>
    <w:rsid w:val="00FA7624"/>
    <w:rsid w:val="00FA7647"/>
    <w:rsid w:val="00FA766B"/>
    <w:rsid w:val="00FA7670"/>
    <w:rsid w:val="00FA774A"/>
    <w:rsid w:val="00FA779E"/>
    <w:rsid w:val="00FA77EA"/>
    <w:rsid w:val="00FA780B"/>
    <w:rsid w:val="00FA7815"/>
    <w:rsid w:val="00FA7817"/>
    <w:rsid w:val="00FA787F"/>
    <w:rsid w:val="00FA78CE"/>
    <w:rsid w:val="00FA7906"/>
    <w:rsid w:val="00FA7919"/>
    <w:rsid w:val="00FA794E"/>
    <w:rsid w:val="00FA794F"/>
    <w:rsid w:val="00FA7989"/>
    <w:rsid w:val="00FA79CC"/>
    <w:rsid w:val="00FA79DC"/>
    <w:rsid w:val="00FA7A0C"/>
    <w:rsid w:val="00FA7A23"/>
    <w:rsid w:val="00FA7A32"/>
    <w:rsid w:val="00FA7A7A"/>
    <w:rsid w:val="00FA7AA1"/>
    <w:rsid w:val="00FA7B6F"/>
    <w:rsid w:val="00FA7BB0"/>
    <w:rsid w:val="00FA7C2D"/>
    <w:rsid w:val="00FA7C39"/>
    <w:rsid w:val="00FA7C7C"/>
    <w:rsid w:val="00FA7C85"/>
    <w:rsid w:val="00FA7C9F"/>
    <w:rsid w:val="00FA7D04"/>
    <w:rsid w:val="00FA7E23"/>
    <w:rsid w:val="00FA7E4C"/>
    <w:rsid w:val="00FA7E76"/>
    <w:rsid w:val="00FA7EA5"/>
    <w:rsid w:val="00FA7EC1"/>
    <w:rsid w:val="00FA7F15"/>
    <w:rsid w:val="00FA7F45"/>
    <w:rsid w:val="00FA7F5A"/>
    <w:rsid w:val="00FA7F83"/>
    <w:rsid w:val="00FB0036"/>
    <w:rsid w:val="00FB0098"/>
    <w:rsid w:val="00FB012E"/>
    <w:rsid w:val="00FB0144"/>
    <w:rsid w:val="00FB018E"/>
    <w:rsid w:val="00FB021F"/>
    <w:rsid w:val="00FB0269"/>
    <w:rsid w:val="00FB02BA"/>
    <w:rsid w:val="00FB02C8"/>
    <w:rsid w:val="00FB0309"/>
    <w:rsid w:val="00FB0373"/>
    <w:rsid w:val="00FB03C7"/>
    <w:rsid w:val="00FB03F2"/>
    <w:rsid w:val="00FB03F8"/>
    <w:rsid w:val="00FB0420"/>
    <w:rsid w:val="00FB043D"/>
    <w:rsid w:val="00FB0476"/>
    <w:rsid w:val="00FB0527"/>
    <w:rsid w:val="00FB059B"/>
    <w:rsid w:val="00FB059F"/>
    <w:rsid w:val="00FB05D0"/>
    <w:rsid w:val="00FB060F"/>
    <w:rsid w:val="00FB0620"/>
    <w:rsid w:val="00FB0776"/>
    <w:rsid w:val="00FB077C"/>
    <w:rsid w:val="00FB079F"/>
    <w:rsid w:val="00FB0828"/>
    <w:rsid w:val="00FB0872"/>
    <w:rsid w:val="00FB0882"/>
    <w:rsid w:val="00FB08A8"/>
    <w:rsid w:val="00FB08F4"/>
    <w:rsid w:val="00FB0945"/>
    <w:rsid w:val="00FB0954"/>
    <w:rsid w:val="00FB099A"/>
    <w:rsid w:val="00FB099F"/>
    <w:rsid w:val="00FB09C7"/>
    <w:rsid w:val="00FB09F7"/>
    <w:rsid w:val="00FB0A48"/>
    <w:rsid w:val="00FB0A52"/>
    <w:rsid w:val="00FB0A6C"/>
    <w:rsid w:val="00FB0A97"/>
    <w:rsid w:val="00FB0AC9"/>
    <w:rsid w:val="00FB0B1F"/>
    <w:rsid w:val="00FB0B40"/>
    <w:rsid w:val="00FB0C7B"/>
    <w:rsid w:val="00FB0C92"/>
    <w:rsid w:val="00FB0CA6"/>
    <w:rsid w:val="00FB0D32"/>
    <w:rsid w:val="00FB0D42"/>
    <w:rsid w:val="00FB0D73"/>
    <w:rsid w:val="00FB0DD0"/>
    <w:rsid w:val="00FB0E40"/>
    <w:rsid w:val="00FB0E79"/>
    <w:rsid w:val="00FB0EEF"/>
    <w:rsid w:val="00FB0F40"/>
    <w:rsid w:val="00FB0FCF"/>
    <w:rsid w:val="00FB1096"/>
    <w:rsid w:val="00FB110E"/>
    <w:rsid w:val="00FB1139"/>
    <w:rsid w:val="00FB117E"/>
    <w:rsid w:val="00FB11C4"/>
    <w:rsid w:val="00FB11DF"/>
    <w:rsid w:val="00FB11E6"/>
    <w:rsid w:val="00FB1222"/>
    <w:rsid w:val="00FB1246"/>
    <w:rsid w:val="00FB1269"/>
    <w:rsid w:val="00FB1336"/>
    <w:rsid w:val="00FB136D"/>
    <w:rsid w:val="00FB13A6"/>
    <w:rsid w:val="00FB13CF"/>
    <w:rsid w:val="00FB13FA"/>
    <w:rsid w:val="00FB13FE"/>
    <w:rsid w:val="00FB1417"/>
    <w:rsid w:val="00FB14A4"/>
    <w:rsid w:val="00FB14D7"/>
    <w:rsid w:val="00FB14DA"/>
    <w:rsid w:val="00FB1507"/>
    <w:rsid w:val="00FB1608"/>
    <w:rsid w:val="00FB1610"/>
    <w:rsid w:val="00FB1640"/>
    <w:rsid w:val="00FB1666"/>
    <w:rsid w:val="00FB16BB"/>
    <w:rsid w:val="00FB1709"/>
    <w:rsid w:val="00FB170D"/>
    <w:rsid w:val="00FB1775"/>
    <w:rsid w:val="00FB179B"/>
    <w:rsid w:val="00FB17EB"/>
    <w:rsid w:val="00FB1803"/>
    <w:rsid w:val="00FB188D"/>
    <w:rsid w:val="00FB18BF"/>
    <w:rsid w:val="00FB18D1"/>
    <w:rsid w:val="00FB18D5"/>
    <w:rsid w:val="00FB18ED"/>
    <w:rsid w:val="00FB1938"/>
    <w:rsid w:val="00FB1992"/>
    <w:rsid w:val="00FB1A41"/>
    <w:rsid w:val="00FB1ADC"/>
    <w:rsid w:val="00FB1B3E"/>
    <w:rsid w:val="00FB1B67"/>
    <w:rsid w:val="00FB1B72"/>
    <w:rsid w:val="00FB1C48"/>
    <w:rsid w:val="00FB1C5B"/>
    <w:rsid w:val="00FB1C60"/>
    <w:rsid w:val="00FB1C61"/>
    <w:rsid w:val="00FB1C9B"/>
    <w:rsid w:val="00FB1CC6"/>
    <w:rsid w:val="00FB1CE0"/>
    <w:rsid w:val="00FB1CFE"/>
    <w:rsid w:val="00FB1D53"/>
    <w:rsid w:val="00FB1D8B"/>
    <w:rsid w:val="00FB1D8C"/>
    <w:rsid w:val="00FB1E00"/>
    <w:rsid w:val="00FB1E28"/>
    <w:rsid w:val="00FB1E6D"/>
    <w:rsid w:val="00FB1F9F"/>
    <w:rsid w:val="00FB1FB0"/>
    <w:rsid w:val="00FB2059"/>
    <w:rsid w:val="00FB207D"/>
    <w:rsid w:val="00FB20B2"/>
    <w:rsid w:val="00FB2108"/>
    <w:rsid w:val="00FB211D"/>
    <w:rsid w:val="00FB2161"/>
    <w:rsid w:val="00FB21B2"/>
    <w:rsid w:val="00FB21B3"/>
    <w:rsid w:val="00FB21F1"/>
    <w:rsid w:val="00FB220F"/>
    <w:rsid w:val="00FB2259"/>
    <w:rsid w:val="00FB22A0"/>
    <w:rsid w:val="00FB22B1"/>
    <w:rsid w:val="00FB22FF"/>
    <w:rsid w:val="00FB234C"/>
    <w:rsid w:val="00FB2354"/>
    <w:rsid w:val="00FB236D"/>
    <w:rsid w:val="00FB23D5"/>
    <w:rsid w:val="00FB2484"/>
    <w:rsid w:val="00FB24A9"/>
    <w:rsid w:val="00FB24F3"/>
    <w:rsid w:val="00FB255F"/>
    <w:rsid w:val="00FB259A"/>
    <w:rsid w:val="00FB259D"/>
    <w:rsid w:val="00FB25B2"/>
    <w:rsid w:val="00FB265A"/>
    <w:rsid w:val="00FB266D"/>
    <w:rsid w:val="00FB2694"/>
    <w:rsid w:val="00FB26A1"/>
    <w:rsid w:val="00FB26AB"/>
    <w:rsid w:val="00FB26C4"/>
    <w:rsid w:val="00FB26FD"/>
    <w:rsid w:val="00FB2736"/>
    <w:rsid w:val="00FB27F4"/>
    <w:rsid w:val="00FB27FA"/>
    <w:rsid w:val="00FB27FD"/>
    <w:rsid w:val="00FB2803"/>
    <w:rsid w:val="00FB2861"/>
    <w:rsid w:val="00FB2940"/>
    <w:rsid w:val="00FB29EA"/>
    <w:rsid w:val="00FB2A3E"/>
    <w:rsid w:val="00FB2A9B"/>
    <w:rsid w:val="00FB2AAF"/>
    <w:rsid w:val="00FB2AC4"/>
    <w:rsid w:val="00FB2AF3"/>
    <w:rsid w:val="00FB2B43"/>
    <w:rsid w:val="00FB2B5A"/>
    <w:rsid w:val="00FB2B75"/>
    <w:rsid w:val="00FB2C52"/>
    <w:rsid w:val="00FB2C67"/>
    <w:rsid w:val="00FB2D30"/>
    <w:rsid w:val="00FB2D49"/>
    <w:rsid w:val="00FB2D56"/>
    <w:rsid w:val="00FB2D9D"/>
    <w:rsid w:val="00FB2DD0"/>
    <w:rsid w:val="00FB2E3C"/>
    <w:rsid w:val="00FB2E5F"/>
    <w:rsid w:val="00FB2EAE"/>
    <w:rsid w:val="00FB2EB3"/>
    <w:rsid w:val="00FB2F1F"/>
    <w:rsid w:val="00FB2FC5"/>
    <w:rsid w:val="00FB3024"/>
    <w:rsid w:val="00FB31C0"/>
    <w:rsid w:val="00FB31CD"/>
    <w:rsid w:val="00FB3221"/>
    <w:rsid w:val="00FB3262"/>
    <w:rsid w:val="00FB3309"/>
    <w:rsid w:val="00FB344A"/>
    <w:rsid w:val="00FB344D"/>
    <w:rsid w:val="00FB3481"/>
    <w:rsid w:val="00FB348B"/>
    <w:rsid w:val="00FB3496"/>
    <w:rsid w:val="00FB34D4"/>
    <w:rsid w:val="00FB3510"/>
    <w:rsid w:val="00FB3547"/>
    <w:rsid w:val="00FB361E"/>
    <w:rsid w:val="00FB3638"/>
    <w:rsid w:val="00FB364C"/>
    <w:rsid w:val="00FB369C"/>
    <w:rsid w:val="00FB3748"/>
    <w:rsid w:val="00FB37F9"/>
    <w:rsid w:val="00FB37FB"/>
    <w:rsid w:val="00FB383C"/>
    <w:rsid w:val="00FB390B"/>
    <w:rsid w:val="00FB392A"/>
    <w:rsid w:val="00FB393E"/>
    <w:rsid w:val="00FB39C9"/>
    <w:rsid w:val="00FB39DC"/>
    <w:rsid w:val="00FB39E2"/>
    <w:rsid w:val="00FB3A67"/>
    <w:rsid w:val="00FB3A6A"/>
    <w:rsid w:val="00FB3B2F"/>
    <w:rsid w:val="00FB3B3C"/>
    <w:rsid w:val="00FB3B83"/>
    <w:rsid w:val="00FB3B91"/>
    <w:rsid w:val="00FB3C6D"/>
    <w:rsid w:val="00FB3CC0"/>
    <w:rsid w:val="00FB3CC8"/>
    <w:rsid w:val="00FB3D49"/>
    <w:rsid w:val="00FB3D9C"/>
    <w:rsid w:val="00FB3DC3"/>
    <w:rsid w:val="00FB3DD1"/>
    <w:rsid w:val="00FB3E2D"/>
    <w:rsid w:val="00FB3E6A"/>
    <w:rsid w:val="00FB3EA3"/>
    <w:rsid w:val="00FB3EFD"/>
    <w:rsid w:val="00FB3F34"/>
    <w:rsid w:val="00FB3F75"/>
    <w:rsid w:val="00FB3F7E"/>
    <w:rsid w:val="00FB402F"/>
    <w:rsid w:val="00FB40E8"/>
    <w:rsid w:val="00FB40EF"/>
    <w:rsid w:val="00FB413C"/>
    <w:rsid w:val="00FB4219"/>
    <w:rsid w:val="00FB4264"/>
    <w:rsid w:val="00FB430D"/>
    <w:rsid w:val="00FB434E"/>
    <w:rsid w:val="00FB43A3"/>
    <w:rsid w:val="00FB43C3"/>
    <w:rsid w:val="00FB43F0"/>
    <w:rsid w:val="00FB4414"/>
    <w:rsid w:val="00FB4448"/>
    <w:rsid w:val="00FB44C6"/>
    <w:rsid w:val="00FB44D4"/>
    <w:rsid w:val="00FB4518"/>
    <w:rsid w:val="00FB4548"/>
    <w:rsid w:val="00FB4580"/>
    <w:rsid w:val="00FB4586"/>
    <w:rsid w:val="00FB460B"/>
    <w:rsid w:val="00FB4696"/>
    <w:rsid w:val="00FB46AE"/>
    <w:rsid w:val="00FB46B5"/>
    <w:rsid w:val="00FB46BC"/>
    <w:rsid w:val="00FB46C7"/>
    <w:rsid w:val="00FB46F8"/>
    <w:rsid w:val="00FB4700"/>
    <w:rsid w:val="00FB4730"/>
    <w:rsid w:val="00FB47A3"/>
    <w:rsid w:val="00FB47F1"/>
    <w:rsid w:val="00FB47F3"/>
    <w:rsid w:val="00FB48BE"/>
    <w:rsid w:val="00FB4940"/>
    <w:rsid w:val="00FB4969"/>
    <w:rsid w:val="00FB4974"/>
    <w:rsid w:val="00FB49E1"/>
    <w:rsid w:val="00FB4AB1"/>
    <w:rsid w:val="00FB4AF6"/>
    <w:rsid w:val="00FB4B01"/>
    <w:rsid w:val="00FB4B4B"/>
    <w:rsid w:val="00FB4BA7"/>
    <w:rsid w:val="00FB4BF6"/>
    <w:rsid w:val="00FB4C01"/>
    <w:rsid w:val="00FB4C59"/>
    <w:rsid w:val="00FB4C6D"/>
    <w:rsid w:val="00FB4C6F"/>
    <w:rsid w:val="00FB4C96"/>
    <w:rsid w:val="00FB4C9C"/>
    <w:rsid w:val="00FB4D0F"/>
    <w:rsid w:val="00FB4D24"/>
    <w:rsid w:val="00FB4D35"/>
    <w:rsid w:val="00FB4E0C"/>
    <w:rsid w:val="00FB4E25"/>
    <w:rsid w:val="00FB4E2C"/>
    <w:rsid w:val="00FB4E47"/>
    <w:rsid w:val="00FB4E6F"/>
    <w:rsid w:val="00FB4E7A"/>
    <w:rsid w:val="00FB4F14"/>
    <w:rsid w:val="00FB4FDF"/>
    <w:rsid w:val="00FB5048"/>
    <w:rsid w:val="00FB5070"/>
    <w:rsid w:val="00FB50A4"/>
    <w:rsid w:val="00FB50A5"/>
    <w:rsid w:val="00FB50E9"/>
    <w:rsid w:val="00FB5240"/>
    <w:rsid w:val="00FB5241"/>
    <w:rsid w:val="00FB5261"/>
    <w:rsid w:val="00FB5268"/>
    <w:rsid w:val="00FB5318"/>
    <w:rsid w:val="00FB5330"/>
    <w:rsid w:val="00FB538E"/>
    <w:rsid w:val="00FB5401"/>
    <w:rsid w:val="00FB54CE"/>
    <w:rsid w:val="00FB54D5"/>
    <w:rsid w:val="00FB5559"/>
    <w:rsid w:val="00FB5589"/>
    <w:rsid w:val="00FB5600"/>
    <w:rsid w:val="00FB566B"/>
    <w:rsid w:val="00FB571D"/>
    <w:rsid w:val="00FB57CB"/>
    <w:rsid w:val="00FB57F4"/>
    <w:rsid w:val="00FB57FE"/>
    <w:rsid w:val="00FB5808"/>
    <w:rsid w:val="00FB58A1"/>
    <w:rsid w:val="00FB58C5"/>
    <w:rsid w:val="00FB58DC"/>
    <w:rsid w:val="00FB5932"/>
    <w:rsid w:val="00FB5A1C"/>
    <w:rsid w:val="00FB5A8C"/>
    <w:rsid w:val="00FB5A9D"/>
    <w:rsid w:val="00FB5AD4"/>
    <w:rsid w:val="00FB5B1B"/>
    <w:rsid w:val="00FB5B4C"/>
    <w:rsid w:val="00FB5B8F"/>
    <w:rsid w:val="00FB5BCC"/>
    <w:rsid w:val="00FB5BF4"/>
    <w:rsid w:val="00FB5BFE"/>
    <w:rsid w:val="00FB5C3E"/>
    <w:rsid w:val="00FB5C7A"/>
    <w:rsid w:val="00FB5CA0"/>
    <w:rsid w:val="00FB5CD2"/>
    <w:rsid w:val="00FB5CD7"/>
    <w:rsid w:val="00FB5D0E"/>
    <w:rsid w:val="00FB5D23"/>
    <w:rsid w:val="00FB5DC8"/>
    <w:rsid w:val="00FB5E81"/>
    <w:rsid w:val="00FB5EC4"/>
    <w:rsid w:val="00FB5EE3"/>
    <w:rsid w:val="00FB5F24"/>
    <w:rsid w:val="00FB5F5A"/>
    <w:rsid w:val="00FB5FB5"/>
    <w:rsid w:val="00FB5FC6"/>
    <w:rsid w:val="00FB5FE6"/>
    <w:rsid w:val="00FB6026"/>
    <w:rsid w:val="00FB6030"/>
    <w:rsid w:val="00FB6043"/>
    <w:rsid w:val="00FB610F"/>
    <w:rsid w:val="00FB61ED"/>
    <w:rsid w:val="00FB62A9"/>
    <w:rsid w:val="00FB62FC"/>
    <w:rsid w:val="00FB631B"/>
    <w:rsid w:val="00FB6330"/>
    <w:rsid w:val="00FB634F"/>
    <w:rsid w:val="00FB63A0"/>
    <w:rsid w:val="00FB63F3"/>
    <w:rsid w:val="00FB6423"/>
    <w:rsid w:val="00FB6440"/>
    <w:rsid w:val="00FB6444"/>
    <w:rsid w:val="00FB6492"/>
    <w:rsid w:val="00FB64E4"/>
    <w:rsid w:val="00FB6530"/>
    <w:rsid w:val="00FB653D"/>
    <w:rsid w:val="00FB655E"/>
    <w:rsid w:val="00FB657C"/>
    <w:rsid w:val="00FB665F"/>
    <w:rsid w:val="00FB667E"/>
    <w:rsid w:val="00FB66C4"/>
    <w:rsid w:val="00FB66EC"/>
    <w:rsid w:val="00FB67AA"/>
    <w:rsid w:val="00FB6815"/>
    <w:rsid w:val="00FB6847"/>
    <w:rsid w:val="00FB685F"/>
    <w:rsid w:val="00FB6890"/>
    <w:rsid w:val="00FB6902"/>
    <w:rsid w:val="00FB691C"/>
    <w:rsid w:val="00FB6970"/>
    <w:rsid w:val="00FB69A5"/>
    <w:rsid w:val="00FB69EF"/>
    <w:rsid w:val="00FB6A08"/>
    <w:rsid w:val="00FB6A9D"/>
    <w:rsid w:val="00FB6AAE"/>
    <w:rsid w:val="00FB6AD6"/>
    <w:rsid w:val="00FB6B03"/>
    <w:rsid w:val="00FB6B22"/>
    <w:rsid w:val="00FB6B2F"/>
    <w:rsid w:val="00FB6B74"/>
    <w:rsid w:val="00FB6B7A"/>
    <w:rsid w:val="00FB6BD3"/>
    <w:rsid w:val="00FB6C11"/>
    <w:rsid w:val="00FB6C39"/>
    <w:rsid w:val="00FB6C4A"/>
    <w:rsid w:val="00FB6CB2"/>
    <w:rsid w:val="00FB6CBA"/>
    <w:rsid w:val="00FB6D25"/>
    <w:rsid w:val="00FB6DAD"/>
    <w:rsid w:val="00FB6DB0"/>
    <w:rsid w:val="00FB6E25"/>
    <w:rsid w:val="00FB6E94"/>
    <w:rsid w:val="00FB6FA8"/>
    <w:rsid w:val="00FB6FF5"/>
    <w:rsid w:val="00FB7063"/>
    <w:rsid w:val="00FB709F"/>
    <w:rsid w:val="00FB70B2"/>
    <w:rsid w:val="00FB70F7"/>
    <w:rsid w:val="00FB7156"/>
    <w:rsid w:val="00FB71B5"/>
    <w:rsid w:val="00FB71BF"/>
    <w:rsid w:val="00FB71F6"/>
    <w:rsid w:val="00FB728D"/>
    <w:rsid w:val="00FB72B8"/>
    <w:rsid w:val="00FB7326"/>
    <w:rsid w:val="00FB7384"/>
    <w:rsid w:val="00FB73E1"/>
    <w:rsid w:val="00FB73EF"/>
    <w:rsid w:val="00FB74FA"/>
    <w:rsid w:val="00FB7507"/>
    <w:rsid w:val="00FB7520"/>
    <w:rsid w:val="00FB755F"/>
    <w:rsid w:val="00FB7562"/>
    <w:rsid w:val="00FB757A"/>
    <w:rsid w:val="00FB75E4"/>
    <w:rsid w:val="00FB75E7"/>
    <w:rsid w:val="00FB75FB"/>
    <w:rsid w:val="00FB764F"/>
    <w:rsid w:val="00FB7672"/>
    <w:rsid w:val="00FB76FC"/>
    <w:rsid w:val="00FB7772"/>
    <w:rsid w:val="00FB7773"/>
    <w:rsid w:val="00FB7796"/>
    <w:rsid w:val="00FB77B2"/>
    <w:rsid w:val="00FB77D9"/>
    <w:rsid w:val="00FB7823"/>
    <w:rsid w:val="00FB78F3"/>
    <w:rsid w:val="00FB790C"/>
    <w:rsid w:val="00FB7921"/>
    <w:rsid w:val="00FB7992"/>
    <w:rsid w:val="00FB7999"/>
    <w:rsid w:val="00FB79EA"/>
    <w:rsid w:val="00FB79FF"/>
    <w:rsid w:val="00FB7A0F"/>
    <w:rsid w:val="00FB7AC7"/>
    <w:rsid w:val="00FB7B37"/>
    <w:rsid w:val="00FB7B84"/>
    <w:rsid w:val="00FB7BA3"/>
    <w:rsid w:val="00FB7C19"/>
    <w:rsid w:val="00FB7D82"/>
    <w:rsid w:val="00FB7DDA"/>
    <w:rsid w:val="00FB7E08"/>
    <w:rsid w:val="00FB7E1A"/>
    <w:rsid w:val="00FB7E88"/>
    <w:rsid w:val="00FB7EE8"/>
    <w:rsid w:val="00FB7F31"/>
    <w:rsid w:val="00FB7FE5"/>
    <w:rsid w:val="00FC0034"/>
    <w:rsid w:val="00FC00BD"/>
    <w:rsid w:val="00FC0116"/>
    <w:rsid w:val="00FC023B"/>
    <w:rsid w:val="00FC0249"/>
    <w:rsid w:val="00FC0321"/>
    <w:rsid w:val="00FC0406"/>
    <w:rsid w:val="00FC0433"/>
    <w:rsid w:val="00FC04A7"/>
    <w:rsid w:val="00FC04E7"/>
    <w:rsid w:val="00FC05EB"/>
    <w:rsid w:val="00FC05EF"/>
    <w:rsid w:val="00FC063E"/>
    <w:rsid w:val="00FC066C"/>
    <w:rsid w:val="00FC06C8"/>
    <w:rsid w:val="00FC0702"/>
    <w:rsid w:val="00FC072A"/>
    <w:rsid w:val="00FC078E"/>
    <w:rsid w:val="00FC079A"/>
    <w:rsid w:val="00FC07EA"/>
    <w:rsid w:val="00FC0848"/>
    <w:rsid w:val="00FC0944"/>
    <w:rsid w:val="00FC0A33"/>
    <w:rsid w:val="00FC0A8C"/>
    <w:rsid w:val="00FC0B3B"/>
    <w:rsid w:val="00FC0BB1"/>
    <w:rsid w:val="00FC0BDE"/>
    <w:rsid w:val="00FC0BF1"/>
    <w:rsid w:val="00FC0C2D"/>
    <w:rsid w:val="00FC0C4D"/>
    <w:rsid w:val="00FC0C8E"/>
    <w:rsid w:val="00FC0CAC"/>
    <w:rsid w:val="00FC0D3E"/>
    <w:rsid w:val="00FC0DE5"/>
    <w:rsid w:val="00FC0E4A"/>
    <w:rsid w:val="00FC0EBB"/>
    <w:rsid w:val="00FC0F01"/>
    <w:rsid w:val="00FC0F0C"/>
    <w:rsid w:val="00FC0F1E"/>
    <w:rsid w:val="00FC0F4B"/>
    <w:rsid w:val="00FC0FD7"/>
    <w:rsid w:val="00FC103B"/>
    <w:rsid w:val="00FC1067"/>
    <w:rsid w:val="00FC106E"/>
    <w:rsid w:val="00FC1086"/>
    <w:rsid w:val="00FC1116"/>
    <w:rsid w:val="00FC115E"/>
    <w:rsid w:val="00FC11B8"/>
    <w:rsid w:val="00FC11D7"/>
    <w:rsid w:val="00FC125D"/>
    <w:rsid w:val="00FC1277"/>
    <w:rsid w:val="00FC12DA"/>
    <w:rsid w:val="00FC1372"/>
    <w:rsid w:val="00FC139E"/>
    <w:rsid w:val="00FC13C6"/>
    <w:rsid w:val="00FC13EF"/>
    <w:rsid w:val="00FC145E"/>
    <w:rsid w:val="00FC14F0"/>
    <w:rsid w:val="00FC14F3"/>
    <w:rsid w:val="00FC1519"/>
    <w:rsid w:val="00FC15EE"/>
    <w:rsid w:val="00FC163F"/>
    <w:rsid w:val="00FC169C"/>
    <w:rsid w:val="00FC16ED"/>
    <w:rsid w:val="00FC16F4"/>
    <w:rsid w:val="00FC1741"/>
    <w:rsid w:val="00FC1764"/>
    <w:rsid w:val="00FC1772"/>
    <w:rsid w:val="00FC1785"/>
    <w:rsid w:val="00FC17BC"/>
    <w:rsid w:val="00FC187C"/>
    <w:rsid w:val="00FC18A9"/>
    <w:rsid w:val="00FC18B6"/>
    <w:rsid w:val="00FC1929"/>
    <w:rsid w:val="00FC19EE"/>
    <w:rsid w:val="00FC1A69"/>
    <w:rsid w:val="00FC1A6C"/>
    <w:rsid w:val="00FC1AAC"/>
    <w:rsid w:val="00FC1AAF"/>
    <w:rsid w:val="00FC1AD5"/>
    <w:rsid w:val="00FC1B41"/>
    <w:rsid w:val="00FC1B57"/>
    <w:rsid w:val="00FC1C9C"/>
    <w:rsid w:val="00FC1CA4"/>
    <w:rsid w:val="00FC1D1E"/>
    <w:rsid w:val="00FC1DA9"/>
    <w:rsid w:val="00FC1DF1"/>
    <w:rsid w:val="00FC1EB8"/>
    <w:rsid w:val="00FC1F19"/>
    <w:rsid w:val="00FC1FFA"/>
    <w:rsid w:val="00FC2047"/>
    <w:rsid w:val="00FC20B1"/>
    <w:rsid w:val="00FC20F7"/>
    <w:rsid w:val="00FC213A"/>
    <w:rsid w:val="00FC21E1"/>
    <w:rsid w:val="00FC21F4"/>
    <w:rsid w:val="00FC222E"/>
    <w:rsid w:val="00FC2253"/>
    <w:rsid w:val="00FC2270"/>
    <w:rsid w:val="00FC23F7"/>
    <w:rsid w:val="00FC23FC"/>
    <w:rsid w:val="00FC2403"/>
    <w:rsid w:val="00FC2471"/>
    <w:rsid w:val="00FC2489"/>
    <w:rsid w:val="00FC24B2"/>
    <w:rsid w:val="00FC24C4"/>
    <w:rsid w:val="00FC24F2"/>
    <w:rsid w:val="00FC24F4"/>
    <w:rsid w:val="00FC2517"/>
    <w:rsid w:val="00FC2585"/>
    <w:rsid w:val="00FC25FA"/>
    <w:rsid w:val="00FC2602"/>
    <w:rsid w:val="00FC2674"/>
    <w:rsid w:val="00FC268B"/>
    <w:rsid w:val="00FC26DD"/>
    <w:rsid w:val="00FC26FB"/>
    <w:rsid w:val="00FC276D"/>
    <w:rsid w:val="00FC277A"/>
    <w:rsid w:val="00FC2860"/>
    <w:rsid w:val="00FC28F2"/>
    <w:rsid w:val="00FC2906"/>
    <w:rsid w:val="00FC298C"/>
    <w:rsid w:val="00FC2999"/>
    <w:rsid w:val="00FC29B2"/>
    <w:rsid w:val="00FC2A0A"/>
    <w:rsid w:val="00FC2A3E"/>
    <w:rsid w:val="00FC2A66"/>
    <w:rsid w:val="00FC2AFC"/>
    <w:rsid w:val="00FC2B48"/>
    <w:rsid w:val="00FC2BC8"/>
    <w:rsid w:val="00FC2C30"/>
    <w:rsid w:val="00FC2C33"/>
    <w:rsid w:val="00FC2C53"/>
    <w:rsid w:val="00FC2C86"/>
    <w:rsid w:val="00FC2D05"/>
    <w:rsid w:val="00FC2D1A"/>
    <w:rsid w:val="00FC2D23"/>
    <w:rsid w:val="00FC2D98"/>
    <w:rsid w:val="00FC2DEF"/>
    <w:rsid w:val="00FC2EE1"/>
    <w:rsid w:val="00FC2EFD"/>
    <w:rsid w:val="00FC2FC8"/>
    <w:rsid w:val="00FC2FCC"/>
    <w:rsid w:val="00FC3000"/>
    <w:rsid w:val="00FC3027"/>
    <w:rsid w:val="00FC3070"/>
    <w:rsid w:val="00FC309F"/>
    <w:rsid w:val="00FC30D4"/>
    <w:rsid w:val="00FC3150"/>
    <w:rsid w:val="00FC3165"/>
    <w:rsid w:val="00FC3226"/>
    <w:rsid w:val="00FC3241"/>
    <w:rsid w:val="00FC329F"/>
    <w:rsid w:val="00FC32BE"/>
    <w:rsid w:val="00FC330C"/>
    <w:rsid w:val="00FC3366"/>
    <w:rsid w:val="00FC336E"/>
    <w:rsid w:val="00FC33A8"/>
    <w:rsid w:val="00FC33BA"/>
    <w:rsid w:val="00FC33CD"/>
    <w:rsid w:val="00FC342C"/>
    <w:rsid w:val="00FC344A"/>
    <w:rsid w:val="00FC34A1"/>
    <w:rsid w:val="00FC34AD"/>
    <w:rsid w:val="00FC34FF"/>
    <w:rsid w:val="00FC3561"/>
    <w:rsid w:val="00FC357B"/>
    <w:rsid w:val="00FC3613"/>
    <w:rsid w:val="00FC3617"/>
    <w:rsid w:val="00FC36E4"/>
    <w:rsid w:val="00FC371D"/>
    <w:rsid w:val="00FC3750"/>
    <w:rsid w:val="00FC376D"/>
    <w:rsid w:val="00FC37D0"/>
    <w:rsid w:val="00FC37ED"/>
    <w:rsid w:val="00FC37F1"/>
    <w:rsid w:val="00FC3848"/>
    <w:rsid w:val="00FC38BA"/>
    <w:rsid w:val="00FC38E2"/>
    <w:rsid w:val="00FC3937"/>
    <w:rsid w:val="00FC3A85"/>
    <w:rsid w:val="00FC3AA6"/>
    <w:rsid w:val="00FC3B20"/>
    <w:rsid w:val="00FC3B72"/>
    <w:rsid w:val="00FC3B96"/>
    <w:rsid w:val="00FC3BD7"/>
    <w:rsid w:val="00FC3C1B"/>
    <w:rsid w:val="00FC3C4C"/>
    <w:rsid w:val="00FC3C4D"/>
    <w:rsid w:val="00FC3C5B"/>
    <w:rsid w:val="00FC3CA0"/>
    <w:rsid w:val="00FC3D19"/>
    <w:rsid w:val="00FC3D35"/>
    <w:rsid w:val="00FC3D75"/>
    <w:rsid w:val="00FC3DBD"/>
    <w:rsid w:val="00FC3DF2"/>
    <w:rsid w:val="00FC3E20"/>
    <w:rsid w:val="00FC3E5A"/>
    <w:rsid w:val="00FC3EF3"/>
    <w:rsid w:val="00FC3F15"/>
    <w:rsid w:val="00FC3F28"/>
    <w:rsid w:val="00FC3F8D"/>
    <w:rsid w:val="00FC4096"/>
    <w:rsid w:val="00FC4099"/>
    <w:rsid w:val="00FC40B0"/>
    <w:rsid w:val="00FC417C"/>
    <w:rsid w:val="00FC4198"/>
    <w:rsid w:val="00FC424F"/>
    <w:rsid w:val="00FC4270"/>
    <w:rsid w:val="00FC4281"/>
    <w:rsid w:val="00FC429C"/>
    <w:rsid w:val="00FC42C3"/>
    <w:rsid w:val="00FC42E6"/>
    <w:rsid w:val="00FC42F3"/>
    <w:rsid w:val="00FC4321"/>
    <w:rsid w:val="00FC4357"/>
    <w:rsid w:val="00FC43DB"/>
    <w:rsid w:val="00FC4406"/>
    <w:rsid w:val="00FC446F"/>
    <w:rsid w:val="00FC454B"/>
    <w:rsid w:val="00FC4584"/>
    <w:rsid w:val="00FC4606"/>
    <w:rsid w:val="00FC4628"/>
    <w:rsid w:val="00FC4651"/>
    <w:rsid w:val="00FC4663"/>
    <w:rsid w:val="00FC4680"/>
    <w:rsid w:val="00FC4694"/>
    <w:rsid w:val="00FC46C3"/>
    <w:rsid w:val="00FC4754"/>
    <w:rsid w:val="00FC4771"/>
    <w:rsid w:val="00FC477C"/>
    <w:rsid w:val="00FC47A8"/>
    <w:rsid w:val="00FC47B6"/>
    <w:rsid w:val="00FC4856"/>
    <w:rsid w:val="00FC4914"/>
    <w:rsid w:val="00FC4976"/>
    <w:rsid w:val="00FC4977"/>
    <w:rsid w:val="00FC49E6"/>
    <w:rsid w:val="00FC4A3B"/>
    <w:rsid w:val="00FC4A74"/>
    <w:rsid w:val="00FC4A7E"/>
    <w:rsid w:val="00FC4A89"/>
    <w:rsid w:val="00FC4BB7"/>
    <w:rsid w:val="00FC4BBD"/>
    <w:rsid w:val="00FC4BF2"/>
    <w:rsid w:val="00FC4BF8"/>
    <w:rsid w:val="00FC4C09"/>
    <w:rsid w:val="00FC4C59"/>
    <w:rsid w:val="00FC4C65"/>
    <w:rsid w:val="00FC4C7F"/>
    <w:rsid w:val="00FC4C98"/>
    <w:rsid w:val="00FC4CDF"/>
    <w:rsid w:val="00FC4CE1"/>
    <w:rsid w:val="00FC4D01"/>
    <w:rsid w:val="00FC4D0D"/>
    <w:rsid w:val="00FC4D6C"/>
    <w:rsid w:val="00FC4DA8"/>
    <w:rsid w:val="00FC4DB1"/>
    <w:rsid w:val="00FC4DC7"/>
    <w:rsid w:val="00FC4DD6"/>
    <w:rsid w:val="00FC4E9C"/>
    <w:rsid w:val="00FC4EA5"/>
    <w:rsid w:val="00FC4F2E"/>
    <w:rsid w:val="00FC4F90"/>
    <w:rsid w:val="00FC4F9A"/>
    <w:rsid w:val="00FC4FCF"/>
    <w:rsid w:val="00FC4FDD"/>
    <w:rsid w:val="00FC5011"/>
    <w:rsid w:val="00FC5096"/>
    <w:rsid w:val="00FC50A1"/>
    <w:rsid w:val="00FC50BC"/>
    <w:rsid w:val="00FC50F1"/>
    <w:rsid w:val="00FC5142"/>
    <w:rsid w:val="00FC5146"/>
    <w:rsid w:val="00FC51A4"/>
    <w:rsid w:val="00FC520D"/>
    <w:rsid w:val="00FC52CA"/>
    <w:rsid w:val="00FC531A"/>
    <w:rsid w:val="00FC535D"/>
    <w:rsid w:val="00FC53AB"/>
    <w:rsid w:val="00FC542F"/>
    <w:rsid w:val="00FC547A"/>
    <w:rsid w:val="00FC5490"/>
    <w:rsid w:val="00FC54CF"/>
    <w:rsid w:val="00FC54EF"/>
    <w:rsid w:val="00FC550F"/>
    <w:rsid w:val="00FC5553"/>
    <w:rsid w:val="00FC555C"/>
    <w:rsid w:val="00FC55C4"/>
    <w:rsid w:val="00FC55CA"/>
    <w:rsid w:val="00FC561C"/>
    <w:rsid w:val="00FC564D"/>
    <w:rsid w:val="00FC5787"/>
    <w:rsid w:val="00FC57C9"/>
    <w:rsid w:val="00FC586F"/>
    <w:rsid w:val="00FC58BC"/>
    <w:rsid w:val="00FC58FC"/>
    <w:rsid w:val="00FC592D"/>
    <w:rsid w:val="00FC598E"/>
    <w:rsid w:val="00FC599E"/>
    <w:rsid w:val="00FC5A71"/>
    <w:rsid w:val="00FC5A75"/>
    <w:rsid w:val="00FC5A94"/>
    <w:rsid w:val="00FC5AF7"/>
    <w:rsid w:val="00FC5BB2"/>
    <w:rsid w:val="00FC5BC5"/>
    <w:rsid w:val="00FC5BEA"/>
    <w:rsid w:val="00FC5DFB"/>
    <w:rsid w:val="00FC5E0C"/>
    <w:rsid w:val="00FC5E6A"/>
    <w:rsid w:val="00FC5E6D"/>
    <w:rsid w:val="00FC5ECD"/>
    <w:rsid w:val="00FC5EE4"/>
    <w:rsid w:val="00FC5F54"/>
    <w:rsid w:val="00FC5F98"/>
    <w:rsid w:val="00FC5FCC"/>
    <w:rsid w:val="00FC6000"/>
    <w:rsid w:val="00FC6017"/>
    <w:rsid w:val="00FC601D"/>
    <w:rsid w:val="00FC606F"/>
    <w:rsid w:val="00FC6070"/>
    <w:rsid w:val="00FC60D1"/>
    <w:rsid w:val="00FC60EC"/>
    <w:rsid w:val="00FC6107"/>
    <w:rsid w:val="00FC615A"/>
    <w:rsid w:val="00FC6170"/>
    <w:rsid w:val="00FC61A5"/>
    <w:rsid w:val="00FC61F7"/>
    <w:rsid w:val="00FC6232"/>
    <w:rsid w:val="00FC6347"/>
    <w:rsid w:val="00FC634C"/>
    <w:rsid w:val="00FC63BD"/>
    <w:rsid w:val="00FC63C5"/>
    <w:rsid w:val="00FC63EE"/>
    <w:rsid w:val="00FC6471"/>
    <w:rsid w:val="00FC6616"/>
    <w:rsid w:val="00FC669B"/>
    <w:rsid w:val="00FC6718"/>
    <w:rsid w:val="00FC6758"/>
    <w:rsid w:val="00FC675A"/>
    <w:rsid w:val="00FC6765"/>
    <w:rsid w:val="00FC67BA"/>
    <w:rsid w:val="00FC67D6"/>
    <w:rsid w:val="00FC683E"/>
    <w:rsid w:val="00FC68AF"/>
    <w:rsid w:val="00FC68C2"/>
    <w:rsid w:val="00FC68C3"/>
    <w:rsid w:val="00FC6928"/>
    <w:rsid w:val="00FC6963"/>
    <w:rsid w:val="00FC698A"/>
    <w:rsid w:val="00FC698B"/>
    <w:rsid w:val="00FC69C7"/>
    <w:rsid w:val="00FC6A4B"/>
    <w:rsid w:val="00FC6A6F"/>
    <w:rsid w:val="00FC6A86"/>
    <w:rsid w:val="00FC6AB5"/>
    <w:rsid w:val="00FC6B40"/>
    <w:rsid w:val="00FC6B75"/>
    <w:rsid w:val="00FC6B78"/>
    <w:rsid w:val="00FC6CCD"/>
    <w:rsid w:val="00FC6D0F"/>
    <w:rsid w:val="00FC6D2D"/>
    <w:rsid w:val="00FC6DAA"/>
    <w:rsid w:val="00FC6DD6"/>
    <w:rsid w:val="00FC6DDB"/>
    <w:rsid w:val="00FC6DF4"/>
    <w:rsid w:val="00FC6DFB"/>
    <w:rsid w:val="00FC6E59"/>
    <w:rsid w:val="00FC6E67"/>
    <w:rsid w:val="00FC6EA9"/>
    <w:rsid w:val="00FC6EE3"/>
    <w:rsid w:val="00FC6EF4"/>
    <w:rsid w:val="00FC6F05"/>
    <w:rsid w:val="00FC6F07"/>
    <w:rsid w:val="00FC6F56"/>
    <w:rsid w:val="00FC6F62"/>
    <w:rsid w:val="00FC6FA6"/>
    <w:rsid w:val="00FC6FA8"/>
    <w:rsid w:val="00FC6FBD"/>
    <w:rsid w:val="00FC6FDE"/>
    <w:rsid w:val="00FC708B"/>
    <w:rsid w:val="00FC7142"/>
    <w:rsid w:val="00FC716C"/>
    <w:rsid w:val="00FC71C6"/>
    <w:rsid w:val="00FC72CE"/>
    <w:rsid w:val="00FC72D2"/>
    <w:rsid w:val="00FC72DD"/>
    <w:rsid w:val="00FC7389"/>
    <w:rsid w:val="00FC7397"/>
    <w:rsid w:val="00FC73D6"/>
    <w:rsid w:val="00FC741B"/>
    <w:rsid w:val="00FC7421"/>
    <w:rsid w:val="00FC7450"/>
    <w:rsid w:val="00FC74BA"/>
    <w:rsid w:val="00FC74BF"/>
    <w:rsid w:val="00FC74FA"/>
    <w:rsid w:val="00FC752B"/>
    <w:rsid w:val="00FC7532"/>
    <w:rsid w:val="00FC7625"/>
    <w:rsid w:val="00FC767A"/>
    <w:rsid w:val="00FC768E"/>
    <w:rsid w:val="00FC76D8"/>
    <w:rsid w:val="00FC76E7"/>
    <w:rsid w:val="00FC7717"/>
    <w:rsid w:val="00FC775D"/>
    <w:rsid w:val="00FC7775"/>
    <w:rsid w:val="00FC77A1"/>
    <w:rsid w:val="00FC77C5"/>
    <w:rsid w:val="00FC7925"/>
    <w:rsid w:val="00FC7A01"/>
    <w:rsid w:val="00FC7A2D"/>
    <w:rsid w:val="00FC7A2E"/>
    <w:rsid w:val="00FC7AB4"/>
    <w:rsid w:val="00FC7AEE"/>
    <w:rsid w:val="00FC7B59"/>
    <w:rsid w:val="00FC7B96"/>
    <w:rsid w:val="00FC7C64"/>
    <w:rsid w:val="00FC7CE6"/>
    <w:rsid w:val="00FC7D4E"/>
    <w:rsid w:val="00FC7D59"/>
    <w:rsid w:val="00FC7DA6"/>
    <w:rsid w:val="00FC7DD1"/>
    <w:rsid w:val="00FC7E1A"/>
    <w:rsid w:val="00FC7E46"/>
    <w:rsid w:val="00FC7E5A"/>
    <w:rsid w:val="00FC7EC7"/>
    <w:rsid w:val="00FC7F53"/>
    <w:rsid w:val="00FC7F8B"/>
    <w:rsid w:val="00FD0014"/>
    <w:rsid w:val="00FD0059"/>
    <w:rsid w:val="00FD007B"/>
    <w:rsid w:val="00FD00BE"/>
    <w:rsid w:val="00FD0161"/>
    <w:rsid w:val="00FD0163"/>
    <w:rsid w:val="00FD0322"/>
    <w:rsid w:val="00FD03DB"/>
    <w:rsid w:val="00FD0524"/>
    <w:rsid w:val="00FD0584"/>
    <w:rsid w:val="00FD0590"/>
    <w:rsid w:val="00FD0631"/>
    <w:rsid w:val="00FD06A7"/>
    <w:rsid w:val="00FD0712"/>
    <w:rsid w:val="00FD07FD"/>
    <w:rsid w:val="00FD0824"/>
    <w:rsid w:val="00FD085C"/>
    <w:rsid w:val="00FD08BE"/>
    <w:rsid w:val="00FD0924"/>
    <w:rsid w:val="00FD0925"/>
    <w:rsid w:val="00FD096F"/>
    <w:rsid w:val="00FD0A24"/>
    <w:rsid w:val="00FD0A28"/>
    <w:rsid w:val="00FD0A6C"/>
    <w:rsid w:val="00FD0ABC"/>
    <w:rsid w:val="00FD0AD8"/>
    <w:rsid w:val="00FD0BA3"/>
    <w:rsid w:val="00FD0BC6"/>
    <w:rsid w:val="00FD0C87"/>
    <w:rsid w:val="00FD0CA1"/>
    <w:rsid w:val="00FD0CA8"/>
    <w:rsid w:val="00FD0CBD"/>
    <w:rsid w:val="00FD0CDC"/>
    <w:rsid w:val="00FD0CF7"/>
    <w:rsid w:val="00FD0D01"/>
    <w:rsid w:val="00FD0D08"/>
    <w:rsid w:val="00FD0D19"/>
    <w:rsid w:val="00FD0DED"/>
    <w:rsid w:val="00FD0DFE"/>
    <w:rsid w:val="00FD0E07"/>
    <w:rsid w:val="00FD0E47"/>
    <w:rsid w:val="00FD0E7B"/>
    <w:rsid w:val="00FD0E81"/>
    <w:rsid w:val="00FD0EA1"/>
    <w:rsid w:val="00FD0EC9"/>
    <w:rsid w:val="00FD0F9F"/>
    <w:rsid w:val="00FD0FC9"/>
    <w:rsid w:val="00FD1020"/>
    <w:rsid w:val="00FD105C"/>
    <w:rsid w:val="00FD10A1"/>
    <w:rsid w:val="00FD1148"/>
    <w:rsid w:val="00FD1157"/>
    <w:rsid w:val="00FD11D8"/>
    <w:rsid w:val="00FD11FA"/>
    <w:rsid w:val="00FD1228"/>
    <w:rsid w:val="00FD12C1"/>
    <w:rsid w:val="00FD12DC"/>
    <w:rsid w:val="00FD12EF"/>
    <w:rsid w:val="00FD131F"/>
    <w:rsid w:val="00FD137D"/>
    <w:rsid w:val="00FD13D9"/>
    <w:rsid w:val="00FD13E0"/>
    <w:rsid w:val="00FD13F7"/>
    <w:rsid w:val="00FD140E"/>
    <w:rsid w:val="00FD1427"/>
    <w:rsid w:val="00FD1437"/>
    <w:rsid w:val="00FD144C"/>
    <w:rsid w:val="00FD1484"/>
    <w:rsid w:val="00FD14E8"/>
    <w:rsid w:val="00FD1556"/>
    <w:rsid w:val="00FD1652"/>
    <w:rsid w:val="00FD1686"/>
    <w:rsid w:val="00FD1693"/>
    <w:rsid w:val="00FD1697"/>
    <w:rsid w:val="00FD16CC"/>
    <w:rsid w:val="00FD16E0"/>
    <w:rsid w:val="00FD17E1"/>
    <w:rsid w:val="00FD180E"/>
    <w:rsid w:val="00FD1853"/>
    <w:rsid w:val="00FD18A9"/>
    <w:rsid w:val="00FD18B2"/>
    <w:rsid w:val="00FD1A34"/>
    <w:rsid w:val="00FD1ABC"/>
    <w:rsid w:val="00FD1ACB"/>
    <w:rsid w:val="00FD1AD9"/>
    <w:rsid w:val="00FD1AF2"/>
    <w:rsid w:val="00FD1AF7"/>
    <w:rsid w:val="00FD1B01"/>
    <w:rsid w:val="00FD1B33"/>
    <w:rsid w:val="00FD1B95"/>
    <w:rsid w:val="00FD1BAE"/>
    <w:rsid w:val="00FD1C14"/>
    <w:rsid w:val="00FD1C73"/>
    <w:rsid w:val="00FD1CCC"/>
    <w:rsid w:val="00FD1D21"/>
    <w:rsid w:val="00FD1D37"/>
    <w:rsid w:val="00FD1DAE"/>
    <w:rsid w:val="00FD1DFC"/>
    <w:rsid w:val="00FD1E38"/>
    <w:rsid w:val="00FD1E85"/>
    <w:rsid w:val="00FD1EAA"/>
    <w:rsid w:val="00FD1EBF"/>
    <w:rsid w:val="00FD1F34"/>
    <w:rsid w:val="00FD1F7E"/>
    <w:rsid w:val="00FD1F99"/>
    <w:rsid w:val="00FD2006"/>
    <w:rsid w:val="00FD203D"/>
    <w:rsid w:val="00FD211A"/>
    <w:rsid w:val="00FD2133"/>
    <w:rsid w:val="00FD216B"/>
    <w:rsid w:val="00FD2183"/>
    <w:rsid w:val="00FD21A1"/>
    <w:rsid w:val="00FD21E3"/>
    <w:rsid w:val="00FD2298"/>
    <w:rsid w:val="00FD22F5"/>
    <w:rsid w:val="00FD2310"/>
    <w:rsid w:val="00FD2348"/>
    <w:rsid w:val="00FD234C"/>
    <w:rsid w:val="00FD237C"/>
    <w:rsid w:val="00FD23A5"/>
    <w:rsid w:val="00FD23D8"/>
    <w:rsid w:val="00FD2427"/>
    <w:rsid w:val="00FD247E"/>
    <w:rsid w:val="00FD249B"/>
    <w:rsid w:val="00FD2513"/>
    <w:rsid w:val="00FD2555"/>
    <w:rsid w:val="00FD26A0"/>
    <w:rsid w:val="00FD26AD"/>
    <w:rsid w:val="00FD26F2"/>
    <w:rsid w:val="00FD2704"/>
    <w:rsid w:val="00FD2722"/>
    <w:rsid w:val="00FD2792"/>
    <w:rsid w:val="00FD27B2"/>
    <w:rsid w:val="00FD282F"/>
    <w:rsid w:val="00FD28B0"/>
    <w:rsid w:val="00FD28DD"/>
    <w:rsid w:val="00FD28FE"/>
    <w:rsid w:val="00FD2920"/>
    <w:rsid w:val="00FD297D"/>
    <w:rsid w:val="00FD29BD"/>
    <w:rsid w:val="00FD2A7C"/>
    <w:rsid w:val="00FD2AA3"/>
    <w:rsid w:val="00FD2AD4"/>
    <w:rsid w:val="00FD2AE4"/>
    <w:rsid w:val="00FD2B13"/>
    <w:rsid w:val="00FD2B52"/>
    <w:rsid w:val="00FD2B78"/>
    <w:rsid w:val="00FD2C0B"/>
    <w:rsid w:val="00FD2D1D"/>
    <w:rsid w:val="00FD2D69"/>
    <w:rsid w:val="00FD2D97"/>
    <w:rsid w:val="00FD2DA5"/>
    <w:rsid w:val="00FD2EC1"/>
    <w:rsid w:val="00FD2EF4"/>
    <w:rsid w:val="00FD2F96"/>
    <w:rsid w:val="00FD2FDA"/>
    <w:rsid w:val="00FD3027"/>
    <w:rsid w:val="00FD30F2"/>
    <w:rsid w:val="00FD321E"/>
    <w:rsid w:val="00FD3246"/>
    <w:rsid w:val="00FD3258"/>
    <w:rsid w:val="00FD32A0"/>
    <w:rsid w:val="00FD32B9"/>
    <w:rsid w:val="00FD331C"/>
    <w:rsid w:val="00FD333D"/>
    <w:rsid w:val="00FD3353"/>
    <w:rsid w:val="00FD336C"/>
    <w:rsid w:val="00FD338F"/>
    <w:rsid w:val="00FD33E2"/>
    <w:rsid w:val="00FD3420"/>
    <w:rsid w:val="00FD3436"/>
    <w:rsid w:val="00FD347B"/>
    <w:rsid w:val="00FD34C4"/>
    <w:rsid w:val="00FD34D7"/>
    <w:rsid w:val="00FD34E8"/>
    <w:rsid w:val="00FD357A"/>
    <w:rsid w:val="00FD359F"/>
    <w:rsid w:val="00FD35AA"/>
    <w:rsid w:val="00FD35AD"/>
    <w:rsid w:val="00FD35F0"/>
    <w:rsid w:val="00FD362B"/>
    <w:rsid w:val="00FD364A"/>
    <w:rsid w:val="00FD367D"/>
    <w:rsid w:val="00FD36AD"/>
    <w:rsid w:val="00FD36EE"/>
    <w:rsid w:val="00FD372B"/>
    <w:rsid w:val="00FD37BE"/>
    <w:rsid w:val="00FD382F"/>
    <w:rsid w:val="00FD383B"/>
    <w:rsid w:val="00FD3871"/>
    <w:rsid w:val="00FD3872"/>
    <w:rsid w:val="00FD398A"/>
    <w:rsid w:val="00FD39E8"/>
    <w:rsid w:val="00FD3A19"/>
    <w:rsid w:val="00FD3A33"/>
    <w:rsid w:val="00FD3A89"/>
    <w:rsid w:val="00FD3AC5"/>
    <w:rsid w:val="00FD3B0F"/>
    <w:rsid w:val="00FD3B12"/>
    <w:rsid w:val="00FD3BAE"/>
    <w:rsid w:val="00FD3CA0"/>
    <w:rsid w:val="00FD3CDB"/>
    <w:rsid w:val="00FD3D14"/>
    <w:rsid w:val="00FD3E16"/>
    <w:rsid w:val="00FD3E39"/>
    <w:rsid w:val="00FD3ECD"/>
    <w:rsid w:val="00FD3EE7"/>
    <w:rsid w:val="00FD3FA0"/>
    <w:rsid w:val="00FD3FAC"/>
    <w:rsid w:val="00FD3FE4"/>
    <w:rsid w:val="00FD4011"/>
    <w:rsid w:val="00FD4012"/>
    <w:rsid w:val="00FD4045"/>
    <w:rsid w:val="00FD4090"/>
    <w:rsid w:val="00FD40D7"/>
    <w:rsid w:val="00FD413A"/>
    <w:rsid w:val="00FD4155"/>
    <w:rsid w:val="00FD41C5"/>
    <w:rsid w:val="00FD41D5"/>
    <w:rsid w:val="00FD420B"/>
    <w:rsid w:val="00FD42CE"/>
    <w:rsid w:val="00FD4323"/>
    <w:rsid w:val="00FD434D"/>
    <w:rsid w:val="00FD43F6"/>
    <w:rsid w:val="00FD44CD"/>
    <w:rsid w:val="00FD458C"/>
    <w:rsid w:val="00FD4607"/>
    <w:rsid w:val="00FD4610"/>
    <w:rsid w:val="00FD46A9"/>
    <w:rsid w:val="00FD46C6"/>
    <w:rsid w:val="00FD46E1"/>
    <w:rsid w:val="00FD46EB"/>
    <w:rsid w:val="00FD47B8"/>
    <w:rsid w:val="00FD47CC"/>
    <w:rsid w:val="00FD484C"/>
    <w:rsid w:val="00FD4859"/>
    <w:rsid w:val="00FD4881"/>
    <w:rsid w:val="00FD48AD"/>
    <w:rsid w:val="00FD48B7"/>
    <w:rsid w:val="00FD497E"/>
    <w:rsid w:val="00FD4989"/>
    <w:rsid w:val="00FD49C5"/>
    <w:rsid w:val="00FD49D5"/>
    <w:rsid w:val="00FD49D8"/>
    <w:rsid w:val="00FD49DB"/>
    <w:rsid w:val="00FD4A35"/>
    <w:rsid w:val="00FD4A4A"/>
    <w:rsid w:val="00FD4A4B"/>
    <w:rsid w:val="00FD4A67"/>
    <w:rsid w:val="00FD4A6B"/>
    <w:rsid w:val="00FD4A77"/>
    <w:rsid w:val="00FD4AB5"/>
    <w:rsid w:val="00FD4ADD"/>
    <w:rsid w:val="00FD4AE6"/>
    <w:rsid w:val="00FD4B12"/>
    <w:rsid w:val="00FD4B81"/>
    <w:rsid w:val="00FD4BA4"/>
    <w:rsid w:val="00FD4BA9"/>
    <w:rsid w:val="00FD4CB7"/>
    <w:rsid w:val="00FD4CCF"/>
    <w:rsid w:val="00FD4D41"/>
    <w:rsid w:val="00FD4D42"/>
    <w:rsid w:val="00FD4D56"/>
    <w:rsid w:val="00FD4DFD"/>
    <w:rsid w:val="00FD4E06"/>
    <w:rsid w:val="00FD4E27"/>
    <w:rsid w:val="00FD4EC1"/>
    <w:rsid w:val="00FD4EC8"/>
    <w:rsid w:val="00FD4EEF"/>
    <w:rsid w:val="00FD4F1D"/>
    <w:rsid w:val="00FD4F2A"/>
    <w:rsid w:val="00FD4F69"/>
    <w:rsid w:val="00FD4FBA"/>
    <w:rsid w:val="00FD4FF2"/>
    <w:rsid w:val="00FD5042"/>
    <w:rsid w:val="00FD5057"/>
    <w:rsid w:val="00FD5089"/>
    <w:rsid w:val="00FD50DD"/>
    <w:rsid w:val="00FD50F1"/>
    <w:rsid w:val="00FD512D"/>
    <w:rsid w:val="00FD5177"/>
    <w:rsid w:val="00FD5180"/>
    <w:rsid w:val="00FD5195"/>
    <w:rsid w:val="00FD51A5"/>
    <w:rsid w:val="00FD51C0"/>
    <w:rsid w:val="00FD51DC"/>
    <w:rsid w:val="00FD520D"/>
    <w:rsid w:val="00FD523E"/>
    <w:rsid w:val="00FD5289"/>
    <w:rsid w:val="00FD5348"/>
    <w:rsid w:val="00FD535D"/>
    <w:rsid w:val="00FD53FC"/>
    <w:rsid w:val="00FD5428"/>
    <w:rsid w:val="00FD5495"/>
    <w:rsid w:val="00FD5525"/>
    <w:rsid w:val="00FD5548"/>
    <w:rsid w:val="00FD5578"/>
    <w:rsid w:val="00FD5597"/>
    <w:rsid w:val="00FD5664"/>
    <w:rsid w:val="00FD569C"/>
    <w:rsid w:val="00FD56B6"/>
    <w:rsid w:val="00FD56DB"/>
    <w:rsid w:val="00FD574B"/>
    <w:rsid w:val="00FD584E"/>
    <w:rsid w:val="00FD58CB"/>
    <w:rsid w:val="00FD58DF"/>
    <w:rsid w:val="00FD597B"/>
    <w:rsid w:val="00FD59D1"/>
    <w:rsid w:val="00FD59E2"/>
    <w:rsid w:val="00FD5A1C"/>
    <w:rsid w:val="00FD5A8D"/>
    <w:rsid w:val="00FD5B49"/>
    <w:rsid w:val="00FD5B4B"/>
    <w:rsid w:val="00FD5B70"/>
    <w:rsid w:val="00FD5B74"/>
    <w:rsid w:val="00FD5BB1"/>
    <w:rsid w:val="00FD5BD7"/>
    <w:rsid w:val="00FD5BE9"/>
    <w:rsid w:val="00FD5C4D"/>
    <w:rsid w:val="00FD5C5B"/>
    <w:rsid w:val="00FD5C90"/>
    <w:rsid w:val="00FD5CE4"/>
    <w:rsid w:val="00FD5DAB"/>
    <w:rsid w:val="00FD5DBD"/>
    <w:rsid w:val="00FD5E1E"/>
    <w:rsid w:val="00FD5E2A"/>
    <w:rsid w:val="00FD5E63"/>
    <w:rsid w:val="00FD5E83"/>
    <w:rsid w:val="00FD5F28"/>
    <w:rsid w:val="00FD5F4E"/>
    <w:rsid w:val="00FD5F89"/>
    <w:rsid w:val="00FD5FBC"/>
    <w:rsid w:val="00FD5FFF"/>
    <w:rsid w:val="00FD6054"/>
    <w:rsid w:val="00FD60B8"/>
    <w:rsid w:val="00FD60D4"/>
    <w:rsid w:val="00FD6194"/>
    <w:rsid w:val="00FD61CC"/>
    <w:rsid w:val="00FD6231"/>
    <w:rsid w:val="00FD6242"/>
    <w:rsid w:val="00FD6261"/>
    <w:rsid w:val="00FD633A"/>
    <w:rsid w:val="00FD6352"/>
    <w:rsid w:val="00FD6358"/>
    <w:rsid w:val="00FD6383"/>
    <w:rsid w:val="00FD63AE"/>
    <w:rsid w:val="00FD63FE"/>
    <w:rsid w:val="00FD6407"/>
    <w:rsid w:val="00FD6441"/>
    <w:rsid w:val="00FD6452"/>
    <w:rsid w:val="00FD64DC"/>
    <w:rsid w:val="00FD64E8"/>
    <w:rsid w:val="00FD652C"/>
    <w:rsid w:val="00FD6661"/>
    <w:rsid w:val="00FD6695"/>
    <w:rsid w:val="00FD670D"/>
    <w:rsid w:val="00FD673F"/>
    <w:rsid w:val="00FD674E"/>
    <w:rsid w:val="00FD67E0"/>
    <w:rsid w:val="00FD67F4"/>
    <w:rsid w:val="00FD6817"/>
    <w:rsid w:val="00FD685A"/>
    <w:rsid w:val="00FD690F"/>
    <w:rsid w:val="00FD696E"/>
    <w:rsid w:val="00FD6991"/>
    <w:rsid w:val="00FD6A5B"/>
    <w:rsid w:val="00FD6A6D"/>
    <w:rsid w:val="00FD6A82"/>
    <w:rsid w:val="00FD6A98"/>
    <w:rsid w:val="00FD6B0B"/>
    <w:rsid w:val="00FD6B1E"/>
    <w:rsid w:val="00FD6B46"/>
    <w:rsid w:val="00FD6B58"/>
    <w:rsid w:val="00FD6B6A"/>
    <w:rsid w:val="00FD6B89"/>
    <w:rsid w:val="00FD6BA1"/>
    <w:rsid w:val="00FD6BB4"/>
    <w:rsid w:val="00FD6BBB"/>
    <w:rsid w:val="00FD6C3D"/>
    <w:rsid w:val="00FD6D4A"/>
    <w:rsid w:val="00FD6D82"/>
    <w:rsid w:val="00FD6DB2"/>
    <w:rsid w:val="00FD6DF7"/>
    <w:rsid w:val="00FD6E38"/>
    <w:rsid w:val="00FD6E96"/>
    <w:rsid w:val="00FD6EDB"/>
    <w:rsid w:val="00FD6F0A"/>
    <w:rsid w:val="00FD6F54"/>
    <w:rsid w:val="00FD6F71"/>
    <w:rsid w:val="00FD6F75"/>
    <w:rsid w:val="00FD6F9D"/>
    <w:rsid w:val="00FD6FBD"/>
    <w:rsid w:val="00FD70A5"/>
    <w:rsid w:val="00FD70E2"/>
    <w:rsid w:val="00FD7125"/>
    <w:rsid w:val="00FD716A"/>
    <w:rsid w:val="00FD720C"/>
    <w:rsid w:val="00FD7213"/>
    <w:rsid w:val="00FD724E"/>
    <w:rsid w:val="00FD726E"/>
    <w:rsid w:val="00FD72BD"/>
    <w:rsid w:val="00FD7327"/>
    <w:rsid w:val="00FD7360"/>
    <w:rsid w:val="00FD7388"/>
    <w:rsid w:val="00FD73DE"/>
    <w:rsid w:val="00FD73EC"/>
    <w:rsid w:val="00FD740C"/>
    <w:rsid w:val="00FD745A"/>
    <w:rsid w:val="00FD747A"/>
    <w:rsid w:val="00FD74DA"/>
    <w:rsid w:val="00FD7555"/>
    <w:rsid w:val="00FD7594"/>
    <w:rsid w:val="00FD7598"/>
    <w:rsid w:val="00FD75C1"/>
    <w:rsid w:val="00FD7628"/>
    <w:rsid w:val="00FD7640"/>
    <w:rsid w:val="00FD7662"/>
    <w:rsid w:val="00FD7698"/>
    <w:rsid w:val="00FD76D2"/>
    <w:rsid w:val="00FD76E8"/>
    <w:rsid w:val="00FD76F0"/>
    <w:rsid w:val="00FD7714"/>
    <w:rsid w:val="00FD7726"/>
    <w:rsid w:val="00FD773D"/>
    <w:rsid w:val="00FD776A"/>
    <w:rsid w:val="00FD77DA"/>
    <w:rsid w:val="00FD77EB"/>
    <w:rsid w:val="00FD7852"/>
    <w:rsid w:val="00FD7880"/>
    <w:rsid w:val="00FD7893"/>
    <w:rsid w:val="00FD78C8"/>
    <w:rsid w:val="00FD7913"/>
    <w:rsid w:val="00FD793B"/>
    <w:rsid w:val="00FD798D"/>
    <w:rsid w:val="00FD7A83"/>
    <w:rsid w:val="00FD7A96"/>
    <w:rsid w:val="00FD7ABE"/>
    <w:rsid w:val="00FD7ACB"/>
    <w:rsid w:val="00FD7AE0"/>
    <w:rsid w:val="00FD7AED"/>
    <w:rsid w:val="00FD7B19"/>
    <w:rsid w:val="00FD7B55"/>
    <w:rsid w:val="00FD7B89"/>
    <w:rsid w:val="00FD7BA5"/>
    <w:rsid w:val="00FD7BFB"/>
    <w:rsid w:val="00FD7C46"/>
    <w:rsid w:val="00FD7CB6"/>
    <w:rsid w:val="00FD7D00"/>
    <w:rsid w:val="00FD7D3A"/>
    <w:rsid w:val="00FD7D3E"/>
    <w:rsid w:val="00FD7D81"/>
    <w:rsid w:val="00FD7DA3"/>
    <w:rsid w:val="00FD7DA5"/>
    <w:rsid w:val="00FD7DB3"/>
    <w:rsid w:val="00FD7DB6"/>
    <w:rsid w:val="00FD7DDB"/>
    <w:rsid w:val="00FD7E23"/>
    <w:rsid w:val="00FD7E92"/>
    <w:rsid w:val="00FD7EB5"/>
    <w:rsid w:val="00FD7EC0"/>
    <w:rsid w:val="00FD7ECD"/>
    <w:rsid w:val="00FD7F03"/>
    <w:rsid w:val="00FD7F10"/>
    <w:rsid w:val="00FD7F36"/>
    <w:rsid w:val="00FD7F67"/>
    <w:rsid w:val="00FD7FCA"/>
    <w:rsid w:val="00FD7FDD"/>
    <w:rsid w:val="00FE001B"/>
    <w:rsid w:val="00FE0065"/>
    <w:rsid w:val="00FE008D"/>
    <w:rsid w:val="00FE00B9"/>
    <w:rsid w:val="00FE0121"/>
    <w:rsid w:val="00FE013C"/>
    <w:rsid w:val="00FE0140"/>
    <w:rsid w:val="00FE01FD"/>
    <w:rsid w:val="00FE023F"/>
    <w:rsid w:val="00FE0263"/>
    <w:rsid w:val="00FE0275"/>
    <w:rsid w:val="00FE02B5"/>
    <w:rsid w:val="00FE0371"/>
    <w:rsid w:val="00FE0388"/>
    <w:rsid w:val="00FE03DE"/>
    <w:rsid w:val="00FE0477"/>
    <w:rsid w:val="00FE04B8"/>
    <w:rsid w:val="00FE04E4"/>
    <w:rsid w:val="00FE0514"/>
    <w:rsid w:val="00FE0660"/>
    <w:rsid w:val="00FE068B"/>
    <w:rsid w:val="00FE06AF"/>
    <w:rsid w:val="00FE07C5"/>
    <w:rsid w:val="00FE07D1"/>
    <w:rsid w:val="00FE07E0"/>
    <w:rsid w:val="00FE0851"/>
    <w:rsid w:val="00FE0862"/>
    <w:rsid w:val="00FE091F"/>
    <w:rsid w:val="00FE0948"/>
    <w:rsid w:val="00FE094D"/>
    <w:rsid w:val="00FE0A66"/>
    <w:rsid w:val="00FE0AC8"/>
    <w:rsid w:val="00FE0B0B"/>
    <w:rsid w:val="00FE0B7D"/>
    <w:rsid w:val="00FE0BCC"/>
    <w:rsid w:val="00FE0BE2"/>
    <w:rsid w:val="00FE0C6A"/>
    <w:rsid w:val="00FE0D20"/>
    <w:rsid w:val="00FE0E4D"/>
    <w:rsid w:val="00FE0EC3"/>
    <w:rsid w:val="00FE0ECD"/>
    <w:rsid w:val="00FE0FF5"/>
    <w:rsid w:val="00FE101F"/>
    <w:rsid w:val="00FE103C"/>
    <w:rsid w:val="00FE109E"/>
    <w:rsid w:val="00FE10CB"/>
    <w:rsid w:val="00FE10D5"/>
    <w:rsid w:val="00FE10D7"/>
    <w:rsid w:val="00FE10E5"/>
    <w:rsid w:val="00FE11FC"/>
    <w:rsid w:val="00FE1259"/>
    <w:rsid w:val="00FE1322"/>
    <w:rsid w:val="00FE133F"/>
    <w:rsid w:val="00FE1354"/>
    <w:rsid w:val="00FE135E"/>
    <w:rsid w:val="00FE13A3"/>
    <w:rsid w:val="00FE13B3"/>
    <w:rsid w:val="00FE140B"/>
    <w:rsid w:val="00FE1418"/>
    <w:rsid w:val="00FE1426"/>
    <w:rsid w:val="00FE1462"/>
    <w:rsid w:val="00FE14D3"/>
    <w:rsid w:val="00FE15CE"/>
    <w:rsid w:val="00FE1606"/>
    <w:rsid w:val="00FE1654"/>
    <w:rsid w:val="00FE166A"/>
    <w:rsid w:val="00FE1737"/>
    <w:rsid w:val="00FE17A8"/>
    <w:rsid w:val="00FE1856"/>
    <w:rsid w:val="00FE18BF"/>
    <w:rsid w:val="00FE190B"/>
    <w:rsid w:val="00FE1A4E"/>
    <w:rsid w:val="00FE1A90"/>
    <w:rsid w:val="00FE1A93"/>
    <w:rsid w:val="00FE1AD9"/>
    <w:rsid w:val="00FE1B2E"/>
    <w:rsid w:val="00FE1B36"/>
    <w:rsid w:val="00FE1B3B"/>
    <w:rsid w:val="00FE1B67"/>
    <w:rsid w:val="00FE1B7A"/>
    <w:rsid w:val="00FE1BED"/>
    <w:rsid w:val="00FE1CD8"/>
    <w:rsid w:val="00FE1D6A"/>
    <w:rsid w:val="00FE1D80"/>
    <w:rsid w:val="00FE1D85"/>
    <w:rsid w:val="00FE1D91"/>
    <w:rsid w:val="00FE1E24"/>
    <w:rsid w:val="00FE1E50"/>
    <w:rsid w:val="00FE1EFA"/>
    <w:rsid w:val="00FE1F05"/>
    <w:rsid w:val="00FE1F4A"/>
    <w:rsid w:val="00FE1F9E"/>
    <w:rsid w:val="00FE1FBF"/>
    <w:rsid w:val="00FE1FD4"/>
    <w:rsid w:val="00FE20D2"/>
    <w:rsid w:val="00FE2121"/>
    <w:rsid w:val="00FE2138"/>
    <w:rsid w:val="00FE2161"/>
    <w:rsid w:val="00FE2169"/>
    <w:rsid w:val="00FE21C9"/>
    <w:rsid w:val="00FE21F6"/>
    <w:rsid w:val="00FE223D"/>
    <w:rsid w:val="00FE2270"/>
    <w:rsid w:val="00FE2274"/>
    <w:rsid w:val="00FE22CE"/>
    <w:rsid w:val="00FE2305"/>
    <w:rsid w:val="00FE23C2"/>
    <w:rsid w:val="00FE246F"/>
    <w:rsid w:val="00FE24FC"/>
    <w:rsid w:val="00FE2544"/>
    <w:rsid w:val="00FE2578"/>
    <w:rsid w:val="00FE2580"/>
    <w:rsid w:val="00FE26A2"/>
    <w:rsid w:val="00FE26CB"/>
    <w:rsid w:val="00FE2746"/>
    <w:rsid w:val="00FE2787"/>
    <w:rsid w:val="00FE2856"/>
    <w:rsid w:val="00FE2887"/>
    <w:rsid w:val="00FE293F"/>
    <w:rsid w:val="00FE296F"/>
    <w:rsid w:val="00FE2976"/>
    <w:rsid w:val="00FE2A1D"/>
    <w:rsid w:val="00FE2A7E"/>
    <w:rsid w:val="00FE2A82"/>
    <w:rsid w:val="00FE2AB0"/>
    <w:rsid w:val="00FE2AC9"/>
    <w:rsid w:val="00FE2AE8"/>
    <w:rsid w:val="00FE2B19"/>
    <w:rsid w:val="00FE2B30"/>
    <w:rsid w:val="00FE2C59"/>
    <w:rsid w:val="00FE2CB6"/>
    <w:rsid w:val="00FE2DA2"/>
    <w:rsid w:val="00FE2E44"/>
    <w:rsid w:val="00FE2E7D"/>
    <w:rsid w:val="00FE2E82"/>
    <w:rsid w:val="00FE2EAB"/>
    <w:rsid w:val="00FE2EF1"/>
    <w:rsid w:val="00FE2F02"/>
    <w:rsid w:val="00FE2F37"/>
    <w:rsid w:val="00FE2FC3"/>
    <w:rsid w:val="00FE2FE2"/>
    <w:rsid w:val="00FE303B"/>
    <w:rsid w:val="00FE306D"/>
    <w:rsid w:val="00FE309E"/>
    <w:rsid w:val="00FE30DB"/>
    <w:rsid w:val="00FE30F8"/>
    <w:rsid w:val="00FE312B"/>
    <w:rsid w:val="00FE3155"/>
    <w:rsid w:val="00FE3159"/>
    <w:rsid w:val="00FE3189"/>
    <w:rsid w:val="00FE31A4"/>
    <w:rsid w:val="00FE320B"/>
    <w:rsid w:val="00FE3224"/>
    <w:rsid w:val="00FE3299"/>
    <w:rsid w:val="00FE32A5"/>
    <w:rsid w:val="00FE32B6"/>
    <w:rsid w:val="00FE32CC"/>
    <w:rsid w:val="00FE334B"/>
    <w:rsid w:val="00FE3361"/>
    <w:rsid w:val="00FE3367"/>
    <w:rsid w:val="00FE33E4"/>
    <w:rsid w:val="00FE3484"/>
    <w:rsid w:val="00FE3528"/>
    <w:rsid w:val="00FE3594"/>
    <w:rsid w:val="00FE35BB"/>
    <w:rsid w:val="00FE35CD"/>
    <w:rsid w:val="00FE35CE"/>
    <w:rsid w:val="00FE35E2"/>
    <w:rsid w:val="00FE365D"/>
    <w:rsid w:val="00FE36D1"/>
    <w:rsid w:val="00FE373E"/>
    <w:rsid w:val="00FE375D"/>
    <w:rsid w:val="00FE377B"/>
    <w:rsid w:val="00FE37AA"/>
    <w:rsid w:val="00FE381F"/>
    <w:rsid w:val="00FE384D"/>
    <w:rsid w:val="00FE386B"/>
    <w:rsid w:val="00FE38A0"/>
    <w:rsid w:val="00FE38CC"/>
    <w:rsid w:val="00FE38F0"/>
    <w:rsid w:val="00FE3934"/>
    <w:rsid w:val="00FE39AE"/>
    <w:rsid w:val="00FE39D7"/>
    <w:rsid w:val="00FE39E5"/>
    <w:rsid w:val="00FE3A2B"/>
    <w:rsid w:val="00FE3A56"/>
    <w:rsid w:val="00FE3B0D"/>
    <w:rsid w:val="00FE3B32"/>
    <w:rsid w:val="00FE3B61"/>
    <w:rsid w:val="00FE3BA6"/>
    <w:rsid w:val="00FE3BB4"/>
    <w:rsid w:val="00FE3C71"/>
    <w:rsid w:val="00FE3DD9"/>
    <w:rsid w:val="00FE3E43"/>
    <w:rsid w:val="00FE3E84"/>
    <w:rsid w:val="00FE3E92"/>
    <w:rsid w:val="00FE3EB5"/>
    <w:rsid w:val="00FE3EB8"/>
    <w:rsid w:val="00FE3EBB"/>
    <w:rsid w:val="00FE3EEA"/>
    <w:rsid w:val="00FE3F39"/>
    <w:rsid w:val="00FE3F46"/>
    <w:rsid w:val="00FE3FD8"/>
    <w:rsid w:val="00FE4005"/>
    <w:rsid w:val="00FE4023"/>
    <w:rsid w:val="00FE402B"/>
    <w:rsid w:val="00FE4034"/>
    <w:rsid w:val="00FE4041"/>
    <w:rsid w:val="00FE4078"/>
    <w:rsid w:val="00FE408A"/>
    <w:rsid w:val="00FE40A1"/>
    <w:rsid w:val="00FE40D0"/>
    <w:rsid w:val="00FE40DD"/>
    <w:rsid w:val="00FE40E1"/>
    <w:rsid w:val="00FE40F6"/>
    <w:rsid w:val="00FE40F9"/>
    <w:rsid w:val="00FE4171"/>
    <w:rsid w:val="00FE419B"/>
    <w:rsid w:val="00FE4282"/>
    <w:rsid w:val="00FE4285"/>
    <w:rsid w:val="00FE42BB"/>
    <w:rsid w:val="00FE43DF"/>
    <w:rsid w:val="00FE447E"/>
    <w:rsid w:val="00FE4489"/>
    <w:rsid w:val="00FE448A"/>
    <w:rsid w:val="00FE44D4"/>
    <w:rsid w:val="00FE44E0"/>
    <w:rsid w:val="00FE44EB"/>
    <w:rsid w:val="00FE455D"/>
    <w:rsid w:val="00FE4597"/>
    <w:rsid w:val="00FE45DF"/>
    <w:rsid w:val="00FE461A"/>
    <w:rsid w:val="00FE461D"/>
    <w:rsid w:val="00FE4675"/>
    <w:rsid w:val="00FE4678"/>
    <w:rsid w:val="00FE46CC"/>
    <w:rsid w:val="00FE474A"/>
    <w:rsid w:val="00FE4757"/>
    <w:rsid w:val="00FE476F"/>
    <w:rsid w:val="00FE481D"/>
    <w:rsid w:val="00FE4852"/>
    <w:rsid w:val="00FE48C1"/>
    <w:rsid w:val="00FE49DF"/>
    <w:rsid w:val="00FE4A62"/>
    <w:rsid w:val="00FE4AED"/>
    <w:rsid w:val="00FE4BA7"/>
    <w:rsid w:val="00FE4BEE"/>
    <w:rsid w:val="00FE4C16"/>
    <w:rsid w:val="00FE4C59"/>
    <w:rsid w:val="00FE4C77"/>
    <w:rsid w:val="00FE4CB1"/>
    <w:rsid w:val="00FE4CFF"/>
    <w:rsid w:val="00FE4D1B"/>
    <w:rsid w:val="00FE4D6C"/>
    <w:rsid w:val="00FE4DA4"/>
    <w:rsid w:val="00FE4DD0"/>
    <w:rsid w:val="00FE4DD6"/>
    <w:rsid w:val="00FE4E2F"/>
    <w:rsid w:val="00FE4E96"/>
    <w:rsid w:val="00FE4EA7"/>
    <w:rsid w:val="00FE4ECF"/>
    <w:rsid w:val="00FE4F20"/>
    <w:rsid w:val="00FE4FDF"/>
    <w:rsid w:val="00FE4FE2"/>
    <w:rsid w:val="00FE4FE7"/>
    <w:rsid w:val="00FE502C"/>
    <w:rsid w:val="00FE502E"/>
    <w:rsid w:val="00FE504E"/>
    <w:rsid w:val="00FE5121"/>
    <w:rsid w:val="00FE5195"/>
    <w:rsid w:val="00FE51C3"/>
    <w:rsid w:val="00FE51EB"/>
    <w:rsid w:val="00FE522B"/>
    <w:rsid w:val="00FE5275"/>
    <w:rsid w:val="00FE5292"/>
    <w:rsid w:val="00FE5299"/>
    <w:rsid w:val="00FE529D"/>
    <w:rsid w:val="00FE53D2"/>
    <w:rsid w:val="00FE5400"/>
    <w:rsid w:val="00FE542F"/>
    <w:rsid w:val="00FE54BA"/>
    <w:rsid w:val="00FE5531"/>
    <w:rsid w:val="00FE557C"/>
    <w:rsid w:val="00FE55AA"/>
    <w:rsid w:val="00FE55C0"/>
    <w:rsid w:val="00FE55D7"/>
    <w:rsid w:val="00FE55F7"/>
    <w:rsid w:val="00FE563B"/>
    <w:rsid w:val="00FE563D"/>
    <w:rsid w:val="00FE564E"/>
    <w:rsid w:val="00FE565A"/>
    <w:rsid w:val="00FE5754"/>
    <w:rsid w:val="00FE5780"/>
    <w:rsid w:val="00FE5789"/>
    <w:rsid w:val="00FE579C"/>
    <w:rsid w:val="00FE57BF"/>
    <w:rsid w:val="00FE57F5"/>
    <w:rsid w:val="00FE57FD"/>
    <w:rsid w:val="00FE58EB"/>
    <w:rsid w:val="00FE5922"/>
    <w:rsid w:val="00FE594E"/>
    <w:rsid w:val="00FE598B"/>
    <w:rsid w:val="00FE59E4"/>
    <w:rsid w:val="00FE5A06"/>
    <w:rsid w:val="00FE5A68"/>
    <w:rsid w:val="00FE5ADB"/>
    <w:rsid w:val="00FE5B11"/>
    <w:rsid w:val="00FE5B1C"/>
    <w:rsid w:val="00FE5B39"/>
    <w:rsid w:val="00FE5B6C"/>
    <w:rsid w:val="00FE5BEE"/>
    <w:rsid w:val="00FE5C02"/>
    <w:rsid w:val="00FE5C99"/>
    <w:rsid w:val="00FE5CBE"/>
    <w:rsid w:val="00FE5CF4"/>
    <w:rsid w:val="00FE5CF7"/>
    <w:rsid w:val="00FE5D05"/>
    <w:rsid w:val="00FE5D63"/>
    <w:rsid w:val="00FE5D93"/>
    <w:rsid w:val="00FE5DC1"/>
    <w:rsid w:val="00FE5E18"/>
    <w:rsid w:val="00FE5E28"/>
    <w:rsid w:val="00FE5EA7"/>
    <w:rsid w:val="00FE5F17"/>
    <w:rsid w:val="00FE5F6F"/>
    <w:rsid w:val="00FE5F8A"/>
    <w:rsid w:val="00FE5FC9"/>
    <w:rsid w:val="00FE6056"/>
    <w:rsid w:val="00FE606F"/>
    <w:rsid w:val="00FE607E"/>
    <w:rsid w:val="00FE608B"/>
    <w:rsid w:val="00FE6093"/>
    <w:rsid w:val="00FE60BE"/>
    <w:rsid w:val="00FE613A"/>
    <w:rsid w:val="00FE618F"/>
    <w:rsid w:val="00FE61CA"/>
    <w:rsid w:val="00FE61DF"/>
    <w:rsid w:val="00FE623F"/>
    <w:rsid w:val="00FE6250"/>
    <w:rsid w:val="00FE6254"/>
    <w:rsid w:val="00FE625E"/>
    <w:rsid w:val="00FE626F"/>
    <w:rsid w:val="00FE627E"/>
    <w:rsid w:val="00FE6288"/>
    <w:rsid w:val="00FE629A"/>
    <w:rsid w:val="00FE62DE"/>
    <w:rsid w:val="00FE62F6"/>
    <w:rsid w:val="00FE6331"/>
    <w:rsid w:val="00FE6343"/>
    <w:rsid w:val="00FE635C"/>
    <w:rsid w:val="00FE6370"/>
    <w:rsid w:val="00FE637C"/>
    <w:rsid w:val="00FE63A3"/>
    <w:rsid w:val="00FE63C8"/>
    <w:rsid w:val="00FE646D"/>
    <w:rsid w:val="00FE6475"/>
    <w:rsid w:val="00FE64BB"/>
    <w:rsid w:val="00FE64D6"/>
    <w:rsid w:val="00FE64F5"/>
    <w:rsid w:val="00FE64F9"/>
    <w:rsid w:val="00FE651B"/>
    <w:rsid w:val="00FE6527"/>
    <w:rsid w:val="00FE652A"/>
    <w:rsid w:val="00FE6592"/>
    <w:rsid w:val="00FE65BE"/>
    <w:rsid w:val="00FE660E"/>
    <w:rsid w:val="00FE6623"/>
    <w:rsid w:val="00FE66AB"/>
    <w:rsid w:val="00FE67F3"/>
    <w:rsid w:val="00FE67FC"/>
    <w:rsid w:val="00FE680E"/>
    <w:rsid w:val="00FE693B"/>
    <w:rsid w:val="00FE699C"/>
    <w:rsid w:val="00FE69A3"/>
    <w:rsid w:val="00FE6A44"/>
    <w:rsid w:val="00FE6AB2"/>
    <w:rsid w:val="00FE6AEF"/>
    <w:rsid w:val="00FE6B28"/>
    <w:rsid w:val="00FE6B43"/>
    <w:rsid w:val="00FE6B82"/>
    <w:rsid w:val="00FE6B9F"/>
    <w:rsid w:val="00FE6BB7"/>
    <w:rsid w:val="00FE6C81"/>
    <w:rsid w:val="00FE6CC8"/>
    <w:rsid w:val="00FE6CD0"/>
    <w:rsid w:val="00FE6D04"/>
    <w:rsid w:val="00FE6D8A"/>
    <w:rsid w:val="00FE6DBB"/>
    <w:rsid w:val="00FE6E05"/>
    <w:rsid w:val="00FE6E0F"/>
    <w:rsid w:val="00FE6E19"/>
    <w:rsid w:val="00FE6E45"/>
    <w:rsid w:val="00FE6E50"/>
    <w:rsid w:val="00FE6F0E"/>
    <w:rsid w:val="00FE6F17"/>
    <w:rsid w:val="00FE705C"/>
    <w:rsid w:val="00FE70B1"/>
    <w:rsid w:val="00FE70D8"/>
    <w:rsid w:val="00FE7145"/>
    <w:rsid w:val="00FE715C"/>
    <w:rsid w:val="00FE720B"/>
    <w:rsid w:val="00FE7228"/>
    <w:rsid w:val="00FE723F"/>
    <w:rsid w:val="00FE7246"/>
    <w:rsid w:val="00FE7304"/>
    <w:rsid w:val="00FE7391"/>
    <w:rsid w:val="00FE73FE"/>
    <w:rsid w:val="00FE7419"/>
    <w:rsid w:val="00FE74A8"/>
    <w:rsid w:val="00FE74AE"/>
    <w:rsid w:val="00FE74C5"/>
    <w:rsid w:val="00FE74F7"/>
    <w:rsid w:val="00FE75A9"/>
    <w:rsid w:val="00FE75D3"/>
    <w:rsid w:val="00FE75EB"/>
    <w:rsid w:val="00FE7669"/>
    <w:rsid w:val="00FE77CB"/>
    <w:rsid w:val="00FE77D6"/>
    <w:rsid w:val="00FE7817"/>
    <w:rsid w:val="00FE7890"/>
    <w:rsid w:val="00FE789D"/>
    <w:rsid w:val="00FE78A2"/>
    <w:rsid w:val="00FE78E2"/>
    <w:rsid w:val="00FE7906"/>
    <w:rsid w:val="00FE7925"/>
    <w:rsid w:val="00FE79AF"/>
    <w:rsid w:val="00FE79FD"/>
    <w:rsid w:val="00FE7A11"/>
    <w:rsid w:val="00FE7A40"/>
    <w:rsid w:val="00FE7AF0"/>
    <w:rsid w:val="00FE7B84"/>
    <w:rsid w:val="00FE7B91"/>
    <w:rsid w:val="00FE7BF8"/>
    <w:rsid w:val="00FE7C27"/>
    <w:rsid w:val="00FE7C3C"/>
    <w:rsid w:val="00FE7C9C"/>
    <w:rsid w:val="00FE7CE6"/>
    <w:rsid w:val="00FE7D34"/>
    <w:rsid w:val="00FE7D52"/>
    <w:rsid w:val="00FE7DE0"/>
    <w:rsid w:val="00FE7E23"/>
    <w:rsid w:val="00FE7EDA"/>
    <w:rsid w:val="00FE7FD6"/>
    <w:rsid w:val="00FF0008"/>
    <w:rsid w:val="00FF00B3"/>
    <w:rsid w:val="00FF0134"/>
    <w:rsid w:val="00FF0141"/>
    <w:rsid w:val="00FF016C"/>
    <w:rsid w:val="00FF01C8"/>
    <w:rsid w:val="00FF0251"/>
    <w:rsid w:val="00FF028A"/>
    <w:rsid w:val="00FF0298"/>
    <w:rsid w:val="00FF02C5"/>
    <w:rsid w:val="00FF0335"/>
    <w:rsid w:val="00FF033F"/>
    <w:rsid w:val="00FF03B4"/>
    <w:rsid w:val="00FF041B"/>
    <w:rsid w:val="00FF043F"/>
    <w:rsid w:val="00FF047F"/>
    <w:rsid w:val="00FF0482"/>
    <w:rsid w:val="00FF0511"/>
    <w:rsid w:val="00FF056D"/>
    <w:rsid w:val="00FF05BC"/>
    <w:rsid w:val="00FF0645"/>
    <w:rsid w:val="00FF069C"/>
    <w:rsid w:val="00FF06E7"/>
    <w:rsid w:val="00FF0707"/>
    <w:rsid w:val="00FF0863"/>
    <w:rsid w:val="00FF0878"/>
    <w:rsid w:val="00FF08CB"/>
    <w:rsid w:val="00FF08CF"/>
    <w:rsid w:val="00FF08E7"/>
    <w:rsid w:val="00FF0910"/>
    <w:rsid w:val="00FF0921"/>
    <w:rsid w:val="00FF0937"/>
    <w:rsid w:val="00FF0950"/>
    <w:rsid w:val="00FF0957"/>
    <w:rsid w:val="00FF0987"/>
    <w:rsid w:val="00FF09A6"/>
    <w:rsid w:val="00FF09E8"/>
    <w:rsid w:val="00FF0A53"/>
    <w:rsid w:val="00FF0B90"/>
    <w:rsid w:val="00FF0BB3"/>
    <w:rsid w:val="00FF0C39"/>
    <w:rsid w:val="00FF0C93"/>
    <w:rsid w:val="00FF0CBB"/>
    <w:rsid w:val="00FF0CBF"/>
    <w:rsid w:val="00FF0CC6"/>
    <w:rsid w:val="00FF0CC7"/>
    <w:rsid w:val="00FF0D2F"/>
    <w:rsid w:val="00FF0DC1"/>
    <w:rsid w:val="00FF0DC3"/>
    <w:rsid w:val="00FF0DDD"/>
    <w:rsid w:val="00FF0E62"/>
    <w:rsid w:val="00FF0EDA"/>
    <w:rsid w:val="00FF0EE5"/>
    <w:rsid w:val="00FF0F31"/>
    <w:rsid w:val="00FF0F84"/>
    <w:rsid w:val="00FF0F8C"/>
    <w:rsid w:val="00FF0FA1"/>
    <w:rsid w:val="00FF1012"/>
    <w:rsid w:val="00FF1035"/>
    <w:rsid w:val="00FF1061"/>
    <w:rsid w:val="00FF1076"/>
    <w:rsid w:val="00FF1117"/>
    <w:rsid w:val="00FF115E"/>
    <w:rsid w:val="00FF11C9"/>
    <w:rsid w:val="00FF11EB"/>
    <w:rsid w:val="00FF129B"/>
    <w:rsid w:val="00FF129F"/>
    <w:rsid w:val="00FF12B8"/>
    <w:rsid w:val="00FF12BB"/>
    <w:rsid w:val="00FF12E9"/>
    <w:rsid w:val="00FF139B"/>
    <w:rsid w:val="00FF1416"/>
    <w:rsid w:val="00FF1444"/>
    <w:rsid w:val="00FF144E"/>
    <w:rsid w:val="00FF1478"/>
    <w:rsid w:val="00FF148F"/>
    <w:rsid w:val="00FF1501"/>
    <w:rsid w:val="00FF1536"/>
    <w:rsid w:val="00FF1563"/>
    <w:rsid w:val="00FF159F"/>
    <w:rsid w:val="00FF163C"/>
    <w:rsid w:val="00FF1672"/>
    <w:rsid w:val="00FF17D5"/>
    <w:rsid w:val="00FF17DF"/>
    <w:rsid w:val="00FF1807"/>
    <w:rsid w:val="00FF1854"/>
    <w:rsid w:val="00FF18B5"/>
    <w:rsid w:val="00FF18EE"/>
    <w:rsid w:val="00FF194C"/>
    <w:rsid w:val="00FF1950"/>
    <w:rsid w:val="00FF197F"/>
    <w:rsid w:val="00FF199A"/>
    <w:rsid w:val="00FF199F"/>
    <w:rsid w:val="00FF19A4"/>
    <w:rsid w:val="00FF1A2F"/>
    <w:rsid w:val="00FF1A32"/>
    <w:rsid w:val="00FF1A60"/>
    <w:rsid w:val="00FF1A76"/>
    <w:rsid w:val="00FF1ACA"/>
    <w:rsid w:val="00FF1AD2"/>
    <w:rsid w:val="00FF1C14"/>
    <w:rsid w:val="00FF1C26"/>
    <w:rsid w:val="00FF1CE2"/>
    <w:rsid w:val="00FF1D07"/>
    <w:rsid w:val="00FF1D77"/>
    <w:rsid w:val="00FF1E6F"/>
    <w:rsid w:val="00FF1E7C"/>
    <w:rsid w:val="00FF1EBF"/>
    <w:rsid w:val="00FF1EE5"/>
    <w:rsid w:val="00FF1F99"/>
    <w:rsid w:val="00FF1FA1"/>
    <w:rsid w:val="00FF201A"/>
    <w:rsid w:val="00FF206B"/>
    <w:rsid w:val="00FF20AE"/>
    <w:rsid w:val="00FF20DE"/>
    <w:rsid w:val="00FF20E9"/>
    <w:rsid w:val="00FF2137"/>
    <w:rsid w:val="00FF21E9"/>
    <w:rsid w:val="00FF2249"/>
    <w:rsid w:val="00FF22AD"/>
    <w:rsid w:val="00FF22F6"/>
    <w:rsid w:val="00FF2301"/>
    <w:rsid w:val="00FF2304"/>
    <w:rsid w:val="00FF2361"/>
    <w:rsid w:val="00FF2409"/>
    <w:rsid w:val="00FF2425"/>
    <w:rsid w:val="00FF2460"/>
    <w:rsid w:val="00FF2505"/>
    <w:rsid w:val="00FF2525"/>
    <w:rsid w:val="00FF2544"/>
    <w:rsid w:val="00FF254D"/>
    <w:rsid w:val="00FF256C"/>
    <w:rsid w:val="00FF2602"/>
    <w:rsid w:val="00FF260C"/>
    <w:rsid w:val="00FF2637"/>
    <w:rsid w:val="00FF2660"/>
    <w:rsid w:val="00FF26B9"/>
    <w:rsid w:val="00FF26D5"/>
    <w:rsid w:val="00FF26D9"/>
    <w:rsid w:val="00FF26F7"/>
    <w:rsid w:val="00FF27CE"/>
    <w:rsid w:val="00FF27D7"/>
    <w:rsid w:val="00FF27E0"/>
    <w:rsid w:val="00FF282C"/>
    <w:rsid w:val="00FF283F"/>
    <w:rsid w:val="00FF28A3"/>
    <w:rsid w:val="00FF28B3"/>
    <w:rsid w:val="00FF28BC"/>
    <w:rsid w:val="00FF292B"/>
    <w:rsid w:val="00FF298C"/>
    <w:rsid w:val="00FF29A1"/>
    <w:rsid w:val="00FF29A6"/>
    <w:rsid w:val="00FF29D7"/>
    <w:rsid w:val="00FF2A10"/>
    <w:rsid w:val="00FF2A42"/>
    <w:rsid w:val="00FF2A63"/>
    <w:rsid w:val="00FF2AC5"/>
    <w:rsid w:val="00FF2B19"/>
    <w:rsid w:val="00FF2B1B"/>
    <w:rsid w:val="00FF2B6A"/>
    <w:rsid w:val="00FF2B6B"/>
    <w:rsid w:val="00FF2C0B"/>
    <w:rsid w:val="00FF2C6F"/>
    <w:rsid w:val="00FF2CEA"/>
    <w:rsid w:val="00FF2CEE"/>
    <w:rsid w:val="00FF2D00"/>
    <w:rsid w:val="00FF2D2B"/>
    <w:rsid w:val="00FF2DFB"/>
    <w:rsid w:val="00FF2F04"/>
    <w:rsid w:val="00FF2F17"/>
    <w:rsid w:val="00FF2F29"/>
    <w:rsid w:val="00FF2F94"/>
    <w:rsid w:val="00FF2F99"/>
    <w:rsid w:val="00FF2FF8"/>
    <w:rsid w:val="00FF308E"/>
    <w:rsid w:val="00FF30EA"/>
    <w:rsid w:val="00FF3117"/>
    <w:rsid w:val="00FF3186"/>
    <w:rsid w:val="00FF3260"/>
    <w:rsid w:val="00FF3264"/>
    <w:rsid w:val="00FF3281"/>
    <w:rsid w:val="00FF3292"/>
    <w:rsid w:val="00FF32E7"/>
    <w:rsid w:val="00FF3315"/>
    <w:rsid w:val="00FF3335"/>
    <w:rsid w:val="00FF3374"/>
    <w:rsid w:val="00FF3377"/>
    <w:rsid w:val="00FF339F"/>
    <w:rsid w:val="00FF33BE"/>
    <w:rsid w:val="00FF3512"/>
    <w:rsid w:val="00FF3537"/>
    <w:rsid w:val="00FF35BA"/>
    <w:rsid w:val="00FF35F0"/>
    <w:rsid w:val="00FF35F3"/>
    <w:rsid w:val="00FF361F"/>
    <w:rsid w:val="00FF364A"/>
    <w:rsid w:val="00FF367D"/>
    <w:rsid w:val="00FF3684"/>
    <w:rsid w:val="00FF3685"/>
    <w:rsid w:val="00FF36D5"/>
    <w:rsid w:val="00FF37D9"/>
    <w:rsid w:val="00FF37E7"/>
    <w:rsid w:val="00FF37FB"/>
    <w:rsid w:val="00FF3806"/>
    <w:rsid w:val="00FF3869"/>
    <w:rsid w:val="00FF3884"/>
    <w:rsid w:val="00FF391B"/>
    <w:rsid w:val="00FF3951"/>
    <w:rsid w:val="00FF3988"/>
    <w:rsid w:val="00FF3A08"/>
    <w:rsid w:val="00FF3A2B"/>
    <w:rsid w:val="00FF3A93"/>
    <w:rsid w:val="00FF3AB2"/>
    <w:rsid w:val="00FF3AEC"/>
    <w:rsid w:val="00FF3B24"/>
    <w:rsid w:val="00FF3BA1"/>
    <w:rsid w:val="00FF3BBE"/>
    <w:rsid w:val="00FF3BD5"/>
    <w:rsid w:val="00FF3BD9"/>
    <w:rsid w:val="00FF3C2B"/>
    <w:rsid w:val="00FF3C36"/>
    <w:rsid w:val="00FF3C3B"/>
    <w:rsid w:val="00FF3C4B"/>
    <w:rsid w:val="00FF3C86"/>
    <w:rsid w:val="00FF3D21"/>
    <w:rsid w:val="00FF3D3F"/>
    <w:rsid w:val="00FF3D4A"/>
    <w:rsid w:val="00FF3D9D"/>
    <w:rsid w:val="00FF3E19"/>
    <w:rsid w:val="00FF3E47"/>
    <w:rsid w:val="00FF3E73"/>
    <w:rsid w:val="00FF3E90"/>
    <w:rsid w:val="00FF3EB2"/>
    <w:rsid w:val="00FF3FB4"/>
    <w:rsid w:val="00FF3FCF"/>
    <w:rsid w:val="00FF3FE2"/>
    <w:rsid w:val="00FF4033"/>
    <w:rsid w:val="00FF4099"/>
    <w:rsid w:val="00FF40A1"/>
    <w:rsid w:val="00FF40CE"/>
    <w:rsid w:val="00FF415A"/>
    <w:rsid w:val="00FF41F7"/>
    <w:rsid w:val="00FF4213"/>
    <w:rsid w:val="00FF4214"/>
    <w:rsid w:val="00FF424F"/>
    <w:rsid w:val="00FF4257"/>
    <w:rsid w:val="00FF426E"/>
    <w:rsid w:val="00FF4280"/>
    <w:rsid w:val="00FF4335"/>
    <w:rsid w:val="00FF4341"/>
    <w:rsid w:val="00FF4342"/>
    <w:rsid w:val="00FF4399"/>
    <w:rsid w:val="00FF43B2"/>
    <w:rsid w:val="00FF43E4"/>
    <w:rsid w:val="00FF4454"/>
    <w:rsid w:val="00FF448D"/>
    <w:rsid w:val="00FF44BE"/>
    <w:rsid w:val="00FF44C8"/>
    <w:rsid w:val="00FF44CD"/>
    <w:rsid w:val="00FF44E6"/>
    <w:rsid w:val="00FF458E"/>
    <w:rsid w:val="00FF4590"/>
    <w:rsid w:val="00FF45D4"/>
    <w:rsid w:val="00FF45F7"/>
    <w:rsid w:val="00FF4607"/>
    <w:rsid w:val="00FF4732"/>
    <w:rsid w:val="00FF4741"/>
    <w:rsid w:val="00FF4745"/>
    <w:rsid w:val="00FF4746"/>
    <w:rsid w:val="00FF47F7"/>
    <w:rsid w:val="00FF481A"/>
    <w:rsid w:val="00FF482E"/>
    <w:rsid w:val="00FF4831"/>
    <w:rsid w:val="00FF4864"/>
    <w:rsid w:val="00FF4875"/>
    <w:rsid w:val="00FF48CD"/>
    <w:rsid w:val="00FF49B4"/>
    <w:rsid w:val="00FF4AB2"/>
    <w:rsid w:val="00FF4AC7"/>
    <w:rsid w:val="00FF4B12"/>
    <w:rsid w:val="00FF4B5A"/>
    <w:rsid w:val="00FF4B6C"/>
    <w:rsid w:val="00FF4B90"/>
    <w:rsid w:val="00FF4BA1"/>
    <w:rsid w:val="00FF4BC5"/>
    <w:rsid w:val="00FF4C3E"/>
    <w:rsid w:val="00FF4C48"/>
    <w:rsid w:val="00FF4CA2"/>
    <w:rsid w:val="00FF4D1C"/>
    <w:rsid w:val="00FF4DAC"/>
    <w:rsid w:val="00FF4DB6"/>
    <w:rsid w:val="00FF4DFE"/>
    <w:rsid w:val="00FF4E47"/>
    <w:rsid w:val="00FF4E53"/>
    <w:rsid w:val="00FF4E7A"/>
    <w:rsid w:val="00FF4E80"/>
    <w:rsid w:val="00FF4E91"/>
    <w:rsid w:val="00FF4EAA"/>
    <w:rsid w:val="00FF4EAD"/>
    <w:rsid w:val="00FF4EBF"/>
    <w:rsid w:val="00FF4FB1"/>
    <w:rsid w:val="00FF4FE2"/>
    <w:rsid w:val="00FF4FF8"/>
    <w:rsid w:val="00FF5006"/>
    <w:rsid w:val="00FF5013"/>
    <w:rsid w:val="00FF506B"/>
    <w:rsid w:val="00FF507A"/>
    <w:rsid w:val="00FF50D5"/>
    <w:rsid w:val="00FF511B"/>
    <w:rsid w:val="00FF511F"/>
    <w:rsid w:val="00FF5153"/>
    <w:rsid w:val="00FF5155"/>
    <w:rsid w:val="00FF5262"/>
    <w:rsid w:val="00FF527C"/>
    <w:rsid w:val="00FF5293"/>
    <w:rsid w:val="00FF52B5"/>
    <w:rsid w:val="00FF53B2"/>
    <w:rsid w:val="00FF5451"/>
    <w:rsid w:val="00FF5469"/>
    <w:rsid w:val="00FF54A4"/>
    <w:rsid w:val="00FF555F"/>
    <w:rsid w:val="00FF558B"/>
    <w:rsid w:val="00FF55B6"/>
    <w:rsid w:val="00FF5629"/>
    <w:rsid w:val="00FF5699"/>
    <w:rsid w:val="00FF56B8"/>
    <w:rsid w:val="00FF5722"/>
    <w:rsid w:val="00FF572F"/>
    <w:rsid w:val="00FF5756"/>
    <w:rsid w:val="00FF5786"/>
    <w:rsid w:val="00FF578D"/>
    <w:rsid w:val="00FF57BE"/>
    <w:rsid w:val="00FF57DB"/>
    <w:rsid w:val="00FF57EE"/>
    <w:rsid w:val="00FF582C"/>
    <w:rsid w:val="00FF589D"/>
    <w:rsid w:val="00FF5943"/>
    <w:rsid w:val="00FF597C"/>
    <w:rsid w:val="00FF5995"/>
    <w:rsid w:val="00FF5A11"/>
    <w:rsid w:val="00FF5A1D"/>
    <w:rsid w:val="00FF5A43"/>
    <w:rsid w:val="00FF5A95"/>
    <w:rsid w:val="00FF5B60"/>
    <w:rsid w:val="00FF5BB5"/>
    <w:rsid w:val="00FF5CB8"/>
    <w:rsid w:val="00FF5CE8"/>
    <w:rsid w:val="00FF5D34"/>
    <w:rsid w:val="00FF5D44"/>
    <w:rsid w:val="00FF5D4E"/>
    <w:rsid w:val="00FF5D4F"/>
    <w:rsid w:val="00FF5D59"/>
    <w:rsid w:val="00FF5D87"/>
    <w:rsid w:val="00FF5E2E"/>
    <w:rsid w:val="00FF5F4E"/>
    <w:rsid w:val="00FF5F6C"/>
    <w:rsid w:val="00FF5FA3"/>
    <w:rsid w:val="00FF5FEF"/>
    <w:rsid w:val="00FF608E"/>
    <w:rsid w:val="00FF6093"/>
    <w:rsid w:val="00FF609E"/>
    <w:rsid w:val="00FF60A1"/>
    <w:rsid w:val="00FF60C7"/>
    <w:rsid w:val="00FF60E1"/>
    <w:rsid w:val="00FF60F0"/>
    <w:rsid w:val="00FF60F9"/>
    <w:rsid w:val="00FF6146"/>
    <w:rsid w:val="00FF617A"/>
    <w:rsid w:val="00FF61AA"/>
    <w:rsid w:val="00FF61D6"/>
    <w:rsid w:val="00FF6253"/>
    <w:rsid w:val="00FF6277"/>
    <w:rsid w:val="00FF628A"/>
    <w:rsid w:val="00FF628B"/>
    <w:rsid w:val="00FF6295"/>
    <w:rsid w:val="00FF62D1"/>
    <w:rsid w:val="00FF63B0"/>
    <w:rsid w:val="00FF6401"/>
    <w:rsid w:val="00FF6413"/>
    <w:rsid w:val="00FF6460"/>
    <w:rsid w:val="00FF647A"/>
    <w:rsid w:val="00FF6490"/>
    <w:rsid w:val="00FF6498"/>
    <w:rsid w:val="00FF6598"/>
    <w:rsid w:val="00FF65C1"/>
    <w:rsid w:val="00FF65EA"/>
    <w:rsid w:val="00FF65EE"/>
    <w:rsid w:val="00FF660A"/>
    <w:rsid w:val="00FF6635"/>
    <w:rsid w:val="00FF6694"/>
    <w:rsid w:val="00FF6695"/>
    <w:rsid w:val="00FF6765"/>
    <w:rsid w:val="00FF6778"/>
    <w:rsid w:val="00FF6831"/>
    <w:rsid w:val="00FF6862"/>
    <w:rsid w:val="00FF686D"/>
    <w:rsid w:val="00FF68A4"/>
    <w:rsid w:val="00FF68C9"/>
    <w:rsid w:val="00FF6969"/>
    <w:rsid w:val="00FF6A0B"/>
    <w:rsid w:val="00FF6AFB"/>
    <w:rsid w:val="00FF6B05"/>
    <w:rsid w:val="00FF6BA0"/>
    <w:rsid w:val="00FF6BA7"/>
    <w:rsid w:val="00FF6BB0"/>
    <w:rsid w:val="00FF6BD5"/>
    <w:rsid w:val="00FF6C40"/>
    <w:rsid w:val="00FF6D15"/>
    <w:rsid w:val="00FF6D26"/>
    <w:rsid w:val="00FF6D76"/>
    <w:rsid w:val="00FF6D8C"/>
    <w:rsid w:val="00FF6DAA"/>
    <w:rsid w:val="00FF6DEB"/>
    <w:rsid w:val="00FF6DF6"/>
    <w:rsid w:val="00FF6E25"/>
    <w:rsid w:val="00FF6E5A"/>
    <w:rsid w:val="00FF6F4B"/>
    <w:rsid w:val="00FF701E"/>
    <w:rsid w:val="00FF702C"/>
    <w:rsid w:val="00FF70C1"/>
    <w:rsid w:val="00FF710E"/>
    <w:rsid w:val="00FF7131"/>
    <w:rsid w:val="00FF71AB"/>
    <w:rsid w:val="00FF71B6"/>
    <w:rsid w:val="00FF7202"/>
    <w:rsid w:val="00FF7203"/>
    <w:rsid w:val="00FF720D"/>
    <w:rsid w:val="00FF724D"/>
    <w:rsid w:val="00FF72CB"/>
    <w:rsid w:val="00FF732E"/>
    <w:rsid w:val="00FF74AA"/>
    <w:rsid w:val="00FF755C"/>
    <w:rsid w:val="00FF756F"/>
    <w:rsid w:val="00FF7574"/>
    <w:rsid w:val="00FF75A0"/>
    <w:rsid w:val="00FF75B1"/>
    <w:rsid w:val="00FF763D"/>
    <w:rsid w:val="00FF7669"/>
    <w:rsid w:val="00FF76A1"/>
    <w:rsid w:val="00FF76B9"/>
    <w:rsid w:val="00FF76D0"/>
    <w:rsid w:val="00FF76E8"/>
    <w:rsid w:val="00FF7758"/>
    <w:rsid w:val="00FF7770"/>
    <w:rsid w:val="00FF7777"/>
    <w:rsid w:val="00FF77BA"/>
    <w:rsid w:val="00FF789C"/>
    <w:rsid w:val="00FF78A3"/>
    <w:rsid w:val="00FF7A12"/>
    <w:rsid w:val="00FF7A7B"/>
    <w:rsid w:val="00FF7B02"/>
    <w:rsid w:val="00FF7B19"/>
    <w:rsid w:val="00FF7B74"/>
    <w:rsid w:val="00FF7BDA"/>
    <w:rsid w:val="00FF7C09"/>
    <w:rsid w:val="00FF7CAD"/>
    <w:rsid w:val="00FF7CEE"/>
    <w:rsid w:val="00FF7D1C"/>
    <w:rsid w:val="00FF7D7E"/>
    <w:rsid w:val="00FF7DD2"/>
    <w:rsid w:val="00FF7E03"/>
    <w:rsid w:val="00FF7E3D"/>
    <w:rsid w:val="00FF7E61"/>
    <w:rsid w:val="00FF7EB8"/>
    <w:rsid w:val="00FF7EE5"/>
    <w:rsid w:val="00FF7F72"/>
    <w:rsid w:val="00FF7F74"/>
    <w:rsid w:val="00FF7F8E"/>
    <w:rsid w:val="00FF7FBA"/>
    <w:rsid w:val="00FF7FBC"/>
    <w:rsid w:val="00FF7FF6"/>
    <w:rsid w:val="01C7635F"/>
    <w:rsid w:val="01F4B5EC"/>
    <w:rsid w:val="02290007"/>
    <w:rsid w:val="022FA267"/>
    <w:rsid w:val="0234D258"/>
    <w:rsid w:val="02551359"/>
    <w:rsid w:val="02559539"/>
    <w:rsid w:val="02A9C79F"/>
    <w:rsid w:val="02F2D384"/>
    <w:rsid w:val="03085ED7"/>
    <w:rsid w:val="030C7896"/>
    <w:rsid w:val="031FE729"/>
    <w:rsid w:val="0414D2DB"/>
    <w:rsid w:val="044CF0CC"/>
    <w:rsid w:val="04D82E6E"/>
    <w:rsid w:val="04EF25FF"/>
    <w:rsid w:val="054703CF"/>
    <w:rsid w:val="058A2930"/>
    <w:rsid w:val="05D5B4B7"/>
    <w:rsid w:val="05EF2AB5"/>
    <w:rsid w:val="0632336E"/>
    <w:rsid w:val="067BA845"/>
    <w:rsid w:val="06D89F43"/>
    <w:rsid w:val="06DED5B7"/>
    <w:rsid w:val="0703DCB0"/>
    <w:rsid w:val="07445663"/>
    <w:rsid w:val="07588F36"/>
    <w:rsid w:val="075B8796"/>
    <w:rsid w:val="07A9F42C"/>
    <w:rsid w:val="07DF4D3A"/>
    <w:rsid w:val="07EFA07D"/>
    <w:rsid w:val="08013EC5"/>
    <w:rsid w:val="0803FA4C"/>
    <w:rsid w:val="08A5BFA4"/>
    <w:rsid w:val="08C1E900"/>
    <w:rsid w:val="08DBBF08"/>
    <w:rsid w:val="08E6717D"/>
    <w:rsid w:val="09040F1B"/>
    <w:rsid w:val="09644F01"/>
    <w:rsid w:val="0A4872D1"/>
    <w:rsid w:val="0A4C5C4C"/>
    <w:rsid w:val="0A9E0390"/>
    <w:rsid w:val="0AAAC2DA"/>
    <w:rsid w:val="0AB21168"/>
    <w:rsid w:val="0AE67116"/>
    <w:rsid w:val="0B895629"/>
    <w:rsid w:val="0BB1921A"/>
    <w:rsid w:val="0C2C1BD4"/>
    <w:rsid w:val="0C56DC29"/>
    <w:rsid w:val="0D0F487E"/>
    <w:rsid w:val="0D454E5C"/>
    <w:rsid w:val="0D9203A9"/>
    <w:rsid w:val="0DEA4B18"/>
    <w:rsid w:val="0DF8C636"/>
    <w:rsid w:val="0E4AEA94"/>
    <w:rsid w:val="0E6616CB"/>
    <w:rsid w:val="0E863155"/>
    <w:rsid w:val="0EBC91A2"/>
    <w:rsid w:val="0F1C6F44"/>
    <w:rsid w:val="0F6AD38B"/>
    <w:rsid w:val="0F7F4875"/>
    <w:rsid w:val="0FBF57BA"/>
    <w:rsid w:val="0FC7DADD"/>
    <w:rsid w:val="106DAD57"/>
    <w:rsid w:val="107E3E7D"/>
    <w:rsid w:val="10BB9DD0"/>
    <w:rsid w:val="112696CA"/>
    <w:rsid w:val="11557FBE"/>
    <w:rsid w:val="1193FE91"/>
    <w:rsid w:val="11E3CD4E"/>
    <w:rsid w:val="11FC2EFD"/>
    <w:rsid w:val="120BCF6F"/>
    <w:rsid w:val="12A27CBB"/>
    <w:rsid w:val="12A31477"/>
    <w:rsid w:val="12B0EEE6"/>
    <w:rsid w:val="12C9525A"/>
    <w:rsid w:val="12E72850"/>
    <w:rsid w:val="140DB06F"/>
    <w:rsid w:val="142E9FB7"/>
    <w:rsid w:val="143B2C61"/>
    <w:rsid w:val="146BDBF1"/>
    <w:rsid w:val="149F3FD2"/>
    <w:rsid w:val="14AA8011"/>
    <w:rsid w:val="14C4AB34"/>
    <w:rsid w:val="14DF13FF"/>
    <w:rsid w:val="14FC7C4C"/>
    <w:rsid w:val="151B455D"/>
    <w:rsid w:val="156DD682"/>
    <w:rsid w:val="15A36EA2"/>
    <w:rsid w:val="15F7B518"/>
    <w:rsid w:val="16010F67"/>
    <w:rsid w:val="16158988"/>
    <w:rsid w:val="163D01CE"/>
    <w:rsid w:val="164BFB29"/>
    <w:rsid w:val="168FF478"/>
    <w:rsid w:val="1697B535"/>
    <w:rsid w:val="1711B6F7"/>
    <w:rsid w:val="17938579"/>
    <w:rsid w:val="18567011"/>
    <w:rsid w:val="18A44088"/>
    <w:rsid w:val="18D2B3E5"/>
    <w:rsid w:val="18D71B18"/>
    <w:rsid w:val="1A1D9000"/>
    <w:rsid w:val="1A78900E"/>
    <w:rsid w:val="1A7D7910"/>
    <w:rsid w:val="1AB6AE8C"/>
    <w:rsid w:val="1ABCFAFA"/>
    <w:rsid w:val="1B03FFE1"/>
    <w:rsid w:val="1B31820C"/>
    <w:rsid w:val="1B35632F"/>
    <w:rsid w:val="1B694FA9"/>
    <w:rsid w:val="1B92F264"/>
    <w:rsid w:val="1C1F7EB2"/>
    <w:rsid w:val="1C491BCD"/>
    <w:rsid w:val="1C4DC080"/>
    <w:rsid w:val="1C7D04A4"/>
    <w:rsid w:val="1CD621C2"/>
    <w:rsid w:val="1CF242CD"/>
    <w:rsid w:val="1D258116"/>
    <w:rsid w:val="1D33F43B"/>
    <w:rsid w:val="1D63DC0E"/>
    <w:rsid w:val="1D8F4045"/>
    <w:rsid w:val="1DD025C9"/>
    <w:rsid w:val="1DD9EF23"/>
    <w:rsid w:val="1DE38F53"/>
    <w:rsid w:val="1E1469FE"/>
    <w:rsid w:val="1E9D3C17"/>
    <w:rsid w:val="1EF28E3B"/>
    <w:rsid w:val="1F44DEEA"/>
    <w:rsid w:val="1F4FECFC"/>
    <w:rsid w:val="1F75BF84"/>
    <w:rsid w:val="1FC84C7C"/>
    <w:rsid w:val="201DD343"/>
    <w:rsid w:val="201F84EB"/>
    <w:rsid w:val="205AF450"/>
    <w:rsid w:val="206F35D4"/>
    <w:rsid w:val="20AFFDB9"/>
    <w:rsid w:val="21B98AB1"/>
    <w:rsid w:val="21CBB846"/>
    <w:rsid w:val="227F1E7F"/>
    <w:rsid w:val="2297DDF1"/>
    <w:rsid w:val="22CAFD9A"/>
    <w:rsid w:val="22F4E192"/>
    <w:rsid w:val="230EBAA4"/>
    <w:rsid w:val="239FB87C"/>
    <w:rsid w:val="23A76DCE"/>
    <w:rsid w:val="23B2F980"/>
    <w:rsid w:val="23C59A5D"/>
    <w:rsid w:val="2400A5DC"/>
    <w:rsid w:val="240F3133"/>
    <w:rsid w:val="24270898"/>
    <w:rsid w:val="247B73F6"/>
    <w:rsid w:val="24C1F0D6"/>
    <w:rsid w:val="24ECD1FE"/>
    <w:rsid w:val="250B92FD"/>
    <w:rsid w:val="2599B0F5"/>
    <w:rsid w:val="25EF0C32"/>
    <w:rsid w:val="26552DB1"/>
    <w:rsid w:val="266E654F"/>
    <w:rsid w:val="267434B3"/>
    <w:rsid w:val="26BE8877"/>
    <w:rsid w:val="26DDBF30"/>
    <w:rsid w:val="27019BD5"/>
    <w:rsid w:val="270319C4"/>
    <w:rsid w:val="271972DB"/>
    <w:rsid w:val="27588805"/>
    <w:rsid w:val="278B3FDA"/>
    <w:rsid w:val="278C91D5"/>
    <w:rsid w:val="27A825F0"/>
    <w:rsid w:val="27CC548B"/>
    <w:rsid w:val="27F0FE12"/>
    <w:rsid w:val="27FBD6BA"/>
    <w:rsid w:val="28113A60"/>
    <w:rsid w:val="281B9DB4"/>
    <w:rsid w:val="28890E30"/>
    <w:rsid w:val="2978FB64"/>
    <w:rsid w:val="2A39B246"/>
    <w:rsid w:val="2A5AF553"/>
    <w:rsid w:val="2ACE4E8E"/>
    <w:rsid w:val="2AFC9E8A"/>
    <w:rsid w:val="2B5087F5"/>
    <w:rsid w:val="2B7E088B"/>
    <w:rsid w:val="2BAF11ED"/>
    <w:rsid w:val="2BB1D162"/>
    <w:rsid w:val="2BE7B4BA"/>
    <w:rsid w:val="2C21A8F4"/>
    <w:rsid w:val="2C6F45E4"/>
    <w:rsid w:val="2C7C89F2"/>
    <w:rsid w:val="2CA6D16A"/>
    <w:rsid w:val="2CD337C2"/>
    <w:rsid w:val="2D60D0DC"/>
    <w:rsid w:val="2D898B67"/>
    <w:rsid w:val="2D8A981E"/>
    <w:rsid w:val="2D91292D"/>
    <w:rsid w:val="2DC1A161"/>
    <w:rsid w:val="2DC4CFF7"/>
    <w:rsid w:val="2DFC73E2"/>
    <w:rsid w:val="2E1FA9DB"/>
    <w:rsid w:val="2E9C1A0F"/>
    <w:rsid w:val="2EDFC1D1"/>
    <w:rsid w:val="2EDFE20E"/>
    <w:rsid w:val="2F21069A"/>
    <w:rsid w:val="2F3AF755"/>
    <w:rsid w:val="2F9031A9"/>
    <w:rsid w:val="2FD51075"/>
    <w:rsid w:val="2FE54CAC"/>
    <w:rsid w:val="3001EE9C"/>
    <w:rsid w:val="300C4D0C"/>
    <w:rsid w:val="3176862D"/>
    <w:rsid w:val="31987972"/>
    <w:rsid w:val="32433476"/>
    <w:rsid w:val="32523E69"/>
    <w:rsid w:val="326CB5E8"/>
    <w:rsid w:val="3282C54E"/>
    <w:rsid w:val="32A75432"/>
    <w:rsid w:val="32BEA22D"/>
    <w:rsid w:val="33398F5E"/>
    <w:rsid w:val="3395FBF7"/>
    <w:rsid w:val="33993367"/>
    <w:rsid w:val="34578F34"/>
    <w:rsid w:val="34D96CB1"/>
    <w:rsid w:val="3506CDA9"/>
    <w:rsid w:val="352B857F"/>
    <w:rsid w:val="3533E818"/>
    <w:rsid w:val="355A882F"/>
    <w:rsid w:val="35C5C8B3"/>
    <w:rsid w:val="35C922B2"/>
    <w:rsid w:val="361A0533"/>
    <w:rsid w:val="363C5ED6"/>
    <w:rsid w:val="3652291E"/>
    <w:rsid w:val="36A1F3B8"/>
    <w:rsid w:val="36B3D4C5"/>
    <w:rsid w:val="37093974"/>
    <w:rsid w:val="3718C40E"/>
    <w:rsid w:val="37603E40"/>
    <w:rsid w:val="3777940A"/>
    <w:rsid w:val="37AEDD9C"/>
    <w:rsid w:val="37ECF765"/>
    <w:rsid w:val="3828CF4D"/>
    <w:rsid w:val="383E709A"/>
    <w:rsid w:val="383FFEEE"/>
    <w:rsid w:val="38A58A0A"/>
    <w:rsid w:val="38B77E9F"/>
    <w:rsid w:val="38F3C008"/>
    <w:rsid w:val="395063AF"/>
    <w:rsid w:val="39E2D959"/>
    <w:rsid w:val="39E6C1CD"/>
    <w:rsid w:val="3A293DD6"/>
    <w:rsid w:val="3AF17100"/>
    <w:rsid w:val="3AF4E9C0"/>
    <w:rsid w:val="3B3F5F2F"/>
    <w:rsid w:val="3B8100B2"/>
    <w:rsid w:val="3BCCB091"/>
    <w:rsid w:val="3BCDA7AF"/>
    <w:rsid w:val="3BD01ED9"/>
    <w:rsid w:val="3C116FAE"/>
    <w:rsid w:val="3C38C929"/>
    <w:rsid w:val="3C45D828"/>
    <w:rsid w:val="3CEDDB94"/>
    <w:rsid w:val="3CFA5462"/>
    <w:rsid w:val="3D83263B"/>
    <w:rsid w:val="3DD100C5"/>
    <w:rsid w:val="3DEF1B88"/>
    <w:rsid w:val="3E0ED389"/>
    <w:rsid w:val="3E7A3E37"/>
    <w:rsid w:val="3E7A6F84"/>
    <w:rsid w:val="3E986102"/>
    <w:rsid w:val="3E9FC2D8"/>
    <w:rsid w:val="3ECFB770"/>
    <w:rsid w:val="3EE7CEBF"/>
    <w:rsid w:val="3F668BB5"/>
    <w:rsid w:val="3F6D187C"/>
    <w:rsid w:val="3FA9D60D"/>
    <w:rsid w:val="40046E91"/>
    <w:rsid w:val="40613577"/>
    <w:rsid w:val="40682882"/>
    <w:rsid w:val="40849396"/>
    <w:rsid w:val="4114AE32"/>
    <w:rsid w:val="413BDF3B"/>
    <w:rsid w:val="417C369B"/>
    <w:rsid w:val="41955F04"/>
    <w:rsid w:val="41BE3FFE"/>
    <w:rsid w:val="41C37F72"/>
    <w:rsid w:val="42015227"/>
    <w:rsid w:val="4211F34C"/>
    <w:rsid w:val="42205673"/>
    <w:rsid w:val="42330218"/>
    <w:rsid w:val="424E238B"/>
    <w:rsid w:val="42882AB0"/>
    <w:rsid w:val="428E7D5D"/>
    <w:rsid w:val="4292F094"/>
    <w:rsid w:val="42A900D4"/>
    <w:rsid w:val="42C1F9F9"/>
    <w:rsid w:val="42F75653"/>
    <w:rsid w:val="4336DFF6"/>
    <w:rsid w:val="43440F18"/>
    <w:rsid w:val="43A744FA"/>
    <w:rsid w:val="43EAF47A"/>
    <w:rsid w:val="440338A1"/>
    <w:rsid w:val="44364C0E"/>
    <w:rsid w:val="447F2C67"/>
    <w:rsid w:val="448710D4"/>
    <w:rsid w:val="44B99538"/>
    <w:rsid w:val="44FB2034"/>
    <w:rsid w:val="451FFC78"/>
    <w:rsid w:val="45295BA1"/>
    <w:rsid w:val="452CF734"/>
    <w:rsid w:val="45811954"/>
    <w:rsid w:val="45CCB7E6"/>
    <w:rsid w:val="45D6C195"/>
    <w:rsid w:val="464F865F"/>
    <w:rsid w:val="46707DBE"/>
    <w:rsid w:val="46AC14E7"/>
    <w:rsid w:val="46B4026D"/>
    <w:rsid w:val="472A926D"/>
    <w:rsid w:val="485DD2D2"/>
    <w:rsid w:val="486C8170"/>
    <w:rsid w:val="48F72862"/>
    <w:rsid w:val="49A919D1"/>
    <w:rsid w:val="49F8D8AC"/>
    <w:rsid w:val="4A08C68E"/>
    <w:rsid w:val="4A1D3E15"/>
    <w:rsid w:val="4A8E9F87"/>
    <w:rsid w:val="4AE73D05"/>
    <w:rsid w:val="4AEECDD3"/>
    <w:rsid w:val="4B1C09E9"/>
    <w:rsid w:val="4B396A2D"/>
    <w:rsid w:val="4BCE6CF6"/>
    <w:rsid w:val="4BDDAA68"/>
    <w:rsid w:val="4C382E34"/>
    <w:rsid w:val="4C4D7039"/>
    <w:rsid w:val="4C5A20A0"/>
    <w:rsid w:val="4C5FC5EE"/>
    <w:rsid w:val="4C877A4A"/>
    <w:rsid w:val="4CBD0E62"/>
    <w:rsid w:val="4D1A12CE"/>
    <w:rsid w:val="4D2B03D9"/>
    <w:rsid w:val="4DFC3388"/>
    <w:rsid w:val="4E150053"/>
    <w:rsid w:val="4E256BEA"/>
    <w:rsid w:val="4E609D6D"/>
    <w:rsid w:val="4E906E87"/>
    <w:rsid w:val="4EA9E3CF"/>
    <w:rsid w:val="4EB1611D"/>
    <w:rsid w:val="4EBEFEAA"/>
    <w:rsid w:val="4EF6D332"/>
    <w:rsid w:val="4F09A48E"/>
    <w:rsid w:val="4F0C25FF"/>
    <w:rsid w:val="500D2868"/>
    <w:rsid w:val="50414AC1"/>
    <w:rsid w:val="50C41866"/>
    <w:rsid w:val="516257BE"/>
    <w:rsid w:val="51799EEB"/>
    <w:rsid w:val="51BFDDD1"/>
    <w:rsid w:val="51ECCF50"/>
    <w:rsid w:val="52429699"/>
    <w:rsid w:val="52B8B245"/>
    <w:rsid w:val="5300A112"/>
    <w:rsid w:val="536822EA"/>
    <w:rsid w:val="53A4C34B"/>
    <w:rsid w:val="53E57900"/>
    <w:rsid w:val="53ED6E5A"/>
    <w:rsid w:val="5406E191"/>
    <w:rsid w:val="540A5441"/>
    <w:rsid w:val="540D3321"/>
    <w:rsid w:val="541E30AD"/>
    <w:rsid w:val="546BDD56"/>
    <w:rsid w:val="54D64CB4"/>
    <w:rsid w:val="5507910B"/>
    <w:rsid w:val="55284E34"/>
    <w:rsid w:val="55C1B8C6"/>
    <w:rsid w:val="55C5286D"/>
    <w:rsid w:val="5604F6B8"/>
    <w:rsid w:val="5634E226"/>
    <w:rsid w:val="563C301A"/>
    <w:rsid w:val="563D8DBB"/>
    <w:rsid w:val="56947BCA"/>
    <w:rsid w:val="57460D02"/>
    <w:rsid w:val="5760F8CE"/>
    <w:rsid w:val="57D49B06"/>
    <w:rsid w:val="57E68C14"/>
    <w:rsid w:val="580DCBA7"/>
    <w:rsid w:val="582B5067"/>
    <w:rsid w:val="583702E8"/>
    <w:rsid w:val="583795F8"/>
    <w:rsid w:val="5859FC17"/>
    <w:rsid w:val="58B1F46E"/>
    <w:rsid w:val="58B96DD9"/>
    <w:rsid w:val="58EA2641"/>
    <w:rsid w:val="59B63882"/>
    <w:rsid w:val="59DE88F0"/>
    <w:rsid w:val="59FAF19D"/>
    <w:rsid w:val="5A1019A5"/>
    <w:rsid w:val="5A341A76"/>
    <w:rsid w:val="5AAE3AA4"/>
    <w:rsid w:val="5AB1BA52"/>
    <w:rsid w:val="5B4DD39C"/>
    <w:rsid w:val="5B63BA3E"/>
    <w:rsid w:val="5BD3AADC"/>
    <w:rsid w:val="5BE9D97F"/>
    <w:rsid w:val="5CB1273A"/>
    <w:rsid w:val="5CB1C7F9"/>
    <w:rsid w:val="5D10F759"/>
    <w:rsid w:val="5D139635"/>
    <w:rsid w:val="5D1466A7"/>
    <w:rsid w:val="5D17BAA9"/>
    <w:rsid w:val="5D272042"/>
    <w:rsid w:val="5D2F736F"/>
    <w:rsid w:val="5E0A72ED"/>
    <w:rsid w:val="5E3CA7DC"/>
    <w:rsid w:val="5E3D9760"/>
    <w:rsid w:val="5E9D75E0"/>
    <w:rsid w:val="5ED80E2B"/>
    <w:rsid w:val="5F5837A4"/>
    <w:rsid w:val="5F740EE5"/>
    <w:rsid w:val="5F814C59"/>
    <w:rsid w:val="5FEFA0FD"/>
    <w:rsid w:val="5FF8100A"/>
    <w:rsid w:val="603525CB"/>
    <w:rsid w:val="604C01BE"/>
    <w:rsid w:val="6078FE91"/>
    <w:rsid w:val="608B7534"/>
    <w:rsid w:val="60EF9B6E"/>
    <w:rsid w:val="61040644"/>
    <w:rsid w:val="615EBF43"/>
    <w:rsid w:val="616021BB"/>
    <w:rsid w:val="61703050"/>
    <w:rsid w:val="61E75ECD"/>
    <w:rsid w:val="62135403"/>
    <w:rsid w:val="629F668A"/>
    <w:rsid w:val="62CA5163"/>
    <w:rsid w:val="632EAB8D"/>
    <w:rsid w:val="6411D89A"/>
    <w:rsid w:val="642382BF"/>
    <w:rsid w:val="6448B94D"/>
    <w:rsid w:val="64B63453"/>
    <w:rsid w:val="650022BC"/>
    <w:rsid w:val="651EA7A7"/>
    <w:rsid w:val="652B5143"/>
    <w:rsid w:val="652D4686"/>
    <w:rsid w:val="66112914"/>
    <w:rsid w:val="66ADCAFD"/>
    <w:rsid w:val="66BE4A9B"/>
    <w:rsid w:val="67C4AB0B"/>
    <w:rsid w:val="67C5AE21"/>
    <w:rsid w:val="67F7A289"/>
    <w:rsid w:val="680F2956"/>
    <w:rsid w:val="6814E7B1"/>
    <w:rsid w:val="681DB398"/>
    <w:rsid w:val="6835BB6A"/>
    <w:rsid w:val="688EF64F"/>
    <w:rsid w:val="68921BC3"/>
    <w:rsid w:val="68F26F89"/>
    <w:rsid w:val="6912BC01"/>
    <w:rsid w:val="692EB118"/>
    <w:rsid w:val="6964C3A7"/>
    <w:rsid w:val="69BE3AAE"/>
    <w:rsid w:val="69DC9D69"/>
    <w:rsid w:val="69E6546F"/>
    <w:rsid w:val="69FF33F2"/>
    <w:rsid w:val="6A6A1ADF"/>
    <w:rsid w:val="6AA66613"/>
    <w:rsid w:val="6AC36BDD"/>
    <w:rsid w:val="6B4A25A9"/>
    <w:rsid w:val="6B87CEED"/>
    <w:rsid w:val="6C452982"/>
    <w:rsid w:val="6C56DDE3"/>
    <w:rsid w:val="6C8ED2A1"/>
    <w:rsid w:val="6D1A8BDB"/>
    <w:rsid w:val="6D272EA3"/>
    <w:rsid w:val="6DABF3EE"/>
    <w:rsid w:val="6E260DD6"/>
    <w:rsid w:val="6E41D199"/>
    <w:rsid w:val="6F422EF2"/>
    <w:rsid w:val="6F6AB440"/>
    <w:rsid w:val="6F89683C"/>
    <w:rsid w:val="6F8BA21D"/>
    <w:rsid w:val="6F8FE953"/>
    <w:rsid w:val="70355180"/>
    <w:rsid w:val="706F88C9"/>
    <w:rsid w:val="708CD63A"/>
    <w:rsid w:val="709708CA"/>
    <w:rsid w:val="70FECF9D"/>
    <w:rsid w:val="71318EDC"/>
    <w:rsid w:val="727C6DE8"/>
    <w:rsid w:val="72923E4A"/>
    <w:rsid w:val="72C1C92C"/>
    <w:rsid w:val="734F28B4"/>
    <w:rsid w:val="7360B1BC"/>
    <w:rsid w:val="73B35012"/>
    <w:rsid w:val="73B4F8FA"/>
    <w:rsid w:val="7467FE57"/>
    <w:rsid w:val="74803F42"/>
    <w:rsid w:val="7486587C"/>
    <w:rsid w:val="7550D2B4"/>
    <w:rsid w:val="75763E5E"/>
    <w:rsid w:val="758A4745"/>
    <w:rsid w:val="75C0696B"/>
    <w:rsid w:val="75C5D4F9"/>
    <w:rsid w:val="75E58A78"/>
    <w:rsid w:val="76132D2A"/>
    <w:rsid w:val="761A1A5D"/>
    <w:rsid w:val="762138D2"/>
    <w:rsid w:val="7627DE38"/>
    <w:rsid w:val="76353C92"/>
    <w:rsid w:val="76384B39"/>
    <w:rsid w:val="769C9A88"/>
    <w:rsid w:val="76E0F0FD"/>
    <w:rsid w:val="77829165"/>
    <w:rsid w:val="77F22C9C"/>
    <w:rsid w:val="78399C24"/>
    <w:rsid w:val="784745D9"/>
    <w:rsid w:val="784F6A4F"/>
    <w:rsid w:val="7857CBF1"/>
    <w:rsid w:val="7868A112"/>
    <w:rsid w:val="78770F09"/>
    <w:rsid w:val="7894E867"/>
    <w:rsid w:val="79315216"/>
    <w:rsid w:val="7953B065"/>
    <w:rsid w:val="796CD8C2"/>
    <w:rsid w:val="797AA4ED"/>
    <w:rsid w:val="798EF33F"/>
    <w:rsid w:val="799BA995"/>
    <w:rsid w:val="79E9450B"/>
    <w:rsid w:val="7A0AAC58"/>
    <w:rsid w:val="7A826977"/>
    <w:rsid w:val="7AA87F04"/>
    <w:rsid w:val="7AEF80C6"/>
    <w:rsid w:val="7B844243"/>
    <w:rsid w:val="7B9ADF88"/>
    <w:rsid w:val="7C0B7AC4"/>
    <w:rsid w:val="7C956991"/>
    <w:rsid w:val="7C98B4AE"/>
    <w:rsid w:val="7D0EC85D"/>
    <w:rsid w:val="7D6E7638"/>
    <w:rsid w:val="7DCEAA28"/>
    <w:rsid w:val="7DFE37F8"/>
    <w:rsid w:val="7E463BC7"/>
    <w:rsid w:val="7ED71C7C"/>
    <w:rsid w:val="7F300BDE"/>
    <w:rsid w:val="7F3B8698"/>
    <w:rsid w:val="7F6C90BF"/>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854613C"/>
  <w15:docId w15:val="{98392113-3995-47CF-AD4B-9C0D04F44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Yu Mincho Light" w:eastAsia="Yu Mincho Light" w:hAnsi="Yu Mincho Light" w:cs="Yu Mincho Light"/>
        <w:sz w:val="22"/>
        <w:szCs w:val="22"/>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qFormat="1"/>
    <w:lsdException w:name="heading 3" w:uiPriority="1" w:qFormat="1"/>
    <w:lsdException w:name="heading 4" w:semiHidden="1" w:uiPriority="0" w:unhideWhenUsed="1" w:qFormat="1"/>
    <w:lsdException w:name="heading 5" w:semiHidden="1" w:uiPriority="0" w:unhideWhenUsed="1" w:qFormat="1"/>
    <w:lsdException w:name="heading 6" w:qFormat="1"/>
    <w:lsdException w:name="heading 7" w:semiHidden="1" w:uiPriority="0" w:unhideWhenUsed="1"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1"/>
    <w:lsdException w:name="Body Text" w:locked="1" w:semiHidden="1" w:uiPriority="1"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22"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1984"/>
    <w:rPr>
      <w:sz w:val="24"/>
      <w:szCs w:val="24"/>
    </w:rPr>
  </w:style>
  <w:style w:type="paragraph" w:styleId="Ttulo1">
    <w:name w:val="heading 1"/>
    <w:basedOn w:val="Normal"/>
    <w:next w:val="Normal"/>
    <w:link w:val="Ttulo1Char1"/>
    <w:autoRedefine/>
    <w:uiPriority w:val="9"/>
    <w:qFormat/>
    <w:rsid w:val="00B735D2"/>
    <w:pPr>
      <w:tabs>
        <w:tab w:val="center" w:pos="7285"/>
      </w:tabs>
      <w:kinsoku w:val="0"/>
      <w:overflowPunct w:val="0"/>
      <w:spacing w:before="120" w:after="120" w:line="600" w:lineRule="exact"/>
      <w:ind w:right="278"/>
      <w:jc w:val="both"/>
      <w:outlineLvl w:val="0"/>
    </w:pPr>
    <w:rPr>
      <w:rFonts w:ascii="CAIXA Std Book" w:hAnsi="CAIXA Std Book"/>
      <w:b/>
      <w:color w:val="005CA9"/>
    </w:rPr>
  </w:style>
  <w:style w:type="paragraph" w:styleId="Ttulo2">
    <w:name w:val="heading 2"/>
    <w:basedOn w:val="Normal"/>
    <w:next w:val="Normal"/>
    <w:link w:val="Ttulo2Char1"/>
    <w:autoRedefine/>
    <w:uiPriority w:val="99"/>
    <w:qFormat/>
    <w:rsid w:val="00883019"/>
    <w:pPr>
      <w:keepNext/>
      <w:suppressAutoHyphens/>
      <w:autoSpaceDE w:val="0"/>
      <w:autoSpaceDN w:val="0"/>
      <w:adjustRightInd w:val="0"/>
      <w:jc w:val="both"/>
      <w:outlineLvl w:val="1"/>
    </w:pPr>
    <w:rPr>
      <w:b/>
      <w:color w:val="1F4E79"/>
      <w:sz w:val="20"/>
      <w:szCs w:val="20"/>
    </w:rPr>
  </w:style>
  <w:style w:type="paragraph" w:styleId="Ttulo3">
    <w:name w:val="heading 3"/>
    <w:basedOn w:val="Normal3"/>
    <w:next w:val="Normal"/>
    <w:link w:val="Ttulo3Char"/>
    <w:autoRedefine/>
    <w:uiPriority w:val="1"/>
    <w:qFormat/>
    <w:rsid w:val="00EF72BE"/>
    <w:pPr>
      <w:keepNext/>
      <w:numPr>
        <w:ilvl w:val="0"/>
        <w:numId w:val="0"/>
      </w:numPr>
      <w:tabs>
        <w:tab w:val="left" w:pos="1276"/>
      </w:tabs>
      <w:spacing w:before="360"/>
      <w:jc w:val="left"/>
    </w:pPr>
    <w:rPr>
      <w:rFonts w:ascii="Cambria" w:hAnsi="Cambria"/>
      <w:bCs/>
      <w:caps w:val="0"/>
      <w:spacing w:val="0"/>
      <w:sz w:val="26"/>
      <w:szCs w:val="26"/>
    </w:rPr>
  </w:style>
  <w:style w:type="paragraph" w:styleId="Ttulo4">
    <w:name w:val="heading 4"/>
    <w:basedOn w:val="Normal"/>
    <w:next w:val="Normal"/>
    <w:link w:val="Ttulo4Char"/>
    <w:semiHidden/>
    <w:unhideWhenUsed/>
    <w:qFormat/>
    <w:rsid w:val="00F04CE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semiHidden/>
    <w:unhideWhenUsed/>
    <w:qFormat/>
    <w:rsid w:val="00F04CE5"/>
    <w:pPr>
      <w:keepNext/>
      <w:keepLines/>
      <w:spacing w:before="40"/>
      <w:outlineLvl w:val="4"/>
    </w:pPr>
    <w:rPr>
      <w:rFonts w:asciiTheme="majorHAnsi" w:eastAsiaTheme="majorEastAsia" w:hAnsiTheme="majorHAnsi" w:cstheme="majorBidi"/>
      <w:color w:val="365F91" w:themeColor="accent1" w:themeShade="BF"/>
    </w:rPr>
  </w:style>
  <w:style w:type="paragraph" w:styleId="Ttulo6">
    <w:name w:val="heading 6"/>
    <w:basedOn w:val="Normal"/>
    <w:next w:val="Normal"/>
    <w:link w:val="Ttulo6Char"/>
    <w:uiPriority w:val="99"/>
    <w:qFormat/>
    <w:rsid w:val="001807DB"/>
    <w:pPr>
      <w:spacing w:before="240" w:after="60"/>
      <w:outlineLvl w:val="5"/>
    </w:pPr>
    <w:rPr>
      <w:rFonts w:ascii="Symbol" w:hAnsi="Symbol"/>
      <w:b/>
      <w:bCs/>
      <w:sz w:val="20"/>
      <w:szCs w:val="20"/>
    </w:rPr>
  </w:style>
  <w:style w:type="paragraph" w:styleId="Ttulo7">
    <w:name w:val="heading 7"/>
    <w:basedOn w:val="Normal"/>
    <w:next w:val="Normal"/>
    <w:link w:val="Ttulo7Char"/>
    <w:semiHidden/>
    <w:unhideWhenUsed/>
    <w:qFormat/>
    <w:rsid w:val="00F04CE5"/>
    <w:pPr>
      <w:keepNext/>
      <w:keepLines/>
      <w:spacing w:before="40"/>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har"/>
    <w:uiPriority w:val="99"/>
    <w:qFormat/>
    <w:rsid w:val="00117D35"/>
    <w:pPr>
      <w:keepNext/>
      <w:autoSpaceDE w:val="0"/>
      <w:autoSpaceDN w:val="0"/>
      <w:adjustRightInd w:val="0"/>
      <w:ind w:left="720" w:hanging="720"/>
      <w:outlineLvl w:val="7"/>
    </w:pPr>
    <w:rPr>
      <w:rFonts w:ascii="Symbol" w:hAnsi="Symbol"/>
      <w:i/>
      <w:iCs/>
    </w:rPr>
  </w:style>
  <w:style w:type="paragraph" w:styleId="Ttulo9">
    <w:name w:val="heading 9"/>
    <w:basedOn w:val="Normal"/>
    <w:next w:val="Normal"/>
    <w:link w:val="Ttulo9Char"/>
    <w:uiPriority w:val="99"/>
    <w:qFormat/>
    <w:rsid w:val="00117D35"/>
    <w:pPr>
      <w:keepNext/>
      <w:suppressAutoHyphens/>
      <w:autoSpaceDE w:val="0"/>
      <w:autoSpaceDN w:val="0"/>
      <w:adjustRightInd w:val="0"/>
      <w:ind w:left="720" w:hanging="720"/>
      <w:jc w:val="both"/>
      <w:outlineLvl w:val="8"/>
    </w:pPr>
    <w:rPr>
      <w:rFonts w:ascii="Cambria" w:hAnsi="Cambria"/>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1">
    <w:name w:val="Título 1 Char1"/>
    <w:basedOn w:val="Fontepargpadro"/>
    <w:link w:val="Ttulo1"/>
    <w:uiPriority w:val="99"/>
    <w:locked/>
    <w:rsid w:val="00B735D2"/>
    <w:rPr>
      <w:rFonts w:ascii="CAIXA Std Book" w:hAnsi="CAIXA Std Book"/>
      <w:b/>
      <w:color w:val="005CA9"/>
      <w:sz w:val="24"/>
      <w:szCs w:val="24"/>
    </w:rPr>
  </w:style>
  <w:style w:type="character" w:customStyle="1" w:styleId="Ttulo2Char1">
    <w:name w:val="Título 2 Char1"/>
    <w:basedOn w:val="Fontepargpadro"/>
    <w:link w:val="Ttulo2"/>
    <w:uiPriority w:val="99"/>
    <w:locked/>
    <w:rsid w:val="00883019"/>
    <w:rPr>
      <w:rFonts w:ascii="Arial" w:hAnsi="Arial" w:cs="Times New Roman"/>
      <w:b/>
      <w:color w:val="1F4E79"/>
    </w:rPr>
  </w:style>
  <w:style w:type="character" w:customStyle="1" w:styleId="Ttulo3Char">
    <w:name w:val="Título 3 Char"/>
    <w:basedOn w:val="Fontepargpadro"/>
    <w:link w:val="Ttulo3"/>
    <w:uiPriority w:val="9"/>
    <w:locked/>
    <w:rsid w:val="00FF4AB2"/>
    <w:rPr>
      <w:rFonts w:ascii="Cambria" w:hAnsi="Cambria" w:cs="Times New Roman"/>
      <w:b/>
      <w:sz w:val="26"/>
    </w:rPr>
  </w:style>
  <w:style w:type="character" w:customStyle="1" w:styleId="Ttulo6Char">
    <w:name w:val="Título 6 Char"/>
    <w:basedOn w:val="Fontepargpadro"/>
    <w:link w:val="Ttulo6"/>
    <w:uiPriority w:val="99"/>
    <w:locked/>
    <w:rsid w:val="00FF4AB2"/>
    <w:rPr>
      <w:rFonts w:ascii="Symbol" w:hAnsi="Symbol"/>
      <w:b/>
      <w:bCs/>
      <w:sz w:val="20"/>
      <w:szCs w:val="20"/>
    </w:rPr>
  </w:style>
  <w:style w:type="character" w:customStyle="1" w:styleId="Ttulo8Char">
    <w:name w:val="Título 8 Char"/>
    <w:basedOn w:val="Fontepargpadro"/>
    <w:link w:val="Ttulo8"/>
    <w:uiPriority w:val="99"/>
    <w:locked/>
    <w:rsid w:val="00FF4AB2"/>
    <w:rPr>
      <w:rFonts w:ascii="Symbol" w:hAnsi="Symbol"/>
      <w:i/>
      <w:iCs/>
      <w:sz w:val="24"/>
      <w:szCs w:val="24"/>
    </w:rPr>
  </w:style>
  <w:style w:type="character" w:customStyle="1" w:styleId="Ttulo9Char">
    <w:name w:val="Título 9 Char"/>
    <w:basedOn w:val="Fontepargpadro"/>
    <w:link w:val="Ttulo9"/>
    <w:uiPriority w:val="99"/>
    <w:locked/>
    <w:rsid w:val="00FF4AB2"/>
    <w:rPr>
      <w:rFonts w:ascii="Cambria" w:hAnsi="Cambria" w:cs="Times New Roman"/>
    </w:rPr>
  </w:style>
  <w:style w:type="paragraph" w:customStyle="1" w:styleId="Normal3">
    <w:name w:val="Normal 3"/>
    <w:basedOn w:val="Normal"/>
    <w:autoRedefine/>
    <w:uiPriority w:val="99"/>
    <w:rsid w:val="00062D27"/>
    <w:pPr>
      <w:keepLines/>
      <w:numPr>
        <w:ilvl w:val="2"/>
        <w:numId w:val="1"/>
      </w:numPr>
      <w:spacing w:before="120"/>
      <w:jc w:val="both"/>
      <w:outlineLvl w:val="2"/>
    </w:pPr>
    <w:rPr>
      <w:b/>
      <w:caps/>
      <w:spacing w:val="10"/>
      <w:sz w:val="18"/>
    </w:rPr>
  </w:style>
  <w:style w:type="paragraph" w:customStyle="1" w:styleId="Normal2">
    <w:name w:val="Normal 2"/>
    <w:basedOn w:val="Normal"/>
    <w:autoRedefine/>
    <w:uiPriority w:val="99"/>
    <w:rsid w:val="00062D27"/>
    <w:pPr>
      <w:keepLines/>
      <w:numPr>
        <w:ilvl w:val="1"/>
        <w:numId w:val="1"/>
      </w:numPr>
      <w:tabs>
        <w:tab w:val="left" w:pos="480"/>
      </w:tabs>
      <w:spacing w:before="120"/>
      <w:jc w:val="both"/>
      <w:outlineLvl w:val="1"/>
    </w:pPr>
    <w:rPr>
      <w:spacing w:val="10"/>
      <w:sz w:val="18"/>
    </w:rPr>
  </w:style>
  <w:style w:type="paragraph" w:customStyle="1" w:styleId="EstiloTtulo3esquerda">
    <w:name w:val="Estilo Título 3 + À esquerda"/>
    <w:basedOn w:val="Ttulo3"/>
    <w:autoRedefine/>
    <w:uiPriority w:val="99"/>
    <w:rsid w:val="00765E13"/>
    <w:pPr>
      <w:keepLines w:val="0"/>
      <w:tabs>
        <w:tab w:val="clear" w:pos="1276"/>
      </w:tabs>
      <w:autoSpaceDE w:val="0"/>
      <w:autoSpaceDN w:val="0"/>
      <w:adjustRightInd w:val="0"/>
      <w:spacing w:before="240" w:after="240"/>
    </w:pPr>
    <w:rPr>
      <w:sz w:val="22"/>
      <w:szCs w:val="22"/>
    </w:rPr>
  </w:style>
  <w:style w:type="paragraph" w:customStyle="1" w:styleId="EstiloEstiloArial11ptNegritoPretoJustificadoAntes12ptDe">
    <w:name w:val="Estilo Estilo Arial 11 pt Negrito Preto Justificado Antes:  12 pt De..."/>
    <w:basedOn w:val="Normal"/>
    <w:autoRedefine/>
    <w:uiPriority w:val="99"/>
    <w:rsid w:val="004337BB"/>
    <w:pPr>
      <w:tabs>
        <w:tab w:val="left" w:pos="992"/>
      </w:tabs>
      <w:spacing w:before="240" w:after="240"/>
      <w:jc w:val="both"/>
    </w:pPr>
    <w:rPr>
      <w:b/>
      <w:iCs/>
      <w:color w:val="000000"/>
      <w:szCs w:val="20"/>
    </w:rPr>
  </w:style>
  <w:style w:type="paragraph" w:customStyle="1" w:styleId="EstiloEstiloEstiloArial11ptNegritoPretoJustificadoAntes1">
    <w:name w:val="Estilo Estilo Estilo Arial 11 pt Negrito Preto Justificado Antes:  1..."/>
    <w:basedOn w:val="EstiloEstiloArial11ptNegritoPretoJustificadoAntes12ptDe"/>
    <w:autoRedefine/>
    <w:uiPriority w:val="99"/>
    <w:rsid w:val="004337BB"/>
  </w:style>
  <w:style w:type="paragraph" w:customStyle="1" w:styleId="Estilo1">
    <w:name w:val="Estilo1"/>
    <w:basedOn w:val="Normal"/>
    <w:autoRedefine/>
    <w:uiPriority w:val="99"/>
    <w:rsid w:val="004337BB"/>
    <w:pPr>
      <w:tabs>
        <w:tab w:val="left" w:pos="992"/>
      </w:tabs>
      <w:spacing w:before="240" w:after="240"/>
    </w:pPr>
    <w:rPr>
      <w:b/>
    </w:rPr>
  </w:style>
  <w:style w:type="paragraph" w:customStyle="1" w:styleId="EstiloArial11ptNegritoJustificado">
    <w:name w:val="Estilo Arial 11 pt Negrito Justificado"/>
    <w:basedOn w:val="Normal"/>
    <w:autoRedefine/>
    <w:uiPriority w:val="99"/>
    <w:rsid w:val="00F96E28"/>
    <w:pPr>
      <w:keepNext/>
      <w:tabs>
        <w:tab w:val="left" w:pos="992"/>
      </w:tabs>
      <w:spacing w:before="240" w:after="240"/>
      <w:jc w:val="both"/>
    </w:pPr>
    <w:rPr>
      <w:b/>
      <w:bCs/>
      <w:szCs w:val="20"/>
    </w:rPr>
  </w:style>
  <w:style w:type="paragraph" w:customStyle="1" w:styleId="EstiloTtulo2NoNegrito">
    <w:name w:val="Estilo Título 2 + Não Negrito"/>
    <w:basedOn w:val="Ttulo2"/>
    <w:next w:val="Ttulo2"/>
    <w:autoRedefine/>
    <w:uiPriority w:val="99"/>
    <w:rsid w:val="00765E13"/>
    <w:rPr>
      <w:bCs/>
      <w:color w:val="000000"/>
      <w:szCs w:val="22"/>
    </w:rPr>
  </w:style>
  <w:style w:type="paragraph" w:customStyle="1" w:styleId="Estilo2">
    <w:name w:val="Estilo2"/>
    <w:basedOn w:val="Numerada"/>
    <w:next w:val="Normal"/>
    <w:autoRedefine/>
    <w:uiPriority w:val="99"/>
    <w:rsid w:val="00765E13"/>
    <w:pPr>
      <w:tabs>
        <w:tab w:val="clear" w:pos="1240"/>
        <w:tab w:val="num" w:pos="992"/>
      </w:tabs>
      <w:spacing w:before="240" w:after="240"/>
      <w:ind w:left="992" w:hanging="992"/>
    </w:pPr>
  </w:style>
  <w:style w:type="paragraph" w:styleId="Numerada">
    <w:name w:val="List Number"/>
    <w:basedOn w:val="Normal"/>
    <w:uiPriority w:val="99"/>
    <w:rsid w:val="00765E13"/>
    <w:pPr>
      <w:tabs>
        <w:tab w:val="num" w:pos="1240"/>
      </w:tabs>
      <w:ind w:left="1240" w:hanging="360"/>
    </w:pPr>
  </w:style>
  <w:style w:type="table" w:styleId="Tabelaemlista1">
    <w:name w:val="Table List 1"/>
    <w:basedOn w:val="Tabelanormal"/>
    <w:uiPriority w:val="99"/>
    <w:rsid w:val="00120464"/>
    <w:pPr>
      <w:keepLines/>
      <w:tabs>
        <w:tab w:val="left" w:pos="992"/>
      </w:tabs>
      <w:ind w:right="113"/>
    </w:pPr>
    <w:rPr>
      <w:rFonts w:ascii="Cambria Math" w:hAnsi="Cambria Math"/>
      <w:sz w:val="20"/>
      <w:szCs w:val="20"/>
    </w:rPr>
    <w:tblPr>
      <w:tblStyleRowBandSize w:val="1"/>
      <w:tblInd w:w="0" w:type="nil"/>
      <w:tblCellMar>
        <w:left w:w="0" w:type="dxa"/>
        <w:right w:w="0" w:type="dxa"/>
      </w:tblCellMar>
    </w:tblPr>
    <w:tblStylePr w:type="firstRow">
      <w:rPr>
        <w:rFonts w:ascii="Arial" w:hAnsi="Arial" w:cs="Times New Roman"/>
        <w:b/>
        <w:bCs/>
        <w:i w:val="0"/>
        <w:iCs/>
        <w:color w:val="auto"/>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lastRow">
      <w:rPr>
        <w:rFonts w:cs="Times New Roman"/>
        <w:b/>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Ttulo6esquerda0cmPrimeiralinha0cmEspaame">
    <w:name w:val="Estilo Título 6 + À esquerda:  0 cm Primeira linha:  0 cm Espaçame..."/>
    <w:basedOn w:val="Ttulo6"/>
    <w:autoRedefine/>
    <w:uiPriority w:val="99"/>
    <w:rsid w:val="001807DB"/>
    <w:pPr>
      <w:keepNext/>
      <w:tabs>
        <w:tab w:val="left" w:pos="1134"/>
      </w:tabs>
      <w:autoSpaceDE w:val="0"/>
      <w:autoSpaceDN w:val="0"/>
      <w:adjustRightInd w:val="0"/>
      <w:spacing w:before="0" w:after="0" w:line="280" w:lineRule="atLeast"/>
      <w:jc w:val="both"/>
    </w:pPr>
    <w:rPr>
      <w:rFonts w:ascii="Cambria Math" w:hAnsi="Cambria Math"/>
      <w:sz w:val="24"/>
    </w:rPr>
  </w:style>
  <w:style w:type="paragraph" w:styleId="Cabealho">
    <w:name w:val="header"/>
    <w:basedOn w:val="Normal"/>
    <w:link w:val="CabealhoChar"/>
    <w:uiPriority w:val="99"/>
    <w:rsid w:val="006A1C67"/>
    <w:pPr>
      <w:tabs>
        <w:tab w:val="center" w:pos="4252"/>
        <w:tab w:val="right" w:pos="8504"/>
      </w:tabs>
    </w:pPr>
    <w:rPr>
      <w:szCs w:val="20"/>
    </w:rPr>
  </w:style>
  <w:style w:type="character" w:customStyle="1" w:styleId="CabealhoChar">
    <w:name w:val="Cabeçalho Char"/>
    <w:basedOn w:val="Fontepargpadro"/>
    <w:link w:val="Cabealho"/>
    <w:uiPriority w:val="99"/>
    <w:locked/>
    <w:rsid w:val="00117D35"/>
    <w:rPr>
      <w:rFonts w:ascii="Arial" w:hAnsi="Arial" w:cs="Times New Roman"/>
      <w:sz w:val="22"/>
      <w:lang w:val="pt-BR" w:eastAsia="pt-BR"/>
    </w:rPr>
  </w:style>
  <w:style w:type="paragraph" w:styleId="Rodap">
    <w:name w:val="footer"/>
    <w:basedOn w:val="Normal"/>
    <w:link w:val="RodapChar"/>
    <w:uiPriority w:val="99"/>
    <w:rsid w:val="006A1C67"/>
    <w:pPr>
      <w:tabs>
        <w:tab w:val="center" w:pos="4252"/>
        <w:tab w:val="right" w:pos="8504"/>
      </w:tabs>
    </w:pPr>
  </w:style>
  <w:style w:type="character" w:customStyle="1" w:styleId="RodapChar">
    <w:name w:val="Rodapé Char"/>
    <w:basedOn w:val="Fontepargpadro"/>
    <w:link w:val="Rodap"/>
    <w:uiPriority w:val="99"/>
    <w:locked/>
    <w:rsid w:val="009B5F47"/>
    <w:rPr>
      <w:rFonts w:ascii="Arial" w:hAnsi="Arial" w:cs="Times New Roman"/>
      <w:sz w:val="22"/>
    </w:rPr>
  </w:style>
  <w:style w:type="character" w:customStyle="1" w:styleId="spelle">
    <w:name w:val="spelle"/>
    <w:uiPriority w:val="99"/>
    <w:rsid w:val="006A1C67"/>
  </w:style>
  <w:style w:type="character" w:styleId="Nmerodepgina">
    <w:name w:val="page number"/>
    <w:basedOn w:val="Fontepargpadro"/>
    <w:uiPriority w:val="99"/>
    <w:rsid w:val="009922F1"/>
    <w:rPr>
      <w:rFonts w:cs="Times New Roman"/>
    </w:rPr>
  </w:style>
  <w:style w:type="paragraph" w:customStyle="1" w:styleId="Pa0">
    <w:name w:val="Pa0"/>
    <w:basedOn w:val="Normal"/>
    <w:next w:val="Normal"/>
    <w:uiPriority w:val="99"/>
    <w:rsid w:val="00CC35CA"/>
    <w:pPr>
      <w:autoSpaceDE w:val="0"/>
      <w:autoSpaceDN w:val="0"/>
      <w:adjustRightInd w:val="0"/>
      <w:spacing w:line="241" w:lineRule="atLeast"/>
    </w:pPr>
  </w:style>
  <w:style w:type="character" w:customStyle="1" w:styleId="A6">
    <w:name w:val="A6"/>
    <w:uiPriority w:val="99"/>
    <w:rsid w:val="00CC35CA"/>
    <w:rPr>
      <w:b/>
      <w:color w:val="000000"/>
      <w:sz w:val="16"/>
    </w:rPr>
  </w:style>
  <w:style w:type="paragraph" w:customStyle="1" w:styleId="Pa4">
    <w:name w:val="Pa4"/>
    <w:basedOn w:val="Normal"/>
    <w:next w:val="Normal"/>
    <w:uiPriority w:val="99"/>
    <w:rsid w:val="00CC35CA"/>
    <w:pPr>
      <w:autoSpaceDE w:val="0"/>
      <w:autoSpaceDN w:val="0"/>
      <w:adjustRightInd w:val="0"/>
      <w:spacing w:line="241" w:lineRule="atLeast"/>
    </w:pPr>
  </w:style>
  <w:style w:type="paragraph" w:styleId="Sumrio1">
    <w:name w:val="toc 1"/>
    <w:basedOn w:val="Normal"/>
    <w:next w:val="Normal"/>
    <w:autoRedefine/>
    <w:uiPriority w:val="39"/>
    <w:rsid w:val="00CE7FDD"/>
    <w:pPr>
      <w:pBdr>
        <w:bottom w:val="single" w:sz="4" w:space="1" w:color="005CA9"/>
      </w:pBdr>
      <w:tabs>
        <w:tab w:val="right" w:pos="990"/>
        <w:tab w:val="left" w:pos="1210"/>
        <w:tab w:val="right" w:leader="dot" w:pos="9639"/>
      </w:tabs>
      <w:spacing w:after="80"/>
      <w:jc w:val="both"/>
    </w:pPr>
    <w:rPr>
      <w:rFonts w:ascii="CAIXA Std Book" w:hAnsi="CAIXA Std Book"/>
      <w:noProof/>
      <w:color w:val="1F4E79"/>
      <w:sz w:val="20"/>
      <w:szCs w:val="20"/>
    </w:rPr>
  </w:style>
  <w:style w:type="character" w:styleId="Hyperlink">
    <w:name w:val="Hyperlink"/>
    <w:basedOn w:val="Fontepargpadro"/>
    <w:uiPriority w:val="99"/>
    <w:rsid w:val="006066B4"/>
    <w:rPr>
      <w:rFonts w:cs="Times New Roman"/>
      <w:color w:val="0000FF"/>
      <w:u w:val="single"/>
    </w:rPr>
  </w:style>
  <w:style w:type="table" w:styleId="Tabelacomgrade">
    <w:name w:val="Table Grid"/>
    <w:basedOn w:val="Tabelanormal"/>
    <w:uiPriority w:val="39"/>
    <w:rsid w:val="0096051B"/>
    <w:rPr>
      <w:sz w:val="20"/>
      <w:szCs w:val="20"/>
    </w:rPr>
    <w:tblPr>
      <w:tblInd w:w="0" w:type="nil"/>
      <w:tblCellMar>
        <w:left w:w="0" w:type="dxa"/>
        <w:right w:w="0" w:type="dxa"/>
      </w:tblCellMar>
    </w:tblPr>
  </w:style>
  <w:style w:type="character" w:styleId="HiperlinkVisitado">
    <w:name w:val="FollowedHyperlink"/>
    <w:basedOn w:val="Fontepargpadro"/>
    <w:uiPriority w:val="99"/>
    <w:rsid w:val="00F55027"/>
    <w:rPr>
      <w:rFonts w:cs="Times New Roman"/>
      <w:color w:val="800080"/>
      <w:u w:val="single"/>
    </w:rPr>
  </w:style>
  <w:style w:type="paragraph" w:customStyle="1" w:styleId="Char1CharChar">
    <w:name w:val="Char1 Char Char"/>
    <w:basedOn w:val="Normal"/>
    <w:uiPriority w:val="99"/>
    <w:semiHidden/>
    <w:rsid w:val="00821EF7"/>
    <w:pPr>
      <w:spacing w:after="160" w:line="240" w:lineRule="exact"/>
    </w:pPr>
    <w:rPr>
      <w:lang w:val="en-US" w:eastAsia="en-US"/>
    </w:rPr>
  </w:style>
  <w:style w:type="paragraph" w:styleId="Corpodetexto">
    <w:name w:val="Body Text"/>
    <w:aliases w:val="bt"/>
    <w:basedOn w:val="Normal"/>
    <w:link w:val="CorpodetextoChar"/>
    <w:uiPriority w:val="1"/>
    <w:qFormat/>
    <w:rsid w:val="00117D35"/>
    <w:pPr>
      <w:suppressAutoHyphens/>
      <w:autoSpaceDE w:val="0"/>
      <w:autoSpaceDN w:val="0"/>
      <w:adjustRightInd w:val="0"/>
      <w:jc w:val="both"/>
    </w:pPr>
    <w:rPr>
      <w:sz w:val="20"/>
      <w:szCs w:val="20"/>
    </w:rPr>
  </w:style>
  <w:style w:type="character" w:customStyle="1" w:styleId="CorpodetextoChar">
    <w:name w:val="Corpo de texto Char"/>
    <w:aliases w:val="bt Char"/>
    <w:basedOn w:val="Fontepargpadro"/>
    <w:link w:val="Corpodetexto"/>
    <w:uiPriority w:val="1"/>
    <w:locked/>
    <w:rsid w:val="00FF4AB2"/>
    <w:rPr>
      <w:rFonts w:ascii="Arial" w:hAnsi="Arial" w:cs="Times New Roman"/>
    </w:rPr>
  </w:style>
  <w:style w:type="paragraph" w:styleId="Recuodecorpodetexto">
    <w:name w:val="Body Text Indent"/>
    <w:basedOn w:val="Normal"/>
    <w:link w:val="RecuodecorpodetextoChar"/>
    <w:uiPriority w:val="99"/>
    <w:rsid w:val="00117D35"/>
    <w:pPr>
      <w:spacing w:line="264" w:lineRule="auto"/>
      <w:ind w:hanging="709"/>
    </w:pPr>
    <w:rPr>
      <w:sz w:val="20"/>
      <w:szCs w:val="20"/>
    </w:rPr>
  </w:style>
  <w:style w:type="character" w:customStyle="1" w:styleId="RecuodecorpodetextoChar">
    <w:name w:val="Recuo de corpo de texto Char"/>
    <w:basedOn w:val="Fontepargpadro"/>
    <w:link w:val="Recuodecorpodetexto"/>
    <w:uiPriority w:val="99"/>
    <w:locked/>
    <w:rsid w:val="00FF4AB2"/>
    <w:rPr>
      <w:rFonts w:ascii="Arial" w:hAnsi="Arial" w:cs="Times New Roman"/>
    </w:rPr>
  </w:style>
  <w:style w:type="paragraph" w:styleId="Corpodetexto2">
    <w:name w:val="Body Text 2"/>
    <w:basedOn w:val="Normal"/>
    <w:link w:val="Corpodetexto2Char"/>
    <w:uiPriority w:val="99"/>
    <w:rsid w:val="00117D35"/>
    <w:pPr>
      <w:autoSpaceDE w:val="0"/>
      <w:autoSpaceDN w:val="0"/>
      <w:adjustRightInd w:val="0"/>
      <w:jc w:val="both"/>
    </w:pPr>
    <w:rPr>
      <w:sz w:val="20"/>
      <w:szCs w:val="20"/>
    </w:rPr>
  </w:style>
  <w:style w:type="character" w:customStyle="1" w:styleId="Corpodetexto2Char">
    <w:name w:val="Corpo de texto 2 Char"/>
    <w:basedOn w:val="Fontepargpadro"/>
    <w:link w:val="Corpodetexto2"/>
    <w:uiPriority w:val="99"/>
    <w:locked/>
    <w:rsid w:val="00FF4AB2"/>
    <w:rPr>
      <w:rFonts w:ascii="Arial" w:hAnsi="Arial" w:cs="Times New Roman"/>
    </w:rPr>
  </w:style>
  <w:style w:type="paragraph" w:customStyle="1" w:styleId="xl31">
    <w:name w:val="xl31"/>
    <w:basedOn w:val="Normal"/>
    <w:uiPriority w:val="99"/>
    <w:rsid w:val="00117D35"/>
    <w:pPr>
      <w:spacing w:before="100" w:beforeAutospacing="1" w:after="100" w:afterAutospacing="1"/>
    </w:pPr>
    <w:rPr>
      <w:rFonts w:eastAsia="Arial Unicode MS"/>
      <w:b/>
      <w:bCs/>
    </w:rPr>
  </w:style>
  <w:style w:type="paragraph" w:styleId="NormalWeb">
    <w:name w:val="Normal (Web)"/>
    <w:basedOn w:val="Normal"/>
    <w:uiPriority w:val="99"/>
    <w:rsid w:val="00117D35"/>
    <w:pPr>
      <w:spacing w:before="100" w:beforeAutospacing="1" w:after="100" w:afterAutospacing="1"/>
    </w:pPr>
    <w:rPr>
      <w:rFonts w:ascii="Arial Unicode MS" w:eastAsia="Arial Unicode MS" w:hAnsi="Arial Unicode MS" w:cs="Arial Unicode MS"/>
    </w:rPr>
  </w:style>
  <w:style w:type="character" w:styleId="Forte">
    <w:name w:val="Strong"/>
    <w:basedOn w:val="Fontepargpadro"/>
    <w:uiPriority w:val="22"/>
    <w:qFormat/>
    <w:rsid w:val="00117D35"/>
    <w:rPr>
      <w:rFonts w:cs="Times New Roman"/>
      <w:b/>
    </w:rPr>
  </w:style>
  <w:style w:type="paragraph" w:styleId="Textodecomentrio">
    <w:name w:val="annotation text"/>
    <w:basedOn w:val="Normal"/>
    <w:link w:val="TextodecomentrioChar"/>
    <w:uiPriority w:val="99"/>
    <w:rsid w:val="00117D35"/>
    <w:rPr>
      <w:sz w:val="20"/>
      <w:szCs w:val="20"/>
    </w:rPr>
  </w:style>
  <w:style w:type="character" w:customStyle="1" w:styleId="TextodecomentrioChar">
    <w:name w:val="Texto de comentário Char"/>
    <w:basedOn w:val="Fontepargpadro"/>
    <w:link w:val="Textodecomentrio"/>
    <w:uiPriority w:val="99"/>
    <w:locked/>
    <w:rsid w:val="00FF4AB2"/>
    <w:rPr>
      <w:rFonts w:ascii="Arial" w:hAnsi="Arial" w:cs="Times New Roman"/>
      <w:sz w:val="20"/>
    </w:rPr>
  </w:style>
  <w:style w:type="paragraph" w:customStyle="1" w:styleId="14Sub-sub-ttulo">
    <w:name w:val="14. Sub-sub-título"/>
    <w:basedOn w:val="Normal"/>
    <w:uiPriority w:val="99"/>
    <w:rsid w:val="00117D35"/>
    <w:pPr>
      <w:spacing w:before="140" w:after="260" w:line="260" w:lineRule="atLeast"/>
      <w:ind w:hanging="720"/>
    </w:pPr>
    <w:rPr>
      <w:b/>
      <w:i/>
      <w:szCs w:val="20"/>
      <w:lang w:val="en-US"/>
    </w:rPr>
  </w:style>
  <w:style w:type="character" w:customStyle="1" w:styleId="grame">
    <w:name w:val="grame"/>
    <w:uiPriority w:val="99"/>
    <w:rsid w:val="00117D35"/>
  </w:style>
  <w:style w:type="paragraph" w:styleId="Recuodecorpodetexto3">
    <w:name w:val="Body Text Indent 3"/>
    <w:basedOn w:val="Normal"/>
    <w:link w:val="Recuodecorpodetexto3Char"/>
    <w:uiPriority w:val="99"/>
    <w:rsid w:val="00117D35"/>
    <w:pPr>
      <w:spacing w:after="120"/>
      <w:ind w:left="283"/>
    </w:pPr>
    <w:rPr>
      <w:sz w:val="16"/>
      <w:szCs w:val="16"/>
    </w:rPr>
  </w:style>
  <w:style w:type="character" w:customStyle="1" w:styleId="Recuodecorpodetexto3Char">
    <w:name w:val="Recuo de corpo de texto 3 Char"/>
    <w:basedOn w:val="Fontepargpadro"/>
    <w:link w:val="Recuodecorpodetexto3"/>
    <w:uiPriority w:val="99"/>
    <w:locked/>
    <w:rsid w:val="00FF4AB2"/>
    <w:rPr>
      <w:rFonts w:ascii="Arial" w:hAnsi="Arial" w:cs="Times New Roman"/>
      <w:sz w:val="16"/>
    </w:rPr>
  </w:style>
  <w:style w:type="paragraph" w:customStyle="1" w:styleId="xl27">
    <w:name w:val="xl27"/>
    <w:basedOn w:val="Normal"/>
    <w:uiPriority w:val="99"/>
    <w:rsid w:val="00117D35"/>
    <w:pPr>
      <w:spacing w:before="100" w:beforeAutospacing="1" w:after="100" w:afterAutospacing="1"/>
    </w:pPr>
    <w:rPr>
      <w:rFonts w:eastAsia="Arial Unicode MS"/>
      <w:b/>
      <w:bCs/>
      <w:sz w:val="28"/>
      <w:szCs w:val="28"/>
    </w:rPr>
  </w:style>
  <w:style w:type="paragraph" w:styleId="Textodebalo">
    <w:name w:val="Balloon Text"/>
    <w:basedOn w:val="Normal"/>
    <w:link w:val="TextodebaloChar"/>
    <w:uiPriority w:val="99"/>
    <w:semiHidden/>
    <w:rsid w:val="00304A4D"/>
    <w:rPr>
      <w:sz w:val="16"/>
      <w:szCs w:val="20"/>
    </w:rPr>
  </w:style>
  <w:style w:type="character" w:customStyle="1" w:styleId="TextodebaloChar">
    <w:name w:val="Texto de balão Char"/>
    <w:basedOn w:val="Fontepargpadro"/>
    <w:link w:val="Textodebalo"/>
    <w:uiPriority w:val="99"/>
    <w:semiHidden/>
    <w:locked/>
    <w:rsid w:val="00304A4D"/>
    <w:rPr>
      <w:sz w:val="16"/>
      <w:szCs w:val="20"/>
    </w:rPr>
  </w:style>
  <w:style w:type="paragraph" w:styleId="Recuodecorpodetexto2">
    <w:name w:val="Body Text Indent 2"/>
    <w:basedOn w:val="Normal"/>
    <w:link w:val="Recuodecorpodetexto2Char"/>
    <w:uiPriority w:val="99"/>
    <w:rsid w:val="00117D35"/>
    <w:pPr>
      <w:spacing w:after="120" w:line="480" w:lineRule="auto"/>
      <w:ind w:left="283"/>
    </w:pPr>
    <w:rPr>
      <w:sz w:val="20"/>
      <w:szCs w:val="20"/>
    </w:rPr>
  </w:style>
  <w:style w:type="character" w:customStyle="1" w:styleId="Recuodecorpodetexto2Char">
    <w:name w:val="Recuo de corpo de texto 2 Char"/>
    <w:basedOn w:val="Fontepargpadro"/>
    <w:link w:val="Recuodecorpodetexto2"/>
    <w:uiPriority w:val="99"/>
    <w:locked/>
    <w:rsid w:val="00FF4AB2"/>
    <w:rPr>
      <w:rFonts w:ascii="Arial" w:hAnsi="Arial" w:cs="Times New Roman"/>
    </w:rPr>
  </w:style>
  <w:style w:type="paragraph" w:styleId="Partesuperior-zdoformulrio">
    <w:name w:val="HTML Top of Form"/>
    <w:basedOn w:val="Normal"/>
    <w:next w:val="Normal"/>
    <w:link w:val="Partesuperior-zdoformulrioChar"/>
    <w:hidden/>
    <w:uiPriority w:val="99"/>
    <w:rsid w:val="00117D35"/>
    <w:pPr>
      <w:pBdr>
        <w:bottom w:val="single" w:sz="6" w:space="1" w:color="auto"/>
      </w:pBdr>
      <w:jc w:val="center"/>
    </w:pPr>
    <w:rPr>
      <w:vanish/>
      <w:sz w:val="16"/>
      <w:szCs w:val="16"/>
    </w:rPr>
  </w:style>
  <w:style w:type="character" w:customStyle="1" w:styleId="Partesuperior-zdoformulrioChar">
    <w:name w:val="Parte superior-z do formulário Char"/>
    <w:basedOn w:val="Fontepargpadro"/>
    <w:link w:val="Partesuperior-zdoformulrio"/>
    <w:uiPriority w:val="99"/>
    <w:locked/>
    <w:rsid w:val="00FF4AB2"/>
    <w:rPr>
      <w:rFonts w:ascii="Arial" w:hAnsi="Arial" w:cs="Times New Roman"/>
      <w:vanish/>
      <w:sz w:val="16"/>
    </w:rPr>
  </w:style>
  <w:style w:type="paragraph" w:styleId="Parteinferiordoformulrio">
    <w:name w:val="HTML Bottom of Form"/>
    <w:basedOn w:val="Normal"/>
    <w:next w:val="Normal"/>
    <w:link w:val="ParteinferiordoformulrioChar"/>
    <w:hidden/>
    <w:uiPriority w:val="99"/>
    <w:rsid w:val="00117D35"/>
    <w:pPr>
      <w:pBdr>
        <w:top w:val="single" w:sz="6" w:space="1" w:color="auto"/>
      </w:pBdr>
      <w:jc w:val="center"/>
    </w:pPr>
    <w:rPr>
      <w:vanish/>
      <w:sz w:val="16"/>
      <w:szCs w:val="16"/>
    </w:rPr>
  </w:style>
  <w:style w:type="character" w:customStyle="1" w:styleId="ParteinferiordoformulrioChar">
    <w:name w:val="Parte inferior do formulário Char"/>
    <w:basedOn w:val="Fontepargpadro"/>
    <w:link w:val="Parteinferiordoformulrio"/>
    <w:uiPriority w:val="99"/>
    <w:locked/>
    <w:rsid w:val="00FF4AB2"/>
    <w:rPr>
      <w:rFonts w:ascii="Arial" w:hAnsi="Arial" w:cs="Times New Roman"/>
      <w:vanish/>
      <w:sz w:val="16"/>
    </w:rPr>
  </w:style>
  <w:style w:type="paragraph" w:customStyle="1" w:styleId="linkazul">
    <w:name w:val="link_azul"/>
    <w:basedOn w:val="Normal"/>
    <w:uiPriority w:val="99"/>
    <w:rsid w:val="00117D35"/>
    <w:pPr>
      <w:spacing w:before="100" w:beforeAutospacing="1" w:after="100" w:afterAutospacing="1"/>
    </w:pPr>
  </w:style>
  <w:style w:type="paragraph" w:customStyle="1" w:styleId="Marcador1">
    <w:name w:val="Marcador 1"/>
    <w:basedOn w:val="Normal"/>
    <w:uiPriority w:val="99"/>
    <w:rsid w:val="00117D35"/>
    <w:pPr>
      <w:numPr>
        <w:numId w:val="3"/>
      </w:numPr>
    </w:pPr>
  </w:style>
  <w:style w:type="character" w:styleId="nfase">
    <w:name w:val="Emphasis"/>
    <w:basedOn w:val="Fontepargpadro"/>
    <w:uiPriority w:val="20"/>
    <w:qFormat/>
    <w:rsid w:val="00117D35"/>
    <w:rPr>
      <w:rFonts w:cs="Times New Roman"/>
      <w:i/>
    </w:rPr>
  </w:style>
  <w:style w:type="character" w:customStyle="1" w:styleId="CAIXA">
    <w:name w:val="CAIXA"/>
    <w:uiPriority w:val="99"/>
    <w:semiHidden/>
    <w:rsid w:val="00117D35"/>
    <w:rPr>
      <w:rFonts w:ascii="Cambria Math" w:hAnsi="Cambria Math"/>
      <w:color w:val="auto"/>
      <w:sz w:val="20"/>
    </w:rPr>
  </w:style>
  <w:style w:type="paragraph" w:customStyle="1" w:styleId="Pa1">
    <w:name w:val="Pa1"/>
    <w:basedOn w:val="Normal"/>
    <w:next w:val="Normal"/>
    <w:uiPriority w:val="99"/>
    <w:rsid w:val="00117D35"/>
    <w:pPr>
      <w:autoSpaceDE w:val="0"/>
      <w:autoSpaceDN w:val="0"/>
      <w:adjustRightInd w:val="0"/>
      <w:spacing w:line="241" w:lineRule="atLeast"/>
    </w:pPr>
  </w:style>
  <w:style w:type="paragraph" w:customStyle="1" w:styleId="ps-021-bullet-a">
    <w:name w:val="ps-021-bullet-a"/>
    <w:basedOn w:val="Normal"/>
    <w:uiPriority w:val="99"/>
    <w:rsid w:val="00117D35"/>
    <w:pPr>
      <w:spacing w:after="120"/>
      <w:ind w:left="1400" w:hanging="640"/>
    </w:pPr>
    <w:rPr>
      <w:rFonts w:ascii="Verdana" w:hAnsi="Verdana"/>
      <w:color w:val="000000"/>
      <w:sz w:val="20"/>
      <w:szCs w:val="20"/>
      <w:lang w:val="en-US" w:eastAsia="en-US"/>
    </w:rPr>
  </w:style>
  <w:style w:type="character" w:customStyle="1" w:styleId="CharChar2">
    <w:name w:val="Char Char2"/>
    <w:uiPriority w:val="99"/>
    <w:rsid w:val="00117D35"/>
    <w:rPr>
      <w:rFonts w:ascii="Cambria Math" w:hAnsi="Cambria Math"/>
      <w:b/>
      <w:sz w:val="24"/>
      <w:lang w:val="pt-BR" w:eastAsia="pt-BR"/>
    </w:rPr>
  </w:style>
  <w:style w:type="character" w:customStyle="1" w:styleId="CharChar1">
    <w:name w:val="Char Char1"/>
    <w:uiPriority w:val="99"/>
    <w:rsid w:val="00117D35"/>
    <w:rPr>
      <w:sz w:val="24"/>
      <w:lang w:val="pt-BR" w:eastAsia="pt-BR"/>
    </w:rPr>
  </w:style>
  <w:style w:type="paragraph" w:customStyle="1" w:styleId="EstiloTtulo112pt">
    <w:name w:val="Estilo Título 1 + 12 pt"/>
    <w:basedOn w:val="Ttulo1"/>
    <w:link w:val="EstiloTtulo112ptChar"/>
    <w:autoRedefine/>
    <w:uiPriority w:val="99"/>
    <w:rsid w:val="007C6E4D"/>
    <w:rPr>
      <w:color w:val="auto"/>
    </w:rPr>
  </w:style>
  <w:style w:type="character" w:customStyle="1" w:styleId="EstiloTtulo112ptChar">
    <w:name w:val="Estilo Título 1 + 12 pt Char"/>
    <w:link w:val="EstiloTtulo112pt"/>
    <w:uiPriority w:val="99"/>
    <w:locked/>
    <w:rsid w:val="007C6E4D"/>
    <w:rPr>
      <w:rFonts w:ascii="Arial" w:hAnsi="Arial"/>
      <w:b/>
      <w:sz w:val="24"/>
      <w:lang w:val="pt-BR" w:eastAsia="pt-BR"/>
    </w:rPr>
  </w:style>
  <w:style w:type="paragraph" w:customStyle="1" w:styleId="EstiloTtulo112pt1">
    <w:name w:val="Estilo Título 1 + 12 pt1"/>
    <w:basedOn w:val="Ttulo1"/>
    <w:link w:val="EstiloTtulo112pt1Char"/>
    <w:autoRedefine/>
    <w:uiPriority w:val="99"/>
    <w:rsid w:val="007C6E4D"/>
    <w:rPr>
      <w:color w:val="auto"/>
    </w:rPr>
  </w:style>
  <w:style w:type="character" w:customStyle="1" w:styleId="EstiloTtulo112pt1Char">
    <w:name w:val="Estilo Título 1 + 12 pt1 Char"/>
    <w:link w:val="EstiloTtulo112pt1"/>
    <w:uiPriority w:val="99"/>
    <w:locked/>
    <w:rsid w:val="007C6E4D"/>
    <w:rPr>
      <w:rFonts w:ascii="Arial" w:hAnsi="Arial"/>
      <w:b/>
      <w:sz w:val="24"/>
      <w:lang w:val="pt-BR" w:eastAsia="pt-BR"/>
    </w:rPr>
  </w:style>
  <w:style w:type="character" w:customStyle="1" w:styleId="Ttulo2Char">
    <w:name w:val="Título 2 Char"/>
    <w:uiPriority w:val="99"/>
    <w:rsid w:val="00C9463D"/>
    <w:rPr>
      <w:rFonts w:ascii="Cambria Math" w:hAnsi="Cambria Math"/>
      <w:b/>
      <w:sz w:val="24"/>
      <w:lang w:val="pt-BR" w:eastAsia="pt-BR"/>
    </w:rPr>
  </w:style>
  <w:style w:type="character" w:customStyle="1" w:styleId="Ttulo1Char">
    <w:name w:val="Título 1 Char"/>
    <w:uiPriority w:val="99"/>
    <w:rsid w:val="00C9463D"/>
    <w:rPr>
      <w:rFonts w:ascii="Cambria Math" w:hAnsi="Cambria Math"/>
      <w:b/>
      <w:sz w:val="24"/>
      <w:lang w:val="pt-BR" w:eastAsia="pt-BR"/>
    </w:rPr>
  </w:style>
  <w:style w:type="paragraph" w:styleId="Legenda">
    <w:name w:val="caption"/>
    <w:basedOn w:val="Normal"/>
    <w:next w:val="Normal"/>
    <w:uiPriority w:val="99"/>
    <w:qFormat/>
    <w:rsid w:val="00E13180"/>
    <w:rPr>
      <w:b/>
      <w:bCs/>
      <w:sz w:val="20"/>
      <w:szCs w:val="20"/>
    </w:rPr>
  </w:style>
  <w:style w:type="paragraph" w:styleId="Reviso">
    <w:name w:val="Revision"/>
    <w:hidden/>
    <w:uiPriority w:val="99"/>
    <w:semiHidden/>
    <w:rsid w:val="00C60FE5"/>
    <w:rPr>
      <w:rFonts w:ascii="Cambria Math" w:hAnsi="Cambria Math" w:cs="Cambria Math"/>
    </w:rPr>
  </w:style>
  <w:style w:type="table" w:styleId="Tabelacontempornea">
    <w:name w:val="Table Contemporary"/>
    <w:basedOn w:val="Tabelanormal"/>
    <w:uiPriority w:val="99"/>
    <w:rsid w:val="00C60FE5"/>
    <w:rPr>
      <w:sz w:val="20"/>
      <w:szCs w:val="20"/>
    </w:rPr>
    <w:tblPr/>
    <w:tblStylePr w:type="firstRow">
      <w:rPr>
        <w:rFonts w:cs="Times New Roman"/>
        <w:b/>
        <w:bCs/>
        <w:color w:val="auto"/>
      </w:rPr>
    </w:tblStylePr>
    <w:tblStylePr w:type="band1Horz">
      <w:rPr>
        <w:rFonts w:cs="Times New Roman"/>
        <w:color w:val="auto"/>
      </w:rPr>
    </w:tblStylePr>
    <w:tblStylePr w:type="band2Horz">
      <w:rPr>
        <w:rFonts w:cs="Times New Roman"/>
        <w:color w:val="auto"/>
      </w:rPr>
    </w:tblStylePr>
  </w:style>
  <w:style w:type="table" w:styleId="Tabelaclssica1">
    <w:name w:val="Table Classic 1"/>
    <w:aliases w:val="TABELA BASE"/>
    <w:basedOn w:val="Tabelanormal"/>
    <w:uiPriority w:val="99"/>
    <w:rsid w:val="00970D47"/>
    <w:pPr>
      <w:jc w:val="center"/>
    </w:pPr>
    <w:rPr>
      <w:rFonts w:ascii="Cambria Math" w:hAnsi="Cambria Math"/>
      <w:sz w:val="18"/>
      <w:szCs w:val="20"/>
    </w:rPr>
    <w:tblPr/>
    <w:tblStylePr w:type="firstRow">
      <w:rPr>
        <w:rFonts w:ascii="Arial" w:hAnsi="Arial" w:cs="Times New Roman"/>
        <w:b/>
        <w:i w:val="0"/>
        <w:iCs/>
        <w:sz w:val="18"/>
      </w:rPr>
    </w:tblStylePr>
    <w:tblStylePr w:type="lastRow">
      <w:rPr>
        <w:rFonts w:cs="Times New Roman"/>
        <w:color w:val="auto"/>
      </w:rPr>
    </w:tblStylePr>
    <w:tblStylePr w:type="firstCol">
      <w:pPr>
        <w:jc w:val="left"/>
      </w:pPr>
      <w:rPr>
        <w:rFonts w:cs="Times New Roman"/>
      </w:rPr>
    </w:tblStylePr>
    <w:tblStylePr w:type="band1Horz">
      <w:rPr>
        <w:rFonts w:cs="Times New Roman"/>
      </w:rPr>
    </w:tblStylePr>
    <w:tblStylePr w:type="band2Horz">
      <w:rPr>
        <w:rFonts w:cs="Times New Roman"/>
      </w:rPr>
    </w:tblStylePr>
    <w:tblStylePr w:type="neCell">
      <w:rPr>
        <w:rFonts w:cs="Times New Roman"/>
        <w:b/>
        <w:bCs/>
        <w:i w:val="0"/>
        <w:iCs w:val="0"/>
      </w:rPr>
    </w:tblStylePr>
    <w:tblStylePr w:type="swCell">
      <w:rPr>
        <w:rFonts w:cs="Times New Roman"/>
        <w:b/>
        <w:bCs/>
      </w:rPr>
    </w:tblStylePr>
  </w:style>
  <w:style w:type="paragraph" w:styleId="PargrafodaLista">
    <w:name w:val="List Paragraph"/>
    <w:aliases w:val="Meu,Answer Bullet,Itemização,Parágrafo1"/>
    <w:basedOn w:val="Normal"/>
    <w:link w:val="PargrafodaListaChar"/>
    <w:uiPriority w:val="1"/>
    <w:qFormat/>
    <w:rsid w:val="00781522"/>
    <w:pPr>
      <w:contextualSpacing/>
    </w:pPr>
  </w:style>
  <w:style w:type="paragraph" w:customStyle="1" w:styleId="PargrafodaLista1">
    <w:name w:val="Parágrafo da Lista1"/>
    <w:basedOn w:val="Normal"/>
    <w:uiPriority w:val="99"/>
    <w:rsid w:val="00DB6D7C"/>
    <w:pPr>
      <w:spacing w:after="200" w:line="276" w:lineRule="auto"/>
      <w:ind w:left="720"/>
      <w:contextualSpacing/>
    </w:pPr>
    <w:rPr>
      <w:rFonts w:ascii="Symbol" w:hAnsi="Symbol"/>
      <w:lang w:eastAsia="en-US"/>
    </w:rPr>
  </w:style>
  <w:style w:type="paragraph" w:customStyle="1" w:styleId="default">
    <w:name w:val="default"/>
    <w:basedOn w:val="Normal"/>
    <w:rsid w:val="00DF6050"/>
    <w:pPr>
      <w:autoSpaceDE w:val="0"/>
      <w:autoSpaceDN w:val="0"/>
    </w:pPr>
    <w:rPr>
      <w:color w:val="000000"/>
    </w:rPr>
  </w:style>
  <w:style w:type="paragraph" w:customStyle="1" w:styleId="PargrafodaLista11">
    <w:name w:val="Parágrafo da Lista11"/>
    <w:basedOn w:val="Normal"/>
    <w:uiPriority w:val="99"/>
    <w:rsid w:val="00CA739A"/>
    <w:pPr>
      <w:spacing w:after="200" w:line="276" w:lineRule="auto"/>
      <w:ind w:left="720"/>
      <w:contextualSpacing/>
    </w:pPr>
    <w:rPr>
      <w:rFonts w:ascii="Symbol" w:hAnsi="Symbol"/>
      <w:lang w:eastAsia="en-US"/>
    </w:rPr>
  </w:style>
  <w:style w:type="character" w:styleId="Refdecomentrio">
    <w:name w:val="annotation reference"/>
    <w:basedOn w:val="Fontepargpadro"/>
    <w:uiPriority w:val="99"/>
    <w:locked/>
    <w:rsid w:val="00E23892"/>
    <w:rPr>
      <w:rFonts w:cs="Times New Roman"/>
      <w:sz w:val="16"/>
      <w:szCs w:val="16"/>
    </w:rPr>
  </w:style>
  <w:style w:type="paragraph" w:styleId="Assuntodocomentrio">
    <w:name w:val="annotation subject"/>
    <w:basedOn w:val="Textodecomentrio"/>
    <w:next w:val="Textodecomentrio"/>
    <w:link w:val="AssuntodocomentrioChar"/>
    <w:uiPriority w:val="99"/>
    <w:semiHidden/>
    <w:locked/>
    <w:rsid w:val="00E23892"/>
    <w:rPr>
      <w:rFonts w:cs="Arial"/>
      <w:b/>
      <w:bCs/>
    </w:rPr>
  </w:style>
  <w:style w:type="character" w:customStyle="1" w:styleId="AssuntodocomentrioChar">
    <w:name w:val="Assunto do comentário Char"/>
    <w:basedOn w:val="TextodecomentrioChar"/>
    <w:link w:val="Assuntodocomentrio"/>
    <w:uiPriority w:val="99"/>
    <w:semiHidden/>
    <w:locked/>
    <w:rsid w:val="00E23892"/>
    <w:rPr>
      <w:rFonts w:ascii="Arial" w:hAnsi="Arial" w:cs="Arial"/>
      <w:b/>
      <w:bCs/>
      <w:sz w:val="20"/>
      <w:szCs w:val="20"/>
    </w:rPr>
  </w:style>
  <w:style w:type="paragraph" w:customStyle="1" w:styleId="Default0">
    <w:name w:val="Default"/>
    <w:rsid w:val="00A569E2"/>
    <w:pPr>
      <w:autoSpaceDE w:val="0"/>
      <w:autoSpaceDN w:val="0"/>
      <w:adjustRightInd w:val="0"/>
    </w:pPr>
    <w:rPr>
      <w:rFonts w:ascii="Cambria Math" w:hAnsi="Cambria Math" w:cs="Cambria Math"/>
      <w:color w:val="000000"/>
      <w:sz w:val="24"/>
      <w:szCs w:val="24"/>
    </w:rPr>
  </w:style>
  <w:style w:type="paragraph" w:customStyle="1" w:styleId="PargrafodaLista2">
    <w:name w:val="Parágrafo da Lista2"/>
    <w:basedOn w:val="Normal"/>
    <w:uiPriority w:val="99"/>
    <w:rsid w:val="00A569E2"/>
    <w:pPr>
      <w:ind w:left="720"/>
      <w:contextualSpacing/>
    </w:pPr>
  </w:style>
  <w:style w:type="paragraph" w:customStyle="1" w:styleId="PargrafodaLista3">
    <w:name w:val="Parágrafo da Lista3"/>
    <w:basedOn w:val="Normal"/>
    <w:uiPriority w:val="99"/>
    <w:rsid w:val="00A569E2"/>
    <w:pPr>
      <w:ind w:left="720"/>
      <w:contextualSpacing/>
    </w:pPr>
  </w:style>
  <w:style w:type="character" w:styleId="nfaseSutil">
    <w:name w:val="Subtle Emphasis"/>
    <w:basedOn w:val="Fontepargpadro"/>
    <w:uiPriority w:val="99"/>
    <w:qFormat/>
    <w:rsid w:val="00A569E2"/>
    <w:rPr>
      <w:rFonts w:cs="Times New Roman"/>
      <w:i/>
      <w:iCs/>
      <w:color w:val="808080"/>
    </w:rPr>
  </w:style>
  <w:style w:type="numbering" w:customStyle="1" w:styleId="Listaatual1">
    <w:name w:val="Lista atual1"/>
    <w:rsid w:val="00E90476"/>
    <w:pPr>
      <w:numPr>
        <w:numId w:val="2"/>
      </w:numPr>
    </w:pPr>
  </w:style>
  <w:style w:type="paragraph" w:customStyle="1" w:styleId="PargrafodaLista4">
    <w:name w:val="Parágrafo da Lista4"/>
    <w:basedOn w:val="Normal"/>
    <w:uiPriority w:val="99"/>
    <w:rsid w:val="00583DDC"/>
    <w:pPr>
      <w:ind w:left="720"/>
      <w:contextualSpacing/>
    </w:pPr>
  </w:style>
  <w:style w:type="paragraph" w:customStyle="1" w:styleId="msolistparagraph0">
    <w:name w:val="msolistparagraph"/>
    <w:basedOn w:val="Normal"/>
    <w:uiPriority w:val="99"/>
    <w:rsid w:val="00B00FCF"/>
    <w:pPr>
      <w:ind w:left="720"/>
    </w:pPr>
  </w:style>
  <w:style w:type="character" w:customStyle="1" w:styleId="st">
    <w:name w:val="st"/>
    <w:basedOn w:val="Fontepargpadro"/>
    <w:rsid w:val="00B00FCF"/>
  </w:style>
  <w:style w:type="paragraph" w:customStyle="1" w:styleId="TableParagraph">
    <w:name w:val="Table Paragraph"/>
    <w:basedOn w:val="Normal"/>
    <w:uiPriority w:val="1"/>
    <w:qFormat/>
    <w:rsid w:val="002F2CAC"/>
    <w:pPr>
      <w:widowControl w:val="0"/>
    </w:pPr>
    <w:rPr>
      <w:rFonts w:asciiTheme="minorHAnsi" w:eastAsiaTheme="minorHAnsi" w:hAnsiTheme="minorHAnsi" w:cstheme="minorBidi"/>
      <w:lang w:val="en-US" w:eastAsia="en-US"/>
    </w:rPr>
  </w:style>
  <w:style w:type="character" w:customStyle="1" w:styleId="apple-converted-space">
    <w:name w:val="apple-converted-space"/>
    <w:basedOn w:val="Fontepargpadro"/>
    <w:rsid w:val="0002288E"/>
  </w:style>
  <w:style w:type="paragraph" w:customStyle="1" w:styleId="CharChar7CharCharCharCharCharCharCharCharCharChar">
    <w:name w:val="Char Char7 Char Char Char Char Char Char Char Char Char Char"/>
    <w:basedOn w:val="Normal"/>
    <w:uiPriority w:val="99"/>
    <w:rsid w:val="0002288E"/>
    <w:pPr>
      <w:spacing w:after="160" w:line="240" w:lineRule="exact"/>
    </w:pPr>
    <w:rPr>
      <w:rFonts w:ascii="Verdana" w:hAnsi="Verdana"/>
      <w:sz w:val="20"/>
      <w:szCs w:val="20"/>
      <w:lang w:val="en-US" w:eastAsia="en-US"/>
    </w:rPr>
  </w:style>
  <w:style w:type="paragraph" w:styleId="SemEspaamento">
    <w:name w:val="No Spacing"/>
    <w:uiPriority w:val="1"/>
    <w:qFormat/>
    <w:rsid w:val="0002288E"/>
    <w:rPr>
      <w:rFonts w:asciiTheme="minorHAnsi" w:eastAsiaTheme="minorHAnsi" w:hAnsiTheme="minorHAnsi" w:cstheme="minorBidi"/>
      <w:lang w:eastAsia="en-US"/>
    </w:rPr>
  </w:style>
  <w:style w:type="paragraph" w:customStyle="1" w:styleId="wordsection1">
    <w:name w:val="wordsection1"/>
    <w:basedOn w:val="Normal"/>
    <w:link w:val="wordsection1Char"/>
    <w:uiPriority w:val="99"/>
    <w:rsid w:val="0007137A"/>
    <w:pPr>
      <w:spacing w:before="100" w:beforeAutospacing="1" w:after="100" w:afterAutospacing="1"/>
    </w:pPr>
    <w:rPr>
      <w:rFonts w:eastAsiaTheme="minorHAnsi"/>
    </w:rPr>
  </w:style>
  <w:style w:type="paragraph" w:customStyle="1" w:styleId="072-Rodapdatabela">
    <w:name w:val="072 - Rodapé da tabela"/>
    <w:basedOn w:val="Normal"/>
    <w:next w:val="Normal"/>
    <w:link w:val="072-RodapdatabelaChar"/>
    <w:qFormat/>
    <w:rsid w:val="00DF23CC"/>
    <w:pPr>
      <w:keepNext/>
      <w:keepLines/>
      <w:tabs>
        <w:tab w:val="left" w:pos="284"/>
      </w:tabs>
      <w:spacing w:before="40"/>
      <w:ind w:left="284" w:hanging="284"/>
      <w:jc w:val="both"/>
    </w:pPr>
    <w:rPr>
      <w:sz w:val="14"/>
      <w:szCs w:val="18"/>
    </w:rPr>
  </w:style>
  <w:style w:type="character" w:customStyle="1" w:styleId="072-RodapdatabelaChar">
    <w:name w:val="072 - Rodapé da tabela Char"/>
    <w:basedOn w:val="Fontepargpadro"/>
    <w:link w:val="072-Rodapdatabela"/>
    <w:rsid w:val="00DF23CC"/>
    <w:rPr>
      <w:rFonts w:ascii="Arial" w:hAnsi="Arial"/>
      <w:sz w:val="14"/>
      <w:szCs w:val="18"/>
    </w:rPr>
  </w:style>
  <w:style w:type="character" w:customStyle="1" w:styleId="st1">
    <w:name w:val="st1"/>
    <w:basedOn w:val="Fontepargpadro"/>
    <w:rsid w:val="00572B9E"/>
  </w:style>
  <w:style w:type="character" w:customStyle="1" w:styleId="wordsection1Char">
    <w:name w:val="wordsection1 Char"/>
    <w:basedOn w:val="Fontepargpadro"/>
    <w:link w:val="wordsection1"/>
    <w:uiPriority w:val="99"/>
    <w:locked/>
    <w:rsid w:val="00CB04D1"/>
    <w:rPr>
      <w:rFonts w:eastAsiaTheme="minorHAnsi"/>
      <w:sz w:val="24"/>
      <w:szCs w:val="24"/>
    </w:rPr>
  </w:style>
  <w:style w:type="character" w:customStyle="1" w:styleId="ilfuvd">
    <w:name w:val="ilfuvd"/>
    <w:basedOn w:val="Fontepargpadro"/>
    <w:rsid w:val="00C645F7"/>
  </w:style>
  <w:style w:type="character" w:customStyle="1" w:styleId="PargrafodaListaChar">
    <w:name w:val="Parágrafo da Lista Char"/>
    <w:aliases w:val="Meu Char,Answer Bullet Char,Itemização Char,Parágrafo1 Char"/>
    <w:basedOn w:val="Fontepargpadro"/>
    <w:link w:val="PargrafodaLista"/>
    <w:uiPriority w:val="34"/>
    <w:qFormat/>
    <w:rsid w:val="005D278C"/>
    <w:rPr>
      <w:sz w:val="24"/>
      <w:szCs w:val="24"/>
    </w:rPr>
  </w:style>
  <w:style w:type="paragraph" w:styleId="Textodenotaderodap">
    <w:name w:val="footnote text"/>
    <w:basedOn w:val="Normal"/>
    <w:link w:val="TextodenotaderodapChar"/>
    <w:uiPriority w:val="99"/>
    <w:semiHidden/>
    <w:unhideWhenUsed/>
    <w:locked/>
    <w:rsid w:val="0019155E"/>
    <w:rPr>
      <w:sz w:val="20"/>
      <w:szCs w:val="20"/>
    </w:rPr>
  </w:style>
  <w:style w:type="character" w:customStyle="1" w:styleId="TextodenotaderodapChar">
    <w:name w:val="Texto de nota de rodapé Char"/>
    <w:basedOn w:val="Fontepargpadro"/>
    <w:link w:val="Textodenotaderodap"/>
    <w:uiPriority w:val="99"/>
    <w:semiHidden/>
    <w:rsid w:val="0019155E"/>
    <w:rPr>
      <w:rFonts w:ascii="Arial" w:hAnsi="Arial" w:cs="Arial"/>
      <w:sz w:val="20"/>
      <w:szCs w:val="20"/>
    </w:rPr>
  </w:style>
  <w:style w:type="character" w:styleId="Refdenotaderodap">
    <w:name w:val="footnote reference"/>
    <w:basedOn w:val="Fontepargpadro"/>
    <w:uiPriority w:val="99"/>
    <w:semiHidden/>
    <w:unhideWhenUsed/>
    <w:locked/>
    <w:rsid w:val="0019155E"/>
    <w:rPr>
      <w:vertAlign w:val="superscript"/>
    </w:rPr>
  </w:style>
  <w:style w:type="paragraph" w:customStyle="1" w:styleId="msonormal0">
    <w:name w:val="msonormal"/>
    <w:basedOn w:val="Normal"/>
    <w:uiPriority w:val="99"/>
    <w:rsid w:val="008C3487"/>
    <w:pPr>
      <w:spacing w:before="100" w:beforeAutospacing="1" w:after="100" w:afterAutospacing="1"/>
    </w:pPr>
    <w:rPr>
      <w:rFonts w:ascii="Arial Unicode MS" w:eastAsia="Arial Unicode MS" w:hAnsi="Arial Unicode MS" w:cs="Arial Unicode MS"/>
    </w:rPr>
  </w:style>
  <w:style w:type="character" w:customStyle="1" w:styleId="CorpodetextoChar1">
    <w:name w:val="Corpo de texto Char1"/>
    <w:aliases w:val="bt Char1"/>
    <w:basedOn w:val="Fontepargpadro"/>
    <w:uiPriority w:val="1"/>
    <w:semiHidden/>
    <w:rsid w:val="008C3487"/>
    <w:rPr>
      <w:rFonts w:ascii="Cambria Math" w:hAnsi="Cambria Math" w:cs="Cambria Math"/>
    </w:rPr>
  </w:style>
  <w:style w:type="character" w:styleId="MenoPendente">
    <w:name w:val="Unresolved Mention"/>
    <w:basedOn w:val="Fontepargpadro"/>
    <w:uiPriority w:val="99"/>
    <w:unhideWhenUsed/>
    <w:rsid w:val="004C1966"/>
    <w:rPr>
      <w:color w:val="605E5C"/>
      <w:shd w:val="clear" w:color="auto" w:fill="E1DFDD"/>
    </w:rPr>
  </w:style>
  <w:style w:type="character" w:customStyle="1" w:styleId="050-TextoPadroChar">
    <w:name w:val="050 - Texto Padrão Char"/>
    <w:basedOn w:val="Fontepargpadro"/>
    <w:link w:val="050-TextoPadro"/>
    <w:locked/>
    <w:rsid w:val="003E10D7"/>
  </w:style>
  <w:style w:type="paragraph" w:customStyle="1" w:styleId="050-TextoPadro">
    <w:name w:val="050 - Texto Padrão"/>
    <w:basedOn w:val="Normal"/>
    <w:link w:val="050-TextoPadroChar"/>
    <w:qFormat/>
    <w:rsid w:val="003E10D7"/>
    <w:pPr>
      <w:keepNext/>
      <w:keepLines/>
      <w:spacing w:before="120" w:after="120" w:line="276" w:lineRule="auto"/>
      <w:jc w:val="both"/>
    </w:pPr>
  </w:style>
  <w:style w:type="character" w:customStyle="1" w:styleId="normaltextrun">
    <w:name w:val="normaltextrun"/>
    <w:basedOn w:val="Fontepargpadro"/>
    <w:rsid w:val="00594BD0"/>
  </w:style>
  <w:style w:type="character" w:customStyle="1" w:styleId="e24kjd">
    <w:name w:val="e24kjd"/>
    <w:basedOn w:val="Fontepargpadro"/>
    <w:rsid w:val="00EC2363"/>
  </w:style>
  <w:style w:type="paragraph" w:styleId="Ttulo">
    <w:name w:val="Title"/>
    <w:basedOn w:val="Normal"/>
    <w:next w:val="Normal"/>
    <w:link w:val="TtuloChar"/>
    <w:qFormat/>
    <w:rsid w:val="00115D09"/>
    <w:pPr>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rsid w:val="00115D09"/>
    <w:rPr>
      <w:rFonts w:asciiTheme="majorHAnsi" w:eastAsiaTheme="majorEastAsia" w:hAnsiTheme="majorHAnsi" w:cstheme="majorBidi"/>
      <w:spacing w:val="-10"/>
      <w:kern w:val="28"/>
      <w:sz w:val="56"/>
      <w:szCs w:val="56"/>
    </w:rPr>
  </w:style>
  <w:style w:type="paragraph" w:customStyle="1" w:styleId="020-TtulodeDocumento">
    <w:name w:val="020 - Título de Documento"/>
    <w:basedOn w:val="050-TextoPadro"/>
    <w:next w:val="050-TextoPadro"/>
    <w:qFormat/>
    <w:rsid w:val="00184030"/>
    <w:pPr>
      <w:spacing w:line="240" w:lineRule="auto"/>
      <w:ind w:left="1440" w:hanging="360"/>
      <w:outlineLvl w:val="1"/>
    </w:pPr>
    <w:rPr>
      <w:rFonts w:ascii="Cambria Math" w:hAnsi="Cambria Math"/>
      <w:b/>
      <w:spacing w:val="-2"/>
      <w:sz w:val="20"/>
      <w:szCs w:val="18"/>
    </w:rPr>
  </w:style>
  <w:style w:type="paragraph" w:customStyle="1" w:styleId="030-SubttulodeDocumento">
    <w:name w:val="030 - Subtítulo de Documento"/>
    <w:basedOn w:val="050-TextoPadro"/>
    <w:next w:val="050-TextoPadro"/>
    <w:link w:val="030-SubttulodeDocumentoChar"/>
    <w:qFormat/>
    <w:rsid w:val="00184030"/>
    <w:pPr>
      <w:spacing w:line="240" w:lineRule="auto"/>
      <w:ind w:left="2160" w:hanging="180"/>
      <w:outlineLvl w:val="2"/>
    </w:pPr>
    <w:rPr>
      <w:rFonts w:ascii="Cambria Math" w:hAnsi="Cambria Math"/>
      <w:b/>
      <w:sz w:val="20"/>
      <w:szCs w:val="18"/>
    </w:rPr>
  </w:style>
  <w:style w:type="paragraph" w:customStyle="1" w:styleId="040-SubttuloEspecial">
    <w:name w:val="040 - Subtítulo Especial"/>
    <w:basedOn w:val="030-SubttulodeDocumento"/>
    <w:next w:val="050-TextoPadro"/>
    <w:qFormat/>
    <w:rsid w:val="00184030"/>
    <w:pPr>
      <w:ind w:left="3600" w:hanging="360"/>
      <w:outlineLvl w:val="4"/>
    </w:pPr>
  </w:style>
  <w:style w:type="paragraph" w:customStyle="1" w:styleId="010-Grupo">
    <w:name w:val="010 - Grupo"/>
    <w:basedOn w:val="Ttulo1"/>
    <w:next w:val="020-TtulodeDocumento"/>
    <w:qFormat/>
    <w:rsid w:val="00184030"/>
    <w:pPr>
      <w:keepNext/>
      <w:keepLines/>
      <w:framePr w:wrap="notBeside" w:vAnchor="page" w:hAnchor="page" w:xAlign="center" w:yAlign="top" w:anchorLock="1"/>
      <w:tabs>
        <w:tab w:val="left" w:pos="0"/>
      </w:tabs>
      <w:suppressAutoHyphens/>
      <w:spacing w:after="0" w:line="276" w:lineRule="auto"/>
      <w:ind w:left="720" w:hanging="360"/>
    </w:pPr>
    <w:rPr>
      <w:rFonts w:ascii="Cambria Math" w:hAnsi="Cambria Math"/>
      <w:color w:val="E3EDF6"/>
      <w:spacing w:val="-2"/>
      <w:sz w:val="12"/>
      <w:szCs w:val="18"/>
      <w14:textFill>
        <w14:solidFill>
          <w14:srgbClr w14:val="E3EDF6">
            <w14:alpha w14:val="100000"/>
          </w14:srgbClr>
        </w14:solidFill>
      </w14:textFill>
    </w:rPr>
  </w:style>
  <w:style w:type="numbering" w:customStyle="1" w:styleId="PubliConLista">
    <w:name w:val="PubliConLista"/>
    <w:uiPriority w:val="99"/>
    <w:rsid w:val="00184030"/>
    <w:pPr>
      <w:numPr>
        <w:numId w:val="15"/>
      </w:numPr>
    </w:pPr>
  </w:style>
  <w:style w:type="paragraph" w:customStyle="1" w:styleId="031-SubttulodeDocumentoLista">
    <w:name w:val="031 - Subtítulo de Documento Lista"/>
    <w:basedOn w:val="030-SubttulodeDocumento"/>
    <w:next w:val="050-TextoPadro"/>
    <w:qFormat/>
    <w:rsid w:val="00184030"/>
    <w:pPr>
      <w:ind w:left="2880" w:hanging="360"/>
      <w:outlineLvl w:val="3"/>
    </w:pPr>
  </w:style>
  <w:style w:type="table" w:customStyle="1" w:styleId="TableNormal1">
    <w:name w:val="Table Normal1"/>
    <w:uiPriority w:val="2"/>
    <w:semiHidden/>
    <w:unhideWhenUsed/>
    <w:qFormat/>
    <w:rsid w:val="005602C1"/>
    <w:pPr>
      <w:widowControl w:val="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835AC5"/>
    <w:pPr>
      <w:widowControl w:val="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paragraph" w:customStyle="1" w:styleId="xmsolistparagraph">
    <w:name w:val="x_msolistparagraph"/>
    <w:basedOn w:val="Normal"/>
    <w:rsid w:val="009A31CC"/>
    <w:pPr>
      <w:ind w:left="720"/>
    </w:pPr>
    <w:rPr>
      <w:rFonts w:ascii="Calibri" w:eastAsiaTheme="minorHAnsi" w:hAnsi="Calibri" w:cs="Calibri"/>
    </w:rPr>
  </w:style>
  <w:style w:type="paragraph" w:styleId="Pr-formataoHTML">
    <w:name w:val="HTML Preformatted"/>
    <w:basedOn w:val="Normal"/>
    <w:link w:val="Pr-formataoHTMLChar"/>
    <w:uiPriority w:val="99"/>
    <w:semiHidden/>
    <w:unhideWhenUsed/>
    <w:locked/>
    <w:rsid w:val="00574C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Pr-formataoHTMLChar">
    <w:name w:val="Pré-formatação HTML Char"/>
    <w:basedOn w:val="Fontepargpadro"/>
    <w:link w:val="Pr-formataoHTML"/>
    <w:uiPriority w:val="99"/>
    <w:semiHidden/>
    <w:rsid w:val="00574C13"/>
    <w:rPr>
      <w:rFonts w:ascii="Courier New" w:eastAsia="Times New Roman" w:hAnsi="Courier New" w:cs="Courier New"/>
      <w:sz w:val="20"/>
      <w:szCs w:val="20"/>
    </w:rPr>
  </w:style>
  <w:style w:type="character" w:customStyle="1" w:styleId="y2iqfc">
    <w:name w:val="y2iqfc"/>
    <w:basedOn w:val="Fontepargpadro"/>
    <w:rsid w:val="00574C13"/>
  </w:style>
  <w:style w:type="paragraph" w:customStyle="1" w:styleId="content-textcontainer">
    <w:name w:val="content-text__container"/>
    <w:basedOn w:val="Normal"/>
    <w:rsid w:val="00134B23"/>
    <w:pPr>
      <w:spacing w:before="100" w:beforeAutospacing="1" w:after="100" w:afterAutospacing="1"/>
    </w:pPr>
    <w:rPr>
      <w:rFonts w:ascii="Times New Roman" w:eastAsia="Times New Roman" w:hAnsi="Times New Roman" w:cs="Times New Roman"/>
    </w:rPr>
  </w:style>
  <w:style w:type="character" w:customStyle="1" w:styleId="eop">
    <w:name w:val="eop"/>
    <w:basedOn w:val="Fontepargpadro"/>
    <w:rsid w:val="00292763"/>
  </w:style>
  <w:style w:type="character" w:customStyle="1" w:styleId="ui-provider">
    <w:name w:val="ui-provider"/>
    <w:basedOn w:val="Fontepargpadro"/>
    <w:rsid w:val="004E69EA"/>
  </w:style>
  <w:style w:type="paragraph" w:customStyle="1" w:styleId="paragraph">
    <w:name w:val="paragraph"/>
    <w:basedOn w:val="Normal"/>
    <w:rsid w:val="00DD4890"/>
    <w:pPr>
      <w:spacing w:before="100" w:beforeAutospacing="1" w:after="100" w:afterAutospacing="1"/>
    </w:pPr>
    <w:rPr>
      <w:rFonts w:ascii="Times New Roman" w:eastAsia="Times New Roman" w:hAnsi="Times New Roman" w:cs="Times New Roman"/>
    </w:rPr>
  </w:style>
  <w:style w:type="paragraph" w:customStyle="1" w:styleId="057-Listanrromano">
    <w:name w:val="057 - Lista nr romano"/>
    <w:basedOn w:val="050-TextoPadro"/>
    <w:qFormat/>
    <w:rsid w:val="001F7ECF"/>
    <w:pPr>
      <w:tabs>
        <w:tab w:val="num" w:pos="360"/>
      </w:tabs>
      <w:spacing w:before="0" w:after="0" w:line="240" w:lineRule="auto"/>
    </w:pPr>
    <w:rPr>
      <w:rFonts w:ascii="BancoDoBrasil Textos" w:hAnsi="BancoDoBrasil Textos"/>
      <w:sz w:val="22"/>
      <w:szCs w:val="22"/>
    </w:rPr>
  </w:style>
  <w:style w:type="character" w:customStyle="1" w:styleId="030-SubttulodeDocumentoChar">
    <w:name w:val="030 - Subtítulo de Documento Char"/>
    <w:basedOn w:val="050-TextoPadroChar"/>
    <w:link w:val="030-SubttulodeDocumento"/>
    <w:locked/>
    <w:rsid w:val="001F7ECF"/>
    <w:rPr>
      <w:rFonts w:ascii="Cambria Math" w:hAnsi="Cambria Math"/>
      <w:b/>
      <w:sz w:val="20"/>
      <w:szCs w:val="18"/>
    </w:rPr>
  </w:style>
  <w:style w:type="paragraph" w:customStyle="1" w:styleId="xmsonormal">
    <w:name w:val="x_msonormal"/>
    <w:basedOn w:val="Normal"/>
    <w:rsid w:val="00F2105C"/>
    <w:pPr>
      <w:spacing w:before="100" w:beforeAutospacing="1" w:after="100" w:afterAutospacing="1"/>
    </w:pPr>
    <w:rPr>
      <w:rFonts w:ascii="Calibri" w:eastAsiaTheme="minorHAnsi" w:hAnsi="Calibri" w:cs="Calibri"/>
      <w:sz w:val="22"/>
      <w:szCs w:val="22"/>
    </w:rPr>
  </w:style>
  <w:style w:type="paragraph" w:customStyle="1" w:styleId="Ttulo1Leo">
    <w:name w:val="Título1_Leo"/>
    <w:basedOn w:val="Sumrio1"/>
    <w:qFormat/>
    <w:rsid w:val="008566EF"/>
    <w:pPr>
      <w:widowControl w:val="0"/>
      <w:tabs>
        <w:tab w:val="clear" w:pos="990"/>
        <w:tab w:val="clear" w:pos="1210"/>
        <w:tab w:val="clear" w:pos="9639"/>
      </w:tabs>
      <w:spacing w:before="120" w:after="0"/>
    </w:pPr>
    <w:rPr>
      <w:rFonts w:ascii="Calibri Light" w:eastAsia="Arial" w:hAnsi="Calibri Light" w:cs="Arial"/>
      <w:b/>
      <w:bCs/>
      <w:noProof w:val="0"/>
      <w:color w:val="2F75B5"/>
      <w:sz w:val="28"/>
      <w:lang w:val="en-US" w:eastAsia="en-US"/>
    </w:rPr>
  </w:style>
  <w:style w:type="character" w:styleId="Meno">
    <w:name w:val="Mention"/>
    <w:basedOn w:val="Fontepargpadro"/>
    <w:uiPriority w:val="99"/>
    <w:unhideWhenUsed/>
    <w:rsid w:val="00E90323"/>
    <w:rPr>
      <w:color w:val="2B579A"/>
      <w:shd w:val="clear" w:color="auto" w:fill="E1DFDD"/>
    </w:rPr>
  </w:style>
  <w:style w:type="paragraph" w:customStyle="1" w:styleId="Pargrafobsico">
    <w:name w:val="[Parágrafo básico]"/>
    <w:basedOn w:val="Normal"/>
    <w:uiPriority w:val="99"/>
    <w:rsid w:val="008A627E"/>
    <w:pPr>
      <w:widowControl w:val="0"/>
      <w:spacing w:before="288" w:after="120"/>
      <w:jc w:val="both"/>
    </w:pPr>
    <w:rPr>
      <w:rFonts w:ascii="Futura Std Book" w:eastAsiaTheme="minorHAnsi" w:hAnsi="Futura Std Book" w:cs="Arial"/>
      <w:noProof/>
      <w:color w:val="0066B2"/>
      <w:sz w:val="22"/>
    </w:rPr>
  </w:style>
  <w:style w:type="character" w:customStyle="1" w:styleId="cf01">
    <w:name w:val="cf01"/>
    <w:basedOn w:val="Fontepargpadro"/>
    <w:rsid w:val="00A93F34"/>
    <w:rPr>
      <w:rFonts w:ascii="Segoe UI" w:hAnsi="Segoe UI" w:cs="Segoe UI" w:hint="default"/>
      <w:color w:val="005CA9"/>
      <w:sz w:val="18"/>
      <w:szCs w:val="18"/>
    </w:rPr>
  </w:style>
  <w:style w:type="paragraph" w:customStyle="1" w:styleId="TextosemFormatao1">
    <w:name w:val="Texto sem Formatação1"/>
    <w:basedOn w:val="Normal"/>
    <w:rsid w:val="00CF2710"/>
    <w:rPr>
      <w:rFonts w:ascii="Courier New" w:eastAsia="Times New Roman" w:hAnsi="Courier New" w:cs="Courier New"/>
      <w:sz w:val="20"/>
      <w:szCs w:val="20"/>
      <w:lang w:eastAsia="ar-SA"/>
    </w:rPr>
  </w:style>
  <w:style w:type="numbering" w:customStyle="1" w:styleId="Listaatual2">
    <w:name w:val="Lista atual2"/>
    <w:uiPriority w:val="99"/>
    <w:rsid w:val="006C6F3C"/>
    <w:pPr>
      <w:numPr>
        <w:numId w:val="22"/>
      </w:numPr>
    </w:pPr>
  </w:style>
  <w:style w:type="paragraph" w:styleId="Commarcadores2">
    <w:name w:val="List Bullet 2"/>
    <w:basedOn w:val="Normal"/>
    <w:uiPriority w:val="99"/>
    <w:semiHidden/>
    <w:unhideWhenUsed/>
    <w:locked/>
    <w:rsid w:val="00A81539"/>
    <w:pPr>
      <w:numPr>
        <w:numId w:val="28"/>
      </w:numPr>
      <w:ind w:left="927"/>
      <w:contextualSpacing/>
    </w:pPr>
  </w:style>
  <w:style w:type="paragraph" w:customStyle="1" w:styleId="nospacingabove">
    <w:name w:val="nospacingabove"/>
    <w:basedOn w:val="Normal"/>
    <w:rsid w:val="00831B16"/>
    <w:pPr>
      <w:spacing w:before="100" w:beforeAutospacing="1" w:after="100" w:afterAutospacing="1"/>
    </w:pPr>
    <w:rPr>
      <w:rFonts w:ascii="Times New Roman" w:eastAsia="Times New Roman" w:hAnsi="Times New Roman" w:cs="Times New Roman"/>
    </w:rPr>
  </w:style>
  <w:style w:type="table" w:customStyle="1" w:styleId="Tabelacomgrade1">
    <w:name w:val="Tabela com grade1"/>
    <w:basedOn w:val="Tabelanormal"/>
    <w:next w:val="Tabelacomgrade"/>
    <w:rsid w:val="00A842CB"/>
    <w:pPr>
      <w:keepLines/>
      <w:spacing w:before="60"/>
    </w:pPr>
    <w:rPr>
      <w:rFonts w:ascii="Arial" w:eastAsia="Times New Roman" w:hAnsi="Arial" w:cs="Times New Roman"/>
      <w:sz w:val="18"/>
      <w:szCs w:val="20"/>
    </w:rPr>
    <w:tblPr/>
  </w:style>
  <w:style w:type="character" w:customStyle="1" w:styleId="Ttulo4Char">
    <w:name w:val="Título 4 Char"/>
    <w:basedOn w:val="Fontepargpadro"/>
    <w:link w:val="Ttulo4"/>
    <w:semiHidden/>
    <w:rsid w:val="00F04CE5"/>
    <w:rPr>
      <w:rFonts w:asciiTheme="majorHAnsi" w:eastAsiaTheme="majorEastAsia" w:hAnsiTheme="majorHAnsi" w:cstheme="majorBidi"/>
      <w:i/>
      <w:iCs/>
      <w:color w:val="365F91" w:themeColor="accent1" w:themeShade="BF"/>
      <w:sz w:val="24"/>
      <w:szCs w:val="24"/>
    </w:rPr>
  </w:style>
  <w:style w:type="character" w:customStyle="1" w:styleId="Ttulo5Char">
    <w:name w:val="Título 5 Char"/>
    <w:basedOn w:val="Fontepargpadro"/>
    <w:link w:val="Ttulo5"/>
    <w:semiHidden/>
    <w:rsid w:val="00F04CE5"/>
    <w:rPr>
      <w:rFonts w:asciiTheme="majorHAnsi" w:eastAsiaTheme="majorEastAsia" w:hAnsiTheme="majorHAnsi" w:cstheme="majorBidi"/>
      <w:color w:val="365F91" w:themeColor="accent1" w:themeShade="BF"/>
      <w:sz w:val="24"/>
      <w:szCs w:val="24"/>
    </w:rPr>
  </w:style>
  <w:style w:type="character" w:customStyle="1" w:styleId="Ttulo7Char">
    <w:name w:val="Título 7 Char"/>
    <w:basedOn w:val="Fontepargpadro"/>
    <w:link w:val="Ttulo7"/>
    <w:semiHidden/>
    <w:rsid w:val="00F04CE5"/>
    <w:rPr>
      <w:rFonts w:asciiTheme="majorHAnsi" w:eastAsiaTheme="majorEastAsia" w:hAnsiTheme="majorHAnsi" w:cstheme="majorBidi"/>
      <w:i/>
      <w:iCs/>
      <w:color w:val="243F60" w:themeColor="accent1" w:themeShade="7F"/>
      <w:sz w:val="24"/>
      <w:szCs w:val="24"/>
    </w:rPr>
  </w:style>
  <w:style w:type="paragraph" w:customStyle="1" w:styleId="pf0">
    <w:name w:val="pf0"/>
    <w:basedOn w:val="Normal"/>
    <w:rsid w:val="00F04CE5"/>
    <w:pPr>
      <w:spacing w:before="100" w:beforeAutospacing="1" w:after="100" w:afterAutospacing="1"/>
    </w:pPr>
    <w:rPr>
      <w:rFonts w:ascii="Times New Roman" w:eastAsia="Times New Roman" w:hAnsi="Times New Roman" w:cs="Times New Roman"/>
    </w:rPr>
  </w:style>
  <w:style w:type="paragraph" w:customStyle="1" w:styleId="13Subttulo">
    <w:name w:val="13. Subtítulo"/>
    <w:basedOn w:val="Normal"/>
    <w:rsid w:val="00F04CE5"/>
    <w:pPr>
      <w:spacing w:before="140" w:after="400" w:line="260" w:lineRule="atLeast"/>
      <w:ind w:hanging="720"/>
    </w:pPr>
    <w:rPr>
      <w:rFonts w:ascii="Times" w:eastAsia="Times New Roman" w:hAnsi="Times" w:cs="Times New Roman"/>
      <w:b/>
      <w:sz w:val="26"/>
      <w:szCs w:val="20"/>
      <w:lang w:val="en-US"/>
    </w:rPr>
  </w:style>
  <w:style w:type="table" w:customStyle="1" w:styleId="Tabelacomgrade2">
    <w:name w:val="Tabela com grade2"/>
    <w:basedOn w:val="Tabelanormal"/>
    <w:next w:val="Tabelacomgrade"/>
    <w:rsid w:val="00F04CE5"/>
    <w:pPr>
      <w:keepLines/>
      <w:spacing w:before="60"/>
    </w:pPr>
    <w:rPr>
      <w:rFonts w:ascii="Arial" w:eastAsia="Times New Roman" w:hAnsi="Arial" w:cs="Times New Roman"/>
      <w:sz w:val="18"/>
      <w:szCs w:val="20"/>
    </w:rPr>
    <w:tblPr/>
  </w:style>
  <w:style w:type="table" w:customStyle="1" w:styleId="Tabelacomgrade3">
    <w:name w:val="Tabela com grade3"/>
    <w:basedOn w:val="Tabelanormal"/>
    <w:next w:val="Tabelacomgrade"/>
    <w:uiPriority w:val="39"/>
    <w:rsid w:val="00F04CE5"/>
    <w:rPr>
      <w:rFonts w:ascii="Calibri" w:eastAsia="Calibri" w:hAnsi="Calibri" w:cs="Times New Roman"/>
      <w:lang w:eastAsia="en-US"/>
    </w:rPr>
    <w:tblPr/>
  </w:style>
  <w:style w:type="table" w:customStyle="1" w:styleId="Tabelacomgrade4">
    <w:name w:val="Tabela com grade4"/>
    <w:basedOn w:val="Tabelanormal"/>
    <w:next w:val="Tabelacomgrade"/>
    <w:uiPriority w:val="39"/>
    <w:rsid w:val="00F04CE5"/>
    <w:rPr>
      <w:rFonts w:ascii="Calibri" w:eastAsia="Calibri" w:hAnsi="Calibri" w:cs="Times New Roman"/>
      <w:lang w:eastAsia="en-US"/>
    </w:rPr>
    <w:tblPr/>
  </w:style>
  <w:style w:type="paragraph" w:styleId="Assinatura">
    <w:name w:val="Signature"/>
    <w:basedOn w:val="Normal"/>
    <w:link w:val="AssinaturaChar"/>
    <w:uiPriority w:val="99"/>
    <w:semiHidden/>
    <w:unhideWhenUsed/>
    <w:locked/>
    <w:rsid w:val="00F04CE5"/>
    <w:pPr>
      <w:ind w:left="4252"/>
    </w:pPr>
  </w:style>
  <w:style w:type="character" w:customStyle="1" w:styleId="AssinaturaChar">
    <w:name w:val="Assinatura Char"/>
    <w:basedOn w:val="Fontepargpadro"/>
    <w:link w:val="Assinatura"/>
    <w:uiPriority w:val="99"/>
    <w:semiHidden/>
    <w:rsid w:val="00F04CE5"/>
    <w:rPr>
      <w:sz w:val="24"/>
      <w:szCs w:val="24"/>
    </w:rPr>
  </w:style>
  <w:style w:type="paragraph" w:styleId="AssinaturadeEmail">
    <w:name w:val="E-mail Signature"/>
    <w:basedOn w:val="Normal"/>
    <w:link w:val="AssinaturadeEmailChar"/>
    <w:uiPriority w:val="99"/>
    <w:semiHidden/>
    <w:unhideWhenUsed/>
    <w:locked/>
    <w:rsid w:val="00F04CE5"/>
  </w:style>
  <w:style w:type="character" w:customStyle="1" w:styleId="AssinaturadeEmailChar">
    <w:name w:val="Assinatura de Email Char"/>
    <w:basedOn w:val="Fontepargpadro"/>
    <w:link w:val="AssinaturadeEmail"/>
    <w:uiPriority w:val="99"/>
    <w:semiHidden/>
    <w:rsid w:val="00F04CE5"/>
    <w:rPr>
      <w:sz w:val="24"/>
      <w:szCs w:val="24"/>
    </w:rPr>
  </w:style>
  <w:style w:type="paragraph" w:styleId="Bibliografia">
    <w:name w:val="Bibliography"/>
    <w:basedOn w:val="Normal"/>
    <w:next w:val="Normal"/>
    <w:uiPriority w:val="37"/>
    <w:semiHidden/>
    <w:unhideWhenUsed/>
    <w:rsid w:val="00F04CE5"/>
  </w:style>
  <w:style w:type="paragraph" w:styleId="Cabealhodamensagem">
    <w:name w:val="Message Header"/>
    <w:basedOn w:val="Normal"/>
    <w:link w:val="CabealhodamensagemChar"/>
    <w:uiPriority w:val="99"/>
    <w:semiHidden/>
    <w:unhideWhenUsed/>
    <w:locked/>
    <w:rsid w:val="00F04CE5"/>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CabealhodamensagemChar">
    <w:name w:val="Cabeçalho da mensagem Char"/>
    <w:basedOn w:val="Fontepargpadro"/>
    <w:link w:val="Cabealhodamensagem"/>
    <w:uiPriority w:val="99"/>
    <w:semiHidden/>
    <w:rsid w:val="00F04CE5"/>
    <w:rPr>
      <w:rFonts w:asciiTheme="majorHAnsi" w:eastAsiaTheme="majorEastAsia" w:hAnsiTheme="majorHAnsi" w:cstheme="majorBidi"/>
      <w:sz w:val="24"/>
      <w:szCs w:val="24"/>
      <w:shd w:val="pct20" w:color="auto" w:fill="auto"/>
    </w:rPr>
  </w:style>
  <w:style w:type="paragraph" w:styleId="CabealhodoSumrio">
    <w:name w:val="TOC Heading"/>
    <w:basedOn w:val="Ttulo1"/>
    <w:next w:val="Normal"/>
    <w:uiPriority w:val="39"/>
    <w:semiHidden/>
    <w:unhideWhenUsed/>
    <w:qFormat/>
    <w:rsid w:val="00F04CE5"/>
    <w:pPr>
      <w:keepNext/>
      <w:keepLines/>
      <w:tabs>
        <w:tab w:val="clear" w:pos="7285"/>
      </w:tabs>
      <w:spacing w:after="0"/>
      <w:outlineLvl w:val="9"/>
    </w:pPr>
    <w:rPr>
      <w:rFonts w:asciiTheme="majorHAnsi" w:eastAsiaTheme="majorEastAsia" w:hAnsiTheme="majorHAnsi" w:cstheme="majorBidi"/>
      <w:b w:val="0"/>
      <w:color w:val="365F91" w:themeColor="accent1" w:themeShade="BF"/>
      <w:sz w:val="32"/>
      <w:szCs w:val="32"/>
    </w:rPr>
  </w:style>
  <w:style w:type="paragraph" w:styleId="Citao">
    <w:name w:val="Quote"/>
    <w:basedOn w:val="Normal"/>
    <w:next w:val="Normal"/>
    <w:link w:val="CitaoChar"/>
    <w:uiPriority w:val="29"/>
    <w:qFormat/>
    <w:rsid w:val="00F04CE5"/>
    <w:pPr>
      <w:spacing w:before="200" w:after="160"/>
      <w:ind w:left="864" w:right="864"/>
      <w:jc w:val="center"/>
    </w:pPr>
    <w:rPr>
      <w:i/>
      <w:iCs/>
      <w:color w:val="404040" w:themeColor="text1" w:themeTint="BF"/>
    </w:rPr>
  </w:style>
  <w:style w:type="character" w:customStyle="1" w:styleId="CitaoChar">
    <w:name w:val="Citação Char"/>
    <w:basedOn w:val="Fontepargpadro"/>
    <w:link w:val="Citao"/>
    <w:uiPriority w:val="29"/>
    <w:rsid w:val="00F04CE5"/>
    <w:rPr>
      <w:i/>
      <w:iCs/>
      <w:color w:val="404040" w:themeColor="text1" w:themeTint="BF"/>
      <w:sz w:val="24"/>
      <w:szCs w:val="24"/>
    </w:rPr>
  </w:style>
  <w:style w:type="paragraph" w:styleId="CitaoIntensa">
    <w:name w:val="Intense Quote"/>
    <w:basedOn w:val="Normal"/>
    <w:next w:val="Normal"/>
    <w:link w:val="CitaoIntensaChar"/>
    <w:uiPriority w:val="30"/>
    <w:qFormat/>
    <w:rsid w:val="00F04CE5"/>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itaoIntensaChar">
    <w:name w:val="Citação Intensa Char"/>
    <w:basedOn w:val="Fontepargpadro"/>
    <w:link w:val="CitaoIntensa"/>
    <w:uiPriority w:val="30"/>
    <w:rsid w:val="00F04CE5"/>
    <w:rPr>
      <w:i/>
      <w:iCs/>
      <w:color w:val="4F81BD" w:themeColor="accent1"/>
      <w:sz w:val="24"/>
      <w:szCs w:val="24"/>
    </w:rPr>
  </w:style>
  <w:style w:type="paragraph" w:styleId="Commarcadores">
    <w:name w:val="List Bullet"/>
    <w:basedOn w:val="Normal"/>
    <w:uiPriority w:val="99"/>
    <w:semiHidden/>
    <w:unhideWhenUsed/>
    <w:locked/>
    <w:rsid w:val="00F04CE5"/>
    <w:pPr>
      <w:numPr>
        <w:numId w:val="35"/>
      </w:numPr>
      <w:ind w:left="0" w:firstLine="0"/>
      <w:contextualSpacing/>
    </w:pPr>
  </w:style>
  <w:style w:type="paragraph" w:styleId="Commarcadores3">
    <w:name w:val="List Bullet 3"/>
    <w:basedOn w:val="Normal"/>
    <w:uiPriority w:val="99"/>
    <w:semiHidden/>
    <w:unhideWhenUsed/>
    <w:locked/>
    <w:rsid w:val="00F04CE5"/>
    <w:pPr>
      <w:numPr>
        <w:numId w:val="36"/>
      </w:numPr>
      <w:ind w:left="0" w:firstLine="0"/>
      <w:contextualSpacing/>
    </w:pPr>
  </w:style>
  <w:style w:type="paragraph" w:styleId="Commarcadores4">
    <w:name w:val="List Bullet 4"/>
    <w:basedOn w:val="Normal"/>
    <w:uiPriority w:val="99"/>
    <w:semiHidden/>
    <w:unhideWhenUsed/>
    <w:locked/>
    <w:rsid w:val="00F04CE5"/>
    <w:pPr>
      <w:numPr>
        <w:numId w:val="37"/>
      </w:numPr>
      <w:ind w:left="0" w:firstLine="0"/>
      <w:contextualSpacing/>
    </w:pPr>
  </w:style>
  <w:style w:type="paragraph" w:styleId="Commarcadores5">
    <w:name w:val="List Bullet 5"/>
    <w:basedOn w:val="Normal"/>
    <w:uiPriority w:val="99"/>
    <w:semiHidden/>
    <w:unhideWhenUsed/>
    <w:locked/>
    <w:rsid w:val="00F04CE5"/>
    <w:pPr>
      <w:numPr>
        <w:numId w:val="38"/>
      </w:numPr>
      <w:tabs>
        <w:tab w:val="num" w:pos="360"/>
      </w:tabs>
      <w:ind w:left="0" w:firstLine="0"/>
      <w:contextualSpacing/>
    </w:pPr>
  </w:style>
  <w:style w:type="paragraph" w:styleId="Corpodetexto3">
    <w:name w:val="Body Text 3"/>
    <w:basedOn w:val="Normal"/>
    <w:link w:val="Corpodetexto3Char"/>
    <w:uiPriority w:val="99"/>
    <w:semiHidden/>
    <w:unhideWhenUsed/>
    <w:locked/>
    <w:rsid w:val="00F04CE5"/>
    <w:pPr>
      <w:spacing w:after="120"/>
    </w:pPr>
    <w:rPr>
      <w:sz w:val="16"/>
      <w:szCs w:val="16"/>
    </w:rPr>
  </w:style>
  <w:style w:type="character" w:customStyle="1" w:styleId="Corpodetexto3Char">
    <w:name w:val="Corpo de texto 3 Char"/>
    <w:basedOn w:val="Fontepargpadro"/>
    <w:link w:val="Corpodetexto3"/>
    <w:uiPriority w:val="99"/>
    <w:semiHidden/>
    <w:rsid w:val="00F04CE5"/>
    <w:rPr>
      <w:sz w:val="16"/>
      <w:szCs w:val="16"/>
    </w:rPr>
  </w:style>
  <w:style w:type="paragraph" w:styleId="Data">
    <w:name w:val="Date"/>
    <w:basedOn w:val="Normal"/>
    <w:next w:val="Normal"/>
    <w:link w:val="DataChar"/>
    <w:uiPriority w:val="99"/>
    <w:semiHidden/>
    <w:unhideWhenUsed/>
    <w:locked/>
    <w:rsid w:val="00F04CE5"/>
  </w:style>
  <w:style w:type="character" w:customStyle="1" w:styleId="DataChar">
    <w:name w:val="Data Char"/>
    <w:basedOn w:val="Fontepargpadro"/>
    <w:link w:val="Data"/>
    <w:uiPriority w:val="99"/>
    <w:semiHidden/>
    <w:rsid w:val="00F04CE5"/>
    <w:rPr>
      <w:sz w:val="24"/>
      <w:szCs w:val="24"/>
    </w:rPr>
  </w:style>
  <w:style w:type="paragraph" w:styleId="Destinatrio">
    <w:name w:val="envelope address"/>
    <w:basedOn w:val="Normal"/>
    <w:uiPriority w:val="99"/>
    <w:semiHidden/>
    <w:unhideWhenUsed/>
    <w:locked/>
    <w:rsid w:val="00F04CE5"/>
    <w:pPr>
      <w:framePr w:w="7938" w:h="1984" w:hRule="exact" w:hSpace="141" w:wrap="auto" w:hAnchor="page" w:xAlign="center" w:yAlign="bottom"/>
      <w:ind w:left="2835"/>
    </w:pPr>
    <w:rPr>
      <w:rFonts w:asciiTheme="majorHAnsi" w:eastAsiaTheme="majorEastAsia" w:hAnsiTheme="majorHAnsi" w:cstheme="majorBidi"/>
    </w:rPr>
  </w:style>
  <w:style w:type="paragraph" w:styleId="Encerramento">
    <w:name w:val="Closing"/>
    <w:basedOn w:val="Normal"/>
    <w:link w:val="EncerramentoChar"/>
    <w:uiPriority w:val="99"/>
    <w:semiHidden/>
    <w:unhideWhenUsed/>
    <w:locked/>
    <w:rsid w:val="00F04CE5"/>
    <w:pPr>
      <w:ind w:left="4252"/>
    </w:pPr>
  </w:style>
  <w:style w:type="character" w:customStyle="1" w:styleId="EncerramentoChar">
    <w:name w:val="Encerramento Char"/>
    <w:basedOn w:val="Fontepargpadro"/>
    <w:link w:val="Encerramento"/>
    <w:uiPriority w:val="99"/>
    <w:semiHidden/>
    <w:rsid w:val="00F04CE5"/>
    <w:rPr>
      <w:sz w:val="24"/>
      <w:szCs w:val="24"/>
    </w:rPr>
  </w:style>
  <w:style w:type="paragraph" w:styleId="EndereoHTML">
    <w:name w:val="HTML Address"/>
    <w:basedOn w:val="Normal"/>
    <w:link w:val="EndereoHTMLChar"/>
    <w:uiPriority w:val="99"/>
    <w:semiHidden/>
    <w:unhideWhenUsed/>
    <w:locked/>
    <w:rsid w:val="00F04CE5"/>
    <w:rPr>
      <w:i/>
      <w:iCs/>
    </w:rPr>
  </w:style>
  <w:style w:type="character" w:customStyle="1" w:styleId="EndereoHTMLChar">
    <w:name w:val="Endereço HTML Char"/>
    <w:basedOn w:val="Fontepargpadro"/>
    <w:link w:val="EndereoHTML"/>
    <w:uiPriority w:val="99"/>
    <w:semiHidden/>
    <w:rsid w:val="00F04CE5"/>
    <w:rPr>
      <w:i/>
      <w:iCs/>
      <w:sz w:val="24"/>
      <w:szCs w:val="24"/>
    </w:rPr>
  </w:style>
  <w:style w:type="paragraph" w:styleId="ndicedeautoridades">
    <w:name w:val="table of authorities"/>
    <w:basedOn w:val="Normal"/>
    <w:next w:val="Normal"/>
    <w:uiPriority w:val="99"/>
    <w:semiHidden/>
    <w:unhideWhenUsed/>
    <w:locked/>
    <w:rsid w:val="00F04CE5"/>
    <w:pPr>
      <w:ind w:left="240" w:hanging="240"/>
    </w:pPr>
  </w:style>
  <w:style w:type="paragraph" w:styleId="ndicedeilustraes">
    <w:name w:val="table of figures"/>
    <w:basedOn w:val="Normal"/>
    <w:next w:val="Normal"/>
    <w:uiPriority w:val="99"/>
    <w:semiHidden/>
    <w:unhideWhenUsed/>
    <w:locked/>
    <w:rsid w:val="00F04CE5"/>
  </w:style>
  <w:style w:type="paragraph" w:styleId="Lista">
    <w:name w:val="List"/>
    <w:basedOn w:val="Normal"/>
    <w:uiPriority w:val="99"/>
    <w:semiHidden/>
    <w:unhideWhenUsed/>
    <w:locked/>
    <w:rsid w:val="00F04CE5"/>
    <w:pPr>
      <w:ind w:left="283" w:hanging="283"/>
      <w:contextualSpacing/>
    </w:pPr>
  </w:style>
  <w:style w:type="paragraph" w:styleId="Lista2">
    <w:name w:val="List 2"/>
    <w:basedOn w:val="Normal"/>
    <w:uiPriority w:val="99"/>
    <w:semiHidden/>
    <w:unhideWhenUsed/>
    <w:locked/>
    <w:rsid w:val="00F04CE5"/>
    <w:pPr>
      <w:ind w:left="566" w:hanging="283"/>
      <w:contextualSpacing/>
    </w:pPr>
  </w:style>
  <w:style w:type="paragraph" w:styleId="Lista3">
    <w:name w:val="List 3"/>
    <w:basedOn w:val="Normal"/>
    <w:uiPriority w:val="99"/>
    <w:semiHidden/>
    <w:unhideWhenUsed/>
    <w:locked/>
    <w:rsid w:val="00F04CE5"/>
    <w:pPr>
      <w:ind w:left="849" w:hanging="283"/>
      <w:contextualSpacing/>
    </w:pPr>
  </w:style>
  <w:style w:type="paragraph" w:styleId="Lista4">
    <w:name w:val="List 4"/>
    <w:basedOn w:val="Normal"/>
    <w:uiPriority w:val="99"/>
    <w:semiHidden/>
    <w:unhideWhenUsed/>
    <w:locked/>
    <w:rsid w:val="00F04CE5"/>
    <w:pPr>
      <w:ind w:left="1132" w:hanging="283"/>
      <w:contextualSpacing/>
    </w:pPr>
  </w:style>
  <w:style w:type="paragraph" w:styleId="Lista5">
    <w:name w:val="List 5"/>
    <w:basedOn w:val="Normal"/>
    <w:uiPriority w:val="99"/>
    <w:semiHidden/>
    <w:unhideWhenUsed/>
    <w:locked/>
    <w:rsid w:val="00F04CE5"/>
    <w:pPr>
      <w:ind w:left="1415" w:hanging="283"/>
      <w:contextualSpacing/>
    </w:pPr>
  </w:style>
  <w:style w:type="paragraph" w:styleId="Listadecontinuao">
    <w:name w:val="List Continue"/>
    <w:basedOn w:val="Normal"/>
    <w:uiPriority w:val="99"/>
    <w:semiHidden/>
    <w:unhideWhenUsed/>
    <w:locked/>
    <w:rsid w:val="00F04CE5"/>
    <w:pPr>
      <w:spacing w:after="120"/>
      <w:ind w:left="283"/>
      <w:contextualSpacing/>
    </w:pPr>
  </w:style>
  <w:style w:type="paragraph" w:styleId="Listadecontinuao2">
    <w:name w:val="List Continue 2"/>
    <w:basedOn w:val="Normal"/>
    <w:uiPriority w:val="99"/>
    <w:semiHidden/>
    <w:unhideWhenUsed/>
    <w:locked/>
    <w:rsid w:val="00F04CE5"/>
    <w:pPr>
      <w:spacing w:after="120"/>
      <w:ind w:left="566"/>
      <w:contextualSpacing/>
    </w:pPr>
  </w:style>
  <w:style w:type="paragraph" w:styleId="Listadecontinuao3">
    <w:name w:val="List Continue 3"/>
    <w:basedOn w:val="Normal"/>
    <w:uiPriority w:val="99"/>
    <w:semiHidden/>
    <w:unhideWhenUsed/>
    <w:locked/>
    <w:rsid w:val="00F04CE5"/>
    <w:pPr>
      <w:spacing w:after="120"/>
      <w:ind w:left="849"/>
      <w:contextualSpacing/>
    </w:pPr>
  </w:style>
  <w:style w:type="paragraph" w:styleId="Listadecontinuao4">
    <w:name w:val="List Continue 4"/>
    <w:basedOn w:val="Normal"/>
    <w:uiPriority w:val="99"/>
    <w:semiHidden/>
    <w:unhideWhenUsed/>
    <w:locked/>
    <w:rsid w:val="00F04CE5"/>
    <w:pPr>
      <w:spacing w:after="120"/>
      <w:ind w:left="1132"/>
      <w:contextualSpacing/>
    </w:pPr>
  </w:style>
  <w:style w:type="paragraph" w:styleId="Listadecontinuao5">
    <w:name w:val="List Continue 5"/>
    <w:basedOn w:val="Normal"/>
    <w:uiPriority w:val="99"/>
    <w:semiHidden/>
    <w:unhideWhenUsed/>
    <w:locked/>
    <w:rsid w:val="00F04CE5"/>
    <w:pPr>
      <w:spacing w:after="120"/>
      <w:ind w:left="1415"/>
      <w:contextualSpacing/>
    </w:pPr>
  </w:style>
  <w:style w:type="paragraph" w:styleId="MapadoDocumento">
    <w:name w:val="Document Map"/>
    <w:basedOn w:val="Normal"/>
    <w:link w:val="MapadoDocumentoChar"/>
    <w:uiPriority w:val="99"/>
    <w:semiHidden/>
    <w:unhideWhenUsed/>
    <w:locked/>
    <w:rsid w:val="00F04CE5"/>
    <w:rPr>
      <w:rFonts w:ascii="Segoe UI" w:hAnsi="Segoe UI" w:cs="Segoe UI"/>
      <w:sz w:val="16"/>
      <w:szCs w:val="16"/>
    </w:rPr>
  </w:style>
  <w:style w:type="character" w:customStyle="1" w:styleId="MapadoDocumentoChar">
    <w:name w:val="Mapa do Documento Char"/>
    <w:basedOn w:val="Fontepargpadro"/>
    <w:link w:val="MapadoDocumento"/>
    <w:uiPriority w:val="99"/>
    <w:semiHidden/>
    <w:rsid w:val="00F04CE5"/>
    <w:rPr>
      <w:rFonts w:ascii="Segoe UI" w:hAnsi="Segoe UI" w:cs="Segoe UI"/>
      <w:sz w:val="16"/>
      <w:szCs w:val="16"/>
    </w:rPr>
  </w:style>
  <w:style w:type="paragraph" w:styleId="Numerada2">
    <w:name w:val="List Number 2"/>
    <w:basedOn w:val="Normal"/>
    <w:uiPriority w:val="99"/>
    <w:semiHidden/>
    <w:unhideWhenUsed/>
    <w:locked/>
    <w:rsid w:val="00F04CE5"/>
    <w:pPr>
      <w:numPr>
        <w:numId w:val="39"/>
      </w:numPr>
      <w:tabs>
        <w:tab w:val="num" w:pos="360"/>
      </w:tabs>
      <w:ind w:left="0" w:firstLine="0"/>
      <w:contextualSpacing/>
    </w:pPr>
  </w:style>
  <w:style w:type="paragraph" w:styleId="Numerada3">
    <w:name w:val="List Number 3"/>
    <w:basedOn w:val="Normal"/>
    <w:uiPriority w:val="99"/>
    <w:semiHidden/>
    <w:unhideWhenUsed/>
    <w:locked/>
    <w:rsid w:val="00F04CE5"/>
    <w:pPr>
      <w:numPr>
        <w:numId w:val="40"/>
      </w:numPr>
      <w:tabs>
        <w:tab w:val="num" w:pos="360"/>
      </w:tabs>
      <w:ind w:left="0" w:firstLine="0"/>
      <w:contextualSpacing/>
    </w:pPr>
  </w:style>
  <w:style w:type="paragraph" w:styleId="Numerada4">
    <w:name w:val="List Number 4"/>
    <w:basedOn w:val="Normal"/>
    <w:uiPriority w:val="99"/>
    <w:semiHidden/>
    <w:unhideWhenUsed/>
    <w:locked/>
    <w:rsid w:val="00F04CE5"/>
    <w:pPr>
      <w:numPr>
        <w:numId w:val="41"/>
      </w:numPr>
      <w:tabs>
        <w:tab w:val="num" w:pos="360"/>
      </w:tabs>
      <w:ind w:left="0" w:firstLine="0"/>
      <w:contextualSpacing/>
    </w:pPr>
  </w:style>
  <w:style w:type="paragraph" w:styleId="Numerada5">
    <w:name w:val="List Number 5"/>
    <w:basedOn w:val="Normal"/>
    <w:uiPriority w:val="99"/>
    <w:semiHidden/>
    <w:unhideWhenUsed/>
    <w:locked/>
    <w:rsid w:val="00F04CE5"/>
    <w:pPr>
      <w:numPr>
        <w:numId w:val="42"/>
      </w:numPr>
      <w:tabs>
        <w:tab w:val="num" w:pos="360"/>
      </w:tabs>
      <w:ind w:left="0" w:firstLine="0"/>
      <w:contextualSpacing/>
    </w:pPr>
  </w:style>
  <w:style w:type="paragraph" w:styleId="Primeirorecuodecorpodetexto">
    <w:name w:val="Body Text First Indent"/>
    <w:basedOn w:val="Corpodetexto"/>
    <w:link w:val="PrimeirorecuodecorpodetextoChar"/>
    <w:uiPriority w:val="99"/>
    <w:semiHidden/>
    <w:unhideWhenUsed/>
    <w:locked/>
    <w:rsid w:val="00F04CE5"/>
    <w:pPr>
      <w:suppressAutoHyphens w:val="0"/>
      <w:autoSpaceDE/>
      <w:autoSpaceDN/>
      <w:adjustRightInd/>
      <w:ind w:firstLine="360"/>
      <w:jc w:val="left"/>
    </w:pPr>
    <w:rPr>
      <w:sz w:val="24"/>
      <w:szCs w:val="24"/>
    </w:rPr>
  </w:style>
  <w:style w:type="character" w:customStyle="1" w:styleId="PrimeirorecuodecorpodetextoChar">
    <w:name w:val="Primeiro recuo de corpo de texto Char"/>
    <w:basedOn w:val="CorpodetextoChar"/>
    <w:link w:val="Primeirorecuodecorpodetexto"/>
    <w:uiPriority w:val="99"/>
    <w:semiHidden/>
    <w:rsid w:val="00F04CE5"/>
    <w:rPr>
      <w:rFonts w:ascii="Arial" w:hAnsi="Arial" w:cs="Times New Roman"/>
      <w:sz w:val="24"/>
      <w:szCs w:val="24"/>
    </w:rPr>
  </w:style>
  <w:style w:type="paragraph" w:styleId="Primeirorecuodecorpodetexto2">
    <w:name w:val="Body Text First Indent 2"/>
    <w:basedOn w:val="Recuodecorpodetexto"/>
    <w:link w:val="Primeirorecuodecorpodetexto2Char"/>
    <w:uiPriority w:val="99"/>
    <w:semiHidden/>
    <w:unhideWhenUsed/>
    <w:locked/>
    <w:rsid w:val="00F04CE5"/>
    <w:pPr>
      <w:spacing w:line="240" w:lineRule="auto"/>
      <w:ind w:left="360" w:firstLine="360"/>
    </w:pPr>
    <w:rPr>
      <w:sz w:val="24"/>
      <w:szCs w:val="24"/>
    </w:rPr>
  </w:style>
  <w:style w:type="character" w:customStyle="1" w:styleId="Primeirorecuodecorpodetexto2Char">
    <w:name w:val="Primeiro recuo de corpo de texto 2 Char"/>
    <w:basedOn w:val="RecuodecorpodetextoChar"/>
    <w:link w:val="Primeirorecuodecorpodetexto2"/>
    <w:uiPriority w:val="99"/>
    <w:semiHidden/>
    <w:rsid w:val="00F04CE5"/>
    <w:rPr>
      <w:rFonts w:ascii="Arial" w:hAnsi="Arial" w:cs="Times New Roman"/>
      <w:sz w:val="24"/>
      <w:szCs w:val="24"/>
    </w:rPr>
  </w:style>
  <w:style w:type="paragraph" w:styleId="Recuonormal">
    <w:name w:val="Normal Indent"/>
    <w:basedOn w:val="Normal"/>
    <w:uiPriority w:val="99"/>
    <w:semiHidden/>
    <w:unhideWhenUsed/>
    <w:locked/>
    <w:rsid w:val="00F04CE5"/>
    <w:pPr>
      <w:ind w:left="708"/>
    </w:pPr>
  </w:style>
  <w:style w:type="paragraph" w:styleId="Remetente">
    <w:name w:val="envelope return"/>
    <w:basedOn w:val="Normal"/>
    <w:uiPriority w:val="99"/>
    <w:semiHidden/>
    <w:unhideWhenUsed/>
    <w:locked/>
    <w:rsid w:val="00F04CE5"/>
    <w:rPr>
      <w:rFonts w:asciiTheme="majorHAnsi" w:eastAsiaTheme="majorEastAsia" w:hAnsiTheme="majorHAnsi" w:cstheme="majorBidi"/>
      <w:sz w:val="20"/>
      <w:szCs w:val="20"/>
    </w:rPr>
  </w:style>
  <w:style w:type="paragraph" w:styleId="Remissivo1">
    <w:name w:val="index 1"/>
    <w:basedOn w:val="Normal"/>
    <w:next w:val="Normal"/>
    <w:autoRedefine/>
    <w:uiPriority w:val="99"/>
    <w:semiHidden/>
    <w:unhideWhenUsed/>
    <w:locked/>
    <w:rsid w:val="00F04CE5"/>
    <w:pPr>
      <w:ind w:left="240" w:hanging="240"/>
    </w:pPr>
  </w:style>
  <w:style w:type="paragraph" w:styleId="Remissivo2">
    <w:name w:val="index 2"/>
    <w:basedOn w:val="Normal"/>
    <w:next w:val="Normal"/>
    <w:autoRedefine/>
    <w:uiPriority w:val="99"/>
    <w:semiHidden/>
    <w:unhideWhenUsed/>
    <w:locked/>
    <w:rsid w:val="00F04CE5"/>
    <w:pPr>
      <w:ind w:left="480" w:hanging="240"/>
    </w:pPr>
  </w:style>
  <w:style w:type="paragraph" w:styleId="Remissivo3">
    <w:name w:val="index 3"/>
    <w:basedOn w:val="Normal"/>
    <w:next w:val="Normal"/>
    <w:autoRedefine/>
    <w:uiPriority w:val="99"/>
    <w:semiHidden/>
    <w:unhideWhenUsed/>
    <w:locked/>
    <w:rsid w:val="00F04CE5"/>
    <w:pPr>
      <w:ind w:left="720" w:hanging="240"/>
    </w:pPr>
  </w:style>
  <w:style w:type="paragraph" w:styleId="Remissivo4">
    <w:name w:val="index 4"/>
    <w:basedOn w:val="Normal"/>
    <w:next w:val="Normal"/>
    <w:autoRedefine/>
    <w:uiPriority w:val="99"/>
    <w:semiHidden/>
    <w:unhideWhenUsed/>
    <w:locked/>
    <w:rsid w:val="00F04CE5"/>
    <w:pPr>
      <w:ind w:left="960" w:hanging="240"/>
    </w:pPr>
  </w:style>
  <w:style w:type="paragraph" w:styleId="Remissivo5">
    <w:name w:val="index 5"/>
    <w:basedOn w:val="Normal"/>
    <w:next w:val="Normal"/>
    <w:autoRedefine/>
    <w:uiPriority w:val="99"/>
    <w:semiHidden/>
    <w:unhideWhenUsed/>
    <w:locked/>
    <w:rsid w:val="00F04CE5"/>
    <w:pPr>
      <w:ind w:left="1200" w:hanging="240"/>
    </w:pPr>
  </w:style>
  <w:style w:type="paragraph" w:styleId="Remissivo6">
    <w:name w:val="index 6"/>
    <w:basedOn w:val="Normal"/>
    <w:next w:val="Normal"/>
    <w:autoRedefine/>
    <w:uiPriority w:val="99"/>
    <w:semiHidden/>
    <w:unhideWhenUsed/>
    <w:locked/>
    <w:rsid w:val="00F04CE5"/>
    <w:pPr>
      <w:ind w:left="1440" w:hanging="240"/>
    </w:pPr>
  </w:style>
  <w:style w:type="paragraph" w:styleId="Remissivo7">
    <w:name w:val="index 7"/>
    <w:basedOn w:val="Normal"/>
    <w:next w:val="Normal"/>
    <w:autoRedefine/>
    <w:uiPriority w:val="99"/>
    <w:semiHidden/>
    <w:unhideWhenUsed/>
    <w:locked/>
    <w:rsid w:val="00F04CE5"/>
    <w:pPr>
      <w:ind w:left="1680" w:hanging="240"/>
    </w:pPr>
  </w:style>
  <w:style w:type="paragraph" w:styleId="Remissivo8">
    <w:name w:val="index 8"/>
    <w:basedOn w:val="Normal"/>
    <w:next w:val="Normal"/>
    <w:autoRedefine/>
    <w:uiPriority w:val="99"/>
    <w:semiHidden/>
    <w:unhideWhenUsed/>
    <w:locked/>
    <w:rsid w:val="00F04CE5"/>
    <w:pPr>
      <w:ind w:left="1920" w:hanging="240"/>
    </w:pPr>
  </w:style>
  <w:style w:type="paragraph" w:styleId="Remissivo9">
    <w:name w:val="index 9"/>
    <w:basedOn w:val="Normal"/>
    <w:next w:val="Normal"/>
    <w:autoRedefine/>
    <w:uiPriority w:val="99"/>
    <w:semiHidden/>
    <w:unhideWhenUsed/>
    <w:locked/>
    <w:rsid w:val="00F04CE5"/>
    <w:pPr>
      <w:ind w:left="2160" w:hanging="240"/>
    </w:pPr>
  </w:style>
  <w:style w:type="paragraph" w:styleId="Saudao">
    <w:name w:val="Salutation"/>
    <w:basedOn w:val="Normal"/>
    <w:next w:val="Normal"/>
    <w:link w:val="SaudaoChar"/>
    <w:uiPriority w:val="99"/>
    <w:semiHidden/>
    <w:unhideWhenUsed/>
    <w:locked/>
    <w:rsid w:val="00F04CE5"/>
  </w:style>
  <w:style w:type="character" w:customStyle="1" w:styleId="SaudaoChar">
    <w:name w:val="Saudação Char"/>
    <w:basedOn w:val="Fontepargpadro"/>
    <w:link w:val="Saudao"/>
    <w:uiPriority w:val="99"/>
    <w:semiHidden/>
    <w:rsid w:val="00F04CE5"/>
    <w:rPr>
      <w:sz w:val="24"/>
      <w:szCs w:val="24"/>
    </w:rPr>
  </w:style>
  <w:style w:type="paragraph" w:styleId="Subttulo">
    <w:name w:val="Subtitle"/>
    <w:basedOn w:val="Normal"/>
    <w:next w:val="Normal"/>
    <w:link w:val="SubttuloChar"/>
    <w:qFormat/>
    <w:rsid w:val="00F04CE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tuloChar">
    <w:name w:val="Subtítulo Char"/>
    <w:basedOn w:val="Fontepargpadro"/>
    <w:link w:val="Subttulo"/>
    <w:rsid w:val="00F04CE5"/>
    <w:rPr>
      <w:rFonts w:asciiTheme="minorHAnsi" w:eastAsiaTheme="minorEastAsia" w:hAnsiTheme="minorHAnsi" w:cstheme="minorBidi"/>
      <w:color w:val="5A5A5A" w:themeColor="text1" w:themeTint="A5"/>
      <w:spacing w:val="15"/>
    </w:rPr>
  </w:style>
  <w:style w:type="paragraph" w:styleId="Sumrio2">
    <w:name w:val="toc 2"/>
    <w:basedOn w:val="Normal"/>
    <w:next w:val="Normal"/>
    <w:autoRedefine/>
    <w:rsid w:val="00F04CE5"/>
    <w:pPr>
      <w:spacing w:after="100"/>
      <w:ind w:left="240"/>
    </w:pPr>
  </w:style>
  <w:style w:type="paragraph" w:styleId="Sumrio3">
    <w:name w:val="toc 3"/>
    <w:basedOn w:val="Normal"/>
    <w:next w:val="Normal"/>
    <w:autoRedefine/>
    <w:rsid w:val="00F04CE5"/>
    <w:pPr>
      <w:spacing w:after="100"/>
      <w:ind w:left="480"/>
    </w:pPr>
  </w:style>
  <w:style w:type="paragraph" w:styleId="Sumrio4">
    <w:name w:val="toc 4"/>
    <w:basedOn w:val="Normal"/>
    <w:next w:val="Normal"/>
    <w:autoRedefine/>
    <w:rsid w:val="00F04CE5"/>
    <w:pPr>
      <w:spacing w:after="100"/>
      <w:ind w:left="720"/>
    </w:pPr>
  </w:style>
  <w:style w:type="paragraph" w:styleId="Sumrio5">
    <w:name w:val="toc 5"/>
    <w:basedOn w:val="Normal"/>
    <w:next w:val="Normal"/>
    <w:autoRedefine/>
    <w:rsid w:val="00F04CE5"/>
    <w:pPr>
      <w:spacing w:after="100"/>
      <w:ind w:left="960"/>
    </w:pPr>
  </w:style>
  <w:style w:type="paragraph" w:styleId="Sumrio6">
    <w:name w:val="toc 6"/>
    <w:basedOn w:val="Normal"/>
    <w:next w:val="Normal"/>
    <w:autoRedefine/>
    <w:rsid w:val="00F04CE5"/>
    <w:pPr>
      <w:spacing w:after="100"/>
      <w:ind w:left="1200"/>
    </w:pPr>
  </w:style>
  <w:style w:type="paragraph" w:styleId="Sumrio7">
    <w:name w:val="toc 7"/>
    <w:basedOn w:val="Normal"/>
    <w:next w:val="Normal"/>
    <w:autoRedefine/>
    <w:rsid w:val="00F04CE5"/>
    <w:pPr>
      <w:spacing w:after="100"/>
      <w:ind w:left="1440"/>
    </w:pPr>
  </w:style>
  <w:style w:type="paragraph" w:styleId="Sumrio8">
    <w:name w:val="toc 8"/>
    <w:basedOn w:val="Normal"/>
    <w:next w:val="Normal"/>
    <w:autoRedefine/>
    <w:rsid w:val="00F04CE5"/>
    <w:pPr>
      <w:spacing w:after="100"/>
      <w:ind w:left="1680"/>
    </w:pPr>
  </w:style>
  <w:style w:type="paragraph" w:styleId="Sumrio9">
    <w:name w:val="toc 9"/>
    <w:basedOn w:val="Normal"/>
    <w:next w:val="Normal"/>
    <w:autoRedefine/>
    <w:rsid w:val="00F04CE5"/>
    <w:pPr>
      <w:spacing w:after="100"/>
      <w:ind w:left="1920"/>
    </w:pPr>
  </w:style>
  <w:style w:type="paragraph" w:styleId="Textodemacro">
    <w:name w:val="macro"/>
    <w:link w:val="TextodemacroChar"/>
    <w:uiPriority w:val="99"/>
    <w:semiHidden/>
    <w:unhideWhenUsed/>
    <w:locked/>
    <w:rsid w:val="00F04CE5"/>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rPr>
  </w:style>
  <w:style w:type="character" w:customStyle="1" w:styleId="TextodemacroChar">
    <w:name w:val="Texto de macro Char"/>
    <w:basedOn w:val="Fontepargpadro"/>
    <w:link w:val="Textodemacro"/>
    <w:uiPriority w:val="99"/>
    <w:semiHidden/>
    <w:rsid w:val="00F04CE5"/>
    <w:rPr>
      <w:rFonts w:ascii="Consolas" w:hAnsi="Consolas"/>
      <w:sz w:val="20"/>
      <w:szCs w:val="20"/>
    </w:rPr>
  </w:style>
  <w:style w:type="paragraph" w:styleId="Textodenotadefim">
    <w:name w:val="endnote text"/>
    <w:basedOn w:val="Normal"/>
    <w:link w:val="TextodenotadefimChar"/>
    <w:uiPriority w:val="99"/>
    <w:semiHidden/>
    <w:unhideWhenUsed/>
    <w:locked/>
    <w:rsid w:val="00F04CE5"/>
    <w:rPr>
      <w:sz w:val="20"/>
      <w:szCs w:val="20"/>
    </w:rPr>
  </w:style>
  <w:style w:type="character" w:customStyle="1" w:styleId="TextodenotadefimChar">
    <w:name w:val="Texto de nota de fim Char"/>
    <w:basedOn w:val="Fontepargpadro"/>
    <w:link w:val="Textodenotadefim"/>
    <w:uiPriority w:val="99"/>
    <w:semiHidden/>
    <w:rsid w:val="00F04CE5"/>
    <w:rPr>
      <w:sz w:val="20"/>
      <w:szCs w:val="20"/>
    </w:rPr>
  </w:style>
  <w:style w:type="paragraph" w:styleId="Textoembloco">
    <w:name w:val="Block Text"/>
    <w:basedOn w:val="Normal"/>
    <w:uiPriority w:val="99"/>
    <w:semiHidden/>
    <w:unhideWhenUsed/>
    <w:locked/>
    <w:rsid w:val="00F04CE5"/>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TextosemFormatao">
    <w:name w:val="Plain Text"/>
    <w:basedOn w:val="Normal"/>
    <w:link w:val="TextosemFormataoChar"/>
    <w:uiPriority w:val="99"/>
    <w:semiHidden/>
    <w:unhideWhenUsed/>
    <w:locked/>
    <w:rsid w:val="00F04CE5"/>
    <w:rPr>
      <w:rFonts w:ascii="Consolas" w:hAnsi="Consolas"/>
      <w:sz w:val="21"/>
      <w:szCs w:val="21"/>
    </w:rPr>
  </w:style>
  <w:style w:type="character" w:customStyle="1" w:styleId="TextosemFormataoChar">
    <w:name w:val="Texto sem Formatação Char"/>
    <w:basedOn w:val="Fontepargpadro"/>
    <w:link w:val="TextosemFormatao"/>
    <w:uiPriority w:val="99"/>
    <w:semiHidden/>
    <w:rsid w:val="00F04CE5"/>
    <w:rPr>
      <w:rFonts w:ascii="Consolas" w:hAnsi="Consolas"/>
      <w:sz w:val="21"/>
      <w:szCs w:val="21"/>
    </w:rPr>
  </w:style>
  <w:style w:type="paragraph" w:styleId="Ttulodanota">
    <w:name w:val="Note Heading"/>
    <w:basedOn w:val="Normal"/>
    <w:next w:val="Normal"/>
    <w:link w:val="TtulodanotaChar"/>
    <w:uiPriority w:val="99"/>
    <w:semiHidden/>
    <w:unhideWhenUsed/>
    <w:locked/>
    <w:rsid w:val="00F04CE5"/>
  </w:style>
  <w:style w:type="character" w:customStyle="1" w:styleId="TtulodanotaChar">
    <w:name w:val="Título da nota Char"/>
    <w:basedOn w:val="Fontepargpadro"/>
    <w:link w:val="Ttulodanota"/>
    <w:uiPriority w:val="99"/>
    <w:semiHidden/>
    <w:rsid w:val="00F04CE5"/>
    <w:rPr>
      <w:sz w:val="24"/>
      <w:szCs w:val="24"/>
    </w:rPr>
  </w:style>
  <w:style w:type="paragraph" w:styleId="Ttulodendicedeautoridades">
    <w:name w:val="toa heading"/>
    <w:basedOn w:val="Normal"/>
    <w:next w:val="Normal"/>
    <w:uiPriority w:val="99"/>
    <w:semiHidden/>
    <w:unhideWhenUsed/>
    <w:locked/>
    <w:rsid w:val="00F04CE5"/>
    <w:pPr>
      <w:spacing w:before="120"/>
    </w:pPr>
    <w:rPr>
      <w:rFonts w:asciiTheme="majorHAnsi" w:eastAsiaTheme="majorEastAsia" w:hAnsiTheme="majorHAnsi" w:cstheme="majorBidi"/>
      <w:b/>
      <w:bCs/>
    </w:rPr>
  </w:style>
  <w:style w:type="paragraph" w:styleId="Ttulodendiceremissivo">
    <w:name w:val="index heading"/>
    <w:basedOn w:val="Normal"/>
    <w:next w:val="Remissivo1"/>
    <w:uiPriority w:val="99"/>
    <w:semiHidden/>
    <w:unhideWhenUsed/>
    <w:locked/>
    <w:rsid w:val="00F04CE5"/>
    <w:rPr>
      <w:rFonts w:asciiTheme="majorHAnsi" w:eastAsiaTheme="majorEastAsia" w:hAnsiTheme="majorHAnsi" w:cstheme="majorBidi"/>
      <w:b/>
      <w:bCs/>
    </w:rPr>
  </w:style>
  <w:style w:type="table" w:customStyle="1" w:styleId="Tabelacomgrade5">
    <w:name w:val="Tabela com grade5"/>
    <w:basedOn w:val="Tabelanormal"/>
    <w:next w:val="Tabelacomgrade"/>
    <w:rsid w:val="00521D86"/>
    <w:pPr>
      <w:keepLines/>
      <w:spacing w:before="60"/>
    </w:pPr>
    <w:rPr>
      <w:rFonts w:ascii="Arial" w:eastAsia="Times New Roman" w:hAnsi="Arial" w:cs="Times New Roman"/>
      <w:sz w:val="1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Tabelacomgrade6">
    <w:name w:val="Tabela com grade6"/>
    <w:basedOn w:val="Tabelanormal"/>
    <w:next w:val="Tabelacomgrade"/>
    <w:uiPriority w:val="39"/>
    <w:rsid w:val="00B14BA6"/>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
    <w:name w:val="Tabela com grade7"/>
    <w:basedOn w:val="Tabelanormal"/>
    <w:next w:val="Tabelacomgrade"/>
    <w:rsid w:val="00794A1C"/>
    <w:pPr>
      <w:keepLines/>
      <w:spacing w:before="60"/>
    </w:pPr>
    <w:rPr>
      <w:rFonts w:ascii="Arial" w:eastAsia="Times New Roman" w:hAnsi="Arial" w:cs="Times New Roman"/>
      <w:sz w:val="1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Tabelacomgrade8">
    <w:name w:val="Tabela com grade8"/>
    <w:basedOn w:val="Tabelanormal"/>
    <w:next w:val="Tabelacomgrade"/>
    <w:uiPriority w:val="39"/>
    <w:rsid w:val="000F59D6"/>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7364">
      <w:bodyDiv w:val="1"/>
      <w:marLeft w:val="0"/>
      <w:marRight w:val="0"/>
      <w:marTop w:val="0"/>
      <w:marBottom w:val="0"/>
      <w:divBdr>
        <w:top w:val="none" w:sz="0" w:space="0" w:color="auto"/>
        <w:left w:val="none" w:sz="0" w:space="0" w:color="auto"/>
        <w:bottom w:val="none" w:sz="0" w:space="0" w:color="auto"/>
        <w:right w:val="none" w:sz="0" w:space="0" w:color="auto"/>
      </w:divBdr>
    </w:div>
    <w:div w:id="983087">
      <w:bodyDiv w:val="1"/>
      <w:marLeft w:val="0"/>
      <w:marRight w:val="0"/>
      <w:marTop w:val="0"/>
      <w:marBottom w:val="0"/>
      <w:divBdr>
        <w:top w:val="none" w:sz="0" w:space="0" w:color="auto"/>
        <w:left w:val="none" w:sz="0" w:space="0" w:color="auto"/>
        <w:bottom w:val="none" w:sz="0" w:space="0" w:color="auto"/>
        <w:right w:val="none" w:sz="0" w:space="0" w:color="auto"/>
      </w:divBdr>
    </w:div>
    <w:div w:id="1006828">
      <w:bodyDiv w:val="1"/>
      <w:marLeft w:val="0"/>
      <w:marRight w:val="0"/>
      <w:marTop w:val="0"/>
      <w:marBottom w:val="0"/>
      <w:divBdr>
        <w:top w:val="none" w:sz="0" w:space="0" w:color="auto"/>
        <w:left w:val="none" w:sz="0" w:space="0" w:color="auto"/>
        <w:bottom w:val="none" w:sz="0" w:space="0" w:color="auto"/>
        <w:right w:val="none" w:sz="0" w:space="0" w:color="auto"/>
      </w:divBdr>
    </w:div>
    <w:div w:id="1056009">
      <w:bodyDiv w:val="1"/>
      <w:marLeft w:val="0"/>
      <w:marRight w:val="0"/>
      <w:marTop w:val="0"/>
      <w:marBottom w:val="0"/>
      <w:divBdr>
        <w:top w:val="none" w:sz="0" w:space="0" w:color="auto"/>
        <w:left w:val="none" w:sz="0" w:space="0" w:color="auto"/>
        <w:bottom w:val="none" w:sz="0" w:space="0" w:color="auto"/>
        <w:right w:val="none" w:sz="0" w:space="0" w:color="auto"/>
      </w:divBdr>
    </w:div>
    <w:div w:id="1978949">
      <w:bodyDiv w:val="1"/>
      <w:marLeft w:val="0"/>
      <w:marRight w:val="0"/>
      <w:marTop w:val="0"/>
      <w:marBottom w:val="0"/>
      <w:divBdr>
        <w:top w:val="none" w:sz="0" w:space="0" w:color="auto"/>
        <w:left w:val="none" w:sz="0" w:space="0" w:color="auto"/>
        <w:bottom w:val="none" w:sz="0" w:space="0" w:color="auto"/>
        <w:right w:val="none" w:sz="0" w:space="0" w:color="auto"/>
      </w:divBdr>
    </w:div>
    <w:div w:id="2514528">
      <w:bodyDiv w:val="1"/>
      <w:marLeft w:val="0"/>
      <w:marRight w:val="0"/>
      <w:marTop w:val="0"/>
      <w:marBottom w:val="0"/>
      <w:divBdr>
        <w:top w:val="none" w:sz="0" w:space="0" w:color="auto"/>
        <w:left w:val="none" w:sz="0" w:space="0" w:color="auto"/>
        <w:bottom w:val="none" w:sz="0" w:space="0" w:color="auto"/>
        <w:right w:val="none" w:sz="0" w:space="0" w:color="auto"/>
      </w:divBdr>
      <w:divsChild>
        <w:div w:id="1495028144">
          <w:marLeft w:val="0"/>
          <w:marRight w:val="0"/>
          <w:marTop w:val="0"/>
          <w:marBottom w:val="0"/>
          <w:divBdr>
            <w:top w:val="none" w:sz="0" w:space="0" w:color="auto"/>
            <w:left w:val="none" w:sz="0" w:space="0" w:color="auto"/>
            <w:bottom w:val="none" w:sz="0" w:space="0" w:color="auto"/>
            <w:right w:val="none" w:sz="0" w:space="0" w:color="auto"/>
          </w:divBdr>
        </w:div>
      </w:divsChild>
    </w:div>
    <w:div w:id="2704835">
      <w:bodyDiv w:val="1"/>
      <w:marLeft w:val="0"/>
      <w:marRight w:val="0"/>
      <w:marTop w:val="0"/>
      <w:marBottom w:val="0"/>
      <w:divBdr>
        <w:top w:val="none" w:sz="0" w:space="0" w:color="auto"/>
        <w:left w:val="none" w:sz="0" w:space="0" w:color="auto"/>
        <w:bottom w:val="none" w:sz="0" w:space="0" w:color="auto"/>
        <w:right w:val="none" w:sz="0" w:space="0" w:color="auto"/>
      </w:divBdr>
    </w:div>
    <w:div w:id="3024428">
      <w:bodyDiv w:val="1"/>
      <w:marLeft w:val="0"/>
      <w:marRight w:val="0"/>
      <w:marTop w:val="0"/>
      <w:marBottom w:val="0"/>
      <w:divBdr>
        <w:top w:val="none" w:sz="0" w:space="0" w:color="auto"/>
        <w:left w:val="none" w:sz="0" w:space="0" w:color="auto"/>
        <w:bottom w:val="none" w:sz="0" w:space="0" w:color="auto"/>
        <w:right w:val="none" w:sz="0" w:space="0" w:color="auto"/>
      </w:divBdr>
    </w:div>
    <w:div w:id="3171675">
      <w:bodyDiv w:val="1"/>
      <w:marLeft w:val="0"/>
      <w:marRight w:val="0"/>
      <w:marTop w:val="0"/>
      <w:marBottom w:val="0"/>
      <w:divBdr>
        <w:top w:val="none" w:sz="0" w:space="0" w:color="auto"/>
        <w:left w:val="none" w:sz="0" w:space="0" w:color="auto"/>
        <w:bottom w:val="none" w:sz="0" w:space="0" w:color="auto"/>
        <w:right w:val="none" w:sz="0" w:space="0" w:color="auto"/>
      </w:divBdr>
    </w:div>
    <w:div w:id="4669692">
      <w:bodyDiv w:val="1"/>
      <w:marLeft w:val="0"/>
      <w:marRight w:val="0"/>
      <w:marTop w:val="0"/>
      <w:marBottom w:val="0"/>
      <w:divBdr>
        <w:top w:val="none" w:sz="0" w:space="0" w:color="auto"/>
        <w:left w:val="none" w:sz="0" w:space="0" w:color="auto"/>
        <w:bottom w:val="none" w:sz="0" w:space="0" w:color="auto"/>
        <w:right w:val="none" w:sz="0" w:space="0" w:color="auto"/>
      </w:divBdr>
    </w:div>
    <w:div w:id="5597729">
      <w:bodyDiv w:val="1"/>
      <w:marLeft w:val="0"/>
      <w:marRight w:val="0"/>
      <w:marTop w:val="0"/>
      <w:marBottom w:val="0"/>
      <w:divBdr>
        <w:top w:val="none" w:sz="0" w:space="0" w:color="auto"/>
        <w:left w:val="none" w:sz="0" w:space="0" w:color="auto"/>
        <w:bottom w:val="none" w:sz="0" w:space="0" w:color="auto"/>
        <w:right w:val="none" w:sz="0" w:space="0" w:color="auto"/>
      </w:divBdr>
    </w:div>
    <w:div w:id="5642062">
      <w:bodyDiv w:val="1"/>
      <w:marLeft w:val="0"/>
      <w:marRight w:val="0"/>
      <w:marTop w:val="0"/>
      <w:marBottom w:val="0"/>
      <w:divBdr>
        <w:top w:val="none" w:sz="0" w:space="0" w:color="auto"/>
        <w:left w:val="none" w:sz="0" w:space="0" w:color="auto"/>
        <w:bottom w:val="none" w:sz="0" w:space="0" w:color="auto"/>
        <w:right w:val="none" w:sz="0" w:space="0" w:color="auto"/>
      </w:divBdr>
    </w:div>
    <w:div w:id="6254599">
      <w:bodyDiv w:val="1"/>
      <w:marLeft w:val="0"/>
      <w:marRight w:val="0"/>
      <w:marTop w:val="0"/>
      <w:marBottom w:val="0"/>
      <w:divBdr>
        <w:top w:val="none" w:sz="0" w:space="0" w:color="auto"/>
        <w:left w:val="none" w:sz="0" w:space="0" w:color="auto"/>
        <w:bottom w:val="none" w:sz="0" w:space="0" w:color="auto"/>
        <w:right w:val="none" w:sz="0" w:space="0" w:color="auto"/>
      </w:divBdr>
    </w:div>
    <w:div w:id="6642568">
      <w:bodyDiv w:val="1"/>
      <w:marLeft w:val="0"/>
      <w:marRight w:val="0"/>
      <w:marTop w:val="0"/>
      <w:marBottom w:val="0"/>
      <w:divBdr>
        <w:top w:val="none" w:sz="0" w:space="0" w:color="auto"/>
        <w:left w:val="none" w:sz="0" w:space="0" w:color="auto"/>
        <w:bottom w:val="none" w:sz="0" w:space="0" w:color="auto"/>
        <w:right w:val="none" w:sz="0" w:space="0" w:color="auto"/>
      </w:divBdr>
    </w:div>
    <w:div w:id="6829548">
      <w:bodyDiv w:val="1"/>
      <w:marLeft w:val="0"/>
      <w:marRight w:val="0"/>
      <w:marTop w:val="0"/>
      <w:marBottom w:val="0"/>
      <w:divBdr>
        <w:top w:val="none" w:sz="0" w:space="0" w:color="auto"/>
        <w:left w:val="none" w:sz="0" w:space="0" w:color="auto"/>
        <w:bottom w:val="none" w:sz="0" w:space="0" w:color="auto"/>
        <w:right w:val="none" w:sz="0" w:space="0" w:color="auto"/>
      </w:divBdr>
    </w:div>
    <w:div w:id="7023632">
      <w:bodyDiv w:val="1"/>
      <w:marLeft w:val="0"/>
      <w:marRight w:val="0"/>
      <w:marTop w:val="0"/>
      <w:marBottom w:val="0"/>
      <w:divBdr>
        <w:top w:val="none" w:sz="0" w:space="0" w:color="auto"/>
        <w:left w:val="none" w:sz="0" w:space="0" w:color="auto"/>
        <w:bottom w:val="none" w:sz="0" w:space="0" w:color="auto"/>
        <w:right w:val="none" w:sz="0" w:space="0" w:color="auto"/>
      </w:divBdr>
    </w:div>
    <w:div w:id="7106738">
      <w:bodyDiv w:val="1"/>
      <w:marLeft w:val="0"/>
      <w:marRight w:val="0"/>
      <w:marTop w:val="0"/>
      <w:marBottom w:val="0"/>
      <w:divBdr>
        <w:top w:val="none" w:sz="0" w:space="0" w:color="auto"/>
        <w:left w:val="none" w:sz="0" w:space="0" w:color="auto"/>
        <w:bottom w:val="none" w:sz="0" w:space="0" w:color="auto"/>
        <w:right w:val="none" w:sz="0" w:space="0" w:color="auto"/>
      </w:divBdr>
    </w:div>
    <w:div w:id="7292541">
      <w:bodyDiv w:val="1"/>
      <w:marLeft w:val="0"/>
      <w:marRight w:val="0"/>
      <w:marTop w:val="0"/>
      <w:marBottom w:val="0"/>
      <w:divBdr>
        <w:top w:val="none" w:sz="0" w:space="0" w:color="auto"/>
        <w:left w:val="none" w:sz="0" w:space="0" w:color="auto"/>
        <w:bottom w:val="none" w:sz="0" w:space="0" w:color="auto"/>
        <w:right w:val="none" w:sz="0" w:space="0" w:color="auto"/>
      </w:divBdr>
    </w:div>
    <w:div w:id="7414138">
      <w:bodyDiv w:val="1"/>
      <w:marLeft w:val="0"/>
      <w:marRight w:val="0"/>
      <w:marTop w:val="0"/>
      <w:marBottom w:val="0"/>
      <w:divBdr>
        <w:top w:val="none" w:sz="0" w:space="0" w:color="auto"/>
        <w:left w:val="none" w:sz="0" w:space="0" w:color="auto"/>
        <w:bottom w:val="none" w:sz="0" w:space="0" w:color="auto"/>
        <w:right w:val="none" w:sz="0" w:space="0" w:color="auto"/>
      </w:divBdr>
    </w:div>
    <w:div w:id="8064783">
      <w:bodyDiv w:val="1"/>
      <w:marLeft w:val="0"/>
      <w:marRight w:val="0"/>
      <w:marTop w:val="0"/>
      <w:marBottom w:val="0"/>
      <w:divBdr>
        <w:top w:val="none" w:sz="0" w:space="0" w:color="auto"/>
        <w:left w:val="none" w:sz="0" w:space="0" w:color="auto"/>
        <w:bottom w:val="none" w:sz="0" w:space="0" w:color="auto"/>
        <w:right w:val="none" w:sz="0" w:space="0" w:color="auto"/>
      </w:divBdr>
    </w:div>
    <w:div w:id="8531550">
      <w:bodyDiv w:val="1"/>
      <w:marLeft w:val="0"/>
      <w:marRight w:val="0"/>
      <w:marTop w:val="0"/>
      <w:marBottom w:val="0"/>
      <w:divBdr>
        <w:top w:val="none" w:sz="0" w:space="0" w:color="auto"/>
        <w:left w:val="none" w:sz="0" w:space="0" w:color="auto"/>
        <w:bottom w:val="none" w:sz="0" w:space="0" w:color="auto"/>
        <w:right w:val="none" w:sz="0" w:space="0" w:color="auto"/>
      </w:divBdr>
    </w:div>
    <w:div w:id="8802562">
      <w:bodyDiv w:val="1"/>
      <w:marLeft w:val="0"/>
      <w:marRight w:val="0"/>
      <w:marTop w:val="0"/>
      <w:marBottom w:val="0"/>
      <w:divBdr>
        <w:top w:val="none" w:sz="0" w:space="0" w:color="auto"/>
        <w:left w:val="none" w:sz="0" w:space="0" w:color="auto"/>
        <w:bottom w:val="none" w:sz="0" w:space="0" w:color="auto"/>
        <w:right w:val="none" w:sz="0" w:space="0" w:color="auto"/>
      </w:divBdr>
    </w:div>
    <w:div w:id="9337831">
      <w:bodyDiv w:val="1"/>
      <w:marLeft w:val="0"/>
      <w:marRight w:val="0"/>
      <w:marTop w:val="0"/>
      <w:marBottom w:val="0"/>
      <w:divBdr>
        <w:top w:val="none" w:sz="0" w:space="0" w:color="auto"/>
        <w:left w:val="none" w:sz="0" w:space="0" w:color="auto"/>
        <w:bottom w:val="none" w:sz="0" w:space="0" w:color="auto"/>
        <w:right w:val="none" w:sz="0" w:space="0" w:color="auto"/>
      </w:divBdr>
    </w:div>
    <w:div w:id="9645682">
      <w:bodyDiv w:val="1"/>
      <w:marLeft w:val="0"/>
      <w:marRight w:val="0"/>
      <w:marTop w:val="0"/>
      <w:marBottom w:val="0"/>
      <w:divBdr>
        <w:top w:val="none" w:sz="0" w:space="0" w:color="auto"/>
        <w:left w:val="none" w:sz="0" w:space="0" w:color="auto"/>
        <w:bottom w:val="none" w:sz="0" w:space="0" w:color="auto"/>
        <w:right w:val="none" w:sz="0" w:space="0" w:color="auto"/>
      </w:divBdr>
    </w:div>
    <w:div w:id="12269392">
      <w:bodyDiv w:val="1"/>
      <w:marLeft w:val="0"/>
      <w:marRight w:val="0"/>
      <w:marTop w:val="0"/>
      <w:marBottom w:val="0"/>
      <w:divBdr>
        <w:top w:val="none" w:sz="0" w:space="0" w:color="auto"/>
        <w:left w:val="none" w:sz="0" w:space="0" w:color="auto"/>
        <w:bottom w:val="none" w:sz="0" w:space="0" w:color="auto"/>
        <w:right w:val="none" w:sz="0" w:space="0" w:color="auto"/>
      </w:divBdr>
    </w:div>
    <w:div w:id="12340308">
      <w:bodyDiv w:val="1"/>
      <w:marLeft w:val="0"/>
      <w:marRight w:val="0"/>
      <w:marTop w:val="0"/>
      <w:marBottom w:val="0"/>
      <w:divBdr>
        <w:top w:val="none" w:sz="0" w:space="0" w:color="auto"/>
        <w:left w:val="none" w:sz="0" w:space="0" w:color="auto"/>
        <w:bottom w:val="none" w:sz="0" w:space="0" w:color="auto"/>
        <w:right w:val="none" w:sz="0" w:space="0" w:color="auto"/>
      </w:divBdr>
    </w:div>
    <w:div w:id="12344422">
      <w:bodyDiv w:val="1"/>
      <w:marLeft w:val="0"/>
      <w:marRight w:val="0"/>
      <w:marTop w:val="0"/>
      <w:marBottom w:val="0"/>
      <w:divBdr>
        <w:top w:val="none" w:sz="0" w:space="0" w:color="auto"/>
        <w:left w:val="none" w:sz="0" w:space="0" w:color="auto"/>
        <w:bottom w:val="none" w:sz="0" w:space="0" w:color="auto"/>
        <w:right w:val="none" w:sz="0" w:space="0" w:color="auto"/>
      </w:divBdr>
    </w:div>
    <w:div w:id="12346796">
      <w:bodyDiv w:val="1"/>
      <w:marLeft w:val="0"/>
      <w:marRight w:val="0"/>
      <w:marTop w:val="0"/>
      <w:marBottom w:val="0"/>
      <w:divBdr>
        <w:top w:val="none" w:sz="0" w:space="0" w:color="auto"/>
        <w:left w:val="none" w:sz="0" w:space="0" w:color="auto"/>
        <w:bottom w:val="none" w:sz="0" w:space="0" w:color="auto"/>
        <w:right w:val="none" w:sz="0" w:space="0" w:color="auto"/>
      </w:divBdr>
    </w:div>
    <w:div w:id="12386591">
      <w:bodyDiv w:val="1"/>
      <w:marLeft w:val="0"/>
      <w:marRight w:val="0"/>
      <w:marTop w:val="0"/>
      <w:marBottom w:val="0"/>
      <w:divBdr>
        <w:top w:val="none" w:sz="0" w:space="0" w:color="auto"/>
        <w:left w:val="none" w:sz="0" w:space="0" w:color="auto"/>
        <w:bottom w:val="none" w:sz="0" w:space="0" w:color="auto"/>
        <w:right w:val="none" w:sz="0" w:space="0" w:color="auto"/>
      </w:divBdr>
    </w:div>
    <w:div w:id="12533263">
      <w:bodyDiv w:val="1"/>
      <w:marLeft w:val="0"/>
      <w:marRight w:val="0"/>
      <w:marTop w:val="0"/>
      <w:marBottom w:val="0"/>
      <w:divBdr>
        <w:top w:val="none" w:sz="0" w:space="0" w:color="auto"/>
        <w:left w:val="none" w:sz="0" w:space="0" w:color="auto"/>
        <w:bottom w:val="none" w:sz="0" w:space="0" w:color="auto"/>
        <w:right w:val="none" w:sz="0" w:space="0" w:color="auto"/>
      </w:divBdr>
    </w:div>
    <w:div w:id="12541770">
      <w:bodyDiv w:val="1"/>
      <w:marLeft w:val="0"/>
      <w:marRight w:val="0"/>
      <w:marTop w:val="0"/>
      <w:marBottom w:val="0"/>
      <w:divBdr>
        <w:top w:val="none" w:sz="0" w:space="0" w:color="auto"/>
        <w:left w:val="none" w:sz="0" w:space="0" w:color="auto"/>
        <w:bottom w:val="none" w:sz="0" w:space="0" w:color="auto"/>
        <w:right w:val="none" w:sz="0" w:space="0" w:color="auto"/>
      </w:divBdr>
    </w:div>
    <w:div w:id="12615562">
      <w:bodyDiv w:val="1"/>
      <w:marLeft w:val="0"/>
      <w:marRight w:val="0"/>
      <w:marTop w:val="0"/>
      <w:marBottom w:val="0"/>
      <w:divBdr>
        <w:top w:val="none" w:sz="0" w:space="0" w:color="auto"/>
        <w:left w:val="none" w:sz="0" w:space="0" w:color="auto"/>
        <w:bottom w:val="none" w:sz="0" w:space="0" w:color="auto"/>
        <w:right w:val="none" w:sz="0" w:space="0" w:color="auto"/>
      </w:divBdr>
    </w:div>
    <w:div w:id="12801386">
      <w:bodyDiv w:val="1"/>
      <w:marLeft w:val="0"/>
      <w:marRight w:val="0"/>
      <w:marTop w:val="0"/>
      <w:marBottom w:val="0"/>
      <w:divBdr>
        <w:top w:val="none" w:sz="0" w:space="0" w:color="auto"/>
        <w:left w:val="none" w:sz="0" w:space="0" w:color="auto"/>
        <w:bottom w:val="none" w:sz="0" w:space="0" w:color="auto"/>
        <w:right w:val="none" w:sz="0" w:space="0" w:color="auto"/>
      </w:divBdr>
    </w:div>
    <w:div w:id="13117609">
      <w:bodyDiv w:val="1"/>
      <w:marLeft w:val="0"/>
      <w:marRight w:val="0"/>
      <w:marTop w:val="0"/>
      <w:marBottom w:val="0"/>
      <w:divBdr>
        <w:top w:val="none" w:sz="0" w:space="0" w:color="auto"/>
        <w:left w:val="none" w:sz="0" w:space="0" w:color="auto"/>
        <w:bottom w:val="none" w:sz="0" w:space="0" w:color="auto"/>
        <w:right w:val="none" w:sz="0" w:space="0" w:color="auto"/>
      </w:divBdr>
    </w:div>
    <w:div w:id="13117905">
      <w:bodyDiv w:val="1"/>
      <w:marLeft w:val="0"/>
      <w:marRight w:val="0"/>
      <w:marTop w:val="0"/>
      <w:marBottom w:val="0"/>
      <w:divBdr>
        <w:top w:val="none" w:sz="0" w:space="0" w:color="auto"/>
        <w:left w:val="none" w:sz="0" w:space="0" w:color="auto"/>
        <w:bottom w:val="none" w:sz="0" w:space="0" w:color="auto"/>
        <w:right w:val="none" w:sz="0" w:space="0" w:color="auto"/>
      </w:divBdr>
    </w:div>
    <w:div w:id="13698069">
      <w:bodyDiv w:val="1"/>
      <w:marLeft w:val="0"/>
      <w:marRight w:val="0"/>
      <w:marTop w:val="0"/>
      <w:marBottom w:val="0"/>
      <w:divBdr>
        <w:top w:val="none" w:sz="0" w:space="0" w:color="auto"/>
        <w:left w:val="none" w:sz="0" w:space="0" w:color="auto"/>
        <w:bottom w:val="none" w:sz="0" w:space="0" w:color="auto"/>
        <w:right w:val="none" w:sz="0" w:space="0" w:color="auto"/>
      </w:divBdr>
    </w:div>
    <w:div w:id="13773944">
      <w:bodyDiv w:val="1"/>
      <w:marLeft w:val="0"/>
      <w:marRight w:val="0"/>
      <w:marTop w:val="0"/>
      <w:marBottom w:val="0"/>
      <w:divBdr>
        <w:top w:val="none" w:sz="0" w:space="0" w:color="auto"/>
        <w:left w:val="none" w:sz="0" w:space="0" w:color="auto"/>
        <w:bottom w:val="none" w:sz="0" w:space="0" w:color="auto"/>
        <w:right w:val="none" w:sz="0" w:space="0" w:color="auto"/>
      </w:divBdr>
    </w:div>
    <w:div w:id="13966197">
      <w:bodyDiv w:val="1"/>
      <w:marLeft w:val="0"/>
      <w:marRight w:val="0"/>
      <w:marTop w:val="0"/>
      <w:marBottom w:val="0"/>
      <w:divBdr>
        <w:top w:val="none" w:sz="0" w:space="0" w:color="auto"/>
        <w:left w:val="none" w:sz="0" w:space="0" w:color="auto"/>
        <w:bottom w:val="none" w:sz="0" w:space="0" w:color="auto"/>
        <w:right w:val="none" w:sz="0" w:space="0" w:color="auto"/>
      </w:divBdr>
    </w:div>
    <w:div w:id="15158332">
      <w:bodyDiv w:val="1"/>
      <w:marLeft w:val="0"/>
      <w:marRight w:val="0"/>
      <w:marTop w:val="0"/>
      <w:marBottom w:val="0"/>
      <w:divBdr>
        <w:top w:val="none" w:sz="0" w:space="0" w:color="auto"/>
        <w:left w:val="none" w:sz="0" w:space="0" w:color="auto"/>
        <w:bottom w:val="none" w:sz="0" w:space="0" w:color="auto"/>
        <w:right w:val="none" w:sz="0" w:space="0" w:color="auto"/>
      </w:divBdr>
    </w:div>
    <w:div w:id="15162631">
      <w:bodyDiv w:val="1"/>
      <w:marLeft w:val="0"/>
      <w:marRight w:val="0"/>
      <w:marTop w:val="0"/>
      <w:marBottom w:val="0"/>
      <w:divBdr>
        <w:top w:val="none" w:sz="0" w:space="0" w:color="auto"/>
        <w:left w:val="none" w:sz="0" w:space="0" w:color="auto"/>
        <w:bottom w:val="none" w:sz="0" w:space="0" w:color="auto"/>
        <w:right w:val="none" w:sz="0" w:space="0" w:color="auto"/>
      </w:divBdr>
    </w:div>
    <w:div w:id="15272292">
      <w:bodyDiv w:val="1"/>
      <w:marLeft w:val="0"/>
      <w:marRight w:val="0"/>
      <w:marTop w:val="0"/>
      <w:marBottom w:val="0"/>
      <w:divBdr>
        <w:top w:val="none" w:sz="0" w:space="0" w:color="auto"/>
        <w:left w:val="none" w:sz="0" w:space="0" w:color="auto"/>
        <w:bottom w:val="none" w:sz="0" w:space="0" w:color="auto"/>
        <w:right w:val="none" w:sz="0" w:space="0" w:color="auto"/>
      </w:divBdr>
    </w:div>
    <w:div w:id="15469131">
      <w:marLeft w:val="0"/>
      <w:marRight w:val="0"/>
      <w:marTop w:val="0"/>
      <w:marBottom w:val="0"/>
      <w:divBdr>
        <w:top w:val="none" w:sz="0" w:space="0" w:color="auto"/>
        <w:left w:val="none" w:sz="0" w:space="0" w:color="auto"/>
        <w:bottom w:val="none" w:sz="0" w:space="0" w:color="auto"/>
        <w:right w:val="none" w:sz="0" w:space="0" w:color="auto"/>
      </w:divBdr>
    </w:div>
    <w:div w:id="15886869">
      <w:bodyDiv w:val="1"/>
      <w:marLeft w:val="0"/>
      <w:marRight w:val="0"/>
      <w:marTop w:val="0"/>
      <w:marBottom w:val="0"/>
      <w:divBdr>
        <w:top w:val="none" w:sz="0" w:space="0" w:color="auto"/>
        <w:left w:val="none" w:sz="0" w:space="0" w:color="auto"/>
        <w:bottom w:val="none" w:sz="0" w:space="0" w:color="auto"/>
        <w:right w:val="none" w:sz="0" w:space="0" w:color="auto"/>
      </w:divBdr>
    </w:div>
    <w:div w:id="16783053">
      <w:bodyDiv w:val="1"/>
      <w:marLeft w:val="0"/>
      <w:marRight w:val="0"/>
      <w:marTop w:val="0"/>
      <w:marBottom w:val="0"/>
      <w:divBdr>
        <w:top w:val="none" w:sz="0" w:space="0" w:color="auto"/>
        <w:left w:val="none" w:sz="0" w:space="0" w:color="auto"/>
        <w:bottom w:val="none" w:sz="0" w:space="0" w:color="auto"/>
        <w:right w:val="none" w:sz="0" w:space="0" w:color="auto"/>
      </w:divBdr>
    </w:div>
    <w:div w:id="17196045">
      <w:bodyDiv w:val="1"/>
      <w:marLeft w:val="0"/>
      <w:marRight w:val="0"/>
      <w:marTop w:val="0"/>
      <w:marBottom w:val="0"/>
      <w:divBdr>
        <w:top w:val="none" w:sz="0" w:space="0" w:color="auto"/>
        <w:left w:val="none" w:sz="0" w:space="0" w:color="auto"/>
        <w:bottom w:val="none" w:sz="0" w:space="0" w:color="auto"/>
        <w:right w:val="none" w:sz="0" w:space="0" w:color="auto"/>
      </w:divBdr>
    </w:div>
    <w:div w:id="17780401">
      <w:bodyDiv w:val="1"/>
      <w:marLeft w:val="0"/>
      <w:marRight w:val="0"/>
      <w:marTop w:val="0"/>
      <w:marBottom w:val="0"/>
      <w:divBdr>
        <w:top w:val="none" w:sz="0" w:space="0" w:color="auto"/>
        <w:left w:val="none" w:sz="0" w:space="0" w:color="auto"/>
        <w:bottom w:val="none" w:sz="0" w:space="0" w:color="auto"/>
        <w:right w:val="none" w:sz="0" w:space="0" w:color="auto"/>
      </w:divBdr>
    </w:div>
    <w:div w:id="18436511">
      <w:bodyDiv w:val="1"/>
      <w:marLeft w:val="0"/>
      <w:marRight w:val="0"/>
      <w:marTop w:val="0"/>
      <w:marBottom w:val="0"/>
      <w:divBdr>
        <w:top w:val="none" w:sz="0" w:space="0" w:color="auto"/>
        <w:left w:val="none" w:sz="0" w:space="0" w:color="auto"/>
        <w:bottom w:val="none" w:sz="0" w:space="0" w:color="auto"/>
        <w:right w:val="none" w:sz="0" w:space="0" w:color="auto"/>
      </w:divBdr>
    </w:div>
    <w:div w:id="18744348">
      <w:bodyDiv w:val="1"/>
      <w:marLeft w:val="0"/>
      <w:marRight w:val="0"/>
      <w:marTop w:val="0"/>
      <w:marBottom w:val="0"/>
      <w:divBdr>
        <w:top w:val="none" w:sz="0" w:space="0" w:color="auto"/>
        <w:left w:val="none" w:sz="0" w:space="0" w:color="auto"/>
        <w:bottom w:val="none" w:sz="0" w:space="0" w:color="auto"/>
        <w:right w:val="none" w:sz="0" w:space="0" w:color="auto"/>
      </w:divBdr>
    </w:div>
    <w:div w:id="19362362">
      <w:bodyDiv w:val="1"/>
      <w:marLeft w:val="0"/>
      <w:marRight w:val="0"/>
      <w:marTop w:val="0"/>
      <w:marBottom w:val="0"/>
      <w:divBdr>
        <w:top w:val="none" w:sz="0" w:space="0" w:color="auto"/>
        <w:left w:val="none" w:sz="0" w:space="0" w:color="auto"/>
        <w:bottom w:val="none" w:sz="0" w:space="0" w:color="auto"/>
        <w:right w:val="none" w:sz="0" w:space="0" w:color="auto"/>
      </w:divBdr>
    </w:div>
    <w:div w:id="19821579">
      <w:bodyDiv w:val="1"/>
      <w:marLeft w:val="0"/>
      <w:marRight w:val="0"/>
      <w:marTop w:val="0"/>
      <w:marBottom w:val="0"/>
      <w:divBdr>
        <w:top w:val="none" w:sz="0" w:space="0" w:color="auto"/>
        <w:left w:val="none" w:sz="0" w:space="0" w:color="auto"/>
        <w:bottom w:val="none" w:sz="0" w:space="0" w:color="auto"/>
        <w:right w:val="none" w:sz="0" w:space="0" w:color="auto"/>
      </w:divBdr>
    </w:div>
    <w:div w:id="20323915">
      <w:bodyDiv w:val="1"/>
      <w:marLeft w:val="0"/>
      <w:marRight w:val="0"/>
      <w:marTop w:val="0"/>
      <w:marBottom w:val="0"/>
      <w:divBdr>
        <w:top w:val="none" w:sz="0" w:space="0" w:color="auto"/>
        <w:left w:val="none" w:sz="0" w:space="0" w:color="auto"/>
        <w:bottom w:val="none" w:sz="0" w:space="0" w:color="auto"/>
        <w:right w:val="none" w:sz="0" w:space="0" w:color="auto"/>
      </w:divBdr>
    </w:div>
    <w:div w:id="22168687">
      <w:bodyDiv w:val="1"/>
      <w:marLeft w:val="0"/>
      <w:marRight w:val="0"/>
      <w:marTop w:val="0"/>
      <w:marBottom w:val="0"/>
      <w:divBdr>
        <w:top w:val="none" w:sz="0" w:space="0" w:color="auto"/>
        <w:left w:val="none" w:sz="0" w:space="0" w:color="auto"/>
        <w:bottom w:val="none" w:sz="0" w:space="0" w:color="auto"/>
        <w:right w:val="none" w:sz="0" w:space="0" w:color="auto"/>
      </w:divBdr>
    </w:div>
    <w:div w:id="22680116">
      <w:bodyDiv w:val="1"/>
      <w:marLeft w:val="0"/>
      <w:marRight w:val="0"/>
      <w:marTop w:val="0"/>
      <w:marBottom w:val="0"/>
      <w:divBdr>
        <w:top w:val="none" w:sz="0" w:space="0" w:color="auto"/>
        <w:left w:val="none" w:sz="0" w:space="0" w:color="auto"/>
        <w:bottom w:val="none" w:sz="0" w:space="0" w:color="auto"/>
        <w:right w:val="none" w:sz="0" w:space="0" w:color="auto"/>
      </w:divBdr>
    </w:div>
    <w:div w:id="23866431">
      <w:bodyDiv w:val="1"/>
      <w:marLeft w:val="0"/>
      <w:marRight w:val="0"/>
      <w:marTop w:val="0"/>
      <w:marBottom w:val="0"/>
      <w:divBdr>
        <w:top w:val="none" w:sz="0" w:space="0" w:color="auto"/>
        <w:left w:val="none" w:sz="0" w:space="0" w:color="auto"/>
        <w:bottom w:val="none" w:sz="0" w:space="0" w:color="auto"/>
        <w:right w:val="none" w:sz="0" w:space="0" w:color="auto"/>
      </w:divBdr>
    </w:div>
    <w:div w:id="23866436">
      <w:bodyDiv w:val="1"/>
      <w:marLeft w:val="0"/>
      <w:marRight w:val="0"/>
      <w:marTop w:val="0"/>
      <w:marBottom w:val="0"/>
      <w:divBdr>
        <w:top w:val="none" w:sz="0" w:space="0" w:color="auto"/>
        <w:left w:val="none" w:sz="0" w:space="0" w:color="auto"/>
        <w:bottom w:val="none" w:sz="0" w:space="0" w:color="auto"/>
        <w:right w:val="none" w:sz="0" w:space="0" w:color="auto"/>
      </w:divBdr>
    </w:div>
    <w:div w:id="24257733">
      <w:bodyDiv w:val="1"/>
      <w:marLeft w:val="0"/>
      <w:marRight w:val="0"/>
      <w:marTop w:val="0"/>
      <w:marBottom w:val="0"/>
      <w:divBdr>
        <w:top w:val="none" w:sz="0" w:space="0" w:color="auto"/>
        <w:left w:val="none" w:sz="0" w:space="0" w:color="auto"/>
        <w:bottom w:val="none" w:sz="0" w:space="0" w:color="auto"/>
        <w:right w:val="none" w:sz="0" w:space="0" w:color="auto"/>
      </w:divBdr>
    </w:div>
    <w:div w:id="24327956">
      <w:bodyDiv w:val="1"/>
      <w:marLeft w:val="0"/>
      <w:marRight w:val="0"/>
      <w:marTop w:val="0"/>
      <w:marBottom w:val="0"/>
      <w:divBdr>
        <w:top w:val="none" w:sz="0" w:space="0" w:color="auto"/>
        <w:left w:val="none" w:sz="0" w:space="0" w:color="auto"/>
        <w:bottom w:val="none" w:sz="0" w:space="0" w:color="auto"/>
        <w:right w:val="none" w:sz="0" w:space="0" w:color="auto"/>
      </w:divBdr>
    </w:div>
    <w:div w:id="24452658">
      <w:bodyDiv w:val="1"/>
      <w:marLeft w:val="0"/>
      <w:marRight w:val="0"/>
      <w:marTop w:val="0"/>
      <w:marBottom w:val="0"/>
      <w:divBdr>
        <w:top w:val="none" w:sz="0" w:space="0" w:color="auto"/>
        <w:left w:val="none" w:sz="0" w:space="0" w:color="auto"/>
        <w:bottom w:val="none" w:sz="0" w:space="0" w:color="auto"/>
        <w:right w:val="none" w:sz="0" w:space="0" w:color="auto"/>
      </w:divBdr>
    </w:div>
    <w:div w:id="25450444">
      <w:bodyDiv w:val="1"/>
      <w:marLeft w:val="0"/>
      <w:marRight w:val="0"/>
      <w:marTop w:val="0"/>
      <w:marBottom w:val="0"/>
      <w:divBdr>
        <w:top w:val="none" w:sz="0" w:space="0" w:color="auto"/>
        <w:left w:val="none" w:sz="0" w:space="0" w:color="auto"/>
        <w:bottom w:val="none" w:sz="0" w:space="0" w:color="auto"/>
        <w:right w:val="none" w:sz="0" w:space="0" w:color="auto"/>
      </w:divBdr>
    </w:div>
    <w:div w:id="25494119">
      <w:bodyDiv w:val="1"/>
      <w:marLeft w:val="0"/>
      <w:marRight w:val="0"/>
      <w:marTop w:val="0"/>
      <w:marBottom w:val="0"/>
      <w:divBdr>
        <w:top w:val="none" w:sz="0" w:space="0" w:color="auto"/>
        <w:left w:val="none" w:sz="0" w:space="0" w:color="auto"/>
        <w:bottom w:val="none" w:sz="0" w:space="0" w:color="auto"/>
        <w:right w:val="none" w:sz="0" w:space="0" w:color="auto"/>
      </w:divBdr>
    </w:div>
    <w:div w:id="25834725">
      <w:bodyDiv w:val="1"/>
      <w:marLeft w:val="0"/>
      <w:marRight w:val="0"/>
      <w:marTop w:val="0"/>
      <w:marBottom w:val="0"/>
      <w:divBdr>
        <w:top w:val="none" w:sz="0" w:space="0" w:color="auto"/>
        <w:left w:val="none" w:sz="0" w:space="0" w:color="auto"/>
        <w:bottom w:val="none" w:sz="0" w:space="0" w:color="auto"/>
        <w:right w:val="none" w:sz="0" w:space="0" w:color="auto"/>
      </w:divBdr>
    </w:div>
    <w:div w:id="26293077">
      <w:bodyDiv w:val="1"/>
      <w:marLeft w:val="0"/>
      <w:marRight w:val="0"/>
      <w:marTop w:val="0"/>
      <w:marBottom w:val="0"/>
      <w:divBdr>
        <w:top w:val="none" w:sz="0" w:space="0" w:color="auto"/>
        <w:left w:val="none" w:sz="0" w:space="0" w:color="auto"/>
        <w:bottom w:val="none" w:sz="0" w:space="0" w:color="auto"/>
        <w:right w:val="none" w:sz="0" w:space="0" w:color="auto"/>
      </w:divBdr>
    </w:div>
    <w:div w:id="26296689">
      <w:bodyDiv w:val="1"/>
      <w:marLeft w:val="0"/>
      <w:marRight w:val="0"/>
      <w:marTop w:val="0"/>
      <w:marBottom w:val="0"/>
      <w:divBdr>
        <w:top w:val="none" w:sz="0" w:space="0" w:color="auto"/>
        <w:left w:val="none" w:sz="0" w:space="0" w:color="auto"/>
        <w:bottom w:val="none" w:sz="0" w:space="0" w:color="auto"/>
        <w:right w:val="none" w:sz="0" w:space="0" w:color="auto"/>
      </w:divBdr>
    </w:div>
    <w:div w:id="26486585">
      <w:bodyDiv w:val="1"/>
      <w:marLeft w:val="0"/>
      <w:marRight w:val="0"/>
      <w:marTop w:val="0"/>
      <w:marBottom w:val="0"/>
      <w:divBdr>
        <w:top w:val="none" w:sz="0" w:space="0" w:color="auto"/>
        <w:left w:val="none" w:sz="0" w:space="0" w:color="auto"/>
        <w:bottom w:val="none" w:sz="0" w:space="0" w:color="auto"/>
        <w:right w:val="none" w:sz="0" w:space="0" w:color="auto"/>
      </w:divBdr>
    </w:div>
    <w:div w:id="26488976">
      <w:bodyDiv w:val="1"/>
      <w:marLeft w:val="0"/>
      <w:marRight w:val="0"/>
      <w:marTop w:val="0"/>
      <w:marBottom w:val="0"/>
      <w:divBdr>
        <w:top w:val="none" w:sz="0" w:space="0" w:color="auto"/>
        <w:left w:val="none" w:sz="0" w:space="0" w:color="auto"/>
        <w:bottom w:val="none" w:sz="0" w:space="0" w:color="auto"/>
        <w:right w:val="none" w:sz="0" w:space="0" w:color="auto"/>
      </w:divBdr>
    </w:div>
    <w:div w:id="27142868">
      <w:bodyDiv w:val="1"/>
      <w:marLeft w:val="0"/>
      <w:marRight w:val="0"/>
      <w:marTop w:val="0"/>
      <w:marBottom w:val="0"/>
      <w:divBdr>
        <w:top w:val="none" w:sz="0" w:space="0" w:color="auto"/>
        <w:left w:val="none" w:sz="0" w:space="0" w:color="auto"/>
        <w:bottom w:val="none" w:sz="0" w:space="0" w:color="auto"/>
        <w:right w:val="none" w:sz="0" w:space="0" w:color="auto"/>
      </w:divBdr>
    </w:div>
    <w:div w:id="27265085">
      <w:bodyDiv w:val="1"/>
      <w:marLeft w:val="0"/>
      <w:marRight w:val="0"/>
      <w:marTop w:val="0"/>
      <w:marBottom w:val="0"/>
      <w:divBdr>
        <w:top w:val="none" w:sz="0" w:space="0" w:color="auto"/>
        <w:left w:val="none" w:sz="0" w:space="0" w:color="auto"/>
        <w:bottom w:val="none" w:sz="0" w:space="0" w:color="auto"/>
        <w:right w:val="none" w:sz="0" w:space="0" w:color="auto"/>
      </w:divBdr>
    </w:div>
    <w:div w:id="27948193">
      <w:bodyDiv w:val="1"/>
      <w:marLeft w:val="0"/>
      <w:marRight w:val="0"/>
      <w:marTop w:val="0"/>
      <w:marBottom w:val="0"/>
      <w:divBdr>
        <w:top w:val="none" w:sz="0" w:space="0" w:color="auto"/>
        <w:left w:val="none" w:sz="0" w:space="0" w:color="auto"/>
        <w:bottom w:val="none" w:sz="0" w:space="0" w:color="auto"/>
        <w:right w:val="none" w:sz="0" w:space="0" w:color="auto"/>
      </w:divBdr>
    </w:div>
    <w:div w:id="28577589">
      <w:bodyDiv w:val="1"/>
      <w:marLeft w:val="0"/>
      <w:marRight w:val="0"/>
      <w:marTop w:val="0"/>
      <w:marBottom w:val="0"/>
      <w:divBdr>
        <w:top w:val="none" w:sz="0" w:space="0" w:color="auto"/>
        <w:left w:val="none" w:sz="0" w:space="0" w:color="auto"/>
        <w:bottom w:val="none" w:sz="0" w:space="0" w:color="auto"/>
        <w:right w:val="none" w:sz="0" w:space="0" w:color="auto"/>
      </w:divBdr>
    </w:div>
    <w:div w:id="29036090">
      <w:bodyDiv w:val="1"/>
      <w:marLeft w:val="0"/>
      <w:marRight w:val="0"/>
      <w:marTop w:val="0"/>
      <w:marBottom w:val="0"/>
      <w:divBdr>
        <w:top w:val="none" w:sz="0" w:space="0" w:color="auto"/>
        <w:left w:val="none" w:sz="0" w:space="0" w:color="auto"/>
        <w:bottom w:val="none" w:sz="0" w:space="0" w:color="auto"/>
        <w:right w:val="none" w:sz="0" w:space="0" w:color="auto"/>
      </w:divBdr>
    </w:div>
    <w:div w:id="29108839">
      <w:bodyDiv w:val="1"/>
      <w:marLeft w:val="0"/>
      <w:marRight w:val="0"/>
      <w:marTop w:val="0"/>
      <w:marBottom w:val="0"/>
      <w:divBdr>
        <w:top w:val="none" w:sz="0" w:space="0" w:color="auto"/>
        <w:left w:val="none" w:sz="0" w:space="0" w:color="auto"/>
        <w:bottom w:val="none" w:sz="0" w:space="0" w:color="auto"/>
        <w:right w:val="none" w:sz="0" w:space="0" w:color="auto"/>
      </w:divBdr>
    </w:div>
    <w:div w:id="29306066">
      <w:bodyDiv w:val="1"/>
      <w:marLeft w:val="0"/>
      <w:marRight w:val="0"/>
      <w:marTop w:val="0"/>
      <w:marBottom w:val="0"/>
      <w:divBdr>
        <w:top w:val="none" w:sz="0" w:space="0" w:color="auto"/>
        <w:left w:val="none" w:sz="0" w:space="0" w:color="auto"/>
        <w:bottom w:val="none" w:sz="0" w:space="0" w:color="auto"/>
        <w:right w:val="none" w:sz="0" w:space="0" w:color="auto"/>
      </w:divBdr>
    </w:div>
    <w:div w:id="30808471">
      <w:bodyDiv w:val="1"/>
      <w:marLeft w:val="0"/>
      <w:marRight w:val="0"/>
      <w:marTop w:val="0"/>
      <w:marBottom w:val="0"/>
      <w:divBdr>
        <w:top w:val="none" w:sz="0" w:space="0" w:color="auto"/>
        <w:left w:val="none" w:sz="0" w:space="0" w:color="auto"/>
        <w:bottom w:val="none" w:sz="0" w:space="0" w:color="auto"/>
        <w:right w:val="none" w:sz="0" w:space="0" w:color="auto"/>
      </w:divBdr>
    </w:div>
    <w:div w:id="31078633">
      <w:bodyDiv w:val="1"/>
      <w:marLeft w:val="0"/>
      <w:marRight w:val="0"/>
      <w:marTop w:val="0"/>
      <w:marBottom w:val="0"/>
      <w:divBdr>
        <w:top w:val="none" w:sz="0" w:space="0" w:color="auto"/>
        <w:left w:val="none" w:sz="0" w:space="0" w:color="auto"/>
        <w:bottom w:val="none" w:sz="0" w:space="0" w:color="auto"/>
        <w:right w:val="none" w:sz="0" w:space="0" w:color="auto"/>
      </w:divBdr>
      <w:divsChild>
        <w:div w:id="24215228">
          <w:marLeft w:val="0"/>
          <w:marRight w:val="0"/>
          <w:marTop w:val="0"/>
          <w:marBottom w:val="0"/>
          <w:divBdr>
            <w:top w:val="none" w:sz="0" w:space="0" w:color="auto"/>
            <w:left w:val="none" w:sz="0" w:space="0" w:color="auto"/>
            <w:bottom w:val="none" w:sz="0" w:space="0" w:color="auto"/>
            <w:right w:val="none" w:sz="0" w:space="0" w:color="auto"/>
          </w:divBdr>
        </w:div>
        <w:div w:id="456680713">
          <w:marLeft w:val="0"/>
          <w:marRight w:val="0"/>
          <w:marTop w:val="0"/>
          <w:marBottom w:val="0"/>
          <w:divBdr>
            <w:top w:val="none" w:sz="0" w:space="0" w:color="auto"/>
            <w:left w:val="none" w:sz="0" w:space="0" w:color="auto"/>
            <w:bottom w:val="none" w:sz="0" w:space="0" w:color="auto"/>
            <w:right w:val="none" w:sz="0" w:space="0" w:color="auto"/>
          </w:divBdr>
        </w:div>
        <w:div w:id="505559292">
          <w:marLeft w:val="0"/>
          <w:marRight w:val="0"/>
          <w:marTop w:val="0"/>
          <w:marBottom w:val="0"/>
          <w:divBdr>
            <w:top w:val="none" w:sz="0" w:space="0" w:color="auto"/>
            <w:left w:val="none" w:sz="0" w:space="0" w:color="auto"/>
            <w:bottom w:val="none" w:sz="0" w:space="0" w:color="auto"/>
            <w:right w:val="none" w:sz="0" w:space="0" w:color="auto"/>
          </w:divBdr>
        </w:div>
        <w:div w:id="626393401">
          <w:marLeft w:val="0"/>
          <w:marRight w:val="0"/>
          <w:marTop w:val="0"/>
          <w:marBottom w:val="0"/>
          <w:divBdr>
            <w:top w:val="none" w:sz="0" w:space="0" w:color="auto"/>
            <w:left w:val="none" w:sz="0" w:space="0" w:color="auto"/>
            <w:bottom w:val="none" w:sz="0" w:space="0" w:color="auto"/>
            <w:right w:val="none" w:sz="0" w:space="0" w:color="auto"/>
          </w:divBdr>
        </w:div>
        <w:div w:id="658198378">
          <w:marLeft w:val="0"/>
          <w:marRight w:val="0"/>
          <w:marTop w:val="0"/>
          <w:marBottom w:val="0"/>
          <w:divBdr>
            <w:top w:val="none" w:sz="0" w:space="0" w:color="auto"/>
            <w:left w:val="none" w:sz="0" w:space="0" w:color="auto"/>
            <w:bottom w:val="none" w:sz="0" w:space="0" w:color="auto"/>
            <w:right w:val="none" w:sz="0" w:space="0" w:color="auto"/>
          </w:divBdr>
        </w:div>
        <w:div w:id="678852459">
          <w:marLeft w:val="0"/>
          <w:marRight w:val="0"/>
          <w:marTop w:val="0"/>
          <w:marBottom w:val="0"/>
          <w:divBdr>
            <w:top w:val="none" w:sz="0" w:space="0" w:color="auto"/>
            <w:left w:val="none" w:sz="0" w:space="0" w:color="auto"/>
            <w:bottom w:val="none" w:sz="0" w:space="0" w:color="auto"/>
            <w:right w:val="none" w:sz="0" w:space="0" w:color="auto"/>
          </w:divBdr>
        </w:div>
        <w:div w:id="954215766">
          <w:marLeft w:val="0"/>
          <w:marRight w:val="0"/>
          <w:marTop w:val="0"/>
          <w:marBottom w:val="0"/>
          <w:divBdr>
            <w:top w:val="none" w:sz="0" w:space="0" w:color="auto"/>
            <w:left w:val="none" w:sz="0" w:space="0" w:color="auto"/>
            <w:bottom w:val="none" w:sz="0" w:space="0" w:color="auto"/>
            <w:right w:val="none" w:sz="0" w:space="0" w:color="auto"/>
          </w:divBdr>
        </w:div>
        <w:div w:id="1014840336">
          <w:marLeft w:val="0"/>
          <w:marRight w:val="0"/>
          <w:marTop w:val="0"/>
          <w:marBottom w:val="0"/>
          <w:divBdr>
            <w:top w:val="none" w:sz="0" w:space="0" w:color="auto"/>
            <w:left w:val="none" w:sz="0" w:space="0" w:color="auto"/>
            <w:bottom w:val="none" w:sz="0" w:space="0" w:color="auto"/>
            <w:right w:val="none" w:sz="0" w:space="0" w:color="auto"/>
          </w:divBdr>
        </w:div>
        <w:div w:id="1015695393">
          <w:marLeft w:val="0"/>
          <w:marRight w:val="0"/>
          <w:marTop w:val="0"/>
          <w:marBottom w:val="0"/>
          <w:divBdr>
            <w:top w:val="none" w:sz="0" w:space="0" w:color="auto"/>
            <w:left w:val="none" w:sz="0" w:space="0" w:color="auto"/>
            <w:bottom w:val="none" w:sz="0" w:space="0" w:color="auto"/>
            <w:right w:val="none" w:sz="0" w:space="0" w:color="auto"/>
          </w:divBdr>
        </w:div>
        <w:div w:id="1132022272">
          <w:marLeft w:val="0"/>
          <w:marRight w:val="0"/>
          <w:marTop w:val="0"/>
          <w:marBottom w:val="0"/>
          <w:divBdr>
            <w:top w:val="none" w:sz="0" w:space="0" w:color="auto"/>
            <w:left w:val="none" w:sz="0" w:space="0" w:color="auto"/>
            <w:bottom w:val="none" w:sz="0" w:space="0" w:color="auto"/>
            <w:right w:val="none" w:sz="0" w:space="0" w:color="auto"/>
          </w:divBdr>
        </w:div>
        <w:div w:id="1355613584">
          <w:marLeft w:val="0"/>
          <w:marRight w:val="0"/>
          <w:marTop w:val="0"/>
          <w:marBottom w:val="0"/>
          <w:divBdr>
            <w:top w:val="none" w:sz="0" w:space="0" w:color="auto"/>
            <w:left w:val="none" w:sz="0" w:space="0" w:color="auto"/>
            <w:bottom w:val="none" w:sz="0" w:space="0" w:color="auto"/>
            <w:right w:val="none" w:sz="0" w:space="0" w:color="auto"/>
          </w:divBdr>
        </w:div>
        <w:div w:id="1627465658">
          <w:marLeft w:val="0"/>
          <w:marRight w:val="0"/>
          <w:marTop w:val="0"/>
          <w:marBottom w:val="0"/>
          <w:divBdr>
            <w:top w:val="none" w:sz="0" w:space="0" w:color="auto"/>
            <w:left w:val="none" w:sz="0" w:space="0" w:color="auto"/>
            <w:bottom w:val="none" w:sz="0" w:space="0" w:color="auto"/>
            <w:right w:val="none" w:sz="0" w:space="0" w:color="auto"/>
          </w:divBdr>
        </w:div>
        <w:div w:id="1778325897">
          <w:marLeft w:val="0"/>
          <w:marRight w:val="0"/>
          <w:marTop w:val="0"/>
          <w:marBottom w:val="0"/>
          <w:divBdr>
            <w:top w:val="none" w:sz="0" w:space="0" w:color="auto"/>
            <w:left w:val="none" w:sz="0" w:space="0" w:color="auto"/>
            <w:bottom w:val="none" w:sz="0" w:space="0" w:color="auto"/>
            <w:right w:val="none" w:sz="0" w:space="0" w:color="auto"/>
          </w:divBdr>
        </w:div>
        <w:div w:id="1860505351">
          <w:marLeft w:val="0"/>
          <w:marRight w:val="0"/>
          <w:marTop w:val="0"/>
          <w:marBottom w:val="0"/>
          <w:divBdr>
            <w:top w:val="none" w:sz="0" w:space="0" w:color="auto"/>
            <w:left w:val="none" w:sz="0" w:space="0" w:color="auto"/>
            <w:bottom w:val="none" w:sz="0" w:space="0" w:color="auto"/>
            <w:right w:val="none" w:sz="0" w:space="0" w:color="auto"/>
          </w:divBdr>
        </w:div>
        <w:div w:id="2059284518">
          <w:marLeft w:val="0"/>
          <w:marRight w:val="0"/>
          <w:marTop w:val="0"/>
          <w:marBottom w:val="0"/>
          <w:divBdr>
            <w:top w:val="none" w:sz="0" w:space="0" w:color="auto"/>
            <w:left w:val="none" w:sz="0" w:space="0" w:color="auto"/>
            <w:bottom w:val="none" w:sz="0" w:space="0" w:color="auto"/>
            <w:right w:val="none" w:sz="0" w:space="0" w:color="auto"/>
          </w:divBdr>
        </w:div>
      </w:divsChild>
    </w:div>
    <w:div w:id="31728991">
      <w:bodyDiv w:val="1"/>
      <w:marLeft w:val="0"/>
      <w:marRight w:val="0"/>
      <w:marTop w:val="0"/>
      <w:marBottom w:val="0"/>
      <w:divBdr>
        <w:top w:val="none" w:sz="0" w:space="0" w:color="auto"/>
        <w:left w:val="none" w:sz="0" w:space="0" w:color="auto"/>
        <w:bottom w:val="none" w:sz="0" w:space="0" w:color="auto"/>
        <w:right w:val="none" w:sz="0" w:space="0" w:color="auto"/>
      </w:divBdr>
    </w:div>
    <w:div w:id="31807933">
      <w:bodyDiv w:val="1"/>
      <w:marLeft w:val="0"/>
      <w:marRight w:val="0"/>
      <w:marTop w:val="0"/>
      <w:marBottom w:val="0"/>
      <w:divBdr>
        <w:top w:val="none" w:sz="0" w:space="0" w:color="auto"/>
        <w:left w:val="none" w:sz="0" w:space="0" w:color="auto"/>
        <w:bottom w:val="none" w:sz="0" w:space="0" w:color="auto"/>
        <w:right w:val="none" w:sz="0" w:space="0" w:color="auto"/>
      </w:divBdr>
    </w:div>
    <w:div w:id="31881695">
      <w:bodyDiv w:val="1"/>
      <w:marLeft w:val="0"/>
      <w:marRight w:val="0"/>
      <w:marTop w:val="0"/>
      <w:marBottom w:val="0"/>
      <w:divBdr>
        <w:top w:val="none" w:sz="0" w:space="0" w:color="auto"/>
        <w:left w:val="none" w:sz="0" w:space="0" w:color="auto"/>
        <w:bottom w:val="none" w:sz="0" w:space="0" w:color="auto"/>
        <w:right w:val="none" w:sz="0" w:space="0" w:color="auto"/>
      </w:divBdr>
    </w:div>
    <w:div w:id="32462782">
      <w:bodyDiv w:val="1"/>
      <w:marLeft w:val="0"/>
      <w:marRight w:val="0"/>
      <w:marTop w:val="0"/>
      <w:marBottom w:val="0"/>
      <w:divBdr>
        <w:top w:val="none" w:sz="0" w:space="0" w:color="auto"/>
        <w:left w:val="none" w:sz="0" w:space="0" w:color="auto"/>
        <w:bottom w:val="none" w:sz="0" w:space="0" w:color="auto"/>
        <w:right w:val="none" w:sz="0" w:space="0" w:color="auto"/>
      </w:divBdr>
    </w:div>
    <w:div w:id="32654114">
      <w:bodyDiv w:val="1"/>
      <w:marLeft w:val="0"/>
      <w:marRight w:val="0"/>
      <w:marTop w:val="0"/>
      <w:marBottom w:val="0"/>
      <w:divBdr>
        <w:top w:val="none" w:sz="0" w:space="0" w:color="auto"/>
        <w:left w:val="none" w:sz="0" w:space="0" w:color="auto"/>
        <w:bottom w:val="none" w:sz="0" w:space="0" w:color="auto"/>
        <w:right w:val="none" w:sz="0" w:space="0" w:color="auto"/>
      </w:divBdr>
    </w:div>
    <w:div w:id="32777573">
      <w:bodyDiv w:val="1"/>
      <w:marLeft w:val="0"/>
      <w:marRight w:val="0"/>
      <w:marTop w:val="0"/>
      <w:marBottom w:val="0"/>
      <w:divBdr>
        <w:top w:val="none" w:sz="0" w:space="0" w:color="auto"/>
        <w:left w:val="none" w:sz="0" w:space="0" w:color="auto"/>
        <w:bottom w:val="none" w:sz="0" w:space="0" w:color="auto"/>
        <w:right w:val="none" w:sz="0" w:space="0" w:color="auto"/>
      </w:divBdr>
    </w:div>
    <w:div w:id="32970770">
      <w:bodyDiv w:val="1"/>
      <w:marLeft w:val="0"/>
      <w:marRight w:val="0"/>
      <w:marTop w:val="0"/>
      <w:marBottom w:val="0"/>
      <w:divBdr>
        <w:top w:val="none" w:sz="0" w:space="0" w:color="auto"/>
        <w:left w:val="none" w:sz="0" w:space="0" w:color="auto"/>
        <w:bottom w:val="none" w:sz="0" w:space="0" w:color="auto"/>
        <w:right w:val="none" w:sz="0" w:space="0" w:color="auto"/>
      </w:divBdr>
    </w:div>
    <w:div w:id="33122453">
      <w:bodyDiv w:val="1"/>
      <w:marLeft w:val="0"/>
      <w:marRight w:val="0"/>
      <w:marTop w:val="0"/>
      <w:marBottom w:val="0"/>
      <w:divBdr>
        <w:top w:val="none" w:sz="0" w:space="0" w:color="auto"/>
        <w:left w:val="none" w:sz="0" w:space="0" w:color="auto"/>
        <w:bottom w:val="none" w:sz="0" w:space="0" w:color="auto"/>
        <w:right w:val="none" w:sz="0" w:space="0" w:color="auto"/>
      </w:divBdr>
    </w:div>
    <w:div w:id="34549158">
      <w:bodyDiv w:val="1"/>
      <w:marLeft w:val="0"/>
      <w:marRight w:val="0"/>
      <w:marTop w:val="0"/>
      <w:marBottom w:val="0"/>
      <w:divBdr>
        <w:top w:val="none" w:sz="0" w:space="0" w:color="auto"/>
        <w:left w:val="none" w:sz="0" w:space="0" w:color="auto"/>
        <w:bottom w:val="none" w:sz="0" w:space="0" w:color="auto"/>
        <w:right w:val="none" w:sz="0" w:space="0" w:color="auto"/>
      </w:divBdr>
    </w:div>
    <w:div w:id="35664479">
      <w:bodyDiv w:val="1"/>
      <w:marLeft w:val="0"/>
      <w:marRight w:val="0"/>
      <w:marTop w:val="0"/>
      <w:marBottom w:val="0"/>
      <w:divBdr>
        <w:top w:val="none" w:sz="0" w:space="0" w:color="auto"/>
        <w:left w:val="none" w:sz="0" w:space="0" w:color="auto"/>
        <w:bottom w:val="none" w:sz="0" w:space="0" w:color="auto"/>
        <w:right w:val="none" w:sz="0" w:space="0" w:color="auto"/>
      </w:divBdr>
    </w:div>
    <w:div w:id="36202063">
      <w:bodyDiv w:val="1"/>
      <w:marLeft w:val="0"/>
      <w:marRight w:val="0"/>
      <w:marTop w:val="0"/>
      <w:marBottom w:val="0"/>
      <w:divBdr>
        <w:top w:val="none" w:sz="0" w:space="0" w:color="auto"/>
        <w:left w:val="none" w:sz="0" w:space="0" w:color="auto"/>
        <w:bottom w:val="none" w:sz="0" w:space="0" w:color="auto"/>
        <w:right w:val="none" w:sz="0" w:space="0" w:color="auto"/>
      </w:divBdr>
    </w:div>
    <w:div w:id="36273018">
      <w:bodyDiv w:val="1"/>
      <w:marLeft w:val="0"/>
      <w:marRight w:val="0"/>
      <w:marTop w:val="0"/>
      <w:marBottom w:val="0"/>
      <w:divBdr>
        <w:top w:val="none" w:sz="0" w:space="0" w:color="auto"/>
        <w:left w:val="none" w:sz="0" w:space="0" w:color="auto"/>
        <w:bottom w:val="none" w:sz="0" w:space="0" w:color="auto"/>
        <w:right w:val="none" w:sz="0" w:space="0" w:color="auto"/>
      </w:divBdr>
    </w:div>
    <w:div w:id="36709475">
      <w:bodyDiv w:val="1"/>
      <w:marLeft w:val="0"/>
      <w:marRight w:val="0"/>
      <w:marTop w:val="0"/>
      <w:marBottom w:val="0"/>
      <w:divBdr>
        <w:top w:val="none" w:sz="0" w:space="0" w:color="auto"/>
        <w:left w:val="none" w:sz="0" w:space="0" w:color="auto"/>
        <w:bottom w:val="none" w:sz="0" w:space="0" w:color="auto"/>
        <w:right w:val="none" w:sz="0" w:space="0" w:color="auto"/>
      </w:divBdr>
    </w:div>
    <w:div w:id="36781562">
      <w:bodyDiv w:val="1"/>
      <w:marLeft w:val="0"/>
      <w:marRight w:val="0"/>
      <w:marTop w:val="0"/>
      <w:marBottom w:val="0"/>
      <w:divBdr>
        <w:top w:val="none" w:sz="0" w:space="0" w:color="auto"/>
        <w:left w:val="none" w:sz="0" w:space="0" w:color="auto"/>
        <w:bottom w:val="none" w:sz="0" w:space="0" w:color="auto"/>
        <w:right w:val="none" w:sz="0" w:space="0" w:color="auto"/>
      </w:divBdr>
    </w:div>
    <w:div w:id="36975257">
      <w:bodyDiv w:val="1"/>
      <w:marLeft w:val="0"/>
      <w:marRight w:val="0"/>
      <w:marTop w:val="0"/>
      <w:marBottom w:val="0"/>
      <w:divBdr>
        <w:top w:val="none" w:sz="0" w:space="0" w:color="auto"/>
        <w:left w:val="none" w:sz="0" w:space="0" w:color="auto"/>
        <w:bottom w:val="none" w:sz="0" w:space="0" w:color="auto"/>
        <w:right w:val="none" w:sz="0" w:space="0" w:color="auto"/>
      </w:divBdr>
    </w:div>
    <w:div w:id="37048841">
      <w:bodyDiv w:val="1"/>
      <w:marLeft w:val="0"/>
      <w:marRight w:val="0"/>
      <w:marTop w:val="0"/>
      <w:marBottom w:val="0"/>
      <w:divBdr>
        <w:top w:val="none" w:sz="0" w:space="0" w:color="auto"/>
        <w:left w:val="none" w:sz="0" w:space="0" w:color="auto"/>
        <w:bottom w:val="none" w:sz="0" w:space="0" w:color="auto"/>
        <w:right w:val="none" w:sz="0" w:space="0" w:color="auto"/>
      </w:divBdr>
    </w:div>
    <w:div w:id="37173541">
      <w:bodyDiv w:val="1"/>
      <w:marLeft w:val="0"/>
      <w:marRight w:val="0"/>
      <w:marTop w:val="0"/>
      <w:marBottom w:val="0"/>
      <w:divBdr>
        <w:top w:val="none" w:sz="0" w:space="0" w:color="auto"/>
        <w:left w:val="none" w:sz="0" w:space="0" w:color="auto"/>
        <w:bottom w:val="none" w:sz="0" w:space="0" w:color="auto"/>
        <w:right w:val="none" w:sz="0" w:space="0" w:color="auto"/>
      </w:divBdr>
    </w:div>
    <w:div w:id="37709286">
      <w:bodyDiv w:val="1"/>
      <w:marLeft w:val="0"/>
      <w:marRight w:val="0"/>
      <w:marTop w:val="0"/>
      <w:marBottom w:val="0"/>
      <w:divBdr>
        <w:top w:val="none" w:sz="0" w:space="0" w:color="auto"/>
        <w:left w:val="none" w:sz="0" w:space="0" w:color="auto"/>
        <w:bottom w:val="none" w:sz="0" w:space="0" w:color="auto"/>
        <w:right w:val="none" w:sz="0" w:space="0" w:color="auto"/>
      </w:divBdr>
      <w:divsChild>
        <w:div w:id="938835954">
          <w:marLeft w:val="0"/>
          <w:marRight w:val="0"/>
          <w:marTop w:val="0"/>
          <w:marBottom w:val="0"/>
          <w:divBdr>
            <w:top w:val="none" w:sz="0" w:space="0" w:color="auto"/>
            <w:left w:val="none" w:sz="0" w:space="0" w:color="auto"/>
            <w:bottom w:val="none" w:sz="0" w:space="0" w:color="auto"/>
            <w:right w:val="none" w:sz="0" w:space="0" w:color="auto"/>
          </w:divBdr>
        </w:div>
      </w:divsChild>
    </w:div>
    <w:div w:id="38551202">
      <w:bodyDiv w:val="1"/>
      <w:marLeft w:val="0"/>
      <w:marRight w:val="0"/>
      <w:marTop w:val="0"/>
      <w:marBottom w:val="0"/>
      <w:divBdr>
        <w:top w:val="none" w:sz="0" w:space="0" w:color="auto"/>
        <w:left w:val="none" w:sz="0" w:space="0" w:color="auto"/>
        <w:bottom w:val="none" w:sz="0" w:space="0" w:color="auto"/>
        <w:right w:val="none" w:sz="0" w:space="0" w:color="auto"/>
      </w:divBdr>
    </w:div>
    <w:div w:id="38863941">
      <w:bodyDiv w:val="1"/>
      <w:marLeft w:val="0"/>
      <w:marRight w:val="0"/>
      <w:marTop w:val="0"/>
      <w:marBottom w:val="0"/>
      <w:divBdr>
        <w:top w:val="none" w:sz="0" w:space="0" w:color="auto"/>
        <w:left w:val="none" w:sz="0" w:space="0" w:color="auto"/>
        <w:bottom w:val="none" w:sz="0" w:space="0" w:color="auto"/>
        <w:right w:val="none" w:sz="0" w:space="0" w:color="auto"/>
      </w:divBdr>
    </w:div>
    <w:div w:id="38870722">
      <w:bodyDiv w:val="1"/>
      <w:marLeft w:val="0"/>
      <w:marRight w:val="0"/>
      <w:marTop w:val="0"/>
      <w:marBottom w:val="0"/>
      <w:divBdr>
        <w:top w:val="none" w:sz="0" w:space="0" w:color="auto"/>
        <w:left w:val="none" w:sz="0" w:space="0" w:color="auto"/>
        <w:bottom w:val="none" w:sz="0" w:space="0" w:color="auto"/>
        <w:right w:val="none" w:sz="0" w:space="0" w:color="auto"/>
      </w:divBdr>
    </w:div>
    <w:div w:id="39671086">
      <w:bodyDiv w:val="1"/>
      <w:marLeft w:val="0"/>
      <w:marRight w:val="0"/>
      <w:marTop w:val="0"/>
      <w:marBottom w:val="0"/>
      <w:divBdr>
        <w:top w:val="none" w:sz="0" w:space="0" w:color="auto"/>
        <w:left w:val="none" w:sz="0" w:space="0" w:color="auto"/>
        <w:bottom w:val="none" w:sz="0" w:space="0" w:color="auto"/>
        <w:right w:val="none" w:sz="0" w:space="0" w:color="auto"/>
      </w:divBdr>
    </w:div>
    <w:div w:id="39941722">
      <w:bodyDiv w:val="1"/>
      <w:marLeft w:val="0"/>
      <w:marRight w:val="0"/>
      <w:marTop w:val="0"/>
      <w:marBottom w:val="0"/>
      <w:divBdr>
        <w:top w:val="none" w:sz="0" w:space="0" w:color="auto"/>
        <w:left w:val="none" w:sz="0" w:space="0" w:color="auto"/>
        <w:bottom w:val="none" w:sz="0" w:space="0" w:color="auto"/>
        <w:right w:val="none" w:sz="0" w:space="0" w:color="auto"/>
      </w:divBdr>
    </w:div>
    <w:div w:id="40906351">
      <w:bodyDiv w:val="1"/>
      <w:marLeft w:val="0"/>
      <w:marRight w:val="0"/>
      <w:marTop w:val="0"/>
      <w:marBottom w:val="0"/>
      <w:divBdr>
        <w:top w:val="none" w:sz="0" w:space="0" w:color="auto"/>
        <w:left w:val="none" w:sz="0" w:space="0" w:color="auto"/>
        <w:bottom w:val="none" w:sz="0" w:space="0" w:color="auto"/>
        <w:right w:val="none" w:sz="0" w:space="0" w:color="auto"/>
      </w:divBdr>
    </w:div>
    <w:div w:id="40908877">
      <w:bodyDiv w:val="1"/>
      <w:marLeft w:val="0"/>
      <w:marRight w:val="0"/>
      <w:marTop w:val="0"/>
      <w:marBottom w:val="0"/>
      <w:divBdr>
        <w:top w:val="none" w:sz="0" w:space="0" w:color="auto"/>
        <w:left w:val="none" w:sz="0" w:space="0" w:color="auto"/>
        <w:bottom w:val="none" w:sz="0" w:space="0" w:color="auto"/>
        <w:right w:val="none" w:sz="0" w:space="0" w:color="auto"/>
      </w:divBdr>
    </w:div>
    <w:div w:id="40982542">
      <w:bodyDiv w:val="1"/>
      <w:marLeft w:val="0"/>
      <w:marRight w:val="0"/>
      <w:marTop w:val="0"/>
      <w:marBottom w:val="0"/>
      <w:divBdr>
        <w:top w:val="none" w:sz="0" w:space="0" w:color="auto"/>
        <w:left w:val="none" w:sz="0" w:space="0" w:color="auto"/>
        <w:bottom w:val="none" w:sz="0" w:space="0" w:color="auto"/>
        <w:right w:val="none" w:sz="0" w:space="0" w:color="auto"/>
      </w:divBdr>
    </w:div>
    <w:div w:id="42603689">
      <w:bodyDiv w:val="1"/>
      <w:marLeft w:val="0"/>
      <w:marRight w:val="0"/>
      <w:marTop w:val="0"/>
      <w:marBottom w:val="0"/>
      <w:divBdr>
        <w:top w:val="none" w:sz="0" w:space="0" w:color="auto"/>
        <w:left w:val="none" w:sz="0" w:space="0" w:color="auto"/>
        <w:bottom w:val="none" w:sz="0" w:space="0" w:color="auto"/>
        <w:right w:val="none" w:sz="0" w:space="0" w:color="auto"/>
      </w:divBdr>
    </w:div>
    <w:div w:id="43021605">
      <w:bodyDiv w:val="1"/>
      <w:marLeft w:val="0"/>
      <w:marRight w:val="0"/>
      <w:marTop w:val="0"/>
      <w:marBottom w:val="0"/>
      <w:divBdr>
        <w:top w:val="none" w:sz="0" w:space="0" w:color="auto"/>
        <w:left w:val="none" w:sz="0" w:space="0" w:color="auto"/>
        <w:bottom w:val="none" w:sz="0" w:space="0" w:color="auto"/>
        <w:right w:val="none" w:sz="0" w:space="0" w:color="auto"/>
      </w:divBdr>
    </w:div>
    <w:div w:id="43524913">
      <w:bodyDiv w:val="1"/>
      <w:marLeft w:val="0"/>
      <w:marRight w:val="0"/>
      <w:marTop w:val="0"/>
      <w:marBottom w:val="0"/>
      <w:divBdr>
        <w:top w:val="none" w:sz="0" w:space="0" w:color="auto"/>
        <w:left w:val="none" w:sz="0" w:space="0" w:color="auto"/>
        <w:bottom w:val="none" w:sz="0" w:space="0" w:color="auto"/>
        <w:right w:val="none" w:sz="0" w:space="0" w:color="auto"/>
      </w:divBdr>
    </w:div>
    <w:div w:id="43528433">
      <w:bodyDiv w:val="1"/>
      <w:marLeft w:val="0"/>
      <w:marRight w:val="0"/>
      <w:marTop w:val="0"/>
      <w:marBottom w:val="0"/>
      <w:divBdr>
        <w:top w:val="none" w:sz="0" w:space="0" w:color="auto"/>
        <w:left w:val="none" w:sz="0" w:space="0" w:color="auto"/>
        <w:bottom w:val="none" w:sz="0" w:space="0" w:color="auto"/>
        <w:right w:val="none" w:sz="0" w:space="0" w:color="auto"/>
      </w:divBdr>
    </w:div>
    <w:div w:id="43720729">
      <w:bodyDiv w:val="1"/>
      <w:marLeft w:val="0"/>
      <w:marRight w:val="0"/>
      <w:marTop w:val="0"/>
      <w:marBottom w:val="0"/>
      <w:divBdr>
        <w:top w:val="none" w:sz="0" w:space="0" w:color="auto"/>
        <w:left w:val="none" w:sz="0" w:space="0" w:color="auto"/>
        <w:bottom w:val="none" w:sz="0" w:space="0" w:color="auto"/>
        <w:right w:val="none" w:sz="0" w:space="0" w:color="auto"/>
      </w:divBdr>
    </w:div>
    <w:div w:id="43800913">
      <w:bodyDiv w:val="1"/>
      <w:marLeft w:val="0"/>
      <w:marRight w:val="0"/>
      <w:marTop w:val="0"/>
      <w:marBottom w:val="0"/>
      <w:divBdr>
        <w:top w:val="none" w:sz="0" w:space="0" w:color="auto"/>
        <w:left w:val="none" w:sz="0" w:space="0" w:color="auto"/>
        <w:bottom w:val="none" w:sz="0" w:space="0" w:color="auto"/>
        <w:right w:val="none" w:sz="0" w:space="0" w:color="auto"/>
      </w:divBdr>
    </w:div>
    <w:div w:id="43994320">
      <w:bodyDiv w:val="1"/>
      <w:marLeft w:val="0"/>
      <w:marRight w:val="0"/>
      <w:marTop w:val="0"/>
      <w:marBottom w:val="0"/>
      <w:divBdr>
        <w:top w:val="none" w:sz="0" w:space="0" w:color="auto"/>
        <w:left w:val="none" w:sz="0" w:space="0" w:color="auto"/>
        <w:bottom w:val="none" w:sz="0" w:space="0" w:color="auto"/>
        <w:right w:val="none" w:sz="0" w:space="0" w:color="auto"/>
      </w:divBdr>
    </w:div>
    <w:div w:id="44184210">
      <w:bodyDiv w:val="1"/>
      <w:marLeft w:val="0"/>
      <w:marRight w:val="0"/>
      <w:marTop w:val="0"/>
      <w:marBottom w:val="0"/>
      <w:divBdr>
        <w:top w:val="none" w:sz="0" w:space="0" w:color="auto"/>
        <w:left w:val="none" w:sz="0" w:space="0" w:color="auto"/>
        <w:bottom w:val="none" w:sz="0" w:space="0" w:color="auto"/>
        <w:right w:val="none" w:sz="0" w:space="0" w:color="auto"/>
      </w:divBdr>
      <w:divsChild>
        <w:div w:id="1690526493">
          <w:marLeft w:val="0"/>
          <w:marRight w:val="0"/>
          <w:marTop w:val="0"/>
          <w:marBottom w:val="0"/>
          <w:divBdr>
            <w:top w:val="none" w:sz="0" w:space="0" w:color="auto"/>
            <w:left w:val="none" w:sz="0" w:space="0" w:color="auto"/>
            <w:bottom w:val="none" w:sz="0" w:space="0" w:color="auto"/>
            <w:right w:val="none" w:sz="0" w:space="0" w:color="auto"/>
          </w:divBdr>
        </w:div>
      </w:divsChild>
    </w:div>
    <w:div w:id="44186008">
      <w:bodyDiv w:val="1"/>
      <w:marLeft w:val="0"/>
      <w:marRight w:val="0"/>
      <w:marTop w:val="0"/>
      <w:marBottom w:val="0"/>
      <w:divBdr>
        <w:top w:val="none" w:sz="0" w:space="0" w:color="auto"/>
        <w:left w:val="none" w:sz="0" w:space="0" w:color="auto"/>
        <w:bottom w:val="none" w:sz="0" w:space="0" w:color="auto"/>
        <w:right w:val="none" w:sz="0" w:space="0" w:color="auto"/>
      </w:divBdr>
    </w:div>
    <w:div w:id="44447358">
      <w:bodyDiv w:val="1"/>
      <w:marLeft w:val="0"/>
      <w:marRight w:val="0"/>
      <w:marTop w:val="0"/>
      <w:marBottom w:val="0"/>
      <w:divBdr>
        <w:top w:val="none" w:sz="0" w:space="0" w:color="auto"/>
        <w:left w:val="none" w:sz="0" w:space="0" w:color="auto"/>
        <w:bottom w:val="none" w:sz="0" w:space="0" w:color="auto"/>
        <w:right w:val="none" w:sz="0" w:space="0" w:color="auto"/>
      </w:divBdr>
    </w:div>
    <w:div w:id="44834752">
      <w:bodyDiv w:val="1"/>
      <w:marLeft w:val="0"/>
      <w:marRight w:val="0"/>
      <w:marTop w:val="0"/>
      <w:marBottom w:val="0"/>
      <w:divBdr>
        <w:top w:val="none" w:sz="0" w:space="0" w:color="auto"/>
        <w:left w:val="none" w:sz="0" w:space="0" w:color="auto"/>
        <w:bottom w:val="none" w:sz="0" w:space="0" w:color="auto"/>
        <w:right w:val="none" w:sz="0" w:space="0" w:color="auto"/>
      </w:divBdr>
    </w:div>
    <w:div w:id="45381006">
      <w:bodyDiv w:val="1"/>
      <w:marLeft w:val="0"/>
      <w:marRight w:val="0"/>
      <w:marTop w:val="0"/>
      <w:marBottom w:val="0"/>
      <w:divBdr>
        <w:top w:val="none" w:sz="0" w:space="0" w:color="auto"/>
        <w:left w:val="none" w:sz="0" w:space="0" w:color="auto"/>
        <w:bottom w:val="none" w:sz="0" w:space="0" w:color="auto"/>
        <w:right w:val="none" w:sz="0" w:space="0" w:color="auto"/>
      </w:divBdr>
    </w:div>
    <w:div w:id="45568382">
      <w:bodyDiv w:val="1"/>
      <w:marLeft w:val="0"/>
      <w:marRight w:val="0"/>
      <w:marTop w:val="0"/>
      <w:marBottom w:val="0"/>
      <w:divBdr>
        <w:top w:val="none" w:sz="0" w:space="0" w:color="auto"/>
        <w:left w:val="none" w:sz="0" w:space="0" w:color="auto"/>
        <w:bottom w:val="none" w:sz="0" w:space="0" w:color="auto"/>
        <w:right w:val="none" w:sz="0" w:space="0" w:color="auto"/>
      </w:divBdr>
    </w:div>
    <w:div w:id="45841191">
      <w:bodyDiv w:val="1"/>
      <w:marLeft w:val="0"/>
      <w:marRight w:val="0"/>
      <w:marTop w:val="0"/>
      <w:marBottom w:val="0"/>
      <w:divBdr>
        <w:top w:val="none" w:sz="0" w:space="0" w:color="auto"/>
        <w:left w:val="none" w:sz="0" w:space="0" w:color="auto"/>
        <w:bottom w:val="none" w:sz="0" w:space="0" w:color="auto"/>
        <w:right w:val="none" w:sz="0" w:space="0" w:color="auto"/>
      </w:divBdr>
    </w:div>
    <w:div w:id="46298492">
      <w:bodyDiv w:val="1"/>
      <w:marLeft w:val="0"/>
      <w:marRight w:val="0"/>
      <w:marTop w:val="0"/>
      <w:marBottom w:val="0"/>
      <w:divBdr>
        <w:top w:val="none" w:sz="0" w:space="0" w:color="auto"/>
        <w:left w:val="none" w:sz="0" w:space="0" w:color="auto"/>
        <w:bottom w:val="none" w:sz="0" w:space="0" w:color="auto"/>
        <w:right w:val="none" w:sz="0" w:space="0" w:color="auto"/>
      </w:divBdr>
    </w:div>
    <w:div w:id="46340573">
      <w:bodyDiv w:val="1"/>
      <w:marLeft w:val="0"/>
      <w:marRight w:val="0"/>
      <w:marTop w:val="0"/>
      <w:marBottom w:val="0"/>
      <w:divBdr>
        <w:top w:val="none" w:sz="0" w:space="0" w:color="auto"/>
        <w:left w:val="none" w:sz="0" w:space="0" w:color="auto"/>
        <w:bottom w:val="none" w:sz="0" w:space="0" w:color="auto"/>
        <w:right w:val="none" w:sz="0" w:space="0" w:color="auto"/>
      </w:divBdr>
    </w:div>
    <w:div w:id="46882448">
      <w:bodyDiv w:val="1"/>
      <w:marLeft w:val="0"/>
      <w:marRight w:val="0"/>
      <w:marTop w:val="0"/>
      <w:marBottom w:val="0"/>
      <w:divBdr>
        <w:top w:val="none" w:sz="0" w:space="0" w:color="auto"/>
        <w:left w:val="none" w:sz="0" w:space="0" w:color="auto"/>
        <w:bottom w:val="none" w:sz="0" w:space="0" w:color="auto"/>
        <w:right w:val="none" w:sz="0" w:space="0" w:color="auto"/>
      </w:divBdr>
    </w:div>
    <w:div w:id="46925944">
      <w:bodyDiv w:val="1"/>
      <w:marLeft w:val="0"/>
      <w:marRight w:val="0"/>
      <w:marTop w:val="0"/>
      <w:marBottom w:val="0"/>
      <w:divBdr>
        <w:top w:val="none" w:sz="0" w:space="0" w:color="auto"/>
        <w:left w:val="none" w:sz="0" w:space="0" w:color="auto"/>
        <w:bottom w:val="none" w:sz="0" w:space="0" w:color="auto"/>
        <w:right w:val="none" w:sz="0" w:space="0" w:color="auto"/>
      </w:divBdr>
    </w:div>
    <w:div w:id="47337851">
      <w:bodyDiv w:val="1"/>
      <w:marLeft w:val="0"/>
      <w:marRight w:val="0"/>
      <w:marTop w:val="0"/>
      <w:marBottom w:val="0"/>
      <w:divBdr>
        <w:top w:val="none" w:sz="0" w:space="0" w:color="auto"/>
        <w:left w:val="none" w:sz="0" w:space="0" w:color="auto"/>
        <w:bottom w:val="none" w:sz="0" w:space="0" w:color="auto"/>
        <w:right w:val="none" w:sz="0" w:space="0" w:color="auto"/>
      </w:divBdr>
    </w:div>
    <w:div w:id="48189892">
      <w:bodyDiv w:val="1"/>
      <w:marLeft w:val="0"/>
      <w:marRight w:val="0"/>
      <w:marTop w:val="0"/>
      <w:marBottom w:val="0"/>
      <w:divBdr>
        <w:top w:val="none" w:sz="0" w:space="0" w:color="auto"/>
        <w:left w:val="none" w:sz="0" w:space="0" w:color="auto"/>
        <w:bottom w:val="none" w:sz="0" w:space="0" w:color="auto"/>
        <w:right w:val="none" w:sz="0" w:space="0" w:color="auto"/>
      </w:divBdr>
    </w:div>
    <w:div w:id="48723670">
      <w:bodyDiv w:val="1"/>
      <w:marLeft w:val="0"/>
      <w:marRight w:val="0"/>
      <w:marTop w:val="0"/>
      <w:marBottom w:val="0"/>
      <w:divBdr>
        <w:top w:val="none" w:sz="0" w:space="0" w:color="auto"/>
        <w:left w:val="none" w:sz="0" w:space="0" w:color="auto"/>
        <w:bottom w:val="none" w:sz="0" w:space="0" w:color="auto"/>
        <w:right w:val="none" w:sz="0" w:space="0" w:color="auto"/>
      </w:divBdr>
    </w:div>
    <w:div w:id="49152208">
      <w:bodyDiv w:val="1"/>
      <w:marLeft w:val="0"/>
      <w:marRight w:val="0"/>
      <w:marTop w:val="0"/>
      <w:marBottom w:val="0"/>
      <w:divBdr>
        <w:top w:val="none" w:sz="0" w:space="0" w:color="auto"/>
        <w:left w:val="none" w:sz="0" w:space="0" w:color="auto"/>
        <w:bottom w:val="none" w:sz="0" w:space="0" w:color="auto"/>
        <w:right w:val="none" w:sz="0" w:space="0" w:color="auto"/>
      </w:divBdr>
      <w:divsChild>
        <w:div w:id="371225344">
          <w:marLeft w:val="0"/>
          <w:marRight w:val="0"/>
          <w:marTop w:val="0"/>
          <w:marBottom w:val="0"/>
          <w:divBdr>
            <w:top w:val="none" w:sz="0" w:space="0" w:color="auto"/>
            <w:left w:val="none" w:sz="0" w:space="0" w:color="auto"/>
            <w:bottom w:val="none" w:sz="0" w:space="0" w:color="auto"/>
            <w:right w:val="none" w:sz="0" w:space="0" w:color="auto"/>
          </w:divBdr>
        </w:div>
      </w:divsChild>
    </w:div>
    <w:div w:id="49623313">
      <w:bodyDiv w:val="1"/>
      <w:marLeft w:val="0"/>
      <w:marRight w:val="0"/>
      <w:marTop w:val="0"/>
      <w:marBottom w:val="0"/>
      <w:divBdr>
        <w:top w:val="none" w:sz="0" w:space="0" w:color="auto"/>
        <w:left w:val="none" w:sz="0" w:space="0" w:color="auto"/>
        <w:bottom w:val="none" w:sz="0" w:space="0" w:color="auto"/>
        <w:right w:val="none" w:sz="0" w:space="0" w:color="auto"/>
      </w:divBdr>
    </w:div>
    <w:div w:id="50157172">
      <w:bodyDiv w:val="1"/>
      <w:marLeft w:val="0"/>
      <w:marRight w:val="0"/>
      <w:marTop w:val="0"/>
      <w:marBottom w:val="0"/>
      <w:divBdr>
        <w:top w:val="none" w:sz="0" w:space="0" w:color="auto"/>
        <w:left w:val="none" w:sz="0" w:space="0" w:color="auto"/>
        <w:bottom w:val="none" w:sz="0" w:space="0" w:color="auto"/>
        <w:right w:val="none" w:sz="0" w:space="0" w:color="auto"/>
      </w:divBdr>
    </w:div>
    <w:div w:id="50469701">
      <w:bodyDiv w:val="1"/>
      <w:marLeft w:val="0"/>
      <w:marRight w:val="0"/>
      <w:marTop w:val="0"/>
      <w:marBottom w:val="0"/>
      <w:divBdr>
        <w:top w:val="none" w:sz="0" w:space="0" w:color="auto"/>
        <w:left w:val="none" w:sz="0" w:space="0" w:color="auto"/>
        <w:bottom w:val="none" w:sz="0" w:space="0" w:color="auto"/>
        <w:right w:val="none" w:sz="0" w:space="0" w:color="auto"/>
      </w:divBdr>
    </w:div>
    <w:div w:id="50691408">
      <w:bodyDiv w:val="1"/>
      <w:marLeft w:val="0"/>
      <w:marRight w:val="0"/>
      <w:marTop w:val="0"/>
      <w:marBottom w:val="0"/>
      <w:divBdr>
        <w:top w:val="none" w:sz="0" w:space="0" w:color="auto"/>
        <w:left w:val="none" w:sz="0" w:space="0" w:color="auto"/>
        <w:bottom w:val="none" w:sz="0" w:space="0" w:color="auto"/>
        <w:right w:val="none" w:sz="0" w:space="0" w:color="auto"/>
      </w:divBdr>
    </w:div>
    <w:div w:id="50735396">
      <w:bodyDiv w:val="1"/>
      <w:marLeft w:val="0"/>
      <w:marRight w:val="0"/>
      <w:marTop w:val="0"/>
      <w:marBottom w:val="0"/>
      <w:divBdr>
        <w:top w:val="none" w:sz="0" w:space="0" w:color="auto"/>
        <w:left w:val="none" w:sz="0" w:space="0" w:color="auto"/>
        <w:bottom w:val="none" w:sz="0" w:space="0" w:color="auto"/>
        <w:right w:val="none" w:sz="0" w:space="0" w:color="auto"/>
      </w:divBdr>
    </w:div>
    <w:div w:id="51004311">
      <w:bodyDiv w:val="1"/>
      <w:marLeft w:val="0"/>
      <w:marRight w:val="0"/>
      <w:marTop w:val="0"/>
      <w:marBottom w:val="0"/>
      <w:divBdr>
        <w:top w:val="none" w:sz="0" w:space="0" w:color="auto"/>
        <w:left w:val="none" w:sz="0" w:space="0" w:color="auto"/>
        <w:bottom w:val="none" w:sz="0" w:space="0" w:color="auto"/>
        <w:right w:val="none" w:sz="0" w:space="0" w:color="auto"/>
      </w:divBdr>
    </w:div>
    <w:div w:id="51657070">
      <w:bodyDiv w:val="1"/>
      <w:marLeft w:val="0"/>
      <w:marRight w:val="0"/>
      <w:marTop w:val="0"/>
      <w:marBottom w:val="0"/>
      <w:divBdr>
        <w:top w:val="none" w:sz="0" w:space="0" w:color="auto"/>
        <w:left w:val="none" w:sz="0" w:space="0" w:color="auto"/>
        <w:bottom w:val="none" w:sz="0" w:space="0" w:color="auto"/>
        <w:right w:val="none" w:sz="0" w:space="0" w:color="auto"/>
      </w:divBdr>
    </w:div>
    <w:div w:id="51851351">
      <w:bodyDiv w:val="1"/>
      <w:marLeft w:val="0"/>
      <w:marRight w:val="0"/>
      <w:marTop w:val="0"/>
      <w:marBottom w:val="0"/>
      <w:divBdr>
        <w:top w:val="none" w:sz="0" w:space="0" w:color="auto"/>
        <w:left w:val="none" w:sz="0" w:space="0" w:color="auto"/>
        <w:bottom w:val="none" w:sz="0" w:space="0" w:color="auto"/>
        <w:right w:val="none" w:sz="0" w:space="0" w:color="auto"/>
      </w:divBdr>
    </w:div>
    <w:div w:id="51932292">
      <w:bodyDiv w:val="1"/>
      <w:marLeft w:val="0"/>
      <w:marRight w:val="0"/>
      <w:marTop w:val="0"/>
      <w:marBottom w:val="0"/>
      <w:divBdr>
        <w:top w:val="none" w:sz="0" w:space="0" w:color="auto"/>
        <w:left w:val="none" w:sz="0" w:space="0" w:color="auto"/>
        <w:bottom w:val="none" w:sz="0" w:space="0" w:color="auto"/>
        <w:right w:val="none" w:sz="0" w:space="0" w:color="auto"/>
      </w:divBdr>
    </w:div>
    <w:div w:id="52392798">
      <w:bodyDiv w:val="1"/>
      <w:marLeft w:val="0"/>
      <w:marRight w:val="0"/>
      <w:marTop w:val="0"/>
      <w:marBottom w:val="0"/>
      <w:divBdr>
        <w:top w:val="none" w:sz="0" w:space="0" w:color="auto"/>
        <w:left w:val="none" w:sz="0" w:space="0" w:color="auto"/>
        <w:bottom w:val="none" w:sz="0" w:space="0" w:color="auto"/>
        <w:right w:val="none" w:sz="0" w:space="0" w:color="auto"/>
      </w:divBdr>
    </w:div>
    <w:div w:id="52824280">
      <w:bodyDiv w:val="1"/>
      <w:marLeft w:val="0"/>
      <w:marRight w:val="0"/>
      <w:marTop w:val="0"/>
      <w:marBottom w:val="0"/>
      <w:divBdr>
        <w:top w:val="none" w:sz="0" w:space="0" w:color="auto"/>
        <w:left w:val="none" w:sz="0" w:space="0" w:color="auto"/>
        <w:bottom w:val="none" w:sz="0" w:space="0" w:color="auto"/>
        <w:right w:val="none" w:sz="0" w:space="0" w:color="auto"/>
      </w:divBdr>
    </w:div>
    <w:div w:id="52890665">
      <w:bodyDiv w:val="1"/>
      <w:marLeft w:val="0"/>
      <w:marRight w:val="0"/>
      <w:marTop w:val="0"/>
      <w:marBottom w:val="0"/>
      <w:divBdr>
        <w:top w:val="none" w:sz="0" w:space="0" w:color="auto"/>
        <w:left w:val="none" w:sz="0" w:space="0" w:color="auto"/>
        <w:bottom w:val="none" w:sz="0" w:space="0" w:color="auto"/>
        <w:right w:val="none" w:sz="0" w:space="0" w:color="auto"/>
      </w:divBdr>
    </w:div>
    <w:div w:id="52897254">
      <w:bodyDiv w:val="1"/>
      <w:marLeft w:val="0"/>
      <w:marRight w:val="0"/>
      <w:marTop w:val="0"/>
      <w:marBottom w:val="0"/>
      <w:divBdr>
        <w:top w:val="none" w:sz="0" w:space="0" w:color="auto"/>
        <w:left w:val="none" w:sz="0" w:space="0" w:color="auto"/>
        <w:bottom w:val="none" w:sz="0" w:space="0" w:color="auto"/>
        <w:right w:val="none" w:sz="0" w:space="0" w:color="auto"/>
      </w:divBdr>
    </w:div>
    <w:div w:id="53696457">
      <w:bodyDiv w:val="1"/>
      <w:marLeft w:val="0"/>
      <w:marRight w:val="0"/>
      <w:marTop w:val="0"/>
      <w:marBottom w:val="0"/>
      <w:divBdr>
        <w:top w:val="none" w:sz="0" w:space="0" w:color="auto"/>
        <w:left w:val="none" w:sz="0" w:space="0" w:color="auto"/>
        <w:bottom w:val="none" w:sz="0" w:space="0" w:color="auto"/>
        <w:right w:val="none" w:sz="0" w:space="0" w:color="auto"/>
      </w:divBdr>
    </w:div>
    <w:div w:id="54276469">
      <w:bodyDiv w:val="1"/>
      <w:marLeft w:val="0"/>
      <w:marRight w:val="0"/>
      <w:marTop w:val="0"/>
      <w:marBottom w:val="0"/>
      <w:divBdr>
        <w:top w:val="none" w:sz="0" w:space="0" w:color="auto"/>
        <w:left w:val="none" w:sz="0" w:space="0" w:color="auto"/>
        <w:bottom w:val="none" w:sz="0" w:space="0" w:color="auto"/>
        <w:right w:val="none" w:sz="0" w:space="0" w:color="auto"/>
      </w:divBdr>
    </w:div>
    <w:div w:id="54396979">
      <w:bodyDiv w:val="1"/>
      <w:marLeft w:val="0"/>
      <w:marRight w:val="0"/>
      <w:marTop w:val="0"/>
      <w:marBottom w:val="0"/>
      <w:divBdr>
        <w:top w:val="none" w:sz="0" w:space="0" w:color="auto"/>
        <w:left w:val="none" w:sz="0" w:space="0" w:color="auto"/>
        <w:bottom w:val="none" w:sz="0" w:space="0" w:color="auto"/>
        <w:right w:val="none" w:sz="0" w:space="0" w:color="auto"/>
      </w:divBdr>
    </w:div>
    <w:div w:id="55007735">
      <w:bodyDiv w:val="1"/>
      <w:marLeft w:val="0"/>
      <w:marRight w:val="0"/>
      <w:marTop w:val="0"/>
      <w:marBottom w:val="0"/>
      <w:divBdr>
        <w:top w:val="none" w:sz="0" w:space="0" w:color="auto"/>
        <w:left w:val="none" w:sz="0" w:space="0" w:color="auto"/>
        <w:bottom w:val="none" w:sz="0" w:space="0" w:color="auto"/>
        <w:right w:val="none" w:sz="0" w:space="0" w:color="auto"/>
      </w:divBdr>
    </w:div>
    <w:div w:id="56167279">
      <w:bodyDiv w:val="1"/>
      <w:marLeft w:val="0"/>
      <w:marRight w:val="0"/>
      <w:marTop w:val="0"/>
      <w:marBottom w:val="0"/>
      <w:divBdr>
        <w:top w:val="none" w:sz="0" w:space="0" w:color="auto"/>
        <w:left w:val="none" w:sz="0" w:space="0" w:color="auto"/>
        <w:bottom w:val="none" w:sz="0" w:space="0" w:color="auto"/>
        <w:right w:val="none" w:sz="0" w:space="0" w:color="auto"/>
      </w:divBdr>
    </w:div>
    <w:div w:id="56244415">
      <w:bodyDiv w:val="1"/>
      <w:marLeft w:val="0"/>
      <w:marRight w:val="0"/>
      <w:marTop w:val="0"/>
      <w:marBottom w:val="0"/>
      <w:divBdr>
        <w:top w:val="none" w:sz="0" w:space="0" w:color="auto"/>
        <w:left w:val="none" w:sz="0" w:space="0" w:color="auto"/>
        <w:bottom w:val="none" w:sz="0" w:space="0" w:color="auto"/>
        <w:right w:val="none" w:sz="0" w:space="0" w:color="auto"/>
      </w:divBdr>
    </w:div>
    <w:div w:id="56822446">
      <w:bodyDiv w:val="1"/>
      <w:marLeft w:val="0"/>
      <w:marRight w:val="0"/>
      <w:marTop w:val="0"/>
      <w:marBottom w:val="0"/>
      <w:divBdr>
        <w:top w:val="none" w:sz="0" w:space="0" w:color="auto"/>
        <w:left w:val="none" w:sz="0" w:space="0" w:color="auto"/>
        <w:bottom w:val="none" w:sz="0" w:space="0" w:color="auto"/>
        <w:right w:val="none" w:sz="0" w:space="0" w:color="auto"/>
      </w:divBdr>
    </w:div>
    <w:div w:id="58948113">
      <w:bodyDiv w:val="1"/>
      <w:marLeft w:val="0"/>
      <w:marRight w:val="0"/>
      <w:marTop w:val="0"/>
      <w:marBottom w:val="0"/>
      <w:divBdr>
        <w:top w:val="none" w:sz="0" w:space="0" w:color="auto"/>
        <w:left w:val="none" w:sz="0" w:space="0" w:color="auto"/>
        <w:bottom w:val="none" w:sz="0" w:space="0" w:color="auto"/>
        <w:right w:val="none" w:sz="0" w:space="0" w:color="auto"/>
      </w:divBdr>
    </w:div>
    <w:div w:id="59792409">
      <w:bodyDiv w:val="1"/>
      <w:marLeft w:val="0"/>
      <w:marRight w:val="0"/>
      <w:marTop w:val="0"/>
      <w:marBottom w:val="0"/>
      <w:divBdr>
        <w:top w:val="none" w:sz="0" w:space="0" w:color="auto"/>
        <w:left w:val="none" w:sz="0" w:space="0" w:color="auto"/>
        <w:bottom w:val="none" w:sz="0" w:space="0" w:color="auto"/>
        <w:right w:val="none" w:sz="0" w:space="0" w:color="auto"/>
      </w:divBdr>
    </w:div>
    <w:div w:id="59796255">
      <w:bodyDiv w:val="1"/>
      <w:marLeft w:val="0"/>
      <w:marRight w:val="0"/>
      <w:marTop w:val="0"/>
      <w:marBottom w:val="0"/>
      <w:divBdr>
        <w:top w:val="none" w:sz="0" w:space="0" w:color="auto"/>
        <w:left w:val="none" w:sz="0" w:space="0" w:color="auto"/>
        <w:bottom w:val="none" w:sz="0" w:space="0" w:color="auto"/>
        <w:right w:val="none" w:sz="0" w:space="0" w:color="auto"/>
      </w:divBdr>
    </w:div>
    <w:div w:id="59838794">
      <w:bodyDiv w:val="1"/>
      <w:marLeft w:val="0"/>
      <w:marRight w:val="0"/>
      <w:marTop w:val="0"/>
      <w:marBottom w:val="0"/>
      <w:divBdr>
        <w:top w:val="none" w:sz="0" w:space="0" w:color="auto"/>
        <w:left w:val="none" w:sz="0" w:space="0" w:color="auto"/>
        <w:bottom w:val="none" w:sz="0" w:space="0" w:color="auto"/>
        <w:right w:val="none" w:sz="0" w:space="0" w:color="auto"/>
      </w:divBdr>
    </w:div>
    <w:div w:id="59987870">
      <w:bodyDiv w:val="1"/>
      <w:marLeft w:val="0"/>
      <w:marRight w:val="0"/>
      <w:marTop w:val="0"/>
      <w:marBottom w:val="0"/>
      <w:divBdr>
        <w:top w:val="none" w:sz="0" w:space="0" w:color="auto"/>
        <w:left w:val="none" w:sz="0" w:space="0" w:color="auto"/>
        <w:bottom w:val="none" w:sz="0" w:space="0" w:color="auto"/>
        <w:right w:val="none" w:sz="0" w:space="0" w:color="auto"/>
      </w:divBdr>
    </w:div>
    <w:div w:id="60518611">
      <w:bodyDiv w:val="1"/>
      <w:marLeft w:val="0"/>
      <w:marRight w:val="0"/>
      <w:marTop w:val="0"/>
      <w:marBottom w:val="0"/>
      <w:divBdr>
        <w:top w:val="none" w:sz="0" w:space="0" w:color="auto"/>
        <w:left w:val="none" w:sz="0" w:space="0" w:color="auto"/>
        <w:bottom w:val="none" w:sz="0" w:space="0" w:color="auto"/>
        <w:right w:val="none" w:sz="0" w:space="0" w:color="auto"/>
      </w:divBdr>
    </w:div>
    <w:div w:id="60761885">
      <w:bodyDiv w:val="1"/>
      <w:marLeft w:val="0"/>
      <w:marRight w:val="0"/>
      <w:marTop w:val="0"/>
      <w:marBottom w:val="0"/>
      <w:divBdr>
        <w:top w:val="none" w:sz="0" w:space="0" w:color="auto"/>
        <w:left w:val="none" w:sz="0" w:space="0" w:color="auto"/>
        <w:bottom w:val="none" w:sz="0" w:space="0" w:color="auto"/>
        <w:right w:val="none" w:sz="0" w:space="0" w:color="auto"/>
      </w:divBdr>
    </w:div>
    <w:div w:id="61490120">
      <w:bodyDiv w:val="1"/>
      <w:marLeft w:val="0"/>
      <w:marRight w:val="0"/>
      <w:marTop w:val="0"/>
      <w:marBottom w:val="0"/>
      <w:divBdr>
        <w:top w:val="none" w:sz="0" w:space="0" w:color="auto"/>
        <w:left w:val="none" w:sz="0" w:space="0" w:color="auto"/>
        <w:bottom w:val="none" w:sz="0" w:space="0" w:color="auto"/>
        <w:right w:val="none" w:sz="0" w:space="0" w:color="auto"/>
      </w:divBdr>
    </w:div>
    <w:div w:id="61565595">
      <w:bodyDiv w:val="1"/>
      <w:marLeft w:val="0"/>
      <w:marRight w:val="0"/>
      <w:marTop w:val="0"/>
      <w:marBottom w:val="0"/>
      <w:divBdr>
        <w:top w:val="none" w:sz="0" w:space="0" w:color="auto"/>
        <w:left w:val="none" w:sz="0" w:space="0" w:color="auto"/>
        <w:bottom w:val="none" w:sz="0" w:space="0" w:color="auto"/>
        <w:right w:val="none" w:sz="0" w:space="0" w:color="auto"/>
      </w:divBdr>
    </w:div>
    <w:div w:id="61609303">
      <w:bodyDiv w:val="1"/>
      <w:marLeft w:val="0"/>
      <w:marRight w:val="0"/>
      <w:marTop w:val="0"/>
      <w:marBottom w:val="0"/>
      <w:divBdr>
        <w:top w:val="none" w:sz="0" w:space="0" w:color="auto"/>
        <w:left w:val="none" w:sz="0" w:space="0" w:color="auto"/>
        <w:bottom w:val="none" w:sz="0" w:space="0" w:color="auto"/>
        <w:right w:val="none" w:sz="0" w:space="0" w:color="auto"/>
      </w:divBdr>
    </w:div>
    <w:div w:id="62027024">
      <w:bodyDiv w:val="1"/>
      <w:marLeft w:val="0"/>
      <w:marRight w:val="0"/>
      <w:marTop w:val="0"/>
      <w:marBottom w:val="0"/>
      <w:divBdr>
        <w:top w:val="none" w:sz="0" w:space="0" w:color="auto"/>
        <w:left w:val="none" w:sz="0" w:space="0" w:color="auto"/>
        <w:bottom w:val="none" w:sz="0" w:space="0" w:color="auto"/>
        <w:right w:val="none" w:sz="0" w:space="0" w:color="auto"/>
      </w:divBdr>
    </w:div>
    <w:div w:id="63450165">
      <w:bodyDiv w:val="1"/>
      <w:marLeft w:val="0"/>
      <w:marRight w:val="0"/>
      <w:marTop w:val="0"/>
      <w:marBottom w:val="0"/>
      <w:divBdr>
        <w:top w:val="none" w:sz="0" w:space="0" w:color="auto"/>
        <w:left w:val="none" w:sz="0" w:space="0" w:color="auto"/>
        <w:bottom w:val="none" w:sz="0" w:space="0" w:color="auto"/>
        <w:right w:val="none" w:sz="0" w:space="0" w:color="auto"/>
      </w:divBdr>
    </w:div>
    <w:div w:id="64381205">
      <w:bodyDiv w:val="1"/>
      <w:marLeft w:val="0"/>
      <w:marRight w:val="0"/>
      <w:marTop w:val="0"/>
      <w:marBottom w:val="0"/>
      <w:divBdr>
        <w:top w:val="none" w:sz="0" w:space="0" w:color="auto"/>
        <w:left w:val="none" w:sz="0" w:space="0" w:color="auto"/>
        <w:bottom w:val="none" w:sz="0" w:space="0" w:color="auto"/>
        <w:right w:val="none" w:sz="0" w:space="0" w:color="auto"/>
      </w:divBdr>
    </w:div>
    <w:div w:id="64649396">
      <w:bodyDiv w:val="1"/>
      <w:marLeft w:val="0"/>
      <w:marRight w:val="0"/>
      <w:marTop w:val="0"/>
      <w:marBottom w:val="0"/>
      <w:divBdr>
        <w:top w:val="none" w:sz="0" w:space="0" w:color="auto"/>
        <w:left w:val="none" w:sz="0" w:space="0" w:color="auto"/>
        <w:bottom w:val="none" w:sz="0" w:space="0" w:color="auto"/>
        <w:right w:val="none" w:sz="0" w:space="0" w:color="auto"/>
      </w:divBdr>
    </w:div>
    <w:div w:id="65224448">
      <w:bodyDiv w:val="1"/>
      <w:marLeft w:val="0"/>
      <w:marRight w:val="0"/>
      <w:marTop w:val="0"/>
      <w:marBottom w:val="0"/>
      <w:divBdr>
        <w:top w:val="none" w:sz="0" w:space="0" w:color="auto"/>
        <w:left w:val="none" w:sz="0" w:space="0" w:color="auto"/>
        <w:bottom w:val="none" w:sz="0" w:space="0" w:color="auto"/>
        <w:right w:val="none" w:sz="0" w:space="0" w:color="auto"/>
      </w:divBdr>
    </w:div>
    <w:div w:id="65341466">
      <w:bodyDiv w:val="1"/>
      <w:marLeft w:val="0"/>
      <w:marRight w:val="0"/>
      <w:marTop w:val="0"/>
      <w:marBottom w:val="0"/>
      <w:divBdr>
        <w:top w:val="none" w:sz="0" w:space="0" w:color="auto"/>
        <w:left w:val="none" w:sz="0" w:space="0" w:color="auto"/>
        <w:bottom w:val="none" w:sz="0" w:space="0" w:color="auto"/>
        <w:right w:val="none" w:sz="0" w:space="0" w:color="auto"/>
      </w:divBdr>
    </w:div>
    <w:div w:id="65761628">
      <w:bodyDiv w:val="1"/>
      <w:marLeft w:val="0"/>
      <w:marRight w:val="0"/>
      <w:marTop w:val="0"/>
      <w:marBottom w:val="0"/>
      <w:divBdr>
        <w:top w:val="none" w:sz="0" w:space="0" w:color="auto"/>
        <w:left w:val="none" w:sz="0" w:space="0" w:color="auto"/>
        <w:bottom w:val="none" w:sz="0" w:space="0" w:color="auto"/>
        <w:right w:val="none" w:sz="0" w:space="0" w:color="auto"/>
      </w:divBdr>
    </w:div>
    <w:div w:id="66079756">
      <w:bodyDiv w:val="1"/>
      <w:marLeft w:val="0"/>
      <w:marRight w:val="0"/>
      <w:marTop w:val="0"/>
      <w:marBottom w:val="0"/>
      <w:divBdr>
        <w:top w:val="none" w:sz="0" w:space="0" w:color="auto"/>
        <w:left w:val="none" w:sz="0" w:space="0" w:color="auto"/>
        <w:bottom w:val="none" w:sz="0" w:space="0" w:color="auto"/>
        <w:right w:val="none" w:sz="0" w:space="0" w:color="auto"/>
      </w:divBdr>
    </w:div>
    <w:div w:id="66466862">
      <w:bodyDiv w:val="1"/>
      <w:marLeft w:val="0"/>
      <w:marRight w:val="0"/>
      <w:marTop w:val="0"/>
      <w:marBottom w:val="0"/>
      <w:divBdr>
        <w:top w:val="none" w:sz="0" w:space="0" w:color="auto"/>
        <w:left w:val="none" w:sz="0" w:space="0" w:color="auto"/>
        <w:bottom w:val="none" w:sz="0" w:space="0" w:color="auto"/>
        <w:right w:val="none" w:sz="0" w:space="0" w:color="auto"/>
      </w:divBdr>
    </w:div>
    <w:div w:id="67657078">
      <w:bodyDiv w:val="1"/>
      <w:marLeft w:val="0"/>
      <w:marRight w:val="0"/>
      <w:marTop w:val="0"/>
      <w:marBottom w:val="0"/>
      <w:divBdr>
        <w:top w:val="none" w:sz="0" w:space="0" w:color="auto"/>
        <w:left w:val="none" w:sz="0" w:space="0" w:color="auto"/>
        <w:bottom w:val="none" w:sz="0" w:space="0" w:color="auto"/>
        <w:right w:val="none" w:sz="0" w:space="0" w:color="auto"/>
      </w:divBdr>
    </w:div>
    <w:div w:id="67776580">
      <w:bodyDiv w:val="1"/>
      <w:marLeft w:val="0"/>
      <w:marRight w:val="0"/>
      <w:marTop w:val="0"/>
      <w:marBottom w:val="0"/>
      <w:divBdr>
        <w:top w:val="none" w:sz="0" w:space="0" w:color="auto"/>
        <w:left w:val="none" w:sz="0" w:space="0" w:color="auto"/>
        <w:bottom w:val="none" w:sz="0" w:space="0" w:color="auto"/>
        <w:right w:val="none" w:sz="0" w:space="0" w:color="auto"/>
      </w:divBdr>
    </w:div>
    <w:div w:id="67925111">
      <w:bodyDiv w:val="1"/>
      <w:marLeft w:val="0"/>
      <w:marRight w:val="0"/>
      <w:marTop w:val="0"/>
      <w:marBottom w:val="0"/>
      <w:divBdr>
        <w:top w:val="none" w:sz="0" w:space="0" w:color="auto"/>
        <w:left w:val="none" w:sz="0" w:space="0" w:color="auto"/>
        <w:bottom w:val="none" w:sz="0" w:space="0" w:color="auto"/>
        <w:right w:val="none" w:sz="0" w:space="0" w:color="auto"/>
      </w:divBdr>
    </w:div>
    <w:div w:id="67963860">
      <w:bodyDiv w:val="1"/>
      <w:marLeft w:val="0"/>
      <w:marRight w:val="0"/>
      <w:marTop w:val="0"/>
      <w:marBottom w:val="0"/>
      <w:divBdr>
        <w:top w:val="none" w:sz="0" w:space="0" w:color="auto"/>
        <w:left w:val="none" w:sz="0" w:space="0" w:color="auto"/>
        <w:bottom w:val="none" w:sz="0" w:space="0" w:color="auto"/>
        <w:right w:val="none" w:sz="0" w:space="0" w:color="auto"/>
      </w:divBdr>
    </w:div>
    <w:div w:id="68114157">
      <w:bodyDiv w:val="1"/>
      <w:marLeft w:val="0"/>
      <w:marRight w:val="0"/>
      <w:marTop w:val="0"/>
      <w:marBottom w:val="0"/>
      <w:divBdr>
        <w:top w:val="none" w:sz="0" w:space="0" w:color="auto"/>
        <w:left w:val="none" w:sz="0" w:space="0" w:color="auto"/>
        <w:bottom w:val="none" w:sz="0" w:space="0" w:color="auto"/>
        <w:right w:val="none" w:sz="0" w:space="0" w:color="auto"/>
      </w:divBdr>
    </w:div>
    <w:div w:id="69861803">
      <w:bodyDiv w:val="1"/>
      <w:marLeft w:val="0"/>
      <w:marRight w:val="0"/>
      <w:marTop w:val="0"/>
      <w:marBottom w:val="0"/>
      <w:divBdr>
        <w:top w:val="none" w:sz="0" w:space="0" w:color="auto"/>
        <w:left w:val="none" w:sz="0" w:space="0" w:color="auto"/>
        <w:bottom w:val="none" w:sz="0" w:space="0" w:color="auto"/>
        <w:right w:val="none" w:sz="0" w:space="0" w:color="auto"/>
      </w:divBdr>
    </w:div>
    <w:div w:id="70348409">
      <w:bodyDiv w:val="1"/>
      <w:marLeft w:val="0"/>
      <w:marRight w:val="0"/>
      <w:marTop w:val="0"/>
      <w:marBottom w:val="0"/>
      <w:divBdr>
        <w:top w:val="none" w:sz="0" w:space="0" w:color="auto"/>
        <w:left w:val="none" w:sz="0" w:space="0" w:color="auto"/>
        <w:bottom w:val="none" w:sz="0" w:space="0" w:color="auto"/>
        <w:right w:val="none" w:sz="0" w:space="0" w:color="auto"/>
      </w:divBdr>
    </w:div>
    <w:div w:id="70590620">
      <w:bodyDiv w:val="1"/>
      <w:marLeft w:val="0"/>
      <w:marRight w:val="0"/>
      <w:marTop w:val="0"/>
      <w:marBottom w:val="0"/>
      <w:divBdr>
        <w:top w:val="none" w:sz="0" w:space="0" w:color="auto"/>
        <w:left w:val="none" w:sz="0" w:space="0" w:color="auto"/>
        <w:bottom w:val="none" w:sz="0" w:space="0" w:color="auto"/>
        <w:right w:val="none" w:sz="0" w:space="0" w:color="auto"/>
      </w:divBdr>
    </w:div>
    <w:div w:id="70784554">
      <w:bodyDiv w:val="1"/>
      <w:marLeft w:val="0"/>
      <w:marRight w:val="0"/>
      <w:marTop w:val="0"/>
      <w:marBottom w:val="0"/>
      <w:divBdr>
        <w:top w:val="none" w:sz="0" w:space="0" w:color="auto"/>
        <w:left w:val="none" w:sz="0" w:space="0" w:color="auto"/>
        <w:bottom w:val="none" w:sz="0" w:space="0" w:color="auto"/>
        <w:right w:val="none" w:sz="0" w:space="0" w:color="auto"/>
      </w:divBdr>
    </w:div>
    <w:div w:id="70856252">
      <w:bodyDiv w:val="1"/>
      <w:marLeft w:val="0"/>
      <w:marRight w:val="0"/>
      <w:marTop w:val="0"/>
      <w:marBottom w:val="0"/>
      <w:divBdr>
        <w:top w:val="none" w:sz="0" w:space="0" w:color="auto"/>
        <w:left w:val="none" w:sz="0" w:space="0" w:color="auto"/>
        <w:bottom w:val="none" w:sz="0" w:space="0" w:color="auto"/>
        <w:right w:val="none" w:sz="0" w:space="0" w:color="auto"/>
      </w:divBdr>
    </w:div>
    <w:div w:id="70932655">
      <w:bodyDiv w:val="1"/>
      <w:marLeft w:val="0"/>
      <w:marRight w:val="0"/>
      <w:marTop w:val="0"/>
      <w:marBottom w:val="0"/>
      <w:divBdr>
        <w:top w:val="none" w:sz="0" w:space="0" w:color="auto"/>
        <w:left w:val="none" w:sz="0" w:space="0" w:color="auto"/>
        <w:bottom w:val="none" w:sz="0" w:space="0" w:color="auto"/>
        <w:right w:val="none" w:sz="0" w:space="0" w:color="auto"/>
      </w:divBdr>
    </w:div>
    <w:div w:id="71048280">
      <w:bodyDiv w:val="1"/>
      <w:marLeft w:val="0"/>
      <w:marRight w:val="0"/>
      <w:marTop w:val="0"/>
      <w:marBottom w:val="0"/>
      <w:divBdr>
        <w:top w:val="none" w:sz="0" w:space="0" w:color="auto"/>
        <w:left w:val="none" w:sz="0" w:space="0" w:color="auto"/>
        <w:bottom w:val="none" w:sz="0" w:space="0" w:color="auto"/>
        <w:right w:val="none" w:sz="0" w:space="0" w:color="auto"/>
      </w:divBdr>
    </w:div>
    <w:div w:id="71127411">
      <w:bodyDiv w:val="1"/>
      <w:marLeft w:val="0"/>
      <w:marRight w:val="0"/>
      <w:marTop w:val="0"/>
      <w:marBottom w:val="0"/>
      <w:divBdr>
        <w:top w:val="none" w:sz="0" w:space="0" w:color="auto"/>
        <w:left w:val="none" w:sz="0" w:space="0" w:color="auto"/>
        <w:bottom w:val="none" w:sz="0" w:space="0" w:color="auto"/>
        <w:right w:val="none" w:sz="0" w:space="0" w:color="auto"/>
      </w:divBdr>
    </w:div>
    <w:div w:id="71588712">
      <w:bodyDiv w:val="1"/>
      <w:marLeft w:val="0"/>
      <w:marRight w:val="0"/>
      <w:marTop w:val="0"/>
      <w:marBottom w:val="0"/>
      <w:divBdr>
        <w:top w:val="none" w:sz="0" w:space="0" w:color="auto"/>
        <w:left w:val="none" w:sz="0" w:space="0" w:color="auto"/>
        <w:bottom w:val="none" w:sz="0" w:space="0" w:color="auto"/>
        <w:right w:val="none" w:sz="0" w:space="0" w:color="auto"/>
      </w:divBdr>
    </w:div>
    <w:div w:id="73401937">
      <w:bodyDiv w:val="1"/>
      <w:marLeft w:val="0"/>
      <w:marRight w:val="0"/>
      <w:marTop w:val="0"/>
      <w:marBottom w:val="0"/>
      <w:divBdr>
        <w:top w:val="none" w:sz="0" w:space="0" w:color="auto"/>
        <w:left w:val="none" w:sz="0" w:space="0" w:color="auto"/>
        <w:bottom w:val="none" w:sz="0" w:space="0" w:color="auto"/>
        <w:right w:val="none" w:sz="0" w:space="0" w:color="auto"/>
      </w:divBdr>
    </w:div>
    <w:div w:id="75131197">
      <w:bodyDiv w:val="1"/>
      <w:marLeft w:val="0"/>
      <w:marRight w:val="0"/>
      <w:marTop w:val="0"/>
      <w:marBottom w:val="0"/>
      <w:divBdr>
        <w:top w:val="none" w:sz="0" w:space="0" w:color="auto"/>
        <w:left w:val="none" w:sz="0" w:space="0" w:color="auto"/>
        <w:bottom w:val="none" w:sz="0" w:space="0" w:color="auto"/>
        <w:right w:val="none" w:sz="0" w:space="0" w:color="auto"/>
      </w:divBdr>
    </w:div>
    <w:div w:id="75827876">
      <w:bodyDiv w:val="1"/>
      <w:marLeft w:val="0"/>
      <w:marRight w:val="0"/>
      <w:marTop w:val="0"/>
      <w:marBottom w:val="0"/>
      <w:divBdr>
        <w:top w:val="none" w:sz="0" w:space="0" w:color="auto"/>
        <w:left w:val="none" w:sz="0" w:space="0" w:color="auto"/>
        <w:bottom w:val="none" w:sz="0" w:space="0" w:color="auto"/>
        <w:right w:val="none" w:sz="0" w:space="0" w:color="auto"/>
      </w:divBdr>
    </w:div>
    <w:div w:id="76023142">
      <w:bodyDiv w:val="1"/>
      <w:marLeft w:val="0"/>
      <w:marRight w:val="0"/>
      <w:marTop w:val="0"/>
      <w:marBottom w:val="0"/>
      <w:divBdr>
        <w:top w:val="none" w:sz="0" w:space="0" w:color="auto"/>
        <w:left w:val="none" w:sz="0" w:space="0" w:color="auto"/>
        <w:bottom w:val="none" w:sz="0" w:space="0" w:color="auto"/>
        <w:right w:val="none" w:sz="0" w:space="0" w:color="auto"/>
      </w:divBdr>
    </w:div>
    <w:div w:id="76291843">
      <w:bodyDiv w:val="1"/>
      <w:marLeft w:val="0"/>
      <w:marRight w:val="0"/>
      <w:marTop w:val="0"/>
      <w:marBottom w:val="0"/>
      <w:divBdr>
        <w:top w:val="none" w:sz="0" w:space="0" w:color="auto"/>
        <w:left w:val="none" w:sz="0" w:space="0" w:color="auto"/>
        <w:bottom w:val="none" w:sz="0" w:space="0" w:color="auto"/>
        <w:right w:val="none" w:sz="0" w:space="0" w:color="auto"/>
      </w:divBdr>
    </w:div>
    <w:div w:id="76874687">
      <w:bodyDiv w:val="1"/>
      <w:marLeft w:val="0"/>
      <w:marRight w:val="0"/>
      <w:marTop w:val="0"/>
      <w:marBottom w:val="0"/>
      <w:divBdr>
        <w:top w:val="none" w:sz="0" w:space="0" w:color="auto"/>
        <w:left w:val="none" w:sz="0" w:space="0" w:color="auto"/>
        <w:bottom w:val="none" w:sz="0" w:space="0" w:color="auto"/>
        <w:right w:val="none" w:sz="0" w:space="0" w:color="auto"/>
      </w:divBdr>
    </w:div>
    <w:div w:id="77217052">
      <w:bodyDiv w:val="1"/>
      <w:marLeft w:val="0"/>
      <w:marRight w:val="0"/>
      <w:marTop w:val="0"/>
      <w:marBottom w:val="0"/>
      <w:divBdr>
        <w:top w:val="none" w:sz="0" w:space="0" w:color="auto"/>
        <w:left w:val="none" w:sz="0" w:space="0" w:color="auto"/>
        <w:bottom w:val="none" w:sz="0" w:space="0" w:color="auto"/>
        <w:right w:val="none" w:sz="0" w:space="0" w:color="auto"/>
      </w:divBdr>
    </w:div>
    <w:div w:id="77411777">
      <w:bodyDiv w:val="1"/>
      <w:marLeft w:val="0"/>
      <w:marRight w:val="0"/>
      <w:marTop w:val="0"/>
      <w:marBottom w:val="0"/>
      <w:divBdr>
        <w:top w:val="none" w:sz="0" w:space="0" w:color="auto"/>
        <w:left w:val="none" w:sz="0" w:space="0" w:color="auto"/>
        <w:bottom w:val="none" w:sz="0" w:space="0" w:color="auto"/>
        <w:right w:val="none" w:sz="0" w:space="0" w:color="auto"/>
      </w:divBdr>
    </w:div>
    <w:div w:id="77945188">
      <w:bodyDiv w:val="1"/>
      <w:marLeft w:val="0"/>
      <w:marRight w:val="0"/>
      <w:marTop w:val="0"/>
      <w:marBottom w:val="0"/>
      <w:divBdr>
        <w:top w:val="none" w:sz="0" w:space="0" w:color="auto"/>
        <w:left w:val="none" w:sz="0" w:space="0" w:color="auto"/>
        <w:bottom w:val="none" w:sz="0" w:space="0" w:color="auto"/>
        <w:right w:val="none" w:sz="0" w:space="0" w:color="auto"/>
      </w:divBdr>
    </w:div>
    <w:div w:id="79067618">
      <w:bodyDiv w:val="1"/>
      <w:marLeft w:val="0"/>
      <w:marRight w:val="0"/>
      <w:marTop w:val="0"/>
      <w:marBottom w:val="0"/>
      <w:divBdr>
        <w:top w:val="none" w:sz="0" w:space="0" w:color="auto"/>
        <w:left w:val="none" w:sz="0" w:space="0" w:color="auto"/>
        <w:bottom w:val="none" w:sz="0" w:space="0" w:color="auto"/>
        <w:right w:val="none" w:sz="0" w:space="0" w:color="auto"/>
      </w:divBdr>
    </w:div>
    <w:div w:id="79134429">
      <w:bodyDiv w:val="1"/>
      <w:marLeft w:val="0"/>
      <w:marRight w:val="0"/>
      <w:marTop w:val="0"/>
      <w:marBottom w:val="0"/>
      <w:divBdr>
        <w:top w:val="none" w:sz="0" w:space="0" w:color="auto"/>
        <w:left w:val="none" w:sz="0" w:space="0" w:color="auto"/>
        <w:bottom w:val="none" w:sz="0" w:space="0" w:color="auto"/>
        <w:right w:val="none" w:sz="0" w:space="0" w:color="auto"/>
      </w:divBdr>
    </w:div>
    <w:div w:id="80296583">
      <w:bodyDiv w:val="1"/>
      <w:marLeft w:val="0"/>
      <w:marRight w:val="0"/>
      <w:marTop w:val="0"/>
      <w:marBottom w:val="0"/>
      <w:divBdr>
        <w:top w:val="none" w:sz="0" w:space="0" w:color="auto"/>
        <w:left w:val="none" w:sz="0" w:space="0" w:color="auto"/>
        <w:bottom w:val="none" w:sz="0" w:space="0" w:color="auto"/>
        <w:right w:val="none" w:sz="0" w:space="0" w:color="auto"/>
      </w:divBdr>
    </w:div>
    <w:div w:id="80489840">
      <w:bodyDiv w:val="1"/>
      <w:marLeft w:val="0"/>
      <w:marRight w:val="0"/>
      <w:marTop w:val="0"/>
      <w:marBottom w:val="0"/>
      <w:divBdr>
        <w:top w:val="none" w:sz="0" w:space="0" w:color="auto"/>
        <w:left w:val="none" w:sz="0" w:space="0" w:color="auto"/>
        <w:bottom w:val="none" w:sz="0" w:space="0" w:color="auto"/>
        <w:right w:val="none" w:sz="0" w:space="0" w:color="auto"/>
      </w:divBdr>
    </w:div>
    <w:div w:id="80491052">
      <w:bodyDiv w:val="1"/>
      <w:marLeft w:val="0"/>
      <w:marRight w:val="0"/>
      <w:marTop w:val="0"/>
      <w:marBottom w:val="0"/>
      <w:divBdr>
        <w:top w:val="none" w:sz="0" w:space="0" w:color="auto"/>
        <w:left w:val="none" w:sz="0" w:space="0" w:color="auto"/>
        <w:bottom w:val="none" w:sz="0" w:space="0" w:color="auto"/>
        <w:right w:val="none" w:sz="0" w:space="0" w:color="auto"/>
      </w:divBdr>
    </w:div>
    <w:div w:id="80954074">
      <w:bodyDiv w:val="1"/>
      <w:marLeft w:val="0"/>
      <w:marRight w:val="0"/>
      <w:marTop w:val="0"/>
      <w:marBottom w:val="0"/>
      <w:divBdr>
        <w:top w:val="none" w:sz="0" w:space="0" w:color="auto"/>
        <w:left w:val="none" w:sz="0" w:space="0" w:color="auto"/>
        <w:bottom w:val="none" w:sz="0" w:space="0" w:color="auto"/>
        <w:right w:val="none" w:sz="0" w:space="0" w:color="auto"/>
      </w:divBdr>
    </w:div>
    <w:div w:id="82192574">
      <w:bodyDiv w:val="1"/>
      <w:marLeft w:val="0"/>
      <w:marRight w:val="0"/>
      <w:marTop w:val="0"/>
      <w:marBottom w:val="0"/>
      <w:divBdr>
        <w:top w:val="none" w:sz="0" w:space="0" w:color="auto"/>
        <w:left w:val="none" w:sz="0" w:space="0" w:color="auto"/>
        <w:bottom w:val="none" w:sz="0" w:space="0" w:color="auto"/>
        <w:right w:val="none" w:sz="0" w:space="0" w:color="auto"/>
      </w:divBdr>
    </w:div>
    <w:div w:id="82576993">
      <w:bodyDiv w:val="1"/>
      <w:marLeft w:val="0"/>
      <w:marRight w:val="0"/>
      <w:marTop w:val="0"/>
      <w:marBottom w:val="0"/>
      <w:divBdr>
        <w:top w:val="none" w:sz="0" w:space="0" w:color="auto"/>
        <w:left w:val="none" w:sz="0" w:space="0" w:color="auto"/>
        <w:bottom w:val="none" w:sz="0" w:space="0" w:color="auto"/>
        <w:right w:val="none" w:sz="0" w:space="0" w:color="auto"/>
      </w:divBdr>
    </w:div>
    <w:div w:id="82996657">
      <w:bodyDiv w:val="1"/>
      <w:marLeft w:val="0"/>
      <w:marRight w:val="0"/>
      <w:marTop w:val="0"/>
      <w:marBottom w:val="0"/>
      <w:divBdr>
        <w:top w:val="none" w:sz="0" w:space="0" w:color="auto"/>
        <w:left w:val="none" w:sz="0" w:space="0" w:color="auto"/>
        <w:bottom w:val="none" w:sz="0" w:space="0" w:color="auto"/>
        <w:right w:val="none" w:sz="0" w:space="0" w:color="auto"/>
      </w:divBdr>
    </w:div>
    <w:div w:id="83961272">
      <w:bodyDiv w:val="1"/>
      <w:marLeft w:val="0"/>
      <w:marRight w:val="0"/>
      <w:marTop w:val="0"/>
      <w:marBottom w:val="0"/>
      <w:divBdr>
        <w:top w:val="none" w:sz="0" w:space="0" w:color="auto"/>
        <w:left w:val="none" w:sz="0" w:space="0" w:color="auto"/>
        <w:bottom w:val="none" w:sz="0" w:space="0" w:color="auto"/>
        <w:right w:val="none" w:sz="0" w:space="0" w:color="auto"/>
      </w:divBdr>
    </w:div>
    <w:div w:id="85002736">
      <w:bodyDiv w:val="1"/>
      <w:marLeft w:val="0"/>
      <w:marRight w:val="0"/>
      <w:marTop w:val="0"/>
      <w:marBottom w:val="0"/>
      <w:divBdr>
        <w:top w:val="none" w:sz="0" w:space="0" w:color="auto"/>
        <w:left w:val="none" w:sz="0" w:space="0" w:color="auto"/>
        <w:bottom w:val="none" w:sz="0" w:space="0" w:color="auto"/>
        <w:right w:val="none" w:sz="0" w:space="0" w:color="auto"/>
      </w:divBdr>
    </w:div>
    <w:div w:id="86077935">
      <w:bodyDiv w:val="1"/>
      <w:marLeft w:val="0"/>
      <w:marRight w:val="0"/>
      <w:marTop w:val="0"/>
      <w:marBottom w:val="0"/>
      <w:divBdr>
        <w:top w:val="none" w:sz="0" w:space="0" w:color="auto"/>
        <w:left w:val="none" w:sz="0" w:space="0" w:color="auto"/>
        <w:bottom w:val="none" w:sz="0" w:space="0" w:color="auto"/>
        <w:right w:val="none" w:sz="0" w:space="0" w:color="auto"/>
      </w:divBdr>
    </w:div>
    <w:div w:id="86394276">
      <w:bodyDiv w:val="1"/>
      <w:marLeft w:val="0"/>
      <w:marRight w:val="0"/>
      <w:marTop w:val="0"/>
      <w:marBottom w:val="0"/>
      <w:divBdr>
        <w:top w:val="none" w:sz="0" w:space="0" w:color="auto"/>
        <w:left w:val="none" w:sz="0" w:space="0" w:color="auto"/>
        <w:bottom w:val="none" w:sz="0" w:space="0" w:color="auto"/>
        <w:right w:val="none" w:sz="0" w:space="0" w:color="auto"/>
      </w:divBdr>
    </w:div>
    <w:div w:id="87505575">
      <w:bodyDiv w:val="1"/>
      <w:marLeft w:val="0"/>
      <w:marRight w:val="0"/>
      <w:marTop w:val="0"/>
      <w:marBottom w:val="0"/>
      <w:divBdr>
        <w:top w:val="none" w:sz="0" w:space="0" w:color="auto"/>
        <w:left w:val="none" w:sz="0" w:space="0" w:color="auto"/>
        <w:bottom w:val="none" w:sz="0" w:space="0" w:color="auto"/>
        <w:right w:val="none" w:sz="0" w:space="0" w:color="auto"/>
      </w:divBdr>
    </w:div>
    <w:div w:id="87819532">
      <w:bodyDiv w:val="1"/>
      <w:marLeft w:val="0"/>
      <w:marRight w:val="0"/>
      <w:marTop w:val="0"/>
      <w:marBottom w:val="0"/>
      <w:divBdr>
        <w:top w:val="none" w:sz="0" w:space="0" w:color="auto"/>
        <w:left w:val="none" w:sz="0" w:space="0" w:color="auto"/>
        <w:bottom w:val="none" w:sz="0" w:space="0" w:color="auto"/>
        <w:right w:val="none" w:sz="0" w:space="0" w:color="auto"/>
      </w:divBdr>
    </w:div>
    <w:div w:id="88551844">
      <w:bodyDiv w:val="1"/>
      <w:marLeft w:val="0"/>
      <w:marRight w:val="0"/>
      <w:marTop w:val="0"/>
      <w:marBottom w:val="0"/>
      <w:divBdr>
        <w:top w:val="none" w:sz="0" w:space="0" w:color="auto"/>
        <w:left w:val="none" w:sz="0" w:space="0" w:color="auto"/>
        <w:bottom w:val="none" w:sz="0" w:space="0" w:color="auto"/>
        <w:right w:val="none" w:sz="0" w:space="0" w:color="auto"/>
      </w:divBdr>
    </w:div>
    <w:div w:id="88819304">
      <w:bodyDiv w:val="1"/>
      <w:marLeft w:val="0"/>
      <w:marRight w:val="0"/>
      <w:marTop w:val="0"/>
      <w:marBottom w:val="0"/>
      <w:divBdr>
        <w:top w:val="none" w:sz="0" w:space="0" w:color="auto"/>
        <w:left w:val="none" w:sz="0" w:space="0" w:color="auto"/>
        <w:bottom w:val="none" w:sz="0" w:space="0" w:color="auto"/>
        <w:right w:val="none" w:sz="0" w:space="0" w:color="auto"/>
      </w:divBdr>
    </w:div>
    <w:div w:id="89930008">
      <w:bodyDiv w:val="1"/>
      <w:marLeft w:val="0"/>
      <w:marRight w:val="0"/>
      <w:marTop w:val="0"/>
      <w:marBottom w:val="0"/>
      <w:divBdr>
        <w:top w:val="none" w:sz="0" w:space="0" w:color="auto"/>
        <w:left w:val="none" w:sz="0" w:space="0" w:color="auto"/>
        <w:bottom w:val="none" w:sz="0" w:space="0" w:color="auto"/>
        <w:right w:val="none" w:sz="0" w:space="0" w:color="auto"/>
      </w:divBdr>
    </w:div>
    <w:div w:id="90589059">
      <w:bodyDiv w:val="1"/>
      <w:marLeft w:val="0"/>
      <w:marRight w:val="0"/>
      <w:marTop w:val="0"/>
      <w:marBottom w:val="0"/>
      <w:divBdr>
        <w:top w:val="none" w:sz="0" w:space="0" w:color="auto"/>
        <w:left w:val="none" w:sz="0" w:space="0" w:color="auto"/>
        <w:bottom w:val="none" w:sz="0" w:space="0" w:color="auto"/>
        <w:right w:val="none" w:sz="0" w:space="0" w:color="auto"/>
      </w:divBdr>
    </w:div>
    <w:div w:id="90660547">
      <w:bodyDiv w:val="1"/>
      <w:marLeft w:val="0"/>
      <w:marRight w:val="0"/>
      <w:marTop w:val="0"/>
      <w:marBottom w:val="0"/>
      <w:divBdr>
        <w:top w:val="none" w:sz="0" w:space="0" w:color="auto"/>
        <w:left w:val="none" w:sz="0" w:space="0" w:color="auto"/>
        <w:bottom w:val="none" w:sz="0" w:space="0" w:color="auto"/>
        <w:right w:val="none" w:sz="0" w:space="0" w:color="auto"/>
      </w:divBdr>
    </w:div>
    <w:div w:id="90783347">
      <w:bodyDiv w:val="1"/>
      <w:marLeft w:val="0"/>
      <w:marRight w:val="0"/>
      <w:marTop w:val="0"/>
      <w:marBottom w:val="0"/>
      <w:divBdr>
        <w:top w:val="none" w:sz="0" w:space="0" w:color="auto"/>
        <w:left w:val="none" w:sz="0" w:space="0" w:color="auto"/>
        <w:bottom w:val="none" w:sz="0" w:space="0" w:color="auto"/>
        <w:right w:val="none" w:sz="0" w:space="0" w:color="auto"/>
      </w:divBdr>
    </w:div>
    <w:div w:id="91166047">
      <w:bodyDiv w:val="1"/>
      <w:marLeft w:val="0"/>
      <w:marRight w:val="0"/>
      <w:marTop w:val="0"/>
      <w:marBottom w:val="0"/>
      <w:divBdr>
        <w:top w:val="none" w:sz="0" w:space="0" w:color="auto"/>
        <w:left w:val="none" w:sz="0" w:space="0" w:color="auto"/>
        <w:bottom w:val="none" w:sz="0" w:space="0" w:color="auto"/>
        <w:right w:val="none" w:sz="0" w:space="0" w:color="auto"/>
      </w:divBdr>
    </w:div>
    <w:div w:id="91753465">
      <w:bodyDiv w:val="1"/>
      <w:marLeft w:val="0"/>
      <w:marRight w:val="0"/>
      <w:marTop w:val="0"/>
      <w:marBottom w:val="0"/>
      <w:divBdr>
        <w:top w:val="none" w:sz="0" w:space="0" w:color="auto"/>
        <w:left w:val="none" w:sz="0" w:space="0" w:color="auto"/>
        <w:bottom w:val="none" w:sz="0" w:space="0" w:color="auto"/>
        <w:right w:val="none" w:sz="0" w:space="0" w:color="auto"/>
      </w:divBdr>
      <w:divsChild>
        <w:div w:id="875196194">
          <w:marLeft w:val="0"/>
          <w:marRight w:val="0"/>
          <w:marTop w:val="0"/>
          <w:marBottom w:val="0"/>
          <w:divBdr>
            <w:top w:val="none" w:sz="0" w:space="0" w:color="auto"/>
            <w:left w:val="none" w:sz="0" w:space="0" w:color="auto"/>
            <w:bottom w:val="none" w:sz="0" w:space="0" w:color="auto"/>
            <w:right w:val="none" w:sz="0" w:space="0" w:color="auto"/>
          </w:divBdr>
        </w:div>
      </w:divsChild>
    </w:div>
    <w:div w:id="92433470">
      <w:bodyDiv w:val="1"/>
      <w:marLeft w:val="0"/>
      <w:marRight w:val="0"/>
      <w:marTop w:val="0"/>
      <w:marBottom w:val="0"/>
      <w:divBdr>
        <w:top w:val="none" w:sz="0" w:space="0" w:color="auto"/>
        <w:left w:val="none" w:sz="0" w:space="0" w:color="auto"/>
        <w:bottom w:val="none" w:sz="0" w:space="0" w:color="auto"/>
        <w:right w:val="none" w:sz="0" w:space="0" w:color="auto"/>
      </w:divBdr>
    </w:div>
    <w:div w:id="92633307">
      <w:bodyDiv w:val="1"/>
      <w:marLeft w:val="0"/>
      <w:marRight w:val="0"/>
      <w:marTop w:val="0"/>
      <w:marBottom w:val="0"/>
      <w:divBdr>
        <w:top w:val="none" w:sz="0" w:space="0" w:color="auto"/>
        <w:left w:val="none" w:sz="0" w:space="0" w:color="auto"/>
        <w:bottom w:val="none" w:sz="0" w:space="0" w:color="auto"/>
        <w:right w:val="none" w:sz="0" w:space="0" w:color="auto"/>
      </w:divBdr>
    </w:div>
    <w:div w:id="92865711">
      <w:bodyDiv w:val="1"/>
      <w:marLeft w:val="0"/>
      <w:marRight w:val="0"/>
      <w:marTop w:val="0"/>
      <w:marBottom w:val="0"/>
      <w:divBdr>
        <w:top w:val="none" w:sz="0" w:space="0" w:color="auto"/>
        <w:left w:val="none" w:sz="0" w:space="0" w:color="auto"/>
        <w:bottom w:val="none" w:sz="0" w:space="0" w:color="auto"/>
        <w:right w:val="none" w:sz="0" w:space="0" w:color="auto"/>
      </w:divBdr>
    </w:div>
    <w:div w:id="92895882">
      <w:bodyDiv w:val="1"/>
      <w:marLeft w:val="0"/>
      <w:marRight w:val="0"/>
      <w:marTop w:val="0"/>
      <w:marBottom w:val="0"/>
      <w:divBdr>
        <w:top w:val="none" w:sz="0" w:space="0" w:color="auto"/>
        <w:left w:val="none" w:sz="0" w:space="0" w:color="auto"/>
        <w:bottom w:val="none" w:sz="0" w:space="0" w:color="auto"/>
        <w:right w:val="none" w:sz="0" w:space="0" w:color="auto"/>
      </w:divBdr>
    </w:div>
    <w:div w:id="93325577">
      <w:bodyDiv w:val="1"/>
      <w:marLeft w:val="0"/>
      <w:marRight w:val="0"/>
      <w:marTop w:val="0"/>
      <w:marBottom w:val="0"/>
      <w:divBdr>
        <w:top w:val="none" w:sz="0" w:space="0" w:color="auto"/>
        <w:left w:val="none" w:sz="0" w:space="0" w:color="auto"/>
        <w:bottom w:val="none" w:sz="0" w:space="0" w:color="auto"/>
        <w:right w:val="none" w:sz="0" w:space="0" w:color="auto"/>
      </w:divBdr>
    </w:div>
    <w:div w:id="93325855">
      <w:bodyDiv w:val="1"/>
      <w:marLeft w:val="0"/>
      <w:marRight w:val="0"/>
      <w:marTop w:val="0"/>
      <w:marBottom w:val="0"/>
      <w:divBdr>
        <w:top w:val="none" w:sz="0" w:space="0" w:color="auto"/>
        <w:left w:val="none" w:sz="0" w:space="0" w:color="auto"/>
        <w:bottom w:val="none" w:sz="0" w:space="0" w:color="auto"/>
        <w:right w:val="none" w:sz="0" w:space="0" w:color="auto"/>
      </w:divBdr>
    </w:div>
    <w:div w:id="93599508">
      <w:bodyDiv w:val="1"/>
      <w:marLeft w:val="0"/>
      <w:marRight w:val="0"/>
      <w:marTop w:val="0"/>
      <w:marBottom w:val="0"/>
      <w:divBdr>
        <w:top w:val="none" w:sz="0" w:space="0" w:color="auto"/>
        <w:left w:val="none" w:sz="0" w:space="0" w:color="auto"/>
        <w:bottom w:val="none" w:sz="0" w:space="0" w:color="auto"/>
        <w:right w:val="none" w:sz="0" w:space="0" w:color="auto"/>
      </w:divBdr>
    </w:div>
    <w:div w:id="94248839">
      <w:bodyDiv w:val="1"/>
      <w:marLeft w:val="0"/>
      <w:marRight w:val="0"/>
      <w:marTop w:val="0"/>
      <w:marBottom w:val="0"/>
      <w:divBdr>
        <w:top w:val="none" w:sz="0" w:space="0" w:color="auto"/>
        <w:left w:val="none" w:sz="0" w:space="0" w:color="auto"/>
        <w:bottom w:val="none" w:sz="0" w:space="0" w:color="auto"/>
        <w:right w:val="none" w:sz="0" w:space="0" w:color="auto"/>
      </w:divBdr>
    </w:div>
    <w:div w:id="94326557">
      <w:bodyDiv w:val="1"/>
      <w:marLeft w:val="0"/>
      <w:marRight w:val="0"/>
      <w:marTop w:val="0"/>
      <w:marBottom w:val="0"/>
      <w:divBdr>
        <w:top w:val="none" w:sz="0" w:space="0" w:color="auto"/>
        <w:left w:val="none" w:sz="0" w:space="0" w:color="auto"/>
        <w:bottom w:val="none" w:sz="0" w:space="0" w:color="auto"/>
        <w:right w:val="none" w:sz="0" w:space="0" w:color="auto"/>
      </w:divBdr>
    </w:div>
    <w:div w:id="94835474">
      <w:bodyDiv w:val="1"/>
      <w:marLeft w:val="0"/>
      <w:marRight w:val="0"/>
      <w:marTop w:val="0"/>
      <w:marBottom w:val="0"/>
      <w:divBdr>
        <w:top w:val="none" w:sz="0" w:space="0" w:color="auto"/>
        <w:left w:val="none" w:sz="0" w:space="0" w:color="auto"/>
        <w:bottom w:val="none" w:sz="0" w:space="0" w:color="auto"/>
        <w:right w:val="none" w:sz="0" w:space="0" w:color="auto"/>
      </w:divBdr>
    </w:div>
    <w:div w:id="95099277">
      <w:bodyDiv w:val="1"/>
      <w:marLeft w:val="0"/>
      <w:marRight w:val="0"/>
      <w:marTop w:val="0"/>
      <w:marBottom w:val="0"/>
      <w:divBdr>
        <w:top w:val="none" w:sz="0" w:space="0" w:color="auto"/>
        <w:left w:val="none" w:sz="0" w:space="0" w:color="auto"/>
        <w:bottom w:val="none" w:sz="0" w:space="0" w:color="auto"/>
        <w:right w:val="none" w:sz="0" w:space="0" w:color="auto"/>
      </w:divBdr>
    </w:div>
    <w:div w:id="95181282">
      <w:bodyDiv w:val="1"/>
      <w:marLeft w:val="0"/>
      <w:marRight w:val="0"/>
      <w:marTop w:val="0"/>
      <w:marBottom w:val="0"/>
      <w:divBdr>
        <w:top w:val="none" w:sz="0" w:space="0" w:color="auto"/>
        <w:left w:val="none" w:sz="0" w:space="0" w:color="auto"/>
        <w:bottom w:val="none" w:sz="0" w:space="0" w:color="auto"/>
        <w:right w:val="none" w:sz="0" w:space="0" w:color="auto"/>
      </w:divBdr>
    </w:div>
    <w:div w:id="95368380">
      <w:bodyDiv w:val="1"/>
      <w:marLeft w:val="0"/>
      <w:marRight w:val="0"/>
      <w:marTop w:val="0"/>
      <w:marBottom w:val="0"/>
      <w:divBdr>
        <w:top w:val="none" w:sz="0" w:space="0" w:color="auto"/>
        <w:left w:val="none" w:sz="0" w:space="0" w:color="auto"/>
        <w:bottom w:val="none" w:sz="0" w:space="0" w:color="auto"/>
        <w:right w:val="none" w:sz="0" w:space="0" w:color="auto"/>
      </w:divBdr>
    </w:div>
    <w:div w:id="96289049">
      <w:bodyDiv w:val="1"/>
      <w:marLeft w:val="0"/>
      <w:marRight w:val="0"/>
      <w:marTop w:val="0"/>
      <w:marBottom w:val="0"/>
      <w:divBdr>
        <w:top w:val="none" w:sz="0" w:space="0" w:color="auto"/>
        <w:left w:val="none" w:sz="0" w:space="0" w:color="auto"/>
        <w:bottom w:val="none" w:sz="0" w:space="0" w:color="auto"/>
        <w:right w:val="none" w:sz="0" w:space="0" w:color="auto"/>
      </w:divBdr>
    </w:div>
    <w:div w:id="96291986">
      <w:bodyDiv w:val="1"/>
      <w:marLeft w:val="0"/>
      <w:marRight w:val="0"/>
      <w:marTop w:val="0"/>
      <w:marBottom w:val="0"/>
      <w:divBdr>
        <w:top w:val="none" w:sz="0" w:space="0" w:color="auto"/>
        <w:left w:val="none" w:sz="0" w:space="0" w:color="auto"/>
        <w:bottom w:val="none" w:sz="0" w:space="0" w:color="auto"/>
        <w:right w:val="none" w:sz="0" w:space="0" w:color="auto"/>
      </w:divBdr>
    </w:div>
    <w:div w:id="96798768">
      <w:bodyDiv w:val="1"/>
      <w:marLeft w:val="0"/>
      <w:marRight w:val="0"/>
      <w:marTop w:val="0"/>
      <w:marBottom w:val="0"/>
      <w:divBdr>
        <w:top w:val="none" w:sz="0" w:space="0" w:color="auto"/>
        <w:left w:val="none" w:sz="0" w:space="0" w:color="auto"/>
        <w:bottom w:val="none" w:sz="0" w:space="0" w:color="auto"/>
        <w:right w:val="none" w:sz="0" w:space="0" w:color="auto"/>
      </w:divBdr>
    </w:div>
    <w:div w:id="96871040">
      <w:bodyDiv w:val="1"/>
      <w:marLeft w:val="0"/>
      <w:marRight w:val="0"/>
      <w:marTop w:val="0"/>
      <w:marBottom w:val="0"/>
      <w:divBdr>
        <w:top w:val="none" w:sz="0" w:space="0" w:color="auto"/>
        <w:left w:val="none" w:sz="0" w:space="0" w:color="auto"/>
        <w:bottom w:val="none" w:sz="0" w:space="0" w:color="auto"/>
        <w:right w:val="none" w:sz="0" w:space="0" w:color="auto"/>
      </w:divBdr>
    </w:div>
    <w:div w:id="97068372">
      <w:bodyDiv w:val="1"/>
      <w:marLeft w:val="0"/>
      <w:marRight w:val="0"/>
      <w:marTop w:val="0"/>
      <w:marBottom w:val="0"/>
      <w:divBdr>
        <w:top w:val="none" w:sz="0" w:space="0" w:color="auto"/>
        <w:left w:val="none" w:sz="0" w:space="0" w:color="auto"/>
        <w:bottom w:val="none" w:sz="0" w:space="0" w:color="auto"/>
        <w:right w:val="none" w:sz="0" w:space="0" w:color="auto"/>
      </w:divBdr>
    </w:div>
    <w:div w:id="98334492">
      <w:bodyDiv w:val="1"/>
      <w:marLeft w:val="0"/>
      <w:marRight w:val="0"/>
      <w:marTop w:val="0"/>
      <w:marBottom w:val="0"/>
      <w:divBdr>
        <w:top w:val="none" w:sz="0" w:space="0" w:color="auto"/>
        <w:left w:val="none" w:sz="0" w:space="0" w:color="auto"/>
        <w:bottom w:val="none" w:sz="0" w:space="0" w:color="auto"/>
        <w:right w:val="none" w:sz="0" w:space="0" w:color="auto"/>
      </w:divBdr>
    </w:div>
    <w:div w:id="98455539">
      <w:bodyDiv w:val="1"/>
      <w:marLeft w:val="0"/>
      <w:marRight w:val="0"/>
      <w:marTop w:val="0"/>
      <w:marBottom w:val="0"/>
      <w:divBdr>
        <w:top w:val="none" w:sz="0" w:space="0" w:color="auto"/>
        <w:left w:val="none" w:sz="0" w:space="0" w:color="auto"/>
        <w:bottom w:val="none" w:sz="0" w:space="0" w:color="auto"/>
        <w:right w:val="none" w:sz="0" w:space="0" w:color="auto"/>
      </w:divBdr>
    </w:div>
    <w:div w:id="98568494">
      <w:bodyDiv w:val="1"/>
      <w:marLeft w:val="0"/>
      <w:marRight w:val="0"/>
      <w:marTop w:val="0"/>
      <w:marBottom w:val="0"/>
      <w:divBdr>
        <w:top w:val="none" w:sz="0" w:space="0" w:color="auto"/>
        <w:left w:val="none" w:sz="0" w:space="0" w:color="auto"/>
        <w:bottom w:val="none" w:sz="0" w:space="0" w:color="auto"/>
        <w:right w:val="none" w:sz="0" w:space="0" w:color="auto"/>
      </w:divBdr>
    </w:div>
    <w:div w:id="99376702">
      <w:bodyDiv w:val="1"/>
      <w:marLeft w:val="0"/>
      <w:marRight w:val="0"/>
      <w:marTop w:val="0"/>
      <w:marBottom w:val="0"/>
      <w:divBdr>
        <w:top w:val="none" w:sz="0" w:space="0" w:color="auto"/>
        <w:left w:val="none" w:sz="0" w:space="0" w:color="auto"/>
        <w:bottom w:val="none" w:sz="0" w:space="0" w:color="auto"/>
        <w:right w:val="none" w:sz="0" w:space="0" w:color="auto"/>
      </w:divBdr>
    </w:div>
    <w:div w:id="99616641">
      <w:bodyDiv w:val="1"/>
      <w:marLeft w:val="0"/>
      <w:marRight w:val="0"/>
      <w:marTop w:val="0"/>
      <w:marBottom w:val="0"/>
      <w:divBdr>
        <w:top w:val="none" w:sz="0" w:space="0" w:color="auto"/>
        <w:left w:val="none" w:sz="0" w:space="0" w:color="auto"/>
        <w:bottom w:val="none" w:sz="0" w:space="0" w:color="auto"/>
        <w:right w:val="none" w:sz="0" w:space="0" w:color="auto"/>
      </w:divBdr>
    </w:div>
    <w:div w:id="99645028">
      <w:bodyDiv w:val="1"/>
      <w:marLeft w:val="0"/>
      <w:marRight w:val="0"/>
      <w:marTop w:val="0"/>
      <w:marBottom w:val="0"/>
      <w:divBdr>
        <w:top w:val="none" w:sz="0" w:space="0" w:color="auto"/>
        <w:left w:val="none" w:sz="0" w:space="0" w:color="auto"/>
        <w:bottom w:val="none" w:sz="0" w:space="0" w:color="auto"/>
        <w:right w:val="none" w:sz="0" w:space="0" w:color="auto"/>
      </w:divBdr>
    </w:div>
    <w:div w:id="100104618">
      <w:bodyDiv w:val="1"/>
      <w:marLeft w:val="0"/>
      <w:marRight w:val="0"/>
      <w:marTop w:val="0"/>
      <w:marBottom w:val="0"/>
      <w:divBdr>
        <w:top w:val="none" w:sz="0" w:space="0" w:color="auto"/>
        <w:left w:val="none" w:sz="0" w:space="0" w:color="auto"/>
        <w:bottom w:val="none" w:sz="0" w:space="0" w:color="auto"/>
        <w:right w:val="none" w:sz="0" w:space="0" w:color="auto"/>
      </w:divBdr>
    </w:div>
    <w:div w:id="100879847">
      <w:bodyDiv w:val="1"/>
      <w:marLeft w:val="0"/>
      <w:marRight w:val="0"/>
      <w:marTop w:val="0"/>
      <w:marBottom w:val="0"/>
      <w:divBdr>
        <w:top w:val="none" w:sz="0" w:space="0" w:color="auto"/>
        <w:left w:val="none" w:sz="0" w:space="0" w:color="auto"/>
        <w:bottom w:val="none" w:sz="0" w:space="0" w:color="auto"/>
        <w:right w:val="none" w:sz="0" w:space="0" w:color="auto"/>
      </w:divBdr>
    </w:div>
    <w:div w:id="101148094">
      <w:bodyDiv w:val="1"/>
      <w:marLeft w:val="0"/>
      <w:marRight w:val="0"/>
      <w:marTop w:val="0"/>
      <w:marBottom w:val="0"/>
      <w:divBdr>
        <w:top w:val="none" w:sz="0" w:space="0" w:color="auto"/>
        <w:left w:val="none" w:sz="0" w:space="0" w:color="auto"/>
        <w:bottom w:val="none" w:sz="0" w:space="0" w:color="auto"/>
        <w:right w:val="none" w:sz="0" w:space="0" w:color="auto"/>
      </w:divBdr>
    </w:div>
    <w:div w:id="101924380">
      <w:bodyDiv w:val="1"/>
      <w:marLeft w:val="0"/>
      <w:marRight w:val="0"/>
      <w:marTop w:val="0"/>
      <w:marBottom w:val="0"/>
      <w:divBdr>
        <w:top w:val="none" w:sz="0" w:space="0" w:color="auto"/>
        <w:left w:val="none" w:sz="0" w:space="0" w:color="auto"/>
        <w:bottom w:val="none" w:sz="0" w:space="0" w:color="auto"/>
        <w:right w:val="none" w:sz="0" w:space="0" w:color="auto"/>
      </w:divBdr>
    </w:div>
    <w:div w:id="102503838">
      <w:bodyDiv w:val="1"/>
      <w:marLeft w:val="0"/>
      <w:marRight w:val="0"/>
      <w:marTop w:val="0"/>
      <w:marBottom w:val="0"/>
      <w:divBdr>
        <w:top w:val="none" w:sz="0" w:space="0" w:color="auto"/>
        <w:left w:val="none" w:sz="0" w:space="0" w:color="auto"/>
        <w:bottom w:val="none" w:sz="0" w:space="0" w:color="auto"/>
        <w:right w:val="none" w:sz="0" w:space="0" w:color="auto"/>
      </w:divBdr>
    </w:div>
    <w:div w:id="102891704">
      <w:bodyDiv w:val="1"/>
      <w:marLeft w:val="0"/>
      <w:marRight w:val="0"/>
      <w:marTop w:val="0"/>
      <w:marBottom w:val="0"/>
      <w:divBdr>
        <w:top w:val="none" w:sz="0" w:space="0" w:color="auto"/>
        <w:left w:val="none" w:sz="0" w:space="0" w:color="auto"/>
        <w:bottom w:val="none" w:sz="0" w:space="0" w:color="auto"/>
        <w:right w:val="none" w:sz="0" w:space="0" w:color="auto"/>
      </w:divBdr>
    </w:div>
    <w:div w:id="103774522">
      <w:bodyDiv w:val="1"/>
      <w:marLeft w:val="0"/>
      <w:marRight w:val="0"/>
      <w:marTop w:val="0"/>
      <w:marBottom w:val="0"/>
      <w:divBdr>
        <w:top w:val="none" w:sz="0" w:space="0" w:color="auto"/>
        <w:left w:val="none" w:sz="0" w:space="0" w:color="auto"/>
        <w:bottom w:val="none" w:sz="0" w:space="0" w:color="auto"/>
        <w:right w:val="none" w:sz="0" w:space="0" w:color="auto"/>
      </w:divBdr>
    </w:div>
    <w:div w:id="104085425">
      <w:bodyDiv w:val="1"/>
      <w:marLeft w:val="0"/>
      <w:marRight w:val="0"/>
      <w:marTop w:val="0"/>
      <w:marBottom w:val="0"/>
      <w:divBdr>
        <w:top w:val="none" w:sz="0" w:space="0" w:color="auto"/>
        <w:left w:val="none" w:sz="0" w:space="0" w:color="auto"/>
        <w:bottom w:val="none" w:sz="0" w:space="0" w:color="auto"/>
        <w:right w:val="none" w:sz="0" w:space="0" w:color="auto"/>
      </w:divBdr>
    </w:div>
    <w:div w:id="104345849">
      <w:bodyDiv w:val="1"/>
      <w:marLeft w:val="0"/>
      <w:marRight w:val="0"/>
      <w:marTop w:val="0"/>
      <w:marBottom w:val="0"/>
      <w:divBdr>
        <w:top w:val="none" w:sz="0" w:space="0" w:color="auto"/>
        <w:left w:val="none" w:sz="0" w:space="0" w:color="auto"/>
        <w:bottom w:val="none" w:sz="0" w:space="0" w:color="auto"/>
        <w:right w:val="none" w:sz="0" w:space="0" w:color="auto"/>
      </w:divBdr>
    </w:div>
    <w:div w:id="104857871">
      <w:bodyDiv w:val="1"/>
      <w:marLeft w:val="0"/>
      <w:marRight w:val="0"/>
      <w:marTop w:val="0"/>
      <w:marBottom w:val="0"/>
      <w:divBdr>
        <w:top w:val="none" w:sz="0" w:space="0" w:color="auto"/>
        <w:left w:val="none" w:sz="0" w:space="0" w:color="auto"/>
        <w:bottom w:val="none" w:sz="0" w:space="0" w:color="auto"/>
        <w:right w:val="none" w:sz="0" w:space="0" w:color="auto"/>
      </w:divBdr>
    </w:div>
    <w:div w:id="105657430">
      <w:bodyDiv w:val="1"/>
      <w:marLeft w:val="0"/>
      <w:marRight w:val="0"/>
      <w:marTop w:val="0"/>
      <w:marBottom w:val="0"/>
      <w:divBdr>
        <w:top w:val="none" w:sz="0" w:space="0" w:color="auto"/>
        <w:left w:val="none" w:sz="0" w:space="0" w:color="auto"/>
        <w:bottom w:val="none" w:sz="0" w:space="0" w:color="auto"/>
        <w:right w:val="none" w:sz="0" w:space="0" w:color="auto"/>
      </w:divBdr>
      <w:divsChild>
        <w:div w:id="1192917918">
          <w:marLeft w:val="0"/>
          <w:marRight w:val="0"/>
          <w:marTop w:val="0"/>
          <w:marBottom w:val="0"/>
          <w:divBdr>
            <w:top w:val="none" w:sz="0" w:space="0" w:color="auto"/>
            <w:left w:val="none" w:sz="0" w:space="0" w:color="auto"/>
            <w:bottom w:val="none" w:sz="0" w:space="0" w:color="auto"/>
            <w:right w:val="none" w:sz="0" w:space="0" w:color="auto"/>
          </w:divBdr>
        </w:div>
      </w:divsChild>
    </w:div>
    <w:div w:id="106509625">
      <w:bodyDiv w:val="1"/>
      <w:marLeft w:val="0"/>
      <w:marRight w:val="0"/>
      <w:marTop w:val="0"/>
      <w:marBottom w:val="0"/>
      <w:divBdr>
        <w:top w:val="none" w:sz="0" w:space="0" w:color="auto"/>
        <w:left w:val="none" w:sz="0" w:space="0" w:color="auto"/>
        <w:bottom w:val="none" w:sz="0" w:space="0" w:color="auto"/>
        <w:right w:val="none" w:sz="0" w:space="0" w:color="auto"/>
      </w:divBdr>
    </w:div>
    <w:div w:id="107360999">
      <w:bodyDiv w:val="1"/>
      <w:marLeft w:val="0"/>
      <w:marRight w:val="0"/>
      <w:marTop w:val="0"/>
      <w:marBottom w:val="0"/>
      <w:divBdr>
        <w:top w:val="none" w:sz="0" w:space="0" w:color="auto"/>
        <w:left w:val="none" w:sz="0" w:space="0" w:color="auto"/>
        <w:bottom w:val="none" w:sz="0" w:space="0" w:color="auto"/>
        <w:right w:val="none" w:sz="0" w:space="0" w:color="auto"/>
      </w:divBdr>
    </w:div>
    <w:div w:id="108355872">
      <w:bodyDiv w:val="1"/>
      <w:marLeft w:val="0"/>
      <w:marRight w:val="0"/>
      <w:marTop w:val="0"/>
      <w:marBottom w:val="0"/>
      <w:divBdr>
        <w:top w:val="none" w:sz="0" w:space="0" w:color="auto"/>
        <w:left w:val="none" w:sz="0" w:space="0" w:color="auto"/>
        <w:bottom w:val="none" w:sz="0" w:space="0" w:color="auto"/>
        <w:right w:val="none" w:sz="0" w:space="0" w:color="auto"/>
      </w:divBdr>
    </w:div>
    <w:div w:id="108547825">
      <w:bodyDiv w:val="1"/>
      <w:marLeft w:val="0"/>
      <w:marRight w:val="0"/>
      <w:marTop w:val="0"/>
      <w:marBottom w:val="0"/>
      <w:divBdr>
        <w:top w:val="none" w:sz="0" w:space="0" w:color="auto"/>
        <w:left w:val="none" w:sz="0" w:space="0" w:color="auto"/>
        <w:bottom w:val="none" w:sz="0" w:space="0" w:color="auto"/>
        <w:right w:val="none" w:sz="0" w:space="0" w:color="auto"/>
      </w:divBdr>
    </w:div>
    <w:div w:id="109322649">
      <w:bodyDiv w:val="1"/>
      <w:marLeft w:val="0"/>
      <w:marRight w:val="0"/>
      <w:marTop w:val="0"/>
      <w:marBottom w:val="0"/>
      <w:divBdr>
        <w:top w:val="none" w:sz="0" w:space="0" w:color="auto"/>
        <w:left w:val="none" w:sz="0" w:space="0" w:color="auto"/>
        <w:bottom w:val="none" w:sz="0" w:space="0" w:color="auto"/>
        <w:right w:val="none" w:sz="0" w:space="0" w:color="auto"/>
      </w:divBdr>
    </w:div>
    <w:div w:id="109514407">
      <w:bodyDiv w:val="1"/>
      <w:marLeft w:val="0"/>
      <w:marRight w:val="0"/>
      <w:marTop w:val="0"/>
      <w:marBottom w:val="0"/>
      <w:divBdr>
        <w:top w:val="none" w:sz="0" w:space="0" w:color="auto"/>
        <w:left w:val="none" w:sz="0" w:space="0" w:color="auto"/>
        <w:bottom w:val="none" w:sz="0" w:space="0" w:color="auto"/>
        <w:right w:val="none" w:sz="0" w:space="0" w:color="auto"/>
      </w:divBdr>
    </w:div>
    <w:div w:id="109861339">
      <w:bodyDiv w:val="1"/>
      <w:marLeft w:val="0"/>
      <w:marRight w:val="0"/>
      <w:marTop w:val="0"/>
      <w:marBottom w:val="0"/>
      <w:divBdr>
        <w:top w:val="none" w:sz="0" w:space="0" w:color="auto"/>
        <w:left w:val="none" w:sz="0" w:space="0" w:color="auto"/>
        <w:bottom w:val="none" w:sz="0" w:space="0" w:color="auto"/>
        <w:right w:val="none" w:sz="0" w:space="0" w:color="auto"/>
      </w:divBdr>
    </w:div>
    <w:div w:id="110364224">
      <w:bodyDiv w:val="1"/>
      <w:marLeft w:val="0"/>
      <w:marRight w:val="0"/>
      <w:marTop w:val="0"/>
      <w:marBottom w:val="0"/>
      <w:divBdr>
        <w:top w:val="none" w:sz="0" w:space="0" w:color="auto"/>
        <w:left w:val="none" w:sz="0" w:space="0" w:color="auto"/>
        <w:bottom w:val="none" w:sz="0" w:space="0" w:color="auto"/>
        <w:right w:val="none" w:sz="0" w:space="0" w:color="auto"/>
      </w:divBdr>
    </w:div>
    <w:div w:id="110711637">
      <w:bodyDiv w:val="1"/>
      <w:marLeft w:val="0"/>
      <w:marRight w:val="0"/>
      <w:marTop w:val="0"/>
      <w:marBottom w:val="0"/>
      <w:divBdr>
        <w:top w:val="none" w:sz="0" w:space="0" w:color="auto"/>
        <w:left w:val="none" w:sz="0" w:space="0" w:color="auto"/>
        <w:bottom w:val="none" w:sz="0" w:space="0" w:color="auto"/>
        <w:right w:val="none" w:sz="0" w:space="0" w:color="auto"/>
      </w:divBdr>
      <w:divsChild>
        <w:div w:id="659313105">
          <w:marLeft w:val="0"/>
          <w:marRight w:val="0"/>
          <w:marTop w:val="0"/>
          <w:marBottom w:val="0"/>
          <w:divBdr>
            <w:top w:val="none" w:sz="0" w:space="0" w:color="auto"/>
            <w:left w:val="none" w:sz="0" w:space="0" w:color="auto"/>
            <w:bottom w:val="none" w:sz="0" w:space="0" w:color="auto"/>
            <w:right w:val="none" w:sz="0" w:space="0" w:color="auto"/>
          </w:divBdr>
          <w:divsChild>
            <w:div w:id="226847458">
              <w:marLeft w:val="0"/>
              <w:marRight w:val="0"/>
              <w:marTop w:val="0"/>
              <w:marBottom w:val="0"/>
              <w:divBdr>
                <w:top w:val="none" w:sz="0" w:space="0" w:color="auto"/>
                <w:left w:val="none" w:sz="0" w:space="0" w:color="auto"/>
                <w:bottom w:val="none" w:sz="0" w:space="0" w:color="auto"/>
                <w:right w:val="none" w:sz="0" w:space="0" w:color="auto"/>
              </w:divBdr>
            </w:div>
            <w:div w:id="827791856">
              <w:marLeft w:val="0"/>
              <w:marRight w:val="0"/>
              <w:marTop w:val="0"/>
              <w:marBottom w:val="0"/>
              <w:divBdr>
                <w:top w:val="none" w:sz="0" w:space="0" w:color="auto"/>
                <w:left w:val="none" w:sz="0" w:space="0" w:color="auto"/>
                <w:bottom w:val="none" w:sz="0" w:space="0" w:color="auto"/>
                <w:right w:val="none" w:sz="0" w:space="0" w:color="auto"/>
              </w:divBdr>
            </w:div>
            <w:div w:id="843206667">
              <w:marLeft w:val="0"/>
              <w:marRight w:val="0"/>
              <w:marTop w:val="0"/>
              <w:marBottom w:val="0"/>
              <w:divBdr>
                <w:top w:val="none" w:sz="0" w:space="0" w:color="auto"/>
                <w:left w:val="none" w:sz="0" w:space="0" w:color="auto"/>
                <w:bottom w:val="none" w:sz="0" w:space="0" w:color="auto"/>
                <w:right w:val="none" w:sz="0" w:space="0" w:color="auto"/>
              </w:divBdr>
            </w:div>
            <w:div w:id="1436823022">
              <w:marLeft w:val="0"/>
              <w:marRight w:val="0"/>
              <w:marTop w:val="0"/>
              <w:marBottom w:val="0"/>
              <w:divBdr>
                <w:top w:val="none" w:sz="0" w:space="0" w:color="auto"/>
                <w:left w:val="none" w:sz="0" w:space="0" w:color="auto"/>
                <w:bottom w:val="none" w:sz="0" w:space="0" w:color="auto"/>
                <w:right w:val="none" w:sz="0" w:space="0" w:color="auto"/>
              </w:divBdr>
            </w:div>
          </w:divsChild>
        </w:div>
        <w:div w:id="2014067536">
          <w:marLeft w:val="0"/>
          <w:marRight w:val="0"/>
          <w:marTop w:val="0"/>
          <w:marBottom w:val="0"/>
          <w:divBdr>
            <w:top w:val="none" w:sz="0" w:space="0" w:color="auto"/>
            <w:left w:val="none" w:sz="0" w:space="0" w:color="auto"/>
            <w:bottom w:val="none" w:sz="0" w:space="0" w:color="auto"/>
            <w:right w:val="none" w:sz="0" w:space="0" w:color="auto"/>
          </w:divBdr>
          <w:divsChild>
            <w:div w:id="62221871">
              <w:marLeft w:val="0"/>
              <w:marRight w:val="0"/>
              <w:marTop w:val="0"/>
              <w:marBottom w:val="0"/>
              <w:divBdr>
                <w:top w:val="none" w:sz="0" w:space="0" w:color="auto"/>
                <w:left w:val="none" w:sz="0" w:space="0" w:color="auto"/>
                <w:bottom w:val="none" w:sz="0" w:space="0" w:color="auto"/>
                <w:right w:val="none" w:sz="0" w:space="0" w:color="auto"/>
              </w:divBdr>
            </w:div>
            <w:div w:id="343479784">
              <w:marLeft w:val="0"/>
              <w:marRight w:val="0"/>
              <w:marTop w:val="0"/>
              <w:marBottom w:val="0"/>
              <w:divBdr>
                <w:top w:val="none" w:sz="0" w:space="0" w:color="auto"/>
                <w:left w:val="none" w:sz="0" w:space="0" w:color="auto"/>
                <w:bottom w:val="none" w:sz="0" w:space="0" w:color="auto"/>
                <w:right w:val="none" w:sz="0" w:space="0" w:color="auto"/>
              </w:divBdr>
            </w:div>
            <w:div w:id="806749791">
              <w:marLeft w:val="0"/>
              <w:marRight w:val="0"/>
              <w:marTop w:val="0"/>
              <w:marBottom w:val="0"/>
              <w:divBdr>
                <w:top w:val="none" w:sz="0" w:space="0" w:color="auto"/>
                <w:left w:val="none" w:sz="0" w:space="0" w:color="auto"/>
                <w:bottom w:val="none" w:sz="0" w:space="0" w:color="auto"/>
                <w:right w:val="none" w:sz="0" w:space="0" w:color="auto"/>
              </w:divBdr>
            </w:div>
            <w:div w:id="205726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786876">
      <w:bodyDiv w:val="1"/>
      <w:marLeft w:val="0"/>
      <w:marRight w:val="0"/>
      <w:marTop w:val="0"/>
      <w:marBottom w:val="0"/>
      <w:divBdr>
        <w:top w:val="none" w:sz="0" w:space="0" w:color="auto"/>
        <w:left w:val="none" w:sz="0" w:space="0" w:color="auto"/>
        <w:bottom w:val="none" w:sz="0" w:space="0" w:color="auto"/>
        <w:right w:val="none" w:sz="0" w:space="0" w:color="auto"/>
      </w:divBdr>
    </w:div>
    <w:div w:id="111440656">
      <w:bodyDiv w:val="1"/>
      <w:marLeft w:val="0"/>
      <w:marRight w:val="0"/>
      <w:marTop w:val="0"/>
      <w:marBottom w:val="0"/>
      <w:divBdr>
        <w:top w:val="none" w:sz="0" w:space="0" w:color="auto"/>
        <w:left w:val="none" w:sz="0" w:space="0" w:color="auto"/>
        <w:bottom w:val="none" w:sz="0" w:space="0" w:color="auto"/>
        <w:right w:val="none" w:sz="0" w:space="0" w:color="auto"/>
      </w:divBdr>
    </w:div>
    <w:div w:id="111825399">
      <w:bodyDiv w:val="1"/>
      <w:marLeft w:val="0"/>
      <w:marRight w:val="0"/>
      <w:marTop w:val="0"/>
      <w:marBottom w:val="0"/>
      <w:divBdr>
        <w:top w:val="none" w:sz="0" w:space="0" w:color="auto"/>
        <w:left w:val="none" w:sz="0" w:space="0" w:color="auto"/>
        <w:bottom w:val="none" w:sz="0" w:space="0" w:color="auto"/>
        <w:right w:val="none" w:sz="0" w:space="0" w:color="auto"/>
      </w:divBdr>
    </w:div>
    <w:div w:id="112067484">
      <w:bodyDiv w:val="1"/>
      <w:marLeft w:val="0"/>
      <w:marRight w:val="0"/>
      <w:marTop w:val="0"/>
      <w:marBottom w:val="0"/>
      <w:divBdr>
        <w:top w:val="none" w:sz="0" w:space="0" w:color="auto"/>
        <w:left w:val="none" w:sz="0" w:space="0" w:color="auto"/>
        <w:bottom w:val="none" w:sz="0" w:space="0" w:color="auto"/>
        <w:right w:val="none" w:sz="0" w:space="0" w:color="auto"/>
      </w:divBdr>
    </w:div>
    <w:div w:id="112797340">
      <w:bodyDiv w:val="1"/>
      <w:marLeft w:val="0"/>
      <w:marRight w:val="0"/>
      <w:marTop w:val="0"/>
      <w:marBottom w:val="0"/>
      <w:divBdr>
        <w:top w:val="none" w:sz="0" w:space="0" w:color="auto"/>
        <w:left w:val="none" w:sz="0" w:space="0" w:color="auto"/>
        <w:bottom w:val="none" w:sz="0" w:space="0" w:color="auto"/>
        <w:right w:val="none" w:sz="0" w:space="0" w:color="auto"/>
      </w:divBdr>
    </w:div>
    <w:div w:id="113720546">
      <w:bodyDiv w:val="1"/>
      <w:marLeft w:val="0"/>
      <w:marRight w:val="0"/>
      <w:marTop w:val="0"/>
      <w:marBottom w:val="0"/>
      <w:divBdr>
        <w:top w:val="none" w:sz="0" w:space="0" w:color="auto"/>
        <w:left w:val="none" w:sz="0" w:space="0" w:color="auto"/>
        <w:bottom w:val="none" w:sz="0" w:space="0" w:color="auto"/>
        <w:right w:val="none" w:sz="0" w:space="0" w:color="auto"/>
      </w:divBdr>
    </w:div>
    <w:div w:id="113912631">
      <w:bodyDiv w:val="1"/>
      <w:marLeft w:val="0"/>
      <w:marRight w:val="0"/>
      <w:marTop w:val="0"/>
      <w:marBottom w:val="0"/>
      <w:divBdr>
        <w:top w:val="none" w:sz="0" w:space="0" w:color="auto"/>
        <w:left w:val="none" w:sz="0" w:space="0" w:color="auto"/>
        <w:bottom w:val="none" w:sz="0" w:space="0" w:color="auto"/>
        <w:right w:val="none" w:sz="0" w:space="0" w:color="auto"/>
      </w:divBdr>
    </w:div>
    <w:div w:id="114299079">
      <w:bodyDiv w:val="1"/>
      <w:marLeft w:val="0"/>
      <w:marRight w:val="0"/>
      <w:marTop w:val="0"/>
      <w:marBottom w:val="0"/>
      <w:divBdr>
        <w:top w:val="none" w:sz="0" w:space="0" w:color="auto"/>
        <w:left w:val="none" w:sz="0" w:space="0" w:color="auto"/>
        <w:bottom w:val="none" w:sz="0" w:space="0" w:color="auto"/>
        <w:right w:val="none" w:sz="0" w:space="0" w:color="auto"/>
      </w:divBdr>
    </w:div>
    <w:div w:id="114832570">
      <w:bodyDiv w:val="1"/>
      <w:marLeft w:val="0"/>
      <w:marRight w:val="0"/>
      <w:marTop w:val="0"/>
      <w:marBottom w:val="0"/>
      <w:divBdr>
        <w:top w:val="none" w:sz="0" w:space="0" w:color="auto"/>
        <w:left w:val="none" w:sz="0" w:space="0" w:color="auto"/>
        <w:bottom w:val="none" w:sz="0" w:space="0" w:color="auto"/>
        <w:right w:val="none" w:sz="0" w:space="0" w:color="auto"/>
      </w:divBdr>
    </w:div>
    <w:div w:id="114836060">
      <w:bodyDiv w:val="1"/>
      <w:marLeft w:val="0"/>
      <w:marRight w:val="0"/>
      <w:marTop w:val="0"/>
      <w:marBottom w:val="0"/>
      <w:divBdr>
        <w:top w:val="none" w:sz="0" w:space="0" w:color="auto"/>
        <w:left w:val="none" w:sz="0" w:space="0" w:color="auto"/>
        <w:bottom w:val="none" w:sz="0" w:space="0" w:color="auto"/>
        <w:right w:val="none" w:sz="0" w:space="0" w:color="auto"/>
      </w:divBdr>
    </w:div>
    <w:div w:id="114912641">
      <w:bodyDiv w:val="1"/>
      <w:marLeft w:val="0"/>
      <w:marRight w:val="0"/>
      <w:marTop w:val="0"/>
      <w:marBottom w:val="0"/>
      <w:divBdr>
        <w:top w:val="none" w:sz="0" w:space="0" w:color="auto"/>
        <w:left w:val="none" w:sz="0" w:space="0" w:color="auto"/>
        <w:bottom w:val="none" w:sz="0" w:space="0" w:color="auto"/>
        <w:right w:val="none" w:sz="0" w:space="0" w:color="auto"/>
      </w:divBdr>
    </w:div>
    <w:div w:id="115025188">
      <w:bodyDiv w:val="1"/>
      <w:marLeft w:val="0"/>
      <w:marRight w:val="0"/>
      <w:marTop w:val="0"/>
      <w:marBottom w:val="0"/>
      <w:divBdr>
        <w:top w:val="none" w:sz="0" w:space="0" w:color="auto"/>
        <w:left w:val="none" w:sz="0" w:space="0" w:color="auto"/>
        <w:bottom w:val="none" w:sz="0" w:space="0" w:color="auto"/>
        <w:right w:val="none" w:sz="0" w:space="0" w:color="auto"/>
      </w:divBdr>
    </w:div>
    <w:div w:id="115147871">
      <w:bodyDiv w:val="1"/>
      <w:marLeft w:val="0"/>
      <w:marRight w:val="0"/>
      <w:marTop w:val="0"/>
      <w:marBottom w:val="0"/>
      <w:divBdr>
        <w:top w:val="none" w:sz="0" w:space="0" w:color="auto"/>
        <w:left w:val="none" w:sz="0" w:space="0" w:color="auto"/>
        <w:bottom w:val="none" w:sz="0" w:space="0" w:color="auto"/>
        <w:right w:val="none" w:sz="0" w:space="0" w:color="auto"/>
      </w:divBdr>
      <w:divsChild>
        <w:div w:id="1625773132">
          <w:marLeft w:val="0"/>
          <w:marRight w:val="0"/>
          <w:marTop w:val="0"/>
          <w:marBottom w:val="0"/>
          <w:divBdr>
            <w:top w:val="none" w:sz="0" w:space="0" w:color="auto"/>
            <w:left w:val="none" w:sz="0" w:space="0" w:color="auto"/>
            <w:bottom w:val="none" w:sz="0" w:space="0" w:color="auto"/>
            <w:right w:val="none" w:sz="0" w:space="0" w:color="auto"/>
          </w:divBdr>
        </w:div>
      </w:divsChild>
    </w:div>
    <w:div w:id="115298978">
      <w:bodyDiv w:val="1"/>
      <w:marLeft w:val="0"/>
      <w:marRight w:val="0"/>
      <w:marTop w:val="0"/>
      <w:marBottom w:val="0"/>
      <w:divBdr>
        <w:top w:val="none" w:sz="0" w:space="0" w:color="auto"/>
        <w:left w:val="none" w:sz="0" w:space="0" w:color="auto"/>
        <w:bottom w:val="none" w:sz="0" w:space="0" w:color="auto"/>
        <w:right w:val="none" w:sz="0" w:space="0" w:color="auto"/>
      </w:divBdr>
    </w:div>
    <w:div w:id="115636922">
      <w:bodyDiv w:val="1"/>
      <w:marLeft w:val="0"/>
      <w:marRight w:val="0"/>
      <w:marTop w:val="0"/>
      <w:marBottom w:val="0"/>
      <w:divBdr>
        <w:top w:val="none" w:sz="0" w:space="0" w:color="auto"/>
        <w:left w:val="none" w:sz="0" w:space="0" w:color="auto"/>
        <w:bottom w:val="none" w:sz="0" w:space="0" w:color="auto"/>
        <w:right w:val="none" w:sz="0" w:space="0" w:color="auto"/>
      </w:divBdr>
    </w:div>
    <w:div w:id="115687422">
      <w:bodyDiv w:val="1"/>
      <w:marLeft w:val="0"/>
      <w:marRight w:val="0"/>
      <w:marTop w:val="0"/>
      <w:marBottom w:val="0"/>
      <w:divBdr>
        <w:top w:val="none" w:sz="0" w:space="0" w:color="auto"/>
        <w:left w:val="none" w:sz="0" w:space="0" w:color="auto"/>
        <w:bottom w:val="none" w:sz="0" w:space="0" w:color="auto"/>
        <w:right w:val="none" w:sz="0" w:space="0" w:color="auto"/>
      </w:divBdr>
    </w:div>
    <w:div w:id="115755212">
      <w:bodyDiv w:val="1"/>
      <w:marLeft w:val="0"/>
      <w:marRight w:val="0"/>
      <w:marTop w:val="0"/>
      <w:marBottom w:val="0"/>
      <w:divBdr>
        <w:top w:val="none" w:sz="0" w:space="0" w:color="auto"/>
        <w:left w:val="none" w:sz="0" w:space="0" w:color="auto"/>
        <w:bottom w:val="none" w:sz="0" w:space="0" w:color="auto"/>
        <w:right w:val="none" w:sz="0" w:space="0" w:color="auto"/>
      </w:divBdr>
    </w:div>
    <w:div w:id="116141020">
      <w:bodyDiv w:val="1"/>
      <w:marLeft w:val="0"/>
      <w:marRight w:val="0"/>
      <w:marTop w:val="0"/>
      <w:marBottom w:val="0"/>
      <w:divBdr>
        <w:top w:val="none" w:sz="0" w:space="0" w:color="auto"/>
        <w:left w:val="none" w:sz="0" w:space="0" w:color="auto"/>
        <w:bottom w:val="none" w:sz="0" w:space="0" w:color="auto"/>
        <w:right w:val="none" w:sz="0" w:space="0" w:color="auto"/>
      </w:divBdr>
    </w:div>
    <w:div w:id="116533931">
      <w:bodyDiv w:val="1"/>
      <w:marLeft w:val="0"/>
      <w:marRight w:val="0"/>
      <w:marTop w:val="0"/>
      <w:marBottom w:val="0"/>
      <w:divBdr>
        <w:top w:val="none" w:sz="0" w:space="0" w:color="auto"/>
        <w:left w:val="none" w:sz="0" w:space="0" w:color="auto"/>
        <w:bottom w:val="none" w:sz="0" w:space="0" w:color="auto"/>
        <w:right w:val="none" w:sz="0" w:space="0" w:color="auto"/>
      </w:divBdr>
    </w:div>
    <w:div w:id="117458143">
      <w:bodyDiv w:val="1"/>
      <w:marLeft w:val="0"/>
      <w:marRight w:val="0"/>
      <w:marTop w:val="0"/>
      <w:marBottom w:val="0"/>
      <w:divBdr>
        <w:top w:val="none" w:sz="0" w:space="0" w:color="auto"/>
        <w:left w:val="none" w:sz="0" w:space="0" w:color="auto"/>
        <w:bottom w:val="none" w:sz="0" w:space="0" w:color="auto"/>
        <w:right w:val="none" w:sz="0" w:space="0" w:color="auto"/>
      </w:divBdr>
    </w:div>
    <w:div w:id="117652577">
      <w:bodyDiv w:val="1"/>
      <w:marLeft w:val="0"/>
      <w:marRight w:val="0"/>
      <w:marTop w:val="0"/>
      <w:marBottom w:val="0"/>
      <w:divBdr>
        <w:top w:val="none" w:sz="0" w:space="0" w:color="auto"/>
        <w:left w:val="none" w:sz="0" w:space="0" w:color="auto"/>
        <w:bottom w:val="none" w:sz="0" w:space="0" w:color="auto"/>
        <w:right w:val="none" w:sz="0" w:space="0" w:color="auto"/>
      </w:divBdr>
    </w:div>
    <w:div w:id="118843154">
      <w:bodyDiv w:val="1"/>
      <w:marLeft w:val="0"/>
      <w:marRight w:val="0"/>
      <w:marTop w:val="0"/>
      <w:marBottom w:val="0"/>
      <w:divBdr>
        <w:top w:val="none" w:sz="0" w:space="0" w:color="auto"/>
        <w:left w:val="none" w:sz="0" w:space="0" w:color="auto"/>
        <w:bottom w:val="none" w:sz="0" w:space="0" w:color="auto"/>
        <w:right w:val="none" w:sz="0" w:space="0" w:color="auto"/>
      </w:divBdr>
    </w:div>
    <w:div w:id="118888917">
      <w:bodyDiv w:val="1"/>
      <w:marLeft w:val="0"/>
      <w:marRight w:val="0"/>
      <w:marTop w:val="0"/>
      <w:marBottom w:val="0"/>
      <w:divBdr>
        <w:top w:val="none" w:sz="0" w:space="0" w:color="auto"/>
        <w:left w:val="none" w:sz="0" w:space="0" w:color="auto"/>
        <w:bottom w:val="none" w:sz="0" w:space="0" w:color="auto"/>
        <w:right w:val="none" w:sz="0" w:space="0" w:color="auto"/>
      </w:divBdr>
    </w:div>
    <w:div w:id="118963897">
      <w:bodyDiv w:val="1"/>
      <w:marLeft w:val="0"/>
      <w:marRight w:val="0"/>
      <w:marTop w:val="0"/>
      <w:marBottom w:val="0"/>
      <w:divBdr>
        <w:top w:val="none" w:sz="0" w:space="0" w:color="auto"/>
        <w:left w:val="none" w:sz="0" w:space="0" w:color="auto"/>
        <w:bottom w:val="none" w:sz="0" w:space="0" w:color="auto"/>
        <w:right w:val="none" w:sz="0" w:space="0" w:color="auto"/>
      </w:divBdr>
    </w:div>
    <w:div w:id="119079873">
      <w:bodyDiv w:val="1"/>
      <w:marLeft w:val="0"/>
      <w:marRight w:val="0"/>
      <w:marTop w:val="0"/>
      <w:marBottom w:val="0"/>
      <w:divBdr>
        <w:top w:val="none" w:sz="0" w:space="0" w:color="auto"/>
        <w:left w:val="none" w:sz="0" w:space="0" w:color="auto"/>
        <w:bottom w:val="none" w:sz="0" w:space="0" w:color="auto"/>
        <w:right w:val="none" w:sz="0" w:space="0" w:color="auto"/>
      </w:divBdr>
    </w:div>
    <w:div w:id="119232647">
      <w:bodyDiv w:val="1"/>
      <w:marLeft w:val="0"/>
      <w:marRight w:val="0"/>
      <w:marTop w:val="0"/>
      <w:marBottom w:val="0"/>
      <w:divBdr>
        <w:top w:val="none" w:sz="0" w:space="0" w:color="auto"/>
        <w:left w:val="none" w:sz="0" w:space="0" w:color="auto"/>
        <w:bottom w:val="none" w:sz="0" w:space="0" w:color="auto"/>
        <w:right w:val="none" w:sz="0" w:space="0" w:color="auto"/>
      </w:divBdr>
    </w:div>
    <w:div w:id="119538589">
      <w:bodyDiv w:val="1"/>
      <w:marLeft w:val="0"/>
      <w:marRight w:val="0"/>
      <w:marTop w:val="0"/>
      <w:marBottom w:val="0"/>
      <w:divBdr>
        <w:top w:val="none" w:sz="0" w:space="0" w:color="auto"/>
        <w:left w:val="none" w:sz="0" w:space="0" w:color="auto"/>
        <w:bottom w:val="none" w:sz="0" w:space="0" w:color="auto"/>
        <w:right w:val="none" w:sz="0" w:space="0" w:color="auto"/>
      </w:divBdr>
    </w:div>
    <w:div w:id="119540660">
      <w:bodyDiv w:val="1"/>
      <w:marLeft w:val="0"/>
      <w:marRight w:val="0"/>
      <w:marTop w:val="0"/>
      <w:marBottom w:val="0"/>
      <w:divBdr>
        <w:top w:val="none" w:sz="0" w:space="0" w:color="auto"/>
        <w:left w:val="none" w:sz="0" w:space="0" w:color="auto"/>
        <w:bottom w:val="none" w:sz="0" w:space="0" w:color="auto"/>
        <w:right w:val="none" w:sz="0" w:space="0" w:color="auto"/>
      </w:divBdr>
    </w:div>
    <w:div w:id="120805836">
      <w:bodyDiv w:val="1"/>
      <w:marLeft w:val="0"/>
      <w:marRight w:val="0"/>
      <w:marTop w:val="0"/>
      <w:marBottom w:val="0"/>
      <w:divBdr>
        <w:top w:val="none" w:sz="0" w:space="0" w:color="auto"/>
        <w:left w:val="none" w:sz="0" w:space="0" w:color="auto"/>
        <w:bottom w:val="none" w:sz="0" w:space="0" w:color="auto"/>
        <w:right w:val="none" w:sz="0" w:space="0" w:color="auto"/>
      </w:divBdr>
    </w:div>
    <w:div w:id="121073107">
      <w:bodyDiv w:val="1"/>
      <w:marLeft w:val="0"/>
      <w:marRight w:val="0"/>
      <w:marTop w:val="0"/>
      <w:marBottom w:val="0"/>
      <w:divBdr>
        <w:top w:val="none" w:sz="0" w:space="0" w:color="auto"/>
        <w:left w:val="none" w:sz="0" w:space="0" w:color="auto"/>
        <w:bottom w:val="none" w:sz="0" w:space="0" w:color="auto"/>
        <w:right w:val="none" w:sz="0" w:space="0" w:color="auto"/>
      </w:divBdr>
    </w:div>
    <w:div w:id="121272529">
      <w:bodyDiv w:val="1"/>
      <w:marLeft w:val="0"/>
      <w:marRight w:val="0"/>
      <w:marTop w:val="0"/>
      <w:marBottom w:val="0"/>
      <w:divBdr>
        <w:top w:val="none" w:sz="0" w:space="0" w:color="auto"/>
        <w:left w:val="none" w:sz="0" w:space="0" w:color="auto"/>
        <w:bottom w:val="none" w:sz="0" w:space="0" w:color="auto"/>
        <w:right w:val="none" w:sz="0" w:space="0" w:color="auto"/>
      </w:divBdr>
    </w:div>
    <w:div w:id="121310798">
      <w:bodyDiv w:val="1"/>
      <w:marLeft w:val="0"/>
      <w:marRight w:val="0"/>
      <w:marTop w:val="0"/>
      <w:marBottom w:val="0"/>
      <w:divBdr>
        <w:top w:val="none" w:sz="0" w:space="0" w:color="auto"/>
        <w:left w:val="none" w:sz="0" w:space="0" w:color="auto"/>
        <w:bottom w:val="none" w:sz="0" w:space="0" w:color="auto"/>
        <w:right w:val="none" w:sz="0" w:space="0" w:color="auto"/>
      </w:divBdr>
    </w:div>
    <w:div w:id="121506065">
      <w:bodyDiv w:val="1"/>
      <w:marLeft w:val="0"/>
      <w:marRight w:val="0"/>
      <w:marTop w:val="0"/>
      <w:marBottom w:val="0"/>
      <w:divBdr>
        <w:top w:val="none" w:sz="0" w:space="0" w:color="auto"/>
        <w:left w:val="none" w:sz="0" w:space="0" w:color="auto"/>
        <w:bottom w:val="none" w:sz="0" w:space="0" w:color="auto"/>
        <w:right w:val="none" w:sz="0" w:space="0" w:color="auto"/>
      </w:divBdr>
    </w:div>
    <w:div w:id="123475353">
      <w:bodyDiv w:val="1"/>
      <w:marLeft w:val="0"/>
      <w:marRight w:val="0"/>
      <w:marTop w:val="0"/>
      <w:marBottom w:val="0"/>
      <w:divBdr>
        <w:top w:val="none" w:sz="0" w:space="0" w:color="auto"/>
        <w:left w:val="none" w:sz="0" w:space="0" w:color="auto"/>
        <w:bottom w:val="none" w:sz="0" w:space="0" w:color="auto"/>
        <w:right w:val="none" w:sz="0" w:space="0" w:color="auto"/>
      </w:divBdr>
    </w:div>
    <w:div w:id="124589323">
      <w:bodyDiv w:val="1"/>
      <w:marLeft w:val="0"/>
      <w:marRight w:val="0"/>
      <w:marTop w:val="0"/>
      <w:marBottom w:val="0"/>
      <w:divBdr>
        <w:top w:val="none" w:sz="0" w:space="0" w:color="auto"/>
        <w:left w:val="none" w:sz="0" w:space="0" w:color="auto"/>
        <w:bottom w:val="none" w:sz="0" w:space="0" w:color="auto"/>
        <w:right w:val="none" w:sz="0" w:space="0" w:color="auto"/>
      </w:divBdr>
    </w:div>
    <w:div w:id="124859100">
      <w:bodyDiv w:val="1"/>
      <w:marLeft w:val="0"/>
      <w:marRight w:val="0"/>
      <w:marTop w:val="0"/>
      <w:marBottom w:val="0"/>
      <w:divBdr>
        <w:top w:val="none" w:sz="0" w:space="0" w:color="auto"/>
        <w:left w:val="none" w:sz="0" w:space="0" w:color="auto"/>
        <w:bottom w:val="none" w:sz="0" w:space="0" w:color="auto"/>
        <w:right w:val="none" w:sz="0" w:space="0" w:color="auto"/>
      </w:divBdr>
    </w:div>
    <w:div w:id="124929179">
      <w:bodyDiv w:val="1"/>
      <w:marLeft w:val="0"/>
      <w:marRight w:val="0"/>
      <w:marTop w:val="0"/>
      <w:marBottom w:val="0"/>
      <w:divBdr>
        <w:top w:val="none" w:sz="0" w:space="0" w:color="auto"/>
        <w:left w:val="none" w:sz="0" w:space="0" w:color="auto"/>
        <w:bottom w:val="none" w:sz="0" w:space="0" w:color="auto"/>
        <w:right w:val="none" w:sz="0" w:space="0" w:color="auto"/>
      </w:divBdr>
    </w:div>
    <w:div w:id="125126491">
      <w:bodyDiv w:val="1"/>
      <w:marLeft w:val="0"/>
      <w:marRight w:val="0"/>
      <w:marTop w:val="0"/>
      <w:marBottom w:val="0"/>
      <w:divBdr>
        <w:top w:val="none" w:sz="0" w:space="0" w:color="auto"/>
        <w:left w:val="none" w:sz="0" w:space="0" w:color="auto"/>
        <w:bottom w:val="none" w:sz="0" w:space="0" w:color="auto"/>
        <w:right w:val="none" w:sz="0" w:space="0" w:color="auto"/>
      </w:divBdr>
    </w:div>
    <w:div w:id="125516801">
      <w:bodyDiv w:val="1"/>
      <w:marLeft w:val="0"/>
      <w:marRight w:val="0"/>
      <w:marTop w:val="0"/>
      <w:marBottom w:val="0"/>
      <w:divBdr>
        <w:top w:val="none" w:sz="0" w:space="0" w:color="auto"/>
        <w:left w:val="none" w:sz="0" w:space="0" w:color="auto"/>
        <w:bottom w:val="none" w:sz="0" w:space="0" w:color="auto"/>
        <w:right w:val="none" w:sz="0" w:space="0" w:color="auto"/>
      </w:divBdr>
    </w:div>
    <w:div w:id="125583396">
      <w:bodyDiv w:val="1"/>
      <w:marLeft w:val="0"/>
      <w:marRight w:val="0"/>
      <w:marTop w:val="0"/>
      <w:marBottom w:val="0"/>
      <w:divBdr>
        <w:top w:val="none" w:sz="0" w:space="0" w:color="auto"/>
        <w:left w:val="none" w:sz="0" w:space="0" w:color="auto"/>
        <w:bottom w:val="none" w:sz="0" w:space="0" w:color="auto"/>
        <w:right w:val="none" w:sz="0" w:space="0" w:color="auto"/>
      </w:divBdr>
    </w:div>
    <w:div w:id="125971870">
      <w:bodyDiv w:val="1"/>
      <w:marLeft w:val="0"/>
      <w:marRight w:val="0"/>
      <w:marTop w:val="0"/>
      <w:marBottom w:val="0"/>
      <w:divBdr>
        <w:top w:val="none" w:sz="0" w:space="0" w:color="auto"/>
        <w:left w:val="none" w:sz="0" w:space="0" w:color="auto"/>
        <w:bottom w:val="none" w:sz="0" w:space="0" w:color="auto"/>
        <w:right w:val="none" w:sz="0" w:space="0" w:color="auto"/>
      </w:divBdr>
    </w:div>
    <w:div w:id="126238239">
      <w:bodyDiv w:val="1"/>
      <w:marLeft w:val="0"/>
      <w:marRight w:val="0"/>
      <w:marTop w:val="0"/>
      <w:marBottom w:val="0"/>
      <w:divBdr>
        <w:top w:val="none" w:sz="0" w:space="0" w:color="auto"/>
        <w:left w:val="none" w:sz="0" w:space="0" w:color="auto"/>
        <w:bottom w:val="none" w:sz="0" w:space="0" w:color="auto"/>
        <w:right w:val="none" w:sz="0" w:space="0" w:color="auto"/>
      </w:divBdr>
    </w:div>
    <w:div w:id="127012707">
      <w:bodyDiv w:val="1"/>
      <w:marLeft w:val="0"/>
      <w:marRight w:val="0"/>
      <w:marTop w:val="0"/>
      <w:marBottom w:val="0"/>
      <w:divBdr>
        <w:top w:val="none" w:sz="0" w:space="0" w:color="auto"/>
        <w:left w:val="none" w:sz="0" w:space="0" w:color="auto"/>
        <w:bottom w:val="none" w:sz="0" w:space="0" w:color="auto"/>
        <w:right w:val="none" w:sz="0" w:space="0" w:color="auto"/>
      </w:divBdr>
    </w:div>
    <w:div w:id="127364611">
      <w:bodyDiv w:val="1"/>
      <w:marLeft w:val="0"/>
      <w:marRight w:val="0"/>
      <w:marTop w:val="0"/>
      <w:marBottom w:val="0"/>
      <w:divBdr>
        <w:top w:val="none" w:sz="0" w:space="0" w:color="auto"/>
        <w:left w:val="none" w:sz="0" w:space="0" w:color="auto"/>
        <w:bottom w:val="none" w:sz="0" w:space="0" w:color="auto"/>
        <w:right w:val="none" w:sz="0" w:space="0" w:color="auto"/>
      </w:divBdr>
    </w:div>
    <w:div w:id="128011819">
      <w:bodyDiv w:val="1"/>
      <w:marLeft w:val="0"/>
      <w:marRight w:val="0"/>
      <w:marTop w:val="0"/>
      <w:marBottom w:val="0"/>
      <w:divBdr>
        <w:top w:val="none" w:sz="0" w:space="0" w:color="auto"/>
        <w:left w:val="none" w:sz="0" w:space="0" w:color="auto"/>
        <w:bottom w:val="none" w:sz="0" w:space="0" w:color="auto"/>
        <w:right w:val="none" w:sz="0" w:space="0" w:color="auto"/>
      </w:divBdr>
    </w:div>
    <w:div w:id="128057572">
      <w:bodyDiv w:val="1"/>
      <w:marLeft w:val="0"/>
      <w:marRight w:val="0"/>
      <w:marTop w:val="0"/>
      <w:marBottom w:val="0"/>
      <w:divBdr>
        <w:top w:val="none" w:sz="0" w:space="0" w:color="auto"/>
        <w:left w:val="none" w:sz="0" w:space="0" w:color="auto"/>
        <w:bottom w:val="none" w:sz="0" w:space="0" w:color="auto"/>
        <w:right w:val="none" w:sz="0" w:space="0" w:color="auto"/>
      </w:divBdr>
    </w:div>
    <w:div w:id="129369552">
      <w:bodyDiv w:val="1"/>
      <w:marLeft w:val="0"/>
      <w:marRight w:val="0"/>
      <w:marTop w:val="0"/>
      <w:marBottom w:val="0"/>
      <w:divBdr>
        <w:top w:val="none" w:sz="0" w:space="0" w:color="auto"/>
        <w:left w:val="none" w:sz="0" w:space="0" w:color="auto"/>
        <w:bottom w:val="none" w:sz="0" w:space="0" w:color="auto"/>
        <w:right w:val="none" w:sz="0" w:space="0" w:color="auto"/>
      </w:divBdr>
    </w:div>
    <w:div w:id="129976733">
      <w:bodyDiv w:val="1"/>
      <w:marLeft w:val="0"/>
      <w:marRight w:val="0"/>
      <w:marTop w:val="0"/>
      <w:marBottom w:val="0"/>
      <w:divBdr>
        <w:top w:val="none" w:sz="0" w:space="0" w:color="auto"/>
        <w:left w:val="none" w:sz="0" w:space="0" w:color="auto"/>
        <w:bottom w:val="none" w:sz="0" w:space="0" w:color="auto"/>
        <w:right w:val="none" w:sz="0" w:space="0" w:color="auto"/>
      </w:divBdr>
    </w:div>
    <w:div w:id="130367846">
      <w:bodyDiv w:val="1"/>
      <w:marLeft w:val="0"/>
      <w:marRight w:val="0"/>
      <w:marTop w:val="0"/>
      <w:marBottom w:val="0"/>
      <w:divBdr>
        <w:top w:val="none" w:sz="0" w:space="0" w:color="auto"/>
        <w:left w:val="none" w:sz="0" w:space="0" w:color="auto"/>
        <w:bottom w:val="none" w:sz="0" w:space="0" w:color="auto"/>
        <w:right w:val="none" w:sz="0" w:space="0" w:color="auto"/>
      </w:divBdr>
    </w:div>
    <w:div w:id="130563219">
      <w:bodyDiv w:val="1"/>
      <w:marLeft w:val="0"/>
      <w:marRight w:val="0"/>
      <w:marTop w:val="0"/>
      <w:marBottom w:val="0"/>
      <w:divBdr>
        <w:top w:val="none" w:sz="0" w:space="0" w:color="auto"/>
        <w:left w:val="none" w:sz="0" w:space="0" w:color="auto"/>
        <w:bottom w:val="none" w:sz="0" w:space="0" w:color="auto"/>
        <w:right w:val="none" w:sz="0" w:space="0" w:color="auto"/>
      </w:divBdr>
    </w:div>
    <w:div w:id="130757913">
      <w:bodyDiv w:val="1"/>
      <w:marLeft w:val="0"/>
      <w:marRight w:val="0"/>
      <w:marTop w:val="0"/>
      <w:marBottom w:val="0"/>
      <w:divBdr>
        <w:top w:val="none" w:sz="0" w:space="0" w:color="auto"/>
        <w:left w:val="none" w:sz="0" w:space="0" w:color="auto"/>
        <w:bottom w:val="none" w:sz="0" w:space="0" w:color="auto"/>
        <w:right w:val="none" w:sz="0" w:space="0" w:color="auto"/>
      </w:divBdr>
    </w:div>
    <w:div w:id="131363111">
      <w:bodyDiv w:val="1"/>
      <w:marLeft w:val="0"/>
      <w:marRight w:val="0"/>
      <w:marTop w:val="0"/>
      <w:marBottom w:val="0"/>
      <w:divBdr>
        <w:top w:val="none" w:sz="0" w:space="0" w:color="auto"/>
        <w:left w:val="none" w:sz="0" w:space="0" w:color="auto"/>
        <w:bottom w:val="none" w:sz="0" w:space="0" w:color="auto"/>
        <w:right w:val="none" w:sz="0" w:space="0" w:color="auto"/>
      </w:divBdr>
    </w:div>
    <w:div w:id="131873910">
      <w:bodyDiv w:val="1"/>
      <w:marLeft w:val="0"/>
      <w:marRight w:val="0"/>
      <w:marTop w:val="0"/>
      <w:marBottom w:val="0"/>
      <w:divBdr>
        <w:top w:val="none" w:sz="0" w:space="0" w:color="auto"/>
        <w:left w:val="none" w:sz="0" w:space="0" w:color="auto"/>
        <w:bottom w:val="none" w:sz="0" w:space="0" w:color="auto"/>
        <w:right w:val="none" w:sz="0" w:space="0" w:color="auto"/>
      </w:divBdr>
    </w:div>
    <w:div w:id="132256656">
      <w:bodyDiv w:val="1"/>
      <w:marLeft w:val="0"/>
      <w:marRight w:val="0"/>
      <w:marTop w:val="0"/>
      <w:marBottom w:val="0"/>
      <w:divBdr>
        <w:top w:val="none" w:sz="0" w:space="0" w:color="auto"/>
        <w:left w:val="none" w:sz="0" w:space="0" w:color="auto"/>
        <w:bottom w:val="none" w:sz="0" w:space="0" w:color="auto"/>
        <w:right w:val="none" w:sz="0" w:space="0" w:color="auto"/>
      </w:divBdr>
    </w:div>
    <w:div w:id="132869588">
      <w:bodyDiv w:val="1"/>
      <w:marLeft w:val="0"/>
      <w:marRight w:val="0"/>
      <w:marTop w:val="0"/>
      <w:marBottom w:val="0"/>
      <w:divBdr>
        <w:top w:val="none" w:sz="0" w:space="0" w:color="auto"/>
        <w:left w:val="none" w:sz="0" w:space="0" w:color="auto"/>
        <w:bottom w:val="none" w:sz="0" w:space="0" w:color="auto"/>
        <w:right w:val="none" w:sz="0" w:space="0" w:color="auto"/>
      </w:divBdr>
    </w:div>
    <w:div w:id="133185507">
      <w:bodyDiv w:val="1"/>
      <w:marLeft w:val="0"/>
      <w:marRight w:val="0"/>
      <w:marTop w:val="0"/>
      <w:marBottom w:val="0"/>
      <w:divBdr>
        <w:top w:val="none" w:sz="0" w:space="0" w:color="auto"/>
        <w:left w:val="none" w:sz="0" w:space="0" w:color="auto"/>
        <w:bottom w:val="none" w:sz="0" w:space="0" w:color="auto"/>
        <w:right w:val="none" w:sz="0" w:space="0" w:color="auto"/>
      </w:divBdr>
    </w:div>
    <w:div w:id="133260628">
      <w:bodyDiv w:val="1"/>
      <w:marLeft w:val="0"/>
      <w:marRight w:val="0"/>
      <w:marTop w:val="0"/>
      <w:marBottom w:val="0"/>
      <w:divBdr>
        <w:top w:val="none" w:sz="0" w:space="0" w:color="auto"/>
        <w:left w:val="none" w:sz="0" w:space="0" w:color="auto"/>
        <w:bottom w:val="none" w:sz="0" w:space="0" w:color="auto"/>
        <w:right w:val="none" w:sz="0" w:space="0" w:color="auto"/>
      </w:divBdr>
    </w:div>
    <w:div w:id="133528552">
      <w:bodyDiv w:val="1"/>
      <w:marLeft w:val="0"/>
      <w:marRight w:val="0"/>
      <w:marTop w:val="0"/>
      <w:marBottom w:val="0"/>
      <w:divBdr>
        <w:top w:val="none" w:sz="0" w:space="0" w:color="auto"/>
        <w:left w:val="none" w:sz="0" w:space="0" w:color="auto"/>
        <w:bottom w:val="none" w:sz="0" w:space="0" w:color="auto"/>
        <w:right w:val="none" w:sz="0" w:space="0" w:color="auto"/>
      </w:divBdr>
    </w:div>
    <w:div w:id="134611334">
      <w:bodyDiv w:val="1"/>
      <w:marLeft w:val="0"/>
      <w:marRight w:val="0"/>
      <w:marTop w:val="0"/>
      <w:marBottom w:val="0"/>
      <w:divBdr>
        <w:top w:val="none" w:sz="0" w:space="0" w:color="auto"/>
        <w:left w:val="none" w:sz="0" w:space="0" w:color="auto"/>
        <w:bottom w:val="none" w:sz="0" w:space="0" w:color="auto"/>
        <w:right w:val="none" w:sz="0" w:space="0" w:color="auto"/>
      </w:divBdr>
    </w:div>
    <w:div w:id="135340892">
      <w:bodyDiv w:val="1"/>
      <w:marLeft w:val="0"/>
      <w:marRight w:val="0"/>
      <w:marTop w:val="0"/>
      <w:marBottom w:val="0"/>
      <w:divBdr>
        <w:top w:val="none" w:sz="0" w:space="0" w:color="auto"/>
        <w:left w:val="none" w:sz="0" w:space="0" w:color="auto"/>
        <w:bottom w:val="none" w:sz="0" w:space="0" w:color="auto"/>
        <w:right w:val="none" w:sz="0" w:space="0" w:color="auto"/>
      </w:divBdr>
    </w:div>
    <w:div w:id="135463387">
      <w:bodyDiv w:val="1"/>
      <w:marLeft w:val="0"/>
      <w:marRight w:val="0"/>
      <w:marTop w:val="0"/>
      <w:marBottom w:val="0"/>
      <w:divBdr>
        <w:top w:val="none" w:sz="0" w:space="0" w:color="auto"/>
        <w:left w:val="none" w:sz="0" w:space="0" w:color="auto"/>
        <w:bottom w:val="none" w:sz="0" w:space="0" w:color="auto"/>
        <w:right w:val="none" w:sz="0" w:space="0" w:color="auto"/>
      </w:divBdr>
    </w:div>
    <w:div w:id="137959672">
      <w:bodyDiv w:val="1"/>
      <w:marLeft w:val="0"/>
      <w:marRight w:val="0"/>
      <w:marTop w:val="0"/>
      <w:marBottom w:val="0"/>
      <w:divBdr>
        <w:top w:val="none" w:sz="0" w:space="0" w:color="auto"/>
        <w:left w:val="none" w:sz="0" w:space="0" w:color="auto"/>
        <w:bottom w:val="none" w:sz="0" w:space="0" w:color="auto"/>
        <w:right w:val="none" w:sz="0" w:space="0" w:color="auto"/>
      </w:divBdr>
    </w:div>
    <w:div w:id="138613660">
      <w:bodyDiv w:val="1"/>
      <w:marLeft w:val="0"/>
      <w:marRight w:val="0"/>
      <w:marTop w:val="0"/>
      <w:marBottom w:val="0"/>
      <w:divBdr>
        <w:top w:val="none" w:sz="0" w:space="0" w:color="auto"/>
        <w:left w:val="none" w:sz="0" w:space="0" w:color="auto"/>
        <w:bottom w:val="none" w:sz="0" w:space="0" w:color="auto"/>
        <w:right w:val="none" w:sz="0" w:space="0" w:color="auto"/>
      </w:divBdr>
    </w:div>
    <w:div w:id="138616201">
      <w:bodyDiv w:val="1"/>
      <w:marLeft w:val="0"/>
      <w:marRight w:val="0"/>
      <w:marTop w:val="0"/>
      <w:marBottom w:val="0"/>
      <w:divBdr>
        <w:top w:val="none" w:sz="0" w:space="0" w:color="auto"/>
        <w:left w:val="none" w:sz="0" w:space="0" w:color="auto"/>
        <w:bottom w:val="none" w:sz="0" w:space="0" w:color="auto"/>
        <w:right w:val="none" w:sz="0" w:space="0" w:color="auto"/>
      </w:divBdr>
    </w:div>
    <w:div w:id="139465696">
      <w:bodyDiv w:val="1"/>
      <w:marLeft w:val="0"/>
      <w:marRight w:val="0"/>
      <w:marTop w:val="0"/>
      <w:marBottom w:val="0"/>
      <w:divBdr>
        <w:top w:val="none" w:sz="0" w:space="0" w:color="auto"/>
        <w:left w:val="none" w:sz="0" w:space="0" w:color="auto"/>
        <w:bottom w:val="none" w:sz="0" w:space="0" w:color="auto"/>
        <w:right w:val="none" w:sz="0" w:space="0" w:color="auto"/>
      </w:divBdr>
    </w:div>
    <w:div w:id="140001931">
      <w:bodyDiv w:val="1"/>
      <w:marLeft w:val="0"/>
      <w:marRight w:val="0"/>
      <w:marTop w:val="0"/>
      <w:marBottom w:val="0"/>
      <w:divBdr>
        <w:top w:val="none" w:sz="0" w:space="0" w:color="auto"/>
        <w:left w:val="none" w:sz="0" w:space="0" w:color="auto"/>
        <w:bottom w:val="none" w:sz="0" w:space="0" w:color="auto"/>
        <w:right w:val="none" w:sz="0" w:space="0" w:color="auto"/>
      </w:divBdr>
    </w:div>
    <w:div w:id="140922544">
      <w:bodyDiv w:val="1"/>
      <w:marLeft w:val="0"/>
      <w:marRight w:val="0"/>
      <w:marTop w:val="0"/>
      <w:marBottom w:val="0"/>
      <w:divBdr>
        <w:top w:val="none" w:sz="0" w:space="0" w:color="auto"/>
        <w:left w:val="none" w:sz="0" w:space="0" w:color="auto"/>
        <w:bottom w:val="none" w:sz="0" w:space="0" w:color="auto"/>
        <w:right w:val="none" w:sz="0" w:space="0" w:color="auto"/>
      </w:divBdr>
    </w:div>
    <w:div w:id="141428848">
      <w:bodyDiv w:val="1"/>
      <w:marLeft w:val="0"/>
      <w:marRight w:val="0"/>
      <w:marTop w:val="0"/>
      <w:marBottom w:val="0"/>
      <w:divBdr>
        <w:top w:val="none" w:sz="0" w:space="0" w:color="auto"/>
        <w:left w:val="none" w:sz="0" w:space="0" w:color="auto"/>
        <w:bottom w:val="none" w:sz="0" w:space="0" w:color="auto"/>
        <w:right w:val="none" w:sz="0" w:space="0" w:color="auto"/>
      </w:divBdr>
    </w:div>
    <w:div w:id="141505522">
      <w:bodyDiv w:val="1"/>
      <w:marLeft w:val="0"/>
      <w:marRight w:val="0"/>
      <w:marTop w:val="0"/>
      <w:marBottom w:val="0"/>
      <w:divBdr>
        <w:top w:val="none" w:sz="0" w:space="0" w:color="auto"/>
        <w:left w:val="none" w:sz="0" w:space="0" w:color="auto"/>
        <w:bottom w:val="none" w:sz="0" w:space="0" w:color="auto"/>
        <w:right w:val="none" w:sz="0" w:space="0" w:color="auto"/>
      </w:divBdr>
    </w:div>
    <w:div w:id="142160047">
      <w:bodyDiv w:val="1"/>
      <w:marLeft w:val="0"/>
      <w:marRight w:val="0"/>
      <w:marTop w:val="0"/>
      <w:marBottom w:val="0"/>
      <w:divBdr>
        <w:top w:val="none" w:sz="0" w:space="0" w:color="auto"/>
        <w:left w:val="none" w:sz="0" w:space="0" w:color="auto"/>
        <w:bottom w:val="none" w:sz="0" w:space="0" w:color="auto"/>
        <w:right w:val="none" w:sz="0" w:space="0" w:color="auto"/>
      </w:divBdr>
    </w:div>
    <w:div w:id="143207407">
      <w:bodyDiv w:val="1"/>
      <w:marLeft w:val="0"/>
      <w:marRight w:val="0"/>
      <w:marTop w:val="0"/>
      <w:marBottom w:val="0"/>
      <w:divBdr>
        <w:top w:val="none" w:sz="0" w:space="0" w:color="auto"/>
        <w:left w:val="none" w:sz="0" w:space="0" w:color="auto"/>
        <w:bottom w:val="none" w:sz="0" w:space="0" w:color="auto"/>
        <w:right w:val="none" w:sz="0" w:space="0" w:color="auto"/>
      </w:divBdr>
    </w:div>
    <w:div w:id="143358240">
      <w:bodyDiv w:val="1"/>
      <w:marLeft w:val="0"/>
      <w:marRight w:val="0"/>
      <w:marTop w:val="0"/>
      <w:marBottom w:val="0"/>
      <w:divBdr>
        <w:top w:val="none" w:sz="0" w:space="0" w:color="auto"/>
        <w:left w:val="none" w:sz="0" w:space="0" w:color="auto"/>
        <w:bottom w:val="none" w:sz="0" w:space="0" w:color="auto"/>
        <w:right w:val="none" w:sz="0" w:space="0" w:color="auto"/>
      </w:divBdr>
    </w:div>
    <w:div w:id="143595676">
      <w:bodyDiv w:val="1"/>
      <w:marLeft w:val="0"/>
      <w:marRight w:val="0"/>
      <w:marTop w:val="0"/>
      <w:marBottom w:val="0"/>
      <w:divBdr>
        <w:top w:val="none" w:sz="0" w:space="0" w:color="auto"/>
        <w:left w:val="none" w:sz="0" w:space="0" w:color="auto"/>
        <w:bottom w:val="none" w:sz="0" w:space="0" w:color="auto"/>
        <w:right w:val="none" w:sz="0" w:space="0" w:color="auto"/>
      </w:divBdr>
    </w:div>
    <w:div w:id="144008591">
      <w:bodyDiv w:val="1"/>
      <w:marLeft w:val="0"/>
      <w:marRight w:val="0"/>
      <w:marTop w:val="0"/>
      <w:marBottom w:val="0"/>
      <w:divBdr>
        <w:top w:val="none" w:sz="0" w:space="0" w:color="auto"/>
        <w:left w:val="none" w:sz="0" w:space="0" w:color="auto"/>
        <w:bottom w:val="none" w:sz="0" w:space="0" w:color="auto"/>
        <w:right w:val="none" w:sz="0" w:space="0" w:color="auto"/>
      </w:divBdr>
    </w:div>
    <w:div w:id="144248474">
      <w:bodyDiv w:val="1"/>
      <w:marLeft w:val="0"/>
      <w:marRight w:val="0"/>
      <w:marTop w:val="0"/>
      <w:marBottom w:val="0"/>
      <w:divBdr>
        <w:top w:val="none" w:sz="0" w:space="0" w:color="auto"/>
        <w:left w:val="none" w:sz="0" w:space="0" w:color="auto"/>
        <w:bottom w:val="none" w:sz="0" w:space="0" w:color="auto"/>
        <w:right w:val="none" w:sz="0" w:space="0" w:color="auto"/>
      </w:divBdr>
    </w:div>
    <w:div w:id="144467999">
      <w:bodyDiv w:val="1"/>
      <w:marLeft w:val="0"/>
      <w:marRight w:val="0"/>
      <w:marTop w:val="0"/>
      <w:marBottom w:val="0"/>
      <w:divBdr>
        <w:top w:val="none" w:sz="0" w:space="0" w:color="auto"/>
        <w:left w:val="none" w:sz="0" w:space="0" w:color="auto"/>
        <w:bottom w:val="none" w:sz="0" w:space="0" w:color="auto"/>
        <w:right w:val="none" w:sz="0" w:space="0" w:color="auto"/>
      </w:divBdr>
    </w:div>
    <w:div w:id="144594636">
      <w:bodyDiv w:val="1"/>
      <w:marLeft w:val="0"/>
      <w:marRight w:val="0"/>
      <w:marTop w:val="0"/>
      <w:marBottom w:val="0"/>
      <w:divBdr>
        <w:top w:val="none" w:sz="0" w:space="0" w:color="auto"/>
        <w:left w:val="none" w:sz="0" w:space="0" w:color="auto"/>
        <w:bottom w:val="none" w:sz="0" w:space="0" w:color="auto"/>
        <w:right w:val="none" w:sz="0" w:space="0" w:color="auto"/>
      </w:divBdr>
    </w:div>
    <w:div w:id="145438263">
      <w:bodyDiv w:val="1"/>
      <w:marLeft w:val="0"/>
      <w:marRight w:val="0"/>
      <w:marTop w:val="0"/>
      <w:marBottom w:val="0"/>
      <w:divBdr>
        <w:top w:val="none" w:sz="0" w:space="0" w:color="auto"/>
        <w:left w:val="none" w:sz="0" w:space="0" w:color="auto"/>
        <w:bottom w:val="none" w:sz="0" w:space="0" w:color="auto"/>
        <w:right w:val="none" w:sz="0" w:space="0" w:color="auto"/>
      </w:divBdr>
    </w:div>
    <w:div w:id="146097963">
      <w:bodyDiv w:val="1"/>
      <w:marLeft w:val="0"/>
      <w:marRight w:val="0"/>
      <w:marTop w:val="0"/>
      <w:marBottom w:val="0"/>
      <w:divBdr>
        <w:top w:val="none" w:sz="0" w:space="0" w:color="auto"/>
        <w:left w:val="none" w:sz="0" w:space="0" w:color="auto"/>
        <w:bottom w:val="none" w:sz="0" w:space="0" w:color="auto"/>
        <w:right w:val="none" w:sz="0" w:space="0" w:color="auto"/>
      </w:divBdr>
    </w:div>
    <w:div w:id="146212948">
      <w:bodyDiv w:val="1"/>
      <w:marLeft w:val="0"/>
      <w:marRight w:val="0"/>
      <w:marTop w:val="0"/>
      <w:marBottom w:val="0"/>
      <w:divBdr>
        <w:top w:val="none" w:sz="0" w:space="0" w:color="auto"/>
        <w:left w:val="none" w:sz="0" w:space="0" w:color="auto"/>
        <w:bottom w:val="none" w:sz="0" w:space="0" w:color="auto"/>
        <w:right w:val="none" w:sz="0" w:space="0" w:color="auto"/>
      </w:divBdr>
    </w:div>
    <w:div w:id="146215511">
      <w:bodyDiv w:val="1"/>
      <w:marLeft w:val="0"/>
      <w:marRight w:val="0"/>
      <w:marTop w:val="0"/>
      <w:marBottom w:val="0"/>
      <w:divBdr>
        <w:top w:val="none" w:sz="0" w:space="0" w:color="auto"/>
        <w:left w:val="none" w:sz="0" w:space="0" w:color="auto"/>
        <w:bottom w:val="none" w:sz="0" w:space="0" w:color="auto"/>
        <w:right w:val="none" w:sz="0" w:space="0" w:color="auto"/>
      </w:divBdr>
    </w:div>
    <w:div w:id="146409458">
      <w:bodyDiv w:val="1"/>
      <w:marLeft w:val="0"/>
      <w:marRight w:val="0"/>
      <w:marTop w:val="0"/>
      <w:marBottom w:val="0"/>
      <w:divBdr>
        <w:top w:val="none" w:sz="0" w:space="0" w:color="auto"/>
        <w:left w:val="none" w:sz="0" w:space="0" w:color="auto"/>
        <w:bottom w:val="none" w:sz="0" w:space="0" w:color="auto"/>
        <w:right w:val="none" w:sz="0" w:space="0" w:color="auto"/>
      </w:divBdr>
    </w:div>
    <w:div w:id="146560884">
      <w:bodyDiv w:val="1"/>
      <w:marLeft w:val="0"/>
      <w:marRight w:val="0"/>
      <w:marTop w:val="0"/>
      <w:marBottom w:val="0"/>
      <w:divBdr>
        <w:top w:val="none" w:sz="0" w:space="0" w:color="auto"/>
        <w:left w:val="none" w:sz="0" w:space="0" w:color="auto"/>
        <w:bottom w:val="none" w:sz="0" w:space="0" w:color="auto"/>
        <w:right w:val="none" w:sz="0" w:space="0" w:color="auto"/>
      </w:divBdr>
    </w:div>
    <w:div w:id="146870742">
      <w:bodyDiv w:val="1"/>
      <w:marLeft w:val="0"/>
      <w:marRight w:val="0"/>
      <w:marTop w:val="0"/>
      <w:marBottom w:val="0"/>
      <w:divBdr>
        <w:top w:val="none" w:sz="0" w:space="0" w:color="auto"/>
        <w:left w:val="none" w:sz="0" w:space="0" w:color="auto"/>
        <w:bottom w:val="none" w:sz="0" w:space="0" w:color="auto"/>
        <w:right w:val="none" w:sz="0" w:space="0" w:color="auto"/>
      </w:divBdr>
    </w:div>
    <w:div w:id="147408153">
      <w:bodyDiv w:val="1"/>
      <w:marLeft w:val="0"/>
      <w:marRight w:val="0"/>
      <w:marTop w:val="0"/>
      <w:marBottom w:val="0"/>
      <w:divBdr>
        <w:top w:val="none" w:sz="0" w:space="0" w:color="auto"/>
        <w:left w:val="none" w:sz="0" w:space="0" w:color="auto"/>
        <w:bottom w:val="none" w:sz="0" w:space="0" w:color="auto"/>
        <w:right w:val="none" w:sz="0" w:space="0" w:color="auto"/>
      </w:divBdr>
    </w:div>
    <w:div w:id="147409010">
      <w:bodyDiv w:val="1"/>
      <w:marLeft w:val="0"/>
      <w:marRight w:val="0"/>
      <w:marTop w:val="0"/>
      <w:marBottom w:val="0"/>
      <w:divBdr>
        <w:top w:val="none" w:sz="0" w:space="0" w:color="auto"/>
        <w:left w:val="none" w:sz="0" w:space="0" w:color="auto"/>
        <w:bottom w:val="none" w:sz="0" w:space="0" w:color="auto"/>
        <w:right w:val="none" w:sz="0" w:space="0" w:color="auto"/>
      </w:divBdr>
    </w:div>
    <w:div w:id="147668778">
      <w:bodyDiv w:val="1"/>
      <w:marLeft w:val="0"/>
      <w:marRight w:val="0"/>
      <w:marTop w:val="0"/>
      <w:marBottom w:val="0"/>
      <w:divBdr>
        <w:top w:val="none" w:sz="0" w:space="0" w:color="auto"/>
        <w:left w:val="none" w:sz="0" w:space="0" w:color="auto"/>
        <w:bottom w:val="none" w:sz="0" w:space="0" w:color="auto"/>
        <w:right w:val="none" w:sz="0" w:space="0" w:color="auto"/>
      </w:divBdr>
    </w:div>
    <w:div w:id="147788636">
      <w:bodyDiv w:val="1"/>
      <w:marLeft w:val="0"/>
      <w:marRight w:val="0"/>
      <w:marTop w:val="0"/>
      <w:marBottom w:val="0"/>
      <w:divBdr>
        <w:top w:val="none" w:sz="0" w:space="0" w:color="auto"/>
        <w:left w:val="none" w:sz="0" w:space="0" w:color="auto"/>
        <w:bottom w:val="none" w:sz="0" w:space="0" w:color="auto"/>
        <w:right w:val="none" w:sz="0" w:space="0" w:color="auto"/>
      </w:divBdr>
    </w:div>
    <w:div w:id="148712031">
      <w:bodyDiv w:val="1"/>
      <w:marLeft w:val="0"/>
      <w:marRight w:val="0"/>
      <w:marTop w:val="0"/>
      <w:marBottom w:val="0"/>
      <w:divBdr>
        <w:top w:val="none" w:sz="0" w:space="0" w:color="auto"/>
        <w:left w:val="none" w:sz="0" w:space="0" w:color="auto"/>
        <w:bottom w:val="none" w:sz="0" w:space="0" w:color="auto"/>
        <w:right w:val="none" w:sz="0" w:space="0" w:color="auto"/>
      </w:divBdr>
    </w:div>
    <w:div w:id="150101812">
      <w:bodyDiv w:val="1"/>
      <w:marLeft w:val="0"/>
      <w:marRight w:val="0"/>
      <w:marTop w:val="0"/>
      <w:marBottom w:val="0"/>
      <w:divBdr>
        <w:top w:val="none" w:sz="0" w:space="0" w:color="auto"/>
        <w:left w:val="none" w:sz="0" w:space="0" w:color="auto"/>
        <w:bottom w:val="none" w:sz="0" w:space="0" w:color="auto"/>
        <w:right w:val="none" w:sz="0" w:space="0" w:color="auto"/>
      </w:divBdr>
    </w:div>
    <w:div w:id="151147710">
      <w:bodyDiv w:val="1"/>
      <w:marLeft w:val="0"/>
      <w:marRight w:val="0"/>
      <w:marTop w:val="0"/>
      <w:marBottom w:val="0"/>
      <w:divBdr>
        <w:top w:val="none" w:sz="0" w:space="0" w:color="auto"/>
        <w:left w:val="none" w:sz="0" w:space="0" w:color="auto"/>
        <w:bottom w:val="none" w:sz="0" w:space="0" w:color="auto"/>
        <w:right w:val="none" w:sz="0" w:space="0" w:color="auto"/>
      </w:divBdr>
    </w:div>
    <w:div w:id="151263549">
      <w:bodyDiv w:val="1"/>
      <w:marLeft w:val="0"/>
      <w:marRight w:val="0"/>
      <w:marTop w:val="0"/>
      <w:marBottom w:val="0"/>
      <w:divBdr>
        <w:top w:val="none" w:sz="0" w:space="0" w:color="auto"/>
        <w:left w:val="none" w:sz="0" w:space="0" w:color="auto"/>
        <w:bottom w:val="none" w:sz="0" w:space="0" w:color="auto"/>
        <w:right w:val="none" w:sz="0" w:space="0" w:color="auto"/>
      </w:divBdr>
    </w:div>
    <w:div w:id="151992421">
      <w:bodyDiv w:val="1"/>
      <w:marLeft w:val="0"/>
      <w:marRight w:val="0"/>
      <w:marTop w:val="0"/>
      <w:marBottom w:val="0"/>
      <w:divBdr>
        <w:top w:val="none" w:sz="0" w:space="0" w:color="auto"/>
        <w:left w:val="none" w:sz="0" w:space="0" w:color="auto"/>
        <w:bottom w:val="none" w:sz="0" w:space="0" w:color="auto"/>
        <w:right w:val="none" w:sz="0" w:space="0" w:color="auto"/>
      </w:divBdr>
    </w:div>
    <w:div w:id="152451844">
      <w:bodyDiv w:val="1"/>
      <w:marLeft w:val="0"/>
      <w:marRight w:val="0"/>
      <w:marTop w:val="0"/>
      <w:marBottom w:val="0"/>
      <w:divBdr>
        <w:top w:val="none" w:sz="0" w:space="0" w:color="auto"/>
        <w:left w:val="none" w:sz="0" w:space="0" w:color="auto"/>
        <w:bottom w:val="none" w:sz="0" w:space="0" w:color="auto"/>
        <w:right w:val="none" w:sz="0" w:space="0" w:color="auto"/>
      </w:divBdr>
    </w:div>
    <w:div w:id="152458000">
      <w:bodyDiv w:val="1"/>
      <w:marLeft w:val="0"/>
      <w:marRight w:val="0"/>
      <w:marTop w:val="0"/>
      <w:marBottom w:val="0"/>
      <w:divBdr>
        <w:top w:val="none" w:sz="0" w:space="0" w:color="auto"/>
        <w:left w:val="none" w:sz="0" w:space="0" w:color="auto"/>
        <w:bottom w:val="none" w:sz="0" w:space="0" w:color="auto"/>
        <w:right w:val="none" w:sz="0" w:space="0" w:color="auto"/>
      </w:divBdr>
    </w:div>
    <w:div w:id="153110621">
      <w:bodyDiv w:val="1"/>
      <w:marLeft w:val="0"/>
      <w:marRight w:val="0"/>
      <w:marTop w:val="0"/>
      <w:marBottom w:val="0"/>
      <w:divBdr>
        <w:top w:val="none" w:sz="0" w:space="0" w:color="auto"/>
        <w:left w:val="none" w:sz="0" w:space="0" w:color="auto"/>
        <w:bottom w:val="none" w:sz="0" w:space="0" w:color="auto"/>
        <w:right w:val="none" w:sz="0" w:space="0" w:color="auto"/>
      </w:divBdr>
    </w:div>
    <w:div w:id="153225740">
      <w:bodyDiv w:val="1"/>
      <w:marLeft w:val="0"/>
      <w:marRight w:val="0"/>
      <w:marTop w:val="0"/>
      <w:marBottom w:val="0"/>
      <w:divBdr>
        <w:top w:val="none" w:sz="0" w:space="0" w:color="auto"/>
        <w:left w:val="none" w:sz="0" w:space="0" w:color="auto"/>
        <w:bottom w:val="none" w:sz="0" w:space="0" w:color="auto"/>
        <w:right w:val="none" w:sz="0" w:space="0" w:color="auto"/>
      </w:divBdr>
    </w:div>
    <w:div w:id="153229634">
      <w:bodyDiv w:val="1"/>
      <w:marLeft w:val="0"/>
      <w:marRight w:val="0"/>
      <w:marTop w:val="0"/>
      <w:marBottom w:val="0"/>
      <w:divBdr>
        <w:top w:val="none" w:sz="0" w:space="0" w:color="auto"/>
        <w:left w:val="none" w:sz="0" w:space="0" w:color="auto"/>
        <w:bottom w:val="none" w:sz="0" w:space="0" w:color="auto"/>
        <w:right w:val="none" w:sz="0" w:space="0" w:color="auto"/>
      </w:divBdr>
    </w:div>
    <w:div w:id="153421149">
      <w:bodyDiv w:val="1"/>
      <w:marLeft w:val="0"/>
      <w:marRight w:val="0"/>
      <w:marTop w:val="0"/>
      <w:marBottom w:val="0"/>
      <w:divBdr>
        <w:top w:val="none" w:sz="0" w:space="0" w:color="auto"/>
        <w:left w:val="none" w:sz="0" w:space="0" w:color="auto"/>
        <w:bottom w:val="none" w:sz="0" w:space="0" w:color="auto"/>
        <w:right w:val="none" w:sz="0" w:space="0" w:color="auto"/>
      </w:divBdr>
    </w:div>
    <w:div w:id="153569664">
      <w:bodyDiv w:val="1"/>
      <w:marLeft w:val="0"/>
      <w:marRight w:val="0"/>
      <w:marTop w:val="0"/>
      <w:marBottom w:val="0"/>
      <w:divBdr>
        <w:top w:val="none" w:sz="0" w:space="0" w:color="auto"/>
        <w:left w:val="none" w:sz="0" w:space="0" w:color="auto"/>
        <w:bottom w:val="none" w:sz="0" w:space="0" w:color="auto"/>
        <w:right w:val="none" w:sz="0" w:space="0" w:color="auto"/>
      </w:divBdr>
    </w:div>
    <w:div w:id="154036692">
      <w:bodyDiv w:val="1"/>
      <w:marLeft w:val="0"/>
      <w:marRight w:val="0"/>
      <w:marTop w:val="0"/>
      <w:marBottom w:val="0"/>
      <w:divBdr>
        <w:top w:val="none" w:sz="0" w:space="0" w:color="auto"/>
        <w:left w:val="none" w:sz="0" w:space="0" w:color="auto"/>
        <w:bottom w:val="none" w:sz="0" w:space="0" w:color="auto"/>
        <w:right w:val="none" w:sz="0" w:space="0" w:color="auto"/>
      </w:divBdr>
      <w:divsChild>
        <w:div w:id="1880896346">
          <w:marLeft w:val="0"/>
          <w:marRight w:val="0"/>
          <w:marTop w:val="0"/>
          <w:marBottom w:val="0"/>
          <w:divBdr>
            <w:top w:val="none" w:sz="0" w:space="0" w:color="auto"/>
            <w:left w:val="none" w:sz="0" w:space="0" w:color="auto"/>
            <w:bottom w:val="none" w:sz="0" w:space="0" w:color="auto"/>
            <w:right w:val="none" w:sz="0" w:space="0" w:color="auto"/>
          </w:divBdr>
          <w:divsChild>
            <w:div w:id="283849455">
              <w:marLeft w:val="0"/>
              <w:marRight w:val="0"/>
              <w:marTop w:val="0"/>
              <w:marBottom w:val="0"/>
              <w:divBdr>
                <w:top w:val="none" w:sz="0" w:space="0" w:color="auto"/>
                <w:left w:val="none" w:sz="0" w:space="0" w:color="auto"/>
                <w:bottom w:val="none" w:sz="0" w:space="0" w:color="auto"/>
                <w:right w:val="none" w:sz="0" w:space="0" w:color="auto"/>
              </w:divBdr>
              <w:divsChild>
                <w:div w:id="330372862">
                  <w:marLeft w:val="0"/>
                  <w:marRight w:val="0"/>
                  <w:marTop w:val="0"/>
                  <w:marBottom w:val="0"/>
                  <w:divBdr>
                    <w:top w:val="none" w:sz="0" w:space="0" w:color="auto"/>
                    <w:left w:val="none" w:sz="0" w:space="0" w:color="auto"/>
                    <w:bottom w:val="none" w:sz="0" w:space="0" w:color="auto"/>
                    <w:right w:val="none" w:sz="0" w:space="0" w:color="auto"/>
                  </w:divBdr>
                  <w:divsChild>
                    <w:div w:id="1308048969">
                      <w:marLeft w:val="0"/>
                      <w:marRight w:val="0"/>
                      <w:marTop w:val="0"/>
                      <w:marBottom w:val="0"/>
                      <w:divBdr>
                        <w:top w:val="none" w:sz="0" w:space="0" w:color="auto"/>
                        <w:left w:val="none" w:sz="0" w:space="0" w:color="auto"/>
                        <w:bottom w:val="none" w:sz="0" w:space="0" w:color="auto"/>
                        <w:right w:val="none" w:sz="0" w:space="0" w:color="auto"/>
                      </w:divBdr>
                      <w:divsChild>
                        <w:div w:id="855196242">
                          <w:marLeft w:val="0"/>
                          <w:marRight w:val="0"/>
                          <w:marTop w:val="0"/>
                          <w:marBottom w:val="0"/>
                          <w:divBdr>
                            <w:top w:val="none" w:sz="0" w:space="0" w:color="auto"/>
                            <w:left w:val="none" w:sz="0" w:space="0" w:color="auto"/>
                            <w:bottom w:val="none" w:sz="0" w:space="0" w:color="auto"/>
                            <w:right w:val="none" w:sz="0" w:space="0" w:color="auto"/>
                          </w:divBdr>
                          <w:divsChild>
                            <w:div w:id="502010165">
                              <w:marLeft w:val="0"/>
                              <w:marRight w:val="0"/>
                              <w:marTop w:val="0"/>
                              <w:marBottom w:val="0"/>
                              <w:divBdr>
                                <w:top w:val="none" w:sz="0" w:space="0" w:color="auto"/>
                                <w:left w:val="none" w:sz="0" w:space="0" w:color="auto"/>
                                <w:bottom w:val="none" w:sz="0" w:space="0" w:color="auto"/>
                                <w:right w:val="none" w:sz="0" w:space="0" w:color="auto"/>
                              </w:divBdr>
                              <w:divsChild>
                                <w:div w:id="1845784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0270276">
              <w:marLeft w:val="0"/>
              <w:marRight w:val="0"/>
              <w:marTop w:val="0"/>
              <w:marBottom w:val="0"/>
              <w:divBdr>
                <w:top w:val="none" w:sz="0" w:space="0" w:color="auto"/>
                <w:left w:val="none" w:sz="0" w:space="0" w:color="auto"/>
                <w:bottom w:val="none" w:sz="0" w:space="0" w:color="auto"/>
                <w:right w:val="none" w:sz="0" w:space="0" w:color="auto"/>
              </w:divBdr>
              <w:divsChild>
                <w:div w:id="170026982">
                  <w:marLeft w:val="0"/>
                  <w:marRight w:val="0"/>
                  <w:marTop w:val="0"/>
                  <w:marBottom w:val="0"/>
                  <w:divBdr>
                    <w:top w:val="none" w:sz="0" w:space="0" w:color="auto"/>
                    <w:left w:val="none" w:sz="0" w:space="0" w:color="auto"/>
                    <w:bottom w:val="none" w:sz="0" w:space="0" w:color="auto"/>
                    <w:right w:val="none" w:sz="0" w:space="0" w:color="auto"/>
                  </w:divBdr>
                  <w:divsChild>
                    <w:div w:id="153420453">
                      <w:marLeft w:val="0"/>
                      <w:marRight w:val="0"/>
                      <w:marTop w:val="0"/>
                      <w:marBottom w:val="0"/>
                      <w:divBdr>
                        <w:top w:val="none" w:sz="0" w:space="0" w:color="auto"/>
                        <w:left w:val="none" w:sz="0" w:space="0" w:color="auto"/>
                        <w:bottom w:val="none" w:sz="0" w:space="0" w:color="auto"/>
                        <w:right w:val="none" w:sz="0" w:space="0" w:color="auto"/>
                      </w:divBdr>
                      <w:divsChild>
                        <w:div w:id="2106608362">
                          <w:marLeft w:val="0"/>
                          <w:marRight w:val="0"/>
                          <w:marTop w:val="0"/>
                          <w:marBottom w:val="0"/>
                          <w:divBdr>
                            <w:top w:val="none" w:sz="0" w:space="0" w:color="auto"/>
                            <w:left w:val="none" w:sz="0" w:space="0" w:color="auto"/>
                            <w:bottom w:val="none" w:sz="0" w:space="0" w:color="auto"/>
                            <w:right w:val="none" w:sz="0" w:space="0" w:color="auto"/>
                          </w:divBdr>
                          <w:divsChild>
                            <w:div w:id="1878005695">
                              <w:marLeft w:val="0"/>
                              <w:marRight w:val="0"/>
                              <w:marTop w:val="0"/>
                              <w:marBottom w:val="0"/>
                              <w:divBdr>
                                <w:top w:val="none" w:sz="0" w:space="0" w:color="auto"/>
                                <w:left w:val="none" w:sz="0" w:space="0" w:color="auto"/>
                                <w:bottom w:val="none" w:sz="0" w:space="0" w:color="auto"/>
                                <w:right w:val="none" w:sz="0" w:space="0" w:color="auto"/>
                              </w:divBdr>
                              <w:divsChild>
                                <w:div w:id="1390491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6701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48230">
      <w:bodyDiv w:val="1"/>
      <w:marLeft w:val="0"/>
      <w:marRight w:val="0"/>
      <w:marTop w:val="0"/>
      <w:marBottom w:val="0"/>
      <w:divBdr>
        <w:top w:val="none" w:sz="0" w:space="0" w:color="auto"/>
        <w:left w:val="none" w:sz="0" w:space="0" w:color="auto"/>
        <w:bottom w:val="none" w:sz="0" w:space="0" w:color="auto"/>
        <w:right w:val="none" w:sz="0" w:space="0" w:color="auto"/>
      </w:divBdr>
    </w:div>
    <w:div w:id="154762457">
      <w:bodyDiv w:val="1"/>
      <w:marLeft w:val="0"/>
      <w:marRight w:val="0"/>
      <w:marTop w:val="0"/>
      <w:marBottom w:val="0"/>
      <w:divBdr>
        <w:top w:val="none" w:sz="0" w:space="0" w:color="auto"/>
        <w:left w:val="none" w:sz="0" w:space="0" w:color="auto"/>
        <w:bottom w:val="none" w:sz="0" w:space="0" w:color="auto"/>
        <w:right w:val="none" w:sz="0" w:space="0" w:color="auto"/>
      </w:divBdr>
    </w:div>
    <w:div w:id="156507067">
      <w:bodyDiv w:val="1"/>
      <w:marLeft w:val="0"/>
      <w:marRight w:val="0"/>
      <w:marTop w:val="0"/>
      <w:marBottom w:val="0"/>
      <w:divBdr>
        <w:top w:val="none" w:sz="0" w:space="0" w:color="auto"/>
        <w:left w:val="none" w:sz="0" w:space="0" w:color="auto"/>
        <w:bottom w:val="none" w:sz="0" w:space="0" w:color="auto"/>
        <w:right w:val="none" w:sz="0" w:space="0" w:color="auto"/>
      </w:divBdr>
    </w:div>
    <w:div w:id="157623270">
      <w:bodyDiv w:val="1"/>
      <w:marLeft w:val="0"/>
      <w:marRight w:val="0"/>
      <w:marTop w:val="0"/>
      <w:marBottom w:val="0"/>
      <w:divBdr>
        <w:top w:val="none" w:sz="0" w:space="0" w:color="auto"/>
        <w:left w:val="none" w:sz="0" w:space="0" w:color="auto"/>
        <w:bottom w:val="none" w:sz="0" w:space="0" w:color="auto"/>
        <w:right w:val="none" w:sz="0" w:space="0" w:color="auto"/>
      </w:divBdr>
    </w:div>
    <w:div w:id="157690861">
      <w:bodyDiv w:val="1"/>
      <w:marLeft w:val="0"/>
      <w:marRight w:val="0"/>
      <w:marTop w:val="0"/>
      <w:marBottom w:val="0"/>
      <w:divBdr>
        <w:top w:val="none" w:sz="0" w:space="0" w:color="auto"/>
        <w:left w:val="none" w:sz="0" w:space="0" w:color="auto"/>
        <w:bottom w:val="none" w:sz="0" w:space="0" w:color="auto"/>
        <w:right w:val="none" w:sz="0" w:space="0" w:color="auto"/>
      </w:divBdr>
    </w:div>
    <w:div w:id="157693502">
      <w:bodyDiv w:val="1"/>
      <w:marLeft w:val="0"/>
      <w:marRight w:val="0"/>
      <w:marTop w:val="0"/>
      <w:marBottom w:val="0"/>
      <w:divBdr>
        <w:top w:val="none" w:sz="0" w:space="0" w:color="auto"/>
        <w:left w:val="none" w:sz="0" w:space="0" w:color="auto"/>
        <w:bottom w:val="none" w:sz="0" w:space="0" w:color="auto"/>
        <w:right w:val="none" w:sz="0" w:space="0" w:color="auto"/>
      </w:divBdr>
    </w:div>
    <w:div w:id="157773924">
      <w:bodyDiv w:val="1"/>
      <w:marLeft w:val="0"/>
      <w:marRight w:val="0"/>
      <w:marTop w:val="0"/>
      <w:marBottom w:val="0"/>
      <w:divBdr>
        <w:top w:val="none" w:sz="0" w:space="0" w:color="auto"/>
        <w:left w:val="none" w:sz="0" w:space="0" w:color="auto"/>
        <w:bottom w:val="none" w:sz="0" w:space="0" w:color="auto"/>
        <w:right w:val="none" w:sz="0" w:space="0" w:color="auto"/>
      </w:divBdr>
    </w:div>
    <w:div w:id="158078905">
      <w:bodyDiv w:val="1"/>
      <w:marLeft w:val="0"/>
      <w:marRight w:val="0"/>
      <w:marTop w:val="0"/>
      <w:marBottom w:val="0"/>
      <w:divBdr>
        <w:top w:val="none" w:sz="0" w:space="0" w:color="auto"/>
        <w:left w:val="none" w:sz="0" w:space="0" w:color="auto"/>
        <w:bottom w:val="none" w:sz="0" w:space="0" w:color="auto"/>
        <w:right w:val="none" w:sz="0" w:space="0" w:color="auto"/>
      </w:divBdr>
    </w:div>
    <w:div w:id="158229526">
      <w:bodyDiv w:val="1"/>
      <w:marLeft w:val="0"/>
      <w:marRight w:val="0"/>
      <w:marTop w:val="0"/>
      <w:marBottom w:val="0"/>
      <w:divBdr>
        <w:top w:val="none" w:sz="0" w:space="0" w:color="auto"/>
        <w:left w:val="none" w:sz="0" w:space="0" w:color="auto"/>
        <w:bottom w:val="none" w:sz="0" w:space="0" w:color="auto"/>
        <w:right w:val="none" w:sz="0" w:space="0" w:color="auto"/>
      </w:divBdr>
    </w:div>
    <w:div w:id="158738608">
      <w:bodyDiv w:val="1"/>
      <w:marLeft w:val="0"/>
      <w:marRight w:val="0"/>
      <w:marTop w:val="0"/>
      <w:marBottom w:val="0"/>
      <w:divBdr>
        <w:top w:val="none" w:sz="0" w:space="0" w:color="auto"/>
        <w:left w:val="none" w:sz="0" w:space="0" w:color="auto"/>
        <w:bottom w:val="none" w:sz="0" w:space="0" w:color="auto"/>
        <w:right w:val="none" w:sz="0" w:space="0" w:color="auto"/>
      </w:divBdr>
    </w:div>
    <w:div w:id="158809614">
      <w:bodyDiv w:val="1"/>
      <w:marLeft w:val="0"/>
      <w:marRight w:val="0"/>
      <w:marTop w:val="0"/>
      <w:marBottom w:val="0"/>
      <w:divBdr>
        <w:top w:val="none" w:sz="0" w:space="0" w:color="auto"/>
        <w:left w:val="none" w:sz="0" w:space="0" w:color="auto"/>
        <w:bottom w:val="none" w:sz="0" w:space="0" w:color="auto"/>
        <w:right w:val="none" w:sz="0" w:space="0" w:color="auto"/>
      </w:divBdr>
    </w:div>
    <w:div w:id="159274953">
      <w:bodyDiv w:val="1"/>
      <w:marLeft w:val="0"/>
      <w:marRight w:val="0"/>
      <w:marTop w:val="0"/>
      <w:marBottom w:val="0"/>
      <w:divBdr>
        <w:top w:val="none" w:sz="0" w:space="0" w:color="auto"/>
        <w:left w:val="none" w:sz="0" w:space="0" w:color="auto"/>
        <w:bottom w:val="none" w:sz="0" w:space="0" w:color="auto"/>
        <w:right w:val="none" w:sz="0" w:space="0" w:color="auto"/>
      </w:divBdr>
    </w:div>
    <w:div w:id="160850580">
      <w:bodyDiv w:val="1"/>
      <w:marLeft w:val="0"/>
      <w:marRight w:val="0"/>
      <w:marTop w:val="0"/>
      <w:marBottom w:val="0"/>
      <w:divBdr>
        <w:top w:val="none" w:sz="0" w:space="0" w:color="auto"/>
        <w:left w:val="none" w:sz="0" w:space="0" w:color="auto"/>
        <w:bottom w:val="none" w:sz="0" w:space="0" w:color="auto"/>
        <w:right w:val="none" w:sz="0" w:space="0" w:color="auto"/>
      </w:divBdr>
    </w:div>
    <w:div w:id="161162556">
      <w:bodyDiv w:val="1"/>
      <w:marLeft w:val="0"/>
      <w:marRight w:val="0"/>
      <w:marTop w:val="0"/>
      <w:marBottom w:val="0"/>
      <w:divBdr>
        <w:top w:val="none" w:sz="0" w:space="0" w:color="auto"/>
        <w:left w:val="none" w:sz="0" w:space="0" w:color="auto"/>
        <w:bottom w:val="none" w:sz="0" w:space="0" w:color="auto"/>
        <w:right w:val="none" w:sz="0" w:space="0" w:color="auto"/>
      </w:divBdr>
    </w:div>
    <w:div w:id="161167964">
      <w:bodyDiv w:val="1"/>
      <w:marLeft w:val="0"/>
      <w:marRight w:val="0"/>
      <w:marTop w:val="0"/>
      <w:marBottom w:val="0"/>
      <w:divBdr>
        <w:top w:val="none" w:sz="0" w:space="0" w:color="auto"/>
        <w:left w:val="none" w:sz="0" w:space="0" w:color="auto"/>
        <w:bottom w:val="none" w:sz="0" w:space="0" w:color="auto"/>
        <w:right w:val="none" w:sz="0" w:space="0" w:color="auto"/>
      </w:divBdr>
    </w:div>
    <w:div w:id="161480957">
      <w:bodyDiv w:val="1"/>
      <w:marLeft w:val="0"/>
      <w:marRight w:val="0"/>
      <w:marTop w:val="0"/>
      <w:marBottom w:val="0"/>
      <w:divBdr>
        <w:top w:val="none" w:sz="0" w:space="0" w:color="auto"/>
        <w:left w:val="none" w:sz="0" w:space="0" w:color="auto"/>
        <w:bottom w:val="none" w:sz="0" w:space="0" w:color="auto"/>
        <w:right w:val="none" w:sz="0" w:space="0" w:color="auto"/>
      </w:divBdr>
    </w:div>
    <w:div w:id="161548053">
      <w:bodyDiv w:val="1"/>
      <w:marLeft w:val="0"/>
      <w:marRight w:val="0"/>
      <w:marTop w:val="0"/>
      <w:marBottom w:val="0"/>
      <w:divBdr>
        <w:top w:val="none" w:sz="0" w:space="0" w:color="auto"/>
        <w:left w:val="none" w:sz="0" w:space="0" w:color="auto"/>
        <w:bottom w:val="none" w:sz="0" w:space="0" w:color="auto"/>
        <w:right w:val="none" w:sz="0" w:space="0" w:color="auto"/>
      </w:divBdr>
    </w:div>
    <w:div w:id="161555023">
      <w:bodyDiv w:val="1"/>
      <w:marLeft w:val="0"/>
      <w:marRight w:val="0"/>
      <w:marTop w:val="0"/>
      <w:marBottom w:val="0"/>
      <w:divBdr>
        <w:top w:val="none" w:sz="0" w:space="0" w:color="auto"/>
        <w:left w:val="none" w:sz="0" w:space="0" w:color="auto"/>
        <w:bottom w:val="none" w:sz="0" w:space="0" w:color="auto"/>
        <w:right w:val="none" w:sz="0" w:space="0" w:color="auto"/>
      </w:divBdr>
    </w:div>
    <w:div w:id="163010483">
      <w:bodyDiv w:val="1"/>
      <w:marLeft w:val="0"/>
      <w:marRight w:val="0"/>
      <w:marTop w:val="0"/>
      <w:marBottom w:val="0"/>
      <w:divBdr>
        <w:top w:val="none" w:sz="0" w:space="0" w:color="auto"/>
        <w:left w:val="none" w:sz="0" w:space="0" w:color="auto"/>
        <w:bottom w:val="none" w:sz="0" w:space="0" w:color="auto"/>
        <w:right w:val="none" w:sz="0" w:space="0" w:color="auto"/>
      </w:divBdr>
    </w:div>
    <w:div w:id="163017155">
      <w:bodyDiv w:val="1"/>
      <w:marLeft w:val="0"/>
      <w:marRight w:val="0"/>
      <w:marTop w:val="0"/>
      <w:marBottom w:val="0"/>
      <w:divBdr>
        <w:top w:val="none" w:sz="0" w:space="0" w:color="auto"/>
        <w:left w:val="none" w:sz="0" w:space="0" w:color="auto"/>
        <w:bottom w:val="none" w:sz="0" w:space="0" w:color="auto"/>
        <w:right w:val="none" w:sz="0" w:space="0" w:color="auto"/>
      </w:divBdr>
    </w:div>
    <w:div w:id="163018031">
      <w:bodyDiv w:val="1"/>
      <w:marLeft w:val="0"/>
      <w:marRight w:val="0"/>
      <w:marTop w:val="0"/>
      <w:marBottom w:val="0"/>
      <w:divBdr>
        <w:top w:val="none" w:sz="0" w:space="0" w:color="auto"/>
        <w:left w:val="none" w:sz="0" w:space="0" w:color="auto"/>
        <w:bottom w:val="none" w:sz="0" w:space="0" w:color="auto"/>
        <w:right w:val="none" w:sz="0" w:space="0" w:color="auto"/>
      </w:divBdr>
    </w:div>
    <w:div w:id="163059660">
      <w:bodyDiv w:val="1"/>
      <w:marLeft w:val="0"/>
      <w:marRight w:val="0"/>
      <w:marTop w:val="0"/>
      <w:marBottom w:val="0"/>
      <w:divBdr>
        <w:top w:val="none" w:sz="0" w:space="0" w:color="auto"/>
        <w:left w:val="none" w:sz="0" w:space="0" w:color="auto"/>
        <w:bottom w:val="none" w:sz="0" w:space="0" w:color="auto"/>
        <w:right w:val="none" w:sz="0" w:space="0" w:color="auto"/>
      </w:divBdr>
    </w:div>
    <w:div w:id="163521858">
      <w:bodyDiv w:val="1"/>
      <w:marLeft w:val="0"/>
      <w:marRight w:val="0"/>
      <w:marTop w:val="0"/>
      <w:marBottom w:val="0"/>
      <w:divBdr>
        <w:top w:val="none" w:sz="0" w:space="0" w:color="auto"/>
        <w:left w:val="none" w:sz="0" w:space="0" w:color="auto"/>
        <w:bottom w:val="none" w:sz="0" w:space="0" w:color="auto"/>
        <w:right w:val="none" w:sz="0" w:space="0" w:color="auto"/>
      </w:divBdr>
    </w:div>
    <w:div w:id="163711687">
      <w:bodyDiv w:val="1"/>
      <w:marLeft w:val="0"/>
      <w:marRight w:val="0"/>
      <w:marTop w:val="0"/>
      <w:marBottom w:val="0"/>
      <w:divBdr>
        <w:top w:val="none" w:sz="0" w:space="0" w:color="auto"/>
        <w:left w:val="none" w:sz="0" w:space="0" w:color="auto"/>
        <w:bottom w:val="none" w:sz="0" w:space="0" w:color="auto"/>
        <w:right w:val="none" w:sz="0" w:space="0" w:color="auto"/>
      </w:divBdr>
    </w:div>
    <w:div w:id="164051734">
      <w:bodyDiv w:val="1"/>
      <w:marLeft w:val="0"/>
      <w:marRight w:val="0"/>
      <w:marTop w:val="0"/>
      <w:marBottom w:val="0"/>
      <w:divBdr>
        <w:top w:val="none" w:sz="0" w:space="0" w:color="auto"/>
        <w:left w:val="none" w:sz="0" w:space="0" w:color="auto"/>
        <w:bottom w:val="none" w:sz="0" w:space="0" w:color="auto"/>
        <w:right w:val="none" w:sz="0" w:space="0" w:color="auto"/>
      </w:divBdr>
    </w:div>
    <w:div w:id="164785624">
      <w:bodyDiv w:val="1"/>
      <w:marLeft w:val="0"/>
      <w:marRight w:val="0"/>
      <w:marTop w:val="0"/>
      <w:marBottom w:val="0"/>
      <w:divBdr>
        <w:top w:val="none" w:sz="0" w:space="0" w:color="auto"/>
        <w:left w:val="none" w:sz="0" w:space="0" w:color="auto"/>
        <w:bottom w:val="none" w:sz="0" w:space="0" w:color="auto"/>
        <w:right w:val="none" w:sz="0" w:space="0" w:color="auto"/>
      </w:divBdr>
    </w:div>
    <w:div w:id="165101186">
      <w:bodyDiv w:val="1"/>
      <w:marLeft w:val="0"/>
      <w:marRight w:val="0"/>
      <w:marTop w:val="0"/>
      <w:marBottom w:val="0"/>
      <w:divBdr>
        <w:top w:val="none" w:sz="0" w:space="0" w:color="auto"/>
        <w:left w:val="none" w:sz="0" w:space="0" w:color="auto"/>
        <w:bottom w:val="none" w:sz="0" w:space="0" w:color="auto"/>
        <w:right w:val="none" w:sz="0" w:space="0" w:color="auto"/>
      </w:divBdr>
    </w:div>
    <w:div w:id="165488028">
      <w:bodyDiv w:val="1"/>
      <w:marLeft w:val="0"/>
      <w:marRight w:val="0"/>
      <w:marTop w:val="0"/>
      <w:marBottom w:val="0"/>
      <w:divBdr>
        <w:top w:val="none" w:sz="0" w:space="0" w:color="auto"/>
        <w:left w:val="none" w:sz="0" w:space="0" w:color="auto"/>
        <w:bottom w:val="none" w:sz="0" w:space="0" w:color="auto"/>
        <w:right w:val="none" w:sz="0" w:space="0" w:color="auto"/>
      </w:divBdr>
    </w:div>
    <w:div w:id="165630939">
      <w:bodyDiv w:val="1"/>
      <w:marLeft w:val="0"/>
      <w:marRight w:val="0"/>
      <w:marTop w:val="0"/>
      <w:marBottom w:val="0"/>
      <w:divBdr>
        <w:top w:val="none" w:sz="0" w:space="0" w:color="auto"/>
        <w:left w:val="none" w:sz="0" w:space="0" w:color="auto"/>
        <w:bottom w:val="none" w:sz="0" w:space="0" w:color="auto"/>
        <w:right w:val="none" w:sz="0" w:space="0" w:color="auto"/>
      </w:divBdr>
    </w:div>
    <w:div w:id="166022687">
      <w:bodyDiv w:val="1"/>
      <w:marLeft w:val="0"/>
      <w:marRight w:val="0"/>
      <w:marTop w:val="0"/>
      <w:marBottom w:val="0"/>
      <w:divBdr>
        <w:top w:val="none" w:sz="0" w:space="0" w:color="auto"/>
        <w:left w:val="none" w:sz="0" w:space="0" w:color="auto"/>
        <w:bottom w:val="none" w:sz="0" w:space="0" w:color="auto"/>
        <w:right w:val="none" w:sz="0" w:space="0" w:color="auto"/>
      </w:divBdr>
    </w:div>
    <w:div w:id="166989004">
      <w:bodyDiv w:val="1"/>
      <w:marLeft w:val="0"/>
      <w:marRight w:val="0"/>
      <w:marTop w:val="0"/>
      <w:marBottom w:val="0"/>
      <w:divBdr>
        <w:top w:val="none" w:sz="0" w:space="0" w:color="auto"/>
        <w:left w:val="none" w:sz="0" w:space="0" w:color="auto"/>
        <w:bottom w:val="none" w:sz="0" w:space="0" w:color="auto"/>
        <w:right w:val="none" w:sz="0" w:space="0" w:color="auto"/>
      </w:divBdr>
    </w:div>
    <w:div w:id="167451018">
      <w:bodyDiv w:val="1"/>
      <w:marLeft w:val="0"/>
      <w:marRight w:val="0"/>
      <w:marTop w:val="0"/>
      <w:marBottom w:val="0"/>
      <w:divBdr>
        <w:top w:val="none" w:sz="0" w:space="0" w:color="auto"/>
        <w:left w:val="none" w:sz="0" w:space="0" w:color="auto"/>
        <w:bottom w:val="none" w:sz="0" w:space="0" w:color="auto"/>
        <w:right w:val="none" w:sz="0" w:space="0" w:color="auto"/>
      </w:divBdr>
    </w:div>
    <w:div w:id="167789230">
      <w:bodyDiv w:val="1"/>
      <w:marLeft w:val="0"/>
      <w:marRight w:val="0"/>
      <w:marTop w:val="0"/>
      <w:marBottom w:val="0"/>
      <w:divBdr>
        <w:top w:val="none" w:sz="0" w:space="0" w:color="auto"/>
        <w:left w:val="none" w:sz="0" w:space="0" w:color="auto"/>
        <w:bottom w:val="none" w:sz="0" w:space="0" w:color="auto"/>
        <w:right w:val="none" w:sz="0" w:space="0" w:color="auto"/>
      </w:divBdr>
    </w:div>
    <w:div w:id="168838068">
      <w:bodyDiv w:val="1"/>
      <w:marLeft w:val="0"/>
      <w:marRight w:val="0"/>
      <w:marTop w:val="0"/>
      <w:marBottom w:val="0"/>
      <w:divBdr>
        <w:top w:val="none" w:sz="0" w:space="0" w:color="auto"/>
        <w:left w:val="none" w:sz="0" w:space="0" w:color="auto"/>
        <w:bottom w:val="none" w:sz="0" w:space="0" w:color="auto"/>
        <w:right w:val="none" w:sz="0" w:space="0" w:color="auto"/>
      </w:divBdr>
    </w:div>
    <w:div w:id="169104692">
      <w:bodyDiv w:val="1"/>
      <w:marLeft w:val="0"/>
      <w:marRight w:val="0"/>
      <w:marTop w:val="0"/>
      <w:marBottom w:val="0"/>
      <w:divBdr>
        <w:top w:val="none" w:sz="0" w:space="0" w:color="auto"/>
        <w:left w:val="none" w:sz="0" w:space="0" w:color="auto"/>
        <w:bottom w:val="none" w:sz="0" w:space="0" w:color="auto"/>
        <w:right w:val="none" w:sz="0" w:space="0" w:color="auto"/>
      </w:divBdr>
    </w:div>
    <w:div w:id="170679313">
      <w:bodyDiv w:val="1"/>
      <w:marLeft w:val="0"/>
      <w:marRight w:val="0"/>
      <w:marTop w:val="0"/>
      <w:marBottom w:val="0"/>
      <w:divBdr>
        <w:top w:val="none" w:sz="0" w:space="0" w:color="auto"/>
        <w:left w:val="none" w:sz="0" w:space="0" w:color="auto"/>
        <w:bottom w:val="none" w:sz="0" w:space="0" w:color="auto"/>
        <w:right w:val="none" w:sz="0" w:space="0" w:color="auto"/>
      </w:divBdr>
    </w:div>
    <w:div w:id="170803574">
      <w:bodyDiv w:val="1"/>
      <w:marLeft w:val="0"/>
      <w:marRight w:val="0"/>
      <w:marTop w:val="0"/>
      <w:marBottom w:val="0"/>
      <w:divBdr>
        <w:top w:val="none" w:sz="0" w:space="0" w:color="auto"/>
        <w:left w:val="none" w:sz="0" w:space="0" w:color="auto"/>
        <w:bottom w:val="none" w:sz="0" w:space="0" w:color="auto"/>
        <w:right w:val="none" w:sz="0" w:space="0" w:color="auto"/>
      </w:divBdr>
    </w:div>
    <w:div w:id="170881081">
      <w:bodyDiv w:val="1"/>
      <w:marLeft w:val="0"/>
      <w:marRight w:val="0"/>
      <w:marTop w:val="0"/>
      <w:marBottom w:val="0"/>
      <w:divBdr>
        <w:top w:val="none" w:sz="0" w:space="0" w:color="auto"/>
        <w:left w:val="none" w:sz="0" w:space="0" w:color="auto"/>
        <w:bottom w:val="none" w:sz="0" w:space="0" w:color="auto"/>
        <w:right w:val="none" w:sz="0" w:space="0" w:color="auto"/>
      </w:divBdr>
    </w:div>
    <w:div w:id="170992538">
      <w:bodyDiv w:val="1"/>
      <w:marLeft w:val="0"/>
      <w:marRight w:val="0"/>
      <w:marTop w:val="0"/>
      <w:marBottom w:val="0"/>
      <w:divBdr>
        <w:top w:val="none" w:sz="0" w:space="0" w:color="auto"/>
        <w:left w:val="none" w:sz="0" w:space="0" w:color="auto"/>
        <w:bottom w:val="none" w:sz="0" w:space="0" w:color="auto"/>
        <w:right w:val="none" w:sz="0" w:space="0" w:color="auto"/>
      </w:divBdr>
    </w:div>
    <w:div w:id="171452802">
      <w:bodyDiv w:val="1"/>
      <w:marLeft w:val="0"/>
      <w:marRight w:val="0"/>
      <w:marTop w:val="0"/>
      <w:marBottom w:val="0"/>
      <w:divBdr>
        <w:top w:val="none" w:sz="0" w:space="0" w:color="auto"/>
        <w:left w:val="none" w:sz="0" w:space="0" w:color="auto"/>
        <w:bottom w:val="none" w:sz="0" w:space="0" w:color="auto"/>
        <w:right w:val="none" w:sz="0" w:space="0" w:color="auto"/>
      </w:divBdr>
    </w:div>
    <w:div w:id="171460512">
      <w:bodyDiv w:val="1"/>
      <w:marLeft w:val="0"/>
      <w:marRight w:val="0"/>
      <w:marTop w:val="0"/>
      <w:marBottom w:val="0"/>
      <w:divBdr>
        <w:top w:val="none" w:sz="0" w:space="0" w:color="auto"/>
        <w:left w:val="none" w:sz="0" w:space="0" w:color="auto"/>
        <w:bottom w:val="none" w:sz="0" w:space="0" w:color="auto"/>
        <w:right w:val="none" w:sz="0" w:space="0" w:color="auto"/>
      </w:divBdr>
    </w:div>
    <w:div w:id="171536370">
      <w:bodyDiv w:val="1"/>
      <w:marLeft w:val="0"/>
      <w:marRight w:val="0"/>
      <w:marTop w:val="0"/>
      <w:marBottom w:val="0"/>
      <w:divBdr>
        <w:top w:val="none" w:sz="0" w:space="0" w:color="auto"/>
        <w:left w:val="none" w:sz="0" w:space="0" w:color="auto"/>
        <w:bottom w:val="none" w:sz="0" w:space="0" w:color="auto"/>
        <w:right w:val="none" w:sz="0" w:space="0" w:color="auto"/>
      </w:divBdr>
    </w:div>
    <w:div w:id="171800899">
      <w:bodyDiv w:val="1"/>
      <w:marLeft w:val="0"/>
      <w:marRight w:val="0"/>
      <w:marTop w:val="0"/>
      <w:marBottom w:val="0"/>
      <w:divBdr>
        <w:top w:val="none" w:sz="0" w:space="0" w:color="auto"/>
        <w:left w:val="none" w:sz="0" w:space="0" w:color="auto"/>
        <w:bottom w:val="none" w:sz="0" w:space="0" w:color="auto"/>
        <w:right w:val="none" w:sz="0" w:space="0" w:color="auto"/>
      </w:divBdr>
    </w:div>
    <w:div w:id="172378267">
      <w:bodyDiv w:val="1"/>
      <w:marLeft w:val="0"/>
      <w:marRight w:val="0"/>
      <w:marTop w:val="0"/>
      <w:marBottom w:val="0"/>
      <w:divBdr>
        <w:top w:val="none" w:sz="0" w:space="0" w:color="auto"/>
        <w:left w:val="none" w:sz="0" w:space="0" w:color="auto"/>
        <w:bottom w:val="none" w:sz="0" w:space="0" w:color="auto"/>
        <w:right w:val="none" w:sz="0" w:space="0" w:color="auto"/>
      </w:divBdr>
    </w:div>
    <w:div w:id="174075767">
      <w:bodyDiv w:val="1"/>
      <w:marLeft w:val="0"/>
      <w:marRight w:val="0"/>
      <w:marTop w:val="0"/>
      <w:marBottom w:val="0"/>
      <w:divBdr>
        <w:top w:val="none" w:sz="0" w:space="0" w:color="auto"/>
        <w:left w:val="none" w:sz="0" w:space="0" w:color="auto"/>
        <w:bottom w:val="none" w:sz="0" w:space="0" w:color="auto"/>
        <w:right w:val="none" w:sz="0" w:space="0" w:color="auto"/>
      </w:divBdr>
    </w:div>
    <w:div w:id="174269174">
      <w:bodyDiv w:val="1"/>
      <w:marLeft w:val="0"/>
      <w:marRight w:val="0"/>
      <w:marTop w:val="0"/>
      <w:marBottom w:val="0"/>
      <w:divBdr>
        <w:top w:val="none" w:sz="0" w:space="0" w:color="auto"/>
        <w:left w:val="none" w:sz="0" w:space="0" w:color="auto"/>
        <w:bottom w:val="none" w:sz="0" w:space="0" w:color="auto"/>
        <w:right w:val="none" w:sz="0" w:space="0" w:color="auto"/>
      </w:divBdr>
    </w:div>
    <w:div w:id="176846777">
      <w:bodyDiv w:val="1"/>
      <w:marLeft w:val="0"/>
      <w:marRight w:val="0"/>
      <w:marTop w:val="0"/>
      <w:marBottom w:val="0"/>
      <w:divBdr>
        <w:top w:val="none" w:sz="0" w:space="0" w:color="auto"/>
        <w:left w:val="none" w:sz="0" w:space="0" w:color="auto"/>
        <w:bottom w:val="none" w:sz="0" w:space="0" w:color="auto"/>
        <w:right w:val="none" w:sz="0" w:space="0" w:color="auto"/>
      </w:divBdr>
    </w:div>
    <w:div w:id="177743053">
      <w:bodyDiv w:val="1"/>
      <w:marLeft w:val="0"/>
      <w:marRight w:val="0"/>
      <w:marTop w:val="0"/>
      <w:marBottom w:val="0"/>
      <w:divBdr>
        <w:top w:val="none" w:sz="0" w:space="0" w:color="auto"/>
        <w:left w:val="none" w:sz="0" w:space="0" w:color="auto"/>
        <w:bottom w:val="none" w:sz="0" w:space="0" w:color="auto"/>
        <w:right w:val="none" w:sz="0" w:space="0" w:color="auto"/>
      </w:divBdr>
    </w:div>
    <w:div w:id="178474097">
      <w:bodyDiv w:val="1"/>
      <w:marLeft w:val="0"/>
      <w:marRight w:val="0"/>
      <w:marTop w:val="0"/>
      <w:marBottom w:val="0"/>
      <w:divBdr>
        <w:top w:val="none" w:sz="0" w:space="0" w:color="auto"/>
        <w:left w:val="none" w:sz="0" w:space="0" w:color="auto"/>
        <w:bottom w:val="none" w:sz="0" w:space="0" w:color="auto"/>
        <w:right w:val="none" w:sz="0" w:space="0" w:color="auto"/>
      </w:divBdr>
    </w:div>
    <w:div w:id="179052514">
      <w:bodyDiv w:val="1"/>
      <w:marLeft w:val="0"/>
      <w:marRight w:val="0"/>
      <w:marTop w:val="0"/>
      <w:marBottom w:val="0"/>
      <w:divBdr>
        <w:top w:val="none" w:sz="0" w:space="0" w:color="auto"/>
        <w:left w:val="none" w:sz="0" w:space="0" w:color="auto"/>
        <w:bottom w:val="none" w:sz="0" w:space="0" w:color="auto"/>
        <w:right w:val="none" w:sz="0" w:space="0" w:color="auto"/>
      </w:divBdr>
    </w:div>
    <w:div w:id="179660265">
      <w:bodyDiv w:val="1"/>
      <w:marLeft w:val="0"/>
      <w:marRight w:val="0"/>
      <w:marTop w:val="0"/>
      <w:marBottom w:val="0"/>
      <w:divBdr>
        <w:top w:val="none" w:sz="0" w:space="0" w:color="auto"/>
        <w:left w:val="none" w:sz="0" w:space="0" w:color="auto"/>
        <w:bottom w:val="none" w:sz="0" w:space="0" w:color="auto"/>
        <w:right w:val="none" w:sz="0" w:space="0" w:color="auto"/>
      </w:divBdr>
    </w:div>
    <w:div w:id="180633801">
      <w:bodyDiv w:val="1"/>
      <w:marLeft w:val="0"/>
      <w:marRight w:val="0"/>
      <w:marTop w:val="0"/>
      <w:marBottom w:val="0"/>
      <w:divBdr>
        <w:top w:val="none" w:sz="0" w:space="0" w:color="auto"/>
        <w:left w:val="none" w:sz="0" w:space="0" w:color="auto"/>
        <w:bottom w:val="none" w:sz="0" w:space="0" w:color="auto"/>
        <w:right w:val="none" w:sz="0" w:space="0" w:color="auto"/>
      </w:divBdr>
    </w:div>
    <w:div w:id="180702862">
      <w:bodyDiv w:val="1"/>
      <w:marLeft w:val="0"/>
      <w:marRight w:val="0"/>
      <w:marTop w:val="0"/>
      <w:marBottom w:val="0"/>
      <w:divBdr>
        <w:top w:val="none" w:sz="0" w:space="0" w:color="auto"/>
        <w:left w:val="none" w:sz="0" w:space="0" w:color="auto"/>
        <w:bottom w:val="none" w:sz="0" w:space="0" w:color="auto"/>
        <w:right w:val="none" w:sz="0" w:space="0" w:color="auto"/>
      </w:divBdr>
    </w:div>
    <w:div w:id="181208956">
      <w:bodyDiv w:val="1"/>
      <w:marLeft w:val="0"/>
      <w:marRight w:val="0"/>
      <w:marTop w:val="0"/>
      <w:marBottom w:val="0"/>
      <w:divBdr>
        <w:top w:val="none" w:sz="0" w:space="0" w:color="auto"/>
        <w:left w:val="none" w:sz="0" w:space="0" w:color="auto"/>
        <w:bottom w:val="none" w:sz="0" w:space="0" w:color="auto"/>
        <w:right w:val="none" w:sz="0" w:space="0" w:color="auto"/>
      </w:divBdr>
    </w:div>
    <w:div w:id="182013068">
      <w:bodyDiv w:val="1"/>
      <w:marLeft w:val="0"/>
      <w:marRight w:val="0"/>
      <w:marTop w:val="0"/>
      <w:marBottom w:val="0"/>
      <w:divBdr>
        <w:top w:val="none" w:sz="0" w:space="0" w:color="auto"/>
        <w:left w:val="none" w:sz="0" w:space="0" w:color="auto"/>
        <w:bottom w:val="none" w:sz="0" w:space="0" w:color="auto"/>
        <w:right w:val="none" w:sz="0" w:space="0" w:color="auto"/>
      </w:divBdr>
    </w:div>
    <w:div w:id="182675304">
      <w:bodyDiv w:val="1"/>
      <w:marLeft w:val="0"/>
      <w:marRight w:val="0"/>
      <w:marTop w:val="0"/>
      <w:marBottom w:val="0"/>
      <w:divBdr>
        <w:top w:val="none" w:sz="0" w:space="0" w:color="auto"/>
        <w:left w:val="none" w:sz="0" w:space="0" w:color="auto"/>
        <w:bottom w:val="none" w:sz="0" w:space="0" w:color="auto"/>
        <w:right w:val="none" w:sz="0" w:space="0" w:color="auto"/>
      </w:divBdr>
    </w:div>
    <w:div w:id="182718304">
      <w:bodyDiv w:val="1"/>
      <w:marLeft w:val="0"/>
      <w:marRight w:val="0"/>
      <w:marTop w:val="0"/>
      <w:marBottom w:val="0"/>
      <w:divBdr>
        <w:top w:val="none" w:sz="0" w:space="0" w:color="auto"/>
        <w:left w:val="none" w:sz="0" w:space="0" w:color="auto"/>
        <w:bottom w:val="none" w:sz="0" w:space="0" w:color="auto"/>
        <w:right w:val="none" w:sz="0" w:space="0" w:color="auto"/>
      </w:divBdr>
    </w:div>
    <w:div w:id="182942473">
      <w:bodyDiv w:val="1"/>
      <w:marLeft w:val="0"/>
      <w:marRight w:val="0"/>
      <w:marTop w:val="0"/>
      <w:marBottom w:val="0"/>
      <w:divBdr>
        <w:top w:val="none" w:sz="0" w:space="0" w:color="auto"/>
        <w:left w:val="none" w:sz="0" w:space="0" w:color="auto"/>
        <w:bottom w:val="none" w:sz="0" w:space="0" w:color="auto"/>
        <w:right w:val="none" w:sz="0" w:space="0" w:color="auto"/>
      </w:divBdr>
    </w:div>
    <w:div w:id="182982345">
      <w:bodyDiv w:val="1"/>
      <w:marLeft w:val="0"/>
      <w:marRight w:val="0"/>
      <w:marTop w:val="0"/>
      <w:marBottom w:val="0"/>
      <w:divBdr>
        <w:top w:val="none" w:sz="0" w:space="0" w:color="auto"/>
        <w:left w:val="none" w:sz="0" w:space="0" w:color="auto"/>
        <w:bottom w:val="none" w:sz="0" w:space="0" w:color="auto"/>
        <w:right w:val="none" w:sz="0" w:space="0" w:color="auto"/>
      </w:divBdr>
    </w:div>
    <w:div w:id="184056720">
      <w:bodyDiv w:val="1"/>
      <w:marLeft w:val="0"/>
      <w:marRight w:val="0"/>
      <w:marTop w:val="0"/>
      <w:marBottom w:val="0"/>
      <w:divBdr>
        <w:top w:val="none" w:sz="0" w:space="0" w:color="auto"/>
        <w:left w:val="none" w:sz="0" w:space="0" w:color="auto"/>
        <w:bottom w:val="none" w:sz="0" w:space="0" w:color="auto"/>
        <w:right w:val="none" w:sz="0" w:space="0" w:color="auto"/>
      </w:divBdr>
    </w:div>
    <w:div w:id="184446395">
      <w:bodyDiv w:val="1"/>
      <w:marLeft w:val="0"/>
      <w:marRight w:val="0"/>
      <w:marTop w:val="0"/>
      <w:marBottom w:val="0"/>
      <w:divBdr>
        <w:top w:val="none" w:sz="0" w:space="0" w:color="auto"/>
        <w:left w:val="none" w:sz="0" w:space="0" w:color="auto"/>
        <w:bottom w:val="none" w:sz="0" w:space="0" w:color="auto"/>
        <w:right w:val="none" w:sz="0" w:space="0" w:color="auto"/>
      </w:divBdr>
    </w:div>
    <w:div w:id="184759675">
      <w:bodyDiv w:val="1"/>
      <w:marLeft w:val="0"/>
      <w:marRight w:val="0"/>
      <w:marTop w:val="0"/>
      <w:marBottom w:val="0"/>
      <w:divBdr>
        <w:top w:val="none" w:sz="0" w:space="0" w:color="auto"/>
        <w:left w:val="none" w:sz="0" w:space="0" w:color="auto"/>
        <w:bottom w:val="none" w:sz="0" w:space="0" w:color="auto"/>
        <w:right w:val="none" w:sz="0" w:space="0" w:color="auto"/>
      </w:divBdr>
    </w:div>
    <w:div w:id="185215598">
      <w:bodyDiv w:val="1"/>
      <w:marLeft w:val="0"/>
      <w:marRight w:val="0"/>
      <w:marTop w:val="0"/>
      <w:marBottom w:val="0"/>
      <w:divBdr>
        <w:top w:val="none" w:sz="0" w:space="0" w:color="auto"/>
        <w:left w:val="none" w:sz="0" w:space="0" w:color="auto"/>
        <w:bottom w:val="none" w:sz="0" w:space="0" w:color="auto"/>
        <w:right w:val="none" w:sz="0" w:space="0" w:color="auto"/>
      </w:divBdr>
    </w:div>
    <w:div w:id="185368424">
      <w:bodyDiv w:val="1"/>
      <w:marLeft w:val="0"/>
      <w:marRight w:val="0"/>
      <w:marTop w:val="0"/>
      <w:marBottom w:val="0"/>
      <w:divBdr>
        <w:top w:val="none" w:sz="0" w:space="0" w:color="auto"/>
        <w:left w:val="none" w:sz="0" w:space="0" w:color="auto"/>
        <w:bottom w:val="none" w:sz="0" w:space="0" w:color="auto"/>
        <w:right w:val="none" w:sz="0" w:space="0" w:color="auto"/>
      </w:divBdr>
    </w:div>
    <w:div w:id="185608494">
      <w:bodyDiv w:val="1"/>
      <w:marLeft w:val="0"/>
      <w:marRight w:val="0"/>
      <w:marTop w:val="0"/>
      <w:marBottom w:val="0"/>
      <w:divBdr>
        <w:top w:val="none" w:sz="0" w:space="0" w:color="auto"/>
        <w:left w:val="none" w:sz="0" w:space="0" w:color="auto"/>
        <w:bottom w:val="none" w:sz="0" w:space="0" w:color="auto"/>
        <w:right w:val="none" w:sz="0" w:space="0" w:color="auto"/>
      </w:divBdr>
    </w:div>
    <w:div w:id="185759176">
      <w:bodyDiv w:val="1"/>
      <w:marLeft w:val="0"/>
      <w:marRight w:val="0"/>
      <w:marTop w:val="0"/>
      <w:marBottom w:val="0"/>
      <w:divBdr>
        <w:top w:val="none" w:sz="0" w:space="0" w:color="auto"/>
        <w:left w:val="none" w:sz="0" w:space="0" w:color="auto"/>
        <w:bottom w:val="none" w:sz="0" w:space="0" w:color="auto"/>
        <w:right w:val="none" w:sz="0" w:space="0" w:color="auto"/>
      </w:divBdr>
    </w:div>
    <w:div w:id="186410504">
      <w:bodyDiv w:val="1"/>
      <w:marLeft w:val="0"/>
      <w:marRight w:val="0"/>
      <w:marTop w:val="0"/>
      <w:marBottom w:val="0"/>
      <w:divBdr>
        <w:top w:val="none" w:sz="0" w:space="0" w:color="auto"/>
        <w:left w:val="none" w:sz="0" w:space="0" w:color="auto"/>
        <w:bottom w:val="none" w:sz="0" w:space="0" w:color="auto"/>
        <w:right w:val="none" w:sz="0" w:space="0" w:color="auto"/>
      </w:divBdr>
    </w:div>
    <w:div w:id="187527040">
      <w:bodyDiv w:val="1"/>
      <w:marLeft w:val="0"/>
      <w:marRight w:val="0"/>
      <w:marTop w:val="0"/>
      <w:marBottom w:val="0"/>
      <w:divBdr>
        <w:top w:val="none" w:sz="0" w:space="0" w:color="auto"/>
        <w:left w:val="none" w:sz="0" w:space="0" w:color="auto"/>
        <w:bottom w:val="none" w:sz="0" w:space="0" w:color="auto"/>
        <w:right w:val="none" w:sz="0" w:space="0" w:color="auto"/>
      </w:divBdr>
    </w:div>
    <w:div w:id="188641891">
      <w:bodyDiv w:val="1"/>
      <w:marLeft w:val="0"/>
      <w:marRight w:val="0"/>
      <w:marTop w:val="0"/>
      <w:marBottom w:val="0"/>
      <w:divBdr>
        <w:top w:val="none" w:sz="0" w:space="0" w:color="auto"/>
        <w:left w:val="none" w:sz="0" w:space="0" w:color="auto"/>
        <w:bottom w:val="none" w:sz="0" w:space="0" w:color="auto"/>
        <w:right w:val="none" w:sz="0" w:space="0" w:color="auto"/>
      </w:divBdr>
    </w:div>
    <w:div w:id="188688233">
      <w:bodyDiv w:val="1"/>
      <w:marLeft w:val="0"/>
      <w:marRight w:val="0"/>
      <w:marTop w:val="0"/>
      <w:marBottom w:val="0"/>
      <w:divBdr>
        <w:top w:val="none" w:sz="0" w:space="0" w:color="auto"/>
        <w:left w:val="none" w:sz="0" w:space="0" w:color="auto"/>
        <w:bottom w:val="none" w:sz="0" w:space="0" w:color="auto"/>
        <w:right w:val="none" w:sz="0" w:space="0" w:color="auto"/>
      </w:divBdr>
    </w:div>
    <w:div w:id="189491242">
      <w:bodyDiv w:val="1"/>
      <w:marLeft w:val="0"/>
      <w:marRight w:val="0"/>
      <w:marTop w:val="0"/>
      <w:marBottom w:val="0"/>
      <w:divBdr>
        <w:top w:val="none" w:sz="0" w:space="0" w:color="auto"/>
        <w:left w:val="none" w:sz="0" w:space="0" w:color="auto"/>
        <w:bottom w:val="none" w:sz="0" w:space="0" w:color="auto"/>
        <w:right w:val="none" w:sz="0" w:space="0" w:color="auto"/>
      </w:divBdr>
    </w:div>
    <w:div w:id="189925424">
      <w:bodyDiv w:val="1"/>
      <w:marLeft w:val="0"/>
      <w:marRight w:val="0"/>
      <w:marTop w:val="0"/>
      <w:marBottom w:val="0"/>
      <w:divBdr>
        <w:top w:val="none" w:sz="0" w:space="0" w:color="auto"/>
        <w:left w:val="none" w:sz="0" w:space="0" w:color="auto"/>
        <w:bottom w:val="none" w:sz="0" w:space="0" w:color="auto"/>
        <w:right w:val="none" w:sz="0" w:space="0" w:color="auto"/>
      </w:divBdr>
    </w:div>
    <w:div w:id="190340857">
      <w:bodyDiv w:val="1"/>
      <w:marLeft w:val="0"/>
      <w:marRight w:val="0"/>
      <w:marTop w:val="0"/>
      <w:marBottom w:val="0"/>
      <w:divBdr>
        <w:top w:val="none" w:sz="0" w:space="0" w:color="auto"/>
        <w:left w:val="none" w:sz="0" w:space="0" w:color="auto"/>
        <w:bottom w:val="none" w:sz="0" w:space="0" w:color="auto"/>
        <w:right w:val="none" w:sz="0" w:space="0" w:color="auto"/>
      </w:divBdr>
    </w:div>
    <w:div w:id="190531417">
      <w:bodyDiv w:val="1"/>
      <w:marLeft w:val="0"/>
      <w:marRight w:val="0"/>
      <w:marTop w:val="0"/>
      <w:marBottom w:val="0"/>
      <w:divBdr>
        <w:top w:val="none" w:sz="0" w:space="0" w:color="auto"/>
        <w:left w:val="none" w:sz="0" w:space="0" w:color="auto"/>
        <w:bottom w:val="none" w:sz="0" w:space="0" w:color="auto"/>
        <w:right w:val="none" w:sz="0" w:space="0" w:color="auto"/>
      </w:divBdr>
    </w:div>
    <w:div w:id="190800639">
      <w:bodyDiv w:val="1"/>
      <w:marLeft w:val="0"/>
      <w:marRight w:val="0"/>
      <w:marTop w:val="0"/>
      <w:marBottom w:val="0"/>
      <w:divBdr>
        <w:top w:val="none" w:sz="0" w:space="0" w:color="auto"/>
        <w:left w:val="none" w:sz="0" w:space="0" w:color="auto"/>
        <w:bottom w:val="none" w:sz="0" w:space="0" w:color="auto"/>
        <w:right w:val="none" w:sz="0" w:space="0" w:color="auto"/>
      </w:divBdr>
    </w:div>
    <w:div w:id="190920211">
      <w:bodyDiv w:val="1"/>
      <w:marLeft w:val="0"/>
      <w:marRight w:val="0"/>
      <w:marTop w:val="0"/>
      <w:marBottom w:val="0"/>
      <w:divBdr>
        <w:top w:val="none" w:sz="0" w:space="0" w:color="auto"/>
        <w:left w:val="none" w:sz="0" w:space="0" w:color="auto"/>
        <w:bottom w:val="none" w:sz="0" w:space="0" w:color="auto"/>
        <w:right w:val="none" w:sz="0" w:space="0" w:color="auto"/>
      </w:divBdr>
    </w:div>
    <w:div w:id="191767396">
      <w:bodyDiv w:val="1"/>
      <w:marLeft w:val="0"/>
      <w:marRight w:val="0"/>
      <w:marTop w:val="0"/>
      <w:marBottom w:val="0"/>
      <w:divBdr>
        <w:top w:val="none" w:sz="0" w:space="0" w:color="auto"/>
        <w:left w:val="none" w:sz="0" w:space="0" w:color="auto"/>
        <w:bottom w:val="none" w:sz="0" w:space="0" w:color="auto"/>
        <w:right w:val="none" w:sz="0" w:space="0" w:color="auto"/>
      </w:divBdr>
    </w:div>
    <w:div w:id="193545763">
      <w:bodyDiv w:val="1"/>
      <w:marLeft w:val="0"/>
      <w:marRight w:val="0"/>
      <w:marTop w:val="0"/>
      <w:marBottom w:val="0"/>
      <w:divBdr>
        <w:top w:val="none" w:sz="0" w:space="0" w:color="auto"/>
        <w:left w:val="none" w:sz="0" w:space="0" w:color="auto"/>
        <w:bottom w:val="none" w:sz="0" w:space="0" w:color="auto"/>
        <w:right w:val="none" w:sz="0" w:space="0" w:color="auto"/>
      </w:divBdr>
    </w:div>
    <w:div w:id="194850452">
      <w:bodyDiv w:val="1"/>
      <w:marLeft w:val="0"/>
      <w:marRight w:val="0"/>
      <w:marTop w:val="0"/>
      <w:marBottom w:val="0"/>
      <w:divBdr>
        <w:top w:val="none" w:sz="0" w:space="0" w:color="auto"/>
        <w:left w:val="none" w:sz="0" w:space="0" w:color="auto"/>
        <w:bottom w:val="none" w:sz="0" w:space="0" w:color="auto"/>
        <w:right w:val="none" w:sz="0" w:space="0" w:color="auto"/>
      </w:divBdr>
    </w:div>
    <w:div w:id="196090680">
      <w:bodyDiv w:val="1"/>
      <w:marLeft w:val="0"/>
      <w:marRight w:val="0"/>
      <w:marTop w:val="0"/>
      <w:marBottom w:val="0"/>
      <w:divBdr>
        <w:top w:val="none" w:sz="0" w:space="0" w:color="auto"/>
        <w:left w:val="none" w:sz="0" w:space="0" w:color="auto"/>
        <w:bottom w:val="none" w:sz="0" w:space="0" w:color="auto"/>
        <w:right w:val="none" w:sz="0" w:space="0" w:color="auto"/>
      </w:divBdr>
    </w:div>
    <w:div w:id="196506742">
      <w:bodyDiv w:val="1"/>
      <w:marLeft w:val="0"/>
      <w:marRight w:val="0"/>
      <w:marTop w:val="0"/>
      <w:marBottom w:val="0"/>
      <w:divBdr>
        <w:top w:val="none" w:sz="0" w:space="0" w:color="auto"/>
        <w:left w:val="none" w:sz="0" w:space="0" w:color="auto"/>
        <w:bottom w:val="none" w:sz="0" w:space="0" w:color="auto"/>
        <w:right w:val="none" w:sz="0" w:space="0" w:color="auto"/>
      </w:divBdr>
    </w:div>
    <w:div w:id="198860069">
      <w:bodyDiv w:val="1"/>
      <w:marLeft w:val="0"/>
      <w:marRight w:val="0"/>
      <w:marTop w:val="0"/>
      <w:marBottom w:val="0"/>
      <w:divBdr>
        <w:top w:val="none" w:sz="0" w:space="0" w:color="auto"/>
        <w:left w:val="none" w:sz="0" w:space="0" w:color="auto"/>
        <w:bottom w:val="none" w:sz="0" w:space="0" w:color="auto"/>
        <w:right w:val="none" w:sz="0" w:space="0" w:color="auto"/>
      </w:divBdr>
    </w:div>
    <w:div w:id="199755438">
      <w:bodyDiv w:val="1"/>
      <w:marLeft w:val="0"/>
      <w:marRight w:val="0"/>
      <w:marTop w:val="0"/>
      <w:marBottom w:val="0"/>
      <w:divBdr>
        <w:top w:val="none" w:sz="0" w:space="0" w:color="auto"/>
        <w:left w:val="none" w:sz="0" w:space="0" w:color="auto"/>
        <w:bottom w:val="none" w:sz="0" w:space="0" w:color="auto"/>
        <w:right w:val="none" w:sz="0" w:space="0" w:color="auto"/>
      </w:divBdr>
    </w:div>
    <w:div w:id="200023863">
      <w:bodyDiv w:val="1"/>
      <w:marLeft w:val="0"/>
      <w:marRight w:val="0"/>
      <w:marTop w:val="0"/>
      <w:marBottom w:val="0"/>
      <w:divBdr>
        <w:top w:val="none" w:sz="0" w:space="0" w:color="auto"/>
        <w:left w:val="none" w:sz="0" w:space="0" w:color="auto"/>
        <w:bottom w:val="none" w:sz="0" w:space="0" w:color="auto"/>
        <w:right w:val="none" w:sz="0" w:space="0" w:color="auto"/>
      </w:divBdr>
    </w:div>
    <w:div w:id="200285298">
      <w:bodyDiv w:val="1"/>
      <w:marLeft w:val="0"/>
      <w:marRight w:val="0"/>
      <w:marTop w:val="0"/>
      <w:marBottom w:val="0"/>
      <w:divBdr>
        <w:top w:val="none" w:sz="0" w:space="0" w:color="auto"/>
        <w:left w:val="none" w:sz="0" w:space="0" w:color="auto"/>
        <w:bottom w:val="none" w:sz="0" w:space="0" w:color="auto"/>
        <w:right w:val="none" w:sz="0" w:space="0" w:color="auto"/>
      </w:divBdr>
    </w:div>
    <w:div w:id="200553720">
      <w:bodyDiv w:val="1"/>
      <w:marLeft w:val="0"/>
      <w:marRight w:val="0"/>
      <w:marTop w:val="0"/>
      <w:marBottom w:val="0"/>
      <w:divBdr>
        <w:top w:val="none" w:sz="0" w:space="0" w:color="auto"/>
        <w:left w:val="none" w:sz="0" w:space="0" w:color="auto"/>
        <w:bottom w:val="none" w:sz="0" w:space="0" w:color="auto"/>
        <w:right w:val="none" w:sz="0" w:space="0" w:color="auto"/>
      </w:divBdr>
    </w:div>
    <w:div w:id="200671966">
      <w:bodyDiv w:val="1"/>
      <w:marLeft w:val="0"/>
      <w:marRight w:val="0"/>
      <w:marTop w:val="0"/>
      <w:marBottom w:val="0"/>
      <w:divBdr>
        <w:top w:val="none" w:sz="0" w:space="0" w:color="auto"/>
        <w:left w:val="none" w:sz="0" w:space="0" w:color="auto"/>
        <w:bottom w:val="none" w:sz="0" w:space="0" w:color="auto"/>
        <w:right w:val="none" w:sz="0" w:space="0" w:color="auto"/>
      </w:divBdr>
    </w:div>
    <w:div w:id="201094054">
      <w:bodyDiv w:val="1"/>
      <w:marLeft w:val="0"/>
      <w:marRight w:val="0"/>
      <w:marTop w:val="0"/>
      <w:marBottom w:val="0"/>
      <w:divBdr>
        <w:top w:val="none" w:sz="0" w:space="0" w:color="auto"/>
        <w:left w:val="none" w:sz="0" w:space="0" w:color="auto"/>
        <w:bottom w:val="none" w:sz="0" w:space="0" w:color="auto"/>
        <w:right w:val="none" w:sz="0" w:space="0" w:color="auto"/>
      </w:divBdr>
    </w:div>
    <w:div w:id="201327403">
      <w:bodyDiv w:val="1"/>
      <w:marLeft w:val="0"/>
      <w:marRight w:val="0"/>
      <w:marTop w:val="0"/>
      <w:marBottom w:val="0"/>
      <w:divBdr>
        <w:top w:val="none" w:sz="0" w:space="0" w:color="auto"/>
        <w:left w:val="none" w:sz="0" w:space="0" w:color="auto"/>
        <w:bottom w:val="none" w:sz="0" w:space="0" w:color="auto"/>
        <w:right w:val="none" w:sz="0" w:space="0" w:color="auto"/>
      </w:divBdr>
    </w:div>
    <w:div w:id="201329745">
      <w:bodyDiv w:val="1"/>
      <w:marLeft w:val="0"/>
      <w:marRight w:val="0"/>
      <w:marTop w:val="0"/>
      <w:marBottom w:val="0"/>
      <w:divBdr>
        <w:top w:val="none" w:sz="0" w:space="0" w:color="auto"/>
        <w:left w:val="none" w:sz="0" w:space="0" w:color="auto"/>
        <w:bottom w:val="none" w:sz="0" w:space="0" w:color="auto"/>
        <w:right w:val="none" w:sz="0" w:space="0" w:color="auto"/>
      </w:divBdr>
    </w:div>
    <w:div w:id="201676016">
      <w:bodyDiv w:val="1"/>
      <w:marLeft w:val="0"/>
      <w:marRight w:val="0"/>
      <w:marTop w:val="0"/>
      <w:marBottom w:val="0"/>
      <w:divBdr>
        <w:top w:val="none" w:sz="0" w:space="0" w:color="auto"/>
        <w:left w:val="none" w:sz="0" w:space="0" w:color="auto"/>
        <w:bottom w:val="none" w:sz="0" w:space="0" w:color="auto"/>
        <w:right w:val="none" w:sz="0" w:space="0" w:color="auto"/>
      </w:divBdr>
    </w:div>
    <w:div w:id="203098669">
      <w:bodyDiv w:val="1"/>
      <w:marLeft w:val="0"/>
      <w:marRight w:val="0"/>
      <w:marTop w:val="0"/>
      <w:marBottom w:val="0"/>
      <w:divBdr>
        <w:top w:val="none" w:sz="0" w:space="0" w:color="auto"/>
        <w:left w:val="none" w:sz="0" w:space="0" w:color="auto"/>
        <w:bottom w:val="none" w:sz="0" w:space="0" w:color="auto"/>
        <w:right w:val="none" w:sz="0" w:space="0" w:color="auto"/>
      </w:divBdr>
    </w:div>
    <w:div w:id="205064634">
      <w:bodyDiv w:val="1"/>
      <w:marLeft w:val="0"/>
      <w:marRight w:val="0"/>
      <w:marTop w:val="0"/>
      <w:marBottom w:val="0"/>
      <w:divBdr>
        <w:top w:val="none" w:sz="0" w:space="0" w:color="auto"/>
        <w:left w:val="none" w:sz="0" w:space="0" w:color="auto"/>
        <w:bottom w:val="none" w:sz="0" w:space="0" w:color="auto"/>
        <w:right w:val="none" w:sz="0" w:space="0" w:color="auto"/>
      </w:divBdr>
    </w:div>
    <w:div w:id="206380277">
      <w:bodyDiv w:val="1"/>
      <w:marLeft w:val="0"/>
      <w:marRight w:val="0"/>
      <w:marTop w:val="0"/>
      <w:marBottom w:val="0"/>
      <w:divBdr>
        <w:top w:val="none" w:sz="0" w:space="0" w:color="auto"/>
        <w:left w:val="none" w:sz="0" w:space="0" w:color="auto"/>
        <w:bottom w:val="none" w:sz="0" w:space="0" w:color="auto"/>
        <w:right w:val="none" w:sz="0" w:space="0" w:color="auto"/>
      </w:divBdr>
    </w:div>
    <w:div w:id="206913272">
      <w:bodyDiv w:val="1"/>
      <w:marLeft w:val="0"/>
      <w:marRight w:val="0"/>
      <w:marTop w:val="0"/>
      <w:marBottom w:val="0"/>
      <w:divBdr>
        <w:top w:val="none" w:sz="0" w:space="0" w:color="auto"/>
        <w:left w:val="none" w:sz="0" w:space="0" w:color="auto"/>
        <w:bottom w:val="none" w:sz="0" w:space="0" w:color="auto"/>
        <w:right w:val="none" w:sz="0" w:space="0" w:color="auto"/>
      </w:divBdr>
    </w:div>
    <w:div w:id="206919353">
      <w:bodyDiv w:val="1"/>
      <w:marLeft w:val="0"/>
      <w:marRight w:val="0"/>
      <w:marTop w:val="0"/>
      <w:marBottom w:val="0"/>
      <w:divBdr>
        <w:top w:val="none" w:sz="0" w:space="0" w:color="auto"/>
        <w:left w:val="none" w:sz="0" w:space="0" w:color="auto"/>
        <w:bottom w:val="none" w:sz="0" w:space="0" w:color="auto"/>
        <w:right w:val="none" w:sz="0" w:space="0" w:color="auto"/>
      </w:divBdr>
    </w:div>
    <w:div w:id="207229010">
      <w:bodyDiv w:val="1"/>
      <w:marLeft w:val="0"/>
      <w:marRight w:val="0"/>
      <w:marTop w:val="0"/>
      <w:marBottom w:val="0"/>
      <w:divBdr>
        <w:top w:val="none" w:sz="0" w:space="0" w:color="auto"/>
        <w:left w:val="none" w:sz="0" w:space="0" w:color="auto"/>
        <w:bottom w:val="none" w:sz="0" w:space="0" w:color="auto"/>
        <w:right w:val="none" w:sz="0" w:space="0" w:color="auto"/>
      </w:divBdr>
    </w:div>
    <w:div w:id="207381685">
      <w:bodyDiv w:val="1"/>
      <w:marLeft w:val="0"/>
      <w:marRight w:val="0"/>
      <w:marTop w:val="0"/>
      <w:marBottom w:val="0"/>
      <w:divBdr>
        <w:top w:val="none" w:sz="0" w:space="0" w:color="auto"/>
        <w:left w:val="none" w:sz="0" w:space="0" w:color="auto"/>
        <w:bottom w:val="none" w:sz="0" w:space="0" w:color="auto"/>
        <w:right w:val="none" w:sz="0" w:space="0" w:color="auto"/>
      </w:divBdr>
    </w:div>
    <w:div w:id="207959301">
      <w:bodyDiv w:val="1"/>
      <w:marLeft w:val="0"/>
      <w:marRight w:val="0"/>
      <w:marTop w:val="0"/>
      <w:marBottom w:val="0"/>
      <w:divBdr>
        <w:top w:val="none" w:sz="0" w:space="0" w:color="auto"/>
        <w:left w:val="none" w:sz="0" w:space="0" w:color="auto"/>
        <w:bottom w:val="none" w:sz="0" w:space="0" w:color="auto"/>
        <w:right w:val="none" w:sz="0" w:space="0" w:color="auto"/>
      </w:divBdr>
    </w:div>
    <w:div w:id="208033178">
      <w:bodyDiv w:val="1"/>
      <w:marLeft w:val="0"/>
      <w:marRight w:val="0"/>
      <w:marTop w:val="0"/>
      <w:marBottom w:val="0"/>
      <w:divBdr>
        <w:top w:val="none" w:sz="0" w:space="0" w:color="auto"/>
        <w:left w:val="none" w:sz="0" w:space="0" w:color="auto"/>
        <w:bottom w:val="none" w:sz="0" w:space="0" w:color="auto"/>
        <w:right w:val="none" w:sz="0" w:space="0" w:color="auto"/>
      </w:divBdr>
    </w:div>
    <w:div w:id="208418361">
      <w:bodyDiv w:val="1"/>
      <w:marLeft w:val="0"/>
      <w:marRight w:val="0"/>
      <w:marTop w:val="0"/>
      <w:marBottom w:val="0"/>
      <w:divBdr>
        <w:top w:val="none" w:sz="0" w:space="0" w:color="auto"/>
        <w:left w:val="none" w:sz="0" w:space="0" w:color="auto"/>
        <w:bottom w:val="none" w:sz="0" w:space="0" w:color="auto"/>
        <w:right w:val="none" w:sz="0" w:space="0" w:color="auto"/>
      </w:divBdr>
    </w:div>
    <w:div w:id="208496540">
      <w:bodyDiv w:val="1"/>
      <w:marLeft w:val="0"/>
      <w:marRight w:val="0"/>
      <w:marTop w:val="0"/>
      <w:marBottom w:val="0"/>
      <w:divBdr>
        <w:top w:val="none" w:sz="0" w:space="0" w:color="auto"/>
        <w:left w:val="none" w:sz="0" w:space="0" w:color="auto"/>
        <w:bottom w:val="none" w:sz="0" w:space="0" w:color="auto"/>
        <w:right w:val="none" w:sz="0" w:space="0" w:color="auto"/>
      </w:divBdr>
    </w:div>
    <w:div w:id="208958396">
      <w:bodyDiv w:val="1"/>
      <w:marLeft w:val="0"/>
      <w:marRight w:val="0"/>
      <w:marTop w:val="0"/>
      <w:marBottom w:val="0"/>
      <w:divBdr>
        <w:top w:val="none" w:sz="0" w:space="0" w:color="auto"/>
        <w:left w:val="none" w:sz="0" w:space="0" w:color="auto"/>
        <w:bottom w:val="none" w:sz="0" w:space="0" w:color="auto"/>
        <w:right w:val="none" w:sz="0" w:space="0" w:color="auto"/>
      </w:divBdr>
    </w:div>
    <w:div w:id="208960696">
      <w:bodyDiv w:val="1"/>
      <w:marLeft w:val="0"/>
      <w:marRight w:val="0"/>
      <w:marTop w:val="0"/>
      <w:marBottom w:val="0"/>
      <w:divBdr>
        <w:top w:val="none" w:sz="0" w:space="0" w:color="auto"/>
        <w:left w:val="none" w:sz="0" w:space="0" w:color="auto"/>
        <w:bottom w:val="none" w:sz="0" w:space="0" w:color="auto"/>
        <w:right w:val="none" w:sz="0" w:space="0" w:color="auto"/>
      </w:divBdr>
    </w:div>
    <w:div w:id="209539228">
      <w:bodyDiv w:val="1"/>
      <w:marLeft w:val="0"/>
      <w:marRight w:val="0"/>
      <w:marTop w:val="0"/>
      <w:marBottom w:val="0"/>
      <w:divBdr>
        <w:top w:val="none" w:sz="0" w:space="0" w:color="auto"/>
        <w:left w:val="none" w:sz="0" w:space="0" w:color="auto"/>
        <w:bottom w:val="none" w:sz="0" w:space="0" w:color="auto"/>
        <w:right w:val="none" w:sz="0" w:space="0" w:color="auto"/>
      </w:divBdr>
    </w:div>
    <w:div w:id="209735031">
      <w:bodyDiv w:val="1"/>
      <w:marLeft w:val="0"/>
      <w:marRight w:val="0"/>
      <w:marTop w:val="0"/>
      <w:marBottom w:val="0"/>
      <w:divBdr>
        <w:top w:val="none" w:sz="0" w:space="0" w:color="auto"/>
        <w:left w:val="none" w:sz="0" w:space="0" w:color="auto"/>
        <w:bottom w:val="none" w:sz="0" w:space="0" w:color="auto"/>
        <w:right w:val="none" w:sz="0" w:space="0" w:color="auto"/>
      </w:divBdr>
    </w:div>
    <w:div w:id="210460523">
      <w:bodyDiv w:val="1"/>
      <w:marLeft w:val="0"/>
      <w:marRight w:val="0"/>
      <w:marTop w:val="0"/>
      <w:marBottom w:val="0"/>
      <w:divBdr>
        <w:top w:val="none" w:sz="0" w:space="0" w:color="auto"/>
        <w:left w:val="none" w:sz="0" w:space="0" w:color="auto"/>
        <w:bottom w:val="none" w:sz="0" w:space="0" w:color="auto"/>
        <w:right w:val="none" w:sz="0" w:space="0" w:color="auto"/>
      </w:divBdr>
    </w:div>
    <w:div w:id="210657543">
      <w:bodyDiv w:val="1"/>
      <w:marLeft w:val="0"/>
      <w:marRight w:val="0"/>
      <w:marTop w:val="0"/>
      <w:marBottom w:val="0"/>
      <w:divBdr>
        <w:top w:val="none" w:sz="0" w:space="0" w:color="auto"/>
        <w:left w:val="none" w:sz="0" w:space="0" w:color="auto"/>
        <w:bottom w:val="none" w:sz="0" w:space="0" w:color="auto"/>
        <w:right w:val="none" w:sz="0" w:space="0" w:color="auto"/>
      </w:divBdr>
    </w:div>
    <w:div w:id="211306273">
      <w:bodyDiv w:val="1"/>
      <w:marLeft w:val="0"/>
      <w:marRight w:val="0"/>
      <w:marTop w:val="0"/>
      <w:marBottom w:val="0"/>
      <w:divBdr>
        <w:top w:val="none" w:sz="0" w:space="0" w:color="auto"/>
        <w:left w:val="none" w:sz="0" w:space="0" w:color="auto"/>
        <w:bottom w:val="none" w:sz="0" w:space="0" w:color="auto"/>
        <w:right w:val="none" w:sz="0" w:space="0" w:color="auto"/>
      </w:divBdr>
    </w:div>
    <w:div w:id="211312007">
      <w:bodyDiv w:val="1"/>
      <w:marLeft w:val="0"/>
      <w:marRight w:val="0"/>
      <w:marTop w:val="0"/>
      <w:marBottom w:val="0"/>
      <w:divBdr>
        <w:top w:val="none" w:sz="0" w:space="0" w:color="auto"/>
        <w:left w:val="none" w:sz="0" w:space="0" w:color="auto"/>
        <w:bottom w:val="none" w:sz="0" w:space="0" w:color="auto"/>
        <w:right w:val="none" w:sz="0" w:space="0" w:color="auto"/>
      </w:divBdr>
    </w:div>
    <w:div w:id="211577364">
      <w:bodyDiv w:val="1"/>
      <w:marLeft w:val="0"/>
      <w:marRight w:val="0"/>
      <w:marTop w:val="0"/>
      <w:marBottom w:val="0"/>
      <w:divBdr>
        <w:top w:val="none" w:sz="0" w:space="0" w:color="auto"/>
        <w:left w:val="none" w:sz="0" w:space="0" w:color="auto"/>
        <w:bottom w:val="none" w:sz="0" w:space="0" w:color="auto"/>
        <w:right w:val="none" w:sz="0" w:space="0" w:color="auto"/>
      </w:divBdr>
    </w:div>
    <w:div w:id="212276131">
      <w:bodyDiv w:val="1"/>
      <w:marLeft w:val="0"/>
      <w:marRight w:val="0"/>
      <w:marTop w:val="0"/>
      <w:marBottom w:val="0"/>
      <w:divBdr>
        <w:top w:val="none" w:sz="0" w:space="0" w:color="auto"/>
        <w:left w:val="none" w:sz="0" w:space="0" w:color="auto"/>
        <w:bottom w:val="none" w:sz="0" w:space="0" w:color="auto"/>
        <w:right w:val="none" w:sz="0" w:space="0" w:color="auto"/>
      </w:divBdr>
    </w:div>
    <w:div w:id="212927422">
      <w:bodyDiv w:val="1"/>
      <w:marLeft w:val="0"/>
      <w:marRight w:val="0"/>
      <w:marTop w:val="0"/>
      <w:marBottom w:val="0"/>
      <w:divBdr>
        <w:top w:val="none" w:sz="0" w:space="0" w:color="auto"/>
        <w:left w:val="none" w:sz="0" w:space="0" w:color="auto"/>
        <w:bottom w:val="none" w:sz="0" w:space="0" w:color="auto"/>
        <w:right w:val="none" w:sz="0" w:space="0" w:color="auto"/>
      </w:divBdr>
    </w:div>
    <w:div w:id="213808801">
      <w:bodyDiv w:val="1"/>
      <w:marLeft w:val="0"/>
      <w:marRight w:val="0"/>
      <w:marTop w:val="0"/>
      <w:marBottom w:val="0"/>
      <w:divBdr>
        <w:top w:val="none" w:sz="0" w:space="0" w:color="auto"/>
        <w:left w:val="none" w:sz="0" w:space="0" w:color="auto"/>
        <w:bottom w:val="none" w:sz="0" w:space="0" w:color="auto"/>
        <w:right w:val="none" w:sz="0" w:space="0" w:color="auto"/>
      </w:divBdr>
    </w:div>
    <w:div w:id="214510389">
      <w:bodyDiv w:val="1"/>
      <w:marLeft w:val="0"/>
      <w:marRight w:val="0"/>
      <w:marTop w:val="0"/>
      <w:marBottom w:val="0"/>
      <w:divBdr>
        <w:top w:val="none" w:sz="0" w:space="0" w:color="auto"/>
        <w:left w:val="none" w:sz="0" w:space="0" w:color="auto"/>
        <w:bottom w:val="none" w:sz="0" w:space="0" w:color="auto"/>
        <w:right w:val="none" w:sz="0" w:space="0" w:color="auto"/>
      </w:divBdr>
    </w:div>
    <w:div w:id="214511237">
      <w:bodyDiv w:val="1"/>
      <w:marLeft w:val="0"/>
      <w:marRight w:val="0"/>
      <w:marTop w:val="0"/>
      <w:marBottom w:val="0"/>
      <w:divBdr>
        <w:top w:val="none" w:sz="0" w:space="0" w:color="auto"/>
        <w:left w:val="none" w:sz="0" w:space="0" w:color="auto"/>
        <w:bottom w:val="none" w:sz="0" w:space="0" w:color="auto"/>
        <w:right w:val="none" w:sz="0" w:space="0" w:color="auto"/>
      </w:divBdr>
    </w:div>
    <w:div w:id="214632578">
      <w:bodyDiv w:val="1"/>
      <w:marLeft w:val="0"/>
      <w:marRight w:val="0"/>
      <w:marTop w:val="0"/>
      <w:marBottom w:val="0"/>
      <w:divBdr>
        <w:top w:val="none" w:sz="0" w:space="0" w:color="auto"/>
        <w:left w:val="none" w:sz="0" w:space="0" w:color="auto"/>
        <w:bottom w:val="none" w:sz="0" w:space="0" w:color="auto"/>
        <w:right w:val="none" w:sz="0" w:space="0" w:color="auto"/>
      </w:divBdr>
    </w:div>
    <w:div w:id="214852106">
      <w:bodyDiv w:val="1"/>
      <w:marLeft w:val="0"/>
      <w:marRight w:val="0"/>
      <w:marTop w:val="0"/>
      <w:marBottom w:val="0"/>
      <w:divBdr>
        <w:top w:val="none" w:sz="0" w:space="0" w:color="auto"/>
        <w:left w:val="none" w:sz="0" w:space="0" w:color="auto"/>
        <w:bottom w:val="none" w:sz="0" w:space="0" w:color="auto"/>
        <w:right w:val="none" w:sz="0" w:space="0" w:color="auto"/>
      </w:divBdr>
    </w:div>
    <w:div w:id="215433946">
      <w:bodyDiv w:val="1"/>
      <w:marLeft w:val="0"/>
      <w:marRight w:val="0"/>
      <w:marTop w:val="0"/>
      <w:marBottom w:val="0"/>
      <w:divBdr>
        <w:top w:val="none" w:sz="0" w:space="0" w:color="auto"/>
        <w:left w:val="none" w:sz="0" w:space="0" w:color="auto"/>
        <w:bottom w:val="none" w:sz="0" w:space="0" w:color="auto"/>
        <w:right w:val="none" w:sz="0" w:space="0" w:color="auto"/>
      </w:divBdr>
    </w:div>
    <w:div w:id="215551332">
      <w:bodyDiv w:val="1"/>
      <w:marLeft w:val="0"/>
      <w:marRight w:val="0"/>
      <w:marTop w:val="0"/>
      <w:marBottom w:val="0"/>
      <w:divBdr>
        <w:top w:val="none" w:sz="0" w:space="0" w:color="auto"/>
        <w:left w:val="none" w:sz="0" w:space="0" w:color="auto"/>
        <w:bottom w:val="none" w:sz="0" w:space="0" w:color="auto"/>
        <w:right w:val="none" w:sz="0" w:space="0" w:color="auto"/>
      </w:divBdr>
    </w:div>
    <w:div w:id="215699984">
      <w:bodyDiv w:val="1"/>
      <w:marLeft w:val="0"/>
      <w:marRight w:val="0"/>
      <w:marTop w:val="0"/>
      <w:marBottom w:val="0"/>
      <w:divBdr>
        <w:top w:val="none" w:sz="0" w:space="0" w:color="auto"/>
        <w:left w:val="none" w:sz="0" w:space="0" w:color="auto"/>
        <w:bottom w:val="none" w:sz="0" w:space="0" w:color="auto"/>
        <w:right w:val="none" w:sz="0" w:space="0" w:color="auto"/>
      </w:divBdr>
    </w:div>
    <w:div w:id="216088509">
      <w:bodyDiv w:val="1"/>
      <w:marLeft w:val="0"/>
      <w:marRight w:val="0"/>
      <w:marTop w:val="0"/>
      <w:marBottom w:val="0"/>
      <w:divBdr>
        <w:top w:val="none" w:sz="0" w:space="0" w:color="auto"/>
        <w:left w:val="none" w:sz="0" w:space="0" w:color="auto"/>
        <w:bottom w:val="none" w:sz="0" w:space="0" w:color="auto"/>
        <w:right w:val="none" w:sz="0" w:space="0" w:color="auto"/>
      </w:divBdr>
    </w:div>
    <w:div w:id="216479496">
      <w:bodyDiv w:val="1"/>
      <w:marLeft w:val="0"/>
      <w:marRight w:val="0"/>
      <w:marTop w:val="0"/>
      <w:marBottom w:val="0"/>
      <w:divBdr>
        <w:top w:val="none" w:sz="0" w:space="0" w:color="auto"/>
        <w:left w:val="none" w:sz="0" w:space="0" w:color="auto"/>
        <w:bottom w:val="none" w:sz="0" w:space="0" w:color="auto"/>
        <w:right w:val="none" w:sz="0" w:space="0" w:color="auto"/>
      </w:divBdr>
    </w:div>
    <w:div w:id="217206626">
      <w:bodyDiv w:val="1"/>
      <w:marLeft w:val="0"/>
      <w:marRight w:val="0"/>
      <w:marTop w:val="0"/>
      <w:marBottom w:val="0"/>
      <w:divBdr>
        <w:top w:val="none" w:sz="0" w:space="0" w:color="auto"/>
        <w:left w:val="none" w:sz="0" w:space="0" w:color="auto"/>
        <w:bottom w:val="none" w:sz="0" w:space="0" w:color="auto"/>
        <w:right w:val="none" w:sz="0" w:space="0" w:color="auto"/>
      </w:divBdr>
    </w:div>
    <w:div w:id="217740008">
      <w:bodyDiv w:val="1"/>
      <w:marLeft w:val="0"/>
      <w:marRight w:val="0"/>
      <w:marTop w:val="0"/>
      <w:marBottom w:val="0"/>
      <w:divBdr>
        <w:top w:val="none" w:sz="0" w:space="0" w:color="auto"/>
        <w:left w:val="none" w:sz="0" w:space="0" w:color="auto"/>
        <w:bottom w:val="none" w:sz="0" w:space="0" w:color="auto"/>
        <w:right w:val="none" w:sz="0" w:space="0" w:color="auto"/>
      </w:divBdr>
    </w:div>
    <w:div w:id="217858285">
      <w:bodyDiv w:val="1"/>
      <w:marLeft w:val="0"/>
      <w:marRight w:val="0"/>
      <w:marTop w:val="0"/>
      <w:marBottom w:val="0"/>
      <w:divBdr>
        <w:top w:val="none" w:sz="0" w:space="0" w:color="auto"/>
        <w:left w:val="none" w:sz="0" w:space="0" w:color="auto"/>
        <w:bottom w:val="none" w:sz="0" w:space="0" w:color="auto"/>
        <w:right w:val="none" w:sz="0" w:space="0" w:color="auto"/>
      </w:divBdr>
    </w:div>
    <w:div w:id="218439068">
      <w:bodyDiv w:val="1"/>
      <w:marLeft w:val="0"/>
      <w:marRight w:val="0"/>
      <w:marTop w:val="0"/>
      <w:marBottom w:val="0"/>
      <w:divBdr>
        <w:top w:val="none" w:sz="0" w:space="0" w:color="auto"/>
        <w:left w:val="none" w:sz="0" w:space="0" w:color="auto"/>
        <w:bottom w:val="none" w:sz="0" w:space="0" w:color="auto"/>
        <w:right w:val="none" w:sz="0" w:space="0" w:color="auto"/>
      </w:divBdr>
    </w:div>
    <w:div w:id="218513267">
      <w:bodyDiv w:val="1"/>
      <w:marLeft w:val="0"/>
      <w:marRight w:val="0"/>
      <w:marTop w:val="0"/>
      <w:marBottom w:val="0"/>
      <w:divBdr>
        <w:top w:val="none" w:sz="0" w:space="0" w:color="auto"/>
        <w:left w:val="none" w:sz="0" w:space="0" w:color="auto"/>
        <w:bottom w:val="none" w:sz="0" w:space="0" w:color="auto"/>
        <w:right w:val="none" w:sz="0" w:space="0" w:color="auto"/>
      </w:divBdr>
    </w:div>
    <w:div w:id="218826896">
      <w:bodyDiv w:val="1"/>
      <w:marLeft w:val="0"/>
      <w:marRight w:val="0"/>
      <w:marTop w:val="0"/>
      <w:marBottom w:val="0"/>
      <w:divBdr>
        <w:top w:val="none" w:sz="0" w:space="0" w:color="auto"/>
        <w:left w:val="none" w:sz="0" w:space="0" w:color="auto"/>
        <w:bottom w:val="none" w:sz="0" w:space="0" w:color="auto"/>
        <w:right w:val="none" w:sz="0" w:space="0" w:color="auto"/>
      </w:divBdr>
    </w:div>
    <w:div w:id="219168997">
      <w:bodyDiv w:val="1"/>
      <w:marLeft w:val="0"/>
      <w:marRight w:val="0"/>
      <w:marTop w:val="0"/>
      <w:marBottom w:val="0"/>
      <w:divBdr>
        <w:top w:val="none" w:sz="0" w:space="0" w:color="auto"/>
        <w:left w:val="none" w:sz="0" w:space="0" w:color="auto"/>
        <w:bottom w:val="none" w:sz="0" w:space="0" w:color="auto"/>
        <w:right w:val="none" w:sz="0" w:space="0" w:color="auto"/>
      </w:divBdr>
    </w:div>
    <w:div w:id="219446309">
      <w:bodyDiv w:val="1"/>
      <w:marLeft w:val="0"/>
      <w:marRight w:val="0"/>
      <w:marTop w:val="0"/>
      <w:marBottom w:val="0"/>
      <w:divBdr>
        <w:top w:val="none" w:sz="0" w:space="0" w:color="auto"/>
        <w:left w:val="none" w:sz="0" w:space="0" w:color="auto"/>
        <w:bottom w:val="none" w:sz="0" w:space="0" w:color="auto"/>
        <w:right w:val="none" w:sz="0" w:space="0" w:color="auto"/>
      </w:divBdr>
    </w:div>
    <w:div w:id="219635229">
      <w:bodyDiv w:val="1"/>
      <w:marLeft w:val="0"/>
      <w:marRight w:val="0"/>
      <w:marTop w:val="0"/>
      <w:marBottom w:val="0"/>
      <w:divBdr>
        <w:top w:val="none" w:sz="0" w:space="0" w:color="auto"/>
        <w:left w:val="none" w:sz="0" w:space="0" w:color="auto"/>
        <w:bottom w:val="none" w:sz="0" w:space="0" w:color="auto"/>
        <w:right w:val="none" w:sz="0" w:space="0" w:color="auto"/>
      </w:divBdr>
    </w:div>
    <w:div w:id="219945838">
      <w:bodyDiv w:val="1"/>
      <w:marLeft w:val="0"/>
      <w:marRight w:val="0"/>
      <w:marTop w:val="0"/>
      <w:marBottom w:val="0"/>
      <w:divBdr>
        <w:top w:val="none" w:sz="0" w:space="0" w:color="auto"/>
        <w:left w:val="none" w:sz="0" w:space="0" w:color="auto"/>
        <w:bottom w:val="none" w:sz="0" w:space="0" w:color="auto"/>
        <w:right w:val="none" w:sz="0" w:space="0" w:color="auto"/>
      </w:divBdr>
    </w:div>
    <w:div w:id="221141543">
      <w:bodyDiv w:val="1"/>
      <w:marLeft w:val="0"/>
      <w:marRight w:val="0"/>
      <w:marTop w:val="0"/>
      <w:marBottom w:val="0"/>
      <w:divBdr>
        <w:top w:val="none" w:sz="0" w:space="0" w:color="auto"/>
        <w:left w:val="none" w:sz="0" w:space="0" w:color="auto"/>
        <w:bottom w:val="none" w:sz="0" w:space="0" w:color="auto"/>
        <w:right w:val="none" w:sz="0" w:space="0" w:color="auto"/>
      </w:divBdr>
    </w:div>
    <w:div w:id="222105627">
      <w:bodyDiv w:val="1"/>
      <w:marLeft w:val="0"/>
      <w:marRight w:val="0"/>
      <w:marTop w:val="0"/>
      <w:marBottom w:val="0"/>
      <w:divBdr>
        <w:top w:val="none" w:sz="0" w:space="0" w:color="auto"/>
        <w:left w:val="none" w:sz="0" w:space="0" w:color="auto"/>
        <w:bottom w:val="none" w:sz="0" w:space="0" w:color="auto"/>
        <w:right w:val="none" w:sz="0" w:space="0" w:color="auto"/>
      </w:divBdr>
    </w:div>
    <w:div w:id="222642099">
      <w:bodyDiv w:val="1"/>
      <w:marLeft w:val="0"/>
      <w:marRight w:val="0"/>
      <w:marTop w:val="0"/>
      <w:marBottom w:val="0"/>
      <w:divBdr>
        <w:top w:val="none" w:sz="0" w:space="0" w:color="auto"/>
        <w:left w:val="none" w:sz="0" w:space="0" w:color="auto"/>
        <w:bottom w:val="none" w:sz="0" w:space="0" w:color="auto"/>
        <w:right w:val="none" w:sz="0" w:space="0" w:color="auto"/>
      </w:divBdr>
    </w:div>
    <w:div w:id="223682876">
      <w:bodyDiv w:val="1"/>
      <w:marLeft w:val="0"/>
      <w:marRight w:val="0"/>
      <w:marTop w:val="0"/>
      <w:marBottom w:val="0"/>
      <w:divBdr>
        <w:top w:val="none" w:sz="0" w:space="0" w:color="auto"/>
        <w:left w:val="none" w:sz="0" w:space="0" w:color="auto"/>
        <w:bottom w:val="none" w:sz="0" w:space="0" w:color="auto"/>
        <w:right w:val="none" w:sz="0" w:space="0" w:color="auto"/>
      </w:divBdr>
    </w:div>
    <w:div w:id="223756043">
      <w:bodyDiv w:val="1"/>
      <w:marLeft w:val="0"/>
      <w:marRight w:val="0"/>
      <w:marTop w:val="0"/>
      <w:marBottom w:val="0"/>
      <w:divBdr>
        <w:top w:val="none" w:sz="0" w:space="0" w:color="auto"/>
        <w:left w:val="none" w:sz="0" w:space="0" w:color="auto"/>
        <w:bottom w:val="none" w:sz="0" w:space="0" w:color="auto"/>
        <w:right w:val="none" w:sz="0" w:space="0" w:color="auto"/>
      </w:divBdr>
    </w:div>
    <w:div w:id="224029182">
      <w:bodyDiv w:val="1"/>
      <w:marLeft w:val="0"/>
      <w:marRight w:val="0"/>
      <w:marTop w:val="0"/>
      <w:marBottom w:val="0"/>
      <w:divBdr>
        <w:top w:val="none" w:sz="0" w:space="0" w:color="auto"/>
        <w:left w:val="none" w:sz="0" w:space="0" w:color="auto"/>
        <w:bottom w:val="none" w:sz="0" w:space="0" w:color="auto"/>
        <w:right w:val="none" w:sz="0" w:space="0" w:color="auto"/>
      </w:divBdr>
    </w:div>
    <w:div w:id="224266601">
      <w:bodyDiv w:val="1"/>
      <w:marLeft w:val="0"/>
      <w:marRight w:val="0"/>
      <w:marTop w:val="0"/>
      <w:marBottom w:val="0"/>
      <w:divBdr>
        <w:top w:val="none" w:sz="0" w:space="0" w:color="auto"/>
        <w:left w:val="none" w:sz="0" w:space="0" w:color="auto"/>
        <w:bottom w:val="none" w:sz="0" w:space="0" w:color="auto"/>
        <w:right w:val="none" w:sz="0" w:space="0" w:color="auto"/>
      </w:divBdr>
    </w:div>
    <w:div w:id="224269243">
      <w:bodyDiv w:val="1"/>
      <w:marLeft w:val="0"/>
      <w:marRight w:val="0"/>
      <w:marTop w:val="0"/>
      <w:marBottom w:val="0"/>
      <w:divBdr>
        <w:top w:val="none" w:sz="0" w:space="0" w:color="auto"/>
        <w:left w:val="none" w:sz="0" w:space="0" w:color="auto"/>
        <w:bottom w:val="none" w:sz="0" w:space="0" w:color="auto"/>
        <w:right w:val="none" w:sz="0" w:space="0" w:color="auto"/>
      </w:divBdr>
    </w:div>
    <w:div w:id="224296479">
      <w:bodyDiv w:val="1"/>
      <w:marLeft w:val="0"/>
      <w:marRight w:val="0"/>
      <w:marTop w:val="0"/>
      <w:marBottom w:val="0"/>
      <w:divBdr>
        <w:top w:val="none" w:sz="0" w:space="0" w:color="auto"/>
        <w:left w:val="none" w:sz="0" w:space="0" w:color="auto"/>
        <w:bottom w:val="none" w:sz="0" w:space="0" w:color="auto"/>
        <w:right w:val="none" w:sz="0" w:space="0" w:color="auto"/>
      </w:divBdr>
    </w:div>
    <w:div w:id="224605749">
      <w:bodyDiv w:val="1"/>
      <w:marLeft w:val="0"/>
      <w:marRight w:val="0"/>
      <w:marTop w:val="0"/>
      <w:marBottom w:val="0"/>
      <w:divBdr>
        <w:top w:val="none" w:sz="0" w:space="0" w:color="auto"/>
        <w:left w:val="none" w:sz="0" w:space="0" w:color="auto"/>
        <w:bottom w:val="none" w:sz="0" w:space="0" w:color="auto"/>
        <w:right w:val="none" w:sz="0" w:space="0" w:color="auto"/>
      </w:divBdr>
    </w:div>
    <w:div w:id="224684793">
      <w:bodyDiv w:val="1"/>
      <w:marLeft w:val="0"/>
      <w:marRight w:val="0"/>
      <w:marTop w:val="0"/>
      <w:marBottom w:val="0"/>
      <w:divBdr>
        <w:top w:val="none" w:sz="0" w:space="0" w:color="auto"/>
        <w:left w:val="none" w:sz="0" w:space="0" w:color="auto"/>
        <w:bottom w:val="none" w:sz="0" w:space="0" w:color="auto"/>
        <w:right w:val="none" w:sz="0" w:space="0" w:color="auto"/>
      </w:divBdr>
    </w:div>
    <w:div w:id="225264013">
      <w:bodyDiv w:val="1"/>
      <w:marLeft w:val="0"/>
      <w:marRight w:val="0"/>
      <w:marTop w:val="0"/>
      <w:marBottom w:val="0"/>
      <w:divBdr>
        <w:top w:val="none" w:sz="0" w:space="0" w:color="auto"/>
        <w:left w:val="none" w:sz="0" w:space="0" w:color="auto"/>
        <w:bottom w:val="none" w:sz="0" w:space="0" w:color="auto"/>
        <w:right w:val="none" w:sz="0" w:space="0" w:color="auto"/>
      </w:divBdr>
    </w:div>
    <w:div w:id="225579981">
      <w:bodyDiv w:val="1"/>
      <w:marLeft w:val="0"/>
      <w:marRight w:val="0"/>
      <w:marTop w:val="0"/>
      <w:marBottom w:val="0"/>
      <w:divBdr>
        <w:top w:val="none" w:sz="0" w:space="0" w:color="auto"/>
        <w:left w:val="none" w:sz="0" w:space="0" w:color="auto"/>
        <w:bottom w:val="none" w:sz="0" w:space="0" w:color="auto"/>
        <w:right w:val="none" w:sz="0" w:space="0" w:color="auto"/>
      </w:divBdr>
    </w:div>
    <w:div w:id="225652834">
      <w:bodyDiv w:val="1"/>
      <w:marLeft w:val="0"/>
      <w:marRight w:val="0"/>
      <w:marTop w:val="0"/>
      <w:marBottom w:val="0"/>
      <w:divBdr>
        <w:top w:val="none" w:sz="0" w:space="0" w:color="auto"/>
        <w:left w:val="none" w:sz="0" w:space="0" w:color="auto"/>
        <w:bottom w:val="none" w:sz="0" w:space="0" w:color="auto"/>
        <w:right w:val="none" w:sz="0" w:space="0" w:color="auto"/>
      </w:divBdr>
    </w:div>
    <w:div w:id="226188696">
      <w:bodyDiv w:val="1"/>
      <w:marLeft w:val="0"/>
      <w:marRight w:val="0"/>
      <w:marTop w:val="0"/>
      <w:marBottom w:val="0"/>
      <w:divBdr>
        <w:top w:val="none" w:sz="0" w:space="0" w:color="auto"/>
        <w:left w:val="none" w:sz="0" w:space="0" w:color="auto"/>
        <w:bottom w:val="none" w:sz="0" w:space="0" w:color="auto"/>
        <w:right w:val="none" w:sz="0" w:space="0" w:color="auto"/>
      </w:divBdr>
    </w:div>
    <w:div w:id="226232502">
      <w:bodyDiv w:val="1"/>
      <w:marLeft w:val="0"/>
      <w:marRight w:val="0"/>
      <w:marTop w:val="0"/>
      <w:marBottom w:val="0"/>
      <w:divBdr>
        <w:top w:val="none" w:sz="0" w:space="0" w:color="auto"/>
        <w:left w:val="none" w:sz="0" w:space="0" w:color="auto"/>
        <w:bottom w:val="none" w:sz="0" w:space="0" w:color="auto"/>
        <w:right w:val="none" w:sz="0" w:space="0" w:color="auto"/>
      </w:divBdr>
    </w:div>
    <w:div w:id="226261427">
      <w:bodyDiv w:val="1"/>
      <w:marLeft w:val="0"/>
      <w:marRight w:val="0"/>
      <w:marTop w:val="0"/>
      <w:marBottom w:val="0"/>
      <w:divBdr>
        <w:top w:val="none" w:sz="0" w:space="0" w:color="auto"/>
        <w:left w:val="none" w:sz="0" w:space="0" w:color="auto"/>
        <w:bottom w:val="none" w:sz="0" w:space="0" w:color="auto"/>
        <w:right w:val="none" w:sz="0" w:space="0" w:color="auto"/>
      </w:divBdr>
    </w:div>
    <w:div w:id="227349827">
      <w:bodyDiv w:val="1"/>
      <w:marLeft w:val="0"/>
      <w:marRight w:val="0"/>
      <w:marTop w:val="0"/>
      <w:marBottom w:val="0"/>
      <w:divBdr>
        <w:top w:val="none" w:sz="0" w:space="0" w:color="auto"/>
        <w:left w:val="none" w:sz="0" w:space="0" w:color="auto"/>
        <w:bottom w:val="none" w:sz="0" w:space="0" w:color="auto"/>
        <w:right w:val="none" w:sz="0" w:space="0" w:color="auto"/>
      </w:divBdr>
    </w:div>
    <w:div w:id="227885851">
      <w:bodyDiv w:val="1"/>
      <w:marLeft w:val="0"/>
      <w:marRight w:val="0"/>
      <w:marTop w:val="0"/>
      <w:marBottom w:val="0"/>
      <w:divBdr>
        <w:top w:val="none" w:sz="0" w:space="0" w:color="auto"/>
        <w:left w:val="none" w:sz="0" w:space="0" w:color="auto"/>
        <w:bottom w:val="none" w:sz="0" w:space="0" w:color="auto"/>
        <w:right w:val="none" w:sz="0" w:space="0" w:color="auto"/>
      </w:divBdr>
    </w:div>
    <w:div w:id="228270899">
      <w:bodyDiv w:val="1"/>
      <w:marLeft w:val="0"/>
      <w:marRight w:val="0"/>
      <w:marTop w:val="0"/>
      <w:marBottom w:val="0"/>
      <w:divBdr>
        <w:top w:val="none" w:sz="0" w:space="0" w:color="auto"/>
        <w:left w:val="none" w:sz="0" w:space="0" w:color="auto"/>
        <w:bottom w:val="none" w:sz="0" w:space="0" w:color="auto"/>
        <w:right w:val="none" w:sz="0" w:space="0" w:color="auto"/>
      </w:divBdr>
    </w:div>
    <w:div w:id="228275427">
      <w:bodyDiv w:val="1"/>
      <w:marLeft w:val="0"/>
      <w:marRight w:val="0"/>
      <w:marTop w:val="0"/>
      <w:marBottom w:val="0"/>
      <w:divBdr>
        <w:top w:val="none" w:sz="0" w:space="0" w:color="auto"/>
        <w:left w:val="none" w:sz="0" w:space="0" w:color="auto"/>
        <w:bottom w:val="none" w:sz="0" w:space="0" w:color="auto"/>
        <w:right w:val="none" w:sz="0" w:space="0" w:color="auto"/>
      </w:divBdr>
    </w:div>
    <w:div w:id="228536958">
      <w:bodyDiv w:val="1"/>
      <w:marLeft w:val="0"/>
      <w:marRight w:val="0"/>
      <w:marTop w:val="0"/>
      <w:marBottom w:val="0"/>
      <w:divBdr>
        <w:top w:val="none" w:sz="0" w:space="0" w:color="auto"/>
        <w:left w:val="none" w:sz="0" w:space="0" w:color="auto"/>
        <w:bottom w:val="none" w:sz="0" w:space="0" w:color="auto"/>
        <w:right w:val="none" w:sz="0" w:space="0" w:color="auto"/>
      </w:divBdr>
    </w:div>
    <w:div w:id="228544419">
      <w:bodyDiv w:val="1"/>
      <w:marLeft w:val="0"/>
      <w:marRight w:val="0"/>
      <w:marTop w:val="0"/>
      <w:marBottom w:val="0"/>
      <w:divBdr>
        <w:top w:val="none" w:sz="0" w:space="0" w:color="auto"/>
        <w:left w:val="none" w:sz="0" w:space="0" w:color="auto"/>
        <w:bottom w:val="none" w:sz="0" w:space="0" w:color="auto"/>
        <w:right w:val="none" w:sz="0" w:space="0" w:color="auto"/>
      </w:divBdr>
    </w:div>
    <w:div w:id="229970267">
      <w:bodyDiv w:val="1"/>
      <w:marLeft w:val="0"/>
      <w:marRight w:val="0"/>
      <w:marTop w:val="0"/>
      <w:marBottom w:val="0"/>
      <w:divBdr>
        <w:top w:val="none" w:sz="0" w:space="0" w:color="auto"/>
        <w:left w:val="none" w:sz="0" w:space="0" w:color="auto"/>
        <w:bottom w:val="none" w:sz="0" w:space="0" w:color="auto"/>
        <w:right w:val="none" w:sz="0" w:space="0" w:color="auto"/>
      </w:divBdr>
    </w:div>
    <w:div w:id="230581863">
      <w:bodyDiv w:val="1"/>
      <w:marLeft w:val="0"/>
      <w:marRight w:val="0"/>
      <w:marTop w:val="0"/>
      <w:marBottom w:val="0"/>
      <w:divBdr>
        <w:top w:val="none" w:sz="0" w:space="0" w:color="auto"/>
        <w:left w:val="none" w:sz="0" w:space="0" w:color="auto"/>
        <w:bottom w:val="none" w:sz="0" w:space="0" w:color="auto"/>
        <w:right w:val="none" w:sz="0" w:space="0" w:color="auto"/>
      </w:divBdr>
    </w:div>
    <w:div w:id="230887724">
      <w:bodyDiv w:val="1"/>
      <w:marLeft w:val="0"/>
      <w:marRight w:val="0"/>
      <w:marTop w:val="0"/>
      <w:marBottom w:val="0"/>
      <w:divBdr>
        <w:top w:val="none" w:sz="0" w:space="0" w:color="auto"/>
        <w:left w:val="none" w:sz="0" w:space="0" w:color="auto"/>
        <w:bottom w:val="none" w:sz="0" w:space="0" w:color="auto"/>
        <w:right w:val="none" w:sz="0" w:space="0" w:color="auto"/>
      </w:divBdr>
    </w:div>
    <w:div w:id="230887941">
      <w:bodyDiv w:val="1"/>
      <w:marLeft w:val="0"/>
      <w:marRight w:val="0"/>
      <w:marTop w:val="0"/>
      <w:marBottom w:val="0"/>
      <w:divBdr>
        <w:top w:val="none" w:sz="0" w:space="0" w:color="auto"/>
        <w:left w:val="none" w:sz="0" w:space="0" w:color="auto"/>
        <w:bottom w:val="none" w:sz="0" w:space="0" w:color="auto"/>
        <w:right w:val="none" w:sz="0" w:space="0" w:color="auto"/>
      </w:divBdr>
    </w:div>
    <w:div w:id="230963444">
      <w:bodyDiv w:val="1"/>
      <w:marLeft w:val="0"/>
      <w:marRight w:val="0"/>
      <w:marTop w:val="0"/>
      <w:marBottom w:val="0"/>
      <w:divBdr>
        <w:top w:val="none" w:sz="0" w:space="0" w:color="auto"/>
        <w:left w:val="none" w:sz="0" w:space="0" w:color="auto"/>
        <w:bottom w:val="none" w:sz="0" w:space="0" w:color="auto"/>
        <w:right w:val="none" w:sz="0" w:space="0" w:color="auto"/>
      </w:divBdr>
    </w:div>
    <w:div w:id="231082545">
      <w:bodyDiv w:val="1"/>
      <w:marLeft w:val="0"/>
      <w:marRight w:val="0"/>
      <w:marTop w:val="0"/>
      <w:marBottom w:val="0"/>
      <w:divBdr>
        <w:top w:val="none" w:sz="0" w:space="0" w:color="auto"/>
        <w:left w:val="none" w:sz="0" w:space="0" w:color="auto"/>
        <w:bottom w:val="none" w:sz="0" w:space="0" w:color="auto"/>
        <w:right w:val="none" w:sz="0" w:space="0" w:color="auto"/>
      </w:divBdr>
    </w:div>
    <w:div w:id="231359263">
      <w:bodyDiv w:val="1"/>
      <w:marLeft w:val="0"/>
      <w:marRight w:val="0"/>
      <w:marTop w:val="0"/>
      <w:marBottom w:val="0"/>
      <w:divBdr>
        <w:top w:val="none" w:sz="0" w:space="0" w:color="auto"/>
        <w:left w:val="none" w:sz="0" w:space="0" w:color="auto"/>
        <w:bottom w:val="none" w:sz="0" w:space="0" w:color="auto"/>
        <w:right w:val="none" w:sz="0" w:space="0" w:color="auto"/>
      </w:divBdr>
    </w:div>
    <w:div w:id="232547241">
      <w:bodyDiv w:val="1"/>
      <w:marLeft w:val="0"/>
      <w:marRight w:val="0"/>
      <w:marTop w:val="0"/>
      <w:marBottom w:val="0"/>
      <w:divBdr>
        <w:top w:val="none" w:sz="0" w:space="0" w:color="auto"/>
        <w:left w:val="none" w:sz="0" w:space="0" w:color="auto"/>
        <w:bottom w:val="none" w:sz="0" w:space="0" w:color="auto"/>
        <w:right w:val="none" w:sz="0" w:space="0" w:color="auto"/>
      </w:divBdr>
    </w:div>
    <w:div w:id="232933071">
      <w:bodyDiv w:val="1"/>
      <w:marLeft w:val="0"/>
      <w:marRight w:val="0"/>
      <w:marTop w:val="0"/>
      <w:marBottom w:val="0"/>
      <w:divBdr>
        <w:top w:val="none" w:sz="0" w:space="0" w:color="auto"/>
        <w:left w:val="none" w:sz="0" w:space="0" w:color="auto"/>
        <w:bottom w:val="none" w:sz="0" w:space="0" w:color="auto"/>
        <w:right w:val="none" w:sz="0" w:space="0" w:color="auto"/>
      </w:divBdr>
    </w:div>
    <w:div w:id="233244684">
      <w:bodyDiv w:val="1"/>
      <w:marLeft w:val="0"/>
      <w:marRight w:val="0"/>
      <w:marTop w:val="0"/>
      <w:marBottom w:val="0"/>
      <w:divBdr>
        <w:top w:val="none" w:sz="0" w:space="0" w:color="auto"/>
        <w:left w:val="none" w:sz="0" w:space="0" w:color="auto"/>
        <w:bottom w:val="none" w:sz="0" w:space="0" w:color="auto"/>
        <w:right w:val="none" w:sz="0" w:space="0" w:color="auto"/>
      </w:divBdr>
    </w:div>
    <w:div w:id="234122590">
      <w:bodyDiv w:val="1"/>
      <w:marLeft w:val="0"/>
      <w:marRight w:val="0"/>
      <w:marTop w:val="0"/>
      <w:marBottom w:val="0"/>
      <w:divBdr>
        <w:top w:val="none" w:sz="0" w:space="0" w:color="auto"/>
        <w:left w:val="none" w:sz="0" w:space="0" w:color="auto"/>
        <w:bottom w:val="none" w:sz="0" w:space="0" w:color="auto"/>
        <w:right w:val="none" w:sz="0" w:space="0" w:color="auto"/>
      </w:divBdr>
    </w:div>
    <w:div w:id="234440152">
      <w:bodyDiv w:val="1"/>
      <w:marLeft w:val="0"/>
      <w:marRight w:val="0"/>
      <w:marTop w:val="0"/>
      <w:marBottom w:val="0"/>
      <w:divBdr>
        <w:top w:val="none" w:sz="0" w:space="0" w:color="auto"/>
        <w:left w:val="none" w:sz="0" w:space="0" w:color="auto"/>
        <w:bottom w:val="none" w:sz="0" w:space="0" w:color="auto"/>
        <w:right w:val="none" w:sz="0" w:space="0" w:color="auto"/>
      </w:divBdr>
    </w:div>
    <w:div w:id="234821224">
      <w:bodyDiv w:val="1"/>
      <w:marLeft w:val="0"/>
      <w:marRight w:val="0"/>
      <w:marTop w:val="0"/>
      <w:marBottom w:val="0"/>
      <w:divBdr>
        <w:top w:val="none" w:sz="0" w:space="0" w:color="auto"/>
        <w:left w:val="none" w:sz="0" w:space="0" w:color="auto"/>
        <w:bottom w:val="none" w:sz="0" w:space="0" w:color="auto"/>
        <w:right w:val="none" w:sz="0" w:space="0" w:color="auto"/>
      </w:divBdr>
    </w:div>
    <w:div w:id="236717985">
      <w:bodyDiv w:val="1"/>
      <w:marLeft w:val="0"/>
      <w:marRight w:val="0"/>
      <w:marTop w:val="0"/>
      <w:marBottom w:val="0"/>
      <w:divBdr>
        <w:top w:val="none" w:sz="0" w:space="0" w:color="auto"/>
        <w:left w:val="none" w:sz="0" w:space="0" w:color="auto"/>
        <w:bottom w:val="none" w:sz="0" w:space="0" w:color="auto"/>
        <w:right w:val="none" w:sz="0" w:space="0" w:color="auto"/>
      </w:divBdr>
    </w:div>
    <w:div w:id="237179156">
      <w:bodyDiv w:val="1"/>
      <w:marLeft w:val="0"/>
      <w:marRight w:val="0"/>
      <w:marTop w:val="0"/>
      <w:marBottom w:val="0"/>
      <w:divBdr>
        <w:top w:val="none" w:sz="0" w:space="0" w:color="auto"/>
        <w:left w:val="none" w:sz="0" w:space="0" w:color="auto"/>
        <w:bottom w:val="none" w:sz="0" w:space="0" w:color="auto"/>
        <w:right w:val="none" w:sz="0" w:space="0" w:color="auto"/>
      </w:divBdr>
    </w:div>
    <w:div w:id="237516185">
      <w:bodyDiv w:val="1"/>
      <w:marLeft w:val="0"/>
      <w:marRight w:val="0"/>
      <w:marTop w:val="0"/>
      <w:marBottom w:val="0"/>
      <w:divBdr>
        <w:top w:val="none" w:sz="0" w:space="0" w:color="auto"/>
        <w:left w:val="none" w:sz="0" w:space="0" w:color="auto"/>
        <w:bottom w:val="none" w:sz="0" w:space="0" w:color="auto"/>
        <w:right w:val="none" w:sz="0" w:space="0" w:color="auto"/>
      </w:divBdr>
    </w:div>
    <w:div w:id="238057278">
      <w:bodyDiv w:val="1"/>
      <w:marLeft w:val="0"/>
      <w:marRight w:val="0"/>
      <w:marTop w:val="0"/>
      <w:marBottom w:val="0"/>
      <w:divBdr>
        <w:top w:val="none" w:sz="0" w:space="0" w:color="auto"/>
        <w:left w:val="none" w:sz="0" w:space="0" w:color="auto"/>
        <w:bottom w:val="none" w:sz="0" w:space="0" w:color="auto"/>
        <w:right w:val="none" w:sz="0" w:space="0" w:color="auto"/>
      </w:divBdr>
    </w:div>
    <w:div w:id="239679029">
      <w:bodyDiv w:val="1"/>
      <w:marLeft w:val="0"/>
      <w:marRight w:val="0"/>
      <w:marTop w:val="0"/>
      <w:marBottom w:val="0"/>
      <w:divBdr>
        <w:top w:val="none" w:sz="0" w:space="0" w:color="auto"/>
        <w:left w:val="none" w:sz="0" w:space="0" w:color="auto"/>
        <w:bottom w:val="none" w:sz="0" w:space="0" w:color="auto"/>
        <w:right w:val="none" w:sz="0" w:space="0" w:color="auto"/>
      </w:divBdr>
    </w:div>
    <w:div w:id="240062604">
      <w:bodyDiv w:val="1"/>
      <w:marLeft w:val="0"/>
      <w:marRight w:val="0"/>
      <w:marTop w:val="0"/>
      <w:marBottom w:val="0"/>
      <w:divBdr>
        <w:top w:val="none" w:sz="0" w:space="0" w:color="auto"/>
        <w:left w:val="none" w:sz="0" w:space="0" w:color="auto"/>
        <w:bottom w:val="none" w:sz="0" w:space="0" w:color="auto"/>
        <w:right w:val="none" w:sz="0" w:space="0" w:color="auto"/>
      </w:divBdr>
    </w:div>
    <w:div w:id="240530859">
      <w:bodyDiv w:val="1"/>
      <w:marLeft w:val="0"/>
      <w:marRight w:val="0"/>
      <w:marTop w:val="0"/>
      <w:marBottom w:val="0"/>
      <w:divBdr>
        <w:top w:val="none" w:sz="0" w:space="0" w:color="auto"/>
        <w:left w:val="none" w:sz="0" w:space="0" w:color="auto"/>
        <w:bottom w:val="none" w:sz="0" w:space="0" w:color="auto"/>
        <w:right w:val="none" w:sz="0" w:space="0" w:color="auto"/>
      </w:divBdr>
    </w:div>
    <w:div w:id="241523303">
      <w:bodyDiv w:val="1"/>
      <w:marLeft w:val="0"/>
      <w:marRight w:val="0"/>
      <w:marTop w:val="0"/>
      <w:marBottom w:val="0"/>
      <w:divBdr>
        <w:top w:val="none" w:sz="0" w:space="0" w:color="auto"/>
        <w:left w:val="none" w:sz="0" w:space="0" w:color="auto"/>
        <w:bottom w:val="none" w:sz="0" w:space="0" w:color="auto"/>
        <w:right w:val="none" w:sz="0" w:space="0" w:color="auto"/>
      </w:divBdr>
    </w:div>
    <w:div w:id="241986616">
      <w:bodyDiv w:val="1"/>
      <w:marLeft w:val="0"/>
      <w:marRight w:val="0"/>
      <w:marTop w:val="0"/>
      <w:marBottom w:val="0"/>
      <w:divBdr>
        <w:top w:val="none" w:sz="0" w:space="0" w:color="auto"/>
        <w:left w:val="none" w:sz="0" w:space="0" w:color="auto"/>
        <w:bottom w:val="none" w:sz="0" w:space="0" w:color="auto"/>
        <w:right w:val="none" w:sz="0" w:space="0" w:color="auto"/>
      </w:divBdr>
    </w:div>
    <w:div w:id="243147951">
      <w:bodyDiv w:val="1"/>
      <w:marLeft w:val="0"/>
      <w:marRight w:val="0"/>
      <w:marTop w:val="0"/>
      <w:marBottom w:val="0"/>
      <w:divBdr>
        <w:top w:val="none" w:sz="0" w:space="0" w:color="auto"/>
        <w:left w:val="none" w:sz="0" w:space="0" w:color="auto"/>
        <w:bottom w:val="none" w:sz="0" w:space="0" w:color="auto"/>
        <w:right w:val="none" w:sz="0" w:space="0" w:color="auto"/>
      </w:divBdr>
    </w:div>
    <w:div w:id="243999296">
      <w:bodyDiv w:val="1"/>
      <w:marLeft w:val="0"/>
      <w:marRight w:val="0"/>
      <w:marTop w:val="0"/>
      <w:marBottom w:val="0"/>
      <w:divBdr>
        <w:top w:val="none" w:sz="0" w:space="0" w:color="auto"/>
        <w:left w:val="none" w:sz="0" w:space="0" w:color="auto"/>
        <w:bottom w:val="none" w:sz="0" w:space="0" w:color="auto"/>
        <w:right w:val="none" w:sz="0" w:space="0" w:color="auto"/>
      </w:divBdr>
    </w:div>
    <w:div w:id="244653898">
      <w:bodyDiv w:val="1"/>
      <w:marLeft w:val="0"/>
      <w:marRight w:val="0"/>
      <w:marTop w:val="0"/>
      <w:marBottom w:val="0"/>
      <w:divBdr>
        <w:top w:val="none" w:sz="0" w:space="0" w:color="auto"/>
        <w:left w:val="none" w:sz="0" w:space="0" w:color="auto"/>
        <w:bottom w:val="none" w:sz="0" w:space="0" w:color="auto"/>
        <w:right w:val="none" w:sz="0" w:space="0" w:color="auto"/>
      </w:divBdr>
    </w:div>
    <w:div w:id="245186038">
      <w:bodyDiv w:val="1"/>
      <w:marLeft w:val="0"/>
      <w:marRight w:val="0"/>
      <w:marTop w:val="0"/>
      <w:marBottom w:val="0"/>
      <w:divBdr>
        <w:top w:val="none" w:sz="0" w:space="0" w:color="auto"/>
        <w:left w:val="none" w:sz="0" w:space="0" w:color="auto"/>
        <w:bottom w:val="none" w:sz="0" w:space="0" w:color="auto"/>
        <w:right w:val="none" w:sz="0" w:space="0" w:color="auto"/>
      </w:divBdr>
    </w:div>
    <w:div w:id="245581771">
      <w:bodyDiv w:val="1"/>
      <w:marLeft w:val="0"/>
      <w:marRight w:val="0"/>
      <w:marTop w:val="0"/>
      <w:marBottom w:val="0"/>
      <w:divBdr>
        <w:top w:val="none" w:sz="0" w:space="0" w:color="auto"/>
        <w:left w:val="none" w:sz="0" w:space="0" w:color="auto"/>
        <w:bottom w:val="none" w:sz="0" w:space="0" w:color="auto"/>
        <w:right w:val="none" w:sz="0" w:space="0" w:color="auto"/>
      </w:divBdr>
    </w:div>
    <w:div w:id="246113434">
      <w:bodyDiv w:val="1"/>
      <w:marLeft w:val="0"/>
      <w:marRight w:val="0"/>
      <w:marTop w:val="0"/>
      <w:marBottom w:val="0"/>
      <w:divBdr>
        <w:top w:val="none" w:sz="0" w:space="0" w:color="auto"/>
        <w:left w:val="none" w:sz="0" w:space="0" w:color="auto"/>
        <w:bottom w:val="none" w:sz="0" w:space="0" w:color="auto"/>
        <w:right w:val="none" w:sz="0" w:space="0" w:color="auto"/>
      </w:divBdr>
    </w:div>
    <w:div w:id="246231833">
      <w:bodyDiv w:val="1"/>
      <w:marLeft w:val="0"/>
      <w:marRight w:val="0"/>
      <w:marTop w:val="0"/>
      <w:marBottom w:val="0"/>
      <w:divBdr>
        <w:top w:val="none" w:sz="0" w:space="0" w:color="auto"/>
        <w:left w:val="none" w:sz="0" w:space="0" w:color="auto"/>
        <w:bottom w:val="none" w:sz="0" w:space="0" w:color="auto"/>
        <w:right w:val="none" w:sz="0" w:space="0" w:color="auto"/>
      </w:divBdr>
    </w:div>
    <w:div w:id="246812062">
      <w:bodyDiv w:val="1"/>
      <w:marLeft w:val="0"/>
      <w:marRight w:val="0"/>
      <w:marTop w:val="0"/>
      <w:marBottom w:val="0"/>
      <w:divBdr>
        <w:top w:val="none" w:sz="0" w:space="0" w:color="auto"/>
        <w:left w:val="none" w:sz="0" w:space="0" w:color="auto"/>
        <w:bottom w:val="none" w:sz="0" w:space="0" w:color="auto"/>
        <w:right w:val="none" w:sz="0" w:space="0" w:color="auto"/>
      </w:divBdr>
    </w:div>
    <w:div w:id="247226969">
      <w:bodyDiv w:val="1"/>
      <w:marLeft w:val="0"/>
      <w:marRight w:val="0"/>
      <w:marTop w:val="0"/>
      <w:marBottom w:val="0"/>
      <w:divBdr>
        <w:top w:val="none" w:sz="0" w:space="0" w:color="auto"/>
        <w:left w:val="none" w:sz="0" w:space="0" w:color="auto"/>
        <w:bottom w:val="none" w:sz="0" w:space="0" w:color="auto"/>
        <w:right w:val="none" w:sz="0" w:space="0" w:color="auto"/>
      </w:divBdr>
    </w:div>
    <w:div w:id="248469475">
      <w:bodyDiv w:val="1"/>
      <w:marLeft w:val="0"/>
      <w:marRight w:val="0"/>
      <w:marTop w:val="0"/>
      <w:marBottom w:val="0"/>
      <w:divBdr>
        <w:top w:val="none" w:sz="0" w:space="0" w:color="auto"/>
        <w:left w:val="none" w:sz="0" w:space="0" w:color="auto"/>
        <w:bottom w:val="none" w:sz="0" w:space="0" w:color="auto"/>
        <w:right w:val="none" w:sz="0" w:space="0" w:color="auto"/>
      </w:divBdr>
    </w:div>
    <w:div w:id="249317597">
      <w:bodyDiv w:val="1"/>
      <w:marLeft w:val="0"/>
      <w:marRight w:val="0"/>
      <w:marTop w:val="0"/>
      <w:marBottom w:val="0"/>
      <w:divBdr>
        <w:top w:val="none" w:sz="0" w:space="0" w:color="auto"/>
        <w:left w:val="none" w:sz="0" w:space="0" w:color="auto"/>
        <w:bottom w:val="none" w:sz="0" w:space="0" w:color="auto"/>
        <w:right w:val="none" w:sz="0" w:space="0" w:color="auto"/>
      </w:divBdr>
    </w:div>
    <w:div w:id="250161063">
      <w:bodyDiv w:val="1"/>
      <w:marLeft w:val="0"/>
      <w:marRight w:val="0"/>
      <w:marTop w:val="0"/>
      <w:marBottom w:val="0"/>
      <w:divBdr>
        <w:top w:val="none" w:sz="0" w:space="0" w:color="auto"/>
        <w:left w:val="none" w:sz="0" w:space="0" w:color="auto"/>
        <w:bottom w:val="none" w:sz="0" w:space="0" w:color="auto"/>
        <w:right w:val="none" w:sz="0" w:space="0" w:color="auto"/>
      </w:divBdr>
    </w:div>
    <w:div w:id="250547124">
      <w:bodyDiv w:val="1"/>
      <w:marLeft w:val="0"/>
      <w:marRight w:val="0"/>
      <w:marTop w:val="0"/>
      <w:marBottom w:val="0"/>
      <w:divBdr>
        <w:top w:val="none" w:sz="0" w:space="0" w:color="auto"/>
        <w:left w:val="none" w:sz="0" w:space="0" w:color="auto"/>
        <w:bottom w:val="none" w:sz="0" w:space="0" w:color="auto"/>
        <w:right w:val="none" w:sz="0" w:space="0" w:color="auto"/>
      </w:divBdr>
    </w:div>
    <w:div w:id="250817288">
      <w:bodyDiv w:val="1"/>
      <w:marLeft w:val="0"/>
      <w:marRight w:val="0"/>
      <w:marTop w:val="0"/>
      <w:marBottom w:val="0"/>
      <w:divBdr>
        <w:top w:val="none" w:sz="0" w:space="0" w:color="auto"/>
        <w:left w:val="none" w:sz="0" w:space="0" w:color="auto"/>
        <w:bottom w:val="none" w:sz="0" w:space="0" w:color="auto"/>
        <w:right w:val="none" w:sz="0" w:space="0" w:color="auto"/>
      </w:divBdr>
    </w:div>
    <w:div w:id="251014237">
      <w:bodyDiv w:val="1"/>
      <w:marLeft w:val="0"/>
      <w:marRight w:val="0"/>
      <w:marTop w:val="0"/>
      <w:marBottom w:val="0"/>
      <w:divBdr>
        <w:top w:val="none" w:sz="0" w:space="0" w:color="auto"/>
        <w:left w:val="none" w:sz="0" w:space="0" w:color="auto"/>
        <w:bottom w:val="none" w:sz="0" w:space="0" w:color="auto"/>
        <w:right w:val="none" w:sz="0" w:space="0" w:color="auto"/>
      </w:divBdr>
    </w:div>
    <w:div w:id="251281980">
      <w:bodyDiv w:val="1"/>
      <w:marLeft w:val="0"/>
      <w:marRight w:val="0"/>
      <w:marTop w:val="0"/>
      <w:marBottom w:val="0"/>
      <w:divBdr>
        <w:top w:val="none" w:sz="0" w:space="0" w:color="auto"/>
        <w:left w:val="none" w:sz="0" w:space="0" w:color="auto"/>
        <w:bottom w:val="none" w:sz="0" w:space="0" w:color="auto"/>
        <w:right w:val="none" w:sz="0" w:space="0" w:color="auto"/>
      </w:divBdr>
    </w:div>
    <w:div w:id="251624638">
      <w:bodyDiv w:val="1"/>
      <w:marLeft w:val="0"/>
      <w:marRight w:val="0"/>
      <w:marTop w:val="0"/>
      <w:marBottom w:val="0"/>
      <w:divBdr>
        <w:top w:val="none" w:sz="0" w:space="0" w:color="auto"/>
        <w:left w:val="none" w:sz="0" w:space="0" w:color="auto"/>
        <w:bottom w:val="none" w:sz="0" w:space="0" w:color="auto"/>
        <w:right w:val="none" w:sz="0" w:space="0" w:color="auto"/>
      </w:divBdr>
    </w:div>
    <w:div w:id="251859356">
      <w:bodyDiv w:val="1"/>
      <w:marLeft w:val="0"/>
      <w:marRight w:val="0"/>
      <w:marTop w:val="0"/>
      <w:marBottom w:val="0"/>
      <w:divBdr>
        <w:top w:val="none" w:sz="0" w:space="0" w:color="auto"/>
        <w:left w:val="none" w:sz="0" w:space="0" w:color="auto"/>
        <w:bottom w:val="none" w:sz="0" w:space="0" w:color="auto"/>
        <w:right w:val="none" w:sz="0" w:space="0" w:color="auto"/>
      </w:divBdr>
    </w:div>
    <w:div w:id="252474507">
      <w:bodyDiv w:val="1"/>
      <w:marLeft w:val="0"/>
      <w:marRight w:val="0"/>
      <w:marTop w:val="0"/>
      <w:marBottom w:val="0"/>
      <w:divBdr>
        <w:top w:val="none" w:sz="0" w:space="0" w:color="auto"/>
        <w:left w:val="none" w:sz="0" w:space="0" w:color="auto"/>
        <w:bottom w:val="none" w:sz="0" w:space="0" w:color="auto"/>
        <w:right w:val="none" w:sz="0" w:space="0" w:color="auto"/>
      </w:divBdr>
    </w:div>
    <w:div w:id="252865055">
      <w:bodyDiv w:val="1"/>
      <w:marLeft w:val="0"/>
      <w:marRight w:val="0"/>
      <w:marTop w:val="0"/>
      <w:marBottom w:val="0"/>
      <w:divBdr>
        <w:top w:val="none" w:sz="0" w:space="0" w:color="auto"/>
        <w:left w:val="none" w:sz="0" w:space="0" w:color="auto"/>
        <w:bottom w:val="none" w:sz="0" w:space="0" w:color="auto"/>
        <w:right w:val="none" w:sz="0" w:space="0" w:color="auto"/>
      </w:divBdr>
    </w:div>
    <w:div w:id="253052819">
      <w:bodyDiv w:val="1"/>
      <w:marLeft w:val="0"/>
      <w:marRight w:val="0"/>
      <w:marTop w:val="0"/>
      <w:marBottom w:val="0"/>
      <w:divBdr>
        <w:top w:val="none" w:sz="0" w:space="0" w:color="auto"/>
        <w:left w:val="none" w:sz="0" w:space="0" w:color="auto"/>
        <w:bottom w:val="none" w:sz="0" w:space="0" w:color="auto"/>
        <w:right w:val="none" w:sz="0" w:space="0" w:color="auto"/>
      </w:divBdr>
    </w:div>
    <w:div w:id="253591020">
      <w:bodyDiv w:val="1"/>
      <w:marLeft w:val="0"/>
      <w:marRight w:val="0"/>
      <w:marTop w:val="0"/>
      <w:marBottom w:val="0"/>
      <w:divBdr>
        <w:top w:val="none" w:sz="0" w:space="0" w:color="auto"/>
        <w:left w:val="none" w:sz="0" w:space="0" w:color="auto"/>
        <w:bottom w:val="none" w:sz="0" w:space="0" w:color="auto"/>
        <w:right w:val="none" w:sz="0" w:space="0" w:color="auto"/>
      </w:divBdr>
    </w:div>
    <w:div w:id="253631965">
      <w:bodyDiv w:val="1"/>
      <w:marLeft w:val="0"/>
      <w:marRight w:val="0"/>
      <w:marTop w:val="0"/>
      <w:marBottom w:val="0"/>
      <w:divBdr>
        <w:top w:val="none" w:sz="0" w:space="0" w:color="auto"/>
        <w:left w:val="none" w:sz="0" w:space="0" w:color="auto"/>
        <w:bottom w:val="none" w:sz="0" w:space="0" w:color="auto"/>
        <w:right w:val="none" w:sz="0" w:space="0" w:color="auto"/>
      </w:divBdr>
    </w:div>
    <w:div w:id="254749115">
      <w:bodyDiv w:val="1"/>
      <w:marLeft w:val="0"/>
      <w:marRight w:val="0"/>
      <w:marTop w:val="0"/>
      <w:marBottom w:val="0"/>
      <w:divBdr>
        <w:top w:val="none" w:sz="0" w:space="0" w:color="auto"/>
        <w:left w:val="none" w:sz="0" w:space="0" w:color="auto"/>
        <w:bottom w:val="none" w:sz="0" w:space="0" w:color="auto"/>
        <w:right w:val="none" w:sz="0" w:space="0" w:color="auto"/>
      </w:divBdr>
    </w:div>
    <w:div w:id="254751013">
      <w:bodyDiv w:val="1"/>
      <w:marLeft w:val="0"/>
      <w:marRight w:val="0"/>
      <w:marTop w:val="0"/>
      <w:marBottom w:val="0"/>
      <w:divBdr>
        <w:top w:val="none" w:sz="0" w:space="0" w:color="auto"/>
        <w:left w:val="none" w:sz="0" w:space="0" w:color="auto"/>
        <w:bottom w:val="none" w:sz="0" w:space="0" w:color="auto"/>
        <w:right w:val="none" w:sz="0" w:space="0" w:color="auto"/>
      </w:divBdr>
    </w:div>
    <w:div w:id="254829476">
      <w:bodyDiv w:val="1"/>
      <w:marLeft w:val="0"/>
      <w:marRight w:val="0"/>
      <w:marTop w:val="0"/>
      <w:marBottom w:val="0"/>
      <w:divBdr>
        <w:top w:val="none" w:sz="0" w:space="0" w:color="auto"/>
        <w:left w:val="none" w:sz="0" w:space="0" w:color="auto"/>
        <w:bottom w:val="none" w:sz="0" w:space="0" w:color="auto"/>
        <w:right w:val="none" w:sz="0" w:space="0" w:color="auto"/>
      </w:divBdr>
    </w:div>
    <w:div w:id="254948053">
      <w:bodyDiv w:val="1"/>
      <w:marLeft w:val="0"/>
      <w:marRight w:val="0"/>
      <w:marTop w:val="0"/>
      <w:marBottom w:val="0"/>
      <w:divBdr>
        <w:top w:val="none" w:sz="0" w:space="0" w:color="auto"/>
        <w:left w:val="none" w:sz="0" w:space="0" w:color="auto"/>
        <w:bottom w:val="none" w:sz="0" w:space="0" w:color="auto"/>
        <w:right w:val="none" w:sz="0" w:space="0" w:color="auto"/>
      </w:divBdr>
    </w:div>
    <w:div w:id="255208453">
      <w:bodyDiv w:val="1"/>
      <w:marLeft w:val="0"/>
      <w:marRight w:val="0"/>
      <w:marTop w:val="0"/>
      <w:marBottom w:val="0"/>
      <w:divBdr>
        <w:top w:val="none" w:sz="0" w:space="0" w:color="auto"/>
        <w:left w:val="none" w:sz="0" w:space="0" w:color="auto"/>
        <w:bottom w:val="none" w:sz="0" w:space="0" w:color="auto"/>
        <w:right w:val="none" w:sz="0" w:space="0" w:color="auto"/>
      </w:divBdr>
    </w:div>
    <w:div w:id="255411012">
      <w:bodyDiv w:val="1"/>
      <w:marLeft w:val="0"/>
      <w:marRight w:val="0"/>
      <w:marTop w:val="0"/>
      <w:marBottom w:val="0"/>
      <w:divBdr>
        <w:top w:val="none" w:sz="0" w:space="0" w:color="auto"/>
        <w:left w:val="none" w:sz="0" w:space="0" w:color="auto"/>
        <w:bottom w:val="none" w:sz="0" w:space="0" w:color="auto"/>
        <w:right w:val="none" w:sz="0" w:space="0" w:color="auto"/>
      </w:divBdr>
    </w:div>
    <w:div w:id="256523947">
      <w:bodyDiv w:val="1"/>
      <w:marLeft w:val="0"/>
      <w:marRight w:val="0"/>
      <w:marTop w:val="0"/>
      <w:marBottom w:val="0"/>
      <w:divBdr>
        <w:top w:val="none" w:sz="0" w:space="0" w:color="auto"/>
        <w:left w:val="none" w:sz="0" w:space="0" w:color="auto"/>
        <w:bottom w:val="none" w:sz="0" w:space="0" w:color="auto"/>
        <w:right w:val="none" w:sz="0" w:space="0" w:color="auto"/>
      </w:divBdr>
    </w:div>
    <w:div w:id="256594306">
      <w:bodyDiv w:val="1"/>
      <w:marLeft w:val="0"/>
      <w:marRight w:val="0"/>
      <w:marTop w:val="0"/>
      <w:marBottom w:val="0"/>
      <w:divBdr>
        <w:top w:val="none" w:sz="0" w:space="0" w:color="auto"/>
        <w:left w:val="none" w:sz="0" w:space="0" w:color="auto"/>
        <w:bottom w:val="none" w:sz="0" w:space="0" w:color="auto"/>
        <w:right w:val="none" w:sz="0" w:space="0" w:color="auto"/>
      </w:divBdr>
    </w:div>
    <w:div w:id="257376498">
      <w:bodyDiv w:val="1"/>
      <w:marLeft w:val="0"/>
      <w:marRight w:val="0"/>
      <w:marTop w:val="0"/>
      <w:marBottom w:val="0"/>
      <w:divBdr>
        <w:top w:val="none" w:sz="0" w:space="0" w:color="auto"/>
        <w:left w:val="none" w:sz="0" w:space="0" w:color="auto"/>
        <w:bottom w:val="none" w:sz="0" w:space="0" w:color="auto"/>
        <w:right w:val="none" w:sz="0" w:space="0" w:color="auto"/>
      </w:divBdr>
    </w:div>
    <w:div w:id="258174231">
      <w:bodyDiv w:val="1"/>
      <w:marLeft w:val="0"/>
      <w:marRight w:val="0"/>
      <w:marTop w:val="0"/>
      <w:marBottom w:val="0"/>
      <w:divBdr>
        <w:top w:val="none" w:sz="0" w:space="0" w:color="auto"/>
        <w:left w:val="none" w:sz="0" w:space="0" w:color="auto"/>
        <w:bottom w:val="none" w:sz="0" w:space="0" w:color="auto"/>
        <w:right w:val="none" w:sz="0" w:space="0" w:color="auto"/>
      </w:divBdr>
    </w:div>
    <w:div w:id="258178316">
      <w:bodyDiv w:val="1"/>
      <w:marLeft w:val="0"/>
      <w:marRight w:val="0"/>
      <w:marTop w:val="0"/>
      <w:marBottom w:val="0"/>
      <w:divBdr>
        <w:top w:val="none" w:sz="0" w:space="0" w:color="auto"/>
        <w:left w:val="none" w:sz="0" w:space="0" w:color="auto"/>
        <w:bottom w:val="none" w:sz="0" w:space="0" w:color="auto"/>
        <w:right w:val="none" w:sz="0" w:space="0" w:color="auto"/>
      </w:divBdr>
    </w:div>
    <w:div w:id="258803685">
      <w:bodyDiv w:val="1"/>
      <w:marLeft w:val="0"/>
      <w:marRight w:val="0"/>
      <w:marTop w:val="0"/>
      <w:marBottom w:val="0"/>
      <w:divBdr>
        <w:top w:val="none" w:sz="0" w:space="0" w:color="auto"/>
        <w:left w:val="none" w:sz="0" w:space="0" w:color="auto"/>
        <w:bottom w:val="none" w:sz="0" w:space="0" w:color="auto"/>
        <w:right w:val="none" w:sz="0" w:space="0" w:color="auto"/>
      </w:divBdr>
    </w:div>
    <w:div w:id="259610412">
      <w:bodyDiv w:val="1"/>
      <w:marLeft w:val="0"/>
      <w:marRight w:val="0"/>
      <w:marTop w:val="0"/>
      <w:marBottom w:val="0"/>
      <w:divBdr>
        <w:top w:val="none" w:sz="0" w:space="0" w:color="auto"/>
        <w:left w:val="none" w:sz="0" w:space="0" w:color="auto"/>
        <w:bottom w:val="none" w:sz="0" w:space="0" w:color="auto"/>
        <w:right w:val="none" w:sz="0" w:space="0" w:color="auto"/>
      </w:divBdr>
    </w:div>
    <w:div w:id="259720782">
      <w:bodyDiv w:val="1"/>
      <w:marLeft w:val="0"/>
      <w:marRight w:val="0"/>
      <w:marTop w:val="0"/>
      <w:marBottom w:val="0"/>
      <w:divBdr>
        <w:top w:val="none" w:sz="0" w:space="0" w:color="auto"/>
        <w:left w:val="none" w:sz="0" w:space="0" w:color="auto"/>
        <w:bottom w:val="none" w:sz="0" w:space="0" w:color="auto"/>
        <w:right w:val="none" w:sz="0" w:space="0" w:color="auto"/>
      </w:divBdr>
    </w:div>
    <w:div w:id="260651576">
      <w:bodyDiv w:val="1"/>
      <w:marLeft w:val="0"/>
      <w:marRight w:val="0"/>
      <w:marTop w:val="0"/>
      <w:marBottom w:val="0"/>
      <w:divBdr>
        <w:top w:val="none" w:sz="0" w:space="0" w:color="auto"/>
        <w:left w:val="none" w:sz="0" w:space="0" w:color="auto"/>
        <w:bottom w:val="none" w:sz="0" w:space="0" w:color="auto"/>
        <w:right w:val="none" w:sz="0" w:space="0" w:color="auto"/>
      </w:divBdr>
    </w:div>
    <w:div w:id="261306008">
      <w:bodyDiv w:val="1"/>
      <w:marLeft w:val="0"/>
      <w:marRight w:val="0"/>
      <w:marTop w:val="0"/>
      <w:marBottom w:val="0"/>
      <w:divBdr>
        <w:top w:val="none" w:sz="0" w:space="0" w:color="auto"/>
        <w:left w:val="none" w:sz="0" w:space="0" w:color="auto"/>
        <w:bottom w:val="none" w:sz="0" w:space="0" w:color="auto"/>
        <w:right w:val="none" w:sz="0" w:space="0" w:color="auto"/>
      </w:divBdr>
    </w:div>
    <w:div w:id="261887157">
      <w:bodyDiv w:val="1"/>
      <w:marLeft w:val="0"/>
      <w:marRight w:val="0"/>
      <w:marTop w:val="0"/>
      <w:marBottom w:val="0"/>
      <w:divBdr>
        <w:top w:val="none" w:sz="0" w:space="0" w:color="auto"/>
        <w:left w:val="none" w:sz="0" w:space="0" w:color="auto"/>
        <w:bottom w:val="none" w:sz="0" w:space="0" w:color="auto"/>
        <w:right w:val="none" w:sz="0" w:space="0" w:color="auto"/>
      </w:divBdr>
    </w:div>
    <w:div w:id="262762187">
      <w:bodyDiv w:val="1"/>
      <w:marLeft w:val="0"/>
      <w:marRight w:val="0"/>
      <w:marTop w:val="0"/>
      <w:marBottom w:val="0"/>
      <w:divBdr>
        <w:top w:val="none" w:sz="0" w:space="0" w:color="auto"/>
        <w:left w:val="none" w:sz="0" w:space="0" w:color="auto"/>
        <w:bottom w:val="none" w:sz="0" w:space="0" w:color="auto"/>
        <w:right w:val="none" w:sz="0" w:space="0" w:color="auto"/>
      </w:divBdr>
    </w:div>
    <w:div w:id="262765569">
      <w:bodyDiv w:val="1"/>
      <w:marLeft w:val="0"/>
      <w:marRight w:val="0"/>
      <w:marTop w:val="0"/>
      <w:marBottom w:val="0"/>
      <w:divBdr>
        <w:top w:val="none" w:sz="0" w:space="0" w:color="auto"/>
        <w:left w:val="none" w:sz="0" w:space="0" w:color="auto"/>
        <w:bottom w:val="none" w:sz="0" w:space="0" w:color="auto"/>
        <w:right w:val="none" w:sz="0" w:space="0" w:color="auto"/>
      </w:divBdr>
    </w:div>
    <w:div w:id="263537324">
      <w:bodyDiv w:val="1"/>
      <w:marLeft w:val="0"/>
      <w:marRight w:val="0"/>
      <w:marTop w:val="0"/>
      <w:marBottom w:val="0"/>
      <w:divBdr>
        <w:top w:val="none" w:sz="0" w:space="0" w:color="auto"/>
        <w:left w:val="none" w:sz="0" w:space="0" w:color="auto"/>
        <w:bottom w:val="none" w:sz="0" w:space="0" w:color="auto"/>
        <w:right w:val="none" w:sz="0" w:space="0" w:color="auto"/>
      </w:divBdr>
    </w:div>
    <w:div w:id="264463958">
      <w:bodyDiv w:val="1"/>
      <w:marLeft w:val="0"/>
      <w:marRight w:val="0"/>
      <w:marTop w:val="0"/>
      <w:marBottom w:val="0"/>
      <w:divBdr>
        <w:top w:val="none" w:sz="0" w:space="0" w:color="auto"/>
        <w:left w:val="none" w:sz="0" w:space="0" w:color="auto"/>
        <w:bottom w:val="none" w:sz="0" w:space="0" w:color="auto"/>
        <w:right w:val="none" w:sz="0" w:space="0" w:color="auto"/>
      </w:divBdr>
    </w:div>
    <w:div w:id="264700342">
      <w:bodyDiv w:val="1"/>
      <w:marLeft w:val="0"/>
      <w:marRight w:val="0"/>
      <w:marTop w:val="0"/>
      <w:marBottom w:val="0"/>
      <w:divBdr>
        <w:top w:val="none" w:sz="0" w:space="0" w:color="auto"/>
        <w:left w:val="none" w:sz="0" w:space="0" w:color="auto"/>
        <w:bottom w:val="none" w:sz="0" w:space="0" w:color="auto"/>
        <w:right w:val="none" w:sz="0" w:space="0" w:color="auto"/>
      </w:divBdr>
    </w:div>
    <w:div w:id="264847222">
      <w:bodyDiv w:val="1"/>
      <w:marLeft w:val="0"/>
      <w:marRight w:val="0"/>
      <w:marTop w:val="0"/>
      <w:marBottom w:val="0"/>
      <w:divBdr>
        <w:top w:val="none" w:sz="0" w:space="0" w:color="auto"/>
        <w:left w:val="none" w:sz="0" w:space="0" w:color="auto"/>
        <w:bottom w:val="none" w:sz="0" w:space="0" w:color="auto"/>
        <w:right w:val="none" w:sz="0" w:space="0" w:color="auto"/>
      </w:divBdr>
    </w:div>
    <w:div w:id="264850129">
      <w:bodyDiv w:val="1"/>
      <w:marLeft w:val="0"/>
      <w:marRight w:val="0"/>
      <w:marTop w:val="0"/>
      <w:marBottom w:val="0"/>
      <w:divBdr>
        <w:top w:val="none" w:sz="0" w:space="0" w:color="auto"/>
        <w:left w:val="none" w:sz="0" w:space="0" w:color="auto"/>
        <w:bottom w:val="none" w:sz="0" w:space="0" w:color="auto"/>
        <w:right w:val="none" w:sz="0" w:space="0" w:color="auto"/>
      </w:divBdr>
    </w:div>
    <w:div w:id="264925303">
      <w:bodyDiv w:val="1"/>
      <w:marLeft w:val="0"/>
      <w:marRight w:val="0"/>
      <w:marTop w:val="0"/>
      <w:marBottom w:val="0"/>
      <w:divBdr>
        <w:top w:val="none" w:sz="0" w:space="0" w:color="auto"/>
        <w:left w:val="none" w:sz="0" w:space="0" w:color="auto"/>
        <w:bottom w:val="none" w:sz="0" w:space="0" w:color="auto"/>
        <w:right w:val="none" w:sz="0" w:space="0" w:color="auto"/>
      </w:divBdr>
    </w:div>
    <w:div w:id="266815468">
      <w:bodyDiv w:val="1"/>
      <w:marLeft w:val="0"/>
      <w:marRight w:val="0"/>
      <w:marTop w:val="0"/>
      <w:marBottom w:val="0"/>
      <w:divBdr>
        <w:top w:val="none" w:sz="0" w:space="0" w:color="auto"/>
        <w:left w:val="none" w:sz="0" w:space="0" w:color="auto"/>
        <w:bottom w:val="none" w:sz="0" w:space="0" w:color="auto"/>
        <w:right w:val="none" w:sz="0" w:space="0" w:color="auto"/>
      </w:divBdr>
    </w:div>
    <w:div w:id="266817673">
      <w:bodyDiv w:val="1"/>
      <w:marLeft w:val="0"/>
      <w:marRight w:val="0"/>
      <w:marTop w:val="0"/>
      <w:marBottom w:val="0"/>
      <w:divBdr>
        <w:top w:val="none" w:sz="0" w:space="0" w:color="auto"/>
        <w:left w:val="none" w:sz="0" w:space="0" w:color="auto"/>
        <w:bottom w:val="none" w:sz="0" w:space="0" w:color="auto"/>
        <w:right w:val="none" w:sz="0" w:space="0" w:color="auto"/>
      </w:divBdr>
    </w:div>
    <w:div w:id="267348419">
      <w:bodyDiv w:val="1"/>
      <w:marLeft w:val="0"/>
      <w:marRight w:val="0"/>
      <w:marTop w:val="0"/>
      <w:marBottom w:val="0"/>
      <w:divBdr>
        <w:top w:val="none" w:sz="0" w:space="0" w:color="auto"/>
        <w:left w:val="none" w:sz="0" w:space="0" w:color="auto"/>
        <w:bottom w:val="none" w:sz="0" w:space="0" w:color="auto"/>
        <w:right w:val="none" w:sz="0" w:space="0" w:color="auto"/>
      </w:divBdr>
    </w:div>
    <w:div w:id="267739485">
      <w:bodyDiv w:val="1"/>
      <w:marLeft w:val="0"/>
      <w:marRight w:val="0"/>
      <w:marTop w:val="0"/>
      <w:marBottom w:val="0"/>
      <w:divBdr>
        <w:top w:val="none" w:sz="0" w:space="0" w:color="auto"/>
        <w:left w:val="none" w:sz="0" w:space="0" w:color="auto"/>
        <w:bottom w:val="none" w:sz="0" w:space="0" w:color="auto"/>
        <w:right w:val="none" w:sz="0" w:space="0" w:color="auto"/>
      </w:divBdr>
    </w:div>
    <w:div w:id="268048342">
      <w:bodyDiv w:val="1"/>
      <w:marLeft w:val="0"/>
      <w:marRight w:val="0"/>
      <w:marTop w:val="0"/>
      <w:marBottom w:val="0"/>
      <w:divBdr>
        <w:top w:val="none" w:sz="0" w:space="0" w:color="auto"/>
        <w:left w:val="none" w:sz="0" w:space="0" w:color="auto"/>
        <w:bottom w:val="none" w:sz="0" w:space="0" w:color="auto"/>
        <w:right w:val="none" w:sz="0" w:space="0" w:color="auto"/>
      </w:divBdr>
    </w:div>
    <w:div w:id="268241920">
      <w:bodyDiv w:val="1"/>
      <w:marLeft w:val="0"/>
      <w:marRight w:val="0"/>
      <w:marTop w:val="0"/>
      <w:marBottom w:val="0"/>
      <w:divBdr>
        <w:top w:val="none" w:sz="0" w:space="0" w:color="auto"/>
        <w:left w:val="none" w:sz="0" w:space="0" w:color="auto"/>
        <w:bottom w:val="none" w:sz="0" w:space="0" w:color="auto"/>
        <w:right w:val="none" w:sz="0" w:space="0" w:color="auto"/>
      </w:divBdr>
    </w:div>
    <w:div w:id="268244415">
      <w:bodyDiv w:val="1"/>
      <w:marLeft w:val="0"/>
      <w:marRight w:val="0"/>
      <w:marTop w:val="0"/>
      <w:marBottom w:val="0"/>
      <w:divBdr>
        <w:top w:val="none" w:sz="0" w:space="0" w:color="auto"/>
        <w:left w:val="none" w:sz="0" w:space="0" w:color="auto"/>
        <w:bottom w:val="none" w:sz="0" w:space="0" w:color="auto"/>
        <w:right w:val="none" w:sz="0" w:space="0" w:color="auto"/>
      </w:divBdr>
    </w:div>
    <w:div w:id="268703803">
      <w:bodyDiv w:val="1"/>
      <w:marLeft w:val="0"/>
      <w:marRight w:val="0"/>
      <w:marTop w:val="0"/>
      <w:marBottom w:val="0"/>
      <w:divBdr>
        <w:top w:val="none" w:sz="0" w:space="0" w:color="auto"/>
        <w:left w:val="none" w:sz="0" w:space="0" w:color="auto"/>
        <w:bottom w:val="none" w:sz="0" w:space="0" w:color="auto"/>
        <w:right w:val="none" w:sz="0" w:space="0" w:color="auto"/>
      </w:divBdr>
    </w:div>
    <w:div w:id="269699965">
      <w:bodyDiv w:val="1"/>
      <w:marLeft w:val="0"/>
      <w:marRight w:val="0"/>
      <w:marTop w:val="0"/>
      <w:marBottom w:val="0"/>
      <w:divBdr>
        <w:top w:val="none" w:sz="0" w:space="0" w:color="auto"/>
        <w:left w:val="none" w:sz="0" w:space="0" w:color="auto"/>
        <w:bottom w:val="none" w:sz="0" w:space="0" w:color="auto"/>
        <w:right w:val="none" w:sz="0" w:space="0" w:color="auto"/>
      </w:divBdr>
    </w:div>
    <w:div w:id="269824590">
      <w:bodyDiv w:val="1"/>
      <w:marLeft w:val="0"/>
      <w:marRight w:val="0"/>
      <w:marTop w:val="0"/>
      <w:marBottom w:val="0"/>
      <w:divBdr>
        <w:top w:val="none" w:sz="0" w:space="0" w:color="auto"/>
        <w:left w:val="none" w:sz="0" w:space="0" w:color="auto"/>
        <w:bottom w:val="none" w:sz="0" w:space="0" w:color="auto"/>
        <w:right w:val="none" w:sz="0" w:space="0" w:color="auto"/>
      </w:divBdr>
    </w:div>
    <w:div w:id="270669998">
      <w:bodyDiv w:val="1"/>
      <w:marLeft w:val="0"/>
      <w:marRight w:val="0"/>
      <w:marTop w:val="0"/>
      <w:marBottom w:val="0"/>
      <w:divBdr>
        <w:top w:val="none" w:sz="0" w:space="0" w:color="auto"/>
        <w:left w:val="none" w:sz="0" w:space="0" w:color="auto"/>
        <w:bottom w:val="none" w:sz="0" w:space="0" w:color="auto"/>
        <w:right w:val="none" w:sz="0" w:space="0" w:color="auto"/>
      </w:divBdr>
    </w:div>
    <w:div w:id="270943569">
      <w:bodyDiv w:val="1"/>
      <w:marLeft w:val="0"/>
      <w:marRight w:val="0"/>
      <w:marTop w:val="0"/>
      <w:marBottom w:val="0"/>
      <w:divBdr>
        <w:top w:val="none" w:sz="0" w:space="0" w:color="auto"/>
        <w:left w:val="none" w:sz="0" w:space="0" w:color="auto"/>
        <w:bottom w:val="none" w:sz="0" w:space="0" w:color="auto"/>
        <w:right w:val="none" w:sz="0" w:space="0" w:color="auto"/>
      </w:divBdr>
    </w:div>
    <w:div w:id="271017506">
      <w:bodyDiv w:val="1"/>
      <w:marLeft w:val="0"/>
      <w:marRight w:val="0"/>
      <w:marTop w:val="0"/>
      <w:marBottom w:val="0"/>
      <w:divBdr>
        <w:top w:val="none" w:sz="0" w:space="0" w:color="auto"/>
        <w:left w:val="none" w:sz="0" w:space="0" w:color="auto"/>
        <w:bottom w:val="none" w:sz="0" w:space="0" w:color="auto"/>
        <w:right w:val="none" w:sz="0" w:space="0" w:color="auto"/>
      </w:divBdr>
    </w:div>
    <w:div w:id="271977449">
      <w:bodyDiv w:val="1"/>
      <w:marLeft w:val="0"/>
      <w:marRight w:val="0"/>
      <w:marTop w:val="0"/>
      <w:marBottom w:val="0"/>
      <w:divBdr>
        <w:top w:val="none" w:sz="0" w:space="0" w:color="auto"/>
        <w:left w:val="none" w:sz="0" w:space="0" w:color="auto"/>
        <w:bottom w:val="none" w:sz="0" w:space="0" w:color="auto"/>
        <w:right w:val="none" w:sz="0" w:space="0" w:color="auto"/>
      </w:divBdr>
    </w:div>
    <w:div w:id="272250435">
      <w:bodyDiv w:val="1"/>
      <w:marLeft w:val="0"/>
      <w:marRight w:val="0"/>
      <w:marTop w:val="0"/>
      <w:marBottom w:val="0"/>
      <w:divBdr>
        <w:top w:val="none" w:sz="0" w:space="0" w:color="auto"/>
        <w:left w:val="none" w:sz="0" w:space="0" w:color="auto"/>
        <w:bottom w:val="none" w:sz="0" w:space="0" w:color="auto"/>
        <w:right w:val="none" w:sz="0" w:space="0" w:color="auto"/>
      </w:divBdr>
    </w:div>
    <w:div w:id="272785669">
      <w:bodyDiv w:val="1"/>
      <w:marLeft w:val="0"/>
      <w:marRight w:val="0"/>
      <w:marTop w:val="0"/>
      <w:marBottom w:val="0"/>
      <w:divBdr>
        <w:top w:val="none" w:sz="0" w:space="0" w:color="auto"/>
        <w:left w:val="none" w:sz="0" w:space="0" w:color="auto"/>
        <w:bottom w:val="none" w:sz="0" w:space="0" w:color="auto"/>
        <w:right w:val="none" w:sz="0" w:space="0" w:color="auto"/>
      </w:divBdr>
    </w:div>
    <w:div w:id="273365273">
      <w:bodyDiv w:val="1"/>
      <w:marLeft w:val="0"/>
      <w:marRight w:val="0"/>
      <w:marTop w:val="0"/>
      <w:marBottom w:val="0"/>
      <w:divBdr>
        <w:top w:val="none" w:sz="0" w:space="0" w:color="auto"/>
        <w:left w:val="none" w:sz="0" w:space="0" w:color="auto"/>
        <w:bottom w:val="none" w:sz="0" w:space="0" w:color="auto"/>
        <w:right w:val="none" w:sz="0" w:space="0" w:color="auto"/>
      </w:divBdr>
    </w:div>
    <w:div w:id="273444606">
      <w:bodyDiv w:val="1"/>
      <w:marLeft w:val="0"/>
      <w:marRight w:val="0"/>
      <w:marTop w:val="0"/>
      <w:marBottom w:val="0"/>
      <w:divBdr>
        <w:top w:val="none" w:sz="0" w:space="0" w:color="auto"/>
        <w:left w:val="none" w:sz="0" w:space="0" w:color="auto"/>
        <w:bottom w:val="none" w:sz="0" w:space="0" w:color="auto"/>
        <w:right w:val="none" w:sz="0" w:space="0" w:color="auto"/>
      </w:divBdr>
    </w:div>
    <w:div w:id="273562878">
      <w:bodyDiv w:val="1"/>
      <w:marLeft w:val="0"/>
      <w:marRight w:val="0"/>
      <w:marTop w:val="0"/>
      <w:marBottom w:val="0"/>
      <w:divBdr>
        <w:top w:val="none" w:sz="0" w:space="0" w:color="auto"/>
        <w:left w:val="none" w:sz="0" w:space="0" w:color="auto"/>
        <w:bottom w:val="none" w:sz="0" w:space="0" w:color="auto"/>
        <w:right w:val="none" w:sz="0" w:space="0" w:color="auto"/>
      </w:divBdr>
    </w:div>
    <w:div w:id="274212950">
      <w:bodyDiv w:val="1"/>
      <w:marLeft w:val="0"/>
      <w:marRight w:val="0"/>
      <w:marTop w:val="0"/>
      <w:marBottom w:val="0"/>
      <w:divBdr>
        <w:top w:val="none" w:sz="0" w:space="0" w:color="auto"/>
        <w:left w:val="none" w:sz="0" w:space="0" w:color="auto"/>
        <w:bottom w:val="none" w:sz="0" w:space="0" w:color="auto"/>
        <w:right w:val="none" w:sz="0" w:space="0" w:color="auto"/>
      </w:divBdr>
    </w:div>
    <w:div w:id="274405547">
      <w:bodyDiv w:val="1"/>
      <w:marLeft w:val="0"/>
      <w:marRight w:val="0"/>
      <w:marTop w:val="0"/>
      <w:marBottom w:val="0"/>
      <w:divBdr>
        <w:top w:val="none" w:sz="0" w:space="0" w:color="auto"/>
        <w:left w:val="none" w:sz="0" w:space="0" w:color="auto"/>
        <w:bottom w:val="none" w:sz="0" w:space="0" w:color="auto"/>
        <w:right w:val="none" w:sz="0" w:space="0" w:color="auto"/>
      </w:divBdr>
    </w:div>
    <w:div w:id="274946752">
      <w:bodyDiv w:val="1"/>
      <w:marLeft w:val="0"/>
      <w:marRight w:val="0"/>
      <w:marTop w:val="0"/>
      <w:marBottom w:val="0"/>
      <w:divBdr>
        <w:top w:val="none" w:sz="0" w:space="0" w:color="auto"/>
        <w:left w:val="none" w:sz="0" w:space="0" w:color="auto"/>
        <w:bottom w:val="none" w:sz="0" w:space="0" w:color="auto"/>
        <w:right w:val="none" w:sz="0" w:space="0" w:color="auto"/>
      </w:divBdr>
    </w:div>
    <w:div w:id="275060135">
      <w:bodyDiv w:val="1"/>
      <w:marLeft w:val="0"/>
      <w:marRight w:val="0"/>
      <w:marTop w:val="0"/>
      <w:marBottom w:val="0"/>
      <w:divBdr>
        <w:top w:val="none" w:sz="0" w:space="0" w:color="auto"/>
        <w:left w:val="none" w:sz="0" w:space="0" w:color="auto"/>
        <w:bottom w:val="none" w:sz="0" w:space="0" w:color="auto"/>
        <w:right w:val="none" w:sz="0" w:space="0" w:color="auto"/>
      </w:divBdr>
    </w:div>
    <w:div w:id="275261702">
      <w:bodyDiv w:val="1"/>
      <w:marLeft w:val="0"/>
      <w:marRight w:val="0"/>
      <w:marTop w:val="0"/>
      <w:marBottom w:val="0"/>
      <w:divBdr>
        <w:top w:val="none" w:sz="0" w:space="0" w:color="auto"/>
        <w:left w:val="none" w:sz="0" w:space="0" w:color="auto"/>
        <w:bottom w:val="none" w:sz="0" w:space="0" w:color="auto"/>
        <w:right w:val="none" w:sz="0" w:space="0" w:color="auto"/>
      </w:divBdr>
    </w:div>
    <w:div w:id="275721386">
      <w:bodyDiv w:val="1"/>
      <w:marLeft w:val="0"/>
      <w:marRight w:val="0"/>
      <w:marTop w:val="0"/>
      <w:marBottom w:val="0"/>
      <w:divBdr>
        <w:top w:val="none" w:sz="0" w:space="0" w:color="auto"/>
        <w:left w:val="none" w:sz="0" w:space="0" w:color="auto"/>
        <w:bottom w:val="none" w:sz="0" w:space="0" w:color="auto"/>
        <w:right w:val="none" w:sz="0" w:space="0" w:color="auto"/>
      </w:divBdr>
    </w:div>
    <w:div w:id="275910524">
      <w:bodyDiv w:val="1"/>
      <w:marLeft w:val="0"/>
      <w:marRight w:val="0"/>
      <w:marTop w:val="0"/>
      <w:marBottom w:val="0"/>
      <w:divBdr>
        <w:top w:val="none" w:sz="0" w:space="0" w:color="auto"/>
        <w:left w:val="none" w:sz="0" w:space="0" w:color="auto"/>
        <w:bottom w:val="none" w:sz="0" w:space="0" w:color="auto"/>
        <w:right w:val="none" w:sz="0" w:space="0" w:color="auto"/>
      </w:divBdr>
    </w:div>
    <w:div w:id="276909844">
      <w:bodyDiv w:val="1"/>
      <w:marLeft w:val="0"/>
      <w:marRight w:val="0"/>
      <w:marTop w:val="0"/>
      <w:marBottom w:val="0"/>
      <w:divBdr>
        <w:top w:val="none" w:sz="0" w:space="0" w:color="auto"/>
        <w:left w:val="none" w:sz="0" w:space="0" w:color="auto"/>
        <w:bottom w:val="none" w:sz="0" w:space="0" w:color="auto"/>
        <w:right w:val="none" w:sz="0" w:space="0" w:color="auto"/>
      </w:divBdr>
    </w:div>
    <w:div w:id="277228197">
      <w:bodyDiv w:val="1"/>
      <w:marLeft w:val="0"/>
      <w:marRight w:val="0"/>
      <w:marTop w:val="0"/>
      <w:marBottom w:val="0"/>
      <w:divBdr>
        <w:top w:val="none" w:sz="0" w:space="0" w:color="auto"/>
        <w:left w:val="none" w:sz="0" w:space="0" w:color="auto"/>
        <w:bottom w:val="none" w:sz="0" w:space="0" w:color="auto"/>
        <w:right w:val="none" w:sz="0" w:space="0" w:color="auto"/>
      </w:divBdr>
    </w:div>
    <w:div w:id="278877796">
      <w:bodyDiv w:val="1"/>
      <w:marLeft w:val="0"/>
      <w:marRight w:val="0"/>
      <w:marTop w:val="0"/>
      <w:marBottom w:val="0"/>
      <w:divBdr>
        <w:top w:val="none" w:sz="0" w:space="0" w:color="auto"/>
        <w:left w:val="none" w:sz="0" w:space="0" w:color="auto"/>
        <w:bottom w:val="none" w:sz="0" w:space="0" w:color="auto"/>
        <w:right w:val="none" w:sz="0" w:space="0" w:color="auto"/>
      </w:divBdr>
    </w:div>
    <w:div w:id="279386053">
      <w:bodyDiv w:val="1"/>
      <w:marLeft w:val="0"/>
      <w:marRight w:val="0"/>
      <w:marTop w:val="0"/>
      <w:marBottom w:val="0"/>
      <w:divBdr>
        <w:top w:val="none" w:sz="0" w:space="0" w:color="auto"/>
        <w:left w:val="none" w:sz="0" w:space="0" w:color="auto"/>
        <w:bottom w:val="none" w:sz="0" w:space="0" w:color="auto"/>
        <w:right w:val="none" w:sz="0" w:space="0" w:color="auto"/>
      </w:divBdr>
    </w:div>
    <w:div w:id="279915837">
      <w:bodyDiv w:val="1"/>
      <w:marLeft w:val="0"/>
      <w:marRight w:val="0"/>
      <w:marTop w:val="0"/>
      <w:marBottom w:val="0"/>
      <w:divBdr>
        <w:top w:val="none" w:sz="0" w:space="0" w:color="auto"/>
        <w:left w:val="none" w:sz="0" w:space="0" w:color="auto"/>
        <w:bottom w:val="none" w:sz="0" w:space="0" w:color="auto"/>
        <w:right w:val="none" w:sz="0" w:space="0" w:color="auto"/>
      </w:divBdr>
    </w:div>
    <w:div w:id="279918662">
      <w:bodyDiv w:val="1"/>
      <w:marLeft w:val="0"/>
      <w:marRight w:val="0"/>
      <w:marTop w:val="0"/>
      <w:marBottom w:val="0"/>
      <w:divBdr>
        <w:top w:val="none" w:sz="0" w:space="0" w:color="auto"/>
        <w:left w:val="none" w:sz="0" w:space="0" w:color="auto"/>
        <w:bottom w:val="none" w:sz="0" w:space="0" w:color="auto"/>
        <w:right w:val="none" w:sz="0" w:space="0" w:color="auto"/>
      </w:divBdr>
    </w:div>
    <w:div w:id="280111184">
      <w:bodyDiv w:val="1"/>
      <w:marLeft w:val="0"/>
      <w:marRight w:val="0"/>
      <w:marTop w:val="0"/>
      <w:marBottom w:val="0"/>
      <w:divBdr>
        <w:top w:val="none" w:sz="0" w:space="0" w:color="auto"/>
        <w:left w:val="none" w:sz="0" w:space="0" w:color="auto"/>
        <w:bottom w:val="none" w:sz="0" w:space="0" w:color="auto"/>
        <w:right w:val="none" w:sz="0" w:space="0" w:color="auto"/>
      </w:divBdr>
    </w:div>
    <w:div w:id="281034196">
      <w:bodyDiv w:val="1"/>
      <w:marLeft w:val="0"/>
      <w:marRight w:val="0"/>
      <w:marTop w:val="0"/>
      <w:marBottom w:val="0"/>
      <w:divBdr>
        <w:top w:val="none" w:sz="0" w:space="0" w:color="auto"/>
        <w:left w:val="none" w:sz="0" w:space="0" w:color="auto"/>
        <w:bottom w:val="none" w:sz="0" w:space="0" w:color="auto"/>
        <w:right w:val="none" w:sz="0" w:space="0" w:color="auto"/>
      </w:divBdr>
    </w:div>
    <w:div w:id="281420904">
      <w:bodyDiv w:val="1"/>
      <w:marLeft w:val="0"/>
      <w:marRight w:val="0"/>
      <w:marTop w:val="0"/>
      <w:marBottom w:val="0"/>
      <w:divBdr>
        <w:top w:val="none" w:sz="0" w:space="0" w:color="auto"/>
        <w:left w:val="none" w:sz="0" w:space="0" w:color="auto"/>
        <w:bottom w:val="none" w:sz="0" w:space="0" w:color="auto"/>
        <w:right w:val="none" w:sz="0" w:space="0" w:color="auto"/>
      </w:divBdr>
    </w:div>
    <w:div w:id="281808592">
      <w:bodyDiv w:val="1"/>
      <w:marLeft w:val="0"/>
      <w:marRight w:val="0"/>
      <w:marTop w:val="0"/>
      <w:marBottom w:val="0"/>
      <w:divBdr>
        <w:top w:val="none" w:sz="0" w:space="0" w:color="auto"/>
        <w:left w:val="none" w:sz="0" w:space="0" w:color="auto"/>
        <w:bottom w:val="none" w:sz="0" w:space="0" w:color="auto"/>
        <w:right w:val="none" w:sz="0" w:space="0" w:color="auto"/>
      </w:divBdr>
    </w:div>
    <w:div w:id="282928006">
      <w:bodyDiv w:val="1"/>
      <w:marLeft w:val="0"/>
      <w:marRight w:val="0"/>
      <w:marTop w:val="0"/>
      <w:marBottom w:val="0"/>
      <w:divBdr>
        <w:top w:val="none" w:sz="0" w:space="0" w:color="auto"/>
        <w:left w:val="none" w:sz="0" w:space="0" w:color="auto"/>
        <w:bottom w:val="none" w:sz="0" w:space="0" w:color="auto"/>
        <w:right w:val="none" w:sz="0" w:space="0" w:color="auto"/>
      </w:divBdr>
    </w:div>
    <w:div w:id="283394118">
      <w:bodyDiv w:val="1"/>
      <w:marLeft w:val="0"/>
      <w:marRight w:val="0"/>
      <w:marTop w:val="0"/>
      <w:marBottom w:val="0"/>
      <w:divBdr>
        <w:top w:val="none" w:sz="0" w:space="0" w:color="auto"/>
        <w:left w:val="none" w:sz="0" w:space="0" w:color="auto"/>
        <w:bottom w:val="none" w:sz="0" w:space="0" w:color="auto"/>
        <w:right w:val="none" w:sz="0" w:space="0" w:color="auto"/>
      </w:divBdr>
    </w:div>
    <w:div w:id="283854358">
      <w:bodyDiv w:val="1"/>
      <w:marLeft w:val="0"/>
      <w:marRight w:val="0"/>
      <w:marTop w:val="0"/>
      <w:marBottom w:val="0"/>
      <w:divBdr>
        <w:top w:val="none" w:sz="0" w:space="0" w:color="auto"/>
        <w:left w:val="none" w:sz="0" w:space="0" w:color="auto"/>
        <w:bottom w:val="none" w:sz="0" w:space="0" w:color="auto"/>
        <w:right w:val="none" w:sz="0" w:space="0" w:color="auto"/>
      </w:divBdr>
    </w:div>
    <w:div w:id="283923874">
      <w:bodyDiv w:val="1"/>
      <w:marLeft w:val="0"/>
      <w:marRight w:val="0"/>
      <w:marTop w:val="0"/>
      <w:marBottom w:val="0"/>
      <w:divBdr>
        <w:top w:val="none" w:sz="0" w:space="0" w:color="auto"/>
        <w:left w:val="none" w:sz="0" w:space="0" w:color="auto"/>
        <w:bottom w:val="none" w:sz="0" w:space="0" w:color="auto"/>
        <w:right w:val="none" w:sz="0" w:space="0" w:color="auto"/>
      </w:divBdr>
    </w:div>
    <w:div w:id="284778585">
      <w:bodyDiv w:val="1"/>
      <w:marLeft w:val="0"/>
      <w:marRight w:val="0"/>
      <w:marTop w:val="0"/>
      <w:marBottom w:val="0"/>
      <w:divBdr>
        <w:top w:val="none" w:sz="0" w:space="0" w:color="auto"/>
        <w:left w:val="none" w:sz="0" w:space="0" w:color="auto"/>
        <w:bottom w:val="none" w:sz="0" w:space="0" w:color="auto"/>
        <w:right w:val="none" w:sz="0" w:space="0" w:color="auto"/>
      </w:divBdr>
    </w:div>
    <w:div w:id="284849457">
      <w:bodyDiv w:val="1"/>
      <w:marLeft w:val="0"/>
      <w:marRight w:val="0"/>
      <w:marTop w:val="0"/>
      <w:marBottom w:val="0"/>
      <w:divBdr>
        <w:top w:val="none" w:sz="0" w:space="0" w:color="auto"/>
        <w:left w:val="none" w:sz="0" w:space="0" w:color="auto"/>
        <w:bottom w:val="none" w:sz="0" w:space="0" w:color="auto"/>
        <w:right w:val="none" w:sz="0" w:space="0" w:color="auto"/>
      </w:divBdr>
    </w:div>
    <w:div w:id="284890579">
      <w:bodyDiv w:val="1"/>
      <w:marLeft w:val="0"/>
      <w:marRight w:val="0"/>
      <w:marTop w:val="0"/>
      <w:marBottom w:val="0"/>
      <w:divBdr>
        <w:top w:val="none" w:sz="0" w:space="0" w:color="auto"/>
        <w:left w:val="none" w:sz="0" w:space="0" w:color="auto"/>
        <w:bottom w:val="none" w:sz="0" w:space="0" w:color="auto"/>
        <w:right w:val="none" w:sz="0" w:space="0" w:color="auto"/>
      </w:divBdr>
    </w:div>
    <w:div w:id="285161925">
      <w:bodyDiv w:val="1"/>
      <w:marLeft w:val="0"/>
      <w:marRight w:val="0"/>
      <w:marTop w:val="0"/>
      <w:marBottom w:val="0"/>
      <w:divBdr>
        <w:top w:val="none" w:sz="0" w:space="0" w:color="auto"/>
        <w:left w:val="none" w:sz="0" w:space="0" w:color="auto"/>
        <w:bottom w:val="none" w:sz="0" w:space="0" w:color="auto"/>
        <w:right w:val="none" w:sz="0" w:space="0" w:color="auto"/>
      </w:divBdr>
    </w:div>
    <w:div w:id="285241682">
      <w:bodyDiv w:val="1"/>
      <w:marLeft w:val="0"/>
      <w:marRight w:val="0"/>
      <w:marTop w:val="0"/>
      <w:marBottom w:val="0"/>
      <w:divBdr>
        <w:top w:val="none" w:sz="0" w:space="0" w:color="auto"/>
        <w:left w:val="none" w:sz="0" w:space="0" w:color="auto"/>
        <w:bottom w:val="none" w:sz="0" w:space="0" w:color="auto"/>
        <w:right w:val="none" w:sz="0" w:space="0" w:color="auto"/>
      </w:divBdr>
    </w:div>
    <w:div w:id="287011495">
      <w:bodyDiv w:val="1"/>
      <w:marLeft w:val="0"/>
      <w:marRight w:val="0"/>
      <w:marTop w:val="0"/>
      <w:marBottom w:val="0"/>
      <w:divBdr>
        <w:top w:val="none" w:sz="0" w:space="0" w:color="auto"/>
        <w:left w:val="none" w:sz="0" w:space="0" w:color="auto"/>
        <w:bottom w:val="none" w:sz="0" w:space="0" w:color="auto"/>
        <w:right w:val="none" w:sz="0" w:space="0" w:color="auto"/>
      </w:divBdr>
    </w:div>
    <w:div w:id="287198256">
      <w:bodyDiv w:val="1"/>
      <w:marLeft w:val="0"/>
      <w:marRight w:val="0"/>
      <w:marTop w:val="0"/>
      <w:marBottom w:val="0"/>
      <w:divBdr>
        <w:top w:val="none" w:sz="0" w:space="0" w:color="auto"/>
        <w:left w:val="none" w:sz="0" w:space="0" w:color="auto"/>
        <w:bottom w:val="none" w:sz="0" w:space="0" w:color="auto"/>
        <w:right w:val="none" w:sz="0" w:space="0" w:color="auto"/>
      </w:divBdr>
    </w:div>
    <w:div w:id="287247358">
      <w:bodyDiv w:val="1"/>
      <w:marLeft w:val="0"/>
      <w:marRight w:val="0"/>
      <w:marTop w:val="0"/>
      <w:marBottom w:val="0"/>
      <w:divBdr>
        <w:top w:val="none" w:sz="0" w:space="0" w:color="auto"/>
        <w:left w:val="none" w:sz="0" w:space="0" w:color="auto"/>
        <w:bottom w:val="none" w:sz="0" w:space="0" w:color="auto"/>
        <w:right w:val="none" w:sz="0" w:space="0" w:color="auto"/>
      </w:divBdr>
    </w:div>
    <w:div w:id="287401267">
      <w:bodyDiv w:val="1"/>
      <w:marLeft w:val="0"/>
      <w:marRight w:val="0"/>
      <w:marTop w:val="0"/>
      <w:marBottom w:val="0"/>
      <w:divBdr>
        <w:top w:val="none" w:sz="0" w:space="0" w:color="auto"/>
        <w:left w:val="none" w:sz="0" w:space="0" w:color="auto"/>
        <w:bottom w:val="none" w:sz="0" w:space="0" w:color="auto"/>
        <w:right w:val="none" w:sz="0" w:space="0" w:color="auto"/>
      </w:divBdr>
    </w:div>
    <w:div w:id="287590129">
      <w:bodyDiv w:val="1"/>
      <w:marLeft w:val="0"/>
      <w:marRight w:val="0"/>
      <w:marTop w:val="0"/>
      <w:marBottom w:val="0"/>
      <w:divBdr>
        <w:top w:val="none" w:sz="0" w:space="0" w:color="auto"/>
        <w:left w:val="none" w:sz="0" w:space="0" w:color="auto"/>
        <w:bottom w:val="none" w:sz="0" w:space="0" w:color="auto"/>
        <w:right w:val="none" w:sz="0" w:space="0" w:color="auto"/>
      </w:divBdr>
    </w:div>
    <w:div w:id="288046864">
      <w:bodyDiv w:val="1"/>
      <w:marLeft w:val="0"/>
      <w:marRight w:val="0"/>
      <w:marTop w:val="0"/>
      <w:marBottom w:val="0"/>
      <w:divBdr>
        <w:top w:val="none" w:sz="0" w:space="0" w:color="auto"/>
        <w:left w:val="none" w:sz="0" w:space="0" w:color="auto"/>
        <w:bottom w:val="none" w:sz="0" w:space="0" w:color="auto"/>
        <w:right w:val="none" w:sz="0" w:space="0" w:color="auto"/>
      </w:divBdr>
    </w:div>
    <w:div w:id="289173115">
      <w:bodyDiv w:val="1"/>
      <w:marLeft w:val="0"/>
      <w:marRight w:val="0"/>
      <w:marTop w:val="0"/>
      <w:marBottom w:val="0"/>
      <w:divBdr>
        <w:top w:val="none" w:sz="0" w:space="0" w:color="auto"/>
        <w:left w:val="none" w:sz="0" w:space="0" w:color="auto"/>
        <w:bottom w:val="none" w:sz="0" w:space="0" w:color="auto"/>
        <w:right w:val="none" w:sz="0" w:space="0" w:color="auto"/>
      </w:divBdr>
    </w:div>
    <w:div w:id="289866840">
      <w:bodyDiv w:val="1"/>
      <w:marLeft w:val="0"/>
      <w:marRight w:val="0"/>
      <w:marTop w:val="0"/>
      <w:marBottom w:val="0"/>
      <w:divBdr>
        <w:top w:val="none" w:sz="0" w:space="0" w:color="auto"/>
        <w:left w:val="none" w:sz="0" w:space="0" w:color="auto"/>
        <w:bottom w:val="none" w:sz="0" w:space="0" w:color="auto"/>
        <w:right w:val="none" w:sz="0" w:space="0" w:color="auto"/>
      </w:divBdr>
    </w:div>
    <w:div w:id="289944770">
      <w:bodyDiv w:val="1"/>
      <w:marLeft w:val="0"/>
      <w:marRight w:val="0"/>
      <w:marTop w:val="0"/>
      <w:marBottom w:val="0"/>
      <w:divBdr>
        <w:top w:val="none" w:sz="0" w:space="0" w:color="auto"/>
        <w:left w:val="none" w:sz="0" w:space="0" w:color="auto"/>
        <w:bottom w:val="none" w:sz="0" w:space="0" w:color="auto"/>
        <w:right w:val="none" w:sz="0" w:space="0" w:color="auto"/>
      </w:divBdr>
    </w:div>
    <w:div w:id="290133715">
      <w:bodyDiv w:val="1"/>
      <w:marLeft w:val="0"/>
      <w:marRight w:val="0"/>
      <w:marTop w:val="0"/>
      <w:marBottom w:val="0"/>
      <w:divBdr>
        <w:top w:val="none" w:sz="0" w:space="0" w:color="auto"/>
        <w:left w:val="none" w:sz="0" w:space="0" w:color="auto"/>
        <w:bottom w:val="none" w:sz="0" w:space="0" w:color="auto"/>
        <w:right w:val="none" w:sz="0" w:space="0" w:color="auto"/>
      </w:divBdr>
    </w:div>
    <w:div w:id="291247966">
      <w:bodyDiv w:val="1"/>
      <w:marLeft w:val="0"/>
      <w:marRight w:val="0"/>
      <w:marTop w:val="0"/>
      <w:marBottom w:val="0"/>
      <w:divBdr>
        <w:top w:val="none" w:sz="0" w:space="0" w:color="auto"/>
        <w:left w:val="none" w:sz="0" w:space="0" w:color="auto"/>
        <w:bottom w:val="none" w:sz="0" w:space="0" w:color="auto"/>
        <w:right w:val="none" w:sz="0" w:space="0" w:color="auto"/>
      </w:divBdr>
    </w:div>
    <w:div w:id="291444383">
      <w:bodyDiv w:val="1"/>
      <w:marLeft w:val="0"/>
      <w:marRight w:val="0"/>
      <w:marTop w:val="0"/>
      <w:marBottom w:val="0"/>
      <w:divBdr>
        <w:top w:val="none" w:sz="0" w:space="0" w:color="auto"/>
        <w:left w:val="none" w:sz="0" w:space="0" w:color="auto"/>
        <w:bottom w:val="none" w:sz="0" w:space="0" w:color="auto"/>
        <w:right w:val="none" w:sz="0" w:space="0" w:color="auto"/>
      </w:divBdr>
    </w:div>
    <w:div w:id="291712158">
      <w:bodyDiv w:val="1"/>
      <w:marLeft w:val="0"/>
      <w:marRight w:val="0"/>
      <w:marTop w:val="0"/>
      <w:marBottom w:val="0"/>
      <w:divBdr>
        <w:top w:val="none" w:sz="0" w:space="0" w:color="auto"/>
        <w:left w:val="none" w:sz="0" w:space="0" w:color="auto"/>
        <w:bottom w:val="none" w:sz="0" w:space="0" w:color="auto"/>
        <w:right w:val="none" w:sz="0" w:space="0" w:color="auto"/>
      </w:divBdr>
    </w:div>
    <w:div w:id="292176136">
      <w:bodyDiv w:val="1"/>
      <w:marLeft w:val="0"/>
      <w:marRight w:val="0"/>
      <w:marTop w:val="0"/>
      <w:marBottom w:val="0"/>
      <w:divBdr>
        <w:top w:val="none" w:sz="0" w:space="0" w:color="auto"/>
        <w:left w:val="none" w:sz="0" w:space="0" w:color="auto"/>
        <w:bottom w:val="none" w:sz="0" w:space="0" w:color="auto"/>
        <w:right w:val="none" w:sz="0" w:space="0" w:color="auto"/>
      </w:divBdr>
    </w:div>
    <w:div w:id="292907858">
      <w:bodyDiv w:val="1"/>
      <w:marLeft w:val="0"/>
      <w:marRight w:val="0"/>
      <w:marTop w:val="0"/>
      <w:marBottom w:val="0"/>
      <w:divBdr>
        <w:top w:val="none" w:sz="0" w:space="0" w:color="auto"/>
        <w:left w:val="none" w:sz="0" w:space="0" w:color="auto"/>
        <w:bottom w:val="none" w:sz="0" w:space="0" w:color="auto"/>
        <w:right w:val="none" w:sz="0" w:space="0" w:color="auto"/>
      </w:divBdr>
    </w:div>
    <w:div w:id="293295157">
      <w:bodyDiv w:val="1"/>
      <w:marLeft w:val="0"/>
      <w:marRight w:val="0"/>
      <w:marTop w:val="0"/>
      <w:marBottom w:val="0"/>
      <w:divBdr>
        <w:top w:val="none" w:sz="0" w:space="0" w:color="auto"/>
        <w:left w:val="none" w:sz="0" w:space="0" w:color="auto"/>
        <w:bottom w:val="none" w:sz="0" w:space="0" w:color="auto"/>
        <w:right w:val="none" w:sz="0" w:space="0" w:color="auto"/>
      </w:divBdr>
    </w:div>
    <w:div w:id="293410355">
      <w:bodyDiv w:val="1"/>
      <w:marLeft w:val="0"/>
      <w:marRight w:val="0"/>
      <w:marTop w:val="0"/>
      <w:marBottom w:val="0"/>
      <w:divBdr>
        <w:top w:val="none" w:sz="0" w:space="0" w:color="auto"/>
        <w:left w:val="none" w:sz="0" w:space="0" w:color="auto"/>
        <w:bottom w:val="none" w:sz="0" w:space="0" w:color="auto"/>
        <w:right w:val="none" w:sz="0" w:space="0" w:color="auto"/>
      </w:divBdr>
    </w:div>
    <w:div w:id="293602375">
      <w:bodyDiv w:val="1"/>
      <w:marLeft w:val="0"/>
      <w:marRight w:val="0"/>
      <w:marTop w:val="0"/>
      <w:marBottom w:val="0"/>
      <w:divBdr>
        <w:top w:val="none" w:sz="0" w:space="0" w:color="auto"/>
        <w:left w:val="none" w:sz="0" w:space="0" w:color="auto"/>
        <w:bottom w:val="none" w:sz="0" w:space="0" w:color="auto"/>
        <w:right w:val="none" w:sz="0" w:space="0" w:color="auto"/>
      </w:divBdr>
    </w:div>
    <w:div w:id="293798230">
      <w:bodyDiv w:val="1"/>
      <w:marLeft w:val="0"/>
      <w:marRight w:val="0"/>
      <w:marTop w:val="0"/>
      <w:marBottom w:val="0"/>
      <w:divBdr>
        <w:top w:val="none" w:sz="0" w:space="0" w:color="auto"/>
        <w:left w:val="none" w:sz="0" w:space="0" w:color="auto"/>
        <w:bottom w:val="none" w:sz="0" w:space="0" w:color="auto"/>
        <w:right w:val="none" w:sz="0" w:space="0" w:color="auto"/>
      </w:divBdr>
    </w:div>
    <w:div w:id="294795930">
      <w:bodyDiv w:val="1"/>
      <w:marLeft w:val="0"/>
      <w:marRight w:val="0"/>
      <w:marTop w:val="0"/>
      <w:marBottom w:val="0"/>
      <w:divBdr>
        <w:top w:val="none" w:sz="0" w:space="0" w:color="auto"/>
        <w:left w:val="none" w:sz="0" w:space="0" w:color="auto"/>
        <w:bottom w:val="none" w:sz="0" w:space="0" w:color="auto"/>
        <w:right w:val="none" w:sz="0" w:space="0" w:color="auto"/>
      </w:divBdr>
    </w:div>
    <w:div w:id="295720279">
      <w:bodyDiv w:val="1"/>
      <w:marLeft w:val="0"/>
      <w:marRight w:val="0"/>
      <w:marTop w:val="0"/>
      <w:marBottom w:val="0"/>
      <w:divBdr>
        <w:top w:val="none" w:sz="0" w:space="0" w:color="auto"/>
        <w:left w:val="none" w:sz="0" w:space="0" w:color="auto"/>
        <w:bottom w:val="none" w:sz="0" w:space="0" w:color="auto"/>
        <w:right w:val="none" w:sz="0" w:space="0" w:color="auto"/>
      </w:divBdr>
    </w:div>
    <w:div w:id="295914263">
      <w:bodyDiv w:val="1"/>
      <w:marLeft w:val="0"/>
      <w:marRight w:val="0"/>
      <w:marTop w:val="0"/>
      <w:marBottom w:val="0"/>
      <w:divBdr>
        <w:top w:val="none" w:sz="0" w:space="0" w:color="auto"/>
        <w:left w:val="none" w:sz="0" w:space="0" w:color="auto"/>
        <w:bottom w:val="none" w:sz="0" w:space="0" w:color="auto"/>
        <w:right w:val="none" w:sz="0" w:space="0" w:color="auto"/>
      </w:divBdr>
    </w:div>
    <w:div w:id="295985429">
      <w:bodyDiv w:val="1"/>
      <w:marLeft w:val="0"/>
      <w:marRight w:val="0"/>
      <w:marTop w:val="0"/>
      <w:marBottom w:val="0"/>
      <w:divBdr>
        <w:top w:val="none" w:sz="0" w:space="0" w:color="auto"/>
        <w:left w:val="none" w:sz="0" w:space="0" w:color="auto"/>
        <w:bottom w:val="none" w:sz="0" w:space="0" w:color="auto"/>
        <w:right w:val="none" w:sz="0" w:space="0" w:color="auto"/>
      </w:divBdr>
    </w:div>
    <w:div w:id="296112036">
      <w:bodyDiv w:val="1"/>
      <w:marLeft w:val="0"/>
      <w:marRight w:val="0"/>
      <w:marTop w:val="0"/>
      <w:marBottom w:val="0"/>
      <w:divBdr>
        <w:top w:val="none" w:sz="0" w:space="0" w:color="auto"/>
        <w:left w:val="none" w:sz="0" w:space="0" w:color="auto"/>
        <w:bottom w:val="none" w:sz="0" w:space="0" w:color="auto"/>
        <w:right w:val="none" w:sz="0" w:space="0" w:color="auto"/>
      </w:divBdr>
    </w:div>
    <w:div w:id="296303098">
      <w:bodyDiv w:val="1"/>
      <w:marLeft w:val="0"/>
      <w:marRight w:val="0"/>
      <w:marTop w:val="0"/>
      <w:marBottom w:val="0"/>
      <w:divBdr>
        <w:top w:val="none" w:sz="0" w:space="0" w:color="auto"/>
        <w:left w:val="none" w:sz="0" w:space="0" w:color="auto"/>
        <w:bottom w:val="none" w:sz="0" w:space="0" w:color="auto"/>
        <w:right w:val="none" w:sz="0" w:space="0" w:color="auto"/>
      </w:divBdr>
    </w:div>
    <w:div w:id="296376459">
      <w:bodyDiv w:val="1"/>
      <w:marLeft w:val="0"/>
      <w:marRight w:val="0"/>
      <w:marTop w:val="0"/>
      <w:marBottom w:val="0"/>
      <w:divBdr>
        <w:top w:val="none" w:sz="0" w:space="0" w:color="auto"/>
        <w:left w:val="none" w:sz="0" w:space="0" w:color="auto"/>
        <w:bottom w:val="none" w:sz="0" w:space="0" w:color="auto"/>
        <w:right w:val="none" w:sz="0" w:space="0" w:color="auto"/>
      </w:divBdr>
    </w:div>
    <w:div w:id="297415189">
      <w:bodyDiv w:val="1"/>
      <w:marLeft w:val="0"/>
      <w:marRight w:val="0"/>
      <w:marTop w:val="0"/>
      <w:marBottom w:val="0"/>
      <w:divBdr>
        <w:top w:val="none" w:sz="0" w:space="0" w:color="auto"/>
        <w:left w:val="none" w:sz="0" w:space="0" w:color="auto"/>
        <w:bottom w:val="none" w:sz="0" w:space="0" w:color="auto"/>
        <w:right w:val="none" w:sz="0" w:space="0" w:color="auto"/>
      </w:divBdr>
    </w:div>
    <w:div w:id="297418919">
      <w:bodyDiv w:val="1"/>
      <w:marLeft w:val="0"/>
      <w:marRight w:val="0"/>
      <w:marTop w:val="0"/>
      <w:marBottom w:val="0"/>
      <w:divBdr>
        <w:top w:val="none" w:sz="0" w:space="0" w:color="auto"/>
        <w:left w:val="none" w:sz="0" w:space="0" w:color="auto"/>
        <w:bottom w:val="none" w:sz="0" w:space="0" w:color="auto"/>
        <w:right w:val="none" w:sz="0" w:space="0" w:color="auto"/>
      </w:divBdr>
    </w:div>
    <w:div w:id="297957562">
      <w:bodyDiv w:val="1"/>
      <w:marLeft w:val="0"/>
      <w:marRight w:val="0"/>
      <w:marTop w:val="0"/>
      <w:marBottom w:val="0"/>
      <w:divBdr>
        <w:top w:val="none" w:sz="0" w:space="0" w:color="auto"/>
        <w:left w:val="none" w:sz="0" w:space="0" w:color="auto"/>
        <w:bottom w:val="none" w:sz="0" w:space="0" w:color="auto"/>
        <w:right w:val="none" w:sz="0" w:space="0" w:color="auto"/>
      </w:divBdr>
    </w:div>
    <w:div w:id="299461248">
      <w:bodyDiv w:val="1"/>
      <w:marLeft w:val="0"/>
      <w:marRight w:val="0"/>
      <w:marTop w:val="0"/>
      <w:marBottom w:val="0"/>
      <w:divBdr>
        <w:top w:val="none" w:sz="0" w:space="0" w:color="auto"/>
        <w:left w:val="none" w:sz="0" w:space="0" w:color="auto"/>
        <w:bottom w:val="none" w:sz="0" w:space="0" w:color="auto"/>
        <w:right w:val="none" w:sz="0" w:space="0" w:color="auto"/>
      </w:divBdr>
    </w:div>
    <w:div w:id="299463139">
      <w:bodyDiv w:val="1"/>
      <w:marLeft w:val="0"/>
      <w:marRight w:val="0"/>
      <w:marTop w:val="0"/>
      <w:marBottom w:val="0"/>
      <w:divBdr>
        <w:top w:val="none" w:sz="0" w:space="0" w:color="auto"/>
        <w:left w:val="none" w:sz="0" w:space="0" w:color="auto"/>
        <w:bottom w:val="none" w:sz="0" w:space="0" w:color="auto"/>
        <w:right w:val="none" w:sz="0" w:space="0" w:color="auto"/>
      </w:divBdr>
    </w:div>
    <w:div w:id="299532023">
      <w:bodyDiv w:val="1"/>
      <w:marLeft w:val="0"/>
      <w:marRight w:val="0"/>
      <w:marTop w:val="0"/>
      <w:marBottom w:val="0"/>
      <w:divBdr>
        <w:top w:val="none" w:sz="0" w:space="0" w:color="auto"/>
        <w:left w:val="none" w:sz="0" w:space="0" w:color="auto"/>
        <w:bottom w:val="none" w:sz="0" w:space="0" w:color="auto"/>
        <w:right w:val="none" w:sz="0" w:space="0" w:color="auto"/>
      </w:divBdr>
    </w:div>
    <w:div w:id="299698816">
      <w:bodyDiv w:val="1"/>
      <w:marLeft w:val="0"/>
      <w:marRight w:val="0"/>
      <w:marTop w:val="0"/>
      <w:marBottom w:val="0"/>
      <w:divBdr>
        <w:top w:val="none" w:sz="0" w:space="0" w:color="auto"/>
        <w:left w:val="none" w:sz="0" w:space="0" w:color="auto"/>
        <w:bottom w:val="none" w:sz="0" w:space="0" w:color="auto"/>
        <w:right w:val="none" w:sz="0" w:space="0" w:color="auto"/>
      </w:divBdr>
    </w:div>
    <w:div w:id="300042779">
      <w:bodyDiv w:val="1"/>
      <w:marLeft w:val="0"/>
      <w:marRight w:val="0"/>
      <w:marTop w:val="0"/>
      <w:marBottom w:val="0"/>
      <w:divBdr>
        <w:top w:val="none" w:sz="0" w:space="0" w:color="auto"/>
        <w:left w:val="none" w:sz="0" w:space="0" w:color="auto"/>
        <w:bottom w:val="none" w:sz="0" w:space="0" w:color="auto"/>
        <w:right w:val="none" w:sz="0" w:space="0" w:color="auto"/>
      </w:divBdr>
    </w:div>
    <w:div w:id="300426815">
      <w:bodyDiv w:val="1"/>
      <w:marLeft w:val="0"/>
      <w:marRight w:val="0"/>
      <w:marTop w:val="0"/>
      <w:marBottom w:val="0"/>
      <w:divBdr>
        <w:top w:val="none" w:sz="0" w:space="0" w:color="auto"/>
        <w:left w:val="none" w:sz="0" w:space="0" w:color="auto"/>
        <w:bottom w:val="none" w:sz="0" w:space="0" w:color="auto"/>
        <w:right w:val="none" w:sz="0" w:space="0" w:color="auto"/>
      </w:divBdr>
    </w:div>
    <w:div w:id="301817249">
      <w:bodyDiv w:val="1"/>
      <w:marLeft w:val="0"/>
      <w:marRight w:val="0"/>
      <w:marTop w:val="0"/>
      <w:marBottom w:val="0"/>
      <w:divBdr>
        <w:top w:val="none" w:sz="0" w:space="0" w:color="auto"/>
        <w:left w:val="none" w:sz="0" w:space="0" w:color="auto"/>
        <w:bottom w:val="none" w:sz="0" w:space="0" w:color="auto"/>
        <w:right w:val="none" w:sz="0" w:space="0" w:color="auto"/>
      </w:divBdr>
    </w:div>
    <w:div w:id="301932677">
      <w:bodyDiv w:val="1"/>
      <w:marLeft w:val="0"/>
      <w:marRight w:val="0"/>
      <w:marTop w:val="0"/>
      <w:marBottom w:val="0"/>
      <w:divBdr>
        <w:top w:val="none" w:sz="0" w:space="0" w:color="auto"/>
        <w:left w:val="none" w:sz="0" w:space="0" w:color="auto"/>
        <w:bottom w:val="none" w:sz="0" w:space="0" w:color="auto"/>
        <w:right w:val="none" w:sz="0" w:space="0" w:color="auto"/>
      </w:divBdr>
    </w:div>
    <w:div w:id="302396878">
      <w:bodyDiv w:val="1"/>
      <w:marLeft w:val="0"/>
      <w:marRight w:val="0"/>
      <w:marTop w:val="0"/>
      <w:marBottom w:val="0"/>
      <w:divBdr>
        <w:top w:val="none" w:sz="0" w:space="0" w:color="auto"/>
        <w:left w:val="none" w:sz="0" w:space="0" w:color="auto"/>
        <w:bottom w:val="none" w:sz="0" w:space="0" w:color="auto"/>
        <w:right w:val="none" w:sz="0" w:space="0" w:color="auto"/>
      </w:divBdr>
    </w:div>
    <w:div w:id="302581287">
      <w:bodyDiv w:val="1"/>
      <w:marLeft w:val="0"/>
      <w:marRight w:val="0"/>
      <w:marTop w:val="0"/>
      <w:marBottom w:val="0"/>
      <w:divBdr>
        <w:top w:val="none" w:sz="0" w:space="0" w:color="auto"/>
        <w:left w:val="none" w:sz="0" w:space="0" w:color="auto"/>
        <w:bottom w:val="none" w:sz="0" w:space="0" w:color="auto"/>
        <w:right w:val="none" w:sz="0" w:space="0" w:color="auto"/>
      </w:divBdr>
    </w:div>
    <w:div w:id="303852589">
      <w:bodyDiv w:val="1"/>
      <w:marLeft w:val="0"/>
      <w:marRight w:val="0"/>
      <w:marTop w:val="0"/>
      <w:marBottom w:val="0"/>
      <w:divBdr>
        <w:top w:val="none" w:sz="0" w:space="0" w:color="auto"/>
        <w:left w:val="none" w:sz="0" w:space="0" w:color="auto"/>
        <w:bottom w:val="none" w:sz="0" w:space="0" w:color="auto"/>
        <w:right w:val="none" w:sz="0" w:space="0" w:color="auto"/>
      </w:divBdr>
    </w:div>
    <w:div w:id="303853261">
      <w:bodyDiv w:val="1"/>
      <w:marLeft w:val="0"/>
      <w:marRight w:val="0"/>
      <w:marTop w:val="0"/>
      <w:marBottom w:val="0"/>
      <w:divBdr>
        <w:top w:val="none" w:sz="0" w:space="0" w:color="auto"/>
        <w:left w:val="none" w:sz="0" w:space="0" w:color="auto"/>
        <w:bottom w:val="none" w:sz="0" w:space="0" w:color="auto"/>
        <w:right w:val="none" w:sz="0" w:space="0" w:color="auto"/>
      </w:divBdr>
    </w:div>
    <w:div w:id="304051274">
      <w:bodyDiv w:val="1"/>
      <w:marLeft w:val="0"/>
      <w:marRight w:val="0"/>
      <w:marTop w:val="0"/>
      <w:marBottom w:val="0"/>
      <w:divBdr>
        <w:top w:val="none" w:sz="0" w:space="0" w:color="auto"/>
        <w:left w:val="none" w:sz="0" w:space="0" w:color="auto"/>
        <w:bottom w:val="none" w:sz="0" w:space="0" w:color="auto"/>
        <w:right w:val="none" w:sz="0" w:space="0" w:color="auto"/>
      </w:divBdr>
    </w:div>
    <w:div w:id="304243291">
      <w:bodyDiv w:val="1"/>
      <w:marLeft w:val="0"/>
      <w:marRight w:val="0"/>
      <w:marTop w:val="0"/>
      <w:marBottom w:val="0"/>
      <w:divBdr>
        <w:top w:val="none" w:sz="0" w:space="0" w:color="auto"/>
        <w:left w:val="none" w:sz="0" w:space="0" w:color="auto"/>
        <w:bottom w:val="none" w:sz="0" w:space="0" w:color="auto"/>
        <w:right w:val="none" w:sz="0" w:space="0" w:color="auto"/>
      </w:divBdr>
    </w:div>
    <w:div w:id="304892000">
      <w:bodyDiv w:val="1"/>
      <w:marLeft w:val="0"/>
      <w:marRight w:val="0"/>
      <w:marTop w:val="0"/>
      <w:marBottom w:val="0"/>
      <w:divBdr>
        <w:top w:val="none" w:sz="0" w:space="0" w:color="auto"/>
        <w:left w:val="none" w:sz="0" w:space="0" w:color="auto"/>
        <w:bottom w:val="none" w:sz="0" w:space="0" w:color="auto"/>
        <w:right w:val="none" w:sz="0" w:space="0" w:color="auto"/>
      </w:divBdr>
    </w:div>
    <w:div w:id="305283724">
      <w:bodyDiv w:val="1"/>
      <w:marLeft w:val="0"/>
      <w:marRight w:val="0"/>
      <w:marTop w:val="0"/>
      <w:marBottom w:val="0"/>
      <w:divBdr>
        <w:top w:val="none" w:sz="0" w:space="0" w:color="auto"/>
        <w:left w:val="none" w:sz="0" w:space="0" w:color="auto"/>
        <w:bottom w:val="none" w:sz="0" w:space="0" w:color="auto"/>
        <w:right w:val="none" w:sz="0" w:space="0" w:color="auto"/>
      </w:divBdr>
    </w:div>
    <w:div w:id="305399594">
      <w:bodyDiv w:val="1"/>
      <w:marLeft w:val="0"/>
      <w:marRight w:val="0"/>
      <w:marTop w:val="0"/>
      <w:marBottom w:val="0"/>
      <w:divBdr>
        <w:top w:val="none" w:sz="0" w:space="0" w:color="auto"/>
        <w:left w:val="none" w:sz="0" w:space="0" w:color="auto"/>
        <w:bottom w:val="none" w:sz="0" w:space="0" w:color="auto"/>
        <w:right w:val="none" w:sz="0" w:space="0" w:color="auto"/>
      </w:divBdr>
    </w:div>
    <w:div w:id="305474115">
      <w:bodyDiv w:val="1"/>
      <w:marLeft w:val="0"/>
      <w:marRight w:val="0"/>
      <w:marTop w:val="0"/>
      <w:marBottom w:val="0"/>
      <w:divBdr>
        <w:top w:val="none" w:sz="0" w:space="0" w:color="auto"/>
        <w:left w:val="none" w:sz="0" w:space="0" w:color="auto"/>
        <w:bottom w:val="none" w:sz="0" w:space="0" w:color="auto"/>
        <w:right w:val="none" w:sz="0" w:space="0" w:color="auto"/>
      </w:divBdr>
    </w:div>
    <w:div w:id="306280596">
      <w:bodyDiv w:val="1"/>
      <w:marLeft w:val="0"/>
      <w:marRight w:val="0"/>
      <w:marTop w:val="0"/>
      <w:marBottom w:val="0"/>
      <w:divBdr>
        <w:top w:val="none" w:sz="0" w:space="0" w:color="auto"/>
        <w:left w:val="none" w:sz="0" w:space="0" w:color="auto"/>
        <w:bottom w:val="none" w:sz="0" w:space="0" w:color="auto"/>
        <w:right w:val="none" w:sz="0" w:space="0" w:color="auto"/>
      </w:divBdr>
    </w:div>
    <w:div w:id="306520398">
      <w:bodyDiv w:val="1"/>
      <w:marLeft w:val="0"/>
      <w:marRight w:val="0"/>
      <w:marTop w:val="0"/>
      <w:marBottom w:val="0"/>
      <w:divBdr>
        <w:top w:val="none" w:sz="0" w:space="0" w:color="auto"/>
        <w:left w:val="none" w:sz="0" w:space="0" w:color="auto"/>
        <w:bottom w:val="none" w:sz="0" w:space="0" w:color="auto"/>
        <w:right w:val="none" w:sz="0" w:space="0" w:color="auto"/>
      </w:divBdr>
    </w:div>
    <w:div w:id="306713841">
      <w:bodyDiv w:val="1"/>
      <w:marLeft w:val="0"/>
      <w:marRight w:val="0"/>
      <w:marTop w:val="0"/>
      <w:marBottom w:val="0"/>
      <w:divBdr>
        <w:top w:val="none" w:sz="0" w:space="0" w:color="auto"/>
        <w:left w:val="none" w:sz="0" w:space="0" w:color="auto"/>
        <w:bottom w:val="none" w:sz="0" w:space="0" w:color="auto"/>
        <w:right w:val="none" w:sz="0" w:space="0" w:color="auto"/>
      </w:divBdr>
    </w:div>
    <w:div w:id="306905893">
      <w:bodyDiv w:val="1"/>
      <w:marLeft w:val="0"/>
      <w:marRight w:val="0"/>
      <w:marTop w:val="0"/>
      <w:marBottom w:val="0"/>
      <w:divBdr>
        <w:top w:val="none" w:sz="0" w:space="0" w:color="auto"/>
        <w:left w:val="none" w:sz="0" w:space="0" w:color="auto"/>
        <w:bottom w:val="none" w:sz="0" w:space="0" w:color="auto"/>
        <w:right w:val="none" w:sz="0" w:space="0" w:color="auto"/>
      </w:divBdr>
    </w:div>
    <w:div w:id="307829800">
      <w:bodyDiv w:val="1"/>
      <w:marLeft w:val="0"/>
      <w:marRight w:val="0"/>
      <w:marTop w:val="0"/>
      <w:marBottom w:val="0"/>
      <w:divBdr>
        <w:top w:val="none" w:sz="0" w:space="0" w:color="auto"/>
        <w:left w:val="none" w:sz="0" w:space="0" w:color="auto"/>
        <w:bottom w:val="none" w:sz="0" w:space="0" w:color="auto"/>
        <w:right w:val="none" w:sz="0" w:space="0" w:color="auto"/>
      </w:divBdr>
    </w:div>
    <w:div w:id="307976945">
      <w:bodyDiv w:val="1"/>
      <w:marLeft w:val="0"/>
      <w:marRight w:val="0"/>
      <w:marTop w:val="0"/>
      <w:marBottom w:val="0"/>
      <w:divBdr>
        <w:top w:val="none" w:sz="0" w:space="0" w:color="auto"/>
        <w:left w:val="none" w:sz="0" w:space="0" w:color="auto"/>
        <w:bottom w:val="none" w:sz="0" w:space="0" w:color="auto"/>
        <w:right w:val="none" w:sz="0" w:space="0" w:color="auto"/>
      </w:divBdr>
    </w:div>
    <w:div w:id="308022788">
      <w:bodyDiv w:val="1"/>
      <w:marLeft w:val="0"/>
      <w:marRight w:val="0"/>
      <w:marTop w:val="0"/>
      <w:marBottom w:val="0"/>
      <w:divBdr>
        <w:top w:val="none" w:sz="0" w:space="0" w:color="auto"/>
        <w:left w:val="none" w:sz="0" w:space="0" w:color="auto"/>
        <w:bottom w:val="none" w:sz="0" w:space="0" w:color="auto"/>
        <w:right w:val="none" w:sz="0" w:space="0" w:color="auto"/>
      </w:divBdr>
    </w:div>
    <w:div w:id="308558966">
      <w:bodyDiv w:val="1"/>
      <w:marLeft w:val="0"/>
      <w:marRight w:val="0"/>
      <w:marTop w:val="0"/>
      <w:marBottom w:val="0"/>
      <w:divBdr>
        <w:top w:val="none" w:sz="0" w:space="0" w:color="auto"/>
        <w:left w:val="none" w:sz="0" w:space="0" w:color="auto"/>
        <w:bottom w:val="none" w:sz="0" w:space="0" w:color="auto"/>
        <w:right w:val="none" w:sz="0" w:space="0" w:color="auto"/>
      </w:divBdr>
    </w:div>
    <w:div w:id="308897529">
      <w:bodyDiv w:val="1"/>
      <w:marLeft w:val="0"/>
      <w:marRight w:val="0"/>
      <w:marTop w:val="0"/>
      <w:marBottom w:val="0"/>
      <w:divBdr>
        <w:top w:val="none" w:sz="0" w:space="0" w:color="auto"/>
        <w:left w:val="none" w:sz="0" w:space="0" w:color="auto"/>
        <w:bottom w:val="none" w:sz="0" w:space="0" w:color="auto"/>
        <w:right w:val="none" w:sz="0" w:space="0" w:color="auto"/>
      </w:divBdr>
    </w:div>
    <w:div w:id="309361595">
      <w:bodyDiv w:val="1"/>
      <w:marLeft w:val="0"/>
      <w:marRight w:val="0"/>
      <w:marTop w:val="0"/>
      <w:marBottom w:val="0"/>
      <w:divBdr>
        <w:top w:val="none" w:sz="0" w:space="0" w:color="auto"/>
        <w:left w:val="none" w:sz="0" w:space="0" w:color="auto"/>
        <w:bottom w:val="none" w:sz="0" w:space="0" w:color="auto"/>
        <w:right w:val="none" w:sz="0" w:space="0" w:color="auto"/>
      </w:divBdr>
    </w:div>
    <w:div w:id="310646392">
      <w:bodyDiv w:val="1"/>
      <w:marLeft w:val="0"/>
      <w:marRight w:val="0"/>
      <w:marTop w:val="0"/>
      <w:marBottom w:val="0"/>
      <w:divBdr>
        <w:top w:val="none" w:sz="0" w:space="0" w:color="auto"/>
        <w:left w:val="none" w:sz="0" w:space="0" w:color="auto"/>
        <w:bottom w:val="none" w:sz="0" w:space="0" w:color="auto"/>
        <w:right w:val="none" w:sz="0" w:space="0" w:color="auto"/>
      </w:divBdr>
    </w:div>
    <w:div w:id="310988313">
      <w:bodyDiv w:val="1"/>
      <w:marLeft w:val="0"/>
      <w:marRight w:val="0"/>
      <w:marTop w:val="0"/>
      <w:marBottom w:val="0"/>
      <w:divBdr>
        <w:top w:val="none" w:sz="0" w:space="0" w:color="auto"/>
        <w:left w:val="none" w:sz="0" w:space="0" w:color="auto"/>
        <w:bottom w:val="none" w:sz="0" w:space="0" w:color="auto"/>
        <w:right w:val="none" w:sz="0" w:space="0" w:color="auto"/>
      </w:divBdr>
    </w:div>
    <w:div w:id="312030059">
      <w:bodyDiv w:val="1"/>
      <w:marLeft w:val="0"/>
      <w:marRight w:val="0"/>
      <w:marTop w:val="0"/>
      <w:marBottom w:val="0"/>
      <w:divBdr>
        <w:top w:val="none" w:sz="0" w:space="0" w:color="auto"/>
        <w:left w:val="none" w:sz="0" w:space="0" w:color="auto"/>
        <w:bottom w:val="none" w:sz="0" w:space="0" w:color="auto"/>
        <w:right w:val="none" w:sz="0" w:space="0" w:color="auto"/>
      </w:divBdr>
      <w:divsChild>
        <w:div w:id="380859483">
          <w:marLeft w:val="0"/>
          <w:marRight w:val="0"/>
          <w:marTop w:val="0"/>
          <w:marBottom w:val="0"/>
          <w:divBdr>
            <w:top w:val="none" w:sz="0" w:space="0" w:color="auto"/>
            <w:left w:val="none" w:sz="0" w:space="0" w:color="auto"/>
            <w:bottom w:val="none" w:sz="0" w:space="0" w:color="auto"/>
            <w:right w:val="none" w:sz="0" w:space="0" w:color="auto"/>
          </w:divBdr>
        </w:div>
        <w:div w:id="532349072">
          <w:marLeft w:val="0"/>
          <w:marRight w:val="0"/>
          <w:marTop w:val="0"/>
          <w:marBottom w:val="0"/>
          <w:divBdr>
            <w:top w:val="none" w:sz="0" w:space="0" w:color="auto"/>
            <w:left w:val="none" w:sz="0" w:space="0" w:color="auto"/>
            <w:bottom w:val="none" w:sz="0" w:space="0" w:color="auto"/>
            <w:right w:val="none" w:sz="0" w:space="0" w:color="auto"/>
          </w:divBdr>
        </w:div>
        <w:div w:id="991370489">
          <w:marLeft w:val="0"/>
          <w:marRight w:val="0"/>
          <w:marTop w:val="0"/>
          <w:marBottom w:val="0"/>
          <w:divBdr>
            <w:top w:val="none" w:sz="0" w:space="0" w:color="auto"/>
            <w:left w:val="none" w:sz="0" w:space="0" w:color="auto"/>
            <w:bottom w:val="none" w:sz="0" w:space="0" w:color="auto"/>
            <w:right w:val="none" w:sz="0" w:space="0" w:color="auto"/>
          </w:divBdr>
        </w:div>
        <w:div w:id="995962603">
          <w:marLeft w:val="0"/>
          <w:marRight w:val="0"/>
          <w:marTop w:val="0"/>
          <w:marBottom w:val="0"/>
          <w:divBdr>
            <w:top w:val="none" w:sz="0" w:space="0" w:color="auto"/>
            <w:left w:val="none" w:sz="0" w:space="0" w:color="auto"/>
            <w:bottom w:val="none" w:sz="0" w:space="0" w:color="auto"/>
            <w:right w:val="none" w:sz="0" w:space="0" w:color="auto"/>
          </w:divBdr>
        </w:div>
        <w:div w:id="1289387085">
          <w:marLeft w:val="0"/>
          <w:marRight w:val="0"/>
          <w:marTop w:val="0"/>
          <w:marBottom w:val="0"/>
          <w:divBdr>
            <w:top w:val="none" w:sz="0" w:space="0" w:color="auto"/>
            <w:left w:val="none" w:sz="0" w:space="0" w:color="auto"/>
            <w:bottom w:val="none" w:sz="0" w:space="0" w:color="auto"/>
            <w:right w:val="none" w:sz="0" w:space="0" w:color="auto"/>
          </w:divBdr>
        </w:div>
        <w:div w:id="1312901308">
          <w:marLeft w:val="0"/>
          <w:marRight w:val="0"/>
          <w:marTop w:val="0"/>
          <w:marBottom w:val="0"/>
          <w:divBdr>
            <w:top w:val="none" w:sz="0" w:space="0" w:color="auto"/>
            <w:left w:val="none" w:sz="0" w:space="0" w:color="auto"/>
            <w:bottom w:val="none" w:sz="0" w:space="0" w:color="auto"/>
            <w:right w:val="none" w:sz="0" w:space="0" w:color="auto"/>
          </w:divBdr>
        </w:div>
        <w:div w:id="1598828143">
          <w:marLeft w:val="0"/>
          <w:marRight w:val="0"/>
          <w:marTop w:val="0"/>
          <w:marBottom w:val="0"/>
          <w:divBdr>
            <w:top w:val="none" w:sz="0" w:space="0" w:color="auto"/>
            <w:left w:val="none" w:sz="0" w:space="0" w:color="auto"/>
            <w:bottom w:val="none" w:sz="0" w:space="0" w:color="auto"/>
            <w:right w:val="none" w:sz="0" w:space="0" w:color="auto"/>
          </w:divBdr>
        </w:div>
        <w:div w:id="1758481376">
          <w:marLeft w:val="0"/>
          <w:marRight w:val="0"/>
          <w:marTop w:val="0"/>
          <w:marBottom w:val="0"/>
          <w:divBdr>
            <w:top w:val="none" w:sz="0" w:space="0" w:color="auto"/>
            <w:left w:val="none" w:sz="0" w:space="0" w:color="auto"/>
            <w:bottom w:val="none" w:sz="0" w:space="0" w:color="auto"/>
            <w:right w:val="none" w:sz="0" w:space="0" w:color="auto"/>
          </w:divBdr>
        </w:div>
        <w:div w:id="1874074778">
          <w:marLeft w:val="0"/>
          <w:marRight w:val="0"/>
          <w:marTop w:val="0"/>
          <w:marBottom w:val="0"/>
          <w:divBdr>
            <w:top w:val="none" w:sz="0" w:space="0" w:color="auto"/>
            <w:left w:val="none" w:sz="0" w:space="0" w:color="auto"/>
            <w:bottom w:val="none" w:sz="0" w:space="0" w:color="auto"/>
            <w:right w:val="none" w:sz="0" w:space="0" w:color="auto"/>
          </w:divBdr>
        </w:div>
        <w:div w:id="1911960367">
          <w:marLeft w:val="0"/>
          <w:marRight w:val="0"/>
          <w:marTop w:val="0"/>
          <w:marBottom w:val="0"/>
          <w:divBdr>
            <w:top w:val="none" w:sz="0" w:space="0" w:color="auto"/>
            <w:left w:val="none" w:sz="0" w:space="0" w:color="auto"/>
            <w:bottom w:val="none" w:sz="0" w:space="0" w:color="auto"/>
            <w:right w:val="none" w:sz="0" w:space="0" w:color="auto"/>
          </w:divBdr>
        </w:div>
      </w:divsChild>
    </w:div>
    <w:div w:id="312216946">
      <w:bodyDiv w:val="1"/>
      <w:marLeft w:val="0"/>
      <w:marRight w:val="0"/>
      <w:marTop w:val="0"/>
      <w:marBottom w:val="0"/>
      <w:divBdr>
        <w:top w:val="none" w:sz="0" w:space="0" w:color="auto"/>
        <w:left w:val="none" w:sz="0" w:space="0" w:color="auto"/>
        <w:bottom w:val="none" w:sz="0" w:space="0" w:color="auto"/>
        <w:right w:val="none" w:sz="0" w:space="0" w:color="auto"/>
      </w:divBdr>
    </w:div>
    <w:div w:id="313416722">
      <w:bodyDiv w:val="1"/>
      <w:marLeft w:val="0"/>
      <w:marRight w:val="0"/>
      <w:marTop w:val="0"/>
      <w:marBottom w:val="0"/>
      <w:divBdr>
        <w:top w:val="none" w:sz="0" w:space="0" w:color="auto"/>
        <w:left w:val="none" w:sz="0" w:space="0" w:color="auto"/>
        <w:bottom w:val="none" w:sz="0" w:space="0" w:color="auto"/>
        <w:right w:val="none" w:sz="0" w:space="0" w:color="auto"/>
      </w:divBdr>
    </w:div>
    <w:div w:id="314575486">
      <w:bodyDiv w:val="1"/>
      <w:marLeft w:val="0"/>
      <w:marRight w:val="0"/>
      <w:marTop w:val="0"/>
      <w:marBottom w:val="0"/>
      <w:divBdr>
        <w:top w:val="none" w:sz="0" w:space="0" w:color="auto"/>
        <w:left w:val="none" w:sz="0" w:space="0" w:color="auto"/>
        <w:bottom w:val="none" w:sz="0" w:space="0" w:color="auto"/>
        <w:right w:val="none" w:sz="0" w:space="0" w:color="auto"/>
      </w:divBdr>
    </w:div>
    <w:div w:id="315035897">
      <w:bodyDiv w:val="1"/>
      <w:marLeft w:val="0"/>
      <w:marRight w:val="0"/>
      <w:marTop w:val="0"/>
      <w:marBottom w:val="0"/>
      <w:divBdr>
        <w:top w:val="none" w:sz="0" w:space="0" w:color="auto"/>
        <w:left w:val="none" w:sz="0" w:space="0" w:color="auto"/>
        <w:bottom w:val="none" w:sz="0" w:space="0" w:color="auto"/>
        <w:right w:val="none" w:sz="0" w:space="0" w:color="auto"/>
      </w:divBdr>
    </w:div>
    <w:div w:id="315914085">
      <w:bodyDiv w:val="1"/>
      <w:marLeft w:val="0"/>
      <w:marRight w:val="0"/>
      <w:marTop w:val="0"/>
      <w:marBottom w:val="0"/>
      <w:divBdr>
        <w:top w:val="none" w:sz="0" w:space="0" w:color="auto"/>
        <w:left w:val="none" w:sz="0" w:space="0" w:color="auto"/>
        <w:bottom w:val="none" w:sz="0" w:space="0" w:color="auto"/>
        <w:right w:val="none" w:sz="0" w:space="0" w:color="auto"/>
      </w:divBdr>
    </w:div>
    <w:div w:id="316300889">
      <w:bodyDiv w:val="1"/>
      <w:marLeft w:val="0"/>
      <w:marRight w:val="0"/>
      <w:marTop w:val="0"/>
      <w:marBottom w:val="0"/>
      <w:divBdr>
        <w:top w:val="none" w:sz="0" w:space="0" w:color="auto"/>
        <w:left w:val="none" w:sz="0" w:space="0" w:color="auto"/>
        <w:bottom w:val="none" w:sz="0" w:space="0" w:color="auto"/>
        <w:right w:val="none" w:sz="0" w:space="0" w:color="auto"/>
      </w:divBdr>
    </w:div>
    <w:div w:id="316420210">
      <w:bodyDiv w:val="1"/>
      <w:marLeft w:val="0"/>
      <w:marRight w:val="0"/>
      <w:marTop w:val="0"/>
      <w:marBottom w:val="0"/>
      <w:divBdr>
        <w:top w:val="none" w:sz="0" w:space="0" w:color="auto"/>
        <w:left w:val="none" w:sz="0" w:space="0" w:color="auto"/>
        <w:bottom w:val="none" w:sz="0" w:space="0" w:color="auto"/>
        <w:right w:val="none" w:sz="0" w:space="0" w:color="auto"/>
      </w:divBdr>
    </w:div>
    <w:div w:id="316426397">
      <w:bodyDiv w:val="1"/>
      <w:marLeft w:val="0"/>
      <w:marRight w:val="0"/>
      <w:marTop w:val="0"/>
      <w:marBottom w:val="0"/>
      <w:divBdr>
        <w:top w:val="none" w:sz="0" w:space="0" w:color="auto"/>
        <w:left w:val="none" w:sz="0" w:space="0" w:color="auto"/>
        <w:bottom w:val="none" w:sz="0" w:space="0" w:color="auto"/>
        <w:right w:val="none" w:sz="0" w:space="0" w:color="auto"/>
      </w:divBdr>
    </w:div>
    <w:div w:id="317266775">
      <w:bodyDiv w:val="1"/>
      <w:marLeft w:val="0"/>
      <w:marRight w:val="0"/>
      <w:marTop w:val="0"/>
      <w:marBottom w:val="0"/>
      <w:divBdr>
        <w:top w:val="none" w:sz="0" w:space="0" w:color="auto"/>
        <w:left w:val="none" w:sz="0" w:space="0" w:color="auto"/>
        <w:bottom w:val="none" w:sz="0" w:space="0" w:color="auto"/>
        <w:right w:val="none" w:sz="0" w:space="0" w:color="auto"/>
      </w:divBdr>
    </w:div>
    <w:div w:id="317344451">
      <w:bodyDiv w:val="1"/>
      <w:marLeft w:val="0"/>
      <w:marRight w:val="0"/>
      <w:marTop w:val="0"/>
      <w:marBottom w:val="0"/>
      <w:divBdr>
        <w:top w:val="none" w:sz="0" w:space="0" w:color="auto"/>
        <w:left w:val="none" w:sz="0" w:space="0" w:color="auto"/>
        <w:bottom w:val="none" w:sz="0" w:space="0" w:color="auto"/>
        <w:right w:val="none" w:sz="0" w:space="0" w:color="auto"/>
      </w:divBdr>
    </w:div>
    <w:div w:id="318267181">
      <w:bodyDiv w:val="1"/>
      <w:marLeft w:val="0"/>
      <w:marRight w:val="0"/>
      <w:marTop w:val="0"/>
      <w:marBottom w:val="0"/>
      <w:divBdr>
        <w:top w:val="none" w:sz="0" w:space="0" w:color="auto"/>
        <w:left w:val="none" w:sz="0" w:space="0" w:color="auto"/>
        <w:bottom w:val="none" w:sz="0" w:space="0" w:color="auto"/>
        <w:right w:val="none" w:sz="0" w:space="0" w:color="auto"/>
      </w:divBdr>
    </w:div>
    <w:div w:id="318267508">
      <w:bodyDiv w:val="1"/>
      <w:marLeft w:val="0"/>
      <w:marRight w:val="0"/>
      <w:marTop w:val="0"/>
      <w:marBottom w:val="0"/>
      <w:divBdr>
        <w:top w:val="none" w:sz="0" w:space="0" w:color="auto"/>
        <w:left w:val="none" w:sz="0" w:space="0" w:color="auto"/>
        <w:bottom w:val="none" w:sz="0" w:space="0" w:color="auto"/>
        <w:right w:val="none" w:sz="0" w:space="0" w:color="auto"/>
      </w:divBdr>
    </w:div>
    <w:div w:id="318778901">
      <w:bodyDiv w:val="1"/>
      <w:marLeft w:val="0"/>
      <w:marRight w:val="0"/>
      <w:marTop w:val="0"/>
      <w:marBottom w:val="0"/>
      <w:divBdr>
        <w:top w:val="none" w:sz="0" w:space="0" w:color="auto"/>
        <w:left w:val="none" w:sz="0" w:space="0" w:color="auto"/>
        <w:bottom w:val="none" w:sz="0" w:space="0" w:color="auto"/>
        <w:right w:val="none" w:sz="0" w:space="0" w:color="auto"/>
      </w:divBdr>
    </w:div>
    <w:div w:id="319578319">
      <w:bodyDiv w:val="1"/>
      <w:marLeft w:val="0"/>
      <w:marRight w:val="0"/>
      <w:marTop w:val="0"/>
      <w:marBottom w:val="0"/>
      <w:divBdr>
        <w:top w:val="none" w:sz="0" w:space="0" w:color="auto"/>
        <w:left w:val="none" w:sz="0" w:space="0" w:color="auto"/>
        <w:bottom w:val="none" w:sz="0" w:space="0" w:color="auto"/>
        <w:right w:val="none" w:sz="0" w:space="0" w:color="auto"/>
      </w:divBdr>
    </w:div>
    <w:div w:id="320087066">
      <w:bodyDiv w:val="1"/>
      <w:marLeft w:val="0"/>
      <w:marRight w:val="0"/>
      <w:marTop w:val="0"/>
      <w:marBottom w:val="0"/>
      <w:divBdr>
        <w:top w:val="none" w:sz="0" w:space="0" w:color="auto"/>
        <w:left w:val="none" w:sz="0" w:space="0" w:color="auto"/>
        <w:bottom w:val="none" w:sz="0" w:space="0" w:color="auto"/>
        <w:right w:val="none" w:sz="0" w:space="0" w:color="auto"/>
      </w:divBdr>
    </w:div>
    <w:div w:id="320237369">
      <w:bodyDiv w:val="1"/>
      <w:marLeft w:val="0"/>
      <w:marRight w:val="0"/>
      <w:marTop w:val="0"/>
      <w:marBottom w:val="0"/>
      <w:divBdr>
        <w:top w:val="none" w:sz="0" w:space="0" w:color="auto"/>
        <w:left w:val="none" w:sz="0" w:space="0" w:color="auto"/>
        <w:bottom w:val="none" w:sz="0" w:space="0" w:color="auto"/>
        <w:right w:val="none" w:sz="0" w:space="0" w:color="auto"/>
      </w:divBdr>
    </w:div>
    <w:div w:id="320693061">
      <w:bodyDiv w:val="1"/>
      <w:marLeft w:val="0"/>
      <w:marRight w:val="0"/>
      <w:marTop w:val="0"/>
      <w:marBottom w:val="0"/>
      <w:divBdr>
        <w:top w:val="none" w:sz="0" w:space="0" w:color="auto"/>
        <w:left w:val="none" w:sz="0" w:space="0" w:color="auto"/>
        <w:bottom w:val="none" w:sz="0" w:space="0" w:color="auto"/>
        <w:right w:val="none" w:sz="0" w:space="0" w:color="auto"/>
      </w:divBdr>
    </w:div>
    <w:div w:id="321666487">
      <w:bodyDiv w:val="1"/>
      <w:marLeft w:val="0"/>
      <w:marRight w:val="0"/>
      <w:marTop w:val="0"/>
      <w:marBottom w:val="0"/>
      <w:divBdr>
        <w:top w:val="none" w:sz="0" w:space="0" w:color="auto"/>
        <w:left w:val="none" w:sz="0" w:space="0" w:color="auto"/>
        <w:bottom w:val="none" w:sz="0" w:space="0" w:color="auto"/>
        <w:right w:val="none" w:sz="0" w:space="0" w:color="auto"/>
      </w:divBdr>
    </w:div>
    <w:div w:id="322317177">
      <w:bodyDiv w:val="1"/>
      <w:marLeft w:val="0"/>
      <w:marRight w:val="0"/>
      <w:marTop w:val="0"/>
      <w:marBottom w:val="0"/>
      <w:divBdr>
        <w:top w:val="none" w:sz="0" w:space="0" w:color="auto"/>
        <w:left w:val="none" w:sz="0" w:space="0" w:color="auto"/>
        <w:bottom w:val="none" w:sz="0" w:space="0" w:color="auto"/>
        <w:right w:val="none" w:sz="0" w:space="0" w:color="auto"/>
      </w:divBdr>
    </w:div>
    <w:div w:id="322323007">
      <w:bodyDiv w:val="1"/>
      <w:marLeft w:val="0"/>
      <w:marRight w:val="0"/>
      <w:marTop w:val="0"/>
      <w:marBottom w:val="0"/>
      <w:divBdr>
        <w:top w:val="none" w:sz="0" w:space="0" w:color="auto"/>
        <w:left w:val="none" w:sz="0" w:space="0" w:color="auto"/>
        <w:bottom w:val="none" w:sz="0" w:space="0" w:color="auto"/>
        <w:right w:val="none" w:sz="0" w:space="0" w:color="auto"/>
      </w:divBdr>
    </w:div>
    <w:div w:id="323359822">
      <w:bodyDiv w:val="1"/>
      <w:marLeft w:val="0"/>
      <w:marRight w:val="0"/>
      <w:marTop w:val="0"/>
      <w:marBottom w:val="0"/>
      <w:divBdr>
        <w:top w:val="none" w:sz="0" w:space="0" w:color="auto"/>
        <w:left w:val="none" w:sz="0" w:space="0" w:color="auto"/>
        <w:bottom w:val="none" w:sz="0" w:space="0" w:color="auto"/>
        <w:right w:val="none" w:sz="0" w:space="0" w:color="auto"/>
      </w:divBdr>
    </w:div>
    <w:div w:id="324284053">
      <w:bodyDiv w:val="1"/>
      <w:marLeft w:val="0"/>
      <w:marRight w:val="0"/>
      <w:marTop w:val="0"/>
      <w:marBottom w:val="0"/>
      <w:divBdr>
        <w:top w:val="none" w:sz="0" w:space="0" w:color="auto"/>
        <w:left w:val="none" w:sz="0" w:space="0" w:color="auto"/>
        <w:bottom w:val="none" w:sz="0" w:space="0" w:color="auto"/>
        <w:right w:val="none" w:sz="0" w:space="0" w:color="auto"/>
      </w:divBdr>
    </w:div>
    <w:div w:id="324669923">
      <w:bodyDiv w:val="1"/>
      <w:marLeft w:val="0"/>
      <w:marRight w:val="0"/>
      <w:marTop w:val="0"/>
      <w:marBottom w:val="0"/>
      <w:divBdr>
        <w:top w:val="none" w:sz="0" w:space="0" w:color="auto"/>
        <w:left w:val="none" w:sz="0" w:space="0" w:color="auto"/>
        <w:bottom w:val="none" w:sz="0" w:space="0" w:color="auto"/>
        <w:right w:val="none" w:sz="0" w:space="0" w:color="auto"/>
      </w:divBdr>
    </w:div>
    <w:div w:id="325205152">
      <w:bodyDiv w:val="1"/>
      <w:marLeft w:val="0"/>
      <w:marRight w:val="0"/>
      <w:marTop w:val="0"/>
      <w:marBottom w:val="0"/>
      <w:divBdr>
        <w:top w:val="none" w:sz="0" w:space="0" w:color="auto"/>
        <w:left w:val="none" w:sz="0" w:space="0" w:color="auto"/>
        <w:bottom w:val="none" w:sz="0" w:space="0" w:color="auto"/>
        <w:right w:val="none" w:sz="0" w:space="0" w:color="auto"/>
      </w:divBdr>
    </w:div>
    <w:div w:id="325323243">
      <w:bodyDiv w:val="1"/>
      <w:marLeft w:val="0"/>
      <w:marRight w:val="0"/>
      <w:marTop w:val="0"/>
      <w:marBottom w:val="0"/>
      <w:divBdr>
        <w:top w:val="none" w:sz="0" w:space="0" w:color="auto"/>
        <w:left w:val="none" w:sz="0" w:space="0" w:color="auto"/>
        <w:bottom w:val="none" w:sz="0" w:space="0" w:color="auto"/>
        <w:right w:val="none" w:sz="0" w:space="0" w:color="auto"/>
      </w:divBdr>
    </w:div>
    <w:div w:id="325522186">
      <w:bodyDiv w:val="1"/>
      <w:marLeft w:val="0"/>
      <w:marRight w:val="0"/>
      <w:marTop w:val="0"/>
      <w:marBottom w:val="0"/>
      <w:divBdr>
        <w:top w:val="none" w:sz="0" w:space="0" w:color="auto"/>
        <w:left w:val="none" w:sz="0" w:space="0" w:color="auto"/>
        <w:bottom w:val="none" w:sz="0" w:space="0" w:color="auto"/>
        <w:right w:val="none" w:sz="0" w:space="0" w:color="auto"/>
      </w:divBdr>
    </w:div>
    <w:div w:id="325935881">
      <w:bodyDiv w:val="1"/>
      <w:marLeft w:val="0"/>
      <w:marRight w:val="0"/>
      <w:marTop w:val="0"/>
      <w:marBottom w:val="0"/>
      <w:divBdr>
        <w:top w:val="none" w:sz="0" w:space="0" w:color="auto"/>
        <w:left w:val="none" w:sz="0" w:space="0" w:color="auto"/>
        <w:bottom w:val="none" w:sz="0" w:space="0" w:color="auto"/>
        <w:right w:val="none" w:sz="0" w:space="0" w:color="auto"/>
      </w:divBdr>
    </w:div>
    <w:div w:id="326249284">
      <w:bodyDiv w:val="1"/>
      <w:marLeft w:val="0"/>
      <w:marRight w:val="0"/>
      <w:marTop w:val="0"/>
      <w:marBottom w:val="0"/>
      <w:divBdr>
        <w:top w:val="none" w:sz="0" w:space="0" w:color="auto"/>
        <w:left w:val="none" w:sz="0" w:space="0" w:color="auto"/>
        <w:bottom w:val="none" w:sz="0" w:space="0" w:color="auto"/>
        <w:right w:val="none" w:sz="0" w:space="0" w:color="auto"/>
      </w:divBdr>
    </w:div>
    <w:div w:id="327028659">
      <w:bodyDiv w:val="1"/>
      <w:marLeft w:val="0"/>
      <w:marRight w:val="0"/>
      <w:marTop w:val="0"/>
      <w:marBottom w:val="0"/>
      <w:divBdr>
        <w:top w:val="none" w:sz="0" w:space="0" w:color="auto"/>
        <w:left w:val="none" w:sz="0" w:space="0" w:color="auto"/>
        <w:bottom w:val="none" w:sz="0" w:space="0" w:color="auto"/>
        <w:right w:val="none" w:sz="0" w:space="0" w:color="auto"/>
      </w:divBdr>
    </w:div>
    <w:div w:id="328025231">
      <w:bodyDiv w:val="1"/>
      <w:marLeft w:val="0"/>
      <w:marRight w:val="0"/>
      <w:marTop w:val="0"/>
      <w:marBottom w:val="0"/>
      <w:divBdr>
        <w:top w:val="none" w:sz="0" w:space="0" w:color="auto"/>
        <w:left w:val="none" w:sz="0" w:space="0" w:color="auto"/>
        <w:bottom w:val="none" w:sz="0" w:space="0" w:color="auto"/>
        <w:right w:val="none" w:sz="0" w:space="0" w:color="auto"/>
      </w:divBdr>
    </w:div>
    <w:div w:id="328414350">
      <w:bodyDiv w:val="1"/>
      <w:marLeft w:val="0"/>
      <w:marRight w:val="0"/>
      <w:marTop w:val="0"/>
      <w:marBottom w:val="0"/>
      <w:divBdr>
        <w:top w:val="none" w:sz="0" w:space="0" w:color="auto"/>
        <w:left w:val="none" w:sz="0" w:space="0" w:color="auto"/>
        <w:bottom w:val="none" w:sz="0" w:space="0" w:color="auto"/>
        <w:right w:val="none" w:sz="0" w:space="0" w:color="auto"/>
      </w:divBdr>
    </w:div>
    <w:div w:id="328601554">
      <w:bodyDiv w:val="1"/>
      <w:marLeft w:val="0"/>
      <w:marRight w:val="0"/>
      <w:marTop w:val="0"/>
      <w:marBottom w:val="0"/>
      <w:divBdr>
        <w:top w:val="none" w:sz="0" w:space="0" w:color="auto"/>
        <w:left w:val="none" w:sz="0" w:space="0" w:color="auto"/>
        <w:bottom w:val="none" w:sz="0" w:space="0" w:color="auto"/>
        <w:right w:val="none" w:sz="0" w:space="0" w:color="auto"/>
      </w:divBdr>
    </w:div>
    <w:div w:id="328947293">
      <w:bodyDiv w:val="1"/>
      <w:marLeft w:val="0"/>
      <w:marRight w:val="0"/>
      <w:marTop w:val="0"/>
      <w:marBottom w:val="0"/>
      <w:divBdr>
        <w:top w:val="none" w:sz="0" w:space="0" w:color="auto"/>
        <w:left w:val="none" w:sz="0" w:space="0" w:color="auto"/>
        <w:bottom w:val="none" w:sz="0" w:space="0" w:color="auto"/>
        <w:right w:val="none" w:sz="0" w:space="0" w:color="auto"/>
      </w:divBdr>
    </w:div>
    <w:div w:id="329990143">
      <w:bodyDiv w:val="1"/>
      <w:marLeft w:val="0"/>
      <w:marRight w:val="0"/>
      <w:marTop w:val="0"/>
      <w:marBottom w:val="0"/>
      <w:divBdr>
        <w:top w:val="none" w:sz="0" w:space="0" w:color="auto"/>
        <w:left w:val="none" w:sz="0" w:space="0" w:color="auto"/>
        <w:bottom w:val="none" w:sz="0" w:space="0" w:color="auto"/>
        <w:right w:val="none" w:sz="0" w:space="0" w:color="auto"/>
      </w:divBdr>
    </w:div>
    <w:div w:id="332219688">
      <w:bodyDiv w:val="1"/>
      <w:marLeft w:val="0"/>
      <w:marRight w:val="0"/>
      <w:marTop w:val="0"/>
      <w:marBottom w:val="0"/>
      <w:divBdr>
        <w:top w:val="none" w:sz="0" w:space="0" w:color="auto"/>
        <w:left w:val="none" w:sz="0" w:space="0" w:color="auto"/>
        <w:bottom w:val="none" w:sz="0" w:space="0" w:color="auto"/>
        <w:right w:val="none" w:sz="0" w:space="0" w:color="auto"/>
      </w:divBdr>
    </w:div>
    <w:div w:id="332614774">
      <w:bodyDiv w:val="1"/>
      <w:marLeft w:val="0"/>
      <w:marRight w:val="0"/>
      <w:marTop w:val="0"/>
      <w:marBottom w:val="0"/>
      <w:divBdr>
        <w:top w:val="none" w:sz="0" w:space="0" w:color="auto"/>
        <w:left w:val="none" w:sz="0" w:space="0" w:color="auto"/>
        <w:bottom w:val="none" w:sz="0" w:space="0" w:color="auto"/>
        <w:right w:val="none" w:sz="0" w:space="0" w:color="auto"/>
      </w:divBdr>
    </w:div>
    <w:div w:id="332682788">
      <w:bodyDiv w:val="1"/>
      <w:marLeft w:val="0"/>
      <w:marRight w:val="0"/>
      <w:marTop w:val="0"/>
      <w:marBottom w:val="0"/>
      <w:divBdr>
        <w:top w:val="none" w:sz="0" w:space="0" w:color="auto"/>
        <w:left w:val="none" w:sz="0" w:space="0" w:color="auto"/>
        <w:bottom w:val="none" w:sz="0" w:space="0" w:color="auto"/>
        <w:right w:val="none" w:sz="0" w:space="0" w:color="auto"/>
      </w:divBdr>
    </w:div>
    <w:div w:id="332803982">
      <w:bodyDiv w:val="1"/>
      <w:marLeft w:val="0"/>
      <w:marRight w:val="0"/>
      <w:marTop w:val="0"/>
      <w:marBottom w:val="0"/>
      <w:divBdr>
        <w:top w:val="none" w:sz="0" w:space="0" w:color="auto"/>
        <w:left w:val="none" w:sz="0" w:space="0" w:color="auto"/>
        <w:bottom w:val="none" w:sz="0" w:space="0" w:color="auto"/>
        <w:right w:val="none" w:sz="0" w:space="0" w:color="auto"/>
      </w:divBdr>
    </w:div>
    <w:div w:id="332953468">
      <w:bodyDiv w:val="1"/>
      <w:marLeft w:val="0"/>
      <w:marRight w:val="0"/>
      <w:marTop w:val="0"/>
      <w:marBottom w:val="0"/>
      <w:divBdr>
        <w:top w:val="none" w:sz="0" w:space="0" w:color="auto"/>
        <w:left w:val="none" w:sz="0" w:space="0" w:color="auto"/>
        <w:bottom w:val="none" w:sz="0" w:space="0" w:color="auto"/>
        <w:right w:val="none" w:sz="0" w:space="0" w:color="auto"/>
      </w:divBdr>
    </w:div>
    <w:div w:id="333074613">
      <w:bodyDiv w:val="1"/>
      <w:marLeft w:val="0"/>
      <w:marRight w:val="0"/>
      <w:marTop w:val="0"/>
      <w:marBottom w:val="0"/>
      <w:divBdr>
        <w:top w:val="none" w:sz="0" w:space="0" w:color="auto"/>
        <w:left w:val="none" w:sz="0" w:space="0" w:color="auto"/>
        <w:bottom w:val="none" w:sz="0" w:space="0" w:color="auto"/>
        <w:right w:val="none" w:sz="0" w:space="0" w:color="auto"/>
      </w:divBdr>
    </w:div>
    <w:div w:id="333265587">
      <w:bodyDiv w:val="1"/>
      <w:marLeft w:val="0"/>
      <w:marRight w:val="0"/>
      <w:marTop w:val="0"/>
      <w:marBottom w:val="0"/>
      <w:divBdr>
        <w:top w:val="none" w:sz="0" w:space="0" w:color="auto"/>
        <w:left w:val="none" w:sz="0" w:space="0" w:color="auto"/>
        <w:bottom w:val="none" w:sz="0" w:space="0" w:color="auto"/>
        <w:right w:val="none" w:sz="0" w:space="0" w:color="auto"/>
      </w:divBdr>
    </w:div>
    <w:div w:id="333337661">
      <w:bodyDiv w:val="1"/>
      <w:marLeft w:val="0"/>
      <w:marRight w:val="0"/>
      <w:marTop w:val="0"/>
      <w:marBottom w:val="0"/>
      <w:divBdr>
        <w:top w:val="none" w:sz="0" w:space="0" w:color="auto"/>
        <w:left w:val="none" w:sz="0" w:space="0" w:color="auto"/>
        <w:bottom w:val="none" w:sz="0" w:space="0" w:color="auto"/>
        <w:right w:val="none" w:sz="0" w:space="0" w:color="auto"/>
      </w:divBdr>
    </w:div>
    <w:div w:id="333579135">
      <w:bodyDiv w:val="1"/>
      <w:marLeft w:val="0"/>
      <w:marRight w:val="0"/>
      <w:marTop w:val="0"/>
      <w:marBottom w:val="0"/>
      <w:divBdr>
        <w:top w:val="none" w:sz="0" w:space="0" w:color="auto"/>
        <w:left w:val="none" w:sz="0" w:space="0" w:color="auto"/>
        <w:bottom w:val="none" w:sz="0" w:space="0" w:color="auto"/>
        <w:right w:val="none" w:sz="0" w:space="0" w:color="auto"/>
      </w:divBdr>
    </w:div>
    <w:div w:id="334311221">
      <w:bodyDiv w:val="1"/>
      <w:marLeft w:val="0"/>
      <w:marRight w:val="0"/>
      <w:marTop w:val="0"/>
      <w:marBottom w:val="0"/>
      <w:divBdr>
        <w:top w:val="none" w:sz="0" w:space="0" w:color="auto"/>
        <w:left w:val="none" w:sz="0" w:space="0" w:color="auto"/>
        <w:bottom w:val="none" w:sz="0" w:space="0" w:color="auto"/>
        <w:right w:val="none" w:sz="0" w:space="0" w:color="auto"/>
      </w:divBdr>
      <w:divsChild>
        <w:div w:id="86923210">
          <w:marLeft w:val="0"/>
          <w:marRight w:val="0"/>
          <w:marTop w:val="0"/>
          <w:marBottom w:val="0"/>
          <w:divBdr>
            <w:top w:val="none" w:sz="0" w:space="0" w:color="auto"/>
            <w:left w:val="none" w:sz="0" w:space="0" w:color="auto"/>
            <w:bottom w:val="none" w:sz="0" w:space="0" w:color="auto"/>
            <w:right w:val="none" w:sz="0" w:space="0" w:color="auto"/>
          </w:divBdr>
        </w:div>
      </w:divsChild>
    </w:div>
    <w:div w:id="334845260">
      <w:bodyDiv w:val="1"/>
      <w:marLeft w:val="0"/>
      <w:marRight w:val="0"/>
      <w:marTop w:val="0"/>
      <w:marBottom w:val="0"/>
      <w:divBdr>
        <w:top w:val="none" w:sz="0" w:space="0" w:color="auto"/>
        <w:left w:val="none" w:sz="0" w:space="0" w:color="auto"/>
        <w:bottom w:val="none" w:sz="0" w:space="0" w:color="auto"/>
        <w:right w:val="none" w:sz="0" w:space="0" w:color="auto"/>
      </w:divBdr>
    </w:div>
    <w:div w:id="334958222">
      <w:bodyDiv w:val="1"/>
      <w:marLeft w:val="0"/>
      <w:marRight w:val="0"/>
      <w:marTop w:val="0"/>
      <w:marBottom w:val="0"/>
      <w:divBdr>
        <w:top w:val="none" w:sz="0" w:space="0" w:color="auto"/>
        <w:left w:val="none" w:sz="0" w:space="0" w:color="auto"/>
        <w:bottom w:val="none" w:sz="0" w:space="0" w:color="auto"/>
        <w:right w:val="none" w:sz="0" w:space="0" w:color="auto"/>
      </w:divBdr>
    </w:div>
    <w:div w:id="335111527">
      <w:bodyDiv w:val="1"/>
      <w:marLeft w:val="0"/>
      <w:marRight w:val="0"/>
      <w:marTop w:val="0"/>
      <w:marBottom w:val="0"/>
      <w:divBdr>
        <w:top w:val="none" w:sz="0" w:space="0" w:color="auto"/>
        <w:left w:val="none" w:sz="0" w:space="0" w:color="auto"/>
        <w:bottom w:val="none" w:sz="0" w:space="0" w:color="auto"/>
        <w:right w:val="none" w:sz="0" w:space="0" w:color="auto"/>
      </w:divBdr>
    </w:div>
    <w:div w:id="335303919">
      <w:bodyDiv w:val="1"/>
      <w:marLeft w:val="0"/>
      <w:marRight w:val="0"/>
      <w:marTop w:val="0"/>
      <w:marBottom w:val="0"/>
      <w:divBdr>
        <w:top w:val="none" w:sz="0" w:space="0" w:color="auto"/>
        <w:left w:val="none" w:sz="0" w:space="0" w:color="auto"/>
        <w:bottom w:val="none" w:sz="0" w:space="0" w:color="auto"/>
        <w:right w:val="none" w:sz="0" w:space="0" w:color="auto"/>
      </w:divBdr>
    </w:div>
    <w:div w:id="335545779">
      <w:bodyDiv w:val="1"/>
      <w:marLeft w:val="0"/>
      <w:marRight w:val="0"/>
      <w:marTop w:val="0"/>
      <w:marBottom w:val="0"/>
      <w:divBdr>
        <w:top w:val="none" w:sz="0" w:space="0" w:color="auto"/>
        <w:left w:val="none" w:sz="0" w:space="0" w:color="auto"/>
        <w:bottom w:val="none" w:sz="0" w:space="0" w:color="auto"/>
        <w:right w:val="none" w:sz="0" w:space="0" w:color="auto"/>
      </w:divBdr>
    </w:div>
    <w:div w:id="336462214">
      <w:bodyDiv w:val="1"/>
      <w:marLeft w:val="0"/>
      <w:marRight w:val="0"/>
      <w:marTop w:val="0"/>
      <w:marBottom w:val="0"/>
      <w:divBdr>
        <w:top w:val="none" w:sz="0" w:space="0" w:color="auto"/>
        <w:left w:val="none" w:sz="0" w:space="0" w:color="auto"/>
        <w:bottom w:val="none" w:sz="0" w:space="0" w:color="auto"/>
        <w:right w:val="none" w:sz="0" w:space="0" w:color="auto"/>
      </w:divBdr>
    </w:div>
    <w:div w:id="337390601">
      <w:bodyDiv w:val="1"/>
      <w:marLeft w:val="0"/>
      <w:marRight w:val="0"/>
      <w:marTop w:val="0"/>
      <w:marBottom w:val="0"/>
      <w:divBdr>
        <w:top w:val="none" w:sz="0" w:space="0" w:color="auto"/>
        <w:left w:val="none" w:sz="0" w:space="0" w:color="auto"/>
        <w:bottom w:val="none" w:sz="0" w:space="0" w:color="auto"/>
        <w:right w:val="none" w:sz="0" w:space="0" w:color="auto"/>
      </w:divBdr>
    </w:div>
    <w:div w:id="337655593">
      <w:bodyDiv w:val="1"/>
      <w:marLeft w:val="0"/>
      <w:marRight w:val="0"/>
      <w:marTop w:val="0"/>
      <w:marBottom w:val="0"/>
      <w:divBdr>
        <w:top w:val="none" w:sz="0" w:space="0" w:color="auto"/>
        <w:left w:val="none" w:sz="0" w:space="0" w:color="auto"/>
        <w:bottom w:val="none" w:sz="0" w:space="0" w:color="auto"/>
        <w:right w:val="none" w:sz="0" w:space="0" w:color="auto"/>
      </w:divBdr>
    </w:div>
    <w:div w:id="337778685">
      <w:bodyDiv w:val="1"/>
      <w:marLeft w:val="0"/>
      <w:marRight w:val="0"/>
      <w:marTop w:val="0"/>
      <w:marBottom w:val="0"/>
      <w:divBdr>
        <w:top w:val="none" w:sz="0" w:space="0" w:color="auto"/>
        <w:left w:val="none" w:sz="0" w:space="0" w:color="auto"/>
        <w:bottom w:val="none" w:sz="0" w:space="0" w:color="auto"/>
        <w:right w:val="none" w:sz="0" w:space="0" w:color="auto"/>
      </w:divBdr>
    </w:div>
    <w:div w:id="337970549">
      <w:bodyDiv w:val="1"/>
      <w:marLeft w:val="0"/>
      <w:marRight w:val="0"/>
      <w:marTop w:val="0"/>
      <w:marBottom w:val="0"/>
      <w:divBdr>
        <w:top w:val="none" w:sz="0" w:space="0" w:color="auto"/>
        <w:left w:val="none" w:sz="0" w:space="0" w:color="auto"/>
        <w:bottom w:val="none" w:sz="0" w:space="0" w:color="auto"/>
        <w:right w:val="none" w:sz="0" w:space="0" w:color="auto"/>
      </w:divBdr>
    </w:div>
    <w:div w:id="338119931">
      <w:bodyDiv w:val="1"/>
      <w:marLeft w:val="0"/>
      <w:marRight w:val="0"/>
      <w:marTop w:val="0"/>
      <w:marBottom w:val="0"/>
      <w:divBdr>
        <w:top w:val="none" w:sz="0" w:space="0" w:color="auto"/>
        <w:left w:val="none" w:sz="0" w:space="0" w:color="auto"/>
        <w:bottom w:val="none" w:sz="0" w:space="0" w:color="auto"/>
        <w:right w:val="none" w:sz="0" w:space="0" w:color="auto"/>
      </w:divBdr>
    </w:div>
    <w:div w:id="338315066">
      <w:bodyDiv w:val="1"/>
      <w:marLeft w:val="0"/>
      <w:marRight w:val="0"/>
      <w:marTop w:val="0"/>
      <w:marBottom w:val="0"/>
      <w:divBdr>
        <w:top w:val="none" w:sz="0" w:space="0" w:color="auto"/>
        <w:left w:val="none" w:sz="0" w:space="0" w:color="auto"/>
        <w:bottom w:val="none" w:sz="0" w:space="0" w:color="auto"/>
        <w:right w:val="none" w:sz="0" w:space="0" w:color="auto"/>
      </w:divBdr>
    </w:div>
    <w:div w:id="338628520">
      <w:bodyDiv w:val="1"/>
      <w:marLeft w:val="0"/>
      <w:marRight w:val="0"/>
      <w:marTop w:val="0"/>
      <w:marBottom w:val="0"/>
      <w:divBdr>
        <w:top w:val="none" w:sz="0" w:space="0" w:color="auto"/>
        <w:left w:val="none" w:sz="0" w:space="0" w:color="auto"/>
        <w:bottom w:val="none" w:sz="0" w:space="0" w:color="auto"/>
        <w:right w:val="none" w:sz="0" w:space="0" w:color="auto"/>
      </w:divBdr>
    </w:div>
    <w:div w:id="338630175">
      <w:bodyDiv w:val="1"/>
      <w:marLeft w:val="0"/>
      <w:marRight w:val="0"/>
      <w:marTop w:val="0"/>
      <w:marBottom w:val="0"/>
      <w:divBdr>
        <w:top w:val="none" w:sz="0" w:space="0" w:color="auto"/>
        <w:left w:val="none" w:sz="0" w:space="0" w:color="auto"/>
        <w:bottom w:val="none" w:sz="0" w:space="0" w:color="auto"/>
        <w:right w:val="none" w:sz="0" w:space="0" w:color="auto"/>
      </w:divBdr>
    </w:div>
    <w:div w:id="338696786">
      <w:bodyDiv w:val="1"/>
      <w:marLeft w:val="0"/>
      <w:marRight w:val="0"/>
      <w:marTop w:val="0"/>
      <w:marBottom w:val="0"/>
      <w:divBdr>
        <w:top w:val="none" w:sz="0" w:space="0" w:color="auto"/>
        <w:left w:val="none" w:sz="0" w:space="0" w:color="auto"/>
        <w:bottom w:val="none" w:sz="0" w:space="0" w:color="auto"/>
        <w:right w:val="none" w:sz="0" w:space="0" w:color="auto"/>
      </w:divBdr>
    </w:div>
    <w:div w:id="339089863">
      <w:bodyDiv w:val="1"/>
      <w:marLeft w:val="0"/>
      <w:marRight w:val="0"/>
      <w:marTop w:val="0"/>
      <w:marBottom w:val="0"/>
      <w:divBdr>
        <w:top w:val="none" w:sz="0" w:space="0" w:color="auto"/>
        <w:left w:val="none" w:sz="0" w:space="0" w:color="auto"/>
        <w:bottom w:val="none" w:sz="0" w:space="0" w:color="auto"/>
        <w:right w:val="none" w:sz="0" w:space="0" w:color="auto"/>
      </w:divBdr>
    </w:div>
    <w:div w:id="339237390">
      <w:bodyDiv w:val="1"/>
      <w:marLeft w:val="0"/>
      <w:marRight w:val="0"/>
      <w:marTop w:val="0"/>
      <w:marBottom w:val="0"/>
      <w:divBdr>
        <w:top w:val="none" w:sz="0" w:space="0" w:color="auto"/>
        <w:left w:val="none" w:sz="0" w:space="0" w:color="auto"/>
        <w:bottom w:val="none" w:sz="0" w:space="0" w:color="auto"/>
        <w:right w:val="none" w:sz="0" w:space="0" w:color="auto"/>
      </w:divBdr>
    </w:div>
    <w:div w:id="339356571">
      <w:bodyDiv w:val="1"/>
      <w:marLeft w:val="0"/>
      <w:marRight w:val="0"/>
      <w:marTop w:val="0"/>
      <w:marBottom w:val="0"/>
      <w:divBdr>
        <w:top w:val="none" w:sz="0" w:space="0" w:color="auto"/>
        <w:left w:val="none" w:sz="0" w:space="0" w:color="auto"/>
        <w:bottom w:val="none" w:sz="0" w:space="0" w:color="auto"/>
        <w:right w:val="none" w:sz="0" w:space="0" w:color="auto"/>
      </w:divBdr>
    </w:div>
    <w:div w:id="340160036">
      <w:bodyDiv w:val="1"/>
      <w:marLeft w:val="0"/>
      <w:marRight w:val="0"/>
      <w:marTop w:val="0"/>
      <w:marBottom w:val="0"/>
      <w:divBdr>
        <w:top w:val="none" w:sz="0" w:space="0" w:color="auto"/>
        <w:left w:val="none" w:sz="0" w:space="0" w:color="auto"/>
        <w:bottom w:val="none" w:sz="0" w:space="0" w:color="auto"/>
        <w:right w:val="none" w:sz="0" w:space="0" w:color="auto"/>
      </w:divBdr>
    </w:div>
    <w:div w:id="341012073">
      <w:bodyDiv w:val="1"/>
      <w:marLeft w:val="0"/>
      <w:marRight w:val="0"/>
      <w:marTop w:val="0"/>
      <w:marBottom w:val="0"/>
      <w:divBdr>
        <w:top w:val="none" w:sz="0" w:space="0" w:color="auto"/>
        <w:left w:val="none" w:sz="0" w:space="0" w:color="auto"/>
        <w:bottom w:val="none" w:sz="0" w:space="0" w:color="auto"/>
        <w:right w:val="none" w:sz="0" w:space="0" w:color="auto"/>
      </w:divBdr>
    </w:div>
    <w:div w:id="341052652">
      <w:bodyDiv w:val="1"/>
      <w:marLeft w:val="0"/>
      <w:marRight w:val="0"/>
      <w:marTop w:val="0"/>
      <w:marBottom w:val="0"/>
      <w:divBdr>
        <w:top w:val="none" w:sz="0" w:space="0" w:color="auto"/>
        <w:left w:val="none" w:sz="0" w:space="0" w:color="auto"/>
        <w:bottom w:val="none" w:sz="0" w:space="0" w:color="auto"/>
        <w:right w:val="none" w:sz="0" w:space="0" w:color="auto"/>
      </w:divBdr>
    </w:div>
    <w:div w:id="341706724">
      <w:bodyDiv w:val="1"/>
      <w:marLeft w:val="0"/>
      <w:marRight w:val="0"/>
      <w:marTop w:val="0"/>
      <w:marBottom w:val="0"/>
      <w:divBdr>
        <w:top w:val="none" w:sz="0" w:space="0" w:color="auto"/>
        <w:left w:val="none" w:sz="0" w:space="0" w:color="auto"/>
        <w:bottom w:val="none" w:sz="0" w:space="0" w:color="auto"/>
        <w:right w:val="none" w:sz="0" w:space="0" w:color="auto"/>
      </w:divBdr>
    </w:div>
    <w:div w:id="341862243">
      <w:bodyDiv w:val="1"/>
      <w:marLeft w:val="0"/>
      <w:marRight w:val="0"/>
      <w:marTop w:val="0"/>
      <w:marBottom w:val="0"/>
      <w:divBdr>
        <w:top w:val="none" w:sz="0" w:space="0" w:color="auto"/>
        <w:left w:val="none" w:sz="0" w:space="0" w:color="auto"/>
        <w:bottom w:val="none" w:sz="0" w:space="0" w:color="auto"/>
        <w:right w:val="none" w:sz="0" w:space="0" w:color="auto"/>
      </w:divBdr>
    </w:div>
    <w:div w:id="342366780">
      <w:bodyDiv w:val="1"/>
      <w:marLeft w:val="0"/>
      <w:marRight w:val="0"/>
      <w:marTop w:val="0"/>
      <w:marBottom w:val="0"/>
      <w:divBdr>
        <w:top w:val="none" w:sz="0" w:space="0" w:color="auto"/>
        <w:left w:val="none" w:sz="0" w:space="0" w:color="auto"/>
        <w:bottom w:val="none" w:sz="0" w:space="0" w:color="auto"/>
        <w:right w:val="none" w:sz="0" w:space="0" w:color="auto"/>
      </w:divBdr>
    </w:div>
    <w:div w:id="343820995">
      <w:bodyDiv w:val="1"/>
      <w:marLeft w:val="0"/>
      <w:marRight w:val="0"/>
      <w:marTop w:val="0"/>
      <w:marBottom w:val="0"/>
      <w:divBdr>
        <w:top w:val="none" w:sz="0" w:space="0" w:color="auto"/>
        <w:left w:val="none" w:sz="0" w:space="0" w:color="auto"/>
        <w:bottom w:val="none" w:sz="0" w:space="0" w:color="auto"/>
        <w:right w:val="none" w:sz="0" w:space="0" w:color="auto"/>
      </w:divBdr>
    </w:div>
    <w:div w:id="344019652">
      <w:bodyDiv w:val="1"/>
      <w:marLeft w:val="0"/>
      <w:marRight w:val="0"/>
      <w:marTop w:val="0"/>
      <w:marBottom w:val="0"/>
      <w:divBdr>
        <w:top w:val="none" w:sz="0" w:space="0" w:color="auto"/>
        <w:left w:val="none" w:sz="0" w:space="0" w:color="auto"/>
        <w:bottom w:val="none" w:sz="0" w:space="0" w:color="auto"/>
        <w:right w:val="none" w:sz="0" w:space="0" w:color="auto"/>
      </w:divBdr>
    </w:div>
    <w:div w:id="344064182">
      <w:bodyDiv w:val="1"/>
      <w:marLeft w:val="0"/>
      <w:marRight w:val="0"/>
      <w:marTop w:val="0"/>
      <w:marBottom w:val="0"/>
      <w:divBdr>
        <w:top w:val="none" w:sz="0" w:space="0" w:color="auto"/>
        <w:left w:val="none" w:sz="0" w:space="0" w:color="auto"/>
        <w:bottom w:val="none" w:sz="0" w:space="0" w:color="auto"/>
        <w:right w:val="none" w:sz="0" w:space="0" w:color="auto"/>
      </w:divBdr>
    </w:div>
    <w:div w:id="344524499">
      <w:bodyDiv w:val="1"/>
      <w:marLeft w:val="0"/>
      <w:marRight w:val="0"/>
      <w:marTop w:val="0"/>
      <w:marBottom w:val="0"/>
      <w:divBdr>
        <w:top w:val="none" w:sz="0" w:space="0" w:color="auto"/>
        <w:left w:val="none" w:sz="0" w:space="0" w:color="auto"/>
        <w:bottom w:val="none" w:sz="0" w:space="0" w:color="auto"/>
        <w:right w:val="none" w:sz="0" w:space="0" w:color="auto"/>
      </w:divBdr>
    </w:div>
    <w:div w:id="345522582">
      <w:bodyDiv w:val="1"/>
      <w:marLeft w:val="0"/>
      <w:marRight w:val="0"/>
      <w:marTop w:val="0"/>
      <w:marBottom w:val="0"/>
      <w:divBdr>
        <w:top w:val="none" w:sz="0" w:space="0" w:color="auto"/>
        <w:left w:val="none" w:sz="0" w:space="0" w:color="auto"/>
        <w:bottom w:val="none" w:sz="0" w:space="0" w:color="auto"/>
        <w:right w:val="none" w:sz="0" w:space="0" w:color="auto"/>
      </w:divBdr>
    </w:div>
    <w:div w:id="345598391">
      <w:bodyDiv w:val="1"/>
      <w:marLeft w:val="0"/>
      <w:marRight w:val="0"/>
      <w:marTop w:val="0"/>
      <w:marBottom w:val="0"/>
      <w:divBdr>
        <w:top w:val="none" w:sz="0" w:space="0" w:color="auto"/>
        <w:left w:val="none" w:sz="0" w:space="0" w:color="auto"/>
        <w:bottom w:val="none" w:sz="0" w:space="0" w:color="auto"/>
        <w:right w:val="none" w:sz="0" w:space="0" w:color="auto"/>
      </w:divBdr>
    </w:div>
    <w:div w:id="345669511">
      <w:bodyDiv w:val="1"/>
      <w:marLeft w:val="0"/>
      <w:marRight w:val="0"/>
      <w:marTop w:val="0"/>
      <w:marBottom w:val="0"/>
      <w:divBdr>
        <w:top w:val="none" w:sz="0" w:space="0" w:color="auto"/>
        <w:left w:val="none" w:sz="0" w:space="0" w:color="auto"/>
        <w:bottom w:val="none" w:sz="0" w:space="0" w:color="auto"/>
        <w:right w:val="none" w:sz="0" w:space="0" w:color="auto"/>
      </w:divBdr>
    </w:div>
    <w:div w:id="346106665">
      <w:bodyDiv w:val="1"/>
      <w:marLeft w:val="0"/>
      <w:marRight w:val="0"/>
      <w:marTop w:val="0"/>
      <w:marBottom w:val="0"/>
      <w:divBdr>
        <w:top w:val="none" w:sz="0" w:space="0" w:color="auto"/>
        <w:left w:val="none" w:sz="0" w:space="0" w:color="auto"/>
        <w:bottom w:val="none" w:sz="0" w:space="0" w:color="auto"/>
        <w:right w:val="none" w:sz="0" w:space="0" w:color="auto"/>
      </w:divBdr>
    </w:div>
    <w:div w:id="346441444">
      <w:bodyDiv w:val="1"/>
      <w:marLeft w:val="0"/>
      <w:marRight w:val="0"/>
      <w:marTop w:val="0"/>
      <w:marBottom w:val="0"/>
      <w:divBdr>
        <w:top w:val="none" w:sz="0" w:space="0" w:color="auto"/>
        <w:left w:val="none" w:sz="0" w:space="0" w:color="auto"/>
        <w:bottom w:val="none" w:sz="0" w:space="0" w:color="auto"/>
        <w:right w:val="none" w:sz="0" w:space="0" w:color="auto"/>
      </w:divBdr>
    </w:div>
    <w:div w:id="347290491">
      <w:bodyDiv w:val="1"/>
      <w:marLeft w:val="0"/>
      <w:marRight w:val="0"/>
      <w:marTop w:val="0"/>
      <w:marBottom w:val="0"/>
      <w:divBdr>
        <w:top w:val="none" w:sz="0" w:space="0" w:color="auto"/>
        <w:left w:val="none" w:sz="0" w:space="0" w:color="auto"/>
        <w:bottom w:val="none" w:sz="0" w:space="0" w:color="auto"/>
        <w:right w:val="none" w:sz="0" w:space="0" w:color="auto"/>
      </w:divBdr>
    </w:div>
    <w:div w:id="347755583">
      <w:bodyDiv w:val="1"/>
      <w:marLeft w:val="0"/>
      <w:marRight w:val="0"/>
      <w:marTop w:val="0"/>
      <w:marBottom w:val="0"/>
      <w:divBdr>
        <w:top w:val="none" w:sz="0" w:space="0" w:color="auto"/>
        <w:left w:val="none" w:sz="0" w:space="0" w:color="auto"/>
        <w:bottom w:val="none" w:sz="0" w:space="0" w:color="auto"/>
        <w:right w:val="none" w:sz="0" w:space="0" w:color="auto"/>
      </w:divBdr>
    </w:div>
    <w:div w:id="348408388">
      <w:bodyDiv w:val="1"/>
      <w:marLeft w:val="0"/>
      <w:marRight w:val="0"/>
      <w:marTop w:val="0"/>
      <w:marBottom w:val="0"/>
      <w:divBdr>
        <w:top w:val="none" w:sz="0" w:space="0" w:color="auto"/>
        <w:left w:val="none" w:sz="0" w:space="0" w:color="auto"/>
        <w:bottom w:val="none" w:sz="0" w:space="0" w:color="auto"/>
        <w:right w:val="none" w:sz="0" w:space="0" w:color="auto"/>
      </w:divBdr>
    </w:div>
    <w:div w:id="348874179">
      <w:bodyDiv w:val="1"/>
      <w:marLeft w:val="0"/>
      <w:marRight w:val="0"/>
      <w:marTop w:val="0"/>
      <w:marBottom w:val="0"/>
      <w:divBdr>
        <w:top w:val="none" w:sz="0" w:space="0" w:color="auto"/>
        <w:left w:val="none" w:sz="0" w:space="0" w:color="auto"/>
        <w:bottom w:val="none" w:sz="0" w:space="0" w:color="auto"/>
        <w:right w:val="none" w:sz="0" w:space="0" w:color="auto"/>
      </w:divBdr>
    </w:div>
    <w:div w:id="348877998">
      <w:bodyDiv w:val="1"/>
      <w:marLeft w:val="0"/>
      <w:marRight w:val="0"/>
      <w:marTop w:val="0"/>
      <w:marBottom w:val="0"/>
      <w:divBdr>
        <w:top w:val="none" w:sz="0" w:space="0" w:color="auto"/>
        <w:left w:val="none" w:sz="0" w:space="0" w:color="auto"/>
        <w:bottom w:val="none" w:sz="0" w:space="0" w:color="auto"/>
        <w:right w:val="none" w:sz="0" w:space="0" w:color="auto"/>
      </w:divBdr>
    </w:div>
    <w:div w:id="349647151">
      <w:bodyDiv w:val="1"/>
      <w:marLeft w:val="0"/>
      <w:marRight w:val="0"/>
      <w:marTop w:val="0"/>
      <w:marBottom w:val="0"/>
      <w:divBdr>
        <w:top w:val="none" w:sz="0" w:space="0" w:color="auto"/>
        <w:left w:val="none" w:sz="0" w:space="0" w:color="auto"/>
        <w:bottom w:val="none" w:sz="0" w:space="0" w:color="auto"/>
        <w:right w:val="none" w:sz="0" w:space="0" w:color="auto"/>
      </w:divBdr>
    </w:div>
    <w:div w:id="350686375">
      <w:bodyDiv w:val="1"/>
      <w:marLeft w:val="0"/>
      <w:marRight w:val="0"/>
      <w:marTop w:val="0"/>
      <w:marBottom w:val="0"/>
      <w:divBdr>
        <w:top w:val="none" w:sz="0" w:space="0" w:color="auto"/>
        <w:left w:val="none" w:sz="0" w:space="0" w:color="auto"/>
        <w:bottom w:val="none" w:sz="0" w:space="0" w:color="auto"/>
        <w:right w:val="none" w:sz="0" w:space="0" w:color="auto"/>
      </w:divBdr>
    </w:div>
    <w:div w:id="350837272">
      <w:bodyDiv w:val="1"/>
      <w:marLeft w:val="0"/>
      <w:marRight w:val="0"/>
      <w:marTop w:val="0"/>
      <w:marBottom w:val="0"/>
      <w:divBdr>
        <w:top w:val="none" w:sz="0" w:space="0" w:color="auto"/>
        <w:left w:val="none" w:sz="0" w:space="0" w:color="auto"/>
        <w:bottom w:val="none" w:sz="0" w:space="0" w:color="auto"/>
        <w:right w:val="none" w:sz="0" w:space="0" w:color="auto"/>
      </w:divBdr>
    </w:div>
    <w:div w:id="351076681">
      <w:bodyDiv w:val="1"/>
      <w:marLeft w:val="0"/>
      <w:marRight w:val="0"/>
      <w:marTop w:val="0"/>
      <w:marBottom w:val="0"/>
      <w:divBdr>
        <w:top w:val="none" w:sz="0" w:space="0" w:color="auto"/>
        <w:left w:val="none" w:sz="0" w:space="0" w:color="auto"/>
        <w:bottom w:val="none" w:sz="0" w:space="0" w:color="auto"/>
        <w:right w:val="none" w:sz="0" w:space="0" w:color="auto"/>
      </w:divBdr>
    </w:div>
    <w:div w:id="351883626">
      <w:bodyDiv w:val="1"/>
      <w:marLeft w:val="0"/>
      <w:marRight w:val="0"/>
      <w:marTop w:val="0"/>
      <w:marBottom w:val="0"/>
      <w:divBdr>
        <w:top w:val="none" w:sz="0" w:space="0" w:color="auto"/>
        <w:left w:val="none" w:sz="0" w:space="0" w:color="auto"/>
        <w:bottom w:val="none" w:sz="0" w:space="0" w:color="auto"/>
        <w:right w:val="none" w:sz="0" w:space="0" w:color="auto"/>
      </w:divBdr>
    </w:div>
    <w:div w:id="351884232">
      <w:bodyDiv w:val="1"/>
      <w:marLeft w:val="0"/>
      <w:marRight w:val="0"/>
      <w:marTop w:val="0"/>
      <w:marBottom w:val="0"/>
      <w:divBdr>
        <w:top w:val="none" w:sz="0" w:space="0" w:color="auto"/>
        <w:left w:val="none" w:sz="0" w:space="0" w:color="auto"/>
        <w:bottom w:val="none" w:sz="0" w:space="0" w:color="auto"/>
        <w:right w:val="none" w:sz="0" w:space="0" w:color="auto"/>
      </w:divBdr>
    </w:div>
    <w:div w:id="352456751">
      <w:bodyDiv w:val="1"/>
      <w:marLeft w:val="0"/>
      <w:marRight w:val="0"/>
      <w:marTop w:val="0"/>
      <w:marBottom w:val="0"/>
      <w:divBdr>
        <w:top w:val="none" w:sz="0" w:space="0" w:color="auto"/>
        <w:left w:val="none" w:sz="0" w:space="0" w:color="auto"/>
        <w:bottom w:val="none" w:sz="0" w:space="0" w:color="auto"/>
        <w:right w:val="none" w:sz="0" w:space="0" w:color="auto"/>
      </w:divBdr>
    </w:div>
    <w:div w:id="352461602">
      <w:bodyDiv w:val="1"/>
      <w:marLeft w:val="0"/>
      <w:marRight w:val="0"/>
      <w:marTop w:val="0"/>
      <w:marBottom w:val="0"/>
      <w:divBdr>
        <w:top w:val="none" w:sz="0" w:space="0" w:color="auto"/>
        <w:left w:val="none" w:sz="0" w:space="0" w:color="auto"/>
        <w:bottom w:val="none" w:sz="0" w:space="0" w:color="auto"/>
        <w:right w:val="none" w:sz="0" w:space="0" w:color="auto"/>
      </w:divBdr>
    </w:div>
    <w:div w:id="353388310">
      <w:bodyDiv w:val="1"/>
      <w:marLeft w:val="0"/>
      <w:marRight w:val="0"/>
      <w:marTop w:val="0"/>
      <w:marBottom w:val="0"/>
      <w:divBdr>
        <w:top w:val="none" w:sz="0" w:space="0" w:color="auto"/>
        <w:left w:val="none" w:sz="0" w:space="0" w:color="auto"/>
        <w:bottom w:val="none" w:sz="0" w:space="0" w:color="auto"/>
        <w:right w:val="none" w:sz="0" w:space="0" w:color="auto"/>
      </w:divBdr>
    </w:div>
    <w:div w:id="354044898">
      <w:bodyDiv w:val="1"/>
      <w:marLeft w:val="0"/>
      <w:marRight w:val="0"/>
      <w:marTop w:val="0"/>
      <w:marBottom w:val="0"/>
      <w:divBdr>
        <w:top w:val="none" w:sz="0" w:space="0" w:color="auto"/>
        <w:left w:val="none" w:sz="0" w:space="0" w:color="auto"/>
        <w:bottom w:val="none" w:sz="0" w:space="0" w:color="auto"/>
        <w:right w:val="none" w:sz="0" w:space="0" w:color="auto"/>
      </w:divBdr>
    </w:div>
    <w:div w:id="354767856">
      <w:bodyDiv w:val="1"/>
      <w:marLeft w:val="0"/>
      <w:marRight w:val="0"/>
      <w:marTop w:val="0"/>
      <w:marBottom w:val="0"/>
      <w:divBdr>
        <w:top w:val="none" w:sz="0" w:space="0" w:color="auto"/>
        <w:left w:val="none" w:sz="0" w:space="0" w:color="auto"/>
        <w:bottom w:val="none" w:sz="0" w:space="0" w:color="auto"/>
        <w:right w:val="none" w:sz="0" w:space="0" w:color="auto"/>
      </w:divBdr>
    </w:div>
    <w:div w:id="354962593">
      <w:bodyDiv w:val="1"/>
      <w:marLeft w:val="0"/>
      <w:marRight w:val="0"/>
      <w:marTop w:val="0"/>
      <w:marBottom w:val="0"/>
      <w:divBdr>
        <w:top w:val="none" w:sz="0" w:space="0" w:color="auto"/>
        <w:left w:val="none" w:sz="0" w:space="0" w:color="auto"/>
        <w:bottom w:val="none" w:sz="0" w:space="0" w:color="auto"/>
        <w:right w:val="none" w:sz="0" w:space="0" w:color="auto"/>
      </w:divBdr>
    </w:div>
    <w:div w:id="355623624">
      <w:bodyDiv w:val="1"/>
      <w:marLeft w:val="0"/>
      <w:marRight w:val="0"/>
      <w:marTop w:val="0"/>
      <w:marBottom w:val="0"/>
      <w:divBdr>
        <w:top w:val="none" w:sz="0" w:space="0" w:color="auto"/>
        <w:left w:val="none" w:sz="0" w:space="0" w:color="auto"/>
        <w:bottom w:val="none" w:sz="0" w:space="0" w:color="auto"/>
        <w:right w:val="none" w:sz="0" w:space="0" w:color="auto"/>
      </w:divBdr>
    </w:div>
    <w:div w:id="355665844">
      <w:bodyDiv w:val="1"/>
      <w:marLeft w:val="0"/>
      <w:marRight w:val="0"/>
      <w:marTop w:val="0"/>
      <w:marBottom w:val="0"/>
      <w:divBdr>
        <w:top w:val="none" w:sz="0" w:space="0" w:color="auto"/>
        <w:left w:val="none" w:sz="0" w:space="0" w:color="auto"/>
        <w:bottom w:val="none" w:sz="0" w:space="0" w:color="auto"/>
        <w:right w:val="none" w:sz="0" w:space="0" w:color="auto"/>
      </w:divBdr>
    </w:div>
    <w:div w:id="355695433">
      <w:bodyDiv w:val="1"/>
      <w:marLeft w:val="0"/>
      <w:marRight w:val="0"/>
      <w:marTop w:val="0"/>
      <w:marBottom w:val="0"/>
      <w:divBdr>
        <w:top w:val="none" w:sz="0" w:space="0" w:color="auto"/>
        <w:left w:val="none" w:sz="0" w:space="0" w:color="auto"/>
        <w:bottom w:val="none" w:sz="0" w:space="0" w:color="auto"/>
        <w:right w:val="none" w:sz="0" w:space="0" w:color="auto"/>
      </w:divBdr>
    </w:div>
    <w:div w:id="355741744">
      <w:bodyDiv w:val="1"/>
      <w:marLeft w:val="0"/>
      <w:marRight w:val="0"/>
      <w:marTop w:val="0"/>
      <w:marBottom w:val="0"/>
      <w:divBdr>
        <w:top w:val="none" w:sz="0" w:space="0" w:color="auto"/>
        <w:left w:val="none" w:sz="0" w:space="0" w:color="auto"/>
        <w:bottom w:val="none" w:sz="0" w:space="0" w:color="auto"/>
        <w:right w:val="none" w:sz="0" w:space="0" w:color="auto"/>
      </w:divBdr>
    </w:div>
    <w:div w:id="357507896">
      <w:bodyDiv w:val="1"/>
      <w:marLeft w:val="0"/>
      <w:marRight w:val="0"/>
      <w:marTop w:val="0"/>
      <w:marBottom w:val="0"/>
      <w:divBdr>
        <w:top w:val="none" w:sz="0" w:space="0" w:color="auto"/>
        <w:left w:val="none" w:sz="0" w:space="0" w:color="auto"/>
        <w:bottom w:val="none" w:sz="0" w:space="0" w:color="auto"/>
        <w:right w:val="none" w:sz="0" w:space="0" w:color="auto"/>
      </w:divBdr>
    </w:div>
    <w:div w:id="357509823">
      <w:bodyDiv w:val="1"/>
      <w:marLeft w:val="0"/>
      <w:marRight w:val="0"/>
      <w:marTop w:val="0"/>
      <w:marBottom w:val="0"/>
      <w:divBdr>
        <w:top w:val="none" w:sz="0" w:space="0" w:color="auto"/>
        <w:left w:val="none" w:sz="0" w:space="0" w:color="auto"/>
        <w:bottom w:val="none" w:sz="0" w:space="0" w:color="auto"/>
        <w:right w:val="none" w:sz="0" w:space="0" w:color="auto"/>
      </w:divBdr>
    </w:div>
    <w:div w:id="361057765">
      <w:bodyDiv w:val="1"/>
      <w:marLeft w:val="0"/>
      <w:marRight w:val="0"/>
      <w:marTop w:val="0"/>
      <w:marBottom w:val="0"/>
      <w:divBdr>
        <w:top w:val="none" w:sz="0" w:space="0" w:color="auto"/>
        <w:left w:val="none" w:sz="0" w:space="0" w:color="auto"/>
        <w:bottom w:val="none" w:sz="0" w:space="0" w:color="auto"/>
        <w:right w:val="none" w:sz="0" w:space="0" w:color="auto"/>
      </w:divBdr>
    </w:div>
    <w:div w:id="361370231">
      <w:bodyDiv w:val="1"/>
      <w:marLeft w:val="0"/>
      <w:marRight w:val="0"/>
      <w:marTop w:val="0"/>
      <w:marBottom w:val="0"/>
      <w:divBdr>
        <w:top w:val="none" w:sz="0" w:space="0" w:color="auto"/>
        <w:left w:val="none" w:sz="0" w:space="0" w:color="auto"/>
        <w:bottom w:val="none" w:sz="0" w:space="0" w:color="auto"/>
        <w:right w:val="none" w:sz="0" w:space="0" w:color="auto"/>
      </w:divBdr>
    </w:div>
    <w:div w:id="361787167">
      <w:bodyDiv w:val="1"/>
      <w:marLeft w:val="0"/>
      <w:marRight w:val="0"/>
      <w:marTop w:val="0"/>
      <w:marBottom w:val="0"/>
      <w:divBdr>
        <w:top w:val="none" w:sz="0" w:space="0" w:color="auto"/>
        <w:left w:val="none" w:sz="0" w:space="0" w:color="auto"/>
        <w:bottom w:val="none" w:sz="0" w:space="0" w:color="auto"/>
        <w:right w:val="none" w:sz="0" w:space="0" w:color="auto"/>
      </w:divBdr>
    </w:div>
    <w:div w:id="361982912">
      <w:bodyDiv w:val="1"/>
      <w:marLeft w:val="0"/>
      <w:marRight w:val="0"/>
      <w:marTop w:val="0"/>
      <w:marBottom w:val="0"/>
      <w:divBdr>
        <w:top w:val="none" w:sz="0" w:space="0" w:color="auto"/>
        <w:left w:val="none" w:sz="0" w:space="0" w:color="auto"/>
        <w:bottom w:val="none" w:sz="0" w:space="0" w:color="auto"/>
        <w:right w:val="none" w:sz="0" w:space="0" w:color="auto"/>
      </w:divBdr>
    </w:div>
    <w:div w:id="362563127">
      <w:bodyDiv w:val="1"/>
      <w:marLeft w:val="0"/>
      <w:marRight w:val="0"/>
      <w:marTop w:val="0"/>
      <w:marBottom w:val="0"/>
      <w:divBdr>
        <w:top w:val="none" w:sz="0" w:space="0" w:color="auto"/>
        <w:left w:val="none" w:sz="0" w:space="0" w:color="auto"/>
        <w:bottom w:val="none" w:sz="0" w:space="0" w:color="auto"/>
        <w:right w:val="none" w:sz="0" w:space="0" w:color="auto"/>
      </w:divBdr>
    </w:div>
    <w:div w:id="363332165">
      <w:bodyDiv w:val="1"/>
      <w:marLeft w:val="0"/>
      <w:marRight w:val="0"/>
      <w:marTop w:val="0"/>
      <w:marBottom w:val="0"/>
      <w:divBdr>
        <w:top w:val="none" w:sz="0" w:space="0" w:color="auto"/>
        <w:left w:val="none" w:sz="0" w:space="0" w:color="auto"/>
        <w:bottom w:val="none" w:sz="0" w:space="0" w:color="auto"/>
        <w:right w:val="none" w:sz="0" w:space="0" w:color="auto"/>
      </w:divBdr>
    </w:div>
    <w:div w:id="364327752">
      <w:bodyDiv w:val="1"/>
      <w:marLeft w:val="0"/>
      <w:marRight w:val="0"/>
      <w:marTop w:val="0"/>
      <w:marBottom w:val="0"/>
      <w:divBdr>
        <w:top w:val="none" w:sz="0" w:space="0" w:color="auto"/>
        <w:left w:val="none" w:sz="0" w:space="0" w:color="auto"/>
        <w:bottom w:val="none" w:sz="0" w:space="0" w:color="auto"/>
        <w:right w:val="none" w:sz="0" w:space="0" w:color="auto"/>
      </w:divBdr>
    </w:div>
    <w:div w:id="364674651">
      <w:bodyDiv w:val="1"/>
      <w:marLeft w:val="0"/>
      <w:marRight w:val="0"/>
      <w:marTop w:val="0"/>
      <w:marBottom w:val="0"/>
      <w:divBdr>
        <w:top w:val="none" w:sz="0" w:space="0" w:color="auto"/>
        <w:left w:val="none" w:sz="0" w:space="0" w:color="auto"/>
        <w:bottom w:val="none" w:sz="0" w:space="0" w:color="auto"/>
        <w:right w:val="none" w:sz="0" w:space="0" w:color="auto"/>
      </w:divBdr>
    </w:div>
    <w:div w:id="365831798">
      <w:bodyDiv w:val="1"/>
      <w:marLeft w:val="0"/>
      <w:marRight w:val="0"/>
      <w:marTop w:val="0"/>
      <w:marBottom w:val="0"/>
      <w:divBdr>
        <w:top w:val="none" w:sz="0" w:space="0" w:color="auto"/>
        <w:left w:val="none" w:sz="0" w:space="0" w:color="auto"/>
        <w:bottom w:val="none" w:sz="0" w:space="0" w:color="auto"/>
        <w:right w:val="none" w:sz="0" w:space="0" w:color="auto"/>
      </w:divBdr>
    </w:div>
    <w:div w:id="366636592">
      <w:bodyDiv w:val="1"/>
      <w:marLeft w:val="0"/>
      <w:marRight w:val="0"/>
      <w:marTop w:val="0"/>
      <w:marBottom w:val="0"/>
      <w:divBdr>
        <w:top w:val="none" w:sz="0" w:space="0" w:color="auto"/>
        <w:left w:val="none" w:sz="0" w:space="0" w:color="auto"/>
        <w:bottom w:val="none" w:sz="0" w:space="0" w:color="auto"/>
        <w:right w:val="none" w:sz="0" w:space="0" w:color="auto"/>
      </w:divBdr>
    </w:div>
    <w:div w:id="367145807">
      <w:bodyDiv w:val="1"/>
      <w:marLeft w:val="0"/>
      <w:marRight w:val="0"/>
      <w:marTop w:val="0"/>
      <w:marBottom w:val="0"/>
      <w:divBdr>
        <w:top w:val="none" w:sz="0" w:space="0" w:color="auto"/>
        <w:left w:val="none" w:sz="0" w:space="0" w:color="auto"/>
        <w:bottom w:val="none" w:sz="0" w:space="0" w:color="auto"/>
        <w:right w:val="none" w:sz="0" w:space="0" w:color="auto"/>
      </w:divBdr>
    </w:div>
    <w:div w:id="367217429">
      <w:bodyDiv w:val="1"/>
      <w:marLeft w:val="0"/>
      <w:marRight w:val="0"/>
      <w:marTop w:val="0"/>
      <w:marBottom w:val="0"/>
      <w:divBdr>
        <w:top w:val="none" w:sz="0" w:space="0" w:color="auto"/>
        <w:left w:val="none" w:sz="0" w:space="0" w:color="auto"/>
        <w:bottom w:val="none" w:sz="0" w:space="0" w:color="auto"/>
        <w:right w:val="none" w:sz="0" w:space="0" w:color="auto"/>
      </w:divBdr>
    </w:div>
    <w:div w:id="367683083">
      <w:bodyDiv w:val="1"/>
      <w:marLeft w:val="0"/>
      <w:marRight w:val="0"/>
      <w:marTop w:val="0"/>
      <w:marBottom w:val="0"/>
      <w:divBdr>
        <w:top w:val="none" w:sz="0" w:space="0" w:color="auto"/>
        <w:left w:val="none" w:sz="0" w:space="0" w:color="auto"/>
        <w:bottom w:val="none" w:sz="0" w:space="0" w:color="auto"/>
        <w:right w:val="none" w:sz="0" w:space="0" w:color="auto"/>
      </w:divBdr>
    </w:div>
    <w:div w:id="367796536">
      <w:bodyDiv w:val="1"/>
      <w:marLeft w:val="0"/>
      <w:marRight w:val="0"/>
      <w:marTop w:val="0"/>
      <w:marBottom w:val="0"/>
      <w:divBdr>
        <w:top w:val="none" w:sz="0" w:space="0" w:color="auto"/>
        <w:left w:val="none" w:sz="0" w:space="0" w:color="auto"/>
        <w:bottom w:val="none" w:sz="0" w:space="0" w:color="auto"/>
        <w:right w:val="none" w:sz="0" w:space="0" w:color="auto"/>
      </w:divBdr>
    </w:div>
    <w:div w:id="369572799">
      <w:bodyDiv w:val="1"/>
      <w:marLeft w:val="0"/>
      <w:marRight w:val="0"/>
      <w:marTop w:val="0"/>
      <w:marBottom w:val="0"/>
      <w:divBdr>
        <w:top w:val="none" w:sz="0" w:space="0" w:color="auto"/>
        <w:left w:val="none" w:sz="0" w:space="0" w:color="auto"/>
        <w:bottom w:val="none" w:sz="0" w:space="0" w:color="auto"/>
        <w:right w:val="none" w:sz="0" w:space="0" w:color="auto"/>
      </w:divBdr>
    </w:div>
    <w:div w:id="369574952">
      <w:bodyDiv w:val="1"/>
      <w:marLeft w:val="0"/>
      <w:marRight w:val="0"/>
      <w:marTop w:val="0"/>
      <w:marBottom w:val="0"/>
      <w:divBdr>
        <w:top w:val="none" w:sz="0" w:space="0" w:color="auto"/>
        <w:left w:val="none" w:sz="0" w:space="0" w:color="auto"/>
        <w:bottom w:val="none" w:sz="0" w:space="0" w:color="auto"/>
        <w:right w:val="none" w:sz="0" w:space="0" w:color="auto"/>
      </w:divBdr>
    </w:div>
    <w:div w:id="370040103">
      <w:bodyDiv w:val="1"/>
      <w:marLeft w:val="0"/>
      <w:marRight w:val="0"/>
      <w:marTop w:val="0"/>
      <w:marBottom w:val="0"/>
      <w:divBdr>
        <w:top w:val="none" w:sz="0" w:space="0" w:color="auto"/>
        <w:left w:val="none" w:sz="0" w:space="0" w:color="auto"/>
        <w:bottom w:val="none" w:sz="0" w:space="0" w:color="auto"/>
        <w:right w:val="none" w:sz="0" w:space="0" w:color="auto"/>
      </w:divBdr>
    </w:div>
    <w:div w:id="370425131">
      <w:bodyDiv w:val="1"/>
      <w:marLeft w:val="0"/>
      <w:marRight w:val="0"/>
      <w:marTop w:val="0"/>
      <w:marBottom w:val="0"/>
      <w:divBdr>
        <w:top w:val="none" w:sz="0" w:space="0" w:color="auto"/>
        <w:left w:val="none" w:sz="0" w:space="0" w:color="auto"/>
        <w:bottom w:val="none" w:sz="0" w:space="0" w:color="auto"/>
        <w:right w:val="none" w:sz="0" w:space="0" w:color="auto"/>
      </w:divBdr>
    </w:div>
    <w:div w:id="370957150">
      <w:bodyDiv w:val="1"/>
      <w:marLeft w:val="0"/>
      <w:marRight w:val="0"/>
      <w:marTop w:val="0"/>
      <w:marBottom w:val="0"/>
      <w:divBdr>
        <w:top w:val="none" w:sz="0" w:space="0" w:color="auto"/>
        <w:left w:val="none" w:sz="0" w:space="0" w:color="auto"/>
        <w:bottom w:val="none" w:sz="0" w:space="0" w:color="auto"/>
        <w:right w:val="none" w:sz="0" w:space="0" w:color="auto"/>
      </w:divBdr>
    </w:div>
    <w:div w:id="371148236">
      <w:bodyDiv w:val="1"/>
      <w:marLeft w:val="0"/>
      <w:marRight w:val="0"/>
      <w:marTop w:val="0"/>
      <w:marBottom w:val="0"/>
      <w:divBdr>
        <w:top w:val="none" w:sz="0" w:space="0" w:color="auto"/>
        <w:left w:val="none" w:sz="0" w:space="0" w:color="auto"/>
        <w:bottom w:val="none" w:sz="0" w:space="0" w:color="auto"/>
        <w:right w:val="none" w:sz="0" w:space="0" w:color="auto"/>
      </w:divBdr>
    </w:div>
    <w:div w:id="371543591">
      <w:bodyDiv w:val="1"/>
      <w:marLeft w:val="0"/>
      <w:marRight w:val="0"/>
      <w:marTop w:val="0"/>
      <w:marBottom w:val="0"/>
      <w:divBdr>
        <w:top w:val="none" w:sz="0" w:space="0" w:color="auto"/>
        <w:left w:val="none" w:sz="0" w:space="0" w:color="auto"/>
        <w:bottom w:val="none" w:sz="0" w:space="0" w:color="auto"/>
        <w:right w:val="none" w:sz="0" w:space="0" w:color="auto"/>
      </w:divBdr>
    </w:div>
    <w:div w:id="371880333">
      <w:bodyDiv w:val="1"/>
      <w:marLeft w:val="0"/>
      <w:marRight w:val="0"/>
      <w:marTop w:val="0"/>
      <w:marBottom w:val="0"/>
      <w:divBdr>
        <w:top w:val="none" w:sz="0" w:space="0" w:color="auto"/>
        <w:left w:val="none" w:sz="0" w:space="0" w:color="auto"/>
        <w:bottom w:val="none" w:sz="0" w:space="0" w:color="auto"/>
        <w:right w:val="none" w:sz="0" w:space="0" w:color="auto"/>
      </w:divBdr>
    </w:div>
    <w:div w:id="372579517">
      <w:bodyDiv w:val="1"/>
      <w:marLeft w:val="0"/>
      <w:marRight w:val="0"/>
      <w:marTop w:val="0"/>
      <w:marBottom w:val="0"/>
      <w:divBdr>
        <w:top w:val="none" w:sz="0" w:space="0" w:color="auto"/>
        <w:left w:val="none" w:sz="0" w:space="0" w:color="auto"/>
        <w:bottom w:val="none" w:sz="0" w:space="0" w:color="auto"/>
        <w:right w:val="none" w:sz="0" w:space="0" w:color="auto"/>
      </w:divBdr>
    </w:div>
    <w:div w:id="373047167">
      <w:bodyDiv w:val="1"/>
      <w:marLeft w:val="0"/>
      <w:marRight w:val="0"/>
      <w:marTop w:val="0"/>
      <w:marBottom w:val="0"/>
      <w:divBdr>
        <w:top w:val="none" w:sz="0" w:space="0" w:color="auto"/>
        <w:left w:val="none" w:sz="0" w:space="0" w:color="auto"/>
        <w:bottom w:val="none" w:sz="0" w:space="0" w:color="auto"/>
        <w:right w:val="none" w:sz="0" w:space="0" w:color="auto"/>
      </w:divBdr>
    </w:div>
    <w:div w:id="373193189">
      <w:bodyDiv w:val="1"/>
      <w:marLeft w:val="0"/>
      <w:marRight w:val="0"/>
      <w:marTop w:val="0"/>
      <w:marBottom w:val="0"/>
      <w:divBdr>
        <w:top w:val="none" w:sz="0" w:space="0" w:color="auto"/>
        <w:left w:val="none" w:sz="0" w:space="0" w:color="auto"/>
        <w:bottom w:val="none" w:sz="0" w:space="0" w:color="auto"/>
        <w:right w:val="none" w:sz="0" w:space="0" w:color="auto"/>
      </w:divBdr>
    </w:div>
    <w:div w:id="373309564">
      <w:bodyDiv w:val="1"/>
      <w:marLeft w:val="0"/>
      <w:marRight w:val="0"/>
      <w:marTop w:val="0"/>
      <w:marBottom w:val="0"/>
      <w:divBdr>
        <w:top w:val="none" w:sz="0" w:space="0" w:color="auto"/>
        <w:left w:val="none" w:sz="0" w:space="0" w:color="auto"/>
        <w:bottom w:val="none" w:sz="0" w:space="0" w:color="auto"/>
        <w:right w:val="none" w:sz="0" w:space="0" w:color="auto"/>
      </w:divBdr>
    </w:div>
    <w:div w:id="373845217">
      <w:bodyDiv w:val="1"/>
      <w:marLeft w:val="0"/>
      <w:marRight w:val="0"/>
      <w:marTop w:val="0"/>
      <w:marBottom w:val="0"/>
      <w:divBdr>
        <w:top w:val="none" w:sz="0" w:space="0" w:color="auto"/>
        <w:left w:val="none" w:sz="0" w:space="0" w:color="auto"/>
        <w:bottom w:val="none" w:sz="0" w:space="0" w:color="auto"/>
        <w:right w:val="none" w:sz="0" w:space="0" w:color="auto"/>
      </w:divBdr>
    </w:div>
    <w:div w:id="374357116">
      <w:bodyDiv w:val="1"/>
      <w:marLeft w:val="0"/>
      <w:marRight w:val="0"/>
      <w:marTop w:val="0"/>
      <w:marBottom w:val="0"/>
      <w:divBdr>
        <w:top w:val="none" w:sz="0" w:space="0" w:color="auto"/>
        <w:left w:val="none" w:sz="0" w:space="0" w:color="auto"/>
        <w:bottom w:val="none" w:sz="0" w:space="0" w:color="auto"/>
        <w:right w:val="none" w:sz="0" w:space="0" w:color="auto"/>
      </w:divBdr>
    </w:div>
    <w:div w:id="374550986">
      <w:bodyDiv w:val="1"/>
      <w:marLeft w:val="0"/>
      <w:marRight w:val="0"/>
      <w:marTop w:val="0"/>
      <w:marBottom w:val="0"/>
      <w:divBdr>
        <w:top w:val="none" w:sz="0" w:space="0" w:color="auto"/>
        <w:left w:val="none" w:sz="0" w:space="0" w:color="auto"/>
        <w:bottom w:val="none" w:sz="0" w:space="0" w:color="auto"/>
        <w:right w:val="none" w:sz="0" w:space="0" w:color="auto"/>
      </w:divBdr>
    </w:div>
    <w:div w:id="374819591">
      <w:bodyDiv w:val="1"/>
      <w:marLeft w:val="0"/>
      <w:marRight w:val="0"/>
      <w:marTop w:val="0"/>
      <w:marBottom w:val="0"/>
      <w:divBdr>
        <w:top w:val="none" w:sz="0" w:space="0" w:color="auto"/>
        <w:left w:val="none" w:sz="0" w:space="0" w:color="auto"/>
        <w:bottom w:val="none" w:sz="0" w:space="0" w:color="auto"/>
        <w:right w:val="none" w:sz="0" w:space="0" w:color="auto"/>
      </w:divBdr>
    </w:div>
    <w:div w:id="375474804">
      <w:bodyDiv w:val="1"/>
      <w:marLeft w:val="0"/>
      <w:marRight w:val="0"/>
      <w:marTop w:val="0"/>
      <w:marBottom w:val="0"/>
      <w:divBdr>
        <w:top w:val="none" w:sz="0" w:space="0" w:color="auto"/>
        <w:left w:val="none" w:sz="0" w:space="0" w:color="auto"/>
        <w:bottom w:val="none" w:sz="0" w:space="0" w:color="auto"/>
        <w:right w:val="none" w:sz="0" w:space="0" w:color="auto"/>
      </w:divBdr>
    </w:div>
    <w:div w:id="375861376">
      <w:bodyDiv w:val="1"/>
      <w:marLeft w:val="0"/>
      <w:marRight w:val="0"/>
      <w:marTop w:val="0"/>
      <w:marBottom w:val="0"/>
      <w:divBdr>
        <w:top w:val="none" w:sz="0" w:space="0" w:color="auto"/>
        <w:left w:val="none" w:sz="0" w:space="0" w:color="auto"/>
        <w:bottom w:val="none" w:sz="0" w:space="0" w:color="auto"/>
        <w:right w:val="none" w:sz="0" w:space="0" w:color="auto"/>
      </w:divBdr>
    </w:div>
    <w:div w:id="376201354">
      <w:bodyDiv w:val="1"/>
      <w:marLeft w:val="0"/>
      <w:marRight w:val="0"/>
      <w:marTop w:val="0"/>
      <w:marBottom w:val="0"/>
      <w:divBdr>
        <w:top w:val="none" w:sz="0" w:space="0" w:color="auto"/>
        <w:left w:val="none" w:sz="0" w:space="0" w:color="auto"/>
        <w:bottom w:val="none" w:sz="0" w:space="0" w:color="auto"/>
        <w:right w:val="none" w:sz="0" w:space="0" w:color="auto"/>
      </w:divBdr>
    </w:div>
    <w:div w:id="377243186">
      <w:bodyDiv w:val="1"/>
      <w:marLeft w:val="0"/>
      <w:marRight w:val="0"/>
      <w:marTop w:val="0"/>
      <w:marBottom w:val="0"/>
      <w:divBdr>
        <w:top w:val="none" w:sz="0" w:space="0" w:color="auto"/>
        <w:left w:val="none" w:sz="0" w:space="0" w:color="auto"/>
        <w:bottom w:val="none" w:sz="0" w:space="0" w:color="auto"/>
        <w:right w:val="none" w:sz="0" w:space="0" w:color="auto"/>
      </w:divBdr>
    </w:div>
    <w:div w:id="377509136">
      <w:bodyDiv w:val="1"/>
      <w:marLeft w:val="0"/>
      <w:marRight w:val="0"/>
      <w:marTop w:val="0"/>
      <w:marBottom w:val="0"/>
      <w:divBdr>
        <w:top w:val="none" w:sz="0" w:space="0" w:color="auto"/>
        <w:left w:val="none" w:sz="0" w:space="0" w:color="auto"/>
        <w:bottom w:val="none" w:sz="0" w:space="0" w:color="auto"/>
        <w:right w:val="none" w:sz="0" w:space="0" w:color="auto"/>
      </w:divBdr>
    </w:div>
    <w:div w:id="377899732">
      <w:bodyDiv w:val="1"/>
      <w:marLeft w:val="0"/>
      <w:marRight w:val="0"/>
      <w:marTop w:val="0"/>
      <w:marBottom w:val="0"/>
      <w:divBdr>
        <w:top w:val="none" w:sz="0" w:space="0" w:color="auto"/>
        <w:left w:val="none" w:sz="0" w:space="0" w:color="auto"/>
        <w:bottom w:val="none" w:sz="0" w:space="0" w:color="auto"/>
        <w:right w:val="none" w:sz="0" w:space="0" w:color="auto"/>
      </w:divBdr>
    </w:div>
    <w:div w:id="378087816">
      <w:bodyDiv w:val="1"/>
      <w:marLeft w:val="0"/>
      <w:marRight w:val="0"/>
      <w:marTop w:val="0"/>
      <w:marBottom w:val="0"/>
      <w:divBdr>
        <w:top w:val="none" w:sz="0" w:space="0" w:color="auto"/>
        <w:left w:val="none" w:sz="0" w:space="0" w:color="auto"/>
        <w:bottom w:val="none" w:sz="0" w:space="0" w:color="auto"/>
        <w:right w:val="none" w:sz="0" w:space="0" w:color="auto"/>
      </w:divBdr>
    </w:div>
    <w:div w:id="378407550">
      <w:bodyDiv w:val="1"/>
      <w:marLeft w:val="0"/>
      <w:marRight w:val="0"/>
      <w:marTop w:val="0"/>
      <w:marBottom w:val="0"/>
      <w:divBdr>
        <w:top w:val="none" w:sz="0" w:space="0" w:color="auto"/>
        <w:left w:val="none" w:sz="0" w:space="0" w:color="auto"/>
        <w:bottom w:val="none" w:sz="0" w:space="0" w:color="auto"/>
        <w:right w:val="none" w:sz="0" w:space="0" w:color="auto"/>
      </w:divBdr>
    </w:div>
    <w:div w:id="378742677">
      <w:bodyDiv w:val="1"/>
      <w:marLeft w:val="0"/>
      <w:marRight w:val="0"/>
      <w:marTop w:val="0"/>
      <w:marBottom w:val="0"/>
      <w:divBdr>
        <w:top w:val="none" w:sz="0" w:space="0" w:color="auto"/>
        <w:left w:val="none" w:sz="0" w:space="0" w:color="auto"/>
        <w:bottom w:val="none" w:sz="0" w:space="0" w:color="auto"/>
        <w:right w:val="none" w:sz="0" w:space="0" w:color="auto"/>
      </w:divBdr>
    </w:div>
    <w:div w:id="379669196">
      <w:bodyDiv w:val="1"/>
      <w:marLeft w:val="0"/>
      <w:marRight w:val="0"/>
      <w:marTop w:val="0"/>
      <w:marBottom w:val="0"/>
      <w:divBdr>
        <w:top w:val="none" w:sz="0" w:space="0" w:color="auto"/>
        <w:left w:val="none" w:sz="0" w:space="0" w:color="auto"/>
        <w:bottom w:val="none" w:sz="0" w:space="0" w:color="auto"/>
        <w:right w:val="none" w:sz="0" w:space="0" w:color="auto"/>
      </w:divBdr>
    </w:div>
    <w:div w:id="379673571">
      <w:bodyDiv w:val="1"/>
      <w:marLeft w:val="0"/>
      <w:marRight w:val="0"/>
      <w:marTop w:val="0"/>
      <w:marBottom w:val="0"/>
      <w:divBdr>
        <w:top w:val="none" w:sz="0" w:space="0" w:color="auto"/>
        <w:left w:val="none" w:sz="0" w:space="0" w:color="auto"/>
        <w:bottom w:val="none" w:sz="0" w:space="0" w:color="auto"/>
        <w:right w:val="none" w:sz="0" w:space="0" w:color="auto"/>
      </w:divBdr>
    </w:div>
    <w:div w:id="380635267">
      <w:bodyDiv w:val="1"/>
      <w:marLeft w:val="0"/>
      <w:marRight w:val="0"/>
      <w:marTop w:val="0"/>
      <w:marBottom w:val="0"/>
      <w:divBdr>
        <w:top w:val="none" w:sz="0" w:space="0" w:color="auto"/>
        <w:left w:val="none" w:sz="0" w:space="0" w:color="auto"/>
        <w:bottom w:val="none" w:sz="0" w:space="0" w:color="auto"/>
        <w:right w:val="none" w:sz="0" w:space="0" w:color="auto"/>
      </w:divBdr>
    </w:div>
    <w:div w:id="380981428">
      <w:bodyDiv w:val="1"/>
      <w:marLeft w:val="0"/>
      <w:marRight w:val="0"/>
      <w:marTop w:val="0"/>
      <w:marBottom w:val="0"/>
      <w:divBdr>
        <w:top w:val="none" w:sz="0" w:space="0" w:color="auto"/>
        <w:left w:val="none" w:sz="0" w:space="0" w:color="auto"/>
        <w:bottom w:val="none" w:sz="0" w:space="0" w:color="auto"/>
        <w:right w:val="none" w:sz="0" w:space="0" w:color="auto"/>
      </w:divBdr>
    </w:div>
    <w:div w:id="381057967">
      <w:bodyDiv w:val="1"/>
      <w:marLeft w:val="0"/>
      <w:marRight w:val="0"/>
      <w:marTop w:val="0"/>
      <w:marBottom w:val="0"/>
      <w:divBdr>
        <w:top w:val="none" w:sz="0" w:space="0" w:color="auto"/>
        <w:left w:val="none" w:sz="0" w:space="0" w:color="auto"/>
        <w:bottom w:val="none" w:sz="0" w:space="0" w:color="auto"/>
        <w:right w:val="none" w:sz="0" w:space="0" w:color="auto"/>
      </w:divBdr>
    </w:div>
    <w:div w:id="381098778">
      <w:bodyDiv w:val="1"/>
      <w:marLeft w:val="0"/>
      <w:marRight w:val="0"/>
      <w:marTop w:val="0"/>
      <w:marBottom w:val="0"/>
      <w:divBdr>
        <w:top w:val="none" w:sz="0" w:space="0" w:color="auto"/>
        <w:left w:val="none" w:sz="0" w:space="0" w:color="auto"/>
        <w:bottom w:val="none" w:sz="0" w:space="0" w:color="auto"/>
        <w:right w:val="none" w:sz="0" w:space="0" w:color="auto"/>
      </w:divBdr>
    </w:div>
    <w:div w:id="381565369">
      <w:bodyDiv w:val="1"/>
      <w:marLeft w:val="0"/>
      <w:marRight w:val="0"/>
      <w:marTop w:val="0"/>
      <w:marBottom w:val="0"/>
      <w:divBdr>
        <w:top w:val="none" w:sz="0" w:space="0" w:color="auto"/>
        <w:left w:val="none" w:sz="0" w:space="0" w:color="auto"/>
        <w:bottom w:val="none" w:sz="0" w:space="0" w:color="auto"/>
        <w:right w:val="none" w:sz="0" w:space="0" w:color="auto"/>
      </w:divBdr>
    </w:div>
    <w:div w:id="381833632">
      <w:bodyDiv w:val="1"/>
      <w:marLeft w:val="0"/>
      <w:marRight w:val="0"/>
      <w:marTop w:val="0"/>
      <w:marBottom w:val="0"/>
      <w:divBdr>
        <w:top w:val="none" w:sz="0" w:space="0" w:color="auto"/>
        <w:left w:val="none" w:sz="0" w:space="0" w:color="auto"/>
        <w:bottom w:val="none" w:sz="0" w:space="0" w:color="auto"/>
        <w:right w:val="none" w:sz="0" w:space="0" w:color="auto"/>
      </w:divBdr>
    </w:div>
    <w:div w:id="382026899">
      <w:bodyDiv w:val="1"/>
      <w:marLeft w:val="0"/>
      <w:marRight w:val="0"/>
      <w:marTop w:val="0"/>
      <w:marBottom w:val="0"/>
      <w:divBdr>
        <w:top w:val="none" w:sz="0" w:space="0" w:color="auto"/>
        <w:left w:val="none" w:sz="0" w:space="0" w:color="auto"/>
        <w:bottom w:val="none" w:sz="0" w:space="0" w:color="auto"/>
        <w:right w:val="none" w:sz="0" w:space="0" w:color="auto"/>
      </w:divBdr>
    </w:div>
    <w:div w:id="383406140">
      <w:bodyDiv w:val="1"/>
      <w:marLeft w:val="0"/>
      <w:marRight w:val="0"/>
      <w:marTop w:val="0"/>
      <w:marBottom w:val="0"/>
      <w:divBdr>
        <w:top w:val="none" w:sz="0" w:space="0" w:color="auto"/>
        <w:left w:val="none" w:sz="0" w:space="0" w:color="auto"/>
        <w:bottom w:val="none" w:sz="0" w:space="0" w:color="auto"/>
        <w:right w:val="none" w:sz="0" w:space="0" w:color="auto"/>
      </w:divBdr>
    </w:div>
    <w:div w:id="383528212">
      <w:bodyDiv w:val="1"/>
      <w:marLeft w:val="0"/>
      <w:marRight w:val="0"/>
      <w:marTop w:val="0"/>
      <w:marBottom w:val="0"/>
      <w:divBdr>
        <w:top w:val="none" w:sz="0" w:space="0" w:color="auto"/>
        <w:left w:val="none" w:sz="0" w:space="0" w:color="auto"/>
        <w:bottom w:val="none" w:sz="0" w:space="0" w:color="auto"/>
        <w:right w:val="none" w:sz="0" w:space="0" w:color="auto"/>
      </w:divBdr>
    </w:div>
    <w:div w:id="384305192">
      <w:bodyDiv w:val="1"/>
      <w:marLeft w:val="0"/>
      <w:marRight w:val="0"/>
      <w:marTop w:val="0"/>
      <w:marBottom w:val="0"/>
      <w:divBdr>
        <w:top w:val="none" w:sz="0" w:space="0" w:color="auto"/>
        <w:left w:val="none" w:sz="0" w:space="0" w:color="auto"/>
        <w:bottom w:val="none" w:sz="0" w:space="0" w:color="auto"/>
        <w:right w:val="none" w:sz="0" w:space="0" w:color="auto"/>
      </w:divBdr>
    </w:div>
    <w:div w:id="384450671">
      <w:bodyDiv w:val="1"/>
      <w:marLeft w:val="0"/>
      <w:marRight w:val="0"/>
      <w:marTop w:val="0"/>
      <w:marBottom w:val="0"/>
      <w:divBdr>
        <w:top w:val="none" w:sz="0" w:space="0" w:color="auto"/>
        <w:left w:val="none" w:sz="0" w:space="0" w:color="auto"/>
        <w:bottom w:val="none" w:sz="0" w:space="0" w:color="auto"/>
        <w:right w:val="none" w:sz="0" w:space="0" w:color="auto"/>
      </w:divBdr>
    </w:div>
    <w:div w:id="384719129">
      <w:bodyDiv w:val="1"/>
      <w:marLeft w:val="0"/>
      <w:marRight w:val="0"/>
      <w:marTop w:val="0"/>
      <w:marBottom w:val="0"/>
      <w:divBdr>
        <w:top w:val="none" w:sz="0" w:space="0" w:color="auto"/>
        <w:left w:val="none" w:sz="0" w:space="0" w:color="auto"/>
        <w:bottom w:val="none" w:sz="0" w:space="0" w:color="auto"/>
        <w:right w:val="none" w:sz="0" w:space="0" w:color="auto"/>
      </w:divBdr>
    </w:div>
    <w:div w:id="384792429">
      <w:bodyDiv w:val="1"/>
      <w:marLeft w:val="0"/>
      <w:marRight w:val="0"/>
      <w:marTop w:val="0"/>
      <w:marBottom w:val="0"/>
      <w:divBdr>
        <w:top w:val="none" w:sz="0" w:space="0" w:color="auto"/>
        <w:left w:val="none" w:sz="0" w:space="0" w:color="auto"/>
        <w:bottom w:val="none" w:sz="0" w:space="0" w:color="auto"/>
        <w:right w:val="none" w:sz="0" w:space="0" w:color="auto"/>
      </w:divBdr>
    </w:div>
    <w:div w:id="384988687">
      <w:bodyDiv w:val="1"/>
      <w:marLeft w:val="0"/>
      <w:marRight w:val="0"/>
      <w:marTop w:val="0"/>
      <w:marBottom w:val="0"/>
      <w:divBdr>
        <w:top w:val="none" w:sz="0" w:space="0" w:color="auto"/>
        <w:left w:val="none" w:sz="0" w:space="0" w:color="auto"/>
        <w:bottom w:val="none" w:sz="0" w:space="0" w:color="auto"/>
        <w:right w:val="none" w:sz="0" w:space="0" w:color="auto"/>
      </w:divBdr>
    </w:div>
    <w:div w:id="385183193">
      <w:bodyDiv w:val="1"/>
      <w:marLeft w:val="0"/>
      <w:marRight w:val="0"/>
      <w:marTop w:val="0"/>
      <w:marBottom w:val="0"/>
      <w:divBdr>
        <w:top w:val="none" w:sz="0" w:space="0" w:color="auto"/>
        <w:left w:val="none" w:sz="0" w:space="0" w:color="auto"/>
        <w:bottom w:val="none" w:sz="0" w:space="0" w:color="auto"/>
        <w:right w:val="none" w:sz="0" w:space="0" w:color="auto"/>
      </w:divBdr>
    </w:div>
    <w:div w:id="386149244">
      <w:bodyDiv w:val="1"/>
      <w:marLeft w:val="0"/>
      <w:marRight w:val="0"/>
      <w:marTop w:val="0"/>
      <w:marBottom w:val="0"/>
      <w:divBdr>
        <w:top w:val="none" w:sz="0" w:space="0" w:color="auto"/>
        <w:left w:val="none" w:sz="0" w:space="0" w:color="auto"/>
        <w:bottom w:val="none" w:sz="0" w:space="0" w:color="auto"/>
        <w:right w:val="none" w:sz="0" w:space="0" w:color="auto"/>
      </w:divBdr>
    </w:div>
    <w:div w:id="386344344">
      <w:bodyDiv w:val="1"/>
      <w:marLeft w:val="0"/>
      <w:marRight w:val="0"/>
      <w:marTop w:val="0"/>
      <w:marBottom w:val="0"/>
      <w:divBdr>
        <w:top w:val="none" w:sz="0" w:space="0" w:color="auto"/>
        <w:left w:val="none" w:sz="0" w:space="0" w:color="auto"/>
        <w:bottom w:val="none" w:sz="0" w:space="0" w:color="auto"/>
        <w:right w:val="none" w:sz="0" w:space="0" w:color="auto"/>
      </w:divBdr>
    </w:div>
    <w:div w:id="386757937">
      <w:bodyDiv w:val="1"/>
      <w:marLeft w:val="0"/>
      <w:marRight w:val="0"/>
      <w:marTop w:val="0"/>
      <w:marBottom w:val="0"/>
      <w:divBdr>
        <w:top w:val="none" w:sz="0" w:space="0" w:color="auto"/>
        <w:left w:val="none" w:sz="0" w:space="0" w:color="auto"/>
        <w:bottom w:val="none" w:sz="0" w:space="0" w:color="auto"/>
        <w:right w:val="none" w:sz="0" w:space="0" w:color="auto"/>
      </w:divBdr>
    </w:div>
    <w:div w:id="386993373">
      <w:bodyDiv w:val="1"/>
      <w:marLeft w:val="0"/>
      <w:marRight w:val="0"/>
      <w:marTop w:val="0"/>
      <w:marBottom w:val="0"/>
      <w:divBdr>
        <w:top w:val="none" w:sz="0" w:space="0" w:color="auto"/>
        <w:left w:val="none" w:sz="0" w:space="0" w:color="auto"/>
        <w:bottom w:val="none" w:sz="0" w:space="0" w:color="auto"/>
        <w:right w:val="none" w:sz="0" w:space="0" w:color="auto"/>
      </w:divBdr>
    </w:div>
    <w:div w:id="387191214">
      <w:bodyDiv w:val="1"/>
      <w:marLeft w:val="0"/>
      <w:marRight w:val="0"/>
      <w:marTop w:val="0"/>
      <w:marBottom w:val="0"/>
      <w:divBdr>
        <w:top w:val="none" w:sz="0" w:space="0" w:color="auto"/>
        <w:left w:val="none" w:sz="0" w:space="0" w:color="auto"/>
        <w:bottom w:val="none" w:sz="0" w:space="0" w:color="auto"/>
        <w:right w:val="none" w:sz="0" w:space="0" w:color="auto"/>
      </w:divBdr>
    </w:div>
    <w:div w:id="387340771">
      <w:bodyDiv w:val="1"/>
      <w:marLeft w:val="0"/>
      <w:marRight w:val="0"/>
      <w:marTop w:val="0"/>
      <w:marBottom w:val="0"/>
      <w:divBdr>
        <w:top w:val="none" w:sz="0" w:space="0" w:color="auto"/>
        <w:left w:val="none" w:sz="0" w:space="0" w:color="auto"/>
        <w:bottom w:val="none" w:sz="0" w:space="0" w:color="auto"/>
        <w:right w:val="none" w:sz="0" w:space="0" w:color="auto"/>
      </w:divBdr>
    </w:div>
    <w:div w:id="388067858">
      <w:bodyDiv w:val="1"/>
      <w:marLeft w:val="0"/>
      <w:marRight w:val="0"/>
      <w:marTop w:val="0"/>
      <w:marBottom w:val="0"/>
      <w:divBdr>
        <w:top w:val="none" w:sz="0" w:space="0" w:color="auto"/>
        <w:left w:val="none" w:sz="0" w:space="0" w:color="auto"/>
        <w:bottom w:val="none" w:sz="0" w:space="0" w:color="auto"/>
        <w:right w:val="none" w:sz="0" w:space="0" w:color="auto"/>
      </w:divBdr>
    </w:div>
    <w:div w:id="388185902">
      <w:bodyDiv w:val="1"/>
      <w:marLeft w:val="0"/>
      <w:marRight w:val="0"/>
      <w:marTop w:val="0"/>
      <w:marBottom w:val="0"/>
      <w:divBdr>
        <w:top w:val="none" w:sz="0" w:space="0" w:color="auto"/>
        <w:left w:val="none" w:sz="0" w:space="0" w:color="auto"/>
        <w:bottom w:val="none" w:sz="0" w:space="0" w:color="auto"/>
        <w:right w:val="none" w:sz="0" w:space="0" w:color="auto"/>
      </w:divBdr>
    </w:div>
    <w:div w:id="388190859">
      <w:bodyDiv w:val="1"/>
      <w:marLeft w:val="0"/>
      <w:marRight w:val="0"/>
      <w:marTop w:val="0"/>
      <w:marBottom w:val="0"/>
      <w:divBdr>
        <w:top w:val="none" w:sz="0" w:space="0" w:color="auto"/>
        <w:left w:val="none" w:sz="0" w:space="0" w:color="auto"/>
        <w:bottom w:val="none" w:sz="0" w:space="0" w:color="auto"/>
        <w:right w:val="none" w:sz="0" w:space="0" w:color="auto"/>
      </w:divBdr>
    </w:div>
    <w:div w:id="388261883">
      <w:bodyDiv w:val="1"/>
      <w:marLeft w:val="0"/>
      <w:marRight w:val="0"/>
      <w:marTop w:val="0"/>
      <w:marBottom w:val="0"/>
      <w:divBdr>
        <w:top w:val="none" w:sz="0" w:space="0" w:color="auto"/>
        <w:left w:val="none" w:sz="0" w:space="0" w:color="auto"/>
        <w:bottom w:val="none" w:sz="0" w:space="0" w:color="auto"/>
        <w:right w:val="none" w:sz="0" w:space="0" w:color="auto"/>
      </w:divBdr>
    </w:div>
    <w:div w:id="388309342">
      <w:bodyDiv w:val="1"/>
      <w:marLeft w:val="0"/>
      <w:marRight w:val="0"/>
      <w:marTop w:val="0"/>
      <w:marBottom w:val="0"/>
      <w:divBdr>
        <w:top w:val="none" w:sz="0" w:space="0" w:color="auto"/>
        <w:left w:val="none" w:sz="0" w:space="0" w:color="auto"/>
        <w:bottom w:val="none" w:sz="0" w:space="0" w:color="auto"/>
        <w:right w:val="none" w:sz="0" w:space="0" w:color="auto"/>
      </w:divBdr>
    </w:div>
    <w:div w:id="388380161">
      <w:bodyDiv w:val="1"/>
      <w:marLeft w:val="0"/>
      <w:marRight w:val="0"/>
      <w:marTop w:val="0"/>
      <w:marBottom w:val="0"/>
      <w:divBdr>
        <w:top w:val="none" w:sz="0" w:space="0" w:color="auto"/>
        <w:left w:val="none" w:sz="0" w:space="0" w:color="auto"/>
        <w:bottom w:val="none" w:sz="0" w:space="0" w:color="auto"/>
        <w:right w:val="none" w:sz="0" w:space="0" w:color="auto"/>
      </w:divBdr>
    </w:div>
    <w:div w:id="388848808">
      <w:bodyDiv w:val="1"/>
      <w:marLeft w:val="0"/>
      <w:marRight w:val="0"/>
      <w:marTop w:val="0"/>
      <w:marBottom w:val="0"/>
      <w:divBdr>
        <w:top w:val="none" w:sz="0" w:space="0" w:color="auto"/>
        <w:left w:val="none" w:sz="0" w:space="0" w:color="auto"/>
        <w:bottom w:val="none" w:sz="0" w:space="0" w:color="auto"/>
        <w:right w:val="none" w:sz="0" w:space="0" w:color="auto"/>
      </w:divBdr>
    </w:div>
    <w:div w:id="389153214">
      <w:bodyDiv w:val="1"/>
      <w:marLeft w:val="0"/>
      <w:marRight w:val="0"/>
      <w:marTop w:val="0"/>
      <w:marBottom w:val="0"/>
      <w:divBdr>
        <w:top w:val="none" w:sz="0" w:space="0" w:color="auto"/>
        <w:left w:val="none" w:sz="0" w:space="0" w:color="auto"/>
        <w:bottom w:val="none" w:sz="0" w:space="0" w:color="auto"/>
        <w:right w:val="none" w:sz="0" w:space="0" w:color="auto"/>
      </w:divBdr>
    </w:div>
    <w:div w:id="389311543">
      <w:bodyDiv w:val="1"/>
      <w:marLeft w:val="0"/>
      <w:marRight w:val="0"/>
      <w:marTop w:val="0"/>
      <w:marBottom w:val="0"/>
      <w:divBdr>
        <w:top w:val="none" w:sz="0" w:space="0" w:color="auto"/>
        <w:left w:val="none" w:sz="0" w:space="0" w:color="auto"/>
        <w:bottom w:val="none" w:sz="0" w:space="0" w:color="auto"/>
        <w:right w:val="none" w:sz="0" w:space="0" w:color="auto"/>
      </w:divBdr>
    </w:div>
    <w:div w:id="389350262">
      <w:bodyDiv w:val="1"/>
      <w:marLeft w:val="0"/>
      <w:marRight w:val="0"/>
      <w:marTop w:val="0"/>
      <w:marBottom w:val="0"/>
      <w:divBdr>
        <w:top w:val="none" w:sz="0" w:space="0" w:color="auto"/>
        <w:left w:val="none" w:sz="0" w:space="0" w:color="auto"/>
        <w:bottom w:val="none" w:sz="0" w:space="0" w:color="auto"/>
        <w:right w:val="none" w:sz="0" w:space="0" w:color="auto"/>
      </w:divBdr>
    </w:div>
    <w:div w:id="389423874">
      <w:bodyDiv w:val="1"/>
      <w:marLeft w:val="0"/>
      <w:marRight w:val="0"/>
      <w:marTop w:val="0"/>
      <w:marBottom w:val="0"/>
      <w:divBdr>
        <w:top w:val="none" w:sz="0" w:space="0" w:color="auto"/>
        <w:left w:val="none" w:sz="0" w:space="0" w:color="auto"/>
        <w:bottom w:val="none" w:sz="0" w:space="0" w:color="auto"/>
        <w:right w:val="none" w:sz="0" w:space="0" w:color="auto"/>
      </w:divBdr>
    </w:div>
    <w:div w:id="389769181">
      <w:bodyDiv w:val="1"/>
      <w:marLeft w:val="0"/>
      <w:marRight w:val="0"/>
      <w:marTop w:val="0"/>
      <w:marBottom w:val="0"/>
      <w:divBdr>
        <w:top w:val="none" w:sz="0" w:space="0" w:color="auto"/>
        <w:left w:val="none" w:sz="0" w:space="0" w:color="auto"/>
        <w:bottom w:val="none" w:sz="0" w:space="0" w:color="auto"/>
        <w:right w:val="none" w:sz="0" w:space="0" w:color="auto"/>
      </w:divBdr>
    </w:div>
    <w:div w:id="390543528">
      <w:bodyDiv w:val="1"/>
      <w:marLeft w:val="0"/>
      <w:marRight w:val="0"/>
      <w:marTop w:val="0"/>
      <w:marBottom w:val="0"/>
      <w:divBdr>
        <w:top w:val="none" w:sz="0" w:space="0" w:color="auto"/>
        <w:left w:val="none" w:sz="0" w:space="0" w:color="auto"/>
        <w:bottom w:val="none" w:sz="0" w:space="0" w:color="auto"/>
        <w:right w:val="none" w:sz="0" w:space="0" w:color="auto"/>
      </w:divBdr>
    </w:div>
    <w:div w:id="390545587">
      <w:bodyDiv w:val="1"/>
      <w:marLeft w:val="0"/>
      <w:marRight w:val="0"/>
      <w:marTop w:val="0"/>
      <w:marBottom w:val="0"/>
      <w:divBdr>
        <w:top w:val="none" w:sz="0" w:space="0" w:color="auto"/>
        <w:left w:val="none" w:sz="0" w:space="0" w:color="auto"/>
        <w:bottom w:val="none" w:sz="0" w:space="0" w:color="auto"/>
        <w:right w:val="none" w:sz="0" w:space="0" w:color="auto"/>
      </w:divBdr>
    </w:div>
    <w:div w:id="391005862">
      <w:bodyDiv w:val="1"/>
      <w:marLeft w:val="0"/>
      <w:marRight w:val="0"/>
      <w:marTop w:val="0"/>
      <w:marBottom w:val="0"/>
      <w:divBdr>
        <w:top w:val="none" w:sz="0" w:space="0" w:color="auto"/>
        <w:left w:val="none" w:sz="0" w:space="0" w:color="auto"/>
        <w:bottom w:val="none" w:sz="0" w:space="0" w:color="auto"/>
        <w:right w:val="none" w:sz="0" w:space="0" w:color="auto"/>
      </w:divBdr>
    </w:div>
    <w:div w:id="391927692">
      <w:bodyDiv w:val="1"/>
      <w:marLeft w:val="0"/>
      <w:marRight w:val="0"/>
      <w:marTop w:val="0"/>
      <w:marBottom w:val="0"/>
      <w:divBdr>
        <w:top w:val="none" w:sz="0" w:space="0" w:color="auto"/>
        <w:left w:val="none" w:sz="0" w:space="0" w:color="auto"/>
        <w:bottom w:val="none" w:sz="0" w:space="0" w:color="auto"/>
        <w:right w:val="none" w:sz="0" w:space="0" w:color="auto"/>
      </w:divBdr>
    </w:div>
    <w:div w:id="391999992">
      <w:bodyDiv w:val="1"/>
      <w:marLeft w:val="0"/>
      <w:marRight w:val="0"/>
      <w:marTop w:val="0"/>
      <w:marBottom w:val="0"/>
      <w:divBdr>
        <w:top w:val="none" w:sz="0" w:space="0" w:color="auto"/>
        <w:left w:val="none" w:sz="0" w:space="0" w:color="auto"/>
        <w:bottom w:val="none" w:sz="0" w:space="0" w:color="auto"/>
        <w:right w:val="none" w:sz="0" w:space="0" w:color="auto"/>
      </w:divBdr>
    </w:div>
    <w:div w:id="392049257">
      <w:bodyDiv w:val="1"/>
      <w:marLeft w:val="0"/>
      <w:marRight w:val="0"/>
      <w:marTop w:val="0"/>
      <w:marBottom w:val="0"/>
      <w:divBdr>
        <w:top w:val="none" w:sz="0" w:space="0" w:color="auto"/>
        <w:left w:val="none" w:sz="0" w:space="0" w:color="auto"/>
        <w:bottom w:val="none" w:sz="0" w:space="0" w:color="auto"/>
        <w:right w:val="none" w:sz="0" w:space="0" w:color="auto"/>
      </w:divBdr>
    </w:div>
    <w:div w:id="392891232">
      <w:bodyDiv w:val="1"/>
      <w:marLeft w:val="0"/>
      <w:marRight w:val="0"/>
      <w:marTop w:val="0"/>
      <w:marBottom w:val="0"/>
      <w:divBdr>
        <w:top w:val="none" w:sz="0" w:space="0" w:color="auto"/>
        <w:left w:val="none" w:sz="0" w:space="0" w:color="auto"/>
        <w:bottom w:val="none" w:sz="0" w:space="0" w:color="auto"/>
        <w:right w:val="none" w:sz="0" w:space="0" w:color="auto"/>
      </w:divBdr>
    </w:div>
    <w:div w:id="392966210">
      <w:bodyDiv w:val="1"/>
      <w:marLeft w:val="0"/>
      <w:marRight w:val="0"/>
      <w:marTop w:val="0"/>
      <w:marBottom w:val="0"/>
      <w:divBdr>
        <w:top w:val="none" w:sz="0" w:space="0" w:color="auto"/>
        <w:left w:val="none" w:sz="0" w:space="0" w:color="auto"/>
        <w:bottom w:val="none" w:sz="0" w:space="0" w:color="auto"/>
        <w:right w:val="none" w:sz="0" w:space="0" w:color="auto"/>
      </w:divBdr>
    </w:div>
    <w:div w:id="392967329">
      <w:bodyDiv w:val="1"/>
      <w:marLeft w:val="0"/>
      <w:marRight w:val="0"/>
      <w:marTop w:val="0"/>
      <w:marBottom w:val="0"/>
      <w:divBdr>
        <w:top w:val="none" w:sz="0" w:space="0" w:color="auto"/>
        <w:left w:val="none" w:sz="0" w:space="0" w:color="auto"/>
        <w:bottom w:val="none" w:sz="0" w:space="0" w:color="auto"/>
        <w:right w:val="none" w:sz="0" w:space="0" w:color="auto"/>
      </w:divBdr>
    </w:div>
    <w:div w:id="393235948">
      <w:bodyDiv w:val="1"/>
      <w:marLeft w:val="0"/>
      <w:marRight w:val="0"/>
      <w:marTop w:val="0"/>
      <w:marBottom w:val="0"/>
      <w:divBdr>
        <w:top w:val="none" w:sz="0" w:space="0" w:color="auto"/>
        <w:left w:val="none" w:sz="0" w:space="0" w:color="auto"/>
        <w:bottom w:val="none" w:sz="0" w:space="0" w:color="auto"/>
        <w:right w:val="none" w:sz="0" w:space="0" w:color="auto"/>
      </w:divBdr>
    </w:div>
    <w:div w:id="393624612">
      <w:bodyDiv w:val="1"/>
      <w:marLeft w:val="0"/>
      <w:marRight w:val="0"/>
      <w:marTop w:val="0"/>
      <w:marBottom w:val="0"/>
      <w:divBdr>
        <w:top w:val="none" w:sz="0" w:space="0" w:color="auto"/>
        <w:left w:val="none" w:sz="0" w:space="0" w:color="auto"/>
        <w:bottom w:val="none" w:sz="0" w:space="0" w:color="auto"/>
        <w:right w:val="none" w:sz="0" w:space="0" w:color="auto"/>
      </w:divBdr>
    </w:div>
    <w:div w:id="393741796">
      <w:bodyDiv w:val="1"/>
      <w:marLeft w:val="0"/>
      <w:marRight w:val="0"/>
      <w:marTop w:val="0"/>
      <w:marBottom w:val="0"/>
      <w:divBdr>
        <w:top w:val="none" w:sz="0" w:space="0" w:color="auto"/>
        <w:left w:val="none" w:sz="0" w:space="0" w:color="auto"/>
        <w:bottom w:val="none" w:sz="0" w:space="0" w:color="auto"/>
        <w:right w:val="none" w:sz="0" w:space="0" w:color="auto"/>
      </w:divBdr>
    </w:div>
    <w:div w:id="393742364">
      <w:bodyDiv w:val="1"/>
      <w:marLeft w:val="0"/>
      <w:marRight w:val="0"/>
      <w:marTop w:val="0"/>
      <w:marBottom w:val="0"/>
      <w:divBdr>
        <w:top w:val="none" w:sz="0" w:space="0" w:color="auto"/>
        <w:left w:val="none" w:sz="0" w:space="0" w:color="auto"/>
        <w:bottom w:val="none" w:sz="0" w:space="0" w:color="auto"/>
        <w:right w:val="none" w:sz="0" w:space="0" w:color="auto"/>
      </w:divBdr>
    </w:div>
    <w:div w:id="394165036">
      <w:bodyDiv w:val="1"/>
      <w:marLeft w:val="0"/>
      <w:marRight w:val="0"/>
      <w:marTop w:val="0"/>
      <w:marBottom w:val="0"/>
      <w:divBdr>
        <w:top w:val="none" w:sz="0" w:space="0" w:color="auto"/>
        <w:left w:val="none" w:sz="0" w:space="0" w:color="auto"/>
        <w:bottom w:val="none" w:sz="0" w:space="0" w:color="auto"/>
        <w:right w:val="none" w:sz="0" w:space="0" w:color="auto"/>
      </w:divBdr>
    </w:div>
    <w:div w:id="394741715">
      <w:bodyDiv w:val="1"/>
      <w:marLeft w:val="0"/>
      <w:marRight w:val="0"/>
      <w:marTop w:val="0"/>
      <w:marBottom w:val="0"/>
      <w:divBdr>
        <w:top w:val="none" w:sz="0" w:space="0" w:color="auto"/>
        <w:left w:val="none" w:sz="0" w:space="0" w:color="auto"/>
        <w:bottom w:val="none" w:sz="0" w:space="0" w:color="auto"/>
        <w:right w:val="none" w:sz="0" w:space="0" w:color="auto"/>
      </w:divBdr>
    </w:div>
    <w:div w:id="395668779">
      <w:bodyDiv w:val="1"/>
      <w:marLeft w:val="0"/>
      <w:marRight w:val="0"/>
      <w:marTop w:val="0"/>
      <w:marBottom w:val="0"/>
      <w:divBdr>
        <w:top w:val="none" w:sz="0" w:space="0" w:color="auto"/>
        <w:left w:val="none" w:sz="0" w:space="0" w:color="auto"/>
        <w:bottom w:val="none" w:sz="0" w:space="0" w:color="auto"/>
        <w:right w:val="none" w:sz="0" w:space="0" w:color="auto"/>
      </w:divBdr>
    </w:div>
    <w:div w:id="396712056">
      <w:bodyDiv w:val="1"/>
      <w:marLeft w:val="0"/>
      <w:marRight w:val="0"/>
      <w:marTop w:val="0"/>
      <w:marBottom w:val="0"/>
      <w:divBdr>
        <w:top w:val="none" w:sz="0" w:space="0" w:color="auto"/>
        <w:left w:val="none" w:sz="0" w:space="0" w:color="auto"/>
        <w:bottom w:val="none" w:sz="0" w:space="0" w:color="auto"/>
        <w:right w:val="none" w:sz="0" w:space="0" w:color="auto"/>
      </w:divBdr>
    </w:div>
    <w:div w:id="396826129">
      <w:bodyDiv w:val="1"/>
      <w:marLeft w:val="0"/>
      <w:marRight w:val="0"/>
      <w:marTop w:val="0"/>
      <w:marBottom w:val="0"/>
      <w:divBdr>
        <w:top w:val="none" w:sz="0" w:space="0" w:color="auto"/>
        <w:left w:val="none" w:sz="0" w:space="0" w:color="auto"/>
        <w:bottom w:val="none" w:sz="0" w:space="0" w:color="auto"/>
        <w:right w:val="none" w:sz="0" w:space="0" w:color="auto"/>
      </w:divBdr>
    </w:div>
    <w:div w:id="396981385">
      <w:bodyDiv w:val="1"/>
      <w:marLeft w:val="0"/>
      <w:marRight w:val="0"/>
      <w:marTop w:val="0"/>
      <w:marBottom w:val="0"/>
      <w:divBdr>
        <w:top w:val="none" w:sz="0" w:space="0" w:color="auto"/>
        <w:left w:val="none" w:sz="0" w:space="0" w:color="auto"/>
        <w:bottom w:val="none" w:sz="0" w:space="0" w:color="auto"/>
        <w:right w:val="none" w:sz="0" w:space="0" w:color="auto"/>
      </w:divBdr>
    </w:div>
    <w:div w:id="397169376">
      <w:bodyDiv w:val="1"/>
      <w:marLeft w:val="0"/>
      <w:marRight w:val="0"/>
      <w:marTop w:val="0"/>
      <w:marBottom w:val="0"/>
      <w:divBdr>
        <w:top w:val="none" w:sz="0" w:space="0" w:color="auto"/>
        <w:left w:val="none" w:sz="0" w:space="0" w:color="auto"/>
        <w:bottom w:val="none" w:sz="0" w:space="0" w:color="auto"/>
        <w:right w:val="none" w:sz="0" w:space="0" w:color="auto"/>
      </w:divBdr>
    </w:div>
    <w:div w:id="398328498">
      <w:bodyDiv w:val="1"/>
      <w:marLeft w:val="0"/>
      <w:marRight w:val="0"/>
      <w:marTop w:val="0"/>
      <w:marBottom w:val="0"/>
      <w:divBdr>
        <w:top w:val="none" w:sz="0" w:space="0" w:color="auto"/>
        <w:left w:val="none" w:sz="0" w:space="0" w:color="auto"/>
        <w:bottom w:val="none" w:sz="0" w:space="0" w:color="auto"/>
        <w:right w:val="none" w:sz="0" w:space="0" w:color="auto"/>
      </w:divBdr>
    </w:div>
    <w:div w:id="398673748">
      <w:bodyDiv w:val="1"/>
      <w:marLeft w:val="0"/>
      <w:marRight w:val="0"/>
      <w:marTop w:val="0"/>
      <w:marBottom w:val="0"/>
      <w:divBdr>
        <w:top w:val="none" w:sz="0" w:space="0" w:color="auto"/>
        <w:left w:val="none" w:sz="0" w:space="0" w:color="auto"/>
        <w:bottom w:val="none" w:sz="0" w:space="0" w:color="auto"/>
        <w:right w:val="none" w:sz="0" w:space="0" w:color="auto"/>
      </w:divBdr>
    </w:div>
    <w:div w:id="399404769">
      <w:bodyDiv w:val="1"/>
      <w:marLeft w:val="0"/>
      <w:marRight w:val="0"/>
      <w:marTop w:val="0"/>
      <w:marBottom w:val="0"/>
      <w:divBdr>
        <w:top w:val="none" w:sz="0" w:space="0" w:color="auto"/>
        <w:left w:val="none" w:sz="0" w:space="0" w:color="auto"/>
        <w:bottom w:val="none" w:sz="0" w:space="0" w:color="auto"/>
        <w:right w:val="none" w:sz="0" w:space="0" w:color="auto"/>
      </w:divBdr>
    </w:div>
    <w:div w:id="400521358">
      <w:bodyDiv w:val="1"/>
      <w:marLeft w:val="0"/>
      <w:marRight w:val="0"/>
      <w:marTop w:val="0"/>
      <w:marBottom w:val="0"/>
      <w:divBdr>
        <w:top w:val="none" w:sz="0" w:space="0" w:color="auto"/>
        <w:left w:val="none" w:sz="0" w:space="0" w:color="auto"/>
        <w:bottom w:val="none" w:sz="0" w:space="0" w:color="auto"/>
        <w:right w:val="none" w:sz="0" w:space="0" w:color="auto"/>
      </w:divBdr>
    </w:div>
    <w:div w:id="400835357">
      <w:bodyDiv w:val="1"/>
      <w:marLeft w:val="0"/>
      <w:marRight w:val="0"/>
      <w:marTop w:val="0"/>
      <w:marBottom w:val="0"/>
      <w:divBdr>
        <w:top w:val="none" w:sz="0" w:space="0" w:color="auto"/>
        <w:left w:val="none" w:sz="0" w:space="0" w:color="auto"/>
        <w:bottom w:val="none" w:sz="0" w:space="0" w:color="auto"/>
        <w:right w:val="none" w:sz="0" w:space="0" w:color="auto"/>
      </w:divBdr>
    </w:div>
    <w:div w:id="401293534">
      <w:bodyDiv w:val="1"/>
      <w:marLeft w:val="0"/>
      <w:marRight w:val="0"/>
      <w:marTop w:val="0"/>
      <w:marBottom w:val="0"/>
      <w:divBdr>
        <w:top w:val="none" w:sz="0" w:space="0" w:color="auto"/>
        <w:left w:val="none" w:sz="0" w:space="0" w:color="auto"/>
        <w:bottom w:val="none" w:sz="0" w:space="0" w:color="auto"/>
        <w:right w:val="none" w:sz="0" w:space="0" w:color="auto"/>
      </w:divBdr>
      <w:divsChild>
        <w:div w:id="212619854">
          <w:marLeft w:val="0"/>
          <w:marRight w:val="0"/>
          <w:marTop w:val="0"/>
          <w:marBottom w:val="0"/>
          <w:divBdr>
            <w:top w:val="none" w:sz="0" w:space="0" w:color="auto"/>
            <w:left w:val="none" w:sz="0" w:space="0" w:color="auto"/>
            <w:bottom w:val="none" w:sz="0" w:space="0" w:color="auto"/>
            <w:right w:val="none" w:sz="0" w:space="0" w:color="auto"/>
          </w:divBdr>
        </w:div>
      </w:divsChild>
    </w:div>
    <w:div w:id="401412388">
      <w:bodyDiv w:val="1"/>
      <w:marLeft w:val="0"/>
      <w:marRight w:val="0"/>
      <w:marTop w:val="0"/>
      <w:marBottom w:val="0"/>
      <w:divBdr>
        <w:top w:val="none" w:sz="0" w:space="0" w:color="auto"/>
        <w:left w:val="none" w:sz="0" w:space="0" w:color="auto"/>
        <w:bottom w:val="none" w:sz="0" w:space="0" w:color="auto"/>
        <w:right w:val="none" w:sz="0" w:space="0" w:color="auto"/>
      </w:divBdr>
    </w:div>
    <w:div w:id="401833838">
      <w:bodyDiv w:val="1"/>
      <w:marLeft w:val="0"/>
      <w:marRight w:val="0"/>
      <w:marTop w:val="0"/>
      <w:marBottom w:val="0"/>
      <w:divBdr>
        <w:top w:val="none" w:sz="0" w:space="0" w:color="auto"/>
        <w:left w:val="none" w:sz="0" w:space="0" w:color="auto"/>
        <w:bottom w:val="none" w:sz="0" w:space="0" w:color="auto"/>
        <w:right w:val="none" w:sz="0" w:space="0" w:color="auto"/>
      </w:divBdr>
    </w:div>
    <w:div w:id="402022802">
      <w:bodyDiv w:val="1"/>
      <w:marLeft w:val="0"/>
      <w:marRight w:val="0"/>
      <w:marTop w:val="0"/>
      <w:marBottom w:val="0"/>
      <w:divBdr>
        <w:top w:val="none" w:sz="0" w:space="0" w:color="auto"/>
        <w:left w:val="none" w:sz="0" w:space="0" w:color="auto"/>
        <w:bottom w:val="none" w:sz="0" w:space="0" w:color="auto"/>
        <w:right w:val="none" w:sz="0" w:space="0" w:color="auto"/>
      </w:divBdr>
    </w:div>
    <w:div w:id="402457716">
      <w:bodyDiv w:val="1"/>
      <w:marLeft w:val="0"/>
      <w:marRight w:val="0"/>
      <w:marTop w:val="0"/>
      <w:marBottom w:val="0"/>
      <w:divBdr>
        <w:top w:val="none" w:sz="0" w:space="0" w:color="auto"/>
        <w:left w:val="none" w:sz="0" w:space="0" w:color="auto"/>
        <w:bottom w:val="none" w:sz="0" w:space="0" w:color="auto"/>
        <w:right w:val="none" w:sz="0" w:space="0" w:color="auto"/>
      </w:divBdr>
    </w:div>
    <w:div w:id="402718986">
      <w:bodyDiv w:val="1"/>
      <w:marLeft w:val="0"/>
      <w:marRight w:val="0"/>
      <w:marTop w:val="0"/>
      <w:marBottom w:val="0"/>
      <w:divBdr>
        <w:top w:val="none" w:sz="0" w:space="0" w:color="auto"/>
        <w:left w:val="none" w:sz="0" w:space="0" w:color="auto"/>
        <w:bottom w:val="none" w:sz="0" w:space="0" w:color="auto"/>
        <w:right w:val="none" w:sz="0" w:space="0" w:color="auto"/>
      </w:divBdr>
    </w:div>
    <w:div w:id="402988823">
      <w:bodyDiv w:val="1"/>
      <w:marLeft w:val="0"/>
      <w:marRight w:val="0"/>
      <w:marTop w:val="0"/>
      <w:marBottom w:val="0"/>
      <w:divBdr>
        <w:top w:val="none" w:sz="0" w:space="0" w:color="auto"/>
        <w:left w:val="none" w:sz="0" w:space="0" w:color="auto"/>
        <w:bottom w:val="none" w:sz="0" w:space="0" w:color="auto"/>
        <w:right w:val="none" w:sz="0" w:space="0" w:color="auto"/>
      </w:divBdr>
    </w:div>
    <w:div w:id="403768399">
      <w:bodyDiv w:val="1"/>
      <w:marLeft w:val="0"/>
      <w:marRight w:val="0"/>
      <w:marTop w:val="0"/>
      <w:marBottom w:val="0"/>
      <w:divBdr>
        <w:top w:val="none" w:sz="0" w:space="0" w:color="auto"/>
        <w:left w:val="none" w:sz="0" w:space="0" w:color="auto"/>
        <w:bottom w:val="none" w:sz="0" w:space="0" w:color="auto"/>
        <w:right w:val="none" w:sz="0" w:space="0" w:color="auto"/>
      </w:divBdr>
    </w:div>
    <w:div w:id="403913063">
      <w:bodyDiv w:val="1"/>
      <w:marLeft w:val="0"/>
      <w:marRight w:val="0"/>
      <w:marTop w:val="0"/>
      <w:marBottom w:val="0"/>
      <w:divBdr>
        <w:top w:val="none" w:sz="0" w:space="0" w:color="auto"/>
        <w:left w:val="none" w:sz="0" w:space="0" w:color="auto"/>
        <w:bottom w:val="none" w:sz="0" w:space="0" w:color="auto"/>
        <w:right w:val="none" w:sz="0" w:space="0" w:color="auto"/>
      </w:divBdr>
    </w:div>
    <w:div w:id="404570132">
      <w:bodyDiv w:val="1"/>
      <w:marLeft w:val="0"/>
      <w:marRight w:val="0"/>
      <w:marTop w:val="0"/>
      <w:marBottom w:val="0"/>
      <w:divBdr>
        <w:top w:val="none" w:sz="0" w:space="0" w:color="auto"/>
        <w:left w:val="none" w:sz="0" w:space="0" w:color="auto"/>
        <w:bottom w:val="none" w:sz="0" w:space="0" w:color="auto"/>
        <w:right w:val="none" w:sz="0" w:space="0" w:color="auto"/>
      </w:divBdr>
    </w:div>
    <w:div w:id="405415569">
      <w:bodyDiv w:val="1"/>
      <w:marLeft w:val="0"/>
      <w:marRight w:val="0"/>
      <w:marTop w:val="0"/>
      <w:marBottom w:val="0"/>
      <w:divBdr>
        <w:top w:val="none" w:sz="0" w:space="0" w:color="auto"/>
        <w:left w:val="none" w:sz="0" w:space="0" w:color="auto"/>
        <w:bottom w:val="none" w:sz="0" w:space="0" w:color="auto"/>
        <w:right w:val="none" w:sz="0" w:space="0" w:color="auto"/>
      </w:divBdr>
    </w:div>
    <w:div w:id="405422810">
      <w:bodyDiv w:val="1"/>
      <w:marLeft w:val="0"/>
      <w:marRight w:val="0"/>
      <w:marTop w:val="0"/>
      <w:marBottom w:val="0"/>
      <w:divBdr>
        <w:top w:val="none" w:sz="0" w:space="0" w:color="auto"/>
        <w:left w:val="none" w:sz="0" w:space="0" w:color="auto"/>
        <w:bottom w:val="none" w:sz="0" w:space="0" w:color="auto"/>
        <w:right w:val="none" w:sz="0" w:space="0" w:color="auto"/>
      </w:divBdr>
    </w:div>
    <w:div w:id="405610332">
      <w:bodyDiv w:val="1"/>
      <w:marLeft w:val="0"/>
      <w:marRight w:val="0"/>
      <w:marTop w:val="0"/>
      <w:marBottom w:val="0"/>
      <w:divBdr>
        <w:top w:val="none" w:sz="0" w:space="0" w:color="auto"/>
        <w:left w:val="none" w:sz="0" w:space="0" w:color="auto"/>
        <w:bottom w:val="none" w:sz="0" w:space="0" w:color="auto"/>
        <w:right w:val="none" w:sz="0" w:space="0" w:color="auto"/>
      </w:divBdr>
    </w:div>
    <w:div w:id="405692708">
      <w:bodyDiv w:val="1"/>
      <w:marLeft w:val="0"/>
      <w:marRight w:val="0"/>
      <w:marTop w:val="0"/>
      <w:marBottom w:val="0"/>
      <w:divBdr>
        <w:top w:val="none" w:sz="0" w:space="0" w:color="auto"/>
        <w:left w:val="none" w:sz="0" w:space="0" w:color="auto"/>
        <w:bottom w:val="none" w:sz="0" w:space="0" w:color="auto"/>
        <w:right w:val="none" w:sz="0" w:space="0" w:color="auto"/>
      </w:divBdr>
    </w:div>
    <w:div w:id="406000403">
      <w:bodyDiv w:val="1"/>
      <w:marLeft w:val="0"/>
      <w:marRight w:val="0"/>
      <w:marTop w:val="0"/>
      <w:marBottom w:val="0"/>
      <w:divBdr>
        <w:top w:val="none" w:sz="0" w:space="0" w:color="auto"/>
        <w:left w:val="none" w:sz="0" w:space="0" w:color="auto"/>
        <w:bottom w:val="none" w:sz="0" w:space="0" w:color="auto"/>
        <w:right w:val="none" w:sz="0" w:space="0" w:color="auto"/>
      </w:divBdr>
    </w:div>
    <w:div w:id="406416193">
      <w:bodyDiv w:val="1"/>
      <w:marLeft w:val="0"/>
      <w:marRight w:val="0"/>
      <w:marTop w:val="0"/>
      <w:marBottom w:val="0"/>
      <w:divBdr>
        <w:top w:val="none" w:sz="0" w:space="0" w:color="auto"/>
        <w:left w:val="none" w:sz="0" w:space="0" w:color="auto"/>
        <w:bottom w:val="none" w:sz="0" w:space="0" w:color="auto"/>
        <w:right w:val="none" w:sz="0" w:space="0" w:color="auto"/>
      </w:divBdr>
    </w:div>
    <w:div w:id="406418451">
      <w:bodyDiv w:val="1"/>
      <w:marLeft w:val="0"/>
      <w:marRight w:val="0"/>
      <w:marTop w:val="0"/>
      <w:marBottom w:val="0"/>
      <w:divBdr>
        <w:top w:val="none" w:sz="0" w:space="0" w:color="auto"/>
        <w:left w:val="none" w:sz="0" w:space="0" w:color="auto"/>
        <w:bottom w:val="none" w:sz="0" w:space="0" w:color="auto"/>
        <w:right w:val="none" w:sz="0" w:space="0" w:color="auto"/>
      </w:divBdr>
    </w:div>
    <w:div w:id="406541334">
      <w:bodyDiv w:val="1"/>
      <w:marLeft w:val="0"/>
      <w:marRight w:val="0"/>
      <w:marTop w:val="0"/>
      <w:marBottom w:val="0"/>
      <w:divBdr>
        <w:top w:val="none" w:sz="0" w:space="0" w:color="auto"/>
        <w:left w:val="none" w:sz="0" w:space="0" w:color="auto"/>
        <w:bottom w:val="none" w:sz="0" w:space="0" w:color="auto"/>
        <w:right w:val="none" w:sz="0" w:space="0" w:color="auto"/>
      </w:divBdr>
    </w:div>
    <w:div w:id="406851331">
      <w:bodyDiv w:val="1"/>
      <w:marLeft w:val="0"/>
      <w:marRight w:val="0"/>
      <w:marTop w:val="0"/>
      <w:marBottom w:val="0"/>
      <w:divBdr>
        <w:top w:val="none" w:sz="0" w:space="0" w:color="auto"/>
        <w:left w:val="none" w:sz="0" w:space="0" w:color="auto"/>
        <w:bottom w:val="none" w:sz="0" w:space="0" w:color="auto"/>
        <w:right w:val="none" w:sz="0" w:space="0" w:color="auto"/>
      </w:divBdr>
    </w:div>
    <w:div w:id="407045554">
      <w:bodyDiv w:val="1"/>
      <w:marLeft w:val="0"/>
      <w:marRight w:val="0"/>
      <w:marTop w:val="0"/>
      <w:marBottom w:val="0"/>
      <w:divBdr>
        <w:top w:val="none" w:sz="0" w:space="0" w:color="auto"/>
        <w:left w:val="none" w:sz="0" w:space="0" w:color="auto"/>
        <w:bottom w:val="none" w:sz="0" w:space="0" w:color="auto"/>
        <w:right w:val="none" w:sz="0" w:space="0" w:color="auto"/>
      </w:divBdr>
    </w:div>
    <w:div w:id="407270157">
      <w:bodyDiv w:val="1"/>
      <w:marLeft w:val="0"/>
      <w:marRight w:val="0"/>
      <w:marTop w:val="0"/>
      <w:marBottom w:val="0"/>
      <w:divBdr>
        <w:top w:val="none" w:sz="0" w:space="0" w:color="auto"/>
        <w:left w:val="none" w:sz="0" w:space="0" w:color="auto"/>
        <w:bottom w:val="none" w:sz="0" w:space="0" w:color="auto"/>
        <w:right w:val="none" w:sz="0" w:space="0" w:color="auto"/>
      </w:divBdr>
    </w:div>
    <w:div w:id="407773579">
      <w:bodyDiv w:val="1"/>
      <w:marLeft w:val="0"/>
      <w:marRight w:val="0"/>
      <w:marTop w:val="0"/>
      <w:marBottom w:val="0"/>
      <w:divBdr>
        <w:top w:val="none" w:sz="0" w:space="0" w:color="auto"/>
        <w:left w:val="none" w:sz="0" w:space="0" w:color="auto"/>
        <w:bottom w:val="none" w:sz="0" w:space="0" w:color="auto"/>
        <w:right w:val="none" w:sz="0" w:space="0" w:color="auto"/>
      </w:divBdr>
    </w:div>
    <w:div w:id="408113824">
      <w:bodyDiv w:val="1"/>
      <w:marLeft w:val="0"/>
      <w:marRight w:val="0"/>
      <w:marTop w:val="0"/>
      <w:marBottom w:val="0"/>
      <w:divBdr>
        <w:top w:val="none" w:sz="0" w:space="0" w:color="auto"/>
        <w:left w:val="none" w:sz="0" w:space="0" w:color="auto"/>
        <w:bottom w:val="none" w:sz="0" w:space="0" w:color="auto"/>
        <w:right w:val="none" w:sz="0" w:space="0" w:color="auto"/>
      </w:divBdr>
    </w:div>
    <w:div w:id="408425174">
      <w:bodyDiv w:val="1"/>
      <w:marLeft w:val="0"/>
      <w:marRight w:val="0"/>
      <w:marTop w:val="0"/>
      <w:marBottom w:val="0"/>
      <w:divBdr>
        <w:top w:val="none" w:sz="0" w:space="0" w:color="auto"/>
        <w:left w:val="none" w:sz="0" w:space="0" w:color="auto"/>
        <w:bottom w:val="none" w:sz="0" w:space="0" w:color="auto"/>
        <w:right w:val="none" w:sz="0" w:space="0" w:color="auto"/>
      </w:divBdr>
    </w:div>
    <w:div w:id="408427230">
      <w:bodyDiv w:val="1"/>
      <w:marLeft w:val="0"/>
      <w:marRight w:val="0"/>
      <w:marTop w:val="0"/>
      <w:marBottom w:val="0"/>
      <w:divBdr>
        <w:top w:val="none" w:sz="0" w:space="0" w:color="auto"/>
        <w:left w:val="none" w:sz="0" w:space="0" w:color="auto"/>
        <w:bottom w:val="none" w:sz="0" w:space="0" w:color="auto"/>
        <w:right w:val="none" w:sz="0" w:space="0" w:color="auto"/>
      </w:divBdr>
    </w:div>
    <w:div w:id="408693081">
      <w:bodyDiv w:val="1"/>
      <w:marLeft w:val="0"/>
      <w:marRight w:val="0"/>
      <w:marTop w:val="0"/>
      <w:marBottom w:val="0"/>
      <w:divBdr>
        <w:top w:val="none" w:sz="0" w:space="0" w:color="auto"/>
        <w:left w:val="none" w:sz="0" w:space="0" w:color="auto"/>
        <w:bottom w:val="none" w:sz="0" w:space="0" w:color="auto"/>
        <w:right w:val="none" w:sz="0" w:space="0" w:color="auto"/>
      </w:divBdr>
    </w:div>
    <w:div w:id="410003026">
      <w:bodyDiv w:val="1"/>
      <w:marLeft w:val="0"/>
      <w:marRight w:val="0"/>
      <w:marTop w:val="0"/>
      <w:marBottom w:val="0"/>
      <w:divBdr>
        <w:top w:val="none" w:sz="0" w:space="0" w:color="auto"/>
        <w:left w:val="none" w:sz="0" w:space="0" w:color="auto"/>
        <w:bottom w:val="none" w:sz="0" w:space="0" w:color="auto"/>
        <w:right w:val="none" w:sz="0" w:space="0" w:color="auto"/>
      </w:divBdr>
    </w:div>
    <w:div w:id="410155160">
      <w:bodyDiv w:val="1"/>
      <w:marLeft w:val="0"/>
      <w:marRight w:val="0"/>
      <w:marTop w:val="0"/>
      <w:marBottom w:val="0"/>
      <w:divBdr>
        <w:top w:val="none" w:sz="0" w:space="0" w:color="auto"/>
        <w:left w:val="none" w:sz="0" w:space="0" w:color="auto"/>
        <w:bottom w:val="none" w:sz="0" w:space="0" w:color="auto"/>
        <w:right w:val="none" w:sz="0" w:space="0" w:color="auto"/>
      </w:divBdr>
    </w:div>
    <w:div w:id="410664398">
      <w:bodyDiv w:val="1"/>
      <w:marLeft w:val="0"/>
      <w:marRight w:val="0"/>
      <w:marTop w:val="0"/>
      <w:marBottom w:val="0"/>
      <w:divBdr>
        <w:top w:val="none" w:sz="0" w:space="0" w:color="auto"/>
        <w:left w:val="none" w:sz="0" w:space="0" w:color="auto"/>
        <w:bottom w:val="none" w:sz="0" w:space="0" w:color="auto"/>
        <w:right w:val="none" w:sz="0" w:space="0" w:color="auto"/>
      </w:divBdr>
    </w:div>
    <w:div w:id="410810213">
      <w:bodyDiv w:val="1"/>
      <w:marLeft w:val="0"/>
      <w:marRight w:val="0"/>
      <w:marTop w:val="0"/>
      <w:marBottom w:val="0"/>
      <w:divBdr>
        <w:top w:val="none" w:sz="0" w:space="0" w:color="auto"/>
        <w:left w:val="none" w:sz="0" w:space="0" w:color="auto"/>
        <w:bottom w:val="none" w:sz="0" w:space="0" w:color="auto"/>
        <w:right w:val="none" w:sz="0" w:space="0" w:color="auto"/>
      </w:divBdr>
    </w:div>
    <w:div w:id="411390862">
      <w:bodyDiv w:val="1"/>
      <w:marLeft w:val="0"/>
      <w:marRight w:val="0"/>
      <w:marTop w:val="0"/>
      <w:marBottom w:val="0"/>
      <w:divBdr>
        <w:top w:val="none" w:sz="0" w:space="0" w:color="auto"/>
        <w:left w:val="none" w:sz="0" w:space="0" w:color="auto"/>
        <w:bottom w:val="none" w:sz="0" w:space="0" w:color="auto"/>
        <w:right w:val="none" w:sz="0" w:space="0" w:color="auto"/>
      </w:divBdr>
    </w:div>
    <w:div w:id="411776870">
      <w:bodyDiv w:val="1"/>
      <w:marLeft w:val="0"/>
      <w:marRight w:val="0"/>
      <w:marTop w:val="0"/>
      <w:marBottom w:val="0"/>
      <w:divBdr>
        <w:top w:val="none" w:sz="0" w:space="0" w:color="auto"/>
        <w:left w:val="none" w:sz="0" w:space="0" w:color="auto"/>
        <w:bottom w:val="none" w:sz="0" w:space="0" w:color="auto"/>
        <w:right w:val="none" w:sz="0" w:space="0" w:color="auto"/>
      </w:divBdr>
    </w:div>
    <w:div w:id="412045329">
      <w:bodyDiv w:val="1"/>
      <w:marLeft w:val="0"/>
      <w:marRight w:val="0"/>
      <w:marTop w:val="0"/>
      <w:marBottom w:val="0"/>
      <w:divBdr>
        <w:top w:val="none" w:sz="0" w:space="0" w:color="auto"/>
        <w:left w:val="none" w:sz="0" w:space="0" w:color="auto"/>
        <w:bottom w:val="none" w:sz="0" w:space="0" w:color="auto"/>
        <w:right w:val="none" w:sz="0" w:space="0" w:color="auto"/>
      </w:divBdr>
    </w:div>
    <w:div w:id="412121622">
      <w:bodyDiv w:val="1"/>
      <w:marLeft w:val="0"/>
      <w:marRight w:val="0"/>
      <w:marTop w:val="0"/>
      <w:marBottom w:val="0"/>
      <w:divBdr>
        <w:top w:val="none" w:sz="0" w:space="0" w:color="auto"/>
        <w:left w:val="none" w:sz="0" w:space="0" w:color="auto"/>
        <w:bottom w:val="none" w:sz="0" w:space="0" w:color="auto"/>
        <w:right w:val="none" w:sz="0" w:space="0" w:color="auto"/>
      </w:divBdr>
    </w:div>
    <w:div w:id="412897271">
      <w:bodyDiv w:val="1"/>
      <w:marLeft w:val="0"/>
      <w:marRight w:val="0"/>
      <w:marTop w:val="0"/>
      <w:marBottom w:val="0"/>
      <w:divBdr>
        <w:top w:val="none" w:sz="0" w:space="0" w:color="auto"/>
        <w:left w:val="none" w:sz="0" w:space="0" w:color="auto"/>
        <w:bottom w:val="none" w:sz="0" w:space="0" w:color="auto"/>
        <w:right w:val="none" w:sz="0" w:space="0" w:color="auto"/>
      </w:divBdr>
    </w:div>
    <w:div w:id="413624350">
      <w:bodyDiv w:val="1"/>
      <w:marLeft w:val="0"/>
      <w:marRight w:val="0"/>
      <w:marTop w:val="0"/>
      <w:marBottom w:val="0"/>
      <w:divBdr>
        <w:top w:val="none" w:sz="0" w:space="0" w:color="auto"/>
        <w:left w:val="none" w:sz="0" w:space="0" w:color="auto"/>
        <w:bottom w:val="none" w:sz="0" w:space="0" w:color="auto"/>
        <w:right w:val="none" w:sz="0" w:space="0" w:color="auto"/>
      </w:divBdr>
    </w:div>
    <w:div w:id="413746200">
      <w:bodyDiv w:val="1"/>
      <w:marLeft w:val="0"/>
      <w:marRight w:val="0"/>
      <w:marTop w:val="0"/>
      <w:marBottom w:val="0"/>
      <w:divBdr>
        <w:top w:val="none" w:sz="0" w:space="0" w:color="auto"/>
        <w:left w:val="none" w:sz="0" w:space="0" w:color="auto"/>
        <w:bottom w:val="none" w:sz="0" w:space="0" w:color="auto"/>
        <w:right w:val="none" w:sz="0" w:space="0" w:color="auto"/>
      </w:divBdr>
    </w:div>
    <w:div w:id="414087117">
      <w:bodyDiv w:val="1"/>
      <w:marLeft w:val="0"/>
      <w:marRight w:val="0"/>
      <w:marTop w:val="0"/>
      <w:marBottom w:val="0"/>
      <w:divBdr>
        <w:top w:val="none" w:sz="0" w:space="0" w:color="auto"/>
        <w:left w:val="none" w:sz="0" w:space="0" w:color="auto"/>
        <w:bottom w:val="none" w:sz="0" w:space="0" w:color="auto"/>
        <w:right w:val="none" w:sz="0" w:space="0" w:color="auto"/>
      </w:divBdr>
    </w:div>
    <w:div w:id="414281655">
      <w:bodyDiv w:val="1"/>
      <w:marLeft w:val="0"/>
      <w:marRight w:val="0"/>
      <w:marTop w:val="0"/>
      <w:marBottom w:val="0"/>
      <w:divBdr>
        <w:top w:val="none" w:sz="0" w:space="0" w:color="auto"/>
        <w:left w:val="none" w:sz="0" w:space="0" w:color="auto"/>
        <w:bottom w:val="none" w:sz="0" w:space="0" w:color="auto"/>
        <w:right w:val="none" w:sz="0" w:space="0" w:color="auto"/>
      </w:divBdr>
    </w:div>
    <w:div w:id="415632636">
      <w:bodyDiv w:val="1"/>
      <w:marLeft w:val="0"/>
      <w:marRight w:val="0"/>
      <w:marTop w:val="0"/>
      <w:marBottom w:val="0"/>
      <w:divBdr>
        <w:top w:val="none" w:sz="0" w:space="0" w:color="auto"/>
        <w:left w:val="none" w:sz="0" w:space="0" w:color="auto"/>
        <w:bottom w:val="none" w:sz="0" w:space="0" w:color="auto"/>
        <w:right w:val="none" w:sz="0" w:space="0" w:color="auto"/>
      </w:divBdr>
    </w:div>
    <w:div w:id="417139737">
      <w:bodyDiv w:val="1"/>
      <w:marLeft w:val="0"/>
      <w:marRight w:val="0"/>
      <w:marTop w:val="0"/>
      <w:marBottom w:val="0"/>
      <w:divBdr>
        <w:top w:val="none" w:sz="0" w:space="0" w:color="auto"/>
        <w:left w:val="none" w:sz="0" w:space="0" w:color="auto"/>
        <w:bottom w:val="none" w:sz="0" w:space="0" w:color="auto"/>
        <w:right w:val="none" w:sz="0" w:space="0" w:color="auto"/>
      </w:divBdr>
    </w:div>
    <w:div w:id="417143755">
      <w:bodyDiv w:val="1"/>
      <w:marLeft w:val="0"/>
      <w:marRight w:val="0"/>
      <w:marTop w:val="0"/>
      <w:marBottom w:val="0"/>
      <w:divBdr>
        <w:top w:val="none" w:sz="0" w:space="0" w:color="auto"/>
        <w:left w:val="none" w:sz="0" w:space="0" w:color="auto"/>
        <w:bottom w:val="none" w:sz="0" w:space="0" w:color="auto"/>
        <w:right w:val="none" w:sz="0" w:space="0" w:color="auto"/>
      </w:divBdr>
    </w:div>
    <w:div w:id="417219728">
      <w:bodyDiv w:val="1"/>
      <w:marLeft w:val="0"/>
      <w:marRight w:val="0"/>
      <w:marTop w:val="0"/>
      <w:marBottom w:val="0"/>
      <w:divBdr>
        <w:top w:val="none" w:sz="0" w:space="0" w:color="auto"/>
        <w:left w:val="none" w:sz="0" w:space="0" w:color="auto"/>
        <w:bottom w:val="none" w:sz="0" w:space="0" w:color="auto"/>
        <w:right w:val="none" w:sz="0" w:space="0" w:color="auto"/>
      </w:divBdr>
    </w:div>
    <w:div w:id="417287433">
      <w:bodyDiv w:val="1"/>
      <w:marLeft w:val="0"/>
      <w:marRight w:val="0"/>
      <w:marTop w:val="0"/>
      <w:marBottom w:val="0"/>
      <w:divBdr>
        <w:top w:val="none" w:sz="0" w:space="0" w:color="auto"/>
        <w:left w:val="none" w:sz="0" w:space="0" w:color="auto"/>
        <w:bottom w:val="none" w:sz="0" w:space="0" w:color="auto"/>
        <w:right w:val="none" w:sz="0" w:space="0" w:color="auto"/>
      </w:divBdr>
    </w:div>
    <w:div w:id="417410327">
      <w:bodyDiv w:val="1"/>
      <w:marLeft w:val="0"/>
      <w:marRight w:val="0"/>
      <w:marTop w:val="0"/>
      <w:marBottom w:val="0"/>
      <w:divBdr>
        <w:top w:val="none" w:sz="0" w:space="0" w:color="auto"/>
        <w:left w:val="none" w:sz="0" w:space="0" w:color="auto"/>
        <w:bottom w:val="none" w:sz="0" w:space="0" w:color="auto"/>
        <w:right w:val="none" w:sz="0" w:space="0" w:color="auto"/>
      </w:divBdr>
    </w:div>
    <w:div w:id="417750617">
      <w:bodyDiv w:val="1"/>
      <w:marLeft w:val="0"/>
      <w:marRight w:val="0"/>
      <w:marTop w:val="0"/>
      <w:marBottom w:val="0"/>
      <w:divBdr>
        <w:top w:val="none" w:sz="0" w:space="0" w:color="auto"/>
        <w:left w:val="none" w:sz="0" w:space="0" w:color="auto"/>
        <w:bottom w:val="none" w:sz="0" w:space="0" w:color="auto"/>
        <w:right w:val="none" w:sz="0" w:space="0" w:color="auto"/>
      </w:divBdr>
    </w:div>
    <w:div w:id="417990767">
      <w:bodyDiv w:val="1"/>
      <w:marLeft w:val="0"/>
      <w:marRight w:val="0"/>
      <w:marTop w:val="0"/>
      <w:marBottom w:val="0"/>
      <w:divBdr>
        <w:top w:val="none" w:sz="0" w:space="0" w:color="auto"/>
        <w:left w:val="none" w:sz="0" w:space="0" w:color="auto"/>
        <w:bottom w:val="none" w:sz="0" w:space="0" w:color="auto"/>
        <w:right w:val="none" w:sz="0" w:space="0" w:color="auto"/>
      </w:divBdr>
    </w:div>
    <w:div w:id="418646925">
      <w:bodyDiv w:val="1"/>
      <w:marLeft w:val="0"/>
      <w:marRight w:val="0"/>
      <w:marTop w:val="0"/>
      <w:marBottom w:val="0"/>
      <w:divBdr>
        <w:top w:val="none" w:sz="0" w:space="0" w:color="auto"/>
        <w:left w:val="none" w:sz="0" w:space="0" w:color="auto"/>
        <w:bottom w:val="none" w:sz="0" w:space="0" w:color="auto"/>
        <w:right w:val="none" w:sz="0" w:space="0" w:color="auto"/>
      </w:divBdr>
    </w:div>
    <w:div w:id="419445746">
      <w:bodyDiv w:val="1"/>
      <w:marLeft w:val="0"/>
      <w:marRight w:val="0"/>
      <w:marTop w:val="0"/>
      <w:marBottom w:val="0"/>
      <w:divBdr>
        <w:top w:val="none" w:sz="0" w:space="0" w:color="auto"/>
        <w:left w:val="none" w:sz="0" w:space="0" w:color="auto"/>
        <w:bottom w:val="none" w:sz="0" w:space="0" w:color="auto"/>
        <w:right w:val="none" w:sz="0" w:space="0" w:color="auto"/>
      </w:divBdr>
    </w:div>
    <w:div w:id="419716194">
      <w:bodyDiv w:val="1"/>
      <w:marLeft w:val="0"/>
      <w:marRight w:val="0"/>
      <w:marTop w:val="0"/>
      <w:marBottom w:val="0"/>
      <w:divBdr>
        <w:top w:val="none" w:sz="0" w:space="0" w:color="auto"/>
        <w:left w:val="none" w:sz="0" w:space="0" w:color="auto"/>
        <w:bottom w:val="none" w:sz="0" w:space="0" w:color="auto"/>
        <w:right w:val="none" w:sz="0" w:space="0" w:color="auto"/>
      </w:divBdr>
    </w:div>
    <w:div w:id="419765577">
      <w:bodyDiv w:val="1"/>
      <w:marLeft w:val="0"/>
      <w:marRight w:val="0"/>
      <w:marTop w:val="0"/>
      <w:marBottom w:val="0"/>
      <w:divBdr>
        <w:top w:val="none" w:sz="0" w:space="0" w:color="auto"/>
        <w:left w:val="none" w:sz="0" w:space="0" w:color="auto"/>
        <w:bottom w:val="none" w:sz="0" w:space="0" w:color="auto"/>
        <w:right w:val="none" w:sz="0" w:space="0" w:color="auto"/>
      </w:divBdr>
    </w:div>
    <w:div w:id="420102542">
      <w:bodyDiv w:val="1"/>
      <w:marLeft w:val="0"/>
      <w:marRight w:val="0"/>
      <w:marTop w:val="0"/>
      <w:marBottom w:val="0"/>
      <w:divBdr>
        <w:top w:val="none" w:sz="0" w:space="0" w:color="auto"/>
        <w:left w:val="none" w:sz="0" w:space="0" w:color="auto"/>
        <w:bottom w:val="none" w:sz="0" w:space="0" w:color="auto"/>
        <w:right w:val="none" w:sz="0" w:space="0" w:color="auto"/>
      </w:divBdr>
    </w:div>
    <w:div w:id="420103346">
      <w:bodyDiv w:val="1"/>
      <w:marLeft w:val="0"/>
      <w:marRight w:val="0"/>
      <w:marTop w:val="0"/>
      <w:marBottom w:val="0"/>
      <w:divBdr>
        <w:top w:val="none" w:sz="0" w:space="0" w:color="auto"/>
        <w:left w:val="none" w:sz="0" w:space="0" w:color="auto"/>
        <w:bottom w:val="none" w:sz="0" w:space="0" w:color="auto"/>
        <w:right w:val="none" w:sz="0" w:space="0" w:color="auto"/>
      </w:divBdr>
    </w:div>
    <w:div w:id="420489100">
      <w:bodyDiv w:val="1"/>
      <w:marLeft w:val="0"/>
      <w:marRight w:val="0"/>
      <w:marTop w:val="0"/>
      <w:marBottom w:val="0"/>
      <w:divBdr>
        <w:top w:val="none" w:sz="0" w:space="0" w:color="auto"/>
        <w:left w:val="none" w:sz="0" w:space="0" w:color="auto"/>
        <w:bottom w:val="none" w:sz="0" w:space="0" w:color="auto"/>
        <w:right w:val="none" w:sz="0" w:space="0" w:color="auto"/>
      </w:divBdr>
    </w:div>
    <w:div w:id="420836436">
      <w:bodyDiv w:val="1"/>
      <w:marLeft w:val="0"/>
      <w:marRight w:val="0"/>
      <w:marTop w:val="0"/>
      <w:marBottom w:val="0"/>
      <w:divBdr>
        <w:top w:val="none" w:sz="0" w:space="0" w:color="auto"/>
        <w:left w:val="none" w:sz="0" w:space="0" w:color="auto"/>
        <w:bottom w:val="none" w:sz="0" w:space="0" w:color="auto"/>
        <w:right w:val="none" w:sz="0" w:space="0" w:color="auto"/>
      </w:divBdr>
    </w:div>
    <w:div w:id="420879285">
      <w:bodyDiv w:val="1"/>
      <w:marLeft w:val="0"/>
      <w:marRight w:val="0"/>
      <w:marTop w:val="0"/>
      <w:marBottom w:val="0"/>
      <w:divBdr>
        <w:top w:val="none" w:sz="0" w:space="0" w:color="auto"/>
        <w:left w:val="none" w:sz="0" w:space="0" w:color="auto"/>
        <w:bottom w:val="none" w:sz="0" w:space="0" w:color="auto"/>
        <w:right w:val="none" w:sz="0" w:space="0" w:color="auto"/>
      </w:divBdr>
    </w:div>
    <w:div w:id="421529854">
      <w:bodyDiv w:val="1"/>
      <w:marLeft w:val="0"/>
      <w:marRight w:val="0"/>
      <w:marTop w:val="0"/>
      <w:marBottom w:val="0"/>
      <w:divBdr>
        <w:top w:val="none" w:sz="0" w:space="0" w:color="auto"/>
        <w:left w:val="none" w:sz="0" w:space="0" w:color="auto"/>
        <w:bottom w:val="none" w:sz="0" w:space="0" w:color="auto"/>
        <w:right w:val="none" w:sz="0" w:space="0" w:color="auto"/>
      </w:divBdr>
    </w:div>
    <w:div w:id="422846865">
      <w:bodyDiv w:val="1"/>
      <w:marLeft w:val="0"/>
      <w:marRight w:val="0"/>
      <w:marTop w:val="0"/>
      <w:marBottom w:val="0"/>
      <w:divBdr>
        <w:top w:val="none" w:sz="0" w:space="0" w:color="auto"/>
        <w:left w:val="none" w:sz="0" w:space="0" w:color="auto"/>
        <w:bottom w:val="none" w:sz="0" w:space="0" w:color="auto"/>
        <w:right w:val="none" w:sz="0" w:space="0" w:color="auto"/>
      </w:divBdr>
    </w:div>
    <w:div w:id="424302972">
      <w:bodyDiv w:val="1"/>
      <w:marLeft w:val="0"/>
      <w:marRight w:val="0"/>
      <w:marTop w:val="0"/>
      <w:marBottom w:val="0"/>
      <w:divBdr>
        <w:top w:val="none" w:sz="0" w:space="0" w:color="auto"/>
        <w:left w:val="none" w:sz="0" w:space="0" w:color="auto"/>
        <w:bottom w:val="none" w:sz="0" w:space="0" w:color="auto"/>
        <w:right w:val="none" w:sz="0" w:space="0" w:color="auto"/>
      </w:divBdr>
    </w:div>
    <w:div w:id="424762930">
      <w:bodyDiv w:val="1"/>
      <w:marLeft w:val="0"/>
      <w:marRight w:val="0"/>
      <w:marTop w:val="0"/>
      <w:marBottom w:val="0"/>
      <w:divBdr>
        <w:top w:val="none" w:sz="0" w:space="0" w:color="auto"/>
        <w:left w:val="none" w:sz="0" w:space="0" w:color="auto"/>
        <w:bottom w:val="none" w:sz="0" w:space="0" w:color="auto"/>
        <w:right w:val="none" w:sz="0" w:space="0" w:color="auto"/>
      </w:divBdr>
    </w:div>
    <w:div w:id="425810666">
      <w:bodyDiv w:val="1"/>
      <w:marLeft w:val="0"/>
      <w:marRight w:val="0"/>
      <w:marTop w:val="0"/>
      <w:marBottom w:val="0"/>
      <w:divBdr>
        <w:top w:val="none" w:sz="0" w:space="0" w:color="auto"/>
        <w:left w:val="none" w:sz="0" w:space="0" w:color="auto"/>
        <w:bottom w:val="none" w:sz="0" w:space="0" w:color="auto"/>
        <w:right w:val="none" w:sz="0" w:space="0" w:color="auto"/>
      </w:divBdr>
    </w:div>
    <w:div w:id="425854931">
      <w:bodyDiv w:val="1"/>
      <w:marLeft w:val="0"/>
      <w:marRight w:val="0"/>
      <w:marTop w:val="0"/>
      <w:marBottom w:val="0"/>
      <w:divBdr>
        <w:top w:val="none" w:sz="0" w:space="0" w:color="auto"/>
        <w:left w:val="none" w:sz="0" w:space="0" w:color="auto"/>
        <w:bottom w:val="none" w:sz="0" w:space="0" w:color="auto"/>
        <w:right w:val="none" w:sz="0" w:space="0" w:color="auto"/>
      </w:divBdr>
    </w:div>
    <w:div w:id="426269311">
      <w:bodyDiv w:val="1"/>
      <w:marLeft w:val="0"/>
      <w:marRight w:val="0"/>
      <w:marTop w:val="0"/>
      <w:marBottom w:val="0"/>
      <w:divBdr>
        <w:top w:val="none" w:sz="0" w:space="0" w:color="auto"/>
        <w:left w:val="none" w:sz="0" w:space="0" w:color="auto"/>
        <w:bottom w:val="none" w:sz="0" w:space="0" w:color="auto"/>
        <w:right w:val="none" w:sz="0" w:space="0" w:color="auto"/>
      </w:divBdr>
    </w:div>
    <w:div w:id="426735012">
      <w:bodyDiv w:val="1"/>
      <w:marLeft w:val="0"/>
      <w:marRight w:val="0"/>
      <w:marTop w:val="0"/>
      <w:marBottom w:val="0"/>
      <w:divBdr>
        <w:top w:val="none" w:sz="0" w:space="0" w:color="auto"/>
        <w:left w:val="none" w:sz="0" w:space="0" w:color="auto"/>
        <w:bottom w:val="none" w:sz="0" w:space="0" w:color="auto"/>
        <w:right w:val="none" w:sz="0" w:space="0" w:color="auto"/>
      </w:divBdr>
    </w:div>
    <w:div w:id="427116837">
      <w:bodyDiv w:val="1"/>
      <w:marLeft w:val="0"/>
      <w:marRight w:val="0"/>
      <w:marTop w:val="0"/>
      <w:marBottom w:val="0"/>
      <w:divBdr>
        <w:top w:val="none" w:sz="0" w:space="0" w:color="auto"/>
        <w:left w:val="none" w:sz="0" w:space="0" w:color="auto"/>
        <w:bottom w:val="none" w:sz="0" w:space="0" w:color="auto"/>
        <w:right w:val="none" w:sz="0" w:space="0" w:color="auto"/>
      </w:divBdr>
    </w:div>
    <w:div w:id="428693911">
      <w:bodyDiv w:val="1"/>
      <w:marLeft w:val="0"/>
      <w:marRight w:val="0"/>
      <w:marTop w:val="0"/>
      <w:marBottom w:val="0"/>
      <w:divBdr>
        <w:top w:val="none" w:sz="0" w:space="0" w:color="auto"/>
        <w:left w:val="none" w:sz="0" w:space="0" w:color="auto"/>
        <w:bottom w:val="none" w:sz="0" w:space="0" w:color="auto"/>
        <w:right w:val="none" w:sz="0" w:space="0" w:color="auto"/>
      </w:divBdr>
    </w:div>
    <w:div w:id="428697377">
      <w:bodyDiv w:val="1"/>
      <w:marLeft w:val="0"/>
      <w:marRight w:val="0"/>
      <w:marTop w:val="0"/>
      <w:marBottom w:val="0"/>
      <w:divBdr>
        <w:top w:val="none" w:sz="0" w:space="0" w:color="auto"/>
        <w:left w:val="none" w:sz="0" w:space="0" w:color="auto"/>
        <w:bottom w:val="none" w:sz="0" w:space="0" w:color="auto"/>
        <w:right w:val="none" w:sz="0" w:space="0" w:color="auto"/>
      </w:divBdr>
    </w:div>
    <w:div w:id="428817865">
      <w:bodyDiv w:val="1"/>
      <w:marLeft w:val="0"/>
      <w:marRight w:val="0"/>
      <w:marTop w:val="0"/>
      <w:marBottom w:val="0"/>
      <w:divBdr>
        <w:top w:val="none" w:sz="0" w:space="0" w:color="auto"/>
        <w:left w:val="none" w:sz="0" w:space="0" w:color="auto"/>
        <w:bottom w:val="none" w:sz="0" w:space="0" w:color="auto"/>
        <w:right w:val="none" w:sz="0" w:space="0" w:color="auto"/>
      </w:divBdr>
    </w:div>
    <w:div w:id="429156013">
      <w:bodyDiv w:val="1"/>
      <w:marLeft w:val="0"/>
      <w:marRight w:val="0"/>
      <w:marTop w:val="0"/>
      <w:marBottom w:val="0"/>
      <w:divBdr>
        <w:top w:val="none" w:sz="0" w:space="0" w:color="auto"/>
        <w:left w:val="none" w:sz="0" w:space="0" w:color="auto"/>
        <w:bottom w:val="none" w:sz="0" w:space="0" w:color="auto"/>
        <w:right w:val="none" w:sz="0" w:space="0" w:color="auto"/>
      </w:divBdr>
    </w:div>
    <w:div w:id="429934604">
      <w:bodyDiv w:val="1"/>
      <w:marLeft w:val="0"/>
      <w:marRight w:val="0"/>
      <w:marTop w:val="0"/>
      <w:marBottom w:val="0"/>
      <w:divBdr>
        <w:top w:val="none" w:sz="0" w:space="0" w:color="auto"/>
        <w:left w:val="none" w:sz="0" w:space="0" w:color="auto"/>
        <w:bottom w:val="none" w:sz="0" w:space="0" w:color="auto"/>
        <w:right w:val="none" w:sz="0" w:space="0" w:color="auto"/>
      </w:divBdr>
    </w:div>
    <w:div w:id="430467398">
      <w:bodyDiv w:val="1"/>
      <w:marLeft w:val="0"/>
      <w:marRight w:val="0"/>
      <w:marTop w:val="0"/>
      <w:marBottom w:val="0"/>
      <w:divBdr>
        <w:top w:val="none" w:sz="0" w:space="0" w:color="auto"/>
        <w:left w:val="none" w:sz="0" w:space="0" w:color="auto"/>
        <w:bottom w:val="none" w:sz="0" w:space="0" w:color="auto"/>
        <w:right w:val="none" w:sz="0" w:space="0" w:color="auto"/>
      </w:divBdr>
    </w:div>
    <w:div w:id="430518514">
      <w:bodyDiv w:val="1"/>
      <w:marLeft w:val="0"/>
      <w:marRight w:val="0"/>
      <w:marTop w:val="0"/>
      <w:marBottom w:val="0"/>
      <w:divBdr>
        <w:top w:val="none" w:sz="0" w:space="0" w:color="auto"/>
        <w:left w:val="none" w:sz="0" w:space="0" w:color="auto"/>
        <w:bottom w:val="none" w:sz="0" w:space="0" w:color="auto"/>
        <w:right w:val="none" w:sz="0" w:space="0" w:color="auto"/>
      </w:divBdr>
    </w:div>
    <w:div w:id="431554745">
      <w:bodyDiv w:val="1"/>
      <w:marLeft w:val="0"/>
      <w:marRight w:val="0"/>
      <w:marTop w:val="0"/>
      <w:marBottom w:val="0"/>
      <w:divBdr>
        <w:top w:val="none" w:sz="0" w:space="0" w:color="auto"/>
        <w:left w:val="none" w:sz="0" w:space="0" w:color="auto"/>
        <w:bottom w:val="none" w:sz="0" w:space="0" w:color="auto"/>
        <w:right w:val="none" w:sz="0" w:space="0" w:color="auto"/>
      </w:divBdr>
    </w:div>
    <w:div w:id="431753728">
      <w:bodyDiv w:val="1"/>
      <w:marLeft w:val="0"/>
      <w:marRight w:val="0"/>
      <w:marTop w:val="0"/>
      <w:marBottom w:val="0"/>
      <w:divBdr>
        <w:top w:val="none" w:sz="0" w:space="0" w:color="auto"/>
        <w:left w:val="none" w:sz="0" w:space="0" w:color="auto"/>
        <w:bottom w:val="none" w:sz="0" w:space="0" w:color="auto"/>
        <w:right w:val="none" w:sz="0" w:space="0" w:color="auto"/>
      </w:divBdr>
    </w:div>
    <w:div w:id="431822621">
      <w:bodyDiv w:val="1"/>
      <w:marLeft w:val="0"/>
      <w:marRight w:val="0"/>
      <w:marTop w:val="0"/>
      <w:marBottom w:val="0"/>
      <w:divBdr>
        <w:top w:val="none" w:sz="0" w:space="0" w:color="auto"/>
        <w:left w:val="none" w:sz="0" w:space="0" w:color="auto"/>
        <w:bottom w:val="none" w:sz="0" w:space="0" w:color="auto"/>
        <w:right w:val="none" w:sz="0" w:space="0" w:color="auto"/>
      </w:divBdr>
    </w:div>
    <w:div w:id="433749987">
      <w:bodyDiv w:val="1"/>
      <w:marLeft w:val="0"/>
      <w:marRight w:val="0"/>
      <w:marTop w:val="0"/>
      <w:marBottom w:val="0"/>
      <w:divBdr>
        <w:top w:val="none" w:sz="0" w:space="0" w:color="auto"/>
        <w:left w:val="none" w:sz="0" w:space="0" w:color="auto"/>
        <w:bottom w:val="none" w:sz="0" w:space="0" w:color="auto"/>
        <w:right w:val="none" w:sz="0" w:space="0" w:color="auto"/>
      </w:divBdr>
    </w:div>
    <w:div w:id="433862342">
      <w:bodyDiv w:val="1"/>
      <w:marLeft w:val="0"/>
      <w:marRight w:val="0"/>
      <w:marTop w:val="0"/>
      <w:marBottom w:val="0"/>
      <w:divBdr>
        <w:top w:val="none" w:sz="0" w:space="0" w:color="auto"/>
        <w:left w:val="none" w:sz="0" w:space="0" w:color="auto"/>
        <w:bottom w:val="none" w:sz="0" w:space="0" w:color="auto"/>
        <w:right w:val="none" w:sz="0" w:space="0" w:color="auto"/>
      </w:divBdr>
    </w:div>
    <w:div w:id="434635895">
      <w:bodyDiv w:val="1"/>
      <w:marLeft w:val="0"/>
      <w:marRight w:val="0"/>
      <w:marTop w:val="0"/>
      <w:marBottom w:val="0"/>
      <w:divBdr>
        <w:top w:val="none" w:sz="0" w:space="0" w:color="auto"/>
        <w:left w:val="none" w:sz="0" w:space="0" w:color="auto"/>
        <w:bottom w:val="none" w:sz="0" w:space="0" w:color="auto"/>
        <w:right w:val="none" w:sz="0" w:space="0" w:color="auto"/>
      </w:divBdr>
    </w:div>
    <w:div w:id="434666643">
      <w:bodyDiv w:val="1"/>
      <w:marLeft w:val="0"/>
      <w:marRight w:val="0"/>
      <w:marTop w:val="0"/>
      <w:marBottom w:val="0"/>
      <w:divBdr>
        <w:top w:val="none" w:sz="0" w:space="0" w:color="auto"/>
        <w:left w:val="none" w:sz="0" w:space="0" w:color="auto"/>
        <w:bottom w:val="none" w:sz="0" w:space="0" w:color="auto"/>
        <w:right w:val="none" w:sz="0" w:space="0" w:color="auto"/>
      </w:divBdr>
    </w:div>
    <w:div w:id="435251592">
      <w:bodyDiv w:val="1"/>
      <w:marLeft w:val="0"/>
      <w:marRight w:val="0"/>
      <w:marTop w:val="0"/>
      <w:marBottom w:val="0"/>
      <w:divBdr>
        <w:top w:val="none" w:sz="0" w:space="0" w:color="auto"/>
        <w:left w:val="none" w:sz="0" w:space="0" w:color="auto"/>
        <w:bottom w:val="none" w:sz="0" w:space="0" w:color="auto"/>
        <w:right w:val="none" w:sz="0" w:space="0" w:color="auto"/>
      </w:divBdr>
    </w:div>
    <w:div w:id="435636897">
      <w:bodyDiv w:val="1"/>
      <w:marLeft w:val="0"/>
      <w:marRight w:val="0"/>
      <w:marTop w:val="0"/>
      <w:marBottom w:val="0"/>
      <w:divBdr>
        <w:top w:val="none" w:sz="0" w:space="0" w:color="auto"/>
        <w:left w:val="none" w:sz="0" w:space="0" w:color="auto"/>
        <w:bottom w:val="none" w:sz="0" w:space="0" w:color="auto"/>
        <w:right w:val="none" w:sz="0" w:space="0" w:color="auto"/>
      </w:divBdr>
    </w:div>
    <w:div w:id="436871694">
      <w:bodyDiv w:val="1"/>
      <w:marLeft w:val="0"/>
      <w:marRight w:val="0"/>
      <w:marTop w:val="0"/>
      <w:marBottom w:val="0"/>
      <w:divBdr>
        <w:top w:val="none" w:sz="0" w:space="0" w:color="auto"/>
        <w:left w:val="none" w:sz="0" w:space="0" w:color="auto"/>
        <w:bottom w:val="none" w:sz="0" w:space="0" w:color="auto"/>
        <w:right w:val="none" w:sz="0" w:space="0" w:color="auto"/>
      </w:divBdr>
    </w:div>
    <w:div w:id="437146167">
      <w:bodyDiv w:val="1"/>
      <w:marLeft w:val="0"/>
      <w:marRight w:val="0"/>
      <w:marTop w:val="0"/>
      <w:marBottom w:val="0"/>
      <w:divBdr>
        <w:top w:val="none" w:sz="0" w:space="0" w:color="auto"/>
        <w:left w:val="none" w:sz="0" w:space="0" w:color="auto"/>
        <w:bottom w:val="none" w:sz="0" w:space="0" w:color="auto"/>
        <w:right w:val="none" w:sz="0" w:space="0" w:color="auto"/>
      </w:divBdr>
    </w:div>
    <w:div w:id="437523695">
      <w:bodyDiv w:val="1"/>
      <w:marLeft w:val="0"/>
      <w:marRight w:val="0"/>
      <w:marTop w:val="0"/>
      <w:marBottom w:val="0"/>
      <w:divBdr>
        <w:top w:val="none" w:sz="0" w:space="0" w:color="auto"/>
        <w:left w:val="none" w:sz="0" w:space="0" w:color="auto"/>
        <w:bottom w:val="none" w:sz="0" w:space="0" w:color="auto"/>
        <w:right w:val="none" w:sz="0" w:space="0" w:color="auto"/>
      </w:divBdr>
    </w:div>
    <w:div w:id="438379135">
      <w:bodyDiv w:val="1"/>
      <w:marLeft w:val="0"/>
      <w:marRight w:val="0"/>
      <w:marTop w:val="0"/>
      <w:marBottom w:val="0"/>
      <w:divBdr>
        <w:top w:val="none" w:sz="0" w:space="0" w:color="auto"/>
        <w:left w:val="none" w:sz="0" w:space="0" w:color="auto"/>
        <w:bottom w:val="none" w:sz="0" w:space="0" w:color="auto"/>
        <w:right w:val="none" w:sz="0" w:space="0" w:color="auto"/>
      </w:divBdr>
    </w:div>
    <w:div w:id="438648113">
      <w:bodyDiv w:val="1"/>
      <w:marLeft w:val="0"/>
      <w:marRight w:val="0"/>
      <w:marTop w:val="0"/>
      <w:marBottom w:val="0"/>
      <w:divBdr>
        <w:top w:val="none" w:sz="0" w:space="0" w:color="auto"/>
        <w:left w:val="none" w:sz="0" w:space="0" w:color="auto"/>
        <w:bottom w:val="none" w:sz="0" w:space="0" w:color="auto"/>
        <w:right w:val="none" w:sz="0" w:space="0" w:color="auto"/>
      </w:divBdr>
    </w:div>
    <w:div w:id="439372988">
      <w:bodyDiv w:val="1"/>
      <w:marLeft w:val="0"/>
      <w:marRight w:val="0"/>
      <w:marTop w:val="0"/>
      <w:marBottom w:val="0"/>
      <w:divBdr>
        <w:top w:val="none" w:sz="0" w:space="0" w:color="auto"/>
        <w:left w:val="none" w:sz="0" w:space="0" w:color="auto"/>
        <w:bottom w:val="none" w:sz="0" w:space="0" w:color="auto"/>
        <w:right w:val="none" w:sz="0" w:space="0" w:color="auto"/>
      </w:divBdr>
    </w:div>
    <w:div w:id="439690740">
      <w:bodyDiv w:val="1"/>
      <w:marLeft w:val="0"/>
      <w:marRight w:val="0"/>
      <w:marTop w:val="0"/>
      <w:marBottom w:val="0"/>
      <w:divBdr>
        <w:top w:val="none" w:sz="0" w:space="0" w:color="auto"/>
        <w:left w:val="none" w:sz="0" w:space="0" w:color="auto"/>
        <w:bottom w:val="none" w:sz="0" w:space="0" w:color="auto"/>
        <w:right w:val="none" w:sz="0" w:space="0" w:color="auto"/>
      </w:divBdr>
    </w:div>
    <w:div w:id="439953672">
      <w:bodyDiv w:val="1"/>
      <w:marLeft w:val="0"/>
      <w:marRight w:val="0"/>
      <w:marTop w:val="0"/>
      <w:marBottom w:val="0"/>
      <w:divBdr>
        <w:top w:val="none" w:sz="0" w:space="0" w:color="auto"/>
        <w:left w:val="none" w:sz="0" w:space="0" w:color="auto"/>
        <w:bottom w:val="none" w:sz="0" w:space="0" w:color="auto"/>
        <w:right w:val="none" w:sz="0" w:space="0" w:color="auto"/>
      </w:divBdr>
    </w:div>
    <w:div w:id="441002353">
      <w:bodyDiv w:val="1"/>
      <w:marLeft w:val="0"/>
      <w:marRight w:val="0"/>
      <w:marTop w:val="0"/>
      <w:marBottom w:val="0"/>
      <w:divBdr>
        <w:top w:val="none" w:sz="0" w:space="0" w:color="auto"/>
        <w:left w:val="none" w:sz="0" w:space="0" w:color="auto"/>
        <w:bottom w:val="none" w:sz="0" w:space="0" w:color="auto"/>
        <w:right w:val="none" w:sz="0" w:space="0" w:color="auto"/>
      </w:divBdr>
    </w:div>
    <w:div w:id="441653030">
      <w:bodyDiv w:val="1"/>
      <w:marLeft w:val="0"/>
      <w:marRight w:val="0"/>
      <w:marTop w:val="0"/>
      <w:marBottom w:val="0"/>
      <w:divBdr>
        <w:top w:val="none" w:sz="0" w:space="0" w:color="auto"/>
        <w:left w:val="none" w:sz="0" w:space="0" w:color="auto"/>
        <w:bottom w:val="none" w:sz="0" w:space="0" w:color="auto"/>
        <w:right w:val="none" w:sz="0" w:space="0" w:color="auto"/>
      </w:divBdr>
    </w:div>
    <w:div w:id="442505238">
      <w:bodyDiv w:val="1"/>
      <w:marLeft w:val="0"/>
      <w:marRight w:val="0"/>
      <w:marTop w:val="0"/>
      <w:marBottom w:val="0"/>
      <w:divBdr>
        <w:top w:val="none" w:sz="0" w:space="0" w:color="auto"/>
        <w:left w:val="none" w:sz="0" w:space="0" w:color="auto"/>
        <w:bottom w:val="none" w:sz="0" w:space="0" w:color="auto"/>
        <w:right w:val="none" w:sz="0" w:space="0" w:color="auto"/>
      </w:divBdr>
    </w:div>
    <w:div w:id="442649489">
      <w:bodyDiv w:val="1"/>
      <w:marLeft w:val="0"/>
      <w:marRight w:val="0"/>
      <w:marTop w:val="0"/>
      <w:marBottom w:val="0"/>
      <w:divBdr>
        <w:top w:val="none" w:sz="0" w:space="0" w:color="auto"/>
        <w:left w:val="none" w:sz="0" w:space="0" w:color="auto"/>
        <w:bottom w:val="none" w:sz="0" w:space="0" w:color="auto"/>
        <w:right w:val="none" w:sz="0" w:space="0" w:color="auto"/>
      </w:divBdr>
    </w:div>
    <w:div w:id="442650544">
      <w:bodyDiv w:val="1"/>
      <w:marLeft w:val="0"/>
      <w:marRight w:val="0"/>
      <w:marTop w:val="0"/>
      <w:marBottom w:val="0"/>
      <w:divBdr>
        <w:top w:val="none" w:sz="0" w:space="0" w:color="auto"/>
        <w:left w:val="none" w:sz="0" w:space="0" w:color="auto"/>
        <w:bottom w:val="none" w:sz="0" w:space="0" w:color="auto"/>
        <w:right w:val="none" w:sz="0" w:space="0" w:color="auto"/>
      </w:divBdr>
    </w:div>
    <w:div w:id="442965268">
      <w:bodyDiv w:val="1"/>
      <w:marLeft w:val="0"/>
      <w:marRight w:val="0"/>
      <w:marTop w:val="0"/>
      <w:marBottom w:val="0"/>
      <w:divBdr>
        <w:top w:val="none" w:sz="0" w:space="0" w:color="auto"/>
        <w:left w:val="none" w:sz="0" w:space="0" w:color="auto"/>
        <w:bottom w:val="none" w:sz="0" w:space="0" w:color="auto"/>
        <w:right w:val="none" w:sz="0" w:space="0" w:color="auto"/>
      </w:divBdr>
    </w:div>
    <w:div w:id="443303731">
      <w:bodyDiv w:val="1"/>
      <w:marLeft w:val="0"/>
      <w:marRight w:val="0"/>
      <w:marTop w:val="0"/>
      <w:marBottom w:val="0"/>
      <w:divBdr>
        <w:top w:val="none" w:sz="0" w:space="0" w:color="auto"/>
        <w:left w:val="none" w:sz="0" w:space="0" w:color="auto"/>
        <w:bottom w:val="none" w:sz="0" w:space="0" w:color="auto"/>
        <w:right w:val="none" w:sz="0" w:space="0" w:color="auto"/>
      </w:divBdr>
    </w:div>
    <w:div w:id="443498658">
      <w:bodyDiv w:val="1"/>
      <w:marLeft w:val="0"/>
      <w:marRight w:val="0"/>
      <w:marTop w:val="0"/>
      <w:marBottom w:val="0"/>
      <w:divBdr>
        <w:top w:val="none" w:sz="0" w:space="0" w:color="auto"/>
        <w:left w:val="none" w:sz="0" w:space="0" w:color="auto"/>
        <w:bottom w:val="none" w:sz="0" w:space="0" w:color="auto"/>
        <w:right w:val="none" w:sz="0" w:space="0" w:color="auto"/>
      </w:divBdr>
    </w:div>
    <w:div w:id="443840556">
      <w:bodyDiv w:val="1"/>
      <w:marLeft w:val="0"/>
      <w:marRight w:val="0"/>
      <w:marTop w:val="0"/>
      <w:marBottom w:val="0"/>
      <w:divBdr>
        <w:top w:val="none" w:sz="0" w:space="0" w:color="auto"/>
        <w:left w:val="none" w:sz="0" w:space="0" w:color="auto"/>
        <w:bottom w:val="none" w:sz="0" w:space="0" w:color="auto"/>
        <w:right w:val="none" w:sz="0" w:space="0" w:color="auto"/>
      </w:divBdr>
    </w:div>
    <w:div w:id="443966734">
      <w:bodyDiv w:val="1"/>
      <w:marLeft w:val="0"/>
      <w:marRight w:val="0"/>
      <w:marTop w:val="0"/>
      <w:marBottom w:val="0"/>
      <w:divBdr>
        <w:top w:val="none" w:sz="0" w:space="0" w:color="auto"/>
        <w:left w:val="none" w:sz="0" w:space="0" w:color="auto"/>
        <w:bottom w:val="none" w:sz="0" w:space="0" w:color="auto"/>
        <w:right w:val="none" w:sz="0" w:space="0" w:color="auto"/>
      </w:divBdr>
    </w:div>
    <w:div w:id="446314202">
      <w:bodyDiv w:val="1"/>
      <w:marLeft w:val="0"/>
      <w:marRight w:val="0"/>
      <w:marTop w:val="0"/>
      <w:marBottom w:val="0"/>
      <w:divBdr>
        <w:top w:val="none" w:sz="0" w:space="0" w:color="auto"/>
        <w:left w:val="none" w:sz="0" w:space="0" w:color="auto"/>
        <w:bottom w:val="none" w:sz="0" w:space="0" w:color="auto"/>
        <w:right w:val="none" w:sz="0" w:space="0" w:color="auto"/>
      </w:divBdr>
    </w:div>
    <w:div w:id="446851570">
      <w:bodyDiv w:val="1"/>
      <w:marLeft w:val="0"/>
      <w:marRight w:val="0"/>
      <w:marTop w:val="0"/>
      <w:marBottom w:val="0"/>
      <w:divBdr>
        <w:top w:val="none" w:sz="0" w:space="0" w:color="auto"/>
        <w:left w:val="none" w:sz="0" w:space="0" w:color="auto"/>
        <w:bottom w:val="none" w:sz="0" w:space="0" w:color="auto"/>
        <w:right w:val="none" w:sz="0" w:space="0" w:color="auto"/>
      </w:divBdr>
    </w:div>
    <w:div w:id="446967721">
      <w:bodyDiv w:val="1"/>
      <w:marLeft w:val="0"/>
      <w:marRight w:val="0"/>
      <w:marTop w:val="0"/>
      <w:marBottom w:val="0"/>
      <w:divBdr>
        <w:top w:val="none" w:sz="0" w:space="0" w:color="auto"/>
        <w:left w:val="none" w:sz="0" w:space="0" w:color="auto"/>
        <w:bottom w:val="none" w:sz="0" w:space="0" w:color="auto"/>
        <w:right w:val="none" w:sz="0" w:space="0" w:color="auto"/>
      </w:divBdr>
    </w:div>
    <w:div w:id="447241302">
      <w:bodyDiv w:val="1"/>
      <w:marLeft w:val="0"/>
      <w:marRight w:val="0"/>
      <w:marTop w:val="0"/>
      <w:marBottom w:val="0"/>
      <w:divBdr>
        <w:top w:val="none" w:sz="0" w:space="0" w:color="auto"/>
        <w:left w:val="none" w:sz="0" w:space="0" w:color="auto"/>
        <w:bottom w:val="none" w:sz="0" w:space="0" w:color="auto"/>
        <w:right w:val="none" w:sz="0" w:space="0" w:color="auto"/>
      </w:divBdr>
    </w:div>
    <w:div w:id="447435929">
      <w:bodyDiv w:val="1"/>
      <w:marLeft w:val="0"/>
      <w:marRight w:val="0"/>
      <w:marTop w:val="0"/>
      <w:marBottom w:val="0"/>
      <w:divBdr>
        <w:top w:val="none" w:sz="0" w:space="0" w:color="auto"/>
        <w:left w:val="none" w:sz="0" w:space="0" w:color="auto"/>
        <w:bottom w:val="none" w:sz="0" w:space="0" w:color="auto"/>
        <w:right w:val="none" w:sz="0" w:space="0" w:color="auto"/>
      </w:divBdr>
    </w:div>
    <w:div w:id="447939479">
      <w:bodyDiv w:val="1"/>
      <w:marLeft w:val="0"/>
      <w:marRight w:val="0"/>
      <w:marTop w:val="0"/>
      <w:marBottom w:val="0"/>
      <w:divBdr>
        <w:top w:val="none" w:sz="0" w:space="0" w:color="auto"/>
        <w:left w:val="none" w:sz="0" w:space="0" w:color="auto"/>
        <w:bottom w:val="none" w:sz="0" w:space="0" w:color="auto"/>
        <w:right w:val="none" w:sz="0" w:space="0" w:color="auto"/>
      </w:divBdr>
    </w:div>
    <w:div w:id="448164282">
      <w:bodyDiv w:val="1"/>
      <w:marLeft w:val="0"/>
      <w:marRight w:val="0"/>
      <w:marTop w:val="0"/>
      <w:marBottom w:val="0"/>
      <w:divBdr>
        <w:top w:val="none" w:sz="0" w:space="0" w:color="auto"/>
        <w:left w:val="none" w:sz="0" w:space="0" w:color="auto"/>
        <w:bottom w:val="none" w:sz="0" w:space="0" w:color="auto"/>
        <w:right w:val="none" w:sz="0" w:space="0" w:color="auto"/>
      </w:divBdr>
    </w:div>
    <w:div w:id="448475564">
      <w:bodyDiv w:val="1"/>
      <w:marLeft w:val="0"/>
      <w:marRight w:val="0"/>
      <w:marTop w:val="0"/>
      <w:marBottom w:val="0"/>
      <w:divBdr>
        <w:top w:val="none" w:sz="0" w:space="0" w:color="auto"/>
        <w:left w:val="none" w:sz="0" w:space="0" w:color="auto"/>
        <w:bottom w:val="none" w:sz="0" w:space="0" w:color="auto"/>
        <w:right w:val="none" w:sz="0" w:space="0" w:color="auto"/>
      </w:divBdr>
    </w:div>
    <w:div w:id="449084003">
      <w:bodyDiv w:val="1"/>
      <w:marLeft w:val="0"/>
      <w:marRight w:val="0"/>
      <w:marTop w:val="0"/>
      <w:marBottom w:val="0"/>
      <w:divBdr>
        <w:top w:val="none" w:sz="0" w:space="0" w:color="auto"/>
        <w:left w:val="none" w:sz="0" w:space="0" w:color="auto"/>
        <w:bottom w:val="none" w:sz="0" w:space="0" w:color="auto"/>
        <w:right w:val="none" w:sz="0" w:space="0" w:color="auto"/>
      </w:divBdr>
    </w:div>
    <w:div w:id="449395715">
      <w:bodyDiv w:val="1"/>
      <w:marLeft w:val="0"/>
      <w:marRight w:val="0"/>
      <w:marTop w:val="0"/>
      <w:marBottom w:val="0"/>
      <w:divBdr>
        <w:top w:val="none" w:sz="0" w:space="0" w:color="auto"/>
        <w:left w:val="none" w:sz="0" w:space="0" w:color="auto"/>
        <w:bottom w:val="none" w:sz="0" w:space="0" w:color="auto"/>
        <w:right w:val="none" w:sz="0" w:space="0" w:color="auto"/>
      </w:divBdr>
    </w:div>
    <w:div w:id="449403015">
      <w:bodyDiv w:val="1"/>
      <w:marLeft w:val="0"/>
      <w:marRight w:val="0"/>
      <w:marTop w:val="0"/>
      <w:marBottom w:val="0"/>
      <w:divBdr>
        <w:top w:val="none" w:sz="0" w:space="0" w:color="auto"/>
        <w:left w:val="none" w:sz="0" w:space="0" w:color="auto"/>
        <w:bottom w:val="none" w:sz="0" w:space="0" w:color="auto"/>
        <w:right w:val="none" w:sz="0" w:space="0" w:color="auto"/>
      </w:divBdr>
    </w:div>
    <w:div w:id="449514627">
      <w:bodyDiv w:val="1"/>
      <w:marLeft w:val="0"/>
      <w:marRight w:val="0"/>
      <w:marTop w:val="0"/>
      <w:marBottom w:val="0"/>
      <w:divBdr>
        <w:top w:val="none" w:sz="0" w:space="0" w:color="auto"/>
        <w:left w:val="none" w:sz="0" w:space="0" w:color="auto"/>
        <w:bottom w:val="none" w:sz="0" w:space="0" w:color="auto"/>
        <w:right w:val="none" w:sz="0" w:space="0" w:color="auto"/>
      </w:divBdr>
    </w:div>
    <w:div w:id="450169514">
      <w:bodyDiv w:val="1"/>
      <w:marLeft w:val="0"/>
      <w:marRight w:val="0"/>
      <w:marTop w:val="0"/>
      <w:marBottom w:val="0"/>
      <w:divBdr>
        <w:top w:val="none" w:sz="0" w:space="0" w:color="auto"/>
        <w:left w:val="none" w:sz="0" w:space="0" w:color="auto"/>
        <w:bottom w:val="none" w:sz="0" w:space="0" w:color="auto"/>
        <w:right w:val="none" w:sz="0" w:space="0" w:color="auto"/>
      </w:divBdr>
    </w:div>
    <w:div w:id="450442376">
      <w:bodyDiv w:val="1"/>
      <w:marLeft w:val="0"/>
      <w:marRight w:val="0"/>
      <w:marTop w:val="0"/>
      <w:marBottom w:val="0"/>
      <w:divBdr>
        <w:top w:val="none" w:sz="0" w:space="0" w:color="auto"/>
        <w:left w:val="none" w:sz="0" w:space="0" w:color="auto"/>
        <w:bottom w:val="none" w:sz="0" w:space="0" w:color="auto"/>
        <w:right w:val="none" w:sz="0" w:space="0" w:color="auto"/>
      </w:divBdr>
    </w:div>
    <w:div w:id="450513242">
      <w:bodyDiv w:val="1"/>
      <w:marLeft w:val="0"/>
      <w:marRight w:val="0"/>
      <w:marTop w:val="0"/>
      <w:marBottom w:val="0"/>
      <w:divBdr>
        <w:top w:val="none" w:sz="0" w:space="0" w:color="auto"/>
        <w:left w:val="none" w:sz="0" w:space="0" w:color="auto"/>
        <w:bottom w:val="none" w:sz="0" w:space="0" w:color="auto"/>
        <w:right w:val="none" w:sz="0" w:space="0" w:color="auto"/>
      </w:divBdr>
    </w:div>
    <w:div w:id="450709705">
      <w:bodyDiv w:val="1"/>
      <w:marLeft w:val="0"/>
      <w:marRight w:val="0"/>
      <w:marTop w:val="0"/>
      <w:marBottom w:val="0"/>
      <w:divBdr>
        <w:top w:val="none" w:sz="0" w:space="0" w:color="auto"/>
        <w:left w:val="none" w:sz="0" w:space="0" w:color="auto"/>
        <w:bottom w:val="none" w:sz="0" w:space="0" w:color="auto"/>
        <w:right w:val="none" w:sz="0" w:space="0" w:color="auto"/>
      </w:divBdr>
    </w:div>
    <w:div w:id="450901037">
      <w:bodyDiv w:val="1"/>
      <w:marLeft w:val="0"/>
      <w:marRight w:val="0"/>
      <w:marTop w:val="0"/>
      <w:marBottom w:val="0"/>
      <w:divBdr>
        <w:top w:val="none" w:sz="0" w:space="0" w:color="auto"/>
        <w:left w:val="none" w:sz="0" w:space="0" w:color="auto"/>
        <w:bottom w:val="none" w:sz="0" w:space="0" w:color="auto"/>
        <w:right w:val="none" w:sz="0" w:space="0" w:color="auto"/>
      </w:divBdr>
    </w:div>
    <w:div w:id="451554500">
      <w:bodyDiv w:val="1"/>
      <w:marLeft w:val="0"/>
      <w:marRight w:val="0"/>
      <w:marTop w:val="0"/>
      <w:marBottom w:val="0"/>
      <w:divBdr>
        <w:top w:val="none" w:sz="0" w:space="0" w:color="auto"/>
        <w:left w:val="none" w:sz="0" w:space="0" w:color="auto"/>
        <w:bottom w:val="none" w:sz="0" w:space="0" w:color="auto"/>
        <w:right w:val="none" w:sz="0" w:space="0" w:color="auto"/>
      </w:divBdr>
    </w:div>
    <w:div w:id="451946143">
      <w:bodyDiv w:val="1"/>
      <w:marLeft w:val="0"/>
      <w:marRight w:val="0"/>
      <w:marTop w:val="0"/>
      <w:marBottom w:val="0"/>
      <w:divBdr>
        <w:top w:val="none" w:sz="0" w:space="0" w:color="auto"/>
        <w:left w:val="none" w:sz="0" w:space="0" w:color="auto"/>
        <w:bottom w:val="none" w:sz="0" w:space="0" w:color="auto"/>
        <w:right w:val="none" w:sz="0" w:space="0" w:color="auto"/>
      </w:divBdr>
    </w:div>
    <w:div w:id="452023326">
      <w:bodyDiv w:val="1"/>
      <w:marLeft w:val="0"/>
      <w:marRight w:val="0"/>
      <w:marTop w:val="0"/>
      <w:marBottom w:val="0"/>
      <w:divBdr>
        <w:top w:val="none" w:sz="0" w:space="0" w:color="auto"/>
        <w:left w:val="none" w:sz="0" w:space="0" w:color="auto"/>
        <w:bottom w:val="none" w:sz="0" w:space="0" w:color="auto"/>
        <w:right w:val="none" w:sz="0" w:space="0" w:color="auto"/>
      </w:divBdr>
    </w:div>
    <w:div w:id="452402205">
      <w:bodyDiv w:val="1"/>
      <w:marLeft w:val="0"/>
      <w:marRight w:val="0"/>
      <w:marTop w:val="0"/>
      <w:marBottom w:val="0"/>
      <w:divBdr>
        <w:top w:val="none" w:sz="0" w:space="0" w:color="auto"/>
        <w:left w:val="none" w:sz="0" w:space="0" w:color="auto"/>
        <w:bottom w:val="none" w:sz="0" w:space="0" w:color="auto"/>
        <w:right w:val="none" w:sz="0" w:space="0" w:color="auto"/>
      </w:divBdr>
    </w:div>
    <w:div w:id="452408591">
      <w:bodyDiv w:val="1"/>
      <w:marLeft w:val="0"/>
      <w:marRight w:val="0"/>
      <w:marTop w:val="0"/>
      <w:marBottom w:val="0"/>
      <w:divBdr>
        <w:top w:val="none" w:sz="0" w:space="0" w:color="auto"/>
        <w:left w:val="none" w:sz="0" w:space="0" w:color="auto"/>
        <w:bottom w:val="none" w:sz="0" w:space="0" w:color="auto"/>
        <w:right w:val="none" w:sz="0" w:space="0" w:color="auto"/>
      </w:divBdr>
    </w:div>
    <w:div w:id="452676693">
      <w:bodyDiv w:val="1"/>
      <w:marLeft w:val="0"/>
      <w:marRight w:val="0"/>
      <w:marTop w:val="0"/>
      <w:marBottom w:val="0"/>
      <w:divBdr>
        <w:top w:val="none" w:sz="0" w:space="0" w:color="auto"/>
        <w:left w:val="none" w:sz="0" w:space="0" w:color="auto"/>
        <w:bottom w:val="none" w:sz="0" w:space="0" w:color="auto"/>
        <w:right w:val="none" w:sz="0" w:space="0" w:color="auto"/>
      </w:divBdr>
    </w:div>
    <w:div w:id="452944669">
      <w:bodyDiv w:val="1"/>
      <w:marLeft w:val="0"/>
      <w:marRight w:val="0"/>
      <w:marTop w:val="0"/>
      <w:marBottom w:val="0"/>
      <w:divBdr>
        <w:top w:val="none" w:sz="0" w:space="0" w:color="auto"/>
        <w:left w:val="none" w:sz="0" w:space="0" w:color="auto"/>
        <w:bottom w:val="none" w:sz="0" w:space="0" w:color="auto"/>
        <w:right w:val="none" w:sz="0" w:space="0" w:color="auto"/>
      </w:divBdr>
    </w:div>
    <w:div w:id="453333782">
      <w:bodyDiv w:val="1"/>
      <w:marLeft w:val="0"/>
      <w:marRight w:val="0"/>
      <w:marTop w:val="0"/>
      <w:marBottom w:val="0"/>
      <w:divBdr>
        <w:top w:val="none" w:sz="0" w:space="0" w:color="auto"/>
        <w:left w:val="none" w:sz="0" w:space="0" w:color="auto"/>
        <w:bottom w:val="none" w:sz="0" w:space="0" w:color="auto"/>
        <w:right w:val="none" w:sz="0" w:space="0" w:color="auto"/>
      </w:divBdr>
    </w:div>
    <w:div w:id="454061277">
      <w:bodyDiv w:val="1"/>
      <w:marLeft w:val="0"/>
      <w:marRight w:val="0"/>
      <w:marTop w:val="0"/>
      <w:marBottom w:val="0"/>
      <w:divBdr>
        <w:top w:val="none" w:sz="0" w:space="0" w:color="auto"/>
        <w:left w:val="none" w:sz="0" w:space="0" w:color="auto"/>
        <w:bottom w:val="none" w:sz="0" w:space="0" w:color="auto"/>
        <w:right w:val="none" w:sz="0" w:space="0" w:color="auto"/>
      </w:divBdr>
    </w:div>
    <w:div w:id="455105311">
      <w:bodyDiv w:val="1"/>
      <w:marLeft w:val="0"/>
      <w:marRight w:val="0"/>
      <w:marTop w:val="0"/>
      <w:marBottom w:val="0"/>
      <w:divBdr>
        <w:top w:val="none" w:sz="0" w:space="0" w:color="auto"/>
        <w:left w:val="none" w:sz="0" w:space="0" w:color="auto"/>
        <w:bottom w:val="none" w:sz="0" w:space="0" w:color="auto"/>
        <w:right w:val="none" w:sz="0" w:space="0" w:color="auto"/>
      </w:divBdr>
    </w:div>
    <w:div w:id="455296739">
      <w:bodyDiv w:val="1"/>
      <w:marLeft w:val="0"/>
      <w:marRight w:val="0"/>
      <w:marTop w:val="0"/>
      <w:marBottom w:val="0"/>
      <w:divBdr>
        <w:top w:val="none" w:sz="0" w:space="0" w:color="auto"/>
        <w:left w:val="none" w:sz="0" w:space="0" w:color="auto"/>
        <w:bottom w:val="none" w:sz="0" w:space="0" w:color="auto"/>
        <w:right w:val="none" w:sz="0" w:space="0" w:color="auto"/>
      </w:divBdr>
    </w:div>
    <w:div w:id="456148966">
      <w:bodyDiv w:val="1"/>
      <w:marLeft w:val="0"/>
      <w:marRight w:val="0"/>
      <w:marTop w:val="0"/>
      <w:marBottom w:val="0"/>
      <w:divBdr>
        <w:top w:val="none" w:sz="0" w:space="0" w:color="auto"/>
        <w:left w:val="none" w:sz="0" w:space="0" w:color="auto"/>
        <w:bottom w:val="none" w:sz="0" w:space="0" w:color="auto"/>
        <w:right w:val="none" w:sz="0" w:space="0" w:color="auto"/>
      </w:divBdr>
      <w:divsChild>
        <w:div w:id="1649632467">
          <w:marLeft w:val="0"/>
          <w:marRight w:val="0"/>
          <w:marTop w:val="0"/>
          <w:marBottom w:val="0"/>
          <w:divBdr>
            <w:top w:val="none" w:sz="0" w:space="0" w:color="auto"/>
            <w:left w:val="none" w:sz="0" w:space="0" w:color="auto"/>
            <w:bottom w:val="none" w:sz="0" w:space="0" w:color="auto"/>
            <w:right w:val="none" w:sz="0" w:space="0" w:color="auto"/>
          </w:divBdr>
        </w:div>
      </w:divsChild>
    </w:div>
    <w:div w:id="457185427">
      <w:bodyDiv w:val="1"/>
      <w:marLeft w:val="0"/>
      <w:marRight w:val="0"/>
      <w:marTop w:val="0"/>
      <w:marBottom w:val="0"/>
      <w:divBdr>
        <w:top w:val="none" w:sz="0" w:space="0" w:color="auto"/>
        <w:left w:val="none" w:sz="0" w:space="0" w:color="auto"/>
        <w:bottom w:val="none" w:sz="0" w:space="0" w:color="auto"/>
        <w:right w:val="none" w:sz="0" w:space="0" w:color="auto"/>
      </w:divBdr>
    </w:div>
    <w:div w:id="457384577">
      <w:bodyDiv w:val="1"/>
      <w:marLeft w:val="0"/>
      <w:marRight w:val="0"/>
      <w:marTop w:val="0"/>
      <w:marBottom w:val="0"/>
      <w:divBdr>
        <w:top w:val="none" w:sz="0" w:space="0" w:color="auto"/>
        <w:left w:val="none" w:sz="0" w:space="0" w:color="auto"/>
        <w:bottom w:val="none" w:sz="0" w:space="0" w:color="auto"/>
        <w:right w:val="none" w:sz="0" w:space="0" w:color="auto"/>
      </w:divBdr>
    </w:div>
    <w:div w:id="457721826">
      <w:bodyDiv w:val="1"/>
      <w:marLeft w:val="0"/>
      <w:marRight w:val="0"/>
      <w:marTop w:val="0"/>
      <w:marBottom w:val="0"/>
      <w:divBdr>
        <w:top w:val="none" w:sz="0" w:space="0" w:color="auto"/>
        <w:left w:val="none" w:sz="0" w:space="0" w:color="auto"/>
        <w:bottom w:val="none" w:sz="0" w:space="0" w:color="auto"/>
        <w:right w:val="none" w:sz="0" w:space="0" w:color="auto"/>
      </w:divBdr>
    </w:div>
    <w:div w:id="457799140">
      <w:bodyDiv w:val="1"/>
      <w:marLeft w:val="0"/>
      <w:marRight w:val="0"/>
      <w:marTop w:val="0"/>
      <w:marBottom w:val="0"/>
      <w:divBdr>
        <w:top w:val="none" w:sz="0" w:space="0" w:color="auto"/>
        <w:left w:val="none" w:sz="0" w:space="0" w:color="auto"/>
        <w:bottom w:val="none" w:sz="0" w:space="0" w:color="auto"/>
        <w:right w:val="none" w:sz="0" w:space="0" w:color="auto"/>
      </w:divBdr>
    </w:div>
    <w:div w:id="458300881">
      <w:bodyDiv w:val="1"/>
      <w:marLeft w:val="0"/>
      <w:marRight w:val="0"/>
      <w:marTop w:val="0"/>
      <w:marBottom w:val="0"/>
      <w:divBdr>
        <w:top w:val="none" w:sz="0" w:space="0" w:color="auto"/>
        <w:left w:val="none" w:sz="0" w:space="0" w:color="auto"/>
        <w:bottom w:val="none" w:sz="0" w:space="0" w:color="auto"/>
        <w:right w:val="none" w:sz="0" w:space="0" w:color="auto"/>
      </w:divBdr>
    </w:div>
    <w:div w:id="458886980">
      <w:bodyDiv w:val="1"/>
      <w:marLeft w:val="0"/>
      <w:marRight w:val="0"/>
      <w:marTop w:val="0"/>
      <w:marBottom w:val="0"/>
      <w:divBdr>
        <w:top w:val="none" w:sz="0" w:space="0" w:color="auto"/>
        <w:left w:val="none" w:sz="0" w:space="0" w:color="auto"/>
        <w:bottom w:val="none" w:sz="0" w:space="0" w:color="auto"/>
        <w:right w:val="none" w:sz="0" w:space="0" w:color="auto"/>
      </w:divBdr>
    </w:div>
    <w:div w:id="459346331">
      <w:bodyDiv w:val="1"/>
      <w:marLeft w:val="0"/>
      <w:marRight w:val="0"/>
      <w:marTop w:val="0"/>
      <w:marBottom w:val="0"/>
      <w:divBdr>
        <w:top w:val="none" w:sz="0" w:space="0" w:color="auto"/>
        <w:left w:val="none" w:sz="0" w:space="0" w:color="auto"/>
        <w:bottom w:val="none" w:sz="0" w:space="0" w:color="auto"/>
        <w:right w:val="none" w:sz="0" w:space="0" w:color="auto"/>
      </w:divBdr>
    </w:div>
    <w:div w:id="460080575">
      <w:bodyDiv w:val="1"/>
      <w:marLeft w:val="0"/>
      <w:marRight w:val="0"/>
      <w:marTop w:val="0"/>
      <w:marBottom w:val="0"/>
      <w:divBdr>
        <w:top w:val="none" w:sz="0" w:space="0" w:color="auto"/>
        <w:left w:val="none" w:sz="0" w:space="0" w:color="auto"/>
        <w:bottom w:val="none" w:sz="0" w:space="0" w:color="auto"/>
        <w:right w:val="none" w:sz="0" w:space="0" w:color="auto"/>
      </w:divBdr>
    </w:div>
    <w:div w:id="460880804">
      <w:bodyDiv w:val="1"/>
      <w:marLeft w:val="0"/>
      <w:marRight w:val="0"/>
      <w:marTop w:val="0"/>
      <w:marBottom w:val="0"/>
      <w:divBdr>
        <w:top w:val="none" w:sz="0" w:space="0" w:color="auto"/>
        <w:left w:val="none" w:sz="0" w:space="0" w:color="auto"/>
        <w:bottom w:val="none" w:sz="0" w:space="0" w:color="auto"/>
        <w:right w:val="none" w:sz="0" w:space="0" w:color="auto"/>
      </w:divBdr>
    </w:div>
    <w:div w:id="461045770">
      <w:bodyDiv w:val="1"/>
      <w:marLeft w:val="0"/>
      <w:marRight w:val="0"/>
      <w:marTop w:val="0"/>
      <w:marBottom w:val="0"/>
      <w:divBdr>
        <w:top w:val="none" w:sz="0" w:space="0" w:color="auto"/>
        <w:left w:val="none" w:sz="0" w:space="0" w:color="auto"/>
        <w:bottom w:val="none" w:sz="0" w:space="0" w:color="auto"/>
        <w:right w:val="none" w:sz="0" w:space="0" w:color="auto"/>
      </w:divBdr>
    </w:div>
    <w:div w:id="461190032">
      <w:bodyDiv w:val="1"/>
      <w:marLeft w:val="0"/>
      <w:marRight w:val="0"/>
      <w:marTop w:val="0"/>
      <w:marBottom w:val="0"/>
      <w:divBdr>
        <w:top w:val="none" w:sz="0" w:space="0" w:color="auto"/>
        <w:left w:val="none" w:sz="0" w:space="0" w:color="auto"/>
        <w:bottom w:val="none" w:sz="0" w:space="0" w:color="auto"/>
        <w:right w:val="none" w:sz="0" w:space="0" w:color="auto"/>
      </w:divBdr>
    </w:div>
    <w:div w:id="461191321">
      <w:bodyDiv w:val="1"/>
      <w:marLeft w:val="0"/>
      <w:marRight w:val="0"/>
      <w:marTop w:val="0"/>
      <w:marBottom w:val="0"/>
      <w:divBdr>
        <w:top w:val="none" w:sz="0" w:space="0" w:color="auto"/>
        <w:left w:val="none" w:sz="0" w:space="0" w:color="auto"/>
        <w:bottom w:val="none" w:sz="0" w:space="0" w:color="auto"/>
        <w:right w:val="none" w:sz="0" w:space="0" w:color="auto"/>
      </w:divBdr>
    </w:div>
    <w:div w:id="461264961">
      <w:bodyDiv w:val="1"/>
      <w:marLeft w:val="0"/>
      <w:marRight w:val="0"/>
      <w:marTop w:val="0"/>
      <w:marBottom w:val="0"/>
      <w:divBdr>
        <w:top w:val="none" w:sz="0" w:space="0" w:color="auto"/>
        <w:left w:val="none" w:sz="0" w:space="0" w:color="auto"/>
        <w:bottom w:val="none" w:sz="0" w:space="0" w:color="auto"/>
        <w:right w:val="none" w:sz="0" w:space="0" w:color="auto"/>
      </w:divBdr>
    </w:div>
    <w:div w:id="461384239">
      <w:bodyDiv w:val="1"/>
      <w:marLeft w:val="0"/>
      <w:marRight w:val="0"/>
      <w:marTop w:val="0"/>
      <w:marBottom w:val="0"/>
      <w:divBdr>
        <w:top w:val="none" w:sz="0" w:space="0" w:color="auto"/>
        <w:left w:val="none" w:sz="0" w:space="0" w:color="auto"/>
        <w:bottom w:val="none" w:sz="0" w:space="0" w:color="auto"/>
        <w:right w:val="none" w:sz="0" w:space="0" w:color="auto"/>
      </w:divBdr>
    </w:div>
    <w:div w:id="461927106">
      <w:bodyDiv w:val="1"/>
      <w:marLeft w:val="0"/>
      <w:marRight w:val="0"/>
      <w:marTop w:val="0"/>
      <w:marBottom w:val="0"/>
      <w:divBdr>
        <w:top w:val="none" w:sz="0" w:space="0" w:color="auto"/>
        <w:left w:val="none" w:sz="0" w:space="0" w:color="auto"/>
        <w:bottom w:val="none" w:sz="0" w:space="0" w:color="auto"/>
        <w:right w:val="none" w:sz="0" w:space="0" w:color="auto"/>
      </w:divBdr>
    </w:div>
    <w:div w:id="462967312">
      <w:bodyDiv w:val="1"/>
      <w:marLeft w:val="0"/>
      <w:marRight w:val="0"/>
      <w:marTop w:val="0"/>
      <w:marBottom w:val="0"/>
      <w:divBdr>
        <w:top w:val="none" w:sz="0" w:space="0" w:color="auto"/>
        <w:left w:val="none" w:sz="0" w:space="0" w:color="auto"/>
        <w:bottom w:val="none" w:sz="0" w:space="0" w:color="auto"/>
        <w:right w:val="none" w:sz="0" w:space="0" w:color="auto"/>
      </w:divBdr>
    </w:div>
    <w:div w:id="463088511">
      <w:bodyDiv w:val="1"/>
      <w:marLeft w:val="0"/>
      <w:marRight w:val="0"/>
      <w:marTop w:val="0"/>
      <w:marBottom w:val="0"/>
      <w:divBdr>
        <w:top w:val="none" w:sz="0" w:space="0" w:color="auto"/>
        <w:left w:val="none" w:sz="0" w:space="0" w:color="auto"/>
        <w:bottom w:val="none" w:sz="0" w:space="0" w:color="auto"/>
        <w:right w:val="none" w:sz="0" w:space="0" w:color="auto"/>
      </w:divBdr>
    </w:div>
    <w:div w:id="464279813">
      <w:bodyDiv w:val="1"/>
      <w:marLeft w:val="0"/>
      <w:marRight w:val="0"/>
      <w:marTop w:val="0"/>
      <w:marBottom w:val="0"/>
      <w:divBdr>
        <w:top w:val="none" w:sz="0" w:space="0" w:color="auto"/>
        <w:left w:val="none" w:sz="0" w:space="0" w:color="auto"/>
        <w:bottom w:val="none" w:sz="0" w:space="0" w:color="auto"/>
        <w:right w:val="none" w:sz="0" w:space="0" w:color="auto"/>
      </w:divBdr>
    </w:div>
    <w:div w:id="464349927">
      <w:bodyDiv w:val="1"/>
      <w:marLeft w:val="0"/>
      <w:marRight w:val="0"/>
      <w:marTop w:val="0"/>
      <w:marBottom w:val="0"/>
      <w:divBdr>
        <w:top w:val="none" w:sz="0" w:space="0" w:color="auto"/>
        <w:left w:val="none" w:sz="0" w:space="0" w:color="auto"/>
        <w:bottom w:val="none" w:sz="0" w:space="0" w:color="auto"/>
        <w:right w:val="none" w:sz="0" w:space="0" w:color="auto"/>
      </w:divBdr>
    </w:div>
    <w:div w:id="464540277">
      <w:bodyDiv w:val="1"/>
      <w:marLeft w:val="0"/>
      <w:marRight w:val="0"/>
      <w:marTop w:val="0"/>
      <w:marBottom w:val="0"/>
      <w:divBdr>
        <w:top w:val="none" w:sz="0" w:space="0" w:color="auto"/>
        <w:left w:val="none" w:sz="0" w:space="0" w:color="auto"/>
        <w:bottom w:val="none" w:sz="0" w:space="0" w:color="auto"/>
        <w:right w:val="none" w:sz="0" w:space="0" w:color="auto"/>
      </w:divBdr>
    </w:div>
    <w:div w:id="464615655">
      <w:bodyDiv w:val="1"/>
      <w:marLeft w:val="0"/>
      <w:marRight w:val="0"/>
      <w:marTop w:val="0"/>
      <w:marBottom w:val="0"/>
      <w:divBdr>
        <w:top w:val="none" w:sz="0" w:space="0" w:color="auto"/>
        <w:left w:val="none" w:sz="0" w:space="0" w:color="auto"/>
        <w:bottom w:val="none" w:sz="0" w:space="0" w:color="auto"/>
        <w:right w:val="none" w:sz="0" w:space="0" w:color="auto"/>
      </w:divBdr>
    </w:div>
    <w:div w:id="465247875">
      <w:bodyDiv w:val="1"/>
      <w:marLeft w:val="0"/>
      <w:marRight w:val="0"/>
      <w:marTop w:val="0"/>
      <w:marBottom w:val="0"/>
      <w:divBdr>
        <w:top w:val="none" w:sz="0" w:space="0" w:color="auto"/>
        <w:left w:val="none" w:sz="0" w:space="0" w:color="auto"/>
        <w:bottom w:val="none" w:sz="0" w:space="0" w:color="auto"/>
        <w:right w:val="none" w:sz="0" w:space="0" w:color="auto"/>
      </w:divBdr>
    </w:div>
    <w:div w:id="465397638">
      <w:bodyDiv w:val="1"/>
      <w:marLeft w:val="0"/>
      <w:marRight w:val="0"/>
      <w:marTop w:val="0"/>
      <w:marBottom w:val="0"/>
      <w:divBdr>
        <w:top w:val="none" w:sz="0" w:space="0" w:color="auto"/>
        <w:left w:val="none" w:sz="0" w:space="0" w:color="auto"/>
        <w:bottom w:val="none" w:sz="0" w:space="0" w:color="auto"/>
        <w:right w:val="none" w:sz="0" w:space="0" w:color="auto"/>
      </w:divBdr>
    </w:div>
    <w:div w:id="466170298">
      <w:bodyDiv w:val="1"/>
      <w:marLeft w:val="0"/>
      <w:marRight w:val="0"/>
      <w:marTop w:val="0"/>
      <w:marBottom w:val="0"/>
      <w:divBdr>
        <w:top w:val="none" w:sz="0" w:space="0" w:color="auto"/>
        <w:left w:val="none" w:sz="0" w:space="0" w:color="auto"/>
        <w:bottom w:val="none" w:sz="0" w:space="0" w:color="auto"/>
        <w:right w:val="none" w:sz="0" w:space="0" w:color="auto"/>
      </w:divBdr>
    </w:div>
    <w:div w:id="466316406">
      <w:bodyDiv w:val="1"/>
      <w:marLeft w:val="0"/>
      <w:marRight w:val="0"/>
      <w:marTop w:val="0"/>
      <w:marBottom w:val="0"/>
      <w:divBdr>
        <w:top w:val="none" w:sz="0" w:space="0" w:color="auto"/>
        <w:left w:val="none" w:sz="0" w:space="0" w:color="auto"/>
        <w:bottom w:val="none" w:sz="0" w:space="0" w:color="auto"/>
        <w:right w:val="none" w:sz="0" w:space="0" w:color="auto"/>
      </w:divBdr>
    </w:div>
    <w:div w:id="466819039">
      <w:bodyDiv w:val="1"/>
      <w:marLeft w:val="0"/>
      <w:marRight w:val="0"/>
      <w:marTop w:val="0"/>
      <w:marBottom w:val="0"/>
      <w:divBdr>
        <w:top w:val="none" w:sz="0" w:space="0" w:color="auto"/>
        <w:left w:val="none" w:sz="0" w:space="0" w:color="auto"/>
        <w:bottom w:val="none" w:sz="0" w:space="0" w:color="auto"/>
        <w:right w:val="none" w:sz="0" w:space="0" w:color="auto"/>
      </w:divBdr>
    </w:div>
    <w:div w:id="466824819">
      <w:bodyDiv w:val="1"/>
      <w:marLeft w:val="0"/>
      <w:marRight w:val="0"/>
      <w:marTop w:val="0"/>
      <w:marBottom w:val="0"/>
      <w:divBdr>
        <w:top w:val="none" w:sz="0" w:space="0" w:color="auto"/>
        <w:left w:val="none" w:sz="0" w:space="0" w:color="auto"/>
        <w:bottom w:val="none" w:sz="0" w:space="0" w:color="auto"/>
        <w:right w:val="none" w:sz="0" w:space="0" w:color="auto"/>
      </w:divBdr>
    </w:div>
    <w:div w:id="467017810">
      <w:bodyDiv w:val="1"/>
      <w:marLeft w:val="0"/>
      <w:marRight w:val="0"/>
      <w:marTop w:val="0"/>
      <w:marBottom w:val="0"/>
      <w:divBdr>
        <w:top w:val="none" w:sz="0" w:space="0" w:color="auto"/>
        <w:left w:val="none" w:sz="0" w:space="0" w:color="auto"/>
        <w:bottom w:val="none" w:sz="0" w:space="0" w:color="auto"/>
        <w:right w:val="none" w:sz="0" w:space="0" w:color="auto"/>
      </w:divBdr>
    </w:div>
    <w:div w:id="467208257">
      <w:bodyDiv w:val="1"/>
      <w:marLeft w:val="0"/>
      <w:marRight w:val="0"/>
      <w:marTop w:val="0"/>
      <w:marBottom w:val="0"/>
      <w:divBdr>
        <w:top w:val="none" w:sz="0" w:space="0" w:color="auto"/>
        <w:left w:val="none" w:sz="0" w:space="0" w:color="auto"/>
        <w:bottom w:val="none" w:sz="0" w:space="0" w:color="auto"/>
        <w:right w:val="none" w:sz="0" w:space="0" w:color="auto"/>
      </w:divBdr>
    </w:div>
    <w:div w:id="467289042">
      <w:bodyDiv w:val="1"/>
      <w:marLeft w:val="0"/>
      <w:marRight w:val="0"/>
      <w:marTop w:val="0"/>
      <w:marBottom w:val="0"/>
      <w:divBdr>
        <w:top w:val="none" w:sz="0" w:space="0" w:color="auto"/>
        <w:left w:val="none" w:sz="0" w:space="0" w:color="auto"/>
        <w:bottom w:val="none" w:sz="0" w:space="0" w:color="auto"/>
        <w:right w:val="none" w:sz="0" w:space="0" w:color="auto"/>
      </w:divBdr>
    </w:div>
    <w:div w:id="467478911">
      <w:bodyDiv w:val="1"/>
      <w:marLeft w:val="0"/>
      <w:marRight w:val="0"/>
      <w:marTop w:val="0"/>
      <w:marBottom w:val="0"/>
      <w:divBdr>
        <w:top w:val="none" w:sz="0" w:space="0" w:color="auto"/>
        <w:left w:val="none" w:sz="0" w:space="0" w:color="auto"/>
        <w:bottom w:val="none" w:sz="0" w:space="0" w:color="auto"/>
        <w:right w:val="none" w:sz="0" w:space="0" w:color="auto"/>
      </w:divBdr>
    </w:div>
    <w:div w:id="467668741">
      <w:bodyDiv w:val="1"/>
      <w:marLeft w:val="0"/>
      <w:marRight w:val="0"/>
      <w:marTop w:val="0"/>
      <w:marBottom w:val="0"/>
      <w:divBdr>
        <w:top w:val="none" w:sz="0" w:space="0" w:color="auto"/>
        <w:left w:val="none" w:sz="0" w:space="0" w:color="auto"/>
        <w:bottom w:val="none" w:sz="0" w:space="0" w:color="auto"/>
        <w:right w:val="none" w:sz="0" w:space="0" w:color="auto"/>
      </w:divBdr>
    </w:div>
    <w:div w:id="467674202">
      <w:bodyDiv w:val="1"/>
      <w:marLeft w:val="0"/>
      <w:marRight w:val="0"/>
      <w:marTop w:val="0"/>
      <w:marBottom w:val="0"/>
      <w:divBdr>
        <w:top w:val="none" w:sz="0" w:space="0" w:color="auto"/>
        <w:left w:val="none" w:sz="0" w:space="0" w:color="auto"/>
        <w:bottom w:val="none" w:sz="0" w:space="0" w:color="auto"/>
        <w:right w:val="none" w:sz="0" w:space="0" w:color="auto"/>
      </w:divBdr>
    </w:div>
    <w:div w:id="468128711">
      <w:bodyDiv w:val="1"/>
      <w:marLeft w:val="0"/>
      <w:marRight w:val="0"/>
      <w:marTop w:val="0"/>
      <w:marBottom w:val="0"/>
      <w:divBdr>
        <w:top w:val="none" w:sz="0" w:space="0" w:color="auto"/>
        <w:left w:val="none" w:sz="0" w:space="0" w:color="auto"/>
        <w:bottom w:val="none" w:sz="0" w:space="0" w:color="auto"/>
        <w:right w:val="none" w:sz="0" w:space="0" w:color="auto"/>
      </w:divBdr>
    </w:div>
    <w:div w:id="468137420">
      <w:bodyDiv w:val="1"/>
      <w:marLeft w:val="0"/>
      <w:marRight w:val="0"/>
      <w:marTop w:val="0"/>
      <w:marBottom w:val="0"/>
      <w:divBdr>
        <w:top w:val="none" w:sz="0" w:space="0" w:color="auto"/>
        <w:left w:val="none" w:sz="0" w:space="0" w:color="auto"/>
        <w:bottom w:val="none" w:sz="0" w:space="0" w:color="auto"/>
        <w:right w:val="none" w:sz="0" w:space="0" w:color="auto"/>
      </w:divBdr>
    </w:div>
    <w:div w:id="468321694">
      <w:bodyDiv w:val="1"/>
      <w:marLeft w:val="0"/>
      <w:marRight w:val="0"/>
      <w:marTop w:val="0"/>
      <w:marBottom w:val="0"/>
      <w:divBdr>
        <w:top w:val="none" w:sz="0" w:space="0" w:color="auto"/>
        <w:left w:val="none" w:sz="0" w:space="0" w:color="auto"/>
        <w:bottom w:val="none" w:sz="0" w:space="0" w:color="auto"/>
        <w:right w:val="none" w:sz="0" w:space="0" w:color="auto"/>
      </w:divBdr>
    </w:div>
    <w:div w:id="468477294">
      <w:bodyDiv w:val="1"/>
      <w:marLeft w:val="0"/>
      <w:marRight w:val="0"/>
      <w:marTop w:val="0"/>
      <w:marBottom w:val="0"/>
      <w:divBdr>
        <w:top w:val="none" w:sz="0" w:space="0" w:color="auto"/>
        <w:left w:val="none" w:sz="0" w:space="0" w:color="auto"/>
        <w:bottom w:val="none" w:sz="0" w:space="0" w:color="auto"/>
        <w:right w:val="none" w:sz="0" w:space="0" w:color="auto"/>
      </w:divBdr>
    </w:div>
    <w:div w:id="468478994">
      <w:bodyDiv w:val="1"/>
      <w:marLeft w:val="0"/>
      <w:marRight w:val="0"/>
      <w:marTop w:val="0"/>
      <w:marBottom w:val="0"/>
      <w:divBdr>
        <w:top w:val="none" w:sz="0" w:space="0" w:color="auto"/>
        <w:left w:val="none" w:sz="0" w:space="0" w:color="auto"/>
        <w:bottom w:val="none" w:sz="0" w:space="0" w:color="auto"/>
        <w:right w:val="none" w:sz="0" w:space="0" w:color="auto"/>
      </w:divBdr>
    </w:div>
    <w:div w:id="468981114">
      <w:bodyDiv w:val="1"/>
      <w:marLeft w:val="0"/>
      <w:marRight w:val="0"/>
      <w:marTop w:val="0"/>
      <w:marBottom w:val="0"/>
      <w:divBdr>
        <w:top w:val="none" w:sz="0" w:space="0" w:color="auto"/>
        <w:left w:val="none" w:sz="0" w:space="0" w:color="auto"/>
        <w:bottom w:val="none" w:sz="0" w:space="0" w:color="auto"/>
        <w:right w:val="none" w:sz="0" w:space="0" w:color="auto"/>
      </w:divBdr>
    </w:div>
    <w:div w:id="468982018">
      <w:bodyDiv w:val="1"/>
      <w:marLeft w:val="0"/>
      <w:marRight w:val="0"/>
      <w:marTop w:val="0"/>
      <w:marBottom w:val="0"/>
      <w:divBdr>
        <w:top w:val="none" w:sz="0" w:space="0" w:color="auto"/>
        <w:left w:val="none" w:sz="0" w:space="0" w:color="auto"/>
        <w:bottom w:val="none" w:sz="0" w:space="0" w:color="auto"/>
        <w:right w:val="none" w:sz="0" w:space="0" w:color="auto"/>
      </w:divBdr>
    </w:div>
    <w:div w:id="470756566">
      <w:bodyDiv w:val="1"/>
      <w:marLeft w:val="0"/>
      <w:marRight w:val="0"/>
      <w:marTop w:val="0"/>
      <w:marBottom w:val="0"/>
      <w:divBdr>
        <w:top w:val="none" w:sz="0" w:space="0" w:color="auto"/>
        <w:left w:val="none" w:sz="0" w:space="0" w:color="auto"/>
        <w:bottom w:val="none" w:sz="0" w:space="0" w:color="auto"/>
        <w:right w:val="none" w:sz="0" w:space="0" w:color="auto"/>
      </w:divBdr>
    </w:div>
    <w:div w:id="471797472">
      <w:bodyDiv w:val="1"/>
      <w:marLeft w:val="0"/>
      <w:marRight w:val="0"/>
      <w:marTop w:val="0"/>
      <w:marBottom w:val="0"/>
      <w:divBdr>
        <w:top w:val="none" w:sz="0" w:space="0" w:color="auto"/>
        <w:left w:val="none" w:sz="0" w:space="0" w:color="auto"/>
        <w:bottom w:val="none" w:sz="0" w:space="0" w:color="auto"/>
        <w:right w:val="none" w:sz="0" w:space="0" w:color="auto"/>
      </w:divBdr>
    </w:div>
    <w:div w:id="472211981">
      <w:bodyDiv w:val="1"/>
      <w:marLeft w:val="0"/>
      <w:marRight w:val="0"/>
      <w:marTop w:val="0"/>
      <w:marBottom w:val="0"/>
      <w:divBdr>
        <w:top w:val="none" w:sz="0" w:space="0" w:color="auto"/>
        <w:left w:val="none" w:sz="0" w:space="0" w:color="auto"/>
        <w:bottom w:val="none" w:sz="0" w:space="0" w:color="auto"/>
        <w:right w:val="none" w:sz="0" w:space="0" w:color="auto"/>
      </w:divBdr>
    </w:div>
    <w:div w:id="472529594">
      <w:bodyDiv w:val="1"/>
      <w:marLeft w:val="0"/>
      <w:marRight w:val="0"/>
      <w:marTop w:val="0"/>
      <w:marBottom w:val="0"/>
      <w:divBdr>
        <w:top w:val="none" w:sz="0" w:space="0" w:color="auto"/>
        <w:left w:val="none" w:sz="0" w:space="0" w:color="auto"/>
        <w:bottom w:val="none" w:sz="0" w:space="0" w:color="auto"/>
        <w:right w:val="none" w:sz="0" w:space="0" w:color="auto"/>
      </w:divBdr>
    </w:div>
    <w:div w:id="472599235">
      <w:bodyDiv w:val="1"/>
      <w:marLeft w:val="0"/>
      <w:marRight w:val="0"/>
      <w:marTop w:val="0"/>
      <w:marBottom w:val="0"/>
      <w:divBdr>
        <w:top w:val="none" w:sz="0" w:space="0" w:color="auto"/>
        <w:left w:val="none" w:sz="0" w:space="0" w:color="auto"/>
        <w:bottom w:val="none" w:sz="0" w:space="0" w:color="auto"/>
        <w:right w:val="none" w:sz="0" w:space="0" w:color="auto"/>
      </w:divBdr>
    </w:div>
    <w:div w:id="472721548">
      <w:bodyDiv w:val="1"/>
      <w:marLeft w:val="0"/>
      <w:marRight w:val="0"/>
      <w:marTop w:val="0"/>
      <w:marBottom w:val="0"/>
      <w:divBdr>
        <w:top w:val="none" w:sz="0" w:space="0" w:color="auto"/>
        <w:left w:val="none" w:sz="0" w:space="0" w:color="auto"/>
        <w:bottom w:val="none" w:sz="0" w:space="0" w:color="auto"/>
        <w:right w:val="none" w:sz="0" w:space="0" w:color="auto"/>
      </w:divBdr>
    </w:div>
    <w:div w:id="472794937">
      <w:bodyDiv w:val="1"/>
      <w:marLeft w:val="0"/>
      <w:marRight w:val="0"/>
      <w:marTop w:val="0"/>
      <w:marBottom w:val="0"/>
      <w:divBdr>
        <w:top w:val="none" w:sz="0" w:space="0" w:color="auto"/>
        <w:left w:val="none" w:sz="0" w:space="0" w:color="auto"/>
        <w:bottom w:val="none" w:sz="0" w:space="0" w:color="auto"/>
        <w:right w:val="none" w:sz="0" w:space="0" w:color="auto"/>
      </w:divBdr>
    </w:div>
    <w:div w:id="472915315">
      <w:bodyDiv w:val="1"/>
      <w:marLeft w:val="0"/>
      <w:marRight w:val="0"/>
      <w:marTop w:val="0"/>
      <w:marBottom w:val="0"/>
      <w:divBdr>
        <w:top w:val="none" w:sz="0" w:space="0" w:color="auto"/>
        <w:left w:val="none" w:sz="0" w:space="0" w:color="auto"/>
        <w:bottom w:val="none" w:sz="0" w:space="0" w:color="auto"/>
        <w:right w:val="none" w:sz="0" w:space="0" w:color="auto"/>
      </w:divBdr>
    </w:div>
    <w:div w:id="473376764">
      <w:bodyDiv w:val="1"/>
      <w:marLeft w:val="0"/>
      <w:marRight w:val="0"/>
      <w:marTop w:val="0"/>
      <w:marBottom w:val="0"/>
      <w:divBdr>
        <w:top w:val="none" w:sz="0" w:space="0" w:color="auto"/>
        <w:left w:val="none" w:sz="0" w:space="0" w:color="auto"/>
        <w:bottom w:val="none" w:sz="0" w:space="0" w:color="auto"/>
        <w:right w:val="none" w:sz="0" w:space="0" w:color="auto"/>
      </w:divBdr>
    </w:div>
    <w:div w:id="473766302">
      <w:bodyDiv w:val="1"/>
      <w:marLeft w:val="0"/>
      <w:marRight w:val="0"/>
      <w:marTop w:val="0"/>
      <w:marBottom w:val="0"/>
      <w:divBdr>
        <w:top w:val="none" w:sz="0" w:space="0" w:color="auto"/>
        <w:left w:val="none" w:sz="0" w:space="0" w:color="auto"/>
        <w:bottom w:val="none" w:sz="0" w:space="0" w:color="auto"/>
        <w:right w:val="none" w:sz="0" w:space="0" w:color="auto"/>
      </w:divBdr>
    </w:div>
    <w:div w:id="474026547">
      <w:bodyDiv w:val="1"/>
      <w:marLeft w:val="0"/>
      <w:marRight w:val="0"/>
      <w:marTop w:val="0"/>
      <w:marBottom w:val="0"/>
      <w:divBdr>
        <w:top w:val="none" w:sz="0" w:space="0" w:color="auto"/>
        <w:left w:val="none" w:sz="0" w:space="0" w:color="auto"/>
        <w:bottom w:val="none" w:sz="0" w:space="0" w:color="auto"/>
        <w:right w:val="none" w:sz="0" w:space="0" w:color="auto"/>
      </w:divBdr>
    </w:div>
    <w:div w:id="475877429">
      <w:bodyDiv w:val="1"/>
      <w:marLeft w:val="0"/>
      <w:marRight w:val="0"/>
      <w:marTop w:val="0"/>
      <w:marBottom w:val="0"/>
      <w:divBdr>
        <w:top w:val="none" w:sz="0" w:space="0" w:color="auto"/>
        <w:left w:val="none" w:sz="0" w:space="0" w:color="auto"/>
        <w:bottom w:val="none" w:sz="0" w:space="0" w:color="auto"/>
        <w:right w:val="none" w:sz="0" w:space="0" w:color="auto"/>
      </w:divBdr>
    </w:div>
    <w:div w:id="476261758">
      <w:bodyDiv w:val="1"/>
      <w:marLeft w:val="0"/>
      <w:marRight w:val="0"/>
      <w:marTop w:val="0"/>
      <w:marBottom w:val="0"/>
      <w:divBdr>
        <w:top w:val="none" w:sz="0" w:space="0" w:color="auto"/>
        <w:left w:val="none" w:sz="0" w:space="0" w:color="auto"/>
        <w:bottom w:val="none" w:sz="0" w:space="0" w:color="auto"/>
        <w:right w:val="none" w:sz="0" w:space="0" w:color="auto"/>
      </w:divBdr>
    </w:div>
    <w:div w:id="477500183">
      <w:bodyDiv w:val="1"/>
      <w:marLeft w:val="0"/>
      <w:marRight w:val="0"/>
      <w:marTop w:val="0"/>
      <w:marBottom w:val="0"/>
      <w:divBdr>
        <w:top w:val="none" w:sz="0" w:space="0" w:color="auto"/>
        <w:left w:val="none" w:sz="0" w:space="0" w:color="auto"/>
        <w:bottom w:val="none" w:sz="0" w:space="0" w:color="auto"/>
        <w:right w:val="none" w:sz="0" w:space="0" w:color="auto"/>
      </w:divBdr>
    </w:div>
    <w:div w:id="477766536">
      <w:bodyDiv w:val="1"/>
      <w:marLeft w:val="0"/>
      <w:marRight w:val="0"/>
      <w:marTop w:val="0"/>
      <w:marBottom w:val="0"/>
      <w:divBdr>
        <w:top w:val="none" w:sz="0" w:space="0" w:color="auto"/>
        <w:left w:val="none" w:sz="0" w:space="0" w:color="auto"/>
        <w:bottom w:val="none" w:sz="0" w:space="0" w:color="auto"/>
        <w:right w:val="none" w:sz="0" w:space="0" w:color="auto"/>
      </w:divBdr>
    </w:div>
    <w:div w:id="477917605">
      <w:bodyDiv w:val="1"/>
      <w:marLeft w:val="0"/>
      <w:marRight w:val="0"/>
      <w:marTop w:val="0"/>
      <w:marBottom w:val="0"/>
      <w:divBdr>
        <w:top w:val="none" w:sz="0" w:space="0" w:color="auto"/>
        <w:left w:val="none" w:sz="0" w:space="0" w:color="auto"/>
        <w:bottom w:val="none" w:sz="0" w:space="0" w:color="auto"/>
        <w:right w:val="none" w:sz="0" w:space="0" w:color="auto"/>
      </w:divBdr>
    </w:div>
    <w:div w:id="478152752">
      <w:bodyDiv w:val="1"/>
      <w:marLeft w:val="0"/>
      <w:marRight w:val="0"/>
      <w:marTop w:val="0"/>
      <w:marBottom w:val="0"/>
      <w:divBdr>
        <w:top w:val="none" w:sz="0" w:space="0" w:color="auto"/>
        <w:left w:val="none" w:sz="0" w:space="0" w:color="auto"/>
        <w:bottom w:val="none" w:sz="0" w:space="0" w:color="auto"/>
        <w:right w:val="none" w:sz="0" w:space="0" w:color="auto"/>
      </w:divBdr>
    </w:div>
    <w:div w:id="478771239">
      <w:bodyDiv w:val="1"/>
      <w:marLeft w:val="0"/>
      <w:marRight w:val="0"/>
      <w:marTop w:val="0"/>
      <w:marBottom w:val="0"/>
      <w:divBdr>
        <w:top w:val="none" w:sz="0" w:space="0" w:color="auto"/>
        <w:left w:val="none" w:sz="0" w:space="0" w:color="auto"/>
        <w:bottom w:val="none" w:sz="0" w:space="0" w:color="auto"/>
        <w:right w:val="none" w:sz="0" w:space="0" w:color="auto"/>
      </w:divBdr>
    </w:div>
    <w:div w:id="478965074">
      <w:bodyDiv w:val="1"/>
      <w:marLeft w:val="0"/>
      <w:marRight w:val="0"/>
      <w:marTop w:val="0"/>
      <w:marBottom w:val="0"/>
      <w:divBdr>
        <w:top w:val="none" w:sz="0" w:space="0" w:color="auto"/>
        <w:left w:val="none" w:sz="0" w:space="0" w:color="auto"/>
        <w:bottom w:val="none" w:sz="0" w:space="0" w:color="auto"/>
        <w:right w:val="none" w:sz="0" w:space="0" w:color="auto"/>
      </w:divBdr>
    </w:div>
    <w:div w:id="480271596">
      <w:bodyDiv w:val="1"/>
      <w:marLeft w:val="0"/>
      <w:marRight w:val="0"/>
      <w:marTop w:val="0"/>
      <w:marBottom w:val="0"/>
      <w:divBdr>
        <w:top w:val="none" w:sz="0" w:space="0" w:color="auto"/>
        <w:left w:val="none" w:sz="0" w:space="0" w:color="auto"/>
        <w:bottom w:val="none" w:sz="0" w:space="0" w:color="auto"/>
        <w:right w:val="none" w:sz="0" w:space="0" w:color="auto"/>
      </w:divBdr>
    </w:div>
    <w:div w:id="480656073">
      <w:bodyDiv w:val="1"/>
      <w:marLeft w:val="0"/>
      <w:marRight w:val="0"/>
      <w:marTop w:val="0"/>
      <w:marBottom w:val="0"/>
      <w:divBdr>
        <w:top w:val="none" w:sz="0" w:space="0" w:color="auto"/>
        <w:left w:val="none" w:sz="0" w:space="0" w:color="auto"/>
        <w:bottom w:val="none" w:sz="0" w:space="0" w:color="auto"/>
        <w:right w:val="none" w:sz="0" w:space="0" w:color="auto"/>
      </w:divBdr>
    </w:div>
    <w:div w:id="480972038">
      <w:bodyDiv w:val="1"/>
      <w:marLeft w:val="0"/>
      <w:marRight w:val="0"/>
      <w:marTop w:val="0"/>
      <w:marBottom w:val="0"/>
      <w:divBdr>
        <w:top w:val="none" w:sz="0" w:space="0" w:color="auto"/>
        <w:left w:val="none" w:sz="0" w:space="0" w:color="auto"/>
        <w:bottom w:val="none" w:sz="0" w:space="0" w:color="auto"/>
        <w:right w:val="none" w:sz="0" w:space="0" w:color="auto"/>
      </w:divBdr>
    </w:div>
    <w:div w:id="481392316">
      <w:bodyDiv w:val="1"/>
      <w:marLeft w:val="0"/>
      <w:marRight w:val="0"/>
      <w:marTop w:val="0"/>
      <w:marBottom w:val="0"/>
      <w:divBdr>
        <w:top w:val="none" w:sz="0" w:space="0" w:color="auto"/>
        <w:left w:val="none" w:sz="0" w:space="0" w:color="auto"/>
        <w:bottom w:val="none" w:sz="0" w:space="0" w:color="auto"/>
        <w:right w:val="none" w:sz="0" w:space="0" w:color="auto"/>
      </w:divBdr>
    </w:div>
    <w:div w:id="482351118">
      <w:bodyDiv w:val="1"/>
      <w:marLeft w:val="0"/>
      <w:marRight w:val="0"/>
      <w:marTop w:val="0"/>
      <w:marBottom w:val="0"/>
      <w:divBdr>
        <w:top w:val="none" w:sz="0" w:space="0" w:color="auto"/>
        <w:left w:val="none" w:sz="0" w:space="0" w:color="auto"/>
        <w:bottom w:val="none" w:sz="0" w:space="0" w:color="auto"/>
        <w:right w:val="none" w:sz="0" w:space="0" w:color="auto"/>
      </w:divBdr>
    </w:div>
    <w:div w:id="482352196">
      <w:bodyDiv w:val="1"/>
      <w:marLeft w:val="0"/>
      <w:marRight w:val="0"/>
      <w:marTop w:val="0"/>
      <w:marBottom w:val="0"/>
      <w:divBdr>
        <w:top w:val="none" w:sz="0" w:space="0" w:color="auto"/>
        <w:left w:val="none" w:sz="0" w:space="0" w:color="auto"/>
        <w:bottom w:val="none" w:sz="0" w:space="0" w:color="auto"/>
        <w:right w:val="none" w:sz="0" w:space="0" w:color="auto"/>
      </w:divBdr>
    </w:div>
    <w:div w:id="482354948">
      <w:bodyDiv w:val="1"/>
      <w:marLeft w:val="0"/>
      <w:marRight w:val="0"/>
      <w:marTop w:val="0"/>
      <w:marBottom w:val="0"/>
      <w:divBdr>
        <w:top w:val="none" w:sz="0" w:space="0" w:color="auto"/>
        <w:left w:val="none" w:sz="0" w:space="0" w:color="auto"/>
        <w:bottom w:val="none" w:sz="0" w:space="0" w:color="auto"/>
        <w:right w:val="none" w:sz="0" w:space="0" w:color="auto"/>
      </w:divBdr>
    </w:div>
    <w:div w:id="483159618">
      <w:bodyDiv w:val="1"/>
      <w:marLeft w:val="0"/>
      <w:marRight w:val="0"/>
      <w:marTop w:val="0"/>
      <w:marBottom w:val="0"/>
      <w:divBdr>
        <w:top w:val="none" w:sz="0" w:space="0" w:color="auto"/>
        <w:left w:val="none" w:sz="0" w:space="0" w:color="auto"/>
        <w:bottom w:val="none" w:sz="0" w:space="0" w:color="auto"/>
        <w:right w:val="none" w:sz="0" w:space="0" w:color="auto"/>
      </w:divBdr>
    </w:div>
    <w:div w:id="483203397">
      <w:bodyDiv w:val="1"/>
      <w:marLeft w:val="0"/>
      <w:marRight w:val="0"/>
      <w:marTop w:val="0"/>
      <w:marBottom w:val="0"/>
      <w:divBdr>
        <w:top w:val="none" w:sz="0" w:space="0" w:color="auto"/>
        <w:left w:val="none" w:sz="0" w:space="0" w:color="auto"/>
        <w:bottom w:val="none" w:sz="0" w:space="0" w:color="auto"/>
        <w:right w:val="none" w:sz="0" w:space="0" w:color="auto"/>
      </w:divBdr>
    </w:div>
    <w:div w:id="483590374">
      <w:bodyDiv w:val="1"/>
      <w:marLeft w:val="0"/>
      <w:marRight w:val="0"/>
      <w:marTop w:val="0"/>
      <w:marBottom w:val="0"/>
      <w:divBdr>
        <w:top w:val="none" w:sz="0" w:space="0" w:color="auto"/>
        <w:left w:val="none" w:sz="0" w:space="0" w:color="auto"/>
        <w:bottom w:val="none" w:sz="0" w:space="0" w:color="auto"/>
        <w:right w:val="none" w:sz="0" w:space="0" w:color="auto"/>
      </w:divBdr>
    </w:div>
    <w:div w:id="484661708">
      <w:bodyDiv w:val="1"/>
      <w:marLeft w:val="0"/>
      <w:marRight w:val="0"/>
      <w:marTop w:val="0"/>
      <w:marBottom w:val="0"/>
      <w:divBdr>
        <w:top w:val="none" w:sz="0" w:space="0" w:color="auto"/>
        <w:left w:val="none" w:sz="0" w:space="0" w:color="auto"/>
        <w:bottom w:val="none" w:sz="0" w:space="0" w:color="auto"/>
        <w:right w:val="none" w:sz="0" w:space="0" w:color="auto"/>
      </w:divBdr>
    </w:div>
    <w:div w:id="485509487">
      <w:bodyDiv w:val="1"/>
      <w:marLeft w:val="0"/>
      <w:marRight w:val="0"/>
      <w:marTop w:val="0"/>
      <w:marBottom w:val="0"/>
      <w:divBdr>
        <w:top w:val="none" w:sz="0" w:space="0" w:color="auto"/>
        <w:left w:val="none" w:sz="0" w:space="0" w:color="auto"/>
        <w:bottom w:val="none" w:sz="0" w:space="0" w:color="auto"/>
        <w:right w:val="none" w:sz="0" w:space="0" w:color="auto"/>
      </w:divBdr>
    </w:div>
    <w:div w:id="485510266">
      <w:bodyDiv w:val="1"/>
      <w:marLeft w:val="0"/>
      <w:marRight w:val="0"/>
      <w:marTop w:val="0"/>
      <w:marBottom w:val="0"/>
      <w:divBdr>
        <w:top w:val="none" w:sz="0" w:space="0" w:color="auto"/>
        <w:left w:val="none" w:sz="0" w:space="0" w:color="auto"/>
        <w:bottom w:val="none" w:sz="0" w:space="0" w:color="auto"/>
        <w:right w:val="none" w:sz="0" w:space="0" w:color="auto"/>
      </w:divBdr>
    </w:div>
    <w:div w:id="485586448">
      <w:bodyDiv w:val="1"/>
      <w:marLeft w:val="0"/>
      <w:marRight w:val="0"/>
      <w:marTop w:val="0"/>
      <w:marBottom w:val="0"/>
      <w:divBdr>
        <w:top w:val="none" w:sz="0" w:space="0" w:color="auto"/>
        <w:left w:val="none" w:sz="0" w:space="0" w:color="auto"/>
        <w:bottom w:val="none" w:sz="0" w:space="0" w:color="auto"/>
        <w:right w:val="none" w:sz="0" w:space="0" w:color="auto"/>
      </w:divBdr>
    </w:div>
    <w:div w:id="485897797">
      <w:bodyDiv w:val="1"/>
      <w:marLeft w:val="0"/>
      <w:marRight w:val="0"/>
      <w:marTop w:val="0"/>
      <w:marBottom w:val="0"/>
      <w:divBdr>
        <w:top w:val="none" w:sz="0" w:space="0" w:color="auto"/>
        <w:left w:val="none" w:sz="0" w:space="0" w:color="auto"/>
        <w:bottom w:val="none" w:sz="0" w:space="0" w:color="auto"/>
        <w:right w:val="none" w:sz="0" w:space="0" w:color="auto"/>
      </w:divBdr>
    </w:div>
    <w:div w:id="486167852">
      <w:bodyDiv w:val="1"/>
      <w:marLeft w:val="0"/>
      <w:marRight w:val="0"/>
      <w:marTop w:val="0"/>
      <w:marBottom w:val="0"/>
      <w:divBdr>
        <w:top w:val="none" w:sz="0" w:space="0" w:color="auto"/>
        <w:left w:val="none" w:sz="0" w:space="0" w:color="auto"/>
        <w:bottom w:val="none" w:sz="0" w:space="0" w:color="auto"/>
        <w:right w:val="none" w:sz="0" w:space="0" w:color="auto"/>
      </w:divBdr>
      <w:divsChild>
        <w:div w:id="26025525">
          <w:marLeft w:val="0"/>
          <w:marRight w:val="0"/>
          <w:marTop w:val="0"/>
          <w:marBottom w:val="0"/>
          <w:divBdr>
            <w:top w:val="none" w:sz="0" w:space="0" w:color="auto"/>
            <w:left w:val="none" w:sz="0" w:space="0" w:color="auto"/>
            <w:bottom w:val="none" w:sz="0" w:space="0" w:color="auto"/>
            <w:right w:val="none" w:sz="0" w:space="0" w:color="auto"/>
          </w:divBdr>
        </w:div>
        <w:div w:id="66460838">
          <w:marLeft w:val="0"/>
          <w:marRight w:val="0"/>
          <w:marTop w:val="0"/>
          <w:marBottom w:val="0"/>
          <w:divBdr>
            <w:top w:val="none" w:sz="0" w:space="0" w:color="auto"/>
            <w:left w:val="none" w:sz="0" w:space="0" w:color="auto"/>
            <w:bottom w:val="none" w:sz="0" w:space="0" w:color="auto"/>
            <w:right w:val="none" w:sz="0" w:space="0" w:color="auto"/>
          </w:divBdr>
        </w:div>
        <w:div w:id="71127910">
          <w:marLeft w:val="0"/>
          <w:marRight w:val="0"/>
          <w:marTop w:val="0"/>
          <w:marBottom w:val="0"/>
          <w:divBdr>
            <w:top w:val="none" w:sz="0" w:space="0" w:color="auto"/>
            <w:left w:val="none" w:sz="0" w:space="0" w:color="auto"/>
            <w:bottom w:val="none" w:sz="0" w:space="0" w:color="auto"/>
            <w:right w:val="none" w:sz="0" w:space="0" w:color="auto"/>
          </w:divBdr>
        </w:div>
        <w:div w:id="192574085">
          <w:marLeft w:val="0"/>
          <w:marRight w:val="0"/>
          <w:marTop w:val="0"/>
          <w:marBottom w:val="0"/>
          <w:divBdr>
            <w:top w:val="none" w:sz="0" w:space="0" w:color="auto"/>
            <w:left w:val="none" w:sz="0" w:space="0" w:color="auto"/>
            <w:bottom w:val="none" w:sz="0" w:space="0" w:color="auto"/>
            <w:right w:val="none" w:sz="0" w:space="0" w:color="auto"/>
          </w:divBdr>
        </w:div>
        <w:div w:id="281302073">
          <w:marLeft w:val="0"/>
          <w:marRight w:val="0"/>
          <w:marTop w:val="0"/>
          <w:marBottom w:val="0"/>
          <w:divBdr>
            <w:top w:val="none" w:sz="0" w:space="0" w:color="auto"/>
            <w:left w:val="none" w:sz="0" w:space="0" w:color="auto"/>
            <w:bottom w:val="none" w:sz="0" w:space="0" w:color="auto"/>
            <w:right w:val="none" w:sz="0" w:space="0" w:color="auto"/>
          </w:divBdr>
        </w:div>
        <w:div w:id="310869083">
          <w:marLeft w:val="0"/>
          <w:marRight w:val="0"/>
          <w:marTop w:val="0"/>
          <w:marBottom w:val="0"/>
          <w:divBdr>
            <w:top w:val="none" w:sz="0" w:space="0" w:color="auto"/>
            <w:left w:val="none" w:sz="0" w:space="0" w:color="auto"/>
            <w:bottom w:val="none" w:sz="0" w:space="0" w:color="auto"/>
            <w:right w:val="none" w:sz="0" w:space="0" w:color="auto"/>
          </w:divBdr>
        </w:div>
        <w:div w:id="506217707">
          <w:marLeft w:val="0"/>
          <w:marRight w:val="0"/>
          <w:marTop w:val="0"/>
          <w:marBottom w:val="0"/>
          <w:divBdr>
            <w:top w:val="none" w:sz="0" w:space="0" w:color="auto"/>
            <w:left w:val="none" w:sz="0" w:space="0" w:color="auto"/>
            <w:bottom w:val="none" w:sz="0" w:space="0" w:color="auto"/>
            <w:right w:val="none" w:sz="0" w:space="0" w:color="auto"/>
          </w:divBdr>
        </w:div>
        <w:div w:id="871842349">
          <w:marLeft w:val="0"/>
          <w:marRight w:val="0"/>
          <w:marTop w:val="0"/>
          <w:marBottom w:val="0"/>
          <w:divBdr>
            <w:top w:val="none" w:sz="0" w:space="0" w:color="auto"/>
            <w:left w:val="none" w:sz="0" w:space="0" w:color="auto"/>
            <w:bottom w:val="none" w:sz="0" w:space="0" w:color="auto"/>
            <w:right w:val="none" w:sz="0" w:space="0" w:color="auto"/>
          </w:divBdr>
        </w:div>
        <w:div w:id="1060403447">
          <w:marLeft w:val="0"/>
          <w:marRight w:val="0"/>
          <w:marTop w:val="0"/>
          <w:marBottom w:val="0"/>
          <w:divBdr>
            <w:top w:val="none" w:sz="0" w:space="0" w:color="auto"/>
            <w:left w:val="none" w:sz="0" w:space="0" w:color="auto"/>
            <w:bottom w:val="none" w:sz="0" w:space="0" w:color="auto"/>
            <w:right w:val="none" w:sz="0" w:space="0" w:color="auto"/>
          </w:divBdr>
        </w:div>
        <w:div w:id="1120607005">
          <w:marLeft w:val="0"/>
          <w:marRight w:val="0"/>
          <w:marTop w:val="0"/>
          <w:marBottom w:val="0"/>
          <w:divBdr>
            <w:top w:val="none" w:sz="0" w:space="0" w:color="auto"/>
            <w:left w:val="none" w:sz="0" w:space="0" w:color="auto"/>
            <w:bottom w:val="none" w:sz="0" w:space="0" w:color="auto"/>
            <w:right w:val="none" w:sz="0" w:space="0" w:color="auto"/>
          </w:divBdr>
        </w:div>
        <w:div w:id="1309626583">
          <w:marLeft w:val="0"/>
          <w:marRight w:val="0"/>
          <w:marTop w:val="0"/>
          <w:marBottom w:val="0"/>
          <w:divBdr>
            <w:top w:val="none" w:sz="0" w:space="0" w:color="auto"/>
            <w:left w:val="none" w:sz="0" w:space="0" w:color="auto"/>
            <w:bottom w:val="none" w:sz="0" w:space="0" w:color="auto"/>
            <w:right w:val="none" w:sz="0" w:space="0" w:color="auto"/>
          </w:divBdr>
        </w:div>
        <w:div w:id="1541670582">
          <w:marLeft w:val="0"/>
          <w:marRight w:val="0"/>
          <w:marTop w:val="0"/>
          <w:marBottom w:val="0"/>
          <w:divBdr>
            <w:top w:val="none" w:sz="0" w:space="0" w:color="auto"/>
            <w:left w:val="none" w:sz="0" w:space="0" w:color="auto"/>
            <w:bottom w:val="none" w:sz="0" w:space="0" w:color="auto"/>
            <w:right w:val="none" w:sz="0" w:space="0" w:color="auto"/>
          </w:divBdr>
        </w:div>
        <w:div w:id="1618021138">
          <w:marLeft w:val="0"/>
          <w:marRight w:val="0"/>
          <w:marTop w:val="0"/>
          <w:marBottom w:val="0"/>
          <w:divBdr>
            <w:top w:val="none" w:sz="0" w:space="0" w:color="auto"/>
            <w:left w:val="none" w:sz="0" w:space="0" w:color="auto"/>
            <w:bottom w:val="none" w:sz="0" w:space="0" w:color="auto"/>
            <w:right w:val="none" w:sz="0" w:space="0" w:color="auto"/>
          </w:divBdr>
        </w:div>
        <w:div w:id="1633826612">
          <w:marLeft w:val="0"/>
          <w:marRight w:val="0"/>
          <w:marTop w:val="0"/>
          <w:marBottom w:val="0"/>
          <w:divBdr>
            <w:top w:val="none" w:sz="0" w:space="0" w:color="auto"/>
            <w:left w:val="none" w:sz="0" w:space="0" w:color="auto"/>
            <w:bottom w:val="none" w:sz="0" w:space="0" w:color="auto"/>
            <w:right w:val="none" w:sz="0" w:space="0" w:color="auto"/>
          </w:divBdr>
        </w:div>
        <w:div w:id="1964995269">
          <w:marLeft w:val="0"/>
          <w:marRight w:val="0"/>
          <w:marTop w:val="0"/>
          <w:marBottom w:val="0"/>
          <w:divBdr>
            <w:top w:val="none" w:sz="0" w:space="0" w:color="auto"/>
            <w:left w:val="none" w:sz="0" w:space="0" w:color="auto"/>
            <w:bottom w:val="none" w:sz="0" w:space="0" w:color="auto"/>
            <w:right w:val="none" w:sz="0" w:space="0" w:color="auto"/>
          </w:divBdr>
        </w:div>
      </w:divsChild>
    </w:div>
    <w:div w:id="486750593">
      <w:bodyDiv w:val="1"/>
      <w:marLeft w:val="0"/>
      <w:marRight w:val="0"/>
      <w:marTop w:val="0"/>
      <w:marBottom w:val="0"/>
      <w:divBdr>
        <w:top w:val="none" w:sz="0" w:space="0" w:color="auto"/>
        <w:left w:val="none" w:sz="0" w:space="0" w:color="auto"/>
        <w:bottom w:val="none" w:sz="0" w:space="0" w:color="auto"/>
        <w:right w:val="none" w:sz="0" w:space="0" w:color="auto"/>
      </w:divBdr>
    </w:div>
    <w:div w:id="487063908">
      <w:bodyDiv w:val="1"/>
      <w:marLeft w:val="0"/>
      <w:marRight w:val="0"/>
      <w:marTop w:val="0"/>
      <w:marBottom w:val="0"/>
      <w:divBdr>
        <w:top w:val="none" w:sz="0" w:space="0" w:color="auto"/>
        <w:left w:val="none" w:sz="0" w:space="0" w:color="auto"/>
        <w:bottom w:val="none" w:sz="0" w:space="0" w:color="auto"/>
        <w:right w:val="none" w:sz="0" w:space="0" w:color="auto"/>
      </w:divBdr>
    </w:div>
    <w:div w:id="487215283">
      <w:bodyDiv w:val="1"/>
      <w:marLeft w:val="0"/>
      <w:marRight w:val="0"/>
      <w:marTop w:val="0"/>
      <w:marBottom w:val="0"/>
      <w:divBdr>
        <w:top w:val="none" w:sz="0" w:space="0" w:color="auto"/>
        <w:left w:val="none" w:sz="0" w:space="0" w:color="auto"/>
        <w:bottom w:val="none" w:sz="0" w:space="0" w:color="auto"/>
        <w:right w:val="none" w:sz="0" w:space="0" w:color="auto"/>
      </w:divBdr>
    </w:div>
    <w:div w:id="487668834">
      <w:bodyDiv w:val="1"/>
      <w:marLeft w:val="0"/>
      <w:marRight w:val="0"/>
      <w:marTop w:val="0"/>
      <w:marBottom w:val="0"/>
      <w:divBdr>
        <w:top w:val="none" w:sz="0" w:space="0" w:color="auto"/>
        <w:left w:val="none" w:sz="0" w:space="0" w:color="auto"/>
        <w:bottom w:val="none" w:sz="0" w:space="0" w:color="auto"/>
        <w:right w:val="none" w:sz="0" w:space="0" w:color="auto"/>
      </w:divBdr>
    </w:div>
    <w:div w:id="487748615">
      <w:bodyDiv w:val="1"/>
      <w:marLeft w:val="0"/>
      <w:marRight w:val="0"/>
      <w:marTop w:val="0"/>
      <w:marBottom w:val="0"/>
      <w:divBdr>
        <w:top w:val="none" w:sz="0" w:space="0" w:color="auto"/>
        <w:left w:val="none" w:sz="0" w:space="0" w:color="auto"/>
        <w:bottom w:val="none" w:sz="0" w:space="0" w:color="auto"/>
        <w:right w:val="none" w:sz="0" w:space="0" w:color="auto"/>
      </w:divBdr>
    </w:div>
    <w:div w:id="487790809">
      <w:bodyDiv w:val="1"/>
      <w:marLeft w:val="0"/>
      <w:marRight w:val="0"/>
      <w:marTop w:val="0"/>
      <w:marBottom w:val="0"/>
      <w:divBdr>
        <w:top w:val="none" w:sz="0" w:space="0" w:color="auto"/>
        <w:left w:val="none" w:sz="0" w:space="0" w:color="auto"/>
        <w:bottom w:val="none" w:sz="0" w:space="0" w:color="auto"/>
        <w:right w:val="none" w:sz="0" w:space="0" w:color="auto"/>
      </w:divBdr>
    </w:div>
    <w:div w:id="487939070">
      <w:bodyDiv w:val="1"/>
      <w:marLeft w:val="0"/>
      <w:marRight w:val="0"/>
      <w:marTop w:val="0"/>
      <w:marBottom w:val="0"/>
      <w:divBdr>
        <w:top w:val="none" w:sz="0" w:space="0" w:color="auto"/>
        <w:left w:val="none" w:sz="0" w:space="0" w:color="auto"/>
        <w:bottom w:val="none" w:sz="0" w:space="0" w:color="auto"/>
        <w:right w:val="none" w:sz="0" w:space="0" w:color="auto"/>
      </w:divBdr>
    </w:div>
    <w:div w:id="488329271">
      <w:bodyDiv w:val="1"/>
      <w:marLeft w:val="0"/>
      <w:marRight w:val="0"/>
      <w:marTop w:val="0"/>
      <w:marBottom w:val="0"/>
      <w:divBdr>
        <w:top w:val="none" w:sz="0" w:space="0" w:color="auto"/>
        <w:left w:val="none" w:sz="0" w:space="0" w:color="auto"/>
        <w:bottom w:val="none" w:sz="0" w:space="0" w:color="auto"/>
        <w:right w:val="none" w:sz="0" w:space="0" w:color="auto"/>
      </w:divBdr>
    </w:div>
    <w:div w:id="488331756">
      <w:bodyDiv w:val="1"/>
      <w:marLeft w:val="0"/>
      <w:marRight w:val="0"/>
      <w:marTop w:val="0"/>
      <w:marBottom w:val="0"/>
      <w:divBdr>
        <w:top w:val="none" w:sz="0" w:space="0" w:color="auto"/>
        <w:left w:val="none" w:sz="0" w:space="0" w:color="auto"/>
        <w:bottom w:val="none" w:sz="0" w:space="0" w:color="auto"/>
        <w:right w:val="none" w:sz="0" w:space="0" w:color="auto"/>
      </w:divBdr>
    </w:div>
    <w:div w:id="488789305">
      <w:bodyDiv w:val="1"/>
      <w:marLeft w:val="0"/>
      <w:marRight w:val="0"/>
      <w:marTop w:val="0"/>
      <w:marBottom w:val="0"/>
      <w:divBdr>
        <w:top w:val="none" w:sz="0" w:space="0" w:color="auto"/>
        <w:left w:val="none" w:sz="0" w:space="0" w:color="auto"/>
        <w:bottom w:val="none" w:sz="0" w:space="0" w:color="auto"/>
        <w:right w:val="none" w:sz="0" w:space="0" w:color="auto"/>
      </w:divBdr>
    </w:div>
    <w:div w:id="489054733">
      <w:bodyDiv w:val="1"/>
      <w:marLeft w:val="0"/>
      <w:marRight w:val="0"/>
      <w:marTop w:val="0"/>
      <w:marBottom w:val="0"/>
      <w:divBdr>
        <w:top w:val="none" w:sz="0" w:space="0" w:color="auto"/>
        <w:left w:val="none" w:sz="0" w:space="0" w:color="auto"/>
        <w:bottom w:val="none" w:sz="0" w:space="0" w:color="auto"/>
        <w:right w:val="none" w:sz="0" w:space="0" w:color="auto"/>
      </w:divBdr>
    </w:div>
    <w:div w:id="489365543">
      <w:bodyDiv w:val="1"/>
      <w:marLeft w:val="0"/>
      <w:marRight w:val="0"/>
      <w:marTop w:val="0"/>
      <w:marBottom w:val="0"/>
      <w:divBdr>
        <w:top w:val="none" w:sz="0" w:space="0" w:color="auto"/>
        <w:left w:val="none" w:sz="0" w:space="0" w:color="auto"/>
        <w:bottom w:val="none" w:sz="0" w:space="0" w:color="auto"/>
        <w:right w:val="none" w:sz="0" w:space="0" w:color="auto"/>
      </w:divBdr>
    </w:div>
    <w:div w:id="489443803">
      <w:bodyDiv w:val="1"/>
      <w:marLeft w:val="0"/>
      <w:marRight w:val="0"/>
      <w:marTop w:val="0"/>
      <w:marBottom w:val="0"/>
      <w:divBdr>
        <w:top w:val="none" w:sz="0" w:space="0" w:color="auto"/>
        <w:left w:val="none" w:sz="0" w:space="0" w:color="auto"/>
        <w:bottom w:val="none" w:sz="0" w:space="0" w:color="auto"/>
        <w:right w:val="none" w:sz="0" w:space="0" w:color="auto"/>
      </w:divBdr>
    </w:div>
    <w:div w:id="489518915">
      <w:bodyDiv w:val="1"/>
      <w:marLeft w:val="0"/>
      <w:marRight w:val="0"/>
      <w:marTop w:val="0"/>
      <w:marBottom w:val="0"/>
      <w:divBdr>
        <w:top w:val="none" w:sz="0" w:space="0" w:color="auto"/>
        <w:left w:val="none" w:sz="0" w:space="0" w:color="auto"/>
        <w:bottom w:val="none" w:sz="0" w:space="0" w:color="auto"/>
        <w:right w:val="none" w:sz="0" w:space="0" w:color="auto"/>
      </w:divBdr>
    </w:div>
    <w:div w:id="489563480">
      <w:bodyDiv w:val="1"/>
      <w:marLeft w:val="0"/>
      <w:marRight w:val="0"/>
      <w:marTop w:val="0"/>
      <w:marBottom w:val="0"/>
      <w:divBdr>
        <w:top w:val="none" w:sz="0" w:space="0" w:color="auto"/>
        <w:left w:val="none" w:sz="0" w:space="0" w:color="auto"/>
        <w:bottom w:val="none" w:sz="0" w:space="0" w:color="auto"/>
        <w:right w:val="none" w:sz="0" w:space="0" w:color="auto"/>
      </w:divBdr>
    </w:div>
    <w:div w:id="489903029">
      <w:bodyDiv w:val="1"/>
      <w:marLeft w:val="0"/>
      <w:marRight w:val="0"/>
      <w:marTop w:val="0"/>
      <w:marBottom w:val="0"/>
      <w:divBdr>
        <w:top w:val="none" w:sz="0" w:space="0" w:color="auto"/>
        <w:left w:val="none" w:sz="0" w:space="0" w:color="auto"/>
        <w:bottom w:val="none" w:sz="0" w:space="0" w:color="auto"/>
        <w:right w:val="none" w:sz="0" w:space="0" w:color="auto"/>
      </w:divBdr>
    </w:div>
    <w:div w:id="490025825">
      <w:bodyDiv w:val="1"/>
      <w:marLeft w:val="0"/>
      <w:marRight w:val="0"/>
      <w:marTop w:val="0"/>
      <w:marBottom w:val="0"/>
      <w:divBdr>
        <w:top w:val="none" w:sz="0" w:space="0" w:color="auto"/>
        <w:left w:val="none" w:sz="0" w:space="0" w:color="auto"/>
        <w:bottom w:val="none" w:sz="0" w:space="0" w:color="auto"/>
        <w:right w:val="none" w:sz="0" w:space="0" w:color="auto"/>
      </w:divBdr>
    </w:div>
    <w:div w:id="490214717">
      <w:bodyDiv w:val="1"/>
      <w:marLeft w:val="0"/>
      <w:marRight w:val="0"/>
      <w:marTop w:val="0"/>
      <w:marBottom w:val="0"/>
      <w:divBdr>
        <w:top w:val="none" w:sz="0" w:space="0" w:color="auto"/>
        <w:left w:val="none" w:sz="0" w:space="0" w:color="auto"/>
        <w:bottom w:val="none" w:sz="0" w:space="0" w:color="auto"/>
        <w:right w:val="none" w:sz="0" w:space="0" w:color="auto"/>
      </w:divBdr>
    </w:div>
    <w:div w:id="490214746">
      <w:bodyDiv w:val="1"/>
      <w:marLeft w:val="0"/>
      <w:marRight w:val="0"/>
      <w:marTop w:val="0"/>
      <w:marBottom w:val="0"/>
      <w:divBdr>
        <w:top w:val="none" w:sz="0" w:space="0" w:color="auto"/>
        <w:left w:val="none" w:sz="0" w:space="0" w:color="auto"/>
        <w:bottom w:val="none" w:sz="0" w:space="0" w:color="auto"/>
        <w:right w:val="none" w:sz="0" w:space="0" w:color="auto"/>
      </w:divBdr>
    </w:div>
    <w:div w:id="491331513">
      <w:bodyDiv w:val="1"/>
      <w:marLeft w:val="0"/>
      <w:marRight w:val="0"/>
      <w:marTop w:val="0"/>
      <w:marBottom w:val="0"/>
      <w:divBdr>
        <w:top w:val="none" w:sz="0" w:space="0" w:color="auto"/>
        <w:left w:val="none" w:sz="0" w:space="0" w:color="auto"/>
        <w:bottom w:val="none" w:sz="0" w:space="0" w:color="auto"/>
        <w:right w:val="none" w:sz="0" w:space="0" w:color="auto"/>
      </w:divBdr>
    </w:div>
    <w:div w:id="491991718">
      <w:bodyDiv w:val="1"/>
      <w:marLeft w:val="0"/>
      <w:marRight w:val="0"/>
      <w:marTop w:val="0"/>
      <w:marBottom w:val="0"/>
      <w:divBdr>
        <w:top w:val="none" w:sz="0" w:space="0" w:color="auto"/>
        <w:left w:val="none" w:sz="0" w:space="0" w:color="auto"/>
        <w:bottom w:val="none" w:sz="0" w:space="0" w:color="auto"/>
        <w:right w:val="none" w:sz="0" w:space="0" w:color="auto"/>
      </w:divBdr>
    </w:div>
    <w:div w:id="493109500">
      <w:bodyDiv w:val="1"/>
      <w:marLeft w:val="0"/>
      <w:marRight w:val="0"/>
      <w:marTop w:val="0"/>
      <w:marBottom w:val="0"/>
      <w:divBdr>
        <w:top w:val="none" w:sz="0" w:space="0" w:color="auto"/>
        <w:left w:val="none" w:sz="0" w:space="0" w:color="auto"/>
        <w:bottom w:val="none" w:sz="0" w:space="0" w:color="auto"/>
        <w:right w:val="none" w:sz="0" w:space="0" w:color="auto"/>
      </w:divBdr>
      <w:divsChild>
        <w:div w:id="148833584">
          <w:marLeft w:val="0"/>
          <w:marRight w:val="0"/>
          <w:marTop w:val="0"/>
          <w:marBottom w:val="0"/>
          <w:divBdr>
            <w:top w:val="none" w:sz="0" w:space="0" w:color="auto"/>
            <w:left w:val="none" w:sz="0" w:space="0" w:color="auto"/>
            <w:bottom w:val="none" w:sz="0" w:space="0" w:color="auto"/>
            <w:right w:val="none" w:sz="0" w:space="0" w:color="auto"/>
          </w:divBdr>
        </w:div>
      </w:divsChild>
    </w:div>
    <w:div w:id="493112208">
      <w:bodyDiv w:val="1"/>
      <w:marLeft w:val="0"/>
      <w:marRight w:val="0"/>
      <w:marTop w:val="0"/>
      <w:marBottom w:val="0"/>
      <w:divBdr>
        <w:top w:val="none" w:sz="0" w:space="0" w:color="auto"/>
        <w:left w:val="none" w:sz="0" w:space="0" w:color="auto"/>
        <w:bottom w:val="none" w:sz="0" w:space="0" w:color="auto"/>
        <w:right w:val="none" w:sz="0" w:space="0" w:color="auto"/>
      </w:divBdr>
    </w:div>
    <w:div w:id="494223573">
      <w:bodyDiv w:val="1"/>
      <w:marLeft w:val="0"/>
      <w:marRight w:val="0"/>
      <w:marTop w:val="0"/>
      <w:marBottom w:val="0"/>
      <w:divBdr>
        <w:top w:val="none" w:sz="0" w:space="0" w:color="auto"/>
        <w:left w:val="none" w:sz="0" w:space="0" w:color="auto"/>
        <w:bottom w:val="none" w:sz="0" w:space="0" w:color="auto"/>
        <w:right w:val="none" w:sz="0" w:space="0" w:color="auto"/>
      </w:divBdr>
    </w:div>
    <w:div w:id="494732133">
      <w:bodyDiv w:val="1"/>
      <w:marLeft w:val="0"/>
      <w:marRight w:val="0"/>
      <w:marTop w:val="0"/>
      <w:marBottom w:val="0"/>
      <w:divBdr>
        <w:top w:val="none" w:sz="0" w:space="0" w:color="auto"/>
        <w:left w:val="none" w:sz="0" w:space="0" w:color="auto"/>
        <w:bottom w:val="none" w:sz="0" w:space="0" w:color="auto"/>
        <w:right w:val="none" w:sz="0" w:space="0" w:color="auto"/>
      </w:divBdr>
    </w:div>
    <w:div w:id="495536483">
      <w:bodyDiv w:val="1"/>
      <w:marLeft w:val="0"/>
      <w:marRight w:val="0"/>
      <w:marTop w:val="0"/>
      <w:marBottom w:val="0"/>
      <w:divBdr>
        <w:top w:val="none" w:sz="0" w:space="0" w:color="auto"/>
        <w:left w:val="none" w:sz="0" w:space="0" w:color="auto"/>
        <w:bottom w:val="none" w:sz="0" w:space="0" w:color="auto"/>
        <w:right w:val="none" w:sz="0" w:space="0" w:color="auto"/>
      </w:divBdr>
    </w:div>
    <w:div w:id="495995399">
      <w:bodyDiv w:val="1"/>
      <w:marLeft w:val="0"/>
      <w:marRight w:val="0"/>
      <w:marTop w:val="0"/>
      <w:marBottom w:val="0"/>
      <w:divBdr>
        <w:top w:val="none" w:sz="0" w:space="0" w:color="auto"/>
        <w:left w:val="none" w:sz="0" w:space="0" w:color="auto"/>
        <w:bottom w:val="none" w:sz="0" w:space="0" w:color="auto"/>
        <w:right w:val="none" w:sz="0" w:space="0" w:color="auto"/>
      </w:divBdr>
    </w:div>
    <w:div w:id="496384341">
      <w:bodyDiv w:val="1"/>
      <w:marLeft w:val="0"/>
      <w:marRight w:val="0"/>
      <w:marTop w:val="0"/>
      <w:marBottom w:val="0"/>
      <w:divBdr>
        <w:top w:val="none" w:sz="0" w:space="0" w:color="auto"/>
        <w:left w:val="none" w:sz="0" w:space="0" w:color="auto"/>
        <w:bottom w:val="none" w:sz="0" w:space="0" w:color="auto"/>
        <w:right w:val="none" w:sz="0" w:space="0" w:color="auto"/>
      </w:divBdr>
    </w:div>
    <w:div w:id="497162277">
      <w:bodyDiv w:val="1"/>
      <w:marLeft w:val="0"/>
      <w:marRight w:val="0"/>
      <w:marTop w:val="0"/>
      <w:marBottom w:val="0"/>
      <w:divBdr>
        <w:top w:val="none" w:sz="0" w:space="0" w:color="auto"/>
        <w:left w:val="none" w:sz="0" w:space="0" w:color="auto"/>
        <w:bottom w:val="none" w:sz="0" w:space="0" w:color="auto"/>
        <w:right w:val="none" w:sz="0" w:space="0" w:color="auto"/>
      </w:divBdr>
    </w:div>
    <w:div w:id="497305223">
      <w:bodyDiv w:val="1"/>
      <w:marLeft w:val="0"/>
      <w:marRight w:val="0"/>
      <w:marTop w:val="0"/>
      <w:marBottom w:val="0"/>
      <w:divBdr>
        <w:top w:val="none" w:sz="0" w:space="0" w:color="auto"/>
        <w:left w:val="none" w:sz="0" w:space="0" w:color="auto"/>
        <w:bottom w:val="none" w:sz="0" w:space="0" w:color="auto"/>
        <w:right w:val="none" w:sz="0" w:space="0" w:color="auto"/>
      </w:divBdr>
    </w:div>
    <w:div w:id="498540335">
      <w:bodyDiv w:val="1"/>
      <w:marLeft w:val="0"/>
      <w:marRight w:val="0"/>
      <w:marTop w:val="0"/>
      <w:marBottom w:val="0"/>
      <w:divBdr>
        <w:top w:val="none" w:sz="0" w:space="0" w:color="auto"/>
        <w:left w:val="none" w:sz="0" w:space="0" w:color="auto"/>
        <w:bottom w:val="none" w:sz="0" w:space="0" w:color="auto"/>
        <w:right w:val="none" w:sz="0" w:space="0" w:color="auto"/>
      </w:divBdr>
    </w:div>
    <w:div w:id="498618573">
      <w:bodyDiv w:val="1"/>
      <w:marLeft w:val="0"/>
      <w:marRight w:val="0"/>
      <w:marTop w:val="0"/>
      <w:marBottom w:val="0"/>
      <w:divBdr>
        <w:top w:val="none" w:sz="0" w:space="0" w:color="auto"/>
        <w:left w:val="none" w:sz="0" w:space="0" w:color="auto"/>
        <w:bottom w:val="none" w:sz="0" w:space="0" w:color="auto"/>
        <w:right w:val="none" w:sz="0" w:space="0" w:color="auto"/>
      </w:divBdr>
    </w:div>
    <w:div w:id="498623787">
      <w:bodyDiv w:val="1"/>
      <w:marLeft w:val="0"/>
      <w:marRight w:val="0"/>
      <w:marTop w:val="0"/>
      <w:marBottom w:val="0"/>
      <w:divBdr>
        <w:top w:val="none" w:sz="0" w:space="0" w:color="auto"/>
        <w:left w:val="none" w:sz="0" w:space="0" w:color="auto"/>
        <w:bottom w:val="none" w:sz="0" w:space="0" w:color="auto"/>
        <w:right w:val="none" w:sz="0" w:space="0" w:color="auto"/>
      </w:divBdr>
    </w:div>
    <w:div w:id="498736970">
      <w:bodyDiv w:val="1"/>
      <w:marLeft w:val="0"/>
      <w:marRight w:val="0"/>
      <w:marTop w:val="0"/>
      <w:marBottom w:val="0"/>
      <w:divBdr>
        <w:top w:val="none" w:sz="0" w:space="0" w:color="auto"/>
        <w:left w:val="none" w:sz="0" w:space="0" w:color="auto"/>
        <w:bottom w:val="none" w:sz="0" w:space="0" w:color="auto"/>
        <w:right w:val="none" w:sz="0" w:space="0" w:color="auto"/>
      </w:divBdr>
    </w:div>
    <w:div w:id="498929531">
      <w:bodyDiv w:val="1"/>
      <w:marLeft w:val="0"/>
      <w:marRight w:val="0"/>
      <w:marTop w:val="0"/>
      <w:marBottom w:val="0"/>
      <w:divBdr>
        <w:top w:val="none" w:sz="0" w:space="0" w:color="auto"/>
        <w:left w:val="none" w:sz="0" w:space="0" w:color="auto"/>
        <w:bottom w:val="none" w:sz="0" w:space="0" w:color="auto"/>
        <w:right w:val="none" w:sz="0" w:space="0" w:color="auto"/>
      </w:divBdr>
    </w:div>
    <w:div w:id="499539860">
      <w:bodyDiv w:val="1"/>
      <w:marLeft w:val="0"/>
      <w:marRight w:val="0"/>
      <w:marTop w:val="0"/>
      <w:marBottom w:val="0"/>
      <w:divBdr>
        <w:top w:val="none" w:sz="0" w:space="0" w:color="auto"/>
        <w:left w:val="none" w:sz="0" w:space="0" w:color="auto"/>
        <w:bottom w:val="none" w:sz="0" w:space="0" w:color="auto"/>
        <w:right w:val="none" w:sz="0" w:space="0" w:color="auto"/>
      </w:divBdr>
    </w:div>
    <w:div w:id="499659876">
      <w:bodyDiv w:val="1"/>
      <w:marLeft w:val="0"/>
      <w:marRight w:val="0"/>
      <w:marTop w:val="0"/>
      <w:marBottom w:val="0"/>
      <w:divBdr>
        <w:top w:val="none" w:sz="0" w:space="0" w:color="auto"/>
        <w:left w:val="none" w:sz="0" w:space="0" w:color="auto"/>
        <w:bottom w:val="none" w:sz="0" w:space="0" w:color="auto"/>
        <w:right w:val="none" w:sz="0" w:space="0" w:color="auto"/>
      </w:divBdr>
    </w:div>
    <w:div w:id="499976767">
      <w:bodyDiv w:val="1"/>
      <w:marLeft w:val="0"/>
      <w:marRight w:val="0"/>
      <w:marTop w:val="0"/>
      <w:marBottom w:val="0"/>
      <w:divBdr>
        <w:top w:val="none" w:sz="0" w:space="0" w:color="auto"/>
        <w:left w:val="none" w:sz="0" w:space="0" w:color="auto"/>
        <w:bottom w:val="none" w:sz="0" w:space="0" w:color="auto"/>
        <w:right w:val="none" w:sz="0" w:space="0" w:color="auto"/>
      </w:divBdr>
    </w:div>
    <w:div w:id="500858274">
      <w:bodyDiv w:val="1"/>
      <w:marLeft w:val="0"/>
      <w:marRight w:val="0"/>
      <w:marTop w:val="0"/>
      <w:marBottom w:val="0"/>
      <w:divBdr>
        <w:top w:val="none" w:sz="0" w:space="0" w:color="auto"/>
        <w:left w:val="none" w:sz="0" w:space="0" w:color="auto"/>
        <w:bottom w:val="none" w:sz="0" w:space="0" w:color="auto"/>
        <w:right w:val="none" w:sz="0" w:space="0" w:color="auto"/>
      </w:divBdr>
    </w:div>
    <w:div w:id="502362046">
      <w:bodyDiv w:val="1"/>
      <w:marLeft w:val="0"/>
      <w:marRight w:val="0"/>
      <w:marTop w:val="0"/>
      <w:marBottom w:val="0"/>
      <w:divBdr>
        <w:top w:val="none" w:sz="0" w:space="0" w:color="auto"/>
        <w:left w:val="none" w:sz="0" w:space="0" w:color="auto"/>
        <w:bottom w:val="none" w:sz="0" w:space="0" w:color="auto"/>
        <w:right w:val="none" w:sz="0" w:space="0" w:color="auto"/>
      </w:divBdr>
    </w:div>
    <w:div w:id="502741855">
      <w:bodyDiv w:val="1"/>
      <w:marLeft w:val="0"/>
      <w:marRight w:val="0"/>
      <w:marTop w:val="0"/>
      <w:marBottom w:val="0"/>
      <w:divBdr>
        <w:top w:val="none" w:sz="0" w:space="0" w:color="auto"/>
        <w:left w:val="none" w:sz="0" w:space="0" w:color="auto"/>
        <w:bottom w:val="none" w:sz="0" w:space="0" w:color="auto"/>
        <w:right w:val="none" w:sz="0" w:space="0" w:color="auto"/>
      </w:divBdr>
    </w:div>
    <w:div w:id="502823958">
      <w:bodyDiv w:val="1"/>
      <w:marLeft w:val="0"/>
      <w:marRight w:val="0"/>
      <w:marTop w:val="0"/>
      <w:marBottom w:val="0"/>
      <w:divBdr>
        <w:top w:val="none" w:sz="0" w:space="0" w:color="auto"/>
        <w:left w:val="none" w:sz="0" w:space="0" w:color="auto"/>
        <w:bottom w:val="none" w:sz="0" w:space="0" w:color="auto"/>
        <w:right w:val="none" w:sz="0" w:space="0" w:color="auto"/>
      </w:divBdr>
    </w:div>
    <w:div w:id="502935599">
      <w:bodyDiv w:val="1"/>
      <w:marLeft w:val="0"/>
      <w:marRight w:val="0"/>
      <w:marTop w:val="0"/>
      <w:marBottom w:val="0"/>
      <w:divBdr>
        <w:top w:val="none" w:sz="0" w:space="0" w:color="auto"/>
        <w:left w:val="none" w:sz="0" w:space="0" w:color="auto"/>
        <w:bottom w:val="none" w:sz="0" w:space="0" w:color="auto"/>
        <w:right w:val="none" w:sz="0" w:space="0" w:color="auto"/>
      </w:divBdr>
    </w:div>
    <w:div w:id="503013818">
      <w:bodyDiv w:val="1"/>
      <w:marLeft w:val="0"/>
      <w:marRight w:val="0"/>
      <w:marTop w:val="0"/>
      <w:marBottom w:val="0"/>
      <w:divBdr>
        <w:top w:val="none" w:sz="0" w:space="0" w:color="auto"/>
        <w:left w:val="none" w:sz="0" w:space="0" w:color="auto"/>
        <w:bottom w:val="none" w:sz="0" w:space="0" w:color="auto"/>
        <w:right w:val="none" w:sz="0" w:space="0" w:color="auto"/>
      </w:divBdr>
    </w:div>
    <w:div w:id="503210027">
      <w:bodyDiv w:val="1"/>
      <w:marLeft w:val="0"/>
      <w:marRight w:val="0"/>
      <w:marTop w:val="0"/>
      <w:marBottom w:val="0"/>
      <w:divBdr>
        <w:top w:val="none" w:sz="0" w:space="0" w:color="auto"/>
        <w:left w:val="none" w:sz="0" w:space="0" w:color="auto"/>
        <w:bottom w:val="none" w:sz="0" w:space="0" w:color="auto"/>
        <w:right w:val="none" w:sz="0" w:space="0" w:color="auto"/>
      </w:divBdr>
    </w:div>
    <w:div w:id="504322039">
      <w:bodyDiv w:val="1"/>
      <w:marLeft w:val="0"/>
      <w:marRight w:val="0"/>
      <w:marTop w:val="0"/>
      <w:marBottom w:val="0"/>
      <w:divBdr>
        <w:top w:val="none" w:sz="0" w:space="0" w:color="auto"/>
        <w:left w:val="none" w:sz="0" w:space="0" w:color="auto"/>
        <w:bottom w:val="none" w:sz="0" w:space="0" w:color="auto"/>
        <w:right w:val="none" w:sz="0" w:space="0" w:color="auto"/>
      </w:divBdr>
    </w:div>
    <w:div w:id="504395194">
      <w:bodyDiv w:val="1"/>
      <w:marLeft w:val="0"/>
      <w:marRight w:val="0"/>
      <w:marTop w:val="0"/>
      <w:marBottom w:val="0"/>
      <w:divBdr>
        <w:top w:val="none" w:sz="0" w:space="0" w:color="auto"/>
        <w:left w:val="none" w:sz="0" w:space="0" w:color="auto"/>
        <w:bottom w:val="none" w:sz="0" w:space="0" w:color="auto"/>
        <w:right w:val="none" w:sz="0" w:space="0" w:color="auto"/>
      </w:divBdr>
    </w:div>
    <w:div w:id="504784291">
      <w:bodyDiv w:val="1"/>
      <w:marLeft w:val="0"/>
      <w:marRight w:val="0"/>
      <w:marTop w:val="0"/>
      <w:marBottom w:val="0"/>
      <w:divBdr>
        <w:top w:val="none" w:sz="0" w:space="0" w:color="auto"/>
        <w:left w:val="none" w:sz="0" w:space="0" w:color="auto"/>
        <w:bottom w:val="none" w:sz="0" w:space="0" w:color="auto"/>
        <w:right w:val="none" w:sz="0" w:space="0" w:color="auto"/>
      </w:divBdr>
    </w:div>
    <w:div w:id="505095218">
      <w:bodyDiv w:val="1"/>
      <w:marLeft w:val="0"/>
      <w:marRight w:val="0"/>
      <w:marTop w:val="0"/>
      <w:marBottom w:val="0"/>
      <w:divBdr>
        <w:top w:val="none" w:sz="0" w:space="0" w:color="auto"/>
        <w:left w:val="none" w:sz="0" w:space="0" w:color="auto"/>
        <w:bottom w:val="none" w:sz="0" w:space="0" w:color="auto"/>
        <w:right w:val="none" w:sz="0" w:space="0" w:color="auto"/>
      </w:divBdr>
    </w:div>
    <w:div w:id="506791666">
      <w:bodyDiv w:val="1"/>
      <w:marLeft w:val="0"/>
      <w:marRight w:val="0"/>
      <w:marTop w:val="0"/>
      <w:marBottom w:val="0"/>
      <w:divBdr>
        <w:top w:val="none" w:sz="0" w:space="0" w:color="auto"/>
        <w:left w:val="none" w:sz="0" w:space="0" w:color="auto"/>
        <w:bottom w:val="none" w:sz="0" w:space="0" w:color="auto"/>
        <w:right w:val="none" w:sz="0" w:space="0" w:color="auto"/>
      </w:divBdr>
    </w:div>
    <w:div w:id="507017134">
      <w:bodyDiv w:val="1"/>
      <w:marLeft w:val="0"/>
      <w:marRight w:val="0"/>
      <w:marTop w:val="0"/>
      <w:marBottom w:val="0"/>
      <w:divBdr>
        <w:top w:val="none" w:sz="0" w:space="0" w:color="auto"/>
        <w:left w:val="none" w:sz="0" w:space="0" w:color="auto"/>
        <w:bottom w:val="none" w:sz="0" w:space="0" w:color="auto"/>
        <w:right w:val="none" w:sz="0" w:space="0" w:color="auto"/>
      </w:divBdr>
    </w:div>
    <w:div w:id="507208078">
      <w:bodyDiv w:val="1"/>
      <w:marLeft w:val="0"/>
      <w:marRight w:val="0"/>
      <w:marTop w:val="0"/>
      <w:marBottom w:val="0"/>
      <w:divBdr>
        <w:top w:val="none" w:sz="0" w:space="0" w:color="auto"/>
        <w:left w:val="none" w:sz="0" w:space="0" w:color="auto"/>
        <w:bottom w:val="none" w:sz="0" w:space="0" w:color="auto"/>
        <w:right w:val="none" w:sz="0" w:space="0" w:color="auto"/>
      </w:divBdr>
    </w:div>
    <w:div w:id="508637640">
      <w:bodyDiv w:val="1"/>
      <w:marLeft w:val="0"/>
      <w:marRight w:val="0"/>
      <w:marTop w:val="0"/>
      <w:marBottom w:val="0"/>
      <w:divBdr>
        <w:top w:val="none" w:sz="0" w:space="0" w:color="auto"/>
        <w:left w:val="none" w:sz="0" w:space="0" w:color="auto"/>
        <w:bottom w:val="none" w:sz="0" w:space="0" w:color="auto"/>
        <w:right w:val="none" w:sz="0" w:space="0" w:color="auto"/>
      </w:divBdr>
    </w:div>
    <w:div w:id="508714709">
      <w:bodyDiv w:val="1"/>
      <w:marLeft w:val="0"/>
      <w:marRight w:val="0"/>
      <w:marTop w:val="0"/>
      <w:marBottom w:val="0"/>
      <w:divBdr>
        <w:top w:val="none" w:sz="0" w:space="0" w:color="auto"/>
        <w:left w:val="none" w:sz="0" w:space="0" w:color="auto"/>
        <w:bottom w:val="none" w:sz="0" w:space="0" w:color="auto"/>
        <w:right w:val="none" w:sz="0" w:space="0" w:color="auto"/>
      </w:divBdr>
    </w:div>
    <w:div w:id="509374360">
      <w:bodyDiv w:val="1"/>
      <w:marLeft w:val="0"/>
      <w:marRight w:val="0"/>
      <w:marTop w:val="0"/>
      <w:marBottom w:val="0"/>
      <w:divBdr>
        <w:top w:val="none" w:sz="0" w:space="0" w:color="auto"/>
        <w:left w:val="none" w:sz="0" w:space="0" w:color="auto"/>
        <w:bottom w:val="none" w:sz="0" w:space="0" w:color="auto"/>
        <w:right w:val="none" w:sz="0" w:space="0" w:color="auto"/>
      </w:divBdr>
    </w:div>
    <w:div w:id="509608799">
      <w:bodyDiv w:val="1"/>
      <w:marLeft w:val="0"/>
      <w:marRight w:val="0"/>
      <w:marTop w:val="0"/>
      <w:marBottom w:val="0"/>
      <w:divBdr>
        <w:top w:val="none" w:sz="0" w:space="0" w:color="auto"/>
        <w:left w:val="none" w:sz="0" w:space="0" w:color="auto"/>
        <w:bottom w:val="none" w:sz="0" w:space="0" w:color="auto"/>
        <w:right w:val="none" w:sz="0" w:space="0" w:color="auto"/>
      </w:divBdr>
    </w:div>
    <w:div w:id="509953957">
      <w:bodyDiv w:val="1"/>
      <w:marLeft w:val="0"/>
      <w:marRight w:val="0"/>
      <w:marTop w:val="0"/>
      <w:marBottom w:val="0"/>
      <w:divBdr>
        <w:top w:val="none" w:sz="0" w:space="0" w:color="auto"/>
        <w:left w:val="none" w:sz="0" w:space="0" w:color="auto"/>
        <w:bottom w:val="none" w:sz="0" w:space="0" w:color="auto"/>
        <w:right w:val="none" w:sz="0" w:space="0" w:color="auto"/>
      </w:divBdr>
    </w:div>
    <w:div w:id="510027483">
      <w:bodyDiv w:val="1"/>
      <w:marLeft w:val="0"/>
      <w:marRight w:val="0"/>
      <w:marTop w:val="0"/>
      <w:marBottom w:val="0"/>
      <w:divBdr>
        <w:top w:val="none" w:sz="0" w:space="0" w:color="auto"/>
        <w:left w:val="none" w:sz="0" w:space="0" w:color="auto"/>
        <w:bottom w:val="none" w:sz="0" w:space="0" w:color="auto"/>
        <w:right w:val="none" w:sz="0" w:space="0" w:color="auto"/>
      </w:divBdr>
    </w:div>
    <w:div w:id="511261026">
      <w:bodyDiv w:val="1"/>
      <w:marLeft w:val="0"/>
      <w:marRight w:val="0"/>
      <w:marTop w:val="0"/>
      <w:marBottom w:val="0"/>
      <w:divBdr>
        <w:top w:val="none" w:sz="0" w:space="0" w:color="auto"/>
        <w:left w:val="none" w:sz="0" w:space="0" w:color="auto"/>
        <w:bottom w:val="none" w:sz="0" w:space="0" w:color="auto"/>
        <w:right w:val="none" w:sz="0" w:space="0" w:color="auto"/>
      </w:divBdr>
    </w:div>
    <w:div w:id="511265017">
      <w:bodyDiv w:val="1"/>
      <w:marLeft w:val="0"/>
      <w:marRight w:val="0"/>
      <w:marTop w:val="0"/>
      <w:marBottom w:val="0"/>
      <w:divBdr>
        <w:top w:val="none" w:sz="0" w:space="0" w:color="auto"/>
        <w:left w:val="none" w:sz="0" w:space="0" w:color="auto"/>
        <w:bottom w:val="none" w:sz="0" w:space="0" w:color="auto"/>
        <w:right w:val="none" w:sz="0" w:space="0" w:color="auto"/>
      </w:divBdr>
    </w:div>
    <w:div w:id="511526839">
      <w:bodyDiv w:val="1"/>
      <w:marLeft w:val="0"/>
      <w:marRight w:val="0"/>
      <w:marTop w:val="0"/>
      <w:marBottom w:val="0"/>
      <w:divBdr>
        <w:top w:val="none" w:sz="0" w:space="0" w:color="auto"/>
        <w:left w:val="none" w:sz="0" w:space="0" w:color="auto"/>
        <w:bottom w:val="none" w:sz="0" w:space="0" w:color="auto"/>
        <w:right w:val="none" w:sz="0" w:space="0" w:color="auto"/>
      </w:divBdr>
    </w:div>
    <w:div w:id="511648122">
      <w:bodyDiv w:val="1"/>
      <w:marLeft w:val="0"/>
      <w:marRight w:val="0"/>
      <w:marTop w:val="0"/>
      <w:marBottom w:val="0"/>
      <w:divBdr>
        <w:top w:val="none" w:sz="0" w:space="0" w:color="auto"/>
        <w:left w:val="none" w:sz="0" w:space="0" w:color="auto"/>
        <w:bottom w:val="none" w:sz="0" w:space="0" w:color="auto"/>
        <w:right w:val="none" w:sz="0" w:space="0" w:color="auto"/>
      </w:divBdr>
    </w:div>
    <w:div w:id="512260756">
      <w:bodyDiv w:val="1"/>
      <w:marLeft w:val="0"/>
      <w:marRight w:val="0"/>
      <w:marTop w:val="0"/>
      <w:marBottom w:val="0"/>
      <w:divBdr>
        <w:top w:val="none" w:sz="0" w:space="0" w:color="auto"/>
        <w:left w:val="none" w:sz="0" w:space="0" w:color="auto"/>
        <w:bottom w:val="none" w:sz="0" w:space="0" w:color="auto"/>
        <w:right w:val="none" w:sz="0" w:space="0" w:color="auto"/>
      </w:divBdr>
    </w:div>
    <w:div w:id="512493630">
      <w:bodyDiv w:val="1"/>
      <w:marLeft w:val="0"/>
      <w:marRight w:val="0"/>
      <w:marTop w:val="0"/>
      <w:marBottom w:val="0"/>
      <w:divBdr>
        <w:top w:val="none" w:sz="0" w:space="0" w:color="auto"/>
        <w:left w:val="none" w:sz="0" w:space="0" w:color="auto"/>
        <w:bottom w:val="none" w:sz="0" w:space="0" w:color="auto"/>
        <w:right w:val="none" w:sz="0" w:space="0" w:color="auto"/>
      </w:divBdr>
    </w:div>
    <w:div w:id="512762107">
      <w:bodyDiv w:val="1"/>
      <w:marLeft w:val="0"/>
      <w:marRight w:val="0"/>
      <w:marTop w:val="0"/>
      <w:marBottom w:val="0"/>
      <w:divBdr>
        <w:top w:val="none" w:sz="0" w:space="0" w:color="auto"/>
        <w:left w:val="none" w:sz="0" w:space="0" w:color="auto"/>
        <w:bottom w:val="none" w:sz="0" w:space="0" w:color="auto"/>
        <w:right w:val="none" w:sz="0" w:space="0" w:color="auto"/>
      </w:divBdr>
    </w:div>
    <w:div w:id="512885692">
      <w:bodyDiv w:val="1"/>
      <w:marLeft w:val="0"/>
      <w:marRight w:val="0"/>
      <w:marTop w:val="0"/>
      <w:marBottom w:val="0"/>
      <w:divBdr>
        <w:top w:val="none" w:sz="0" w:space="0" w:color="auto"/>
        <w:left w:val="none" w:sz="0" w:space="0" w:color="auto"/>
        <w:bottom w:val="none" w:sz="0" w:space="0" w:color="auto"/>
        <w:right w:val="none" w:sz="0" w:space="0" w:color="auto"/>
      </w:divBdr>
    </w:div>
    <w:div w:id="513612300">
      <w:bodyDiv w:val="1"/>
      <w:marLeft w:val="0"/>
      <w:marRight w:val="0"/>
      <w:marTop w:val="0"/>
      <w:marBottom w:val="0"/>
      <w:divBdr>
        <w:top w:val="none" w:sz="0" w:space="0" w:color="auto"/>
        <w:left w:val="none" w:sz="0" w:space="0" w:color="auto"/>
        <w:bottom w:val="none" w:sz="0" w:space="0" w:color="auto"/>
        <w:right w:val="none" w:sz="0" w:space="0" w:color="auto"/>
      </w:divBdr>
    </w:div>
    <w:div w:id="513618960">
      <w:bodyDiv w:val="1"/>
      <w:marLeft w:val="0"/>
      <w:marRight w:val="0"/>
      <w:marTop w:val="0"/>
      <w:marBottom w:val="0"/>
      <w:divBdr>
        <w:top w:val="none" w:sz="0" w:space="0" w:color="auto"/>
        <w:left w:val="none" w:sz="0" w:space="0" w:color="auto"/>
        <w:bottom w:val="none" w:sz="0" w:space="0" w:color="auto"/>
        <w:right w:val="none" w:sz="0" w:space="0" w:color="auto"/>
      </w:divBdr>
    </w:div>
    <w:div w:id="514539902">
      <w:bodyDiv w:val="1"/>
      <w:marLeft w:val="0"/>
      <w:marRight w:val="0"/>
      <w:marTop w:val="0"/>
      <w:marBottom w:val="0"/>
      <w:divBdr>
        <w:top w:val="none" w:sz="0" w:space="0" w:color="auto"/>
        <w:left w:val="none" w:sz="0" w:space="0" w:color="auto"/>
        <w:bottom w:val="none" w:sz="0" w:space="0" w:color="auto"/>
        <w:right w:val="none" w:sz="0" w:space="0" w:color="auto"/>
      </w:divBdr>
    </w:div>
    <w:div w:id="515266820">
      <w:bodyDiv w:val="1"/>
      <w:marLeft w:val="0"/>
      <w:marRight w:val="0"/>
      <w:marTop w:val="0"/>
      <w:marBottom w:val="0"/>
      <w:divBdr>
        <w:top w:val="none" w:sz="0" w:space="0" w:color="auto"/>
        <w:left w:val="none" w:sz="0" w:space="0" w:color="auto"/>
        <w:bottom w:val="none" w:sz="0" w:space="0" w:color="auto"/>
        <w:right w:val="none" w:sz="0" w:space="0" w:color="auto"/>
      </w:divBdr>
    </w:div>
    <w:div w:id="515538164">
      <w:bodyDiv w:val="1"/>
      <w:marLeft w:val="0"/>
      <w:marRight w:val="0"/>
      <w:marTop w:val="0"/>
      <w:marBottom w:val="0"/>
      <w:divBdr>
        <w:top w:val="none" w:sz="0" w:space="0" w:color="auto"/>
        <w:left w:val="none" w:sz="0" w:space="0" w:color="auto"/>
        <w:bottom w:val="none" w:sz="0" w:space="0" w:color="auto"/>
        <w:right w:val="none" w:sz="0" w:space="0" w:color="auto"/>
      </w:divBdr>
    </w:div>
    <w:div w:id="516433217">
      <w:bodyDiv w:val="1"/>
      <w:marLeft w:val="0"/>
      <w:marRight w:val="0"/>
      <w:marTop w:val="0"/>
      <w:marBottom w:val="0"/>
      <w:divBdr>
        <w:top w:val="none" w:sz="0" w:space="0" w:color="auto"/>
        <w:left w:val="none" w:sz="0" w:space="0" w:color="auto"/>
        <w:bottom w:val="none" w:sz="0" w:space="0" w:color="auto"/>
        <w:right w:val="none" w:sz="0" w:space="0" w:color="auto"/>
      </w:divBdr>
    </w:div>
    <w:div w:id="516626171">
      <w:bodyDiv w:val="1"/>
      <w:marLeft w:val="0"/>
      <w:marRight w:val="0"/>
      <w:marTop w:val="0"/>
      <w:marBottom w:val="0"/>
      <w:divBdr>
        <w:top w:val="none" w:sz="0" w:space="0" w:color="auto"/>
        <w:left w:val="none" w:sz="0" w:space="0" w:color="auto"/>
        <w:bottom w:val="none" w:sz="0" w:space="0" w:color="auto"/>
        <w:right w:val="none" w:sz="0" w:space="0" w:color="auto"/>
      </w:divBdr>
    </w:div>
    <w:div w:id="516627231">
      <w:bodyDiv w:val="1"/>
      <w:marLeft w:val="0"/>
      <w:marRight w:val="0"/>
      <w:marTop w:val="0"/>
      <w:marBottom w:val="0"/>
      <w:divBdr>
        <w:top w:val="none" w:sz="0" w:space="0" w:color="auto"/>
        <w:left w:val="none" w:sz="0" w:space="0" w:color="auto"/>
        <w:bottom w:val="none" w:sz="0" w:space="0" w:color="auto"/>
        <w:right w:val="none" w:sz="0" w:space="0" w:color="auto"/>
      </w:divBdr>
    </w:div>
    <w:div w:id="516887662">
      <w:bodyDiv w:val="1"/>
      <w:marLeft w:val="0"/>
      <w:marRight w:val="0"/>
      <w:marTop w:val="0"/>
      <w:marBottom w:val="0"/>
      <w:divBdr>
        <w:top w:val="none" w:sz="0" w:space="0" w:color="auto"/>
        <w:left w:val="none" w:sz="0" w:space="0" w:color="auto"/>
        <w:bottom w:val="none" w:sz="0" w:space="0" w:color="auto"/>
        <w:right w:val="none" w:sz="0" w:space="0" w:color="auto"/>
      </w:divBdr>
    </w:div>
    <w:div w:id="517084730">
      <w:bodyDiv w:val="1"/>
      <w:marLeft w:val="0"/>
      <w:marRight w:val="0"/>
      <w:marTop w:val="0"/>
      <w:marBottom w:val="0"/>
      <w:divBdr>
        <w:top w:val="none" w:sz="0" w:space="0" w:color="auto"/>
        <w:left w:val="none" w:sz="0" w:space="0" w:color="auto"/>
        <w:bottom w:val="none" w:sz="0" w:space="0" w:color="auto"/>
        <w:right w:val="none" w:sz="0" w:space="0" w:color="auto"/>
      </w:divBdr>
    </w:div>
    <w:div w:id="517348506">
      <w:bodyDiv w:val="1"/>
      <w:marLeft w:val="0"/>
      <w:marRight w:val="0"/>
      <w:marTop w:val="0"/>
      <w:marBottom w:val="0"/>
      <w:divBdr>
        <w:top w:val="none" w:sz="0" w:space="0" w:color="auto"/>
        <w:left w:val="none" w:sz="0" w:space="0" w:color="auto"/>
        <w:bottom w:val="none" w:sz="0" w:space="0" w:color="auto"/>
        <w:right w:val="none" w:sz="0" w:space="0" w:color="auto"/>
      </w:divBdr>
    </w:div>
    <w:div w:id="517354909">
      <w:bodyDiv w:val="1"/>
      <w:marLeft w:val="0"/>
      <w:marRight w:val="0"/>
      <w:marTop w:val="0"/>
      <w:marBottom w:val="0"/>
      <w:divBdr>
        <w:top w:val="none" w:sz="0" w:space="0" w:color="auto"/>
        <w:left w:val="none" w:sz="0" w:space="0" w:color="auto"/>
        <w:bottom w:val="none" w:sz="0" w:space="0" w:color="auto"/>
        <w:right w:val="none" w:sz="0" w:space="0" w:color="auto"/>
      </w:divBdr>
    </w:div>
    <w:div w:id="517810690">
      <w:bodyDiv w:val="1"/>
      <w:marLeft w:val="0"/>
      <w:marRight w:val="0"/>
      <w:marTop w:val="0"/>
      <w:marBottom w:val="0"/>
      <w:divBdr>
        <w:top w:val="none" w:sz="0" w:space="0" w:color="auto"/>
        <w:left w:val="none" w:sz="0" w:space="0" w:color="auto"/>
        <w:bottom w:val="none" w:sz="0" w:space="0" w:color="auto"/>
        <w:right w:val="none" w:sz="0" w:space="0" w:color="auto"/>
      </w:divBdr>
    </w:div>
    <w:div w:id="518200003">
      <w:bodyDiv w:val="1"/>
      <w:marLeft w:val="0"/>
      <w:marRight w:val="0"/>
      <w:marTop w:val="0"/>
      <w:marBottom w:val="0"/>
      <w:divBdr>
        <w:top w:val="none" w:sz="0" w:space="0" w:color="auto"/>
        <w:left w:val="none" w:sz="0" w:space="0" w:color="auto"/>
        <w:bottom w:val="none" w:sz="0" w:space="0" w:color="auto"/>
        <w:right w:val="none" w:sz="0" w:space="0" w:color="auto"/>
      </w:divBdr>
    </w:div>
    <w:div w:id="518591920">
      <w:bodyDiv w:val="1"/>
      <w:marLeft w:val="0"/>
      <w:marRight w:val="0"/>
      <w:marTop w:val="0"/>
      <w:marBottom w:val="0"/>
      <w:divBdr>
        <w:top w:val="none" w:sz="0" w:space="0" w:color="auto"/>
        <w:left w:val="none" w:sz="0" w:space="0" w:color="auto"/>
        <w:bottom w:val="none" w:sz="0" w:space="0" w:color="auto"/>
        <w:right w:val="none" w:sz="0" w:space="0" w:color="auto"/>
      </w:divBdr>
    </w:div>
    <w:div w:id="518855573">
      <w:bodyDiv w:val="1"/>
      <w:marLeft w:val="0"/>
      <w:marRight w:val="0"/>
      <w:marTop w:val="0"/>
      <w:marBottom w:val="0"/>
      <w:divBdr>
        <w:top w:val="none" w:sz="0" w:space="0" w:color="auto"/>
        <w:left w:val="none" w:sz="0" w:space="0" w:color="auto"/>
        <w:bottom w:val="none" w:sz="0" w:space="0" w:color="auto"/>
        <w:right w:val="none" w:sz="0" w:space="0" w:color="auto"/>
      </w:divBdr>
    </w:div>
    <w:div w:id="518861507">
      <w:bodyDiv w:val="1"/>
      <w:marLeft w:val="0"/>
      <w:marRight w:val="0"/>
      <w:marTop w:val="0"/>
      <w:marBottom w:val="0"/>
      <w:divBdr>
        <w:top w:val="none" w:sz="0" w:space="0" w:color="auto"/>
        <w:left w:val="none" w:sz="0" w:space="0" w:color="auto"/>
        <w:bottom w:val="none" w:sz="0" w:space="0" w:color="auto"/>
        <w:right w:val="none" w:sz="0" w:space="0" w:color="auto"/>
      </w:divBdr>
    </w:div>
    <w:div w:id="519046709">
      <w:bodyDiv w:val="1"/>
      <w:marLeft w:val="0"/>
      <w:marRight w:val="0"/>
      <w:marTop w:val="0"/>
      <w:marBottom w:val="0"/>
      <w:divBdr>
        <w:top w:val="none" w:sz="0" w:space="0" w:color="auto"/>
        <w:left w:val="none" w:sz="0" w:space="0" w:color="auto"/>
        <w:bottom w:val="none" w:sz="0" w:space="0" w:color="auto"/>
        <w:right w:val="none" w:sz="0" w:space="0" w:color="auto"/>
      </w:divBdr>
    </w:div>
    <w:div w:id="519123736">
      <w:bodyDiv w:val="1"/>
      <w:marLeft w:val="0"/>
      <w:marRight w:val="0"/>
      <w:marTop w:val="0"/>
      <w:marBottom w:val="0"/>
      <w:divBdr>
        <w:top w:val="none" w:sz="0" w:space="0" w:color="auto"/>
        <w:left w:val="none" w:sz="0" w:space="0" w:color="auto"/>
        <w:bottom w:val="none" w:sz="0" w:space="0" w:color="auto"/>
        <w:right w:val="none" w:sz="0" w:space="0" w:color="auto"/>
      </w:divBdr>
    </w:div>
    <w:div w:id="519125700">
      <w:bodyDiv w:val="1"/>
      <w:marLeft w:val="0"/>
      <w:marRight w:val="0"/>
      <w:marTop w:val="0"/>
      <w:marBottom w:val="0"/>
      <w:divBdr>
        <w:top w:val="none" w:sz="0" w:space="0" w:color="auto"/>
        <w:left w:val="none" w:sz="0" w:space="0" w:color="auto"/>
        <w:bottom w:val="none" w:sz="0" w:space="0" w:color="auto"/>
        <w:right w:val="none" w:sz="0" w:space="0" w:color="auto"/>
      </w:divBdr>
    </w:div>
    <w:div w:id="519857431">
      <w:bodyDiv w:val="1"/>
      <w:marLeft w:val="0"/>
      <w:marRight w:val="0"/>
      <w:marTop w:val="0"/>
      <w:marBottom w:val="0"/>
      <w:divBdr>
        <w:top w:val="none" w:sz="0" w:space="0" w:color="auto"/>
        <w:left w:val="none" w:sz="0" w:space="0" w:color="auto"/>
        <w:bottom w:val="none" w:sz="0" w:space="0" w:color="auto"/>
        <w:right w:val="none" w:sz="0" w:space="0" w:color="auto"/>
      </w:divBdr>
    </w:div>
    <w:div w:id="520242153">
      <w:bodyDiv w:val="1"/>
      <w:marLeft w:val="0"/>
      <w:marRight w:val="0"/>
      <w:marTop w:val="0"/>
      <w:marBottom w:val="0"/>
      <w:divBdr>
        <w:top w:val="none" w:sz="0" w:space="0" w:color="auto"/>
        <w:left w:val="none" w:sz="0" w:space="0" w:color="auto"/>
        <w:bottom w:val="none" w:sz="0" w:space="0" w:color="auto"/>
        <w:right w:val="none" w:sz="0" w:space="0" w:color="auto"/>
      </w:divBdr>
    </w:div>
    <w:div w:id="520360022">
      <w:bodyDiv w:val="1"/>
      <w:marLeft w:val="0"/>
      <w:marRight w:val="0"/>
      <w:marTop w:val="0"/>
      <w:marBottom w:val="0"/>
      <w:divBdr>
        <w:top w:val="none" w:sz="0" w:space="0" w:color="auto"/>
        <w:left w:val="none" w:sz="0" w:space="0" w:color="auto"/>
        <w:bottom w:val="none" w:sz="0" w:space="0" w:color="auto"/>
        <w:right w:val="none" w:sz="0" w:space="0" w:color="auto"/>
      </w:divBdr>
    </w:div>
    <w:div w:id="523633484">
      <w:bodyDiv w:val="1"/>
      <w:marLeft w:val="0"/>
      <w:marRight w:val="0"/>
      <w:marTop w:val="0"/>
      <w:marBottom w:val="0"/>
      <w:divBdr>
        <w:top w:val="none" w:sz="0" w:space="0" w:color="auto"/>
        <w:left w:val="none" w:sz="0" w:space="0" w:color="auto"/>
        <w:bottom w:val="none" w:sz="0" w:space="0" w:color="auto"/>
        <w:right w:val="none" w:sz="0" w:space="0" w:color="auto"/>
      </w:divBdr>
    </w:div>
    <w:div w:id="523717024">
      <w:bodyDiv w:val="1"/>
      <w:marLeft w:val="0"/>
      <w:marRight w:val="0"/>
      <w:marTop w:val="0"/>
      <w:marBottom w:val="0"/>
      <w:divBdr>
        <w:top w:val="none" w:sz="0" w:space="0" w:color="auto"/>
        <w:left w:val="none" w:sz="0" w:space="0" w:color="auto"/>
        <w:bottom w:val="none" w:sz="0" w:space="0" w:color="auto"/>
        <w:right w:val="none" w:sz="0" w:space="0" w:color="auto"/>
      </w:divBdr>
    </w:div>
    <w:div w:id="525102861">
      <w:bodyDiv w:val="1"/>
      <w:marLeft w:val="0"/>
      <w:marRight w:val="0"/>
      <w:marTop w:val="0"/>
      <w:marBottom w:val="0"/>
      <w:divBdr>
        <w:top w:val="none" w:sz="0" w:space="0" w:color="auto"/>
        <w:left w:val="none" w:sz="0" w:space="0" w:color="auto"/>
        <w:bottom w:val="none" w:sz="0" w:space="0" w:color="auto"/>
        <w:right w:val="none" w:sz="0" w:space="0" w:color="auto"/>
      </w:divBdr>
    </w:div>
    <w:div w:id="525557463">
      <w:bodyDiv w:val="1"/>
      <w:marLeft w:val="0"/>
      <w:marRight w:val="0"/>
      <w:marTop w:val="0"/>
      <w:marBottom w:val="0"/>
      <w:divBdr>
        <w:top w:val="none" w:sz="0" w:space="0" w:color="auto"/>
        <w:left w:val="none" w:sz="0" w:space="0" w:color="auto"/>
        <w:bottom w:val="none" w:sz="0" w:space="0" w:color="auto"/>
        <w:right w:val="none" w:sz="0" w:space="0" w:color="auto"/>
      </w:divBdr>
    </w:div>
    <w:div w:id="526140492">
      <w:bodyDiv w:val="1"/>
      <w:marLeft w:val="0"/>
      <w:marRight w:val="0"/>
      <w:marTop w:val="0"/>
      <w:marBottom w:val="0"/>
      <w:divBdr>
        <w:top w:val="none" w:sz="0" w:space="0" w:color="auto"/>
        <w:left w:val="none" w:sz="0" w:space="0" w:color="auto"/>
        <w:bottom w:val="none" w:sz="0" w:space="0" w:color="auto"/>
        <w:right w:val="none" w:sz="0" w:space="0" w:color="auto"/>
      </w:divBdr>
    </w:div>
    <w:div w:id="526522558">
      <w:bodyDiv w:val="1"/>
      <w:marLeft w:val="0"/>
      <w:marRight w:val="0"/>
      <w:marTop w:val="0"/>
      <w:marBottom w:val="0"/>
      <w:divBdr>
        <w:top w:val="none" w:sz="0" w:space="0" w:color="auto"/>
        <w:left w:val="none" w:sz="0" w:space="0" w:color="auto"/>
        <w:bottom w:val="none" w:sz="0" w:space="0" w:color="auto"/>
        <w:right w:val="none" w:sz="0" w:space="0" w:color="auto"/>
      </w:divBdr>
    </w:div>
    <w:div w:id="526913534">
      <w:bodyDiv w:val="1"/>
      <w:marLeft w:val="0"/>
      <w:marRight w:val="0"/>
      <w:marTop w:val="0"/>
      <w:marBottom w:val="0"/>
      <w:divBdr>
        <w:top w:val="none" w:sz="0" w:space="0" w:color="auto"/>
        <w:left w:val="none" w:sz="0" w:space="0" w:color="auto"/>
        <w:bottom w:val="none" w:sz="0" w:space="0" w:color="auto"/>
        <w:right w:val="none" w:sz="0" w:space="0" w:color="auto"/>
      </w:divBdr>
    </w:div>
    <w:div w:id="527063328">
      <w:bodyDiv w:val="1"/>
      <w:marLeft w:val="0"/>
      <w:marRight w:val="0"/>
      <w:marTop w:val="0"/>
      <w:marBottom w:val="0"/>
      <w:divBdr>
        <w:top w:val="none" w:sz="0" w:space="0" w:color="auto"/>
        <w:left w:val="none" w:sz="0" w:space="0" w:color="auto"/>
        <w:bottom w:val="none" w:sz="0" w:space="0" w:color="auto"/>
        <w:right w:val="none" w:sz="0" w:space="0" w:color="auto"/>
      </w:divBdr>
    </w:div>
    <w:div w:id="527304252">
      <w:bodyDiv w:val="1"/>
      <w:marLeft w:val="0"/>
      <w:marRight w:val="0"/>
      <w:marTop w:val="0"/>
      <w:marBottom w:val="0"/>
      <w:divBdr>
        <w:top w:val="none" w:sz="0" w:space="0" w:color="auto"/>
        <w:left w:val="none" w:sz="0" w:space="0" w:color="auto"/>
        <w:bottom w:val="none" w:sz="0" w:space="0" w:color="auto"/>
        <w:right w:val="none" w:sz="0" w:space="0" w:color="auto"/>
      </w:divBdr>
    </w:div>
    <w:div w:id="527647225">
      <w:bodyDiv w:val="1"/>
      <w:marLeft w:val="0"/>
      <w:marRight w:val="0"/>
      <w:marTop w:val="0"/>
      <w:marBottom w:val="0"/>
      <w:divBdr>
        <w:top w:val="none" w:sz="0" w:space="0" w:color="auto"/>
        <w:left w:val="none" w:sz="0" w:space="0" w:color="auto"/>
        <w:bottom w:val="none" w:sz="0" w:space="0" w:color="auto"/>
        <w:right w:val="none" w:sz="0" w:space="0" w:color="auto"/>
      </w:divBdr>
    </w:div>
    <w:div w:id="528300320">
      <w:bodyDiv w:val="1"/>
      <w:marLeft w:val="0"/>
      <w:marRight w:val="0"/>
      <w:marTop w:val="0"/>
      <w:marBottom w:val="0"/>
      <w:divBdr>
        <w:top w:val="none" w:sz="0" w:space="0" w:color="auto"/>
        <w:left w:val="none" w:sz="0" w:space="0" w:color="auto"/>
        <w:bottom w:val="none" w:sz="0" w:space="0" w:color="auto"/>
        <w:right w:val="none" w:sz="0" w:space="0" w:color="auto"/>
      </w:divBdr>
    </w:div>
    <w:div w:id="528876518">
      <w:bodyDiv w:val="1"/>
      <w:marLeft w:val="0"/>
      <w:marRight w:val="0"/>
      <w:marTop w:val="0"/>
      <w:marBottom w:val="0"/>
      <w:divBdr>
        <w:top w:val="none" w:sz="0" w:space="0" w:color="auto"/>
        <w:left w:val="none" w:sz="0" w:space="0" w:color="auto"/>
        <w:bottom w:val="none" w:sz="0" w:space="0" w:color="auto"/>
        <w:right w:val="none" w:sz="0" w:space="0" w:color="auto"/>
      </w:divBdr>
    </w:div>
    <w:div w:id="529299859">
      <w:bodyDiv w:val="1"/>
      <w:marLeft w:val="0"/>
      <w:marRight w:val="0"/>
      <w:marTop w:val="0"/>
      <w:marBottom w:val="0"/>
      <w:divBdr>
        <w:top w:val="none" w:sz="0" w:space="0" w:color="auto"/>
        <w:left w:val="none" w:sz="0" w:space="0" w:color="auto"/>
        <w:bottom w:val="none" w:sz="0" w:space="0" w:color="auto"/>
        <w:right w:val="none" w:sz="0" w:space="0" w:color="auto"/>
      </w:divBdr>
    </w:div>
    <w:div w:id="529415531">
      <w:bodyDiv w:val="1"/>
      <w:marLeft w:val="0"/>
      <w:marRight w:val="0"/>
      <w:marTop w:val="0"/>
      <w:marBottom w:val="0"/>
      <w:divBdr>
        <w:top w:val="none" w:sz="0" w:space="0" w:color="auto"/>
        <w:left w:val="none" w:sz="0" w:space="0" w:color="auto"/>
        <w:bottom w:val="none" w:sz="0" w:space="0" w:color="auto"/>
        <w:right w:val="none" w:sz="0" w:space="0" w:color="auto"/>
      </w:divBdr>
    </w:div>
    <w:div w:id="529998369">
      <w:bodyDiv w:val="1"/>
      <w:marLeft w:val="0"/>
      <w:marRight w:val="0"/>
      <w:marTop w:val="0"/>
      <w:marBottom w:val="0"/>
      <w:divBdr>
        <w:top w:val="none" w:sz="0" w:space="0" w:color="auto"/>
        <w:left w:val="none" w:sz="0" w:space="0" w:color="auto"/>
        <w:bottom w:val="none" w:sz="0" w:space="0" w:color="auto"/>
        <w:right w:val="none" w:sz="0" w:space="0" w:color="auto"/>
      </w:divBdr>
    </w:div>
    <w:div w:id="530263911">
      <w:bodyDiv w:val="1"/>
      <w:marLeft w:val="0"/>
      <w:marRight w:val="0"/>
      <w:marTop w:val="0"/>
      <w:marBottom w:val="0"/>
      <w:divBdr>
        <w:top w:val="none" w:sz="0" w:space="0" w:color="auto"/>
        <w:left w:val="none" w:sz="0" w:space="0" w:color="auto"/>
        <w:bottom w:val="none" w:sz="0" w:space="0" w:color="auto"/>
        <w:right w:val="none" w:sz="0" w:space="0" w:color="auto"/>
      </w:divBdr>
    </w:div>
    <w:div w:id="530580625">
      <w:bodyDiv w:val="1"/>
      <w:marLeft w:val="0"/>
      <w:marRight w:val="0"/>
      <w:marTop w:val="0"/>
      <w:marBottom w:val="0"/>
      <w:divBdr>
        <w:top w:val="none" w:sz="0" w:space="0" w:color="auto"/>
        <w:left w:val="none" w:sz="0" w:space="0" w:color="auto"/>
        <w:bottom w:val="none" w:sz="0" w:space="0" w:color="auto"/>
        <w:right w:val="none" w:sz="0" w:space="0" w:color="auto"/>
      </w:divBdr>
    </w:div>
    <w:div w:id="530999478">
      <w:bodyDiv w:val="1"/>
      <w:marLeft w:val="0"/>
      <w:marRight w:val="0"/>
      <w:marTop w:val="0"/>
      <w:marBottom w:val="0"/>
      <w:divBdr>
        <w:top w:val="none" w:sz="0" w:space="0" w:color="auto"/>
        <w:left w:val="none" w:sz="0" w:space="0" w:color="auto"/>
        <w:bottom w:val="none" w:sz="0" w:space="0" w:color="auto"/>
        <w:right w:val="none" w:sz="0" w:space="0" w:color="auto"/>
      </w:divBdr>
    </w:div>
    <w:div w:id="531266548">
      <w:bodyDiv w:val="1"/>
      <w:marLeft w:val="0"/>
      <w:marRight w:val="0"/>
      <w:marTop w:val="0"/>
      <w:marBottom w:val="0"/>
      <w:divBdr>
        <w:top w:val="none" w:sz="0" w:space="0" w:color="auto"/>
        <w:left w:val="none" w:sz="0" w:space="0" w:color="auto"/>
        <w:bottom w:val="none" w:sz="0" w:space="0" w:color="auto"/>
        <w:right w:val="none" w:sz="0" w:space="0" w:color="auto"/>
      </w:divBdr>
    </w:div>
    <w:div w:id="531501892">
      <w:bodyDiv w:val="1"/>
      <w:marLeft w:val="0"/>
      <w:marRight w:val="0"/>
      <w:marTop w:val="0"/>
      <w:marBottom w:val="0"/>
      <w:divBdr>
        <w:top w:val="none" w:sz="0" w:space="0" w:color="auto"/>
        <w:left w:val="none" w:sz="0" w:space="0" w:color="auto"/>
        <w:bottom w:val="none" w:sz="0" w:space="0" w:color="auto"/>
        <w:right w:val="none" w:sz="0" w:space="0" w:color="auto"/>
      </w:divBdr>
    </w:div>
    <w:div w:id="531505179">
      <w:bodyDiv w:val="1"/>
      <w:marLeft w:val="0"/>
      <w:marRight w:val="0"/>
      <w:marTop w:val="0"/>
      <w:marBottom w:val="0"/>
      <w:divBdr>
        <w:top w:val="none" w:sz="0" w:space="0" w:color="auto"/>
        <w:left w:val="none" w:sz="0" w:space="0" w:color="auto"/>
        <w:bottom w:val="none" w:sz="0" w:space="0" w:color="auto"/>
        <w:right w:val="none" w:sz="0" w:space="0" w:color="auto"/>
      </w:divBdr>
    </w:div>
    <w:div w:id="531722303">
      <w:bodyDiv w:val="1"/>
      <w:marLeft w:val="0"/>
      <w:marRight w:val="0"/>
      <w:marTop w:val="0"/>
      <w:marBottom w:val="0"/>
      <w:divBdr>
        <w:top w:val="none" w:sz="0" w:space="0" w:color="auto"/>
        <w:left w:val="none" w:sz="0" w:space="0" w:color="auto"/>
        <w:bottom w:val="none" w:sz="0" w:space="0" w:color="auto"/>
        <w:right w:val="none" w:sz="0" w:space="0" w:color="auto"/>
      </w:divBdr>
    </w:div>
    <w:div w:id="531920648">
      <w:bodyDiv w:val="1"/>
      <w:marLeft w:val="0"/>
      <w:marRight w:val="0"/>
      <w:marTop w:val="0"/>
      <w:marBottom w:val="0"/>
      <w:divBdr>
        <w:top w:val="none" w:sz="0" w:space="0" w:color="auto"/>
        <w:left w:val="none" w:sz="0" w:space="0" w:color="auto"/>
        <w:bottom w:val="none" w:sz="0" w:space="0" w:color="auto"/>
        <w:right w:val="none" w:sz="0" w:space="0" w:color="auto"/>
      </w:divBdr>
    </w:div>
    <w:div w:id="532039966">
      <w:bodyDiv w:val="1"/>
      <w:marLeft w:val="0"/>
      <w:marRight w:val="0"/>
      <w:marTop w:val="0"/>
      <w:marBottom w:val="0"/>
      <w:divBdr>
        <w:top w:val="none" w:sz="0" w:space="0" w:color="auto"/>
        <w:left w:val="none" w:sz="0" w:space="0" w:color="auto"/>
        <w:bottom w:val="none" w:sz="0" w:space="0" w:color="auto"/>
        <w:right w:val="none" w:sz="0" w:space="0" w:color="auto"/>
      </w:divBdr>
    </w:div>
    <w:div w:id="532768064">
      <w:bodyDiv w:val="1"/>
      <w:marLeft w:val="0"/>
      <w:marRight w:val="0"/>
      <w:marTop w:val="0"/>
      <w:marBottom w:val="0"/>
      <w:divBdr>
        <w:top w:val="none" w:sz="0" w:space="0" w:color="auto"/>
        <w:left w:val="none" w:sz="0" w:space="0" w:color="auto"/>
        <w:bottom w:val="none" w:sz="0" w:space="0" w:color="auto"/>
        <w:right w:val="none" w:sz="0" w:space="0" w:color="auto"/>
      </w:divBdr>
    </w:div>
    <w:div w:id="533617696">
      <w:bodyDiv w:val="1"/>
      <w:marLeft w:val="0"/>
      <w:marRight w:val="0"/>
      <w:marTop w:val="0"/>
      <w:marBottom w:val="0"/>
      <w:divBdr>
        <w:top w:val="none" w:sz="0" w:space="0" w:color="auto"/>
        <w:left w:val="none" w:sz="0" w:space="0" w:color="auto"/>
        <w:bottom w:val="none" w:sz="0" w:space="0" w:color="auto"/>
        <w:right w:val="none" w:sz="0" w:space="0" w:color="auto"/>
      </w:divBdr>
    </w:div>
    <w:div w:id="533805792">
      <w:bodyDiv w:val="1"/>
      <w:marLeft w:val="0"/>
      <w:marRight w:val="0"/>
      <w:marTop w:val="0"/>
      <w:marBottom w:val="0"/>
      <w:divBdr>
        <w:top w:val="none" w:sz="0" w:space="0" w:color="auto"/>
        <w:left w:val="none" w:sz="0" w:space="0" w:color="auto"/>
        <w:bottom w:val="none" w:sz="0" w:space="0" w:color="auto"/>
        <w:right w:val="none" w:sz="0" w:space="0" w:color="auto"/>
      </w:divBdr>
    </w:div>
    <w:div w:id="533928963">
      <w:bodyDiv w:val="1"/>
      <w:marLeft w:val="0"/>
      <w:marRight w:val="0"/>
      <w:marTop w:val="0"/>
      <w:marBottom w:val="0"/>
      <w:divBdr>
        <w:top w:val="none" w:sz="0" w:space="0" w:color="auto"/>
        <w:left w:val="none" w:sz="0" w:space="0" w:color="auto"/>
        <w:bottom w:val="none" w:sz="0" w:space="0" w:color="auto"/>
        <w:right w:val="none" w:sz="0" w:space="0" w:color="auto"/>
      </w:divBdr>
    </w:div>
    <w:div w:id="534196691">
      <w:bodyDiv w:val="1"/>
      <w:marLeft w:val="0"/>
      <w:marRight w:val="0"/>
      <w:marTop w:val="0"/>
      <w:marBottom w:val="0"/>
      <w:divBdr>
        <w:top w:val="none" w:sz="0" w:space="0" w:color="auto"/>
        <w:left w:val="none" w:sz="0" w:space="0" w:color="auto"/>
        <w:bottom w:val="none" w:sz="0" w:space="0" w:color="auto"/>
        <w:right w:val="none" w:sz="0" w:space="0" w:color="auto"/>
      </w:divBdr>
    </w:div>
    <w:div w:id="535503558">
      <w:bodyDiv w:val="1"/>
      <w:marLeft w:val="0"/>
      <w:marRight w:val="0"/>
      <w:marTop w:val="0"/>
      <w:marBottom w:val="0"/>
      <w:divBdr>
        <w:top w:val="none" w:sz="0" w:space="0" w:color="auto"/>
        <w:left w:val="none" w:sz="0" w:space="0" w:color="auto"/>
        <w:bottom w:val="none" w:sz="0" w:space="0" w:color="auto"/>
        <w:right w:val="none" w:sz="0" w:space="0" w:color="auto"/>
      </w:divBdr>
    </w:div>
    <w:div w:id="536242488">
      <w:bodyDiv w:val="1"/>
      <w:marLeft w:val="0"/>
      <w:marRight w:val="0"/>
      <w:marTop w:val="0"/>
      <w:marBottom w:val="0"/>
      <w:divBdr>
        <w:top w:val="none" w:sz="0" w:space="0" w:color="auto"/>
        <w:left w:val="none" w:sz="0" w:space="0" w:color="auto"/>
        <w:bottom w:val="none" w:sz="0" w:space="0" w:color="auto"/>
        <w:right w:val="none" w:sz="0" w:space="0" w:color="auto"/>
      </w:divBdr>
    </w:div>
    <w:div w:id="536549168">
      <w:bodyDiv w:val="1"/>
      <w:marLeft w:val="0"/>
      <w:marRight w:val="0"/>
      <w:marTop w:val="0"/>
      <w:marBottom w:val="0"/>
      <w:divBdr>
        <w:top w:val="none" w:sz="0" w:space="0" w:color="auto"/>
        <w:left w:val="none" w:sz="0" w:space="0" w:color="auto"/>
        <w:bottom w:val="none" w:sz="0" w:space="0" w:color="auto"/>
        <w:right w:val="none" w:sz="0" w:space="0" w:color="auto"/>
      </w:divBdr>
    </w:div>
    <w:div w:id="537165420">
      <w:bodyDiv w:val="1"/>
      <w:marLeft w:val="0"/>
      <w:marRight w:val="0"/>
      <w:marTop w:val="0"/>
      <w:marBottom w:val="0"/>
      <w:divBdr>
        <w:top w:val="none" w:sz="0" w:space="0" w:color="auto"/>
        <w:left w:val="none" w:sz="0" w:space="0" w:color="auto"/>
        <w:bottom w:val="none" w:sz="0" w:space="0" w:color="auto"/>
        <w:right w:val="none" w:sz="0" w:space="0" w:color="auto"/>
      </w:divBdr>
    </w:div>
    <w:div w:id="537208340">
      <w:bodyDiv w:val="1"/>
      <w:marLeft w:val="0"/>
      <w:marRight w:val="0"/>
      <w:marTop w:val="0"/>
      <w:marBottom w:val="0"/>
      <w:divBdr>
        <w:top w:val="none" w:sz="0" w:space="0" w:color="auto"/>
        <w:left w:val="none" w:sz="0" w:space="0" w:color="auto"/>
        <w:bottom w:val="none" w:sz="0" w:space="0" w:color="auto"/>
        <w:right w:val="none" w:sz="0" w:space="0" w:color="auto"/>
      </w:divBdr>
    </w:div>
    <w:div w:id="538470715">
      <w:bodyDiv w:val="1"/>
      <w:marLeft w:val="0"/>
      <w:marRight w:val="0"/>
      <w:marTop w:val="0"/>
      <w:marBottom w:val="0"/>
      <w:divBdr>
        <w:top w:val="none" w:sz="0" w:space="0" w:color="auto"/>
        <w:left w:val="none" w:sz="0" w:space="0" w:color="auto"/>
        <w:bottom w:val="none" w:sz="0" w:space="0" w:color="auto"/>
        <w:right w:val="none" w:sz="0" w:space="0" w:color="auto"/>
      </w:divBdr>
    </w:div>
    <w:div w:id="539439819">
      <w:bodyDiv w:val="1"/>
      <w:marLeft w:val="0"/>
      <w:marRight w:val="0"/>
      <w:marTop w:val="0"/>
      <w:marBottom w:val="0"/>
      <w:divBdr>
        <w:top w:val="none" w:sz="0" w:space="0" w:color="auto"/>
        <w:left w:val="none" w:sz="0" w:space="0" w:color="auto"/>
        <w:bottom w:val="none" w:sz="0" w:space="0" w:color="auto"/>
        <w:right w:val="none" w:sz="0" w:space="0" w:color="auto"/>
      </w:divBdr>
    </w:div>
    <w:div w:id="539779275">
      <w:bodyDiv w:val="1"/>
      <w:marLeft w:val="0"/>
      <w:marRight w:val="0"/>
      <w:marTop w:val="0"/>
      <w:marBottom w:val="0"/>
      <w:divBdr>
        <w:top w:val="none" w:sz="0" w:space="0" w:color="auto"/>
        <w:left w:val="none" w:sz="0" w:space="0" w:color="auto"/>
        <w:bottom w:val="none" w:sz="0" w:space="0" w:color="auto"/>
        <w:right w:val="none" w:sz="0" w:space="0" w:color="auto"/>
      </w:divBdr>
    </w:div>
    <w:div w:id="540048561">
      <w:bodyDiv w:val="1"/>
      <w:marLeft w:val="0"/>
      <w:marRight w:val="0"/>
      <w:marTop w:val="0"/>
      <w:marBottom w:val="0"/>
      <w:divBdr>
        <w:top w:val="none" w:sz="0" w:space="0" w:color="auto"/>
        <w:left w:val="none" w:sz="0" w:space="0" w:color="auto"/>
        <w:bottom w:val="none" w:sz="0" w:space="0" w:color="auto"/>
        <w:right w:val="none" w:sz="0" w:space="0" w:color="auto"/>
      </w:divBdr>
    </w:div>
    <w:div w:id="540634380">
      <w:bodyDiv w:val="1"/>
      <w:marLeft w:val="0"/>
      <w:marRight w:val="0"/>
      <w:marTop w:val="0"/>
      <w:marBottom w:val="0"/>
      <w:divBdr>
        <w:top w:val="none" w:sz="0" w:space="0" w:color="auto"/>
        <w:left w:val="none" w:sz="0" w:space="0" w:color="auto"/>
        <w:bottom w:val="none" w:sz="0" w:space="0" w:color="auto"/>
        <w:right w:val="none" w:sz="0" w:space="0" w:color="auto"/>
      </w:divBdr>
    </w:div>
    <w:div w:id="541093837">
      <w:bodyDiv w:val="1"/>
      <w:marLeft w:val="0"/>
      <w:marRight w:val="0"/>
      <w:marTop w:val="0"/>
      <w:marBottom w:val="0"/>
      <w:divBdr>
        <w:top w:val="none" w:sz="0" w:space="0" w:color="auto"/>
        <w:left w:val="none" w:sz="0" w:space="0" w:color="auto"/>
        <w:bottom w:val="none" w:sz="0" w:space="0" w:color="auto"/>
        <w:right w:val="none" w:sz="0" w:space="0" w:color="auto"/>
      </w:divBdr>
    </w:div>
    <w:div w:id="541329524">
      <w:bodyDiv w:val="1"/>
      <w:marLeft w:val="0"/>
      <w:marRight w:val="0"/>
      <w:marTop w:val="0"/>
      <w:marBottom w:val="0"/>
      <w:divBdr>
        <w:top w:val="none" w:sz="0" w:space="0" w:color="auto"/>
        <w:left w:val="none" w:sz="0" w:space="0" w:color="auto"/>
        <w:bottom w:val="none" w:sz="0" w:space="0" w:color="auto"/>
        <w:right w:val="none" w:sz="0" w:space="0" w:color="auto"/>
      </w:divBdr>
    </w:div>
    <w:div w:id="541406509">
      <w:bodyDiv w:val="1"/>
      <w:marLeft w:val="0"/>
      <w:marRight w:val="0"/>
      <w:marTop w:val="0"/>
      <w:marBottom w:val="0"/>
      <w:divBdr>
        <w:top w:val="none" w:sz="0" w:space="0" w:color="auto"/>
        <w:left w:val="none" w:sz="0" w:space="0" w:color="auto"/>
        <w:bottom w:val="none" w:sz="0" w:space="0" w:color="auto"/>
        <w:right w:val="none" w:sz="0" w:space="0" w:color="auto"/>
      </w:divBdr>
    </w:div>
    <w:div w:id="541598268">
      <w:bodyDiv w:val="1"/>
      <w:marLeft w:val="0"/>
      <w:marRight w:val="0"/>
      <w:marTop w:val="0"/>
      <w:marBottom w:val="0"/>
      <w:divBdr>
        <w:top w:val="none" w:sz="0" w:space="0" w:color="auto"/>
        <w:left w:val="none" w:sz="0" w:space="0" w:color="auto"/>
        <w:bottom w:val="none" w:sz="0" w:space="0" w:color="auto"/>
        <w:right w:val="none" w:sz="0" w:space="0" w:color="auto"/>
      </w:divBdr>
    </w:div>
    <w:div w:id="542333654">
      <w:bodyDiv w:val="1"/>
      <w:marLeft w:val="0"/>
      <w:marRight w:val="0"/>
      <w:marTop w:val="0"/>
      <w:marBottom w:val="0"/>
      <w:divBdr>
        <w:top w:val="none" w:sz="0" w:space="0" w:color="auto"/>
        <w:left w:val="none" w:sz="0" w:space="0" w:color="auto"/>
        <w:bottom w:val="none" w:sz="0" w:space="0" w:color="auto"/>
        <w:right w:val="none" w:sz="0" w:space="0" w:color="auto"/>
      </w:divBdr>
    </w:div>
    <w:div w:id="542443341">
      <w:bodyDiv w:val="1"/>
      <w:marLeft w:val="0"/>
      <w:marRight w:val="0"/>
      <w:marTop w:val="0"/>
      <w:marBottom w:val="0"/>
      <w:divBdr>
        <w:top w:val="none" w:sz="0" w:space="0" w:color="auto"/>
        <w:left w:val="none" w:sz="0" w:space="0" w:color="auto"/>
        <w:bottom w:val="none" w:sz="0" w:space="0" w:color="auto"/>
        <w:right w:val="none" w:sz="0" w:space="0" w:color="auto"/>
      </w:divBdr>
    </w:div>
    <w:div w:id="542787750">
      <w:bodyDiv w:val="1"/>
      <w:marLeft w:val="0"/>
      <w:marRight w:val="0"/>
      <w:marTop w:val="0"/>
      <w:marBottom w:val="0"/>
      <w:divBdr>
        <w:top w:val="none" w:sz="0" w:space="0" w:color="auto"/>
        <w:left w:val="none" w:sz="0" w:space="0" w:color="auto"/>
        <w:bottom w:val="none" w:sz="0" w:space="0" w:color="auto"/>
        <w:right w:val="none" w:sz="0" w:space="0" w:color="auto"/>
      </w:divBdr>
    </w:div>
    <w:div w:id="543179421">
      <w:bodyDiv w:val="1"/>
      <w:marLeft w:val="0"/>
      <w:marRight w:val="0"/>
      <w:marTop w:val="0"/>
      <w:marBottom w:val="0"/>
      <w:divBdr>
        <w:top w:val="none" w:sz="0" w:space="0" w:color="auto"/>
        <w:left w:val="none" w:sz="0" w:space="0" w:color="auto"/>
        <w:bottom w:val="none" w:sz="0" w:space="0" w:color="auto"/>
        <w:right w:val="none" w:sz="0" w:space="0" w:color="auto"/>
      </w:divBdr>
    </w:div>
    <w:div w:id="543951074">
      <w:bodyDiv w:val="1"/>
      <w:marLeft w:val="0"/>
      <w:marRight w:val="0"/>
      <w:marTop w:val="0"/>
      <w:marBottom w:val="0"/>
      <w:divBdr>
        <w:top w:val="none" w:sz="0" w:space="0" w:color="auto"/>
        <w:left w:val="none" w:sz="0" w:space="0" w:color="auto"/>
        <w:bottom w:val="none" w:sz="0" w:space="0" w:color="auto"/>
        <w:right w:val="none" w:sz="0" w:space="0" w:color="auto"/>
      </w:divBdr>
    </w:div>
    <w:div w:id="543978820">
      <w:bodyDiv w:val="1"/>
      <w:marLeft w:val="0"/>
      <w:marRight w:val="0"/>
      <w:marTop w:val="0"/>
      <w:marBottom w:val="0"/>
      <w:divBdr>
        <w:top w:val="none" w:sz="0" w:space="0" w:color="auto"/>
        <w:left w:val="none" w:sz="0" w:space="0" w:color="auto"/>
        <w:bottom w:val="none" w:sz="0" w:space="0" w:color="auto"/>
        <w:right w:val="none" w:sz="0" w:space="0" w:color="auto"/>
      </w:divBdr>
    </w:div>
    <w:div w:id="544103286">
      <w:bodyDiv w:val="1"/>
      <w:marLeft w:val="0"/>
      <w:marRight w:val="0"/>
      <w:marTop w:val="0"/>
      <w:marBottom w:val="0"/>
      <w:divBdr>
        <w:top w:val="none" w:sz="0" w:space="0" w:color="auto"/>
        <w:left w:val="none" w:sz="0" w:space="0" w:color="auto"/>
        <w:bottom w:val="none" w:sz="0" w:space="0" w:color="auto"/>
        <w:right w:val="none" w:sz="0" w:space="0" w:color="auto"/>
      </w:divBdr>
    </w:div>
    <w:div w:id="544415891">
      <w:bodyDiv w:val="1"/>
      <w:marLeft w:val="0"/>
      <w:marRight w:val="0"/>
      <w:marTop w:val="0"/>
      <w:marBottom w:val="0"/>
      <w:divBdr>
        <w:top w:val="none" w:sz="0" w:space="0" w:color="auto"/>
        <w:left w:val="none" w:sz="0" w:space="0" w:color="auto"/>
        <w:bottom w:val="none" w:sz="0" w:space="0" w:color="auto"/>
        <w:right w:val="none" w:sz="0" w:space="0" w:color="auto"/>
      </w:divBdr>
    </w:div>
    <w:div w:id="545413795">
      <w:bodyDiv w:val="1"/>
      <w:marLeft w:val="0"/>
      <w:marRight w:val="0"/>
      <w:marTop w:val="0"/>
      <w:marBottom w:val="0"/>
      <w:divBdr>
        <w:top w:val="none" w:sz="0" w:space="0" w:color="auto"/>
        <w:left w:val="none" w:sz="0" w:space="0" w:color="auto"/>
        <w:bottom w:val="none" w:sz="0" w:space="0" w:color="auto"/>
        <w:right w:val="none" w:sz="0" w:space="0" w:color="auto"/>
      </w:divBdr>
    </w:div>
    <w:div w:id="545794305">
      <w:bodyDiv w:val="1"/>
      <w:marLeft w:val="0"/>
      <w:marRight w:val="0"/>
      <w:marTop w:val="0"/>
      <w:marBottom w:val="0"/>
      <w:divBdr>
        <w:top w:val="none" w:sz="0" w:space="0" w:color="auto"/>
        <w:left w:val="none" w:sz="0" w:space="0" w:color="auto"/>
        <w:bottom w:val="none" w:sz="0" w:space="0" w:color="auto"/>
        <w:right w:val="none" w:sz="0" w:space="0" w:color="auto"/>
      </w:divBdr>
    </w:div>
    <w:div w:id="545873617">
      <w:bodyDiv w:val="1"/>
      <w:marLeft w:val="0"/>
      <w:marRight w:val="0"/>
      <w:marTop w:val="0"/>
      <w:marBottom w:val="0"/>
      <w:divBdr>
        <w:top w:val="none" w:sz="0" w:space="0" w:color="auto"/>
        <w:left w:val="none" w:sz="0" w:space="0" w:color="auto"/>
        <w:bottom w:val="none" w:sz="0" w:space="0" w:color="auto"/>
        <w:right w:val="none" w:sz="0" w:space="0" w:color="auto"/>
      </w:divBdr>
    </w:div>
    <w:div w:id="545875264">
      <w:bodyDiv w:val="1"/>
      <w:marLeft w:val="0"/>
      <w:marRight w:val="0"/>
      <w:marTop w:val="0"/>
      <w:marBottom w:val="0"/>
      <w:divBdr>
        <w:top w:val="none" w:sz="0" w:space="0" w:color="auto"/>
        <w:left w:val="none" w:sz="0" w:space="0" w:color="auto"/>
        <w:bottom w:val="none" w:sz="0" w:space="0" w:color="auto"/>
        <w:right w:val="none" w:sz="0" w:space="0" w:color="auto"/>
      </w:divBdr>
    </w:div>
    <w:div w:id="545875807">
      <w:bodyDiv w:val="1"/>
      <w:marLeft w:val="0"/>
      <w:marRight w:val="0"/>
      <w:marTop w:val="0"/>
      <w:marBottom w:val="0"/>
      <w:divBdr>
        <w:top w:val="none" w:sz="0" w:space="0" w:color="auto"/>
        <w:left w:val="none" w:sz="0" w:space="0" w:color="auto"/>
        <w:bottom w:val="none" w:sz="0" w:space="0" w:color="auto"/>
        <w:right w:val="none" w:sz="0" w:space="0" w:color="auto"/>
      </w:divBdr>
    </w:div>
    <w:div w:id="546338890">
      <w:bodyDiv w:val="1"/>
      <w:marLeft w:val="0"/>
      <w:marRight w:val="0"/>
      <w:marTop w:val="0"/>
      <w:marBottom w:val="0"/>
      <w:divBdr>
        <w:top w:val="none" w:sz="0" w:space="0" w:color="auto"/>
        <w:left w:val="none" w:sz="0" w:space="0" w:color="auto"/>
        <w:bottom w:val="none" w:sz="0" w:space="0" w:color="auto"/>
        <w:right w:val="none" w:sz="0" w:space="0" w:color="auto"/>
      </w:divBdr>
    </w:div>
    <w:div w:id="546456268">
      <w:bodyDiv w:val="1"/>
      <w:marLeft w:val="0"/>
      <w:marRight w:val="0"/>
      <w:marTop w:val="0"/>
      <w:marBottom w:val="0"/>
      <w:divBdr>
        <w:top w:val="none" w:sz="0" w:space="0" w:color="auto"/>
        <w:left w:val="none" w:sz="0" w:space="0" w:color="auto"/>
        <w:bottom w:val="none" w:sz="0" w:space="0" w:color="auto"/>
        <w:right w:val="none" w:sz="0" w:space="0" w:color="auto"/>
      </w:divBdr>
    </w:div>
    <w:div w:id="546527049">
      <w:bodyDiv w:val="1"/>
      <w:marLeft w:val="0"/>
      <w:marRight w:val="0"/>
      <w:marTop w:val="0"/>
      <w:marBottom w:val="0"/>
      <w:divBdr>
        <w:top w:val="none" w:sz="0" w:space="0" w:color="auto"/>
        <w:left w:val="none" w:sz="0" w:space="0" w:color="auto"/>
        <w:bottom w:val="none" w:sz="0" w:space="0" w:color="auto"/>
        <w:right w:val="none" w:sz="0" w:space="0" w:color="auto"/>
      </w:divBdr>
    </w:div>
    <w:div w:id="547839714">
      <w:bodyDiv w:val="1"/>
      <w:marLeft w:val="0"/>
      <w:marRight w:val="0"/>
      <w:marTop w:val="0"/>
      <w:marBottom w:val="0"/>
      <w:divBdr>
        <w:top w:val="none" w:sz="0" w:space="0" w:color="auto"/>
        <w:left w:val="none" w:sz="0" w:space="0" w:color="auto"/>
        <w:bottom w:val="none" w:sz="0" w:space="0" w:color="auto"/>
        <w:right w:val="none" w:sz="0" w:space="0" w:color="auto"/>
      </w:divBdr>
    </w:div>
    <w:div w:id="547960547">
      <w:bodyDiv w:val="1"/>
      <w:marLeft w:val="0"/>
      <w:marRight w:val="0"/>
      <w:marTop w:val="0"/>
      <w:marBottom w:val="0"/>
      <w:divBdr>
        <w:top w:val="none" w:sz="0" w:space="0" w:color="auto"/>
        <w:left w:val="none" w:sz="0" w:space="0" w:color="auto"/>
        <w:bottom w:val="none" w:sz="0" w:space="0" w:color="auto"/>
        <w:right w:val="none" w:sz="0" w:space="0" w:color="auto"/>
      </w:divBdr>
    </w:div>
    <w:div w:id="548490763">
      <w:bodyDiv w:val="1"/>
      <w:marLeft w:val="0"/>
      <w:marRight w:val="0"/>
      <w:marTop w:val="0"/>
      <w:marBottom w:val="0"/>
      <w:divBdr>
        <w:top w:val="none" w:sz="0" w:space="0" w:color="auto"/>
        <w:left w:val="none" w:sz="0" w:space="0" w:color="auto"/>
        <w:bottom w:val="none" w:sz="0" w:space="0" w:color="auto"/>
        <w:right w:val="none" w:sz="0" w:space="0" w:color="auto"/>
      </w:divBdr>
    </w:div>
    <w:div w:id="548493037">
      <w:bodyDiv w:val="1"/>
      <w:marLeft w:val="0"/>
      <w:marRight w:val="0"/>
      <w:marTop w:val="0"/>
      <w:marBottom w:val="0"/>
      <w:divBdr>
        <w:top w:val="none" w:sz="0" w:space="0" w:color="auto"/>
        <w:left w:val="none" w:sz="0" w:space="0" w:color="auto"/>
        <w:bottom w:val="none" w:sz="0" w:space="0" w:color="auto"/>
        <w:right w:val="none" w:sz="0" w:space="0" w:color="auto"/>
      </w:divBdr>
    </w:div>
    <w:div w:id="548610766">
      <w:bodyDiv w:val="1"/>
      <w:marLeft w:val="0"/>
      <w:marRight w:val="0"/>
      <w:marTop w:val="0"/>
      <w:marBottom w:val="0"/>
      <w:divBdr>
        <w:top w:val="none" w:sz="0" w:space="0" w:color="auto"/>
        <w:left w:val="none" w:sz="0" w:space="0" w:color="auto"/>
        <w:bottom w:val="none" w:sz="0" w:space="0" w:color="auto"/>
        <w:right w:val="none" w:sz="0" w:space="0" w:color="auto"/>
      </w:divBdr>
    </w:div>
    <w:div w:id="549078312">
      <w:bodyDiv w:val="1"/>
      <w:marLeft w:val="0"/>
      <w:marRight w:val="0"/>
      <w:marTop w:val="0"/>
      <w:marBottom w:val="0"/>
      <w:divBdr>
        <w:top w:val="none" w:sz="0" w:space="0" w:color="auto"/>
        <w:left w:val="none" w:sz="0" w:space="0" w:color="auto"/>
        <w:bottom w:val="none" w:sz="0" w:space="0" w:color="auto"/>
        <w:right w:val="none" w:sz="0" w:space="0" w:color="auto"/>
      </w:divBdr>
    </w:div>
    <w:div w:id="549346904">
      <w:bodyDiv w:val="1"/>
      <w:marLeft w:val="0"/>
      <w:marRight w:val="0"/>
      <w:marTop w:val="0"/>
      <w:marBottom w:val="0"/>
      <w:divBdr>
        <w:top w:val="none" w:sz="0" w:space="0" w:color="auto"/>
        <w:left w:val="none" w:sz="0" w:space="0" w:color="auto"/>
        <w:bottom w:val="none" w:sz="0" w:space="0" w:color="auto"/>
        <w:right w:val="none" w:sz="0" w:space="0" w:color="auto"/>
      </w:divBdr>
    </w:div>
    <w:div w:id="549534640">
      <w:bodyDiv w:val="1"/>
      <w:marLeft w:val="0"/>
      <w:marRight w:val="0"/>
      <w:marTop w:val="0"/>
      <w:marBottom w:val="0"/>
      <w:divBdr>
        <w:top w:val="none" w:sz="0" w:space="0" w:color="auto"/>
        <w:left w:val="none" w:sz="0" w:space="0" w:color="auto"/>
        <w:bottom w:val="none" w:sz="0" w:space="0" w:color="auto"/>
        <w:right w:val="none" w:sz="0" w:space="0" w:color="auto"/>
      </w:divBdr>
    </w:div>
    <w:div w:id="549535756">
      <w:bodyDiv w:val="1"/>
      <w:marLeft w:val="0"/>
      <w:marRight w:val="0"/>
      <w:marTop w:val="0"/>
      <w:marBottom w:val="0"/>
      <w:divBdr>
        <w:top w:val="none" w:sz="0" w:space="0" w:color="auto"/>
        <w:left w:val="none" w:sz="0" w:space="0" w:color="auto"/>
        <w:bottom w:val="none" w:sz="0" w:space="0" w:color="auto"/>
        <w:right w:val="none" w:sz="0" w:space="0" w:color="auto"/>
      </w:divBdr>
    </w:div>
    <w:div w:id="549616821">
      <w:bodyDiv w:val="1"/>
      <w:marLeft w:val="0"/>
      <w:marRight w:val="0"/>
      <w:marTop w:val="0"/>
      <w:marBottom w:val="0"/>
      <w:divBdr>
        <w:top w:val="none" w:sz="0" w:space="0" w:color="auto"/>
        <w:left w:val="none" w:sz="0" w:space="0" w:color="auto"/>
        <w:bottom w:val="none" w:sz="0" w:space="0" w:color="auto"/>
        <w:right w:val="none" w:sz="0" w:space="0" w:color="auto"/>
      </w:divBdr>
    </w:div>
    <w:div w:id="549851623">
      <w:bodyDiv w:val="1"/>
      <w:marLeft w:val="0"/>
      <w:marRight w:val="0"/>
      <w:marTop w:val="0"/>
      <w:marBottom w:val="0"/>
      <w:divBdr>
        <w:top w:val="none" w:sz="0" w:space="0" w:color="auto"/>
        <w:left w:val="none" w:sz="0" w:space="0" w:color="auto"/>
        <w:bottom w:val="none" w:sz="0" w:space="0" w:color="auto"/>
        <w:right w:val="none" w:sz="0" w:space="0" w:color="auto"/>
      </w:divBdr>
    </w:div>
    <w:div w:id="550189751">
      <w:bodyDiv w:val="1"/>
      <w:marLeft w:val="0"/>
      <w:marRight w:val="0"/>
      <w:marTop w:val="0"/>
      <w:marBottom w:val="0"/>
      <w:divBdr>
        <w:top w:val="none" w:sz="0" w:space="0" w:color="auto"/>
        <w:left w:val="none" w:sz="0" w:space="0" w:color="auto"/>
        <w:bottom w:val="none" w:sz="0" w:space="0" w:color="auto"/>
        <w:right w:val="none" w:sz="0" w:space="0" w:color="auto"/>
      </w:divBdr>
    </w:div>
    <w:div w:id="550190823">
      <w:bodyDiv w:val="1"/>
      <w:marLeft w:val="0"/>
      <w:marRight w:val="0"/>
      <w:marTop w:val="0"/>
      <w:marBottom w:val="0"/>
      <w:divBdr>
        <w:top w:val="none" w:sz="0" w:space="0" w:color="auto"/>
        <w:left w:val="none" w:sz="0" w:space="0" w:color="auto"/>
        <w:bottom w:val="none" w:sz="0" w:space="0" w:color="auto"/>
        <w:right w:val="none" w:sz="0" w:space="0" w:color="auto"/>
      </w:divBdr>
    </w:div>
    <w:div w:id="550312001">
      <w:bodyDiv w:val="1"/>
      <w:marLeft w:val="0"/>
      <w:marRight w:val="0"/>
      <w:marTop w:val="0"/>
      <w:marBottom w:val="0"/>
      <w:divBdr>
        <w:top w:val="none" w:sz="0" w:space="0" w:color="auto"/>
        <w:left w:val="none" w:sz="0" w:space="0" w:color="auto"/>
        <w:bottom w:val="none" w:sz="0" w:space="0" w:color="auto"/>
        <w:right w:val="none" w:sz="0" w:space="0" w:color="auto"/>
      </w:divBdr>
    </w:div>
    <w:div w:id="550964600">
      <w:bodyDiv w:val="1"/>
      <w:marLeft w:val="0"/>
      <w:marRight w:val="0"/>
      <w:marTop w:val="0"/>
      <w:marBottom w:val="0"/>
      <w:divBdr>
        <w:top w:val="none" w:sz="0" w:space="0" w:color="auto"/>
        <w:left w:val="none" w:sz="0" w:space="0" w:color="auto"/>
        <w:bottom w:val="none" w:sz="0" w:space="0" w:color="auto"/>
        <w:right w:val="none" w:sz="0" w:space="0" w:color="auto"/>
      </w:divBdr>
    </w:div>
    <w:div w:id="551501972">
      <w:bodyDiv w:val="1"/>
      <w:marLeft w:val="0"/>
      <w:marRight w:val="0"/>
      <w:marTop w:val="0"/>
      <w:marBottom w:val="0"/>
      <w:divBdr>
        <w:top w:val="none" w:sz="0" w:space="0" w:color="auto"/>
        <w:left w:val="none" w:sz="0" w:space="0" w:color="auto"/>
        <w:bottom w:val="none" w:sz="0" w:space="0" w:color="auto"/>
        <w:right w:val="none" w:sz="0" w:space="0" w:color="auto"/>
      </w:divBdr>
    </w:div>
    <w:div w:id="551578029">
      <w:bodyDiv w:val="1"/>
      <w:marLeft w:val="0"/>
      <w:marRight w:val="0"/>
      <w:marTop w:val="0"/>
      <w:marBottom w:val="0"/>
      <w:divBdr>
        <w:top w:val="none" w:sz="0" w:space="0" w:color="auto"/>
        <w:left w:val="none" w:sz="0" w:space="0" w:color="auto"/>
        <w:bottom w:val="none" w:sz="0" w:space="0" w:color="auto"/>
        <w:right w:val="none" w:sz="0" w:space="0" w:color="auto"/>
      </w:divBdr>
    </w:div>
    <w:div w:id="552161970">
      <w:bodyDiv w:val="1"/>
      <w:marLeft w:val="0"/>
      <w:marRight w:val="0"/>
      <w:marTop w:val="0"/>
      <w:marBottom w:val="0"/>
      <w:divBdr>
        <w:top w:val="none" w:sz="0" w:space="0" w:color="auto"/>
        <w:left w:val="none" w:sz="0" w:space="0" w:color="auto"/>
        <w:bottom w:val="none" w:sz="0" w:space="0" w:color="auto"/>
        <w:right w:val="none" w:sz="0" w:space="0" w:color="auto"/>
      </w:divBdr>
    </w:div>
    <w:div w:id="552232886">
      <w:bodyDiv w:val="1"/>
      <w:marLeft w:val="0"/>
      <w:marRight w:val="0"/>
      <w:marTop w:val="0"/>
      <w:marBottom w:val="0"/>
      <w:divBdr>
        <w:top w:val="none" w:sz="0" w:space="0" w:color="auto"/>
        <w:left w:val="none" w:sz="0" w:space="0" w:color="auto"/>
        <w:bottom w:val="none" w:sz="0" w:space="0" w:color="auto"/>
        <w:right w:val="none" w:sz="0" w:space="0" w:color="auto"/>
      </w:divBdr>
    </w:div>
    <w:div w:id="552622355">
      <w:bodyDiv w:val="1"/>
      <w:marLeft w:val="0"/>
      <w:marRight w:val="0"/>
      <w:marTop w:val="0"/>
      <w:marBottom w:val="0"/>
      <w:divBdr>
        <w:top w:val="none" w:sz="0" w:space="0" w:color="auto"/>
        <w:left w:val="none" w:sz="0" w:space="0" w:color="auto"/>
        <w:bottom w:val="none" w:sz="0" w:space="0" w:color="auto"/>
        <w:right w:val="none" w:sz="0" w:space="0" w:color="auto"/>
      </w:divBdr>
    </w:div>
    <w:div w:id="552737778">
      <w:bodyDiv w:val="1"/>
      <w:marLeft w:val="0"/>
      <w:marRight w:val="0"/>
      <w:marTop w:val="0"/>
      <w:marBottom w:val="0"/>
      <w:divBdr>
        <w:top w:val="none" w:sz="0" w:space="0" w:color="auto"/>
        <w:left w:val="none" w:sz="0" w:space="0" w:color="auto"/>
        <w:bottom w:val="none" w:sz="0" w:space="0" w:color="auto"/>
        <w:right w:val="none" w:sz="0" w:space="0" w:color="auto"/>
      </w:divBdr>
    </w:div>
    <w:div w:id="553078656">
      <w:bodyDiv w:val="1"/>
      <w:marLeft w:val="0"/>
      <w:marRight w:val="0"/>
      <w:marTop w:val="0"/>
      <w:marBottom w:val="0"/>
      <w:divBdr>
        <w:top w:val="none" w:sz="0" w:space="0" w:color="auto"/>
        <w:left w:val="none" w:sz="0" w:space="0" w:color="auto"/>
        <w:bottom w:val="none" w:sz="0" w:space="0" w:color="auto"/>
        <w:right w:val="none" w:sz="0" w:space="0" w:color="auto"/>
      </w:divBdr>
    </w:div>
    <w:div w:id="553739541">
      <w:bodyDiv w:val="1"/>
      <w:marLeft w:val="0"/>
      <w:marRight w:val="0"/>
      <w:marTop w:val="0"/>
      <w:marBottom w:val="0"/>
      <w:divBdr>
        <w:top w:val="none" w:sz="0" w:space="0" w:color="auto"/>
        <w:left w:val="none" w:sz="0" w:space="0" w:color="auto"/>
        <w:bottom w:val="none" w:sz="0" w:space="0" w:color="auto"/>
        <w:right w:val="none" w:sz="0" w:space="0" w:color="auto"/>
      </w:divBdr>
    </w:div>
    <w:div w:id="555626239">
      <w:bodyDiv w:val="1"/>
      <w:marLeft w:val="0"/>
      <w:marRight w:val="0"/>
      <w:marTop w:val="0"/>
      <w:marBottom w:val="0"/>
      <w:divBdr>
        <w:top w:val="none" w:sz="0" w:space="0" w:color="auto"/>
        <w:left w:val="none" w:sz="0" w:space="0" w:color="auto"/>
        <w:bottom w:val="none" w:sz="0" w:space="0" w:color="auto"/>
        <w:right w:val="none" w:sz="0" w:space="0" w:color="auto"/>
      </w:divBdr>
    </w:div>
    <w:div w:id="556160806">
      <w:bodyDiv w:val="1"/>
      <w:marLeft w:val="0"/>
      <w:marRight w:val="0"/>
      <w:marTop w:val="0"/>
      <w:marBottom w:val="0"/>
      <w:divBdr>
        <w:top w:val="none" w:sz="0" w:space="0" w:color="auto"/>
        <w:left w:val="none" w:sz="0" w:space="0" w:color="auto"/>
        <w:bottom w:val="none" w:sz="0" w:space="0" w:color="auto"/>
        <w:right w:val="none" w:sz="0" w:space="0" w:color="auto"/>
      </w:divBdr>
      <w:divsChild>
        <w:div w:id="136267498">
          <w:marLeft w:val="0"/>
          <w:marRight w:val="0"/>
          <w:marTop w:val="0"/>
          <w:marBottom w:val="0"/>
          <w:divBdr>
            <w:top w:val="none" w:sz="0" w:space="0" w:color="auto"/>
            <w:left w:val="none" w:sz="0" w:space="0" w:color="auto"/>
            <w:bottom w:val="none" w:sz="0" w:space="0" w:color="auto"/>
            <w:right w:val="none" w:sz="0" w:space="0" w:color="auto"/>
          </w:divBdr>
        </w:div>
      </w:divsChild>
    </w:div>
    <w:div w:id="556160902">
      <w:bodyDiv w:val="1"/>
      <w:marLeft w:val="0"/>
      <w:marRight w:val="0"/>
      <w:marTop w:val="0"/>
      <w:marBottom w:val="0"/>
      <w:divBdr>
        <w:top w:val="none" w:sz="0" w:space="0" w:color="auto"/>
        <w:left w:val="none" w:sz="0" w:space="0" w:color="auto"/>
        <w:bottom w:val="none" w:sz="0" w:space="0" w:color="auto"/>
        <w:right w:val="none" w:sz="0" w:space="0" w:color="auto"/>
      </w:divBdr>
    </w:div>
    <w:div w:id="557282963">
      <w:bodyDiv w:val="1"/>
      <w:marLeft w:val="0"/>
      <w:marRight w:val="0"/>
      <w:marTop w:val="0"/>
      <w:marBottom w:val="0"/>
      <w:divBdr>
        <w:top w:val="none" w:sz="0" w:space="0" w:color="auto"/>
        <w:left w:val="none" w:sz="0" w:space="0" w:color="auto"/>
        <w:bottom w:val="none" w:sz="0" w:space="0" w:color="auto"/>
        <w:right w:val="none" w:sz="0" w:space="0" w:color="auto"/>
      </w:divBdr>
    </w:div>
    <w:div w:id="557546189">
      <w:bodyDiv w:val="1"/>
      <w:marLeft w:val="0"/>
      <w:marRight w:val="0"/>
      <w:marTop w:val="0"/>
      <w:marBottom w:val="0"/>
      <w:divBdr>
        <w:top w:val="none" w:sz="0" w:space="0" w:color="auto"/>
        <w:left w:val="none" w:sz="0" w:space="0" w:color="auto"/>
        <w:bottom w:val="none" w:sz="0" w:space="0" w:color="auto"/>
        <w:right w:val="none" w:sz="0" w:space="0" w:color="auto"/>
      </w:divBdr>
    </w:div>
    <w:div w:id="558057465">
      <w:bodyDiv w:val="1"/>
      <w:marLeft w:val="0"/>
      <w:marRight w:val="0"/>
      <w:marTop w:val="0"/>
      <w:marBottom w:val="0"/>
      <w:divBdr>
        <w:top w:val="none" w:sz="0" w:space="0" w:color="auto"/>
        <w:left w:val="none" w:sz="0" w:space="0" w:color="auto"/>
        <w:bottom w:val="none" w:sz="0" w:space="0" w:color="auto"/>
        <w:right w:val="none" w:sz="0" w:space="0" w:color="auto"/>
      </w:divBdr>
    </w:div>
    <w:div w:id="558512585">
      <w:bodyDiv w:val="1"/>
      <w:marLeft w:val="0"/>
      <w:marRight w:val="0"/>
      <w:marTop w:val="0"/>
      <w:marBottom w:val="0"/>
      <w:divBdr>
        <w:top w:val="none" w:sz="0" w:space="0" w:color="auto"/>
        <w:left w:val="none" w:sz="0" w:space="0" w:color="auto"/>
        <w:bottom w:val="none" w:sz="0" w:space="0" w:color="auto"/>
        <w:right w:val="none" w:sz="0" w:space="0" w:color="auto"/>
      </w:divBdr>
    </w:div>
    <w:div w:id="559828734">
      <w:bodyDiv w:val="1"/>
      <w:marLeft w:val="0"/>
      <w:marRight w:val="0"/>
      <w:marTop w:val="0"/>
      <w:marBottom w:val="0"/>
      <w:divBdr>
        <w:top w:val="none" w:sz="0" w:space="0" w:color="auto"/>
        <w:left w:val="none" w:sz="0" w:space="0" w:color="auto"/>
        <w:bottom w:val="none" w:sz="0" w:space="0" w:color="auto"/>
        <w:right w:val="none" w:sz="0" w:space="0" w:color="auto"/>
      </w:divBdr>
    </w:div>
    <w:div w:id="560604961">
      <w:bodyDiv w:val="1"/>
      <w:marLeft w:val="0"/>
      <w:marRight w:val="0"/>
      <w:marTop w:val="0"/>
      <w:marBottom w:val="0"/>
      <w:divBdr>
        <w:top w:val="none" w:sz="0" w:space="0" w:color="auto"/>
        <w:left w:val="none" w:sz="0" w:space="0" w:color="auto"/>
        <w:bottom w:val="none" w:sz="0" w:space="0" w:color="auto"/>
        <w:right w:val="none" w:sz="0" w:space="0" w:color="auto"/>
      </w:divBdr>
    </w:div>
    <w:div w:id="560944085">
      <w:bodyDiv w:val="1"/>
      <w:marLeft w:val="0"/>
      <w:marRight w:val="0"/>
      <w:marTop w:val="0"/>
      <w:marBottom w:val="0"/>
      <w:divBdr>
        <w:top w:val="none" w:sz="0" w:space="0" w:color="auto"/>
        <w:left w:val="none" w:sz="0" w:space="0" w:color="auto"/>
        <w:bottom w:val="none" w:sz="0" w:space="0" w:color="auto"/>
        <w:right w:val="none" w:sz="0" w:space="0" w:color="auto"/>
      </w:divBdr>
    </w:div>
    <w:div w:id="561214429">
      <w:bodyDiv w:val="1"/>
      <w:marLeft w:val="0"/>
      <w:marRight w:val="0"/>
      <w:marTop w:val="0"/>
      <w:marBottom w:val="0"/>
      <w:divBdr>
        <w:top w:val="none" w:sz="0" w:space="0" w:color="auto"/>
        <w:left w:val="none" w:sz="0" w:space="0" w:color="auto"/>
        <w:bottom w:val="none" w:sz="0" w:space="0" w:color="auto"/>
        <w:right w:val="none" w:sz="0" w:space="0" w:color="auto"/>
      </w:divBdr>
    </w:div>
    <w:div w:id="562908966">
      <w:bodyDiv w:val="1"/>
      <w:marLeft w:val="0"/>
      <w:marRight w:val="0"/>
      <w:marTop w:val="0"/>
      <w:marBottom w:val="0"/>
      <w:divBdr>
        <w:top w:val="none" w:sz="0" w:space="0" w:color="auto"/>
        <w:left w:val="none" w:sz="0" w:space="0" w:color="auto"/>
        <w:bottom w:val="none" w:sz="0" w:space="0" w:color="auto"/>
        <w:right w:val="none" w:sz="0" w:space="0" w:color="auto"/>
      </w:divBdr>
    </w:div>
    <w:div w:id="563375870">
      <w:bodyDiv w:val="1"/>
      <w:marLeft w:val="0"/>
      <w:marRight w:val="0"/>
      <w:marTop w:val="0"/>
      <w:marBottom w:val="0"/>
      <w:divBdr>
        <w:top w:val="none" w:sz="0" w:space="0" w:color="auto"/>
        <w:left w:val="none" w:sz="0" w:space="0" w:color="auto"/>
        <w:bottom w:val="none" w:sz="0" w:space="0" w:color="auto"/>
        <w:right w:val="none" w:sz="0" w:space="0" w:color="auto"/>
      </w:divBdr>
    </w:div>
    <w:div w:id="564074151">
      <w:bodyDiv w:val="1"/>
      <w:marLeft w:val="0"/>
      <w:marRight w:val="0"/>
      <w:marTop w:val="0"/>
      <w:marBottom w:val="0"/>
      <w:divBdr>
        <w:top w:val="none" w:sz="0" w:space="0" w:color="auto"/>
        <w:left w:val="none" w:sz="0" w:space="0" w:color="auto"/>
        <w:bottom w:val="none" w:sz="0" w:space="0" w:color="auto"/>
        <w:right w:val="none" w:sz="0" w:space="0" w:color="auto"/>
      </w:divBdr>
    </w:div>
    <w:div w:id="564292279">
      <w:bodyDiv w:val="1"/>
      <w:marLeft w:val="0"/>
      <w:marRight w:val="0"/>
      <w:marTop w:val="0"/>
      <w:marBottom w:val="0"/>
      <w:divBdr>
        <w:top w:val="none" w:sz="0" w:space="0" w:color="auto"/>
        <w:left w:val="none" w:sz="0" w:space="0" w:color="auto"/>
        <w:bottom w:val="none" w:sz="0" w:space="0" w:color="auto"/>
        <w:right w:val="none" w:sz="0" w:space="0" w:color="auto"/>
      </w:divBdr>
    </w:div>
    <w:div w:id="564337282">
      <w:bodyDiv w:val="1"/>
      <w:marLeft w:val="0"/>
      <w:marRight w:val="0"/>
      <w:marTop w:val="0"/>
      <w:marBottom w:val="0"/>
      <w:divBdr>
        <w:top w:val="none" w:sz="0" w:space="0" w:color="auto"/>
        <w:left w:val="none" w:sz="0" w:space="0" w:color="auto"/>
        <w:bottom w:val="none" w:sz="0" w:space="0" w:color="auto"/>
        <w:right w:val="none" w:sz="0" w:space="0" w:color="auto"/>
      </w:divBdr>
    </w:div>
    <w:div w:id="564490803">
      <w:bodyDiv w:val="1"/>
      <w:marLeft w:val="0"/>
      <w:marRight w:val="0"/>
      <w:marTop w:val="0"/>
      <w:marBottom w:val="0"/>
      <w:divBdr>
        <w:top w:val="none" w:sz="0" w:space="0" w:color="auto"/>
        <w:left w:val="none" w:sz="0" w:space="0" w:color="auto"/>
        <w:bottom w:val="none" w:sz="0" w:space="0" w:color="auto"/>
        <w:right w:val="none" w:sz="0" w:space="0" w:color="auto"/>
      </w:divBdr>
    </w:div>
    <w:div w:id="564922972">
      <w:bodyDiv w:val="1"/>
      <w:marLeft w:val="0"/>
      <w:marRight w:val="0"/>
      <w:marTop w:val="0"/>
      <w:marBottom w:val="0"/>
      <w:divBdr>
        <w:top w:val="none" w:sz="0" w:space="0" w:color="auto"/>
        <w:left w:val="none" w:sz="0" w:space="0" w:color="auto"/>
        <w:bottom w:val="none" w:sz="0" w:space="0" w:color="auto"/>
        <w:right w:val="none" w:sz="0" w:space="0" w:color="auto"/>
      </w:divBdr>
    </w:div>
    <w:div w:id="565334052">
      <w:bodyDiv w:val="1"/>
      <w:marLeft w:val="0"/>
      <w:marRight w:val="0"/>
      <w:marTop w:val="0"/>
      <w:marBottom w:val="0"/>
      <w:divBdr>
        <w:top w:val="none" w:sz="0" w:space="0" w:color="auto"/>
        <w:left w:val="none" w:sz="0" w:space="0" w:color="auto"/>
        <w:bottom w:val="none" w:sz="0" w:space="0" w:color="auto"/>
        <w:right w:val="none" w:sz="0" w:space="0" w:color="auto"/>
      </w:divBdr>
    </w:div>
    <w:div w:id="565451906">
      <w:bodyDiv w:val="1"/>
      <w:marLeft w:val="0"/>
      <w:marRight w:val="0"/>
      <w:marTop w:val="0"/>
      <w:marBottom w:val="0"/>
      <w:divBdr>
        <w:top w:val="none" w:sz="0" w:space="0" w:color="auto"/>
        <w:left w:val="none" w:sz="0" w:space="0" w:color="auto"/>
        <w:bottom w:val="none" w:sz="0" w:space="0" w:color="auto"/>
        <w:right w:val="none" w:sz="0" w:space="0" w:color="auto"/>
      </w:divBdr>
    </w:div>
    <w:div w:id="566648332">
      <w:bodyDiv w:val="1"/>
      <w:marLeft w:val="0"/>
      <w:marRight w:val="0"/>
      <w:marTop w:val="0"/>
      <w:marBottom w:val="0"/>
      <w:divBdr>
        <w:top w:val="none" w:sz="0" w:space="0" w:color="auto"/>
        <w:left w:val="none" w:sz="0" w:space="0" w:color="auto"/>
        <w:bottom w:val="none" w:sz="0" w:space="0" w:color="auto"/>
        <w:right w:val="none" w:sz="0" w:space="0" w:color="auto"/>
      </w:divBdr>
    </w:div>
    <w:div w:id="566916162">
      <w:bodyDiv w:val="1"/>
      <w:marLeft w:val="0"/>
      <w:marRight w:val="0"/>
      <w:marTop w:val="0"/>
      <w:marBottom w:val="0"/>
      <w:divBdr>
        <w:top w:val="none" w:sz="0" w:space="0" w:color="auto"/>
        <w:left w:val="none" w:sz="0" w:space="0" w:color="auto"/>
        <w:bottom w:val="none" w:sz="0" w:space="0" w:color="auto"/>
        <w:right w:val="none" w:sz="0" w:space="0" w:color="auto"/>
      </w:divBdr>
    </w:div>
    <w:div w:id="567568362">
      <w:bodyDiv w:val="1"/>
      <w:marLeft w:val="0"/>
      <w:marRight w:val="0"/>
      <w:marTop w:val="0"/>
      <w:marBottom w:val="0"/>
      <w:divBdr>
        <w:top w:val="none" w:sz="0" w:space="0" w:color="auto"/>
        <w:left w:val="none" w:sz="0" w:space="0" w:color="auto"/>
        <w:bottom w:val="none" w:sz="0" w:space="0" w:color="auto"/>
        <w:right w:val="none" w:sz="0" w:space="0" w:color="auto"/>
      </w:divBdr>
    </w:div>
    <w:div w:id="567804566">
      <w:bodyDiv w:val="1"/>
      <w:marLeft w:val="0"/>
      <w:marRight w:val="0"/>
      <w:marTop w:val="0"/>
      <w:marBottom w:val="0"/>
      <w:divBdr>
        <w:top w:val="none" w:sz="0" w:space="0" w:color="auto"/>
        <w:left w:val="none" w:sz="0" w:space="0" w:color="auto"/>
        <w:bottom w:val="none" w:sz="0" w:space="0" w:color="auto"/>
        <w:right w:val="none" w:sz="0" w:space="0" w:color="auto"/>
      </w:divBdr>
    </w:div>
    <w:div w:id="569968104">
      <w:bodyDiv w:val="1"/>
      <w:marLeft w:val="0"/>
      <w:marRight w:val="0"/>
      <w:marTop w:val="0"/>
      <w:marBottom w:val="0"/>
      <w:divBdr>
        <w:top w:val="none" w:sz="0" w:space="0" w:color="auto"/>
        <w:left w:val="none" w:sz="0" w:space="0" w:color="auto"/>
        <w:bottom w:val="none" w:sz="0" w:space="0" w:color="auto"/>
        <w:right w:val="none" w:sz="0" w:space="0" w:color="auto"/>
      </w:divBdr>
    </w:div>
    <w:div w:id="570042961">
      <w:bodyDiv w:val="1"/>
      <w:marLeft w:val="0"/>
      <w:marRight w:val="0"/>
      <w:marTop w:val="0"/>
      <w:marBottom w:val="0"/>
      <w:divBdr>
        <w:top w:val="none" w:sz="0" w:space="0" w:color="auto"/>
        <w:left w:val="none" w:sz="0" w:space="0" w:color="auto"/>
        <w:bottom w:val="none" w:sz="0" w:space="0" w:color="auto"/>
        <w:right w:val="none" w:sz="0" w:space="0" w:color="auto"/>
      </w:divBdr>
    </w:div>
    <w:div w:id="570115128">
      <w:bodyDiv w:val="1"/>
      <w:marLeft w:val="0"/>
      <w:marRight w:val="0"/>
      <w:marTop w:val="0"/>
      <w:marBottom w:val="0"/>
      <w:divBdr>
        <w:top w:val="none" w:sz="0" w:space="0" w:color="auto"/>
        <w:left w:val="none" w:sz="0" w:space="0" w:color="auto"/>
        <w:bottom w:val="none" w:sz="0" w:space="0" w:color="auto"/>
        <w:right w:val="none" w:sz="0" w:space="0" w:color="auto"/>
      </w:divBdr>
    </w:div>
    <w:div w:id="570164129">
      <w:bodyDiv w:val="1"/>
      <w:marLeft w:val="0"/>
      <w:marRight w:val="0"/>
      <w:marTop w:val="0"/>
      <w:marBottom w:val="0"/>
      <w:divBdr>
        <w:top w:val="none" w:sz="0" w:space="0" w:color="auto"/>
        <w:left w:val="none" w:sz="0" w:space="0" w:color="auto"/>
        <w:bottom w:val="none" w:sz="0" w:space="0" w:color="auto"/>
        <w:right w:val="none" w:sz="0" w:space="0" w:color="auto"/>
      </w:divBdr>
    </w:div>
    <w:div w:id="571352667">
      <w:bodyDiv w:val="1"/>
      <w:marLeft w:val="0"/>
      <w:marRight w:val="0"/>
      <w:marTop w:val="0"/>
      <w:marBottom w:val="0"/>
      <w:divBdr>
        <w:top w:val="none" w:sz="0" w:space="0" w:color="auto"/>
        <w:left w:val="none" w:sz="0" w:space="0" w:color="auto"/>
        <w:bottom w:val="none" w:sz="0" w:space="0" w:color="auto"/>
        <w:right w:val="none" w:sz="0" w:space="0" w:color="auto"/>
      </w:divBdr>
    </w:div>
    <w:div w:id="571544521">
      <w:bodyDiv w:val="1"/>
      <w:marLeft w:val="0"/>
      <w:marRight w:val="0"/>
      <w:marTop w:val="0"/>
      <w:marBottom w:val="0"/>
      <w:divBdr>
        <w:top w:val="none" w:sz="0" w:space="0" w:color="auto"/>
        <w:left w:val="none" w:sz="0" w:space="0" w:color="auto"/>
        <w:bottom w:val="none" w:sz="0" w:space="0" w:color="auto"/>
        <w:right w:val="none" w:sz="0" w:space="0" w:color="auto"/>
      </w:divBdr>
    </w:div>
    <w:div w:id="572006928">
      <w:bodyDiv w:val="1"/>
      <w:marLeft w:val="0"/>
      <w:marRight w:val="0"/>
      <w:marTop w:val="0"/>
      <w:marBottom w:val="0"/>
      <w:divBdr>
        <w:top w:val="none" w:sz="0" w:space="0" w:color="auto"/>
        <w:left w:val="none" w:sz="0" w:space="0" w:color="auto"/>
        <w:bottom w:val="none" w:sz="0" w:space="0" w:color="auto"/>
        <w:right w:val="none" w:sz="0" w:space="0" w:color="auto"/>
      </w:divBdr>
    </w:div>
    <w:div w:id="572010938">
      <w:bodyDiv w:val="1"/>
      <w:marLeft w:val="0"/>
      <w:marRight w:val="0"/>
      <w:marTop w:val="0"/>
      <w:marBottom w:val="0"/>
      <w:divBdr>
        <w:top w:val="none" w:sz="0" w:space="0" w:color="auto"/>
        <w:left w:val="none" w:sz="0" w:space="0" w:color="auto"/>
        <w:bottom w:val="none" w:sz="0" w:space="0" w:color="auto"/>
        <w:right w:val="none" w:sz="0" w:space="0" w:color="auto"/>
      </w:divBdr>
    </w:div>
    <w:div w:id="572274521">
      <w:bodyDiv w:val="1"/>
      <w:marLeft w:val="0"/>
      <w:marRight w:val="0"/>
      <w:marTop w:val="0"/>
      <w:marBottom w:val="0"/>
      <w:divBdr>
        <w:top w:val="none" w:sz="0" w:space="0" w:color="auto"/>
        <w:left w:val="none" w:sz="0" w:space="0" w:color="auto"/>
        <w:bottom w:val="none" w:sz="0" w:space="0" w:color="auto"/>
        <w:right w:val="none" w:sz="0" w:space="0" w:color="auto"/>
      </w:divBdr>
    </w:div>
    <w:div w:id="572546486">
      <w:bodyDiv w:val="1"/>
      <w:marLeft w:val="0"/>
      <w:marRight w:val="0"/>
      <w:marTop w:val="0"/>
      <w:marBottom w:val="0"/>
      <w:divBdr>
        <w:top w:val="none" w:sz="0" w:space="0" w:color="auto"/>
        <w:left w:val="none" w:sz="0" w:space="0" w:color="auto"/>
        <w:bottom w:val="none" w:sz="0" w:space="0" w:color="auto"/>
        <w:right w:val="none" w:sz="0" w:space="0" w:color="auto"/>
      </w:divBdr>
    </w:div>
    <w:div w:id="572667949">
      <w:bodyDiv w:val="1"/>
      <w:marLeft w:val="0"/>
      <w:marRight w:val="0"/>
      <w:marTop w:val="0"/>
      <w:marBottom w:val="0"/>
      <w:divBdr>
        <w:top w:val="none" w:sz="0" w:space="0" w:color="auto"/>
        <w:left w:val="none" w:sz="0" w:space="0" w:color="auto"/>
        <w:bottom w:val="none" w:sz="0" w:space="0" w:color="auto"/>
        <w:right w:val="none" w:sz="0" w:space="0" w:color="auto"/>
      </w:divBdr>
    </w:div>
    <w:div w:id="572736290">
      <w:bodyDiv w:val="1"/>
      <w:marLeft w:val="0"/>
      <w:marRight w:val="0"/>
      <w:marTop w:val="0"/>
      <w:marBottom w:val="0"/>
      <w:divBdr>
        <w:top w:val="none" w:sz="0" w:space="0" w:color="auto"/>
        <w:left w:val="none" w:sz="0" w:space="0" w:color="auto"/>
        <w:bottom w:val="none" w:sz="0" w:space="0" w:color="auto"/>
        <w:right w:val="none" w:sz="0" w:space="0" w:color="auto"/>
      </w:divBdr>
    </w:div>
    <w:div w:id="572930726">
      <w:bodyDiv w:val="1"/>
      <w:marLeft w:val="0"/>
      <w:marRight w:val="0"/>
      <w:marTop w:val="0"/>
      <w:marBottom w:val="0"/>
      <w:divBdr>
        <w:top w:val="none" w:sz="0" w:space="0" w:color="auto"/>
        <w:left w:val="none" w:sz="0" w:space="0" w:color="auto"/>
        <w:bottom w:val="none" w:sz="0" w:space="0" w:color="auto"/>
        <w:right w:val="none" w:sz="0" w:space="0" w:color="auto"/>
      </w:divBdr>
    </w:div>
    <w:div w:id="572931045">
      <w:bodyDiv w:val="1"/>
      <w:marLeft w:val="0"/>
      <w:marRight w:val="0"/>
      <w:marTop w:val="0"/>
      <w:marBottom w:val="0"/>
      <w:divBdr>
        <w:top w:val="none" w:sz="0" w:space="0" w:color="auto"/>
        <w:left w:val="none" w:sz="0" w:space="0" w:color="auto"/>
        <w:bottom w:val="none" w:sz="0" w:space="0" w:color="auto"/>
        <w:right w:val="none" w:sz="0" w:space="0" w:color="auto"/>
      </w:divBdr>
    </w:div>
    <w:div w:id="574318059">
      <w:bodyDiv w:val="1"/>
      <w:marLeft w:val="0"/>
      <w:marRight w:val="0"/>
      <w:marTop w:val="0"/>
      <w:marBottom w:val="0"/>
      <w:divBdr>
        <w:top w:val="none" w:sz="0" w:space="0" w:color="auto"/>
        <w:left w:val="none" w:sz="0" w:space="0" w:color="auto"/>
        <w:bottom w:val="none" w:sz="0" w:space="0" w:color="auto"/>
        <w:right w:val="none" w:sz="0" w:space="0" w:color="auto"/>
      </w:divBdr>
    </w:div>
    <w:div w:id="574361759">
      <w:bodyDiv w:val="1"/>
      <w:marLeft w:val="0"/>
      <w:marRight w:val="0"/>
      <w:marTop w:val="0"/>
      <w:marBottom w:val="0"/>
      <w:divBdr>
        <w:top w:val="none" w:sz="0" w:space="0" w:color="auto"/>
        <w:left w:val="none" w:sz="0" w:space="0" w:color="auto"/>
        <w:bottom w:val="none" w:sz="0" w:space="0" w:color="auto"/>
        <w:right w:val="none" w:sz="0" w:space="0" w:color="auto"/>
      </w:divBdr>
    </w:div>
    <w:div w:id="574777716">
      <w:bodyDiv w:val="1"/>
      <w:marLeft w:val="0"/>
      <w:marRight w:val="0"/>
      <w:marTop w:val="0"/>
      <w:marBottom w:val="0"/>
      <w:divBdr>
        <w:top w:val="none" w:sz="0" w:space="0" w:color="auto"/>
        <w:left w:val="none" w:sz="0" w:space="0" w:color="auto"/>
        <w:bottom w:val="none" w:sz="0" w:space="0" w:color="auto"/>
        <w:right w:val="none" w:sz="0" w:space="0" w:color="auto"/>
      </w:divBdr>
    </w:div>
    <w:div w:id="575171255">
      <w:bodyDiv w:val="1"/>
      <w:marLeft w:val="0"/>
      <w:marRight w:val="0"/>
      <w:marTop w:val="0"/>
      <w:marBottom w:val="0"/>
      <w:divBdr>
        <w:top w:val="none" w:sz="0" w:space="0" w:color="auto"/>
        <w:left w:val="none" w:sz="0" w:space="0" w:color="auto"/>
        <w:bottom w:val="none" w:sz="0" w:space="0" w:color="auto"/>
        <w:right w:val="none" w:sz="0" w:space="0" w:color="auto"/>
      </w:divBdr>
    </w:div>
    <w:div w:id="575634008">
      <w:bodyDiv w:val="1"/>
      <w:marLeft w:val="0"/>
      <w:marRight w:val="0"/>
      <w:marTop w:val="0"/>
      <w:marBottom w:val="0"/>
      <w:divBdr>
        <w:top w:val="none" w:sz="0" w:space="0" w:color="auto"/>
        <w:left w:val="none" w:sz="0" w:space="0" w:color="auto"/>
        <w:bottom w:val="none" w:sz="0" w:space="0" w:color="auto"/>
        <w:right w:val="none" w:sz="0" w:space="0" w:color="auto"/>
      </w:divBdr>
    </w:div>
    <w:div w:id="576481207">
      <w:bodyDiv w:val="1"/>
      <w:marLeft w:val="0"/>
      <w:marRight w:val="0"/>
      <w:marTop w:val="0"/>
      <w:marBottom w:val="0"/>
      <w:divBdr>
        <w:top w:val="none" w:sz="0" w:space="0" w:color="auto"/>
        <w:left w:val="none" w:sz="0" w:space="0" w:color="auto"/>
        <w:bottom w:val="none" w:sz="0" w:space="0" w:color="auto"/>
        <w:right w:val="none" w:sz="0" w:space="0" w:color="auto"/>
      </w:divBdr>
    </w:div>
    <w:div w:id="578052617">
      <w:bodyDiv w:val="1"/>
      <w:marLeft w:val="0"/>
      <w:marRight w:val="0"/>
      <w:marTop w:val="0"/>
      <w:marBottom w:val="0"/>
      <w:divBdr>
        <w:top w:val="none" w:sz="0" w:space="0" w:color="auto"/>
        <w:left w:val="none" w:sz="0" w:space="0" w:color="auto"/>
        <w:bottom w:val="none" w:sz="0" w:space="0" w:color="auto"/>
        <w:right w:val="none" w:sz="0" w:space="0" w:color="auto"/>
      </w:divBdr>
    </w:div>
    <w:div w:id="578635504">
      <w:bodyDiv w:val="1"/>
      <w:marLeft w:val="0"/>
      <w:marRight w:val="0"/>
      <w:marTop w:val="0"/>
      <w:marBottom w:val="0"/>
      <w:divBdr>
        <w:top w:val="none" w:sz="0" w:space="0" w:color="auto"/>
        <w:left w:val="none" w:sz="0" w:space="0" w:color="auto"/>
        <w:bottom w:val="none" w:sz="0" w:space="0" w:color="auto"/>
        <w:right w:val="none" w:sz="0" w:space="0" w:color="auto"/>
      </w:divBdr>
    </w:div>
    <w:div w:id="579098804">
      <w:bodyDiv w:val="1"/>
      <w:marLeft w:val="0"/>
      <w:marRight w:val="0"/>
      <w:marTop w:val="0"/>
      <w:marBottom w:val="0"/>
      <w:divBdr>
        <w:top w:val="none" w:sz="0" w:space="0" w:color="auto"/>
        <w:left w:val="none" w:sz="0" w:space="0" w:color="auto"/>
        <w:bottom w:val="none" w:sz="0" w:space="0" w:color="auto"/>
        <w:right w:val="none" w:sz="0" w:space="0" w:color="auto"/>
      </w:divBdr>
    </w:div>
    <w:div w:id="579214370">
      <w:bodyDiv w:val="1"/>
      <w:marLeft w:val="0"/>
      <w:marRight w:val="0"/>
      <w:marTop w:val="0"/>
      <w:marBottom w:val="0"/>
      <w:divBdr>
        <w:top w:val="none" w:sz="0" w:space="0" w:color="auto"/>
        <w:left w:val="none" w:sz="0" w:space="0" w:color="auto"/>
        <w:bottom w:val="none" w:sz="0" w:space="0" w:color="auto"/>
        <w:right w:val="none" w:sz="0" w:space="0" w:color="auto"/>
      </w:divBdr>
    </w:div>
    <w:div w:id="580069342">
      <w:bodyDiv w:val="1"/>
      <w:marLeft w:val="0"/>
      <w:marRight w:val="0"/>
      <w:marTop w:val="0"/>
      <w:marBottom w:val="0"/>
      <w:divBdr>
        <w:top w:val="none" w:sz="0" w:space="0" w:color="auto"/>
        <w:left w:val="none" w:sz="0" w:space="0" w:color="auto"/>
        <w:bottom w:val="none" w:sz="0" w:space="0" w:color="auto"/>
        <w:right w:val="none" w:sz="0" w:space="0" w:color="auto"/>
      </w:divBdr>
    </w:div>
    <w:div w:id="580482465">
      <w:bodyDiv w:val="1"/>
      <w:marLeft w:val="0"/>
      <w:marRight w:val="0"/>
      <w:marTop w:val="0"/>
      <w:marBottom w:val="0"/>
      <w:divBdr>
        <w:top w:val="none" w:sz="0" w:space="0" w:color="auto"/>
        <w:left w:val="none" w:sz="0" w:space="0" w:color="auto"/>
        <w:bottom w:val="none" w:sz="0" w:space="0" w:color="auto"/>
        <w:right w:val="none" w:sz="0" w:space="0" w:color="auto"/>
      </w:divBdr>
    </w:div>
    <w:div w:id="580792350">
      <w:bodyDiv w:val="1"/>
      <w:marLeft w:val="0"/>
      <w:marRight w:val="0"/>
      <w:marTop w:val="0"/>
      <w:marBottom w:val="0"/>
      <w:divBdr>
        <w:top w:val="none" w:sz="0" w:space="0" w:color="auto"/>
        <w:left w:val="none" w:sz="0" w:space="0" w:color="auto"/>
        <w:bottom w:val="none" w:sz="0" w:space="0" w:color="auto"/>
        <w:right w:val="none" w:sz="0" w:space="0" w:color="auto"/>
      </w:divBdr>
    </w:div>
    <w:div w:id="580985470">
      <w:bodyDiv w:val="1"/>
      <w:marLeft w:val="0"/>
      <w:marRight w:val="0"/>
      <w:marTop w:val="0"/>
      <w:marBottom w:val="0"/>
      <w:divBdr>
        <w:top w:val="none" w:sz="0" w:space="0" w:color="auto"/>
        <w:left w:val="none" w:sz="0" w:space="0" w:color="auto"/>
        <w:bottom w:val="none" w:sz="0" w:space="0" w:color="auto"/>
        <w:right w:val="none" w:sz="0" w:space="0" w:color="auto"/>
      </w:divBdr>
    </w:div>
    <w:div w:id="581793081">
      <w:bodyDiv w:val="1"/>
      <w:marLeft w:val="0"/>
      <w:marRight w:val="0"/>
      <w:marTop w:val="0"/>
      <w:marBottom w:val="0"/>
      <w:divBdr>
        <w:top w:val="none" w:sz="0" w:space="0" w:color="auto"/>
        <w:left w:val="none" w:sz="0" w:space="0" w:color="auto"/>
        <w:bottom w:val="none" w:sz="0" w:space="0" w:color="auto"/>
        <w:right w:val="none" w:sz="0" w:space="0" w:color="auto"/>
      </w:divBdr>
    </w:div>
    <w:div w:id="581841069">
      <w:bodyDiv w:val="1"/>
      <w:marLeft w:val="0"/>
      <w:marRight w:val="0"/>
      <w:marTop w:val="0"/>
      <w:marBottom w:val="0"/>
      <w:divBdr>
        <w:top w:val="none" w:sz="0" w:space="0" w:color="auto"/>
        <w:left w:val="none" w:sz="0" w:space="0" w:color="auto"/>
        <w:bottom w:val="none" w:sz="0" w:space="0" w:color="auto"/>
        <w:right w:val="none" w:sz="0" w:space="0" w:color="auto"/>
      </w:divBdr>
    </w:div>
    <w:div w:id="582226385">
      <w:bodyDiv w:val="1"/>
      <w:marLeft w:val="0"/>
      <w:marRight w:val="0"/>
      <w:marTop w:val="0"/>
      <w:marBottom w:val="0"/>
      <w:divBdr>
        <w:top w:val="none" w:sz="0" w:space="0" w:color="auto"/>
        <w:left w:val="none" w:sz="0" w:space="0" w:color="auto"/>
        <w:bottom w:val="none" w:sz="0" w:space="0" w:color="auto"/>
        <w:right w:val="none" w:sz="0" w:space="0" w:color="auto"/>
      </w:divBdr>
    </w:div>
    <w:div w:id="582295882">
      <w:bodyDiv w:val="1"/>
      <w:marLeft w:val="0"/>
      <w:marRight w:val="0"/>
      <w:marTop w:val="0"/>
      <w:marBottom w:val="0"/>
      <w:divBdr>
        <w:top w:val="none" w:sz="0" w:space="0" w:color="auto"/>
        <w:left w:val="none" w:sz="0" w:space="0" w:color="auto"/>
        <w:bottom w:val="none" w:sz="0" w:space="0" w:color="auto"/>
        <w:right w:val="none" w:sz="0" w:space="0" w:color="auto"/>
      </w:divBdr>
    </w:div>
    <w:div w:id="583146307">
      <w:bodyDiv w:val="1"/>
      <w:marLeft w:val="0"/>
      <w:marRight w:val="0"/>
      <w:marTop w:val="0"/>
      <w:marBottom w:val="0"/>
      <w:divBdr>
        <w:top w:val="none" w:sz="0" w:space="0" w:color="auto"/>
        <w:left w:val="none" w:sz="0" w:space="0" w:color="auto"/>
        <w:bottom w:val="none" w:sz="0" w:space="0" w:color="auto"/>
        <w:right w:val="none" w:sz="0" w:space="0" w:color="auto"/>
      </w:divBdr>
    </w:div>
    <w:div w:id="583950291">
      <w:bodyDiv w:val="1"/>
      <w:marLeft w:val="0"/>
      <w:marRight w:val="0"/>
      <w:marTop w:val="0"/>
      <w:marBottom w:val="0"/>
      <w:divBdr>
        <w:top w:val="none" w:sz="0" w:space="0" w:color="auto"/>
        <w:left w:val="none" w:sz="0" w:space="0" w:color="auto"/>
        <w:bottom w:val="none" w:sz="0" w:space="0" w:color="auto"/>
        <w:right w:val="none" w:sz="0" w:space="0" w:color="auto"/>
      </w:divBdr>
    </w:div>
    <w:div w:id="584072207">
      <w:bodyDiv w:val="1"/>
      <w:marLeft w:val="0"/>
      <w:marRight w:val="0"/>
      <w:marTop w:val="0"/>
      <w:marBottom w:val="0"/>
      <w:divBdr>
        <w:top w:val="none" w:sz="0" w:space="0" w:color="auto"/>
        <w:left w:val="none" w:sz="0" w:space="0" w:color="auto"/>
        <w:bottom w:val="none" w:sz="0" w:space="0" w:color="auto"/>
        <w:right w:val="none" w:sz="0" w:space="0" w:color="auto"/>
      </w:divBdr>
    </w:div>
    <w:div w:id="585571931">
      <w:bodyDiv w:val="1"/>
      <w:marLeft w:val="0"/>
      <w:marRight w:val="0"/>
      <w:marTop w:val="0"/>
      <w:marBottom w:val="0"/>
      <w:divBdr>
        <w:top w:val="none" w:sz="0" w:space="0" w:color="auto"/>
        <w:left w:val="none" w:sz="0" w:space="0" w:color="auto"/>
        <w:bottom w:val="none" w:sz="0" w:space="0" w:color="auto"/>
        <w:right w:val="none" w:sz="0" w:space="0" w:color="auto"/>
      </w:divBdr>
    </w:div>
    <w:div w:id="585725865">
      <w:bodyDiv w:val="1"/>
      <w:marLeft w:val="0"/>
      <w:marRight w:val="0"/>
      <w:marTop w:val="0"/>
      <w:marBottom w:val="0"/>
      <w:divBdr>
        <w:top w:val="none" w:sz="0" w:space="0" w:color="auto"/>
        <w:left w:val="none" w:sz="0" w:space="0" w:color="auto"/>
        <w:bottom w:val="none" w:sz="0" w:space="0" w:color="auto"/>
        <w:right w:val="none" w:sz="0" w:space="0" w:color="auto"/>
      </w:divBdr>
    </w:div>
    <w:div w:id="586111432">
      <w:bodyDiv w:val="1"/>
      <w:marLeft w:val="0"/>
      <w:marRight w:val="0"/>
      <w:marTop w:val="0"/>
      <w:marBottom w:val="0"/>
      <w:divBdr>
        <w:top w:val="none" w:sz="0" w:space="0" w:color="auto"/>
        <w:left w:val="none" w:sz="0" w:space="0" w:color="auto"/>
        <w:bottom w:val="none" w:sz="0" w:space="0" w:color="auto"/>
        <w:right w:val="none" w:sz="0" w:space="0" w:color="auto"/>
      </w:divBdr>
    </w:div>
    <w:div w:id="586118337">
      <w:bodyDiv w:val="1"/>
      <w:marLeft w:val="0"/>
      <w:marRight w:val="0"/>
      <w:marTop w:val="0"/>
      <w:marBottom w:val="0"/>
      <w:divBdr>
        <w:top w:val="none" w:sz="0" w:space="0" w:color="auto"/>
        <w:left w:val="none" w:sz="0" w:space="0" w:color="auto"/>
        <w:bottom w:val="none" w:sz="0" w:space="0" w:color="auto"/>
        <w:right w:val="none" w:sz="0" w:space="0" w:color="auto"/>
      </w:divBdr>
    </w:div>
    <w:div w:id="586501681">
      <w:bodyDiv w:val="1"/>
      <w:marLeft w:val="0"/>
      <w:marRight w:val="0"/>
      <w:marTop w:val="0"/>
      <w:marBottom w:val="0"/>
      <w:divBdr>
        <w:top w:val="none" w:sz="0" w:space="0" w:color="auto"/>
        <w:left w:val="none" w:sz="0" w:space="0" w:color="auto"/>
        <w:bottom w:val="none" w:sz="0" w:space="0" w:color="auto"/>
        <w:right w:val="none" w:sz="0" w:space="0" w:color="auto"/>
      </w:divBdr>
    </w:div>
    <w:div w:id="587663169">
      <w:bodyDiv w:val="1"/>
      <w:marLeft w:val="0"/>
      <w:marRight w:val="0"/>
      <w:marTop w:val="0"/>
      <w:marBottom w:val="0"/>
      <w:divBdr>
        <w:top w:val="none" w:sz="0" w:space="0" w:color="auto"/>
        <w:left w:val="none" w:sz="0" w:space="0" w:color="auto"/>
        <w:bottom w:val="none" w:sz="0" w:space="0" w:color="auto"/>
        <w:right w:val="none" w:sz="0" w:space="0" w:color="auto"/>
      </w:divBdr>
    </w:div>
    <w:div w:id="589049725">
      <w:bodyDiv w:val="1"/>
      <w:marLeft w:val="0"/>
      <w:marRight w:val="0"/>
      <w:marTop w:val="0"/>
      <w:marBottom w:val="0"/>
      <w:divBdr>
        <w:top w:val="none" w:sz="0" w:space="0" w:color="auto"/>
        <w:left w:val="none" w:sz="0" w:space="0" w:color="auto"/>
        <w:bottom w:val="none" w:sz="0" w:space="0" w:color="auto"/>
        <w:right w:val="none" w:sz="0" w:space="0" w:color="auto"/>
      </w:divBdr>
    </w:div>
    <w:div w:id="589513012">
      <w:bodyDiv w:val="1"/>
      <w:marLeft w:val="0"/>
      <w:marRight w:val="0"/>
      <w:marTop w:val="0"/>
      <w:marBottom w:val="0"/>
      <w:divBdr>
        <w:top w:val="none" w:sz="0" w:space="0" w:color="auto"/>
        <w:left w:val="none" w:sz="0" w:space="0" w:color="auto"/>
        <w:bottom w:val="none" w:sz="0" w:space="0" w:color="auto"/>
        <w:right w:val="none" w:sz="0" w:space="0" w:color="auto"/>
      </w:divBdr>
    </w:div>
    <w:div w:id="590699520">
      <w:bodyDiv w:val="1"/>
      <w:marLeft w:val="0"/>
      <w:marRight w:val="0"/>
      <w:marTop w:val="0"/>
      <w:marBottom w:val="0"/>
      <w:divBdr>
        <w:top w:val="none" w:sz="0" w:space="0" w:color="auto"/>
        <w:left w:val="none" w:sz="0" w:space="0" w:color="auto"/>
        <w:bottom w:val="none" w:sz="0" w:space="0" w:color="auto"/>
        <w:right w:val="none" w:sz="0" w:space="0" w:color="auto"/>
      </w:divBdr>
    </w:div>
    <w:div w:id="590894141">
      <w:bodyDiv w:val="1"/>
      <w:marLeft w:val="0"/>
      <w:marRight w:val="0"/>
      <w:marTop w:val="0"/>
      <w:marBottom w:val="0"/>
      <w:divBdr>
        <w:top w:val="none" w:sz="0" w:space="0" w:color="auto"/>
        <w:left w:val="none" w:sz="0" w:space="0" w:color="auto"/>
        <w:bottom w:val="none" w:sz="0" w:space="0" w:color="auto"/>
        <w:right w:val="none" w:sz="0" w:space="0" w:color="auto"/>
      </w:divBdr>
    </w:div>
    <w:div w:id="591284385">
      <w:bodyDiv w:val="1"/>
      <w:marLeft w:val="0"/>
      <w:marRight w:val="0"/>
      <w:marTop w:val="0"/>
      <w:marBottom w:val="0"/>
      <w:divBdr>
        <w:top w:val="none" w:sz="0" w:space="0" w:color="auto"/>
        <w:left w:val="none" w:sz="0" w:space="0" w:color="auto"/>
        <w:bottom w:val="none" w:sz="0" w:space="0" w:color="auto"/>
        <w:right w:val="none" w:sz="0" w:space="0" w:color="auto"/>
      </w:divBdr>
    </w:div>
    <w:div w:id="592856020">
      <w:bodyDiv w:val="1"/>
      <w:marLeft w:val="0"/>
      <w:marRight w:val="0"/>
      <w:marTop w:val="0"/>
      <w:marBottom w:val="0"/>
      <w:divBdr>
        <w:top w:val="none" w:sz="0" w:space="0" w:color="auto"/>
        <w:left w:val="none" w:sz="0" w:space="0" w:color="auto"/>
        <w:bottom w:val="none" w:sz="0" w:space="0" w:color="auto"/>
        <w:right w:val="none" w:sz="0" w:space="0" w:color="auto"/>
      </w:divBdr>
    </w:div>
    <w:div w:id="593440642">
      <w:bodyDiv w:val="1"/>
      <w:marLeft w:val="0"/>
      <w:marRight w:val="0"/>
      <w:marTop w:val="0"/>
      <w:marBottom w:val="0"/>
      <w:divBdr>
        <w:top w:val="none" w:sz="0" w:space="0" w:color="auto"/>
        <w:left w:val="none" w:sz="0" w:space="0" w:color="auto"/>
        <w:bottom w:val="none" w:sz="0" w:space="0" w:color="auto"/>
        <w:right w:val="none" w:sz="0" w:space="0" w:color="auto"/>
      </w:divBdr>
    </w:div>
    <w:div w:id="593710173">
      <w:bodyDiv w:val="1"/>
      <w:marLeft w:val="0"/>
      <w:marRight w:val="0"/>
      <w:marTop w:val="0"/>
      <w:marBottom w:val="0"/>
      <w:divBdr>
        <w:top w:val="none" w:sz="0" w:space="0" w:color="auto"/>
        <w:left w:val="none" w:sz="0" w:space="0" w:color="auto"/>
        <w:bottom w:val="none" w:sz="0" w:space="0" w:color="auto"/>
        <w:right w:val="none" w:sz="0" w:space="0" w:color="auto"/>
      </w:divBdr>
    </w:div>
    <w:div w:id="594559899">
      <w:bodyDiv w:val="1"/>
      <w:marLeft w:val="0"/>
      <w:marRight w:val="0"/>
      <w:marTop w:val="0"/>
      <w:marBottom w:val="0"/>
      <w:divBdr>
        <w:top w:val="none" w:sz="0" w:space="0" w:color="auto"/>
        <w:left w:val="none" w:sz="0" w:space="0" w:color="auto"/>
        <w:bottom w:val="none" w:sz="0" w:space="0" w:color="auto"/>
        <w:right w:val="none" w:sz="0" w:space="0" w:color="auto"/>
      </w:divBdr>
    </w:div>
    <w:div w:id="595213631">
      <w:bodyDiv w:val="1"/>
      <w:marLeft w:val="0"/>
      <w:marRight w:val="0"/>
      <w:marTop w:val="0"/>
      <w:marBottom w:val="0"/>
      <w:divBdr>
        <w:top w:val="none" w:sz="0" w:space="0" w:color="auto"/>
        <w:left w:val="none" w:sz="0" w:space="0" w:color="auto"/>
        <w:bottom w:val="none" w:sz="0" w:space="0" w:color="auto"/>
        <w:right w:val="none" w:sz="0" w:space="0" w:color="auto"/>
      </w:divBdr>
    </w:div>
    <w:div w:id="596985181">
      <w:bodyDiv w:val="1"/>
      <w:marLeft w:val="0"/>
      <w:marRight w:val="0"/>
      <w:marTop w:val="0"/>
      <w:marBottom w:val="0"/>
      <w:divBdr>
        <w:top w:val="none" w:sz="0" w:space="0" w:color="auto"/>
        <w:left w:val="none" w:sz="0" w:space="0" w:color="auto"/>
        <w:bottom w:val="none" w:sz="0" w:space="0" w:color="auto"/>
        <w:right w:val="none" w:sz="0" w:space="0" w:color="auto"/>
      </w:divBdr>
    </w:div>
    <w:div w:id="597296922">
      <w:bodyDiv w:val="1"/>
      <w:marLeft w:val="0"/>
      <w:marRight w:val="0"/>
      <w:marTop w:val="0"/>
      <w:marBottom w:val="0"/>
      <w:divBdr>
        <w:top w:val="none" w:sz="0" w:space="0" w:color="auto"/>
        <w:left w:val="none" w:sz="0" w:space="0" w:color="auto"/>
        <w:bottom w:val="none" w:sz="0" w:space="0" w:color="auto"/>
        <w:right w:val="none" w:sz="0" w:space="0" w:color="auto"/>
      </w:divBdr>
    </w:div>
    <w:div w:id="597448175">
      <w:bodyDiv w:val="1"/>
      <w:marLeft w:val="0"/>
      <w:marRight w:val="0"/>
      <w:marTop w:val="0"/>
      <w:marBottom w:val="0"/>
      <w:divBdr>
        <w:top w:val="none" w:sz="0" w:space="0" w:color="auto"/>
        <w:left w:val="none" w:sz="0" w:space="0" w:color="auto"/>
        <w:bottom w:val="none" w:sz="0" w:space="0" w:color="auto"/>
        <w:right w:val="none" w:sz="0" w:space="0" w:color="auto"/>
      </w:divBdr>
    </w:div>
    <w:div w:id="597519843">
      <w:bodyDiv w:val="1"/>
      <w:marLeft w:val="0"/>
      <w:marRight w:val="0"/>
      <w:marTop w:val="0"/>
      <w:marBottom w:val="0"/>
      <w:divBdr>
        <w:top w:val="none" w:sz="0" w:space="0" w:color="auto"/>
        <w:left w:val="none" w:sz="0" w:space="0" w:color="auto"/>
        <w:bottom w:val="none" w:sz="0" w:space="0" w:color="auto"/>
        <w:right w:val="none" w:sz="0" w:space="0" w:color="auto"/>
      </w:divBdr>
    </w:div>
    <w:div w:id="597760848">
      <w:bodyDiv w:val="1"/>
      <w:marLeft w:val="0"/>
      <w:marRight w:val="0"/>
      <w:marTop w:val="0"/>
      <w:marBottom w:val="0"/>
      <w:divBdr>
        <w:top w:val="none" w:sz="0" w:space="0" w:color="auto"/>
        <w:left w:val="none" w:sz="0" w:space="0" w:color="auto"/>
        <w:bottom w:val="none" w:sz="0" w:space="0" w:color="auto"/>
        <w:right w:val="none" w:sz="0" w:space="0" w:color="auto"/>
      </w:divBdr>
    </w:div>
    <w:div w:id="597904383">
      <w:bodyDiv w:val="1"/>
      <w:marLeft w:val="0"/>
      <w:marRight w:val="0"/>
      <w:marTop w:val="0"/>
      <w:marBottom w:val="0"/>
      <w:divBdr>
        <w:top w:val="none" w:sz="0" w:space="0" w:color="auto"/>
        <w:left w:val="none" w:sz="0" w:space="0" w:color="auto"/>
        <w:bottom w:val="none" w:sz="0" w:space="0" w:color="auto"/>
        <w:right w:val="none" w:sz="0" w:space="0" w:color="auto"/>
      </w:divBdr>
    </w:div>
    <w:div w:id="598219121">
      <w:bodyDiv w:val="1"/>
      <w:marLeft w:val="0"/>
      <w:marRight w:val="0"/>
      <w:marTop w:val="0"/>
      <w:marBottom w:val="0"/>
      <w:divBdr>
        <w:top w:val="none" w:sz="0" w:space="0" w:color="auto"/>
        <w:left w:val="none" w:sz="0" w:space="0" w:color="auto"/>
        <w:bottom w:val="none" w:sz="0" w:space="0" w:color="auto"/>
        <w:right w:val="none" w:sz="0" w:space="0" w:color="auto"/>
      </w:divBdr>
    </w:div>
    <w:div w:id="599335272">
      <w:bodyDiv w:val="1"/>
      <w:marLeft w:val="0"/>
      <w:marRight w:val="0"/>
      <w:marTop w:val="0"/>
      <w:marBottom w:val="0"/>
      <w:divBdr>
        <w:top w:val="none" w:sz="0" w:space="0" w:color="auto"/>
        <w:left w:val="none" w:sz="0" w:space="0" w:color="auto"/>
        <w:bottom w:val="none" w:sz="0" w:space="0" w:color="auto"/>
        <w:right w:val="none" w:sz="0" w:space="0" w:color="auto"/>
      </w:divBdr>
    </w:div>
    <w:div w:id="599721182">
      <w:bodyDiv w:val="1"/>
      <w:marLeft w:val="0"/>
      <w:marRight w:val="0"/>
      <w:marTop w:val="0"/>
      <w:marBottom w:val="0"/>
      <w:divBdr>
        <w:top w:val="none" w:sz="0" w:space="0" w:color="auto"/>
        <w:left w:val="none" w:sz="0" w:space="0" w:color="auto"/>
        <w:bottom w:val="none" w:sz="0" w:space="0" w:color="auto"/>
        <w:right w:val="none" w:sz="0" w:space="0" w:color="auto"/>
      </w:divBdr>
    </w:div>
    <w:div w:id="600113868">
      <w:bodyDiv w:val="1"/>
      <w:marLeft w:val="0"/>
      <w:marRight w:val="0"/>
      <w:marTop w:val="0"/>
      <w:marBottom w:val="0"/>
      <w:divBdr>
        <w:top w:val="none" w:sz="0" w:space="0" w:color="auto"/>
        <w:left w:val="none" w:sz="0" w:space="0" w:color="auto"/>
        <w:bottom w:val="none" w:sz="0" w:space="0" w:color="auto"/>
        <w:right w:val="none" w:sz="0" w:space="0" w:color="auto"/>
      </w:divBdr>
    </w:div>
    <w:div w:id="600182581">
      <w:bodyDiv w:val="1"/>
      <w:marLeft w:val="0"/>
      <w:marRight w:val="0"/>
      <w:marTop w:val="0"/>
      <w:marBottom w:val="0"/>
      <w:divBdr>
        <w:top w:val="none" w:sz="0" w:space="0" w:color="auto"/>
        <w:left w:val="none" w:sz="0" w:space="0" w:color="auto"/>
        <w:bottom w:val="none" w:sz="0" w:space="0" w:color="auto"/>
        <w:right w:val="none" w:sz="0" w:space="0" w:color="auto"/>
      </w:divBdr>
    </w:div>
    <w:div w:id="600264520">
      <w:bodyDiv w:val="1"/>
      <w:marLeft w:val="0"/>
      <w:marRight w:val="0"/>
      <w:marTop w:val="0"/>
      <w:marBottom w:val="0"/>
      <w:divBdr>
        <w:top w:val="none" w:sz="0" w:space="0" w:color="auto"/>
        <w:left w:val="none" w:sz="0" w:space="0" w:color="auto"/>
        <w:bottom w:val="none" w:sz="0" w:space="0" w:color="auto"/>
        <w:right w:val="none" w:sz="0" w:space="0" w:color="auto"/>
      </w:divBdr>
    </w:div>
    <w:div w:id="600378847">
      <w:bodyDiv w:val="1"/>
      <w:marLeft w:val="0"/>
      <w:marRight w:val="0"/>
      <w:marTop w:val="0"/>
      <w:marBottom w:val="0"/>
      <w:divBdr>
        <w:top w:val="none" w:sz="0" w:space="0" w:color="auto"/>
        <w:left w:val="none" w:sz="0" w:space="0" w:color="auto"/>
        <w:bottom w:val="none" w:sz="0" w:space="0" w:color="auto"/>
        <w:right w:val="none" w:sz="0" w:space="0" w:color="auto"/>
      </w:divBdr>
    </w:div>
    <w:div w:id="600801138">
      <w:bodyDiv w:val="1"/>
      <w:marLeft w:val="0"/>
      <w:marRight w:val="0"/>
      <w:marTop w:val="0"/>
      <w:marBottom w:val="0"/>
      <w:divBdr>
        <w:top w:val="none" w:sz="0" w:space="0" w:color="auto"/>
        <w:left w:val="none" w:sz="0" w:space="0" w:color="auto"/>
        <w:bottom w:val="none" w:sz="0" w:space="0" w:color="auto"/>
        <w:right w:val="none" w:sz="0" w:space="0" w:color="auto"/>
      </w:divBdr>
    </w:div>
    <w:div w:id="601185012">
      <w:bodyDiv w:val="1"/>
      <w:marLeft w:val="0"/>
      <w:marRight w:val="0"/>
      <w:marTop w:val="0"/>
      <w:marBottom w:val="0"/>
      <w:divBdr>
        <w:top w:val="none" w:sz="0" w:space="0" w:color="auto"/>
        <w:left w:val="none" w:sz="0" w:space="0" w:color="auto"/>
        <w:bottom w:val="none" w:sz="0" w:space="0" w:color="auto"/>
        <w:right w:val="none" w:sz="0" w:space="0" w:color="auto"/>
      </w:divBdr>
    </w:div>
    <w:div w:id="601186478">
      <w:bodyDiv w:val="1"/>
      <w:marLeft w:val="0"/>
      <w:marRight w:val="0"/>
      <w:marTop w:val="0"/>
      <w:marBottom w:val="0"/>
      <w:divBdr>
        <w:top w:val="none" w:sz="0" w:space="0" w:color="auto"/>
        <w:left w:val="none" w:sz="0" w:space="0" w:color="auto"/>
        <w:bottom w:val="none" w:sz="0" w:space="0" w:color="auto"/>
        <w:right w:val="none" w:sz="0" w:space="0" w:color="auto"/>
      </w:divBdr>
    </w:div>
    <w:div w:id="601650488">
      <w:bodyDiv w:val="1"/>
      <w:marLeft w:val="0"/>
      <w:marRight w:val="0"/>
      <w:marTop w:val="0"/>
      <w:marBottom w:val="0"/>
      <w:divBdr>
        <w:top w:val="none" w:sz="0" w:space="0" w:color="auto"/>
        <w:left w:val="none" w:sz="0" w:space="0" w:color="auto"/>
        <w:bottom w:val="none" w:sz="0" w:space="0" w:color="auto"/>
        <w:right w:val="none" w:sz="0" w:space="0" w:color="auto"/>
      </w:divBdr>
    </w:div>
    <w:div w:id="603534809">
      <w:bodyDiv w:val="1"/>
      <w:marLeft w:val="0"/>
      <w:marRight w:val="0"/>
      <w:marTop w:val="0"/>
      <w:marBottom w:val="0"/>
      <w:divBdr>
        <w:top w:val="none" w:sz="0" w:space="0" w:color="auto"/>
        <w:left w:val="none" w:sz="0" w:space="0" w:color="auto"/>
        <w:bottom w:val="none" w:sz="0" w:space="0" w:color="auto"/>
        <w:right w:val="none" w:sz="0" w:space="0" w:color="auto"/>
      </w:divBdr>
    </w:div>
    <w:div w:id="603878480">
      <w:bodyDiv w:val="1"/>
      <w:marLeft w:val="0"/>
      <w:marRight w:val="0"/>
      <w:marTop w:val="0"/>
      <w:marBottom w:val="0"/>
      <w:divBdr>
        <w:top w:val="none" w:sz="0" w:space="0" w:color="auto"/>
        <w:left w:val="none" w:sz="0" w:space="0" w:color="auto"/>
        <w:bottom w:val="none" w:sz="0" w:space="0" w:color="auto"/>
        <w:right w:val="none" w:sz="0" w:space="0" w:color="auto"/>
      </w:divBdr>
    </w:div>
    <w:div w:id="604117664">
      <w:bodyDiv w:val="1"/>
      <w:marLeft w:val="0"/>
      <w:marRight w:val="0"/>
      <w:marTop w:val="0"/>
      <w:marBottom w:val="0"/>
      <w:divBdr>
        <w:top w:val="none" w:sz="0" w:space="0" w:color="auto"/>
        <w:left w:val="none" w:sz="0" w:space="0" w:color="auto"/>
        <w:bottom w:val="none" w:sz="0" w:space="0" w:color="auto"/>
        <w:right w:val="none" w:sz="0" w:space="0" w:color="auto"/>
      </w:divBdr>
    </w:div>
    <w:div w:id="604387034">
      <w:bodyDiv w:val="1"/>
      <w:marLeft w:val="0"/>
      <w:marRight w:val="0"/>
      <w:marTop w:val="0"/>
      <w:marBottom w:val="0"/>
      <w:divBdr>
        <w:top w:val="none" w:sz="0" w:space="0" w:color="auto"/>
        <w:left w:val="none" w:sz="0" w:space="0" w:color="auto"/>
        <w:bottom w:val="none" w:sz="0" w:space="0" w:color="auto"/>
        <w:right w:val="none" w:sz="0" w:space="0" w:color="auto"/>
      </w:divBdr>
    </w:div>
    <w:div w:id="604390064">
      <w:bodyDiv w:val="1"/>
      <w:marLeft w:val="0"/>
      <w:marRight w:val="0"/>
      <w:marTop w:val="0"/>
      <w:marBottom w:val="0"/>
      <w:divBdr>
        <w:top w:val="none" w:sz="0" w:space="0" w:color="auto"/>
        <w:left w:val="none" w:sz="0" w:space="0" w:color="auto"/>
        <w:bottom w:val="none" w:sz="0" w:space="0" w:color="auto"/>
        <w:right w:val="none" w:sz="0" w:space="0" w:color="auto"/>
      </w:divBdr>
    </w:div>
    <w:div w:id="604731065">
      <w:bodyDiv w:val="1"/>
      <w:marLeft w:val="0"/>
      <w:marRight w:val="0"/>
      <w:marTop w:val="0"/>
      <w:marBottom w:val="0"/>
      <w:divBdr>
        <w:top w:val="none" w:sz="0" w:space="0" w:color="auto"/>
        <w:left w:val="none" w:sz="0" w:space="0" w:color="auto"/>
        <w:bottom w:val="none" w:sz="0" w:space="0" w:color="auto"/>
        <w:right w:val="none" w:sz="0" w:space="0" w:color="auto"/>
      </w:divBdr>
    </w:div>
    <w:div w:id="605772562">
      <w:bodyDiv w:val="1"/>
      <w:marLeft w:val="0"/>
      <w:marRight w:val="0"/>
      <w:marTop w:val="0"/>
      <w:marBottom w:val="0"/>
      <w:divBdr>
        <w:top w:val="none" w:sz="0" w:space="0" w:color="auto"/>
        <w:left w:val="none" w:sz="0" w:space="0" w:color="auto"/>
        <w:bottom w:val="none" w:sz="0" w:space="0" w:color="auto"/>
        <w:right w:val="none" w:sz="0" w:space="0" w:color="auto"/>
      </w:divBdr>
    </w:div>
    <w:div w:id="606037300">
      <w:bodyDiv w:val="1"/>
      <w:marLeft w:val="0"/>
      <w:marRight w:val="0"/>
      <w:marTop w:val="0"/>
      <w:marBottom w:val="0"/>
      <w:divBdr>
        <w:top w:val="none" w:sz="0" w:space="0" w:color="auto"/>
        <w:left w:val="none" w:sz="0" w:space="0" w:color="auto"/>
        <w:bottom w:val="none" w:sz="0" w:space="0" w:color="auto"/>
        <w:right w:val="none" w:sz="0" w:space="0" w:color="auto"/>
      </w:divBdr>
    </w:div>
    <w:div w:id="606815446">
      <w:bodyDiv w:val="1"/>
      <w:marLeft w:val="0"/>
      <w:marRight w:val="0"/>
      <w:marTop w:val="0"/>
      <w:marBottom w:val="0"/>
      <w:divBdr>
        <w:top w:val="none" w:sz="0" w:space="0" w:color="auto"/>
        <w:left w:val="none" w:sz="0" w:space="0" w:color="auto"/>
        <w:bottom w:val="none" w:sz="0" w:space="0" w:color="auto"/>
        <w:right w:val="none" w:sz="0" w:space="0" w:color="auto"/>
      </w:divBdr>
    </w:div>
    <w:div w:id="606817172">
      <w:bodyDiv w:val="1"/>
      <w:marLeft w:val="0"/>
      <w:marRight w:val="0"/>
      <w:marTop w:val="0"/>
      <w:marBottom w:val="0"/>
      <w:divBdr>
        <w:top w:val="none" w:sz="0" w:space="0" w:color="auto"/>
        <w:left w:val="none" w:sz="0" w:space="0" w:color="auto"/>
        <w:bottom w:val="none" w:sz="0" w:space="0" w:color="auto"/>
        <w:right w:val="none" w:sz="0" w:space="0" w:color="auto"/>
      </w:divBdr>
    </w:div>
    <w:div w:id="607737866">
      <w:bodyDiv w:val="1"/>
      <w:marLeft w:val="0"/>
      <w:marRight w:val="0"/>
      <w:marTop w:val="0"/>
      <w:marBottom w:val="0"/>
      <w:divBdr>
        <w:top w:val="none" w:sz="0" w:space="0" w:color="auto"/>
        <w:left w:val="none" w:sz="0" w:space="0" w:color="auto"/>
        <w:bottom w:val="none" w:sz="0" w:space="0" w:color="auto"/>
        <w:right w:val="none" w:sz="0" w:space="0" w:color="auto"/>
      </w:divBdr>
    </w:div>
    <w:div w:id="607809204">
      <w:bodyDiv w:val="1"/>
      <w:marLeft w:val="0"/>
      <w:marRight w:val="0"/>
      <w:marTop w:val="0"/>
      <w:marBottom w:val="0"/>
      <w:divBdr>
        <w:top w:val="none" w:sz="0" w:space="0" w:color="auto"/>
        <w:left w:val="none" w:sz="0" w:space="0" w:color="auto"/>
        <w:bottom w:val="none" w:sz="0" w:space="0" w:color="auto"/>
        <w:right w:val="none" w:sz="0" w:space="0" w:color="auto"/>
      </w:divBdr>
    </w:div>
    <w:div w:id="607859000">
      <w:bodyDiv w:val="1"/>
      <w:marLeft w:val="0"/>
      <w:marRight w:val="0"/>
      <w:marTop w:val="0"/>
      <w:marBottom w:val="0"/>
      <w:divBdr>
        <w:top w:val="none" w:sz="0" w:space="0" w:color="auto"/>
        <w:left w:val="none" w:sz="0" w:space="0" w:color="auto"/>
        <w:bottom w:val="none" w:sz="0" w:space="0" w:color="auto"/>
        <w:right w:val="none" w:sz="0" w:space="0" w:color="auto"/>
      </w:divBdr>
    </w:div>
    <w:div w:id="608590707">
      <w:bodyDiv w:val="1"/>
      <w:marLeft w:val="0"/>
      <w:marRight w:val="0"/>
      <w:marTop w:val="0"/>
      <w:marBottom w:val="0"/>
      <w:divBdr>
        <w:top w:val="none" w:sz="0" w:space="0" w:color="auto"/>
        <w:left w:val="none" w:sz="0" w:space="0" w:color="auto"/>
        <w:bottom w:val="none" w:sz="0" w:space="0" w:color="auto"/>
        <w:right w:val="none" w:sz="0" w:space="0" w:color="auto"/>
      </w:divBdr>
    </w:div>
    <w:div w:id="609238253">
      <w:bodyDiv w:val="1"/>
      <w:marLeft w:val="0"/>
      <w:marRight w:val="0"/>
      <w:marTop w:val="0"/>
      <w:marBottom w:val="0"/>
      <w:divBdr>
        <w:top w:val="none" w:sz="0" w:space="0" w:color="auto"/>
        <w:left w:val="none" w:sz="0" w:space="0" w:color="auto"/>
        <w:bottom w:val="none" w:sz="0" w:space="0" w:color="auto"/>
        <w:right w:val="none" w:sz="0" w:space="0" w:color="auto"/>
      </w:divBdr>
    </w:div>
    <w:div w:id="609554804">
      <w:bodyDiv w:val="1"/>
      <w:marLeft w:val="0"/>
      <w:marRight w:val="0"/>
      <w:marTop w:val="0"/>
      <w:marBottom w:val="0"/>
      <w:divBdr>
        <w:top w:val="none" w:sz="0" w:space="0" w:color="auto"/>
        <w:left w:val="none" w:sz="0" w:space="0" w:color="auto"/>
        <w:bottom w:val="none" w:sz="0" w:space="0" w:color="auto"/>
        <w:right w:val="none" w:sz="0" w:space="0" w:color="auto"/>
      </w:divBdr>
    </w:div>
    <w:div w:id="610013306">
      <w:bodyDiv w:val="1"/>
      <w:marLeft w:val="0"/>
      <w:marRight w:val="0"/>
      <w:marTop w:val="0"/>
      <w:marBottom w:val="0"/>
      <w:divBdr>
        <w:top w:val="none" w:sz="0" w:space="0" w:color="auto"/>
        <w:left w:val="none" w:sz="0" w:space="0" w:color="auto"/>
        <w:bottom w:val="none" w:sz="0" w:space="0" w:color="auto"/>
        <w:right w:val="none" w:sz="0" w:space="0" w:color="auto"/>
      </w:divBdr>
    </w:div>
    <w:div w:id="610552655">
      <w:bodyDiv w:val="1"/>
      <w:marLeft w:val="0"/>
      <w:marRight w:val="0"/>
      <w:marTop w:val="0"/>
      <w:marBottom w:val="0"/>
      <w:divBdr>
        <w:top w:val="none" w:sz="0" w:space="0" w:color="auto"/>
        <w:left w:val="none" w:sz="0" w:space="0" w:color="auto"/>
        <w:bottom w:val="none" w:sz="0" w:space="0" w:color="auto"/>
        <w:right w:val="none" w:sz="0" w:space="0" w:color="auto"/>
      </w:divBdr>
    </w:div>
    <w:div w:id="610628863">
      <w:bodyDiv w:val="1"/>
      <w:marLeft w:val="0"/>
      <w:marRight w:val="0"/>
      <w:marTop w:val="0"/>
      <w:marBottom w:val="0"/>
      <w:divBdr>
        <w:top w:val="none" w:sz="0" w:space="0" w:color="auto"/>
        <w:left w:val="none" w:sz="0" w:space="0" w:color="auto"/>
        <w:bottom w:val="none" w:sz="0" w:space="0" w:color="auto"/>
        <w:right w:val="none" w:sz="0" w:space="0" w:color="auto"/>
      </w:divBdr>
    </w:div>
    <w:div w:id="610745959">
      <w:bodyDiv w:val="1"/>
      <w:marLeft w:val="0"/>
      <w:marRight w:val="0"/>
      <w:marTop w:val="0"/>
      <w:marBottom w:val="0"/>
      <w:divBdr>
        <w:top w:val="none" w:sz="0" w:space="0" w:color="auto"/>
        <w:left w:val="none" w:sz="0" w:space="0" w:color="auto"/>
        <w:bottom w:val="none" w:sz="0" w:space="0" w:color="auto"/>
        <w:right w:val="none" w:sz="0" w:space="0" w:color="auto"/>
      </w:divBdr>
    </w:div>
    <w:div w:id="611058279">
      <w:bodyDiv w:val="1"/>
      <w:marLeft w:val="0"/>
      <w:marRight w:val="0"/>
      <w:marTop w:val="0"/>
      <w:marBottom w:val="0"/>
      <w:divBdr>
        <w:top w:val="none" w:sz="0" w:space="0" w:color="auto"/>
        <w:left w:val="none" w:sz="0" w:space="0" w:color="auto"/>
        <w:bottom w:val="none" w:sz="0" w:space="0" w:color="auto"/>
        <w:right w:val="none" w:sz="0" w:space="0" w:color="auto"/>
      </w:divBdr>
    </w:div>
    <w:div w:id="611285116">
      <w:bodyDiv w:val="1"/>
      <w:marLeft w:val="0"/>
      <w:marRight w:val="0"/>
      <w:marTop w:val="0"/>
      <w:marBottom w:val="0"/>
      <w:divBdr>
        <w:top w:val="none" w:sz="0" w:space="0" w:color="auto"/>
        <w:left w:val="none" w:sz="0" w:space="0" w:color="auto"/>
        <w:bottom w:val="none" w:sz="0" w:space="0" w:color="auto"/>
        <w:right w:val="none" w:sz="0" w:space="0" w:color="auto"/>
      </w:divBdr>
    </w:div>
    <w:div w:id="611398397">
      <w:bodyDiv w:val="1"/>
      <w:marLeft w:val="0"/>
      <w:marRight w:val="0"/>
      <w:marTop w:val="0"/>
      <w:marBottom w:val="0"/>
      <w:divBdr>
        <w:top w:val="none" w:sz="0" w:space="0" w:color="auto"/>
        <w:left w:val="none" w:sz="0" w:space="0" w:color="auto"/>
        <w:bottom w:val="none" w:sz="0" w:space="0" w:color="auto"/>
        <w:right w:val="none" w:sz="0" w:space="0" w:color="auto"/>
      </w:divBdr>
    </w:div>
    <w:div w:id="611402620">
      <w:bodyDiv w:val="1"/>
      <w:marLeft w:val="0"/>
      <w:marRight w:val="0"/>
      <w:marTop w:val="0"/>
      <w:marBottom w:val="0"/>
      <w:divBdr>
        <w:top w:val="none" w:sz="0" w:space="0" w:color="auto"/>
        <w:left w:val="none" w:sz="0" w:space="0" w:color="auto"/>
        <w:bottom w:val="none" w:sz="0" w:space="0" w:color="auto"/>
        <w:right w:val="none" w:sz="0" w:space="0" w:color="auto"/>
      </w:divBdr>
    </w:div>
    <w:div w:id="611786921">
      <w:bodyDiv w:val="1"/>
      <w:marLeft w:val="0"/>
      <w:marRight w:val="0"/>
      <w:marTop w:val="0"/>
      <w:marBottom w:val="0"/>
      <w:divBdr>
        <w:top w:val="none" w:sz="0" w:space="0" w:color="auto"/>
        <w:left w:val="none" w:sz="0" w:space="0" w:color="auto"/>
        <w:bottom w:val="none" w:sz="0" w:space="0" w:color="auto"/>
        <w:right w:val="none" w:sz="0" w:space="0" w:color="auto"/>
      </w:divBdr>
    </w:div>
    <w:div w:id="612908143">
      <w:bodyDiv w:val="1"/>
      <w:marLeft w:val="0"/>
      <w:marRight w:val="0"/>
      <w:marTop w:val="0"/>
      <w:marBottom w:val="0"/>
      <w:divBdr>
        <w:top w:val="none" w:sz="0" w:space="0" w:color="auto"/>
        <w:left w:val="none" w:sz="0" w:space="0" w:color="auto"/>
        <w:bottom w:val="none" w:sz="0" w:space="0" w:color="auto"/>
        <w:right w:val="none" w:sz="0" w:space="0" w:color="auto"/>
      </w:divBdr>
    </w:div>
    <w:div w:id="613901372">
      <w:bodyDiv w:val="1"/>
      <w:marLeft w:val="0"/>
      <w:marRight w:val="0"/>
      <w:marTop w:val="0"/>
      <w:marBottom w:val="0"/>
      <w:divBdr>
        <w:top w:val="none" w:sz="0" w:space="0" w:color="auto"/>
        <w:left w:val="none" w:sz="0" w:space="0" w:color="auto"/>
        <w:bottom w:val="none" w:sz="0" w:space="0" w:color="auto"/>
        <w:right w:val="none" w:sz="0" w:space="0" w:color="auto"/>
      </w:divBdr>
    </w:div>
    <w:div w:id="614096616">
      <w:bodyDiv w:val="1"/>
      <w:marLeft w:val="0"/>
      <w:marRight w:val="0"/>
      <w:marTop w:val="0"/>
      <w:marBottom w:val="0"/>
      <w:divBdr>
        <w:top w:val="none" w:sz="0" w:space="0" w:color="auto"/>
        <w:left w:val="none" w:sz="0" w:space="0" w:color="auto"/>
        <w:bottom w:val="none" w:sz="0" w:space="0" w:color="auto"/>
        <w:right w:val="none" w:sz="0" w:space="0" w:color="auto"/>
      </w:divBdr>
    </w:div>
    <w:div w:id="616566521">
      <w:bodyDiv w:val="1"/>
      <w:marLeft w:val="0"/>
      <w:marRight w:val="0"/>
      <w:marTop w:val="0"/>
      <w:marBottom w:val="0"/>
      <w:divBdr>
        <w:top w:val="none" w:sz="0" w:space="0" w:color="auto"/>
        <w:left w:val="none" w:sz="0" w:space="0" w:color="auto"/>
        <w:bottom w:val="none" w:sz="0" w:space="0" w:color="auto"/>
        <w:right w:val="none" w:sz="0" w:space="0" w:color="auto"/>
      </w:divBdr>
    </w:div>
    <w:div w:id="616837791">
      <w:bodyDiv w:val="1"/>
      <w:marLeft w:val="0"/>
      <w:marRight w:val="0"/>
      <w:marTop w:val="0"/>
      <w:marBottom w:val="0"/>
      <w:divBdr>
        <w:top w:val="none" w:sz="0" w:space="0" w:color="auto"/>
        <w:left w:val="none" w:sz="0" w:space="0" w:color="auto"/>
        <w:bottom w:val="none" w:sz="0" w:space="0" w:color="auto"/>
        <w:right w:val="none" w:sz="0" w:space="0" w:color="auto"/>
      </w:divBdr>
    </w:div>
    <w:div w:id="617218548">
      <w:bodyDiv w:val="1"/>
      <w:marLeft w:val="0"/>
      <w:marRight w:val="0"/>
      <w:marTop w:val="0"/>
      <w:marBottom w:val="0"/>
      <w:divBdr>
        <w:top w:val="none" w:sz="0" w:space="0" w:color="auto"/>
        <w:left w:val="none" w:sz="0" w:space="0" w:color="auto"/>
        <w:bottom w:val="none" w:sz="0" w:space="0" w:color="auto"/>
        <w:right w:val="none" w:sz="0" w:space="0" w:color="auto"/>
      </w:divBdr>
    </w:div>
    <w:div w:id="617376049">
      <w:bodyDiv w:val="1"/>
      <w:marLeft w:val="0"/>
      <w:marRight w:val="0"/>
      <w:marTop w:val="0"/>
      <w:marBottom w:val="0"/>
      <w:divBdr>
        <w:top w:val="none" w:sz="0" w:space="0" w:color="auto"/>
        <w:left w:val="none" w:sz="0" w:space="0" w:color="auto"/>
        <w:bottom w:val="none" w:sz="0" w:space="0" w:color="auto"/>
        <w:right w:val="none" w:sz="0" w:space="0" w:color="auto"/>
      </w:divBdr>
    </w:div>
    <w:div w:id="618149296">
      <w:bodyDiv w:val="1"/>
      <w:marLeft w:val="0"/>
      <w:marRight w:val="0"/>
      <w:marTop w:val="0"/>
      <w:marBottom w:val="0"/>
      <w:divBdr>
        <w:top w:val="none" w:sz="0" w:space="0" w:color="auto"/>
        <w:left w:val="none" w:sz="0" w:space="0" w:color="auto"/>
        <w:bottom w:val="none" w:sz="0" w:space="0" w:color="auto"/>
        <w:right w:val="none" w:sz="0" w:space="0" w:color="auto"/>
      </w:divBdr>
    </w:div>
    <w:div w:id="618217540">
      <w:bodyDiv w:val="1"/>
      <w:marLeft w:val="0"/>
      <w:marRight w:val="0"/>
      <w:marTop w:val="0"/>
      <w:marBottom w:val="0"/>
      <w:divBdr>
        <w:top w:val="none" w:sz="0" w:space="0" w:color="auto"/>
        <w:left w:val="none" w:sz="0" w:space="0" w:color="auto"/>
        <w:bottom w:val="none" w:sz="0" w:space="0" w:color="auto"/>
        <w:right w:val="none" w:sz="0" w:space="0" w:color="auto"/>
      </w:divBdr>
    </w:div>
    <w:div w:id="618225564">
      <w:bodyDiv w:val="1"/>
      <w:marLeft w:val="0"/>
      <w:marRight w:val="0"/>
      <w:marTop w:val="0"/>
      <w:marBottom w:val="0"/>
      <w:divBdr>
        <w:top w:val="none" w:sz="0" w:space="0" w:color="auto"/>
        <w:left w:val="none" w:sz="0" w:space="0" w:color="auto"/>
        <w:bottom w:val="none" w:sz="0" w:space="0" w:color="auto"/>
        <w:right w:val="none" w:sz="0" w:space="0" w:color="auto"/>
      </w:divBdr>
    </w:div>
    <w:div w:id="618533924">
      <w:bodyDiv w:val="1"/>
      <w:marLeft w:val="0"/>
      <w:marRight w:val="0"/>
      <w:marTop w:val="0"/>
      <w:marBottom w:val="0"/>
      <w:divBdr>
        <w:top w:val="none" w:sz="0" w:space="0" w:color="auto"/>
        <w:left w:val="none" w:sz="0" w:space="0" w:color="auto"/>
        <w:bottom w:val="none" w:sz="0" w:space="0" w:color="auto"/>
        <w:right w:val="none" w:sz="0" w:space="0" w:color="auto"/>
      </w:divBdr>
    </w:div>
    <w:div w:id="618613579">
      <w:bodyDiv w:val="1"/>
      <w:marLeft w:val="0"/>
      <w:marRight w:val="0"/>
      <w:marTop w:val="0"/>
      <w:marBottom w:val="0"/>
      <w:divBdr>
        <w:top w:val="none" w:sz="0" w:space="0" w:color="auto"/>
        <w:left w:val="none" w:sz="0" w:space="0" w:color="auto"/>
        <w:bottom w:val="none" w:sz="0" w:space="0" w:color="auto"/>
        <w:right w:val="none" w:sz="0" w:space="0" w:color="auto"/>
      </w:divBdr>
    </w:div>
    <w:div w:id="619191057">
      <w:bodyDiv w:val="1"/>
      <w:marLeft w:val="0"/>
      <w:marRight w:val="0"/>
      <w:marTop w:val="0"/>
      <w:marBottom w:val="0"/>
      <w:divBdr>
        <w:top w:val="none" w:sz="0" w:space="0" w:color="auto"/>
        <w:left w:val="none" w:sz="0" w:space="0" w:color="auto"/>
        <w:bottom w:val="none" w:sz="0" w:space="0" w:color="auto"/>
        <w:right w:val="none" w:sz="0" w:space="0" w:color="auto"/>
      </w:divBdr>
    </w:div>
    <w:div w:id="619412431">
      <w:bodyDiv w:val="1"/>
      <w:marLeft w:val="0"/>
      <w:marRight w:val="0"/>
      <w:marTop w:val="0"/>
      <w:marBottom w:val="0"/>
      <w:divBdr>
        <w:top w:val="none" w:sz="0" w:space="0" w:color="auto"/>
        <w:left w:val="none" w:sz="0" w:space="0" w:color="auto"/>
        <w:bottom w:val="none" w:sz="0" w:space="0" w:color="auto"/>
        <w:right w:val="none" w:sz="0" w:space="0" w:color="auto"/>
      </w:divBdr>
    </w:div>
    <w:div w:id="619653987">
      <w:bodyDiv w:val="1"/>
      <w:marLeft w:val="0"/>
      <w:marRight w:val="0"/>
      <w:marTop w:val="0"/>
      <w:marBottom w:val="0"/>
      <w:divBdr>
        <w:top w:val="none" w:sz="0" w:space="0" w:color="auto"/>
        <w:left w:val="none" w:sz="0" w:space="0" w:color="auto"/>
        <w:bottom w:val="none" w:sz="0" w:space="0" w:color="auto"/>
        <w:right w:val="none" w:sz="0" w:space="0" w:color="auto"/>
      </w:divBdr>
    </w:div>
    <w:div w:id="619917606">
      <w:bodyDiv w:val="1"/>
      <w:marLeft w:val="0"/>
      <w:marRight w:val="0"/>
      <w:marTop w:val="0"/>
      <w:marBottom w:val="0"/>
      <w:divBdr>
        <w:top w:val="none" w:sz="0" w:space="0" w:color="auto"/>
        <w:left w:val="none" w:sz="0" w:space="0" w:color="auto"/>
        <w:bottom w:val="none" w:sz="0" w:space="0" w:color="auto"/>
        <w:right w:val="none" w:sz="0" w:space="0" w:color="auto"/>
      </w:divBdr>
    </w:div>
    <w:div w:id="619922672">
      <w:bodyDiv w:val="1"/>
      <w:marLeft w:val="0"/>
      <w:marRight w:val="0"/>
      <w:marTop w:val="0"/>
      <w:marBottom w:val="0"/>
      <w:divBdr>
        <w:top w:val="none" w:sz="0" w:space="0" w:color="auto"/>
        <w:left w:val="none" w:sz="0" w:space="0" w:color="auto"/>
        <w:bottom w:val="none" w:sz="0" w:space="0" w:color="auto"/>
        <w:right w:val="none" w:sz="0" w:space="0" w:color="auto"/>
      </w:divBdr>
    </w:div>
    <w:div w:id="620234352">
      <w:bodyDiv w:val="1"/>
      <w:marLeft w:val="0"/>
      <w:marRight w:val="0"/>
      <w:marTop w:val="0"/>
      <w:marBottom w:val="0"/>
      <w:divBdr>
        <w:top w:val="none" w:sz="0" w:space="0" w:color="auto"/>
        <w:left w:val="none" w:sz="0" w:space="0" w:color="auto"/>
        <w:bottom w:val="none" w:sz="0" w:space="0" w:color="auto"/>
        <w:right w:val="none" w:sz="0" w:space="0" w:color="auto"/>
      </w:divBdr>
    </w:div>
    <w:div w:id="621347676">
      <w:bodyDiv w:val="1"/>
      <w:marLeft w:val="0"/>
      <w:marRight w:val="0"/>
      <w:marTop w:val="0"/>
      <w:marBottom w:val="0"/>
      <w:divBdr>
        <w:top w:val="none" w:sz="0" w:space="0" w:color="auto"/>
        <w:left w:val="none" w:sz="0" w:space="0" w:color="auto"/>
        <w:bottom w:val="none" w:sz="0" w:space="0" w:color="auto"/>
        <w:right w:val="none" w:sz="0" w:space="0" w:color="auto"/>
      </w:divBdr>
    </w:div>
    <w:div w:id="621498549">
      <w:bodyDiv w:val="1"/>
      <w:marLeft w:val="0"/>
      <w:marRight w:val="0"/>
      <w:marTop w:val="0"/>
      <w:marBottom w:val="0"/>
      <w:divBdr>
        <w:top w:val="none" w:sz="0" w:space="0" w:color="auto"/>
        <w:left w:val="none" w:sz="0" w:space="0" w:color="auto"/>
        <w:bottom w:val="none" w:sz="0" w:space="0" w:color="auto"/>
        <w:right w:val="none" w:sz="0" w:space="0" w:color="auto"/>
      </w:divBdr>
    </w:div>
    <w:div w:id="621769290">
      <w:bodyDiv w:val="1"/>
      <w:marLeft w:val="0"/>
      <w:marRight w:val="0"/>
      <w:marTop w:val="0"/>
      <w:marBottom w:val="0"/>
      <w:divBdr>
        <w:top w:val="none" w:sz="0" w:space="0" w:color="auto"/>
        <w:left w:val="none" w:sz="0" w:space="0" w:color="auto"/>
        <w:bottom w:val="none" w:sz="0" w:space="0" w:color="auto"/>
        <w:right w:val="none" w:sz="0" w:space="0" w:color="auto"/>
      </w:divBdr>
    </w:div>
    <w:div w:id="622275188">
      <w:bodyDiv w:val="1"/>
      <w:marLeft w:val="0"/>
      <w:marRight w:val="0"/>
      <w:marTop w:val="0"/>
      <w:marBottom w:val="0"/>
      <w:divBdr>
        <w:top w:val="none" w:sz="0" w:space="0" w:color="auto"/>
        <w:left w:val="none" w:sz="0" w:space="0" w:color="auto"/>
        <w:bottom w:val="none" w:sz="0" w:space="0" w:color="auto"/>
        <w:right w:val="none" w:sz="0" w:space="0" w:color="auto"/>
      </w:divBdr>
    </w:div>
    <w:div w:id="622687572">
      <w:bodyDiv w:val="1"/>
      <w:marLeft w:val="0"/>
      <w:marRight w:val="0"/>
      <w:marTop w:val="0"/>
      <w:marBottom w:val="0"/>
      <w:divBdr>
        <w:top w:val="none" w:sz="0" w:space="0" w:color="auto"/>
        <w:left w:val="none" w:sz="0" w:space="0" w:color="auto"/>
        <w:bottom w:val="none" w:sz="0" w:space="0" w:color="auto"/>
        <w:right w:val="none" w:sz="0" w:space="0" w:color="auto"/>
      </w:divBdr>
    </w:div>
    <w:div w:id="623074769">
      <w:bodyDiv w:val="1"/>
      <w:marLeft w:val="0"/>
      <w:marRight w:val="0"/>
      <w:marTop w:val="0"/>
      <w:marBottom w:val="0"/>
      <w:divBdr>
        <w:top w:val="none" w:sz="0" w:space="0" w:color="auto"/>
        <w:left w:val="none" w:sz="0" w:space="0" w:color="auto"/>
        <w:bottom w:val="none" w:sz="0" w:space="0" w:color="auto"/>
        <w:right w:val="none" w:sz="0" w:space="0" w:color="auto"/>
      </w:divBdr>
    </w:div>
    <w:div w:id="623542163">
      <w:bodyDiv w:val="1"/>
      <w:marLeft w:val="0"/>
      <w:marRight w:val="0"/>
      <w:marTop w:val="0"/>
      <w:marBottom w:val="0"/>
      <w:divBdr>
        <w:top w:val="none" w:sz="0" w:space="0" w:color="auto"/>
        <w:left w:val="none" w:sz="0" w:space="0" w:color="auto"/>
        <w:bottom w:val="none" w:sz="0" w:space="0" w:color="auto"/>
        <w:right w:val="none" w:sz="0" w:space="0" w:color="auto"/>
      </w:divBdr>
    </w:div>
    <w:div w:id="624042597">
      <w:bodyDiv w:val="1"/>
      <w:marLeft w:val="0"/>
      <w:marRight w:val="0"/>
      <w:marTop w:val="0"/>
      <w:marBottom w:val="0"/>
      <w:divBdr>
        <w:top w:val="none" w:sz="0" w:space="0" w:color="auto"/>
        <w:left w:val="none" w:sz="0" w:space="0" w:color="auto"/>
        <w:bottom w:val="none" w:sz="0" w:space="0" w:color="auto"/>
        <w:right w:val="none" w:sz="0" w:space="0" w:color="auto"/>
      </w:divBdr>
    </w:div>
    <w:div w:id="624048181">
      <w:bodyDiv w:val="1"/>
      <w:marLeft w:val="0"/>
      <w:marRight w:val="0"/>
      <w:marTop w:val="0"/>
      <w:marBottom w:val="0"/>
      <w:divBdr>
        <w:top w:val="none" w:sz="0" w:space="0" w:color="auto"/>
        <w:left w:val="none" w:sz="0" w:space="0" w:color="auto"/>
        <w:bottom w:val="none" w:sz="0" w:space="0" w:color="auto"/>
        <w:right w:val="none" w:sz="0" w:space="0" w:color="auto"/>
      </w:divBdr>
    </w:div>
    <w:div w:id="624121868">
      <w:bodyDiv w:val="1"/>
      <w:marLeft w:val="0"/>
      <w:marRight w:val="0"/>
      <w:marTop w:val="0"/>
      <w:marBottom w:val="0"/>
      <w:divBdr>
        <w:top w:val="none" w:sz="0" w:space="0" w:color="auto"/>
        <w:left w:val="none" w:sz="0" w:space="0" w:color="auto"/>
        <w:bottom w:val="none" w:sz="0" w:space="0" w:color="auto"/>
        <w:right w:val="none" w:sz="0" w:space="0" w:color="auto"/>
      </w:divBdr>
    </w:div>
    <w:div w:id="624502427">
      <w:bodyDiv w:val="1"/>
      <w:marLeft w:val="0"/>
      <w:marRight w:val="0"/>
      <w:marTop w:val="0"/>
      <w:marBottom w:val="0"/>
      <w:divBdr>
        <w:top w:val="none" w:sz="0" w:space="0" w:color="auto"/>
        <w:left w:val="none" w:sz="0" w:space="0" w:color="auto"/>
        <w:bottom w:val="none" w:sz="0" w:space="0" w:color="auto"/>
        <w:right w:val="none" w:sz="0" w:space="0" w:color="auto"/>
      </w:divBdr>
    </w:div>
    <w:div w:id="625549384">
      <w:bodyDiv w:val="1"/>
      <w:marLeft w:val="0"/>
      <w:marRight w:val="0"/>
      <w:marTop w:val="0"/>
      <w:marBottom w:val="0"/>
      <w:divBdr>
        <w:top w:val="none" w:sz="0" w:space="0" w:color="auto"/>
        <w:left w:val="none" w:sz="0" w:space="0" w:color="auto"/>
        <w:bottom w:val="none" w:sz="0" w:space="0" w:color="auto"/>
        <w:right w:val="none" w:sz="0" w:space="0" w:color="auto"/>
      </w:divBdr>
    </w:div>
    <w:div w:id="626425775">
      <w:bodyDiv w:val="1"/>
      <w:marLeft w:val="0"/>
      <w:marRight w:val="0"/>
      <w:marTop w:val="0"/>
      <w:marBottom w:val="0"/>
      <w:divBdr>
        <w:top w:val="none" w:sz="0" w:space="0" w:color="auto"/>
        <w:left w:val="none" w:sz="0" w:space="0" w:color="auto"/>
        <w:bottom w:val="none" w:sz="0" w:space="0" w:color="auto"/>
        <w:right w:val="none" w:sz="0" w:space="0" w:color="auto"/>
      </w:divBdr>
    </w:div>
    <w:div w:id="626934517">
      <w:bodyDiv w:val="1"/>
      <w:marLeft w:val="0"/>
      <w:marRight w:val="0"/>
      <w:marTop w:val="0"/>
      <w:marBottom w:val="0"/>
      <w:divBdr>
        <w:top w:val="none" w:sz="0" w:space="0" w:color="auto"/>
        <w:left w:val="none" w:sz="0" w:space="0" w:color="auto"/>
        <w:bottom w:val="none" w:sz="0" w:space="0" w:color="auto"/>
        <w:right w:val="none" w:sz="0" w:space="0" w:color="auto"/>
      </w:divBdr>
    </w:div>
    <w:div w:id="627128155">
      <w:bodyDiv w:val="1"/>
      <w:marLeft w:val="0"/>
      <w:marRight w:val="0"/>
      <w:marTop w:val="0"/>
      <w:marBottom w:val="0"/>
      <w:divBdr>
        <w:top w:val="none" w:sz="0" w:space="0" w:color="auto"/>
        <w:left w:val="none" w:sz="0" w:space="0" w:color="auto"/>
        <w:bottom w:val="none" w:sz="0" w:space="0" w:color="auto"/>
        <w:right w:val="none" w:sz="0" w:space="0" w:color="auto"/>
      </w:divBdr>
    </w:div>
    <w:div w:id="627979274">
      <w:bodyDiv w:val="1"/>
      <w:marLeft w:val="0"/>
      <w:marRight w:val="0"/>
      <w:marTop w:val="0"/>
      <w:marBottom w:val="0"/>
      <w:divBdr>
        <w:top w:val="none" w:sz="0" w:space="0" w:color="auto"/>
        <w:left w:val="none" w:sz="0" w:space="0" w:color="auto"/>
        <w:bottom w:val="none" w:sz="0" w:space="0" w:color="auto"/>
        <w:right w:val="none" w:sz="0" w:space="0" w:color="auto"/>
      </w:divBdr>
    </w:div>
    <w:div w:id="628510612">
      <w:bodyDiv w:val="1"/>
      <w:marLeft w:val="0"/>
      <w:marRight w:val="0"/>
      <w:marTop w:val="0"/>
      <w:marBottom w:val="0"/>
      <w:divBdr>
        <w:top w:val="none" w:sz="0" w:space="0" w:color="auto"/>
        <w:left w:val="none" w:sz="0" w:space="0" w:color="auto"/>
        <w:bottom w:val="none" w:sz="0" w:space="0" w:color="auto"/>
        <w:right w:val="none" w:sz="0" w:space="0" w:color="auto"/>
      </w:divBdr>
    </w:div>
    <w:div w:id="628977780">
      <w:bodyDiv w:val="1"/>
      <w:marLeft w:val="0"/>
      <w:marRight w:val="0"/>
      <w:marTop w:val="0"/>
      <w:marBottom w:val="0"/>
      <w:divBdr>
        <w:top w:val="none" w:sz="0" w:space="0" w:color="auto"/>
        <w:left w:val="none" w:sz="0" w:space="0" w:color="auto"/>
        <w:bottom w:val="none" w:sz="0" w:space="0" w:color="auto"/>
        <w:right w:val="none" w:sz="0" w:space="0" w:color="auto"/>
      </w:divBdr>
    </w:div>
    <w:div w:id="629670046">
      <w:bodyDiv w:val="1"/>
      <w:marLeft w:val="0"/>
      <w:marRight w:val="0"/>
      <w:marTop w:val="0"/>
      <w:marBottom w:val="0"/>
      <w:divBdr>
        <w:top w:val="none" w:sz="0" w:space="0" w:color="auto"/>
        <w:left w:val="none" w:sz="0" w:space="0" w:color="auto"/>
        <w:bottom w:val="none" w:sz="0" w:space="0" w:color="auto"/>
        <w:right w:val="none" w:sz="0" w:space="0" w:color="auto"/>
      </w:divBdr>
    </w:div>
    <w:div w:id="630012417">
      <w:bodyDiv w:val="1"/>
      <w:marLeft w:val="0"/>
      <w:marRight w:val="0"/>
      <w:marTop w:val="0"/>
      <w:marBottom w:val="0"/>
      <w:divBdr>
        <w:top w:val="none" w:sz="0" w:space="0" w:color="auto"/>
        <w:left w:val="none" w:sz="0" w:space="0" w:color="auto"/>
        <w:bottom w:val="none" w:sz="0" w:space="0" w:color="auto"/>
        <w:right w:val="none" w:sz="0" w:space="0" w:color="auto"/>
      </w:divBdr>
    </w:div>
    <w:div w:id="630404272">
      <w:bodyDiv w:val="1"/>
      <w:marLeft w:val="0"/>
      <w:marRight w:val="0"/>
      <w:marTop w:val="0"/>
      <w:marBottom w:val="0"/>
      <w:divBdr>
        <w:top w:val="none" w:sz="0" w:space="0" w:color="auto"/>
        <w:left w:val="none" w:sz="0" w:space="0" w:color="auto"/>
        <w:bottom w:val="none" w:sz="0" w:space="0" w:color="auto"/>
        <w:right w:val="none" w:sz="0" w:space="0" w:color="auto"/>
      </w:divBdr>
    </w:div>
    <w:div w:id="631325750">
      <w:bodyDiv w:val="1"/>
      <w:marLeft w:val="0"/>
      <w:marRight w:val="0"/>
      <w:marTop w:val="0"/>
      <w:marBottom w:val="0"/>
      <w:divBdr>
        <w:top w:val="none" w:sz="0" w:space="0" w:color="auto"/>
        <w:left w:val="none" w:sz="0" w:space="0" w:color="auto"/>
        <w:bottom w:val="none" w:sz="0" w:space="0" w:color="auto"/>
        <w:right w:val="none" w:sz="0" w:space="0" w:color="auto"/>
      </w:divBdr>
    </w:div>
    <w:div w:id="631524910">
      <w:bodyDiv w:val="1"/>
      <w:marLeft w:val="0"/>
      <w:marRight w:val="0"/>
      <w:marTop w:val="0"/>
      <w:marBottom w:val="0"/>
      <w:divBdr>
        <w:top w:val="none" w:sz="0" w:space="0" w:color="auto"/>
        <w:left w:val="none" w:sz="0" w:space="0" w:color="auto"/>
        <w:bottom w:val="none" w:sz="0" w:space="0" w:color="auto"/>
        <w:right w:val="none" w:sz="0" w:space="0" w:color="auto"/>
      </w:divBdr>
    </w:div>
    <w:div w:id="631666902">
      <w:bodyDiv w:val="1"/>
      <w:marLeft w:val="0"/>
      <w:marRight w:val="0"/>
      <w:marTop w:val="0"/>
      <w:marBottom w:val="0"/>
      <w:divBdr>
        <w:top w:val="none" w:sz="0" w:space="0" w:color="auto"/>
        <w:left w:val="none" w:sz="0" w:space="0" w:color="auto"/>
        <w:bottom w:val="none" w:sz="0" w:space="0" w:color="auto"/>
        <w:right w:val="none" w:sz="0" w:space="0" w:color="auto"/>
      </w:divBdr>
    </w:div>
    <w:div w:id="631904192">
      <w:bodyDiv w:val="1"/>
      <w:marLeft w:val="0"/>
      <w:marRight w:val="0"/>
      <w:marTop w:val="0"/>
      <w:marBottom w:val="0"/>
      <w:divBdr>
        <w:top w:val="none" w:sz="0" w:space="0" w:color="auto"/>
        <w:left w:val="none" w:sz="0" w:space="0" w:color="auto"/>
        <w:bottom w:val="none" w:sz="0" w:space="0" w:color="auto"/>
        <w:right w:val="none" w:sz="0" w:space="0" w:color="auto"/>
      </w:divBdr>
    </w:div>
    <w:div w:id="632098676">
      <w:bodyDiv w:val="1"/>
      <w:marLeft w:val="0"/>
      <w:marRight w:val="0"/>
      <w:marTop w:val="0"/>
      <w:marBottom w:val="0"/>
      <w:divBdr>
        <w:top w:val="none" w:sz="0" w:space="0" w:color="auto"/>
        <w:left w:val="none" w:sz="0" w:space="0" w:color="auto"/>
        <w:bottom w:val="none" w:sz="0" w:space="0" w:color="auto"/>
        <w:right w:val="none" w:sz="0" w:space="0" w:color="auto"/>
      </w:divBdr>
    </w:div>
    <w:div w:id="632369581">
      <w:bodyDiv w:val="1"/>
      <w:marLeft w:val="0"/>
      <w:marRight w:val="0"/>
      <w:marTop w:val="0"/>
      <w:marBottom w:val="0"/>
      <w:divBdr>
        <w:top w:val="none" w:sz="0" w:space="0" w:color="auto"/>
        <w:left w:val="none" w:sz="0" w:space="0" w:color="auto"/>
        <w:bottom w:val="none" w:sz="0" w:space="0" w:color="auto"/>
        <w:right w:val="none" w:sz="0" w:space="0" w:color="auto"/>
      </w:divBdr>
    </w:div>
    <w:div w:id="632642105">
      <w:bodyDiv w:val="1"/>
      <w:marLeft w:val="0"/>
      <w:marRight w:val="0"/>
      <w:marTop w:val="0"/>
      <w:marBottom w:val="0"/>
      <w:divBdr>
        <w:top w:val="none" w:sz="0" w:space="0" w:color="auto"/>
        <w:left w:val="none" w:sz="0" w:space="0" w:color="auto"/>
        <w:bottom w:val="none" w:sz="0" w:space="0" w:color="auto"/>
        <w:right w:val="none" w:sz="0" w:space="0" w:color="auto"/>
      </w:divBdr>
    </w:div>
    <w:div w:id="632759706">
      <w:bodyDiv w:val="1"/>
      <w:marLeft w:val="0"/>
      <w:marRight w:val="0"/>
      <w:marTop w:val="0"/>
      <w:marBottom w:val="0"/>
      <w:divBdr>
        <w:top w:val="none" w:sz="0" w:space="0" w:color="auto"/>
        <w:left w:val="none" w:sz="0" w:space="0" w:color="auto"/>
        <w:bottom w:val="none" w:sz="0" w:space="0" w:color="auto"/>
        <w:right w:val="none" w:sz="0" w:space="0" w:color="auto"/>
      </w:divBdr>
    </w:div>
    <w:div w:id="633028581">
      <w:bodyDiv w:val="1"/>
      <w:marLeft w:val="0"/>
      <w:marRight w:val="0"/>
      <w:marTop w:val="0"/>
      <w:marBottom w:val="0"/>
      <w:divBdr>
        <w:top w:val="none" w:sz="0" w:space="0" w:color="auto"/>
        <w:left w:val="none" w:sz="0" w:space="0" w:color="auto"/>
        <w:bottom w:val="none" w:sz="0" w:space="0" w:color="auto"/>
        <w:right w:val="none" w:sz="0" w:space="0" w:color="auto"/>
      </w:divBdr>
    </w:div>
    <w:div w:id="633214736">
      <w:bodyDiv w:val="1"/>
      <w:marLeft w:val="0"/>
      <w:marRight w:val="0"/>
      <w:marTop w:val="0"/>
      <w:marBottom w:val="0"/>
      <w:divBdr>
        <w:top w:val="none" w:sz="0" w:space="0" w:color="auto"/>
        <w:left w:val="none" w:sz="0" w:space="0" w:color="auto"/>
        <w:bottom w:val="none" w:sz="0" w:space="0" w:color="auto"/>
        <w:right w:val="none" w:sz="0" w:space="0" w:color="auto"/>
      </w:divBdr>
    </w:div>
    <w:div w:id="633607418">
      <w:bodyDiv w:val="1"/>
      <w:marLeft w:val="0"/>
      <w:marRight w:val="0"/>
      <w:marTop w:val="0"/>
      <w:marBottom w:val="0"/>
      <w:divBdr>
        <w:top w:val="none" w:sz="0" w:space="0" w:color="auto"/>
        <w:left w:val="none" w:sz="0" w:space="0" w:color="auto"/>
        <w:bottom w:val="none" w:sz="0" w:space="0" w:color="auto"/>
        <w:right w:val="none" w:sz="0" w:space="0" w:color="auto"/>
      </w:divBdr>
    </w:div>
    <w:div w:id="633756614">
      <w:bodyDiv w:val="1"/>
      <w:marLeft w:val="0"/>
      <w:marRight w:val="0"/>
      <w:marTop w:val="0"/>
      <w:marBottom w:val="0"/>
      <w:divBdr>
        <w:top w:val="none" w:sz="0" w:space="0" w:color="auto"/>
        <w:left w:val="none" w:sz="0" w:space="0" w:color="auto"/>
        <w:bottom w:val="none" w:sz="0" w:space="0" w:color="auto"/>
        <w:right w:val="none" w:sz="0" w:space="0" w:color="auto"/>
      </w:divBdr>
    </w:div>
    <w:div w:id="633758254">
      <w:bodyDiv w:val="1"/>
      <w:marLeft w:val="0"/>
      <w:marRight w:val="0"/>
      <w:marTop w:val="0"/>
      <w:marBottom w:val="0"/>
      <w:divBdr>
        <w:top w:val="none" w:sz="0" w:space="0" w:color="auto"/>
        <w:left w:val="none" w:sz="0" w:space="0" w:color="auto"/>
        <w:bottom w:val="none" w:sz="0" w:space="0" w:color="auto"/>
        <w:right w:val="none" w:sz="0" w:space="0" w:color="auto"/>
      </w:divBdr>
    </w:div>
    <w:div w:id="634405925">
      <w:bodyDiv w:val="1"/>
      <w:marLeft w:val="0"/>
      <w:marRight w:val="0"/>
      <w:marTop w:val="0"/>
      <w:marBottom w:val="0"/>
      <w:divBdr>
        <w:top w:val="none" w:sz="0" w:space="0" w:color="auto"/>
        <w:left w:val="none" w:sz="0" w:space="0" w:color="auto"/>
        <w:bottom w:val="none" w:sz="0" w:space="0" w:color="auto"/>
        <w:right w:val="none" w:sz="0" w:space="0" w:color="auto"/>
      </w:divBdr>
    </w:div>
    <w:div w:id="634987653">
      <w:bodyDiv w:val="1"/>
      <w:marLeft w:val="0"/>
      <w:marRight w:val="0"/>
      <w:marTop w:val="0"/>
      <w:marBottom w:val="0"/>
      <w:divBdr>
        <w:top w:val="none" w:sz="0" w:space="0" w:color="auto"/>
        <w:left w:val="none" w:sz="0" w:space="0" w:color="auto"/>
        <w:bottom w:val="none" w:sz="0" w:space="0" w:color="auto"/>
        <w:right w:val="none" w:sz="0" w:space="0" w:color="auto"/>
      </w:divBdr>
    </w:div>
    <w:div w:id="635263623">
      <w:bodyDiv w:val="1"/>
      <w:marLeft w:val="0"/>
      <w:marRight w:val="0"/>
      <w:marTop w:val="0"/>
      <w:marBottom w:val="0"/>
      <w:divBdr>
        <w:top w:val="none" w:sz="0" w:space="0" w:color="auto"/>
        <w:left w:val="none" w:sz="0" w:space="0" w:color="auto"/>
        <w:bottom w:val="none" w:sz="0" w:space="0" w:color="auto"/>
        <w:right w:val="none" w:sz="0" w:space="0" w:color="auto"/>
      </w:divBdr>
    </w:div>
    <w:div w:id="635720703">
      <w:bodyDiv w:val="1"/>
      <w:marLeft w:val="0"/>
      <w:marRight w:val="0"/>
      <w:marTop w:val="0"/>
      <w:marBottom w:val="0"/>
      <w:divBdr>
        <w:top w:val="none" w:sz="0" w:space="0" w:color="auto"/>
        <w:left w:val="none" w:sz="0" w:space="0" w:color="auto"/>
        <w:bottom w:val="none" w:sz="0" w:space="0" w:color="auto"/>
        <w:right w:val="none" w:sz="0" w:space="0" w:color="auto"/>
      </w:divBdr>
    </w:div>
    <w:div w:id="635990398">
      <w:bodyDiv w:val="1"/>
      <w:marLeft w:val="0"/>
      <w:marRight w:val="0"/>
      <w:marTop w:val="0"/>
      <w:marBottom w:val="0"/>
      <w:divBdr>
        <w:top w:val="none" w:sz="0" w:space="0" w:color="auto"/>
        <w:left w:val="none" w:sz="0" w:space="0" w:color="auto"/>
        <w:bottom w:val="none" w:sz="0" w:space="0" w:color="auto"/>
        <w:right w:val="none" w:sz="0" w:space="0" w:color="auto"/>
      </w:divBdr>
    </w:div>
    <w:div w:id="636372466">
      <w:bodyDiv w:val="1"/>
      <w:marLeft w:val="0"/>
      <w:marRight w:val="0"/>
      <w:marTop w:val="0"/>
      <w:marBottom w:val="0"/>
      <w:divBdr>
        <w:top w:val="none" w:sz="0" w:space="0" w:color="auto"/>
        <w:left w:val="none" w:sz="0" w:space="0" w:color="auto"/>
        <w:bottom w:val="none" w:sz="0" w:space="0" w:color="auto"/>
        <w:right w:val="none" w:sz="0" w:space="0" w:color="auto"/>
      </w:divBdr>
    </w:div>
    <w:div w:id="636648594">
      <w:bodyDiv w:val="1"/>
      <w:marLeft w:val="0"/>
      <w:marRight w:val="0"/>
      <w:marTop w:val="0"/>
      <w:marBottom w:val="0"/>
      <w:divBdr>
        <w:top w:val="none" w:sz="0" w:space="0" w:color="auto"/>
        <w:left w:val="none" w:sz="0" w:space="0" w:color="auto"/>
        <w:bottom w:val="none" w:sz="0" w:space="0" w:color="auto"/>
        <w:right w:val="none" w:sz="0" w:space="0" w:color="auto"/>
      </w:divBdr>
    </w:div>
    <w:div w:id="637026975">
      <w:bodyDiv w:val="1"/>
      <w:marLeft w:val="0"/>
      <w:marRight w:val="0"/>
      <w:marTop w:val="0"/>
      <w:marBottom w:val="0"/>
      <w:divBdr>
        <w:top w:val="none" w:sz="0" w:space="0" w:color="auto"/>
        <w:left w:val="none" w:sz="0" w:space="0" w:color="auto"/>
        <w:bottom w:val="none" w:sz="0" w:space="0" w:color="auto"/>
        <w:right w:val="none" w:sz="0" w:space="0" w:color="auto"/>
      </w:divBdr>
    </w:div>
    <w:div w:id="637075866">
      <w:bodyDiv w:val="1"/>
      <w:marLeft w:val="0"/>
      <w:marRight w:val="0"/>
      <w:marTop w:val="0"/>
      <w:marBottom w:val="0"/>
      <w:divBdr>
        <w:top w:val="none" w:sz="0" w:space="0" w:color="auto"/>
        <w:left w:val="none" w:sz="0" w:space="0" w:color="auto"/>
        <w:bottom w:val="none" w:sz="0" w:space="0" w:color="auto"/>
        <w:right w:val="none" w:sz="0" w:space="0" w:color="auto"/>
      </w:divBdr>
    </w:div>
    <w:div w:id="637301112">
      <w:bodyDiv w:val="1"/>
      <w:marLeft w:val="0"/>
      <w:marRight w:val="0"/>
      <w:marTop w:val="0"/>
      <w:marBottom w:val="0"/>
      <w:divBdr>
        <w:top w:val="none" w:sz="0" w:space="0" w:color="auto"/>
        <w:left w:val="none" w:sz="0" w:space="0" w:color="auto"/>
        <w:bottom w:val="none" w:sz="0" w:space="0" w:color="auto"/>
        <w:right w:val="none" w:sz="0" w:space="0" w:color="auto"/>
      </w:divBdr>
    </w:div>
    <w:div w:id="638221382">
      <w:bodyDiv w:val="1"/>
      <w:marLeft w:val="0"/>
      <w:marRight w:val="0"/>
      <w:marTop w:val="0"/>
      <w:marBottom w:val="0"/>
      <w:divBdr>
        <w:top w:val="none" w:sz="0" w:space="0" w:color="auto"/>
        <w:left w:val="none" w:sz="0" w:space="0" w:color="auto"/>
        <w:bottom w:val="none" w:sz="0" w:space="0" w:color="auto"/>
        <w:right w:val="none" w:sz="0" w:space="0" w:color="auto"/>
      </w:divBdr>
    </w:div>
    <w:div w:id="638649816">
      <w:bodyDiv w:val="1"/>
      <w:marLeft w:val="0"/>
      <w:marRight w:val="0"/>
      <w:marTop w:val="0"/>
      <w:marBottom w:val="0"/>
      <w:divBdr>
        <w:top w:val="none" w:sz="0" w:space="0" w:color="auto"/>
        <w:left w:val="none" w:sz="0" w:space="0" w:color="auto"/>
        <w:bottom w:val="none" w:sz="0" w:space="0" w:color="auto"/>
        <w:right w:val="none" w:sz="0" w:space="0" w:color="auto"/>
      </w:divBdr>
    </w:div>
    <w:div w:id="638650593">
      <w:bodyDiv w:val="1"/>
      <w:marLeft w:val="0"/>
      <w:marRight w:val="0"/>
      <w:marTop w:val="0"/>
      <w:marBottom w:val="0"/>
      <w:divBdr>
        <w:top w:val="none" w:sz="0" w:space="0" w:color="auto"/>
        <w:left w:val="none" w:sz="0" w:space="0" w:color="auto"/>
        <w:bottom w:val="none" w:sz="0" w:space="0" w:color="auto"/>
        <w:right w:val="none" w:sz="0" w:space="0" w:color="auto"/>
      </w:divBdr>
    </w:div>
    <w:div w:id="638732041">
      <w:bodyDiv w:val="1"/>
      <w:marLeft w:val="0"/>
      <w:marRight w:val="0"/>
      <w:marTop w:val="0"/>
      <w:marBottom w:val="0"/>
      <w:divBdr>
        <w:top w:val="none" w:sz="0" w:space="0" w:color="auto"/>
        <w:left w:val="none" w:sz="0" w:space="0" w:color="auto"/>
        <w:bottom w:val="none" w:sz="0" w:space="0" w:color="auto"/>
        <w:right w:val="none" w:sz="0" w:space="0" w:color="auto"/>
      </w:divBdr>
    </w:div>
    <w:div w:id="639189321">
      <w:bodyDiv w:val="1"/>
      <w:marLeft w:val="0"/>
      <w:marRight w:val="0"/>
      <w:marTop w:val="0"/>
      <w:marBottom w:val="0"/>
      <w:divBdr>
        <w:top w:val="none" w:sz="0" w:space="0" w:color="auto"/>
        <w:left w:val="none" w:sz="0" w:space="0" w:color="auto"/>
        <w:bottom w:val="none" w:sz="0" w:space="0" w:color="auto"/>
        <w:right w:val="none" w:sz="0" w:space="0" w:color="auto"/>
      </w:divBdr>
    </w:div>
    <w:div w:id="640772304">
      <w:bodyDiv w:val="1"/>
      <w:marLeft w:val="0"/>
      <w:marRight w:val="0"/>
      <w:marTop w:val="0"/>
      <w:marBottom w:val="0"/>
      <w:divBdr>
        <w:top w:val="none" w:sz="0" w:space="0" w:color="auto"/>
        <w:left w:val="none" w:sz="0" w:space="0" w:color="auto"/>
        <w:bottom w:val="none" w:sz="0" w:space="0" w:color="auto"/>
        <w:right w:val="none" w:sz="0" w:space="0" w:color="auto"/>
      </w:divBdr>
    </w:div>
    <w:div w:id="641811533">
      <w:bodyDiv w:val="1"/>
      <w:marLeft w:val="0"/>
      <w:marRight w:val="0"/>
      <w:marTop w:val="0"/>
      <w:marBottom w:val="0"/>
      <w:divBdr>
        <w:top w:val="none" w:sz="0" w:space="0" w:color="auto"/>
        <w:left w:val="none" w:sz="0" w:space="0" w:color="auto"/>
        <w:bottom w:val="none" w:sz="0" w:space="0" w:color="auto"/>
        <w:right w:val="none" w:sz="0" w:space="0" w:color="auto"/>
      </w:divBdr>
    </w:div>
    <w:div w:id="641925615">
      <w:bodyDiv w:val="1"/>
      <w:marLeft w:val="0"/>
      <w:marRight w:val="0"/>
      <w:marTop w:val="0"/>
      <w:marBottom w:val="0"/>
      <w:divBdr>
        <w:top w:val="none" w:sz="0" w:space="0" w:color="auto"/>
        <w:left w:val="none" w:sz="0" w:space="0" w:color="auto"/>
        <w:bottom w:val="none" w:sz="0" w:space="0" w:color="auto"/>
        <w:right w:val="none" w:sz="0" w:space="0" w:color="auto"/>
      </w:divBdr>
    </w:div>
    <w:div w:id="643391946">
      <w:bodyDiv w:val="1"/>
      <w:marLeft w:val="0"/>
      <w:marRight w:val="0"/>
      <w:marTop w:val="0"/>
      <w:marBottom w:val="0"/>
      <w:divBdr>
        <w:top w:val="none" w:sz="0" w:space="0" w:color="auto"/>
        <w:left w:val="none" w:sz="0" w:space="0" w:color="auto"/>
        <w:bottom w:val="none" w:sz="0" w:space="0" w:color="auto"/>
        <w:right w:val="none" w:sz="0" w:space="0" w:color="auto"/>
      </w:divBdr>
    </w:div>
    <w:div w:id="643969895">
      <w:bodyDiv w:val="1"/>
      <w:marLeft w:val="0"/>
      <w:marRight w:val="0"/>
      <w:marTop w:val="0"/>
      <w:marBottom w:val="0"/>
      <w:divBdr>
        <w:top w:val="none" w:sz="0" w:space="0" w:color="auto"/>
        <w:left w:val="none" w:sz="0" w:space="0" w:color="auto"/>
        <w:bottom w:val="none" w:sz="0" w:space="0" w:color="auto"/>
        <w:right w:val="none" w:sz="0" w:space="0" w:color="auto"/>
      </w:divBdr>
    </w:div>
    <w:div w:id="644161397">
      <w:bodyDiv w:val="1"/>
      <w:marLeft w:val="0"/>
      <w:marRight w:val="0"/>
      <w:marTop w:val="0"/>
      <w:marBottom w:val="0"/>
      <w:divBdr>
        <w:top w:val="none" w:sz="0" w:space="0" w:color="auto"/>
        <w:left w:val="none" w:sz="0" w:space="0" w:color="auto"/>
        <w:bottom w:val="none" w:sz="0" w:space="0" w:color="auto"/>
        <w:right w:val="none" w:sz="0" w:space="0" w:color="auto"/>
      </w:divBdr>
    </w:div>
    <w:div w:id="644358203">
      <w:bodyDiv w:val="1"/>
      <w:marLeft w:val="0"/>
      <w:marRight w:val="0"/>
      <w:marTop w:val="0"/>
      <w:marBottom w:val="0"/>
      <w:divBdr>
        <w:top w:val="none" w:sz="0" w:space="0" w:color="auto"/>
        <w:left w:val="none" w:sz="0" w:space="0" w:color="auto"/>
        <w:bottom w:val="none" w:sz="0" w:space="0" w:color="auto"/>
        <w:right w:val="none" w:sz="0" w:space="0" w:color="auto"/>
      </w:divBdr>
    </w:div>
    <w:div w:id="644428687">
      <w:bodyDiv w:val="1"/>
      <w:marLeft w:val="0"/>
      <w:marRight w:val="0"/>
      <w:marTop w:val="0"/>
      <w:marBottom w:val="0"/>
      <w:divBdr>
        <w:top w:val="none" w:sz="0" w:space="0" w:color="auto"/>
        <w:left w:val="none" w:sz="0" w:space="0" w:color="auto"/>
        <w:bottom w:val="none" w:sz="0" w:space="0" w:color="auto"/>
        <w:right w:val="none" w:sz="0" w:space="0" w:color="auto"/>
      </w:divBdr>
    </w:div>
    <w:div w:id="646058473">
      <w:bodyDiv w:val="1"/>
      <w:marLeft w:val="0"/>
      <w:marRight w:val="0"/>
      <w:marTop w:val="0"/>
      <w:marBottom w:val="0"/>
      <w:divBdr>
        <w:top w:val="none" w:sz="0" w:space="0" w:color="auto"/>
        <w:left w:val="none" w:sz="0" w:space="0" w:color="auto"/>
        <w:bottom w:val="none" w:sz="0" w:space="0" w:color="auto"/>
        <w:right w:val="none" w:sz="0" w:space="0" w:color="auto"/>
      </w:divBdr>
    </w:div>
    <w:div w:id="646473831">
      <w:bodyDiv w:val="1"/>
      <w:marLeft w:val="0"/>
      <w:marRight w:val="0"/>
      <w:marTop w:val="0"/>
      <w:marBottom w:val="0"/>
      <w:divBdr>
        <w:top w:val="none" w:sz="0" w:space="0" w:color="auto"/>
        <w:left w:val="none" w:sz="0" w:space="0" w:color="auto"/>
        <w:bottom w:val="none" w:sz="0" w:space="0" w:color="auto"/>
        <w:right w:val="none" w:sz="0" w:space="0" w:color="auto"/>
      </w:divBdr>
    </w:div>
    <w:div w:id="647367570">
      <w:bodyDiv w:val="1"/>
      <w:marLeft w:val="0"/>
      <w:marRight w:val="0"/>
      <w:marTop w:val="0"/>
      <w:marBottom w:val="0"/>
      <w:divBdr>
        <w:top w:val="none" w:sz="0" w:space="0" w:color="auto"/>
        <w:left w:val="none" w:sz="0" w:space="0" w:color="auto"/>
        <w:bottom w:val="none" w:sz="0" w:space="0" w:color="auto"/>
        <w:right w:val="none" w:sz="0" w:space="0" w:color="auto"/>
      </w:divBdr>
    </w:div>
    <w:div w:id="647519661">
      <w:bodyDiv w:val="1"/>
      <w:marLeft w:val="0"/>
      <w:marRight w:val="0"/>
      <w:marTop w:val="0"/>
      <w:marBottom w:val="0"/>
      <w:divBdr>
        <w:top w:val="none" w:sz="0" w:space="0" w:color="auto"/>
        <w:left w:val="none" w:sz="0" w:space="0" w:color="auto"/>
        <w:bottom w:val="none" w:sz="0" w:space="0" w:color="auto"/>
        <w:right w:val="none" w:sz="0" w:space="0" w:color="auto"/>
      </w:divBdr>
    </w:div>
    <w:div w:id="647902972">
      <w:bodyDiv w:val="1"/>
      <w:marLeft w:val="0"/>
      <w:marRight w:val="0"/>
      <w:marTop w:val="0"/>
      <w:marBottom w:val="0"/>
      <w:divBdr>
        <w:top w:val="none" w:sz="0" w:space="0" w:color="auto"/>
        <w:left w:val="none" w:sz="0" w:space="0" w:color="auto"/>
        <w:bottom w:val="none" w:sz="0" w:space="0" w:color="auto"/>
        <w:right w:val="none" w:sz="0" w:space="0" w:color="auto"/>
      </w:divBdr>
    </w:div>
    <w:div w:id="648553125">
      <w:bodyDiv w:val="1"/>
      <w:marLeft w:val="0"/>
      <w:marRight w:val="0"/>
      <w:marTop w:val="0"/>
      <w:marBottom w:val="0"/>
      <w:divBdr>
        <w:top w:val="none" w:sz="0" w:space="0" w:color="auto"/>
        <w:left w:val="none" w:sz="0" w:space="0" w:color="auto"/>
        <w:bottom w:val="none" w:sz="0" w:space="0" w:color="auto"/>
        <w:right w:val="none" w:sz="0" w:space="0" w:color="auto"/>
      </w:divBdr>
    </w:div>
    <w:div w:id="648631424">
      <w:bodyDiv w:val="1"/>
      <w:marLeft w:val="0"/>
      <w:marRight w:val="0"/>
      <w:marTop w:val="0"/>
      <w:marBottom w:val="0"/>
      <w:divBdr>
        <w:top w:val="none" w:sz="0" w:space="0" w:color="auto"/>
        <w:left w:val="none" w:sz="0" w:space="0" w:color="auto"/>
        <w:bottom w:val="none" w:sz="0" w:space="0" w:color="auto"/>
        <w:right w:val="none" w:sz="0" w:space="0" w:color="auto"/>
      </w:divBdr>
    </w:div>
    <w:div w:id="648941657">
      <w:bodyDiv w:val="1"/>
      <w:marLeft w:val="0"/>
      <w:marRight w:val="0"/>
      <w:marTop w:val="0"/>
      <w:marBottom w:val="0"/>
      <w:divBdr>
        <w:top w:val="none" w:sz="0" w:space="0" w:color="auto"/>
        <w:left w:val="none" w:sz="0" w:space="0" w:color="auto"/>
        <w:bottom w:val="none" w:sz="0" w:space="0" w:color="auto"/>
        <w:right w:val="none" w:sz="0" w:space="0" w:color="auto"/>
      </w:divBdr>
    </w:div>
    <w:div w:id="650138607">
      <w:bodyDiv w:val="1"/>
      <w:marLeft w:val="0"/>
      <w:marRight w:val="0"/>
      <w:marTop w:val="0"/>
      <w:marBottom w:val="0"/>
      <w:divBdr>
        <w:top w:val="none" w:sz="0" w:space="0" w:color="auto"/>
        <w:left w:val="none" w:sz="0" w:space="0" w:color="auto"/>
        <w:bottom w:val="none" w:sz="0" w:space="0" w:color="auto"/>
        <w:right w:val="none" w:sz="0" w:space="0" w:color="auto"/>
      </w:divBdr>
    </w:div>
    <w:div w:id="650213904">
      <w:bodyDiv w:val="1"/>
      <w:marLeft w:val="0"/>
      <w:marRight w:val="0"/>
      <w:marTop w:val="0"/>
      <w:marBottom w:val="0"/>
      <w:divBdr>
        <w:top w:val="none" w:sz="0" w:space="0" w:color="auto"/>
        <w:left w:val="none" w:sz="0" w:space="0" w:color="auto"/>
        <w:bottom w:val="none" w:sz="0" w:space="0" w:color="auto"/>
        <w:right w:val="none" w:sz="0" w:space="0" w:color="auto"/>
      </w:divBdr>
    </w:div>
    <w:div w:id="650251693">
      <w:bodyDiv w:val="1"/>
      <w:marLeft w:val="0"/>
      <w:marRight w:val="0"/>
      <w:marTop w:val="0"/>
      <w:marBottom w:val="0"/>
      <w:divBdr>
        <w:top w:val="none" w:sz="0" w:space="0" w:color="auto"/>
        <w:left w:val="none" w:sz="0" w:space="0" w:color="auto"/>
        <w:bottom w:val="none" w:sz="0" w:space="0" w:color="auto"/>
        <w:right w:val="none" w:sz="0" w:space="0" w:color="auto"/>
      </w:divBdr>
    </w:div>
    <w:div w:id="650793008">
      <w:bodyDiv w:val="1"/>
      <w:marLeft w:val="0"/>
      <w:marRight w:val="0"/>
      <w:marTop w:val="0"/>
      <w:marBottom w:val="0"/>
      <w:divBdr>
        <w:top w:val="none" w:sz="0" w:space="0" w:color="auto"/>
        <w:left w:val="none" w:sz="0" w:space="0" w:color="auto"/>
        <w:bottom w:val="none" w:sz="0" w:space="0" w:color="auto"/>
        <w:right w:val="none" w:sz="0" w:space="0" w:color="auto"/>
      </w:divBdr>
    </w:div>
    <w:div w:id="650989994">
      <w:bodyDiv w:val="1"/>
      <w:marLeft w:val="0"/>
      <w:marRight w:val="0"/>
      <w:marTop w:val="0"/>
      <w:marBottom w:val="0"/>
      <w:divBdr>
        <w:top w:val="none" w:sz="0" w:space="0" w:color="auto"/>
        <w:left w:val="none" w:sz="0" w:space="0" w:color="auto"/>
        <w:bottom w:val="none" w:sz="0" w:space="0" w:color="auto"/>
        <w:right w:val="none" w:sz="0" w:space="0" w:color="auto"/>
      </w:divBdr>
    </w:div>
    <w:div w:id="651786631">
      <w:bodyDiv w:val="1"/>
      <w:marLeft w:val="0"/>
      <w:marRight w:val="0"/>
      <w:marTop w:val="0"/>
      <w:marBottom w:val="0"/>
      <w:divBdr>
        <w:top w:val="none" w:sz="0" w:space="0" w:color="auto"/>
        <w:left w:val="none" w:sz="0" w:space="0" w:color="auto"/>
        <w:bottom w:val="none" w:sz="0" w:space="0" w:color="auto"/>
        <w:right w:val="none" w:sz="0" w:space="0" w:color="auto"/>
      </w:divBdr>
    </w:div>
    <w:div w:id="652173491">
      <w:bodyDiv w:val="1"/>
      <w:marLeft w:val="0"/>
      <w:marRight w:val="0"/>
      <w:marTop w:val="0"/>
      <w:marBottom w:val="0"/>
      <w:divBdr>
        <w:top w:val="none" w:sz="0" w:space="0" w:color="auto"/>
        <w:left w:val="none" w:sz="0" w:space="0" w:color="auto"/>
        <w:bottom w:val="none" w:sz="0" w:space="0" w:color="auto"/>
        <w:right w:val="none" w:sz="0" w:space="0" w:color="auto"/>
      </w:divBdr>
    </w:div>
    <w:div w:id="652224612">
      <w:bodyDiv w:val="1"/>
      <w:marLeft w:val="0"/>
      <w:marRight w:val="0"/>
      <w:marTop w:val="0"/>
      <w:marBottom w:val="0"/>
      <w:divBdr>
        <w:top w:val="none" w:sz="0" w:space="0" w:color="auto"/>
        <w:left w:val="none" w:sz="0" w:space="0" w:color="auto"/>
        <w:bottom w:val="none" w:sz="0" w:space="0" w:color="auto"/>
        <w:right w:val="none" w:sz="0" w:space="0" w:color="auto"/>
      </w:divBdr>
    </w:div>
    <w:div w:id="652368403">
      <w:bodyDiv w:val="1"/>
      <w:marLeft w:val="0"/>
      <w:marRight w:val="0"/>
      <w:marTop w:val="0"/>
      <w:marBottom w:val="0"/>
      <w:divBdr>
        <w:top w:val="none" w:sz="0" w:space="0" w:color="auto"/>
        <w:left w:val="none" w:sz="0" w:space="0" w:color="auto"/>
        <w:bottom w:val="none" w:sz="0" w:space="0" w:color="auto"/>
        <w:right w:val="none" w:sz="0" w:space="0" w:color="auto"/>
      </w:divBdr>
    </w:div>
    <w:div w:id="653488294">
      <w:bodyDiv w:val="1"/>
      <w:marLeft w:val="0"/>
      <w:marRight w:val="0"/>
      <w:marTop w:val="0"/>
      <w:marBottom w:val="0"/>
      <w:divBdr>
        <w:top w:val="none" w:sz="0" w:space="0" w:color="auto"/>
        <w:left w:val="none" w:sz="0" w:space="0" w:color="auto"/>
        <w:bottom w:val="none" w:sz="0" w:space="0" w:color="auto"/>
        <w:right w:val="none" w:sz="0" w:space="0" w:color="auto"/>
      </w:divBdr>
    </w:div>
    <w:div w:id="653920838">
      <w:bodyDiv w:val="1"/>
      <w:marLeft w:val="0"/>
      <w:marRight w:val="0"/>
      <w:marTop w:val="0"/>
      <w:marBottom w:val="0"/>
      <w:divBdr>
        <w:top w:val="none" w:sz="0" w:space="0" w:color="auto"/>
        <w:left w:val="none" w:sz="0" w:space="0" w:color="auto"/>
        <w:bottom w:val="none" w:sz="0" w:space="0" w:color="auto"/>
        <w:right w:val="none" w:sz="0" w:space="0" w:color="auto"/>
      </w:divBdr>
    </w:div>
    <w:div w:id="654797189">
      <w:bodyDiv w:val="1"/>
      <w:marLeft w:val="0"/>
      <w:marRight w:val="0"/>
      <w:marTop w:val="0"/>
      <w:marBottom w:val="0"/>
      <w:divBdr>
        <w:top w:val="none" w:sz="0" w:space="0" w:color="auto"/>
        <w:left w:val="none" w:sz="0" w:space="0" w:color="auto"/>
        <w:bottom w:val="none" w:sz="0" w:space="0" w:color="auto"/>
        <w:right w:val="none" w:sz="0" w:space="0" w:color="auto"/>
      </w:divBdr>
    </w:div>
    <w:div w:id="655035296">
      <w:bodyDiv w:val="1"/>
      <w:marLeft w:val="0"/>
      <w:marRight w:val="0"/>
      <w:marTop w:val="0"/>
      <w:marBottom w:val="0"/>
      <w:divBdr>
        <w:top w:val="none" w:sz="0" w:space="0" w:color="auto"/>
        <w:left w:val="none" w:sz="0" w:space="0" w:color="auto"/>
        <w:bottom w:val="none" w:sz="0" w:space="0" w:color="auto"/>
        <w:right w:val="none" w:sz="0" w:space="0" w:color="auto"/>
      </w:divBdr>
    </w:div>
    <w:div w:id="656767012">
      <w:bodyDiv w:val="1"/>
      <w:marLeft w:val="0"/>
      <w:marRight w:val="0"/>
      <w:marTop w:val="0"/>
      <w:marBottom w:val="0"/>
      <w:divBdr>
        <w:top w:val="none" w:sz="0" w:space="0" w:color="auto"/>
        <w:left w:val="none" w:sz="0" w:space="0" w:color="auto"/>
        <w:bottom w:val="none" w:sz="0" w:space="0" w:color="auto"/>
        <w:right w:val="none" w:sz="0" w:space="0" w:color="auto"/>
      </w:divBdr>
    </w:div>
    <w:div w:id="657001478">
      <w:bodyDiv w:val="1"/>
      <w:marLeft w:val="0"/>
      <w:marRight w:val="0"/>
      <w:marTop w:val="0"/>
      <w:marBottom w:val="0"/>
      <w:divBdr>
        <w:top w:val="none" w:sz="0" w:space="0" w:color="auto"/>
        <w:left w:val="none" w:sz="0" w:space="0" w:color="auto"/>
        <w:bottom w:val="none" w:sz="0" w:space="0" w:color="auto"/>
        <w:right w:val="none" w:sz="0" w:space="0" w:color="auto"/>
      </w:divBdr>
    </w:div>
    <w:div w:id="657002516">
      <w:bodyDiv w:val="1"/>
      <w:marLeft w:val="0"/>
      <w:marRight w:val="0"/>
      <w:marTop w:val="0"/>
      <w:marBottom w:val="0"/>
      <w:divBdr>
        <w:top w:val="none" w:sz="0" w:space="0" w:color="auto"/>
        <w:left w:val="none" w:sz="0" w:space="0" w:color="auto"/>
        <w:bottom w:val="none" w:sz="0" w:space="0" w:color="auto"/>
        <w:right w:val="none" w:sz="0" w:space="0" w:color="auto"/>
      </w:divBdr>
    </w:div>
    <w:div w:id="657074868">
      <w:bodyDiv w:val="1"/>
      <w:marLeft w:val="0"/>
      <w:marRight w:val="0"/>
      <w:marTop w:val="0"/>
      <w:marBottom w:val="0"/>
      <w:divBdr>
        <w:top w:val="none" w:sz="0" w:space="0" w:color="auto"/>
        <w:left w:val="none" w:sz="0" w:space="0" w:color="auto"/>
        <w:bottom w:val="none" w:sz="0" w:space="0" w:color="auto"/>
        <w:right w:val="none" w:sz="0" w:space="0" w:color="auto"/>
      </w:divBdr>
    </w:div>
    <w:div w:id="658121302">
      <w:bodyDiv w:val="1"/>
      <w:marLeft w:val="0"/>
      <w:marRight w:val="0"/>
      <w:marTop w:val="0"/>
      <w:marBottom w:val="0"/>
      <w:divBdr>
        <w:top w:val="none" w:sz="0" w:space="0" w:color="auto"/>
        <w:left w:val="none" w:sz="0" w:space="0" w:color="auto"/>
        <w:bottom w:val="none" w:sz="0" w:space="0" w:color="auto"/>
        <w:right w:val="none" w:sz="0" w:space="0" w:color="auto"/>
      </w:divBdr>
    </w:div>
    <w:div w:id="658386008">
      <w:bodyDiv w:val="1"/>
      <w:marLeft w:val="0"/>
      <w:marRight w:val="0"/>
      <w:marTop w:val="0"/>
      <w:marBottom w:val="0"/>
      <w:divBdr>
        <w:top w:val="none" w:sz="0" w:space="0" w:color="auto"/>
        <w:left w:val="none" w:sz="0" w:space="0" w:color="auto"/>
        <w:bottom w:val="none" w:sz="0" w:space="0" w:color="auto"/>
        <w:right w:val="none" w:sz="0" w:space="0" w:color="auto"/>
      </w:divBdr>
    </w:div>
    <w:div w:id="658725976">
      <w:bodyDiv w:val="1"/>
      <w:marLeft w:val="0"/>
      <w:marRight w:val="0"/>
      <w:marTop w:val="0"/>
      <w:marBottom w:val="0"/>
      <w:divBdr>
        <w:top w:val="none" w:sz="0" w:space="0" w:color="auto"/>
        <w:left w:val="none" w:sz="0" w:space="0" w:color="auto"/>
        <w:bottom w:val="none" w:sz="0" w:space="0" w:color="auto"/>
        <w:right w:val="none" w:sz="0" w:space="0" w:color="auto"/>
      </w:divBdr>
    </w:div>
    <w:div w:id="658727453">
      <w:bodyDiv w:val="1"/>
      <w:marLeft w:val="0"/>
      <w:marRight w:val="0"/>
      <w:marTop w:val="0"/>
      <w:marBottom w:val="0"/>
      <w:divBdr>
        <w:top w:val="none" w:sz="0" w:space="0" w:color="auto"/>
        <w:left w:val="none" w:sz="0" w:space="0" w:color="auto"/>
        <w:bottom w:val="none" w:sz="0" w:space="0" w:color="auto"/>
        <w:right w:val="none" w:sz="0" w:space="0" w:color="auto"/>
      </w:divBdr>
    </w:div>
    <w:div w:id="658969649">
      <w:bodyDiv w:val="1"/>
      <w:marLeft w:val="0"/>
      <w:marRight w:val="0"/>
      <w:marTop w:val="0"/>
      <w:marBottom w:val="0"/>
      <w:divBdr>
        <w:top w:val="none" w:sz="0" w:space="0" w:color="auto"/>
        <w:left w:val="none" w:sz="0" w:space="0" w:color="auto"/>
        <w:bottom w:val="none" w:sz="0" w:space="0" w:color="auto"/>
        <w:right w:val="none" w:sz="0" w:space="0" w:color="auto"/>
      </w:divBdr>
    </w:div>
    <w:div w:id="661081414">
      <w:bodyDiv w:val="1"/>
      <w:marLeft w:val="0"/>
      <w:marRight w:val="0"/>
      <w:marTop w:val="0"/>
      <w:marBottom w:val="0"/>
      <w:divBdr>
        <w:top w:val="none" w:sz="0" w:space="0" w:color="auto"/>
        <w:left w:val="none" w:sz="0" w:space="0" w:color="auto"/>
        <w:bottom w:val="none" w:sz="0" w:space="0" w:color="auto"/>
        <w:right w:val="none" w:sz="0" w:space="0" w:color="auto"/>
      </w:divBdr>
    </w:div>
    <w:div w:id="661353349">
      <w:bodyDiv w:val="1"/>
      <w:marLeft w:val="0"/>
      <w:marRight w:val="0"/>
      <w:marTop w:val="0"/>
      <w:marBottom w:val="0"/>
      <w:divBdr>
        <w:top w:val="none" w:sz="0" w:space="0" w:color="auto"/>
        <w:left w:val="none" w:sz="0" w:space="0" w:color="auto"/>
        <w:bottom w:val="none" w:sz="0" w:space="0" w:color="auto"/>
        <w:right w:val="none" w:sz="0" w:space="0" w:color="auto"/>
      </w:divBdr>
    </w:div>
    <w:div w:id="661591295">
      <w:bodyDiv w:val="1"/>
      <w:marLeft w:val="0"/>
      <w:marRight w:val="0"/>
      <w:marTop w:val="0"/>
      <w:marBottom w:val="0"/>
      <w:divBdr>
        <w:top w:val="none" w:sz="0" w:space="0" w:color="auto"/>
        <w:left w:val="none" w:sz="0" w:space="0" w:color="auto"/>
        <w:bottom w:val="none" w:sz="0" w:space="0" w:color="auto"/>
        <w:right w:val="none" w:sz="0" w:space="0" w:color="auto"/>
      </w:divBdr>
    </w:div>
    <w:div w:id="661809767">
      <w:bodyDiv w:val="1"/>
      <w:marLeft w:val="0"/>
      <w:marRight w:val="0"/>
      <w:marTop w:val="0"/>
      <w:marBottom w:val="0"/>
      <w:divBdr>
        <w:top w:val="none" w:sz="0" w:space="0" w:color="auto"/>
        <w:left w:val="none" w:sz="0" w:space="0" w:color="auto"/>
        <w:bottom w:val="none" w:sz="0" w:space="0" w:color="auto"/>
        <w:right w:val="none" w:sz="0" w:space="0" w:color="auto"/>
      </w:divBdr>
    </w:div>
    <w:div w:id="661860122">
      <w:bodyDiv w:val="1"/>
      <w:marLeft w:val="0"/>
      <w:marRight w:val="0"/>
      <w:marTop w:val="0"/>
      <w:marBottom w:val="0"/>
      <w:divBdr>
        <w:top w:val="none" w:sz="0" w:space="0" w:color="auto"/>
        <w:left w:val="none" w:sz="0" w:space="0" w:color="auto"/>
        <w:bottom w:val="none" w:sz="0" w:space="0" w:color="auto"/>
        <w:right w:val="none" w:sz="0" w:space="0" w:color="auto"/>
      </w:divBdr>
    </w:div>
    <w:div w:id="663357451">
      <w:bodyDiv w:val="1"/>
      <w:marLeft w:val="0"/>
      <w:marRight w:val="0"/>
      <w:marTop w:val="0"/>
      <w:marBottom w:val="0"/>
      <w:divBdr>
        <w:top w:val="none" w:sz="0" w:space="0" w:color="auto"/>
        <w:left w:val="none" w:sz="0" w:space="0" w:color="auto"/>
        <w:bottom w:val="none" w:sz="0" w:space="0" w:color="auto"/>
        <w:right w:val="none" w:sz="0" w:space="0" w:color="auto"/>
      </w:divBdr>
    </w:div>
    <w:div w:id="663437160">
      <w:bodyDiv w:val="1"/>
      <w:marLeft w:val="0"/>
      <w:marRight w:val="0"/>
      <w:marTop w:val="0"/>
      <w:marBottom w:val="0"/>
      <w:divBdr>
        <w:top w:val="none" w:sz="0" w:space="0" w:color="auto"/>
        <w:left w:val="none" w:sz="0" w:space="0" w:color="auto"/>
        <w:bottom w:val="none" w:sz="0" w:space="0" w:color="auto"/>
        <w:right w:val="none" w:sz="0" w:space="0" w:color="auto"/>
      </w:divBdr>
    </w:div>
    <w:div w:id="663778334">
      <w:bodyDiv w:val="1"/>
      <w:marLeft w:val="0"/>
      <w:marRight w:val="0"/>
      <w:marTop w:val="0"/>
      <w:marBottom w:val="0"/>
      <w:divBdr>
        <w:top w:val="none" w:sz="0" w:space="0" w:color="auto"/>
        <w:left w:val="none" w:sz="0" w:space="0" w:color="auto"/>
        <w:bottom w:val="none" w:sz="0" w:space="0" w:color="auto"/>
        <w:right w:val="none" w:sz="0" w:space="0" w:color="auto"/>
      </w:divBdr>
    </w:div>
    <w:div w:id="663893450">
      <w:bodyDiv w:val="1"/>
      <w:marLeft w:val="0"/>
      <w:marRight w:val="0"/>
      <w:marTop w:val="0"/>
      <w:marBottom w:val="0"/>
      <w:divBdr>
        <w:top w:val="none" w:sz="0" w:space="0" w:color="auto"/>
        <w:left w:val="none" w:sz="0" w:space="0" w:color="auto"/>
        <w:bottom w:val="none" w:sz="0" w:space="0" w:color="auto"/>
        <w:right w:val="none" w:sz="0" w:space="0" w:color="auto"/>
      </w:divBdr>
    </w:div>
    <w:div w:id="664018082">
      <w:bodyDiv w:val="1"/>
      <w:marLeft w:val="0"/>
      <w:marRight w:val="0"/>
      <w:marTop w:val="0"/>
      <w:marBottom w:val="0"/>
      <w:divBdr>
        <w:top w:val="none" w:sz="0" w:space="0" w:color="auto"/>
        <w:left w:val="none" w:sz="0" w:space="0" w:color="auto"/>
        <w:bottom w:val="none" w:sz="0" w:space="0" w:color="auto"/>
        <w:right w:val="none" w:sz="0" w:space="0" w:color="auto"/>
      </w:divBdr>
    </w:div>
    <w:div w:id="664237315">
      <w:bodyDiv w:val="1"/>
      <w:marLeft w:val="0"/>
      <w:marRight w:val="0"/>
      <w:marTop w:val="0"/>
      <w:marBottom w:val="0"/>
      <w:divBdr>
        <w:top w:val="none" w:sz="0" w:space="0" w:color="auto"/>
        <w:left w:val="none" w:sz="0" w:space="0" w:color="auto"/>
        <w:bottom w:val="none" w:sz="0" w:space="0" w:color="auto"/>
        <w:right w:val="none" w:sz="0" w:space="0" w:color="auto"/>
      </w:divBdr>
    </w:div>
    <w:div w:id="665519932">
      <w:bodyDiv w:val="1"/>
      <w:marLeft w:val="0"/>
      <w:marRight w:val="0"/>
      <w:marTop w:val="0"/>
      <w:marBottom w:val="0"/>
      <w:divBdr>
        <w:top w:val="none" w:sz="0" w:space="0" w:color="auto"/>
        <w:left w:val="none" w:sz="0" w:space="0" w:color="auto"/>
        <w:bottom w:val="none" w:sz="0" w:space="0" w:color="auto"/>
        <w:right w:val="none" w:sz="0" w:space="0" w:color="auto"/>
      </w:divBdr>
    </w:div>
    <w:div w:id="666447767">
      <w:bodyDiv w:val="1"/>
      <w:marLeft w:val="0"/>
      <w:marRight w:val="0"/>
      <w:marTop w:val="0"/>
      <w:marBottom w:val="0"/>
      <w:divBdr>
        <w:top w:val="none" w:sz="0" w:space="0" w:color="auto"/>
        <w:left w:val="none" w:sz="0" w:space="0" w:color="auto"/>
        <w:bottom w:val="none" w:sz="0" w:space="0" w:color="auto"/>
        <w:right w:val="none" w:sz="0" w:space="0" w:color="auto"/>
      </w:divBdr>
    </w:div>
    <w:div w:id="667094408">
      <w:bodyDiv w:val="1"/>
      <w:marLeft w:val="0"/>
      <w:marRight w:val="0"/>
      <w:marTop w:val="0"/>
      <w:marBottom w:val="0"/>
      <w:divBdr>
        <w:top w:val="none" w:sz="0" w:space="0" w:color="auto"/>
        <w:left w:val="none" w:sz="0" w:space="0" w:color="auto"/>
        <w:bottom w:val="none" w:sz="0" w:space="0" w:color="auto"/>
        <w:right w:val="none" w:sz="0" w:space="0" w:color="auto"/>
      </w:divBdr>
    </w:div>
    <w:div w:id="667562007">
      <w:bodyDiv w:val="1"/>
      <w:marLeft w:val="0"/>
      <w:marRight w:val="0"/>
      <w:marTop w:val="0"/>
      <w:marBottom w:val="0"/>
      <w:divBdr>
        <w:top w:val="none" w:sz="0" w:space="0" w:color="auto"/>
        <w:left w:val="none" w:sz="0" w:space="0" w:color="auto"/>
        <w:bottom w:val="none" w:sz="0" w:space="0" w:color="auto"/>
        <w:right w:val="none" w:sz="0" w:space="0" w:color="auto"/>
      </w:divBdr>
    </w:div>
    <w:div w:id="667565164">
      <w:bodyDiv w:val="1"/>
      <w:marLeft w:val="0"/>
      <w:marRight w:val="0"/>
      <w:marTop w:val="0"/>
      <w:marBottom w:val="0"/>
      <w:divBdr>
        <w:top w:val="none" w:sz="0" w:space="0" w:color="auto"/>
        <w:left w:val="none" w:sz="0" w:space="0" w:color="auto"/>
        <w:bottom w:val="none" w:sz="0" w:space="0" w:color="auto"/>
        <w:right w:val="none" w:sz="0" w:space="0" w:color="auto"/>
      </w:divBdr>
    </w:div>
    <w:div w:id="668338142">
      <w:bodyDiv w:val="1"/>
      <w:marLeft w:val="0"/>
      <w:marRight w:val="0"/>
      <w:marTop w:val="0"/>
      <w:marBottom w:val="0"/>
      <w:divBdr>
        <w:top w:val="none" w:sz="0" w:space="0" w:color="auto"/>
        <w:left w:val="none" w:sz="0" w:space="0" w:color="auto"/>
        <w:bottom w:val="none" w:sz="0" w:space="0" w:color="auto"/>
        <w:right w:val="none" w:sz="0" w:space="0" w:color="auto"/>
      </w:divBdr>
    </w:div>
    <w:div w:id="669022245">
      <w:bodyDiv w:val="1"/>
      <w:marLeft w:val="0"/>
      <w:marRight w:val="0"/>
      <w:marTop w:val="0"/>
      <w:marBottom w:val="0"/>
      <w:divBdr>
        <w:top w:val="none" w:sz="0" w:space="0" w:color="auto"/>
        <w:left w:val="none" w:sz="0" w:space="0" w:color="auto"/>
        <w:bottom w:val="none" w:sz="0" w:space="0" w:color="auto"/>
        <w:right w:val="none" w:sz="0" w:space="0" w:color="auto"/>
      </w:divBdr>
    </w:div>
    <w:div w:id="669329034">
      <w:bodyDiv w:val="1"/>
      <w:marLeft w:val="0"/>
      <w:marRight w:val="0"/>
      <w:marTop w:val="0"/>
      <w:marBottom w:val="0"/>
      <w:divBdr>
        <w:top w:val="none" w:sz="0" w:space="0" w:color="auto"/>
        <w:left w:val="none" w:sz="0" w:space="0" w:color="auto"/>
        <w:bottom w:val="none" w:sz="0" w:space="0" w:color="auto"/>
        <w:right w:val="none" w:sz="0" w:space="0" w:color="auto"/>
      </w:divBdr>
    </w:div>
    <w:div w:id="669796736">
      <w:bodyDiv w:val="1"/>
      <w:marLeft w:val="0"/>
      <w:marRight w:val="0"/>
      <w:marTop w:val="0"/>
      <w:marBottom w:val="0"/>
      <w:divBdr>
        <w:top w:val="none" w:sz="0" w:space="0" w:color="auto"/>
        <w:left w:val="none" w:sz="0" w:space="0" w:color="auto"/>
        <w:bottom w:val="none" w:sz="0" w:space="0" w:color="auto"/>
        <w:right w:val="none" w:sz="0" w:space="0" w:color="auto"/>
      </w:divBdr>
    </w:div>
    <w:div w:id="670186336">
      <w:bodyDiv w:val="1"/>
      <w:marLeft w:val="0"/>
      <w:marRight w:val="0"/>
      <w:marTop w:val="0"/>
      <w:marBottom w:val="0"/>
      <w:divBdr>
        <w:top w:val="none" w:sz="0" w:space="0" w:color="auto"/>
        <w:left w:val="none" w:sz="0" w:space="0" w:color="auto"/>
        <w:bottom w:val="none" w:sz="0" w:space="0" w:color="auto"/>
        <w:right w:val="none" w:sz="0" w:space="0" w:color="auto"/>
      </w:divBdr>
    </w:div>
    <w:div w:id="670303626">
      <w:bodyDiv w:val="1"/>
      <w:marLeft w:val="0"/>
      <w:marRight w:val="0"/>
      <w:marTop w:val="0"/>
      <w:marBottom w:val="0"/>
      <w:divBdr>
        <w:top w:val="none" w:sz="0" w:space="0" w:color="auto"/>
        <w:left w:val="none" w:sz="0" w:space="0" w:color="auto"/>
        <w:bottom w:val="none" w:sz="0" w:space="0" w:color="auto"/>
        <w:right w:val="none" w:sz="0" w:space="0" w:color="auto"/>
      </w:divBdr>
    </w:div>
    <w:div w:id="670911886">
      <w:bodyDiv w:val="1"/>
      <w:marLeft w:val="0"/>
      <w:marRight w:val="0"/>
      <w:marTop w:val="0"/>
      <w:marBottom w:val="0"/>
      <w:divBdr>
        <w:top w:val="none" w:sz="0" w:space="0" w:color="auto"/>
        <w:left w:val="none" w:sz="0" w:space="0" w:color="auto"/>
        <w:bottom w:val="none" w:sz="0" w:space="0" w:color="auto"/>
        <w:right w:val="none" w:sz="0" w:space="0" w:color="auto"/>
      </w:divBdr>
    </w:div>
    <w:div w:id="672806814">
      <w:bodyDiv w:val="1"/>
      <w:marLeft w:val="0"/>
      <w:marRight w:val="0"/>
      <w:marTop w:val="0"/>
      <w:marBottom w:val="0"/>
      <w:divBdr>
        <w:top w:val="none" w:sz="0" w:space="0" w:color="auto"/>
        <w:left w:val="none" w:sz="0" w:space="0" w:color="auto"/>
        <w:bottom w:val="none" w:sz="0" w:space="0" w:color="auto"/>
        <w:right w:val="none" w:sz="0" w:space="0" w:color="auto"/>
      </w:divBdr>
    </w:div>
    <w:div w:id="672875809">
      <w:bodyDiv w:val="1"/>
      <w:marLeft w:val="0"/>
      <w:marRight w:val="0"/>
      <w:marTop w:val="0"/>
      <w:marBottom w:val="0"/>
      <w:divBdr>
        <w:top w:val="none" w:sz="0" w:space="0" w:color="auto"/>
        <w:left w:val="none" w:sz="0" w:space="0" w:color="auto"/>
        <w:bottom w:val="none" w:sz="0" w:space="0" w:color="auto"/>
        <w:right w:val="none" w:sz="0" w:space="0" w:color="auto"/>
      </w:divBdr>
    </w:div>
    <w:div w:id="673722467">
      <w:bodyDiv w:val="1"/>
      <w:marLeft w:val="0"/>
      <w:marRight w:val="0"/>
      <w:marTop w:val="0"/>
      <w:marBottom w:val="0"/>
      <w:divBdr>
        <w:top w:val="none" w:sz="0" w:space="0" w:color="auto"/>
        <w:left w:val="none" w:sz="0" w:space="0" w:color="auto"/>
        <w:bottom w:val="none" w:sz="0" w:space="0" w:color="auto"/>
        <w:right w:val="none" w:sz="0" w:space="0" w:color="auto"/>
      </w:divBdr>
    </w:div>
    <w:div w:id="673730532">
      <w:bodyDiv w:val="1"/>
      <w:marLeft w:val="0"/>
      <w:marRight w:val="0"/>
      <w:marTop w:val="0"/>
      <w:marBottom w:val="0"/>
      <w:divBdr>
        <w:top w:val="none" w:sz="0" w:space="0" w:color="auto"/>
        <w:left w:val="none" w:sz="0" w:space="0" w:color="auto"/>
        <w:bottom w:val="none" w:sz="0" w:space="0" w:color="auto"/>
        <w:right w:val="none" w:sz="0" w:space="0" w:color="auto"/>
      </w:divBdr>
    </w:div>
    <w:div w:id="673803182">
      <w:bodyDiv w:val="1"/>
      <w:marLeft w:val="0"/>
      <w:marRight w:val="0"/>
      <w:marTop w:val="0"/>
      <w:marBottom w:val="0"/>
      <w:divBdr>
        <w:top w:val="none" w:sz="0" w:space="0" w:color="auto"/>
        <w:left w:val="none" w:sz="0" w:space="0" w:color="auto"/>
        <w:bottom w:val="none" w:sz="0" w:space="0" w:color="auto"/>
        <w:right w:val="none" w:sz="0" w:space="0" w:color="auto"/>
      </w:divBdr>
    </w:div>
    <w:div w:id="675379213">
      <w:bodyDiv w:val="1"/>
      <w:marLeft w:val="0"/>
      <w:marRight w:val="0"/>
      <w:marTop w:val="0"/>
      <w:marBottom w:val="0"/>
      <w:divBdr>
        <w:top w:val="none" w:sz="0" w:space="0" w:color="auto"/>
        <w:left w:val="none" w:sz="0" w:space="0" w:color="auto"/>
        <w:bottom w:val="none" w:sz="0" w:space="0" w:color="auto"/>
        <w:right w:val="none" w:sz="0" w:space="0" w:color="auto"/>
      </w:divBdr>
    </w:div>
    <w:div w:id="675693564">
      <w:bodyDiv w:val="1"/>
      <w:marLeft w:val="0"/>
      <w:marRight w:val="0"/>
      <w:marTop w:val="0"/>
      <w:marBottom w:val="0"/>
      <w:divBdr>
        <w:top w:val="none" w:sz="0" w:space="0" w:color="auto"/>
        <w:left w:val="none" w:sz="0" w:space="0" w:color="auto"/>
        <w:bottom w:val="none" w:sz="0" w:space="0" w:color="auto"/>
        <w:right w:val="none" w:sz="0" w:space="0" w:color="auto"/>
      </w:divBdr>
    </w:div>
    <w:div w:id="675809531">
      <w:bodyDiv w:val="1"/>
      <w:marLeft w:val="0"/>
      <w:marRight w:val="0"/>
      <w:marTop w:val="0"/>
      <w:marBottom w:val="0"/>
      <w:divBdr>
        <w:top w:val="none" w:sz="0" w:space="0" w:color="auto"/>
        <w:left w:val="none" w:sz="0" w:space="0" w:color="auto"/>
        <w:bottom w:val="none" w:sz="0" w:space="0" w:color="auto"/>
        <w:right w:val="none" w:sz="0" w:space="0" w:color="auto"/>
      </w:divBdr>
    </w:div>
    <w:div w:id="676274661">
      <w:bodyDiv w:val="1"/>
      <w:marLeft w:val="0"/>
      <w:marRight w:val="0"/>
      <w:marTop w:val="0"/>
      <w:marBottom w:val="0"/>
      <w:divBdr>
        <w:top w:val="none" w:sz="0" w:space="0" w:color="auto"/>
        <w:left w:val="none" w:sz="0" w:space="0" w:color="auto"/>
        <w:bottom w:val="none" w:sz="0" w:space="0" w:color="auto"/>
        <w:right w:val="none" w:sz="0" w:space="0" w:color="auto"/>
      </w:divBdr>
    </w:div>
    <w:div w:id="676536430">
      <w:bodyDiv w:val="1"/>
      <w:marLeft w:val="0"/>
      <w:marRight w:val="0"/>
      <w:marTop w:val="0"/>
      <w:marBottom w:val="0"/>
      <w:divBdr>
        <w:top w:val="none" w:sz="0" w:space="0" w:color="auto"/>
        <w:left w:val="none" w:sz="0" w:space="0" w:color="auto"/>
        <w:bottom w:val="none" w:sz="0" w:space="0" w:color="auto"/>
        <w:right w:val="none" w:sz="0" w:space="0" w:color="auto"/>
      </w:divBdr>
    </w:div>
    <w:div w:id="676611568">
      <w:bodyDiv w:val="1"/>
      <w:marLeft w:val="0"/>
      <w:marRight w:val="0"/>
      <w:marTop w:val="0"/>
      <w:marBottom w:val="0"/>
      <w:divBdr>
        <w:top w:val="none" w:sz="0" w:space="0" w:color="auto"/>
        <w:left w:val="none" w:sz="0" w:space="0" w:color="auto"/>
        <w:bottom w:val="none" w:sz="0" w:space="0" w:color="auto"/>
        <w:right w:val="none" w:sz="0" w:space="0" w:color="auto"/>
      </w:divBdr>
    </w:div>
    <w:div w:id="676620120">
      <w:bodyDiv w:val="1"/>
      <w:marLeft w:val="0"/>
      <w:marRight w:val="0"/>
      <w:marTop w:val="0"/>
      <w:marBottom w:val="0"/>
      <w:divBdr>
        <w:top w:val="none" w:sz="0" w:space="0" w:color="auto"/>
        <w:left w:val="none" w:sz="0" w:space="0" w:color="auto"/>
        <w:bottom w:val="none" w:sz="0" w:space="0" w:color="auto"/>
        <w:right w:val="none" w:sz="0" w:space="0" w:color="auto"/>
      </w:divBdr>
    </w:div>
    <w:div w:id="676807390">
      <w:bodyDiv w:val="1"/>
      <w:marLeft w:val="0"/>
      <w:marRight w:val="0"/>
      <w:marTop w:val="0"/>
      <w:marBottom w:val="0"/>
      <w:divBdr>
        <w:top w:val="none" w:sz="0" w:space="0" w:color="auto"/>
        <w:left w:val="none" w:sz="0" w:space="0" w:color="auto"/>
        <w:bottom w:val="none" w:sz="0" w:space="0" w:color="auto"/>
        <w:right w:val="none" w:sz="0" w:space="0" w:color="auto"/>
      </w:divBdr>
    </w:div>
    <w:div w:id="677654406">
      <w:bodyDiv w:val="1"/>
      <w:marLeft w:val="0"/>
      <w:marRight w:val="0"/>
      <w:marTop w:val="0"/>
      <w:marBottom w:val="0"/>
      <w:divBdr>
        <w:top w:val="none" w:sz="0" w:space="0" w:color="auto"/>
        <w:left w:val="none" w:sz="0" w:space="0" w:color="auto"/>
        <w:bottom w:val="none" w:sz="0" w:space="0" w:color="auto"/>
        <w:right w:val="none" w:sz="0" w:space="0" w:color="auto"/>
      </w:divBdr>
    </w:div>
    <w:div w:id="677656206">
      <w:bodyDiv w:val="1"/>
      <w:marLeft w:val="0"/>
      <w:marRight w:val="0"/>
      <w:marTop w:val="0"/>
      <w:marBottom w:val="0"/>
      <w:divBdr>
        <w:top w:val="none" w:sz="0" w:space="0" w:color="auto"/>
        <w:left w:val="none" w:sz="0" w:space="0" w:color="auto"/>
        <w:bottom w:val="none" w:sz="0" w:space="0" w:color="auto"/>
        <w:right w:val="none" w:sz="0" w:space="0" w:color="auto"/>
      </w:divBdr>
    </w:div>
    <w:div w:id="677663026">
      <w:bodyDiv w:val="1"/>
      <w:marLeft w:val="0"/>
      <w:marRight w:val="0"/>
      <w:marTop w:val="0"/>
      <w:marBottom w:val="0"/>
      <w:divBdr>
        <w:top w:val="none" w:sz="0" w:space="0" w:color="auto"/>
        <w:left w:val="none" w:sz="0" w:space="0" w:color="auto"/>
        <w:bottom w:val="none" w:sz="0" w:space="0" w:color="auto"/>
        <w:right w:val="none" w:sz="0" w:space="0" w:color="auto"/>
      </w:divBdr>
    </w:div>
    <w:div w:id="677774559">
      <w:bodyDiv w:val="1"/>
      <w:marLeft w:val="0"/>
      <w:marRight w:val="0"/>
      <w:marTop w:val="0"/>
      <w:marBottom w:val="0"/>
      <w:divBdr>
        <w:top w:val="none" w:sz="0" w:space="0" w:color="auto"/>
        <w:left w:val="none" w:sz="0" w:space="0" w:color="auto"/>
        <w:bottom w:val="none" w:sz="0" w:space="0" w:color="auto"/>
        <w:right w:val="none" w:sz="0" w:space="0" w:color="auto"/>
      </w:divBdr>
    </w:div>
    <w:div w:id="678585499">
      <w:bodyDiv w:val="1"/>
      <w:marLeft w:val="0"/>
      <w:marRight w:val="0"/>
      <w:marTop w:val="0"/>
      <w:marBottom w:val="0"/>
      <w:divBdr>
        <w:top w:val="none" w:sz="0" w:space="0" w:color="auto"/>
        <w:left w:val="none" w:sz="0" w:space="0" w:color="auto"/>
        <w:bottom w:val="none" w:sz="0" w:space="0" w:color="auto"/>
        <w:right w:val="none" w:sz="0" w:space="0" w:color="auto"/>
      </w:divBdr>
    </w:div>
    <w:div w:id="678655745">
      <w:bodyDiv w:val="1"/>
      <w:marLeft w:val="0"/>
      <w:marRight w:val="0"/>
      <w:marTop w:val="0"/>
      <w:marBottom w:val="0"/>
      <w:divBdr>
        <w:top w:val="none" w:sz="0" w:space="0" w:color="auto"/>
        <w:left w:val="none" w:sz="0" w:space="0" w:color="auto"/>
        <w:bottom w:val="none" w:sz="0" w:space="0" w:color="auto"/>
        <w:right w:val="none" w:sz="0" w:space="0" w:color="auto"/>
      </w:divBdr>
    </w:div>
    <w:div w:id="678848965">
      <w:bodyDiv w:val="1"/>
      <w:marLeft w:val="0"/>
      <w:marRight w:val="0"/>
      <w:marTop w:val="0"/>
      <w:marBottom w:val="0"/>
      <w:divBdr>
        <w:top w:val="none" w:sz="0" w:space="0" w:color="auto"/>
        <w:left w:val="none" w:sz="0" w:space="0" w:color="auto"/>
        <w:bottom w:val="none" w:sz="0" w:space="0" w:color="auto"/>
        <w:right w:val="none" w:sz="0" w:space="0" w:color="auto"/>
      </w:divBdr>
    </w:div>
    <w:div w:id="678894117">
      <w:bodyDiv w:val="1"/>
      <w:marLeft w:val="0"/>
      <w:marRight w:val="0"/>
      <w:marTop w:val="0"/>
      <w:marBottom w:val="0"/>
      <w:divBdr>
        <w:top w:val="none" w:sz="0" w:space="0" w:color="auto"/>
        <w:left w:val="none" w:sz="0" w:space="0" w:color="auto"/>
        <w:bottom w:val="none" w:sz="0" w:space="0" w:color="auto"/>
        <w:right w:val="none" w:sz="0" w:space="0" w:color="auto"/>
      </w:divBdr>
    </w:div>
    <w:div w:id="678967877">
      <w:bodyDiv w:val="1"/>
      <w:marLeft w:val="0"/>
      <w:marRight w:val="0"/>
      <w:marTop w:val="0"/>
      <w:marBottom w:val="0"/>
      <w:divBdr>
        <w:top w:val="none" w:sz="0" w:space="0" w:color="auto"/>
        <w:left w:val="none" w:sz="0" w:space="0" w:color="auto"/>
        <w:bottom w:val="none" w:sz="0" w:space="0" w:color="auto"/>
        <w:right w:val="none" w:sz="0" w:space="0" w:color="auto"/>
      </w:divBdr>
    </w:div>
    <w:div w:id="679352773">
      <w:bodyDiv w:val="1"/>
      <w:marLeft w:val="0"/>
      <w:marRight w:val="0"/>
      <w:marTop w:val="0"/>
      <w:marBottom w:val="0"/>
      <w:divBdr>
        <w:top w:val="none" w:sz="0" w:space="0" w:color="auto"/>
        <w:left w:val="none" w:sz="0" w:space="0" w:color="auto"/>
        <w:bottom w:val="none" w:sz="0" w:space="0" w:color="auto"/>
        <w:right w:val="none" w:sz="0" w:space="0" w:color="auto"/>
      </w:divBdr>
    </w:div>
    <w:div w:id="679817101">
      <w:bodyDiv w:val="1"/>
      <w:marLeft w:val="0"/>
      <w:marRight w:val="0"/>
      <w:marTop w:val="0"/>
      <w:marBottom w:val="0"/>
      <w:divBdr>
        <w:top w:val="none" w:sz="0" w:space="0" w:color="auto"/>
        <w:left w:val="none" w:sz="0" w:space="0" w:color="auto"/>
        <w:bottom w:val="none" w:sz="0" w:space="0" w:color="auto"/>
        <w:right w:val="none" w:sz="0" w:space="0" w:color="auto"/>
      </w:divBdr>
    </w:div>
    <w:div w:id="680815984">
      <w:bodyDiv w:val="1"/>
      <w:marLeft w:val="0"/>
      <w:marRight w:val="0"/>
      <w:marTop w:val="0"/>
      <w:marBottom w:val="0"/>
      <w:divBdr>
        <w:top w:val="none" w:sz="0" w:space="0" w:color="auto"/>
        <w:left w:val="none" w:sz="0" w:space="0" w:color="auto"/>
        <w:bottom w:val="none" w:sz="0" w:space="0" w:color="auto"/>
        <w:right w:val="none" w:sz="0" w:space="0" w:color="auto"/>
      </w:divBdr>
    </w:div>
    <w:div w:id="681783753">
      <w:bodyDiv w:val="1"/>
      <w:marLeft w:val="0"/>
      <w:marRight w:val="0"/>
      <w:marTop w:val="0"/>
      <w:marBottom w:val="0"/>
      <w:divBdr>
        <w:top w:val="none" w:sz="0" w:space="0" w:color="auto"/>
        <w:left w:val="none" w:sz="0" w:space="0" w:color="auto"/>
        <w:bottom w:val="none" w:sz="0" w:space="0" w:color="auto"/>
        <w:right w:val="none" w:sz="0" w:space="0" w:color="auto"/>
      </w:divBdr>
    </w:div>
    <w:div w:id="681933557">
      <w:bodyDiv w:val="1"/>
      <w:marLeft w:val="0"/>
      <w:marRight w:val="0"/>
      <w:marTop w:val="0"/>
      <w:marBottom w:val="0"/>
      <w:divBdr>
        <w:top w:val="none" w:sz="0" w:space="0" w:color="auto"/>
        <w:left w:val="none" w:sz="0" w:space="0" w:color="auto"/>
        <w:bottom w:val="none" w:sz="0" w:space="0" w:color="auto"/>
        <w:right w:val="none" w:sz="0" w:space="0" w:color="auto"/>
      </w:divBdr>
    </w:div>
    <w:div w:id="682166409">
      <w:bodyDiv w:val="1"/>
      <w:marLeft w:val="0"/>
      <w:marRight w:val="0"/>
      <w:marTop w:val="0"/>
      <w:marBottom w:val="0"/>
      <w:divBdr>
        <w:top w:val="none" w:sz="0" w:space="0" w:color="auto"/>
        <w:left w:val="none" w:sz="0" w:space="0" w:color="auto"/>
        <w:bottom w:val="none" w:sz="0" w:space="0" w:color="auto"/>
        <w:right w:val="none" w:sz="0" w:space="0" w:color="auto"/>
      </w:divBdr>
    </w:div>
    <w:div w:id="682167681">
      <w:bodyDiv w:val="1"/>
      <w:marLeft w:val="0"/>
      <w:marRight w:val="0"/>
      <w:marTop w:val="0"/>
      <w:marBottom w:val="0"/>
      <w:divBdr>
        <w:top w:val="none" w:sz="0" w:space="0" w:color="auto"/>
        <w:left w:val="none" w:sz="0" w:space="0" w:color="auto"/>
        <w:bottom w:val="none" w:sz="0" w:space="0" w:color="auto"/>
        <w:right w:val="none" w:sz="0" w:space="0" w:color="auto"/>
      </w:divBdr>
    </w:div>
    <w:div w:id="682433652">
      <w:bodyDiv w:val="1"/>
      <w:marLeft w:val="0"/>
      <w:marRight w:val="0"/>
      <w:marTop w:val="0"/>
      <w:marBottom w:val="0"/>
      <w:divBdr>
        <w:top w:val="none" w:sz="0" w:space="0" w:color="auto"/>
        <w:left w:val="none" w:sz="0" w:space="0" w:color="auto"/>
        <w:bottom w:val="none" w:sz="0" w:space="0" w:color="auto"/>
        <w:right w:val="none" w:sz="0" w:space="0" w:color="auto"/>
      </w:divBdr>
    </w:div>
    <w:div w:id="682631230">
      <w:bodyDiv w:val="1"/>
      <w:marLeft w:val="0"/>
      <w:marRight w:val="0"/>
      <w:marTop w:val="0"/>
      <w:marBottom w:val="0"/>
      <w:divBdr>
        <w:top w:val="none" w:sz="0" w:space="0" w:color="auto"/>
        <w:left w:val="none" w:sz="0" w:space="0" w:color="auto"/>
        <w:bottom w:val="none" w:sz="0" w:space="0" w:color="auto"/>
        <w:right w:val="none" w:sz="0" w:space="0" w:color="auto"/>
      </w:divBdr>
    </w:div>
    <w:div w:id="683751756">
      <w:bodyDiv w:val="1"/>
      <w:marLeft w:val="0"/>
      <w:marRight w:val="0"/>
      <w:marTop w:val="0"/>
      <w:marBottom w:val="0"/>
      <w:divBdr>
        <w:top w:val="none" w:sz="0" w:space="0" w:color="auto"/>
        <w:left w:val="none" w:sz="0" w:space="0" w:color="auto"/>
        <w:bottom w:val="none" w:sz="0" w:space="0" w:color="auto"/>
        <w:right w:val="none" w:sz="0" w:space="0" w:color="auto"/>
      </w:divBdr>
    </w:div>
    <w:div w:id="684476534">
      <w:bodyDiv w:val="1"/>
      <w:marLeft w:val="0"/>
      <w:marRight w:val="0"/>
      <w:marTop w:val="0"/>
      <w:marBottom w:val="0"/>
      <w:divBdr>
        <w:top w:val="none" w:sz="0" w:space="0" w:color="auto"/>
        <w:left w:val="none" w:sz="0" w:space="0" w:color="auto"/>
        <w:bottom w:val="none" w:sz="0" w:space="0" w:color="auto"/>
        <w:right w:val="none" w:sz="0" w:space="0" w:color="auto"/>
      </w:divBdr>
    </w:div>
    <w:div w:id="684523658">
      <w:bodyDiv w:val="1"/>
      <w:marLeft w:val="0"/>
      <w:marRight w:val="0"/>
      <w:marTop w:val="0"/>
      <w:marBottom w:val="0"/>
      <w:divBdr>
        <w:top w:val="none" w:sz="0" w:space="0" w:color="auto"/>
        <w:left w:val="none" w:sz="0" w:space="0" w:color="auto"/>
        <w:bottom w:val="none" w:sz="0" w:space="0" w:color="auto"/>
        <w:right w:val="none" w:sz="0" w:space="0" w:color="auto"/>
      </w:divBdr>
    </w:div>
    <w:div w:id="685642462">
      <w:bodyDiv w:val="1"/>
      <w:marLeft w:val="0"/>
      <w:marRight w:val="0"/>
      <w:marTop w:val="0"/>
      <w:marBottom w:val="0"/>
      <w:divBdr>
        <w:top w:val="none" w:sz="0" w:space="0" w:color="auto"/>
        <w:left w:val="none" w:sz="0" w:space="0" w:color="auto"/>
        <w:bottom w:val="none" w:sz="0" w:space="0" w:color="auto"/>
        <w:right w:val="none" w:sz="0" w:space="0" w:color="auto"/>
      </w:divBdr>
    </w:div>
    <w:div w:id="685987913">
      <w:bodyDiv w:val="1"/>
      <w:marLeft w:val="0"/>
      <w:marRight w:val="0"/>
      <w:marTop w:val="0"/>
      <w:marBottom w:val="0"/>
      <w:divBdr>
        <w:top w:val="none" w:sz="0" w:space="0" w:color="auto"/>
        <w:left w:val="none" w:sz="0" w:space="0" w:color="auto"/>
        <w:bottom w:val="none" w:sz="0" w:space="0" w:color="auto"/>
        <w:right w:val="none" w:sz="0" w:space="0" w:color="auto"/>
      </w:divBdr>
    </w:div>
    <w:div w:id="686180458">
      <w:bodyDiv w:val="1"/>
      <w:marLeft w:val="0"/>
      <w:marRight w:val="0"/>
      <w:marTop w:val="0"/>
      <w:marBottom w:val="0"/>
      <w:divBdr>
        <w:top w:val="none" w:sz="0" w:space="0" w:color="auto"/>
        <w:left w:val="none" w:sz="0" w:space="0" w:color="auto"/>
        <w:bottom w:val="none" w:sz="0" w:space="0" w:color="auto"/>
        <w:right w:val="none" w:sz="0" w:space="0" w:color="auto"/>
      </w:divBdr>
    </w:div>
    <w:div w:id="686296560">
      <w:bodyDiv w:val="1"/>
      <w:marLeft w:val="0"/>
      <w:marRight w:val="0"/>
      <w:marTop w:val="0"/>
      <w:marBottom w:val="0"/>
      <w:divBdr>
        <w:top w:val="none" w:sz="0" w:space="0" w:color="auto"/>
        <w:left w:val="none" w:sz="0" w:space="0" w:color="auto"/>
        <w:bottom w:val="none" w:sz="0" w:space="0" w:color="auto"/>
        <w:right w:val="none" w:sz="0" w:space="0" w:color="auto"/>
      </w:divBdr>
    </w:div>
    <w:div w:id="686911859">
      <w:bodyDiv w:val="1"/>
      <w:marLeft w:val="0"/>
      <w:marRight w:val="0"/>
      <w:marTop w:val="0"/>
      <w:marBottom w:val="0"/>
      <w:divBdr>
        <w:top w:val="none" w:sz="0" w:space="0" w:color="auto"/>
        <w:left w:val="none" w:sz="0" w:space="0" w:color="auto"/>
        <w:bottom w:val="none" w:sz="0" w:space="0" w:color="auto"/>
        <w:right w:val="none" w:sz="0" w:space="0" w:color="auto"/>
      </w:divBdr>
    </w:div>
    <w:div w:id="686950164">
      <w:bodyDiv w:val="1"/>
      <w:marLeft w:val="0"/>
      <w:marRight w:val="0"/>
      <w:marTop w:val="0"/>
      <w:marBottom w:val="0"/>
      <w:divBdr>
        <w:top w:val="none" w:sz="0" w:space="0" w:color="auto"/>
        <w:left w:val="none" w:sz="0" w:space="0" w:color="auto"/>
        <w:bottom w:val="none" w:sz="0" w:space="0" w:color="auto"/>
        <w:right w:val="none" w:sz="0" w:space="0" w:color="auto"/>
      </w:divBdr>
    </w:div>
    <w:div w:id="687219384">
      <w:bodyDiv w:val="1"/>
      <w:marLeft w:val="0"/>
      <w:marRight w:val="0"/>
      <w:marTop w:val="0"/>
      <w:marBottom w:val="0"/>
      <w:divBdr>
        <w:top w:val="none" w:sz="0" w:space="0" w:color="auto"/>
        <w:left w:val="none" w:sz="0" w:space="0" w:color="auto"/>
        <w:bottom w:val="none" w:sz="0" w:space="0" w:color="auto"/>
        <w:right w:val="none" w:sz="0" w:space="0" w:color="auto"/>
      </w:divBdr>
    </w:div>
    <w:div w:id="687297194">
      <w:bodyDiv w:val="1"/>
      <w:marLeft w:val="0"/>
      <w:marRight w:val="0"/>
      <w:marTop w:val="0"/>
      <w:marBottom w:val="0"/>
      <w:divBdr>
        <w:top w:val="none" w:sz="0" w:space="0" w:color="auto"/>
        <w:left w:val="none" w:sz="0" w:space="0" w:color="auto"/>
        <w:bottom w:val="none" w:sz="0" w:space="0" w:color="auto"/>
        <w:right w:val="none" w:sz="0" w:space="0" w:color="auto"/>
      </w:divBdr>
    </w:div>
    <w:div w:id="687490679">
      <w:bodyDiv w:val="1"/>
      <w:marLeft w:val="0"/>
      <w:marRight w:val="0"/>
      <w:marTop w:val="0"/>
      <w:marBottom w:val="0"/>
      <w:divBdr>
        <w:top w:val="none" w:sz="0" w:space="0" w:color="auto"/>
        <w:left w:val="none" w:sz="0" w:space="0" w:color="auto"/>
        <w:bottom w:val="none" w:sz="0" w:space="0" w:color="auto"/>
        <w:right w:val="none" w:sz="0" w:space="0" w:color="auto"/>
      </w:divBdr>
    </w:div>
    <w:div w:id="687560934">
      <w:bodyDiv w:val="1"/>
      <w:marLeft w:val="0"/>
      <w:marRight w:val="0"/>
      <w:marTop w:val="0"/>
      <w:marBottom w:val="0"/>
      <w:divBdr>
        <w:top w:val="none" w:sz="0" w:space="0" w:color="auto"/>
        <w:left w:val="none" w:sz="0" w:space="0" w:color="auto"/>
        <w:bottom w:val="none" w:sz="0" w:space="0" w:color="auto"/>
        <w:right w:val="none" w:sz="0" w:space="0" w:color="auto"/>
      </w:divBdr>
    </w:div>
    <w:div w:id="687607912">
      <w:bodyDiv w:val="1"/>
      <w:marLeft w:val="0"/>
      <w:marRight w:val="0"/>
      <w:marTop w:val="0"/>
      <w:marBottom w:val="0"/>
      <w:divBdr>
        <w:top w:val="none" w:sz="0" w:space="0" w:color="auto"/>
        <w:left w:val="none" w:sz="0" w:space="0" w:color="auto"/>
        <w:bottom w:val="none" w:sz="0" w:space="0" w:color="auto"/>
        <w:right w:val="none" w:sz="0" w:space="0" w:color="auto"/>
      </w:divBdr>
    </w:div>
    <w:div w:id="689716977">
      <w:bodyDiv w:val="1"/>
      <w:marLeft w:val="0"/>
      <w:marRight w:val="0"/>
      <w:marTop w:val="0"/>
      <w:marBottom w:val="0"/>
      <w:divBdr>
        <w:top w:val="none" w:sz="0" w:space="0" w:color="auto"/>
        <w:left w:val="none" w:sz="0" w:space="0" w:color="auto"/>
        <w:bottom w:val="none" w:sz="0" w:space="0" w:color="auto"/>
        <w:right w:val="none" w:sz="0" w:space="0" w:color="auto"/>
      </w:divBdr>
    </w:div>
    <w:div w:id="690030673">
      <w:bodyDiv w:val="1"/>
      <w:marLeft w:val="0"/>
      <w:marRight w:val="0"/>
      <w:marTop w:val="0"/>
      <w:marBottom w:val="0"/>
      <w:divBdr>
        <w:top w:val="none" w:sz="0" w:space="0" w:color="auto"/>
        <w:left w:val="none" w:sz="0" w:space="0" w:color="auto"/>
        <w:bottom w:val="none" w:sz="0" w:space="0" w:color="auto"/>
        <w:right w:val="none" w:sz="0" w:space="0" w:color="auto"/>
      </w:divBdr>
    </w:div>
    <w:div w:id="690254453">
      <w:bodyDiv w:val="1"/>
      <w:marLeft w:val="0"/>
      <w:marRight w:val="0"/>
      <w:marTop w:val="0"/>
      <w:marBottom w:val="0"/>
      <w:divBdr>
        <w:top w:val="none" w:sz="0" w:space="0" w:color="auto"/>
        <w:left w:val="none" w:sz="0" w:space="0" w:color="auto"/>
        <w:bottom w:val="none" w:sz="0" w:space="0" w:color="auto"/>
        <w:right w:val="none" w:sz="0" w:space="0" w:color="auto"/>
      </w:divBdr>
    </w:div>
    <w:div w:id="690491261">
      <w:bodyDiv w:val="1"/>
      <w:marLeft w:val="0"/>
      <w:marRight w:val="0"/>
      <w:marTop w:val="0"/>
      <w:marBottom w:val="0"/>
      <w:divBdr>
        <w:top w:val="none" w:sz="0" w:space="0" w:color="auto"/>
        <w:left w:val="none" w:sz="0" w:space="0" w:color="auto"/>
        <w:bottom w:val="none" w:sz="0" w:space="0" w:color="auto"/>
        <w:right w:val="none" w:sz="0" w:space="0" w:color="auto"/>
      </w:divBdr>
    </w:div>
    <w:div w:id="690645615">
      <w:bodyDiv w:val="1"/>
      <w:marLeft w:val="0"/>
      <w:marRight w:val="0"/>
      <w:marTop w:val="0"/>
      <w:marBottom w:val="0"/>
      <w:divBdr>
        <w:top w:val="none" w:sz="0" w:space="0" w:color="auto"/>
        <w:left w:val="none" w:sz="0" w:space="0" w:color="auto"/>
        <w:bottom w:val="none" w:sz="0" w:space="0" w:color="auto"/>
        <w:right w:val="none" w:sz="0" w:space="0" w:color="auto"/>
      </w:divBdr>
    </w:div>
    <w:div w:id="690684744">
      <w:bodyDiv w:val="1"/>
      <w:marLeft w:val="0"/>
      <w:marRight w:val="0"/>
      <w:marTop w:val="0"/>
      <w:marBottom w:val="0"/>
      <w:divBdr>
        <w:top w:val="none" w:sz="0" w:space="0" w:color="auto"/>
        <w:left w:val="none" w:sz="0" w:space="0" w:color="auto"/>
        <w:bottom w:val="none" w:sz="0" w:space="0" w:color="auto"/>
        <w:right w:val="none" w:sz="0" w:space="0" w:color="auto"/>
      </w:divBdr>
    </w:div>
    <w:div w:id="690958539">
      <w:bodyDiv w:val="1"/>
      <w:marLeft w:val="0"/>
      <w:marRight w:val="0"/>
      <w:marTop w:val="0"/>
      <w:marBottom w:val="0"/>
      <w:divBdr>
        <w:top w:val="none" w:sz="0" w:space="0" w:color="auto"/>
        <w:left w:val="none" w:sz="0" w:space="0" w:color="auto"/>
        <w:bottom w:val="none" w:sz="0" w:space="0" w:color="auto"/>
        <w:right w:val="none" w:sz="0" w:space="0" w:color="auto"/>
      </w:divBdr>
    </w:div>
    <w:div w:id="691153680">
      <w:bodyDiv w:val="1"/>
      <w:marLeft w:val="0"/>
      <w:marRight w:val="0"/>
      <w:marTop w:val="0"/>
      <w:marBottom w:val="0"/>
      <w:divBdr>
        <w:top w:val="none" w:sz="0" w:space="0" w:color="auto"/>
        <w:left w:val="none" w:sz="0" w:space="0" w:color="auto"/>
        <w:bottom w:val="none" w:sz="0" w:space="0" w:color="auto"/>
        <w:right w:val="none" w:sz="0" w:space="0" w:color="auto"/>
      </w:divBdr>
    </w:div>
    <w:div w:id="691808557">
      <w:bodyDiv w:val="1"/>
      <w:marLeft w:val="0"/>
      <w:marRight w:val="0"/>
      <w:marTop w:val="0"/>
      <w:marBottom w:val="0"/>
      <w:divBdr>
        <w:top w:val="none" w:sz="0" w:space="0" w:color="auto"/>
        <w:left w:val="none" w:sz="0" w:space="0" w:color="auto"/>
        <w:bottom w:val="none" w:sz="0" w:space="0" w:color="auto"/>
        <w:right w:val="none" w:sz="0" w:space="0" w:color="auto"/>
      </w:divBdr>
    </w:div>
    <w:div w:id="692341007">
      <w:bodyDiv w:val="1"/>
      <w:marLeft w:val="0"/>
      <w:marRight w:val="0"/>
      <w:marTop w:val="0"/>
      <w:marBottom w:val="0"/>
      <w:divBdr>
        <w:top w:val="none" w:sz="0" w:space="0" w:color="auto"/>
        <w:left w:val="none" w:sz="0" w:space="0" w:color="auto"/>
        <w:bottom w:val="none" w:sz="0" w:space="0" w:color="auto"/>
        <w:right w:val="none" w:sz="0" w:space="0" w:color="auto"/>
      </w:divBdr>
    </w:div>
    <w:div w:id="692344016">
      <w:bodyDiv w:val="1"/>
      <w:marLeft w:val="0"/>
      <w:marRight w:val="0"/>
      <w:marTop w:val="0"/>
      <w:marBottom w:val="0"/>
      <w:divBdr>
        <w:top w:val="none" w:sz="0" w:space="0" w:color="auto"/>
        <w:left w:val="none" w:sz="0" w:space="0" w:color="auto"/>
        <w:bottom w:val="none" w:sz="0" w:space="0" w:color="auto"/>
        <w:right w:val="none" w:sz="0" w:space="0" w:color="auto"/>
      </w:divBdr>
    </w:div>
    <w:div w:id="692532534">
      <w:bodyDiv w:val="1"/>
      <w:marLeft w:val="0"/>
      <w:marRight w:val="0"/>
      <w:marTop w:val="0"/>
      <w:marBottom w:val="0"/>
      <w:divBdr>
        <w:top w:val="none" w:sz="0" w:space="0" w:color="auto"/>
        <w:left w:val="none" w:sz="0" w:space="0" w:color="auto"/>
        <w:bottom w:val="none" w:sz="0" w:space="0" w:color="auto"/>
        <w:right w:val="none" w:sz="0" w:space="0" w:color="auto"/>
      </w:divBdr>
    </w:div>
    <w:div w:id="692732690">
      <w:bodyDiv w:val="1"/>
      <w:marLeft w:val="0"/>
      <w:marRight w:val="0"/>
      <w:marTop w:val="0"/>
      <w:marBottom w:val="0"/>
      <w:divBdr>
        <w:top w:val="none" w:sz="0" w:space="0" w:color="auto"/>
        <w:left w:val="none" w:sz="0" w:space="0" w:color="auto"/>
        <w:bottom w:val="none" w:sz="0" w:space="0" w:color="auto"/>
        <w:right w:val="none" w:sz="0" w:space="0" w:color="auto"/>
      </w:divBdr>
    </w:div>
    <w:div w:id="693579727">
      <w:bodyDiv w:val="1"/>
      <w:marLeft w:val="0"/>
      <w:marRight w:val="0"/>
      <w:marTop w:val="0"/>
      <w:marBottom w:val="0"/>
      <w:divBdr>
        <w:top w:val="none" w:sz="0" w:space="0" w:color="auto"/>
        <w:left w:val="none" w:sz="0" w:space="0" w:color="auto"/>
        <w:bottom w:val="none" w:sz="0" w:space="0" w:color="auto"/>
        <w:right w:val="none" w:sz="0" w:space="0" w:color="auto"/>
      </w:divBdr>
    </w:div>
    <w:div w:id="694424679">
      <w:bodyDiv w:val="1"/>
      <w:marLeft w:val="0"/>
      <w:marRight w:val="0"/>
      <w:marTop w:val="0"/>
      <w:marBottom w:val="0"/>
      <w:divBdr>
        <w:top w:val="none" w:sz="0" w:space="0" w:color="auto"/>
        <w:left w:val="none" w:sz="0" w:space="0" w:color="auto"/>
        <w:bottom w:val="none" w:sz="0" w:space="0" w:color="auto"/>
        <w:right w:val="none" w:sz="0" w:space="0" w:color="auto"/>
      </w:divBdr>
    </w:div>
    <w:div w:id="694575096">
      <w:bodyDiv w:val="1"/>
      <w:marLeft w:val="0"/>
      <w:marRight w:val="0"/>
      <w:marTop w:val="0"/>
      <w:marBottom w:val="0"/>
      <w:divBdr>
        <w:top w:val="none" w:sz="0" w:space="0" w:color="auto"/>
        <w:left w:val="none" w:sz="0" w:space="0" w:color="auto"/>
        <w:bottom w:val="none" w:sz="0" w:space="0" w:color="auto"/>
        <w:right w:val="none" w:sz="0" w:space="0" w:color="auto"/>
      </w:divBdr>
    </w:div>
    <w:div w:id="694770303">
      <w:bodyDiv w:val="1"/>
      <w:marLeft w:val="0"/>
      <w:marRight w:val="0"/>
      <w:marTop w:val="0"/>
      <w:marBottom w:val="0"/>
      <w:divBdr>
        <w:top w:val="none" w:sz="0" w:space="0" w:color="auto"/>
        <w:left w:val="none" w:sz="0" w:space="0" w:color="auto"/>
        <w:bottom w:val="none" w:sz="0" w:space="0" w:color="auto"/>
        <w:right w:val="none" w:sz="0" w:space="0" w:color="auto"/>
      </w:divBdr>
    </w:div>
    <w:div w:id="696389333">
      <w:bodyDiv w:val="1"/>
      <w:marLeft w:val="0"/>
      <w:marRight w:val="0"/>
      <w:marTop w:val="0"/>
      <w:marBottom w:val="0"/>
      <w:divBdr>
        <w:top w:val="none" w:sz="0" w:space="0" w:color="auto"/>
        <w:left w:val="none" w:sz="0" w:space="0" w:color="auto"/>
        <w:bottom w:val="none" w:sz="0" w:space="0" w:color="auto"/>
        <w:right w:val="none" w:sz="0" w:space="0" w:color="auto"/>
      </w:divBdr>
    </w:div>
    <w:div w:id="696738966">
      <w:bodyDiv w:val="1"/>
      <w:marLeft w:val="0"/>
      <w:marRight w:val="0"/>
      <w:marTop w:val="0"/>
      <w:marBottom w:val="0"/>
      <w:divBdr>
        <w:top w:val="none" w:sz="0" w:space="0" w:color="auto"/>
        <w:left w:val="none" w:sz="0" w:space="0" w:color="auto"/>
        <w:bottom w:val="none" w:sz="0" w:space="0" w:color="auto"/>
        <w:right w:val="none" w:sz="0" w:space="0" w:color="auto"/>
      </w:divBdr>
    </w:div>
    <w:div w:id="696976121">
      <w:bodyDiv w:val="1"/>
      <w:marLeft w:val="0"/>
      <w:marRight w:val="0"/>
      <w:marTop w:val="0"/>
      <w:marBottom w:val="0"/>
      <w:divBdr>
        <w:top w:val="none" w:sz="0" w:space="0" w:color="auto"/>
        <w:left w:val="none" w:sz="0" w:space="0" w:color="auto"/>
        <w:bottom w:val="none" w:sz="0" w:space="0" w:color="auto"/>
        <w:right w:val="none" w:sz="0" w:space="0" w:color="auto"/>
      </w:divBdr>
    </w:div>
    <w:div w:id="697199397">
      <w:bodyDiv w:val="1"/>
      <w:marLeft w:val="0"/>
      <w:marRight w:val="0"/>
      <w:marTop w:val="0"/>
      <w:marBottom w:val="0"/>
      <w:divBdr>
        <w:top w:val="none" w:sz="0" w:space="0" w:color="auto"/>
        <w:left w:val="none" w:sz="0" w:space="0" w:color="auto"/>
        <w:bottom w:val="none" w:sz="0" w:space="0" w:color="auto"/>
        <w:right w:val="none" w:sz="0" w:space="0" w:color="auto"/>
      </w:divBdr>
    </w:div>
    <w:div w:id="697705467">
      <w:bodyDiv w:val="1"/>
      <w:marLeft w:val="0"/>
      <w:marRight w:val="0"/>
      <w:marTop w:val="0"/>
      <w:marBottom w:val="0"/>
      <w:divBdr>
        <w:top w:val="none" w:sz="0" w:space="0" w:color="auto"/>
        <w:left w:val="none" w:sz="0" w:space="0" w:color="auto"/>
        <w:bottom w:val="none" w:sz="0" w:space="0" w:color="auto"/>
        <w:right w:val="none" w:sz="0" w:space="0" w:color="auto"/>
      </w:divBdr>
    </w:div>
    <w:div w:id="698314178">
      <w:bodyDiv w:val="1"/>
      <w:marLeft w:val="0"/>
      <w:marRight w:val="0"/>
      <w:marTop w:val="0"/>
      <w:marBottom w:val="0"/>
      <w:divBdr>
        <w:top w:val="none" w:sz="0" w:space="0" w:color="auto"/>
        <w:left w:val="none" w:sz="0" w:space="0" w:color="auto"/>
        <w:bottom w:val="none" w:sz="0" w:space="0" w:color="auto"/>
        <w:right w:val="none" w:sz="0" w:space="0" w:color="auto"/>
      </w:divBdr>
    </w:div>
    <w:div w:id="698707003">
      <w:bodyDiv w:val="1"/>
      <w:marLeft w:val="0"/>
      <w:marRight w:val="0"/>
      <w:marTop w:val="0"/>
      <w:marBottom w:val="0"/>
      <w:divBdr>
        <w:top w:val="none" w:sz="0" w:space="0" w:color="auto"/>
        <w:left w:val="none" w:sz="0" w:space="0" w:color="auto"/>
        <w:bottom w:val="none" w:sz="0" w:space="0" w:color="auto"/>
        <w:right w:val="none" w:sz="0" w:space="0" w:color="auto"/>
      </w:divBdr>
    </w:div>
    <w:div w:id="698969081">
      <w:bodyDiv w:val="1"/>
      <w:marLeft w:val="0"/>
      <w:marRight w:val="0"/>
      <w:marTop w:val="0"/>
      <w:marBottom w:val="0"/>
      <w:divBdr>
        <w:top w:val="none" w:sz="0" w:space="0" w:color="auto"/>
        <w:left w:val="none" w:sz="0" w:space="0" w:color="auto"/>
        <w:bottom w:val="none" w:sz="0" w:space="0" w:color="auto"/>
        <w:right w:val="none" w:sz="0" w:space="0" w:color="auto"/>
      </w:divBdr>
    </w:div>
    <w:div w:id="700324182">
      <w:bodyDiv w:val="1"/>
      <w:marLeft w:val="0"/>
      <w:marRight w:val="0"/>
      <w:marTop w:val="0"/>
      <w:marBottom w:val="0"/>
      <w:divBdr>
        <w:top w:val="none" w:sz="0" w:space="0" w:color="auto"/>
        <w:left w:val="none" w:sz="0" w:space="0" w:color="auto"/>
        <w:bottom w:val="none" w:sz="0" w:space="0" w:color="auto"/>
        <w:right w:val="none" w:sz="0" w:space="0" w:color="auto"/>
      </w:divBdr>
    </w:div>
    <w:div w:id="701132842">
      <w:bodyDiv w:val="1"/>
      <w:marLeft w:val="0"/>
      <w:marRight w:val="0"/>
      <w:marTop w:val="0"/>
      <w:marBottom w:val="0"/>
      <w:divBdr>
        <w:top w:val="none" w:sz="0" w:space="0" w:color="auto"/>
        <w:left w:val="none" w:sz="0" w:space="0" w:color="auto"/>
        <w:bottom w:val="none" w:sz="0" w:space="0" w:color="auto"/>
        <w:right w:val="none" w:sz="0" w:space="0" w:color="auto"/>
      </w:divBdr>
    </w:div>
    <w:div w:id="701394170">
      <w:bodyDiv w:val="1"/>
      <w:marLeft w:val="0"/>
      <w:marRight w:val="0"/>
      <w:marTop w:val="0"/>
      <w:marBottom w:val="0"/>
      <w:divBdr>
        <w:top w:val="none" w:sz="0" w:space="0" w:color="auto"/>
        <w:left w:val="none" w:sz="0" w:space="0" w:color="auto"/>
        <w:bottom w:val="none" w:sz="0" w:space="0" w:color="auto"/>
        <w:right w:val="none" w:sz="0" w:space="0" w:color="auto"/>
      </w:divBdr>
    </w:div>
    <w:div w:id="701436730">
      <w:bodyDiv w:val="1"/>
      <w:marLeft w:val="0"/>
      <w:marRight w:val="0"/>
      <w:marTop w:val="0"/>
      <w:marBottom w:val="0"/>
      <w:divBdr>
        <w:top w:val="none" w:sz="0" w:space="0" w:color="auto"/>
        <w:left w:val="none" w:sz="0" w:space="0" w:color="auto"/>
        <w:bottom w:val="none" w:sz="0" w:space="0" w:color="auto"/>
        <w:right w:val="none" w:sz="0" w:space="0" w:color="auto"/>
      </w:divBdr>
    </w:div>
    <w:div w:id="701444271">
      <w:bodyDiv w:val="1"/>
      <w:marLeft w:val="0"/>
      <w:marRight w:val="0"/>
      <w:marTop w:val="0"/>
      <w:marBottom w:val="0"/>
      <w:divBdr>
        <w:top w:val="none" w:sz="0" w:space="0" w:color="auto"/>
        <w:left w:val="none" w:sz="0" w:space="0" w:color="auto"/>
        <w:bottom w:val="none" w:sz="0" w:space="0" w:color="auto"/>
        <w:right w:val="none" w:sz="0" w:space="0" w:color="auto"/>
      </w:divBdr>
    </w:div>
    <w:div w:id="701974672">
      <w:bodyDiv w:val="1"/>
      <w:marLeft w:val="0"/>
      <w:marRight w:val="0"/>
      <w:marTop w:val="0"/>
      <w:marBottom w:val="0"/>
      <w:divBdr>
        <w:top w:val="none" w:sz="0" w:space="0" w:color="auto"/>
        <w:left w:val="none" w:sz="0" w:space="0" w:color="auto"/>
        <w:bottom w:val="none" w:sz="0" w:space="0" w:color="auto"/>
        <w:right w:val="none" w:sz="0" w:space="0" w:color="auto"/>
      </w:divBdr>
    </w:div>
    <w:div w:id="702904769">
      <w:bodyDiv w:val="1"/>
      <w:marLeft w:val="0"/>
      <w:marRight w:val="0"/>
      <w:marTop w:val="0"/>
      <w:marBottom w:val="0"/>
      <w:divBdr>
        <w:top w:val="none" w:sz="0" w:space="0" w:color="auto"/>
        <w:left w:val="none" w:sz="0" w:space="0" w:color="auto"/>
        <w:bottom w:val="none" w:sz="0" w:space="0" w:color="auto"/>
        <w:right w:val="none" w:sz="0" w:space="0" w:color="auto"/>
      </w:divBdr>
    </w:div>
    <w:div w:id="702944263">
      <w:bodyDiv w:val="1"/>
      <w:marLeft w:val="0"/>
      <w:marRight w:val="0"/>
      <w:marTop w:val="0"/>
      <w:marBottom w:val="0"/>
      <w:divBdr>
        <w:top w:val="none" w:sz="0" w:space="0" w:color="auto"/>
        <w:left w:val="none" w:sz="0" w:space="0" w:color="auto"/>
        <w:bottom w:val="none" w:sz="0" w:space="0" w:color="auto"/>
        <w:right w:val="none" w:sz="0" w:space="0" w:color="auto"/>
      </w:divBdr>
    </w:div>
    <w:div w:id="702945941">
      <w:bodyDiv w:val="1"/>
      <w:marLeft w:val="0"/>
      <w:marRight w:val="0"/>
      <w:marTop w:val="0"/>
      <w:marBottom w:val="0"/>
      <w:divBdr>
        <w:top w:val="none" w:sz="0" w:space="0" w:color="auto"/>
        <w:left w:val="none" w:sz="0" w:space="0" w:color="auto"/>
        <w:bottom w:val="none" w:sz="0" w:space="0" w:color="auto"/>
        <w:right w:val="none" w:sz="0" w:space="0" w:color="auto"/>
      </w:divBdr>
    </w:div>
    <w:div w:id="703749183">
      <w:bodyDiv w:val="1"/>
      <w:marLeft w:val="0"/>
      <w:marRight w:val="0"/>
      <w:marTop w:val="0"/>
      <w:marBottom w:val="0"/>
      <w:divBdr>
        <w:top w:val="none" w:sz="0" w:space="0" w:color="auto"/>
        <w:left w:val="none" w:sz="0" w:space="0" w:color="auto"/>
        <w:bottom w:val="none" w:sz="0" w:space="0" w:color="auto"/>
        <w:right w:val="none" w:sz="0" w:space="0" w:color="auto"/>
      </w:divBdr>
    </w:div>
    <w:div w:id="704210143">
      <w:bodyDiv w:val="1"/>
      <w:marLeft w:val="0"/>
      <w:marRight w:val="0"/>
      <w:marTop w:val="0"/>
      <w:marBottom w:val="0"/>
      <w:divBdr>
        <w:top w:val="none" w:sz="0" w:space="0" w:color="auto"/>
        <w:left w:val="none" w:sz="0" w:space="0" w:color="auto"/>
        <w:bottom w:val="none" w:sz="0" w:space="0" w:color="auto"/>
        <w:right w:val="none" w:sz="0" w:space="0" w:color="auto"/>
      </w:divBdr>
    </w:div>
    <w:div w:id="704477879">
      <w:bodyDiv w:val="1"/>
      <w:marLeft w:val="0"/>
      <w:marRight w:val="0"/>
      <w:marTop w:val="0"/>
      <w:marBottom w:val="0"/>
      <w:divBdr>
        <w:top w:val="none" w:sz="0" w:space="0" w:color="auto"/>
        <w:left w:val="none" w:sz="0" w:space="0" w:color="auto"/>
        <w:bottom w:val="none" w:sz="0" w:space="0" w:color="auto"/>
        <w:right w:val="none" w:sz="0" w:space="0" w:color="auto"/>
      </w:divBdr>
    </w:div>
    <w:div w:id="704595088">
      <w:bodyDiv w:val="1"/>
      <w:marLeft w:val="0"/>
      <w:marRight w:val="0"/>
      <w:marTop w:val="0"/>
      <w:marBottom w:val="0"/>
      <w:divBdr>
        <w:top w:val="none" w:sz="0" w:space="0" w:color="auto"/>
        <w:left w:val="none" w:sz="0" w:space="0" w:color="auto"/>
        <w:bottom w:val="none" w:sz="0" w:space="0" w:color="auto"/>
        <w:right w:val="none" w:sz="0" w:space="0" w:color="auto"/>
      </w:divBdr>
    </w:div>
    <w:div w:id="705060281">
      <w:bodyDiv w:val="1"/>
      <w:marLeft w:val="0"/>
      <w:marRight w:val="0"/>
      <w:marTop w:val="0"/>
      <w:marBottom w:val="0"/>
      <w:divBdr>
        <w:top w:val="none" w:sz="0" w:space="0" w:color="auto"/>
        <w:left w:val="none" w:sz="0" w:space="0" w:color="auto"/>
        <w:bottom w:val="none" w:sz="0" w:space="0" w:color="auto"/>
        <w:right w:val="none" w:sz="0" w:space="0" w:color="auto"/>
      </w:divBdr>
    </w:div>
    <w:div w:id="705175257">
      <w:bodyDiv w:val="1"/>
      <w:marLeft w:val="0"/>
      <w:marRight w:val="0"/>
      <w:marTop w:val="0"/>
      <w:marBottom w:val="0"/>
      <w:divBdr>
        <w:top w:val="none" w:sz="0" w:space="0" w:color="auto"/>
        <w:left w:val="none" w:sz="0" w:space="0" w:color="auto"/>
        <w:bottom w:val="none" w:sz="0" w:space="0" w:color="auto"/>
        <w:right w:val="none" w:sz="0" w:space="0" w:color="auto"/>
      </w:divBdr>
    </w:div>
    <w:div w:id="705495296">
      <w:bodyDiv w:val="1"/>
      <w:marLeft w:val="0"/>
      <w:marRight w:val="0"/>
      <w:marTop w:val="0"/>
      <w:marBottom w:val="0"/>
      <w:divBdr>
        <w:top w:val="none" w:sz="0" w:space="0" w:color="auto"/>
        <w:left w:val="none" w:sz="0" w:space="0" w:color="auto"/>
        <w:bottom w:val="none" w:sz="0" w:space="0" w:color="auto"/>
        <w:right w:val="none" w:sz="0" w:space="0" w:color="auto"/>
      </w:divBdr>
    </w:div>
    <w:div w:id="705831381">
      <w:bodyDiv w:val="1"/>
      <w:marLeft w:val="0"/>
      <w:marRight w:val="0"/>
      <w:marTop w:val="0"/>
      <w:marBottom w:val="0"/>
      <w:divBdr>
        <w:top w:val="none" w:sz="0" w:space="0" w:color="auto"/>
        <w:left w:val="none" w:sz="0" w:space="0" w:color="auto"/>
        <w:bottom w:val="none" w:sz="0" w:space="0" w:color="auto"/>
        <w:right w:val="none" w:sz="0" w:space="0" w:color="auto"/>
      </w:divBdr>
    </w:div>
    <w:div w:id="705914937">
      <w:bodyDiv w:val="1"/>
      <w:marLeft w:val="0"/>
      <w:marRight w:val="0"/>
      <w:marTop w:val="0"/>
      <w:marBottom w:val="0"/>
      <w:divBdr>
        <w:top w:val="none" w:sz="0" w:space="0" w:color="auto"/>
        <w:left w:val="none" w:sz="0" w:space="0" w:color="auto"/>
        <w:bottom w:val="none" w:sz="0" w:space="0" w:color="auto"/>
        <w:right w:val="none" w:sz="0" w:space="0" w:color="auto"/>
      </w:divBdr>
    </w:div>
    <w:div w:id="705957014">
      <w:bodyDiv w:val="1"/>
      <w:marLeft w:val="0"/>
      <w:marRight w:val="0"/>
      <w:marTop w:val="0"/>
      <w:marBottom w:val="0"/>
      <w:divBdr>
        <w:top w:val="none" w:sz="0" w:space="0" w:color="auto"/>
        <w:left w:val="none" w:sz="0" w:space="0" w:color="auto"/>
        <w:bottom w:val="none" w:sz="0" w:space="0" w:color="auto"/>
        <w:right w:val="none" w:sz="0" w:space="0" w:color="auto"/>
      </w:divBdr>
    </w:div>
    <w:div w:id="706178323">
      <w:bodyDiv w:val="1"/>
      <w:marLeft w:val="0"/>
      <w:marRight w:val="0"/>
      <w:marTop w:val="0"/>
      <w:marBottom w:val="0"/>
      <w:divBdr>
        <w:top w:val="none" w:sz="0" w:space="0" w:color="auto"/>
        <w:left w:val="none" w:sz="0" w:space="0" w:color="auto"/>
        <w:bottom w:val="none" w:sz="0" w:space="0" w:color="auto"/>
        <w:right w:val="none" w:sz="0" w:space="0" w:color="auto"/>
      </w:divBdr>
    </w:div>
    <w:div w:id="706220097">
      <w:bodyDiv w:val="1"/>
      <w:marLeft w:val="0"/>
      <w:marRight w:val="0"/>
      <w:marTop w:val="0"/>
      <w:marBottom w:val="0"/>
      <w:divBdr>
        <w:top w:val="none" w:sz="0" w:space="0" w:color="auto"/>
        <w:left w:val="none" w:sz="0" w:space="0" w:color="auto"/>
        <w:bottom w:val="none" w:sz="0" w:space="0" w:color="auto"/>
        <w:right w:val="none" w:sz="0" w:space="0" w:color="auto"/>
      </w:divBdr>
    </w:div>
    <w:div w:id="707536308">
      <w:bodyDiv w:val="1"/>
      <w:marLeft w:val="0"/>
      <w:marRight w:val="0"/>
      <w:marTop w:val="0"/>
      <w:marBottom w:val="0"/>
      <w:divBdr>
        <w:top w:val="none" w:sz="0" w:space="0" w:color="auto"/>
        <w:left w:val="none" w:sz="0" w:space="0" w:color="auto"/>
        <w:bottom w:val="none" w:sz="0" w:space="0" w:color="auto"/>
        <w:right w:val="none" w:sz="0" w:space="0" w:color="auto"/>
      </w:divBdr>
      <w:divsChild>
        <w:div w:id="1735618108">
          <w:marLeft w:val="0"/>
          <w:marRight w:val="0"/>
          <w:marTop w:val="0"/>
          <w:marBottom w:val="0"/>
          <w:divBdr>
            <w:top w:val="none" w:sz="0" w:space="0" w:color="auto"/>
            <w:left w:val="none" w:sz="0" w:space="0" w:color="auto"/>
            <w:bottom w:val="none" w:sz="0" w:space="0" w:color="auto"/>
            <w:right w:val="none" w:sz="0" w:space="0" w:color="auto"/>
          </w:divBdr>
        </w:div>
      </w:divsChild>
    </w:div>
    <w:div w:id="707877923">
      <w:bodyDiv w:val="1"/>
      <w:marLeft w:val="0"/>
      <w:marRight w:val="0"/>
      <w:marTop w:val="0"/>
      <w:marBottom w:val="0"/>
      <w:divBdr>
        <w:top w:val="none" w:sz="0" w:space="0" w:color="auto"/>
        <w:left w:val="none" w:sz="0" w:space="0" w:color="auto"/>
        <w:bottom w:val="none" w:sz="0" w:space="0" w:color="auto"/>
        <w:right w:val="none" w:sz="0" w:space="0" w:color="auto"/>
      </w:divBdr>
    </w:div>
    <w:div w:id="708804272">
      <w:bodyDiv w:val="1"/>
      <w:marLeft w:val="0"/>
      <w:marRight w:val="0"/>
      <w:marTop w:val="0"/>
      <w:marBottom w:val="0"/>
      <w:divBdr>
        <w:top w:val="none" w:sz="0" w:space="0" w:color="auto"/>
        <w:left w:val="none" w:sz="0" w:space="0" w:color="auto"/>
        <w:bottom w:val="none" w:sz="0" w:space="0" w:color="auto"/>
        <w:right w:val="none" w:sz="0" w:space="0" w:color="auto"/>
      </w:divBdr>
    </w:div>
    <w:div w:id="708841842">
      <w:bodyDiv w:val="1"/>
      <w:marLeft w:val="0"/>
      <w:marRight w:val="0"/>
      <w:marTop w:val="0"/>
      <w:marBottom w:val="0"/>
      <w:divBdr>
        <w:top w:val="none" w:sz="0" w:space="0" w:color="auto"/>
        <w:left w:val="none" w:sz="0" w:space="0" w:color="auto"/>
        <w:bottom w:val="none" w:sz="0" w:space="0" w:color="auto"/>
        <w:right w:val="none" w:sz="0" w:space="0" w:color="auto"/>
      </w:divBdr>
    </w:div>
    <w:div w:id="709886958">
      <w:bodyDiv w:val="1"/>
      <w:marLeft w:val="0"/>
      <w:marRight w:val="0"/>
      <w:marTop w:val="0"/>
      <w:marBottom w:val="0"/>
      <w:divBdr>
        <w:top w:val="none" w:sz="0" w:space="0" w:color="auto"/>
        <w:left w:val="none" w:sz="0" w:space="0" w:color="auto"/>
        <w:bottom w:val="none" w:sz="0" w:space="0" w:color="auto"/>
        <w:right w:val="none" w:sz="0" w:space="0" w:color="auto"/>
      </w:divBdr>
    </w:div>
    <w:div w:id="710303979">
      <w:bodyDiv w:val="1"/>
      <w:marLeft w:val="0"/>
      <w:marRight w:val="0"/>
      <w:marTop w:val="0"/>
      <w:marBottom w:val="0"/>
      <w:divBdr>
        <w:top w:val="none" w:sz="0" w:space="0" w:color="auto"/>
        <w:left w:val="none" w:sz="0" w:space="0" w:color="auto"/>
        <w:bottom w:val="none" w:sz="0" w:space="0" w:color="auto"/>
        <w:right w:val="none" w:sz="0" w:space="0" w:color="auto"/>
      </w:divBdr>
    </w:div>
    <w:div w:id="710304930">
      <w:bodyDiv w:val="1"/>
      <w:marLeft w:val="0"/>
      <w:marRight w:val="0"/>
      <w:marTop w:val="0"/>
      <w:marBottom w:val="0"/>
      <w:divBdr>
        <w:top w:val="none" w:sz="0" w:space="0" w:color="auto"/>
        <w:left w:val="none" w:sz="0" w:space="0" w:color="auto"/>
        <w:bottom w:val="none" w:sz="0" w:space="0" w:color="auto"/>
        <w:right w:val="none" w:sz="0" w:space="0" w:color="auto"/>
      </w:divBdr>
    </w:div>
    <w:div w:id="711003072">
      <w:bodyDiv w:val="1"/>
      <w:marLeft w:val="0"/>
      <w:marRight w:val="0"/>
      <w:marTop w:val="0"/>
      <w:marBottom w:val="0"/>
      <w:divBdr>
        <w:top w:val="none" w:sz="0" w:space="0" w:color="auto"/>
        <w:left w:val="none" w:sz="0" w:space="0" w:color="auto"/>
        <w:bottom w:val="none" w:sz="0" w:space="0" w:color="auto"/>
        <w:right w:val="none" w:sz="0" w:space="0" w:color="auto"/>
      </w:divBdr>
    </w:div>
    <w:div w:id="711730884">
      <w:bodyDiv w:val="1"/>
      <w:marLeft w:val="0"/>
      <w:marRight w:val="0"/>
      <w:marTop w:val="0"/>
      <w:marBottom w:val="0"/>
      <w:divBdr>
        <w:top w:val="none" w:sz="0" w:space="0" w:color="auto"/>
        <w:left w:val="none" w:sz="0" w:space="0" w:color="auto"/>
        <w:bottom w:val="none" w:sz="0" w:space="0" w:color="auto"/>
        <w:right w:val="none" w:sz="0" w:space="0" w:color="auto"/>
      </w:divBdr>
    </w:div>
    <w:div w:id="711812098">
      <w:bodyDiv w:val="1"/>
      <w:marLeft w:val="0"/>
      <w:marRight w:val="0"/>
      <w:marTop w:val="0"/>
      <w:marBottom w:val="0"/>
      <w:divBdr>
        <w:top w:val="none" w:sz="0" w:space="0" w:color="auto"/>
        <w:left w:val="none" w:sz="0" w:space="0" w:color="auto"/>
        <w:bottom w:val="none" w:sz="0" w:space="0" w:color="auto"/>
        <w:right w:val="none" w:sz="0" w:space="0" w:color="auto"/>
      </w:divBdr>
    </w:div>
    <w:div w:id="711999949">
      <w:bodyDiv w:val="1"/>
      <w:marLeft w:val="0"/>
      <w:marRight w:val="0"/>
      <w:marTop w:val="0"/>
      <w:marBottom w:val="0"/>
      <w:divBdr>
        <w:top w:val="none" w:sz="0" w:space="0" w:color="auto"/>
        <w:left w:val="none" w:sz="0" w:space="0" w:color="auto"/>
        <w:bottom w:val="none" w:sz="0" w:space="0" w:color="auto"/>
        <w:right w:val="none" w:sz="0" w:space="0" w:color="auto"/>
      </w:divBdr>
    </w:div>
    <w:div w:id="712002656">
      <w:bodyDiv w:val="1"/>
      <w:marLeft w:val="0"/>
      <w:marRight w:val="0"/>
      <w:marTop w:val="0"/>
      <w:marBottom w:val="0"/>
      <w:divBdr>
        <w:top w:val="none" w:sz="0" w:space="0" w:color="auto"/>
        <w:left w:val="none" w:sz="0" w:space="0" w:color="auto"/>
        <w:bottom w:val="none" w:sz="0" w:space="0" w:color="auto"/>
        <w:right w:val="none" w:sz="0" w:space="0" w:color="auto"/>
      </w:divBdr>
    </w:div>
    <w:div w:id="712266094">
      <w:bodyDiv w:val="1"/>
      <w:marLeft w:val="0"/>
      <w:marRight w:val="0"/>
      <w:marTop w:val="0"/>
      <w:marBottom w:val="0"/>
      <w:divBdr>
        <w:top w:val="none" w:sz="0" w:space="0" w:color="auto"/>
        <w:left w:val="none" w:sz="0" w:space="0" w:color="auto"/>
        <w:bottom w:val="none" w:sz="0" w:space="0" w:color="auto"/>
        <w:right w:val="none" w:sz="0" w:space="0" w:color="auto"/>
      </w:divBdr>
    </w:div>
    <w:div w:id="714425347">
      <w:bodyDiv w:val="1"/>
      <w:marLeft w:val="0"/>
      <w:marRight w:val="0"/>
      <w:marTop w:val="0"/>
      <w:marBottom w:val="0"/>
      <w:divBdr>
        <w:top w:val="none" w:sz="0" w:space="0" w:color="auto"/>
        <w:left w:val="none" w:sz="0" w:space="0" w:color="auto"/>
        <w:bottom w:val="none" w:sz="0" w:space="0" w:color="auto"/>
        <w:right w:val="none" w:sz="0" w:space="0" w:color="auto"/>
      </w:divBdr>
    </w:div>
    <w:div w:id="714811821">
      <w:bodyDiv w:val="1"/>
      <w:marLeft w:val="0"/>
      <w:marRight w:val="0"/>
      <w:marTop w:val="0"/>
      <w:marBottom w:val="0"/>
      <w:divBdr>
        <w:top w:val="none" w:sz="0" w:space="0" w:color="auto"/>
        <w:left w:val="none" w:sz="0" w:space="0" w:color="auto"/>
        <w:bottom w:val="none" w:sz="0" w:space="0" w:color="auto"/>
        <w:right w:val="none" w:sz="0" w:space="0" w:color="auto"/>
      </w:divBdr>
    </w:div>
    <w:div w:id="714817461">
      <w:bodyDiv w:val="1"/>
      <w:marLeft w:val="0"/>
      <w:marRight w:val="0"/>
      <w:marTop w:val="0"/>
      <w:marBottom w:val="0"/>
      <w:divBdr>
        <w:top w:val="none" w:sz="0" w:space="0" w:color="auto"/>
        <w:left w:val="none" w:sz="0" w:space="0" w:color="auto"/>
        <w:bottom w:val="none" w:sz="0" w:space="0" w:color="auto"/>
        <w:right w:val="none" w:sz="0" w:space="0" w:color="auto"/>
      </w:divBdr>
    </w:div>
    <w:div w:id="714886825">
      <w:bodyDiv w:val="1"/>
      <w:marLeft w:val="0"/>
      <w:marRight w:val="0"/>
      <w:marTop w:val="0"/>
      <w:marBottom w:val="0"/>
      <w:divBdr>
        <w:top w:val="none" w:sz="0" w:space="0" w:color="auto"/>
        <w:left w:val="none" w:sz="0" w:space="0" w:color="auto"/>
        <w:bottom w:val="none" w:sz="0" w:space="0" w:color="auto"/>
        <w:right w:val="none" w:sz="0" w:space="0" w:color="auto"/>
      </w:divBdr>
    </w:div>
    <w:div w:id="715275053">
      <w:bodyDiv w:val="1"/>
      <w:marLeft w:val="0"/>
      <w:marRight w:val="0"/>
      <w:marTop w:val="0"/>
      <w:marBottom w:val="0"/>
      <w:divBdr>
        <w:top w:val="none" w:sz="0" w:space="0" w:color="auto"/>
        <w:left w:val="none" w:sz="0" w:space="0" w:color="auto"/>
        <w:bottom w:val="none" w:sz="0" w:space="0" w:color="auto"/>
        <w:right w:val="none" w:sz="0" w:space="0" w:color="auto"/>
      </w:divBdr>
    </w:div>
    <w:div w:id="716046477">
      <w:bodyDiv w:val="1"/>
      <w:marLeft w:val="0"/>
      <w:marRight w:val="0"/>
      <w:marTop w:val="0"/>
      <w:marBottom w:val="0"/>
      <w:divBdr>
        <w:top w:val="none" w:sz="0" w:space="0" w:color="auto"/>
        <w:left w:val="none" w:sz="0" w:space="0" w:color="auto"/>
        <w:bottom w:val="none" w:sz="0" w:space="0" w:color="auto"/>
        <w:right w:val="none" w:sz="0" w:space="0" w:color="auto"/>
      </w:divBdr>
    </w:div>
    <w:div w:id="716316676">
      <w:bodyDiv w:val="1"/>
      <w:marLeft w:val="0"/>
      <w:marRight w:val="0"/>
      <w:marTop w:val="0"/>
      <w:marBottom w:val="0"/>
      <w:divBdr>
        <w:top w:val="none" w:sz="0" w:space="0" w:color="auto"/>
        <w:left w:val="none" w:sz="0" w:space="0" w:color="auto"/>
        <w:bottom w:val="none" w:sz="0" w:space="0" w:color="auto"/>
        <w:right w:val="none" w:sz="0" w:space="0" w:color="auto"/>
      </w:divBdr>
      <w:divsChild>
        <w:div w:id="1833569822">
          <w:marLeft w:val="0"/>
          <w:marRight w:val="0"/>
          <w:marTop w:val="0"/>
          <w:marBottom w:val="0"/>
          <w:divBdr>
            <w:top w:val="none" w:sz="0" w:space="0" w:color="auto"/>
            <w:left w:val="none" w:sz="0" w:space="0" w:color="auto"/>
            <w:bottom w:val="none" w:sz="0" w:space="0" w:color="auto"/>
            <w:right w:val="none" w:sz="0" w:space="0" w:color="auto"/>
          </w:divBdr>
          <w:divsChild>
            <w:div w:id="2027369869">
              <w:marLeft w:val="0"/>
              <w:marRight w:val="0"/>
              <w:marTop w:val="0"/>
              <w:marBottom w:val="0"/>
              <w:divBdr>
                <w:top w:val="none" w:sz="0" w:space="0" w:color="auto"/>
                <w:left w:val="none" w:sz="0" w:space="0" w:color="auto"/>
                <w:bottom w:val="none" w:sz="0" w:space="0" w:color="auto"/>
                <w:right w:val="none" w:sz="0" w:space="0" w:color="auto"/>
              </w:divBdr>
              <w:divsChild>
                <w:div w:id="745492088">
                  <w:marLeft w:val="0"/>
                  <w:marRight w:val="0"/>
                  <w:marTop w:val="0"/>
                  <w:marBottom w:val="0"/>
                  <w:divBdr>
                    <w:top w:val="none" w:sz="0" w:space="0" w:color="auto"/>
                    <w:left w:val="none" w:sz="0" w:space="0" w:color="auto"/>
                    <w:bottom w:val="none" w:sz="0" w:space="0" w:color="auto"/>
                    <w:right w:val="none" w:sz="0" w:space="0" w:color="auto"/>
                  </w:divBdr>
                  <w:divsChild>
                    <w:div w:id="436609057">
                      <w:marLeft w:val="0"/>
                      <w:marRight w:val="0"/>
                      <w:marTop w:val="0"/>
                      <w:marBottom w:val="0"/>
                      <w:divBdr>
                        <w:top w:val="none" w:sz="0" w:space="0" w:color="auto"/>
                        <w:left w:val="none" w:sz="0" w:space="0" w:color="auto"/>
                        <w:bottom w:val="none" w:sz="0" w:space="0" w:color="auto"/>
                        <w:right w:val="none" w:sz="0" w:space="0" w:color="auto"/>
                      </w:divBdr>
                      <w:divsChild>
                        <w:div w:id="1082262405">
                          <w:marLeft w:val="0"/>
                          <w:marRight w:val="0"/>
                          <w:marTop w:val="0"/>
                          <w:marBottom w:val="0"/>
                          <w:divBdr>
                            <w:top w:val="none" w:sz="0" w:space="0" w:color="auto"/>
                            <w:left w:val="none" w:sz="0" w:space="0" w:color="auto"/>
                            <w:bottom w:val="none" w:sz="0" w:space="0" w:color="auto"/>
                            <w:right w:val="none" w:sz="0" w:space="0" w:color="auto"/>
                          </w:divBdr>
                          <w:divsChild>
                            <w:div w:id="708802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16466302">
      <w:bodyDiv w:val="1"/>
      <w:marLeft w:val="0"/>
      <w:marRight w:val="0"/>
      <w:marTop w:val="0"/>
      <w:marBottom w:val="0"/>
      <w:divBdr>
        <w:top w:val="none" w:sz="0" w:space="0" w:color="auto"/>
        <w:left w:val="none" w:sz="0" w:space="0" w:color="auto"/>
        <w:bottom w:val="none" w:sz="0" w:space="0" w:color="auto"/>
        <w:right w:val="none" w:sz="0" w:space="0" w:color="auto"/>
      </w:divBdr>
    </w:div>
    <w:div w:id="716469095">
      <w:bodyDiv w:val="1"/>
      <w:marLeft w:val="0"/>
      <w:marRight w:val="0"/>
      <w:marTop w:val="0"/>
      <w:marBottom w:val="0"/>
      <w:divBdr>
        <w:top w:val="none" w:sz="0" w:space="0" w:color="auto"/>
        <w:left w:val="none" w:sz="0" w:space="0" w:color="auto"/>
        <w:bottom w:val="none" w:sz="0" w:space="0" w:color="auto"/>
        <w:right w:val="none" w:sz="0" w:space="0" w:color="auto"/>
      </w:divBdr>
    </w:div>
    <w:div w:id="716469980">
      <w:bodyDiv w:val="1"/>
      <w:marLeft w:val="0"/>
      <w:marRight w:val="0"/>
      <w:marTop w:val="0"/>
      <w:marBottom w:val="0"/>
      <w:divBdr>
        <w:top w:val="none" w:sz="0" w:space="0" w:color="auto"/>
        <w:left w:val="none" w:sz="0" w:space="0" w:color="auto"/>
        <w:bottom w:val="none" w:sz="0" w:space="0" w:color="auto"/>
        <w:right w:val="none" w:sz="0" w:space="0" w:color="auto"/>
      </w:divBdr>
    </w:div>
    <w:div w:id="716582956">
      <w:bodyDiv w:val="1"/>
      <w:marLeft w:val="0"/>
      <w:marRight w:val="0"/>
      <w:marTop w:val="0"/>
      <w:marBottom w:val="0"/>
      <w:divBdr>
        <w:top w:val="none" w:sz="0" w:space="0" w:color="auto"/>
        <w:left w:val="none" w:sz="0" w:space="0" w:color="auto"/>
        <w:bottom w:val="none" w:sz="0" w:space="0" w:color="auto"/>
        <w:right w:val="none" w:sz="0" w:space="0" w:color="auto"/>
      </w:divBdr>
    </w:div>
    <w:div w:id="716586471">
      <w:bodyDiv w:val="1"/>
      <w:marLeft w:val="0"/>
      <w:marRight w:val="0"/>
      <w:marTop w:val="0"/>
      <w:marBottom w:val="0"/>
      <w:divBdr>
        <w:top w:val="none" w:sz="0" w:space="0" w:color="auto"/>
        <w:left w:val="none" w:sz="0" w:space="0" w:color="auto"/>
        <w:bottom w:val="none" w:sz="0" w:space="0" w:color="auto"/>
        <w:right w:val="none" w:sz="0" w:space="0" w:color="auto"/>
      </w:divBdr>
    </w:div>
    <w:div w:id="716592228">
      <w:bodyDiv w:val="1"/>
      <w:marLeft w:val="0"/>
      <w:marRight w:val="0"/>
      <w:marTop w:val="0"/>
      <w:marBottom w:val="0"/>
      <w:divBdr>
        <w:top w:val="none" w:sz="0" w:space="0" w:color="auto"/>
        <w:left w:val="none" w:sz="0" w:space="0" w:color="auto"/>
        <w:bottom w:val="none" w:sz="0" w:space="0" w:color="auto"/>
        <w:right w:val="none" w:sz="0" w:space="0" w:color="auto"/>
      </w:divBdr>
    </w:div>
    <w:div w:id="718020291">
      <w:bodyDiv w:val="1"/>
      <w:marLeft w:val="0"/>
      <w:marRight w:val="0"/>
      <w:marTop w:val="0"/>
      <w:marBottom w:val="0"/>
      <w:divBdr>
        <w:top w:val="none" w:sz="0" w:space="0" w:color="auto"/>
        <w:left w:val="none" w:sz="0" w:space="0" w:color="auto"/>
        <w:bottom w:val="none" w:sz="0" w:space="0" w:color="auto"/>
        <w:right w:val="none" w:sz="0" w:space="0" w:color="auto"/>
      </w:divBdr>
    </w:div>
    <w:div w:id="718407323">
      <w:bodyDiv w:val="1"/>
      <w:marLeft w:val="0"/>
      <w:marRight w:val="0"/>
      <w:marTop w:val="0"/>
      <w:marBottom w:val="0"/>
      <w:divBdr>
        <w:top w:val="none" w:sz="0" w:space="0" w:color="auto"/>
        <w:left w:val="none" w:sz="0" w:space="0" w:color="auto"/>
        <w:bottom w:val="none" w:sz="0" w:space="0" w:color="auto"/>
        <w:right w:val="none" w:sz="0" w:space="0" w:color="auto"/>
      </w:divBdr>
    </w:div>
    <w:div w:id="718939723">
      <w:bodyDiv w:val="1"/>
      <w:marLeft w:val="0"/>
      <w:marRight w:val="0"/>
      <w:marTop w:val="0"/>
      <w:marBottom w:val="0"/>
      <w:divBdr>
        <w:top w:val="none" w:sz="0" w:space="0" w:color="auto"/>
        <w:left w:val="none" w:sz="0" w:space="0" w:color="auto"/>
        <w:bottom w:val="none" w:sz="0" w:space="0" w:color="auto"/>
        <w:right w:val="none" w:sz="0" w:space="0" w:color="auto"/>
      </w:divBdr>
    </w:div>
    <w:div w:id="718943557">
      <w:bodyDiv w:val="1"/>
      <w:marLeft w:val="0"/>
      <w:marRight w:val="0"/>
      <w:marTop w:val="0"/>
      <w:marBottom w:val="0"/>
      <w:divBdr>
        <w:top w:val="none" w:sz="0" w:space="0" w:color="auto"/>
        <w:left w:val="none" w:sz="0" w:space="0" w:color="auto"/>
        <w:bottom w:val="none" w:sz="0" w:space="0" w:color="auto"/>
        <w:right w:val="none" w:sz="0" w:space="0" w:color="auto"/>
      </w:divBdr>
    </w:div>
    <w:div w:id="719786609">
      <w:bodyDiv w:val="1"/>
      <w:marLeft w:val="0"/>
      <w:marRight w:val="0"/>
      <w:marTop w:val="0"/>
      <w:marBottom w:val="0"/>
      <w:divBdr>
        <w:top w:val="none" w:sz="0" w:space="0" w:color="auto"/>
        <w:left w:val="none" w:sz="0" w:space="0" w:color="auto"/>
        <w:bottom w:val="none" w:sz="0" w:space="0" w:color="auto"/>
        <w:right w:val="none" w:sz="0" w:space="0" w:color="auto"/>
      </w:divBdr>
    </w:div>
    <w:div w:id="720328261">
      <w:bodyDiv w:val="1"/>
      <w:marLeft w:val="0"/>
      <w:marRight w:val="0"/>
      <w:marTop w:val="0"/>
      <w:marBottom w:val="0"/>
      <w:divBdr>
        <w:top w:val="none" w:sz="0" w:space="0" w:color="auto"/>
        <w:left w:val="none" w:sz="0" w:space="0" w:color="auto"/>
        <w:bottom w:val="none" w:sz="0" w:space="0" w:color="auto"/>
        <w:right w:val="none" w:sz="0" w:space="0" w:color="auto"/>
      </w:divBdr>
      <w:divsChild>
        <w:div w:id="63994907">
          <w:marLeft w:val="0"/>
          <w:marRight w:val="0"/>
          <w:marTop w:val="0"/>
          <w:marBottom w:val="0"/>
          <w:divBdr>
            <w:top w:val="none" w:sz="0" w:space="0" w:color="auto"/>
            <w:left w:val="none" w:sz="0" w:space="0" w:color="auto"/>
            <w:bottom w:val="none" w:sz="0" w:space="0" w:color="auto"/>
            <w:right w:val="none" w:sz="0" w:space="0" w:color="auto"/>
          </w:divBdr>
        </w:div>
        <w:div w:id="76363212">
          <w:marLeft w:val="0"/>
          <w:marRight w:val="0"/>
          <w:marTop w:val="0"/>
          <w:marBottom w:val="0"/>
          <w:divBdr>
            <w:top w:val="none" w:sz="0" w:space="0" w:color="auto"/>
            <w:left w:val="none" w:sz="0" w:space="0" w:color="auto"/>
            <w:bottom w:val="none" w:sz="0" w:space="0" w:color="auto"/>
            <w:right w:val="none" w:sz="0" w:space="0" w:color="auto"/>
          </w:divBdr>
        </w:div>
        <w:div w:id="96868815">
          <w:marLeft w:val="0"/>
          <w:marRight w:val="0"/>
          <w:marTop w:val="0"/>
          <w:marBottom w:val="0"/>
          <w:divBdr>
            <w:top w:val="none" w:sz="0" w:space="0" w:color="auto"/>
            <w:left w:val="none" w:sz="0" w:space="0" w:color="auto"/>
            <w:bottom w:val="none" w:sz="0" w:space="0" w:color="auto"/>
            <w:right w:val="none" w:sz="0" w:space="0" w:color="auto"/>
          </w:divBdr>
        </w:div>
        <w:div w:id="98725097">
          <w:marLeft w:val="0"/>
          <w:marRight w:val="0"/>
          <w:marTop w:val="0"/>
          <w:marBottom w:val="0"/>
          <w:divBdr>
            <w:top w:val="none" w:sz="0" w:space="0" w:color="auto"/>
            <w:left w:val="none" w:sz="0" w:space="0" w:color="auto"/>
            <w:bottom w:val="none" w:sz="0" w:space="0" w:color="auto"/>
            <w:right w:val="none" w:sz="0" w:space="0" w:color="auto"/>
          </w:divBdr>
        </w:div>
        <w:div w:id="112604909">
          <w:marLeft w:val="0"/>
          <w:marRight w:val="0"/>
          <w:marTop w:val="0"/>
          <w:marBottom w:val="0"/>
          <w:divBdr>
            <w:top w:val="none" w:sz="0" w:space="0" w:color="auto"/>
            <w:left w:val="none" w:sz="0" w:space="0" w:color="auto"/>
            <w:bottom w:val="none" w:sz="0" w:space="0" w:color="auto"/>
            <w:right w:val="none" w:sz="0" w:space="0" w:color="auto"/>
          </w:divBdr>
        </w:div>
        <w:div w:id="127818201">
          <w:marLeft w:val="0"/>
          <w:marRight w:val="0"/>
          <w:marTop w:val="0"/>
          <w:marBottom w:val="0"/>
          <w:divBdr>
            <w:top w:val="none" w:sz="0" w:space="0" w:color="auto"/>
            <w:left w:val="none" w:sz="0" w:space="0" w:color="auto"/>
            <w:bottom w:val="none" w:sz="0" w:space="0" w:color="auto"/>
            <w:right w:val="none" w:sz="0" w:space="0" w:color="auto"/>
          </w:divBdr>
        </w:div>
        <w:div w:id="151682320">
          <w:marLeft w:val="0"/>
          <w:marRight w:val="0"/>
          <w:marTop w:val="0"/>
          <w:marBottom w:val="0"/>
          <w:divBdr>
            <w:top w:val="none" w:sz="0" w:space="0" w:color="auto"/>
            <w:left w:val="none" w:sz="0" w:space="0" w:color="auto"/>
            <w:bottom w:val="none" w:sz="0" w:space="0" w:color="auto"/>
            <w:right w:val="none" w:sz="0" w:space="0" w:color="auto"/>
          </w:divBdr>
        </w:div>
        <w:div w:id="207959719">
          <w:marLeft w:val="0"/>
          <w:marRight w:val="0"/>
          <w:marTop w:val="0"/>
          <w:marBottom w:val="0"/>
          <w:divBdr>
            <w:top w:val="none" w:sz="0" w:space="0" w:color="auto"/>
            <w:left w:val="none" w:sz="0" w:space="0" w:color="auto"/>
            <w:bottom w:val="none" w:sz="0" w:space="0" w:color="auto"/>
            <w:right w:val="none" w:sz="0" w:space="0" w:color="auto"/>
          </w:divBdr>
        </w:div>
        <w:div w:id="241836232">
          <w:marLeft w:val="0"/>
          <w:marRight w:val="0"/>
          <w:marTop w:val="0"/>
          <w:marBottom w:val="0"/>
          <w:divBdr>
            <w:top w:val="none" w:sz="0" w:space="0" w:color="auto"/>
            <w:left w:val="none" w:sz="0" w:space="0" w:color="auto"/>
            <w:bottom w:val="none" w:sz="0" w:space="0" w:color="auto"/>
            <w:right w:val="none" w:sz="0" w:space="0" w:color="auto"/>
          </w:divBdr>
        </w:div>
        <w:div w:id="425342530">
          <w:marLeft w:val="0"/>
          <w:marRight w:val="0"/>
          <w:marTop w:val="0"/>
          <w:marBottom w:val="0"/>
          <w:divBdr>
            <w:top w:val="none" w:sz="0" w:space="0" w:color="auto"/>
            <w:left w:val="none" w:sz="0" w:space="0" w:color="auto"/>
            <w:bottom w:val="none" w:sz="0" w:space="0" w:color="auto"/>
            <w:right w:val="none" w:sz="0" w:space="0" w:color="auto"/>
          </w:divBdr>
        </w:div>
        <w:div w:id="507257035">
          <w:marLeft w:val="0"/>
          <w:marRight w:val="0"/>
          <w:marTop w:val="0"/>
          <w:marBottom w:val="0"/>
          <w:divBdr>
            <w:top w:val="none" w:sz="0" w:space="0" w:color="auto"/>
            <w:left w:val="none" w:sz="0" w:space="0" w:color="auto"/>
            <w:bottom w:val="none" w:sz="0" w:space="0" w:color="auto"/>
            <w:right w:val="none" w:sz="0" w:space="0" w:color="auto"/>
          </w:divBdr>
        </w:div>
        <w:div w:id="625281935">
          <w:marLeft w:val="0"/>
          <w:marRight w:val="0"/>
          <w:marTop w:val="0"/>
          <w:marBottom w:val="0"/>
          <w:divBdr>
            <w:top w:val="none" w:sz="0" w:space="0" w:color="auto"/>
            <w:left w:val="none" w:sz="0" w:space="0" w:color="auto"/>
            <w:bottom w:val="none" w:sz="0" w:space="0" w:color="auto"/>
            <w:right w:val="none" w:sz="0" w:space="0" w:color="auto"/>
          </w:divBdr>
        </w:div>
        <w:div w:id="652873839">
          <w:marLeft w:val="0"/>
          <w:marRight w:val="0"/>
          <w:marTop w:val="0"/>
          <w:marBottom w:val="0"/>
          <w:divBdr>
            <w:top w:val="none" w:sz="0" w:space="0" w:color="auto"/>
            <w:left w:val="none" w:sz="0" w:space="0" w:color="auto"/>
            <w:bottom w:val="none" w:sz="0" w:space="0" w:color="auto"/>
            <w:right w:val="none" w:sz="0" w:space="0" w:color="auto"/>
          </w:divBdr>
        </w:div>
        <w:div w:id="689797203">
          <w:marLeft w:val="0"/>
          <w:marRight w:val="0"/>
          <w:marTop w:val="0"/>
          <w:marBottom w:val="0"/>
          <w:divBdr>
            <w:top w:val="none" w:sz="0" w:space="0" w:color="auto"/>
            <w:left w:val="none" w:sz="0" w:space="0" w:color="auto"/>
            <w:bottom w:val="none" w:sz="0" w:space="0" w:color="auto"/>
            <w:right w:val="none" w:sz="0" w:space="0" w:color="auto"/>
          </w:divBdr>
        </w:div>
        <w:div w:id="725646679">
          <w:marLeft w:val="0"/>
          <w:marRight w:val="0"/>
          <w:marTop w:val="0"/>
          <w:marBottom w:val="0"/>
          <w:divBdr>
            <w:top w:val="none" w:sz="0" w:space="0" w:color="auto"/>
            <w:left w:val="none" w:sz="0" w:space="0" w:color="auto"/>
            <w:bottom w:val="none" w:sz="0" w:space="0" w:color="auto"/>
            <w:right w:val="none" w:sz="0" w:space="0" w:color="auto"/>
          </w:divBdr>
        </w:div>
        <w:div w:id="781925405">
          <w:marLeft w:val="0"/>
          <w:marRight w:val="0"/>
          <w:marTop w:val="0"/>
          <w:marBottom w:val="0"/>
          <w:divBdr>
            <w:top w:val="none" w:sz="0" w:space="0" w:color="auto"/>
            <w:left w:val="none" w:sz="0" w:space="0" w:color="auto"/>
            <w:bottom w:val="none" w:sz="0" w:space="0" w:color="auto"/>
            <w:right w:val="none" w:sz="0" w:space="0" w:color="auto"/>
          </w:divBdr>
        </w:div>
        <w:div w:id="786852360">
          <w:marLeft w:val="0"/>
          <w:marRight w:val="0"/>
          <w:marTop w:val="0"/>
          <w:marBottom w:val="0"/>
          <w:divBdr>
            <w:top w:val="none" w:sz="0" w:space="0" w:color="auto"/>
            <w:left w:val="none" w:sz="0" w:space="0" w:color="auto"/>
            <w:bottom w:val="none" w:sz="0" w:space="0" w:color="auto"/>
            <w:right w:val="none" w:sz="0" w:space="0" w:color="auto"/>
          </w:divBdr>
        </w:div>
        <w:div w:id="794256719">
          <w:marLeft w:val="0"/>
          <w:marRight w:val="0"/>
          <w:marTop w:val="0"/>
          <w:marBottom w:val="0"/>
          <w:divBdr>
            <w:top w:val="none" w:sz="0" w:space="0" w:color="auto"/>
            <w:left w:val="none" w:sz="0" w:space="0" w:color="auto"/>
            <w:bottom w:val="none" w:sz="0" w:space="0" w:color="auto"/>
            <w:right w:val="none" w:sz="0" w:space="0" w:color="auto"/>
          </w:divBdr>
        </w:div>
        <w:div w:id="801269989">
          <w:marLeft w:val="0"/>
          <w:marRight w:val="0"/>
          <w:marTop w:val="0"/>
          <w:marBottom w:val="0"/>
          <w:divBdr>
            <w:top w:val="none" w:sz="0" w:space="0" w:color="auto"/>
            <w:left w:val="none" w:sz="0" w:space="0" w:color="auto"/>
            <w:bottom w:val="none" w:sz="0" w:space="0" w:color="auto"/>
            <w:right w:val="none" w:sz="0" w:space="0" w:color="auto"/>
          </w:divBdr>
        </w:div>
        <w:div w:id="853347719">
          <w:marLeft w:val="0"/>
          <w:marRight w:val="0"/>
          <w:marTop w:val="0"/>
          <w:marBottom w:val="0"/>
          <w:divBdr>
            <w:top w:val="none" w:sz="0" w:space="0" w:color="auto"/>
            <w:left w:val="none" w:sz="0" w:space="0" w:color="auto"/>
            <w:bottom w:val="none" w:sz="0" w:space="0" w:color="auto"/>
            <w:right w:val="none" w:sz="0" w:space="0" w:color="auto"/>
          </w:divBdr>
        </w:div>
        <w:div w:id="886645187">
          <w:marLeft w:val="0"/>
          <w:marRight w:val="0"/>
          <w:marTop w:val="0"/>
          <w:marBottom w:val="0"/>
          <w:divBdr>
            <w:top w:val="none" w:sz="0" w:space="0" w:color="auto"/>
            <w:left w:val="none" w:sz="0" w:space="0" w:color="auto"/>
            <w:bottom w:val="none" w:sz="0" w:space="0" w:color="auto"/>
            <w:right w:val="none" w:sz="0" w:space="0" w:color="auto"/>
          </w:divBdr>
        </w:div>
        <w:div w:id="910505236">
          <w:marLeft w:val="0"/>
          <w:marRight w:val="0"/>
          <w:marTop w:val="0"/>
          <w:marBottom w:val="0"/>
          <w:divBdr>
            <w:top w:val="none" w:sz="0" w:space="0" w:color="auto"/>
            <w:left w:val="none" w:sz="0" w:space="0" w:color="auto"/>
            <w:bottom w:val="none" w:sz="0" w:space="0" w:color="auto"/>
            <w:right w:val="none" w:sz="0" w:space="0" w:color="auto"/>
          </w:divBdr>
        </w:div>
        <w:div w:id="919099855">
          <w:marLeft w:val="0"/>
          <w:marRight w:val="0"/>
          <w:marTop w:val="0"/>
          <w:marBottom w:val="0"/>
          <w:divBdr>
            <w:top w:val="none" w:sz="0" w:space="0" w:color="auto"/>
            <w:left w:val="none" w:sz="0" w:space="0" w:color="auto"/>
            <w:bottom w:val="none" w:sz="0" w:space="0" w:color="auto"/>
            <w:right w:val="none" w:sz="0" w:space="0" w:color="auto"/>
          </w:divBdr>
        </w:div>
        <w:div w:id="954598590">
          <w:marLeft w:val="0"/>
          <w:marRight w:val="0"/>
          <w:marTop w:val="0"/>
          <w:marBottom w:val="0"/>
          <w:divBdr>
            <w:top w:val="none" w:sz="0" w:space="0" w:color="auto"/>
            <w:left w:val="none" w:sz="0" w:space="0" w:color="auto"/>
            <w:bottom w:val="none" w:sz="0" w:space="0" w:color="auto"/>
            <w:right w:val="none" w:sz="0" w:space="0" w:color="auto"/>
          </w:divBdr>
        </w:div>
        <w:div w:id="1101145012">
          <w:marLeft w:val="0"/>
          <w:marRight w:val="0"/>
          <w:marTop w:val="0"/>
          <w:marBottom w:val="0"/>
          <w:divBdr>
            <w:top w:val="none" w:sz="0" w:space="0" w:color="auto"/>
            <w:left w:val="none" w:sz="0" w:space="0" w:color="auto"/>
            <w:bottom w:val="none" w:sz="0" w:space="0" w:color="auto"/>
            <w:right w:val="none" w:sz="0" w:space="0" w:color="auto"/>
          </w:divBdr>
        </w:div>
        <w:div w:id="1104493139">
          <w:marLeft w:val="0"/>
          <w:marRight w:val="0"/>
          <w:marTop w:val="0"/>
          <w:marBottom w:val="0"/>
          <w:divBdr>
            <w:top w:val="none" w:sz="0" w:space="0" w:color="auto"/>
            <w:left w:val="none" w:sz="0" w:space="0" w:color="auto"/>
            <w:bottom w:val="none" w:sz="0" w:space="0" w:color="auto"/>
            <w:right w:val="none" w:sz="0" w:space="0" w:color="auto"/>
          </w:divBdr>
        </w:div>
        <w:div w:id="1109739998">
          <w:marLeft w:val="0"/>
          <w:marRight w:val="0"/>
          <w:marTop w:val="0"/>
          <w:marBottom w:val="0"/>
          <w:divBdr>
            <w:top w:val="none" w:sz="0" w:space="0" w:color="auto"/>
            <w:left w:val="none" w:sz="0" w:space="0" w:color="auto"/>
            <w:bottom w:val="none" w:sz="0" w:space="0" w:color="auto"/>
            <w:right w:val="none" w:sz="0" w:space="0" w:color="auto"/>
          </w:divBdr>
        </w:div>
        <w:div w:id="1190680083">
          <w:marLeft w:val="0"/>
          <w:marRight w:val="0"/>
          <w:marTop w:val="0"/>
          <w:marBottom w:val="0"/>
          <w:divBdr>
            <w:top w:val="none" w:sz="0" w:space="0" w:color="auto"/>
            <w:left w:val="none" w:sz="0" w:space="0" w:color="auto"/>
            <w:bottom w:val="none" w:sz="0" w:space="0" w:color="auto"/>
            <w:right w:val="none" w:sz="0" w:space="0" w:color="auto"/>
          </w:divBdr>
        </w:div>
        <w:div w:id="1194076071">
          <w:marLeft w:val="0"/>
          <w:marRight w:val="0"/>
          <w:marTop w:val="0"/>
          <w:marBottom w:val="0"/>
          <w:divBdr>
            <w:top w:val="none" w:sz="0" w:space="0" w:color="auto"/>
            <w:left w:val="none" w:sz="0" w:space="0" w:color="auto"/>
            <w:bottom w:val="none" w:sz="0" w:space="0" w:color="auto"/>
            <w:right w:val="none" w:sz="0" w:space="0" w:color="auto"/>
          </w:divBdr>
        </w:div>
        <w:div w:id="1215002236">
          <w:marLeft w:val="0"/>
          <w:marRight w:val="0"/>
          <w:marTop w:val="0"/>
          <w:marBottom w:val="0"/>
          <w:divBdr>
            <w:top w:val="none" w:sz="0" w:space="0" w:color="auto"/>
            <w:left w:val="none" w:sz="0" w:space="0" w:color="auto"/>
            <w:bottom w:val="none" w:sz="0" w:space="0" w:color="auto"/>
            <w:right w:val="none" w:sz="0" w:space="0" w:color="auto"/>
          </w:divBdr>
        </w:div>
        <w:div w:id="1217352466">
          <w:marLeft w:val="0"/>
          <w:marRight w:val="0"/>
          <w:marTop w:val="0"/>
          <w:marBottom w:val="0"/>
          <w:divBdr>
            <w:top w:val="none" w:sz="0" w:space="0" w:color="auto"/>
            <w:left w:val="none" w:sz="0" w:space="0" w:color="auto"/>
            <w:bottom w:val="none" w:sz="0" w:space="0" w:color="auto"/>
            <w:right w:val="none" w:sz="0" w:space="0" w:color="auto"/>
          </w:divBdr>
        </w:div>
        <w:div w:id="1294214699">
          <w:marLeft w:val="0"/>
          <w:marRight w:val="0"/>
          <w:marTop w:val="0"/>
          <w:marBottom w:val="0"/>
          <w:divBdr>
            <w:top w:val="none" w:sz="0" w:space="0" w:color="auto"/>
            <w:left w:val="none" w:sz="0" w:space="0" w:color="auto"/>
            <w:bottom w:val="none" w:sz="0" w:space="0" w:color="auto"/>
            <w:right w:val="none" w:sz="0" w:space="0" w:color="auto"/>
          </w:divBdr>
        </w:div>
        <w:div w:id="1349141252">
          <w:marLeft w:val="0"/>
          <w:marRight w:val="0"/>
          <w:marTop w:val="0"/>
          <w:marBottom w:val="0"/>
          <w:divBdr>
            <w:top w:val="none" w:sz="0" w:space="0" w:color="auto"/>
            <w:left w:val="none" w:sz="0" w:space="0" w:color="auto"/>
            <w:bottom w:val="none" w:sz="0" w:space="0" w:color="auto"/>
            <w:right w:val="none" w:sz="0" w:space="0" w:color="auto"/>
          </w:divBdr>
        </w:div>
        <w:div w:id="1432774306">
          <w:marLeft w:val="0"/>
          <w:marRight w:val="0"/>
          <w:marTop w:val="0"/>
          <w:marBottom w:val="0"/>
          <w:divBdr>
            <w:top w:val="none" w:sz="0" w:space="0" w:color="auto"/>
            <w:left w:val="none" w:sz="0" w:space="0" w:color="auto"/>
            <w:bottom w:val="none" w:sz="0" w:space="0" w:color="auto"/>
            <w:right w:val="none" w:sz="0" w:space="0" w:color="auto"/>
          </w:divBdr>
        </w:div>
        <w:div w:id="1446924505">
          <w:marLeft w:val="0"/>
          <w:marRight w:val="0"/>
          <w:marTop w:val="0"/>
          <w:marBottom w:val="0"/>
          <w:divBdr>
            <w:top w:val="none" w:sz="0" w:space="0" w:color="auto"/>
            <w:left w:val="none" w:sz="0" w:space="0" w:color="auto"/>
            <w:bottom w:val="none" w:sz="0" w:space="0" w:color="auto"/>
            <w:right w:val="none" w:sz="0" w:space="0" w:color="auto"/>
          </w:divBdr>
        </w:div>
        <w:div w:id="1460341289">
          <w:marLeft w:val="0"/>
          <w:marRight w:val="0"/>
          <w:marTop w:val="0"/>
          <w:marBottom w:val="0"/>
          <w:divBdr>
            <w:top w:val="none" w:sz="0" w:space="0" w:color="auto"/>
            <w:left w:val="none" w:sz="0" w:space="0" w:color="auto"/>
            <w:bottom w:val="none" w:sz="0" w:space="0" w:color="auto"/>
            <w:right w:val="none" w:sz="0" w:space="0" w:color="auto"/>
          </w:divBdr>
        </w:div>
        <w:div w:id="1509753556">
          <w:marLeft w:val="0"/>
          <w:marRight w:val="0"/>
          <w:marTop w:val="0"/>
          <w:marBottom w:val="0"/>
          <w:divBdr>
            <w:top w:val="none" w:sz="0" w:space="0" w:color="auto"/>
            <w:left w:val="none" w:sz="0" w:space="0" w:color="auto"/>
            <w:bottom w:val="none" w:sz="0" w:space="0" w:color="auto"/>
            <w:right w:val="none" w:sz="0" w:space="0" w:color="auto"/>
          </w:divBdr>
        </w:div>
        <w:div w:id="1630745188">
          <w:marLeft w:val="0"/>
          <w:marRight w:val="0"/>
          <w:marTop w:val="0"/>
          <w:marBottom w:val="0"/>
          <w:divBdr>
            <w:top w:val="none" w:sz="0" w:space="0" w:color="auto"/>
            <w:left w:val="none" w:sz="0" w:space="0" w:color="auto"/>
            <w:bottom w:val="none" w:sz="0" w:space="0" w:color="auto"/>
            <w:right w:val="none" w:sz="0" w:space="0" w:color="auto"/>
          </w:divBdr>
        </w:div>
        <w:div w:id="1709144389">
          <w:marLeft w:val="0"/>
          <w:marRight w:val="0"/>
          <w:marTop w:val="0"/>
          <w:marBottom w:val="0"/>
          <w:divBdr>
            <w:top w:val="none" w:sz="0" w:space="0" w:color="auto"/>
            <w:left w:val="none" w:sz="0" w:space="0" w:color="auto"/>
            <w:bottom w:val="none" w:sz="0" w:space="0" w:color="auto"/>
            <w:right w:val="none" w:sz="0" w:space="0" w:color="auto"/>
          </w:divBdr>
        </w:div>
        <w:div w:id="1909917124">
          <w:marLeft w:val="0"/>
          <w:marRight w:val="0"/>
          <w:marTop w:val="0"/>
          <w:marBottom w:val="0"/>
          <w:divBdr>
            <w:top w:val="none" w:sz="0" w:space="0" w:color="auto"/>
            <w:left w:val="none" w:sz="0" w:space="0" w:color="auto"/>
            <w:bottom w:val="none" w:sz="0" w:space="0" w:color="auto"/>
            <w:right w:val="none" w:sz="0" w:space="0" w:color="auto"/>
          </w:divBdr>
        </w:div>
        <w:div w:id="1956017009">
          <w:marLeft w:val="0"/>
          <w:marRight w:val="0"/>
          <w:marTop w:val="0"/>
          <w:marBottom w:val="0"/>
          <w:divBdr>
            <w:top w:val="none" w:sz="0" w:space="0" w:color="auto"/>
            <w:left w:val="none" w:sz="0" w:space="0" w:color="auto"/>
            <w:bottom w:val="none" w:sz="0" w:space="0" w:color="auto"/>
            <w:right w:val="none" w:sz="0" w:space="0" w:color="auto"/>
          </w:divBdr>
        </w:div>
        <w:div w:id="2057728794">
          <w:marLeft w:val="0"/>
          <w:marRight w:val="0"/>
          <w:marTop w:val="0"/>
          <w:marBottom w:val="0"/>
          <w:divBdr>
            <w:top w:val="none" w:sz="0" w:space="0" w:color="auto"/>
            <w:left w:val="none" w:sz="0" w:space="0" w:color="auto"/>
            <w:bottom w:val="none" w:sz="0" w:space="0" w:color="auto"/>
            <w:right w:val="none" w:sz="0" w:space="0" w:color="auto"/>
          </w:divBdr>
        </w:div>
        <w:div w:id="2082756102">
          <w:marLeft w:val="0"/>
          <w:marRight w:val="0"/>
          <w:marTop w:val="0"/>
          <w:marBottom w:val="0"/>
          <w:divBdr>
            <w:top w:val="none" w:sz="0" w:space="0" w:color="auto"/>
            <w:left w:val="none" w:sz="0" w:space="0" w:color="auto"/>
            <w:bottom w:val="none" w:sz="0" w:space="0" w:color="auto"/>
            <w:right w:val="none" w:sz="0" w:space="0" w:color="auto"/>
          </w:divBdr>
        </w:div>
        <w:div w:id="2136946620">
          <w:marLeft w:val="0"/>
          <w:marRight w:val="0"/>
          <w:marTop w:val="0"/>
          <w:marBottom w:val="0"/>
          <w:divBdr>
            <w:top w:val="none" w:sz="0" w:space="0" w:color="auto"/>
            <w:left w:val="none" w:sz="0" w:space="0" w:color="auto"/>
            <w:bottom w:val="none" w:sz="0" w:space="0" w:color="auto"/>
            <w:right w:val="none" w:sz="0" w:space="0" w:color="auto"/>
          </w:divBdr>
        </w:div>
      </w:divsChild>
    </w:div>
    <w:div w:id="721366139">
      <w:bodyDiv w:val="1"/>
      <w:marLeft w:val="0"/>
      <w:marRight w:val="0"/>
      <w:marTop w:val="0"/>
      <w:marBottom w:val="0"/>
      <w:divBdr>
        <w:top w:val="none" w:sz="0" w:space="0" w:color="auto"/>
        <w:left w:val="none" w:sz="0" w:space="0" w:color="auto"/>
        <w:bottom w:val="none" w:sz="0" w:space="0" w:color="auto"/>
        <w:right w:val="none" w:sz="0" w:space="0" w:color="auto"/>
      </w:divBdr>
    </w:div>
    <w:div w:id="721636959">
      <w:bodyDiv w:val="1"/>
      <w:marLeft w:val="0"/>
      <w:marRight w:val="0"/>
      <w:marTop w:val="0"/>
      <w:marBottom w:val="0"/>
      <w:divBdr>
        <w:top w:val="none" w:sz="0" w:space="0" w:color="auto"/>
        <w:left w:val="none" w:sz="0" w:space="0" w:color="auto"/>
        <w:bottom w:val="none" w:sz="0" w:space="0" w:color="auto"/>
        <w:right w:val="none" w:sz="0" w:space="0" w:color="auto"/>
      </w:divBdr>
    </w:div>
    <w:div w:id="722631602">
      <w:bodyDiv w:val="1"/>
      <w:marLeft w:val="0"/>
      <w:marRight w:val="0"/>
      <w:marTop w:val="0"/>
      <w:marBottom w:val="0"/>
      <w:divBdr>
        <w:top w:val="none" w:sz="0" w:space="0" w:color="auto"/>
        <w:left w:val="none" w:sz="0" w:space="0" w:color="auto"/>
        <w:bottom w:val="none" w:sz="0" w:space="0" w:color="auto"/>
        <w:right w:val="none" w:sz="0" w:space="0" w:color="auto"/>
      </w:divBdr>
    </w:div>
    <w:div w:id="722949907">
      <w:bodyDiv w:val="1"/>
      <w:marLeft w:val="0"/>
      <w:marRight w:val="0"/>
      <w:marTop w:val="0"/>
      <w:marBottom w:val="0"/>
      <w:divBdr>
        <w:top w:val="none" w:sz="0" w:space="0" w:color="auto"/>
        <w:left w:val="none" w:sz="0" w:space="0" w:color="auto"/>
        <w:bottom w:val="none" w:sz="0" w:space="0" w:color="auto"/>
        <w:right w:val="none" w:sz="0" w:space="0" w:color="auto"/>
      </w:divBdr>
    </w:div>
    <w:div w:id="723142474">
      <w:bodyDiv w:val="1"/>
      <w:marLeft w:val="0"/>
      <w:marRight w:val="0"/>
      <w:marTop w:val="0"/>
      <w:marBottom w:val="0"/>
      <w:divBdr>
        <w:top w:val="none" w:sz="0" w:space="0" w:color="auto"/>
        <w:left w:val="none" w:sz="0" w:space="0" w:color="auto"/>
        <w:bottom w:val="none" w:sz="0" w:space="0" w:color="auto"/>
        <w:right w:val="none" w:sz="0" w:space="0" w:color="auto"/>
      </w:divBdr>
    </w:div>
    <w:div w:id="723287590">
      <w:bodyDiv w:val="1"/>
      <w:marLeft w:val="0"/>
      <w:marRight w:val="0"/>
      <w:marTop w:val="0"/>
      <w:marBottom w:val="0"/>
      <w:divBdr>
        <w:top w:val="none" w:sz="0" w:space="0" w:color="auto"/>
        <w:left w:val="none" w:sz="0" w:space="0" w:color="auto"/>
        <w:bottom w:val="none" w:sz="0" w:space="0" w:color="auto"/>
        <w:right w:val="none" w:sz="0" w:space="0" w:color="auto"/>
      </w:divBdr>
    </w:div>
    <w:div w:id="724138646">
      <w:bodyDiv w:val="1"/>
      <w:marLeft w:val="0"/>
      <w:marRight w:val="0"/>
      <w:marTop w:val="0"/>
      <w:marBottom w:val="0"/>
      <w:divBdr>
        <w:top w:val="none" w:sz="0" w:space="0" w:color="auto"/>
        <w:left w:val="none" w:sz="0" w:space="0" w:color="auto"/>
        <w:bottom w:val="none" w:sz="0" w:space="0" w:color="auto"/>
        <w:right w:val="none" w:sz="0" w:space="0" w:color="auto"/>
      </w:divBdr>
    </w:div>
    <w:div w:id="724253287">
      <w:bodyDiv w:val="1"/>
      <w:marLeft w:val="0"/>
      <w:marRight w:val="0"/>
      <w:marTop w:val="0"/>
      <w:marBottom w:val="0"/>
      <w:divBdr>
        <w:top w:val="none" w:sz="0" w:space="0" w:color="auto"/>
        <w:left w:val="none" w:sz="0" w:space="0" w:color="auto"/>
        <w:bottom w:val="none" w:sz="0" w:space="0" w:color="auto"/>
        <w:right w:val="none" w:sz="0" w:space="0" w:color="auto"/>
      </w:divBdr>
    </w:div>
    <w:div w:id="725420643">
      <w:bodyDiv w:val="1"/>
      <w:marLeft w:val="0"/>
      <w:marRight w:val="0"/>
      <w:marTop w:val="0"/>
      <w:marBottom w:val="0"/>
      <w:divBdr>
        <w:top w:val="none" w:sz="0" w:space="0" w:color="auto"/>
        <w:left w:val="none" w:sz="0" w:space="0" w:color="auto"/>
        <w:bottom w:val="none" w:sz="0" w:space="0" w:color="auto"/>
        <w:right w:val="none" w:sz="0" w:space="0" w:color="auto"/>
      </w:divBdr>
    </w:div>
    <w:div w:id="726150550">
      <w:bodyDiv w:val="1"/>
      <w:marLeft w:val="0"/>
      <w:marRight w:val="0"/>
      <w:marTop w:val="0"/>
      <w:marBottom w:val="0"/>
      <w:divBdr>
        <w:top w:val="none" w:sz="0" w:space="0" w:color="auto"/>
        <w:left w:val="none" w:sz="0" w:space="0" w:color="auto"/>
        <w:bottom w:val="none" w:sz="0" w:space="0" w:color="auto"/>
        <w:right w:val="none" w:sz="0" w:space="0" w:color="auto"/>
      </w:divBdr>
    </w:div>
    <w:div w:id="726417231">
      <w:bodyDiv w:val="1"/>
      <w:marLeft w:val="0"/>
      <w:marRight w:val="0"/>
      <w:marTop w:val="0"/>
      <w:marBottom w:val="0"/>
      <w:divBdr>
        <w:top w:val="none" w:sz="0" w:space="0" w:color="auto"/>
        <w:left w:val="none" w:sz="0" w:space="0" w:color="auto"/>
        <w:bottom w:val="none" w:sz="0" w:space="0" w:color="auto"/>
        <w:right w:val="none" w:sz="0" w:space="0" w:color="auto"/>
      </w:divBdr>
    </w:div>
    <w:div w:id="726417937">
      <w:bodyDiv w:val="1"/>
      <w:marLeft w:val="0"/>
      <w:marRight w:val="0"/>
      <w:marTop w:val="0"/>
      <w:marBottom w:val="0"/>
      <w:divBdr>
        <w:top w:val="none" w:sz="0" w:space="0" w:color="auto"/>
        <w:left w:val="none" w:sz="0" w:space="0" w:color="auto"/>
        <w:bottom w:val="none" w:sz="0" w:space="0" w:color="auto"/>
        <w:right w:val="none" w:sz="0" w:space="0" w:color="auto"/>
      </w:divBdr>
    </w:div>
    <w:div w:id="727580702">
      <w:bodyDiv w:val="1"/>
      <w:marLeft w:val="0"/>
      <w:marRight w:val="0"/>
      <w:marTop w:val="0"/>
      <w:marBottom w:val="0"/>
      <w:divBdr>
        <w:top w:val="none" w:sz="0" w:space="0" w:color="auto"/>
        <w:left w:val="none" w:sz="0" w:space="0" w:color="auto"/>
        <w:bottom w:val="none" w:sz="0" w:space="0" w:color="auto"/>
        <w:right w:val="none" w:sz="0" w:space="0" w:color="auto"/>
      </w:divBdr>
    </w:div>
    <w:div w:id="728191645">
      <w:bodyDiv w:val="1"/>
      <w:marLeft w:val="0"/>
      <w:marRight w:val="0"/>
      <w:marTop w:val="0"/>
      <w:marBottom w:val="0"/>
      <w:divBdr>
        <w:top w:val="none" w:sz="0" w:space="0" w:color="auto"/>
        <w:left w:val="none" w:sz="0" w:space="0" w:color="auto"/>
        <w:bottom w:val="none" w:sz="0" w:space="0" w:color="auto"/>
        <w:right w:val="none" w:sz="0" w:space="0" w:color="auto"/>
      </w:divBdr>
    </w:div>
    <w:div w:id="728387203">
      <w:bodyDiv w:val="1"/>
      <w:marLeft w:val="0"/>
      <w:marRight w:val="0"/>
      <w:marTop w:val="0"/>
      <w:marBottom w:val="0"/>
      <w:divBdr>
        <w:top w:val="none" w:sz="0" w:space="0" w:color="auto"/>
        <w:left w:val="none" w:sz="0" w:space="0" w:color="auto"/>
        <w:bottom w:val="none" w:sz="0" w:space="0" w:color="auto"/>
        <w:right w:val="none" w:sz="0" w:space="0" w:color="auto"/>
      </w:divBdr>
    </w:div>
    <w:div w:id="728958963">
      <w:bodyDiv w:val="1"/>
      <w:marLeft w:val="0"/>
      <w:marRight w:val="0"/>
      <w:marTop w:val="0"/>
      <w:marBottom w:val="0"/>
      <w:divBdr>
        <w:top w:val="none" w:sz="0" w:space="0" w:color="auto"/>
        <w:left w:val="none" w:sz="0" w:space="0" w:color="auto"/>
        <w:bottom w:val="none" w:sz="0" w:space="0" w:color="auto"/>
        <w:right w:val="none" w:sz="0" w:space="0" w:color="auto"/>
      </w:divBdr>
    </w:div>
    <w:div w:id="729036068">
      <w:bodyDiv w:val="1"/>
      <w:marLeft w:val="0"/>
      <w:marRight w:val="0"/>
      <w:marTop w:val="0"/>
      <w:marBottom w:val="0"/>
      <w:divBdr>
        <w:top w:val="none" w:sz="0" w:space="0" w:color="auto"/>
        <w:left w:val="none" w:sz="0" w:space="0" w:color="auto"/>
        <w:bottom w:val="none" w:sz="0" w:space="0" w:color="auto"/>
        <w:right w:val="none" w:sz="0" w:space="0" w:color="auto"/>
      </w:divBdr>
    </w:div>
    <w:div w:id="729500082">
      <w:bodyDiv w:val="1"/>
      <w:marLeft w:val="0"/>
      <w:marRight w:val="0"/>
      <w:marTop w:val="0"/>
      <w:marBottom w:val="0"/>
      <w:divBdr>
        <w:top w:val="none" w:sz="0" w:space="0" w:color="auto"/>
        <w:left w:val="none" w:sz="0" w:space="0" w:color="auto"/>
        <w:bottom w:val="none" w:sz="0" w:space="0" w:color="auto"/>
        <w:right w:val="none" w:sz="0" w:space="0" w:color="auto"/>
      </w:divBdr>
    </w:div>
    <w:div w:id="730275864">
      <w:bodyDiv w:val="1"/>
      <w:marLeft w:val="0"/>
      <w:marRight w:val="0"/>
      <w:marTop w:val="0"/>
      <w:marBottom w:val="0"/>
      <w:divBdr>
        <w:top w:val="none" w:sz="0" w:space="0" w:color="auto"/>
        <w:left w:val="none" w:sz="0" w:space="0" w:color="auto"/>
        <w:bottom w:val="none" w:sz="0" w:space="0" w:color="auto"/>
        <w:right w:val="none" w:sz="0" w:space="0" w:color="auto"/>
      </w:divBdr>
    </w:div>
    <w:div w:id="731275508">
      <w:bodyDiv w:val="1"/>
      <w:marLeft w:val="0"/>
      <w:marRight w:val="0"/>
      <w:marTop w:val="0"/>
      <w:marBottom w:val="0"/>
      <w:divBdr>
        <w:top w:val="none" w:sz="0" w:space="0" w:color="auto"/>
        <w:left w:val="none" w:sz="0" w:space="0" w:color="auto"/>
        <w:bottom w:val="none" w:sz="0" w:space="0" w:color="auto"/>
        <w:right w:val="none" w:sz="0" w:space="0" w:color="auto"/>
      </w:divBdr>
    </w:div>
    <w:div w:id="731342972">
      <w:bodyDiv w:val="1"/>
      <w:marLeft w:val="0"/>
      <w:marRight w:val="0"/>
      <w:marTop w:val="0"/>
      <w:marBottom w:val="0"/>
      <w:divBdr>
        <w:top w:val="none" w:sz="0" w:space="0" w:color="auto"/>
        <w:left w:val="none" w:sz="0" w:space="0" w:color="auto"/>
        <w:bottom w:val="none" w:sz="0" w:space="0" w:color="auto"/>
        <w:right w:val="none" w:sz="0" w:space="0" w:color="auto"/>
      </w:divBdr>
    </w:div>
    <w:div w:id="731393682">
      <w:bodyDiv w:val="1"/>
      <w:marLeft w:val="0"/>
      <w:marRight w:val="0"/>
      <w:marTop w:val="0"/>
      <w:marBottom w:val="0"/>
      <w:divBdr>
        <w:top w:val="none" w:sz="0" w:space="0" w:color="auto"/>
        <w:left w:val="none" w:sz="0" w:space="0" w:color="auto"/>
        <w:bottom w:val="none" w:sz="0" w:space="0" w:color="auto"/>
        <w:right w:val="none" w:sz="0" w:space="0" w:color="auto"/>
      </w:divBdr>
    </w:div>
    <w:div w:id="731925857">
      <w:bodyDiv w:val="1"/>
      <w:marLeft w:val="0"/>
      <w:marRight w:val="0"/>
      <w:marTop w:val="0"/>
      <w:marBottom w:val="0"/>
      <w:divBdr>
        <w:top w:val="none" w:sz="0" w:space="0" w:color="auto"/>
        <w:left w:val="none" w:sz="0" w:space="0" w:color="auto"/>
        <w:bottom w:val="none" w:sz="0" w:space="0" w:color="auto"/>
        <w:right w:val="none" w:sz="0" w:space="0" w:color="auto"/>
      </w:divBdr>
    </w:div>
    <w:div w:id="731999215">
      <w:bodyDiv w:val="1"/>
      <w:marLeft w:val="0"/>
      <w:marRight w:val="0"/>
      <w:marTop w:val="0"/>
      <w:marBottom w:val="0"/>
      <w:divBdr>
        <w:top w:val="none" w:sz="0" w:space="0" w:color="auto"/>
        <w:left w:val="none" w:sz="0" w:space="0" w:color="auto"/>
        <w:bottom w:val="none" w:sz="0" w:space="0" w:color="auto"/>
        <w:right w:val="none" w:sz="0" w:space="0" w:color="auto"/>
      </w:divBdr>
    </w:div>
    <w:div w:id="732848124">
      <w:bodyDiv w:val="1"/>
      <w:marLeft w:val="0"/>
      <w:marRight w:val="0"/>
      <w:marTop w:val="0"/>
      <w:marBottom w:val="0"/>
      <w:divBdr>
        <w:top w:val="none" w:sz="0" w:space="0" w:color="auto"/>
        <w:left w:val="none" w:sz="0" w:space="0" w:color="auto"/>
        <w:bottom w:val="none" w:sz="0" w:space="0" w:color="auto"/>
        <w:right w:val="none" w:sz="0" w:space="0" w:color="auto"/>
      </w:divBdr>
    </w:div>
    <w:div w:id="733241287">
      <w:bodyDiv w:val="1"/>
      <w:marLeft w:val="0"/>
      <w:marRight w:val="0"/>
      <w:marTop w:val="0"/>
      <w:marBottom w:val="0"/>
      <w:divBdr>
        <w:top w:val="none" w:sz="0" w:space="0" w:color="auto"/>
        <w:left w:val="none" w:sz="0" w:space="0" w:color="auto"/>
        <w:bottom w:val="none" w:sz="0" w:space="0" w:color="auto"/>
        <w:right w:val="none" w:sz="0" w:space="0" w:color="auto"/>
      </w:divBdr>
    </w:div>
    <w:div w:id="734205374">
      <w:bodyDiv w:val="1"/>
      <w:marLeft w:val="0"/>
      <w:marRight w:val="0"/>
      <w:marTop w:val="0"/>
      <w:marBottom w:val="0"/>
      <w:divBdr>
        <w:top w:val="none" w:sz="0" w:space="0" w:color="auto"/>
        <w:left w:val="none" w:sz="0" w:space="0" w:color="auto"/>
        <w:bottom w:val="none" w:sz="0" w:space="0" w:color="auto"/>
        <w:right w:val="none" w:sz="0" w:space="0" w:color="auto"/>
      </w:divBdr>
    </w:div>
    <w:div w:id="734738906">
      <w:bodyDiv w:val="1"/>
      <w:marLeft w:val="0"/>
      <w:marRight w:val="0"/>
      <w:marTop w:val="0"/>
      <w:marBottom w:val="0"/>
      <w:divBdr>
        <w:top w:val="none" w:sz="0" w:space="0" w:color="auto"/>
        <w:left w:val="none" w:sz="0" w:space="0" w:color="auto"/>
        <w:bottom w:val="none" w:sz="0" w:space="0" w:color="auto"/>
        <w:right w:val="none" w:sz="0" w:space="0" w:color="auto"/>
      </w:divBdr>
    </w:div>
    <w:div w:id="735009330">
      <w:bodyDiv w:val="1"/>
      <w:marLeft w:val="0"/>
      <w:marRight w:val="0"/>
      <w:marTop w:val="0"/>
      <w:marBottom w:val="0"/>
      <w:divBdr>
        <w:top w:val="none" w:sz="0" w:space="0" w:color="auto"/>
        <w:left w:val="none" w:sz="0" w:space="0" w:color="auto"/>
        <w:bottom w:val="none" w:sz="0" w:space="0" w:color="auto"/>
        <w:right w:val="none" w:sz="0" w:space="0" w:color="auto"/>
      </w:divBdr>
    </w:div>
    <w:div w:id="735128769">
      <w:bodyDiv w:val="1"/>
      <w:marLeft w:val="0"/>
      <w:marRight w:val="0"/>
      <w:marTop w:val="0"/>
      <w:marBottom w:val="0"/>
      <w:divBdr>
        <w:top w:val="none" w:sz="0" w:space="0" w:color="auto"/>
        <w:left w:val="none" w:sz="0" w:space="0" w:color="auto"/>
        <w:bottom w:val="none" w:sz="0" w:space="0" w:color="auto"/>
        <w:right w:val="none" w:sz="0" w:space="0" w:color="auto"/>
      </w:divBdr>
    </w:div>
    <w:div w:id="735320832">
      <w:bodyDiv w:val="1"/>
      <w:marLeft w:val="0"/>
      <w:marRight w:val="0"/>
      <w:marTop w:val="0"/>
      <w:marBottom w:val="0"/>
      <w:divBdr>
        <w:top w:val="none" w:sz="0" w:space="0" w:color="auto"/>
        <w:left w:val="none" w:sz="0" w:space="0" w:color="auto"/>
        <w:bottom w:val="none" w:sz="0" w:space="0" w:color="auto"/>
        <w:right w:val="none" w:sz="0" w:space="0" w:color="auto"/>
      </w:divBdr>
    </w:div>
    <w:div w:id="735785457">
      <w:bodyDiv w:val="1"/>
      <w:marLeft w:val="0"/>
      <w:marRight w:val="0"/>
      <w:marTop w:val="0"/>
      <w:marBottom w:val="0"/>
      <w:divBdr>
        <w:top w:val="none" w:sz="0" w:space="0" w:color="auto"/>
        <w:left w:val="none" w:sz="0" w:space="0" w:color="auto"/>
        <w:bottom w:val="none" w:sz="0" w:space="0" w:color="auto"/>
        <w:right w:val="none" w:sz="0" w:space="0" w:color="auto"/>
      </w:divBdr>
    </w:div>
    <w:div w:id="735905836">
      <w:bodyDiv w:val="1"/>
      <w:marLeft w:val="0"/>
      <w:marRight w:val="0"/>
      <w:marTop w:val="0"/>
      <w:marBottom w:val="0"/>
      <w:divBdr>
        <w:top w:val="none" w:sz="0" w:space="0" w:color="auto"/>
        <w:left w:val="none" w:sz="0" w:space="0" w:color="auto"/>
        <w:bottom w:val="none" w:sz="0" w:space="0" w:color="auto"/>
        <w:right w:val="none" w:sz="0" w:space="0" w:color="auto"/>
      </w:divBdr>
    </w:div>
    <w:div w:id="735933975">
      <w:bodyDiv w:val="1"/>
      <w:marLeft w:val="0"/>
      <w:marRight w:val="0"/>
      <w:marTop w:val="0"/>
      <w:marBottom w:val="0"/>
      <w:divBdr>
        <w:top w:val="none" w:sz="0" w:space="0" w:color="auto"/>
        <w:left w:val="none" w:sz="0" w:space="0" w:color="auto"/>
        <w:bottom w:val="none" w:sz="0" w:space="0" w:color="auto"/>
        <w:right w:val="none" w:sz="0" w:space="0" w:color="auto"/>
      </w:divBdr>
    </w:div>
    <w:div w:id="738289116">
      <w:bodyDiv w:val="1"/>
      <w:marLeft w:val="0"/>
      <w:marRight w:val="0"/>
      <w:marTop w:val="0"/>
      <w:marBottom w:val="0"/>
      <w:divBdr>
        <w:top w:val="none" w:sz="0" w:space="0" w:color="auto"/>
        <w:left w:val="none" w:sz="0" w:space="0" w:color="auto"/>
        <w:bottom w:val="none" w:sz="0" w:space="0" w:color="auto"/>
        <w:right w:val="none" w:sz="0" w:space="0" w:color="auto"/>
      </w:divBdr>
    </w:div>
    <w:div w:id="739517374">
      <w:bodyDiv w:val="1"/>
      <w:marLeft w:val="0"/>
      <w:marRight w:val="0"/>
      <w:marTop w:val="0"/>
      <w:marBottom w:val="0"/>
      <w:divBdr>
        <w:top w:val="none" w:sz="0" w:space="0" w:color="auto"/>
        <w:left w:val="none" w:sz="0" w:space="0" w:color="auto"/>
        <w:bottom w:val="none" w:sz="0" w:space="0" w:color="auto"/>
        <w:right w:val="none" w:sz="0" w:space="0" w:color="auto"/>
      </w:divBdr>
    </w:div>
    <w:div w:id="740450139">
      <w:bodyDiv w:val="1"/>
      <w:marLeft w:val="0"/>
      <w:marRight w:val="0"/>
      <w:marTop w:val="0"/>
      <w:marBottom w:val="0"/>
      <w:divBdr>
        <w:top w:val="none" w:sz="0" w:space="0" w:color="auto"/>
        <w:left w:val="none" w:sz="0" w:space="0" w:color="auto"/>
        <w:bottom w:val="none" w:sz="0" w:space="0" w:color="auto"/>
        <w:right w:val="none" w:sz="0" w:space="0" w:color="auto"/>
      </w:divBdr>
    </w:div>
    <w:div w:id="740559944">
      <w:bodyDiv w:val="1"/>
      <w:marLeft w:val="0"/>
      <w:marRight w:val="0"/>
      <w:marTop w:val="0"/>
      <w:marBottom w:val="0"/>
      <w:divBdr>
        <w:top w:val="none" w:sz="0" w:space="0" w:color="auto"/>
        <w:left w:val="none" w:sz="0" w:space="0" w:color="auto"/>
        <w:bottom w:val="none" w:sz="0" w:space="0" w:color="auto"/>
        <w:right w:val="none" w:sz="0" w:space="0" w:color="auto"/>
      </w:divBdr>
    </w:div>
    <w:div w:id="740566302">
      <w:bodyDiv w:val="1"/>
      <w:marLeft w:val="0"/>
      <w:marRight w:val="0"/>
      <w:marTop w:val="0"/>
      <w:marBottom w:val="0"/>
      <w:divBdr>
        <w:top w:val="none" w:sz="0" w:space="0" w:color="auto"/>
        <w:left w:val="none" w:sz="0" w:space="0" w:color="auto"/>
        <w:bottom w:val="none" w:sz="0" w:space="0" w:color="auto"/>
        <w:right w:val="none" w:sz="0" w:space="0" w:color="auto"/>
      </w:divBdr>
    </w:div>
    <w:div w:id="741291109">
      <w:bodyDiv w:val="1"/>
      <w:marLeft w:val="0"/>
      <w:marRight w:val="0"/>
      <w:marTop w:val="0"/>
      <w:marBottom w:val="0"/>
      <w:divBdr>
        <w:top w:val="none" w:sz="0" w:space="0" w:color="auto"/>
        <w:left w:val="none" w:sz="0" w:space="0" w:color="auto"/>
        <w:bottom w:val="none" w:sz="0" w:space="0" w:color="auto"/>
        <w:right w:val="none" w:sz="0" w:space="0" w:color="auto"/>
      </w:divBdr>
    </w:div>
    <w:div w:id="741489298">
      <w:bodyDiv w:val="1"/>
      <w:marLeft w:val="0"/>
      <w:marRight w:val="0"/>
      <w:marTop w:val="0"/>
      <w:marBottom w:val="0"/>
      <w:divBdr>
        <w:top w:val="none" w:sz="0" w:space="0" w:color="auto"/>
        <w:left w:val="none" w:sz="0" w:space="0" w:color="auto"/>
        <w:bottom w:val="none" w:sz="0" w:space="0" w:color="auto"/>
        <w:right w:val="none" w:sz="0" w:space="0" w:color="auto"/>
      </w:divBdr>
    </w:div>
    <w:div w:id="742946024">
      <w:bodyDiv w:val="1"/>
      <w:marLeft w:val="0"/>
      <w:marRight w:val="0"/>
      <w:marTop w:val="0"/>
      <w:marBottom w:val="0"/>
      <w:divBdr>
        <w:top w:val="none" w:sz="0" w:space="0" w:color="auto"/>
        <w:left w:val="none" w:sz="0" w:space="0" w:color="auto"/>
        <w:bottom w:val="none" w:sz="0" w:space="0" w:color="auto"/>
        <w:right w:val="none" w:sz="0" w:space="0" w:color="auto"/>
      </w:divBdr>
    </w:div>
    <w:div w:id="743844631">
      <w:bodyDiv w:val="1"/>
      <w:marLeft w:val="0"/>
      <w:marRight w:val="0"/>
      <w:marTop w:val="0"/>
      <w:marBottom w:val="0"/>
      <w:divBdr>
        <w:top w:val="none" w:sz="0" w:space="0" w:color="auto"/>
        <w:left w:val="none" w:sz="0" w:space="0" w:color="auto"/>
        <w:bottom w:val="none" w:sz="0" w:space="0" w:color="auto"/>
        <w:right w:val="none" w:sz="0" w:space="0" w:color="auto"/>
      </w:divBdr>
    </w:div>
    <w:div w:id="744302102">
      <w:bodyDiv w:val="1"/>
      <w:marLeft w:val="0"/>
      <w:marRight w:val="0"/>
      <w:marTop w:val="0"/>
      <w:marBottom w:val="0"/>
      <w:divBdr>
        <w:top w:val="none" w:sz="0" w:space="0" w:color="auto"/>
        <w:left w:val="none" w:sz="0" w:space="0" w:color="auto"/>
        <w:bottom w:val="none" w:sz="0" w:space="0" w:color="auto"/>
        <w:right w:val="none" w:sz="0" w:space="0" w:color="auto"/>
      </w:divBdr>
    </w:div>
    <w:div w:id="744449051">
      <w:bodyDiv w:val="1"/>
      <w:marLeft w:val="0"/>
      <w:marRight w:val="0"/>
      <w:marTop w:val="0"/>
      <w:marBottom w:val="0"/>
      <w:divBdr>
        <w:top w:val="none" w:sz="0" w:space="0" w:color="auto"/>
        <w:left w:val="none" w:sz="0" w:space="0" w:color="auto"/>
        <w:bottom w:val="none" w:sz="0" w:space="0" w:color="auto"/>
        <w:right w:val="none" w:sz="0" w:space="0" w:color="auto"/>
      </w:divBdr>
    </w:div>
    <w:div w:id="744568281">
      <w:bodyDiv w:val="1"/>
      <w:marLeft w:val="0"/>
      <w:marRight w:val="0"/>
      <w:marTop w:val="0"/>
      <w:marBottom w:val="0"/>
      <w:divBdr>
        <w:top w:val="none" w:sz="0" w:space="0" w:color="auto"/>
        <w:left w:val="none" w:sz="0" w:space="0" w:color="auto"/>
        <w:bottom w:val="none" w:sz="0" w:space="0" w:color="auto"/>
        <w:right w:val="none" w:sz="0" w:space="0" w:color="auto"/>
      </w:divBdr>
    </w:div>
    <w:div w:id="744885372">
      <w:bodyDiv w:val="1"/>
      <w:marLeft w:val="0"/>
      <w:marRight w:val="0"/>
      <w:marTop w:val="0"/>
      <w:marBottom w:val="0"/>
      <w:divBdr>
        <w:top w:val="none" w:sz="0" w:space="0" w:color="auto"/>
        <w:left w:val="none" w:sz="0" w:space="0" w:color="auto"/>
        <w:bottom w:val="none" w:sz="0" w:space="0" w:color="auto"/>
        <w:right w:val="none" w:sz="0" w:space="0" w:color="auto"/>
      </w:divBdr>
    </w:div>
    <w:div w:id="745153382">
      <w:bodyDiv w:val="1"/>
      <w:marLeft w:val="0"/>
      <w:marRight w:val="0"/>
      <w:marTop w:val="0"/>
      <w:marBottom w:val="0"/>
      <w:divBdr>
        <w:top w:val="none" w:sz="0" w:space="0" w:color="auto"/>
        <w:left w:val="none" w:sz="0" w:space="0" w:color="auto"/>
        <w:bottom w:val="none" w:sz="0" w:space="0" w:color="auto"/>
        <w:right w:val="none" w:sz="0" w:space="0" w:color="auto"/>
      </w:divBdr>
    </w:div>
    <w:div w:id="745422882">
      <w:bodyDiv w:val="1"/>
      <w:marLeft w:val="0"/>
      <w:marRight w:val="0"/>
      <w:marTop w:val="0"/>
      <w:marBottom w:val="0"/>
      <w:divBdr>
        <w:top w:val="none" w:sz="0" w:space="0" w:color="auto"/>
        <w:left w:val="none" w:sz="0" w:space="0" w:color="auto"/>
        <w:bottom w:val="none" w:sz="0" w:space="0" w:color="auto"/>
        <w:right w:val="none" w:sz="0" w:space="0" w:color="auto"/>
      </w:divBdr>
    </w:div>
    <w:div w:id="745495885">
      <w:bodyDiv w:val="1"/>
      <w:marLeft w:val="0"/>
      <w:marRight w:val="0"/>
      <w:marTop w:val="0"/>
      <w:marBottom w:val="0"/>
      <w:divBdr>
        <w:top w:val="none" w:sz="0" w:space="0" w:color="auto"/>
        <w:left w:val="none" w:sz="0" w:space="0" w:color="auto"/>
        <w:bottom w:val="none" w:sz="0" w:space="0" w:color="auto"/>
        <w:right w:val="none" w:sz="0" w:space="0" w:color="auto"/>
      </w:divBdr>
    </w:div>
    <w:div w:id="745613444">
      <w:bodyDiv w:val="1"/>
      <w:marLeft w:val="0"/>
      <w:marRight w:val="0"/>
      <w:marTop w:val="0"/>
      <w:marBottom w:val="0"/>
      <w:divBdr>
        <w:top w:val="none" w:sz="0" w:space="0" w:color="auto"/>
        <w:left w:val="none" w:sz="0" w:space="0" w:color="auto"/>
        <w:bottom w:val="none" w:sz="0" w:space="0" w:color="auto"/>
        <w:right w:val="none" w:sz="0" w:space="0" w:color="auto"/>
      </w:divBdr>
    </w:div>
    <w:div w:id="745614750">
      <w:bodyDiv w:val="1"/>
      <w:marLeft w:val="0"/>
      <w:marRight w:val="0"/>
      <w:marTop w:val="0"/>
      <w:marBottom w:val="0"/>
      <w:divBdr>
        <w:top w:val="none" w:sz="0" w:space="0" w:color="auto"/>
        <w:left w:val="none" w:sz="0" w:space="0" w:color="auto"/>
        <w:bottom w:val="none" w:sz="0" w:space="0" w:color="auto"/>
        <w:right w:val="none" w:sz="0" w:space="0" w:color="auto"/>
      </w:divBdr>
    </w:div>
    <w:div w:id="746532577">
      <w:bodyDiv w:val="1"/>
      <w:marLeft w:val="0"/>
      <w:marRight w:val="0"/>
      <w:marTop w:val="0"/>
      <w:marBottom w:val="0"/>
      <w:divBdr>
        <w:top w:val="none" w:sz="0" w:space="0" w:color="auto"/>
        <w:left w:val="none" w:sz="0" w:space="0" w:color="auto"/>
        <w:bottom w:val="none" w:sz="0" w:space="0" w:color="auto"/>
        <w:right w:val="none" w:sz="0" w:space="0" w:color="auto"/>
      </w:divBdr>
    </w:div>
    <w:div w:id="746541393">
      <w:bodyDiv w:val="1"/>
      <w:marLeft w:val="0"/>
      <w:marRight w:val="0"/>
      <w:marTop w:val="0"/>
      <w:marBottom w:val="0"/>
      <w:divBdr>
        <w:top w:val="none" w:sz="0" w:space="0" w:color="auto"/>
        <w:left w:val="none" w:sz="0" w:space="0" w:color="auto"/>
        <w:bottom w:val="none" w:sz="0" w:space="0" w:color="auto"/>
        <w:right w:val="none" w:sz="0" w:space="0" w:color="auto"/>
      </w:divBdr>
    </w:div>
    <w:div w:id="746877972">
      <w:bodyDiv w:val="1"/>
      <w:marLeft w:val="0"/>
      <w:marRight w:val="0"/>
      <w:marTop w:val="0"/>
      <w:marBottom w:val="0"/>
      <w:divBdr>
        <w:top w:val="none" w:sz="0" w:space="0" w:color="auto"/>
        <w:left w:val="none" w:sz="0" w:space="0" w:color="auto"/>
        <w:bottom w:val="none" w:sz="0" w:space="0" w:color="auto"/>
        <w:right w:val="none" w:sz="0" w:space="0" w:color="auto"/>
      </w:divBdr>
    </w:div>
    <w:div w:id="747071315">
      <w:bodyDiv w:val="1"/>
      <w:marLeft w:val="0"/>
      <w:marRight w:val="0"/>
      <w:marTop w:val="0"/>
      <w:marBottom w:val="0"/>
      <w:divBdr>
        <w:top w:val="none" w:sz="0" w:space="0" w:color="auto"/>
        <w:left w:val="none" w:sz="0" w:space="0" w:color="auto"/>
        <w:bottom w:val="none" w:sz="0" w:space="0" w:color="auto"/>
        <w:right w:val="none" w:sz="0" w:space="0" w:color="auto"/>
      </w:divBdr>
    </w:div>
    <w:div w:id="747383786">
      <w:bodyDiv w:val="1"/>
      <w:marLeft w:val="0"/>
      <w:marRight w:val="0"/>
      <w:marTop w:val="0"/>
      <w:marBottom w:val="0"/>
      <w:divBdr>
        <w:top w:val="none" w:sz="0" w:space="0" w:color="auto"/>
        <w:left w:val="none" w:sz="0" w:space="0" w:color="auto"/>
        <w:bottom w:val="none" w:sz="0" w:space="0" w:color="auto"/>
        <w:right w:val="none" w:sz="0" w:space="0" w:color="auto"/>
      </w:divBdr>
    </w:div>
    <w:div w:id="747507540">
      <w:bodyDiv w:val="1"/>
      <w:marLeft w:val="0"/>
      <w:marRight w:val="0"/>
      <w:marTop w:val="0"/>
      <w:marBottom w:val="0"/>
      <w:divBdr>
        <w:top w:val="none" w:sz="0" w:space="0" w:color="auto"/>
        <w:left w:val="none" w:sz="0" w:space="0" w:color="auto"/>
        <w:bottom w:val="none" w:sz="0" w:space="0" w:color="auto"/>
        <w:right w:val="none" w:sz="0" w:space="0" w:color="auto"/>
      </w:divBdr>
    </w:div>
    <w:div w:id="747579234">
      <w:bodyDiv w:val="1"/>
      <w:marLeft w:val="0"/>
      <w:marRight w:val="0"/>
      <w:marTop w:val="0"/>
      <w:marBottom w:val="0"/>
      <w:divBdr>
        <w:top w:val="none" w:sz="0" w:space="0" w:color="auto"/>
        <w:left w:val="none" w:sz="0" w:space="0" w:color="auto"/>
        <w:bottom w:val="none" w:sz="0" w:space="0" w:color="auto"/>
        <w:right w:val="none" w:sz="0" w:space="0" w:color="auto"/>
      </w:divBdr>
    </w:div>
    <w:div w:id="747650170">
      <w:bodyDiv w:val="1"/>
      <w:marLeft w:val="0"/>
      <w:marRight w:val="0"/>
      <w:marTop w:val="0"/>
      <w:marBottom w:val="0"/>
      <w:divBdr>
        <w:top w:val="none" w:sz="0" w:space="0" w:color="auto"/>
        <w:left w:val="none" w:sz="0" w:space="0" w:color="auto"/>
        <w:bottom w:val="none" w:sz="0" w:space="0" w:color="auto"/>
        <w:right w:val="none" w:sz="0" w:space="0" w:color="auto"/>
      </w:divBdr>
    </w:div>
    <w:div w:id="747774708">
      <w:bodyDiv w:val="1"/>
      <w:marLeft w:val="0"/>
      <w:marRight w:val="0"/>
      <w:marTop w:val="0"/>
      <w:marBottom w:val="0"/>
      <w:divBdr>
        <w:top w:val="none" w:sz="0" w:space="0" w:color="auto"/>
        <w:left w:val="none" w:sz="0" w:space="0" w:color="auto"/>
        <w:bottom w:val="none" w:sz="0" w:space="0" w:color="auto"/>
        <w:right w:val="none" w:sz="0" w:space="0" w:color="auto"/>
      </w:divBdr>
    </w:div>
    <w:div w:id="748694045">
      <w:bodyDiv w:val="1"/>
      <w:marLeft w:val="0"/>
      <w:marRight w:val="0"/>
      <w:marTop w:val="0"/>
      <w:marBottom w:val="0"/>
      <w:divBdr>
        <w:top w:val="none" w:sz="0" w:space="0" w:color="auto"/>
        <w:left w:val="none" w:sz="0" w:space="0" w:color="auto"/>
        <w:bottom w:val="none" w:sz="0" w:space="0" w:color="auto"/>
        <w:right w:val="none" w:sz="0" w:space="0" w:color="auto"/>
      </w:divBdr>
    </w:div>
    <w:div w:id="749162311">
      <w:bodyDiv w:val="1"/>
      <w:marLeft w:val="0"/>
      <w:marRight w:val="0"/>
      <w:marTop w:val="0"/>
      <w:marBottom w:val="0"/>
      <w:divBdr>
        <w:top w:val="none" w:sz="0" w:space="0" w:color="auto"/>
        <w:left w:val="none" w:sz="0" w:space="0" w:color="auto"/>
        <w:bottom w:val="none" w:sz="0" w:space="0" w:color="auto"/>
        <w:right w:val="none" w:sz="0" w:space="0" w:color="auto"/>
      </w:divBdr>
    </w:div>
    <w:div w:id="749618113">
      <w:bodyDiv w:val="1"/>
      <w:marLeft w:val="0"/>
      <w:marRight w:val="0"/>
      <w:marTop w:val="0"/>
      <w:marBottom w:val="0"/>
      <w:divBdr>
        <w:top w:val="none" w:sz="0" w:space="0" w:color="auto"/>
        <w:left w:val="none" w:sz="0" w:space="0" w:color="auto"/>
        <w:bottom w:val="none" w:sz="0" w:space="0" w:color="auto"/>
        <w:right w:val="none" w:sz="0" w:space="0" w:color="auto"/>
      </w:divBdr>
    </w:div>
    <w:div w:id="749618666">
      <w:bodyDiv w:val="1"/>
      <w:marLeft w:val="0"/>
      <w:marRight w:val="0"/>
      <w:marTop w:val="0"/>
      <w:marBottom w:val="0"/>
      <w:divBdr>
        <w:top w:val="none" w:sz="0" w:space="0" w:color="auto"/>
        <w:left w:val="none" w:sz="0" w:space="0" w:color="auto"/>
        <w:bottom w:val="none" w:sz="0" w:space="0" w:color="auto"/>
        <w:right w:val="none" w:sz="0" w:space="0" w:color="auto"/>
      </w:divBdr>
    </w:div>
    <w:div w:id="750738731">
      <w:bodyDiv w:val="1"/>
      <w:marLeft w:val="0"/>
      <w:marRight w:val="0"/>
      <w:marTop w:val="0"/>
      <w:marBottom w:val="0"/>
      <w:divBdr>
        <w:top w:val="none" w:sz="0" w:space="0" w:color="auto"/>
        <w:left w:val="none" w:sz="0" w:space="0" w:color="auto"/>
        <w:bottom w:val="none" w:sz="0" w:space="0" w:color="auto"/>
        <w:right w:val="none" w:sz="0" w:space="0" w:color="auto"/>
      </w:divBdr>
    </w:div>
    <w:div w:id="751464022">
      <w:bodyDiv w:val="1"/>
      <w:marLeft w:val="0"/>
      <w:marRight w:val="0"/>
      <w:marTop w:val="0"/>
      <w:marBottom w:val="0"/>
      <w:divBdr>
        <w:top w:val="none" w:sz="0" w:space="0" w:color="auto"/>
        <w:left w:val="none" w:sz="0" w:space="0" w:color="auto"/>
        <w:bottom w:val="none" w:sz="0" w:space="0" w:color="auto"/>
        <w:right w:val="none" w:sz="0" w:space="0" w:color="auto"/>
      </w:divBdr>
    </w:div>
    <w:div w:id="751505849">
      <w:bodyDiv w:val="1"/>
      <w:marLeft w:val="0"/>
      <w:marRight w:val="0"/>
      <w:marTop w:val="0"/>
      <w:marBottom w:val="0"/>
      <w:divBdr>
        <w:top w:val="none" w:sz="0" w:space="0" w:color="auto"/>
        <w:left w:val="none" w:sz="0" w:space="0" w:color="auto"/>
        <w:bottom w:val="none" w:sz="0" w:space="0" w:color="auto"/>
        <w:right w:val="none" w:sz="0" w:space="0" w:color="auto"/>
      </w:divBdr>
    </w:div>
    <w:div w:id="752900272">
      <w:bodyDiv w:val="1"/>
      <w:marLeft w:val="0"/>
      <w:marRight w:val="0"/>
      <w:marTop w:val="0"/>
      <w:marBottom w:val="0"/>
      <w:divBdr>
        <w:top w:val="none" w:sz="0" w:space="0" w:color="auto"/>
        <w:left w:val="none" w:sz="0" w:space="0" w:color="auto"/>
        <w:bottom w:val="none" w:sz="0" w:space="0" w:color="auto"/>
        <w:right w:val="none" w:sz="0" w:space="0" w:color="auto"/>
      </w:divBdr>
    </w:div>
    <w:div w:id="753472281">
      <w:bodyDiv w:val="1"/>
      <w:marLeft w:val="0"/>
      <w:marRight w:val="0"/>
      <w:marTop w:val="0"/>
      <w:marBottom w:val="0"/>
      <w:divBdr>
        <w:top w:val="none" w:sz="0" w:space="0" w:color="auto"/>
        <w:left w:val="none" w:sz="0" w:space="0" w:color="auto"/>
        <w:bottom w:val="none" w:sz="0" w:space="0" w:color="auto"/>
        <w:right w:val="none" w:sz="0" w:space="0" w:color="auto"/>
      </w:divBdr>
    </w:div>
    <w:div w:id="753547229">
      <w:bodyDiv w:val="1"/>
      <w:marLeft w:val="0"/>
      <w:marRight w:val="0"/>
      <w:marTop w:val="0"/>
      <w:marBottom w:val="0"/>
      <w:divBdr>
        <w:top w:val="none" w:sz="0" w:space="0" w:color="auto"/>
        <w:left w:val="none" w:sz="0" w:space="0" w:color="auto"/>
        <w:bottom w:val="none" w:sz="0" w:space="0" w:color="auto"/>
        <w:right w:val="none" w:sz="0" w:space="0" w:color="auto"/>
      </w:divBdr>
    </w:div>
    <w:div w:id="754327582">
      <w:bodyDiv w:val="1"/>
      <w:marLeft w:val="0"/>
      <w:marRight w:val="0"/>
      <w:marTop w:val="0"/>
      <w:marBottom w:val="0"/>
      <w:divBdr>
        <w:top w:val="none" w:sz="0" w:space="0" w:color="auto"/>
        <w:left w:val="none" w:sz="0" w:space="0" w:color="auto"/>
        <w:bottom w:val="none" w:sz="0" w:space="0" w:color="auto"/>
        <w:right w:val="none" w:sz="0" w:space="0" w:color="auto"/>
      </w:divBdr>
    </w:div>
    <w:div w:id="754328750">
      <w:bodyDiv w:val="1"/>
      <w:marLeft w:val="0"/>
      <w:marRight w:val="0"/>
      <w:marTop w:val="0"/>
      <w:marBottom w:val="0"/>
      <w:divBdr>
        <w:top w:val="none" w:sz="0" w:space="0" w:color="auto"/>
        <w:left w:val="none" w:sz="0" w:space="0" w:color="auto"/>
        <w:bottom w:val="none" w:sz="0" w:space="0" w:color="auto"/>
        <w:right w:val="none" w:sz="0" w:space="0" w:color="auto"/>
      </w:divBdr>
    </w:div>
    <w:div w:id="755244711">
      <w:bodyDiv w:val="1"/>
      <w:marLeft w:val="0"/>
      <w:marRight w:val="0"/>
      <w:marTop w:val="0"/>
      <w:marBottom w:val="0"/>
      <w:divBdr>
        <w:top w:val="none" w:sz="0" w:space="0" w:color="auto"/>
        <w:left w:val="none" w:sz="0" w:space="0" w:color="auto"/>
        <w:bottom w:val="none" w:sz="0" w:space="0" w:color="auto"/>
        <w:right w:val="none" w:sz="0" w:space="0" w:color="auto"/>
      </w:divBdr>
    </w:div>
    <w:div w:id="755444523">
      <w:bodyDiv w:val="1"/>
      <w:marLeft w:val="0"/>
      <w:marRight w:val="0"/>
      <w:marTop w:val="0"/>
      <w:marBottom w:val="0"/>
      <w:divBdr>
        <w:top w:val="none" w:sz="0" w:space="0" w:color="auto"/>
        <w:left w:val="none" w:sz="0" w:space="0" w:color="auto"/>
        <w:bottom w:val="none" w:sz="0" w:space="0" w:color="auto"/>
        <w:right w:val="none" w:sz="0" w:space="0" w:color="auto"/>
      </w:divBdr>
    </w:div>
    <w:div w:id="755444919">
      <w:bodyDiv w:val="1"/>
      <w:marLeft w:val="0"/>
      <w:marRight w:val="0"/>
      <w:marTop w:val="0"/>
      <w:marBottom w:val="0"/>
      <w:divBdr>
        <w:top w:val="none" w:sz="0" w:space="0" w:color="auto"/>
        <w:left w:val="none" w:sz="0" w:space="0" w:color="auto"/>
        <w:bottom w:val="none" w:sz="0" w:space="0" w:color="auto"/>
        <w:right w:val="none" w:sz="0" w:space="0" w:color="auto"/>
      </w:divBdr>
    </w:div>
    <w:div w:id="755784989">
      <w:bodyDiv w:val="1"/>
      <w:marLeft w:val="0"/>
      <w:marRight w:val="0"/>
      <w:marTop w:val="0"/>
      <w:marBottom w:val="0"/>
      <w:divBdr>
        <w:top w:val="none" w:sz="0" w:space="0" w:color="auto"/>
        <w:left w:val="none" w:sz="0" w:space="0" w:color="auto"/>
        <w:bottom w:val="none" w:sz="0" w:space="0" w:color="auto"/>
        <w:right w:val="none" w:sz="0" w:space="0" w:color="auto"/>
      </w:divBdr>
    </w:div>
    <w:div w:id="756173166">
      <w:bodyDiv w:val="1"/>
      <w:marLeft w:val="0"/>
      <w:marRight w:val="0"/>
      <w:marTop w:val="0"/>
      <w:marBottom w:val="0"/>
      <w:divBdr>
        <w:top w:val="none" w:sz="0" w:space="0" w:color="auto"/>
        <w:left w:val="none" w:sz="0" w:space="0" w:color="auto"/>
        <w:bottom w:val="none" w:sz="0" w:space="0" w:color="auto"/>
        <w:right w:val="none" w:sz="0" w:space="0" w:color="auto"/>
      </w:divBdr>
    </w:div>
    <w:div w:id="756513764">
      <w:bodyDiv w:val="1"/>
      <w:marLeft w:val="0"/>
      <w:marRight w:val="0"/>
      <w:marTop w:val="0"/>
      <w:marBottom w:val="0"/>
      <w:divBdr>
        <w:top w:val="none" w:sz="0" w:space="0" w:color="auto"/>
        <w:left w:val="none" w:sz="0" w:space="0" w:color="auto"/>
        <w:bottom w:val="none" w:sz="0" w:space="0" w:color="auto"/>
        <w:right w:val="none" w:sz="0" w:space="0" w:color="auto"/>
      </w:divBdr>
    </w:div>
    <w:div w:id="756514582">
      <w:bodyDiv w:val="1"/>
      <w:marLeft w:val="0"/>
      <w:marRight w:val="0"/>
      <w:marTop w:val="0"/>
      <w:marBottom w:val="0"/>
      <w:divBdr>
        <w:top w:val="none" w:sz="0" w:space="0" w:color="auto"/>
        <w:left w:val="none" w:sz="0" w:space="0" w:color="auto"/>
        <w:bottom w:val="none" w:sz="0" w:space="0" w:color="auto"/>
        <w:right w:val="none" w:sz="0" w:space="0" w:color="auto"/>
      </w:divBdr>
    </w:div>
    <w:div w:id="756559171">
      <w:bodyDiv w:val="1"/>
      <w:marLeft w:val="0"/>
      <w:marRight w:val="0"/>
      <w:marTop w:val="0"/>
      <w:marBottom w:val="0"/>
      <w:divBdr>
        <w:top w:val="none" w:sz="0" w:space="0" w:color="auto"/>
        <w:left w:val="none" w:sz="0" w:space="0" w:color="auto"/>
        <w:bottom w:val="none" w:sz="0" w:space="0" w:color="auto"/>
        <w:right w:val="none" w:sz="0" w:space="0" w:color="auto"/>
      </w:divBdr>
    </w:div>
    <w:div w:id="756748819">
      <w:bodyDiv w:val="1"/>
      <w:marLeft w:val="0"/>
      <w:marRight w:val="0"/>
      <w:marTop w:val="0"/>
      <w:marBottom w:val="0"/>
      <w:divBdr>
        <w:top w:val="none" w:sz="0" w:space="0" w:color="auto"/>
        <w:left w:val="none" w:sz="0" w:space="0" w:color="auto"/>
        <w:bottom w:val="none" w:sz="0" w:space="0" w:color="auto"/>
        <w:right w:val="none" w:sz="0" w:space="0" w:color="auto"/>
      </w:divBdr>
    </w:div>
    <w:div w:id="757096901">
      <w:bodyDiv w:val="1"/>
      <w:marLeft w:val="0"/>
      <w:marRight w:val="0"/>
      <w:marTop w:val="0"/>
      <w:marBottom w:val="0"/>
      <w:divBdr>
        <w:top w:val="none" w:sz="0" w:space="0" w:color="auto"/>
        <w:left w:val="none" w:sz="0" w:space="0" w:color="auto"/>
        <w:bottom w:val="none" w:sz="0" w:space="0" w:color="auto"/>
        <w:right w:val="none" w:sz="0" w:space="0" w:color="auto"/>
      </w:divBdr>
    </w:div>
    <w:div w:id="757099371">
      <w:bodyDiv w:val="1"/>
      <w:marLeft w:val="0"/>
      <w:marRight w:val="0"/>
      <w:marTop w:val="0"/>
      <w:marBottom w:val="0"/>
      <w:divBdr>
        <w:top w:val="none" w:sz="0" w:space="0" w:color="auto"/>
        <w:left w:val="none" w:sz="0" w:space="0" w:color="auto"/>
        <w:bottom w:val="none" w:sz="0" w:space="0" w:color="auto"/>
        <w:right w:val="none" w:sz="0" w:space="0" w:color="auto"/>
      </w:divBdr>
    </w:div>
    <w:div w:id="757484142">
      <w:bodyDiv w:val="1"/>
      <w:marLeft w:val="0"/>
      <w:marRight w:val="0"/>
      <w:marTop w:val="0"/>
      <w:marBottom w:val="0"/>
      <w:divBdr>
        <w:top w:val="none" w:sz="0" w:space="0" w:color="auto"/>
        <w:left w:val="none" w:sz="0" w:space="0" w:color="auto"/>
        <w:bottom w:val="none" w:sz="0" w:space="0" w:color="auto"/>
        <w:right w:val="none" w:sz="0" w:space="0" w:color="auto"/>
      </w:divBdr>
    </w:div>
    <w:div w:id="758603120">
      <w:bodyDiv w:val="1"/>
      <w:marLeft w:val="0"/>
      <w:marRight w:val="0"/>
      <w:marTop w:val="0"/>
      <w:marBottom w:val="0"/>
      <w:divBdr>
        <w:top w:val="none" w:sz="0" w:space="0" w:color="auto"/>
        <w:left w:val="none" w:sz="0" w:space="0" w:color="auto"/>
        <w:bottom w:val="none" w:sz="0" w:space="0" w:color="auto"/>
        <w:right w:val="none" w:sz="0" w:space="0" w:color="auto"/>
      </w:divBdr>
    </w:div>
    <w:div w:id="758791150">
      <w:bodyDiv w:val="1"/>
      <w:marLeft w:val="0"/>
      <w:marRight w:val="0"/>
      <w:marTop w:val="0"/>
      <w:marBottom w:val="0"/>
      <w:divBdr>
        <w:top w:val="none" w:sz="0" w:space="0" w:color="auto"/>
        <w:left w:val="none" w:sz="0" w:space="0" w:color="auto"/>
        <w:bottom w:val="none" w:sz="0" w:space="0" w:color="auto"/>
        <w:right w:val="none" w:sz="0" w:space="0" w:color="auto"/>
      </w:divBdr>
    </w:div>
    <w:div w:id="759259213">
      <w:bodyDiv w:val="1"/>
      <w:marLeft w:val="0"/>
      <w:marRight w:val="0"/>
      <w:marTop w:val="0"/>
      <w:marBottom w:val="0"/>
      <w:divBdr>
        <w:top w:val="none" w:sz="0" w:space="0" w:color="auto"/>
        <w:left w:val="none" w:sz="0" w:space="0" w:color="auto"/>
        <w:bottom w:val="none" w:sz="0" w:space="0" w:color="auto"/>
        <w:right w:val="none" w:sz="0" w:space="0" w:color="auto"/>
      </w:divBdr>
    </w:div>
    <w:div w:id="760183123">
      <w:bodyDiv w:val="1"/>
      <w:marLeft w:val="0"/>
      <w:marRight w:val="0"/>
      <w:marTop w:val="0"/>
      <w:marBottom w:val="0"/>
      <w:divBdr>
        <w:top w:val="none" w:sz="0" w:space="0" w:color="auto"/>
        <w:left w:val="none" w:sz="0" w:space="0" w:color="auto"/>
        <w:bottom w:val="none" w:sz="0" w:space="0" w:color="auto"/>
        <w:right w:val="none" w:sz="0" w:space="0" w:color="auto"/>
      </w:divBdr>
    </w:div>
    <w:div w:id="760414876">
      <w:bodyDiv w:val="1"/>
      <w:marLeft w:val="0"/>
      <w:marRight w:val="0"/>
      <w:marTop w:val="0"/>
      <w:marBottom w:val="0"/>
      <w:divBdr>
        <w:top w:val="none" w:sz="0" w:space="0" w:color="auto"/>
        <w:left w:val="none" w:sz="0" w:space="0" w:color="auto"/>
        <w:bottom w:val="none" w:sz="0" w:space="0" w:color="auto"/>
        <w:right w:val="none" w:sz="0" w:space="0" w:color="auto"/>
      </w:divBdr>
    </w:div>
    <w:div w:id="761099219">
      <w:bodyDiv w:val="1"/>
      <w:marLeft w:val="0"/>
      <w:marRight w:val="0"/>
      <w:marTop w:val="0"/>
      <w:marBottom w:val="0"/>
      <w:divBdr>
        <w:top w:val="none" w:sz="0" w:space="0" w:color="auto"/>
        <w:left w:val="none" w:sz="0" w:space="0" w:color="auto"/>
        <w:bottom w:val="none" w:sz="0" w:space="0" w:color="auto"/>
        <w:right w:val="none" w:sz="0" w:space="0" w:color="auto"/>
      </w:divBdr>
    </w:div>
    <w:div w:id="762216045">
      <w:bodyDiv w:val="1"/>
      <w:marLeft w:val="0"/>
      <w:marRight w:val="0"/>
      <w:marTop w:val="0"/>
      <w:marBottom w:val="0"/>
      <w:divBdr>
        <w:top w:val="none" w:sz="0" w:space="0" w:color="auto"/>
        <w:left w:val="none" w:sz="0" w:space="0" w:color="auto"/>
        <w:bottom w:val="none" w:sz="0" w:space="0" w:color="auto"/>
        <w:right w:val="none" w:sz="0" w:space="0" w:color="auto"/>
      </w:divBdr>
    </w:div>
    <w:div w:id="762722686">
      <w:bodyDiv w:val="1"/>
      <w:marLeft w:val="0"/>
      <w:marRight w:val="0"/>
      <w:marTop w:val="0"/>
      <w:marBottom w:val="0"/>
      <w:divBdr>
        <w:top w:val="none" w:sz="0" w:space="0" w:color="auto"/>
        <w:left w:val="none" w:sz="0" w:space="0" w:color="auto"/>
        <w:bottom w:val="none" w:sz="0" w:space="0" w:color="auto"/>
        <w:right w:val="none" w:sz="0" w:space="0" w:color="auto"/>
      </w:divBdr>
    </w:div>
    <w:div w:id="763116080">
      <w:bodyDiv w:val="1"/>
      <w:marLeft w:val="0"/>
      <w:marRight w:val="0"/>
      <w:marTop w:val="0"/>
      <w:marBottom w:val="0"/>
      <w:divBdr>
        <w:top w:val="none" w:sz="0" w:space="0" w:color="auto"/>
        <w:left w:val="none" w:sz="0" w:space="0" w:color="auto"/>
        <w:bottom w:val="none" w:sz="0" w:space="0" w:color="auto"/>
        <w:right w:val="none" w:sz="0" w:space="0" w:color="auto"/>
      </w:divBdr>
    </w:div>
    <w:div w:id="763720668">
      <w:bodyDiv w:val="1"/>
      <w:marLeft w:val="0"/>
      <w:marRight w:val="0"/>
      <w:marTop w:val="0"/>
      <w:marBottom w:val="0"/>
      <w:divBdr>
        <w:top w:val="none" w:sz="0" w:space="0" w:color="auto"/>
        <w:left w:val="none" w:sz="0" w:space="0" w:color="auto"/>
        <w:bottom w:val="none" w:sz="0" w:space="0" w:color="auto"/>
        <w:right w:val="none" w:sz="0" w:space="0" w:color="auto"/>
      </w:divBdr>
    </w:div>
    <w:div w:id="763767700">
      <w:bodyDiv w:val="1"/>
      <w:marLeft w:val="0"/>
      <w:marRight w:val="0"/>
      <w:marTop w:val="0"/>
      <w:marBottom w:val="0"/>
      <w:divBdr>
        <w:top w:val="none" w:sz="0" w:space="0" w:color="auto"/>
        <w:left w:val="none" w:sz="0" w:space="0" w:color="auto"/>
        <w:bottom w:val="none" w:sz="0" w:space="0" w:color="auto"/>
        <w:right w:val="none" w:sz="0" w:space="0" w:color="auto"/>
      </w:divBdr>
    </w:div>
    <w:div w:id="764231314">
      <w:bodyDiv w:val="1"/>
      <w:marLeft w:val="0"/>
      <w:marRight w:val="0"/>
      <w:marTop w:val="0"/>
      <w:marBottom w:val="0"/>
      <w:divBdr>
        <w:top w:val="none" w:sz="0" w:space="0" w:color="auto"/>
        <w:left w:val="none" w:sz="0" w:space="0" w:color="auto"/>
        <w:bottom w:val="none" w:sz="0" w:space="0" w:color="auto"/>
        <w:right w:val="none" w:sz="0" w:space="0" w:color="auto"/>
      </w:divBdr>
    </w:div>
    <w:div w:id="764426805">
      <w:bodyDiv w:val="1"/>
      <w:marLeft w:val="0"/>
      <w:marRight w:val="0"/>
      <w:marTop w:val="0"/>
      <w:marBottom w:val="0"/>
      <w:divBdr>
        <w:top w:val="none" w:sz="0" w:space="0" w:color="auto"/>
        <w:left w:val="none" w:sz="0" w:space="0" w:color="auto"/>
        <w:bottom w:val="none" w:sz="0" w:space="0" w:color="auto"/>
        <w:right w:val="none" w:sz="0" w:space="0" w:color="auto"/>
      </w:divBdr>
    </w:div>
    <w:div w:id="764695545">
      <w:bodyDiv w:val="1"/>
      <w:marLeft w:val="0"/>
      <w:marRight w:val="0"/>
      <w:marTop w:val="0"/>
      <w:marBottom w:val="0"/>
      <w:divBdr>
        <w:top w:val="none" w:sz="0" w:space="0" w:color="auto"/>
        <w:left w:val="none" w:sz="0" w:space="0" w:color="auto"/>
        <w:bottom w:val="none" w:sz="0" w:space="0" w:color="auto"/>
        <w:right w:val="none" w:sz="0" w:space="0" w:color="auto"/>
      </w:divBdr>
    </w:div>
    <w:div w:id="764957757">
      <w:bodyDiv w:val="1"/>
      <w:marLeft w:val="0"/>
      <w:marRight w:val="0"/>
      <w:marTop w:val="0"/>
      <w:marBottom w:val="0"/>
      <w:divBdr>
        <w:top w:val="none" w:sz="0" w:space="0" w:color="auto"/>
        <w:left w:val="none" w:sz="0" w:space="0" w:color="auto"/>
        <w:bottom w:val="none" w:sz="0" w:space="0" w:color="auto"/>
        <w:right w:val="none" w:sz="0" w:space="0" w:color="auto"/>
      </w:divBdr>
    </w:div>
    <w:div w:id="765148623">
      <w:bodyDiv w:val="1"/>
      <w:marLeft w:val="0"/>
      <w:marRight w:val="0"/>
      <w:marTop w:val="0"/>
      <w:marBottom w:val="0"/>
      <w:divBdr>
        <w:top w:val="none" w:sz="0" w:space="0" w:color="auto"/>
        <w:left w:val="none" w:sz="0" w:space="0" w:color="auto"/>
        <w:bottom w:val="none" w:sz="0" w:space="0" w:color="auto"/>
        <w:right w:val="none" w:sz="0" w:space="0" w:color="auto"/>
      </w:divBdr>
    </w:div>
    <w:div w:id="766468398">
      <w:bodyDiv w:val="1"/>
      <w:marLeft w:val="0"/>
      <w:marRight w:val="0"/>
      <w:marTop w:val="0"/>
      <w:marBottom w:val="0"/>
      <w:divBdr>
        <w:top w:val="none" w:sz="0" w:space="0" w:color="auto"/>
        <w:left w:val="none" w:sz="0" w:space="0" w:color="auto"/>
        <w:bottom w:val="none" w:sz="0" w:space="0" w:color="auto"/>
        <w:right w:val="none" w:sz="0" w:space="0" w:color="auto"/>
      </w:divBdr>
    </w:div>
    <w:div w:id="768281695">
      <w:bodyDiv w:val="1"/>
      <w:marLeft w:val="0"/>
      <w:marRight w:val="0"/>
      <w:marTop w:val="0"/>
      <w:marBottom w:val="0"/>
      <w:divBdr>
        <w:top w:val="none" w:sz="0" w:space="0" w:color="auto"/>
        <w:left w:val="none" w:sz="0" w:space="0" w:color="auto"/>
        <w:bottom w:val="none" w:sz="0" w:space="0" w:color="auto"/>
        <w:right w:val="none" w:sz="0" w:space="0" w:color="auto"/>
      </w:divBdr>
    </w:div>
    <w:div w:id="768623464">
      <w:bodyDiv w:val="1"/>
      <w:marLeft w:val="0"/>
      <w:marRight w:val="0"/>
      <w:marTop w:val="0"/>
      <w:marBottom w:val="0"/>
      <w:divBdr>
        <w:top w:val="none" w:sz="0" w:space="0" w:color="auto"/>
        <w:left w:val="none" w:sz="0" w:space="0" w:color="auto"/>
        <w:bottom w:val="none" w:sz="0" w:space="0" w:color="auto"/>
        <w:right w:val="none" w:sz="0" w:space="0" w:color="auto"/>
      </w:divBdr>
    </w:div>
    <w:div w:id="768700799">
      <w:bodyDiv w:val="1"/>
      <w:marLeft w:val="0"/>
      <w:marRight w:val="0"/>
      <w:marTop w:val="0"/>
      <w:marBottom w:val="0"/>
      <w:divBdr>
        <w:top w:val="none" w:sz="0" w:space="0" w:color="auto"/>
        <w:left w:val="none" w:sz="0" w:space="0" w:color="auto"/>
        <w:bottom w:val="none" w:sz="0" w:space="0" w:color="auto"/>
        <w:right w:val="none" w:sz="0" w:space="0" w:color="auto"/>
      </w:divBdr>
    </w:div>
    <w:div w:id="768768695">
      <w:bodyDiv w:val="1"/>
      <w:marLeft w:val="0"/>
      <w:marRight w:val="0"/>
      <w:marTop w:val="0"/>
      <w:marBottom w:val="0"/>
      <w:divBdr>
        <w:top w:val="none" w:sz="0" w:space="0" w:color="auto"/>
        <w:left w:val="none" w:sz="0" w:space="0" w:color="auto"/>
        <w:bottom w:val="none" w:sz="0" w:space="0" w:color="auto"/>
        <w:right w:val="none" w:sz="0" w:space="0" w:color="auto"/>
      </w:divBdr>
    </w:div>
    <w:div w:id="768936870">
      <w:bodyDiv w:val="1"/>
      <w:marLeft w:val="0"/>
      <w:marRight w:val="0"/>
      <w:marTop w:val="0"/>
      <w:marBottom w:val="0"/>
      <w:divBdr>
        <w:top w:val="none" w:sz="0" w:space="0" w:color="auto"/>
        <w:left w:val="none" w:sz="0" w:space="0" w:color="auto"/>
        <w:bottom w:val="none" w:sz="0" w:space="0" w:color="auto"/>
        <w:right w:val="none" w:sz="0" w:space="0" w:color="auto"/>
      </w:divBdr>
    </w:div>
    <w:div w:id="769084470">
      <w:bodyDiv w:val="1"/>
      <w:marLeft w:val="0"/>
      <w:marRight w:val="0"/>
      <w:marTop w:val="0"/>
      <w:marBottom w:val="0"/>
      <w:divBdr>
        <w:top w:val="none" w:sz="0" w:space="0" w:color="auto"/>
        <w:left w:val="none" w:sz="0" w:space="0" w:color="auto"/>
        <w:bottom w:val="none" w:sz="0" w:space="0" w:color="auto"/>
        <w:right w:val="none" w:sz="0" w:space="0" w:color="auto"/>
      </w:divBdr>
    </w:div>
    <w:div w:id="769130704">
      <w:bodyDiv w:val="1"/>
      <w:marLeft w:val="0"/>
      <w:marRight w:val="0"/>
      <w:marTop w:val="0"/>
      <w:marBottom w:val="0"/>
      <w:divBdr>
        <w:top w:val="none" w:sz="0" w:space="0" w:color="auto"/>
        <w:left w:val="none" w:sz="0" w:space="0" w:color="auto"/>
        <w:bottom w:val="none" w:sz="0" w:space="0" w:color="auto"/>
        <w:right w:val="none" w:sz="0" w:space="0" w:color="auto"/>
      </w:divBdr>
    </w:div>
    <w:div w:id="769666029">
      <w:bodyDiv w:val="1"/>
      <w:marLeft w:val="0"/>
      <w:marRight w:val="0"/>
      <w:marTop w:val="0"/>
      <w:marBottom w:val="0"/>
      <w:divBdr>
        <w:top w:val="none" w:sz="0" w:space="0" w:color="auto"/>
        <w:left w:val="none" w:sz="0" w:space="0" w:color="auto"/>
        <w:bottom w:val="none" w:sz="0" w:space="0" w:color="auto"/>
        <w:right w:val="none" w:sz="0" w:space="0" w:color="auto"/>
      </w:divBdr>
    </w:div>
    <w:div w:id="769818504">
      <w:bodyDiv w:val="1"/>
      <w:marLeft w:val="0"/>
      <w:marRight w:val="0"/>
      <w:marTop w:val="0"/>
      <w:marBottom w:val="0"/>
      <w:divBdr>
        <w:top w:val="none" w:sz="0" w:space="0" w:color="auto"/>
        <w:left w:val="none" w:sz="0" w:space="0" w:color="auto"/>
        <w:bottom w:val="none" w:sz="0" w:space="0" w:color="auto"/>
        <w:right w:val="none" w:sz="0" w:space="0" w:color="auto"/>
      </w:divBdr>
    </w:div>
    <w:div w:id="770124469">
      <w:bodyDiv w:val="1"/>
      <w:marLeft w:val="0"/>
      <w:marRight w:val="0"/>
      <w:marTop w:val="0"/>
      <w:marBottom w:val="0"/>
      <w:divBdr>
        <w:top w:val="none" w:sz="0" w:space="0" w:color="auto"/>
        <w:left w:val="none" w:sz="0" w:space="0" w:color="auto"/>
        <w:bottom w:val="none" w:sz="0" w:space="0" w:color="auto"/>
        <w:right w:val="none" w:sz="0" w:space="0" w:color="auto"/>
      </w:divBdr>
    </w:div>
    <w:div w:id="770127524">
      <w:bodyDiv w:val="1"/>
      <w:marLeft w:val="0"/>
      <w:marRight w:val="0"/>
      <w:marTop w:val="0"/>
      <w:marBottom w:val="0"/>
      <w:divBdr>
        <w:top w:val="none" w:sz="0" w:space="0" w:color="auto"/>
        <w:left w:val="none" w:sz="0" w:space="0" w:color="auto"/>
        <w:bottom w:val="none" w:sz="0" w:space="0" w:color="auto"/>
        <w:right w:val="none" w:sz="0" w:space="0" w:color="auto"/>
      </w:divBdr>
    </w:div>
    <w:div w:id="770201730">
      <w:bodyDiv w:val="1"/>
      <w:marLeft w:val="0"/>
      <w:marRight w:val="0"/>
      <w:marTop w:val="0"/>
      <w:marBottom w:val="0"/>
      <w:divBdr>
        <w:top w:val="none" w:sz="0" w:space="0" w:color="auto"/>
        <w:left w:val="none" w:sz="0" w:space="0" w:color="auto"/>
        <w:bottom w:val="none" w:sz="0" w:space="0" w:color="auto"/>
        <w:right w:val="none" w:sz="0" w:space="0" w:color="auto"/>
      </w:divBdr>
    </w:div>
    <w:div w:id="770509351">
      <w:bodyDiv w:val="1"/>
      <w:marLeft w:val="0"/>
      <w:marRight w:val="0"/>
      <w:marTop w:val="0"/>
      <w:marBottom w:val="0"/>
      <w:divBdr>
        <w:top w:val="none" w:sz="0" w:space="0" w:color="auto"/>
        <w:left w:val="none" w:sz="0" w:space="0" w:color="auto"/>
        <w:bottom w:val="none" w:sz="0" w:space="0" w:color="auto"/>
        <w:right w:val="none" w:sz="0" w:space="0" w:color="auto"/>
      </w:divBdr>
    </w:div>
    <w:div w:id="771163729">
      <w:bodyDiv w:val="1"/>
      <w:marLeft w:val="0"/>
      <w:marRight w:val="0"/>
      <w:marTop w:val="0"/>
      <w:marBottom w:val="0"/>
      <w:divBdr>
        <w:top w:val="none" w:sz="0" w:space="0" w:color="auto"/>
        <w:left w:val="none" w:sz="0" w:space="0" w:color="auto"/>
        <w:bottom w:val="none" w:sz="0" w:space="0" w:color="auto"/>
        <w:right w:val="none" w:sz="0" w:space="0" w:color="auto"/>
      </w:divBdr>
    </w:div>
    <w:div w:id="771322945">
      <w:bodyDiv w:val="1"/>
      <w:marLeft w:val="0"/>
      <w:marRight w:val="0"/>
      <w:marTop w:val="0"/>
      <w:marBottom w:val="0"/>
      <w:divBdr>
        <w:top w:val="none" w:sz="0" w:space="0" w:color="auto"/>
        <w:left w:val="none" w:sz="0" w:space="0" w:color="auto"/>
        <w:bottom w:val="none" w:sz="0" w:space="0" w:color="auto"/>
        <w:right w:val="none" w:sz="0" w:space="0" w:color="auto"/>
      </w:divBdr>
    </w:div>
    <w:div w:id="771556712">
      <w:bodyDiv w:val="1"/>
      <w:marLeft w:val="0"/>
      <w:marRight w:val="0"/>
      <w:marTop w:val="0"/>
      <w:marBottom w:val="0"/>
      <w:divBdr>
        <w:top w:val="none" w:sz="0" w:space="0" w:color="auto"/>
        <w:left w:val="none" w:sz="0" w:space="0" w:color="auto"/>
        <w:bottom w:val="none" w:sz="0" w:space="0" w:color="auto"/>
        <w:right w:val="none" w:sz="0" w:space="0" w:color="auto"/>
      </w:divBdr>
    </w:div>
    <w:div w:id="771705374">
      <w:bodyDiv w:val="1"/>
      <w:marLeft w:val="0"/>
      <w:marRight w:val="0"/>
      <w:marTop w:val="0"/>
      <w:marBottom w:val="0"/>
      <w:divBdr>
        <w:top w:val="none" w:sz="0" w:space="0" w:color="auto"/>
        <w:left w:val="none" w:sz="0" w:space="0" w:color="auto"/>
        <w:bottom w:val="none" w:sz="0" w:space="0" w:color="auto"/>
        <w:right w:val="none" w:sz="0" w:space="0" w:color="auto"/>
      </w:divBdr>
    </w:div>
    <w:div w:id="771708209">
      <w:bodyDiv w:val="1"/>
      <w:marLeft w:val="0"/>
      <w:marRight w:val="0"/>
      <w:marTop w:val="0"/>
      <w:marBottom w:val="0"/>
      <w:divBdr>
        <w:top w:val="none" w:sz="0" w:space="0" w:color="auto"/>
        <w:left w:val="none" w:sz="0" w:space="0" w:color="auto"/>
        <w:bottom w:val="none" w:sz="0" w:space="0" w:color="auto"/>
        <w:right w:val="none" w:sz="0" w:space="0" w:color="auto"/>
      </w:divBdr>
    </w:div>
    <w:div w:id="772172307">
      <w:bodyDiv w:val="1"/>
      <w:marLeft w:val="0"/>
      <w:marRight w:val="0"/>
      <w:marTop w:val="0"/>
      <w:marBottom w:val="0"/>
      <w:divBdr>
        <w:top w:val="none" w:sz="0" w:space="0" w:color="auto"/>
        <w:left w:val="none" w:sz="0" w:space="0" w:color="auto"/>
        <w:bottom w:val="none" w:sz="0" w:space="0" w:color="auto"/>
        <w:right w:val="none" w:sz="0" w:space="0" w:color="auto"/>
      </w:divBdr>
    </w:div>
    <w:div w:id="772360221">
      <w:bodyDiv w:val="1"/>
      <w:marLeft w:val="0"/>
      <w:marRight w:val="0"/>
      <w:marTop w:val="0"/>
      <w:marBottom w:val="0"/>
      <w:divBdr>
        <w:top w:val="none" w:sz="0" w:space="0" w:color="auto"/>
        <w:left w:val="none" w:sz="0" w:space="0" w:color="auto"/>
        <w:bottom w:val="none" w:sz="0" w:space="0" w:color="auto"/>
        <w:right w:val="none" w:sz="0" w:space="0" w:color="auto"/>
      </w:divBdr>
    </w:div>
    <w:div w:id="773136471">
      <w:bodyDiv w:val="1"/>
      <w:marLeft w:val="0"/>
      <w:marRight w:val="0"/>
      <w:marTop w:val="0"/>
      <w:marBottom w:val="0"/>
      <w:divBdr>
        <w:top w:val="none" w:sz="0" w:space="0" w:color="auto"/>
        <w:left w:val="none" w:sz="0" w:space="0" w:color="auto"/>
        <w:bottom w:val="none" w:sz="0" w:space="0" w:color="auto"/>
        <w:right w:val="none" w:sz="0" w:space="0" w:color="auto"/>
      </w:divBdr>
    </w:div>
    <w:div w:id="774129603">
      <w:bodyDiv w:val="1"/>
      <w:marLeft w:val="0"/>
      <w:marRight w:val="0"/>
      <w:marTop w:val="0"/>
      <w:marBottom w:val="0"/>
      <w:divBdr>
        <w:top w:val="none" w:sz="0" w:space="0" w:color="auto"/>
        <w:left w:val="none" w:sz="0" w:space="0" w:color="auto"/>
        <w:bottom w:val="none" w:sz="0" w:space="0" w:color="auto"/>
        <w:right w:val="none" w:sz="0" w:space="0" w:color="auto"/>
      </w:divBdr>
    </w:div>
    <w:div w:id="774137187">
      <w:bodyDiv w:val="1"/>
      <w:marLeft w:val="0"/>
      <w:marRight w:val="0"/>
      <w:marTop w:val="0"/>
      <w:marBottom w:val="0"/>
      <w:divBdr>
        <w:top w:val="none" w:sz="0" w:space="0" w:color="auto"/>
        <w:left w:val="none" w:sz="0" w:space="0" w:color="auto"/>
        <w:bottom w:val="none" w:sz="0" w:space="0" w:color="auto"/>
        <w:right w:val="none" w:sz="0" w:space="0" w:color="auto"/>
      </w:divBdr>
    </w:div>
    <w:div w:id="774322869">
      <w:bodyDiv w:val="1"/>
      <w:marLeft w:val="0"/>
      <w:marRight w:val="0"/>
      <w:marTop w:val="0"/>
      <w:marBottom w:val="0"/>
      <w:divBdr>
        <w:top w:val="none" w:sz="0" w:space="0" w:color="auto"/>
        <w:left w:val="none" w:sz="0" w:space="0" w:color="auto"/>
        <w:bottom w:val="none" w:sz="0" w:space="0" w:color="auto"/>
        <w:right w:val="none" w:sz="0" w:space="0" w:color="auto"/>
      </w:divBdr>
    </w:div>
    <w:div w:id="774637174">
      <w:bodyDiv w:val="1"/>
      <w:marLeft w:val="0"/>
      <w:marRight w:val="0"/>
      <w:marTop w:val="0"/>
      <w:marBottom w:val="0"/>
      <w:divBdr>
        <w:top w:val="none" w:sz="0" w:space="0" w:color="auto"/>
        <w:left w:val="none" w:sz="0" w:space="0" w:color="auto"/>
        <w:bottom w:val="none" w:sz="0" w:space="0" w:color="auto"/>
        <w:right w:val="none" w:sz="0" w:space="0" w:color="auto"/>
      </w:divBdr>
    </w:div>
    <w:div w:id="775096477">
      <w:bodyDiv w:val="1"/>
      <w:marLeft w:val="0"/>
      <w:marRight w:val="0"/>
      <w:marTop w:val="0"/>
      <w:marBottom w:val="0"/>
      <w:divBdr>
        <w:top w:val="none" w:sz="0" w:space="0" w:color="auto"/>
        <w:left w:val="none" w:sz="0" w:space="0" w:color="auto"/>
        <w:bottom w:val="none" w:sz="0" w:space="0" w:color="auto"/>
        <w:right w:val="none" w:sz="0" w:space="0" w:color="auto"/>
      </w:divBdr>
    </w:div>
    <w:div w:id="775488193">
      <w:bodyDiv w:val="1"/>
      <w:marLeft w:val="0"/>
      <w:marRight w:val="0"/>
      <w:marTop w:val="0"/>
      <w:marBottom w:val="0"/>
      <w:divBdr>
        <w:top w:val="none" w:sz="0" w:space="0" w:color="auto"/>
        <w:left w:val="none" w:sz="0" w:space="0" w:color="auto"/>
        <w:bottom w:val="none" w:sz="0" w:space="0" w:color="auto"/>
        <w:right w:val="none" w:sz="0" w:space="0" w:color="auto"/>
      </w:divBdr>
    </w:div>
    <w:div w:id="775516568">
      <w:bodyDiv w:val="1"/>
      <w:marLeft w:val="0"/>
      <w:marRight w:val="0"/>
      <w:marTop w:val="0"/>
      <w:marBottom w:val="0"/>
      <w:divBdr>
        <w:top w:val="none" w:sz="0" w:space="0" w:color="auto"/>
        <w:left w:val="none" w:sz="0" w:space="0" w:color="auto"/>
        <w:bottom w:val="none" w:sz="0" w:space="0" w:color="auto"/>
        <w:right w:val="none" w:sz="0" w:space="0" w:color="auto"/>
      </w:divBdr>
    </w:div>
    <w:div w:id="775902850">
      <w:bodyDiv w:val="1"/>
      <w:marLeft w:val="0"/>
      <w:marRight w:val="0"/>
      <w:marTop w:val="0"/>
      <w:marBottom w:val="0"/>
      <w:divBdr>
        <w:top w:val="none" w:sz="0" w:space="0" w:color="auto"/>
        <w:left w:val="none" w:sz="0" w:space="0" w:color="auto"/>
        <w:bottom w:val="none" w:sz="0" w:space="0" w:color="auto"/>
        <w:right w:val="none" w:sz="0" w:space="0" w:color="auto"/>
      </w:divBdr>
    </w:div>
    <w:div w:id="775946679">
      <w:bodyDiv w:val="1"/>
      <w:marLeft w:val="0"/>
      <w:marRight w:val="0"/>
      <w:marTop w:val="0"/>
      <w:marBottom w:val="0"/>
      <w:divBdr>
        <w:top w:val="none" w:sz="0" w:space="0" w:color="auto"/>
        <w:left w:val="none" w:sz="0" w:space="0" w:color="auto"/>
        <w:bottom w:val="none" w:sz="0" w:space="0" w:color="auto"/>
        <w:right w:val="none" w:sz="0" w:space="0" w:color="auto"/>
      </w:divBdr>
    </w:div>
    <w:div w:id="777723367">
      <w:bodyDiv w:val="1"/>
      <w:marLeft w:val="0"/>
      <w:marRight w:val="0"/>
      <w:marTop w:val="0"/>
      <w:marBottom w:val="0"/>
      <w:divBdr>
        <w:top w:val="none" w:sz="0" w:space="0" w:color="auto"/>
        <w:left w:val="none" w:sz="0" w:space="0" w:color="auto"/>
        <w:bottom w:val="none" w:sz="0" w:space="0" w:color="auto"/>
        <w:right w:val="none" w:sz="0" w:space="0" w:color="auto"/>
      </w:divBdr>
    </w:div>
    <w:div w:id="777944497">
      <w:bodyDiv w:val="1"/>
      <w:marLeft w:val="0"/>
      <w:marRight w:val="0"/>
      <w:marTop w:val="0"/>
      <w:marBottom w:val="0"/>
      <w:divBdr>
        <w:top w:val="none" w:sz="0" w:space="0" w:color="auto"/>
        <w:left w:val="none" w:sz="0" w:space="0" w:color="auto"/>
        <w:bottom w:val="none" w:sz="0" w:space="0" w:color="auto"/>
        <w:right w:val="none" w:sz="0" w:space="0" w:color="auto"/>
      </w:divBdr>
    </w:div>
    <w:div w:id="777990885">
      <w:bodyDiv w:val="1"/>
      <w:marLeft w:val="0"/>
      <w:marRight w:val="0"/>
      <w:marTop w:val="0"/>
      <w:marBottom w:val="0"/>
      <w:divBdr>
        <w:top w:val="none" w:sz="0" w:space="0" w:color="auto"/>
        <w:left w:val="none" w:sz="0" w:space="0" w:color="auto"/>
        <w:bottom w:val="none" w:sz="0" w:space="0" w:color="auto"/>
        <w:right w:val="none" w:sz="0" w:space="0" w:color="auto"/>
      </w:divBdr>
    </w:div>
    <w:div w:id="778067259">
      <w:bodyDiv w:val="1"/>
      <w:marLeft w:val="0"/>
      <w:marRight w:val="0"/>
      <w:marTop w:val="0"/>
      <w:marBottom w:val="0"/>
      <w:divBdr>
        <w:top w:val="none" w:sz="0" w:space="0" w:color="auto"/>
        <w:left w:val="none" w:sz="0" w:space="0" w:color="auto"/>
        <w:bottom w:val="none" w:sz="0" w:space="0" w:color="auto"/>
        <w:right w:val="none" w:sz="0" w:space="0" w:color="auto"/>
      </w:divBdr>
    </w:div>
    <w:div w:id="778372853">
      <w:bodyDiv w:val="1"/>
      <w:marLeft w:val="0"/>
      <w:marRight w:val="0"/>
      <w:marTop w:val="0"/>
      <w:marBottom w:val="0"/>
      <w:divBdr>
        <w:top w:val="none" w:sz="0" w:space="0" w:color="auto"/>
        <w:left w:val="none" w:sz="0" w:space="0" w:color="auto"/>
        <w:bottom w:val="none" w:sz="0" w:space="0" w:color="auto"/>
        <w:right w:val="none" w:sz="0" w:space="0" w:color="auto"/>
      </w:divBdr>
    </w:div>
    <w:div w:id="778378994">
      <w:bodyDiv w:val="1"/>
      <w:marLeft w:val="0"/>
      <w:marRight w:val="0"/>
      <w:marTop w:val="0"/>
      <w:marBottom w:val="0"/>
      <w:divBdr>
        <w:top w:val="none" w:sz="0" w:space="0" w:color="auto"/>
        <w:left w:val="none" w:sz="0" w:space="0" w:color="auto"/>
        <w:bottom w:val="none" w:sz="0" w:space="0" w:color="auto"/>
        <w:right w:val="none" w:sz="0" w:space="0" w:color="auto"/>
      </w:divBdr>
    </w:div>
    <w:div w:id="778716557">
      <w:bodyDiv w:val="1"/>
      <w:marLeft w:val="0"/>
      <w:marRight w:val="0"/>
      <w:marTop w:val="0"/>
      <w:marBottom w:val="0"/>
      <w:divBdr>
        <w:top w:val="none" w:sz="0" w:space="0" w:color="auto"/>
        <w:left w:val="none" w:sz="0" w:space="0" w:color="auto"/>
        <w:bottom w:val="none" w:sz="0" w:space="0" w:color="auto"/>
        <w:right w:val="none" w:sz="0" w:space="0" w:color="auto"/>
      </w:divBdr>
    </w:div>
    <w:div w:id="779223635">
      <w:bodyDiv w:val="1"/>
      <w:marLeft w:val="0"/>
      <w:marRight w:val="0"/>
      <w:marTop w:val="0"/>
      <w:marBottom w:val="0"/>
      <w:divBdr>
        <w:top w:val="none" w:sz="0" w:space="0" w:color="auto"/>
        <w:left w:val="none" w:sz="0" w:space="0" w:color="auto"/>
        <w:bottom w:val="none" w:sz="0" w:space="0" w:color="auto"/>
        <w:right w:val="none" w:sz="0" w:space="0" w:color="auto"/>
      </w:divBdr>
    </w:div>
    <w:div w:id="779497817">
      <w:bodyDiv w:val="1"/>
      <w:marLeft w:val="0"/>
      <w:marRight w:val="0"/>
      <w:marTop w:val="0"/>
      <w:marBottom w:val="0"/>
      <w:divBdr>
        <w:top w:val="none" w:sz="0" w:space="0" w:color="auto"/>
        <w:left w:val="none" w:sz="0" w:space="0" w:color="auto"/>
        <w:bottom w:val="none" w:sz="0" w:space="0" w:color="auto"/>
        <w:right w:val="none" w:sz="0" w:space="0" w:color="auto"/>
      </w:divBdr>
    </w:div>
    <w:div w:id="779646613">
      <w:bodyDiv w:val="1"/>
      <w:marLeft w:val="0"/>
      <w:marRight w:val="0"/>
      <w:marTop w:val="0"/>
      <w:marBottom w:val="0"/>
      <w:divBdr>
        <w:top w:val="none" w:sz="0" w:space="0" w:color="auto"/>
        <w:left w:val="none" w:sz="0" w:space="0" w:color="auto"/>
        <w:bottom w:val="none" w:sz="0" w:space="0" w:color="auto"/>
        <w:right w:val="none" w:sz="0" w:space="0" w:color="auto"/>
      </w:divBdr>
    </w:div>
    <w:div w:id="779883351">
      <w:bodyDiv w:val="1"/>
      <w:marLeft w:val="0"/>
      <w:marRight w:val="0"/>
      <w:marTop w:val="0"/>
      <w:marBottom w:val="0"/>
      <w:divBdr>
        <w:top w:val="none" w:sz="0" w:space="0" w:color="auto"/>
        <w:left w:val="none" w:sz="0" w:space="0" w:color="auto"/>
        <w:bottom w:val="none" w:sz="0" w:space="0" w:color="auto"/>
        <w:right w:val="none" w:sz="0" w:space="0" w:color="auto"/>
      </w:divBdr>
    </w:div>
    <w:div w:id="780102778">
      <w:bodyDiv w:val="1"/>
      <w:marLeft w:val="0"/>
      <w:marRight w:val="0"/>
      <w:marTop w:val="0"/>
      <w:marBottom w:val="0"/>
      <w:divBdr>
        <w:top w:val="none" w:sz="0" w:space="0" w:color="auto"/>
        <w:left w:val="none" w:sz="0" w:space="0" w:color="auto"/>
        <w:bottom w:val="none" w:sz="0" w:space="0" w:color="auto"/>
        <w:right w:val="none" w:sz="0" w:space="0" w:color="auto"/>
      </w:divBdr>
    </w:div>
    <w:div w:id="781073575">
      <w:bodyDiv w:val="1"/>
      <w:marLeft w:val="0"/>
      <w:marRight w:val="0"/>
      <w:marTop w:val="0"/>
      <w:marBottom w:val="0"/>
      <w:divBdr>
        <w:top w:val="none" w:sz="0" w:space="0" w:color="auto"/>
        <w:left w:val="none" w:sz="0" w:space="0" w:color="auto"/>
        <w:bottom w:val="none" w:sz="0" w:space="0" w:color="auto"/>
        <w:right w:val="none" w:sz="0" w:space="0" w:color="auto"/>
      </w:divBdr>
    </w:div>
    <w:div w:id="781534507">
      <w:bodyDiv w:val="1"/>
      <w:marLeft w:val="0"/>
      <w:marRight w:val="0"/>
      <w:marTop w:val="0"/>
      <w:marBottom w:val="0"/>
      <w:divBdr>
        <w:top w:val="none" w:sz="0" w:space="0" w:color="auto"/>
        <w:left w:val="none" w:sz="0" w:space="0" w:color="auto"/>
        <w:bottom w:val="none" w:sz="0" w:space="0" w:color="auto"/>
        <w:right w:val="none" w:sz="0" w:space="0" w:color="auto"/>
      </w:divBdr>
    </w:div>
    <w:div w:id="781805409">
      <w:bodyDiv w:val="1"/>
      <w:marLeft w:val="0"/>
      <w:marRight w:val="0"/>
      <w:marTop w:val="0"/>
      <w:marBottom w:val="0"/>
      <w:divBdr>
        <w:top w:val="none" w:sz="0" w:space="0" w:color="auto"/>
        <w:left w:val="none" w:sz="0" w:space="0" w:color="auto"/>
        <w:bottom w:val="none" w:sz="0" w:space="0" w:color="auto"/>
        <w:right w:val="none" w:sz="0" w:space="0" w:color="auto"/>
      </w:divBdr>
    </w:div>
    <w:div w:id="782188386">
      <w:bodyDiv w:val="1"/>
      <w:marLeft w:val="0"/>
      <w:marRight w:val="0"/>
      <w:marTop w:val="0"/>
      <w:marBottom w:val="0"/>
      <w:divBdr>
        <w:top w:val="none" w:sz="0" w:space="0" w:color="auto"/>
        <w:left w:val="none" w:sz="0" w:space="0" w:color="auto"/>
        <w:bottom w:val="none" w:sz="0" w:space="0" w:color="auto"/>
        <w:right w:val="none" w:sz="0" w:space="0" w:color="auto"/>
      </w:divBdr>
    </w:div>
    <w:div w:id="782262798">
      <w:bodyDiv w:val="1"/>
      <w:marLeft w:val="0"/>
      <w:marRight w:val="0"/>
      <w:marTop w:val="0"/>
      <w:marBottom w:val="0"/>
      <w:divBdr>
        <w:top w:val="none" w:sz="0" w:space="0" w:color="auto"/>
        <w:left w:val="none" w:sz="0" w:space="0" w:color="auto"/>
        <w:bottom w:val="none" w:sz="0" w:space="0" w:color="auto"/>
        <w:right w:val="none" w:sz="0" w:space="0" w:color="auto"/>
      </w:divBdr>
    </w:div>
    <w:div w:id="783379150">
      <w:bodyDiv w:val="1"/>
      <w:marLeft w:val="0"/>
      <w:marRight w:val="0"/>
      <w:marTop w:val="0"/>
      <w:marBottom w:val="0"/>
      <w:divBdr>
        <w:top w:val="none" w:sz="0" w:space="0" w:color="auto"/>
        <w:left w:val="none" w:sz="0" w:space="0" w:color="auto"/>
        <w:bottom w:val="none" w:sz="0" w:space="0" w:color="auto"/>
        <w:right w:val="none" w:sz="0" w:space="0" w:color="auto"/>
      </w:divBdr>
    </w:div>
    <w:div w:id="784540029">
      <w:bodyDiv w:val="1"/>
      <w:marLeft w:val="0"/>
      <w:marRight w:val="0"/>
      <w:marTop w:val="0"/>
      <w:marBottom w:val="0"/>
      <w:divBdr>
        <w:top w:val="none" w:sz="0" w:space="0" w:color="auto"/>
        <w:left w:val="none" w:sz="0" w:space="0" w:color="auto"/>
        <w:bottom w:val="none" w:sz="0" w:space="0" w:color="auto"/>
        <w:right w:val="none" w:sz="0" w:space="0" w:color="auto"/>
      </w:divBdr>
    </w:div>
    <w:div w:id="784809441">
      <w:bodyDiv w:val="1"/>
      <w:marLeft w:val="0"/>
      <w:marRight w:val="0"/>
      <w:marTop w:val="0"/>
      <w:marBottom w:val="0"/>
      <w:divBdr>
        <w:top w:val="none" w:sz="0" w:space="0" w:color="auto"/>
        <w:left w:val="none" w:sz="0" w:space="0" w:color="auto"/>
        <w:bottom w:val="none" w:sz="0" w:space="0" w:color="auto"/>
        <w:right w:val="none" w:sz="0" w:space="0" w:color="auto"/>
      </w:divBdr>
    </w:div>
    <w:div w:id="784886245">
      <w:bodyDiv w:val="1"/>
      <w:marLeft w:val="0"/>
      <w:marRight w:val="0"/>
      <w:marTop w:val="0"/>
      <w:marBottom w:val="0"/>
      <w:divBdr>
        <w:top w:val="none" w:sz="0" w:space="0" w:color="auto"/>
        <w:left w:val="none" w:sz="0" w:space="0" w:color="auto"/>
        <w:bottom w:val="none" w:sz="0" w:space="0" w:color="auto"/>
        <w:right w:val="none" w:sz="0" w:space="0" w:color="auto"/>
      </w:divBdr>
    </w:div>
    <w:div w:id="785808900">
      <w:bodyDiv w:val="1"/>
      <w:marLeft w:val="0"/>
      <w:marRight w:val="0"/>
      <w:marTop w:val="0"/>
      <w:marBottom w:val="0"/>
      <w:divBdr>
        <w:top w:val="none" w:sz="0" w:space="0" w:color="auto"/>
        <w:left w:val="none" w:sz="0" w:space="0" w:color="auto"/>
        <w:bottom w:val="none" w:sz="0" w:space="0" w:color="auto"/>
        <w:right w:val="none" w:sz="0" w:space="0" w:color="auto"/>
      </w:divBdr>
    </w:div>
    <w:div w:id="787743538">
      <w:bodyDiv w:val="1"/>
      <w:marLeft w:val="0"/>
      <w:marRight w:val="0"/>
      <w:marTop w:val="0"/>
      <w:marBottom w:val="0"/>
      <w:divBdr>
        <w:top w:val="none" w:sz="0" w:space="0" w:color="auto"/>
        <w:left w:val="none" w:sz="0" w:space="0" w:color="auto"/>
        <w:bottom w:val="none" w:sz="0" w:space="0" w:color="auto"/>
        <w:right w:val="none" w:sz="0" w:space="0" w:color="auto"/>
      </w:divBdr>
    </w:div>
    <w:div w:id="787893972">
      <w:bodyDiv w:val="1"/>
      <w:marLeft w:val="0"/>
      <w:marRight w:val="0"/>
      <w:marTop w:val="0"/>
      <w:marBottom w:val="0"/>
      <w:divBdr>
        <w:top w:val="none" w:sz="0" w:space="0" w:color="auto"/>
        <w:left w:val="none" w:sz="0" w:space="0" w:color="auto"/>
        <w:bottom w:val="none" w:sz="0" w:space="0" w:color="auto"/>
        <w:right w:val="none" w:sz="0" w:space="0" w:color="auto"/>
      </w:divBdr>
    </w:div>
    <w:div w:id="787971765">
      <w:bodyDiv w:val="1"/>
      <w:marLeft w:val="0"/>
      <w:marRight w:val="0"/>
      <w:marTop w:val="0"/>
      <w:marBottom w:val="0"/>
      <w:divBdr>
        <w:top w:val="none" w:sz="0" w:space="0" w:color="auto"/>
        <w:left w:val="none" w:sz="0" w:space="0" w:color="auto"/>
        <w:bottom w:val="none" w:sz="0" w:space="0" w:color="auto"/>
        <w:right w:val="none" w:sz="0" w:space="0" w:color="auto"/>
      </w:divBdr>
    </w:div>
    <w:div w:id="788202295">
      <w:bodyDiv w:val="1"/>
      <w:marLeft w:val="0"/>
      <w:marRight w:val="0"/>
      <w:marTop w:val="0"/>
      <w:marBottom w:val="0"/>
      <w:divBdr>
        <w:top w:val="none" w:sz="0" w:space="0" w:color="auto"/>
        <w:left w:val="none" w:sz="0" w:space="0" w:color="auto"/>
        <w:bottom w:val="none" w:sz="0" w:space="0" w:color="auto"/>
        <w:right w:val="none" w:sz="0" w:space="0" w:color="auto"/>
      </w:divBdr>
    </w:div>
    <w:div w:id="788816195">
      <w:bodyDiv w:val="1"/>
      <w:marLeft w:val="0"/>
      <w:marRight w:val="0"/>
      <w:marTop w:val="0"/>
      <w:marBottom w:val="0"/>
      <w:divBdr>
        <w:top w:val="none" w:sz="0" w:space="0" w:color="auto"/>
        <w:left w:val="none" w:sz="0" w:space="0" w:color="auto"/>
        <w:bottom w:val="none" w:sz="0" w:space="0" w:color="auto"/>
        <w:right w:val="none" w:sz="0" w:space="0" w:color="auto"/>
      </w:divBdr>
    </w:div>
    <w:div w:id="789978480">
      <w:bodyDiv w:val="1"/>
      <w:marLeft w:val="0"/>
      <w:marRight w:val="0"/>
      <w:marTop w:val="0"/>
      <w:marBottom w:val="0"/>
      <w:divBdr>
        <w:top w:val="none" w:sz="0" w:space="0" w:color="auto"/>
        <w:left w:val="none" w:sz="0" w:space="0" w:color="auto"/>
        <w:bottom w:val="none" w:sz="0" w:space="0" w:color="auto"/>
        <w:right w:val="none" w:sz="0" w:space="0" w:color="auto"/>
      </w:divBdr>
    </w:div>
    <w:div w:id="790518041">
      <w:bodyDiv w:val="1"/>
      <w:marLeft w:val="0"/>
      <w:marRight w:val="0"/>
      <w:marTop w:val="0"/>
      <w:marBottom w:val="0"/>
      <w:divBdr>
        <w:top w:val="none" w:sz="0" w:space="0" w:color="auto"/>
        <w:left w:val="none" w:sz="0" w:space="0" w:color="auto"/>
        <w:bottom w:val="none" w:sz="0" w:space="0" w:color="auto"/>
        <w:right w:val="none" w:sz="0" w:space="0" w:color="auto"/>
      </w:divBdr>
    </w:div>
    <w:div w:id="790632238">
      <w:bodyDiv w:val="1"/>
      <w:marLeft w:val="0"/>
      <w:marRight w:val="0"/>
      <w:marTop w:val="0"/>
      <w:marBottom w:val="0"/>
      <w:divBdr>
        <w:top w:val="none" w:sz="0" w:space="0" w:color="auto"/>
        <w:left w:val="none" w:sz="0" w:space="0" w:color="auto"/>
        <w:bottom w:val="none" w:sz="0" w:space="0" w:color="auto"/>
        <w:right w:val="none" w:sz="0" w:space="0" w:color="auto"/>
      </w:divBdr>
    </w:div>
    <w:div w:id="791098989">
      <w:bodyDiv w:val="1"/>
      <w:marLeft w:val="0"/>
      <w:marRight w:val="0"/>
      <w:marTop w:val="0"/>
      <w:marBottom w:val="0"/>
      <w:divBdr>
        <w:top w:val="none" w:sz="0" w:space="0" w:color="auto"/>
        <w:left w:val="none" w:sz="0" w:space="0" w:color="auto"/>
        <w:bottom w:val="none" w:sz="0" w:space="0" w:color="auto"/>
        <w:right w:val="none" w:sz="0" w:space="0" w:color="auto"/>
      </w:divBdr>
    </w:div>
    <w:div w:id="791557190">
      <w:bodyDiv w:val="1"/>
      <w:marLeft w:val="0"/>
      <w:marRight w:val="0"/>
      <w:marTop w:val="0"/>
      <w:marBottom w:val="0"/>
      <w:divBdr>
        <w:top w:val="none" w:sz="0" w:space="0" w:color="auto"/>
        <w:left w:val="none" w:sz="0" w:space="0" w:color="auto"/>
        <w:bottom w:val="none" w:sz="0" w:space="0" w:color="auto"/>
        <w:right w:val="none" w:sz="0" w:space="0" w:color="auto"/>
      </w:divBdr>
    </w:div>
    <w:div w:id="791561515">
      <w:bodyDiv w:val="1"/>
      <w:marLeft w:val="0"/>
      <w:marRight w:val="0"/>
      <w:marTop w:val="0"/>
      <w:marBottom w:val="0"/>
      <w:divBdr>
        <w:top w:val="none" w:sz="0" w:space="0" w:color="auto"/>
        <w:left w:val="none" w:sz="0" w:space="0" w:color="auto"/>
        <w:bottom w:val="none" w:sz="0" w:space="0" w:color="auto"/>
        <w:right w:val="none" w:sz="0" w:space="0" w:color="auto"/>
      </w:divBdr>
    </w:div>
    <w:div w:id="791941417">
      <w:bodyDiv w:val="1"/>
      <w:marLeft w:val="0"/>
      <w:marRight w:val="0"/>
      <w:marTop w:val="0"/>
      <w:marBottom w:val="0"/>
      <w:divBdr>
        <w:top w:val="none" w:sz="0" w:space="0" w:color="auto"/>
        <w:left w:val="none" w:sz="0" w:space="0" w:color="auto"/>
        <w:bottom w:val="none" w:sz="0" w:space="0" w:color="auto"/>
        <w:right w:val="none" w:sz="0" w:space="0" w:color="auto"/>
      </w:divBdr>
    </w:div>
    <w:div w:id="792797051">
      <w:bodyDiv w:val="1"/>
      <w:marLeft w:val="0"/>
      <w:marRight w:val="0"/>
      <w:marTop w:val="0"/>
      <w:marBottom w:val="0"/>
      <w:divBdr>
        <w:top w:val="none" w:sz="0" w:space="0" w:color="auto"/>
        <w:left w:val="none" w:sz="0" w:space="0" w:color="auto"/>
        <w:bottom w:val="none" w:sz="0" w:space="0" w:color="auto"/>
        <w:right w:val="none" w:sz="0" w:space="0" w:color="auto"/>
      </w:divBdr>
    </w:div>
    <w:div w:id="793254733">
      <w:bodyDiv w:val="1"/>
      <w:marLeft w:val="0"/>
      <w:marRight w:val="0"/>
      <w:marTop w:val="0"/>
      <w:marBottom w:val="0"/>
      <w:divBdr>
        <w:top w:val="none" w:sz="0" w:space="0" w:color="auto"/>
        <w:left w:val="none" w:sz="0" w:space="0" w:color="auto"/>
        <w:bottom w:val="none" w:sz="0" w:space="0" w:color="auto"/>
        <w:right w:val="none" w:sz="0" w:space="0" w:color="auto"/>
      </w:divBdr>
    </w:div>
    <w:div w:id="794786319">
      <w:bodyDiv w:val="1"/>
      <w:marLeft w:val="0"/>
      <w:marRight w:val="0"/>
      <w:marTop w:val="0"/>
      <w:marBottom w:val="0"/>
      <w:divBdr>
        <w:top w:val="none" w:sz="0" w:space="0" w:color="auto"/>
        <w:left w:val="none" w:sz="0" w:space="0" w:color="auto"/>
        <w:bottom w:val="none" w:sz="0" w:space="0" w:color="auto"/>
        <w:right w:val="none" w:sz="0" w:space="0" w:color="auto"/>
      </w:divBdr>
    </w:div>
    <w:div w:id="794909179">
      <w:bodyDiv w:val="1"/>
      <w:marLeft w:val="0"/>
      <w:marRight w:val="0"/>
      <w:marTop w:val="0"/>
      <w:marBottom w:val="0"/>
      <w:divBdr>
        <w:top w:val="none" w:sz="0" w:space="0" w:color="auto"/>
        <w:left w:val="none" w:sz="0" w:space="0" w:color="auto"/>
        <w:bottom w:val="none" w:sz="0" w:space="0" w:color="auto"/>
        <w:right w:val="none" w:sz="0" w:space="0" w:color="auto"/>
      </w:divBdr>
    </w:div>
    <w:div w:id="795412910">
      <w:bodyDiv w:val="1"/>
      <w:marLeft w:val="0"/>
      <w:marRight w:val="0"/>
      <w:marTop w:val="0"/>
      <w:marBottom w:val="0"/>
      <w:divBdr>
        <w:top w:val="none" w:sz="0" w:space="0" w:color="auto"/>
        <w:left w:val="none" w:sz="0" w:space="0" w:color="auto"/>
        <w:bottom w:val="none" w:sz="0" w:space="0" w:color="auto"/>
        <w:right w:val="none" w:sz="0" w:space="0" w:color="auto"/>
      </w:divBdr>
    </w:div>
    <w:div w:id="796024698">
      <w:bodyDiv w:val="1"/>
      <w:marLeft w:val="0"/>
      <w:marRight w:val="0"/>
      <w:marTop w:val="0"/>
      <w:marBottom w:val="0"/>
      <w:divBdr>
        <w:top w:val="none" w:sz="0" w:space="0" w:color="auto"/>
        <w:left w:val="none" w:sz="0" w:space="0" w:color="auto"/>
        <w:bottom w:val="none" w:sz="0" w:space="0" w:color="auto"/>
        <w:right w:val="none" w:sz="0" w:space="0" w:color="auto"/>
      </w:divBdr>
    </w:div>
    <w:div w:id="797331963">
      <w:bodyDiv w:val="1"/>
      <w:marLeft w:val="0"/>
      <w:marRight w:val="0"/>
      <w:marTop w:val="0"/>
      <w:marBottom w:val="0"/>
      <w:divBdr>
        <w:top w:val="none" w:sz="0" w:space="0" w:color="auto"/>
        <w:left w:val="none" w:sz="0" w:space="0" w:color="auto"/>
        <w:bottom w:val="none" w:sz="0" w:space="0" w:color="auto"/>
        <w:right w:val="none" w:sz="0" w:space="0" w:color="auto"/>
      </w:divBdr>
    </w:div>
    <w:div w:id="798910945">
      <w:bodyDiv w:val="1"/>
      <w:marLeft w:val="0"/>
      <w:marRight w:val="0"/>
      <w:marTop w:val="0"/>
      <w:marBottom w:val="0"/>
      <w:divBdr>
        <w:top w:val="none" w:sz="0" w:space="0" w:color="auto"/>
        <w:left w:val="none" w:sz="0" w:space="0" w:color="auto"/>
        <w:bottom w:val="none" w:sz="0" w:space="0" w:color="auto"/>
        <w:right w:val="none" w:sz="0" w:space="0" w:color="auto"/>
      </w:divBdr>
    </w:div>
    <w:div w:id="799152752">
      <w:bodyDiv w:val="1"/>
      <w:marLeft w:val="0"/>
      <w:marRight w:val="0"/>
      <w:marTop w:val="0"/>
      <w:marBottom w:val="0"/>
      <w:divBdr>
        <w:top w:val="none" w:sz="0" w:space="0" w:color="auto"/>
        <w:left w:val="none" w:sz="0" w:space="0" w:color="auto"/>
        <w:bottom w:val="none" w:sz="0" w:space="0" w:color="auto"/>
        <w:right w:val="none" w:sz="0" w:space="0" w:color="auto"/>
      </w:divBdr>
    </w:div>
    <w:div w:id="799611739">
      <w:bodyDiv w:val="1"/>
      <w:marLeft w:val="0"/>
      <w:marRight w:val="0"/>
      <w:marTop w:val="0"/>
      <w:marBottom w:val="0"/>
      <w:divBdr>
        <w:top w:val="none" w:sz="0" w:space="0" w:color="auto"/>
        <w:left w:val="none" w:sz="0" w:space="0" w:color="auto"/>
        <w:bottom w:val="none" w:sz="0" w:space="0" w:color="auto"/>
        <w:right w:val="none" w:sz="0" w:space="0" w:color="auto"/>
      </w:divBdr>
    </w:div>
    <w:div w:id="800612562">
      <w:bodyDiv w:val="1"/>
      <w:marLeft w:val="0"/>
      <w:marRight w:val="0"/>
      <w:marTop w:val="0"/>
      <w:marBottom w:val="0"/>
      <w:divBdr>
        <w:top w:val="none" w:sz="0" w:space="0" w:color="auto"/>
        <w:left w:val="none" w:sz="0" w:space="0" w:color="auto"/>
        <w:bottom w:val="none" w:sz="0" w:space="0" w:color="auto"/>
        <w:right w:val="none" w:sz="0" w:space="0" w:color="auto"/>
      </w:divBdr>
    </w:div>
    <w:div w:id="800728962">
      <w:bodyDiv w:val="1"/>
      <w:marLeft w:val="0"/>
      <w:marRight w:val="0"/>
      <w:marTop w:val="0"/>
      <w:marBottom w:val="0"/>
      <w:divBdr>
        <w:top w:val="none" w:sz="0" w:space="0" w:color="auto"/>
        <w:left w:val="none" w:sz="0" w:space="0" w:color="auto"/>
        <w:bottom w:val="none" w:sz="0" w:space="0" w:color="auto"/>
        <w:right w:val="none" w:sz="0" w:space="0" w:color="auto"/>
      </w:divBdr>
    </w:div>
    <w:div w:id="800923462">
      <w:bodyDiv w:val="1"/>
      <w:marLeft w:val="0"/>
      <w:marRight w:val="0"/>
      <w:marTop w:val="0"/>
      <w:marBottom w:val="0"/>
      <w:divBdr>
        <w:top w:val="none" w:sz="0" w:space="0" w:color="auto"/>
        <w:left w:val="none" w:sz="0" w:space="0" w:color="auto"/>
        <w:bottom w:val="none" w:sz="0" w:space="0" w:color="auto"/>
        <w:right w:val="none" w:sz="0" w:space="0" w:color="auto"/>
      </w:divBdr>
      <w:divsChild>
        <w:div w:id="1410158025">
          <w:marLeft w:val="0"/>
          <w:marRight w:val="0"/>
          <w:marTop w:val="0"/>
          <w:marBottom w:val="0"/>
          <w:divBdr>
            <w:top w:val="none" w:sz="0" w:space="0" w:color="auto"/>
            <w:left w:val="none" w:sz="0" w:space="0" w:color="auto"/>
            <w:bottom w:val="none" w:sz="0" w:space="0" w:color="auto"/>
            <w:right w:val="none" w:sz="0" w:space="0" w:color="auto"/>
          </w:divBdr>
          <w:divsChild>
            <w:div w:id="41775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926116">
      <w:bodyDiv w:val="1"/>
      <w:marLeft w:val="0"/>
      <w:marRight w:val="0"/>
      <w:marTop w:val="0"/>
      <w:marBottom w:val="0"/>
      <w:divBdr>
        <w:top w:val="none" w:sz="0" w:space="0" w:color="auto"/>
        <w:left w:val="none" w:sz="0" w:space="0" w:color="auto"/>
        <w:bottom w:val="none" w:sz="0" w:space="0" w:color="auto"/>
        <w:right w:val="none" w:sz="0" w:space="0" w:color="auto"/>
      </w:divBdr>
    </w:div>
    <w:div w:id="801769619">
      <w:bodyDiv w:val="1"/>
      <w:marLeft w:val="0"/>
      <w:marRight w:val="0"/>
      <w:marTop w:val="0"/>
      <w:marBottom w:val="0"/>
      <w:divBdr>
        <w:top w:val="none" w:sz="0" w:space="0" w:color="auto"/>
        <w:left w:val="none" w:sz="0" w:space="0" w:color="auto"/>
        <w:bottom w:val="none" w:sz="0" w:space="0" w:color="auto"/>
        <w:right w:val="none" w:sz="0" w:space="0" w:color="auto"/>
      </w:divBdr>
    </w:div>
    <w:div w:id="801994392">
      <w:bodyDiv w:val="1"/>
      <w:marLeft w:val="0"/>
      <w:marRight w:val="0"/>
      <w:marTop w:val="0"/>
      <w:marBottom w:val="0"/>
      <w:divBdr>
        <w:top w:val="none" w:sz="0" w:space="0" w:color="auto"/>
        <w:left w:val="none" w:sz="0" w:space="0" w:color="auto"/>
        <w:bottom w:val="none" w:sz="0" w:space="0" w:color="auto"/>
        <w:right w:val="none" w:sz="0" w:space="0" w:color="auto"/>
      </w:divBdr>
    </w:div>
    <w:div w:id="802230513">
      <w:bodyDiv w:val="1"/>
      <w:marLeft w:val="0"/>
      <w:marRight w:val="0"/>
      <w:marTop w:val="0"/>
      <w:marBottom w:val="0"/>
      <w:divBdr>
        <w:top w:val="none" w:sz="0" w:space="0" w:color="auto"/>
        <w:left w:val="none" w:sz="0" w:space="0" w:color="auto"/>
        <w:bottom w:val="none" w:sz="0" w:space="0" w:color="auto"/>
        <w:right w:val="none" w:sz="0" w:space="0" w:color="auto"/>
      </w:divBdr>
    </w:div>
    <w:div w:id="802502444">
      <w:bodyDiv w:val="1"/>
      <w:marLeft w:val="0"/>
      <w:marRight w:val="0"/>
      <w:marTop w:val="0"/>
      <w:marBottom w:val="0"/>
      <w:divBdr>
        <w:top w:val="none" w:sz="0" w:space="0" w:color="auto"/>
        <w:left w:val="none" w:sz="0" w:space="0" w:color="auto"/>
        <w:bottom w:val="none" w:sz="0" w:space="0" w:color="auto"/>
        <w:right w:val="none" w:sz="0" w:space="0" w:color="auto"/>
      </w:divBdr>
    </w:div>
    <w:div w:id="802699865">
      <w:bodyDiv w:val="1"/>
      <w:marLeft w:val="0"/>
      <w:marRight w:val="0"/>
      <w:marTop w:val="0"/>
      <w:marBottom w:val="0"/>
      <w:divBdr>
        <w:top w:val="none" w:sz="0" w:space="0" w:color="auto"/>
        <w:left w:val="none" w:sz="0" w:space="0" w:color="auto"/>
        <w:bottom w:val="none" w:sz="0" w:space="0" w:color="auto"/>
        <w:right w:val="none" w:sz="0" w:space="0" w:color="auto"/>
      </w:divBdr>
    </w:div>
    <w:div w:id="802967908">
      <w:bodyDiv w:val="1"/>
      <w:marLeft w:val="0"/>
      <w:marRight w:val="0"/>
      <w:marTop w:val="0"/>
      <w:marBottom w:val="0"/>
      <w:divBdr>
        <w:top w:val="none" w:sz="0" w:space="0" w:color="auto"/>
        <w:left w:val="none" w:sz="0" w:space="0" w:color="auto"/>
        <w:bottom w:val="none" w:sz="0" w:space="0" w:color="auto"/>
        <w:right w:val="none" w:sz="0" w:space="0" w:color="auto"/>
      </w:divBdr>
    </w:div>
    <w:div w:id="803039872">
      <w:bodyDiv w:val="1"/>
      <w:marLeft w:val="0"/>
      <w:marRight w:val="0"/>
      <w:marTop w:val="0"/>
      <w:marBottom w:val="0"/>
      <w:divBdr>
        <w:top w:val="none" w:sz="0" w:space="0" w:color="auto"/>
        <w:left w:val="none" w:sz="0" w:space="0" w:color="auto"/>
        <w:bottom w:val="none" w:sz="0" w:space="0" w:color="auto"/>
        <w:right w:val="none" w:sz="0" w:space="0" w:color="auto"/>
      </w:divBdr>
    </w:div>
    <w:div w:id="803275690">
      <w:bodyDiv w:val="1"/>
      <w:marLeft w:val="0"/>
      <w:marRight w:val="0"/>
      <w:marTop w:val="0"/>
      <w:marBottom w:val="0"/>
      <w:divBdr>
        <w:top w:val="none" w:sz="0" w:space="0" w:color="auto"/>
        <w:left w:val="none" w:sz="0" w:space="0" w:color="auto"/>
        <w:bottom w:val="none" w:sz="0" w:space="0" w:color="auto"/>
        <w:right w:val="none" w:sz="0" w:space="0" w:color="auto"/>
      </w:divBdr>
    </w:div>
    <w:div w:id="803349333">
      <w:bodyDiv w:val="1"/>
      <w:marLeft w:val="0"/>
      <w:marRight w:val="0"/>
      <w:marTop w:val="0"/>
      <w:marBottom w:val="0"/>
      <w:divBdr>
        <w:top w:val="none" w:sz="0" w:space="0" w:color="auto"/>
        <w:left w:val="none" w:sz="0" w:space="0" w:color="auto"/>
        <w:bottom w:val="none" w:sz="0" w:space="0" w:color="auto"/>
        <w:right w:val="none" w:sz="0" w:space="0" w:color="auto"/>
      </w:divBdr>
    </w:div>
    <w:div w:id="803355407">
      <w:bodyDiv w:val="1"/>
      <w:marLeft w:val="0"/>
      <w:marRight w:val="0"/>
      <w:marTop w:val="0"/>
      <w:marBottom w:val="0"/>
      <w:divBdr>
        <w:top w:val="none" w:sz="0" w:space="0" w:color="auto"/>
        <w:left w:val="none" w:sz="0" w:space="0" w:color="auto"/>
        <w:bottom w:val="none" w:sz="0" w:space="0" w:color="auto"/>
        <w:right w:val="none" w:sz="0" w:space="0" w:color="auto"/>
      </w:divBdr>
    </w:div>
    <w:div w:id="804664075">
      <w:bodyDiv w:val="1"/>
      <w:marLeft w:val="0"/>
      <w:marRight w:val="0"/>
      <w:marTop w:val="0"/>
      <w:marBottom w:val="0"/>
      <w:divBdr>
        <w:top w:val="none" w:sz="0" w:space="0" w:color="auto"/>
        <w:left w:val="none" w:sz="0" w:space="0" w:color="auto"/>
        <w:bottom w:val="none" w:sz="0" w:space="0" w:color="auto"/>
        <w:right w:val="none" w:sz="0" w:space="0" w:color="auto"/>
      </w:divBdr>
    </w:div>
    <w:div w:id="805045388">
      <w:bodyDiv w:val="1"/>
      <w:marLeft w:val="0"/>
      <w:marRight w:val="0"/>
      <w:marTop w:val="0"/>
      <w:marBottom w:val="0"/>
      <w:divBdr>
        <w:top w:val="none" w:sz="0" w:space="0" w:color="auto"/>
        <w:left w:val="none" w:sz="0" w:space="0" w:color="auto"/>
        <w:bottom w:val="none" w:sz="0" w:space="0" w:color="auto"/>
        <w:right w:val="none" w:sz="0" w:space="0" w:color="auto"/>
      </w:divBdr>
    </w:div>
    <w:div w:id="805439341">
      <w:bodyDiv w:val="1"/>
      <w:marLeft w:val="0"/>
      <w:marRight w:val="0"/>
      <w:marTop w:val="0"/>
      <w:marBottom w:val="0"/>
      <w:divBdr>
        <w:top w:val="none" w:sz="0" w:space="0" w:color="auto"/>
        <w:left w:val="none" w:sz="0" w:space="0" w:color="auto"/>
        <w:bottom w:val="none" w:sz="0" w:space="0" w:color="auto"/>
        <w:right w:val="none" w:sz="0" w:space="0" w:color="auto"/>
      </w:divBdr>
    </w:div>
    <w:div w:id="806044269">
      <w:bodyDiv w:val="1"/>
      <w:marLeft w:val="0"/>
      <w:marRight w:val="0"/>
      <w:marTop w:val="0"/>
      <w:marBottom w:val="0"/>
      <w:divBdr>
        <w:top w:val="none" w:sz="0" w:space="0" w:color="auto"/>
        <w:left w:val="none" w:sz="0" w:space="0" w:color="auto"/>
        <w:bottom w:val="none" w:sz="0" w:space="0" w:color="auto"/>
        <w:right w:val="none" w:sz="0" w:space="0" w:color="auto"/>
      </w:divBdr>
    </w:div>
    <w:div w:id="806436117">
      <w:bodyDiv w:val="1"/>
      <w:marLeft w:val="0"/>
      <w:marRight w:val="0"/>
      <w:marTop w:val="0"/>
      <w:marBottom w:val="0"/>
      <w:divBdr>
        <w:top w:val="none" w:sz="0" w:space="0" w:color="auto"/>
        <w:left w:val="none" w:sz="0" w:space="0" w:color="auto"/>
        <w:bottom w:val="none" w:sz="0" w:space="0" w:color="auto"/>
        <w:right w:val="none" w:sz="0" w:space="0" w:color="auto"/>
      </w:divBdr>
    </w:div>
    <w:div w:id="807208550">
      <w:bodyDiv w:val="1"/>
      <w:marLeft w:val="0"/>
      <w:marRight w:val="0"/>
      <w:marTop w:val="0"/>
      <w:marBottom w:val="0"/>
      <w:divBdr>
        <w:top w:val="none" w:sz="0" w:space="0" w:color="auto"/>
        <w:left w:val="none" w:sz="0" w:space="0" w:color="auto"/>
        <w:bottom w:val="none" w:sz="0" w:space="0" w:color="auto"/>
        <w:right w:val="none" w:sz="0" w:space="0" w:color="auto"/>
      </w:divBdr>
    </w:div>
    <w:div w:id="807555197">
      <w:bodyDiv w:val="1"/>
      <w:marLeft w:val="0"/>
      <w:marRight w:val="0"/>
      <w:marTop w:val="0"/>
      <w:marBottom w:val="0"/>
      <w:divBdr>
        <w:top w:val="none" w:sz="0" w:space="0" w:color="auto"/>
        <w:left w:val="none" w:sz="0" w:space="0" w:color="auto"/>
        <w:bottom w:val="none" w:sz="0" w:space="0" w:color="auto"/>
        <w:right w:val="none" w:sz="0" w:space="0" w:color="auto"/>
      </w:divBdr>
    </w:div>
    <w:div w:id="807556024">
      <w:bodyDiv w:val="1"/>
      <w:marLeft w:val="0"/>
      <w:marRight w:val="0"/>
      <w:marTop w:val="0"/>
      <w:marBottom w:val="0"/>
      <w:divBdr>
        <w:top w:val="none" w:sz="0" w:space="0" w:color="auto"/>
        <w:left w:val="none" w:sz="0" w:space="0" w:color="auto"/>
        <w:bottom w:val="none" w:sz="0" w:space="0" w:color="auto"/>
        <w:right w:val="none" w:sz="0" w:space="0" w:color="auto"/>
      </w:divBdr>
    </w:div>
    <w:div w:id="807744768">
      <w:bodyDiv w:val="1"/>
      <w:marLeft w:val="0"/>
      <w:marRight w:val="0"/>
      <w:marTop w:val="0"/>
      <w:marBottom w:val="0"/>
      <w:divBdr>
        <w:top w:val="none" w:sz="0" w:space="0" w:color="auto"/>
        <w:left w:val="none" w:sz="0" w:space="0" w:color="auto"/>
        <w:bottom w:val="none" w:sz="0" w:space="0" w:color="auto"/>
        <w:right w:val="none" w:sz="0" w:space="0" w:color="auto"/>
      </w:divBdr>
    </w:div>
    <w:div w:id="808210360">
      <w:bodyDiv w:val="1"/>
      <w:marLeft w:val="0"/>
      <w:marRight w:val="0"/>
      <w:marTop w:val="0"/>
      <w:marBottom w:val="0"/>
      <w:divBdr>
        <w:top w:val="none" w:sz="0" w:space="0" w:color="auto"/>
        <w:left w:val="none" w:sz="0" w:space="0" w:color="auto"/>
        <w:bottom w:val="none" w:sz="0" w:space="0" w:color="auto"/>
        <w:right w:val="none" w:sz="0" w:space="0" w:color="auto"/>
      </w:divBdr>
    </w:div>
    <w:div w:id="808598747">
      <w:bodyDiv w:val="1"/>
      <w:marLeft w:val="0"/>
      <w:marRight w:val="0"/>
      <w:marTop w:val="0"/>
      <w:marBottom w:val="0"/>
      <w:divBdr>
        <w:top w:val="none" w:sz="0" w:space="0" w:color="auto"/>
        <w:left w:val="none" w:sz="0" w:space="0" w:color="auto"/>
        <w:bottom w:val="none" w:sz="0" w:space="0" w:color="auto"/>
        <w:right w:val="none" w:sz="0" w:space="0" w:color="auto"/>
      </w:divBdr>
    </w:div>
    <w:div w:id="808788162">
      <w:bodyDiv w:val="1"/>
      <w:marLeft w:val="0"/>
      <w:marRight w:val="0"/>
      <w:marTop w:val="0"/>
      <w:marBottom w:val="0"/>
      <w:divBdr>
        <w:top w:val="none" w:sz="0" w:space="0" w:color="auto"/>
        <w:left w:val="none" w:sz="0" w:space="0" w:color="auto"/>
        <w:bottom w:val="none" w:sz="0" w:space="0" w:color="auto"/>
        <w:right w:val="none" w:sz="0" w:space="0" w:color="auto"/>
      </w:divBdr>
    </w:div>
    <w:div w:id="809057687">
      <w:bodyDiv w:val="1"/>
      <w:marLeft w:val="0"/>
      <w:marRight w:val="0"/>
      <w:marTop w:val="0"/>
      <w:marBottom w:val="0"/>
      <w:divBdr>
        <w:top w:val="none" w:sz="0" w:space="0" w:color="auto"/>
        <w:left w:val="none" w:sz="0" w:space="0" w:color="auto"/>
        <w:bottom w:val="none" w:sz="0" w:space="0" w:color="auto"/>
        <w:right w:val="none" w:sz="0" w:space="0" w:color="auto"/>
      </w:divBdr>
    </w:div>
    <w:div w:id="809329444">
      <w:bodyDiv w:val="1"/>
      <w:marLeft w:val="0"/>
      <w:marRight w:val="0"/>
      <w:marTop w:val="0"/>
      <w:marBottom w:val="0"/>
      <w:divBdr>
        <w:top w:val="none" w:sz="0" w:space="0" w:color="auto"/>
        <w:left w:val="none" w:sz="0" w:space="0" w:color="auto"/>
        <w:bottom w:val="none" w:sz="0" w:space="0" w:color="auto"/>
        <w:right w:val="none" w:sz="0" w:space="0" w:color="auto"/>
      </w:divBdr>
    </w:div>
    <w:div w:id="809597416">
      <w:bodyDiv w:val="1"/>
      <w:marLeft w:val="0"/>
      <w:marRight w:val="0"/>
      <w:marTop w:val="0"/>
      <w:marBottom w:val="0"/>
      <w:divBdr>
        <w:top w:val="none" w:sz="0" w:space="0" w:color="auto"/>
        <w:left w:val="none" w:sz="0" w:space="0" w:color="auto"/>
        <w:bottom w:val="none" w:sz="0" w:space="0" w:color="auto"/>
        <w:right w:val="none" w:sz="0" w:space="0" w:color="auto"/>
      </w:divBdr>
    </w:div>
    <w:div w:id="809598317">
      <w:bodyDiv w:val="1"/>
      <w:marLeft w:val="0"/>
      <w:marRight w:val="0"/>
      <w:marTop w:val="0"/>
      <w:marBottom w:val="0"/>
      <w:divBdr>
        <w:top w:val="none" w:sz="0" w:space="0" w:color="auto"/>
        <w:left w:val="none" w:sz="0" w:space="0" w:color="auto"/>
        <w:bottom w:val="none" w:sz="0" w:space="0" w:color="auto"/>
        <w:right w:val="none" w:sz="0" w:space="0" w:color="auto"/>
      </w:divBdr>
    </w:div>
    <w:div w:id="809633738">
      <w:bodyDiv w:val="1"/>
      <w:marLeft w:val="0"/>
      <w:marRight w:val="0"/>
      <w:marTop w:val="0"/>
      <w:marBottom w:val="0"/>
      <w:divBdr>
        <w:top w:val="none" w:sz="0" w:space="0" w:color="auto"/>
        <w:left w:val="none" w:sz="0" w:space="0" w:color="auto"/>
        <w:bottom w:val="none" w:sz="0" w:space="0" w:color="auto"/>
        <w:right w:val="none" w:sz="0" w:space="0" w:color="auto"/>
      </w:divBdr>
    </w:div>
    <w:div w:id="809982512">
      <w:bodyDiv w:val="1"/>
      <w:marLeft w:val="0"/>
      <w:marRight w:val="0"/>
      <w:marTop w:val="0"/>
      <w:marBottom w:val="0"/>
      <w:divBdr>
        <w:top w:val="none" w:sz="0" w:space="0" w:color="auto"/>
        <w:left w:val="none" w:sz="0" w:space="0" w:color="auto"/>
        <w:bottom w:val="none" w:sz="0" w:space="0" w:color="auto"/>
        <w:right w:val="none" w:sz="0" w:space="0" w:color="auto"/>
      </w:divBdr>
    </w:div>
    <w:div w:id="810052210">
      <w:bodyDiv w:val="1"/>
      <w:marLeft w:val="0"/>
      <w:marRight w:val="0"/>
      <w:marTop w:val="0"/>
      <w:marBottom w:val="0"/>
      <w:divBdr>
        <w:top w:val="none" w:sz="0" w:space="0" w:color="auto"/>
        <w:left w:val="none" w:sz="0" w:space="0" w:color="auto"/>
        <w:bottom w:val="none" w:sz="0" w:space="0" w:color="auto"/>
        <w:right w:val="none" w:sz="0" w:space="0" w:color="auto"/>
      </w:divBdr>
    </w:div>
    <w:div w:id="810098181">
      <w:bodyDiv w:val="1"/>
      <w:marLeft w:val="0"/>
      <w:marRight w:val="0"/>
      <w:marTop w:val="0"/>
      <w:marBottom w:val="0"/>
      <w:divBdr>
        <w:top w:val="none" w:sz="0" w:space="0" w:color="auto"/>
        <w:left w:val="none" w:sz="0" w:space="0" w:color="auto"/>
        <w:bottom w:val="none" w:sz="0" w:space="0" w:color="auto"/>
        <w:right w:val="none" w:sz="0" w:space="0" w:color="auto"/>
      </w:divBdr>
    </w:div>
    <w:div w:id="810173628">
      <w:bodyDiv w:val="1"/>
      <w:marLeft w:val="0"/>
      <w:marRight w:val="0"/>
      <w:marTop w:val="0"/>
      <w:marBottom w:val="0"/>
      <w:divBdr>
        <w:top w:val="none" w:sz="0" w:space="0" w:color="auto"/>
        <w:left w:val="none" w:sz="0" w:space="0" w:color="auto"/>
        <w:bottom w:val="none" w:sz="0" w:space="0" w:color="auto"/>
        <w:right w:val="none" w:sz="0" w:space="0" w:color="auto"/>
      </w:divBdr>
    </w:div>
    <w:div w:id="810750608">
      <w:bodyDiv w:val="1"/>
      <w:marLeft w:val="0"/>
      <w:marRight w:val="0"/>
      <w:marTop w:val="0"/>
      <w:marBottom w:val="0"/>
      <w:divBdr>
        <w:top w:val="none" w:sz="0" w:space="0" w:color="auto"/>
        <w:left w:val="none" w:sz="0" w:space="0" w:color="auto"/>
        <w:bottom w:val="none" w:sz="0" w:space="0" w:color="auto"/>
        <w:right w:val="none" w:sz="0" w:space="0" w:color="auto"/>
      </w:divBdr>
    </w:div>
    <w:div w:id="811753317">
      <w:bodyDiv w:val="1"/>
      <w:marLeft w:val="0"/>
      <w:marRight w:val="0"/>
      <w:marTop w:val="0"/>
      <w:marBottom w:val="0"/>
      <w:divBdr>
        <w:top w:val="none" w:sz="0" w:space="0" w:color="auto"/>
        <w:left w:val="none" w:sz="0" w:space="0" w:color="auto"/>
        <w:bottom w:val="none" w:sz="0" w:space="0" w:color="auto"/>
        <w:right w:val="none" w:sz="0" w:space="0" w:color="auto"/>
      </w:divBdr>
    </w:div>
    <w:div w:id="811825414">
      <w:bodyDiv w:val="1"/>
      <w:marLeft w:val="0"/>
      <w:marRight w:val="0"/>
      <w:marTop w:val="0"/>
      <w:marBottom w:val="0"/>
      <w:divBdr>
        <w:top w:val="none" w:sz="0" w:space="0" w:color="auto"/>
        <w:left w:val="none" w:sz="0" w:space="0" w:color="auto"/>
        <w:bottom w:val="none" w:sz="0" w:space="0" w:color="auto"/>
        <w:right w:val="none" w:sz="0" w:space="0" w:color="auto"/>
      </w:divBdr>
    </w:div>
    <w:div w:id="812798048">
      <w:bodyDiv w:val="1"/>
      <w:marLeft w:val="0"/>
      <w:marRight w:val="0"/>
      <w:marTop w:val="0"/>
      <w:marBottom w:val="0"/>
      <w:divBdr>
        <w:top w:val="none" w:sz="0" w:space="0" w:color="auto"/>
        <w:left w:val="none" w:sz="0" w:space="0" w:color="auto"/>
        <w:bottom w:val="none" w:sz="0" w:space="0" w:color="auto"/>
        <w:right w:val="none" w:sz="0" w:space="0" w:color="auto"/>
      </w:divBdr>
    </w:div>
    <w:div w:id="812867029">
      <w:bodyDiv w:val="1"/>
      <w:marLeft w:val="0"/>
      <w:marRight w:val="0"/>
      <w:marTop w:val="0"/>
      <w:marBottom w:val="0"/>
      <w:divBdr>
        <w:top w:val="none" w:sz="0" w:space="0" w:color="auto"/>
        <w:left w:val="none" w:sz="0" w:space="0" w:color="auto"/>
        <w:bottom w:val="none" w:sz="0" w:space="0" w:color="auto"/>
        <w:right w:val="none" w:sz="0" w:space="0" w:color="auto"/>
      </w:divBdr>
    </w:div>
    <w:div w:id="812916782">
      <w:bodyDiv w:val="1"/>
      <w:marLeft w:val="0"/>
      <w:marRight w:val="0"/>
      <w:marTop w:val="0"/>
      <w:marBottom w:val="0"/>
      <w:divBdr>
        <w:top w:val="none" w:sz="0" w:space="0" w:color="auto"/>
        <w:left w:val="none" w:sz="0" w:space="0" w:color="auto"/>
        <w:bottom w:val="none" w:sz="0" w:space="0" w:color="auto"/>
        <w:right w:val="none" w:sz="0" w:space="0" w:color="auto"/>
      </w:divBdr>
    </w:div>
    <w:div w:id="813372356">
      <w:bodyDiv w:val="1"/>
      <w:marLeft w:val="0"/>
      <w:marRight w:val="0"/>
      <w:marTop w:val="0"/>
      <w:marBottom w:val="0"/>
      <w:divBdr>
        <w:top w:val="none" w:sz="0" w:space="0" w:color="auto"/>
        <w:left w:val="none" w:sz="0" w:space="0" w:color="auto"/>
        <w:bottom w:val="none" w:sz="0" w:space="0" w:color="auto"/>
        <w:right w:val="none" w:sz="0" w:space="0" w:color="auto"/>
      </w:divBdr>
    </w:div>
    <w:div w:id="813958381">
      <w:bodyDiv w:val="1"/>
      <w:marLeft w:val="0"/>
      <w:marRight w:val="0"/>
      <w:marTop w:val="0"/>
      <w:marBottom w:val="0"/>
      <w:divBdr>
        <w:top w:val="none" w:sz="0" w:space="0" w:color="auto"/>
        <w:left w:val="none" w:sz="0" w:space="0" w:color="auto"/>
        <w:bottom w:val="none" w:sz="0" w:space="0" w:color="auto"/>
        <w:right w:val="none" w:sz="0" w:space="0" w:color="auto"/>
      </w:divBdr>
    </w:div>
    <w:div w:id="814251973">
      <w:bodyDiv w:val="1"/>
      <w:marLeft w:val="0"/>
      <w:marRight w:val="0"/>
      <w:marTop w:val="0"/>
      <w:marBottom w:val="0"/>
      <w:divBdr>
        <w:top w:val="none" w:sz="0" w:space="0" w:color="auto"/>
        <w:left w:val="none" w:sz="0" w:space="0" w:color="auto"/>
        <w:bottom w:val="none" w:sz="0" w:space="0" w:color="auto"/>
        <w:right w:val="none" w:sz="0" w:space="0" w:color="auto"/>
      </w:divBdr>
    </w:div>
    <w:div w:id="815226664">
      <w:bodyDiv w:val="1"/>
      <w:marLeft w:val="0"/>
      <w:marRight w:val="0"/>
      <w:marTop w:val="0"/>
      <w:marBottom w:val="0"/>
      <w:divBdr>
        <w:top w:val="none" w:sz="0" w:space="0" w:color="auto"/>
        <w:left w:val="none" w:sz="0" w:space="0" w:color="auto"/>
        <w:bottom w:val="none" w:sz="0" w:space="0" w:color="auto"/>
        <w:right w:val="none" w:sz="0" w:space="0" w:color="auto"/>
      </w:divBdr>
    </w:div>
    <w:div w:id="817189349">
      <w:bodyDiv w:val="1"/>
      <w:marLeft w:val="0"/>
      <w:marRight w:val="0"/>
      <w:marTop w:val="0"/>
      <w:marBottom w:val="0"/>
      <w:divBdr>
        <w:top w:val="none" w:sz="0" w:space="0" w:color="auto"/>
        <w:left w:val="none" w:sz="0" w:space="0" w:color="auto"/>
        <w:bottom w:val="none" w:sz="0" w:space="0" w:color="auto"/>
        <w:right w:val="none" w:sz="0" w:space="0" w:color="auto"/>
      </w:divBdr>
    </w:div>
    <w:div w:id="817838762">
      <w:bodyDiv w:val="1"/>
      <w:marLeft w:val="0"/>
      <w:marRight w:val="0"/>
      <w:marTop w:val="0"/>
      <w:marBottom w:val="0"/>
      <w:divBdr>
        <w:top w:val="none" w:sz="0" w:space="0" w:color="auto"/>
        <w:left w:val="none" w:sz="0" w:space="0" w:color="auto"/>
        <w:bottom w:val="none" w:sz="0" w:space="0" w:color="auto"/>
        <w:right w:val="none" w:sz="0" w:space="0" w:color="auto"/>
      </w:divBdr>
    </w:div>
    <w:div w:id="818036735">
      <w:marLeft w:val="0"/>
      <w:marRight w:val="0"/>
      <w:marTop w:val="0"/>
      <w:marBottom w:val="0"/>
      <w:divBdr>
        <w:top w:val="none" w:sz="0" w:space="0" w:color="auto"/>
        <w:left w:val="none" w:sz="0" w:space="0" w:color="auto"/>
        <w:bottom w:val="none" w:sz="0" w:space="0" w:color="auto"/>
        <w:right w:val="none" w:sz="0" w:space="0" w:color="auto"/>
      </w:divBdr>
    </w:div>
    <w:div w:id="818306256">
      <w:bodyDiv w:val="1"/>
      <w:marLeft w:val="0"/>
      <w:marRight w:val="0"/>
      <w:marTop w:val="0"/>
      <w:marBottom w:val="0"/>
      <w:divBdr>
        <w:top w:val="none" w:sz="0" w:space="0" w:color="auto"/>
        <w:left w:val="none" w:sz="0" w:space="0" w:color="auto"/>
        <w:bottom w:val="none" w:sz="0" w:space="0" w:color="auto"/>
        <w:right w:val="none" w:sz="0" w:space="0" w:color="auto"/>
      </w:divBdr>
    </w:div>
    <w:div w:id="818376260">
      <w:bodyDiv w:val="1"/>
      <w:marLeft w:val="0"/>
      <w:marRight w:val="0"/>
      <w:marTop w:val="0"/>
      <w:marBottom w:val="0"/>
      <w:divBdr>
        <w:top w:val="none" w:sz="0" w:space="0" w:color="auto"/>
        <w:left w:val="none" w:sz="0" w:space="0" w:color="auto"/>
        <w:bottom w:val="none" w:sz="0" w:space="0" w:color="auto"/>
        <w:right w:val="none" w:sz="0" w:space="0" w:color="auto"/>
      </w:divBdr>
    </w:div>
    <w:div w:id="819538650">
      <w:bodyDiv w:val="1"/>
      <w:marLeft w:val="0"/>
      <w:marRight w:val="0"/>
      <w:marTop w:val="0"/>
      <w:marBottom w:val="0"/>
      <w:divBdr>
        <w:top w:val="none" w:sz="0" w:space="0" w:color="auto"/>
        <w:left w:val="none" w:sz="0" w:space="0" w:color="auto"/>
        <w:bottom w:val="none" w:sz="0" w:space="0" w:color="auto"/>
        <w:right w:val="none" w:sz="0" w:space="0" w:color="auto"/>
      </w:divBdr>
    </w:div>
    <w:div w:id="819729181">
      <w:bodyDiv w:val="1"/>
      <w:marLeft w:val="0"/>
      <w:marRight w:val="0"/>
      <w:marTop w:val="0"/>
      <w:marBottom w:val="0"/>
      <w:divBdr>
        <w:top w:val="none" w:sz="0" w:space="0" w:color="auto"/>
        <w:left w:val="none" w:sz="0" w:space="0" w:color="auto"/>
        <w:bottom w:val="none" w:sz="0" w:space="0" w:color="auto"/>
        <w:right w:val="none" w:sz="0" w:space="0" w:color="auto"/>
      </w:divBdr>
    </w:div>
    <w:div w:id="820073146">
      <w:bodyDiv w:val="1"/>
      <w:marLeft w:val="0"/>
      <w:marRight w:val="0"/>
      <w:marTop w:val="0"/>
      <w:marBottom w:val="0"/>
      <w:divBdr>
        <w:top w:val="none" w:sz="0" w:space="0" w:color="auto"/>
        <w:left w:val="none" w:sz="0" w:space="0" w:color="auto"/>
        <w:bottom w:val="none" w:sz="0" w:space="0" w:color="auto"/>
        <w:right w:val="none" w:sz="0" w:space="0" w:color="auto"/>
      </w:divBdr>
    </w:div>
    <w:div w:id="820148274">
      <w:bodyDiv w:val="1"/>
      <w:marLeft w:val="0"/>
      <w:marRight w:val="0"/>
      <w:marTop w:val="0"/>
      <w:marBottom w:val="0"/>
      <w:divBdr>
        <w:top w:val="none" w:sz="0" w:space="0" w:color="auto"/>
        <w:left w:val="none" w:sz="0" w:space="0" w:color="auto"/>
        <w:bottom w:val="none" w:sz="0" w:space="0" w:color="auto"/>
        <w:right w:val="none" w:sz="0" w:space="0" w:color="auto"/>
      </w:divBdr>
    </w:div>
    <w:div w:id="820658774">
      <w:bodyDiv w:val="1"/>
      <w:marLeft w:val="0"/>
      <w:marRight w:val="0"/>
      <w:marTop w:val="0"/>
      <w:marBottom w:val="0"/>
      <w:divBdr>
        <w:top w:val="none" w:sz="0" w:space="0" w:color="auto"/>
        <w:left w:val="none" w:sz="0" w:space="0" w:color="auto"/>
        <w:bottom w:val="none" w:sz="0" w:space="0" w:color="auto"/>
        <w:right w:val="none" w:sz="0" w:space="0" w:color="auto"/>
      </w:divBdr>
    </w:div>
    <w:div w:id="821192330">
      <w:bodyDiv w:val="1"/>
      <w:marLeft w:val="0"/>
      <w:marRight w:val="0"/>
      <w:marTop w:val="0"/>
      <w:marBottom w:val="0"/>
      <w:divBdr>
        <w:top w:val="none" w:sz="0" w:space="0" w:color="auto"/>
        <w:left w:val="none" w:sz="0" w:space="0" w:color="auto"/>
        <w:bottom w:val="none" w:sz="0" w:space="0" w:color="auto"/>
        <w:right w:val="none" w:sz="0" w:space="0" w:color="auto"/>
      </w:divBdr>
    </w:div>
    <w:div w:id="821197574">
      <w:bodyDiv w:val="1"/>
      <w:marLeft w:val="0"/>
      <w:marRight w:val="0"/>
      <w:marTop w:val="0"/>
      <w:marBottom w:val="0"/>
      <w:divBdr>
        <w:top w:val="none" w:sz="0" w:space="0" w:color="auto"/>
        <w:left w:val="none" w:sz="0" w:space="0" w:color="auto"/>
        <w:bottom w:val="none" w:sz="0" w:space="0" w:color="auto"/>
        <w:right w:val="none" w:sz="0" w:space="0" w:color="auto"/>
      </w:divBdr>
    </w:div>
    <w:div w:id="822308654">
      <w:bodyDiv w:val="1"/>
      <w:marLeft w:val="0"/>
      <w:marRight w:val="0"/>
      <w:marTop w:val="0"/>
      <w:marBottom w:val="0"/>
      <w:divBdr>
        <w:top w:val="none" w:sz="0" w:space="0" w:color="auto"/>
        <w:left w:val="none" w:sz="0" w:space="0" w:color="auto"/>
        <w:bottom w:val="none" w:sz="0" w:space="0" w:color="auto"/>
        <w:right w:val="none" w:sz="0" w:space="0" w:color="auto"/>
      </w:divBdr>
    </w:div>
    <w:div w:id="823279733">
      <w:bodyDiv w:val="1"/>
      <w:marLeft w:val="0"/>
      <w:marRight w:val="0"/>
      <w:marTop w:val="0"/>
      <w:marBottom w:val="0"/>
      <w:divBdr>
        <w:top w:val="none" w:sz="0" w:space="0" w:color="auto"/>
        <w:left w:val="none" w:sz="0" w:space="0" w:color="auto"/>
        <w:bottom w:val="none" w:sz="0" w:space="0" w:color="auto"/>
        <w:right w:val="none" w:sz="0" w:space="0" w:color="auto"/>
      </w:divBdr>
    </w:div>
    <w:div w:id="823667961">
      <w:bodyDiv w:val="1"/>
      <w:marLeft w:val="0"/>
      <w:marRight w:val="0"/>
      <w:marTop w:val="0"/>
      <w:marBottom w:val="0"/>
      <w:divBdr>
        <w:top w:val="none" w:sz="0" w:space="0" w:color="auto"/>
        <w:left w:val="none" w:sz="0" w:space="0" w:color="auto"/>
        <w:bottom w:val="none" w:sz="0" w:space="0" w:color="auto"/>
        <w:right w:val="none" w:sz="0" w:space="0" w:color="auto"/>
      </w:divBdr>
    </w:div>
    <w:div w:id="824200072">
      <w:bodyDiv w:val="1"/>
      <w:marLeft w:val="0"/>
      <w:marRight w:val="0"/>
      <w:marTop w:val="0"/>
      <w:marBottom w:val="0"/>
      <w:divBdr>
        <w:top w:val="none" w:sz="0" w:space="0" w:color="auto"/>
        <w:left w:val="none" w:sz="0" w:space="0" w:color="auto"/>
        <w:bottom w:val="none" w:sz="0" w:space="0" w:color="auto"/>
        <w:right w:val="none" w:sz="0" w:space="0" w:color="auto"/>
      </w:divBdr>
    </w:div>
    <w:div w:id="824323588">
      <w:bodyDiv w:val="1"/>
      <w:marLeft w:val="0"/>
      <w:marRight w:val="0"/>
      <w:marTop w:val="0"/>
      <w:marBottom w:val="0"/>
      <w:divBdr>
        <w:top w:val="none" w:sz="0" w:space="0" w:color="auto"/>
        <w:left w:val="none" w:sz="0" w:space="0" w:color="auto"/>
        <w:bottom w:val="none" w:sz="0" w:space="0" w:color="auto"/>
        <w:right w:val="none" w:sz="0" w:space="0" w:color="auto"/>
      </w:divBdr>
    </w:div>
    <w:div w:id="824780244">
      <w:bodyDiv w:val="1"/>
      <w:marLeft w:val="0"/>
      <w:marRight w:val="0"/>
      <w:marTop w:val="0"/>
      <w:marBottom w:val="0"/>
      <w:divBdr>
        <w:top w:val="none" w:sz="0" w:space="0" w:color="auto"/>
        <w:left w:val="none" w:sz="0" w:space="0" w:color="auto"/>
        <w:bottom w:val="none" w:sz="0" w:space="0" w:color="auto"/>
        <w:right w:val="none" w:sz="0" w:space="0" w:color="auto"/>
      </w:divBdr>
    </w:div>
    <w:div w:id="825517946">
      <w:bodyDiv w:val="1"/>
      <w:marLeft w:val="0"/>
      <w:marRight w:val="0"/>
      <w:marTop w:val="0"/>
      <w:marBottom w:val="0"/>
      <w:divBdr>
        <w:top w:val="none" w:sz="0" w:space="0" w:color="auto"/>
        <w:left w:val="none" w:sz="0" w:space="0" w:color="auto"/>
        <w:bottom w:val="none" w:sz="0" w:space="0" w:color="auto"/>
        <w:right w:val="none" w:sz="0" w:space="0" w:color="auto"/>
      </w:divBdr>
    </w:div>
    <w:div w:id="825628111">
      <w:bodyDiv w:val="1"/>
      <w:marLeft w:val="0"/>
      <w:marRight w:val="0"/>
      <w:marTop w:val="0"/>
      <w:marBottom w:val="0"/>
      <w:divBdr>
        <w:top w:val="none" w:sz="0" w:space="0" w:color="auto"/>
        <w:left w:val="none" w:sz="0" w:space="0" w:color="auto"/>
        <w:bottom w:val="none" w:sz="0" w:space="0" w:color="auto"/>
        <w:right w:val="none" w:sz="0" w:space="0" w:color="auto"/>
      </w:divBdr>
    </w:div>
    <w:div w:id="826168900">
      <w:bodyDiv w:val="1"/>
      <w:marLeft w:val="0"/>
      <w:marRight w:val="0"/>
      <w:marTop w:val="0"/>
      <w:marBottom w:val="0"/>
      <w:divBdr>
        <w:top w:val="none" w:sz="0" w:space="0" w:color="auto"/>
        <w:left w:val="none" w:sz="0" w:space="0" w:color="auto"/>
        <w:bottom w:val="none" w:sz="0" w:space="0" w:color="auto"/>
        <w:right w:val="none" w:sz="0" w:space="0" w:color="auto"/>
      </w:divBdr>
    </w:div>
    <w:div w:id="826290758">
      <w:bodyDiv w:val="1"/>
      <w:marLeft w:val="0"/>
      <w:marRight w:val="0"/>
      <w:marTop w:val="0"/>
      <w:marBottom w:val="0"/>
      <w:divBdr>
        <w:top w:val="none" w:sz="0" w:space="0" w:color="auto"/>
        <w:left w:val="none" w:sz="0" w:space="0" w:color="auto"/>
        <w:bottom w:val="none" w:sz="0" w:space="0" w:color="auto"/>
        <w:right w:val="none" w:sz="0" w:space="0" w:color="auto"/>
      </w:divBdr>
    </w:div>
    <w:div w:id="826436725">
      <w:bodyDiv w:val="1"/>
      <w:marLeft w:val="0"/>
      <w:marRight w:val="0"/>
      <w:marTop w:val="0"/>
      <w:marBottom w:val="0"/>
      <w:divBdr>
        <w:top w:val="none" w:sz="0" w:space="0" w:color="auto"/>
        <w:left w:val="none" w:sz="0" w:space="0" w:color="auto"/>
        <w:bottom w:val="none" w:sz="0" w:space="0" w:color="auto"/>
        <w:right w:val="none" w:sz="0" w:space="0" w:color="auto"/>
      </w:divBdr>
    </w:div>
    <w:div w:id="827019976">
      <w:bodyDiv w:val="1"/>
      <w:marLeft w:val="0"/>
      <w:marRight w:val="0"/>
      <w:marTop w:val="0"/>
      <w:marBottom w:val="0"/>
      <w:divBdr>
        <w:top w:val="none" w:sz="0" w:space="0" w:color="auto"/>
        <w:left w:val="none" w:sz="0" w:space="0" w:color="auto"/>
        <w:bottom w:val="none" w:sz="0" w:space="0" w:color="auto"/>
        <w:right w:val="none" w:sz="0" w:space="0" w:color="auto"/>
      </w:divBdr>
    </w:div>
    <w:div w:id="827132014">
      <w:bodyDiv w:val="1"/>
      <w:marLeft w:val="0"/>
      <w:marRight w:val="0"/>
      <w:marTop w:val="0"/>
      <w:marBottom w:val="0"/>
      <w:divBdr>
        <w:top w:val="none" w:sz="0" w:space="0" w:color="auto"/>
        <w:left w:val="none" w:sz="0" w:space="0" w:color="auto"/>
        <w:bottom w:val="none" w:sz="0" w:space="0" w:color="auto"/>
        <w:right w:val="none" w:sz="0" w:space="0" w:color="auto"/>
      </w:divBdr>
    </w:div>
    <w:div w:id="827675193">
      <w:bodyDiv w:val="1"/>
      <w:marLeft w:val="0"/>
      <w:marRight w:val="0"/>
      <w:marTop w:val="0"/>
      <w:marBottom w:val="0"/>
      <w:divBdr>
        <w:top w:val="none" w:sz="0" w:space="0" w:color="auto"/>
        <w:left w:val="none" w:sz="0" w:space="0" w:color="auto"/>
        <w:bottom w:val="none" w:sz="0" w:space="0" w:color="auto"/>
        <w:right w:val="none" w:sz="0" w:space="0" w:color="auto"/>
      </w:divBdr>
    </w:div>
    <w:div w:id="827752231">
      <w:bodyDiv w:val="1"/>
      <w:marLeft w:val="0"/>
      <w:marRight w:val="0"/>
      <w:marTop w:val="0"/>
      <w:marBottom w:val="0"/>
      <w:divBdr>
        <w:top w:val="none" w:sz="0" w:space="0" w:color="auto"/>
        <w:left w:val="none" w:sz="0" w:space="0" w:color="auto"/>
        <w:bottom w:val="none" w:sz="0" w:space="0" w:color="auto"/>
        <w:right w:val="none" w:sz="0" w:space="0" w:color="auto"/>
      </w:divBdr>
    </w:div>
    <w:div w:id="827791062">
      <w:bodyDiv w:val="1"/>
      <w:marLeft w:val="0"/>
      <w:marRight w:val="0"/>
      <w:marTop w:val="0"/>
      <w:marBottom w:val="0"/>
      <w:divBdr>
        <w:top w:val="none" w:sz="0" w:space="0" w:color="auto"/>
        <w:left w:val="none" w:sz="0" w:space="0" w:color="auto"/>
        <w:bottom w:val="none" w:sz="0" w:space="0" w:color="auto"/>
        <w:right w:val="none" w:sz="0" w:space="0" w:color="auto"/>
      </w:divBdr>
    </w:div>
    <w:div w:id="827942414">
      <w:bodyDiv w:val="1"/>
      <w:marLeft w:val="0"/>
      <w:marRight w:val="0"/>
      <w:marTop w:val="0"/>
      <w:marBottom w:val="0"/>
      <w:divBdr>
        <w:top w:val="none" w:sz="0" w:space="0" w:color="auto"/>
        <w:left w:val="none" w:sz="0" w:space="0" w:color="auto"/>
        <w:bottom w:val="none" w:sz="0" w:space="0" w:color="auto"/>
        <w:right w:val="none" w:sz="0" w:space="0" w:color="auto"/>
      </w:divBdr>
    </w:div>
    <w:div w:id="828787953">
      <w:bodyDiv w:val="1"/>
      <w:marLeft w:val="0"/>
      <w:marRight w:val="0"/>
      <w:marTop w:val="0"/>
      <w:marBottom w:val="0"/>
      <w:divBdr>
        <w:top w:val="none" w:sz="0" w:space="0" w:color="auto"/>
        <w:left w:val="none" w:sz="0" w:space="0" w:color="auto"/>
        <w:bottom w:val="none" w:sz="0" w:space="0" w:color="auto"/>
        <w:right w:val="none" w:sz="0" w:space="0" w:color="auto"/>
      </w:divBdr>
    </w:div>
    <w:div w:id="829253552">
      <w:bodyDiv w:val="1"/>
      <w:marLeft w:val="0"/>
      <w:marRight w:val="0"/>
      <w:marTop w:val="0"/>
      <w:marBottom w:val="0"/>
      <w:divBdr>
        <w:top w:val="none" w:sz="0" w:space="0" w:color="auto"/>
        <w:left w:val="none" w:sz="0" w:space="0" w:color="auto"/>
        <w:bottom w:val="none" w:sz="0" w:space="0" w:color="auto"/>
        <w:right w:val="none" w:sz="0" w:space="0" w:color="auto"/>
      </w:divBdr>
    </w:div>
    <w:div w:id="829373586">
      <w:bodyDiv w:val="1"/>
      <w:marLeft w:val="0"/>
      <w:marRight w:val="0"/>
      <w:marTop w:val="0"/>
      <w:marBottom w:val="0"/>
      <w:divBdr>
        <w:top w:val="none" w:sz="0" w:space="0" w:color="auto"/>
        <w:left w:val="none" w:sz="0" w:space="0" w:color="auto"/>
        <w:bottom w:val="none" w:sz="0" w:space="0" w:color="auto"/>
        <w:right w:val="none" w:sz="0" w:space="0" w:color="auto"/>
      </w:divBdr>
    </w:div>
    <w:div w:id="830411213">
      <w:bodyDiv w:val="1"/>
      <w:marLeft w:val="0"/>
      <w:marRight w:val="0"/>
      <w:marTop w:val="0"/>
      <w:marBottom w:val="0"/>
      <w:divBdr>
        <w:top w:val="none" w:sz="0" w:space="0" w:color="auto"/>
        <w:left w:val="none" w:sz="0" w:space="0" w:color="auto"/>
        <w:bottom w:val="none" w:sz="0" w:space="0" w:color="auto"/>
        <w:right w:val="none" w:sz="0" w:space="0" w:color="auto"/>
      </w:divBdr>
    </w:div>
    <w:div w:id="831259388">
      <w:bodyDiv w:val="1"/>
      <w:marLeft w:val="0"/>
      <w:marRight w:val="0"/>
      <w:marTop w:val="0"/>
      <w:marBottom w:val="0"/>
      <w:divBdr>
        <w:top w:val="none" w:sz="0" w:space="0" w:color="auto"/>
        <w:left w:val="none" w:sz="0" w:space="0" w:color="auto"/>
        <w:bottom w:val="none" w:sz="0" w:space="0" w:color="auto"/>
        <w:right w:val="none" w:sz="0" w:space="0" w:color="auto"/>
      </w:divBdr>
    </w:div>
    <w:div w:id="831918849">
      <w:bodyDiv w:val="1"/>
      <w:marLeft w:val="0"/>
      <w:marRight w:val="0"/>
      <w:marTop w:val="0"/>
      <w:marBottom w:val="0"/>
      <w:divBdr>
        <w:top w:val="none" w:sz="0" w:space="0" w:color="auto"/>
        <w:left w:val="none" w:sz="0" w:space="0" w:color="auto"/>
        <w:bottom w:val="none" w:sz="0" w:space="0" w:color="auto"/>
        <w:right w:val="none" w:sz="0" w:space="0" w:color="auto"/>
      </w:divBdr>
    </w:div>
    <w:div w:id="832768225">
      <w:bodyDiv w:val="1"/>
      <w:marLeft w:val="0"/>
      <w:marRight w:val="0"/>
      <w:marTop w:val="0"/>
      <w:marBottom w:val="0"/>
      <w:divBdr>
        <w:top w:val="none" w:sz="0" w:space="0" w:color="auto"/>
        <w:left w:val="none" w:sz="0" w:space="0" w:color="auto"/>
        <w:bottom w:val="none" w:sz="0" w:space="0" w:color="auto"/>
        <w:right w:val="none" w:sz="0" w:space="0" w:color="auto"/>
      </w:divBdr>
    </w:div>
    <w:div w:id="832915211">
      <w:bodyDiv w:val="1"/>
      <w:marLeft w:val="0"/>
      <w:marRight w:val="0"/>
      <w:marTop w:val="0"/>
      <w:marBottom w:val="0"/>
      <w:divBdr>
        <w:top w:val="none" w:sz="0" w:space="0" w:color="auto"/>
        <w:left w:val="none" w:sz="0" w:space="0" w:color="auto"/>
        <w:bottom w:val="none" w:sz="0" w:space="0" w:color="auto"/>
        <w:right w:val="none" w:sz="0" w:space="0" w:color="auto"/>
      </w:divBdr>
    </w:div>
    <w:div w:id="833186248">
      <w:bodyDiv w:val="1"/>
      <w:marLeft w:val="0"/>
      <w:marRight w:val="0"/>
      <w:marTop w:val="0"/>
      <w:marBottom w:val="0"/>
      <w:divBdr>
        <w:top w:val="none" w:sz="0" w:space="0" w:color="auto"/>
        <w:left w:val="none" w:sz="0" w:space="0" w:color="auto"/>
        <w:bottom w:val="none" w:sz="0" w:space="0" w:color="auto"/>
        <w:right w:val="none" w:sz="0" w:space="0" w:color="auto"/>
      </w:divBdr>
    </w:div>
    <w:div w:id="833956592">
      <w:bodyDiv w:val="1"/>
      <w:marLeft w:val="0"/>
      <w:marRight w:val="0"/>
      <w:marTop w:val="0"/>
      <w:marBottom w:val="0"/>
      <w:divBdr>
        <w:top w:val="none" w:sz="0" w:space="0" w:color="auto"/>
        <w:left w:val="none" w:sz="0" w:space="0" w:color="auto"/>
        <w:bottom w:val="none" w:sz="0" w:space="0" w:color="auto"/>
        <w:right w:val="none" w:sz="0" w:space="0" w:color="auto"/>
      </w:divBdr>
    </w:div>
    <w:div w:id="834761202">
      <w:bodyDiv w:val="1"/>
      <w:marLeft w:val="0"/>
      <w:marRight w:val="0"/>
      <w:marTop w:val="0"/>
      <w:marBottom w:val="0"/>
      <w:divBdr>
        <w:top w:val="none" w:sz="0" w:space="0" w:color="auto"/>
        <w:left w:val="none" w:sz="0" w:space="0" w:color="auto"/>
        <w:bottom w:val="none" w:sz="0" w:space="0" w:color="auto"/>
        <w:right w:val="none" w:sz="0" w:space="0" w:color="auto"/>
      </w:divBdr>
    </w:div>
    <w:div w:id="834951064">
      <w:bodyDiv w:val="1"/>
      <w:marLeft w:val="0"/>
      <w:marRight w:val="0"/>
      <w:marTop w:val="0"/>
      <w:marBottom w:val="0"/>
      <w:divBdr>
        <w:top w:val="none" w:sz="0" w:space="0" w:color="auto"/>
        <w:left w:val="none" w:sz="0" w:space="0" w:color="auto"/>
        <w:bottom w:val="none" w:sz="0" w:space="0" w:color="auto"/>
        <w:right w:val="none" w:sz="0" w:space="0" w:color="auto"/>
      </w:divBdr>
    </w:div>
    <w:div w:id="835610446">
      <w:bodyDiv w:val="1"/>
      <w:marLeft w:val="0"/>
      <w:marRight w:val="0"/>
      <w:marTop w:val="0"/>
      <w:marBottom w:val="0"/>
      <w:divBdr>
        <w:top w:val="none" w:sz="0" w:space="0" w:color="auto"/>
        <w:left w:val="none" w:sz="0" w:space="0" w:color="auto"/>
        <w:bottom w:val="none" w:sz="0" w:space="0" w:color="auto"/>
        <w:right w:val="none" w:sz="0" w:space="0" w:color="auto"/>
      </w:divBdr>
    </w:div>
    <w:div w:id="835923614">
      <w:bodyDiv w:val="1"/>
      <w:marLeft w:val="0"/>
      <w:marRight w:val="0"/>
      <w:marTop w:val="0"/>
      <w:marBottom w:val="0"/>
      <w:divBdr>
        <w:top w:val="none" w:sz="0" w:space="0" w:color="auto"/>
        <w:left w:val="none" w:sz="0" w:space="0" w:color="auto"/>
        <w:bottom w:val="none" w:sz="0" w:space="0" w:color="auto"/>
        <w:right w:val="none" w:sz="0" w:space="0" w:color="auto"/>
      </w:divBdr>
    </w:div>
    <w:div w:id="836068267">
      <w:bodyDiv w:val="1"/>
      <w:marLeft w:val="0"/>
      <w:marRight w:val="0"/>
      <w:marTop w:val="0"/>
      <w:marBottom w:val="0"/>
      <w:divBdr>
        <w:top w:val="none" w:sz="0" w:space="0" w:color="auto"/>
        <w:left w:val="none" w:sz="0" w:space="0" w:color="auto"/>
        <w:bottom w:val="none" w:sz="0" w:space="0" w:color="auto"/>
        <w:right w:val="none" w:sz="0" w:space="0" w:color="auto"/>
      </w:divBdr>
    </w:div>
    <w:div w:id="836533240">
      <w:bodyDiv w:val="1"/>
      <w:marLeft w:val="0"/>
      <w:marRight w:val="0"/>
      <w:marTop w:val="0"/>
      <w:marBottom w:val="0"/>
      <w:divBdr>
        <w:top w:val="none" w:sz="0" w:space="0" w:color="auto"/>
        <w:left w:val="none" w:sz="0" w:space="0" w:color="auto"/>
        <w:bottom w:val="none" w:sz="0" w:space="0" w:color="auto"/>
        <w:right w:val="none" w:sz="0" w:space="0" w:color="auto"/>
      </w:divBdr>
    </w:div>
    <w:div w:id="836575377">
      <w:bodyDiv w:val="1"/>
      <w:marLeft w:val="0"/>
      <w:marRight w:val="0"/>
      <w:marTop w:val="0"/>
      <w:marBottom w:val="0"/>
      <w:divBdr>
        <w:top w:val="none" w:sz="0" w:space="0" w:color="auto"/>
        <w:left w:val="none" w:sz="0" w:space="0" w:color="auto"/>
        <w:bottom w:val="none" w:sz="0" w:space="0" w:color="auto"/>
        <w:right w:val="none" w:sz="0" w:space="0" w:color="auto"/>
      </w:divBdr>
    </w:div>
    <w:div w:id="836769017">
      <w:bodyDiv w:val="1"/>
      <w:marLeft w:val="0"/>
      <w:marRight w:val="0"/>
      <w:marTop w:val="0"/>
      <w:marBottom w:val="0"/>
      <w:divBdr>
        <w:top w:val="none" w:sz="0" w:space="0" w:color="auto"/>
        <w:left w:val="none" w:sz="0" w:space="0" w:color="auto"/>
        <w:bottom w:val="none" w:sz="0" w:space="0" w:color="auto"/>
        <w:right w:val="none" w:sz="0" w:space="0" w:color="auto"/>
      </w:divBdr>
      <w:divsChild>
        <w:div w:id="1747993099">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837428597">
      <w:bodyDiv w:val="1"/>
      <w:marLeft w:val="0"/>
      <w:marRight w:val="0"/>
      <w:marTop w:val="0"/>
      <w:marBottom w:val="0"/>
      <w:divBdr>
        <w:top w:val="none" w:sz="0" w:space="0" w:color="auto"/>
        <w:left w:val="none" w:sz="0" w:space="0" w:color="auto"/>
        <w:bottom w:val="none" w:sz="0" w:space="0" w:color="auto"/>
        <w:right w:val="none" w:sz="0" w:space="0" w:color="auto"/>
      </w:divBdr>
    </w:div>
    <w:div w:id="837497545">
      <w:bodyDiv w:val="1"/>
      <w:marLeft w:val="0"/>
      <w:marRight w:val="0"/>
      <w:marTop w:val="0"/>
      <w:marBottom w:val="0"/>
      <w:divBdr>
        <w:top w:val="none" w:sz="0" w:space="0" w:color="auto"/>
        <w:left w:val="none" w:sz="0" w:space="0" w:color="auto"/>
        <w:bottom w:val="none" w:sz="0" w:space="0" w:color="auto"/>
        <w:right w:val="none" w:sz="0" w:space="0" w:color="auto"/>
      </w:divBdr>
    </w:div>
    <w:div w:id="837577529">
      <w:bodyDiv w:val="1"/>
      <w:marLeft w:val="0"/>
      <w:marRight w:val="0"/>
      <w:marTop w:val="0"/>
      <w:marBottom w:val="0"/>
      <w:divBdr>
        <w:top w:val="none" w:sz="0" w:space="0" w:color="auto"/>
        <w:left w:val="none" w:sz="0" w:space="0" w:color="auto"/>
        <w:bottom w:val="none" w:sz="0" w:space="0" w:color="auto"/>
        <w:right w:val="none" w:sz="0" w:space="0" w:color="auto"/>
      </w:divBdr>
    </w:div>
    <w:div w:id="837616238">
      <w:bodyDiv w:val="1"/>
      <w:marLeft w:val="0"/>
      <w:marRight w:val="0"/>
      <w:marTop w:val="0"/>
      <w:marBottom w:val="0"/>
      <w:divBdr>
        <w:top w:val="none" w:sz="0" w:space="0" w:color="auto"/>
        <w:left w:val="none" w:sz="0" w:space="0" w:color="auto"/>
        <w:bottom w:val="none" w:sz="0" w:space="0" w:color="auto"/>
        <w:right w:val="none" w:sz="0" w:space="0" w:color="auto"/>
      </w:divBdr>
    </w:div>
    <w:div w:id="838038051">
      <w:bodyDiv w:val="1"/>
      <w:marLeft w:val="0"/>
      <w:marRight w:val="0"/>
      <w:marTop w:val="0"/>
      <w:marBottom w:val="0"/>
      <w:divBdr>
        <w:top w:val="none" w:sz="0" w:space="0" w:color="auto"/>
        <w:left w:val="none" w:sz="0" w:space="0" w:color="auto"/>
        <w:bottom w:val="none" w:sz="0" w:space="0" w:color="auto"/>
        <w:right w:val="none" w:sz="0" w:space="0" w:color="auto"/>
      </w:divBdr>
    </w:div>
    <w:div w:id="838076627">
      <w:bodyDiv w:val="1"/>
      <w:marLeft w:val="0"/>
      <w:marRight w:val="0"/>
      <w:marTop w:val="0"/>
      <w:marBottom w:val="0"/>
      <w:divBdr>
        <w:top w:val="none" w:sz="0" w:space="0" w:color="auto"/>
        <w:left w:val="none" w:sz="0" w:space="0" w:color="auto"/>
        <w:bottom w:val="none" w:sz="0" w:space="0" w:color="auto"/>
        <w:right w:val="none" w:sz="0" w:space="0" w:color="auto"/>
      </w:divBdr>
    </w:div>
    <w:div w:id="839269475">
      <w:bodyDiv w:val="1"/>
      <w:marLeft w:val="0"/>
      <w:marRight w:val="0"/>
      <w:marTop w:val="0"/>
      <w:marBottom w:val="0"/>
      <w:divBdr>
        <w:top w:val="none" w:sz="0" w:space="0" w:color="auto"/>
        <w:left w:val="none" w:sz="0" w:space="0" w:color="auto"/>
        <w:bottom w:val="none" w:sz="0" w:space="0" w:color="auto"/>
        <w:right w:val="none" w:sz="0" w:space="0" w:color="auto"/>
      </w:divBdr>
    </w:div>
    <w:div w:id="839735537">
      <w:bodyDiv w:val="1"/>
      <w:marLeft w:val="0"/>
      <w:marRight w:val="0"/>
      <w:marTop w:val="0"/>
      <w:marBottom w:val="0"/>
      <w:divBdr>
        <w:top w:val="none" w:sz="0" w:space="0" w:color="auto"/>
        <w:left w:val="none" w:sz="0" w:space="0" w:color="auto"/>
        <w:bottom w:val="none" w:sz="0" w:space="0" w:color="auto"/>
        <w:right w:val="none" w:sz="0" w:space="0" w:color="auto"/>
      </w:divBdr>
    </w:div>
    <w:div w:id="840244954">
      <w:bodyDiv w:val="1"/>
      <w:marLeft w:val="0"/>
      <w:marRight w:val="0"/>
      <w:marTop w:val="0"/>
      <w:marBottom w:val="0"/>
      <w:divBdr>
        <w:top w:val="none" w:sz="0" w:space="0" w:color="auto"/>
        <w:left w:val="none" w:sz="0" w:space="0" w:color="auto"/>
        <w:bottom w:val="none" w:sz="0" w:space="0" w:color="auto"/>
        <w:right w:val="none" w:sz="0" w:space="0" w:color="auto"/>
      </w:divBdr>
    </w:div>
    <w:div w:id="840463120">
      <w:bodyDiv w:val="1"/>
      <w:marLeft w:val="0"/>
      <w:marRight w:val="0"/>
      <w:marTop w:val="0"/>
      <w:marBottom w:val="0"/>
      <w:divBdr>
        <w:top w:val="none" w:sz="0" w:space="0" w:color="auto"/>
        <w:left w:val="none" w:sz="0" w:space="0" w:color="auto"/>
        <w:bottom w:val="none" w:sz="0" w:space="0" w:color="auto"/>
        <w:right w:val="none" w:sz="0" w:space="0" w:color="auto"/>
      </w:divBdr>
    </w:div>
    <w:div w:id="840659345">
      <w:bodyDiv w:val="1"/>
      <w:marLeft w:val="0"/>
      <w:marRight w:val="0"/>
      <w:marTop w:val="0"/>
      <w:marBottom w:val="0"/>
      <w:divBdr>
        <w:top w:val="none" w:sz="0" w:space="0" w:color="auto"/>
        <w:left w:val="none" w:sz="0" w:space="0" w:color="auto"/>
        <w:bottom w:val="none" w:sz="0" w:space="0" w:color="auto"/>
        <w:right w:val="none" w:sz="0" w:space="0" w:color="auto"/>
      </w:divBdr>
    </w:div>
    <w:div w:id="840706594">
      <w:bodyDiv w:val="1"/>
      <w:marLeft w:val="0"/>
      <w:marRight w:val="0"/>
      <w:marTop w:val="0"/>
      <w:marBottom w:val="0"/>
      <w:divBdr>
        <w:top w:val="none" w:sz="0" w:space="0" w:color="auto"/>
        <w:left w:val="none" w:sz="0" w:space="0" w:color="auto"/>
        <w:bottom w:val="none" w:sz="0" w:space="0" w:color="auto"/>
        <w:right w:val="none" w:sz="0" w:space="0" w:color="auto"/>
      </w:divBdr>
    </w:div>
    <w:div w:id="841049640">
      <w:bodyDiv w:val="1"/>
      <w:marLeft w:val="0"/>
      <w:marRight w:val="0"/>
      <w:marTop w:val="0"/>
      <w:marBottom w:val="0"/>
      <w:divBdr>
        <w:top w:val="none" w:sz="0" w:space="0" w:color="auto"/>
        <w:left w:val="none" w:sz="0" w:space="0" w:color="auto"/>
        <w:bottom w:val="none" w:sz="0" w:space="0" w:color="auto"/>
        <w:right w:val="none" w:sz="0" w:space="0" w:color="auto"/>
      </w:divBdr>
    </w:div>
    <w:div w:id="841120697">
      <w:bodyDiv w:val="1"/>
      <w:marLeft w:val="0"/>
      <w:marRight w:val="0"/>
      <w:marTop w:val="0"/>
      <w:marBottom w:val="0"/>
      <w:divBdr>
        <w:top w:val="none" w:sz="0" w:space="0" w:color="auto"/>
        <w:left w:val="none" w:sz="0" w:space="0" w:color="auto"/>
        <w:bottom w:val="none" w:sz="0" w:space="0" w:color="auto"/>
        <w:right w:val="none" w:sz="0" w:space="0" w:color="auto"/>
      </w:divBdr>
    </w:div>
    <w:div w:id="841941818">
      <w:bodyDiv w:val="1"/>
      <w:marLeft w:val="0"/>
      <w:marRight w:val="0"/>
      <w:marTop w:val="0"/>
      <w:marBottom w:val="0"/>
      <w:divBdr>
        <w:top w:val="none" w:sz="0" w:space="0" w:color="auto"/>
        <w:left w:val="none" w:sz="0" w:space="0" w:color="auto"/>
        <w:bottom w:val="none" w:sz="0" w:space="0" w:color="auto"/>
        <w:right w:val="none" w:sz="0" w:space="0" w:color="auto"/>
      </w:divBdr>
    </w:div>
    <w:div w:id="842165501">
      <w:bodyDiv w:val="1"/>
      <w:marLeft w:val="0"/>
      <w:marRight w:val="0"/>
      <w:marTop w:val="0"/>
      <w:marBottom w:val="0"/>
      <w:divBdr>
        <w:top w:val="none" w:sz="0" w:space="0" w:color="auto"/>
        <w:left w:val="none" w:sz="0" w:space="0" w:color="auto"/>
        <w:bottom w:val="none" w:sz="0" w:space="0" w:color="auto"/>
        <w:right w:val="none" w:sz="0" w:space="0" w:color="auto"/>
      </w:divBdr>
    </w:div>
    <w:div w:id="843133665">
      <w:bodyDiv w:val="1"/>
      <w:marLeft w:val="0"/>
      <w:marRight w:val="0"/>
      <w:marTop w:val="0"/>
      <w:marBottom w:val="0"/>
      <w:divBdr>
        <w:top w:val="none" w:sz="0" w:space="0" w:color="auto"/>
        <w:left w:val="none" w:sz="0" w:space="0" w:color="auto"/>
        <w:bottom w:val="none" w:sz="0" w:space="0" w:color="auto"/>
        <w:right w:val="none" w:sz="0" w:space="0" w:color="auto"/>
      </w:divBdr>
    </w:div>
    <w:div w:id="843325791">
      <w:bodyDiv w:val="1"/>
      <w:marLeft w:val="0"/>
      <w:marRight w:val="0"/>
      <w:marTop w:val="0"/>
      <w:marBottom w:val="0"/>
      <w:divBdr>
        <w:top w:val="none" w:sz="0" w:space="0" w:color="auto"/>
        <w:left w:val="none" w:sz="0" w:space="0" w:color="auto"/>
        <w:bottom w:val="none" w:sz="0" w:space="0" w:color="auto"/>
        <w:right w:val="none" w:sz="0" w:space="0" w:color="auto"/>
      </w:divBdr>
    </w:div>
    <w:div w:id="843398324">
      <w:bodyDiv w:val="1"/>
      <w:marLeft w:val="0"/>
      <w:marRight w:val="0"/>
      <w:marTop w:val="0"/>
      <w:marBottom w:val="0"/>
      <w:divBdr>
        <w:top w:val="none" w:sz="0" w:space="0" w:color="auto"/>
        <w:left w:val="none" w:sz="0" w:space="0" w:color="auto"/>
        <w:bottom w:val="none" w:sz="0" w:space="0" w:color="auto"/>
        <w:right w:val="none" w:sz="0" w:space="0" w:color="auto"/>
      </w:divBdr>
    </w:div>
    <w:div w:id="843596353">
      <w:bodyDiv w:val="1"/>
      <w:marLeft w:val="0"/>
      <w:marRight w:val="0"/>
      <w:marTop w:val="0"/>
      <w:marBottom w:val="0"/>
      <w:divBdr>
        <w:top w:val="none" w:sz="0" w:space="0" w:color="auto"/>
        <w:left w:val="none" w:sz="0" w:space="0" w:color="auto"/>
        <w:bottom w:val="none" w:sz="0" w:space="0" w:color="auto"/>
        <w:right w:val="none" w:sz="0" w:space="0" w:color="auto"/>
      </w:divBdr>
    </w:div>
    <w:div w:id="843668118">
      <w:bodyDiv w:val="1"/>
      <w:marLeft w:val="0"/>
      <w:marRight w:val="0"/>
      <w:marTop w:val="0"/>
      <w:marBottom w:val="0"/>
      <w:divBdr>
        <w:top w:val="none" w:sz="0" w:space="0" w:color="auto"/>
        <w:left w:val="none" w:sz="0" w:space="0" w:color="auto"/>
        <w:bottom w:val="none" w:sz="0" w:space="0" w:color="auto"/>
        <w:right w:val="none" w:sz="0" w:space="0" w:color="auto"/>
      </w:divBdr>
    </w:div>
    <w:div w:id="844246396">
      <w:bodyDiv w:val="1"/>
      <w:marLeft w:val="0"/>
      <w:marRight w:val="0"/>
      <w:marTop w:val="0"/>
      <w:marBottom w:val="0"/>
      <w:divBdr>
        <w:top w:val="none" w:sz="0" w:space="0" w:color="auto"/>
        <w:left w:val="none" w:sz="0" w:space="0" w:color="auto"/>
        <w:bottom w:val="none" w:sz="0" w:space="0" w:color="auto"/>
        <w:right w:val="none" w:sz="0" w:space="0" w:color="auto"/>
      </w:divBdr>
    </w:div>
    <w:div w:id="844518703">
      <w:bodyDiv w:val="1"/>
      <w:marLeft w:val="0"/>
      <w:marRight w:val="0"/>
      <w:marTop w:val="0"/>
      <w:marBottom w:val="0"/>
      <w:divBdr>
        <w:top w:val="none" w:sz="0" w:space="0" w:color="auto"/>
        <w:left w:val="none" w:sz="0" w:space="0" w:color="auto"/>
        <w:bottom w:val="none" w:sz="0" w:space="0" w:color="auto"/>
        <w:right w:val="none" w:sz="0" w:space="0" w:color="auto"/>
      </w:divBdr>
    </w:div>
    <w:div w:id="844779739">
      <w:bodyDiv w:val="1"/>
      <w:marLeft w:val="0"/>
      <w:marRight w:val="0"/>
      <w:marTop w:val="0"/>
      <w:marBottom w:val="0"/>
      <w:divBdr>
        <w:top w:val="none" w:sz="0" w:space="0" w:color="auto"/>
        <w:left w:val="none" w:sz="0" w:space="0" w:color="auto"/>
        <w:bottom w:val="none" w:sz="0" w:space="0" w:color="auto"/>
        <w:right w:val="none" w:sz="0" w:space="0" w:color="auto"/>
      </w:divBdr>
    </w:div>
    <w:div w:id="845244795">
      <w:bodyDiv w:val="1"/>
      <w:marLeft w:val="0"/>
      <w:marRight w:val="0"/>
      <w:marTop w:val="0"/>
      <w:marBottom w:val="0"/>
      <w:divBdr>
        <w:top w:val="none" w:sz="0" w:space="0" w:color="auto"/>
        <w:left w:val="none" w:sz="0" w:space="0" w:color="auto"/>
        <w:bottom w:val="none" w:sz="0" w:space="0" w:color="auto"/>
        <w:right w:val="none" w:sz="0" w:space="0" w:color="auto"/>
      </w:divBdr>
    </w:div>
    <w:div w:id="846021080">
      <w:bodyDiv w:val="1"/>
      <w:marLeft w:val="0"/>
      <w:marRight w:val="0"/>
      <w:marTop w:val="0"/>
      <w:marBottom w:val="0"/>
      <w:divBdr>
        <w:top w:val="none" w:sz="0" w:space="0" w:color="auto"/>
        <w:left w:val="none" w:sz="0" w:space="0" w:color="auto"/>
        <w:bottom w:val="none" w:sz="0" w:space="0" w:color="auto"/>
        <w:right w:val="none" w:sz="0" w:space="0" w:color="auto"/>
      </w:divBdr>
    </w:div>
    <w:div w:id="846090489">
      <w:bodyDiv w:val="1"/>
      <w:marLeft w:val="0"/>
      <w:marRight w:val="0"/>
      <w:marTop w:val="0"/>
      <w:marBottom w:val="0"/>
      <w:divBdr>
        <w:top w:val="none" w:sz="0" w:space="0" w:color="auto"/>
        <w:left w:val="none" w:sz="0" w:space="0" w:color="auto"/>
        <w:bottom w:val="none" w:sz="0" w:space="0" w:color="auto"/>
        <w:right w:val="none" w:sz="0" w:space="0" w:color="auto"/>
      </w:divBdr>
    </w:div>
    <w:div w:id="846404411">
      <w:bodyDiv w:val="1"/>
      <w:marLeft w:val="0"/>
      <w:marRight w:val="0"/>
      <w:marTop w:val="0"/>
      <w:marBottom w:val="0"/>
      <w:divBdr>
        <w:top w:val="none" w:sz="0" w:space="0" w:color="auto"/>
        <w:left w:val="none" w:sz="0" w:space="0" w:color="auto"/>
        <w:bottom w:val="none" w:sz="0" w:space="0" w:color="auto"/>
        <w:right w:val="none" w:sz="0" w:space="0" w:color="auto"/>
      </w:divBdr>
    </w:div>
    <w:div w:id="846556944">
      <w:bodyDiv w:val="1"/>
      <w:marLeft w:val="0"/>
      <w:marRight w:val="0"/>
      <w:marTop w:val="0"/>
      <w:marBottom w:val="0"/>
      <w:divBdr>
        <w:top w:val="none" w:sz="0" w:space="0" w:color="auto"/>
        <w:left w:val="none" w:sz="0" w:space="0" w:color="auto"/>
        <w:bottom w:val="none" w:sz="0" w:space="0" w:color="auto"/>
        <w:right w:val="none" w:sz="0" w:space="0" w:color="auto"/>
      </w:divBdr>
    </w:div>
    <w:div w:id="846939802">
      <w:bodyDiv w:val="1"/>
      <w:marLeft w:val="0"/>
      <w:marRight w:val="0"/>
      <w:marTop w:val="0"/>
      <w:marBottom w:val="0"/>
      <w:divBdr>
        <w:top w:val="none" w:sz="0" w:space="0" w:color="auto"/>
        <w:left w:val="none" w:sz="0" w:space="0" w:color="auto"/>
        <w:bottom w:val="none" w:sz="0" w:space="0" w:color="auto"/>
        <w:right w:val="none" w:sz="0" w:space="0" w:color="auto"/>
      </w:divBdr>
    </w:div>
    <w:div w:id="847062215">
      <w:bodyDiv w:val="1"/>
      <w:marLeft w:val="0"/>
      <w:marRight w:val="0"/>
      <w:marTop w:val="0"/>
      <w:marBottom w:val="0"/>
      <w:divBdr>
        <w:top w:val="none" w:sz="0" w:space="0" w:color="auto"/>
        <w:left w:val="none" w:sz="0" w:space="0" w:color="auto"/>
        <w:bottom w:val="none" w:sz="0" w:space="0" w:color="auto"/>
        <w:right w:val="none" w:sz="0" w:space="0" w:color="auto"/>
      </w:divBdr>
    </w:div>
    <w:div w:id="847672821">
      <w:bodyDiv w:val="1"/>
      <w:marLeft w:val="0"/>
      <w:marRight w:val="0"/>
      <w:marTop w:val="0"/>
      <w:marBottom w:val="0"/>
      <w:divBdr>
        <w:top w:val="none" w:sz="0" w:space="0" w:color="auto"/>
        <w:left w:val="none" w:sz="0" w:space="0" w:color="auto"/>
        <w:bottom w:val="none" w:sz="0" w:space="0" w:color="auto"/>
        <w:right w:val="none" w:sz="0" w:space="0" w:color="auto"/>
      </w:divBdr>
    </w:div>
    <w:div w:id="848639719">
      <w:bodyDiv w:val="1"/>
      <w:marLeft w:val="0"/>
      <w:marRight w:val="0"/>
      <w:marTop w:val="0"/>
      <w:marBottom w:val="0"/>
      <w:divBdr>
        <w:top w:val="none" w:sz="0" w:space="0" w:color="auto"/>
        <w:left w:val="none" w:sz="0" w:space="0" w:color="auto"/>
        <w:bottom w:val="none" w:sz="0" w:space="0" w:color="auto"/>
        <w:right w:val="none" w:sz="0" w:space="0" w:color="auto"/>
      </w:divBdr>
    </w:div>
    <w:div w:id="848838357">
      <w:bodyDiv w:val="1"/>
      <w:marLeft w:val="0"/>
      <w:marRight w:val="0"/>
      <w:marTop w:val="0"/>
      <w:marBottom w:val="0"/>
      <w:divBdr>
        <w:top w:val="none" w:sz="0" w:space="0" w:color="auto"/>
        <w:left w:val="none" w:sz="0" w:space="0" w:color="auto"/>
        <w:bottom w:val="none" w:sz="0" w:space="0" w:color="auto"/>
        <w:right w:val="none" w:sz="0" w:space="0" w:color="auto"/>
      </w:divBdr>
    </w:div>
    <w:div w:id="849025653">
      <w:bodyDiv w:val="1"/>
      <w:marLeft w:val="0"/>
      <w:marRight w:val="0"/>
      <w:marTop w:val="0"/>
      <w:marBottom w:val="0"/>
      <w:divBdr>
        <w:top w:val="none" w:sz="0" w:space="0" w:color="auto"/>
        <w:left w:val="none" w:sz="0" w:space="0" w:color="auto"/>
        <w:bottom w:val="none" w:sz="0" w:space="0" w:color="auto"/>
        <w:right w:val="none" w:sz="0" w:space="0" w:color="auto"/>
      </w:divBdr>
      <w:divsChild>
        <w:div w:id="222102436">
          <w:marLeft w:val="0"/>
          <w:marRight w:val="0"/>
          <w:marTop w:val="0"/>
          <w:marBottom w:val="0"/>
          <w:divBdr>
            <w:top w:val="none" w:sz="0" w:space="0" w:color="auto"/>
            <w:left w:val="none" w:sz="0" w:space="0" w:color="auto"/>
            <w:bottom w:val="none" w:sz="0" w:space="0" w:color="auto"/>
            <w:right w:val="none" w:sz="0" w:space="0" w:color="auto"/>
          </w:divBdr>
        </w:div>
      </w:divsChild>
    </w:div>
    <w:div w:id="849175986">
      <w:bodyDiv w:val="1"/>
      <w:marLeft w:val="0"/>
      <w:marRight w:val="0"/>
      <w:marTop w:val="0"/>
      <w:marBottom w:val="0"/>
      <w:divBdr>
        <w:top w:val="none" w:sz="0" w:space="0" w:color="auto"/>
        <w:left w:val="none" w:sz="0" w:space="0" w:color="auto"/>
        <w:bottom w:val="none" w:sz="0" w:space="0" w:color="auto"/>
        <w:right w:val="none" w:sz="0" w:space="0" w:color="auto"/>
      </w:divBdr>
    </w:div>
    <w:div w:id="849834088">
      <w:bodyDiv w:val="1"/>
      <w:marLeft w:val="0"/>
      <w:marRight w:val="0"/>
      <w:marTop w:val="0"/>
      <w:marBottom w:val="0"/>
      <w:divBdr>
        <w:top w:val="none" w:sz="0" w:space="0" w:color="auto"/>
        <w:left w:val="none" w:sz="0" w:space="0" w:color="auto"/>
        <w:bottom w:val="none" w:sz="0" w:space="0" w:color="auto"/>
        <w:right w:val="none" w:sz="0" w:space="0" w:color="auto"/>
      </w:divBdr>
    </w:div>
    <w:div w:id="850680796">
      <w:bodyDiv w:val="1"/>
      <w:marLeft w:val="0"/>
      <w:marRight w:val="0"/>
      <w:marTop w:val="0"/>
      <w:marBottom w:val="0"/>
      <w:divBdr>
        <w:top w:val="none" w:sz="0" w:space="0" w:color="auto"/>
        <w:left w:val="none" w:sz="0" w:space="0" w:color="auto"/>
        <w:bottom w:val="none" w:sz="0" w:space="0" w:color="auto"/>
        <w:right w:val="none" w:sz="0" w:space="0" w:color="auto"/>
      </w:divBdr>
    </w:div>
    <w:div w:id="851144743">
      <w:bodyDiv w:val="1"/>
      <w:marLeft w:val="0"/>
      <w:marRight w:val="0"/>
      <w:marTop w:val="0"/>
      <w:marBottom w:val="0"/>
      <w:divBdr>
        <w:top w:val="none" w:sz="0" w:space="0" w:color="auto"/>
        <w:left w:val="none" w:sz="0" w:space="0" w:color="auto"/>
        <w:bottom w:val="none" w:sz="0" w:space="0" w:color="auto"/>
        <w:right w:val="none" w:sz="0" w:space="0" w:color="auto"/>
      </w:divBdr>
    </w:div>
    <w:div w:id="851992305">
      <w:bodyDiv w:val="1"/>
      <w:marLeft w:val="0"/>
      <w:marRight w:val="0"/>
      <w:marTop w:val="0"/>
      <w:marBottom w:val="0"/>
      <w:divBdr>
        <w:top w:val="none" w:sz="0" w:space="0" w:color="auto"/>
        <w:left w:val="none" w:sz="0" w:space="0" w:color="auto"/>
        <w:bottom w:val="none" w:sz="0" w:space="0" w:color="auto"/>
        <w:right w:val="none" w:sz="0" w:space="0" w:color="auto"/>
      </w:divBdr>
    </w:div>
    <w:div w:id="852258767">
      <w:bodyDiv w:val="1"/>
      <w:marLeft w:val="0"/>
      <w:marRight w:val="0"/>
      <w:marTop w:val="0"/>
      <w:marBottom w:val="0"/>
      <w:divBdr>
        <w:top w:val="none" w:sz="0" w:space="0" w:color="auto"/>
        <w:left w:val="none" w:sz="0" w:space="0" w:color="auto"/>
        <w:bottom w:val="none" w:sz="0" w:space="0" w:color="auto"/>
        <w:right w:val="none" w:sz="0" w:space="0" w:color="auto"/>
      </w:divBdr>
    </w:div>
    <w:div w:id="854346133">
      <w:bodyDiv w:val="1"/>
      <w:marLeft w:val="0"/>
      <w:marRight w:val="0"/>
      <w:marTop w:val="0"/>
      <w:marBottom w:val="0"/>
      <w:divBdr>
        <w:top w:val="none" w:sz="0" w:space="0" w:color="auto"/>
        <w:left w:val="none" w:sz="0" w:space="0" w:color="auto"/>
        <w:bottom w:val="none" w:sz="0" w:space="0" w:color="auto"/>
        <w:right w:val="none" w:sz="0" w:space="0" w:color="auto"/>
      </w:divBdr>
    </w:div>
    <w:div w:id="854810460">
      <w:bodyDiv w:val="1"/>
      <w:marLeft w:val="0"/>
      <w:marRight w:val="0"/>
      <w:marTop w:val="0"/>
      <w:marBottom w:val="0"/>
      <w:divBdr>
        <w:top w:val="none" w:sz="0" w:space="0" w:color="auto"/>
        <w:left w:val="none" w:sz="0" w:space="0" w:color="auto"/>
        <w:bottom w:val="none" w:sz="0" w:space="0" w:color="auto"/>
        <w:right w:val="none" w:sz="0" w:space="0" w:color="auto"/>
      </w:divBdr>
    </w:div>
    <w:div w:id="855579208">
      <w:bodyDiv w:val="1"/>
      <w:marLeft w:val="0"/>
      <w:marRight w:val="0"/>
      <w:marTop w:val="0"/>
      <w:marBottom w:val="0"/>
      <w:divBdr>
        <w:top w:val="none" w:sz="0" w:space="0" w:color="auto"/>
        <w:left w:val="none" w:sz="0" w:space="0" w:color="auto"/>
        <w:bottom w:val="none" w:sz="0" w:space="0" w:color="auto"/>
        <w:right w:val="none" w:sz="0" w:space="0" w:color="auto"/>
      </w:divBdr>
    </w:div>
    <w:div w:id="855774116">
      <w:bodyDiv w:val="1"/>
      <w:marLeft w:val="0"/>
      <w:marRight w:val="0"/>
      <w:marTop w:val="0"/>
      <w:marBottom w:val="0"/>
      <w:divBdr>
        <w:top w:val="none" w:sz="0" w:space="0" w:color="auto"/>
        <w:left w:val="none" w:sz="0" w:space="0" w:color="auto"/>
        <w:bottom w:val="none" w:sz="0" w:space="0" w:color="auto"/>
        <w:right w:val="none" w:sz="0" w:space="0" w:color="auto"/>
      </w:divBdr>
    </w:div>
    <w:div w:id="856117982">
      <w:bodyDiv w:val="1"/>
      <w:marLeft w:val="0"/>
      <w:marRight w:val="0"/>
      <w:marTop w:val="0"/>
      <w:marBottom w:val="0"/>
      <w:divBdr>
        <w:top w:val="none" w:sz="0" w:space="0" w:color="auto"/>
        <w:left w:val="none" w:sz="0" w:space="0" w:color="auto"/>
        <w:bottom w:val="none" w:sz="0" w:space="0" w:color="auto"/>
        <w:right w:val="none" w:sz="0" w:space="0" w:color="auto"/>
      </w:divBdr>
    </w:div>
    <w:div w:id="856389893">
      <w:bodyDiv w:val="1"/>
      <w:marLeft w:val="0"/>
      <w:marRight w:val="0"/>
      <w:marTop w:val="0"/>
      <w:marBottom w:val="0"/>
      <w:divBdr>
        <w:top w:val="none" w:sz="0" w:space="0" w:color="auto"/>
        <w:left w:val="none" w:sz="0" w:space="0" w:color="auto"/>
        <w:bottom w:val="none" w:sz="0" w:space="0" w:color="auto"/>
        <w:right w:val="none" w:sz="0" w:space="0" w:color="auto"/>
      </w:divBdr>
    </w:div>
    <w:div w:id="856848320">
      <w:bodyDiv w:val="1"/>
      <w:marLeft w:val="0"/>
      <w:marRight w:val="0"/>
      <w:marTop w:val="0"/>
      <w:marBottom w:val="0"/>
      <w:divBdr>
        <w:top w:val="none" w:sz="0" w:space="0" w:color="auto"/>
        <w:left w:val="none" w:sz="0" w:space="0" w:color="auto"/>
        <w:bottom w:val="none" w:sz="0" w:space="0" w:color="auto"/>
        <w:right w:val="none" w:sz="0" w:space="0" w:color="auto"/>
      </w:divBdr>
    </w:div>
    <w:div w:id="858082327">
      <w:bodyDiv w:val="1"/>
      <w:marLeft w:val="0"/>
      <w:marRight w:val="0"/>
      <w:marTop w:val="0"/>
      <w:marBottom w:val="0"/>
      <w:divBdr>
        <w:top w:val="none" w:sz="0" w:space="0" w:color="auto"/>
        <w:left w:val="none" w:sz="0" w:space="0" w:color="auto"/>
        <w:bottom w:val="none" w:sz="0" w:space="0" w:color="auto"/>
        <w:right w:val="none" w:sz="0" w:space="0" w:color="auto"/>
      </w:divBdr>
    </w:div>
    <w:div w:id="858592489">
      <w:bodyDiv w:val="1"/>
      <w:marLeft w:val="0"/>
      <w:marRight w:val="0"/>
      <w:marTop w:val="0"/>
      <w:marBottom w:val="0"/>
      <w:divBdr>
        <w:top w:val="none" w:sz="0" w:space="0" w:color="auto"/>
        <w:left w:val="none" w:sz="0" w:space="0" w:color="auto"/>
        <w:bottom w:val="none" w:sz="0" w:space="0" w:color="auto"/>
        <w:right w:val="none" w:sz="0" w:space="0" w:color="auto"/>
      </w:divBdr>
    </w:div>
    <w:div w:id="858666156">
      <w:bodyDiv w:val="1"/>
      <w:marLeft w:val="0"/>
      <w:marRight w:val="0"/>
      <w:marTop w:val="0"/>
      <w:marBottom w:val="0"/>
      <w:divBdr>
        <w:top w:val="none" w:sz="0" w:space="0" w:color="auto"/>
        <w:left w:val="none" w:sz="0" w:space="0" w:color="auto"/>
        <w:bottom w:val="none" w:sz="0" w:space="0" w:color="auto"/>
        <w:right w:val="none" w:sz="0" w:space="0" w:color="auto"/>
      </w:divBdr>
    </w:div>
    <w:div w:id="858737427">
      <w:bodyDiv w:val="1"/>
      <w:marLeft w:val="0"/>
      <w:marRight w:val="0"/>
      <w:marTop w:val="0"/>
      <w:marBottom w:val="0"/>
      <w:divBdr>
        <w:top w:val="none" w:sz="0" w:space="0" w:color="auto"/>
        <w:left w:val="none" w:sz="0" w:space="0" w:color="auto"/>
        <w:bottom w:val="none" w:sz="0" w:space="0" w:color="auto"/>
        <w:right w:val="none" w:sz="0" w:space="0" w:color="auto"/>
      </w:divBdr>
    </w:div>
    <w:div w:id="858932608">
      <w:bodyDiv w:val="1"/>
      <w:marLeft w:val="0"/>
      <w:marRight w:val="0"/>
      <w:marTop w:val="0"/>
      <w:marBottom w:val="0"/>
      <w:divBdr>
        <w:top w:val="none" w:sz="0" w:space="0" w:color="auto"/>
        <w:left w:val="none" w:sz="0" w:space="0" w:color="auto"/>
        <w:bottom w:val="none" w:sz="0" w:space="0" w:color="auto"/>
        <w:right w:val="none" w:sz="0" w:space="0" w:color="auto"/>
      </w:divBdr>
    </w:div>
    <w:div w:id="859586652">
      <w:bodyDiv w:val="1"/>
      <w:marLeft w:val="0"/>
      <w:marRight w:val="0"/>
      <w:marTop w:val="0"/>
      <w:marBottom w:val="0"/>
      <w:divBdr>
        <w:top w:val="none" w:sz="0" w:space="0" w:color="auto"/>
        <w:left w:val="none" w:sz="0" w:space="0" w:color="auto"/>
        <w:bottom w:val="none" w:sz="0" w:space="0" w:color="auto"/>
        <w:right w:val="none" w:sz="0" w:space="0" w:color="auto"/>
      </w:divBdr>
    </w:div>
    <w:div w:id="859658192">
      <w:bodyDiv w:val="1"/>
      <w:marLeft w:val="0"/>
      <w:marRight w:val="0"/>
      <w:marTop w:val="0"/>
      <w:marBottom w:val="0"/>
      <w:divBdr>
        <w:top w:val="none" w:sz="0" w:space="0" w:color="auto"/>
        <w:left w:val="none" w:sz="0" w:space="0" w:color="auto"/>
        <w:bottom w:val="none" w:sz="0" w:space="0" w:color="auto"/>
        <w:right w:val="none" w:sz="0" w:space="0" w:color="auto"/>
      </w:divBdr>
    </w:div>
    <w:div w:id="860166984">
      <w:bodyDiv w:val="1"/>
      <w:marLeft w:val="0"/>
      <w:marRight w:val="0"/>
      <w:marTop w:val="0"/>
      <w:marBottom w:val="0"/>
      <w:divBdr>
        <w:top w:val="none" w:sz="0" w:space="0" w:color="auto"/>
        <w:left w:val="none" w:sz="0" w:space="0" w:color="auto"/>
        <w:bottom w:val="none" w:sz="0" w:space="0" w:color="auto"/>
        <w:right w:val="none" w:sz="0" w:space="0" w:color="auto"/>
      </w:divBdr>
    </w:div>
    <w:div w:id="860364953">
      <w:bodyDiv w:val="1"/>
      <w:marLeft w:val="0"/>
      <w:marRight w:val="0"/>
      <w:marTop w:val="0"/>
      <w:marBottom w:val="0"/>
      <w:divBdr>
        <w:top w:val="none" w:sz="0" w:space="0" w:color="auto"/>
        <w:left w:val="none" w:sz="0" w:space="0" w:color="auto"/>
        <w:bottom w:val="none" w:sz="0" w:space="0" w:color="auto"/>
        <w:right w:val="none" w:sz="0" w:space="0" w:color="auto"/>
      </w:divBdr>
    </w:div>
    <w:div w:id="860974188">
      <w:bodyDiv w:val="1"/>
      <w:marLeft w:val="0"/>
      <w:marRight w:val="0"/>
      <w:marTop w:val="0"/>
      <w:marBottom w:val="0"/>
      <w:divBdr>
        <w:top w:val="none" w:sz="0" w:space="0" w:color="auto"/>
        <w:left w:val="none" w:sz="0" w:space="0" w:color="auto"/>
        <w:bottom w:val="none" w:sz="0" w:space="0" w:color="auto"/>
        <w:right w:val="none" w:sz="0" w:space="0" w:color="auto"/>
      </w:divBdr>
    </w:div>
    <w:div w:id="861283871">
      <w:bodyDiv w:val="1"/>
      <w:marLeft w:val="0"/>
      <w:marRight w:val="0"/>
      <w:marTop w:val="0"/>
      <w:marBottom w:val="0"/>
      <w:divBdr>
        <w:top w:val="none" w:sz="0" w:space="0" w:color="auto"/>
        <w:left w:val="none" w:sz="0" w:space="0" w:color="auto"/>
        <w:bottom w:val="none" w:sz="0" w:space="0" w:color="auto"/>
        <w:right w:val="none" w:sz="0" w:space="0" w:color="auto"/>
      </w:divBdr>
    </w:div>
    <w:div w:id="861355512">
      <w:bodyDiv w:val="1"/>
      <w:marLeft w:val="0"/>
      <w:marRight w:val="0"/>
      <w:marTop w:val="0"/>
      <w:marBottom w:val="0"/>
      <w:divBdr>
        <w:top w:val="none" w:sz="0" w:space="0" w:color="auto"/>
        <w:left w:val="none" w:sz="0" w:space="0" w:color="auto"/>
        <w:bottom w:val="none" w:sz="0" w:space="0" w:color="auto"/>
        <w:right w:val="none" w:sz="0" w:space="0" w:color="auto"/>
      </w:divBdr>
    </w:div>
    <w:div w:id="861480292">
      <w:bodyDiv w:val="1"/>
      <w:marLeft w:val="0"/>
      <w:marRight w:val="0"/>
      <w:marTop w:val="0"/>
      <w:marBottom w:val="0"/>
      <w:divBdr>
        <w:top w:val="none" w:sz="0" w:space="0" w:color="auto"/>
        <w:left w:val="none" w:sz="0" w:space="0" w:color="auto"/>
        <w:bottom w:val="none" w:sz="0" w:space="0" w:color="auto"/>
        <w:right w:val="none" w:sz="0" w:space="0" w:color="auto"/>
      </w:divBdr>
    </w:div>
    <w:div w:id="861667640">
      <w:bodyDiv w:val="1"/>
      <w:marLeft w:val="0"/>
      <w:marRight w:val="0"/>
      <w:marTop w:val="0"/>
      <w:marBottom w:val="0"/>
      <w:divBdr>
        <w:top w:val="none" w:sz="0" w:space="0" w:color="auto"/>
        <w:left w:val="none" w:sz="0" w:space="0" w:color="auto"/>
        <w:bottom w:val="none" w:sz="0" w:space="0" w:color="auto"/>
        <w:right w:val="none" w:sz="0" w:space="0" w:color="auto"/>
      </w:divBdr>
    </w:div>
    <w:div w:id="861937690">
      <w:bodyDiv w:val="1"/>
      <w:marLeft w:val="0"/>
      <w:marRight w:val="0"/>
      <w:marTop w:val="0"/>
      <w:marBottom w:val="0"/>
      <w:divBdr>
        <w:top w:val="none" w:sz="0" w:space="0" w:color="auto"/>
        <w:left w:val="none" w:sz="0" w:space="0" w:color="auto"/>
        <w:bottom w:val="none" w:sz="0" w:space="0" w:color="auto"/>
        <w:right w:val="none" w:sz="0" w:space="0" w:color="auto"/>
      </w:divBdr>
    </w:div>
    <w:div w:id="862134567">
      <w:bodyDiv w:val="1"/>
      <w:marLeft w:val="0"/>
      <w:marRight w:val="0"/>
      <w:marTop w:val="0"/>
      <w:marBottom w:val="0"/>
      <w:divBdr>
        <w:top w:val="none" w:sz="0" w:space="0" w:color="auto"/>
        <w:left w:val="none" w:sz="0" w:space="0" w:color="auto"/>
        <w:bottom w:val="none" w:sz="0" w:space="0" w:color="auto"/>
        <w:right w:val="none" w:sz="0" w:space="0" w:color="auto"/>
      </w:divBdr>
    </w:div>
    <w:div w:id="862397838">
      <w:bodyDiv w:val="1"/>
      <w:marLeft w:val="0"/>
      <w:marRight w:val="0"/>
      <w:marTop w:val="0"/>
      <w:marBottom w:val="0"/>
      <w:divBdr>
        <w:top w:val="none" w:sz="0" w:space="0" w:color="auto"/>
        <w:left w:val="none" w:sz="0" w:space="0" w:color="auto"/>
        <w:bottom w:val="none" w:sz="0" w:space="0" w:color="auto"/>
        <w:right w:val="none" w:sz="0" w:space="0" w:color="auto"/>
      </w:divBdr>
    </w:div>
    <w:div w:id="862748508">
      <w:bodyDiv w:val="1"/>
      <w:marLeft w:val="0"/>
      <w:marRight w:val="0"/>
      <w:marTop w:val="0"/>
      <w:marBottom w:val="0"/>
      <w:divBdr>
        <w:top w:val="none" w:sz="0" w:space="0" w:color="auto"/>
        <w:left w:val="none" w:sz="0" w:space="0" w:color="auto"/>
        <w:bottom w:val="none" w:sz="0" w:space="0" w:color="auto"/>
        <w:right w:val="none" w:sz="0" w:space="0" w:color="auto"/>
      </w:divBdr>
    </w:div>
    <w:div w:id="862979958">
      <w:bodyDiv w:val="1"/>
      <w:marLeft w:val="0"/>
      <w:marRight w:val="0"/>
      <w:marTop w:val="0"/>
      <w:marBottom w:val="0"/>
      <w:divBdr>
        <w:top w:val="none" w:sz="0" w:space="0" w:color="auto"/>
        <w:left w:val="none" w:sz="0" w:space="0" w:color="auto"/>
        <w:bottom w:val="none" w:sz="0" w:space="0" w:color="auto"/>
        <w:right w:val="none" w:sz="0" w:space="0" w:color="auto"/>
      </w:divBdr>
    </w:div>
    <w:div w:id="863788819">
      <w:bodyDiv w:val="1"/>
      <w:marLeft w:val="0"/>
      <w:marRight w:val="0"/>
      <w:marTop w:val="0"/>
      <w:marBottom w:val="0"/>
      <w:divBdr>
        <w:top w:val="none" w:sz="0" w:space="0" w:color="auto"/>
        <w:left w:val="none" w:sz="0" w:space="0" w:color="auto"/>
        <w:bottom w:val="none" w:sz="0" w:space="0" w:color="auto"/>
        <w:right w:val="none" w:sz="0" w:space="0" w:color="auto"/>
      </w:divBdr>
    </w:div>
    <w:div w:id="863861090">
      <w:bodyDiv w:val="1"/>
      <w:marLeft w:val="0"/>
      <w:marRight w:val="0"/>
      <w:marTop w:val="0"/>
      <w:marBottom w:val="0"/>
      <w:divBdr>
        <w:top w:val="none" w:sz="0" w:space="0" w:color="auto"/>
        <w:left w:val="none" w:sz="0" w:space="0" w:color="auto"/>
        <w:bottom w:val="none" w:sz="0" w:space="0" w:color="auto"/>
        <w:right w:val="none" w:sz="0" w:space="0" w:color="auto"/>
      </w:divBdr>
    </w:div>
    <w:div w:id="864028117">
      <w:bodyDiv w:val="1"/>
      <w:marLeft w:val="0"/>
      <w:marRight w:val="0"/>
      <w:marTop w:val="0"/>
      <w:marBottom w:val="0"/>
      <w:divBdr>
        <w:top w:val="none" w:sz="0" w:space="0" w:color="auto"/>
        <w:left w:val="none" w:sz="0" w:space="0" w:color="auto"/>
        <w:bottom w:val="none" w:sz="0" w:space="0" w:color="auto"/>
        <w:right w:val="none" w:sz="0" w:space="0" w:color="auto"/>
      </w:divBdr>
    </w:div>
    <w:div w:id="864094870">
      <w:bodyDiv w:val="1"/>
      <w:marLeft w:val="0"/>
      <w:marRight w:val="0"/>
      <w:marTop w:val="0"/>
      <w:marBottom w:val="0"/>
      <w:divBdr>
        <w:top w:val="none" w:sz="0" w:space="0" w:color="auto"/>
        <w:left w:val="none" w:sz="0" w:space="0" w:color="auto"/>
        <w:bottom w:val="none" w:sz="0" w:space="0" w:color="auto"/>
        <w:right w:val="none" w:sz="0" w:space="0" w:color="auto"/>
      </w:divBdr>
    </w:div>
    <w:div w:id="865286891">
      <w:bodyDiv w:val="1"/>
      <w:marLeft w:val="0"/>
      <w:marRight w:val="0"/>
      <w:marTop w:val="0"/>
      <w:marBottom w:val="0"/>
      <w:divBdr>
        <w:top w:val="none" w:sz="0" w:space="0" w:color="auto"/>
        <w:left w:val="none" w:sz="0" w:space="0" w:color="auto"/>
        <w:bottom w:val="none" w:sz="0" w:space="0" w:color="auto"/>
        <w:right w:val="none" w:sz="0" w:space="0" w:color="auto"/>
      </w:divBdr>
    </w:div>
    <w:div w:id="867061993">
      <w:bodyDiv w:val="1"/>
      <w:marLeft w:val="0"/>
      <w:marRight w:val="0"/>
      <w:marTop w:val="0"/>
      <w:marBottom w:val="0"/>
      <w:divBdr>
        <w:top w:val="none" w:sz="0" w:space="0" w:color="auto"/>
        <w:left w:val="none" w:sz="0" w:space="0" w:color="auto"/>
        <w:bottom w:val="none" w:sz="0" w:space="0" w:color="auto"/>
        <w:right w:val="none" w:sz="0" w:space="0" w:color="auto"/>
      </w:divBdr>
    </w:div>
    <w:div w:id="867910329">
      <w:bodyDiv w:val="1"/>
      <w:marLeft w:val="0"/>
      <w:marRight w:val="0"/>
      <w:marTop w:val="0"/>
      <w:marBottom w:val="0"/>
      <w:divBdr>
        <w:top w:val="none" w:sz="0" w:space="0" w:color="auto"/>
        <w:left w:val="none" w:sz="0" w:space="0" w:color="auto"/>
        <w:bottom w:val="none" w:sz="0" w:space="0" w:color="auto"/>
        <w:right w:val="none" w:sz="0" w:space="0" w:color="auto"/>
      </w:divBdr>
    </w:div>
    <w:div w:id="869143937">
      <w:bodyDiv w:val="1"/>
      <w:marLeft w:val="0"/>
      <w:marRight w:val="0"/>
      <w:marTop w:val="0"/>
      <w:marBottom w:val="0"/>
      <w:divBdr>
        <w:top w:val="none" w:sz="0" w:space="0" w:color="auto"/>
        <w:left w:val="none" w:sz="0" w:space="0" w:color="auto"/>
        <w:bottom w:val="none" w:sz="0" w:space="0" w:color="auto"/>
        <w:right w:val="none" w:sz="0" w:space="0" w:color="auto"/>
      </w:divBdr>
    </w:div>
    <w:div w:id="869149545">
      <w:bodyDiv w:val="1"/>
      <w:marLeft w:val="0"/>
      <w:marRight w:val="0"/>
      <w:marTop w:val="0"/>
      <w:marBottom w:val="0"/>
      <w:divBdr>
        <w:top w:val="none" w:sz="0" w:space="0" w:color="auto"/>
        <w:left w:val="none" w:sz="0" w:space="0" w:color="auto"/>
        <w:bottom w:val="none" w:sz="0" w:space="0" w:color="auto"/>
        <w:right w:val="none" w:sz="0" w:space="0" w:color="auto"/>
      </w:divBdr>
    </w:div>
    <w:div w:id="869610287">
      <w:bodyDiv w:val="1"/>
      <w:marLeft w:val="0"/>
      <w:marRight w:val="0"/>
      <w:marTop w:val="0"/>
      <w:marBottom w:val="0"/>
      <w:divBdr>
        <w:top w:val="none" w:sz="0" w:space="0" w:color="auto"/>
        <w:left w:val="none" w:sz="0" w:space="0" w:color="auto"/>
        <w:bottom w:val="none" w:sz="0" w:space="0" w:color="auto"/>
        <w:right w:val="none" w:sz="0" w:space="0" w:color="auto"/>
      </w:divBdr>
    </w:div>
    <w:div w:id="870143220">
      <w:bodyDiv w:val="1"/>
      <w:marLeft w:val="0"/>
      <w:marRight w:val="0"/>
      <w:marTop w:val="0"/>
      <w:marBottom w:val="0"/>
      <w:divBdr>
        <w:top w:val="none" w:sz="0" w:space="0" w:color="auto"/>
        <w:left w:val="none" w:sz="0" w:space="0" w:color="auto"/>
        <w:bottom w:val="none" w:sz="0" w:space="0" w:color="auto"/>
        <w:right w:val="none" w:sz="0" w:space="0" w:color="auto"/>
      </w:divBdr>
    </w:div>
    <w:div w:id="870190837">
      <w:bodyDiv w:val="1"/>
      <w:marLeft w:val="0"/>
      <w:marRight w:val="0"/>
      <w:marTop w:val="0"/>
      <w:marBottom w:val="0"/>
      <w:divBdr>
        <w:top w:val="none" w:sz="0" w:space="0" w:color="auto"/>
        <w:left w:val="none" w:sz="0" w:space="0" w:color="auto"/>
        <w:bottom w:val="none" w:sz="0" w:space="0" w:color="auto"/>
        <w:right w:val="none" w:sz="0" w:space="0" w:color="auto"/>
      </w:divBdr>
    </w:div>
    <w:div w:id="871576139">
      <w:bodyDiv w:val="1"/>
      <w:marLeft w:val="0"/>
      <w:marRight w:val="0"/>
      <w:marTop w:val="0"/>
      <w:marBottom w:val="0"/>
      <w:divBdr>
        <w:top w:val="none" w:sz="0" w:space="0" w:color="auto"/>
        <w:left w:val="none" w:sz="0" w:space="0" w:color="auto"/>
        <w:bottom w:val="none" w:sz="0" w:space="0" w:color="auto"/>
        <w:right w:val="none" w:sz="0" w:space="0" w:color="auto"/>
      </w:divBdr>
    </w:div>
    <w:div w:id="873927179">
      <w:bodyDiv w:val="1"/>
      <w:marLeft w:val="0"/>
      <w:marRight w:val="0"/>
      <w:marTop w:val="0"/>
      <w:marBottom w:val="0"/>
      <w:divBdr>
        <w:top w:val="none" w:sz="0" w:space="0" w:color="auto"/>
        <w:left w:val="none" w:sz="0" w:space="0" w:color="auto"/>
        <w:bottom w:val="none" w:sz="0" w:space="0" w:color="auto"/>
        <w:right w:val="none" w:sz="0" w:space="0" w:color="auto"/>
      </w:divBdr>
    </w:div>
    <w:div w:id="874081707">
      <w:bodyDiv w:val="1"/>
      <w:marLeft w:val="0"/>
      <w:marRight w:val="0"/>
      <w:marTop w:val="0"/>
      <w:marBottom w:val="0"/>
      <w:divBdr>
        <w:top w:val="none" w:sz="0" w:space="0" w:color="auto"/>
        <w:left w:val="none" w:sz="0" w:space="0" w:color="auto"/>
        <w:bottom w:val="none" w:sz="0" w:space="0" w:color="auto"/>
        <w:right w:val="none" w:sz="0" w:space="0" w:color="auto"/>
      </w:divBdr>
    </w:div>
    <w:div w:id="874779610">
      <w:bodyDiv w:val="1"/>
      <w:marLeft w:val="0"/>
      <w:marRight w:val="0"/>
      <w:marTop w:val="0"/>
      <w:marBottom w:val="0"/>
      <w:divBdr>
        <w:top w:val="none" w:sz="0" w:space="0" w:color="auto"/>
        <w:left w:val="none" w:sz="0" w:space="0" w:color="auto"/>
        <w:bottom w:val="none" w:sz="0" w:space="0" w:color="auto"/>
        <w:right w:val="none" w:sz="0" w:space="0" w:color="auto"/>
      </w:divBdr>
    </w:div>
    <w:div w:id="874926962">
      <w:bodyDiv w:val="1"/>
      <w:marLeft w:val="0"/>
      <w:marRight w:val="0"/>
      <w:marTop w:val="0"/>
      <w:marBottom w:val="0"/>
      <w:divBdr>
        <w:top w:val="none" w:sz="0" w:space="0" w:color="auto"/>
        <w:left w:val="none" w:sz="0" w:space="0" w:color="auto"/>
        <w:bottom w:val="none" w:sz="0" w:space="0" w:color="auto"/>
        <w:right w:val="none" w:sz="0" w:space="0" w:color="auto"/>
      </w:divBdr>
    </w:div>
    <w:div w:id="875504309">
      <w:bodyDiv w:val="1"/>
      <w:marLeft w:val="0"/>
      <w:marRight w:val="0"/>
      <w:marTop w:val="0"/>
      <w:marBottom w:val="0"/>
      <w:divBdr>
        <w:top w:val="none" w:sz="0" w:space="0" w:color="auto"/>
        <w:left w:val="none" w:sz="0" w:space="0" w:color="auto"/>
        <w:bottom w:val="none" w:sz="0" w:space="0" w:color="auto"/>
        <w:right w:val="none" w:sz="0" w:space="0" w:color="auto"/>
      </w:divBdr>
    </w:div>
    <w:div w:id="875655929">
      <w:bodyDiv w:val="1"/>
      <w:marLeft w:val="0"/>
      <w:marRight w:val="0"/>
      <w:marTop w:val="0"/>
      <w:marBottom w:val="0"/>
      <w:divBdr>
        <w:top w:val="none" w:sz="0" w:space="0" w:color="auto"/>
        <w:left w:val="none" w:sz="0" w:space="0" w:color="auto"/>
        <w:bottom w:val="none" w:sz="0" w:space="0" w:color="auto"/>
        <w:right w:val="none" w:sz="0" w:space="0" w:color="auto"/>
      </w:divBdr>
    </w:div>
    <w:div w:id="877205391">
      <w:bodyDiv w:val="1"/>
      <w:marLeft w:val="0"/>
      <w:marRight w:val="0"/>
      <w:marTop w:val="0"/>
      <w:marBottom w:val="0"/>
      <w:divBdr>
        <w:top w:val="none" w:sz="0" w:space="0" w:color="auto"/>
        <w:left w:val="none" w:sz="0" w:space="0" w:color="auto"/>
        <w:bottom w:val="none" w:sz="0" w:space="0" w:color="auto"/>
        <w:right w:val="none" w:sz="0" w:space="0" w:color="auto"/>
      </w:divBdr>
    </w:div>
    <w:div w:id="878585351">
      <w:bodyDiv w:val="1"/>
      <w:marLeft w:val="0"/>
      <w:marRight w:val="0"/>
      <w:marTop w:val="0"/>
      <w:marBottom w:val="0"/>
      <w:divBdr>
        <w:top w:val="none" w:sz="0" w:space="0" w:color="auto"/>
        <w:left w:val="none" w:sz="0" w:space="0" w:color="auto"/>
        <w:bottom w:val="none" w:sz="0" w:space="0" w:color="auto"/>
        <w:right w:val="none" w:sz="0" w:space="0" w:color="auto"/>
      </w:divBdr>
    </w:div>
    <w:div w:id="878855839">
      <w:bodyDiv w:val="1"/>
      <w:marLeft w:val="0"/>
      <w:marRight w:val="0"/>
      <w:marTop w:val="0"/>
      <w:marBottom w:val="0"/>
      <w:divBdr>
        <w:top w:val="none" w:sz="0" w:space="0" w:color="auto"/>
        <w:left w:val="none" w:sz="0" w:space="0" w:color="auto"/>
        <w:bottom w:val="none" w:sz="0" w:space="0" w:color="auto"/>
        <w:right w:val="none" w:sz="0" w:space="0" w:color="auto"/>
      </w:divBdr>
    </w:div>
    <w:div w:id="878981440">
      <w:bodyDiv w:val="1"/>
      <w:marLeft w:val="0"/>
      <w:marRight w:val="0"/>
      <w:marTop w:val="0"/>
      <w:marBottom w:val="0"/>
      <w:divBdr>
        <w:top w:val="none" w:sz="0" w:space="0" w:color="auto"/>
        <w:left w:val="none" w:sz="0" w:space="0" w:color="auto"/>
        <w:bottom w:val="none" w:sz="0" w:space="0" w:color="auto"/>
        <w:right w:val="none" w:sz="0" w:space="0" w:color="auto"/>
      </w:divBdr>
    </w:div>
    <w:div w:id="879245520">
      <w:bodyDiv w:val="1"/>
      <w:marLeft w:val="0"/>
      <w:marRight w:val="0"/>
      <w:marTop w:val="0"/>
      <w:marBottom w:val="0"/>
      <w:divBdr>
        <w:top w:val="none" w:sz="0" w:space="0" w:color="auto"/>
        <w:left w:val="none" w:sz="0" w:space="0" w:color="auto"/>
        <w:bottom w:val="none" w:sz="0" w:space="0" w:color="auto"/>
        <w:right w:val="none" w:sz="0" w:space="0" w:color="auto"/>
      </w:divBdr>
    </w:div>
    <w:div w:id="879319651">
      <w:bodyDiv w:val="1"/>
      <w:marLeft w:val="0"/>
      <w:marRight w:val="0"/>
      <w:marTop w:val="0"/>
      <w:marBottom w:val="0"/>
      <w:divBdr>
        <w:top w:val="none" w:sz="0" w:space="0" w:color="auto"/>
        <w:left w:val="none" w:sz="0" w:space="0" w:color="auto"/>
        <w:bottom w:val="none" w:sz="0" w:space="0" w:color="auto"/>
        <w:right w:val="none" w:sz="0" w:space="0" w:color="auto"/>
      </w:divBdr>
    </w:div>
    <w:div w:id="879438529">
      <w:bodyDiv w:val="1"/>
      <w:marLeft w:val="0"/>
      <w:marRight w:val="0"/>
      <w:marTop w:val="0"/>
      <w:marBottom w:val="0"/>
      <w:divBdr>
        <w:top w:val="none" w:sz="0" w:space="0" w:color="auto"/>
        <w:left w:val="none" w:sz="0" w:space="0" w:color="auto"/>
        <w:bottom w:val="none" w:sz="0" w:space="0" w:color="auto"/>
        <w:right w:val="none" w:sz="0" w:space="0" w:color="auto"/>
      </w:divBdr>
    </w:div>
    <w:div w:id="879511091">
      <w:bodyDiv w:val="1"/>
      <w:marLeft w:val="0"/>
      <w:marRight w:val="0"/>
      <w:marTop w:val="0"/>
      <w:marBottom w:val="0"/>
      <w:divBdr>
        <w:top w:val="none" w:sz="0" w:space="0" w:color="auto"/>
        <w:left w:val="none" w:sz="0" w:space="0" w:color="auto"/>
        <w:bottom w:val="none" w:sz="0" w:space="0" w:color="auto"/>
        <w:right w:val="none" w:sz="0" w:space="0" w:color="auto"/>
      </w:divBdr>
    </w:div>
    <w:div w:id="879516939">
      <w:bodyDiv w:val="1"/>
      <w:marLeft w:val="0"/>
      <w:marRight w:val="0"/>
      <w:marTop w:val="0"/>
      <w:marBottom w:val="0"/>
      <w:divBdr>
        <w:top w:val="none" w:sz="0" w:space="0" w:color="auto"/>
        <w:left w:val="none" w:sz="0" w:space="0" w:color="auto"/>
        <w:bottom w:val="none" w:sz="0" w:space="0" w:color="auto"/>
        <w:right w:val="none" w:sz="0" w:space="0" w:color="auto"/>
      </w:divBdr>
    </w:div>
    <w:div w:id="879778186">
      <w:bodyDiv w:val="1"/>
      <w:marLeft w:val="0"/>
      <w:marRight w:val="0"/>
      <w:marTop w:val="0"/>
      <w:marBottom w:val="0"/>
      <w:divBdr>
        <w:top w:val="none" w:sz="0" w:space="0" w:color="auto"/>
        <w:left w:val="none" w:sz="0" w:space="0" w:color="auto"/>
        <w:bottom w:val="none" w:sz="0" w:space="0" w:color="auto"/>
        <w:right w:val="none" w:sz="0" w:space="0" w:color="auto"/>
      </w:divBdr>
    </w:div>
    <w:div w:id="881139588">
      <w:bodyDiv w:val="1"/>
      <w:marLeft w:val="0"/>
      <w:marRight w:val="0"/>
      <w:marTop w:val="0"/>
      <w:marBottom w:val="0"/>
      <w:divBdr>
        <w:top w:val="none" w:sz="0" w:space="0" w:color="auto"/>
        <w:left w:val="none" w:sz="0" w:space="0" w:color="auto"/>
        <w:bottom w:val="none" w:sz="0" w:space="0" w:color="auto"/>
        <w:right w:val="none" w:sz="0" w:space="0" w:color="auto"/>
      </w:divBdr>
    </w:div>
    <w:div w:id="882406760">
      <w:bodyDiv w:val="1"/>
      <w:marLeft w:val="0"/>
      <w:marRight w:val="0"/>
      <w:marTop w:val="0"/>
      <w:marBottom w:val="0"/>
      <w:divBdr>
        <w:top w:val="none" w:sz="0" w:space="0" w:color="auto"/>
        <w:left w:val="none" w:sz="0" w:space="0" w:color="auto"/>
        <w:bottom w:val="none" w:sz="0" w:space="0" w:color="auto"/>
        <w:right w:val="none" w:sz="0" w:space="0" w:color="auto"/>
      </w:divBdr>
    </w:div>
    <w:div w:id="883833175">
      <w:bodyDiv w:val="1"/>
      <w:marLeft w:val="0"/>
      <w:marRight w:val="0"/>
      <w:marTop w:val="0"/>
      <w:marBottom w:val="0"/>
      <w:divBdr>
        <w:top w:val="none" w:sz="0" w:space="0" w:color="auto"/>
        <w:left w:val="none" w:sz="0" w:space="0" w:color="auto"/>
        <w:bottom w:val="none" w:sz="0" w:space="0" w:color="auto"/>
        <w:right w:val="none" w:sz="0" w:space="0" w:color="auto"/>
      </w:divBdr>
    </w:div>
    <w:div w:id="884029692">
      <w:bodyDiv w:val="1"/>
      <w:marLeft w:val="0"/>
      <w:marRight w:val="0"/>
      <w:marTop w:val="0"/>
      <w:marBottom w:val="0"/>
      <w:divBdr>
        <w:top w:val="none" w:sz="0" w:space="0" w:color="auto"/>
        <w:left w:val="none" w:sz="0" w:space="0" w:color="auto"/>
        <w:bottom w:val="none" w:sz="0" w:space="0" w:color="auto"/>
        <w:right w:val="none" w:sz="0" w:space="0" w:color="auto"/>
      </w:divBdr>
    </w:div>
    <w:div w:id="884103460">
      <w:bodyDiv w:val="1"/>
      <w:marLeft w:val="0"/>
      <w:marRight w:val="0"/>
      <w:marTop w:val="0"/>
      <w:marBottom w:val="0"/>
      <w:divBdr>
        <w:top w:val="none" w:sz="0" w:space="0" w:color="auto"/>
        <w:left w:val="none" w:sz="0" w:space="0" w:color="auto"/>
        <w:bottom w:val="none" w:sz="0" w:space="0" w:color="auto"/>
        <w:right w:val="none" w:sz="0" w:space="0" w:color="auto"/>
      </w:divBdr>
    </w:div>
    <w:div w:id="884875811">
      <w:bodyDiv w:val="1"/>
      <w:marLeft w:val="0"/>
      <w:marRight w:val="0"/>
      <w:marTop w:val="0"/>
      <w:marBottom w:val="0"/>
      <w:divBdr>
        <w:top w:val="none" w:sz="0" w:space="0" w:color="auto"/>
        <w:left w:val="none" w:sz="0" w:space="0" w:color="auto"/>
        <w:bottom w:val="none" w:sz="0" w:space="0" w:color="auto"/>
        <w:right w:val="none" w:sz="0" w:space="0" w:color="auto"/>
      </w:divBdr>
    </w:div>
    <w:div w:id="885261444">
      <w:bodyDiv w:val="1"/>
      <w:marLeft w:val="0"/>
      <w:marRight w:val="0"/>
      <w:marTop w:val="0"/>
      <w:marBottom w:val="0"/>
      <w:divBdr>
        <w:top w:val="none" w:sz="0" w:space="0" w:color="auto"/>
        <w:left w:val="none" w:sz="0" w:space="0" w:color="auto"/>
        <w:bottom w:val="none" w:sz="0" w:space="0" w:color="auto"/>
        <w:right w:val="none" w:sz="0" w:space="0" w:color="auto"/>
      </w:divBdr>
    </w:div>
    <w:div w:id="885720090">
      <w:bodyDiv w:val="1"/>
      <w:marLeft w:val="0"/>
      <w:marRight w:val="0"/>
      <w:marTop w:val="0"/>
      <w:marBottom w:val="0"/>
      <w:divBdr>
        <w:top w:val="none" w:sz="0" w:space="0" w:color="auto"/>
        <w:left w:val="none" w:sz="0" w:space="0" w:color="auto"/>
        <w:bottom w:val="none" w:sz="0" w:space="0" w:color="auto"/>
        <w:right w:val="none" w:sz="0" w:space="0" w:color="auto"/>
      </w:divBdr>
    </w:div>
    <w:div w:id="886718650">
      <w:bodyDiv w:val="1"/>
      <w:marLeft w:val="0"/>
      <w:marRight w:val="0"/>
      <w:marTop w:val="0"/>
      <w:marBottom w:val="0"/>
      <w:divBdr>
        <w:top w:val="none" w:sz="0" w:space="0" w:color="auto"/>
        <w:left w:val="none" w:sz="0" w:space="0" w:color="auto"/>
        <w:bottom w:val="none" w:sz="0" w:space="0" w:color="auto"/>
        <w:right w:val="none" w:sz="0" w:space="0" w:color="auto"/>
      </w:divBdr>
    </w:div>
    <w:div w:id="888372882">
      <w:bodyDiv w:val="1"/>
      <w:marLeft w:val="0"/>
      <w:marRight w:val="0"/>
      <w:marTop w:val="0"/>
      <w:marBottom w:val="0"/>
      <w:divBdr>
        <w:top w:val="none" w:sz="0" w:space="0" w:color="auto"/>
        <w:left w:val="none" w:sz="0" w:space="0" w:color="auto"/>
        <w:bottom w:val="none" w:sz="0" w:space="0" w:color="auto"/>
        <w:right w:val="none" w:sz="0" w:space="0" w:color="auto"/>
      </w:divBdr>
    </w:div>
    <w:div w:id="888537336">
      <w:bodyDiv w:val="1"/>
      <w:marLeft w:val="0"/>
      <w:marRight w:val="0"/>
      <w:marTop w:val="0"/>
      <w:marBottom w:val="0"/>
      <w:divBdr>
        <w:top w:val="none" w:sz="0" w:space="0" w:color="auto"/>
        <w:left w:val="none" w:sz="0" w:space="0" w:color="auto"/>
        <w:bottom w:val="none" w:sz="0" w:space="0" w:color="auto"/>
        <w:right w:val="none" w:sz="0" w:space="0" w:color="auto"/>
      </w:divBdr>
    </w:div>
    <w:div w:id="889683426">
      <w:bodyDiv w:val="1"/>
      <w:marLeft w:val="0"/>
      <w:marRight w:val="0"/>
      <w:marTop w:val="0"/>
      <w:marBottom w:val="0"/>
      <w:divBdr>
        <w:top w:val="none" w:sz="0" w:space="0" w:color="auto"/>
        <w:left w:val="none" w:sz="0" w:space="0" w:color="auto"/>
        <w:bottom w:val="none" w:sz="0" w:space="0" w:color="auto"/>
        <w:right w:val="none" w:sz="0" w:space="0" w:color="auto"/>
      </w:divBdr>
    </w:div>
    <w:div w:id="890653404">
      <w:bodyDiv w:val="1"/>
      <w:marLeft w:val="0"/>
      <w:marRight w:val="0"/>
      <w:marTop w:val="0"/>
      <w:marBottom w:val="0"/>
      <w:divBdr>
        <w:top w:val="none" w:sz="0" w:space="0" w:color="auto"/>
        <w:left w:val="none" w:sz="0" w:space="0" w:color="auto"/>
        <w:bottom w:val="none" w:sz="0" w:space="0" w:color="auto"/>
        <w:right w:val="none" w:sz="0" w:space="0" w:color="auto"/>
      </w:divBdr>
    </w:div>
    <w:div w:id="890847522">
      <w:bodyDiv w:val="1"/>
      <w:marLeft w:val="0"/>
      <w:marRight w:val="0"/>
      <w:marTop w:val="0"/>
      <w:marBottom w:val="0"/>
      <w:divBdr>
        <w:top w:val="none" w:sz="0" w:space="0" w:color="auto"/>
        <w:left w:val="none" w:sz="0" w:space="0" w:color="auto"/>
        <w:bottom w:val="none" w:sz="0" w:space="0" w:color="auto"/>
        <w:right w:val="none" w:sz="0" w:space="0" w:color="auto"/>
      </w:divBdr>
    </w:div>
    <w:div w:id="890849331">
      <w:bodyDiv w:val="1"/>
      <w:marLeft w:val="0"/>
      <w:marRight w:val="0"/>
      <w:marTop w:val="0"/>
      <w:marBottom w:val="0"/>
      <w:divBdr>
        <w:top w:val="none" w:sz="0" w:space="0" w:color="auto"/>
        <w:left w:val="none" w:sz="0" w:space="0" w:color="auto"/>
        <w:bottom w:val="none" w:sz="0" w:space="0" w:color="auto"/>
        <w:right w:val="none" w:sz="0" w:space="0" w:color="auto"/>
      </w:divBdr>
    </w:div>
    <w:div w:id="890919984">
      <w:bodyDiv w:val="1"/>
      <w:marLeft w:val="0"/>
      <w:marRight w:val="0"/>
      <w:marTop w:val="0"/>
      <w:marBottom w:val="0"/>
      <w:divBdr>
        <w:top w:val="none" w:sz="0" w:space="0" w:color="auto"/>
        <w:left w:val="none" w:sz="0" w:space="0" w:color="auto"/>
        <w:bottom w:val="none" w:sz="0" w:space="0" w:color="auto"/>
        <w:right w:val="none" w:sz="0" w:space="0" w:color="auto"/>
      </w:divBdr>
    </w:div>
    <w:div w:id="891380931">
      <w:bodyDiv w:val="1"/>
      <w:marLeft w:val="0"/>
      <w:marRight w:val="0"/>
      <w:marTop w:val="0"/>
      <w:marBottom w:val="0"/>
      <w:divBdr>
        <w:top w:val="none" w:sz="0" w:space="0" w:color="auto"/>
        <w:left w:val="none" w:sz="0" w:space="0" w:color="auto"/>
        <w:bottom w:val="none" w:sz="0" w:space="0" w:color="auto"/>
        <w:right w:val="none" w:sz="0" w:space="0" w:color="auto"/>
      </w:divBdr>
    </w:div>
    <w:div w:id="892156177">
      <w:bodyDiv w:val="1"/>
      <w:marLeft w:val="0"/>
      <w:marRight w:val="0"/>
      <w:marTop w:val="0"/>
      <w:marBottom w:val="0"/>
      <w:divBdr>
        <w:top w:val="none" w:sz="0" w:space="0" w:color="auto"/>
        <w:left w:val="none" w:sz="0" w:space="0" w:color="auto"/>
        <w:bottom w:val="none" w:sz="0" w:space="0" w:color="auto"/>
        <w:right w:val="none" w:sz="0" w:space="0" w:color="auto"/>
      </w:divBdr>
    </w:div>
    <w:div w:id="892422934">
      <w:bodyDiv w:val="1"/>
      <w:marLeft w:val="0"/>
      <w:marRight w:val="0"/>
      <w:marTop w:val="0"/>
      <w:marBottom w:val="0"/>
      <w:divBdr>
        <w:top w:val="none" w:sz="0" w:space="0" w:color="auto"/>
        <w:left w:val="none" w:sz="0" w:space="0" w:color="auto"/>
        <w:bottom w:val="none" w:sz="0" w:space="0" w:color="auto"/>
        <w:right w:val="none" w:sz="0" w:space="0" w:color="auto"/>
      </w:divBdr>
    </w:div>
    <w:div w:id="892499554">
      <w:bodyDiv w:val="1"/>
      <w:marLeft w:val="0"/>
      <w:marRight w:val="0"/>
      <w:marTop w:val="0"/>
      <w:marBottom w:val="0"/>
      <w:divBdr>
        <w:top w:val="none" w:sz="0" w:space="0" w:color="auto"/>
        <w:left w:val="none" w:sz="0" w:space="0" w:color="auto"/>
        <w:bottom w:val="none" w:sz="0" w:space="0" w:color="auto"/>
        <w:right w:val="none" w:sz="0" w:space="0" w:color="auto"/>
      </w:divBdr>
    </w:div>
    <w:div w:id="893152544">
      <w:bodyDiv w:val="1"/>
      <w:marLeft w:val="0"/>
      <w:marRight w:val="0"/>
      <w:marTop w:val="0"/>
      <w:marBottom w:val="0"/>
      <w:divBdr>
        <w:top w:val="none" w:sz="0" w:space="0" w:color="auto"/>
        <w:left w:val="none" w:sz="0" w:space="0" w:color="auto"/>
        <w:bottom w:val="none" w:sz="0" w:space="0" w:color="auto"/>
        <w:right w:val="none" w:sz="0" w:space="0" w:color="auto"/>
      </w:divBdr>
    </w:div>
    <w:div w:id="893928384">
      <w:bodyDiv w:val="1"/>
      <w:marLeft w:val="0"/>
      <w:marRight w:val="0"/>
      <w:marTop w:val="0"/>
      <w:marBottom w:val="0"/>
      <w:divBdr>
        <w:top w:val="none" w:sz="0" w:space="0" w:color="auto"/>
        <w:left w:val="none" w:sz="0" w:space="0" w:color="auto"/>
        <w:bottom w:val="none" w:sz="0" w:space="0" w:color="auto"/>
        <w:right w:val="none" w:sz="0" w:space="0" w:color="auto"/>
      </w:divBdr>
    </w:div>
    <w:div w:id="894006026">
      <w:bodyDiv w:val="1"/>
      <w:marLeft w:val="0"/>
      <w:marRight w:val="0"/>
      <w:marTop w:val="0"/>
      <w:marBottom w:val="0"/>
      <w:divBdr>
        <w:top w:val="none" w:sz="0" w:space="0" w:color="auto"/>
        <w:left w:val="none" w:sz="0" w:space="0" w:color="auto"/>
        <w:bottom w:val="none" w:sz="0" w:space="0" w:color="auto"/>
        <w:right w:val="none" w:sz="0" w:space="0" w:color="auto"/>
      </w:divBdr>
    </w:div>
    <w:div w:id="894698267">
      <w:bodyDiv w:val="1"/>
      <w:marLeft w:val="0"/>
      <w:marRight w:val="0"/>
      <w:marTop w:val="0"/>
      <w:marBottom w:val="0"/>
      <w:divBdr>
        <w:top w:val="none" w:sz="0" w:space="0" w:color="auto"/>
        <w:left w:val="none" w:sz="0" w:space="0" w:color="auto"/>
        <w:bottom w:val="none" w:sz="0" w:space="0" w:color="auto"/>
        <w:right w:val="none" w:sz="0" w:space="0" w:color="auto"/>
      </w:divBdr>
    </w:div>
    <w:div w:id="894858380">
      <w:bodyDiv w:val="1"/>
      <w:marLeft w:val="0"/>
      <w:marRight w:val="0"/>
      <w:marTop w:val="0"/>
      <w:marBottom w:val="0"/>
      <w:divBdr>
        <w:top w:val="none" w:sz="0" w:space="0" w:color="auto"/>
        <w:left w:val="none" w:sz="0" w:space="0" w:color="auto"/>
        <w:bottom w:val="none" w:sz="0" w:space="0" w:color="auto"/>
        <w:right w:val="none" w:sz="0" w:space="0" w:color="auto"/>
      </w:divBdr>
    </w:div>
    <w:div w:id="894899565">
      <w:bodyDiv w:val="1"/>
      <w:marLeft w:val="0"/>
      <w:marRight w:val="0"/>
      <w:marTop w:val="0"/>
      <w:marBottom w:val="0"/>
      <w:divBdr>
        <w:top w:val="none" w:sz="0" w:space="0" w:color="auto"/>
        <w:left w:val="none" w:sz="0" w:space="0" w:color="auto"/>
        <w:bottom w:val="none" w:sz="0" w:space="0" w:color="auto"/>
        <w:right w:val="none" w:sz="0" w:space="0" w:color="auto"/>
      </w:divBdr>
    </w:div>
    <w:div w:id="894970948">
      <w:bodyDiv w:val="1"/>
      <w:marLeft w:val="0"/>
      <w:marRight w:val="0"/>
      <w:marTop w:val="0"/>
      <w:marBottom w:val="0"/>
      <w:divBdr>
        <w:top w:val="none" w:sz="0" w:space="0" w:color="auto"/>
        <w:left w:val="none" w:sz="0" w:space="0" w:color="auto"/>
        <w:bottom w:val="none" w:sz="0" w:space="0" w:color="auto"/>
        <w:right w:val="none" w:sz="0" w:space="0" w:color="auto"/>
      </w:divBdr>
    </w:div>
    <w:div w:id="895119851">
      <w:bodyDiv w:val="1"/>
      <w:marLeft w:val="0"/>
      <w:marRight w:val="0"/>
      <w:marTop w:val="0"/>
      <w:marBottom w:val="0"/>
      <w:divBdr>
        <w:top w:val="none" w:sz="0" w:space="0" w:color="auto"/>
        <w:left w:val="none" w:sz="0" w:space="0" w:color="auto"/>
        <w:bottom w:val="none" w:sz="0" w:space="0" w:color="auto"/>
        <w:right w:val="none" w:sz="0" w:space="0" w:color="auto"/>
      </w:divBdr>
    </w:div>
    <w:div w:id="896548076">
      <w:bodyDiv w:val="1"/>
      <w:marLeft w:val="0"/>
      <w:marRight w:val="0"/>
      <w:marTop w:val="0"/>
      <w:marBottom w:val="0"/>
      <w:divBdr>
        <w:top w:val="none" w:sz="0" w:space="0" w:color="auto"/>
        <w:left w:val="none" w:sz="0" w:space="0" w:color="auto"/>
        <w:bottom w:val="none" w:sz="0" w:space="0" w:color="auto"/>
        <w:right w:val="none" w:sz="0" w:space="0" w:color="auto"/>
      </w:divBdr>
    </w:div>
    <w:div w:id="896817675">
      <w:bodyDiv w:val="1"/>
      <w:marLeft w:val="0"/>
      <w:marRight w:val="0"/>
      <w:marTop w:val="0"/>
      <w:marBottom w:val="0"/>
      <w:divBdr>
        <w:top w:val="none" w:sz="0" w:space="0" w:color="auto"/>
        <w:left w:val="none" w:sz="0" w:space="0" w:color="auto"/>
        <w:bottom w:val="none" w:sz="0" w:space="0" w:color="auto"/>
        <w:right w:val="none" w:sz="0" w:space="0" w:color="auto"/>
      </w:divBdr>
    </w:div>
    <w:div w:id="897130100">
      <w:bodyDiv w:val="1"/>
      <w:marLeft w:val="0"/>
      <w:marRight w:val="0"/>
      <w:marTop w:val="0"/>
      <w:marBottom w:val="0"/>
      <w:divBdr>
        <w:top w:val="none" w:sz="0" w:space="0" w:color="auto"/>
        <w:left w:val="none" w:sz="0" w:space="0" w:color="auto"/>
        <w:bottom w:val="none" w:sz="0" w:space="0" w:color="auto"/>
        <w:right w:val="none" w:sz="0" w:space="0" w:color="auto"/>
      </w:divBdr>
    </w:div>
    <w:div w:id="897284822">
      <w:bodyDiv w:val="1"/>
      <w:marLeft w:val="0"/>
      <w:marRight w:val="0"/>
      <w:marTop w:val="0"/>
      <w:marBottom w:val="0"/>
      <w:divBdr>
        <w:top w:val="none" w:sz="0" w:space="0" w:color="auto"/>
        <w:left w:val="none" w:sz="0" w:space="0" w:color="auto"/>
        <w:bottom w:val="none" w:sz="0" w:space="0" w:color="auto"/>
        <w:right w:val="none" w:sz="0" w:space="0" w:color="auto"/>
      </w:divBdr>
    </w:div>
    <w:div w:id="897744790">
      <w:bodyDiv w:val="1"/>
      <w:marLeft w:val="0"/>
      <w:marRight w:val="0"/>
      <w:marTop w:val="0"/>
      <w:marBottom w:val="0"/>
      <w:divBdr>
        <w:top w:val="none" w:sz="0" w:space="0" w:color="auto"/>
        <w:left w:val="none" w:sz="0" w:space="0" w:color="auto"/>
        <w:bottom w:val="none" w:sz="0" w:space="0" w:color="auto"/>
        <w:right w:val="none" w:sz="0" w:space="0" w:color="auto"/>
      </w:divBdr>
    </w:div>
    <w:div w:id="899445473">
      <w:bodyDiv w:val="1"/>
      <w:marLeft w:val="0"/>
      <w:marRight w:val="0"/>
      <w:marTop w:val="0"/>
      <w:marBottom w:val="0"/>
      <w:divBdr>
        <w:top w:val="none" w:sz="0" w:space="0" w:color="auto"/>
        <w:left w:val="none" w:sz="0" w:space="0" w:color="auto"/>
        <w:bottom w:val="none" w:sz="0" w:space="0" w:color="auto"/>
        <w:right w:val="none" w:sz="0" w:space="0" w:color="auto"/>
      </w:divBdr>
    </w:div>
    <w:div w:id="899511563">
      <w:bodyDiv w:val="1"/>
      <w:marLeft w:val="0"/>
      <w:marRight w:val="0"/>
      <w:marTop w:val="0"/>
      <w:marBottom w:val="0"/>
      <w:divBdr>
        <w:top w:val="none" w:sz="0" w:space="0" w:color="auto"/>
        <w:left w:val="none" w:sz="0" w:space="0" w:color="auto"/>
        <w:bottom w:val="none" w:sz="0" w:space="0" w:color="auto"/>
        <w:right w:val="none" w:sz="0" w:space="0" w:color="auto"/>
      </w:divBdr>
    </w:div>
    <w:div w:id="901717169">
      <w:bodyDiv w:val="1"/>
      <w:marLeft w:val="0"/>
      <w:marRight w:val="0"/>
      <w:marTop w:val="0"/>
      <w:marBottom w:val="0"/>
      <w:divBdr>
        <w:top w:val="none" w:sz="0" w:space="0" w:color="auto"/>
        <w:left w:val="none" w:sz="0" w:space="0" w:color="auto"/>
        <w:bottom w:val="none" w:sz="0" w:space="0" w:color="auto"/>
        <w:right w:val="none" w:sz="0" w:space="0" w:color="auto"/>
      </w:divBdr>
    </w:div>
    <w:div w:id="904218199">
      <w:bodyDiv w:val="1"/>
      <w:marLeft w:val="0"/>
      <w:marRight w:val="0"/>
      <w:marTop w:val="0"/>
      <w:marBottom w:val="0"/>
      <w:divBdr>
        <w:top w:val="none" w:sz="0" w:space="0" w:color="auto"/>
        <w:left w:val="none" w:sz="0" w:space="0" w:color="auto"/>
        <w:bottom w:val="none" w:sz="0" w:space="0" w:color="auto"/>
        <w:right w:val="none" w:sz="0" w:space="0" w:color="auto"/>
      </w:divBdr>
    </w:div>
    <w:div w:id="904338186">
      <w:bodyDiv w:val="1"/>
      <w:marLeft w:val="0"/>
      <w:marRight w:val="0"/>
      <w:marTop w:val="0"/>
      <w:marBottom w:val="0"/>
      <w:divBdr>
        <w:top w:val="none" w:sz="0" w:space="0" w:color="auto"/>
        <w:left w:val="none" w:sz="0" w:space="0" w:color="auto"/>
        <w:bottom w:val="none" w:sz="0" w:space="0" w:color="auto"/>
        <w:right w:val="none" w:sz="0" w:space="0" w:color="auto"/>
      </w:divBdr>
    </w:div>
    <w:div w:id="904340061">
      <w:bodyDiv w:val="1"/>
      <w:marLeft w:val="0"/>
      <w:marRight w:val="0"/>
      <w:marTop w:val="0"/>
      <w:marBottom w:val="0"/>
      <w:divBdr>
        <w:top w:val="none" w:sz="0" w:space="0" w:color="auto"/>
        <w:left w:val="none" w:sz="0" w:space="0" w:color="auto"/>
        <w:bottom w:val="none" w:sz="0" w:space="0" w:color="auto"/>
        <w:right w:val="none" w:sz="0" w:space="0" w:color="auto"/>
      </w:divBdr>
    </w:div>
    <w:div w:id="904953450">
      <w:bodyDiv w:val="1"/>
      <w:marLeft w:val="0"/>
      <w:marRight w:val="0"/>
      <w:marTop w:val="0"/>
      <w:marBottom w:val="0"/>
      <w:divBdr>
        <w:top w:val="none" w:sz="0" w:space="0" w:color="auto"/>
        <w:left w:val="none" w:sz="0" w:space="0" w:color="auto"/>
        <w:bottom w:val="none" w:sz="0" w:space="0" w:color="auto"/>
        <w:right w:val="none" w:sz="0" w:space="0" w:color="auto"/>
      </w:divBdr>
    </w:div>
    <w:div w:id="905147472">
      <w:bodyDiv w:val="1"/>
      <w:marLeft w:val="0"/>
      <w:marRight w:val="0"/>
      <w:marTop w:val="0"/>
      <w:marBottom w:val="0"/>
      <w:divBdr>
        <w:top w:val="none" w:sz="0" w:space="0" w:color="auto"/>
        <w:left w:val="none" w:sz="0" w:space="0" w:color="auto"/>
        <w:bottom w:val="none" w:sz="0" w:space="0" w:color="auto"/>
        <w:right w:val="none" w:sz="0" w:space="0" w:color="auto"/>
      </w:divBdr>
    </w:div>
    <w:div w:id="905215478">
      <w:bodyDiv w:val="1"/>
      <w:marLeft w:val="0"/>
      <w:marRight w:val="0"/>
      <w:marTop w:val="0"/>
      <w:marBottom w:val="0"/>
      <w:divBdr>
        <w:top w:val="none" w:sz="0" w:space="0" w:color="auto"/>
        <w:left w:val="none" w:sz="0" w:space="0" w:color="auto"/>
        <w:bottom w:val="none" w:sz="0" w:space="0" w:color="auto"/>
        <w:right w:val="none" w:sz="0" w:space="0" w:color="auto"/>
      </w:divBdr>
    </w:div>
    <w:div w:id="905459494">
      <w:bodyDiv w:val="1"/>
      <w:marLeft w:val="0"/>
      <w:marRight w:val="0"/>
      <w:marTop w:val="0"/>
      <w:marBottom w:val="0"/>
      <w:divBdr>
        <w:top w:val="none" w:sz="0" w:space="0" w:color="auto"/>
        <w:left w:val="none" w:sz="0" w:space="0" w:color="auto"/>
        <w:bottom w:val="none" w:sz="0" w:space="0" w:color="auto"/>
        <w:right w:val="none" w:sz="0" w:space="0" w:color="auto"/>
      </w:divBdr>
    </w:div>
    <w:div w:id="905647190">
      <w:bodyDiv w:val="1"/>
      <w:marLeft w:val="0"/>
      <w:marRight w:val="0"/>
      <w:marTop w:val="0"/>
      <w:marBottom w:val="0"/>
      <w:divBdr>
        <w:top w:val="none" w:sz="0" w:space="0" w:color="auto"/>
        <w:left w:val="none" w:sz="0" w:space="0" w:color="auto"/>
        <w:bottom w:val="none" w:sz="0" w:space="0" w:color="auto"/>
        <w:right w:val="none" w:sz="0" w:space="0" w:color="auto"/>
      </w:divBdr>
    </w:div>
    <w:div w:id="905651102">
      <w:bodyDiv w:val="1"/>
      <w:marLeft w:val="0"/>
      <w:marRight w:val="0"/>
      <w:marTop w:val="0"/>
      <w:marBottom w:val="0"/>
      <w:divBdr>
        <w:top w:val="none" w:sz="0" w:space="0" w:color="auto"/>
        <w:left w:val="none" w:sz="0" w:space="0" w:color="auto"/>
        <w:bottom w:val="none" w:sz="0" w:space="0" w:color="auto"/>
        <w:right w:val="none" w:sz="0" w:space="0" w:color="auto"/>
      </w:divBdr>
    </w:div>
    <w:div w:id="906694784">
      <w:bodyDiv w:val="1"/>
      <w:marLeft w:val="0"/>
      <w:marRight w:val="0"/>
      <w:marTop w:val="0"/>
      <w:marBottom w:val="0"/>
      <w:divBdr>
        <w:top w:val="none" w:sz="0" w:space="0" w:color="auto"/>
        <w:left w:val="none" w:sz="0" w:space="0" w:color="auto"/>
        <w:bottom w:val="none" w:sz="0" w:space="0" w:color="auto"/>
        <w:right w:val="none" w:sz="0" w:space="0" w:color="auto"/>
      </w:divBdr>
    </w:div>
    <w:div w:id="906768621">
      <w:bodyDiv w:val="1"/>
      <w:marLeft w:val="0"/>
      <w:marRight w:val="0"/>
      <w:marTop w:val="0"/>
      <w:marBottom w:val="0"/>
      <w:divBdr>
        <w:top w:val="none" w:sz="0" w:space="0" w:color="auto"/>
        <w:left w:val="none" w:sz="0" w:space="0" w:color="auto"/>
        <w:bottom w:val="none" w:sz="0" w:space="0" w:color="auto"/>
        <w:right w:val="none" w:sz="0" w:space="0" w:color="auto"/>
      </w:divBdr>
    </w:div>
    <w:div w:id="908151836">
      <w:bodyDiv w:val="1"/>
      <w:marLeft w:val="0"/>
      <w:marRight w:val="0"/>
      <w:marTop w:val="0"/>
      <w:marBottom w:val="0"/>
      <w:divBdr>
        <w:top w:val="none" w:sz="0" w:space="0" w:color="auto"/>
        <w:left w:val="none" w:sz="0" w:space="0" w:color="auto"/>
        <w:bottom w:val="none" w:sz="0" w:space="0" w:color="auto"/>
        <w:right w:val="none" w:sz="0" w:space="0" w:color="auto"/>
      </w:divBdr>
    </w:div>
    <w:div w:id="908420691">
      <w:bodyDiv w:val="1"/>
      <w:marLeft w:val="0"/>
      <w:marRight w:val="0"/>
      <w:marTop w:val="0"/>
      <w:marBottom w:val="0"/>
      <w:divBdr>
        <w:top w:val="none" w:sz="0" w:space="0" w:color="auto"/>
        <w:left w:val="none" w:sz="0" w:space="0" w:color="auto"/>
        <w:bottom w:val="none" w:sz="0" w:space="0" w:color="auto"/>
        <w:right w:val="none" w:sz="0" w:space="0" w:color="auto"/>
      </w:divBdr>
    </w:div>
    <w:div w:id="908420767">
      <w:bodyDiv w:val="1"/>
      <w:marLeft w:val="0"/>
      <w:marRight w:val="0"/>
      <w:marTop w:val="0"/>
      <w:marBottom w:val="0"/>
      <w:divBdr>
        <w:top w:val="none" w:sz="0" w:space="0" w:color="auto"/>
        <w:left w:val="none" w:sz="0" w:space="0" w:color="auto"/>
        <w:bottom w:val="none" w:sz="0" w:space="0" w:color="auto"/>
        <w:right w:val="none" w:sz="0" w:space="0" w:color="auto"/>
      </w:divBdr>
    </w:div>
    <w:div w:id="908660099">
      <w:bodyDiv w:val="1"/>
      <w:marLeft w:val="0"/>
      <w:marRight w:val="0"/>
      <w:marTop w:val="0"/>
      <w:marBottom w:val="0"/>
      <w:divBdr>
        <w:top w:val="none" w:sz="0" w:space="0" w:color="auto"/>
        <w:left w:val="none" w:sz="0" w:space="0" w:color="auto"/>
        <w:bottom w:val="none" w:sz="0" w:space="0" w:color="auto"/>
        <w:right w:val="none" w:sz="0" w:space="0" w:color="auto"/>
      </w:divBdr>
    </w:div>
    <w:div w:id="909078774">
      <w:bodyDiv w:val="1"/>
      <w:marLeft w:val="0"/>
      <w:marRight w:val="0"/>
      <w:marTop w:val="0"/>
      <w:marBottom w:val="0"/>
      <w:divBdr>
        <w:top w:val="none" w:sz="0" w:space="0" w:color="auto"/>
        <w:left w:val="none" w:sz="0" w:space="0" w:color="auto"/>
        <w:bottom w:val="none" w:sz="0" w:space="0" w:color="auto"/>
        <w:right w:val="none" w:sz="0" w:space="0" w:color="auto"/>
      </w:divBdr>
    </w:div>
    <w:div w:id="910850692">
      <w:bodyDiv w:val="1"/>
      <w:marLeft w:val="0"/>
      <w:marRight w:val="0"/>
      <w:marTop w:val="0"/>
      <w:marBottom w:val="0"/>
      <w:divBdr>
        <w:top w:val="none" w:sz="0" w:space="0" w:color="auto"/>
        <w:left w:val="none" w:sz="0" w:space="0" w:color="auto"/>
        <w:bottom w:val="none" w:sz="0" w:space="0" w:color="auto"/>
        <w:right w:val="none" w:sz="0" w:space="0" w:color="auto"/>
      </w:divBdr>
    </w:div>
    <w:div w:id="911114059">
      <w:bodyDiv w:val="1"/>
      <w:marLeft w:val="0"/>
      <w:marRight w:val="0"/>
      <w:marTop w:val="0"/>
      <w:marBottom w:val="0"/>
      <w:divBdr>
        <w:top w:val="none" w:sz="0" w:space="0" w:color="auto"/>
        <w:left w:val="none" w:sz="0" w:space="0" w:color="auto"/>
        <w:bottom w:val="none" w:sz="0" w:space="0" w:color="auto"/>
        <w:right w:val="none" w:sz="0" w:space="0" w:color="auto"/>
      </w:divBdr>
    </w:div>
    <w:div w:id="912281104">
      <w:bodyDiv w:val="1"/>
      <w:marLeft w:val="0"/>
      <w:marRight w:val="0"/>
      <w:marTop w:val="0"/>
      <w:marBottom w:val="0"/>
      <w:divBdr>
        <w:top w:val="none" w:sz="0" w:space="0" w:color="auto"/>
        <w:left w:val="none" w:sz="0" w:space="0" w:color="auto"/>
        <w:bottom w:val="none" w:sz="0" w:space="0" w:color="auto"/>
        <w:right w:val="none" w:sz="0" w:space="0" w:color="auto"/>
      </w:divBdr>
    </w:div>
    <w:div w:id="915014110">
      <w:bodyDiv w:val="1"/>
      <w:marLeft w:val="0"/>
      <w:marRight w:val="0"/>
      <w:marTop w:val="0"/>
      <w:marBottom w:val="0"/>
      <w:divBdr>
        <w:top w:val="none" w:sz="0" w:space="0" w:color="auto"/>
        <w:left w:val="none" w:sz="0" w:space="0" w:color="auto"/>
        <w:bottom w:val="none" w:sz="0" w:space="0" w:color="auto"/>
        <w:right w:val="none" w:sz="0" w:space="0" w:color="auto"/>
      </w:divBdr>
    </w:div>
    <w:div w:id="915162477">
      <w:bodyDiv w:val="1"/>
      <w:marLeft w:val="0"/>
      <w:marRight w:val="0"/>
      <w:marTop w:val="0"/>
      <w:marBottom w:val="0"/>
      <w:divBdr>
        <w:top w:val="none" w:sz="0" w:space="0" w:color="auto"/>
        <w:left w:val="none" w:sz="0" w:space="0" w:color="auto"/>
        <w:bottom w:val="none" w:sz="0" w:space="0" w:color="auto"/>
        <w:right w:val="none" w:sz="0" w:space="0" w:color="auto"/>
      </w:divBdr>
    </w:div>
    <w:div w:id="915940152">
      <w:bodyDiv w:val="1"/>
      <w:marLeft w:val="0"/>
      <w:marRight w:val="0"/>
      <w:marTop w:val="0"/>
      <w:marBottom w:val="0"/>
      <w:divBdr>
        <w:top w:val="none" w:sz="0" w:space="0" w:color="auto"/>
        <w:left w:val="none" w:sz="0" w:space="0" w:color="auto"/>
        <w:bottom w:val="none" w:sz="0" w:space="0" w:color="auto"/>
        <w:right w:val="none" w:sz="0" w:space="0" w:color="auto"/>
      </w:divBdr>
    </w:div>
    <w:div w:id="916092113">
      <w:bodyDiv w:val="1"/>
      <w:marLeft w:val="0"/>
      <w:marRight w:val="0"/>
      <w:marTop w:val="0"/>
      <w:marBottom w:val="0"/>
      <w:divBdr>
        <w:top w:val="none" w:sz="0" w:space="0" w:color="auto"/>
        <w:left w:val="none" w:sz="0" w:space="0" w:color="auto"/>
        <w:bottom w:val="none" w:sz="0" w:space="0" w:color="auto"/>
        <w:right w:val="none" w:sz="0" w:space="0" w:color="auto"/>
      </w:divBdr>
    </w:div>
    <w:div w:id="916287748">
      <w:bodyDiv w:val="1"/>
      <w:marLeft w:val="0"/>
      <w:marRight w:val="0"/>
      <w:marTop w:val="0"/>
      <w:marBottom w:val="0"/>
      <w:divBdr>
        <w:top w:val="none" w:sz="0" w:space="0" w:color="auto"/>
        <w:left w:val="none" w:sz="0" w:space="0" w:color="auto"/>
        <w:bottom w:val="none" w:sz="0" w:space="0" w:color="auto"/>
        <w:right w:val="none" w:sz="0" w:space="0" w:color="auto"/>
      </w:divBdr>
    </w:div>
    <w:div w:id="916476525">
      <w:bodyDiv w:val="1"/>
      <w:marLeft w:val="0"/>
      <w:marRight w:val="0"/>
      <w:marTop w:val="0"/>
      <w:marBottom w:val="0"/>
      <w:divBdr>
        <w:top w:val="none" w:sz="0" w:space="0" w:color="auto"/>
        <w:left w:val="none" w:sz="0" w:space="0" w:color="auto"/>
        <w:bottom w:val="none" w:sz="0" w:space="0" w:color="auto"/>
        <w:right w:val="none" w:sz="0" w:space="0" w:color="auto"/>
      </w:divBdr>
    </w:div>
    <w:div w:id="917329393">
      <w:bodyDiv w:val="1"/>
      <w:marLeft w:val="0"/>
      <w:marRight w:val="0"/>
      <w:marTop w:val="0"/>
      <w:marBottom w:val="0"/>
      <w:divBdr>
        <w:top w:val="none" w:sz="0" w:space="0" w:color="auto"/>
        <w:left w:val="none" w:sz="0" w:space="0" w:color="auto"/>
        <w:bottom w:val="none" w:sz="0" w:space="0" w:color="auto"/>
        <w:right w:val="none" w:sz="0" w:space="0" w:color="auto"/>
      </w:divBdr>
    </w:div>
    <w:div w:id="917596612">
      <w:bodyDiv w:val="1"/>
      <w:marLeft w:val="0"/>
      <w:marRight w:val="0"/>
      <w:marTop w:val="0"/>
      <w:marBottom w:val="0"/>
      <w:divBdr>
        <w:top w:val="none" w:sz="0" w:space="0" w:color="auto"/>
        <w:left w:val="none" w:sz="0" w:space="0" w:color="auto"/>
        <w:bottom w:val="none" w:sz="0" w:space="0" w:color="auto"/>
        <w:right w:val="none" w:sz="0" w:space="0" w:color="auto"/>
      </w:divBdr>
    </w:div>
    <w:div w:id="917982256">
      <w:bodyDiv w:val="1"/>
      <w:marLeft w:val="0"/>
      <w:marRight w:val="0"/>
      <w:marTop w:val="0"/>
      <w:marBottom w:val="0"/>
      <w:divBdr>
        <w:top w:val="none" w:sz="0" w:space="0" w:color="auto"/>
        <w:left w:val="none" w:sz="0" w:space="0" w:color="auto"/>
        <w:bottom w:val="none" w:sz="0" w:space="0" w:color="auto"/>
        <w:right w:val="none" w:sz="0" w:space="0" w:color="auto"/>
      </w:divBdr>
    </w:div>
    <w:div w:id="918056960">
      <w:bodyDiv w:val="1"/>
      <w:marLeft w:val="0"/>
      <w:marRight w:val="0"/>
      <w:marTop w:val="0"/>
      <w:marBottom w:val="0"/>
      <w:divBdr>
        <w:top w:val="none" w:sz="0" w:space="0" w:color="auto"/>
        <w:left w:val="none" w:sz="0" w:space="0" w:color="auto"/>
        <w:bottom w:val="none" w:sz="0" w:space="0" w:color="auto"/>
        <w:right w:val="none" w:sz="0" w:space="0" w:color="auto"/>
      </w:divBdr>
    </w:div>
    <w:div w:id="918519781">
      <w:bodyDiv w:val="1"/>
      <w:marLeft w:val="0"/>
      <w:marRight w:val="0"/>
      <w:marTop w:val="0"/>
      <w:marBottom w:val="0"/>
      <w:divBdr>
        <w:top w:val="none" w:sz="0" w:space="0" w:color="auto"/>
        <w:left w:val="none" w:sz="0" w:space="0" w:color="auto"/>
        <w:bottom w:val="none" w:sz="0" w:space="0" w:color="auto"/>
        <w:right w:val="none" w:sz="0" w:space="0" w:color="auto"/>
      </w:divBdr>
    </w:div>
    <w:div w:id="919097412">
      <w:bodyDiv w:val="1"/>
      <w:marLeft w:val="0"/>
      <w:marRight w:val="0"/>
      <w:marTop w:val="0"/>
      <w:marBottom w:val="0"/>
      <w:divBdr>
        <w:top w:val="none" w:sz="0" w:space="0" w:color="auto"/>
        <w:left w:val="none" w:sz="0" w:space="0" w:color="auto"/>
        <w:bottom w:val="none" w:sz="0" w:space="0" w:color="auto"/>
        <w:right w:val="none" w:sz="0" w:space="0" w:color="auto"/>
      </w:divBdr>
    </w:div>
    <w:div w:id="920411328">
      <w:bodyDiv w:val="1"/>
      <w:marLeft w:val="0"/>
      <w:marRight w:val="0"/>
      <w:marTop w:val="0"/>
      <w:marBottom w:val="0"/>
      <w:divBdr>
        <w:top w:val="none" w:sz="0" w:space="0" w:color="auto"/>
        <w:left w:val="none" w:sz="0" w:space="0" w:color="auto"/>
        <w:bottom w:val="none" w:sz="0" w:space="0" w:color="auto"/>
        <w:right w:val="none" w:sz="0" w:space="0" w:color="auto"/>
      </w:divBdr>
    </w:div>
    <w:div w:id="920993307">
      <w:bodyDiv w:val="1"/>
      <w:marLeft w:val="0"/>
      <w:marRight w:val="0"/>
      <w:marTop w:val="0"/>
      <w:marBottom w:val="0"/>
      <w:divBdr>
        <w:top w:val="none" w:sz="0" w:space="0" w:color="auto"/>
        <w:left w:val="none" w:sz="0" w:space="0" w:color="auto"/>
        <w:bottom w:val="none" w:sz="0" w:space="0" w:color="auto"/>
        <w:right w:val="none" w:sz="0" w:space="0" w:color="auto"/>
      </w:divBdr>
    </w:div>
    <w:div w:id="921572343">
      <w:bodyDiv w:val="1"/>
      <w:marLeft w:val="0"/>
      <w:marRight w:val="0"/>
      <w:marTop w:val="0"/>
      <w:marBottom w:val="0"/>
      <w:divBdr>
        <w:top w:val="none" w:sz="0" w:space="0" w:color="auto"/>
        <w:left w:val="none" w:sz="0" w:space="0" w:color="auto"/>
        <w:bottom w:val="none" w:sz="0" w:space="0" w:color="auto"/>
        <w:right w:val="none" w:sz="0" w:space="0" w:color="auto"/>
      </w:divBdr>
    </w:div>
    <w:div w:id="921763879">
      <w:bodyDiv w:val="1"/>
      <w:marLeft w:val="0"/>
      <w:marRight w:val="0"/>
      <w:marTop w:val="0"/>
      <w:marBottom w:val="0"/>
      <w:divBdr>
        <w:top w:val="none" w:sz="0" w:space="0" w:color="auto"/>
        <w:left w:val="none" w:sz="0" w:space="0" w:color="auto"/>
        <w:bottom w:val="none" w:sz="0" w:space="0" w:color="auto"/>
        <w:right w:val="none" w:sz="0" w:space="0" w:color="auto"/>
      </w:divBdr>
    </w:div>
    <w:div w:id="921914391">
      <w:bodyDiv w:val="1"/>
      <w:marLeft w:val="0"/>
      <w:marRight w:val="0"/>
      <w:marTop w:val="0"/>
      <w:marBottom w:val="0"/>
      <w:divBdr>
        <w:top w:val="none" w:sz="0" w:space="0" w:color="auto"/>
        <w:left w:val="none" w:sz="0" w:space="0" w:color="auto"/>
        <w:bottom w:val="none" w:sz="0" w:space="0" w:color="auto"/>
        <w:right w:val="none" w:sz="0" w:space="0" w:color="auto"/>
      </w:divBdr>
    </w:div>
    <w:div w:id="922177702">
      <w:bodyDiv w:val="1"/>
      <w:marLeft w:val="0"/>
      <w:marRight w:val="0"/>
      <w:marTop w:val="0"/>
      <w:marBottom w:val="0"/>
      <w:divBdr>
        <w:top w:val="none" w:sz="0" w:space="0" w:color="auto"/>
        <w:left w:val="none" w:sz="0" w:space="0" w:color="auto"/>
        <w:bottom w:val="none" w:sz="0" w:space="0" w:color="auto"/>
        <w:right w:val="none" w:sz="0" w:space="0" w:color="auto"/>
      </w:divBdr>
    </w:div>
    <w:div w:id="922184416">
      <w:bodyDiv w:val="1"/>
      <w:marLeft w:val="0"/>
      <w:marRight w:val="0"/>
      <w:marTop w:val="0"/>
      <w:marBottom w:val="0"/>
      <w:divBdr>
        <w:top w:val="none" w:sz="0" w:space="0" w:color="auto"/>
        <w:left w:val="none" w:sz="0" w:space="0" w:color="auto"/>
        <w:bottom w:val="none" w:sz="0" w:space="0" w:color="auto"/>
        <w:right w:val="none" w:sz="0" w:space="0" w:color="auto"/>
      </w:divBdr>
    </w:div>
    <w:div w:id="923152057">
      <w:bodyDiv w:val="1"/>
      <w:marLeft w:val="0"/>
      <w:marRight w:val="0"/>
      <w:marTop w:val="0"/>
      <w:marBottom w:val="0"/>
      <w:divBdr>
        <w:top w:val="none" w:sz="0" w:space="0" w:color="auto"/>
        <w:left w:val="none" w:sz="0" w:space="0" w:color="auto"/>
        <w:bottom w:val="none" w:sz="0" w:space="0" w:color="auto"/>
        <w:right w:val="none" w:sz="0" w:space="0" w:color="auto"/>
      </w:divBdr>
    </w:div>
    <w:div w:id="924456737">
      <w:bodyDiv w:val="1"/>
      <w:marLeft w:val="0"/>
      <w:marRight w:val="0"/>
      <w:marTop w:val="0"/>
      <w:marBottom w:val="0"/>
      <w:divBdr>
        <w:top w:val="none" w:sz="0" w:space="0" w:color="auto"/>
        <w:left w:val="none" w:sz="0" w:space="0" w:color="auto"/>
        <w:bottom w:val="none" w:sz="0" w:space="0" w:color="auto"/>
        <w:right w:val="none" w:sz="0" w:space="0" w:color="auto"/>
      </w:divBdr>
    </w:div>
    <w:div w:id="925264673">
      <w:bodyDiv w:val="1"/>
      <w:marLeft w:val="0"/>
      <w:marRight w:val="0"/>
      <w:marTop w:val="0"/>
      <w:marBottom w:val="0"/>
      <w:divBdr>
        <w:top w:val="none" w:sz="0" w:space="0" w:color="auto"/>
        <w:left w:val="none" w:sz="0" w:space="0" w:color="auto"/>
        <w:bottom w:val="none" w:sz="0" w:space="0" w:color="auto"/>
        <w:right w:val="none" w:sz="0" w:space="0" w:color="auto"/>
      </w:divBdr>
    </w:div>
    <w:div w:id="925267794">
      <w:bodyDiv w:val="1"/>
      <w:marLeft w:val="0"/>
      <w:marRight w:val="0"/>
      <w:marTop w:val="0"/>
      <w:marBottom w:val="0"/>
      <w:divBdr>
        <w:top w:val="none" w:sz="0" w:space="0" w:color="auto"/>
        <w:left w:val="none" w:sz="0" w:space="0" w:color="auto"/>
        <w:bottom w:val="none" w:sz="0" w:space="0" w:color="auto"/>
        <w:right w:val="none" w:sz="0" w:space="0" w:color="auto"/>
      </w:divBdr>
    </w:div>
    <w:div w:id="925765376">
      <w:bodyDiv w:val="1"/>
      <w:marLeft w:val="0"/>
      <w:marRight w:val="0"/>
      <w:marTop w:val="0"/>
      <w:marBottom w:val="0"/>
      <w:divBdr>
        <w:top w:val="none" w:sz="0" w:space="0" w:color="auto"/>
        <w:left w:val="none" w:sz="0" w:space="0" w:color="auto"/>
        <w:bottom w:val="none" w:sz="0" w:space="0" w:color="auto"/>
        <w:right w:val="none" w:sz="0" w:space="0" w:color="auto"/>
      </w:divBdr>
    </w:div>
    <w:div w:id="926036341">
      <w:bodyDiv w:val="1"/>
      <w:marLeft w:val="0"/>
      <w:marRight w:val="0"/>
      <w:marTop w:val="0"/>
      <w:marBottom w:val="0"/>
      <w:divBdr>
        <w:top w:val="none" w:sz="0" w:space="0" w:color="auto"/>
        <w:left w:val="none" w:sz="0" w:space="0" w:color="auto"/>
        <w:bottom w:val="none" w:sz="0" w:space="0" w:color="auto"/>
        <w:right w:val="none" w:sz="0" w:space="0" w:color="auto"/>
      </w:divBdr>
    </w:div>
    <w:div w:id="927230607">
      <w:bodyDiv w:val="1"/>
      <w:marLeft w:val="0"/>
      <w:marRight w:val="0"/>
      <w:marTop w:val="0"/>
      <w:marBottom w:val="0"/>
      <w:divBdr>
        <w:top w:val="none" w:sz="0" w:space="0" w:color="auto"/>
        <w:left w:val="none" w:sz="0" w:space="0" w:color="auto"/>
        <w:bottom w:val="none" w:sz="0" w:space="0" w:color="auto"/>
        <w:right w:val="none" w:sz="0" w:space="0" w:color="auto"/>
      </w:divBdr>
    </w:div>
    <w:div w:id="927419515">
      <w:bodyDiv w:val="1"/>
      <w:marLeft w:val="0"/>
      <w:marRight w:val="0"/>
      <w:marTop w:val="0"/>
      <w:marBottom w:val="0"/>
      <w:divBdr>
        <w:top w:val="none" w:sz="0" w:space="0" w:color="auto"/>
        <w:left w:val="none" w:sz="0" w:space="0" w:color="auto"/>
        <w:bottom w:val="none" w:sz="0" w:space="0" w:color="auto"/>
        <w:right w:val="none" w:sz="0" w:space="0" w:color="auto"/>
      </w:divBdr>
    </w:div>
    <w:div w:id="928196584">
      <w:bodyDiv w:val="1"/>
      <w:marLeft w:val="0"/>
      <w:marRight w:val="0"/>
      <w:marTop w:val="0"/>
      <w:marBottom w:val="0"/>
      <w:divBdr>
        <w:top w:val="none" w:sz="0" w:space="0" w:color="auto"/>
        <w:left w:val="none" w:sz="0" w:space="0" w:color="auto"/>
        <w:bottom w:val="none" w:sz="0" w:space="0" w:color="auto"/>
        <w:right w:val="none" w:sz="0" w:space="0" w:color="auto"/>
      </w:divBdr>
    </w:div>
    <w:div w:id="929315324">
      <w:bodyDiv w:val="1"/>
      <w:marLeft w:val="0"/>
      <w:marRight w:val="0"/>
      <w:marTop w:val="0"/>
      <w:marBottom w:val="0"/>
      <w:divBdr>
        <w:top w:val="none" w:sz="0" w:space="0" w:color="auto"/>
        <w:left w:val="none" w:sz="0" w:space="0" w:color="auto"/>
        <w:bottom w:val="none" w:sz="0" w:space="0" w:color="auto"/>
        <w:right w:val="none" w:sz="0" w:space="0" w:color="auto"/>
      </w:divBdr>
    </w:div>
    <w:div w:id="929508411">
      <w:bodyDiv w:val="1"/>
      <w:marLeft w:val="0"/>
      <w:marRight w:val="0"/>
      <w:marTop w:val="0"/>
      <w:marBottom w:val="0"/>
      <w:divBdr>
        <w:top w:val="none" w:sz="0" w:space="0" w:color="auto"/>
        <w:left w:val="none" w:sz="0" w:space="0" w:color="auto"/>
        <w:bottom w:val="none" w:sz="0" w:space="0" w:color="auto"/>
        <w:right w:val="none" w:sz="0" w:space="0" w:color="auto"/>
      </w:divBdr>
    </w:div>
    <w:div w:id="930508456">
      <w:bodyDiv w:val="1"/>
      <w:marLeft w:val="0"/>
      <w:marRight w:val="0"/>
      <w:marTop w:val="0"/>
      <w:marBottom w:val="0"/>
      <w:divBdr>
        <w:top w:val="none" w:sz="0" w:space="0" w:color="auto"/>
        <w:left w:val="none" w:sz="0" w:space="0" w:color="auto"/>
        <w:bottom w:val="none" w:sz="0" w:space="0" w:color="auto"/>
        <w:right w:val="none" w:sz="0" w:space="0" w:color="auto"/>
      </w:divBdr>
    </w:div>
    <w:div w:id="931160900">
      <w:bodyDiv w:val="1"/>
      <w:marLeft w:val="0"/>
      <w:marRight w:val="0"/>
      <w:marTop w:val="0"/>
      <w:marBottom w:val="0"/>
      <w:divBdr>
        <w:top w:val="none" w:sz="0" w:space="0" w:color="auto"/>
        <w:left w:val="none" w:sz="0" w:space="0" w:color="auto"/>
        <w:bottom w:val="none" w:sz="0" w:space="0" w:color="auto"/>
        <w:right w:val="none" w:sz="0" w:space="0" w:color="auto"/>
      </w:divBdr>
    </w:div>
    <w:div w:id="931595777">
      <w:bodyDiv w:val="1"/>
      <w:marLeft w:val="0"/>
      <w:marRight w:val="0"/>
      <w:marTop w:val="0"/>
      <w:marBottom w:val="0"/>
      <w:divBdr>
        <w:top w:val="none" w:sz="0" w:space="0" w:color="auto"/>
        <w:left w:val="none" w:sz="0" w:space="0" w:color="auto"/>
        <w:bottom w:val="none" w:sz="0" w:space="0" w:color="auto"/>
        <w:right w:val="none" w:sz="0" w:space="0" w:color="auto"/>
      </w:divBdr>
    </w:div>
    <w:div w:id="931596103">
      <w:bodyDiv w:val="1"/>
      <w:marLeft w:val="0"/>
      <w:marRight w:val="0"/>
      <w:marTop w:val="0"/>
      <w:marBottom w:val="0"/>
      <w:divBdr>
        <w:top w:val="none" w:sz="0" w:space="0" w:color="auto"/>
        <w:left w:val="none" w:sz="0" w:space="0" w:color="auto"/>
        <w:bottom w:val="none" w:sz="0" w:space="0" w:color="auto"/>
        <w:right w:val="none" w:sz="0" w:space="0" w:color="auto"/>
      </w:divBdr>
    </w:div>
    <w:div w:id="931934595">
      <w:bodyDiv w:val="1"/>
      <w:marLeft w:val="0"/>
      <w:marRight w:val="0"/>
      <w:marTop w:val="0"/>
      <w:marBottom w:val="0"/>
      <w:divBdr>
        <w:top w:val="none" w:sz="0" w:space="0" w:color="auto"/>
        <w:left w:val="none" w:sz="0" w:space="0" w:color="auto"/>
        <w:bottom w:val="none" w:sz="0" w:space="0" w:color="auto"/>
        <w:right w:val="none" w:sz="0" w:space="0" w:color="auto"/>
      </w:divBdr>
    </w:div>
    <w:div w:id="931936275">
      <w:bodyDiv w:val="1"/>
      <w:marLeft w:val="0"/>
      <w:marRight w:val="0"/>
      <w:marTop w:val="0"/>
      <w:marBottom w:val="0"/>
      <w:divBdr>
        <w:top w:val="none" w:sz="0" w:space="0" w:color="auto"/>
        <w:left w:val="none" w:sz="0" w:space="0" w:color="auto"/>
        <w:bottom w:val="none" w:sz="0" w:space="0" w:color="auto"/>
        <w:right w:val="none" w:sz="0" w:space="0" w:color="auto"/>
      </w:divBdr>
    </w:div>
    <w:div w:id="932472132">
      <w:bodyDiv w:val="1"/>
      <w:marLeft w:val="0"/>
      <w:marRight w:val="0"/>
      <w:marTop w:val="0"/>
      <w:marBottom w:val="0"/>
      <w:divBdr>
        <w:top w:val="none" w:sz="0" w:space="0" w:color="auto"/>
        <w:left w:val="none" w:sz="0" w:space="0" w:color="auto"/>
        <w:bottom w:val="none" w:sz="0" w:space="0" w:color="auto"/>
        <w:right w:val="none" w:sz="0" w:space="0" w:color="auto"/>
      </w:divBdr>
    </w:div>
    <w:div w:id="932981052">
      <w:bodyDiv w:val="1"/>
      <w:marLeft w:val="0"/>
      <w:marRight w:val="0"/>
      <w:marTop w:val="0"/>
      <w:marBottom w:val="0"/>
      <w:divBdr>
        <w:top w:val="none" w:sz="0" w:space="0" w:color="auto"/>
        <w:left w:val="none" w:sz="0" w:space="0" w:color="auto"/>
        <w:bottom w:val="none" w:sz="0" w:space="0" w:color="auto"/>
        <w:right w:val="none" w:sz="0" w:space="0" w:color="auto"/>
      </w:divBdr>
    </w:div>
    <w:div w:id="933242951">
      <w:bodyDiv w:val="1"/>
      <w:marLeft w:val="0"/>
      <w:marRight w:val="0"/>
      <w:marTop w:val="0"/>
      <w:marBottom w:val="0"/>
      <w:divBdr>
        <w:top w:val="none" w:sz="0" w:space="0" w:color="auto"/>
        <w:left w:val="none" w:sz="0" w:space="0" w:color="auto"/>
        <w:bottom w:val="none" w:sz="0" w:space="0" w:color="auto"/>
        <w:right w:val="none" w:sz="0" w:space="0" w:color="auto"/>
      </w:divBdr>
    </w:div>
    <w:div w:id="933981390">
      <w:bodyDiv w:val="1"/>
      <w:marLeft w:val="0"/>
      <w:marRight w:val="0"/>
      <w:marTop w:val="0"/>
      <w:marBottom w:val="0"/>
      <w:divBdr>
        <w:top w:val="none" w:sz="0" w:space="0" w:color="auto"/>
        <w:left w:val="none" w:sz="0" w:space="0" w:color="auto"/>
        <w:bottom w:val="none" w:sz="0" w:space="0" w:color="auto"/>
        <w:right w:val="none" w:sz="0" w:space="0" w:color="auto"/>
      </w:divBdr>
    </w:div>
    <w:div w:id="934244235">
      <w:bodyDiv w:val="1"/>
      <w:marLeft w:val="0"/>
      <w:marRight w:val="0"/>
      <w:marTop w:val="0"/>
      <w:marBottom w:val="0"/>
      <w:divBdr>
        <w:top w:val="none" w:sz="0" w:space="0" w:color="auto"/>
        <w:left w:val="none" w:sz="0" w:space="0" w:color="auto"/>
        <w:bottom w:val="none" w:sz="0" w:space="0" w:color="auto"/>
        <w:right w:val="none" w:sz="0" w:space="0" w:color="auto"/>
      </w:divBdr>
    </w:div>
    <w:div w:id="934636699">
      <w:bodyDiv w:val="1"/>
      <w:marLeft w:val="0"/>
      <w:marRight w:val="0"/>
      <w:marTop w:val="0"/>
      <w:marBottom w:val="0"/>
      <w:divBdr>
        <w:top w:val="none" w:sz="0" w:space="0" w:color="auto"/>
        <w:left w:val="none" w:sz="0" w:space="0" w:color="auto"/>
        <w:bottom w:val="none" w:sz="0" w:space="0" w:color="auto"/>
        <w:right w:val="none" w:sz="0" w:space="0" w:color="auto"/>
      </w:divBdr>
    </w:div>
    <w:div w:id="935021185">
      <w:bodyDiv w:val="1"/>
      <w:marLeft w:val="0"/>
      <w:marRight w:val="0"/>
      <w:marTop w:val="0"/>
      <w:marBottom w:val="0"/>
      <w:divBdr>
        <w:top w:val="none" w:sz="0" w:space="0" w:color="auto"/>
        <w:left w:val="none" w:sz="0" w:space="0" w:color="auto"/>
        <w:bottom w:val="none" w:sz="0" w:space="0" w:color="auto"/>
        <w:right w:val="none" w:sz="0" w:space="0" w:color="auto"/>
      </w:divBdr>
    </w:div>
    <w:div w:id="935138707">
      <w:bodyDiv w:val="1"/>
      <w:marLeft w:val="0"/>
      <w:marRight w:val="0"/>
      <w:marTop w:val="0"/>
      <w:marBottom w:val="0"/>
      <w:divBdr>
        <w:top w:val="none" w:sz="0" w:space="0" w:color="auto"/>
        <w:left w:val="none" w:sz="0" w:space="0" w:color="auto"/>
        <w:bottom w:val="none" w:sz="0" w:space="0" w:color="auto"/>
        <w:right w:val="none" w:sz="0" w:space="0" w:color="auto"/>
      </w:divBdr>
    </w:div>
    <w:div w:id="935554059">
      <w:bodyDiv w:val="1"/>
      <w:marLeft w:val="0"/>
      <w:marRight w:val="0"/>
      <w:marTop w:val="0"/>
      <w:marBottom w:val="0"/>
      <w:divBdr>
        <w:top w:val="none" w:sz="0" w:space="0" w:color="auto"/>
        <w:left w:val="none" w:sz="0" w:space="0" w:color="auto"/>
        <w:bottom w:val="none" w:sz="0" w:space="0" w:color="auto"/>
        <w:right w:val="none" w:sz="0" w:space="0" w:color="auto"/>
      </w:divBdr>
    </w:div>
    <w:div w:id="935747990">
      <w:bodyDiv w:val="1"/>
      <w:marLeft w:val="0"/>
      <w:marRight w:val="0"/>
      <w:marTop w:val="0"/>
      <w:marBottom w:val="0"/>
      <w:divBdr>
        <w:top w:val="none" w:sz="0" w:space="0" w:color="auto"/>
        <w:left w:val="none" w:sz="0" w:space="0" w:color="auto"/>
        <w:bottom w:val="none" w:sz="0" w:space="0" w:color="auto"/>
        <w:right w:val="none" w:sz="0" w:space="0" w:color="auto"/>
      </w:divBdr>
    </w:div>
    <w:div w:id="935749964">
      <w:bodyDiv w:val="1"/>
      <w:marLeft w:val="0"/>
      <w:marRight w:val="0"/>
      <w:marTop w:val="0"/>
      <w:marBottom w:val="0"/>
      <w:divBdr>
        <w:top w:val="none" w:sz="0" w:space="0" w:color="auto"/>
        <w:left w:val="none" w:sz="0" w:space="0" w:color="auto"/>
        <w:bottom w:val="none" w:sz="0" w:space="0" w:color="auto"/>
        <w:right w:val="none" w:sz="0" w:space="0" w:color="auto"/>
      </w:divBdr>
    </w:div>
    <w:div w:id="936213784">
      <w:bodyDiv w:val="1"/>
      <w:marLeft w:val="0"/>
      <w:marRight w:val="0"/>
      <w:marTop w:val="0"/>
      <w:marBottom w:val="0"/>
      <w:divBdr>
        <w:top w:val="none" w:sz="0" w:space="0" w:color="auto"/>
        <w:left w:val="none" w:sz="0" w:space="0" w:color="auto"/>
        <w:bottom w:val="none" w:sz="0" w:space="0" w:color="auto"/>
        <w:right w:val="none" w:sz="0" w:space="0" w:color="auto"/>
      </w:divBdr>
    </w:div>
    <w:div w:id="936399633">
      <w:bodyDiv w:val="1"/>
      <w:marLeft w:val="0"/>
      <w:marRight w:val="0"/>
      <w:marTop w:val="0"/>
      <w:marBottom w:val="0"/>
      <w:divBdr>
        <w:top w:val="none" w:sz="0" w:space="0" w:color="auto"/>
        <w:left w:val="none" w:sz="0" w:space="0" w:color="auto"/>
        <w:bottom w:val="none" w:sz="0" w:space="0" w:color="auto"/>
        <w:right w:val="none" w:sz="0" w:space="0" w:color="auto"/>
      </w:divBdr>
    </w:div>
    <w:div w:id="937518803">
      <w:bodyDiv w:val="1"/>
      <w:marLeft w:val="0"/>
      <w:marRight w:val="0"/>
      <w:marTop w:val="0"/>
      <w:marBottom w:val="0"/>
      <w:divBdr>
        <w:top w:val="none" w:sz="0" w:space="0" w:color="auto"/>
        <w:left w:val="none" w:sz="0" w:space="0" w:color="auto"/>
        <w:bottom w:val="none" w:sz="0" w:space="0" w:color="auto"/>
        <w:right w:val="none" w:sz="0" w:space="0" w:color="auto"/>
      </w:divBdr>
    </w:div>
    <w:div w:id="938487495">
      <w:bodyDiv w:val="1"/>
      <w:marLeft w:val="0"/>
      <w:marRight w:val="0"/>
      <w:marTop w:val="0"/>
      <w:marBottom w:val="0"/>
      <w:divBdr>
        <w:top w:val="none" w:sz="0" w:space="0" w:color="auto"/>
        <w:left w:val="none" w:sz="0" w:space="0" w:color="auto"/>
        <w:bottom w:val="none" w:sz="0" w:space="0" w:color="auto"/>
        <w:right w:val="none" w:sz="0" w:space="0" w:color="auto"/>
      </w:divBdr>
    </w:div>
    <w:div w:id="939919631">
      <w:bodyDiv w:val="1"/>
      <w:marLeft w:val="0"/>
      <w:marRight w:val="0"/>
      <w:marTop w:val="0"/>
      <w:marBottom w:val="0"/>
      <w:divBdr>
        <w:top w:val="none" w:sz="0" w:space="0" w:color="auto"/>
        <w:left w:val="none" w:sz="0" w:space="0" w:color="auto"/>
        <w:bottom w:val="none" w:sz="0" w:space="0" w:color="auto"/>
        <w:right w:val="none" w:sz="0" w:space="0" w:color="auto"/>
      </w:divBdr>
    </w:div>
    <w:div w:id="939989184">
      <w:bodyDiv w:val="1"/>
      <w:marLeft w:val="0"/>
      <w:marRight w:val="0"/>
      <w:marTop w:val="0"/>
      <w:marBottom w:val="0"/>
      <w:divBdr>
        <w:top w:val="none" w:sz="0" w:space="0" w:color="auto"/>
        <w:left w:val="none" w:sz="0" w:space="0" w:color="auto"/>
        <w:bottom w:val="none" w:sz="0" w:space="0" w:color="auto"/>
        <w:right w:val="none" w:sz="0" w:space="0" w:color="auto"/>
      </w:divBdr>
    </w:div>
    <w:div w:id="940720725">
      <w:bodyDiv w:val="1"/>
      <w:marLeft w:val="0"/>
      <w:marRight w:val="0"/>
      <w:marTop w:val="0"/>
      <w:marBottom w:val="0"/>
      <w:divBdr>
        <w:top w:val="none" w:sz="0" w:space="0" w:color="auto"/>
        <w:left w:val="none" w:sz="0" w:space="0" w:color="auto"/>
        <w:bottom w:val="none" w:sz="0" w:space="0" w:color="auto"/>
        <w:right w:val="none" w:sz="0" w:space="0" w:color="auto"/>
      </w:divBdr>
    </w:div>
    <w:div w:id="941687231">
      <w:bodyDiv w:val="1"/>
      <w:marLeft w:val="0"/>
      <w:marRight w:val="0"/>
      <w:marTop w:val="0"/>
      <w:marBottom w:val="0"/>
      <w:divBdr>
        <w:top w:val="none" w:sz="0" w:space="0" w:color="auto"/>
        <w:left w:val="none" w:sz="0" w:space="0" w:color="auto"/>
        <w:bottom w:val="none" w:sz="0" w:space="0" w:color="auto"/>
        <w:right w:val="none" w:sz="0" w:space="0" w:color="auto"/>
      </w:divBdr>
    </w:div>
    <w:div w:id="941718020">
      <w:bodyDiv w:val="1"/>
      <w:marLeft w:val="0"/>
      <w:marRight w:val="0"/>
      <w:marTop w:val="0"/>
      <w:marBottom w:val="0"/>
      <w:divBdr>
        <w:top w:val="none" w:sz="0" w:space="0" w:color="auto"/>
        <w:left w:val="none" w:sz="0" w:space="0" w:color="auto"/>
        <w:bottom w:val="none" w:sz="0" w:space="0" w:color="auto"/>
        <w:right w:val="none" w:sz="0" w:space="0" w:color="auto"/>
      </w:divBdr>
    </w:div>
    <w:div w:id="941912977">
      <w:bodyDiv w:val="1"/>
      <w:marLeft w:val="0"/>
      <w:marRight w:val="0"/>
      <w:marTop w:val="0"/>
      <w:marBottom w:val="0"/>
      <w:divBdr>
        <w:top w:val="none" w:sz="0" w:space="0" w:color="auto"/>
        <w:left w:val="none" w:sz="0" w:space="0" w:color="auto"/>
        <w:bottom w:val="none" w:sz="0" w:space="0" w:color="auto"/>
        <w:right w:val="none" w:sz="0" w:space="0" w:color="auto"/>
      </w:divBdr>
    </w:div>
    <w:div w:id="942106664">
      <w:bodyDiv w:val="1"/>
      <w:marLeft w:val="0"/>
      <w:marRight w:val="0"/>
      <w:marTop w:val="0"/>
      <w:marBottom w:val="0"/>
      <w:divBdr>
        <w:top w:val="none" w:sz="0" w:space="0" w:color="auto"/>
        <w:left w:val="none" w:sz="0" w:space="0" w:color="auto"/>
        <w:bottom w:val="none" w:sz="0" w:space="0" w:color="auto"/>
        <w:right w:val="none" w:sz="0" w:space="0" w:color="auto"/>
      </w:divBdr>
    </w:div>
    <w:div w:id="942108673">
      <w:bodyDiv w:val="1"/>
      <w:marLeft w:val="0"/>
      <w:marRight w:val="0"/>
      <w:marTop w:val="0"/>
      <w:marBottom w:val="0"/>
      <w:divBdr>
        <w:top w:val="none" w:sz="0" w:space="0" w:color="auto"/>
        <w:left w:val="none" w:sz="0" w:space="0" w:color="auto"/>
        <w:bottom w:val="none" w:sz="0" w:space="0" w:color="auto"/>
        <w:right w:val="none" w:sz="0" w:space="0" w:color="auto"/>
      </w:divBdr>
    </w:div>
    <w:div w:id="942877083">
      <w:bodyDiv w:val="1"/>
      <w:marLeft w:val="0"/>
      <w:marRight w:val="0"/>
      <w:marTop w:val="0"/>
      <w:marBottom w:val="0"/>
      <w:divBdr>
        <w:top w:val="none" w:sz="0" w:space="0" w:color="auto"/>
        <w:left w:val="none" w:sz="0" w:space="0" w:color="auto"/>
        <w:bottom w:val="none" w:sz="0" w:space="0" w:color="auto"/>
        <w:right w:val="none" w:sz="0" w:space="0" w:color="auto"/>
      </w:divBdr>
    </w:div>
    <w:div w:id="942884793">
      <w:bodyDiv w:val="1"/>
      <w:marLeft w:val="0"/>
      <w:marRight w:val="0"/>
      <w:marTop w:val="0"/>
      <w:marBottom w:val="0"/>
      <w:divBdr>
        <w:top w:val="none" w:sz="0" w:space="0" w:color="auto"/>
        <w:left w:val="none" w:sz="0" w:space="0" w:color="auto"/>
        <w:bottom w:val="none" w:sz="0" w:space="0" w:color="auto"/>
        <w:right w:val="none" w:sz="0" w:space="0" w:color="auto"/>
      </w:divBdr>
    </w:div>
    <w:div w:id="942952855">
      <w:bodyDiv w:val="1"/>
      <w:marLeft w:val="0"/>
      <w:marRight w:val="0"/>
      <w:marTop w:val="0"/>
      <w:marBottom w:val="0"/>
      <w:divBdr>
        <w:top w:val="none" w:sz="0" w:space="0" w:color="auto"/>
        <w:left w:val="none" w:sz="0" w:space="0" w:color="auto"/>
        <w:bottom w:val="none" w:sz="0" w:space="0" w:color="auto"/>
        <w:right w:val="none" w:sz="0" w:space="0" w:color="auto"/>
      </w:divBdr>
    </w:div>
    <w:div w:id="943153091">
      <w:bodyDiv w:val="1"/>
      <w:marLeft w:val="0"/>
      <w:marRight w:val="0"/>
      <w:marTop w:val="0"/>
      <w:marBottom w:val="0"/>
      <w:divBdr>
        <w:top w:val="none" w:sz="0" w:space="0" w:color="auto"/>
        <w:left w:val="none" w:sz="0" w:space="0" w:color="auto"/>
        <w:bottom w:val="none" w:sz="0" w:space="0" w:color="auto"/>
        <w:right w:val="none" w:sz="0" w:space="0" w:color="auto"/>
      </w:divBdr>
    </w:div>
    <w:div w:id="943154774">
      <w:marLeft w:val="0"/>
      <w:marRight w:val="0"/>
      <w:marTop w:val="0"/>
      <w:marBottom w:val="0"/>
      <w:divBdr>
        <w:top w:val="none" w:sz="0" w:space="0" w:color="auto"/>
        <w:left w:val="none" w:sz="0" w:space="0" w:color="auto"/>
        <w:bottom w:val="none" w:sz="0" w:space="0" w:color="auto"/>
        <w:right w:val="none" w:sz="0" w:space="0" w:color="auto"/>
      </w:divBdr>
    </w:div>
    <w:div w:id="944389503">
      <w:bodyDiv w:val="1"/>
      <w:marLeft w:val="0"/>
      <w:marRight w:val="0"/>
      <w:marTop w:val="0"/>
      <w:marBottom w:val="0"/>
      <w:divBdr>
        <w:top w:val="none" w:sz="0" w:space="0" w:color="auto"/>
        <w:left w:val="none" w:sz="0" w:space="0" w:color="auto"/>
        <w:bottom w:val="none" w:sz="0" w:space="0" w:color="auto"/>
        <w:right w:val="none" w:sz="0" w:space="0" w:color="auto"/>
      </w:divBdr>
    </w:div>
    <w:div w:id="944767640">
      <w:bodyDiv w:val="1"/>
      <w:marLeft w:val="0"/>
      <w:marRight w:val="0"/>
      <w:marTop w:val="0"/>
      <w:marBottom w:val="0"/>
      <w:divBdr>
        <w:top w:val="none" w:sz="0" w:space="0" w:color="auto"/>
        <w:left w:val="none" w:sz="0" w:space="0" w:color="auto"/>
        <w:bottom w:val="none" w:sz="0" w:space="0" w:color="auto"/>
        <w:right w:val="none" w:sz="0" w:space="0" w:color="auto"/>
      </w:divBdr>
    </w:div>
    <w:div w:id="944776127">
      <w:bodyDiv w:val="1"/>
      <w:marLeft w:val="0"/>
      <w:marRight w:val="0"/>
      <w:marTop w:val="0"/>
      <w:marBottom w:val="0"/>
      <w:divBdr>
        <w:top w:val="none" w:sz="0" w:space="0" w:color="auto"/>
        <w:left w:val="none" w:sz="0" w:space="0" w:color="auto"/>
        <w:bottom w:val="none" w:sz="0" w:space="0" w:color="auto"/>
        <w:right w:val="none" w:sz="0" w:space="0" w:color="auto"/>
      </w:divBdr>
    </w:div>
    <w:div w:id="945160838">
      <w:bodyDiv w:val="1"/>
      <w:marLeft w:val="0"/>
      <w:marRight w:val="0"/>
      <w:marTop w:val="0"/>
      <w:marBottom w:val="0"/>
      <w:divBdr>
        <w:top w:val="none" w:sz="0" w:space="0" w:color="auto"/>
        <w:left w:val="none" w:sz="0" w:space="0" w:color="auto"/>
        <w:bottom w:val="none" w:sz="0" w:space="0" w:color="auto"/>
        <w:right w:val="none" w:sz="0" w:space="0" w:color="auto"/>
      </w:divBdr>
    </w:div>
    <w:div w:id="945234389">
      <w:bodyDiv w:val="1"/>
      <w:marLeft w:val="0"/>
      <w:marRight w:val="0"/>
      <w:marTop w:val="0"/>
      <w:marBottom w:val="0"/>
      <w:divBdr>
        <w:top w:val="none" w:sz="0" w:space="0" w:color="auto"/>
        <w:left w:val="none" w:sz="0" w:space="0" w:color="auto"/>
        <w:bottom w:val="none" w:sz="0" w:space="0" w:color="auto"/>
        <w:right w:val="none" w:sz="0" w:space="0" w:color="auto"/>
      </w:divBdr>
    </w:div>
    <w:div w:id="945498046">
      <w:bodyDiv w:val="1"/>
      <w:marLeft w:val="0"/>
      <w:marRight w:val="0"/>
      <w:marTop w:val="0"/>
      <w:marBottom w:val="0"/>
      <w:divBdr>
        <w:top w:val="none" w:sz="0" w:space="0" w:color="auto"/>
        <w:left w:val="none" w:sz="0" w:space="0" w:color="auto"/>
        <w:bottom w:val="none" w:sz="0" w:space="0" w:color="auto"/>
        <w:right w:val="none" w:sz="0" w:space="0" w:color="auto"/>
      </w:divBdr>
    </w:div>
    <w:div w:id="945581242">
      <w:bodyDiv w:val="1"/>
      <w:marLeft w:val="0"/>
      <w:marRight w:val="0"/>
      <w:marTop w:val="0"/>
      <w:marBottom w:val="0"/>
      <w:divBdr>
        <w:top w:val="none" w:sz="0" w:space="0" w:color="auto"/>
        <w:left w:val="none" w:sz="0" w:space="0" w:color="auto"/>
        <w:bottom w:val="none" w:sz="0" w:space="0" w:color="auto"/>
        <w:right w:val="none" w:sz="0" w:space="0" w:color="auto"/>
      </w:divBdr>
    </w:div>
    <w:div w:id="945696162">
      <w:bodyDiv w:val="1"/>
      <w:marLeft w:val="0"/>
      <w:marRight w:val="0"/>
      <w:marTop w:val="0"/>
      <w:marBottom w:val="0"/>
      <w:divBdr>
        <w:top w:val="none" w:sz="0" w:space="0" w:color="auto"/>
        <w:left w:val="none" w:sz="0" w:space="0" w:color="auto"/>
        <w:bottom w:val="none" w:sz="0" w:space="0" w:color="auto"/>
        <w:right w:val="none" w:sz="0" w:space="0" w:color="auto"/>
      </w:divBdr>
    </w:div>
    <w:div w:id="947083234">
      <w:bodyDiv w:val="1"/>
      <w:marLeft w:val="0"/>
      <w:marRight w:val="0"/>
      <w:marTop w:val="0"/>
      <w:marBottom w:val="0"/>
      <w:divBdr>
        <w:top w:val="none" w:sz="0" w:space="0" w:color="auto"/>
        <w:left w:val="none" w:sz="0" w:space="0" w:color="auto"/>
        <w:bottom w:val="none" w:sz="0" w:space="0" w:color="auto"/>
        <w:right w:val="none" w:sz="0" w:space="0" w:color="auto"/>
      </w:divBdr>
    </w:div>
    <w:div w:id="947086828">
      <w:bodyDiv w:val="1"/>
      <w:marLeft w:val="0"/>
      <w:marRight w:val="0"/>
      <w:marTop w:val="0"/>
      <w:marBottom w:val="0"/>
      <w:divBdr>
        <w:top w:val="none" w:sz="0" w:space="0" w:color="auto"/>
        <w:left w:val="none" w:sz="0" w:space="0" w:color="auto"/>
        <w:bottom w:val="none" w:sz="0" w:space="0" w:color="auto"/>
        <w:right w:val="none" w:sz="0" w:space="0" w:color="auto"/>
      </w:divBdr>
    </w:div>
    <w:div w:id="947391151">
      <w:bodyDiv w:val="1"/>
      <w:marLeft w:val="0"/>
      <w:marRight w:val="0"/>
      <w:marTop w:val="0"/>
      <w:marBottom w:val="0"/>
      <w:divBdr>
        <w:top w:val="none" w:sz="0" w:space="0" w:color="auto"/>
        <w:left w:val="none" w:sz="0" w:space="0" w:color="auto"/>
        <w:bottom w:val="none" w:sz="0" w:space="0" w:color="auto"/>
        <w:right w:val="none" w:sz="0" w:space="0" w:color="auto"/>
      </w:divBdr>
    </w:div>
    <w:div w:id="947468081">
      <w:bodyDiv w:val="1"/>
      <w:marLeft w:val="0"/>
      <w:marRight w:val="0"/>
      <w:marTop w:val="0"/>
      <w:marBottom w:val="0"/>
      <w:divBdr>
        <w:top w:val="none" w:sz="0" w:space="0" w:color="auto"/>
        <w:left w:val="none" w:sz="0" w:space="0" w:color="auto"/>
        <w:bottom w:val="none" w:sz="0" w:space="0" w:color="auto"/>
        <w:right w:val="none" w:sz="0" w:space="0" w:color="auto"/>
      </w:divBdr>
    </w:div>
    <w:div w:id="947658634">
      <w:bodyDiv w:val="1"/>
      <w:marLeft w:val="0"/>
      <w:marRight w:val="0"/>
      <w:marTop w:val="0"/>
      <w:marBottom w:val="0"/>
      <w:divBdr>
        <w:top w:val="none" w:sz="0" w:space="0" w:color="auto"/>
        <w:left w:val="none" w:sz="0" w:space="0" w:color="auto"/>
        <w:bottom w:val="none" w:sz="0" w:space="0" w:color="auto"/>
        <w:right w:val="none" w:sz="0" w:space="0" w:color="auto"/>
      </w:divBdr>
    </w:div>
    <w:div w:id="947810468">
      <w:bodyDiv w:val="1"/>
      <w:marLeft w:val="0"/>
      <w:marRight w:val="0"/>
      <w:marTop w:val="0"/>
      <w:marBottom w:val="0"/>
      <w:divBdr>
        <w:top w:val="none" w:sz="0" w:space="0" w:color="auto"/>
        <w:left w:val="none" w:sz="0" w:space="0" w:color="auto"/>
        <w:bottom w:val="none" w:sz="0" w:space="0" w:color="auto"/>
        <w:right w:val="none" w:sz="0" w:space="0" w:color="auto"/>
      </w:divBdr>
    </w:div>
    <w:div w:id="948010018">
      <w:bodyDiv w:val="1"/>
      <w:marLeft w:val="0"/>
      <w:marRight w:val="0"/>
      <w:marTop w:val="0"/>
      <w:marBottom w:val="0"/>
      <w:divBdr>
        <w:top w:val="none" w:sz="0" w:space="0" w:color="auto"/>
        <w:left w:val="none" w:sz="0" w:space="0" w:color="auto"/>
        <w:bottom w:val="none" w:sz="0" w:space="0" w:color="auto"/>
        <w:right w:val="none" w:sz="0" w:space="0" w:color="auto"/>
      </w:divBdr>
    </w:div>
    <w:div w:id="948316776">
      <w:bodyDiv w:val="1"/>
      <w:marLeft w:val="0"/>
      <w:marRight w:val="0"/>
      <w:marTop w:val="0"/>
      <w:marBottom w:val="0"/>
      <w:divBdr>
        <w:top w:val="none" w:sz="0" w:space="0" w:color="auto"/>
        <w:left w:val="none" w:sz="0" w:space="0" w:color="auto"/>
        <w:bottom w:val="none" w:sz="0" w:space="0" w:color="auto"/>
        <w:right w:val="none" w:sz="0" w:space="0" w:color="auto"/>
      </w:divBdr>
    </w:div>
    <w:div w:id="948468602">
      <w:bodyDiv w:val="1"/>
      <w:marLeft w:val="0"/>
      <w:marRight w:val="0"/>
      <w:marTop w:val="0"/>
      <w:marBottom w:val="0"/>
      <w:divBdr>
        <w:top w:val="none" w:sz="0" w:space="0" w:color="auto"/>
        <w:left w:val="none" w:sz="0" w:space="0" w:color="auto"/>
        <w:bottom w:val="none" w:sz="0" w:space="0" w:color="auto"/>
        <w:right w:val="none" w:sz="0" w:space="0" w:color="auto"/>
      </w:divBdr>
      <w:divsChild>
        <w:div w:id="1819030837">
          <w:marLeft w:val="0"/>
          <w:marRight w:val="0"/>
          <w:marTop w:val="0"/>
          <w:marBottom w:val="0"/>
          <w:divBdr>
            <w:top w:val="none" w:sz="0" w:space="0" w:color="auto"/>
            <w:left w:val="none" w:sz="0" w:space="0" w:color="auto"/>
            <w:bottom w:val="none" w:sz="0" w:space="0" w:color="auto"/>
            <w:right w:val="none" w:sz="0" w:space="0" w:color="auto"/>
          </w:divBdr>
        </w:div>
      </w:divsChild>
    </w:div>
    <w:div w:id="949430563">
      <w:bodyDiv w:val="1"/>
      <w:marLeft w:val="0"/>
      <w:marRight w:val="0"/>
      <w:marTop w:val="0"/>
      <w:marBottom w:val="0"/>
      <w:divBdr>
        <w:top w:val="none" w:sz="0" w:space="0" w:color="auto"/>
        <w:left w:val="none" w:sz="0" w:space="0" w:color="auto"/>
        <w:bottom w:val="none" w:sz="0" w:space="0" w:color="auto"/>
        <w:right w:val="none" w:sz="0" w:space="0" w:color="auto"/>
      </w:divBdr>
    </w:div>
    <w:div w:id="950820521">
      <w:bodyDiv w:val="1"/>
      <w:marLeft w:val="0"/>
      <w:marRight w:val="0"/>
      <w:marTop w:val="0"/>
      <w:marBottom w:val="0"/>
      <w:divBdr>
        <w:top w:val="none" w:sz="0" w:space="0" w:color="auto"/>
        <w:left w:val="none" w:sz="0" w:space="0" w:color="auto"/>
        <w:bottom w:val="none" w:sz="0" w:space="0" w:color="auto"/>
        <w:right w:val="none" w:sz="0" w:space="0" w:color="auto"/>
      </w:divBdr>
    </w:div>
    <w:div w:id="951017999">
      <w:bodyDiv w:val="1"/>
      <w:marLeft w:val="0"/>
      <w:marRight w:val="0"/>
      <w:marTop w:val="0"/>
      <w:marBottom w:val="0"/>
      <w:divBdr>
        <w:top w:val="none" w:sz="0" w:space="0" w:color="auto"/>
        <w:left w:val="none" w:sz="0" w:space="0" w:color="auto"/>
        <w:bottom w:val="none" w:sz="0" w:space="0" w:color="auto"/>
        <w:right w:val="none" w:sz="0" w:space="0" w:color="auto"/>
      </w:divBdr>
    </w:div>
    <w:div w:id="951668760">
      <w:bodyDiv w:val="1"/>
      <w:marLeft w:val="0"/>
      <w:marRight w:val="0"/>
      <w:marTop w:val="0"/>
      <w:marBottom w:val="0"/>
      <w:divBdr>
        <w:top w:val="none" w:sz="0" w:space="0" w:color="auto"/>
        <w:left w:val="none" w:sz="0" w:space="0" w:color="auto"/>
        <w:bottom w:val="none" w:sz="0" w:space="0" w:color="auto"/>
        <w:right w:val="none" w:sz="0" w:space="0" w:color="auto"/>
      </w:divBdr>
    </w:div>
    <w:div w:id="952135460">
      <w:bodyDiv w:val="1"/>
      <w:marLeft w:val="0"/>
      <w:marRight w:val="0"/>
      <w:marTop w:val="0"/>
      <w:marBottom w:val="0"/>
      <w:divBdr>
        <w:top w:val="none" w:sz="0" w:space="0" w:color="auto"/>
        <w:left w:val="none" w:sz="0" w:space="0" w:color="auto"/>
        <w:bottom w:val="none" w:sz="0" w:space="0" w:color="auto"/>
        <w:right w:val="none" w:sz="0" w:space="0" w:color="auto"/>
      </w:divBdr>
    </w:div>
    <w:div w:id="955521777">
      <w:bodyDiv w:val="1"/>
      <w:marLeft w:val="0"/>
      <w:marRight w:val="0"/>
      <w:marTop w:val="0"/>
      <w:marBottom w:val="0"/>
      <w:divBdr>
        <w:top w:val="none" w:sz="0" w:space="0" w:color="auto"/>
        <w:left w:val="none" w:sz="0" w:space="0" w:color="auto"/>
        <w:bottom w:val="none" w:sz="0" w:space="0" w:color="auto"/>
        <w:right w:val="none" w:sz="0" w:space="0" w:color="auto"/>
      </w:divBdr>
    </w:div>
    <w:div w:id="955596396">
      <w:bodyDiv w:val="1"/>
      <w:marLeft w:val="0"/>
      <w:marRight w:val="0"/>
      <w:marTop w:val="0"/>
      <w:marBottom w:val="0"/>
      <w:divBdr>
        <w:top w:val="none" w:sz="0" w:space="0" w:color="auto"/>
        <w:left w:val="none" w:sz="0" w:space="0" w:color="auto"/>
        <w:bottom w:val="none" w:sz="0" w:space="0" w:color="auto"/>
        <w:right w:val="none" w:sz="0" w:space="0" w:color="auto"/>
      </w:divBdr>
    </w:div>
    <w:div w:id="956445028">
      <w:bodyDiv w:val="1"/>
      <w:marLeft w:val="0"/>
      <w:marRight w:val="0"/>
      <w:marTop w:val="0"/>
      <w:marBottom w:val="0"/>
      <w:divBdr>
        <w:top w:val="none" w:sz="0" w:space="0" w:color="auto"/>
        <w:left w:val="none" w:sz="0" w:space="0" w:color="auto"/>
        <w:bottom w:val="none" w:sz="0" w:space="0" w:color="auto"/>
        <w:right w:val="none" w:sz="0" w:space="0" w:color="auto"/>
      </w:divBdr>
    </w:div>
    <w:div w:id="956644566">
      <w:bodyDiv w:val="1"/>
      <w:marLeft w:val="0"/>
      <w:marRight w:val="0"/>
      <w:marTop w:val="0"/>
      <w:marBottom w:val="0"/>
      <w:divBdr>
        <w:top w:val="none" w:sz="0" w:space="0" w:color="auto"/>
        <w:left w:val="none" w:sz="0" w:space="0" w:color="auto"/>
        <w:bottom w:val="none" w:sz="0" w:space="0" w:color="auto"/>
        <w:right w:val="none" w:sz="0" w:space="0" w:color="auto"/>
      </w:divBdr>
    </w:div>
    <w:div w:id="958801214">
      <w:bodyDiv w:val="1"/>
      <w:marLeft w:val="0"/>
      <w:marRight w:val="0"/>
      <w:marTop w:val="0"/>
      <w:marBottom w:val="0"/>
      <w:divBdr>
        <w:top w:val="none" w:sz="0" w:space="0" w:color="auto"/>
        <w:left w:val="none" w:sz="0" w:space="0" w:color="auto"/>
        <w:bottom w:val="none" w:sz="0" w:space="0" w:color="auto"/>
        <w:right w:val="none" w:sz="0" w:space="0" w:color="auto"/>
      </w:divBdr>
    </w:div>
    <w:div w:id="959922358">
      <w:bodyDiv w:val="1"/>
      <w:marLeft w:val="0"/>
      <w:marRight w:val="0"/>
      <w:marTop w:val="0"/>
      <w:marBottom w:val="0"/>
      <w:divBdr>
        <w:top w:val="none" w:sz="0" w:space="0" w:color="auto"/>
        <w:left w:val="none" w:sz="0" w:space="0" w:color="auto"/>
        <w:bottom w:val="none" w:sz="0" w:space="0" w:color="auto"/>
        <w:right w:val="none" w:sz="0" w:space="0" w:color="auto"/>
      </w:divBdr>
    </w:div>
    <w:div w:id="960380518">
      <w:bodyDiv w:val="1"/>
      <w:marLeft w:val="0"/>
      <w:marRight w:val="0"/>
      <w:marTop w:val="0"/>
      <w:marBottom w:val="0"/>
      <w:divBdr>
        <w:top w:val="none" w:sz="0" w:space="0" w:color="auto"/>
        <w:left w:val="none" w:sz="0" w:space="0" w:color="auto"/>
        <w:bottom w:val="none" w:sz="0" w:space="0" w:color="auto"/>
        <w:right w:val="none" w:sz="0" w:space="0" w:color="auto"/>
      </w:divBdr>
    </w:div>
    <w:div w:id="960955880">
      <w:bodyDiv w:val="1"/>
      <w:marLeft w:val="0"/>
      <w:marRight w:val="0"/>
      <w:marTop w:val="0"/>
      <w:marBottom w:val="0"/>
      <w:divBdr>
        <w:top w:val="none" w:sz="0" w:space="0" w:color="auto"/>
        <w:left w:val="none" w:sz="0" w:space="0" w:color="auto"/>
        <w:bottom w:val="none" w:sz="0" w:space="0" w:color="auto"/>
        <w:right w:val="none" w:sz="0" w:space="0" w:color="auto"/>
      </w:divBdr>
    </w:div>
    <w:div w:id="960962178">
      <w:bodyDiv w:val="1"/>
      <w:marLeft w:val="0"/>
      <w:marRight w:val="0"/>
      <w:marTop w:val="0"/>
      <w:marBottom w:val="0"/>
      <w:divBdr>
        <w:top w:val="none" w:sz="0" w:space="0" w:color="auto"/>
        <w:left w:val="none" w:sz="0" w:space="0" w:color="auto"/>
        <w:bottom w:val="none" w:sz="0" w:space="0" w:color="auto"/>
        <w:right w:val="none" w:sz="0" w:space="0" w:color="auto"/>
      </w:divBdr>
    </w:div>
    <w:div w:id="961427032">
      <w:bodyDiv w:val="1"/>
      <w:marLeft w:val="0"/>
      <w:marRight w:val="0"/>
      <w:marTop w:val="0"/>
      <w:marBottom w:val="0"/>
      <w:divBdr>
        <w:top w:val="none" w:sz="0" w:space="0" w:color="auto"/>
        <w:left w:val="none" w:sz="0" w:space="0" w:color="auto"/>
        <w:bottom w:val="none" w:sz="0" w:space="0" w:color="auto"/>
        <w:right w:val="none" w:sz="0" w:space="0" w:color="auto"/>
      </w:divBdr>
    </w:div>
    <w:div w:id="961544600">
      <w:bodyDiv w:val="1"/>
      <w:marLeft w:val="0"/>
      <w:marRight w:val="0"/>
      <w:marTop w:val="0"/>
      <w:marBottom w:val="0"/>
      <w:divBdr>
        <w:top w:val="none" w:sz="0" w:space="0" w:color="auto"/>
        <w:left w:val="none" w:sz="0" w:space="0" w:color="auto"/>
        <w:bottom w:val="none" w:sz="0" w:space="0" w:color="auto"/>
        <w:right w:val="none" w:sz="0" w:space="0" w:color="auto"/>
      </w:divBdr>
    </w:div>
    <w:div w:id="962269885">
      <w:bodyDiv w:val="1"/>
      <w:marLeft w:val="0"/>
      <w:marRight w:val="0"/>
      <w:marTop w:val="0"/>
      <w:marBottom w:val="0"/>
      <w:divBdr>
        <w:top w:val="none" w:sz="0" w:space="0" w:color="auto"/>
        <w:left w:val="none" w:sz="0" w:space="0" w:color="auto"/>
        <w:bottom w:val="none" w:sz="0" w:space="0" w:color="auto"/>
        <w:right w:val="none" w:sz="0" w:space="0" w:color="auto"/>
      </w:divBdr>
    </w:div>
    <w:div w:id="962619491">
      <w:bodyDiv w:val="1"/>
      <w:marLeft w:val="0"/>
      <w:marRight w:val="0"/>
      <w:marTop w:val="0"/>
      <w:marBottom w:val="0"/>
      <w:divBdr>
        <w:top w:val="none" w:sz="0" w:space="0" w:color="auto"/>
        <w:left w:val="none" w:sz="0" w:space="0" w:color="auto"/>
        <w:bottom w:val="none" w:sz="0" w:space="0" w:color="auto"/>
        <w:right w:val="none" w:sz="0" w:space="0" w:color="auto"/>
      </w:divBdr>
    </w:div>
    <w:div w:id="962811280">
      <w:bodyDiv w:val="1"/>
      <w:marLeft w:val="0"/>
      <w:marRight w:val="0"/>
      <w:marTop w:val="0"/>
      <w:marBottom w:val="0"/>
      <w:divBdr>
        <w:top w:val="none" w:sz="0" w:space="0" w:color="auto"/>
        <w:left w:val="none" w:sz="0" w:space="0" w:color="auto"/>
        <w:bottom w:val="none" w:sz="0" w:space="0" w:color="auto"/>
        <w:right w:val="none" w:sz="0" w:space="0" w:color="auto"/>
      </w:divBdr>
    </w:div>
    <w:div w:id="963005416">
      <w:bodyDiv w:val="1"/>
      <w:marLeft w:val="0"/>
      <w:marRight w:val="0"/>
      <w:marTop w:val="0"/>
      <w:marBottom w:val="0"/>
      <w:divBdr>
        <w:top w:val="none" w:sz="0" w:space="0" w:color="auto"/>
        <w:left w:val="none" w:sz="0" w:space="0" w:color="auto"/>
        <w:bottom w:val="none" w:sz="0" w:space="0" w:color="auto"/>
        <w:right w:val="none" w:sz="0" w:space="0" w:color="auto"/>
      </w:divBdr>
    </w:div>
    <w:div w:id="963461660">
      <w:bodyDiv w:val="1"/>
      <w:marLeft w:val="0"/>
      <w:marRight w:val="0"/>
      <w:marTop w:val="0"/>
      <w:marBottom w:val="0"/>
      <w:divBdr>
        <w:top w:val="none" w:sz="0" w:space="0" w:color="auto"/>
        <w:left w:val="none" w:sz="0" w:space="0" w:color="auto"/>
        <w:bottom w:val="none" w:sz="0" w:space="0" w:color="auto"/>
        <w:right w:val="none" w:sz="0" w:space="0" w:color="auto"/>
      </w:divBdr>
    </w:div>
    <w:div w:id="963467967">
      <w:bodyDiv w:val="1"/>
      <w:marLeft w:val="0"/>
      <w:marRight w:val="0"/>
      <w:marTop w:val="0"/>
      <w:marBottom w:val="0"/>
      <w:divBdr>
        <w:top w:val="none" w:sz="0" w:space="0" w:color="auto"/>
        <w:left w:val="none" w:sz="0" w:space="0" w:color="auto"/>
        <w:bottom w:val="none" w:sz="0" w:space="0" w:color="auto"/>
        <w:right w:val="none" w:sz="0" w:space="0" w:color="auto"/>
      </w:divBdr>
    </w:div>
    <w:div w:id="963923762">
      <w:bodyDiv w:val="1"/>
      <w:marLeft w:val="0"/>
      <w:marRight w:val="0"/>
      <w:marTop w:val="0"/>
      <w:marBottom w:val="0"/>
      <w:divBdr>
        <w:top w:val="none" w:sz="0" w:space="0" w:color="auto"/>
        <w:left w:val="none" w:sz="0" w:space="0" w:color="auto"/>
        <w:bottom w:val="none" w:sz="0" w:space="0" w:color="auto"/>
        <w:right w:val="none" w:sz="0" w:space="0" w:color="auto"/>
      </w:divBdr>
    </w:div>
    <w:div w:id="964122765">
      <w:bodyDiv w:val="1"/>
      <w:marLeft w:val="0"/>
      <w:marRight w:val="0"/>
      <w:marTop w:val="0"/>
      <w:marBottom w:val="0"/>
      <w:divBdr>
        <w:top w:val="none" w:sz="0" w:space="0" w:color="auto"/>
        <w:left w:val="none" w:sz="0" w:space="0" w:color="auto"/>
        <w:bottom w:val="none" w:sz="0" w:space="0" w:color="auto"/>
        <w:right w:val="none" w:sz="0" w:space="0" w:color="auto"/>
      </w:divBdr>
    </w:div>
    <w:div w:id="965047471">
      <w:bodyDiv w:val="1"/>
      <w:marLeft w:val="0"/>
      <w:marRight w:val="0"/>
      <w:marTop w:val="0"/>
      <w:marBottom w:val="0"/>
      <w:divBdr>
        <w:top w:val="none" w:sz="0" w:space="0" w:color="auto"/>
        <w:left w:val="none" w:sz="0" w:space="0" w:color="auto"/>
        <w:bottom w:val="none" w:sz="0" w:space="0" w:color="auto"/>
        <w:right w:val="none" w:sz="0" w:space="0" w:color="auto"/>
      </w:divBdr>
    </w:div>
    <w:div w:id="965501782">
      <w:bodyDiv w:val="1"/>
      <w:marLeft w:val="0"/>
      <w:marRight w:val="0"/>
      <w:marTop w:val="0"/>
      <w:marBottom w:val="0"/>
      <w:divBdr>
        <w:top w:val="none" w:sz="0" w:space="0" w:color="auto"/>
        <w:left w:val="none" w:sz="0" w:space="0" w:color="auto"/>
        <w:bottom w:val="none" w:sz="0" w:space="0" w:color="auto"/>
        <w:right w:val="none" w:sz="0" w:space="0" w:color="auto"/>
      </w:divBdr>
    </w:div>
    <w:div w:id="966278721">
      <w:bodyDiv w:val="1"/>
      <w:marLeft w:val="0"/>
      <w:marRight w:val="0"/>
      <w:marTop w:val="0"/>
      <w:marBottom w:val="0"/>
      <w:divBdr>
        <w:top w:val="none" w:sz="0" w:space="0" w:color="auto"/>
        <w:left w:val="none" w:sz="0" w:space="0" w:color="auto"/>
        <w:bottom w:val="none" w:sz="0" w:space="0" w:color="auto"/>
        <w:right w:val="none" w:sz="0" w:space="0" w:color="auto"/>
      </w:divBdr>
    </w:div>
    <w:div w:id="966397498">
      <w:bodyDiv w:val="1"/>
      <w:marLeft w:val="0"/>
      <w:marRight w:val="0"/>
      <w:marTop w:val="0"/>
      <w:marBottom w:val="0"/>
      <w:divBdr>
        <w:top w:val="none" w:sz="0" w:space="0" w:color="auto"/>
        <w:left w:val="none" w:sz="0" w:space="0" w:color="auto"/>
        <w:bottom w:val="none" w:sz="0" w:space="0" w:color="auto"/>
        <w:right w:val="none" w:sz="0" w:space="0" w:color="auto"/>
      </w:divBdr>
    </w:div>
    <w:div w:id="966856341">
      <w:bodyDiv w:val="1"/>
      <w:marLeft w:val="0"/>
      <w:marRight w:val="0"/>
      <w:marTop w:val="0"/>
      <w:marBottom w:val="0"/>
      <w:divBdr>
        <w:top w:val="none" w:sz="0" w:space="0" w:color="auto"/>
        <w:left w:val="none" w:sz="0" w:space="0" w:color="auto"/>
        <w:bottom w:val="none" w:sz="0" w:space="0" w:color="auto"/>
        <w:right w:val="none" w:sz="0" w:space="0" w:color="auto"/>
      </w:divBdr>
    </w:div>
    <w:div w:id="967053449">
      <w:bodyDiv w:val="1"/>
      <w:marLeft w:val="0"/>
      <w:marRight w:val="0"/>
      <w:marTop w:val="0"/>
      <w:marBottom w:val="0"/>
      <w:divBdr>
        <w:top w:val="none" w:sz="0" w:space="0" w:color="auto"/>
        <w:left w:val="none" w:sz="0" w:space="0" w:color="auto"/>
        <w:bottom w:val="none" w:sz="0" w:space="0" w:color="auto"/>
        <w:right w:val="none" w:sz="0" w:space="0" w:color="auto"/>
      </w:divBdr>
    </w:div>
    <w:div w:id="967470905">
      <w:bodyDiv w:val="1"/>
      <w:marLeft w:val="0"/>
      <w:marRight w:val="0"/>
      <w:marTop w:val="0"/>
      <w:marBottom w:val="0"/>
      <w:divBdr>
        <w:top w:val="none" w:sz="0" w:space="0" w:color="auto"/>
        <w:left w:val="none" w:sz="0" w:space="0" w:color="auto"/>
        <w:bottom w:val="none" w:sz="0" w:space="0" w:color="auto"/>
        <w:right w:val="none" w:sz="0" w:space="0" w:color="auto"/>
      </w:divBdr>
    </w:div>
    <w:div w:id="967706866">
      <w:bodyDiv w:val="1"/>
      <w:marLeft w:val="0"/>
      <w:marRight w:val="0"/>
      <w:marTop w:val="0"/>
      <w:marBottom w:val="0"/>
      <w:divBdr>
        <w:top w:val="none" w:sz="0" w:space="0" w:color="auto"/>
        <w:left w:val="none" w:sz="0" w:space="0" w:color="auto"/>
        <w:bottom w:val="none" w:sz="0" w:space="0" w:color="auto"/>
        <w:right w:val="none" w:sz="0" w:space="0" w:color="auto"/>
      </w:divBdr>
    </w:div>
    <w:div w:id="969625956">
      <w:bodyDiv w:val="1"/>
      <w:marLeft w:val="0"/>
      <w:marRight w:val="0"/>
      <w:marTop w:val="0"/>
      <w:marBottom w:val="0"/>
      <w:divBdr>
        <w:top w:val="none" w:sz="0" w:space="0" w:color="auto"/>
        <w:left w:val="none" w:sz="0" w:space="0" w:color="auto"/>
        <w:bottom w:val="none" w:sz="0" w:space="0" w:color="auto"/>
        <w:right w:val="none" w:sz="0" w:space="0" w:color="auto"/>
      </w:divBdr>
    </w:div>
    <w:div w:id="969633494">
      <w:bodyDiv w:val="1"/>
      <w:marLeft w:val="0"/>
      <w:marRight w:val="0"/>
      <w:marTop w:val="0"/>
      <w:marBottom w:val="0"/>
      <w:divBdr>
        <w:top w:val="none" w:sz="0" w:space="0" w:color="auto"/>
        <w:left w:val="none" w:sz="0" w:space="0" w:color="auto"/>
        <w:bottom w:val="none" w:sz="0" w:space="0" w:color="auto"/>
        <w:right w:val="none" w:sz="0" w:space="0" w:color="auto"/>
      </w:divBdr>
    </w:div>
    <w:div w:id="969827493">
      <w:bodyDiv w:val="1"/>
      <w:marLeft w:val="0"/>
      <w:marRight w:val="0"/>
      <w:marTop w:val="0"/>
      <w:marBottom w:val="0"/>
      <w:divBdr>
        <w:top w:val="none" w:sz="0" w:space="0" w:color="auto"/>
        <w:left w:val="none" w:sz="0" w:space="0" w:color="auto"/>
        <w:bottom w:val="none" w:sz="0" w:space="0" w:color="auto"/>
        <w:right w:val="none" w:sz="0" w:space="0" w:color="auto"/>
      </w:divBdr>
    </w:div>
    <w:div w:id="970789844">
      <w:bodyDiv w:val="1"/>
      <w:marLeft w:val="0"/>
      <w:marRight w:val="0"/>
      <w:marTop w:val="0"/>
      <w:marBottom w:val="0"/>
      <w:divBdr>
        <w:top w:val="none" w:sz="0" w:space="0" w:color="auto"/>
        <w:left w:val="none" w:sz="0" w:space="0" w:color="auto"/>
        <w:bottom w:val="none" w:sz="0" w:space="0" w:color="auto"/>
        <w:right w:val="none" w:sz="0" w:space="0" w:color="auto"/>
      </w:divBdr>
    </w:div>
    <w:div w:id="970868512">
      <w:bodyDiv w:val="1"/>
      <w:marLeft w:val="0"/>
      <w:marRight w:val="0"/>
      <w:marTop w:val="0"/>
      <w:marBottom w:val="0"/>
      <w:divBdr>
        <w:top w:val="none" w:sz="0" w:space="0" w:color="auto"/>
        <w:left w:val="none" w:sz="0" w:space="0" w:color="auto"/>
        <w:bottom w:val="none" w:sz="0" w:space="0" w:color="auto"/>
        <w:right w:val="none" w:sz="0" w:space="0" w:color="auto"/>
      </w:divBdr>
    </w:div>
    <w:div w:id="970868989">
      <w:bodyDiv w:val="1"/>
      <w:marLeft w:val="0"/>
      <w:marRight w:val="0"/>
      <w:marTop w:val="0"/>
      <w:marBottom w:val="0"/>
      <w:divBdr>
        <w:top w:val="none" w:sz="0" w:space="0" w:color="auto"/>
        <w:left w:val="none" w:sz="0" w:space="0" w:color="auto"/>
        <w:bottom w:val="none" w:sz="0" w:space="0" w:color="auto"/>
        <w:right w:val="none" w:sz="0" w:space="0" w:color="auto"/>
      </w:divBdr>
    </w:div>
    <w:div w:id="971136722">
      <w:bodyDiv w:val="1"/>
      <w:marLeft w:val="0"/>
      <w:marRight w:val="0"/>
      <w:marTop w:val="0"/>
      <w:marBottom w:val="0"/>
      <w:divBdr>
        <w:top w:val="none" w:sz="0" w:space="0" w:color="auto"/>
        <w:left w:val="none" w:sz="0" w:space="0" w:color="auto"/>
        <w:bottom w:val="none" w:sz="0" w:space="0" w:color="auto"/>
        <w:right w:val="none" w:sz="0" w:space="0" w:color="auto"/>
      </w:divBdr>
    </w:div>
    <w:div w:id="971137918">
      <w:bodyDiv w:val="1"/>
      <w:marLeft w:val="0"/>
      <w:marRight w:val="0"/>
      <w:marTop w:val="0"/>
      <w:marBottom w:val="0"/>
      <w:divBdr>
        <w:top w:val="none" w:sz="0" w:space="0" w:color="auto"/>
        <w:left w:val="none" w:sz="0" w:space="0" w:color="auto"/>
        <w:bottom w:val="none" w:sz="0" w:space="0" w:color="auto"/>
        <w:right w:val="none" w:sz="0" w:space="0" w:color="auto"/>
      </w:divBdr>
    </w:div>
    <w:div w:id="971901926">
      <w:bodyDiv w:val="1"/>
      <w:marLeft w:val="0"/>
      <w:marRight w:val="0"/>
      <w:marTop w:val="0"/>
      <w:marBottom w:val="0"/>
      <w:divBdr>
        <w:top w:val="none" w:sz="0" w:space="0" w:color="auto"/>
        <w:left w:val="none" w:sz="0" w:space="0" w:color="auto"/>
        <w:bottom w:val="none" w:sz="0" w:space="0" w:color="auto"/>
        <w:right w:val="none" w:sz="0" w:space="0" w:color="auto"/>
      </w:divBdr>
    </w:div>
    <w:div w:id="971980084">
      <w:bodyDiv w:val="1"/>
      <w:marLeft w:val="0"/>
      <w:marRight w:val="0"/>
      <w:marTop w:val="0"/>
      <w:marBottom w:val="0"/>
      <w:divBdr>
        <w:top w:val="none" w:sz="0" w:space="0" w:color="auto"/>
        <w:left w:val="none" w:sz="0" w:space="0" w:color="auto"/>
        <w:bottom w:val="none" w:sz="0" w:space="0" w:color="auto"/>
        <w:right w:val="none" w:sz="0" w:space="0" w:color="auto"/>
      </w:divBdr>
    </w:div>
    <w:div w:id="973104026">
      <w:bodyDiv w:val="1"/>
      <w:marLeft w:val="0"/>
      <w:marRight w:val="0"/>
      <w:marTop w:val="0"/>
      <w:marBottom w:val="0"/>
      <w:divBdr>
        <w:top w:val="none" w:sz="0" w:space="0" w:color="auto"/>
        <w:left w:val="none" w:sz="0" w:space="0" w:color="auto"/>
        <w:bottom w:val="none" w:sz="0" w:space="0" w:color="auto"/>
        <w:right w:val="none" w:sz="0" w:space="0" w:color="auto"/>
      </w:divBdr>
    </w:div>
    <w:div w:id="973218401">
      <w:bodyDiv w:val="1"/>
      <w:marLeft w:val="0"/>
      <w:marRight w:val="0"/>
      <w:marTop w:val="0"/>
      <w:marBottom w:val="0"/>
      <w:divBdr>
        <w:top w:val="none" w:sz="0" w:space="0" w:color="auto"/>
        <w:left w:val="none" w:sz="0" w:space="0" w:color="auto"/>
        <w:bottom w:val="none" w:sz="0" w:space="0" w:color="auto"/>
        <w:right w:val="none" w:sz="0" w:space="0" w:color="auto"/>
      </w:divBdr>
    </w:div>
    <w:div w:id="973294295">
      <w:bodyDiv w:val="1"/>
      <w:marLeft w:val="0"/>
      <w:marRight w:val="0"/>
      <w:marTop w:val="0"/>
      <w:marBottom w:val="0"/>
      <w:divBdr>
        <w:top w:val="none" w:sz="0" w:space="0" w:color="auto"/>
        <w:left w:val="none" w:sz="0" w:space="0" w:color="auto"/>
        <w:bottom w:val="none" w:sz="0" w:space="0" w:color="auto"/>
        <w:right w:val="none" w:sz="0" w:space="0" w:color="auto"/>
      </w:divBdr>
    </w:div>
    <w:div w:id="973483343">
      <w:bodyDiv w:val="1"/>
      <w:marLeft w:val="0"/>
      <w:marRight w:val="0"/>
      <w:marTop w:val="0"/>
      <w:marBottom w:val="0"/>
      <w:divBdr>
        <w:top w:val="none" w:sz="0" w:space="0" w:color="auto"/>
        <w:left w:val="none" w:sz="0" w:space="0" w:color="auto"/>
        <w:bottom w:val="none" w:sz="0" w:space="0" w:color="auto"/>
        <w:right w:val="none" w:sz="0" w:space="0" w:color="auto"/>
      </w:divBdr>
    </w:div>
    <w:div w:id="974144386">
      <w:bodyDiv w:val="1"/>
      <w:marLeft w:val="0"/>
      <w:marRight w:val="0"/>
      <w:marTop w:val="0"/>
      <w:marBottom w:val="0"/>
      <w:divBdr>
        <w:top w:val="none" w:sz="0" w:space="0" w:color="auto"/>
        <w:left w:val="none" w:sz="0" w:space="0" w:color="auto"/>
        <w:bottom w:val="none" w:sz="0" w:space="0" w:color="auto"/>
        <w:right w:val="none" w:sz="0" w:space="0" w:color="auto"/>
      </w:divBdr>
    </w:div>
    <w:div w:id="975061535">
      <w:bodyDiv w:val="1"/>
      <w:marLeft w:val="0"/>
      <w:marRight w:val="0"/>
      <w:marTop w:val="0"/>
      <w:marBottom w:val="0"/>
      <w:divBdr>
        <w:top w:val="none" w:sz="0" w:space="0" w:color="auto"/>
        <w:left w:val="none" w:sz="0" w:space="0" w:color="auto"/>
        <w:bottom w:val="none" w:sz="0" w:space="0" w:color="auto"/>
        <w:right w:val="none" w:sz="0" w:space="0" w:color="auto"/>
      </w:divBdr>
    </w:div>
    <w:div w:id="975067167">
      <w:bodyDiv w:val="1"/>
      <w:marLeft w:val="0"/>
      <w:marRight w:val="0"/>
      <w:marTop w:val="0"/>
      <w:marBottom w:val="0"/>
      <w:divBdr>
        <w:top w:val="none" w:sz="0" w:space="0" w:color="auto"/>
        <w:left w:val="none" w:sz="0" w:space="0" w:color="auto"/>
        <w:bottom w:val="none" w:sz="0" w:space="0" w:color="auto"/>
        <w:right w:val="none" w:sz="0" w:space="0" w:color="auto"/>
      </w:divBdr>
    </w:div>
    <w:div w:id="975179560">
      <w:bodyDiv w:val="1"/>
      <w:marLeft w:val="0"/>
      <w:marRight w:val="0"/>
      <w:marTop w:val="0"/>
      <w:marBottom w:val="0"/>
      <w:divBdr>
        <w:top w:val="none" w:sz="0" w:space="0" w:color="auto"/>
        <w:left w:val="none" w:sz="0" w:space="0" w:color="auto"/>
        <w:bottom w:val="none" w:sz="0" w:space="0" w:color="auto"/>
        <w:right w:val="none" w:sz="0" w:space="0" w:color="auto"/>
      </w:divBdr>
    </w:div>
    <w:div w:id="975642570">
      <w:bodyDiv w:val="1"/>
      <w:marLeft w:val="0"/>
      <w:marRight w:val="0"/>
      <w:marTop w:val="0"/>
      <w:marBottom w:val="0"/>
      <w:divBdr>
        <w:top w:val="none" w:sz="0" w:space="0" w:color="auto"/>
        <w:left w:val="none" w:sz="0" w:space="0" w:color="auto"/>
        <w:bottom w:val="none" w:sz="0" w:space="0" w:color="auto"/>
        <w:right w:val="none" w:sz="0" w:space="0" w:color="auto"/>
      </w:divBdr>
    </w:div>
    <w:div w:id="976225666">
      <w:bodyDiv w:val="1"/>
      <w:marLeft w:val="0"/>
      <w:marRight w:val="0"/>
      <w:marTop w:val="0"/>
      <w:marBottom w:val="0"/>
      <w:divBdr>
        <w:top w:val="none" w:sz="0" w:space="0" w:color="auto"/>
        <w:left w:val="none" w:sz="0" w:space="0" w:color="auto"/>
        <w:bottom w:val="none" w:sz="0" w:space="0" w:color="auto"/>
        <w:right w:val="none" w:sz="0" w:space="0" w:color="auto"/>
      </w:divBdr>
    </w:div>
    <w:div w:id="976568920">
      <w:bodyDiv w:val="1"/>
      <w:marLeft w:val="0"/>
      <w:marRight w:val="0"/>
      <w:marTop w:val="0"/>
      <w:marBottom w:val="0"/>
      <w:divBdr>
        <w:top w:val="none" w:sz="0" w:space="0" w:color="auto"/>
        <w:left w:val="none" w:sz="0" w:space="0" w:color="auto"/>
        <w:bottom w:val="none" w:sz="0" w:space="0" w:color="auto"/>
        <w:right w:val="none" w:sz="0" w:space="0" w:color="auto"/>
      </w:divBdr>
    </w:div>
    <w:div w:id="976840284">
      <w:bodyDiv w:val="1"/>
      <w:marLeft w:val="0"/>
      <w:marRight w:val="0"/>
      <w:marTop w:val="0"/>
      <w:marBottom w:val="0"/>
      <w:divBdr>
        <w:top w:val="none" w:sz="0" w:space="0" w:color="auto"/>
        <w:left w:val="none" w:sz="0" w:space="0" w:color="auto"/>
        <w:bottom w:val="none" w:sz="0" w:space="0" w:color="auto"/>
        <w:right w:val="none" w:sz="0" w:space="0" w:color="auto"/>
      </w:divBdr>
    </w:div>
    <w:div w:id="977027781">
      <w:bodyDiv w:val="1"/>
      <w:marLeft w:val="0"/>
      <w:marRight w:val="0"/>
      <w:marTop w:val="0"/>
      <w:marBottom w:val="0"/>
      <w:divBdr>
        <w:top w:val="none" w:sz="0" w:space="0" w:color="auto"/>
        <w:left w:val="none" w:sz="0" w:space="0" w:color="auto"/>
        <w:bottom w:val="none" w:sz="0" w:space="0" w:color="auto"/>
        <w:right w:val="none" w:sz="0" w:space="0" w:color="auto"/>
      </w:divBdr>
    </w:div>
    <w:div w:id="977227004">
      <w:bodyDiv w:val="1"/>
      <w:marLeft w:val="0"/>
      <w:marRight w:val="0"/>
      <w:marTop w:val="0"/>
      <w:marBottom w:val="0"/>
      <w:divBdr>
        <w:top w:val="none" w:sz="0" w:space="0" w:color="auto"/>
        <w:left w:val="none" w:sz="0" w:space="0" w:color="auto"/>
        <w:bottom w:val="none" w:sz="0" w:space="0" w:color="auto"/>
        <w:right w:val="none" w:sz="0" w:space="0" w:color="auto"/>
      </w:divBdr>
    </w:div>
    <w:div w:id="977689771">
      <w:bodyDiv w:val="1"/>
      <w:marLeft w:val="0"/>
      <w:marRight w:val="0"/>
      <w:marTop w:val="0"/>
      <w:marBottom w:val="0"/>
      <w:divBdr>
        <w:top w:val="none" w:sz="0" w:space="0" w:color="auto"/>
        <w:left w:val="none" w:sz="0" w:space="0" w:color="auto"/>
        <w:bottom w:val="none" w:sz="0" w:space="0" w:color="auto"/>
        <w:right w:val="none" w:sz="0" w:space="0" w:color="auto"/>
      </w:divBdr>
    </w:div>
    <w:div w:id="978337719">
      <w:bodyDiv w:val="1"/>
      <w:marLeft w:val="0"/>
      <w:marRight w:val="0"/>
      <w:marTop w:val="0"/>
      <w:marBottom w:val="0"/>
      <w:divBdr>
        <w:top w:val="none" w:sz="0" w:space="0" w:color="auto"/>
        <w:left w:val="none" w:sz="0" w:space="0" w:color="auto"/>
        <w:bottom w:val="none" w:sz="0" w:space="0" w:color="auto"/>
        <w:right w:val="none" w:sz="0" w:space="0" w:color="auto"/>
      </w:divBdr>
    </w:div>
    <w:div w:id="979336915">
      <w:bodyDiv w:val="1"/>
      <w:marLeft w:val="0"/>
      <w:marRight w:val="0"/>
      <w:marTop w:val="0"/>
      <w:marBottom w:val="0"/>
      <w:divBdr>
        <w:top w:val="none" w:sz="0" w:space="0" w:color="auto"/>
        <w:left w:val="none" w:sz="0" w:space="0" w:color="auto"/>
        <w:bottom w:val="none" w:sz="0" w:space="0" w:color="auto"/>
        <w:right w:val="none" w:sz="0" w:space="0" w:color="auto"/>
      </w:divBdr>
    </w:div>
    <w:div w:id="980886435">
      <w:bodyDiv w:val="1"/>
      <w:marLeft w:val="0"/>
      <w:marRight w:val="0"/>
      <w:marTop w:val="0"/>
      <w:marBottom w:val="0"/>
      <w:divBdr>
        <w:top w:val="none" w:sz="0" w:space="0" w:color="auto"/>
        <w:left w:val="none" w:sz="0" w:space="0" w:color="auto"/>
        <w:bottom w:val="none" w:sz="0" w:space="0" w:color="auto"/>
        <w:right w:val="none" w:sz="0" w:space="0" w:color="auto"/>
      </w:divBdr>
    </w:div>
    <w:div w:id="981036442">
      <w:bodyDiv w:val="1"/>
      <w:marLeft w:val="0"/>
      <w:marRight w:val="0"/>
      <w:marTop w:val="0"/>
      <w:marBottom w:val="0"/>
      <w:divBdr>
        <w:top w:val="none" w:sz="0" w:space="0" w:color="auto"/>
        <w:left w:val="none" w:sz="0" w:space="0" w:color="auto"/>
        <w:bottom w:val="none" w:sz="0" w:space="0" w:color="auto"/>
        <w:right w:val="none" w:sz="0" w:space="0" w:color="auto"/>
      </w:divBdr>
    </w:div>
    <w:div w:id="981159424">
      <w:bodyDiv w:val="1"/>
      <w:marLeft w:val="0"/>
      <w:marRight w:val="0"/>
      <w:marTop w:val="0"/>
      <w:marBottom w:val="0"/>
      <w:divBdr>
        <w:top w:val="none" w:sz="0" w:space="0" w:color="auto"/>
        <w:left w:val="none" w:sz="0" w:space="0" w:color="auto"/>
        <w:bottom w:val="none" w:sz="0" w:space="0" w:color="auto"/>
        <w:right w:val="none" w:sz="0" w:space="0" w:color="auto"/>
      </w:divBdr>
    </w:div>
    <w:div w:id="982193948">
      <w:bodyDiv w:val="1"/>
      <w:marLeft w:val="0"/>
      <w:marRight w:val="0"/>
      <w:marTop w:val="0"/>
      <w:marBottom w:val="0"/>
      <w:divBdr>
        <w:top w:val="none" w:sz="0" w:space="0" w:color="auto"/>
        <w:left w:val="none" w:sz="0" w:space="0" w:color="auto"/>
        <w:bottom w:val="none" w:sz="0" w:space="0" w:color="auto"/>
        <w:right w:val="none" w:sz="0" w:space="0" w:color="auto"/>
      </w:divBdr>
    </w:div>
    <w:div w:id="982319733">
      <w:bodyDiv w:val="1"/>
      <w:marLeft w:val="0"/>
      <w:marRight w:val="0"/>
      <w:marTop w:val="0"/>
      <w:marBottom w:val="0"/>
      <w:divBdr>
        <w:top w:val="none" w:sz="0" w:space="0" w:color="auto"/>
        <w:left w:val="none" w:sz="0" w:space="0" w:color="auto"/>
        <w:bottom w:val="none" w:sz="0" w:space="0" w:color="auto"/>
        <w:right w:val="none" w:sz="0" w:space="0" w:color="auto"/>
      </w:divBdr>
    </w:div>
    <w:div w:id="982349672">
      <w:bodyDiv w:val="1"/>
      <w:marLeft w:val="0"/>
      <w:marRight w:val="0"/>
      <w:marTop w:val="0"/>
      <w:marBottom w:val="0"/>
      <w:divBdr>
        <w:top w:val="none" w:sz="0" w:space="0" w:color="auto"/>
        <w:left w:val="none" w:sz="0" w:space="0" w:color="auto"/>
        <w:bottom w:val="none" w:sz="0" w:space="0" w:color="auto"/>
        <w:right w:val="none" w:sz="0" w:space="0" w:color="auto"/>
      </w:divBdr>
    </w:div>
    <w:div w:id="982854935">
      <w:bodyDiv w:val="1"/>
      <w:marLeft w:val="0"/>
      <w:marRight w:val="0"/>
      <w:marTop w:val="0"/>
      <w:marBottom w:val="0"/>
      <w:divBdr>
        <w:top w:val="none" w:sz="0" w:space="0" w:color="auto"/>
        <w:left w:val="none" w:sz="0" w:space="0" w:color="auto"/>
        <w:bottom w:val="none" w:sz="0" w:space="0" w:color="auto"/>
        <w:right w:val="none" w:sz="0" w:space="0" w:color="auto"/>
      </w:divBdr>
    </w:div>
    <w:div w:id="983237250">
      <w:bodyDiv w:val="1"/>
      <w:marLeft w:val="0"/>
      <w:marRight w:val="0"/>
      <w:marTop w:val="0"/>
      <w:marBottom w:val="0"/>
      <w:divBdr>
        <w:top w:val="none" w:sz="0" w:space="0" w:color="auto"/>
        <w:left w:val="none" w:sz="0" w:space="0" w:color="auto"/>
        <w:bottom w:val="none" w:sz="0" w:space="0" w:color="auto"/>
        <w:right w:val="none" w:sz="0" w:space="0" w:color="auto"/>
      </w:divBdr>
    </w:div>
    <w:div w:id="983659600">
      <w:bodyDiv w:val="1"/>
      <w:marLeft w:val="0"/>
      <w:marRight w:val="0"/>
      <w:marTop w:val="0"/>
      <w:marBottom w:val="0"/>
      <w:divBdr>
        <w:top w:val="none" w:sz="0" w:space="0" w:color="auto"/>
        <w:left w:val="none" w:sz="0" w:space="0" w:color="auto"/>
        <w:bottom w:val="none" w:sz="0" w:space="0" w:color="auto"/>
        <w:right w:val="none" w:sz="0" w:space="0" w:color="auto"/>
      </w:divBdr>
    </w:div>
    <w:div w:id="984166407">
      <w:bodyDiv w:val="1"/>
      <w:marLeft w:val="0"/>
      <w:marRight w:val="0"/>
      <w:marTop w:val="0"/>
      <w:marBottom w:val="0"/>
      <w:divBdr>
        <w:top w:val="none" w:sz="0" w:space="0" w:color="auto"/>
        <w:left w:val="none" w:sz="0" w:space="0" w:color="auto"/>
        <w:bottom w:val="none" w:sz="0" w:space="0" w:color="auto"/>
        <w:right w:val="none" w:sz="0" w:space="0" w:color="auto"/>
      </w:divBdr>
    </w:div>
    <w:div w:id="985355252">
      <w:bodyDiv w:val="1"/>
      <w:marLeft w:val="0"/>
      <w:marRight w:val="0"/>
      <w:marTop w:val="0"/>
      <w:marBottom w:val="0"/>
      <w:divBdr>
        <w:top w:val="none" w:sz="0" w:space="0" w:color="auto"/>
        <w:left w:val="none" w:sz="0" w:space="0" w:color="auto"/>
        <w:bottom w:val="none" w:sz="0" w:space="0" w:color="auto"/>
        <w:right w:val="none" w:sz="0" w:space="0" w:color="auto"/>
      </w:divBdr>
    </w:div>
    <w:div w:id="985623604">
      <w:bodyDiv w:val="1"/>
      <w:marLeft w:val="0"/>
      <w:marRight w:val="0"/>
      <w:marTop w:val="0"/>
      <w:marBottom w:val="0"/>
      <w:divBdr>
        <w:top w:val="none" w:sz="0" w:space="0" w:color="auto"/>
        <w:left w:val="none" w:sz="0" w:space="0" w:color="auto"/>
        <w:bottom w:val="none" w:sz="0" w:space="0" w:color="auto"/>
        <w:right w:val="none" w:sz="0" w:space="0" w:color="auto"/>
      </w:divBdr>
    </w:div>
    <w:div w:id="986127396">
      <w:bodyDiv w:val="1"/>
      <w:marLeft w:val="0"/>
      <w:marRight w:val="0"/>
      <w:marTop w:val="0"/>
      <w:marBottom w:val="0"/>
      <w:divBdr>
        <w:top w:val="none" w:sz="0" w:space="0" w:color="auto"/>
        <w:left w:val="none" w:sz="0" w:space="0" w:color="auto"/>
        <w:bottom w:val="none" w:sz="0" w:space="0" w:color="auto"/>
        <w:right w:val="none" w:sz="0" w:space="0" w:color="auto"/>
      </w:divBdr>
    </w:div>
    <w:div w:id="986394884">
      <w:bodyDiv w:val="1"/>
      <w:marLeft w:val="0"/>
      <w:marRight w:val="0"/>
      <w:marTop w:val="0"/>
      <w:marBottom w:val="0"/>
      <w:divBdr>
        <w:top w:val="none" w:sz="0" w:space="0" w:color="auto"/>
        <w:left w:val="none" w:sz="0" w:space="0" w:color="auto"/>
        <w:bottom w:val="none" w:sz="0" w:space="0" w:color="auto"/>
        <w:right w:val="none" w:sz="0" w:space="0" w:color="auto"/>
      </w:divBdr>
    </w:div>
    <w:div w:id="986788366">
      <w:bodyDiv w:val="1"/>
      <w:marLeft w:val="0"/>
      <w:marRight w:val="0"/>
      <w:marTop w:val="0"/>
      <w:marBottom w:val="0"/>
      <w:divBdr>
        <w:top w:val="none" w:sz="0" w:space="0" w:color="auto"/>
        <w:left w:val="none" w:sz="0" w:space="0" w:color="auto"/>
        <w:bottom w:val="none" w:sz="0" w:space="0" w:color="auto"/>
        <w:right w:val="none" w:sz="0" w:space="0" w:color="auto"/>
      </w:divBdr>
    </w:div>
    <w:div w:id="986861546">
      <w:bodyDiv w:val="1"/>
      <w:marLeft w:val="0"/>
      <w:marRight w:val="0"/>
      <w:marTop w:val="0"/>
      <w:marBottom w:val="0"/>
      <w:divBdr>
        <w:top w:val="none" w:sz="0" w:space="0" w:color="auto"/>
        <w:left w:val="none" w:sz="0" w:space="0" w:color="auto"/>
        <w:bottom w:val="none" w:sz="0" w:space="0" w:color="auto"/>
        <w:right w:val="none" w:sz="0" w:space="0" w:color="auto"/>
      </w:divBdr>
    </w:div>
    <w:div w:id="987129510">
      <w:bodyDiv w:val="1"/>
      <w:marLeft w:val="0"/>
      <w:marRight w:val="0"/>
      <w:marTop w:val="0"/>
      <w:marBottom w:val="0"/>
      <w:divBdr>
        <w:top w:val="none" w:sz="0" w:space="0" w:color="auto"/>
        <w:left w:val="none" w:sz="0" w:space="0" w:color="auto"/>
        <w:bottom w:val="none" w:sz="0" w:space="0" w:color="auto"/>
        <w:right w:val="none" w:sz="0" w:space="0" w:color="auto"/>
      </w:divBdr>
    </w:div>
    <w:div w:id="988169031">
      <w:bodyDiv w:val="1"/>
      <w:marLeft w:val="0"/>
      <w:marRight w:val="0"/>
      <w:marTop w:val="0"/>
      <w:marBottom w:val="0"/>
      <w:divBdr>
        <w:top w:val="none" w:sz="0" w:space="0" w:color="auto"/>
        <w:left w:val="none" w:sz="0" w:space="0" w:color="auto"/>
        <w:bottom w:val="none" w:sz="0" w:space="0" w:color="auto"/>
        <w:right w:val="none" w:sz="0" w:space="0" w:color="auto"/>
      </w:divBdr>
    </w:div>
    <w:div w:id="990600426">
      <w:bodyDiv w:val="1"/>
      <w:marLeft w:val="0"/>
      <w:marRight w:val="0"/>
      <w:marTop w:val="0"/>
      <w:marBottom w:val="0"/>
      <w:divBdr>
        <w:top w:val="none" w:sz="0" w:space="0" w:color="auto"/>
        <w:left w:val="none" w:sz="0" w:space="0" w:color="auto"/>
        <w:bottom w:val="none" w:sz="0" w:space="0" w:color="auto"/>
        <w:right w:val="none" w:sz="0" w:space="0" w:color="auto"/>
      </w:divBdr>
    </w:div>
    <w:div w:id="990864368">
      <w:bodyDiv w:val="1"/>
      <w:marLeft w:val="0"/>
      <w:marRight w:val="0"/>
      <w:marTop w:val="0"/>
      <w:marBottom w:val="0"/>
      <w:divBdr>
        <w:top w:val="none" w:sz="0" w:space="0" w:color="auto"/>
        <w:left w:val="none" w:sz="0" w:space="0" w:color="auto"/>
        <w:bottom w:val="none" w:sz="0" w:space="0" w:color="auto"/>
        <w:right w:val="none" w:sz="0" w:space="0" w:color="auto"/>
      </w:divBdr>
    </w:div>
    <w:div w:id="990980158">
      <w:bodyDiv w:val="1"/>
      <w:marLeft w:val="0"/>
      <w:marRight w:val="0"/>
      <w:marTop w:val="0"/>
      <w:marBottom w:val="0"/>
      <w:divBdr>
        <w:top w:val="none" w:sz="0" w:space="0" w:color="auto"/>
        <w:left w:val="none" w:sz="0" w:space="0" w:color="auto"/>
        <w:bottom w:val="none" w:sz="0" w:space="0" w:color="auto"/>
        <w:right w:val="none" w:sz="0" w:space="0" w:color="auto"/>
      </w:divBdr>
    </w:div>
    <w:div w:id="991254316">
      <w:bodyDiv w:val="1"/>
      <w:marLeft w:val="0"/>
      <w:marRight w:val="0"/>
      <w:marTop w:val="0"/>
      <w:marBottom w:val="0"/>
      <w:divBdr>
        <w:top w:val="none" w:sz="0" w:space="0" w:color="auto"/>
        <w:left w:val="none" w:sz="0" w:space="0" w:color="auto"/>
        <w:bottom w:val="none" w:sz="0" w:space="0" w:color="auto"/>
        <w:right w:val="none" w:sz="0" w:space="0" w:color="auto"/>
      </w:divBdr>
    </w:div>
    <w:div w:id="991448742">
      <w:bodyDiv w:val="1"/>
      <w:marLeft w:val="0"/>
      <w:marRight w:val="0"/>
      <w:marTop w:val="0"/>
      <w:marBottom w:val="0"/>
      <w:divBdr>
        <w:top w:val="none" w:sz="0" w:space="0" w:color="auto"/>
        <w:left w:val="none" w:sz="0" w:space="0" w:color="auto"/>
        <w:bottom w:val="none" w:sz="0" w:space="0" w:color="auto"/>
        <w:right w:val="none" w:sz="0" w:space="0" w:color="auto"/>
      </w:divBdr>
    </w:div>
    <w:div w:id="991522622">
      <w:bodyDiv w:val="1"/>
      <w:marLeft w:val="0"/>
      <w:marRight w:val="0"/>
      <w:marTop w:val="0"/>
      <w:marBottom w:val="0"/>
      <w:divBdr>
        <w:top w:val="none" w:sz="0" w:space="0" w:color="auto"/>
        <w:left w:val="none" w:sz="0" w:space="0" w:color="auto"/>
        <w:bottom w:val="none" w:sz="0" w:space="0" w:color="auto"/>
        <w:right w:val="none" w:sz="0" w:space="0" w:color="auto"/>
      </w:divBdr>
    </w:div>
    <w:div w:id="991564721">
      <w:bodyDiv w:val="1"/>
      <w:marLeft w:val="0"/>
      <w:marRight w:val="0"/>
      <w:marTop w:val="0"/>
      <w:marBottom w:val="0"/>
      <w:divBdr>
        <w:top w:val="none" w:sz="0" w:space="0" w:color="auto"/>
        <w:left w:val="none" w:sz="0" w:space="0" w:color="auto"/>
        <w:bottom w:val="none" w:sz="0" w:space="0" w:color="auto"/>
        <w:right w:val="none" w:sz="0" w:space="0" w:color="auto"/>
      </w:divBdr>
    </w:div>
    <w:div w:id="991565976">
      <w:bodyDiv w:val="1"/>
      <w:marLeft w:val="0"/>
      <w:marRight w:val="0"/>
      <w:marTop w:val="0"/>
      <w:marBottom w:val="0"/>
      <w:divBdr>
        <w:top w:val="none" w:sz="0" w:space="0" w:color="auto"/>
        <w:left w:val="none" w:sz="0" w:space="0" w:color="auto"/>
        <w:bottom w:val="none" w:sz="0" w:space="0" w:color="auto"/>
        <w:right w:val="none" w:sz="0" w:space="0" w:color="auto"/>
      </w:divBdr>
    </w:div>
    <w:div w:id="991760930">
      <w:bodyDiv w:val="1"/>
      <w:marLeft w:val="0"/>
      <w:marRight w:val="0"/>
      <w:marTop w:val="0"/>
      <w:marBottom w:val="0"/>
      <w:divBdr>
        <w:top w:val="none" w:sz="0" w:space="0" w:color="auto"/>
        <w:left w:val="none" w:sz="0" w:space="0" w:color="auto"/>
        <w:bottom w:val="none" w:sz="0" w:space="0" w:color="auto"/>
        <w:right w:val="none" w:sz="0" w:space="0" w:color="auto"/>
      </w:divBdr>
    </w:div>
    <w:div w:id="991788954">
      <w:bodyDiv w:val="1"/>
      <w:marLeft w:val="0"/>
      <w:marRight w:val="0"/>
      <w:marTop w:val="0"/>
      <w:marBottom w:val="0"/>
      <w:divBdr>
        <w:top w:val="none" w:sz="0" w:space="0" w:color="auto"/>
        <w:left w:val="none" w:sz="0" w:space="0" w:color="auto"/>
        <w:bottom w:val="none" w:sz="0" w:space="0" w:color="auto"/>
        <w:right w:val="none" w:sz="0" w:space="0" w:color="auto"/>
      </w:divBdr>
    </w:div>
    <w:div w:id="991905480">
      <w:bodyDiv w:val="1"/>
      <w:marLeft w:val="0"/>
      <w:marRight w:val="0"/>
      <w:marTop w:val="0"/>
      <w:marBottom w:val="0"/>
      <w:divBdr>
        <w:top w:val="none" w:sz="0" w:space="0" w:color="auto"/>
        <w:left w:val="none" w:sz="0" w:space="0" w:color="auto"/>
        <w:bottom w:val="none" w:sz="0" w:space="0" w:color="auto"/>
        <w:right w:val="none" w:sz="0" w:space="0" w:color="auto"/>
      </w:divBdr>
    </w:div>
    <w:div w:id="992022059">
      <w:bodyDiv w:val="1"/>
      <w:marLeft w:val="0"/>
      <w:marRight w:val="0"/>
      <w:marTop w:val="0"/>
      <w:marBottom w:val="0"/>
      <w:divBdr>
        <w:top w:val="none" w:sz="0" w:space="0" w:color="auto"/>
        <w:left w:val="none" w:sz="0" w:space="0" w:color="auto"/>
        <w:bottom w:val="none" w:sz="0" w:space="0" w:color="auto"/>
        <w:right w:val="none" w:sz="0" w:space="0" w:color="auto"/>
      </w:divBdr>
    </w:div>
    <w:div w:id="992024494">
      <w:bodyDiv w:val="1"/>
      <w:marLeft w:val="0"/>
      <w:marRight w:val="0"/>
      <w:marTop w:val="0"/>
      <w:marBottom w:val="0"/>
      <w:divBdr>
        <w:top w:val="none" w:sz="0" w:space="0" w:color="auto"/>
        <w:left w:val="none" w:sz="0" w:space="0" w:color="auto"/>
        <w:bottom w:val="none" w:sz="0" w:space="0" w:color="auto"/>
        <w:right w:val="none" w:sz="0" w:space="0" w:color="auto"/>
      </w:divBdr>
    </w:div>
    <w:div w:id="992484140">
      <w:bodyDiv w:val="1"/>
      <w:marLeft w:val="0"/>
      <w:marRight w:val="0"/>
      <w:marTop w:val="0"/>
      <w:marBottom w:val="0"/>
      <w:divBdr>
        <w:top w:val="none" w:sz="0" w:space="0" w:color="auto"/>
        <w:left w:val="none" w:sz="0" w:space="0" w:color="auto"/>
        <w:bottom w:val="none" w:sz="0" w:space="0" w:color="auto"/>
        <w:right w:val="none" w:sz="0" w:space="0" w:color="auto"/>
      </w:divBdr>
    </w:div>
    <w:div w:id="995914180">
      <w:bodyDiv w:val="1"/>
      <w:marLeft w:val="0"/>
      <w:marRight w:val="0"/>
      <w:marTop w:val="0"/>
      <w:marBottom w:val="0"/>
      <w:divBdr>
        <w:top w:val="none" w:sz="0" w:space="0" w:color="auto"/>
        <w:left w:val="none" w:sz="0" w:space="0" w:color="auto"/>
        <w:bottom w:val="none" w:sz="0" w:space="0" w:color="auto"/>
        <w:right w:val="none" w:sz="0" w:space="0" w:color="auto"/>
      </w:divBdr>
    </w:div>
    <w:div w:id="996693261">
      <w:bodyDiv w:val="1"/>
      <w:marLeft w:val="0"/>
      <w:marRight w:val="0"/>
      <w:marTop w:val="0"/>
      <w:marBottom w:val="0"/>
      <w:divBdr>
        <w:top w:val="none" w:sz="0" w:space="0" w:color="auto"/>
        <w:left w:val="none" w:sz="0" w:space="0" w:color="auto"/>
        <w:bottom w:val="none" w:sz="0" w:space="0" w:color="auto"/>
        <w:right w:val="none" w:sz="0" w:space="0" w:color="auto"/>
      </w:divBdr>
    </w:div>
    <w:div w:id="996961420">
      <w:bodyDiv w:val="1"/>
      <w:marLeft w:val="0"/>
      <w:marRight w:val="0"/>
      <w:marTop w:val="0"/>
      <w:marBottom w:val="0"/>
      <w:divBdr>
        <w:top w:val="none" w:sz="0" w:space="0" w:color="auto"/>
        <w:left w:val="none" w:sz="0" w:space="0" w:color="auto"/>
        <w:bottom w:val="none" w:sz="0" w:space="0" w:color="auto"/>
        <w:right w:val="none" w:sz="0" w:space="0" w:color="auto"/>
      </w:divBdr>
    </w:div>
    <w:div w:id="997077571">
      <w:bodyDiv w:val="1"/>
      <w:marLeft w:val="0"/>
      <w:marRight w:val="0"/>
      <w:marTop w:val="0"/>
      <w:marBottom w:val="0"/>
      <w:divBdr>
        <w:top w:val="none" w:sz="0" w:space="0" w:color="auto"/>
        <w:left w:val="none" w:sz="0" w:space="0" w:color="auto"/>
        <w:bottom w:val="none" w:sz="0" w:space="0" w:color="auto"/>
        <w:right w:val="none" w:sz="0" w:space="0" w:color="auto"/>
      </w:divBdr>
    </w:div>
    <w:div w:id="997266666">
      <w:bodyDiv w:val="1"/>
      <w:marLeft w:val="0"/>
      <w:marRight w:val="0"/>
      <w:marTop w:val="0"/>
      <w:marBottom w:val="0"/>
      <w:divBdr>
        <w:top w:val="none" w:sz="0" w:space="0" w:color="auto"/>
        <w:left w:val="none" w:sz="0" w:space="0" w:color="auto"/>
        <w:bottom w:val="none" w:sz="0" w:space="0" w:color="auto"/>
        <w:right w:val="none" w:sz="0" w:space="0" w:color="auto"/>
      </w:divBdr>
    </w:div>
    <w:div w:id="997536911">
      <w:bodyDiv w:val="1"/>
      <w:marLeft w:val="0"/>
      <w:marRight w:val="0"/>
      <w:marTop w:val="0"/>
      <w:marBottom w:val="0"/>
      <w:divBdr>
        <w:top w:val="none" w:sz="0" w:space="0" w:color="auto"/>
        <w:left w:val="none" w:sz="0" w:space="0" w:color="auto"/>
        <w:bottom w:val="none" w:sz="0" w:space="0" w:color="auto"/>
        <w:right w:val="none" w:sz="0" w:space="0" w:color="auto"/>
      </w:divBdr>
    </w:div>
    <w:div w:id="998382050">
      <w:bodyDiv w:val="1"/>
      <w:marLeft w:val="0"/>
      <w:marRight w:val="0"/>
      <w:marTop w:val="0"/>
      <w:marBottom w:val="0"/>
      <w:divBdr>
        <w:top w:val="none" w:sz="0" w:space="0" w:color="auto"/>
        <w:left w:val="none" w:sz="0" w:space="0" w:color="auto"/>
        <w:bottom w:val="none" w:sz="0" w:space="0" w:color="auto"/>
        <w:right w:val="none" w:sz="0" w:space="0" w:color="auto"/>
      </w:divBdr>
    </w:div>
    <w:div w:id="998390155">
      <w:bodyDiv w:val="1"/>
      <w:marLeft w:val="0"/>
      <w:marRight w:val="0"/>
      <w:marTop w:val="0"/>
      <w:marBottom w:val="0"/>
      <w:divBdr>
        <w:top w:val="none" w:sz="0" w:space="0" w:color="auto"/>
        <w:left w:val="none" w:sz="0" w:space="0" w:color="auto"/>
        <w:bottom w:val="none" w:sz="0" w:space="0" w:color="auto"/>
        <w:right w:val="none" w:sz="0" w:space="0" w:color="auto"/>
      </w:divBdr>
    </w:div>
    <w:div w:id="998850903">
      <w:bodyDiv w:val="1"/>
      <w:marLeft w:val="0"/>
      <w:marRight w:val="0"/>
      <w:marTop w:val="0"/>
      <w:marBottom w:val="0"/>
      <w:divBdr>
        <w:top w:val="none" w:sz="0" w:space="0" w:color="auto"/>
        <w:left w:val="none" w:sz="0" w:space="0" w:color="auto"/>
        <w:bottom w:val="none" w:sz="0" w:space="0" w:color="auto"/>
        <w:right w:val="none" w:sz="0" w:space="0" w:color="auto"/>
      </w:divBdr>
    </w:div>
    <w:div w:id="999038394">
      <w:bodyDiv w:val="1"/>
      <w:marLeft w:val="0"/>
      <w:marRight w:val="0"/>
      <w:marTop w:val="0"/>
      <w:marBottom w:val="0"/>
      <w:divBdr>
        <w:top w:val="none" w:sz="0" w:space="0" w:color="auto"/>
        <w:left w:val="none" w:sz="0" w:space="0" w:color="auto"/>
        <w:bottom w:val="none" w:sz="0" w:space="0" w:color="auto"/>
        <w:right w:val="none" w:sz="0" w:space="0" w:color="auto"/>
      </w:divBdr>
    </w:div>
    <w:div w:id="999506773">
      <w:bodyDiv w:val="1"/>
      <w:marLeft w:val="0"/>
      <w:marRight w:val="0"/>
      <w:marTop w:val="0"/>
      <w:marBottom w:val="0"/>
      <w:divBdr>
        <w:top w:val="none" w:sz="0" w:space="0" w:color="auto"/>
        <w:left w:val="none" w:sz="0" w:space="0" w:color="auto"/>
        <w:bottom w:val="none" w:sz="0" w:space="0" w:color="auto"/>
        <w:right w:val="none" w:sz="0" w:space="0" w:color="auto"/>
      </w:divBdr>
    </w:div>
    <w:div w:id="1000426007">
      <w:bodyDiv w:val="1"/>
      <w:marLeft w:val="0"/>
      <w:marRight w:val="0"/>
      <w:marTop w:val="0"/>
      <w:marBottom w:val="0"/>
      <w:divBdr>
        <w:top w:val="none" w:sz="0" w:space="0" w:color="auto"/>
        <w:left w:val="none" w:sz="0" w:space="0" w:color="auto"/>
        <w:bottom w:val="none" w:sz="0" w:space="0" w:color="auto"/>
        <w:right w:val="none" w:sz="0" w:space="0" w:color="auto"/>
      </w:divBdr>
    </w:div>
    <w:div w:id="1001153488">
      <w:bodyDiv w:val="1"/>
      <w:marLeft w:val="0"/>
      <w:marRight w:val="0"/>
      <w:marTop w:val="0"/>
      <w:marBottom w:val="0"/>
      <w:divBdr>
        <w:top w:val="none" w:sz="0" w:space="0" w:color="auto"/>
        <w:left w:val="none" w:sz="0" w:space="0" w:color="auto"/>
        <w:bottom w:val="none" w:sz="0" w:space="0" w:color="auto"/>
        <w:right w:val="none" w:sz="0" w:space="0" w:color="auto"/>
      </w:divBdr>
    </w:div>
    <w:div w:id="1001733458">
      <w:bodyDiv w:val="1"/>
      <w:marLeft w:val="0"/>
      <w:marRight w:val="0"/>
      <w:marTop w:val="0"/>
      <w:marBottom w:val="0"/>
      <w:divBdr>
        <w:top w:val="none" w:sz="0" w:space="0" w:color="auto"/>
        <w:left w:val="none" w:sz="0" w:space="0" w:color="auto"/>
        <w:bottom w:val="none" w:sz="0" w:space="0" w:color="auto"/>
        <w:right w:val="none" w:sz="0" w:space="0" w:color="auto"/>
      </w:divBdr>
    </w:div>
    <w:div w:id="1002388618">
      <w:bodyDiv w:val="1"/>
      <w:marLeft w:val="0"/>
      <w:marRight w:val="0"/>
      <w:marTop w:val="0"/>
      <w:marBottom w:val="0"/>
      <w:divBdr>
        <w:top w:val="none" w:sz="0" w:space="0" w:color="auto"/>
        <w:left w:val="none" w:sz="0" w:space="0" w:color="auto"/>
        <w:bottom w:val="none" w:sz="0" w:space="0" w:color="auto"/>
        <w:right w:val="none" w:sz="0" w:space="0" w:color="auto"/>
      </w:divBdr>
    </w:div>
    <w:div w:id="1002397634">
      <w:bodyDiv w:val="1"/>
      <w:marLeft w:val="0"/>
      <w:marRight w:val="0"/>
      <w:marTop w:val="0"/>
      <w:marBottom w:val="0"/>
      <w:divBdr>
        <w:top w:val="none" w:sz="0" w:space="0" w:color="auto"/>
        <w:left w:val="none" w:sz="0" w:space="0" w:color="auto"/>
        <w:bottom w:val="none" w:sz="0" w:space="0" w:color="auto"/>
        <w:right w:val="none" w:sz="0" w:space="0" w:color="auto"/>
      </w:divBdr>
    </w:div>
    <w:div w:id="1002506983">
      <w:bodyDiv w:val="1"/>
      <w:marLeft w:val="0"/>
      <w:marRight w:val="0"/>
      <w:marTop w:val="0"/>
      <w:marBottom w:val="0"/>
      <w:divBdr>
        <w:top w:val="none" w:sz="0" w:space="0" w:color="auto"/>
        <w:left w:val="none" w:sz="0" w:space="0" w:color="auto"/>
        <w:bottom w:val="none" w:sz="0" w:space="0" w:color="auto"/>
        <w:right w:val="none" w:sz="0" w:space="0" w:color="auto"/>
      </w:divBdr>
    </w:div>
    <w:div w:id="1003161939">
      <w:bodyDiv w:val="1"/>
      <w:marLeft w:val="0"/>
      <w:marRight w:val="0"/>
      <w:marTop w:val="0"/>
      <w:marBottom w:val="0"/>
      <w:divBdr>
        <w:top w:val="none" w:sz="0" w:space="0" w:color="auto"/>
        <w:left w:val="none" w:sz="0" w:space="0" w:color="auto"/>
        <w:bottom w:val="none" w:sz="0" w:space="0" w:color="auto"/>
        <w:right w:val="none" w:sz="0" w:space="0" w:color="auto"/>
      </w:divBdr>
    </w:div>
    <w:div w:id="1003166543">
      <w:bodyDiv w:val="1"/>
      <w:marLeft w:val="0"/>
      <w:marRight w:val="0"/>
      <w:marTop w:val="0"/>
      <w:marBottom w:val="0"/>
      <w:divBdr>
        <w:top w:val="none" w:sz="0" w:space="0" w:color="auto"/>
        <w:left w:val="none" w:sz="0" w:space="0" w:color="auto"/>
        <w:bottom w:val="none" w:sz="0" w:space="0" w:color="auto"/>
        <w:right w:val="none" w:sz="0" w:space="0" w:color="auto"/>
      </w:divBdr>
    </w:div>
    <w:div w:id="1003780520">
      <w:bodyDiv w:val="1"/>
      <w:marLeft w:val="0"/>
      <w:marRight w:val="0"/>
      <w:marTop w:val="0"/>
      <w:marBottom w:val="0"/>
      <w:divBdr>
        <w:top w:val="none" w:sz="0" w:space="0" w:color="auto"/>
        <w:left w:val="none" w:sz="0" w:space="0" w:color="auto"/>
        <w:bottom w:val="none" w:sz="0" w:space="0" w:color="auto"/>
        <w:right w:val="none" w:sz="0" w:space="0" w:color="auto"/>
      </w:divBdr>
    </w:div>
    <w:div w:id="1004086997">
      <w:bodyDiv w:val="1"/>
      <w:marLeft w:val="0"/>
      <w:marRight w:val="0"/>
      <w:marTop w:val="0"/>
      <w:marBottom w:val="0"/>
      <w:divBdr>
        <w:top w:val="none" w:sz="0" w:space="0" w:color="auto"/>
        <w:left w:val="none" w:sz="0" w:space="0" w:color="auto"/>
        <w:bottom w:val="none" w:sz="0" w:space="0" w:color="auto"/>
        <w:right w:val="none" w:sz="0" w:space="0" w:color="auto"/>
      </w:divBdr>
    </w:div>
    <w:div w:id="1004238299">
      <w:bodyDiv w:val="1"/>
      <w:marLeft w:val="0"/>
      <w:marRight w:val="0"/>
      <w:marTop w:val="0"/>
      <w:marBottom w:val="0"/>
      <w:divBdr>
        <w:top w:val="none" w:sz="0" w:space="0" w:color="auto"/>
        <w:left w:val="none" w:sz="0" w:space="0" w:color="auto"/>
        <w:bottom w:val="none" w:sz="0" w:space="0" w:color="auto"/>
        <w:right w:val="none" w:sz="0" w:space="0" w:color="auto"/>
      </w:divBdr>
    </w:div>
    <w:div w:id="1004363587">
      <w:bodyDiv w:val="1"/>
      <w:marLeft w:val="0"/>
      <w:marRight w:val="0"/>
      <w:marTop w:val="0"/>
      <w:marBottom w:val="0"/>
      <w:divBdr>
        <w:top w:val="none" w:sz="0" w:space="0" w:color="auto"/>
        <w:left w:val="none" w:sz="0" w:space="0" w:color="auto"/>
        <w:bottom w:val="none" w:sz="0" w:space="0" w:color="auto"/>
        <w:right w:val="none" w:sz="0" w:space="0" w:color="auto"/>
      </w:divBdr>
    </w:div>
    <w:div w:id="1005283644">
      <w:bodyDiv w:val="1"/>
      <w:marLeft w:val="0"/>
      <w:marRight w:val="0"/>
      <w:marTop w:val="0"/>
      <w:marBottom w:val="0"/>
      <w:divBdr>
        <w:top w:val="none" w:sz="0" w:space="0" w:color="auto"/>
        <w:left w:val="none" w:sz="0" w:space="0" w:color="auto"/>
        <w:bottom w:val="none" w:sz="0" w:space="0" w:color="auto"/>
        <w:right w:val="none" w:sz="0" w:space="0" w:color="auto"/>
      </w:divBdr>
    </w:div>
    <w:div w:id="1005404839">
      <w:bodyDiv w:val="1"/>
      <w:marLeft w:val="0"/>
      <w:marRight w:val="0"/>
      <w:marTop w:val="0"/>
      <w:marBottom w:val="0"/>
      <w:divBdr>
        <w:top w:val="none" w:sz="0" w:space="0" w:color="auto"/>
        <w:left w:val="none" w:sz="0" w:space="0" w:color="auto"/>
        <w:bottom w:val="none" w:sz="0" w:space="0" w:color="auto"/>
        <w:right w:val="none" w:sz="0" w:space="0" w:color="auto"/>
      </w:divBdr>
    </w:div>
    <w:div w:id="1005665570">
      <w:bodyDiv w:val="1"/>
      <w:marLeft w:val="0"/>
      <w:marRight w:val="0"/>
      <w:marTop w:val="0"/>
      <w:marBottom w:val="0"/>
      <w:divBdr>
        <w:top w:val="none" w:sz="0" w:space="0" w:color="auto"/>
        <w:left w:val="none" w:sz="0" w:space="0" w:color="auto"/>
        <w:bottom w:val="none" w:sz="0" w:space="0" w:color="auto"/>
        <w:right w:val="none" w:sz="0" w:space="0" w:color="auto"/>
      </w:divBdr>
    </w:div>
    <w:div w:id="1006054771">
      <w:bodyDiv w:val="1"/>
      <w:marLeft w:val="0"/>
      <w:marRight w:val="0"/>
      <w:marTop w:val="0"/>
      <w:marBottom w:val="0"/>
      <w:divBdr>
        <w:top w:val="none" w:sz="0" w:space="0" w:color="auto"/>
        <w:left w:val="none" w:sz="0" w:space="0" w:color="auto"/>
        <w:bottom w:val="none" w:sz="0" w:space="0" w:color="auto"/>
        <w:right w:val="none" w:sz="0" w:space="0" w:color="auto"/>
      </w:divBdr>
    </w:div>
    <w:div w:id="1006441334">
      <w:bodyDiv w:val="1"/>
      <w:marLeft w:val="0"/>
      <w:marRight w:val="0"/>
      <w:marTop w:val="0"/>
      <w:marBottom w:val="0"/>
      <w:divBdr>
        <w:top w:val="none" w:sz="0" w:space="0" w:color="auto"/>
        <w:left w:val="none" w:sz="0" w:space="0" w:color="auto"/>
        <w:bottom w:val="none" w:sz="0" w:space="0" w:color="auto"/>
        <w:right w:val="none" w:sz="0" w:space="0" w:color="auto"/>
      </w:divBdr>
    </w:div>
    <w:div w:id="1006635488">
      <w:bodyDiv w:val="1"/>
      <w:marLeft w:val="0"/>
      <w:marRight w:val="0"/>
      <w:marTop w:val="0"/>
      <w:marBottom w:val="0"/>
      <w:divBdr>
        <w:top w:val="none" w:sz="0" w:space="0" w:color="auto"/>
        <w:left w:val="none" w:sz="0" w:space="0" w:color="auto"/>
        <w:bottom w:val="none" w:sz="0" w:space="0" w:color="auto"/>
        <w:right w:val="none" w:sz="0" w:space="0" w:color="auto"/>
      </w:divBdr>
      <w:divsChild>
        <w:div w:id="160850805">
          <w:marLeft w:val="0"/>
          <w:marRight w:val="0"/>
          <w:marTop w:val="0"/>
          <w:marBottom w:val="0"/>
          <w:divBdr>
            <w:top w:val="none" w:sz="0" w:space="0" w:color="auto"/>
            <w:left w:val="none" w:sz="0" w:space="0" w:color="auto"/>
            <w:bottom w:val="none" w:sz="0" w:space="0" w:color="auto"/>
            <w:right w:val="none" w:sz="0" w:space="0" w:color="auto"/>
          </w:divBdr>
        </w:div>
        <w:div w:id="169032755">
          <w:marLeft w:val="0"/>
          <w:marRight w:val="0"/>
          <w:marTop w:val="0"/>
          <w:marBottom w:val="0"/>
          <w:divBdr>
            <w:top w:val="none" w:sz="0" w:space="0" w:color="auto"/>
            <w:left w:val="none" w:sz="0" w:space="0" w:color="auto"/>
            <w:bottom w:val="none" w:sz="0" w:space="0" w:color="auto"/>
            <w:right w:val="none" w:sz="0" w:space="0" w:color="auto"/>
          </w:divBdr>
        </w:div>
        <w:div w:id="292374328">
          <w:marLeft w:val="0"/>
          <w:marRight w:val="0"/>
          <w:marTop w:val="0"/>
          <w:marBottom w:val="0"/>
          <w:divBdr>
            <w:top w:val="none" w:sz="0" w:space="0" w:color="auto"/>
            <w:left w:val="none" w:sz="0" w:space="0" w:color="auto"/>
            <w:bottom w:val="none" w:sz="0" w:space="0" w:color="auto"/>
            <w:right w:val="none" w:sz="0" w:space="0" w:color="auto"/>
          </w:divBdr>
        </w:div>
        <w:div w:id="345404125">
          <w:marLeft w:val="0"/>
          <w:marRight w:val="0"/>
          <w:marTop w:val="0"/>
          <w:marBottom w:val="0"/>
          <w:divBdr>
            <w:top w:val="none" w:sz="0" w:space="0" w:color="auto"/>
            <w:left w:val="none" w:sz="0" w:space="0" w:color="auto"/>
            <w:bottom w:val="none" w:sz="0" w:space="0" w:color="auto"/>
            <w:right w:val="none" w:sz="0" w:space="0" w:color="auto"/>
          </w:divBdr>
        </w:div>
        <w:div w:id="383220504">
          <w:marLeft w:val="0"/>
          <w:marRight w:val="0"/>
          <w:marTop w:val="0"/>
          <w:marBottom w:val="0"/>
          <w:divBdr>
            <w:top w:val="none" w:sz="0" w:space="0" w:color="auto"/>
            <w:left w:val="none" w:sz="0" w:space="0" w:color="auto"/>
            <w:bottom w:val="none" w:sz="0" w:space="0" w:color="auto"/>
            <w:right w:val="none" w:sz="0" w:space="0" w:color="auto"/>
          </w:divBdr>
        </w:div>
        <w:div w:id="541021732">
          <w:marLeft w:val="0"/>
          <w:marRight w:val="0"/>
          <w:marTop w:val="0"/>
          <w:marBottom w:val="0"/>
          <w:divBdr>
            <w:top w:val="none" w:sz="0" w:space="0" w:color="auto"/>
            <w:left w:val="none" w:sz="0" w:space="0" w:color="auto"/>
            <w:bottom w:val="none" w:sz="0" w:space="0" w:color="auto"/>
            <w:right w:val="none" w:sz="0" w:space="0" w:color="auto"/>
          </w:divBdr>
        </w:div>
        <w:div w:id="946698059">
          <w:marLeft w:val="0"/>
          <w:marRight w:val="0"/>
          <w:marTop w:val="0"/>
          <w:marBottom w:val="0"/>
          <w:divBdr>
            <w:top w:val="none" w:sz="0" w:space="0" w:color="auto"/>
            <w:left w:val="none" w:sz="0" w:space="0" w:color="auto"/>
            <w:bottom w:val="none" w:sz="0" w:space="0" w:color="auto"/>
            <w:right w:val="none" w:sz="0" w:space="0" w:color="auto"/>
          </w:divBdr>
        </w:div>
        <w:div w:id="1134253966">
          <w:marLeft w:val="0"/>
          <w:marRight w:val="0"/>
          <w:marTop w:val="0"/>
          <w:marBottom w:val="0"/>
          <w:divBdr>
            <w:top w:val="none" w:sz="0" w:space="0" w:color="auto"/>
            <w:left w:val="none" w:sz="0" w:space="0" w:color="auto"/>
            <w:bottom w:val="none" w:sz="0" w:space="0" w:color="auto"/>
            <w:right w:val="none" w:sz="0" w:space="0" w:color="auto"/>
          </w:divBdr>
        </w:div>
        <w:div w:id="1712071180">
          <w:marLeft w:val="0"/>
          <w:marRight w:val="0"/>
          <w:marTop w:val="0"/>
          <w:marBottom w:val="0"/>
          <w:divBdr>
            <w:top w:val="none" w:sz="0" w:space="0" w:color="auto"/>
            <w:left w:val="none" w:sz="0" w:space="0" w:color="auto"/>
            <w:bottom w:val="none" w:sz="0" w:space="0" w:color="auto"/>
            <w:right w:val="none" w:sz="0" w:space="0" w:color="auto"/>
          </w:divBdr>
        </w:div>
        <w:div w:id="2058122938">
          <w:marLeft w:val="0"/>
          <w:marRight w:val="0"/>
          <w:marTop w:val="0"/>
          <w:marBottom w:val="0"/>
          <w:divBdr>
            <w:top w:val="none" w:sz="0" w:space="0" w:color="auto"/>
            <w:left w:val="none" w:sz="0" w:space="0" w:color="auto"/>
            <w:bottom w:val="none" w:sz="0" w:space="0" w:color="auto"/>
            <w:right w:val="none" w:sz="0" w:space="0" w:color="auto"/>
          </w:divBdr>
        </w:div>
      </w:divsChild>
    </w:div>
    <w:div w:id="1006906312">
      <w:bodyDiv w:val="1"/>
      <w:marLeft w:val="0"/>
      <w:marRight w:val="0"/>
      <w:marTop w:val="0"/>
      <w:marBottom w:val="0"/>
      <w:divBdr>
        <w:top w:val="none" w:sz="0" w:space="0" w:color="auto"/>
        <w:left w:val="none" w:sz="0" w:space="0" w:color="auto"/>
        <w:bottom w:val="none" w:sz="0" w:space="0" w:color="auto"/>
        <w:right w:val="none" w:sz="0" w:space="0" w:color="auto"/>
      </w:divBdr>
    </w:div>
    <w:div w:id="1007758135">
      <w:bodyDiv w:val="1"/>
      <w:marLeft w:val="0"/>
      <w:marRight w:val="0"/>
      <w:marTop w:val="0"/>
      <w:marBottom w:val="0"/>
      <w:divBdr>
        <w:top w:val="none" w:sz="0" w:space="0" w:color="auto"/>
        <w:left w:val="none" w:sz="0" w:space="0" w:color="auto"/>
        <w:bottom w:val="none" w:sz="0" w:space="0" w:color="auto"/>
        <w:right w:val="none" w:sz="0" w:space="0" w:color="auto"/>
      </w:divBdr>
    </w:div>
    <w:div w:id="1007907682">
      <w:bodyDiv w:val="1"/>
      <w:marLeft w:val="0"/>
      <w:marRight w:val="0"/>
      <w:marTop w:val="0"/>
      <w:marBottom w:val="0"/>
      <w:divBdr>
        <w:top w:val="none" w:sz="0" w:space="0" w:color="auto"/>
        <w:left w:val="none" w:sz="0" w:space="0" w:color="auto"/>
        <w:bottom w:val="none" w:sz="0" w:space="0" w:color="auto"/>
        <w:right w:val="none" w:sz="0" w:space="0" w:color="auto"/>
      </w:divBdr>
    </w:div>
    <w:div w:id="1008141825">
      <w:bodyDiv w:val="1"/>
      <w:marLeft w:val="0"/>
      <w:marRight w:val="0"/>
      <w:marTop w:val="0"/>
      <w:marBottom w:val="0"/>
      <w:divBdr>
        <w:top w:val="none" w:sz="0" w:space="0" w:color="auto"/>
        <w:left w:val="none" w:sz="0" w:space="0" w:color="auto"/>
        <w:bottom w:val="none" w:sz="0" w:space="0" w:color="auto"/>
        <w:right w:val="none" w:sz="0" w:space="0" w:color="auto"/>
      </w:divBdr>
    </w:div>
    <w:div w:id="1008404537">
      <w:bodyDiv w:val="1"/>
      <w:marLeft w:val="0"/>
      <w:marRight w:val="0"/>
      <w:marTop w:val="0"/>
      <w:marBottom w:val="0"/>
      <w:divBdr>
        <w:top w:val="none" w:sz="0" w:space="0" w:color="auto"/>
        <w:left w:val="none" w:sz="0" w:space="0" w:color="auto"/>
        <w:bottom w:val="none" w:sz="0" w:space="0" w:color="auto"/>
        <w:right w:val="none" w:sz="0" w:space="0" w:color="auto"/>
      </w:divBdr>
    </w:div>
    <w:div w:id="1008871155">
      <w:bodyDiv w:val="1"/>
      <w:marLeft w:val="0"/>
      <w:marRight w:val="0"/>
      <w:marTop w:val="0"/>
      <w:marBottom w:val="0"/>
      <w:divBdr>
        <w:top w:val="none" w:sz="0" w:space="0" w:color="auto"/>
        <w:left w:val="none" w:sz="0" w:space="0" w:color="auto"/>
        <w:bottom w:val="none" w:sz="0" w:space="0" w:color="auto"/>
        <w:right w:val="none" w:sz="0" w:space="0" w:color="auto"/>
      </w:divBdr>
    </w:div>
    <w:div w:id="1009478824">
      <w:bodyDiv w:val="1"/>
      <w:marLeft w:val="0"/>
      <w:marRight w:val="0"/>
      <w:marTop w:val="0"/>
      <w:marBottom w:val="0"/>
      <w:divBdr>
        <w:top w:val="none" w:sz="0" w:space="0" w:color="auto"/>
        <w:left w:val="none" w:sz="0" w:space="0" w:color="auto"/>
        <w:bottom w:val="none" w:sz="0" w:space="0" w:color="auto"/>
        <w:right w:val="none" w:sz="0" w:space="0" w:color="auto"/>
      </w:divBdr>
    </w:div>
    <w:div w:id="1010792812">
      <w:bodyDiv w:val="1"/>
      <w:marLeft w:val="0"/>
      <w:marRight w:val="0"/>
      <w:marTop w:val="0"/>
      <w:marBottom w:val="0"/>
      <w:divBdr>
        <w:top w:val="none" w:sz="0" w:space="0" w:color="auto"/>
        <w:left w:val="none" w:sz="0" w:space="0" w:color="auto"/>
        <w:bottom w:val="none" w:sz="0" w:space="0" w:color="auto"/>
        <w:right w:val="none" w:sz="0" w:space="0" w:color="auto"/>
      </w:divBdr>
    </w:div>
    <w:div w:id="1010986146">
      <w:bodyDiv w:val="1"/>
      <w:marLeft w:val="0"/>
      <w:marRight w:val="0"/>
      <w:marTop w:val="0"/>
      <w:marBottom w:val="0"/>
      <w:divBdr>
        <w:top w:val="none" w:sz="0" w:space="0" w:color="auto"/>
        <w:left w:val="none" w:sz="0" w:space="0" w:color="auto"/>
        <w:bottom w:val="none" w:sz="0" w:space="0" w:color="auto"/>
        <w:right w:val="none" w:sz="0" w:space="0" w:color="auto"/>
      </w:divBdr>
    </w:div>
    <w:div w:id="1011033605">
      <w:bodyDiv w:val="1"/>
      <w:marLeft w:val="0"/>
      <w:marRight w:val="0"/>
      <w:marTop w:val="0"/>
      <w:marBottom w:val="0"/>
      <w:divBdr>
        <w:top w:val="none" w:sz="0" w:space="0" w:color="auto"/>
        <w:left w:val="none" w:sz="0" w:space="0" w:color="auto"/>
        <w:bottom w:val="none" w:sz="0" w:space="0" w:color="auto"/>
        <w:right w:val="none" w:sz="0" w:space="0" w:color="auto"/>
      </w:divBdr>
    </w:div>
    <w:div w:id="1011680456">
      <w:bodyDiv w:val="1"/>
      <w:marLeft w:val="0"/>
      <w:marRight w:val="0"/>
      <w:marTop w:val="0"/>
      <w:marBottom w:val="0"/>
      <w:divBdr>
        <w:top w:val="none" w:sz="0" w:space="0" w:color="auto"/>
        <w:left w:val="none" w:sz="0" w:space="0" w:color="auto"/>
        <w:bottom w:val="none" w:sz="0" w:space="0" w:color="auto"/>
        <w:right w:val="none" w:sz="0" w:space="0" w:color="auto"/>
      </w:divBdr>
    </w:div>
    <w:div w:id="1011876981">
      <w:bodyDiv w:val="1"/>
      <w:marLeft w:val="0"/>
      <w:marRight w:val="0"/>
      <w:marTop w:val="0"/>
      <w:marBottom w:val="0"/>
      <w:divBdr>
        <w:top w:val="none" w:sz="0" w:space="0" w:color="auto"/>
        <w:left w:val="none" w:sz="0" w:space="0" w:color="auto"/>
        <w:bottom w:val="none" w:sz="0" w:space="0" w:color="auto"/>
        <w:right w:val="none" w:sz="0" w:space="0" w:color="auto"/>
      </w:divBdr>
    </w:div>
    <w:div w:id="1012142525">
      <w:bodyDiv w:val="1"/>
      <w:marLeft w:val="0"/>
      <w:marRight w:val="0"/>
      <w:marTop w:val="0"/>
      <w:marBottom w:val="0"/>
      <w:divBdr>
        <w:top w:val="none" w:sz="0" w:space="0" w:color="auto"/>
        <w:left w:val="none" w:sz="0" w:space="0" w:color="auto"/>
        <w:bottom w:val="none" w:sz="0" w:space="0" w:color="auto"/>
        <w:right w:val="none" w:sz="0" w:space="0" w:color="auto"/>
      </w:divBdr>
    </w:div>
    <w:div w:id="1012563301">
      <w:bodyDiv w:val="1"/>
      <w:marLeft w:val="0"/>
      <w:marRight w:val="0"/>
      <w:marTop w:val="0"/>
      <w:marBottom w:val="0"/>
      <w:divBdr>
        <w:top w:val="none" w:sz="0" w:space="0" w:color="auto"/>
        <w:left w:val="none" w:sz="0" w:space="0" w:color="auto"/>
        <w:bottom w:val="none" w:sz="0" w:space="0" w:color="auto"/>
        <w:right w:val="none" w:sz="0" w:space="0" w:color="auto"/>
      </w:divBdr>
    </w:div>
    <w:div w:id="1012873291">
      <w:bodyDiv w:val="1"/>
      <w:marLeft w:val="0"/>
      <w:marRight w:val="0"/>
      <w:marTop w:val="0"/>
      <w:marBottom w:val="0"/>
      <w:divBdr>
        <w:top w:val="none" w:sz="0" w:space="0" w:color="auto"/>
        <w:left w:val="none" w:sz="0" w:space="0" w:color="auto"/>
        <w:bottom w:val="none" w:sz="0" w:space="0" w:color="auto"/>
        <w:right w:val="none" w:sz="0" w:space="0" w:color="auto"/>
      </w:divBdr>
    </w:div>
    <w:div w:id="1013193484">
      <w:bodyDiv w:val="1"/>
      <w:marLeft w:val="0"/>
      <w:marRight w:val="0"/>
      <w:marTop w:val="0"/>
      <w:marBottom w:val="0"/>
      <w:divBdr>
        <w:top w:val="none" w:sz="0" w:space="0" w:color="auto"/>
        <w:left w:val="none" w:sz="0" w:space="0" w:color="auto"/>
        <w:bottom w:val="none" w:sz="0" w:space="0" w:color="auto"/>
        <w:right w:val="none" w:sz="0" w:space="0" w:color="auto"/>
      </w:divBdr>
    </w:div>
    <w:div w:id="1013264826">
      <w:bodyDiv w:val="1"/>
      <w:marLeft w:val="0"/>
      <w:marRight w:val="0"/>
      <w:marTop w:val="0"/>
      <w:marBottom w:val="0"/>
      <w:divBdr>
        <w:top w:val="none" w:sz="0" w:space="0" w:color="auto"/>
        <w:left w:val="none" w:sz="0" w:space="0" w:color="auto"/>
        <w:bottom w:val="none" w:sz="0" w:space="0" w:color="auto"/>
        <w:right w:val="none" w:sz="0" w:space="0" w:color="auto"/>
      </w:divBdr>
    </w:div>
    <w:div w:id="1013608111">
      <w:bodyDiv w:val="1"/>
      <w:marLeft w:val="0"/>
      <w:marRight w:val="0"/>
      <w:marTop w:val="0"/>
      <w:marBottom w:val="0"/>
      <w:divBdr>
        <w:top w:val="none" w:sz="0" w:space="0" w:color="auto"/>
        <w:left w:val="none" w:sz="0" w:space="0" w:color="auto"/>
        <w:bottom w:val="none" w:sz="0" w:space="0" w:color="auto"/>
        <w:right w:val="none" w:sz="0" w:space="0" w:color="auto"/>
      </w:divBdr>
    </w:div>
    <w:div w:id="1014041910">
      <w:bodyDiv w:val="1"/>
      <w:marLeft w:val="0"/>
      <w:marRight w:val="0"/>
      <w:marTop w:val="0"/>
      <w:marBottom w:val="0"/>
      <w:divBdr>
        <w:top w:val="none" w:sz="0" w:space="0" w:color="auto"/>
        <w:left w:val="none" w:sz="0" w:space="0" w:color="auto"/>
        <w:bottom w:val="none" w:sz="0" w:space="0" w:color="auto"/>
        <w:right w:val="none" w:sz="0" w:space="0" w:color="auto"/>
      </w:divBdr>
    </w:div>
    <w:div w:id="1014528428">
      <w:bodyDiv w:val="1"/>
      <w:marLeft w:val="0"/>
      <w:marRight w:val="0"/>
      <w:marTop w:val="0"/>
      <w:marBottom w:val="0"/>
      <w:divBdr>
        <w:top w:val="none" w:sz="0" w:space="0" w:color="auto"/>
        <w:left w:val="none" w:sz="0" w:space="0" w:color="auto"/>
        <w:bottom w:val="none" w:sz="0" w:space="0" w:color="auto"/>
        <w:right w:val="none" w:sz="0" w:space="0" w:color="auto"/>
      </w:divBdr>
    </w:div>
    <w:div w:id="1015423972">
      <w:bodyDiv w:val="1"/>
      <w:marLeft w:val="0"/>
      <w:marRight w:val="0"/>
      <w:marTop w:val="0"/>
      <w:marBottom w:val="0"/>
      <w:divBdr>
        <w:top w:val="none" w:sz="0" w:space="0" w:color="auto"/>
        <w:left w:val="none" w:sz="0" w:space="0" w:color="auto"/>
        <w:bottom w:val="none" w:sz="0" w:space="0" w:color="auto"/>
        <w:right w:val="none" w:sz="0" w:space="0" w:color="auto"/>
      </w:divBdr>
    </w:div>
    <w:div w:id="1016881327">
      <w:bodyDiv w:val="1"/>
      <w:marLeft w:val="0"/>
      <w:marRight w:val="0"/>
      <w:marTop w:val="0"/>
      <w:marBottom w:val="0"/>
      <w:divBdr>
        <w:top w:val="none" w:sz="0" w:space="0" w:color="auto"/>
        <w:left w:val="none" w:sz="0" w:space="0" w:color="auto"/>
        <w:bottom w:val="none" w:sz="0" w:space="0" w:color="auto"/>
        <w:right w:val="none" w:sz="0" w:space="0" w:color="auto"/>
      </w:divBdr>
    </w:div>
    <w:div w:id="1016930866">
      <w:bodyDiv w:val="1"/>
      <w:marLeft w:val="0"/>
      <w:marRight w:val="0"/>
      <w:marTop w:val="0"/>
      <w:marBottom w:val="0"/>
      <w:divBdr>
        <w:top w:val="none" w:sz="0" w:space="0" w:color="auto"/>
        <w:left w:val="none" w:sz="0" w:space="0" w:color="auto"/>
        <w:bottom w:val="none" w:sz="0" w:space="0" w:color="auto"/>
        <w:right w:val="none" w:sz="0" w:space="0" w:color="auto"/>
      </w:divBdr>
    </w:div>
    <w:div w:id="1017074823">
      <w:bodyDiv w:val="1"/>
      <w:marLeft w:val="0"/>
      <w:marRight w:val="0"/>
      <w:marTop w:val="0"/>
      <w:marBottom w:val="0"/>
      <w:divBdr>
        <w:top w:val="none" w:sz="0" w:space="0" w:color="auto"/>
        <w:left w:val="none" w:sz="0" w:space="0" w:color="auto"/>
        <w:bottom w:val="none" w:sz="0" w:space="0" w:color="auto"/>
        <w:right w:val="none" w:sz="0" w:space="0" w:color="auto"/>
      </w:divBdr>
    </w:div>
    <w:div w:id="1017393003">
      <w:bodyDiv w:val="1"/>
      <w:marLeft w:val="0"/>
      <w:marRight w:val="0"/>
      <w:marTop w:val="0"/>
      <w:marBottom w:val="0"/>
      <w:divBdr>
        <w:top w:val="none" w:sz="0" w:space="0" w:color="auto"/>
        <w:left w:val="none" w:sz="0" w:space="0" w:color="auto"/>
        <w:bottom w:val="none" w:sz="0" w:space="0" w:color="auto"/>
        <w:right w:val="none" w:sz="0" w:space="0" w:color="auto"/>
      </w:divBdr>
    </w:div>
    <w:div w:id="1018117367">
      <w:bodyDiv w:val="1"/>
      <w:marLeft w:val="0"/>
      <w:marRight w:val="0"/>
      <w:marTop w:val="0"/>
      <w:marBottom w:val="0"/>
      <w:divBdr>
        <w:top w:val="none" w:sz="0" w:space="0" w:color="auto"/>
        <w:left w:val="none" w:sz="0" w:space="0" w:color="auto"/>
        <w:bottom w:val="none" w:sz="0" w:space="0" w:color="auto"/>
        <w:right w:val="none" w:sz="0" w:space="0" w:color="auto"/>
      </w:divBdr>
    </w:div>
    <w:div w:id="1020400410">
      <w:bodyDiv w:val="1"/>
      <w:marLeft w:val="0"/>
      <w:marRight w:val="0"/>
      <w:marTop w:val="0"/>
      <w:marBottom w:val="0"/>
      <w:divBdr>
        <w:top w:val="none" w:sz="0" w:space="0" w:color="auto"/>
        <w:left w:val="none" w:sz="0" w:space="0" w:color="auto"/>
        <w:bottom w:val="none" w:sz="0" w:space="0" w:color="auto"/>
        <w:right w:val="none" w:sz="0" w:space="0" w:color="auto"/>
      </w:divBdr>
    </w:div>
    <w:div w:id="1020474787">
      <w:bodyDiv w:val="1"/>
      <w:marLeft w:val="0"/>
      <w:marRight w:val="0"/>
      <w:marTop w:val="0"/>
      <w:marBottom w:val="0"/>
      <w:divBdr>
        <w:top w:val="none" w:sz="0" w:space="0" w:color="auto"/>
        <w:left w:val="none" w:sz="0" w:space="0" w:color="auto"/>
        <w:bottom w:val="none" w:sz="0" w:space="0" w:color="auto"/>
        <w:right w:val="none" w:sz="0" w:space="0" w:color="auto"/>
      </w:divBdr>
    </w:div>
    <w:div w:id="1020935530">
      <w:bodyDiv w:val="1"/>
      <w:marLeft w:val="0"/>
      <w:marRight w:val="0"/>
      <w:marTop w:val="0"/>
      <w:marBottom w:val="0"/>
      <w:divBdr>
        <w:top w:val="none" w:sz="0" w:space="0" w:color="auto"/>
        <w:left w:val="none" w:sz="0" w:space="0" w:color="auto"/>
        <w:bottom w:val="none" w:sz="0" w:space="0" w:color="auto"/>
        <w:right w:val="none" w:sz="0" w:space="0" w:color="auto"/>
      </w:divBdr>
    </w:div>
    <w:div w:id="1021081396">
      <w:bodyDiv w:val="1"/>
      <w:marLeft w:val="0"/>
      <w:marRight w:val="0"/>
      <w:marTop w:val="0"/>
      <w:marBottom w:val="0"/>
      <w:divBdr>
        <w:top w:val="none" w:sz="0" w:space="0" w:color="auto"/>
        <w:left w:val="none" w:sz="0" w:space="0" w:color="auto"/>
        <w:bottom w:val="none" w:sz="0" w:space="0" w:color="auto"/>
        <w:right w:val="none" w:sz="0" w:space="0" w:color="auto"/>
      </w:divBdr>
    </w:div>
    <w:div w:id="1021396608">
      <w:bodyDiv w:val="1"/>
      <w:marLeft w:val="0"/>
      <w:marRight w:val="0"/>
      <w:marTop w:val="0"/>
      <w:marBottom w:val="0"/>
      <w:divBdr>
        <w:top w:val="none" w:sz="0" w:space="0" w:color="auto"/>
        <w:left w:val="none" w:sz="0" w:space="0" w:color="auto"/>
        <w:bottom w:val="none" w:sz="0" w:space="0" w:color="auto"/>
        <w:right w:val="none" w:sz="0" w:space="0" w:color="auto"/>
      </w:divBdr>
    </w:div>
    <w:div w:id="1021399266">
      <w:bodyDiv w:val="1"/>
      <w:marLeft w:val="0"/>
      <w:marRight w:val="0"/>
      <w:marTop w:val="0"/>
      <w:marBottom w:val="0"/>
      <w:divBdr>
        <w:top w:val="none" w:sz="0" w:space="0" w:color="auto"/>
        <w:left w:val="none" w:sz="0" w:space="0" w:color="auto"/>
        <w:bottom w:val="none" w:sz="0" w:space="0" w:color="auto"/>
        <w:right w:val="none" w:sz="0" w:space="0" w:color="auto"/>
      </w:divBdr>
    </w:div>
    <w:div w:id="1021474282">
      <w:bodyDiv w:val="1"/>
      <w:marLeft w:val="0"/>
      <w:marRight w:val="0"/>
      <w:marTop w:val="0"/>
      <w:marBottom w:val="0"/>
      <w:divBdr>
        <w:top w:val="none" w:sz="0" w:space="0" w:color="auto"/>
        <w:left w:val="none" w:sz="0" w:space="0" w:color="auto"/>
        <w:bottom w:val="none" w:sz="0" w:space="0" w:color="auto"/>
        <w:right w:val="none" w:sz="0" w:space="0" w:color="auto"/>
      </w:divBdr>
    </w:div>
    <w:div w:id="1021513457">
      <w:bodyDiv w:val="1"/>
      <w:marLeft w:val="0"/>
      <w:marRight w:val="0"/>
      <w:marTop w:val="0"/>
      <w:marBottom w:val="0"/>
      <w:divBdr>
        <w:top w:val="none" w:sz="0" w:space="0" w:color="auto"/>
        <w:left w:val="none" w:sz="0" w:space="0" w:color="auto"/>
        <w:bottom w:val="none" w:sz="0" w:space="0" w:color="auto"/>
        <w:right w:val="none" w:sz="0" w:space="0" w:color="auto"/>
      </w:divBdr>
    </w:div>
    <w:div w:id="1022171802">
      <w:bodyDiv w:val="1"/>
      <w:marLeft w:val="0"/>
      <w:marRight w:val="0"/>
      <w:marTop w:val="0"/>
      <w:marBottom w:val="0"/>
      <w:divBdr>
        <w:top w:val="none" w:sz="0" w:space="0" w:color="auto"/>
        <w:left w:val="none" w:sz="0" w:space="0" w:color="auto"/>
        <w:bottom w:val="none" w:sz="0" w:space="0" w:color="auto"/>
        <w:right w:val="none" w:sz="0" w:space="0" w:color="auto"/>
      </w:divBdr>
    </w:div>
    <w:div w:id="1023358551">
      <w:bodyDiv w:val="1"/>
      <w:marLeft w:val="0"/>
      <w:marRight w:val="0"/>
      <w:marTop w:val="0"/>
      <w:marBottom w:val="0"/>
      <w:divBdr>
        <w:top w:val="none" w:sz="0" w:space="0" w:color="auto"/>
        <w:left w:val="none" w:sz="0" w:space="0" w:color="auto"/>
        <w:bottom w:val="none" w:sz="0" w:space="0" w:color="auto"/>
        <w:right w:val="none" w:sz="0" w:space="0" w:color="auto"/>
      </w:divBdr>
    </w:div>
    <w:div w:id="1023482664">
      <w:bodyDiv w:val="1"/>
      <w:marLeft w:val="0"/>
      <w:marRight w:val="0"/>
      <w:marTop w:val="0"/>
      <w:marBottom w:val="0"/>
      <w:divBdr>
        <w:top w:val="none" w:sz="0" w:space="0" w:color="auto"/>
        <w:left w:val="none" w:sz="0" w:space="0" w:color="auto"/>
        <w:bottom w:val="none" w:sz="0" w:space="0" w:color="auto"/>
        <w:right w:val="none" w:sz="0" w:space="0" w:color="auto"/>
      </w:divBdr>
    </w:div>
    <w:div w:id="1024404398">
      <w:bodyDiv w:val="1"/>
      <w:marLeft w:val="0"/>
      <w:marRight w:val="0"/>
      <w:marTop w:val="0"/>
      <w:marBottom w:val="0"/>
      <w:divBdr>
        <w:top w:val="none" w:sz="0" w:space="0" w:color="auto"/>
        <w:left w:val="none" w:sz="0" w:space="0" w:color="auto"/>
        <w:bottom w:val="none" w:sz="0" w:space="0" w:color="auto"/>
        <w:right w:val="none" w:sz="0" w:space="0" w:color="auto"/>
      </w:divBdr>
    </w:div>
    <w:div w:id="1024550353">
      <w:bodyDiv w:val="1"/>
      <w:marLeft w:val="0"/>
      <w:marRight w:val="0"/>
      <w:marTop w:val="0"/>
      <w:marBottom w:val="0"/>
      <w:divBdr>
        <w:top w:val="none" w:sz="0" w:space="0" w:color="auto"/>
        <w:left w:val="none" w:sz="0" w:space="0" w:color="auto"/>
        <w:bottom w:val="none" w:sz="0" w:space="0" w:color="auto"/>
        <w:right w:val="none" w:sz="0" w:space="0" w:color="auto"/>
      </w:divBdr>
    </w:div>
    <w:div w:id="1025836258">
      <w:bodyDiv w:val="1"/>
      <w:marLeft w:val="0"/>
      <w:marRight w:val="0"/>
      <w:marTop w:val="0"/>
      <w:marBottom w:val="0"/>
      <w:divBdr>
        <w:top w:val="none" w:sz="0" w:space="0" w:color="auto"/>
        <w:left w:val="none" w:sz="0" w:space="0" w:color="auto"/>
        <w:bottom w:val="none" w:sz="0" w:space="0" w:color="auto"/>
        <w:right w:val="none" w:sz="0" w:space="0" w:color="auto"/>
      </w:divBdr>
    </w:div>
    <w:div w:id="1026561279">
      <w:bodyDiv w:val="1"/>
      <w:marLeft w:val="0"/>
      <w:marRight w:val="0"/>
      <w:marTop w:val="0"/>
      <w:marBottom w:val="0"/>
      <w:divBdr>
        <w:top w:val="none" w:sz="0" w:space="0" w:color="auto"/>
        <w:left w:val="none" w:sz="0" w:space="0" w:color="auto"/>
        <w:bottom w:val="none" w:sz="0" w:space="0" w:color="auto"/>
        <w:right w:val="none" w:sz="0" w:space="0" w:color="auto"/>
      </w:divBdr>
    </w:div>
    <w:div w:id="1027023961">
      <w:bodyDiv w:val="1"/>
      <w:marLeft w:val="0"/>
      <w:marRight w:val="0"/>
      <w:marTop w:val="0"/>
      <w:marBottom w:val="0"/>
      <w:divBdr>
        <w:top w:val="none" w:sz="0" w:space="0" w:color="auto"/>
        <w:left w:val="none" w:sz="0" w:space="0" w:color="auto"/>
        <w:bottom w:val="none" w:sz="0" w:space="0" w:color="auto"/>
        <w:right w:val="none" w:sz="0" w:space="0" w:color="auto"/>
      </w:divBdr>
    </w:div>
    <w:div w:id="1027291150">
      <w:bodyDiv w:val="1"/>
      <w:marLeft w:val="0"/>
      <w:marRight w:val="0"/>
      <w:marTop w:val="0"/>
      <w:marBottom w:val="0"/>
      <w:divBdr>
        <w:top w:val="none" w:sz="0" w:space="0" w:color="auto"/>
        <w:left w:val="none" w:sz="0" w:space="0" w:color="auto"/>
        <w:bottom w:val="none" w:sz="0" w:space="0" w:color="auto"/>
        <w:right w:val="none" w:sz="0" w:space="0" w:color="auto"/>
      </w:divBdr>
    </w:div>
    <w:div w:id="1027366081">
      <w:bodyDiv w:val="1"/>
      <w:marLeft w:val="0"/>
      <w:marRight w:val="0"/>
      <w:marTop w:val="0"/>
      <w:marBottom w:val="0"/>
      <w:divBdr>
        <w:top w:val="none" w:sz="0" w:space="0" w:color="auto"/>
        <w:left w:val="none" w:sz="0" w:space="0" w:color="auto"/>
        <w:bottom w:val="none" w:sz="0" w:space="0" w:color="auto"/>
        <w:right w:val="none" w:sz="0" w:space="0" w:color="auto"/>
      </w:divBdr>
    </w:div>
    <w:div w:id="1027562694">
      <w:bodyDiv w:val="1"/>
      <w:marLeft w:val="0"/>
      <w:marRight w:val="0"/>
      <w:marTop w:val="0"/>
      <w:marBottom w:val="0"/>
      <w:divBdr>
        <w:top w:val="none" w:sz="0" w:space="0" w:color="auto"/>
        <w:left w:val="none" w:sz="0" w:space="0" w:color="auto"/>
        <w:bottom w:val="none" w:sz="0" w:space="0" w:color="auto"/>
        <w:right w:val="none" w:sz="0" w:space="0" w:color="auto"/>
      </w:divBdr>
    </w:div>
    <w:div w:id="1027874581">
      <w:bodyDiv w:val="1"/>
      <w:marLeft w:val="0"/>
      <w:marRight w:val="0"/>
      <w:marTop w:val="0"/>
      <w:marBottom w:val="0"/>
      <w:divBdr>
        <w:top w:val="none" w:sz="0" w:space="0" w:color="auto"/>
        <w:left w:val="none" w:sz="0" w:space="0" w:color="auto"/>
        <w:bottom w:val="none" w:sz="0" w:space="0" w:color="auto"/>
        <w:right w:val="none" w:sz="0" w:space="0" w:color="auto"/>
      </w:divBdr>
    </w:div>
    <w:div w:id="1027876727">
      <w:bodyDiv w:val="1"/>
      <w:marLeft w:val="0"/>
      <w:marRight w:val="0"/>
      <w:marTop w:val="0"/>
      <w:marBottom w:val="0"/>
      <w:divBdr>
        <w:top w:val="none" w:sz="0" w:space="0" w:color="auto"/>
        <w:left w:val="none" w:sz="0" w:space="0" w:color="auto"/>
        <w:bottom w:val="none" w:sz="0" w:space="0" w:color="auto"/>
        <w:right w:val="none" w:sz="0" w:space="0" w:color="auto"/>
      </w:divBdr>
    </w:div>
    <w:div w:id="1028068988">
      <w:bodyDiv w:val="1"/>
      <w:marLeft w:val="0"/>
      <w:marRight w:val="0"/>
      <w:marTop w:val="0"/>
      <w:marBottom w:val="0"/>
      <w:divBdr>
        <w:top w:val="none" w:sz="0" w:space="0" w:color="auto"/>
        <w:left w:val="none" w:sz="0" w:space="0" w:color="auto"/>
        <w:bottom w:val="none" w:sz="0" w:space="0" w:color="auto"/>
        <w:right w:val="none" w:sz="0" w:space="0" w:color="auto"/>
      </w:divBdr>
    </w:div>
    <w:div w:id="1029257255">
      <w:bodyDiv w:val="1"/>
      <w:marLeft w:val="0"/>
      <w:marRight w:val="0"/>
      <w:marTop w:val="0"/>
      <w:marBottom w:val="0"/>
      <w:divBdr>
        <w:top w:val="none" w:sz="0" w:space="0" w:color="auto"/>
        <w:left w:val="none" w:sz="0" w:space="0" w:color="auto"/>
        <w:bottom w:val="none" w:sz="0" w:space="0" w:color="auto"/>
        <w:right w:val="none" w:sz="0" w:space="0" w:color="auto"/>
      </w:divBdr>
    </w:div>
    <w:div w:id="1030303487">
      <w:bodyDiv w:val="1"/>
      <w:marLeft w:val="0"/>
      <w:marRight w:val="0"/>
      <w:marTop w:val="0"/>
      <w:marBottom w:val="0"/>
      <w:divBdr>
        <w:top w:val="none" w:sz="0" w:space="0" w:color="auto"/>
        <w:left w:val="none" w:sz="0" w:space="0" w:color="auto"/>
        <w:bottom w:val="none" w:sz="0" w:space="0" w:color="auto"/>
        <w:right w:val="none" w:sz="0" w:space="0" w:color="auto"/>
      </w:divBdr>
    </w:div>
    <w:div w:id="1031078142">
      <w:bodyDiv w:val="1"/>
      <w:marLeft w:val="0"/>
      <w:marRight w:val="0"/>
      <w:marTop w:val="0"/>
      <w:marBottom w:val="0"/>
      <w:divBdr>
        <w:top w:val="none" w:sz="0" w:space="0" w:color="auto"/>
        <w:left w:val="none" w:sz="0" w:space="0" w:color="auto"/>
        <w:bottom w:val="none" w:sz="0" w:space="0" w:color="auto"/>
        <w:right w:val="none" w:sz="0" w:space="0" w:color="auto"/>
      </w:divBdr>
    </w:div>
    <w:div w:id="1031420340">
      <w:bodyDiv w:val="1"/>
      <w:marLeft w:val="0"/>
      <w:marRight w:val="0"/>
      <w:marTop w:val="0"/>
      <w:marBottom w:val="0"/>
      <w:divBdr>
        <w:top w:val="none" w:sz="0" w:space="0" w:color="auto"/>
        <w:left w:val="none" w:sz="0" w:space="0" w:color="auto"/>
        <w:bottom w:val="none" w:sz="0" w:space="0" w:color="auto"/>
        <w:right w:val="none" w:sz="0" w:space="0" w:color="auto"/>
      </w:divBdr>
    </w:div>
    <w:div w:id="1031608009">
      <w:bodyDiv w:val="1"/>
      <w:marLeft w:val="0"/>
      <w:marRight w:val="0"/>
      <w:marTop w:val="0"/>
      <w:marBottom w:val="0"/>
      <w:divBdr>
        <w:top w:val="none" w:sz="0" w:space="0" w:color="auto"/>
        <w:left w:val="none" w:sz="0" w:space="0" w:color="auto"/>
        <w:bottom w:val="none" w:sz="0" w:space="0" w:color="auto"/>
        <w:right w:val="none" w:sz="0" w:space="0" w:color="auto"/>
      </w:divBdr>
    </w:div>
    <w:div w:id="1032026151">
      <w:bodyDiv w:val="1"/>
      <w:marLeft w:val="0"/>
      <w:marRight w:val="0"/>
      <w:marTop w:val="0"/>
      <w:marBottom w:val="0"/>
      <w:divBdr>
        <w:top w:val="none" w:sz="0" w:space="0" w:color="auto"/>
        <w:left w:val="none" w:sz="0" w:space="0" w:color="auto"/>
        <w:bottom w:val="none" w:sz="0" w:space="0" w:color="auto"/>
        <w:right w:val="none" w:sz="0" w:space="0" w:color="auto"/>
      </w:divBdr>
    </w:div>
    <w:div w:id="1032077617">
      <w:bodyDiv w:val="1"/>
      <w:marLeft w:val="0"/>
      <w:marRight w:val="0"/>
      <w:marTop w:val="0"/>
      <w:marBottom w:val="0"/>
      <w:divBdr>
        <w:top w:val="none" w:sz="0" w:space="0" w:color="auto"/>
        <w:left w:val="none" w:sz="0" w:space="0" w:color="auto"/>
        <w:bottom w:val="none" w:sz="0" w:space="0" w:color="auto"/>
        <w:right w:val="none" w:sz="0" w:space="0" w:color="auto"/>
      </w:divBdr>
    </w:div>
    <w:div w:id="1032535777">
      <w:bodyDiv w:val="1"/>
      <w:marLeft w:val="0"/>
      <w:marRight w:val="0"/>
      <w:marTop w:val="0"/>
      <w:marBottom w:val="0"/>
      <w:divBdr>
        <w:top w:val="none" w:sz="0" w:space="0" w:color="auto"/>
        <w:left w:val="none" w:sz="0" w:space="0" w:color="auto"/>
        <w:bottom w:val="none" w:sz="0" w:space="0" w:color="auto"/>
        <w:right w:val="none" w:sz="0" w:space="0" w:color="auto"/>
      </w:divBdr>
    </w:div>
    <w:div w:id="1032926630">
      <w:bodyDiv w:val="1"/>
      <w:marLeft w:val="0"/>
      <w:marRight w:val="0"/>
      <w:marTop w:val="0"/>
      <w:marBottom w:val="0"/>
      <w:divBdr>
        <w:top w:val="none" w:sz="0" w:space="0" w:color="auto"/>
        <w:left w:val="none" w:sz="0" w:space="0" w:color="auto"/>
        <w:bottom w:val="none" w:sz="0" w:space="0" w:color="auto"/>
        <w:right w:val="none" w:sz="0" w:space="0" w:color="auto"/>
      </w:divBdr>
    </w:div>
    <w:div w:id="1033766710">
      <w:bodyDiv w:val="1"/>
      <w:marLeft w:val="0"/>
      <w:marRight w:val="0"/>
      <w:marTop w:val="0"/>
      <w:marBottom w:val="0"/>
      <w:divBdr>
        <w:top w:val="none" w:sz="0" w:space="0" w:color="auto"/>
        <w:left w:val="none" w:sz="0" w:space="0" w:color="auto"/>
        <w:bottom w:val="none" w:sz="0" w:space="0" w:color="auto"/>
        <w:right w:val="none" w:sz="0" w:space="0" w:color="auto"/>
      </w:divBdr>
    </w:div>
    <w:div w:id="1034429668">
      <w:bodyDiv w:val="1"/>
      <w:marLeft w:val="0"/>
      <w:marRight w:val="0"/>
      <w:marTop w:val="0"/>
      <w:marBottom w:val="0"/>
      <w:divBdr>
        <w:top w:val="none" w:sz="0" w:space="0" w:color="auto"/>
        <w:left w:val="none" w:sz="0" w:space="0" w:color="auto"/>
        <w:bottom w:val="none" w:sz="0" w:space="0" w:color="auto"/>
        <w:right w:val="none" w:sz="0" w:space="0" w:color="auto"/>
      </w:divBdr>
    </w:div>
    <w:div w:id="1035345372">
      <w:bodyDiv w:val="1"/>
      <w:marLeft w:val="0"/>
      <w:marRight w:val="0"/>
      <w:marTop w:val="0"/>
      <w:marBottom w:val="0"/>
      <w:divBdr>
        <w:top w:val="none" w:sz="0" w:space="0" w:color="auto"/>
        <w:left w:val="none" w:sz="0" w:space="0" w:color="auto"/>
        <w:bottom w:val="none" w:sz="0" w:space="0" w:color="auto"/>
        <w:right w:val="none" w:sz="0" w:space="0" w:color="auto"/>
      </w:divBdr>
    </w:div>
    <w:div w:id="1035429436">
      <w:bodyDiv w:val="1"/>
      <w:marLeft w:val="0"/>
      <w:marRight w:val="0"/>
      <w:marTop w:val="0"/>
      <w:marBottom w:val="0"/>
      <w:divBdr>
        <w:top w:val="none" w:sz="0" w:space="0" w:color="auto"/>
        <w:left w:val="none" w:sz="0" w:space="0" w:color="auto"/>
        <w:bottom w:val="none" w:sz="0" w:space="0" w:color="auto"/>
        <w:right w:val="none" w:sz="0" w:space="0" w:color="auto"/>
      </w:divBdr>
    </w:div>
    <w:div w:id="1036589722">
      <w:bodyDiv w:val="1"/>
      <w:marLeft w:val="0"/>
      <w:marRight w:val="0"/>
      <w:marTop w:val="0"/>
      <w:marBottom w:val="0"/>
      <w:divBdr>
        <w:top w:val="none" w:sz="0" w:space="0" w:color="auto"/>
        <w:left w:val="none" w:sz="0" w:space="0" w:color="auto"/>
        <w:bottom w:val="none" w:sz="0" w:space="0" w:color="auto"/>
        <w:right w:val="none" w:sz="0" w:space="0" w:color="auto"/>
      </w:divBdr>
    </w:div>
    <w:div w:id="1036858579">
      <w:bodyDiv w:val="1"/>
      <w:marLeft w:val="0"/>
      <w:marRight w:val="0"/>
      <w:marTop w:val="0"/>
      <w:marBottom w:val="0"/>
      <w:divBdr>
        <w:top w:val="none" w:sz="0" w:space="0" w:color="auto"/>
        <w:left w:val="none" w:sz="0" w:space="0" w:color="auto"/>
        <w:bottom w:val="none" w:sz="0" w:space="0" w:color="auto"/>
        <w:right w:val="none" w:sz="0" w:space="0" w:color="auto"/>
      </w:divBdr>
    </w:div>
    <w:div w:id="1036932926">
      <w:bodyDiv w:val="1"/>
      <w:marLeft w:val="0"/>
      <w:marRight w:val="0"/>
      <w:marTop w:val="0"/>
      <w:marBottom w:val="0"/>
      <w:divBdr>
        <w:top w:val="none" w:sz="0" w:space="0" w:color="auto"/>
        <w:left w:val="none" w:sz="0" w:space="0" w:color="auto"/>
        <w:bottom w:val="none" w:sz="0" w:space="0" w:color="auto"/>
        <w:right w:val="none" w:sz="0" w:space="0" w:color="auto"/>
      </w:divBdr>
    </w:div>
    <w:div w:id="1037388650">
      <w:bodyDiv w:val="1"/>
      <w:marLeft w:val="0"/>
      <w:marRight w:val="0"/>
      <w:marTop w:val="0"/>
      <w:marBottom w:val="0"/>
      <w:divBdr>
        <w:top w:val="none" w:sz="0" w:space="0" w:color="auto"/>
        <w:left w:val="none" w:sz="0" w:space="0" w:color="auto"/>
        <w:bottom w:val="none" w:sz="0" w:space="0" w:color="auto"/>
        <w:right w:val="none" w:sz="0" w:space="0" w:color="auto"/>
      </w:divBdr>
    </w:div>
    <w:div w:id="1038168060">
      <w:bodyDiv w:val="1"/>
      <w:marLeft w:val="0"/>
      <w:marRight w:val="0"/>
      <w:marTop w:val="0"/>
      <w:marBottom w:val="0"/>
      <w:divBdr>
        <w:top w:val="none" w:sz="0" w:space="0" w:color="auto"/>
        <w:left w:val="none" w:sz="0" w:space="0" w:color="auto"/>
        <w:bottom w:val="none" w:sz="0" w:space="0" w:color="auto"/>
        <w:right w:val="none" w:sz="0" w:space="0" w:color="auto"/>
      </w:divBdr>
    </w:div>
    <w:div w:id="1039017363">
      <w:bodyDiv w:val="1"/>
      <w:marLeft w:val="0"/>
      <w:marRight w:val="0"/>
      <w:marTop w:val="0"/>
      <w:marBottom w:val="0"/>
      <w:divBdr>
        <w:top w:val="none" w:sz="0" w:space="0" w:color="auto"/>
        <w:left w:val="none" w:sz="0" w:space="0" w:color="auto"/>
        <w:bottom w:val="none" w:sz="0" w:space="0" w:color="auto"/>
        <w:right w:val="none" w:sz="0" w:space="0" w:color="auto"/>
      </w:divBdr>
    </w:div>
    <w:div w:id="1039401894">
      <w:bodyDiv w:val="1"/>
      <w:marLeft w:val="0"/>
      <w:marRight w:val="0"/>
      <w:marTop w:val="0"/>
      <w:marBottom w:val="0"/>
      <w:divBdr>
        <w:top w:val="none" w:sz="0" w:space="0" w:color="auto"/>
        <w:left w:val="none" w:sz="0" w:space="0" w:color="auto"/>
        <w:bottom w:val="none" w:sz="0" w:space="0" w:color="auto"/>
        <w:right w:val="none" w:sz="0" w:space="0" w:color="auto"/>
      </w:divBdr>
    </w:div>
    <w:div w:id="1039548086">
      <w:bodyDiv w:val="1"/>
      <w:marLeft w:val="0"/>
      <w:marRight w:val="0"/>
      <w:marTop w:val="0"/>
      <w:marBottom w:val="0"/>
      <w:divBdr>
        <w:top w:val="none" w:sz="0" w:space="0" w:color="auto"/>
        <w:left w:val="none" w:sz="0" w:space="0" w:color="auto"/>
        <w:bottom w:val="none" w:sz="0" w:space="0" w:color="auto"/>
        <w:right w:val="none" w:sz="0" w:space="0" w:color="auto"/>
      </w:divBdr>
    </w:div>
    <w:div w:id="1039741691">
      <w:bodyDiv w:val="1"/>
      <w:marLeft w:val="0"/>
      <w:marRight w:val="0"/>
      <w:marTop w:val="0"/>
      <w:marBottom w:val="0"/>
      <w:divBdr>
        <w:top w:val="none" w:sz="0" w:space="0" w:color="auto"/>
        <w:left w:val="none" w:sz="0" w:space="0" w:color="auto"/>
        <w:bottom w:val="none" w:sz="0" w:space="0" w:color="auto"/>
        <w:right w:val="none" w:sz="0" w:space="0" w:color="auto"/>
      </w:divBdr>
    </w:div>
    <w:div w:id="1039865649">
      <w:bodyDiv w:val="1"/>
      <w:marLeft w:val="0"/>
      <w:marRight w:val="0"/>
      <w:marTop w:val="0"/>
      <w:marBottom w:val="0"/>
      <w:divBdr>
        <w:top w:val="none" w:sz="0" w:space="0" w:color="auto"/>
        <w:left w:val="none" w:sz="0" w:space="0" w:color="auto"/>
        <w:bottom w:val="none" w:sz="0" w:space="0" w:color="auto"/>
        <w:right w:val="none" w:sz="0" w:space="0" w:color="auto"/>
      </w:divBdr>
    </w:div>
    <w:div w:id="1041127081">
      <w:bodyDiv w:val="1"/>
      <w:marLeft w:val="0"/>
      <w:marRight w:val="0"/>
      <w:marTop w:val="0"/>
      <w:marBottom w:val="0"/>
      <w:divBdr>
        <w:top w:val="none" w:sz="0" w:space="0" w:color="auto"/>
        <w:left w:val="none" w:sz="0" w:space="0" w:color="auto"/>
        <w:bottom w:val="none" w:sz="0" w:space="0" w:color="auto"/>
        <w:right w:val="none" w:sz="0" w:space="0" w:color="auto"/>
      </w:divBdr>
    </w:div>
    <w:div w:id="1041591846">
      <w:bodyDiv w:val="1"/>
      <w:marLeft w:val="0"/>
      <w:marRight w:val="0"/>
      <w:marTop w:val="0"/>
      <w:marBottom w:val="0"/>
      <w:divBdr>
        <w:top w:val="none" w:sz="0" w:space="0" w:color="auto"/>
        <w:left w:val="none" w:sz="0" w:space="0" w:color="auto"/>
        <w:bottom w:val="none" w:sz="0" w:space="0" w:color="auto"/>
        <w:right w:val="none" w:sz="0" w:space="0" w:color="auto"/>
      </w:divBdr>
    </w:div>
    <w:div w:id="1041784524">
      <w:bodyDiv w:val="1"/>
      <w:marLeft w:val="0"/>
      <w:marRight w:val="0"/>
      <w:marTop w:val="0"/>
      <w:marBottom w:val="0"/>
      <w:divBdr>
        <w:top w:val="none" w:sz="0" w:space="0" w:color="auto"/>
        <w:left w:val="none" w:sz="0" w:space="0" w:color="auto"/>
        <w:bottom w:val="none" w:sz="0" w:space="0" w:color="auto"/>
        <w:right w:val="none" w:sz="0" w:space="0" w:color="auto"/>
      </w:divBdr>
    </w:div>
    <w:div w:id="1041906790">
      <w:bodyDiv w:val="1"/>
      <w:marLeft w:val="0"/>
      <w:marRight w:val="0"/>
      <w:marTop w:val="0"/>
      <w:marBottom w:val="0"/>
      <w:divBdr>
        <w:top w:val="none" w:sz="0" w:space="0" w:color="auto"/>
        <w:left w:val="none" w:sz="0" w:space="0" w:color="auto"/>
        <w:bottom w:val="none" w:sz="0" w:space="0" w:color="auto"/>
        <w:right w:val="none" w:sz="0" w:space="0" w:color="auto"/>
      </w:divBdr>
    </w:div>
    <w:div w:id="1042362777">
      <w:bodyDiv w:val="1"/>
      <w:marLeft w:val="0"/>
      <w:marRight w:val="0"/>
      <w:marTop w:val="0"/>
      <w:marBottom w:val="0"/>
      <w:divBdr>
        <w:top w:val="none" w:sz="0" w:space="0" w:color="auto"/>
        <w:left w:val="none" w:sz="0" w:space="0" w:color="auto"/>
        <w:bottom w:val="none" w:sz="0" w:space="0" w:color="auto"/>
        <w:right w:val="none" w:sz="0" w:space="0" w:color="auto"/>
      </w:divBdr>
    </w:div>
    <w:div w:id="1043139105">
      <w:bodyDiv w:val="1"/>
      <w:marLeft w:val="0"/>
      <w:marRight w:val="0"/>
      <w:marTop w:val="0"/>
      <w:marBottom w:val="0"/>
      <w:divBdr>
        <w:top w:val="none" w:sz="0" w:space="0" w:color="auto"/>
        <w:left w:val="none" w:sz="0" w:space="0" w:color="auto"/>
        <w:bottom w:val="none" w:sz="0" w:space="0" w:color="auto"/>
        <w:right w:val="none" w:sz="0" w:space="0" w:color="auto"/>
      </w:divBdr>
    </w:div>
    <w:div w:id="1043216443">
      <w:bodyDiv w:val="1"/>
      <w:marLeft w:val="0"/>
      <w:marRight w:val="0"/>
      <w:marTop w:val="0"/>
      <w:marBottom w:val="0"/>
      <w:divBdr>
        <w:top w:val="none" w:sz="0" w:space="0" w:color="auto"/>
        <w:left w:val="none" w:sz="0" w:space="0" w:color="auto"/>
        <w:bottom w:val="none" w:sz="0" w:space="0" w:color="auto"/>
        <w:right w:val="none" w:sz="0" w:space="0" w:color="auto"/>
      </w:divBdr>
    </w:div>
    <w:div w:id="1043483614">
      <w:bodyDiv w:val="1"/>
      <w:marLeft w:val="0"/>
      <w:marRight w:val="0"/>
      <w:marTop w:val="0"/>
      <w:marBottom w:val="0"/>
      <w:divBdr>
        <w:top w:val="none" w:sz="0" w:space="0" w:color="auto"/>
        <w:left w:val="none" w:sz="0" w:space="0" w:color="auto"/>
        <w:bottom w:val="none" w:sz="0" w:space="0" w:color="auto"/>
        <w:right w:val="none" w:sz="0" w:space="0" w:color="auto"/>
      </w:divBdr>
    </w:div>
    <w:div w:id="1043562066">
      <w:bodyDiv w:val="1"/>
      <w:marLeft w:val="0"/>
      <w:marRight w:val="0"/>
      <w:marTop w:val="0"/>
      <w:marBottom w:val="0"/>
      <w:divBdr>
        <w:top w:val="none" w:sz="0" w:space="0" w:color="auto"/>
        <w:left w:val="none" w:sz="0" w:space="0" w:color="auto"/>
        <w:bottom w:val="none" w:sz="0" w:space="0" w:color="auto"/>
        <w:right w:val="none" w:sz="0" w:space="0" w:color="auto"/>
      </w:divBdr>
    </w:div>
    <w:div w:id="1043990870">
      <w:bodyDiv w:val="1"/>
      <w:marLeft w:val="0"/>
      <w:marRight w:val="0"/>
      <w:marTop w:val="0"/>
      <w:marBottom w:val="0"/>
      <w:divBdr>
        <w:top w:val="none" w:sz="0" w:space="0" w:color="auto"/>
        <w:left w:val="none" w:sz="0" w:space="0" w:color="auto"/>
        <w:bottom w:val="none" w:sz="0" w:space="0" w:color="auto"/>
        <w:right w:val="none" w:sz="0" w:space="0" w:color="auto"/>
      </w:divBdr>
    </w:div>
    <w:div w:id="1044989590">
      <w:bodyDiv w:val="1"/>
      <w:marLeft w:val="0"/>
      <w:marRight w:val="0"/>
      <w:marTop w:val="0"/>
      <w:marBottom w:val="0"/>
      <w:divBdr>
        <w:top w:val="none" w:sz="0" w:space="0" w:color="auto"/>
        <w:left w:val="none" w:sz="0" w:space="0" w:color="auto"/>
        <w:bottom w:val="none" w:sz="0" w:space="0" w:color="auto"/>
        <w:right w:val="none" w:sz="0" w:space="0" w:color="auto"/>
      </w:divBdr>
    </w:div>
    <w:div w:id="1045065146">
      <w:bodyDiv w:val="1"/>
      <w:marLeft w:val="0"/>
      <w:marRight w:val="0"/>
      <w:marTop w:val="0"/>
      <w:marBottom w:val="0"/>
      <w:divBdr>
        <w:top w:val="none" w:sz="0" w:space="0" w:color="auto"/>
        <w:left w:val="none" w:sz="0" w:space="0" w:color="auto"/>
        <w:bottom w:val="none" w:sz="0" w:space="0" w:color="auto"/>
        <w:right w:val="none" w:sz="0" w:space="0" w:color="auto"/>
      </w:divBdr>
    </w:div>
    <w:div w:id="1045104029">
      <w:bodyDiv w:val="1"/>
      <w:marLeft w:val="0"/>
      <w:marRight w:val="0"/>
      <w:marTop w:val="0"/>
      <w:marBottom w:val="0"/>
      <w:divBdr>
        <w:top w:val="none" w:sz="0" w:space="0" w:color="auto"/>
        <w:left w:val="none" w:sz="0" w:space="0" w:color="auto"/>
        <w:bottom w:val="none" w:sz="0" w:space="0" w:color="auto"/>
        <w:right w:val="none" w:sz="0" w:space="0" w:color="auto"/>
      </w:divBdr>
    </w:div>
    <w:div w:id="1045443490">
      <w:bodyDiv w:val="1"/>
      <w:marLeft w:val="0"/>
      <w:marRight w:val="0"/>
      <w:marTop w:val="0"/>
      <w:marBottom w:val="0"/>
      <w:divBdr>
        <w:top w:val="none" w:sz="0" w:space="0" w:color="auto"/>
        <w:left w:val="none" w:sz="0" w:space="0" w:color="auto"/>
        <w:bottom w:val="none" w:sz="0" w:space="0" w:color="auto"/>
        <w:right w:val="none" w:sz="0" w:space="0" w:color="auto"/>
      </w:divBdr>
    </w:div>
    <w:div w:id="1045451341">
      <w:bodyDiv w:val="1"/>
      <w:marLeft w:val="0"/>
      <w:marRight w:val="0"/>
      <w:marTop w:val="0"/>
      <w:marBottom w:val="0"/>
      <w:divBdr>
        <w:top w:val="none" w:sz="0" w:space="0" w:color="auto"/>
        <w:left w:val="none" w:sz="0" w:space="0" w:color="auto"/>
        <w:bottom w:val="none" w:sz="0" w:space="0" w:color="auto"/>
        <w:right w:val="none" w:sz="0" w:space="0" w:color="auto"/>
      </w:divBdr>
    </w:div>
    <w:div w:id="1046180433">
      <w:bodyDiv w:val="1"/>
      <w:marLeft w:val="0"/>
      <w:marRight w:val="0"/>
      <w:marTop w:val="0"/>
      <w:marBottom w:val="0"/>
      <w:divBdr>
        <w:top w:val="none" w:sz="0" w:space="0" w:color="auto"/>
        <w:left w:val="none" w:sz="0" w:space="0" w:color="auto"/>
        <w:bottom w:val="none" w:sz="0" w:space="0" w:color="auto"/>
        <w:right w:val="none" w:sz="0" w:space="0" w:color="auto"/>
      </w:divBdr>
    </w:div>
    <w:div w:id="1046300869">
      <w:bodyDiv w:val="1"/>
      <w:marLeft w:val="0"/>
      <w:marRight w:val="0"/>
      <w:marTop w:val="0"/>
      <w:marBottom w:val="0"/>
      <w:divBdr>
        <w:top w:val="none" w:sz="0" w:space="0" w:color="auto"/>
        <w:left w:val="none" w:sz="0" w:space="0" w:color="auto"/>
        <w:bottom w:val="none" w:sz="0" w:space="0" w:color="auto"/>
        <w:right w:val="none" w:sz="0" w:space="0" w:color="auto"/>
      </w:divBdr>
    </w:div>
    <w:div w:id="1046370162">
      <w:bodyDiv w:val="1"/>
      <w:marLeft w:val="0"/>
      <w:marRight w:val="0"/>
      <w:marTop w:val="0"/>
      <w:marBottom w:val="0"/>
      <w:divBdr>
        <w:top w:val="none" w:sz="0" w:space="0" w:color="auto"/>
        <w:left w:val="none" w:sz="0" w:space="0" w:color="auto"/>
        <w:bottom w:val="none" w:sz="0" w:space="0" w:color="auto"/>
        <w:right w:val="none" w:sz="0" w:space="0" w:color="auto"/>
      </w:divBdr>
    </w:div>
    <w:div w:id="1046370711">
      <w:bodyDiv w:val="1"/>
      <w:marLeft w:val="0"/>
      <w:marRight w:val="0"/>
      <w:marTop w:val="0"/>
      <w:marBottom w:val="0"/>
      <w:divBdr>
        <w:top w:val="none" w:sz="0" w:space="0" w:color="auto"/>
        <w:left w:val="none" w:sz="0" w:space="0" w:color="auto"/>
        <w:bottom w:val="none" w:sz="0" w:space="0" w:color="auto"/>
        <w:right w:val="none" w:sz="0" w:space="0" w:color="auto"/>
      </w:divBdr>
    </w:div>
    <w:div w:id="1046880121">
      <w:bodyDiv w:val="1"/>
      <w:marLeft w:val="0"/>
      <w:marRight w:val="0"/>
      <w:marTop w:val="0"/>
      <w:marBottom w:val="0"/>
      <w:divBdr>
        <w:top w:val="none" w:sz="0" w:space="0" w:color="auto"/>
        <w:left w:val="none" w:sz="0" w:space="0" w:color="auto"/>
        <w:bottom w:val="none" w:sz="0" w:space="0" w:color="auto"/>
        <w:right w:val="none" w:sz="0" w:space="0" w:color="auto"/>
      </w:divBdr>
    </w:div>
    <w:div w:id="1047025430">
      <w:bodyDiv w:val="1"/>
      <w:marLeft w:val="0"/>
      <w:marRight w:val="0"/>
      <w:marTop w:val="0"/>
      <w:marBottom w:val="0"/>
      <w:divBdr>
        <w:top w:val="none" w:sz="0" w:space="0" w:color="auto"/>
        <w:left w:val="none" w:sz="0" w:space="0" w:color="auto"/>
        <w:bottom w:val="none" w:sz="0" w:space="0" w:color="auto"/>
        <w:right w:val="none" w:sz="0" w:space="0" w:color="auto"/>
      </w:divBdr>
    </w:div>
    <w:div w:id="1047221689">
      <w:bodyDiv w:val="1"/>
      <w:marLeft w:val="0"/>
      <w:marRight w:val="0"/>
      <w:marTop w:val="0"/>
      <w:marBottom w:val="0"/>
      <w:divBdr>
        <w:top w:val="none" w:sz="0" w:space="0" w:color="auto"/>
        <w:left w:val="none" w:sz="0" w:space="0" w:color="auto"/>
        <w:bottom w:val="none" w:sz="0" w:space="0" w:color="auto"/>
        <w:right w:val="none" w:sz="0" w:space="0" w:color="auto"/>
      </w:divBdr>
    </w:div>
    <w:div w:id="1048653475">
      <w:bodyDiv w:val="1"/>
      <w:marLeft w:val="0"/>
      <w:marRight w:val="0"/>
      <w:marTop w:val="0"/>
      <w:marBottom w:val="0"/>
      <w:divBdr>
        <w:top w:val="none" w:sz="0" w:space="0" w:color="auto"/>
        <w:left w:val="none" w:sz="0" w:space="0" w:color="auto"/>
        <w:bottom w:val="none" w:sz="0" w:space="0" w:color="auto"/>
        <w:right w:val="none" w:sz="0" w:space="0" w:color="auto"/>
      </w:divBdr>
    </w:div>
    <w:div w:id="1049036297">
      <w:bodyDiv w:val="1"/>
      <w:marLeft w:val="0"/>
      <w:marRight w:val="0"/>
      <w:marTop w:val="0"/>
      <w:marBottom w:val="0"/>
      <w:divBdr>
        <w:top w:val="none" w:sz="0" w:space="0" w:color="auto"/>
        <w:left w:val="none" w:sz="0" w:space="0" w:color="auto"/>
        <w:bottom w:val="none" w:sz="0" w:space="0" w:color="auto"/>
        <w:right w:val="none" w:sz="0" w:space="0" w:color="auto"/>
      </w:divBdr>
    </w:div>
    <w:div w:id="1049112722">
      <w:bodyDiv w:val="1"/>
      <w:marLeft w:val="0"/>
      <w:marRight w:val="0"/>
      <w:marTop w:val="0"/>
      <w:marBottom w:val="0"/>
      <w:divBdr>
        <w:top w:val="none" w:sz="0" w:space="0" w:color="auto"/>
        <w:left w:val="none" w:sz="0" w:space="0" w:color="auto"/>
        <w:bottom w:val="none" w:sz="0" w:space="0" w:color="auto"/>
        <w:right w:val="none" w:sz="0" w:space="0" w:color="auto"/>
      </w:divBdr>
    </w:div>
    <w:div w:id="1049258208">
      <w:bodyDiv w:val="1"/>
      <w:marLeft w:val="0"/>
      <w:marRight w:val="0"/>
      <w:marTop w:val="0"/>
      <w:marBottom w:val="0"/>
      <w:divBdr>
        <w:top w:val="none" w:sz="0" w:space="0" w:color="auto"/>
        <w:left w:val="none" w:sz="0" w:space="0" w:color="auto"/>
        <w:bottom w:val="none" w:sz="0" w:space="0" w:color="auto"/>
        <w:right w:val="none" w:sz="0" w:space="0" w:color="auto"/>
      </w:divBdr>
    </w:div>
    <w:div w:id="1049496245">
      <w:bodyDiv w:val="1"/>
      <w:marLeft w:val="0"/>
      <w:marRight w:val="0"/>
      <w:marTop w:val="0"/>
      <w:marBottom w:val="0"/>
      <w:divBdr>
        <w:top w:val="none" w:sz="0" w:space="0" w:color="auto"/>
        <w:left w:val="none" w:sz="0" w:space="0" w:color="auto"/>
        <w:bottom w:val="none" w:sz="0" w:space="0" w:color="auto"/>
        <w:right w:val="none" w:sz="0" w:space="0" w:color="auto"/>
      </w:divBdr>
    </w:div>
    <w:div w:id="1049955628">
      <w:bodyDiv w:val="1"/>
      <w:marLeft w:val="0"/>
      <w:marRight w:val="0"/>
      <w:marTop w:val="0"/>
      <w:marBottom w:val="0"/>
      <w:divBdr>
        <w:top w:val="none" w:sz="0" w:space="0" w:color="auto"/>
        <w:left w:val="none" w:sz="0" w:space="0" w:color="auto"/>
        <w:bottom w:val="none" w:sz="0" w:space="0" w:color="auto"/>
        <w:right w:val="none" w:sz="0" w:space="0" w:color="auto"/>
      </w:divBdr>
    </w:div>
    <w:div w:id="1050303386">
      <w:bodyDiv w:val="1"/>
      <w:marLeft w:val="0"/>
      <w:marRight w:val="0"/>
      <w:marTop w:val="0"/>
      <w:marBottom w:val="0"/>
      <w:divBdr>
        <w:top w:val="none" w:sz="0" w:space="0" w:color="auto"/>
        <w:left w:val="none" w:sz="0" w:space="0" w:color="auto"/>
        <w:bottom w:val="none" w:sz="0" w:space="0" w:color="auto"/>
        <w:right w:val="none" w:sz="0" w:space="0" w:color="auto"/>
      </w:divBdr>
    </w:div>
    <w:div w:id="1050574390">
      <w:bodyDiv w:val="1"/>
      <w:marLeft w:val="0"/>
      <w:marRight w:val="0"/>
      <w:marTop w:val="0"/>
      <w:marBottom w:val="0"/>
      <w:divBdr>
        <w:top w:val="none" w:sz="0" w:space="0" w:color="auto"/>
        <w:left w:val="none" w:sz="0" w:space="0" w:color="auto"/>
        <w:bottom w:val="none" w:sz="0" w:space="0" w:color="auto"/>
        <w:right w:val="none" w:sz="0" w:space="0" w:color="auto"/>
      </w:divBdr>
    </w:div>
    <w:div w:id="1050955417">
      <w:bodyDiv w:val="1"/>
      <w:marLeft w:val="0"/>
      <w:marRight w:val="0"/>
      <w:marTop w:val="0"/>
      <w:marBottom w:val="0"/>
      <w:divBdr>
        <w:top w:val="none" w:sz="0" w:space="0" w:color="auto"/>
        <w:left w:val="none" w:sz="0" w:space="0" w:color="auto"/>
        <w:bottom w:val="none" w:sz="0" w:space="0" w:color="auto"/>
        <w:right w:val="none" w:sz="0" w:space="0" w:color="auto"/>
      </w:divBdr>
    </w:div>
    <w:div w:id="1050960387">
      <w:bodyDiv w:val="1"/>
      <w:marLeft w:val="0"/>
      <w:marRight w:val="0"/>
      <w:marTop w:val="0"/>
      <w:marBottom w:val="0"/>
      <w:divBdr>
        <w:top w:val="none" w:sz="0" w:space="0" w:color="auto"/>
        <w:left w:val="none" w:sz="0" w:space="0" w:color="auto"/>
        <w:bottom w:val="none" w:sz="0" w:space="0" w:color="auto"/>
        <w:right w:val="none" w:sz="0" w:space="0" w:color="auto"/>
      </w:divBdr>
    </w:div>
    <w:div w:id="1051341416">
      <w:bodyDiv w:val="1"/>
      <w:marLeft w:val="0"/>
      <w:marRight w:val="0"/>
      <w:marTop w:val="0"/>
      <w:marBottom w:val="0"/>
      <w:divBdr>
        <w:top w:val="none" w:sz="0" w:space="0" w:color="auto"/>
        <w:left w:val="none" w:sz="0" w:space="0" w:color="auto"/>
        <w:bottom w:val="none" w:sz="0" w:space="0" w:color="auto"/>
        <w:right w:val="none" w:sz="0" w:space="0" w:color="auto"/>
      </w:divBdr>
    </w:div>
    <w:div w:id="1051542300">
      <w:bodyDiv w:val="1"/>
      <w:marLeft w:val="0"/>
      <w:marRight w:val="0"/>
      <w:marTop w:val="0"/>
      <w:marBottom w:val="0"/>
      <w:divBdr>
        <w:top w:val="none" w:sz="0" w:space="0" w:color="auto"/>
        <w:left w:val="none" w:sz="0" w:space="0" w:color="auto"/>
        <w:bottom w:val="none" w:sz="0" w:space="0" w:color="auto"/>
        <w:right w:val="none" w:sz="0" w:space="0" w:color="auto"/>
      </w:divBdr>
    </w:div>
    <w:div w:id="1052120790">
      <w:bodyDiv w:val="1"/>
      <w:marLeft w:val="0"/>
      <w:marRight w:val="0"/>
      <w:marTop w:val="0"/>
      <w:marBottom w:val="0"/>
      <w:divBdr>
        <w:top w:val="none" w:sz="0" w:space="0" w:color="auto"/>
        <w:left w:val="none" w:sz="0" w:space="0" w:color="auto"/>
        <w:bottom w:val="none" w:sz="0" w:space="0" w:color="auto"/>
        <w:right w:val="none" w:sz="0" w:space="0" w:color="auto"/>
      </w:divBdr>
    </w:div>
    <w:div w:id="1052196279">
      <w:bodyDiv w:val="1"/>
      <w:marLeft w:val="0"/>
      <w:marRight w:val="0"/>
      <w:marTop w:val="0"/>
      <w:marBottom w:val="0"/>
      <w:divBdr>
        <w:top w:val="none" w:sz="0" w:space="0" w:color="auto"/>
        <w:left w:val="none" w:sz="0" w:space="0" w:color="auto"/>
        <w:bottom w:val="none" w:sz="0" w:space="0" w:color="auto"/>
        <w:right w:val="none" w:sz="0" w:space="0" w:color="auto"/>
      </w:divBdr>
    </w:div>
    <w:div w:id="1052197370">
      <w:bodyDiv w:val="1"/>
      <w:marLeft w:val="0"/>
      <w:marRight w:val="0"/>
      <w:marTop w:val="0"/>
      <w:marBottom w:val="0"/>
      <w:divBdr>
        <w:top w:val="none" w:sz="0" w:space="0" w:color="auto"/>
        <w:left w:val="none" w:sz="0" w:space="0" w:color="auto"/>
        <w:bottom w:val="none" w:sz="0" w:space="0" w:color="auto"/>
        <w:right w:val="none" w:sz="0" w:space="0" w:color="auto"/>
      </w:divBdr>
    </w:div>
    <w:div w:id="1052266648">
      <w:bodyDiv w:val="1"/>
      <w:marLeft w:val="0"/>
      <w:marRight w:val="0"/>
      <w:marTop w:val="0"/>
      <w:marBottom w:val="0"/>
      <w:divBdr>
        <w:top w:val="none" w:sz="0" w:space="0" w:color="auto"/>
        <w:left w:val="none" w:sz="0" w:space="0" w:color="auto"/>
        <w:bottom w:val="none" w:sz="0" w:space="0" w:color="auto"/>
        <w:right w:val="none" w:sz="0" w:space="0" w:color="auto"/>
      </w:divBdr>
    </w:div>
    <w:div w:id="1052269168">
      <w:bodyDiv w:val="1"/>
      <w:marLeft w:val="0"/>
      <w:marRight w:val="0"/>
      <w:marTop w:val="0"/>
      <w:marBottom w:val="0"/>
      <w:divBdr>
        <w:top w:val="none" w:sz="0" w:space="0" w:color="auto"/>
        <w:left w:val="none" w:sz="0" w:space="0" w:color="auto"/>
        <w:bottom w:val="none" w:sz="0" w:space="0" w:color="auto"/>
        <w:right w:val="none" w:sz="0" w:space="0" w:color="auto"/>
      </w:divBdr>
    </w:div>
    <w:div w:id="1052342741">
      <w:bodyDiv w:val="1"/>
      <w:marLeft w:val="0"/>
      <w:marRight w:val="0"/>
      <w:marTop w:val="0"/>
      <w:marBottom w:val="0"/>
      <w:divBdr>
        <w:top w:val="none" w:sz="0" w:space="0" w:color="auto"/>
        <w:left w:val="none" w:sz="0" w:space="0" w:color="auto"/>
        <w:bottom w:val="none" w:sz="0" w:space="0" w:color="auto"/>
        <w:right w:val="none" w:sz="0" w:space="0" w:color="auto"/>
      </w:divBdr>
    </w:div>
    <w:div w:id="1052576427">
      <w:bodyDiv w:val="1"/>
      <w:marLeft w:val="0"/>
      <w:marRight w:val="0"/>
      <w:marTop w:val="0"/>
      <w:marBottom w:val="0"/>
      <w:divBdr>
        <w:top w:val="none" w:sz="0" w:space="0" w:color="auto"/>
        <w:left w:val="none" w:sz="0" w:space="0" w:color="auto"/>
        <w:bottom w:val="none" w:sz="0" w:space="0" w:color="auto"/>
        <w:right w:val="none" w:sz="0" w:space="0" w:color="auto"/>
      </w:divBdr>
    </w:div>
    <w:div w:id="1052849437">
      <w:bodyDiv w:val="1"/>
      <w:marLeft w:val="0"/>
      <w:marRight w:val="0"/>
      <w:marTop w:val="0"/>
      <w:marBottom w:val="0"/>
      <w:divBdr>
        <w:top w:val="none" w:sz="0" w:space="0" w:color="auto"/>
        <w:left w:val="none" w:sz="0" w:space="0" w:color="auto"/>
        <w:bottom w:val="none" w:sz="0" w:space="0" w:color="auto"/>
        <w:right w:val="none" w:sz="0" w:space="0" w:color="auto"/>
      </w:divBdr>
    </w:div>
    <w:div w:id="1053428153">
      <w:bodyDiv w:val="1"/>
      <w:marLeft w:val="0"/>
      <w:marRight w:val="0"/>
      <w:marTop w:val="0"/>
      <w:marBottom w:val="0"/>
      <w:divBdr>
        <w:top w:val="none" w:sz="0" w:space="0" w:color="auto"/>
        <w:left w:val="none" w:sz="0" w:space="0" w:color="auto"/>
        <w:bottom w:val="none" w:sz="0" w:space="0" w:color="auto"/>
        <w:right w:val="none" w:sz="0" w:space="0" w:color="auto"/>
      </w:divBdr>
    </w:div>
    <w:div w:id="1053579623">
      <w:bodyDiv w:val="1"/>
      <w:marLeft w:val="0"/>
      <w:marRight w:val="0"/>
      <w:marTop w:val="0"/>
      <w:marBottom w:val="0"/>
      <w:divBdr>
        <w:top w:val="none" w:sz="0" w:space="0" w:color="auto"/>
        <w:left w:val="none" w:sz="0" w:space="0" w:color="auto"/>
        <w:bottom w:val="none" w:sz="0" w:space="0" w:color="auto"/>
        <w:right w:val="none" w:sz="0" w:space="0" w:color="auto"/>
      </w:divBdr>
    </w:div>
    <w:div w:id="1053966685">
      <w:bodyDiv w:val="1"/>
      <w:marLeft w:val="0"/>
      <w:marRight w:val="0"/>
      <w:marTop w:val="0"/>
      <w:marBottom w:val="0"/>
      <w:divBdr>
        <w:top w:val="none" w:sz="0" w:space="0" w:color="auto"/>
        <w:left w:val="none" w:sz="0" w:space="0" w:color="auto"/>
        <w:bottom w:val="none" w:sz="0" w:space="0" w:color="auto"/>
        <w:right w:val="none" w:sz="0" w:space="0" w:color="auto"/>
      </w:divBdr>
    </w:div>
    <w:div w:id="1055350364">
      <w:bodyDiv w:val="1"/>
      <w:marLeft w:val="0"/>
      <w:marRight w:val="0"/>
      <w:marTop w:val="0"/>
      <w:marBottom w:val="0"/>
      <w:divBdr>
        <w:top w:val="none" w:sz="0" w:space="0" w:color="auto"/>
        <w:left w:val="none" w:sz="0" w:space="0" w:color="auto"/>
        <w:bottom w:val="none" w:sz="0" w:space="0" w:color="auto"/>
        <w:right w:val="none" w:sz="0" w:space="0" w:color="auto"/>
      </w:divBdr>
    </w:div>
    <w:div w:id="1055661237">
      <w:bodyDiv w:val="1"/>
      <w:marLeft w:val="0"/>
      <w:marRight w:val="0"/>
      <w:marTop w:val="0"/>
      <w:marBottom w:val="0"/>
      <w:divBdr>
        <w:top w:val="none" w:sz="0" w:space="0" w:color="auto"/>
        <w:left w:val="none" w:sz="0" w:space="0" w:color="auto"/>
        <w:bottom w:val="none" w:sz="0" w:space="0" w:color="auto"/>
        <w:right w:val="none" w:sz="0" w:space="0" w:color="auto"/>
      </w:divBdr>
    </w:div>
    <w:div w:id="1055737492">
      <w:bodyDiv w:val="1"/>
      <w:marLeft w:val="0"/>
      <w:marRight w:val="0"/>
      <w:marTop w:val="0"/>
      <w:marBottom w:val="0"/>
      <w:divBdr>
        <w:top w:val="none" w:sz="0" w:space="0" w:color="auto"/>
        <w:left w:val="none" w:sz="0" w:space="0" w:color="auto"/>
        <w:bottom w:val="none" w:sz="0" w:space="0" w:color="auto"/>
        <w:right w:val="none" w:sz="0" w:space="0" w:color="auto"/>
      </w:divBdr>
    </w:div>
    <w:div w:id="1056321800">
      <w:bodyDiv w:val="1"/>
      <w:marLeft w:val="0"/>
      <w:marRight w:val="0"/>
      <w:marTop w:val="0"/>
      <w:marBottom w:val="0"/>
      <w:divBdr>
        <w:top w:val="none" w:sz="0" w:space="0" w:color="auto"/>
        <w:left w:val="none" w:sz="0" w:space="0" w:color="auto"/>
        <w:bottom w:val="none" w:sz="0" w:space="0" w:color="auto"/>
        <w:right w:val="none" w:sz="0" w:space="0" w:color="auto"/>
      </w:divBdr>
    </w:div>
    <w:div w:id="1057315372">
      <w:bodyDiv w:val="1"/>
      <w:marLeft w:val="0"/>
      <w:marRight w:val="0"/>
      <w:marTop w:val="0"/>
      <w:marBottom w:val="0"/>
      <w:divBdr>
        <w:top w:val="none" w:sz="0" w:space="0" w:color="auto"/>
        <w:left w:val="none" w:sz="0" w:space="0" w:color="auto"/>
        <w:bottom w:val="none" w:sz="0" w:space="0" w:color="auto"/>
        <w:right w:val="none" w:sz="0" w:space="0" w:color="auto"/>
      </w:divBdr>
    </w:div>
    <w:div w:id="1058282850">
      <w:bodyDiv w:val="1"/>
      <w:marLeft w:val="0"/>
      <w:marRight w:val="0"/>
      <w:marTop w:val="0"/>
      <w:marBottom w:val="0"/>
      <w:divBdr>
        <w:top w:val="none" w:sz="0" w:space="0" w:color="auto"/>
        <w:left w:val="none" w:sz="0" w:space="0" w:color="auto"/>
        <w:bottom w:val="none" w:sz="0" w:space="0" w:color="auto"/>
        <w:right w:val="none" w:sz="0" w:space="0" w:color="auto"/>
      </w:divBdr>
    </w:div>
    <w:div w:id="1060708814">
      <w:bodyDiv w:val="1"/>
      <w:marLeft w:val="0"/>
      <w:marRight w:val="0"/>
      <w:marTop w:val="0"/>
      <w:marBottom w:val="0"/>
      <w:divBdr>
        <w:top w:val="none" w:sz="0" w:space="0" w:color="auto"/>
        <w:left w:val="none" w:sz="0" w:space="0" w:color="auto"/>
        <w:bottom w:val="none" w:sz="0" w:space="0" w:color="auto"/>
        <w:right w:val="none" w:sz="0" w:space="0" w:color="auto"/>
      </w:divBdr>
    </w:div>
    <w:div w:id="1061444994">
      <w:bodyDiv w:val="1"/>
      <w:marLeft w:val="0"/>
      <w:marRight w:val="0"/>
      <w:marTop w:val="0"/>
      <w:marBottom w:val="0"/>
      <w:divBdr>
        <w:top w:val="none" w:sz="0" w:space="0" w:color="auto"/>
        <w:left w:val="none" w:sz="0" w:space="0" w:color="auto"/>
        <w:bottom w:val="none" w:sz="0" w:space="0" w:color="auto"/>
        <w:right w:val="none" w:sz="0" w:space="0" w:color="auto"/>
      </w:divBdr>
    </w:div>
    <w:div w:id="1061636376">
      <w:bodyDiv w:val="1"/>
      <w:marLeft w:val="0"/>
      <w:marRight w:val="0"/>
      <w:marTop w:val="0"/>
      <w:marBottom w:val="0"/>
      <w:divBdr>
        <w:top w:val="none" w:sz="0" w:space="0" w:color="auto"/>
        <w:left w:val="none" w:sz="0" w:space="0" w:color="auto"/>
        <w:bottom w:val="none" w:sz="0" w:space="0" w:color="auto"/>
        <w:right w:val="none" w:sz="0" w:space="0" w:color="auto"/>
      </w:divBdr>
    </w:div>
    <w:div w:id="1061751913">
      <w:bodyDiv w:val="1"/>
      <w:marLeft w:val="0"/>
      <w:marRight w:val="0"/>
      <w:marTop w:val="0"/>
      <w:marBottom w:val="0"/>
      <w:divBdr>
        <w:top w:val="none" w:sz="0" w:space="0" w:color="auto"/>
        <w:left w:val="none" w:sz="0" w:space="0" w:color="auto"/>
        <w:bottom w:val="none" w:sz="0" w:space="0" w:color="auto"/>
        <w:right w:val="none" w:sz="0" w:space="0" w:color="auto"/>
      </w:divBdr>
    </w:div>
    <w:div w:id="1062094669">
      <w:bodyDiv w:val="1"/>
      <w:marLeft w:val="0"/>
      <w:marRight w:val="0"/>
      <w:marTop w:val="0"/>
      <w:marBottom w:val="0"/>
      <w:divBdr>
        <w:top w:val="none" w:sz="0" w:space="0" w:color="auto"/>
        <w:left w:val="none" w:sz="0" w:space="0" w:color="auto"/>
        <w:bottom w:val="none" w:sz="0" w:space="0" w:color="auto"/>
        <w:right w:val="none" w:sz="0" w:space="0" w:color="auto"/>
      </w:divBdr>
    </w:div>
    <w:div w:id="1063066622">
      <w:bodyDiv w:val="1"/>
      <w:marLeft w:val="0"/>
      <w:marRight w:val="0"/>
      <w:marTop w:val="0"/>
      <w:marBottom w:val="0"/>
      <w:divBdr>
        <w:top w:val="none" w:sz="0" w:space="0" w:color="auto"/>
        <w:left w:val="none" w:sz="0" w:space="0" w:color="auto"/>
        <w:bottom w:val="none" w:sz="0" w:space="0" w:color="auto"/>
        <w:right w:val="none" w:sz="0" w:space="0" w:color="auto"/>
      </w:divBdr>
    </w:div>
    <w:div w:id="1063408542">
      <w:bodyDiv w:val="1"/>
      <w:marLeft w:val="0"/>
      <w:marRight w:val="0"/>
      <w:marTop w:val="0"/>
      <w:marBottom w:val="0"/>
      <w:divBdr>
        <w:top w:val="none" w:sz="0" w:space="0" w:color="auto"/>
        <w:left w:val="none" w:sz="0" w:space="0" w:color="auto"/>
        <w:bottom w:val="none" w:sz="0" w:space="0" w:color="auto"/>
        <w:right w:val="none" w:sz="0" w:space="0" w:color="auto"/>
      </w:divBdr>
    </w:div>
    <w:div w:id="1063722072">
      <w:bodyDiv w:val="1"/>
      <w:marLeft w:val="0"/>
      <w:marRight w:val="0"/>
      <w:marTop w:val="0"/>
      <w:marBottom w:val="0"/>
      <w:divBdr>
        <w:top w:val="none" w:sz="0" w:space="0" w:color="auto"/>
        <w:left w:val="none" w:sz="0" w:space="0" w:color="auto"/>
        <w:bottom w:val="none" w:sz="0" w:space="0" w:color="auto"/>
        <w:right w:val="none" w:sz="0" w:space="0" w:color="auto"/>
      </w:divBdr>
    </w:div>
    <w:div w:id="1064137502">
      <w:bodyDiv w:val="1"/>
      <w:marLeft w:val="0"/>
      <w:marRight w:val="0"/>
      <w:marTop w:val="0"/>
      <w:marBottom w:val="0"/>
      <w:divBdr>
        <w:top w:val="none" w:sz="0" w:space="0" w:color="auto"/>
        <w:left w:val="none" w:sz="0" w:space="0" w:color="auto"/>
        <w:bottom w:val="none" w:sz="0" w:space="0" w:color="auto"/>
        <w:right w:val="none" w:sz="0" w:space="0" w:color="auto"/>
      </w:divBdr>
    </w:div>
    <w:div w:id="1064260536">
      <w:bodyDiv w:val="1"/>
      <w:marLeft w:val="0"/>
      <w:marRight w:val="0"/>
      <w:marTop w:val="0"/>
      <w:marBottom w:val="0"/>
      <w:divBdr>
        <w:top w:val="none" w:sz="0" w:space="0" w:color="auto"/>
        <w:left w:val="none" w:sz="0" w:space="0" w:color="auto"/>
        <w:bottom w:val="none" w:sz="0" w:space="0" w:color="auto"/>
        <w:right w:val="none" w:sz="0" w:space="0" w:color="auto"/>
      </w:divBdr>
    </w:div>
    <w:div w:id="1064640024">
      <w:bodyDiv w:val="1"/>
      <w:marLeft w:val="0"/>
      <w:marRight w:val="0"/>
      <w:marTop w:val="0"/>
      <w:marBottom w:val="0"/>
      <w:divBdr>
        <w:top w:val="none" w:sz="0" w:space="0" w:color="auto"/>
        <w:left w:val="none" w:sz="0" w:space="0" w:color="auto"/>
        <w:bottom w:val="none" w:sz="0" w:space="0" w:color="auto"/>
        <w:right w:val="none" w:sz="0" w:space="0" w:color="auto"/>
      </w:divBdr>
    </w:div>
    <w:div w:id="1064765045">
      <w:bodyDiv w:val="1"/>
      <w:marLeft w:val="0"/>
      <w:marRight w:val="0"/>
      <w:marTop w:val="0"/>
      <w:marBottom w:val="0"/>
      <w:divBdr>
        <w:top w:val="none" w:sz="0" w:space="0" w:color="auto"/>
        <w:left w:val="none" w:sz="0" w:space="0" w:color="auto"/>
        <w:bottom w:val="none" w:sz="0" w:space="0" w:color="auto"/>
        <w:right w:val="none" w:sz="0" w:space="0" w:color="auto"/>
      </w:divBdr>
    </w:div>
    <w:div w:id="1066029663">
      <w:bodyDiv w:val="1"/>
      <w:marLeft w:val="0"/>
      <w:marRight w:val="0"/>
      <w:marTop w:val="0"/>
      <w:marBottom w:val="0"/>
      <w:divBdr>
        <w:top w:val="none" w:sz="0" w:space="0" w:color="auto"/>
        <w:left w:val="none" w:sz="0" w:space="0" w:color="auto"/>
        <w:bottom w:val="none" w:sz="0" w:space="0" w:color="auto"/>
        <w:right w:val="none" w:sz="0" w:space="0" w:color="auto"/>
      </w:divBdr>
    </w:div>
    <w:div w:id="1066420933">
      <w:bodyDiv w:val="1"/>
      <w:marLeft w:val="0"/>
      <w:marRight w:val="0"/>
      <w:marTop w:val="0"/>
      <w:marBottom w:val="0"/>
      <w:divBdr>
        <w:top w:val="none" w:sz="0" w:space="0" w:color="auto"/>
        <w:left w:val="none" w:sz="0" w:space="0" w:color="auto"/>
        <w:bottom w:val="none" w:sz="0" w:space="0" w:color="auto"/>
        <w:right w:val="none" w:sz="0" w:space="0" w:color="auto"/>
      </w:divBdr>
    </w:div>
    <w:div w:id="1066949769">
      <w:bodyDiv w:val="1"/>
      <w:marLeft w:val="0"/>
      <w:marRight w:val="0"/>
      <w:marTop w:val="0"/>
      <w:marBottom w:val="0"/>
      <w:divBdr>
        <w:top w:val="none" w:sz="0" w:space="0" w:color="auto"/>
        <w:left w:val="none" w:sz="0" w:space="0" w:color="auto"/>
        <w:bottom w:val="none" w:sz="0" w:space="0" w:color="auto"/>
        <w:right w:val="none" w:sz="0" w:space="0" w:color="auto"/>
      </w:divBdr>
    </w:div>
    <w:div w:id="1067189555">
      <w:bodyDiv w:val="1"/>
      <w:marLeft w:val="0"/>
      <w:marRight w:val="0"/>
      <w:marTop w:val="0"/>
      <w:marBottom w:val="0"/>
      <w:divBdr>
        <w:top w:val="none" w:sz="0" w:space="0" w:color="auto"/>
        <w:left w:val="none" w:sz="0" w:space="0" w:color="auto"/>
        <w:bottom w:val="none" w:sz="0" w:space="0" w:color="auto"/>
        <w:right w:val="none" w:sz="0" w:space="0" w:color="auto"/>
      </w:divBdr>
    </w:div>
    <w:div w:id="1067264592">
      <w:bodyDiv w:val="1"/>
      <w:marLeft w:val="0"/>
      <w:marRight w:val="0"/>
      <w:marTop w:val="0"/>
      <w:marBottom w:val="0"/>
      <w:divBdr>
        <w:top w:val="none" w:sz="0" w:space="0" w:color="auto"/>
        <w:left w:val="none" w:sz="0" w:space="0" w:color="auto"/>
        <w:bottom w:val="none" w:sz="0" w:space="0" w:color="auto"/>
        <w:right w:val="none" w:sz="0" w:space="0" w:color="auto"/>
      </w:divBdr>
    </w:div>
    <w:div w:id="1067266425">
      <w:bodyDiv w:val="1"/>
      <w:marLeft w:val="0"/>
      <w:marRight w:val="0"/>
      <w:marTop w:val="0"/>
      <w:marBottom w:val="0"/>
      <w:divBdr>
        <w:top w:val="none" w:sz="0" w:space="0" w:color="auto"/>
        <w:left w:val="none" w:sz="0" w:space="0" w:color="auto"/>
        <w:bottom w:val="none" w:sz="0" w:space="0" w:color="auto"/>
        <w:right w:val="none" w:sz="0" w:space="0" w:color="auto"/>
      </w:divBdr>
    </w:div>
    <w:div w:id="1068305330">
      <w:bodyDiv w:val="1"/>
      <w:marLeft w:val="0"/>
      <w:marRight w:val="0"/>
      <w:marTop w:val="0"/>
      <w:marBottom w:val="0"/>
      <w:divBdr>
        <w:top w:val="none" w:sz="0" w:space="0" w:color="auto"/>
        <w:left w:val="none" w:sz="0" w:space="0" w:color="auto"/>
        <w:bottom w:val="none" w:sz="0" w:space="0" w:color="auto"/>
        <w:right w:val="none" w:sz="0" w:space="0" w:color="auto"/>
      </w:divBdr>
    </w:div>
    <w:div w:id="1068916683">
      <w:bodyDiv w:val="1"/>
      <w:marLeft w:val="0"/>
      <w:marRight w:val="0"/>
      <w:marTop w:val="0"/>
      <w:marBottom w:val="0"/>
      <w:divBdr>
        <w:top w:val="none" w:sz="0" w:space="0" w:color="auto"/>
        <w:left w:val="none" w:sz="0" w:space="0" w:color="auto"/>
        <w:bottom w:val="none" w:sz="0" w:space="0" w:color="auto"/>
        <w:right w:val="none" w:sz="0" w:space="0" w:color="auto"/>
      </w:divBdr>
    </w:div>
    <w:div w:id="1069769002">
      <w:bodyDiv w:val="1"/>
      <w:marLeft w:val="0"/>
      <w:marRight w:val="0"/>
      <w:marTop w:val="0"/>
      <w:marBottom w:val="0"/>
      <w:divBdr>
        <w:top w:val="none" w:sz="0" w:space="0" w:color="auto"/>
        <w:left w:val="none" w:sz="0" w:space="0" w:color="auto"/>
        <w:bottom w:val="none" w:sz="0" w:space="0" w:color="auto"/>
        <w:right w:val="none" w:sz="0" w:space="0" w:color="auto"/>
      </w:divBdr>
    </w:div>
    <w:div w:id="1069810952">
      <w:bodyDiv w:val="1"/>
      <w:marLeft w:val="0"/>
      <w:marRight w:val="0"/>
      <w:marTop w:val="0"/>
      <w:marBottom w:val="0"/>
      <w:divBdr>
        <w:top w:val="none" w:sz="0" w:space="0" w:color="auto"/>
        <w:left w:val="none" w:sz="0" w:space="0" w:color="auto"/>
        <w:bottom w:val="none" w:sz="0" w:space="0" w:color="auto"/>
        <w:right w:val="none" w:sz="0" w:space="0" w:color="auto"/>
      </w:divBdr>
    </w:div>
    <w:div w:id="1070228846">
      <w:bodyDiv w:val="1"/>
      <w:marLeft w:val="0"/>
      <w:marRight w:val="0"/>
      <w:marTop w:val="0"/>
      <w:marBottom w:val="0"/>
      <w:divBdr>
        <w:top w:val="none" w:sz="0" w:space="0" w:color="auto"/>
        <w:left w:val="none" w:sz="0" w:space="0" w:color="auto"/>
        <w:bottom w:val="none" w:sz="0" w:space="0" w:color="auto"/>
        <w:right w:val="none" w:sz="0" w:space="0" w:color="auto"/>
      </w:divBdr>
    </w:div>
    <w:div w:id="1070539228">
      <w:bodyDiv w:val="1"/>
      <w:marLeft w:val="0"/>
      <w:marRight w:val="0"/>
      <w:marTop w:val="0"/>
      <w:marBottom w:val="0"/>
      <w:divBdr>
        <w:top w:val="none" w:sz="0" w:space="0" w:color="auto"/>
        <w:left w:val="none" w:sz="0" w:space="0" w:color="auto"/>
        <w:bottom w:val="none" w:sz="0" w:space="0" w:color="auto"/>
        <w:right w:val="none" w:sz="0" w:space="0" w:color="auto"/>
      </w:divBdr>
    </w:div>
    <w:div w:id="1070928645">
      <w:bodyDiv w:val="1"/>
      <w:marLeft w:val="0"/>
      <w:marRight w:val="0"/>
      <w:marTop w:val="0"/>
      <w:marBottom w:val="0"/>
      <w:divBdr>
        <w:top w:val="none" w:sz="0" w:space="0" w:color="auto"/>
        <w:left w:val="none" w:sz="0" w:space="0" w:color="auto"/>
        <w:bottom w:val="none" w:sz="0" w:space="0" w:color="auto"/>
        <w:right w:val="none" w:sz="0" w:space="0" w:color="auto"/>
      </w:divBdr>
    </w:div>
    <w:div w:id="1071198188">
      <w:bodyDiv w:val="1"/>
      <w:marLeft w:val="0"/>
      <w:marRight w:val="0"/>
      <w:marTop w:val="0"/>
      <w:marBottom w:val="0"/>
      <w:divBdr>
        <w:top w:val="none" w:sz="0" w:space="0" w:color="auto"/>
        <w:left w:val="none" w:sz="0" w:space="0" w:color="auto"/>
        <w:bottom w:val="none" w:sz="0" w:space="0" w:color="auto"/>
        <w:right w:val="none" w:sz="0" w:space="0" w:color="auto"/>
      </w:divBdr>
    </w:div>
    <w:div w:id="1072000612">
      <w:bodyDiv w:val="1"/>
      <w:marLeft w:val="0"/>
      <w:marRight w:val="0"/>
      <w:marTop w:val="0"/>
      <w:marBottom w:val="0"/>
      <w:divBdr>
        <w:top w:val="none" w:sz="0" w:space="0" w:color="auto"/>
        <w:left w:val="none" w:sz="0" w:space="0" w:color="auto"/>
        <w:bottom w:val="none" w:sz="0" w:space="0" w:color="auto"/>
        <w:right w:val="none" w:sz="0" w:space="0" w:color="auto"/>
      </w:divBdr>
    </w:div>
    <w:div w:id="1072509789">
      <w:bodyDiv w:val="1"/>
      <w:marLeft w:val="0"/>
      <w:marRight w:val="0"/>
      <w:marTop w:val="0"/>
      <w:marBottom w:val="0"/>
      <w:divBdr>
        <w:top w:val="none" w:sz="0" w:space="0" w:color="auto"/>
        <w:left w:val="none" w:sz="0" w:space="0" w:color="auto"/>
        <w:bottom w:val="none" w:sz="0" w:space="0" w:color="auto"/>
        <w:right w:val="none" w:sz="0" w:space="0" w:color="auto"/>
      </w:divBdr>
    </w:div>
    <w:div w:id="1073505840">
      <w:bodyDiv w:val="1"/>
      <w:marLeft w:val="0"/>
      <w:marRight w:val="0"/>
      <w:marTop w:val="0"/>
      <w:marBottom w:val="0"/>
      <w:divBdr>
        <w:top w:val="none" w:sz="0" w:space="0" w:color="auto"/>
        <w:left w:val="none" w:sz="0" w:space="0" w:color="auto"/>
        <w:bottom w:val="none" w:sz="0" w:space="0" w:color="auto"/>
        <w:right w:val="none" w:sz="0" w:space="0" w:color="auto"/>
      </w:divBdr>
    </w:div>
    <w:div w:id="1073624357">
      <w:bodyDiv w:val="1"/>
      <w:marLeft w:val="0"/>
      <w:marRight w:val="0"/>
      <w:marTop w:val="0"/>
      <w:marBottom w:val="0"/>
      <w:divBdr>
        <w:top w:val="none" w:sz="0" w:space="0" w:color="auto"/>
        <w:left w:val="none" w:sz="0" w:space="0" w:color="auto"/>
        <w:bottom w:val="none" w:sz="0" w:space="0" w:color="auto"/>
        <w:right w:val="none" w:sz="0" w:space="0" w:color="auto"/>
      </w:divBdr>
    </w:div>
    <w:div w:id="1073627910">
      <w:bodyDiv w:val="1"/>
      <w:marLeft w:val="0"/>
      <w:marRight w:val="0"/>
      <w:marTop w:val="0"/>
      <w:marBottom w:val="0"/>
      <w:divBdr>
        <w:top w:val="none" w:sz="0" w:space="0" w:color="auto"/>
        <w:left w:val="none" w:sz="0" w:space="0" w:color="auto"/>
        <w:bottom w:val="none" w:sz="0" w:space="0" w:color="auto"/>
        <w:right w:val="none" w:sz="0" w:space="0" w:color="auto"/>
      </w:divBdr>
    </w:div>
    <w:div w:id="1074006839">
      <w:bodyDiv w:val="1"/>
      <w:marLeft w:val="0"/>
      <w:marRight w:val="0"/>
      <w:marTop w:val="0"/>
      <w:marBottom w:val="0"/>
      <w:divBdr>
        <w:top w:val="none" w:sz="0" w:space="0" w:color="auto"/>
        <w:left w:val="none" w:sz="0" w:space="0" w:color="auto"/>
        <w:bottom w:val="none" w:sz="0" w:space="0" w:color="auto"/>
        <w:right w:val="none" w:sz="0" w:space="0" w:color="auto"/>
      </w:divBdr>
    </w:div>
    <w:div w:id="1074469769">
      <w:bodyDiv w:val="1"/>
      <w:marLeft w:val="0"/>
      <w:marRight w:val="0"/>
      <w:marTop w:val="0"/>
      <w:marBottom w:val="0"/>
      <w:divBdr>
        <w:top w:val="none" w:sz="0" w:space="0" w:color="auto"/>
        <w:left w:val="none" w:sz="0" w:space="0" w:color="auto"/>
        <w:bottom w:val="none" w:sz="0" w:space="0" w:color="auto"/>
        <w:right w:val="none" w:sz="0" w:space="0" w:color="auto"/>
      </w:divBdr>
    </w:div>
    <w:div w:id="1074669987">
      <w:bodyDiv w:val="1"/>
      <w:marLeft w:val="0"/>
      <w:marRight w:val="0"/>
      <w:marTop w:val="0"/>
      <w:marBottom w:val="0"/>
      <w:divBdr>
        <w:top w:val="none" w:sz="0" w:space="0" w:color="auto"/>
        <w:left w:val="none" w:sz="0" w:space="0" w:color="auto"/>
        <w:bottom w:val="none" w:sz="0" w:space="0" w:color="auto"/>
        <w:right w:val="none" w:sz="0" w:space="0" w:color="auto"/>
      </w:divBdr>
    </w:div>
    <w:div w:id="1074861605">
      <w:bodyDiv w:val="1"/>
      <w:marLeft w:val="0"/>
      <w:marRight w:val="0"/>
      <w:marTop w:val="0"/>
      <w:marBottom w:val="0"/>
      <w:divBdr>
        <w:top w:val="none" w:sz="0" w:space="0" w:color="auto"/>
        <w:left w:val="none" w:sz="0" w:space="0" w:color="auto"/>
        <w:bottom w:val="none" w:sz="0" w:space="0" w:color="auto"/>
        <w:right w:val="none" w:sz="0" w:space="0" w:color="auto"/>
      </w:divBdr>
    </w:div>
    <w:div w:id="1075858774">
      <w:bodyDiv w:val="1"/>
      <w:marLeft w:val="0"/>
      <w:marRight w:val="0"/>
      <w:marTop w:val="0"/>
      <w:marBottom w:val="0"/>
      <w:divBdr>
        <w:top w:val="none" w:sz="0" w:space="0" w:color="auto"/>
        <w:left w:val="none" w:sz="0" w:space="0" w:color="auto"/>
        <w:bottom w:val="none" w:sz="0" w:space="0" w:color="auto"/>
        <w:right w:val="none" w:sz="0" w:space="0" w:color="auto"/>
      </w:divBdr>
    </w:div>
    <w:div w:id="1076170693">
      <w:bodyDiv w:val="1"/>
      <w:marLeft w:val="0"/>
      <w:marRight w:val="0"/>
      <w:marTop w:val="0"/>
      <w:marBottom w:val="0"/>
      <w:divBdr>
        <w:top w:val="none" w:sz="0" w:space="0" w:color="auto"/>
        <w:left w:val="none" w:sz="0" w:space="0" w:color="auto"/>
        <w:bottom w:val="none" w:sz="0" w:space="0" w:color="auto"/>
        <w:right w:val="none" w:sz="0" w:space="0" w:color="auto"/>
      </w:divBdr>
    </w:div>
    <w:div w:id="1077049694">
      <w:bodyDiv w:val="1"/>
      <w:marLeft w:val="0"/>
      <w:marRight w:val="0"/>
      <w:marTop w:val="0"/>
      <w:marBottom w:val="0"/>
      <w:divBdr>
        <w:top w:val="none" w:sz="0" w:space="0" w:color="auto"/>
        <w:left w:val="none" w:sz="0" w:space="0" w:color="auto"/>
        <w:bottom w:val="none" w:sz="0" w:space="0" w:color="auto"/>
        <w:right w:val="none" w:sz="0" w:space="0" w:color="auto"/>
      </w:divBdr>
    </w:div>
    <w:div w:id="1077821172">
      <w:bodyDiv w:val="1"/>
      <w:marLeft w:val="0"/>
      <w:marRight w:val="0"/>
      <w:marTop w:val="0"/>
      <w:marBottom w:val="0"/>
      <w:divBdr>
        <w:top w:val="none" w:sz="0" w:space="0" w:color="auto"/>
        <w:left w:val="none" w:sz="0" w:space="0" w:color="auto"/>
        <w:bottom w:val="none" w:sz="0" w:space="0" w:color="auto"/>
        <w:right w:val="none" w:sz="0" w:space="0" w:color="auto"/>
      </w:divBdr>
    </w:div>
    <w:div w:id="1078088376">
      <w:bodyDiv w:val="1"/>
      <w:marLeft w:val="0"/>
      <w:marRight w:val="0"/>
      <w:marTop w:val="0"/>
      <w:marBottom w:val="0"/>
      <w:divBdr>
        <w:top w:val="none" w:sz="0" w:space="0" w:color="auto"/>
        <w:left w:val="none" w:sz="0" w:space="0" w:color="auto"/>
        <w:bottom w:val="none" w:sz="0" w:space="0" w:color="auto"/>
        <w:right w:val="none" w:sz="0" w:space="0" w:color="auto"/>
      </w:divBdr>
    </w:div>
    <w:div w:id="1078476023">
      <w:bodyDiv w:val="1"/>
      <w:marLeft w:val="0"/>
      <w:marRight w:val="0"/>
      <w:marTop w:val="0"/>
      <w:marBottom w:val="0"/>
      <w:divBdr>
        <w:top w:val="none" w:sz="0" w:space="0" w:color="auto"/>
        <w:left w:val="none" w:sz="0" w:space="0" w:color="auto"/>
        <w:bottom w:val="none" w:sz="0" w:space="0" w:color="auto"/>
        <w:right w:val="none" w:sz="0" w:space="0" w:color="auto"/>
      </w:divBdr>
    </w:div>
    <w:div w:id="1078595843">
      <w:bodyDiv w:val="1"/>
      <w:marLeft w:val="0"/>
      <w:marRight w:val="0"/>
      <w:marTop w:val="0"/>
      <w:marBottom w:val="0"/>
      <w:divBdr>
        <w:top w:val="none" w:sz="0" w:space="0" w:color="auto"/>
        <w:left w:val="none" w:sz="0" w:space="0" w:color="auto"/>
        <w:bottom w:val="none" w:sz="0" w:space="0" w:color="auto"/>
        <w:right w:val="none" w:sz="0" w:space="0" w:color="auto"/>
      </w:divBdr>
    </w:div>
    <w:div w:id="1079060397">
      <w:bodyDiv w:val="1"/>
      <w:marLeft w:val="0"/>
      <w:marRight w:val="0"/>
      <w:marTop w:val="0"/>
      <w:marBottom w:val="0"/>
      <w:divBdr>
        <w:top w:val="none" w:sz="0" w:space="0" w:color="auto"/>
        <w:left w:val="none" w:sz="0" w:space="0" w:color="auto"/>
        <w:bottom w:val="none" w:sz="0" w:space="0" w:color="auto"/>
        <w:right w:val="none" w:sz="0" w:space="0" w:color="auto"/>
      </w:divBdr>
    </w:div>
    <w:div w:id="1079593187">
      <w:bodyDiv w:val="1"/>
      <w:marLeft w:val="0"/>
      <w:marRight w:val="0"/>
      <w:marTop w:val="0"/>
      <w:marBottom w:val="0"/>
      <w:divBdr>
        <w:top w:val="none" w:sz="0" w:space="0" w:color="auto"/>
        <w:left w:val="none" w:sz="0" w:space="0" w:color="auto"/>
        <w:bottom w:val="none" w:sz="0" w:space="0" w:color="auto"/>
        <w:right w:val="none" w:sz="0" w:space="0" w:color="auto"/>
      </w:divBdr>
    </w:div>
    <w:div w:id="1079670867">
      <w:bodyDiv w:val="1"/>
      <w:marLeft w:val="0"/>
      <w:marRight w:val="0"/>
      <w:marTop w:val="0"/>
      <w:marBottom w:val="0"/>
      <w:divBdr>
        <w:top w:val="none" w:sz="0" w:space="0" w:color="auto"/>
        <w:left w:val="none" w:sz="0" w:space="0" w:color="auto"/>
        <w:bottom w:val="none" w:sz="0" w:space="0" w:color="auto"/>
        <w:right w:val="none" w:sz="0" w:space="0" w:color="auto"/>
      </w:divBdr>
    </w:div>
    <w:div w:id="1080953133">
      <w:bodyDiv w:val="1"/>
      <w:marLeft w:val="0"/>
      <w:marRight w:val="0"/>
      <w:marTop w:val="0"/>
      <w:marBottom w:val="0"/>
      <w:divBdr>
        <w:top w:val="none" w:sz="0" w:space="0" w:color="auto"/>
        <w:left w:val="none" w:sz="0" w:space="0" w:color="auto"/>
        <w:bottom w:val="none" w:sz="0" w:space="0" w:color="auto"/>
        <w:right w:val="none" w:sz="0" w:space="0" w:color="auto"/>
      </w:divBdr>
    </w:div>
    <w:div w:id="1081610126">
      <w:bodyDiv w:val="1"/>
      <w:marLeft w:val="0"/>
      <w:marRight w:val="0"/>
      <w:marTop w:val="0"/>
      <w:marBottom w:val="0"/>
      <w:divBdr>
        <w:top w:val="none" w:sz="0" w:space="0" w:color="auto"/>
        <w:left w:val="none" w:sz="0" w:space="0" w:color="auto"/>
        <w:bottom w:val="none" w:sz="0" w:space="0" w:color="auto"/>
        <w:right w:val="none" w:sz="0" w:space="0" w:color="auto"/>
      </w:divBdr>
    </w:div>
    <w:div w:id="1082066399">
      <w:bodyDiv w:val="1"/>
      <w:marLeft w:val="0"/>
      <w:marRight w:val="0"/>
      <w:marTop w:val="0"/>
      <w:marBottom w:val="0"/>
      <w:divBdr>
        <w:top w:val="none" w:sz="0" w:space="0" w:color="auto"/>
        <w:left w:val="none" w:sz="0" w:space="0" w:color="auto"/>
        <w:bottom w:val="none" w:sz="0" w:space="0" w:color="auto"/>
        <w:right w:val="none" w:sz="0" w:space="0" w:color="auto"/>
      </w:divBdr>
    </w:div>
    <w:div w:id="1082332193">
      <w:bodyDiv w:val="1"/>
      <w:marLeft w:val="0"/>
      <w:marRight w:val="0"/>
      <w:marTop w:val="0"/>
      <w:marBottom w:val="0"/>
      <w:divBdr>
        <w:top w:val="none" w:sz="0" w:space="0" w:color="auto"/>
        <w:left w:val="none" w:sz="0" w:space="0" w:color="auto"/>
        <w:bottom w:val="none" w:sz="0" w:space="0" w:color="auto"/>
        <w:right w:val="none" w:sz="0" w:space="0" w:color="auto"/>
      </w:divBdr>
    </w:div>
    <w:div w:id="1082409610">
      <w:bodyDiv w:val="1"/>
      <w:marLeft w:val="0"/>
      <w:marRight w:val="0"/>
      <w:marTop w:val="0"/>
      <w:marBottom w:val="0"/>
      <w:divBdr>
        <w:top w:val="none" w:sz="0" w:space="0" w:color="auto"/>
        <w:left w:val="none" w:sz="0" w:space="0" w:color="auto"/>
        <w:bottom w:val="none" w:sz="0" w:space="0" w:color="auto"/>
        <w:right w:val="none" w:sz="0" w:space="0" w:color="auto"/>
      </w:divBdr>
    </w:div>
    <w:div w:id="1082988495">
      <w:bodyDiv w:val="1"/>
      <w:marLeft w:val="0"/>
      <w:marRight w:val="0"/>
      <w:marTop w:val="0"/>
      <w:marBottom w:val="0"/>
      <w:divBdr>
        <w:top w:val="none" w:sz="0" w:space="0" w:color="auto"/>
        <w:left w:val="none" w:sz="0" w:space="0" w:color="auto"/>
        <w:bottom w:val="none" w:sz="0" w:space="0" w:color="auto"/>
        <w:right w:val="none" w:sz="0" w:space="0" w:color="auto"/>
      </w:divBdr>
    </w:div>
    <w:div w:id="1083182126">
      <w:bodyDiv w:val="1"/>
      <w:marLeft w:val="0"/>
      <w:marRight w:val="0"/>
      <w:marTop w:val="0"/>
      <w:marBottom w:val="0"/>
      <w:divBdr>
        <w:top w:val="none" w:sz="0" w:space="0" w:color="auto"/>
        <w:left w:val="none" w:sz="0" w:space="0" w:color="auto"/>
        <w:bottom w:val="none" w:sz="0" w:space="0" w:color="auto"/>
        <w:right w:val="none" w:sz="0" w:space="0" w:color="auto"/>
      </w:divBdr>
    </w:div>
    <w:div w:id="1083262879">
      <w:bodyDiv w:val="1"/>
      <w:marLeft w:val="0"/>
      <w:marRight w:val="0"/>
      <w:marTop w:val="0"/>
      <w:marBottom w:val="0"/>
      <w:divBdr>
        <w:top w:val="none" w:sz="0" w:space="0" w:color="auto"/>
        <w:left w:val="none" w:sz="0" w:space="0" w:color="auto"/>
        <w:bottom w:val="none" w:sz="0" w:space="0" w:color="auto"/>
        <w:right w:val="none" w:sz="0" w:space="0" w:color="auto"/>
      </w:divBdr>
    </w:div>
    <w:div w:id="1083264788">
      <w:bodyDiv w:val="1"/>
      <w:marLeft w:val="0"/>
      <w:marRight w:val="0"/>
      <w:marTop w:val="0"/>
      <w:marBottom w:val="0"/>
      <w:divBdr>
        <w:top w:val="none" w:sz="0" w:space="0" w:color="auto"/>
        <w:left w:val="none" w:sz="0" w:space="0" w:color="auto"/>
        <w:bottom w:val="none" w:sz="0" w:space="0" w:color="auto"/>
        <w:right w:val="none" w:sz="0" w:space="0" w:color="auto"/>
      </w:divBdr>
      <w:divsChild>
        <w:div w:id="1354310009">
          <w:marLeft w:val="0"/>
          <w:marRight w:val="0"/>
          <w:marTop w:val="0"/>
          <w:marBottom w:val="0"/>
          <w:divBdr>
            <w:top w:val="none" w:sz="0" w:space="0" w:color="auto"/>
            <w:left w:val="none" w:sz="0" w:space="0" w:color="auto"/>
            <w:bottom w:val="none" w:sz="0" w:space="0" w:color="auto"/>
            <w:right w:val="none" w:sz="0" w:space="0" w:color="auto"/>
          </w:divBdr>
        </w:div>
      </w:divsChild>
    </w:div>
    <w:div w:id="1083406687">
      <w:bodyDiv w:val="1"/>
      <w:marLeft w:val="0"/>
      <w:marRight w:val="0"/>
      <w:marTop w:val="0"/>
      <w:marBottom w:val="0"/>
      <w:divBdr>
        <w:top w:val="none" w:sz="0" w:space="0" w:color="auto"/>
        <w:left w:val="none" w:sz="0" w:space="0" w:color="auto"/>
        <w:bottom w:val="none" w:sz="0" w:space="0" w:color="auto"/>
        <w:right w:val="none" w:sz="0" w:space="0" w:color="auto"/>
      </w:divBdr>
    </w:div>
    <w:div w:id="1084642396">
      <w:bodyDiv w:val="1"/>
      <w:marLeft w:val="0"/>
      <w:marRight w:val="0"/>
      <w:marTop w:val="0"/>
      <w:marBottom w:val="0"/>
      <w:divBdr>
        <w:top w:val="none" w:sz="0" w:space="0" w:color="auto"/>
        <w:left w:val="none" w:sz="0" w:space="0" w:color="auto"/>
        <w:bottom w:val="none" w:sz="0" w:space="0" w:color="auto"/>
        <w:right w:val="none" w:sz="0" w:space="0" w:color="auto"/>
      </w:divBdr>
    </w:div>
    <w:div w:id="1085151083">
      <w:bodyDiv w:val="1"/>
      <w:marLeft w:val="0"/>
      <w:marRight w:val="0"/>
      <w:marTop w:val="0"/>
      <w:marBottom w:val="0"/>
      <w:divBdr>
        <w:top w:val="none" w:sz="0" w:space="0" w:color="auto"/>
        <w:left w:val="none" w:sz="0" w:space="0" w:color="auto"/>
        <w:bottom w:val="none" w:sz="0" w:space="0" w:color="auto"/>
        <w:right w:val="none" w:sz="0" w:space="0" w:color="auto"/>
      </w:divBdr>
    </w:div>
    <w:div w:id="1085304459">
      <w:bodyDiv w:val="1"/>
      <w:marLeft w:val="0"/>
      <w:marRight w:val="0"/>
      <w:marTop w:val="0"/>
      <w:marBottom w:val="0"/>
      <w:divBdr>
        <w:top w:val="none" w:sz="0" w:space="0" w:color="auto"/>
        <w:left w:val="none" w:sz="0" w:space="0" w:color="auto"/>
        <w:bottom w:val="none" w:sz="0" w:space="0" w:color="auto"/>
        <w:right w:val="none" w:sz="0" w:space="0" w:color="auto"/>
      </w:divBdr>
    </w:div>
    <w:div w:id="1085373557">
      <w:bodyDiv w:val="1"/>
      <w:marLeft w:val="0"/>
      <w:marRight w:val="0"/>
      <w:marTop w:val="0"/>
      <w:marBottom w:val="0"/>
      <w:divBdr>
        <w:top w:val="none" w:sz="0" w:space="0" w:color="auto"/>
        <w:left w:val="none" w:sz="0" w:space="0" w:color="auto"/>
        <w:bottom w:val="none" w:sz="0" w:space="0" w:color="auto"/>
        <w:right w:val="none" w:sz="0" w:space="0" w:color="auto"/>
      </w:divBdr>
    </w:div>
    <w:div w:id="1085804012">
      <w:bodyDiv w:val="1"/>
      <w:marLeft w:val="0"/>
      <w:marRight w:val="0"/>
      <w:marTop w:val="0"/>
      <w:marBottom w:val="0"/>
      <w:divBdr>
        <w:top w:val="none" w:sz="0" w:space="0" w:color="auto"/>
        <w:left w:val="none" w:sz="0" w:space="0" w:color="auto"/>
        <w:bottom w:val="none" w:sz="0" w:space="0" w:color="auto"/>
        <w:right w:val="none" w:sz="0" w:space="0" w:color="auto"/>
      </w:divBdr>
    </w:div>
    <w:div w:id="1085884300">
      <w:bodyDiv w:val="1"/>
      <w:marLeft w:val="0"/>
      <w:marRight w:val="0"/>
      <w:marTop w:val="0"/>
      <w:marBottom w:val="0"/>
      <w:divBdr>
        <w:top w:val="none" w:sz="0" w:space="0" w:color="auto"/>
        <w:left w:val="none" w:sz="0" w:space="0" w:color="auto"/>
        <w:bottom w:val="none" w:sz="0" w:space="0" w:color="auto"/>
        <w:right w:val="none" w:sz="0" w:space="0" w:color="auto"/>
      </w:divBdr>
    </w:div>
    <w:div w:id="1086997018">
      <w:bodyDiv w:val="1"/>
      <w:marLeft w:val="0"/>
      <w:marRight w:val="0"/>
      <w:marTop w:val="0"/>
      <w:marBottom w:val="0"/>
      <w:divBdr>
        <w:top w:val="none" w:sz="0" w:space="0" w:color="auto"/>
        <w:left w:val="none" w:sz="0" w:space="0" w:color="auto"/>
        <w:bottom w:val="none" w:sz="0" w:space="0" w:color="auto"/>
        <w:right w:val="none" w:sz="0" w:space="0" w:color="auto"/>
      </w:divBdr>
    </w:div>
    <w:div w:id="1088576853">
      <w:bodyDiv w:val="1"/>
      <w:marLeft w:val="0"/>
      <w:marRight w:val="0"/>
      <w:marTop w:val="0"/>
      <w:marBottom w:val="0"/>
      <w:divBdr>
        <w:top w:val="none" w:sz="0" w:space="0" w:color="auto"/>
        <w:left w:val="none" w:sz="0" w:space="0" w:color="auto"/>
        <w:bottom w:val="none" w:sz="0" w:space="0" w:color="auto"/>
        <w:right w:val="none" w:sz="0" w:space="0" w:color="auto"/>
      </w:divBdr>
    </w:div>
    <w:div w:id="1088693714">
      <w:bodyDiv w:val="1"/>
      <w:marLeft w:val="0"/>
      <w:marRight w:val="0"/>
      <w:marTop w:val="0"/>
      <w:marBottom w:val="0"/>
      <w:divBdr>
        <w:top w:val="none" w:sz="0" w:space="0" w:color="auto"/>
        <w:left w:val="none" w:sz="0" w:space="0" w:color="auto"/>
        <w:bottom w:val="none" w:sz="0" w:space="0" w:color="auto"/>
        <w:right w:val="none" w:sz="0" w:space="0" w:color="auto"/>
      </w:divBdr>
    </w:div>
    <w:div w:id="1089083359">
      <w:bodyDiv w:val="1"/>
      <w:marLeft w:val="0"/>
      <w:marRight w:val="0"/>
      <w:marTop w:val="0"/>
      <w:marBottom w:val="0"/>
      <w:divBdr>
        <w:top w:val="none" w:sz="0" w:space="0" w:color="auto"/>
        <w:left w:val="none" w:sz="0" w:space="0" w:color="auto"/>
        <w:bottom w:val="none" w:sz="0" w:space="0" w:color="auto"/>
        <w:right w:val="none" w:sz="0" w:space="0" w:color="auto"/>
      </w:divBdr>
    </w:div>
    <w:div w:id="1089156921">
      <w:bodyDiv w:val="1"/>
      <w:marLeft w:val="0"/>
      <w:marRight w:val="0"/>
      <w:marTop w:val="0"/>
      <w:marBottom w:val="0"/>
      <w:divBdr>
        <w:top w:val="none" w:sz="0" w:space="0" w:color="auto"/>
        <w:left w:val="none" w:sz="0" w:space="0" w:color="auto"/>
        <w:bottom w:val="none" w:sz="0" w:space="0" w:color="auto"/>
        <w:right w:val="none" w:sz="0" w:space="0" w:color="auto"/>
      </w:divBdr>
    </w:div>
    <w:div w:id="1090002987">
      <w:bodyDiv w:val="1"/>
      <w:marLeft w:val="0"/>
      <w:marRight w:val="0"/>
      <w:marTop w:val="0"/>
      <w:marBottom w:val="0"/>
      <w:divBdr>
        <w:top w:val="none" w:sz="0" w:space="0" w:color="auto"/>
        <w:left w:val="none" w:sz="0" w:space="0" w:color="auto"/>
        <w:bottom w:val="none" w:sz="0" w:space="0" w:color="auto"/>
        <w:right w:val="none" w:sz="0" w:space="0" w:color="auto"/>
      </w:divBdr>
    </w:div>
    <w:div w:id="1090008497">
      <w:bodyDiv w:val="1"/>
      <w:marLeft w:val="0"/>
      <w:marRight w:val="0"/>
      <w:marTop w:val="0"/>
      <w:marBottom w:val="0"/>
      <w:divBdr>
        <w:top w:val="none" w:sz="0" w:space="0" w:color="auto"/>
        <w:left w:val="none" w:sz="0" w:space="0" w:color="auto"/>
        <w:bottom w:val="none" w:sz="0" w:space="0" w:color="auto"/>
        <w:right w:val="none" w:sz="0" w:space="0" w:color="auto"/>
      </w:divBdr>
    </w:div>
    <w:div w:id="1090395046">
      <w:bodyDiv w:val="1"/>
      <w:marLeft w:val="0"/>
      <w:marRight w:val="0"/>
      <w:marTop w:val="0"/>
      <w:marBottom w:val="0"/>
      <w:divBdr>
        <w:top w:val="none" w:sz="0" w:space="0" w:color="auto"/>
        <w:left w:val="none" w:sz="0" w:space="0" w:color="auto"/>
        <w:bottom w:val="none" w:sz="0" w:space="0" w:color="auto"/>
        <w:right w:val="none" w:sz="0" w:space="0" w:color="auto"/>
      </w:divBdr>
    </w:div>
    <w:div w:id="1091004187">
      <w:bodyDiv w:val="1"/>
      <w:marLeft w:val="0"/>
      <w:marRight w:val="0"/>
      <w:marTop w:val="0"/>
      <w:marBottom w:val="0"/>
      <w:divBdr>
        <w:top w:val="none" w:sz="0" w:space="0" w:color="auto"/>
        <w:left w:val="none" w:sz="0" w:space="0" w:color="auto"/>
        <w:bottom w:val="none" w:sz="0" w:space="0" w:color="auto"/>
        <w:right w:val="none" w:sz="0" w:space="0" w:color="auto"/>
      </w:divBdr>
    </w:div>
    <w:div w:id="1091241376">
      <w:bodyDiv w:val="1"/>
      <w:marLeft w:val="0"/>
      <w:marRight w:val="0"/>
      <w:marTop w:val="0"/>
      <w:marBottom w:val="0"/>
      <w:divBdr>
        <w:top w:val="none" w:sz="0" w:space="0" w:color="auto"/>
        <w:left w:val="none" w:sz="0" w:space="0" w:color="auto"/>
        <w:bottom w:val="none" w:sz="0" w:space="0" w:color="auto"/>
        <w:right w:val="none" w:sz="0" w:space="0" w:color="auto"/>
      </w:divBdr>
    </w:div>
    <w:div w:id="1092044043">
      <w:bodyDiv w:val="1"/>
      <w:marLeft w:val="0"/>
      <w:marRight w:val="0"/>
      <w:marTop w:val="0"/>
      <w:marBottom w:val="0"/>
      <w:divBdr>
        <w:top w:val="none" w:sz="0" w:space="0" w:color="auto"/>
        <w:left w:val="none" w:sz="0" w:space="0" w:color="auto"/>
        <w:bottom w:val="none" w:sz="0" w:space="0" w:color="auto"/>
        <w:right w:val="none" w:sz="0" w:space="0" w:color="auto"/>
      </w:divBdr>
    </w:div>
    <w:div w:id="1093891593">
      <w:bodyDiv w:val="1"/>
      <w:marLeft w:val="0"/>
      <w:marRight w:val="0"/>
      <w:marTop w:val="0"/>
      <w:marBottom w:val="0"/>
      <w:divBdr>
        <w:top w:val="none" w:sz="0" w:space="0" w:color="auto"/>
        <w:left w:val="none" w:sz="0" w:space="0" w:color="auto"/>
        <w:bottom w:val="none" w:sz="0" w:space="0" w:color="auto"/>
        <w:right w:val="none" w:sz="0" w:space="0" w:color="auto"/>
      </w:divBdr>
    </w:div>
    <w:div w:id="1094130988">
      <w:bodyDiv w:val="1"/>
      <w:marLeft w:val="0"/>
      <w:marRight w:val="0"/>
      <w:marTop w:val="0"/>
      <w:marBottom w:val="0"/>
      <w:divBdr>
        <w:top w:val="none" w:sz="0" w:space="0" w:color="auto"/>
        <w:left w:val="none" w:sz="0" w:space="0" w:color="auto"/>
        <w:bottom w:val="none" w:sz="0" w:space="0" w:color="auto"/>
        <w:right w:val="none" w:sz="0" w:space="0" w:color="auto"/>
      </w:divBdr>
    </w:div>
    <w:div w:id="1094283697">
      <w:bodyDiv w:val="1"/>
      <w:marLeft w:val="0"/>
      <w:marRight w:val="0"/>
      <w:marTop w:val="0"/>
      <w:marBottom w:val="0"/>
      <w:divBdr>
        <w:top w:val="none" w:sz="0" w:space="0" w:color="auto"/>
        <w:left w:val="none" w:sz="0" w:space="0" w:color="auto"/>
        <w:bottom w:val="none" w:sz="0" w:space="0" w:color="auto"/>
        <w:right w:val="none" w:sz="0" w:space="0" w:color="auto"/>
      </w:divBdr>
    </w:div>
    <w:div w:id="1094745105">
      <w:bodyDiv w:val="1"/>
      <w:marLeft w:val="0"/>
      <w:marRight w:val="0"/>
      <w:marTop w:val="0"/>
      <w:marBottom w:val="0"/>
      <w:divBdr>
        <w:top w:val="none" w:sz="0" w:space="0" w:color="auto"/>
        <w:left w:val="none" w:sz="0" w:space="0" w:color="auto"/>
        <w:bottom w:val="none" w:sz="0" w:space="0" w:color="auto"/>
        <w:right w:val="none" w:sz="0" w:space="0" w:color="auto"/>
      </w:divBdr>
    </w:div>
    <w:div w:id="1094788749">
      <w:bodyDiv w:val="1"/>
      <w:marLeft w:val="0"/>
      <w:marRight w:val="0"/>
      <w:marTop w:val="0"/>
      <w:marBottom w:val="0"/>
      <w:divBdr>
        <w:top w:val="none" w:sz="0" w:space="0" w:color="auto"/>
        <w:left w:val="none" w:sz="0" w:space="0" w:color="auto"/>
        <w:bottom w:val="none" w:sz="0" w:space="0" w:color="auto"/>
        <w:right w:val="none" w:sz="0" w:space="0" w:color="auto"/>
      </w:divBdr>
    </w:div>
    <w:div w:id="1094865025">
      <w:bodyDiv w:val="1"/>
      <w:marLeft w:val="0"/>
      <w:marRight w:val="0"/>
      <w:marTop w:val="0"/>
      <w:marBottom w:val="0"/>
      <w:divBdr>
        <w:top w:val="none" w:sz="0" w:space="0" w:color="auto"/>
        <w:left w:val="none" w:sz="0" w:space="0" w:color="auto"/>
        <w:bottom w:val="none" w:sz="0" w:space="0" w:color="auto"/>
        <w:right w:val="none" w:sz="0" w:space="0" w:color="auto"/>
      </w:divBdr>
    </w:div>
    <w:div w:id="1095131605">
      <w:bodyDiv w:val="1"/>
      <w:marLeft w:val="0"/>
      <w:marRight w:val="0"/>
      <w:marTop w:val="0"/>
      <w:marBottom w:val="0"/>
      <w:divBdr>
        <w:top w:val="none" w:sz="0" w:space="0" w:color="auto"/>
        <w:left w:val="none" w:sz="0" w:space="0" w:color="auto"/>
        <w:bottom w:val="none" w:sz="0" w:space="0" w:color="auto"/>
        <w:right w:val="none" w:sz="0" w:space="0" w:color="auto"/>
      </w:divBdr>
    </w:div>
    <w:div w:id="1096092321">
      <w:bodyDiv w:val="1"/>
      <w:marLeft w:val="0"/>
      <w:marRight w:val="0"/>
      <w:marTop w:val="0"/>
      <w:marBottom w:val="0"/>
      <w:divBdr>
        <w:top w:val="none" w:sz="0" w:space="0" w:color="auto"/>
        <w:left w:val="none" w:sz="0" w:space="0" w:color="auto"/>
        <w:bottom w:val="none" w:sz="0" w:space="0" w:color="auto"/>
        <w:right w:val="none" w:sz="0" w:space="0" w:color="auto"/>
      </w:divBdr>
    </w:div>
    <w:div w:id="1096751435">
      <w:bodyDiv w:val="1"/>
      <w:marLeft w:val="0"/>
      <w:marRight w:val="0"/>
      <w:marTop w:val="0"/>
      <w:marBottom w:val="0"/>
      <w:divBdr>
        <w:top w:val="none" w:sz="0" w:space="0" w:color="auto"/>
        <w:left w:val="none" w:sz="0" w:space="0" w:color="auto"/>
        <w:bottom w:val="none" w:sz="0" w:space="0" w:color="auto"/>
        <w:right w:val="none" w:sz="0" w:space="0" w:color="auto"/>
      </w:divBdr>
    </w:div>
    <w:div w:id="1097214142">
      <w:bodyDiv w:val="1"/>
      <w:marLeft w:val="0"/>
      <w:marRight w:val="0"/>
      <w:marTop w:val="0"/>
      <w:marBottom w:val="0"/>
      <w:divBdr>
        <w:top w:val="none" w:sz="0" w:space="0" w:color="auto"/>
        <w:left w:val="none" w:sz="0" w:space="0" w:color="auto"/>
        <w:bottom w:val="none" w:sz="0" w:space="0" w:color="auto"/>
        <w:right w:val="none" w:sz="0" w:space="0" w:color="auto"/>
      </w:divBdr>
    </w:div>
    <w:div w:id="1097867901">
      <w:bodyDiv w:val="1"/>
      <w:marLeft w:val="0"/>
      <w:marRight w:val="0"/>
      <w:marTop w:val="0"/>
      <w:marBottom w:val="0"/>
      <w:divBdr>
        <w:top w:val="none" w:sz="0" w:space="0" w:color="auto"/>
        <w:left w:val="none" w:sz="0" w:space="0" w:color="auto"/>
        <w:bottom w:val="none" w:sz="0" w:space="0" w:color="auto"/>
        <w:right w:val="none" w:sz="0" w:space="0" w:color="auto"/>
      </w:divBdr>
    </w:div>
    <w:div w:id="1098067250">
      <w:bodyDiv w:val="1"/>
      <w:marLeft w:val="0"/>
      <w:marRight w:val="0"/>
      <w:marTop w:val="0"/>
      <w:marBottom w:val="0"/>
      <w:divBdr>
        <w:top w:val="none" w:sz="0" w:space="0" w:color="auto"/>
        <w:left w:val="none" w:sz="0" w:space="0" w:color="auto"/>
        <w:bottom w:val="none" w:sz="0" w:space="0" w:color="auto"/>
        <w:right w:val="none" w:sz="0" w:space="0" w:color="auto"/>
      </w:divBdr>
      <w:divsChild>
        <w:div w:id="313487623">
          <w:marLeft w:val="0"/>
          <w:marRight w:val="0"/>
          <w:marTop w:val="0"/>
          <w:marBottom w:val="0"/>
          <w:divBdr>
            <w:top w:val="none" w:sz="0" w:space="0" w:color="auto"/>
            <w:left w:val="none" w:sz="0" w:space="0" w:color="auto"/>
            <w:bottom w:val="none" w:sz="0" w:space="0" w:color="auto"/>
            <w:right w:val="none" w:sz="0" w:space="0" w:color="auto"/>
          </w:divBdr>
        </w:div>
      </w:divsChild>
    </w:div>
    <w:div w:id="1098909946">
      <w:bodyDiv w:val="1"/>
      <w:marLeft w:val="0"/>
      <w:marRight w:val="0"/>
      <w:marTop w:val="0"/>
      <w:marBottom w:val="0"/>
      <w:divBdr>
        <w:top w:val="none" w:sz="0" w:space="0" w:color="auto"/>
        <w:left w:val="none" w:sz="0" w:space="0" w:color="auto"/>
        <w:bottom w:val="none" w:sz="0" w:space="0" w:color="auto"/>
        <w:right w:val="none" w:sz="0" w:space="0" w:color="auto"/>
      </w:divBdr>
    </w:div>
    <w:div w:id="1099565558">
      <w:bodyDiv w:val="1"/>
      <w:marLeft w:val="0"/>
      <w:marRight w:val="0"/>
      <w:marTop w:val="0"/>
      <w:marBottom w:val="0"/>
      <w:divBdr>
        <w:top w:val="none" w:sz="0" w:space="0" w:color="auto"/>
        <w:left w:val="none" w:sz="0" w:space="0" w:color="auto"/>
        <w:bottom w:val="none" w:sz="0" w:space="0" w:color="auto"/>
        <w:right w:val="none" w:sz="0" w:space="0" w:color="auto"/>
      </w:divBdr>
    </w:div>
    <w:div w:id="1100683432">
      <w:bodyDiv w:val="1"/>
      <w:marLeft w:val="0"/>
      <w:marRight w:val="0"/>
      <w:marTop w:val="0"/>
      <w:marBottom w:val="0"/>
      <w:divBdr>
        <w:top w:val="none" w:sz="0" w:space="0" w:color="auto"/>
        <w:left w:val="none" w:sz="0" w:space="0" w:color="auto"/>
        <w:bottom w:val="none" w:sz="0" w:space="0" w:color="auto"/>
        <w:right w:val="none" w:sz="0" w:space="0" w:color="auto"/>
      </w:divBdr>
    </w:div>
    <w:div w:id="1101025045">
      <w:bodyDiv w:val="1"/>
      <w:marLeft w:val="0"/>
      <w:marRight w:val="0"/>
      <w:marTop w:val="0"/>
      <w:marBottom w:val="0"/>
      <w:divBdr>
        <w:top w:val="none" w:sz="0" w:space="0" w:color="auto"/>
        <w:left w:val="none" w:sz="0" w:space="0" w:color="auto"/>
        <w:bottom w:val="none" w:sz="0" w:space="0" w:color="auto"/>
        <w:right w:val="none" w:sz="0" w:space="0" w:color="auto"/>
      </w:divBdr>
    </w:div>
    <w:div w:id="1101267990">
      <w:bodyDiv w:val="1"/>
      <w:marLeft w:val="0"/>
      <w:marRight w:val="0"/>
      <w:marTop w:val="0"/>
      <w:marBottom w:val="0"/>
      <w:divBdr>
        <w:top w:val="none" w:sz="0" w:space="0" w:color="auto"/>
        <w:left w:val="none" w:sz="0" w:space="0" w:color="auto"/>
        <w:bottom w:val="none" w:sz="0" w:space="0" w:color="auto"/>
        <w:right w:val="none" w:sz="0" w:space="0" w:color="auto"/>
      </w:divBdr>
    </w:div>
    <w:div w:id="1102186449">
      <w:bodyDiv w:val="1"/>
      <w:marLeft w:val="0"/>
      <w:marRight w:val="0"/>
      <w:marTop w:val="0"/>
      <w:marBottom w:val="0"/>
      <w:divBdr>
        <w:top w:val="none" w:sz="0" w:space="0" w:color="auto"/>
        <w:left w:val="none" w:sz="0" w:space="0" w:color="auto"/>
        <w:bottom w:val="none" w:sz="0" w:space="0" w:color="auto"/>
        <w:right w:val="none" w:sz="0" w:space="0" w:color="auto"/>
      </w:divBdr>
    </w:div>
    <w:div w:id="1103115486">
      <w:bodyDiv w:val="1"/>
      <w:marLeft w:val="0"/>
      <w:marRight w:val="0"/>
      <w:marTop w:val="0"/>
      <w:marBottom w:val="0"/>
      <w:divBdr>
        <w:top w:val="none" w:sz="0" w:space="0" w:color="auto"/>
        <w:left w:val="none" w:sz="0" w:space="0" w:color="auto"/>
        <w:bottom w:val="none" w:sz="0" w:space="0" w:color="auto"/>
        <w:right w:val="none" w:sz="0" w:space="0" w:color="auto"/>
      </w:divBdr>
    </w:div>
    <w:div w:id="1103383578">
      <w:bodyDiv w:val="1"/>
      <w:marLeft w:val="0"/>
      <w:marRight w:val="0"/>
      <w:marTop w:val="0"/>
      <w:marBottom w:val="0"/>
      <w:divBdr>
        <w:top w:val="none" w:sz="0" w:space="0" w:color="auto"/>
        <w:left w:val="none" w:sz="0" w:space="0" w:color="auto"/>
        <w:bottom w:val="none" w:sz="0" w:space="0" w:color="auto"/>
        <w:right w:val="none" w:sz="0" w:space="0" w:color="auto"/>
      </w:divBdr>
    </w:div>
    <w:div w:id="1103652211">
      <w:bodyDiv w:val="1"/>
      <w:marLeft w:val="0"/>
      <w:marRight w:val="0"/>
      <w:marTop w:val="0"/>
      <w:marBottom w:val="0"/>
      <w:divBdr>
        <w:top w:val="none" w:sz="0" w:space="0" w:color="auto"/>
        <w:left w:val="none" w:sz="0" w:space="0" w:color="auto"/>
        <w:bottom w:val="none" w:sz="0" w:space="0" w:color="auto"/>
        <w:right w:val="none" w:sz="0" w:space="0" w:color="auto"/>
      </w:divBdr>
    </w:div>
    <w:div w:id="1104496204">
      <w:bodyDiv w:val="1"/>
      <w:marLeft w:val="0"/>
      <w:marRight w:val="0"/>
      <w:marTop w:val="0"/>
      <w:marBottom w:val="0"/>
      <w:divBdr>
        <w:top w:val="none" w:sz="0" w:space="0" w:color="auto"/>
        <w:left w:val="none" w:sz="0" w:space="0" w:color="auto"/>
        <w:bottom w:val="none" w:sz="0" w:space="0" w:color="auto"/>
        <w:right w:val="none" w:sz="0" w:space="0" w:color="auto"/>
      </w:divBdr>
    </w:div>
    <w:div w:id="1104762754">
      <w:bodyDiv w:val="1"/>
      <w:marLeft w:val="0"/>
      <w:marRight w:val="0"/>
      <w:marTop w:val="0"/>
      <w:marBottom w:val="0"/>
      <w:divBdr>
        <w:top w:val="none" w:sz="0" w:space="0" w:color="auto"/>
        <w:left w:val="none" w:sz="0" w:space="0" w:color="auto"/>
        <w:bottom w:val="none" w:sz="0" w:space="0" w:color="auto"/>
        <w:right w:val="none" w:sz="0" w:space="0" w:color="auto"/>
      </w:divBdr>
    </w:div>
    <w:div w:id="1104812523">
      <w:bodyDiv w:val="1"/>
      <w:marLeft w:val="0"/>
      <w:marRight w:val="0"/>
      <w:marTop w:val="0"/>
      <w:marBottom w:val="0"/>
      <w:divBdr>
        <w:top w:val="none" w:sz="0" w:space="0" w:color="auto"/>
        <w:left w:val="none" w:sz="0" w:space="0" w:color="auto"/>
        <w:bottom w:val="none" w:sz="0" w:space="0" w:color="auto"/>
        <w:right w:val="none" w:sz="0" w:space="0" w:color="auto"/>
      </w:divBdr>
    </w:div>
    <w:div w:id="1104883248">
      <w:bodyDiv w:val="1"/>
      <w:marLeft w:val="0"/>
      <w:marRight w:val="0"/>
      <w:marTop w:val="0"/>
      <w:marBottom w:val="0"/>
      <w:divBdr>
        <w:top w:val="none" w:sz="0" w:space="0" w:color="auto"/>
        <w:left w:val="none" w:sz="0" w:space="0" w:color="auto"/>
        <w:bottom w:val="none" w:sz="0" w:space="0" w:color="auto"/>
        <w:right w:val="none" w:sz="0" w:space="0" w:color="auto"/>
      </w:divBdr>
    </w:div>
    <w:div w:id="1105685836">
      <w:bodyDiv w:val="1"/>
      <w:marLeft w:val="0"/>
      <w:marRight w:val="0"/>
      <w:marTop w:val="0"/>
      <w:marBottom w:val="0"/>
      <w:divBdr>
        <w:top w:val="none" w:sz="0" w:space="0" w:color="auto"/>
        <w:left w:val="none" w:sz="0" w:space="0" w:color="auto"/>
        <w:bottom w:val="none" w:sz="0" w:space="0" w:color="auto"/>
        <w:right w:val="none" w:sz="0" w:space="0" w:color="auto"/>
      </w:divBdr>
    </w:div>
    <w:div w:id="1105687952">
      <w:bodyDiv w:val="1"/>
      <w:marLeft w:val="0"/>
      <w:marRight w:val="0"/>
      <w:marTop w:val="0"/>
      <w:marBottom w:val="0"/>
      <w:divBdr>
        <w:top w:val="none" w:sz="0" w:space="0" w:color="auto"/>
        <w:left w:val="none" w:sz="0" w:space="0" w:color="auto"/>
        <w:bottom w:val="none" w:sz="0" w:space="0" w:color="auto"/>
        <w:right w:val="none" w:sz="0" w:space="0" w:color="auto"/>
      </w:divBdr>
    </w:div>
    <w:div w:id="1105883193">
      <w:bodyDiv w:val="1"/>
      <w:marLeft w:val="0"/>
      <w:marRight w:val="0"/>
      <w:marTop w:val="0"/>
      <w:marBottom w:val="0"/>
      <w:divBdr>
        <w:top w:val="none" w:sz="0" w:space="0" w:color="auto"/>
        <w:left w:val="none" w:sz="0" w:space="0" w:color="auto"/>
        <w:bottom w:val="none" w:sz="0" w:space="0" w:color="auto"/>
        <w:right w:val="none" w:sz="0" w:space="0" w:color="auto"/>
      </w:divBdr>
    </w:div>
    <w:div w:id="1107043452">
      <w:bodyDiv w:val="1"/>
      <w:marLeft w:val="0"/>
      <w:marRight w:val="0"/>
      <w:marTop w:val="0"/>
      <w:marBottom w:val="0"/>
      <w:divBdr>
        <w:top w:val="none" w:sz="0" w:space="0" w:color="auto"/>
        <w:left w:val="none" w:sz="0" w:space="0" w:color="auto"/>
        <w:bottom w:val="none" w:sz="0" w:space="0" w:color="auto"/>
        <w:right w:val="none" w:sz="0" w:space="0" w:color="auto"/>
      </w:divBdr>
    </w:div>
    <w:div w:id="1109399050">
      <w:bodyDiv w:val="1"/>
      <w:marLeft w:val="0"/>
      <w:marRight w:val="0"/>
      <w:marTop w:val="0"/>
      <w:marBottom w:val="0"/>
      <w:divBdr>
        <w:top w:val="none" w:sz="0" w:space="0" w:color="auto"/>
        <w:left w:val="none" w:sz="0" w:space="0" w:color="auto"/>
        <w:bottom w:val="none" w:sz="0" w:space="0" w:color="auto"/>
        <w:right w:val="none" w:sz="0" w:space="0" w:color="auto"/>
      </w:divBdr>
    </w:div>
    <w:div w:id="1109736238">
      <w:bodyDiv w:val="1"/>
      <w:marLeft w:val="0"/>
      <w:marRight w:val="0"/>
      <w:marTop w:val="0"/>
      <w:marBottom w:val="0"/>
      <w:divBdr>
        <w:top w:val="none" w:sz="0" w:space="0" w:color="auto"/>
        <w:left w:val="none" w:sz="0" w:space="0" w:color="auto"/>
        <w:bottom w:val="none" w:sz="0" w:space="0" w:color="auto"/>
        <w:right w:val="none" w:sz="0" w:space="0" w:color="auto"/>
      </w:divBdr>
    </w:div>
    <w:div w:id="1110390283">
      <w:bodyDiv w:val="1"/>
      <w:marLeft w:val="0"/>
      <w:marRight w:val="0"/>
      <w:marTop w:val="0"/>
      <w:marBottom w:val="0"/>
      <w:divBdr>
        <w:top w:val="none" w:sz="0" w:space="0" w:color="auto"/>
        <w:left w:val="none" w:sz="0" w:space="0" w:color="auto"/>
        <w:bottom w:val="none" w:sz="0" w:space="0" w:color="auto"/>
        <w:right w:val="none" w:sz="0" w:space="0" w:color="auto"/>
      </w:divBdr>
    </w:div>
    <w:div w:id="1112285837">
      <w:bodyDiv w:val="1"/>
      <w:marLeft w:val="0"/>
      <w:marRight w:val="0"/>
      <w:marTop w:val="0"/>
      <w:marBottom w:val="0"/>
      <w:divBdr>
        <w:top w:val="none" w:sz="0" w:space="0" w:color="auto"/>
        <w:left w:val="none" w:sz="0" w:space="0" w:color="auto"/>
        <w:bottom w:val="none" w:sz="0" w:space="0" w:color="auto"/>
        <w:right w:val="none" w:sz="0" w:space="0" w:color="auto"/>
      </w:divBdr>
    </w:div>
    <w:div w:id="1113206144">
      <w:bodyDiv w:val="1"/>
      <w:marLeft w:val="0"/>
      <w:marRight w:val="0"/>
      <w:marTop w:val="0"/>
      <w:marBottom w:val="0"/>
      <w:divBdr>
        <w:top w:val="none" w:sz="0" w:space="0" w:color="auto"/>
        <w:left w:val="none" w:sz="0" w:space="0" w:color="auto"/>
        <w:bottom w:val="none" w:sz="0" w:space="0" w:color="auto"/>
        <w:right w:val="none" w:sz="0" w:space="0" w:color="auto"/>
      </w:divBdr>
    </w:div>
    <w:div w:id="1113478346">
      <w:bodyDiv w:val="1"/>
      <w:marLeft w:val="0"/>
      <w:marRight w:val="0"/>
      <w:marTop w:val="0"/>
      <w:marBottom w:val="0"/>
      <w:divBdr>
        <w:top w:val="none" w:sz="0" w:space="0" w:color="auto"/>
        <w:left w:val="none" w:sz="0" w:space="0" w:color="auto"/>
        <w:bottom w:val="none" w:sz="0" w:space="0" w:color="auto"/>
        <w:right w:val="none" w:sz="0" w:space="0" w:color="auto"/>
      </w:divBdr>
    </w:div>
    <w:div w:id="1114325953">
      <w:bodyDiv w:val="1"/>
      <w:marLeft w:val="0"/>
      <w:marRight w:val="0"/>
      <w:marTop w:val="0"/>
      <w:marBottom w:val="0"/>
      <w:divBdr>
        <w:top w:val="none" w:sz="0" w:space="0" w:color="auto"/>
        <w:left w:val="none" w:sz="0" w:space="0" w:color="auto"/>
        <w:bottom w:val="none" w:sz="0" w:space="0" w:color="auto"/>
        <w:right w:val="none" w:sz="0" w:space="0" w:color="auto"/>
      </w:divBdr>
    </w:div>
    <w:div w:id="1114329694">
      <w:bodyDiv w:val="1"/>
      <w:marLeft w:val="0"/>
      <w:marRight w:val="0"/>
      <w:marTop w:val="0"/>
      <w:marBottom w:val="0"/>
      <w:divBdr>
        <w:top w:val="none" w:sz="0" w:space="0" w:color="auto"/>
        <w:left w:val="none" w:sz="0" w:space="0" w:color="auto"/>
        <w:bottom w:val="none" w:sz="0" w:space="0" w:color="auto"/>
        <w:right w:val="none" w:sz="0" w:space="0" w:color="auto"/>
      </w:divBdr>
    </w:div>
    <w:div w:id="1114910156">
      <w:bodyDiv w:val="1"/>
      <w:marLeft w:val="0"/>
      <w:marRight w:val="0"/>
      <w:marTop w:val="0"/>
      <w:marBottom w:val="0"/>
      <w:divBdr>
        <w:top w:val="none" w:sz="0" w:space="0" w:color="auto"/>
        <w:left w:val="none" w:sz="0" w:space="0" w:color="auto"/>
        <w:bottom w:val="none" w:sz="0" w:space="0" w:color="auto"/>
        <w:right w:val="none" w:sz="0" w:space="0" w:color="auto"/>
      </w:divBdr>
    </w:div>
    <w:div w:id="1114979036">
      <w:bodyDiv w:val="1"/>
      <w:marLeft w:val="0"/>
      <w:marRight w:val="0"/>
      <w:marTop w:val="0"/>
      <w:marBottom w:val="0"/>
      <w:divBdr>
        <w:top w:val="none" w:sz="0" w:space="0" w:color="auto"/>
        <w:left w:val="none" w:sz="0" w:space="0" w:color="auto"/>
        <w:bottom w:val="none" w:sz="0" w:space="0" w:color="auto"/>
        <w:right w:val="none" w:sz="0" w:space="0" w:color="auto"/>
      </w:divBdr>
    </w:div>
    <w:div w:id="1115516806">
      <w:bodyDiv w:val="1"/>
      <w:marLeft w:val="0"/>
      <w:marRight w:val="0"/>
      <w:marTop w:val="0"/>
      <w:marBottom w:val="0"/>
      <w:divBdr>
        <w:top w:val="none" w:sz="0" w:space="0" w:color="auto"/>
        <w:left w:val="none" w:sz="0" w:space="0" w:color="auto"/>
        <w:bottom w:val="none" w:sz="0" w:space="0" w:color="auto"/>
        <w:right w:val="none" w:sz="0" w:space="0" w:color="auto"/>
      </w:divBdr>
    </w:div>
    <w:div w:id="1115833376">
      <w:bodyDiv w:val="1"/>
      <w:marLeft w:val="0"/>
      <w:marRight w:val="0"/>
      <w:marTop w:val="0"/>
      <w:marBottom w:val="0"/>
      <w:divBdr>
        <w:top w:val="none" w:sz="0" w:space="0" w:color="auto"/>
        <w:left w:val="none" w:sz="0" w:space="0" w:color="auto"/>
        <w:bottom w:val="none" w:sz="0" w:space="0" w:color="auto"/>
        <w:right w:val="none" w:sz="0" w:space="0" w:color="auto"/>
      </w:divBdr>
    </w:div>
    <w:div w:id="1115833459">
      <w:bodyDiv w:val="1"/>
      <w:marLeft w:val="0"/>
      <w:marRight w:val="0"/>
      <w:marTop w:val="0"/>
      <w:marBottom w:val="0"/>
      <w:divBdr>
        <w:top w:val="none" w:sz="0" w:space="0" w:color="auto"/>
        <w:left w:val="none" w:sz="0" w:space="0" w:color="auto"/>
        <w:bottom w:val="none" w:sz="0" w:space="0" w:color="auto"/>
        <w:right w:val="none" w:sz="0" w:space="0" w:color="auto"/>
      </w:divBdr>
    </w:div>
    <w:div w:id="1115833904">
      <w:bodyDiv w:val="1"/>
      <w:marLeft w:val="0"/>
      <w:marRight w:val="0"/>
      <w:marTop w:val="0"/>
      <w:marBottom w:val="0"/>
      <w:divBdr>
        <w:top w:val="none" w:sz="0" w:space="0" w:color="auto"/>
        <w:left w:val="none" w:sz="0" w:space="0" w:color="auto"/>
        <w:bottom w:val="none" w:sz="0" w:space="0" w:color="auto"/>
        <w:right w:val="none" w:sz="0" w:space="0" w:color="auto"/>
      </w:divBdr>
    </w:div>
    <w:div w:id="1115834452">
      <w:bodyDiv w:val="1"/>
      <w:marLeft w:val="0"/>
      <w:marRight w:val="0"/>
      <w:marTop w:val="0"/>
      <w:marBottom w:val="0"/>
      <w:divBdr>
        <w:top w:val="none" w:sz="0" w:space="0" w:color="auto"/>
        <w:left w:val="none" w:sz="0" w:space="0" w:color="auto"/>
        <w:bottom w:val="none" w:sz="0" w:space="0" w:color="auto"/>
        <w:right w:val="none" w:sz="0" w:space="0" w:color="auto"/>
      </w:divBdr>
    </w:div>
    <w:div w:id="1115902438">
      <w:bodyDiv w:val="1"/>
      <w:marLeft w:val="0"/>
      <w:marRight w:val="0"/>
      <w:marTop w:val="0"/>
      <w:marBottom w:val="0"/>
      <w:divBdr>
        <w:top w:val="none" w:sz="0" w:space="0" w:color="auto"/>
        <w:left w:val="none" w:sz="0" w:space="0" w:color="auto"/>
        <w:bottom w:val="none" w:sz="0" w:space="0" w:color="auto"/>
        <w:right w:val="none" w:sz="0" w:space="0" w:color="auto"/>
      </w:divBdr>
    </w:div>
    <w:div w:id="1116021056">
      <w:bodyDiv w:val="1"/>
      <w:marLeft w:val="0"/>
      <w:marRight w:val="0"/>
      <w:marTop w:val="0"/>
      <w:marBottom w:val="0"/>
      <w:divBdr>
        <w:top w:val="none" w:sz="0" w:space="0" w:color="auto"/>
        <w:left w:val="none" w:sz="0" w:space="0" w:color="auto"/>
        <w:bottom w:val="none" w:sz="0" w:space="0" w:color="auto"/>
        <w:right w:val="none" w:sz="0" w:space="0" w:color="auto"/>
      </w:divBdr>
    </w:div>
    <w:div w:id="1116027235">
      <w:bodyDiv w:val="1"/>
      <w:marLeft w:val="0"/>
      <w:marRight w:val="0"/>
      <w:marTop w:val="0"/>
      <w:marBottom w:val="0"/>
      <w:divBdr>
        <w:top w:val="none" w:sz="0" w:space="0" w:color="auto"/>
        <w:left w:val="none" w:sz="0" w:space="0" w:color="auto"/>
        <w:bottom w:val="none" w:sz="0" w:space="0" w:color="auto"/>
        <w:right w:val="none" w:sz="0" w:space="0" w:color="auto"/>
      </w:divBdr>
    </w:div>
    <w:div w:id="1116172755">
      <w:bodyDiv w:val="1"/>
      <w:marLeft w:val="0"/>
      <w:marRight w:val="0"/>
      <w:marTop w:val="0"/>
      <w:marBottom w:val="0"/>
      <w:divBdr>
        <w:top w:val="none" w:sz="0" w:space="0" w:color="auto"/>
        <w:left w:val="none" w:sz="0" w:space="0" w:color="auto"/>
        <w:bottom w:val="none" w:sz="0" w:space="0" w:color="auto"/>
        <w:right w:val="none" w:sz="0" w:space="0" w:color="auto"/>
      </w:divBdr>
    </w:div>
    <w:div w:id="1116365343">
      <w:bodyDiv w:val="1"/>
      <w:marLeft w:val="0"/>
      <w:marRight w:val="0"/>
      <w:marTop w:val="0"/>
      <w:marBottom w:val="0"/>
      <w:divBdr>
        <w:top w:val="none" w:sz="0" w:space="0" w:color="auto"/>
        <w:left w:val="none" w:sz="0" w:space="0" w:color="auto"/>
        <w:bottom w:val="none" w:sz="0" w:space="0" w:color="auto"/>
        <w:right w:val="none" w:sz="0" w:space="0" w:color="auto"/>
      </w:divBdr>
    </w:div>
    <w:div w:id="1116564504">
      <w:bodyDiv w:val="1"/>
      <w:marLeft w:val="0"/>
      <w:marRight w:val="0"/>
      <w:marTop w:val="0"/>
      <w:marBottom w:val="0"/>
      <w:divBdr>
        <w:top w:val="none" w:sz="0" w:space="0" w:color="auto"/>
        <w:left w:val="none" w:sz="0" w:space="0" w:color="auto"/>
        <w:bottom w:val="none" w:sz="0" w:space="0" w:color="auto"/>
        <w:right w:val="none" w:sz="0" w:space="0" w:color="auto"/>
      </w:divBdr>
    </w:div>
    <w:div w:id="1116633928">
      <w:bodyDiv w:val="1"/>
      <w:marLeft w:val="0"/>
      <w:marRight w:val="0"/>
      <w:marTop w:val="0"/>
      <w:marBottom w:val="0"/>
      <w:divBdr>
        <w:top w:val="none" w:sz="0" w:space="0" w:color="auto"/>
        <w:left w:val="none" w:sz="0" w:space="0" w:color="auto"/>
        <w:bottom w:val="none" w:sz="0" w:space="0" w:color="auto"/>
        <w:right w:val="none" w:sz="0" w:space="0" w:color="auto"/>
      </w:divBdr>
    </w:div>
    <w:div w:id="1116870517">
      <w:bodyDiv w:val="1"/>
      <w:marLeft w:val="0"/>
      <w:marRight w:val="0"/>
      <w:marTop w:val="0"/>
      <w:marBottom w:val="0"/>
      <w:divBdr>
        <w:top w:val="none" w:sz="0" w:space="0" w:color="auto"/>
        <w:left w:val="none" w:sz="0" w:space="0" w:color="auto"/>
        <w:bottom w:val="none" w:sz="0" w:space="0" w:color="auto"/>
        <w:right w:val="none" w:sz="0" w:space="0" w:color="auto"/>
      </w:divBdr>
    </w:div>
    <w:div w:id="1117984614">
      <w:bodyDiv w:val="1"/>
      <w:marLeft w:val="0"/>
      <w:marRight w:val="0"/>
      <w:marTop w:val="0"/>
      <w:marBottom w:val="0"/>
      <w:divBdr>
        <w:top w:val="none" w:sz="0" w:space="0" w:color="auto"/>
        <w:left w:val="none" w:sz="0" w:space="0" w:color="auto"/>
        <w:bottom w:val="none" w:sz="0" w:space="0" w:color="auto"/>
        <w:right w:val="none" w:sz="0" w:space="0" w:color="auto"/>
      </w:divBdr>
    </w:div>
    <w:div w:id="1118110554">
      <w:bodyDiv w:val="1"/>
      <w:marLeft w:val="0"/>
      <w:marRight w:val="0"/>
      <w:marTop w:val="0"/>
      <w:marBottom w:val="0"/>
      <w:divBdr>
        <w:top w:val="none" w:sz="0" w:space="0" w:color="auto"/>
        <w:left w:val="none" w:sz="0" w:space="0" w:color="auto"/>
        <w:bottom w:val="none" w:sz="0" w:space="0" w:color="auto"/>
        <w:right w:val="none" w:sz="0" w:space="0" w:color="auto"/>
      </w:divBdr>
    </w:div>
    <w:div w:id="1118716256">
      <w:bodyDiv w:val="1"/>
      <w:marLeft w:val="0"/>
      <w:marRight w:val="0"/>
      <w:marTop w:val="0"/>
      <w:marBottom w:val="0"/>
      <w:divBdr>
        <w:top w:val="none" w:sz="0" w:space="0" w:color="auto"/>
        <w:left w:val="none" w:sz="0" w:space="0" w:color="auto"/>
        <w:bottom w:val="none" w:sz="0" w:space="0" w:color="auto"/>
        <w:right w:val="none" w:sz="0" w:space="0" w:color="auto"/>
      </w:divBdr>
    </w:div>
    <w:div w:id="1121533790">
      <w:bodyDiv w:val="1"/>
      <w:marLeft w:val="0"/>
      <w:marRight w:val="0"/>
      <w:marTop w:val="0"/>
      <w:marBottom w:val="0"/>
      <w:divBdr>
        <w:top w:val="none" w:sz="0" w:space="0" w:color="auto"/>
        <w:left w:val="none" w:sz="0" w:space="0" w:color="auto"/>
        <w:bottom w:val="none" w:sz="0" w:space="0" w:color="auto"/>
        <w:right w:val="none" w:sz="0" w:space="0" w:color="auto"/>
      </w:divBdr>
    </w:div>
    <w:div w:id="1121997806">
      <w:bodyDiv w:val="1"/>
      <w:marLeft w:val="0"/>
      <w:marRight w:val="0"/>
      <w:marTop w:val="0"/>
      <w:marBottom w:val="0"/>
      <w:divBdr>
        <w:top w:val="none" w:sz="0" w:space="0" w:color="auto"/>
        <w:left w:val="none" w:sz="0" w:space="0" w:color="auto"/>
        <w:bottom w:val="none" w:sz="0" w:space="0" w:color="auto"/>
        <w:right w:val="none" w:sz="0" w:space="0" w:color="auto"/>
      </w:divBdr>
    </w:div>
    <w:div w:id="1122066686">
      <w:bodyDiv w:val="1"/>
      <w:marLeft w:val="0"/>
      <w:marRight w:val="0"/>
      <w:marTop w:val="0"/>
      <w:marBottom w:val="0"/>
      <w:divBdr>
        <w:top w:val="none" w:sz="0" w:space="0" w:color="auto"/>
        <w:left w:val="none" w:sz="0" w:space="0" w:color="auto"/>
        <w:bottom w:val="none" w:sz="0" w:space="0" w:color="auto"/>
        <w:right w:val="none" w:sz="0" w:space="0" w:color="auto"/>
      </w:divBdr>
    </w:div>
    <w:div w:id="1122114194">
      <w:bodyDiv w:val="1"/>
      <w:marLeft w:val="0"/>
      <w:marRight w:val="0"/>
      <w:marTop w:val="0"/>
      <w:marBottom w:val="0"/>
      <w:divBdr>
        <w:top w:val="none" w:sz="0" w:space="0" w:color="auto"/>
        <w:left w:val="none" w:sz="0" w:space="0" w:color="auto"/>
        <w:bottom w:val="none" w:sz="0" w:space="0" w:color="auto"/>
        <w:right w:val="none" w:sz="0" w:space="0" w:color="auto"/>
      </w:divBdr>
    </w:div>
    <w:div w:id="1123235521">
      <w:bodyDiv w:val="1"/>
      <w:marLeft w:val="0"/>
      <w:marRight w:val="0"/>
      <w:marTop w:val="0"/>
      <w:marBottom w:val="0"/>
      <w:divBdr>
        <w:top w:val="none" w:sz="0" w:space="0" w:color="auto"/>
        <w:left w:val="none" w:sz="0" w:space="0" w:color="auto"/>
        <w:bottom w:val="none" w:sz="0" w:space="0" w:color="auto"/>
        <w:right w:val="none" w:sz="0" w:space="0" w:color="auto"/>
      </w:divBdr>
    </w:div>
    <w:div w:id="1124424918">
      <w:bodyDiv w:val="1"/>
      <w:marLeft w:val="0"/>
      <w:marRight w:val="0"/>
      <w:marTop w:val="0"/>
      <w:marBottom w:val="0"/>
      <w:divBdr>
        <w:top w:val="none" w:sz="0" w:space="0" w:color="auto"/>
        <w:left w:val="none" w:sz="0" w:space="0" w:color="auto"/>
        <w:bottom w:val="none" w:sz="0" w:space="0" w:color="auto"/>
        <w:right w:val="none" w:sz="0" w:space="0" w:color="auto"/>
      </w:divBdr>
    </w:div>
    <w:div w:id="1125275277">
      <w:bodyDiv w:val="1"/>
      <w:marLeft w:val="0"/>
      <w:marRight w:val="0"/>
      <w:marTop w:val="0"/>
      <w:marBottom w:val="0"/>
      <w:divBdr>
        <w:top w:val="none" w:sz="0" w:space="0" w:color="auto"/>
        <w:left w:val="none" w:sz="0" w:space="0" w:color="auto"/>
        <w:bottom w:val="none" w:sz="0" w:space="0" w:color="auto"/>
        <w:right w:val="none" w:sz="0" w:space="0" w:color="auto"/>
      </w:divBdr>
    </w:div>
    <w:div w:id="1125850277">
      <w:bodyDiv w:val="1"/>
      <w:marLeft w:val="0"/>
      <w:marRight w:val="0"/>
      <w:marTop w:val="0"/>
      <w:marBottom w:val="0"/>
      <w:divBdr>
        <w:top w:val="none" w:sz="0" w:space="0" w:color="auto"/>
        <w:left w:val="none" w:sz="0" w:space="0" w:color="auto"/>
        <w:bottom w:val="none" w:sz="0" w:space="0" w:color="auto"/>
        <w:right w:val="none" w:sz="0" w:space="0" w:color="auto"/>
      </w:divBdr>
    </w:div>
    <w:div w:id="1125928138">
      <w:bodyDiv w:val="1"/>
      <w:marLeft w:val="0"/>
      <w:marRight w:val="0"/>
      <w:marTop w:val="0"/>
      <w:marBottom w:val="0"/>
      <w:divBdr>
        <w:top w:val="none" w:sz="0" w:space="0" w:color="auto"/>
        <w:left w:val="none" w:sz="0" w:space="0" w:color="auto"/>
        <w:bottom w:val="none" w:sz="0" w:space="0" w:color="auto"/>
        <w:right w:val="none" w:sz="0" w:space="0" w:color="auto"/>
      </w:divBdr>
    </w:div>
    <w:div w:id="1126393063">
      <w:bodyDiv w:val="1"/>
      <w:marLeft w:val="0"/>
      <w:marRight w:val="0"/>
      <w:marTop w:val="0"/>
      <w:marBottom w:val="0"/>
      <w:divBdr>
        <w:top w:val="none" w:sz="0" w:space="0" w:color="auto"/>
        <w:left w:val="none" w:sz="0" w:space="0" w:color="auto"/>
        <w:bottom w:val="none" w:sz="0" w:space="0" w:color="auto"/>
        <w:right w:val="none" w:sz="0" w:space="0" w:color="auto"/>
      </w:divBdr>
    </w:div>
    <w:div w:id="1126966775">
      <w:bodyDiv w:val="1"/>
      <w:marLeft w:val="0"/>
      <w:marRight w:val="0"/>
      <w:marTop w:val="0"/>
      <w:marBottom w:val="0"/>
      <w:divBdr>
        <w:top w:val="none" w:sz="0" w:space="0" w:color="auto"/>
        <w:left w:val="none" w:sz="0" w:space="0" w:color="auto"/>
        <w:bottom w:val="none" w:sz="0" w:space="0" w:color="auto"/>
        <w:right w:val="none" w:sz="0" w:space="0" w:color="auto"/>
      </w:divBdr>
    </w:div>
    <w:div w:id="1127158790">
      <w:bodyDiv w:val="1"/>
      <w:marLeft w:val="0"/>
      <w:marRight w:val="0"/>
      <w:marTop w:val="0"/>
      <w:marBottom w:val="0"/>
      <w:divBdr>
        <w:top w:val="none" w:sz="0" w:space="0" w:color="auto"/>
        <w:left w:val="none" w:sz="0" w:space="0" w:color="auto"/>
        <w:bottom w:val="none" w:sz="0" w:space="0" w:color="auto"/>
        <w:right w:val="none" w:sz="0" w:space="0" w:color="auto"/>
      </w:divBdr>
    </w:div>
    <w:div w:id="1127703213">
      <w:bodyDiv w:val="1"/>
      <w:marLeft w:val="0"/>
      <w:marRight w:val="0"/>
      <w:marTop w:val="0"/>
      <w:marBottom w:val="0"/>
      <w:divBdr>
        <w:top w:val="none" w:sz="0" w:space="0" w:color="auto"/>
        <w:left w:val="none" w:sz="0" w:space="0" w:color="auto"/>
        <w:bottom w:val="none" w:sz="0" w:space="0" w:color="auto"/>
        <w:right w:val="none" w:sz="0" w:space="0" w:color="auto"/>
      </w:divBdr>
    </w:div>
    <w:div w:id="1127818525">
      <w:bodyDiv w:val="1"/>
      <w:marLeft w:val="0"/>
      <w:marRight w:val="0"/>
      <w:marTop w:val="0"/>
      <w:marBottom w:val="0"/>
      <w:divBdr>
        <w:top w:val="none" w:sz="0" w:space="0" w:color="auto"/>
        <w:left w:val="none" w:sz="0" w:space="0" w:color="auto"/>
        <w:bottom w:val="none" w:sz="0" w:space="0" w:color="auto"/>
        <w:right w:val="none" w:sz="0" w:space="0" w:color="auto"/>
      </w:divBdr>
    </w:div>
    <w:div w:id="1128473095">
      <w:bodyDiv w:val="1"/>
      <w:marLeft w:val="0"/>
      <w:marRight w:val="0"/>
      <w:marTop w:val="0"/>
      <w:marBottom w:val="0"/>
      <w:divBdr>
        <w:top w:val="none" w:sz="0" w:space="0" w:color="auto"/>
        <w:left w:val="none" w:sz="0" w:space="0" w:color="auto"/>
        <w:bottom w:val="none" w:sz="0" w:space="0" w:color="auto"/>
        <w:right w:val="none" w:sz="0" w:space="0" w:color="auto"/>
      </w:divBdr>
    </w:div>
    <w:div w:id="1128746558">
      <w:bodyDiv w:val="1"/>
      <w:marLeft w:val="0"/>
      <w:marRight w:val="0"/>
      <w:marTop w:val="0"/>
      <w:marBottom w:val="0"/>
      <w:divBdr>
        <w:top w:val="none" w:sz="0" w:space="0" w:color="auto"/>
        <w:left w:val="none" w:sz="0" w:space="0" w:color="auto"/>
        <w:bottom w:val="none" w:sz="0" w:space="0" w:color="auto"/>
        <w:right w:val="none" w:sz="0" w:space="0" w:color="auto"/>
      </w:divBdr>
    </w:div>
    <w:div w:id="1129081995">
      <w:bodyDiv w:val="1"/>
      <w:marLeft w:val="0"/>
      <w:marRight w:val="0"/>
      <w:marTop w:val="0"/>
      <w:marBottom w:val="0"/>
      <w:divBdr>
        <w:top w:val="none" w:sz="0" w:space="0" w:color="auto"/>
        <w:left w:val="none" w:sz="0" w:space="0" w:color="auto"/>
        <w:bottom w:val="none" w:sz="0" w:space="0" w:color="auto"/>
        <w:right w:val="none" w:sz="0" w:space="0" w:color="auto"/>
      </w:divBdr>
    </w:div>
    <w:div w:id="1129203936">
      <w:bodyDiv w:val="1"/>
      <w:marLeft w:val="0"/>
      <w:marRight w:val="0"/>
      <w:marTop w:val="0"/>
      <w:marBottom w:val="0"/>
      <w:divBdr>
        <w:top w:val="none" w:sz="0" w:space="0" w:color="auto"/>
        <w:left w:val="none" w:sz="0" w:space="0" w:color="auto"/>
        <w:bottom w:val="none" w:sz="0" w:space="0" w:color="auto"/>
        <w:right w:val="none" w:sz="0" w:space="0" w:color="auto"/>
      </w:divBdr>
    </w:div>
    <w:div w:id="1129518202">
      <w:bodyDiv w:val="1"/>
      <w:marLeft w:val="0"/>
      <w:marRight w:val="0"/>
      <w:marTop w:val="0"/>
      <w:marBottom w:val="0"/>
      <w:divBdr>
        <w:top w:val="none" w:sz="0" w:space="0" w:color="auto"/>
        <w:left w:val="none" w:sz="0" w:space="0" w:color="auto"/>
        <w:bottom w:val="none" w:sz="0" w:space="0" w:color="auto"/>
        <w:right w:val="none" w:sz="0" w:space="0" w:color="auto"/>
      </w:divBdr>
    </w:div>
    <w:div w:id="1129859288">
      <w:bodyDiv w:val="1"/>
      <w:marLeft w:val="0"/>
      <w:marRight w:val="0"/>
      <w:marTop w:val="0"/>
      <w:marBottom w:val="0"/>
      <w:divBdr>
        <w:top w:val="none" w:sz="0" w:space="0" w:color="auto"/>
        <w:left w:val="none" w:sz="0" w:space="0" w:color="auto"/>
        <w:bottom w:val="none" w:sz="0" w:space="0" w:color="auto"/>
        <w:right w:val="none" w:sz="0" w:space="0" w:color="auto"/>
      </w:divBdr>
      <w:divsChild>
        <w:div w:id="963075581">
          <w:marLeft w:val="0"/>
          <w:marRight w:val="0"/>
          <w:marTop w:val="0"/>
          <w:marBottom w:val="0"/>
          <w:divBdr>
            <w:top w:val="none" w:sz="0" w:space="0" w:color="auto"/>
            <w:left w:val="none" w:sz="0" w:space="0" w:color="auto"/>
            <w:bottom w:val="none" w:sz="0" w:space="0" w:color="auto"/>
            <w:right w:val="none" w:sz="0" w:space="0" w:color="auto"/>
          </w:divBdr>
        </w:div>
        <w:div w:id="971788672">
          <w:marLeft w:val="0"/>
          <w:marRight w:val="0"/>
          <w:marTop w:val="0"/>
          <w:marBottom w:val="0"/>
          <w:divBdr>
            <w:top w:val="none" w:sz="0" w:space="0" w:color="auto"/>
            <w:left w:val="none" w:sz="0" w:space="0" w:color="auto"/>
            <w:bottom w:val="none" w:sz="0" w:space="0" w:color="auto"/>
            <w:right w:val="none" w:sz="0" w:space="0" w:color="auto"/>
          </w:divBdr>
        </w:div>
        <w:div w:id="1306623026">
          <w:marLeft w:val="0"/>
          <w:marRight w:val="0"/>
          <w:marTop w:val="0"/>
          <w:marBottom w:val="0"/>
          <w:divBdr>
            <w:top w:val="none" w:sz="0" w:space="0" w:color="auto"/>
            <w:left w:val="none" w:sz="0" w:space="0" w:color="auto"/>
            <w:bottom w:val="none" w:sz="0" w:space="0" w:color="auto"/>
            <w:right w:val="none" w:sz="0" w:space="0" w:color="auto"/>
          </w:divBdr>
        </w:div>
        <w:div w:id="1337659561">
          <w:marLeft w:val="0"/>
          <w:marRight w:val="0"/>
          <w:marTop w:val="0"/>
          <w:marBottom w:val="0"/>
          <w:divBdr>
            <w:top w:val="none" w:sz="0" w:space="0" w:color="auto"/>
            <w:left w:val="none" w:sz="0" w:space="0" w:color="auto"/>
            <w:bottom w:val="none" w:sz="0" w:space="0" w:color="auto"/>
            <w:right w:val="none" w:sz="0" w:space="0" w:color="auto"/>
          </w:divBdr>
        </w:div>
        <w:div w:id="1979996028">
          <w:marLeft w:val="0"/>
          <w:marRight w:val="0"/>
          <w:marTop w:val="0"/>
          <w:marBottom w:val="0"/>
          <w:divBdr>
            <w:top w:val="none" w:sz="0" w:space="0" w:color="auto"/>
            <w:left w:val="none" w:sz="0" w:space="0" w:color="auto"/>
            <w:bottom w:val="none" w:sz="0" w:space="0" w:color="auto"/>
            <w:right w:val="none" w:sz="0" w:space="0" w:color="auto"/>
          </w:divBdr>
        </w:div>
      </w:divsChild>
    </w:div>
    <w:div w:id="1130631362">
      <w:bodyDiv w:val="1"/>
      <w:marLeft w:val="0"/>
      <w:marRight w:val="0"/>
      <w:marTop w:val="0"/>
      <w:marBottom w:val="0"/>
      <w:divBdr>
        <w:top w:val="none" w:sz="0" w:space="0" w:color="auto"/>
        <w:left w:val="none" w:sz="0" w:space="0" w:color="auto"/>
        <w:bottom w:val="none" w:sz="0" w:space="0" w:color="auto"/>
        <w:right w:val="none" w:sz="0" w:space="0" w:color="auto"/>
      </w:divBdr>
    </w:div>
    <w:div w:id="1131365125">
      <w:bodyDiv w:val="1"/>
      <w:marLeft w:val="0"/>
      <w:marRight w:val="0"/>
      <w:marTop w:val="0"/>
      <w:marBottom w:val="0"/>
      <w:divBdr>
        <w:top w:val="none" w:sz="0" w:space="0" w:color="auto"/>
        <w:left w:val="none" w:sz="0" w:space="0" w:color="auto"/>
        <w:bottom w:val="none" w:sz="0" w:space="0" w:color="auto"/>
        <w:right w:val="none" w:sz="0" w:space="0" w:color="auto"/>
      </w:divBdr>
    </w:div>
    <w:div w:id="1131434545">
      <w:bodyDiv w:val="1"/>
      <w:marLeft w:val="0"/>
      <w:marRight w:val="0"/>
      <w:marTop w:val="0"/>
      <w:marBottom w:val="0"/>
      <w:divBdr>
        <w:top w:val="none" w:sz="0" w:space="0" w:color="auto"/>
        <w:left w:val="none" w:sz="0" w:space="0" w:color="auto"/>
        <w:bottom w:val="none" w:sz="0" w:space="0" w:color="auto"/>
        <w:right w:val="none" w:sz="0" w:space="0" w:color="auto"/>
      </w:divBdr>
    </w:div>
    <w:div w:id="1131704175">
      <w:bodyDiv w:val="1"/>
      <w:marLeft w:val="0"/>
      <w:marRight w:val="0"/>
      <w:marTop w:val="0"/>
      <w:marBottom w:val="0"/>
      <w:divBdr>
        <w:top w:val="none" w:sz="0" w:space="0" w:color="auto"/>
        <w:left w:val="none" w:sz="0" w:space="0" w:color="auto"/>
        <w:bottom w:val="none" w:sz="0" w:space="0" w:color="auto"/>
        <w:right w:val="none" w:sz="0" w:space="0" w:color="auto"/>
      </w:divBdr>
    </w:div>
    <w:div w:id="1132137160">
      <w:bodyDiv w:val="1"/>
      <w:marLeft w:val="0"/>
      <w:marRight w:val="0"/>
      <w:marTop w:val="0"/>
      <w:marBottom w:val="0"/>
      <w:divBdr>
        <w:top w:val="none" w:sz="0" w:space="0" w:color="auto"/>
        <w:left w:val="none" w:sz="0" w:space="0" w:color="auto"/>
        <w:bottom w:val="none" w:sz="0" w:space="0" w:color="auto"/>
        <w:right w:val="none" w:sz="0" w:space="0" w:color="auto"/>
      </w:divBdr>
    </w:div>
    <w:div w:id="1132527757">
      <w:bodyDiv w:val="1"/>
      <w:marLeft w:val="0"/>
      <w:marRight w:val="0"/>
      <w:marTop w:val="0"/>
      <w:marBottom w:val="0"/>
      <w:divBdr>
        <w:top w:val="none" w:sz="0" w:space="0" w:color="auto"/>
        <w:left w:val="none" w:sz="0" w:space="0" w:color="auto"/>
        <w:bottom w:val="none" w:sz="0" w:space="0" w:color="auto"/>
        <w:right w:val="none" w:sz="0" w:space="0" w:color="auto"/>
      </w:divBdr>
    </w:div>
    <w:div w:id="1132676848">
      <w:bodyDiv w:val="1"/>
      <w:marLeft w:val="0"/>
      <w:marRight w:val="0"/>
      <w:marTop w:val="0"/>
      <w:marBottom w:val="0"/>
      <w:divBdr>
        <w:top w:val="none" w:sz="0" w:space="0" w:color="auto"/>
        <w:left w:val="none" w:sz="0" w:space="0" w:color="auto"/>
        <w:bottom w:val="none" w:sz="0" w:space="0" w:color="auto"/>
        <w:right w:val="none" w:sz="0" w:space="0" w:color="auto"/>
      </w:divBdr>
    </w:div>
    <w:div w:id="1132790811">
      <w:bodyDiv w:val="1"/>
      <w:marLeft w:val="0"/>
      <w:marRight w:val="0"/>
      <w:marTop w:val="0"/>
      <w:marBottom w:val="0"/>
      <w:divBdr>
        <w:top w:val="none" w:sz="0" w:space="0" w:color="auto"/>
        <w:left w:val="none" w:sz="0" w:space="0" w:color="auto"/>
        <w:bottom w:val="none" w:sz="0" w:space="0" w:color="auto"/>
        <w:right w:val="none" w:sz="0" w:space="0" w:color="auto"/>
      </w:divBdr>
    </w:div>
    <w:div w:id="1133522050">
      <w:bodyDiv w:val="1"/>
      <w:marLeft w:val="0"/>
      <w:marRight w:val="0"/>
      <w:marTop w:val="0"/>
      <w:marBottom w:val="0"/>
      <w:divBdr>
        <w:top w:val="none" w:sz="0" w:space="0" w:color="auto"/>
        <w:left w:val="none" w:sz="0" w:space="0" w:color="auto"/>
        <w:bottom w:val="none" w:sz="0" w:space="0" w:color="auto"/>
        <w:right w:val="none" w:sz="0" w:space="0" w:color="auto"/>
      </w:divBdr>
    </w:div>
    <w:div w:id="1133713455">
      <w:bodyDiv w:val="1"/>
      <w:marLeft w:val="0"/>
      <w:marRight w:val="0"/>
      <w:marTop w:val="0"/>
      <w:marBottom w:val="0"/>
      <w:divBdr>
        <w:top w:val="none" w:sz="0" w:space="0" w:color="auto"/>
        <w:left w:val="none" w:sz="0" w:space="0" w:color="auto"/>
        <w:bottom w:val="none" w:sz="0" w:space="0" w:color="auto"/>
        <w:right w:val="none" w:sz="0" w:space="0" w:color="auto"/>
      </w:divBdr>
    </w:div>
    <w:div w:id="1134323818">
      <w:bodyDiv w:val="1"/>
      <w:marLeft w:val="0"/>
      <w:marRight w:val="0"/>
      <w:marTop w:val="0"/>
      <w:marBottom w:val="0"/>
      <w:divBdr>
        <w:top w:val="none" w:sz="0" w:space="0" w:color="auto"/>
        <w:left w:val="none" w:sz="0" w:space="0" w:color="auto"/>
        <w:bottom w:val="none" w:sz="0" w:space="0" w:color="auto"/>
        <w:right w:val="none" w:sz="0" w:space="0" w:color="auto"/>
      </w:divBdr>
    </w:div>
    <w:div w:id="1134327728">
      <w:bodyDiv w:val="1"/>
      <w:marLeft w:val="0"/>
      <w:marRight w:val="0"/>
      <w:marTop w:val="0"/>
      <w:marBottom w:val="0"/>
      <w:divBdr>
        <w:top w:val="none" w:sz="0" w:space="0" w:color="auto"/>
        <w:left w:val="none" w:sz="0" w:space="0" w:color="auto"/>
        <w:bottom w:val="none" w:sz="0" w:space="0" w:color="auto"/>
        <w:right w:val="none" w:sz="0" w:space="0" w:color="auto"/>
      </w:divBdr>
    </w:div>
    <w:div w:id="1134983110">
      <w:bodyDiv w:val="1"/>
      <w:marLeft w:val="0"/>
      <w:marRight w:val="0"/>
      <w:marTop w:val="0"/>
      <w:marBottom w:val="0"/>
      <w:divBdr>
        <w:top w:val="none" w:sz="0" w:space="0" w:color="auto"/>
        <w:left w:val="none" w:sz="0" w:space="0" w:color="auto"/>
        <w:bottom w:val="none" w:sz="0" w:space="0" w:color="auto"/>
        <w:right w:val="none" w:sz="0" w:space="0" w:color="auto"/>
      </w:divBdr>
    </w:div>
    <w:div w:id="1135296492">
      <w:bodyDiv w:val="1"/>
      <w:marLeft w:val="0"/>
      <w:marRight w:val="0"/>
      <w:marTop w:val="0"/>
      <w:marBottom w:val="0"/>
      <w:divBdr>
        <w:top w:val="none" w:sz="0" w:space="0" w:color="auto"/>
        <w:left w:val="none" w:sz="0" w:space="0" w:color="auto"/>
        <w:bottom w:val="none" w:sz="0" w:space="0" w:color="auto"/>
        <w:right w:val="none" w:sz="0" w:space="0" w:color="auto"/>
      </w:divBdr>
    </w:div>
    <w:div w:id="1135488332">
      <w:bodyDiv w:val="1"/>
      <w:marLeft w:val="0"/>
      <w:marRight w:val="0"/>
      <w:marTop w:val="0"/>
      <w:marBottom w:val="0"/>
      <w:divBdr>
        <w:top w:val="none" w:sz="0" w:space="0" w:color="auto"/>
        <w:left w:val="none" w:sz="0" w:space="0" w:color="auto"/>
        <w:bottom w:val="none" w:sz="0" w:space="0" w:color="auto"/>
        <w:right w:val="none" w:sz="0" w:space="0" w:color="auto"/>
      </w:divBdr>
    </w:div>
    <w:div w:id="1135759026">
      <w:bodyDiv w:val="1"/>
      <w:marLeft w:val="0"/>
      <w:marRight w:val="0"/>
      <w:marTop w:val="0"/>
      <w:marBottom w:val="0"/>
      <w:divBdr>
        <w:top w:val="none" w:sz="0" w:space="0" w:color="auto"/>
        <w:left w:val="none" w:sz="0" w:space="0" w:color="auto"/>
        <w:bottom w:val="none" w:sz="0" w:space="0" w:color="auto"/>
        <w:right w:val="none" w:sz="0" w:space="0" w:color="auto"/>
      </w:divBdr>
    </w:div>
    <w:div w:id="1136216929">
      <w:bodyDiv w:val="1"/>
      <w:marLeft w:val="0"/>
      <w:marRight w:val="0"/>
      <w:marTop w:val="0"/>
      <w:marBottom w:val="0"/>
      <w:divBdr>
        <w:top w:val="none" w:sz="0" w:space="0" w:color="auto"/>
        <w:left w:val="none" w:sz="0" w:space="0" w:color="auto"/>
        <w:bottom w:val="none" w:sz="0" w:space="0" w:color="auto"/>
        <w:right w:val="none" w:sz="0" w:space="0" w:color="auto"/>
      </w:divBdr>
    </w:div>
    <w:div w:id="1136292251">
      <w:bodyDiv w:val="1"/>
      <w:marLeft w:val="0"/>
      <w:marRight w:val="0"/>
      <w:marTop w:val="0"/>
      <w:marBottom w:val="0"/>
      <w:divBdr>
        <w:top w:val="none" w:sz="0" w:space="0" w:color="auto"/>
        <w:left w:val="none" w:sz="0" w:space="0" w:color="auto"/>
        <w:bottom w:val="none" w:sz="0" w:space="0" w:color="auto"/>
        <w:right w:val="none" w:sz="0" w:space="0" w:color="auto"/>
      </w:divBdr>
    </w:div>
    <w:div w:id="1138109048">
      <w:bodyDiv w:val="1"/>
      <w:marLeft w:val="0"/>
      <w:marRight w:val="0"/>
      <w:marTop w:val="0"/>
      <w:marBottom w:val="0"/>
      <w:divBdr>
        <w:top w:val="none" w:sz="0" w:space="0" w:color="auto"/>
        <w:left w:val="none" w:sz="0" w:space="0" w:color="auto"/>
        <w:bottom w:val="none" w:sz="0" w:space="0" w:color="auto"/>
        <w:right w:val="none" w:sz="0" w:space="0" w:color="auto"/>
      </w:divBdr>
    </w:div>
    <w:div w:id="1138304651">
      <w:bodyDiv w:val="1"/>
      <w:marLeft w:val="0"/>
      <w:marRight w:val="0"/>
      <w:marTop w:val="0"/>
      <w:marBottom w:val="0"/>
      <w:divBdr>
        <w:top w:val="none" w:sz="0" w:space="0" w:color="auto"/>
        <w:left w:val="none" w:sz="0" w:space="0" w:color="auto"/>
        <w:bottom w:val="none" w:sz="0" w:space="0" w:color="auto"/>
        <w:right w:val="none" w:sz="0" w:space="0" w:color="auto"/>
      </w:divBdr>
    </w:div>
    <w:div w:id="1138913790">
      <w:bodyDiv w:val="1"/>
      <w:marLeft w:val="0"/>
      <w:marRight w:val="0"/>
      <w:marTop w:val="0"/>
      <w:marBottom w:val="0"/>
      <w:divBdr>
        <w:top w:val="none" w:sz="0" w:space="0" w:color="auto"/>
        <w:left w:val="none" w:sz="0" w:space="0" w:color="auto"/>
        <w:bottom w:val="none" w:sz="0" w:space="0" w:color="auto"/>
        <w:right w:val="none" w:sz="0" w:space="0" w:color="auto"/>
      </w:divBdr>
    </w:div>
    <w:div w:id="1139568025">
      <w:bodyDiv w:val="1"/>
      <w:marLeft w:val="0"/>
      <w:marRight w:val="0"/>
      <w:marTop w:val="0"/>
      <w:marBottom w:val="0"/>
      <w:divBdr>
        <w:top w:val="none" w:sz="0" w:space="0" w:color="auto"/>
        <w:left w:val="none" w:sz="0" w:space="0" w:color="auto"/>
        <w:bottom w:val="none" w:sz="0" w:space="0" w:color="auto"/>
        <w:right w:val="none" w:sz="0" w:space="0" w:color="auto"/>
      </w:divBdr>
    </w:div>
    <w:div w:id="1139885534">
      <w:bodyDiv w:val="1"/>
      <w:marLeft w:val="0"/>
      <w:marRight w:val="0"/>
      <w:marTop w:val="0"/>
      <w:marBottom w:val="0"/>
      <w:divBdr>
        <w:top w:val="none" w:sz="0" w:space="0" w:color="auto"/>
        <w:left w:val="none" w:sz="0" w:space="0" w:color="auto"/>
        <w:bottom w:val="none" w:sz="0" w:space="0" w:color="auto"/>
        <w:right w:val="none" w:sz="0" w:space="0" w:color="auto"/>
      </w:divBdr>
    </w:div>
    <w:div w:id="1141457407">
      <w:bodyDiv w:val="1"/>
      <w:marLeft w:val="0"/>
      <w:marRight w:val="0"/>
      <w:marTop w:val="0"/>
      <w:marBottom w:val="0"/>
      <w:divBdr>
        <w:top w:val="none" w:sz="0" w:space="0" w:color="auto"/>
        <w:left w:val="none" w:sz="0" w:space="0" w:color="auto"/>
        <w:bottom w:val="none" w:sz="0" w:space="0" w:color="auto"/>
        <w:right w:val="none" w:sz="0" w:space="0" w:color="auto"/>
      </w:divBdr>
    </w:div>
    <w:div w:id="1141537438">
      <w:bodyDiv w:val="1"/>
      <w:marLeft w:val="0"/>
      <w:marRight w:val="0"/>
      <w:marTop w:val="0"/>
      <w:marBottom w:val="0"/>
      <w:divBdr>
        <w:top w:val="none" w:sz="0" w:space="0" w:color="auto"/>
        <w:left w:val="none" w:sz="0" w:space="0" w:color="auto"/>
        <w:bottom w:val="none" w:sz="0" w:space="0" w:color="auto"/>
        <w:right w:val="none" w:sz="0" w:space="0" w:color="auto"/>
      </w:divBdr>
    </w:div>
    <w:div w:id="1143035738">
      <w:bodyDiv w:val="1"/>
      <w:marLeft w:val="0"/>
      <w:marRight w:val="0"/>
      <w:marTop w:val="0"/>
      <w:marBottom w:val="0"/>
      <w:divBdr>
        <w:top w:val="none" w:sz="0" w:space="0" w:color="auto"/>
        <w:left w:val="none" w:sz="0" w:space="0" w:color="auto"/>
        <w:bottom w:val="none" w:sz="0" w:space="0" w:color="auto"/>
        <w:right w:val="none" w:sz="0" w:space="0" w:color="auto"/>
      </w:divBdr>
    </w:div>
    <w:div w:id="1143038475">
      <w:bodyDiv w:val="1"/>
      <w:marLeft w:val="0"/>
      <w:marRight w:val="0"/>
      <w:marTop w:val="0"/>
      <w:marBottom w:val="0"/>
      <w:divBdr>
        <w:top w:val="none" w:sz="0" w:space="0" w:color="auto"/>
        <w:left w:val="none" w:sz="0" w:space="0" w:color="auto"/>
        <w:bottom w:val="none" w:sz="0" w:space="0" w:color="auto"/>
        <w:right w:val="none" w:sz="0" w:space="0" w:color="auto"/>
      </w:divBdr>
    </w:div>
    <w:div w:id="1143159977">
      <w:bodyDiv w:val="1"/>
      <w:marLeft w:val="0"/>
      <w:marRight w:val="0"/>
      <w:marTop w:val="0"/>
      <w:marBottom w:val="0"/>
      <w:divBdr>
        <w:top w:val="none" w:sz="0" w:space="0" w:color="auto"/>
        <w:left w:val="none" w:sz="0" w:space="0" w:color="auto"/>
        <w:bottom w:val="none" w:sz="0" w:space="0" w:color="auto"/>
        <w:right w:val="none" w:sz="0" w:space="0" w:color="auto"/>
      </w:divBdr>
    </w:div>
    <w:div w:id="1143279625">
      <w:bodyDiv w:val="1"/>
      <w:marLeft w:val="0"/>
      <w:marRight w:val="0"/>
      <w:marTop w:val="0"/>
      <w:marBottom w:val="0"/>
      <w:divBdr>
        <w:top w:val="none" w:sz="0" w:space="0" w:color="auto"/>
        <w:left w:val="none" w:sz="0" w:space="0" w:color="auto"/>
        <w:bottom w:val="none" w:sz="0" w:space="0" w:color="auto"/>
        <w:right w:val="none" w:sz="0" w:space="0" w:color="auto"/>
      </w:divBdr>
    </w:div>
    <w:div w:id="1144203807">
      <w:bodyDiv w:val="1"/>
      <w:marLeft w:val="0"/>
      <w:marRight w:val="0"/>
      <w:marTop w:val="0"/>
      <w:marBottom w:val="0"/>
      <w:divBdr>
        <w:top w:val="none" w:sz="0" w:space="0" w:color="auto"/>
        <w:left w:val="none" w:sz="0" w:space="0" w:color="auto"/>
        <w:bottom w:val="none" w:sz="0" w:space="0" w:color="auto"/>
        <w:right w:val="none" w:sz="0" w:space="0" w:color="auto"/>
      </w:divBdr>
    </w:div>
    <w:div w:id="1145274287">
      <w:bodyDiv w:val="1"/>
      <w:marLeft w:val="0"/>
      <w:marRight w:val="0"/>
      <w:marTop w:val="0"/>
      <w:marBottom w:val="0"/>
      <w:divBdr>
        <w:top w:val="none" w:sz="0" w:space="0" w:color="auto"/>
        <w:left w:val="none" w:sz="0" w:space="0" w:color="auto"/>
        <w:bottom w:val="none" w:sz="0" w:space="0" w:color="auto"/>
        <w:right w:val="none" w:sz="0" w:space="0" w:color="auto"/>
      </w:divBdr>
    </w:div>
    <w:div w:id="1145777394">
      <w:bodyDiv w:val="1"/>
      <w:marLeft w:val="0"/>
      <w:marRight w:val="0"/>
      <w:marTop w:val="0"/>
      <w:marBottom w:val="0"/>
      <w:divBdr>
        <w:top w:val="none" w:sz="0" w:space="0" w:color="auto"/>
        <w:left w:val="none" w:sz="0" w:space="0" w:color="auto"/>
        <w:bottom w:val="none" w:sz="0" w:space="0" w:color="auto"/>
        <w:right w:val="none" w:sz="0" w:space="0" w:color="auto"/>
      </w:divBdr>
    </w:div>
    <w:div w:id="1146437829">
      <w:bodyDiv w:val="1"/>
      <w:marLeft w:val="0"/>
      <w:marRight w:val="0"/>
      <w:marTop w:val="0"/>
      <w:marBottom w:val="0"/>
      <w:divBdr>
        <w:top w:val="none" w:sz="0" w:space="0" w:color="auto"/>
        <w:left w:val="none" w:sz="0" w:space="0" w:color="auto"/>
        <w:bottom w:val="none" w:sz="0" w:space="0" w:color="auto"/>
        <w:right w:val="none" w:sz="0" w:space="0" w:color="auto"/>
      </w:divBdr>
    </w:div>
    <w:div w:id="1146704976">
      <w:bodyDiv w:val="1"/>
      <w:marLeft w:val="0"/>
      <w:marRight w:val="0"/>
      <w:marTop w:val="0"/>
      <w:marBottom w:val="0"/>
      <w:divBdr>
        <w:top w:val="none" w:sz="0" w:space="0" w:color="auto"/>
        <w:left w:val="none" w:sz="0" w:space="0" w:color="auto"/>
        <w:bottom w:val="none" w:sz="0" w:space="0" w:color="auto"/>
        <w:right w:val="none" w:sz="0" w:space="0" w:color="auto"/>
      </w:divBdr>
    </w:div>
    <w:div w:id="1147166062">
      <w:bodyDiv w:val="1"/>
      <w:marLeft w:val="0"/>
      <w:marRight w:val="0"/>
      <w:marTop w:val="0"/>
      <w:marBottom w:val="0"/>
      <w:divBdr>
        <w:top w:val="none" w:sz="0" w:space="0" w:color="auto"/>
        <w:left w:val="none" w:sz="0" w:space="0" w:color="auto"/>
        <w:bottom w:val="none" w:sz="0" w:space="0" w:color="auto"/>
        <w:right w:val="none" w:sz="0" w:space="0" w:color="auto"/>
      </w:divBdr>
    </w:div>
    <w:div w:id="1147354232">
      <w:bodyDiv w:val="1"/>
      <w:marLeft w:val="0"/>
      <w:marRight w:val="0"/>
      <w:marTop w:val="0"/>
      <w:marBottom w:val="0"/>
      <w:divBdr>
        <w:top w:val="none" w:sz="0" w:space="0" w:color="auto"/>
        <w:left w:val="none" w:sz="0" w:space="0" w:color="auto"/>
        <w:bottom w:val="none" w:sz="0" w:space="0" w:color="auto"/>
        <w:right w:val="none" w:sz="0" w:space="0" w:color="auto"/>
      </w:divBdr>
    </w:div>
    <w:div w:id="1147430118">
      <w:bodyDiv w:val="1"/>
      <w:marLeft w:val="0"/>
      <w:marRight w:val="0"/>
      <w:marTop w:val="0"/>
      <w:marBottom w:val="0"/>
      <w:divBdr>
        <w:top w:val="none" w:sz="0" w:space="0" w:color="auto"/>
        <w:left w:val="none" w:sz="0" w:space="0" w:color="auto"/>
        <w:bottom w:val="none" w:sz="0" w:space="0" w:color="auto"/>
        <w:right w:val="none" w:sz="0" w:space="0" w:color="auto"/>
      </w:divBdr>
    </w:div>
    <w:div w:id="1147622158">
      <w:bodyDiv w:val="1"/>
      <w:marLeft w:val="0"/>
      <w:marRight w:val="0"/>
      <w:marTop w:val="0"/>
      <w:marBottom w:val="0"/>
      <w:divBdr>
        <w:top w:val="none" w:sz="0" w:space="0" w:color="auto"/>
        <w:left w:val="none" w:sz="0" w:space="0" w:color="auto"/>
        <w:bottom w:val="none" w:sz="0" w:space="0" w:color="auto"/>
        <w:right w:val="none" w:sz="0" w:space="0" w:color="auto"/>
      </w:divBdr>
    </w:div>
    <w:div w:id="1147816350">
      <w:bodyDiv w:val="1"/>
      <w:marLeft w:val="0"/>
      <w:marRight w:val="0"/>
      <w:marTop w:val="0"/>
      <w:marBottom w:val="0"/>
      <w:divBdr>
        <w:top w:val="none" w:sz="0" w:space="0" w:color="auto"/>
        <w:left w:val="none" w:sz="0" w:space="0" w:color="auto"/>
        <w:bottom w:val="none" w:sz="0" w:space="0" w:color="auto"/>
        <w:right w:val="none" w:sz="0" w:space="0" w:color="auto"/>
      </w:divBdr>
    </w:div>
    <w:div w:id="1148127313">
      <w:bodyDiv w:val="1"/>
      <w:marLeft w:val="0"/>
      <w:marRight w:val="0"/>
      <w:marTop w:val="0"/>
      <w:marBottom w:val="0"/>
      <w:divBdr>
        <w:top w:val="none" w:sz="0" w:space="0" w:color="auto"/>
        <w:left w:val="none" w:sz="0" w:space="0" w:color="auto"/>
        <w:bottom w:val="none" w:sz="0" w:space="0" w:color="auto"/>
        <w:right w:val="none" w:sz="0" w:space="0" w:color="auto"/>
      </w:divBdr>
    </w:div>
    <w:div w:id="1148287066">
      <w:bodyDiv w:val="1"/>
      <w:marLeft w:val="0"/>
      <w:marRight w:val="0"/>
      <w:marTop w:val="0"/>
      <w:marBottom w:val="0"/>
      <w:divBdr>
        <w:top w:val="none" w:sz="0" w:space="0" w:color="auto"/>
        <w:left w:val="none" w:sz="0" w:space="0" w:color="auto"/>
        <w:bottom w:val="none" w:sz="0" w:space="0" w:color="auto"/>
        <w:right w:val="none" w:sz="0" w:space="0" w:color="auto"/>
      </w:divBdr>
    </w:div>
    <w:div w:id="1149440112">
      <w:bodyDiv w:val="1"/>
      <w:marLeft w:val="0"/>
      <w:marRight w:val="0"/>
      <w:marTop w:val="0"/>
      <w:marBottom w:val="0"/>
      <w:divBdr>
        <w:top w:val="none" w:sz="0" w:space="0" w:color="auto"/>
        <w:left w:val="none" w:sz="0" w:space="0" w:color="auto"/>
        <w:bottom w:val="none" w:sz="0" w:space="0" w:color="auto"/>
        <w:right w:val="none" w:sz="0" w:space="0" w:color="auto"/>
      </w:divBdr>
    </w:div>
    <w:div w:id="1150098705">
      <w:bodyDiv w:val="1"/>
      <w:marLeft w:val="0"/>
      <w:marRight w:val="0"/>
      <w:marTop w:val="0"/>
      <w:marBottom w:val="0"/>
      <w:divBdr>
        <w:top w:val="none" w:sz="0" w:space="0" w:color="auto"/>
        <w:left w:val="none" w:sz="0" w:space="0" w:color="auto"/>
        <w:bottom w:val="none" w:sz="0" w:space="0" w:color="auto"/>
        <w:right w:val="none" w:sz="0" w:space="0" w:color="auto"/>
      </w:divBdr>
    </w:div>
    <w:div w:id="1150293792">
      <w:bodyDiv w:val="1"/>
      <w:marLeft w:val="0"/>
      <w:marRight w:val="0"/>
      <w:marTop w:val="0"/>
      <w:marBottom w:val="0"/>
      <w:divBdr>
        <w:top w:val="none" w:sz="0" w:space="0" w:color="auto"/>
        <w:left w:val="none" w:sz="0" w:space="0" w:color="auto"/>
        <w:bottom w:val="none" w:sz="0" w:space="0" w:color="auto"/>
        <w:right w:val="none" w:sz="0" w:space="0" w:color="auto"/>
      </w:divBdr>
    </w:div>
    <w:div w:id="1151286997">
      <w:bodyDiv w:val="1"/>
      <w:marLeft w:val="0"/>
      <w:marRight w:val="0"/>
      <w:marTop w:val="0"/>
      <w:marBottom w:val="0"/>
      <w:divBdr>
        <w:top w:val="none" w:sz="0" w:space="0" w:color="auto"/>
        <w:left w:val="none" w:sz="0" w:space="0" w:color="auto"/>
        <w:bottom w:val="none" w:sz="0" w:space="0" w:color="auto"/>
        <w:right w:val="none" w:sz="0" w:space="0" w:color="auto"/>
      </w:divBdr>
    </w:div>
    <w:div w:id="1151605526">
      <w:bodyDiv w:val="1"/>
      <w:marLeft w:val="0"/>
      <w:marRight w:val="0"/>
      <w:marTop w:val="0"/>
      <w:marBottom w:val="0"/>
      <w:divBdr>
        <w:top w:val="none" w:sz="0" w:space="0" w:color="auto"/>
        <w:left w:val="none" w:sz="0" w:space="0" w:color="auto"/>
        <w:bottom w:val="none" w:sz="0" w:space="0" w:color="auto"/>
        <w:right w:val="none" w:sz="0" w:space="0" w:color="auto"/>
      </w:divBdr>
    </w:div>
    <w:div w:id="1152257933">
      <w:bodyDiv w:val="1"/>
      <w:marLeft w:val="0"/>
      <w:marRight w:val="0"/>
      <w:marTop w:val="0"/>
      <w:marBottom w:val="0"/>
      <w:divBdr>
        <w:top w:val="none" w:sz="0" w:space="0" w:color="auto"/>
        <w:left w:val="none" w:sz="0" w:space="0" w:color="auto"/>
        <w:bottom w:val="none" w:sz="0" w:space="0" w:color="auto"/>
        <w:right w:val="none" w:sz="0" w:space="0" w:color="auto"/>
      </w:divBdr>
    </w:div>
    <w:div w:id="1153060999">
      <w:bodyDiv w:val="1"/>
      <w:marLeft w:val="0"/>
      <w:marRight w:val="0"/>
      <w:marTop w:val="0"/>
      <w:marBottom w:val="0"/>
      <w:divBdr>
        <w:top w:val="none" w:sz="0" w:space="0" w:color="auto"/>
        <w:left w:val="none" w:sz="0" w:space="0" w:color="auto"/>
        <w:bottom w:val="none" w:sz="0" w:space="0" w:color="auto"/>
        <w:right w:val="none" w:sz="0" w:space="0" w:color="auto"/>
      </w:divBdr>
    </w:div>
    <w:div w:id="1154686771">
      <w:bodyDiv w:val="1"/>
      <w:marLeft w:val="0"/>
      <w:marRight w:val="0"/>
      <w:marTop w:val="0"/>
      <w:marBottom w:val="0"/>
      <w:divBdr>
        <w:top w:val="none" w:sz="0" w:space="0" w:color="auto"/>
        <w:left w:val="none" w:sz="0" w:space="0" w:color="auto"/>
        <w:bottom w:val="none" w:sz="0" w:space="0" w:color="auto"/>
        <w:right w:val="none" w:sz="0" w:space="0" w:color="auto"/>
      </w:divBdr>
    </w:div>
    <w:div w:id="1155755049">
      <w:bodyDiv w:val="1"/>
      <w:marLeft w:val="0"/>
      <w:marRight w:val="0"/>
      <w:marTop w:val="0"/>
      <w:marBottom w:val="0"/>
      <w:divBdr>
        <w:top w:val="none" w:sz="0" w:space="0" w:color="auto"/>
        <w:left w:val="none" w:sz="0" w:space="0" w:color="auto"/>
        <w:bottom w:val="none" w:sz="0" w:space="0" w:color="auto"/>
        <w:right w:val="none" w:sz="0" w:space="0" w:color="auto"/>
      </w:divBdr>
    </w:div>
    <w:div w:id="1156146298">
      <w:bodyDiv w:val="1"/>
      <w:marLeft w:val="0"/>
      <w:marRight w:val="0"/>
      <w:marTop w:val="0"/>
      <w:marBottom w:val="0"/>
      <w:divBdr>
        <w:top w:val="none" w:sz="0" w:space="0" w:color="auto"/>
        <w:left w:val="none" w:sz="0" w:space="0" w:color="auto"/>
        <w:bottom w:val="none" w:sz="0" w:space="0" w:color="auto"/>
        <w:right w:val="none" w:sz="0" w:space="0" w:color="auto"/>
      </w:divBdr>
    </w:div>
    <w:div w:id="1156260689">
      <w:bodyDiv w:val="1"/>
      <w:marLeft w:val="0"/>
      <w:marRight w:val="0"/>
      <w:marTop w:val="0"/>
      <w:marBottom w:val="0"/>
      <w:divBdr>
        <w:top w:val="none" w:sz="0" w:space="0" w:color="auto"/>
        <w:left w:val="none" w:sz="0" w:space="0" w:color="auto"/>
        <w:bottom w:val="none" w:sz="0" w:space="0" w:color="auto"/>
        <w:right w:val="none" w:sz="0" w:space="0" w:color="auto"/>
      </w:divBdr>
    </w:div>
    <w:div w:id="1156726497">
      <w:bodyDiv w:val="1"/>
      <w:marLeft w:val="0"/>
      <w:marRight w:val="0"/>
      <w:marTop w:val="0"/>
      <w:marBottom w:val="0"/>
      <w:divBdr>
        <w:top w:val="none" w:sz="0" w:space="0" w:color="auto"/>
        <w:left w:val="none" w:sz="0" w:space="0" w:color="auto"/>
        <w:bottom w:val="none" w:sz="0" w:space="0" w:color="auto"/>
        <w:right w:val="none" w:sz="0" w:space="0" w:color="auto"/>
      </w:divBdr>
    </w:div>
    <w:div w:id="1157069904">
      <w:bodyDiv w:val="1"/>
      <w:marLeft w:val="0"/>
      <w:marRight w:val="0"/>
      <w:marTop w:val="0"/>
      <w:marBottom w:val="0"/>
      <w:divBdr>
        <w:top w:val="none" w:sz="0" w:space="0" w:color="auto"/>
        <w:left w:val="none" w:sz="0" w:space="0" w:color="auto"/>
        <w:bottom w:val="none" w:sz="0" w:space="0" w:color="auto"/>
        <w:right w:val="none" w:sz="0" w:space="0" w:color="auto"/>
      </w:divBdr>
    </w:div>
    <w:div w:id="1157771074">
      <w:bodyDiv w:val="1"/>
      <w:marLeft w:val="0"/>
      <w:marRight w:val="0"/>
      <w:marTop w:val="0"/>
      <w:marBottom w:val="0"/>
      <w:divBdr>
        <w:top w:val="none" w:sz="0" w:space="0" w:color="auto"/>
        <w:left w:val="none" w:sz="0" w:space="0" w:color="auto"/>
        <w:bottom w:val="none" w:sz="0" w:space="0" w:color="auto"/>
        <w:right w:val="none" w:sz="0" w:space="0" w:color="auto"/>
      </w:divBdr>
    </w:div>
    <w:div w:id="1158614729">
      <w:bodyDiv w:val="1"/>
      <w:marLeft w:val="0"/>
      <w:marRight w:val="0"/>
      <w:marTop w:val="0"/>
      <w:marBottom w:val="0"/>
      <w:divBdr>
        <w:top w:val="none" w:sz="0" w:space="0" w:color="auto"/>
        <w:left w:val="none" w:sz="0" w:space="0" w:color="auto"/>
        <w:bottom w:val="none" w:sz="0" w:space="0" w:color="auto"/>
        <w:right w:val="none" w:sz="0" w:space="0" w:color="auto"/>
      </w:divBdr>
    </w:div>
    <w:div w:id="1158886068">
      <w:bodyDiv w:val="1"/>
      <w:marLeft w:val="0"/>
      <w:marRight w:val="0"/>
      <w:marTop w:val="0"/>
      <w:marBottom w:val="0"/>
      <w:divBdr>
        <w:top w:val="none" w:sz="0" w:space="0" w:color="auto"/>
        <w:left w:val="none" w:sz="0" w:space="0" w:color="auto"/>
        <w:bottom w:val="none" w:sz="0" w:space="0" w:color="auto"/>
        <w:right w:val="none" w:sz="0" w:space="0" w:color="auto"/>
      </w:divBdr>
    </w:div>
    <w:div w:id="1159033536">
      <w:bodyDiv w:val="1"/>
      <w:marLeft w:val="0"/>
      <w:marRight w:val="0"/>
      <w:marTop w:val="0"/>
      <w:marBottom w:val="0"/>
      <w:divBdr>
        <w:top w:val="none" w:sz="0" w:space="0" w:color="auto"/>
        <w:left w:val="none" w:sz="0" w:space="0" w:color="auto"/>
        <w:bottom w:val="none" w:sz="0" w:space="0" w:color="auto"/>
        <w:right w:val="none" w:sz="0" w:space="0" w:color="auto"/>
      </w:divBdr>
    </w:div>
    <w:div w:id="1159425266">
      <w:bodyDiv w:val="1"/>
      <w:marLeft w:val="0"/>
      <w:marRight w:val="0"/>
      <w:marTop w:val="0"/>
      <w:marBottom w:val="0"/>
      <w:divBdr>
        <w:top w:val="none" w:sz="0" w:space="0" w:color="auto"/>
        <w:left w:val="none" w:sz="0" w:space="0" w:color="auto"/>
        <w:bottom w:val="none" w:sz="0" w:space="0" w:color="auto"/>
        <w:right w:val="none" w:sz="0" w:space="0" w:color="auto"/>
      </w:divBdr>
    </w:div>
    <w:div w:id="1160079950">
      <w:bodyDiv w:val="1"/>
      <w:marLeft w:val="0"/>
      <w:marRight w:val="0"/>
      <w:marTop w:val="0"/>
      <w:marBottom w:val="0"/>
      <w:divBdr>
        <w:top w:val="none" w:sz="0" w:space="0" w:color="auto"/>
        <w:left w:val="none" w:sz="0" w:space="0" w:color="auto"/>
        <w:bottom w:val="none" w:sz="0" w:space="0" w:color="auto"/>
        <w:right w:val="none" w:sz="0" w:space="0" w:color="auto"/>
      </w:divBdr>
    </w:div>
    <w:div w:id="1160582965">
      <w:bodyDiv w:val="1"/>
      <w:marLeft w:val="0"/>
      <w:marRight w:val="0"/>
      <w:marTop w:val="0"/>
      <w:marBottom w:val="0"/>
      <w:divBdr>
        <w:top w:val="none" w:sz="0" w:space="0" w:color="auto"/>
        <w:left w:val="none" w:sz="0" w:space="0" w:color="auto"/>
        <w:bottom w:val="none" w:sz="0" w:space="0" w:color="auto"/>
        <w:right w:val="none" w:sz="0" w:space="0" w:color="auto"/>
      </w:divBdr>
    </w:div>
    <w:div w:id="1160659370">
      <w:bodyDiv w:val="1"/>
      <w:marLeft w:val="0"/>
      <w:marRight w:val="0"/>
      <w:marTop w:val="0"/>
      <w:marBottom w:val="0"/>
      <w:divBdr>
        <w:top w:val="none" w:sz="0" w:space="0" w:color="auto"/>
        <w:left w:val="none" w:sz="0" w:space="0" w:color="auto"/>
        <w:bottom w:val="none" w:sz="0" w:space="0" w:color="auto"/>
        <w:right w:val="none" w:sz="0" w:space="0" w:color="auto"/>
      </w:divBdr>
    </w:div>
    <w:div w:id="1160850286">
      <w:bodyDiv w:val="1"/>
      <w:marLeft w:val="0"/>
      <w:marRight w:val="0"/>
      <w:marTop w:val="0"/>
      <w:marBottom w:val="0"/>
      <w:divBdr>
        <w:top w:val="none" w:sz="0" w:space="0" w:color="auto"/>
        <w:left w:val="none" w:sz="0" w:space="0" w:color="auto"/>
        <w:bottom w:val="none" w:sz="0" w:space="0" w:color="auto"/>
        <w:right w:val="none" w:sz="0" w:space="0" w:color="auto"/>
      </w:divBdr>
    </w:div>
    <w:div w:id="1161044028">
      <w:bodyDiv w:val="1"/>
      <w:marLeft w:val="0"/>
      <w:marRight w:val="0"/>
      <w:marTop w:val="0"/>
      <w:marBottom w:val="0"/>
      <w:divBdr>
        <w:top w:val="none" w:sz="0" w:space="0" w:color="auto"/>
        <w:left w:val="none" w:sz="0" w:space="0" w:color="auto"/>
        <w:bottom w:val="none" w:sz="0" w:space="0" w:color="auto"/>
        <w:right w:val="none" w:sz="0" w:space="0" w:color="auto"/>
      </w:divBdr>
    </w:div>
    <w:div w:id="1161890239">
      <w:bodyDiv w:val="1"/>
      <w:marLeft w:val="0"/>
      <w:marRight w:val="0"/>
      <w:marTop w:val="0"/>
      <w:marBottom w:val="0"/>
      <w:divBdr>
        <w:top w:val="none" w:sz="0" w:space="0" w:color="auto"/>
        <w:left w:val="none" w:sz="0" w:space="0" w:color="auto"/>
        <w:bottom w:val="none" w:sz="0" w:space="0" w:color="auto"/>
        <w:right w:val="none" w:sz="0" w:space="0" w:color="auto"/>
      </w:divBdr>
    </w:div>
    <w:div w:id="1162165542">
      <w:bodyDiv w:val="1"/>
      <w:marLeft w:val="0"/>
      <w:marRight w:val="0"/>
      <w:marTop w:val="0"/>
      <w:marBottom w:val="0"/>
      <w:divBdr>
        <w:top w:val="none" w:sz="0" w:space="0" w:color="auto"/>
        <w:left w:val="none" w:sz="0" w:space="0" w:color="auto"/>
        <w:bottom w:val="none" w:sz="0" w:space="0" w:color="auto"/>
        <w:right w:val="none" w:sz="0" w:space="0" w:color="auto"/>
      </w:divBdr>
    </w:div>
    <w:div w:id="1162693561">
      <w:bodyDiv w:val="1"/>
      <w:marLeft w:val="0"/>
      <w:marRight w:val="0"/>
      <w:marTop w:val="0"/>
      <w:marBottom w:val="0"/>
      <w:divBdr>
        <w:top w:val="none" w:sz="0" w:space="0" w:color="auto"/>
        <w:left w:val="none" w:sz="0" w:space="0" w:color="auto"/>
        <w:bottom w:val="none" w:sz="0" w:space="0" w:color="auto"/>
        <w:right w:val="none" w:sz="0" w:space="0" w:color="auto"/>
      </w:divBdr>
    </w:div>
    <w:div w:id="1162811468">
      <w:bodyDiv w:val="1"/>
      <w:marLeft w:val="0"/>
      <w:marRight w:val="0"/>
      <w:marTop w:val="0"/>
      <w:marBottom w:val="0"/>
      <w:divBdr>
        <w:top w:val="none" w:sz="0" w:space="0" w:color="auto"/>
        <w:left w:val="none" w:sz="0" w:space="0" w:color="auto"/>
        <w:bottom w:val="none" w:sz="0" w:space="0" w:color="auto"/>
        <w:right w:val="none" w:sz="0" w:space="0" w:color="auto"/>
      </w:divBdr>
    </w:div>
    <w:div w:id="1163277520">
      <w:bodyDiv w:val="1"/>
      <w:marLeft w:val="0"/>
      <w:marRight w:val="0"/>
      <w:marTop w:val="0"/>
      <w:marBottom w:val="0"/>
      <w:divBdr>
        <w:top w:val="none" w:sz="0" w:space="0" w:color="auto"/>
        <w:left w:val="none" w:sz="0" w:space="0" w:color="auto"/>
        <w:bottom w:val="none" w:sz="0" w:space="0" w:color="auto"/>
        <w:right w:val="none" w:sz="0" w:space="0" w:color="auto"/>
      </w:divBdr>
    </w:div>
    <w:div w:id="1163398714">
      <w:bodyDiv w:val="1"/>
      <w:marLeft w:val="0"/>
      <w:marRight w:val="0"/>
      <w:marTop w:val="0"/>
      <w:marBottom w:val="0"/>
      <w:divBdr>
        <w:top w:val="none" w:sz="0" w:space="0" w:color="auto"/>
        <w:left w:val="none" w:sz="0" w:space="0" w:color="auto"/>
        <w:bottom w:val="none" w:sz="0" w:space="0" w:color="auto"/>
        <w:right w:val="none" w:sz="0" w:space="0" w:color="auto"/>
      </w:divBdr>
    </w:div>
    <w:div w:id="1163400086">
      <w:bodyDiv w:val="1"/>
      <w:marLeft w:val="0"/>
      <w:marRight w:val="0"/>
      <w:marTop w:val="0"/>
      <w:marBottom w:val="0"/>
      <w:divBdr>
        <w:top w:val="none" w:sz="0" w:space="0" w:color="auto"/>
        <w:left w:val="none" w:sz="0" w:space="0" w:color="auto"/>
        <w:bottom w:val="none" w:sz="0" w:space="0" w:color="auto"/>
        <w:right w:val="none" w:sz="0" w:space="0" w:color="auto"/>
      </w:divBdr>
    </w:div>
    <w:div w:id="1163622873">
      <w:bodyDiv w:val="1"/>
      <w:marLeft w:val="0"/>
      <w:marRight w:val="0"/>
      <w:marTop w:val="0"/>
      <w:marBottom w:val="0"/>
      <w:divBdr>
        <w:top w:val="none" w:sz="0" w:space="0" w:color="auto"/>
        <w:left w:val="none" w:sz="0" w:space="0" w:color="auto"/>
        <w:bottom w:val="none" w:sz="0" w:space="0" w:color="auto"/>
        <w:right w:val="none" w:sz="0" w:space="0" w:color="auto"/>
      </w:divBdr>
    </w:div>
    <w:div w:id="1164123071">
      <w:bodyDiv w:val="1"/>
      <w:marLeft w:val="0"/>
      <w:marRight w:val="0"/>
      <w:marTop w:val="0"/>
      <w:marBottom w:val="0"/>
      <w:divBdr>
        <w:top w:val="none" w:sz="0" w:space="0" w:color="auto"/>
        <w:left w:val="none" w:sz="0" w:space="0" w:color="auto"/>
        <w:bottom w:val="none" w:sz="0" w:space="0" w:color="auto"/>
        <w:right w:val="none" w:sz="0" w:space="0" w:color="auto"/>
      </w:divBdr>
    </w:div>
    <w:div w:id="1164126811">
      <w:bodyDiv w:val="1"/>
      <w:marLeft w:val="0"/>
      <w:marRight w:val="0"/>
      <w:marTop w:val="0"/>
      <w:marBottom w:val="0"/>
      <w:divBdr>
        <w:top w:val="none" w:sz="0" w:space="0" w:color="auto"/>
        <w:left w:val="none" w:sz="0" w:space="0" w:color="auto"/>
        <w:bottom w:val="none" w:sz="0" w:space="0" w:color="auto"/>
        <w:right w:val="none" w:sz="0" w:space="0" w:color="auto"/>
      </w:divBdr>
    </w:div>
    <w:div w:id="1164275823">
      <w:bodyDiv w:val="1"/>
      <w:marLeft w:val="0"/>
      <w:marRight w:val="0"/>
      <w:marTop w:val="0"/>
      <w:marBottom w:val="0"/>
      <w:divBdr>
        <w:top w:val="none" w:sz="0" w:space="0" w:color="auto"/>
        <w:left w:val="none" w:sz="0" w:space="0" w:color="auto"/>
        <w:bottom w:val="none" w:sz="0" w:space="0" w:color="auto"/>
        <w:right w:val="none" w:sz="0" w:space="0" w:color="auto"/>
      </w:divBdr>
    </w:div>
    <w:div w:id="1164736073">
      <w:bodyDiv w:val="1"/>
      <w:marLeft w:val="0"/>
      <w:marRight w:val="0"/>
      <w:marTop w:val="0"/>
      <w:marBottom w:val="0"/>
      <w:divBdr>
        <w:top w:val="none" w:sz="0" w:space="0" w:color="auto"/>
        <w:left w:val="none" w:sz="0" w:space="0" w:color="auto"/>
        <w:bottom w:val="none" w:sz="0" w:space="0" w:color="auto"/>
        <w:right w:val="none" w:sz="0" w:space="0" w:color="auto"/>
      </w:divBdr>
    </w:div>
    <w:div w:id="1165168797">
      <w:bodyDiv w:val="1"/>
      <w:marLeft w:val="0"/>
      <w:marRight w:val="0"/>
      <w:marTop w:val="0"/>
      <w:marBottom w:val="0"/>
      <w:divBdr>
        <w:top w:val="none" w:sz="0" w:space="0" w:color="auto"/>
        <w:left w:val="none" w:sz="0" w:space="0" w:color="auto"/>
        <w:bottom w:val="none" w:sz="0" w:space="0" w:color="auto"/>
        <w:right w:val="none" w:sz="0" w:space="0" w:color="auto"/>
      </w:divBdr>
    </w:div>
    <w:div w:id="1165587284">
      <w:bodyDiv w:val="1"/>
      <w:marLeft w:val="0"/>
      <w:marRight w:val="0"/>
      <w:marTop w:val="0"/>
      <w:marBottom w:val="0"/>
      <w:divBdr>
        <w:top w:val="none" w:sz="0" w:space="0" w:color="auto"/>
        <w:left w:val="none" w:sz="0" w:space="0" w:color="auto"/>
        <w:bottom w:val="none" w:sz="0" w:space="0" w:color="auto"/>
        <w:right w:val="none" w:sz="0" w:space="0" w:color="auto"/>
      </w:divBdr>
    </w:div>
    <w:div w:id="1166019698">
      <w:bodyDiv w:val="1"/>
      <w:marLeft w:val="0"/>
      <w:marRight w:val="0"/>
      <w:marTop w:val="0"/>
      <w:marBottom w:val="0"/>
      <w:divBdr>
        <w:top w:val="none" w:sz="0" w:space="0" w:color="auto"/>
        <w:left w:val="none" w:sz="0" w:space="0" w:color="auto"/>
        <w:bottom w:val="none" w:sz="0" w:space="0" w:color="auto"/>
        <w:right w:val="none" w:sz="0" w:space="0" w:color="auto"/>
      </w:divBdr>
    </w:div>
    <w:div w:id="1166628188">
      <w:bodyDiv w:val="1"/>
      <w:marLeft w:val="0"/>
      <w:marRight w:val="0"/>
      <w:marTop w:val="0"/>
      <w:marBottom w:val="0"/>
      <w:divBdr>
        <w:top w:val="none" w:sz="0" w:space="0" w:color="auto"/>
        <w:left w:val="none" w:sz="0" w:space="0" w:color="auto"/>
        <w:bottom w:val="none" w:sz="0" w:space="0" w:color="auto"/>
        <w:right w:val="none" w:sz="0" w:space="0" w:color="auto"/>
      </w:divBdr>
    </w:div>
    <w:div w:id="1167132386">
      <w:bodyDiv w:val="1"/>
      <w:marLeft w:val="0"/>
      <w:marRight w:val="0"/>
      <w:marTop w:val="0"/>
      <w:marBottom w:val="0"/>
      <w:divBdr>
        <w:top w:val="none" w:sz="0" w:space="0" w:color="auto"/>
        <w:left w:val="none" w:sz="0" w:space="0" w:color="auto"/>
        <w:bottom w:val="none" w:sz="0" w:space="0" w:color="auto"/>
        <w:right w:val="none" w:sz="0" w:space="0" w:color="auto"/>
      </w:divBdr>
    </w:div>
    <w:div w:id="1167359543">
      <w:bodyDiv w:val="1"/>
      <w:marLeft w:val="0"/>
      <w:marRight w:val="0"/>
      <w:marTop w:val="0"/>
      <w:marBottom w:val="0"/>
      <w:divBdr>
        <w:top w:val="none" w:sz="0" w:space="0" w:color="auto"/>
        <w:left w:val="none" w:sz="0" w:space="0" w:color="auto"/>
        <w:bottom w:val="none" w:sz="0" w:space="0" w:color="auto"/>
        <w:right w:val="none" w:sz="0" w:space="0" w:color="auto"/>
      </w:divBdr>
    </w:div>
    <w:div w:id="1167786826">
      <w:bodyDiv w:val="1"/>
      <w:marLeft w:val="0"/>
      <w:marRight w:val="0"/>
      <w:marTop w:val="0"/>
      <w:marBottom w:val="0"/>
      <w:divBdr>
        <w:top w:val="none" w:sz="0" w:space="0" w:color="auto"/>
        <w:left w:val="none" w:sz="0" w:space="0" w:color="auto"/>
        <w:bottom w:val="none" w:sz="0" w:space="0" w:color="auto"/>
        <w:right w:val="none" w:sz="0" w:space="0" w:color="auto"/>
      </w:divBdr>
    </w:div>
    <w:div w:id="1167794325">
      <w:bodyDiv w:val="1"/>
      <w:marLeft w:val="0"/>
      <w:marRight w:val="0"/>
      <w:marTop w:val="0"/>
      <w:marBottom w:val="0"/>
      <w:divBdr>
        <w:top w:val="none" w:sz="0" w:space="0" w:color="auto"/>
        <w:left w:val="none" w:sz="0" w:space="0" w:color="auto"/>
        <w:bottom w:val="none" w:sz="0" w:space="0" w:color="auto"/>
        <w:right w:val="none" w:sz="0" w:space="0" w:color="auto"/>
      </w:divBdr>
    </w:div>
    <w:div w:id="1167984302">
      <w:bodyDiv w:val="1"/>
      <w:marLeft w:val="0"/>
      <w:marRight w:val="0"/>
      <w:marTop w:val="0"/>
      <w:marBottom w:val="0"/>
      <w:divBdr>
        <w:top w:val="none" w:sz="0" w:space="0" w:color="auto"/>
        <w:left w:val="none" w:sz="0" w:space="0" w:color="auto"/>
        <w:bottom w:val="none" w:sz="0" w:space="0" w:color="auto"/>
        <w:right w:val="none" w:sz="0" w:space="0" w:color="auto"/>
      </w:divBdr>
    </w:div>
    <w:div w:id="1168255906">
      <w:bodyDiv w:val="1"/>
      <w:marLeft w:val="0"/>
      <w:marRight w:val="0"/>
      <w:marTop w:val="0"/>
      <w:marBottom w:val="0"/>
      <w:divBdr>
        <w:top w:val="none" w:sz="0" w:space="0" w:color="auto"/>
        <w:left w:val="none" w:sz="0" w:space="0" w:color="auto"/>
        <w:bottom w:val="none" w:sz="0" w:space="0" w:color="auto"/>
        <w:right w:val="none" w:sz="0" w:space="0" w:color="auto"/>
      </w:divBdr>
    </w:div>
    <w:div w:id="1169828660">
      <w:bodyDiv w:val="1"/>
      <w:marLeft w:val="0"/>
      <w:marRight w:val="0"/>
      <w:marTop w:val="0"/>
      <w:marBottom w:val="0"/>
      <w:divBdr>
        <w:top w:val="none" w:sz="0" w:space="0" w:color="auto"/>
        <w:left w:val="none" w:sz="0" w:space="0" w:color="auto"/>
        <w:bottom w:val="none" w:sz="0" w:space="0" w:color="auto"/>
        <w:right w:val="none" w:sz="0" w:space="0" w:color="auto"/>
      </w:divBdr>
    </w:div>
    <w:div w:id="1171291404">
      <w:bodyDiv w:val="1"/>
      <w:marLeft w:val="0"/>
      <w:marRight w:val="0"/>
      <w:marTop w:val="0"/>
      <w:marBottom w:val="0"/>
      <w:divBdr>
        <w:top w:val="none" w:sz="0" w:space="0" w:color="auto"/>
        <w:left w:val="none" w:sz="0" w:space="0" w:color="auto"/>
        <w:bottom w:val="none" w:sz="0" w:space="0" w:color="auto"/>
        <w:right w:val="none" w:sz="0" w:space="0" w:color="auto"/>
      </w:divBdr>
    </w:div>
    <w:div w:id="1171799666">
      <w:bodyDiv w:val="1"/>
      <w:marLeft w:val="0"/>
      <w:marRight w:val="0"/>
      <w:marTop w:val="0"/>
      <w:marBottom w:val="0"/>
      <w:divBdr>
        <w:top w:val="none" w:sz="0" w:space="0" w:color="auto"/>
        <w:left w:val="none" w:sz="0" w:space="0" w:color="auto"/>
        <w:bottom w:val="none" w:sz="0" w:space="0" w:color="auto"/>
        <w:right w:val="none" w:sz="0" w:space="0" w:color="auto"/>
      </w:divBdr>
    </w:div>
    <w:div w:id="1172258940">
      <w:bodyDiv w:val="1"/>
      <w:marLeft w:val="0"/>
      <w:marRight w:val="0"/>
      <w:marTop w:val="0"/>
      <w:marBottom w:val="0"/>
      <w:divBdr>
        <w:top w:val="none" w:sz="0" w:space="0" w:color="auto"/>
        <w:left w:val="none" w:sz="0" w:space="0" w:color="auto"/>
        <w:bottom w:val="none" w:sz="0" w:space="0" w:color="auto"/>
        <w:right w:val="none" w:sz="0" w:space="0" w:color="auto"/>
      </w:divBdr>
    </w:div>
    <w:div w:id="1172911454">
      <w:bodyDiv w:val="1"/>
      <w:marLeft w:val="0"/>
      <w:marRight w:val="0"/>
      <w:marTop w:val="0"/>
      <w:marBottom w:val="0"/>
      <w:divBdr>
        <w:top w:val="none" w:sz="0" w:space="0" w:color="auto"/>
        <w:left w:val="none" w:sz="0" w:space="0" w:color="auto"/>
        <w:bottom w:val="none" w:sz="0" w:space="0" w:color="auto"/>
        <w:right w:val="none" w:sz="0" w:space="0" w:color="auto"/>
      </w:divBdr>
    </w:div>
    <w:div w:id="1173227059">
      <w:bodyDiv w:val="1"/>
      <w:marLeft w:val="0"/>
      <w:marRight w:val="0"/>
      <w:marTop w:val="0"/>
      <w:marBottom w:val="0"/>
      <w:divBdr>
        <w:top w:val="none" w:sz="0" w:space="0" w:color="auto"/>
        <w:left w:val="none" w:sz="0" w:space="0" w:color="auto"/>
        <w:bottom w:val="none" w:sz="0" w:space="0" w:color="auto"/>
        <w:right w:val="none" w:sz="0" w:space="0" w:color="auto"/>
      </w:divBdr>
    </w:div>
    <w:div w:id="1174606693">
      <w:bodyDiv w:val="1"/>
      <w:marLeft w:val="0"/>
      <w:marRight w:val="0"/>
      <w:marTop w:val="0"/>
      <w:marBottom w:val="0"/>
      <w:divBdr>
        <w:top w:val="none" w:sz="0" w:space="0" w:color="auto"/>
        <w:left w:val="none" w:sz="0" w:space="0" w:color="auto"/>
        <w:bottom w:val="none" w:sz="0" w:space="0" w:color="auto"/>
        <w:right w:val="none" w:sz="0" w:space="0" w:color="auto"/>
      </w:divBdr>
    </w:div>
    <w:div w:id="1175265990">
      <w:bodyDiv w:val="1"/>
      <w:marLeft w:val="0"/>
      <w:marRight w:val="0"/>
      <w:marTop w:val="0"/>
      <w:marBottom w:val="0"/>
      <w:divBdr>
        <w:top w:val="none" w:sz="0" w:space="0" w:color="auto"/>
        <w:left w:val="none" w:sz="0" w:space="0" w:color="auto"/>
        <w:bottom w:val="none" w:sz="0" w:space="0" w:color="auto"/>
        <w:right w:val="none" w:sz="0" w:space="0" w:color="auto"/>
      </w:divBdr>
    </w:div>
    <w:div w:id="1175338852">
      <w:bodyDiv w:val="1"/>
      <w:marLeft w:val="0"/>
      <w:marRight w:val="0"/>
      <w:marTop w:val="0"/>
      <w:marBottom w:val="0"/>
      <w:divBdr>
        <w:top w:val="none" w:sz="0" w:space="0" w:color="auto"/>
        <w:left w:val="none" w:sz="0" w:space="0" w:color="auto"/>
        <w:bottom w:val="none" w:sz="0" w:space="0" w:color="auto"/>
        <w:right w:val="none" w:sz="0" w:space="0" w:color="auto"/>
      </w:divBdr>
    </w:div>
    <w:div w:id="1175805658">
      <w:bodyDiv w:val="1"/>
      <w:marLeft w:val="0"/>
      <w:marRight w:val="0"/>
      <w:marTop w:val="0"/>
      <w:marBottom w:val="0"/>
      <w:divBdr>
        <w:top w:val="none" w:sz="0" w:space="0" w:color="auto"/>
        <w:left w:val="none" w:sz="0" w:space="0" w:color="auto"/>
        <w:bottom w:val="none" w:sz="0" w:space="0" w:color="auto"/>
        <w:right w:val="none" w:sz="0" w:space="0" w:color="auto"/>
      </w:divBdr>
    </w:div>
    <w:div w:id="1178235703">
      <w:bodyDiv w:val="1"/>
      <w:marLeft w:val="0"/>
      <w:marRight w:val="0"/>
      <w:marTop w:val="0"/>
      <w:marBottom w:val="0"/>
      <w:divBdr>
        <w:top w:val="none" w:sz="0" w:space="0" w:color="auto"/>
        <w:left w:val="none" w:sz="0" w:space="0" w:color="auto"/>
        <w:bottom w:val="none" w:sz="0" w:space="0" w:color="auto"/>
        <w:right w:val="none" w:sz="0" w:space="0" w:color="auto"/>
      </w:divBdr>
    </w:div>
    <w:div w:id="1178500889">
      <w:bodyDiv w:val="1"/>
      <w:marLeft w:val="0"/>
      <w:marRight w:val="0"/>
      <w:marTop w:val="0"/>
      <w:marBottom w:val="0"/>
      <w:divBdr>
        <w:top w:val="none" w:sz="0" w:space="0" w:color="auto"/>
        <w:left w:val="none" w:sz="0" w:space="0" w:color="auto"/>
        <w:bottom w:val="none" w:sz="0" w:space="0" w:color="auto"/>
        <w:right w:val="none" w:sz="0" w:space="0" w:color="auto"/>
      </w:divBdr>
    </w:div>
    <w:div w:id="1178546430">
      <w:bodyDiv w:val="1"/>
      <w:marLeft w:val="0"/>
      <w:marRight w:val="0"/>
      <w:marTop w:val="0"/>
      <w:marBottom w:val="0"/>
      <w:divBdr>
        <w:top w:val="none" w:sz="0" w:space="0" w:color="auto"/>
        <w:left w:val="none" w:sz="0" w:space="0" w:color="auto"/>
        <w:bottom w:val="none" w:sz="0" w:space="0" w:color="auto"/>
        <w:right w:val="none" w:sz="0" w:space="0" w:color="auto"/>
      </w:divBdr>
    </w:div>
    <w:div w:id="1178618653">
      <w:bodyDiv w:val="1"/>
      <w:marLeft w:val="0"/>
      <w:marRight w:val="0"/>
      <w:marTop w:val="0"/>
      <w:marBottom w:val="0"/>
      <w:divBdr>
        <w:top w:val="none" w:sz="0" w:space="0" w:color="auto"/>
        <w:left w:val="none" w:sz="0" w:space="0" w:color="auto"/>
        <w:bottom w:val="none" w:sz="0" w:space="0" w:color="auto"/>
        <w:right w:val="none" w:sz="0" w:space="0" w:color="auto"/>
      </w:divBdr>
    </w:div>
    <w:div w:id="1178811112">
      <w:bodyDiv w:val="1"/>
      <w:marLeft w:val="0"/>
      <w:marRight w:val="0"/>
      <w:marTop w:val="0"/>
      <w:marBottom w:val="0"/>
      <w:divBdr>
        <w:top w:val="none" w:sz="0" w:space="0" w:color="auto"/>
        <w:left w:val="none" w:sz="0" w:space="0" w:color="auto"/>
        <w:bottom w:val="none" w:sz="0" w:space="0" w:color="auto"/>
        <w:right w:val="none" w:sz="0" w:space="0" w:color="auto"/>
      </w:divBdr>
    </w:div>
    <w:div w:id="1179344263">
      <w:bodyDiv w:val="1"/>
      <w:marLeft w:val="0"/>
      <w:marRight w:val="0"/>
      <w:marTop w:val="0"/>
      <w:marBottom w:val="0"/>
      <w:divBdr>
        <w:top w:val="none" w:sz="0" w:space="0" w:color="auto"/>
        <w:left w:val="none" w:sz="0" w:space="0" w:color="auto"/>
        <w:bottom w:val="none" w:sz="0" w:space="0" w:color="auto"/>
        <w:right w:val="none" w:sz="0" w:space="0" w:color="auto"/>
      </w:divBdr>
    </w:div>
    <w:div w:id="1179614909">
      <w:bodyDiv w:val="1"/>
      <w:marLeft w:val="0"/>
      <w:marRight w:val="0"/>
      <w:marTop w:val="0"/>
      <w:marBottom w:val="0"/>
      <w:divBdr>
        <w:top w:val="none" w:sz="0" w:space="0" w:color="auto"/>
        <w:left w:val="none" w:sz="0" w:space="0" w:color="auto"/>
        <w:bottom w:val="none" w:sz="0" w:space="0" w:color="auto"/>
        <w:right w:val="none" w:sz="0" w:space="0" w:color="auto"/>
      </w:divBdr>
    </w:div>
    <w:div w:id="1179736770">
      <w:bodyDiv w:val="1"/>
      <w:marLeft w:val="0"/>
      <w:marRight w:val="0"/>
      <w:marTop w:val="0"/>
      <w:marBottom w:val="0"/>
      <w:divBdr>
        <w:top w:val="none" w:sz="0" w:space="0" w:color="auto"/>
        <w:left w:val="none" w:sz="0" w:space="0" w:color="auto"/>
        <w:bottom w:val="none" w:sz="0" w:space="0" w:color="auto"/>
        <w:right w:val="none" w:sz="0" w:space="0" w:color="auto"/>
      </w:divBdr>
    </w:div>
    <w:div w:id="1180125535">
      <w:bodyDiv w:val="1"/>
      <w:marLeft w:val="0"/>
      <w:marRight w:val="0"/>
      <w:marTop w:val="0"/>
      <w:marBottom w:val="0"/>
      <w:divBdr>
        <w:top w:val="none" w:sz="0" w:space="0" w:color="auto"/>
        <w:left w:val="none" w:sz="0" w:space="0" w:color="auto"/>
        <w:bottom w:val="none" w:sz="0" w:space="0" w:color="auto"/>
        <w:right w:val="none" w:sz="0" w:space="0" w:color="auto"/>
      </w:divBdr>
    </w:div>
    <w:div w:id="1180781433">
      <w:bodyDiv w:val="1"/>
      <w:marLeft w:val="0"/>
      <w:marRight w:val="0"/>
      <w:marTop w:val="0"/>
      <w:marBottom w:val="0"/>
      <w:divBdr>
        <w:top w:val="none" w:sz="0" w:space="0" w:color="auto"/>
        <w:left w:val="none" w:sz="0" w:space="0" w:color="auto"/>
        <w:bottom w:val="none" w:sz="0" w:space="0" w:color="auto"/>
        <w:right w:val="none" w:sz="0" w:space="0" w:color="auto"/>
      </w:divBdr>
    </w:div>
    <w:div w:id="1180970001">
      <w:bodyDiv w:val="1"/>
      <w:marLeft w:val="0"/>
      <w:marRight w:val="0"/>
      <w:marTop w:val="0"/>
      <w:marBottom w:val="0"/>
      <w:divBdr>
        <w:top w:val="none" w:sz="0" w:space="0" w:color="auto"/>
        <w:left w:val="none" w:sz="0" w:space="0" w:color="auto"/>
        <w:bottom w:val="none" w:sz="0" w:space="0" w:color="auto"/>
        <w:right w:val="none" w:sz="0" w:space="0" w:color="auto"/>
      </w:divBdr>
    </w:div>
    <w:div w:id="1181238983">
      <w:bodyDiv w:val="1"/>
      <w:marLeft w:val="0"/>
      <w:marRight w:val="0"/>
      <w:marTop w:val="0"/>
      <w:marBottom w:val="0"/>
      <w:divBdr>
        <w:top w:val="none" w:sz="0" w:space="0" w:color="auto"/>
        <w:left w:val="none" w:sz="0" w:space="0" w:color="auto"/>
        <w:bottom w:val="none" w:sz="0" w:space="0" w:color="auto"/>
        <w:right w:val="none" w:sz="0" w:space="0" w:color="auto"/>
      </w:divBdr>
    </w:div>
    <w:div w:id="1181243441">
      <w:bodyDiv w:val="1"/>
      <w:marLeft w:val="0"/>
      <w:marRight w:val="0"/>
      <w:marTop w:val="0"/>
      <w:marBottom w:val="0"/>
      <w:divBdr>
        <w:top w:val="none" w:sz="0" w:space="0" w:color="auto"/>
        <w:left w:val="none" w:sz="0" w:space="0" w:color="auto"/>
        <w:bottom w:val="none" w:sz="0" w:space="0" w:color="auto"/>
        <w:right w:val="none" w:sz="0" w:space="0" w:color="auto"/>
      </w:divBdr>
    </w:div>
    <w:div w:id="1181628784">
      <w:bodyDiv w:val="1"/>
      <w:marLeft w:val="0"/>
      <w:marRight w:val="0"/>
      <w:marTop w:val="0"/>
      <w:marBottom w:val="0"/>
      <w:divBdr>
        <w:top w:val="none" w:sz="0" w:space="0" w:color="auto"/>
        <w:left w:val="none" w:sz="0" w:space="0" w:color="auto"/>
        <w:bottom w:val="none" w:sz="0" w:space="0" w:color="auto"/>
        <w:right w:val="none" w:sz="0" w:space="0" w:color="auto"/>
      </w:divBdr>
    </w:div>
    <w:div w:id="1182663481">
      <w:bodyDiv w:val="1"/>
      <w:marLeft w:val="0"/>
      <w:marRight w:val="0"/>
      <w:marTop w:val="0"/>
      <w:marBottom w:val="0"/>
      <w:divBdr>
        <w:top w:val="none" w:sz="0" w:space="0" w:color="auto"/>
        <w:left w:val="none" w:sz="0" w:space="0" w:color="auto"/>
        <w:bottom w:val="none" w:sz="0" w:space="0" w:color="auto"/>
        <w:right w:val="none" w:sz="0" w:space="0" w:color="auto"/>
      </w:divBdr>
    </w:div>
    <w:div w:id="1183856138">
      <w:bodyDiv w:val="1"/>
      <w:marLeft w:val="0"/>
      <w:marRight w:val="0"/>
      <w:marTop w:val="0"/>
      <w:marBottom w:val="0"/>
      <w:divBdr>
        <w:top w:val="none" w:sz="0" w:space="0" w:color="auto"/>
        <w:left w:val="none" w:sz="0" w:space="0" w:color="auto"/>
        <w:bottom w:val="none" w:sz="0" w:space="0" w:color="auto"/>
        <w:right w:val="none" w:sz="0" w:space="0" w:color="auto"/>
      </w:divBdr>
    </w:div>
    <w:div w:id="1184246079">
      <w:bodyDiv w:val="1"/>
      <w:marLeft w:val="0"/>
      <w:marRight w:val="0"/>
      <w:marTop w:val="0"/>
      <w:marBottom w:val="0"/>
      <w:divBdr>
        <w:top w:val="none" w:sz="0" w:space="0" w:color="auto"/>
        <w:left w:val="none" w:sz="0" w:space="0" w:color="auto"/>
        <w:bottom w:val="none" w:sz="0" w:space="0" w:color="auto"/>
        <w:right w:val="none" w:sz="0" w:space="0" w:color="auto"/>
      </w:divBdr>
    </w:div>
    <w:div w:id="1184712567">
      <w:bodyDiv w:val="1"/>
      <w:marLeft w:val="0"/>
      <w:marRight w:val="0"/>
      <w:marTop w:val="0"/>
      <w:marBottom w:val="0"/>
      <w:divBdr>
        <w:top w:val="none" w:sz="0" w:space="0" w:color="auto"/>
        <w:left w:val="none" w:sz="0" w:space="0" w:color="auto"/>
        <w:bottom w:val="none" w:sz="0" w:space="0" w:color="auto"/>
        <w:right w:val="none" w:sz="0" w:space="0" w:color="auto"/>
      </w:divBdr>
    </w:div>
    <w:div w:id="1185556461">
      <w:bodyDiv w:val="1"/>
      <w:marLeft w:val="0"/>
      <w:marRight w:val="0"/>
      <w:marTop w:val="0"/>
      <w:marBottom w:val="0"/>
      <w:divBdr>
        <w:top w:val="none" w:sz="0" w:space="0" w:color="auto"/>
        <w:left w:val="none" w:sz="0" w:space="0" w:color="auto"/>
        <w:bottom w:val="none" w:sz="0" w:space="0" w:color="auto"/>
        <w:right w:val="none" w:sz="0" w:space="0" w:color="auto"/>
      </w:divBdr>
    </w:div>
    <w:div w:id="1185752991">
      <w:bodyDiv w:val="1"/>
      <w:marLeft w:val="0"/>
      <w:marRight w:val="0"/>
      <w:marTop w:val="0"/>
      <w:marBottom w:val="0"/>
      <w:divBdr>
        <w:top w:val="none" w:sz="0" w:space="0" w:color="auto"/>
        <w:left w:val="none" w:sz="0" w:space="0" w:color="auto"/>
        <w:bottom w:val="none" w:sz="0" w:space="0" w:color="auto"/>
        <w:right w:val="none" w:sz="0" w:space="0" w:color="auto"/>
      </w:divBdr>
    </w:div>
    <w:div w:id="1187215084">
      <w:bodyDiv w:val="1"/>
      <w:marLeft w:val="0"/>
      <w:marRight w:val="0"/>
      <w:marTop w:val="0"/>
      <w:marBottom w:val="0"/>
      <w:divBdr>
        <w:top w:val="none" w:sz="0" w:space="0" w:color="auto"/>
        <w:left w:val="none" w:sz="0" w:space="0" w:color="auto"/>
        <w:bottom w:val="none" w:sz="0" w:space="0" w:color="auto"/>
        <w:right w:val="none" w:sz="0" w:space="0" w:color="auto"/>
      </w:divBdr>
    </w:div>
    <w:div w:id="1188786681">
      <w:bodyDiv w:val="1"/>
      <w:marLeft w:val="0"/>
      <w:marRight w:val="0"/>
      <w:marTop w:val="0"/>
      <w:marBottom w:val="0"/>
      <w:divBdr>
        <w:top w:val="none" w:sz="0" w:space="0" w:color="auto"/>
        <w:left w:val="none" w:sz="0" w:space="0" w:color="auto"/>
        <w:bottom w:val="none" w:sz="0" w:space="0" w:color="auto"/>
        <w:right w:val="none" w:sz="0" w:space="0" w:color="auto"/>
      </w:divBdr>
    </w:div>
    <w:div w:id="1189178983">
      <w:bodyDiv w:val="1"/>
      <w:marLeft w:val="0"/>
      <w:marRight w:val="0"/>
      <w:marTop w:val="0"/>
      <w:marBottom w:val="0"/>
      <w:divBdr>
        <w:top w:val="none" w:sz="0" w:space="0" w:color="auto"/>
        <w:left w:val="none" w:sz="0" w:space="0" w:color="auto"/>
        <w:bottom w:val="none" w:sz="0" w:space="0" w:color="auto"/>
        <w:right w:val="none" w:sz="0" w:space="0" w:color="auto"/>
      </w:divBdr>
    </w:div>
    <w:div w:id="1190295507">
      <w:bodyDiv w:val="1"/>
      <w:marLeft w:val="0"/>
      <w:marRight w:val="0"/>
      <w:marTop w:val="0"/>
      <w:marBottom w:val="0"/>
      <w:divBdr>
        <w:top w:val="none" w:sz="0" w:space="0" w:color="auto"/>
        <w:left w:val="none" w:sz="0" w:space="0" w:color="auto"/>
        <w:bottom w:val="none" w:sz="0" w:space="0" w:color="auto"/>
        <w:right w:val="none" w:sz="0" w:space="0" w:color="auto"/>
      </w:divBdr>
    </w:div>
    <w:div w:id="1190413866">
      <w:bodyDiv w:val="1"/>
      <w:marLeft w:val="0"/>
      <w:marRight w:val="0"/>
      <w:marTop w:val="0"/>
      <w:marBottom w:val="0"/>
      <w:divBdr>
        <w:top w:val="none" w:sz="0" w:space="0" w:color="auto"/>
        <w:left w:val="none" w:sz="0" w:space="0" w:color="auto"/>
        <w:bottom w:val="none" w:sz="0" w:space="0" w:color="auto"/>
        <w:right w:val="none" w:sz="0" w:space="0" w:color="auto"/>
      </w:divBdr>
    </w:div>
    <w:div w:id="1190684555">
      <w:bodyDiv w:val="1"/>
      <w:marLeft w:val="0"/>
      <w:marRight w:val="0"/>
      <w:marTop w:val="0"/>
      <w:marBottom w:val="0"/>
      <w:divBdr>
        <w:top w:val="none" w:sz="0" w:space="0" w:color="auto"/>
        <w:left w:val="none" w:sz="0" w:space="0" w:color="auto"/>
        <w:bottom w:val="none" w:sz="0" w:space="0" w:color="auto"/>
        <w:right w:val="none" w:sz="0" w:space="0" w:color="auto"/>
      </w:divBdr>
    </w:div>
    <w:div w:id="1190727081">
      <w:bodyDiv w:val="1"/>
      <w:marLeft w:val="0"/>
      <w:marRight w:val="0"/>
      <w:marTop w:val="0"/>
      <w:marBottom w:val="0"/>
      <w:divBdr>
        <w:top w:val="none" w:sz="0" w:space="0" w:color="auto"/>
        <w:left w:val="none" w:sz="0" w:space="0" w:color="auto"/>
        <w:bottom w:val="none" w:sz="0" w:space="0" w:color="auto"/>
        <w:right w:val="none" w:sz="0" w:space="0" w:color="auto"/>
      </w:divBdr>
    </w:div>
    <w:div w:id="1190989963">
      <w:bodyDiv w:val="1"/>
      <w:marLeft w:val="0"/>
      <w:marRight w:val="0"/>
      <w:marTop w:val="0"/>
      <w:marBottom w:val="0"/>
      <w:divBdr>
        <w:top w:val="none" w:sz="0" w:space="0" w:color="auto"/>
        <w:left w:val="none" w:sz="0" w:space="0" w:color="auto"/>
        <w:bottom w:val="none" w:sz="0" w:space="0" w:color="auto"/>
        <w:right w:val="none" w:sz="0" w:space="0" w:color="auto"/>
      </w:divBdr>
    </w:div>
    <w:div w:id="1191528232">
      <w:bodyDiv w:val="1"/>
      <w:marLeft w:val="0"/>
      <w:marRight w:val="0"/>
      <w:marTop w:val="0"/>
      <w:marBottom w:val="0"/>
      <w:divBdr>
        <w:top w:val="none" w:sz="0" w:space="0" w:color="auto"/>
        <w:left w:val="none" w:sz="0" w:space="0" w:color="auto"/>
        <w:bottom w:val="none" w:sz="0" w:space="0" w:color="auto"/>
        <w:right w:val="none" w:sz="0" w:space="0" w:color="auto"/>
      </w:divBdr>
    </w:div>
    <w:div w:id="1192063439">
      <w:bodyDiv w:val="1"/>
      <w:marLeft w:val="0"/>
      <w:marRight w:val="0"/>
      <w:marTop w:val="0"/>
      <w:marBottom w:val="0"/>
      <w:divBdr>
        <w:top w:val="none" w:sz="0" w:space="0" w:color="auto"/>
        <w:left w:val="none" w:sz="0" w:space="0" w:color="auto"/>
        <w:bottom w:val="none" w:sz="0" w:space="0" w:color="auto"/>
        <w:right w:val="none" w:sz="0" w:space="0" w:color="auto"/>
      </w:divBdr>
    </w:div>
    <w:div w:id="1192838194">
      <w:bodyDiv w:val="1"/>
      <w:marLeft w:val="0"/>
      <w:marRight w:val="0"/>
      <w:marTop w:val="0"/>
      <w:marBottom w:val="0"/>
      <w:divBdr>
        <w:top w:val="none" w:sz="0" w:space="0" w:color="auto"/>
        <w:left w:val="none" w:sz="0" w:space="0" w:color="auto"/>
        <w:bottom w:val="none" w:sz="0" w:space="0" w:color="auto"/>
        <w:right w:val="none" w:sz="0" w:space="0" w:color="auto"/>
      </w:divBdr>
    </w:div>
    <w:div w:id="1193031629">
      <w:bodyDiv w:val="1"/>
      <w:marLeft w:val="0"/>
      <w:marRight w:val="0"/>
      <w:marTop w:val="0"/>
      <w:marBottom w:val="0"/>
      <w:divBdr>
        <w:top w:val="none" w:sz="0" w:space="0" w:color="auto"/>
        <w:left w:val="none" w:sz="0" w:space="0" w:color="auto"/>
        <w:bottom w:val="none" w:sz="0" w:space="0" w:color="auto"/>
        <w:right w:val="none" w:sz="0" w:space="0" w:color="auto"/>
      </w:divBdr>
    </w:div>
    <w:div w:id="1193155768">
      <w:bodyDiv w:val="1"/>
      <w:marLeft w:val="0"/>
      <w:marRight w:val="0"/>
      <w:marTop w:val="0"/>
      <w:marBottom w:val="0"/>
      <w:divBdr>
        <w:top w:val="none" w:sz="0" w:space="0" w:color="auto"/>
        <w:left w:val="none" w:sz="0" w:space="0" w:color="auto"/>
        <w:bottom w:val="none" w:sz="0" w:space="0" w:color="auto"/>
        <w:right w:val="none" w:sz="0" w:space="0" w:color="auto"/>
      </w:divBdr>
    </w:div>
    <w:div w:id="1193299899">
      <w:bodyDiv w:val="1"/>
      <w:marLeft w:val="0"/>
      <w:marRight w:val="0"/>
      <w:marTop w:val="0"/>
      <w:marBottom w:val="0"/>
      <w:divBdr>
        <w:top w:val="none" w:sz="0" w:space="0" w:color="auto"/>
        <w:left w:val="none" w:sz="0" w:space="0" w:color="auto"/>
        <w:bottom w:val="none" w:sz="0" w:space="0" w:color="auto"/>
        <w:right w:val="none" w:sz="0" w:space="0" w:color="auto"/>
      </w:divBdr>
    </w:div>
    <w:div w:id="1193424305">
      <w:bodyDiv w:val="1"/>
      <w:marLeft w:val="0"/>
      <w:marRight w:val="0"/>
      <w:marTop w:val="0"/>
      <w:marBottom w:val="0"/>
      <w:divBdr>
        <w:top w:val="none" w:sz="0" w:space="0" w:color="auto"/>
        <w:left w:val="none" w:sz="0" w:space="0" w:color="auto"/>
        <w:bottom w:val="none" w:sz="0" w:space="0" w:color="auto"/>
        <w:right w:val="none" w:sz="0" w:space="0" w:color="auto"/>
      </w:divBdr>
    </w:div>
    <w:div w:id="1193618684">
      <w:bodyDiv w:val="1"/>
      <w:marLeft w:val="0"/>
      <w:marRight w:val="0"/>
      <w:marTop w:val="0"/>
      <w:marBottom w:val="0"/>
      <w:divBdr>
        <w:top w:val="none" w:sz="0" w:space="0" w:color="auto"/>
        <w:left w:val="none" w:sz="0" w:space="0" w:color="auto"/>
        <w:bottom w:val="none" w:sz="0" w:space="0" w:color="auto"/>
        <w:right w:val="none" w:sz="0" w:space="0" w:color="auto"/>
      </w:divBdr>
    </w:div>
    <w:div w:id="1194029109">
      <w:bodyDiv w:val="1"/>
      <w:marLeft w:val="0"/>
      <w:marRight w:val="0"/>
      <w:marTop w:val="0"/>
      <w:marBottom w:val="0"/>
      <w:divBdr>
        <w:top w:val="none" w:sz="0" w:space="0" w:color="auto"/>
        <w:left w:val="none" w:sz="0" w:space="0" w:color="auto"/>
        <w:bottom w:val="none" w:sz="0" w:space="0" w:color="auto"/>
        <w:right w:val="none" w:sz="0" w:space="0" w:color="auto"/>
      </w:divBdr>
      <w:divsChild>
        <w:div w:id="737899359">
          <w:marLeft w:val="0"/>
          <w:marRight w:val="0"/>
          <w:marTop w:val="0"/>
          <w:marBottom w:val="0"/>
          <w:divBdr>
            <w:top w:val="none" w:sz="0" w:space="0" w:color="auto"/>
            <w:left w:val="none" w:sz="0" w:space="0" w:color="auto"/>
            <w:bottom w:val="none" w:sz="0" w:space="0" w:color="auto"/>
            <w:right w:val="none" w:sz="0" w:space="0" w:color="auto"/>
          </w:divBdr>
        </w:div>
        <w:div w:id="903296159">
          <w:marLeft w:val="0"/>
          <w:marRight w:val="0"/>
          <w:marTop w:val="0"/>
          <w:marBottom w:val="0"/>
          <w:divBdr>
            <w:top w:val="none" w:sz="0" w:space="0" w:color="auto"/>
            <w:left w:val="none" w:sz="0" w:space="0" w:color="auto"/>
            <w:bottom w:val="none" w:sz="0" w:space="0" w:color="auto"/>
            <w:right w:val="none" w:sz="0" w:space="0" w:color="auto"/>
          </w:divBdr>
        </w:div>
        <w:div w:id="1934898164">
          <w:marLeft w:val="0"/>
          <w:marRight w:val="0"/>
          <w:marTop w:val="0"/>
          <w:marBottom w:val="0"/>
          <w:divBdr>
            <w:top w:val="none" w:sz="0" w:space="0" w:color="auto"/>
            <w:left w:val="none" w:sz="0" w:space="0" w:color="auto"/>
            <w:bottom w:val="none" w:sz="0" w:space="0" w:color="auto"/>
            <w:right w:val="none" w:sz="0" w:space="0" w:color="auto"/>
          </w:divBdr>
        </w:div>
      </w:divsChild>
    </w:div>
    <w:div w:id="1194462263">
      <w:bodyDiv w:val="1"/>
      <w:marLeft w:val="0"/>
      <w:marRight w:val="0"/>
      <w:marTop w:val="0"/>
      <w:marBottom w:val="0"/>
      <w:divBdr>
        <w:top w:val="none" w:sz="0" w:space="0" w:color="auto"/>
        <w:left w:val="none" w:sz="0" w:space="0" w:color="auto"/>
        <w:bottom w:val="none" w:sz="0" w:space="0" w:color="auto"/>
        <w:right w:val="none" w:sz="0" w:space="0" w:color="auto"/>
      </w:divBdr>
    </w:div>
    <w:div w:id="1194923500">
      <w:bodyDiv w:val="1"/>
      <w:marLeft w:val="0"/>
      <w:marRight w:val="0"/>
      <w:marTop w:val="0"/>
      <w:marBottom w:val="0"/>
      <w:divBdr>
        <w:top w:val="none" w:sz="0" w:space="0" w:color="auto"/>
        <w:left w:val="none" w:sz="0" w:space="0" w:color="auto"/>
        <w:bottom w:val="none" w:sz="0" w:space="0" w:color="auto"/>
        <w:right w:val="none" w:sz="0" w:space="0" w:color="auto"/>
      </w:divBdr>
    </w:div>
    <w:div w:id="1196506064">
      <w:bodyDiv w:val="1"/>
      <w:marLeft w:val="0"/>
      <w:marRight w:val="0"/>
      <w:marTop w:val="0"/>
      <w:marBottom w:val="0"/>
      <w:divBdr>
        <w:top w:val="none" w:sz="0" w:space="0" w:color="auto"/>
        <w:left w:val="none" w:sz="0" w:space="0" w:color="auto"/>
        <w:bottom w:val="none" w:sz="0" w:space="0" w:color="auto"/>
        <w:right w:val="none" w:sz="0" w:space="0" w:color="auto"/>
      </w:divBdr>
    </w:div>
    <w:div w:id="1197307961">
      <w:bodyDiv w:val="1"/>
      <w:marLeft w:val="0"/>
      <w:marRight w:val="0"/>
      <w:marTop w:val="0"/>
      <w:marBottom w:val="0"/>
      <w:divBdr>
        <w:top w:val="none" w:sz="0" w:space="0" w:color="auto"/>
        <w:left w:val="none" w:sz="0" w:space="0" w:color="auto"/>
        <w:bottom w:val="none" w:sz="0" w:space="0" w:color="auto"/>
        <w:right w:val="none" w:sz="0" w:space="0" w:color="auto"/>
      </w:divBdr>
    </w:div>
    <w:div w:id="1197893314">
      <w:bodyDiv w:val="1"/>
      <w:marLeft w:val="0"/>
      <w:marRight w:val="0"/>
      <w:marTop w:val="0"/>
      <w:marBottom w:val="0"/>
      <w:divBdr>
        <w:top w:val="none" w:sz="0" w:space="0" w:color="auto"/>
        <w:left w:val="none" w:sz="0" w:space="0" w:color="auto"/>
        <w:bottom w:val="none" w:sz="0" w:space="0" w:color="auto"/>
        <w:right w:val="none" w:sz="0" w:space="0" w:color="auto"/>
      </w:divBdr>
    </w:div>
    <w:div w:id="1198280301">
      <w:bodyDiv w:val="1"/>
      <w:marLeft w:val="0"/>
      <w:marRight w:val="0"/>
      <w:marTop w:val="0"/>
      <w:marBottom w:val="0"/>
      <w:divBdr>
        <w:top w:val="none" w:sz="0" w:space="0" w:color="auto"/>
        <w:left w:val="none" w:sz="0" w:space="0" w:color="auto"/>
        <w:bottom w:val="none" w:sz="0" w:space="0" w:color="auto"/>
        <w:right w:val="none" w:sz="0" w:space="0" w:color="auto"/>
      </w:divBdr>
    </w:div>
    <w:div w:id="1198393080">
      <w:bodyDiv w:val="1"/>
      <w:marLeft w:val="0"/>
      <w:marRight w:val="0"/>
      <w:marTop w:val="0"/>
      <w:marBottom w:val="0"/>
      <w:divBdr>
        <w:top w:val="none" w:sz="0" w:space="0" w:color="auto"/>
        <w:left w:val="none" w:sz="0" w:space="0" w:color="auto"/>
        <w:bottom w:val="none" w:sz="0" w:space="0" w:color="auto"/>
        <w:right w:val="none" w:sz="0" w:space="0" w:color="auto"/>
      </w:divBdr>
    </w:div>
    <w:div w:id="1198423435">
      <w:bodyDiv w:val="1"/>
      <w:marLeft w:val="0"/>
      <w:marRight w:val="0"/>
      <w:marTop w:val="0"/>
      <w:marBottom w:val="0"/>
      <w:divBdr>
        <w:top w:val="none" w:sz="0" w:space="0" w:color="auto"/>
        <w:left w:val="none" w:sz="0" w:space="0" w:color="auto"/>
        <w:bottom w:val="none" w:sz="0" w:space="0" w:color="auto"/>
        <w:right w:val="none" w:sz="0" w:space="0" w:color="auto"/>
      </w:divBdr>
    </w:div>
    <w:div w:id="1198927197">
      <w:bodyDiv w:val="1"/>
      <w:marLeft w:val="0"/>
      <w:marRight w:val="0"/>
      <w:marTop w:val="0"/>
      <w:marBottom w:val="0"/>
      <w:divBdr>
        <w:top w:val="none" w:sz="0" w:space="0" w:color="auto"/>
        <w:left w:val="none" w:sz="0" w:space="0" w:color="auto"/>
        <w:bottom w:val="none" w:sz="0" w:space="0" w:color="auto"/>
        <w:right w:val="none" w:sz="0" w:space="0" w:color="auto"/>
      </w:divBdr>
    </w:div>
    <w:div w:id="1199272923">
      <w:bodyDiv w:val="1"/>
      <w:marLeft w:val="0"/>
      <w:marRight w:val="0"/>
      <w:marTop w:val="0"/>
      <w:marBottom w:val="0"/>
      <w:divBdr>
        <w:top w:val="none" w:sz="0" w:space="0" w:color="auto"/>
        <w:left w:val="none" w:sz="0" w:space="0" w:color="auto"/>
        <w:bottom w:val="none" w:sz="0" w:space="0" w:color="auto"/>
        <w:right w:val="none" w:sz="0" w:space="0" w:color="auto"/>
      </w:divBdr>
    </w:div>
    <w:div w:id="1199468254">
      <w:bodyDiv w:val="1"/>
      <w:marLeft w:val="0"/>
      <w:marRight w:val="0"/>
      <w:marTop w:val="0"/>
      <w:marBottom w:val="0"/>
      <w:divBdr>
        <w:top w:val="none" w:sz="0" w:space="0" w:color="auto"/>
        <w:left w:val="none" w:sz="0" w:space="0" w:color="auto"/>
        <w:bottom w:val="none" w:sz="0" w:space="0" w:color="auto"/>
        <w:right w:val="none" w:sz="0" w:space="0" w:color="auto"/>
      </w:divBdr>
    </w:div>
    <w:div w:id="1199515932">
      <w:bodyDiv w:val="1"/>
      <w:marLeft w:val="0"/>
      <w:marRight w:val="0"/>
      <w:marTop w:val="0"/>
      <w:marBottom w:val="0"/>
      <w:divBdr>
        <w:top w:val="none" w:sz="0" w:space="0" w:color="auto"/>
        <w:left w:val="none" w:sz="0" w:space="0" w:color="auto"/>
        <w:bottom w:val="none" w:sz="0" w:space="0" w:color="auto"/>
        <w:right w:val="none" w:sz="0" w:space="0" w:color="auto"/>
      </w:divBdr>
    </w:div>
    <w:div w:id="1200045659">
      <w:bodyDiv w:val="1"/>
      <w:marLeft w:val="0"/>
      <w:marRight w:val="0"/>
      <w:marTop w:val="0"/>
      <w:marBottom w:val="0"/>
      <w:divBdr>
        <w:top w:val="none" w:sz="0" w:space="0" w:color="auto"/>
        <w:left w:val="none" w:sz="0" w:space="0" w:color="auto"/>
        <w:bottom w:val="none" w:sz="0" w:space="0" w:color="auto"/>
        <w:right w:val="none" w:sz="0" w:space="0" w:color="auto"/>
      </w:divBdr>
    </w:div>
    <w:div w:id="1200052916">
      <w:bodyDiv w:val="1"/>
      <w:marLeft w:val="0"/>
      <w:marRight w:val="0"/>
      <w:marTop w:val="0"/>
      <w:marBottom w:val="0"/>
      <w:divBdr>
        <w:top w:val="none" w:sz="0" w:space="0" w:color="auto"/>
        <w:left w:val="none" w:sz="0" w:space="0" w:color="auto"/>
        <w:bottom w:val="none" w:sz="0" w:space="0" w:color="auto"/>
        <w:right w:val="none" w:sz="0" w:space="0" w:color="auto"/>
      </w:divBdr>
    </w:div>
    <w:div w:id="1200238906">
      <w:bodyDiv w:val="1"/>
      <w:marLeft w:val="0"/>
      <w:marRight w:val="0"/>
      <w:marTop w:val="0"/>
      <w:marBottom w:val="0"/>
      <w:divBdr>
        <w:top w:val="none" w:sz="0" w:space="0" w:color="auto"/>
        <w:left w:val="none" w:sz="0" w:space="0" w:color="auto"/>
        <w:bottom w:val="none" w:sz="0" w:space="0" w:color="auto"/>
        <w:right w:val="none" w:sz="0" w:space="0" w:color="auto"/>
      </w:divBdr>
    </w:div>
    <w:div w:id="1201165405">
      <w:bodyDiv w:val="1"/>
      <w:marLeft w:val="0"/>
      <w:marRight w:val="0"/>
      <w:marTop w:val="0"/>
      <w:marBottom w:val="0"/>
      <w:divBdr>
        <w:top w:val="none" w:sz="0" w:space="0" w:color="auto"/>
        <w:left w:val="none" w:sz="0" w:space="0" w:color="auto"/>
        <w:bottom w:val="none" w:sz="0" w:space="0" w:color="auto"/>
        <w:right w:val="none" w:sz="0" w:space="0" w:color="auto"/>
      </w:divBdr>
    </w:div>
    <w:div w:id="1201699599">
      <w:bodyDiv w:val="1"/>
      <w:marLeft w:val="0"/>
      <w:marRight w:val="0"/>
      <w:marTop w:val="0"/>
      <w:marBottom w:val="0"/>
      <w:divBdr>
        <w:top w:val="none" w:sz="0" w:space="0" w:color="auto"/>
        <w:left w:val="none" w:sz="0" w:space="0" w:color="auto"/>
        <w:bottom w:val="none" w:sz="0" w:space="0" w:color="auto"/>
        <w:right w:val="none" w:sz="0" w:space="0" w:color="auto"/>
      </w:divBdr>
    </w:div>
    <w:div w:id="1201818037">
      <w:bodyDiv w:val="1"/>
      <w:marLeft w:val="0"/>
      <w:marRight w:val="0"/>
      <w:marTop w:val="0"/>
      <w:marBottom w:val="0"/>
      <w:divBdr>
        <w:top w:val="none" w:sz="0" w:space="0" w:color="auto"/>
        <w:left w:val="none" w:sz="0" w:space="0" w:color="auto"/>
        <w:bottom w:val="none" w:sz="0" w:space="0" w:color="auto"/>
        <w:right w:val="none" w:sz="0" w:space="0" w:color="auto"/>
      </w:divBdr>
    </w:div>
    <w:div w:id="1202282358">
      <w:bodyDiv w:val="1"/>
      <w:marLeft w:val="0"/>
      <w:marRight w:val="0"/>
      <w:marTop w:val="0"/>
      <w:marBottom w:val="0"/>
      <w:divBdr>
        <w:top w:val="none" w:sz="0" w:space="0" w:color="auto"/>
        <w:left w:val="none" w:sz="0" w:space="0" w:color="auto"/>
        <w:bottom w:val="none" w:sz="0" w:space="0" w:color="auto"/>
        <w:right w:val="none" w:sz="0" w:space="0" w:color="auto"/>
      </w:divBdr>
    </w:div>
    <w:div w:id="1202285303">
      <w:bodyDiv w:val="1"/>
      <w:marLeft w:val="0"/>
      <w:marRight w:val="0"/>
      <w:marTop w:val="0"/>
      <w:marBottom w:val="0"/>
      <w:divBdr>
        <w:top w:val="none" w:sz="0" w:space="0" w:color="auto"/>
        <w:left w:val="none" w:sz="0" w:space="0" w:color="auto"/>
        <w:bottom w:val="none" w:sz="0" w:space="0" w:color="auto"/>
        <w:right w:val="none" w:sz="0" w:space="0" w:color="auto"/>
      </w:divBdr>
    </w:div>
    <w:div w:id="1202742806">
      <w:bodyDiv w:val="1"/>
      <w:marLeft w:val="0"/>
      <w:marRight w:val="0"/>
      <w:marTop w:val="0"/>
      <w:marBottom w:val="0"/>
      <w:divBdr>
        <w:top w:val="none" w:sz="0" w:space="0" w:color="auto"/>
        <w:left w:val="none" w:sz="0" w:space="0" w:color="auto"/>
        <w:bottom w:val="none" w:sz="0" w:space="0" w:color="auto"/>
        <w:right w:val="none" w:sz="0" w:space="0" w:color="auto"/>
      </w:divBdr>
    </w:div>
    <w:div w:id="1203206565">
      <w:bodyDiv w:val="1"/>
      <w:marLeft w:val="0"/>
      <w:marRight w:val="0"/>
      <w:marTop w:val="0"/>
      <w:marBottom w:val="0"/>
      <w:divBdr>
        <w:top w:val="none" w:sz="0" w:space="0" w:color="auto"/>
        <w:left w:val="none" w:sz="0" w:space="0" w:color="auto"/>
        <w:bottom w:val="none" w:sz="0" w:space="0" w:color="auto"/>
        <w:right w:val="none" w:sz="0" w:space="0" w:color="auto"/>
      </w:divBdr>
    </w:div>
    <w:div w:id="1204290010">
      <w:bodyDiv w:val="1"/>
      <w:marLeft w:val="0"/>
      <w:marRight w:val="0"/>
      <w:marTop w:val="0"/>
      <w:marBottom w:val="0"/>
      <w:divBdr>
        <w:top w:val="none" w:sz="0" w:space="0" w:color="auto"/>
        <w:left w:val="none" w:sz="0" w:space="0" w:color="auto"/>
        <w:bottom w:val="none" w:sz="0" w:space="0" w:color="auto"/>
        <w:right w:val="none" w:sz="0" w:space="0" w:color="auto"/>
      </w:divBdr>
    </w:div>
    <w:div w:id="1204322116">
      <w:bodyDiv w:val="1"/>
      <w:marLeft w:val="0"/>
      <w:marRight w:val="0"/>
      <w:marTop w:val="0"/>
      <w:marBottom w:val="0"/>
      <w:divBdr>
        <w:top w:val="none" w:sz="0" w:space="0" w:color="auto"/>
        <w:left w:val="none" w:sz="0" w:space="0" w:color="auto"/>
        <w:bottom w:val="none" w:sz="0" w:space="0" w:color="auto"/>
        <w:right w:val="none" w:sz="0" w:space="0" w:color="auto"/>
      </w:divBdr>
    </w:div>
    <w:div w:id="1204947837">
      <w:bodyDiv w:val="1"/>
      <w:marLeft w:val="0"/>
      <w:marRight w:val="0"/>
      <w:marTop w:val="0"/>
      <w:marBottom w:val="0"/>
      <w:divBdr>
        <w:top w:val="none" w:sz="0" w:space="0" w:color="auto"/>
        <w:left w:val="none" w:sz="0" w:space="0" w:color="auto"/>
        <w:bottom w:val="none" w:sz="0" w:space="0" w:color="auto"/>
        <w:right w:val="none" w:sz="0" w:space="0" w:color="auto"/>
      </w:divBdr>
    </w:div>
    <w:div w:id="1205173440">
      <w:bodyDiv w:val="1"/>
      <w:marLeft w:val="0"/>
      <w:marRight w:val="0"/>
      <w:marTop w:val="0"/>
      <w:marBottom w:val="0"/>
      <w:divBdr>
        <w:top w:val="none" w:sz="0" w:space="0" w:color="auto"/>
        <w:left w:val="none" w:sz="0" w:space="0" w:color="auto"/>
        <w:bottom w:val="none" w:sz="0" w:space="0" w:color="auto"/>
        <w:right w:val="none" w:sz="0" w:space="0" w:color="auto"/>
      </w:divBdr>
    </w:div>
    <w:div w:id="1206992629">
      <w:bodyDiv w:val="1"/>
      <w:marLeft w:val="0"/>
      <w:marRight w:val="0"/>
      <w:marTop w:val="0"/>
      <w:marBottom w:val="0"/>
      <w:divBdr>
        <w:top w:val="none" w:sz="0" w:space="0" w:color="auto"/>
        <w:left w:val="none" w:sz="0" w:space="0" w:color="auto"/>
        <w:bottom w:val="none" w:sz="0" w:space="0" w:color="auto"/>
        <w:right w:val="none" w:sz="0" w:space="0" w:color="auto"/>
      </w:divBdr>
    </w:div>
    <w:div w:id="1207449132">
      <w:bodyDiv w:val="1"/>
      <w:marLeft w:val="0"/>
      <w:marRight w:val="0"/>
      <w:marTop w:val="0"/>
      <w:marBottom w:val="0"/>
      <w:divBdr>
        <w:top w:val="none" w:sz="0" w:space="0" w:color="auto"/>
        <w:left w:val="none" w:sz="0" w:space="0" w:color="auto"/>
        <w:bottom w:val="none" w:sz="0" w:space="0" w:color="auto"/>
        <w:right w:val="none" w:sz="0" w:space="0" w:color="auto"/>
      </w:divBdr>
    </w:div>
    <w:div w:id="1207526442">
      <w:bodyDiv w:val="1"/>
      <w:marLeft w:val="0"/>
      <w:marRight w:val="0"/>
      <w:marTop w:val="0"/>
      <w:marBottom w:val="0"/>
      <w:divBdr>
        <w:top w:val="none" w:sz="0" w:space="0" w:color="auto"/>
        <w:left w:val="none" w:sz="0" w:space="0" w:color="auto"/>
        <w:bottom w:val="none" w:sz="0" w:space="0" w:color="auto"/>
        <w:right w:val="none" w:sz="0" w:space="0" w:color="auto"/>
      </w:divBdr>
    </w:div>
    <w:div w:id="1207645681">
      <w:bodyDiv w:val="1"/>
      <w:marLeft w:val="0"/>
      <w:marRight w:val="0"/>
      <w:marTop w:val="0"/>
      <w:marBottom w:val="0"/>
      <w:divBdr>
        <w:top w:val="none" w:sz="0" w:space="0" w:color="auto"/>
        <w:left w:val="none" w:sz="0" w:space="0" w:color="auto"/>
        <w:bottom w:val="none" w:sz="0" w:space="0" w:color="auto"/>
        <w:right w:val="none" w:sz="0" w:space="0" w:color="auto"/>
      </w:divBdr>
    </w:div>
    <w:div w:id="1207833430">
      <w:bodyDiv w:val="1"/>
      <w:marLeft w:val="0"/>
      <w:marRight w:val="0"/>
      <w:marTop w:val="0"/>
      <w:marBottom w:val="0"/>
      <w:divBdr>
        <w:top w:val="none" w:sz="0" w:space="0" w:color="auto"/>
        <w:left w:val="none" w:sz="0" w:space="0" w:color="auto"/>
        <w:bottom w:val="none" w:sz="0" w:space="0" w:color="auto"/>
        <w:right w:val="none" w:sz="0" w:space="0" w:color="auto"/>
      </w:divBdr>
    </w:div>
    <w:div w:id="1208373698">
      <w:bodyDiv w:val="1"/>
      <w:marLeft w:val="0"/>
      <w:marRight w:val="0"/>
      <w:marTop w:val="0"/>
      <w:marBottom w:val="0"/>
      <w:divBdr>
        <w:top w:val="none" w:sz="0" w:space="0" w:color="auto"/>
        <w:left w:val="none" w:sz="0" w:space="0" w:color="auto"/>
        <w:bottom w:val="none" w:sz="0" w:space="0" w:color="auto"/>
        <w:right w:val="none" w:sz="0" w:space="0" w:color="auto"/>
      </w:divBdr>
    </w:div>
    <w:div w:id="1208487249">
      <w:bodyDiv w:val="1"/>
      <w:marLeft w:val="0"/>
      <w:marRight w:val="0"/>
      <w:marTop w:val="0"/>
      <w:marBottom w:val="0"/>
      <w:divBdr>
        <w:top w:val="none" w:sz="0" w:space="0" w:color="auto"/>
        <w:left w:val="none" w:sz="0" w:space="0" w:color="auto"/>
        <w:bottom w:val="none" w:sz="0" w:space="0" w:color="auto"/>
        <w:right w:val="none" w:sz="0" w:space="0" w:color="auto"/>
      </w:divBdr>
    </w:div>
    <w:div w:id="1208880298">
      <w:bodyDiv w:val="1"/>
      <w:marLeft w:val="0"/>
      <w:marRight w:val="0"/>
      <w:marTop w:val="0"/>
      <w:marBottom w:val="0"/>
      <w:divBdr>
        <w:top w:val="none" w:sz="0" w:space="0" w:color="auto"/>
        <w:left w:val="none" w:sz="0" w:space="0" w:color="auto"/>
        <w:bottom w:val="none" w:sz="0" w:space="0" w:color="auto"/>
        <w:right w:val="none" w:sz="0" w:space="0" w:color="auto"/>
      </w:divBdr>
    </w:div>
    <w:div w:id="1208882314">
      <w:bodyDiv w:val="1"/>
      <w:marLeft w:val="0"/>
      <w:marRight w:val="0"/>
      <w:marTop w:val="0"/>
      <w:marBottom w:val="0"/>
      <w:divBdr>
        <w:top w:val="none" w:sz="0" w:space="0" w:color="auto"/>
        <w:left w:val="none" w:sz="0" w:space="0" w:color="auto"/>
        <w:bottom w:val="none" w:sz="0" w:space="0" w:color="auto"/>
        <w:right w:val="none" w:sz="0" w:space="0" w:color="auto"/>
      </w:divBdr>
    </w:div>
    <w:div w:id="1209301918">
      <w:bodyDiv w:val="1"/>
      <w:marLeft w:val="0"/>
      <w:marRight w:val="0"/>
      <w:marTop w:val="0"/>
      <w:marBottom w:val="0"/>
      <w:divBdr>
        <w:top w:val="none" w:sz="0" w:space="0" w:color="auto"/>
        <w:left w:val="none" w:sz="0" w:space="0" w:color="auto"/>
        <w:bottom w:val="none" w:sz="0" w:space="0" w:color="auto"/>
        <w:right w:val="none" w:sz="0" w:space="0" w:color="auto"/>
      </w:divBdr>
    </w:div>
    <w:div w:id="1209341349">
      <w:bodyDiv w:val="1"/>
      <w:marLeft w:val="0"/>
      <w:marRight w:val="0"/>
      <w:marTop w:val="0"/>
      <w:marBottom w:val="0"/>
      <w:divBdr>
        <w:top w:val="none" w:sz="0" w:space="0" w:color="auto"/>
        <w:left w:val="none" w:sz="0" w:space="0" w:color="auto"/>
        <w:bottom w:val="none" w:sz="0" w:space="0" w:color="auto"/>
        <w:right w:val="none" w:sz="0" w:space="0" w:color="auto"/>
      </w:divBdr>
    </w:div>
    <w:div w:id="1209800238">
      <w:bodyDiv w:val="1"/>
      <w:marLeft w:val="0"/>
      <w:marRight w:val="0"/>
      <w:marTop w:val="0"/>
      <w:marBottom w:val="0"/>
      <w:divBdr>
        <w:top w:val="none" w:sz="0" w:space="0" w:color="auto"/>
        <w:left w:val="none" w:sz="0" w:space="0" w:color="auto"/>
        <w:bottom w:val="none" w:sz="0" w:space="0" w:color="auto"/>
        <w:right w:val="none" w:sz="0" w:space="0" w:color="auto"/>
      </w:divBdr>
    </w:div>
    <w:div w:id="1209875176">
      <w:bodyDiv w:val="1"/>
      <w:marLeft w:val="0"/>
      <w:marRight w:val="0"/>
      <w:marTop w:val="0"/>
      <w:marBottom w:val="0"/>
      <w:divBdr>
        <w:top w:val="none" w:sz="0" w:space="0" w:color="auto"/>
        <w:left w:val="none" w:sz="0" w:space="0" w:color="auto"/>
        <w:bottom w:val="none" w:sz="0" w:space="0" w:color="auto"/>
        <w:right w:val="none" w:sz="0" w:space="0" w:color="auto"/>
      </w:divBdr>
    </w:div>
    <w:div w:id="1210453453">
      <w:bodyDiv w:val="1"/>
      <w:marLeft w:val="0"/>
      <w:marRight w:val="0"/>
      <w:marTop w:val="0"/>
      <w:marBottom w:val="0"/>
      <w:divBdr>
        <w:top w:val="none" w:sz="0" w:space="0" w:color="auto"/>
        <w:left w:val="none" w:sz="0" w:space="0" w:color="auto"/>
        <w:bottom w:val="none" w:sz="0" w:space="0" w:color="auto"/>
        <w:right w:val="none" w:sz="0" w:space="0" w:color="auto"/>
      </w:divBdr>
    </w:div>
    <w:div w:id="1210605198">
      <w:bodyDiv w:val="1"/>
      <w:marLeft w:val="0"/>
      <w:marRight w:val="0"/>
      <w:marTop w:val="0"/>
      <w:marBottom w:val="0"/>
      <w:divBdr>
        <w:top w:val="none" w:sz="0" w:space="0" w:color="auto"/>
        <w:left w:val="none" w:sz="0" w:space="0" w:color="auto"/>
        <w:bottom w:val="none" w:sz="0" w:space="0" w:color="auto"/>
        <w:right w:val="none" w:sz="0" w:space="0" w:color="auto"/>
      </w:divBdr>
    </w:div>
    <w:div w:id="1211649347">
      <w:bodyDiv w:val="1"/>
      <w:marLeft w:val="0"/>
      <w:marRight w:val="0"/>
      <w:marTop w:val="0"/>
      <w:marBottom w:val="0"/>
      <w:divBdr>
        <w:top w:val="none" w:sz="0" w:space="0" w:color="auto"/>
        <w:left w:val="none" w:sz="0" w:space="0" w:color="auto"/>
        <w:bottom w:val="none" w:sz="0" w:space="0" w:color="auto"/>
        <w:right w:val="none" w:sz="0" w:space="0" w:color="auto"/>
      </w:divBdr>
    </w:div>
    <w:div w:id="1212302755">
      <w:bodyDiv w:val="1"/>
      <w:marLeft w:val="0"/>
      <w:marRight w:val="0"/>
      <w:marTop w:val="0"/>
      <w:marBottom w:val="0"/>
      <w:divBdr>
        <w:top w:val="none" w:sz="0" w:space="0" w:color="auto"/>
        <w:left w:val="none" w:sz="0" w:space="0" w:color="auto"/>
        <w:bottom w:val="none" w:sz="0" w:space="0" w:color="auto"/>
        <w:right w:val="none" w:sz="0" w:space="0" w:color="auto"/>
      </w:divBdr>
    </w:div>
    <w:div w:id="1212616458">
      <w:bodyDiv w:val="1"/>
      <w:marLeft w:val="0"/>
      <w:marRight w:val="0"/>
      <w:marTop w:val="0"/>
      <w:marBottom w:val="0"/>
      <w:divBdr>
        <w:top w:val="none" w:sz="0" w:space="0" w:color="auto"/>
        <w:left w:val="none" w:sz="0" w:space="0" w:color="auto"/>
        <w:bottom w:val="none" w:sz="0" w:space="0" w:color="auto"/>
        <w:right w:val="none" w:sz="0" w:space="0" w:color="auto"/>
      </w:divBdr>
    </w:div>
    <w:div w:id="1212694634">
      <w:bodyDiv w:val="1"/>
      <w:marLeft w:val="0"/>
      <w:marRight w:val="0"/>
      <w:marTop w:val="0"/>
      <w:marBottom w:val="0"/>
      <w:divBdr>
        <w:top w:val="none" w:sz="0" w:space="0" w:color="auto"/>
        <w:left w:val="none" w:sz="0" w:space="0" w:color="auto"/>
        <w:bottom w:val="none" w:sz="0" w:space="0" w:color="auto"/>
        <w:right w:val="none" w:sz="0" w:space="0" w:color="auto"/>
      </w:divBdr>
    </w:div>
    <w:div w:id="1213225779">
      <w:bodyDiv w:val="1"/>
      <w:marLeft w:val="0"/>
      <w:marRight w:val="0"/>
      <w:marTop w:val="0"/>
      <w:marBottom w:val="0"/>
      <w:divBdr>
        <w:top w:val="none" w:sz="0" w:space="0" w:color="auto"/>
        <w:left w:val="none" w:sz="0" w:space="0" w:color="auto"/>
        <w:bottom w:val="none" w:sz="0" w:space="0" w:color="auto"/>
        <w:right w:val="none" w:sz="0" w:space="0" w:color="auto"/>
      </w:divBdr>
    </w:div>
    <w:div w:id="1213544347">
      <w:bodyDiv w:val="1"/>
      <w:marLeft w:val="0"/>
      <w:marRight w:val="0"/>
      <w:marTop w:val="0"/>
      <w:marBottom w:val="0"/>
      <w:divBdr>
        <w:top w:val="none" w:sz="0" w:space="0" w:color="auto"/>
        <w:left w:val="none" w:sz="0" w:space="0" w:color="auto"/>
        <w:bottom w:val="none" w:sz="0" w:space="0" w:color="auto"/>
        <w:right w:val="none" w:sz="0" w:space="0" w:color="auto"/>
      </w:divBdr>
    </w:div>
    <w:div w:id="1215124623">
      <w:bodyDiv w:val="1"/>
      <w:marLeft w:val="0"/>
      <w:marRight w:val="0"/>
      <w:marTop w:val="0"/>
      <w:marBottom w:val="0"/>
      <w:divBdr>
        <w:top w:val="none" w:sz="0" w:space="0" w:color="auto"/>
        <w:left w:val="none" w:sz="0" w:space="0" w:color="auto"/>
        <w:bottom w:val="none" w:sz="0" w:space="0" w:color="auto"/>
        <w:right w:val="none" w:sz="0" w:space="0" w:color="auto"/>
      </w:divBdr>
    </w:div>
    <w:div w:id="1215234389">
      <w:bodyDiv w:val="1"/>
      <w:marLeft w:val="0"/>
      <w:marRight w:val="0"/>
      <w:marTop w:val="0"/>
      <w:marBottom w:val="0"/>
      <w:divBdr>
        <w:top w:val="none" w:sz="0" w:space="0" w:color="auto"/>
        <w:left w:val="none" w:sz="0" w:space="0" w:color="auto"/>
        <w:bottom w:val="none" w:sz="0" w:space="0" w:color="auto"/>
        <w:right w:val="none" w:sz="0" w:space="0" w:color="auto"/>
      </w:divBdr>
    </w:div>
    <w:div w:id="1215387923">
      <w:bodyDiv w:val="1"/>
      <w:marLeft w:val="0"/>
      <w:marRight w:val="0"/>
      <w:marTop w:val="0"/>
      <w:marBottom w:val="0"/>
      <w:divBdr>
        <w:top w:val="none" w:sz="0" w:space="0" w:color="auto"/>
        <w:left w:val="none" w:sz="0" w:space="0" w:color="auto"/>
        <w:bottom w:val="none" w:sz="0" w:space="0" w:color="auto"/>
        <w:right w:val="none" w:sz="0" w:space="0" w:color="auto"/>
      </w:divBdr>
    </w:div>
    <w:div w:id="1215893213">
      <w:bodyDiv w:val="1"/>
      <w:marLeft w:val="0"/>
      <w:marRight w:val="0"/>
      <w:marTop w:val="0"/>
      <w:marBottom w:val="0"/>
      <w:divBdr>
        <w:top w:val="none" w:sz="0" w:space="0" w:color="auto"/>
        <w:left w:val="none" w:sz="0" w:space="0" w:color="auto"/>
        <w:bottom w:val="none" w:sz="0" w:space="0" w:color="auto"/>
        <w:right w:val="none" w:sz="0" w:space="0" w:color="auto"/>
      </w:divBdr>
    </w:div>
    <w:div w:id="1215973105">
      <w:bodyDiv w:val="1"/>
      <w:marLeft w:val="0"/>
      <w:marRight w:val="0"/>
      <w:marTop w:val="0"/>
      <w:marBottom w:val="0"/>
      <w:divBdr>
        <w:top w:val="none" w:sz="0" w:space="0" w:color="auto"/>
        <w:left w:val="none" w:sz="0" w:space="0" w:color="auto"/>
        <w:bottom w:val="none" w:sz="0" w:space="0" w:color="auto"/>
        <w:right w:val="none" w:sz="0" w:space="0" w:color="auto"/>
      </w:divBdr>
    </w:div>
    <w:div w:id="1216770688">
      <w:bodyDiv w:val="1"/>
      <w:marLeft w:val="0"/>
      <w:marRight w:val="0"/>
      <w:marTop w:val="0"/>
      <w:marBottom w:val="0"/>
      <w:divBdr>
        <w:top w:val="none" w:sz="0" w:space="0" w:color="auto"/>
        <w:left w:val="none" w:sz="0" w:space="0" w:color="auto"/>
        <w:bottom w:val="none" w:sz="0" w:space="0" w:color="auto"/>
        <w:right w:val="none" w:sz="0" w:space="0" w:color="auto"/>
      </w:divBdr>
    </w:div>
    <w:div w:id="1216771005">
      <w:bodyDiv w:val="1"/>
      <w:marLeft w:val="0"/>
      <w:marRight w:val="0"/>
      <w:marTop w:val="0"/>
      <w:marBottom w:val="0"/>
      <w:divBdr>
        <w:top w:val="none" w:sz="0" w:space="0" w:color="auto"/>
        <w:left w:val="none" w:sz="0" w:space="0" w:color="auto"/>
        <w:bottom w:val="none" w:sz="0" w:space="0" w:color="auto"/>
        <w:right w:val="none" w:sz="0" w:space="0" w:color="auto"/>
      </w:divBdr>
    </w:div>
    <w:div w:id="1216966462">
      <w:bodyDiv w:val="1"/>
      <w:marLeft w:val="0"/>
      <w:marRight w:val="0"/>
      <w:marTop w:val="0"/>
      <w:marBottom w:val="0"/>
      <w:divBdr>
        <w:top w:val="none" w:sz="0" w:space="0" w:color="auto"/>
        <w:left w:val="none" w:sz="0" w:space="0" w:color="auto"/>
        <w:bottom w:val="none" w:sz="0" w:space="0" w:color="auto"/>
        <w:right w:val="none" w:sz="0" w:space="0" w:color="auto"/>
      </w:divBdr>
    </w:div>
    <w:div w:id="1217202118">
      <w:bodyDiv w:val="1"/>
      <w:marLeft w:val="0"/>
      <w:marRight w:val="0"/>
      <w:marTop w:val="0"/>
      <w:marBottom w:val="0"/>
      <w:divBdr>
        <w:top w:val="none" w:sz="0" w:space="0" w:color="auto"/>
        <w:left w:val="none" w:sz="0" w:space="0" w:color="auto"/>
        <w:bottom w:val="none" w:sz="0" w:space="0" w:color="auto"/>
        <w:right w:val="none" w:sz="0" w:space="0" w:color="auto"/>
      </w:divBdr>
    </w:div>
    <w:div w:id="1217206472">
      <w:bodyDiv w:val="1"/>
      <w:marLeft w:val="0"/>
      <w:marRight w:val="0"/>
      <w:marTop w:val="0"/>
      <w:marBottom w:val="0"/>
      <w:divBdr>
        <w:top w:val="none" w:sz="0" w:space="0" w:color="auto"/>
        <w:left w:val="none" w:sz="0" w:space="0" w:color="auto"/>
        <w:bottom w:val="none" w:sz="0" w:space="0" w:color="auto"/>
        <w:right w:val="none" w:sz="0" w:space="0" w:color="auto"/>
      </w:divBdr>
    </w:div>
    <w:div w:id="1217357593">
      <w:bodyDiv w:val="1"/>
      <w:marLeft w:val="0"/>
      <w:marRight w:val="0"/>
      <w:marTop w:val="0"/>
      <w:marBottom w:val="0"/>
      <w:divBdr>
        <w:top w:val="none" w:sz="0" w:space="0" w:color="auto"/>
        <w:left w:val="none" w:sz="0" w:space="0" w:color="auto"/>
        <w:bottom w:val="none" w:sz="0" w:space="0" w:color="auto"/>
        <w:right w:val="none" w:sz="0" w:space="0" w:color="auto"/>
      </w:divBdr>
    </w:div>
    <w:div w:id="1217744344">
      <w:bodyDiv w:val="1"/>
      <w:marLeft w:val="0"/>
      <w:marRight w:val="0"/>
      <w:marTop w:val="0"/>
      <w:marBottom w:val="0"/>
      <w:divBdr>
        <w:top w:val="none" w:sz="0" w:space="0" w:color="auto"/>
        <w:left w:val="none" w:sz="0" w:space="0" w:color="auto"/>
        <w:bottom w:val="none" w:sz="0" w:space="0" w:color="auto"/>
        <w:right w:val="none" w:sz="0" w:space="0" w:color="auto"/>
      </w:divBdr>
    </w:div>
    <w:div w:id="1217856393">
      <w:bodyDiv w:val="1"/>
      <w:marLeft w:val="0"/>
      <w:marRight w:val="0"/>
      <w:marTop w:val="0"/>
      <w:marBottom w:val="0"/>
      <w:divBdr>
        <w:top w:val="none" w:sz="0" w:space="0" w:color="auto"/>
        <w:left w:val="none" w:sz="0" w:space="0" w:color="auto"/>
        <w:bottom w:val="none" w:sz="0" w:space="0" w:color="auto"/>
        <w:right w:val="none" w:sz="0" w:space="0" w:color="auto"/>
      </w:divBdr>
    </w:div>
    <w:div w:id="1217861204">
      <w:bodyDiv w:val="1"/>
      <w:marLeft w:val="0"/>
      <w:marRight w:val="0"/>
      <w:marTop w:val="0"/>
      <w:marBottom w:val="0"/>
      <w:divBdr>
        <w:top w:val="none" w:sz="0" w:space="0" w:color="auto"/>
        <w:left w:val="none" w:sz="0" w:space="0" w:color="auto"/>
        <w:bottom w:val="none" w:sz="0" w:space="0" w:color="auto"/>
        <w:right w:val="none" w:sz="0" w:space="0" w:color="auto"/>
      </w:divBdr>
    </w:div>
    <w:div w:id="1217935646">
      <w:bodyDiv w:val="1"/>
      <w:marLeft w:val="0"/>
      <w:marRight w:val="0"/>
      <w:marTop w:val="0"/>
      <w:marBottom w:val="0"/>
      <w:divBdr>
        <w:top w:val="none" w:sz="0" w:space="0" w:color="auto"/>
        <w:left w:val="none" w:sz="0" w:space="0" w:color="auto"/>
        <w:bottom w:val="none" w:sz="0" w:space="0" w:color="auto"/>
        <w:right w:val="none" w:sz="0" w:space="0" w:color="auto"/>
      </w:divBdr>
    </w:div>
    <w:div w:id="1218130054">
      <w:bodyDiv w:val="1"/>
      <w:marLeft w:val="0"/>
      <w:marRight w:val="0"/>
      <w:marTop w:val="0"/>
      <w:marBottom w:val="0"/>
      <w:divBdr>
        <w:top w:val="none" w:sz="0" w:space="0" w:color="auto"/>
        <w:left w:val="none" w:sz="0" w:space="0" w:color="auto"/>
        <w:bottom w:val="none" w:sz="0" w:space="0" w:color="auto"/>
        <w:right w:val="none" w:sz="0" w:space="0" w:color="auto"/>
      </w:divBdr>
    </w:div>
    <w:div w:id="1218274423">
      <w:bodyDiv w:val="1"/>
      <w:marLeft w:val="0"/>
      <w:marRight w:val="0"/>
      <w:marTop w:val="0"/>
      <w:marBottom w:val="0"/>
      <w:divBdr>
        <w:top w:val="none" w:sz="0" w:space="0" w:color="auto"/>
        <w:left w:val="none" w:sz="0" w:space="0" w:color="auto"/>
        <w:bottom w:val="none" w:sz="0" w:space="0" w:color="auto"/>
        <w:right w:val="none" w:sz="0" w:space="0" w:color="auto"/>
      </w:divBdr>
    </w:div>
    <w:div w:id="1218280463">
      <w:bodyDiv w:val="1"/>
      <w:marLeft w:val="0"/>
      <w:marRight w:val="0"/>
      <w:marTop w:val="0"/>
      <w:marBottom w:val="0"/>
      <w:divBdr>
        <w:top w:val="none" w:sz="0" w:space="0" w:color="auto"/>
        <w:left w:val="none" w:sz="0" w:space="0" w:color="auto"/>
        <w:bottom w:val="none" w:sz="0" w:space="0" w:color="auto"/>
        <w:right w:val="none" w:sz="0" w:space="0" w:color="auto"/>
      </w:divBdr>
    </w:div>
    <w:div w:id="1218510993">
      <w:bodyDiv w:val="1"/>
      <w:marLeft w:val="0"/>
      <w:marRight w:val="0"/>
      <w:marTop w:val="0"/>
      <w:marBottom w:val="0"/>
      <w:divBdr>
        <w:top w:val="none" w:sz="0" w:space="0" w:color="auto"/>
        <w:left w:val="none" w:sz="0" w:space="0" w:color="auto"/>
        <w:bottom w:val="none" w:sz="0" w:space="0" w:color="auto"/>
        <w:right w:val="none" w:sz="0" w:space="0" w:color="auto"/>
      </w:divBdr>
    </w:div>
    <w:div w:id="1219510909">
      <w:bodyDiv w:val="1"/>
      <w:marLeft w:val="0"/>
      <w:marRight w:val="0"/>
      <w:marTop w:val="0"/>
      <w:marBottom w:val="0"/>
      <w:divBdr>
        <w:top w:val="none" w:sz="0" w:space="0" w:color="auto"/>
        <w:left w:val="none" w:sz="0" w:space="0" w:color="auto"/>
        <w:bottom w:val="none" w:sz="0" w:space="0" w:color="auto"/>
        <w:right w:val="none" w:sz="0" w:space="0" w:color="auto"/>
      </w:divBdr>
    </w:div>
    <w:div w:id="1219703275">
      <w:bodyDiv w:val="1"/>
      <w:marLeft w:val="0"/>
      <w:marRight w:val="0"/>
      <w:marTop w:val="0"/>
      <w:marBottom w:val="0"/>
      <w:divBdr>
        <w:top w:val="none" w:sz="0" w:space="0" w:color="auto"/>
        <w:left w:val="none" w:sz="0" w:space="0" w:color="auto"/>
        <w:bottom w:val="none" w:sz="0" w:space="0" w:color="auto"/>
        <w:right w:val="none" w:sz="0" w:space="0" w:color="auto"/>
      </w:divBdr>
    </w:div>
    <w:div w:id="1219779722">
      <w:bodyDiv w:val="1"/>
      <w:marLeft w:val="0"/>
      <w:marRight w:val="0"/>
      <w:marTop w:val="0"/>
      <w:marBottom w:val="0"/>
      <w:divBdr>
        <w:top w:val="none" w:sz="0" w:space="0" w:color="auto"/>
        <w:left w:val="none" w:sz="0" w:space="0" w:color="auto"/>
        <w:bottom w:val="none" w:sz="0" w:space="0" w:color="auto"/>
        <w:right w:val="none" w:sz="0" w:space="0" w:color="auto"/>
      </w:divBdr>
    </w:div>
    <w:div w:id="1219971481">
      <w:bodyDiv w:val="1"/>
      <w:marLeft w:val="0"/>
      <w:marRight w:val="0"/>
      <w:marTop w:val="0"/>
      <w:marBottom w:val="0"/>
      <w:divBdr>
        <w:top w:val="none" w:sz="0" w:space="0" w:color="auto"/>
        <w:left w:val="none" w:sz="0" w:space="0" w:color="auto"/>
        <w:bottom w:val="none" w:sz="0" w:space="0" w:color="auto"/>
        <w:right w:val="none" w:sz="0" w:space="0" w:color="auto"/>
      </w:divBdr>
    </w:div>
    <w:div w:id="1220705088">
      <w:bodyDiv w:val="1"/>
      <w:marLeft w:val="0"/>
      <w:marRight w:val="0"/>
      <w:marTop w:val="0"/>
      <w:marBottom w:val="0"/>
      <w:divBdr>
        <w:top w:val="none" w:sz="0" w:space="0" w:color="auto"/>
        <w:left w:val="none" w:sz="0" w:space="0" w:color="auto"/>
        <w:bottom w:val="none" w:sz="0" w:space="0" w:color="auto"/>
        <w:right w:val="none" w:sz="0" w:space="0" w:color="auto"/>
      </w:divBdr>
    </w:div>
    <w:div w:id="1220941192">
      <w:bodyDiv w:val="1"/>
      <w:marLeft w:val="0"/>
      <w:marRight w:val="0"/>
      <w:marTop w:val="0"/>
      <w:marBottom w:val="0"/>
      <w:divBdr>
        <w:top w:val="none" w:sz="0" w:space="0" w:color="auto"/>
        <w:left w:val="none" w:sz="0" w:space="0" w:color="auto"/>
        <w:bottom w:val="none" w:sz="0" w:space="0" w:color="auto"/>
        <w:right w:val="none" w:sz="0" w:space="0" w:color="auto"/>
      </w:divBdr>
    </w:div>
    <w:div w:id="1221333211">
      <w:bodyDiv w:val="1"/>
      <w:marLeft w:val="0"/>
      <w:marRight w:val="0"/>
      <w:marTop w:val="0"/>
      <w:marBottom w:val="0"/>
      <w:divBdr>
        <w:top w:val="none" w:sz="0" w:space="0" w:color="auto"/>
        <w:left w:val="none" w:sz="0" w:space="0" w:color="auto"/>
        <w:bottom w:val="none" w:sz="0" w:space="0" w:color="auto"/>
        <w:right w:val="none" w:sz="0" w:space="0" w:color="auto"/>
      </w:divBdr>
    </w:div>
    <w:div w:id="1221474403">
      <w:bodyDiv w:val="1"/>
      <w:marLeft w:val="0"/>
      <w:marRight w:val="0"/>
      <w:marTop w:val="0"/>
      <w:marBottom w:val="0"/>
      <w:divBdr>
        <w:top w:val="none" w:sz="0" w:space="0" w:color="auto"/>
        <w:left w:val="none" w:sz="0" w:space="0" w:color="auto"/>
        <w:bottom w:val="none" w:sz="0" w:space="0" w:color="auto"/>
        <w:right w:val="none" w:sz="0" w:space="0" w:color="auto"/>
      </w:divBdr>
    </w:div>
    <w:div w:id="1221479844">
      <w:bodyDiv w:val="1"/>
      <w:marLeft w:val="0"/>
      <w:marRight w:val="0"/>
      <w:marTop w:val="0"/>
      <w:marBottom w:val="0"/>
      <w:divBdr>
        <w:top w:val="none" w:sz="0" w:space="0" w:color="auto"/>
        <w:left w:val="none" w:sz="0" w:space="0" w:color="auto"/>
        <w:bottom w:val="none" w:sz="0" w:space="0" w:color="auto"/>
        <w:right w:val="none" w:sz="0" w:space="0" w:color="auto"/>
      </w:divBdr>
    </w:div>
    <w:div w:id="1221745566">
      <w:bodyDiv w:val="1"/>
      <w:marLeft w:val="0"/>
      <w:marRight w:val="0"/>
      <w:marTop w:val="0"/>
      <w:marBottom w:val="0"/>
      <w:divBdr>
        <w:top w:val="none" w:sz="0" w:space="0" w:color="auto"/>
        <w:left w:val="none" w:sz="0" w:space="0" w:color="auto"/>
        <w:bottom w:val="none" w:sz="0" w:space="0" w:color="auto"/>
        <w:right w:val="none" w:sz="0" w:space="0" w:color="auto"/>
      </w:divBdr>
    </w:div>
    <w:div w:id="1221749318">
      <w:bodyDiv w:val="1"/>
      <w:marLeft w:val="0"/>
      <w:marRight w:val="0"/>
      <w:marTop w:val="0"/>
      <w:marBottom w:val="0"/>
      <w:divBdr>
        <w:top w:val="none" w:sz="0" w:space="0" w:color="auto"/>
        <w:left w:val="none" w:sz="0" w:space="0" w:color="auto"/>
        <w:bottom w:val="none" w:sz="0" w:space="0" w:color="auto"/>
        <w:right w:val="none" w:sz="0" w:space="0" w:color="auto"/>
      </w:divBdr>
    </w:div>
    <w:div w:id="1222787274">
      <w:bodyDiv w:val="1"/>
      <w:marLeft w:val="0"/>
      <w:marRight w:val="0"/>
      <w:marTop w:val="0"/>
      <w:marBottom w:val="0"/>
      <w:divBdr>
        <w:top w:val="none" w:sz="0" w:space="0" w:color="auto"/>
        <w:left w:val="none" w:sz="0" w:space="0" w:color="auto"/>
        <w:bottom w:val="none" w:sz="0" w:space="0" w:color="auto"/>
        <w:right w:val="none" w:sz="0" w:space="0" w:color="auto"/>
      </w:divBdr>
    </w:div>
    <w:div w:id="1223248853">
      <w:bodyDiv w:val="1"/>
      <w:marLeft w:val="0"/>
      <w:marRight w:val="0"/>
      <w:marTop w:val="0"/>
      <w:marBottom w:val="0"/>
      <w:divBdr>
        <w:top w:val="none" w:sz="0" w:space="0" w:color="auto"/>
        <w:left w:val="none" w:sz="0" w:space="0" w:color="auto"/>
        <w:bottom w:val="none" w:sz="0" w:space="0" w:color="auto"/>
        <w:right w:val="none" w:sz="0" w:space="0" w:color="auto"/>
      </w:divBdr>
    </w:div>
    <w:div w:id="1223911764">
      <w:bodyDiv w:val="1"/>
      <w:marLeft w:val="0"/>
      <w:marRight w:val="0"/>
      <w:marTop w:val="0"/>
      <w:marBottom w:val="0"/>
      <w:divBdr>
        <w:top w:val="none" w:sz="0" w:space="0" w:color="auto"/>
        <w:left w:val="none" w:sz="0" w:space="0" w:color="auto"/>
        <w:bottom w:val="none" w:sz="0" w:space="0" w:color="auto"/>
        <w:right w:val="none" w:sz="0" w:space="0" w:color="auto"/>
      </w:divBdr>
    </w:div>
    <w:div w:id="1224371238">
      <w:bodyDiv w:val="1"/>
      <w:marLeft w:val="0"/>
      <w:marRight w:val="0"/>
      <w:marTop w:val="0"/>
      <w:marBottom w:val="0"/>
      <w:divBdr>
        <w:top w:val="none" w:sz="0" w:space="0" w:color="auto"/>
        <w:left w:val="none" w:sz="0" w:space="0" w:color="auto"/>
        <w:bottom w:val="none" w:sz="0" w:space="0" w:color="auto"/>
        <w:right w:val="none" w:sz="0" w:space="0" w:color="auto"/>
      </w:divBdr>
    </w:div>
    <w:div w:id="1225027540">
      <w:bodyDiv w:val="1"/>
      <w:marLeft w:val="0"/>
      <w:marRight w:val="0"/>
      <w:marTop w:val="0"/>
      <w:marBottom w:val="0"/>
      <w:divBdr>
        <w:top w:val="none" w:sz="0" w:space="0" w:color="auto"/>
        <w:left w:val="none" w:sz="0" w:space="0" w:color="auto"/>
        <w:bottom w:val="none" w:sz="0" w:space="0" w:color="auto"/>
        <w:right w:val="none" w:sz="0" w:space="0" w:color="auto"/>
      </w:divBdr>
    </w:div>
    <w:div w:id="1225604070">
      <w:bodyDiv w:val="1"/>
      <w:marLeft w:val="0"/>
      <w:marRight w:val="0"/>
      <w:marTop w:val="0"/>
      <w:marBottom w:val="0"/>
      <w:divBdr>
        <w:top w:val="none" w:sz="0" w:space="0" w:color="auto"/>
        <w:left w:val="none" w:sz="0" w:space="0" w:color="auto"/>
        <w:bottom w:val="none" w:sz="0" w:space="0" w:color="auto"/>
        <w:right w:val="none" w:sz="0" w:space="0" w:color="auto"/>
      </w:divBdr>
    </w:div>
    <w:div w:id="1225795432">
      <w:bodyDiv w:val="1"/>
      <w:marLeft w:val="0"/>
      <w:marRight w:val="0"/>
      <w:marTop w:val="0"/>
      <w:marBottom w:val="0"/>
      <w:divBdr>
        <w:top w:val="none" w:sz="0" w:space="0" w:color="auto"/>
        <w:left w:val="none" w:sz="0" w:space="0" w:color="auto"/>
        <w:bottom w:val="none" w:sz="0" w:space="0" w:color="auto"/>
        <w:right w:val="none" w:sz="0" w:space="0" w:color="auto"/>
      </w:divBdr>
    </w:div>
    <w:div w:id="1226187268">
      <w:bodyDiv w:val="1"/>
      <w:marLeft w:val="0"/>
      <w:marRight w:val="0"/>
      <w:marTop w:val="0"/>
      <w:marBottom w:val="0"/>
      <w:divBdr>
        <w:top w:val="none" w:sz="0" w:space="0" w:color="auto"/>
        <w:left w:val="none" w:sz="0" w:space="0" w:color="auto"/>
        <w:bottom w:val="none" w:sz="0" w:space="0" w:color="auto"/>
        <w:right w:val="none" w:sz="0" w:space="0" w:color="auto"/>
      </w:divBdr>
    </w:div>
    <w:div w:id="1226642784">
      <w:bodyDiv w:val="1"/>
      <w:marLeft w:val="0"/>
      <w:marRight w:val="0"/>
      <w:marTop w:val="0"/>
      <w:marBottom w:val="0"/>
      <w:divBdr>
        <w:top w:val="none" w:sz="0" w:space="0" w:color="auto"/>
        <w:left w:val="none" w:sz="0" w:space="0" w:color="auto"/>
        <w:bottom w:val="none" w:sz="0" w:space="0" w:color="auto"/>
        <w:right w:val="none" w:sz="0" w:space="0" w:color="auto"/>
      </w:divBdr>
    </w:div>
    <w:div w:id="1226725047">
      <w:bodyDiv w:val="1"/>
      <w:marLeft w:val="0"/>
      <w:marRight w:val="0"/>
      <w:marTop w:val="0"/>
      <w:marBottom w:val="0"/>
      <w:divBdr>
        <w:top w:val="none" w:sz="0" w:space="0" w:color="auto"/>
        <w:left w:val="none" w:sz="0" w:space="0" w:color="auto"/>
        <w:bottom w:val="none" w:sz="0" w:space="0" w:color="auto"/>
        <w:right w:val="none" w:sz="0" w:space="0" w:color="auto"/>
      </w:divBdr>
    </w:div>
    <w:div w:id="1226842547">
      <w:bodyDiv w:val="1"/>
      <w:marLeft w:val="0"/>
      <w:marRight w:val="0"/>
      <w:marTop w:val="0"/>
      <w:marBottom w:val="0"/>
      <w:divBdr>
        <w:top w:val="none" w:sz="0" w:space="0" w:color="auto"/>
        <w:left w:val="none" w:sz="0" w:space="0" w:color="auto"/>
        <w:bottom w:val="none" w:sz="0" w:space="0" w:color="auto"/>
        <w:right w:val="none" w:sz="0" w:space="0" w:color="auto"/>
      </w:divBdr>
    </w:div>
    <w:div w:id="1226844082">
      <w:bodyDiv w:val="1"/>
      <w:marLeft w:val="0"/>
      <w:marRight w:val="0"/>
      <w:marTop w:val="0"/>
      <w:marBottom w:val="0"/>
      <w:divBdr>
        <w:top w:val="none" w:sz="0" w:space="0" w:color="auto"/>
        <w:left w:val="none" w:sz="0" w:space="0" w:color="auto"/>
        <w:bottom w:val="none" w:sz="0" w:space="0" w:color="auto"/>
        <w:right w:val="none" w:sz="0" w:space="0" w:color="auto"/>
      </w:divBdr>
    </w:div>
    <w:div w:id="1226992156">
      <w:bodyDiv w:val="1"/>
      <w:marLeft w:val="0"/>
      <w:marRight w:val="0"/>
      <w:marTop w:val="0"/>
      <w:marBottom w:val="0"/>
      <w:divBdr>
        <w:top w:val="none" w:sz="0" w:space="0" w:color="auto"/>
        <w:left w:val="none" w:sz="0" w:space="0" w:color="auto"/>
        <w:bottom w:val="none" w:sz="0" w:space="0" w:color="auto"/>
        <w:right w:val="none" w:sz="0" w:space="0" w:color="auto"/>
      </w:divBdr>
    </w:div>
    <w:div w:id="1227759371">
      <w:bodyDiv w:val="1"/>
      <w:marLeft w:val="0"/>
      <w:marRight w:val="0"/>
      <w:marTop w:val="0"/>
      <w:marBottom w:val="0"/>
      <w:divBdr>
        <w:top w:val="none" w:sz="0" w:space="0" w:color="auto"/>
        <w:left w:val="none" w:sz="0" w:space="0" w:color="auto"/>
        <w:bottom w:val="none" w:sz="0" w:space="0" w:color="auto"/>
        <w:right w:val="none" w:sz="0" w:space="0" w:color="auto"/>
      </w:divBdr>
    </w:div>
    <w:div w:id="1227912282">
      <w:bodyDiv w:val="1"/>
      <w:marLeft w:val="0"/>
      <w:marRight w:val="0"/>
      <w:marTop w:val="0"/>
      <w:marBottom w:val="0"/>
      <w:divBdr>
        <w:top w:val="none" w:sz="0" w:space="0" w:color="auto"/>
        <w:left w:val="none" w:sz="0" w:space="0" w:color="auto"/>
        <w:bottom w:val="none" w:sz="0" w:space="0" w:color="auto"/>
        <w:right w:val="none" w:sz="0" w:space="0" w:color="auto"/>
      </w:divBdr>
    </w:div>
    <w:div w:id="1228228596">
      <w:bodyDiv w:val="1"/>
      <w:marLeft w:val="0"/>
      <w:marRight w:val="0"/>
      <w:marTop w:val="0"/>
      <w:marBottom w:val="0"/>
      <w:divBdr>
        <w:top w:val="none" w:sz="0" w:space="0" w:color="auto"/>
        <w:left w:val="none" w:sz="0" w:space="0" w:color="auto"/>
        <w:bottom w:val="none" w:sz="0" w:space="0" w:color="auto"/>
        <w:right w:val="none" w:sz="0" w:space="0" w:color="auto"/>
      </w:divBdr>
    </w:div>
    <w:div w:id="1229456229">
      <w:bodyDiv w:val="1"/>
      <w:marLeft w:val="0"/>
      <w:marRight w:val="0"/>
      <w:marTop w:val="0"/>
      <w:marBottom w:val="0"/>
      <w:divBdr>
        <w:top w:val="none" w:sz="0" w:space="0" w:color="auto"/>
        <w:left w:val="none" w:sz="0" w:space="0" w:color="auto"/>
        <w:bottom w:val="none" w:sz="0" w:space="0" w:color="auto"/>
        <w:right w:val="none" w:sz="0" w:space="0" w:color="auto"/>
      </w:divBdr>
    </w:div>
    <w:div w:id="1229460042">
      <w:bodyDiv w:val="1"/>
      <w:marLeft w:val="0"/>
      <w:marRight w:val="0"/>
      <w:marTop w:val="0"/>
      <w:marBottom w:val="0"/>
      <w:divBdr>
        <w:top w:val="none" w:sz="0" w:space="0" w:color="auto"/>
        <w:left w:val="none" w:sz="0" w:space="0" w:color="auto"/>
        <w:bottom w:val="none" w:sz="0" w:space="0" w:color="auto"/>
        <w:right w:val="none" w:sz="0" w:space="0" w:color="auto"/>
      </w:divBdr>
      <w:divsChild>
        <w:div w:id="910307560">
          <w:marLeft w:val="0"/>
          <w:marRight w:val="0"/>
          <w:marTop w:val="0"/>
          <w:marBottom w:val="0"/>
          <w:divBdr>
            <w:top w:val="none" w:sz="0" w:space="0" w:color="auto"/>
            <w:left w:val="none" w:sz="0" w:space="0" w:color="auto"/>
            <w:bottom w:val="none" w:sz="0" w:space="0" w:color="auto"/>
            <w:right w:val="none" w:sz="0" w:space="0" w:color="auto"/>
          </w:divBdr>
        </w:div>
      </w:divsChild>
    </w:div>
    <w:div w:id="1229462504">
      <w:bodyDiv w:val="1"/>
      <w:marLeft w:val="0"/>
      <w:marRight w:val="0"/>
      <w:marTop w:val="0"/>
      <w:marBottom w:val="0"/>
      <w:divBdr>
        <w:top w:val="none" w:sz="0" w:space="0" w:color="auto"/>
        <w:left w:val="none" w:sz="0" w:space="0" w:color="auto"/>
        <w:bottom w:val="none" w:sz="0" w:space="0" w:color="auto"/>
        <w:right w:val="none" w:sz="0" w:space="0" w:color="auto"/>
      </w:divBdr>
    </w:div>
    <w:div w:id="1229531757">
      <w:bodyDiv w:val="1"/>
      <w:marLeft w:val="0"/>
      <w:marRight w:val="0"/>
      <w:marTop w:val="0"/>
      <w:marBottom w:val="0"/>
      <w:divBdr>
        <w:top w:val="none" w:sz="0" w:space="0" w:color="auto"/>
        <w:left w:val="none" w:sz="0" w:space="0" w:color="auto"/>
        <w:bottom w:val="none" w:sz="0" w:space="0" w:color="auto"/>
        <w:right w:val="none" w:sz="0" w:space="0" w:color="auto"/>
      </w:divBdr>
    </w:div>
    <w:div w:id="1230111265">
      <w:bodyDiv w:val="1"/>
      <w:marLeft w:val="0"/>
      <w:marRight w:val="0"/>
      <w:marTop w:val="0"/>
      <w:marBottom w:val="0"/>
      <w:divBdr>
        <w:top w:val="none" w:sz="0" w:space="0" w:color="auto"/>
        <w:left w:val="none" w:sz="0" w:space="0" w:color="auto"/>
        <w:bottom w:val="none" w:sz="0" w:space="0" w:color="auto"/>
        <w:right w:val="none" w:sz="0" w:space="0" w:color="auto"/>
      </w:divBdr>
    </w:div>
    <w:div w:id="1231387286">
      <w:bodyDiv w:val="1"/>
      <w:marLeft w:val="0"/>
      <w:marRight w:val="0"/>
      <w:marTop w:val="0"/>
      <w:marBottom w:val="0"/>
      <w:divBdr>
        <w:top w:val="none" w:sz="0" w:space="0" w:color="auto"/>
        <w:left w:val="none" w:sz="0" w:space="0" w:color="auto"/>
        <w:bottom w:val="none" w:sz="0" w:space="0" w:color="auto"/>
        <w:right w:val="none" w:sz="0" w:space="0" w:color="auto"/>
      </w:divBdr>
    </w:div>
    <w:div w:id="1231430921">
      <w:bodyDiv w:val="1"/>
      <w:marLeft w:val="0"/>
      <w:marRight w:val="0"/>
      <w:marTop w:val="0"/>
      <w:marBottom w:val="0"/>
      <w:divBdr>
        <w:top w:val="none" w:sz="0" w:space="0" w:color="auto"/>
        <w:left w:val="none" w:sz="0" w:space="0" w:color="auto"/>
        <w:bottom w:val="none" w:sz="0" w:space="0" w:color="auto"/>
        <w:right w:val="none" w:sz="0" w:space="0" w:color="auto"/>
      </w:divBdr>
    </w:div>
    <w:div w:id="1231504142">
      <w:bodyDiv w:val="1"/>
      <w:marLeft w:val="0"/>
      <w:marRight w:val="0"/>
      <w:marTop w:val="0"/>
      <w:marBottom w:val="0"/>
      <w:divBdr>
        <w:top w:val="none" w:sz="0" w:space="0" w:color="auto"/>
        <w:left w:val="none" w:sz="0" w:space="0" w:color="auto"/>
        <w:bottom w:val="none" w:sz="0" w:space="0" w:color="auto"/>
        <w:right w:val="none" w:sz="0" w:space="0" w:color="auto"/>
      </w:divBdr>
    </w:div>
    <w:div w:id="1232156468">
      <w:bodyDiv w:val="1"/>
      <w:marLeft w:val="0"/>
      <w:marRight w:val="0"/>
      <w:marTop w:val="0"/>
      <w:marBottom w:val="0"/>
      <w:divBdr>
        <w:top w:val="none" w:sz="0" w:space="0" w:color="auto"/>
        <w:left w:val="none" w:sz="0" w:space="0" w:color="auto"/>
        <w:bottom w:val="none" w:sz="0" w:space="0" w:color="auto"/>
        <w:right w:val="none" w:sz="0" w:space="0" w:color="auto"/>
      </w:divBdr>
    </w:div>
    <w:div w:id="1232161348">
      <w:bodyDiv w:val="1"/>
      <w:marLeft w:val="0"/>
      <w:marRight w:val="0"/>
      <w:marTop w:val="0"/>
      <w:marBottom w:val="0"/>
      <w:divBdr>
        <w:top w:val="none" w:sz="0" w:space="0" w:color="auto"/>
        <w:left w:val="none" w:sz="0" w:space="0" w:color="auto"/>
        <w:bottom w:val="none" w:sz="0" w:space="0" w:color="auto"/>
        <w:right w:val="none" w:sz="0" w:space="0" w:color="auto"/>
      </w:divBdr>
    </w:div>
    <w:div w:id="1232958027">
      <w:bodyDiv w:val="1"/>
      <w:marLeft w:val="0"/>
      <w:marRight w:val="0"/>
      <w:marTop w:val="0"/>
      <w:marBottom w:val="0"/>
      <w:divBdr>
        <w:top w:val="none" w:sz="0" w:space="0" w:color="auto"/>
        <w:left w:val="none" w:sz="0" w:space="0" w:color="auto"/>
        <w:bottom w:val="none" w:sz="0" w:space="0" w:color="auto"/>
        <w:right w:val="none" w:sz="0" w:space="0" w:color="auto"/>
      </w:divBdr>
    </w:div>
    <w:div w:id="1233391126">
      <w:bodyDiv w:val="1"/>
      <w:marLeft w:val="0"/>
      <w:marRight w:val="0"/>
      <w:marTop w:val="0"/>
      <w:marBottom w:val="0"/>
      <w:divBdr>
        <w:top w:val="none" w:sz="0" w:space="0" w:color="auto"/>
        <w:left w:val="none" w:sz="0" w:space="0" w:color="auto"/>
        <w:bottom w:val="none" w:sz="0" w:space="0" w:color="auto"/>
        <w:right w:val="none" w:sz="0" w:space="0" w:color="auto"/>
      </w:divBdr>
    </w:div>
    <w:div w:id="1233463818">
      <w:bodyDiv w:val="1"/>
      <w:marLeft w:val="0"/>
      <w:marRight w:val="0"/>
      <w:marTop w:val="0"/>
      <w:marBottom w:val="0"/>
      <w:divBdr>
        <w:top w:val="none" w:sz="0" w:space="0" w:color="auto"/>
        <w:left w:val="none" w:sz="0" w:space="0" w:color="auto"/>
        <w:bottom w:val="none" w:sz="0" w:space="0" w:color="auto"/>
        <w:right w:val="none" w:sz="0" w:space="0" w:color="auto"/>
      </w:divBdr>
    </w:div>
    <w:div w:id="1233738387">
      <w:bodyDiv w:val="1"/>
      <w:marLeft w:val="0"/>
      <w:marRight w:val="0"/>
      <w:marTop w:val="0"/>
      <w:marBottom w:val="0"/>
      <w:divBdr>
        <w:top w:val="none" w:sz="0" w:space="0" w:color="auto"/>
        <w:left w:val="none" w:sz="0" w:space="0" w:color="auto"/>
        <w:bottom w:val="none" w:sz="0" w:space="0" w:color="auto"/>
        <w:right w:val="none" w:sz="0" w:space="0" w:color="auto"/>
      </w:divBdr>
    </w:div>
    <w:div w:id="1233927266">
      <w:bodyDiv w:val="1"/>
      <w:marLeft w:val="0"/>
      <w:marRight w:val="0"/>
      <w:marTop w:val="0"/>
      <w:marBottom w:val="0"/>
      <w:divBdr>
        <w:top w:val="none" w:sz="0" w:space="0" w:color="auto"/>
        <w:left w:val="none" w:sz="0" w:space="0" w:color="auto"/>
        <w:bottom w:val="none" w:sz="0" w:space="0" w:color="auto"/>
        <w:right w:val="none" w:sz="0" w:space="0" w:color="auto"/>
      </w:divBdr>
    </w:div>
    <w:div w:id="1234314773">
      <w:bodyDiv w:val="1"/>
      <w:marLeft w:val="0"/>
      <w:marRight w:val="0"/>
      <w:marTop w:val="0"/>
      <w:marBottom w:val="0"/>
      <w:divBdr>
        <w:top w:val="none" w:sz="0" w:space="0" w:color="auto"/>
        <w:left w:val="none" w:sz="0" w:space="0" w:color="auto"/>
        <w:bottom w:val="none" w:sz="0" w:space="0" w:color="auto"/>
        <w:right w:val="none" w:sz="0" w:space="0" w:color="auto"/>
      </w:divBdr>
    </w:div>
    <w:div w:id="1234589403">
      <w:bodyDiv w:val="1"/>
      <w:marLeft w:val="0"/>
      <w:marRight w:val="0"/>
      <w:marTop w:val="0"/>
      <w:marBottom w:val="0"/>
      <w:divBdr>
        <w:top w:val="none" w:sz="0" w:space="0" w:color="auto"/>
        <w:left w:val="none" w:sz="0" w:space="0" w:color="auto"/>
        <w:bottom w:val="none" w:sz="0" w:space="0" w:color="auto"/>
        <w:right w:val="none" w:sz="0" w:space="0" w:color="auto"/>
      </w:divBdr>
    </w:div>
    <w:div w:id="1234703448">
      <w:bodyDiv w:val="1"/>
      <w:marLeft w:val="0"/>
      <w:marRight w:val="0"/>
      <w:marTop w:val="0"/>
      <w:marBottom w:val="0"/>
      <w:divBdr>
        <w:top w:val="none" w:sz="0" w:space="0" w:color="auto"/>
        <w:left w:val="none" w:sz="0" w:space="0" w:color="auto"/>
        <w:bottom w:val="none" w:sz="0" w:space="0" w:color="auto"/>
        <w:right w:val="none" w:sz="0" w:space="0" w:color="auto"/>
      </w:divBdr>
    </w:div>
    <w:div w:id="1235117843">
      <w:bodyDiv w:val="1"/>
      <w:marLeft w:val="0"/>
      <w:marRight w:val="0"/>
      <w:marTop w:val="0"/>
      <w:marBottom w:val="0"/>
      <w:divBdr>
        <w:top w:val="none" w:sz="0" w:space="0" w:color="auto"/>
        <w:left w:val="none" w:sz="0" w:space="0" w:color="auto"/>
        <w:bottom w:val="none" w:sz="0" w:space="0" w:color="auto"/>
        <w:right w:val="none" w:sz="0" w:space="0" w:color="auto"/>
      </w:divBdr>
    </w:div>
    <w:div w:id="1235629827">
      <w:bodyDiv w:val="1"/>
      <w:marLeft w:val="0"/>
      <w:marRight w:val="0"/>
      <w:marTop w:val="0"/>
      <w:marBottom w:val="0"/>
      <w:divBdr>
        <w:top w:val="none" w:sz="0" w:space="0" w:color="auto"/>
        <w:left w:val="none" w:sz="0" w:space="0" w:color="auto"/>
        <w:bottom w:val="none" w:sz="0" w:space="0" w:color="auto"/>
        <w:right w:val="none" w:sz="0" w:space="0" w:color="auto"/>
      </w:divBdr>
    </w:div>
    <w:div w:id="1235972944">
      <w:bodyDiv w:val="1"/>
      <w:marLeft w:val="0"/>
      <w:marRight w:val="0"/>
      <w:marTop w:val="0"/>
      <w:marBottom w:val="0"/>
      <w:divBdr>
        <w:top w:val="none" w:sz="0" w:space="0" w:color="auto"/>
        <w:left w:val="none" w:sz="0" w:space="0" w:color="auto"/>
        <w:bottom w:val="none" w:sz="0" w:space="0" w:color="auto"/>
        <w:right w:val="none" w:sz="0" w:space="0" w:color="auto"/>
      </w:divBdr>
      <w:divsChild>
        <w:div w:id="1561482568">
          <w:marLeft w:val="0"/>
          <w:marRight w:val="0"/>
          <w:marTop w:val="0"/>
          <w:marBottom w:val="0"/>
          <w:divBdr>
            <w:top w:val="none" w:sz="0" w:space="0" w:color="auto"/>
            <w:left w:val="none" w:sz="0" w:space="0" w:color="auto"/>
            <w:bottom w:val="none" w:sz="0" w:space="0" w:color="auto"/>
            <w:right w:val="none" w:sz="0" w:space="0" w:color="auto"/>
          </w:divBdr>
        </w:div>
      </w:divsChild>
    </w:div>
    <w:div w:id="1236621686">
      <w:bodyDiv w:val="1"/>
      <w:marLeft w:val="0"/>
      <w:marRight w:val="0"/>
      <w:marTop w:val="0"/>
      <w:marBottom w:val="0"/>
      <w:divBdr>
        <w:top w:val="none" w:sz="0" w:space="0" w:color="auto"/>
        <w:left w:val="none" w:sz="0" w:space="0" w:color="auto"/>
        <w:bottom w:val="none" w:sz="0" w:space="0" w:color="auto"/>
        <w:right w:val="none" w:sz="0" w:space="0" w:color="auto"/>
      </w:divBdr>
    </w:div>
    <w:div w:id="1236743147">
      <w:bodyDiv w:val="1"/>
      <w:marLeft w:val="0"/>
      <w:marRight w:val="0"/>
      <w:marTop w:val="0"/>
      <w:marBottom w:val="0"/>
      <w:divBdr>
        <w:top w:val="none" w:sz="0" w:space="0" w:color="auto"/>
        <w:left w:val="none" w:sz="0" w:space="0" w:color="auto"/>
        <w:bottom w:val="none" w:sz="0" w:space="0" w:color="auto"/>
        <w:right w:val="none" w:sz="0" w:space="0" w:color="auto"/>
      </w:divBdr>
    </w:div>
    <w:div w:id="1237401559">
      <w:bodyDiv w:val="1"/>
      <w:marLeft w:val="0"/>
      <w:marRight w:val="0"/>
      <w:marTop w:val="0"/>
      <w:marBottom w:val="0"/>
      <w:divBdr>
        <w:top w:val="none" w:sz="0" w:space="0" w:color="auto"/>
        <w:left w:val="none" w:sz="0" w:space="0" w:color="auto"/>
        <w:bottom w:val="none" w:sz="0" w:space="0" w:color="auto"/>
        <w:right w:val="none" w:sz="0" w:space="0" w:color="auto"/>
      </w:divBdr>
    </w:div>
    <w:div w:id="1238126532">
      <w:bodyDiv w:val="1"/>
      <w:marLeft w:val="0"/>
      <w:marRight w:val="0"/>
      <w:marTop w:val="0"/>
      <w:marBottom w:val="0"/>
      <w:divBdr>
        <w:top w:val="none" w:sz="0" w:space="0" w:color="auto"/>
        <w:left w:val="none" w:sz="0" w:space="0" w:color="auto"/>
        <w:bottom w:val="none" w:sz="0" w:space="0" w:color="auto"/>
        <w:right w:val="none" w:sz="0" w:space="0" w:color="auto"/>
      </w:divBdr>
    </w:div>
    <w:div w:id="1238829035">
      <w:bodyDiv w:val="1"/>
      <w:marLeft w:val="0"/>
      <w:marRight w:val="0"/>
      <w:marTop w:val="0"/>
      <w:marBottom w:val="0"/>
      <w:divBdr>
        <w:top w:val="none" w:sz="0" w:space="0" w:color="auto"/>
        <w:left w:val="none" w:sz="0" w:space="0" w:color="auto"/>
        <w:bottom w:val="none" w:sz="0" w:space="0" w:color="auto"/>
        <w:right w:val="none" w:sz="0" w:space="0" w:color="auto"/>
      </w:divBdr>
    </w:div>
    <w:div w:id="1239098294">
      <w:bodyDiv w:val="1"/>
      <w:marLeft w:val="0"/>
      <w:marRight w:val="0"/>
      <w:marTop w:val="0"/>
      <w:marBottom w:val="0"/>
      <w:divBdr>
        <w:top w:val="none" w:sz="0" w:space="0" w:color="auto"/>
        <w:left w:val="none" w:sz="0" w:space="0" w:color="auto"/>
        <w:bottom w:val="none" w:sz="0" w:space="0" w:color="auto"/>
        <w:right w:val="none" w:sz="0" w:space="0" w:color="auto"/>
      </w:divBdr>
      <w:divsChild>
        <w:div w:id="544223934">
          <w:marLeft w:val="0"/>
          <w:marRight w:val="0"/>
          <w:marTop w:val="0"/>
          <w:marBottom w:val="0"/>
          <w:divBdr>
            <w:top w:val="none" w:sz="0" w:space="0" w:color="auto"/>
            <w:left w:val="none" w:sz="0" w:space="0" w:color="auto"/>
            <w:bottom w:val="none" w:sz="0" w:space="0" w:color="auto"/>
            <w:right w:val="none" w:sz="0" w:space="0" w:color="auto"/>
          </w:divBdr>
        </w:div>
      </w:divsChild>
    </w:div>
    <w:div w:id="1239248803">
      <w:bodyDiv w:val="1"/>
      <w:marLeft w:val="0"/>
      <w:marRight w:val="0"/>
      <w:marTop w:val="0"/>
      <w:marBottom w:val="0"/>
      <w:divBdr>
        <w:top w:val="none" w:sz="0" w:space="0" w:color="auto"/>
        <w:left w:val="none" w:sz="0" w:space="0" w:color="auto"/>
        <w:bottom w:val="none" w:sz="0" w:space="0" w:color="auto"/>
        <w:right w:val="none" w:sz="0" w:space="0" w:color="auto"/>
      </w:divBdr>
    </w:div>
    <w:div w:id="1240017523">
      <w:bodyDiv w:val="1"/>
      <w:marLeft w:val="0"/>
      <w:marRight w:val="0"/>
      <w:marTop w:val="0"/>
      <w:marBottom w:val="0"/>
      <w:divBdr>
        <w:top w:val="none" w:sz="0" w:space="0" w:color="auto"/>
        <w:left w:val="none" w:sz="0" w:space="0" w:color="auto"/>
        <w:bottom w:val="none" w:sz="0" w:space="0" w:color="auto"/>
        <w:right w:val="none" w:sz="0" w:space="0" w:color="auto"/>
      </w:divBdr>
    </w:div>
    <w:div w:id="1240678537">
      <w:bodyDiv w:val="1"/>
      <w:marLeft w:val="0"/>
      <w:marRight w:val="0"/>
      <w:marTop w:val="0"/>
      <w:marBottom w:val="0"/>
      <w:divBdr>
        <w:top w:val="none" w:sz="0" w:space="0" w:color="auto"/>
        <w:left w:val="none" w:sz="0" w:space="0" w:color="auto"/>
        <w:bottom w:val="none" w:sz="0" w:space="0" w:color="auto"/>
        <w:right w:val="none" w:sz="0" w:space="0" w:color="auto"/>
      </w:divBdr>
    </w:div>
    <w:div w:id="1240870346">
      <w:bodyDiv w:val="1"/>
      <w:marLeft w:val="0"/>
      <w:marRight w:val="0"/>
      <w:marTop w:val="0"/>
      <w:marBottom w:val="0"/>
      <w:divBdr>
        <w:top w:val="none" w:sz="0" w:space="0" w:color="auto"/>
        <w:left w:val="none" w:sz="0" w:space="0" w:color="auto"/>
        <w:bottom w:val="none" w:sz="0" w:space="0" w:color="auto"/>
        <w:right w:val="none" w:sz="0" w:space="0" w:color="auto"/>
      </w:divBdr>
    </w:div>
    <w:div w:id="1240942929">
      <w:bodyDiv w:val="1"/>
      <w:marLeft w:val="0"/>
      <w:marRight w:val="0"/>
      <w:marTop w:val="0"/>
      <w:marBottom w:val="0"/>
      <w:divBdr>
        <w:top w:val="none" w:sz="0" w:space="0" w:color="auto"/>
        <w:left w:val="none" w:sz="0" w:space="0" w:color="auto"/>
        <w:bottom w:val="none" w:sz="0" w:space="0" w:color="auto"/>
        <w:right w:val="none" w:sz="0" w:space="0" w:color="auto"/>
      </w:divBdr>
      <w:divsChild>
        <w:div w:id="1265453472">
          <w:marLeft w:val="0"/>
          <w:marRight w:val="0"/>
          <w:marTop w:val="0"/>
          <w:marBottom w:val="0"/>
          <w:divBdr>
            <w:top w:val="none" w:sz="0" w:space="0" w:color="auto"/>
            <w:left w:val="none" w:sz="0" w:space="0" w:color="auto"/>
            <w:bottom w:val="none" w:sz="0" w:space="0" w:color="auto"/>
            <w:right w:val="none" w:sz="0" w:space="0" w:color="auto"/>
          </w:divBdr>
          <w:divsChild>
            <w:div w:id="1400785176">
              <w:marLeft w:val="0"/>
              <w:marRight w:val="0"/>
              <w:marTop w:val="0"/>
              <w:marBottom w:val="0"/>
              <w:divBdr>
                <w:top w:val="none" w:sz="0" w:space="0" w:color="auto"/>
                <w:left w:val="none" w:sz="0" w:space="0" w:color="auto"/>
                <w:bottom w:val="none" w:sz="0" w:space="0" w:color="auto"/>
                <w:right w:val="none" w:sz="0" w:space="0" w:color="auto"/>
              </w:divBdr>
            </w:div>
          </w:divsChild>
        </w:div>
        <w:div w:id="1424373275">
          <w:marLeft w:val="0"/>
          <w:marRight w:val="0"/>
          <w:marTop w:val="0"/>
          <w:marBottom w:val="0"/>
          <w:divBdr>
            <w:top w:val="none" w:sz="0" w:space="0" w:color="auto"/>
            <w:left w:val="none" w:sz="0" w:space="0" w:color="auto"/>
            <w:bottom w:val="none" w:sz="0" w:space="0" w:color="auto"/>
            <w:right w:val="none" w:sz="0" w:space="0" w:color="auto"/>
          </w:divBdr>
          <w:divsChild>
            <w:div w:id="336539039">
              <w:marLeft w:val="0"/>
              <w:marRight w:val="0"/>
              <w:marTop w:val="0"/>
              <w:marBottom w:val="0"/>
              <w:divBdr>
                <w:top w:val="none" w:sz="0" w:space="0" w:color="auto"/>
                <w:left w:val="none" w:sz="0" w:space="0" w:color="auto"/>
                <w:bottom w:val="none" w:sz="0" w:space="0" w:color="auto"/>
                <w:right w:val="none" w:sz="0" w:space="0" w:color="auto"/>
              </w:divBdr>
            </w:div>
          </w:divsChild>
        </w:div>
        <w:div w:id="1460489647">
          <w:marLeft w:val="0"/>
          <w:marRight w:val="0"/>
          <w:marTop w:val="0"/>
          <w:marBottom w:val="0"/>
          <w:divBdr>
            <w:top w:val="none" w:sz="0" w:space="0" w:color="auto"/>
            <w:left w:val="none" w:sz="0" w:space="0" w:color="auto"/>
            <w:bottom w:val="none" w:sz="0" w:space="0" w:color="auto"/>
            <w:right w:val="none" w:sz="0" w:space="0" w:color="auto"/>
          </w:divBdr>
          <w:divsChild>
            <w:div w:id="1387727027">
              <w:marLeft w:val="0"/>
              <w:marRight w:val="0"/>
              <w:marTop w:val="0"/>
              <w:marBottom w:val="0"/>
              <w:divBdr>
                <w:top w:val="none" w:sz="0" w:space="0" w:color="auto"/>
                <w:left w:val="none" w:sz="0" w:space="0" w:color="auto"/>
                <w:bottom w:val="none" w:sz="0" w:space="0" w:color="auto"/>
                <w:right w:val="none" w:sz="0" w:space="0" w:color="auto"/>
              </w:divBdr>
            </w:div>
          </w:divsChild>
        </w:div>
        <w:div w:id="1996832267">
          <w:marLeft w:val="0"/>
          <w:marRight w:val="0"/>
          <w:marTop w:val="0"/>
          <w:marBottom w:val="0"/>
          <w:divBdr>
            <w:top w:val="none" w:sz="0" w:space="0" w:color="auto"/>
            <w:left w:val="none" w:sz="0" w:space="0" w:color="auto"/>
            <w:bottom w:val="none" w:sz="0" w:space="0" w:color="auto"/>
            <w:right w:val="none" w:sz="0" w:space="0" w:color="auto"/>
          </w:divBdr>
          <w:divsChild>
            <w:div w:id="125686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2369259">
      <w:bodyDiv w:val="1"/>
      <w:marLeft w:val="0"/>
      <w:marRight w:val="0"/>
      <w:marTop w:val="0"/>
      <w:marBottom w:val="0"/>
      <w:divBdr>
        <w:top w:val="none" w:sz="0" w:space="0" w:color="auto"/>
        <w:left w:val="none" w:sz="0" w:space="0" w:color="auto"/>
        <w:bottom w:val="none" w:sz="0" w:space="0" w:color="auto"/>
        <w:right w:val="none" w:sz="0" w:space="0" w:color="auto"/>
      </w:divBdr>
    </w:div>
    <w:div w:id="1242565960">
      <w:bodyDiv w:val="1"/>
      <w:marLeft w:val="0"/>
      <w:marRight w:val="0"/>
      <w:marTop w:val="0"/>
      <w:marBottom w:val="0"/>
      <w:divBdr>
        <w:top w:val="none" w:sz="0" w:space="0" w:color="auto"/>
        <w:left w:val="none" w:sz="0" w:space="0" w:color="auto"/>
        <w:bottom w:val="none" w:sz="0" w:space="0" w:color="auto"/>
        <w:right w:val="none" w:sz="0" w:space="0" w:color="auto"/>
      </w:divBdr>
    </w:div>
    <w:div w:id="1243029426">
      <w:bodyDiv w:val="1"/>
      <w:marLeft w:val="0"/>
      <w:marRight w:val="0"/>
      <w:marTop w:val="0"/>
      <w:marBottom w:val="0"/>
      <w:divBdr>
        <w:top w:val="none" w:sz="0" w:space="0" w:color="auto"/>
        <w:left w:val="none" w:sz="0" w:space="0" w:color="auto"/>
        <w:bottom w:val="none" w:sz="0" w:space="0" w:color="auto"/>
        <w:right w:val="none" w:sz="0" w:space="0" w:color="auto"/>
      </w:divBdr>
    </w:div>
    <w:div w:id="1243299495">
      <w:bodyDiv w:val="1"/>
      <w:marLeft w:val="0"/>
      <w:marRight w:val="0"/>
      <w:marTop w:val="0"/>
      <w:marBottom w:val="0"/>
      <w:divBdr>
        <w:top w:val="none" w:sz="0" w:space="0" w:color="auto"/>
        <w:left w:val="none" w:sz="0" w:space="0" w:color="auto"/>
        <w:bottom w:val="none" w:sz="0" w:space="0" w:color="auto"/>
        <w:right w:val="none" w:sz="0" w:space="0" w:color="auto"/>
      </w:divBdr>
    </w:div>
    <w:div w:id="1243374205">
      <w:bodyDiv w:val="1"/>
      <w:marLeft w:val="0"/>
      <w:marRight w:val="0"/>
      <w:marTop w:val="0"/>
      <w:marBottom w:val="0"/>
      <w:divBdr>
        <w:top w:val="none" w:sz="0" w:space="0" w:color="auto"/>
        <w:left w:val="none" w:sz="0" w:space="0" w:color="auto"/>
        <w:bottom w:val="none" w:sz="0" w:space="0" w:color="auto"/>
        <w:right w:val="none" w:sz="0" w:space="0" w:color="auto"/>
      </w:divBdr>
    </w:div>
    <w:div w:id="1244099794">
      <w:bodyDiv w:val="1"/>
      <w:marLeft w:val="0"/>
      <w:marRight w:val="0"/>
      <w:marTop w:val="0"/>
      <w:marBottom w:val="0"/>
      <w:divBdr>
        <w:top w:val="none" w:sz="0" w:space="0" w:color="auto"/>
        <w:left w:val="none" w:sz="0" w:space="0" w:color="auto"/>
        <w:bottom w:val="none" w:sz="0" w:space="0" w:color="auto"/>
        <w:right w:val="none" w:sz="0" w:space="0" w:color="auto"/>
      </w:divBdr>
    </w:div>
    <w:div w:id="1244533626">
      <w:bodyDiv w:val="1"/>
      <w:marLeft w:val="0"/>
      <w:marRight w:val="0"/>
      <w:marTop w:val="0"/>
      <w:marBottom w:val="0"/>
      <w:divBdr>
        <w:top w:val="none" w:sz="0" w:space="0" w:color="auto"/>
        <w:left w:val="none" w:sz="0" w:space="0" w:color="auto"/>
        <w:bottom w:val="none" w:sz="0" w:space="0" w:color="auto"/>
        <w:right w:val="none" w:sz="0" w:space="0" w:color="auto"/>
      </w:divBdr>
    </w:div>
    <w:div w:id="1244876596">
      <w:bodyDiv w:val="1"/>
      <w:marLeft w:val="0"/>
      <w:marRight w:val="0"/>
      <w:marTop w:val="0"/>
      <w:marBottom w:val="0"/>
      <w:divBdr>
        <w:top w:val="none" w:sz="0" w:space="0" w:color="auto"/>
        <w:left w:val="none" w:sz="0" w:space="0" w:color="auto"/>
        <w:bottom w:val="none" w:sz="0" w:space="0" w:color="auto"/>
        <w:right w:val="none" w:sz="0" w:space="0" w:color="auto"/>
      </w:divBdr>
    </w:div>
    <w:div w:id="1245144213">
      <w:bodyDiv w:val="1"/>
      <w:marLeft w:val="0"/>
      <w:marRight w:val="0"/>
      <w:marTop w:val="0"/>
      <w:marBottom w:val="0"/>
      <w:divBdr>
        <w:top w:val="none" w:sz="0" w:space="0" w:color="auto"/>
        <w:left w:val="none" w:sz="0" w:space="0" w:color="auto"/>
        <w:bottom w:val="none" w:sz="0" w:space="0" w:color="auto"/>
        <w:right w:val="none" w:sz="0" w:space="0" w:color="auto"/>
      </w:divBdr>
    </w:div>
    <w:div w:id="1245409468">
      <w:bodyDiv w:val="1"/>
      <w:marLeft w:val="0"/>
      <w:marRight w:val="0"/>
      <w:marTop w:val="0"/>
      <w:marBottom w:val="0"/>
      <w:divBdr>
        <w:top w:val="none" w:sz="0" w:space="0" w:color="auto"/>
        <w:left w:val="none" w:sz="0" w:space="0" w:color="auto"/>
        <w:bottom w:val="none" w:sz="0" w:space="0" w:color="auto"/>
        <w:right w:val="none" w:sz="0" w:space="0" w:color="auto"/>
      </w:divBdr>
    </w:div>
    <w:div w:id="1246063410">
      <w:bodyDiv w:val="1"/>
      <w:marLeft w:val="0"/>
      <w:marRight w:val="0"/>
      <w:marTop w:val="0"/>
      <w:marBottom w:val="0"/>
      <w:divBdr>
        <w:top w:val="none" w:sz="0" w:space="0" w:color="auto"/>
        <w:left w:val="none" w:sz="0" w:space="0" w:color="auto"/>
        <w:bottom w:val="none" w:sz="0" w:space="0" w:color="auto"/>
        <w:right w:val="none" w:sz="0" w:space="0" w:color="auto"/>
      </w:divBdr>
    </w:div>
    <w:div w:id="1246299185">
      <w:bodyDiv w:val="1"/>
      <w:marLeft w:val="0"/>
      <w:marRight w:val="0"/>
      <w:marTop w:val="0"/>
      <w:marBottom w:val="0"/>
      <w:divBdr>
        <w:top w:val="none" w:sz="0" w:space="0" w:color="auto"/>
        <w:left w:val="none" w:sz="0" w:space="0" w:color="auto"/>
        <w:bottom w:val="none" w:sz="0" w:space="0" w:color="auto"/>
        <w:right w:val="none" w:sz="0" w:space="0" w:color="auto"/>
      </w:divBdr>
    </w:div>
    <w:div w:id="1246383399">
      <w:bodyDiv w:val="1"/>
      <w:marLeft w:val="0"/>
      <w:marRight w:val="0"/>
      <w:marTop w:val="0"/>
      <w:marBottom w:val="0"/>
      <w:divBdr>
        <w:top w:val="none" w:sz="0" w:space="0" w:color="auto"/>
        <w:left w:val="none" w:sz="0" w:space="0" w:color="auto"/>
        <w:bottom w:val="none" w:sz="0" w:space="0" w:color="auto"/>
        <w:right w:val="none" w:sz="0" w:space="0" w:color="auto"/>
      </w:divBdr>
    </w:div>
    <w:div w:id="1248030704">
      <w:bodyDiv w:val="1"/>
      <w:marLeft w:val="0"/>
      <w:marRight w:val="0"/>
      <w:marTop w:val="0"/>
      <w:marBottom w:val="0"/>
      <w:divBdr>
        <w:top w:val="none" w:sz="0" w:space="0" w:color="auto"/>
        <w:left w:val="none" w:sz="0" w:space="0" w:color="auto"/>
        <w:bottom w:val="none" w:sz="0" w:space="0" w:color="auto"/>
        <w:right w:val="none" w:sz="0" w:space="0" w:color="auto"/>
      </w:divBdr>
    </w:div>
    <w:div w:id="1248467779">
      <w:bodyDiv w:val="1"/>
      <w:marLeft w:val="0"/>
      <w:marRight w:val="0"/>
      <w:marTop w:val="0"/>
      <w:marBottom w:val="0"/>
      <w:divBdr>
        <w:top w:val="none" w:sz="0" w:space="0" w:color="auto"/>
        <w:left w:val="none" w:sz="0" w:space="0" w:color="auto"/>
        <w:bottom w:val="none" w:sz="0" w:space="0" w:color="auto"/>
        <w:right w:val="none" w:sz="0" w:space="0" w:color="auto"/>
      </w:divBdr>
    </w:div>
    <w:div w:id="1248533898">
      <w:bodyDiv w:val="1"/>
      <w:marLeft w:val="0"/>
      <w:marRight w:val="0"/>
      <w:marTop w:val="0"/>
      <w:marBottom w:val="0"/>
      <w:divBdr>
        <w:top w:val="none" w:sz="0" w:space="0" w:color="auto"/>
        <w:left w:val="none" w:sz="0" w:space="0" w:color="auto"/>
        <w:bottom w:val="none" w:sz="0" w:space="0" w:color="auto"/>
        <w:right w:val="none" w:sz="0" w:space="0" w:color="auto"/>
      </w:divBdr>
    </w:div>
    <w:div w:id="1248882454">
      <w:bodyDiv w:val="1"/>
      <w:marLeft w:val="0"/>
      <w:marRight w:val="0"/>
      <w:marTop w:val="0"/>
      <w:marBottom w:val="0"/>
      <w:divBdr>
        <w:top w:val="none" w:sz="0" w:space="0" w:color="auto"/>
        <w:left w:val="none" w:sz="0" w:space="0" w:color="auto"/>
        <w:bottom w:val="none" w:sz="0" w:space="0" w:color="auto"/>
        <w:right w:val="none" w:sz="0" w:space="0" w:color="auto"/>
      </w:divBdr>
    </w:div>
    <w:div w:id="1249123258">
      <w:bodyDiv w:val="1"/>
      <w:marLeft w:val="0"/>
      <w:marRight w:val="0"/>
      <w:marTop w:val="0"/>
      <w:marBottom w:val="0"/>
      <w:divBdr>
        <w:top w:val="none" w:sz="0" w:space="0" w:color="auto"/>
        <w:left w:val="none" w:sz="0" w:space="0" w:color="auto"/>
        <w:bottom w:val="none" w:sz="0" w:space="0" w:color="auto"/>
        <w:right w:val="none" w:sz="0" w:space="0" w:color="auto"/>
      </w:divBdr>
    </w:div>
    <w:div w:id="1249391440">
      <w:bodyDiv w:val="1"/>
      <w:marLeft w:val="0"/>
      <w:marRight w:val="0"/>
      <w:marTop w:val="0"/>
      <w:marBottom w:val="0"/>
      <w:divBdr>
        <w:top w:val="none" w:sz="0" w:space="0" w:color="auto"/>
        <w:left w:val="none" w:sz="0" w:space="0" w:color="auto"/>
        <w:bottom w:val="none" w:sz="0" w:space="0" w:color="auto"/>
        <w:right w:val="none" w:sz="0" w:space="0" w:color="auto"/>
      </w:divBdr>
    </w:div>
    <w:div w:id="1250238780">
      <w:bodyDiv w:val="1"/>
      <w:marLeft w:val="0"/>
      <w:marRight w:val="0"/>
      <w:marTop w:val="0"/>
      <w:marBottom w:val="0"/>
      <w:divBdr>
        <w:top w:val="none" w:sz="0" w:space="0" w:color="auto"/>
        <w:left w:val="none" w:sz="0" w:space="0" w:color="auto"/>
        <w:bottom w:val="none" w:sz="0" w:space="0" w:color="auto"/>
        <w:right w:val="none" w:sz="0" w:space="0" w:color="auto"/>
      </w:divBdr>
    </w:div>
    <w:div w:id="1250309035">
      <w:bodyDiv w:val="1"/>
      <w:marLeft w:val="0"/>
      <w:marRight w:val="0"/>
      <w:marTop w:val="0"/>
      <w:marBottom w:val="0"/>
      <w:divBdr>
        <w:top w:val="none" w:sz="0" w:space="0" w:color="auto"/>
        <w:left w:val="none" w:sz="0" w:space="0" w:color="auto"/>
        <w:bottom w:val="none" w:sz="0" w:space="0" w:color="auto"/>
        <w:right w:val="none" w:sz="0" w:space="0" w:color="auto"/>
      </w:divBdr>
    </w:div>
    <w:div w:id="1250575473">
      <w:bodyDiv w:val="1"/>
      <w:marLeft w:val="0"/>
      <w:marRight w:val="0"/>
      <w:marTop w:val="0"/>
      <w:marBottom w:val="0"/>
      <w:divBdr>
        <w:top w:val="none" w:sz="0" w:space="0" w:color="auto"/>
        <w:left w:val="none" w:sz="0" w:space="0" w:color="auto"/>
        <w:bottom w:val="none" w:sz="0" w:space="0" w:color="auto"/>
        <w:right w:val="none" w:sz="0" w:space="0" w:color="auto"/>
      </w:divBdr>
    </w:div>
    <w:div w:id="1250623551">
      <w:bodyDiv w:val="1"/>
      <w:marLeft w:val="0"/>
      <w:marRight w:val="0"/>
      <w:marTop w:val="0"/>
      <w:marBottom w:val="0"/>
      <w:divBdr>
        <w:top w:val="none" w:sz="0" w:space="0" w:color="auto"/>
        <w:left w:val="none" w:sz="0" w:space="0" w:color="auto"/>
        <w:bottom w:val="none" w:sz="0" w:space="0" w:color="auto"/>
        <w:right w:val="none" w:sz="0" w:space="0" w:color="auto"/>
      </w:divBdr>
    </w:div>
    <w:div w:id="1251696680">
      <w:bodyDiv w:val="1"/>
      <w:marLeft w:val="0"/>
      <w:marRight w:val="0"/>
      <w:marTop w:val="0"/>
      <w:marBottom w:val="0"/>
      <w:divBdr>
        <w:top w:val="none" w:sz="0" w:space="0" w:color="auto"/>
        <w:left w:val="none" w:sz="0" w:space="0" w:color="auto"/>
        <w:bottom w:val="none" w:sz="0" w:space="0" w:color="auto"/>
        <w:right w:val="none" w:sz="0" w:space="0" w:color="auto"/>
      </w:divBdr>
    </w:div>
    <w:div w:id="1252348387">
      <w:bodyDiv w:val="1"/>
      <w:marLeft w:val="0"/>
      <w:marRight w:val="0"/>
      <w:marTop w:val="0"/>
      <w:marBottom w:val="0"/>
      <w:divBdr>
        <w:top w:val="none" w:sz="0" w:space="0" w:color="auto"/>
        <w:left w:val="none" w:sz="0" w:space="0" w:color="auto"/>
        <w:bottom w:val="none" w:sz="0" w:space="0" w:color="auto"/>
        <w:right w:val="none" w:sz="0" w:space="0" w:color="auto"/>
      </w:divBdr>
    </w:div>
    <w:div w:id="1252742805">
      <w:bodyDiv w:val="1"/>
      <w:marLeft w:val="0"/>
      <w:marRight w:val="0"/>
      <w:marTop w:val="0"/>
      <w:marBottom w:val="0"/>
      <w:divBdr>
        <w:top w:val="none" w:sz="0" w:space="0" w:color="auto"/>
        <w:left w:val="none" w:sz="0" w:space="0" w:color="auto"/>
        <w:bottom w:val="none" w:sz="0" w:space="0" w:color="auto"/>
        <w:right w:val="none" w:sz="0" w:space="0" w:color="auto"/>
      </w:divBdr>
    </w:div>
    <w:div w:id="1252931452">
      <w:bodyDiv w:val="1"/>
      <w:marLeft w:val="0"/>
      <w:marRight w:val="0"/>
      <w:marTop w:val="0"/>
      <w:marBottom w:val="0"/>
      <w:divBdr>
        <w:top w:val="none" w:sz="0" w:space="0" w:color="auto"/>
        <w:left w:val="none" w:sz="0" w:space="0" w:color="auto"/>
        <w:bottom w:val="none" w:sz="0" w:space="0" w:color="auto"/>
        <w:right w:val="none" w:sz="0" w:space="0" w:color="auto"/>
      </w:divBdr>
    </w:div>
    <w:div w:id="1254162936">
      <w:bodyDiv w:val="1"/>
      <w:marLeft w:val="0"/>
      <w:marRight w:val="0"/>
      <w:marTop w:val="0"/>
      <w:marBottom w:val="0"/>
      <w:divBdr>
        <w:top w:val="none" w:sz="0" w:space="0" w:color="auto"/>
        <w:left w:val="none" w:sz="0" w:space="0" w:color="auto"/>
        <w:bottom w:val="none" w:sz="0" w:space="0" w:color="auto"/>
        <w:right w:val="none" w:sz="0" w:space="0" w:color="auto"/>
      </w:divBdr>
    </w:div>
    <w:div w:id="1254709228">
      <w:bodyDiv w:val="1"/>
      <w:marLeft w:val="0"/>
      <w:marRight w:val="0"/>
      <w:marTop w:val="0"/>
      <w:marBottom w:val="0"/>
      <w:divBdr>
        <w:top w:val="none" w:sz="0" w:space="0" w:color="auto"/>
        <w:left w:val="none" w:sz="0" w:space="0" w:color="auto"/>
        <w:bottom w:val="none" w:sz="0" w:space="0" w:color="auto"/>
        <w:right w:val="none" w:sz="0" w:space="0" w:color="auto"/>
      </w:divBdr>
    </w:div>
    <w:div w:id="1255238377">
      <w:bodyDiv w:val="1"/>
      <w:marLeft w:val="0"/>
      <w:marRight w:val="0"/>
      <w:marTop w:val="0"/>
      <w:marBottom w:val="0"/>
      <w:divBdr>
        <w:top w:val="none" w:sz="0" w:space="0" w:color="auto"/>
        <w:left w:val="none" w:sz="0" w:space="0" w:color="auto"/>
        <w:bottom w:val="none" w:sz="0" w:space="0" w:color="auto"/>
        <w:right w:val="none" w:sz="0" w:space="0" w:color="auto"/>
      </w:divBdr>
    </w:div>
    <w:div w:id="1256087236">
      <w:bodyDiv w:val="1"/>
      <w:marLeft w:val="0"/>
      <w:marRight w:val="0"/>
      <w:marTop w:val="0"/>
      <w:marBottom w:val="0"/>
      <w:divBdr>
        <w:top w:val="none" w:sz="0" w:space="0" w:color="auto"/>
        <w:left w:val="none" w:sz="0" w:space="0" w:color="auto"/>
        <w:bottom w:val="none" w:sz="0" w:space="0" w:color="auto"/>
        <w:right w:val="none" w:sz="0" w:space="0" w:color="auto"/>
      </w:divBdr>
    </w:div>
    <w:div w:id="1256548565">
      <w:bodyDiv w:val="1"/>
      <w:marLeft w:val="0"/>
      <w:marRight w:val="0"/>
      <w:marTop w:val="0"/>
      <w:marBottom w:val="0"/>
      <w:divBdr>
        <w:top w:val="none" w:sz="0" w:space="0" w:color="auto"/>
        <w:left w:val="none" w:sz="0" w:space="0" w:color="auto"/>
        <w:bottom w:val="none" w:sz="0" w:space="0" w:color="auto"/>
        <w:right w:val="none" w:sz="0" w:space="0" w:color="auto"/>
      </w:divBdr>
    </w:div>
    <w:div w:id="1256671533">
      <w:bodyDiv w:val="1"/>
      <w:marLeft w:val="0"/>
      <w:marRight w:val="0"/>
      <w:marTop w:val="0"/>
      <w:marBottom w:val="0"/>
      <w:divBdr>
        <w:top w:val="none" w:sz="0" w:space="0" w:color="auto"/>
        <w:left w:val="none" w:sz="0" w:space="0" w:color="auto"/>
        <w:bottom w:val="none" w:sz="0" w:space="0" w:color="auto"/>
        <w:right w:val="none" w:sz="0" w:space="0" w:color="auto"/>
      </w:divBdr>
    </w:div>
    <w:div w:id="1256791921">
      <w:bodyDiv w:val="1"/>
      <w:marLeft w:val="0"/>
      <w:marRight w:val="0"/>
      <w:marTop w:val="0"/>
      <w:marBottom w:val="0"/>
      <w:divBdr>
        <w:top w:val="none" w:sz="0" w:space="0" w:color="auto"/>
        <w:left w:val="none" w:sz="0" w:space="0" w:color="auto"/>
        <w:bottom w:val="none" w:sz="0" w:space="0" w:color="auto"/>
        <w:right w:val="none" w:sz="0" w:space="0" w:color="auto"/>
      </w:divBdr>
    </w:div>
    <w:div w:id="1256938737">
      <w:bodyDiv w:val="1"/>
      <w:marLeft w:val="0"/>
      <w:marRight w:val="0"/>
      <w:marTop w:val="0"/>
      <w:marBottom w:val="0"/>
      <w:divBdr>
        <w:top w:val="none" w:sz="0" w:space="0" w:color="auto"/>
        <w:left w:val="none" w:sz="0" w:space="0" w:color="auto"/>
        <w:bottom w:val="none" w:sz="0" w:space="0" w:color="auto"/>
        <w:right w:val="none" w:sz="0" w:space="0" w:color="auto"/>
      </w:divBdr>
    </w:div>
    <w:div w:id="1257128637">
      <w:bodyDiv w:val="1"/>
      <w:marLeft w:val="0"/>
      <w:marRight w:val="0"/>
      <w:marTop w:val="0"/>
      <w:marBottom w:val="0"/>
      <w:divBdr>
        <w:top w:val="none" w:sz="0" w:space="0" w:color="auto"/>
        <w:left w:val="none" w:sz="0" w:space="0" w:color="auto"/>
        <w:bottom w:val="none" w:sz="0" w:space="0" w:color="auto"/>
        <w:right w:val="none" w:sz="0" w:space="0" w:color="auto"/>
      </w:divBdr>
    </w:div>
    <w:div w:id="1257713431">
      <w:bodyDiv w:val="1"/>
      <w:marLeft w:val="0"/>
      <w:marRight w:val="0"/>
      <w:marTop w:val="0"/>
      <w:marBottom w:val="0"/>
      <w:divBdr>
        <w:top w:val="none" w:sz="0" w:space="0" w:color="auto"/>
        <w:left w:val="none" w:sz="0" w:space="0" w:color="auto"/>
        <w:bottom w:val="none" w:sz="0" w:space="0" w:color="auto"/>
        <w:right w:val="none" w:sz="0" w:space="0" w:color="auto"/>
      </w:divBdr>
    </w:div>
    <w:div w:id="1257980313">
      <w:bodyDiv w:val="1"/>
      <w:marLeft w:val="0"/>
      <w:marRight w:val="0"/>
      <w:marTop w:val="0"/>
      <w:marBottom w:val="0"/>
      <w:divBdr>
        <w:top w:val="none" w:sz="0" w:space="0" w:color="auto"/>
        <w:left w:val="none" w:sz="0" w:space="0" w:color="auto"/>
        <w:bottom w:val="none" w:sz="0" w:space="0" w:color="auto"/>
        <w:right w:val="none" w:sz="0" w:space="0" w:color="auto"/>
      </w:divBdr>
    </w:div>
    <w:div w:id="1258437983">
      <w:bodyDiv w:val="1"/>
      <w:marLeft w:val="0"/>
      <w:marRight w:val="0"/>
      <w:marTop w:val="0"/>
      <w:marBottom w:val="0"/>
      <w:divBdr>
        <w:top w:val="none" w:sz="0" w:space="0" w:color="auto"/>
        <w:left w:val="none" w:sz="0" w:space="0" w:color="auto"/>
        <w:bottom w:val="none" w:sz="0" w:space="0" w:color="auto"/>
        <w:right w:val="none" w:sz="0" w:space="0" w:color="auto"/>
      </w:divBdr>
    </w:div>
    <w:div w:id="1259101947">
      <w:bodyDiv w:val="1"/>
      <w:marLeft w:val="0"/>
      <w:marRight w:val="0"/>
      <w:marTop w:val="0"/>
      <w:marBottom w:val="0"/>
      <w:divBdr>
        <w:top w:val="none" w:sz="0" w:space="0" w:color="auto"/>
        <w:left w:val="none" w:sz="0" w:space="0" w:color="auto"/>
        <w:bottom w:val="none" w:sz="0" w:space="0" w:color="auto"/>
        <w:right w:val="none" w:sz="0" w:space="0" w:color="auto"/>
      </w:divBdr>
    </w:div>
    <w:div w:id="1259757565">
      <w:bodyDiv w:val="1"/>
      <w:marLeft w:val="0"/>
      <w:marRight w:val="0"/>
      <w:marTop w:val="0"/>
      <w:marBottom w:val="0"/>
      <w:divBdr>
        <w:top w:val="none" w:sz="0" w:space="0" w:color="auto"/>
        <w:left w:val="none" w:sz="0" w:space="0" w:color="auto"/>
        <w:bottom w:val="none" w:sz="0" w:space="0" w:color="auto"/>
        <w:right w:val="none" w:sz="0" w:space="0" w:color="auto"/>
      </w:divBdr>
    </w:div>
    <w:div w:id="1260259256">
      <w:bodyDiv w:val="1"/>
      <w:marLeft w:val="0"/>
      <w:marRight w:val="0"/>
      <w:marTop w:val="0"/>
      <w:marBottom w:val="0"/>
      <w:divBdr>
        <w:top w:val="none" w:sz="0" w:space="0" w:color="auto"/>
        <w:left w:val="none" w:sz="0" w:space="0" w:color="auto"/>
        <w:bottom w:val="none" w:sz="0" w:space="0" w:color="auto"/>
        <w:right w:val="none" w:sz="0" w:space="0" w:color="auto"/>
      </w:divBdr>
    </w:div>
    <w:div w:id="1261644604">
      <w:bodyDiv w:val="1"/>
      <w:marLeft w:val="0"/>
      <w:marRight w:val="0"/>
      <w:marTop w:val="0"/>
      <w:marBottom w:val="0"/>
      <w:divBdr>
        <w:top w:val="none" w:sz="0" w:space="0" w:color="auto"/>
        <w:left w:val="none" w:sz="0" w:space="0" w:color="auto"/>
        <w:bottom w:val="none" w:sz="0" w:space="0" w:color="auto"/>
        <w:right w:val="none" w:sz="0" w:space="0" w:color="auto"/>
      </w:divBdr>
    </w:div>
    <w:div w:id="1261913447">
      <w:bodyDiv w:val="1"/>
      <w:marLeft w:val="0"/>
      <w:marRight w:val="0"/>
      <w:marTop w:val="0"/>
      <w:marBottom w:val="0"/>
      <w:divBdr>
        <w:top w:val="none" w:sz="0" w:space="0" w:color="auto"/>
        <w:left w:val="none" w:sz="0" w:space="0" w:color="auto"/>
        <w:bottom w:val="none" w:sz="0" w:space="0" w:color="auto"/>
        <w:right w:val="none" w:sz="0" w:space="0" w:color="auto"/>
      </w:divBdr>
      <w:divsChild>
        <w:div w:id="136724103">
          <w:marLeft w:val="0"/>
          <w:marRight w:val="0"/>
          <w:marTop w:val="0"/>
          <w:marBottom w:val="0"/>
          <w:divBdr>
            <w:top w:val="none" w:sz="0" w:space="0" w:color="auto"/>
            <w:left w:val="none" w:sz="0" w:space="0" w:color="auto"/>
            <w:bottom w:val="none" w:sz="0" w:space="0" w:color="auto"/>
            <w:right w:val="none" w:sz="0" w:space="0" w:color="auto"/>
          </w:divBdr>
        </w:div>
      </w:divsChild>
    </w:div>
    <w:div w:id="1262105920">
      <w:bodyDiv w:val="1"/>
      <w:marLeft w:val="0"/>
      <w:marRight w:val="0"/>
      <w:marTop w:val="0"/>
      <w:marBottom w:val="0"/>
      <w:divBdr>
        <w:top w:val="none" w:sz="0" w:space="0" w:color="auto"/>
        <w:left w:val="none" w:sz="0" w:space="0" w:color="auto"/>
        <w:bottom w:val="none" w:sz="0" w:space="0" w:color="auto"/>
        <w:right w:val="none" w:sz="0" w:space="0" w:color="auto"/>
      </w:divBdr>
    </w:div>
    <w:div w:id="1262177493">
      <w:bodyDiv w:val="1"/>
      <w:marLeft w:val="0"/>
      <w:marRight w:val="0"/>
      <w:marTop w:val="0"/>
      <w:marBottom w:val="0"/>
      <w:divBdr>
        <w:top w:val="none" w:sz="0" w:space="0" w:color="auto"/>
        <w:left w:val="none" w:sz="0" w:space="0" w:color="auto"/>
        <w:bottom w:val="none" w:sz="0" w:space="0" w:color="auto"/>
        <w:right w:val="none" w:sz="0" w:space="0" w:color="auto"/>
      </w:divBdr>
    </w:div>
    <w:div w:id="1262180360">
      <w:bodyDiv w:val="1"/>
      <w:marLeft w:val="0"/>
      <w:marRight w:val="0"/>
      <w:marTop w:val="0"/>
      <w:marBottom w:val="0"/>
      <w:divBdr>
        <w:top w:val="none" w:sz="0" w:space="0" w:color="auto"/>
        <w:left w:val="none" w:sz="0" w:space="0" w:color="auto"/>
        <w:bottom w:val="none" w:sz="0" w:space="0" w:color="auto"/>
        <w:right w:val="none" w:sz="0" w:space="0" w:color="auto"/>
      </w:divBdr>
    </w:div>
    <w:div w:id="1263413678">
      <w:bodyDiv w:val="1"/>
      <w:marLeft w:val="0"/>
      <w:marRight w:val="0"/>
      <w:marTop w:val="0"/>
      <w:marBottom w:val="0"/>
      <w:divBdr>
        <w:top w:val="none" w:sz="0" w:space="0" w:color="auto"/>
        <w:left w:val="none" w:sz="0" w:space="0" w:color="auto"/>
        <w:bottom w:val="none" w:sz="0" w:space="0" w:color="auto"/>
        <w:right w:val="none" w:sz="0" w:space="0" w:color="auto"/>
      </w:divBdr>
    </w:div>
    <w:div w:id="1263881585">
      <w:bodyDiv w:val="1"/>
      <w:marLeft w:val="0"/>
      <w:marRight w:val="0"/>
      <w:marTop w:val="0"/>
      <w:marBottom w:val="0"/>
      <w:divBdr>
        <w:top w:val="none" w:sz="0" w:space="0" w:color="auto"/>
        <w:left w:val="none" w:sz="0" w:space="0" w:color="auto"/>
        <w:bottom w:val="none" w:sz="0" w:space="0" w:color="auto"/>
        <w:right w:val="none" w:sz="0" w:space="0" w:color="auto"/>
      </w:divBdr>
    </w:div>
    <w:div w:id="1263952691">
      <w:bodyDiv w:val="1"/>
      <w:marLeft w:val="0"/>
      <w:marRight w:val="0"/>
      <w:marTop w:val="0"/>
      <w:marBottom w:val="0"/>
      <w:divBdr>
        <w:top w:val="none" w:sz="0" w:space="0" w:color="auto"/>
        <w:left w:val="none" w:sz="0" w:space="0" w:color="auto"/>
        <w:bottom w:val="none" w:sz="0" w:space="0" w:color="auto"/>
        <w:right w:val="none" w:sz="0" w:space="0" w:color="auto"/>
      </w:divBdr>
    </w:div>
    <w:div w:id="1264218062">
      <w:bodyDiv w:val="1"/>
      <w:marLeft w:val="0"/>
      <w:marRight w:val="0"/>
      <w:marTop w:val="0"/>
      <w:marBottom w:val="0"/>
      <w:divBdr>
        <w:top w:val="none" w:sz="0" w:space="0" w:color="auto"/>
        <w:left w:val="none" w:sz="0" w:space="0" w:color="auto"/>
        <w:bottom w:val="none" w:sz="0" w:space="0" w:color="auto"/>
        <w:right w:val="none" w:sz="0" w:space="0" w:color="auto"/>
      </w:divBdr>
    </w:div>
    <w:div w:id="1264457148">
      <w:bodyDiv w:val="1"/>
      <w:marLeft w:val="0"/>
      <w:marRight w:val="0"/>
      <w:marTop w:val="0"/>
      <w:marBottom w:val="0"/>
      <w:divBdr>
        <w:top w:val="none" w:sz="0" w:space="0" w:color="auto"/>
        <w:left w:val="none" w:sz="0" w:space="0" w:color="auto"/>
        <w:bottom w:val="none" w:sz="0" w:space="0" w:color="auto"/>
        <w:right w:val="none" w:sz="0" w:space="0" w:color="auto"/>
      </w:divBdr>
    </w:div>
    <w:div w:id="1264921871">
      <w:bodyDiv w:val="1"/>
      <w:marLeft w:val="0"/>
      <w:marRight w:val="0"/>
      <w:marTop w:val="0"/>
      <w:marBottom w:val="0"/>
      <w:divBdr>
        <w:top w:val="none" w:sz="0" w:space="0" w:color="auto"/>
        <w:left w:val="none" w:sz="0" w:space="0" w:color="auto"/>
        <w:bottom w:val="none" w:sz="0" w:space="0" w:color="auto"/>
        <w:right w:val="none" w:sz="0" w:space="0" w:color="auto"/>
      </w:divBdr>
    </w:div>
    <w:div w:id="1266304739">
      <w:bodyDiv w:val="1"/>
      <w:marLeft w:val="0"/>
      <w:marRight w:val="0"/>
      <w:marTop w:val="0"/>
      <w:marBottom w:val="0"/>
      <w:divBdr>
        <w:top w:val="none" w:sz="0" w:space="0" w:color="auto"/>
        <w:left w:val="none" w:sz="0" w:space="0" w:color="auto"/>
        <w:bottom w:val="none" w:sz="0" w:space="0" w:color="auto"/>
        <w:right w:val="none" w:sz="0" w:space="0" w:color="auto"/>
      </w:divBdr>
    </w:div>
    <w:div w:id="1266689591">
      <w:bodyDiv w:val="1"/>
      <w:marLeft w:val="0"/>
      <w:marRight w:val="0"/>
      <w:marTop w:val="0"/>
      <w:marBottom w:val="0"/>
      <w:divBdr>
        <w:top w:val="none" w:sz="0" w:space="0" w:color="auto"/>
        <w:left w:val="none" w:sz="0" w:space="0" w:color="auto"/>
        <w:bottom w:val="none" w:sz="0" w:space="0" w:color="auto"/>
        <w:right w:val="none" w:sz="0" w:space="0" w:color="auto"/>
      </w:divBdr>
    </w:div>
    <w:div w:id="1266958928">
      <w:bodyDiv w:val="1"/>
      <w:marLeft w:val="0"/>
      <w:marRight w:val="0"/>
      <w:marTop w:val="0"/>
      <w:marBottom w:val="0"/>
      <w:divBdr>
        <w:top w:val="none" w:sz="0" w:space="0" w:color="auto"/>
        <w:left w:val="none" w:sz="0" w:space="0" w:color="auto"/>
        <w:bottom w:val="none" w:sz="0" w:space="0" w:color="auto"/>
        <w:right w:val="none" w:sz="0" w:space="0" w:color="auto"/>
      </w:divBdr>
    </w:div>
    <w:div w:id="1267350276">
      <w:bodyDiv w:val="1"/>
      <w:marLeft w:val="0"/>
      <w:marRight w:val="0"/>
      <w:marTop w:val="0"/>
      <w:marBottom w:val="0"/>
      <w:divBdr>
        <w:top w:val="none" w:sz="0" w:space="0" w:color="auto"/>
        <w:left w:val="none" w:sz="0" w:space="0" w:color="auto"/>
        <w:bottom w:val="none" w:sz="0" w:space="0" w:color="auto"/>
        <w:right w:val="none" w:sz="0" w:space="0" w:color="auto"/>
      </w:divBdr>
    </w:div>
    <w:div w:id="1267617613">
      <w:bodyDiv w:val="1"/>
      <w:marLeft w:val="0"/>
      <w:marRight w:val="0"/>
      <w:marTop w:val="0"/>
      <w:marBottom w:val="0"/>
      <w:divBdr>
        <w:top w:val="none" w:sz="0" w:space="0" w:color="auto"/>
        <w:left w:val="none" w:sz="0" w:space="0" w:color="auto"/>
        <w:bottom w:val="none" w:sz="0" w:space="0" w:color="auto"/>
        <w:right w:val="none" w:sz="0" w:space="0" w:color="auto"/>
      </w:divBdr>
    </w:div>
    <w:div w:id="1269005642">
      <w:bodyDiv w:val="1"/>
      <w:marLeft w:val="0"/>
      <w:marRight w:val="0"/>
      <w:marTop w:val="0"/>
      <w:marBottom w:val="0"/>
      <w:divBdr>
        <w:top w:val="none" w:sz="0" w:space="0" w:color="auto"/>
        <w:left w:val="none" w:sz="0" w:space="0" w:color="auto"/>
        <w:bottom w:val="none" w:sz="0" w:space="0" w:color="auto"/>
        <w:right w:val="none" w:sz="0" w:space="0" w:color="auto"/>
      </w:divBdr>
    </w:div>
    <w:div w:id="1269435673">
      <w:bodyDiv w:val="1"/>
      <w:marLeft w:val="0"/>
      <w:marRight w:val="0"/>
      <w:marTop w:val="0"/>
      <w:marBottom w:val="0"/>
      <w:divBdr>
        <w:top w:val="none" w:sz="0" w:space="0" w:color="auto"/>
        <w:left w:val="none" w:sz="0" w:space="0" w:color="auto"/>
        <w:bottom w:val="none" w:sz="0" w:space="0" w:color="auto"/>
        <w:right w:val="none" w:sz="0" w:space="0" w:color="auto"/>
      </w:divBdr>
    </w:div>
    <w:div w:id="1269659612">
      <w:bodyDiv w:val="1"/>
      <w:marLeft w:val="0"/>
      <w:marRight w:val="0"/>
      <w:marTop w:val="0"/>
      <w:marBottom w:val="0"/>
      <w:divBdr>
        <w:top w:val="none" w:sz="0" w:space="0" w:color="auto"/>
        <w:left w:val="none" w:sz="0" w:space="0" w:color="auto"/>
        <w:bottom w:val="none" w:sz="0" w:space="0" w:color="auto"/>
        <w:right w:val="none" w:sz="0" w:space="0" w:color="auto"/>
      </w:divBdr>
    </w:div>
    <w:div w:id="1270311670">
      <w:bodyDiv w:val="1"/>
      <w:marLeft w:val="0"/>
      <w:marRight w:val="0"/>
      <w:marTop w:val="0"/>
      <w:marBottom w:val="0"/>
      <w:divBdr>
        <w:top w:val="none" w:sz="0" w:space="0" w:color="auto"/>
        <w:left w:val="none" w:sz="0" w:space="0" w:color="auto"/>
        <w:bottom w:val="none" w:sz="0" w:space="0" w:color="auto"/>
        <w:right w:val="none" w:sz="0" w:space="0" w:color="auto"/>
      </w:divBdr>
    </w:div>
    <w:div w:id="1270624957">
      <w:bodyDiv w:val="1"/>
      <w:marLeft w:val="0"/>
      <w:marRight w:val="0"/>
      <w:marTop w:val="0"/>
      <w:marBottom w:val="0"/>
      <w:divBdr>
        <w:top w:val="none" w:sz="0" w:space="0" w:color="auto"/>
        <w:left w:val="none" w:sz="0" w:space="0" w:color="auto"/>
        <w:bottom w:val="none" w:sz="0" w:space="0" w:color="auto"/>
        <w:right w:val="none" w:sz="0" w:space="0" w:color="auto"/>
      </w:divBdr>
    </w:div>
    <w:div w:id="1271013547">
      <w:bodyDiv w:val="1"/>
      <w:marLeft w:val="0"/>
      <w:marRight w:val="0"/>
      <w:marTop w:val="0"/>
      <w:marBottom w:val="0"/>
      <w:divBdr>
        <w:top w:val="none" w:sz="0" w:space="0" w:color="auto"/>
        <w:left w:val="none" w:sz="0" w:space="0" w:color="auto"/>
        <w:bottom w:val="none" w:sz="0" w:space="0" w:color="auto"/>
        <w:right w:val="none" w:sz="0" w:space="0" w:color="auto"/>
      </w:divBdr>
    </w:div>
    <w:div w:id="1271552016">
      <w:bodyDiv w:val="1"/>
      <w:marLeft w:val="0"/>
      <w:marRight w:val="0"/>
      <w:marTop w:val="0"/>
      <w:marBottom w:val="0"/>
      <w:divBdr>
        <w:top w:val="none" w:sz="0" w:space="0" w:color="auto"/>
        <w:left w:val="none" w:sz="0" w:space="0" w:color="auto"/>
        <w:bottom w:val="none" w:sz="0" w:space="0" w:color="auto"/>
        <w:right w:val="none" w:sz="0" w:space="0" w:color="auto"/>
      </w:divBdr>
    </w:div>
    <w:div w:id="1271664661">
      <w:bodyDiv w:val="1"/>
      <w:marLeft w:val="0"/>
      <w:marRight w:val="0"/>
      <w:marTop w:val="0"/>
      <w:marBottom w:val="0"/>
      <w:divBdr>
        <w:top w:val="none" w:sz="0" w:space="0" w:color="auto"/>
        <w:left w:val="none" w:sz="0" w:space="0" w:color="auto"/>
        <w:bottom w:val="none" w:sz="0" w:space="0" w:color="auto"/>
        <w:right w:val="none" w:sz="0" w:space="0" w:color="auto"/>
      </w:divBdr>
    </w:div>
    <w:div w:id="1271931439">
      <w:bodyDiv w:val="1"/>
      <w:marLeft w:val="0"/>
      <w:marRight w:val="0"/>
      <w:marTop w:val="0"/>
      <w:marBottom w:val="0"/>
      <w:divBdr>
        <w:top w:val="none" w:sz="0" w:space="0" w:color="auto"/>
        <w:left w:val="none" w:sz="0" w:space="0" w:color="auto"/>
        <w:bottom w:val="none" w:sz="0" w:space="0" w:color="auto"/>
        <w:right w:val="none" w:sz="0" w:space="0" w:color="auto"/>
      </w:divBdr>
    </w:div>
    <w:div w:id="1272592809">
      <w:bodyDiv w:val="1"/>
      <w:marLeft w:val="0"/>
      <w:marRight w:val="0"/>
      <w:marTop w:val="0"/>
      <w:marBottom w:val="0"/>
      <w:divBdr>
        <w:top w:val="none" w:sz="0" w:space="0" w:color="auto"/>
        <w:left w:val="none" w:sz="0" w:space="0" w:color="auto"/>
        <w:bottom w:val="none" w:sz="0" w:space="0" w:color="auto"/>
        <w:right w:val="none" w:sz="0" w:space="0" w:color="auto"/>
      </w:divBdr>
    </w:div>
    <w:div w:id="1272737767">
      <w:bodyDiv w:val="1"/>
      <w:marLeft w:val="0"/>
      <w:marRight w:val="0"/>
      <w:marTop w:val="0"/>
      <w:marBottom w:val="0"/>
      <w:divBdr>
        <w:top w:val="none" w:sz="0" w:space="0" w:color="auto"/>
        <w:left w:val="none" w:sz="0" w:space="0" w:color="auto"/>
        <w:bottom w:val="none" w:sz="0" w:space="0" w:color="auto"/>
        <w:right w:val="none" w:sz="0" w:space="0" w:color="auto"/>
      </w:divBdr>
    </w:div>
    <w:div w:id="1273511867">
      <w:bodyDiv w:val="1"/>
      <w:marLeft w:val="0"/>
      <w:marRight w:val="0"/>
      <w:marTop w:val="0"/>
      <w:marBottom w:val="0"/>
      <w:divBdr>
        <w:top w:val="none" w:sz="0" w:space="0" w:color="auto"/>
        <w:left w:val="none" w:sz="0" w:space="0" w:color="auto"/>
        <w:bottom w:val="none" w:sz="0" w:space="0" w:color="auto"/>
        <w:right w:val="none" w:sz="0" w:space="0" w:color="auto"/>
      </w:divBdr>
    </w:div>
    <w:div w:id="1273593124">
      <w:bodyDiv w:val="1"/>
      <w:marLeft w:val="0"/>
      <w:marRight w:val="0"/>
      <w:marTop w:val="0"/>
      <w:marBottom w:val="0"/>
      <w:divBdr>
        <w:top w:val="none" w:sz="0" w:space="0" w:color="auto"/>
        <w:left w:val="none" w:sz="0" w:space="0" w:color="auto"/>
        <w:bottom w:val="none" w:sz="0" w:space="0" w:color="auto"/>
        <w:right w:val="none" w:sz="0" w:space="0" w:color="auto"/>
      </w:divBdr>
    </w:div>
    <w:div w:id="1273785440">
      <w:bodyDiv w:val="1"/>
      <w:marLeft w:val="0"/>
      <w:marRight w:val="0"/>
      <w:marTop w:val="0"/>
      <w:marBottom w:val="0"/>
      <w:divBdr>
        <w:top w:val="none" w:sz="0" w:space="0" w:color="auto"/>
        <w:left w:val="none" w:sz="0" w:space="0" w:color="auto"/>
        <w:bottom w:val="none" w:sz="0" w:space="0" w:color="auto"/>
        <w:right w:val="none" w:sz="0" w:space="0" w:color="auto"/>
      </w:divBdr>
    </w:div>
    <w:div w:id="1274172201">
      <w:bodyDiv w:val="1"/>
      <w:marLeft w:val="0"/>
      <w:marRight w:val="0"/>
      <w:marTop w:val="0"/>
      <w:marBottom w:val="0"/>
      <w:divBdr>
        <w:top w:val="none" w:sz="0" w:space="0" w:color="auto"/>
        <w:left w:val="none" w:sz="0" w:space="0" w:color="auto"/>
        <w:bottom w:val="none" w:sz="0" w:space="0" w:color="auto"/>
        <w:right w:val="none" w:sz="0" w:space="0" w:color="auto"/>
      </w:divBdr>
    </w:div>
    <w:div w:id="1274749647">
      <w:bodyDiv w:val="1"/>
      <w:marLeft w:val="0"/>
      <w:marRight w:val="0"/>
      <w:marTop w:val="0"/>
      <w:marBottom w:val="0"/>
      <w:divBdr>
        <w:top w:val="none" w:sz="0" w:space="0" w:color="auto"/>
        <w:left w:val="none" w:sz="0" w:space="0" w:color="auto"/>
        <w:bottom w:val="none" w:sz="0" w:space="0" w:color="auto"/>
        <w:right w:val="none" w:sz="0" w:space="0" w:color="auto"/>
      </w:divBdr>
    </w:div>
    <w:div w:id="1275791985">
      <w:bodyDiv w:val="1"/>
      <w:marLeft w:val="0"/>
      <w:marRight w:val="0"/>
      <w:marTop w:val="0"/>
      <w:marBottom w:val="0"/>
      <w:divBdr>
        <w:top w:val="none" w:sz="0" w:space="0" w:color="auto"/>
        <w:left w:val="none" w:sz="0" w:space="0" w:color="auto"/>
        <w:bottom w:val="none" w:sz="0" w:space="0" w:color="auto"/>
        <w:right w:val="none" w:sz="0" w:space="0" w:color="auto"/>
      </w:divBdr>
    </w:div>
    <w:div w:id="1275795738">
      <w:bodyDiv w:val="1"/>
      <w:marLeft w:val="0"/>
      <w:marRight w:val="0"/>
      <w:marTop w:val="0"/>
      <w:marBottom w:val="0"/>
      <w:divBdr>
        <w:top w:val="none" w:sz="0" w:space="0" w:color="auto"/>
        <w:left w:val="none" w:sz="0" w:space="0" w:color="auto"/>
        <w:bottom w:val="none" w:sz="0" w:space="0" w:color="auto"/>
        <w:right w:val="none" w:sz="0" w:space="0" w:color="auto"/>
      </w:divBdr>
    </w:div>
    <w:div w:id="1275868527">
      <w:bodyDiv w:val="1"/>
      <w:marLeft w:val="0"/>
      <w:marRight w:val="0"/>
      <w:marTop w:val="0"/>
      <w:marBottom w:val="0"/>
      <w:divBdr>
        <w:top w:val="none" w:sz="0" w:space="0" w:color="auto"/>
        <w:left w:val="none" w:sz="0" w:space="0" w:color="auto"/>
        <w:bottom w:val="none" w:sz="0" w:space="0" w:color="auto"/>
        <w:right w:val="none" w:sz="0" w:space="0" w:color="auto"/>
      </w:divBdr>
    </w:div>
    <w:div w:id="1276404382">
      <w:bodyDiv w:val="1"/>
      <w:marLeft w:val="0"/>
      <w:marRight w:val="0"/>
      <w:marTop w:val="0"/>
      <w:marBottom w:val="0"/>
      <w:divBdr>
        <w:top w:val="none" w:sz="0" w:space="0" w:color="auto"/>
        <w:left w:val="none" w:sz="0" w:space="0" w:color="auto"/>
        <w:bottom w:val="none" w:sz="0" w:space="0" w:color="auto"/>
        <w:right w:val="none" w:sz="0" w:space="0" w:color="auto"/>
      </w:divBdr>
    </w:div>
    <w:div w:id="1276520685">
      <w:bodyDiv w:val="1"/>
      <w:marLeft w:val="0"/>
      <w:marRight w:val="0"/>
      <w:marTop w:val="0"/>
      <w:marBottom w:val="0"/>
      <w:divBdr>
        <w:top w:val="none" w:sz="0" w:space="0" w:color="auto"/>
        <w:left w:val="none" w:sz="0" w:space="0" w:color="auto"/>
        <w:bottom w:val="none" w:sz="0" w:space="0" w:color="auto"/>
        <w:right w:val="none" w:sz="0" w:space="0" w:color="auto"/>
      </w:divBdr>
    </w:div>
    <w:div w:id="1276601026">
      <w:bodyDiv w:val="1"/>
      <w:marLeft w:val="0"/>
      <w:marRight w:val="0"/>
      <w:marTop w:val="0"/>
      <w:marBottom w:val="0"/>
      <w:divBdr>
        <w:top w:val="none" w:sz="0" w:space="0" w:color="auto"/>
        <w:left w:val="none" w:sz="0" w:space="0" w:color="auto"/>
        <w:bottom w:val="none" w:sz="0" w:space="0" w:color="auto"/>
        <w:right w:val="none" w:sz="0" w:space="0" w:color="auto"/>
      </w:divBdr>
    </w:div>
    <w:div w:id="1277637871">
      <w:bodyDiv w:val="1"/>
      <w:marLeft w:val="0"/>
      <w:marRight w:val="0"/>
      <w:marTop w:val="0"/>
      <w:marBottom w:val="0"/>
      <w:divBdr>
        <w:top w:val="none" w:sz="0" w:space="0" w:color="auto"/>
        <w:left w:val="none" w:sz="0" w:space="0" w:color="auto"/>
        <w:bottom w:val="none" w:sz="0" w:space="0" w:color="auto"/>
        <w:right w:val="none" w:sz="0" w:space="0" w:color="auto"/>
      </w:divBdr>
    </w:div>
    <w:div w:id="1277712571">
      <w:bodyDiv w:val="1"/>
      <w:marLeft w:val="0"/>
      <w:marRight w:val="0"/>
      <w:marTop w:val="0"/>
      <w:marBottom w:val="0"/>
      <w:divBdr>
        <w:top w:val="none" w:sz="0" w:space="0" w:color="auto"/>
        <w:left w:val="none" w:sz="0" w:space="0" w:color="auto"/>
        <w:bottom w:val="none" w:sz="0" w:space="0" w:color="auto"/>
        <w:right w:val="none" w:sz="0" w:space="0" w:color="auto"/>
      </w:divBdr>
    </w:div>
    <w:div w:id="1277756522">
      <w:bodyDiv w:val="1"/>
      <w:marLeft w:val="0"/>
      <w:marRight w:val="0"/>
      <w:marTop w:val="0"/>
      <w:marBottom w:val="0"/>
      <w:divBdr>
        <w:top w:val="none" w:sz="0" w:space="0" w:color="auto"/>
        <w:left w:val="none" w:sz="0" w:space="0" w:color="auto"/>
        <w:bottom w:val="none" w:sz="0" w:space="0" w:color="auto"/>
        <w:right w:val="none" w:sz="0" w:space="0" w:color="auto"/>
      </w:divBdr>
    </w:div>
    <w:div w:id="1279990945">
      <w:bodyDiv w:val="1"/>
      <w:marLeft w:val="0"/>
      <w:marRight w:val="0"/>
      <w:marTop w:val="0"/>
      <w:marBottom w:val="0"/>
      <w:divBdr>
        <w:top w:val="none" w:sz="0" w:space="0" w:color="auto"/>
        <w:left w:val="none" w:sz="0" w:space="0" w:color="auto"/>
        <w:bottom w:val="none" w:sz="0" w:space="0" w:color="auto"/>
        <w:right w:val="none" w:sz="0" w:space="0" w:color="auto"/>
      </w:divBdr>
    </w:div>
    <w:div w:id="1280338687">
      <w:bodyDiv w:val="1"/>
      <w:marLeft w:val="0"/>
      <w:marRight w:val="0"/>
      <w:marTop w:val="0"/>
      <w:marBottom w:val="0"/>
      <w:divBdr>
        <w:top w:val="none" w:sz="0" w:space="0" w:color="auto"/>
        <w:left w:val="none" w:sz="0" w:space="0" w:color="auto"/>
        <w:bottom w:val="none" w:sz="0" w:space="0" w:color="auto"/>
        <w:right w:val="none" w:sz="0" w:space="0" w:color="auto"/>
      </w:divBdr>
    </w:div>
    <w:div w:id="1281106316">
      <w:bodyDiv w:val="1"/>
      <w:marLeft w:val="0"/>
      <w:marRight w:val="0"/>
      <w:marTop w:val="0"/>
      <w:marBottom w:val="0"/>
      <w:divBdr>
        <w:top w:val="none" w:sz="0" w:space="0" w:color="auto"/>
        <w:left w:val="none" w:sz="0" w:space="0" w:color="auto"/>
        <w:bottom w:val="none" w:sz="0" w:space="0" w:color="auto"/>
        <w:right w:val="none" w:sz="0" w:space="0" w:color="auto"/>
      </w:divBdr>
    </w:div>
    <w:div w:id="1281107869">
      <w:bodyDiv w:val="1"/>
      <w:marLeft w:val="0"/>
      <w:marRight w:val="0"/>
      <w:marTop w:val="0"/>
      <w:marBottom w:val="0"/>
      <w:divBdr>
        <w:top w:val="none" w:sz="0" w:space="0" w:color="auto"/>
        <w:left w:val="none" w:sz="0" w:space="0" w:color="auto"/>
        <w:bottom w:val="none" w:sz="0" w:space="0" w:color="auto"/>
        <w:right w:val="none" w:sz="0" w:space="0" w:color="auto"/>
      </w:divBdr>
    </w:div>
    <w:div w:id="1281763112">
      <w:bodyDiv w:val="1"/>
      <w:marLeft w:val="0"/>
      <w:marRight w:val="0"/>
      <w:marTop w:val="0"/>
      <w:marBottom w:val="0"/>
      <w:divBdr>
        <w:top w:val="none" w:sz="0" w:space="0" w:color="auto"/>
        <w:left w:val="none" w:sz="0" w:space="0" w:color="auto"/>
        <w:bottom w:val="none" w:sz="0" w:space="0" w:color="auto"/>
        <w:right w:val="none" w:sz="0" w:space="0" w:color="auto"/>
      </w:divBdr>
    </w:div>
    <w:div w:id="1282689970">
      <w:bodyDiv w:val="1"/>
      <w:marLeft w:val="0"/>
      <w:marRight w:val="0"/>
      <w:marTop w:val="0"/>
      <w:marBottom w:val="0"/>
      <w:divBdr>
        <w:top w:val="none" w:sz="0" w:space="0" w:color="auto"/>
        <w:left w:val="none" w:sz="0" w:space="0" w:color="auto"/>
        <w:bottom w:val="none" w:sz="0" w:space="0" w:color="auto"/>
        <w:right w:val="none" w:sz="0" w:space="0" w:color="auto"/>
      </w:divBdr>
    </w:div>
    <w:div w:id="1283926338">
      <w:bodyDiv w:val="1"/>
      <w:marLeft w:val="0"/>
      <w:marRight w:val="0"/>
      <w:marTop w:val="0"/>
      <w:marBottom w:val="0"/>
      <w:divBdr>
        <w:top w:val="none" w:sz="0" w:space="0" w:color="auto"/>
        <w:left w:val="none" w:sz="0" w:space="0" w:color="auto"/>
        <w:bottom w:val="none" w:sz="0" w:space="0" w:color="auto"/>
        <w:right w:val="none" w:sz="0" w:space="0" w:color="auto"/>
      </w:divBdr>
    </w:div>
    <w:div w:id="1284505846">
      <w:bodyDiv w:val="1"/>
      <w:marLeft w:val="0"/>
      <w:marRight w:val="0"/>
      <w:marTop w:val="0"/>
      <w:marBottom w:val="0"/>
      <w:divBdr>
        <w:top w:val="none" w:sz="0" w:space="0" w:color="auto"/>
        <w:left w:val="none" w:sz="0" w:space="0" w:color="auto"/>
        <w:bottom w:val="none" w:sz="0" w:space="0" w:color="auto"/>
        <w:right w:val="none" w:sz="0" w:space="0" w:color="auto"/>
      </w:divBdr>
    </w:div>
    <w:div w:id="1284534268">
      <w:bodyDiv w:val="1"/>
      <w:marLeft w:val="0"/>
      <w:marRight w:val="0"/>
      <w:marTop w:val="0"/>
      <w:marBottom w:val="0"/>
      <w:divBdr>
        <w:top w:val="none" w:sz="0" w:space="0" w:color="auto"/>
        <w:left w:val="none" w:sz="0" w:space="0" w:color="auto"/>
        <w:bottom w:val="none" w:sz="0" w:space="0" w:color="auto"/>
        <w:right w:val="none" w:sz="0" w:space="0" w:color="auto"/>
      </w:divBdr>
    </w:div>
    <w:div w:id="1284921282">
      <w:bodyDiv w:val="1"/>
      <w:marLeft w:val="0"/>
      <w:marRight w:val="0"/>
      <w:marTop w:val="0"/>
      <w:marBottom w:val="0"/>
      <w:divBdr>
        <w:top w:val="none" w:sz="0" w:space="0" w:color="auto"/>
        <w:left w:val="none" w:sz="0" w:space="0" w:color="auto"/>
        <w:bottom w:val="none" w:sz="0" w:space="0" w:color="auto"/>
        <w:right w:val="none" w:sz="0" w:space="0" w:color="auto"/>
      </w:divBdr>
    </w:div>
    <w:div w:id="1285229561">
      <w:bodyDiv w:val="1"/>
      <w:marLeft w:val="0"/>
      <w:marRight w:val="0"/>
      <w:marTop w:val="0"/>
      <w:marBottom w:val="0"/>
      <w:divBdr>
        <w:top w:val="none" w:sz="0" w:space="0" w:color="auto"/>
        <w:left w:val="none" w:sz="0" w:space="0" w:color="auto"/>
        <w:bottom w:val="none" w:sz="0" w:space="0" w:color="auto"/>
        <w:right w:val="none" w:sz="0" w:space="0" w:color="auto"/>
      </w:divBdr>
    </w:div>
    <w:div w:id="1285430889">
      <w:bodyDiv w:val="1"/>
      <w:marLeft w:val="0"/>
      <w:marRight w:val="0"/>
      <w:marTop w:val="0"/>
      <w:marBottom w:val="0"/>
      <w:divBdr>
        <w:top w:val="none" w:sz="0" w:space="0" w:color="auto"/>
        <w:left w:val="none" w:sz="0" w:space="0" w:color="auto"/>
        <w:bottom w:val="none" w:sz="0" w:space="0" w:color="auto"/>
        <w:right w:val="none" w:sz="0" w:space="0" w:color="auto"/>
      </w:divBdr>
    </w:div>
    <w:div w:id="1286037705">
      <w:bodyDiv w:val="1"/>
      <w:marLeft w:val="0"/>
      <w:marRight w:val="0"/>
      <w:marTop w:val="0"/>
      <w:marBottom w:val="0"/>
      <w:divBdr>
        <w:top w:val="none" w:sz="0" w:space="0" w:color="auto"/>
        <w:left w:val="none" w:sz="0" w:space="0" w:color="auto"/>
        <w:bottom w:val="none" w:sz="0" w:space="0" w:color="auto"/>
        <w:right w:val="none" w:sz="0" w:space="0" w:color="auto"/>
      </w:divBdr>
    </w:div>
    <w:div w:id="1286740898">
      <w:bodyDiv w:val="1"/>
      <w:marLeft w:val="0"/>
      <w:marRight w:val="0"/>
      <w:marTop w:val="0"/>
      <w:marBottom w:val="0"/>
      <w:divBdr>
        <w:top w:val="none" w:sz="0" w:space="0" w:color="auto"/>
        <w:left w:val="none" w:sz="0" w:space="0" w:color="auto"/>
        <w:bottom w:val="none" w:sz="0" w:space="0" w:color="auto"/>
        <w:right w:val="none" w:sz="0" w:space="0" w:color="auto"/>
      </w:divBdr>
    </w:div>
    <w:div w:id="1286810016">
      <w:bodyDiv w:val="1"/>
      <w:marLeft w:val="0"/>
      <w:marRight w:val="0"/>
      <w:marTop w:val="0"/>
      <w:marBottom w:val="0"/>
      <w:divBdr>
        <w:top w:val="none" w:sz="0" w:space="0" w:color="auto"/>
        <w:left w:val="none" w:sz="0" w:space="0" w:color="auto"/>
        <w:bottom w:val="none" w:sz="0" w:space="0" w:color="auto"/>
        <w:right w:val="none" w:sz="0" w:space="0" w:color="auto"/>
      </w:divBdr>
    </w:div>
    <w:div w:id="1287005364">
      <w:bodyDiv w:val="1"/>
      <w:marLeft w:val="0"/>
      <w:marRight w:val="0"/>
      <w:marTop w:val="0"/>
      <w:marBottom w:val="0"/>
      <w:divBdr>
        <w:top w:val="none" w:sz="0" w:space="0" w:color="auto"/>
        <w:left w:val="none" w:sz="0" w:space="0" w:color="auto"/>
        <w:bottom w:val="none" w:sz="0" w:space="0" w:color="auto"/>
        <w:right w:val="none" w:sz="0" w:space="0" w:color="auto"/>
      </w:divBdr>
    </w:div>
    <w:div w:id="1287278301">
      <w:bodyDiv w:val="1"/>
      <w:marLeft w:val="0"/>
      <w:marRight w:val="0"/>
      <w:marTop w:val="0"/>
      <w:marBottom w:val="0"/>
      <w:divBdr>
        <w:top w:val="none" w:sz="0" w:space="0" w:color="auto"/>
        <w:left w:val="none" w:sz="0" w:space="0" w:color="auto"/>
        <w:bottom w:val="none" w:sz="0" w:space="0" w:color="auto"/>
        <w:right w:val="none" w:sz="0" w:space="0" w:color="auto"/>
      </w:divBdr>
    </w:div>
    <w:div w:id="1287931440">
      <w:bodyDiv w:val="1"/>
      <w:marLeft w:val="0"/>
      <w:marRight w:val="0"/>
      <w:marTop w:val="0"/>
      <w:marBottom w:val="0"/>
      <w:divBdr>
        <w:top w:val="none" w:sz="0" w:space="0" w:color="auto"/>
        <w:left w:val="none" w:sz="0" w:space="0" w:color="auto"/>
        <w:bottom w:val="none" w:sz="0" w:space="0" w:color="auto"/>
        <w:right w:val="none" w:sz="0" w:space="0" w:color="auto"/>
      </w:divBdr>
    </w:div>
    <w:div w:id="1288466195">
      <w:bodyDiv w:val="1"/>
      <w:marLeft w:val="0"/>
      <w:marRight w:val="0"/>
      <w:marTop w:val="0"/>
      <w:marBottom w:val="0"/>
      <w:divBdr>
        <w:top w:val="none" w:sz="0" w:space="0" w:color="auto"/>
        <w:left w:val="none" w:sz="0" w:space="0" w:color="auto"/>
        <w:bottom w:val="none" w:sz="0" w:space="0" w:color="auto"/>
        <w:right w:val="none" w:sz="0" w:space="0" w:color="auto"/>
      </w:divBdr>
    </w:div>
    <w:div w:id="1288585806">
      <w:bodyDiv w:val="1"/>
      <w:marLeft w:val="0"/>
      <w:marRight w:val="0"/>
      <w:marTop w:val="0"/>
      <w:marBottom w:val="0"/>
      <w:divBdr>
        <w:top w:val="none" w:sz="0" w:space="0" w:color="auto"/>
        <w:left w:val="none" w:sz="0" w:space="0" w:color="auto"/>
        <w:bottom w:val="none" w:sz="0" w:space="0" w:color="auto"/>
        <w:right w:val="none" w:sz="0" w:space="0" w:color="auto"/>
      </w:divBdr>
    </w:div>
    <w:div w:id="1290746285">
      <w:bodyDiv w:val="1"/>
      <w:marLeft w:val="0"/>
      <w:marRight w:val="0"/>
      <w:marTop w:val="0"/>
      <w:marBottom w:val="0"/>
      <w:divBdr>
        <w:top w:val="none" w:sz="0" w:space="0" w:color="auto"/>
        <w:left w:val="none" w:sz="0" w:space="0" w:color="auto"/>
        <w:bottom w:val="none" w:sz="0" w:space="0" w:color="auto"/>
        <w:right w:val="none" w:sz="0" w:space="0" w:color="auto"/>
      </w:divBdr>
    </w:div>
    <w:div w:id="1290820486">
      <w:bodyDiv w:val="1"/>
      <w:marLeft w:val="0"/>
      <w:marRight w:val="0"/>
      <w:marTop w:val="0"/>
      <w:marBottom w:val="0"/>
      <w:divBdr>
        <w:top w:val="none" w:sz="0" w:space="0" w:color="auto"/>
        <w:left w:val="none" w:sz="0" w:space="0" w:color="auto"/>
        <w:bottom w:val="none" w:sz="0" w:space="0" w:color="auto"/>
        <w:right w:val="none" w:sz="0" w:space="0" w:color="auto"/>
      </w:divBdr>
    </w:div>
    <w:div w:id="1292399432">
      <w:bodyDiv w:val="1"/>
      <w:marLeft w:val="0"/>
      <w:marRight w:val="0"/>
      <w:marTop w:val="0"/>
      <w:marBottom w:val="0"/>
      <w:divBdr>
        <w:top w:val="none" w:sz="0" w:space="0" w:color="auto"/>
        <w:left w:val="none" w:sz="0" w:space="0" w:color="auto"/>
        <w:bottom w:val="none" w:sz="0" w:space="0" w:color="auto"/>
        <w:right w:val="none" w:sz="0" w:space="0" w:color="auto"/>
      </w:divBdr>
    </w:div>
    <w:div w:id="1292709956">
      <w:bodyDiv w:val="1"/>
      <w:marLeft w:val="0"/>
      <w:marRight w:val="0"/>
      <w:marTop w:val="0"/>
      <w:marBottom w:val="0"/>
      <w:divBdr>
        <w:top w:val="none" w:sz="0" w:space="0" w:color="auto"/>
        <w:left w:val="none" w:sz="0" w:space="0" w:color="auto"/>
        <w:bottom w:val="none" w:sz="0" w:space="0" w:color="auto"/>
        <w:right w:val="none" w:sz="0" w:space="0" w:color="auto"/>
      </w:divBdr>
    </w:div>
    <w:div w:id="1293363887">
      <w:bodyDiv w:val="1"/>
      <w:marLeft w:val="0"/>
      <w:marRight w:val="0"/>
      <w:marTop w:val="0"/>
      <w:marBottom w:val="0"/>
      <w:divBdr>
        <w:top w:val="none" w:sz="0" w:space="0" w:color="auto"/>
        <w:left w:val="none" w:sz="0" w:space="0" w:color="auto"/>
        <w:bottom w:val="none" w:sz="0" w:space="0" w:color="auto"/>
        <w:right w:val="none" w:sz="0" w:space="0" w:color="auto"/>
      </w:divBdr>
    </w:div>
    <w:div w:id="1293707687">
      <w:bodyDiv w:val="1"/>
      <w:marLeft w:val="0"/>
      <w:marRight w:val="0"/>
      <w:marTop w:val="0"/>
      <w:marBottom w:val="0"/>
      <w:divBdr>
        <w:top w:val="none" w:sz="0" w:space="0" w:color="auto"/>
        <w:left w:val="none" w:sz="0" w:space="0" w:color="auto"/>
        <w:bottom w:val="none" w:sz="0" w:space="0" w:color="auto"/>
        <w:right w:val="none" w:sz="0" w:space="0" w:color="auto"/>
      </w:divBdr>
    </w:div>
    <w:div w:id="1293749895">
      <w:bodyDiv w:val="1"/>
      <w:marLeft w:val="0"/>
      <w:marRight w:val="0"/>
      <w:marTop w:val="0"/>
      <w:marBottom w:val="0"/>
      <w:divBdr>
        <w:top w:val="none" w:sz="0" w:space="0" w:color="auto"/>
        <w:left w:val="none" w:sz="0" w:space="0" w:color="auto"/>
        <w:bottom w:val="none" w:sz="0" w:space="0" w:color="auto"/>
        <w:right w:val="none" w:sz="0" w:space="0" w:color="auto"/>
      </w:divBdr>
    </w:div>
    <w:div w:id="1293749954">
      <w:bodyDiv w:val="1"/>
      <w:marLeft w:val="0"/>
      <w:marRight w:val="0"/>
      <w:marTop w:val="0"/>
      <w:marBottom w:val="0"/>
      <w:divBdr>
        <w:top w:val="none" w:sz="0" w:space="0" w:color="auto"/>
        <w:left w:val="none" w:sz="0" w:space="0" w:color="auto"/>
        <w:bottom w:val="none" w:sz="0" w:space="0" w:color="auto"/>
        <w:right w:val="none" w:sz="0" w:space="0" w:color="auto"/>
      </w:divBdr>
    </w:div>
    <w:div w:id="1293753112">
      <w:bodyDiv w:val="1"/>
      <w:marLeft w:val="0"/>
      <w:marRight w:val="0"/>
      <w:marTop w:val="0"/>
      <w:marBottom w:val="0"/>
      <w:divBdr>
        <w:top w:val="none" w:sz="0" w:space="0" w:color="auto"/>
        <w:left w:val="none" w:sz="0" w:space="0" w:color="auto"/>
        <w:bottom w:val="none" w:sz="0" w:space="0" w:color="auto"/>
        <w:right w:val="none" w:sz="0" w:space="0" w:color="auto"/>
      </w:divBdr>
    </w:div>
    <w:div w:id="1295453042">
      <w:bodyDiv w:val="1"/>
      <w:marLeft w:val="0"/>
      <w:marRight w:val="0"/>
      <w:marTop w:val="0"/>
      <w:marBottom w:val="0"/>
      <w:divBdr>
        <w:top w:val="none" w:sz="0" w:space="0" w:color="auto"/>
        <w:left w:val="none" w:sz="0" w:space="0" w:color="auto"/>
        <w:bottom w:val="none" w:sz="0" w:space="0" w:color="auto"/>
        <w:right w:val="none" w:sz="0" w:space="0" w:color="auto"/>
      </w:divBdr>
    </w:div>
    <w:div w:id="1295718274">
      <w:bodyDiv w:val="1"/>
      <w:marLeft w:val="0"/>
      <w:marRight w:val="0"/>
      <w:marTop w:val="0"/>
      <w:marBottom w:val="0"/>
      <w:divBdr>
        <w:top w:val="none" w:sz="0" w:space="0" w:color="auto"/>
        <w:left w:val="none" w:sz="0" w:space="0" w:color="auto"/>
        <w:bottom w:val="none" w:sz="0" w:space="0" w:color="auto"/>
        <w:right w:val="none" w:sz="0" w:space="0" w:color="auto"/>
      </w:divBdr>
    </w:div>
    <w:div w:id="1295721835">
      <w:bodyDiv w:val="1"/>
      <w:marLeft w:val="0"/>
      <w:marRight w:val="0"/>
      <w:marTop w:val="0"/>
      <w:marBottom w:val="0"/>
      <w:divBdr>
        <w:top w:val="none" w:sz="0" w:space="0" w:color="auto"/>
        <w:left w:val="none" w:sz="0" w:space="0" w:color="auto"/>
        <w:bottom w:val="none" w:sz="0" w:space="0" w:color="auto"/>
        <w:right w:val="none" w:sz="0" w:space="0" w:color="auto"/>
      </w:divBdr>
    </w:div>
    <w:div w:id="1295797123">
      <w:bodyDiv w:val="1"/>
      <w:marLeft w:val="0"/>
      <w:marRight w:val="0"/>
      <w:marTop w:val="0"/>
      <w:marBottom w:val="0"/>
      <w:divBdr>
        <w:top w:val="none" w:sz="0" w:space="0" w:color="auto"/>
        <w:left w:val="none" w:sz="0" w:space="0" w:color="auto"/>
        <w:bottom w:val="none" w:sz="0" w:space="0" w:color="auto"/>
        <w:right w:val="none" w:sz="0" w:space="0" w:color="auto"/>
      </w:divBdr>
    </w:div>
    <w:div w:id="1296061819">
      <w:bodyDiv w:val="1"/>
      <w:marLeft w:val="0"/>
      <w:marRight w:val="0"/>
      <w:marTop w:val="0"/>
      <w:marBottom w:val="0"/>
      <w:divBdr>
        <w:top w:val="none" w:sz="0" w:space="0" w:color="auto"/>
        <w:left w:val="none" w:sz="0" w:space="0" w:color="auto"/>
        <w:bottom w:val="none" w:sz="0" w:space="0" w:color="auto"/>
        <w:right w:val="none" w:sz="0" w:space="0" w:color="auto"/>
      </w:divBdr>
    </w:div>
    <w:div w:id="1296912588">
      <w:bodyDiv w:val="1"/>
      <w:marLeft w:val="0"/>
      <w:marRight w:val="0"/>
      <w:marTop w:val="0"/>
      <w:marBottom w:val="0"/>
      <w:divBdr>
        <w:top w:val="none" w:sz="0" w:space="0" w:color="auto"/>
        <w:left w:val="none" w:sz="0" w:space="0" w:color="auto"/>
        <w:bottom w:val="none" w:sz="0" w:space="0" w:color="auto"/>
        <w:right w:val="none" w:sz="0" w:space="0" w:color="auto"/>
      </w:divBdr>
    </w:div>
    <w:div w:id="1296986274">
      <w:bodyDiv w:val="1"/>
      <w:marLeft w:val="0"/>
      <w:marRight w:val="0"/>
      <w:marTop w:val="0"/>
      <w:marBottom w:val="0"/>
      <w:divBdr>
        <w:top w:val="none" w:sz="0" w:space="0" w:color="auto"/>
        <w:left w:val="none" w:sz="0" w:space="0" w:color="auto"/>
        <w:bottom w:val="none" w:sz="0" w:space="0" w:color="auto"/>
        <w:right w:val="none" w:sz="0" w:space="0" w:color="auto"/>
      </w:divBdr>
    </w:div>
    <w:div w:id="1296986506">
      <w:bodyDiv w:val="1"/>
      <w:marLeft w:val="0"/>
      <w:marRight w:val="0"/>
      <w:marTop w:val="0"/>
      <w:marBottom w:val="0"/>
      <w:divBdr>
        <w:top w:val="none" w:sz="0" w:space="0" w:color="auto"/>
        <w:left w:val="none" w:sz="0" w:space="0" w:color="auto"/>
        <w:bottom w:val="none" w:sz="0" w:space="0" w:color="auto"/>
        <w:right w:val="none" w:sz="0" w:space="0" w:color="auto"/>
      </w:divBdr>
    </w:div>
    <w:div w:id="1297367827">
      <w:bodyDiv w:val="1"/>
      <w:marLeft w:val="0"/>
      <w:marRight w:val="0"/>
      <w:marTop w:val="0"/>
      <w:marBottom w:val="0"/>
      <w:divBdr>
        <w:top w:val="none" w:sz="0" w:space="0" w:color="auto"/>
        <w:left w:val="none" w:sz="0" w:space="0" w:color="auto"/>
        <w:bottom w:val="none" w:sz="0" w:space="0" w:color="auto"/>
        <w:right w:val="none" w:sz="0" w:space="0" w:color="auto"/>
      </w:divBdr>
    </w:div>
    <w:div w:id="1297950541">
      <w:bodyDiv w:val="1"/>
      <w:marLeft w:val="0"/>
      <w:marRight w:val="0"/>
      <w:marTop w:val="0"/>
      <w:marBottom w:val="0"/>
      <w:divBdr>
        <w:top w:val="none" w:sz="0" w:space="0" w:color="auto"/>
        <w:left w:val="none" w:sz="0" w:space="0" w:color="auto"/>
        <w:bottom w:val="none" w:sz="0" w:space="0" w:color="auto"/>
        <w:right w:val="none" w:sz="0" w:space="0" w:color="auto"/>
      </w:divBdr>
    </w:div>
    <w:div w:id="1298027377">
      <w:bodyDiv w:val="1"/>
      <w:marLeft w:val="0"/>
      <w:marRight w:val="0"/>
      <w:marTop w:val="0"/>
      <w:marBottom w:val="0"/>
      <w:divBdr>
        <w:top w:val="none" w:sz="0" w:space="0" w:color="auto"/>
        <w:left w:val="none" w:sz="0" w:space="0" w:color="auto"/>
        <w:bottom w:val="none" w:sz="0" w:space="0" w:color="auto"/>
        <w:right w:val="none" w:sz="0" w:space="0" w:color="auto"/>
      </w:divBdr>
    </w:div>
    <w:div w:id="1298340463">
      <w:bodyDiv w:val="1"/>
      <w:marLeft w:val="0"/>
      <w:marRight w:val="0"/>
      <w:marTop w:val="0"/>
      <w:marBottom w:val="0"/>
      <w:divBdr>
        <w:top w:val="none" w:sz="0" w:space="0" w:color="auto"/>
        <w:left w:val="none" w:sz="0" w:space="0" w:color="auto"/>
        <w:bottom w:val="none" w:sz="0" w:space="0" w:color="auto"/>
        <w:right w:val="none" w:sz="0" w:space="0" w:color="auto"/>
      </w:divBdr>
    </w:div>
    <w:div w:id="1298532051">
      <w:bodyDiv w:val="1"/>
      <w:marLeft w:val="0"/>
      <w:marRight w:val="0"/>
      <w:marTop w:val="0"/>
      <w:marBottom w:val="0"/>
      <w:divBdr>
        <w:top w:val="none" w:sz="0" w:space="0" w:color="auto"/>
        <w:left w:val="none" w:sz="0" w:space="0" w:color="auto"/>
        <w:bottom w:val="none" w:sz="0" w:space="0" w:color="auto"/>
        <w:right w:val="none" w:sz="0" w:space="0" w:color="auto"/>
      </w:divBdr>
    </w:div>
    <w:div w:id="1298685786">
      <w:bodyDiv w:val="1"/>
      <w:marLeft w:val="0"/>
      <w:marRight w:val="0"/>
      <w:marTop w:val="0"/>
      <w:marBottom w:val="0"/>
      <w:divBdr>
        <w:top w:val="none" w:sz="0" w:space="0" w:color="auto"/>
        <w:left w:val="none" w:sz="0" w:space="0" w:color="auto"/>
        <w:bottom w:val="none" w:sz="0" w:space="0" w:color="auto"/>
        <w:right w:val="none" w:sz="0" w:space="0" w:color="auto"/>
      </w:divBdr>
    </w:div>
    <w:div w:id="1299535680">
      <w:bodyDiv w:val="1"/>
      <w:marLeft w:val="0"/>
      <w:marRight w:val="0"/>
      <w:marTop w:val="0"/>
      <w:marBottom w:val="0"/>
      <w:divBdr>
        <w:top w:val="none" w:sz="0" w:space="0" w:color="auto"/>
        <w:left w:val="none" w:sz="0" w:space="0" w:color="auto"/>
        <w:bottom w:val="none" w:sz="0" w:space="0" w:color="auto"/>
        <w:right w:val="none" w:sz="0" w:space="0" w:color="auto"/>
      </w:divBdr>
    </w:div>
    <w:div w:id="1299646743">
      <w:bodyDiv w:val="1"/>
      <w:marLeft w:val="0"/>
      <w:marRight w:val="0"/>
      <w:marTop w:val="0"/>
      <w:marBottom w:val="0"/>
      <w:divBdr>
        <w:top w:val="none" w:sz="0" w:space="0" w:color="auto"/>
        <w:left w:val="none" w:sz="0" w:space="0" w:color="auto"/>
        <w:bottom w:val="none" w:sz="0" w:space="0" w:color="auto"/>
        <w:right w:val="none" w:sz="0" w:space="0" w:color="auto"/>
      </w:divBdr>
    </w:div>
    <w:div w:id="1299921366">
      <w:bodyDiv w:val="1"/>
      <w:marLeft w:val="0"/>
      <w:marRight w:val="0"/>
      <w:marTop w:val="0"/>
      <w:marBottom w:val="0"/>
      <w:divBdr>
        <w:top w:val="none" w:sz="0" w:space="0" w:color="auto"/>
        <w:left w:val="none" w:sz="0" w:space="0" w:color="auto"/>
        <w:bottom w:val="none" w:sz="0" w:space="0" w:color="auto"/>
        <w:right w:val="none" w:sz="0" w:space="0" w:color="auto"/>
      </w:divBdr>
    </w:div>
    <w:div w:id="1300070213">
      <w:bodyDiv w:val="1"/>
      <w:marLeft w:val="0"/>
      <w:marRight w:val="0"/>
      <w:marTop w:val="0"/>
      <w:marBottom w:val="0"/>
      <w:divBdr>
        <w:top w:val="none" w:sz="0" w:space="0" w:color="auto"/>
        <w:left w:val="none" w:sz="0" w:space="0" w:color="auto"/>
        <w:bottom w:val="none" w:sz="0" w:space="0" w:color="auto"/>
        <w:right w:val="none" w:sz="0" w:space="0" w:color="auto"/>
      </w:divBdr>
    </w:div>
    <w:div w:id="1300722051">
      <w:bodyDiv w:val="1"/>
      <w:marLeft w:val="0"/>
      <w:marRight w:val="0"/>
      <w:marTop w:val="0"/>
      <w:marBottom w:val="0"/>
      <w:divBdr>
        <w:top w:val="none" w:sz="0" w:space="0" w:color="auto"/>
        <w:left w:val="none" w:sz="0" w:space="0" w:color="auto"/>
        <w:bottom w:val="none" w:sz="0" w:space="0" w:color="auto"/>
        <w:right w:val="none" w:sz="0" w:space="0" w:color="auto"/>
      </w:divBdr>
    </w:div>
    <w:div w:id="1301419693">
      <w:bodyDiv w:val="1"/>
      <w:marLeft w:val="0"/>
      <w:marRight w:val="0"/>
      <w:marTop w:val="0"/>
      <w:marBottom w:val="0"/>
      <w:divBdr>
        <w:top w:val="none" w:sz="0" w:space="0" w:color="auto"/>
        <w:left w:val="none" w:sz="0" w:space="0" w:color="auto"/>
        <w:bottom w:val="none" w:sz="0" w:space="0" w:color="auto"/>
        <w:right w:val="none" w:sz="0" w:space="0" w:color="auto"/>
      </w:divBdr>
    </w:div>
    <w:div w:id="1301422426">
      <w:bodyDiv w:val="1"/>
      <w:marLeft w:val="0"/>
      <w:marRight w:val="0"/>
      <w:marTop w:val="0"/>
      <w:marBottom w:val="0"/>
      <w:divBdr>
        <w:top w:val="none" w:sz="0" w:space="0" w:color="auto"/>
        <w:left w:val="none" w:sz="0" w:space="0" w:color="auto"/>
        <w:bottom w:val="none" w:sz="0" w:space="0" w:color="auto"/>
        <w:right w:val="none" w:sz="0" w:space="0" w:color="auto"/>
      </w:divBdr>
    </w:div>
    <w:div w:id="1301616172">
      <w:bodyDiv w:val="1"/>
      <w:marLeft w:val="0"/>
      <w:marRight w:val="0"/>
      <w:marTop w:val="0"/>
      <w:marBottom w:val="0"/>
      <w:divBdr>
        <w:top w:val="none" w:sz="0" w:space="0" w:color="auto"/>
        <w:left w:val="none" w:sz="0" w:space="0" w:color="auto"/>
        <w:bottom w:val="none" w:sz="0" w:space="0" w:color="auto"/>
        <w:right w:val="none" w:sz="0" w:space="0" w:color="auto"/>
      </w:divBdr>
    </w:div>
    <w:div w:id="1301685831">
      <w:bodyDiv w:val="1"/>
      <w:marLeft w:val="0"/>
      <w:marRight w:val="0"/>
      <w:marTop w:val="0"/>
      <w:marBottom w:val="0"/>
      <w:divBdr>
        <w:top w:val="none" w:sz="0" w:space="0" w:color="auto"/>
        <w:left w:val="none" w:sz="0" w:space="0" w:color="auto"/>
        <w:bottom w:val="none" w:sz="0" w:space="0" w:color="auto"/>
        <w:right w:val="none" w:sz="0" w:space="0" w:color="auto"/>
      </w:divBdr>
    </w:div>
    <w:div w:id="1301839411">
      <w:bodyDiv w:val="1"/>
      <w:marLeft w:val="0"/>
      <w:marRight w:val="0"/>
      <w:marTop w:val="0"/>
      <w:marBottom w:val="0"/>
      <w:divBdr>
        <w:top w:val="none" w:sz="0" w:space="0" w:color="auto"/>
        <w:left w:val="none" w:sz="0" w:space="0" w:color="auto"/>
        <w:bottom w:val="none" w:sz="0" w:space="0" w:color="auto"/>
        <w:right w:val="none" w:sz="0" w:space="0" w:color="auto"/>
      </w:divBdr>
    </w:div>
    <w:div w:id="1302268065">
      <w:bodyDiv w:val="1"/>
      <w:marLeft w:val="0"/>
      <w:marRight w:val="0"/>
      <w:marTop w:val="0"/>
      <w:marBottom w:val="0"/>
      <w:divBdr>
        <w:top w:val="none" w:sz="0" w:space="0" w:color="auto"/>
        <w:left w:val="none" w:sz="0" w:space="0" w:color="auto"/>
        <w:bottom w:val="none" w:sz="0" w:space="0" w:color="auto"/>
        <w:right w:val="none" w:sz="0" w:space="0" w:color="auto"/>
      </w:divBdr>
    </w:div>
    <w:div w:id="1302610383">
      <w:bodyDiv w:val="1"/>
      <w:marLeft w:val="0"/>
      <w:marRight w:val="0"/>
      <w:marTop w:val="0"/>
      <w:marBottom w:val="0"/>
      <w:divBdr>
        <w:top w:val="none" w:sz="0" w:space="0" w:color="auto"/>
        <w:left w:val="none" w:sz="0" w:space="0" w:color="auto"/>
        <w:bottom w:val="none" w:sz="0" w:space="0" w:color="auto"/>
        <w:right w:val="none" w:sz="0" w:space="0" w:color="auto"/>
      </w:divBdr>
    </w:div>
    <w:div w:id="1302922933">
      <w:bodyDiv w:val="1"/>
      <w:marLeft w:val="0"/>
      <w:marRight w:val="0"/>
      <w:marTop w:val="0"/>
      <w:marBottom w:val="0"/>
      <w:divBdr>
        <w:top w:val="none" w:sz="0" w:space="0" w:color="auto"/>
        <w:left w:val="none" w:sz="0" w:space="0" w:color="auto"/>
        <w:bottom w:val="none" w:sz="0" w:space="0" w:color="auto"/>
        <w:right w:val="none" w:sz="0" w:space="0" w:color="auto"/>
      </w:divBdr>
    </w:div>
    <w:div w:id="1303072169">
      <w:bodyDiv w:val="1"/>
      <w:marLeft w:val="0"/>
      <w:marRight w:val="0"/>
      <w:marTop w:val="0"/>
      <w:marBottom w:val="0"/>
      <w:divBdr>
        <w:top w:val="none" w:sz="0" w:space="0" w:color="auto"/>
        <w:left w:val="none" w:sz="0" w:space="0" w:color="auto"/>
        <w:bottom w:val="none" w:sz="0" w:space="0" w:color="auto"/>
        <w:right w:val="none" w:sz="0" w:space="0" w:color="auto"/>
      </w:divBdr>
    </w:div>
    <w:div w:id="1303580493">
      <w:bodyDiv w:val="1"/>
      <w:marLeft w:val="0"/>
      <w:marRight w:val="0"/>
      <w:marTop w:val="0"/>
      <w:marBottom w:val="0"/>
      <w:divBdr>
        <w:top w:val="none" w:sz="0" w:space="0" w:color="auto"/>
        <w:left w:val="none" w:sz="0" w:space="0" w:color="auto"/>
        <w:bottom w:val="none" w:sz="0" w:space="0" w:color="auto"/>
        <w:right w:val="none" w:sz="0" w:space="0" w:color="auto"/>
      </w:divBdr>
    </w:div>
    <w:div w:id="1304503188">
      <w:bodyDiv w:val="1"/>
      <w:marLeft w:val="0"/>
      <w:marRight w:val="0"/>
      <w:marTop w:val="0"/>
      <w:marBottom w:val="0"/>
      <w:divBdr>
        <w:top w:val="none" w:sz="0" w:space="0" w:color="auto"/>
        <w:left w:val="none" w:sz="0" w:space="0" w:color="auto"/>
        <w:bottom w:val="none" w:sz="0" w:space="0" w:color="auto"/>
        <w:right w:val="none" w:sz="0" w:space="0" w:color="auto"/>
      </w:divBdr>
    </w:div>
    <w:div w:id="1304579393">
      <w:bodyDiv w:val="1"/>
      <w:marLeft w:val="0"/>
      <w:marRight w:val="0"/>
      <w:marTop w:val="0"/>
      <w:marBottom w:val="0"/>
      <w:divBdr>
        <w:top w:val="none" w:sz="0" w:space="0" w:color="auto"/>
        <w:left w:val="none" w:sz="0" w:space="0" w:color="auto"/>
        <w:bottom w:val="none" w:sz="0" w:space="0" w:color="auto"/>
        <w:right w:val="none" w:sz="0" w:space="0" w:color="auto"/>
      </w:divBdr>
    </w:div>
    <w:div w:id="1304919745">
      <w:bodyDiv w:val="1"/>
      <w:marLeft w:val="0"/>
      <w:marRight w:val="0"/>
      <w:marTop w:val="0"/>
      <w:marBottom w:val="0"/>
      <w:divBdr>
        <w:top w:val="none" w:sz="0" w:space="0" w:color="auto"/>
        <w:left w:val="none" w:sz="0" w:space="0" w:color="auto"/>
        <w:bottom w:val="none" w:sz="0" w:space="0" w:color="auto"/>
        <w:right w:val="none" w:sz="0" w:space="0" w:color="auto"/>
      </w:divBdr>
    </w:div>
    <w:div w:id="1305350797">
      <w:bodyDiv w:val="1"/>
      <w:marLeft w:val="0"/>
      <w:marRight w:val="0"/>
      <w:marTop w:val="0"/>
      <w:marBottom w:val="0"/>
      <w:divBdr>
        <w:top w:val="none" w:sz="0" w:space="0" w:color="auto"/>
        <w:left w:val="none" w:sz="0" w:space="0" w:color="auto"/>
        <w:bottom w:val="none" w:sz="0" w:space="0" w:color="auto"/>
        <w:right w:val="none" w:sz="0" w:space="0" w:color="auto"/>
      </w:divBdr>
    </w:div>
    <w:div w:id="1305433467">
      <w:bodyDiv w:val="1"/>
      <w:marLeft w:val="0"/>
      <w:marRight w:val="0"/>
      <w:marTop w:val="0"/>
      <w:marBottom w:val="0"/>
      <w:divBdr>
        <w:top w:val="none" w:sz="0" w:space="0" w:color="auto"/>
        <w:left w:val="none" w:sz="0" w:space="0" w:color="auto"/>
        <w:bottom w:val="none" w:sz="0" w:space="0" w:color="auto"/>
        <w:right w:val="none" w:sz="0" w:space="0" w:color="auto"/>
      </w:divBdr>
    </w:div>
    <w:div w:id="1305618795">
      <w:bodyDiv w:val="1"/>
      <w:marLeft w:val="0"/>
      <w:marRight w:val="0"/>
      <w:marTop w:val="0"/>
      <w:marBottom w:val="0"/>
      <w:divBdr>
        <w:top w:val="none" w:sz="0" w:space="0" w:color="auto"/>
        <w:left w:val="none" w:sz="0" w:space="0" w:color="auto"/>
        <w:bottom w:val="none" w:sz="0" w:space="0" w:color="auto"/>
        <w:right w:val="none" w:sz="0" w:space="0" w:color="auto"/>
      </w:divBdr>
    </w:div>
    <w:div w:id="1306473403">
      <w:bodyDiv w:val="1"/>
      <w:marLeft w:val="0"/>
      <w:marRight w:val="0"/>
      <w:marTop w:val="0"/>
      <w:marBottom w:val="0"/>
      <w:divBdr>
        <w:top w:val="none" w:sz="0" w:space="0" w:color="auto"/>
        <w:left w:val="none" w:sz="0" w:space="0" w:color="auto"/>
        <w:bottom w:val="none" w:sz="0" w:space="0" w:color="auto"/>
        <w:right w:val="none" w:sz="0" w:space="0" w:color="auto"/>
      </w:divBdr>
    </w:div>
    <w:div w:id="1307275247">
      <w:bodyDiv w:val="1"/>
      <w:marLeft w:val="0"/>
      <w:marRight w:val="0"/>
      <w:marTop w:val="0"/>
      <w:marBottom w:val="0"/>
      <w:divBdr>
        <w:top w:val="none" w:sz="0" w:space="0" w:color="auto"/>
        <w:left w:val="none" w:sz="0" w:space="0" w:color="auto"/>
        <w:bottom w:val="none" w:sz="0" w:space="0" w:color="auto"/>
        <w:right w:val="none" w:sz="0" w:space="0" w:color="auto"/>
      </w:divBdr>
    </w:div>
    <w:div w:id="1307474532">
      <w:bodyDiv w:val="1"/>
      <w:marLeft w:val="0"/>
      <w:marRight w:val="0"/>
      <w:marTop w:val="0"/>
      <w:marBottom w:val="0"/>
      <w:divBdr>
        <w:top w:val="none" w:sz="0" w:space="0" w:color="auto"/>
        <w:left w:val="none" w:sz="0" w:space="0" w:color="auto"/>
        <w:bottom w:val="none" w:sz="0" w:space="0" w:color="auto"/>
        <w:right w:val="none" w:sz="0" w:space="0" w:color="auto"/>
      </w:divBdr>
    </w:div>
    <w:div w:id="1307933240">
      <w:bodyDiv w:val="1"/>
      <w:marLeft w:val="0"/>
      <w:marRight w:val="0"/>
      <w:marTop w:val="0"/>
      <w:marBottom w:val="0"/>
      <w:divBdr>
        <w:top w:val="none" w:sz="0" w:space="0" w:color="auto"/>
        <w:left w:val="none" w:sz="0" w:space="0" w:color="auto"/>
        <w:bottom w:val="none" w:sz="0" w:space="0" w:color="auto"/>
        <w:right w:val="none" w:sz="0" w:space="0" w:color="auto"/>
      </w:divBdr>
    </w:div>
    <w:div w:id="1308123544">
      <w:bodyDiv w:val="1"/>
      <w:marLeft w:val="0"/>
      <w:marRight w:val="0"/>
      <w:marTop w:val="0"/>
      <w:marBottom w:val="0"/>
      <w:divBdr>
        <w:top w:val="none" w:sz="0" w:space="0" w:color="auto"/>
        <w:left w:val="none" w:sz="0" w:space="0" w:color="auto"/>
        <w:bottom w:val="none" w:sz="0" w:space="0" w:color="auto"/>
        <w:right w:val="none" w:sz="0" w:space="0" w:color="auto"/>
      </w:divBdr>
    </w:div>
    <w:div w:id="1308436891">
      <w:bodyDiv w:val="1"/>
      <w:marLeft w:val="0"/>
      <w:marRight w:val="0"/>
      <w:marTop w:val="0"/>
      <w:marBottom w:val="0"/>
      <w:divBdr>
        <w:top w:val="none" w:sz="0" w:space="0" w:color="auto"/>
        <w:left w:val="none" w:sz="0" w:space="0" w:color="auto"/>
        <w:bottom w:val="none" w:sz="0" w:space="0" w:color="auto"/>
        <w:right w:val="none" w:sz="0" w:space="0" w:color="auto"/>
      </w:divBdr>
    </w:div>
    <w:div w:id="1308438827">
      <w:bodyDiv w:val="1"/>
      <w:marLeft w:val="0"/>
      <w:marRight w:val="0"/>
      <w:marTop w:val="0"/>
      <w:marBottom w:val="0"/>
      <w:divBdr>
        <w:top w:val="none" w:sz="0" w:space="0" w:color="auto"/>
        <w:left w:val="none" w:sz="0" w:space="0" w:color="auto"/>
        <w:bottom w:val="none" w:sz="0" w:space="0" w:color="auto"/>
        <w:right w:val="none" w:sz="0" w:space="0" w:color="auto"/>
      </w:divBdr>
    </w:div>
    <w:div w:id="1308510442">
      <w:bodyDiv w:val="1"/>
      <w:marLeft w:val="0"/>
      <w:marRight w:val="0"/>
      <w:marTop w:val="0"/>
      <w:marBottom w:val="0"/>
      <w:divBdr>
        <w:top w:val="none" w:sz="0" w:space="0" w:color="auto"/>
        <w:left w:val="none" w:sz="0" w:space="0" w:color="auto"/>
        <w:bottom w:val="none" w:sz="0" w:space="0" w:color="auto"/>
        <w:right w:val="none" w:sz="0" w:space="0" w:color="auto"/>
      </w:divBdr>
    </w:div>
    <w:div w:id="1308708421">
      <w:bodyDiv w:val="1"/>
      <w:marLeft w:val="0"/>
      <w:marRight w:val="0"/>
      <w:marTop w:val="0"/>
      <w:marBottom w:val="0"/>
      <w:divBdr>
        <w:top w:val="none" w:sz="0" w:space="0" w:color="auto"/>
        <w:left w:val="none" w:sz="0" w:space="0" w:color="auto"/>
        <w:bottom w:val="none" w:sz="0" w:space="0" w:color="auto"/>
        <w:right w:val="none" w:sz="0" w:space="0" w:color="auto"/>
      </w:divBdr>
    </w:div>
    <w:div w:id="1309172014">
      <w:bodyDiv w:val="1"/>
      <w:marLeft w:val="0"/>
      <w:marRight w:val="0"/>
      <w:marTop w:val="0"/>
      <w:marBottom w:val="0"/>
      <w:divBdr>
        <w:top w:val="none" w:sz="0" w:space="0" w:color="auto"/>
        <w:left w:val="none" w:sz="0" w:space="0" w:color="auto"/>
        <w:bottom w:val="none" w:sz="0" w:space="0" w:color="auto"/>
        <w:right w:val="none" w:sz="0" w:space="0" w:color="auto"/>
      </w:divBdr>
    </w:div>
    <w:div w:id="1309432330">
      <w:bodyDiv w:val="1"/>
      <w:marLeft w:val="0"/>
      <w:marRight w:val="0"/>
      <w:marTop w:val="0"/>
      <w:marBottom w:val="0"/>
      <w:divBdr>
        <w:top w:val="none" w:sz="0" w:space="0" w:color="auto"/>
        <w:left w:val="none" w:sz="0" w:space="0" w:color="auto"/>
        <w:bottom w:val="none" w:sz="0" w:space="0" w:color="auto"/>
        <w:right w:val="none" w:sz="0" w:space="0" w:color="auto"/>
      </w:divBdr>
    </w:div>
    <w:div w:id="1309557593">
      <w:bodyDiv w:val="1"/>
      <w:marLeft w:val="0"/>
      <w:marRight w:val="0"/>
      <w:marTop w:val="0"/>
      <w:marBottom w:val="0"/>
      <w:divBdr>
        <w:top w:val="none" w:sz="0" w:space="0" w:color="auto"/>
        <w:left w:val="none" w:sz="0" w:space="0" w:color="auto"/>
        <w:bottom w:val="none" w:sz="0" w:space="0" w:color="auto"/>
        <w:right w:val="none" w:sz="0" w:space="0" w:color="auto"/>
      </w:divBdr>
    </w:div>
    <w:div w:id="1309701335">
      <w:bodyDiv w:val="1"/>
      <w:marLeft w:val="0"/>
      <w:marRight w:val="0"/>
      <w:marTop w:val="0"/>
      <w:marBottom w:val="0"/>
      <w:divBdr>
        <w:top w:val="none" w:sz="0" w:space="0" w:color="auto"/>
        <w:left w:val="none" w:sz="0" w:space="0" w:color="auto"/>
        <w:bottom w:val="none" w:sz="0" w:space="0" w:color="auto"/>
        <w:right w:val="none" w:sz="0" w:space="0" w:color="auto"/>
      </w:divBdr>
    </w:div>
    <w:div w:id="1310282398">
      <w:bodyDiv w:val="1"/>
      <w:marLeft w:val="0"/>
      <w:marRight w:val="0"/>
      <w:marTop w:val="0"/>
      <w:marBottom w:val="0"/>
      <w:divBdr>
        <w:top w:val="none" w:sz="0" w:space="0" w:color="auto"/>
        <w:left w:val="none" w:sz="0" w:space="0" w:color="auto"/>
        <w:bottom w:val="none" w:sz="0" w:space="0" w:color="auto"/>
        <w:right w:val="none" w:sz="0" w:space="0" w:color="auto"/>
      </w:divBdr>
    </w:div>
    <w:div w:id="1310398099">
      <w:bodyDiv w:val="1"/>
      <w:marLeft w:val="0"/>
      <w:marRight w:val="0"/>
      <w:marTop w:val="0"/>
      <w:marBottom w:val="0"/>
      <w:divBdr>
        <w:top w:val="none" w:sz="0" w:space="0" w:color="auto"/>
        <w:left w:val="none" w:sz="0" w:space="0" w:color="auto"/>
        <w:bottom w:val="none" w:sz="0" w:space="0" w:color="auto"/>
        <w:right w:val="none" w:sz="0" w:space="0" w:color="auto"/>
      </w:divBdr>
    </w:div>
    <w:div w:id="1310675496">
      <w:bodyDiv w:val="1"/>
      <w:marLeft w:val="0"/>
      <w:marRight w:val="0"/>
      <w:marTop w:val="0"/>
      <w:marBottom w:val="0"/>
      <w:divBdr>
        <w:top w:val="none" w:sz="0" w:space="0" w:color="auto"/>
        <w:left w:val="none" w:sz="0" w:space="0" w:color="auto"/>
        <w:bottom w:val="none" w:sz="0" w:space="0" w:color="auto"/>
        <w:right w:val="none" w:sz="0" w:space="0" w:color="auto"/>
      </w:divBdr>
    </w:div>
    <w:div w:id="1310983649">
      <w:bodyDiv w:val="1"/>
      <w:marLeft w:val="0"/>
      <w:marRight w:val="0"/>
      <w:marTop w:val="0"/>
      <w:marBottom w:val="0"/>
      <w:divBdr>
        <w:top w:val="none" w:sz="0" w:space="0" w:color="auto"/>
        <w:left w:val="none" w:sz="0" w:space="0" w:color="auto"/>
        <w:bottom w:val="none" w:sz="0" w:space="0" w:color="auto"/>
        <w:right w:val="none" w:sz="0" w:space="0" w:color="auto"/>
      </w:divBdr>
    </w:div>
    <w:div w:id="1311058443">
      <w:bodyDiv w:val="1"/>
      <w:marLeft w:val="0"/>
      <w:marRight w:val="0"/>
      <w:marTop w:val="0"/>
      <w:marBottom w:val="0"/>
      <w:divBdr>
        <w:top w:val="none" w:sz="0" w:space="0" w:color="auto"/>
        <w:left w:val="none" w:sz="0" w:space="0" w:color="auto"/>
        <w:bottom w:val="none" w:sz="0" w:space="0" w:color="auto"/>
        <w:right w:val="none" w:sz="0" w:space="0" w:color="auto"/>
      </w:divBdr>
    </w:div>
    <w:div w:id="1311250131">
      <w:bodyDiv w:val="1"/>
      <w:marLeft w:val="0"/>
      <w:marRight w:val="0"/>
      <w:marTop w:val="0"/>
      <w:marBottom w:val="0"/>
      <w:divBdr>
        <w:top w:val="none" w:sz="0" w:space="0" w:color="auto"/>
        <w:left w:val="none" w:sz="0" w:space="0" w:color="auto"/>
        <w:bottom w:val="none" w:sz="0" w:space="0" w:color="auto"/>
        <w:right w:val="none" w:sz="0" w:space="0" w:color="auto"/>
      </w:divBdr>
    </w:div>
    <w:div w:id="1311327360">
      <w:bodyDiv w:val="1"/>
      <w:marLeft w:val="0"/>
      <w:marRight w:val="0"/>
      <w:marTop w:val="0"/>
      <w:marBottom w:val="0"/>
      <w:divBdr>
        <w:top w:val="none" w:sz="0" w:space="0" w:color="auto"/>
        <w:left w:val="none" w:sz="0" w:space="0" w:color="auto"/>
        <w:bottom w:val="none" w:sz="0" w:space="0" w:color="auto"/>
        <w:right w:val="none" w:sz="0" w:space="0" w:color="auto"/>
      </w:divBdr>
    </w:div>
    <w:div w:id="1311792434">
      <w:bodyDiv w:val="1"/>
      <w:marLeft w:val="0"/>
      <w:marRight w:val="0"/>
      <w:marTop w:val="0"/>
      <w:marBottom w:val="0"/>
      <w:divBdr>
        <w:top w:val="none" w:sz="0" w:space="0" w:color="auto"/>
        <w:left w:val="none" w:sz="0" w:space="0" w:color="auto"/>
        <w:bottom w:val="none" w:sz="0" w:space="0" w:color="auto"/>
        <w:right w:val="none" w:sz="0" w:space="0" w:color="auto"/>
      </w:divBdr>
    </w:div>
    <w:div w:id="1312103659">
      <w:bodyDiv w:val="1"/>
      <w:marLeft w:val="0"/>
      <w:marRight w:val="0"/>
      <w:marTop w:val="0"/>
      <w:marBottom w:val="0"/>
      <w:divBdr>
        <w:top w:val="none" w:sz="0" w:space="0" w:color="auto"/>
        <w:left w:val="none" w:sz="0" w:space="0" w:color="auto"/>
        <w:bottom w:val="none" w:sz="0" w:space="0" w:color="auto"/>
        <w:right w:val="none" w:sz="0" w:space="0" w:color="auto"/>
      </w:divBdr>
    </w:div>
    <w:div w:id="1315330545">
      <w:bodyDiv w:val="1"/>
      <w:marLeft w:val="0"/>
      <w:marRight w:val="0"/>
      <w:marTop w:val="0"/>
      <w:marBottom w:val="0"/>
      <w:divBdr>
        <w:top w:val="none" w:sz="0" w:space="0" w:color="auto"/>
        <w:left w:val="none" w:sz="0" w:space="0" w:color="auto"/>
        <w:bottom w:val="none" w:sz="0" w:space="0" w:color="auto"/>
        <w:right w:val="none" w:sz="0" w:space="0" w:color="auto"/>
      </w:divBdr>
    </w:div>
    <w:div w:id="1316759951">
      <w:bodyDiv w:val="1"/>
      <w:marLeft w:val="0"/>
      <w:marRight w:val="0"/>
      <w:marTop w:val="0"/>
      <w:marBottom w:val="0"/>
      <w:divBdr>
        <w:top w:val="none" w:sz="0" w:space="0" w:color="auto"/>
        <w:left w:val="none" w:sz="0" w:space="0" w:color="auto"/>
        <w:bottom w:val="none" w:sz="0" w:space="0" w:color="auto"/>
        <w:right w:val="none" w:sz="0" w:space="0" w:color="auto"/>
      </w:divBdr>
    </w:div>
    <w:div w:id="1317107782">
      <w:bodyDiv w:val="1"/>
      <w:marLeft w:val="0"/>
      <w:marRight w:val="0"/>
      <w:marTop w:val="0"/>
      <w:marBottom w:val="0"/>
      <w:divBdr>
        <w:top w:val="none" w:sz="0" w:space="0" w:color="auto"/>
        <w:left w:val="none" w:sz="0" w:space="0" w:color="auto"/>
        <w:bottom w:val="none" w:sz="0" w:space="0" w:color="auto"/>
        <w:right w:val="none" w:sz="0" w:space="0" w:color="auto"/>
      </w:divBdr>
    </w:div>
    <w:div w:id="1317608478">
      <w:bodyDiv w:val="1"/>
      <w:marLeft w:val="0"/>
      <w:marRight w:val="0"/>
      <w:marTop w:val="0"/>
      <w:marBottom w:val="0"/>
      <w:divBdr>
        <w:top w:val="none" w:sz="0" w:space="0" w:color="auto"/>
        <w:left w:val="none" w:sz="0" w:space="0" w:color="auto"/>
        <w:bottom w:val="none" w:sz="0" w:space="0" w:color="auto"/>
        <w:right w:val="none" w:sz="0" w:space="0" w:color="auto"/>
      </w:divBdr>
    </w:div>
    <w:div w:id="1318848347">
      <w:bodyDiv w:val="1"/>
      <w:marLeft w:val="0"/>
      <w:marRight w:val="0"/>
      <w:marTop w:val="0"/>
      <w:marBottom w:val="0"/>
      <w:divBdr>
        <w:top w:val="none" w:sz="0" w:space="0" w:color="auto"/>
        <w:left w:val="none" w:sz="0" w:space="0" w:color="auto"/>
        <w:bottom w:val="none" w:sz="0" w:space="0" w:color="auto"/>
        <w:right w:val="none" w:sz="0" w:space="0" w:color="auto"/>
      </w:divBdr>
    </w:div>
    <w:div w:id="1319502313">
      <w:bodyDiv w:val="1"/>
      <w:marLeft w:val="0"/>
      <w:marRight w:val="0"/>
      <w:marTop w:val="0"/>
      <w:marBottom w:val="0"/>
      <w:divBdr>
        <w:top w:val="none" w:sz="0" w:space="0" w:color="auto"/>
        <w:left w:val="none" w:sz="0" w:space="0" w:color="auto"/>
        <w:bottom w:val="none" w:sz="0" w:space="0" w:color="auto"/>
        <w:right w:val="none" w:sz="0" w:space="0" w:color="auto"/>
      </w:divBdr>
    </w:div>
    <w:div w:id="1319840900">
      <w:bodyDiv w:val="1"/>
      <w:marLeft w:val="0"/>
      <w:marRight w:val="0"/>
      <w:marTop w:val="0"/>
      <w:marBottom w:val="0"/>
      <w:divBdr>
        <w:top w:val="none" w:sz="0" w:space="0" w:color="auto"/>
        <w:left w:val="none" w:sz="0" w:space="0" w:color="auto"/>
        <w:bottom w:val="none" w:sz="0" w:space="0" w:color="auto"/>
        <w:right w:val="none" w:sz="0" w:space="0" w:color="auto"/>
      </w:divBdr>
    </w:div>
    <w:div w:id="1319841296">
      <w:bodyDiv w:val="1"/>
      <w:marLeft w:val="0"/>
      <w:marRight w:val="0"/>
      <w:marTop w:val="0"/>
      <w:marBottom w:val="0"/>
      <w:divBdr>
        <w:top w:val="none" w:sz="0" w:space="0" w:color="auto"/>
        <w:left w:val="none" w:sz="0" w:space="0" w:color="auto"/>
        <w:bottom w:val="none" w:sz="0" w:space="0" w:color="auto"/>
        <w:right w:val="none" w:sz="0" w:space="0" w:color="auto"/>
      </w:divBdr>
    </w:div>
    <w:div w:id="1319847921">
      <w:bodyDiv w:val="1"/>
      <w:marLeft w:val="0"/>
      <w:marRight w:val="0"/>
      <w:marTop w:val="0"/>
      <w:marBottom w:val="0"/>
      <w:divBdr>
        <w:top w:val="none" w:sz="0" w:space="0" w:color="auto"/>
        <w:left w:val="none" w:sz="0" w:space="0" w:color="auto"/>
        <w:bottom w:val="none" w:sz="0" w:space="0" w:color="auto"/>
        <w:right w:val="none" w:sz="0" w:space="0" w:color="auto"/>
      </w:divBdr>
    </w:div>
    <w:div w:id="1319916809">
      <w:bodyDiv w:val="1"/>
      <w:marLeft w:val="0"/>
      <w:marRight w:val="0"/>
      <w:marTop w:val="0"/>
      <w:marBottom w:val="0"/>
      <w:divBdr>
        <w:top w:val="none" w:sz="0" w:space="0" w:color="auto"/>
        <w:left w:val="none" w:sz="0" w:space="0" w:color="auto"/>
        <w:bottom w:val="none" w:sz="0" w:space="0" w:color="auto"/>
        <w:right w:val="none" w:sz="0" w:space="0" w:color="auto"/>
      </w:divBdr>
    </w:div>
    <w:div w:id="1320502703">
      <w:bodyDiv w:val="1"/>
      <w:marLeft w:val="0"/>
      <w:marRight w:val="0"/>
      <w:marTop w:val="0"/>
      <w:marBottom w:val="0"/>
      <w:divBdr>
        <w:top w:val="none" w:sz="0" w:space="0" w:color="auto"/>
        <w:left w:val="none" w:sz="0" w:space="0" w:color="auto"/>
        <w:bottom w:val="none" w:sz="0" w:space="0" w:color="auto"/>
        <w:right w:val="none" w:sz="0" w:space="0" w:color="auto"/>
      </w:divBdr>
    </w:div>
    <w:div w:id="1320767503">
      <w:bodyDiv w:val="1"/>
      <w:marLeft w:val="0"/>
      <w:marRight w:val="0"/>
      <w:marTop w:val="0"/>
      <w:marBottom w:val="0"/>
      <w:divBdr>
        <w:top w:val="none" w:sz="0" w:space="0" w:color="auto"/>
        <w:left w:val="none" w:sz="0" w:space="0" w:color="auto"/>
        <w:bottom w:val="none" w:sz="0" w:space="0" w:color="auto"/>
        <w:right w:val="none" w:sz="0" w:space="0" w:color="auto"/>
      </w:divBdr>
    </w:div>
    <w:div w:id="1320891573">
      <w:bodyDiv w:val="1"/>
      <w:marLeft w:val="0"/>
      <w:marRight w:val="0"/>
      <w:marTop w:val="0"/>
      <w:marBottom w:val="0"/>
      <w:divBdr>
        <w:top w:val="none" w:sz="0" w:space="0" w:color="auto"/>
        <w:left w:val="none" w:sz="0" w:space="0" w:color="auto"/>
        <w:bottom w:val="none" w:sz="0" w:space="0" w:color="auto"/>
        <w:right w:val="none" w:sz="0" w:space="0" w:color="auto"/>
      </w:divBdr>
    </w:div>
    <w:div w:id="1321084387">
      <w:bodyDiv w:val="1"/>
      <w:marLeft w:val="0"/>
      <w:marRight w:val="0"/>
      <w:marTop w:val="0"/>
      <w:marBottom w:val="0"/>
      <w:divBdr>
        <w:top w:val="none" w:sz="0" w:space="0" w:color="auto"/>
        <w:left w:val="none" w:sz="0" w:space="0" w:color="auto"/>
        <w:bottom w:val="none" w:sz="0" w:space="0" w:color="auto"/>
        <w:right w:val="none" w:sz="0" w:space="0" w:color="auto"/>
      </w:divBdr>
    </w:div>
    <w:div w:id="1322150018">
      <w:bodyDiv w:val="1"/>
      <w:marLeft w:val="0"/>
      <w:marRight w:val="0"/>
      <w:marTop w:val="0"/>
      <w:marBottom w:val="0"/>
      <w:divBdr>
        <w:top w:val="none" w:sz="0" w:space="0" w:color="auto"/>
        <w:left w:val="none" w:sz="0" w:space="0" w:color="auto"/>
        <w:bottom w:val="none" w:sz="0" w:space="0" w:color="auto"/>
        <w:right w:val="none" w:sz="0" w:space="0" w:color="auto"/>
      </w:divBdr>
    </w:div>
    <w:div w:id="1322152523">
      <w:bodyDiv w:val="1"/>
      <w:marLeft w:val="0"/>
      <w:marRight w:val="0"/>
      <w:marTop w:val="0"/>
      <w:marBottom w:val="0"/>
      <w:divBdr>
        <w:top w:val="none" w:sz="0" w:space="0" w:color="auto"/>
        <w:left w:val="none" w:sz="0" w:space="0" w:color="auto"/>
        <w:bottom w:val="none" w:sz="0" w:space="0" w:color="auto"/>
        <w:right w:val="none" w:sz="0" w:space="0" w:color="auto"/>
      </w:divBdr>
    </w:div>
    <w:div w:id="1322393578">
      <w:bodyDiv w:val="1"/>
      <w:marLeft w:val="0"/>
      <w:marRight w:val="0"/>
      <w:marTop w:val="0"/>
      <w:marBottom w:val="0"/>
      <w:divBdr>
        <w:top w:val="none" w:sz="0" w:space="0" w:color="auto"/>
        <w:left w:val="none" w:sz="0" w:space="0" w:color="auto"/>
        <w:bottom w:val="none" w:sz="0" w:space="0" w:color="auto"/>
        <w:right w:val="none" w:sz="0" w:space="0" w:color="auto"/>
      </w:divBdr>
    </w:div>
    <w:div w:id="1322662947">
      <w:bodyDiv w:val="1"/>
      <w:marLeft w:val="0"/>
      <w:marRight w:val="0"/>
      <w:marTop w:val="0"/>
      <w:marBottom w:val="0"/>
      <w:divBdr>
        <w:top w:val="none" w:sz="0" w:space="0" w:color="auto"/>
        <w:left w:val="none" w:sz="0" w:space="0" w:color="auto"/>
        <w:bottom w:val="none" w:sz="0" w:space="0" w:color="auto"/>
        <w:right w:val="none" w:sz="0" w:space="0" w:color="auto"/>
      </w:divBdr>
    </w:div>
    <w:div w:id="1322853083">
      <w:bodyDiv w:val="1"/>
      <w:marLeft w:val="0"/>
      <w:marRight w:val="0"/>
      <w:marTop w:val="0"/>
      <w:marBottom w:val="0"/>
      <w:divBdr>
        <w:top w:val="none" w:sz="0" w:space="0" w:color="auto"/>
        <w:left w:val="none" w:sz="0" w:space="0" w:color="auto"/>
        <w:bottom w:val="none" w:sz="0" w:space="0" w:color="auto"/>
        <w:right w:val="none" w:sz="0" w:space="0" w:color="auto"/>
      </w:divBdr>
    </w:div>
    <w:div w:id="1323195700">
      <w:bodyDiv w:val="1"/>
      <w:marLeft w:val="0"/>
      <w:marRight w:val="0"/>
      <w:marTop w:val="0"/>
      <w:marBottom w:val="0"/>
      <w:divBdr>
        <w:top w:val="none" w:sz="0" w:space="0" w:color="auto"/>
        <w:left w:val="none" w:sz="0" w:space="0" w:color="auto"/>
        <w:bottom w:val="none" w:sz="0" w:space="0" w:color="auto"/>
        <w:right w:val="none" w:sz="0" w:space="0" w:color="auto"/>
      </w:divBdr>
    </w:div>
    <w:div w:id="1324316867">
      <w:bodyDiv w:val="1"/>
      <w:marLeft w:val="0"/>
      <w:marRight w:val="0"/>
      <w:marTop w:val="0"/>
      <w:marBottom w:val="0"/>
      <w:divBdr>
        <w:top w:val="none" w:sz="0" w:space="0" w:color="auto"/>
        <w:left w:val="none" w:sz="0" w:space="0" w:color="auto"/>
        <w:bottom w:val="none" w:sz="0" w:space="0" w:color="auto"/>
        <w:right w:val="none" w:sz="0" w:space="0" w:color="auto"/>
      </w:divBdr>
    </w:div>
    <w:div w:id="1324358677">
      <w:bodyDiv w:val="1"/>
      <w:marLeft w:val="0"/>
      <w:marRight w:val="0"/>
      <w:marTop w:val="0"/>
      <w:marBottom w:val="0"/>
      <w:divBdr>
        <w:top w:val="none" w:sz="0" w:space="0" w:color="auto"/>
        <w:left w:val="none" w:sz="0" w:space="0" w:color="auto"/>
        <w:bottom w:val="none" w:sz="0" w:space="0" w:color="auto"/>
        <w:right w:val="none" w:sz="0" w:space="0" w:color="auto"/>
      </w:divBdr>
    </w:div>
    <w:div w:id="1324427703">
      <w:bodyDiv w:val="1"/>
      <w:marLeft w:val="0"/>
      <w:marRight w:val="0"/>
      <w:marTop w:val="0"/>
      <w:marBottom w:val="0"/>
      <w:divBdr>
        <w:top w:val="none" w:sz="0" w:space="0" w:color="auto"/>
        <w:left w:val="none" w:sz="0" w:space="0" w:color="auto"/>
        <w:bottom w:val="none" w:sz="0" w:space="0" w:color="auto"/>
        <w:right w:val="none" w:sz="0" w:space="0" w:color="auto"/>
      </w:divBdr>
    </w:div>
    <w:div w:id="1325284339">
      <w:bodyDiv w:val="1"/>
      <w:marLeft w:val="0"/>
      <w:marRight w:val="0"/>
      <w:marTop w:val="0"/>
      <w:marBottom w:val="0"/>
      <w:divBdr>
        <w:top w:val="none" w:sz="0" w:space="0" w:color="auto"/>
        <w:left w:val="none" w:sz="0" w:space="0" w:color="auto"/>
        <w:bottom w:val="none" w:sz="0" w:space="0" w:color="auto"/>
        <w:right w:val="none" w:sz="0" w:space="0" w:color="auto"/>
      </w:divBdr>
    </w:div>
    <w:div w:id="1325428294">
      <w:bodyDiv w:val="1"/>
      <w:marLeft w:val="0"/>
      <w:marRight w:val="0"/>
      <w:marTop w:val="0"/>
      <w:marBottom w:val="0"/>
      <w:divBdr>
        <w:top w:val="none" w:sz="0" w:space="0" w:color="auto"/>
        <w:left w:val="none" w:sz="0" w:space="0" w:color="auto"/>
        <w:bottom w:val="none" w:sz="0" w:space="0" w:color="auto"/>
        <w:right w:val="none" w:sz="0" w:space="0" w:color="auto"/>
      </w:divBdr>
    </w:div>
    <w:div w:id="1326319071">
      <w:bodyDiv w:val="1"/>
      <w:marLeft w:val="0"/>
      <w:marRight w:val="0"/>
      <w:marTop w:val="0"/>
      <w:marBottom w:val="0"/>
      <w:divBdr>
        <w:top w:val="none" w:sz="0" w:space="0" w:color="auto"/>
        <w:left w:val="none" w:sz="0" w:space="0" w:color="auto"/>
        <w:bottom w:val="none" w:sz="0" w:space="0" w:color="auto"/>
        <w:right w:val="none" w:sz="0" w:space="0" w:color="auto"/>
      </w:divBdr>
    </w:div>
    <w:div w:id="1326323276">
      <w:bodyDiv w:val="1"/>
      <w:marLeft w:val="0"/>
      <w:marRight w:val="0"/>
      <w:marTop w:val="0"/>
      <w:marBottom w:val="0"/>
      <w:divBdr>
        <w:top w:val="none" w:sz="0" w:space="0" w:color="auto"/>
        <w:left w:val="none" w:sz="0" w:space="0" w:color="auto"/>
        <w:bottom w:val="none" w:sz="0" w:space="0" w:color="auto"/>
        <w:right w:val="none" w:sz="0" w:space="0" w:color="auto"/>
      </w:divBdr>
    </w:div>
    <w:div w:id="1326473303">
      <w:bodyDiv w:val="1"/>
      <w:marLeft w:val="0"/>
      <w:marRight w:val="0"/>
      <w:marTop w:val="0"/>
      <w:marBottom w:val="0"/>
      <w:divBdr>
        <w:top w:val="none" w:sz="0" w:space="0" w:color="auto"/>
        <w:left w:val="none" w:sz="0" w:space="0" w:color="auto"/>
        <w:bottom w:val="none" w:sz="0" w:space="0" w:color="auto"/>
        <w:right w:val="none" w:sz="0" w:space="0" w:color="auto"/>
      </w:divBdr>
    </w:div>
    <w:div w:id="1326782882">
      <w:bodyDiv w:val="1"/>
      <w:marLeft w:val="0"/>
      <w:marRight w:val="0"/>
      <w:marTop w:val="0"/>
      <w:marBottom w:val="0"/>
      <w:divBdr>
        <w:top w:val="none" w:sz="0" w:space="0" w:color="auto"/>
        <w:left w:val="none" w:sz="0" w:space="0" w:color="auto"/>
        <w:bottom w:val="none" w:sz="0" w:space="0" w:color="auto"/>
        <w:right w:val="none" w:sz="0" w:space="0" w:color="auto"/>
      </w:divBdr>
    </w:div>
    <w:div w:id="1328440758">
      <w:bodyDiv w:val="1"/>
      <w:marLeft w:val="0"/>
      <w:marRight w:val="0"/>
      <w:marTop w:val="0"/>
      <w:marBottom w:val="0"/>
      <w:divBdr>
        <w:top w:val="none" w:sz="0" w:space="0" w:color="auto"/>
        <w:left w:val="none" w:sz="0" w:space="0" w:color="auto"/>
        <w:bottom w:val="none" w:sz="0" w:space="0" w:color="auto"/>
        <w:right w:val="none" w:sz="0" w:space="0" w:color="auto"/>
      </w:divBdr>
    </w:div>
    <w:div w:id="1328902963">
      <w:bodyDiv w:val="1"/>
      <w:marLeft w:val="0"/>
      <w:marRight w:val="0"/>
      <w:marTop w:val="0"/>
      <w:marBottom w:val="0"/>
      <w:divBdr>
        <w:top w:val="none" w:sz="0" w:space="0" w:color="auto"/>
        <w:left w:val="none" w:sz="0" w:space="0" w:color="auto"/>
        <w:bottom w:val="none" w:sz="0" w:space="0" w:color="auto"/>
        <w:right w:val="none" w:sz="0" w:space="0" w:color="auto"/>
      </w:divBdr>
    </w:div>
    <w:div w:id="1329167238">
      <w:bodyDiv w:val="1"/>
      <w:marLeft w:val="0"/>
      <w:marRight w:val="0"/>
      <w:marTop w:val="0"/>
      <w:marBottom w:val="0"/>
      <w:divBdr>
        <w:top w:val="none" w:sz="0" w:space="0" w:color="auto"/>
        <w:left w:val="none" w:sz="0" w:space="0" w:color="auto"/>
        <w:bottom w:val="none" w:sz="0" w:space="0" w:color="auto"/>
        <w:right w:val="none" w:sz="0" w:space="0" w:color="auto"/>
      </w:divBdr>
    </w:div>
    <w:div w:id="1329167443">
      <w:bodyDiv w:val="1"/>
      <w:marLeft w:val="0"/>
      <w:marRight w:val="0"/>
      <w:marTop w:val="0"/>
      <w:marBottom w:val="0"/>
      <w:divBdr>
        <w:top w:val="none" w:sz="0" w:space="0" w:color="auto"/>
        <w:left w:val="none" w:sz="0" w:space="0" w:color="auto"/>
        <w:bottom w:val="none" w:sz="0" w:space="0" w:color="auto"/>
        <w:right w:val="none" w:sz="0" w:space="0" w:color="auto"/>
      </w:divBdr>
    </w:div>
    <w:div w:id="1329167615">
      <w:bodyDiv w:val="1"/>
      <w:marLeft w:val="0"/>
      <w:marRight w:val="0"/>
      <w:marTop w:val="0"/>
      <w:marBottom w:val="0"/>
      <w:divBdr>
        <w:top w:val="none" w:sz="0" w:space="0" w:color="auto"/>
        <w:left w:val="none" w:sz="0" w:space="0" w:color="auto"/>
        <w:bottom w:val="none" w:sz="0" w:space="0" w:color="auto"/>
        <w:right w:val="none" w:sz="0" w:space="0" w:color="auto"/>
      </w:divBdr>
    </w:div>
    <w:div w:id="1329211692">
      <w:bodyDiv w:val="1"/>
      <w:marLeft w:val="0"/>
      <w:marRight w:val="0"/>
      <w:marTop w:val="0"/>
      <w:marBottom w:val="0"/>
      <w:divBdr>
        <w:top w:val="none" w:sz="0" w:space="0" w:color="auto"/>
        <w:left w:val="none" w:sz="0" w:space="0" w:color="auto"/>
        <w:bottom w:val="none" w:sz="0" w:space="0" w:color="auto"/>
        <w:right w:val="none" w:sz="0" w:space="0" w:color="auto"/>
      </w:divBdr>
    </w:div>
    <w:div w:id="1329672727">
      <w:bodyDiv w:val="1"/>
      <w:marLeft w:val="0"/>
      <w:marRight w:val="0"/>
      <w:marTop w:val="0"/>
      <w:marBottom w:val="0"/>
      <w:divBdr>
        <w:top w:val="none" w:sz="0" w:space="0" w:color="auto"/>
        <w:left w:val="none" w:sz="0" w:space="0" w:color="auto"/>
        <w:bottom w:val="none" w:sz="0" w:space="0" w:color="auto"/>
        <w:right w:val="none" w:sz="0" w:space="0" w:color="auto"/>
      </w:divBdr>
    </w:div>
    <w:div w:id="1329752768">
      <w:bodyDiv w:val="1"/>
      <w:marLeft w:val="0"/>
      <w:marRight w:val="0"/>
      <w:marTop w:val="0"/>
      <w:marBottom w:val="0"/>
      <w:divBdr>
        <w:top w:val="none" w:sz="0" w:space="0" w:color="auto"/>
        <w:left w:val="none" w:sz="0" w:space="0" w:color="auto"/>
        <w:bottom w:val="none" w:sz="0" w:space="0" w:color="auto"/>
        <w:right w:val="none" w:sz="0" w:space="0" w:color="auto"/>
      </w:divBdr>
    </w:div>
    <w:div w:id="1329753988">
      <w:bodyDiv w:val="1"/>
      <w:marLeft w:val="0"/>
      <w:marRight w:val="0"/>
      <w:marTop w:val="0"/>
      <w:marBottom w:val="0"/>
      <w:divBdr>
        <w:top w:val="none" w:sz="0" w:space="0" w:color="auto"/>
        <w:left w:val="none" w:sz="0" w:space="0" w:color="auto"/>
        <w:bottom w:val="none" w:sz="0" w:space="0" w:color="auto"/>
        <w:right w:val="none" w:sz="0" w:space="0" w:color="auto"/>
      </w:divBdr>
    </w:div>
    <w:div w:id="1329867699">
      <w:bodyDiv w:val="1"/>
      <w:marLeft w:val="0"/>
      <w:marRight w:val="0"/>
      <w:marTop w:val="0"/>
      <w:marBottom w:val="0"/>
      <w:divBdr>
        <w:top w:val="none" w:sz="0" w:space="0" w:color="auto"/>
        <w:left w:val="none" w:sz="0" w:space="0" w:color="auto"/>
        <w:bottom w:val="none" w:sz="0" w:space="0" w:color="auto"/>
        <w:right w:val="none" w:sz="0" w:space="0" w:color="auto"/>
      </w:divBdr>
    </w:div>
    <w:div w:id="1330138020">
      <w:bodyDiv w:val="1"/>
      <w:marLeft w:val="0"/>
      <w:marRight w:val="0"/>
      <w:marTop w:val="0"/>
      <w:marBottom w:val="0"/>
      <w:divBdr>
        <w:top w:val="none" w:sz="0" w:space="0" w:color="auto"/>
        <w:left w:val="none" w:sz="0" w:space="0" w:color="auto"/>
        <w:bottom w:val="none" w:sz="0" w:space="0" w:color="auto"/>
        <w:right w:val="none" w:sz="0" w:space="0" w:color="auto"/>
      </w:divBdr>
    </w:div>
    <w:div w:id="1330675172">
      <w:bodyDiv w:val="1"/>
      <w:marLeft w:val="0"/>
      <w:marRight w:val="0"/>
      <w:marTop w:val="0"/>
      <w:marBottom w:val="0"/>
      <w:divBdr>
        <w:top w:val="none" w:sz="0" w:space="0" w:color="auto"/>
        <w:left w:val="none" w:sz="0" w:space="0" w:color="auto"/>
        <w:bottom w:val="none" w:sz="0" w:space="0" w:color="auto"/>
        <w:right w:val="none" w:sz="0" w:space="0" w:color="auto"/>
      </w:divBdr>
    </w:div>
    <w:div w:id="1330714091">
      <w:bodyDiv w:val="1"/>
      <w:marLeft w:val="0"/>
      <w:marRight w:val="0"/>
      <w:marTop w:val="0"/>
      <w:marBottom w:val="0"/>
      <w:divBdr>
        <w:top w:val="none" w:sz="0" w:space="0" w:color="auto"/>
        <w:left w:val="none" w:sz="0" w:space="0" w:color="auto"/>
        <w:bottom w:val="none" w:sz="0" w:space="0" w:color="auto"/>
        <w:right w:val="none" w:sz="0" w:space="0" w:color="auto"/>
      </w:divBdr>
      <w:divsChild>
        <w:div w:id="275064420">
          <w:marLeft w:val="0"/>
          <w:marRight w:val="0"/>
          <w:marTop w:val="0"/>
          <w:marBottom w:val="0"/>
          <w:divBdr>
            <w:top w:val="none" w:sz="0" w:space="0" w:color="auto"/>
            <w:left w:val="none" w:sz="0" w:space="0" w:color="auto"/>
            <w:bottom w:val="none" w:sz="0" w:space="0" w:color="auto"/>
            <w:right w:val="none" w:sz="0" w:space="0" w:color="auto"/>
          </w:divBdr>
          <w:divsChild>
            <w:div w:id="193619619">
              <w:marLeft w:val="0"/>
              <w:marRight w:val="0"/>
              <w:marTop w:val="0"/>
              <w:marBottom w:val="0"/>
              <w:divBdr>
                <w:top w:val="none" w:sz="0" w:space="0" w:color="auto"/>
                <w:left w:val="none" w:sz="0" w:space="0" w:color="auto"/>
                <w:bottom w:val="none" w:sz="0" w:space="0" w:color="auto"/>
                <w:right w:val="none" w:sz="0" w:space="0" w:color="auto"/>
              </w:divBdr>
            </w:div>
          </w:divsChild>
        </w:div>
        <w:div w:id="825709968">
          <w:marLeft w:val="0"/>
          <w:marRight w:val="0"/>
          <w:marTop w:val="0"/>
          <w:marBottom w:val="0"/>
          <w:divBdr>
            <w:top w:val="none" w:sz="0" w:space="0" w:color="auto"/>
            <w:left w:val="none" w:sz="0" w:space="0" w:color="auto"/>
            <w:bottom w:val="none" w:sz="0" w:space="0" w:color="auto"/>
            <w:right w:val="none" w:sz="0" w:space="0" w:color="auto"/>
          </w:divBdr>
          <w:divsChild>
            <w:div w:id="1939866555">
              <w:marLeft w:val="0"/>
              <w:marRight w:val="0"/>
              <w:marTop w:val="0"/>
              <w:marBottom w:val="0"/>
              <w:divBdr>
                <w:top w:val="none" w:sz="0" w:space="0" w:color="auto"/>
                <w:left w:val="none" w:sz="0" w:space="0" w:color="auto"/>
                <w:bottom w:val="none" w:sz="0" w:space="0" w:color="auto"/>
                <w:right w:val="none" w:sz="0" w:space="0" w:color="auto"/>
              </w:divBdr>
            </w:div>
          </w:divsChild>
        </w:div>
        <w:div w:id="1673601863">
          <w:marLeft w:val="0"/>
          <w:marRight w:val="0"/>
          <w:marTop w:val="0"/>
          <w:marBottom w:val="0"/>
          <w:divBdr>
            <w:top w:val="none" w:sz="0" w:space="0" w:color="auto"/>
            <w:left w:val="none" w:sz="0" w:space="0" w:color="auto"/>
            <w:bottom w:val="none" w:sz="0" w:space="0" w:color="auto"/>
            <w:right w:val="none" w:sz="0" w:space="0" w:color="auto"/>
          </w:divBdr>
          <w:divsChild>
            <w:div w:id="1040396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0985215">
      <w:bodyDiv w:val="1"/>
      <w:marLeft w:val="0"/>
      <w:marRight w:val="0"/>
      <w:marTop w:val="0"/>
      <w:marBottom w:val="0"/>
      <w:divBdr>
        <w:top w:val="none" w:sz="0" w:space="0" w:color="auto"/>
        <w:left w:val="none" w:sz="0" w:space="0" w:color="auto"/>
        <w:bottom w:val="none" w:sz="0" w:space="0" w:color="auto"/>
        <w:right w:val="none" w:sz="0" w:space="0" w:color="auto"/>
      </w:divBdr>
    </w:div>
    <w:div w:id="1330987041">
      <w:bodyDiv w:val="1"/>
      <w:marLeft w:val="0"/>
      <w:marRight w:val="0"/>
      <w:marTop w:val="0"/>
      <w:marBottom w:val="0"/>
      <w:divBdr>
        <w:top w:val="none" w:sz="0" w:space="0" w:color="auto"/>
        <w:left w:val="none" w:sz="0" w:space="0" w:color="auto"/>
        <w:bottom w:val="none" w:sz="0" w:space="0" w:color="auto"/>
        <w:right w:val="none" w:sz="0" w:space="0" w:color="auto"/>
      </w:divBdr>
    </w:div>
    <w:div w:id="1331181314">
      <w:bodyDiv w:val="1"/>
      <w:marLeft w:val="0"/>
      <w:marRight w:val="0"/>
      <w:marTop w:val="0"/>
      <w:marBottom w:val="0"/>
      <w:divBdr>
        <w:top w:val="none" w:sz="0" w:space="0" w:color="auto"/>
        <w:left w:val="none" w:sz="0" w:space="0" w:color="auto"/>
        <w:bottom w:val="none" w:sz="0" w:space="0" w:color="auto"/>
        <w:right w:val="none" w:sz="0" w:space="0" w:color="auto"/>
      </w:divBdr>
    </w:div>
    <w:div w:id="1331639243">
      <w:bodyDiv w:val="1"/>
      <w:marLeft w:val="0"/>
      <w:marRight w:val="0"/>
      <w:marTop w:val="0"/>
      <w:marBottom w:val="0"/>
      <w:divBdr>
        <w:top w:val="none" w:sz="0" w:space="0" w:color="auto"/>
        <w:left w:val="none" w:sz="0" w:space="0" w:color="auto"/>
        <w:bottom w:val="none" w:sz="0" w:space="0" w:color="auto"/>
        <w:right w:val="none" w:sz="0" w:space="0" w:color="auto"/>
      </w:divBdr>
    </w:div>
    <w:div w:id="1332102660">
      <w:bodyDiv w:val="1"/>
      <w:marLeft w:val="0"/>
      <w:marRight w:val="0"/>
      <w:marTop w:val="0"/>
      <w:marBottom w:val="0"/>
      <w:divBdr>
        <w:top w:val="none" w:sz="0" w:space="0" w:color="auto"/>
        <w:left w:val="none" w:sz="0" w:space="0" w:color="auto"/>
        <w:bottom w:val="none" w:sz="0" w:space="0" w:color="auto"/>
        <w:right w:val="none" w:sz="0" w:space="0" w:color="auto"/>
      </w:divBdr>
    </w:div>
    <w:div w:id="1332295210">
      <w:bodyDiv w:val="1"/>
      <w:marLeft w:val="0"/>
      <w:marRight w:val="0"/>
      <w:marTop w:val="0"/>
      <w:marBottom w:val="0"/>
      <w:divBdr>
        <w:top w:val="none" w:sz="0" w:space="0" w:color="auto"/>
        <w:left w:val="none" w:sz="0" w:space="0" w:color="auto"/>
        <w:bottom w:val="none" w:sz="0" w:space="0" w:color="auto"/>
        <w:right w:val="none" w:sz="0" w:space="0" w:color="auto"/>
      </w:divBdr>
    </w:div>
    <w:div w:id="1332566440">
      <w:bodyDiv w:val="1"/>
      <w:marLeft w:val="0"/>
      <w:marRight w:val="0"/>
      <w:marTop w:val="0"/>
      <w:marBottom w:val="0"/>
      <w:divBdr>
        <w:top w:val="none" w:sz="0" w:space="0" w:color="auto"/>
        <w:left w:val="none" w:sz="0" w:space="0" w:color="auto"/>
        <w:bottom w:val="none" w:sz="0" w:space="0" w:color="auto"/>
        <w:right w:val="none" w:sz="0" w:space="0" w:color="auto"/>
      </w:divBdr>
    </w:div>
    <w:div w:id="1332679803">
      <w:bodyDiv w:val="1"/>
      <w:marLeft w:val="0"/>
      <w:marRight w:val="0"/>
      <w:marTop w:val="0"/>
      <w:marBottom w:val="0"/>
      <w:divBdr>
        <w:top w:val="none" w:sz="0" w:space="0" w:color="auto"/>
        <w:left w:val="none" w:sz="0" w:space="0" w:color="auto"/>
        <w:bottom w:val="none" w:sz="0" w:space="0" w:color="auto"/>
        <w:right w:val="none" w:sz="0" w:space="0" w:color="auto"/>
      </w:divBdr>
    </w:div>
    <w:div w:id="1333218708">
      <w:bodyDiv w:val="1"/>
      <w:marLeft w:val="0"/>
      <w:marRight w:val="0"/>
      <w:marTop w:val="0"/>
      <w:marBottom w:val="0"/>
      <w:divBdr>
        <w:top w:val="none" w:sz="0" w:space="0" w:color="auto"/>
        <w:left w:val="none" w:sz="0" w:space="0" w:color="auto"/>
        <w:bottom w:val="none" w:sz="0" w:space="0" w:color="auto"/>
        <w:right w:val="none" w:sz="0" w:space="0" w:color="auto"/>
      </w:divBdr>
    </w:div>
    <w:div w:id="1334335921">
      <w:bodyDiv w:val="1"/>
      <w:marLeft w:val="0"/>
      <w:marRight w:val="0"/>
      <w:marTop w:val="0"/>
      <w:marBottom w:val="0"/>
      <w:divBdr>
        <w:top w:val="none" w:sz="0" w:space="0" w:color="auto"/>
        <w:left w:val="none" w:sz="0" w:space="0" w:color="auto"/>
        <w:bottom w:val="none" w:sz="0" w:space="0" w:color="auto"/>
        <w:right w:val="none" w:sz="0" w:space="0" w:color="auto"/>
      </w:divBdr>
    </w:div>
    <w:div w:id="1334793463">
      <w:bodyDiv w:val="1"/>
      <w:marLeft w:val="0"/>
      <w:marRight w:val="0"/>
      <w:marTop w:val="0"/>
      <w:marBottom w:val="0"/>
      <w:divBdr>
        <w:top w:val="none" w:sz="0" w:space="0" w:color="auto"/>
        <w:left w:val="none" w:sz="0" w:space="0" w:color="auto"/>
        <w:bottom w:val="none" w:sz="0" w:space="0" w:color="auto"/>
        <w:right w:val="none" w:sz="0" w:space="0" w:color="auto"/>
      </w:divBdr>
    </w:div>
    <w:div w:id="1335693448">
      <w:bodyDiv w:val="1"/>
      <w:marLeft w:val="0"/>
      <w:marRight w:val="0"/>
      <w:marTop w:val="0"/>
      <w:marBottom w:val="0"/>
      <w:divBdr>
        <w:top w:val="none" w:sz="0" w:space="0" w:color="auto"/>
        <w:left w:val="none" w:sz="0" w:space="0" w:color="auto"/>
        <w:bottom w:val="none" w:sz="0" w:space="0" w:color="auto"/>
        <w:right w:val="none" w:sz="0" w:space="0" w:color="auto"/>
      </w:divBdr>
    </w:div>
    <w:div w:id="1336811262">
      <w:bodyDiv w:val="1"/>
      <w:marLeft w:val="0"/>
      <w:marRight w:val="0"/>
      <w:marTop w:val="0"/>
      <w:marBottom w:val="0"/>
      <w:divBdr>
        <w:top w:val="none" w:sz="0" w:space="0" w:color="auto"/>
        <w:left w:val="none" w:sz="0" w:space="0" w:color="auto"/>
        <w:bottom w:val="none" w:sz="0" w:space="0" w:color="auto"/>
        <w:right w:val="none" w:sz="0" w:space="0" w:color="auto"/>
      </w:divBdr>
    </w:div>
    <w:div w:id="1338115522">
      <w:bodyDiv w:val="1"/>
      <w:marLeft w:val="0"/>
      <w:marRight w:val="0"/>
      <w:marTop w:val="0"/>
      <w:marBottom w:val="0"/>
      <w:divBdr>
        <w:top w:val="none" w:sz="0" w:space="0" w:color="auto"/>
        <w:left w:val="none" w:sz="0" w:space="0" w:color="auto"/>
        <w:bottom w:val="none" w:sz="0" w:space="0" w:color="auto"/>
        <w:right w:val="none" w:sz="0" w:space="0" w:color="auto"/>
      </w:divBdr>
    </w:div>
    <w:div w:id="1338537412">
      <w:bodyDiv w:val="1"/>
      <w:marLeft w:val="0"/>
      <w:marRight w:val="0"/>
      <w:marTop w:val="0"/>
      <w:marBottom w:val="0"/>
      <w:divBdr>
        <w:top w:val="none" w:sz="0" w:space="0" w:color="auto"/>
        <w:left w:val="none" w:sz="0" w:space="0" w:color="auto"/>
        <w:bottom w:val="none" w:sz="0" w:space="0" w:color="auto"/>
        <w:right w:val="none" w:sz="0" w:space="0" w:color="auto"/>
      </w:divBdr>
    </w:div>
    <w:div w:id="1338655178">
      <w:bodyDiv w:val="1"/>
      <w:marLeft w:val="0"/>
      <w:marRight w:val="0"/>
      <w:marTop w:val="0"/>
      <w:marBottom w:val="0"/>
      <w:divBdr>
        <w:top w:val="none" w:sz="0" w:space="0" w:color="auto"/>
        <w:left w:val="none" w:sz="0" w:space="0" w:color="auto"/>
        <w:bottom w:val="none" w:sz="0" w:space="0" w:color="auto"/>
        <w:right w:val="none" w:sz="0" w:space="0" w:color="auto"/>
      </w:divBdr>
    </w:div>
    <w:div w:id="1338727406">
      <w:bodyDiv w:val="1"/>
      <w:marLeft w:val="0"/>
      <w:marRight w:val="0"/>
      <w:marTop w:val="0"/>
      <w:marBottom w:val="0"/>
      <w:divBdr>
        <w:top w:val="none" w:sz="0" w:space="0" w:color="auto"/>
        <w:left w:val="none" w:sz="0" w:space="0" w:color="auto"/>
        <w:bottom w:val="none" w:sz="0" w:space="0" w:color="auto"/>
        <w:right w:val="none" w:sz="0" w:space="0" w:color="auto"/>
      </w:divBdr>
    </w:div>
    <w:div w:id="1338997355">
      <w:bodyDiv w:val="1"/>
      <w:marLeft w:val="0"/>
      <w:marRight w:val="0"/>
      <w:marTop w:val="0"/>
      <w:marBottom w:val="0"/>
      <w:divBdr>
        <w:top w:val="none" w:sz="0" w:space="0" w:color="auto"/>
        <w:left w:val="none" w:sz="0" w:space="0" w:color="auto"/>
        <w:bottom w:val="none" w:sz="0" w:space="0" w:color="auto"/>
        <w:right w:val="none" w:sz="0" w:space="0" w:color="auto"/>
      </w:divBdr>
    </w:div>
    <w:div w:id="1339653761">
      <w:bodyDiv w:val="1"/>
      <w:marLeft w:val="0"/>
      <w:marRight w:val="0"/>
      <w:marTop w:val="0"/>
      <w:marBottom w:val="0"/>
      <w:divBdr>
        <w:top w:val="none" w:sz="0" w:space="0" w:color="auto"/>
        <w:left w:val="none" w:sz="0" w:space="0" w:color="auto"/>
        <w:bottom w:val="none" w:sz="0" w:space="0" w:color="auto"/>
        <w:right w:val="none" w:sz="0" w:space="0" w:color="auto"/>
      </w:divBdr>
    </w:div>
    <w:div w:id="1340742800">
      <w:bodyDiv w:val="1"/>
      <w:marLeft w:val="0"/>
      <w:marRight w:val="0"/>
      <w:marTop w:val="0"/>
      <w:marBottom w:val="0"/>
      <w:divBdr>
        <w:top w:val="none" w:sz="0" w:space="0" w:color="auto"/>
        <w:left w:val="none" w:sz="0" w:space="0" w:color="auto"/>
        <w:bottom w:val="none" w:sz="0" w:space="0" w:color="auto"/>
        <w:right w:val="none" w:sz="0" w:space="0" w:color="auto"/>
      </w:divBdr>
    </w:div>
    <w:div w:id="1340961721">
      <w:bodyDiv w:val="1"/>
      <w:marLeft w:val="0"/>
      <w:marRight w:val="0"/>
      <w:marTop w:val="0"/>
      <w:marBottom w:val="0"/>
      <w:divBdr>
        <w:top w:val="none" w:sz="0" w:space="0" w:color="auto"/>
        <w:left w:val="none" w:sz="0" w:space="0" w:color="auto"/>
        <w:bottom w:val="none" w:sz="0" w:space="0" w:color="auto"/>
        <w:right w:val="none" w:sz="0" w:space="0" w:color="auto"/>
      </w:divBdr>
    </w:div>
    <w:div w:id="1341275456">
      <w:bodyDiv w:val="1"/>
      <w:marLeft w:val="0"/>
      <w:marRight w:val="0"/>
      <w:marTop w:val="0"/>
      <w:marBottom w:val="0"/>
      <w:divBdr>
        <w:top w:val="none" w:sz="0" w:space="0" w:color="auto"/>
        <w:left w:val="none" w:sz="0" w:space="0" w:color="auto"/>
        <w:bottom w:val="none" w:sz="0" w:space="0" w:color="auto"/>
        <w:right w:val="none" w:sz="0" w:space="0" w:color="auto"/>
      </w:divBdr>
    </w:div>
    <w:div w:id="1341855797">
      <w:bodyDiv w:val="1"/>
      <w:marLeft w:val="0"/>
      <w:marRight w:val="0"/>
      <w:marTop w:val="0"/>
      <w:marBottom w:val="0"/>
      <w:divBdr>
        <w:top w:val="none" w:sz="0" w:space="0" w:color="auto"/>
        <w:left w:val="none" w:sz="0" w:space="0" w:color="auto"/>
        <w:bottom w:val="none" w:sz="0" w:space="0" w:color="auto"/>
        <w:right w:val="none" w:sz="0" w:space="0" w:color="auto"/>
      </w:divBdr>
    </w:div>
    <w:div w:id="1342202788">
      <w:bodyDiv w:val="1"/>
      <w:marLeft w:val="0"/>
      <w:marRight w:val="0"/>
      <w:marTop w:val="0"/>
      <w:marBottom w:val="0"/>
      <w:divBdr>
        <w:top w:val="none" w:sz="0" w:space="0" w:color="auto"/>
        <w:left w:val="none" w:sz="0" w:space="0" w:color="auto"/>
        <w:bottom w:val="none" w:sz="0" w:space="0" w:color="auto"/>
        <w:right w:val="none" w:sz="0" w:space="0" w:color="auto"/>
      </w:divBdr>
    </w:div>
    <w:div w:id="1342508695">
      <w:bodyDiv w:val="1"/>
      <w:marLeft w:val="0"/>
      <w:marRight w:val="0"/>
      <w:marTop w:val="0"/>
      <w:marBottom w:val="0"/>
      <w:divBdr>
        <w:top w:val="none" w:sz="0" w:space="0" w:color="auto"/>
        <w:left w:val="none" w:sz="0" w:space="0" w:color="auto"/>
        <w:bottom w:val="none" w:sz="0" w:space="0" w:color="auto"/>
        <w:right w:val="none" w:sz="0" w:space="0" w:color="auto"/>
      </w:divBdr>
    </w:div>
    <w:div w:id="1342586558">
      <w:bodyDiv w:val="1"/>
      <w:marLeft w:val="0"/>
      <w:marRight w:val="0"/>
      <w:marTop w:val="0"/>
      <w:marBottom w:val="0"/>
      <w:divBdr>
        <w:top w:val="none" w:sz="0" w:space="0" w:color="auto"/>
        <w:left w:val="none" w:sz="0" w:space="0" w:color="auto"/>
        <w:bottom w:val="none" w:sz="0" w:space="0" w:color="auto"/>
        <w:right w:val="none" w:sz="0" w:space="0" w:color="auto"/>
      </w:divBdr>
    </w:div>
    <w:div w:id="1342851798">
      <w:bodyDiv w:val="1"/>
      <w:marLeft w:val="0"/>
      <w:marRight w:val="0"/>
      <w:marTop w:val="0"/>
      <w:marBottom w:val="0"/>
      <w:divBdr>
        <w:top w:val="none" w:sz="0" w:space="0" w:color="auto"/>
        <w:left w:val="none" w:sz="0" w:space="0" w:color="auto"/>
        <w:bottom w:val="none" w:sz="0" w:space="0" w:color="auto"/>
        <w:right w:val="none" w:sz="0" w:space="0" w:color="auto"/>
      </w:divBdr>
    </w:div>
    <w:div w:id="1342901936">
      <w:bodyDiv w:val="1"/>
      <w:marLeft w:val="0"/>
      <w:marRight w:val="0"/>
      <w:marTop w:val="0"/>
      <w:marBottom w:val="0"/>
      <w:divBdr>
        <w:top w:val="none" w:sz="0" w:space="0" w:color="auto"/>
        <w:left w:val="none" w:sz="0" w:space="0" w:color="auto"/>
        <w:bottom w:val="none" w:sz="0" w:space="0" w:color="auto"/>
        <w:right w:val="none" w:sz="0" w:space="0" w:color="auto"/>
      </w:divBdr>
    </w:div>
    <w:div w:id="1343817627">
      <w:bodyDiv w:val="1"/>
      <w:marLeft w:val="0"/>
      <w:marRight w:val="0"/>
      <w:marTop w:val="0"/>
      <w:marBottom w:val="0"/>
      <w:divBdr>
        <w:top w:val="none" w:sz="0" w:space="0" w:color="auto"/>
        <w:left w:val="none" w:sz="0" w:space="0" w:color="auto"/>
        <w:bottom w:val="none" w:sz="0" w:space="0" w:color="auto"/>
        <w:right w:val="none" w:sz="0" w:space="0" w:color="auto"/>
      </w:divBdr>
    </w:div>
    <w:div w:id="1344237871">
      <w:bodyDiv w:val="1"/>
      <w:marLeft w:val="0"/>
      <w:marRight w:val="0"/>
      <w:marTop w:val="0"/>
      <w:marBottom w:val="0"/>
      <w:divBdr>
        <w:top w:val="none" w:sz="0" w:space="0" w:color="auto"/>
        <w:left w:val="none" w:sz="0" w:space="0" w:color="auto"/>
        <w:bottom w:val="none" w:sz="0" w:space="0" w:color="auto"/>
        <w:right w:val="none" w:sz="0" w:space="0" w:color="auto"/>
      </w:divBdr>
    </w:div>
    <w:div w:id="1344864290">
      <w:bodyDiv w:val="1"/>
      <w:marLeft w:val="0"/>
      <w:marRight w:val="0"/>
      <w:marTop w:val="0"/>
      <w:marBottom w:val="0"/>
      <w:divBdr>
        <w:top w:val="none" w:sz="0" w:space="0" w:color="auto"/>
        <w:left w:val="none" w:sz="0" w:space="0" w:color="auto"/>
        <w:bottom w:val="none" w:sz="0" w:space="0" w:color="auto"/>
        <w:right w:val="none" w:sz="0" w:space="0" w:color="auto"/>
      </w:divBdr>
    </w:div>
    <w:div w:id="1345940158">
      <w:bodyDiv w:val="1"/>
      <w:marLeft w:val="0"/>
      <w:marRight w:val="0"/>
      <w:marTop w:val="0"/>
      <w:marBottom w:val="0"/>
      <w:divBdr>
        <w:top w:val="none" w:sz="0" w:space="0" w:color="auto"/>
        <w:left w:val="none" w:sz="0" w:space="0" w:color="auto"/>
        <w:bottom w:val="none" w:sz="0" w:space="0" w:color="auto"/>
        <w:right w:val="none" w:sz="0" w:space="0" w:color="auto"/>
      </w:divBdr>
    </w:div>
    <w:div w:id="1347247997">
      <w:bodyDiv w:val="1"/>
      <w:marLeft w:val="0"/>
      <w:marRight w:val="0"/>
      <w:marTop w:val="0"/>
      <w:marBottom w:val="0"/>
      <w:divBdr>
        <w:top w:val="none" w:sz="0" w:space="0" w:color="auto"/>
        <w:left w:val="none" w:sz="0" w:space="0" w:color="auto"/>
        <w:bottom w:val="none" w:sz="0" w:space="0" w:color="auto"/>
        <w:right w:val="none" w:sz="0" w:space="0" w:color="auto"/>
      </w:divBdr>
    </w:div>
    <w:div w:id="1347251506">
      <w:bodyDiv w:val="1"/>
      <w:marLeft w:val="0"/>
      <w:marRight w:val="0"/>
      <w:marTop w:val="0"/>
      <w:marBottom w:val="0"/>
      <w:divBdr>
        <w:top w:val="none" w:sz="0" w:space="0" w:color="auto"/>
        <w:left w:val="none" w:sz="0" w:space="0" w:color="auto"/>
        <w:bottom w:val="none" w:sz="0" w:space="0" w:color="auto"/>
        <w:right w:val="none" w:sz="0" w:space="0" w:color="auto"/>
      </w:divBdr>
    </w:div>
    <w:div w:id="1347294229">
      <w:bodyDiv w:val="1"/>
      <w:marLeft w:val="0"/>
      <w:marRight w:val="0"/>
      <w:marTop w:val="0"/>
      <w:marBottom w:val="0"/>
      <w:divBdr>
        <w:top w:val="none" w:sz="0" w:space="0" w:color="auto"/>
        <w:left w:val="none" w:sz="0" w:space="0" w:color="auto"/>
        <w:bottom w:val="none" w:sz="0" w:space="0" w:color="auto"/>
        <w:right w:val="none" w:sz="0" w:space="0" w:color="auto"/>
      </w:divBdr>
    </w:div>
    <w:div w:id="1347907102">
      <w:bodyDiv w:val="1"/>
      <w:marLeft w:val="0"/>
      <w:marRight w:val="0"/>
      <w:marTop w:val="0"/>
      <w:marBottom w:val="0"/>
      <w:divBdr>
        <w:top w:val="none" w:sz="0" w:space="0" w:color="auto"/>
        <w:left w:val="none" w:sz="0" w:space="0" w:color="auto"/>
        <w:bottom w:val="none" w:sz="0" w:space="0" w:color="auto"/>
        <w:right w:val="none" w:sz="0" w:space="0" w:color="auto"/>
      </w:divBdr>
    </w:div>
    <w:div w:id="1347944568">
      <w:bodyDiv w:val="1"/>
      <w:marLeft w:val="0"/>
      <w:marRight w:val="0"/>
      <w:marTop w:val="0"/>
      <w:marBottom w:val="0"/>
      <w:divBdr>
        <w:top w:val="none" w:sz="0" w:space="0" w:color="auto"/>
        <w:left w:val="none" w:sz="0" w:space="0" w:color="auto"/>
        <w:bottom w:val="none" w:sz="0" w:space="0" w:color="auto"/>
        <w:right w:val="none" w:sz="0" w:space="0" w:color="auto"/>
      </w:divBdr>
    </w:div>
    <w:div w:id="1347948850">
      <w:bodyDiv w:val="1"/>
      <w:marLeft w:val="0"/>
      <w:marRight w:val="0"/>
      <w:marTop w:val="0"/>
      <w:marBottom w:val="0"/>
      <w:divBdr>
        <w:top w:val="none" w:sz="0" w:space="0" w:color="auto"/>
        <w:left w:val="none" w:sz="0" w:space="0" w:color="auto"/>
        <w:bottom w:val="none" w:sz="0" w:space="0" w:color="auto"/>
        <w:right w:val="none" w:sz="0" w:space="0" w:color="auto"/>
      </w:divBdr>
    </w:div>
    <w:div w:id="1348217739">
      <w:bodyDiv w:val="1"/>
      <w:marLeft w:val="0"/>
      <w:marRight w:val="0"/>
      <w:marTop w:val="0"/>
      <w:marBottom w:val="0"/>
      <w:divBdr>
        <w:top w:val="none" w:sz="0" w:space="0" w:color="auto"/>
        <w:left w:val="none" w:sz="0" w:space="0" w:color="auto"/>
        <w:bottom w:val="none" w:sz="0" w:space="0" w:color="auto"/>
        <w:right w:val="none" w:sz="0" w:space="0" w:color="auto"/>
      </w:divBdr>
    </w:div>
    <w:div w:id="1348361381">
      <w:bodyDiv w:val="1"/>
      <w:marLeft w:val="0"/>
      <w:marRight w:val="0"/>
      <w:marTop w:val="0"/>
      <w:marBottom w:val="0"/>
      <w:divBdr>
        <w:top w:val="none" w:sz="0" w:space="0" w:color="auto"/>
        <w:left w:val="none" w:sz="0" w:space="0" w:color="auto"/>
        <w:bottom w:val="none" w:sz="0" w:space="0" w:color="auto"/>
        <w:right w:val="none" w:sz="0" w:space="0" w:color="auto"/>
      </w:divBdr>
    </w:div>
    <w:div w:id="1348363893">
      <w:bodyDiv w:val="1"/>
      <w:marLeft w:val="0"/>
      <w:marRight w:val="0"/>
      <w:marTop w:val="0"/>
      <w:marBottom w:val="0"/>
      <w:divBdr>
        <w:top w:val="none" w:sz="0" w:space="0" w:color="auto"/>
        <w:left w:val="none" w:sz="0" w:space="0" w:color="auto"/>
        <w:bottom w:val="none" w:sz="0" w:space="0" w:color="auto"/>
        <w:right w:val="none" w:sz="0" w:space="0" w:color="auto"/>
      </w:divBdr>
    </w:div>
    <w:div w:id="1348366422">
      <w:bodyDiv w:val="1"/>
      <w:marLeft w:val="0"/>
      <w:marRight w:val="0"/>
      <w:marTop w:val="0"/>
      <w:marBottom w:val="0"/>
      <w:divBdr>
        <w:top w:val="none" w:sz="0" w:space="0" w:color="auto"/>
        <w:left w:val="none" w:sz="0" w:space="0" w:color="auto"/>
        <w:bottom w:val="none" w:sz="0" w:space="0" w:color="auto"/>
        <w:right w:val="none" w:sz="0" w:space="0" w:color="auto"/>
      </w:divBdr>
    </w:div>
    <w:div w:id="1348941436">
      <w:bodyDiv w:val="1"/>
      <w:marLeft w:val="0"/>
      <w:marRight w:val="0"/>
      <w:marTop w:val="0"/>
      <w:marBottom w:val="0"/>
      <w:divBdr>
        <w:top w:val="none" w:sz="0" w:space="0" w:color="auto"/>
        <w:left w:val="none" w:sz="0" w:space="0" w:color="auto"/>
        <w:bottom w:val="none" w:sz="0" w:space="0" w:color="auto"/>
        <w:right w:val="none" w:sz="0" w:space="0" w:color="auto"/>
      </w:divBdr>
    </w:div>
    <w:div w:id="1349059163">
      <w:bodyDiv w:val="1"/>
      <w:marLeft w:val="0"/>
      <w:marRight w:val="0"/>
      <w:marTop w:val="0"/>
      <w:marBottom w:val="0"/>
      <w:divBdr>
        <w:top w:val="none" w:sz="0" w:space="0" w:color="auto"/>
        <w:left w:val="none" w:sz="0" w:space="0" w:color="auto"/>
        <w:bottom w:val="none" w:sz="0" w:space="0" w:color="auto"/>
        <w:right w:val="none" w:sz="0" w:space="0" w:color="auto"/>
      </w:divBdr>
    </w:div>
    <w:div w:id="1349676613">
      <w:bodyDiv w:val="1"/>
      <w:marLeft w:val="0"/>
      <w:marRight w:val="0"/>
      <w:marTop w:val="0"/>
      <w:marBottom w:val="0"/>
      <w:divBdr>
        <w:top w:val="none" w:sz="0" w:space="0" w:color="auto"/>
        <w:left w:val="none" w:sz="0" w:space="0" w:color="auto"/>
        <w:bottom w:val="none" w:sz="0" w:space="0" w:color="auto"/>
        <w:right w:val="none" w:sz="0" w:space="0" w:color="auto"/>
      </w:divBdr>
    </w:div>
    <w:div w:id="1349795129">
      <w:bodyDiv w:val="1"/>
      <w:marLeft w:val="0"/>
      <w:marRight w:val="0"/>
      <w:marTop w:val="0"/>
      <w:marBottom w:val="0"/>
      <w:divBdr>
        <w:top w:val="none" w:sz="0" w:space="0" w:color="auto"/>
        <w:left w:val="none" w:sz="0" w:space="0" w:color="auto"/>
        <w:bottom w:val="none" w:sz="0" w:space="0" w:color="auto"/>
        <w:right w:val="none" w:sz="0" w:space="0" w:color="auto"/>
      </w:divBdr>
    </w:div>
    <w:div w:id="1351957253">
      <w:bodyDiv w:val="1"/>
      <w:marLeft w:val="0"/>
      <w:marRight w:val="0"/>
      <w:marTop w:val="0"/>
      <w:marBottom w:val="0"/>
      <w:divBdr>
        <w:top w:val="none" w:sz="0" w:space="0" w:color="auto"/>
        <w:left w:val="none" w:sz="0" w:space="0" w:color="auto"/>
        <w:bottom w:val="none" w:sz="0" w:space="0" w:color="auto"/>
        <w:right w:val="none" w:sz="0" w:space="0" w:color="auto"/>
      </w:divBdr>
    </w:div>
    <w:div w:id="1352074121">
      <w:bodyDiv w:val="1"/>
      <w:marLeft w:val="0"/>
      <w:marRight w:val="0"/>
      <w:marTop w:val="0"/>
      <w:marBottom w:val="0"/>
      <w:divBdr>
        <w:top w:val="none" w:sz="0" w:space="0" w:color="auto"/>
        <w:left w:val="none" w:sz="0" w:space="0" w:color="auto"/>
        <w:bottom w:val="none" w:sz="0" w:space="0" w:color="auto"/>
        <w:right w:val="none" w:sz="0" w:space="0" w:color="auto"/>
      </w:divBdr>
    </w:div>
    <w:div w:id="1352486755">
      <w:bodyDiv w:val="1"/>
      <w:marLeft w:val="0"/>
      <w:marRight w:val="0"/>
      <w:marTop w:val="0"/>
      <w:marBottom w:val="0"/>
      <w:divBdr>
        <w:top w:val="none" w:sz="0" w:space="0" w:color="auto"/>
        <w:left w:val="none" w:sz="0" w:space="0" w:color="auto"/>
        <w:bottom w:val="none" w:sz="0" w:space="0" w:color="auto"/>
        <w:right w:val="none" w:sz="0" w:space="0" w:color="auto"/>
      </w:divBdr>
    </w:div>
    <w:div w:id="1352494469">
      <w:bodyDiv w:val="1"/>
      <w:marLeft w:val="0"/>
      <w:marRight w:val="0"/>
      <w:marTop w:val="0"/>
      <w:marBottom w:val="0"/>
      <w:divBdr>
        <w:top w:val="none" w:sz="0" w:space="0" w:color="auto"/>
        <w:left w:val="none" w:sz="0" w:space="0" w:color="auto"/>
        <w:bottom w:val="none" w:sz="0" w:space="0" w:color="auto"/>
        <w:right w:val="none" w:sz="0" w:space="0" w:color="auto"/>
      </w:divBdr>
    </w:div>
    <w:div w:id="1353141352">
      <w:bodyDiv w:val="1"/>
      <w:marLeft w:val="0"/>
      <w:marRight w:val="0"/>
      <w:marTop w:val="0"/>
      <w:marBottom w:val="0"/>
      <w:divBdr>
        <w:top w:val="none" w:sz="0" w:space="0" w:color="auto"/>
        <w:left w:val="none" w:sz="0" w:space="0" w:color="auto"/>
        <w:bottom w:val="none" w:sz="0" w:space="0" w:color="auto"/>
        <w:right w:val="none" w:sz="0" w:space="0" w:color="auto"/>
      </w:divBdr>
    </w:div>
    <w:div w:id="1353460835">
      <w:bodyDiv w:val="1"/>
      <w:marLeft w:val="0"/>
      <w:marRight w:val="0"/>
      <w:marTop w:val="0"/>
      <w:marBottom w:val="0"/>
      <w:divBdr>
        <w:top w:val="none" w:sz="0" w:space="0" w:color="auto"/>
        <w:left w:val="none" w:sz="0" w:space="0" w:color="auto"/>
        <w:bottom w:val="none" w:sz="0" w:space="0" w:color="auto"/>
        <w:right w:val="none" w:sz="0" w:space="0" w:color="auto"/>
      </w:divBdr>
    </w:div>
    <w:div w:id="1353536391">
      <w:bodyDiv w:val="1"/>
      <w:marLeft w:val="0"/>
      <w:marRight w:val="0"/>
      <w:marTop w:val="0"/>
      <w:marBottom w:val="0"/>
      <w:divBdr>
        <w:top w:val="none" w:sz="0" w:space="0" w:color="auto"/>
        <w:left w:val="none" w:sz="0" w:space="0" w:color="auto"/>
        <w:bottom w:val="none" w:sz="0" w:space="0" w:color="auto"/>
        <w:right w:val="none" w:sz="0" w:space="0" w:color="auto"/>
      </w:divBdr>
    </w:div>
    <w:div w:id="1353652099">
      <w:bodyDiv w:val="1"/>
      <w:marLeft w:val="0"/>
      <w:marRight w:val="0"/>
      <w:marTop w:val="0"/>
      <w:marBottom w:val="0"/>
      <w:divBdr>
        <w:top w:val="none" w:sz="0" w:space="0" w:color="auto"/>
        <w:left w:val="none" w:sz="0" w:space="0" w:color="auto"/>
        <w:bottom w:val="none" w:sz="0" w:space="0" w:color="auto"/>
        <w:right w:val="none" w:sz="0" w:space="0" w:color="auto"/>
      </w:divBdr>
    </w:div>
    <w:div w:id="1354067530">
      <w:bodyDiv w:val="1"/>
      <w:marLeft w:val="0"/>
      <w:marRight w:val="0"/>
      <w:marTop w:val="0"/>
      <w:marBottom w:val="0"/>
      <w:divBdr>
        <w:top w:val="none" w:sz="0" w:space="0" w:color="auto"/>
        <w:left w:val="none" w:sz="0" w:space="0" w:color="auto"/>
        <w:bottom w:val="none" w:sz="0" w:space="0" w:color="auto"/>
        <w:right w:val="none" w:sz="0" w:space="0" w:color="auto"/>
      </w:divBdr>
    </w:div>
    <w:div w:id="1354528405">
      <w:bodyDiv w:val="1"/>
      <w:marLeft w:val="0"/>
      <w:marRight w:val="0"/>
      <w:marTop w:val="0"/>
      <w:marBottom w:val="0"/>
      <w:divBdr>
        <w:top w:val="none" w:sz="0" w:space="0" w:color="auto"/>
        <w:left w:val="none" w:sz="0" w:space="0" w:color="auto"/>
        <w:bottom w:val="none" w:sz="0" w:space="0" w:color="auto"/>
        <w:right w:val="none" w:sz="0" w:space="0" w:color="auto"/>
      </w:divBdr>
    </w:div>
    <w:div w:id="1354764088">
      <w:bodyDiv w:val="1"/>
      <w:marLeft w:val="0"/>
      <w:marRight w:val="0"/>
      <w:marTop w:val="0"/>
      <w:marBottom w:val="0"/>
      <w:divBdr>
        <w:top w:val="none" w:sz="0" w:space="0" w:color="auto"/>
        <w:left w:val="none" w:sz="0" w:space="0" w:color="auto"/>
        <w:bottom w:val="none" w:sz="0" w:space="0" w:color="auto"/>
        <w:right w:val="none" w:sz="0" w:space="0" w:color="auto"/>
      </w:divBdr>
    </w:div>
    <w:div w:id="1354765789">
      <w:bodyDiv w:val="1"/>
      <w:marLeft w:val="0"/>
      <w:marRight w:val="0"/>
      <w:marTop w:val="0"/>
      <w:marBottom w:val="0"/>
      <w:divBdr>
        <w:top w:val="none" w:sz="0" w:space="0" w:color="auto"/>
        <w:left w:val="none" w:sz="0" w:space="0" w:color="auto"/>
        <w:bottom w:val="none" w:sz="0" w:space="0" w:color="auto"/>
        <w:right w:val="none" w:sz="0" w:space="0" w:color="auto"/>
      </w:divBdr>
    </w:div>
    <w:div w:id="1354838627">
      <w:bodyDiv w:val="1"/>
      <w:marLeft w:val="0"/>
      <w:marRight w:val="0"/>
      <w:marTop w:val="0"/>
      <w:marBottom w:val="0"/>
      <w:divBdr>
        <w:top w:val="none" w:sz="0" w:space="0" w:color="auto"/>
        <w:left w:val="none" w:sz="0" w:space="0" w:color="auto"/>
        <w:bottom w:val="none" w:sz="0" w:space="0" w:color="auto"/>
        <w:right w:val="none" w:sz="0" w:space="0" w:color="auto"/>
      </w:divBdr>
    </w:div>
    <w:div w:id="1355186105">
      <w:bodyDiv w:val="1"/>
      <w:marLeft w:val="0"/>
      <w:marRight w:val="0"/>
      <w:marTop w:val="0"/>
      <w:marBottom w:val="0"/>
      <w:divBdr>
        <w:top w:val="none" w:sz="0" w:space="0" w:color="auto"/>
        <w:left w:val="none" w:sz="0" w:space="0" w:color="auto"/>
        <w:bottom w:val="none" w:sz="0" w:space="0" w:color="auto"/>
        <w:right w:val="none" w:sz="0" w:space="0" w:color="auto"/>
      </w:divBdr>
    </w:div>
    <w:div w:id="1355762282">
      <w:bodyDiv w:val="1"/>
      <w:marLeft w:val="0"/>
      <w:marRight w:val="0"/>
      <w:marTop w:val="0"/>
      <w:marBottom w:val="0"/>
      <w:divBdr>
        <w:top w:val="none" w:sz="0" w:space="0" w:color="auto"/>
        <w:left w:val="none" w:sz="0" w:space="0" w:color="auto"/>
        <w:bottom w:val="none" w:sz="0" w:space="0" w:color="auto"/>
        <w:right w:val="none" w:sz="0" w:space="0" w:color="auto"/>
      </w:divBdr>
    </w:div>
    <w:div w:id="1356466028">
      <w:bodyDiv w:val="1"/>
      <w:marLeft w:val="0"/>
      <w:marRight w:val="0"/>
      <w:marTop w:val="0"/>
      <w:marBottom w:val="0"/>
      <w:divBdr>
        <w:top w:val="none" w:sz="0" w:space="0" w:color="auto"/>
        <w:left w:val="none" w:sz="0" w:space="0" w:color="auto"/>
        <w:bottom w:val="none" w:sz="0" w:space="0" w:color="auto"/>
        <w:right w:val="none" w:sz="0" w:space="0" w:color="auto"/>
      </w:divBdr>
    </w:div>
    <w:div w:id="1357544055">
      <w:bodyDiv w:val="1"/>
      <w:marLeft w:val="0"/>
      <w:marRight w:val="0"/>
      <w:marTop w:val="0"/>
      <w:marBottom w:val="0"/>
      <w:divBdr>
        <w:top w:val="none" w:sz="0" w:space="0" w:color="auto"/>
        <w:left w:val="none" w:sz="0" w:space="0" w:color="auto"/>
        <w:bottom w:val="none" w:sz="0" w:space="0" w:color="auto"/>
        <w:right w:val="none" w:sz="0" w:space="0" w:color="auto"/>
      </w:divBdr>
    </w:div>
    <w:div w:id="1358193541">
      <w:bodyDiv w:val="1"/>
      <w:marLeft w:val="0"/>
      <w:marRight w:val="0"/>
      <w:marTop w:val="0"/>
      <w:marBottom w:val="0"/>
      <w:divBdr>
        <w:top w:val="none" w:sz="0" w:space="0" w:color="auto"/>
        <w:left w:val="none" w:sz="0" w:space="0" w:color="auto"/>
        <w:bottom w:val="none" w:sz="0" w:space="0" w:color="auto"/>
        <w:right w:val="none" w:sz="0" w:space="0" w:color="auto"/>
      </w:divBdr>
    </w:div>
    <w:div w:id="1358504399">
      <w:bodyDiv w:val="1"/>
      <w:marLeft w:val="0"/>
      <w:marRight w:val="0"/>
      <w:marTop w:val="0"/>
      <w:marBottom w:val="0"/>
      <w:divBdr>
        <w:top w:val="none" w:sz="0" w:space="0" w:color="auto"/>
        <w:left w:val="none" w:sz="0" w:space="0" w:color="auto"/>
        <w:bottom w:val="none" w:sz="0" w:space="0" w:color="auto"/>
        <w:right w:val="none" w:sz="0" w:space="0" w:color="auto"/>
      </w:divBdr>
    </w:div>
    <w:div w:id="1358582218">
      <w:bodyDiv w:val="1"/>
      <w:marLeft w:val="0"/>
      <w:marRight w:val="0"/>
      <w:marTop w:val="0"/>
      <w:marBottom w:val="0"/>
      <w:divBdr>
        <w:top w:val="none" w:sz="0" w:space="0" w:color="auto"/>
        <w:left w:val="none" w:sz="0" w:space="0" w:color="auto"/>
        <w:bottom w:val="none" w:sz="0" w:space="0" w:color="auto"/>
        <w:right w:val="none" w:sz="0" w:space="0" w:color="auto"/>
      </w:divBdr>
    </w:div>
    <w:div w:id="1358964626">
      <w:bodyDiv w:val="1"/>
      <w:marLeft w:val="0"/>
      <w:marRight w:val="0"/>
      <w:marTop w:val="0"/>
      <w:marBottom w:val="0"/>
      <w:divBdr>
        <w:top w:val="none" w:sz="0" w:space="0" w:color="auto"/>
        <w:left w:val="none" w:sz="0" w:space="0" w:color="auto"/>
        <w:bottom w:val="none" w:sz="0" w:space="0" w:color="auto"/>
        <w:right w:val="none" w:sz="0" w:space="0" w:color="auto"/>
      </w:divBdr>
    </w:div>
    <w:div w:id="1359089152">
      <w:bodyDiv w:val="1"/>
      <w:marLeft w:val="0"/>
      <w:marRight w:val="0"/>
      <w:marTop w:val="0"/>
      <w:marBottom w:val="0"/>
      <w:divBdr>
        <w:top w:val="none" w:sz="0" w:space="0" w:color="auto"/>
        <w:left w:val="none" w:sz="0" w:space="0" w:color="auto"/>
        <w:bottom w:val="none" w:sz="0" w:space="0" w:color="auto"/>
        <w:right w:val="none" w:sz="0" w:space="0" w:color="auto"/>
      </w:divBdr>
    </w:div>
    <w:div w:id="1359238220">
      <w:bodyDiv w:val="1"/>
      <w:marLeft w:val="0"/>
      <w:marRight w:val="0"/>
      <w:marTop w:val="0"/>
      <w:marBottom w:val="0"/>
      <w:divBdr>
        <w:top w:val="none" w:sz="0" w:space="0" w:color="auto"/>
        <w:left w:val="none" w:sz="0" w:space="0" w:color="auto"/>
        <w:bottom w:val="none" w:sz="0" w:space="0" w:color="auto"/>
        <w:right w:val="none" w:sz="0" w:space="0" w:color="auto"/>
      </w:divBdr>
    </w:div>
    <w:div w:id="1360206788">
      <w:bodyDiv w:val="1"/>
      <w:marLeft w:val="0"/>
      <w:marRight w:val="0"/>
      <w:marTop w:val="0"/>
      <w:marBottom w:val="0"/>
      <w:divBdr>
        <w:top w:val="none" w:sz="0" w:space="0" w:color="auto"/>
        <w:left w:val="none" w:sz="0" w:space="0" w:color="auto"/>
        <w:bottom w:val="none" w:sz="0" w:space="0" w:color="auto"/>
        <w:right w:val="none" w:sz="0" w:space="0" w:color="auto"/>
      </w:divBdr>
    </w:div>
    <w:div w:id="1360351714">
      <w:bodyDiv w:val="1"/>
      <w:marLeft w:val="0"/>
      <w:marRight w:val="0"/>
      <w:marTop w:val="0"/>
      <w:marBottom w:val="0"/>
      <w:divBdr>
        <w:top w:val="none" w:sz="0" w:space="0" w:color="auto"/>
        <w:left w:val="none" w:sz="0" w:space="0" w:color="auto"/>
        <w:bottom w:val="none" w:sz="0" w:space="0" w:color="auto"/>
        <w:right w:val="none" w:sz="0" w:space="0" w:color="auto"/>
      </w:divBdr>
    </w:div>
    <w:div w:id="1361735704">
      <w:bodyDiv w:val="1"/>
      <w:marLeft w:val="0"/>
      <w:marRight w:val="0"/>
      <w:marTop w:val="0"/>
      <w:marBottom w:val="0"/>
      <w:divBdr>
        <w:top w:val="none" w:sz="0" w:space="0" w:color="auto"/>
        <w:left w:val="none" w:sz="0" w:space="0" w:color="auto"/>
        <w:bottom w:val="none" w:sz="0" w:space="0" w:color="auto"/>
        <w:right w:val="none" w:sz="0" w:space="0" w:color="auto"/>
      </w:divBdr>
    </w:div>
    <w:div w:id="1361973051">
      <w:bodyDiv w:val="1"/>
      <w:marLeft w:val="0"/>
      <w:marRight w:val="0"/>
      <w:marTop w:val="0"/>
      <w:marBottom w:val="0"/>
      <w:divBdr>
        <w:top w:val="none" w:sz="0" w:space="0" w:color="auto"/>
        <w:left w:val="none" w:sz="0" w:space="0" w:color="auto"/>
        <w:bottom w:val="none" w:sz="0" w:space="0" w:color="auto"/>
        <w:right w:val="none" w:sz="0" w:space="0" w:color="auto"/>
      </w:divBdr>
    </w:div>
    <w:div w:id="1362167693">
      <w:bodyDiv w:val="1"/>
      <w:marLeft w:val="0"/>
      <w:marRight w:val="0"/>
      <w:marTop w:val="0"/>
      <w:marBottom w:val="0"/>
      <w:divBdr>
        <w:top w:val="none" w:sz="0" w:space="0" w:color="auto"/>
        <w:left w:val="none" w:sz="0" w:space="0" w:color="auto"/>
        <w:bottom w:val="none" w:sz="0" w:space="0" w:color="auto"/>
        <w:right w:val="none" w:sz="0" w:space="0" w:color="auto"/>
      </w:divBdr>
    </w:div>
    <w:div w:id="1362709915">
      <w:bodyDiv w:val="1"/>
      <w:marLeft w:val="0"/>
      <w:marRight w:val="0"/>
      <w:marTop w:val="0"/>
      <w:marBottom w:val="0"/>
      <w:divBdr>
        <w:top w:val="none" w:sz="0" w:space="0" w:color="auto"/>
        <w:left w:val="none" w:sz="0" w:space="0" w:color="auto"/>
        <w:bottom w:val="none" w:sz="0" w:space="0" w:color="auto"/>
        <w:right w:val="none" w:sz="0" w:space="0" w:color="auto"/>
      </w:divBdr>
    </w:div>
    <w:div w:id="1362826948">
      <w:bodyDiv w:val="1"/>
      <w:marLeft w:val="0"/>
      <w:marRight w:val="0"/>
      <w:marTop w:val="0"/>
      <w:marBottom w:val="0"/>
      <w:divBdr>
        <w:top w:val="none" w:sz="0" w:space="0" w:color="auto"/>
        <w:left w:val="none" w:sz="0" w:space="0" w:color="auto"/>
        <w:bottom w:val="none" w:sz="0" w:space="0" w:color="auto"/>
        <w:right w:val="none" w:sz="0" w:space="0" w:color="auto"/>
      </w:divBdr>
    </w:div>
    <w:div w:id="1363238942">
      <w:bodyDiv w:val="1"/>
      <w:marLeft w:val="0"/>
      <w:marRight w:val="0"/>
      <w:marTop w:val="0"/>
      <w:marBottom w:val="0"/>
      <w:divBdr>
        <w:top w:val="none" w:sz="0" w:space="0" w:color="auto"/>
        <w:left w:val="none" w:sz="0" w:space="0" w:color="auto"/>
        <w:bottom w:val="none" w:sz="0" w:space="0" w:color="auto"/>
        <w:right w:val="none" w:sz="0" w:space="0" w:color="auto"/>
      </w:divBdr>
    </w:div>
    <w:div w:id="1363289953">
      <w:bodyDiv w:val="1"/>
      <w:marLeft w:val="0"/>
      <w:marRight w:val="0"/>
      <w:marTop w:val="0"/>
      <w:marBottom w:val="0"/>
      <w:divBdr>
        <w:top w:val="none" w:sz="0" w:space="0" w:color="auto"/>
        <w:left w:val="none" w:sz="0" w:space="0" w:color="auto"/>
        <w:bottom w:val="none" w:sz="0" w:space="0" w:color="auto"/>
        <w:right w:val="none" w:sz="0" w:space="0" w:color="auto"/>
      </w:divBdr>
    </w:div>
    <w:div w:id="1363432875">
      <w:bodyDiv w:val="1"/>
      <w:marLeft w:val="0"/>
      <w:marRight w:val="0"/>
      <w:marTop w:val="0"/>
      <w:marBottom w:val="0"/>
      <w:divBdr>
        <w:top w:val="none" w:sz="0" w:space="0" w:color="auto"/>
        <w:left w:val="none" w:sz="0" w:space="0" w:color="auto"/>
        <w:bottom w:val="none" w:sz="0" w:space="0" w:color="auto"/>
        <w:right w:val="none" w:sz="0" w:space="0" w:color="auto"/>
      </w:divBdr>
    </w:div>
    <w:div w:id="1363937256">
      <w:bodyDiv w:val="1"/>
      <w:marLeft w:val="0"/>
      <w:marRight w:val="0"/>
      <w:marTop w:val="0"/>
      <w:marBottom w:val="0"/>
      <w:divBdr>
        <w:top w:val="none" w:sz="0" w:space="0" w:color="auto"/>
        <w:left w:val="none" w:sz="0" w:space="0" w:color="auto"/>
        <w:bottom w:val="none" w:sz="0" w:space="0" w:color="auto"/>
        <w:right w:val="none" w:sz="0" w:space="0" w:color="auto"/>
      </w:divBdr>
    </w:div>
    <w:div w:id="1364090810">
      <w:bodyDiv w:val="1"/>
      <w:marLeft w:val="0"/>
      <w:marRight w:val="0"/>
      <w:marTop w:val="0"/>
      <w:marBottom w:val="0"/>
      <w:divBdr>
        <w:top w:val="none" w:sz="0" w:space="0" w:color="auto"/>
        <w:left w:val="none" w:sz="0" w:space="0" w:color="auto"/>
        <w:bottom w:val="none" w:sz="0" w:space="0" w:color="auto"/>
        <w:right w:val="none" w:sz="0" w:space="0" w:color="auto"/>
      </w:divBdr>
    </w:div>
    <w:div w:id="1364399831">
      <w:bodyDiv w:val="1"/>
      <w:marLeft w:val="0"/>
      <w:marRight w:val="0"/>
      <w:marTop w:val="0"/>
      <w:marBottom w:val="0"/>
      <w:divBdr>
        <w:top w:val="none" w:sz="0" w:space="0" w:color="auto"/>
        <w:left w:val="none" w:sz="0" w:space="0" w:color="auto"/>
        <w:bottom w:val="none" w:sz="0" w:space="0" w:color="auto"/>
        <w:right w:val="none" w:sz="0" w:space="0" w:color="auto"/>
      </w:divBdr>
    </w:div>
    <w:div w:id="1364940310">
      <w:bodyDiv w:val="1"/>
      <w:marLeft w:val="0"/>
      <w:marRight w:val="0"/>
      <w:marTop w:val="0"/>
      <w:marBottom w:val="0"/>
      <w:divBdr>
        <w:top w:val="none" w:sz="0" w:space="0" w:color="auto"/>
        <w:left w:val="none" w:sz="0" w:space="0" w:color="auto"/>
        <w:bottom w:val="none" w:sz="0" w:space="0" w:color="auto"/>
        <w:right w:val="none" w:sz="0" w:space="0" w:color="auto"/>
      </w:divBdr>
    </w:div>
    <w:div w:id="1366296082">
      <w:bodyDiv w:val="1"/>
      <w:marLeft w:val="0"/>
      <w:marRight w:val="0"/>
      <w:marTop w:val="0"/>
      <w:marBottom w:val="0"/>
      <w:divBdr>
        <w:top w:val="none" w:sz="0" w:space="0" w:color="auto"/>
        <w:left w:val="none" w:sz="0" w:space="0" w:color="auto"/>
        <w:bottom w:val="none" w:sz="0" w:space="0" w:color="auto"/>
        <w:right w:val="none" w:sz="0" w:space="0" w:color="auto"/>
      </w:divBdr>
    </w:div>
    <w:div w:id="1367633047">
      <w:bodyDiv w:val="1"/>
      <w:marLeft w:val="0"/>
      <w:marRight w:val="0"/>
      <w:marTop w:val="0"/>
      <w:marBottom w:val="0"/>
      <w:divBdr>
        <w:top w:val="none" w:sz="0" w:space="0" w:color="auto"/>
        <w:left w:val="none" w:sz="0" w:space="0" w:color="auto"/>
        <w:bottom w:val="none" w:sz="0" w:space="0" w:color="auto"/>
        <w:right w:val="none" w:sz="0" w:space="0" w:color="auto"/>
      </w:divBdr>
    </w:div>
    <w:div w:id="1367867939">
      <w:bodyDiv w:val="1"/>
      <w:marLeft w:val="0"/>
      <w:marRight w:val="0"/>
      <w:marTop w:val="0"/>
      <w:marBottom w:val="0"/>
      <w:divBdr>
        <w:top w:val="none" w:sz="0" w:space="0" w:color="auto"/>
        <w:left w:val="none" w:sz="0" w:space="0" w:color="auto"/>
        <w:bottom w:val="none" w:sz="0" w:space="0" w:color="auto"/>
        <w:right w:val="none" w:sz="0" w:space="0" w:color="auto"/>
      </w:divBdr>
    </w:div>
    <w:div w:id="1367951159">
      <w:bodyDiv w:val="1"/>
      <w:marLeft w:val="0"/>
      <w:marRight w:val="0"/>
      <w:marTop w:val="0"/>
      <w:marBottom w:val="0"/>
      <w:divBdr>
        <w:top w:val="none" w:sz="0" w:space="0" w:color="auto"/>
        <w:left w:val="none" w:sz="0" w:space="0" w:color="auto"/>
        <w:bottom w:val="none" w:sz="0" w:space="0" w:color="auto"/>
        <w:right w:val="none" w:sz="0" w:space="0" w:color="auto"/>
      </w:divBdr>
    </w:div>
    <w:div w:id="1368527616">
      <w:bodyDiv w:val="1"/>
      <w:marLeft w:val="0"/>
      <w:marRight w:val="0"/>
      <w:marTop w:val="0"/>
      <w:marBottom w:val="0"/>
      <w:divBdr>
        <w:top w:val="none" w:sz="0" w:space="0" w:color="auto"/>
        <w:left w:val="none" w:sz="0" w:space="0" w:color="auto"/>
        <w:bottom w:val="none" w:sz="0" w:space="0" w:color="auto"/>
        <w:right w:val="none" w:sz="0" w:space="0" w:color="auto"/>
      </w:divBdr>
    </w:div>
    <w:div w:id="1369188146">
      <w:bodyDiv w:val="1"/>
      <w:marLeft w:val="0"/>
      <w:marRight w:val="0"/>
      <w:marTop w:val="0"/>
      <w:marBottom w:val="0"/>
      <w:divBdr>
        <w:top w:val="none" w:sz="0" w:space="0" w:color="auto"/>
        <w:left w:val="none" w:sz="0" w:space="0" w:color="auto"/>
        <w:bottom w:val="none" w:sz="0" w:space="0" w:color="auto"/>
        <w:right w:val="none" w:sz="0" w:space="0" w:color="auto"/>
      </w:divBdr>
    </w:div>
    <w:div w:id="1369336074">
      <w:bodyDiv w:val="1"/>
      <w:marLeft w:val="0"/>
      <w:marRight w:val="0"/>
      <w:marTop w:val="0"/>
      <w:marBottom w:val="0"/>
      <w:divBdr>
        <w:top w:val="none" w:sz="0" w:space="0" w:color="auto"/>
        <w:left w:val="none" w:sz="0" w:space="0" w:color="auto"/>
        <w:bottom w:val="none" w:sz="0" w:space="0" w:color="auto"/>
        <w:right w:val="none" w:sz="0" w:space="0" w:color="auto"/>
      </w:divBdr>
    </w:div>
    <w:div w:id="1369454883">
      <w:bodyDiv w:val="1"/>
      <w:marLeft w:val="0"/>
      <w:marRight w:val="0"/>
      <w:marTop w:val="0"/>
      <w:marBottom w:val="0"/>
      <w:divBdr>
        <w:top w:val="none" w:sz="0" w:space="0" w:color="auto"/>
        <w:left w:val="none" w:sz="0" w:space="0" w:color="auto"/>
        <w:bottom w:val="none" w:sz="0" w:space="0" w:color="auto"/>
        <w:right w:val="none" w:sz="0" w:space="0" w:color="auto"/>
      </w:divBdr>
    </w:div>
    <w:div w:id="1370689697">
      <w:bodyDiv w:val="1"/>
      <w:marLeft w:val="0"/>
      <w:marRight w:val="0"/>
      <w:marTop w:val="0"/>
      <w:marBottom w:val="0"/>
      <w:divBdr>
        <w:top w:val="none" w:sz="0" w:space="0" w:color="auto"/>
        <w:left w:val="none" w:sz="0" w:space="0" w:color="auto"/>
        <w:bottom w:val="none" w:sz="0" w:space="0" w:color="auto"/>
        <w:right w:val="none" w:sz="0" w:space="0" w:color="auto"/>
      </w:divBdr>
    </w:div>
    <w:div w:id="1370760430">
      <w:bodyDiv w:val="1"/>
      <w:marLeft w:val="0"/>
      <w:marRight w:val="0"/>
      <w:marTop w:val="0"/>
      <w:marBottom w:val="0"/>
      <w:divBdr>
        <w:top w:val="none" w:sz="0" w:space="0" w:color="auto"/>
        <w:left w:val="none" w:sz="0" w:space="0" w:color="auto"/>
        <w:bottom w:val="none" w:sz="0" w:space="0" w:color="auto"/>
        <w:right w:val="none" w:sz="0" w:space="0" w:color="auto"/>
      </w:divBdr>
    </w:div>
    <w:div w:id="1370885322">
      <w:bodyDiv w:val="1"/>
      <w:marLeft w:val="0"/>
      <w:marRight w:val="0"/>
      <w:marTop w:val="0"/>
      <w:marBottom w:val="0"/>
      <w:divBdr>
        <w:top w:val="none" w:sz="0" w:space="0" w:color="auto"/>
        <w:left w:val="none" w:sz="0" w:space="0" w:color="auto"/>
        <w:bottom w:val="none" w:sz="0" w:space="0" w:color="auto"/>
        <w:right w:val="none" w:sz="0" w:space="0" w:color="auto"/>
      </w:divBdr>
    </w:div>
    <w:div w:id="1370954718">
      <w:bodyDiv w:val="1"/>
      <w:marLeft w:val="0"/>
      <w:marRight w:val="0"/>
      <w:marTop w:val="0"/>
      <w:marBottom w:val="0"/>
      <w:divBdr>
        <w:top w:val="none" w:sz="0" w:space="0" w:color="auto"/>
        <w:left w:val="none" w:sz="0" w:space="0" w:color="auto"/>
        <w:bottom w:val="none" w:sz="0" w:space="0" w:color="auto"/>
        <w:right w:val="none" w:sz="0" w:space="0" w:color="auto"/>
      </w:divBdr>
    </w:div>
    <w:div w:id="1371415701">
      <w:bodyDiv w:val="1"/>
      <w:marLeft w:val="0"/>
      <w:marRight w:val="0"/>
      <w:marTop w:val="0"/>
      <w:marBottom w:val="0"/>
      <w:divBdr>
        <w:top w:val="none" w:sz="0" w:space="0" w:color="auto"/>
        <w:left w:val="none" w:sz="0" w:space="0" w:color="auto"/>
        <w:bottom w:val="none" w:sz="0" w:space="0" w:color="auto"/>
        <w:right w:val="none" w:sz="0" w:space="0" w:color="auto"/>
      </w:divBdr>
    </w:div>
    <w:div w:id="1372345239">
      <w:bodyDiv w:val="1"/>
      <w:marLeft w:val="0"/>
      <w:marRight w:val="0"/>
      <w:marTop w:val="0"/>
      <w:marBottom w:val="0"/>
      <w:divBdr>
        <w:top w:val="none" w:sz="0" w:space="0" w:color="auto"/>
        <w:left w:val="none" w:sz="0" w:space="0" w:color="auto"/>
        <w:bottom w:val="none" w:sz="0" w:space="0" w:color="auto"/>
        <w:right w:val="none" w:sz="0" w:space="0" w:color="auto"/>
      </w:divBdr>
    </w:div>
    <w:div w:id="1372533438">
      <w:bodyDiv w:val="1"/>
      <w:marLeft w:val="0"/>
      <w:marRight w:val="0"/>
      <w:marTop w:val="0"/>
      <w:marBottom w:val="0"/>
      <w:divBdr>
        <w:top w:val="none" w:sz="0" w:space="0" w:color="auto"/>
        <w:left w:val="none" w:sz="0" w:space="0" w:color="auto"/>
        <w:bottom w:val="none" w:sz="0" w:space="0" w:color="auto"/>
        <w:right w:val="none" w:sz="0" w:space="0" w:color="auto"/>
      </w:divBdr>
    </w:div>
    <w:div w:id="1373189925">
      <w:bodyDiv w:val="1"/>
      <w:marLeft w:val="0"/>
      <w:marRight w:val="0"/>
      <w:marTop w:val="0"/>
      <w:marBottom w:val="0"/>
      <w:divBdr>
        <w:top w:val="none" w:sz="0" w:space="0" w:color="auto"/>
        <w:left w:val="none" w:sz="0" w:space="0" w:color="auto"/>
        <w:bottom w:val="none" w:sz="0" w:space="0" w:color="auto"/>
        <w:right w:val="none" w:sz="0" w:space="0" w:color="auto"/>
      </w:divBdr>
    </w:div>
    <w:div w:id="1373647860">
      <w:bodyDiv w:val="1"/>
      <w:marLeft w:val="0"/>
      <w:marRight w:val="0"/>
      <w:marTop w:val="0"/>
      <w:marBottom w:val="0"/>
      <w:divBdr>
        <w:top w:val="none" w:sz="0" w:space="0" w:color="auto"/>
        <w:left w:val="none" w:sz="0" w:space="0" w:color="auto"/>
        <w:bottom w:val="none" w:sz="0" w:space="0" w:color="auto"/>
        <w:right w:val="none" w:sz="0" w:space="0" w:color="auto"/>
      </w:divBdr>
    </w:div>
    <w:div w:id="1374690668">
      <w:bodyDiv w:val="1"/>
      <w:marLeft w:val="0"/>
      <w:marRight w:val="0"/>
      <w:marTop w:val="0"/>
      <w:marBottom w:val="0"/>
      <w:divBdr>
        <w:top w:val="none" w:sz="0" w:space="0" w:color="auto"/>
        <w:left w:val="none" w:sz="0" w:space="0" w:color="auto"/>
        <w:bottom w:val="none" w:sz="0" w:space="0" w:color="auto"/>
        <w:right w:val="none" w:sz="0" w:space="0" w:color="auto"/>
      </w:divBdr>
    </w:div>
    <w:div w:id="1374889263">
      <w:bodyDiv w:val="1"/>
      <w:marLeft w:val="0"/>
      <w:marRight w:val="0"/>
      <w:marTop w:val="0"/>
      <w:marBottom w:val="0"/>
      <w:divBdr>
        <w:top w:val="none" w:sz="0" w:space="0" w:color="auto"/>
        <w:left w:val="none" w:sz="0" w:space="0" w:color="auto"/>
        <w:bottom w:val="none" w:sz="0" w:space="0" w:color="auto"/>
        <w:right w:val="none" w:sz="0" w:space="0" w:color="auto"/>
      </w:divBdr>
    </w:div>
    <w:div w:id="1375688576">
      <w:bodyDiv w:val="1"/>
      <w:marLeft w:val="0"/>
      <w:marRight w:val="0"/>
      <w:marTop w:val="0"/>
      <w:marBottom w:val="0"/>
      <w:divBdr>
        <w:top w:val="none" w:sz="0" w:space="0" w:color="auto"/>
        <w:left w:val="none" w:sz="0" w:space="0" w:color="auto"/>
        <w:bottom w:val="none" w:sz="0" w:space="0" w:color="auto"/>
        <w:right w:val="none" w:sz="0" w:space="0" w:color="auto"/>
      </w:divBdr>
    </w:div>
    <w:div w:id="1375929524">
      <w:bodyDiv w:val="1"/>
      <w:marLeft w:val="0"/>
      <w:marRight w:val="0"/>
      <w:marTop w:val="0"/>
      <w:marBottom w:val="0"/>
      <w:divBdr>
        <w:top w:val="none" w:sz="0" w:space="0" w:color="auto"/>
        <w:left w:val="none" w:sz="0" w:space="0" w:color="auto"/>
        <w:bottom w:val="none" w:sz="0" w:space="0" w:color="auto"/>
        <w:right w:val="none" w:sz="0" w:space="0" w:color="auto"/>
      </w:divBdr>
    </w:div>
    <w:div w:id="1376151869">
      <w:bodyDiv w:val="1"/>
      <w:marLeft w:val="0"/>
      <w:marRight w:val="0"/>
      <w:marTop w:val="0"/>
      <w:marBottom w:val="0"/>
      <w:divBdr>
        <w:top w:val="none" w:sz="0" w:space="0" w:color="auto"/>
        <w:left w:val="none" w:sz="0" w:space="0" w:color="auto"/>
        <w:bottom w:val="none" w:sz="0" w:space="0" w:color="auto"/>
        <w:right w:val="none" w:sz="0" w:space="0" w:color="auto"/>
      </w:divBdr>
    </w:div>
    <w:div w:id="1376390298">
      <w:bodyDiv w:val="1"/>
      <w:marLeft w:val="0"/>
      <w:marRight w:val="0"/>
      <w:marTop w:val="0"/>
      <w:marBottom w:val="0"/>
      <w:divBdr>
        <w:top w:val="none" w:sz="0" w:space="0" w:color="auto"/>
        <w:left w:val="none" w:sz="0" w:space="0" w:color="auto"/>
        <w:bottom w:val="none" w:sz="0" w:space="0" w:color="auto"/>
        <w:right w:val="none" w:sz="0" w:space="0" w:color="auto"/>
      </w:divBdr>
    </w:div>
    <w:div w:id="1376470894">
      <w:bodyDiv w:val="1"/>
      <w:marLeft w:val="0"/>
      <w:marRight w:val="0"/>
      <w:marTop w:val="0"/>
      <w:marBottom w:val="0"/>
      <w:divBdr>
        <w:top w:val="none" w:sz="0" w:space="0" w:color="auto"/>
        <w:left w:val="none" w:sz="0" w:space="0" w:color="auto"/>
        <w:bottom w:val="none" w:sz="0" w:space="0" w:color="auto"/>
        <w:right w:val="none" w:sz="0" w:space="0" w:color="auto"/>
      </w:divBdr>
    </w:div>
    <w:div w:id="1376924633">
      <w:bodyDiv w:val="1"/>
      <w:marLeft w:val="0"/>
      <w:marRight w:val="0"/>
      <w:marTop w:val="0"/>
      <w:marBottom w:val="0"/>
      <w:divBdr>
        <w:top w:val="none" w:sz="0" w:space="0" w:color="auto"/>
        <w:left w:val="none" w:sz="0" w:space="0" w:color="auto"/>
        <w:bottom w:val="none" w:sz="0" w:space="0" w:color="auto"/>
        <w:right w:val="none" w:sz="0" w:space="0" w:color="auto"/>
      </w:divBdr>
    </w:div>
    <w:div w:id="1377121453">
      <w:bodyDiv w:val="1"/>
      <w:marLeft w:val="0"/>
      <w:marRight w:val="0"/>
      <w:marTop w:val="0"/>
      <w:marBottom w:val="0"/>
      <w:divBdr>
        <w:top w:val="none" w:sz="0" w:space="0" w:color="auto"/>
        <w:left w:val="none" w:sz="0" w:space="0" w:color="auto"/>
        <w:bottom w:val="none" w:sz="0" w:space="0" w:color="auto"/>
        <w:right w:val="none" w:sz="0" w:space="0" w:color="auto"/>
      </w:divBdr>
    </w:div>
    <w:div w:id="1377387542">
      <w:bodyDiv w:val="1"/>
      <w:marLeft w:val="0"/>
      <w:marRight w:val="0"/>
      <w:marTop w:val="0"/>
      <w:marBottom w:val="0"/>
      <w:divBdr>
        <w:top w:val="none" w:sz="0" w:space="0" w:color="auto"/>
        <w:left w:val="none" w:sz="0" w:space="0" w:color="auto"/>
        <w:bottom w:val="none" w:sz="0" w:space="0" w:color="auto"/>
        <w:right w:val="none" w:sz="0" w:space="0" w:color="auto"/>
      </w:divBdr>
    </w:div>
    <w:div w:id="1377394124">
      <w:bodyDiv w:val="1"/>
      <w:marLeft w:val="0"/>
      <w:marRight w:val="0"/>
      <w:marTop w:val="0"/>
      <w:marBottom w:val="0"/>
      <w:divBdr>
        <w:top w:val="none" w:sz="0" w:space="0" w:color="auto"/>
        <w:left w:val="none" w:sz="0" w:space="0" w:color="auto"/>
        <w:bottom w:val="none" w:sz="0" w:space="0" w:color="auto"/>
        <w:right w:val="none" w:sz="0" w:space="0" w:color="auto"/>
      </w:divBdr>
    </w:div>
    <w:div w:id="1377778601">
      <w:bodyDiv w:val="1"/>
      <w:marLeft w:val="0"/>
      <w:marRight w:val="0"/>
      <w:marTop w:val="0"/>
      <w:marBottom w:val="0"/>
      <w:divBdr>
        <w:top w:val="none" w:sz="0" w:space="0" w:color="auto"/>
        <w:left w:val="none" w:sz="0" w:space="0" w:color="auto"/>
        <w:bottom w:val="none" w:sz="0" w:space="0" w:color="auto"/>
        <w:right w:val="none" w:sz="0" w:space="0" w:color="auto"/>
      </w:divBdr>
    </w:div>
    <w:div w:id="1378356201">
      <w:bodyDiv w:val="1"/>
      <w:marLeft w:val="0"/>
      <w:marRight w:val="0"/>
      <w:marTop w:val="0"/>
      <w:marBottom w:val="0"/>
      <w:divBdr>
        <w:top w:val="none" w:sz="0" w:space="0" w:color="auto"/>
        <w:left w:val="none" w:sz="0" w:space="0" w:color="auto"/>
        <w:bottom w:val="none" w:sz="0" w:space="0" w:color="auto"/>
        <w:right w:val="none" w:sz="0" w:space="0" w:color="auto"/>
      </w:divBdr>
    </w:div>
    <w:div w:id="1378552289">
      <w:bodyDiv w:val="1"/>
      <w:marLeft w:val="0"/>
      <w:marRight w:val="0"/>
      <w:marTop w:val="0"/>
      <w:marBottom w:val="0"/>
      <w:divBdr>
        <w:top w:val="none" w:sz="0" w:space="0" w:color="auto"/>
        <w:left w:val="none" w:sz="0" w:space="0" w:color="auto"/>
        <w:bottom w:val="none" w:sz="0" w:space="0" w:color="auto"/>
        <w:right w:val="none" w:sz="0" w:space="0" w:color="auto"/>
      </w:divBdr>
    </w:div>
    <w:div w:id="1378970853">
      <w:bodyDiv w:val="1"/>
      <w:marLeft w:val="0"/>
      <w:marRight w:val="0"/>
      <w:marTop w:val="0"/>
      <w:marBottom w:val="0"/>
      <w:divBdr>
        <w:top w:val="none" w:sz="0" w:space="0" w:color="auto"/>
        <w:left w:val="none" w:sz="0" w:space="0" w:color="auto"/>
        <w:bottom w:val="none" w:sz="0" w:space="0" w:color="auto"/>
        <w:right w:val="none" w:sz="0" w:space="0" w:color="auto"/>
      </w:divBdr>
    </w:div>
    <w:div w:id="1380130892">
      <w:bodyDiv w:val="1"/>
      <w:marLeft w:val="0"/>
      <w:marRight w:val="0"/>
      <w:marTop w:val="0"/>
      <w:marBottom w:val="0"/>
      <w:divBdr>
        <w:top w:val="none" w:sz="0" w:space="0" w:color="auto"/>
        <w:left w:val="none" w:sz="0" w:space="0" w:color="auto"/>
        <w:bottom w:val="none" w:sz="0" w:space="0" w:color="auto"/>
        <w:right w:val="none" w:sz="0" w:space="0" w:color="auto"/>
      </w:divBdr>
    </w:div>
    <w:div w:id="1380324039">
      <w:bodyDiv w:val="1"/>
      <w:marLeft w:val="0"/>
      <w:marRight w:val="0"/>
      <w:marTop w:val="0"/>
      <w:marBottom w:val="0"/>
      <w:divBdr>
        <w:top w:val="none" w:sz="0" w:space="0" w:color="auto"/>
        <w:left w:val="none" w:sz="0" w:space="0" w:color="auto"/>
        <w:bottom w:val="none" w:sz="0" w:space="0" w:color="auto"/>
        <w:right w:val="none" w:sz="0" w:space="0" w:color="auto"/>
      </w:divBdr>
    </w:div>
    <w:div w:id="1380398309">
      <w:bodyDiv w:val="1"/>
      <w:marLeft w:val="0"/>
      <w:marRight w:val="0"/>
      <w:marTop w:val="0"/>
      <w:marBottom w:val="0"/>
      <w:divBdr>
        <w:top w:val="none" w:sz="0" w:space="0" w:color="auto"/>
        <w:left w:val="none" w:sz="0" w:space="0" w:color="auto"/>
        <w:bottom w:val="none" w:sz="0" w:space="0" w:color="auto"/>
        <w:right w:val="none" w:sz="0" w:space="0" w:color="auto"/>
      </w:divBdr>
    </w:div>
    <w:div w:id="1380469219">
      <w:bodyDiv w:val="1"/>
      <w:marLeft w:val="0"/>
      <w:marRight w:val="0"/>
      <w:marTop w:val="0"/>
      <w:marBottom w:val="0"/>
      <w:divBdr>
        <w:top w:val="none" w:sz="0" w:space="0" w:color="auto"/>
        <w:left w:val="none" w:sz="0" w:space="0" w:color="auto"/>
        <w:bottom w:val="none" w:sz="0" w:space="0" w:color="auto"/>
        <w:right w:val="none" w:sz="0" w:space="0" w:color="auto"/>
      </w:divBdr>
    </w:div>
    <w:div w:id="1380788243">
      <w:bodyDiv w:val="1"/>
      <w:marLeft w:val="0"/>
      <w:marRight w:val="0"/>
      <w:marTop w:val="0"/>
      <w:marBottom w:val="0"/>
      <w:divBdr>
        <w:top w:val="none" w:sz="0" w:space="0" w:color="auto"/>
        <w:left w:val="none" w:sz="0" w:space="0" w:color="auto"/>
        <w:bottom w:val="none" w:sz="0" w:space="0" w:color="auto"/>
        <w:right w:val="none" w:sz="0" w:space="0" w:color="auto"/>
      </w:divBdr>
    </w:div>
    <w:div w:id="1380981163">
      <w:bodyDiv w:val="1"/>
      <w:marLeft w:val="0"/>
      <w:marRight w:val="0"/>
      <w:marTop w:val="0"/>
      <w:marBottom w:val="0"/>
      <w:divBdr>
        <w:top w:val="none" w:sz="0" w:space="0" w:color="auto"/>
        <w:left w:val="none" w:sz="0" w:space="0" w:color="auto"/>
        <w:bottom w:val="none" w:sz="0" w:space="0" w:color="auto"/>
        <w:right w:val="none" w:sz="0" w:space="0" w:color="auto"/>
      </w:divBdr>
    </w:div>
    <w:div w:id="1381439881">
      <w:bodyDiv w:val="1"/>
      <w:marLeft w:val="0"/>
      <w:marRight w:val="0"/>
      <w:marTop w:val="0"/>
      <w:marBottom w:val="0"/>
      <w:divBdr>
        <w:top w:val="none" w:sz="0" w:space="0" w:color="auto"/>
        <w:left w:val="none" w:sz="0" w:space="0" w:color="auto"/>
        <w:bottom w:val="none" w:sz="0" w:space="0" w:color="auto"/>
        <w:right w:val="none" w:sz="0" w:space="0" w:color="auto"/>
      </w:divBdr>
    </w:div>
    <w:div w:id="1381513584">
      <w:bodyDiv w:val="1"/>
      <w:marLeft w:val="0"/>
      <w:marRight w:val="0"/>
      <w:marTop w:val="0"/>
      <w:marBottom w:val="0"/>
      <w:divBdr>
        <w:top w:val="none" w:sz="0" w:space="0" w:color="auto"/>
        <w:left w:val="none" w:sz="0" w:space="0" w:color="auto"/>
        <w:bottom w:val="none" w:sz="0" w:space="0" w:color="auto"/>
        <w:right w:val="none" w:sz="0" w:space="0" w:color="auto"/>
      </w:divBdr>
    </w:div>
    <w:div w:id="1381519671">
      <w:bodyDiv w:val="1"/>
      <w:marLeft w:val="0"/>
      <w:marRight w:val="0"/>
      <w:marTop w:val="0"/>
      <w:marBottom w:val="0"/>
      <w:divBdr>
        <w:top w:val="none" w:sz="0" w:space="0" w:color="auto"/>
        <w:left w:val="none" w:sz="0" w:space="0" w:color="auto"/>
        <w:bottom w:val="none" w:sz="0" w:space="0" w:color="auto"/>
        <w:right w:val="none" w:sz="0" w:space="0" w:color="auto"/>
      </w:divBdr>
    </w:div>
    <w:div w:id="1382093196">
      <w:bodyDiv w:val="1"/>
      <w:marLeft w:val="0"/>
      <w:marRight w:val="0"/>
      <w:marTop w:val="0"/>
      <w:marBottom w:val="0"/>
      <w:divBdr>
        <w:top w:val="none" w:sz="0" w:space="0" w:color="auto"/>
        <w:left w:val="none" w:sz="0" w:space="0" w:color="auto"/>
        <w:bottom w:val="none" w:sz="0" w:space="0" w:color="auto"/>
        <w:right w:val="none" w:sz="0" w:space="0" w:color="auto"/>
      </w:divBdr>
    </w:div>
    <w:div w:id="1382554056">
      <w:bodyDiv w:val="1"/>
      <w:marLeft w:val="0"/>
      <w:marRight w:val="0"/>
      <w:marTop w:val="0"/>
      <w:marBottom w:val="0"/>
      <w:divBdr>
        <w:top w:val="none" w:sz="0" w:space="0" w:color="auto"/>
        <w:left w:val="none" w:sz="0" w:space="0" w:color="auto"/>
        <w:bottom w:val="none" w:sz="0" w:space="0" w:color="auto"/>
        <w:right w:val="none" w:sz="0" w:space="0" w:color="auto"/>
      </w:divBdr>
    </w:div>
    <w:div w:id="1382748125">
      <w:bodyDiv w:val="1"/>
      <w:marLeft w:val="0"/>
      <w:marRight w:val="0"/>
      <w:marTop w:val="0"/>
      <w:marBottom w:val="0"/>
      <w:divBdr>
        <w:top w:val="none" w:sz="0" w:space="0" w:color="auto"/>
        <w:left w:val="none" w:sz="0" w:space="0" w:color="auto"/>
        <w:bottom w:val="none" w:sz="0" w:space="0" w:color="auto"/>
        <w:right w:val="none" w:sz="0" w:space="0" w:color="auto"/>
      </w:divBdr>
    </w:div>
    <w:div w:id="1383092697">
      <w:bodyDiv w:val="1"/>
      <w:marLeft w:val="0"/>
      <w:marRight w:val="0"/>
      <w:marTop w:val="0"/>
      <w:marBottom w:val="0"/>
      <w:divBdr>
        <w:top w:val="none" w:sz="0" w:space="0" w:color="auto"/>
        <w:left w:val="none" w:sz="0" w:space="0" w:color="auto"/>
        <w:bottom w:val="none" w:sz="0" w:space="0" w:color="auto"/>
        <w:right w:val="none" w:sz="0" w:space="0" w:color="auto"/>
      </w:divBdr>
    </w:div>
    <w:div w:id="1384407817">
      <w:bodyDiv w:val="1"/>
      <w:marLeft w:val="0"/>
      <w:marRight w:val="0"/>
      <w:marTop w:val="0"/>
      <w:marBottom w:val="0"/>
      <w:divBdr>
        <w:top w:val="none" w:sz="0" w:space="0" w:color="auto"/>
        <w:left w:val="none" w:sz="0" w:space="0" w:color="auto"/>
        <w:bottom w:val="none" w:sz="0" w:space="0" w:color="auto"/>
        <w:right w:val="none" w:sz="0" w:space="0" w:color="auto"/>
      </w:divBdr>
    </w:div>
    <w:div w:id="1385104966">
      <w:bodyDiv w:val="1"/>
      <w:marLeft w:val="0"/>
      <w:marRight w:val="0"/>
      <w:marTop w:val="0"/>
      <w:marBottom w:val="0"/>
      <w:divBdr>
        <w:top w:val="none" w:sz="0" w:space="0" w:color="auto"/>
        <w:left w:val="none" w:sz="0" w:space="0" w:color="auto"/>
        <w:bottom w:val="none" w:sz="0" w:space="0" w:color="auto"/>
        <w:right w:val="none" w:sz="0" w:space="0" w:color="auto"/>
      </w:divBdr>
    </w:div>
    <w:div w:id="1385642152">
      <w:bodyDiv w:val="1"/>
      <w:marLeft w:val="0"/>
      <w:marRight w:val="0"/>
      <w:marTop w:val="0"/>
      <w:marBottom w:val="0"/>
      <w:divBdr>
        <w:top w:val="none" w:sz="0" w:space="0" w:color="auto"/>
        <w:left w:val="none" w:sz="0" w:space="0" w:color="auto"/>
        <w:bottom w:val="none" w:sz="0" w:space="0" w:color="auto"/>
        <w:right w:val="none" w:sz="0" w:space="0" w:color="auto"/>
      </w:divBdr>
    </w:div>
    <w:div w:id="1386026050">
      <w:bodyDiv w:val="1"/>
      <w:marLeft w:val="0"/>
      <w:marRight w:val="0"/>
      <w:marTop w:val="0"/>
      <w:marBottom w:val="0"/>
      <w:divBdr>
        <w:top w:val="none" w:sz="0" w:space="0" w:color="auto"/>
        <w:left w:val="none" w:sz="0" w:space="0" w:color="auto"/>
        <w:bottom w:val="none" w:sz="0" w:space="0" w:color="auto"/>
        <w:right w:val="none" w:sz="0" w:space="0" w:color="auto"/>
      </w:divBdr>
    </w:div>
    <w:div w:id="1386103773">
      <w:bodyDiv w:val="1"/>
      <w:marLeft w:val="0"/>
      <w:marRight w:val="0"/>
      <w:marTop w:val="0"/>
      <w:marBottom w:val="0"/>
      <w:divBdr>
        <w:top w:val="none" w:sz="0" w:space="0" w:color="auto"/>
        <w:left w:val="none" w:sz="0" w:space="0" w:color="auto"/>
        <w:bottom w:val="none" w:sz="0" w:space="0" w:color="auto"/>
        <w:right w:val="none" w:sz="0" w:space="0" w:color="auto"/>
      </w:divBdr>
    </w:div>
    <w:div w:id="1386414477">
      <w:bodyDiv w:val="1"/>
      <w:marLeft w:val="0"/>
      <w:marRight w:val="0"/>
      <w:marTop w:val="0"/>
      <w:marBottom w:val="0"/>
      <w:divBdr>
        <w:top w:val="none" w:sz="0" w:space="0" w:color="auto"/>
        <w:left w:val="none" w:sz="0" w:space="0" w:color="auto"/>
        <w:bottom w:val="none" w:sz="0" w:space="0" w:color="auto"/>
        <w:right w:val="none" w:sz="0" w:space="0" w:color="auto"/>
      </w:divBdr>
    </w:div>
    <w:div w:id="1387601463">
      <w:bodyDiv w:val="1"/>
      <w:marLeft w:val="0"/>
      <w:marRight w:val="0"/>
      <w:marTop w:val="0"/>
      <w:marBottom w:val="0"/>
      <w:divBdr>
        <w:top w:val="none" w:sz="0" w:space="0" w:color="auto"/>
        <w:left w:val="none" w:sz="0" w:space="0" w:color="auto"/>
        <w:bottom w:val="none" w:sz="0" w:space="0" w:color="auto"/>
        <w:right w:val="none" w:sz="0" w:space="0" w:color="auto"/>
      </w:divBdr>
    </w:div>
    <w:div w:id="1387795331">
      <w:bodyDiv w:val="1"/>
      <w:marLeft w:val="0"/>
      <w:marRight w:val="0"/>
      <w:marTop w:val="0"/>
      <w:marBottom w:val="0"/>
      <w:divBdr>
        <w:top w:val="none" w:sz="0" w:space="0" w:color="auto"/>
        <w:left w:val="none" w:sz="0" w:space="0" w:color="auto"/>
        <w:bottom w:val="none" w:sz="0" w:space="0" w:color="auto"/>
        <w:right w:val="none" w:sz="0" w:space="0" w:color="auto"/>
      </w:divBdr>
    </w:div>
    <w:div w:id="1388724410">
      <w:bodyDiv w:val="1"/>
      <w:marLeft w:val="0"/>
      <w:marRight w:val="0"/>
      <w:marTop w:val="0"/>
      <w:marBottom w:val="0"/>
      <w:divBdr>
        <w:top w:val="none" w:sz="0" w:space="0" w:color="auto"/>
        <w:left w:val="none" w:sz="0" w:space="0" w:color="auto"/>
        <w:bottom w:val="none" w:sz="0" w:space="0" w:color="auto"/>
        <w:right w:val="none" w:sz="0" w:space="0" w:color="auto"/>
      </w:divBdr>
    </w:div>
    <w:div w:id="1388988269">
      <w:bodyDiv w:val="1"/>
      <w:marLeft w:val="0"/>
      <w:marRight w:val="0"/>
      <w:marTop w:val="0"/>
      <w:marBottom w:val="0"/>
      <w:divBdr>
        <w:top w:val="none" w:sz="0" w:space="0" w:color="auto"/>
        <w:left w:val="none" w:sz="0" w:space="0" w:color="auto"/>
        <w:bottom w:val="none" w:sz="0" w:space="0" w:color="auto"/>
        <w:right w:val="none" w:sz="0" w:space="0" w:color="auto"/>
      </w:divBdr>
    </w:div>
    <w:div w:id="1389257556">
      <w:bodyDiv w:val="1"/>
      <w:marLeft w:val="0"/>
      <w:marRight w:val="0"/>
      <w:marTop w:val="0"/>
      <w:marBottom w:val="0"/>
      <w:divBdr>
        <w:top w:val="none" w:sz="0" w:space="0" w:color="auto"/>
        <w:left w:val="none" w:sz="0" w:space="0" w:color="auto"/>
        <w:bottom w:val="none" w:sz="0" w:space="0" w:color="auto"/>
        <w:right w:val="none" w:sz="0" w:space="0" w:color="auto"/>
      </w:divBdr>
    </w:div>
    <w:div w:id="1390037279">
      <w:bodyDiv w:val="1"/>
      <w:marLeft w:val="0"/>
      <w:marRight w:val="0"/>
      <w:marTop w:val="0"/>
      <w:marBottom w:val="0"/>
      <w:divBdr>
        <w:top w:val="none" w:sz="0" w:space="0" w:color="auto"/>
        <w:left w:val="none" w:sz="0" w:space="0" w:color="auto"/>
        <w:bottom w:val="none" w:sz="0" w:space="0" w:color="auto"/>
        <w:right w:val="none" w:sz="0" w:space="0" w:color="auto"/>
      </w:divBdr>
    </w:div>
    <w:div w:id="1390225766">
      <w:bodyDiv w:val="1"/>
      <w:marLeft w:val="0"/>
      <w:marRight w:val="0"/>
      <w:marTop w:val="0"/>
      <w:marBottom w:val="0"/>
      <w:divBdr>
        <w:top w:val="none" w:sz="0" w:space="0" w:color="auto"/>
        <w:left w:val="none" w:sz="0" w:space="0" w:color="auto"/>
        <w:bottom w:val="none" w:sz="0" w:space="0" w:color="auto"/>
        <w:right w:val="none" w:sz="0" w:space="0" w:color="auto"/>
      </w:divBdr>
    </w:div>
    <w:div w:id="1390228407">
      <w:bodyDiv w:val="1"/>
      <w:marLeft w:val="0"/>
      <w:marRight w:val="0"/>
      <w:marTop w:val="0"/>
      <w:marBottom w:val="0"/>
      <w:divBdr>
        <w:top w:val="none" w:sz="0" w:space="0" w:color="auto"/>
        <w:left w:val="none" w:sz="0" w:space="0" w:color="auto"/>
        <w:bottom w:val="none" w:sz="0" w:space="0" w:color="auto"/>
        <w:right w:val="none" w:sz="0" w:space="0" w:color="auto"/>
      </w:divBdr>
    </w:div>
    <w:div w:id="1391730284">
      <w:bodyDiv w:val="1"/>
      <w:marLeft w:val="0"/>
      <w:marRight w:val="0"/>
      <w:marTop w:val="0"/>
      <w:marBottom w:val="0"/>
      <w:divBdr>
        <w:top w:val="none" w:sz="0" w:space="0" w:color="auto"/>
        <w:left w:val="none" w:sz="0" w:space="0" w:color="auto"/>
        <w:bottom w:val="none" w:sz="0" w:space="0" w:color="auto"/>
        <w:right w:val="none" w:sz="0" w:space="0" w:color="auto"/>
      </w:divBdr>
    </w:div>
    <w:div w:id="1392461264">
      <w:bodyDiv w:val="1"/>
      <w:marLeft w:val="0"/>
      <w:marRight w:val="0"/>
      <w:marTop w:val="0"/>
      <w:marBottom w:val="0"/>
      <w:divBdr>
        <w:top w:val="none" w:sz="0" w:space="0" w:color="auto"/>
        <w:left w:val="none" w:sz="0" w:space="0" w:color="auto"/>
        <w:bottom w:val="none" w:sz="0" w:space="0" w:color="auto"/>
        <w:right w:val="none" w:sz="0" w:space="0" w:color="auto"/>
      </w:divBdr>
    </w:div>
    <w:div w:id="1393193940">
      <w:bodyDiv w:val="1"/>
      <w:marLeft w:val="0"/>
      <w:marRight w:val="0"/>
      <w:marTop w:val="0"/>
      <w:marBottom w:val="0"/>
      <w:divBdr>
        <w:top w:val="none" w:sz="0" w:space="0" w:color="auto"/>
        <w:left w:val="none" w:sz="0" w:space="0" w:color="auto"/>
        <w:bottom w:val="none" w:sz="0" w:space="0" w:color="auto"/>
        <w:right w:val="none" w:sz="0" w:space="0" w:color="auto"/>
      </w:divBdr>
    </w:div>
    <w:div w:id="1393775208">
      <w:bodyDiv w:val="1"/>
      <w:marLeft w:val="0"/>
      <w:marRight w:val="0"/>
      <w:marTop w:val="0"/>
      <w:marBottom w:val="0"/>
      <w:divBdr>
        <w:top w:val="none" w:sz="0" w:space="0" w:color="auto"/>
        <w:left w:val="none" w:sz="0" w:space="0" w:color="auto"/>
        <w:bottom w:val="none" w:sz="0" w:space="0" w:color="auto"/>
        <w:right w:val="none" w:sz="0" w:space="0" w:color="auto"/>
      </w:divBdr>
    </w:div>
    <w:div w:id="1394306149">
      <w:bodyDiv w:val="1"/>
      <w:marLeft w:val="0"/>
      <w:marRight w:val="0"/>
      <w:marTop w:val="0"/>
      <w:marBottom w:val="0"/>
      <w:divBdr>
        <w:top w:val="none" w:sz="0" w:space="0" w:color="auto"/>
        <w:left w:val="none" w:sz="0" w:space="0" w:color="auto"/>
        <w:bottom w:val="none" w:sz="0" w:space="0" w:color="auto"/>
        <w:right w:val="none" w:sz="0" w:space="0" w:color="auto"/>
      </w:divBdr>
    </w:div>
    <w:div w:id="1394498698">
      <w:bodyDiv w:val="1"/>
      <w:marLeft w:val="0"/>
      <w:marRight w:val="0"/>
      <w:marTop w:val="0"/>
      <w:marBottom w:val="0"/>
      <w:divBdr>
        <w:top w:val="none" w:sz="0" w:space="0" w:color="auto"/>
        <w:left w:val="none" w:sz="0" w:space="0" w:color="auto"/>
        <w:bottom w:val="none" w:sz="0" w:space="0" w:color="auto"/>
        <w:right w:val="none" w:sz="0" w:space="0" w:color="auto"/>
      </w:divBdr>
    </w:div>
    <w:div w:id="1394547769">
      <w:bodyDiv w:val="1"/>
      <w:marLeft w:val="0"/>
      <w:marRight w:val="0"/>
      <w:marTop w:val="0"/>
      <w:marBottom w:val="0"/>
      <w:divBdr>
        <w:top w:val="none" w:sz="0" w:space="0" w:color="auto"/>
        <w:left w:val="none" w:sz="0" w:space="0" w:color="auto"/>
        <w:bottom w:val="none" w:sz="0" w:space="0" w:color="auto"/>
        <w:right w:val="none" w:sz="0" w:space="0" w:color="auto"/>
      </w:divBdr>
    </w:div>
    <w:div w:id="1395005091">
      <w:bodyDiv w:val="1"/>
      <w:marLeft w:val="0"/>
      <w:marRight w:val="0"/>
      <w:marTop w:val="0"/>
      <w:marBottom w:val="0"/>
      <w:divBdr>
        <w:top w:val="none" w:sz="0" w:space="0" w:color="auto"/>
        <w:left w:val="none" w:sz="0" w:space="0" w:color="auto"/>
        <w:bottom w:val="none" w:sz="0" w:space="0" w:color="auto"/>
        <w:right w:val="none" w:sz="0" w:space="0" w:color="auto"/>
      </w:divBdr>
    </w:div>
    <w:div w:id="1395274477">
      <w:bodyDiv w:val="1"/>
      <w:marLeft w:val="0"/>
      <w:marRight w:val="0"/>
      <w:marTop w:val="0"/>
      <w:marBottom w:val="0"/>
      <w:divBdr>
        <w:top w:val="none" w:sz="0" w:space="0" w:color="auto"/>
        <w:left w:val="none" w:sz="0" w:space="0" w:color="auto"/>
        <w:bottom w:val="none" w:sz="0" w:space="0" w:color="auto"/>
        <w:right w:val="none" w:sz="0" w:space="0" w:color="auto"/>
      </w:divBdr>
    </w:div>
    <w:div w:id="1395393302">
      <w:bodyDiv w:val="1"/>
      <w:marLeft w:val="0"/>
      <w:marRight w:val="0"/>
      <w:marTop w:val="0"/>
      <w:marBottom w:val="0"/>
      <w:divBdr>
        <w:top w:val="none" w:sz="0" w:space="0" w:color="auto"/>
        <w:left w:val="none" w:sz="0" w:space="0" w:color="auto"/>
        <w:bottom w:val="none" w:sz="0" w:space="0" w:color="auto"/>
        <w:right w:val="none" w:sz="0" w:space="0" w:color="auto"/>
      </w:divBdr>
    </w:div>
    <w:div w:id="1395735473">
      <w:bodyDiv w:val="1"/>
      <w:marLeft w:val="0"/>
      <w:marRight w:val="0"/>
      <w:marTop w:val="0"/>
      <w:marBottom w:val="0"/>
      <w:divBdr>
        <w:top w:val="none" w:sz="0" w:space="0" w:color="auto"/>
        <w:left w:val="none" w:sz="0" w:space="0" w:color="auto"/>
        <w:bottom w:val="none" w:sz="0" w:space="0" w:color="auto"/>
        <w:right w:val="none" w:sz="0" w:space="0" w:color="auto"/>
      </w:divBdr>
    </w:div>
    <w:div w:id="1395935313">
      <w:bodyDiv w:val="1"/>
      <w:marLeft w:val="0"/>
      <w:marRight w:val="0"/>
      <w:marTop w:val="0"/>
      <w:marBottom w:val="0"/>
      <w:divBdr>
        <w:top w:val="none" w:sz="0" w:space="0" w:color="auto"/>
        <w:left w:val="none" w:sz="0" w:space="0" w:color="auto"/>
        <w:bottom w:val="none" w:sz="0" w:space="0" w:color="auto"/>
        <w:right w:val="none" w:sz="0" w:space="0" w:color="auto"/>
      </w:divBdr>
    </w:div>
    <w:div w:id="1396245260">
      <w:bodyDiv w:val="1"/>
      <w:marLeft w:val="0"/>
      <w:marRight w:val="0"/>
      <w:marTop w:val="0"/>
      <w:marBottom w:val="0"/>
      <w:divBdr>
        <w:top w:val="none" w:sz="0" w:space="0" w:color="auto"/>
        <w:left w:val="none" w:sz="0" w:space="0" w:color="auto"/>
        <w:bottom w:val="none" w:sz="0" w:space="0" w:color="auto"/>
        <w:right w:val="none" w:sz="0" w:space="0" w:color="auto"/>
      </w:divBdr>
    </w:div>
    <w:div w:id="1396665678">
      <w:bodyDiv w:val="1"/>
      <w:marLeft w:val="0"/>
      <w:marRight w:val="0"/>
      <w:marTop w:val="0"/>
      <w:marBottom w:val="0"/>
      <w:divBdr>
        <w:top w:val="none" w:sz="0" w:space="0" w:color="auto"/>
        <w:left w:val="none" w:sz="0" w:space="0" w:color="auto"/>
        <w:bottom w:val="none" w:sz="0" w:space="0" w:color="auto"/>
        <w:right w:val="none" w:sz="0" w:space="0" w:color="auto"/>
      </w:divBdr>
    </w:div>
    <w:div w:id="1397512959">
      <w:bodyDiv w:val="1"/>
      <w:marLeft w:val="0"/>
      <w:marRight w:val="0"/>
      <w:marTop w:val="0"/>
      <w:marBottom w:val="0"/>
      <w:divBdr>
        <w:top w:val="none" w:sz="0" w:space="0" w:color="auto"/>
        <w:left w:val="none" w:sz="0" w:space="0" w:color="auto"/>
        <w:bottom w:val="none" w:sz="0" w:space="0" w:color="auto"/>
        <w:right w:val="none" w:sz="0" w:space="0" w:color="auto"/>
      </w:divBdr>
    </w:div>
    <w:div w:id="1397555733">
      <w:bodyDiv w:val="1"/>
      <w:marLeft w:val="0"/>
      <w:marRight w:val="0"/>
      <w:marTop w:val="0"/>
      <w:marBottom w:val="0"/>
      <w:divBdr>
        <w:top w:val="none" w:sz="0" w:space="0" w:color="auto"/>
        <w:left w:val="none" w:sz="0" w:space="0" w:color="auto"/>
        <w:bottom w:val="none" w:sz="0" w:space="0" w:color="auto"/>
        <w:right w:val="none" w:sz="0" w:space="0" w:color="auto"/>
      </w:divBdr>
    </w:div>
    <w:div w:id="1397968059">
      <w:bodyDiv w:val="1"/>
      <w:marLeft w:val="0"/>
      <w:marRight w:val="0"/>
      <w:marTop w:val="0"/>
      <w:marBottom w:val="0"/>
      <w:divBdr>
        <w:top w:val="none" w:sz="0" w:space="0" w:color="auto"/>
        <w:left w:val="none" w:sz="0" w:space="0" w:color="auto"/>
        <w:bottom w:val="none" w:sz="0" w:space="0" w:color="auto"/>
        <w:right w:val="none" w:sz="0" w:space="0" w:color="auto"/>
      </w:divBdr>
    </w:div>
    <w:div w:id="1399984778">
      <w:bodyDiv w:val="1"/>
      <w:marLeft w:val="0"/>
      <w:marRight w:val="0"/>
      <w:marTop w:val="0"/>
      <w:marBottom w:val="0"/>
      <w:divBdr>
        <w:top w:val="none" w:sz="0" w:space="0" w:color="auto"/>
        <w:left w:val="none" w:sz="0" w:space="0" w:color="auto"/>
        <w:bottom w:val="none" w:sz="0" w:space="0" w:color="auto"/>
        <w:right w:val="none" w:sz="0" w:space="0" w:color="auto"/>
      </w:divBdr>
    </w:div>
    <w:div w:id="1400248037">
      <w:bodyDiv w:val="1"/>
      <w:marLeft w:val="0"/>
      <w:marRight w:val="0"/>
      <w:marTop w:val="0"/>
      <w:marBottom w:val="0"/>
      <w:divBdr>
        <w:top w:val="none" w:sz="0" w:space="0" w:color="auto"/>
        <w:left w:val="none" w:sz="0" w:space="0" w:color="auto"/>
        <w:bottom w:val="none" w:sz="0" w:space="0" w:color="auto"/>
        <w:right w:val="none" w:sz="0" w:space="0" w:color="auto"/>
      </w:divBdr>
    </w:div>
    <w:div w:id="1400714270">
      <w:bodyDiv w:val="1"/>
      <w:marLeft w:val="0"/>
      <w:marRight w:val="0"/>
      <w:marTop w:val="0"/>
      <w:marBottom w:val="0"/>
      <w:divBdr>
        <w:top w:val="none" w:sz="0" w:space="0" w:color="auto"/>
        <w:left w:val="none" w:sz="0" w:space="0" w:color="auto"/>
        <w:bottom w:val="none" w:sz="0" w:space="0" w:color="auto"/>
        <w:right w:val="none" w:sz="0" w:space="0" w:color="auto"/>
      </w:divBdr>
    </w:div>
    <w:div w:id="1402555833">
      <w:bodyDiv w:val="1"/>
      <w:marLeft w:val="0"/>
      <w:marRight w:val="0"/>
      <w:marTop w:val="0"/>
      <w:marBottom w:val="0"/>
      <w:divBdr>
        <w:top w:val="none" w:sz="0" w:space="0" w:color="auto"/>
        <w:left w:val="none" w:sz="0" w:space="0" w:color="auto"/>
        <w:bottom w:val="none" w:sz="0" w:space="0" w:color="auto"/>
        <w:right w:val="none" w:sz="0" w:space="0" w:color="auto"/>
      </w:divBdr>
    </w:div>
    <w:div w:id="1402603388">
      <w:bodyDiv w:val="1"/>
      <w:marLeft w:val="0"/>
      <w:marRight w:val="0"/>
      <w:marTop w:val="0"/>
      <w:marBottom w:val="0"/>
      <w:divBdr>
        <w:top w:val="none" w:sz="0" w:space="0" w:color="auto"/>
        <w:left w:val="none" w:sz="0" w:space="0" w:color="auto"/>
        <w:bottom w:val="none" w:sz="0" w:space="0" w:color="auto"/>
        <w:right w:val="none" w:sz="0" w:space="0" w:color="auto"/>
      </w:divBdr>
    </w:div>
    <w:div w:id="1402630108">
      <w:bodyDiv w:val="1"/>
      <w:marLeft w:val="0"/>
      <w:marRight w:val="0"/>
      <w:marTop w:val="0"/>
      <w:marBottom w:val="0"/>
      <w:divBdr>
        <w:top w:val="none" w:sz="0" w:space="0" w:color="auto"/>
        <w:left w:val="none" w:sz="0" w:space="0" w:color="auto"/>
        <w:bottom w:val="none" w:sz="0" w:space="0" w:color="auto"/>
        <w:right w:val="none" w:sz="0" w:space="0" w:color="auto"/>
      </w:divBdr>
    </w:div>
    <w:div w:id="1402630550">
      <w:bodyDiv w:val="1"/>
      <w:marLeft w:val="0"/>
      <w:marRight w:val="0"/>
      <w:marTop w:val="0"/>
      <w:marBottom w:val="0"/>
      <w:divBdr>
        <w:top w:val="none" w:sz="0" w:space="0" w:color="auto"/>
        <w:left w:val="none" w:sz="0" w:space="0" w:color="auto"/>
        <w:bottom w:val="none" w:sz="0" w:space="0" w:color="auto"/>
        <w:right w:val="none" w:sz="0" w:space="0" w:color="auto"/>
      </w:divBdr>
    </w:div>
    <w:div w:id="1403022049">
      <w:bodyDiv w:val="1"/>
      <w:marLeft w:val="0"/>
      <w:marRight w:val="0"/>
      <w:marTop w:val="0"/>
      <w:marBottom w:val="0"/>
      <w:divBdr>
        <w:top w:val="none" w:sz="0" w:space="0" w:color="auto"/>
        <w:left w:val="none" w:sz="0" w:space="0" w:color="auto"/>
        <w:bottom w:val="none" w:sz="0" w:space="0" w:color="auto"/>
        <w:right w:val="none" w:sz="0" w:space="0" w:color="auto"/>
      </w:divBdr>
    </w:div>
    <w:div w:id="1403135989">
      <w:bodyDiv w:val="1"/>
      <w:marLeft w:val="0"/>
      <w:marRight w:val="0"/>
      <w:marTop w:val="0"/>
      <w:marBottom w:val="0"/>
      <w:divBdr>
        <w:top w:val="none" w:sz="0" w:space="0" w:color="auto"/>
        <w:left w:val="none" w:sz="0" w:space="0" w:color="auto"/>
        <w:bottom w:val="none" w:sz="0" w:space="0" w:color="auto"/>
        <w:right w:val="none" w:sz="0" w:space="0" w:color="auto"/>
      </w:divBdr>
    </w:div>
    <w:div w:id="1403211329">
      <w:bodyDiv w:val="1"/>
      <w:marLeft w:val="0"/>
      <w:marRight w:val="0"/>
      <w:marTop w:val="0"/>
      <w:marBottom w:val="0"/>
      <w:divBdr>
        <w:top w:val="none" w:sz="0" w:space="0" w:color="auto"/>
        <w:left w:val="none" w:sz="0" w:space="0" w:color="auto"/>
        <w:bottom w:val="none" w:sz="0" w:space="0" w:color="auto"/>
        <w:right w:val="none" w:sz="0" w:space="0" w:color="auto"/>
      </w:divBdr>
    </w:div>
    <w:div w:id="1403455510">
      <w:bodyDiv w:val="1"/>
      <w:marLeft w:val="0"/>
      <w:marRight w:val="0"/>
      <w:marTop w:val="0"/>
      <w:marBottom w:val="0"/>
      <w:divBdr>
        <w:top w:val="none" w:sz="0" w:space="0" w:color="auto"/>
        <w:left w:val="none" w:sz="0" w:space="0" w:color="auto"/>
        <w:bottom w:val="none" w:sz="0" w:space="0" w:color="auto"/>
        <w:right w:val="none" w:sz="0" w:space="0" w:color="auto"/>
      </w:divBdr>
    </w:div>
    <w:div w:id="1404259959">
      <w:bodyDiv w:val="1"/>
      <w:marLeft w:val="0"/>
      <w:marRight w:val="0"/>
      <w:marTop w:val="0"/>
      <w:marBottom w:val="0"/>
      <w:divBdr>
        <w:top w:val="none" w:sz="0" w:space="0" w:color="auto"/>
        <w:left w:val="none" w:sz="0" w:space="0" w:color="auto"/>
        <w:bottom w:val="none" w:sz="0" w:space="0" w:color="auto"/>
        <w:right w:val="none" w:sz="0" w:space="0" w:color="auto"/>
      </w:divBdr>
    </w:div>
    <w:div w:id="1404717780">
      <w:bodyDiv w:val="1"/>
      <w:marLeft w:val="0"/>
      <w:marRight w:val="0"/>
      <w:marTop w:val="0"/>
      <w:marBottom w:val="0"/>
      <w:divBdr>
        <w:top w:val="none" w:sz="0" w:space="0" w:color="auto"/>
        <w:left w:val="none" w:sz="0" w:space="0" w:color="auto"/>
        <w:bottom w:val="none" w:sz="0" w:space="0" w:color="auto"/>
        <w:right w:val="none" w:sz="0" w:space="0" w:color="auto"/>
      </w:divBdr>
    </w:div>
    <w:div w:id="1405570211">
      <w:bodyDiv w:val="1"/>
      <w:marLeft w:val="0"/>
      <w:marRight w:val="0"/>
      <w:marTop w:val="0"/>
      <w:marBottom w:val="0"/>
      <w:divBdr>
        <w:top w:val="none" w:sz="0" w:space="0" w:color="auto"/>
        <w:left w:val="none" w:sz="0" w:space="0" w:color="auto"/>
        <w:bottom w:val="none" w:sz="0" w:space="0" w:color="auto"/>
        <w:right w:val="none" w:sz="0" w:space="0" w:color="auto"/>
      </w:divBdr>
    </w:div>
    <w:div w:id="1405638916">
      <w:bodyDiv w:val="1"/>
      <w:marLeft w:val="0"/>
      <w:marRight w:val="0"/>
      <w:marTop w:val="0"/>
      <w:marBottom w:val="0"/>
      <w:divBdr>
        <w:top w:val="none" w:sz="0" w:space="0" w:color="auto"/>
        <w:left w:val="none" w:sz="0" w:space="0" w:color="auto"/>
        <w:bottom w:val="none" w:sz="0" w:space="0" w:color="auto"/>
        <w:right w:val="none" w:sz="0" w:space="0" w:color="auto"/>
      </w:divBdr>
    </w:div>
    <w:div w:id="1405907089">
      <w:bodyDiv w:val="1"/>
      <w:marLeft w:val="0"/>
      <w:marRight w:val="0"/>
      <w:marTop w:val="0"/>
      <w:marBottom w:val="0"/>
      <w:divBdr>
        <w:top w:val="none" w:sz="0" w:space="0" w:color="auto"/>
        <w:left w:val="none" w:sz="0" w:space="0" w:color="auto"/>
        <w:bottom w:val="none" w:sz="0" w:space="0" w:color="auto"/>
        <w:right w:val="none" w:sz="0" w:space="0" w:color="auto"/>
      </w:divBdr>
    </w:div>
    <w:div w:id="1405949433">
      <w:bodyDiv w:val="1"/>
      <w:marLeft w:val="0"/>
      <w:marRight w:val="0"/>
      <w:marTop w:val="0"/>
      <w:marBottom w:val="0"/>
      <w:divBdr>
        <w:top w:val="none" w:sz="0" w:space="0" w:color="auto"/>
        <w:left w:val="none" w:sz="0" w:space="0" w:color="auto"/>
        <w:bottom w:val="none" w:sz="0" w:space="0" w:color="auto"/>
        <w:right w:val="none" w:sz="0" w:space="0" w:color="auto"/>
      </w:divBdr>
    </w:div>
    <w:div w:id="1405954846">
      <w:bodyDiv w:val="1"/>
      <w:marLeft w:val="0"/>
      <w:marRight w:val="0"/>
      <w:marTop w:val="0"/>
      <w:marBottom w:val="0"/>
      <w:divBdr>
        <w:top w:val="none" w:sz="0" w:space="0" w:color="auto"/>
        <w:left w:val="none" w:sz="0" w:space="0" w:color="auto"/>
        <w:bottom w:val="none" w:sz="0" w:space="0" w:color="auto"/>
        <w:right w:val="none" w:sz="0" w:space="0" w:color="auto"/>
      </w:divBdr>
    </w:div>
    <w:div w:id="1406223119">
      <w:bodyDiv w:val="1"/>
      <w:marLeft w:val="0"/>
      <w:marRight w:val="0"/>
      <w:marTop w:val="0"/>
      <w:marBottom w:val="0"/>
      <w:divBdr>
        <w:top w:val="none" w:sz="0" w:space="0" w:color="auto"/>
        <w:left w:val="none" w:sz="0" w:space="0" w:color="auto"/>
        <w:bottom w:val="none" w:sz="0" w:space="0" w:color="auto"/>
        <w:right w:val="none" w:sz="0" w:space="0" w:color="auto"/>
      </w:divBdr>
    </w:div>
    <w:div w:id="1406683740">
      <w:bodyDiv w:val="1"/>
      <w:marLeft w:val="0"/>
      <w:marRight w:val="0"/>
      <w:marTop w:val="0"/>
      <w:marBottom w:val="0"/>
      <w:divBdr>
        <w:top w:val="none" w:sz="0" w:space="0" w:color="auto"/>
        <w:left w:val="none" w:sz="0" w:space="0" w:color="auto"/>
        <w:bottom w:val="none" w:sz="0" w:space="0" w:color="auto"/>
        <w:right w:val="none" w:sz="0" w:space="0" w:color="auto"/>
      </w:divBdr>
    </w:div>
    <w:div w:id="1407611038">
      <w:bodyDiv w:val="1"/>
      <w:marLeft w:val="0"/>
      <w:marRight w:val="0"/>
      <w:marTop w:val="0"/>
      <w:marBottom w:val="0"/>
      <w:divBdr>
        <w:top w:val="none" w:sz="0" w:space="0" w:color="auto"/>
        <w:left w:val="none" w:sz="0" w:space="0" w:color="auto"/>
        <w:bottom w:val="none" w:sz="0" w:space="0" w:color="auto"/>
        <w:right w:val="none" w:sz="0" w:space="0" w:color="auto"/>
      </w:divBdr>
    </w:div>
    <w:div w:id="1407915202">
      <w:bodyDiv w:val="1"/>
      <w:marLeft w:val="0"/>
      <w:marRight w:val="0"/>
      <w:marTop w:val="0"/>
      <w:marBottom w:val="0"/>
      <w:divBdr>
        <w:top w:val="none" w:sz="0" w:space="0" w:color="auto"/>
        <w:left w:val="none" w:sz="0" w:space="0" w:color="auto"/>
        <w:bottom w:val="none" w:sz="0" w:space="0" w:color="auto"/>
        <w:right w:val="none" w:sz="0" w:space="0" w:color="auto"/>
      </w:divBdr>
    </w:div>
    <w:div w:id="1408068198">
      <w:bodyDiv w:val="1"/>
      <w:marLeft w:val="0"/>
      <w:marRight w:val="0"/>
      <w:marTop w:val="0"/>
      <w:marBottom w:val="0"/>
      <w:divBdr>
        <w:top w:val="none" w:sz="0" w:space="0" w:color="auto"/>
        <w:left w:val="none" w:sz="0" w:space="0" w:color="auto"/>
        <w:bottom w:val="none" w:sz="0" w:space="0" w:color="auto"/>
        <w:right w:val="none" w:sz="0" w:space="0" w:color="auto"/>
      </w:divBdr>
    </w:div>
    <w:div w:id="1408453990">
      <w:bodyDiv w:val="1"/>
      <w:marLeft w:val="0"/>
      <w:marRight w:val="0"/>
      <w:marTop w:val="0"/>
      <w:marBottom w:val="0"/>
      <w:divBdr>
        <w:top w:val="none" w:sz="0" w:space="0" w:color="auto"/>
        <w:left w:val="none" w:sz="0" w:space="0" w:color="auto"/>
        <w:bottom w:val="none" w:sz="0" w:space="0" w:color="auto"/>
        <w:right w:val="none" w:sz="0" w:space="0" w:color="auto"/>
      </w:divBdr>
    </w:div>
    <w:div w:id="1408574716">
      <w:bodyDiv w:val="1"/>
      <w:marLeft w:val="0"/>
      <w:marRight w:val="0"/>
      <w:marTop w:val="0"/>
      <w:marBottom w:val="0"/>
      <w:divBdr>
        <w:top w:val="none" w:sz="0" w:space="0" w:color="auto"/>
        <w:left w:val="none" w:sz="0" w:space="0" w:color="auto"/>
        <w:bottom w:val="none" w:sz="0" w:space="0" w:color="auto"/>
        <w:right w:val="none" w:sz="0" w:space="0" w:color="auto"/>
      </w:divBdr>
    </w:div>
    <w:div w:id="1409226455">
      <w:bodyDiv w:val="1"/>
      <w:marLeft w:val="0"/>
      <w:marRight w:val="0"/>
      <w:marTop w:val="0"/>
      <w:marBottom w:val="0"/>
      <w:divBdr>
        <w:top w:val="none" w:sz="0" w:space="0" w:color="auto"/>
        <w:left w:val="none" w:sz="0" w:space="0" w:color="auto"/>
        <w:bottom w:val="none" w:sz="0" w:space="0" w:color="auto"/>
        <w:right w:val="none" w:sz="0" w:space="0" w:color="auto"/>
      </w:divBdr>
    </w:div>
    <w:div w:id="1409233726">
      <w:bodyDiv w:val="1"/>
      <w:marLeft w:val="0"/>
      <w:marRight w:val="0"/>
      <w:marTop w:val="0"/>
      <w:marBottom w:val="0"/>
      <w:divBdr>
        <w:top w:val="none" w:sz="0" w:space="0" w:color="auto"/>
        <w:left w:val="none" w:sz="0" w:space="0" w:color="auto"/>
        <w:bottom w:val="none" w:sz="0" w:space="0" w:color="auto"/>
        <w:right w:val="none" w:sz="0" w:space="0" w:color="auto"/>
      </w:divBdr>
    </w:div>
    <w:div w:id="1411150968">
      <w:bodyDiv w:val="1"/>
      <w:marLeft w:val="0"/>
      <w:marRight w:val="0"/>
      <w:marTop w:val="0"/>
      <w:marBottom w:val="0"/>
      <w:divBdr>
        <w:top w:val="none" w:sz="0" w:space="0" w:color="auto"/>
        <w:left w:val="none" w:sz="0" w:space="0" w:color="auto"/>
        <w:bottom w:val="none" w:sz="0" w:space="0" w:color="auto"/>
        <w:right w:val="none" w:sz="0" w:space="0" w:color="auto"/>
      </w:divBdr>
    </w:div>
    <w:div w:id="1411468001">
      <w:bodyDiv w:val="1"/>
      <w:marLeft w:val="0"/>
      <w:marRight w:val="0"/>
      <w:marTop w:val="0"/>
      <w:marBottom w:val="0"/>
      <w:divBdr>
        <w:top w:val="none" w:sz="0" w:space="0" w:color="auto"/>
        <w:left w:val="none" w:sz="0" w:space="0" w:color="auto"/>
        <w:bottom w:val="none" w:sz="0" w:space="0" w:color="auto"/>
        <w:right w:val="none" w:sz="0" w:space="0" w:color="auto"/>
      </w:divBdr>
    </w:div>
    <w:div w:id="1412003119">
      <w:bodyDiv w:val="1"/>
      <w:marLeft w:val="0"/>
      <w:marRight w:val="0"/>
      <w:marTop w:val="0"/>
      <w:marBottom w:val="0"/>
      <w:divBdr>
        <w:top w:val="none" w:sz="0" w:space="0" w:color="auto"/>
        <w:left w:val="none" w:sz="0" w:space="0" w:color="auto"/>
        <w:bottom w:val="none" w:sz="0" w:space="0" w:color="auto"/>
        <w:right w:val="none" w:sz="0" w:space="0" w:color="auto"/>
      </w:divBdr>
    </w:div>
    <w:div w:id="1412116696">
      <w:bodyDiv w:val="1"/>
      <w:marLeft w:val="0"/>
      <w:marRight w:val="0"/>
      <w:marTop w:val="0"/>
      <w:marBottom w:val="0"/>
      <w:divBdr>
        <w:top w:val="none" w:sz="0" w:space="0" w:color="auto"/>
        <w:left w:val="none" w:sz="0" w:space="0" w:color="auto"/>
        <w:bottom w:val="none" w:sz="0" w:space="0" w:color="auto"/>
        <w:right w:val="none" w:sz="0" w:space="0" w:color="auto"/>
      </w:divBdr>
    </w:div>
    <w:div w:id="1413236684">
      <w:bodyDiv w:val="1"/>
      <w:marLeft w:val="0"/>
      <w:marRight w:val="0"/>
      <w:marTop w:val="0"/>
      <w:marBottom w:val="0"/>
      <w:divBdr>
        <w:top w:val="none" w:sz="0" w:space="0" w:color="auto"/>
        <w:left w:val="none" w:sz="0" w:space="0" w:color="auto"/>
        <w:bottom w:val="none" w:sz="0" w:space="0" w:color="auto"/>
        <w:right w:val="none" w:sz="0" w:space="0" w:color="auto"/>
      </w:divBdr>
    </w:div>
    <w:div w:id="1413429878">
      <w:bodyDiv w:val="1"/>
      <w:marLeft w:val="0"/>
      <w:marRight w:val="0"/>
      <w:marTop w:val="0"/>
      <w:marBottom w:val="0"/>
      <w:divBdr>
        <w:top w:val="none" w:sz="0" w:space="0" w:color="auto"/>
        <w:left w:val="none" w:sz="0" w:space="0" w:color="auto"/>
        <w:bottom w:val="none" w:sz="0" w:space="0" w:color="auto"/>
        <w:right w:val="none" w:sz="0" w:space="0" w:color="auto"/>
      </w:divBdr>
    </w:div>
    <w:div w:id="1413890400">
      <w:bodyDiv w:val="1"/>
      <w:marLeft w:val="0"/>
      <w:marRight w:val="0"/>
      <w:marTop w:val="0"/>
      <w:marBottom w:val="0"/>
      <w:divBdr>
        <w:top w:val="none" w:sz="0" w:space="0" w:color="auto"/>
        <w:left w:val="none" w:sz="0" w:space="0" w:color="auto"/>
        <w:bottom w:val="none" w:sz="0" w:space="0" w:color="auto"/>
        <w:right w:val="none" w:sz="0" w:space="0" w:color="auto"/>
      </w:divBdr>
    </w:div>
    <w:div w:id="1414208341">
      <w:bodyDiv w:val="1"/>
      <w:marLeft w:val="0"/>
      <w:marRight w:val="0"/>
      <w:marTop w:val="0"/>
      <w:marBottom w:val="0"/>
      <w:divBdr>
        <w:top w:val="none" w:sz="0" w:space="0" w:color="auto"/>
        <w:left w:val="none" w:sz="0" w:space="0" w:color="auto"/>
        <w:bottom w:val="none" w:sz="0" w:space="0" w:color="auto"/>
        <w:right w:val="none" w:sz="0" w:space="0" w:color="auto"/>
      </w:divBdr>
    </w:div>
    <w:div w:id="1415738037">
      <w:bodyDiv w:val="1"/>
      <w:marLeft w:val="0"/>
      <w:marRight w:val="0"/>
      <w:marTop w:val="0"/>
      <w:marBottom w:val="0"/>
      <w:divBdr>
        <w:top w:val="none" w:sz="0" w:space="0" w:color="auto"/>
        <w:left w:val="none" w:sz="0" w:space="0" w:color="auto"/>
        <w:bottom w:val="none" w:sz="0" w:space="0" w:color="auto"/>
        <w:right w:val="none" w:sz="0" w:space="0" w:color="auto"/>
      </w:divBdr>
    </w:div>
    <w:div w:id="1416054622">
      <w:bodyDiv w:val="1"/>
      <w:marLeft w:val="0"/>
      <w:marRight w:val="0"/>
      <w:marTop w:val="0"/>
      <w:marBottom w:val="0"/>
      <w:divBdr>
        <w:top w:val="none" w:sz="0" w:space="0" w:color="auto"/>
        <w:left w:val="none" w:sz="0" w:space="0" w:color="auto"/>
        <w:bottom w:val="none" w:sz="0" w:space="0" w:color="auto"/>
        <w:right w:val="none" w:sz="0" w:space="0" w:color="auto"/>
      </w:divBdr>
    </w:div>
    <w:div w:id="1416320043">
      <w:bodyDiv w:val="1"/>
      <w:marLeft w:val="0"/>
      <w:marRight w:val="0"/>
      <w:marTop w:val="0"/>
      <w:marBottom w:val="0"/>
      <w:divBdr>
        <w:top w:val="none" w:sz="0" w:space="0" w:color="auto"/>
        <w:left w:val="none" w:sz="0" w:space="0" w:color="auto"/>
        <w:bottom w:val="none" w:sz="0" w:space="0" w:color="auto"/>
        <w:right w:val="none" w:sz="0" w:space="0" w:color="auto"/>
      </w:divBdr>
    </w:div>
    <w:div w:id="1416635365">
      <w:bodyDiv w:val="1"/>
      <w:marLeft w:val="0"/>
      <w:marRight w:val="0"/>
      <w:marTop w:val="0"/>
      <w:marBottom w:val="0"/>
      <w:divBdr>
        <w:top w:val="none" w:sz="0" w:space="0" w:color="auto"/>
        <w:left w:val="none" w:sz="0" w:space="0" w:color="auto"/>
        <w:bottom w:val="none" w:sz="0" w:space="0" w:color="auto"/>
        <w:right w:val="none" w:sz="0" w:space="0" w:color="auto"/>
      </w:divBdr>
    </w:div>
    <w:div w:id="1416825276">
      <w:bodyDiv w:val="1"/>
      <w:marLeft w:val="0"/>
      <w:marRight w:val="0"/>
      <w:marTop w:val="0"/>
      <w:marBottom w:val="0"/>
      <w:divBdr>
        <w:top w:val="none" w:sz="0" w:space="0" w:color="auto"/>
        <w:left w:val="none" w:sz="0" w:space="0" w:color="auto"/>
        <w:bottom w:val="none" w:sz="0" w:space="0" w:color="auto"/>
        <w:right w:val="none" w:sz="0" w:space="0" w:color="auto"/>
      </w:divBdr>
    </w:div>
    <w:div w:id="1416980105">
      <w:bodyDiv w:val="1"/>
      <w:marLeft w:val="0"/>
      <w:marRight w:val="0"/>
      <w:marTop w:val="0"/>
      <w:marBottom w:val="0"/>
      <w:divBdr>
        <w:top w:val="none" w:sz="0" w:space="0" w:color="auto"/>
        <w:left w:val="none" w:sz="0" w:space="0" w:color="auto"/>
        <w:bottom w:val="none" w:sz="0" w:space="0" w:color="auto"/>
        <w:right w:val="none" w:sz="0" w:space="0" w:color="auto"/>
      </w:divBdr>
    </w:div>
    <w:div w:id="1417047027">
      <w:bodyDiv w:val="1"/>
      <w:marLeft w:val="0"/>
      <w:marRight w:val="0"/>
      <w:marTop w:val="0"/>
      <w:marBottom w:val="0"/>
      <w:divBdr>
        <w:top w:val="none" w:sz="0" w:space="0" w:color="auto"/>
        <w:left w:val="none" w:sz="0" w:space="0" w:color="auto"/>
        <w:bottom w:val="none" w:sz="0" w:space="0" w:color="auto"/>
        <w:right w:val="none" w:sz="0" w:space="0" w:color="auto"/>
      </w:divBdr>
    </w:div>
    <w:div w:id="1417089810">
      <w:bodyDiv w:val="1"/>
      <w:marLeft w:val="0"/>
      <w:marRight w:val="0"/>
      <w:marTop w:val="0"/>
      <w:marBottom w:val="0"/>
      <w:divBdr>
        <w:top w:val="none" w:sz="0" w:space="0" w:color="auto"/>
        <w:left w:val="none" w:sz="0" w:space="0" w:color="auto"/>
        <w:bottom w:val="none" w:sz="0" w:space="0" w:color="auto"/>
        <w:right w:val="none" w:sz="0" w:space="0" w:color="auto"/>
      </w:divBdr>
    </w:div>
    <w:div w:id="1418284638">
      <w:bodyDiv w:val="1"/>
      <w:marLeft w:val="0"/>
      <w:marRight w:val="0"/>
      <w:marTop w:val="0"/>
      <w:marBottom w:val="0"/>
      <w:divBdr>
        <w:top w:val="none" w:sz="0" w:space="0" w:color="auto"/>
        <w:left w:val="none" w:sz="0" w:space="0" w:color="auto"/>
        <w:bottom w:val="none" w:sz="0" w:space="0" w:color="auto"/>
        <w:right w:val="none" w:sz="0" w:space="0" w:color="auto"/>
      </w:divBdr>
    </w:div>
    <w:div w:id="1418937438">
      <w:bodyDiv w:val="1"/>
      <w:marLeft w:val="0"/>
      <w:marRight w:val="0"/>
      <w:marTop w:val="0"/>
      <w:marBottom w:val="0"/>
      <w:divBdr>
        <w:top w:val="none" w:sz="0" w:space="0" w:color="auto"/>
        <w:left w:val="none" w:sz="0" w:space="0" w:color="auto"/>
        <w:bottom w:val="none" w:sz="0" w:space="0" w:color="auto"/>
        <w:right w:val="none" w:sz="0" w:space="0" w:color="auto"/>
      </w:divBdr>
    </w:div>
    <w:div w:id="1418940503">
      <w:bodyDiv w:val="1"/>
      <w:marLeft w:val="0"/>
      <w:marRight w:val="0"/>
      <w:marTop w:val="0"/>
      <w:marBottom w:val="0"/>
      <w:divBdr>
        <w:top w:val="none" w:sz="0" w:space="0" w:color="auto"/>
        <w:left w:val="none" w:sz="0" w:space="0" w:color="auto"/>
        <w:bottom w:val="none" w:sz="0" w:space="0" w:color="auto"/>
        <w:right w:val="none" w:sz="0" w:space="0" w:color="auto"/>
      </w:divBdr>
    </w:div>
    <w:div w:id="1419519176">
      <w:bodyDiv w:val="1"/>
      <w:marLeft w:val="0"/>
      <w:marRight w:val="0"/>
      <w:marTop w:val="0"/>
      <w:marBottom w:val="0"/>
      <w:divBdr>
        <w:top w:val="none" w:sz="0" w:space="0" w:color="auto"/>
        <w:left w:val="none" w:sz="0" w:space="0" w:color="auto"/>
        <w:bottom w:val="none" w:sz="0" w:space="0" w:color="auto"/>
        <w:right w:val="none" w:sz="0" w:space="0" w:color="auto"/>
      </w:divBdr>
    </w:div>
    <w:div w:id="1420521974">
      <w:bodyDiv w:val="1"/>
      <w:marLeft w:val="0"/>
      <w:marRight w:val="0"/>
      <w:marTop w:val="0"/>
      <w:marBottom w:val="0"/>
      <w:divBdr>
        <w:top w:val="none" w:sz="0" w:space="0" w:color="auto"/>
        <w:left w:val="none" w:sz="0" w:space="0" w:color="auto"/>
        <w:bottom w:val="none" w:sz="0" w:space="0" w:color="auto"/>
        <w:right w:val="none" w:sz="0" w:space="0" w:color="auto"/>
      </w:divBdr>
    </w:div>
    <w:div w:id="1420952503">
      <w:bodyDiv w:val="1"/>
      <w:marLeft w:val="0"/>
      <w:marRight w:val="0"/>
      <w:marTop w:val="0"/>
      <w:marBottom w:val="0"/>
      <w:divBdr>
        <w:top w:val="none" w:sz="0" w:space="0" w:color="auto"/>
        <w:left w:val="none" w:sz="0" w:space="0" w:color="auto"/>
        <w:bottom w:val="none" w:sz="0" w:space="0" w:color="auto"/>
        <w:right w:val="none" w:sz="0" w:space="0" w:color="auto"/>
      </w:divBdr>
    </w:div>
    <w:div w:id="1421633382">
      <w:bodyDiv w:val="1"/>
      <w:marLeft w:val="0"/>
      <w:marRight w:val="0"/>
      <w:marTop w:val="0"/>
      <w:marBottom w:val="0"/>
      <w:divBdr>
        <w:top w:val="none" w:sz="0" w:space="0" w:color="auto"/>
        <w:left w:val="none" w:sz="0" w:space="0" w:color="auto"/>
        <w:bottom w:val="none" w:sz="0" w:space="0" w:color="auto"/>
        <w:right w:val="none" w:sz="0" w:space="0" w:color="auto"/>
      </w:divBdr>
    </w:div>
    <w:div w:id="1422995553">
      <w:bodyDiv w:val="1"/>
      <w:marLeft w:val="0"/>
      <w:marRight w:val="0"/>
      <w:marTop w:val="0"/>
      <w:marBottom w:val="0"/>
      <w:divBdr>
        <w:top w:val="none" w:sz="0" w:space="0" w:color="auto"/>
        <w:left w:val="none" w:sz="0" w:space="0" w:color="auto"/>
        <w:bottom w:val="none" w:sz="0" w:space="0" w:color="auto"/>
        <w:right w:val="none" w:sz="0" w:space="0" w:color="auto"/>
      </w:divBdr>
    </w:div>
    <w:div w:id="1423917631">
      <w:bodyDiv w:val="1"/>
      <w:marLeft w:val="0"/>
      <w:marRight w:val="0"/>
      <w:marTop w:val="0"/>
      <w:marBottom w:val="0"/>
      <w:divBdr>
        <w:top w:val="none" w:sz="0" w:space="0" w:color="auto"/>
        <w:left w:val="none" w:sz="0" w:space="0" w:color="auto"/>
        <w:bottom w:val="none" w:sz="0" w:space="0" w:color="auto"/>
        <w:right w:val="none" w:sz="0" w:space="0" w:color="auto"/>
      </w:divBdr>
    </w:div>
    <w:div w:id="1424301909">
      <w:bodyDiv w:val="1"/>
      <w:marLeft w:val="0"/>
      <w:marRight w:val="0"/>
      <w:marTop w:val="0"/>
      <w:marBottom w:val="0"/>
      <w:divBdr>
        <w:top w:val="none" w:sz="0" w:space="0" w:color="auto"/>
        <w:left w:val="none" w:sz="0" w:space="0" w:color="auto"/>
        <w:bottom w:val="none" w:sz="0" w:space="0" w:color="auto"/>
        <w:right w:val="none" w:sz="0" w:space="0" w:color="auto"/>
      </w:divBdr>
    </w:div>
    <w:div w:id="1424447398">
      <w:bodyDiv w:val="1"/>
      <w:marLeft w:val="0"/>
      <w:marRight w:val="0"/>
      <w:marTop w:val="0"/>
      <w:marBottom w:val="0"/>
      <w:divBdr>
        <w:top w:val="none" w:sz="0" w:space="0" w:color="auto"/>
        <w:left w:val="none" w:sz="0" w:space="0" w:color="auto"/>
        <w:bottom w:val="none" w:sz="0" w:space="0" w:color="auto"/>
        <w:right w:val="none" w:sz="0" w:space="0" w:color="auto"/>
      </w:divBdr>
    </w:div>
    <w:div w:id="1424884109">
      <w:bodyDiv w:val="1"/>
      <w:marLeft w:val="0"/>
      <w:marRight w:val="0"/>
      <w:marTop w:val="0"/>
      <w:marBottom w:val="0"/>
      <w:divBdr>
        <w:top w:val="none" w:sz="0" w:space="0" w:color="auto"/>
        <w:left w:val="none" w:sz="0" w:space="0" w:color="auto"/>
        <w:bottom w:val="none" w:sz="0" w:space="0" w:color="auto"/>
        <w:right w:val="none" w:sz="0" w:space="0" w:color="auto"/>
      </w:divBdr>
    </w:div>
    <w:div w:id="1425106019">
      <w:bodyDiv w:val="1"/>
      <w:marLeft w:val="0"/>
      <w:marRight w:val="0"/>
      <w:marTop w:val="0"/>
      <w:marBottom w:val="0"/>
      <w:divBdr>
        <w:top w:val="none" w:sz="0" w:space="0" w:color="auto"/>
        <w:left w:val="none" w:sz="0" w:space="0" w:color="auto"/>
        <w:bottom w:val="none" w:sz="0" w:space="0" w:color="auto"/>
        <w:right w:val="none" w:sz="0" w:space="0" w:color="auto"/>
      </w:divBdr>
    </w:div>
    <w:div w:id="1425491247">
      <w:bodyDiv w:val="1"/>
      <w:marLeft w:val="0"/>
      <w:marRight w:val="0"/>
      <w:marTop w:val="0"/>
      <w:marBottom w:val="0"/>
      <w:divBdr>
        <w:top w:val="none" w:sz="0" w:space="0" w:color="auto"/>
        <w:left w:val="none" w:sz="0" w:space="0" w:color="auto"/>
        <w:bottom w:val="none" w:sz="0" w:space="0" w:color="auto"/>
        <w:right w:val="none" w:sz="0" w:space="0" w:color="auto"/>
      </w:divBdr>
    </w:div>
    <w:div w:id="1426225637">
      <w:bodyDiv w:val="1"/>
      <w:marLeft w:val="0"/>
      <w:marRight w:val="0"/>
      <w:marTop w:val="0"/>
      <w:marBottom w:val="0"/>
      <w:divBdr>
        <w:top w:val="none" w:sz="0" w:space="0" w:color="auto"/>
        <w:left w:val="none" w:sz="0" w:space="0" w:color="auto"/>
        <w:bottom w:val="none" w:sz="0" w:space="0" w:color="auto"/>
        <w:right w:val="none" w:sz="0" w:space="0" w:color="auto"/>
      </w:divBdr>
    </w:div>
    <w:div w:id="1427262503">
      <w:bodyDiv w:val="1"/>
      <w:marLeft w:val="0"/>
      <w:marRight w:val="0"/>
      <w:marTop w:val="0"/>
      <w:marBottom w:val="0"/>
      <w:divBdr>
        <w:top w:val="none" w:sz="0" w:space="0" w:color="auto"/>
        <w:left w:val="none" w:sz="0" w:space="0" w:color="auto"/>
        <w:bottom w:val="none" w:sz="0" w:space="0" w:color="auto"/>
        <w:right w:val="none" w:sz="0" w:space="0" w:color="auto"/>
      </w:divBdr>
    </w:div>
    <w:div w:id="1427313326">
      <w:bodyDiv w:val="1"/>
      <w:marLeft w:val="0"/>
      <w:marRight w:val="0"/>
      <w:marTop w:val="0"/>
      <w:marBottom w:val="0"/>
      <w:divBdr>
        <w:top w:val="none" w:sz="0" w:space="0" w:color="auto"/>
        <w:left w:val="none" w:sz="0" w:space="0" w:color="auto"/>
        <w:bottom w:val="none" w:sz="0" w:space="0" w:color="auto"/>
        <w:right w:val="none" w:sz="0" w:space="0" w:color="auto"/>
      </w:divBdr>
    </w:div>
    <w:div w:id="1427536187">
      <w:bodyDiv w:val="1"/>
      <w:marLeft w:val="0"/>
      <w:marRight w:val="0"/>
      <w:marTop w:val="0"/>
      <w:marBottom w:val="0"/>
      <w:divBdr>
        <w:top w:val="none" w:sz="0" w:space="0" w:color="auto"/>
        <w:left w:val="none" w:sz="0" w:space="0" w:color="auto"/>
        <w:bottom w:val="none" w:sz="0" w:space="0" w:color="auto"/>
        <w:right w:val="none" w:sz="0" w:space="0" w:color="auto"/>
      </w:divBdr>
    </w:div>
    <w:div w:id="1428039649">
      <w:bodyDiv w:val="1"/>
      <w:marLeft w:val="0"/>
      <w:marRight w:val="0"/>
      <w:marTop w:val="0"/>
      <w:marBottom w:val="0"/>
      <w:divBdr>
        <w:top w:val="none" w:sz="0" w:space="0" w:color="auto"/>
        <w:left w:val="none" w:sz="0" w:space="0" w:color="auto"/>
        <w:bottom w:val="none" w:sz="0" w:space="0" w:color="auto"/>
        <w:right w:val="none" w:sz="0" w:space="0" w:color="auto"/>
      </w:divBdr>
    </w:div>
    <w:div w:id="1428112091">
      <w:bodyDiv w:val="1"/>
      <w:marLeft w:val="0"/>
      <w:marRight w:val="0"/>
      <w:marTop w:val="0"/>
      <w:marBottom w:val="0"/>
      <w:divBdr>
        <w:top w:val="none" w:sz="0" w:space="0" w:color="auto"/>
        <w:left w:val="none" w:sz="0" w:space="0" w:color="auto"/>
        <w:bottom w:val="none" w:sz="0" w:space="0" w:color="auto"/>
        <w:right w:val="none" w:sz="0" w:space="0" w:color="auto"/>
      </w:divBdr>
    </w:div>
    <w:div w:id="1428308384">
      <w:bodyDiv w:val="1"/>
      <w:marLeft w:val="0"/>
      <w:marRight w:val="0"/>
      <w:marTop w:val="0"/>
      <w:marBottom w:val="0"/>
      <w:divBdr>
        <w:top w:val="none" w:sz="0" w:space="0" w:color="auto"/>
        <w:left w:val="none" w:sz="0" w:space="0" w:color="auto"/>
        <w:bottom w:val="none" w:sz="0" w:space="0" w:color="auto"/>
        <w:right w:val="none" w:sz="0" w:space="0" w:color="auto"/>
      </w:divBdr>
    </w:div>
    <w:div w:id="1430278239">
      <w:bodyDiv w:val="1"/>
      <w:marLeft w:val="0"/>
      <w:marRight w:val="0"/>
      <w:marTop w:val="0"/>
      <w:marBottom w:val="0"/>
      <w:divBdr>
        <w:top w:val="none" w:sz="0" w:space="0" w:color="auto"/>
        <w:left w:val="none" w:sz="0" w:space="0" w:color="auto"/>
        <w:bottom w:val="none" w:sz="0" w:space="0" w:color="auto"/>
        <w:right w:val="none" w:sz="0" w:space="0" w:color="auto"/>
      </w:divBdr>
    </w:div>
    <w:div w:id="1430465856">
      <w:bodyDiv w:val="1"/>
      <w:marLeft w:val="0"/>
      <w:marRight w:val="0"/>
      <w:marTop w:val="0"/>
      <w:marBottom w:val="0"/>
      <w:divBdr>
        <w:top w:val="none" w:sz="0" w:space="0" w:color="auto"/>
        <w:left w:val="none" w:sz="0" w:space="0" w:color="auto"/>
        <w:bottom w:val="none" w:sz="0" w:space="0" w:color="auto"/>
        <w:right w:val="none" w:sz="0" w:space="0" w:color="auto"/>
      </w:divBdr>
    </w:div>
    <w:div w:id="1431044361">
      <w:bodyDiv w:val="1"/>
      <w:marLeft w:val="0"/>
      <w:marRight w:val="0"/>
      <w:marTop w:val="0"/>
      <w:marBottom w:val="0"/>
      <w:divBdr>
        <w:top w:val="none" w:sz="0" w:space="0" w:color="auto"/>
        <w:left w:val="none" w:sz="0" w:space="0" w:color="auto"/>
        <w:bottom w:val="none" w:sz="0" w:space="0" w:color="auto"/>
        <w:right w:val="none" w:sz="0" w:space="0" w:color="auto"/>
      </w:divBdr>
    </w:div>
    <w:div w:id="1431270352">
      <w:bodyDiv w:val="1"/>
      <w:marLeft w:val="0"/>
      <w:marRight w:val="0"/>
      <w:marTop w:val="0"/>
      <w:marBottom w:val="0"/>
      <w:divBdr>
        <w:top w:val="none" w:sz="0" w:space="0" w:color="auto"/>
        <w:left w:val="none" w:sz="0" w:space="0" w:color="auto"/>
        <w:bottom w:val="none" w:sz="0" w:space="0" w:color="auto"/>
        <w:right w:val="none" w:sz="0" w:space="0" w:color="auto"/>
      </w:divBdr>
    </w:div>
    <w:div w:id="1431465464">
      <w:bodyDiv w:val="1"/>
      <w:marLeft w:val="0"/>
      <w:marRight w:val="0"/>
      <w:marTop w:val="0"/>
      <w:marBottom w:val="0"/>
      <w:divBdr>
        <w:top w:val="none" w:sz="0" w:space="0" w:color="auto"/>
        <w:left w:val="none" w:sz="0" w:space="0" w:color="auto"/>
        <w:bottom w:val="none" w:sz="0" w:space="0" w:color="auto"/>
        <w:right w:val="none" w:sz="0" w:space="0" w:color="auto"/>
      </w:divBdr>
      <w:divsChild>
        <w:div w:id="51314997">
          <w:marLeft w:val="0"/>
          <w:marRight w:val="0"/>
          <w:marTop w:val="0"/>
          <w:marBottom w:val="0"/>
          <w:divBdr>
            <w:top w:val="none" w:sz="0" w:space="0" w:color="auto"/>
            <w:left w:val="none" w:sz="0" w:space="0" w:color="auto"/>
            <w:bottom w:val="none" w:sz="0" w:space="0" w:color="auto"/>
            <w:right w:val="none" w:sz="0" w:space="0" w:color="auto"/>
          </w:divBdr>
        </w:div>
        <w:div w:id="165554597">
          <w:marLeft w:val="0"/>
          <w:marRight w:val="0"/>
          <w:marTop w:val="0"/>
          <w:marBottom w:val="0"/>
          <w:divBdr>
            <w:top w:val="none" w:sz="0" w:space="0" w:color="auto"/>
            <w:left w:val="none" w:sz="0" w:space="0" w:color="auto"/>
            <w:bottom w:val="none" w:sz="0" w:space="0" w:color="auto"/>
            <w:right w:val="none" w:sz="0" w:space="0" w:color="auto"/>
          </w:divBdr>
        </w:div>
        <w:div w:id="169419066">
          <w:marLeft w:val="0"/>
          <w:marRight w:val="0"/>
          <w:marTop w:val="0"/>
          <w:marBottom w:val="0"/>
          <w:divBdr>
            <w:top w:val="none" w:sz="0" w:space="0" w:color="auto"/>
            <w:left w:val="none" w:sz="0" w:space="0" w:color="auto"/>
            <w:bottom w:val="none" w:sz="0" w:space="0" w:color="auto"/>
            <w:right w:val="none" w:sz="0" w:space="0" w:color="auto"/>
          </w:divBdr>
        </w:div>
        <w:div w:id="259149371">
          <w:marLeft w:val="0"/>
          <w:marRight w:val="0"/>
          <w:marTop w:val="0"/>
          <w:marBottom w:val="0"/>
          <w:divBdr>
            <w:top w:val="none" w:sz="0" w:space="0" w:color="auto"/>
            <w:left w:val="none" w:sz="0" w:space="0" w:color="auto"/>
            <w:bottom w:val="none" w:sz="0" w:space="0" w:color="auto"/>
            <w:right w:val="none" w:sz="0" w:space="0" w:color="auto"/>
          </w:divBdr>
        </w:div>
        <w:div w:id="345256716">
          <w:marLeft w:val="0"/>
          <w:marRight w:val="0"/>
          <w:marTop w:val="0"/>
          <w:marBottom w:val="0"/>
          <w:divBdr>
            <w:top w:val="none" w:sz="0" w:space="0" w:color="auto"/>
            <w:left w:val="none" w:sz="0" w:space="0" w:color="auto"/>
            <w:bottom w:val="none" w:sz="0" w:space="0" w:color="auto"/>
            <w:right w:val="none" w:sz="0" w:space="0" w:color="auto"/>
          </w:divBdr>
        </w:div>
        <w:div w:id="361442461">
          <w:marLeft w:val="0"/>
          <w:marRight w:val="0"/>
          <w:marTop w:val="0"/>
          <w:marBottom w:val="0"/>
          <w:divBdr>
            <w:top w:val="none" w:sz="0" w:space="0" w:color="auto"/>
            <w:left w:val="none" w:sz="0" w:space="0" w:color="auto"/>
            <w:bottom w:val="none" w:sz="0" w:space="0" w:color="auto"/>
            <w:right w:val="none" w:sz="0" w:space="0" w:color="auto"/>
          </w:divBdr>
        </w:div>
        <w:div w:id="423846850">
          <w:marLeft w:val="0"/>
          <w:marRight w:val="0"/>
          <w:marTop w:val="0"/>
          <w:marBottom w:val="0"/>
          <w:divBdr>
            <w:top w:val="none" w:sz="0" w:space="0" w:color="auto"/>
            <w:left w:val="none" w:sz="0" w:space="0" w:color="auto"/>
            <w:bottom w:val="none" w:sz="0" w:space="0" w:color="auto"/>
            <w:right w:val="none" w:sz="0" w:space="0" w:color="auto"/>
          </w:divBdr>
        </w:div>
        <w:div w:id="448818958">
          <w:marLeft w:val="0"/>
          <w:marRight w:val="0"/>
          <w:marTop w:val="0"/>
          <w:marBottom w:val="0"/>
          <w:divBdr>
            <w:top w:val="none" w:sz="0" w:space="0" w:color="auto"/>
            <w:left w:val="none" w:sz="0" w:space="0" w:color="auto"/>
            <w:bottom w:val="none" w:sz="0" w:space="0" w:color="auto"/>
            <w:right w:val="none" w:sz="0" w:space="0" w:color="auto"/>
          </w:divBdr>
        </w:div>
        <w:div w:id="510603965">
          <w:marLeft w:val="0"/>
          <w:marRight w:val="0"/>
          <w:marTop w:val="0"/>
          <w:marBottom w:val="0"/>
          <w:divBdr>
            <w:top w:val="none" w:sz="0" w:space="0" w:color="auto"/>
            <w:left w:val="none" w:sz="0" w:space="0" w:color="auto"/>
            <w:bottom w:val="none" w:sz="0" w:space="0" w:color="auto"/>
            <w:right w:val="none" w:sz="0" w:space="0" w:color="auto"/>
          </w:divBdr>
        </w:div>
        <w:div w:id="562369521">
          <w:marLeft w:val="0"/>
          <w:marRight w:val="0"/>
          <w:marTop w:val="0"/>
          <w:marBottom w:val="0"/>
          <w:divBdr>
            <w:top w:val="none" w:sz="0" w:space="0" w:color="auto"/>
            <w:left w:val="none" w:sz="0" w:space="0" w:color="auto"/>
            <w:bottom w:val="none" w:sz="0" w:space="0" w:color="auto"/>
            <w:right w:val="none" w:sz="0" w:space="0" w:color="auto"/>
          </w:divBdr>
        </w:div>
        <w:div w:id="590433365">
          <w:marLeft w:val="0"/>
          <w:marRight w:val="0"/>
          <w:marTop w:val="0"/>
          <w:marBottom w:val="0"/>
          <w:divBdr>
            <w:top w:val="none" w:sz="0" w:space="0" w:color="auto"/>
            <w:left w:val="none" w:sz="0" w:space="0" w:color="auto"/>
            <w:bottom w:val="none" w:sz="0" w:space="0" w:color="auto"/>
            <w:right w:val="none" w:sz="0" w:space="0" w:color="auto"/>
          </w:divBdr>
        </w:div>
        <w:div w:id="954870676">
          <w:marLeft w:val="0"/>
          <w:marRight w:val="0"/>
          <w:marTop w:val="0"/>
          <w:marBottom w:val="0"/>
          <w:divBdr>
            <w:top w:val="none" w:sz="0" w:space="0" w:color="auto"/>
            <w:left w:val="none" w:sz="0" w:space="0" w:color="auto"/>
            <w:bottom w:val="none" w:sz="0" w:space="0" w:color="auto"/>
            <w:right w:val="none" w:sz="0" w:space="0" w:color="auto"/>
          </w:divBdr>
        </w:div>
        <w:div w:id="975525290">
          <w:marLeft w:val="0"/>
          <w:marRight w:val="0"/>
          <w:marTop w:val="0"/>
          <w:marBottom w:val="0"/>
          <w:divBdr>
            <w:top w:val="none" w:sz="0" w:space="0" w:color="auto"/>
            <w:left w:val="none" w:sz="0" w:space="0" w:color="auto"/>
            <w:bottom w:val="none" w:sz="0" w:space="0" w:color="auto"/>
            <w:right w:val="none" w:sz="0" w:space="0" w:color="auto"/>
          </w:divBdr>
        </w:div>
        <w:div w:id="978878310">
          <w:marLeft w:val="0"/>
          <w:marRight w:val="0"/>
          <w:marTop w:val="0"/>
          <w:marBottom w:val="0"/>
          <w:divBdr>
            <w:top w:val="none" w:sz="0" w:space="0" w:color="auto"/>
            <w:left w:val="none" w:sz="0" w:space="0" w:color="auto"/>
            <w:bottom w:val="none" w:sz="0" w:space="0" w:color="auto"/>
            <w:right w:val="none" w:sz="0" w:space="0" w:color="auto"/>
          </w:divBdr>
        </w:div>
        <w:div w:id="1018197246">
          <w:marLeft w:val="0"/>
          <w:marRight w:val="0"/>
          <w:marTop w:val="0"/>
          <w:marBottom w:val="0"/>
          <w:divBdr>
            <w:top w:val="none" w:sz="0" w:space="0" w:color="auto"/>
            <w:left w:val="none" w:sz="0" w:space="0" w:color="auto"/>
            <w:bottom w:val="none" w:sz="0" w:space="0" w:color="auto"/>
            <w:right w:val="none" w:sz="0" w:space="0" w:color="auto"/>
          </w:divBdr>
        </w:div>
        <w:div w:id="1065447284">
          <w:marLeft w:val="0"/>
          <w:marRight w:val="0"/>
          <w:marTop w:val="0"/>
          <w:marBottom w:val="0"/>
          <w:divBdr>
            <w:top w:val="none" w:sz="0" w:space="0" w:color="auto"/>
            <w:left w:val="none" w:sz="0" w:space="0" w:color="auto"/>
            <w:bottom w:val="none" w:sz="0" w:space="0" w:color="auto"/>
            <w:right w:val="none" w:sz="0" w:space="0" w:color="auto"/>
          </w:divBdr>
        </w:div>
        <w:div w:id="1208759976">
          <w:marLeft w:val="0"/>
          <w:marRight w:val="0"/>
          <w:marTop w:val="0"/>
          <w:marBottom w:val="0"/>
          <w:divBdr>
            <w:top w:val="none" w:sz="0" w:space="0" w:color="auto"/>
            <w:left w:val="none" w:sz="0" w:space="0" w:color="auto"/>
            <w:bottom w:val="none" w:sz="0" w:space="0" w:color="auto"/>
            <w:right w:val="none" w:sz="0" w:space="0" w:color="auto"/>
          </w:divBdr>
        </w:div>
        <w:div w:id="1294822769">
          <w:marLeft w:val="0"/>
          <w:marRight w:val="0"/>
          <w:marTop w:val="0"/>
          <w:marBottom w:val="0"/>
          <w:divBdr>
            <w:top w:val="none" w:sz="0" w:space="0" w:color="auto"/>
            <w:left w:val="none" w:sz="0" w:space="0" w:color="auto"/>
            <w:bottom w:val="none" w:sz="0" w:space="0" w:color="auto"/>
            <w:right w:val="none" w:sz="0" w:space="0" w:color="auto"/>
          </w:divBdr>
        </w:div>
        <w:div w:id="1319647201">
          <w:marLeft w:val="0"/>
          <w:marRight w:val="0"/>
          <w:marTop w:val="0"/>
          <w:marBottom w:val="0"/>
          <w:divBdr>
            <w:top w:val="none" w:sz="0" w:space="0" w:color="auto"/>
            <w:left w:val="none" w:sz="0" w:space="0" w:color="auto"/>
            <w:bottom w:val="none" w:sz="0" w:space="0" w:color="auto"/>
            <w:right w:val="none" w:sz="0" w:space="0" w:color="auto"/>
          </w:divBdr>
        </w:div>
        <w:div w:id="1412503031">
          <w:marLeft w:val="0"/>
          <w:marRight w:val="0"/>
          <w:marTop w:val="0"/>
          <w:marBottom w:val="0"/>
          <w:divBdr>
            <w:top w:val="none" w:sz="0" w:space="0" w:color="auto"/>
            <w:left w:val="none" w:sz="0" w:space="0" w:color="auto"/>
            <w:bottom w:val="none" w:sz="0" w:space="0" w:color="auto"/>
            <w:right w:val="none" w:sz="0" w:space="0" w:color="auto"/>
          </w:divBdr>
        </w:div>
        <w:div w:id="1494174860">
          <w:marLeft w:val="0"/>
          <w:marRight w:val="0"/>
          <w:marTop w:val="0"/>
          <w:marBottom w:val="0"/>
          <w:divBdr>
            <w:top w:val="none" w:sz="0" w:space="0" w:color="auto"/>
            <w:left w:val="none" w:sz="0" w:space="0" w:color="auto"/>
            <w:bottom w:val="none" w:sz="0" w:space="0" w:color="auto"/>
            <w:right w:val="none" w:sz="0" w:space="0" w:color="auto"/>
          </w:divBdr>
        </w:div>
        <w:div w:id="1590503707">
          <w:marLeft w:val="0"/>
          <w:marRight w:val="0"/>
          <w:marTop w:val="0"/>
          <w:marBottom w:val="0"/>
          <w:divBdr>
            <w:top w:val="none" w:sz="0" w:space="0" w:color="auto"/>
            <w:left w:val="none" w:sz="0" w:space="0" w:color="auto"/>
            <w:bottom w:val="none" w:sz="0" w:space="0" w:color="auto"/>
            <w:right w:val="none" w:sz="0" w:space="0" w:color="auto"/>
          </w:divBdr>
        </w:div>
        <w:div w:id="1672953327">
          <w:marLeft w:val="0"/>
          <w:marRight w:val="0"/>
          <w:marTop w:val="0"/>
          <w:marBottom w:val="0"/>
          <w:divBdr>
            <w:top w:val="none" w:sz="0" w:space="0" w:color="auto"/>
            <w:left w:val="none" w:sz="0" w:space="0" w:color="auto"/>
            <w:bottom w:val="none" w:sz="0" w:space="0" w:color="auto"/>
            <w:right w:val="none" w:sz="0" w:space="0" w:color="auto"/>
          </w:divBdr>
        </w:div>
        <w:div w:id="1715764269">
          <w:marLeft w:val="0"/>
          <w:marRight w:val="0"/>
          <w:marTop w:val="0"/>
          <w:marBottom w:val="0"/>
          <w:divBdr>
            <w:top w:val="none" w:sz="0" w:space="0" w:color="auto"/>
            <w:left w:val="none" w:sz="0" w:space="0" w:color="auto"/>
            <w:bottom w:val="none" w:sz="0" w:space="0" w:color="auto"/>
            <w:right w:val="none" w:sz="0" w:space="0" w:color="auto"/>
          </w:divBdr>
        </w:div>
        <w:div w:id="1856071148">
          <w:marLeft w:val="0"/>
          <w:marRight w:val="0"/>
          <w:marTop w:val="0"/>
          <w:marBottom w:val="0"/>
          <w:divBdr>
            <w:top w:val="none" w:sz="0" w:space="0" w:color="auto"/>
            <w:left w:val="none" w:sz="0" w:space="0" w:color="auto"/>
            <w:bottom w:val="none" w:sz="0" w:space="0" w:color="auto"/>
            <w:right w:val="none" w:sz="0" w:space="0" w:color="auto"/>
          </w:divBdr>
        </w:div>
        <w:div w:id="2008946110">
          <w:marLeft w:val="0"/>
          <w:marRight w:val="0"/>
          <w:marTop w:val="0"/>
          <w:marBottom w:val="0"/>
          <w:divBdr>
            <w:top w:val="none" w:sz="0" w:space="0" w:color="auto"/>
            <w:left w:val="none" w:sz="0" w:space="0" w:color="auto"/>
            <w:bottom w:val="none" w:sz="0" w:space="0" w:color="auto"/>
            <w:right w:val="none" w:sz="0" w:space="0" w:color="auto"/>
          </w:divBdr>
        </w:div>
        <w:div w:id="2062361227">
          <w:marLeft w:val="0"/>
          <w:marRight w:val="0"/>
          <w:marTop w:val="0"/>
          <w:marBottom w:val="0"/>
          <w:divBdr>
            <w:top w:val="none" w:sz="0" w:space="0" w:color="auto"/>
            <w:left w:val="none" w:sz="0" w:space="0" w:color="auto"/>
            <w:bottom w:val="none" w:sz="0" w:space="0" w:color="auto"/>
            <w:right w:val="none" w:sz="0" w:space="0" w:color="auto"/>
          </w:divBdr>
        </w:div>
      </w:divsChild>
    </w:div>
    <w:div w:id="1431926386">
      <w:bodyDiv w:val="1"/>
      <w:marLeft w:val="0"/>
      <w:marRight w:val="0"/>
      <w:marTop w:val="0"/>
      <w:marBottom w:val="0"/>
      <w:divBdr>
        <w:top w:val="none" w:sz="0" w:space="0" w:color="auto"/>
        <w:left w:val="none" w:sz="0" w:space="0" w:color="auto"/>
        <w:bottom w:val="none" w:sz="0" w:space="0" w:color="auto"/>
        <w:right w:val="none" w:sz="0" w:space="0" w:color="auto"/>
      </w:divBdr>
    </w:div>
    <w:div w:id="1432117467">
      <w:bodyDiv w:val="1"/>
      <w:marLeft w:val="0"/>
      <w:marRight w:val="0"/>
      <w:marTop w:val="0"/>
      <w:marBottom w:val="0"/>
      <w:divBdr>
        <w:top w:val="none" w:sz="0" w:space="0" w:color="auto"/>
        <w:left w:val="none" w:sz="0" w:space="0" w:color="auto"/>
        <w:bottom w:val="none" w:sz="0" w:space="0" w:color="auto"/>
        <w:right w:val="none" w:sz="0" w:space="0" w:color="auto"/>
      </w:divBdr>
    </w:div>
    <w:div w:id="1432120203">
      <w:bodyDiv w:val="1"/>
      <w:marLeft w:val="0"/>
      <w:marRight w:val="0"/>
      <w:marTop w:val="0"/>
      <w:marBottom w:val="0"/>
      <w:divBdr>
        <w:top w:val="none" w:sz="0" w:space="0" w:color="auto"/>
        <w:left w:val="none" w:sz="0" w:space="0" w:color="auto"/>
        <w:bottom w:val="none" w:sz="0" w:space="0" w:color="auto"/>
        <w:right w:val="none" w:sz="0" w:space="0" w:color="auto"/>
      </w:divBdr>
    </w:div>
    <w:div w:id="1432313073">
      <w:bodyDiv w:val="1"/>
      <w:marLeft w:val="0"/>
      <w:marRight w:val="0"/>
      <w:marTop w:val="0"/>
      <w:marBottom w:val="0"/>
      <w:divBdr>
        <w:top w:val="none" w:sz="0" w:space="0" w:color="auto"/>
        <w:left w:val="none" w:sz="0" w:space="0" w:color="auto"/>
        <w:bottom w:val="none" w:sz="0" w:space="0" w:color="auto"/>
        <w:right w:val="none" w:sz="0" w:space="0" w:color="auto"/>
      </w:divBdr>
    </w:div>
    <w:div w:id="1433084875">
      <w:bodyDiv w:val="1"/>
      <w:marLeft w:val="0"/>
      <w:marRight w:val="0"/>
      <w:marTop w:val="0"/>
      <w:marBottom w:val="0"/>
      <w:divBdr>
        <w:top w:val="none" w:sz="0" w:space="0" w:color="auto"/>
        <w:left w:val="none" w:sz="0" w:space="0" w:color="auto"/>
        <w:bottom w:val="none" w:sz="0" w:space="0" w:color="auto"/>
        <w:right w:val="none" w:sz="0" w:space="0" w:color="auto"/>
      </w:divBdr>
    </w:div>
    <w:div w:id="1433088288">
      <w:bodyDiv w:val="1"/>
      <w:marLeft w:val="0"/>
      <w:marRight w:val="0"/>
      <w:marTop w:val="0"/>
      <w:marBottom w:val="0"/>
      <w:divBdr>
        <w:top w:val="none" w:sz="0" w:space="0" w:color="auto"/>
        <w:left w:val="none" w:sz="0" w:space="0" w:color="auto"/>
        <w:bottom w:val="none" w:sz="0" w:space="0" w:color="auto"/>
        <w:right w:val="none" w:sz="0" w:space="0" w:color="auto"/>
      </w:divBdr>
    </w:div>
    <w:div w:id="1433431466">
      <w:bodyDiv w:val="1"/>
      <w:marLeft w:val="0"/>
      <w:marRight w:val="0"/>
      <w:marTop w:val="0"/>
      <w:marBottom w:val="0"/>
      <w:divBdr>
        <w:top w:val="none" w:sz="0" w:space="0" w:color="auto"/>
        <w:left w:val="none" w:sz="0" w:space="0" w:color="auto"/>
        <w:bottom w:val="none" w:sz="0" w:space="0" w:color="auto"/>
        <w:right w:val="none" w:sz="0" w:space="0" w:color="auto"/>
      </w:divBdr>
    </w:div>
    <w:div w:id="1433668829">
      <w:bodyDiv w:val="1"/>
      <w:marLeft w:val="0"/>
      <w:marRight w:val="0"/>
      <w:marTop w:val="0"/>
      <w:marBottom w:val="0"/>
      <w:divBdr>
        <w:top w:val="none" w:sz="0" w:space="0" w:color="auto"/>
        <w:left w:val="none" w:sz="0" w:space="0" w:color="auto"/>
        <w:bottom w:val="none" w:sz="0" w:space="0" w:color="auto"/>
        <w:right w:val="none" w:sz="0" w:space="0" w:color="auto"/>
      </w:divBdr>
    </w:div>
    <w:div w:id="1434281169">
      <w:bodyDiv w:val="1"/>
      <w:marLeft w:val="0"/>
      <w:marRight w:val="0"/>
      <w:marTop w:val="0"/>
      <w:marBottom w:val="0"/>
      <w:divBdr>
        <w:top w:val="none" w:sz="0" w:space="0" w:color="auto"/>
        <w:left w:val="none" w:sz="0" w:space="0" w:color="auto"/>
        <w:bottom w:val="none" w:sz="0" w:space="0" w:color="auto"/>
        <w:right w:val="none" w:sz="0" w:space="0" w:color="auto"/>
      </w:divBdr>
    </w:div>
    <w:div w:id="1434327398">
      <w:bodyDiv w:val="1"/>
      <w:marLeft w:val="0"/>
      <w:marRight w:val="0"/>
      <w:marTop w:val="0"/>
      <w:marBottom w:val="0"/>
      <w:divBdr>
        <w:top w:val="none" w:sz="0" w:space="0" w:color="auto"/>
        <w:left w:val="none" w:sz="0" w:space="0" w:color="auto"/>
        <w:bottom w:val="none" w:sz="0" w:space="0" w:color="auto"/>
        <w:right w:val="none" w:sz="0" w:space="0" w:color="auto"/>
      </w:divBdr>
    </w:div>
    <w:div w:id="1434396497">
      <w:bodyDiv w:val="1"/>
      <w:marLeft w:val="0"/>
      <w:marRight w:val="0"/>
      <w:marTop w:val="0"/>
      <w:marBottom w:val="0"/>
      <w:divBdr>
        <w:top w:val="none" w:sz="0" w:space="0" w:color="auto"/>
        <w:left w:val="none" w:sz="0" w:space="0" w:color="auto"/>
        <w:bottom w:val="none" w:sz="0" w:space="0" w:color="auto"/>
        <w:right w:val="none" w:sz="0" w:space="0" w:color="auto"/>
      </w:divBdr>
    </w:div>
    <w:div w:id="1435402087">
      <w:bodyDiv w:val="1"/>
      <w:marLeft w:val="0"/>
      <w:marRight w:val="0"/>
      <w:marTop w:val="0"/>
      <w:marBottom w:val="0"/>
      <w:divBdr>
        <w:top w:val="none" w:sz="0" w:space="0" w:color="auto"/>
        <w:left w:val="none" w:sz="0" w:space="0" w:color="auto"/>
        <w:bottom w:val="none" w:sz="0" w:space="0" w:color="auto"/>
        <w:right w:val="none" w:sz="0" w:space="0" w:color="auto"/>
      </w:divBdr>
    </w:div>
    <w:div w:id="1437289394">
      <w:bodyDiv w:val="1"/>
      <w:marLeft w:val="0"/>
      <w:marRight w:val="0"/>
      <w:marTop w:val="0"/>
      <w:marBottom w:val="0"/>
      <w:divBdr>
        <w:top w:val="none" w:sz="0" w:space="0" w:color="auto"/>
        <w:left w:val="none" w:sz="0" w:space="0" w:color="auto"/>
        <w:bottom w:val="none" w:sz="0" w:space="0" w:color="auto"/>
        <w:right w:val="none" w:sz="0" w:space="0" w:color="auto"/>
      </w:divBdr>
    </w:div>
    <w:div w:id="1437411389">
      <w:bodyDiv w:val="1"/>
      <w:marLeft w:val="0"/>
      <w:marRight w:val="0"/>
      <w:marTop w:val="0"/>
      <w:marBottom w:val="0"/>
      <w:divBdr>
        <w:top w:val="none" w:sz="0" w:space="0" w:color="auto"/>
        <w:left w:val="none" w:sz="0" w:space="0" w:color="auto"/>
        <w:bottom w:val="none" w:sz="0" w:space="0" w:color="auto"/>
        <w:right w:val="none" w:sz="0" w:space="0" w:color="auto"/>
      </w:divBdr>
    </w:div>
    <w:div w:id="1438021256">
      <w:bodyDiv w:val="1"/>
      <w:marLeft w:val="0"/>
      <w:marRight w:val="0"/>
      <w:marTop w:val="0"/>
      <w:marBottom w:val="0"/>
      <w:divBdr>
        <w:top w:val="none" w:sz="0" w:space="0" w:color="auto"/>
        <w:left w:val="none" w:sz="0" w:space="0" w:color="auto"/>
        <w:bottom w:val="none" w:sz="0" w:space="0" w:color="auto"/>
        <w:right w:val="none" w:sz="0" w:space="0" w:color="auto"/>
      </w:divBdr>
    </w:div>
    <w:div w:id="1438595698">
      <w:bodyDiv w:val="1"/>
      <w:marLeft w:val="0"/>
      <w:marRight w:val="0"/>
      <w:marTop w:val="0"/>
      <w:marBottom w:val="0"/>
      <w:divBdr>
        <w:top w:val="none" w:sz="0" w:space="0" w:color="auto"/>
        <w:left w:val="none" w:sz="0" w:space="0" w:color="auto"/>
        <w:bottom w:val="none" w:sz="0" w:space="0" w:color="auto"/>
        <w:right w:val="none" w:sz="0" w:space="0" w:color="auto"/>
      </w:divBdr>
    </w:div>
    <w:div w:id="1438914452">
      <w:bodyDiv w:val="1"/>
      <w:marLeft w:val="0"/>
      <w:marRight w:val="0"/>
      <w:marTop w:val="0"/>
      <w:marBottom w:val="0"/>
      <w:divBdr>
        <w:top w:val="none" w:sz="0" w:space="0" w:color="auto"/>
        <w:left w:val="none" w:sz="0" w:space="0" w:color="auto"/>
        <w:bottom w:val="none" w:sz="0" w:space="0" w:color="auto"/>
        <w:right w:val="none" w:sz="0" w:space="0" w:color="auto"/>
      </w:divBdr>
    </w:div>
    <w:div w:id="1439565851">
      <w:bodyDiv w:val="1"/>
      <w:marLeft w:val="0"/>
      <w:marRight w:val="0"/>
      <w:marTop w:val="0"/>
      <w:marBottom w:val="0"/>
      <w:divBdr>
        <w:top w:val="none" w:sz="0" w:space="0" w:color="auto"/>
        <w:left w:val="none" w:sz="0" w:space="0" w:color="auto"/>
        <w:bottom w:val="none" w:sz="0" w:space="0" w:color="auto"/>
        <w:right w:val="none" w:sz="0" w:space="0" w:color="auto"/>
      </w:divBdr>
    </w:div>
    <w:div w:id="1439570495">
      <w:bodyDiv w:val="1"/>
      <w:marLeft w:val="0"/>
      <w:marRight w:val="0"/>
      <w:marTop w:val="0"/>
      <w:marBottom w:val="0"/>
      <w:divBdr>
        <w:top w:val="none" w:sz="0" w:space="0" w:color="auto"/>
        <w:left w:val="none" w:sz="0" w:space="0" w:color="auto"/>
        <w:bottom w:val="none" w:sz="0" w:space="0" w:color="auto"/>
        <w:right w:val="none" w:sz="0" w:space="0" w:color="auto"/>
      </w:divBdr>
    </w:div>
    <w:div w:id="1440102906">
      <w:bodyDiv w:val="1"/>
      <w:marLeft w:val="0"/>
      <w:marRight w:val="0"/>
      <w:marTop w:val="0"/>
      <w:marBottom w:val="0"/>
      <w:divBdr>
        <w:top w:val="none" w:sz="0" w:space="0" w:color="auto"/>
        <w:left w:val="none" w:sz="0" w:space="0" w:color="auto"/>
        <w:bottom w:val="none" w:sz="0" w:space="0" w:color="auto"/>
        <w:right w:val="none" w:sz="0" w:space="0" w:color="auto"/>
      </w:divBdr>
    </w:div>
    <w:div w:id="1440371417">
      <w:bodyDiv w:val="1"/>
      <w:marLeft w:val="0"/>
      <w:marRight w:val="0"/>
      <w:marTop w:val="0"/>
      <w:marBottom w:val="0"/>
      <w:divBdr>
        <w:top w:val="none" w:sz="0" w:space="0" w:color="auto"/>
        <w:left w:val="none" w:sz="0" w:space="0" w:color="auto"/>
        <w:bottom w:val="none" w:sz="0" w:space="0" w:color="auto"/>
        <w:right w:val="none" w:sz="0" w:space="0" w:color="auto"/>
      </w:divBdr>
    </w:div>
    <w:div w:id="1441290878">
      <w:bodyDiv w:val="1"/>
      <w:marLeft w:val="0"/>
      <w:marRight w:val="0"/>
      <w:marTop w:val="0"/>
      <w:marBottom w:val="0"/>
      <w:divBdr>
        <w:top w:val="none" w:sz="0" w:space="0" w:color="auto"/>
        <w:left w:val="none" w:sz="0" w:space="0" w:color="auto"/>
        <w:bottom w:val="none" w:sz="0" w:space="0" w:color="auto"/>
        <w:right w:val="none" w:sz="0" w:space="0" w:color="auto"/>
      </w:divBdr>
    </w:div>
    <w:div w:id="1441411942">
      <w:bodyDiv w:val="1"/>
      <w:marLeft w:val="0"/>
      <w:marRight w:val="0"/>
      <w:marTop w:val="0"/>
      <w:marBottom w:val="0"/>
      <w:divBdr>
        <w:top w:val="none" w:sz="0" w:space="0" w:color="auto"/>
        <w:left w:val="none" w:sz="0" w:space="0" w:color="auto"/>
        <w:bottom w:val="none" w:sz="0" w:space="0" w:color="auto"/>
        <w:right w:val="none" w:sz="0" w:space="0" w:color="auto"/>
      </w:divBdr>
    </w:div>
    <w:div w:id="1441685740">
      <w:bodyDiv w:val="1"/>
      <w:marLeft w:val="0"/>
      <w:marRight w:val="0"/>
      <w:marTop w:val="0"/>
      <w:marBottom w:val="0"/>
      <w:divBdr>
        <w:top w:val="none" w:sz="0" w:space="0" w:color="auto"/>
        <w:left w:val="none" w:sz="0" w:space="0" w:color="auto"/>
        <w:bottom w:val="none" w:sz="0" w:space="0" w:color="auto"/>
        <w:right w:val="none" w:sz="0" w:space="0" w:color="auto"/>
      </w:divBdr>
    </w:div>
    <w:div w:id="1442535402">
      <w:bodyDiv w:val="1"/>
      <w:marLeft w:val="0"/>
      <w:marRight w:val="0"/>
      <w:marTop w:val="0"/>
      <w:marBottom w:val="0"/>
      <w:divBdr>
        <w:top w:val="none" w:sz="0" w:space="0" w:color="auto"/>
        <w:left w:val="none" w:sz="0" w:space="0" w:color="auto"/>
        <w:bottom w:val="none" w:sz="0" w:space="0" w:color="auto"/>
        <w:right w:val="none" w:sz="0" w:space="0" w:color="auto"/>
      </w:divBdr>
    </w:div>
    <w:div w:id="1442719343">
      <w:bodyDiv w:val="1"/>
      <w:marLeft w:val="0"/>
      <w:marRight w:val="0"/>
      <w:marTop w:val="0"/>
      <w:marBottom w:val="0"/>
      <w:divBdr>
        <w:top w:val="none" w:sz="0" w:space="0" w:color="auto"/>
        <w:left w:val="none" w:sz="0" w:space="0" w:color="auto"/>
        <w:bottom w:val="none" w:sz="0" w:space="0" w:color="auto"/>
        <w:right w:val="none" w:sz="0" w:space="0" w:color="auto"/>
      </w:divBdr>
    </w:div>
    <w:div w:id="1442990201">
      <w:bodyDiv w:val="1"/>
      <w:marLeft w:val="0"/>
      <w:marRight w:val="0"/>
      <w:marTop w:val="0"/>
      <w:marBottom w:val="0"/>
      <w:divBdr>
        <w:top w:val="none" w:sz="0" w:space="0" w:color="auto"/>
        <w:left w:val="none" w:sz="0" w:space="0" w:color="auto"/>
        <w:bottom w:val="none" w:sz="0" w:space="0" w:color="auto"/>
        <w:right w:val="none" w:sz="0" w:space="0" w:color="auto"/>
      </w:divBdr>
    </w:div>
    <w:div w:id="1443113710">
      <w:bodyDiv w:val="1"/>
      <w:marLeft w:val="0"/>
      <w:marRight w:val="0"/>
      <w:marTop w:val="0"/>
      <w:marBottom w:val="0"/>
      <w:divBdr>
        <w:top w:val="none" w:sz="0" w:space="0" w:color="auto"/>
        <w:left w:val="none" w:sz="0" w:space="0" w:color="auto"/>
        <w:bottom w:val="none" w:sz="0" w:space="0" w:color="auto"/>
        <w:right w:val="none" w:sz="0" w:space="0" w:color="auto"/>
      </w:divBdr>
    </w:div>
    <w:div w:id="1443766149">
      <w:bodyDiv w:val="1"/>
      <w:marLeft w:val="0"/>
      <w:marRight w:val="0"/>
      <w:marTop w:val="0"/>
      <w:marBottom w:val="0"/>
      <w:divBdr>
        <w:top w:val="none" w:sz="0" w:space="0" w:color="auto"/>
        <w:left w:val="none" w:sz="0" w:space="0" w:color="auto"/>
        <w:bottom w:val="none" w:sz="0" w:space="0" w:color="auto"/>
        <w:right w:val="none" w:sz="0" w:space="0" w:color="auto"/>
      </w:divBdr>
    </w:div>
    <w:div w:id="1443921587">
      <w:bodyDiv w:val="1"/>
      <w:marLeft w:val="0"/>
      <w:marRight w:val="0"/>
      <w:marTop w:val="0"/>
      <w:marBottom w:val="0"/>
      <w:divBdr>
        <w:top w:val="none" w:sz="0" w:space="0" w:color="auto"/>
        <w:left w:val="none" w:sz="0" w:space="0" w:color="auto"/>
        <w:bottom w:val="none" w:sz="0" w:space="0" w:color="auto"/>
        <w:right w:val="none" w:sz="0" w:space="0" w:color="auto"/>
      </w:divBdr>
    </w:div>
    <w:div w:id="1444031810">
      <w:bodyDiv w:val="1"/>
      <w:marLeft w:val="0"/>
      <w:marRight w:val="0"/>
      <w:marTop w:val="0"/>
      <w:marBottom w:val="0"/>
      <w:divBdr>
        <w:top w:val="none" w:sz="0" w:space="0" w:color="auto"/>
        <w:left w:val="none" w:sz="0" w:space="0" w:color="auto"/>
        <w:bottom w:val="none" w:sz="0" w:space="0" w:color="auto"/>
        <w:right w:val="none" w:sz="0" w:space="0" w:color="auto"/>
      </w:divBdr>
    </w:div>
    <w:div w:id="1444155948">
      <w:bodyDiv w:val="1"/>
      <w:marLeft w:val="0"/>
      <w:marRight w:val="0"/>
      <w:marTop w:val="0"/>
      <w:marBottom w:val="0"/>
      <w:divBdr>
        <w:top w:val="none" w:sz="0" w:space="0" w:color="auto"/>
        <w:left w:val="none" w:sz="0" w:space="0" w:color="auto"/>
        <w:bottom w:val="none" w:sz="0" w:space="0" w:color="auto"/>
        <w:right w:val="none" w:sz="0" w:space="0" w:color="auto"/>
      </w:divBdr>
    </w:div>
    <w:div w:id="1444230135">
      <w:bodyDiv w:val="1"/>
      <w:marLeft w:val="0"/>
      <w:marRight w:val="0"/>
      <w:marTop w:val="0"/>
      <w:marBottom w:val="0"/>
      <w:divBdr>
        <w:top w:val="none" w:sz="0" w:space="0" w:color="auto"/>
        <w:left w:val="none" w:sz="0" w:space="0" w:color="auto"/>
        <w:bottom w:val="none" w:sz="0" w:space="0" w:color="auto"/>
        <w:right w:val="none" w:sz="0" w:space="0" w:color="auto"/>
      </w:divBdr>
    </w:div>
    <w:div w:id="1444837735">
      <w:bodyDiv w:val="1"/>
      <w:marLeft w:val="0"/>
      <w:marRight w:val="0"/>
      <w:marTop w:val="0"/>
      <w:marBottom w:val="0"/>
      <w:divBdr>
        <w:top w:val="none" w:sz="0" w:space="0" w:color="auto"/>
        <w:left w:val="none" w:sz="0" w:space="0" w:color="auto"/>
        <w:bottom w:val="none" w:sz="0" w:space="0" w:color="auto"/>
        <w:right w:val="none" w:sz="0" w:space="0" w:color="auto"/>
      </w:divBdr>
    </w:div>
    <w:div w:id="1445149300">
      <w:bodyDiv w:val="1"/>
      <w:marLeft w:val="0"/>
      <w:marRight w:val="0"/>
      <w:marTop w:val="0"/>
      <w:marBottom w:val="0"/>
      <w:divBdr>
        <w:top w:val="none" w:sz="0" w:space="0" w:color="auto"/>
        <w:left w:val="none" w:sz="0" w:space="0" w:color="auto"/>
        <w:bottom w:val="none" w:sz="0" w:space="0" w:color="auto"/>
        <w:right w:val="none" w:sz="0" w:space="0" w:color="auto"/>
      </w:divBdr>
    </w:div>
    <w:div w:id="1445420951">
      <w:bodyDiv w:val="1"/>
      <w:marLeft w:val="0"/>
      <w:marRight w:val="0"/>
      <w:marTop w:val="0"/>
      <w:marBottom w:val="0"/>
      <w:divBdr>
        <w:top w:val="none" w:sz="0" w:space="0" w:color="auto"/>
        <w:left w:val="none" w:sz="0" w:space="0" w:color="auto"/>
        <w:bottom w:val="none" w:sz="0" w:space="0" w:color="auto"/>
        <w:right w:val="none" w:sz="0" w:space="0" w:color="auto"/>
      </w:divBdr>
    </w:div>
    <w:div w:id="1445732767">
      <w:bodyDiv w:val="1"/>
      <w:marLeft w:val="0"/>
      <w:marRight w:val="0"/>
      <w:marTop w:val="0"/>
      <w:marBottom w:val="0"/>
      <w:divBdr>
        <w:top w:val="none" w:sz="0" w:space="0" w:color="auto"/>
        <w:left w:val="none" w:sz="0" w:space="0" w:color="auto"/>
        <w:bottom w:val="none" w:sz="0" w:space="0" w:color="auto"/>
        <w:right w:val="none" w:sz="0" w:space="0" w:color="auto"/>
      </w:divBdr>
    </w:div>
    <w:div w:id="1445735507">
      <w:bodyDiv w:val="1"/>
      <w:marLeft w:val="0"/>
      <w:marRight w:val="0"/>
      <w:marTop w:val="0"/>
      <w:marBottom w:val="0"/>
      <w:divBdr>
        <w:top w:val="none" w:sz="0" w:space="0" w:color="auto"/>
        <w:left w:val="none" w:sz="0" w:space="0" w:color="auto"/>
        <w:bottom w:val="none" w:sz="0" w:space="0" w:color="auto"/>
        <w:right w:val="none" w:sz="0" w:space="0" w:color="auto"/>
      </w:divBdr>
    </w:div>
    <w:div w:id="1446189809">
      <w:bodyDiv w:val="1"/>
      <w:marLeft w:val="0"/>
      <w:marRight w:val="0"/>
      <w:marTop w:val="0"/>
      <w:marBottom w:val="0"/>
      <w:divBdr>
        <w:top w:val="none" w:sz="0" w:space="0" w:color="auto"/>
        <w:left w:val="none" w:sz="0" w:space="0" w:color="auto"/>
        <w:bottom w:val="none" w:sz="0" w:space="0" w:color="auto"/>
        <w:right w:val="none" w:sz="0" w:space="0" w:color="auto"/>
      </w:divBdr>
    </w:div>
    <w:div w:id="1446460348">
      <w:bodyDiv w:val="1"/>
      <w:marLeft w:val="0"/>
      <w:marRight w:val="0"/>
      <w:marTop w:val="0"/>
      <w:marBottom w:val="0"/>
      <w:divBdr>
        <w:top w:val="none" w:sz="0" w:space="0" w:color="auto"/>
        <w:left w:val="none" w:sz="0" w:space="0" w:color="auto"/>
        <w:bottom w:val="none" w:sz="0" w:space="0" w:color="auto"/>
        <w:right w:val="none" w:sz="0" w:space="0" w:color="auto"/>
      </w:divBdr>
    </w:div>
    <w:div w:id="1446535877">
      <w:bodyDiv w:val="1"/>
      <w:marLeft w:val="0"/>
      <w:marRight w:val="0"/>
      <w:marTop w:val="0"/>
      <w:marBottom w:val="0"/>
      <w:divBdr>
        <w:top w:val="none" w:sz="0" w:space="0" w:color="auto"/>
        <w:left w:val="none" w:sz="0" w:space="0" w:color="auto"/>
        <w:bottom w:val="none" w:sz="0" w:space="0" w:color="auto"/>
        <w:right w:val="none" w:sz="0" w:space="0" w:color="auto"/>
      </w:divBdr>
    </w:div>
    <w:div w:id="1446777774">
      <w:bodyDiv w:val="1"/>
      <w:marLeft w:val="0"/>
      <w:marRight w:val="0"/>
      <w:marTop w:val="0"/>
      <w:marBottom w:val="0"/>
      <w:divBdr>
        <w:top w:val="none" w:sz="0" w:space="0" w:color="auto"/>
        <w:left w:val="none" w:sz="0" w:space="0" w:color="auto"/>
        <w:bottom w:val="none" w:sz="0" w:space="0" w:color="auto"/>
        <w:right w:val="none" w:sz="0" w:space="0" w:color="auto"/>
      </w:divBdr>
    </w:div>
    <w:div w:id="1446845885">
      <w:bodyDiv w:val="1"/>
      <w:marLeft w:val="0"/>
      <w:marRight w:val="0"/>
      <w:marTop w:val="0"/>
      <w:marBottom w:val="0"/>
      <w:divBdr>
        <w:top w:val="none" w:sz="0" w:space="0" w:color="auto"/>
        <w:left w:val="none" w:sz="0" w:space="0" w:color="auto"/>
        <w:bottom w:val="none" w:sz="0" w:space="0" w:color="auto"/>
        <w:right w:val="none" w:sz="0" w:space="0" w:color="auto"/>
      </w:divBdr>
    </w:div>
    <w:div w:id="1446926160">
      <w:bodyDiv w:val="1"/>
      <w:marLeft w:val="0"/>
      <w:marRight w:val="0"/>
      <w:marTop w:val="0"/>
      <w:marBottom w:val="0"/>
      <w:divBdr>
        <w:top w:val="none" w:sz="0" w:space="0" w:color="auto"/>
        <w:left w:val="none" w:sz="0" w:space="0" w:color="auto"/>
        <w:bottom w:val="none" w:sz="0" w:space="0" w:color="auto"/>
        <w:right w:val="none" w:sz="0" w:space="0" w:color="auto"/>
      </w:divBdr>
    </w:div>
    <w:div w:id="1446996720">
      <w:bodyDiv w:val="1"/>
      <w:marLeft w:val="0"/>
      <w:marRight w:val="0"/>
      <w:marTop w:val="0"/>
      <w:marBottom w:val="0"/>
      <w:divBdr>
        <w:top w:val="none" w:sz="0" w:space="0" w:color="auto"/>
        <w:left w:val="none" w:sz="0" w:space="0" w:color="auto"/>
        <w:bottom w:val="none" w:sz="0" w:space="0" w:color="auto"/>
        <w:right w:val="none" w:sz="0" w:space="0" w:color="auto"/>
      </w:divBdr>
    </w:div>
    <w:div w:id="1447196407">
      <w:bodyDiv w:val="1"/>
      <w:marLeft w:val="0"/>
      <w:marRight w:val="0"/>
      <w:marTop w:val="0"/>
      <w:marBottom w:val="0"/>
      <w:divBdr>
        <w:top w:val="none" w:sz="0" w:space="0" w:color="auto"/>
        <w:left w:val="none" w:sz="0" w:space="0" w:color="auto"/>
        <w:bottom w:val="none" w:sz="0" w:space="0" w:color="auto"/>
        <w:right w:val="none" w:sz="0" w:space="0" w:color="auto"/>
      </w:divBdr>
    </w:div>
    <w:div w:id="1447386680">
      <w:bodyDiv w:val="1"/>
      <w:marLeft w:val="0"/>
      <w:marRight w:val="0"/>
      <w:marTop w:val="0"/>
      <w:marBottom w:val="0"/>
      <w:divBdr>
        <w:top w:val="none" w:sz="0" w:space="0" w:color="auto"/>
        <w:left w:val="none" w:sz="0" w:space="0" w:color="auto"/>
        <w:bottom w:val="none" w:sz="0" w:space="0" w:color="auto"/>
        <w:right w:val="none" w:sz="0" w:space="0" w:color="auto"/>
      </w:divBdr>
    </w:div>
    <w:div w:id="1447460054">
      <w:bodyDiv w:val="1"/>
      <w:marLeft w:val="0"/>
      <w:marRight w:val="0"/>
      <w:marTop w:val="0"/>
      <w:marBottom w:val="0"/>
      <w:divBdr>
        <w:top w:val="none" w:sz="0" w:space="0" w:color="auto"/>
        <w:left w:val="none" w:sz="0" w:space="0" w:color="auto"/>
        <w:bottom w:val="none" w:sz="0" w:space="0" w:color="auto"/>
        <w:right w:val="none" w:sz="0" w:space="0" w:color="auto"/>
      </w:divBdr>
    </w:div>
    <w:div w:id="1447625011">
      <w:bodyDiv w:val="1"/>
      <w:marLeft w:val="0"/>
      <w:marRight w:val="0"/>
      <w:marTop w:val="0"/>
      <w:marBottom w:val="0"/>
      <w:divBdr>
        <w:top w:val="none" w:sz="0" w:space="0" w:color="auto"/>
        <w:left w:val="none" w:sz="0" w:space="0" w:color="auto"/>
        <w:bottom w:val="none" w:sz="0" w:space="0" w:color="auto"/>
        <w:right w:val="none" w:sz="0" w:space="0" w:color="auto"/>
      </w:divBdr>
    </w:div>
    <w:div w:id="1447654840">
      <w:bodyDiv w:val="1"/>
      <w:marLeft w:val="0"/>
      <w:marRight w:val="0"/>
      <w:marTop w:val="0"/>
      <w:marBottom w:val="0"/>
      <w:divBdr>
        <w:top w:val="none" w:sz="0" w:space="0" w:color="auto"/>
        <w:left w:val="none" w:sz="0" w:space="0" w:color="auto"/>
        <w:bottom w:val="none" w:sz="0" w:space="0" w:color="auto"/>
        <w:right w:val="none" w:sz="0" w:space="0" w:color="auto"/>
      </w:divBdr>
    </w:div>
    <w:div w:id="1447964196">
      <w:bodyDiv w:val="1"/>
      <w:marLeft w:val="0"/>
      <w:marRight w:val="0"/>
      <w:marTop w:val="0"/>
      <w:marBottom w:val="0"/>
      <w:divBdr>
        <w:top w:val="none" w:sz="0" w:space="0" w:color="auto"/>
        <w:left w:val="none" w:sz="0" w:space="0" w:color="auto"/>
        <w:bottom w:val="none" w:sz="0" w:space="0" w:color="auto"/>
        <w:right w:val="none" w:sz="0" w:space="0" w:color="auto"/>
      </w:divBdr>
    </w:div>
    <w:div w:id="1449399644">
      <w:bodyDiv w:val="1"/>
      <w:marLeft w:val="0"/>
      <w:marRight w:val="0"/>
      <w:marTop w:val="0"/>
      <w:marBottom w:val="0"/>
      <w:divBdr>
        <w:top w:val="none" w:sz="0" w:space="0" w:color="auto"/>
        <w:left w:val="none" w:sz="0" w:space="0" w:color="auto"/>
        <w:bottom w:val="none" w:sz="0" w:space="0" w:color="auto"/>
        <w:right w:val="none" w:sz="0" w:space="0" w:color="auto"/>
      </w:divBdr>
    </w:div>
    <w:div w:id="1449659803">
      <w:bodyDiv w:val="1"/>
      <w:marLeft w:val="0"/>
      <w:marRight w:val="0"/>
      <w:marTop w:val="0"/>
      <w:marBottom w:val="0"/>
      <w:divBdr>
        <w:top w:val="none" w:sz="0" w:space="0" w:color="auto"/>
        <w:left w:val="none" w:sz="0" w:space="0" w:color="auto"/>
        <w:bottom w:val="none" w:sz="0" w:space="0" w:color="auto"/>
        <w:right w:val="none" w:sz="0" w:space="0" w:color="auto"/>
      </w:divBdr>
    </w:div>
    <w:div w:id="1449662970">
      <w:bodyDiv w:val="1"/>
      <w:marLeft w:val="0"/>
      <w:marRight w:val="0"/>
      <w:marTop w:val="0"/>
      <w:marBottom w:val="0"/>
      <w:divBdr>
        <w:top w:val="none" w:sz="0" w:space="0" w:color="auto"/>
        <w:left w:val="none" w:sz="0" w:space="0" w:color="auto"/>
        <w:bottom w:val="none" w:sz="0" w:space="0" w:color="auto"/>
        <w:right w:val="none" w:sz="0" w:space="0" w:color="auto"/>
      </w:divBdr>
    </w:div>
    <w:div w:id="1449932331">
      <w:bodyDiv w:val="1"/>
      <w:marLeft w:val="0"/>
      <w:marRight w:val="0"/>
      <w:marTop w:val="0"/>
      <w:marBottom w:val="0"/>
      <w:divBdr>
        <w:top w:val="none" w:sz="0" w:space="0" w:color="auto"/>
        <w:left w:val="none" w:sz="0" w:space="0" w:color="auto"/>
        <w:bottom w:val="none" w:sz="0" w:space="0" w:color="auto"/>
        <w:right w:val="none" w:sz="0" w:space="0" w:color="auto"/>
      </w:divBdr>
    </w:div>
    <w:div w:id="1450706076">
      <w:bodyDiv w:val="1"/>
      <w:marLeft w:val="0"/>
      <w:marRight w:val="0"/>
      <w:marTop w:val="0"/>
      <w:marBottom w:val="0"/>
      <w:divBdr>
        <w:top w:val="none" w:sz="0" w:space="0" w:color="auto"/>
        <w:left w:val="none" w:sz="0" w:space="0" w:color="auto"/>
        <w:bottom w:val="none" w:sz="0" w:space="0" w:color="auto"/>
        <w:right w:val="none" w:sz="0" w:space="0" w:color="auto"/>
      </w:divBdr>
    </w:div>
    <w:div w:id="1451360478">
      <w:bodyDiv w:val="1"/>
      <w:marLeft w:val="0"/>
      <w:marRight w:val="0"/>
      <w:marTop w:val="0"/>
      <w:marBottom w:val="0"/>
      <w:divBdr>
        <w:top w:val="none" w:sz="0" w:space="0" w:color="auto"/>
        <w:left w:val="none" w:sz="0" w:space="0" w:color="auto"/>
        <w:bottom w:val="none" w:sz="0" w:space="0" w:color="auto"/>
        <w:right w:val="none" w:sz="0" w:space="0" w:color="auto"/>
      </w:divBdr>
    </w:div>
    <w:div w:id="1451432766">
      <w:bodyDiv w:val="1"/>
      <w:marLeft w:val="0"/>
      <w:marRight w:val="0"/>
      <w:marTop w:val="0"/>
      <w:marBottom w:val="0"/>
      <w:divBdr>
        <w:top w:val="none" w:sz="0" w:space="0" w:color="auto"/>
        <w:left w:val="none" w:sz="0" w:space="0" w:color="auto"/>
        <w:bottom w:val="none" w:sz="0" w:space="0" w:color="auto"/>
        <w:right w:val="none" w:sz="0" w:space="0" w:color="auto"/>
      </w:divBdr>
    </w:div>
    <w:div w:id="1451508436">
      <w:bodyDiv w:val="1"/>
      <w:marLeft w:val="0"/>
      <w:marRight w:val="0"/>
      <w:marTop w:val="0"/>
      <w:marBottom w:val="0"/>
      <w:divBdr>
        <w:top w:val="none" w:sz="0" w:space="0" w:color="auto"/>
        <w:left w:val="none" w:sz="0" w:space="0" w:color="auto"/>
        <w:bottom w:val="none" w:sz="0" w:space="0" w:color="auto"/>
        <w:right w:val="none" w:sz="0" w:space="0" w:color="auto"/>
      </w:divBdr>
    </w:div>
    <w:div w:id="1453397432">
      <w:bodyDiv w:val="1"/>
      <w:marLeft w:val="0"/>
      <w:marRight w:val="0"/>
      <w:marTop w:val="0"/>
      <w:marBottom w:val="0"/>
      <w:divBdr>
        <w:top w:val="none" w:sz="0" w:space="0" w:color="auto"/>
        <w:left w:val="none" w:sz="0" w:space="0" w:color="auto"/>
        <w:bottom w:val="none" w:sz="0" w:space="0" w:color="auto"/>
        <w:right w:val="none" w:sz="0" w:space="0" w:color="auto"/>
      </w:divBdr>
    </w:div>
    <w:div w:id="1456293954">
      <w:bodyDiv w:val="1"/>
      <w:marLeft w:val="0"/>
      <w:marRight w:val="0"/>
      <w:marTop w:val="0"/>
      <w:marBottom w:val="0"/>
      <w:divBdr>
        <w:top w:val="none" w:sz="0" w:space="0" w:color="auto"/>
        <w:left w:val="none" w:sz="0" w:space="0" w:color="auto"/>
        <w:bottom w:val="none" w:sz="0" w:space="0" w:color="auto"/>
        <w:right w:val="none" w:sz="0" w:space="0" w:color="auto"/>
      </w:divBdr>
    </w:div>
    <w:div w:id="1456564818">
      <w:bodyDiv w:val="1"/>
      <w:marLeft w:val="0"/>
      <w:marRight w:val="0"/>
      <w:marTop w:val="0"/>
      <w:marBottom w:val="0"/>
      <w:divBdr>
        <w:top w:val="none" w:sz="0" w:space="0" w:color="auto"/>
        <w:left w:val="none" w:sz="0" w:space="0" w:color="auto"/>
        <w:bottom w:val="none" w:sz="0" w:space="0" w:color="auto"/>
        <w:right w:val="none" w:sz="0" w:space="0" w:color="auto"/>
      </w:divBdr>
    </w:div>
    <w:div w:id="1457792399">
      <w:bodyDiv w:val="1"/>
      <w:marLeft w:val="0"/>
      <w:marRight w:val="0"/>
      <w:marTop w:val="0"/>
      <w:marBottom w:val="0"/>
      <w:divBdr>
        <w:top w:val="none" w:sz="0" w:space="0" w:color="auto"/>
        <w:left w:val="none" w:sz="0" w:space="0" w:color="auto"/>
        <w:bottom w:val="none" w:sz="0" w:space="0" w:color="auto"/>
        <w:right w:val="none" w:sz="0" w:space="0" w:color="auto"/>
      </w:divBdr>
    </w:div>
    <w:div w:id="1459256503">
      <w:bodyDiv w:val="1"/>
      <w:marLeft w:val="0"/>
      <w:marRight w:val="0"/>
      <w:marTop w:val="0"/>
      <w:marBottom w:val="0"/>
      <w:divBdr>
        <w:top w:val="none" w:sz="0" w:space="0" w:color="auto"/>
        <w:left w:val="none" w:sz="0" w:space="0" w:color="auto"/>
        <w:bottom w:val="none" w:sz="0" w:space="0" w:color="auto"/>
        <w:right w:val="none" w:sz="0" w:space="0" w:color="auto"/>
      </w:divBdr>
    </w:div>
    <w:div w:id="1460107351">
      <w:bodyDiv w:val="1"/>
      <w:marLeft w:val="0"/>
      <w:marRight w:val="0"/>
      <w:marTop w:val="0"/>
      <w:marBottom w:val="0"/>
      <w:divBdr>
        <w:top w:val="none" w:sz="0" w:space="0" w:color="auto"/>
        <w:left w:val="none" w:sz="0" w:space="0" w:color="auto"/>
        <w:bottom w:val="none" w:sz="0" w:space="0" w:color="auto"/>
        <w:right w:val="none" w:sz="0" w:space="0" w:color="auto"/>
      </w:divBdr>
    </w:div>
    <w:div w:id="1460146665">
      <w:bodyDiv w:val="1"/>
      <w:marLeft w:val="0"/>
      <w:marRight w:val="0"/>
      <w:marTop w:val="0"/>
      <w:marBottom w:val="0"/>
      <w:divBdr>
        <w:top w:val="none" w:sz="0" w:space="0" w:color="auto"/>
        <w:left w:val="none" w:sz="0" w:space="0" w:color="auto"/>
        <w:bottom w:val="none" w:sz="0" w:space="0" w:color="auto"/>
        <w:right w:val="none" w:sz="0" w:space="0" w:color="auto"/>
      </w:divBdr>
    </w:div>
    <w:div w:id="1460489129">
      <w:bodyDiv w:val="1"/>
      <w:marLeft w:val="0"/>
      <w:marRight w:val="0"/>
      <w:marTop w:val="0"/>
      <w:marBottom w:val="0"/>
      <w:divBdr>
        <w:top w:val="none" w:sz="0" w:space="0" w:color="auto"/>
        <w:left w:val="none" w:sz="0" w:space="0" w:color="auto"/>
        <w:bottom w:val="none" w:sz="0" w:space="0" w:color="auto"/>
        <w:right w:val="none" w:sz="0" w:space="0" w:color="auto"/>
      </w:divBdr>
    </w:div>
    <w:div w:id="1461000252">
      <w:bodyDiv w:val="1"/>
      <w:marLeft w:val="0"/>
      <w:marRight w:val="0"/>
      <w:marTop w:val="0"/>
      <w:marBottom w:val="0"/>
      <w:divBdr>
        <w:top w:val="none" w:sz="0" w:space="0" w:color="auto"/>
        <w:left w:val="none" w:sz="0" w:space="0" w:color="auto"/>
        <w:bottom w:val="none" w:sz="0" w:space="0" w:color="auto"/>
        <w:right w:val="none" w:sz="0" w:space="0" w:color="auto"/>
      </w:divBdr>
    </w:div>
    <w:div w:id="1461608489">
      <w:bodyDiv w:val="1"/>
      <w:marLeft w:val="0"/>
      <w:marRight w:val="0"/>
      <w:marTop w:val="0"/>
      <w:marBottom w:val="0"/>
      <w:divBdr>
        <w:top w:val="none" w:sz="0" w:space="0" w:color="auto"/>
        <w:left w:val="none" w:sz="0" w:space="0" w:color="auto"/>
        <w:bottom w:val="none" w:sz="0" w:space="0" w:color="auto"/>
        <w:right w:val="none" w:sz="0" w:space="0" w:color="auto"/>
      </w:divBdr>
    </w:div>
    <w:div w:id="1461728049">
      <w:bodyDiv w:val="1"/>
      <w:marLeft w:val="0"/>
      <w:marRight w:val="0"/>
      <w:marTop w:val="0"/>
      <w:marBottom w:val="0"/>
      <w:divBdr>
        <w:top w:val="none" w:sz="0" w:space="0" w:color="auto"/>
        <w:left w:val="none" w:sz="0" w:space="0" w:color="auto"/>
        <w:bottom w:val="none" w:sz="0" w:space="0" w:color="auto"/>
        <w:right w:val="none" w:sz="0" w:space="0" w:color="auto"/>
      </w:divBdr>
    </w:div>
    <w:div w:id="1462454777">
      <w:bodyDiv w:val="1"/>
      <w:marLeft w:val="0"/>
      <w:marRight w:val="0"/>
      <w:marTop w:val="0"/>
      <w:marBottom w:val="0"/>
      <w:divBdr>
        <w:top w:val="none" w:sz="0" w:space="0" w:color="auto"/>
        <w:left w:val="none" w:sz="0" w:space="0" w:color="auto"/>
        <w:bottom w:val="none" w:sz="0" w:space="0" w:color="auto"/>
        <w:right w:val="none" w:sz="0" w:space="0" w:color="auto"/>
      </w:divBdr>
    </w:div>
    <w:div w:id="1462991395">
      <w:bodyDiv w:val="1"/>
      <w:marLeft w:val="0"/>
      <w:marRight w:val="0"/>
      <w:marTop w:val="0"/>
      <w:marBottom w:val="0"/>
      <w:divBdr>
        <w:top w:val="none" w:sz="0" w:space="0" w:color="auto"/>
        <w:left w:val="none" w:sz="0" w:space="0" w:color="auto"/>
        <w:bottom w:val="none" w:sz="0" w:space="0" w:color="auto"/>
        <w:right w:val="none" w:sz="0" w:space="0" w:color="auto"/>
      </w:divBdr>
    </w:div>
    <w:div w:id="1463040285">
      <w:bodyDiv w:val="1"/>
      <w:marLeft w:val="0"/>
      <w:marRight w:val="0"/>
      <w:marTop w:val="0"/>
      <w:marBottom w:val="0"/>
      <w:divBdr>
        <w:top w:val="none" w:sz="0" w:space="0" w:color="auto"/>
        <w:left w:val="none" w:sz="0" w:space="0" w:color="auto"/>
        <w:bottom w:val="none" w:sz="0" w:space="0" w:color="auto"/>
        <w:right w:val="none" w:sz="0" w:space="0" w:color="auto"/>
      </w:divBdr>
    </w:div>
    <w:div w:id="1463501040">
      <w:bodyDiv w:val="1"/>
      <w:marLeft w:val="0"/>
      <w:marRight w:val="0"/>
      <w:marTop w:val="0"/>
      <w:marBottom w:val="0"/>
      <w:divBdr>
        <w:top w:val="none" w:sz="0" w:space="0" w:color="auto"/>
        <w:left w:val="none" w:sz="0" w:space="0" w:color="auto"/>
        <w:bottom w:val="none" w:sz="0" w:space="0" w:color="auto"/>
        <w:right w:val="none" w:sz="0" w:space="0" w:color="auto"/>
      </w:divBdr>
      <w:divsChild>
        <w:div w:id="1563901662">
          <w:marLeft w:val="0"/>
          <w:marRight w:val="0"/>
          <w:marTop w:val="0"/>
          <w:marBottom w:val="0"/>
          <w:divBdr>
            <w:top w:val="none" w:sz="0" w:space="0" w:color="auto"/>
            <w:left w:val="none" w:sz="0" w:space="0" w:color="auto"/>
            <w:bottom w:val="none" w:sz="0" w:space="0" w:color="auto"/>
            <w:right w:val="none" w:sz="0" w:space="0" w:color="auto"/>
          </w:divBdr>
        </w:div>
      </w:divsChild>
    </w:div>
    <w:div w:id="1463813442">
      <w:bodyDiv w:val="1"/>
      <w:marLeft w:val="0"/>
      <w:marRight w:val="0"/>
      <w:marTop w:val="0"/>
      <w:marBottom w:val="0"/>
      <w:divBdr>
        <w:top w:val="none" w:sz="0" w:space="0" w:color="auto"/>
        <w:left w:val="none" w:sz="0" w:space="0" w:color="auto"/>
        <w:bottom w:val="none" w:sz="0" w:space="0" w:color="auto"/>
        <w:right w:val="none" w:sz="0" w:space="0" w:color="auto"/>
      </w:divBdr>
    </w:div>
    <w:div w:id="1463838629">
      <w:bodyDiv w:val="1"/>
      <w:marLeft w:val="0"/>
      <w:marRight w:val="0"/>
      <w:marTop w:val="0"/>
      <w:marBottom w:val="0"/>
      <w:divBdr>
        <w:top w:val="none" w:sz="0" w:space="0" w:color="auto"/>
        <w:left w:val="none" w:sz="0" w:space="0" w:color="auto"/>
        <w:bottom w:val="none" w:sz="0" w:space="0" w:color="auto"/>
        <w:right w:val="none" w:sz="0" w:space="0" w:color="auto"/>
      </w:divBdr>
    </w:div>
    <w:div w:id="1464544625">
      <w:bodyDiv w:val="1"/>
      <w:marLeft w:val="0"/>
      <w:marRight w:val="0"/>
      <w:marTop w:val="0"/>
      <w:marBottom w:val="0"/>
      <w:divBdr>
        <w:top w:val="none" w:sz="0" w:space="0" w:color="auto"/>
        <w:left w:val="none" w:sz="0" w:space="0" w:color="auto"/>
        <w:bottom w:val="none" w:sz="0" w:space="0" w:color="auto"/>
        <w:right w:val="none" w:sz="0" w:space="0" w:color="auto"/>
      </w:divBdr>
    </w:div>
    <w:div w:id="1464688570">
      <w:bodyDiv w:val="1"/>
      <w:marLeft w:val="0"/>
      <w:marRight w:val="0"/>
      <w:marTop w:val="0"/>
      <w:marBottom w:val="0"/>
      <w:divBdr>
        <w:top w:val="none" w:sz="0" w:space="0" w:color="auto"/>
        <w:left w:val="none" w:sz="0" w:space="0" w:color="auto"/>
        <w:bottom w:val="none" w:sz="0" w:space="0" w:color="auto"/>
        <w:right w:val="none" w:sz="0" w:space="0" w:color="auto"/>
      </w:divBdr>
    </w:div>
    <w:div w:id="1464885496">
      <w:bodyDiv w:val="1"/>
      <w:marLeft w:val="0"/>
      <w:marRight w:val="0"/>
      <w:marTop w:val="0"/>
      <w:marBottom w:val="0"/>
      <w:divBdr>
        <w:top w:val="none" w:sz="0" w:space="0" w:color="auto"/>
        <w:left w:val="none" w:sz="0" w:space="0" w:color="auto"/>
        <w:bottom w:val="none" w:sz="0" w:space="0" w:color="auto"/>
        <w:right w:val="none" w:sz="0" w:space="0" w:color="auto"/>
      </w:divBdr>
    </w:div>
    <w:div w:id="1465150437">
      <w:bodyDiv w:val="1"/>
      <w:marLeft w:val="0"/>
      <w:marRight w:val="0"/>
      <w:marTop w:val="0"/>
      <w:marBottom w:val="0"/>
      <w:divBdr>
        <w:top w:val="none" w:sz="0" w:space="0" w:color="auto"/>
        <w:left w:val="none" w:sz="0" w:space="0" w:color="auto"/>
        <w:bottom w:val="none" w:sz="0" w:space="0" w:color="auto"/>
        <w:right w:val="none" w:sz="0" w:space="0" w:color="auto"/>
      </w:divBdr>
    </w:div>
    <w:div w:id="1466653818">
      <w:bodyDiv w:val="1"/>
      <w:marLeft w:val="0"/>
      <w:marRight w:val="0"/>
      <w:marTop w:val="0"/>
      <w:marBottom w:val="0"/>
      <w:divBdr>
        <w:top w:val="none" w:sz="0" w:space="0" w:color="auto"/>
        <w:left w:val="none" w:sz="0" w:space="0" w:color="auto"/>
        <w:bottom w:val="none" w:sz="0" w:space="0" w:color="auto"/>
        <w:right w:val="none" w:sz="0" w:space="0" w:color="auto"/>
      </w:divBdr>
    </w:div>
    <w:div w:id="1468938736">
      <w:bodyDiv w:val="1"/>
      <w:marLeft w:val="0"/>
      <w:marRight w:val="0"/>
      <w:marTop w:val="0"/>
      <w:marBottom w:val="0"/>
      <w:divBdr>
        <w:top w:val="none" w:sz="0" w:space="0" w:color="auto"/>
        <w:left w:val="none" w:sz="0" w:space="0" w:color="auto"/>
        <w:bottom w:val="none" w:sz="0" w:space="0" w:color="auto"/>
        <w:right w:val="none" w:sz="0" w:space="0" w:color="auto"/>
      </w:divBdr>
    </w:div>
    <w:div w:id="1469084253">
      <w:bodyDiv w:val="1"/>
      <w:marLeft w:val="0"/>
      <w:marRight w:val="0"/>
      <w:marTop w:val="0"/>
      <w:marBottom w:val="0"/>
      <w:divBdr>
        <w:top w:val="none" w:sz="0" w:space="0" w:color="auto"/>
        <w:left w:val="none" w:sz="0" w:space="0" w:color="auto"/>
        <w:bottom w:val="none" w:sz="0" w:space="0" w:color="auto"/>
        <w:right w:val="none" w:sz="0" w:space="0" w:color="auto"/>
      </w:divBdr>
    </w:div>
    <w:div w:id="1469199159">
      <w:bodyDiv w:val="1"/>
      <w:marLeft w:val="0"/>
      <w:marRight w:val="0"/>
      <w:marTop w:val="0"/>
      <w:marBottom w:val="0"/>
      <w:divBdr>
        <w:top w:val="none" w:sz="0" w:space="0" w:color="auto"/>
        <w:left w:val="none" w:sz="0" w:space="0" w:color="auto"/>
        <w:bottom w:val="none" w:sz="0" w:space="0" w:color="auto"/>
        <w:right w:val="none" w:sz="0" w:space="0" w:color="auto"/>
      </w:divBdr>
    </w:div>
    <w:div w:id="1469544622">
      <w:bodyDiv w:val="1"/>
      <w:marLeft w:val="0"/>
      <w:marRight w:val="0"/>
      <w:marTop w:val="0"/>
      <w:marBottom w:val="0"/>
      <w:divBdr>
        <w:top w:val="none" w:sz="0" w:space="0" w:color="auto"/>
        <w:left w:val="none" w:sz="0" w:space="0" w:color="auto"/>
        <w:bottom w:val="none" w:sz="0" w:space="0" w:color="auto"/>
        <w:right w:val="none" w:sz="0" w:space="0" w:color="auto"/>
      </w:divBdr>
    </w:div>
    <w:div w:id="1469977605">
      <w:bodyDiv w:val="1"/>
      <w:marLeft w:val="0"/>
      <w:marRight w:val="0"/>
      <w:marTop w:val="0"/>
      <w:marBottom w:val="0"/>
      <w:divBdr>
        <w:top w:val="none" w:sz="0" w:space="0" w:color="auto"/>
        <w:left w:val="none" w:sz="0" w:space="0" w:color="auto"/>
        <w:bottom w:val="none" w:sz="0" w:space="0" w:color="auto"/>
        <w:right w:val="none" w:sz="0" w:space="0" w:color="auto"/>
      </w:divBdr>
    </w:div>
    <w:div w:id="1470053103">
      <w:bodyDiv w:val="1"/>
      <w:marLeft w:val="0"/>
      <w:marRight w:val="0"/>
      <w:marTop w:val="0"/>
      <w:marBottom w:val="0"/>
      <w:divBdr>
        <w:top w:val="none" w:sz="0" w:space="0" w:color="auto"/>
        <w:left w:val="none" w:sz="0" w:space="0" w:color="auto"/>
        <w:bottom w:val="none" w:sz="0" w:space="0" w:color="auto"/>
        <w:right w:val="none" w:sz="0" w:space="0" w:color="auto"/>
      </w:divBdr>
    </w:div>
    <w:div w:id="1471900495">
      <w:bodyDiv w:val="1"/>
      <w:marLeft w:val="0"/>
      <w:marRight w:val="0"/>
      <w:marTop w:val="0"/>
      <w:marBottom w:val="0"/>
      <w:divBdr>
        <w:top w:val="none" w:sz="0" w:space="0" w:color="auto"/>
        <w:left w:val="none" w:sz="0" w:space="0" w:color="auto"/>
        <w:bottom w:val="none" w:sz="0" w:space="0" w:color="auto"/>
        <w:right w:val="none" w:sz="0" w:space="0" w:color="auto"/>
      </w:divBdr>
    </w:div>
    <w:div w:id="1472209679">
      <w:bodyDiv w:val="1"/>
      <w:marLeft w:val="0"/>
      <w:marRight w:val="0"/>
      <w:marTop w:val="0"/>
      <w:marBottom w:val="0"/>
      <w:divBdr>
        <w:top w:val="none" w:sz="0" w:space="0" w:color="auto"/>
        <w:left w:val="none" w:sz="0" w:space="0" w:color="auto"/>
        <w:bottom w:val="none" w:sz="0" w:space="0" w:color="auto"/>
        <w:right w:val="none" w:sz="0" w:space="0" w:color="auto"/>
      </w:divBdr>
    </w:div>
    <w:div w:id="1472670362">
      <w:bodyDiv w:val="1"/>
      <w:marLeft w:val="0"/>
      <w:marRight w:val="0"/>
      <w:marTop w:val="0"/>
      <w:marBottom w:val="0"/>
      <w:divBdr>
        <w:top w:val="none" w:sz="0" w:space="0" w:color="auto"/>
        <w:left w:val="none" w:sz="0" w:space="0" w:color="auto"/>
        <w:bottom w:val="none" w:sz="0" w:space="0" w:color="auto"/>
        <w:right w:val="none" w:sz="0" w:space="0" w:color="auto"/>
      </w:divBdr>
    </w:div>
    <w:div w:id="1472987604">
      <w:bodyDiv w:val="1"/>
      <w:marLeft w:val="0"/>
      <w:marRight w:val="0"/>
      <w:marTop w:val="0"/>
      <w:marBottom w:val="0"/>
      <w:divBdr>
        <w:top w:val="none" w:sz="0" w:space="0" w:color="auto"/>
        <w:left w:val="none" w:sz="0" w:space="0" w:color="auto"/>
        <w:bottom w:val="none" w:sz="0" w:space="0" w:color="auto"/>
        <w:right w:val="none" w:sz="0" w:space="0" w:color="auto"/>
      </w:divBdr>
    </w:div>
    <w:div w:id="1473136842">
      <w:bodyDiv w:val="1"/>
      <w:marLeft w:val="0"/>
      <w:marRight w:val="0"/>
      <w:marTop w:val="0"/>
      <w:marBottom w:val="0"/>
      <w:divBdr>
        <w:top w:val="none" w:sz="0" w:space="0" w:color="auto"/>
        <w:left w:val="none" w:sz="0" w:space="0" w:color="auto"/>
        <w:bottom w:val="none" w:sz="0" w:space="0" w:color="auto"/>
        <w:right w:val="none" w:sz="0" w:space="0" w:color="auto"/>
      </w:divBdr>
    </w:div>
    <w:div w:id="1473870243">
      <w:bodyDiv w:val="1"/>
      <w:marLeft w:val="0"/>
      <w:marRight w:val="0"/>
      <w:marTop w:val="0"/>
      <w:marBottom w:val="0"/>
      <w:divBdr>
        <w:top w:val="none" w:sz="0" w:space="0" w:color="auto"/>
        <w:left w:val="none" w:sz="0" w:space="0" w:color="auto"/>
        <w:bottom w:val="none" w:sz="0" w:space="0" w:color="auto"/>
        <w:right w:val="none" w:sz="0" w:space="0" w:color="auto"/>
      </w:divBdr>
    </w:div>
    <w:div w:id="1474104344">
      <w:bodyDiv w:val="1"/>
      <w:marLeft w:val="0"/>
      <w:marRight w:val="0"/>
      <w:marTop w:val="0"/>
      <w:marBottom w:val="0"/>
      <w:divBdr>
        <w:top w:val="none" w:sz="0" w:space="0" w:color="auto"/>
        <w:left w:val="none" w:sz="0" w:space="0" w:color="auto"/>
        <w:bottom w:val="none" w:sz="0" w:space="0" w:color="auto"/>
        <w:right w:val="none" w:sz="0" w:space="0" w:color="auto"/>
      </w:divBdr>
    </w:div>
    <w:div w:id="1474249068">
      <w:bodyDiv w:val="1"/>
      <w:marLeft w:val="0"/>
      <w:marRight w:val="0"/>
      <w:marTop w:val="0"/>
      <w:marBottom w:val="0"/>
      <w:divBdr>
        <w:top w:val="none" w:sz="0" w:space="0" w:color="auto"/>
        <w:left w:val="none" w:sz="0" w:space="0" w:color="auto"/>
        <w:bottom w:val="none" w:sz="0" w:space="0" w:color="auto"/>
        <w:right w:val="none" w:sz="0" w:space="0" w:color="auto"/>
      </w:divBdr>
    </w:div>
    <w:div w:id="1475637252">
      <w:bodyDiv w:val="1"/>
      <w:marLeft w:val="0"/>
      <w:marRight w:val="0"/>
      <w:marTop w:val="0"/>
      <w:marBottom w:val="0"/>
      <w:divBdr>
        <w:top w:val="none" w:sz="0" w:space="0" w:color="auto"/>
        <w:left w:val="none" w:sz="0" w:space="0" w:color="auto"/>
        <w:bottom w:val="none" w:sz="0" w:space="0" w:color="auto"/>
        <w:right w:val="none" w:sz="0" w:space="0" w:color="auto"/>
      </w:divBdr>
    </w:div>
    <w:div w:id="1476071221">
      <w:bodyDiv w:val="1"/>
      <w:marLeft w:val="0"/>
      <w:marRight w:val="0"/>
      <w:marTop w:val="0"/>
      <w:marBottom w:val="0"/>
      <w:divBdr>
        <w:top w:val="none" w:sz="0" w:space="0" w:color="auto"/>
        <w:left w:val="none" w:sz="0" w:space="0" w:color="auto"/>
        <w:bottom w:val="none" w:sz="0" w:space="0" w:color="auto"/>
        <w:right w:val="none" w:sz="0" w:space="0" w:color="auto"/>
      </w:divBdr>
    </w:div>
    <w:div w:id="1476290139">
      <w:bodyDiv w:val="1"/>
      <w:marLeft w:val="0"/>
      <w:marRight w:val="0"/>
      <w:marTop w:val="0"/>
      <w:marBottom w:val="0"/>
      <w:divBdr>
        <w:top w:val="none" w:sz="0" w:space="0" w:color="auto"/>
        <w:left w:val="none" w:sz="0" w:space="0" w:color="auto"/>
        <w:bottom w:val="none" w:sz="0" w:space="0" w:color="auto"/>
        <w:right w:val="none" w:sz="0" w:space="0" w:color="auto"/>
      </w:divBdr>
    </w:div>
    <w:div w:id="1476724184">
      <w:bodyDiv w:val="1"/>
      <w:marLeft w:val="0"/>
      <w:marRight w:val="0"/>
      <w:marTop w:val="0"/>
      <w:marBottom w:val="0"/>
      <w:divBdr>
        <w:top w:val="none" w:sz="0" w:space="0" w:color="auto"/>
        <w:left w:val="none" w:sz="0" w:space="0" w:color="auto"/>
        <w:bottom w:val="none" w:sz="0" w:space="0" w:color="auto"/>
        <w:right w:val="none" w:sz="0" w:space="0" w:color="auto"/>
      </w:divBdr>
    </w:div>
    <w:div w:id="1476951951">
      <w:bodyDiv w:val="1"/>
      <w:marLeft w:val="0"/>
      <w:marRight w:val="0"/>
      <w:marTop w:val="0"/>
      <w:marBottom w:val="0"/>
      <w:divBdr>
        <w:top w:val="none" w:sz="0" w:space="0" w:color="auto"/>
        <w:left w:val="none" w:sz="0" w:space="0" w:color="auto"/>
        <w:bottom w:val="none" w:sz="0" w:space="0" w:color="auto"/>
        <w:right w:val="none" w:sz="0" w:space="0" w:color="auto"/>
      </w:divBdr>
    </w:div>
    <w:div w:id="1478567171">
      <w:bodyDiv w:val="1"/>
      <w:marLeft w:val="0"/>
      <w:marRight w:val="0"/>
      <w:marTop w:val="0"/>
      <w:marBottom w:val="0"/>
      <w:divBdr>
        <w:top w:val="none" w:sz="0" w:space="0" w:color="auto"/>
        <w:left w:val="none" w:sz="0" w:space="0" w:color="auto"/>
        <w:bottom w:val="none" w:sz="0" w:space="0" w:color="auto"/>
        <w:right w:val="none" w:sz="0" w:space="0" w:color="auto"/>
      </w:divBdr>
    </w:div>
    <w:div w:id="1478568957">
      <w:bodyDiv w:val="1"/>
      <w:marLeft w:val="0"/>
      <w:marRight w:val="0"/>
      <w:marTop w:val="0"/>
      <w:marBottom w:val="0"/>
      <w:divBdr>
        <w:top w:val="none" w:sz="0" w:space="0" w:color="auto"/>
        <w:left w:val="none" w:sz="0" w:space="0" w:color="auto"/>
        <w:bottom w:val="none" w:sz="0" w:space="0" w:color="auto"/>
        <w:right w:val="none" w:sz="0" w:space="0" w:color="auto"/>
      </w:divBdr>
    </w:div>
    <w:div w:id="1479036664">
      <w:bodyDiv w:val="1"/>
      <w:marLeft w:val="0"/>
      <w:marRight w:val="0"/>
      <w:marTop w:val="0"/>
      <w:marBottom w:val="0"/>
      <w:divBdr>
        <w:top w:val="none" w:sz="0" w:space="0" w:color="auto"/>
        <w:left w:val="none" w:sz="0" w:space="0" w:color="auto"/>
        <w:bottom w:val="none" w:sz="0" w:space="0" w:color="auto"/>
        <w:right w:val="none" w:sz="0" w:space="0" w:color="auto"/>
      </w:divBdr>
    </w:div>
    <w:div w:id="1479103703">
      <w:bodyDiv w:val="1"/>
      <w:marLeft w:val="0"/>
      <w:marRight w:val="0"/>
      <w:marTop w:val="0"/>
      <w:marBottom w:val="0"/>
      <w:divBdr>
        <w:top w:val="none" w:sz="0" w:space="0" w:color="auto"/>
        <w:left w:val="none" w:sz="0" w:space="0" w:color="auto"/>
        <w:bottom w:val="none" w:sz="0" w:space="0" w:color="auto"/>
        <w:right w:val="none" w:sz="0" w:space="0" w:color="auto"/>
      </w:divBdr>
    </w:div>
    <w:div w:id="1479109295">
      <w:bodyDiv w:val="1"/>
      <w:marLeft w:val="0"/>
      <w:marRight w:val="0"/>
      <w:marTop w:val="0"/>
      <w:marBottom w:val="0"/>
      <w:divBdr>
        <w:top w:val="none" w:sz="0" w:space="0" w:color="auto"/>
        <w:left w:val="none" w:sz="0" w:space="0" w:color="auto"/>
        <w:bottom w:val="none" w:sz="0" w:space="0" w:color="auto"/>
        <w:right w:val="none" w:sz="0" w:space="0" w:color="auto"/>
      </w:divBdr>
    </w:div>
    <w:div w:id="1479297572">
      <w:bodyDiv w:val="1"/>
      <w:marLeft w:val="0"/>
      <w:marRight w:val="0"/>
      <w:marTop w:val="0"/>
      <w:marBottom w:val="0"/>
      <w:divBdr>
        <w:top w:val="none" w:sz="0" w:space="0" w:color="auto"/>
        <w:left w:val="none" w:sz="0" w:space="0" w:color="auto"/>
        <w:bottom w:val="none" w:sz="0" w:space="0" w:color="auto"/>
        <w:right w:val="none" w:sz="0" w:space="0" w:color="auto"/>
      </w:divBdr>
    </w:div>
    <w:div w:id="1479373901">
      <w:bodyDiv w:val="1"/>
      <w:marLeft w:val="0"/>
      <w:marRight w:val="0"/>
      <w:marTop w:val="0"/>
      <w:marBottom w:val="0"/>
      <w:divBdr>
        <w:top w:val="none" w:sz="0" w:space="0" w:color="auto"/>
        <w:left w:val="none" w:sz="0" w:space="0" w:color="auto"/>
        <w:bottom w:val="none" w:sz="0" w:space="0" w:color="auto"/>
        <w:right w:val="none" w:sz="0" w:space="0" w:color="auto"/>
      </w:divBdr>
    </w:div>
    <w:div w:id="1480656854">
      <w:bodyDiv w:val="1"/>
      <w:marLeft w:val="0"/>
      <w:marRight w:val="0"/>
      <w:marTop w:val="0"/>
      <w:marBottom w:val="0"/>
      <w:divBdr>
        <w:top w:val="none" w:sz="0" w:space="0" w:color="auto"/>
        <w:left w:val="none" w:sz="0" w:space="0" w:color="auto"/>
        <w:bottom w:val="none" w:sz="0" w:space="0" w:color="auto"/>
        <w:right w:val="none" w:sz="0" w:space="0" w:color="auto"/>
      </w:divBdr>
    </w:div>
    <w:div w:id="1481145028">
      <w:bodyDiv w:val="1"/>
      <w:marLeft w:val="0"/>
      <w:marRight w:val="0"/>
      <w:marTop w:val="0"/>
      <w:marBottom w:val="0"/>
      <w:divBdr>
        <w:top w:val="none" w:sz="0" w:space="0" w:color="auto"/>
        <w:left w:val="none" w:sz="0" w:space="0" w:color="auto"/>
        <w:bottom w:val="none" w:sz="0" w:space="0" w:color="auto"/>
        <w:right w:val="none" w:sz="0" w:space="0" w:color="auto"/>
      </w:divBdr>
    </w:div>
    <w:div w:id="1481801183">
      <w:bodyDiv w:val="1"/>
      <w:marLeft w:val="0"/>
      <w:marRight w:val="0"/>
      <w:marTop w:val="0"/>
      <w:marBottom w:val="0"/>
      <w:divBdr>
        <w:top w:val="none" w:sz="0" w:space="0" w:color="auto"/>
        <w:left w:val="none" w:sz="0" w:space="0" w:color="auto"/>
        <w:bottom w:val="none" w:sz="0" w:space="0" w:color="auto"/>
        <w:right w:val="none" w:sz="0" w:space="0" w:color="auto"/>
      </w:divBdr>
    </w:div>
    <w:div w:id="1481921146">
      <w:bodyDiv w:val="1"/>
      <w:marLeft w:val="0"/>
      <w:marRight w:val="0"/>
      <w:marTop w:val="0"/>
      <w:marBottom w:val="0"/>
      <w:divBdr>
        <w:top w:val="none" w:sz="0" w:space="0" w:color="auto"/>
        <w:left w:val="none" w:sz="0" w:space="0" w:color="auto"/>
        <w:bottom w:val="none" w:sz="0" w:space="0" w:color="auto"/>
        <w:right w:val="none" w:sz="0" w:space="0" w:color="auto"/>
      </w:divBdr>
    </w:div>
    <w:div w:id="1482188751">
      <w:bodyDiv w:val="1"/>
      <w:marLeft w:val="0"/>
      <w:marRight w:val="0"/>
      <w:marTop w:val="0"/>
      <w:marBottom w:val="0"/>
      <w:divBdr>
        <w:top w:val="none" w:sz="0" w:space="0" w:color="auto"/>
        <w:left w:val="none" w:sz="0" w:space="0" w:color="auto"/>
        <w:bottom w:val="none" w:sz="0" w:space="0" w:color="auto"/>
        <w:right w:val="none" w:sz="0" w:space="0" w:color="auto"/>
      </w:divBdr>
    </w:div>
    <w:div w:id="1482573425">
      <w:bodyDiv w:val="1"/>
      <w:marLeft w:val="0"/>
      <w:marRight w:val="0"/>
      <w:marTop w:val="0"/>
      <w:marBottom w:val="0"/>
      <w:divBdr>
        <w:top w:val="none" w:sz="0" w:space="0" w:color="auto"/>
        <w:left w:val="none" w:sz="0" w:space="0" w:color="auto"/>
        <w:bottom w:val="none" w:sz="0" w:space="0" w:color="auto"/>
        <w:right w:val="none" w:sz="0" w:space="0" w:color="auto"/>
      </w:divBdr>
    </w:div>
    <w:div w:id="1484159456">
      <w:bodyDiv w:val="1"/>
      <w:marLeft w:val="0"/>
      <w:marRight w:val="0"/>
      <w:marTop w:val="0"/>
      <w:marBottom w:val="0"/>
      <w:divBdr>
        <w:top w:val="none" w:sz="0" w:space="0" w:color="auto"/>
        <w:left w:val="none" w:sz="0" w:space="0" w:color="auto"/>
        <w:bottom w:val="none" w:sz="0" w:space="0" w:color="auto"/>
        <w:right w:val="none" w:sz="0" w:space="0" w:color="auto"/>
      </w:divBdr>
    </w:div>
    <w:div w:id="1484201905">
      <w:bodyDiv w:val="1"/>
      <w:marLeft w:val="0"/>
      <w:marRight w:val="0"/>
      <w:marTop w:val="0"/>
      <w:marBottom w:val="0"/>
      <w:divBdr>
        <w:top w:val="none" w:sz="0" w:space="0" w:color="auto"/>
        <w:left w:val="none" w:sz="0" w:space="0" w:color="auto"/>
        <w:bottom w:val="none" w:sz="0" w:space="0" w:color="auto"/>
        <w:right w:val="none" w:sz="0" w:space="0" w:color="auto"/>
      </w:divBdr>
    </w:div>
    <w:div w:id="1484471544">
      <w:bodyDiv w:val="1"/>
      <w:marLeft w:val="0"/>
      <w:marRight w:val="0"/>
      <w:marTop w:val="0"/>
      <w:marBottom w:val="0"/>
      <w:divBdr>
        <w:top w:val="none" w:sz="0" w:space="0" w:color="auto"/>
        <w:left w:val="none" w:sz="0" w:space="0" w:color="auto"/>
        <w:bottom w:val="none" w:sz="0" w:space="0" w:color="auto"/>
        <w:right w:val="none" w:sz="0" w:space="0" w:color="auto"/>
      </w:divBdr>
    </w:div>
    <w:div w:id="1484928372">
      <w:bodyDiv w:val="1"/>
      <w:marLeft w:val="0"/>
      <w:marRight w:val="0"/>
      <w:marTop w:val="0"/>
      <w:marBottom w:val="0"/>
      <w:divBdr>
        <w:top w:val="none" w:sz="0" w:space="0" w:color="auto"/>
        <w:left w:val="none" w:sz="0" w:space="0" w:color="auto"/>
        <w:bottom w:val="none" w:sz="0" w:space="0" w:color="auto"/>
        <w:right w:val="none" w:sz="0" w:space="0" w:color="auto"/>
      </w:divBdr>
    </w:div>
    <w:div w:id="1485315041">
      <w:bodyDiv w:val="1"/>
      <w:marLeft w:val="0"/>
      <w:marRight w:val="0"/>
      <w:marTop w:val="0"/>
      <w:marBottom w:val="0"/>
      <w:divBdr>
        <w:top w:val="none" w:sz="0" w:space="0" w:color="auto"/>
        <w:left w:val="none" w:sz="0" w:space="0" w:color="auto"/>
        <w:bottom w:val="none" w:sz="0" w:space="0" w:color="auto"/>
        <w:right w:val="none" w:sz="0" w:space="0" w:color="auto"/>
      </w:divBdr>
    </w:div>
    <w:div w:id="1485510283">
      <w:bodyDiv w:val="1"/>
      <w:marLeft w:val="0"/>
      <w:marRight w:val="0"/>
      <w:marTop w:val="0"/>
      <w:marBottom w:val="0"/>
      <w:divBdr>
        <w:top w:val="none" w:sz="0" w:space="0" w:color="auto"/>
        <w:left w:val="none" w:sz="0" w:space="0" w:color="auto"/>
        <w:bottom w:val="none" w:sz="0" w:space="0" w:color="auto"/>
        <w:right w:val="none" w:sz="0" w:space="0" w:color="auto"/>
      </w:divBdr>
    </w:div>
    <w:div w:id="1487165267">
      <w:bodyDiv w:val="1"/>
      <w:marLeft w:val="0"/>
      <w:marRight w:val="0"/>
      <w:marTop w:val="0"/>
      <w:marBottom w:val="0"/>
      <w:divBdr>
        <w:top w:val="none" w:sz="0" w:space="0" w:color="auto"/>
        <w:left w:val="none" w:sz="0" w:space="0" w:color="auto"/>
        <w:bottom w:val="none" w:sz="0" w:space="0" w:color="auto"/>
        <w:right w:val="none" w:sz="0" w:space="0" w:color="auto"/>
      </w:divBdr>
    </w:div>
    <w:div w:id="1487622421">
      <w:bodyDiv w:val="1"/>
      <w:marLeft w:val="0"/>
      <w:marRight w:val="0"/>
      <w:marTop w:val="0"/>
      <w:marBottom w:val="0"/>
      <w:divBdr>
        <w:top w:val="none" w:sz="0" w:space="0" w:color="auto"/>
        <w:left w:val="none" w:sz="0" w:space="0" w:color="auto"/>
        <w:bottom w:val="none" w:sz="0" w:space="0" w:color="auto"/>
        <w:right w:val="none" w:sz="0" w:space="0" w:color="auto"/>
      </w:divBdr>
    </w:div>
    <w:div w:id="1487939749">
      <w:bodyDiv w:val="1"/>
      <w:marLeft w:val="0"/>
      <w:marRight w:val="0"/>
      <w:marTop w:val="0"/>
      <w:marBottom w:val="0"/>
      <w:divBdr>
        <w:top w:val="none" w:sz="0" w:space="0" w:color="auto"/>
        <w:left w:val="none" w:sz="0" w:space="0" w:color="auto"/>
        <w:bottom w:val="none" w:sz="0" w:space="0" w:color="auto"/>
        <w:right w:val="none" w:sz="0" w:space="0" w:color="auto"/>
      </w:divBdr>
    </w:div>
    <w:div w:id="1488208208">
      <w:bodyDiv w:val="1"/>
      <w:marLeft w:val="0"/>
      <w:marRight w:val="0"/>
      <w:marTop w:val="0"/>
      <w:marBottom w:val="0"/>
      <w:divBdr>
        <w:top w:val="none" w:sz="0" w:space="0" w:color="auto"/>
        <w:left w:val="none" w:sz="0" w:space="0" w:color="auto"/>
        <w:bottom w:val="none" w:sz="0" w:space="0" w:color="auto"/>
        <w:right w:val="none" w:sz="0" w:space="0" w:color="auto"/>
      </w:divBdr>
    </w:div>
    <w:div w:id="1488279718">
      <w:bodyDiv w:val="1"/>
      <w:marLeft w:val="0"/>
      <w:marRight w:val="0"/>
      <w:marTop w:val="0"/>
      <w:marBottom w:val="0"/>
      <w:divBdr>
        <w:top w:val="none" w:sz="0" w:space="0" w:color="auto"/>
        <w:left w:val="none" w:sz="0" w:space="0" w:color="auto"/>
        <w:bottom w:val="none" w:sz="0" w:space="0" w:color="auto"/>
        <w:right w:val="none" w:sz="0" w:space="0" w:color="auto"/>
      </w:divBdr>
    </w:div>
    <w:div w:id="1488669038">
      <w:bodyDiv w:val="1"/>
      <w:marLeft w:val="0"/>
      <w:marRight w:val="0"/>
      <w:marTop w:val="0"/>
      <w:marBottom w:val="0"/>
      <w:divBdr>
        <w:top w:val="none" w:sz="0" w:space="0" w:color="auto"/>
        <w:left w:val="none" w:sz="0" w:space="0" w:color="auto"/>
        <w:bottom w:val="none" w:sz="0" w:space="0" w:color="auto"/>
        <w:right w:val="none" w:sz="0" w:space="0" w:color="auto"/>
      </w:divBdr>
    </w:div>
    <w:div w:id="1488740654">
      <w:bodyDiv w:val="1"/>
      <w:marLeft w:val="0"/>
      <w:marRight w:val="0"/>
      <w:marTop w:val="0"/>
      <w:marBottom w:val="0"/>
      <w:divBdr>
        <w:top w:val="none" w:sz="0" w:space="0" w:color="auto"/>
        <w:left w:val="none" w:sz="0" w:space="0" w:color="auto"/>
        <w:bottom w:val="none" w:sz="0" w:space="0" w:color="auto"/>
        <w:right w:val="none" w:sz="0" w:space="0" w:color="auto"/>
      </w:divBdr>
    </w:div>
    <w:div w:id="1490243780">
      <w:bodyDiv w:val="1"/>
      <w:marLeft w:val="0"/>
      <w:marRight w:val="0"/>
      <w:marTop w:val="0"/>
      <w:marBottom w:val="0"/>
      <w:divBdr>
        <w:top w:val="none" w:sz="0" w:space="0" w:color="auto"/>
        <w:left w:val="none" w:sz="0" w:space="0" w:color="auto"/>
        <w:bottom w:val="none" w:sz="0" w:space="0" w:color="auto"/>
        <w:right w:val="none" w:sz="0" w:space="0" w:color="auto"/>
      </w:divBdr>
    </w:div>
    <w:div w:id="1490249806">
      <w:bodyDiv w:val="1"/>
      <w:marLeft w:val="0"/>
      <w:marRight w:val="0"/>
      <w:marTop w:val="0"/>
      <w:marBottom w:val="0"/>
      <w:divBdr>
        <w:top w:val="none" w:sz="0" w:space="0" w:color="auto"/>
        <w:left w:val="none" w:sz="0" w:space="0" w:color="auto"/>
        <w:bottom w:val="none" w:sz="0" w:space="0" w:color="auto"/>
        <w:right w:val="none" w:sz="0" w:space="0" w:color="auto"/>
      </w:divBdr>
    </w:div>
    <w:div w:id="1491600663">
      <w:bodyDiv w:val="1"/>
      <w:marLeft w:val="0"/>
      <w:marRight w:val="0"/>
      <w:marTop w:val="0"/>
      <w:marBottom w:val="0"/>
      <w:divBdr>
        <w:top w:val="none" w:sz="0" w:space="0" w:color="auto"/>
        <w:left w:val="none" w:sz="0" w:space="0" w:color="auto"/>
        <w:bottom w:val="none" w:sz="0" w:space="0" w:color="auto"/>
        <w:right w:val="none" w:sz="0" w:space="0" w:color="auto"/>
      </w:divBdr>
    </w:div>
    <w:div w:id="1492210550">
      <w:bodyDiv w:val="1"/>
      <w:marLeft w:val="0"/>
      <w:marRight w:val="0"/>
      <w:marTop w:val="0"/>
      <w:marBottom w:val="0"/>
      <w:divBdr>
        <w:top w:val="none" w:sz="0" w:space="0" w:color="auto"/>
        <w:left w:val="none" w:sz="0" w:space="0" w:color="auto"/>
        <w:bottom w:val="none" w:sz="0" w:space="0" w:color="auto"/>
        <w:right w:val="none" w:sz="0" w:space="0" w:color="auto"/>
      </w:divBdr>
    </w:div>
    <w:div w:id="1492409269">
      <w:bodyDiv w:val="1"/>
      <w:marLeft w:val="0"/>
      <w:marRight w:val="0"/>
      <w:marTop w:val="0"/>
      <w:marBottom w:val="0"/>
      <w:divBdr>
        <w:top w:val="none" w:sz="0" w:space="0" w:color="auto"/>
        <w:left w:val="none" w:sz="0" w:space="0" w:color="auto"/>
        <w:bottom w:val="none" w:sz="0" w:space="0" w:color="auto"/>
        <w:right w:val="none" w:sz="0" w:space="0" w:color="auto"/>
      </w:divBdr>
    </w:div>
    <w:div w:id="1493373511">
      <w:bodyDiv w:val="1"/>
      <w:marLeft w:val="0"/>
      <w:marRight w:val="0"/>
      <w:marTop w:val="0"/>
      <w:marBottom w:val="0"/>
      <w:divBdr>
        <w:top w:val="none" w:sz="0" w:space="0" w:color="auto"/>
        <w:left w:val="none" w:sz="0" w:space="0" w:color="auto"/>
        <w:bottom w:val="none" w:sz="0" w:space="0" w:color="auto"/>
        <w:right w:val="none" w:sz="0" w:space="0" w:color="auto"/>
      </w:divBdr>
    </w:div>
    <w:div w:id="1494950083">
      <w:bodyDiv w:val="1"/>
      <w:marLeft w:val="0"/>
      <w:marRight w:val="0"/>
      <w:marTop w:val="0"/>
      <w:marBottom w:val="0"/>
      <w:divBdr>
        <w:top w:val="none" w:sz="0" w:space="0" w:color="auto"/>
        <w:left w:val="none" w:sz="0" w:space="0" w:color="auto"/>
        <w:bottom w:val="none" w:sz="0" w:space="0" w:color="auto"/>
        <w:right w:val="none" w:sz="0" w:space="0" w:color="auto"/>
      </w:divBdr>
    </w:div>
    <w:div w:id="1495686036">
      <w:bodyDiv w:val="1"/>
      <w:marLeft w:val="0"/>
      <w:marRight w:val="0"/>
      <w:marTop w:val="0"/>
      <w:marBottom w:val="0"/>
      <w:divBdr>
        <w:top w:val="none" w:sz="0" w:space="0" w:color="auto"/>
        <w:left w:val="none" w:sz="0" w:space="0" w:color="auto"/>
        <w:bottom w:val="none" w:sz="0" w:space="0" w:color="auto"/>
        <w:right w:val="none" w:sz="0" w:space="0" w:color="auto"/>
      </w:divBdr>
    </w:div>
    <w:div w:id="1496074286">
      <w:bodyDiv w:val="1"/>
      <w:marLeft w:val="0"/>
      <w:marRight w:val="0"/>
      <w:marTop w:val="0"/>
      <w:marBottom w:val="0"/>
      <w:divBdr>
        <w:top w:val="none" w:sz="0" w:space="0" w:color="auto"/>
        <w:left w:val="none" w:sz="0" w:space="0" w:color="auto"/>
        <w:bottom w:val="none" w:sz="0" w:space="0" w:color="auto"/>
        <w:right w:val="none" w:sz="0" w:space="0" w:color="auto"/>
      </w:divBdr>
    </w:div>
    <w:div w:id="1497452931">
      <w:bodyDiv w:val="1"/>
      <w:marLeft w:val="0"/>
      <w:marRight w:val="0"/>
      <w:marTop w:val="0"/>
      <w:marBottom w:val="0"/>
      <w:divBdr>
        <w:top w:val="none" w:sz="0" w:space="0" w:color="auto"/>
        <w:left w:val="none" w:sz="0" w:space="0" w:color="auto"/>
        <w:bottom w:val="none" w:sz="0" w:space="0" w:color="auto"/>
        <w:right w:val="none" w:sz="0" w:space="0" w:color="auto"/>
      </w:divBdr>
    </w:div>
    <w:div w:id="1497842603">
      <w:bodyDiv w:val="1"/>
      <w:marLeft w:val="0"/>
      <w:marRight w:val="0"/>
      <w:marTop w:val="0"/>
      <w:marBottom w:val="0"/>
      <w:divBdr>
        <w:top w:val="none" w:sz="0" w:space="0" w:color="auto"/>
        <w:left w:val="none" w:sz="0" w:space="0" w:color="auto"/>
        <w:bottom w:val="none" w:sz="0" w:space="0" w:color="auto"/>
        <w:right w:val="none" w:sz="0" w:space="0" w:color="auto"/>
      </w:divBdr>
    </w:div>
    <w:div w:id="1498032100">
      <w:bodyDiv w:val="1"/>
      <w:marLeft w:val="0"/>
      <w:marRight w:val="0"/>
      <w:marTop w:val="0"/>
      <w:marBottom w:val="0"/>
      <w:divBdr>
        <w:top w:val="none" w:sz="0" w:space="0" w:color="auto"/>
        <w:left w:val="none" w:sz="0" w:space="0" w:color="auto"/>
        <w:bottom w:val="none" w:sz="0" w:space="0" w:color="auto"/>
        <w:right w:val="none" w:sz="0" w:space="0" w:color="auto"/>
      </w:divBdr>
    </w:div>
    <w:div w:id="1498350805">
      <w:bodyDiv w:val="1"/>
      <w:marLeft w:val="0"/>
      <w:marRight w:val="0"/>
      <w:marTop w:val="0"/>
      <w:marBottom w:val="0"/>
      <w:divBdr>
        <w:top w:val="none" w:sz="0" w:space="0" w:color="auto"/>
        <w:left w:val="none" w:sz="0" w:space="0" w:color="auto"/>
        <w:bottom w:val="none" w:sz="0" w:space="0" w:color="auto"/>
        <w:right w:val="none" w:sz="0" w:space="0" w:color="auto"/>
      </w:divBdr>
    </w:div>
    <w:div w:id="1498501137">
      <w:bodyDiv w:val="1"/>
      <w:marLeft w:val="0"/>
      <w:marRight w:val="0"/>
      <w:marTop w:val="0"/>
      <w:marBottom w:val="0"/>
      <w:divBdr>
        <w:top w:val="none" w:sz="0" w:space="0" w:color="auto"/>
        <w:left w:val="none" w:sz="0" w:space="0" w:color="auto"/>
        <w:bottom w:val="none" w:sz="0" w:space="0" w:color="auto"/>
        <w:right w:val="none" w:sz="0" w:space="0" w:color="auto"/>
      </w:divBdr>
    </w:div>
    <w:div w:id="1498569768">
      <w:bodyDiv w:val="1"/>
      <w:marLeft w:val="0"/>
      <w:marRight w:val="0"/>
      <w:marTop w:val="0"/>
      <w:marBottom w:val="0"/>
      <w:divBdr>
        <w:top w:val="none" w:sz="0" w:space="0" w:color="auto"/>
        <w:left w:val="none" w:sz="0" w:space="0" w:color="auto"/>
        <w:bottom w:val="none" w:sz="0" w:space="0" w:color="auto"/>
        <w:right w:val="none" w:sz="0" w:space="0" w:color="auto"/>
      </w:divBdr>
    </w:div>
    <w:div w:id="1498687775">
      <w:bodyDiv w:val="1"/>
      <w:marLeft w:val="0"/>
      <w:marRight w:val="0"/>
      <w:marTop w:val="0"/>
      <w:marBottom w:val="0"/>
      <w:divBdr>
        <w:top w:val="none" w:sz="0" w:space="0" w:color="auto"/>
        <w:left w:val="none" w:sz="0" w:space="0" w:color="auto"/>
        <w:bottom w:val="none" w:sz="0" w:space="0" w:color="auto"/>
        <w:right w:val="none" w:sz="0" w:space="0" w:color="auto"/>
      </w:divBdr>
    </w:div>
    <w:div w:id="1499034816">
      <w:bodyDiv w:val="1"/>
      <w:marLeft w:val="0"/>
      <w:marRight w:val="0"/>
      <w:marTop w:val="0"/>
      <w:marBottom w:val="0"/>
      <w:divBdr>
        <w:top w:val="none" w:sz="0" w:space="0" w:color="auto"/>
        <w:left w:val="none" w:sz="0" w:space="0" w:color="auto"/>
        <w:bottom w:val="none" w:sz="0" w:space="0" w:color="auto"/>
        <w:right w:val="none" w:sz="0" w:space="0" w:color="auto"/>
      </w:divBdr>
    </w:div>
    <w:div w:id="1500388380">
      <w:bodyDiv w:val="1"/>
      <w:marLeft w:val="0"/>
      <w:marRight w:val="0"/>
      <w:marTop w:val="0"/>
      <w:marBottom w:val="0"/>
      <w:divBdr>
        <w:top w:val="none" w:sz="0" w:space="0" w:color="auto"/>
        <w:left w:val="none" w:sz="0" w:space="0" w:color="auto"/>
        <w:bottom w:val="none" w:sz="0" w:space="0" w:color="auto"/>
        <w:right w:val="none" w:sz="0" w:space="0" w:color="auto"/>
      </w:divBdr>
    </w:div>
    <w:div w:id="1500462647">
      <w:bodyDiv w:val="1"/>
      <w:marLeft w:val="0"/>
      <w:marRight w:val="0"/>
      <w:marTop w:val="0"/>
      <w:marBottom w:val="0"/>
      <w:divBdr>
        <w:top w:val="none" w:sz="0" w:space="0" w:color="auto"/>
        <w:left w:val="none" w:sz="0" w:space="0" w:color="auto"/>
        <w:bottom w:val="none" w:sz="0" w:space="0" w:color="auto"/>
        <w:right w:val="none" w:sz="0" w:space="0" w:color="auto"/>
      </w:divBdr>
    </w:div>
    <w:div w:id="1500729432">
      <w:bodyDiv w:val="1"/>
      <w:marLeft w:val="0"/>
      <w:marRight w:val="0"/>
      <w:marTop w:val="0"/>
      <w:marBottom w:val="0"/>
      <w:divBdr>
        <w:top w:val="none" w:sz="0" w:space="0" w:color="auto"/>
        <w:left w:val="none" w:sz="0" w:space="0" w:color="auto"/>
        <w:bottom w:val="none" w:sz="0" w:space="0" w:color="auto"/>
        <w:right w:val="none" w:sz="0" w:space="0" w:color="auto"/>
      </w:divBdr>
    </w:div>
    <w:div w:id="1500730787">
      <w:bodyDiv w:val="1"/>
      <w:marLeft w:val="0"/>
      <w:marRight w:val="0"/>
      <w:marTop w:val="0"/>
      <w:marBottom w:val="0"/>
      <w:divBdr>
        <w:top w:val="none" w:sz="0" w:space="0" w:color="auto"/>
        <w:left w:val="none" w:sz="0" w:space="0" w:color="auto"/>
        <w:bottom w:val="none" w:sz="0" w:space="0" w:color="auto"/>
        <w:right w:val="none" w:sz="0" w:space="0" w:color="auto"/>
      </w:divBdr>
    </w:div>
    <w:div w:id="1501120614">
      <w:bodyDiv w:val="1"/>
      <w:marLeft w:val="0"/>
      <w:marRight w:val="0"/>
      <w:marTop w:val="0"/>
      <w:marBottom w:val="0"/>
      <w:divBdr>
        <w:top w:val="none" w:sz="0" w:space="0" w:color="auto"/>
        <w:left w:val="none" w:sz="0" w:space="0" w:color="auto"/>
        <w:bottom w:val="none" w:sz="0" w:space="0" w:color="auto"/>
        <w:right w:val="none" w:sz="0" w:space="0" w:color="auto"/>
      </w:divBdr>
    </w:div>
    <w:div w:id="1502937521">
      <w:bodyDiv w:val="1"/>
      <w:marLeft w:val="0"/>
      <w:marRight w:val="0"/>
      <w:marTop w:val="0"/>
      <w:marBottom w:val="0"/>
      <w:divBdr>
        <w:top w:val="none" w:sz="0" w:space="0" w:color="auto"/>
        <w:left w:val="none" w:sz="0" w:space="0" w:color="auto"/>
        <w:bottom w:val="none" w:sz="0" w:space="0" w:color="auto"/>
        <w:right w:val="none" w:sz="0" w:space="0" w:color="auto"/>
      </w:divBdr>
    </w:div>
    <w:div w:id="1503662413">
      <w:bodyDiv w:val="1"/>
      <w:marLeft w:val="0"/>
      <w:marRight w:val="0"/>
      <w:marTop w:val="0"/>
      <w:marBottom w:val="0"/>
      <w:divBdr>
        <w:top w:val="none" w:sz="0" w:space="0" w:color="auto"/>
        <w:left w:val="none" w:sz="0" w:space="0" w:color="auto"/>
        <w:bottom w:val="none" w:sz="0" w:space="0" w:color="auto"/>
        <w:right w:val="none" w:sz="0" w:space="0" w:color="auto"/>
      </w:divBdr>
    </w:div>
    <w:div w:id="1503857184">
      <w:bodyDiv w:val="1"/>
      <w:marLeft w:val="0"/>
      <w:marRight w:val="0"/>
      <w:marTop w:val="0"/>
      <w:marBottom w:val="0"/>
      <w:divBdr>
        <w:top w:val="none" w:sz="0" w:space="0" w:color="auto"/>
        <w:left w:val="none" w:sz="0" w:space="0" w:color="auto"/>
        <w:bottom w:val="none" w:sz="0" w:space="0" w:color="auto"/>
        <w:right w:val="none" w:sz="0" w:space="0" w:color="auto"/>
      </w:divBdr>
    </w:div>
    <w:div w:id="1504276451">
      <w:bodyDiv w:val="1"/>
      <w:marLeft w:val="0"/>
      <w:marRight w:val="0"/>
      <w:marTop w:val="0"/>
      <w:marBottom w:val="0"/>
      <w:divBdr>
        <w:top w:val="none" w:sz="0" w:space="0" w:color="auto"/>
        <w:left w:val="none" w:sz="0" w:space="0" w:color="auto"/>
        <w:bottom w:val="none" w:sz="0" w:space="0" w:color="auto"/>
        <w:right w:val="none" w:sz="0" w:space="0" w:color="auto"/>
      </w:divBdr>
    </w:div>
    <w:div w:id="1505240054">
      <w:bodyDiv w:val="1"/>
      <w:marLeft w:val="0"/>
      <w:marRight w:val="0"/>
      <w:marTop w:val="0"/>
      <w:marBottom w:val="0"/>
      <w:divBdr>
        <w:top w:val="none" w:sz="0" w:space="0" w:color="auto"/>
        <w:left w:val="none" w:sz="0" w:space="0" w:color="auto"/>
        <w:bottom w:val="none" w:sz="0" w:space="0" w:color="auto"/>
        <w:right w:val="none" w:sz="0" w:space="0" w:color="auto"/>
      </w:divBdr>
    </w:div>
    <w:div w:id="1505514914">
      <w:bodyDiv w:val="1"/>
      <w:marLeft w:val="0"/>
      <w:marRight w:val="0"/>
      <w:marTop w:val="0"/>
      <w:marBottom w:val="0"/>
      <w:divBdr>
        <w:top w:val="none" w:sz="0" w:space="0" w:color="auto"/>
        <w:left w:val="none" w:sz="0" w:space="0" w:color="auto"/>
        <w:bottom w:val="none" w:sz="0" w:space="0" w:color="auto"/>
        <w:right w:val="none" w:sz="0" w:space="0" w:color="auto"/>
      </w:divBdr>
    </w:div>
    <w:div w:id="1506245520">
      <w:bodyDiv w:val="1"/>
      <w:marLeft w:val="0"/>
      <w:marRight w:val="0"/>
      <w:marTop w:val="0"/>
      <w:marBottom w:val="0"/>
      <w:divBdr>
        <w:top w:val="none" w:sz="0" w:space="0" w:color="auto"/>
        <w:left w:val="none" w:sz="0" w:space="0" w:color="auto"/>
        <w:bottom w:val="none" w:sz="0" w:space="0" w:color="auto"/>
        <w:right w:val="none" w:sz="0" w:space="0" w:color="auto"/>
      </w:divBdr>
    </w:div>
    <w:div w:id="1506893640">
      <w:bodyDiv w:val="1"/>
      <w:marLeft w:val="0"/>
      <w:marRight w:val="0"/>
      <w:marTop w:val="0"/>
      <w:marBottom w:val="0"/>
      <w:divBdr>
        <w:top w:val="none" w:sz="0" w:space="0" w:color="auto"/>
        <w:left w:val="none" w:sz="0" w:space="0" w:color="auto"/>
        <w:bottom w:val="none" w:sz="0" w:space="0" w:color="auto"/>
        <w:right w:val="none" w:sz="0" w:space="0" w:color="auto"/>
      </w:divBdr>
    </w:div>
    <w:div w:id="1507086786">
      <w:bodyDiv w:val="1"/>
      <w:marLeft w:val="0"/>
      <w:marRight w:val="0"/>
      <w:marTop w:val="0"/>
      <w:marBottom w:val="0"/>
      <w:divBdr>
        <w:top w:val="none" w:sz="0" w:space="0" w:color="auto"/>
        <w:left w:val="none" w:sz="0" w:space="0" w:color="auto"/>
        <w:bottom w:val="none" w:sz="0" w:space="0" w:color="auto"/>
        <w:right w:val="none" w:sz="0" w:space="0" w:color="auto"/>
      </w:divBdr>
    </w:div>
    <w:div w:id="1507213682">
      <w:bodyDiv w:val="1"/>
      <w:marLeft w:val="0"/>
      <w:marRight w:val="0"/>
      <w:marTop w:val="0"/>
      <w:marBottom w:val="0"/>
      <w:divBdr>
        <w:top w:val="none" w:sz="0" w:space="0" w:color="auto"/>
        <w:left w:val="none" w:sz="0" w:space="0" w:color="auto"/>
        <w:bottom w:val="none" w:sz="0" w:space="0" w:color="auto"/>
        <w:right w:val="none" w:sz="0" w:space="0" w:color="auto"/>
      </w:divBdr>
    </w:div>
    <w:div w:id="1508710425">
      <w:bodyDiv w:val="1"/>
      <w:marLeft w:val="0"/>
      <w:marRight w:val="0"/>
      <w:marTop w:val="0"/>
      <w:marBottom w:val="0"/>
      <w:divBdr>
        <w:top w:val="none" w:sz="0" w:space="0" w:color="auto"/>
        <w:left w:val="none" w:sz="0" w:space="0" w:color="auto"/>
        <w:bottom w:val="none" w:sz="0" w:space="0" w:color="auto"/>
        <w:right w:val="none" w:sz="0" w:space="0" w:color="auto"/>
      </w:divBdr>
    </w:div>
    <w:div w:id="1508977793">
      <w:bodyDiv w:val="1"/>
      <w:marLeft w:val="0"/>
      <w:marRight w:val="0"/>
      <w:marTop w:val="0"/>
      <w:marBottom w:val="0"/>
      <w:divBdr>
        <w:top w:val="none" w:sz="0" w:space="0" w:color="auto"/>
        <w:left w:val="none" w:sz="0" w:space="0" w:color="auto"/>
        <w:bottom w:val="none" w:sz="0" w:space="0" w:color="auto"/>
        <w:right w:val="none" w:sz="0" w:space="0" w:color="auto"/>
      </w:divBdr>
    </w:div>
    <w:div w:id="1508982257">
      <w:bodyDiv w:val="1"/>
      <w:marLeft w:val="0"/>
      <w:marRight w:val="0"/>
      <w:marTop w:val="0"/>
      <w:marBottom w:val="0"/>
      <w:divBdr>
        <w:top w:val="none" w:sz="0" w:space="0" w:color="auto"/>
        <w:left w:val="none" w:sz="0" w:space="0" w:color="auto"/>
        <w:bottom w:val="none" w:sz="0" w:space="0" w:color="auto"/>
        <w:right w:val="none" w:sz="0" w:space="0" w:color="auto"/>
      </w:divBdr>
    </w:div>
    <w:div w:id="1509438914">
      <w:bodyDiv w:val="1"/>
      <w:marLeft w:val="0"/>
      <w:marRight w:val="0"/>
      <w:marTop w:val="0"/>
      <w:marBottom w:val="0"/>
      <w:divBdr>
        <w:top w:val="none" w:sz="0" w:space="0" w:color="auto"/>
        <w:left w:val="none" w:sz="0" w:space="0" w:color="auto"/>
        <w:bottom w:val="none" w:sz="0" w:space="0" w:color="auto"/>
        <w:right w:val="none" w:sz="0" w:space="0" w:color="auto"/>
      </w:divBdr>
    </w:div>
    <w:div w:id="1509522425">
      <w:bodyDiv w:val="1"/>
      <w:marLeft w:val="0"/>
      <w:marRight w:val="0"/>
      <w:marTop w:val="0"/>
      <w:marBottom w:val="0"/>
      <w:divBdr>
        <w:top w:val="none" w:sz="0" w:space="0" w:color="auto"/>
        <w:left w:val="none" w:sz="0" w:space="0" w:color="auto"/>
        <w:bottom w:val="none" w:sz="0" w:space="0" w:color="auto"/>
        <w:right w:val="none" w:sz="0" w:space="0" w:color="auto"/>
      </w:divBdr>
    </w:div>
    <w:div w:id="1510098389">
      <w:bodyDiv w:val="1"/>
      <w:marLeft w:val="0"/>
      <w:marRight w:val="0"/>
      <w:marTop w:val="0"/>
      <w:marBottom w:val="0"/>
      <w:divBdr>
        <w:top w:val="none" w:sz="0" w:space="0" w:color="auto"/>
        <w:left w:val="none" w:sz="0" w:space="0" w:color="auto"/>
        <w:bottom w:val="none" w:sz="0" w:space="0" w:color="auto"/>
        <w:right w:val="none" w:sz="0" w:space="0" w:color="auto"/>
      </w:divBdr>
    </w:div>
    <w:div w:id="1510101166">
      <w:bodyDiv w:val="1"/>
      <w:marLeft w:val="0"/>
      <w:marRight w:val="0"/>
      <w:marTop w:val="0"/>
      <w:marBottom w:val="0"/>
      <w:divBdr>
        <w:top w:val="none" w:sz="0" w:space="0" w:color="auto"/>
        <w:left w:val="none" w:sz="0" w:space="0" w:color="auto"/>
        <w:bottom w:val="none" w:sz="0" w:space="0" w:color="auto"/>
        <w:right w:val="none" w:sz="0" w:space="0" w:color="auto"/>
      </w:divBdr>
    </w:div>
    <w:div w:id="1510365272">
      <w:bodyDiv w:val="1"/>
      <w:marLeft w:val="0"/>
      <w:marRight w:val="0"/>
      <w:marTop w:val="0"/>
      <w:marBottom w:val="0"/>
      <w:divBdr>
        <w:top w:val="none" w:sz="0" w:space="0" w:color="auto"/>
        <w:left w:val="none" w:sz="0" w:space="0" w:color="auto"/>
        <w:bottom w:val="none" w:sz="0" w:space="0" w:color="auto"/>
        <w:right w:val="none" w:sz="0" w:space="0" w:color="auto"/>
      </w:divBdr>
    </w:div>
    <w:div w:id="1510366067">
      <w:bodyDiv w:val="1"/>
      <w:marLeft w:val="0"/>
      <w:marRight w:val="0"/>
      <w:marTop w:val="0"/>
      <w:marBottom w:val="0"/>
      <w:divBdr>
        <w:top w:val="none" w:sz="0" w:space="0" w:color="auto"/>
        <w:left w:val="none" w:sz="0" w:space="0" w:color="auto"/>
        <w:bottom w:val="none" w:sz="0" w:space="0" w:color="auto"/>
        <w:right w:val="none" w:sz="0" w:space="0" w:color="auto"/>
      </w:divBdr>
    </w:div>
    <w:div w:id="1510482030">
      <w:bodyDiv w:val="1"/>
      <w:marLeft w:val="0"/>
      <w:marRight w:val="0"/>
      <w:marTop w:val="0"/>
      <w:marBottom w:val="0"/>
      <w:divBdr>
        <w:top w:val="none" w:sz="0" w:space="0" w:color="auto"/>
        <w:left w:val="none" w:sz="0" w:space="0" w:color="auto"/>
        <w:bottom w:val="none" w:sz="0" w:space="0" w:color="auto"/>
        <w:right w:val="none" w:sz="0" w:space="0" w:color="auto"/>
      </w:divBdr>
    </w:div>
    <w:div w:id="1510754937">
      <w:bodyDiv w:val="1"/>
      <w:marLeft w:val="0"/>
      <w:marRight w:val="0"/>
      <w:marTop w:val="0"/>
      <w:marBottom w:val="0"/>
      <w:divBdr>
        <w:top w:val="none" w:sz="0" w:space="0" w:color="auto"/>
        <w:left w:val="none" w:sz="0" w:space="0" w:color="auto"/>
        <w:bottom w:val="none" w:sz="0" w:space="0" w:color="auto"/>
        <w:right w:val="none" w:sz="0" w:space="0" w:color="auto"/>
      </w:divBdr>
    </w:div>
    <w:div w:id="1511143473">
      <w:bodyDiv w:val="1"/>
      <w:marLeft w:val="0"/>
      <w:marRight w:val="0"/>
      <w:marTop w:val="0"/>
      <w:marBottom w:val="0"/>
      <w:divBdr>
        <w:top w:val="none" w:sz="0" w:space="0" w:color="auto"/>
        <w:left w:val="none" w:sz="0" w:space="0" w:color="auto"/>
        <w:bottom w:val="none" w:sz="0" w:space="0" w:color="auto"/>
        <w:right w:val="none" w:sz="0" w:space="0" w:color="auto"/>
      </w:divBdr>
    </w:div>
    <w:div w:id="1511944621">
      <w:bodyDiv w:val="1"/>
      <w:marLeft w:val="0"/>
      <w:marRight w:val="0"/>
      <w:marTop w:val="0"/>
      <w:marBottom w:val="0"/>
      <w:divBdr>
        <w:top w:val="none" w:sz="0" w:space="0" w:color="auto"/>
        <w:left w:val="none" w:sz="0" w:space="0" w:color="auto"/>
        <w:bottom w:val="none" w:sz="0" w:space="0" w:color="auto"/>
        <w:right w:val="none" w:sz="0" w:space="0" w:color="auto"/>
      </w:divBdr>
    </w:div>
    <w:div w:id="1511992829">
      <w:bodyDiv w:val="1"/>
      <w:marLeft w:val="0"/>
      <w:marRight w:val="0"/>
      <w:marTop w:val="0"/>
      <w:marBottom w:val="0"/>
      <w:divBdr>
        <w:top w:val="none" w:sz="0" w:space="0" w:color="auto"/>
        <w:left w:val="none" w:sz="0" w:space="0" w:color="auto"/>
        <w:bottom w:val="none" w:sz="0" w:space="0" w:color="auto"/>
        <w:right w:val="none" w:sz="0" w:space="0" w:color="auto"/>
      </w:divBdr>
    </w:div>
    <w:div w:id="1512182342">
      <w:bodyDiv w:val="1"/>
      <w:marLeft w:val="0"/>
      <w:marRight w:val="0"/>
      <w:marTop w:val="0"/>
      <w:marBottom w:val="0"/>
      <w:divBdr>
        <w:top w:val="none" w:sz="0" w:space="0" w:color="auto"/>
        <w:left w:val="none" w:sz="0" w:space="0" w:color="auto"/>
        <w:bottom w:val="none" w:sz="0" w:space="0" w:color="auto"/>
        <w:right w:val="none" w:sz="0" w:space="0" w:color="auto"/>
      </w:divBdr>
    </w:div>
    <w:div w:id="1512451431">
      <w:bodyDiv w:val="1"/>
      <w:marLeft w:val="0"/>
      <w:marRight w:val="0"/>
      <w:marTop w:val="0"/>
      <w:marBottom w:val="0"/>
      <w:divBdr>
        <w:top w:val="none" w:sz="0" w:space="0" w:color="auto"/>
        <w:left w:val="none" w:sz="0" w:space="0" w:color="auto"/>
        <w:bottom w:val="none" w:sz="0" w:space="0" w:color="auto"/>
        <w:right w:val="none" w:sz="0" w:space="0" w:color="auto"/>
      </w:divBdr>
    </w:div>
    <w:div w:id="1512837754">
      <w:bodyDiv w:val="1"/>
      <w:marLeft w:val="0"/>
      <w:marRight w:val="0"/>
      <w:marTop w:val="0"/>
      <w:marBottom w:val="0"/>
      <w:divBdr>
        <w:top w:val="none" w:sz="0" w:space="0" w:color="auto"/>
        <w:left w:val="none" w:sz="0" w:space="0" w:color="auto"/>
        <w:bottom w:val="none" w:sz="0" w:space="0" w:color="auto"/>
        <w:right w:val="none" w:sz="0" w:space="0" w:color="auto"/>
      </w:divBdr>
    </w:div>
    <w:div w:id="1513255720">
      <w:bodyDiv w:val="1"/>
      <w:marLeft w:val="0"/>
      <w:marRight w:val="0"/>
      <w:marTop w:val="0"/>
      <w:marBottom w:val="0"/>
      <w:divBdr>
        <w:top w:val="none" w:sz="0" w:space="0" w:color="auto"/>
        <w:left w:val="none" w:sz="0" w:space="0" w:color="auto"/>
        <w:bottom w:val="none" w:sz="0" w:space="0" w:color="auto"/>
        <w:right w:val="none" w:sz="0" w:space="0" w:color="auto"/>
      </w:divBdr>
    </w:div>
    <w:div w:id="1513376378">
      <w:bodyDiv w:val="1"/>
      <w:marLeft w:val="0"/>
      <w:marRight w:val="0"/>
      <w:marTop w:val="0"/>
      <w:marBottom w:val="0"/>
      <w:divBdr>
        <w:top w:val="none" w:sz="0" w:space="0" w:color="auto"/>
        <w:left w:val="none" w:sz="0" w:space="0" w:color="auto"/>
        <w:bottom w:val="none" w:sz="0" w:space="0" w:color="auto"/>
        <w:right w:val="none" w:sz="0" w:space="0" w:color="auto"/>
      </w:divBdr>
    </w:div>
    <w:div w:id="1513447450">
      <w:bodyDiv w:val="1"/>
      <w:marLeft w:val="0"/>
      <w:marRight w:val="0"/>
      <w:marTop w:val="0"/>
      <w:marBottom w:val="0"/>
      <w:divBdr>
        <w:top w:val="none" w:sz="0" w:space="0" w:color="auto"/>
        <w:left w:val="none" w:sz="0" w:space="0" w:color="auto"/>
        <w:bottom w:val="none" w:sz="0" w:space="0" w:color="auto"/>
        <w:right w:val="none" w:sz="0" w:space="0" w:color="auto"/>
      </w:divBdr>
    </w:div>
    <w:div w:id="1513837024">
      <w:bodyDiv w:val="1"/>
      <w:marLeft w:val="0"/>
      <w:marRight w:val="0"/>
      <w:marTop w:val="0"/>
      <w:marBottom w:val="0"/>
      <w:divBdr>
        <w:top w:val="none" w:sz="0" w:space="0" w:color="auto"/>
        <w:left w:val="none" w:sz="0" w:space="0" w:color="auto"/>
        <w:bottom w:val="none" w:sz="0" w:space="0" w:color="auto"/>
        <w:right w:val="none" w:sz="0" w:space="0" w:color="auto"/>
      </w:divBdr>
    </w:div>
    <w:div w:id="1514342592">
      <w:bodyDiv w:val="1"/>
      <w:marLeft w:val="0"/>
      <w:marRight w:val="0"/>
      <w:marTop w:val="0"/>
      <w:marBottom w:val="0"/>
      <w:divBdr>
        <w:top w:val="none" w:sz="0" w:space="0" w:color="auto"/>
        <w:left w:val="none" w:sz="0" w:space="0" w:color="auto"/>
        <w:bottom w:val="none" w:sz="0" w:space="0" w:color="auto"/>
        <w:right w:val="none" w:sz="0" w:space="0" w:color="auto"/>
      </w:divBdr>
    </w:div>
    <w:div w:id="1514343431">
      <w:bodyDiv w:val="1"/>
      <w:marLeft w:val="0"/>
      <w:marRight w:val="0"/>
      <w:marTop w:val="0"/>
      <w:marBottom w:val="0"/>
      <w:divBdr>
        <w:top w:val="none" w:sz="0" w:space="0" w:color="auto"/>
        <w:left w:val="none" w:sz="0" w:space="0" w:color="auto"/>
        <w:bottom w:val="none" w:sz="0" w:space="0" w:color="auto"/>
        <w:right w:val="none" w:sz="0" w:space="0" w:color="auto"/>
      </w:divBdr>
    </w:div>
    <w:div w:id="1514539882">
      <w:bodyDiv w:val="1"/>
      <w:marLeft w:val="0"/>
      <w:marRight w:val="0"/>
      <w:marTop w:val="0"/>
      <w:marBottom w:val="0"/>
      <w:divBdr>
        <w:top w:val="none" w:sz="0" w:space="0" w:color="auto"/>
        <w:left w:val="none" w:sz="0" w:space="0" w:color="auto"/>
        <w:bottom w:val="none" w:sz="0" w:space="0" w:color="auto"/>
        <w:right w:val="none" w:sz="0" w:space="0" w:color="auto"/>
      </w:divBdr>
    </w:div>
    <w:div w:id="1514567776">
      <w:bodyDiv w:val="1"/>
      <w:marLeft w:val="0"/>
      <w:marRight w:val="0"/>
      <w:marTop w:val="0"/>
      <w:marBottom w:val="0"/>
      <w:divBdr>
        <w:top w:val="none" w:sz="0" w:space="0" w:color="auto"/>
        <w:left w:val="none" w:sz="0" w:space="0" w:color="auto"/>
        <w:bottom w:val="none" w:sz="0" w:space="0" w:color="auto"/>
        <w:right w:val="none" w:sz="0" w:space="0" w:color="auto"/>
      </w:divBdr>
    </w:div>
    <w:div w:id="1515532502">
      <w:bodyDiv w:val="1"/>
      <w:marLeft w:val="0"/>
      <w:marRight w:val="0"/>
      <w:marTop w:val="0"/>
      <w:marBottom w:val="0"/>
      <w:divBdr>
        <w:top w:val="none" w:sz="0" w:space="0" w:color="auto"/>
        <w:left w:val="none" w:sz="0" w:space="0" w:color="auto"/>
        <w:bottom w:val="none" w:sz="0" w:space="0" w:color="auto"/>
        <w:right w:val="none" w:sz="0" w:space="0" w:color="auto"/>
      </w:divBdr>
    </w:div>
    <w:div w:id="1515802260">
      <w:bodyDiv w:val="1"/>
      <w:marLeft w:val="0"/>
      <w:marRight w:val="0"/>
      <w:marTop w:val="0"/>
      <w:marBottom w:val="0"/>
      <w:divBdr>
        <w:top w:val="none" w:sz="0" w:space="0" w:color="auto"/>
        <w:left w:val="none" w:sz="0" w:space="0" w:color="auto"/>
        <w:bottom w:val="none" w:sz="0" w:space="0" w:color="auto"/>
        <w:right w:val="none" w:sz="0" w:space="0" w:color="auto"/>
      </w:divBdr>
    </w:div>
    <w:div w:id="1516845804">
      <w:bodyDiv w:val="1"/>
      <w:marLeft w:val="0"/>
      <w:marRight w:val="0"/>
      <w:marTop w:val="0"/>
      <w:marBottom w:val="0"/>
      <w:divBdr>
        <w:top w:val="none" w:sz="0" w:space="0" w:color="auto"/>
        <w:left w:val="none" w:sz="0" w:space="0" w:color="auto"/>
        <w:bottom w:val="none" w:sz="0" w:space="0" w:color="auto"/>
        <w:right w:val="none" w:sz="0" w:space="0" w:color="auto"/>
      </w:divBdr>
    </w:div>
    <w:div w:id="1517378293">
      <w:bodyDiv w:val="1"/>
      <w:marLeft w:val="0"/>
      <w:marRight w:val="0"/>
      <w:marTop w:val="0"/>
      <w:marBottom w:val="0"/>
      <w:divBdr>
        <w:top w:val="none" w:sz="0" w:space="0" w:color="auto"/>
        <w:left w:val="none" w:sz="0" w:space="0" w:color="auto"/>
        <w:bottom w:val="none" w:sz="0" w:space="0" w:color="auto"/>
        <w:right w:val="none" w:sz="0" w:space="0" w:color="auto"/>
      </w:divBdr>
    </w:div>
    <w:div w:id="1517579340">
      <w:bodyDiv w:val="1"/>
      <w:marLeft w:val="0"/>
      <w:marRight w:val="0"/>
      <w:marTop w:val="0"/>
      <w:marBottom w:val="0"/>
      <w:divBdr>
        <w:top w:val="none" w:sz="0" w:space="0" w:color="auto"/>
        <w:left w:val="none" w:sz="0" w:space="0" w:color="auto"/>
        <w:bottom w:val="none" w:sz="0" w:space="0" w:color="auto"/>
        <w:right w:val="none" w:sz="0" w:space="0" w:color="auto"/>
      </w:divBdr>
    </w:div>
    <w:div w:id="1518539771">
      <w:bodyDiv w:val="1"/>
      <w:marLeft w:val="0"/>
      <w:marRight w:val="0"/>
      <w:marTop w:val="0"/>
      <w:marBottom w:val="0"/>
      <w:divBdr>
        <w:top w:val="none" w:sz="0" w:space="0" w:color="auto"/>
        <w:left w:val="none" w:sz="0" w:space="0" w:color="auto"/>
        <w:bottom w:val="none" w:sz="0" w:space="0" w:color="auto"/>
        <w:right w:val="none" w:sz="0" w:space="0" w:color="auto"/>
      </w:divBdr>
    </w:div>
    <w:div w:id="1519077430">
      <w:bodyDiv w:val="1"/>
      <w:marLeft w:val="0"/>
      <w:marRight w:val="0"/>
      <w:marTop w:val="0"/>
      <w:marBottom w:val="0"/>
      <w:divBdr>
        <w:top w:val="none" w:sz="0" w:space="0" w:color="auto"/>
        <w:left w:val="none" w:sz="0" w:space="0" w:color="auto"/>
        <w:bottom w:val="none" w:sz="0" w:space="0" w:color="auto"/>
        <w:right w:val="none" w:sz="0" w:space="0" w:color="auto"/>
      </w:divBdr>
    </w:div>
    <w:div w:id="1520504597">
      <w:bodyDiv w:val="1"/>
      <w:marLeft w:val="0"/>
      <w:marRight w:val="0"/>
      <w:marTop w:val="0"/>
      <w:marBottom w:val="0"/>
      <w:divBdr>
        <w:top w:val="none" w:sz="0" w:space="0" w:color="auto"/>
        <w:left w:val="none" w:sz="0" w:space="0" w:color="auto"/>
        <w:bottom w:val="none" w:sz="0" w:space="0" w:color="auto"/>
        <w:right w:val="none" w:sz="0" w:space="0" w:color="auto"/>
      </w:divBdr>
    </w:div>
    <w:div w:id="1520511390">
      <w:bodyDiv w:val="1"/>
      <w:marLeft w:val="0"/>
      <w:marRight w:val="0"/>
      <w:marTop w:val="0"/>
      <w:marBottom w:val="0"/>
      <w:divBdr>
        <w:top w:val="none" w:sz="0" w:space="0" w:color="auto"/>
        <w:left w:val="none" w:sz="0" w:space="0" w:color="auto"/>
        <w:bottom w:val="none" w:sz="0" w:space="0" w:color="auto"/>
        <w:right w:val="none" w:sz="0" w:space="0" w:color="auto"/>
      </w:divBdr>
    </w:div>
    <w:div w:id="1521354150">
      <w:bodyDiv w:val="1"/>
      <w:marLeft w:val="0"/>
      <w:marRight w:val="0"/>
      <w:marTop w:val="0"/>
      <w:marBottom w:val="0"/>
      <w:divBdr>
        <w:top w:val="none" w:sz="0" w:space="0" w:color="auto"/>
        <w:left w:val="none" w:sz="0" w:space="0" w:color="auto"/>
        <w:bottom w:val="none" w:sz="0" w:space="0" w:color="auto"/>
        <w:right w:val="none" w:sz="0" w:space="0" w:color="auto"/>
      </w:divBdr>
    </w:div>
    <w:div w:id="1521357451">
      <w:bodyDiv w:val="1"/>
      <w:marLeft w:val="0"/>
      <w:marRight w:val="0"/>
      <w:marTop w:val="0"/>
      <w:marBottom w:val="0"/>
      <w:divBdr>
        <w:top w:val="none" w:sz="0" w:space="0" w:color="auto"/>
        <w:left w:val="none" w:sz="0" w:space="0" w:color="auto"/>
        <w:bottom w:val="none" w:sz="0" w:space="0" w:color="auto"/>
        <w:right w:val="none" w:sz="0" w:space="0" w:color="auto"/>
      </w:divBdr>
    </w:div>
    <w:div w:id="1521777773">
      <w:bodyDiv w:val="1"/>
      <w:marLeft w:val="0"/>
      <w:marRight w:val="0"/>
      <w:marTop w:val="0"/>
      <w:marBottom w:val="0"/>
      <w:divBdr>
        <w:top w:val="none" w:sz="0" w:space="0" w:color="auto"/>
        <w:left w:val="none" w:sz="0" w:space="0" w:color="auto"/>
        <w:bottom w:val="none" w:sz="0" w:space="0" w:color="auto"/>
        <w:right w:val="none" w:sz="0" w:space="0" w:color="auto"/>
      </w:divBdr>
    </w:div>
    <w:div w:id="1522012028">
      <w:bodyDiv w:val="1"/>
      <w:marLeft w:val="0"/>
      <w:marRight w:val="0"/>
      <w:marTop w:val="0"/>
      <w:marBottom w:val="0"/>
      <w:divBdr>
        <w:top w:val="none" w:sz="0" w:space="0" w:color="auto"/>
        <w:left w:val="none" w:sz="0" w:space="0" w:color="auto"/>
        <w:bottom w:val="none" w:sz="0" w:space="0" w:color="auto"/>
        <w:right w:val="none" w:sz="0" w:space="0" w:color="auto"/>
      </w:divBdr>
    </w:div>
    <w:div w:id="1522431314">
      <w:bodyDiv w:val="1"/>
      <w:marLeft w:val="0"/>
      <w:marRight w:val="0"/>
      <w:marTop w:val="0"/>
      <w:marBottom w:val="0"/>
      <w:divBdr>
        <w:top w:val="none" w:sz="0" w:space="0" w:color="auto"/>
        <w:left w:val="none" w:sz="0" w:space="0" w:color="auto"/>
        <w:bottom w:val="none" w:sz="0" w:space="0" w:color="auto"/>
        <w:right w:val="none" w:sz="0" w:space="0" w:color="auto"/>
      </w:divBdr>
    </w:div>
    <w:div w:id="1523009149">
      <w:bodyDiv w:val="1"/>
      <w:marLeft w:val="0"/>
      <w:marRight w:val="0"/>
      <w:marTop w:val="0"/>
      <w:marBottom w:val="0"/>
      <w:divBdr>
        <w:top w:val="none" w:sz="0" w:space="0" w:color="auto"/>
        <w:left w:val="none" w:sz="0" w:space="0" w:color="auto"/>
        <w:bottom w:val="none" w:sz="0" w:space="0" w:color="auto"/>
        <w:right w:val="none" w:sz="0" w:space="0" w:color="auto"/>
      </w:divBdr>
    </w:div>
    <w:div w:id="1523661464">
      <w:bodyDiv w:val="1"/>
      <w:marLeft w:val="0"/>
      <w:marRight w:val="0"/>
      <w:marTop w:val="0"/>
      <w:marBottom w:val="0"/>
      <w:divBdr>
        <w:top w:val="none" w:sz="0" w:space="0" w:color="auto"/>
        <w:left w:val="none" w:sz="0" w:space="0" w:color="auto"/>
        <w:bottom w:val="none" w:sz="0" w:space="0" w:color="auto"/>
        <w:right w:val="none" w:sz="0" w:space="0" w:color="auto"/>
      </w:divBdr>
    </w:div>
    <w:div w:id="1524057026">
      <w:bodyDiv w:val="1"/>
      <w:marLeft w:val="0"/>
      <w:marRight w:val="0"/>
      <w:marTop w:val="0"/>
      <w:marBottom w:val="0"/>
      <w:divBdr>
        <w:top w:val="none" w:sz="0" w:space="0" w:color="auto"/>
        <w:left w:val="none" w:sz="0" w:space="0" w:color="auto"/>
        <w:bottom w:val="none" w:sz="0" w:space="0" w:color="auto"/>
        <w:right w:val="none" w:sz="0" w:space="0" w:color="auto"/>
      </w:divBdr>
    </w:div>
    <w:div w:id="1524321430">
      <w:bodyDiv w:val="1"/>
      <w:marLeft w:val="0"/>
      <w:marRight w:val="0"/>
      <w:marTop w:val="0"/>
      <w:marBottom w:val="0"/>
      <w:divBdr>
        <w:top w:val="none" w:sz="0" w:space="0" w:color="auto"/>
        <w:left w:val="none" w:sz="0" w:space="0" w:color="auto"/>
        <w:bottom w:val="none" w:sz="0" w:space="0" w:color="auto"/>
        <w:right w:val="none" w:sz="0" w:space="0" w:color="auto"/>
      </w:divBdr>
    </w:div>
    <w:div w:id="1525172164">
      <w:bodyDiv w:val="1"/>
      <w:marLeft w:val="0"/>
      <w:marRight w:val="0"/>
      <w:marTop w:val="0"/>
      <w:marBottom w:val="0"/>
      <w:divBdr>
        <w:top w:val="none" w:sz="0" w:space="0" w:color="auto"/>
        <w:left w:val="none" w:sz="0" w:space="0" w:color="auto"/>
        <w:bottom w:val="none" w:sz="0" w:space="0" w:color="auto"/>
        <w:right w:val="none" w:sz="0" w:space="0" w:color="auto"/>
      </w:divBdr>
    </w:div>
    <w:div w:id="1525246139">
      <w:bodyDiv w:val="1"/>
      <w:marLeft w:val="0"/>
      <w:marRight w:val="0"/>
      <w:marTop w:val="0"/>
      <w:marBottom w:val="0"/>
      <w:divBdr>
        <w:top w:val="none" w:sz="0" w:space="0" w:color="auto"/>
        <w:left w:val="none" w:sz="0" w:space="0" w:color="auto"/>
        <w:bottom w:val="none" w:sz="0" w:space="0" w:color="auto"/>
        <w:right w:val="none" w:sz="0" w:space="0" w:color="auto"/>
      </w:divBdr>
    </w:div>
    <w:div w:id="1525362822">
      <w:bodyDiv w:val="1"/>
      <w:marLeft w:val="0"/>
      <w:marRight w:val="0"/>
      <w:marTop w:val="0"/>
      <w:marBottom w:val="0"/>
      <w:divBdr>
        <w:top w:val="none" w:sz="0" w:space="0" w:color="auto"/>
        <w:left w:val="none" w:sz="0" w:space="0" w:color="auto"/>
        <w:bottom w:val="none" w:sz="0" w:space="0" w:color="auto"/>
        <w:right w:val="none" w:sz="0" w:space="0" w:color="auto"/>
      </w:divBdr>
    </w:div>
    <w:div w:id="1525442155">
      <w:bodyDiv w:val="1"/>
      <w:marLeft w:val="0"/>
      <w:marRight w:val="0"/>
      <w:marTop w:val="0"/>
      <w:marBottom w:val="0"/>
      <w:divBdr>
        <w:top w:val="none" w:sz="0" w:space="0" w:color="auto"/>
        <w:left w:val="none" w:sz="0" w:space="0" w:color="auto"/>
        <w:bottom w:val="none" w:sz="0" w:space="0" w:color="auto"/>
        <w:right w:val="none" w:sz="0" w:space="0" w:color="auto"/>
      </w:divBdr>
    </w:div>
    <w:div w:id="1525557833">
      <w:bodyDiv w:val="1"/>
      <w:marLeft w:val="0"/>
      <w:marRight w:val="0"/>
      <w:marTop w:val="0"/>
      <w:marBottom w:val="0"/>
      <w:divBdr>
        <w:top w:val="none" w:sz="0" w:space="0" w:color="auto"/>
        <w:left w:val="none" w:sz="0" w:space="0" w:color="auto"/>
        <w:bottom w:val="none" w:sz="0" w:space="0" w:color="auto"/>
        <w:right w:val="none" w:sz="0" w:space="0" w:color="auto"/>
      </w:divBdr>
    </w:div>
    <w:div w:id="1525745473">
      <w:bodyDiv w:val="1"/>
      <w:marLeft w:val="0"/>
      <w:marRight w:val="0"/>
      <w:marTop w:val="0"/>
      <w:marBottom w:val="0"/>
      <w:divBdr>
        <w:top w:val="none" w:sz="0" w:space="0" w:color="auto"/>
        <w:left w:val="none" w:sz="0" w:space="0" w:color="auto"/>
        <w:bottom w:val="none" w:sz="0" w:space="0" w:color="auto"/>
        <w:right w:val="none" w:sz="0" w:space="0" w:color="auto"/>
      </w:divBdr>
    </w:div>
    <w:div w:id="1525822109">
      <w:bodyDiv w:val="1"/>
      <w:marLeft w:val="0"/>
      <w:marRight w:val="0"/>
      <w:marTop w:val="0"/>
      <w:marBottom w:val="0"/>
      <w:divBdr>
        <w:top w:val="none" w:sz="0" w:space="0" w:color="auto"/>
        <w:left w:val="none" w:sz="0" w:space="0" w:color="auto"/>
        <w:bottom w:val="none" w:sz="0" w:space="0" w:color="auto"/>
        <w:right w:val="none" w:sz="0" w:space="0" w:color="auto"/>
      </w:divBdr>
    </w:div>
    <w:div w:id="1526095859">
      <w:bodyDiv w:val="1"/>
      <w:marLeft w:val="0"/>
      <w:marRight w:val="0"/>
      <w:marTop w:val="0"/>
      <w:marBottom w:val="0"/>
      <w:divBdr>
        <w:top w:val="none" w:sz="0" w:space="0" w:color="auto"/>
        <w:left w:val="none" w:sz="0" w:space="0" w:color="auto"/>
        <w:bottom w:val="none" w:sz="0" w:space="0" w:color="auto"/>
        <w:right w:val="none" w:sz="0" w:space="0" w:color="auto"/>
      </w:divBdr>
    </w:div>
    <w:div w:id="1526212463">
      <w:bodyDiv w:val="1"/>
      <w:marLeft w:val="0"/>
      <w:marRight w:val="0"/>
      <w:marTop w:val="0"/>
      <w:marBottom w:val="0"/>
      <w:divBdr>
        <w:top w:val="none" w:sz="0" w:space="0" w:color="auto"/>
        <w:left w:val="none" w:sz="0" w:space="0" w:color="auto"/>
        <w:bottom w:val="none" w:sz="0" w:space="0" w:color="auto"/>
        <w:right w:val="none" w:sz="0" w:space="0" w:color="auto"/>
      </w:divBdr>
    </w:div>
    <w:div w:id="1526626686">
      <w:bodyDiv w:val="1"/>
      <w:marLeft w:val="0"/>
      <w:marRight w:val="0"/>
      <w:marTop w:val="0"/>
      <w:marBottom w:val="0"/>
      <w:divBdr>
        <w:top w:val="none" w:sz="0" w:space="0" w:color="auto"/>
        <w:left w:val="none" w:sz="0" w:space="0" w:color="auto"/>
        <w:bottom w:val="none" w:sz="0" w:space="0" w:color="auto"/>
        <w:right w:val="none" w:sz="0" w:space="0" w:color="auto"/>
      </w:divBdr>
    </w:div>
    <w:div w:id="1527332174">
      <w:bodyDiv w:val="1"/>
      <w:marLeft w:val="0"/>
      <w:marRight w:val="0"/>
      <w:marTop w:val="0"/>
      <w:marBottom w:val="0"/>
      <w:divBdr>
        <w:top w:val="none" w:sz="0" w:space="0" w:color="auto"/>
        <w:left w:val="none" w:sz="0" w:space="0" w:color="auto"/>
        <w:bottom w:val="none" w:sz="0" w:space="0" w:color="auto"/>
        <w:right w:val="none" w:sz="0" w:space="0" w:color="auto"/>
      </w:divBdr>
    </w:div>
    <w:div w:id="1527871348">
      <w:bodyDiv w:val="1"/>
      <w:marLeft w:val="0"/>
      <w:marRight w:val="0"/>
      <w:marTop w:val="0"/>
      <w:marBottom w:val="0"/>
      <w:divBdr>
        <w:top w:val="none" w:sz="0" w:space="0" w:color="auto"/>
        <w:left w:val="none" w:sz="0" w:space="0" w:color="auto"/>
        <w:bottom w:val="none" w:sz="0" w:space="0" w:color="auto"/>
        <w:right w:val="none" w:sz="0" w:space="0" w:color="auto"/>
      </w:divBdr>
    </w:div>
    <w:div w:id="1528060569">
      <w:bodyDiv w:val="1"/>
      <w:marLeft w:val="0"/>
      <w:marRight w:val="0"/>
      <w:marTop w:val="0"/>
      <w:marBottom w:val="0"/>
      <w:divBdr>
        <w:top w:val="none" w:sz="0" w:space="0" w:color="auto"/>
        <w:left w:val="none" w:sz="0" w:space="0" w:color="auto"/>
        <w:bottom w:val="none" w:sz="0" w:space="0" w:color="auto"/>
        <w:right w:val="none" w:sz="0" w:space="0" w:color="auto"/>
      </w:divBdr>
    </w:div>
    <w:div w:id="1528442684">
      <w:bodyDiv w:val="1"/>
      <w:marLeft w:val="0"/>
      <w:marRight w:val="0"/>
      <w:marTop w:val="0"/>
      <w:marBottom w:val="0"/>
      <w:divBdr>
        <w:top w:val="none" w:sz="0" w:space="0" w:color="auto"/>
        <w:left w:val="none" w:sz="0" w:space="0" w:color="auto"/>
        <w:bottom w:val="none" w:sz="0" w:space="0" w:color="auto"/>
        <w:right w:val="none" w:sz="0" w:space="0" w:color="auto"/>
      </w:divBdr>
    </w:div>
    <w:div w:id="1528715483">
      <w:bodyDiv w:val="1"/>
      <w:marLeft w:val="0"/>
      <w:marRight w:val="0"/>
      <w:marTop w:val="0"/>
      <w:marBottom w:val="0"/>
      <w:divBdr>
        <w:top w:val="none" w:sz="0" w:space="0" w:color="auto"/>
        <w:left w:val="none" w:sz="0" w:space="0" w:color="auto"/>
        <w:bottom w:val="none" w:sz="0" w:space="0" w:color="auto"/>
        <w:right w:val="none" w:sz="0" w:space="0" w:color="auto"/>
      </w:divBdr>
    </w:div>
    <w:div w:id="1528789784">
      <w:bodyDiv w:val="1"/>
      <w:marLeft w:val="0"/>
      <w:marRight w:val="0"/>
      <w:marTop w:val="0"/>
      <w:marBottom w:val="0"/>
      <w:divBdr>
        <w:top w:val="none" w:sz="0" w:space="0" w:color="auto"/>
        <w:left w:val="none" w:sz="0" w:space="0" w:color="auto"/>
        <w:bottom w:val="none" w:sz="0" w:space="0" w:color="auto"/>
        <w:right w:val="none" w:sz="0" w:space="0" w:color="auto"/>
      </w:divBdr>
    </w:div>
    <w:div w:id="1528837457">
      <w:bodyDiv w:val="1"/>
      <w:marLeft w:val="0"/>
      <w:marRight w:val="0"/>
      <w:marTop w:val="0"/>
      <w:marBottom w:val="0"/>
      <w:divBdr>
        <w:top w:val="none" w:sz="0" w:space="0" w:color="auto"/>
        <w:left w:val="none" w:sz="0" w:space="0" w:color="auto"/>
        <w:bottom w:val="none" w:sz="0" w:space="0" w:color="auto"/>
        <w:right w:val="none" w:sz="0" w:space="0" w:color="auto"/>
      </w:divBdr>
    </w:div>
    <w:div w:id="1528911041">
      <w:bodyDiv w:val="1"/>
      <w:marLeft w:val="0"/>
      <w:marRight w:val="0"/>
      <w:marTop w:val="0"/>
      <w:marBottom w:val="0"/>
      <w:divBdr>
        <w:top w:val="none" w:sz="0" w:space="0" w:color="auto"/>
        <w:left w:val="none" w:sz="0" w:space="0" w:color="auto"/>
        <w:bottom w:val="none" w:sz="0" w:space="0" w:color="auto"/>
        <w:right w:val="none" w:sz="0" w:space="0" w:color="auto"/>
      </w:divBdr>
    </w:div>
    <w:div w:id="1529180377">
      <w:bodyDiv w:val="1"/>
      <w:marLeft w:val="0"/>
      <w:marRight w:val="0"/>
      <w:marTop w:val="0"/>
      <w:marBottom w:val="0"/>
      <w:divBdr>
        <w:top w:val="none" w:sz="0" w:space="0" w:color="auto"/>
        <w:left w:val="none" w:sz="0" w:space="0" w:color="auto"/>
        <w:bottom w:val="none" w:sz="0" w:space="0" w:color="auto"/>
        <w:right w:val="none" w:sz="0" w:space="0" w:color="auto"/>
      </w:divBdr>
    </w:div>
    <w:div w:id="1529371458">
      <w:bodyDiv w:val="1"/>
      <w:marLeft w:val="0"/>
      <w:marRight w:val="0"/>
      <w:marTop w:val="0"/>
      <w:marBottom w:val="0"/>
      <w:divBdr>
        <w:top w:val="none" w:sz="0" w:space="0" w:color="auto"/>
        <w:left w:val="none" w:sz="0" w:space="0" w:color="auto"/>
        <w:bottom w:val="none" w:sz="0" w:space="0" w:color="auto"/>
        <w:right w:val="none" w:sz="0" w:space="0" w:color="auto"/>
      </w:divBdr>
    </w:div>
    <w:div w:id="1529567193">
      <w:bodyDiv w:val="1"/>
      <w:marLeft w:val="0"/>
      <w:marRight w:val="0"/>
      <w:marTop w:val="0"/>
      <w:marBottom w:val="0"/>
      <w:divBdr>
        <w:top w:val="none" w:sz="0" w:space="0" w:color="auto"/>
        <w:left w:val="none" w:sz="0" w:space="0" w:color="auto"/>
        <w:bottom w:val="none" w:sz="0" w:space="0" w:color="auto"/>
        <w:right w:val="none" w:sz="0" w:space="0" w:color="auto"/>
      </w:divBdr>
    </w:div>
    <w:div w:id="1529948829">
      <w:bodyDiv w:val="1"/>
      <w:marLeft w:val="0"/>
      <w:marRight w:val="0"/>
      <w:marTop w:val="0"/>
      <w:marBottom w:val="0"/>
      <w:divBdr>
        <w:top w:val="none" w:sz="0" w:space="0" w:color="auto"/>
        <w:left w:val="none" w:sz="0" w:space="0" w:color="auto"/>
        <w:bottom w:val="none" w:sz="0" w:space="0" w:color="auto"/>
        <w:right w:val="none" w:sz="0" w:space="0" w:color="auto"/>
      </w:divBdr>
    </w:div>
    <w:div w:id="1530678362">
      <w:bodyDiv w:val="1"/>
      <w:marLeft w:val="0"/>
      <w:marRight w:val="0"/>
      <w:marTop w:val="0"/>
      <w:marBottom w:val="0"/>
      <w:divBdr>
        <w:top w:val="none" w:sz="0" w:space="0" w:color="auto"/>
        <w:left w:val="none" w:sz="0" w:space="0" w:color="auto"/>
        <w:bottom w:val="none" w:sz="0" w:space="0" w:color="auto"/>
        <w:right w:val="none" w:sz="0" w:space="0" w:color="auto"/>
      </w:divBdr>
    </w:div>
    <w:div w:id="1531454555">
      <w:bodyDiv w:val="1"/>
      <w:marLeft w:val="0"/>
      <w:marRight w:val="0"/>
      <w:marTop w:val="0"/>
      <w:marBottom w:val="0"/>
      <w:divBdr>
        <w:top w:val="none" w:sz="0" w:space="0" w:color="auto"/>
        <w:left w:val="none" w:sz="0" w:space="0" w:color="auto"/>
        <w:bottom w:val="none" w:sz="0" w:space="0" w:color="auto"/>
        <w:right w:val="none" w:sz="0" w:space="0" w:color="auto"/>
      </w:divBdr>
    </w:div>
    <w:div w:id="1531601834">
      <w:bodyDiv w:val="1"/>
      <w:marLeft w:val="0"/>
      <w:marRight w:val="0"/>
      <w:marTop w:val="0"/>
      <w:marBottom w:val="0"/>
      <w:divBdr>
        <w:top w:val="none" w:sz="0" w:space="0" w:color="auto"/>
        <w:left w:val="none" w:sz="0" w:space="0" w:color="auto"/>
        <w:bottom w:val="none" w:sz="0" w:space="0" w:color="auto"/>
        <w:right w:val="none" w:sz="0" w:space="0" w:color="auto"/>
      </w:divBdr>
    </w:div>
    <w:div w:id="1531725164">
      <w:bodyDiv w:val="1"/>
      <w:marLeft w:val="0"/>
      <w:marRight w:val="0"/>
      <w:marTop w:val="0"/>
      <w:marBottom w:val="0"/>
      <w:divBdr>
        <w:top w:val="none" w:sz="0" w:space="0" w:color="auto"/>
        <w:left w:val="none" w:sz="0" w:space="0" w:color="auto"/>
        <w:bottom w:val="none" w:sz="0" w:space="0" w:color="auto"/>
        <w:right w:val="none" w:sz="0" w:space="0" w:color="auto"/>
      </w:divBdr>
    </w:div>
    <w:div w:id="1531920602">
      <w:bodyDiv w:val="1"/>
      <w:marLeft w:val="0"/>
      <w:marRight w:val="0"/>
      <w:marTop w:val="0"/>
      <w:marBottom w:val="0"/>
      <w:divBdr>
        <w:top w:val="none" w:sz="0" w:space="0" w:color="auto"/>
        <w:left w:val="none" w:sz="0" w:space="0" w:color="auto"/>
        <w:bottom w:val="none" w:sz="0" w:space="0" w:color="auto"/>
        <w:right w:val="none" w:sz="0" w:space="0" w:color="auto"/>
      </w:divBdr>
    </w:div>
    <w:div w:id="1532185332">
      <w:bodyDiv w:val="1"/>
      <w:marLeft w:val="0"/>
      <w:marRight w:val="0"/>
      <w:marTop w:val="0"/>
      <w:marBottom w:val="0"/>
      <w:divBdr>
        <w:top w:val="none" w:sz="0" w:space="0" w:color="auto"/>
        <w:left w:val="none" w:sz="0" w:space="0" w:color="auto"/>
        <w:bottom w:val="none" w:sz="0" w:space="0" w:color="auto"/>
        <w:right w:val="none" w:sz="0" w:space="0" w:color="auto"/>
      </w:divBdr>
    </w:div>
    <w:div w:id="1532256010">
      <w:bodyDiv w:val="1"/>
      <w:marLeft w:val="0"/>
      <w:marRight w:val="0"/>
      <w:marTop w:val="0"/>
      <w:marBottom w:val="0"/>
      <w:divBdr>
        <w:top w:val="none" w:sz="0" w:space="0" w:color="auto"/>
        <w:left w:val="none" w:sz="0" w:space="0" w:color="auto"/>
        <w:bottom w:val="none" w:sz="0" w:space="0" w:color="auto"/>
        <w:right w:val="none" w:sz="0" w:space="0" w:color="auto"/>
      </w:divBdr>
    </w:div>
    <w:div w:id="1532648065">
      <w:bodyDiv w:val="1"/>
      <w:marLeft w:val="0"/>
      <w:marRight w:val="0"/>
      <w:marTop w:val="0"/>
      <w:marBottom w:val="0"/>
      <w:divBdr>
        <w:top w:val="none" w:sz="0" w:space="0" w:color="auto"/>
        <w:left w:val="none" w:sz="0" w:space="0" w:color="auto"/>
        <w:bottom w:val="none" w:sz="0" w:space="0" w:color="auto"/>
        <w:right w:val="none" w:sz="0" w:space="0" w:color="auto"/>
      </w:divBdr>
    </w:div>
    <w:div w:id="1533032408">
      <w:bodyDiv w:val="1"/>
      <w:marLeft w:val="0"/>
      <w:marRight w:val="0"/>
      <w:marTop w:val="0"/>
      <w:marBottom w:val="0"/>
      <w:divBdr>
        <w:top w:val="none" w:sz="0" w:space="0" w:color="auto"/>
        <w:left w:val="none" w:sz="0" w:space="0" w:color="auto"/>
        <w:bottom w:val="none" w:sz="0" w:space="0" w:color="auto"/>
        <w:right w:val="none" w:sz="0" w:space="0" w:color="auto"/>
      </w:divBdr>
    </w:div>
    <w:div w:id="1533689184">
      <w:bodyDiv w:val="1"/>
      <w:marLeft w:val="0"/>
      <w:marRight w:val="0"/>
      <w:marTop w:val="0"/>
      <w:marBottom w:val="0"/>
      <w:divBdr>
        <w:top w:val="none" w:sz="0" w:space="0" w:color="auto"/>
        <w:left w:val="none" w:sz="0" w:space="0" w:color="auto"/>
        <w:bottom w:val="none" w:sz="0" w:space="0" w:color="auto"/>
        <w:right w:val="none" w:sz="0" w:space="0" w:color="auto"/>
      </w:divBdr>
    </w:div>
    <w:div w:id="1533759385">
      <w:bodyDiv w:val="1"/>
      <w:marLeft w:val="0"/>
      <w:marRight w:val="0"/>
      <w:marTop w:val="0"/>
      <w:marBottom w:val="0"/>
      <w:divBdr>
        <w:top w:val="none" w:sz="0" w:space="0" w:color="auto"/>
        <w:left w:val="none" w:sz="0" w:space="0" w:color="auto"/>
        <w:bottom w:val="none" w:sz="0" w:space="0" w:color="auto"/>
        <w:right w:val="none" w:sz="0" w:space="0" w:color="auto"/>
      </w:divBdr>
    </w:div>
    <w:div w:id="1533878591">
      <w:bodyDiv w:val="1"/>
      <w:marLeft w:val="0"/>
      <w:marRight w:val="0"/>
      <w:marTop w:val="0"/>
      <w:marBottom w:val="0"/>
      <w:divBdr>
        <w:top w:val="none" w:sz="0" w:space="0" w:color="auto"/>
        <w:left w:val="none" w:sz="0" w:space="0" w:color="auto"/>
        <w:bottom w:val="none" w:sz="0" w:space="0" w:color="auto"/>
        <w:right w:val="none" w:sz="0" w:space="0" w:color="auto"/>
      </w:divBdr>
    </w:div>
    <w:div w:id="1535118455">
      <w:bodyDiv w:val="1"/>
      <w:marLeft w:val="0"/>
      <w:marRight w:val="0"/>
      <w:marTop w:val="0"/>
      <w:marBottom w:val="0"/>
      <w:divBdr>
        <w:top w:val="none" w:sz="0" w:space="0" w:color="auto"/>
        <w:left w:val="none" w:sz="0" w:space="0" w:color="auto"/>
        <w:bottom w:val="none" w:sz="0" w:space="0" w:color="auto"/>
        <w:right w:val="none" w:sz="0" w:space="0" w:color="auto"/>
      </w:divBdr>
    </w:div>
    <w:div w:id="1535386641">
      <w:bodyDiv w:val="1"/>
      <w:marLeft w:val="0"/>
      <w:marRight w:val="0"/>
      <w:marTop w:val="0"/>
      <w:marBottom w:val="0"/>
      <w:divBdr>
        <w:top w:val="none" w:sz="0" w:space="0" w:color="auto"/>
        <w:left w:val="none" w:sz="0" w:space="0" w:color="auto"/>
        <w:bottom w:val="none" w:sz="0" w:space="0" w:color="auto"/>
        <w:right w:val="none" w:sz="0" w:space="0" w:color="auto"/>
      </w:divBdr>
    </w:div>
    <w:div w:id="1535581067">
      <w:bodyDiv w:val="1"/>
      <w:marLeft w:val="0"/>
      <w:marRight w:val="0"/>
      <w:marTop w:val="0"/>
      <w:marBottom w:val="0"/>
      <w:divBdr>
        <w:top w:val="none" w:sz="0" w:space="0" w:color="auto"/>
        <w:left w:val="none" w:sz="0" w:space="0" w:color="auto"/>
        <w:bottom w:val="none" w:sz="0" w:space="0" w:color="auto"/>
        <w:right w:val="none" w:sz="0" w:space="0" w:color="auto"/>
      </w:divBdr>
    </w:div>
    <w:div w:id="1535652744">
      <w:bodyDiv w:val="1"/>
      <w:marLeft w:val="0"/>
      <w:marRight w:val="0"/>
      <w:marTop w:val="0"/>
      <w:marBottom w:val="0"/>
      <w:divBdr>
        <w:top w:val="none" w:sz="0" w:space="0" w:color="auto"/>
        <w:left w:val="none" w:sz="0" w:space="0" w:color="auto"/>
        <w:bottom w:val="none" w:sz="0" w:space="0" w:color="auto"/>
        <w:right w:val="none" w:sz="0" w:space="0" w:color="auto"/>
      </w:divBdr>
    </w:div>
    <w:div w:id="1536190975">
      <w:bodyDiv w:val="1"/>
      <w:marLeft w:val="0"/>
      <w:marRight w:val="0"/>
      <w:marTop w:val="0"/>
      <w:marBottom w:val="0"/>
      <w:divBdr>
        <w:top w:val="none" w:sz="0" w:space="0" w:color="auto"/>
        <w:left w:val="none" w:sz="0" w:space="0" w:color="auto"/>
        <w:bottom w:val="none" w:sz="0" w:space="0" w:color="auto"/>
        <w:right w:val="none" w:sz="0" w:space="0" w:color="auto"/>
      </w:divBdr>
    </w:div>
    <w:div w:id="1536312949">
      <w:bodyDiv w:val="1"/>
      <w:marLeft w:val="0"/>
      <w:marRight w:val="0"/>
      <w:marTop w:val="0"/>
      <w:marBottom w:val="0"/>
      <w:divBdr>
        <w:top w:val="none" w:sz="0" w:space="0" w:color="auto"/>
        <w:left w:val="none" w:sz="0" w:space="0" w:color="auto"/>
        <w:bottom w:val="none" w:sz="0" w:space="0" w:color="auto"/>
        <w:right w:val="none" w:sz="0" w:space="0" w:color="auto"/>
      </w:divBdr>
    </w:div>
    <w:div w:id="1536771866">
      <w:bodyDiv w:val="1"/>
      <w:marLeft w:val="0"/>
      <w:marRight w:val="0"/>
      <w:marTop w:val="0"/>
      <w:marBottom w:val="0"/>
      <w:divBdr>
        <w:top w:val="none" w:sz="0" w:space="0" w:color="auto"/>
        <w:left w:val="none" w:sz="0" w:space="0" w:color="auto"/>
        <w:bottom w:val="none" w:sz="0" w:space="0" w:color="auto"/>
        <w:right w:val="none" w:sz="0" w:space="0" w:color="auto"/>
      </w:divBdr>
    </w:div>
    <w:div w:id="1538278771">
      <w:bodyDiv w:val="1"/>
      <w:marLeft w:val="0"/>
      <w:marRight w:val="0"/>
      <w:marTop w:val="0"/>
      <w:marBottom w:val="0"/>
      <w:divBdr>
        <w:top w:val="none" w:sz="0" w:space="0" w:color="auto"/>
        <w:left w:val="none" w:sz="0" w:space="0" w:color="auto"/>
        <w:bottom w:val="none" w:sz="0" w:space="0" w:color="auto"/>
        <w:right w:val="none" w:sz="0" w:space="0" w:color="auto"/>
      </w:divBdr>
    </w:div>
    <w:div w:id="1539126193">
      <w:bodyDiv w:val="1"/>
      <w:marLeft w:val="0"/>
      <w:marRight w:val="0"/>
      <w:marTop w:val="0"/>
      <w:marBottom w:val="0"/>
      <w:divBdr>
        <w:top w:val="none" w:sz="0" w:space="0" w:color="auto"/>
        <w:left w:val="none" w:sz="0" w:space="0" w:color="auto"/>
        <w:bottom w:val="none" w:sz="0" w:space="0" w:color="auto"/>
        <w:right w:val="none" w:sz="0" w:space="0" w:color="auto"/>
      </w:divBdr>
    </w:div>
    <w:div w:id="1539583968">
      <w:bodyDiv w:val="1"/>
      <w:marLeft w:val="0"/>
      <w:marRight w:val="0"/>
      <w:marTop w:val="0"/>
      <w:marBottom w:val="0"/>
      <w:divBdr>
        <w:top w:val="none" w:sz="0" w:space="0" w:color="auto"/>
        <w:left w:val="none" w:sz="0" w:space="0" w:color="auto"/>
        <w:bottom w:val="none" w:sz="0" w:space="0" w:color="auto"/>
        <w:right w:val="none" w:sz="0" w:space="0" w:color="auto"/>
      </w:divBdr>
    </w:div>
    <w:div w:id="1539929606">
      <w:bodyDiv w:val="1"/>
      <w:marLeft w:val="0"/>
      <w:marRight w:val="0"/>
      <w:marTop w:val="0"/>
      <w:marBottom w:val="0"/>
      <w:divBdr>
        <w:top w:val="none" w:sz="0" w:space="0" w:color="auto"/>
        <w:left w:val="none" w:sz="0" w:space="0" w:color="auto"/>
        <w:bottom w:val="none" w:sz="0" w:space="0" w:color="auto"/>
        <w:right w:val="none" w:sz="0" w:space="0" w:color="auto"/>
      </w:divBdr>
    </w:div>
    <w:div w:id="1540240156">
      <w:bodyDiv w:val="1"/>
      <w:marLeft w:val="0"/>
      <w:marRight w:val="0"/>
      <w:marTop w:val="0"/>
      <w:marBottom w:val="0"/>
      <w:divBdr>
        <w:top w:val="none" w:sz="0" w:space="0" w:color="auto"/>
        <w:left w:val="none" w:sz="0" w:space="0" w:color="auto"/>
        <w:bottom w:val="none" w:sz="0" w:space="0" w:color="auto"/>
        <w:right w:val="none" w:sz="0" w:space="0" w:color="auto"/>
      </w:divBdr>
    </w:div>
    <w:div w:id="1542547051">
      <w:bodyDiv w:val="1"/>
      <w:marLeft w:val="0"/>
      <w:marRight w:val="0"/>
      <w:marTop w:val="0"/>
      <w:marBottom w:val="0"/>
      <w:divBdr>
        <w:top w:val="none" w:sz="0" w:space="0" w:color="auto"/>
        <w:left w:val="none" w:sz="0" w:space="0" w:color="auto"/>
        <w:bottom w:val="none" w:sz="0" w:space="0" w:color="auto"/>
        <w:right w:val="none" w:sz="0" w:space="0" w:color="auto"/>
      </w:divBdr>
    </w:div>
    <w:div w:id="1542668400">
      <w:bodyDiv w:val="1"/>
      <w:marLeft w:val="0"/>
      <w:marRight w:val="0"/>
      <w:marTop w:val="0"/>
      <w:marBottom w:val="0"/>
      <w:divBdr>
        <w:top w:val="none" w:sz="0" w:space="0" w:color="auto"/>
        <w:left w:val="none" w:sz="0" w:space="0" w:color="auto"/>
        <w:bottom w:val="none" w:sz="0" w:space="0" w:color="auto"/>
        <w:right w:val="none" w:sz="0" w:space="0" w:color="auto"/>
      </w:divBdr>
    </w:div>
    <w:div w:id="1543126491">
      <w:bodyDiv w:val="1"/>
      <w:marLeft w:val="0"/>
      <w:marRight w:val="0"/>
      <w:marTop w:val="0"/>
      <w:marBottom w:val="0"/>
      <w:divBdr>
        <w:top w:val="none" w:sz="0" w:space="0" w:color="auto"/>
        <w:left w:val="none" w:sz="0" w:space="0" w:color="auto"/>
        <w:bottom w:val="none" w:sz="0" w:space="0" w:color="auto"/>
        <w:right w:val="none" w:sz="0" w:space="0" w:color="auto"/>
      </w:divBdr>
    </w:div>
    <w:div w:id="1543446726">
      <w:bodyDiv w:val="1"/>
      <w:marLeft w:val="0"/>
      <w:marRight w:val="0"/>
      <w:marTop w:val="0"/>
      <w:marBottom w:val="0"/>
      <w:divBdr>
        <w:top w:val="none" w:sz="0" w:space="0" w:color="auto"/>
        <w:left w:val="none" w:sz="0" w:space="0" w:color="auto"/>
        <w:bottom w:val="none" w:sz="0" w:space="0" w:color="auto"/>
        <w:right w:val="none" w:sz="0" w:space="0" w:color="auto"/>
      </w:divBdr>
    </w:div>
    <w:div w:id="1543707565">
      <w:bodyDiv w:val="1"/>
      <w:marLeft w:val="0"/>
      <w:marRight w:val="0"/>
      <w:marTop w:val="0"/>
      <w:marBottom w:val="0"/>
      <w:divBdr>
        <w:top w:val="none" w:sz="0" w:space="0" w:color="auto"/>
        <w:left w:val="none" w:sz="0" w:space="0" w:color="auto"/>
        <w:bottom w:val="none" w:sz="0" w:space="0" w:color="auto"/>
        <w:right w:val="none" w:sz="0" w:space="0" w:color="auto"/>
      </w:divBdr>
    </w:div>
    <w:div w:id="1544177759">
      <w:bodyDiv w:val="1"/>
      <w:marLeft w:val="0"/>
      <w:marRight w:val="0"/>
      <w:marTop w:val="0"/>
      <w:marBottom w:val="0"/>
      <w:divBdr>
        <w:top w:val="none" w:sz="0" w:space="0" w:color="auto"/>
        <w:left w:val="none" w:sz="0" w:space="0" w:color="auto"/>
        <w:bottom w:val="none" w:sz="0" w:space="0" w:color="auto"/>
        <w:right w:val="none" w:sz="0" w:space="0" w:color="auto"/>
      </w:divBdr>
    </w:div>
    <w:div w:id="1544368288">
      <w:bodyDiv w:val="1"/>
      <w:marLeft w:val="0"/>
      <w:marRight w:val="0"/>
      <w:marTop w:val="0"/>
      <w:marBottom w:val="0"/>
      <w:divBdr>
        <w:top w:val="none" w:sz="0" w:space="0" w:color="auto"/>
        <w:left w:val="none" w:sz="0" w:space="0" w:color="auto"/>
        <w:bottom w:val="none" w:sz="0" w:space="0" w:color="auto"/>
        <w:right w:val="none" w:sz="0" w:space="0" w:color="auto"/>
      </w:divBdr>
    </w:div>
    <w:div w:id="1546209838">
      <w:bodyDiv w:val="1"/>
      <w:marLeft w:val="0"/>
      <w:marRight w:val="0"/>
      <w:marTop w:val="0"/>
      <w:marBottom w:val="0"/>
      <w:divBdr>
        <w:top w:val="none" w:sz="0" w:space="0" w:color="auto"/>
        <w:left w:val="none" w:sz="0" w:space="0" w:color="auto"/>
        <w:bottom w:val="none" w:sz="0" w:space="0" w:color="auto"/>
        <w:right w:val="none" w:sz="0" w:space="0" w:color="auto"/>
      </w:divBdr>
    </w:div>
    <w:div w:id="1547181556">
      <w:bodyDiv w:val="1"/>
      <w:marLeft w:val="0"/>
      <w:marRight w:val="0"/>
      <w:marTop w:val="0"/>
      <w:marBottom w:val="0"/>
      <w:divBdr>
        <w:top w:val="none" w:sz="0" w:space="0" w:color="auto"/>
        <w:left w:val="none" w:sz="0" w:space="0" w:color="auto"/>
        <w:bottom w:val="none" w:sz="0" w:space="0" w:color="auto"/>
        <w:right w:val="none" w:sz="0" w:space="0" w:color="auto"/>
      </w:divBdr>
    </w:div>
    <w:div w:id="1547181977">
      <w:bodyDiv w:val="1"/>
      <w:marLeft w:val="0"/>
      <w:marRight w:val="0"/>
      <w:marTop w:val="0"/>
      <w:marBottom w:val="0"/>
      <w:divBdr>
        <w:top w:val="none" w:sz="0" w:space="0" w:color="auto"/>
        <w:left w:val="none" w:sz="0" w:space="0" w:color="auto"/>
        <w:bottom w:val="none" w:sz="0" w:space="0" w:color="auto"/>
        <w:right w:val="none" w:sz="0" w:space="0" w:color="auto"/>
      </w:divBdr>
    </w:div>
    <w:div w:id="1547333911">
      <w:bodyDiv w:val="1"/>
      <w:marLeft w:val="0"/>
      <w:marRight w:val="0"/>
      <w:marTop w:val="0"/>
      <w:marBottom w:val="0"/>
      <w:divBdr>
        <w:top w:val="none" w:sz="0" w:space="0" w:color="auto"/>
        <w:left w:val="none" w:sz="0" w:space="0" w:color="auto"/>
        <w:bottom w:val="none" w:sz="0" w:space="0" w:color="auto"/>
        <w:right w:val="none" w:sz="0" w:space="0" w:color="auto"/>
      </w:divBdr>
    </w:div>
    <w:div w:id="1547794785">
      <w:bodyDiv w:val="1"/>
      <w:marLeft w:val="0"/>
      <w:marRight w:val="0"/>
      <w:marTop w:val="0"/>
      <w:marBottom w:val="0"/>
      <w:divBdr>
        <w:top w:val="none" w:sz="0" w:space="0" w:color="auto"/>
        <w:left w:val="none" w:sz="0" w:space="0" w:color="auto"/>
        <w:bottom w:val="none" w:sz="0" w:space="0" w:color="auto"/>
        <w:right w:val="none" w:sz="0" w:space="0" w:color="auto"/>
      </w:divBdr>
    </w:div>
    <w:div w:id="1548178434">
      <w:bodyDiv w:val="1"/>
      <w:marLeft w:val="0"/>
      <w:marRight w:val="0"/>
      <w:marTop w:val="0"/>
      <w:marBottom w:val="0"/>
      <w:divBdr>
        <w:top w:val="none" w:sz="0" w:space="0" w:color="auto"/>
        <w:left w:val="none" w:sz="0" w:space="0" w:color="auto"/>
        <w:bottom w:val="none" w:sz="0" w:space="0" w:color="auto"/>
        <w:right w:val="none" w:sz="0" w:space="0" w:color="auto"/>
      </w:divBdr>
    </w:div>
    <w:div w:id="1548373153">
      <w:bodyDiv w:val="1"/>
      <w:marLeft w:val="0"/>
      <w:marRight w:val="0"/>
      <w:marTop w:val="0"/>
      <w:marBottom w:val="0"/>
      <w:divBdr>
        <w:top w:val="none" w:sz="0" w:space="0" w:color="auto"/>
        <w:left w:val="none" w:sz="0" w:space="0" w:color="auto"/>
        <w:bottom w:val="none" w:sz="0" w:space="0" w:color="auto"/>
        <w:right w:val="none" w:sz="0" w:space="0" w:color="auto"/>
      </w:divBdr>
    </w:div>
    <w:div w:id="1548446662">
      <w:bodyDiv w:val="1"/>
      <w:marLeft w:val="0"/>
      <w:marRight w:val="0"/>
      <w:marTop w:val="0"/>
      <w:marBottom w:val="0"/>
      <w:divBdr>
        <w:top w:val="none" w:sz="0" w:space="0" w:color="auto"/>
        <w:left w:val="none" w:sz="0" w:space="0" w:color="auto"/>
        <w:bottom w:val="none" w:sz="0" w:space="0" w:color="auto"/>
        <w:right w:val="none" w:sz="0" w:space="0" w:color="auto"/>
      </w:divBdr>
    </w:div>
    <w:div w:id="1549024844">
      <w:bodyDiv w:val="1"/>
      <w:marLeft w:val="0"/>
      <w:marRight w:val="0"/>
      <w:marTop w:val="0"/>
      <w:marBottom w:val="0"/>
      <w:divBdr>
        <w:top w:val="none" w:sz="0" w:space="0" w:color="auto"/>
        <w:left w:val="none" w:sz="0" w:space="0" w:color="auto"/>
        <w:bottom w:val="none" w:sz="0" w:space="0" w:color="auto"/>
        <w:right w:val="none" w:sz="0" w:space="0" w:color="auto"/>
      </w:divBdr>
    </w:div>
    <w:div w:id="1549730850">
      <w:bodyDiv w:val="1"/>
      <w:marLeft w:val="0"/>
      <w:marRight w:val="0"/>
      <w:marTop w:val="0"/>
      <w:marBottom w:val="0"/>
      <w:divBdr>
        <w:top w:val="none" w:sz="0" w:space="0" w:color="auto"/>
        <w:left w:val="none" w:sz="0" w:space="0" w:color="auto"/>
        <w:bottom w:val="none" w:sz="0" w:space="0" w:color="auto"/>
        <w:right w:val="none" w:sz="0" w:space="0" w:color="auto"/>
      </w:divBdr>
    </w:div>
    <w:div w:id="1551575011">
      <w:bodyDiv w:val="1"/>
      <w:marLeft w:val="0"/>
      <w:marRight w:val="0"/>
      <w:marTop w:val="0"/>
      <w:marBottom w:val="0"/>
      <w:divBdr>
        <w:top w:val="none" w:sz="0" w:space="0" w:color="auto"/>
        <w:left w:val="none" w:sz="0" w:space="0" w:color="auto"/>
        <w:bottom w:val="none" w:sz="0" w:space="0" w:color="auto"/>
        <w:right w:val="none" w:sz="0" w:space="0" w:color="auto"/>
      </w:divBdr>
    </w:div>
    <w:div w:id="1551989972">
      <w:bodyDiv w:val="1"/>
      <w:marLeft w:val="0"/>
      <w:marRight w:val="0"/>
      <w:marTop w:val="0"/>
      <w:marBottom w:val="0"/>
      <w:divBdr>
        <w:top w:val="none" w:sz="0" w:space="0" w:color="auto"/>
        <w:left w:val="none" w:sz="0" w:space="0" w:color="auto"/>
        <w:bottom w:val="none" w:sz="0" w:space="0" w:color="auto"/>
        <w:right w:val="none" w:sz="0" w:space="0" w:color="auto"/>
      </w:divBdr>
    </w:div>
    <w:div w:id="1552039672">
      <w:bodyDiv w:val="1"/>
      <w:marLeft w:val="0"/>
      <w:marRight w:val="0"/>
      <w:marTop w:val="0"/>
      <w:marBottom w:val="0"/>
      <w:divBdr>
        <w:top w:val="none" w:sz="0" w:space="0" w:color="auto"/>
        <w:left w:val="none" w:sz="0" w:space="0" w:color="auto"/>
        <w:bottom w:val="none" w:sz="0" w:space="0" w:color="auto"/>
        <w:right w:val="none" w:sz="0" w:space="0" w:color="auto"/>
      </w:divBdr>
    </w:div>
    <w:div w:id="1552495758">
      <w:bodyDiv w:val="1"/>
      <w:marLeft w:val="0"/>
      <w:marRight w:val="0"/>
      <w:marTop w:val="0"/>
      <w:marBottom w:val="0"/>
      <w:divBdr>
        <w:top w:val="none" w:sz="0" w:space="0" w:color="auto"/>
        <w:left w:val="none" w:sz="0" w:space="0" w:color="auto"/>
        <w:bottom w:val="none" w:sz="0" w:space="0" w:color="auto"/>
        <w:right w:val="none" w:sz="0" w:space="0" w:color="auto"/>
      </w:divBdr>
    </w:div>
    <w:div w:id="1552888591">
      <w:bodyDiv w:val="1"/>
      <w:marLeft w:val="0"/>
      <w:marRight w:val="0"/>
      <w:marTop w:val="0"/>
      <w:marBottom w:val="0"/>
      <w:divBdr>
        <w:top w:val="none" w:sz="0" w:space="0" w:color="auto"/>
        <w:left w:val="none" w:sz="0" w:space="0" w:color="auto"/>
        <w:bottom w:val="none" w:sz="0" w:space="0" w:color="auto"/>
        <w:right w:val="none" w:sz="0" w:space="0" w:color="auto"/>
      </w:divBdr>
    </w:div>
    <w:div w:id="1553152993">
      <w:bodyDiv w:val="1"/>
      <w:marLeft w:val="0"/>
      <w:marRight w:val="0"/>
      <w:marTop w:val="0"/>
      <w:marBottom w:val="0"/>
      <w:divBdr>
        <w:top w:val="none" w:sz="0" w:space="0" w:color="auto"/>
        <w:left w:val="none" w:sz="0" w:space="0" w:color="auto"/>
        <w:bottom w:val="none" w:sz="0" w:space="0" w:color="auto"/>
        <w:right w:val="none" w:sz="0" w:space="0" w:color="auto"/>
      </w:divBdr>
    </w:div>
    <w:div w:id="1554386646">
      <w:bodyDiv w:val="1"/>
      <w:marLeft w:val="0"/>
      <w:marRight w:val="0"/>
      <w:marTop w:val="0"/>
      <w:marBottom w:val="0"/>
      <w:divBdr>
        <w:top w:val="none" w:sz="0" w:space="0" w:color="auto"/>
        <w:left w:val="none" w:sz="0" w:space="0" w:color="auto"/>
        <w:bottom w:val="none" w:sz="0" w:space="0" w:color="auto"/>
        <w:right w:val="none" w:sz="0" w:space="0" w:color="auto"/>
      </w:divBdr>
    </w:div>
    <w:div w:id="1555965199">
      <w:bodyDiv w:val="1"/>
      <w:marLeft w:val="0"/>
      <w:marRight w:val="0"/>
      <w:marTop w:val="0"/>
      <w:marBottom w:val="0"/>
      <w:divBdr>
        <w:top w:val="none" w:sz="0" w:space="0" w:color="auto"/>
        <w:left w:val="none" w:sz="0" w:space="0" w:color="auto"/>
        <w:bottom w:val="none" w:sz="0" w:space="0" w:color="auto"/>
        <w:right w:val="none" w:sz="0" w:space="0" w:color="auto"/>
      </w:divBdr>
    </w:div>
    <w:div w:id="1556770678">
      <w:bodyDiv w:val="1"/>
      <w:marLeft w:val="0"/>
      <w:marRight w:val="0"/>
      <w:marTop w:val="0"/>
      <w:marBottom w:val="0"/>
      <w:divBdr>
        <w:top w:val="none" w:sz="0" w:space="0" w:color="auto"/>
        <w:left w:val="none" w:sz="0" w:space="0" w:color="auto"/>
        <w:bottom w:val="none" w:sz="0" w:space="0" w:color="auto"/>
        <w:right w:val="none" w:sz="0" w:space="0" w:color="auto"/>
      </w:divBdr>
    </w:div>
    <w:div w:id="1558515328">
      <w:bodyDiv w:val="1"/>
      <w:marLeft w:val="0"/>
      <w:marRight w:val="0"/>
      <w:marTop w:val="0"/>
      <w:marBottom w:val="0"/>
      <w:divBdr>
        <w:top w:val="none" w:sz="0" w:space="0" w:color="auto"/>
        <w:left w:val="none" w:sz="0" w:space="0" w:color="auto"/>
        <w:bottom w:val="none" w:sz="0" w:space="0" w:color="auto"/>
        <w:right w:val="none" w:sz="0" w:space="0" w:color="auto"/>
      </w:divBdr>
    </w:div>
    <w:div w:id="1559239231">
      <w:bodyDiv w:val="1"/>
      <w:marLeft w:val="0"/>
      <w:marRight w:val="0"/>
      <w:marTop w:val="0"/>
      <w:marBottom w:val="0"/>
      <w:divBdr>
        <w:top w:val="none" w:sz="0" w:space="0" w:color="auto"/>
        <w:left w:val="none" w:sz="0" w:space="0" w:color="auto"/>
        <w:bottom w:val="none" w:sz="0" w:space="0" w:color="auto"/>
        <w:right w:val="none" w:sz="0" w:space="0" w:color="auto"/>
      </w:divBdr>
    </w:div>
    <w:div w:id="1559321059">
      <w:bodyDiv w:val="1"/>
      <w:marLeft w:val="0"/>
      <w:marRight w:val="0"/>
      <w:marTop w:val="0"/>
      <w:marBottom w:val="0"/>
      <w:divBdr>
        <w:top w:val="none" w:sz="0" w:space="0" w:color="auto"/>
        <w:left w:val="none" w:sz="0" w:space="0" w:color="auto"/>
        <w:bottom w:val="none" w:sz="0" w:space="0" w:color="auto"/>
        <w:right w:val="none" w:sz="0" w:space="0" w:color="auto"/>
      </w:divBdr>
    </w:div>
    <w:div w:id="1559441488">
      <w:bodyDiv w:val="1"/>
      <w:marLeft w:val="0"/>
      <w:marRight w:val="0"/>
      <w:marTop w:val="0"/>
      <w:marBottom w:val="0"/>
      <w:divBdr>
        <w:top w:val="none" w:sz="0" w:space="0" w:color="auto"/>
        <w:left w:val="none" w:sz="0" w:space="0" w:color="auto"/>
        <w:bottom w:val="none" w:sz="0" w:space="0" w:color="auto"/>
        <w:right w:val="none" w:sz="0" w:space="0" w:color="auto"/>
      </w:divBdr>
    </w:div>
    <w:div w:id="1559972629">
      <w:bodyDiv w:val="1"/>
      <w:marLeft w:val="0"/>
      <w:marRight w:val="0"/>
      <w:marTop w:val="0"/>
      <w:marBottom w:val="0"/>
      <w:divBdr>
        <w:top w:val="none" w:sz="0" w:space="0" w:color="auto"/>
        <w:left w:val="none" w:sz="0" w:space="0" w:color="auto"/>
        <w:bottom w:val="none" w:sz="0" w:space="0" w:color="auto"/>
        <w:right w:val="none" w:sz="0" w:space="0" w:color="auto"/>
      </w:divBdr>
    </w:div>
    <w:div w:id="1559977189">
      <w:bodyDiv w:val="1"/>
      <w:marLeft w:val="0"/>
      <w:marRight w:val="0"/>
      <w:marTop w:val="0"/>
      <w:marBottom w:val="0"/>
      <w:divBdr>
        <w:top w:val="none" w:sz="0" w:space="0" w:color="auto"/>
        <w:left w:val="none" w:sz="0" w:space="0" w:color="auto"/>
        <w:bottom w:val="none" w:sz="0" w:space="0" w:color="auto"/>
        <w:right w:val="none" w:sz="0" w:space="0" w:color="auto"/>
      </w:divBdr>
    </w:div>
    <w:div w:id="1560281748">
      <w:bodyDiv w:val="1"/>
      <w:marLeft w:val="0"/>
      <w:marRight w:val="0"/>
      <w:marTop w:val="0"/>
      <w:marBottom w:val="0"/>
      <w:divBdr>
        <w:top w:val="none" w:sz="0" w:space="0" w:color="auto"/>
        <w:left w:val="none" w:sz="0" w:space="0" w:color="auto"/>
        <w:bottom w:val="none" w:sz="0" w:space="0" w:color="auto"/>
        <w:right w:val="none" w:sz="0" w:space="0" w:color="auto"/>
      </w:divBdr>
    </w:div>
    <w:div w:id="1560282877">
      <w:bodyDiv w:val="1"/>
      <w:marLeft w:val="0"/>
      <w:marRight w:val="0"/>
      <w:marTop w:val="0"/>
      <w:marBottom w:val="0"/>
      <w:divBdr>
        <w:top w:val="none" w:sz="0" w:space="0" w:color="auto"/>
        <w:left w:val="none" w:sz="0" w:space="0" w:color="auto"/>
        <w:bottom w:val="none" w:sz="0" w:space="0" w:color="auto"/>
        <w:right w:val="none" w:sz="0" w:space="0" w:color="auto"/>
      </w:divBdr>
    </w:div>
    <w:div w:id="1560285422">
      <w:bodyDiv w:val="1"/>
      <w:marLeft w:val="0"/>
      <w:marRight w:val="0"/>
      <w:marTop w:val="0"/>
      <w:marBottom w:val="0"/>
      <w:divBdr>
        <w:top w:val="none" w:sz="0" w:space="0" w:color="auto"/>
        <w:left w:val="none" w:sz="0" w:space="0" w:color="auto"/>
        <w:bottom w:val="none" w:sz="0" w:space="0" w:color="auto"/>
        <w:right w:val="none" w:sz="0" w:space="0" w:color="auto"/>
      </w:divBdr>
    </w:div>
    <w:div w:id="1560480720">
      <w:bodyDiv w:val="1"/>
      <w:marLeft w:val="0"/>
      <w:marRight w:val="0"/>
      <w:marTop w:val="0"/>
      <w:marBottom w:val="0"/>
      <w:divBdr>
        <w:top w:val="none" w:sz="0" w:space="0" w:color="auto"/>
        <w:left w:val="none" w:sz="0" w:space="0" w:color="auto"/>
        <w:bottom w:val="none" w:sz="0" w:space="0" w:color="auto"/>
        <w:right w:val="none" w:sz="0" w:space="0" w:color="auto"/>
      </w:divBdr>
    </w:div>
    <w:div w:id="1560705547">
      <w:bodyDiv w:val="1"/>
      <w:marLeft w:val="0"/>
      <w:marRight w:val="0"/>
      <w:marTop w:val="0"/>
      <w:marBottom w:val="0"/>
      <w:divBdr>
        <w:top w:val="none" w:sz="0" w:space="0" w:color="auto"/>
        <w:left w:val="none" w:sz="0" w:space="0" w:color="auto"/>
        <w:bottom w:val="none" w:sz="0" w:space="0" w:color="auto"/>
        <w:right w:val="none" w:sz="0" w:space="0" w:color="auto"/>
      </w:divBdr>
    </w:div>
    <w:div w:id="1561094044">
      <w:bodyDiv w:val="1"/>
      <w:marLeft w:val="0"/>
      <w:marRight w:val="0"/>
      <w:marTop w:val="0"/>
      <w:marBottom w:val="0"/>
      <w:divBdr>
        <w:top w:val="none" w:sz="0" w:space="0" w:color="auto"/>
        <w:left w:val="none" w:sz="0" w:space="0" w:color="auto"/>
        <w:bottom w:val="none" w:sz="0" w:space="0" w:color="auto"/>
        <w:right w:val="none" w:sz="0" w:space="0" w:color="auto"/>
      </w:divBdr>
    </w:div>
    <w:div w:id="1561358719">
      <w:bodyDiv w:val="1"/>
      <w:marLeft w:val="0"/>
      <w:marRight w:val="0"/>
      <w:marTop w:val="0"/>
      <w:marBottom w:val="0"/>
      <w:divBdr>
        <w:top w:val="none" w:sz="0" w:space="0" w:color="auto"/>
        <w:left w:val="none" w:sz="0" w:space="0" w:color="auto"/>
        <w:bottom w:val="none" w:sz="0" w:space="0" w:color="auto"/>
        <w:right w:val="none" w:sz="0" w:space="0" w:color="auto"/>
      </w:divBdr>
    </w:div>
    <w:div w:id="1561399512">
      <w:bodyDiv w:val="1"/>
      <w:marLeft w:val="0"/>
      <w:marRight w:val="0"/>
      <w:marTop w:val="0"/>
      <w:marBottom w:val="0"/>
      <w:divBdr>
        <w:top w:val="none" w:sz="0" w:space="0" w:color="auto"/>
        <w:left w:val="none" w:sz="0" w:space="0" w:color="auto"/>
        <w:bottom w:val="none" w:sz="0" w:space="0" w:color="auto"/>
        <w:right w:val="none" w:sz="0" w:space="0" w:color="auto"/>
      </w:divBdr>
    </w:div>
    <w:div w:id="1562443893">
      <w:bodyDiv w:val="1"/>
      <w:marLeft w:val="0"/>
      <w:marRight w:val="0"/>
      <w:marTop w:val="0"/>
      <w:marBottom w:val="0"/>
      <w:divBdr>
        <w:top w:val="none" w:sz="0" w:space="0" w:color="auto"/>
        <w:left w:val="none" w:sz="0" w:space="0" w:color="auto"/>
        <w:bottom w:val="none" w:sz="0" w:space="0" w:color="auto"/>
        <w:right w:val="none" w:sz="0" w:space="0" w:color="auto"/>
      </w:divBdr>
    </w:div>
    <w:div w:id="1562860285">
      <w:bodyDiv w:val="1"/>
      <w:marLeft w:val="0"/>
      <w:marRight w:val="0"/>
      <w:marTop w:val="0"/>
      <w:marBottom w:val="0"/>
      <w:divBdr>
        <w:top w:val="none" w:sz="0" w:space="0" w:color="auto"/>
        <w:left w:val="none" w:sz="0" w:space="0" w:color="auto"/>
        <w:bottom w:val="none" w:sz="0" w:space="0" w:color="auto"/>
        <w:right w:val="none" w:sz="0" w:space="0" w:color="auto"/>
      </w:divBdr>
    </w:div>
    <w:div w:id="1563516589">
      <w:bodyDiv w:val="1"/>
      <w:marLeft w:val="0"/>
      <w:marRight w:val="0"/>
      <w:marTop w:val="0"/>
      <w:marBottom w:val="0"/>
      <w:divBdr>
        <w:top w:val="none" w:sz="0" w:space="0" w:color="auto"/>
        <w:left w:val="none" w:sz="0" w:space="0" w:color="auto"/>
        <w:bottom w:val="none" w:sz="0" w:space="0" w:color="auto"/>
        <w:right w:val="none" w:sz="0" w:space="0" w:color="auto"/>
      </w:divBdr>
    </w:div>
    <w:div w:id="1564175925">
      <w:bodyDiv w:val="1"/>
      <w:marLeft w:val="0"/>
      <w:marRight w:val="0"/>
      <w:marTop w:val="0"/>
      <w:marBottom w:val="0"/>
      <w:divBdr>
        <w:top w:val="none" w:sz="0" w:space="0" w:color="auto"/>
        <w:left w:val="none" w:sz="0" w:space="0" w:color="auto"/>
        <w:bottom w:val="none" w:sz="0" w:space="0" w:color="auto"/>
        <w:right w:val="none" w:sz="0" w:space="0" w:color="auto"/>
      </w:divBdr>
    </w:div>
    <w:div w:id="1564293918">
      <w:bodyDiv w:val="1"/>
      <w:marLeft w:val="0"/>
      <w:marRight w:val="0"/>
      <w:marTop w:val="0"/>
      <w:marBottom w:val="0"/>
      <w:divBdr>
        <w:top w:val="none" w:sz="0" w:space="0" w:color="auto"/>
        <w:left w:val="none" w:sz="0" w:space="0" w:color="auto"/>
        <w:bottom w:val="none" w:sz="0" w:space="0" w:color="auto"/>
        <w:right w:val="none" w:sz="0" w:space="0" w:color="auto"/>
      </w:divBdr>
    </w:div>
    <w:div w:id="1564297607">
      <w:bodyDiv w:val="1"/>
      <w:marLeft w:val="0"/>
      <w:marRight w:val="0"/>
      <w:marTop w:val="0"/>
      <w:marBottom w:val="0"/>
      <w:divBdr>
        <w:top w:val="none" w:sz="0" w:space="0" w:color="auto"/>
        <w:left w:val="none" w:sz="0" w:space="0" w:color="auto"/>
        <w:bottom w:val="none" w:sz="0" w:space="0" w:color="auto"/>
        <w:right w:val="none" w:sz="0" w:space="0" w:color="auto"/>
      </w:divBdr>
    </w:div>
    <w:div w:id="1564756007">
      <w:bodyDiv w:val="1"/>
      <w:marLeft w:val="0"/>
      <w:marRight w:val="0"/>
      <w:marTop w:val="0"/>
      <w:marBottom w:val="0"/>
      <w:divBdr>
        <w:top w:val="none" w:sz="0" w:space="0" w:color="auto"/>
        <w:left w:val="none" w:sz="0" w:space="0" w:color="auto"/>
        <w:bottom w:val="none" w:sz="0" w:space="0" w:color="auto"/>
        <w:right w:val="none" w:sz="0" w:space="0" w:color="auto"/>
      </w:divBdr>
    </w:div>
    <w:div w:id="1565678152">
      <w:bodyDiv w:val="1"/>
      <w:marLeft w:val="0"/>
      <w:marRight w:val="0"/>
      <w:marTop w:val="0"/>
      <w:marBottom w:val="0"/>
      <w:divBdr>
        <w:top w:val="none" w:sz="0" w:space="0" w:color="auto"/>
        <w:left w:val="none" w:sz="0" w:space="0" w:color="auto"/>
        <w:bottom w:val="none" w:sz="0" w:space="0" w:color="auto"/>
        <w:right w:val="none" w:sz="0" w:space="0" w:color="auto"/>
      </w:divBdr>
    </w:div>
    <w:div w:id="1566144176">
      <w:bodyDiv w:val="1"/>
      <w:marLeft w:val="0"/>
      <w:marRight w:val="0"/>
      <w:marTop w:val="0"/>
      <w:marBottom w:val="0"/>
      <w:divBdr>
        <w:top w:val="none" w:sz="0" w:space="0" w:color="auto"/>
        <w:left w:val="none" w:sz="0" w:space="0" w:color="auto"/>
        <w:bottom w:val="none" w:sz="0" w:space="0" w:color="auto"/>
        <w:right w:val="none" w:sz="0" w:space="0" w:color="auto"/>
      </w:divBdr>
    </w:div>
    <w:div w:id="1566918344">
      <w:bodyDiv w:val="1"/>
      <w:marLeft w:val="0"/>
      <w:marRight w:val="0"/>
      <w:marTop w:val="0"/>
      <w:marBottom w:val="0"/>
      <w:divBdr>
        <w:top w:val="none" w:sz="0" w:space="0" w:color="auto"/>
        <w:left w:val="none" w:sz="0" w:space="0" w:color="auto"/>
        <w:bottom w:val="none" w:sz="0" w:space="0" w:color="auto"/>
        <w:right w:val="none" w:sz="0" w:space="0" w:color="auto"/>
      </w:divBdr>
    </w:div>
    <w:div w:id="1567912592">
      <w:bodyDiv w:val="1"/>
      <w:marLeft w:val="0"/>
      <w:marRight w:val="0"/>
      <w:marTop w:val="0"/>
      <w:marBottom w:val="0"/>
      <w:divBdr>
        <w:top w:val="none" w:sz="0" w:space="0" w:color="auto"/>
        <w:left w:val="none" w:sz="0" w:space="0" w:color="auto"/>
        <w:bottom w:val="none" w:sz="0" w:space="0" w:color="auto"/>
        <w:right w:val="none" w:sz="0" w:space="0" w:color="auto"/>
      </w:divBdr>
    </w:div>
    <w:div w:id="1568304105">
      <w:bodyDiv w:val="1"/>
      <w:marLeft w:val="0"/>
      <w:marRight w:val="0"/>
      <w:marTop w:val="0"/>
      <w:marBottom w:val="0"/>
      <w:divBdr>
        <w:top w:val="none" w:sz="0" w:space="0" w:color="auto"/>
        <w:left w:val="none" w:sz="0" w:space="0" w:color="auto"/>
        <w:bottom w:val="none" w:sz="0" w:space="0" w:color="auto"/>
        <w:right w:val="none" w:sz="0" w:space="0" w:color="auto"/>
      </w:divBdr>
    </w:div>
    <w:div w:id="1568417905">
      <w:bodyDiv w:val="1"/>
      <w:marLeft w:val="0"/>
      <w:marRight w:val="0"/>
      <w:marTop w:val="0"/>
      <w:marBottom w:val="0"/>
      <w:divBdr>
        <w:top w:val="none" w:sz="0" w:space="0" w:color="auto"/>
        <w:left w:val="none" w:sz="0" w:space="0" w:color="auto"/>
        <w:bottom w:val="none" w:sz="0" w:space="0" w:color="auto"/>
        <w:right w:val="none" w:sz="0" w:space="0" w:color="auto"/>
      </w:divBdr>
    </w:div>
    <w:div w:id="1568690975">
      <w:bodyDiv w:val="1"/>
      <w:marLeft w:val="0"/>
      <w:marRight w:val="0"/>
      <w:marTop w:val="0"/>
      <w:marBottom w:val="0"/>
      <w:divBdr>
        <w:top w:val="none" w:sz="0" w:space="0" w:color="auto"/>
        <w:left w:val="none" w:sz="0" w:space="0" w:color="auto"/>
        <w:bottom w:val="none" w:sz="0" w:space="0" w:color="auto"/>
        <w:right w:val="none" w:sz="0" w:space="0" w:color="auto"/>
      </w:divBdr>
    </w:div>
    <w:div w:id="1568803580">
      <w:bodyDiv w:val="1"/>
      <w:marLeft w:val="0"/>
      <w:marRight w:val="0"/>
      <w:marTop w:val="0"/>
      <w:marBottom w:val="0"/>
      <w:divBdr>
        <w:top w:val="none" w:sz="0" w:space="0" w:color="auto"/>
        <w:left w:val="none" w:sz="0" w:space="0" w:color="auto"/>
        <w:bottom w:val="none" w:sz="0" w:space="0" w:color="auto"/>
        <w:right w:val="none" w:sz="0" w:space="0" w:color="auto"/>
      </w:divBdr>
    </w:div>
    <w:div w:id="1569684025">
      <w:bodyDiv w:val="1"/>
      <w:marLeft w:val="0"/>
      <w:marRight w:val="0"/>
      <w:marTop w:val="0"/>
      <w:marBottom w:val="0"/>
      <w:divBdr>
        <w:top w:val="none" w:sz="0" w:space="0" w:color="auto"/>
        <w:left w:val="none" w:sz="0" w:space="0" w:color="auto"/>
        <w:bottom w:val="none" w:sz="0" w:space="0" w:color="auto"/>
        <w:right w:val="none" w:sz="0" w:space="0" w:color="auto"/>
      </w:divBdr>
    </w:div>
    <w:div w:id="1569874553">
      <w:bodyDiv w:val="1"/>
      <w:marLeft w:val="0"/>
      <w:marRight w:val="0"/>
      <w:marTop w:val="0"/>
      <w:marBottom w:val="0"/>
      <w:divBdr>
        <w:top w:val="none" w:sz="0" w:space="0" w:color="auto"/>
        <w:left w:val="none" w:sz="0" w:space="0" w:color="auto"/>
        <w:bottom w:val="none" w:sz="0" w:space="0" w:color="auto"/>
        <w:right w:val="none" w:sz="0" w:space="0" w:color="auto"/>
      </w:divBdr>
    </w:div>
    <w:div w:id="1570115426">
      <w:bodyDiv w:val="1"/>
      <w:marLeft w:val="0"/>
      <w:marRight w:val="0"/>
      <w:marTop w:val="0"/>
      <w:marBottom w:val="0"/>
      <w:divBdr>
        <w:top w:val="none" w:sz="0" w:space="0" w:color="auto"/>
        <w:left w:val="none" w:sz="0" w:space="0" w:color="auto"/>
        <w:bottom w:val="none" w:sz="0" w:space="0" w:color="auto"/>
        <w:right w:val="none" w:sz="0" w:space="0" w:color="auto"/>
      </w:divBdr>
    </w:div>
    <w:div w:id="1570187174">
      <w:bodyDiv w:val="1"/>
      <w:marLeft w:val="0"/>
      <w:marRight w:val="0"/>
      <w:marTop w:val="0"/>
      <w:marBottom w:val="0"/>
      <w:divBdr>
        <w:top w:val="none" w:sz="0" w:space="0" w:color="auto"/>
        <w:left w:val="none" w:sz="0" w:space="0" w:color="auto"/>
        <w:bottom w:val="none" w:sz="0" w:space="0" w:color="auto"/>
        <w:right w:val="none" w:sz="0" w:space="0" w:color="auto"/>
      </w:divBdr>
    </w:div>
    <w:div w:id="1570799242">
      <w:bodyDiv w:val="1"/>
      <w:marLeft w:val="0"/>
      <w:marRight w:val="0"/>
      <w:marTop w:val="0"/>
      <w:marBottom w:val="0"/>
      <w:divBdr>
        <w:top w:val="none" w:sz="0" w:space="0" w:color="auto"/>
        <w:left w:val="none" w:sz="0" w:space="0" w:color="auto"/>
        <w:bottom w:val="none" w:sz="0" w:space="0" w:color="auto"/>
        <w:right w:val="none" w:sz="0" w:space="0" w:color="auto"/>
      </w:divBdr>
    </w:div>
    <w:div w:id="1572152320">
      <w:bodyDiv w:val="1"/>
      <w:marLeft w:val="0"/>
      <w:marRight w:val="0"/>
      <w:marTop w:val="0"/>
      <w:marBottom w:val="0"/>
      <w:divBdr>
        <w:top w:val="none" w:sz="0" w:space="0" w:color="auto"/>
        <w:left w:val="none" w:sz="0" w:space="0" w:color="auto"/>
        <w:bottom w:val="none" w:sz="0" w:space="0" w:color="auto"/>
        <w:right w:val="none" w:sz="0" w:space="0" w:color="auto"/>
      </w:divBdr>
    </w:div>
    <w:div w:id="1572304819">
      <w:bodyDiv w:val="1"/>
      <w:marLeft w:val="0"/>
      <w:marRight w:val="0"/>
      <w:marTop w:val="0"/>
      <w:marBottom w:val="0"/>
      <w:divBdr>
        <w:top w:val="none" w:sz="0" w:space="0" w:color="auto"/>
        <w:left w:val="none" w:sz="0" w:space="0" w:color="auto"/>
        <w:bottom w:val="none" w:sz="0" w:space="0" w:color="auto"/>
        <w:right w:val="none" w:sz="0" w:space="0" w:color="auto"/>
      </w:divBdr>
    </w:div>
    <w:div w:id="1572497970">
      <w:bodyDiv w:val="1"/>
      <w:marLeft w:val="0"/>
      <w:marRight w:val="0"/>
      <w:marTop w:val="0"/>
      <w:marBottom w:val="0"/>
      <w:divBdr>
        <w:top w:val="none" w:sz="0" w:space="0" w:color="auto"/>
        <w:left w:val="none" w:sz="0" w:space="0" w:color="auto"/>
        <w:bottom w:val="none" w:sz="0" w:space="0" w:color="auto"/>
        <w:right w:val="none" w:sz="0" w:space="0" w:color="auto"/>
      </w:divBdr>
    </w:div>
    <w:div w:id="1573350282">
      <w:bodyDiv w:val="1"/>
      <w:marLeft w:val="0"/>
      <w:marRight w:val="0"/>
      <w:marTop w:val="0"/>
      <w:marBottom w:val="0"/>
      <w:divBdr>
        <w:top w:val="none" w:sz="0" w:space="0" w:color="auto"/>
        <w:left w:val="none" w:sz="0" w:space="0" w:color="auto"/>
        <w:bottom w:val="none" w:sz="0" w:space="0" w:color="auto"/>
        <w:right w:val="none" w:sz="0" w:space="0" w:color="auto"/>
      </w:divBdr>
    </w:div>
    <w:div w:id="1573660495">
      <w:bodyDiv w:val="1"/>
      <w:marLeft w:val="0"/>
      <w:marRight w:val="0"/>
      <w:marTop w:val="0"/>
      <w:marBottom w:val="0"/>
      <w:divBdr>
        <w:top w:val="none" w:sz="0" w:space="0" w:color="auto"/>
        <w:left w:val="none" w:sz="0" w:space="0" w:color="auto"/>
        <w:bottom w:val="none" w:sz="0" w:space="0" w:color="auto"/>
        <w:right w:val="none" w:sz="0" w:space="0" w:color="auto"/>
      </w:divBdr>
    </w:div>
    <w:div w:id="1574043865">
      <w:bodyDiv w:val="1"/>
      <w:marLeft w:val="0"/>
      <w:marRight w:val="0"/>
      <w:marTop w:val="0"/>
      <w:marBottom w:val="0"/>
      <w:divBdr>
        <w:top w:val="none" w:sz="0" w:space="0" w:color="auto"/>
        <w:left w:val="none" w:sz="0" w:space="0" w:color="auto"/>
        <w:bottom w:val="none" w:sz="0" w:space="0" w:color="auto"/>
        <w:right w:val="none" w:sz="0" w:space="0" w:color="auto"/>
      </w:divBdr>
    </w:div>
    <w:div w:id="1574047617">
      <w:bodyDiv w:val="1"/>
      <w:marLeft w:val="0"/>
      <w:marRight w:val="0"/>
      <w:marTop w:val="0"/>
      <w:marBottom w:val="0"/>
      <w:divBdr>
        <w:top w:val="none" w:sz="0" w:space="0" w:color="auto"/>
        <w:left w:val="none" w:sz="0" w:space="0" w:color="auto"/>
        <w:bottom w:val="none" w:sz="0" w:space="0" w:color="auto"/>
        <w:right w:val="none" w:sz="0" w:space="0" w:color="auto"/>
      </w:divBdr>
    </w:div>
    <w:div w:id="1574851300">
      <w:bodyDiv w:val="1"/>
      <w:marLeft w:val="0"/>
      <w:marRight w:val="0"/>
      <w:marTop w:val="0"/>
      <w:marBottom w:val="0"/>
      <w:divBdr>
        <w:top w:val="none" w:sz="0" w:space="0" w:color="auto"/>
        <w:left w:val="none" w:sz="0" w:space="0" w:color="auto"/>
        <w:bottom w:val="none" w:sz="0" w:space="0" w:color="auto"/>
        <w:right w:val="none" w:sz="0" w:space="0" w:color="auto"/>
      </w:divBdr>
    </w:div>
    <w:div w:id="1575117632">
      <w:bodyDiv w:val="1"/>
      <w:marLeft w:val="0"/>
      <w:marRight w:val="0"/>
      <w:marTop w:val="0"/>
      <w:marBottom w:val="0"/>
      <w:divBdr>
        <w:top w:val="none" w:sz="0" w:space="0" w:color="auto"/>
        <w:left w:val="none" w:sz="0" w:space="0" w:color="auto"/>
        <w:bottom w:val="none" w:sz="0" w:space="0" w:color="auto"/>
        <w:right w:val="none" w:sz="0" w:space="0" w:color="auto"/>
      </w:divBdr>
    </w:div>
    <w:div w:id="1575504563">
      <w:bodyDiv w:val="1"/>
      <w:marLeft w:val="0"/>
      <w:marRight w:val="0"/>
      <w:marTop w:val="0"/>
      <w:marBottom w:val="0"/>
      <w:divBdr>
        <w:top w:val="none" w:sz="0" w:space="0" w:color="auto"/>
        <w:left w:val="none" w:sz="0" w:space="0" w:color="auto"/>
        <w:bottom w:val="none" w:sz="0" w:space="0" w:color="auto"/>
        <w:right w:val="none" w:sz="0" w:space="0" w:color="auto"/>
      </w:divBdr>
    </w:div>
    <w:div w:id="1575505220">
      <w:bodyDiv w:val="1"/>
      <w:marLeft w:val="0"/>
      <w:marRight w:val="0"/>
      <w:marTop w:val="0"/>
      <w:marBottom w:val="0"/>
      <w:divBdr>
        <w:top w:val="none" w:sz="0" w:space="0" w:color="auto"/>
        <w:left w:val="none" w:sz="0" w:space="0" w:color="auto"/>
        <w:bottom w:val="none" w:sz="0" w:space="0" w:color="auto"/>
        <w:right w:val="none" w:sz="0" w:space="0" w:color="auto"/>
      </w:divBdr>
    </w:div>
    <w:div w:id="1575816174">
      <w:bodyDiv w:val="1"/>
      <w:marLeft w:val="0"/>
      <w:marRight w:val="0"/>
      <w:marTop w:val="0"/>
      <w:marBottom w:val="0"/>
      <w:divBdr>
        <w:top w:val="none" w:sz="0" w:space="0" w:color="auto"/>
        <w:left w:val="none" w:sz="0" w:space="0" w:color="auto"/>
        <w:bottom w:val="none" w:sz="0" w:space="0" w:color="auto"/>
        <w:right w:val="none" w:sz="0" w:space="0" w:color="auto"/>
      </w:divBdr>
    </w:div>
    <w:div w:id="1575972022">
      <w:bodyDiv w:val="1"/>
      <w:marLeft w:val="0"/>
      <w:marRight w:val="0"/>
      <w:marTop w:val="0"/>
      <w:marBottom w:val="0"/>
      <w:divBdr>
        <w:top w:val="none" w:sz="0" w:space="0" w:color="auto"/>
        <w:left w:val="none" w:sz="0" w:space="0" w:color="auto"/>
        <w:bottom w:val="none" w:sz="0" w:space="0" w:color="auto"/>
        <w:right w:val="none" w:sz="0" w:space="0" w:color="auto"/>
      </w:divBdr>
    </w:div>
    <w:div w:id="1578050174">
      <w:bodyDiv w:val="1"/>
      <w:marLeft w:val="0"/>
      <w:marRight w:val="0"/>
      <w:marTop w:val="0"/>
      <w:marBottom w:val="0"/>
      <w:divBdr>
        <w:top w:val="none" w:sz="0" w:space="0" w:color="auto"/>
        <w:left w:val="none" w:sz="0" w:space="0" w:color="auto"/>
        <w:bottom w:val="none" w:sz="0" w:space="0" w:color="auto"/>
        <w:right w:val="none" w:sz="0" w:space="0" w:color="auto"/>
      </w:divBdr>
    </w:div>
    <w:div w:id="1578513091">
      <w:bodyDiv w:val="1"/>
      <w:marLeft w:val="0"/>
      <w:marRight w:val="0"/>
      <w:marTop w:val="0"/>
      <w:marBottom w:val="0"/>
      <w:divBdr>
        <w:top w:val="none" w:sz="0" w:space="0" w:color="auto"/>
        <w:left w:val="none" w:sz="0" w:space="0" w:color="auto"/>
        <w:bottom w:val="none" w:sz="0" w:space="0" w:color="auto"/>
        <w:right w:val="none" w:sz="0" w:space="0" w:color="auto"/>
      </w:divBdr>
    </w:div>
    <w:div w:id="1578586325">
      <w:bodyDiv w:val="1"/>
      <w:marLeft w:val="0"/>
      <w:marRight w:val="0"/>
      <w:marTop w:val="0"/>
      <w:marBottom w:val="0"/>
      <w:divBdr>
        <w:top w:val="none" w:sz="0" w:space="0" w:color="auto"/>
        <w:left w:val="none" w:sz="0" w:space="0" w:color="auto"/>
        <w:bottom w:val="none" w:sz="0" w:space="0" w:color="auto"/>
        <w:right w:val="none" w:sz="0" w:space="0" w:color="auto"/>
      </w:divBdr>
    </w:div>
    <w:div w:id="1578831538">
      <w:bodyDiv w:val="1"/>
      <w:marLeft w:val="0"/>
      <w:marRight w:val="0"/>
      <w:marTop w:val="0"/>
      <w:marBottom w:val="0"/>
      <w:divBdr>
        <w:top w:val="none" w:sz="0" w:space="0" w:color="auto"/>
        <w:left w:val="none" w:sz="0" w:space="0" w:color="auto"/>
        <w:bottom w:val="none" w:sz="0" w:space="0" w:color="auto"/>
        <w:right w:val="none" w:sz="0" w:space="0" w:color="auto"/>
      </w:divBdr>
    </w:div>
    <w:div w:id="1579365908">
      <w:bodyDiv w:val="1"/>
      <w:marLeft w:val="0"/>
      <w:marRight w:val="0"/>
      <w:marTop w:val="0"/>
      <w:marBottom w:val="0"/>
      <w:divBdr>
        <w:top w:val="none" w:sz="0" w:space="0" w:color="auto"/>
        <w:left w:val="none" w:sz="0" w:space="0" w:color="auto"/>
        <w:bottom w:val="none" w:sz="0" w:space="0" w:color="auto"/>
        <w:right w:val="none" w:sz="0" w:space="0" w:color="auto"/>
      </w:divBdr>
    </w:div>
    <w:div w:id="1579556473">
      <w:bodyDiv w:val="1"/>
      <w:marLeft w:val="0"/>
      <w:marRight w:val="0"/>
      <w:marTop w:val="0"/>
      <w:marBottom w:val="0"/>
      <w:divBdr>
        <w:top w:val="none" w:sz="0" w:space="0" w:color="auto"/>
        <w:left w:val="none" w:sz="0" w:space="0" w:color="auto"/>
        <w:bottom w:val="none" w:sz="0" w:space="0" w:color="auto"/>
        <w:right w:val="none" w:sz="0" w:space="0" w:color="auto"/>
      </w:divBdr>
    </w:div>
    <w:div w:id="1580165554">
      <w:bodyDiv w:val="1"/>
      <w:marLeft w:val="0"/>
      <w:marRight w:val="0"/>
      <w:marTop w:val="0"/>
      <w:marBottom w:val="0"/>
      <w:divBdr>
        <w:top w:val="none" w:sz="0" w:space="0" w:color="auto"/>
        <w:left w:val="none" w:sz="0" w:space="0" w:color="auto"/>
        <w:bottom w:val="none" w:sz="0" w:space="0" w:color="auto"/>
        <w:right w:val="none" w:sz="0" w:space="0" w:color="auto"/>
      </w:divBdr>
    </w:div>
    <w:div w:id="1580406160">
      <w:bodyDiv w:val="1"/>
      <w:marLeft w:val="0"/>
      <w:marRight w:val="0"/>
      <w:marTop w:val="0"/>
      <w:marBottom w:val="0"/>
      <w:divBdr>
        <w:top w:val="none" w:sz="0" w:space="0" w:color="auto"/>
        <w:left w:val="none" w:sz="0" w:space="0" w:color="auto"/>
        <w:bottom w:val="none" w:sz="0" w:space="0" w:color="auto"/>
        <w:right w:val="none" w:sz="0" w:space="0" w:color="auto"/>
      </w:divBdr>
    </w:div>
    <w:div w:id="1580558384">
      <w:bodyDiv w:val="1"/>
      <w:marLeft w:val="0"/>
      <w:marRight w:val="0"/>
      <w:marTop w:val="0"/>
      <w:marBottom w:val="0"/>
      <w:divBdr>
        <w:top w:val="none" w:sz="0" w:space="0" w:color="auto"/>
        <w:left w:val="none" w:sz="0" w:space="0" w:color="auto"/>
        <w:bottom w:val="none" w:sz="0" w:space="0" w:color="auto"/>
        <w:right w:val="none" w:sz="0" w:space="0" w:color="auto"/>
      </w:divBdr>
    </w:div>
    <w:div w:id="1580597409">
      <w:bodyDiv w:val="1"/>
      <w:marLeft w:val="0"/>
      <w:marRight w:val="0"/>
      <w:marTop w:val="0"/>
      <w:marBottom w:val="0"/>
      <w:divBdr>
        <w:top w:val="none" w:sz="0" w:space="0" w:color="auto"/>
        <w:left w:val="none" w:sz="0" w:space="0" w:color="auto"/>
        <w:bottom w:val="none" w:sz="0" w:space="0" w:color="auto"/>
        <w:right w:val="none" w:sz="0" w:space="0" w:color="auto"/>
      </w:divBdr>
    </w:div>
    <w:div w:id="1581716235">
      <w:bodyDiv w:val="1"/>
      <w:marLeft w:val="0"/>
      <w:marRight w:val="0"/>
      <w:marTop w:val="0"/>
      <w:marBottom w:val="0"/>
      <w:divBdr>
        <w:top w:val="none" w:sz="0" w:space="0" w:color="auto"/>
        <w:left w:val="none" w:sz="0" w:space="0" w:color="auto"/>
        <w:bottom w:val="none" w:sz="0" w:space="0" w:color="auto"/>
        <w:right w:val="none" w:sz="0" w:space="0" w:color="auto"/>
      </w:divBdr>
    </w:div>
    <w:div w:id="1581720393">
      <w:bodyDiv w:val="1"/>
      <w:marLeft w:val="0"/>
      <w:marRight w:val="0"/>
      <w:marTop w:val="0"/>
      <w:marBottom w:val="0"/>
      <w:divBdr>
        <w:top w:val="none" w:sz="0" w:space="0" w:color="auto"/>
        <w:left w:val="none" w:sz="0" w:space="0" w:color="auto"/>
        <w:bottom w:val="none" w:sz="0" w:space="0" w:color="auto"/>
        <w:right w:val="none" w:sz="0" w:space="0" w:color="auto"/>
      </w:divBdr>
    </w:div>
    <w:div w:id="1582910288">
      <w:bodyDiv w:val="1"/>
      <w:marLeft w:val="0"/>
      <w:marRight w:val="0"/>
      <w:marTop w:val="0"/>
      <w:marBottom w:val="0"/>
      <w:divBdr>
        <w:top w:val="none" w:sz="0" w:space="0" w:color="auto"/>
        <w:left w:val="none" w:sz="0" w:space="0" w:color="auto"/>
        <w:bottom w:val="none" w:sz="0" w:space="0" w:color="auto"/>
        <w:right w:val="none" w:sz="0" w:space="0" w:color="auto"/>
      </w:divBdr>
    </w:div>
    <w:div w:id="1582985969">
      <w:bodyDiv w:val="1"/>
      <w:marLeft w:val="0"/>
      <w:marRight w:val="0"/>
      <w:marTop w:val="0"/>
      <w:marBottom w:val="0"/>
      <w:divBdr>
        <w:top w:val="none" w:sz="0" w:space="0" w:color="auto"/>
        <w:left w:val="none" w:sz="0" w:space="0" w:color="auto"/>
        <w:bottom w:val="none" w:sz="0" w:space="0" w:color="auto"/>
        <w:right w:val="none" w:sz="0" w:space="0" w:color="auto"/>
      </w:divBdr>
    </w:div>
    <w:div w:id="1583101722">
      <w:bodyDiv w:val="1"/>
      <w:marLeft w:val="0"/>
      <w:marRight w:val="0"/>
      <w:marTop w:val="0"/>
      <w:marBottom w:val="0"/>
      <w:divBdr>
        <w:top w:val="none" w:sz="0" w:space="0" w:color="auto"/>
        <w:left w:val="none" w:sz="0" w:space="0" w:color="auto"/>
        <w:bottom w:val="none" w:sz="0" w:space="0" w:color="auto"/>
        <w:right w:val="none" w:sz="0" w:space="0" w:color="auto"/>
      </w:divBdr>
    </w:div>
    <w:div w:id="1583221601">
      <w:bodyDiv w:val="1"/>
      <w:marLeft w:val="0"/>
      <w:marRight w:val="0"/>
      <w:marTop w:val="0"/>
      <w:marBottom w:val="0"/>
      <w:divBdr>
        <w:top w:val="none" w:sz="0" w:space="0" w:color="auto"/>
        <w:left w:val="none" w:sz="0" w:space="0" w:color="auto"/>
        <w:bottom w:val="none" w:sz="0" w:space="0" w:color="auto"/>
        <w:right w:val="none" w:sz="0" w:space="0" w:color="auto"/>
      </w:divBdr>
    </w:div>
    <w:div w:id="1583567934">
      <w:bodyDiv w:val="1"/>
      <w:marLeft w:val="0"/>
      <w:marRight w:val="0"/>
      <w:marTop w:val="0"/>
      <w:marBottom w:val="0"/>
      <w:divBdr>
        <w:top w:val="none" w:sz="0" w:space="0" w:color="auto"/>
        <w:left w:val="none" w:sz="0" w:space="0" w:color="auto"/>
        <w:bottom w:val="none" w:sz="0" w:space="0" w:color="auto"/>
        <w:right w:val="none" w:sz="0" w:space="0" w:color="auto"/>
      </w:divBdr>
    </w:div>
    <w:div w:id="1583636388">
      <w:bodyDiv w:val="1"/>
      <w:marLeft w:val="0"/>
      <w:marRight w:val="0"/>
      <w:marTop w:val="0"/>
      <w:marBottom w:val="0"/>
      <w:divBdr>
        <w:top w:val="none" w:sz="0" w:space="0" w:color="auto"/>
        <w:left w:val="none" w:sz="0" w:space="0" w:color="auto"/>
        <w:bottom w:val="none" w:sz="0" w:space="0" w:color="auto"/>
        <w:right w:val="none" w:sz="0" w:space="0" w:color="auto"/>
      </w:divBdr>
    </w:div>
    <w:div w:id="1584949632">
      <w:bodyDiv w:val="1"/>
      <w:marLeft w:val="0"/>
      <w:marRight w:val="0"/>
      <w:marTop w:val="0"/>
      <w:marBottom w:val="0"/>
      <w:divBdr>
        <w:top w:val="none" w:sz="0" w:space="0" w:color="auto"/>
        <w:left w:val="none" w:sz="0" w:space="0" w:color="auto"/>
        <w:bottom w:val="none" w:sz="0" w:space="0" w:color="auto"/>
        <w:right w:val="none" w:sz="0" w:space="0" w:color="auto"/>
      </w:divBdr>
    </w:div>
    <w:div w:id="1584989998">
      <w:bodyDiv w:val="1"/>
      <w:marLeft w:val="0"/>
      <w:marRight w:val="0"/>
      <w:marTop w:val="0"/>
      <w:marBottom w:val="0"/>
      <w:divBdr>
        <w:top w:val="none" w:sz="0" w:space="0" w:color="auto"/>
        <w:left w:val="none" w:sz="0" w:space="0" w:color="auto"/>
        <w:bottom w:val="none" w:sz="0" w:space="0" w:color="auto"/>
        <w:right w:val="none" w:sz="0" w:space="0" w:color="auto"/>
      </w:divBdr>
    </w:div>
    <w:div w:id="1584996040">
      <w:bodyDiv w:val="1"/>
      <w:marLeft w:val="0"/>
      <w:marRight w:val="0"/>
      <w:marTop w:val="0"/>
      <w:marBottom w:val="0"/>
      <w:divBdr>
        <w:top w:val="none" w:sz="0" w:space="0" w:color="auto"/>
        <w:left w:val="none" w:sz="0" w:space="0" w:color="auto"/>
        <w:bottom w:val="none" w:sz="0" w:space="0" w:color="auto"/>
        <w:right w:val="none" w:sz="0" w:space="0" w:color="auto"/>
      </w:divBdr>
    </w:div>
    <w:div w:id="1585453759">
      <w:bodyDiv w:val="1"/>
      <w:marLeft w:val="0"/>
      <w:marRight w:val="0"/>
      <w:marTop w:val="0"/>
      <w:marBottom w:val="0"/>
      <w:divBdr>
        <w:top w:val="none" w:sz="0" w:space="0" w:color="auto"/>
        <w:left w:val="none" w:sz="0" w:space="0" w:color="auto"/>
        <w:bottom w:val="none" w:sz="0" w:space="0" w:color="auto"/>
        <w:right w:val="none" w:sz="0" w:space="0" w:color="auto"/>
      </w:divBdr>
    </w:div>
    <w:div w:id="1585606024">
      <w:bodyDiv w:val="1"/>
      <w:marLeft w:val="0"/>
      <w:marRight w:val="0"/>
      <w:marTop w:val="0"/>
      <w:marBottom w:val="0"/>
      <w:divBdr>
        <w:top w:val="none" w:sz="0" w:space="0" w:color="auto"/>
        <w:left w:val="none" w:sz="0" w:space="0" w:color="auto"/>
        <w:bottom w:val="none" w:sz="0" w:space="0" w:color="auto"/>
        <w:right w:val="none" w:sz="0" w:space="0" w:color="auto"/>
      </w:divBdr>
    </w:div>
    <w:div w:id="1585841759">
      <w:bodyDiv w:val="1"/>
      <w:marLeft w:val="0"/>
      <w:marRight w:val="0"/>
      <w:marTop w:val="0"/>
      <w:marBottom w:val="0"/>
      <w:divBdr>
        <w:top w:val="none" w:sz="0" w:space="0" w:color="auto"/>
        <w:left w:val="none" w:sz="0" w:space="0" w:color="auto"/>
        <w:bottom w:val="none" w:sz="0" w:space="0" w:color="auto"/>
        <w:right w:val="none" w:sz="0" w:space="0" w:color="auto"/>
      </w:divBdr>
    </w:div>
    <w:div w:id="1586958776">
      <w:bodyDiv w:val="1"/>
      <w:marLeft w:val="0"/>
      <w:marRight w:val="0"/>
      <w:marTop w:val="0"/>
      <w:marBottom w:val="0"/>
      <w:divBdr>
        <w:top w:val="none" w:sz="0" w:space="0" w:color="auto"/>
        <w:left w:val="none" w:sz="0" w:space="0" w:color="auto"/>
        <w:bottom w:val="none" w:sz="0" w:space="0" w:color="auto"/>
        <w:right w:val="none" w:sz="0" w:space="0" w:color="auto"/>
      </w:divBdr>
    </w:div>
    <w:div w:id="1588073106">
      <w:bodyDiv w:val="1"/>
      <w:marLeft w:val="0"/>
      <w:marRight w:val="0"/>
      <w:marTop w:val="0"/>
      <w:marBottom w:val="0"/>
      <w:divBdr>
        <w:top w:val="none" w:sz="0" w:space="0" w:color="auto"/>
        <w:left w:val="none" w:sz="0" w:space="0" w:color="auto"/>
        <w:bottom w:val="none" w:sz="0" w:space="0" w:color="auto"/>
        <w:right w:val="none" w:sz="0" w:space="0" w:color="auto"/>
      </w:divBdr>
    </w:div>
    <w:div w:id="1588999211">
      <w:bodyDiv w:val="1"/>
      <w:marLeft w:val="0"/>
      <w:marRight w:val="0"/>
      <w:marTop w:val="0"/>
      <w:marBottom w:val="0"/>
      <w:divBdr>
        <w:top w:val="none" w:sz="0" w:space="0" w:color="auto"/>
        <w:left w:val="none" w:sz="0" w:space="0" w:color="auto"/>
        <w:bottom w:val="none" w:sz="0" w:space="0" w:color="auto"/>
        <w:right w:val="none" w:sz="0" w:space="0" w:color="auto"/>
      </w:divBdr>
    </w:div>
    <w:div w:id="1589998569">
      <w:bodyDiv w:val="1"/>
      <w:marLeft w:val="0"/>
      <w:marRight w:val="0"/>
      <w:marTop w:val="0"/>
      <w:marBottom w:val="0"/>
      <w:divBdr>
        <w:top w:val="none" w:sz="0" w:space="0" w:color="auto"/>
        <w:left w:val="none" w:sz="0" w:space="0" w:color="auto"/>
        <w:bottom w:val="none" w:sz="0" w:space="0" w:color="auto"/>
        <w:right w:val="none" w:sz="0" w:space="0" w:color="auto"/>
      </w:divBdr>
    </w:div>
    <w:div w:id="1590117362">
      <w:bodyDiv w:val="1"/>
      <w:marLeft w:val="0"/>
      <w:marRight w:val="0"/>
      <w:marTop w:val="0"/>
      <w:marBottom w:val="0"/>
      <w:divBdr>
        <w:top w:val="none" w:sz="0" w:space="0" w:color="auto"/>
        <w:left w:val="none" w:sz="0" w:space="0" w:color="auto"/>
        <w:bottom w:val="none" w:sz="0" w:space="0" w:color="auto"/>
        <w:right w:val="none" w:sz="0" w:space="0" w:color="auto"/>
      </w:divBdr>
    </w:div>
    <w:div w:id="1590429499">
      <w:bodyDiv w:val="1"/>
      <w:marLeft w:val="0"/>
      <w:marRight w:val="0"/>
      <w:marTop w:val="0"/>
      <w:marBottom w:val="0"/>
      <w:divBdr>
        <w:top w:val="none" w:sz="0" w:space="0" w:color="auto"/>
        <w:left w:val="none" w:sz="0" w:space="0" w:color="auto"/>
        <w:bottom w:val="none" w:sz="0" w:space="0" w:color="auto"/>
        <w:right w:val="none" w:sz="0" w:space="0" w:color="auto"/>
      </w:divBdr>
    </w:div>
    <w:div w:id="1590500894">
      <w:bodyDiv w:val="1"/>
      <w:marLeft w:val="0"/>
      <w:marRight w:val="0"/>
      <w:marTop w:val="0"/>
      <w:marBottom w:val="0"/>
      <w:divBdr>
        <w:top w:val="none" w:sz="0" w:space="0" w:color="auto"/>
        <w:left w:val="none" w:sz="0" w:space="0" w:color="auto"/>
        <w:bottom w:val="none" w:sz="0" w:space="0" w:color="auto"/>
        <w:right w:val="none" w:sz="0" w:space="0" w:color="auto"/>
      </w:divBdr>
    </w:div>
    <w:div w:id="1590852577">
      <w:bodyDiv w:val="1"/>
      <w:marLeft w:val="0"/>
      <w:marRight w:val="0"/>
      <w:marTop w:val="0"/>
      <w:marBottom w:val="0"/>
      <w:divBdr>
        <w:top w:val="none" w:sz="0" w:space="0" w:color="auto"/>
        <w:left w:val="none" w:sz="0" w:space="0" w:color="auto"/>
        <w:bottom w:val="none" w:sz="0" w:space="0" w:color="auto"/>
        <w:right w:val="none" w:sz="0" w:space="0" w:color="auto"/>
      </w:divBdr>
    </w:div>
    <w:div w:id="1591038454">
      <w:bodyDiv w:val="1"/>
      <w:marLeft w:val="0"/>
      <w:marRight w:val="0"/>
      <w:marTop w:val="0"/>
      <w:marBottom w:val="0"/>
      <w:divBdr>
        <w:top w:val="none" w:sz="0" w:space="0" w:color="auto"/>
        <w:left w:val="none" w:sz="0" w:space="0" w:color="auto"/>
        <w:bottom w:val="none" w:sz="0" w:space="0" w:color="auto"/>
        <w:right w:val="none" w:sz="0" w:space="0" w:color="auto"/>
      </w:divBdr>
    </w:div>
    <w:div w:id="1591740855">
      <w:bodyDiv w:val="1"/>
      <w:marLeft w:val="0"/>
      <w:marRight w:val="0"/>
      <w:marTop w:val="0"/>
      <w:marBottom w:val="0"/>
      <w:divBdr>
        <w:top w:val="none" w:sz="0" w:space="0" w:color="auto"/>
        <w:left w:val="none" w:sz="0" w:space="0" w:color="auto"/>
        <w:bottom w:val="none" w:sz="0" w:space="0" w:color="auto"/>
        <w:right w:val="none" w:sz="0" w:space="0" w:color="auto"/>
      </w:divBdr>
    </w:div>
    <w:div w:id="1592008984">
      <w:bodyDiv w:val="1"/>
      <w:marLeft w:val="0"/>
      <w:marRight w:val="0"/>
      <w:marTop w:val="0"/>
      <w:marBottom w:val="0"/>
      <w:divBdr>
        <w:top w:val="none" w:sz="0" w:space="0" w:color="auto"/>
        <w:left w:val="none" w:sz="0" w:space="0" w:color="auto"/>
        <w:bottom w:val="none" w:sz="0" w:space="0" w:color="auto"/>
        <w:right w:val="none" w:sz="0" w:space="0" w:color="auto"/>
      </w:divBdr>
    </w:div>
    <w:div w:id="1592812920">
      <w:bodyDiv w:val="1"/>
      <w:marLeft w:val="0"/>
      <w:marRight w:val="0"/>
      <w:marTop w:val="0"/>
      <w:marBottom w:val="0"/>
      <w:divBdr>
        <w:top w:val="none" w:sz="0" w:space="0" w:color="auto"/>
        <w:left w:val="none" w:sz="0" w:space="0" w:color="auto"/>
        <w:bottom w:val="none" w:sz="0" w:space="0" w:color="auto"/>
        <w:right w:val="none" w:sz="0" w:space="0" w:color="auto"/>
      </w:divBdr>
    </w:div>
    <w:div w:id="1593008939">
      <w:bodyDiv w:val="1"/>
      <w:marLeft w:val="0"/>
      <w:marRight w:val="0"/>
      <w:marTop w:val="0"/>
      <w:marBottom w:val="0"/>
      <w:divBdr>
        <w:top w:val="none" w:sz="0" w:space="0" w:color="auto"/>
        <w:left w:val="none" w:sz="0" w:space="0" w:color="auto"/>
        <w:bottom w:val="none" w:sz="0" w:space="0" w:color="auto"/>
        <w:right w:val="none" w:sz="0" w:space="0" w:color="auto"/>
      </w:divBdr>
    </w:div>
    <w:div w:id="1593779657">
      <w:bodyDiv w:val="1"/>
      <w:marLeft w:val="0"/>
      <w:marRight w:val="0"/>
      <w:marTop w:val="0"/>
      <w:marBottom w:val="0"/>
      <w:divBdr>
        <w:top w:val="none" w:sz="0" w:space="0" w:color="auto"/>
        <w:left w:val="none" w:sz="0" w:space="0" w:color="auto"/>
        <w:bottom w:val="none" w:sz="0" w:space="0" w:color="auto"/>
        <w:right w:val="none" w:sz="0" w:space="0" w:color="auto"/>
      </w:divBdr>
    </w:div>
    <w:div w:id="1594126310">
      <w:bodyDiv w:val="1"/>
      <w:marLeft w:val="0"/>
      <w:marRight w:val="0"/>
      <w:marTop w:val="0"/>
      <w:marBottom w:val="0"/>
      <w:divBdr>
        <w:top w:val="none" w:sz="0" w:space="0" w:color="auto"/>
        <w:left w:val="none" w:sz="0" w:space="0" w:color="auto"/>
        <w:bottom w:val="none" w:sz="0" w:space="0" w:color="auto"/>
        <w:right w:val="none" w:sz="0" w:space="0" w:color="auto"/>
      </w:divBdr>
    </w:div>
    <w:div w:id="1594313627">
      <w:bodyDiv w:val="1"/>
      <w:marLeft w:val="0"/>
      <w:marRight w:val="0"/>
      <w:marTop w:val="0"/>
      <w:marBottom w:val="0"/>
      <w:divBdr>
        <w:top w:val="none" w:sz="0" w:space="0" w:color="auto"/>
        <w:left w:val="none" w:sz="0" w:space="0" w:color="auto"/>
        <w:bottom w:val="none" w:sz="0" w:space="0" w:color="auto"/>
        <w:right w:val="none" w:sz="0" w:space="0" w:color="auto"/>
      </w:divBdr>
    </w:div>
    <w:div w:id="1594628891">
      <w:bodyDiv w:val="1"/>
      <w:marLeft w:val="0"/>
      <w:marRight w:val="0"/>
      <w:marTop w:val="0"/>
      <w:marBottom w:val="0"/>
      <w:divBdr>
        <w:top w:val="none" w:sz="0" w:space="0" w:color="auto"/>
        <w:left w:val="none" w:sz="0" w:space="0" w:color="auto"/>
        <w:bottom w:val="none" w:sz="0" w:space="0" w:color="auto"/>
        <w:right w:val="none" w:sz="0" w:space="0" w:color="auto"/>
      </w:divBdr>
    </w:div>
    <w:div w:id="1594777993">
      <w:bodyDiv w:val="1"/>
      <w:marLeft w:val="0"/>
      <w:marRight w:val="0"/>
      <w:marTop w:val="0"/>
      <w:marBottom w:val="0"/>
      <w:divBdr>
        <w:top w:val="none" w:sz="0" w:space="0" w:color="auto"/>
        <w:left w:val="none" w:sz="0" w:space="0" w:color="auto"/>
        <w:bottom w:val="none" w:sz="0" w:space="0" w:color="auto"/>
        <w:right w:val="none" w:sz="0" w:space="0" w:color="auto"/>
      </w:divBdr>
    </w:div>
    <w:div w:id="1595043837">
      <w:bodyDiv w:val="1"/>
      <w:marLeft w:val="0"/>
      <w:marRight w:val="0"/>
      <w:marTop w:val="0"/>
      <w:marBottom w:val="0"/>
      <w:divBdr>
        <w:top w:val="none" w:sz="0" w:space="0" w:color="auto"/>
        <w:left w:val="none" w:sz="0" w:space="0" w:color="auto"/>
        <w:bottom w:val="none" w:sz="0" w:space="0" w:color="auto"/>
        <w:right w:val="none" w:sz="0" w:space="0" w:color="auto"/>
      </w:divBdr>
    </w:div>
    <w:div w:id="1595170708">
      <w:bodyDiv w:val="1"/>
      <w:marLeft w:val="0"/>
      <w:marRight w:val="0"/>
      <w:marTop w:val="0"/>
      <w:marBottom w:val="0"/>
      <w:divBdr>
        <w:top w:val="none" w:sz="0" w:space="0" w:color="auto"/>
        <w:left w:val="none" w:sz="0" w:space="0" w:color="auto"/>
        <w:bottom w:val="none" w:sz="0" w:space="0" w:color="auto"/>
        <w:right w:val="none" w:sz="0" w:space="0" w:color="auto"/>
      </w:divBdr>
    </w:div>
    <w:div w:id="1595359707">
      <w:bodyDiv w:val="1"/>
      <w:marLeft w:val="0"/>
      <w:marRight w:val="0"/>
      <w:marTop w:val="0"/>
      <w:marBottom w:val="0"/>
      <w:divBdr>
        <w:top w:val="none" w:sz="0" w:space="0" w:color="auto"/>
        <w:left w:val="none" w:sz="0" w:space="0" w:color="auto"/>
        <w:bottom w:val="none" w:sz="0" w:space="0" w:color="auto"/>
        <w:right w:val="none" w:sz="0" w:space="0" w:color="auto"/>
      </w:divBdr>
    </w:div>
    <w:div w:id="1595819066">
      <w:bodyDiv w:val="1"/>
      <w:marLeft w:val="0"/>
      <w:marRight w:val="0"/>
      <w:marTop w:val="0"/>
      <w:marBottom w:val="0"/>
      <w:divBdr>
        <w:top w:val="none" w:sz="0" w:space="0" w:color="auto"/>
        <w:left w:val="none" w:sz="0" w:space="0" w:color="auto"/>
        <w:bottom w:val="none" w:sz="0" w:space="0" w:color="auto"/>
        <w:right w:val="none" w:sz="0" w:space="0" w:color="auto"/>
      </w:divBdr>
    </w:div>
    <w:div w:id="1595943612">
      <w:bodyDiv w:val="1"/>
      <w:marLeft w:val="0"/>
      <w:marRight w:val="0"/>
      <w:marTop w:val="0"/>
      <w:marBottom w:val="0"/>
      <w:divBdr>
        <w:top w:val="none" w:sz="0" w:space="0" w:color="auto"/>
        <w:left w:val="none" w:sz="0" w:space="0" w:color="auto"/>
        <w:bottom w:val="none" w:sz="0" w:space="0" w:color="auto"/>
        <w:right w:val="none" w:sz="0" w:space="0" w:color="auto"/>
      </w:divBdr>
    </w:div>
    <w:div w:id="1596284576">
      <w:bodyDiv w:val="1"/>
      <w:marLeft w:val="0"/>
      <w:marRight w:val="0"/>
      <w:marTop w:val="0"/>
      <w:marBottom w:val="0"/>
      <w:divBdr>
        <w:top w:val="none" w:sz="0" w:space="0" w:color="auto"/>
        <w:left w:val="none" w:sz="0" w:space="0" w:color="auto"/>
        <w:bottom w:val="none" w:sz="0" w:space="0" w:color="auto"/>
        <w:right w:val="none" w:sz="0" w:space="0" w:color="auto"/>
      </w:divBdr>
    </w:div>
    <w:div w:id="1597057282">
      <w:bodyDiv w:val="1"/>
      <w:marLeft w:val="0"/>
      <w:marRight w:val="0"/>
      <w:marTop w:val="0"/>
      <w:marBottom w:val="0"/>
      <w:divBdr>
        <w:top w:val="none" w:sz="0" w:space="0" w:color="auto"/>
        <w:left w:val="none" w:sz="0" w:space="0" w:color="auto"/>
        <w:bottom w:val="none" w:sz="0" w:space="0" w:color="auto"/>
        <w:right w:val="none" w:sz="0" w:space="0" w:color="auto"/>
      </w:divBdr>
    </w:div>
    <w:div w:id="1597324690">
      <w:bodyDiv w:val="1"/>
      <w:marLeft w:val="0"/>
      <w:marRight w:val="0"/>
      <w:marTop w:val="0"/>
      <w:marBottom w:val="0"/>
      <w:divBdr>
        <w:top w:val="none" w:sz="0" w:space="0" w:color="auto"/>
        <w:left w:val="none" w:sz="0" w:space="0" w:color="auto"/>
        <w:bottom w:val="none" w:sz="0" w:space="0" w:color="auto"/>
        <w:right w:val="none" w:sz="0" w:space="0" w:color="auto"/>
      </w:divBdr>
    </w:div>
    <w:div w:id="1597596360">
      <w:bodyDiv w:val="1"/>
      <w:marLeft w:val="0"/>
      <w:marRight w:val="0"/>
      <w:marTop w:val="0"/>
      <w:marBottom w:val="0"/>
      <w:divBdr>
        <w:top w:val="none" w:sz="0" w:space="0" w:color="auto"/>
        <w:left w:val="none" w:sz="0" w:space="0" w:color="auto"/>
        <w:bottom w:val="none" w:sz="0" w:space="0" w:color="auto"/>
        <w:right w:val="none" w:sz="0" w:space="0" w:color="auto"/>
      </w:divBdr>
    </w:div>
    <w:div w:id="1597975498">
      <w:bodyDiv w:val="1"/>
      <w:marLeft w:val="0"/>
      <w:marRight w:val="0"/>
      <w:marTop w:val="0"/>
      <w:marBottom w:val="0"/>
      <w:divBdr>
        <w:top w:val="none" w:sz="0" w:space="0" w:color="auto"/>
        <w:left w:val="none" w:sz="0" w:space="0" w:color="auto"/>
        <w:bottom w:val="none" w:sz="0" w:space="0" w:color="auto"/>
        <w:right w:val="none" w:sz="0" w:space="0" w:color="auto"/>
      </w:divBdr>
    </w:div>
    <w:div w:id="1598175530">
      <w:bodyDiv w:val="1"/>
      <w:marLeft w:val="0"/>
      <w:marRight w:val="0"/>
      <w:marTop w:val="0"/>
      <w:marBottom w:val="0"/>
      <w:divBdr>
        <w:top w:val="none" w:sz="0" w:space="0" w:color="auto"/>
        <w:left w:val="none" w:sz="0" w:space="0" w:color="auto"/>
        <w:bottom w:val="none" w:sz="0" w:space="0" w:color="auto"/>
        <w:right w:val="none" w:sz="0" w:space="0" w:color="auto"/>
      </w:divBdr>
    </w:div>
    <w:div w:id="1599018232">
      <w:bodyDiv w:val="1"/>
      <w:marLeft w:val="0"/>
      <w:marRight w:val="0"/>
      <w:marTop w:val="0"/>
      <w:marBottom w:val="0"/>
      <w:divBdr>
        <w:top w:val="none" w:sz="0" w:space="0" w:color="auto"/>
        <w:left w:val="none" w:sz="0" w:space="0" w:color="auto"/>
        <w:bottom w:val="none" w:sz="0" w:space="0" w:color="auto"/>
        <w:right w:val="none" w:sz="0" w:space="0" w:color="auto"/>
      </w:divBdr>
    </w:div>
    <w:div w:id="1600941098">
      <w:bodyDiv w:val="1"/>
      <w:marLeft w:val="0"/>
      <w:marRight w:val="0"/>
      <w:marTop w:val="0"/>
      <w:marBottom w:val="0"/>
      <w:divBdr>
        <w:top w:val="none" w:sz="0" w:space="0" w:color="auto"/>
        <w:left w:val="none" w:sz="0" w:space="0" w:color="auto"/>
        <w:bottom w:val="none" w:sz="0" w:space="0" w:color="auto"/>
        <w:right w:val="none" w:sz="0" w:space="0" w:color="auto"/>
      </w:divBdr>
    </w:div>
    <w:div w:id="1601110618">
      <w:bodyDiv w:val="1"/>
      <w:marLeft w:val="0"/>
      <w:marRight w:val="0"/>
      <w:marTop w:val="0"/>
      <w:marBottom w:val="0"/>
      <w:divBdr>
        <w:top w:val="none" w:sz="0" w:space="0" w:color="auto"/>
        <w:left w:val="none" w:sz="0" w:space="0" w:color="auto"/>
        <w:bottom w:val="none" w:sz="0" w:space="0" w:color="auto"/>
        <w:right w:val="none" w:sz="0" w:space="0" w:color="auto"/>
      </w:divBdr>
    </w:div>
    <w:div w:id="1603221453">
      <w:bodyDiv w:val="1"/>
      <w:marLeft w:val="0"/>
      <w:marRight w:val="0"/>
      <w:marTop w:val="0"/>
      <w:marBottom w:val="0"/>
      <w:divBdr>
        <w:top w:val="none" w:sz="0" w:space="0" w:color="auto"/>
        <w:left w:val="none" w:sz="0" w:space="0" w:color="auto"/>
        <w:bottom w:val="none" w:sz="0" w:space="0" w:color="auto"/>
        <w:right w:val="none" w:sz="0" w:space="0" w:color="auto"/>
      </w:divBdr>
      <w:divsChild>
        <w:div w:id="1915773137">
          <w:marLeft w:val="0"/>
          <w:marRight w:val="0"/>
          <w:marTop w:val="0"/>
          <w:marBottom w:val="0"/>
          <w:divBdr>
            <w:top w:val="none" w:sz="0" w:space="0" w:color="auto"/>
            <w:left w:val="none" w:sz="0" w:space="0" w:color="auto"/>
            <w:bottom w:val="none" w:sz="0" w:space="0" w:color="auto"/>
            <w:right w:val="none" w:sz="0" w:space="0" w:color="auto"/>
          </w:divBdr>
        </w:div>
      </w:divsChild>
    </w:div>
    <w:div w:id="1603223574">
      <w:bodyDiv w:val="1"/>
      <w:marLeft w:val="0"/>
      <w:marRight w:val="0"/>
      <w:marTop w:val="0"/>
      <w:marBottom w:val="0"/>
      <w:divBdr>
        <w:top w:val="none" w:sz="0" w:space="0" w:color="auto"/>
        <w:left w:val="none" w:sz="0" w:space="0" w:color="auto"/>
        <w:bottom w:val="none" w:sz="0" w:space="0" w:color="auto"/>
        <w:right w:val="none" w:sz="0" w:space="0" w:color="auto"/>
      </w:divBdr>
    </w:div>
    <w:div w:id="1603338870">
      <w:bodyDiv w:val="1"/>
      <w:marLeft w:val="0"/>
      <w:marRight w:val="0"/>
      <w:marTop w:val="0"/>
      <w:marBottom w:val="0"/>
      <w:divBdr>
        <w:top w:val="none" w:sz="0" w:space="0" w:color="auto"/>
        <w:left w:val="none" w:sz="0" w:space="0" w:color="auto"/>
        <w:bottom w:val="none" w:sz="0" w:space="0" w:color="auto"/>
        <w:right w:val="none" w:sz="0" w:space="0" w:color="auto"/>
      </w:divBdr>
    </w:div>
    <w:div w:id="1603606264">
      <w:bodyDiv w:val="1"/>
      <w:marLeft w:val="0"/>
      <w:marRight w:val="0"/>
      <w:marTop w:val="0"/>
      <w:marBottom w:val="0"/>
      <w:divBdr>
        <w:top w:val="none" w:sz="0" w:space="0" w:color="auto"/>
        <w:left w:val="none" w:sz="0" w:space="0" w:color="auto"/>
        <w:bottom w:val="none" w:sz="0" w:space="0" w:color="auto"/>
        <w:right w:val="none" w:sz="0" w:space="0" w:color="auto"/>
      </w:divBdr>
    </w:div>
    <w:div w:id="1604268228">
      <w:bodyDiv w:val="1"/>
      <w:marLeft w:val="0"/>
      <w:marRight w:val="0"/>
      <w:marTop w:val="0"/>
      <w:marBottom w:val="0"/>
      <w:divBdr>
        <w:top w:val="none" w:sz="0" w:space="0" w:color="auto"/>
        <w:left w:val="none" w:sz="0" w:space="0" w:color="auto"/>
        <w:bottom w:val="none" w:sz="0" w:space="0" w:color="auto"/>
        <w:right w:val="none" w:sz="0" w:space="0" w:color="auto"/>
      </w:divBdr>
    </w:div>
    <w:div w:id="1605651668">
      <w:bodyDiv w:val="1"/>
      <w:marLeft w:val="0"/>
      <w:marRight w:val="0"/>
      <w:marTop w:val="0"/>
      <w:marBottom w:val="0"/>
      <w:divBdr>
        <w:top w:val="none" w:sz="0" w:space="0" w:color="auto"/>
        <w:left w:val="none" w:sz="0" w:space="0" w:color="auto"/>
        <w:bottom w:val="none" w:sz="0" w:space="0" w:color="auto"/>
        <w:right w:val="none" w:sz="0" w:space="0" w:color="auto"/>
      </w:divBdr>
    </w:div>
    <w:div w:id="1605766760">
      <w:bodyDiv w:val="1"/>
      <w:marLeft w:val="0"/>
      <w:marRight w:val="0"/>
      <w:marTop w:val="0"/>
      <w:marBottom w:val="0"/>
      <w:divBdr>
        <w:top w:val="none" w:sz="0" w:space="0" w:color="auto"/>
        <w:left w:val="none" w:sz="0" w:space="0" w:color="auto"/>
        <w:bottom w:val="none" w:sz="0" w:space="0" w:color="auto"/>
        <w:right w:val="none" w:sz="0" w:space="0" w:color="auto"/>
      </w:divBdr>
    </w:div>
    <w:div w:id="1605962517">
      <w:bodyDiv w:val="1"/>
      <w:marLeft w:val="0"/>
      <w:marRight w:val="0"/>
      <w:marTop w:val="0"/>
      <w:marBottom w:val="0"/>
      <w:divBdr>
        <w:top w:val="none" w:sz="0" w:space="0" w:color="auto"/>
        <w:left w:val="none" w:sz="0" w:space="0" w:color="auto"/>
        <w:bottom w:val="none" w:sz="0" w:space="0" w:color="auto"/>
        <w:right w:val="none" w:sz="0" w:space="0" w:color="auto"/>
      </w:divBdr>
    </w:div>
    <w:div w:id="1606771651">
      <w:bodyDiv w:val="1"/>
      <w:marLeft w:val="0"/>
      <w:marRight w:val="0"/>
      <w:marTop w:val="0"/>
      <w:marBottom w:val="0"/>
      <w:divBdr>
        <w:top w:val="none" w:sz="0" w:space="0" w:color="auto"/>
        <w:left w:val="none" w:sz="0" w:space="0" w:color="auto"/>
        <w:bottom w:val="none" w:sz="0" w:space="0" w:color="auto"/>
        <w:right w:val="none" w:sz="0" w:space="0" w:color="auto"/>
      </w:divBdr>
    </w:div>
    <w:div w:id="1607691763">
      <w:bodyDiv w:val="1"/>
      <w:marLeft w:val="0"/>
      <w:marRight w:val="0"/>
      <w:marTop w:val="0"/>
      <w:marBottom w:val="0"/>
      <w:divBdr>
        <w:top w:val="none" w:sz="0" w:space="0" w:color="auto"/>
        <w:left w:val="none" w:sz="0" w:space="0" w:color="auto"/>
        <w:bottom w:val="none" w:sz="0" w:space="0" w:color="auto"/>
        <w:right w:val="none" w:sz="0" w:space="0" w:color="auto"/>
      </w:divBdr>
    </w:div>
    <w:div w:id="1607956057">
      <w:bodyDiv w:val="1"/>
      <w:marLeft w:val="0"/>
      <w:marRight w:val="0"/>
      <w:marTop w:val="0"/>
      <w:marBottom w:val="0"/>
      <w:divBdr>
        <w:top w:val="none" w:sz="0" w:space="0" w:color="auto"/>
        <w:left w:val="none" w:sz="0" w:space="0" w:color="auto"/>
        <w:bottom w:val="none" w:sz="0" w:space="0" w:color="auto"/>
        <w:right w:val="none" w:sz="0" w:space="0" w:color="auto"/>
      </w:divBdr>
    </w:div>
    <w:div w:id="1608728726">
      <w:bodyDiv w:val="1"/>
      <w:marLeft w:val="0"/>
      <w:marRight w:val="0"/>
      <w:marTop w:val="0"/>
      <w:marBottom w:val="0"/>
      <w:divBdr>
        <w:top w:val="none" w:sz="0" w:space="0" w:color="auto"/>
        <w:left w:val="none" w:sz="0" w:space="0" w:color="auto"/>
        <w:bottom w:val="none" w:sz="0" w:space="0" w:color="auto"/>
        <w:right w:val="none" w:sz="0" w:space="0" w:color="auto"/>
      </w:divBdr>
    </w:div>
    <w:div w:id="1609119082">
      <w:bodyDiv w:val="1"/>
      <w:marLeft w:val="0"/>
      <w:marRight w:val="0"/>
      <w:marTop w:val="0"/>
      <w:marBottom w:val="0"/>
      <w:divBdr>
        <w:top w:val="none" w:sz="0" w:space="0" w:color="auto"/>
        <w:left w:val="none" w:sz="0" w:space="0" w:color="auto"/>
        <w:bottom w:val="none" w:sz="0" w:space="0" w:color="auto"/>
        <w:right w:val="none" w:sz="0" w:space="0" w:color="auto"/>
      </w:divBdr>
    </w:div>
    <w:div w:id="1609847318">
      <w:bodyDiv w:val="1"/>
      <w:marLeft w:val="0"/>
      <w:marRight w:val="0"/>
      <w:marTop w:val="0"/>
      <w:marBottom w:val="0"/>
      <w:divBdr>
        <w:top w:val="none" w:sz="0" w:space="0" w:color="auto"/>
        <w:left w:val="none" w:sz="0" w:space="0" w:color="auto"/>
        <w:bottom w:val="none" w:sz="0" w:space="0" w:color="auto"/>
        <w:right w:val="none" w:sz="0" w:space="0" w:color="auto"/>
      </w:divBdr>
      <w:divsChild>
        <w:div w:id="934898231">
          <w:marLeft w:val="0"/>
          <w:marRight w:val="0"/>
          <w:marTop w:val="0"/>
          <w:marBottom w:val="0"/>
          <w:divBdr>
            <w:top w:val="none" w:sz="0" w:space="0" w:color="auto"/>
            <w:left w:val="none" w:sz="0" w:space="0" w:color="auto"/>
            <w:bottom w:val="none" w:sz="0" w:space="0" w:color="auto"/>
            <w:right w:val="none" w:sz="0" w:space="0" w:color="auto"/>
          </w:divBdr>
        </w:div>
      </w:divsChild>
    </w:div>
    <w:div w:id="1611233957">
      <w:bodyDiv w:val="1"/>
      <w:marLeft w:val="0"/>
      <w:marRight w:val="0"/>
      <w:marTop w:val="0"/>
      <w:marBottom w:val="0"/>
      <w:divBdr>
        <w:top w:val="none" w:sz="0" w:space="0" w:color="auto"/>
        <w:left w:val="none" w:sz="0" w:space="0" w:color="auto"/>
        <w:bottom w:val="none" w:sz="0" w:space="0" w:color="auto"/>
        <w:right w:val="none" w:sz="0" w:space="0" w:color="auto"/>
      </w:divBdr>
    </w:div>
    <w:div w:id="1611357889">
      <w:bodyDiv w:val="1"/>
      <w:marLeft w:val="0"/>
      <w:marRight w:val="0"/>
      <w:marTop w:val="0"/>
      <w:marBottom w:val="0"/>
      <w:divBdr>
        <w:top w:val="none" w:sz="0" w:space="0" w:color="auto"/>
        <w:left w:val="none" w:sz="0" w:space="0" w:color="auto"/>
        <w:bottom w:val="none" w:sz="0" w:space="0" w:color="auto"/>
        <w:right w:val="none" w:sz="0" w:space="0" w:color="auto"/>
      </w:divBdr>
    </w:div>
    <w:div w:id="1612391549">
      <w:bodyDiv w:val="1"/>
      <w:marLeft w:val="0"/>
      <w:marRight w:val="0"/>
      <w:marTop w:val="0"/>
      <w:marBottom w:val="0"/>
      <w:divBdr>
        <w:top w:val="none" w:sz="0" w:space="0" w:color="auto"/>
        <w:left w:val="none" w:sz="0" w:space="0" w:color="auto"/>
        <w:bottom w:val="none" w:sz="0" w:space="0" w:color="auto"/>
        <w:right w:val="none" w:sz="0" w:space="0" w:color="auto"/>
      </w:divBdr>
    </w:div>
    <w:div w:id="1612400936">
      <w:bodyDiv w:val="1"/>
      <w:marLeft w:val="0"/>
      <w:marRight w:val="0"/>
      <w:marTop w:val="0"/>
      <w:marBottom w:val="0"/>
      <w:divBdr>
        <w:top w:val="none" w:sz="0" w:space="0" w:color="auto"/>
        <w:left w:val="none" w:sz="0" w:space="0" w:color="auto"/>
        <w:bottom w:val="none" w:sz="0" w:space="0" w:color="auto"/>
        <w:right w:val="none" w:sz="0" w:space="0" w:color="auto"/>
      </w:divBdr>
    </w:div>
    <w:div w:id="1613124106">
      <w:bodyDiv w:val="1"/>
      <w:marLeft w:val="0"/>
      <w:marRight w:val="0"/>
      <w:marTop w:val="0"/>
      <w:marBottom w:val="0"/>
      <w:divBdr>
        <w:top w:val="none" w:sz="0" w:space="0" w:color="auto"/>
        <w:left w:val="none" w:sz="0" w:space="0" w:color="auto"/>
        <w:bottom w:val="none" w:sz="0" w:space="0" w:color="auto"/>
        <w:right w:val="none" w:sz="0" w:space="0" w:color="auto"/>
      </w:divBdr>
    </w:div>
    <w:div w:id="1613125153">
      <w:bodyDiv w:val="1"/>
      <w:marLeft w:val="0"/>
      <w:marRight w:val="0"/>
      <w:marTop w:val="0"/>
      <w:marBottom w:val="0"/>
      <w:divBdr>
        <w:top w:val="none" w:sz="0" w:space="0" w:color="auto"/>
        <w:left w:val="none" w:sz="0" w:space="0" w:color="auto"/>
        <w:bottom w:val="none" w:sz="0" w:space="0" w:color="auto"/>
        <w:right w:val="none" w:sz="0" w:space="0" w:color="auto"/>
      </w:divBdr>
    </w:div>
    <w:div w:id="1613240698">
      <w:bodyDiv w:val="1"/>
      <w:marLeft w:val="0"/>
      <w:marRight w:val="0"/>
      <w:marTop w:val="0"/>
      <w:marBottom w:val="0"/>
      <w:divBdr>
        <w:top w:val="none" w:sz="0" w:space="0" w:color="auto"/>
        <w:left w:val="none" w:sz="0" w:space="0" w:color="auto"/>
        <w:bottom w:val="none" w:sz="0" w:space="0" w:color="auto"/>
        <w:right w:val="none" w:sz="0" w:space="0" w:color="auto"/>
      </w:divBdr>
    </w:div>
    <w:div w:id="1613243899">
      <w:bodyDiv w:val="1"/>
      <w:marLeft w:val="0"/>
      <w:marRight w:val="0"/>
      <w:marTop w:val="0"/>
      <w:marBottom w:val="0"/>
      <w:divBdr>
        <w:top w:val="none" w:sz="0" w:space="0" w:color="auto"/>
        <w:left w:val="none" w:sz="0" w:space="0" w:color="auto"/>
        <w:bottom w:val="none" w:sz="0" w:space="0" w:color="auto"/>
        <w:right w:val="none" w:sz="0" w:space="0" w:color="auto"/>
      </w:divBdr>
    </w:div>
    <w:div w:id="1613781797">
      <w:bodyDiv w:val="1"/>
      <w:marLeft w:val="0"/>
      <w:marRight w:val="0"/>
      <w:marTop w:val="0"/>
      <w:marBottom w:val="0"/>
      <w:divBdr>
        <w:top w:val="none" w:sz="0" w:space="0" w:color="auto"/>
        <w:left w:val="none" w:sz="0" w:space="0" w:color="auto"/>
        <w:bottom w:val="none" w:sz="0" w:space="0" w:color="auto"/>
        <w:right w:val="none" w:sz="0" w:space="0" w:color="auto"/>
      </w:divBdr>
    </w:div>
    <w:div w:id="1613975822">
      <w:bodyDiv w:val="1"/>
      <w:marLeft w:val="0"/>
      <w:marRight w:val="0"/>
      <w:marTop w:val="0"/>
      <w:marBottom w:val="0"/>
      <w:divBdr>
        <w:top w:val="none" w:sz="0" w:space="0" w:color="auto"/>
        <w:left w:val="none" w:sz="0" w:space="0" w:color="auto"/>
        <w:bottom w:val="none" w:sz="0" w:space="0" w:color="auto"/>
        <w:right w:val="none" w:sz="0" w:space="0" w:color="auto"/>
      </w:divBdr>
    </w:div>
    <w:div w:id="1615357519">
      <w:bodyDiv w:val="1"/>
      <w:marLeft w:val="0"/>
      <w:marRight w:val="0"/>
      <w:marTop w:val="0"/>
      <w:marBottom w:val="0"/>
      <w:divBdr>
        <w:top w:val="none" w:sz="0" w:space="0" w:color="auto"/>
        <w:left w:val="none" w:sz="0" w:space="0" w:color="auto"/>
        <w:bottom w:val="none" w:sz="0" w:space="0" w:color="auto"/>
        <w:right w:val="none" w:sz="0" w:space="0" w:color="auto"/>
      </w:divBdr>
    </w:div>
    <w:div w:id="1615400749">
      <w:bodyDiv w:val="1"/>
      <w:marLeft w:val="0"/>
      <w:marRight w:val="0"/>
      <w:marTop w:val="0"/>
      <w:marBottom w:val="0"/>
      <w:divBdr>
        <w:top w:val="none" w:sz="0" w:space="0" w:color="auto"/>
        <w:left w:val="none" w:sz="0" w:space="0" w:color="auto"/>
        <w:bottom w:val="none" w:sz="0" w:space="0" w:color="auto"/>
        <w:right w:val="none" w:sz="0" w:space="0" w:color="auto"/>
      </w:divBdr>
    </w:div>
    <w:div w:id="1615474882">
      <w:bodyDiv w:val="1"/>
      <w:marLeft w:val="0"/>
      <w:marRight w:val="0"/>
      <w:marTop w:val="0"/>
      <w:marBottom w:val="0"/>
      <w:divBdr>
        <w:top w:val="none" w:sz="0" w:space="0" w:color="auto"/>
        <w:left w:val="none" w:sz="0" w:space="0" w:color="auto"/>
        <w:bottom w:val="none" w:sz="0" w:space="0" w:color="auto"/>
        <w:right w:val="none" w:sz="0" w:space="0" w:color="auto"/>
      </w:divBdr>
    </w:div>
    <w:div w:id="1615480020">
      <w:bodyDiv w:val="1"/>
      <w:marLeft w:val="0"/>
      <w:marRight w:val="0"/>
      <w:marTop w:val="0"/>
      <w:marBottom w:val="0"/>
      <w:divBdr>
        <w:top w:val="none" w:sz="0" w:space="0" w:color="auto"/>
        <w:left w:val="none" w:sz="0" w:space="0" w:color="auto"/>
        <w:bottom w:val="none" w:sz="0" w:space="0" w:color="auto"/>
        <w:right w:val="none" w:sz="0" w:space="0" w:color="auto"/>
      </w:divBdr>
    </w:div>
    <w:div w:id="1615743983">
      <w:bodyDiv w:val="1"/>
      <w:marLeft w:val="0"/>
      <w:marRight w:val="0"/>
      <w:marTop w:val="0"/>
      <w:marBottom w:val="0"/>
      <w:divBdr>
        <w:top w:val="none" w:sz="0" w:space="0" w:color="auto"/>
        <w:left w:val="none" w:sz="0" w:space="0" w:color="auto"/>
        <w:bottom w:val="none" w:sz="0" w:space="0" w:color="auto"/>
        <w:right w:val="none" w:sz="0" w:space="0" w:color="auto"/>
      </w:divBdr>
    </w:div>
    <w:div w:id="1615792196">
      <w:bodyDiv w:val="1"/>
      <w:marLeft w:val="0"/>
      <w:marRight w:val="0"/>
      <w:marTop w:val="0"/>
      <w:marBottom w:val="0"/>
      <w:divBdr>
        <w:top w:val="none" w:sz="0" w:space="0" w:color="auto"/>
        <w:left w:val="none" w:sz="0" w:space="0" w:color="auto"/>
        <w:bottom w:val="none" w:sz="0" w:space="0" w:color="auto"/>
        <w:right w:val="none" w:sz="0" w:space="0" w:color="auto"/>
      </w:divBdr>
    </w:div>
    <w:div w:id="1616054843">
      <w:bodyDiv w:val="1"/>
      <w:marLeft w:val="0"/>
      <w:marRight w:val="0"/>
      <w:marTop w:val="0"/>
      <w:marBottom w:val="0"/>
      <w:divBdr>
        <w:top w:val="none" w:sz="0" w:space="0" w:color="auto"/>
        <w:left w:val="none" w:sz="0" w:space="0" w:color="auto"/>
        <w:bottom w:val="none" w:sz="0" w:space="0" w:color="auto"/>
        <w:right w:val="none" w:sz="0" w:space="0" w:color="auto"/>
      </w:divBdr>
    </w:div>
    <w:div w:id="1616250019">
      <w:bodyDiv w:val="1"/>
      <w:marLeft w:val="0"/>
      <w:marRight w:val="0"/>
      <w:marTop w:val="0"/>
      <w:marBottom w:val="0"/>
      <w:divBdr>
        <w:top w:val="none" w:sz="0" w:space="0" w:color="auto"/>
        <w:left w:val="none" w:sz="0" w:space="0" w:color="auto"/>
        <w:bottom w:val="none" w:sz="0" w:space="0" w:color="auto"/>
        <w:right w:val="none" w:sz="0" w:space="0" w:color="auto"/>
      </w:divBdr>
    </w:div>
    <w:div w:id="1616794593">
      <w:bodyDiv w:val="1"/>
      <w:marLeft w:val="0"/>
      <w:marRight w:val="0"/>
      <w:marTop w:val="0"/>
      <w:marBottom w:val="0"/>
      <w:divBdr>
        <w:top w:val="none" w:sz="0" w:space="0" w:color="auto"/>
        <w:left w:val="none" w:sz="0" w:space="0" w:color="auto"/>
        <w:bottom w:val="none" w:sz="0" w:space="0" w:color="auto"/>
        <w:right w:val="none" w:sz="0" w:space="0" w:color="auto"/>
      </w:divBdr>
    </w:div>
    <w:div w:id="1616904839">
      <w:bodyDiv w:val="1"/>
      <w:marLeft w:val="0"/>
      <w:marRight w:val="0"/>
      <w:marTop w:val="0"/>
      <w:marBottom w:val="0"/>
      <w:divBdr>
        <w:top w:val="none" w:sz="0" w:space="0" w:color="auto"/>
        <w:left w:val="none" w:sz="0" w:space="0" w:color="auto"/>
        <w:bottom w:val="none" w:sz="0" w:space="0" w:color="auto"/>
        <w:right w:val="none" w:sz="0" w:space="0" w:color="auto"/>
      </w:divBdr>
    </w:div>
    <w:div w:id="1617252533">
      <w:bodyDiv w:val="1"/>
      <w:marLeft w:val="0"/>
      <w:marRight w:val="0"/>
      <w:marTop w:val="0"/>
      <w:marBottom w:val="0"/>
      <w:divBdr>
        <w:top w:val="none" w:sz="0" w:space="0" w:color="auto"/>
        <w:left w:val="none" w:sz="0" w:space="0" w:color="auto"/>
        <w:bottom w:val="none" w:sz="0" w:space="0" w:color="auto"/>
        <w:right w:val="none" w:sz="0" w:space="0" w:color="auto"/>
      </w:divBdr>
    </w:div>
    <w:div w:id="1617447674">
      <w:bodyDiv w:val="1"/>
      <w:marLeft w:val="0"/>
      <w:marRight w:val="0"/>
      <w:marTop w:val="0"/>
      <w:marBottom w:val="0"/>
      <w:divBdr>
        <w:top w:val="none" w:sz="0" w:space="0" w:color="auto"/>
        <w:left w:val="none" w:sz="0" w:space="0" w:color="auto"/>
        <w:bottom w:val="none" w:sz="0" w:space="0" w:color="auto"/>
        <w:right w:val="none" w:sz="0" w:space="0" w:color="auto"/>
      </w:divBdr>
    </w:div>
    <w:div w:id="1617518299">
      <w:bodyDiv w:val="1"/>
      <w:marLeft w:val="0"/>
      <w:marRight w:val="0"/>
      <w:marTop w:val="0"/>
      <w:marBottom w:val="0"/>
      <w:divBdr>
        <w:top w:val="none" w:sz="0" w:space="0" w:color="auto"/>
        <w:left w:val="none" w:sz="0" w:space="0" w:color="auto"/>
        <w:bottom w:val="none" w:sz="0" w:space="0" w:color="auto"/>
        <w:right w:val="none" w:sz="0" w:space="0" w:color="auto"/>
      </w:divBdr>
    </w:div>
    <w:div w:id="1618024341">
      <w:bodyDiv w:val="1"/>
      <w:marLeft w:val="0"/>
      <w:marRight w:val="0"/>
      <w:marTop w:val="0"/>
      <w:marBottom w:val="0"/>
      <w:divBdr>
        <w:top w:val="none" w:sz="0" w:space="0" w:color="auto"/>
        <w:left w:val="none" w:sz="0" w:space="0" w:color="auto"/>
        <w:bottom w:val="none" w:sz="0" w:space="0" w:color="auto"/>
        <w:right w:val="none" w:sz="0" w:space="0" w:color="auto"/>
      </w:divBdr>
    </w:div>
    <w:div w:id="1618100974">
      <w:bodyDiv w:val="1"/>
      <w:marLeft w:val="0"/>
      <w:marRight w:val="0"/>
      <w:marTop w:val="0"/>
      <w:marBottom w:val="0"/>
      <w:divBdr>
        <w:top w:val="none" w:sz="0" w:space="0" w:color="auto"/>
        <w:left w:val="none" w:sz="0" w:space="0" w:color="auto"/>
        <w:bottom w:val="none" w:sz="0" w:space="0" w:color="auto"/>
        <w:right w:val="none" w:sz="0" w:space="0" w:color="auto"/>
      </w:divBdr>
    </w:div>
    <w:div w:id="1619021308">
      <w:bodyDiv w:val="1"/>
      <w:marLeft w:val="0"/>
      <w:marRight w:val="0"/>
      <w:marTop w:val="0"/>
      <w:marBottom w:val="0"/>
      <w:divBdr>
        <w:top w:val="none" w:sz="0" w:space="0" w:color="auto"/>
        <w:left w:val="none" w:sz="0" w:space="0" w:color="auto"/>
        <w:bottom w:val="none" w:sz="0" w:space="0" w:color="auto"/>
        <w:right w:val="none" w:sz="0" w:space="0" w:color="auto"/>
      </w:divBdr>
    </w:div>
    <w:div w:id="1619138723">
      <w:bodyDiv w:val="1"/>
      <w:marLeft w:val="0"/>
      <w:marRight w:val="0"/>
      <w:marTop w:val="0"/>
      <w:marBottom w:val="0"/>
      <w:divBdr>
        <w:top w:val="none" w:sz="0" w:space="0" w:color="auto"/>
        <w:left w:val="none" w:sz="0" w:space="0" w:color="auto"/>
        <w:bottom w:val="none" w:sz="0" w:space="0" w:color="auto"/>
        <w:right w:val="none" w:sz="0" w:space="0" w:color="auto"/>
      </w:divBdr>
    </w:div>
    <w:div w:id="1619294858">
      <w:bodyDiv w:val="1"/>
      <w:marLeft w:val="0"/>
      <w:marRight w:val="0"/>
      <w:marTop w:val="0"/>
      <w:marBottom w:val="0"/>
      <w:divBdr>
        <w:top w:val="none" w:sz="0" w:space="0" w:color="auto"/>
        <w:left w:val="none" w:sz="0" w:space="0" w:color="auto"/>
        <w:bottom w:val="none" w:sz="0" w:space="0" w:color="auto"/>
        <w:right w:val="none" w:sz="0" w:space="0" w:color="auto"/>
      </w:divBdr>
    </w:div>
    <w:div w:id="1619413989">
      <w:bodyDiv w:val="1"/>
      <w:marLeft w:val="0"/>
      <w:marRight w:val="0"/>
      <w:marTop w:val="0"/>
      <w:marBottom w:val="0"/>
      <w:divBdr>
        <w:top w:val="none" w:sz="0" w:space="0" w:color="auto"/>
        <w:left w:val="none" w:sz="0" w:space="0" w:color="auto"/>
        <w:bottom w:val="none" w:sz="0" w:space="0" w:color="auto"/>
        <w:right w:val="none" w:sz="0" w:space="0" w:color="auto"/>
      </w:divBdr>
    </w:div>
    <w:div w:id="1620526778">
      <w:bodyDiv w:val="1"/>
      <w:marLeft w:val="0"/>
      <w:marRight w:val="0"/>
      <w:marTop w:val="0"/>
      <w:marBottom w:val="0"/>
      <w:divBdr>
        <w:top w:val="none" w:sz="0" w:space="0" w:color="auto"/>
        <w:left w:val="none" w:sz="0" w:space="0" w:color="auto"/>
        <w:bottom w:val="none" w:sz="0" w:space="0" w:color="auto"/>
        <w:right w:val="none" w:sz="0" w:space="0" w:color="auto"/>
      </w:divBdr>
    </w:div>
    <w:div w:id="1621456337">
      <w:bodyDiv w:val="1"/>
      <w:marLeft w:val="0"/>
      <w:marRight w:val="0"/>
      <w:marTop w:val="0"/>
      <w:marBottom w:val="0"/>
      <w:divBdr>
        <w:top w:val="none" w:sz="0" w:space="0" w:color="auto"/>
        <w:left w:val="none" w:sz="0" w:space="0" w:color="auto"/>
        <w:bottom w:val="none" w:sz="0" w:space="0" w:color="auto"/>
        <w:right w:val="none" w:sz="0" w:space="0" w:color="auto"/>
      </w:divBdr>
    </w:div>
    <w:div w:id="1621570836">
      <w:bodyDiv w:val="1"/>
      <w:marLeft w:val="0"/>
      <w:marRight w:val="0"/>
      <w:marTop w:val="0"/>
      <w:marBottom w:val="0"/>
      <w:divBdr>
        <w:top w:val="none" w:sz="0" w:space="0" w:color="auto"/>
        <w:left w:val="none" w:sz="0" w:space="0" w:color="auto"/>
        <w:bottom w:val="none" w:sz="0" w:space="0" w:color="auto"/>
        <w:right w:val="none" w:sz="0" w:space="0" w:color="auto"/>
      </w:divBdr>
    </w:div>
    <w:div w:id="1621960175">
      <w:bodyDiv w:val="1"/>
      <w:marLeft w:val="0"/>
      <w:marRight w:val="0"/>
      <w:marTop w:val="0"/>
      <w:marBottom w:val="0"/>
      <w:divBdr>
        <w:top w:val="none" w:sz="0" w:space="0" w:color="auto"/>
        <w:left w:val="none" w:sz="0" w:space="0" w:color="auto"/>
        <w:bottom w:val="none" w:sz="0" w:space="0" w:color="auto"/>
        <w:right w:val="none" w:sz="0" w:space="0" w:color="auto"/>
      </w:divBdr>
    </w:div>
    <w:div w:id="1624189415">
      <w:bodyDiv w:val="1"/>
      <w:marLeft w:val="0"/>
      <w:marRight w:val="0"/>
      <w:marTop w:val="0"/>
      <w:marBottom w:val="0"/>
      <w:divBdr>
        <w:top w:val="none" w:sz="0" w:space="0" w:color="auto"/>
        <w:left w:val="none" w:sz="0" w:space="0" w:color="auto"/>
        <w:bottom w:val="none" w:sz="0" w:space="0" w:color="auto"/>
        <w:right w:val="none" w:sz="0" w:space="0" w:color="auto"/>
      </w:divBdr>
    </w:div>
    <w:div w:id="1624194129">
      <w:marLeft w:val="0"/>
      <w:marRight w:val="0"/>
      <w:marTop w:val="0"/>
      <w:marBottom w:val="0"/>
      <w:divBdr>
        <w:top w:val="none" w:sz="0" w:space="0" w:color="auto"/>
        <w:left w:val="none" w:sz="0" w:space="0" w:color="auto"/>
        <w:bottom w:val="none" w:sz="0" w:space="0" w:color="auto"/>
        <w:right w:val="none" w:sz="0" w:space="0" w:color="auto"/>
      </w:divBdr>
    </w:div>
    <w:div w:id="1624194130">
      <w:marLeft w:val="0"/>
      <w:marRight w:val="0"/>
      <w:marTop w:val="0"/>
      <w:marBottom w:val="0"/>
      <w:divBdr>
        <w:top w:val="none" w:sz="0" w:space="0" w:color="auto"/>
        <w:left w:val="none" w:sz="0" w:space="0" w:color="auto"/>
        <w:bottom w:val="none" w:sz="0" w:space="0" w:color="auto"/>
        <w:right w:val="none" w:sz="0" w:space="0" w:color="auto"/>
      </w:divBdr>
    </w:div>
    <w:div w:id="1624194131">
      <w:marLeft w:val="0"/>
      <w:marRight w:val="0"/>
      <w:marTop w:val="0"/>
      <w:marBottom w:val="0"/>
      <w:divBdr>
        <w:top w:val="none" w:sz="0" w:space="0" w:color="auto"/>
        <w:left w:val="none" w:sz="0" w:space="0" w:color="auto"/>
        <w:bottom w:val="none" w:sz="0" w:space="0" w:color="auto"/>
        <w:right w:val="none" w:sz="0" w:space="0" w:color="auto"/>
      </w:divBdr>
    </w:div>
    <w:div w:id="1624194132">
      <w:marLeft w:val="0"/>
      <w:marRight w:val="0"/>
      <w:marTop w:val="0"/>
      <w:marBottom w:val="0"/>
      <w:divBdr>
        <w:top w:val="none" w:sz="0" w:space="0" w:color="auto"/>
        <w:left w:val="none" w:sz="0" w:space="0" w:color="auto"/>
        <w:bottom w:val="none" w:sz="0" w:space="0" w:color="auto"/>
        <w:right w:val="none" w:sz="0" w:space="0" w:color="auto"/>
      </w:divBdr>
    </w:div>
    <w:div w:id="1624194133">
      <w:marLeft w:val="0"/>
      <w:marRight w:val="0"/>
      <w:marTop w:val="0"/>
      <w:marBottom w:val="0"/>
      <w:divBdr>
        <w:top w:val="none" w:sz="0" w:space="0" w:color="auto"/>
        <w:left w:val="none" w:sz="0" w:space="0" w:color="auto"/>
        <w:bottom w:val="none" w:sz="0" w:space="0" w:color="auto"/>
        <w:right w:val="none" w:sz="0" w:space="0" w:color="auto"/>
      </w:divBdr>
    </w:div>
    <w:div w:id="1624194134">
      <w:marLeft w:val="0"/>
      <w:marRight w:val="0"/>
      <w:marTop w:val="0"/>
      <w:marBottom w:val="0"/>
      <w:divBdr>
        <w:top w:val="none" w:sz="0" w:space="0" w:color="auto"/>
        <w:left w:val="none" w:sz="0" w:space="0" w:color="auto"/>
        <w:bottom w:val="none" w:sz="0" w:space="0" w:color="auto"/>
        <w:right w:val="none" w:sz="0" w:space="0" w:color="auto"/>
      </w:divBdr>
    </w:div>
    <w:div w:id="1624194135">
      <w:marLeft w:val="0"/>
      <w:marRight w:val="0"/>
      <w:marTop w:val="0"/>
      <w:marBottom w:val="0"/>
      <w:divBdr>
        <w:top w:val="none" w:sz="0" w:space="0" w:color="auto"/>
        <w:left w:val="none" w:sz="0" w:space="0" w:color="auto"/>
        <w:bottom w:val="none" w:sz="0" w:space="0" w:color="auto"/>
        <w:right w:val="none" w:sz="0" w:space="0" w:color="auto"/>
      </w:divBdr>
    </w:div>
    <w:div w:id="1624194136">
      <w:marLeft w:val="0"/>
      <w:marRight w:val="0"/>
      <w:marTop w:val="0"/>
      <w:marBottom w:val="0"/>
      <w:divBdr>
        <w:top w:val="none" w:sz="0" w:space="0" w:color="auto"/>
        <w:left w:val="none" w:sz="0" w:space="0" w:color="auto"/>
        <w:bottom w:val="none" w:sz="0" w:space="0" w:color="auto"/>
        <w:right w:val="none" w:sz="0" w:space="0" w:color="auto"/>
      </w:divBdr>
    </w:div>
    <w:div w:id="1624194137">
      <w:marLeft w:val="0"/>
      <w:marRight w:val="0"/>
      <w:marTop w:val="0"/>
      <w:marBottom w:val="0"/>
      <w:divBdr>
        <w:top w:val="none" w:sz="0" w:space="0" w:color="auto"/>
        <w:left w:val="none" w:sz="0" w:space="0" w:color="auto"/>
        <w:bottom w:val="none" w:sz="0" w:space="0" w:color="auto"/>
        <w:right w:val="none" w:sz="0" w:space="0" w:color="auto"/>
      </w:divBdr>
    </w:div>
    <w:div w:id="1624194138">
      <w:marLeft w:val="0"/>
      <w:marRight w:val="0"/>
      <w:marTop w:val="0"/>
      <w:marBottom w:val="0"/>
      <w:divBdr>
        <w:top w:val="none" w:sz="0" w:space="0" w:color="auto"/>
        <w:left w:val="none" w:sz="0" w:space="0" w:color="auto"/>
        <w:bottom w:val="none" w:sz="0" w:space="0" w:color="auto"/>
        <w:right w:val="none" w:sz="0" w:space="0" w:color="auto"/>
      </w:divBdr>
    </w:div>
    <w:div w:id="1624194139">
      <w:marLeft w:val="0"/>
      <w:marRight w:val="0"/>
      <w:marTop w:val="0"/>
      <w:marBottom w:val="0"/>
      <w:divBdr>
        <w:top w:val="none" w:sz="0" w:space="0" w:color="auto"/>
        <w:left w:val="none" w:sz="0" w:space="0" w:color="auto"/>
        <w:bottom w:val="none" w:sz="0" w:space="0" w:color="auto"/>
        <w:right w:val="none" w:sz="0" w:space="0" w:color="auto"/>
      </w:divBdr>
    </w:div>
    <w:div w:id="1624194140">
      <w:marLeft w:val="0"/>
      <w:marRight w:val="0"/>
      <w:marTop w:val="0"/>
      <w:marBottom w:val="0"/>
      <w:divBdr>
        <w:top w:val="none" w:sz="0" w:space="0" w:color="auto"/>
        <w:left w:val="none" w:sz="0" w:space="0" w:color="auto"/>
        <w:bottom w:val="none" w:sz="0" w:space="0" w:color="auto"/>
        <w:right w:val="none" w:sz="0" w:space="0" w:color="auto"/>
      </w:divBdr>
    </w:div>
    <w:div w:id="1624194141">
      <w:marLeft w:val="0"/>
      <w:marRight w:val="0"/>
      <w:marTop w:val="0"/>
      <w:marBottom w:val="0"/>
      <w:divBdr>
        <w:top w:val="none" w:sz="0" w:space="0" w:color="auto"/>
        <w:left w:val="none" w:sz="0" w:space="0" w:color="auto"/>
        <w:bottom w:val="none" w:sz="0" w:space="0" w:color="auto"/>
        <w:right w:val="none" w:sz="0" w:space="0" w:color="auto"/>
      </w:divBdr>
    </w:div>
    <w:div w:id="1624194142">
      <w:marLeft w:val="0"/>
      <w:marRight w:val="0"/>
      <w:marTop w:val="0"/>
      <w:marBottom w:val="0"/>
      <w:divBdr>
        <w:top w:val="none" w:sz="0" w:space="0" w:color="auto"/>
        <w:left w:val="none" w:sz="0" w:space="0" w:color="auto"/>
        <w:bottom w:val="none" w:sz="0" w:space="0" w:color="auto"/>
        <w:right w:val="none" w:sz="0" w:space="0" w:color="auto"/>
      </w:divBdr>
    </w:div>
    <w:div w:id="1624194143">
      <w:marLeft w:val="0"/>
      <w:marRight w:val="0"/>
      <w:marTop w:val="0"/>
      <w:marBottom w:val="0"/>
      <w:divBdr>
        <w:top w:val="none" w:sz="0" w:space="0" w:color="auto"/>
        <w:left w:val="none" w:sz="0" w:space="0" w:color="auto"/>
        <w:bottom w:val="none" w:sz="0" w:space="0" w:color="auto"/>
        <w:right w:val="none" w:sz="0" w:space="0" w:color="auto"/>
      </w:divBdr>
    </w:div>
    <w:div w:id="1624194144">
      <w:marLeft w:val="0"/>
      <w:marRight w:val="0"/>
      <w:marTop w:val="0"/>
      <w:marBottom w:val="0"/>
      <w:divBdr>
        <w:top w:val="none" w:sz="0" w:space="0" w:color="auto"/>
        <w:left w:val="none" w:sz="0" w:space="0" w:color="auto"/>
        <w:bottom w:val="none" w:sz="0" w:space="0" w:color="auto"/>
        <w:right w:val="none" w:sz="0" w:space="0" w:color="auto"/>
      </w:divBdr>
    </w:div>
    <w:div w:id="1624194145">
      <w:marLeft w:val="0"/>
      <w:marRight w:val="0"/>
      <w:marTop w:val="0"/>
      <w:marBottom w:val="0"/>
      <w:divBdr>
        <w:top w:val="none" w:sz="0" w:space="0" w:color="auto"/>
        <w:left w:val="none" w:sz="0" w:space="0" w:color="auto"/>
        <w:bottom w:val="none" w:sz="0" w:space="0" w:color="auto"/>
        <w:right w:val="none" w:sz="0" w:space="0" w:color="auto"/>
      </w:divBdr>
    </w:div>
    <w:div w:id="1624194146">
      <w:marLeft w:val="0"/>
      <w:marRight w:val="0"/>
      <w:marTop w:val="0"/>
      <w:marBottom w:val="0"/>
      <w:divBdr>
        <w:top w:val="none" w:sz="0" w:space="0" w:color="auto"/>
        <w:left w:val="none" w:sz="0" w:space="0" w:color="auto"/>
        <w:bottom w:val="none" w:sz="0" w:space="0" w:color="auto"/>
        <w:right w:val="none" w:sz="0" w:space="0" w:color="auto"/>
      </w:divBdr>
    </w:div>
    <w:div w:id="1624194147">
      <w:marLeft w:val="0"/>
      <w:marRight w:val="0"/>
      <w:marTop w:val="0"/>
      <w:marBottom w:val="0"/>
      <w:divBdr>
        <w:top w:val="none" w:sz="0" w:space="0" w:color="auto"/>
        <w:left w:val="none" w:sz="0" w:space="0" w:color="auto"/>
        <w:bottom w:val="none" w:sz="0" w:space="0" w:color="auto"/>
        <w:right w:val="none" w:sz="0" w:space="0" w:color="auto"/>
      </w:divBdr>
    </w:div>
    <w:div w:id="1624194148">
      <w:marLeft w:val="0"/>
      <w:marRight w:val="0"/>
      <w:marTop w:val="0"/>
      <w:marBottom w:val="0"/>
      <w:divBdr>
        <w:top w:val="none" w:sz="0" w:space="0" w:color="auto"/>
        <w:left w:val="none" w:sz="0" w:space="0" w:color="auto"/>
        <w:bottom w:val="none" w:sz="0" w:space="0" w:color="auto"/>
        <w:right w:val="none" w:sz="0" w:space="0" w:color="auto"/>
      </w:divBdr>
    </w:div>
    <w:div w:id="1624194149">
      <w:marLeft w:val="0"/>
      <w:marRight w:val="0"/>
      <w:marTop w:val="0"/>
      <w:marBottom w:val="0"/>
      <w:divBdr>
        <w:top w:val="none" w:sz="0" w:space="0" w:color="auto"/>
        <w:left w:val="none" w:sz="0" w:space="0" w:color="auto"/>
        <w:bottom w:val="none" w:sz="0" w:space="0" w:color="auto"/>
        <w:right w:val="none" w:sz="0" w:space="0" w:color="auto"/>
      </w:divBdr>
    </w:div>
    <w:div w:id="1624194150">
      <w:marLeft w:val="0"/>
      <w:marRight w:val="0"/>
      <w:marTop w:val="0"/>
      <w:marBottom w:val="0"/>
      <w:divBdr>
        <w:top w:val="none" w:sz="0" w:space="0" w:color="auto"/>
        <w:left w:val="none" w:sz="0" w:space="0" w:color="auto"/>
        <w:bottom w:val="none" w:sz="0" w:space="0" w:color="auto"/>
        <w:right w:val="none" w:sz="0" w:space="0" w:color="auto"/>
      </w:divBdr>
    </w:div>
    <w:div w:id="1624194151">
      <w:marLeft w:val="0"/>
      <w:marRight w:val="0"/>
      <w:marTop w:val="0"/>
      <w:marBottom w:val="0"/>
      <w:divBdr>
        <w:top w:val="none" w:sz="0" w:space="0" w:color="auto"/>
        <w:left w:val="none" w:sz="0" w:space="0" w:color="auto"/>
        <w:bottom w:val="none" w:sz="0" w:space="0" w:color="auto"/>
        <w:right w:val="none" w:sz="0" w:space="0" w:color="auto"/>
      </w:divBdr>
    </w:div>
    <w:div w:id="1624194152">
      <w:marLeft w:val="0"/>
      <w:marRight w:val="0"/>
      <w:marTop w:val="0"/>
      <w:marBottom w:val="0"/>
      <w:divBdr>
        <w:top w:val="none" w:sz="0" w:space="0" w:color="auto"/>
        <w:left w:val="none" w:sz="0" w:space="0" w:color="auto"/>
        <w:bottom w:val="none" w:sz="0" w:space="0" w:color="auto"/>
        <w:right w:val="none" w:sz="0" w:space="0" w:color="auto"/>
      </w:divBdr>
    </w:div>
    <w:div w:id="1624194153">
      <w:marLeft w:val="0"/>
      <w:marRight w:val="0"/>
      <w:marTop w:val="0"/>
      <w:marBottom w:val="0"/>
      <w:divBdr>
        <w:top w:val="none" w:sz="0" w:space="0" w:color="auto"/>
        <w:left w:val="none" w:sz="0" w:space="0" w:color="auto"/>
        <w:bottom w:val="none" w:sz="0" w:space="0" w:color="auto"/>
        <w:right w:val="none" w:sz="0" w:space="0" w:color="auto"/>
      </w:divBdr>
    </w:div>
    <w:div w:id="1624194154">
      <w:marLeft w:val="0"/>
      <w:marRight w:val="0"/>
      <w:marTop w:val="0"/>
      <w:marBottom w:val="0"/>
      <w:divBdr>
        <w:top w:val="none" w:sz="0" w:space="0" w:color="auto"/>
        <w:left w:val="none" w:sz="0" w:space="0" w:color="auto"/>
        <w:bottom w:val="none" w:sz="0" w:space="0" w:color="auto"/>
        <w:right w:val="none" w:sz="0" w:space="0" w:color="auto"/>
      </w:divBdr>
    </w:div>
    <w:div w:id="1624194155">
      <w:marLeft w:val="0"/>
      <w:marRight w:val="0"/>
      <w:marTop w:val="0"/>
      <w:marBottom w:val="0"/>
      <w:divBdr>
        <w:top w:val="none" w:sz="0" w:space="0" w:color="auto"/>
        <w:left w:val="none" w:sz="0" w:space="0" w:color="auto"/>
        <w:bottom w:val="none" w:sz="0" w:space="0" w:color="auto"/>
        <w:right w:val="none" w:sz="0" w:space="0" w:color="auto"/>
      </w:divBdr>
    </w:div>
    <w:div w:id="1624194156">
      <w:marLeft w:val="0"/>
      <w:marRight w:val="0"/>
      <w:marTop w:val="0"/>
      <w:marBottom w:val="0"/>
      <w:divBdr>
        <w:top w:val="none" w:sz="0" w:space="0" w:color="auto"/>
        <w:left w:val="none" w:sz="0" w:space="0" w:color="auto"/>
        <w:bottom w:val="none" w:sz="0" w:space="0" w:color="auto"/>
        <w:right w:val="none" w:sz="0" w:space="0" w:color="auto"/>
      </w:divBdr>
    </w:div>
    <w:div w:id="1624194157">
      <w:marLeft w:val="0"/>
      <w:marRight w:val="0"/>
      <w:marTop w:val="0"/>
      <w:marBottom w:val="0"/>
      <w:divBdr>
        <w:top w:val="none" w:sz="0" w:space="0" w:color="auto"/>
        <w:left w:val="none" w:sz="0" w:space="0" w:color="auto"/>
        <w:bottom w:val="none" w:sz="0" w:space="0" w:color="auto"/>
        <w:right w:val="none" w:sz="0" w:space="0" w:color="auto"/>
      </w:divBdr>
    </w:div>
    <w:div w:id="1624194158">
      <w:marLeft w:val="0"/>
      <w:marRight w:val="0"/>
      <w:marTop w:val="0"/>
      <w:marBottom w:val="0"/>
      <w:divBdr>
        <w:top w:val="none" w:sz="0" w:space="0" w:color="auto"/>
        <w:left w:val="none" w:sz="0" w:space="0" w:color="auto"/>
        <w:bottom w:val="none" w:sz="0" w:space="0" w:color="auto"/>
        <w:right w:val="none" w:sz="0" w:space="0" w:color="auto"/>
      </w:divBdr>
    </w:div>
    <w:div w:id="1624194159">
      <w:marLeft w:val="0"/>
      <w:marRight w:val="0"/>
      <w:marTop w:val="0"/>
      <w:marBottom w:val="0"/>
      <w:divBdr>
        <w:top w:val="none" w:sz="0" w:space="0" w:color="auto"/>
        <w:left w:val="none" w:sz="0" w:space="0" w:color="auto"/>
        <w:bottom w:val="none" w:sz="0" w:space="0" w:color="auto"/>
        <w:right w:val="none" w:sz="0" w:space="0" w:color="auto"/>
      </w:divBdr>
    </w:div>
    <w:div w:id="1624194160">
      <w:marLeft w:val="0"/>
      <w:marRight w:val="0"/>
      <w:marTop w:val="0"/>
      <w:marBottom w:val="0"/>
      <w:divBdr>
        <w:top w:val="none" w:sz="0" w:space="0" w:color="auto"/>
        <w:left w:val="none" w:sz="0" w:space="0" w:color="auto"/>
        <w:bottom w:val="none" w:sz="0" w:space="0" w:color="auto"/>
        <w:right w:val="none" w:sz="0" w:space="0" w:color="auto"/>
      </w:divBdr>
    </w:div>
    <w:div w:id="1624194161">
      <w:marLeft w:val="0"/>
      <w:marRight w:val="0"/>
      <w:marTop w:val="0"/>
      <w:marBottom w:val="0"/>
      <w:divBdr>
        <w:top w:val="none" w:sz="0" w:space="0" w:color="auto"/>
        <w:left w:val="none" w:sz="0" w:space="0" w:color="auto"/>
        <w:bottom w:val="none" w:sz="0" w:space="0" w:color="auto"/>
        <w:right w:val="none" w:sz="0" w:space="0" w:color="auto"/>
      </w:divBdr>
    </w:div>
    <w:div w:id="1624194162">
      <w:marLeft w:val="0"/>
      <w:marRight w:val="0"/>
      <w:marTop w:val="0"/>
      <w:marBottom w:val="0"/>
      <w:divBdr>
        <w:top w:val="none" w:sz="0" w:space="0" w:color="auto"/>
        <w:left w:val="none" w:sz="0" w:space="0" w:color="auto"/>
        <w:bottom w:val="none" w:sz="0" w:space="0" w:color="auto"/>
        <w:right w:val="none" w:sz="0" w:space="0" w:color="auto"/>
      </w:divBdr>
    </w:div>
    <w:div w:id="1624194163">
      <w:marLeft w:val="0"/>
      <w:marRight w:val="0"/>
      <w:marTop w:val="0"/>
      <w:marBottom w:val="0"/>
      <w:divBdr>
        <w:top w:val="none" w:sz="0" w:space="0" w:color="auto"/>
        <w:left w:val="none" w:sz="0" w:space="0" w:color="auto"/>
        <w:bottom w:val="none" w:sz="0" w:space="0" w:color="auto"/>
        <w:right w:val="none" w:sz="0" w:space="0" w:color="auto"/>
      </w:divBdr>
    </w:div>
    <w:div w:id="1624194164">
      <w:marLeft w:val="0"/>
      <w:marRight w:val="0"/>
      <w:marTop w:val="0"/>
      <w:marBottom w:val="0"/>
      <w:divBdr>
        <w:top w:val="none" w:sz="0" w:space="0" w:color="auto"/>
        <w:left w:val="none" w:sz="0" w:space="0" w:color="auto"/>
        <w:bottom w:val="none" w:sz="0" w:space="0" w:color="auto"/>
        <w:right w:val="none" w:sz="0" w:space="0" w:color="auto"/>
      </w:divBdr>
    </w:div>
    <w:div w:id="1624194165">
      <w:marLeft w:val="0"/>
      <w:marRight w:val="0"/>
      <w:marTop w:val="0"/>
      <w:marBottom w:val="0"/>
      <w:divBdr>
        <w:top w:val="none" w:sz="0" w:space="0" w:color="auto"/>
        <w:left w:val="none" w:sz="0" w:space="0" w:color="auto"/>
        <w:bottom w:val="none" w:sz="0" w:space="0" w:color="auto"/>
        <w:right w:val="none" w:sz="0" w:space="0" w:color="auto"/>
      </w:divBdr>
    </w:div>
    <w:div w:id="1624194166">
      <w:marLeft w:val="0"/>
      <w:marRight w:val="0"/>
      <w:marTop w:val="0"/>
      <w:marBottom w:val="0"/>
      <w:divBdr>
        <w:top w:val="none" w:sz="0" w:space="0" w:color="auto"/>
        <w:left w:val="none" w:sz="0" w:space="0" w:color="auto"/>
        <w:bottom w:val="none" w:sz="0" w:space="0" w:color="auto"/>
        <w:right w:val="none" w:sz="0" w:space="0" w:color="auto"/>
      </w:divBdr>
    </w:div>
    <w:div w:id="1624194167">
      <w:marLeft w:val="0"/>
      <w:marRight w:val="0"/>
      <w:marTop w:val="0"/>
      <w:marBottom w:val="0"/>
      <w:divBdr>
        <w:top w:val="none" w:sz="0" w:space="0" w:color="auto"/>
        <w:left w:val="none" w:sz="0" w:space="0" w:color="auto"/>
        <w:bottom w:val="none" w:sz="0" w:space="0" w:color="auto"/>
        <w:right w:val="none" w:sz="0" w:space="0" w:color="auto"/>
      </w:divBdr>
    </w:div>
    <w:div w:id="1624194168">
      <w:marLeft w:val="0"/>
      <w:marRight w:val="0"/>
      <w:marTop w:val="0"/>
      <w:marBottom w:val="0"/>
      <w:divBdr>
        <w:top w:val="none" w:sz="0" w:space="0" w:color="auto"/>
        <w:left w:val="none" w:sz="0" w:space="0" w:color="auto"/>
        <w:bottom w:val="none" w:sz="0" w:space="0" w:color="auto"/>
        <w:right w:val="none" w:sz="0" w:space="0" w:color="auto"/>
      </w:divBdr>
    </w:div>
    <w:div w:id="1624194169">
      <w:marLeft w:val="0"/>
      <w:marRight w:val="0"/>
      <w:marTop w:val="0"/>
      <w:marBottom w:val="0"/>
      <w:divBdr>
        <w:top w:val="none" w:sz="0" w:space="0" w:color="auto"/>
        <w:left w:val="none" w:sz="0" w:space="0" w:color="auto"/>
        <w:bottom w:val="none" w:sz="0" w:space="0" w:color="auto"/>
        <w:right w:val="none" w:sz="0" w:space="0" w:color="auto"/>
      </w:divBdr>
    </w:div>
    <w:div w:id="1624194170">
      <w:marLeft w:val="0"/>
      <w:marRight w:val="0"/>
      <w:marTop w:val="0"/>
      <w:marBottom w:val="0"/>
      <w:divBdr>
        <w:top w:val="none" w:sz="0" w:space="0" w:color="auto"/>
        <w:left w:val="none" w:sz="0" w:space="0" w:color="auto"/>
        <w:bottom w:val="none" w:sz="0" w:space="0" w:color="auto"/>
        <w:right w:val="none" w:sz="0" w:space="0" w:color="auto"/>
      </w:divBdr>
    </w:div>
    <w:div w:id="1624194171">
      <w:marLeft w:val="0"/>
      <w:marRight w:val="0"/>
      <w:marTop w:val="0"/>
      <w:marBottom w:val="0"/>
      <w:divBdr>
        <w:top w:val="none" w:sz="0" w:space="0" w:color="auto"/>
        <w:left w:val="none" w:sz="0" w:space="0" w:color="auto"/>
        <w:bottom w:val="none" w:sz="0" w:space="0" w:color="auto"/>
        <w:right w:val="none" w:sz="0" w:space="0" w:color="auto"/>
      </w:divBdr>
    </w:div>
    <w:div w:id="1624194172">
      <w:marLeft w:val="0"/>
      <w:marRight w:val="0"/>
      <w:marTop w:val="0"/>
      <w:marBottom w:val="0"/>
      <w:divBdr>
        <w:top w:val="none" w:sz="0" w:space="0" w:color="auto"/>
        <w:left w:val="none" w:sz="0" w:space="0" w:color="auto"/>
        <w:bottom w:val="none" w:sz="0" w:space="0" w:color="auto"/>
        <w:right w:val="none" w:sz="0" w:space="0" w:color="auto"/>
      </w:divBdr>
    </w:div>
    <w:div w:id="1624194173">
      <w:marLeft w:val="0"/>
      <w:marRight w:val="0"/>
      <w:marTop w:val="0"/>
      <w:marBottom w:val="0"/>
      <w:divBdr>
        <w:top w:val="none" w:sz="0" w:space="0" w:color="auto"/>
        <w:left w:val="none" w:sz="0" w:space="0" w:color="auto"/>
        <w:bottom w:val="none" w:sz="0" w:space="0" w:color="auto"/>
        <w:right w:val="none" w:sz="0" w:space="0" w:color="auto"/>
      </w:divBdr>
    </w:div>
    <w:div w:id="1624194174">
      <w:marLeft w:val="0"/>
      <w:marRight w:val="0"/>
      <w:marTop w:val="0"/>
      <w:marBottom w:val="0"/>
      <w:divBdr>
        <w:top w:val="none" w:sz="0" w:space="0" w:color="auto"/>
        <w:left w:val="none" w:sz="0" w:space="0" w:color="auto"/>
        <w:bottom w:val="none" w:sz="0" w:space="0" w:color="auto"/>
        <w:right w:val="none" w:sz="0" w:space="0" w:color="auto"/>
      </w:divBdr>
    </w:div>
    <w:div w:id="1624194175">
      <w:marLeft w:val="0"/>
      <w:marRight w:val="0"/>
      <w:marTop w:val="0"/>
      <w:marBottom w:val="0"/>
      <w:divBdr>
        <w:top w:val="none" w:sz="0" w:space="0" w:color="auto"/>
        <w:left w:val="none" w:sz="0" w:space="0" w:color="auto"/>
        <w:bottom w:val="none" w:sz="0" w:space="0" w:color="auto"/>
        <w:right w:val="none" w:sz="0" w:space="0" w:color="auto"/>
      </w:divBdr>
    </w:div>
    <w:div w:id="1624194176">
      <w:marLeft w:val="0"/>
      <w:marRight w:val="0"/>
      <w:marTop w:val="0"/>
      <w:marBottom w:val="0"/>
      <w:divBdr>
        <w:top w:val="none" w:sz="0" w:space="0" w:color="auto"/>
        <w:left w:val="none" w:sz="0" w:space="0" w:color="auto"/>
        <w:bottom w:val="none" w:sz="0" w:space="0" w:color="auto"/>
        <w:right w:val="none" w:sz="0" w:space="0" w:color="auto"/>
      </w:divBdr>
    </w:div>
    <w:div w:id="1624194177">
      <w:marLeft w:val="0"/>
      <w:marRight w:val="0"/>
      <w:marTop w:val="0"/>
      <w:marBottom w:val="0"/>
      <w:divBdr>
        <w:top w:val="none" w:sz="0" w:space="0" w:color="auto"/>
        <w:left w:val="none" w:sz="0" w:space="0" w:color="auto"/>
        <w:bottom w:val="none" w:sz="0" w:space="0" w:color="auto"/>
        <w:right w:val="none" w:sz="0" w:space="0" w:color="auto"/>
      </w:divBdr>
    </w:div>
    <w:div w:id="1624194178">
      <w:marLeft w:val="0"/>
      <w:marRight w:val="0"/>
      <w:marTop w:val="0"/>
      <w:marBottom w:val="0"/>
      <w:divBdr>
        <w:top w:val="none" w:sz="0" w:space="0" w:color="auto"/>
        <w:left w:val="none" w:sz="0" w:space="0" w:color="auto"/>
        <w:bottom w:val="none" w:sz="0" w:space="0" w:color="auto"/>
        <w:right w:val="none" w:sz="0" w:space="0" w:color="auto"/>
      </w:divBdr>
    </w:div>
    <w:div w:id="1624194179">
      <w:marLeft w:val="0"/>
      <w:marRight w:val="0"/>
      <w:marTop w:val="0"/>
      <w:marBottom w:val="0"/>
      <w:divBdr>
        <w:top w:val="none" w:sz="0" w:space="0" w:color="auto"/>
        <w:left w:val="none" w:sz="0" w:space="0" w:color="auto"/>
        <w:bottom w:val="none" w:sz="0" w:space="0" w:color="auto"/>
        <w:right w:val="none" w:sz="0" w:space="0" w:color="auto"/>
      </w:divBdr>
    </w:div>
    <w:div w:id="1624194180">
      <w:marLeft w:val="0"/>
      <w:marRight w:val="0"/>
      <w:marTop w:val="0"/>
      <w:marBottom w:val="0"/>
      <w:divBdr>
        <w:top w:val="none" w:sz="0" w:space="0" w:color="auto"/>
        <w:left w:val="none" w:sz="0" w:space="0" w:color="auto"/>
        <w:bottom w:val="none" w:sz="0" w:space="0" w:color="auto"/>
        <w:right w:val="none" w:sz="0" w:space="0" w:color="auto"/>
      </w:divBdr>
    </w:div>
    <w:div w:id="1624194181">
      <w:marLeft w:val="0"/>
      <w:marRight w:val="0"/>
      <w:marTop w:val="0"/>
      <w:marBottom w:val="0"/>
      <w:divBdr>
        <w:top w:val="none" w:sz="0" w:space="0" w:color="auto"/>
        <w:left w:val="none" w:sz="0" w:space="0" w:color="auto"/>
        <w:bottom w:val="none" w:sz="0" w:space="0" w:color="auto"/>
        <w:right w:val="none" w:sz="0" w:space="0" w:color="auto"/>
      </w:divBdr>
    </w:div>
    <w:div w:id="1624194182">
      <w:marLeft w:val="0"/>
      <w:marRight w:val="0"/>
      <w:marTop w:val="0"/>
      <w:marBottom w:val="0"/>
      <w:divBdr>
        <w:top w:val="none" w:sz="0" w:space="0" w:color="auto"/>
        <w:left w:val="none" w:sz="0" w:space="0" w:color="auto"/>
        <w:bottom w:val="none" w:sz="0" w:space="0" w:color="auto"/>
        <w:right w:val="none" w:sz="0" w:space="0" w:color="auto"/>
      </w:divBdr>
    </w:div>
    <w:div w:id="1624194183">
      <w:marLeft w:val="0"/>
      <w:marRight w:val="0"/>
      <w:marTop w:val="0"/>
      <w:marBottom w:val="0"/>
      <w:divBdr>
        <w:top w:val="none" w:sz="0" w:space="0" w:color="auto"/>
        <w:left w:val="none" w:sz="0" w:space="0" w:color="auto"/>
        <w:bottom w:val="none" w:sz="0" w:space="0" w:color="auto"/>
        <w:right w:val="none" w:sz="0" w:space="0" w:color="auto"/>
      </w:divBdr>
    </w:div>
    <w:div w:id="1624194184">
      <w:marLeft w:val="0"/>
      <w:marRight w:val="0"/>
      <w:marTop w:val="0"/>
      <w:marBottom w:val="0"/>
      <w:divBdr>
        <w:top w:val="none" w:sz="0" w:space="0" w:color="auto"/>
        <w:left w:val="none" w:sz="0" w:space="0" w:color="auto"/>
        <w:bottom w:val="none" w:sz="0" w:space="0" w:color="auto"/>
        <w:right w:val="none" w:sz="0" w:space="0" w:color="auto"/>
      </w:divBdr>
    </w:div>
    <w:div w:id="1624194185">
      <w:marLeft w:val="0"/>
      <w:marRight w:val="0"/>
      <w:marTop w:val="0"/>
      <w:marBottom w:val="0"/>
      <w:divBdr>
        <w:top w:val="none" w:sz="0" w:space="0" w:color="auto"/>
        <w:left w:val="none" w:sz="0" w:space="0" w:color="auto"/>
        <w:bottom w:val="none" w:sz="0" w:space="0" w:color="auto"/>
        <w:right w:val="none" w:sz="0" w:space="0" w:color="auto"/>
      </w:divBdr>
    </w:div>
    <w:div w:id="1624194186">
      <w:marLeft w:val="0"/>
      <w:marRight w:val="0"/>
      <w:marTop w:val="0"/>
      <w:marBottom w:val="0"/>
      <w:divBdr>
        <w:top w:val="none" w:sz="0" w:space="0" w:color="auto"/>
        <w:left w:val="none" w:sz="0" w:space="0" w:color="auto"/>
        <w:bottom w:val="none" w:sz="0" w:space="0" w:color="auto"/>
        <w:right w:val="none" w:sz="0" w:space="0" w:color="auto"/>
      </w:divBdr>
    </w:div>
    <w:div w:id="1624194187">
      <w:marLeft w:val="0"/>
      <w:marRight w:val="0"/>
      <w:marTop w:val="0"/>
      <w:marBottom w:val="0"/>
      <w:divBdr>
        <w:top w:val="none" w:sz="0" w:space="0" w:color="auto"/>
        <w:left w:val="none" w:sz="0" w:space="0" w:color="auto"/>
        <w:bottom w:val="none" w:sz="0" w:space="0" w:color="auto"/>
        <w:right w:val="none" w:sz="0" w:space="0" w:color="auto"/>
      </w:divBdr>
    </w:div>
    <w:div w:id="1624194188">
      <w:marLeft w:val="0"/>
      <w:marRight w:val="0"/>
      <w:marTop w:val="0"/>
      <w:marBottom w:val="0"/>
      <w:divBdr>
        <w:top w:val="none" w:sz="0" w:space="0" w:color="auto"/>
        <w:left w:val="none" w:sz="0" w:space="0" w:color="auto"/>
        <w:bottom w:val="none" w:sz="0" w:space="0" w:color="auto"/>
        <w:right w:val="none" w:sz="0" w:space="0" w:color="auto"/>
      </w:divBdr>
    </w:div>
    <w:div w:id="1624194189">
      <w:marLeft w:val="0"/>
      <w:marRight w:val="0"/>
      <w:marTop w:val="0"/>
      <w:marBottom w:val="0"/>
      <w:divBdr>
        <w:top w:val="none" w:sz="0" w:space="0" w:color="auto"/>
        <w:left w:val="none" w:sz="0" w:space="0" w:color="auto"/>
        <w:bottom w:val="none" w:sz="0" w:space="0" w:color="auto"/>
        <w:right w:val="none" w:sz="0" w:space="0" w:color="auto"/>
      </w:divBdr>
    </w:div>
    <w:div w:id="1624194190">
      <w:marLeft w:val="0"/>
      <w:marRight w:val="0"/>
      <w:marTop w:val="0"/>
      <w:marBottom w:val="0"/>
      <w:divBdr>
        <w:top w:val="none" w:sz="0" w:space="0" w:color="auto"/>
        <w:left w:val="none" w:sz="0" w:space="0" w:color="auto"/>
        <w:bottom w:val="none" w:sz="0" w:space="0" w:color="auto"/>
        <w:right w:val="none" w:sz="0" w:space="0" w:color="auto"/>
      </w:divBdr>
    </w:div>
    <w:div w:id="1624194191">
      <w:marLeft w:val="0"/>
      <w:marRight w:val="0"/>
      <w:marTop w:val="0"/>
      <w:marBottom w:val="0"/>
      <w:divBdr>
        <w:top w:val="none" w:sz="0" w:space="0" w:color="auto"/>
        <w:left w:val="none" w:sz="0" w:space="0" w:color="auto"/>
        <w:bottom w:val="none" w:sz="0" w:space="0" w:color="auto"/>
        <w:right w:val="none" w:sz="0" w:space="0" w:color="auto"/>
      </w:divBdr>
    </w:div>
    <w:div w:id="1624194192">
      <w:marLeft w:val="0"/>
      <w:marRight w:val="0"/>
      <w:marTop w:val="0"/>
      <w:marBottom w:val="0"/>
      <w:divBdr>
        <w:top w:val="none" w:sz="0" w:space="0" w:color="auto"/>
        <w:left w:val="none" w:sz="0" w:space="0" w:color="auto"/>
        <w:bottom w:val="none" w:sz="0" w:space="0" w:color="auto"/>
        <w:right w:val="none" w:sz="0" w:space="0" w:color="auto"/>
      </w:divBdr>
    </w:div>
    <w:div w:id="1624194193">
      <w:marLeft w:val="0"/>
      <w:marRight w:val="0"/>
      <w:marTop w:val="0"/>
      <w:marBottom w:val="0"/>
      <w:divBdr>
        <w:top w:val="none" w:sz="0" w:space="0" w:color="auto"/>
        <w:left w:val="none" w:sz="0" w:space="0" w:color="auto"/>
        <w:bottom w:val="none" w:sz="0" w:space="0" w:color="auto"/>
        <w:right w:val="none" w:sz="0" w:space="0" w:color="auto"/>
      </w:divBdr>
    </w:div>
    <w:div w:id="1624194194">
      <w:marLeft w:val="0"/>
      <w:marRight w:val="0"/>
      <w:marTop w:val="0"/>
      <w:marBottom w:val="0"/>
      <w:divBdr>
        <w:top w:val="none" w:sz="0" w:space="0" w:color="auto"/>
        <w:left w:val="none" w:sz="0" w:space="0" w:color="auto"/>
        <w:bottom w:val="none" w:sz="0" w:space="0" w:color="auto"/>
        <w:right w:val="none" w:sz="0" w:space="0" w:color="auto"/>
      </w:divBdr>
    </w:div>
    <w:div w:id="1624194195">
      <w:marLeft w:val="0"/>
      <w:marRight w:val="0"/>
      <w:marTop w:val="0"/>
      <w:marBottom w:val="0"/>
      <w:divBdr>
        <w:top w:val="none" w:sz="0" w:space="0" w:color="auto"/>
        <w:left w:val="none" w:sz="0" w:space="0" w:color="auto"/>
        <w:bottom w:val="none" w:sz="0" w:space="0" w:color="auto"/>
        <w:right w:val="none" w:sz="0" w:space="0" w:color="auto"/>
      </w:divBdr>
    </w:div>
    <w:div w:id="1624194196">
      <w:marLeft w:val="0"/>
      <w:marRight w:val="0"/>
      <w:marTop w:val="0"/>
      <w:marBottom w:val="0"/>
      <w:divBdr>
        <w:top w:val="none" w:sz="0" w:space="0" w:color="auto"/>
        <w:left w:val="none" w:sz="0" w:space="0" w:color="auto"/>
        <w:bottom w:val="none" w:sz="0" w:space="0" w:color="auto"/>
        <w:right w:val="none" w:sz="0" w:space="0" w:color="auto"/>
      </w:divBdr>
    </w:div>
    <w:div w:id="1624194197">
      <w:marLeft w:val="0"/>
      <w:marRight w:val="0"/>
      <w:marTop w:val="0"/>
      <w:marBottom w:val="0"/>
      <w:divBdr>
        <w:top w:val="none" w:sz="0" w:space="0" w:color="auto"/>
        <w:left w:val="none" w:sz="0" w:space="0" w:color="auto"/>
        <w:bottom w:val="none" w:sz="0" w:space="0" w:color="auto"/>
        <w:right w:val="none" w:sz="0" w:space="0" w:color="auto"/>
      </w:divBdr>
    </w:div>
    <w:div w:id="1624194198">
      <w:marLeft w:val="0"/>
      <w:marRight w:val="0"/>
      <w:marTop w:val="0"/>
      <w:marBottom w:val="0"/>
      <w:divBdr>
        <w:top w:val="none" w:sz="0" w:space="0" w:color="auto"/>
        <w:left w:val="none" w:sz="0" w:space="0" w:color="auto"/>
        <w:bottom w:val="none" w:sz="0" w:space="0" w:color="auto"/>
        <w:right w:val="none" w:sz="0" w:space="0" w:color="auto"/>
      </w:divBdr>
    </w:div>
    <w:div w:id="1624194199">
      <w:marLeft w:val="0"/>
      <w:marRight w:val="0"/>
      <w:marTop w:val="0"/>
      <w:marBottom w:val="0"/>
      <w:divBdr>
        <w:top w:val="none" w:sz="0" w:space="0" w:color="auto"/>
        <w:left w:val="none" w:sz="0" w:space="0" w:color="auto"/>
        <w:bottom w:val="none" w:sz="0" w:space="0" w:color="auto"/>
        <w:right w:val="none" w:sz="0" w:space="0" w:color="auto"/>
      </w:divBdr>
    </w:div>
    <w:div w:id="1624194200">
      <w:marLeft w:val="0"/>
      <w:marRight w:val="0"/>
      <w:marTop w:val="0"/>
      <w:marBottom w:val="0"/>
      <w:divBdr>
        <w:top w:val="none" w:sz="0" w:space="0" w:color="auto"/>
        <w:left w:val="none" w:sz="0" w:space="0" w:color="auto"/>
        <w:bottom w:val="none" w:sz="0" w:space="0" w:color="auto"/>
        <w:right w:val="none" w:sz="0" w:space="0" w:color="auto"/>
      </w:divBdr>
    </w:div>
    <w:div w:id="1624194201">
      <w:marLeft w:val="0"/>
      <w:marRight w:val="0"/>
      <w:marTop w:val="0"/>
      <w:marBottom w:val="0"/>
      <w:divBdr>
        <w:top w:val="none" w:sz="0" w:space="0" w:color="auto"/>
        <w:left w:val="none" w:sz="0" w:space="0" w:color="auto"/>
        <w:bottom w:val="none" w:sz="0" w:space="0" w:color="auto"/>
        <w:right w:val="none" w:sz="0" w:space="0" w:color="auto"/>
      </w:divBdr>
    </w:div>
    <w:div w:id="1624194202">
      <w:marLeft w:val="0"/>
      <w:marRight w:val="0"/>
      <w:marTop w:val="0"/>
      <w:marBottom w:val="0"/>
      <w:divBdr>
        <w:top w:val="none" w:sz="0" w:space="0" w:color="auto"/>
        <w:left w:val="none" w:sz="0" w:space="0" w:color="auto"/>
        <w:bottom w:val="none" w:sz="0" w:space="0" w:color="auto"/>
        <w:right w:val="none" w:sz="0" w:space="0" w:color="auto"/>
      </w:divBdr>
    </w:div>
    <w:div w:id="1624194203">
      <w:marLeft w:val="0"/>
      <w:marRight w:val="0"/>
      <w:marTop w:val="0"/>
      <w:marBottom w:val="0"/>
      <w:divBdr>
        <w:top w:val="none" w:sz="0" w:space="0" w:color="auto"/>
        <w:left w:val="none" w:sz="0" w:space="0" w:color="auto"/>
        <w:bottom w:val="none" w:sz="0" w:space="0" w:color="auto"/>
        <w:right w:val="none" w:sz="0" w:space="0" w:color="auto"/>
      </w:divBdr>
    </w:div>
    <w:div w:id="1624194204">
      <w:marLeft w:val="0"/>
      <w:marRight w:val="0"/>
      <w:marTop w:val="0"/>
      <w:marBottom w:val="0"/>
      <w:divBdr>
        <w:top w:val="none" w:sz="0" w:space="0" w:color="auto"/>
        <w:left w:val="none" w:sz="0" w:space="0" w:color="auto"/>
        <w:bottom w:val="none" w:sz="0" w:space="0" w:color="auto"/>
        <w:right w:val="none" w:sz="0" w:space="0" w:color="auto"/>
      </w:divBdr>
    </w:div>
    <w:div w:id="1624194205">
      <w:marLeft w:val="0"/>
      <w:marRight w:val="0"/>
      <w:marTop w:val="0"/>
      <w:marBottom w:val="0"/>
      <w:divBdr>
        <w:top w:val="none" w:sz="0" w:space="0" w:color="auto"/>
        <w:left w:val="none" w:sz="0" w:space="0" w:color="auto"/>
        <w:bottom w:val="none" w:sz="0" w:space="0" w:color="auto"/>
        <w:right w:val="none" w:sz="0" w:space="0" w:color="auto"/>
      </w:divBdr>
    </w:div>
    <w:div w:id="1624194206">
      <w:marLeft w:val="0"/>
      <w:marRight w:val="0"/>
      <w:marTop w:val="0"/>
      <w:marBottom w:val="0"/>
      <w:divBdr>
        <w:top w:val="none" w:sz="0" w:space="0" w:color="auto"/>
        <w:left w:val="none" w:sz="0" w:space="0" w:color="auto"/>
        <w:bottom w:val="none" w:sz="0" w:space="0" w:color="auto"/>
        <w:right w:val="none" w:sz="0" w:space="0" w:color="auto"/>
      </w:divBdr>
    </w:div>
    <w:div w:id="1624194207">
      <w:marLeft w:val="0"/>
      <w:marRight w:val="0"/>
      <w:marTop w:val="0"/>
      <w:marBottom w:val="0"/>
      <w:divBdr>
        <w:top w:val="none" w:sz="0" w:space="0" w:color="auto"/>
        <w:left w:val="none" w:sz="0" w:space="0" w:color="auto"/>
        <w:bottom w:val="none" w:sz="0" w:space="0" w:color="auto"/>
        <w:right w:val="none" w:sz="0" w:space="0" w:color="auto"/>
      </w:divBdr>
    </w:div>
    <w:div w:id="1624194208">
      <w:marLeft w:val="0"/>
      <w:marRight w:val="0"/>
      <w:marTop w:val="0"/>
      <w:marBottom w:val="0"/>
      <w:divBdr>
        <w:top w:val="none" w:sz="0" w:space="0" w:color="auto"/>
        <w:left w:val="none" w:sz="0" w:space="0" w:color="auto"/>
        <w:bottom w:val="none" w:sz="0" w:space="0" w:color="auto"/>
        <w:right w:val="none" w:sz="0" w:space="0" w:color="auto"/>
      </w:divBdr>
    </w:div>
    <w:div w:id="1624194209">
      <w:marLeft w:val="0"/>
      <w:marRight w:val="0"/>
      <w:marTop w:val="0"/>
      <w:marBottom w:val="0"/>
      <w:divBdr>
        <w:top w:val="none" w:sz="0" w:space="0" w:color="auto"/>
        <w:left w:val="none" w:sz="0" w:space="0" w:color="auto"/>
        <w:bottom w:val="none" w:sz="0" w:space="0" w:color="auto"/>
        <w:right w:val="none" w:sz="0" w:space="0" w:color="auto"/>
      </w:divBdr>
    </w:div>
    <w:div w:id="1624194210">
      <w:marLeft w:val="0"/>
      <w:marRight w:val="0"/>
      <w:marTop w:val="0"/>
      <w:marBottom w:val="0"/>
      <w:divBdr>
        <w:top w:val="none" w:sz="0" w:space="0" w:color="auto"/>
        <w:left w:val="none" w:sz="0" w:space="0" w:color="auto"/>
        <w:bottom w:val="none" w:sz="0" w:space="0" w:color="auto"/>
        <w:right w:val="none" w:sz="0" w:space="0" w:color="auto"/>
      </w:divBdr>
    </w:div>
    <w:div w:id="1624194211">
      <w:marLeft w:val="0"/>
      <w:marRight w:val="0"/>
      <w:marTop w:val="0"/>
      <w:marBottom w:val="0"/>
      <w:divBdr>
        <w:top w:val="none" w:sz="0" w:space="0" w:color="auto"/>
        <w:left w:val="none" w:sz="0" w:space="0" w:color="auto"/>
        <w:bottom w:val="none" w:sz="0" w:space="0" w:color="auto"/>
        <w:right w:val="none" w:sz="0" w:space="0" w:color="auto"/>
      </w:divBdr>
    </w:div>
    <w:div w:id="1624194212">
      <w:marLeft w:val="0"/>
      <w:marRight w:val="0"/>
      <w:marTop w:val="0"/>
      <w:marBottom w:val="0"/>
      <w:divBdr>
        <w:top w:val="none" w:sz="0" w:space="0" w:color="auto"/>
        <w:left w:val="none" w:sz="0" w:space="0" w:color="auto"/>
        <w:bottom w:val="none" w:sz="0" w:space="0" w:color="auto"/>
        <w:right w:val="none" w:sz="0" w:space="0" w:color="auto"/>
      </w:divBdr>
    </w:div>
    <w:div w:id="1624194213">
      <w:marLeft w:val="0"/>
      <w:marRight w:val="0"/>
      <w:marTop w:val="0"/>
      <w:marBottom w:val="0"/>
      <w:divBdr>
        <w:top w:val="none" w:sz="0" w:space="0" w:color="auto"/>
        <w:left w:val="none" w:sz="0" w:space="0" w:color="auto"/>
        <w:bottom w:val="none" w:sz="0" w:space="0" w:color="auto"/>
        <w:right w:val="none" w:sz="0" w:space="0" w:color="auto"/>
      </w:divBdr>
    </w:div>
    <w:div w:id="1624194214">
      <w:marLeft w:val="0"/>
      <w:marRight w:val="0"/>
      <w:marTop w:val="0"/>
      <w:marBottom w:val="0"/>
      <w:divBdr>
        <w:top w:val="none" w:sz="0" w:space="0" w:color="auto"/>
        <w:left w:val="none" w:sz="0" w:space="0" w:color="auto"/>
        <w:bottom w:val="none" w:sz="0" w:space="0" w:color="auto"/>
        <w:right w:val="none" w:sz="0" w:space="0" w:color="auto"/>
      </w:divBdr>
    </w:div>
    <w:div w:id="1624194215">
      <w:marLeft w:val="0"/>
      <w:marRight w:val="0"/>
      <w:marTop w:val="0"/>
      <w:marBottom w:val="0"/>
      <w:divBdr>
        <w:top w:val="none" w:sz="0" w:space="0" w:color="auto"/>
        <w:left w:val="none" w:sz="0" w:space="0" w:color="auto"/>
        <w:bottom w:val="none" w:sz="0" w:space="0" w:color="auto"/>
        <w:right w:val="none" w:sz="0" w:space="0" w:color="auto"/>
      </w:divBdr>
    </w:div>
    <w:div w:id="1624194216">
      <w:marLeft w:val="0"/>
      <w:marRight w:val="0"/>
      <w:marTop w:val="0"/>
      <w:marBottom w:val="0"/>
      <w:divBdr>
        <w:top w:val="none" w:sz="0" w:space="0" w:color="auto"/>
        <w:left w:val="none" w:sz="0" w:space="0" w:color="auto"/>
        <w:bottom w:val="none" w:sz="0" w:space="0" w:color="auto"/>
        <w:right w:val="none" w:sz="0" w:space="0" w:color="auto"/>
      </w:divBdr>
    </w:div>
    <w:div w:id="1624194217">
      <w:marLeft w:val="0"/>
      <w:marRight w:val="0"/>
      <w:marTop w:val="0"/>
      <w:marBottom w:val="0"/>
      <w:divBdr>
        <w:top w:val="none" w:sz="0" w:space="0" w:color="auto"/>
        <w:left w:val="none" w:sz="0" w:space="0" w:color="auto"/>
        <w:bottom w:val="none" w:sz="0" w:space="0" w:color="auto"/>
        <w:right w:val="none" w:sz="0" w:space="0" w:color="auto"/>
      </w:divBdr>
    </w:div>
    <w:div w:id="1624194218">
      <w:marLeft w:val="0"/>
      <w:marRight w:val="0"/>
      <w:marTop w:val="0"/>
      <w:marBottom w:val="0"/>
      <w:divBdr>
        <w:top w:val="none" w:sz="0" w:space="0" w:color="auto"/>
        <w:left w:val="none" w:sz="0" w:space="0" w:color="auto"/>
        <w:bottom w:val="none" w:sz="0" w:space="0" w:color="auto"/>
        <w:right w:val="none" w:sz="0" w:space="0" w:color="auto"/>
      </w:divBdr>
    </w:div>
    <w:div w:id="1624194219">
      <w:marLeft w:val="0"/>
      <w:marRight w:val="0"/>
      <w:marTop w:val="0"/>
      <w:marBottom w:val="0"/>
      <w:divBdr>
        <w:top w:val="none" w:sz="0" w:space="0" w:color="auto"/>
        <w:left w:val="none" w:sz="0" w:space="0" w:color="auto"/>
        <w:bottom w:val="none" w:sz="0" w:space="0" w:color="auto"/>
        <w:right w:val="none" w:sz="0" w:space="0" w:color="auto"/>
      </w:divBdr>
    </w:div>
    <w:div w:id="1624194220">
      <w:marLeft w:val="0"/>
      <w:marRight w:val="0"/>
      <w:marTop w:val="0"/>
      <w:marBottom w:val="0"/>
      <w:divBdr>
        <w:top w:val="none" w:sz="0" w:space="0" w:color="auto"/>
        <w:left w:val="none" w:sz="0" w:space="0" w:color="auto"/>
        <w:bottom w:val="none" w:sz="0" w:space="0" w:color="auto"/>
        <w:right w:val="none" w:sz="0" w:space="0" w:color="auto"/>
      </w:divBdr>
    </w:div>
    <w:div w:id="1624194221">
      <w:marLeft w:val="0"/>
      <w:marRight w:val="0"/>
      <w:marTop w:val="0"/>
      <w:marBottom w:val="0"/>
      <w:divBdr>
        <w:top w:val="none" w:sz="0" w:space="0" w:color="auto"/>
        <w:left w:val="none" w:sz="0" w:space="0" w:color="auto"/>
        <w:bottom w:val="none" w:sz="0" w:space="0" w:color="auto"/>
        <w:right w:val="none" w:sz="0" w:space="0" w:color="auto"/>
      </w:divBdr>
    </w:div>
    <w:div w:id="1624194222">
      <w:marLeft w:val="0"/>
      <w:marRight w:val="0"/>
      <w:marTop w:val="0"/>
      <w:marBottom w:val="0"/>
      <w:divBdr>
        <w:top w:val="none" w:sz="0" w:space="0" w:color="auto"/>
        <w:left w:val="none" w:sz="0" w:space="0" w:color="auto"/>
        <w:bottom w:val="none" w:sz="0" w:space="0" w:color="auto"/>
        <w:right w:val="none" w:sz="0" w:space="0" w:color="auto"/>
      </w:divBdr>
    </w:div>
    <w:div w:id="1624194223">
      <w:marLeft w:val="0"/>
      <w:marRight w:val="0"/>
      <w:marTop w:val="0"/>
      <w:marBottom w:val="0"/>
      <w:divBdr>
        <w:top w:val="none" w:sz="0" w:space="0" w:color="auto"/>
        <w:left w:val="none" w:sz="0" w:space="0" w:color="auto"/>
        <w:bottom w:val="none" w:sz="0" w:space="0" w:color="auto"/>
        <w:right w:val="none" w:sz="0" w:space="0" w:color="auto"/>
      </w:divBdr>
    </w:div>
    <w:div w:id="1624194224">
      <w:marLeft w:val="0"/>
      <w:marRight w:val="0"/>
      <w:marTop w:val="0"/>
      <w:marBottom w:val="0"/>
      <w:divBdr>
        <w:top w:val="none" w:sz="0" w:space="0" w:color="auto"/>
        <w:left w:val="none" w:sz="0" w:space="0" w:color="auto"/>
        <w:bottom w:val="none" w:sz="0" w:space="0" w:color="auto"/>
        <w:right w:val="none" w:sz="0" w:space="0" w:color="auto"/>
      </w:divBdr>
    </w:div>
    <w:div w:id="1624194225">
      <w:marLeft w:val="0"/>
      <w:marRight w:val="0"/>
      <w:marTop w:val="0"/>
      <w:marBottom w:val="0"/>
      <w:divBdr>
        <w:top w:val="none" w:sz="0" w:space="0" w:color="auto"/>
        <w:left w:val="none" w:sz="0" w:space="0" w:color="auto"/>
        <w:bottom w:val="none" w:sz="0" w:space="0" w:color="auto"/>
        <w:right w:val="none" w:sz="0" w:space="0" w:color="auto"/>
      </w:divBdr>
    </w:div>
    <w:div w:id="1624194226">
      <w:marLeft w:val="0"/>
      <w:marRight w:val="0"/>
      <w:marTop w:val="0"/>
      <w:marBottom w:val="0"/>
      <w:divBdr>
        <w:top w:val="none" w:sz="0" w:space="0" w:color="auto"/>
        <w:left w:val="none" w:sz="0" w:space="0" w:color="auto"/>
        <w:bottom w:val="none" w:sz="0" w:space="0" w:color="auto"/>
        <w:right w:val="none" w:sz="0" w:space="0" w:color="auto"/>
      </w:divBdr>
    </w:div>
    <w:div w:id="1624194227">
      <w:marLeft w:val="0"/>
      <w:marRight w:val="0"/>
      <w:marTop w:val="0"/>
      <w:marBottom w:val="0"/>
      <w:divBdr>
        <w:top w:val="none" w:sz="0" w:space="0" w:color="auto"/>
        <w:left w:val="none" w:sz="0" w:space="0" w:color="auto"/>
        <w:bottom w:val="none" w:sz="0" w:space="0" w:color="auto"/>
        <w:right w:val="none" w:sz="0" w:space="0" w:color="auto"/>
      </w:divBdr>
    </w:div>
    <w:div w:id="1624194228">
      <w:marLeft w:val="0"/>
      <w:marRight w:val="0"/>
      <w:marTop w:val="0"/>
      <w:marBottom w:val="0"/>
      <w:divBdr>
        <w:top w:val="none" w:sz="0" w:space="0" w:color="auto"/>
        <w:left w:val="none" w:sz="0" w:space="0" w:color="auto"/>
        <w:bottom w:val="none" w:sz="0" w:space="0" w:color="auto"/>
        <w:right w:val="none" w:sz="0" w:space="0" w:color="auto"/>
      </w:divBdr>
    </w:div>
    <w:div w:id="1624194229">
      <w:marLeft w:val="0"/>
      <w:marRight w:val="0"/>
      <w:marTop w:val="0"/>
      <w:marBottom w:val="0"/>
      <w:divBdr>
        <w:top w:val="none" w:sz="0" w:space="0" w:color="auto"/>
        <w:left w:val="none" w:sz="0" w:space="0" w:color="auto"/>
        <w:bottom w:val="none" w:sz="0" w:space="0" w:color="auto"/>
        <w:right w:val="none" w:sz="0" w:space="0" w:color="auto"/>
      </w:divBdr>
    </w:div>
    <w:div w:id="1624194230">
      <w:marLeft w:val="0"/>
      <w:marRight w:val="0"/>
      <w:marTop w:val="0"/>
      <w:marBottom w:val="0"/>
      <w:divBdr>
        <w:top w:val="none" w:sz="0" w:space="0" w:color="auto"/>
        <w:left w:val="none" w:sz="0" w:space="0" w:color="auto"/>
        <w:bottom w:val="none" w:sz="0" w:space="0" w:color="auto"/>
        <w:right w:val="none" w:sz="0" w:space="0" w:color="auto"/>
      </w:divBdr>
    </w:div>
    <w:div w:id="1624194231">
      <w:marLeft w:val="0"/>
      <w:marRight w:val="0"/>
      <w:marTop w:val="0"/>
      <w:marBottom w:val="0"/>
      <w:divBdr>
        <w:top w:val="none" w:sz="0" w:space="0" w:color="auto"/>
        <w:left w:val="none" w:sz="0" w:space="0" w:color="auto"/>
        <w:bottom w:val="none" w:sz="0" w:space="0" w:color="auto"/>
        <w:right w:val="none" w:sz="0" w:space="0" w:color="auto"/>
      </w:divBdr>
    </w:div>
    <w:div w:id="1624194232">
      <w:marLeft w:val="0"/>
      <w:marRight w:val="0"/>
      <w:marTop w:val="0"/>
      <w:marBottom w:val="0"/>
      <w:divBdr>
        <w:top w:val="none" w:sz="0" w:space="0" w:color="auto"/>
        <w:left w:val="none" w:sz="0" w:space="0" w:color="auto"/>
        <w:bottom w:val="none" w:sz="0" w:space="0" w:color="auto"/>
        <w:right w:val="none" w:sz="0" w:space="0" w:color="auto"/>
      </w:divBdr>
    </w:div>
    <w:div w:id="1624194233">
      <w:marLeft w:val="0"/>
      <w:marRight w:val="0"/>
      <w:marTop w:val="0"/>
      <w:marBottom w:val="0"/>
      <w:divBdr>
        <w:top w:val="none" w:sz="0" w:space="0" w:color="auto"/>
        <w:left w:val="none" w:sz="0" w:space="0" w:color="auto"/>
        <w:bottom w:val="none" w:sz="0" w:space="0" w:color="auto"/>
        <w:right w:val="none" w:sz="0" w:space="0" w:color="auto"/>
      </w:divBdr>
    </w:div>
    <w:div w:id="1624194234">
      <w:marLeft w:val="0"/>
      <w:marRight w:val="0"/>
      <w:marTop w:val="0"/>
      <w:marBottom w:val="0"/>
      <w:divBdr>
        <w:top w:val="none" w:sz="0" w:space="0" w:color="auto"/>
        <w:left w:val="none" w:sz="0" w:space="0" w:color="auto"/>
        <w:bottom w:val="none" w:sz="0" w:space="0" w:color="auto"/>
        <w:right w:val="none" w:sz="0" w:space="0" w:color="auto"/>
      </w:divBdr>
    </w:div>
    <w:div w:id="1624194235">
      <w:marLeft w:val="0"/>
      <w:marRight w:val="0"/>
      <w:marTop w:val="0"/>
      <w:marBottom w:val="0"/>
      <w:divBdr>
        <w:top w:val="none" w:sz="0" w:space="0" w:color="auto"/>
        <w:left w:val="none" w:sz="0" w:space="0" w:color="auto"/>
        <w:bottom w:val="none" w:sz="0" w:space="0" w:color="auto"/>
        <w:right w:val="none" w:sz="0" w:space="0" w:color="auto"/>
      </w:divBdr>
    </w:div>
    <w:div w:id="1624194236">
      <w:marLeft w:val="0"/>
      <w:marRight w:val="0"/>
      <w:marTop w:val="0"/>
      <w:marBottom w:val="0"/>
      <w:divBdr>
        <w:top w:val="none" w:sz="0" w:space="0" w:color="auto"/>
        <w:left w:val="none" w:sz="0" w:space="0" w:color="auto"/>
        <w:bottom w:val="none" w:sz="0" w:space="0" w:color="auto"/>
        <w:right w:val="none" w:sz="0" w:space="0" w:color="auto"/>
      </w:divBdr>
    </w:div>
    <w:div w:id="1624194237">
      <w:marLeft w:val="0"/>
      <w:marRight w:val="0"/>
      <w:marTop w:val="0"/>
      <w:marBottom w:val="0"/>
      <w:divBdr>
        <w:top w:val="none" w:sz="0" w:space="0" w:color="auto"/>
        <w:left w:val="none" w:sz="0" w:space="0" w:color="auto"/>
        <w:bottom w:val="none" w:sz="0" w:space="0" w:color="auto"/>
        <w:right w:val="none" w:sz="0" w:space="0" w:color="auto"/>
      </w:divBdr>
    </w:div>
    <w:div w:id="1624194238">
      <w:marLeft w:val="0"/>
      <w:marRight w:val="0"/>
      <w:marTop w:val="0"/>
      <w:marBottom w:val="0"/>
      <w:divBdr>
        <w:top w:val="none" w:sz="0" w:space="0" w:color="auto"/>
        <w:left w:val="none" w:sz="0" w:space="0" w:color="auto"/>
        <w:bottom w:val="none" w:sz="0" w:space="0" w:color="auto"/>
        <w:right w:val="none" w:sz="0" w:space="0" w:color="auto"/>
      </w:divBdr>
    </w:div>
    <w:div w:id="1624194239">
      <w:marLeft w:val="0"/>
      <w:marRight w:val="0"/>
      <w:marTop w:val="0"/>
      <w:marBottom w:val="0"/>
      <w:divBdr>
        <w:top w:val="none" w:sz="0" w:space="0" w:color="auto"/>
        <w:left w:val="none" w:sz="0" w:space="0" w:color="auto"/>
        <w:bottom w:val="none" w:sz="0" w:space="0" w:color="auto"/>
        <w:right w:val="none" w:sz="0" w:space="0" w:color="auto"/>
      </w:divBdr>
    </w:div>
    <w:div w:id="1624194240">
      <w:marLeft w:val="0"/>
      <w:marRight w:val="0"/>
      <w:marTop w:val="0"/>
      <w:marBottom w:val="0"/>
      <w:divBdr>
        <w:top w:val="none" w:sz="0" w:space="0" w:color="auto"/>
        <w:left w:val="none" w:sz="0" w:space="0" w:color="auto"/>
        <w:bottom w:val="none" w:sz="0" w:space="0" w:color="auto"/>
        <w:right w:val="none" w:sz="0" w:space="0" w:color="auto"/>
      </w:divBdr>
    </w:div>
    <w:div w:id="1624194241">
      <w:marLeft w:val="0"/>
      <w:marRight w:val="0"/>
      <w:marTop w:val="0"/>
      <w:marBottom w:val="0"/>
      <w:divBdr>
        <w:top w:val="none" w:sz="0" w:space="0" w:color="auto"/>
        <w:left w:val="none" w:sz="0" w:space="0" w:color="auto"/>
        <w:bottom w:val="none" w:sz="0" w:space="0" w:color="auto"/>
        <w:right w:val="none" w:sz="0" w:space="0" w:color="auto"/>
      </w:divBdr>
    </w:div>
    <w:div w:id="1624194242">
      <w:marLeft w:val="0"/>
      <w:marRight w:val="0"/>
      <w:marTop w:val="0"/>
      <w:marBottom w:val="0"/>
      <w:divBdr>
        <w:top w:val="none" w:sz="0" w:space="0" w:color="auto"/>
        <w:left w:val="none" w:sz="0" w:space="0" w:color="auto"/>
        <w:bottom w:val="none" w:sz="0" w:space="0" w:color="auto"/>
        <w:right w:val="none" w:sz="0" w:space="0" w:color="auto"/>
      </w:divBdr>
    </w:div>
    <w:div w:id="1624194243">
      <w:marLeft w:val="0"/>
      <w:marRight w:val="0"/>
      <w:marTop w:val="0"/>
      <w:marBottom w:val="0"/>
      <w:divBdr>
        <w:top w:val="none" w:sz="0" w:space="0" w:color="auto"/>
        <w:left w:val="none" w:sz="0" w:space="0" w:color="auto"/>
        <w:bottom w:val="none" w:sz="0" w:space="0" w:color="auto"/>
        <w:right w:val="none" w:sz="0" w:space="0" w:color="auto"/>
      </w:divBdr>
    </w:div>
    <w:div w:id="1624194244">
      <w:marLeft w:val="0"/>
      <w:marRight w:val="0"/>
      <w:marTop w:val="0"/>
      <w:marBottom w:val="0"/>
      <w:divBdr>
        <w:top w:val="none" w:sz="0" w:space="0" w:color="auto"/>
        <w:left w:val="none" w:sz="0" w:space="0" w:color="auto"/>
        <w:bottom w:val="none" w:sz="0" w:space="0" w:color="auto"/>
        <w:right w:val="none" w:sz="0" w:space="0" w:color="auto"/>
      </w:divBdr>
    </w:div>
    <w:div w:id="1624194245">
      <w:marLeft w:val="0"/>
      <w:marRight w:val="0"/>
      <w:marTop w:val="0"/>
      <w:marBottom w:val="0"/>
      <w:divBdr>
        <w:top w:val="none" w:sz="0" w:space="0" w:color="auto"/>
        <w:left w:val="none" w:sz="0" w:space="0" w:color="auto"/>
        <w:bottom w:val="none" w:sz="0" w:space="0" w:color="auto"/>
        <w:right w:val="none" w:sz="0" w:space="0" w:color="auto"/>
      </w:divBdr>
    </w:div>
    <w:div w:id="1624194246">
      <w:marLeft w:val="0"/>
      <w:marRight w:val="0"/>
      <w:marTop w:val="0"/>
      <w:marBottom w:val="0"/>
      <w:divBdr>
        <w:top w:val="none" w:sz="0" w:space="0" w:color="auto"/>
        <w:left w:val="none" w:sz="0" w:space="0" w:color="auto"/>
        <w:bottom w:val="none" w:sz="0" w:space="0" w:color="auto"/>
        <w:right w:val="none" w:sz="0" w:space="0" w:color="auto"/>
      </w:divBdr>
    </w:div>
    <w:div w:id="1624194247">
      <w:marLeft w:val="0"/>
      <w:marRight w:val="0"/>
      <w:marTop w:val="0"/>
      <w:marBottom w:val="0"/>
      <w:divBdr>
        <w:top w:val="none" w:sz="0" w:space="0" w:color="auto"/>
        <w:left w:val="none" w:sz="0" w:space="0" w:color="auto"/>
        <w:bottom w:val="none" w:sz="0" w:space="0" w:color="auto"/>
        <w:right w:val="none" w:sz="0" w:space="0" w:color="auto"/>
      </w:divBdr>
    </w:div>
    <w:div w:id="1624194248">
      <w:marLeft w:val="0"/>
      <w:marRight w:val="0"/>
      <w:marTop w:val="0"/>
      <w:marBottom w:val="0"/>
      <w:divBdr>
        <w:top w:val="none" w:sz="0" w:space="0" w:color="auto"/>
        <w:left w:val="none" w:sz="0" w:space="0" w:color="auto"/>
        <w:bottom w:val="none" w:sz="0" w:space="0" w:color="auto"/>
        <w:right w:val="none" w:sz="0" w:space="0" w:color="auto"/>
      </w:divBdr>
    </w:div>
    <w:div w:id="1624194249">
      <w:marLeft w:val="0"/>
      <w:marRight w:val="0"/>
      <w:marTop w:val="0"/>
      <w:marBottom w:val="0"/>
      <w:divBdr>
        <w:top w:val="none" w:sz="0" w:space="0" w:color="auto"/>
        <w:left w:val="none" w:sz="0" w:space="0" w:color="auto"/>
        <w:bottom w:val="none" w:sz="0" w:space="0" w:color="auto"/>
        <w:right w:val="none" w:sz="0" w:space="0" w:color="auto"/>
      </w:divBdr>
    </w:div>
    <w:div w:id="1624194250">
      <w:marLeft w:val="0"/>
      <w:marRight w:val="0"/>
      <w:marTop w:val="0"/>
      <w:marBottom w:val="0"/>
      <w:divBdr>
        <w:top w:val="none" w:sz="0" w:space="0" w:color="auto"/>
        <w:left w:val="none" w:sz="0" w:space="0" w:color="auto"/>
        <w:bottom w:val="none" w:sz="0" w:space="0" w:color="auto"/>
        <w:right w:val="none" w:sz="0" w:space="0" w:color="auto"/>
      </w:divBdr>
    </w:div>
    <w:div w:id="1624194251">
      <w:marLeft w:val="0"/>
      <w:marRight w:val="0"/>
      <w:marTop w:val="0"/>
      <w:marBottom w:val="0"/>
      <w:divBdr>
        <w:top w:val="none" w:sz="0" w:space="0" w:color="auto"/>
        <w:left w:val="none" w:sz="0" w:space="0" w:color="auto"/>
        <w:bottom w:val="none" w:sz="0" w:space="0" w:color="auto"/>
        <w:right w:val="none" w:sz="0" w:space="0" w:color="auto"/>
      </w:divBdr>
    </w:div>
    <w:div w:id="1624194252">
      <w:marLeft w:val="0"/>
      <w:marRight w:val="0"/>
      <w:marTop w:val="0"/>
      <w:marBottom w:val="0"/>
      <w:divBdr>
        <w:top w:val="none" w:sz="0" w:space="0" w:color="auto"/>
        <w:left w:val="none" w:sz="0" w:space="0" w:color="auto"/>
        <w:bottom w:val="none" w:sz="0" w:space="0" w:color="auto"/>
        <w:right w:val="none" w:sz="0" w:space="0" w:color="auto"/>
      </w:divBdr>
    </w:div>
    <w:div w:id="1624194253">
      <w:marLeft w:val="0"/>
      <w:marRight w:val="0"/>
      <w:marTop w:val="0"/>
      <w:marBottom w:val="0"/>
      <w:divBdr>
        <w:top w:val="none" w:sz="0" w:space="0" w:color="auto"/>
        <w:left w:val="none" w:sz="0" w:space="0" w:color="auto"/>
        <w:bottom w:val="none" w:sz="0" w:space="0" w:color="auto"/>
        <w:right w:val="none" w:sz="0" w:space="0" w:color="auto"/>
      </w:divBdr>
    </w:div>
    <w:div w:id="1624194254">
      <w:marLeft w:val="0"/>
      <w:marRight w:val="0"/>
      <w:marTop w:val="0"/>
      <w:marBottom w:val="0"/>
      <w:divBdr>
        <w:top w:val="none" w:sz="0" w:space="0" w:color="auto"/>
        <w:left w:val="none" w:sz="0" w:space="0" w:color="auto"/>
        <w:bottom w:val="none" w:sz="0" w:space="0" w:color="auto"/>
        <w:right w:val="none" w:sz="0" w:space="0" w:color="auto"/>
      </w:divBdr>
    </w:div>
    <w:div w:id="1624194255">
      <w:marLeft w:val="0"/>
      <w:marRight w:val="0"/>
      <w:marTop w:val="0"/>
      <w:marBottom w:val="0"/>
      <w:divBdr>
        <w:top w:val="none" w:sz="0" w:space="0" w:color="auto"/>
        <w:left w:val="none" w:sz="0" w:space="0" w:color="auto"/>
        <w:bottom w:val="none" w:sz="0" w:space="0" w:color="auto"/>
        <w:right w:val="none" w:sz="0" w:space="0" w:color="auto"/>
      </w:divBdr>
    </w:div>
    <w:div w:id="1624194256">
      <w:marLeft w:val="0"/>
      <w:marRight w:val="0"/>
      <w:marTop w:val="0"/>
      <w:marBottom w:val="0"/>
      <w:divBdr>
        <w:top w:val="none" w:sz="0" w:space="0" w:color="auto"/>
        <w:left w:val="none" w:sz="0" w:space="0" w:color="auto"/>
        <w:bottom w:val="none" w:sz="0" w:space="0" w:color="auto"/>
        <w:right w:val="none" w:sz="0" w:space="0" w:color="auto"/>
      </w:divBdr>
    </w:div>
    <w:div w:id="1624194257">
      <w:marLeft w:val="0"/>
      <w:marRight w:val="0"/>
      <w:marTop w:val="0"/>
      <w:marBottom w:val="0"/>
      <w:divBdr>
        <w:top w:val="none" w:sz="0" w:space="0" w:color="auto"/>
        <w:left w:val="none" w:sz="0" w:space="0" w:color="auto"/>
        <w:bottom w:val="none" w:sz="0" w:space="0" w:color="auto"/>
        <w:right w:val="none" w:sz="0" w:space="0" w:color="auto"/>
      </w:divBdr>
    </w:div>
    <w:div w:id="1624194258">
      <w:marLeft w:val="0"/>
      <w:marRight w:val="0"/>
      <w:marTop w:val="0"/>
      <w:marBottom w:val="0"/>
      <w:divBdr>
        <w:top w:val="none" w:sz="0" w:space="0" w:color="auto"/>
        <w:left w:val="none" w:sz="0" w:space="0" w:color="auto"/>
        <w:bottom w:val="none" w:sz="0" w:space="0" w:color="auto"/>
        <w:right w:val="none" w:sz="0" w:space="0" w:color="auto"/>
      </w:divBdr>
    </w:div>
    <w:div w:id="1624194259">
      <w:marLeft w:val="0"/>
      <w:marRight w:val="0"/>
      <w:marTop w:val="0"/>
      <w:marBottom w:val="0"/>
      <w:divBdr>
        <w:top w:val="none" w:sz="0" w:space="0" w:color="auto"/>
        <w:left w:val="none" w:sz="0" w:space="0" w:color="auto"/>
        <w:bottom w:val="none" w:sz="0" w:space="0" w:color="auto"/>
        <w:right w:val="none" w:sz="0" w:space="0" w:color="auto"/>
      </w:divBdr>
    </w:div>
    <w:div w:id="1624194260">
      <w:marLeft w:val="0"/>
      <w:marRight w:val="0"/>
      <w:marTop w:val="0"/>
      <w:marBottom w:val="0"/>
      <w:divBdr>
        <w:top w:val="none" w:sz="0" w:space="0" w:color="auto"/>
        <w:left w:val="none" w:sz="0" w:space="0" w:color="auto"/>
        <w:bottom w:val="none" w:sz="0" w:space="0" w:color="auto"/>
        <w:right w:val="none" w:sz="0" w:space="0" w:color="auto"/>
      </w:divBdr>
    </w:div>
    <w:div w:id="1624194261">
      <w:marLeft w:val="0"/>
      <w:marRight w:val="0"/>
      <w:marTop w:val="0"/>
      <w:marBottom w:val="0"/>
      <w:divBdr>
        <w:top w:val="none" w:sz="0" w:space="0" w:color="auto"/>
        <w:left w:val="none" w:sz="0" w:space="0" w:color="auto"/>
        <w:bottom w:val="none" w:sz="0" w:space="0" w:color="auto"/>
        <w:right w:val="none" w:sz="0" w:space="0" w:color="auto"/>
      </w:divBdr>
    </w:div>
    <w:div w:id="1624194262">
      <w:marLeft w:val="0"/>
      <w:marRight w:val="0"/>
      <w:marTop w:val="0"/>
      <w:marBottom w:val="0"/>
      <w:divBdr>
        <w:top w:val="none" w:sz="0" w:space="0" w:color="auto"/>
        <w:left w:val="none" w:sz="0" w:space="0" w:color="auto"/>
        <w:bottom w:val="none" w:sz="0" w:space="0" w:color="auto"/>
        <w:right w:val="none" w:sz="0" w:space="0" w:color="auto"/>
      </w:divBdr>
    </w:div>
    <w:div w:id="1624194263">
      <w:marLeft w:val="0"/>
      <w:marRight w:val="0"/>
      <w:marTop w:val="0"/>
      <w:marBottom w:val="0"/>
      <w:divBdr>
        <w:top w:val="none" w:sz="0" w:space="0" w:color="auto"/>
        <w:left w:val="none" w:sz="0" w:space="0" w:color="auto"/>
        <w:bottom w:val="none" w:sz="0" w:space="0" w:color="auto"/>
        <w:right w:val="none" w:sz="0" w:space="0" w:color="auto"/>
      </w:divBdr>
    </w:div>
    <w:div w:id="1624194264">
      <w:marLeft w:val="0"/>
      <w:marRight w:val="0"/>
      <w:marTop w:val="0"/>
      <w:marBottom w:val="0"/>
      <w:divBdr>
        <w:top w:val="none" w:sz="0" w:space="0" w:color="auto"/>
        <w:left w:val="none" w:sz="0" w:space="0" w:color="auto"/>
        <w:bottom w:val="none" w:sz="0" w:space="0" w:color="auto"/>
        <w:right w:val="none" w:sz="0" w:space="0" w:color="auto"/>
      </w:divBdr>
    </w:div>
    <w:div w:id="1624194265">
      <w:marLeft w:val="0"/>
      <w:marRight w:val="0"/>
      <w:marTop w:val="0"/>
      <w:marBottom w:val="0"/>
      <w:divBdr>
        <w:top w:val="none" w:sz="0" w:space="0" w:color="auto"/>
        <w:left w:val="none" w:sz="0" w:space="0" w:color="auto"/>
        <w:bottom w:val="none" w:sz="0" w:space="0" w:color="auto"/>
        <w:right w:val="none" w:sz="0" w:space="0" w:color="auto"/>
      </w:divBdr>
    </w:div>
    <w:div w:id="1624194266">
      <w:marLeft w:val="0"/>
      <w:marRight w:val="0"/>
      <w:marTop w:val="0"/>
      <w:marBottom w:val="0"/>
      <w:divBdr>
        <w:top w:val="none" w:sz="0" w:space="0" w:color="auto"/>
        <w:left w:val="none" w:sz="0" w:space="0" w:color="auto"/>
        <w:bottom w:val="none" w:sz="0" w:space="0" w:color="auto"/>
        <w:right w:val="none" w:sz="0" w:space="0" w:color="auto"/>
      </w:divBdr>
    </w:div>
    <w:div w:id="1624194267">
      <w:marLeft w:val="0"/>
      <w:marRight w:val="0"/>
      <w:marTop w:val="0"/>
      <w:marBottom w:val="0"/>
      <w:divBdr>
        <w:top w:val="none" w:sz="0" w:space="0" w:color="auto"/>
        <w:left w:val="none" w:sz="0" w:space="0" w:color="auto"/>
        <w:bottom w:val="none" w:sz="0" w:space="0" w:color="auto"/>
        <w:right w:val="none" w:sz="0" w:space="0" w:color="auto"/>
      </w:divBdr>
    </w:div>
    <w:div w:id="1624194268">
      <w:marLeft w:val="0"/>
      <w:marRight w:val="0"/>
      <w:marTop w:val="0"/>
      <w:marBottom w:val="0"/>
      <w:divBdr>
        <w:top w:val="none" w:sz="0" w:space="0" w:color="auto"/>
        <w:left w:val="none" w:sz="0" w:space="0" w:color="auto"/>
        <w:bottom w:val="none" w:sz="0" w:space="0" w:color="auto"/>
        <w:right w:val="none" w:sz="0" w:space="0" w:color="auto"/>
      </w:divBdr>
    </w:div>
    <w:div w:id="1624194269">
      <w:marLeft w:val="0"/>
      <w:marRight w:val="0"/>
      <w:marTop w:val="0"/>
      <w:marBottom w:val="0"/>
      <w:divBdr>
        <w:top w:val="none" w:sz="0" w:space="0" w:color="auto"/>
        <w:left w:val="none" w:sz="0" w:space="0" w:color="auto"/>
        <w:bottom w:val="none" w:sz="0" w:space="0" w:color="auto"/>
        <w:right w:val="none" w:sz="0" w:space="0" w:color="auto"/>
      </w:divBdr>
    </w:div>
    <w:div w:id="1624194270">
      <w:marLeft w:val="0"/>
      <w:marRight w:val="0"/>
      <w:marTop w:val="0"/>
      <w:marBottom w:val="0"/>
      <w:divBdr>
        <w:top w:val="none" w:sz="0" w:space="0" w:color="auto"/>
        <w:left w:val="none" w:sz="0" w:space="0" w:color="auto"/>
        <w:bottom w:val="none" w:sz="0" w:space="0" w:color="auto"/>
        <w:right w:val="none" w:sz="0" w:space="0" w:color="auto"/>
      </w:divBdr>
    </w:div>
    <w:div w:id="1624194271">
      <w:marLeft w:val="0"/>
      <w:marRight w:val="0"/>
      <w:marTop w:val="0"/>
      <w:marBottom w:val="0"/>
      <w:divBdr>
        <w:top w:val="none" w:sz="0" w:space="0" w:color="auto"/>
        <w:left w:val="none" w:sz="0" w:space="0" w:color="auto"/>
        <w:bottom w:val="none" w:sz="0" w:space="0" w:color="auto"/>
        <w:right w:val="none" w:sz="0" w:space="0" w:color="auto"/>
      </w:divBdr>
    </w:div>
    <w:div w:id="1624194272">
      <w:marLeft w:val="0"/>
      <w:marRight w:val="0"/>
      <w:marTop w:val="0"/>
      <w:marBottom w:val="0"/>
      <w:divBdr>
        <w:top w:val="none" w:sz="0" w:space="0" w:color="auto"/>
        <w:left w:val="none" w:sz="0" w:space="0" w:color="auto"/>
        <w:bottom w:val="none" w:sz="0" w:space="0" w:color="auto"/>
        <w:right w:val="none" w:sz="0" w:space="0" w:color="auto"/>
      </w:divBdr>
    </w:div>
    <w:div w:id="1624194273">
      <w:marLeft w:val="0"/>
      <w:marRight w:val="0"/>
      <w:marTop w:val="0"/>
      <w:marBottom w:val="0"/>
      <w:divBdr>
        <w:top w:val="none" w:sz="0" w:space="0" w:color="auto"/>
        <w:left w:val="none" w:sz="0" w:space="0" w:color="auto"/>
        <w:bottom w:val="none" w:sz="0" w:space="0" w:color="auto"/>
        <w:right w:val="none" w:sz="0" w:space="0" w:color="auto"/>
      </w:divBdr>
    </w:div>
    <w:div w:id="1624194274">
      <w:marLeft w:val="0"/>
      <w:marRight w:val="0"/>
      <w:marTop w:val="0"/>
      <w:marBottom w:val="0"/>
      <w:divBdr>
        <w:top w:val="none" w:sz="0" w:space="0" w:color="auto"/>
        <w:left w:val="none" w:sz="0" w:space="0" w:color="auto"/>
        <w:bottom w:val="none" w:sz="0" w:space="0" w:color="auto"/>
        <w:right w:val="none" w:sz="0" w:space="0" w:color="auto"/>
      </w:divBdr>
    </w:div>
    <w:div w:id="1624194275">
      <w:marLeft w:val="0"/>
      <w:marRight w:val="0"/>
      <w:marTop w:val="0"/>
      <w:marBottom w:val="0"/>
      <w:divBdr>
        <w:top w:val="none" w:sz="0" w:space="0" w:color="auto"/>
        <w:left w:val="none" w:sz="0" w:space="0" w:color="auto"/>
        <w:bottom w:val="none" w:sz="0" w:space="0" w:color="auto"/>
        <w:right w:val="none" w:sz="0" w:space="0" w:color="auto"/>
      </w:divBdr>
    </w:div>
    <w:div w:id="1624194276">
      <w:marLeft w:val="0"/>
      <w:marRight w:val="0"/>
      <w:marTop w:val="0"/>
      <w:marBottom w:val="0"/>
      <w:divBdr>
        <w:top w:val="none" w:sz="0" w:space="0" w:color="auto"/>
        <w:left w:val="none" w:sz="0" w:space="0" w:color="auto"/>
        <w:bottom w:val="none" w:sz="0" w:space="0" w:color="auto"/>
        <w:right w:val="none" w:sz="0" w:space="0" w:color="auto"/>
      </w:divBdr>
    </w:div>
    <w:div w:id="1624194277">
      <w:marLeft w:val="0"/>
      <w:marRight w:val="0"/>
      <w:marTop w:val="0"/>
      <w:marBottom w:val="0"/>
      <w:divBdr>
        <w:top w:val="none" w:sz="0" w:space="0" w:color="auto"/>
        <w:left w:val="none" w:sz="0" w:space="0" w:color="auto"/>
        <w:bottom w:val="none" w:sz="0" w:space="0" w:color="auto"/>
        <w:right w:val="none" w:sz="0" w:space="0" w:color="auto"/>
      </w:divBdr>
    </w:div>
    <w:div w:id="1624194278">
      <w:marLeft w:val="0"/>
      <w:marRight w:val="0"/>
      <w:marTop w:val="0"/>
      <w:marBottom w:val="0"/>
      <w:divBdr>
        <w:top w:val="none" w:sz="0" w:space="0" w:color="auto"/>
        <w:left w:val="none" w:sz="0" w:space="0" w:color="auto"/>
        <w:bottom w:val="none" w:sz="0" w:space="0" w:color="auto"/>
        <w:right w:val="none" w:sz="0" w:space="0" w:color="auto"/>
      </w:divBdr>
    </w:div>
    <w:div w:id="1624194279">
      <w:marLeft w:val="0"/>
      <w:marRight w:val="0"/>
      <w:marTop w:val="0"/>
      <w:marBottom w:val="0"/>
      <w:divBdr>
        <w:top w:val="none" w:sz="0" w:space="0" w:color="auto"/>
        <w:left w:val="none" w:sz="0" w:space="0" w:color="auto"/>
        <w:bottom w:val="none" w:sz="0" w:space="0" w:color="auto"/>
        <w:right w:val="none" w:sz="0" w:space="0" w:color="auto"/>
      </w:divBdr>
    </w:div>
    <w:div w:id="1624194280">
      <w:marLeft w:val="0"/>
      <w:marRight w:val="0"/>
      <w:marTop w:val="0"/>
      <w:marBottom w:val="0"/>
      <w:divBdr>
        <w:top w:val="none" w:sz="0" w:space="0" w:color="auto"/>
        <w:left w:val="none" w:sz="0" w:space="0" w:color="auto"/>
        <w:bottom w:val="none" w:sz="0" w:space="0" w:color="auto"/>
        <w:right w:val="none" w:sz="0" w:space="0" w:color="auto"/>
      </w:divBdr>
    </w:div>
    <w:div w:id="1624194281">
      <w:marLeft w:val="0"/>
      <w:marRight w:val="0"/>
      <w:marTop w:val="0"/>
      <w:marBottom w:val="0"/>
      <w:divBdr>
        <w:top w:val="none" w:sz="0" w:space="0" w:color="auto"/>
        <w:left w:val="none" w:sz="0" w:space="0" w:color="auto"/>
        <w:bottom w:val="none" w:sz="0" w:space="0" w:color="auto"/>
        <w:right w:val="none" w:sz="0" w:space="0" w:color="auto"/>
      </w:divBdr>
    </w:div>
    <w:div w:id="1624194282">
      <w:marLeft w:val="0"/>
      <w:marRight w:val="0"/>
      <w:marTop w:val="0"/>
      <w:marBottom w:val="0"/>
      <w:divBdr>
        <w:top w:val="none" w:sz="0" w:space="0" w:color="auto"/>
        <w:left w:val="none" w:sz="0" w:space="0" w:color="auto"/>
        <w:bottom w:val="none" w:sz="0" w:space="0" w:color="auto"/>
        <w:right w:val="none" w:sz="0" w:space="0" w:color="auto"/>
      </w:divBdr>
    </w:div>
    <w:div w:id="1624194283">
      <w:marLeft w:val="0"/>
      <w:marRight w:val="0"/>
      <w:marTop w:val="0"/>
      <w:marBottom w:val="0"/>
      <w:divBdr>
        <w:top w:val="none" w:sz="0" w:space="0" w:color="auto"/>
        <w:left w:val="none" w:sz="0" w:space="0" w:color="auto"/>
        <w:bottom w:val="none" w:sz="0" w:space="0" w:color="auto"/>
        <w:right w:val="none" w:sz="0" w:space="0" w:color="auto"/>
      </w:divBdr>
    </w:div>
    <w:div w:id="1624194284">
      <w:marLeft w:val="0"/>
      <w:marRight w:val="0"/>
      <w:marTop w:val="0"/>
      <w:marBottom w:val="0"/>
      <w:divBdr>
        <w:top w:val="none" w:sz="0" w:space="0" w:color="auto"/>
        <w:left w:val="none" w:sz="0" w:space="0" w:color="auto"/>
        <w:bottom w:val="none" w:sz="0" w:space="0" w:color="auto"/>
        <w:right w:val="none" w:sz="0" w:space="0" w:color="auto"/>
      </w:divBdr>
    </w:div>
    <w:div w:id="1624194285">
      <w:marLeft w:val="0"/>
      <w:marRight w:val="0"/>
      <w:marTop w:val="0"/>
      <w:marBottom w:val="0"/>
      <w:divBdr>
        <w:top w:val="none" w:sz="0" w:space="0" w:color="auto"/>
        <w:left w:val="none" w:sz="0" w:space="0" w:color="auto"/>
        <w:bottom w:val="none" w:sz="0" w:space="0" w:color="auto"/>
        <w:right w:val="none" w:sz="0" w:space="0" w:color="auto"/>
      </w:divBdr>
    </w:div>
    <w:div w:id="1624194286">
      <w:marLeft w:val="0"/>
      <w:marRight w:val="0"/>
      <w:marTop w:val="0"/>
      <w:marBottom w:val="0"/>
      <w:divBdr>
        <w:top w:val="none" w:sz="0" w:space="0" w:color="auto"/>
        <w:left w:val="none" w:sz="0" w:space="0" w:color="auto"/>
        <w:bottom w:val="none" w:sz="0" w:space="0" w:color="auto"/>
        <w:right w:val="none" w:sz="0" w:space="0" w:color="auto"/>
      </w:divBdr>
    </w:div>
    <w:div w:id="1624194287">
      <w:marLeft w:val="0"/>
      <w:marRight w:val="0"/>
      <w:marTop w:val="0"/>
      <w:marBottom w:val="0"/>
      <w:divBdr>
        <w:top w:val="none" w:sz="0" w:space="0" w:color="auto"/>
        <w:left w:val="none" w:sz="0" w:space="0" w:color="auto"/>
        <w:bottom w:val="none" w:sz="0" w:space="0" w:color="auto"/>
        <w:right w:val="none" w:sz="0" w:space="0" w:color="auto"/>
      </w:divBdr>
    </w:div>
    <w:div w:id="1624194288">
      <w:marLeft w:val="0"/>
      <w:marRight w:val="0"/>
      <w:marTop w:val="0"/>
      <w:marBottom w:val="0"/>
      <w:divBdr>
        <w:top w:val="none" w:sz="0" w:space="0" w:color="auto"/>
        <w:left w:val="none" w:sz="0" w:space="0" w:color="auto"/>
        <w:bottom w:val="none" w:sz="0" w:space="0" w:color="auto"/>
        <w:right w:val="none" w:sz="0" w:space="0" w:color="auto"/>
      </w:divBdr>
    </w:div>
    <w:div w:id="1624194289">
      <w:marLeft w:val="0"/>
      <w:marRight w:val="0"/>
      <w:marTop w:val="0"/>
      <w:marBottom w:val="0"/>
      <w:divBdr>
        <w:top w:val="none" w:sz="0" w:space="0" w:color="auto"/>
        <w:left w:val="none" w:sz="0" w:space="0" w:color="auto"/>
        <w:bottom w:val="none" w:sz="0" w:space="0" w:color="auto"/>
        <w:right w:val="none" w:sz="0" w:space="0" w:color="auto"/>
      </w:divBdr>
    </w:div>
    <w:div w:id="1624194290">
      <w:marLeft w:val="0"/>
      <w:marRight w:val="0"/>
      <w:marTop w:val="0"/>
      <w:marBottom w:val="0"/>
      <w:divBdr>
        <w:top w:val="none" w:sz="0" w:space="0" w:color="auto"/>
        <w:left w:val="none" w:sz="0" w:space="0" w:color="auto"/>
        <w:bottom w:val="none" w:sz="0" w:space="0" w:color="auto"/>
        <w:right w:val="none" w:sz="0" w:space="0" w:color="auto"/>
      </w:divBdr>
    </w:div>
    <w:div w:id="1624194291">
      <w:marLeft w:val="0"/>
      <w:marRight w:val="0"/>
      <w:marTop w:val="0"/>
      <w:marBottom w:val="0"/>
      <w:divBdr>
        <w:top w:val="none" w:sz="0" w:space="0" w:color="auto"/>
        <w:left w:val="none" w:sz="0" w:space="0" w:color="auto"/>
        <w:bottom w:val="none" w:sz="0" w:space="0" w:color="auto"/>
        <w:right w:val="none" w:sz="0" w:space="0" w:color="auto"/>
      </w:divBdr>
    </w:div>
    <w:div w:id="1624194292">
      <w:marLeft w:val="0"/>
      <w:marRight w:val="0"/>
      <w:marTop w:val="0"/>
      <w:marBottom w:val="0"/>
      <w:divBdr>
        <w:top w:val="none" w:sz="0" w:space="0" w:color="auto"/>
        <w:left w:val="none" w:sz="0" w:space="0" w:color="auto"/>
        <w:bottom w:val="none" w:sz="0" w:space="0" w:color="auto"/>
        <w:right w:val="none" w:sz="0" w:space="0" w:color="auto"/>
      </w:divBdr>
    </w:div>
    <w:div w:id="1624194293">
      <w:marLeft w:val="0"/>
      <w:marRight w:val="0"/>
      <w:marTop w:val="0"/>
      <w:marBottom w:val="0"/>
      <w:divBdr>
        <w:top w:val="none" w:sz="0" w:space="0" w:color="auto"/>
        <w:left w:val="none" w:sz="0" w:space="0" w:color="auto"/>
        <w:bottom w:val="none" w:sz="0" w:space="0" w:color="auto"/>
        <w:right w:val="none" w:sz="0" w:space="0" w:color="auto"/>
      </w:divBdr>
    </w:div>
    <w:div w:id="1624194294">
      <w:marLeft w:val="0"/>
      <w:marRight w:val="0"/>
      <w:marTop w:val="0"/>
      <w:marBottom w:val="0"/>
      <w:divBdr>
        <w:top w:val="none" w:sz="0" w:space="0" w:color="auto"/>
        <w:left w:val="none" w:sz="0" w:space="0" w:color="auto"/>
        <w:bottom w:val="none" w:sz="0" w:space="0" w:color="auto"/>
        <w:right w:val="none" w:sz="0" w:space="0" w:color="auto"/>
      </w:divBdr>
    </w:div>
    <w:div w:id="1624194295">
      <w:marLeft w:val="0"/>
      <w:marRight w:val="0"/>
      <w:marTop w:val="0"/>
      <w:marBottom w:val="0"/>
      <w:divBdr>
        <w:top w:val="none" w:sz="0" w:space="0" w:color="auto"/>
        <w:left w:val="none" w:sz="0" w:space="0" w:color="auto"/>
        <w:bottom w:val="none" w:sz="0" w:space="0" w:color="auto"/>
        <w:right w:val="none" w:sz="0" w:space="0" w:color="auto"/>
      </w:divBdr>
    </w:div>
    <w:div w:id="1624194296">
      <w:marLeft w:val="0"/>
      <w:marRight w:val="0"/>
      <w:marTop w:val="0"/>
      <w:marBottom w:val="0"/>
      <w:divBdr>
        <w:top w:val="none" w:sz="0" w:space="0" w:color="auto"/>
        <w:left w:val="none" w:sz="0" w:space="0" w:color="auto"/>
        <w:bottom w:val="none" w:sz="0" w:space="0" w:color="auto"/>
        <w:right w:val="none" w:sz="0" w:space="0" w:color="auto"/>
      </w:divBdr>
    </w:div>
    <w:div w:id="1624194297">
      <w:marLeft w:val="0"/>
      <w:marRight w:val="0"/>
      <w:marTop w:val="0"/>
      <w:marBottom w:val="0"/>
      <w:divBdr>
        <w:top w:val="none" w:sz="0" w:space="0" w:color="auto"/>
        <w:left w:val="none" w:sz="0" w:space="0" w:color="auto"/>
        <w:bottom w:val="none" w:sz="0" w:space="0" w:color="auto"/>
        <w:right w:val="none" w:sz="0" w:space="0" w:color="auto"/>
      </w:divBdr>
    </w:div>
    <w:div w:id="1624194298">
      <w:marLeft w:val="0"/>
      <w:marRight w:val="0"/>
      <w:marTop w:val="0"/>
      <w:marBottom w:val="0"/>
      <w:divBdr>
        <w:top w:val="none" w:sz="0" w:space="0" w:color="auto"/>
        <w:left w:val="none" w:sz="0" w:space="0" w:color="auto"/>
        <w:bottom w:val="none" w:sz="0" w:space="0" w:color="auto"/>
        <w:right w:val="none" w:sz="0" w:space="0" w:color="auto"/>
      </w:divBdr>
    </w:div>
    <w:div w:id="1624194299">
      <w:marLeft w:val="0"/>
      <w:marRight w:val="0"/>
      <w:marTop w:val="0"/>
      <w:marBottom w:val="0"/>
      <w:divBdr>
        <w:top w:val="none" w:sz="0" w:space="0" w:color="auto"/>
        <w:left w:val="none" w:sz="0" w:space="0" w:color="auto"/>
        <w:bottom w:val="none" w:sz="0" w:space="0" w:color="auto"/>
        <w:right w:val="none" w:sz="0" w:space="0" w:color="auto"/>
      </w:divBdr>
    </w:div>
    <w:div w:id="1624194300">
      <w:marLeft w:val="0"/>
      <w:marRight w:val="0"/>
      <w:marTop w:val="0"/>
      <w:marBottom w:val="0"/>
      <w:divBdr>
        <w:top w:val="none" w:sz="0" w:space="0" w:color="auto"/>
        <w:left w:val="none" w:sz="0" w:space="0" w:color="auto"/>
        <w:bottom w:val="none" w:sz="0" w:space="0" w:color="auto"/>
        <w:right w:val="none" w:sz="0" w:space="0" w:color="auto"/>
      </w:divBdr>
    </w:div>
    <w:div w:id="1624194301">
      <w:marLeft w:val="0"/>
      <w:marRight w:val="0"/>
      <w:marTop w:val="0"/>
      <w:marBottom w:val="0"/>
      <w:divBdr>
        <w:top w:val="none" w:sz="0" w:space="0" w:color="auto"/>
        <w:left w:val="none" w:sz="0" w:space="0" w:color="auto"/>
        <w:bottom w:val="none" w:sz="0" w:space="0" w:color="auto"/>
        <w:right w:val="none" w:sz="0" w:space="0" w:color="auto"/>
      </w:divBdr>
    </w:div>
    <w:div w:id="1624194302">
      <w:marLeft w:val="0"/>
      <w:marRight w:val="0"/>
      <w:marTop w:val="0"/>
      <w:marBottom w:val="0"/>
      <w:divBdr>
        <w:top w:val="none" w:sz="0" w:space="0" w:color="auto"/>
        <w:left w:val="none" w:sz="0" w:space="0" w:color="auto"/>
        <w:bottom w:val="none" w:sz="0" w:space="0" w:color="auto"/>
        <w:right w:val="none" w:sz="0" w:space="0" w:color="auto"/>
      </w:divBdr>
    </w:div>
    <w:div w:id="1624194303">
      <w:marLeft w:val="0"/>
      <w:marRight w:val="0"/>
      <w:marTop w:val="0"/>
      <w:marBottom w:val="0"/>
      <w:divBdr>
        <w:top w:val="none" w:sz="0" w:space="0" w:color="auto"/>
        <w:left w:val="none" w:sz="0" w:space="0" w:color="auto"/>
        <w:bottom w:val="none" w:sz="0" w:space="0" w:color="auto"/>
        <w:right w:val="none" w:sz="0" w:space="0" w:color="auto"/>
      </w:divBdr>
    </w:div>
    <w:div w:id="1624194304">
      <w:marLeft w:val="0"/>
      <w:marRight w:val="0"/>
      <w:marTop w:val="0"/>
      <w:marBottom w:val="0"/>
      <w:divBdr>
        <w:top w:val="none" w:sz="0" w:space="0" w:color="auto"/>
        <w:left w:val="none" w:sz="0" w:space="0" w:color="auto"/>
        <w:bottom w:val="none" w:sz="0" w:space="0" w:color="auto"/>
        <w:right w:val="none" w:sz="0" w:space="0" w:color="auto"/>
      </w:divBdr>
    </w:div>
    <w:div w:id="1624194305">
      <w:marLeft w:val="0"/>
      <w:marRight w:val="0"/>
      <w:marTop w:val="0"/>
      <w:marBottom w:val="0"/>
      <w:divBdr>
        <w:top w:val="none" w:sz="0" w:space="0" w:color="auto"/>
        <w:left w:val="none" w:sz="0" w:space="0" w:color="auto"/>
        <w:bottom w:val="none" w:sz="0" w:space="0" w:color="auto"/>
        <w:right w:val="none" w:sz="0" w:space="0" w:color="auto"/>
      </w:divBdr>
    </w:div>
    <w:div w:id="1624194306">
      <w:marLeft w:val="0"/>
      <w:marRight w:val="0"/>
      <w:marTop w:val="0"/>
      <w:marBottom w:val="0"/>
      <w:divBdr>
        <w:top w:val="none" w:sz="0" w:space="0" w:color="auto"/>
        <w:left w:val="none" w:sz="0" w:space="0" w:color="auto"/>
        <w:bottom w:val="none" w:sz="0" w:space="0" w:color="auto"/>
        <w:right w:val="none" w:sz="0" w:space="0" w:color="auto"/>
      </w:divBdr>
    </w:div>
    <w:div w:id="1624194307">
      <w:marLeft w:val="0"/>
      <w:marRight w:val="0"/>
      <w:marTop w:val="0"/>
      <w:marBottom w:val="0"/>
      <w:divBdr>
        <w:top w:val="none" w:sz="0" w:space="0" w:color="auto"/>
        <w:left w:val="none" w:sz="0" w:space="0" w:color="auto"/>
        <w:bottom w:val="none" w:sz="0" w:space="0" w:color="auto"/>
        <w:right w:val="none" w:sz="0" w:space="0" w:color="auto"/>
      </w:divBdr>
    </w:div>
    <w:div w:id="1624194308">
      <w:marLeft w:val="0"/>
      <w:marRight w:val="0"/>
      <w:marTop w:val="0"/>
      <w:marBottom w:val="0"/>
      <w:divBdr>
        <w:top w:val="none" w:sz="0" w:space="0" w:color="auto"/>
        <w:left w:val="none" w:sz="0" w:space="0" w:color="auto"/>
        <w:bottom w:val="none" w:sz="0" w:space="0" w:color="auto"/>
        <w:right w:val="none" w:sz="0" w:space="0" w:color="auto"/>
      </w:divBdr>
    </w:div>
    <w:div w:id="1624194309">
      <w:marLeft w:val="0"/>
      <w:marRight w:val="0"/>
      <w:marTop w:val="0"/>
      <w:marBottom w:val="0"/>
      <w:divBdr>
        <w:top w:val="none" w:sz="0" w:space="0" w:color="auto"/>
        <w:left w:val="none" w:sz="0" w:space="0" w:color="auto"/>
        <w:bottom w:val="none" w:sz="0" w:space="0" w:color="auto"/>
        <w:right w:val="none" w:sz="0" w:space="0" w:color="auto"/>
      </w:divBdr>
    </w:div>
    <w:div w:id="1624194310">
      <w:marLeft w:val="0"/>
      <w:marRight w:val="0"/>
      <w:marTop w:val="0"/>
      <w:marBottom w:val="0"/>
      <w:divBdr>
        <w:top w:val="none" w:sz="0" w:space="0" w:color="auto"/>
        <w:left w:val="none" w:sz="0" w:space="0" w:color="auto"/>
        <w:bottom w:val="none" w:sz="0" w:space="0" w:color="auto"/>
        <w:right w:val="none" w:sz="0" w:space="0" w:color="auto"/>
      </w:divBdr>
    </w:div>
    <w:div w:id="1624194311">
      <w:marLeft w:val="0"/>
      <w:marRight w:val="0"/>
      <w:marTop w:val="0"/>
      <w:marBottom w:val="0"/>
      <w:divBdr>
        <w:top w:val="none" w:sz="0" w:space="0" w:color="auto"/>
        <w:left w:val="none" w:sz="0" w:space="0" w:color="auto"/>
        <w:bottom w:val="none" w:sz="0" w:space="0" w:color="auto"/>
        <w:right w:val="none" w:sz="0" w:space="0" w:color="auto"/>
      </w:divBdr>
    </w:div>
    <w:div w:id="1624194312">
      <w:marLeft w:val="0"/>
      <w:marRight w:val="0"/>
      <w:marTop w:val="0"/>
      <w:marBottom w:val="0"/>
      <w:divBdr>
        <w:top w:val="none" w:sz="0" w:space="0" w:color="auto"/>
        <w:left w:val="none" w:sz="0" w:space="0" w:color="auto"/>
        <w:bottom w:val="none" w:sz="0" w:space="0" w:color="auto"/>
        <w:right w:val="none" w:sz="0" w:space="0" w:color="auto"/>
      </w:divBdr>
    </w:div>
    <w:div w:id="1624194313">
      <w:marLeft w:val="0"/>
      <w:marRight w:val="0"/>
      <w:marTop w:val="0"/>
      <w:marBottom w:val="0"/>
      <w:divBdr>
        <w:top w:val="none" w:sz="0" w:space="0" w:color="auto"/>
        <w:left w:val="none" w:sz="0" w:space="0" w:color="auto"/>
        <w:bottom w:val="none" w:sz="0" w:space="0" w:color="auto"/>
        <w:right w:val="none" w:sz="0" w:space="0" w:color="auto"/>
      </w:divBdr>
    </w:div>
    <w:div w:id="1624194314">
      <w:marLeft w:val="0"/>
      <w:marRight w:val="0"/>
      <w:marTop w:val="0"/>
      <w:marBottom w:val="0"/>
      <w:divBdr>
        <w:top w:val="none" w:sz="0" w:space="0" w:color="auto"/>
        <w:left w:val="none" w:sz="0" w:space="0" w:color="auto"/>
        <w:bottom w:val="none" w:sz="0" w:space="0" w:color="auto"/>
        <w:right w:val="none" w:sz="0" w:space="0" w:color="auto"/>
      </w:divBdr>
    </w:div>
    <w:div w:id="1624194315">
      <w:marLeft w:val="0"/>
      <w:marRight w:val="0"/>
      <w:marTop w:val="0"/>
      <w:marBottom w:val="0"/>
      <w:divBdr>
        <w:top w:val="none" w:sz="0" w:space="0" w:color="auto"/>
        <w:left w:val="none" w:sz="0" w:space="0" w:color="auto"/>
        <w:bottom w:val="none" w:sz="0" w:space="0" w:color="auto"/>
        <w:right w:val="none" w:sz="0" w:space="0" w:color="auto"/>
      </w:divBdr>
    </w:div>
    <w:div w:id="1624194316">
      <w:marLeft w:val="0"/>
      <w:marRight w:val="0"/>
      <w:marTop w:val="0"/>
      <w:marBottom w:val="0"/>
      <w:divBdr>
        <w:top w:val="none" w:sz="0" w:space="0" w:color="auto"/>
        <w:left w:val="none" w:sz="0" w:space="0" w:color="auto"/>
        <w:bottom w:val="none" w:sz="0" w:space="0" w:color="auto"/>
        <w:right w:val="none" w:sz="0" w:space="0" w:color="auto"/>
      </w:divBdr>
    </w:div>
    <w:div w:id="1624194317">
      <w:marLeft w:val="0"/>
      <w:marRight w:val="0"/>
      <w:marTop w:val="0"/>
      <w:marBottom w:val="0"/>
      <w:divBdr>
        <w:top w:val="none" w:sz="0" w:space="0" w:color="auto"/>
        <w:left w:val="none" w:sz="0" w:space="0" w:color="auto"/>
        <w:bottom w:val="none" w:sz="0" w:space="0" w:color="auto"/>
        <w:right w:val="none" w:sz="0" w:space="0" w:color="auto"/>
      </w:divBdr>
    </w:div>
    <w:div w:id="1624194318">
      <w:marLeft w:val="0"/>
      <w:marRight w:val="0"/>
      <w:marTop w:val="0"/>
      <w:marBottom w:val="0"/>
      <w:divBdr>
        <w:top w:val="none" w:sz="0" w:space="0" w:color="auto"/>
        <w:left w:val="none" w:sz="0" w:space="0" w:color="auto"/>
        <w:bottom w:val="none" w:sz="0" w:space="0" w:color="auto"/>
        <w:right w:val="none" w:sz="0" w:space="0" w:color="auto"/>
      </w:divBdr>
    </w:div>
    <w:div w:id="1624194319">
      <w:marLeft w:val="0"/>
      <w:marRight w:val="0"/>
      <w:marTop w:val="0"/>
      <w:marBottom w:val="0"/>
      <w:divBdr>
        <w:top w:val="none" w:sz="0" w:space="0" w:color="auto"/>
        <w:left w:val="none" w:sz="0" w:space="0" w:color="auto"/>
        <w:bottom w:val="none" w:sz="0" w:space="0" w:color="auto"/>
        <w:right w:val="none" w:sz="0" w:space="0" w:color="auto"/>
      </w:divBdr>
    </w:div>
    <w:div w:id="1624194320">
      <w:marLeft w:val="0"/>
      <w:marRight w:val="0"/>
      <w:marTop w:val="0"/>
      <w:marBottom w:val="0"/>
      <w:divBdr>
        <w:top w:val="none" w:sz="0" w:space="0" w:color="auto"/>
        <w:left w:val="none" w:sz="0" w:space="0" w:color="auto"/>
        <w:bottom w:val="none" w:sz="0" w:space="0" w:color="auto"/>
        <w:right w:val="none" w:sz="0" w:space="0" w:color="auto"/>
      </w:divBdr>
    </w:div>
    <w:div w:id="1624194321">
      <w:marLeft w:val="0"/>
      <w:marRight w:val="0"/>
      <w:marTop w:val="0"/>
      <w:marBottom w:val="0"/>
      <w:divBdr>
        <w:top w:val="none" w:sz="0" w:space="0" w:color="auto"/>
        <w:left w:val="none" w:sz="0" w:space="0" w:color="auto"/>
        <w:bottom w:val="none" w:sz="0" w:space="0" w:color="auto"/>
        <w:right w:val="none" w:sz="0" w:space="0" w:color="auto"/>
      </w:divBdr>
    </w:div>
    <w:div w:id="1624194322">
      <w:marLeft w:val="0"/>
      <w:marRight w:val="0"/>
      <w:marTop w:val="0"/>
      <w:marBottom w:val="0"/>
      <w:divBdr>
        <w:top w:val="none" w:sz="0" w:space="0" w:color="auto"/>
        <w:left w:val="none" w:sz="0" w:space="0" w:color="auto"/>
        <w:bottom w:val="none" w:sz="0" w:space="0" w:color="auto"/>
        <w:right w:val="none" w:sz="0" w:space="0" w:color="auto"/>
      </w:divBdr>
    </w:div>
    <w:div w:id="1624194323">
      <w:marLeft w:val="0"/>
      <w:marRight w:val="0"/>
      <w:marTop w:val="0"/>
      <w:marBottom w:val="0"/>
      <w:divBdr>
        <w:top w:val="none" w:sz="0" w:space="0" w:color="auto"/>
        <w:left w:val="none" w:sz="0" w:space="0" w:color="auto"/>
        <w:bottom w:val="none" w:sz="0" w:space="0" w:color="auto"/>
        <w:right w:val="none" w:sz="0" w:space="0" w:color="auto"/>
      </w:divBdr>
    </w:div>
    <w:div w:id="1624194324">
      <w:marLeft w:val="0"/>
      <w:marRight w:val="0"/>
      <w:marTop w:val="0"/>
      <w:marBottom w:val="0"/>
      <w:divBdr>
        <w:top w:val="none" w:sz="0" w:space="0" w:color="auto"/>
        <w:left w:val="none" w:sz="0" w:space="0" w:color="auto"/>
        <w:bottom w:val="none" w:sz="0" w:space="0" w:color="auto"/>
        <w:right w:val="none" w:sz="0" w:space="0" w:color="auto"/>
      </w:divBdr>
    </w:div>
    <w:div w:id="1624194325">
      <w:marLeft w:val="0"/>
      <w:marRight w:val="0"/>
      <w:marTop w:val="0"/>
      <w:marBottom w:val="0"/>
      <w:divBdr>
        <w:top w:val="none" w:sz="0" w:space="0" w:color="auto"/>
        <w:left w:val="none" w:sz="0" w:space="0" w:color="auto"/>
        <w:bottom w:val="none" w:sz="0" w:space="0" w:color="auto"/>
        <w:right w:val="none" w:sz="0" w:space="0" w:color="auto"/>
      </w:divBdr>
    </w:div>
    <w:div w:id="1624194326">
      <w:marLeft w:val="0"/>
      <w:marRight w:val="0"/>
      <w:marTop w:val="0"/>
      <w:marBottom w:val="0"/>
      <w:divBdr>
        <w:top w:val="none" w:sz="0" w:space="0" w:color="auto"/>
        <w:left w:val="none" w:sz="0" w:space="0" w:color="auto"/>
        <w:bottom w:val="none" w:sz="0" w:space="0" w:color="auto"/>
        <w:right w:val="none" w:sz="0" w:space="0" w:color="auto"/>
      </w:divBdr>
    </w:div>
    <w:div w:id="1624194327">
      <w:marLeft w:val="0"/>
      <w:marRight w:val="0"/>
      <w:marTop w:val="0"/>
      <w:marBottom w:val="0"/>
      <w:divBdr>
        <w:top w:val="none" w:sz="0" w:space="0" w:color="auto"/>
        <w:left w:val="none" w:sz="0" w:space="0" w:color="auto"/>
        <w:bottom w:val="none" w:sz="0" w:space="0" w:color="auto"/>
        <w:right w:val="none" w:sz="0" w:space="0" w:color="auto"/>
      </w:divBdr>
    </w:div>
    <w:div w:id="1624194328">
      <w:marLeft w:val="0"/>
      <w:marRight w:val="0"/>
      <w:marTop w:val="0"/>
      <w:marBottom w:val="0"/>
      <w:divBdr>
        <w:top w:val="none" w:sz="0" w:space="0" w:color="auto"/>
        <w:left w:val="none" w:sz="0" w:space="0" w:color="auto"/>
        <w:bottom w:val="none" w:sz="0" w:space="0" w:color="auto"/>
        <w:right w:val="none" w:sz="0" w:space="0" w:color="auto"/>
      </w:divBdr>
    </w:div>
    <w:div w:id="1624194329">
      <w:marLeft w:val="0"/>
      <w:marRight w:val="0"/>
      <w:marTop w:val="0"/>
      <w:marBottom w:val="0"/>
      <w:divBdr>
        <w:top w:val="none" w:sz="0" w:space="0" w:color="auto"/>
        <w:left w:val="none" w:sz="0" w:space="0" w:color="auto"/>
        <w:bottom w:val="none" w:sz="0" w:space="0" w:color="auto"/>
        <w:right w:val="none" w:sz="0" w:space="0" w:color="auto"/>
      </w:divBdr>
    </w:div>
    <w:div w:id="1624194330">
      <w:marLeft w:val="0"/>
      <w:marRight w:val="0"/>
      <w:marTop w:val="0"/>
      <w:marBottom w:val="0"/>
      <w:divBdr>
        <w:top w:val="none" w:sz="0" w:space="0" w:color="auto"/>
        <w:left w:val="none" w:sz="0" w:space="0" w:color="auto"/>
        <w:bottom w:val="none" w:sz="0" w:space="0" w:color="auto"/>
        <w:right w:val="none" w:sz="0" w:space="0" w:color="auto"/>
      </w:divBdr>
    </w:div>
    <w:div w:id="1624194331">
      <w:marLeft w:val="0"/>
      <w:marRight w:val="0"/>
      <w:marTop w:val="0"/>
      <w:marBottom w:val="0"/>
      <w:divBdr>
        <w:top w:val="none" w:sz="0" w:space="0" w:color="auto"/>
        <w:left w:val="none" w:sz="0" w:space="0" w:color="auto"/>
        <w:bottom w:val="none" w:sz="0" w:space="0" w:color="auto"/>
        <w:right w:val="none" w:sz="0" w:space="0" w:color="auto"/>
      </w:divBdr>
    </w:div>
    <w:div w:id="1624194332">
      <w:marLeft w:val="0"/>
      <w:marRight w:val="0"/>
      <w:marTop w:val="0"/>
      <w:marBottom w:val="0"/>
      <w:divBdr>
        <w:top w:val="none" w:sz="0" w:space="0" w:color="auto"/>
        <w:left w:val="none" w:sz="0" w:space="0" w:color="auto"/>
        <w:bottom w:val="none" w:sz="0" w:space="0" w:color="auto"/>
        <w:right w:val="none" w:sz="0" w:space="0" w:color="auto"/>
      </w:divBdr>
    </w:div>
    <w:div w:id="1624194333">
      <w:marLeft w:val="0"/>
      <w:marRight w:val="0"/>
      <w:marTop w:val="0"/>
      <w:marBottom w:val="0"/>
      <w:divBdr>
        <w:top w:val="none" w:sz="0" w:space="0" w:color="auto"/>
        <w:left w:val="none" w:sz="0" w:space="0" w:color="auto"/>
        <w:bottom w:val="none" w:sz="0" w:space="0" w:color="auto"/>
        <w:right w:val="none" w:sz="0" w:space="0" w:color="auto"/>
      </w:divBdr>
    </w:div>
    <w:div w:id="1624194334">
      <w:marLeft w:val="0"/>
      <w:marRight w:val="0"/>
      <w:marTop w:val="0"/>
      <w:marBottom w:val="0"/>
      <w:divBdr>
        <w:top w:val="none" w:sz="0" w:space="0" w:color="auto"/>
        <w:left w:val="none" w:sz="0" w:space="0" w:color="auto"/>
        <w:bottom w:val="none" w:sz="0" w:space="0" w:color="auto"/>
        <w:right w:val="none" w:sz="0" w:space="0" w:color="auto"/>
      </w:divBdr>
    </w:div>
    <w:div w:id="1624194335">
      <w:marLeft w:val="0"/>
      <w:marRight w:val="0"/>
      <w:marTop w:val="0"/>
      <w:marBottom w:val="0"/>
      <w:divBdr>
        <w:top w:val="none" w:sz="0" w:space="0" w:color="auto"/>
        <w:left w:val="none" w:sz="0" w:space="0" w:color="auto"/>
        <w:bottom w:val="none" w:sz="0" w:space="0" w:color="auto"/>
        <w:right w:val="none" w:sz="0" w:space="0" w:color="auto"/>
      </w:divBdr>
    </w:div>
    <w:div w:id="1624194336">
      <w:marLeft w:val="0"/>
      <w:marRight w:val="0"/>
      <w:marTop w:val="0"/>
      <w:marBottom w:val="0"/>
      <w:divBdr>
        <w:top w:val="none" w:sz="0" w:space="0" w:color="auto"/>
        <w:left w:val="none" w:sz="0" w:space="0" w:color="auto"/>
        <w:bottom w:val="none" w:sz="0" w:space="0" w:color="auto"/>
        <w:right w:val="none" w:sz="0" w:space="0" w:color="auto"/>
      </w:divBdr>
    </w:div>
    <w:div w:id="1624194337">
      <w:marLeft w:val="0"/>
      <w:marRight w:val="0"/>
      <w:marTop w:val="0"/>
      <w:marBottom w:val="0"/>
      <w:divBdr>
        <w:top w:val="none" w:sz="0" w:space="0" w:color="auto"/>
        <w:left w:val="none" w:sz="0" w:space="0" w:color="auto"/>
        <w:bottom w:val="none" w:sz="0" w:space="0" w:color="auto"/>
        <w:right w:val="none" w:sz="0" w:space="0" w:color="auto"/>
      </w:divBdr>
    </w:div>
    <w:div w:id="1624194338">
      <w:marLeft w:val="0"/>
      <w:marRight w:val="0"/>
      <w:marTop w:val="0"/>
      <w:marBottom w:val="0"/>
      <w:divBdr>
        <w:top w:val="none" w:sz="0" w:space="0" w:color="auto"/>
        <w:left w:val="none" w:sz="0" w:space="0" w:color="auto"/>
        <w:bottom w:val="none" w:sz="0" w:space="0" w:color="auto"/>
        <w:right w:val="none" w:sz="0" w:space="0" w:color="auto"/>
      </w:divBdr>
    </w:div>
    <w:div w:id="1624194339">
      <w:marLeft w:val="0"/>
      <w:marRight w:val="0"/>
      <w:marTop w:val="0"/>
      <w:marBottom w:val="0"/>
      <w:divBdr>
        <w:top w:val="none" w:sz="0" w:space="0" w:color="auto"/>
        <w:left w:val="none" w:sz="0" w:space="0" w:color="auto"/>
        <w:bottom w:val="none" w:sz="0" w:space="0" w:color="auto"/>
        <w:right w:val="none" w:sz="0" w:space="0" w:color="auto"/>
      </w:divBdr>
    </w:div>
    <w:div w:id="1624194340">
      <w:marLeft w:val="0"/>
      <w:marRight w:val="0"/>
      <w:marTop w:val="0"/>
      <w:marBottom w:val="0"/>
      <w:divBdr>
        <w:top w:val="none" w:sz="0" w:space="0" w:color="auto"/>
        <w:left w:val="none" w:sz="0" w:space="0" w:color="auto"/>
        <w:bottom w:val="none" w:sz="0" w:space="0" w:color="auto"/>
        <w:right w:val="none" w:sz="0" w:space="0" w:color="auto"/>
      </w:divBdr>
    </w:div>
    <w:div w:id="1624194341">
      <w:marLeft w:val="0"/>
      <w:marRight w:val="0"/>
      <w:marTop w:val="0"/>
      <w:marBottom w:val="0"/>
      <w:divBdr>
        <w:top w:val="none" w:sz="0" w:space="0" w:color="auto"/>
        <w:left w:val="none" w:sz="0" w:space="0" w:color="auto"/>
        <w:bottom w:val="none" w:sz="0" w:space="0" w:color="auto"/>
        <w:right w:val="none" w:sz="0" w:space="0" w:color="auto"/>
      </w:divBdr>
    </w:div>
    <w:div w:id="1624194342">
      <w:marLeft w:val="0"/>
      <w:marRight w:val="0"/>
      <w:marTop w:val="0"/>
      <w:marBottom w:val="0"/>
      <w:divBdr>
        <w:top w:val="none" w:sz="0" w:space="0" w:color="auto"/>
        <w:left w:val="none" w:sz="0" w:space="0" w:color="auto"/>
        <w:bottom w:val="none" w:sz="0" w:space="0" w:color="auto"/>
        <w:right w:val="none" w:sz="0" w:space="0" w:color="auto"/>
      </w:divBdr>
    </w:div>
    <w:div w:id="1624194343">
      <w:marLeft w:val="0"/>
      <w:marRight w:val="0"/>
      <w:marTop w:val="0"/>
      <w:marBottom w:val="0"/>
      <w:divBdr>
        <w:top w:val="none" w:sz="0" w:space="0" w:color="auto"/>
        <w:left w:val="none" w:sz="0" w:space="0" w:color="auto"/>
        <w:bottom w:val="none" w:sz="0" w:space="0" w:color="auto"/>
        <w:right w:val="none" w:sz="0" w:space="0" w:color="auto"/>
      </w:divBdr>
    </w:div>
    <w:div w:id="1624194344">
      <w:marLeft w:val="0"/>
      <w:marRight w:val="0"/>
      <w:marTop w:val="0"/>
      <w:marBottom w:val="0"/>
      <w:divBdr>
        <w:top w:val="none" w:sz="0" w:space="0" w:color="auto"/>
        <w:left w:val="none" w:sz="0" w:space="0" w:color="auto"/>
        <w:bottom w:val="none" w:sz="0" w:space="0" w:color="auto"/>
        <w:right w:val="none" w:sz="0" w:space="0" w:color="auto"/>
      </w:divBdr>
    </w:div>
    <w:div w:id="1624194345">
      <w:marLeft w:val="0"/>
      <w:marRight w:val="0"/>
      <w:marTop w:val="0"/>
      <w:marBottom w:val="0"/>
      <w:divBdr>
        <w:top w:val="none" w:sz="0" w:space="0" w:color="auto"/>
        <w:left w:val="none" w:sz="0" w:space="0" w:color="auto"/>
        <w:bottom w:val="none" w:sz="0" w:space="0" w:color="auto"/>
        <w:right w:val="none" w:sz="0" w:space="0" w:color="auto"/>
      </w:divBdr>
    </w:div>
    <w:div w:id="1624194346">
      <w:marLeft w:val="0"/>
      <w:marRight w:val="0"/>
      <w:marTop w:val="0"/>
      <w:marBottom w:val="0"/>
      <w:divBdr>
        <w:top w:val="none" w:sz="0" w:space="0" w:color="auto"/>
        <w:left w:val="none" w:sz="0" w:space="0" w:color="auto"/>
        <w:bottom w:val="none" w:sz="0" w:space="0" w:color="auto"/>
        <w:right w:val="none" w:sz="0" w:space="0" w:color="auto"/>
      </w:divBdr>
    </w:div>
    <w:div w:id="1624194347">
      <w:marLeft w:val="0"/>
      <w:marRight w:val="0"/>
      <w:marTop w:val="0"/>
      <w:marBottom w:val="0"/>
      <w:divBdr>
        <w:top w:val="none" w:sz="0" w:space="0" w:color="auto"/>
        <w:left w:val="none" w:sz="0" w:space="0" w:color="auto"/>
        <w:bottom w:val="none" w:sz="0" w:space="0" w:color="auto"/>
        <w:right w:val="none" w:sz="0" w:space="0" w:color="auto"/>
      </w:divBdr>
    </w:div>
    <w:div w:id="1624194348">
      <w:marLeft w:val="0"/>
      <w:marRight w:val="0"/>
      <w:marTop w:val="0"/>
      <w:marBottom w:val="0"/>
      <w:divBdr>
        <w:top w:val="none" w:sz="0" w:space="0" w:color="auto"/>
        <w:left w:val="none" w:sz="0" w:space="0" w:color="auto"/>
        <w:bottom w:val="none" w:sz="0" w:space="0" w:color="auto"/>
        <w:right w:val="none" w:sz="0" w:space="0" w:color="auto"/>
      </w:divBdr>
    </w:div>
    <w:div w:id="1624194349">
      <w:marLeft w:val="0"/>
      <w:marRight w:val="0"/>
      <w:marTop w:val="0"/>
      <w:marBottom w:val="0"/>
      <w:divBdr>
        <w:top w:val="none" w:sz="0" w:space="0" w:color="auto"/>
        <w:left w:val="none" w:sz="0" w:space="0" w:color="auto"/>
        <w:bottom w:val="none" w:sz="0" w:space="0" w:color="auto"/>
        <w:right w:val="none" w:sz="0" w:space="0" w:color="auto"/>
      </w:divBdr>
    </w:div>
    <w:div w:id="1624194350">
      <w:marLeft w:val="0"/>
      <w:marRight w:val="0"/>
      <w:marTop w:val="0"/>
      <w:marBottom w:val="0"/>
      <w:divBdr>
        <w:top w:val="none" w:sz="0" w:space="0" w:color="auto"/>
        <w:left w:val="none" w:sz="0" w:space="0" w:color="auto"/>
        <w:bottom w:val="none" w:sz="0" w:space="0" w:color="auto"/>
        <w:right w:val="none" w:sz="0" w:space="0" w:color="auto"/>
      </w:divBdr>
    </w:div>
    <w:div w:id="1624194351">
      <w:marLeft w:val="0"/>
      <w:marRight w:val="0"/>
      <w:marTop w:val="0"/>
      <w:marBottom w:val="0"/>
      <w:divBdr>
        <w:top w:val="none" w:sz="0" w:space="0" w:color="auto"/>
        <w:left w:val="none" w:sz="0" w:space="0" w:color="auto"/>
        <w:bottom w:val="none" w:sz="0" w:space="0" w:color="auto"/>
        <w:right w:val="none" w:sz="0" w:space="0" w:color="auto"/>
      </w:divBdr>
    </w:div>
    <w:div w:id="1624194352">
      <w:marLeft w:val="0"/>
      <w:marRight w:val="0"/>
      <w:marTop w:val="0"/>
      <w:marBottom w:val="0"/>
      <w:divBdr>
        <w:top w:val="none" w:sz="0" w:space="0" w:color="auto"/>
        <w:left w:val="none" w:sz="0" w:space="0" w:color="auto"/>
        <w:bottom w:val="none" w:sz="0" w:space="0" w:color="auto"/>
        <w:right w:val="none" w:sz="0" w:space="0" w:color="auto"/>
      </w:divBdr>
    </w:div>
    <w:div w:id="1624194353">
      <w:marLeft w:val="0"/>
      <w:marRight w:val="0"/>
      <w:marTop w:val="0"/>
      <w:marBottom w:val="0"/>
      <w:divBdr>
        <w:top w:val="none" w:sz="0" w:space="0" w:color="auto"/>
        <w:left w:val="none" w:sz="0" w:space="0" w:color="auto"/>
        <w:bottom w:val="none" w:sz="0" w:space="0" w:color="auto"/>
        <w:right w:val="none" w:sz="0" w:space="0" w:color="auto"/>
      </w:divBdr>
    </w:div>
    <w:div w:id="1624194354">
      <w:marLeft w:val="0"/>
      <w:marRight w:val="0"/>
      <w:marTop w:val="0"/>
      <w:marBottom w:val="0"/>
      <w:divBdr>
        <w:top w:val="none" w:sz="0" w:space="0" w:color="auto"/>
        <w:left w:val="none" w:sz="0" w:space="0" w:color="auto"/>
        <w:bottom w:val="none" w:sz="0" w:space="0" w:color="auto"/>
        <w:right w:val="none" w:sz="0" w:space="0" w:color="auto"/>
      </w:divBdr>
    </w:div>
    <w:div w:id="1624194355">
      <w:marLeft w:val="0"/>
      <w:marRight w:val="0"/>
      <w:marTop w:val="0"/>
      <w:marBottom w:val="0"/>
      <w:divBdr>
        <w:top w:val="none" w:sz="0" w:space="0" w:color="auto"/>
        <w:left w:val="none" w:sz="0" w:space="0" w:color="auto"/>
        <w:bottom w:val="none" w:sz="0" w:space="0" w:color="auto"/>
        <w:right w:val="none" w:sz="0" w:space="0" w:color="auto"/>
      </w:divBdr>
    </w:div>
    <w:div w:id="1624194356">
      <w:marLeft w:val="0"/>
      <w:marRight w:val="0"/>
      <w:marTop w:val="0"/>
      <w:marBottom w:val="0"/>
      <w:divBdr>
        <w:top w:val="none" w:sz="0" w:space="0" w:color="auto"/>
        <w:left w:val="none" w:sz="0" w:space="0" w:color="auto"/>
        <w:bottom w:val="none" w:sz="0" w:space="0" w:color="auto"/>
        <w:right w:val="none" w:sz="0" w:space="0" w:color="auto"/>
      </w:divBdr>
    </w:div>
    <w:div w:id="1624194357">
      <w:marLeft w:val="0"/>
      <w:marRight w:val="0"/>
      <w:marTop w:val="0"/>
      <w:marBottom w:val="0"/>
      <w:divBdr>
        <w:top w:val="none" w:sz="0" w:space="0" w:color="auto"/>
        <w:left w:val="none" w:sz="0" w:space="0" w:color="auto"/>
        <w:bottom w:val="none" w:sz="0" w:space="0" w:color="auto"/>
        <w:right w:val="none" w:sz="0" w:space="0" w:color="auto"/>
      </w:divBdr>
    </w:div>
    <w:div w:id="1624194358">
      <w:marLeft w:val="0"/>
      <w:marRight w:val="0"/>
      <w:marTop w:val="0"/>
      <w:marBottom w:val="0"/>
      <w:divBdr>
        <w:top w:val="none" w:sz="0" w:space="0" w:color="auto"/>
        <w:left w:val="none" w:sz="0" w:space="0" w:color="auto"/>
        <w:bottom w:val="none" w:sz="0" w:space="0" w:color="auto"/>
        <w:right w:val="none" w:sz="0" w:space="0" w:color="auto"/>
      </w:divBdr>
    </w:div>
    <w:div w:id="1624194359">
      <w:marLeft w:val="0"/>
      <w:marRight w:val="0"/>
      <w:marTop w:val="0"/>
      <w:marBottom w:val="0"/>
      <w:divBdr>
        <w:top w:val="none" w:sz="0" w:space="0" w:color="auto"/>
        <w:left w:val="none" w:sz="0" w:space="0" w:color="auto"/>
        <w:bottom w:val="none" w:sz="0" w:space="0" w:color="auto"/>
        <w:right w:val="none" w:sz="0" w:space="0" w:color="auto"/>
      </w:divBdr>
    </w:div>
    <w:div w:id="1624194360">
      <w:marLeft w:val="0"/>
      <w:marRight w:val="0"/>
      <w:marTop w:val="0"/>
      <w:marBottom w:val="0"/>
      <w:divBdr>
        <w:top w:val="none" w:sz="0" w:space="0" w:color="auto"/>
        <w:left w:val="none" w:sz="0" w:space="0" w:color="auto"/>
        <w:bottom w:val="none" w:sz="0" w:space="0" w:color="auto"/>
        <w:right w:val="none" w:sz="0" w:space="0" w:color="auto"/>
      </w:divBdr>
    </w:div>
    <w:div w:id="1624194361">
      <w:marLeft w:val="0"/>
      <w:marRight w:val="0"/>
      <w:marTop w:val="0"/>
      <w:marBottom w:val="0"/>
      <w:divBdr>
        <w:top w:val="none" w:sz="0" w:space="0" w:color="auto"/>
        <w:left w:val="none" w:sz="0" w:space="0" w:color="auto"/>
        <w:bottom w:val="none" w:sz="0" w:space="0" w:color="auto"/>
        <w:right w:val="none" w:sz="0" w:space="0" w:color="auto"/>
      </w:divBdr>
    </w:div>
    <w:div w:id="1624194362">
      <w:marLeft w:val="0"/>
      <w:marRight w:val="0"/>
      <w:marTop w:val="0"/>
      <w:marBottom w:val="0"/>
      <w:divBdr>
        <w:top w:val="none" w:sz="0" w:space="0" w:color="auto"/>
        <w:left w:val="none" w:sz="0" w:space="0" w:color="auto"/>
        <w:bottom w:val="none" w:sz="0" w:space="0" w:color="auto"/>
        <w:right w:val="none" w:sz="0" w:space="0" w:color="auto"/>
      </w:divBdr>
    </w:div>
    <w:div w:id="1624194363">
      <w:marLeft w:val="0"/>
      <w:marRight w:val="0"/>
      <w:marTop w:val="0"/>
      <w:marBottom w:val="0"/>
      <w:divBdr>
        <w:top w:val="none" w:sz="0" w:space="0" w:color="auto"/>
        <w:left w:val="none" w:sz="0" w:space="0" w:color="auto"/>
        <w:bottom w:val="none" w:sz="0" w:space="0" w:color="auto"/>
        <w:right w:val="none" w:sz="0" w:space="0" w:color="auto"/>
      </w:divBdr>
    </w:div>
    <w:div w:id="1624194364">
      <w:marLeft w:val="0"/>
      <w:marRight w:val="0"/>
      <w:marTop w:val="0"/>
      <w:marBottom w:val="0"/>
      <w:divBdr>
        <w:top w:val="none" w:sz="0" w:space="0" w:color="auto"/>
        <w:left w:val="none" w:sz="0" w:space="0" w:color="auto"/>
        <w:bottom w:val="none" w:sz="0" w:space="0" w:color="auto"/>
        <w:right w:val="none" w:sz="0" w:space="0" w:color="auto"/>
      </w:divBdr>
    </w:div>
    <w:div w:id="1624194365">
      <w:marLeft w:val="0"/>
      <w:marRight w:val="0"/>
      <w:marTop w:val="0"/>
      <w:marBottom w:val="0"/>
      <w:divBdr>
        <w:top w:val="none" w:sz="0" w:space="0" w:color="auto"/>
        <w:left w:val="none" w:sz="0" w:space="0" w:color="auto"/>
        <w:bottom w:val="none" w:sz="0" w:space="0" w:color="auto"/>
        <w:right w:val="none" w:sz="0" w:space="0" w:color="auto"/>
      </w:divBdr>
    </w:div>
    <w:div w:id="1624194366">
      <w:marLeft w:val="0"/>
      <w:marRight w:val="0"/>
      <w:marTop w:val="0"/>
      <w:marBottom w:val="0"/>
      <w:divBdr>
        <w:top w:val="none" w:sz="0" w:space="0" w:color="auto"/>
        <w:left w:val="none" w:sz="0" w:space="0" w:color="auto"/>
        <w:bottom w:val="none" w:sz="0" w:space="0" w:color="auto"/>
        <w:right w:val="none" w:sz="0" w:space="0" w:color="auto"/>
      </w:divBdr>
    </w:div>
    <w:div w:id="1624194367">
      <w:marLeft w:val="0"/>
      <w:marRight w:val="0"/>
      <w:marTop w:val="0"/>
      <w:marBottom w:val="0"/>
      <w:divBdr>
        <w:top w:val="none" w:sz="0" w:space="0" w:color="auto"/>
        <w:left w:val="none" w:sz="0" w:space="0" w:color="auto"/>
        <w:bottom w:val="none" w:sz="0" w:space="0" w:color="auto"/>
        <w:right w:val="none" w:sz="0" w:space="0" w:color="auto"/>
      </w:divBdr>
    </w:div>
    <w:div w:id="1624194368">
      <w:marLeft w:val="0"/>
      <w:marRight w:val="0"/>
      <w:marTop w:val="0"/>
      <w:marBottom w:val="0"/>
      <w:divBdr>
        <w:top w:val="none" w:sz="0" w:space="0" w:color="auto"/>
        <w:left w:val="none" w:sz="0" w:space="0" w:color="auto"/>
        <w:bottom w:val="none" w:sz="0" w:space="0" w:color="auto"/>
        <w:right w:val="none" w:sz="0" w:space="0" w:color="auto"/>
      </w:divBdr>
    </w:div>
    <w:div w:id="1624194369">
      <w:marLeft w:val="0"/>
      <w:marRight w:val="0"/>
      <w:marTop w:val="0"/>
      <w:marBottom w:val="0"/>
      <w:divBdr>
        <w:top w:val="none" w:sz="0" w:space="0" w:color="auto"/>
        <w:left w:val="none" w:sz="0" w:space="0" w:color="auto"/>
        <w:bottom w:val="none" w:sz="0" w:space="0" w:color="auto"/>
        <w:right w:val="none" w:sz="0" w:space="0" w:color="auto"/>
      </w:divBdr>
    </w:div>
    <w:div w:id="1624194370">
      <w:marLeft w:val="0"/>
      <w:marRight w:val="0"/>
      <w:marTop w:val="0"/>
      <w:marBottom w:val="0"/>
      <w:divBdr>
        <w:top w:val="none" w:sz="0" w:space="0" w:color="auto"/>
        <w:left w:val="none" w:sz="0" w:space="0" w:color="auto"/>
        <w:bottom w:val="none" w:sz="0" w:space="0" w:color="auto"/>
        <w:right w:val="none" w:sz="0" w:space="0" w:color="auto"/>
      </w:divBdr>
    </w:div>
    <w:div w:id="1624194371">
      <w:marLeft w:val="0"/>
      <w:marRight w:val="0"/>
      <w:marTop w:val="0"/>
      <w:marBottom w:val="0"/>
      <w:divBdr>
        <w:top w:val="none" w:sz="0" w:space="0" w:color="auto"/>
        <w:left w:val="none" w:sz="0" w:space="0" w:color="auto"/>
        <w:bottom w:val="none" w:sz="0" w:space="0" w:color="auto"/>
        <w:right w:val="none" w:sz="0" w:space="0" w:color="auto"/>
      </w:divBdr>
    </w:div>
    <w:div w:id="1624194372">
      <w:marLeft w:val="0"/>
      <w:marRight w:val="0"/>
      <w:marTop w:val="0"/>
      <w:marBottom w:val="0"/>
      <w:divBdr>
        <w:top w:val="none" w:sz="0" w:space="0" w:color="auto"/>
        <w:left w:val="none" w:sz="0" w:space="0" w:color="auto"/>
        <w:bottom w:val="none" w:sz="0" w:space="0" w:color="auto"/>
        <w:right w:val="none" w:sz="0" w:space="0" w:color="auto"/>
      </w:divBdr>
    </w:div>
    <w:div w:id="1624194373">
      <w:marLeft w:val="0"/>
      <w:marRight w:val="0"/>
      <w:marTop w:val="0"/>
      <w:marBottom w:val="0"/>
      <w:divBdr>
        <w:top w:val="none" w:sz="0" w:space="0" w:color="auto"/>
        <w:left w:val="none" w:sz="0" w:space="0" w:color="auto"/>
        <w:bottom w:val="none" w:sz="0" w:space="0" w:color="auto"/>
        <w:right w:val="none" w:sz="0" w:space="0" w:color="auto"/>
      </w:divBdr>
    </w:div>
    <w:div w:id="1624194374">
      <w:marLeft w:val="0"/>
      <w:marRight w:val="0"/>
      <w:marTop w:val="0"/>
      <w:marBottom w:val="0"/>
      <w:divBdr>
        <w:top w:val="none" w:sz="0" w:space="0" w:color="auto"/>
        <w:left w:val="none" w:sz="0" w:space="0" w:color="auto"/>
        <w:bottom w:val="none" w:sz="0" w:space="0" w:color="auto"/>
        <w:right w:val="none" w:sz="0" w:space="0" w:color="auto"/>
      </w:divBdr>
    </w:div>
    <w:div w:id="1624194375">
      <w:marLeft w:val="0"/>
      <w:marRight w:val="0"/>
      <w:marTop w:val="0"/>
      <w:marBottom w:val="0"/>
      <w:divBdr>
        <w:top w:val="none" w:sz="0" w:space="0" w:color="auto"/>
        <w:left w:val="none" w:sz="0" w:space="0" w:color="auto"/>
        <w:bottom w:val="none" w:sz="0" w:space="0" w:color="auto"/>
        <w:right w:val="none" w:sz="0" w:space="0" w:color="auto"/>
      </w:divBdr>
    </w:div>
    <w:div w:id="1624194376">
      <w:marLeft w:val="0"/>
      <w:marRight w:val="0"/>
      <w:marTop w:val="0"/>
      <w:marBottom w:val="0"/>
      <w:divBdr>
        <w:top w:val="none" w:sz="0" w:space="0" w:color="auto"/>
        <w:left w:val="none" w:sz="0" w:space="0" w:color="auto"/>
        <w:bottom w:val="none" w:sz="0" w:space="0" w:color="auto"/>
        <w:right w:val="none" w:sz="0" w:space="0" w:color="auto"/>
      </w:divBdr>
    </w:div>
    <w:div w:id="1624194377">
      <w:marLeft w:val="0"/>
      <w:marRight w:val="0"/>
      <w:marTop w:val="0"/>
      <w:marBottom w:val="0"/>
      <w:divBdr>
        <w:top w:val="none" w:sz="0" w:space="0" w:color="auto"/>
        <w:left w:val="none" w:sz="0" w:space="0" w:color="auto"/>
        <w:bottom w:val="none" w:sz="0" w:space="0" w:color="auto"/>
        <w:right w:val="none" w:sz="0" w:space="0" w:color="auto"/>
      </w:divBdr>
    </w:div>
    <w:div w:id="1624194378">
      <w:marLeft w:val="0"/>
      <w:marRight w:val="0"/>
      <w:marTop w:val="0"/>
      <w:marBottom w:val="0"/>
      <w:divBdr>
        <w:top w:val="none" w:sz="0" w:space="0" w:color="auto"/>
        <w:left w:val="none" w:sz="0" w:space="0" w:color="auto"/>
        <w:bottom w:val="none" w:sz="0" w:space="0" w:color="auto"/>
        <w:right w:val="none" w:sz="0" w:space="0" w:color="auto"/>
      </w:divBdr>
    </w:div>
    <w:div w:id="1624194379">
      <w:marLeft w:val="0"/>
      <w:marRight w:val="0"/>
      <w:marTop w:val="0"/>
      <w:marBottom w:val="0"/>
      <w:divBdr>
        <w:top w:val="none" w:sz="0" w:space="0" w:color="auto"/>
        <w:left w:val="none" w:sz="0" w:space="0" w:color="auto"/>
        <w:bottom w:val="none" w:sz="0" w:space="0" w:color="auto"/>
        <w:right w:val="none" w:sz="0" w:space="0" w:color="auto"/>
      </w:divBdr>
    </w:div>
    <w:div w:id="1624194380">
      <w:marLeft w:val="0"/>
      <w:marRight w:val="0"/>
      <w:marTop w:val="0"/>
      <w:marBottom w:val="0"/>
      <w:divBdr>
        <w:top w:val="none" w:sz="0" w:space="0" w:color="auto"/>
        <w:left w:val="none" w:sz="0" w:space="0" w:color="auto"/>
        <w:bottom w:val="none" w:sz="0" w:space="0" w:color="auto"/>
        <w:right w:val="none" w:sz="0" w:space="0" w:color="auto"/>
      </w:divBdr>
    </w:div>
    <w:div w:id="1624194381">
      <w:marLeft w:val="0"/>
      <w:marRight w:val="0"/>
      <w:marTop w:val="0"/>
      <w:marBottom w:val="0"/>
      <w:divBdr>
        <w:top w:val="none" w:sz="0" w:space="0" w:color="auto"/>
        <w:left w:val="none" w:sz="0" w:space="0" w:color="auto"/>
        <w:bottom w:val="none" w:sz="0" w:space="0" w:color="auto"/>
        <w:right w:val="none" w:sz="0" w:space="0" w:color="auto"/>
      </w:divBdr>
    </w:div>
    <w:div w:id="1624194382">
      <w:marLeft w:val="0"/>
      <w:marRight w:val="0"/>
      <w:marTop w:val="0"/>
      <w:marBottom w:val="0"/>
      <w:divBdr>
        <w:top w:val="none" w:sz="0" w:space="0" w:color="auto"/>
        <w:left w:val="none" w:sz="0" w:space="0" w:color="auto"/>
        <w:bottom w:val="none" w:sz="0" w:space="0" w:color="auto"/>
        <w:right w:val="none" w:sz="0" w:space="0" w:color="auto"/>
      </w:divBdr>
    </w:div>
    <w:div w:id="1624194383">
      <w:marLeft w:val="0"/>
      <w:marRight w:val="0"/>
      <w:marTop w:val="0"/>
      <w:marBottom w:val="0"/>
      <w:divBdr>
        <w:top w:val="none" w:sz="0" w:space="0" w:color="auto"/>
        <w:left w:val="none" w:sz="0" w:space="0" w:color="auto"/>
        <w:bottom w:val="none" w:sz="0" w:space="0" w:color="auto"/>
        <w:right w:val="none" w:sz="0" w:space="0" w:color="auto"/>
      </w:divBdr>
    </w:div>
    <w:div w:id="1624194384">
      <w:marLeft w:val="0"/>
      <w:marRight w:val="0"/>
      <w:marTop w:val="0"/>
      <w:marBottom w:val="0"/>
      <w:divBdr>
        <w:top w:val="none" w:sz="0" w:space="0" w:color="auto"/>
        <w:left w:val="none" w:sz="0" w:space="0" w:color="auto"/>
        <w:bottom w:val="none" w:sz="0" w:space="0" w:color="auto"/>
        <w:right w:val="none" w:sz="0" w:space="0" w:color="auto"/>
      </w:divBdr>
    </w:div>
    <w:div w:id="1624194385">
      <w:marLeft w:val="0"/>
      <w:marRight w:val="0"/>
      <w:marTop w:val="0"/>
      <w:marBottom w:val="0"/>
      <w:divBdr>
        <w:top w:val="none" w:sz="0" w:space="0" w:color="auto"/>
        <w:left w:val="none" w:sz="0" w:space="0" w:color="auto"/>
        <w:bottom w:val="none" w:sz="0" w:space="0" w:color="auto"/>
        <w:right w:val="none" w:sz="0" w:space="0" w:color="auto"/>
      </w:divBdr>
    </w:div>
    <w:div w:id="1624194386">
      <w:marLeft w:val="0"/>
      <w:marRight w:val="0"/>
      <w:marTop w:val="0"/>
      <w:marBottom w:val="0"/>
      <w:divBdr>
        <w:top w:val="none" w:sz="0" w:space="0" w:color="auto"/>
        <w:left w:val="none" w:sz="0" w:space="0" w:color="auto"/>
        <w:bottom w:val="none" w:sz="0" w:space="0" w:color="auto"/>
        <w:right w:val="none" w:sz="0" w:space="0" w:color="auto"/>
      </w:divBdr>
    </w:div>
    <w:div w:id="1624194387">
      <w:marLeft w:val="0"/>
      <w:marRight w:val="0"/>
      <w:marTop w:val="0"/>
      <w:marBottom w:val="0"/>
      <w:divBdr>
        <w:top w:val="none" w:sz="0" w:space="0" w:color="auto"/>
        <w:left w:val="none" w:sz="0" w:space="0" w:color="auto"/>
        <w:bottom w:val="none" w:sz="0" w:space="0" w:color="auto"/>
        <w:right w:val="none" w:sz="0" w:space="0" w:color="auto"/>
      </w:divBdr>
    </w:div>
    <w:div w:id="1624194388">
      <w:marLeft w:val="0"/>
      <w:marRight w:val="0"/>
      <w:marTop w:val="0"/>
      <w:marBottom w:val="0"/>
      <w:divBdr>
        <w:top w:val="none" w:sz="0" w:space="0" w:color="auto"/>
        <w:left w:val="none" w:sz="0" w:space="0" w:color="auto"/>
        <w:bottom w:val="none" w:sz="0" w:space="0" w:color="auto"/>
        <w:right w:val="none" w:sz="0" w:space="0" w:color="auto"/>
      </w:divBdr>
    </w:div>
    <w:div w:id="1624194389">
      <w:marLeft w:val="0"/>
      <w:marRight w:val="0"/>
      <w:marTop w:val="0"/>
      <w:marBottom w:val="0"/>
      <w:divBdr>
        <w:top w:val="none" w:sz="0" w:space="0" w:color="auto"/>
        <w:left w:val="none" w:sz="0" w:space="0" w:color="auto"/>
        <w:bottom w:val="none" w:sz="0" w:space="0" w:color="auto"/>
        <w:right w:val="none" w:sz="0" w:space="0" w:color="auto"/>
      </w:divBdr>
    </w:div>
    <w:div w:id="1624194390">
      <w:marLeft w:val="0"/>
      <w:marRight w:val="0"/>
      <w:marTop w:val="0"/>
      <w:marBottom w:val="0"/>
      <w:divBdr>
        <w:top w:val="none" w:sz="0" w:space="0" w:color="auto"/>
        <w:left w:val="none" w:sz="0" w:space="0" w:color="auto"/>
        <w:bottom w:val="none" w:sz="0" w:space="0" w:color="auto"/>
        <w:right w:val="none" w:sz="0" w:space="0" w:color="auto"/>
      </w:divBdr>
    </w:div>
    <w:div w:id="1624194391">
      <w:marLeft w:val="0"/>
      <w:marRight w:val="0"/>
      <w:marTop w:val="0"/>
      <w:marBottom w:val="0"/>
      <w:divBdr>
        <w:top w:val="none" w:sz="0" w:space="0" w:color="auto"/>
        <w:left w:val="none" w:sz="0" w:space="0" w:color="auto"/>
        <w:bottom w:val="none" w:sz="0" w:space="0" w:color="auto"/>
        <w:right w:val="none" w:sz="0" w:space="0" w:color="auto"/>
      </w:divBdr>
    </w:div>
    <w:div w:id="1624194392">
      <w:marLeft w:val="0"/>
      <w:marRight w:val="0"/>
      <w:marTop w:val="0"/>
      <w:marBottom w:val="0"/>
      <w:divBdr>
        <w:top w:val="none" w:sz="0" w:space="0" w:color="auto"/>
        <w:left w:val="none" w:sz="0" w:space="0" w:color="auto"/>
        <w:bottom w:val="none" w:sz="0" w:space="0" w:color="auto"/>
        <w:right w:val="none" w:sz="0" w:space="0" w:color="auto"/>
      </w:divBdr>
    </w:div>
    <w:div w:id="1624194393">
      <w:marLeft w:val="0"/>
      <w:marRight w:val="0"/>
      <w:marTop w:val="0"/>
      <w:marBottom w:val="0"/>
      <w:divBdr>
        <w:top w:val="none" w:sz="0" w:space="0" w:color="auto"/>
        <w:left w:val="none" w:sz="0" w:space="0" w:color="auto"/>
        <w:bottom w:val="none" w:sz="0" w:space="0" w:color="auto"/>
        <w:right w:val="none" w:sz="0" w:space="0" w:color="auto"/>
      </w:divBdr>
    </w:div>
    <w:div w:id="1624194394">
      <w:marLeft w:val="0"/>
      <w:marRight w:val="0"/>
      <w:marTop w:val="0"/>
      <w:marBottom w:val="0"/>
      <w:divBdr>
        <w:top w:val="none" w:sz="0" w:space="0" w:color="auto"/>
        <w:left w:val="none" w:sz="0" w:space="0" w:color="auto"/>
        <w:bottom w:val="none" w:sz="0" w:space="0" w:color="auto"/>
        <w:right w:val="none" w:sz="0" w:space="0" w:color="auto"/>
      </w:divBdr>
    </w:div>
    <w:div w:id="1624194395">
      <w:marLeft w:val="0"/>
      <w:marRight w:val="0"/>
      <w:marTop w:val="0"/>
      <w:marBottom w:val="0"/>
      <w:divBdr>
        <w:top w:val="none" w:sz="0" w:space="0" w:color="auto"/>
        <w:left w:val="none" w:sz="0" w:space="0" w:color="auto"/>
        <w:bottom w:val="none" w:sz="0" w:space="0" w:color="auto"/>
        <w:right w:val="none" w:sz="0" w:space="0" w:color="auto"/>
      </w:divBdr>
    </w:div>
    <w:div w:id="1624194396">
      <w:marLeft w:val="0"/>
      <w:marRight w:val="0"/>
      <w:marTop w:val="0"/>
      <w:marBottom w:val="0"/>
      <w:divBdr>
        <w:top w:val="none" w:sz="0" w:space="0" w:color="auto"/>
        <w:left w:val="none" w:sz="0" w:space="0" w:color="auto"/>
        <w:bottom w:val="none" w:sz="0" w:space="0" w:color="auto"/>
        <w:right w:val="none" w:sz="0" w:space="0" w:color="auto"/>
      </w:divBdr>
    </w:div>
    <w:div w:id="1624194397">
      <w:marLeft w:val="0"/>
      <w:marRight w:val="0"/>
      <w:marTop w:val="0"/>
      <w:marBottom w:val="0"/>
      <w:divBdr>
        <w:top w:val="none" w:sz="0" w:space="0" w:color="auto"/>
        <w:left w:val="none" w:sz="0" w:space="0" w:color="auto"/>
        <w:bottom w:val="none" w:sz="0" w:space="0" w:color="auto"/>
        <w:right w:val="none" w:sz="0" w:space="0" w:color="auto"/>
      </w:divBdr>
    </w:div>
    <w:div w:id="1624194398">
      <w:marLeft w:val="0"/>
      <w:marRight w:val="0"/>
      <w:marTop w:val="0"/>
      <w:marBottom w:val="0"/>
      <w:divBdr>
        <w:top w:val="none" w:sz="0" w:space="0" w:color="auto"/>
        <w:left w:val="none" w:sz="0" w:space="0" w:color="auto"/>
        <w:bottom w:val="none" w:sz="0" w:space="0" w:color="auto"/>
        <w:right w:val="none" w:sz="0" w:space="0" w:color="auto"/>
      </w:divBdr>
    </w:div>
    <w:div w:id="1624194399">
      <w:marLeft w:val="0"/>
      <w:marRight w:val="0"/>
      <w:marTop w:val="0"/>
      <w:marBottom w:val="0"/>
      <w:divBdr>
        <w:top w:val="none" w:sz="0" w:space="0" w:color="auto"/>
        <w:left w:val="none" w:sz="0" w:space="0" w:color="auto"/>
        <w:bottom w:val="none" w:sz="0" w:space="0" w:color="auto"/>
        <w:right w:val="none" w:sz="0" w:space="0" w:color="auto"/>
      </w:divBdr>
    </w:div>
    <w:div w:id="1624194400">
      <w:marLeft w:val="0"/>
      <w:marRight w:val="0"/>
      <w:marTop w:val="0"/>
      <w:marBottom w:val="0"/>
      <w:divBdr>
        <w:top w:val="none" w:sz="0" w:space="0" w:color="auto"/>
        <w:left w:val="none" w:sz="0" w:space="0" w:color="auto"/>
        <w:bottom w:val="none" w:sz="0" w:space="0" w:color="auto"/>
        <w:right w:val="none" w:sz="0" w:space="0" w:color="auto"/>
      </w:divBdr>
    </w:div>
    <w:div w:id="1624194401">
      <w:marLeft w:val="0"/>
      <w:marRight w:val="0"/>
      <w:marTop w:val="0"/>
      <w:marBottom w:val="0"/>
      <w:divBdr>
        <w:top w:val="none" w:sz="0" w:space="0" w:color="auto"/>
        <w:left w:val="none" w:sz="0" w:space="0" w:color="auto"/>
        <w:bottom w:val="none" w:sz="0" w:space="0" w:color="auto"/>
        <w:right w:val="none" w:sz="0" w:space="0" w:color="auto"/>
      </w:divBdr>
    </w:div>
    <w:div w:id="1624194402">
      <w:marLeft w:val="0"/>
      <w:marRight w:val="0"/>
      <w:marTop w:val="0"/>
      <w:marBottom w:val="0"/>
      <w:divBdr>
        <w:top w:val="none" w:sz="0" w:space="0" w:color="auto"/>
        <w:left w:val="none" w:sz="0" w:space="0" w:color="auto"/>
        <w:bottom w:val="none" w:sz="0" w:space="0" w:color="auto"/>
        <w:right w:val="none" w:sz="0" w:space="0" w:color="auto"/>
      </w:divBdr>
    </w:div>
    <w:div w:id="1624194403">
      <w:marLeft w:val="0"/>
      <w:marRight w:val="0"/>
      <w:marTop w:val="0"/>
      <w:marBottom w:val="0"/>
      <w:divBdr>
        <w:top w:val="none" w:sz="0" w:space="0" w:color="auto"/>
        <w:left w:val="none" w:sz="0" w:space="0" w:color="auto"/>
        <w:bottom w:val="none" w:sz="0" w:space="0" w:color="auto"/>
        <w:right w:val="none" w:sz="0" w:space="0" w:color="auto"/>
      </w:divBdr>
    </w:div>
    <w:div w:id="1624194404">
      <w:marLeft w:val="0"/>
      <w:marRight w:val="0"/>
      <w:marTop w:val="0"/>
      <w:marBottom w:val="0"/>
      <w:divBdr>
        <w:top w:val="none" w:sz="0" w:space="0" w:color="auto"/>
        <w:left w:val="none" w:sz="0" w:space="0" w:color="auto"/>
        <w:bottom w:val="none" w:sz="0" w:space="0" w:color="auto"/>
        <w:right w:val="none" w:sz="0" w:space="0" w:color="auto"/>
      </w:divBdr>
    </w:div>
    <w:div w:id="1624194405">
      <w:marLeft w:val="0"/>
      <w:marRight w:val="0"/>
      <w:marTop w:val="0"/>
      <w:marBottom w:val="0"/>
      <w:divBdr>
        <w:top w:val="none" w:sz="0" w:space="0" w:color="auto"/>
        <w:left w:val="none" w:sz="0" w:space="0" w:color="auto"/>
        <w:bottom w:val="none" w:sz="0" w:space="0" w:color="auto"/>
        <w:right w:val="none" w:sz="0" w:space="0" w:color="auto"/>
      </w:divBdr>
    </w:div>
    <w:div w:id="1624194406">
      <w:marLeft w:val="0"/>
      <w:marRight w:val="0"/>
      <w:marTop w:val="0"/>
      <w:marBottom w:val="0"/>
      <w:divBdr>
        <w:top w:val="none" w:sz="0" w:space="0" w:color="auto"/>
        <w:left w:val="none" w:sz="0" w:space="0" w:color="auto"/>
        <w:bottom w:val="none" w:sz="0" w:space="0" w:color="auto"/>
        <w:right w:val="none" w:sz="0" w:space="0" w:color="auto"/>
      </w:divBdr>
    </w:div>
    <w:div w:id="1624194407">
      <w:marLeft w:val="0"/>
      <w:marRight w:val="0"/>
      <w:marTop w:val="0"/>
      <w:marBottom w:val="0"/>
      <w:divBdr>
        <w:top w:val="none" w:sz="0" w:space="0" w:color="auto"/>
        <w:left w:val="none" w:sz="0" w:space="0" w:color="auto"/>
        <w:bottom w:val="none" w:sz="0" w:space="0" w:color="auto"/>
        <w:right w:val="none" w:sz="0" w:space="0" w:color="auto"/>
      </w:divBdr>
    </w:div>
    <w:div w:id="1624194408">
      <w:marLeft w:val="0"/>
      <w:marRight w:val="0"/>
      <w:marTop w:val="0"/>
      <w:marBottom w:val="0"/>
      <w:divBdr>
        <w:top w:val="none" w:sz="0" w:space="0" w:color="auto"/>
        <w:left w:val="none" w:sz="0" w:space="0" w:color="auto"/>
        <w:bottom w:val="none" w:sz="0" w:space="0" w:color="auto"/>
        <w:right w:val="none" w:sz="0" w:space="0" w:color="auto"/>
      </w:divBdr>
    </w:div>
    <w:div w:id="1624194409">
      <w:marLeft w:val="0"/>
      <w:marRight w:val="0"/>
      <w:marTop w:val="0"/>
      <w:marBottom w:val="0"/>
      <w:divBdr>
        <w:top w:val="none" w:sz="0" w:space="0" w:color="auto"/>
        <w:left w:val="none" w:sz="0" w:space="0" w:color="auto"/>
        <w:bottom w:val="none" w:sz="0" w:space="0" w:color="auto"/>
        <w:right w:val="none" w:sz="0" w:space="0" w:color="auto"/>
      </w:divBdr>
    </w:div>
    <w:div w:id="1624194410">
      <w:marLeft w:val="0"/>
      <w:marRight w:val="0"/>
      <w:marTop w:val="0"/>
      <w:marBottom w:val="0"/>
      <w:divBdr>
        <w:top w:val="none" w:sz="0" w:space="0" w:color="auto"/>
        <w:left w:val="none" w:sz="0" w:space="0" w:color="auto"/>
        <w:bottom w:val="none" w:sz="0" w:space="0" w:color="auto"/>
        <w:right w:val="none" w:sz="0" w:space="0" w:color="auto"/>
      </w:divBdr>
    </w:div>
    <w:div w:id="1624194411">
      <w:marLeft w:val="0"/>
      <w:marRight w:val="0"/>
      <w:marTop w:val="0"/>
      <w:marBottom w:val="0"/>
      <w:divBdr>
        <w:top w:val="none" w:sz="0" w:space="0" w:color="auto"/>
        <w:left w:val="none" w:sz="0" w:space="0" w:color="auto"/>
        <w:bottom w:val="none" w:sz="0" w:space="0" w:color="auto"/>
        <w:right w:val="none" w:sz="0" w:space="0" w:color="auto"/>
      </w:divBdr>
    </w:div>
    <w:div w:id="1624194412">
      <w:marLeft w:val="0"/>
      <w:marRight w:val="0"/>
      <w:marTop w:val="0"/>
      <w:marBottom w:val="0"/>
      <w:divBdr>
        <w:top w:val="none" w:sz="0" w:space="0" w:color="auto"/>
        <w:left w:val="none" w:sz="0" w:space="0" w:color="auto"/>
        <w:bottom w:val="none" w:sz="0" w:space="0" w:color="auto"/>
        <w:right w:val="none" w:sz="0" w:space="0" w:color="auto"/>
      </w:divBdr>
    </w:div>
    <w:div w:id="1624194413">
      <w:marLeft w:val="0"/>
      <w:marRight w:val="0"/>
      <w:marTop w:val="0"/>
      <w:marBottom w:val="0"/>
      <w:divBdr>
        <w:top w:val="none" w:sz="0" w:space="0" w:color="auto"/>
        <w:left w:val="none" w:sz="0" w:space="0" w:color="auto"/>
        <w:bottom w:val="none" w:sz="0" w:space="0" w:color="auto"/>
        <w:right w:val="none" w:sz="0" w:space="0" w:color="auto"/>
      </w:divBdr>
    </w:div>
    <w:div w:id="1624194414">
      <w:marLeft w:val="0"/>
      <w:marRight w:val="0"/>
      <w:marTop w:val="0"/>
      <w:marBottom w:val="0"/>
      <w:divBdr>
        <w:top w:val="none" w:sz="0" w:space="0" w:color="auto"/>
        <w:left w:val="none" w:sz="0" w:space="0" w:color="auto"/>
        <w:bottom w:val="none" w:sz="0" w:space="0" w:color="auto"/>
        <w:right w:val="none" w:sz="0" w:space="0" w:color="auto"/>
      </w:divBdr>
    </w:div>
    <w:div w:id="1624194415">
      <w:marLeft w:val="0"/>
      <w:marRight w:val="0"/>
      <w:marTop w:val="0"/>
      <w:marBottom w:val="0"/>
      <w:divBdr>
        <w:top w:val="none" w:sz="0" w:space="0" w:color="auto"/>
        <w:left w:val="none" w:sz="0" w:space="0" w:color="auto"/>
        <w:bottom w:val="none" w:sz="0" w:space="0" w:color="auto"/>
        <w:right w:val="none" w:sz="0" w:space="0" w:color="auto"/>
      </w:divBdr>
    </w:div>
    <w:div w:id="1624194416">
      <w:marLeft w:val="0"/>
      <w:marRight w:val="0"/>
      <w:marTop w:val="0"/>
      <w:marBottom w:val="0"/>
      <w:divBdr>
        <w:top w:val="none" w:sz="0" w:space="0" w:color="auto"/>
        <w:left w:val="none" w:sz="0" w:space="0" w:color="auto"/>
        <w:bottom w:val="none" w:sz="0" w:space="0" w:color="auto"/>
        <w:right w:val="none" w:sz="0" w:space="0" w:color="auto"/>
      </w:divBdr>
    </w:div>
    <w:div w:id="1624194417">
      <w:marLeft w:val="0"/>
      <w:marRight w:val="0"/>
      <w:marTop w:val="0"/>
      <w:marBottom w:val="0"/>
      <w:divBdr>
        <w:top w:val="none" w:sz="0" w:space="0" w:color="auto"/>
        <w:left w:val="none" w:sz="0" w:space="0" w:color="auto"/>
        <w:bottom w:val="none" w:sz="0" w:space="0" w:color="auto"/>
        <w:right w:val="none" w:sz="0" w:space="0" w:color="auto"/>
      </w:divBdr>
    </w:div>
    <w:div w:id="1624194418">
      <w:marLeft w:val="0"/>
      <w:marRight w:val="0"/>
      <w:marTop w:val="0"/>
      <w:marBottom w:val="0"/>
      <w:divBdr>
        <w:top w:val="none" w:sz="0" w:space="0" w:color="auto"/>
        <w:left w:val="none" w:sz="0" w:space="0" w:color="auto"/>
        <w:bottom w:val="none" w:sz="0" w:space="0" w:color="auto"/>
        <w:right w:val="none" w:sz="0" w:space="0" w:color="auto"/>
      </w:divBdr>
    </w:div>
    <w:div w:id="1624194419">
      <w:marLeft w:val="0"/>
      <w:marRight w:val="0"/>
      <w:marTop w:val="0"/>
      <w:marBottom w:val="0"/>
      <w:divBdr>
        <w:top w:val="none" w:sz="0" w:space="0" w:color="auto"/>
        <w:left w:val="none" w:sz="0" w:space="0" w:color="auto"/>
        <w:bottom w:val="none" w:sz="0" w:space="0" w:color="auto"/>
        <w:right w:val="none" w:sz="0" w:space="0" w:color="auto"/>
      </w:divBdr>
    </w:div>
    <w:div w:id="1624194420">
      <w:marLeft w:val="0"/>
      <w:marRight w:val="0"/>
      <w:marTop w:val="0"/>
      <w:marBottom w:val="0"/>
      <w:divBdr>
        <w:top w:val="none" w:sz="0" w:space="0" w:color="auto"/>
        <w:left w:val="none" w:sz="0" w:space="0" w:color="auto"/>
        <w:bottom w:val="none" w:sz="0" w:space="0" w:color="auto"/>
        <w:right w:val="none" w:sz="0" w:space="0" w:color="auto"/>
      </w:divBdr>
    </w:div>
    <w:div w:id="1624194421">
      <w:marLeft w:val="0"/>
      <w:marRight w:val="0"/>
      <w:marTop w:val="0"/>
      <w:marBottom w:val="0"/>
      <w:divBdr>
        <w:top w:val="none" w:sz="0" w:space="0" w:color="auto"/>
        <w:left w:val="none" w:sz="0" w:space="0" w:color="auto"/>
        <w:bottom w:val="none" w:sz="0" w:space="0" w:color="auto"/>
        <w:right w:val="none" w:sz="0" w:space="0" w:color="auto"/>
      </w:divBdr>
    </w:div>
    <w:div w:id="1624194422">
      <w:marLeft w:val="0"/>
      <w:marRight w:val="0"/>
      <w:marTop w:val="0"/>
      <w:marBottom w:val="0"/>
      <w:divBdr>
        <w:top w:val="none" w:sz="0" w:space="0" w:color="auto"/>
        <w:left w:val="none" w:sz="0" w:space="0" w:color="auto"/>
        <w:bottom w:val="none" w:sz="0" w:space="0" w:color="auto"/>
        <w:right w:val="none" w:sz="0" w:space="0" w:color="auto"/>
      </w:divBdr>
    </w:div>
    <w:div w:id="1624194423">
      <w:marLeft w:val="0"/>
      <w:marRight w:val="0"/>
      <w:marTop w:val="0"/>
      <w:marBottom w:val="0"/>
      <w:divBdr>
        <w:top w:val="none" w:sz="0" w:space="0" w:color="auto"/>
        <w:left w:val="none" w:sz="0" w:space="0" w:color="auto"/>
        <w:bottom w:val="none" w:sz="0" w:space="0" w:color="auto"/>
        <w:right w:val="none" w:sz="0" w:space="0" w:color="auto"/>
      </w:divBdr>
    </w:div>
    <w:div w:id="1624194424">
      <w:marLeft w:val="0"/>
      <w:marRight w:val="0"/>
      <w:marTop w:val="0"/>
      <w:marBottom w:val="0"/>
      <w:divBdr>
        <w:top w:val="none" w:sz="0" w:space="0" w:color="auto"/>
        <w:left w:val="none" w:sz="0" w:space="0" w:color="auto"/>
        <w:bottom w:val="none" w:sz="0" w:space="0" w:color="auto"/>
        <w:right w:val="none" w:sz="0" w:space="0" w:color="auto"/>
      </w:divBdr>
    </w:div>
    <w:div w:id="1624194425">
      <w:marLeft w:val="0"/>
      <w:marRight w:val="0"/>
      <w:marTop w:val="0"/>
      <w:marBottom w:val="0"/>
      <w:divBdr>
        <w:top w:val="none" w:sz="0" w:space="0" w:color="auto"/>
        <w:left w:val="none" w:sz="0" w:space="0" w:color="auto"/>
        <w:bottom w:val="none" w:sz="0" w:space="0" w:color="auto"/>
        <w:right w:val="none" w:sz="0" w:space="0" w:color="auto"/>
      </w:divBdr>
    </w:div>
    <w:div w:id="1624194426">
      <w:marLeft w:val="0"/>
      <w:marRight w:val="0"/>
      <w:marTop w:val="0"/>
      <w:marBottom w:val="0"/>
      <w:divBdr>
        <w:top w:val="none" w:sz="0" w:space="0" w:color="auto"/>
        <w:left w:val="none" w:sz="0" w:space="0" w:color="auto"/>
        <w:bottom w:val="none" w:sz="0" w:space="0" w:color="auto"/>
        <w:right w:val="none" w:sz="0" w:space="0" w:color="auto"/>
      </w:divBdr>
    </w:div>
    <w:div w:id="1624194427">
      <w:marLeft w:val="0"/>
      <w:marRight w:val="0"/>
      <w:marTop w:val="0"/>
      <w:marBottom w:val="0"/>
      <w:divBdr>
        <w:top w:val="none" w:sz="0" w:space="0" w:color="auto"/>
        <w:left w:val="none" w:sz="0" w:space="0" w:color="auto"/>
        <w:bottom w:val="none" w:sz="0" w:space="0" w:color="auto"/>
        <w:right w:val="none" w:sz="0" w:space="0" w:color="auto"/>
      </w:divBdr>
    </w:div>
    <w:div w:id="1624194428">
      <w:marLeft w:val="0"/>
      <w:marRight w:val="0"/>
      <w:marTop w:val="0"/>
      <w:marBottom w:val="0"/>
      <w:divBdr>
        <w:top w:val="none" w:sz="0" w:space="0" w:color="auto"/>
        <w:left w:val="none" w:sz="0" w:space="0" w:color="auto"/>
        <w:bottom w:val="none" w:sz="0" w:space="0" w:color="auto"/>
        <w:right w:val="none" w:sz="0" w:space="0" w:color="auto"/>
      </w:divBdr>
    </w:div>
    <w:div w:id="1624194429">
      <w:marLeft w:val="0"/>
      <w:marRight w:val="0"/>
      <w:marTop w:val="0"/>
      <w:marBottom w:val="0"/>
      <w:divBdr>
        <w:top w:val="none" w:sz="0" w:space="0" w:color="auto"/>
        <w:left w:val="none" w:sz="0" w:space="0" w:color="auto"/>
        <w:bottom w:val="none" w:sz="0" w:space="0" w:color="auto"/>
        <w:right w:val="none" w:sz="0" w:space="0" w:color="auto"/>
      </w:divBdr>
    </w:div>
    <w:div w:id="1624194430">
      <w:marLeft w:val="0"/>
      <w:marRight w:val="0"/>
      <w:marTop w:val="0"/>
      <w:marBottom w:val="0"/>
      <w:divBdr>
        <w:top w:val="none" w:sz="0" w:space="0" w:color="auto"/>
        <w:left w:val="none" w:sz="0" w:space="0" w:color="auto"/>
        <w:bottom w:val="none" w:sz="0" w:space="0" w:color="auto"/>
        <w:right w:val="none" w:sz="0" w:space="0" w:color="auto"/>
      </w:divBdr>
    </w:div>
    <w:div w:id="1624194431">
      <w:marLeft w:val="0"/>
      <w:marRight w:val="0"/>
      <w:marTop w:val="0"/>
      <w:marBottom w:val="0"/>
      <w:divBdr>
        <w:top w:val="none" w:sz="0" w:space="0" w:color="auto"/>
        <w:left w:val="none" w:sz="0" w:space="0" w:color="auto"/>
        <w:bottom w:val="none" w:sz="0" w:space="0" w:color="auto"/>
        <w:right w:val="none" w:sz="0" w:space="0" w:color="auto"/>
      </w:divBdr>
    </w:div>
    <w:div w:id="1624194432">
      <w:marLeft w:val="0"/>
      <w:marRight w:val="0"/>
      <w:marTop w:val="0"/>
      <w:marBottom w:val="0"/>
      <w:divBdr>
        <w:top w:val="none" w:sz="0" w:space="0" w:color="auto"/>
        <w:left w:val="none" w:sz="0" w:space="0" w:color="auto"/>
        <w:bottom w:val="none" w:sz="0" w:space="0" w:color="auto"/>
        <w:right w:val="none" w:sz="0" w:space="0" w:color="auto"/>
      </w:divBdr>
    </w:div>
    <w:div w:id="1624194433">
      <w:marLeft w:val="0"/>
      <w:marRight w:val="0"/>
      <w:marTop w:val="0"/>
      <w:marBottom w:val="0"/>
      <w:divBdr>
        <w:top w:val="none" w:sz="0" w:space="0" w:color="auto"/>
        <w:left w:val="none" w:sz="0" w:space="0" w:color="auto"/>
        <w:bottom w:val="none" w:sz="0" w:space="0" w:color="auto"/>
        <w:right w:val="none" w:sz="0" w:space="0" w:color="auto"/>
      </w:divBdr>
    </w:div>
    <w:div w:id="1624194434">
      <w:marLeft w:val="0"/>
      <w:marRight w:val="0"/>
      <w:marTop w:val="0"/>
      <w:marBottom w:val="0"/>
      <w:divBdr>
        <w:top w:val="none" w:sz="0" w:space="0" w:color="auto"/>
        <w:left w:val="none" w:sz="0" w:space="0" w:color="auto"/>
        <w:bottom w:val="none" w:sz="0" w:space="0" w:color="auto"/>
        <w:right w:val="none" w:sz="0" w:space="0" w:color="auto"/>
      </w:divBdr>
    </w:div>
    <w:div w:id="1624194435">
      <w:marLeft w:val="0"/>
      <w:marRight w:val="0"/>
      <w:marTop w:val="0"/>
      <w:marBottom w:val="0"/>
      <w:divBdr>
        <w:top w:val="none" w:sz="0" w:space="0" w:color="auto"/>
        <w:left w:val="none" w:sz="0" w:space="0" w:color="auto"/>
        <w:bottom w:val="none" w:sz="0" w:space="0" w:color="auto"/>
        <w:right w:val="none" w:sz="0" w:space="0" w:color="auto"/>
      </w:divBdr>
    </w:div>
    <w:div w:id="1624194436">
      <w:marLeft w:val="0"/>
      <w:marRight w:val="0"/>
      <w:marTop w:val="0"/>
      <w:marBottom w:val="0"/>
      <w:divBdr>
        <w:top w:val="none" w:sz="0" w:space="0" w:color="auto"/>
        <w:left w:val="none" w:sz="0" w:space="0" w:color="auto"/>
        <w:bottom w:val="none" w:sz="0" w:space="0" w:color="auto"/>
        <w:right w:val="none" w:sz="0" w:space="0" w:color="auto"/>
      </w:divBdr>
    </w:div>
    <w:div w:id="1624194437">
      <w:marLeft w:val="0"/>
      <w:marRight w:val="0"/>
      <w:marTop w:val="0"/>
      <w:marBottom w:val="0"/>
      <w:divBdr>
        <w:top w:val="none" w:sz="0" w:space="0" w:color="auto"/>
        <w:left w:val="none" w:sz="0" w:space="0" w:color="auto"/>
        <w:bottom w:val="none" w:sz="0" w:space="0" w:color="auto"/>
        <w:right w:val="none" w:sz="0" w:space="0" w:color="auto"/>
      </w:divBdr>
    </w:div>
    <w:div w:id="1624194438">
      <w:marLeft w:val="0"/>
      <w:marRight w:val="0"/>
      <w:marTop w:val="0"/>
      <w:marBottom w:val="0"/>
      <w:divBdr>
        <w:top w:val="none" w:sz="0" w:space="0" w:color="auto"/>
        <w:left w:val="none" w:sz="0" w:space="0" w:color="auto"/>
        <w:bottom w:val="none" w:sz="0" w:space="0" w:color="auto"/>
        <w:right w:val="none" w:sz="0" w:space="0" w:color="auto"/>
      </w:divBdr>
    </w:div>
    <w:div w:id="1624194439">
      <w:marLeft w:val="0"/>
      <w:marRight w:val="0"/>
      <w:marTop w:val="0"/>
      <w:marBottom w:val="0"/>
      <w:divBdr>
        <w:top w:val="none" w:sz="0" w:space="0" w:color="auto"/>
        <w:left w:val="none" w:sz="0" w:space="0" w:color="auto"/>
        <w:bottom w:val="none" w:sz="0" w:space="0" w:color="auto"/>
        <w:right w:val="none" w:sz="0" w:space="0" w:color="auto"/>
      </w:divBdr>
    </w:div>
    <w:div w:id="1624194440">
      <w:marLeft w:val="0"/>
      <w:marRight w:val="0"/>
      <w:marTop w:val="0"/>
      <w:marBottom w:val="0"/>
      <w:divBdr>
        <w:top w:val="none" w:sz="0" w:space="0" w:color="auto"/>
        <w:left w:val="none" w:sz="0" w:space="0" w:color="auto"/>
        <w:bottom w:val="none" w:sz="0" w:space="0" w:color="auto"/>
        <w:right w:val="none" w:sz="0" w:space="0" w:color="auto"/>
      </w:divBdr>
    </w:div>
    <w:div w:id="1624194441">
      <w:marLeft w:val="0"/>
      <w:marRight w:val="0"/>
      <w:marTop w:val="0"/>
      <w:marBottom w:val="0"/>
      <w:divBdr>
        <w:top w:val="none" w:sz="0" w:space="0" w:color="auto"/>
        <w:left w:val="none" w:sz="0" w:space="0" w:color="auto"/>
        <w:bottom w:val="none" w:sz="0" w:space="0" w:color="auto"/>
        <w:right w:val="none" w:sz="0" w:space="0" w:color="auto"/>
      </w:divBdr>
    </w:div>
    <w:div w:id="1624194442">
      <w:marLeft w:val="0"/>
      <w:marRight w:val="0"/>
      <w:marTop w:val="0"/>
      <w:marBottom w:val="0"/>
      <w:divBdr>
        <w:top w:val="none" w:sz="0" w:space="0" w:color="auto"/>
        <w:left w:val="none" w:sz="0" w:space="0" w:color="auto"/>
        <w:bottom w:val="none" w:sz="0" w:space="0" w:color="auto"/>
        <w:right w:val="none" w:sz="0" w:space="0" w:color="auto"/>
      </w:divBdr>
    </w:div>
    <w:div w:id="1624194443">
      <w:marLeft w:val="0"/>
      <w:marRight w:val="0"/>
      <w:marTop w:val="0"/>
      <w:marBottom w:val="0"/>
      <w:divBdr>
        <w:top w:val="none" w:sz="0" w:space="0" w:color="auto"/>
        <w:left w:val="none" w:sz="0" w:space="0" w:color="auto"/>
        <w:bottom w:val="none" w:sz="0" w:space="0" w:color="auto"/>
        <w:right w:val="none" w:sz="0" w:space="0" w:color="auto"/>
      </w:divBdr>
    </w:div>
    <w:div w:id="1624194444">
      <w:marLeft w:val="0"/>
      <w:marRight w:val="0"/>
      <w:marTop w:val="0"/>
      <w:marBottom w:val="0"/>
      <w:divBdr>
        <w:top w:val="none" w:sz="0" w:space="0" w:color="auto"/>
        <w:left w:val="none" w:sz="0" w:space="0" w:color="auto"/>
        <w:bottom w:val="none" w:sz="0" w:space="0" w:color="auto"/>
        <w:right w:val="none" w:sz="0" w:space="0" w:color="auto"/>
      </w:divBdr>
    </w:div>
    <w:div w:id="1624194445">
      <w:marLeft w:val="0"/>
      <w:marRight w:val="0"/>
      <w:marTop w:val="0"/>
      <w:marBottom w:val="0"/>
      <w:divBdr>
        <w:top w:val="none" w:sz="0" w:space="0" w:color="auto"/>
        <w:left w:val="none" w:sz="0" w:space="0" w:color="auto"/>
        <w:bottom w:val="none" w:sz="0" w:space="0" w:color="auto"/>
        <w:right w:val="none" w:sz="0" w:space="0" w:color="auto"/>
      </w:divBdr>
    </w:div>
    <w:div w:id="1624194446">
      <w:marLeft w:val="0"/>
      <w:marRight w:val="0"/>
      <w:marTop w:val="0"/>
      <w:marBottom w:val="0"/>
      <w:divBdr>
        <w:top w:val="none" w:sz="0" w:space="0" w:color="auto"/>
        <w:left w:val="none" w:sz="0" w:space="0" w:color="auto"/>
        <w:bottom w:val="none" w:sz="0" w:space="0" w:color="auto"/>
        <w:right w:val="none" w:sz="0" w:space="0" w:color="auto"/>
      </w:divBdr>
    </w:div>
    <w:div w:id="1624194447">
      <w:marLeft w:val="0"/>
      <w:marRight w:val="0"/>
      <w:marTop w:val="0"/>
      <w:marBottom w:val="0"/>
      <w:divBdr>
        <w:top w:val="none" w:sz="0" w:space="0" w:color="auto"/>
        <w:left w:val="none" w:sz="0" w:space="0" w:color="auto"/>
        <w:bottom w:val="none" w:sz="0" w:space="0" w:color="auto"/>
        <w:right w:val="none" w:sz="0" w:space="0" w:color="auto"/>
      </w:divBdr>
    </w:div>
    <w:div w:id="1624194448">
      <w:marLeft w:val="0"/>
      <w:marRight w:val="0"/>
      <w:marTop w:val="0"/>
      <w:marBottom w:val="0"/>
      <w:divBdr>
        <w:top w:val="none" w:sz="0" w:space="0" w:color="auto"/>
        <w:left w:val="none" w:sz="0" w:space="0" w:color="auto"/>
        <w:bottom w:val="none" w:sz="0" w:space="0" w:color="auto"/>
        <w:right w:val="none" w:sz="0" w:space="0" w:color="auto"/>
      </w:divBdr>
    </w:div>
    <w:div w:id="1624194449">
      <w:marLeft w:val="0"/>
      <w:marRight w:val="0"/>
      <w:marTop w:val="0"/>
      <w:marBottom w:val="0"/>
      <w:divBdr>
        <w:top w:val="none" w:sz="0" w:space="0" w:color="auto"/>
        <w:left w:val="none" w:sz="0" w:space="0" w:color="auto"/>
        <w:bottom w:val="none" w:sz="0" w:space="0" w:color="auto"/>
        <w:right w:val="none" w:sz="0" w:space="0" w:color="auto"/>
      </w:divBdr>
    </w:div>
    <w:div w:id="1624194450">
      <w:marLeft w:val="0"/>
      <w:marRight w:val="0"/>
      <w:marTop w:val="0"/>
      <w:marBottom w:val="0"/>
      <w:divBdr>
        <w:top w:val="none" w:sz="0" w:space="0" w:color="auto"/>
        <w:left w:val="none" w:sz="0" w:space="0" w:color="auto"/>
        <w:bottom w:val="none" w:sz="0" w:space="0" w:color="auto"/>
        <w:right w:val="none" w:sz="0" w:space="0" w:color="auto"/>
      </w:divBdr>
    </w:div>
    <w:div w:id="1624194451">
      <w:marLeft w:val="0"/>
      <w:marRight w:val="0"/>
      <w:marTop w:val="0"/>
      <w:marBottom w:val="0"/>
      <w:divBdr>
        <w:top w:val="none" w:sz="0" w:space="0" w:color="auto"/>
        <w:left w:val="none" w:sz="0" w:space="0" w:color="auto"/>
        <w:bottom w:val="none" w:sz="0" w:space="0" w:color="auto"/>
        <w:right w:val="none" w:sz="0" w:space="0" w:color="auto"/>
      </w:divBdr>
    </w:div>
    <w:div w:id="1624194452">
      <w:marLeft w:val="0"/>
      <w:marRight w:val="0"/>
      <w:marTop w:val="0"/>
      <w:marBottom w:val="0"/>
      <w:divBdr>
        <w:top w:val="none" w:sz="0" w:space="0" w:color="auto"/>
        <w:left w:val="none" w:sz="0" w:space="0" w:color="auto"/>
        <w:bottom w:val="none" w:sz="0" w:space="0" w:color="auto"/>
        <w:right w:val="none" w:sz="0" w:space="0" w:color="auto"/>
      </w:divBdr>
    </w:div>
    <w:div w:id="1624194453">
      <w:marLeft w:val="0"/>
      <w:marRight w:val="0"/>
      <w:marTop w:val="0"/>
      <w:marBottom w:val="0"/>
      <w:divBdr>
        <w:top w:val="none" w:sz="0" w:space="0" w:color="auto"/>
        <w:left w:val="none" w:sz="0" w:space="0" w:color="auto"/>
        <w:bottom w:val="none" w:sz="0" w:space="0" w:color="auto"/>
        <w:right w:val="none" w:sz="0" w:space="0" w:color="auto"/>
      </w:divBdr>
    </w:div>
    <w:div w:id="1624194454">
      <w:marLeft w:val="0"/>
      <w:marRight w:val="0"/>
      <w:marTop w:val="0"/>
      <w:marBottom w:val="0"/>
      <w:divBdr>
        <w:top w:val="none" w:sz="0" w:space="0" w:color="auto"/>
        <w:left w:val="none" w:sz="0" w:space="0" w:color="auto"/>
        <w:bottom w:val="none" w:sz="0" w:space="0" w:color="auto"/>
        <w:right w:val="none" w:sz="0" w:space="0" w:color="auto"/>
      </w:divBdr>
    </w:div>
    <w:div w:id="1624194455">
      <w:marLeft w:val="0"/>
      <w:marRight w:val="0"/>
      <w:marTop w:val="0"/>
      <w:marBottom w:val="0"/>
      <w:divBdr>
        <w:top w:val="none" w:sz="0" w:space="0" w:color="auto"/>
        <w:left w:val="none" w:sz="0" w:space="0" w:color="auto"/>
        <w:bottom w:val="none" w:sz="0" w:space="0" w:color="auto"/>
        <w:right w:val="none" w:sz="0" w:space="0" w:color="auto"/>
      </w:divBdr>
    </w:div>
    <w:div w:id="1624194456">
      <w:marLeft w:val="0"/>
      <w:marRight w:val="0"/>
      <w:marTop w:val="0"/>
      <w:marBottom w:val="0"/>
      <w:divBdr>
        <w:top w:val="none" w:sz="0" w:space="0" w:color="auto"/>
        <w:left w:val="none" w:sz="0" w:space="0" w:color="auto"/>
        <w:bottom w:val="none" w:sz="0" w:space="0" w:color="auto"/>
        <w:right w:val="none" w:sz="0" w:space="0" w:color="auto"/>
      </w:divBdr>
    </w:div>
    <w:div w:id="1624194457">
      <w:marLeft w:val="0"/>
      <w:marRight w:val="0"/>
      <w:marTop w:val="0"/>
      <w:marBottom w:val="0"/>
      <w:divBdr>
        <w:top w:val="none" w:sz="0" w:space="0" w:color="auto"/>
        <w:left w:val="none" w:sz="0" w:space="0" w:color="auto"/>
        <w:bottom w:val="none" w:sz="0" w:space="0" w:color="auto"/>
        <w:right w:val="none" w:sz="0" w:space="0" w:color="auto"/>
      </w:divBdr>
    </w:div>
    <w:div w:id="1624194458">
      <w:marLeft w:val="0"/>
      <w:marRight w:val="0"/>
      <w:marTop w:val="0"/>
      <w:marBottom w:val="0"/>
      <w:divBdr>
        <w:top w:val="none" w:sz="0" w:space="0" w:color="auto"/>
        <w:left w:val="none" w:sz="0" w:space="0" w:color="auto"/>
        <w:bottom w:val="none" w:sz="0" w:space="0" w:color="auto"/>
        <w:right w:val="none" w:sz="0" w:space="0" w:color="auto"/>
      </w:divBdr>
    </w:div>
    <w:div w:id="1624194459">
      <w:marLeft w:val="0"/>
      <w:marRight w:val="0"/>
      <w:marTop w:val="0"/>
      <w:marBottom w:val="0"/>
      <w:divBdr>
        <w:top w:val="none" w:sz="0" w:space="0" w:color="auto"/>
        <w:left w:val="none" w:sz="0" w:space="0" w:color="auto"/>
        <w:bottom w:val="none" w:sz="0" w:space="0" w:color="auto"/>
        <w:right w:val="none" w:sz="0" w:space="0" w:color="auto"/>
      </w:divBdr>
    </w:div>
    <w:div w:id="1624194460">
      <w:marLeft w:val="0"/>
      <w:marRight w:val="0"/>
      <w:marTop w:val="0"/>
      <w:marBottom w:val="0"/>
      <w:divBdr>
        <w:top w:val="none" w:sz="0" w:space="0" w:color="auto"/>
        <w:left w:val="none" w:sz="0" w:space="0" w:color="auto"/>
        <w:bottom w:val="none" w:sz="0" w:space="0" w:color="auto"/>
        <w:right w:val="none" w:sz="0" w:space="0" w:color="auto"/>
      </w:divBdr>
    </w:div>
    <w:div w:id="1624194461">
      <w:marLeft w:val="0"/>
      <w:marRight w:val="0"/>
      <w:marTop w:val="0"/>
      <w:marBottom w:val="0"/>
      <w:divBdr>
        <w:top w:val="none" w:sz="0" w:space="0" w:color="auto"/>
        <w:left w:val="none" w:sz="0" w:space="0" w:color="auto"/>
        <w:bottom w:val="none" w:sz="0" w:space="0" w:color="auto"/>
        <w:right w:val="none" w:sz="0" w:space="0" w:color="auto"/>
      </w:divBdr>
    </w:div>
    <w:div w:id="1624194462">
      <w:marLeft w:val="0"/>
      <w:marRight w:val="0"/>
      <w:marTop w:val="0"/>
      <w:marBottom w:val="0"/>
      <w:divBdr>
        <w:top w:val="none" w:sz="0" w:space="0" w:color="auto"/>
        <w:left w:val="none" w:sz="0" w:space="0" w:color="auto"/>
        <w:bottom w:val="none" w:sz="0" w:space="0" w:color="auto"/>
        <w:right w:val="none" w:sz="0" w:space="0" w:color="auto"/>
      </w:divBdr>
    </w:div>
    <w:div w:id="1624194463">
      <w:marLeft w:val="0"/>
      <w:marRight w:val="0"/>
      <w:marTop w:val="0"/>
      <w:marBottom w:val="0"/>
      <w:divBdr>
        <w:top w:val="none" w:sz="0" w:space="0" w:color="auto"/>
        <w:left w:val="none" w:sz="0" w:space="0" w:color="auto"/>
        <w:bottom w:val="none" w:sz="0" w:space="0" w:color="auto"/>
        <w:right w:val="none" w:sz="0" w:space="0" w:color="auto"/>
      </w:divBdr>
    </w:div>
    <w:div w:id="1624194464">
      <w:marLeft w:val="0"/>
      <w:marRight w:val="0"/>
      <w:marTop w:val="0"/>
      <w:marBottom w:val="0"/>
      <w:divBdr>
        <w:top w:val="none" w:sz="0" w:space="0" w:color="auto"/>
        <w:left w:val="none" w:sz="0" w:space="0" w:color="auto"/>
        <w:bottom w:val="none" w:sz="0" w:space="0" w:color="auto"/>
        <w:right w:val="none" w:sz="0" w:space="0" w:color="auto"/>
      </w:divBdr>
    </w:div>
    <w:div w:id="1624194465">
      <w:marLeft w:val="0"/>
      <w:marRight w:val="0"/>
      <w:marTop w:val="0"/>
      <w:marBottom w:val="0"/>
      <w:divBdr>
        <w:top w:val="none" w:sz="0" w:space="0" w:color="auto"/>
        <w:left w:val="none" w:sz="0" w:space="0" w:color="auto"/>
        <w:bottom w:val="none" w:sz="0" w:space="0" w:color="auto"/>
        <w:right w:val="none" w:sz="0" w:space="0" w:color="auto"/>
      </w:divBdr>
    </w:div>
    <w:div w:id="1624194466">
      <w:marLeft w:val="0"/>
      <w:marRight w:val="0"/>
      <w:marTop w:val="0"/>
      <w:marBottom w:val="0"/>
      <w:divBdr>
        <w:top w:val="none" w:sz="0" w:space="0" w:color="auto"/>
        <w:left w:val="none" w:sz="0" w:space="0" w:color="auto"/>
        <w:bottom w:val="none" w:sz="0" w:space="0" w:color="auto"/>
        <w:right w:val="none" w:sz="0" w:space="0" w:color="auto"/>
      </w:divBdr>
    </w:div>
    <w:div w:id="1624194467">
      <w:marLeft w:val="0"/>
      <w:marRight w:val="0"/>
      <w:marTop w:val="0"/>
      <w:marBottom w:val="0"/>
      <w:divBdr>
        <w:top w:val="none" w:sz="0" w:space="0" w:color="auto"/>
        <w:left w:val="none" w:sz="0" w:space="0" w:color="auto"/>
        <w:bottom w:val="none" w:sz="0" w:space="0" w:color="auto"/>
        <w:right w:val="none" w:sz="0" w:space="0" w:color="auto"/>
      </w:divBdr>
    </w:div>
    <w:div w:id="1624194468">
      <w:marLeft w:val="0"/>
      <w:marRight w:val="0"/>
      <w:marTop w:val="0"/>
      <w:marBottom w:val="0"/>
      <w:divBdr>
        <w:top w:val="none" w:sz="0" w:space="0" w:color="auto"/>
        <w:left w:val="none" w:sz="0" w:space="0" w:color="auto"/>
        <w:bottom w:val="none" w:sz="0" w:space="0" w:color="auto"/>
        <w:right w:val="none" w:sz="0" w:space="0" w:color="auto"/>
      </w:divBdr>
    </w:div>
    <w:div w:id="1624194469">
      <w:marLeft w:val="0"/>
      <w:marRight w:val="0"/>
      <w:marTop w:val="0"/>
      <w:marBottom w:val="0"/>
      <w:divBdr>
        <w:top w:val="none" w:sz="0" w:space="0" w:color="auto"/>
        <w:left w:val="none" w:sz="0" w:space="0" w:color="auto"/>
        <w:bottom w:val="none" w:sz="0" w:space="0" w:color="auto"/>
        <w:right w:val="none" w:sz="0" w:space="0" w:color="auto"/>
      </w:divBdr>
    </w:div>
    <w:div w:id="1624194470">
      <w:marLeft w:val="0"/>
      <w:marRight w:val="0"/>
      <w:marTop w:val="0"/>
      <w:marBottom w:val="0"/>
      <w:divBdr>
        <w:top w:val="none" w:sz="0" w:space="0" w:color="auto"/>
        <w:left w:val="none" w:sz="0" w:space="0" w:color="auto"/>
        <w:bottom w:val="none" w:sz="0" w:space="0" w:color="auto"/>
        <w:right w:val="none" w:sz="0" w:space="0" w:color="auto"/>
      </w:divBdr>
    </w:div>
    <w:div w:id="1624194471">
      <w:marLeft w:val="0"/>
      <w:marRight w:val="0"/>
      <w:marTop w:val="0"/>
      <w:marBottom w:val="0"/>
      <w:divBdr>
        <w:top w:val="none" w:sz="0" w:space="0" w:color="auto"/>
        <w:left w:val="none" w:sz="0" w:space="0" w:color="auto"/>
        <w:bottom w:val="none" w:sz="0" w:space="0" w:color="auto"/>
        <w:right w:val="none" w:sz="0" w:space="0" w:color="auto"/>
      </w:divBdr>
    </w:div>
    <w:div w:id="1624194472">
      <w:marLeft w:val="0"/>
      <w:marRight w:val="0"/>
      <w:marTop w:val="0"/>
      <w:marBottom w:val="0"/>
      <w:divBdr>
        <w:top w:val="none" w:sz="0" w:space="0" w:color="auto"/>
        <w:left w:val="none" w:sz="0" w:space="0" w:color="auto"/>
        <w:bottom w:val="none" w:sz="0" w:space="0" w:color="auto"/>
        <w:right w:val="none" w:sz="0" w:space="0" w:color="auto"/>
      </w:divBdr>
    </w:div>
    <w:div w:id="1624194473">
      <w:marLeft w:val="0"/>
      <w:marRight w:val="0"/>
      <w:marTop w:val="0"/>
      <w:marBottom w:val="0"/>
      <w:divBdr>
        <w:top w:val="none" w:sz="0" w:space="0" w:color="auto"/>
        <w:left w:val="none" w:sz="0" w:space="0" w:color="auto"/>
        <w:bottom w:val="none" w:sz="0" w:space="0" w:color="auto"/>
        <w:right w:val="none" w:sz="0" w:space="0" w:color="auto"/>
      </w:divBdr>
    </w:div>
    <w:div w:id="1624194474">
      <w:marLeft w:val="0"/>
      <w:marRight w:val="0"/>
      <w:marTop w:val="0"/>
      <w:marBottom w:val="0"/>
      <w:divBdr>
        <w:top w:val="none" w:sz="0" w:space="0" w:color="auto"/>
        <w:left w:val="none" w:sz="0" w:space="0" w:color="auto"/>
        <w:bottom w:val="none" w:sz="0" w:space="0" w:color="auto"/>
        <w:right w:val="none" w:sz="0" w:space="0" w:color="auto"/>
      </w:divBdr>
    </w:div>
    <w:div w:id="1624194475">
      <w:marLeft w:val="0"/>
      <w:marRight w:val="0"/>
      <w:marTop w:val="0"/>
      <w:marBottom w:val="0"/>
      <w:divBdr>
        <w:top w:val="none" w:sz="0" w:space="0" w:color="auto"/>
        <w:left w:val="none" w:sz="0" w:space="0" w:color="auto"/>
        <w:bottom w:val="none" w:sz="0" w:space="0" w:color="auto"/>
        <w:right w:val="none" w:sz="0" w:space="0" w:color="auto"/>
      </w:divBdr>
    </w:div>
    <w:div w:id="1624194476">
      <w:marLeft w:val="0"/>
      <w:marRight w:val="0"/>
      <w:marTop w:val="0"/>
      <w:marBottom w:val="0"/>
      <w:divBdr>
        <w:top w:val="none" w:sz="0" w:space="0" w:color="auto"/>
        <w:left w:val="none" w:sz="0" w:space="0" w:color="auto"/>
        <w:bottom w:val="none" w:sz="0" w:space="0" w:color="auto"/>
        <w:right w:val="none" w:sz="0" w:space="0" w:color="auto"/>
      </w:divBdr>
    </w:div>
    <w:div w:id="1624194477">
      <w:marLeft w:val="0"/>
      <w:marRight w:val="0"/>
      <w:marTop w:val="0"/>
      <w:marBottom w:val="0"/>
      <w:divBdr>
        <w:top w:val="none" w:sz="0" w:space="0" w:color="auto"/>
        <w:left w:val="none" w:sz="0" w:space="0" w:color="auto"/>
        <w:bottom w:val="none" w:sz="0" w:space="0" w:color="auto"/>
        <w:right w:val="none" w:sz="0" w:space="0" w:color="auto"/>
      </w:divBdr>
    </w:div>
    <w:div w:id="1624194478">
      <w:marLeft w:val="0"/>
      <w:marRight w:val="0"/>
      <w:marTop w:val="0"/>
      <w:marBottom w:val="0"/>
      <w:divBdr>
        <w:top w:val="none" w:sz="0" w:space="0" w:color="auto"/>
        <w:left w:val="none" w:sz="0" w:space="0" w:color="auto"/>
        <w:bottom w:val="none" w:sz="0" w:space="0" w:color="auto"/>
        <w:right w:val="none" w:sz="0" w:space="0" w:color="auto"/>
      </w:divBdr>
    </w:div>
    <w:div w:id="1624194479">
      <w:marLeft w:val="0"/>
      <w:marRight w:val="0"/>
      <w:marTop w:val="0"/>
      <w:marBottom w:val="0"/>
      <w:divBdr>
        <w:top w:val="none" w:sz="0" w:space="0" w:color="auto"/>
        <w:left w:val="none" w:sz="0" w:space="0" w:color="auto"/>
        <w:bottom w:val="none" w:sz="0" w:space="0" w:color="auto"/>
        <w:right w:val="none" w:sz="0" w:space="0" w:color="auto"/>
      </w:divBdr>
    </w:div>
    <w:div w:id="1624194480">
      <w:marLeft w:val="0"/>
      <w:marRight w:val="0"/>
      <w:marTop w:val="0"/>
      <w:marBottom w:val="0"/>
      <w:divBdr>
        <w:top w:val="none" w:sz="0" w:space="0" w:color="auto"/>
        <w:left w:val="none" w:sz="0" w:space="0" w:color="auto"/>
        <w:bottom w:val="none" w:sz="0" w:space="0" w:color="auto"/>
        <w:right w:val="none" w:sz="0" w:space="0" w:color="auto"/>
      </w:divBdr>
    </w:div>
    <w:div w:id="1624194481">
      <w:marLeft w:val="0"/>
      <w:marRight w:val="0"/>
      <w:marTop w:val="0"/>
      <w:marBottom w:val="0"/>
      <w:divBdr>
        <w:top w:val="none" w:sz="0" w:space="0" w:color="auto"/>
        <w:left w:val="none" w:sz="0" w:space="0" w:color="auto"/>
        <w:bottom w:val="none" w:sz="0" w:space="0" w:color="auto"/>
        <w:right w:val="none" w:sz="0" w:space="0" w:color="auto"/>
      </w:divBdr>
    </w:div>
    <w:div w:id="1624194482">
      <w:marLeft w:val="0"/>
      <w:marRight w:val="0"/>
      <w:marTop w:val="0"/>
      <w:marBottom w:val="0"/>
      <w:divBdr>
        <w:top w:val="none" w:sz="0" w:space="0" w:color="auto"/>
        <w:left w:val="none" w:sz="0" w:space="0" w:color="auto"/>
        <w:bottom w:val="none" w:sz="0" w:space="0" w:color="auto"/>
        <w:right w:val="none" w:sz="0" w:space="0" w:color="auto"/>
      </w:divBdr>
    </w:div>
    <w:div w:id="1624194483">
      <w:marLeft w:val="0"/>
      <w:marRight w:val="0"/>
      <w:marTop w:val="0"/>
      <w:marBottom w:val="0"/>
      <w:divBdr>
        <w:top w:val="none" w:sz="0" w:space="0" w:color="auto"/>
        <w:left w:val="none" w:sz="0" w:space="0" w:color="auto"/>
        <w:bottom w:val="none" w:sz="0" w:space="0" w:color="auto"/>
        <w:right w:val="none" w:sz="0" w:space="0" w:color="auto"/>
      </w:divBdr>
    </w:div>
    <w:div w:id="1624194484">
      <w:marLeft w:val="0"/>
      <w:marRight w:val="0"/>
      <w:marTop w:val="0"/>
      <w:marBottom w:val="0"/>
      <w:divBdr>
        <w:top w:val="none" w:sz="0" w:space="0" w:color="auto"/>
        <w:left w:val="none" w:sz="0" w:space="0" w:color="auto"/>
        <w:bottom w:val="none" w:sz="0" w:space="0" w:color="auto"/>
        <w:right w:val="none" w:sz="0" w:space="0" w:color="auto"/>
      </w:divBdr>
    </w:div>
    <w:div w:id="1624194485">
      <w:marLeft w:val="0"/>
      <w:marRight w:val="0"/>
      <w:marTop w:val="0"/>
      <w:marBottom w:val="0"/>
      <w:divBdr>
        <w:top w:val="none" w:sz="0" w:space="0" w:color="auto"/>
        <w:left w:val="none" w:sz="0" w:space="0" w:color="auto"/>
        <w:bottom w:val="none" w:sz="0" w:space="0" w:color="auto"/>
        <w:right w:val="none" w:sz="0" w:space="0" w:color="auto"/>
      </w:divBdr>
    </w:div>
    <w:div w:id="1624194486">
      <w:marLeft w:val="0"/>
      <w:marRight w:val="0"/>
      <w:marTop w:val="0"/>
      <w:marBottom w:val="0"/>
      <w:divBdr>
        <w:top w:val="none" w:sz="0" w:space="0" w:color="auto"/>
        <w:left w:val="none" w:sz="0" w:space="0" w:color="auto"/>
        <w:bottom w:val="none" w:sz="0" w:space="0" w:color="auto"/>
        <w:right w:val="none" w:sz="0" w:space="0" w:color="auto"/>
      </w:divBdr>
    </w:div>
    <w:div w:id="1624194487">
      <w:marLeft w:val="0"/>
      <w:marRight w:val="0"/>
      <w:marTop w:val="0"/>
      <w:marBottom w:val="0"/>
      <w:divBdr>
        <w:top w:val="none" w:sz="0" w:space="0" w:color="auto"/>
        <w:left w:val="none" w:sz="0" w:space="0" w:color="auto"/>
        <w:bottom w:val="none" w:sz="0" w:space="0" w:color="auto"/>
        <w:right w:val="none" w:sz="0" w:space="0" w:color="auto"/>
      </w:divBdr>
    </w:div>
    <w:div w:id="1624194488">
      <w:marLeft w:val="0"/>
      <w:marRight w:val="0"/>
      <w:marTop w:val="0"/>
      <w:marBottom w:val="0"/>
      <w:divBdr>
        <w:top w:val="none" w:sz="0" w:space="0" w:color="auto"/>
        <w:left w:val="none" w:sz="0" w:space="0" w:color="auto"/>
        <w:bottom w:val="none" w:sz="0" w:space="0" w:color="auto"/>
        <w:right w:val="none" w:sz="0" w:space="0" w:color="auto"/>
      </w:divBdr>
    </w:div>
    <w:div w:id="1624194489">
      <w:marLeft w:val="0"/>
      <w:marRight w:val="0"/>
      <w:marTop w:val="0"/>
      <w:marBottom w:val="0"/>
      <w:divBdr>
        <w:top w:val="none" w:sz="0" w:space="0" w:color="auto"/>
        <w:left w:val="none" w:sz="0" w:space="0" w:color="auto"/>
        <w:bottom w:val="none" w:sz="0" w:space="0" w:color="auto"/>
        <w:right w:val="none" w:sz="0" w:space="0" w:color="auto"/>
      </w:divBdr>
    </w:div>
    <w:div w:id="1624194490">
      <w:marLeft w:val="0"/>
      <w:marRight w:val="0"/>
      <w:marTop w:val="0"/>
      <w:marBottom w:val="0"/>
      <w:divBdr>
        <w:top w:val="none" w:sz="0" w:space="0" w:color="auto"/>
        <w:left w:val="none" w:sz="0" w:space="0" w:color="auto"/>
        <w:bottom w:val="none" w:sz="0" w:space="0" w:color="auto"/>
        <w:right w:val="none" w:sz="0" w:space="0" w:color="auto"/>
      </w:divBdr>
    </w:div>
    <w:div w:id="1624194491">
      <w:marLeft w:val="0"/>
      <w:marRight w:val="0"/>
      <w:marTop w:val="0"/>
      <w:marBottom w:val="0"/>
      <w:divBdr>
        <w:top w:val="none" w:sz="0" w:space="0" w:color="auto"/>
        <w:left w:val="none" w:sz="0" w:space="0" w:color="auto"/>
        <w:bottom w:val="none" w:sz="0" w:space="0" w:color="auto"/>
        <w:right w:val="none" w:sz="0" w:space="0" w:color="auto"/>
      </w:divBdr>
    </w:div>
    <w:div w:id="1624194492">
      <w:marLeft w:val="0"/>
      <w:marRight w:val="0"/>
      <w:marTop w:val="0"/>
      <w:marBottom w:val="0"/>
      <w:divBdr>
        <w:top w:val="none" w:sz="0" w:space="0" w:color="auto"/>
        <w:left w:val="none" w:sz="0" w:space="0" w:color="auto"/>
        <w:bottom w:val="none" w:sz="0" w:space="0" w:color="auto"/>
        <w:right w:val="none" w:sz="0" w:space="0" w:color="auto"/>
      </w:divBdr>
    </w:div>
    <w:div w:id="1624194493">
      <w:marLeft w:val="0"/>
      <w:marRight w:val="0"/>
      <w:marTop w:val="0"/>
      <w:marBottom w:val="0"/>
      <w:divBdr>
        <w:top w:val="none" w:sz="0" w:space="0" w:color="auto"/>
        <w:left w:val="none" w:sz="0" w:space="0" w:color="auto"/>
        <w:bottom w:val="none" w:sz="0" w:space="0" w:color="auto"/>
        <w:right w:val="none" w:sz="0" w:space="0" w:color="auto"/>
      </w:divBdr>
    </w:div>
    <w:div w:id="1624194494">
      <w:marLeft w:val="0"/>
      <w:marRight w:val="0"/>
      <w:marTop w:val="0"/>
      <w:marBottom w:val="0"/>
      <w:divBdr>
        <w:top w:val="none" w:sz="0" w:space="0" w:color="auto"/>
        <w:left w:val="none" w:sz="0" w:space="0" w:color="auto"/>
        <w:bottom w:val="none" w:sz="0" w:space="0" w:color="auto"/>
        <w:right w:val="none" w:sz="0" w:space="0" w:color="auto"/>
      </w:divBdr>
    </w:div>
    <w:div w:id="1624194495">
      <w:marLeft w:val="0"/>
      <w:marRight w:val="0"/>
      <w:marTop w:val="0"/>
      <w:marBottom w:val="0"/>
      <w:divBdr>
        <w:top w:val="none" w:sz="0" w:space="0" w:color="auto"/>
        <w:left w:val="none" w:sz="0" w:space="0" w:color="auto"/>
        <w:bottom w:val="none" w:sz="0" w:space="0" w:color="auto"/>
        <w:right w:val="none" w:sz="0" w:space="0" w:color="auto"/>
      </w:divBdr>
    </w:div>
    <w:div w:id="1624194496">
      <w:marLeft w:val="0"/>
      <w:marRight w:val="0"/>
      <w:marTop w:val="0"/>
      <w:marBottom w:val="0"/>
      <w:divBdr>
        <w:top w:val="none" w:sz="0" w:space="0" w:color="auto"/>
        <w:left w:val="none" w:sz="0" w:space="0" w:color="auto"/>
        <w:bottom w:val="none" w:sz="0" w:space="0" w:color="auto"/>
        <w:right w:val="none" w:sz="0" w:space="0" w:color="auto"/>
      </w:divBdr>
    </w:div>
    <w:div w:id="1624194497">
      <w:marLeft w:val="0"/>
      <w:marRight w:val="0"/>
      <w:marTop w:val="0"/>
      <w:marBottom w:val="0"/>
      <w:divBdr>
        <w:top w:val="none" w:sz="0" w:space="0" w:color="auto"/>
        <w:left w:val="none" w:sz="0" w:space="0" w:color="auto"/>
        <w:bottom w:val="none" w:sz="0" w:space="0" w:color="auto"/>
        <w:right w:val="none" w:sz="0" w:space="0" w:color="auto"/>
      </w:divBdr>
    </w:div>
    <w:div w:id="1624194498">
      <w:marLeft w:val="0"/>
      <w:marRight w:val="0"/>
      <w:marTop w:val="0"/>
      <w:marBottom w:val="0"/>
      <w:divBdr>
        <w:top w:val="none" w:sz="0" w:space="0" w:color="auto"/>
        <w:left w:val="none" w:sz="0" w:space="0" w:color="auto"/>
        <w:bottom w:val="none" w:sz="0" w:space="0" w:color="auto"/>
        <w:right w:val="none" w:sz="0" w:space="0" w:color="auto"/>
      </w:divBdr>
    </w:div>
    <w:div w:id="1624194499">
      <w:marLeft w:val="0"/>
      <w:marRight w:val="0"/>
      <w:marTop w:val="0"/>
      <w:marBottom w:val="0"/>
      <w:divBdr>
        <w:top w:val="none" w:sz="0" w:space="0" w:color="auto"/>
        <w:left w:val="none" w:sz="0" w:space="0" w:color="auto"/>
        <w:bottom w:val="none" w:sz="0" w:space="0" w:color="auto"/>
        <w:right w:val="none" w:sz="0" w:space="0" w:color="auto"/>
      </w:divBdr>
    </w:div>
    <w:div w:id="1624194500">
      <w:marLeft w:val="0"/>
      <w:marRight w:val="0"/>
      <w:marTop w:val="0"/>
      <w:marBottom w:val="0"/>
      <w:divBdr>
        <w:top w:val="none" w:sz="0" w:space="0" w:color="auto"/>
        <w:left w:val="none" w:sz="0" w:space="0" w:color="auto"/>
        <w:bottom w:val="none" w:sz="0" w:space="0" w:color="auto"/>
        <w:right w:val="none" w:sz="0" w:space="0" w:color="auto"/>
      </w:divBdr>
    </w:div>
    <w:div w:id="1624194501">
      <w:marLeft w:val="0"/>
      <w:marRight w:val="0"/>
      <w:marTop w:val="0"/>
      <w:marBottom w:val="0"/>
      <w:divBdr>
        <w:top w:val="none" w:sz="0" w:space="0" w:color="auto"/>
        <w:left w:val="none" w:sz="0" w:space="0" w:color="auto"/>
        <w:bottom w:val="none" w:sz="0" w:space="0" w:color="auto"/>
        <w:right w:val="none" w:sz="0" w:space="0" w:color="auto"/>
      </w:divBdr>
    </w:div>
    <w:div w:id="1624194502">
      <w:marLeft w:val="0"/>
      <w:marRight w:val="0"/>
      <w:marTop w:val="0"/>
      <w:marBottom w:val="0"/>
      <w:divBdr>
        <w:top w:val="none" w:sz="0" w:space="0" w:color="auto"/>
        <w:left w:val="none" w:sz="0" w:space="0" w:color="auto"/>
        <w:bottom w:val="none" w:sz="0" w:space="0" w:color="auto"/>
        <w:right w:val="none" w:sz="0" w:space="0" w:color="auto"/>
      </w:divBdr>
    </w:div>
    <w:div w:id="1624194503">
      <w:marLeft w:val="0"/>
      <w:marRight w:val="0"/>
      <w:marTop w:val="0"/>
      <w:marBottom w:val="0"/>
      <w:divBdr>
        <w:top w:val="none" w:sz="0" w:space="0" w:color="auto"/>
        <w:left w:val="none" w:sz="0" w:space="0" w:color="auto"/>
        <w:bottom w:val="none" w:sz="0" w:space="0" w:color="auto"/>
        <w:right w:val="none" w:sz="0" w:space="0" w:color="auto"/>
      </w:divBdr>
    </w:div>
    <w:div w:id="1624194504">
      <w:marLeft w:val="0"/>
      <w:marRight w:val="0"/>
      <w:marTop w:val="0"/>
      <w:marBottom w:val="0"/>
      <w:divBdr>
        <w:top w:val="none" w:sz="0" w:space="0" w:color="auto"/>
        <w:left w:val="none" w:sz="0" w:space="0" w:color="auto"/>
        <w:bottom w:val="none" w:sz="0" w:space="0" w:color="auto"/>
        <w:right w:val="none" w:sz="0" w:space="0" w:color="auto"/>
      </w:divBdr>
    </w:div>
    <w:div w:id="1624194505">
      <w:marLeft w:val="0"/>
      <w:marRight w:val="0"/>
      <w:marTop w:val="0"/>
      <w:marBottom w:val="0"/>
      <w:divBdr>
        <w:top w:val="none" w:sz="0" w:space="0" w:color="auto"/>
        <w:left w:val="none" w:sz="0" w:space="0" w:color="auto"/>
        <w:bottom w:val="none" w:sz="0" w:space="0" w:color="auto"/>
        <w:right w:val="none" w:sz="0" w:space="0" w:color="auto"/>
      </w:divBdr>
    </w:div>
    <w:div w:id="1624194506">
      <w:marLeft w:val="0"/>
      <w:marRight w:val="0"/>
      <w:marTop w:val="0"/>
      <w:marBottom w:val="0"/>
      <w:divBdr>
        <w:top w:val="none" w:sz="0" w:space="0" w:color="auto"/>
        <w:left w:val="none" w:sz="0" w:space="0" w:color="auto"/>
        <w:bottom w:val="none" w:sz="0" w:space="0" w:color="auto"/>
        <w:right w:val="none" w:sz="0" w:space="0" w:color="auto"/>
      </w:divBdr>
    </w:div>
    <w:div w:id="1624194507">
      <w:marLeft w:val="0"/>
      <w:marRight w:val="0"/>
      <w:marTop w:val="0"/>
      <w:marBottom w:val="0"/>
      <w:divBdr>
        <w:top w:val="none" w:sz="0" w:space="0" w:color="auto"/>
        <w:left w:val="none" w:sz="0" w:space="0" w:color="auto"/>
        <w:bottom w:val="none" w:sz="0" w:space="0" w:color="auto"/>
        <w:right w:val="none" w:sz="0" w:space="0" w:color="auto"/>
      </w:divBdr>
    </w:div>
    <w:div w:id="1624194508">
      <w:marLeft w:val="0"/>
      <w:marRight w:val="0"/>
      <w:marTop w:val="0"/>
      <w:marBottom w:val="0"/>
      <w:divBdr>
        <w:top w:val="none" w:sz="0" w:space="0" w:color="auto"/>
        <w:left w:val="none" w:sz="0" w:space="0" w:color="auto"/>
        <w:bottom w:val="none" w:sz="0" w:space="0" w:color="auto"/>
        <w:right w:val="none" w:sz="0" w:space="0" w:color="auto"/>
      </w:divBdr>
    </w:div>
    <w:div w:id="1624194509">
      <w:marLeft w:val="0"/>
      <w:marRight w:val="0"/>
      <w:marTop w:val="0"/>
      <w:marBottom w:val="0"/>
      <w:divBdr>
        <w:top w:val="none" w:sz="0" w:space="0" w:color="auto"/>
        <w:left w:val="none" w:sz="0" w:space="0" w:color="auto"/>
        <w:bottom w:val="none" w:sz="0" w:space="0" w:color="auto"/>
        <w:right w:val="none" w:sz="0" w:space="0" w:color="auto"/>
      </w:divBdr>
    </w:div>
    <w:div w:id="1624194510">
      <w:marLeft w:val="0"/>
      <w:marRight w:val="0"/>
      <w:marTop w:val="0"/>
      <w:marBottom w:val="0"/>
      <w:divBdr>
        <w:top w:val="none" w:sz="0" w:space="0" w:color="auto"/>
        <w:left w:val="none" w:sz="0" w:space="0" w:color="auto"/>
        <w:bottom w:val="none" w:sz="0" w:space="0" w:color="auto"/>
        <w:right w:val="none" w:sz="0" w:space="0" w:color="auto"/>
      </w:divBdr>
    </w:div>
    <w:div w:id="1624194511">
      <w:marLeft w:val="0"/>
      <w:marRight w:val="0"/>
      <w:marTop w:val="0"/>
      <w:marBottom w:val="0"/>
      <w:divBdr>
        <w:top w:val="none" w:sz="0" w:space="0" w:color="auto"/>
        <w:left w:val="none" w:sz="0" w:space="0" w:color="auto"/>
        <w:bottom w:val="none" w:sz="0" w:space="0" w:color="auto"/>
        <w:right w:val="none" w:sz="0" w:space="0" w:color="auto"/>
      </w:divBdr>
    </w:div>
    <w:div w:id="1624194512">
      <w:marLeft w:val="0"/>
      <w:marRight w:val="0"/>
      <w:marTop w:val="0"/>
      <w:marBottom w:val="0"/>
      <w:divBdr>
        <w:top w:val="none" w:sz="0" w:space="0" w:color="auto"/>
        <w:left w:val="none" w:sz="0" w:space="0" w:color="auto"/>
        <w:bottom w:val="none" w:sz="0" w:space="0" w:color="auto"/>
        <w:right w:val="none" w:sz="0" w:space="0" w:color="auto"/>
      </w:divBdr>
    </w:div>
    <w:div w:id="1624194513">
      <w:marLeft w:val="0"/>
      <w:marRight w:val="0"/>
      <w:marTop w:val="0"/>
      <w:marBottom w:val="0"/>
      <w:divBdr>
        <w:top w:val="none" w:sz="0" w:space="0" w:color="auto"/>
        <w:left w:val="none" w:sz="0" w:space="0" w:color="auto"/>
        <w:bottom w:val="none" w:sz="0" w:space="0" w:color="auto"/>
        <w:right w:val="none" w:sz="0" w:space="0" w:color="auto"/>
      </w:divBdr>
    </w:div>
    <w:div w:id="1624194514">
      <w:marLeft w:val="0"/>
      <w:marRight w:val="0"/>
      <w:marTop w:val="0"/>
      <w:marBottom w:val="0"/>
      <w:divBdr>
        <w:top w:val="none" w:sz="0" w:space="0" w:color="auto"/>
        <w:left w:val="none" w:sz="0" w:space="0" w:color="auto"/>
        <w:bottom w:val="none" w:sz="0" w:space="0" w:color="auto"/>
        <w:right w:val="none" w:sz="0" w:space="0" w:color="auto"/>
      </w:divBdr>
    </w:div>
    <w:div w:id="1624194515">
      <w:marLeft w:val="0"/>
      <w:marRight w:val="0"/>
      <w:marTop w:val="0"/>
      <w:marBottom w:val="0"/>
      <w:divBdr>
        <w:top w:val="none" w:sz="0" w:space="0" w:color="auto"/>
        <w:left w:val="none" w:sz="0" w:space="0" w:color="auto"/>
        <w:bottom w:val="none" w:sz="0" w:space="0" w:color="auto"/>
        <w:right w:val="none" w:sz="0" w:space="0" w:color="auto"/>
      </w:divBdr>
    </w:div>
    <w:div w:id="1624194516">
      <w:marLeft w:val="0"/>
      <w:marRight w:val="0"/>
      <w:marTop w:val="0"/>
      <w:marBottom w:val="0"/>
      <w:divBdr>
        <w:top w:val="none" w:sz="0" w:space="0" w:color="auto"/>
        <w:left w:val="none" w:sz="0" w:space="0" w:color="auto"/>
        <w:bottom w:val="none" w:sz="0" w:space="0" w:color="auto"/>
        <w:right w:val="none" w:sz="0" w:space="0" w:color="auto"/>
      </w:divBdr>
    </w:div>
    <w:div w:id="1624194517">
      <w:marLeft w:val="0"/>
      <w:marRight w:val="0"/>
      <w:marTop w:val="0"/>
      <w:marBottom w:val="0"/>
      <w:divBdr>
        <w:top w:val="none" w:sz="0" w:space="0" w:color="auto"/>
        <w:left w:val="none" w:sz="0" w:space="0" w:color="auto"/>
        <w:bottom w:val="none" w:sz="0" w:space="0" w:color="auto"/>
        <w:right w:val="none" w:sz="0" w:space="0" w:color="auto"/>
      </w:divBdr>
    </w:div>
    <w:div w:id="1624194518">
      <w:marLeft w:val="0"/>
      <w:marRight w:val="0"/>
      <w:marTop w:val="0"/>
      <w:marBottom w:val="0"/>
      <w:divBdr>
        <w:top w:val="none" w:sz="0" w:space="0" w:color="auto"/>
        <w:left w:val="none" w:sz="0" w:space="0" w:color="auto"/>
        <w:bottom w:val="none" w:sz="0" w:space="0" w:color="auto"/>
        <w:right w:val="none" w:sz="0" w:space="0" w:color="auto"/>
      </w:divBdr>
    </w:div>
    <w:div w:id="1624194519">
      <w:marLeft w:val="0"/>
      <w:marRight w:val="0"/>
      <w:marTop w:val="0"/>
      <w:marBottom w:val="0"/>
      <w:divBdr>
        <w:top w:val="none" w:sz="0" w:space="0" w:color="auto"/>
        <w:left w:val="none" w:sz="0" w:space="0" w:color="auto"/>
        <w:bottom w:val="none" w:sz="0" w:space="0" w:color="auto"/>
        <w:right w:val="none" w:sz="0" w:space="0" w:color="auto"/>
      </w:divBdr>
    </w:div>
    <w:div w:id="1624194520">
      <w:marLeft w:val="0"/>
      <w:marRight w:val="0"/>
      <w:marTop w:val="0"/>
      <w:marBottom w:val="0"/>
      <w:divBdr>
        <w:top w:val="none" w:sz="0" w:space="0" w:color="auto"/>
        <w:left w:val="none" w:sz="0" w:space="0" w:color="auto"/>
        <w:bottom w:val="none" w:sz="0" w:space="0" w:color="auto"/>
        <w:right w:val="none" w:sz="0" w:space="0" w:color="auto"/>
      </w:divBdr>
    </w:div>
    <w:div w:id="1624194521">
      <w:marLeft w:val="0"/>
      <w:marRight w:val="0"/>
      <w:marTop w:val="0"/>
      <w:marBottom w:val="0"/>
      <w:divBdr>
        <w:top w:val="none" w:sz="0" w:space="0" w:color="auto"/>
        <w:left w:val="none" w:sz="0" w:space="0" w:color="auto"/>
        <w:bottom w:val="none" w:sz="0" w:space="0" w:color="auto"/>
        <w:right w:val="none" w:sz="0" w:space="0" w:color="auto"/>
      </w:divBdr>
    </w:div>
    <w:div w:id="1624194522">
      <w:marLeft w:val="0"/>
      <w:marRight w:val="0"/>
      <w:marTop w:val="0"/>
      <w:marBottom w:val="0"/>
      <w:divBdr>
        <w:top w:val="none" w:sz="0" w:space="0" w:color="auto"/>
        <w:left w:val="none" w:sz="0" w:space="0" w:color="auto"/>
        <w:bottom w:val="none" w:sz="0" w:space="0" w:color="auto"/>
        <w:right w:val="none" w:sz="0" w:space="0" w:color="auto"/>
      </w:divBdr>
    </w:div>
    <w:div w:id="1624194523">
      <w:marLeft w:val="0"/>
      <w:marRight w:val="0"/>
      <w:marTop w:val="0"/>
      <w:marBottom w:val="0"/>
      <w:divBdr>
        <w:top w:val="none" w:sz="0" w:space="0" w:color="auto"/>
        <w:left w:val="none" w:sz="0" w:space="0" w:color="auto"/>
        <w:bottom w:val="none" w:sz="0" w:space="0" w:color="auto"/>
        <w:right w:val="none" w:sz="0" w:space="0" w:color="auto"/>
      </w:divBdr>
    </w:div>
    <w:div w:id="1624194524">
      <w:marLeft w:val="0"/>
      <w:marRight w:val="0"/>
      <w:marTop w:val="0"/>
      <w:marBottom w:val="0"/>
      <w:divBdr>
        <w:top w:val="none" w:sz="0" w:space="0" w:color="auto"/>
        <w:left w:val="none" w:sz="0" w:space="0" w:color="auto"/>
        <w:bottom w:val="none" w:sz="0" w:space="0" w:color="auto"/>
        <w:right w:val="none" w:sz="0" w:space="0" w:color="auto"/>
      </w:divBdr>
    </w:div>
    <w:div w:id="1624194525">
      <w:marLeft w:val="0"/>
      <w:marRight w:val="0"/>
      <w:marTop w:val="0"/>
      <w:marBottom w:val="0"/>
      <w:divBdr>
        <w:top w:val="none" w:sz="0" w:space="0" w:color="auto"/>
        <w:left w:val="none" w:sz="0" w:space="0" w:color="auto"/>
        <w:bottom w:val="none" w:sz="0" w:space="0" w:color="auto"/>
        <w:right w:val="none" w:sz="0" w:space="0" w:color="auto"/>
      </w:divBdr>
    </w:div>
    <w:div w:id="1624194526">
      <w:marLeft w:val="0"/>
      <w:marRight w:val="0"/>
      <w:marTop w:val="0"/>
      <w:marBottom w:val="0"/>
      <w:divBdr>
        <w:top w:val="none" w:sz="0" w:space="0" w:color="auto"/>
        <w:left w:val="none" w:sz="0" w:space="0" w:color="auto"/>
        <w:bottom w:val="none" w:sz="0" w:space="0" w:color="auto"/>
        <w:right w:val="none" w:sz="0" w:space="0" w:color="auto"/>
      </w:divBdr>
    </w:div>
    <w:div w:id="1624194527">
      <w:marLeft w:val="0"/>
      <w:marRight w:val="0"/>
      <w:marTop w:val="0"/>
      <w:marBottom w:val="0"/>
      <w:divBdr>
        <w:top w:val="none" w:sz="0" w:space="0" w:color="auto"/>
        <w:left w:val="none" w:sz="0" w:space="0" w:color="auto"/>
        <w:bottom w:val="none" w:sz="0" w:space="0" w:color="auto"/>
        <w:right w:val="none" w:sz="0" w:space="0" w:color="auto"/>
      </w:divBdr>
    </w:div>
    <w:div w:id="1624194528">
      <w:marLeft w:val="0"/>
      <w:marRight w:val="0"/>
      <w:marTop w:val="0"/>
      <w:marBottom w:val="0"/>
      <w:divBdr>
        <w:top w:val="none" w:sz="0" w:space="0" w:color="auto"/>
        <w:left w:val="none" w:sz="0" w:space="0" w:color="auto"/>
        <w:bottom w:val="none" w:sz="0" w:space="0" w:color="auto"/>
        <w:right w:val="none" w:sz="0" w:space="0" w:color="auto"/>
      </w:divBdr>
    </w:div>
    <w:div w:id="1624194529">
      <w:marLeft w:val="0"/>
      <w:marRight w:val="0"/>
      <w:marTop w:val="0"/>
      <w:marBottom w:val="0"/>
      <w:divBdr>
        <w:top w:val="none" w:sz="0" w:space="0" w:color="auto"/>
        <w:left w:val="none" w:sz="0" w:space="0" w:color="auto"/>
        <w:bottom w:val="none" w:sz="0" w:space="0" w:color="auto"/>
        <w:right w:val="none" w:sz="0" w:space="0" w:color="auto"/>
      </w:divBdr>
    </w:div>
    <w:div w:id="1624194530">
      <w:marLeft w:val="0"/>
      <w:marRight w:val="0"/>
      <w:marTop w:val="0"/>
      <w:marBottom w:val="0"/>
      <w:divBdr>
        <w:top w:val="none" w:sz="0" w:space="0" w:color="auto"/>
        <w:left w:val="none" w:sz="0" w:space="0" w:color="auto"/>
        <w:bottom w:val="none" w:sz="0" w:space="0" w:color="auto"/>
        <w:right w:val="none" w:sz="0" w:space="0" w:color="auto"/>
      </w:divBdr>
    </w:div>
    <w:div w:id="1624194531">
      <w:marLeft w:val="0"/>
      <w:marRight w:val="0"/>
      <w:marTop w:val="0"/>
      <w:marBottom w:val="0"/>
      <w:divBdr>
        <w:top w:val="none" w:sz="0" w:space="0" w:color="auto"/>
        <w:left w:val="none" w:sz="0" w:space="0" w:color="auto"/>
        <w:bottom w:val="none" w:sz="0" w:space="0" w:color="auto"/>
        <w:right w:val="none" w:sz="0" w:space="0" w:color="auto"/>
      </w:divBdr>
    </w:div>
    <w:div w:id="1624194532">
      <w:marLeft w:val="0"/>
      <w:marRight w:val="0"/>
      <w:marTop w:val="0"/>
      <w:marBottom w:val="0"/>
      <w:divBdr>
        <w:top w:val="none" w:sz="0" w:space="0" w:color="auto"/>
        <w:left w:val="none" w:sz="0" w:space="0" w:color="auto"/>
        <w:bottom w:val="none" w:sz="0" w:space="0" w:color="auto"/>
        <w:right w:val="none" w:sz="0" w:space="0" w:color="auto"/>
      </w:divBdr>
    </w:div>
    <w:div w:id="1624194533">
      <w:marLeft w:val="0"/>
      <w:marRight w:val="0"/>
      <w:marTop w:val="0"/>
      <w:marBottom w:val="0"/>
      <w:divBdr>
        <w:top w:val="none" w:sz="0" w:space="0" w:color="auto"/>
        <w:left w:val="none" w:sz="0" w:space="0" w:color="auto"/>
        <w:bottom w:val="none" w:sz="0" w:space="0" w:color="auto"/>
        <w:right w:val="none" w:sz="0" w:space="0" w:color="auto"/>
      </w:divBdr>
    </w:div>
    <w:div w:id="1624194534">
      <w:marLeft w:val="0"/>
      <w:marRight w:val="0"/>
      <w:marTop w:val="0"/>
      <w:marBottom w:val="0"/>
      <w:divBdr>
        <w:top w:val="none" w:sz="0" w:space="0" w:color="auto"/>
        <w:left w:val="none" w:sz="0" w:space="0" w:color="auto"/>
        <w:bottom w:val="none" w:sz="0" w:space="0" w:color="auto"/>
        <w:right w:val="none" w:sz="0" w:space="0" w:color="auto"/>
      </w:divBdr>
    </w:div>
    <w:div w:id="1624194535">
      <w:marLeft w:val="0"/>
      <w:marRight w:val="0"/>
      <w:marTop w:val="0"/>
      <w:marBottom w:val="0"/>
      <w:divBdr>
        <w:top w:val="none" w:sz="0" w:space="0" w:color="auto"/>
        <w:left w:val="none" w:sz="0" w:space="0" w:color="auto"/>
        <w:bottom w:val="none" w:sz="0" w:space="0" w:color="auto"/>
        <w:right w:val="none" w:sz="0" w:space="0" w:color="auto"/>
      </w:divBdr>
    </w:div>
    <w:div w:id="1624194536">
      <w:marLeft w:val="0"/>
      <w:marRight w:val="0"/>
      <w:marTop w:val="0"/>
      <w:marBottom w:val="0"/>
      <w:divBdr>
        <w:top w:val="none" w:sz="0" w:space="0" w:color="auto"/>
        <w:left w:val="none" w:sz="0" w:space="0" w:color="auto"/>
        <w:bottom w:val="none" w:sz="0" w:space="0" w:color="auto"/>
        <w:right w:val="none" w:sz="0" w:space="0" w:color="auto"/>
      </w:divBdr>
    </w:div>
    <w:div w:id="1624194537">
      <w:marLeft w:val="0"/>
      <w:marRight w:val="0"/>
      <w:marTop w:val="0"/>
      <w:marBottom w:val="0"/>
      <w:divBdr>
        <w:top w:val="none" w:sz="0" w:space="0" w:color="auto"/>
        <w:left w:val="none" w:sz="0" w:space="0" w:color="auto"/>
        <w:bottom w:val="none" w:sz="0" w:space="0" w:color="auto"/>
        <w:right w:val="none" w:sz="0" w:space="0" w:color="auto"/>
      </w:divBdr>
    </w:div>
    <w:div w:id="1624194538">
      <w:marLeft w:val="0"/>
      <w:marRight w:val="0"/>
      <w:marTop w:val="0"/>
      <w:marBottom w:val="0"/>
      <w:divBdr>
        <w:top w:val="none" w:sz="0" w:space="0" w:color="auto"/>
        <w:left w:val="none" w:sz="0" w:space="0" w:color="auto"/>
        <w:bottom w:val="none" w:sz="0" w:space="0" w:color="auto"/>
        <w:right w:val="none" w:sz="0" w:space="0" w:color="auto"/>
      </w:divBdr>
    </w:div>
    <w:div w:id="1624194539">
      <w:marLeft w:val="0"/>
      <w:marRight w:val="0"/>
      <w:marTop w:val="0"/>
      <w:marBottom w:val="0"/>
      <w:divBdr>
        <w:top w:val="none" w:sz="0" w:space="0" w:color="auto"/>
        <w:left w:val="none" w:sz="0" w:space="0" w:color="auto"/>
        <w:bottom w:val="none" w:sz="0" w:space="0" w:color="auto"/>
        <w:right w:val="none" w:sz="0" w:space="0" w:color="auto"/>
      </w:divBdr>
    </w:div>
    <w:div w:id="1624194540">
      <w:marLeft w:val="0"/>
      <w:marRight w:val="0"/>
      <w:marTop w:val="0"/>
      <w:marBottom w:val="0"/>
      <w:divBdr>
        <w:top w:val="none" w:sz="0" w:space="0" w:color="auto"/>
        <w:left w:val="none" w:sz="0" w:space="0" w:color="auto"/>
        <w:bottom w:val="none" w:sz="0" w:space="0" w:color="auto"/>
        <w:right w:val="none" w:sz="0" w:space="0" w:color="auto"/>
      </w:divBdr>
    </w:div>
    <w:div w:id="1624194541">
      <w:marLeft w:val="0"/>
      <w:marRight w:val="0"/>
      <w:marTop w:val="0"/>
      <w:marBottom w:val="0"/>
      <w:divBdr>
        <w:top w:val="none" w:sz="0" w:space="0" w:color="auto"/>
        <w:left w:val="none" w:sz="0" w:space="0" w:color="auto"/>
        <w:bottom w:val="none" w:sz="0" w:space="0" w:color="auto"/>
        <w:right w:val="none" w:sz="0" w:space="0" w:color="auto"/>
      </w:divBdr>
    </w:div>
    <w:div w:id="1624194542">
      <w:marLeft w:val="0"/>
      <w:marRight w:val="0"/>
      <w:marTop w:val="0"/>
      <w:marBottom w:val="0"/>
      <w:divBdr>
        <w:top w:val="none" w:sz="0" w:space="0" w:color="auto"/>
        <w:left w:val="none" w:sz="0" w:space="0" w:color="auto"/>
        <w:bottom w:val="none" w:sz="0" w:space="0" w:color="auto"/>
        <w:right w:val="none" w:sz="0" w:space="0" w:color="auto"/>
      </w:divBdr>
    </w:div>
    <w:div w:id="1624194543">
      <w:marLeft w:val="0"/>
      <w:marRight w:val="0"/>
      <w:marTop w:val="0"/>
      <w:marBottom w:val="0"/>
      <w:divBdr>
        <w:top w:val="none" w:sz="0" w:space="0" w:color="auto"/>
        <w:left w:val="none" w:sz="0" w:space="0" w:color="auto"/>
        <w:bottom w:val="none" w:sz="0" w:space="0" w:color="auto"/>
        <w:right w:val="none" w:sz="0" w:space="0" w:color="auto"/>
      </w:divBdr>
    </w:div>
    <w:div w:id="1624194544">
      <w:marLeft w:val="0"/>
      <w:marRight w:val="0"/>
      <w:marTop w:val="0"/>
      <w:marBottom w:val="0"/>
      <w:divBdr>
        <w:top w:val="none" w:sz="0" w:space="0" w:color="auto"/>
        <w:left w:val="none" w:sz="0" w:space="0" w:color="auto"/>
        <w:bottom w:val="none" w:sz="0" w:space="0" w:color="auto"/>
        <w:right w:val="none" w:sz="0" w:space="0" w:color="auto"/>
      </w:divBdr>
    </w:div>
    <w:div w:id="1624194545">
      <w:marLeft w:val="0"/>
      <w:marRight w:val="0"/>
      <w:marTop w:val="0"/>
      <w:marBottom w:val="0"/>
      <w:divBdr>
        <w:top w:val="none" w:sz="0" w:space="0" w:color="auto"/>
        <w:left w:val="none" w:sz="0" w:space="0" w:color="auto"/>
        <w:bottom w:val="none" w:sz="0" w:space="0" w:color="auto"/>
        <w:right w:val="none" w:sz="0" w:space="0" w:color="auto"/>
      </w:divBdr>
    </w:div>
    <w:div w:id="1624194546">
      <w:marLeft w:val="0"/>
      <w:marRight w:val="0"/>
      <w:marTop w:val="0"/>
      <w:marBottom w:val="0"/>
      <w:divBdr>
        <w:top w:val="none" w:sz="0" w:space="0" w:color="auto"/>
        <w:left w:val="none" w:sz="0" w:space="0" w:color="auto"/>
        <w:bottom w:val="none" w:sz="0" w:space="0" w:color="auto"/>
        <w:right w:val="none" w:sz="0" w:space="0" w:color="auto"/>
      </w:divBdr>
    </w:div>
    <w:div w:id="1624194547">
      <w:marLeft w:val="0"/>
      <w:marRight w:val="0"/>
      <w:marTop w:val="0"/>
      <w:marBottom w:val="0"/>
      <w:divBdr>
        <w:top w:val="none" w:sz="0" w:space="0" w:color="auto"/>
        <w:left w:val="none" w:sz="0" w:space="0" w:color="auto"/>
        <w:bottom w:val="none" w:sz="0" w:space="0" w:color="auto"/>
        <w:right w:val="none" w:sz="0" w:space="0" w:color="auto"/>
      </w:divBdr>
    </w:div>
    <w:div w:id="1624194548">
      <w:marLeft w:val="0"/>
      <w:marRight w:val="0"/>
      <w:marTop w:val="0"/>
      <w:marBottom w:val="0"/>
      <w:divBdr>
        <w:top w:val="none" w:sz="0" w:space="0" w:color="auto"/>
        <w:left w:val="none" w:sz="0" w:space="0" w:color="auto"/>
        <w:bottom w:val="none" w:sz="0" w:space="0" w:color="auto"/>
        <w:right w:val="none" w:sz="0" w:space="0" w:color="auto"/>
      </w:divBdr>
    </w:div>
    <w:div w:id="1624194549">
      <w:marLeft w:val="0"/>
      <w:marRight w:val="0"/>
      <w:marTop w:val="0"/>
      <w:marBottom w:val="0"/>
      <w:divBdr>
        <w:top w:val="none" w:sz="0" w:space="0" w:color="auto"/>
        <w:left w:val="none" w:sz="0" w:space="0" w:color="auto"/>
        <w:bottom w:val="none" w:sz="0" w:space="0" w:color="auto"/>
        <w:right w:val="none" w:sz="0" w:space="0" w:color="auto"/>
      </w:divBdr>
    </w:div>
    <w:div w:id="1624194550">
      <w:marLeft w:val="0"/>
      <w:marRight w:val="0"/>
      <w:marTop w:val="0"/>
      <w:marBottom w:val="0"/>
      <w:divBdr>
        <w:top w:val="none" w:sz="0" w:space="0" w:color="auto"/>
        <w:left w:val="none" w:sz="0" w:space="0" w:color="auto"/>
        <w:bottom w:val="none" w:sz="0" w:space="0" w:color="auto"/>
        <w:right w:val="none" w:sz="0" w:space="0" w:color="auto"/>
      </w:divBdr>
    </w:div>
    <w:div w:id="1624194551">
      <w:marLeft w:val="0"/>
      <w:marRight w:val="0"/>
      <w:marTop w:val="0"/>
      <w:marBottom w:val="0"/>
      <w:divBdr>
        <w:top w:val="none" w:sz="0" w:space="0" w:color="auto"/>
        <w:left w:val="none" w:sz="0" w:space="0" w:color="auto"/>
        <w:bottom w:val="none" w:sz="0" w:space="0" w:color="auto"/>
        <w:right w:val="none" w:sz="0" w:space="0" w:color="auto"/>
      </w:divBdr>
    </w:div>
    <w:div w:id="1624194552">
      <w:marLeft w:val="0"/>
      <w:marRight w:val="0"/>
      <w:marTop w:val="0"/>
      <w:marBottom w:val="0"/>
      <w:divBdr>
        <w:top w:val="none" w:sz="0" w:space="0" w:color="auto"/>
        <w:left w:val="none" w:sz="0" w:space="0" w:color="auto"/>
        <w:bottom w:val="none" w:sz="0" w:space="0" w:color="auto"/>
        <w:right w:val="none" w:sz="0" w:space="0" w:color="auto"/>
      </w:divBdr>
    </w:div>
    <w:div w:id="1624194553">
      <w:marLeft w:val="0"/>
      <w:marRight w:val="0"/>
      <w:marTop w:val="0"/>
      <w:marBottom w:val="0"/>
      <w:divBdr>
        <w:top w:val="none" w:sz="0" w:space="0" w:color="auto"/>
        <w:left w:val="none" w:sz="0" w:space="0" w:color="auto"/>
        <w:bottom w:val="none" w:sz="0" w:space="0" w:color="auto"/>
        <w:right w:val="none" w:sz="0" w:space="0" w:color="auto"/>
      </w:divBdr>
    </w:div>
    <w:div w:id="1624194554">
      <w:marLeft w:val="0"/>
      <w:marRight w:val="0"/>
      <w:marTop w:val="0"/>
      <w:marBottom w:val="0"/>
      <w:divBdr>
        <w:top w:val="none" w:sz="0" w:space="0" w:color="auto"/>
        <w:left w:val="none" w:sz="0" w:space="0" w:color="auto"/>
        <w:bottom w:val="none" w:sz="0" w:space="0" w:color="auto"/>
        <w:right w:val="none" w:sz="0" w:space="0" w:color="auto"/>
      </w:divBdr>
    </w:div>
    <w:div w:id="1624194555">
      <w:marLeft w:val="0"/>
      <w:marRight w:val="0"/>
      <w:marTop w:val="0"/>
      <w:marBottom w:val="0"/>
      <w:divBdr>
        <w:top w:val="none" w:sz="0" w:space="0" w:color="auto"/>
        <w:left w:val="none" w:sz="0" w:space="0" w:color="auto"/>
        <w:bottom w:val="none" w:sz="0" w:space="0" w:color="auto"/>
        <w:right w:val="none" w:sz="0" w:space="0" w:color="auto"/>
      </w:divBdr>
    </w:div>
    <w:div w:id="1624194556">
      <w:marLeft w:val="0"/>
      <w:marRight w:val="0"/>
      <w:marTop w:val="0"/>
      <w:marBottom w:val="0"/>
      <w:divBdr>
        <w:top w:val="none" w:sz="0" w:space="0" w:color="auto"/>
        <w:left w:val="none" w:sz="0" w:space="0" w:color="auto"/>
        <w:bottom w:val="none" w:sz="0" w:space="0" w:color="auto"/>
        <w:right w:val="none" w:sz="0" w:space="0" w:color="auto"/>
      </w:divBdr>
    </w:div>
    <w:div w:id="1624194557">
      <w:marLeft w:val="0"/>
      <w:marRight w:val="0"/>
      <w:marTop w:val="0"/>
      <w:marBottom w:val="0"/>
      <w:divBdr>
        <w:top w:val="none" w:sz="0" w:space="0" w:color="auto"/>
        <w:left w:val="none" w:sz="0" w:space="0" w:color="auto"/>
        <w:bottom w:val="none" w:sz="0" w:space="0" w:color="auto"/>
        <w:right w:val="none" w:sz="0" w:space="0" w:color="auto"/>
      </w:divBdr>
    </w:div>
    <w:div w:id="1624194558">
      <w:marLeft w:val="0"/>
      <w:marRight w:val="0"/>
      <w:marTop w:val="0"/>
      <w:marBottom w:val="0"/>
      <w:divBdr>
        <w:top w:val="none" w:sz="0" w:space="0" w:color="auto"/>
        <w:left w:val="none" w:sz="0" w:space="0" w:color="auto"/>
        <w:bottom w:val="none" w:sz="0" w:space="0" w:color="auto"/>
        <w:right w:val="none" w:sz="0" w:space="0" w:color="auto"/>
      </w:divBdr>
    </w:div>
    <w:div w:id="1624194559">
      <w:marLeft w:val="0"/>
      <w:marRight w:val="0"/>
      <w:marTop w:val="0"/>
      <w:marBottom w:val="0"/>
      <w:divBdr>
        <w:top w:val="none" w:sz="0" w:space="0" w:color="auto"/>
        <w:left w:val="none" w:sz="0" w:space="0" w:color="auto"/>
        <w:bottom w:val="none" w:sz="0" w:space="0" w:color="auto"/>
        <w:right w:val="none" w:sz="0" w:space="0" w:color="auto"/>
      </w:divBdr>
    </w:div>
    <w:div w:id="1624194560">
      <w:marLeft w:val="0"/>
      <w:marRight w:val="0"/>
      <w:marTop w:val="0"/>
      <w:marBottom w:val="0"/>
      <w:divBdr>
        <w:top w:val="none" w:sz="0" w:space="0" w:color="auto"/>
        <w:left w:val="none" w:sz="0" w:space="0" w:color="auto"/>
        <w:bottom w:val="none" w:sz="0" w:space="0" w:color="auto"/>
        <w:right w:val="none" w:sz="0" w:space="0" w:color="auto"/>
      </w:divBdr>
    </w:div>
    <w:div w:id="1624194561">
      <w:marLeft w:val="0"/>
      <w:marRight w:val="0"/>
      <w:marTop w:val="0"/>
      <w:marBottom w:val="0"/>
      <w:divBdr>
        <w:top w:val="none" w:sz="0" w:space="0" w:color="auto"/>
        <w:left w:val="none" w:sz="0" w:space="0" w:color="auto"/>
        <w:bottom w:val="none" w:sz="0" w:space="0" w:color="auto"/>
        <w:right w:val="none" w:sz="0" w:space="0" w:color="auto"/>
      </w:divBdr>
    </w:div>
    <w:div w:id="1624194562">
      <w:marLeft w:val="0"/>
      <w:marRight w:val="0"/>
      <w:marTop w:val="0"/>
      <w:marBottom w:val="0"/>
      <w:divBdr>
        <w:top w:val="none" w:sz="0" w:space="0" w:color="auto"/>
        <w:left w:val="none" w:sz="0" w:space="0" w:color="auto"/>
        <w:bottom w:val="none" w:sz="0" w:space="0" w:color="auto"/>
        <w:right w:val="none" w:sz="0" w:space="0" w:color="auto"/>
      </w:divBdr>
    </w:div>
    <w:div w:id="1624194563">
      <w:marLeft w:val="0"/>
      <w:marRight w:val="0"/>
      <w:marTop w:val="0"/>
      <w:marBottom w:val="0"/>
      <w:divBdr>
        <w:top w:val="none" w:sz="0" w:space="0" w:color="auto"/>
        <w:left w:val="none" w:sz="0" w:space="0" w:color="auto"/>
        <w:bottom w:val="none" w:sz="0" w:space="0" w:color="auto"/>
        <w:right w:val="none" w:sz="0" w:space="0" w:color="auto"/>
      </w:divBdr>
    </w:div>
    <w:div w:id="1624194564">
      <w:marLeft w:val="0"/>
      <w:marRight w:val="0"/>
      <w:marTop w:val="0"/>
      <w:marBottom w:val="0"/>
      <w:divBdr>
        <w:top w:val="none" w:sz="0" w:space="0" w:color="auto"/>
        <w:left w:val="none" w:sz="0" w:space="0" w:color="auto"/>
        <w:bottom w:val="none" w:sz="0" w:space="0" w:color="auto"/>
        <w:right w:val="none" w:sz="0" w:space="0" w:color="auto"/>
      </w:divBdr>
    </w:div>
    <w:div w:id="1624194565">
      <w:marLeft w:val="0"/>
      <w:marRight w:val="0"/>
      <w:marTop w:val="0"/>
      <w:marBottom w:val="0"/>
      <w:divBdr>
        <w:top w:val="none" w:sz="0" w:space="0" w:color="auto"/>
        <w:left w:val="none" w:sz="0" w:space="0" w:color="auto"/>
        <w:bottom w:val="none" w:sz="0" w:space="0" w:color="auto"/>
        <w:right w:val="none" w:sz="0" w:space="0" w:color="auto"/>
      </w:divBdr>
    </w:div>
    <w:div w:id="1624194566">
      <w:marLeft w:val="0"/>
      <w:marRight w:val="0"/>
      <w:marTop w:val="0"/>
      <w:marBottom w:val="0"/>
      <w:divBdr>
        <w:top w:val="none" w:sz="0" w:space="0" w:color="auto"/>
        <w:left w:val="none" w:sz="0" w:space="0" w:color="auto"/>
        <w:bottom w:val="none" w:sz="0" w:space="0" w:color="auto"/>
        <w:right w:val="none" w:sz="0" w:space="0" w:color="auto"/>
      </w:divBdr>
    </w:div>
    <w:div w:id="1624194567">
      <w:marLeft w:val="0"/>
      <w:marRight w:val="0"/>
      <w:marTop w:val="0"/>
      <w:marBottom w:val="0"/>
      <w:divBdr>
        <w:top w:val="none" w:sz="0" w:space="0" w:color="auto"/>
        <w:left w:val="none" w:sz="0" w:space="0" w:color="auto"/>
        <w:bottom w:val="none" w:sz="0" w:space="0" w:color="auto"/>
        <w:right w:val="none" w:sz="0" w:space="0" w:color="auto"/>
      </w:divBdr>
    </w:div>
    <w:div w:id="1624194568">
      <w:marLeft w:val="0"/>
      <w:marRight w:val="0"/>
      <w:marTop w:val="0"/>
      <w:marBottom w:val="0"/>
      <w:divBdr>
        <w:top w:val="none" w:sz="0" w:space="0" w:color="auto"/>
        <w:left w:val="none" w:sz="0" w:space="0" w:color="auto"/>
        <w:bottom w:val="none" w:sz="0" w:space="0" w:color="auto"/>
        <w:right w:val="none" w:sz="0" w:space="0" w:color="auto"/>
      </w:divBdr>
    </w:div>
    <w:div w:id="1624194569">
      <w:marLeft w:val="0"/>
      <w:marRight w:val="0"/>
      <w:marTop w:val="0"/>
      <w:marBottom w:val="0"/>
      <w:divBdr>
        <w:top w:val="none" w:sz="0" w:space="0" w:color="auto"/>
        <w:left w:val="none" w:sz="0" w:space="0" w:color="auto"/>
        <w:bottom w:val="none" w:sz="0" w:space="0" w:color="auto"/>
        <w:right w:val="none" w:sz="0" w:space="0" w:color="auto"/>
      </w:divBdr>
    </w:div>
    <w:div w:id="1624194570">
      <w:marLeft w:val="0"/>
      <w:marRight w:val="0"/>
      <w:marTop w:val="0"/>
      <w:marBottom w:val="0"/>
      <w:divBdr>
        <w:top w:val="none" w:sz="0" w:space="0" w:color="auto"/>
        <w:left w:val="none" w:sz="0" w:space="0" w:color="auto"/>
        <w:bottom w:val="none" w:sz="0" w:space="0" w:color="auto"/>
        <w:right w:val="none" w:sz="0" w:space="0" w:color="auto"/>
      </w:divBdr>
    </w:div>
    <w:div w:id="1624194571">
      <w:marLeft w:val="0"/>
      <w:marRight w:val="0"/>
      <w:marTop w:val="0"/>
      <w:marBottom w:val="0"/>
      <w:divBdr>
        <w:top w:val="none" w:sz="0" w:space="0" w:color="auto"/>
        <w:left w:val="none" w:sz="0" w:space="0" w:color="auto"/>
        <w:bottom w:val="none" w:sz="0" w:space="0" w:color="auto"/>
        <w:right w:val="none" w:sz="0" w:space="0" w:color="auto"/>
      </w:divBdr>
    </w:div>
    <w:div w:id="1624194572">
      <w:marLeft w:val="0"/>
      <w:marRight w:val="0"/>
      <w:marTop w:val="0"/>
      <w:marBottom w:val="0"/>
      <w:divBdr>
        <w:top w:val="none" w:sz="0" w:space="0" w:color="auto"/>
        <w:left w:val="none" w:sz="0" w:space="0" w:color="auto"/>
        <w:bottom w:val="none" w:sz="0" w:space="0" w:color="auto"/>
        <w:right w:val="none" w:sz="0" w:space="0" w:color="auto"/>
      </w:divBdr>
    </w:div>
    <w:div w:id="1624194573">
      <w:marLeft w:val="0"/>
      <w:marRight w:val="0"/>
      <w:marTop w:val="0"/>
      <w:marBottom w:val="0"/>
      <w:divBdr>
        <w:top w:val="none" w:sz="0" w:space="0" w:color="auto"/>
        <w:left w:val="none" w:sz="0" w:space="0" w:color="auto"/>
        <w:bottom w:val="none" w:sz="0" w:space="0" w:color="auto"/>
        <w:right w:val="none" w:sz="0" w:space="0" w:color="auto"/>
      </w:divBdr>
    </w:div>
    <w:div w:id="1624194574">
      <w:marLeft w:val="0"/>
      <w:marRight w:val="0"/>
      <w:marTop w:val="0"/>
      <w:marBottom w:val="0"/>
      <w:divBdr>
        <w:top w:val="none" w:sz="0" w:space="0" w:color="auto"/>
        <w:left w:val="none" w:sz="0" w:space="0" w:color="auto"/>
        <w:bottom w:val="none" w:sz="0" w:space="0" w:color="auto"/>
        <w:right w:val="none" w:sz="0" w:space="0" w:color="auto"/>
      </w:divBdr>
    </w:div>
    <w:div w:id="1624194575">
      <w:marLeft w:val="0"/>
      <w:marRight w:val="0"/>
      <w:marTop w:val="0"/>
      <w:marBottom w:val="0"/>
      <w:divBdr>
        <w:top w:val="none" w:sz="0" w:space="0" w:color="auto"/>
        <w:left w:val="none" w:sz="0" w:space="0" w:color="auto"/>
        <w:bottom w:val="none" w:sz="0" w:space="0" w:color="auto"/>
        <w:right w:val="none" w:sz="0" w:space="0" w:color="auto"/>
      </w:divBdr>
    </w:div>
    <w:div w:id="1624194576">
      <w:marLeft w:val="0"/>
      <w:marRight w:val="0"/>
      <w:marTop w:val="0"/>
      <w:marBottom w:val="0"/>
      <w:divBdr>
        <w:top w:val="none" w:sz="0" w:space="0" w:color="auto"/>
        <w:left w:val="none" w:sz="0" w:space="0" w:color="auto"/>
        <w:bottom w:val="none" w:sz="0" w:space="0" w:color="auto"/>
        <w:right w:val="none" w:sz="0" w:space="0" w:color="auto"/>
      </w:divBdr>
    </w:div>
    <w:div w:id="1624194577">
      <w:marLeft w:val="0"/>
      <w:marRight w:val="0"/>
      <w:marTop w:val="0"/>
      <w:marBottom w:val="0"/>
      <w:divBdr>
        <w:top w:val="none" w:sz="0" w:space="0" w:color="auto"/>
        <w:left w:val="none" w:sz="0" w:space="0" w:color="auto"/>
        <w:bottom w:val="none" w:sz="0" w:space="0" w:color="auto"/>
        <w:right w:val="none" w:sz="0" w:space="0" w:color="auto"/>
      </w:divBdr>
    </w:div>
    <w:div w:id="1624194578">
      <w:marLeft w:val="0"/>
      <w:marRight w:val="0"/>
      <w:marTop w:val="0"/>
      <w:marBottom w:val="0"/>
      <w:divBdr>
        <w:top w:val="none" w:sz="0" w:space="0" w:color="auto"/>
        <w:left w:val="none" w:sz="0" w:space="0" w:color="auto"/>
        <w:bottom w:val="none" w:sz="0" w:space="0" w:color="auto"/>
        <w:right w:val="none" w:sz="0" w:space="0" w:color="auto"/>
      </w:divBdr>
    </w:div>
    <w:div w:id="1624194579">
      <w:marLeft w:val="0"/>
      <w:marRight w:val="0"/>
      <w:marTop w:val="0"/>
      <w:marBottom w:val="0"/>
      <w:divBdr>
        <w:top w:val="none" w:sz="0" w:space="0" w:color="auto"/>
        <w:left w:val="none" w:sz="0" w:space="0" w:color="auto"/>
        <w:bottom w:val="none" w:sz="0" w:space="0" w:color="auto"/>
        <w:right w:val="none" w:sz="0" w:space="0" w:color="auto"/>
      </w:divBdr>
    </w:div>
    <w:div w:id="1624194580">
      <w:marLeft w:val="0"/>
      <w:marRight w:val="0"/>
      <w:marTop w:val="0"/>
      <w:marBottom w:val="0"/>
      <w:divBdr>
        <w:top w:val="none" w:sz="0" w:space="0" w:color="auto"/>
        <w:left w:val="none" w:sz="0" w:space="0" w:color="auto"/>
        <w:bottom w:val="none" w:sz="0" w:space="0" w:color="auto"/>
        <w:right w:val="none" w:sz="0" w:space="0" w:color="auto"/>
      </w:divBdr>
    </w:div>
    <w:div w:id="1624194581">
      <w:marLeft w:val="0"/>
      <w:marRight w:val="0"/>
      <w:marTop w:val="0"/>
      <w:marBottom w:val="0"/>
      <w:divBdr>
        <w:top w:val="none" w:sz="0" w:space="0" w:color="auto"/>
        <w:left w:val="none" w:sz="0" w:space="0" w:color="auto"/>
        <w:bottom w:val="none" w:sz="0" w:space="0" w:color="auto"/>
        <w:right w:val="none" w:sz="0" w:space="0" w:color="auto"/>
      </w:divBdr>
    </w:div>
    <w:div w:id="1624194582">
      <w:marLeft w:val="0"/>
      <w:marRight w:val="0"/>
      <w:marTop w:val="0"/>
      <w:marBottom w:val="0"/>
      <w:divBdr>
        <w:top w:val="none" w:sz="0" w:space="0" w:color="auto"/>
        <w:left w:val="none" w:sz="0" w:space="0" w:color="auto"/>
        <w:bottom w:val="none" w:sz="0" w:space="0" w:color="auto"/>
        <w:right w:val="none" w:sz="0" w:space="0" w:color="auto"/>
      </w:divBdr>
    </w:div>
    <w:div w:id="1624194583">
      <w:marLeft w:val="0"/>
      <w:marRight w:val="0"/>
      <w:marTop w:val="0"/>
      <w:marBottom w:val="0"/>
      <w:divBdr>
        <w:top w:val="none" w:sz="0" w:space="0" w:color="auto"/>
        <w:left w:val="none" w:sz="0" w:space="0" w:color="auto"/>
        <w:bottom w:val="none" w:sz="0" w:space="0" w:color="auto"/>
        <w:right w:val="none" w:sz="0" w:space="0" w:color="auto"/>
      </w:divBdr>
    </w:div>
    <w:div w:id="1624194584">
      <w:marLeft w:val="0"/>
      <w:marRight w:val="0"/>
      <w:marTop w:val="0"/>
      <w:marBottom w:val="0"/>
      <w:divBdr>
        <w:top w:val="none" w:sz="0" w:space="0" w:color="auto"/>
        <w:left w:val="none" w:sz="0" w:space="0" w:color="auto"/>
        <w:bottom w:val="none" w:sz="0" w:space="0" w:color="auto"/>
        <w:right w:val="none" w:sz="0" w:space="0" w:color="auto"/>
      </w:divBdr>
    </w:div>
    <w:div w:id="1624194585">
      <w:marLeft w:val="0"/>
      <w:marRight w:val="0"/>
      <w:marTop w:val="0"/>
      <w:marBottom w:val="0"/>
      <w:divBdr>
        <w:top w:val="none" w:sz="0" w:space="0" w:color="auto"/>
        <w:left w:val="none" w:sz="0" w:space="0" w:color="auto"/>
        <w:bottom w:val="none" w:sz="0" w:space="0" w:color="auto"/>
        <w:right w:val="none" w:sz="0" w:space="0" w:color="auto"/>
      </w:divBdr>
    </w:div>
    <w:div w:id="1624194586">
      <w:marLeft w:val="0"/>
      <w:marRight w:val="0"/>
      <w:marTop w:val="0"/>
      <w:marBottom w:val="0"/>
      <w:divBdr>
        <w:top w:val="none" w:sz="0" w:space="0" w:color="auto"/>
        <w:left w:val="none" w:sz="0" w:space="0" w:color="auto"/>
        <w:bottom w:val="none" w:sz="0" w:space="0" w:color="auto"/>
        <w:right w:val="none" w:sz="0" w:space="0" w:color="auto"/>
      </w:divBdr>
    </w:div>
    <w:div w:id="1624194587">
      <w:marLeft w:val="0"/>
      <w:marRight w:val="0"/>
      <w:marTop w:val="0"/>
      <w:marBottom w:val="0"/>
      <w:divBdr>
        <w:top w:val="none" w:sz="0" w:space="0" w:color="auto"/>
        <w:left w:val="none" w:sz="0" w:space="0" w:color="auto"/>
        <w:bottom w:val="none" w:sz="0" w:space="0" w:color="auto"/>
        <w:right w:val="none" w:sz="0" w:space="0" w:color="auto"/>
      </w:divBdr>
    </w:div>
    <w:div w:id="1624194588">
      <w:marLeft w:val="0"/>
      <w:marRight w:val="0"/>
      <w:marTop w:val="0"/>
      <w:marBottom w:val="0"/>
      <w:divBdr>
        <w:top w:val="none" w:sz="0" w:space="0" w:color="auto"/>
        <w:left w:val="none" w:sz="0" w:space="0" w:color="auto"/>
        <w:bottom w:val="none" w:sz="0" w:space="0" w:color="auto"/>
        <w:right w:val="none" w:sz="0" w:space="0" w:color="auto"/>
      </w:divBdr>
    </w:div>
    <w:div w:id="1624194589">
      <w:marLeft w:val="0"/>
      <w:marRight w:val="0"/>
      <w:marTop w:val="0"/>
      <w:marBottom w:val="0"/>
      <w:divBdr>
        <w:top w:val="none" w:sz="0" w:space="0" w:color="auto"/>
        <w:left w:val="none" w:sz="0" w:space="0" w:color="auto"/>
        <w:bottom w:val="none" w:sz="0" w:space="0" w:color="auto"/>
        <w:right w:val="none" w:sz="0" w:space="0" w:color="auto"/>
      </w:divBdr>
    </w:div>
    <w:div w:id="1624194590">
      <w:marLeft w:val="0"/>
      <w:marRight w:val="0"/>
      <w:marTop w:val="0"/>
      <w:marBottom w:val="0"/>
      <w:divBdr>
        <w:top w:val="none" w:sz="0" w:space="0" w:color="auto"/>
        <w:left w:val="none" w:sz="0" w:space="0" w:color="auto"/>
        <w:bottom w:val="none" w:sz="0" w:space="0" w:color="auto"/>
        <w:right w:val="none" w:sz="0" w:space="0" w:color="auto"/>
      </w:divBdr>
    </w:div>
    <w:div w:id="1624194591">
      <w:marLeft w:val="0"/>
      <w:marRight w:val="0"/>
      <w:marTop w:val="0"/>
      <w:marBottom w:val="0"/>
      <w:divBdr>
        <w:top w:val="none" w:sz="0" w:space="0" w:color="auto"/>
        <w:left w:val="none" w:sz="0" w:space="0" w:color="auto"/>
        <w:bottom w:val="none" w:sz="0" w:space="0" w:color="auto"/>
        <w:right w:val="none" w:sz="0" w:space="0" w:color="auto"/>
      </w:divBdr>
    </w:div>
    <w:div w:id="1624194592">
      <w:marLeft w:val="0"/>
      <w:marRight w:val="0"/>
      <w:marTop w:val="0"/>
      <w:marBottom w:val="0"/>
      <w:divBdr>
        <w:top w:val="none" w:sz="0" w:space="0" w:color="auto"/>
        <w:left w:val="none" w:sz="0" w:space="0" w:color="auto"/>
        <w:bottom w:val="none" w:sz="0" w:space="0" w:color="auto"/>
        <w:right w:val="none" w:sz="0" w:space="0" w:color="auto"/>
      </w:divBdr>
    </w:div>
    <w:div w:id="1624194593">
      <w:marLeft w:val="0"/>
      <w:marRight w:val="0"/>
      <w:marTop w:val="0"/>
      <w:marBottom w:val="0"/>
      <w:divBdr>
        <w:top w:val="none" w:sz="0" w:space="0" w:color="auto"/>
        <w:left w:val="none" w:sz="0" w:space="0" w:color="auto"/>
        <w:bottom w:val="none" w:sz="0" w:space="0" w:color="auto"/>
        <w:right w:val="none" w:sz="0" w:space="0" w:color="auto"/>
      </w:divBdr>
    </w:div>
    <w:div w:id="1624194594">
      <w:marLeft w:val="0"/>
      <w:marRight w:val="0"/>
      <w:marTop w:val="0"/>
      <w:marBottom w:val="0"/>
      <w:divBdr>
        <w:top w:val="none" w:sz="0" w:space="0" w:color="auto"/>
        <w:left w:val="none" w:sz="0" w:space="0" w:color="auto"/>
        <w:bottom w:val="none" w:sz="0" w:space="0" w:color="auto"/>
        <w:right w:val="none" w:sz="0" w:space="0" w:color="auto"/>
      </w:divBdr>
    </w:div>
    <w:div w:id="1624194595">
      <w:marLeft w:val="0"/>
      <w:marRight w:val="0"/>
      <w:marTop w:val="0"/>
      <w:marBottom w:val="0"/>
      <w:divBdr>
        <w:top w:val="none" w:sz="0" w:space="0" w:color="auto"/>
        <w:left w:val="none" w:sz="0" w:space="0" w:color="auto"/>
        <w:bottom w:val="none" w:sz="0" w:space="0" w:color="auto"/>
        <w:right w:val="none" w:sz="0" w:space="0" w:color="auto"/>
      </w:divBdr>
    </w:div>
    <w:div w:id="1624194596">
      <w:marLeft w:val="0"/>
      <w:marRight w:val="0"/>
      <w:marTop w:val="0"/>
      <w:marBottom w:val="0"/>
      <w:divBdr>
        <w:top w:val="none" w:sz="0" w:space="0" w:color="auto"/>
        <w:left w:val="none" w:sz="0" w:space="0" w:color="auto"/>
        <w:bottom w:val="none" w:sz="0" w:space="0" w:color="auto"/>
        <w:right w:val="none" w:sz="0" w:space="0" w:color="auto"/>
      </w:divBdr>
    </w:div>
    <w:div w:id="1624194597">
      <w:marLeft w:val="0"/>
      <w:marRight w:val="0"/>
      <w:marTop w:val="0"/>
      <w:marBottom w:val="0"/>
      <w:divBdr>
        <w:top w:val="none" w:sz="0" w:space="0" w:color="auto"/>
        <w:left w:val="none" w:sz="0" w:space="0" w:color="auto"/>
        <w:bottom w:val="none" w:sz="0" w:space="0" w:color="auto"/>
        <w:right w:val="none" w:sz="0" w:space="0" w:color="auto"/>
      </w:divBdr>
    </w:div>
    <w:div w:id="1624194598">
      <w:marLeft w:val="0"/>
      <w:marRight w:val="0"/>
      <w:marTop w:val="0"/>
      <w:marBottom w:val="0"/>
      <w:divBdr>
        <w:top w:val="none" w:sz="0" w:space="0" w:color="auto"/>
        <w:left w:val="none" w:sz="0" w:space="0" w:color="auto"/>
        <w:bottom w:val="none" w:sz="0" w:space="0" w:color="auto"/>
        <w:right w:val="none" w:sz="0" w:space="0" w:color="auto"/>
      </w:divBdr>
    </w:div>
    <w:div w:id="1624194599">
      <w:marLeft w:val="0"/>
      <w:marRight w:val="0"/>
      <w:marTop w:val="0"/>
      <w:marBottom w:val="0"/>
      <w:divBdr>
        <w:top w:val="none" w:sz="0" w:space="0" w:color="auto"/>
        <w:left w:val="none" w:sz="0" w:space="0" w:color="auto"/>
        <w:bottom w:val="none" w:sz="0" w:space="0" w:color="auto"/>
        <w:right w:val="none" w:sz="0" w:space="0" w:color="auto"/>
      </w:divBdr>
    </w:div>
    <w:div w:id="1624194600">
      <w:marLeft w:val="0"/>
      <w:marRight w:val="0"/>
      <w:marTop w:val="0"/>
      <w:marBottom w:val="0"/>
      <w:divBdr>
        <w:top w:val="none" w:sz="0" w:space="0" w:color="auto"/>
        <w:left w:val="none" w:sz="0" w:space="0" w:color="auto"/>
        <w:bottom w:val="none" w:sz="0" w:space="0" w:color="auto"/>
        <w:right w:val="none" w:sz="0" w:space="0" w:color="auto"/>
      </w:divBdr>
    </w:div>
    <w:div w:id="1624194601">
      <w:marLeft w:val="0"/>
      <w:marRight w:val="0"/>
      <w:marTop w:val="0"/>
      <w:marBottom w:val="0"/>
      <w:divBdr>
        <w:top w:val="none" w:sz="0" w:space="0" w:color="auto"/>
        <w:left w:val="none" w:sz="0" w:space="0" w:color="auto"/>
        <w:bottom w:val="none" w:sz="0" w:space="0" w:color="auto"/>
        <w:right w:val="none" w:sz="0" w:space="0" w:color="auto"/>
      </w:divBdr>
    </w:div>
    <w:div w:id="1624194602">
      <w:marLeft w:val="0"/>
      <w:marRight w:val="0"/>
      <w:marTop w:val="0"/>
      <w:marBottom w:val="0"/>
      <w:divBdr>
        <w:top w:val="none" w:sz="0" w:space="0" w:color="auto"/>
        <w:left w:val="none" w:sz="0" w:space="0" w:color="auto"/>
        <w:bottom w:val="none" w:sz="0" w:space="0" w:color="auto"/>
        <w:right w:val="none" w:sz="0" w:space="0" w:color="auto"/>
      </w:divBdr>
    </w:div>
    <w:div w:id="1624194603">
      <w:marLeft w:val="0"/>
      <w:marRight w:val="0"/>
      <w:marTop w:val="0"/>
      <w:marBottom w:val="0"/>
      <w:divBdr>
        <w:top w:val="none" w:sz="0" w:space="0" w:color="auto"/>
        <w:left w:val="none" w:sz="0" w:space="0" w:color="auto"/>
        <w:bottom w:val="none" w:sz="0" w:space="0" w:color="auto"/>
        <w:right w:val="none" w:sz="0" w:space="0" w:color="auto"/>
      </w:divBdr>
    </w:div>
    <w:div w:id="1624194604">
      <w:marLeft w:val="0"/>
      <w:marRight w:val="0"/>
      <w:marTop w:val="0"/>
      <w:marBottom w:val="0"/>
      <w:divBdr>
        <w:top w:val="none" w:sz="0" w:space="0" w:color="auto"/>
        <w:left w:val="none" w:sz="0" w:space="0" w:color="auto"/>
        <w:bottom w:val="none" w:sz="0" w:space="0" w:color="auto"/>
        <w:right w:val="none" w:sz="0" w:space="0" w:color="auto"/>
      </w:divBdr>
    </w:div>
    <w:div w:id="1624194605">
      <w:marLeft w:val="0"/>
      <w:marRight w:val="0"/>
      <w:marTop w:val="0"/>
      <w:marBottom w:val="0"/>
      <w:divBdr>
        <w:top w:val="none" w:sz="0" w:space="0" w:color="auto"/>
        <w:left w:val="none" w:sz="0" w:space="0" w:color="auto"/>
        <w:bottom w:val="none" w:sz="0" w:space="0" w:color="auto"/>
        <w:right w:val="none" w:sz="0" w:space="0" w:color="auto"/>
      </w:divBdr>
    </w:div>
    <w:div w:id="1624194606">
      <w:marLeft w:val="0"/>
      <w:marRight w:val="0"/>
      <w:marTop w:val="0"/>
      <w:marBottom w:val="0"/>
      <w:divBdr>
        <w:top w:val="none" w:sz="0" w:space="0" w:color="auto"/>
        <w:left w:val="none" w:sz="0" w:space="0" w:color="auto"/>
        <w:bottom w:val="none" w:sz="0" w:space="0" w:color="auto"/>
        <w:right w:val="none" w:sz="0" w:space="0" w:color="auto"/>
      </w:divBdr>
    </w:div>
    <w:div w:id="1624194607">
      <w:marLeft w:val="0"/>
      <w:marRight w:val="0"/>
      <w:marTop w:val="0"/>
      <w:marBottom w:val="0"/>
      <w:divBdr>
        <w:top w:val="none" w:sz="0" w:space="0" w:color="auto"/>
        <w:left w:val="none" w:sz="0" w:space="0" w:color="auto"/>
        <w:bottom w:val="none" w:sz="0" w:space="0" w:color="auto"/>
        <w:right w:val="none" w:sz="0" w:space="0" w:color="auto"/>
      </w:divBdr>
    </w:div>
    <w:div w:id="1624194608">
      <w:marLeft w:val="0"/>
      <w:marRight w:val="0"/>
      <w:marTop w:val="0"/>
      <w:marBottom w:val="0"/>
      <w:divBdr>
        <w:top w:val="none" w:sz="0" w:space="0" w:color="auto"/>
        <w:left w:val="none" w:sz="0" w:space="0" w:color="auto"/>
        <w:bottom w:val="none" w:sz="0" w:space="0" w:color="auto"/>
        <w:right w:val="none" w:sz="0" w:space="0" w:color="auto"/>
      </w:divBdr>
    </w:div>
    <w:div w:id="1624194609">
      <w:marLeft w:val="0"/>
      <w:marRight w:val="0"/>
      <w:marTop w:val="0"/>
      <w:marBottom w:val="0"/>
      <w:divBdr>
        <w:top w:val="none" w:sz="0" w:space="0" w:color="auto"/>
        <w:left w:val="none" w:sz="0" w:space="0" w:color="auto"/>
        <w:bottom w:val="none" w:sz="0" w:space="0" w:color="auto"/>
        <w:right w:val="none" w:sz="0" w:space="0" w:color="auto"/>
      </w:divBdr>
    </w:div>
    <w:div w:id="1624194610">
      <w:marLeft w:val="0"/>
      <w:marRight w:val="0"/>
      <w:marTop w:val="0"/>
      <w:marBottom w:val="0"/>
      <w:divBdr>
        <w:top w:val="none" w:sz="0" w:space="0" w:color="auto"/>
        <w:left w:val="none" w:sz="0" w:space="0" w:color="auto"/>
        <w:bottom w:val="none" w:sz="0" w:space="0" w:color="auto"/>
        <w:right w:val="none" w:sz="0" w:space="0" w:color="auto"/>
      </w:divBdr>
    </w:div>
    <w:div w:id="1624194611">
      <w:marLeft w:val="0"/>
      <w:marRight w:val="0"/>
      <w:marTop w:val="0"/>
      <w:marBottom w:val="0"/>
      <w:divBdr>
        <w:top w:val="none" w:sz="0" w:space="0" w:color="auto"/>
        <w:left w:val="none" w:sz="0" w:space="0" w:color="auto"/>
        <w:bottom w:val="none" w:sz="0" w:space="0" w:color="auto"/>
        <w:right w:val="none" w:sz="0" w:space="0" w:color="auto"/>
      </w:divBdr>
    </w:div>
    <w:div w:id="1624194612">
      <w:marLeft w:val="0"/>
      <w:marRight w:val="0"/>
      <w:marTop w:val="0"/>
      <w:marBottom w:val="0"/>
      <w:divBdr>
        <w:top w:val="none" w:sz="0" w:space="0" w:color="auto"/>
        <w:left w:val="none" w:sz="0" w:space="0" w:color="auto"/>
        <w:bottom w:val="none" w:sz="0" w:space="0" w:color="auto"/>
        <w:right w:val="none" w:sz="0" w:space="0" w:color="auto"/>
      </w:divBdr>
    </w:div>
    <w:div w:id="1624194613">
      <w:marLeft w:val="0"/>
      <w:marRight w:val="0"/>
      <w:marTop w:val="0"/>
      <w:marBottom w:val="0"/>
      <w:divBdr>
        <w:top w:val="none" w:sz="0" w:space="0" w:color="auto"/>
        <w:left w:val="none" w:sz="0" w:space="0" w:color="auto"/>
        <w:bottom w:val="none" w:sz="0" w:space="0" w:color="auto"/>
        <w:right w:val="none" w:sz="0" w:space="0" w:color="auto"/>
      </w:divBdr>
    </w:div>
    <w:div w:id="1624194614">
      <w:marLeft w:val="0"/>
      <w:marRight w:val="0"/>
      <w:marTop w:val="0"/>
      <w:marBottom w:val="0"/>
      <w:divBdr>
        <w:top w:val="none" w:sz="0" w:space="0" w:color="auto"/>
        <w:left w:val="none" w:sz="0" w:space="0" w:color="auto"/>
        <w:bottom w:val="none" w:sz="0" w:space="0" w:color="auto"/>
        <w:right w:val="none" w:sz="0" w:space="0" w:color="auto"/>
      </w:divBdr>
    </w:div>
    <w:div w:id="1624194615">
      <w:marLeft w:val="0"/>
      <w:marRight w:val="0"/>
      <w:marTop w:val="0"/>
      <w:marBottom w:val="0"/>
      <w:divBdr>
        <w:top w:val="none" w:sz="0" w:space="0" w:color="auto"/>
        <w:left w:val="none" w:sz="0" w:space="0" w:color="auto"/>
        <w:bottom w:val="none" w:sz="0" w:space="0" w:color="auto"/>
        <w:right w:val="none" w:sz="0" w:space="0" w:color="auto"/>
      </w:divBdr>
    </w:div>
    <w:div w:id="1624194616">
      <w:marLeft w:val="0"/>
      <w:marRight w:val="0"/>
      <w:marTop w:val="0"/>
      <w:marBottom w:val="0"/>
      <w:divBdr>
        <w:top w:val="none" w:sz="0" w:space="0" w:color="auto"/>
        <w:left w:val="none" w:sz="0" w:space="0" w:color="auto"/>
        <w:bottom w:val="none" w:sz="0" w:space="0" w:color="auto"/>
        <w:right w:val="none" w:sz="0" w:space="0" w:color="auto"/>
      </w:divBdr>
    </w:div>
    <w:div w:id="1624194617">
      <w:marLeft w:val="0"/>
      <w:marRight w:val="0"/>
      <w:marTop w:val="0"/>
      <w:marBottom w:val="0"/>
      <w:divBdr>
        <w:top w:val="none" w:sz="0" w:space="0" w:color="auto"/>
        <w:left w:val="none" w:sz="0" w:space="0" w:color="auto"/>
        <w:bottom w:val="none" w:sz="0" w:space="0" w:color="auto"/>
        <w:right w:val="none" w:sz="0" w:space="0" w:color="auto"/>
      </w:divBdr>
    </w:div>
    <w:div w:id="1624194618">
      <w:marLeft w:val="0"/>
      <w:marRight w:val="0"/>
      <w:marTop w:val="0"/>
      <w:marBottom w:val="0"/>
      <w:divBdr>
        <w:top w:val="none" w:sz="0" w:space="0" w:color="auto"/>
        <w:left w:val="none" w:sz="0" w:space="0" w:color="auto"/>
        <w:bottom w:val="none" w:sz="0" w:space="0" w:color="auto"/>
        <w:right w:val="none" w:sz="0" w:space="0" w:color="auto"/>
      </w:divBdr>
    </w:div>
    <w:div w:id="1624194619">
      <w:marLeft w:val="0"/>
      <w:marRight w:val="0"/>
      <w:marTop w:val="0"/>
      <w:marBottom w:val="0"/>
      <w:divBdr>
        <w:top w:val="none" w:sz="0" w:space="0" w:color="auto"/>
        <w:left w:val="none" w:sz="0" w:space="0" w:color="auto"/>
        <w:bottom w:val="none" w:sz="0" w:space="0" w:color="auto"/>
        <w:right w:val="none" w:sz="0" w:space="0" w:color="auto"/>
      </w:divBdr>
    </w:div>
    <w:div w:id="1624194620">
      <w:marLeft w:val="0"/>
      <w:marRight w:val="0"/>
      <w:marTop w:val="0"/>
      <w:marBottom w:val="0"/>
      <w:divBdr>
        <w:top w:val="none" w:sz="0" w:space="0" w:color="auto"/>
        <w:left w:val="none" w:sz="0" w:space="0" w:color="auto"/>
        <w:bottom w:val="none" w:sz="0" w:space="0" w:color="auto"/>
        <w:right w:val="none" w:sz="0" w:space="0" w:color="auto"/>
      </w:divBdr>
    </w:div>
    <w:div w:id="1624194621">
      <w:marLeft w:val="0"/>
      <w:marRight w:val="0"/>
      <w:marTop w:val="0"/>
      <w:marBottom w:val="0"/>
      <w:divBdr>
        <w:top w:val="none" w:sz="0" w:space="0" w:color="auto"/>
        <w:left w:val="none" w:sz="0" w:space="0" w:color="auto"/>
        <w:bottom w:val="none" w:sz="0" w:space="0" w:color="auto"/>
        <w:right w:val="none" w:sz="0" w:space="0" w:color="auto"/>
      </w:divBdr>
    </w:div>
    <w:div w:id="1624194622">
      <w:marLeft w:val="0"/>
      <w:marRight w:val="0"/>
      <w:marTop w:val="0"/>
      <w:marBottom w:val="0"/>
      <w:divBdr>
        <w:top w:val="none" w:sz="0" w:space="0" w:color="auto"/>
        <w:left w:val="none" w:sz="0" w:space="0" w:color="auto"/>
        <w:bottom w:val="none" w:sz="0" w:space="0" w:color="auto"/>
        <w:right w:val="none" w:sz="0" w:space="0" w:color="auto"/>
      </w:divBdr>
    </w:div>
    <w:div w:id="1624194623">
      <w:marLeft w:val="0"/>
      <w:marRight w:val="0"/>
      <w:marTop w:val="0"/>
      <w:marBottom w:val="0"/>
      <w:divBdr>
        <w:top w:val="none" w:sz="0" w:space="0" w:color="auto"/>
        <w:left w:val="none" w:sz="0" w:space="0" w:color="auto"/>
        <w:bottom w:val="none" w:sz="0" w:space="0" w:color="auto"/>
        <w:right w:val="none" w:sz="0" w:space="0" w:color="auto"/>
      </w:divBdr>
    </w:div>
    <w:div w:id="1624194624">
      <w:marLeft w:val="0"/>
      <w:marRight w:val="0"/>
      <w:marTop w:val="0"/>
      <w:marBottom w:val="0"/>
      <w:divBdr>
        <w:top w:val="none" w:sz="0" w:space="0" w:color="auto"/>
        <w:left w:val="none" w:sz="0" w:space="0" w:color="auto"/>
        <w:bottom w:val="none" w:sz="0" w:space="0" w:color="auto"/>
        <w:right w:val="none" w:sz="0" w:space="0" w:color="auto"/>
      </w:divBdr>
    </w:div>
    <w:div w:id="1624194625">
      <w:marLeft w:val="0"/>
      <w:marRight w:val="0"/>
      <w:marTop w:val="0"/>
      <w:marBottom w:val="0"/>
      <w:divBdr>
        <w:top w:val="none" w:sz="0" w:space="0" w:color="auto"/>
        <w:left w:val="none" w:sz="0" w:space="0" w:color="auto"/>
        <w:bottom w:val="none" w:sz="0" w:space="0" w:color="auto"/>
        <w:right w:val="none" w:sz="0" w:space="0" w:color="auto"/>
      </w:divBdr>
    </w:div>
    <w:div w:id="1624194626">
      <w:marLeft w:val="0"/>
      <w:marRight w:val="0"/>
      <w:marTop w:val="0"/>
      <w:marBottom w:val="0"/>
      <w:divBdr>
        <w:top w:val="none" w:sz="0" w:space="0" w:color="auto"/>
        <w:left w:val="none" w:sz="0" w:space="0" w:color="auto"/>
        <w:bottom w:val="none" w:sz="0" w:space="0" w:color="auto"/>
        <w:right w:val="none" w:sz="0" w:space="0" w:color="auto"/>
      </w:divBdr>
    </w:div>
    <w:div w:id="1624194627">
      <w:marLeft w:val="0"/>
      <w:marRight w:val="0"/>
      <w:marTop w:val="0"/>
      <w:marBottom w:val="0"/>
      <w:divBdr>
        <w:top w:val="none" w:sz="0" w:space="0" w:color="auto"/>
        <w:left w:val="none" w:sz="0" w:space="0" w:color="auto"/>
        <w:bottom w:val="none" w:sz="0" w:space="0" w:color="auto"/>
        <w:right w:val="none" w:sz="0" w:space="0" w:color="auto"/>
      </w:divBdr>
    </w:div>
    <w:div w:id="1624194628">
      <w:marLeft w:val="0"/>
      <w:marRight w:val="0"/>
      <w:marTop w:val="0"/>
      <w:marBottom w:val="0"/>
      <w:divBdr>
        <w:top w:val="none" w:sz="0" w:space="0" w:color="auto"/>
        <w:left w:val="none" w:sz="0" w:space="0" w:color="auto"/>
        <w:bottom w:val="none" w:sz="0" w:space="0" w:color="auto"/>
        <w:right w:val="none" w:sz="0" w:space="0" w:color="auto"/>
      </w:divBdr>
    </w:div>
    <w:div w:id="1624194629">
      <w:marLeft w:val="0"/>
      <w:marRight w:val="0"/>
      <w:marTop w:val="0"/>
      <w:marBottom w:val="0"/>
      <w:divBdr>
        <w:top w:val="none" w:sz="0" w:space="0" w:color="auto"/>
        <w:left w:val="none" w:sz="0" w:space="0" w:color="auto"/>
        <w:bottom w:val="none" w:sz="0" w:space="0" w:color="auto"/>
        <w:right w:val="none" w:sz="0" w:space="0" w:color="auto"/>
      </w:divBdr>
    </w:div>
    <w:div w:id="1624194630">
      <w:marLeft w:val="0"/>
      <w:marRight w:val="0"/>
      <w:marTop w:val="0"/>
      <w:marBottom w:val="0"/>
      <w:divBdr>
        <w:top w:val="none" w:sz="0" w:space="0" w:color="auto"/>
        <w:left w:val="none" w:sz="0" w:space="0" w:color="auto"/>
        <w:bottom w:val="none" w:sz="0" w:space="0" w:color="auto"/>
        <w:right w:val="none" w:sz="0" w:space="0" w:color="auto"/>
      </w:divBdr>
    </w:div>
    <w:div w:id="1624194631">
      <w:marLeft w:val="0"/>
      <w:marRight w:val="0"/>
      <w:marTop w:val="0"/>
      <w:marBottom w:val="0"/>
      <w:divBdr>
        <w:top w:val="none" w:sz="0" w:space="0" w:color="auto"/>
        <w:left w:val="none" w:sz="0" w:space="0" w:color="auto"/>
        <w:bottom w:val="none" w:sz="0" w:space="0" w:color="auto"/>
        <w:right w:val="none" w:sz="0" w:space="0" w:color="auto"/>
      </w:divBdr>
    </w:div>
    <w:div w:id="1624194632">
      <w:marLeft w:val="0"/>
      <w:marRight w:val="0"/>
      <w:marTop w:val="0"/>
      <w:marBottom w:val="0"/>
      <w:divBdr>
        <w:top w:val="none" w:sz="0" w:space="0" w:color="auto"/>
        <w:left w:val="none" w:sz="0" w:space="0" w:color="auto"/>
        <w:bottom w:val="none" w:sz="0" w:space="0" w:color="auto"/>
        <w:right w:val="none" w:sz="0" w:space="0" w:color="auto"/>
      </w:divBdr>
    </w:div>
    <w:div w:id="1624194633">
      <w:marLeft w:val="0"/>
      <w:marRight w:val="0"/>
      <w:marTop w:val="0"/>
      <w:marBottom w:val="0"/>
      <w:divBdr>
        <w:top w:val="none" w:sz="0" w:space="0" w:color="auto"/>
        <w:left w:val="none" w:sz="0" w:space="0" w:color="auto"/>
        <w:bottom w:val="none" w:sz="0" w:space="0" w:color="auto"/>
        <w:right w:val="none" w:sz="0" w:space="0" w:color="auto"/>
      </w:divBdr>
    </w:div>
    <w:div w:id="1624194634">
      <w:marLeft w:val="0"/>
      <w:marRight w:val="0"/>
      <w:marTop w:val="0"/>
      <w:marBottom w:val="0"/>
      <w:divBdr>
        <w:top w:val="none" w:sz="0" w:space="0" w:color="auto"/>
        <w:left w:val="none" w:sz="0" w:space="0" w:color="auto"/>
        <w:bottom w:val="none" w:sz="0" w:space="0" w:color="auto"/>
        <w:right w:val="none" w:sz="0" w:space="0" w:color="auto"/>
      </w:divBdr>
    </w:div>
    <w:div w:id="1624194635">
      <w:marLeft w:val="0"/>
      <w:marRight w:val="0"/>
      <w:marTop w:val="0"/>
      <w:marBottom w:val="0"/>
      <w:divBdr>
        <w:top w:val="none" w:sz="0" w:space="0" w:color="auto"/>
        <w:left w:val="none" w:sz="0" w:space="0" w:color="auto"/>
        <w:bottom w:val="none" w:sz="0" w:space="0" w:color="auto"/>
        <w:right w:val="none" w:sz="0" w:space="0" w:color="auto"/>
      </w:divBdr>
    </w:div>
    <w:div w:id="1624194636">
      <w:marLeft w:val="0"/>
      <w:marRight w:val="0"/>
      <w:marTop w:val="0"/>
      <w:marBottom w:val="0"/>
      <w:divBdr>
        <w:top w:val="none" w:sz="0" w:space="0" w:color="auto"/>
        <w:left w:val="none" w:sz="0" w:space="0" w:color="auto"/>
        <w:bottom w:val="none" w:sz="0" w:space="0" w:color="auto"/>
        <w:right w:val="none" w:sz="0" w:space="0" w:color="auto"/>
      </w:divBdr>
    </w:div>
    <w:div w:id="1624194637">
      <w:marLeft w:val="0"/>
      <w:marRight w:val="0"/>
      <w:marTop w:val="0"/>
      <w:marBottom w:val="0"/>
      <w:divBdr>
        <w:top w:val="none" w:sz="0" w:space="0" w:color="auto"/>
        <w:left w:val="none" w:sz="0" w:space="0" w:color="auto"/>
        <w:bottom w:val="none" w:sz="0" w:space="0" w:color="auto"/>
        <w:right w:val="none" w:sz="0" w:space="0" w:color="auto"/>
      </w:divBdr>
    </w:div>
    <w:div w:id="1624194638">
      <w:marLeft w:val="0"/>
      <w:marRight w:val="0"/>
      <w:marTop w:val="0"/>
      <w:marBottom w:val="0"/>
      <w:divBdr>
        <w:top w:val="none" w:sz="0" w:space="0" w:color="auto"/>
        <w:left w:val="none" w:sz="0" w:space="0" w:color="auto"/>
        <w:bottom w:val="none" w:sz="0" w:space="0" w:color="auto"/>
        <w:right w:val="none" w:sz="0" w:space="0" w:color="auto"/>
      </w:divBdr>
    </w:div>
    <w:div w:id="1624194639">
      <w:marLeft w:val="0"/>
      <w:marRight w:val="0"/>
      <w:marTop w:val="0"/>
      <w:marBottom w:val="0"/>
      <w:divBdr>
        <w:top w:val="none" w:sz="0" w:space="0" w:color="auto"/>
        <w:left w:val="none" w:sz="0" w:space="0" w:color="auto"/>
        <w:bottom w:val="none" w:sz="0" w:space="0" w:color="auto"/>
        <w:right w:val="none" w:sz="0" w:space="0" w:color="auto"/>
      </w:divBdr>
    </w:div>
    <w:div w:id="1624194640">
      <w:marLeft w:val="0"/>
      <w:marRight w:val="0"/>
      <w:marTop w:val="0"/>
      <w:marBottom w:val="0"/>
      <w:divBdr>
        <w:top w:val="none" w:sz="0" w:space="0" w:color="auto"/>
        <w:left w:val="none" w:sz="0" w:space="0" w:color="auto"/>
        <w:bottom w:val="none" w:sz="0" w:space="0" w:color="auto"/>
        <w:right w:val="none" w:sz="0" w:space="0" w:color="auto"/>
      </w:divBdr>
    </w:div>
    <w:div w:id="1624194641">
      <w:marLeft w:val="0"/>
      <w:marRight w:val="0"/>
      <w:marTop w:val="0"/>
      <w:marBottom w:val="0"/>
      <w:divBdr>
        <w:top w:val="none" w:sz="0" w:space="0" w:color="auto"/>
        <w:left w:val="none" w:sz="0" w:space="0" w:color="auto"/>
        <w:bottom w:val="none" w:sz="0" w:space="0" w:color="auto"/>
        <w:right w:val="none" w:sz="0" w:space="0" w:color="auto"/>
      </w:divBdr>
    </w:div>
    <w:div w:id="1624194642">
      <w:marLeft w:val="0"/>
      <w:marRight w:val="0"/>
      <w:marTop w:val="0"/>
      <w:marBottom w:val="0"/>
      <w:divBdr>
        <w:top w:val="none" w:sz="0" w:space="0" w:color="auto"/>
        <w:left w:val="none" w:sz="0" w:space="0" w:color="auto"/>
        <w:bottom w:val="none" w:sz="0" w:space="0" w:color="auto"/>
        <w:right w:val="none" w:sz="0" w:space="0" w:color="auto"/>
      </w:divBdr>
    </w:div>
    <w:div w:id="1624194643">
      <w:marLeft w:val="0"/>
      <w:marRight w:val="0"/>
      <w:marTop w:val="0"/>
      <w:marBottom w:val="0"/>
      <w:divBdr>
        <w:top w:val="none" w:sz="0" w:space="0" w:color="auto"/>
        <w:left w:val="none" w:sz="0" w:space="0" w:color="auto"/>
        <w:bottom w:val="none" w:sz="0" w:space="0" w:color="auto"/>
        <w:right w:val="none" w:sz="0" w:space="0" w:color="auto"/>
      </w:divBdr>
    </w:div>
    <w:div w:id="1624194644">
      <w:marLeft w:val="0"/>
      <w:marRight w:val="0"/>
      <w:marTop w:val="0"/>
      <w:marBottom w:val="0"/>
      <w:divBdr>
        <w:top w:val="none" w:sz="0" w:space="0" w:color="auto"/>
        <w:left w:val="none" w:sz="0" w:space="0" w:color="auto"/>
        <w:bottom w:val="none" w:sz="0" w:space="0" w:color="auto"/>
        <w:right w:val="none" w:sz="0" w:space="0" w:color="auto"/>
      </w:divBdr>
    </w:div>
    <w:div w:id="1624194645">
      <w:marLeft w:val="0"/>
      <w:marRight w:val="0"/>
      <w:marTop w:val="0"/>
      <w:marBottom w:val="0"/>
      <w:divBdr>
        <w:top w:val="none" w:sz="0" w:space="0" w:color="auto"/>
        <w:left w:val="none" w:sz="0" w:space="0" w:color="auto"/>
        <w:bottom w:val="none" w:sz="0" w:space="0" w:color="auto"/>
        <w:right w:val="none" w:sz="0" w:space="0" w:color="auto"/>
      </w:divBdr>
    </w:div>
    <w:div w:id="1624194646">
      <w:marLeft w:val="0"/>
      <w:marRight w:val="0"/>
      <w:marTop w:val="0"/>
      <w:marBottom w:val="0"/>
      <w:divBdr>
        <w:top w:val="none" w:sz="0" w:space="0" w:color="auto"/>
        <w:left w:val="none" w:sz="0" w:space="0" w:color="auto"/>
        <w:bottom w:val="none" w:sz="0" w:space="0" w:color="auto"/>
        <w:right w:val="none" w:sz="0" w:space="0" w:color="auto"/>
      </w:divBdr>
    </w:div>
    <w:div w:id="1624194647">
      <w:marLeft w:val="0"/>
      <w:marRight w:val="0"/>
      <w:marTop w:val="0"/>
      <w:marBottom w:val="0"/>
      <w:divBdr>
        <w:top w:val="none" w:sz="0" w:space="0" w:color="auto"/>
        <w:left w:val="none" w:sz="0" w:space="0" w:color="auto"/>
        <w:bottom w:val="none" w:sz="0" w:space="0" w:color="auto"/>
        <w:right w:val="none" w:sz="0" w:space="0" w:color="auto"/>
      </w:divBdr>
    </w:div>
    <w:div w:id="1624194648">
      <w:marLeft w:val="0"/>
      <w:marRight w:val="0"/>
      <w:marTop w:val="0"/>
      <w:marBottom w:val="0"/>
      <w:divBdr>
        <w:top w:val="none" w:sz="0" w:space="0" w:color="auto"/>
        <w:left w:val="none" w:sz="0" w:space="0" w:color="auto"/>
        <w:bottom w:val="none" w:sz="0" w:space="0" w:color="auto"/>
        <w:right w:val="none" w:sz="0" w:space="0" w:color="auto"/>
      </w:divBdr>
    </w:div>
    <w:div w:id="1624194649">
      <w:marLeft w:val="0"/>
      <w:marRight w:val="0"/>
      <w:marTop w:val="0"/>
      <w:marBottom w:val="0"/>
      <w:divBdr>
        <w:top w:val="none" w:sz="0" w:space="0" w:color="auto"/>
        <w:left w:val="none" w:sz="0" w:space="0" w:color="auto"/>
        <w:bottom w:val="none" w:sz="0" w:space="0" w:color="auto"/>
        <w:right w:val="none" w:sz="0" w:space="0" w:color="auto"/>
      </w:divBdr>
    </w:div>
    <w:div w:id="1624194650">
      <w:marLeft w:val="0"/>
      <w:marRight w:val="0"/>
      <w:marTop w:val="0"/>
      <w:marBottom w:val="0"/>
      <w:divBdr>
        <w:top w:val="none" w:sz="0" w:space="0" w:color="auto"/>
        <w:left w:val="none" w:sz="0" w:space="0" w:color="auto"/>
        <w:bottom w:val="none" w:sz="0" w:space="0" w:color="auto"/>
        <w:right w:val="none" w:sz="0" w:space="0" w:color="auto"/>
      </w:divBdr>
    </w:div>
    <w:div w:id="1624194651">
      <w:marLeft w:val="0"/>
      <w:marRight w:val="0"/>
      <w:marTop w:val="0"/>
      <w:marBottom w:val="0"/>
      <w:divBdr>
        <w:top w:val="none" w:sz="0" w:space="0" w:color="auto"/>
        <w:left w:val="none" w:sz="0" w:space="0" w:color="auto"/>
        <w:bottom w:val="none" w:sz="0" w:space="0" w:color="auto"/>
        <w:right w:val="none" w:sz="0" w:space="0" w:color="auto"/>
      </w:divBdr>
    </w:div>
    <w:div w:id="1624194652">
      <w:marLeft w:val="0"/>
      <w:marRight w:val="0"/>
      <w:marTop w:val="0"/>
      <w:marBottom w:val="0"/>
      <w:divBdr>
        <w:top w:val="none" w:sz="0" w:space="0" w:color="auto"/>
        <w:left w:val="none" w:sz="0" w:space="0" w:color="auto"/>
        <w:bottom w:val="none" w:sz="0" w:space="0" w:color="auto"/>
        <w:right w:val="none" w:sz="0" w:space="0" w:color="auto"/>
      </w:divBdr>
    </w:div>
    <w:div w:id="1624194653">
      <w:marLeft w:val="0"/>
      <w:marRight w:val="0"/>
      <w:marTop w:val="0"/>
      <w:marBottom w:val="0"/>
      <w:divBdr>
        <w:top w:val="none" w:sz="0" w:space="0" w:color="auto"/>
        <w:left w:val="none" w:sz="0" w:space="0" w:color="auto"/>
        <w:bottom w:val="none" w:sz="0" w:space="0" w:color="auto"/>
        <w:right w:val="none" w:sz="0" w:space="0" w:color="auto"/>
      </w:divBdr>
    </w:div>
    <w:div w:id="1624194654">
      <w:marLeft w:val="0"/>
      <w:marRight w:val="0"/>
      <w:marTop w:val="0"/>
      <w:marBottom w:val="0"/>
      <w:divBdr>
        <w:top w:val="none" w:sz="0" w:space="0" w:color="auto"/>
        <w:left w:val="none" w:sz="0" w:space="0" w:color="auto"/>
        <w:bottom w:val="none" w:sz="0" w:space="0" w:color="auto"/>
        <w:right w:val="none" w:sz="0" w:space="0" w:color="auto"/>
      </w:divBdr>
    </w:div>
    <w:div w:id="1624194655">
      <w:marLeft w:val="0"/>
      <w:marRight w:val="0"/>
      <w:marTop w:val="0"/>
      <w:marBottom w:val="0"/>
      <w:divBdr>
        <w:top w:val="none" w:sz="0" w:space="0" w:color="auto"/>
        <w:left w:val="none" w:sz="0" w:space="0" w:color="auto"/>
        <w:bottom w:val="none" w:sz="0" w:space="0" w:color="auto"/>
        <w:right w:val="none" w:sz="0" w:space="0" w:color="auto"/>
      </w:divBdr>
    </w:div>
    <w:div w:id="1624194656">
      <w:marLeft w:val="0"/>
      <w:marRight w:val="0"/>
      <w:marTop w:val="0"/>
      <w:marBottom w:val="0"/>
      <w:divBdr>
        <w:top w:val="none" w:sz="0" w:space="0" w:color="auto"/>
        <w:left w:val="none" w:sz="0" w:space="0" w:color="auto"/>
        <w:bottom w:val="none" w:sz="0" w:space="0" w:color="auto"/>
        <w:right w:val="none" w:sz="0" w:space="0" w:color="auto"/>
      </w:divBdr>
    </w:div>
    <w:div w:id="1624194657">
      <w:marLeft w:val="0"/>
      <w:marRight w:val="0"/>
      <w:marTop w:val="0"/>
      <w:marBottom w:val="0"/>
      <w:divBdr>
        <w:top w:val="none" w:sz="0" w:space="0" w:color="auto"/>
        <w:left w:val="none" w:sz="0" w:space="0" w:color="auto"/>
        <w:bottom w:val="none" w:sz="0" w:space="0" w:color="auto"/>
        <w:right w:val="none" w:sz="0" w:space="0" w:color="auto"/>
      </w:divBdr>
    </w:div>
    <w:div w:id="1624194658">
      <w:marLeft w:val="0"/>
      <w:marRight w:val="0"/>
      <w:marTop w:val="0"/>
      <w:marBottom w:val="0"/>
      <w:divBdr>
        <w:top w:val="none" w:sz="0" w:space="0" w:color="auto"/>
        <w:left w:val="none" w:sz="0" w:space="0" w:color="auto"/>
        <w:bottom w:val="none" w:sz="0" w:space="0" w:color="auto"/>
        <w:right w:val="none" w:sz="0" w:space="0" w:color="auto"/>
      </w:divBdr>
    </w:div>
    <w:div w:id="1624194659">
      <w:marLeft w:val="0"/>
      <w:marRight w:val="0"/>
      <w:marTop w:val="0"/>
      <w:marBottom w:val="0"/>
      <w:divBdr>
        <w:top w:val="none" w:sz="0" w:space="0" w:color="auto"/>
        <w:left w:val="none" w:sz="0" w:space="0" w:color="auto"/>
        <w:bottom w:val="none" w:sz="0" w:space="0" w:color="auto"/>
        <w:right w:val="none" w:sz="0" w:space="0" w:color="auto"/>
      </w:divBdr>
    </w:div>
    <w:div w:id="1624194660">
      <w:marLeft w:val="0"/>
      <w:marRight w:val="0"/>
      <w:marTop w:val="0"/>
      <w:marBottom w:val="0"/>
      <w:divBdr>
        <w:top w:val="none" w:sz="0" w:space="0" w:color="auto"/>
        <w:left w:val="none" w:sz="0" w:space="0" w:color="auto"/>
        <w:bottom w:val="none" w:sz="0" w:space="0" w:color="auto"/>
        <w:right w:val="none" w:sz="0" w:space="0" w:color="auto"/>
      </w:divBdr>
    </w:div>
    <w:div w:id="1624194661">
      <w:marLeft w:val="0"/>
      <w:marRight w:val="0"/>
      <w:marTop w:val="0"/>
      <w:marBottom w:val="0"/>
      <w:divBdr>
        <w:top w:val="none" w:sz="0" w:space="0" w:color="auto"/>
        <w:left w:val="none" w:sz="0" w:space="0" w:color="auto"/>
        <w:bottom w:val="none" w:sz="0" w:space="0" w:color="auto"/>
        <w:right w:val="none" w:sz="0" w:space="0" w:color="auto"/>
      </w:divBdr>
    </w:div>
    <w:div w:id="1624194662">
      <w:marLeft w:val="0"/>
      <w:marRight w:val="0"/>
      <w:marTop w:val="0"/>
      <w:marBottom w:val="0"/>
      <w:divBdr>
        <w:top w:val="none" w:sz="0" w:space="0" w:color="auto"/>
        <w:left w:val="none" w:sz="0" w:space="0" w:color="auto"/>
        <w:bottom w:val="none" w:sz="0" w:space="0" w:color="auto"/>
        <w:right w:val="none" w:sz="0" w:space="0" w:color="auto"/>
      </w:divBdr>
    </w:div>
    <w:div w:id="1624194663">
      <w:marLeft w:val="0"/>
      <w:marRight w:val="0"/>
      <w:marTop w:val="0"/>
      <w:marBottom w:val="0"/>
      <w:divBdr>
        <w:top w:val="none" w:sz="0" w:space="0" w:color="auto"/>
        <w:left w:val="none" w:sz="0" w:space="0" w:color="auto"/>
        <w:bottom w:val="none" w:sz="0" w:space="0" w:color="auto"/>
        <w:right w:val="none" w:sz="0" w:space="0" w:color="auto"/>
      </w:divBdr>
    </w:div>
    <w:div w:id="1624194664">
      <w:marLeft w:val="0"/>
      <w:marRight w:val="0"/>
      <w:marTop w:val="0"/>
      <w:marBottom w:val="0"/>
      <w:divBdr>
        <w:top w:val="none" w:sz="0" w:space="0" w:color="auto"/>
        <w:left w:val="none" w:sz="0" w:space="0" w:color="auto"/>
        <w:bottom w:val="none" w:sz="0" w:space="0" w:color="auto"/>
        <w:right w:val="none" w:sz="0" w:space="0" w:color="auto"/>
      </w:divBdr>
    </w:div>
    <w:div w:id="1624194665">
      <w:marLeft w:val="0"/>
      <w:marRight w:val="0"/>
      <w:marTop w:val="0"/>
      <w:marBottom w:val="0"/>
      <w:divBdr>
        <w:top w:val="none" w:sz="0" w:space="0" w:color="auto"/>
        <w:left w:val="none" w:sz="0" w:space="0" w:color="auto"/>
        <w:bottom w:val="none" w:sz="0" w:space="0" w:color="auto"/>
        <w:right w:val="none" w:sz="0" w:space="0" w:color="auto"/>
      </w:divBdr>
    </w:div>
    <w:div w:id="1624194666">
      <w:marLeft w:val="0"/>
      <w:marRight w:val="0"/>
      <w:marTop w:val="0"/>
      <w:marBottom w:val="0"/>
      <w:divBdr>
        <w:top w:val="none" w:sz="0" w:space="0" w:color="auto"/>
        <w:left w:val="none" w:sz="0" w:space="0" w:color="auto"/>
        <w:bottom w:val="none" w:sz="0" w:space="0" w:color="auto"/>
        <w:right w:val="none" w:sz="0" w:space="0" w:color="auto"/>
      </w:divBdr>
    </w:div>
    <w:div w:id="1624194667">
      <w:marLeft w:val="0"/>
      <w:marRight w:val="0"/>
      <w:marTop w:val="0"/>
      <w:marBottom w:val="0"/>
      <w:divBdr>
        <w:top w:val="none" w:sz="0" w:space="0" w:color="auto"/>
        <w:left w:val="none" w:sz="0" w:space="0" w:color="auto"/>
        <w:bottom w:val="none" w:sz="0" w:space="0" w:color="auto"/>
        <w:right w:val="none" w:sz="0" w:space="0" w:color="auto"/>
      </w:divBdr>
    </w:div>
    <w:div w:id="1624194668">
      <w:marLeft w:val="0"/>
      <w:marRight w:val="0"/>
      <w:marTop w:val="0"/>
      <w:marBottom w:val="0"/>
      <w:divBdr>
        <w:top w:val="none" w:sz="0" w:space="0" w:color="auto"/>
        <w:left w:val="none" w:sz="0" w:space="0" w:color="auto"/>
        <w:bottom w:val="none" w:sz="0" w:space="0" w:color="auto"/>
        <w:right w:val="none" w:sz="0" w:space="0" w:color="auto"/>
      </w:divBdr>
    </w:div>
    <w:div w:id="1624194669">
      <w:marLeft w:val="0"/>
      <w:marRight w:val="0"/>
      <w:marTop w:val="0"/>
      <w:marBottom w:val="0"/>
      <w:divBdr>
        <w:top w:val="none" w:sz="0" w:space="0" w:color="auto"/>
        <w:left w:val="none" w:sz="0" w:space="0" w:color="auto"/>
        <w:bottom w:val="none" w:sz="0" w:space="0" w:color="auto"/>
        <w:right w:val="none" w:sz="0" w:space="0" w:color="auto"/>
      </w:divBdr>
    </w:div>
    <w:div w:id="1624194670">
      <w:marLeft w:val="0"/>
      <w:marRight w:val="0"/>
      <w:marTop w:val="0"/>
      <w:marBottom w:val="0"/>
      <w:divBdr>
        <w:top w:val="none" w:sz="0" w:space="0" w:color="auto"/>
        <w:left w:val="none" w:sz="0" w:space="0" w:color="auto"/>
        <w:bottom w:val="none" w:sz="0" w:space="0" w:color="auto"/>
        <w:right w:val="none" w:sz="0" w:space="0" w:color="auto"/>
      </w:divBdr>
    </w:div>
    <w:div w:id="1624194671">
      <w:marLeft w:val="0"/>
      <w:marRight w:val="0"/>
      <w:marTop w:val="0"/>
      <w:marBottom w:val="0"/>
      <w:divBdr>
        <w:top w:val="none" w:sz="0" w:space="0" w:color="auto"/>
        <w:left w:val="none" w:sz="0" w:space="0" w:color="auto"/>
        <w:bottom w:val="none" w:sz="0" w:space="0" w:color="auto"/>
        <w:right w:val="none" w:sz="0" w:space="0" w:color="auto"/>
      </w:divBdr>
    </w:div>
    <w:div w:id="1624194672">
      <w:marLeft w:val="0"/>
      <w:marRight w:val="0"/>
      <w:marTop w:val="0"/>
      <w:marBottom w:val="0"/>
      <w:divBdr>
        <w:top w:val="none" w:sz="0" w:space="0" w:color="auto"/>
        <w:left w:val="none" w:sz="0" w:space="0" w:color="auto"/>
        <w:bottom w:val="none" w:sz="0" w:space="0" w:color="auto"/>
        <w:right w:val="none" w:sz="0" w:space="0" w:color="auto"/>
      </w:divBdr>
    </w:div>
    <w:div w:id="1624194673">
      <w:marLeft w:val="0"/>
      <w:marRight w:val="0"/>
      <w:marTop w:val="0"/>
      <w:marBottom w:val="0"/>
      <w:divBdr>
        <w:top w:val="none" w:sz="0" w:space="0" w:color="auto"/>
        <w:left w:val="none" w:sz="0" w:space="0" w:color="auto"/>
        <w:bottom w:val="none" w:sz="0" w:space="0" w:color="auto"/>
        <w:right w:val="none" w:sz="0" w:space="0" w:color="auto"/>
      </w:divBdr>
    </w:div>
    <w:div w:id="1624194674">
      <w:marLeft w:val="0"/>
      <w:marRight w:val="0"/>
      <w:marTop w:val="0"/>
      <w:marBottom w:val="0"/>
      <w:divBdr>
        <w:top w:val="none" w:sz="0" w:space="0" w:color="auto"/>
        <w:left w:val="none" w:sz="0" w:space="0" w:color="auto"/>
        <w:bottom w:val="none" w:sz="0" w:space="0" w:color="auto"/>
        <w:right w:val="none" w:sz="0" w:space="0" w:color="auto"/>
      </w:divBdr>
    </w:div>
    <w:div w:id="1624194675">
      <w:marLeft w:val="0"/>
      <w:marRight w:val="0"/>
      <w:marTop w:val="0"/>
      <w:marBottom w:val="0"/>
      <w:divBdr>
        <w:top w:val="none" w:sz="0" w:space="0" w:color="auto"/>
        <w:left w:val="none" w:sz="0" w:space="0" w:color="auto"/>
        <w:bottom w:val="none" w:sz="0" w:space="0" w:color="auto"/>
        <w:right w:val="none" w:sz="0" w:space="0" w:color="auto"/>
      </w:divBdr>
    </w:div>
    <w:div w:id="1624194676">
      <w:marLeft w:val="0"/>
      <w:marRight w:val="0"/>
      <w:marTop w:val="0"/>
      <w:marBottom w:val="0"/>
      <w:divBdr>
        <w:top w:val="none" w:sz="0" w:space="0" w:color="auto"/>
        <w:left w:val="none" w:sz="0" w:space="0" w:color="auto"/>
        <w:bottom w:val="none" w:sz="0" w:space="0" w:color="auto"/>
        <w:right w:val="none" w:sz="0" w:space="0" w:color="auto"/>
      </w:divBdr>
    </w:div>
    <w:div w:id="1624194677">
      <w:marLeft w:val="0"/>
      <w:marRight w:val="0"/>
      <w:marTop w:val="0"/>
      <w:marBottom w:val="0"/>
      <w:divBdr>
        <w:top w:val="none" w:sz="0" w:space="0" w:color="auto"/>
        <w:left w:val="none" w:sz="0" w:space="0" w:color="auto"/>
        <w:bottom w:val="none" w:sz="0" w:space="0" w:color="auto"/>
        <w:right w:val="none" w:sz="0" w:space="0" w:color="auto"/>
      </w:divBdr>
    </w:div>
    <w:div w:id="1624194678">
      <w:marLeft w:val="0"/>
      <w:marRight w:val="0"/>
      <w:marTop w:val="0"/>
      <w:marBottom w:val="0"/>
      <w:divBdr>
        <w:top w:val="none" w:sz="0" w:space="0" w:color="auto"/>
        <w:left w:val="none" w:sz="0" w:space="0" w:color="auto"/>
        <w:bottom w:val="none" w:sz="0" w:space="0" w:color="auto"/>
        <w:right w:val="none" w:sz="0" w:space="0" w:color="auto"/>
      </w:divBdr>
    </w:div>
    <w:div w:id="1624194679">
      <w:marLeft w:val="0"/>
      <w:marRight w:val="0"/>
      <w:marTop w:val="0"/>
      <w:marBottom w:val="0"/>
      <w:divBdr>
        <w:top w:val="none" w:sz="0" w:space="0" w:color="auto"/>
        <w:left w:val="none" w:sz="0" w:space="0" w:color="auto"/>
        <w:bottom w:val="none" w:sz="0" w:space="0" w:color="auto"/>
        <w:right w:val="none" w:sz="0" w:space="0" w:color="auto"/>
      </w:divBdr>
    </w:div>
    <w:div w:id="1624194680">
      <w:marLeft w:val="0"/>
      <w:marRight w:val="0"/>
      <w:marTop w:val="0"/>
      <w:marBottom w:val="0"/>
      <w:divBdr>
        <w:top w:val="none" w:sz="0" w:space="0" w:color="auto"/>
        <w:left w:val="none" w:sz="0" w:space="0" w:color="auto"/>
        <w:bottom w:val="none" w:sz="0" w:space="0" w:color="auto"/>
        <w:right w:val="none" w:sz="0" w:space="0" w:color="auto"/>
      </w:divBdr>
    </w:div>
    <w:div w:id="1624194681">
      <w:marLeft w:val="0"/>
      <w:marRight w:val="0"/>
      <w:marTop w:val="0"/>
      <w:marBottom w:val="0"/>
      <w:divBdr>
        <w:top w:val="none" w:sz="0" w:space="0" w:color="auto"/>
        <w:left w:val="none" w:sz="0" w:space="0" w:color="auto"/>
        <w:bottom w:val="none" w:sz="0" w:space="0" w:color="auto"/>
        <w:right w:val="none" w:sz="0" w:space="0" w:color="auto"/>
      </w:divBdr>
    </w:div>
    <w:div w:id="1624194682">
      <w:marLeft w:val="0"/>
      <w:marRight w:val="0"/>
      <w:marTop w:val="0"/>
      <w:marBottom w:val="0"/>
      <w:divBdr>
        <w:top w:val="none" w:sz="0" w:space="0" w:color="auto"/>
        <w:left w:val="none" w:sz="0" w:space="0" w:color="auto"/>
        <w:bottom w:val="none" w:sz="0" w:space="0" w:color="auto"/>
        <w:right w:val="none" w:sz="0" w:space="0" w:color="auto"/>
      </w:divBdr>
    </w:div>
    <w:div w:id="1624194683">
      <w:marLeft w:val="0"/>
      <w:marRight w:val="0"/>
      <w:marTop w:val="0"/>
      <w:marBottom w:val="0"/>
      <w:divBdr>
        <w:top w:val="none" w:sz="0" w:space="0" w:color="auto"/>
        <w:left w:val="none" w:sz="0" w:space="0" w:color="auto"/>
        <w:bottom w:val="none" w:sz="0" w:space="0" w:color="auto"/>
        <w:right w:val="none" w:sz="0" w:space="0" w:color="auto"/>
      </w:divBdr>
    </w:div>
    <w:div w:id="1624194684">
      <w:marLeft w:val="0"/>
      <w:marRight w:val="0"/>
      <w:marTop w:val="0"/>
      <w:marBottom w:val="0"/>
      <w:divBdr>
        <w:top w:val="none" w:sz="0" w:space="0" w:color="auto"/>
        <w:left w:val="none" w:sz="0" w:space="0" w:color="auto"/>
        <w:bottom w:val="none" w:sz="0" w:space="0" w:color="auto"/>
        <w:right w:val="none" w:sz="0" w:space="0" w:color="auto"/>
      </w:divBdr>
    </w:div>
    <w:div w:id="1624194685">
      <w:marLeft w:val="0"/>
      <w:marRight w:val="0"/>
      <w:marTop w:val="0"/>
      <w:marBottom w:val="0"/>
      <w:divBdr>
        <w:top w:val="none" w:sz="0" w:space="0" w:color="auto"/>
        <w:left w:val="none" w:sz="0" w:space="0" w:color="auto"/>
        <w:bottom w:val="none" w:sz="0" w:space="0" w:color="auto"/>
        <w:right w:val="none" w:sz="0" w:space="0" w:color="auto"/>
      </w:divBdr>
    </w:div>
    <w:div w:id="1624194686">
      <w:marLeft w:val="0"/>
      <w:marRight w:val="0"/>
      <w:marTop w:val="0"/>
      <w:marBottom w:val="0"/>
      <w:divBdr>
        <w:top w:val="none" w:sz="0" w:space="0" w:color="auto"/>
        <w:left w:val="none" w:sz="0" w:space="0" w:color="auto"/>
        <w:bottom w:val="none" w:sz="0" w:space="0" w:color="auto"/>
        <w:right w:val="none" w:sz="0" w:space="0" w:color="auto"/>
      </w:divBdr>
    </w:div>
    <w:div w:id="1624194687">
      <w:marLeft w:val="0"/>
      <w:marRight w:val="0"/>
      <w:marTop w:val="0"/>
      <w:marBottom w:val="0"/>
      <w:divBdr>
        <w:top w:val="none" w:sz="0" w:space="0" w:color="auto"/>
        <w:left w:val="none" w:sz="0" w:space="0" w:color="auto"/>
        <w:bottom w:val="none" w:sz="0" w:space="0" w:color="auto"/>
        <w:right w:val="none" w:sz="0" w:space="0" w:color="auto"/>
      </w:divBdr>
    </w:div>
    <w:div w:id="1624194688">
      <w:marLeft w:val="0"/>
      <w:marRight w:val="0"/>
      <w:marTop w:val="0"/>
      <w:marBottom w:val="0"/>
      <w:divBdr>
        <w:top w:val="none" w:sz="0" w:space="0" w:color="auto"/>
        <w:left w:val="none" w:sz="0" w:space="0" w:color="auto"/>
        <w:bottom w:val="none" w:sz="0" w:space="0" w:color="auto"/>
        <w:right w:val="none" w:sz="0" w:space="0" w:color="auto"/>
      </w:divBdr>
    </w:div>
    <w:div w:id="1624194689">
      <w:marLeft w:val="0"/>
      <w:marRight w:val="0"/>
      <w:marTop w:val="0"/>
      <w:marBottom w:val="0"/>
      <w:divBdr>
        <w:top w:val="none" w:sz="0" w:space="0" w:color="auto"/>
        <w:left w:val="none" w:sz="0" w:space="0" w:color="auto"/>
        <w:bottom w:val="none" w:sz="0" w:space="0" w:color="auto"/>
        <w:right w:val="none" w:sz="0" w:space="0" w:color="auto"/>
      </w:divBdr>
    </w:div>
    <w:div w:id="1624194690">
      <w:marLeft w:val="0"/>
      <w:marRight w:val="0"/>
      <w:marTop w:val="0"/>
      <w:marBottom w:val="0"/>
      <w:divBdr>
        <w:top w:val="none" w:sz="0" w:space="0" w:color="auto"/>
        <w:left w:val="none" w:sz="0" w:space="0" w:color="auto"/>
        <w:bottom w:val="none" w:sz="0" w:space="0" w:color="auto"/>
        <w:right w:val="none" w:sz="0" w:space="0" w:color="auto"/>
      </w:divBdr>
    </w:div>
    <w:div w:id="1624194691">
      <w:marLeft w:val="0"/>
      <w:marRight w:val="0"/>
      <w:marTop w:val="0"/>
      <w:marBottom w:val="0"/>
      <w:divBdr>
        <w:top w:val="none" w:sz="0" w:space="0" w:color="auto"/>
        <w:left w:val="none" w:sz="0" w:space="0" w:color="auto"/>
        <w:bottom w:val="none" w:sz="0" w:space="0" w:color="auto"/>
        <w:right w:val="none" w:sz="0" w:space="0" w:color="auto"/>
      </w:divBdr>
    </w:div>
    <w:div w:id="1624194692">
      <w:marLeft w:val="0"/>
      <w:marRight w:val="0"/>
      <w:marTop w:val="0"/>
      <w:marBottom w:val="0"/>
      <w:divBdr>
        <w:top w:val="none" w:sz="0" w:space="0" w:color="auto"/>
        <w:left w:val="none" w:sz="0" w:space="0" w:color="auto"/>
        <w:bottom w:val="none" w:sz="0" w:space="0" w:color="auto"/>
        <w:right w:val="none" w:sz="0" w:space="0" w:color="auto"/>
      </w:divBdr>
    </w:div>
    <w:div w:id="1624194693">
      <w:marLeft w:val="0"/>
      <w:marRight w:val="0"/>
      <w:marTop w:val="0"/>
      <w:marBottom w:val="0"/>
      <w:divBdr>
        <w:top w:val="none" w:sz="0" w:space="0" w:color="auto"/>
        <w:left w:val="none" w:sz="0" w:space="0" w:color="auto"/>
        <w:bottom w:val="none" w:sz="0" w:space="0" w:color="auto"/>
        <w:right w:val="none" w:sz="0" w:space="0" w:color="auto"/>
      </w:divBdr>
    </w:div>
    <w:div w:id="1624194694">
      <w:marLeft w:val="0"/>
      <w:marRight w:val="0"/>
      <w:marTop w:val="0"/>
      <w:marBottom w:val="0"/>
      <w:divBdr>
        <w:top w:val="none" w:sz="0" w:space="0" w:color="auto"/>
        <w:left w:val="none" w:sz="0" w:space="0" w:color="auto"/>
        <w:bottom w:val="none" w:sz="0" w:space="0" w:color="auto"/>
        <w:right w:val="none" w:sz="0" w:space="0" w:color="auto"/>
      </w:divBdr>
    </w:div>
    <w:div w:id="1624194695">
      <w:marLeft w:val="0"/>
      <w:marRight w:val="0"/>
      <w:marTop w:val="0"/>
      <w:marBottom w:val="0"/>
      <w:divBdr>
        <w:top w:val="none" w:sz="0" w:space="0" w:color="auto"/>
        <w:left w:val="none" w:sz="0" w:space="0" w:color="auto"/>
        <w:bottom w:val="none" w:sz="0" w:space="0" w:color="auto"/>
        <w:right w:val="none" w:sz="0" w:space="0" w:color="auto"/>
      </w:divBdr>
    </w:div>
    <w:div w:id="1624194696">
      <w:marLeft w:val="0"/>
      <w:marRight w:val="0"/>
      <w:marTop w:val="0"/>
      <w:marBottom w:val="0"/>
      <w:divBdr>
        <w:top w:val="none" w:sz="0" w:space="0" w:color="auto"/>
        <w:left w:val="none" w:sz="0" w:space="0" w:color="auto"/>
        <w:bottom w:val="none" w:sz="0" w:space="0" w:color="auto"/>
        <w:right w:val="none" w:sz="0" w:space="0" w:color="auto"/>
      </w:divBdr>
    </w:div>
    <w:div w:id="1624194697">
      <w:marLeft w:val="0"/>
      <w:marRight w:val="0"/>
      <w:marTop w:val="0"/>
      <w:marBottom w:val="0"/>
      <w:divBdr>
        <w:top w:val="none" w:sz="0" w:space="0" w:color="auto"/>
        <w:left w:val="none" w:sz="0" w:space="0" w:color="auto"/>
        <w:bottom w:val="none" w:sz="0" w:space="0" w:color="auto"/>
        <w:right w:val="none" w:sz="0" w:space="0" w:color="auto"/>
      </w:divBdr>
    </w:div>
    <w:div w:id="1624194698">
      <w:marLeft w:val="0"/>
      <w:marRight w:val="0"/>
      <w:marTop w:val="0"/>
      <w:marBottom w:val="0"/>
      <w:divBdr>
        <w:top w:val="none" w:sz="0" w:space="0" w:color="auto"/>
        <w:left w:val="none" w:sz="0" w:space="0" w:color="auto"/>
        <w:bottom w:val="none" w:sz="0" w:space="0" w:color="auto"/>
        <w:right w:val="none" w:sz="0" w:space="0" w:color="auto"/>
      </w:divBdr>
    </w:div>
    <w:div w:id="1624194699">
      <w:marLeft w:val="0"/>
      <w:marRight w:val="0"/>
      <w:marTop w:val="0"/>
      <w:marBottom w:val="0"/>
      <w:divBdr>
        <w:top w:val="none" w:sz="0" w:space="0" w:color="auto"/>
        <w:left w:val="none" w:sz="0" w:space="0" w:color="auto"/>
        <w:bottom w:val="none" w:sz="0" w:space="0" w:color="auto"/>
        <w:right w:val="none" w:sz="0" w:space="0" w:color="auto"/>
      </w:divBdr>
    </w:div>
    <w:div w:id="1624194700">
      <w:marLeft w:val="0"/>
      <w:marRight w:val="0"/>
      <w:marTop w:val="0"/>
      <w:marBottom w:val="0"/>
      <w:divBdr>
        <w:top w:val="none" w:sz="0" w:space="0" w:color="auto"/>
        <w:left w:val="none" w:sz="0" w:space="0" w:color="auto"/>
        <w:bottom w:val="none" w:sz="0" w:space="0" w:color="auto"/>
        <w:right w:val="none" w:sz="0" w:space="0" w:color="auto"/>
      </w:divBdr>
    </w:div>
    <w:div w:id="1624194701">
      <w:marLeft w:val="0"/>
      <w:marRight w:val="0"/>
      <w:marTop w:val="0"/>
      <w:marBottom w:val="0"/>
      <w:divBdr>
        <w:top w:val="none" w:sz="0" w:space="0" w:color="auto"/>
        <w:left w:val="none" w:sz="0" w:space="0" w:color="auto"/>
        <w:bottom w:val="none" w:sz="0" w:space="0" w:color="auto"/>
        <w:right w:val="none" w:sz="0" w:space="0" w:color="auto"/>
      </w:divBdr>
    </w:div>
    <w:div w:id="1624194702">
      <w:marLeft w:val="0"/>
      <w:marRight w:val="0"/>
      <w:marTop w:val="0"/>
      <w:marBottom w:val="0"/>
      <w:divBdr>
        <w:top w:val="none" w:sz="0" w:space="0" w:color="auto"/>
        <w:left w:val="none" w:sz="0" w:space="0" w:color="auto"/>
        <w:bottom w:val="none" w:sz="0" w:space="0" w:color="auto"/>
        <w:right w:val="none" w:sz="0" w:space="0" w:color="auto"/>
      </w:divBdr>
    </w:div>
    <w:div w:id="1624194703">
      <w:marLeft w:val="0"/>
      <w:marRight w:val="0"/>
      <w:marTop w:val="0"/>
      <w:marBottom w:val="0"/>
      <w:divBdr>
        <w:top w:val="none" w:sz="0" w:space="0" w:color="auto"/>
        <w:left w:val="none" w:sz="0" w:space="0" w:color="auto"/>
        <w:bottom w:val="none" w:sz="0" w:space="0" w:color="auto"/>
        <w:right w:val="none" w:sz="0" w:space="0" w:color="auto"/>
      </w:divBdr>
    </w:div>
    <w:div w:id="1624194704">
      <w:marLeft w:val="0"/>
      <w:marRight w:val="0"/>
      <w:marTop w:val="0"/>
      <w:marBottom w:val="0"/>
      <w:divBdr>
        <w:top w:val="none" w:sz="0" w:space="0" w:color="auto"/>
        <w:left w:val="none" w:sz="0" w:space="0" w:color="auto"/>
        <w:bottom w:val="none" w:sz="0" w:space="0" w:color="auto"/>
        <w:right w:val="none" w:sz="0" w:space="0" w:color="auto"/>
      </w:divBdr>
    </w:div>
    <w:div w:id="1624194705">
      <w:marLeft w:val="0"/>
      <w:marRight w:val="0"/>
      <w:marTop w:val="0"/>
      <w:marBottom w:val="0"/>
      <w:divBdr>
        <w:top w:val="none" w:sz="0" w:space="0" w:color="auto"/>
        <w:left w:val="none" w:sz="0" w:space="0" w:color="auto"/>
        <w:bottom w:val="none" w:sz="0" w:space="0" w:color="auto"/>
        <w:right w:val="none" w:sz="0" w:space="0" w:color="auto"/>
      </w:divBdr>
    </w:div>
    <w:div w:id="1624194706">
      <w:marLeft w:val="0"/>
      <w:marRight w:val="0"/>
      <w:marTop w:val="0"/>
      <w:marBottom w:val="0"/>
      <w:divBdr>
        <w:top w:val="none" w:sz="0" w:space="0" w:color="auto"/>
        <w:left w:val="none" w:sz="0" w:space="0" w:color="auto"/>
        <w:bottom w:val="none" w:sz="0" w:space="0" w:color="auto"/>
        <w:right w:val="none" w:sz="0" w:space="0" w:color="auto"/>
      </w:divBdr>
    </w:div>
    <w:div w:id="1624194707">
      <w:marLeft w:val="0"/>
      <w:marRight w:val="0"/>
      <w:marTop w:val="0"/>
      <w:marBottom w:val="0"/>
      <w:divBdr>
        <w:top w:val="none" w:sz="0" w:space="0" w:color="auto"/>
        <w:left w:val="none" w:sz="0" w:space="0" w:color="auto"/>
        <w:bottom w:val="none" w:sz="0" w:space="0" w:color="auto"/>
        <w:right w:val="none" w:sz="0" w:space="0" w:color="auto"/>
      </w:divBdr>
    </w:div>
    <w:div w:id="1624194708">
      <w:marLeft w:val="0"/>
      <w:marRight w:val="0"/>
      <w:marTop w:val="0"/>
      <w:marBottom w:val="0"/>
      <w:divBdr>
        <w:top w:val="none" w:sz="0" w:space="0" w:color="auto"/>
        <w:left w:val="none" w:sz="0" w:space="0" w:color="auto"/>
        <w:bottom w:val="none" w:sz="0" w:space="0" w:color="auto"/>
        <w:right w:val="none" w:sz="0" w:space="0" w:color="auto"/>
      </w:divBdr>
    </w:div>
    <w:div w:id="1624194709">
      <w:marLeft w:val="0"/>
      <w:marRight w:val="0"/>
      <w:marTop w:val="0"/>
      <w:marBottom w:val="0"/>
      <w:divBdr>
        <w:top w:val="none" w:sz="0" w:space="0" w:color="auto"/>
        <w:left w:val="none" w:sz="0" w:space="0" w:color="auto"/>
        <w:bottom w:val="none" w:sz="0" w:space="0" w:color="auto"/>
        <w:right w:val="none" w:sz="0" w:space="0" w:color="auto"/>
      </w:divBdr>
    </w:div>
    <w:div w:id="1624194710">
      <w:marLeft w:val="0"/>
      <w:marRight w:val="0"/>
      <w:marTop w:val="0"/>
      <w:marBottom w:val="0"/>
      <w:divBdr>
        <w:top w:val="none" w:sz="0" w:space="0" w:color="auto"/>
        <w:left w:val="none" w:sz="0" w:space="0" w:color="auto"/>
        <w:bottom w:val="none" w:sz="0" w:space="0" w:color="auto"/>
        <w:right w:val="none" w:sz="0" w:space="0" w:color="auto"/>
      </w:divBdr>
    </w:div>
    <w:div w:id="1624194711">
      <w:marLeft w:val="0"/>
      <w:marRight w:val="0"/>
      <w:marTop w:val="0"/>
      <w:marBottom w:val="0"/>
      <w:divBdr>
        <w:top w:val="none" w:sz="0" w:space="0" w:color="auto"/>
        <w:left w:val="none" w:sz="0" w:space="0" w:color="auto"/>
        <w:bottom w:val="none" w:sz="0" w:space="0" w:color="auto"/>
        <w:right w:val="none" w:sz="0" w:space="0" w:color="auto"/>
      </w:divBdr>
    </w:div>
    <w:div w:id="1624194712">
      <w:marLeft w:val="0"/>
      <w:marRight w:val="0"/>
      <w:marTop w:val="0"/>
      <w:marBottom w:val="0"/>
      <w:divBdr>
        <w:top w:val="none" w:sz="0" w:space="0" w:color="auto"/>
        <w:left w:val="none" w:sz="0" w:space="0" w:color="auto"/>
        <w:bottom w:val="none" w:sz="0" w:space="0" w:color="auto"/>
        <w:right w:val="none" w:sz="0" w:space="0" w:color="auto"/>
      </w:divBdr>
    </w:div>
    <w:div w:id="1624194713">
      <w:marLeft w:val="0"/>
      <w:marRight w:val="0"/>
      <w:marTop w:val="0"/>
      <w:marBottom w:val="0"/>
      <w:divBdr>
        <w:top w:val="none" w:sz="0" w:space="0" w:color="auto"/>
        <w:left w:val="none" w:sz="0" w:space="0" w:color="auto"/>
        <w:bottom w:val="none" w:sz="0" w:space="0" w:color="auto"/>
        <w:right w:val="none" w:sz="0" w:space="0" w:color="auto"/>
      </w:divBdr>
    </w:div>
    <w:div w:id="1624194714">
      <w:marLeft w:val="0"/>
      <w:marRight w:val="0"/>
      <w:marTop w:val="0"/>
      <w:marBottom w:val="0"/>
      <w:divBdr>
        <w:top w:val="none" w:sz="0" w:space="0" w:color="auto"/>
        <w:left w:val="none" w:sz="0" w:space="0" w:color="auto"/>
        <w:bottom w:val="none" w:sz="0" w:space="0" w:color="auto"/>
        <w:right w:val="none" w:sz="0" w:space="0" w:color="auto"/>
      </w:divBdr>
    </w:div>
    <w:div w:id="1624194715">
      <w:marLeft w:val="0"/>
      <w:marRight w:val="0"/>
      <w:marTop w:val="0"/>
      <w:marBottom w:val="0"/>
      <w:divBdr>
        <w:top w:val="none" w:sz="0" w:space="0" w:color="auto"/>
        <w:left w:val="none" w:sz="0" w:space="0" w:color="auto"/>
        <w:bottom w:val="none" w:sz="0" w:space="0" w:color="auto"/>
        <w:right w:val="none" w:sz="0" w:space="0" w:color="auto"/>
      </w:divBdr>
    </w:div>
    <w:div w:id="1624194716">
      <w:marLeft w:val="0"/>
      <w:marRight w:val="0"/>
      <w:marTop w:val="0"/>
      <w:marBottom w:val="0"/>
      <w:divBdr>
        <w:top w:val="none" w:sz="0" w:space="0" w:color="auto"/>
        <w:left w:val="none" w:sz="0" w:space="0" w:color="auto"/>
        <w:bottom w:val="none" w:sz="0" w:space="0" w:color="auto"/>
        <w:right w:val="none" w:sz="0" w:space="0" w:color="auto"/>
      </w:divBdr>
    </w:div>
    <w:div w:id="1624194717">
      <w:marLeft w:val="0"/>
      <w:marRight w:val="0"/>
      <w:marTop w:val="0"/>
      <w:marBottom w:val="0"/>
      <w:divBdr>
        <w:top w:val="none" w:sz="0" w:space="0" w:color="auto"/>
        <w:left w:val="none" w:sz="0" w:space="0" w:color="auto"/>
        <w:bottom w:val="none" w:sz="0" w:space="0" w:color="auto"/>
        <w:right w:val="none" w:sz="0" w:space="0" w:color="auto"/>
      </w:divBdr>
    </w:div>
    <w:div w:id="1624194718">
      <w:marLeft w:val="0"/>
      <w:marRight w:val="0"/>
      <w:marTop w:val="0"/>
      <w:marBottom w:val="0"/>
      <w:divBdr>
        <w:top w:val="none" w:sz="0" w:space="0" w:color="auto"/>
        <w:left w:val="none" w:sz="0" w:space="0" w:color="auto"/>
        <w:bottom w:val="none" w:sz="0" w:space="0" w:color="auto"/>
        <w:right w:val="none" w:sz="0" w:space="0" w:color="auto"/>
      </w:divBdr>
    </w:div>
    <w:div w:id="1624194719">
      <w:marLeft w:val="0"/>
      <w:marRight w:val="0"/>
      <w:marTop w:val="0"/>
      <w:marBottom w:val="0"/>
      <w:divBdr>
        <w:top w:val="none" w:sz="0" w:space="0" w:color="auto"/>
        <w:left w:val="none" w:sz="0" w:space="0" w:color="auto"/>
        <w:bottom w:val="none" w:sz="0" w:space="0" w:color="auto"/>
        <w:right w:val="none" w:sz="0" w:space="0" w:color="auto"/>
      </w:divBdr>
    </w:div>
    <w:div w:id="1624194720">
      <w:marLeft w:val="0"/>
      <w:marRight w:val="0"/>
      <w:marTop w:val="0"/>
      <w:marBottom w:val="0"/>
      <w:divBdr>
        <w:top w:val="none" w:sz="0" w:space="0" w:color="auto"/>
        <w:left w:val="none" w:sz="0" w:space="0" w:color="auto"/>
        <w:bottom w:val="none" w:sz="0" w:space="0" w:color="auto"/>
        <w:right w:val="none" w:sz="0" w:space="0" w:color="auto"/>
      </w:divBdr>
    </w:div>
    <w:div w:id="1624194721">
      <w:marLeft w:val="0"/>
      <w:marRight w:val="0"/>
      <w:marTop w:val="0"/>
      <w:marBottom w:val="0"/>
      <w:divBdr>
        <w:top w:val="none" w:sz="0" w:space="0" w:color="auto"/>
        <w:left w:val="none" w:sz="0" w:space="0" w:color="auto"/>
        <w:bottom w:val="none" w:sz="0" w:space="0" w:color="auto"/>
        <w:right w:val="none" w:sz="0" w:space="0" w:color="auto"/>
      </w:divBdr>
    </w:div>
    <w:div w:id="1624194722">
      <w:marLeft w:val="0"/>
      <w:marRight w:val="0"/>
      <w:marTop w:val="0"/>
      <w:marBottom w:val="0"/>
      <w:divBdr>
        <w:top w:val="none" w:sz="0" w:space="0" w:color="auto"/>
        <w:left w:val="none" w:sz="0" w:space="0" w:color="auto"/>
        <w:bottom w:val="none" w:sz="0" w:space="0" w:color="auto"/>
        <w:right w:val="none" w:sz="0" w:space="0" w:color="auto"/>
      </w:divBdr>
    </w:div>
    <w:div w:id="1624194723">
      <w:marLeft w:val="0"/>
      <w:marRight w:val="0"/>
      <w:marTop w:val="0"/>
      <w:marBottom w:val="0"/>
      <w:divBdr>
        <w:top w:val="none" w:sz="0" w:space="0" w:color="auto"/>
        <w:left w:val="none" w:sz="0" w:space="0" w:color="auto"/>
        <w:bottom w:val="none" w:sz="0" w:space="0" w:color="auto"/>
        <w:right w:val="none" w:sz="0" w:space="0" w:color="auto"/>
      </w:divBdr>
    </w:div>
    <w:div w:id="1624194724">
      <w:marLeft w:val="0"/>
      <w:marRight w:val="0"/>
      <w:marTop w:val="0"/>
      <w:marBottom w:val="0"/>
      <w:divBdr>
        <w:top w:val="none" w:sz="0" w:space="0" w:color="auto"/>
        <w:left w:val="none" w:sz="0" w:space="0" w:color="auto"/>
        <w:bottom w:val="none" w:sz="0" w:space="0" w:color="auto"/>
        <w:right w:val="none" w:sz="0" w:space="0" w:color="auto"/>
      </w:divBdr>
    </w:div>
    <w:div w:id="1624194725">
      <w:marLeft w:val="0"/>
      <w:marRight w:val="0"/>
      <w:marTop w:val="0"/>
      <w:marBottom w:val="0"/>
      <w:divBdr>
        <w:top w:val="none" w:sz="0" w:space="0" w:color="auto"/>
        <w:left w:val="none" w:sz="0" w:space="0" w:color="auto"/>
        <w:bottom w:val="none" w:sz="0" w:space="0" w:color="auto"/>
        <w:right w:val="none" w:sz="0" w:space="0" w:color="auto"/>
      </w:divBdr>
    </w:div>
    <w:div w:id="1624194726">
      <w:marLeft w:val="0"/>
      <w:marRight w:val="0"/>
      <w:marTop w:val="0"/>
      <w:marBottom w:val="0"/>
      <w:divBdr>
        <w:top w:val="none" w:sz="0" w:space="0" w:color="auto"/>
        <w:left w:val="none" w:sz="0" w:space="0" w:color="auto"/>
        <w:bottom w:val="none" w:sz="0" w:space="0" w:color="auto"/>
        <w:right w:val="none" w:sz="0" w:space="0" w:color="auto"/>
      </w:divBdr>
    </w:div>
    <w:div w:id="1624194727">
      <w:marLeft w:val="0"/>
      <w:marRight w:val="0"/>
      <w:marTop w:val="0"/>
      <w:marBottom w:val="0"/>
      <w:divBdr>
        <w:top w:val="none" w:sz="0" w:space="0" w:color="auto"/>
        <w:left w:val="none" w:sz="0" w:space="0" w:color="auto"/>
        <w:bottom w:val="none" w:sz="0" w:space="0" w:color="auto"/>
        <w:right w:val="none" w:sz="0" w:space="0" w:color="auto"/>
      </w:divBdr>
    </w:div>
    <w:div w:id="1624194728">
      <w:marLeft w:val="0"/>
      <w:marRight w:val="0"/>
      <w:marTop w:val="0"/>
      <w:marBottom w:val="0"/>
      <w:divBdr>
        <w:top w:val="none" w:sz="0" w:space="0" w:color="auto"/>
        <w:left w:val="none" w:sz="0" w:space="0" w:color="auto"/>
        <w:bottom w:val="none" w:sz="0" w:space="0" w:color="auto"/>
        <w:right w:val="none" w:sz="0" w:space="0" w:color="auto"/>
      </w:divBdr>
    </w:div>
    <w:div w:id="1624194729">
      <w:marLeft w:val="0"/>
      <w:marRight w:val="0"/>
      <w:marTop w:val="0"/>
      <w:marBottom w:val="0"/>
      <w:divBdr>
        <w:top w:val="none" w:sz="0" w:space="0" w:color="auto"/>
        <w:left w:val="none" w:sz="0" w:space="0" w:color="auto"/>
        <w:bottom w:val="none" w:sz="0" w:space="0" w:color="auto"/>
        <w:right w:val="none" w:sz="0" w:space="0" w:color="auto"/>
      </w:divBdr>
    </w:div>
    <w:div w:id="1624194730">
      <w:marLeft w:val="0"/>
      <w:marRight w:val="0"/>
      <w:marTop w:val="0"/>
      <w:marBottom w:val="0"/>
      <w:divBdr>
        <w:top w:val="none" w:sz="0" w:space="0" w:color="auto"/>
        <w:left w:val="none" w:sz="0" w:space="0" w:color="auto"/>
        <w:bottom w:val="none" w:sz="0" w:space="0" w:color="auto"/>
        <w:right w:val="none" w:sz="0" w:space="0" w:color="auto"/>
      </w:divBdr>
    </w:div>
    <w:div w:id="1624194731">
      <w:marLeft w:val="0"/>
      <w:marRight w:val="0"/>
      <w:marTop w:val="0"/>
      <w:marBottom w:val="0"/>
      <w:divBdr>
        <w:top w:val="none" w:sz="0" w:space="0" w:color="auto"/>
        <w:left w:val="none" w:sz="0" w:space="0" w:color="auto"/>
        <w:bottom w:val="none" w:sz="0" w:space="0" w:color="auto"/>
        <w:right w:val="none" w:sz="0" w:space="0" w:color="auto"/>
      </w:divBdr>
    </w:div>
    <w:div w:id="1624194732">
      <w:marLeft w:val="0"/>
      <w:marRight w:val="0"/>
      <w:marTop w:val="0"/>
      <w:marBottom w:val="0"/>
      <w:divBdr>
        <w:top w:val="none" w:sz="0" w:space="0" w:color="auto"/>
        <w:left w:val="none" w:sz="0" w:space="0" w:color="auto"/>
        <w:bottom w:val="none" w:sz="0" w:space="0" w:color="auto"/>
        <w:right w:val="none" w:sz="0" w:space="0" w:color="auto"/>
      </w:divBdr>
    </w:div>
    <w:div w:id="1624194733">
      <w:marLeft w:val="0"/>
      <w:marRight w:val="0"/>
      <w:marTop w:val="0"/>
      <w:marBottom w:val="0"/>
      <w:divBdr>
        <w:top w:val="none" w:sz="0" w:space="0" w:color="auto"/>
        <w:left w:val="none" w:sz="0" w:space="0" w:color="auto"/>
        <w:bottom w:val="none" w:sz="0" w:space="0" w:color="auto"/>
        <w:right w:val="none" w:sz="0" w:space="0" w:color="auto"/>
      </w:divBdr>
    </w:div>
    <w:div w:id="1624194734">
      <w:marLeft w:val="0"/>
      <w:marRight w:val="0"/>
      <w:marTop w:val="0"/>
      <w:marBottom w:val="0"/>
      <w:divBdr>
        <w:top w:val="none" w:sz="0" w:space="0" w:color="auto"/>
        <w:left w:val="none" w:sz="0" w:space="0" w:color="auto"/>
        <w:bottom w:val="none" w:sz="0" w:space="0" w:color="auto"/>
        <w:right w:val="none" w:sz="0" w:space="0" w:color="auto"/>
      </w:divBdr>
    </w:div>
    <w:div w:id="1624194735">
      <w:marLeft w:val="0"/>
      <w:marRight w:val="0"/>
      <w:marTop w:val="0"/>
      <w:marBottom w:val="0"/>
      <w:divBdr>
        <w:top w:val="none" w:sz="0" w:space="0" w:color="auto"/>
        <w:left w:val="none" w:sz="0" w:space="0" w:color="auto"/>
        <w:bottom w:val="none" w:sz="0" w:space="0" w:color="auto"/>
        <w:right w:val="none" w:sz="0" w:space="0" w:color="auto"/>
      </w:divBdr>
    </w:div>
    <w:div w:id="1624194736">
      <w:marLeft w:val="0"/>
      <w:marRight w:val="0"/>
      <w:marTop w:val="0"/>
      <w:marBottom w:val="0"/>
      <w:divBdr>
        <w:top w:val="none" w:sz="0" w:space="0" w:color="auto"/>
        <w:left w:val="none" w:sz="0" w:space="0" w:color="auto"/>
        <w:bottom w:val="none" w:sz="0" w:space="0" w:color="auto"/>
        <w:right w:val="none" w:sz="0" w:space="0" w:color="auto"/>
      </w:divBdr>
    </w:div>
    <w:div w:id="1624194737">
      <w:marLeft w:val="0"/>
      <w:marRight w:val="0"/>
      <w:marTop w:val="0"/>
      <w:marBottom w:val="0"/>
      <w:divBdr>
        <w:top w:val="none" w:sz="0" w:space="0" w:color="auto"/>
        <w:left w:val="none" w:sz="0" w:space="0" w:color="auto"/>
        <w:bottom w:val="none" w:sz="0" w:space="0" w:color="auto"/>
        <w:right w:val="none" w:sz="0" w:space="0" w:color="auto"/>
      </w:divBdr>
    </w:div>
    <w:div w:id="1624194738">
      <w:marLeft w:val="0"/>
      <w:marRight w:val="0"/>
      <w:marTop w:val="0"/>
      <w:marBottom w:val="0"/>
      <w:divBdr>
        <w:top w:val="none" w:sz="0" w:space="0" w:color="auto"/>
        <w:left w:val="none" w:sz="0" w:space="0" w:color="auto"/>
        <w:bottom w:val="none" w:sz="0" w:space="0" w:color="auto"/>
        <w:right w:val="none" w:sz="0" w:space="0" w:color="auto"/>
      </w:divBdr>
    </w:div>
    <w:div w:id="1624194739">
      <w:marLeft w:val="0"/>
      <w:marRight w:val="0"/>
      <w:marTop w:val="0"/>
      <w:marBottom w:val="0"/>
      <w:divBdr>
        <w:top w:val="none" w:sz="0" w:space="0" w:color="auto"/>
        <w:left w:val="none" w:sz="0" w:space="0" w:color="auto"/>
        <w:bottom w:val="none" w:sz="0" w:space="0" w:color="auto"/>
        <w:right w:val="none" w:sz="0" w:space="0" w:color="auto"/>
      </w:divBdr>
    </w:div>
    <w:div w:id="1624194740">
      <w:marLeft w:val="0"/>
      <w:marRight w:val="0"/>
      <w:marTop w:val="0"/>
      <w:marBottom w:val="0"/>
      <w:divBdr>
        <w:top w:val="none" w:sz="0" w:space="0" w:color="auto"/>
        <w:left w:val="none" w:sz="0" w:space="0" w:color="auto"/>
        <w:bottom w:val="none" w:sz="0" w:space="0" w:color="auto"/>
        <w:right w:val="none" w:sz="0" w:space="0" w:color="auto"/>
      </w:divBdr>
    </w:div>
    <w:div w:id="1624194741">
      <w:marLeft w:val="0"/>
      <w:marRight w:val="0"/>
      <w:marTop w:val="0"/>
      <w:marBottom w:val="0"/>
      <w:divBdr>
        <w:top w:val="none" w:sz="0" w:space="0" w:color="auto"/>
        <w:left w:val="none" w:sz="0" w:space="0" w:color="auto"/>
        <w:bottom w:val="none" w:sz="0" w:space="0" w:color="auto"/>
        <w:right w:val="none" w:sz="0" w:space="0" w:color="auto"/>
      </w:divBdr>
    </w:div>
    <w:div w:id="1624194742">
      <w:marLeft w:val="0"/>
      <w:marRight w:val="0"/>
      <w:marTop w:val="0"/>
      <w:marBottom w:val="0"/>
      <w:divBdr>
        <w:top w:val="none" w:sz="0" w:space="0" w:color="auto"/>
        <w:left w:val="none" w:sz="0" w:space="0" w:color="auto"/>
        <w:bottom w:val="none" w:sz="0" w:space="0" w:color="auto"/>
        <w:right w:val="none" w:sz="0" w:space="0" w:color="auto"/>
      </w:divBdr>
    </w:div>
    <w:div w:id="1624194743">
      <w:marLeft w:val="0"/>
      <w:marRight w:val="0"/>
      <w:marTop w:val="0"/>
      <w:marBottom w:val="0"/>
      <w:divBdr>
        <w:top w:val="none" w:sz="0" w:space="0" w:color="auto"/>
        <w:left w:val="none" w:sz="0" w:space="0" w:color="auto"/>
        <w:bottom w:val="none" w:sz="0" w:space="0" w:color="auto"/>
        <w:right w:val="none" w:sz="0" w:space="0" w:color="auto"/>
      </w:divBdr>
    </w:div>
    <w:div w:id="1624194744">
      <w:marLeft w:val="0"/>
      <w:marRight w:val="0"/>
      <w:marTop w:val="0"/>
      <w:marBottom w:val="0"/>
      <w:divBdr>
        <w:top w:val="none" w:sz="0" w:space="0" w:color="auto"/>
        <w:left w:val="none" w:sz="0" w:space="0" w:color="auto"/>
        <w:bottom w:val="none" w:sz="0" w:space="0" w:color="auto"/>
        <w:right w:val="none" w:sz="0" w:space="0" w:color="auto"/>
      </w:divBdr>
    </w:div>
    <w:div w:id="1624194745">
      <w:marLeft w:val="0"/>
      <w:marRight w:val="0"/>
      <w:marTop w:val="0"/>
      <w:marBottom w:val="0"/>
      <w:divBdr>
        <w:top w:val="none" w:sz="0" w:space="0" w:color="auto"/>
        <w:left w:val="none" w:sz="0" w:space="0" w:color="auto"/>
        <w:bottom w:val="none" w:sz="0" w:space="0" w:color="auto"/>
        <w:right w:val="none" w:sz="0" w:space="0" w:color="auto"/>
      </w:divBdr>
    </w:div>
    <w:div w:id="1624194746">
      <w:marLeft w:val="0"/>
      <w:marRight w:val="0"/>
      <w:marTop w:val="0"/>
      <w:marBottom w:val="0"/>
      <w:divBdr>
        <w:top w:val="none" w:sz="0" w:space="0" w:color="auto"/>
        <w:left w:val="none" w:sz="0" w:space="0" w:color="auto"/>
        <w:bottom w:val="none" w:sz="0" w:space="0" w:color="auto"/>
        <w:right w:val="none" w:sz="0" w:space="0" w:color="auto"/>
      </w:divBdr>
    </w:div>
    <w:div w:id="1624194747">
      <w:marLeft w:val="0"/>
      <w:marRight w:val="0"/>
      <w:marTop w:val="0"/>
      <w:marBottom w:val="0"/>
      <w:divBdr>
        <w:top w:val="none" w:sz="0" w:space="0" w:color="auto"/>
        <w:left w:val="none" w:sz="0" w:space="0" w:color="auto"/>
        <w:bottom w:val="none" w:sz="0" w:space="0" w:color="auto"/>
        <w:right w:val="none" w:sz="0" w:space="0" w:color="auto"/>
      </w:divBdr>
    </w:div>
    <w:div w:id="1624194748">
      <w:marLeft w:val="0"/>
      <w:marRight w:val="0"/>
      <w:marTop w:val="0"/>
      <w:marBottom w:val="0"/>
      <w:divBdr>
        <w:top w:val="none" w:sz="0" w:space="0" w:color="auto"/>
        <w:left w:val="none" w:sz="0" w:space="0" w:color="auto"/>
        <w:bottom w:val="none" w:sz="0" w:space="0" w:color="auto"/>
        <w:right w:val="none" w:sz="0" w:space="0" w:color="auto"/>
      </w:divBdr>
    </w:div>
    <w:div w:id="1624194749">
      <w:marLeft w:val="0"/>
      <w:marRight w:val="0"/>
      <w:marTop w:val="0"/>
      <w:marBottom w:val="0"/>
      <w:divBdr>
        <w:top w:val="none" w:sz="0" w:space="0" w:color="auto"/>
        <w:left w:val="none" w:sz="0" w:space="0" w:color="auto"/>
        <w:bottom w:val="none" w:sz="0" w:space="0" w:color="auto"/>
        <w:right w:val="none" w:sz="0" w:space="0" w:color="auto"/>
      </w:divBdr>
    </w:div>
    <w:div w:id="1624194750">
      <w:marLeft w:val="0"/>
      <w:marRight w:val="0"/>
      <w:marTop w:val="0"/>
      <w:marBottom w:val="0"/>
      <w:divBdr>
        <w:top w:val="none" w:sz="0" w:space="0" w:color="auto"/>
        <w:left w:val="none" w:sz="0" w:space="0" w:color="auto"/>
        <w:bottom w:val="none" w:sz="0" w:space="0" w:color="auto"/>
        <w:right w:val="none" w:sz="0" w:space="0" w:color="auto"/>
      </w:divBdr>
    </w:div>
    <w:div w:id="1624194751">
      <w:marLeft w:val="0"/>
      <w:marRight w:val="0"/>
      <w:marTop w:val="0"/>
      <w:marBottom w:val="0"/>
      <w:divBdr>
        <w:top w:val="none" w:sz="0" w:space="0" w:color="auto"/>
        <w:left w:val="none" w:sz="0" w:space="0" w:color="auto"/>
        <w:bottom w:val="none" w:sz="0" w:space="0" w:color="auto"/>
        <w:right w:val="none" w:sz="0" w:space="0" w:color="auto"/>
      </w:divBdr>
    </w:div>
    <w:div w:id="1624194752">
      <w:marLeft w:val="0"/>
      <w:marRight w:val="0"/>
      <w:marTop w:val="0"/>
      <w:marBottom w:val="0"/>
      <w:divBdr>
        <w:top w:val="none" w:sz="0" w:space="0" w:color="auto"/>
        <w:left w:val="none" w:sz="0" w:space="0" w:color="auto"/>
        <w:bottom w:val="none" w:sz="0" w:space="0" w:color="auto"/>
        <w:right w:val="none" w:sz="0" w:space="0" w:color="auto"/>
      </w:divBdr>
    </w:div>
    <w:div w:id="1624194753">
      <w:marLeft w:val="0"/>
      <w:marRight w:val="0"/>
      <w:marTop w:val="0"/>
      <w:marBottom w:val="0"/>
      <w:divBdr>
        <w:top w:val="none" w:sz="0" w:space="0" w:color="auto"/>
        <w:left w:val="none" w:sz="0" w:space="0" w:color="auto"/>
        <w:bottom w:val="none" w:sz="0" w:space="0" w:color="auto"/>
        <w:right w:val="none" w:sz="0" w:space="0" w:color="auto"/>
      </w:divBdr>
    </w:div>
    <w:div w:id="1624194754">
      <w:marLeft w:val="0"/>
      <w:marRight w:val="0"/>
      <w:marTop w:val="0"/>
      <w:marBottom w:val="0"/>
      <w:divBdr>
        <w:top w:val="none" w:sz="0" w:space="0" w:color="auto"/>
        <w:left w:val="none" w:sz="0" w:space="0" w:color="auto"/>
        <w:bottom w:val="none" w:sz="0" w:space="0" w:color="auto"/>
        <w:right w:val="none" w:sz="0" w:space="0" w:color="auto"/>
      </w:divBdr>
    </w:div>
    <w:div w:id="1624194755">
      <w:marLeft w:val="0"/>
      <w:marRight w:val="0"/>
      <w:marTop w:val="0"/>
      <w:marBottom w:val="0"/>
      <w:divBdr>
        <w:top w:val="none" w:sz="0" w:space="0" w:color="auto"/>
        <w:left w:val="none" w:sz="0" w:space="0" w:color="auto"/>
        <w:bottom w:val="none" w:sz="0" w:space="0" w:color="auto"/>
        <w:right w:val="none" w:sz="0" w:space="0" w:color="auto"/>
      </w:divBdr>
    </w:div>
    <w:div w:id="1624194756">
      <w:marLeft w:val="0"/>
      <w:marRight w:val="0"/>
      <w:marTop w:val="0"/>
      <w:marBottom w:val="0"/>
      <w:divBdr>
        <w:top w:val="none" w:sz="0" w:space="0" w:color="auto"/>
        <w:left w:val="none" w:sz="0" w:space="0" w:color="auto"/>
        <w:bottom w:val="none" w:sz="0" w:space="0" w:color="auto"/>
        <w:right w:val="none" w:sz="0" w:space="0" w:color="auto"/>
      </w:divBdr>
    </w:div>
    <w:div w:id="1624194757">
      <w:marLeft w:val="0"/>
      <w:marRight w:val="0"/>
      <w:marTop w:val="0"/>
      <w:marBottom w:val="0"/>
      <w:divBdr>
        <w:top w:val="none" w:sz="0" w:space="0" w:color="auto"/>
        <w:left w:val="none" w:sz="0" w:space="0" w:color="auto"/>
        <w:bottom w:val="none" w:sz="0" w:space="0" w:color="auto"/>
        <w:right w:val="none" w:sz="0" w:space="0" w:color="auto"/>
      </w:divBdr>
    </w:div>
    <w:div w:id="1625770489">
      <w:bodyDiv w:val="1"/>
      <w:marLeft w:val="0"/>
      <w:marRight w:val="0"/>
      <w:marTop w:val="0"/>
      <w:marBottom w:val="0"/>
      <w:divBdr>
        <w:top w:val="none" w:sz="0" w:space="0" w:color="auto"/>
        <w:left w:val="none" w:sz="0" w:space="0" w:color="auto"/>
        <w:bottom w:val="none" w:sz="0" w:space="0" w:color="auto"/>
        <w:right w:val="none" w:sz="0" w:space="0" w:color="auto"/>
      </w:divBdr>
    </w:div>
    <w:div w:id="1626229017">
      <w:bodyDiv w:val="1"/>
      <w:marLeft w:val="0"/>
      <w:marRight w:val="0"/>
      <w:marTop w:val="0"/>
      <w:marBottom w:val="0"/>
      <w:divBdr>
        <w:top w:val="none" w:sz="0" w:space="0" w:color="auto"/>
        <w:left w:val="none" w:sz="0" w:space="0" w:color="auto"/>
        <w:bottom w:val="none" w:sz="0" w:space="0" w:color="auto"/>
        <w:right w:val="none" w:sz="0" w:space="0" w:color="auto"/>
      </w:divBdr>
    </w:div>
    <w:div w:id="1626882754">
      <w:bodyDiv w:val="1"/>
      <w:marLeft w:val="0"/>
      <w:marRight w:val="0"/>
      <w:marTop w:val="0"/>
      <w:marBottom w:val="0"/>
      <w:divBdr>
        <w:top w:val="none" w:sz="0" w:space="0" w:color="auto"/>
        <w:left w:val="none" w:sz="0" w:space="0" w:color="auto"/>
        <w:bottom w:val="none" w:sz="0" w:space="0" w:color="auto"/>
        <w:right w:val="none" w:sz="0" w:space="0" w:color="auto"/>
      </w:divBdr>
    </w:div>
    <w:div w:id="1627615000">
      <w:bodyDiv w:val="1"/>
      <w:marLeft w:val="0"/>
      <w:marRight w:val="0"/>
      <w:marTop w:val="0"/>
      <w:marBottom w:val="0"/>
      <w:divBdr>
        <w:top w:val="none" w:sz="0" w:space="0" w:color="auto"/>
        <w:left w:val="none" w:sz="0" w:space="0" w:color="auto"/>
        <w:bottom w:val="none" w:sz="0" w:space="0" w:color="auto"/>
        <w:right w:val="none" w:sz="0" w:space="0" w:color="auto"/>
      </w:divBdr>
    </w:div>
    <w:div w:id="1627856435">
      <w:bodyDiv w:val="1"/>
      <w:marLeft w:val="0"/>
      <w:marRight w:val="0"/>
      <w:marTop w:val="0"/>
      <w:marBottom w:val="0"/>
      <w:divBdr>
        <w:top w:val="none" w:sz="0" w:space="0" w:color="auto"/>
        <w:left w:val="none" w:sz="0" w:space="0" w:color="auto"/>
        <w:bottom w:val="none" w:sz="0" w:space="0" w:color="auto"/>
        <w:right w:val="none" w:sz="0" w:space="0" w:color="auto"/>
      </w:divBdr>
    </w:div>
    <w:div w:id="1628003367">
      <w:bodyDiv w:val="1"/>
      <w:marLeft w:val="0"/>
      <w:marRight w:val="0"/>
      <w:marTop w:val="0"/>
      <w:marBottom w:val="0"/>
      <w:divBdr>
        <w:top w:val="none" w:sz="0" w:space="0" w:color="auto"/>
        <w:left w:val="none" w:sz="0" w:space="0" w:color="auto"/>
        <w:bottom w:val="none" w:sz="0" w:space="0" w:color="auto"/>
        <w:right w:val="none" w:sz="0" w:space="0" w:color="auto"/>
      </w:divBdr>
    </w:div>
    <w:div w:id="1628045684">
      <w:bodyDiv w:val="1"/>
      <w:marLeft w:val="0"/>
      <w:marRight w:val="0"/>
      <w:marTop w:val="0"/>
      <w:marBottom w:val="0"/>
      <w:divBdr>
        <w:top w:val="none" w:sz="0" w:space="0" w:color="auto"/>
        <w:left w:val="none" w:sz="0" w:space="0" w:color="auto"/>
        <w:bottom w:val="none" w:sz="0" w:space="0" w:color="auto"/>
        <w:right w:val="none" w:sz="0" w:space="0" w:color="auto"/>
      </w:divBdr>
    </w:div>
    <w:div w:id="1628470017">
      <w:bodyDiv w:val="1"/>
      <w:marLeft w:val="0"/>
      <w:marRight w:val="0"/>
      <w:marTop w:val="0"/>
      <w:marBottom w:val="0"/>
      <w:divBdr>
        <w:top w:val="none" w:sz="0" w:space="0" w:color="auto"/>
        <w:left w:val="none" w:sz="0" w:space="0" w:color="auto"/>
        <w:bottom w:val="none" w:sz="0" w:space="0" w:color="auto"/>
        <w:right w:val="none" w:sz="0" w:space="0" w:color="auto"/>
      </w:divBdr>
    </w:div>
    <w:div w:id="1629167033">
      <w:bodyDiv w:val="1"/>
      <w:marLeft w:val="0"/>
      <w:marRight w:val="0"/>
      <w:marTop w:val="0"/>
      <w:marBottom w:val="0"/>
      <w:divBdr>
        <w:top w:val="none" w:sz="0" w:space="0" w:color="auto"/>
        <w:left w:val="none" w:sz="0" w:space="0" w:color="auto"/>
        <w:bottom w:val="none" w:sz="0" w:space="0" w:color="auto"/>
        <w:right w:val="none" w:sz="0" w:space="0" w:color="auto"/>
      </w:divBdr>
    </w:div>
    <w:div w:id="1629242531">
      <w:bodyDiv w:val="1"/>
      <w:marLeft w:val="0"/>
      <w:marRight w:val="0"/>
      <w:marTop w:val="0"/>
      <w:marBottom w:val="0"/>
      <w:divBdr>
        <w:top w:val="none" w:sz="0" w:space="0" w:color="auto"/>
        <w:left w:val="none" w:sz="0" w:space="0" w:color="auto"/>
        <w:bottom w:val="none" w:sz="0" w:space="0" w:color="auto"/>
        <w:right w:val="none" w:sz="0" w:space="0" w:color="auto"/>
      </w:divBdr>
    </w:div>
    <w:div w:id="1629435179">
      <w:bodyDiv w:val="1"/>
      <w:marLeft w:val="0"/>
      <w:marRight w:val="0"/>
      <w:marTop w:val="0"/>
      <w:marBottom w:val="0"/>
      <w:divBdr>
        <w:top w:val="none" w:sz="0" w:space="0" w:color="auto"/>
        <w:left w:val="none" w:sz="0" w:space="0" w:color="auto"/>
        <w:bottom w:val="none" w:sz="0" w:space="0" w:color="auto"/>
        <w:right w:val="none" w:sz="0" w:space="0" w:color="auto"/>
      </w:divBdr>
    </w:div>
    <w:div w:id="1629773361">
      <w:bodyDiv w:val="1"/>
      <w:marLeft w:val="0"/>
      <w:marRight w:val="0"/>
      <w:marTop w:val="0"/>
      <w:marBottom w:val="0"/>
      <w:divBdr>
        <w:top w:val="none" w:sz="0" w:space="0" w:color="auto"/>
        <w:left w:val="none" w:sz="0" w:space="0" w:color="auto"/>
        <w:bottom w:val="none" w:sz="0" w:space="0" w:color="auto"/>
        <w:right w:val="none" w:sz="0" w:space="0" w:color="auto"/>
      </w:divBdr>
    </w:div>
    <w:div w:id="1629818662">
      <w:bodyDiv w:val="1"/>
      <w:marLeft w:val="0"/>
      <w:marRight w:val="0"/>
      <w:marTop w:val="0"/>
      <w:marBottom w:val="0"/>
      <w:divBdr>
        <w:top w:val="none" w:sz="0" w:space="0" w:color="auto"/>
        <w:left w:val="none" w:sz="0" w:space="0" w:color="auto"/>
        <w:bottom w:val="none" w:sz="0" w:space="0" w:color="auto"/>
        <w:right w:val="none" w:sz="0" w:space="0" w:color="auto"/>
      </w:divBdr>
    </w:div>
    <w:div w:id="1630814497">
      <w:bodyDiv w:val="1"/>
      <w:marLeft w:val="0"/>
      <w:marRight w:val="0"/>
      <w:marTop w:val="0"/>
      <w:marBottom w:val="0"/>
      <w:divBdr>
        <w:top w:val="none" w:sz="0" w:space="0" w:color="auto"/>
        <w:left w:val="none" w:sz="0" w:space="0" w:color="auto"/>
        <w:bottom w:val="none" w:sz="0" w:space="0" w:color="auto"/>
        <w:right w:val="none" w:sz="0" w:space="0" w:color="auto"/>
      </w:divBdr>
    </w:div>
    <w:div w:id="1631132247">
      <w:bodyDiv w:val="1"/>
      <w:marLeft w:val="0"/>
      <w:marRight w:val="0"/>
      <w:marTop w:val="0"/>
      <w:marBottom w:val="0"/>
      <w:divBdr>
        <w:top w:val="none" w:sz="0" w:space="0" w:color="auto"/>
        <w:left w:val="none" w:sz="0" w:space="0" w:color="auto"/>
        <w:bottom w:val="none" w:sz="0" w:space="0" w:color="auto"/>
        <w:right w:val="none" w:sz="0" w:space="0" w:color="auto"/>
      </w:divBdr>
    </w:div>
    <w:div w:id="1631282457">
      <w:bodyDiv w:val="1"/>
      <w:marLeft w:val="0"/>
      <w:marRight w:val="0"/>
      <w:marTop w:val="0"/>
      <w:marBottom w:val="0"/>
      <w:divBdr>
        <w:top w:val="none" w:sz="0" w:space="0" w:color="auto"/>
        <w:left w:val="none" w:sz="0" w:space="0" w:color="auto"/>
        <w:bottom w:val="none" w:sz="0" w:space="0" w:color="auto"/>
        <w:right w:val="none" w:sz="0" w:space="0" w:color="auto"/>
      </w:divBdr>
    </w:div>
    <w:div w:id="1631861093">
      <w:bodyDiv w:val="1"/>
      <w:marLeft w:val="0"/>
      <w:marRight w:val="0"/>
      <w:marTop w:val="0"/>
      <w:marBottom w:val="0"/>
      <w:divBdr>
        <w:top w:val="none" w:sz="0" w:space="0" w:color="auto"/>
        <w:left w:val="none" w:sz="0" w:space="0" w:color="auto"/>
        <w:bottom w:val="none" w:sz="0" w:space="0" w:color="auto"/>
        <w:right w:val="none" w:sz="0" w:space="0" w:color="auto"/>
      </w:divBdr>
    </w:div>
    <w:div w:id="1632131297">
      <w:bodyDiv w:val="1"/>
      <w:marLeft w:val="0"/>
      <w:marRight w:val="0"/>
      <w:marTop w:val="0"/>
      <w:marBottom w:val="0"/>
      <w:divBdr>
        <w:top w:val="none" w:sz="0" w:space="0" w:color="auto"/>
        <w:left w:val="none" w:sz="0" w:space="0" w:color="auto"/>
        <w:bottom w:val="none" w:sz="0" w:space="0" w:color="auto"/>
        <w:right w:val="none" w:sz="0" w:space="0" w:color="auto"/>
      </w:divBdr>
    </w:div>
    <w:div w:id="1632402819">
      <w:bodyDiv w:val="1"/>
      <w:marLeft w:val="0"/>
      <w:marRight w:val="0"/>
      <w:marTop w:val="0"/>
      <w:marBottom w:val="0"/>
      <w:divBdr>
        <w:top w:val="none" w:sz="0" w:space="0" w:color="auto"/>
        <w:left w:val="none" w:sz="0" w:space="0" w:color="auto"/>
        <w:bottom w:val="none" w:sz="0" w:space="0" w:color="auto"/>
        <w:right w:val="none" w:sz="0" w:space="0" w:color="auto"/>
      </w:divBdr>
    </w:div>
    <w:div w:id="1632635512">
      <w:bodyDiv w:val="1"/>
      <w:marLeft w:val="0"/>
      <w:marRight w:val="0"/>
      <w:marTop w:val="0"/>
      <w:marBottom w:val="0"/>
      <w:divBdr>
        <w:top w:val="none" w:sz="0" w:space="0" w:color="auto"/>
        <w:left w:val="none" w:sz="0" w:space="0" w:color="auto"/>
        <w:bottom w:val="none" w:sz="0" w:space="0" w:color="auto"/>
        <w:right w:val="none" w:sz="0" w:space="0" w:color="auto"/>
      </w:divBdr>
    </w:div>
    <w:div w:id="1634746218">
      <w:bodyDiv w:val="1"/>
      <w:marLeft w:val="0"/>
      <w:marRight w:val="0"/>
      <w:marTop w:val="0"/>
      <w:marBottom w:val="0"/>
      <w:divBdr>
        <w:top w:val="none" w:sz="0" w:space="0" w:color="auto"/>
        <w:left w:val="none" w:sz="0" w:space="0" w:color="auto"/>
        <w:bottom w:val="none" w:sz="0" w:space="0" w:color="auto"/>
        <w:right w:val="none" w:sz="0" w:space="0" w:color="auto"/>
      </w:divBdr>
    </w:div>
    <w:div w:id="1635483198">
      <w:bodyDiv w:val="1"/>
      <w:marLeft w:val="0"/>
      <w:marRight w:val="0"/>
      <w:marTop w:val="0"/>
      <w:marBottom w:val="0"/>
      <w:divBdr>
        <w:top w:val="none" w:sz="0" w:space="0" w:color="auto"/>
        <w:left w:val="none" w:sz="0" w:space="0" w:color="auto"/>
        <w:bottom w:val="none" w:sz="0" w:space="0" w:color="auto"/>
        <w:right w:val="none" w:sz="0" w:space="0" w:color="auto"/>
      </w:divBdr>
    </w:div>
    <w:div w:id="1635870457">
      <w:bodyDiv w:val="1"/>
      <w:marLeft w:val="0"/>
      <w:marRight w:val="0"/>
      <w:marTop w:val="0"/>
      <w:marBottom w:val="0"/>
      <w:divBdr>
        <w:top w:val="none" w:sz="0" w:space="0" w:color="auto"/>
        <w:left w:val="none" w:sz="0" w:space="0" w:color="auto"/>
        <w:bottom w:val="none" w:sz="0" w:space="0" w:color="auto"/>
        <w:right w:val="none" w:sz="0" w:space="0" w:color="auto"/>
      </w:divBdr>
    </w:div>
    <w:div w:id="1635911210">
      <w:bodyDiv w:val="1"/>
      <w:marLeft w:val="0"/>
      <w:marRight w:val="0"/>
      <w:marTop w:val="0"/>
      <w:marBottom w:val="0"/>
      <w:divBdr>
        <w:top w:val="none" w:sz="0" w:space="0" w:color="auto"/>
        <w:left w:val="none" w:sz="0" w:space="0" w:color="auto"/>
        <w:bottom w:val="none" w:sz="0" w:space="0" w:color="auto"/>
        <w:right w:val="none" w:sz="0" w:space="0" w:color="auto"/>
      </w:divBdr>
    </w:div>
    <w:div w:id="1637031422">
      <w:bodyDiv w:val="1"/>
      <w:marLeft w:val="0"/>
      <w:marRight w:val="0"/>
      <w:marTop w:val="0"/>
      <w:marBottom w:val="0"/>
      <w:divBdr>
        <w:top w:val="none" w:sz="0" w:space="0" w:color="auto"/>
        <w:left w:val="none" w:sz="0" w:space="0" w:color="auto"/>
        <w:bottom w:val="none" w:sz="0" w:space="0" w:color="auto"/>
        <w:right w:val="none" w:sz="0" w:space="0" w:color="auto"/>
      </w:divBdr>
    </w:div>
    <w:div w:id="1637371943">
      <w:bodyDiv w:val="1"/>
      <w:marLeft w:val="0"/>
      <w:marRight w:val="0"/>
      <w:marTop w:val="0"/>
      <w:marBottom w:val="0"/>
      <w:divBdr>
        <w:top w:val="none" w:sz="0" w:space="0" w:color="auto"/>
        <w:left w:val="none" w:sz="0" w:space="0" w:color="auto"/>
        <w:bottom w:val="none" w:sz="0" w:space="0" w:color="auto"/>
        <w:right w:val="none" w:sz="0" w:space="0" w:color="auto"/>
      </w:divBdr>
    </w:div>
    <w:div w:id="1637445728">
      <w:bodyDiv w:val="1"/>
      <w:marLeft w:val="0"/>
      <w:marRight w:val="0"/>
      <w:marTop w:val="0"/>
      <w:marBottom w:val="0"/>
      <w:divBdr>
        <w:top w:val="none" w:sz="0" w:space="0" w:color="auto"/>
        <w:left w:val="none" w:sz="0" w:space="0" w:color="auto"/>
        <w:bottom w:val="none" w:sz="0" w:space="0" w:color="auto"/>
        <w:right w:val="none" w:sz="0" w:space="0" w:color="auto"/>
      </w:divBdr>
    </w:div>
    <w:div w:id="1638028407">
      <w:bodyDiv w:val="1"/>
      <w:marLeft w:val="0"/>
      <w:marRight w:val="0"/>
      <w:marTop w:val="0"/>
      <w:marBottom w:val="0"/>
      <w:divBdr>
        <w:top w:val="none" w:sz="0" w:space="0" w:color="auto"/>
        <w:left w:val="none" w:sz="0" w:space="0" w:color="auto"/>
        <w:bottom w:val="none" w:sz="0" w:space="0" w:color="auto"/>
        <w:right w:val="none" w:sz="0" w:space="0" w:color="auto"/>
      </w:divBdr>
    </w:div>
    <w:div w:id="1638488777">
      <w:bodyDiv w:val="1"/>
      <w:marLeft w:val="0"/>
      <w:marRight w:val="0"/>
      <w:marTop w:val="0"/>
      <w:marBottom w:val="0"/>
      <w:divBdr>
        <w:top w:val="none" w:sz="0" w:space="0" w:color="auto"/>
        <w:left w:val="none" w:sz="0" w:space="0" w:color="auto"/>
        <w:bottom w:val="none" w:sz="0" w:space="0" w:color="auto"/>
        <w:right w:val="none" w:sz="0" w:space="0" w:color="auto"/>
      </w:divBdr>
    </w:div>
    <w:div w:id="1639411775">
      <w:bodyDiv w:val="1"/>
      <w:marLeft w:val="0"/>
      <w:marRight w:val="0"/>
      <w:marTop w:val="0"/>
      <w:marBottom w:val="0"/>
      <w:divBdr>
        <w:top w:val="none" w:sz="0" w:space="0" w:color="auto"/>
        <w:left w:val="none" w:sz="0" w:space="0" w:color="auto"/>
        <w:bottom w:val="none" w:sz="0" w:space="0" w:color="auto"/>
        <w:right w:val="none" w:sz="0" w:space="0" w:color="auto"/>
      </w:divBdr>
    </w:div>
    <w:div w:id="1639527300">
      <w:bodyDiv w:val="1"/>
      <w:marLeft w:val="0"/>
      <w:marRight w:val="0"/>
      <w:marTop w:val="0"/>
      <w:marBottom w:val="0"/>
      <w:divBdr>
        <w:top w:val="none" w:sz="0" w:space="0" w:color="auto"/>
        <w:left w:val="none" w:sz="0" w:space="0" w:color="auto"/>
        <w:bottom w:val="none" w:sz="0" w:space="0" w:color="auto"/>
        <w:right w:val="none" w:sz="0" w:space="0" w:color="auto"/>
      </w:divBdr>
    </w:div>
    <w:div w:id="1639646887">
      <w:bodyDiv w:val="1"/>
      <w:marLeft w:val="0"/>
      <w:marRight w:val="0"/>
      <w:marTop w:val="0"/>
      <w:marBottom w:val="0"/>
      <w:divBdr>
        <w:top w:val="none" w:sz="0" w:space="0" w:color="auto"/>
        <w:left w:val="none" w:sz="0" w:space="0" w:color="auto"/>
        <w:bottom w:val="none" w:sz="0" w:space="0" w:color="auto"/>
        <w:right w:val="none" w:sz="0" w:space="0" w:color="auto"/>
      </w:divBdr>
    </w:div>
    <w:div w:id="1640108134">
      <w:bodyDiv w:val="1"/>
      <w:marLeft w:val="0"/>
      <w:marRight w:val="0"/>
      <w:marTop w:val="0"/>
      <w:marBottom w:val="0"/>
      <w:divBdr>
        <w:top w:val="none" w:sz="0" w:space="0" w:color="auto"/>
        <w:left w:val="none" w:sz="0" w:space="0" w:color="auto"/>
        <w:bottom w:val="none" w:sz="0" w:space="0" w:color="auto"/>
        <w:right w:val="none" w:sz="0" w:space="0" w:color="auto"/>
      </w:divBdr>
    </w:div>
    <w:div w:id="1640332365">
      <w:bodyDiv w:val="1"/>
      <w:marLeft w:val="0"/>
      <w:marRight w:val="0"/>
      <w:marTop w:val="0"/>
      <w:marBottom w:val="0"/>
      <w:divBdr>
        <w:top w:val="none" w:sz="0" w:space="0" w:color="auto"/>
        <w:left w:val="none" w:sz="0" w:space="0" w:color="auto"/>
        <w:bottom w:val="none" w:sz="0" w:space="0" w:color="auto"/>
        <w:right w:val="none" w:sz="0" w:space="0" w:color="auto"/>
      </w:divBdr>
    </w:div>
    <w:div w:id="1640454575">
      <w:bodyDiv w:val="1"/>
      <w:marLeft w:val="0"/>
      <w:marRight w:val="0"/>
      <w:marTop w:val="0"/>
      <w:marBottom w:val="0"/>
      <w:divBdr>
        <w:top w:val="none" w:sz="0" w:space="0" w:color="auto"/>
        <w:left w:val="none" w:sz="0" w:space="0" w:color="auto"/>
        <w:bottom w:val="none" w:sz="0" w:space="0" w:color="auto"/>
        <w:right w:val="none" w:sz="0" w:space="0" w:color="auto"/>
      </w:divBdr>
    </w:div>
    <w:div w:id="1641036545">
      <w:bodyDiv w:val="1"/>
      <w:marLeft w:val="0"/>
      <w:marRight w:val="0"/>
      <w:marTop w:val="0"/>
      <w:marBottom w:val="0"/>
      <w:divBdr>
        <w:top w:val="none" w:sz="0" w:space="0" w:color="auto"/>
        <w:left w:val="none" w:sz="0" w:space="0" w:color="auto"/>
        <w:bottom w:val="none" w:sz="0" w:space="0" w:color="auto"/>
        <w:right w:val="none" w:sz="0" w:space="0" w:color="auto"/>
      </w:divBdr>
    </w:div>
    <w:div w:id="1641642722">
      <w:bodyDiv w:val="1"/>
      <w:marLeft w:val="0"/>
      <w:marRight w:val="0"/>
      <w:marTop w:val="0"/>
      <w:marBottom w:val="0"/>
      <w:divBdr>
        <w:top w:val="none" w:sz="0" w:space="0" w:color="auto"/>
        <w:left w:val="none" w:sz="0" w:space="0" w:color="auto"/>
        <w:bottom w:val="none" w:sz="0" w:space="0" w:color="auto"/>
        <w:right w:val="none" w:sz="0" w:space="0" w:color="auto"/>
      </w:divBdr>
    </w:div>
    <w:div w:id="1642077233">
      <w:bodyDiv w:val="1"/>
      <w:marLeft w:val="0"/>
      <w:marRight w:val="0"/>
      <w:marTop w:val="0"/>
      <w:marBottom w:val="0"/>
      <w:divBdr>
        <w:top w:val="none" w:sz="0" w:space="0" w:color="auto"/>
        <w:left w:val="none" w:sz="0" w:space="0" w:color="auto"/>
        <w:bottom w:val="none" w:sz="0" w:space="0" w:color="auto"/>
        <w:right w:val="none" w:sz="0" w:space="0" w:color="auto"/>
      </w:divBdr>
    </w:div>
    <w:div w:id="1643266543">
      <w:bodyDiv w:val="1"/>
      <w:marLeft w:val="0"/>
      <w:marRight w:val="0"/>
      <w:marTop w:val="0"/>
      <w:marBottom w:val="0"/>
      <w:divBdr>
        <w:top w:val="none" w:sz="0" w:space="0" w:color="auto"/>
        <w:left w:val="none" w:sz="0" w:space="0" w:color="auto"/>
        <w:bottom w:val="none" w:sz="0" w:space="0" w:color="auto"/>
        <w:right w:val="none" w:sz="0" w:space="0" w:color="auto"/>
      </w:divBdr>
    </w:div>
    <w:div w:id="1644307185">
      <w:bodyDiv w:val="1"/>
      <w:marLeft w:val="0"/>
      <w:marRight w:val="0"/>
      <w:marTop w:val="0"/>
      <w:marBottom w:val="0"/>
      <w:divBdr>
        <w:top w:val="none" w:sz="0" w:space="0" w:color="auto"/>
        <w:left w:val="none" w:sz="0" w:space="0" w:color="auto"/>
        <w:bottom w:val="none" w:sz="0" w:space="0" w:color="auto"/>
        <w:right w:val="none" w:sz="0" w:space="0" w:color="auto"/>
      </w:divBdr>
    </w:div>
    <w:div w:id="1644852810">
      <w:bodyDiv w:val="1"/>
      <w:marLeft w:val="0"/>
      <w:marRight w:val="0"/>
      <w:marTop w:val="0"/>
      <w:marBottom w:val="0"/>
      <w:divBdr>
        <w:top w:val="none" w:sz="0" w:space="0" w:color="auto"/>
        <w:left w:val="none" w:sz="0" w:space="0" w:color="auto"/>
        <w:bottom w:val="none" w:sz="0" w:space="0" w:color="auto"/>
        <w:right w:val="none" w:sz="0" w:space="0" w:color="auto"/>
      </w:divBdr>
    </w:div>
    <w:div w:id="1645357491">
      <w:bodyDiv w:val="1"/>
      <w:marLeft w:val="0"/>
      <w:marRight w:val="0"/>
      <w:marTop w:val="0"/>
      <w:marBottom w:val="0"/>
      <w:divBdr>
        <w:top w:val="none" w:sz="0" w:space="0" w:color="auto"/>
        <w:left w:val="none" w:sz="0" w:space="0" w:color="auto"/>
        <w:bottom w:val="none" w:sz="0" w:space="0" w:color="auto"/>
        <w:right w:val="none" w:sz="0" w:space="0" w:color="auto"/>
      </w:divBdr>
    </w:div>
    <w:div w:id="1646229584">
      <w:bodyDiv w:val="1"/>
      <w:marLeft w:val="0"/>
      <w:marRight w:val="0"/>
      <w:marTop w:val="0"/>
      <w:marBottom w:val="0"/>
      <w:divBdr>
        <w:top w:val="none" w:sz="0" w:space="0" w:color="auto"/>
        <w:left w:val="none" w:sz="0" w:space="0" w:color="auto"/>
        <w:bottom w:val="none" w:sz="0" w:space="0" w:color="auto"/>
        <w:right w:val="none" w:sz="0" w:space="0" w:color="auto"/>
      </w:divBdr>
    </w:div>
    <w:div w:id="1646353362">
      <w:bodyDiv w:val="1"/>
      <w:marLeft w:val="0"/>
      <w:marRight w:val="0"/>
      <w:marTop w:val="0"/>
      <w:marBottom w:val="0"/>
      <w:divBdr>
        <w:top w:val="none" w:sz="0" w:space="0" w:color="auto"/>
        <w:left w:val="none" w:sz="0" w:space="0" w:color="auto"/>
        <w:bottom w:val="none" w:sz="0" w:space="0" w:color="auto"/>
        <w:right w:val="none" w:sz="0" w:space="0" w:color="auto"/>
      </w:divBdr>
    </w:div>
    <w:div w:id="1646667084">
      <w:bodyDiv w:val="1"/>
      <w:marLeft w:val="0"/>
      <w:marRight w:val="0"/>
      <w:marTop w:val="0"/>
      <w:marBottom w:val="0"/>
      <w:divBdr>
        <w:top w:val="none" w:sz="0" w:space="0" w:color="auto"/>
        <w:left w:val="none" w:sz="0" w:space="0" w:color="auto"/>
        <w:bottom w:val="none" w:sz="0" w:space="0" w:color="auto"/>
        <w:right w:val="none" w:sz="0" w:space="0" w:color="auto"/>
      </w:divBdr>
    </w:div>
    <w:div w:id="1646743803">
      <w:bodyDiv w:val="1"/>
      <w:marLeft w:val="0"/>
      <w:marRight w:val="0"/>
      <w:marTop w:val="0"/>
      <w:marBottom w:val="0"/>
      <w:divBdr>
        <w:top w:val="none" w:sz="0" w:space="0" w:color="auto"/>
        <w:left w:val="none" w:sz="0" w:space="0" w:color="auto"/>
        <w:bottom w:val="none" w:sz="0" w:space="0" w:color="auto"/>
        <w:right w:val="none" w:sz="0" w:space="0" w:color="auto"/>
      </w:divBdr>
    </w:div>
    <w:div w:id="1646858023">
      <w:bodyDiv w:val="1"/>
      <w:marLeft w:val="0"/>
      <w:marRight w:val="0"/>
      <w:marTop w:val="0"/>
      <w:marBottom w:val="0"/>
      <w:divBdr>
        <w:top w:val="none" w:sz="0" w:space="0" w:color="auto"/>
        <w:left w:val="none" w:sz="0" w:space="0" w:color="auto"/>
        <w:bottom w:val="none" w:sz="0" w:space="0" w:color="auto"/>
        <w:right w:val="none" w:sz="0" w:space="0" w:color="auto"/>
      </w:divBdr>
    </w:div>
    <w:div w:id="1648389641">
      <w:bodyDiv w:val="1"/>
      <w:marLeft w:val="0"/>
      <w:marRight w:val="0"/>
      <w:marTop w:val="0"/>
      <w:marBottom w:val="0"/>
      <w:divBdr>
        <w:top w:val="none" w:sz="0" w:space="0" w:color="auto"/>
        <w:left w:val="none" w:sz="0" w:space="0" w:color="auto"/>
        <w:bottom w:val="none" w:sz="0" w:space="0" w:color="auto"/>
        <w:right w:val="none" w:sz="0" w:space="0" w:color="auto"/>
      </w:divBdr>
    </w:div>
    <w:div w:id="1648513256">
      <w:bodyDiv w:val="1"/>
      <w:marLeft w:val="0"/>
      <w:marRight w:val="0"/>
      <w:marTop w:val="0"/>
      <w:marBottom w:val="0"/>
      <w:divBdr>
        <w:top w:val="none" w:sz="0" w:space="0" w:color="auto"/>
        <w:left w:val="none" w:sz="0" w:space="0" w:color="auto"/>
        <w:bottom w:val="none" w:sz="0" w:space="0" w:color="auto"/>
        <w:right w:val="none" w:sz="0" w:space="0" w:color="auto"/>
      </w:divBdr>
    </w:div>
    <w:div w:id="1648707236">
      <w:bodyDiv w:val="1"/>
      <w:marLeft w:val="0"/>
      <w:marRight w:val="0"/>
      <w:marTop w:val="0"/>
      <w:marBottom w:val="0"/>
      <w:divBdr>
        <w:top w:val="none" w:sz="0" w:space="0" w:color="auto"/>
        <w:left w:val="none" w:sz="0" w:space="0" w:color="auto"/>
        <w:bottom w:val="none" w:sz="0" w:space="0" w:color="auto"/>
        <w:right w:val="none" w:sz="0" w:space="0" w:color="auto"/>
      </w:divBdr>
    </w:div>
    <w:div w:id="1648823444">
      <w:bodyDiv w:val="1"/>
      <w:marLeft w:val="0"/>
      <w:marRight w:val="0"/>
      <w:marTop w:val="0"/>
      <w:marBottom w:val="0"/>
      <w:divBdr>
        <w:top w:val="none" w:sz="0" w:space="0" w:color="auto"/>
        <w:left w:val="none" w:sz="0" w:space="0" w:color="auto"/>
        <w:bottom w:val="none" w:sz="0" w:space="0" w:color="auto"/>
        <w:right w:val="none" w:sz="0" w:space="0" w:color="auto"/>
      </w:divBdr>
    </w:div>
    <w:div w:id="1649743739">
      <w:bodyDiv w:val="1"/>
      <w:marLeft w:val="0"/>
      <w:marRight w:val="0"/>
      <w:marTop w:val="0"/>
      <w:marBottom w:val="0"/>
      <w:divBdr>
        <w:top w:val="none" w:sz="0" w:space="0" w:color="auto"/>
        <w:left w:val="none" w:sz="0" w:space="0" w:color="auto"/>
        <w:bottom w:val="none" w:sz="0" w:space="0" w:color="auto"/>
        <w:right w:val="none" w:sz="0" w:space="0" w:color="auto"/>
      </w:divBdr>
    </w:div>
    <w:div w:id="1650938103">
      <w:bodyDiv w:val="1"/>
      <w:marLeft w:val="0"/>
      <w:marRight w:val="0"/>
      <w:marTop w:val="0"/>
      <w:marBottom w:val="0"/>
      <w:divBdr>
        <w:top w:val="none" w:sz="0" w:space="0" w:color="auto"/>
        <w:left w:val="none" w:sz="0" w:space="0" w:color="auto"/>
        <w:bottom w:val="none" w:sz="0" w:space="0" w:color="auto"/>
        <w:right w:val="none" w:sz="0" w:space="0" w:color="auto"/>
      </w:divBdr>
    </w:div>
    <w:div w:id="1651254918">
      <w:bodyDiv w:val="1"/>
      <w:marLeft w:val="0"/>
      <w:marRight w:val="0"/>
      <w:marTop w:val="0"/>
      <w:marBottom w:val="0"/>
      <w:divBdr>
        <w:top w:val="none" w:sz="0" w:space="0" w:color="auto"/>
        <w:left w:val="none" w:sz="0" w:space="0" w:color="auto"/>
        <w:bottom w:val="none" w:sz="0" w:space="0" w:color="auto"/>
        <w:right w:val="none" w:sz="0" w:space="0" w:color="auto"/>
      </w:divBdr>
    </w:div>
    <w:div w:id="1651399768">
      <w:bodyDiv w:val="1"/>
      <w:marLeft w:val="0"/>
      <w:marRight w:val="0"/>
      <w:marTop w:val="0"/>
      <w:marBottom w:val="0"/>
      <w:divBdr>
        <w:top w:val="none" w:sz="0" w:space="0" w:color="auto"/>
        <w:left w:val="none" w:sz="0" w:space="0" w:color="auto"/>
        <w:bottom w:val="none" w:sz="0" w:space="0" w:color="auto"/>
        <w:right w:val="none" w:sz="0" w:space="0" w:color="auto"/>
      </w:divBdr>
    </w:div>
    <w:div w:id="1651443164">
      <w:bodyDiv w:val="1"/>
      <w:marLeft w:val="0"/>
      <w:marRight w:val="0"/>
      <w:marTop w:val="0"/>
      <w:marBottom w:val="0"/>
      <w:divBdr>
        <w:top w:val="none" w:sz="0" w:space="0" w:color="auto"/>
        <w:left w:val="none" w:sz="0" w:space="0" w:color="auto"/>
        <w:bottom w:val="none" w:sz="0" w:space="0" w:color="auto"/>
        <w:right w:val="none" w:sz="0" w:space="0" w:color="auto"/>
      </w:divBdr>
    </w:div>
    <w:div w:id="1651713560">
      <w:bodyDiv w:val="1"/>
      <w:marLeft w:val="0"/>
      <w:marRight w:val="0"/>
      <w:marTop w:val="0"/>
      <w:marBottom w:val="0"/>
      <w:divBdr>
        <w:top w:val="none" w:sz="0" w:space="0" w:color="auto"/>
        <w:left w:val="none" w:sz="0" w:space="0" w:color="auto"/>
        <w:bottom w:val="none" w:sz="0" w:space="0" w:color="auto"/>
        <w:right w:val="none" w:sz="0" w:space="0" w:color="auto"/>
      </w:divBdr>
    </w:div>
    <w:div w:id="1652293831">
      <w:bodyDiv w:val="1"/>
      <w:marLeft w:val="0"/>
      <w:marRight w:val="0"/>
      <w:marTop w:val="0"/>
      <w:marBottom w:val="0"/>
      <w:divBdr>
        <w:top w:val="none" w:sz="0" w:space="0" w:color="auto"/>
        <w:left w:val="none" w:sz="0" w:space="0" w:color="auto"/>
        <w:bottom w:val="none" w:sz="0" w:space="0" w:color="auto"/>
        <w:right w:val="none" w:sz="0" w:space="0" w:color="auto"/>
      </w:divBdr>
    </w:div>
    <w:div w:id="1652364234">
      <w:bodyDiv w:val="1"/>
      <w:marLeft w:val="0"/>
      <w:marRight w:val="0"/>
      <w:marTop w:val="0"/>
      <w:marBottom w:val="0"/>
      <w:divBdr>
        <w:top w:val="none" w:sz="0" w:space="0" w:color="auto"/>
        <w:left w:val="none" w:sz="0" w:space="0" w:color="auto"/>
        <w:bottom w:val="none" w:sz="0" w:space="0" w:color="auto"/>
        <w:right w:val="none" w:sz="0" w:space="0" w:color="auto"/>
      </w:divBdr>
    </w:div>
    <w:div w:id="1652522402">
      <w:bodyDiv w:val="1"/>
      <w:marLeft w:val="0"/>
      <w:marRight w:val="0"/>
      <w:marTop w:val="0"/>
      <w:marBottom w:val="0"/>
      <w:divBdr>
        <w:top w:val="none" w:sz="0" w:space="0" w:color="auto"/>
        <w:left w:val="none" w:sz="0" w:space="0" w:color="auto"/>
        <w:bottom w:val="none" w:sz="0" w:space="0" w:color="auto"/>
        <w:right w:val="none" w:sz="0" w:space="0" w:color="auto"/>
      </w:divBdr>
    </w:div>
    <w:div w:id="1652638695">
      <w:bodyDiv w:val="1"/>
      <w:marLeft w:val="0"/>
      <w:marRight w:val="0"/>
      <w:marTop w:val="0"/>
      <w:marBottom w:val="0"/>
      <w:divBdr>
        <w:top w:val="none" w:sz="0" w:space="0" w:color="auto"/>
        <w:left w:val="none" w:sz="0" w:space="0" w:color="auto"/>
        <w:bottom w:val="none" w:sz="0" w:space="0" w:color="auto"/>
        <w:right w:val="none" w:sz="0" w:space="0" w:color="auto"/>
      </w:divBdr>
    </w:div>
    <w:div w:id="1652949258">
      <w:bodyDiv w:val="1"/>
      <w:marLeft w:val="0"/>
      <w:marRight w:val="0"/>
      <w:marTop w:val="0"/>
      <w:marBottom w:val="0"/>
      <w:divBdr>
        <w:top w:val="none" w:sz="0" w:space="0" w:color="auto"/>
        <w:left w:val="none" w:sz="0" w:space="0" w:color="auto"/>
        <w:bottom w:val="none" w:sz="0" w:space="0" w:color="auto"/>
        <w:right w:val="none" w:sz="0" w:space="0" w:color="auto"/>
      </w:divBdr>
    </w:div>
    <w:div w:id="1652978115">
      <w:bodyDiv w:val="1"/>
      <w:marLeft w:val="0"/>
      <w:marRight w:val="0"/>
      <w:marTop w:val="0"/>
      <w:marBottom w:val="0"/>
      <w:divBdr>
        <w:top w:val="none" w:sz="0" w:space="0" w:color="auto"/>
        <w:left w:val="none" w:sz="0" w:space="0" w:color="auto"/>
        <w:bottom w:val="none" w:sz="0" w:space="0" w:color="auto"/>
        <w:right w:val="none" w:sz="0" w:space="0" w:color="auto"/>
      </w:divBdr>
    </w:div>
    <w:div w:id="1653607609">
      <w:bodyDiv w:val="1"/>
      <w:marLeft w:val="0"/>
      <w:marRight w:val="0"/>
      <w:marTop w:val="0"/>
      <w:marBottom w:val="0"/>
      <w:divBdr>
        <w:top w:val="none" w:sz="0" w:space="0" w:color="auto"/>
        <w:left w:val="none" w:sz="0" w:space="0" w:color="auto"/>
        <w:bottom w:val="none" w:sz="0" w:space="0" w:color="auto"/>
        <w:right w:val="none" w:sz="0" w:space="0" w:color="auto"/>
      </w:divBdr>
    </w:div>
    <w:div w:id="1654092791">
      <w:bodyDiv w:val="1"/>
      <w:marLeft w:val="0"/>
      <w:marRight w:val="0"/>
      <w:marTop w:val="0"/>
      <w:marBottom w:val="0"/>
      <w:divBdr>
        <w:top w:val="none" w:sz="0" w:space="0" w:color="auto"/>
        <w:left w:val="none" w:sz="0" w:space="0" w:color="auto"/>
        <w:bottom w:val="none" w:sz="0" w:space="0" w:color="auto"/>
        <w:right w:val="none" w:sz="0" w:space="0" w:color="auto"/>
      </w:divBdr>
    </w:div>
    <w:div w:id="1654286248">
      <w:bodyDiv w:val="1"/>
      <w:marLeft w:val="0"/>
      <w:marRight w:val="0"/>
      <w:marTop w:val="0"/>
      <w:marBottom w:val="0"/>
      <w:divBdr>
        <w:top w:val="none" w:sz="0" w:space="0" w:color="auto"/>
        <w:left w:val="none" w:sz="0" w:space="0" w:color="auto"/>
        <w:bottom w:val="none" w:sz="0" w:space="0" w:color="auto"/>
        <w:right w:val="none" w:sz="0" w:space="0" w:color="auto"/>
      </w:divBdr>
    </w:div>
    <w:div w:id="1655332233">
      <w:bodyDiv w:val="1"/>
      <w:marLeft w:val="0"/>
      <w:marRight w:val="0"/>
      <w:marTop w:val="0"/>
      <w:marBottom w:val="0"/>
      <w:divBdr>
        <w:top w:val="none" w:sz="0" w:space="0" w:color="auto"/>
        <w:left w:val="none" w:sz="0" w:space="0" w:color="auto"/>
        <w:bottom w:val="none" w:sz="0" w:space="0" w:color="auto"/>
        <w:right w:val="none" w:sz="0" w:space="0" w:color="auto"/>
      </w:divBdr>
    </w:div>
    <w:div w:id="1655983282">
      <w:bodyDiv w:val="1"/>
      <w:marLeft w:val="0"/>
      <w:marRight w:val="0"/>
      <w:marTop w:val="0"/>
      <w:marBottom w:val="0"/>
      <w:divBdr>
        <w:top w:val="none" w:sz="0" w:space="0" w:color="auto"/>
        <w:left w:val="none" w:sz="0" w:space="0" w:color="auto"/>
        <w:bottom w:val="none" w:sz="0" w:space="0" w:color="auto"/>
        <w:right w:val="none" w:sz="0" w:space="0" w:color="auto"/>
      </w:divBdr>
    </w:div>
    <w:div w:id="1655989486">
      <w:bodyDiv w:val="1"/>
      <w:marLeft w:val="0"/>
      <w:marRight w:val="0"/>
      <w:marTop w:val="0"/>
      <w:marBottom w:val="0"/>
      <w:divBdr>
        <w:top w:val="none" w:sz="0" w:space="0" w:color="auto"/>
        <w:left w:val="none" w:sz="0" w:space="0" w:color="auto"/>
        <w:bottom w:val="none" w:sz="0" w:space="0" w:color="auto"/>
        <w:right w:val="none" w:sz="0" w:space="0" w:color="auto"/>
      </w:divBdr>
    </w:div>
    <w:div w:id="1656912313">
      <w:bodyDiv w:val="1"/>
      <w:marLeft w:val="0"/>
      <w:marRight w:val="0"/>
      <w:marTop w:val="0"/>
      <w:marBottom w:val="0"/>
      <w:divBdr>
        <w:top w:val="none" w:sz="0" w:space="0" w:color="auto"/>
        <w:left w:val="none" w:sz="0" w:space="0" w:color="auto"/>
        <w:bottom w:val="none" w:sz="0" w:space="0" w:color="auto"/>
        <w:right w:val="none" w:sz="0" w:space="0" w:color="auto"/>
      </w:divBdr>
    </w:div>
    <w:div w:id="1657372493">
      <w:bodyDiv w:val="1"/>
      <w:marLeft w:val="0"/>
      <w:marRight w:val="0"/>
      <w:marTop w:val="0"/>
      <w:marBottom w:val="0"/>
      <w:divBdr>
        <w:top w:val="none" w:sz="0" w:space="0" w:color="auto"/>
        <w:left w:val="none" w:sz="0" w:space="0" w:color="auto"/>
        <w:bottom w:val="none" w:sz="0" w:space="0" w:color="auto"/>
        <w:right w:val="none" w:sz="0" w:space="0" w:color="auto"/>
      </w:divBdr>
    </w:div>
    <w:div w:id="1657880780">
      <w:bodyDiv w:val="1"/>
      <w:marLeft w:val="0"/>
      <w:marRight w:val="0"/>
      <w:marTop w:val="0"/>
      <w:marBottom w:val="0"/>
      <w:divBdr>
        <w:top w:val="none" w:sz="0" w:space="0" w:color="auto"/>
        <w:left w:val="none" w:sz="0" w:space="0" w:color="auto"/>
        <w:bottom w:val="none" w:sz="0" w:space="0" w:color="auto"/>
        <w:right w:val="none" w:sz="0" w:space="0" w:color="auto"/>
      </w:divBdr>
    </w:div>
    <w:div w:id="1658339757">
      <w:bodyDiv w:val="1"/>
      <w:marLeft w:val="0"/>
      <w:marRight w:val="0"/>
      <w:marTop w:val="0"/>
      <w:marBottom w:val="0"/>
      <w:divBdr>
        <w:top w:val="none" w:sz="0" w:space="0" w:color="auto"/>
        <w:left w:val="none" w:sz="0" w:space="0" w:color="auto"/>
        <w:bottom w:val="none" w:sz="0" w:space="0" w:color="auto"/>
        <w:right w:val="none" w:sz="0" w:space="0" w:color="auto"/>
      </w:divBdr>
    </w:div>
    <w:div w:id="1658529910">
      <w:bodyDiv w:val="1"/>
      <w:marLeft w:val="0"/>
      <w:marRight w:val="0"/>
      <w:marTop w:val="0"/>
      <w:marBottom w:val="0"/>
      <w:divBdr>
        <w:top w:val="none" w:sz="0" w:space="0" w:color="auto"/>
        <w:left w:val="none" w:sz="0" w:space="0" w:color="auto"/>
        <w:bottom w:val="none" w:sz="0" w:space="0" w:color="auto"/>
        <w:right w:val="none" w:sz="0" w:space="0" w:color="auto"/>
      </w:divBdr>
    </w:div>
    <w:div w:id="1658606568">
      <w:bodyDiv w:val="1"/>
      <w:marLeft w:val="0"/>
      <w:marRight w:val="0"/>
      <w:marTop w:val="0"/>
      <w:marBottom w:val="0"/>
      <w:divBdr>
        <w:top w:val="none" w:sz="0" w:space="0" w:color="auto"/>
        <w:left w:val="none" w:sz="0" w:space="0" w:color="auto"/>
        <w:bottom w:val="none" w:sz="0" w:space="0" w:color="auto"/>
        <w:right w:val="none" w:sz="0" w:space="0" w:color="auto"/>
      </w:divBdr>
    </w:div>
    <w:div w:id="1658915535">
      <w:bodyDiv w:val="1"/>
      <w:marLeft w:val="0"/>
      <w:marRight w:val="0"/>
      <w:marTop w:val="0"/>
      <w:marBottom w:val="0"/>
      <w:divBdr>
        <w:top w:val="none" w:sz="0" w:space="0" w:color="auto"/>
        <w:left w:val="none" w:sz="0" w:space="0" w:color="auto"/>
        <w:bottom w:val="none" w:sz="0" w:space="0" w:color="auto"/>
        <w:right w:val="none" w:sz="0" w:space="0" w:color="auto"/>
      </w:divBdr>
    </w:div>
    <w:div w:id="1659458960">
      <w:bodyDiv w:val="1"/>
      <w:marLeft w:val="0"/>
      <w:marRight w:val="0"/>
      <w:marTop w:val="0"/>
      <w:marBottom w:val="0"/>
      <w:divBdr>
        <w:top w:val="none" w:sz="0" w:space="0" w:color="auto"/>
        <w:left w:val="none" w:sz="0" w:space="0" w:color="auto"/>
        <w:bottom w:val="none" w:sz="0" w:space="0" w:color="auto"/>
        <w:right w:val="none" w:sz="0" w:space="0" w:color="auto"/>
      </w:divBdr>
    </w:div>
    <w:div w:id="1661226115">
      <w:bodyDiv w:val="1"/>
      <w:marLeft w:val="0"/>
      <w:marRight w:val="0"/>
      <w:marTop w:val="0"/>
      <w:marBottom w:val="0"/>
      <w:divBdr>
        <w:top w:val="none" w:sz="0" w:space="0" w:color="auto"/>
        <w:left w:val="none" w:sz="0" w:space="0" w:color="auto"/>
        <w:bottom w:val="none" w:sz="0" w:space="0" w:color="auto"/>
        <w:right w:val="none" w:sz="0" w:space="0" w:color="auto"/>
      </w:divBdr>
    </w:div>
    <w:div w:id="1661228670">
      <w:bodyDiv w:val="1"/>
      <w:marLeft w:val="0"/>
      <w:marRight w:val="0"/>
      <w:marTop w:val="0"/>
      <w:marBottom w:val="0"/>
      <w:divBdr>
        <w:top w:val="none" w:sz="0" w:space="0" w:color="auto"/>
        <w:left w:val="none" w:sz="0" w:space="0" w:color="auto"/>
        <w:bottom w:val="none" w:sz="0" w:space="0" w:color="auto"/>
        <w:right w:val="none" w:sz="0" w:space="0" w:color="auto"/>
      </w:divBdr>
    </w:div>
    <w:div w:id="1661887778">
      <w:bodyDiv w:val="1"/>
      <w:marLeft w:val="0"/>
      <w:marRight w:val="0"/>
      <w:marTop w:val="0"/>
      <w:marBottom w:val="0"/>
      <w:divBdr>
        <w:top w:val="none" w:sz="0" w:space="0" w:color="auto"/>
        <w:left w:val="none" w:sz="0" w:space="0" w:color="auto"/>
        <w:bottom w:val="none" w:sz="0" w:space="0" w:color="auto"/>
        <w:right w:val="none" w:sz="0" w:space="0" w:color="auto"/>
      </w:divBdr>
    </w:div>
    <w:div w:id="1662195254">
      <w:bodyDiv w:val="1"/>
      <w:marLeft w:val="0"/>
      <w:marRight w:val="0"/>
      <w:marTop w:val="0"/>
      <w:marBottom w:val="0"/>
      <w:divBdr>
        <w:top w:val="none" w:sz="0" w:space="0" w:color="auto"/>
        <w:left w:val="none" w:sz="0" w:space="0" w:color="auto"/>
        <w:bottom w:val="none" w:sz="0" w:space="0" w:color="auto"/>
        <w:right w:val="none" w:sz="0" w:space="0" w:color="auto"/>
      </w:divBdr>
    </w:div>
    <w:div w:id="1662543626">
      <w:bodyDiv w:val="1"/>
      <w:marLeft w:val="0"/>
      <w:marRight w:val="0"/>
      <w:marTop w:val="0"/>
      <w:marBottom w:val="0"/>
      <w:divBdr>
        <w:top w:val="none" w:sz="0" w:space="0" w:color="auto"/>
        <w:left w:val="none" w:sz="0" w:space="0" w:color="auto"/>
        <w:bottom w:val="none" w:sz="0" w:space="0" w:color="auto"/>
        <w:right w:val="none" w:sz="0" w:space="0" w:color="auto"/>
      </w:divBdr>
    </w:div>
    <w:div w:id="1662805020">
      <w:bodyDiv w:val="1"/>
      <w:marLeft w:val="0"/>
      <w:marRight w:val="0"/>
      <w:marTop w:val="0"/>
      <w:marBottom w:val="0"/>
      <w:divBdr>
        <w:top w:val="none" w:sz="0" w:space="0" w:color="auto"/>
        <w:left w:val="none" w:sz="0" w:space="0" w:color="auto"/>
        <w:bottom w:val="none" w:sz="0" w:space="0" w:color="auto"/>
        <w:right w:val="none" w:sz="0" w:space="0" w:color="auto"/>
      </w:divBdr>
    </w:div>
    <w:div w:id="1663968328">
      <w:bodyDiv w:val="1"/>
      <w:marLeft w:val="0"/>
      <w:marRight w:val="0"/>
      <w:marTop w:val="0"/>
      <w:marBottom w:val="0"/>
      <w:divBdr>
        <w:top w:val="none" w:sz="0" w:space="0" w:color="auto"/>
        <w:left w:val="none" w:sz="0" w:space="0" w:color="auto"/>
        <w:bottom w:val="none" w:sz="0" w:space="0" w:color="auto"/>
        <w:right w:val="none" w:sz="0" w:space="0" w:color="auto"/>
      </w:divBdr>
    </w:div>
    <w:div w:id="1664166383">
      <w:bodyDiv w:val="1"/>
      <w:marLeft w:val="0"/>
      <w:marRight w:val="0"/>
      <w:marTop w:val="0"/>
      <w:marBottom w:val="0"/>
      <w:divBdr>
        <w:top w:val="none" w:sz="0" w:space="0" w:color="auto"/>
        <w:left w:val="none" w:sz="0" w:space="0" w:color="auto"/>
        <w:bottom w:val="none" w:sz="0" w:space="0" w:color="auto"/>
        <w:right w:val="none" w:sz="0" w:space="0" w:color="auto"/>
      </w:divBdr>
    </w:div>
    <w:div w:id="1664579704">
      <w:bodyDiv w:val="1"/>
      <w:marLeft w:val="0"/>
      <w:marRight w:val="0"/>
      <w:marTop w:val="0"/>
      <w:marBottom w:val="0"/>
      <w:divBdr>
        <w:top w:val="none" w:sz="0" w:space="0" w:color="auto"/>
        <w:left w:val="none" w:sz="0" w:space="0" w:color="auto"/>
        <w:bottom w:val="none" w:sz="0" w:space="0" w:color="auto"/>
        <w:right w:val="none" w:sz="0" w:space="0" w:color="auto"/>
      </w:divBdr>
    </w:div>
    <w:div w:id="1666283737">
      <w:bodyDiv w:val="1"/>
      <w:marLeft w:val="0"/>
      <w:marRight w:val="0"/>
      <w:marTop w:val="0"/>
      <w:marBottom w:val="0"/>
      <w:divBdr>
        <w:top w:val="none" w:sz="0" w:space="0" w:color="auto"/>
        <w:left w:val="none" w:sz="0" w:space="0" w:color="auto"/>
        <w:bottom w:val="none" w:sz="0" w:space="0" w:color="auto"/>
        <w:right w:val="none" w:sz="0" w:space="0" w:color="auto"/>
      </w:divBdr>
    </w:div>
    <w:div w:id="1666586260">
      <w:bodyDiv w:val="1"/>
      <w:marLeft w:val="0"/>
      <w:marRight w:val="0"/>
      <w:marTop w:val="0"/>
      <w:marBottom w:val="0"/>
      <w:divBdr>
        <w:top w:val="none" w:sz="0" w:space="0" w:color="auto"/>
        <w:left w:val="none" w:sz="0" w:space="0" w:color="auto"/>
        <w:bottom w:val="none" w:sz="0" w:space="0" w:color="auto"/>
        <w:right w:val="none" w:sz="0" w:space="0" w:color="auto"/>
      </w:divBdr>
    </w:div>
    <w:div w:id="1666665731">
      <w:bodyDiv w:val="1"/>
      <w:marLeft w:val="0"/>
      <w:marRight w:val="0"/>
      <w:marTop w:val="0"/>
      <w:marBottom w:val="0"/>
      <w:divBdr>
        <w:top w:val="none" w:sz="0" w:space="0" w:color="auto"/>
        <w:left w:val="none" w:sz="0" w:space="0" w:color="auto"/>
        <w:bottom w:val="none" w:sz="0" w:space="0" w:color="auto"/>
        <w:right w:val="none" w:sz="0" w:space="0" w:color="auto"/>
      </w:divBdr>
    </w:div>
    <w:div w:id="1666668807">
      <w:bodyDiv w:val="1"/>
      <w:marLeft w:val="0"/>
      <w:marRight w:val="0"/>
      <w:marTop w:val="0"/>
      <w:marBottom w:val="0"/>
      <w:divBdr>
        <w:top w:val="none" w:sz="0" w:space="0" w:color="auto"/>
        <w:left w:val="none" w:sz="0" w:space="0" w:color="auto"/>
        <w:bottom w:val="none" w:sz="0" w:space="0" w:color="auto"/>
        <w:right w:val="none" w:sz="0" w:space="0" w:color="auto"/>
      </w:divBdr>
    </w:div>
    <w:div w:id="1667973307">
      <w:bodyDiv w:val="1"/>
      <w:marLeft w:val="0"/>
      <w:marRight w:val="0"/>
      <w:marTop w:val="0"/>
      <w:marBottom w:val="0"/>
      <w:divBdr>
        <w:top w:val="none" w:sz="0" w:space="0" w:color="auto"/>
        <w:left w:val="none" w:sz="0" w:space="0" w:color="auto"/>
        <w:bottom w:val="none" w:sz="0" w:space="0" w:color="auto"/>
        <w:right w:val="none" w:sz="0" w:space="0" w:color="auto"/>
      </w:divBdr>
    </w:div>
    <w:div w:id="1668288327">
      <w:bodyDiv w:val="1"/>
      <w:marLeft w:val="0"/>
      <w:marRight w:val="0"/>
      <w:marTop w:val="0"/>
      <w:marBottom w:val="0"/>
      <w:divBdr>
        <w:top w:val="none" w:sz="0" w:space="0" w:color="auto"/>
        <w:left w:val="none" w:sz="0" w:space="0" w:color="auto"/>
        <w:bottom w:val="none" w:sz="0" w:space="0" w:color="auto"/>
        <w:right w:val="none" w:sz="0" w:space="0" w:color="auto"/>
      </w:divBdr>
    </w:div>
    <w:div w:id="1668827974">
      <w:bodyDiv w:val="1"/>
      <w:marLeft w:val="0"/>
      <w:marRight w:val="0"/>
      <w:marTop w:val="0"/>
      <w:marBottom w:val="0"/>
      <w:divBdr>
        <w:top w:val="none" w:sz="0" w:space="0" w:color="auto"/>
        <w:left w:val="none" w:sz="0" w:space="0" w:color="auto"/>
        <w:bottom w:val="none" w:sz="0" w:space="0" w:color="auto"/>
        <w:right w:val="none" w:sz="0" w:space="0" w:color="auto"/>
      </w:divBdr>
    </w:div>
    <w:div w:id="1669137273">
      <w:bodyDiv w:val="1"/>
      <w:marLeft w:val="0"/>
      <w:marRight w:val="0"/>
      <w:marTop w:val="0"/>
      <w:marBottom w:val="0"/>
      <w:divBdr>
        <w:top w:val="none" w:sz="0" w:space="0" w:color="auto"/>
        <w:left w:val="none" w:sz="0" w:space="0" w:color="auto"/>
        <w:bottom w:val="none" w:sz="0" w:space="0" w:color="auto"/>
        <w:right w:val="none" w:sz="0" w:space="0" w:color="auto"/>
      </w:divBdr>
    </w:div>
    <w:div w:id="1669673338">
      <w:bodyDiv w:val="1"/>
      <w:marLeft w:val="0"/>
      <w:marRight w:val="0"/>
      <w:marTop w:val="0"/>
      <w:marBottom w:val="0"/>
      <w:divBdr>
        <w:top w:val="none" w:sz="0" w:space="0" w:color="auto"/>
        <w:left w:val="none" w:sz="0" w:space="0" w:color="auto"/>
        <w:bottom w:val="none" w:sz="0" w:space="0" w:color="auto"/>
        <w:right w:val="none" w:sz="0" w:space="0" w:color="auto"/>
      </w:divBdr>
    </w:div>
    <w:div w:id="1670599490">
      <w:bodyDiv w:val="1"/>
      <w:marLeft w:val="0"/>
      <w:marRight w:val="0"/>
      <w:marTop w:val="0"/>
      <w:marBottom w:val="0"/>
      <w:divBdr>
        <w:top w:val="none" w:sz="0" w:space="0" w:color="auto"/>
        <w:left w:val="none" w:sz="0" w:space="0" w:color="auto"/>
        <w:bottom w:val="none" w:sz="0" w:space="0" w:color="auto"/>
        <w:right w:val="none" w:sz="0" w:space="0" w:color="auto"/>
      </w:divBdr>
    </w:div>
    <w:div w:id="1670937392">
      <w:bodyDiv w:val="1"/>
      <w:marLeft w:val="0"/>
      <w:marRight w:val="0"/>
      <w:marTop w:val="0"/>
      <w:marBottom w:val="0"/>
      <w:divBdr>
        <w:top w:val="none" w:sz="0" w:space="0" w:color="auto"/>
        <w:left w:val="none" w:sz="0" w:space="0" w:color="auto"/>
        <w:bottom w:val="none" w:sz="0" w:space="0" w:color="auto"/>
        <w:right w:val="none" w:sz="0" w:space="0" w:color="auto"/>
      </w:divBdr>
    </w:div>
    <w:div w:id="1671130153">
      <w:bodyDiv w:val="1"/>
      <w:marLeft w:val="0"/>
      <w:marRight w:val="0"/>
      <w:marTop w:val="0"/>
      <w:marBottom w:val="0"/>
      <w:divBdr>
        <w:top w:val="none" w:sz="0" w:space="0" w:color="auto"/>
        <w:left w:val="none" w:sz="0" w:space="0" w:color="auto"/>
        <w:bottom w:val="none" w:sz="0" w:space="0" w:color="auto"/>
        <w:right w:val="none" w:sz="0" w:space="0" w:color="auto"/>
      </w:divBdr>
    </w:div>
    <w:div w:id="1671525208">
      <w:bodyDiv w:val="1"/>
      <w:marLeft w:val="0"/>
      <w:marRight w:val="0"/>
      <w:marTop w:val="0"/>
      <w:marBottom w:val="0"/>
      <w:divBdr>
        <w:top w:val="none" w:sz="0" w:space="0" w:color="auto"/>
        <w:left w:val="none" w:sz="0" w:space="0" w:color="auto"/>
        <w:bottom w:val="none" w:sz="0" w:space="0" w:color="auto"/>
        <w:right w:val="none" w:sz="0" w:space="0" w:color="auto"/>
      </w:divBdr>
    </w:div>
    <w:div w:id="1671634244">
      <w:bodyDiv w:val="1"/>
      <w:marLeft w:val="0"/>
      <w:marRight w:val="0"/>
      <w:marTop w:val="0"/>
      <w:marBottom w:val="0"/>
      <w:divBdr>
        <w:top w:val="none" w:sz="0" w:space="0" w:color="auto"/>
        <w:left w:val="none" w:sz="0" w:space="0" w:color="auto"/>
        <w:bottom w:val="none" w:sz="0" w:space="0" w:color="auto"/>
        <w:right w:val="none" w:sz="0" w:space="0" w:color="auto"/>
      </w:divBdr>
    </w:div>
    <w:div w:id="1671638910">
      <w:bodyDiv w:val="1"/>
      <w:marLeft w:val="0"/>
      <w:marRight w:val="0"/>
      <w:marTop w:val="0"/>
      <w:marBottom w:val="0"/>
      <w:divBdr>
        <w:top w:val="none" w:sz="0" w:space="0" w:color="auto"/>
        <w:left w:val="none" w:sz="0" w:space="0" w:color="auto"/>
        <w:bottom w:val="none" w:sz="0" w:space="0" w:color="auto"/>
        <w:right w:val="none" w:sz="0" w:space="0" w:color="auto"/>
      </w:divBdr>
    </w:div>
    <w:div w:id="1671759919">
      <w:bodyDiv w:val="1"/>
      <w:marLeft w:val="0"/>
      <w:marRight w:val="0"/>
      <w:marTop w:val="0"/>
      <w:marBottom w:val="0"/>
      <w:divBdr>
        <w:top w:val="none" w:sz="0" w:space="0" w:color="auto"/>
        <w:left w:val="none" w:sz="0" w:space="0" w:color="auto"/>
        <w:bottom w:val="none" w:sz="0" w:space="0" w:color="auto"/>
        <w:right w:val="none" w:sz="0" w:space="0" w:color="auto"/>
      </w:divBdr>
    </w:div>
    <w:div w:id="1673290491">
      <w:bodyDiv w:val="1"/>
      <w:marLeft w:val="0"/>
      <w:marRight w:val="0"/>
      <w:marTop w:val="0"/>
      <w:marBottom w:val="0"/>
      <w:divBdr>
        <w:top w:val="none" w:sz="0" w:space="0" w:color="auto"/>
        <w:left w:val="none" w:sz="0" w:space="0" w:color="auto"/>
        <w:bottom w:val="none" w:sz="0" w:space="0" w:color="auto"/>
        <w:right w:val="none" w:sz="0" w:space="0" w:color="auto"/>
      </w:divBdr>
    </w:div>
    <w:div w:id="1674915894">
      <w:bodyDiv w:val="1"/>
      <w:marLeft w:val="0"/>
      <w:marRight w:val="0"/>
      <w:marTop w:val="0"/>
      <w:marBottom w:val="0"/>
      <w:divBdr>
        <w:top w:val="none" w:sz="0" w:space="0" w:color="auto"/>
        <w:left w:val="none" w:sz="0" w:space="0" w:color="auto"/>
        <w:bottom w:val="none" w:sz="0" w:space="0" w:color="auto"/>
        <w:right w:val="none" w:sz="0" w:space="0" w:color="auto"/>
      </w:divBdr>
    </w:div>
    <w:div w:id="1675188014">
      <w:bodyDiv w:val="1"/>
      <w:marLeft w:val="0"/>
      <w:marRight w:val="0"/>
      <w:marTop w:val="0"/>
      <w:marBottom w:val="0"/>
      <w:divBdr>
        <w:top w:val="none" w:sz="0" w:space="0" w:color="auto"/>
        <w:left w:val="none" w:sz="0" w:space="0" w:color="auto"/>
        <w:bottom w:val="none" w:sz="0" w:space="0" w:color="auto"/>
        <w:right w:val="none" w:sz="0" w:space="0" w:color="auto"/>
      </w:divBdr>
    </w:div>
    <w:div w:id="1675648994">
      <w:bodyDiv w:val="1"/>
      <w:marLeft w:val="0"/>
      <w:marRight w:val="0"/>
      <w:marTop w:val="0"/>
      <w:marBottom w:val="0"/>
      <w:divBdr>
        <w:top w:val="none" w:sz="0" w:space="0" w:color="auto"/>
        <w:left w:val="none" w:sz="0" w:space="0" w:color="auto"/>
        <w:bottom w:val="none" w:sz="0" w:space="0" w:color="auto"/>
        <w:right w:val="none" w:sz="0" w:space="0" w:color="auto"/>
      </w:divBdr>
    </w:div>
    <w:div w:id="1675837557">
      <w:bodyDiv w:val="1"/>
      <w:marLeft w:val="0"/>
      <w:marRight w:val="0"/>
      <w:marTop w:val="0"/>
      <w:marBottom w:val="0"/>
      <w:divBdr>
        <w:top w:val="none" w:sz="0" w:space="0" w:color="auto"/>
        <w:left w:val="none" w:sz="0" w:space="0" w:color="auto"/>
        <w:bottom w:val="none" w:sz="0" w:space="0" w:color="auto"/>
        <w:right w:val="none" w:sz="0" w:space="0" w:color="auto"/>
      </w:divBdr>
    </w:div>
    <w:div w:id="1675914940">
      <w:bodyDiv w:val="1"/>
      <w:marLeft w:val="0"/>
      <w:marRight w:val="0"/>
      <w:marTop w:val="0"/>
      <w:marBottom w:val="0"/>
      <w:divBdr>
        <w:top w:val="none" w:sz="0" w:space="0" w:color="auto"/>
        <w:left w:val="none" w:sz="0" w:space="0" w:color="auto"/>
        <w:bottom w:val="none" w:sz="0" w:space="0" w:color="auto"/>
        <w:right w:val="none" w:sz="0" w:space="0" w:color="auto"/>
      </w:divBdr>
    </w:div>
    <w:div w:id="1676106771">
      <w:bodyDiv w:val="1"/>
      <w:marLeft w:val="0"/>
      <w:marRight w:val="0"/>
      <w:marTop w:val="0"/>
      <w:marBottom w:val="0"/>
      <w:divBdr>
        <w:top w:val="none" w:sz="0" w:space="0" w:color="auto"/>
        <w:left w:val="none" w:sz="0" w:space="0" w:color="auto"/>
        <w:bottom w:val="none" w:sz="0" w:space="0" w:color="auto"/>
        <w:right w:val="none" w:sz="0" w:space="0" w:color="auto"/>
      </w:divBdr>
    </w:div>
    <w:div w:id="1676154871">
      <w:bodyDiv w:val="1"/>
      <w:marLeft w:val="0"/>
      <w:marRight w:val="0"/>
      <w:marTop w:val="0"/>
      <w:marBottom w:val="0"/>
      <w:divBdr>
        <w:top w:val="none" w:sz="0" w:space="0" w:color="auto"/>
        <w:left w:val="none" w:sz="0" w:space="0" w:color="auto"/>
        <w:bottom w:val="none" w:sz="0" w:space="0" w:color="auto"/>
        <w:right w:val="none" w:sz="0" w:space="0" w:color="auto"/>
      </w:divBdr>
    </w:div>
    <w:div w:id="1677419288">
      <w:bodyDiv w:val="1"/>
      <w:marLeft w:val="0"/>
      <w:marRight w:val="0"/>
      <w:marTop w:val="0"/>
      <w:marBottom w:val="0"/>
      <w:divBdr>
        <w:top w:val="none" w:sz="0" w:space="0" w:color="auto"/>
        <w:left w:val="none" w:sz="0" w:space="0" w:color="auto"/>
        <w:bottom w:val="none" w:sz="0" w:space="0" w:color="auto"/>
        <w:right w:val="none" w:sz="0" w:space="0" w:color="auto"/>
      </w:divBdr>
    </w:div>
    <w:div w:id="1678116944">
      <w:bodyDiv w:val="1"/>
      <w:marLeft w:val="0"/>
      <w:marRight w:val="0"/>
      <w:marTop w:val="0"/>
      <w:marBottom w:val="0"/>
      <w:divBdr>
        <w:top w:val="none" w:sz="0" w:space="0" w:color="auto"/>
        <w:left w:val="none" w:sz="0" w:space="0" w:color="auto"/>
        <w:bottom w:val="none" w:sz="0" w:space="0" w:color="auto"/>
        <w:right w:val="none" w:sz="0" w:space="0" w:color="auto"/>
      </w:divBdr>
    </w:div>
    <w:div w:id="1678459684">
      <w:bodyDiv w:val="1"/>
      <w:marLeft w:val="0"/>
      <w:marRight w:val="0"/>
      <w:marTop w:val="0"/>
      <w:marBottom w:val="0"/>
      <w:divBdr>
        <w:top w:val="none" w:sz="0" w:space="0" w:color="auto"/>
        <w:left w:val="none" w:sz="0" w:space="0" w:color="auto"/>
        <w:bottom w:val="none" w:sz="0" w:space="0" w:color="auto"/>
        <w:right w:val="none" w:sz="0" w:space="0" w:color="auto"/>
      </w:divBdr>
    </w:div>
    <w:div w:id="1678924356">
      <w:bodyDiv w:val="1"/>
      <w:marLeft w:val="0"/>
      <w:marRight w:val="0"/>
      <w:marTop w:val="0"/>
      <w:marBottom w:val="0"/>
      <w:divBdr>
        <w:top w:val="none" w:sz="0" w:space="0" w:color="auto"/>
        <w:left w:val="none" w:sz="0" w:space="0" w:color="auto"/>
        <w:bottom w:val="none" w:sz="0" w:space="0" w:color="auto"/>
        <w:right w:val="none" w:sz="0" w:space="0" w:color="auto"/>
      </w:divBdr>
    </w:div>
    <w:div w:id="1679038030">
      <w:bodyDiv w:val="1"/>
      <w:marLeft w:val="0"/>
      <w:marRight w:val="0"/>
      <w:marTop w:val="0"/>
      <w:marBottom w:val="0"/>
      <w:divBdr>
        <w:top w:val="none" w:sz="0" w:space="0" w:color="auto"/>
        <w:left w:val="none" w:sz="0" w:space="0" w:color="auto"/>
        <w:bottom w:val="none" w:sz="0" w:space="0" w:color="auto"/>
        <w:right w:val="none" w:sz="0" w:space="0" w:color="auto"/>
      </w:divBdr>
    </w:div>
    <w:div w:id="1679386512">
      <w:bodyDiv w:val="1"/>
      <w:marLeft w:val="0"/>
      <w:marRight w:val="0"/>
      <w:marTop w:val="0"/>
      <w:marBottom w:val="0"/>
      <w:divBdr>
        <w:top w:val="none" w:sz="0" w:space="0" w:color="auto"/>
        <w:left w:val="none" w:sz="0" w:space="0" w:color="auto"/>
        <w:bottom w:val="none" w:sz="0" w:space="0" w:color="auto"/>
        <w:right w:val="none" w:sz="0" w:space="0" w:color="auto"/>
      </w:divBdr>
    </w:div>
    <w:div w:id="1679498217">
      <w:bodyDiv w:val="1"/>
      <w:marLeft w:val="0"/>
      <w:marRight w:val="0"/>
      <w:marTop w:val="0"/>
      <w:marBottom w:val="0"/>
      <w:divBdr>
        <w:top w:val="none" w:sz="0" w:space="0" w:color="auto"/>
        <w:left w:val="none" w:sz="0" w:space="0" w:color="auto"/>
        <w:bottom w:val="none" w:sz="0" w:space="0" w:color="auto"/>
        <w:right w:val="none" w:sz="0" w:space="0" w:color="auto"/>
      </w:divBdr>
    </w:div>
    <w:div w:id="1679499981">
      <w:bodyDiv w:val="1"/>
      <w:marLeft w:val="0"/>
      <w:marRight w:val="0"/>
      <w:marTop w:val="0"/>
      <w:marBottom w:val="0"/>
      <w:divBdr>
        <w:top w:val="none" w:sz="0" w:space="0" w:color="auto"/>
        <w:left w:val="none" w:sz="0" w:space="0" w:color="auto"/>
        <w:bottom w:val="none" w:sz="0" w:space="0" w:color="auto"/>
        <w:right w:val="none" w:sz="0" w:space="0" w:color="auto"/>
      </w:divBdr>
    </w:div>
    <w:div w:id="1680157066">
      <w:bodyDiv w:val="1"/>
      <w:marLeft w:val="0"/>
      <w:marRight w:val="0"/>
      <w:marTop w:val="0"/>
      <w:marBottom w:val="0"/>
      <w:divBdr>
        <w:top w:val="none" w:sz="0" w:space="0" w:color="auto"/>
        <w:left w:val="none" w:sz="0" w:space="0" w:color="auto"/>
        <w:bottom w:val="none" w:sz="0" w:space="0" w:color="auto"/>
        <w:right w:val="none" w:sz="0" w:space="0" w:color="auto"/>
      </w:divBdr>
    </w:div>
    <w:div w:id="1680695950">
      <w:bodyDiv w:val="1"/>
      <w:marLeft w:val="0"/>
      <w:marRight w:val="0"/>
      <w:marTop w:val="0"/>
      <w:marBottom w:val="0"/>
      <w:divBdr>
        <w:top w:val="none" w:sz="0" w:space="0" w:color="auto"/>
        <w:left w:val="none" w:sz="0" w:space="0" w:color="auto"/>
        <w:bottom w:val="none" w:sz="0" w:space="0" w:color="auto"/>
        <w:right w:val="none" w:sz="0" w:space="0" w:color="auto"/>
      </w:divBdr>
    </w:div>
    <w:div w:id="1680933034">
      <w:bodyDiv w:val="1"/>
      <w:marLeft w:val="0"/>
      <w:marRight w:val="0"/>
      <w:marTop w:val="0"/>
      <w:marBottom w:val="0"/>
      <w:divBdr>
        <w:top w:val="none" w:sz="0" w:space="0" w:color="auto"/>
        <w:left w:val="none" w:sz="0" w:space="0" w:color="auto"/>
        <w:bottom w:val="none" w:sz="0" w:space="0" w:color="auto"/>
        <w:right w:val="none" w:sz="0" w:space="0" w:color="auto"/>
      </w:divBdr>
    </w:div>
    <w:div w:id="1681197671">
      <w:bodyDiv w:val="1"/>
      <w:marLeft w:val="0"/>
      <w:marRight w:val="0"/>
      <w:marTop w:val="0"/>
      <w:marBottom w:val="0"/>
      <w:divBdr>
        <w:top w:val="none" w:sz="0" w:space="0" w:color="auto"/>
        <w:left w:val="none" w:sz="0" w:space="0" w:color="auto"/>
        <w:bottom w:val="none" w:sz="0" w:space="0" w:color="auto"/>
        <w:right w:val="none" w:sz="0" w:space="0" w:color="auto"/>
      </w:divBdr>
    </w:div>
    <w:div w:id="1682077619">
      <w:bodyDiv w:val="1"/>
      <w:marLeft w:val="0"/>
      <w:marRight w:val="0"/>
      <w:marTop w:val="0"/>
      <w:marBottom w:val="0"/>
      <w:divBdr>
        <w:top w:val="none" w:sz="0" w:space="0" w:color="auto"/>
        <w:left w:val="none" w:sz="0" w:space="0" w:color="auto"/>
        <w:bottom w:val="none" w:sz="0" w:space="0" w:color="auto"/>
        <w:right w:val="none" w:sz="0" w:space="0" w:color="auto"/>
      </w:divBdr>
    </w:div>
    <w:div w:id="1682707740">
      <w:bodyDiv w:val="1"/>
      <w:marLeft w:val="0"/>
      <w:marRight w:val="0"/>
      <w:marTop w:val="0"/>
      <w:marBottom w:val="0"/>
      <w:divBdr>
        <w:top w:val="none" w:sz="0" w:space="0" w:color="auto"/>
        <w:left w:val="none" w:sz="0" w:space="0" w:color="auto"/>
        <w:bottom w:val="none" w:sz="0" w:space="0" w:color="auto"/>
        <w:right w:val="none" w:sz="0" w:space="0" w:color="auto"/>
      </w:divBdr>
    </w:div>
    <w:div w:id="1682732710">
      <w:bodyDiv w:val="1"/>
      <w:marLeft w:val="0"/>
      <w:marRight w:val="0"/>
      <w:marTop w:val="0"/>
      <w:marBottom w:val="0"/>
      <w:divBdr>
        <w:top w:val="none" w:sz="0" w:space="0" w:color="auto"/>
        <w:left w:val="none" w:sz="0" w:space="0" w:color="auto"/>
        <w:bottom w:val="none" w:sz="0" w:space="0" w:color="auto"/>
        <w:right w:val="none" w:sz="0" w:space="0" w:color="auto"/>
      </w:divBdr>
    </w:div>
    <w:div w:id="1683893959">
      <w:bodyDiv w:val="1"/>
      <w:marLeft w:val="0"/>
      <w:marRight w:val="0"/>
      <w:marTop w:val="0"/>
      <w:marBottom w:val="0"/>
      <w:divBdr>
        <w:top w:val="none" w:sz="0" w:space="0" w:color="auto"/>
        <w:left w:val="none" w:sz="0" w:space="0" w:color="auto"/>
        <w:bottom w:val="none" w:sz="0" w:space="0" w:color="auto"/>
        <w:right w:val="none" w:sz="0" w:space="0" w:color="auto"/>
      </w:divBdr>
    </w:div>
    <w:div w:id="1684939781">
      <w:bodyDiv w:val="1"/>
      <w:marLeft w:val="0"/>
      <w:marRight w:val="0"/>
      <w:marTop w:val="0"/>
      <w:marBottom w:val="0"/>
      <w:divBdr>
        <w:top w:val="none" w:sz="0" w:space="0" w:color="auto"/>
        <w:left w:val="none" w:sz="0" w:space="0" w:color="auto"/>
        <w:bottom w:val="none" w:sz="0" w:space="0" w:color="auto"/>
        <w:right w:val="none" w:sz="0" w:space="0" w:color="auto"/>
      </w:divBdr>
    </w:div>
    <w:div w:id="1685132363">
      <w:bodyDiv w:val="1"/>
      <w:marLeft w:val="0"/>
      <w:marRight w:val="0"/>
      <w:marTop w:val="0"/>
      <w:marBottom w:val="0"/>
      <w:divBdr>
        <w:top w:val="none" w:sz="0" w:space="0" w:color="auto"/>
        <w:left w:val="none" w:sz="0" w:space="0" w:color="auto"/>
        <w:bottom w:val="none" w:sz="0" w:space="0" w:color="auto"/>
        <w:right w:val="none" w:sz="0" w:space="0" w:color="auto"/>
      </w:divBdr>
    </w:div>
    <w:div w:id="1685789116">
      <w:bodyDiv w:val="1"/>
      <w:marLeft w:val="0"/>
      <w:marRight w:val="0"/>
      <w:marTop w:val="0"/>
      <w:marBottom w:val="0"/>
      <w:divBdr>
        <w:top w:val="none" w:sz="0" w:space="0" w:color="auto"/>
        <w:left w:val="none" w:sz="0" w:space="0" w:color="auto"/>
        <w:bottom w:val="none" w:sz="0" w:space="0" w:color="auto"/>
        <w:right w:val="none" w:sz="0" w:space="0" w:color="auto"/>
      </w:divBdr>
    </w:div>
    <w:div w:id="1686788009">
      <w:bodyDiv w:val="1"/>
      <w:marLeft w:val="0"/>
      <w:marRight w:val="0"/>
      <w:marTop w:val="0"/>
      <w:marBottom w:val="0"/>
      <w:divBdr>
        <w:top w:val="none" w:sz="0" w:space="0" w:color="auto"/>
        <w:left w:val="none" w:sz="0" w:space="0" w:color="auto"/>
        <w:bottom w:val="none" w:sz="0" w:space="0" w:color="auto"/>
        <w:right w:val="none" w:sz="0" w:space="0" w:color="auto"/>
      </w:divBdr>
    </w:div>
    <w:div w:id="1686903997">
      <w:bodyDiv w:val="1"/>
      <w:marLeft w:val="0"/>
      <w:marRight w:val="0"/>
      <w:marTop w:val="0"/>
      <w:marBottom w:val="0"/>
      <w:divBdr>
        <w:top w:val="none" w:sz="0" w:space="0" w:color="auto"/>
        <w:left w:val="none" w:sz="0" w:space="0" w:color="auto"/>
        <w:bottom w:val="none" w:sz="0" w:space="0" w:color="auto"/>
        <w:right w:val="none" w:sz="0" w:space="0" w:color="auto"/>
      </w:divBdr>
    </w:div>
    <w:div w:id="1688408053">
      <w:bodyDiv w:val="1"/>
      <w:marLeft w:val="0"/>
      <w:marRight w:val="0"/>
      <w:marTop w:val="0"/>
      <w:marBottom w:val="0"/>
      <w:divBdr>
        <w:top w:val="none" w:sz="0" w:space="0" w:color="auto"/>
        <w:left w:val="none" w:sz="0" w:space="0" w:color="auto"/>
        <w:bottom w:val="none" w:sz="0" w:space="0" w:color="auto"/>
        <w:right w:val="none" w:sz="0" w:space="0" w:color="auto"/>
      </w:divBdr>
    </w:div>
    <w:div w:id="1688435939">
      <w:bodyDiv w:val="1"/>
      <w:marLeft w:val="0"/>
      <w:marRight w:val="0"/>
      <w:marTop w:val="0"/>
      <w:marBottom w:val="0"/>
      <w:divBdr>
        <w:top w:val="none" w:sz="0" w:space="0" w:color="auto"/>
        <w:left w:val="none" w:sz="0" w:space="0" w:color="auto"/>
        <w:bottom w:val="none" w:sz="0" w:space="0" w:color="auto"/>
        <w:right w:val="none" w:sz="0" w:space="0" w:color="auto"/>
      </w:divBdr>
    </w:div>
    <w:div w:id="1688484741">
      <w:bodyDiv w:val="1"/>
      <w:marLeft w:val="0"/>
      <w:marRight w:val="0"/>
      <w:marTop w:val="0"/>
      <w:marBottom w:val="0"/>
      <w:divBdr>
        <w:top w:val="none" w:sz="0" w:space="0" w:color="auto"/>
        <w:left w:val="none" w:sz="0" w:space="0" w:color="auto"/>
        <w:bottom w:val="none" w:sz="0" w:space="0" w:color="auto"/>
        <w:right w:val="none" w:sz="0" w:space="0" w:color="auto"/>
      </w:divBdr>
    </w:div>
    <w:div w:id="1688602971">
      <w:bodyDiv w:val="1"/>
      <w:marLeft w:val="0"/>
      <w:marRight w:val="0"/>
      <w:marTop w:val="0"/>
      <w:marBottom w:val="0"/>
      <w:divBdr>
        <w:top w:val="none" w:sz="0" w:space="0" w:color="auto"/>
        <w:left w:val="none" w:sz="0" w:space="0" w:color="auto"/>
        <w:bottom w:val="none" w:sz="0" w:space="0" w:color="auto"/>
        <w:right w:val="none" w:sz="0" w:space="0" w:color="auto"/>
      </w:divBdr>
    </w:div>
    <w:div w:id="1688824650">
      <w:bodyDiv w:val="1"/>
      <w:marLeft w:val="0"/>
      <w:marRight w:val="0"/>
      <w:marTop w:val="0"/>
      <w:marBottom w:val="0"/>
      <w:divBdr>
        <w:top w:val="none" w:sz="0" w:space="0" w:color="auto"/>
        <w:left w:val="none" w:sz="0" w:space="0" w:color="auto"/>
        <w:bottom w:val="none" w:sz="0" w:space="0" w:color="auto"/>
        <w:right w:val="none" w:sz="0" w:space="0" w:color="auto"/>
      </w:divBdr>
    </w:div>
    <w:div w:id="1689403861">
      <w:bodyDiv w:val="1"/>
      <w:marLeft w:val="0"/>
      <w:marRight w:val="0"/>
      <w:marTop w:val="0"/>
      <w:marBottom w:val="0"/>
      <w:divBdr>
        <w:top w:val="none" w:sz="0" w:space="0" w:color="auto"/>
        <w:left w:val="none" w:sz="0" w:space="0" w:color="auto"/>
        <w:bottom w:val="none" w:sz="0" w:space="0" w:color="auto"/>
        <w:right w:val="none" w:sz="0" w:space="0" w:color="auto"/>
      </w:divBdr>
    </w:div>
    <w:div w:id="1689790650">
      <w:bodyDiv w:val="1"/>
      <w:marLeft w:val="0"/>
      <w:marRight w:val="0"/>
      <w:marTop w:val="0"/>
      <w:marBottom w:val="0"/>
      <w:divBdr>
        <w:top w:val="none" w:sz="0" w:space="0" w:color="auto"/>
        <w:left w:val="none" w:sz="0" w:space="0" w:color="auto"/>
        <w:bottom w:val="none" w:sz="0" w:space="0" w:color="auto"/>
        <w:right w:val="none" w:sz="0" w:space="0" w:color="auto"/>
      </w:divBdr>
    </w:div>
    <w:div w:id="1690447203">
      <w:bodyDiv w:val="1"/>
      <w:marLeft w:val="0"/>
      <w:marRight w:val="0"/>
      <w:marTop w:val="0"/>
      <w:marBottom w:val="0"/>
      <w:divBdr>
        <w:top w:val="none" w:sz="0" w:space="0" w:color="auto"/>
        <w:left w:val="none" w:sz="0" w:space="0" w:color="auto"/>
        <w:bottom w:val="none" w:sz="0" w:space="0" w:color="auto"/>
        <w:right w:val="none" w:sz="0" w:space="0" w:color="auto"/>
      </w:divBdr>
    </w:div>
    <w:div w:id="1690645847">
      <w:bodyDiv w:val="1"/>
      <w:marLeft w:val="0"/>
      <w:marRight w:val="0"/>
      <w:marTop w:val="0"/>
      <w:marBottom w:val="0"/>
      <w:divBdr>
        <w:top w:val="none" w:sz="0" w:space="0" w:color="auto"/>
        <w:left w:val="none" w:sz="0" w:space="0" w:color="auto"/>
        <w:bottom w:val="none" w:sz="0" w:space="0" w:color="auto"/>
        <w:right w:val="none" w:sz="0" w:space="0" w:color="auto"/>
      </w:divBdr>
    </w:div>
    <w:div w:id="1691760945">
      <w:bodyDiv w:val="1"/>
      <w:marLeft w:val="0"/>
      <w:marRight w:val="0"/>
      <w:marTop w:val="0"/>
      <w:marBottom w:val="0"/>
      <w:divBdr>
        <w:top w:val="none" w:sz="0" w:space="0" w:color="auto"/>
        <w:left w:val="none" w:sz="0" w:space="0" w:color="auto"/>
        <w:bottom w:val="none" w:sz="0" w:space="0" w:color="auto"/>
        <w:right w:val="none" w:sz="0" w:space="0" w:color="auto"/>
      </w:divBdr>
    </w:div>
    <w:div w:id="1691907849">
      <w:bodyDiv w:val="1"/>
      <w:marLeft w:val="0"/>
      <w:marRight w:val="0"/>
      <w:marTop w:val="0"/>
      <w:marBottom w:val="0"/>
      <w:divBdr>
        <w:top w:val="none" w:sz="0" w:space="0" w:color="auto"/>
        <w:left w:val="none" w:sz="0" w:space="0" w:color="auto"/>
        <w:bottom w:val="none" w:sz="0" w:space="0" w:color="auto"/>
        <w:right w:val="none" w:sz="0" w:space="0" w:color="auto"/>
      </w:divBdr>
    </w:div>
    <w:div w:id="1692101966">
      <w:bodyDiv w:val="1"/>
      <w:marLeft w:val="0"/>
      <w:marRight w:val="0"/>
      <w:marTop w:val="0"/>
      <w:marBottom w:val="0"/>
      <w:divBdr>
        <w:top w:val="none" w:sz="0" w:space="0" w:color="auto"/>
        <w:left w:val="none" w:sz="0" w:space="0" w:color="auto"/>
        <w:bottom w:val="none" w:sz="0" w:space="0" w:color="auto"/>
        <w:right w:val="none" w:sz="0" w:space="0" w:color="auto"/>
      </w:divBdr>
    </w:div>
    <w:div w:id="1692417953">
      <w:bodyDiv w:val="1"/>
      <w:marLeft w:val="0"/>
      <w:marRight w:val="0"/>
      <w:marTop w:val="0"/>
      <w:marBottom w:val="0"/>
      <w:divBdr>
        <w:top w:val="none" w:sz="0" w:space="0" w:color="auto"/>
        <w:left w:val="none" w:sz="0" w:space="0" w:color="auto"/>
        <w:bottom w:val="none" w:sz="0" w:space="0" w:color="auto"/>
        <w:right w:val="none" w:sz="0" w:space="0" w:color="auto"/>
      </w:divBdr>
    </w:div>
    <w:div w:id="1692754815">
      <w:bodyDiv w:val="1"/>
      <w:marLeft w:val="0"/>
      <w:marRight w:val="0"/>
      <w:marTop w:val="0"/>
      <w:marBottom w:val="0"/>
      <w:divBdr>
        <w:top w:val="none" w:sz="0" w:space="0" w:color="auto"/>
        <w:left w:val="none" w:sz="0" w:space="0" w:color="auto"/>
        <w:bottom w:val="none" w:sz="0" w:space="0" w:color="auto"/>
        <w:right w:val="none" w:sz="0" w:space="0" w:color="auto"/>
      </w:divBdr>
    </w:div>
    <w:div w:id="1693023028">
      <w:bodyDiv w:val="1"/>
      <w:marLeft w:val="0"/>
      <w:marRight w:val="0"/>
      <w:marTop w:val="0"/>
      <w:marBottom w:val="0"/>
      <w:divBdr>
        <w:top w:val="none" w:sz="0" w:space="0" w:color="auto"/>
        <w:left w:val="none" w:sz="0" w:space="0" w:color="auto"/>
        <w:bottom w:val="none" w:sz="0" w:space="0" w:color="auto"/>
        <w:right w:val="none" w:sz="0" w:space="0" w:color="auto"/>
      </w:divBdr>
    </w:div>
    <w:div w:id="1693259991">
      <w:bodyDiv w:val="1"/>
      <w:marLeft w:val="0"/>
      <w:marRight w:val="0"/>
      <w:marTop w:val="0"/>
      <w:marBottom w:val="0"/>
      <w:divBdr>
        <w:top w:val="none" w:sz="0" w:space="0" w:color="auto"/>
        <w:left w:val="none" w:sz="0" w:space="0" w:color="auto"/>
        <w:bottom w:val="none" w:sz="0" w:space="0" w:color="auto"/>
        <w:right w:val="none" w:sz="0" w:space="0" w:color="auto"/>
      </w:divBdr>
    </w:div>
    <w:div w:id="1694187986">
      <w:bodyDiv w:val="1"/>
      <w:marLeft w:val="0"/>
      <w:marRight w:val="0"/>
      <w:marTop w:val="0"/>
      <w:marBottom w:val="0"/>
      <w:divBdr>
        <w:top w:val="none" w:sz="0" w:space="0" w:color="auto"/>
        <w:left w:val="none" w:sz="0" w:space="0" w:color="auto"/>
        <w:bottom w:val="none" w:sz="0" w:space="0" w:color="auto"/>
        <w:right w:val="none" w:sz="0" w:space="0" w:color="auto"/>
      </w:divBdr>
    </w:div>
    <w:div w:id="1694264889">
      <w:bodyDiv w:val="1"/>
      <w:marLeft w:val="0"/>
      <w:marRight w:val="0"/>
      <w:marTop w:val="0"/>
      <w:marBottom w:val="0"/>
      <w:divBdr>
        <w:top w:val="none" w:sz="0" w:space="0" w:color="auto"/>
        <w:left w:val="none" w:sz="0" w:space="0" w:color="auto"/>
        <w:bottom w:val="none" w:sz="0" w:space="0" w:color="auto"/>
        <w:right w:val="none" w:sz="0" w:space="0" w:color="auto"/>
      </w:divBdr>
    </w:div>
    <w:div w:id="1694728026">
      <w:bodyDiv w:val="1"/>
      <w:marLeft w:val="0"/>
      <w:marRight w:val="0"/>
      <w:marTop w:val="0"/>
      <w:marBottom w:val="0"/>
      <w:divBdr>
        <w:top w:val="none" w:sz="0" w:space="0" w:color="auto"/>
        <w:left w:val="none" w:sz="0" w:space="0" w:color="auto"/>
        <w:bottom w:val="none" w:sz="0" w:space="0" w:color="auto"/>
        <w:right w:val="none" w:sz="0" w:space="0" w:color="auto"/>
      </w:divBdr>
    </w:div>
    <w:div w:id="1695425503">
      <w:bodyDiv w:val="1"/>
      <w:marLeft w:val="0"/>
      <w:marRight w:val="0"/>
      <w:marTop w:val="0"/>
      <w:marBottom w:val="0"/>
      <w:divBdr>
        <w:top w:val="none" w:sz="0" w:space="0" w:color="auto"/>
        <w:left w:val="none" w:sz="0" w:space="0" w:color="auto"/>
        <w:bottom w:val="none" w:sz="0" w:space="0" w:color="auto"/>
        <w:right w:val="none" w:sz="0" w:space="0" w:color="auto"/>
      </w:divBdr>
    </w:div>
    <w:div w:id="1695618534">
      <w:bodyDiv w:val="1"/>
      <w:marLeft w:val="0"/>
      <w:marRight w:val="0"/>
      <w:marTop w:val="0"/>
      <w:marBottom w:val="0"/>
      <w:divBdr>
        <w:top w:val="none" w:sz="0" w:space="0" w:color="auto"/>
        <w:left w:val="none" w:sz="0" w:space="0" w:color="auto"/>
        <w:bottom w:val="none" w:sz="0" w:space="0" w:color="auto"/>
        <w:right w:val="none" w:sz="0" w:space="0" w:color="auto"/>
      </w:divBdr>
    </w:div>
    <w:div w:id="1696148996">
      <w:bodyDiv w:val="1"/>
      <w:marLeft w:val="0"/>
      <w:marRight w:val="0"/>
      <w:marTop w:val="0"/>
      <w:marBottom w:val="0"/>
      <w:divBdr>
        <w:top w:val="none" w:sz="0" w:space="0" w:color="auto"/>
        <w:left w:val="none" w:sz="0" w:space="0" w:color="auto"/>
        <w:bottom w:val="none" w:sz="0" w:space="0" w:color="auto"/>
        <w:right w:val="none" w:sz="0" w:space="0" w:color="auto"/>
      </w:divBdr>
    </w:div>
    <w:div w:id="1696151214">
      <w:bodyDiv w:val="1"/>
      <w:marLeft w:val="0"/>
      <w:marRight w:val="0"/>
      <w:marTop w:val="0"/>
      <w:marBottom w:val="0"/>
      <w:divBdr>
        <w:top w:val="none" w:sz="0" w:space="0" w:color="auto"/>
        <w:left w:val="none" w:sz="0" w:space="0" w:color="auto"/>
        <w:bottom w:val="none" w:sz="0" w:space="0" w:color="auto"/>
        <w:right w:val="none" w:sz="0" w:space="0" w:color="auto"/>
      </w:divBdr>
    </w:div>
    <w:div w:id="1697384596">
      <w:bodyDiv w:val="1"/>
      <w:marLeft w:val="0"/>
      <w:marRight w:val="0"/>
      <w:marTop w:val="0"/>
      <w:marBottom w:val="0"/>
      <w:divBdr>
        <w:top w:val="none" w:sz="0" w:space="0" w:color="auto"/>
        <w:left w:val="none" w:sz="0" w:space="0" w:color="auto"/>
        <w:bottom w:val="none" w:sz="0" w:space="0" w:color="auto"/>
        <w:right w:val="none" w:sz="0" w:space="0" w:color="auto"/>
      </w:divBdr>
    </w:div>
    <w:div w:id="1698774001">
      <w:bodyDiv w:val="1"/>
      <w:marLeft w:val="0"/>
      <w:marRight w:val="0"/>
      <w:marTop w:val="0"/>
      <w:marBottom w:val="0"/>
      <w:divBdr>
        <w:top w:val="none" w:sz="0" w:space="0" w:color="auto"/>
        <w:left w:val="none" w:sz="0" w:space="0" w:color="auto"/>
        <w:bottom w:val="none" w:sz="0" w:space="0" w:color="auto"/>
        <w:right w:val="none" w:sz="0" w:space="0" w:color="auto"/>
      </w:divBdr>
    </w:div>
    <w:div w:id="1699089559">
      <w:bodyDiv w:val="1"/>
      <w:marLeft w:val="0"/>
      <w:marRight w:val="0"/>
      <w:marTop w:val="0"/>
      <w:marBottom w:val="0"/>
      <w:divBdr>
        <w:top w:val="none" w:sz="0" w:space="0" w:color="auto"/>
        <w:left w:val="none" w:sz="0" w:space="0" w:color="auto"/>
        <w:bottom w:val="none" w:sz="0" w:space="0" w:color="auto"/>
        <w:right w:val="none" w:sz="0" w:space="0" w:color="auto"/>
      </w:divBdr>
    </w:div>
    <w:div w:id="1699164394">
      <w:bodyDiv w:val="1"/>
      <w:marLeft w:val="0"/>
      <w:marRight w:val="0"/>
      <w:marTop w:val="0"/>
      <w:marBottom w:val="0"/>
      <w:divBdr>
        <w:top w:val="none" w:sz="0" w:space="0" w:color="auto"/>
        <w:left w:val="none" w:sz="0" w:space="0" w:color="auto"/>
        <w:bottom w:val="none" w:sz="0" w:space="0" w:color="auto"/>
        <w:right w:val="none" w:sz="0" w:space="0" w:color="auto"/>
      </w:divBdr>
    </w:div>
    <w:div w:id="1699315609">
      <w:bodyDiv w:val="1"/>
      <w:marLeft w:val="0"/>
      <w:marRight w:val="0"/>
      <w:marTop w:val="0"/>
      <w:marBottom w:val="0"/>
      <w:divBdr>
        <w:top w:val="none" w:sz="0" w:space="0" w:color="auto"/>
        <w:left w:val="none" w:sz="0" w:space="0" w:color="auto"/>
        <w:bottom w:val="none" w:sz="0" w:space="0" w:color="auto"/>
        <w:right w:val="none" w:sz="0" w:space="0" w:color="auto"/>
      </w:divBdr>
    </w:div>
    <w:div w:id="1701324417">
      <w:bodyDiv w:val="1"/>
      <w:marLeft w:val="0"/>
      <w:marRight w:val="0"/>
      <w:marTop w:val="0"/>
      <w:marBottom w:val="0"/>
      <w:divBdr>
        <w:top w:val="none" w:sz="0" w:space="0" w:color="auto"/>
        <w:left w:val="none" w:sz="0" w:space="0" w:color="auto"/>
        <w:bottom w:val="none" w:sz="0" w:space="0" w:color="auto"/>
        <w:right w:val="none" w:sz="0" w:space="0" w:color="auto"/>
      </w:divBdr>
    </w:div>
    <w:div w:id="1701667878">
      <w:bodyDiv w:val="1"/>
      <w:marLeft w:val="0"/>
      <w:marRight w:val="0"/>
      <w:marTop w:val="0"/>
      <w:marBottom w:val="0"/>
      <w:divBdr>
        <w:top w:val="none" w:sz="0" w:space="0" w:color="auto"/>
        <w:left w:val="none" w:sz="0" w:space="0" w:color="auto"/>
        <w:bottom w:val="none" w:sz="0" w:space="0" w:color="auto"/>
        <w:right w:val="none" w:sz="0" w:space="0" w:color="auto"/>
      </w:divBdr>
    </w:div>
    <w:div w:id="1701975267">
      <w:bodyDiv w:val="1"/>
      <w:marLeft w:val="0"/>
      <w:marRight w:val="0"/>
      <w:marTop w:val="0"/>
      <w:marBottom w:val="0"/>
      <w:divBdr>
        <w:top w:val="none" w:sz="0" w:space="0" w:color="auto"/>
        <w:left w:val="none" w:sz="0" w:space="0" w:color="auto"/>
        <w:bottom w:val="none" w:sz="0" w:space="0" w:color="auto"/>
        <w:right w:val="none" w:sz="0" w:space="0" w:color="auto"/>
      </w:divBdr>
    </w:div>
    <w:div w:id="1702050505">
      <w:bodyDiv w:val="1"/>
      <w:marLeft w:val="0"/>
      <w:marRight w:val="0"/>
      <w:marTop w:val="0"/>
      <w:marBottom w:val="0"/>
      <w:divBdr>
        <w:top w:val="none" w:sz="0" w:space="0" w:color="auto"/>
        <w:left w:val="none" w:sz="0" w:space="0" w:color="auto"/>
        <w:bottom w:val="none" w:sz="0" w:space="0" w:color="auto"/>
        <w:right w:val="none" w:sz="0" w:space="0" w:color="auto"/>
      </w:divBdr>
    </w:div>
    <w:div w:id="1703706522">
      <w:bodyDiv w:val="1"/>
      <w:marLeft w:val="0"/>
      <w:marRight w:val="0"/>
      <w:marTop w:val="0"/>
      <w:marBottom w:val="0"/>
      <w:divBdr>
        <w:top w:val="none" w:sz="0" w:space="0" w:color="auto"/>
        <w:left w:val="none" w:sz="0" w:space="0" w:color="auto"/>
        <w:bottom w:val="none" w:sz="0" w:space="0" w:color="auto"/>
        <w:right w:val="none" w:sz="0" w:space="0" w:color="auto"/>
      </w:divBdr>
    </w:div>
    <w:div w:id="1704748977">
      <w:bodyDiv w:val="1"/>
      <w:marLeft w:val="0"/>
      <w:marRight w:val="0"/>
      <w:marTop w:val="0"/>
      <w:marBottom w:val="0"/>
      <w:divBdr>
        <w:top w:val="none" w:sz="0" w:space="0" w:color="auto"/>
        <w:left w:val="none" w:sz="0" w:space="0" w:color="auto"/>
        <w:bottom w:val="none" w:sz="0" w:space="0" w:color="auto"/>
        <w:right w:val="none" w:sz="0" w:space="0" w:color="auto"/>
      </w:divBdr>
    </w:div>
    <w:div w:id="1704750428">
      <w:bodyDiv w:val="1"/>
      <w:marLeft w:val="0"/>
      <w:marRight w:val="0"/>
      <w:marTop w:val="0"/>
      <w:marBottom w:val="0"/>
      <w:divBdr>
        <w:top w:val="none" w:sz="0" w:space="0" w:color="auto"/>
        <w:left w:val="none" w:sz="0" w:space="0" w:color="auto"/>
        <w:bottom w:val="none" w:sz="0" w:space="0" w:color="auto"/>
        <w:right w:val="none" w:sz="0" w:space="0" w:color="auto"/>
      </w:divBdr>
    </w:div>
    <w:div w:id="1705517828">
      <w:bodyDiv w:val="1"/>
      <w:marLeft w:val="0"/>
      <w:marRight w:val="0"/>
      <w:marTop w:val="0"/>
      <w:marBottom w:val="0"/>
      <w:divBdr>
        <w:top w:val="none" w:sz="0" w:space="0" w:color="auto"/>
        <w:left w:val="none" w:sz="0" w:space="0" w:color="auto"/>
        <w:bottom w:val="none" w:sz="0" w:space="0" w:color="auto"/>
        <w:right w:val="none" w:sz="0" w:space="0" w:color="auto"/>
      </w:divBdr>
    </w:div>
    <w:div w:id="1705908639">
      <w:bodyDiv w:val="1"/>
      <w:marLeft w:val="0"/>
      <w:marRight w:val="0"/>
      <w:marTop w:val="0"/>
      <w:marBottom w:val="0"/>
      <w:divBdr>
        <w:top w:val="none" w:sz="0" w:space="0" w:color="auto"/>
        <w:left w:val="none" w:sz="0" w:space="0" w:color="auto"/>
        <w:bottom w:val="none" w:sz="0" w:space="0" w:color="auto"/>
        <w:right w:val="none" w:sz="0" w:space="0" w:color="auto"/>
      </w:divBdr>
    </w:div>
    <w:div w:id="1707413923">
      <w:bodyDiv w:val="1"/>
      <w:marLeft w:val="0"/>
      <w:marRight w:val="0"/>
      <w:marTop w:val="0"/>
      <w:marBottom w:val="0"/>
      <w:divBdr>
        <w:top w:val="none" w:sz="0" w:space="0" w:color="auto"/>
        <w:left w:val="none" w:sz="0" w:space="0" w:color="auto"/>
        <w:bottom w:val="none" w:sz="0" w:space="0" w:color="auto"/>
        <w:right w:val="none" w:sz="0" w:space="0" w:color="auto"/>
      </w:divBdr>
    </w:div>
    <w:div w:id="1707482737">
      <w:bodyDiv w:val="1"/>
      <w:marLeft w:val="0"/>
      <w:marRight w:val="0"/>
      <w:marTop w:val="0"/>
      <w:marBottom w:val="0"/>
      <w:divBdr>
        <w:top w:val="none" w:sz="0" w:space="0" w:color="auto"/>
        <w:left w:val="none" w:sz="0" w:space="0" w:color="auto"/>
        <w:bottom w:val="none" w:sz="0" w:space="0" w:color="auto"/>
        <w:right w:val="none" w:sz="0" w:space="0" w:color="auto"/>
      </w:divBdr>
    </w:div>
    <w:div w:id="1707758841">
      <w:bodyDiv w:val="1"/>
      <w:marLeft w:val="0"/>
      <w:marRight w:val="0"/>
      <w:marTop w:val="0"/>
      <w:marBottom w:val="0"/>
      <w:divBdr>
        <w:top w:val="none" w:sz="0" w:space="0" w:color="auto"/>
        <w:left w:val="none" w:sz="0" w:space="0" w:color="auto"/>
        <w:bottom w:val="none" w:sz="0" w:space="0" w:color="auto"/>
        <w:right w:val="none" w:sz="0" w:space="0" w:color="auto"/>
      </w:divBdr>
    </w:div>
    <w:div w:id="1708986210">
      <w:bodyDiv w:val="1"/>
      <w:marLeft w:val="0"/>
      <w:marRight w:val="0"/>
      <w:marTop w:val="0"/>
      <w:marBottom w:val="0"/>
      <w:divBdr>
        <w:top w:val="none" w:sz="0" w:space="0" w:color="auto"/>
        <w:left w:val="none" w:sz="0" w:space="0" w:color="auto"/>
        <w:bottom w:val="none" w:sz="0" w:space="0" w:color="auto"/>
        <w:right w:val="none" w:sz="0" w:space="0" w:color="auto"/>
      </w:divBdr>
    </w:div>
    <w:div w:id="1709603219">
      <w:bodyDiv w:val="1"/>
      <w:marLeft w:val="0"/>
      <w:marRight w:val="0"/>
      <w:marTop w:val="0"/>
      <w:marBottom w:val="0"/>
      <w:divBdr>
        <w:top w:val="none" w:sz="0" w:space="0" w:color="auto"/>
        <w:left w:val="none" w:sz="0" w:space="0" w:color="auto"/>
        <w:bottom w:val="none" w:sz="0" w:space="0" w:color="auto"/>
        <w:right w:val="none" w:sz="0" w:space="0" w:color="auto"/>
      </w:divBdr>
    </w:div>
    <w:div w:id="1710033809">
      <w:bodyDiv w:val="1"/>
      <w:marLeft w:val="0"/>
      <w:marRight w:val="0"/>
      <w:marTop w:val="0"/>
      <w:marBottom w:val="0"/>
      <w:divBdr>
        <w:top w:val="none" w:sz="0" w:space="0" w:color="auto"/>
        <w:left w:val="none" w:sz="0" w:space="0" w:color="auto"/>
        <w:bottom w:val="none" w:sz="0" w:space="0" w:color="auto"/>
        <w:right w:val="none" w:sz="0" w:space="0" w:color="auto"/>
      </w:divBdr>
    </w:div>
    <w:div w:id="1711033803">
      <w:bodyDiv w:val="1"/>
      <w:marLeft w:val="0"/>
      <w:marRight w:val="0"/>
      <w:marTop w:val="0"/>
      <w:marBottom w:val="0"/>
      <w:divBdr>
        <w:top w:val="none" w:sz="0" w:space="0" w:color="auto"/>
        <w:left w:val="none" w:sz="0" w:space="0" w:color="auto"/>
        <w:bottom w:val="none" w:sz="0" w:space="0" w:color="auto"/>
        <w:right w:val="none" w:sz="0" w:space="0" w:color="auto"/>
      </w:divBdr>
    </w:div>
    <w:div w:id="1711106229">
      <w:bodyDiv w:val="1"/>
      <w:marLeft w:val="0"/>
      <w:marRight w:val="0"/>
      <w:marTop w:val="0"/>
      <w:marBottom w:val="0"/>
      <w:divBdr>
        <w:top w:val="none" w:sz="0" w:space="0" w:color="auto"/>
        <w:left w:val="none" w:sz="0" w:space="0" w:color="auto"/>
        <w:bottom w:val="none" w:sz="0" w:space="0" w:color="auto"/>
        <w:right w:val="none" w:sz="0" w:space="0" w:color="auto"/>
      </w:divBdr>
    </w:div>
    <w:div w:id="1711219689">
      <w:bodyDiv w:val="1"/>
      <w:marLeft w:val="0"/>
      <w:marRight w:val="0"/>
      <w:marTop w:val="0"/>
      <w:marBottom w:val="0"/>
      <w:divBdr>
        <w:top w:val="none" w:sz="0" w:space="0" w:color="auto"/>
        <w:left w:val="none" w:sz="0" w:space="0" w:color="auto"/>
        <w:bottom w:val="none" w:sz="0" w:space="0" w:color="auto"/>
        <w:right w:val="none" w:sz="0" w:space="0" w:color="auto"/>
      </w:divBdr>
    </w:div>
    <w:div w:id="1713072508">
      <w:bodyDiv w:val="1"/>
      <w:marLeft w:val="0"/>
      <w:marRight w:val="0"/>
      <w:marTop w:val="0"/>
      <w:marBottom w:val="0"/>
      <w:divBdr>
        <w:top w:val="none" w:sz="0" w:space="0" w:color="auto"/>
        <w:left w:val="none" w:sz="0" w:space="0" w:color="auto"/>
        <w:bottom w:val="none" w:sz="0" w:space="0" w:color="auto"/>
        <w:right w:val="none" w:sz="0" w:space="0" w:color="auto"/>
      </w:divBdr>
    </w:div>
    <w:div w:id="1713115668">
      <w:bodyDiv w:val="1"/>
      <w:marLeft w:val="0"/>
      <w:marRight w:val="0"/>
      <w:marTop w:val="0"/>
      <w:marBottom w:val="0"/>
      <w:divBdr>
        <w:top w:val="none" w:sz="0" w:space="0" w:color="auto"/>
        <w:left w:val="none" w:sz="0" w:space="0" w:color="auto"/>
        <w:bottom w:val="none" w:sz="0" w:space="0" w:color="auto"/>
        <w:right w:val="none" w:sz="0" w:space="0" w:color="auto"/>
      </w:divBdr>
    </w:div>
    <w:div w:id="1713766809">
      <w:bodyDiv w:val="1"/>
      <w:marLeft w:val="0"/>
      <w:marRight w:val="0"/>
      <w:marTop w:val="0"/>
      <w:marBottom w:val="0"/>
      <w:divBdr>
        <w:top w:val="none" w:sz="0" w:space="0" w:color="auto"/>
        <w:left w:val="none" w:sz="0" w:space="0" w:color="auto"/>
        <w:bottom w:val="none" w:sz="0" w:space="0" w:color="auto"/>
        <w:right w:val="none" w:sz="0" w:space="0" w:color="auto"/>
      </w:divBdr>
    </w:div>
    <w:div w:id="1714425639">
      <w:bodyDiv w:val="1"/>
      <w:marLeft w:val="0"/>
      <w:marRight w:val="0"/>
      <w:marTop w:val="0"/>
      <w:marBottom w:val="0"/>
      <w:divBdr>
        <w:top w:val="none" w:sz="0" w:space="0" w:color="auto"/>
        <w:left w:val="none" w:sz="0" w:space="0" w:color="auto"/>
        <w:bottom w:val="none" w:sz="0" w:space="0" w:color="auto"/>
        <w:right w:val="none" w:sz="0" w:space="0" w:color="auto"/>
      </w:divBdr>
    </w:div>
    <w:div w:id="1714499950">
      <w:bodyDiv w:val="1"/>
      <w:marLeft w:val="0"/>
      <w:marRight w:val="0"/>
      <w:marTop w:val="0"/>
      <w:marBottom w:val="0"/>
      <w:divBdr>
        <w:top w:val="none" w:sz="0" w:space="0" w:color="auto"/>
        <w:left w:val="none" w:sz="0" w:space="0" w:color="auto"/>
        <w:bottom w:val="none" w:sz="0" w:space="0" w:color="auto"/>
        <w:right w:val="none" w:sz="0" w:space="0" w:color="auto"/>
      </w:divBdr>
    </w:div>
    <w:div w:id="1715033488">
      <w:bodyDiv w:val="1"/>
      <w:marLeft w:val="0"/>
      <w:marRight w:val="0"/>
      <w:marTop w:val="0"/>
      <w:marBottom w:val="0"/>
      <w:divBdr>
        <w:top w:val="none" w:sz="0" w:space="0" w:color="auto"/>
        <w:left w:val="none" w:sz="0" w:space="0" w:color="auto"/>
        <w:bottom w:val="none" w:sz="0" w:space="0" w:color="auto"/>
        <w:right w:val="none" w:sz="0" w:space="0" w:color="auto"/>
      </w:divBdr>
    </w:div>
    <w:div w:id="1715151144">
      <w:bodyDiv w:val="1"/>
      <w:marLeft w:val="0"/>
      <w:marRight w:val="0"/>
      <w:marTop w:val="0"/>
      <w:marBottom w:val="0"/>
      <w:divBdr>
        <w:top w:val="none" w:sz="0" w:space="0" w:color="auto"/>
        <w:left w:val="none" w:sz="0" w:space="0" w:color="auto"/>
        <w:bottom w:val="none" w:sz="0" w:space="0" w:color="auto"/>
        <w:right w:val="none" w:sz="0" w:space="0" w:color="auto"/>
      </w:divBdr>
    </w:div>
    <w:div w:id="1715277205">
      <w:bodyDiv w:val="1"/>
      <w:marLeft w:val="0"/>
      <w:marRight w:val="0"/>
      <w:marTop w:val="0"/>
      <w:marBottom w:val="0"/>
      <w:divBdr>
        <w:top w:val="none" w:sz="0" w:space="0" w:color="auto"/>
        <w:left w:val="none" w:sz="0" w:space="0" w:color="auto"/>
        <w:bottom w:val="none" w:sz="0" w:space="0" w:color="auto"/>
        <w:right w:val="none" w:sz="0" w:space="0" w:color="auto"/>
      </w:divBdr>
    </w:div>
    <w:div w:id="1716153392">
      <w:bodyDiv w:val="1"/>
      <w:marLeft w:val="0"/>
      <w:marRight w:val="0"/>
      <w:marTop w:val="0"/>
      <w:marBottom w:val="0"/>
      <w:divBdr>
        <w:top w:val="none" w:sz="0" w:space="0" w:color="auto"/>
        <w:left w:val="none" w:sz="0" w:space="0" w:color="auto"/>
        <w:bottom w:val="none" w:sz="0" w:space="0" w:color="auto"/>
        <w:right w:val="none" w:sz="0" w:space="0" w:color="auto"/>
      </w:divBdr>
    </w:div>
    <w:div w:id="1716197154">
      <w:bodyDiv w:val="1"/>
      <w:marLeft w:val="0"/>
      <w:marRight w:val="0"/>
      <w:marTop w:val="0"/>
      <w:marBottom w:val="0"/>
      <w:divBdr>
        <w:top w:val="none" w:sz="0" w:space="0" w:color="auto"/>
        <w:left w:val="none" w:sz="0" w:space="0" w:color="auto"/>
        <w:bottom w:val="none" w:sz="0" w:space="0" w:color="auto"/>
        <w:right w:val="none" w:sz="0" w:space="0" w:color="auto"/>
      </w:divBdr>
    </w:div>
    <w:div w:id="1716660136">
      <w:bodyDiv w:val="1"/>
      <w:marLeft w:val="0"/>
      <w:marRight w:val="0"/>
      <w:marTop w:val="0"/>
      <w:marBottom w:val="0"/>
      <w:divBdr>
        <w:top w:val="none" w:sz="0" w:space="0" w:color="auto"/>
        <w:left w:val="none" w:sz="0" w:space="0" w:color="auto"/>
        <w:bottom w:val="none" w:sz="0" w:space="0" w:color="auto"/>
        <w:right w:val="none" w:sz="0" w:space="0" w:color="auto"/>
      </w:divBdr>
    </w:div>
    <w:div w:id="1717122295">
      <w:bodyDiv w:val="1"/>
      <w:marLeft w:val="0"/>
      <w:marRight w:val="0"/>
      <w:marTop w:val="0"/>
      <w:marBottom w:val="0"/>
      <w:divBdr>
        <w:top w:val="none" w:sz="0" w:space="0" w:color="auto"/>
        <w:left w:val="none" w:sz="0" w:space="0" w:color="auto"/>
        <w:bottom w:val="none" w:sz="0" w:space="0" w:color="auto"/>
        <w:right w:val="none" w:sz="0" w:space="0" w:color="auto"/>
      </w:divBdr>
    </w:div>
    <w:div w:id="1717583255">
      <w:bodyDiv w:val="1"/>
      <w:marLeft w:val="0"/>
      <w:marRight w:val="0"/>
      <w:marTop w:val="0"/>
      <w:marBottom w:val="0"/>
      <w:divBdr>
        <w:top w:val="none" w:sz="0" w:space="0" w:color="auto"/>
        <w:left w:val="none" w:sz="0" w:space="0" w:color="auto"/>
        <w:bottom w:val="none" w:sz="0" w:space="0" w:color="auto"/>
        <w:right w:val="none" w:sz="0" w:space="0" w:color="auto"/>
      </w:divBdr>
    </w:div>
    <w:div w:id="1718120153">
      <w:bodyDiv w:val="1"/>
      <w:marLeft w:val="0"/>
      <w:marRight w:val="0"/>
      <w:marTop w:val="0"/>
      <w:marBottom w:val="0"/>
      <w:divBdr>
        <w:top w:val="none" w:sz="0" w:space="0" w:color="auto"/>
        <w:left w:val="none" w:sz="0" w:space="0" w:color="auto"/>
        <w:bottom w:val="none" w:sz="0" w:space="0" w:color="auto"/>
        <w:right w:val="none" w:sz="0" w:space="0" w:color="auto"/>
      </w:divBdr>
    </w:div>
    <w:div w:id="1718163421">
      <w:bodyDiv w:val="1"/>
      <w:marLeft w:val="0"/>
      <w:marRight w:val="0"/>
      <w:marTop w:val="0"/>
      <w:marBottom w:val="0"/>
      <w:divBdr>
        <w:top w:val="none" w:sz="0" w:space="0" w:color="auto"/>
        <w:left w:val="none" w:sz="0" w:space="0" w:color="auto"/>
        <w:bottom w:val="none" w:sz="0" w:space="0" w:color="auto"/>
        <w:right w:val="none" w:sz="0" w:space="0" w:color="auto"/>
      </w:divBdr>
    </w:div>
    <w:div w:id="1718512081">
      <w:bodyDiv w:val="1"/>
      <w:marLeft w:val="0"/>
      <w:marRight w:val="0"/>
      <w:marTop w:val="0"/>
      <w:marBottom w:val="0"/>
      <w:divBdr>
        <w:top w:val="none" w:sz="0" w:space="0" w:color="auto"/>
        <w:left w:val="none" w:sz="0" w:space="0" w:color="auto"/>
        <w:bottom w:val="none" w:sz="0" w:space="0" w:color="auto"/>
        <w:right w:val="none" w:sz="0" w:space="0" w:color="auto"/>
      </w:divBdr>
    </w:div>
    <w:div w:id="1718889079">
      <w:bodyDiv w:val="1"/>
      <w:marLeft w:val="0"/>
      <w:marRight w:val="0"/>
      <w:marTop w:val="0"/>
      <w:marBottom w:val="0"/>
      <w:divBdr>
        <w:top w:val="none" w:sz="0" w:space="0" w:color="auto"/>
        <w:left w:val="none" w:sz="0" w:space="0" w:color="auto"/>
        <w:bottom w:val="none" w:sz="0" w:space="0" w:color="auto"/>
        <w:right w:val="none" w:sz="0" w:space="0" w:color="auto"/>
      </w:divBdr>
    </w:div>
    <w:div w:id="1718969518">
      <w:bodyDiv w:val="1"/>
      <w:marLeft w:val="0"/>
      <w:marRight w:val="0"/>
      <w:marTop w:val="0"/>
      <w:marBottom w:val="0"/>
      <w:divBdr>
        <w:top w:val="none" w:sz="0" w:space="0" w:color="auto"/>
        <w:left w:val="none" w:sz="0" w:space="0" w:color="auto"/>
        <w:bottom w:val="none" w:sz="0" w:space="0" w:color="auto"/>
        <w:right w:val="none" w:sz="0" w:space="0" w:color="auto"/>
      </w:divBdr>
    </w:div>
    <w:div w:id="1720086132">
      <w:bodyDiv w:val="1"/>
      <w:marLeft w:val="0"/>
      <w:marRight w:val="0"/>
      <w:marTop w:val="0"/>
      <w:marBottom w:val="0"/>
      <w:divBdr>
        <w:top w:val="none" w:sz="0" w:space="0" w:color="auto"/>
        <w:left w:val="none" w:sz="0" w:space="0" w:color="auto"/>
        <w:bottom w:val="none" w:sz="0" w:space="0" w:color="auto"/>
        <w:right w:val="none" w:sz="0" w:space="0" w:color="auto"/>
      </w:divBdr>
    </w:div>
    <w:div w:id="1720280190">
      <w:bodyDiv w:val="1"/>
      <w:marLeft w:val="0"/>
      <w:marRight w:val="0"/>
      <w:marTop w:val="0"/>
      <w:marBottom w:val="0"/>
      <w:divBdr>
        <w:top w:val="none" w:sz="0" w:space="0" w:color="auto"/>
        <w:left w:val="none" w:sz="0" w:space="0" w:color="auto"/>
        <w:bottom w:val="none" w:sz="0" w:space="0" w:color="auto"/>
        <w:right w:val="none" w:sz="0" w:space="0" w:color="auto"/>
      </w:divBdr>
    </w:div>
    <w:div w:id="1720282262">
      <w:bodyDiv w:val="1"/>
      <w:marLeft w:val="0"/>
      <w:marRight w:val="0"/>
      <w:marTop w:val="0"/>
      <w:marBottom w:val="0"/>
      <w:divBdr>
        <w:top w:val="none" w:sz="0" w:space="0" w:color="auto"/>
        <w:left w:val="none" w:sz="0" w:space="0" w:color="auto"/>
        <w:bottom w:val="none" w:sz="0" w:space="0" w:color="auto"/>
        <w:right w:val="none" w:sz="0" w:space="0" w:color="auto"/>
      </w:divBdr>
    </w:div>
    <w:div w:id="1720545500">
      <w:bodyDiv w:val="1"/>
      <w:marLeft w:val="0"/>
      <w:marRight w:val="0"/>
      <w:marTop w:val="0"/>
      <w:marBottom w:val="0"/>
      <w:divBdr>
        <w:top w:val="none" w:sz="0" w:space="0" w:color="auto"/>
        <w:left w:val="none" w:sz="0" w:space="0" w:color="auto"/>
        <w:bottom w:val="none" w:sz="0" w:space="0" w:color="auto"/>
        <w:right w:val="none" w:sz="0" w:space="0" w:color="auto"/>
      </w:divBdr>
    </w:div>
    <w:div w:id="1720664988">
      <w:bodyDiv w:val="1"/>
      <w:marLeft w:val="0"/>
      <w:marRight w:val="0"/>
      <w:marTop w:val="0"/>
      <w:marBottom w:val="0"/>
      <w:divBdr>
        <w:top w:val="none" w:sz="0" w:space="0" w:color="auto"/>
        <w:left w:val="none" w:sz="0" w:space="0" w:color="auto"/>
        <w:bottom w:val="none" w:sz="0" w:space="0" w:color="auto"/>
        <w:right w:val="none" w:sz="0" w:space="0" w:color="auto"/>
      </w:divBdr>
    </w:div>
    <w:div w:id="1721591697">
      <w:bodyDiv w:val="1"/>
      <w:marLeft w:val="0"/>
      <w:marRight w:val="0"/>
      <w:marTop w:val="0"/>
      <w:marBottom w:val="0"/>
      <w:divBdr>
        <w:top w:val="none" w:sz="0" w:space="0" w:color="auto"/>
        <w:left w:val="none" w:sz="0" w:space="0" w:color="auto"/>
        <w:bottom w:val="none" w:sz="0" w:space="0" w:color="auto"/>
        <w:right w:val="none" w:sz="0" w:space="0" w:color="auto"/>
      </w:divBdr>
    </w:div>
    <w:div w:id="1723016150">
      <w:bodyDiv w:val="1"/>
      <w:marLeft w:val="0"/>
      <w:marRight w:val="0"/>
      <w:marTop w:val="0"/>
      <w:marBottom w:val="0"/>
      <w:divBdr>
        <w:top w:val="none" w:sz="0" w:space="0" w:color="auto"/>
        <w:left w:val="none" w:sz="0" w:space="0" w:color="auto"/>
        <w:bottom w:val="none" w:sz="0" w:space="0" w:color="auto"/>
        <w:right w:val="none" w:sz="0" w:space="0" w:color="auto"/>
      </w:divBdr>
    </w:div>
    <w:div w:id="1723141248">
      <w:bodyDiv w:val="1"/>
      <w:marLeft w:val="0"/>
      <w:marRight w:val="0"/>
      <w:marTop w:val="0"/>
      <w:marBottom w:val="0"/>
      <w:divBdr>
        <w:top w:val="none" w:sz="0" w:space="0" w:color="auto"/>
        <w:left w:val="none" w:sz="0" w:space="0" w:color="auto"/>
        <w:bottom w:val="none" w:sz="0" w:space="0" w:color="auto"/>
        <w:right w:val="none" w:sz="0" w:space="0" w:color="auto"/>
      </w:divBdr>
    </w:div>
    <w:div w:id="1723745065">
      <w:bodyDiv w:val="1"/>
      <w:marLeft w:val="0"/>
      <w:marRight w:val="0"/>
      <w:marTop w:val="0"/>
      <w:marBottom w:val="0"/>
      <w:divBdr>
        <w:top w:val="none" w:sz="0" w:space="0" w:color="auto"/>
        <w:left w:val="none" w:sz="0" w:space="0" w:color="auto"/>
        <w:bottom w:val="none" w:sz="0" w:space="0" w:color="auto"/>
        <w:right w:val="none" w:sz="0" w:space="0" w:color="auto"/>
      </w:divBdr>
    </w:div>
    <w:div w:id="1723747583">
      <w:bodyDiv w:val="1"/>
      <w:marLeft w:val="0"/>
      <w:marRight w:val="0"/>
      <w:marTop w:val="0"/>
      <w:marBottom w:val="0"/>
      <w:divBdr>
        <w:top w:val="none" w:sz="0" w:space="0" w:color="auto"/>
        <w:left w:val="none" w:sz="0" w:space="0" w:color="auto"/>
        <w:bottom w:val="none" w:sz="0" w:space="0" w:color="auto"/>
        <w:right w:val="none" w:sz="0" w:space="0" w:color="auto"/>
      </w:divBdr>
    </w:div>
    <w:div w:id="1723863582">
      <w:bodyDiv w:val="1"/>
      <w:marLeft w:val="0"/>
      <w:marRight w:val="0"/>
      <w:marTop w:val="0"/>
      <w:marBottom w:val="0"/>
      <w:divBdr>
        <w:top w:val="none" w:sz="0" w:space="0" w:color="auto"/>
        <w:left w:val="none" w:sz="0" w:space="0" w:color="auto"/>
        <w:bottom w:val="none" w:sz="0" w:space="0" w:color="auto"/>
        <w:right w:val="none" w:sz="0" w:space="0" w:color="auto"/>
      </w:divBdr>
    </w:div>
    <w:div w:id="1725325260">
      <w:bodyDiv w:val="1"/>
      <w:marLeft w:val="0"/>
      <w:marRight w:val="0"/>
      <w:marTop w:val="0"/>
      <w:marBottom w:val="0"/>
      <w:divBdr>
        <w:top w:val="none" w:sz="0" w:space="0" w:color="auto"/>
        <w:left w:val="none" w:sz="0" w:space="0" w:color="auto"/>
        <w:bottom w:val="none" w:sz="0" w:space="0" w:color="auto"/>
        <w:right w:val="none" w:sz="0" w:space="0" w:color="auto"/>
      </w:divBdr>
    </w:div>
    <w:div w:id="1725451325">
      <w:bodyDiv w:val="1"/>
      <w:marLeft w:val="0"/>
      <w:marRight w:val="0"/>
      <w:marTop w:val="0"/>
      <w:marBottom w:val="0"/>
      <w:divBdr>
        <w:top w:val="none" w:sz="0" w:space="0" w:color="auto"/>
        <w:left w:val="none" w:sz="0" w:space="0" w:color="auto"/>
        <w:bottom w:val="none" w:sz="0" w:space="0" w:color="auto"/>
        <w:right w:val="none" w:sz="0" w:space="0" w:color="auto"/>
      </w:divBdr>
    </w:div>
    <w:div w:id="1725523570">
      <w:bodyDiv w:val="1"/>
      <w:marLeft w:val="0"/>
      <w:marRight w:val="0"/>
      <w:marTop w:val="0"/>
      <w:marBottom w:val="0"/>
      <w:divBdr>
        <w:top w:val="none" w:sz="0" w:space="0" w:color="auto"/>
        <w:left w:val="none" w:sz="0" w:space="0" w:color="auto"/>
        <w:bottom w:val="none" w:sz="0" w:space="0" w:color="auto"/>
        <w:right w:val="none" w:sz="0" w:space="0" w:color="auto"/>
      </w:divBdr>
    </w:div>
    <w:div w:id="1727024182">
      <w:bodyDiv w:val="1"/>
      <w:marLeft w:val="0"/>
      <w:marRight w:val="0"/>
      <w:marTop w:val="0"/>
      <w:marBottom w:val="0"/>
      <w:divBdr>
        <w:top w:val="none" w:sz="0" w:space="0" w:color="auto"/>
        <w:left w:val="none" w:sz="0" w:space="0" w:color="auto"/>
        <w:bottom w:val="none" w:sz="0" w:space="0" w:color="auto"/>
        <w:right w:val="none" w:sz="0" w:space="0" w:color="auto"/>
      </w:divBdr>
    </w:div>
    <w:div w:id="1727098679">
      <w:bodyDiv w:val="1"/>
      <w:marLeft w:val="0"/>
      <w:marRight w:val="0"/>
      <w:marTop w:val="0"/>
      <w:marBottom w:val="0"/>
      <w:divBdr>
        <w:top w:val="none" w:sz="0" w:space="0" w:color="auto"/>
        <w:left w:val="none" w:sz="0" w:space="0" w:color="auto"/>
        <w:bottom w:val="none" w:sz="0" w:space="0" w:color="auto"/>
        <w:right w:val="none" w:sz="0" w:space="0" w:color="auto"/>
      </w:divBdr>
    </w:div>
    <w:div w:id="1728256724">
      <w:bodyDiv w:val="1"/>
      <w:marLeft w:val="0"/>
      <w:marRight w:val="0"/>
      <w:marTop w:val="0"/>
      <w:marBottom w:val="0"/>
      <w:divBdr>
        <w:top w:val="none" w:sz="0" w:space="0" w:color="auto"/>
        <w:left w:val="none" w:sz="0" w:space="0" w:color="auto"/>
        <w:bottom w:val="none" w:sz="0" w:space="0" w:color="auto"/>
        <w:right w:val="none" w:sz="0" w:space="0" w:color="auto"/>
      </w:divBdr>
    </w:div>
    <w:div w:id="1728412577">
      <w:bodyDiv w:val="1"/>
      <w:marLeft w:val="0"/>
      <w:marRight w:val="0"/>
      <w:marTop w:val="0"/>
      <w:marBottom w:val="0"/>
      <w:divBdr>
        <w:top w:val="none" w:sz="0" w:space="0" w:color="auto"/>
        <w:left w:val="none" w:sz="0" w:space="0" w:color="auto"/>
        <w:bottom w:val="none" w:sz="0" w:space="0" w:color="auto"/>
        <w:right w:val="none" w:sz="0" w:space="0" w:color="auto"/>
      </w:divBdr>
    </w:div>
    <w:div w:id="1728607166">
      <w:bodyDiv w:val="1"/>
      <w:marLeft w:val="0"/>
      <w:marRight w:val="0"/>
      <w:marTop w:val="0"/>
      <w:marBottom w:val="0"/>
      <w:divBdr>
        <w:top w:val="none" w:sz="0" w:space="0" w:color="auto"/>
        <w:left w:val="none" w:sz="0" w:space="0" w:color="auto"/>
        <w:bottom w:val="none" w:sz="0" w:space="0" w:color="auto"/>
        <w:right w:val="none" w:sz="0" w:space="0" w:color="auto"/>
      </w:divBdr>
    </w:div>
    <w:div w:id="1728797624">
      <w:bodyDiv w:val="1"/>
      <w:marLeft w:val="0"/>
      <w:marRight w:val="0"/>
      <w:marTop w:val="0"/>
      <w:marBottom w:val="0"/>
      <w:divBdr>
        <w:top w:val="none" w:sz="0" w:space="0" w:color="auto"/>
        <w:left w:val="none" w:sz="0" w:space="0" w:color="auto"/>
        <w:bottom w:val="none" w:sz="0" w:space="0" w:color="auto"/>
        <w:right w:val="none" w:sz="0" w:space="0" w:color="auto"/>
      </w:divBdr>
    </w:div>
    <w:div w:id="1729643848">
      <w:bodyDiv w:val="1"/>
      <w:marLeft w:val="0"/>
      <w:marRight w:val="0"/>
      <w:marTop w:val="0"/>
      <w:marBottom w:val="0"/>
      <w:divBdr>
        <w:top w:val="none" w:sz="0" w:space="0" w:color="auto"/>
        <w:left w:val="none" w:sz="0" w:space="0" w:color="auto"/>
        <w:bottom w:val="none" w:sz="0" w:space="0" w:color="auto"/>
        <w:right w:val="none" w:sz="0" w:space="0" w:color="auto"/>
      </w:divBdr>
    </w:div>
    <w:div w:id="1729648091">
      <w:bodyDiv w:val="1"/>
      <w:marLeft w:val="0"/>
      <w:marRight w:val="0"/>
      <w:marTop w:val="0"/>
      <w:marBottom w:val="0"/>
      <w:divBdr>
        <w:top w:val="none" w:sz="0" w:space="0" w:color="auto"/>
        <w:left w:val="none" w:sz="0" w:space="0" w:color="auto"/>
        <w:bottom w:val="none" w:sz="0" w:space="0" w:color="auto"/>
        <w:right w:val="none" w:sz="0" w:space="0" w:color="auto"/>
      </w:divBdr>
    </w:div>
    <w:div w:id="1729835763">
      <w:bodyDiv w:val="1"/>
      <w:marLeft w:val="0"/>
      <w:marRight w:val="0"/>
      <w:marTop w:val="0"/>
      <w:marBottom w:val="0"/>
      <w:divBdr>
        <w:top w:val="none" w:sz="0" w:space="0" w:color="auto"/>
        <w:left w:val="none" w:sz="0" w:space="0" w:color="auto"/>
        <w:bottom w:val="none" w:sz="0" w:space="0" w:color="auto"/>
        <w:right w:val="none" w:sz="0" w:space="0" w:color="auto"/>
      </w:divBdr>
    </w:div>
    <w:div w:id="1730421338">
      <w:bodyDiv w:val="1"/>
      <w:marLeft w:val="0"/>
      <w:marRight w:val="0"/>
      <w:marTop w:val="0"/>
      <w:marBottom w:val="0"/>
      <w:divBdr>
        <w:top w:val="none" w:sz="0" w:space="0" w:color="auto"/>
        <w:left w:val="none" w:sz="0" w:space="0" w:color="auto"/>
        <w:bottom w:val="none" w:sz="0" w:space="0" w:color="auto"/>
        <w:right w:val="none" w:sz="0" w:space="0" w:color="auto"/>
      </w:divBdr>
    </w:div>
    <w:div w:id="1731419319">
      <w:bodyDiv w:val="1"/>
      <w:marLeft w:val="0"/>
      <w:marRight w:val="0"/>
      <w:marTop w:val="0"/>
      <w:marBottom w:val="0"/>
      <w:divBdr>
        <w:top w:val="none" w:sz="0" w:space="0" w:color="auto"/>
        <w:left w:val="none" w:sz="0" w:space="0" w:color="auto"/>
        <w:bottom w:val="none" w:sz="0" w:space="0" w:color="auto"/>
        <w:right w:val="none" w:sz="0" w:space="0" w:color="auto"/>
      </w:divBdr>
    </w:div>
    <w:div w:id="1732531909">
      <w:bodyDiv w:val="1"/>
      <w:marLeft w:val="0"/>
      <w:marRight w:val="0"/>
      <w:marTop w:val="0"/>
      <w:marBottom w:val="0"/>
      <w:divBdr>
        <w:top w:val="none" w:sz="0" w:space="0" w:color="auto"/>
        <w:left w:val="none" w:sz="0" w:space="0" w:color="auto"/>
        <w:bottom w:val="none" w:sz="0" w:space="0" w:color="auto"/>
        <w:right w:val="none" w:sz="0" w:space="0" w:color="auto"/>
      </w:divBdr>
    </w:div>
    <w:div w:id="1732607253">
      <w:bodyDiv w:val="1"/>
      <w:marLeft w:val="0"/>
      <w:marRight w:val="0"/>
      <w:marTop w:val="0"/>
      <w:marBottom w:val="0"/>
      <w:divBdr>
        <w:top w:val="none" w:sz="0" w:space="0" w:color="auto"/>
        <w:left w:val="none" w:sz="0" w:space="0" w:color="auto"/>
        <w:bottom w:val="none" w:sz="0" w:space="0" w:color="auto"/>
        <w:right w:val="none" w:sz="0" w:space="0" w:color="auto"/>
      </w:divBdr>
    </w:div>
    <w:div w:id="1733429644">
      <w:bodyDiv w:val="1"/>
      <w:marLeft w:val="0"/>
      <w:marRight w:val="0"/>
      <w:marTop w:val="0"/>
      <w:marBottom w:val="0"/>
      <w:divBdr>
        <w:top w:val="none" w:sz="0" w:space="0" w:color="auto"/>
        <w:left w:val="none" w:sz="0" w:space="0" w:color="auto"/>
        <w:bottom w:val="none" w:sz="0" w:space="0" w:color="auto"/>
        <w:right w:val="none" w:sz="0" w:space="0" w:color="auto"/>
      </w:divBdr>
    </w:div>
    <w:div w:id="1733430042">
      <w:bodyDiv w:val="1"/>
      <w:marLeft w:val="0"/>
      <w:marRight w:val="0"/>
      <w:marTop w:val="0"/>
      <w:marBottom w:val="0"/>
      <w:divBdr>
        <w:top w:val="none" w:sz="0" w:space="0" w:color="auto"/>
        <w:left w:val="none" w:sz="0" w:space="0" w:color="auto"/>
        <w:bottom w:val="none" w:sz="0" w:space="0" w:color="auto"/>
        <w:right w:val="none" w:sz="0" w:space="0" w:color="auto"/>
      </w:divBdr>
    </w:div>
    <w:div w:id="1733697662">
      <w:bodyDiv w:val="1"/>
      <w:marLeft w:val="0"/>
      <w:marRight w:val="0"/>
      <w:marTop w:val="0"/>
      <w:marBottom w:val="0"/>
      <w:divBdr>
        <w:top w:val="none" w:sz="0" w:space="0" w:color="auto"/>
        <w:left w:val="none" w:sz="0" w:space="0" w:color="auto"/>
        <w:bottom w:val="none" w:sz="0" w:space="0" w:color="auto"/>
        <w:right w:val="none" w:sz="0" w:space="0" w:color="auto"/>
      </w:divBdr>
    </w:div>
    <w:div w:id="1734700538">
      <w:bodyDiv w:val="1"/>
      <w:marLeft w:val="0"/>
      <w:marRight w:val="0"/>
      <w:marTop w:val="0"/>
      <w:marBottom w:val="0"/>
      <w:divBdr>
        <w:top w:val="none" w:sz="0" w:space="0" w:color="auto"/>
        <w:left w:val="none" w:sz="0" w:space="0" w:color="auto"/>
        <w:bottom w:val="none" w:sz="0" w:space="0" w:color="auto"/>
        <w:right w:val="none" w:sz="0" w:space="0" w:color="auto"/>
      </w:divBdr>
    </w:div>
    <w:div w:id="1734812027">
      <w:bodyDiv w:val="1"/>
      <w:marLeft w:val="0"/>
      <w:marRight w:val="0"/>
      <w:marTop w:val="0"/>
      <w:marBottom w:val="0"/>
      <w:divBdr>
        <w:top w:val="none" w:sz="0" w:space="0" w:color="auto"/>
        <w:left w:val="none" w:sz="0" w:space="0" w:color="auto"/>
        <w:bottom w:val="none" w:sz="0" w:space="0" w:color="auto"/>
        <w:right w:val="none" w:sz="0" w:space="0" w:color="auto"/>
      </w:divBdr>
    </w:div>
    <w:div w:id="1735200180">
      <w:bodyDiv w:val="1"/>
      <w:marLeft w:val="0"/>
      <w:marRight w:val="0"/>
      <w:marTop w:val="0"/>
      <w:marBottom w:val="0"/>
      <w:divBdr>
        <w:top w:val="none" w:sz="0" w:space="0" w:color="auto"/>
        <w:left w:val="none" w:sz="0" w:space="0" w:color="auto"/>
        <w:bottom w:val="none" w:sz="0" w:space="0" w:color="auto"/>
        <w:right w:val="none" w:sz="0" w:space="0" w:color="auto"/>
      </w:divBdr>
    </w:div>
    <w:div w:id="1735735674">
      <w:bodyDiv w:val="1"/>
      <w:marLeft w:val="0"/>
      <w:marRight w:val="0"/>
      <w:marTop w:val="0"/>
      <w:marBottom w:val="0"/>
      <w:divBdr>
        <w:top w:val="none" w:sz="0" w:space="0" w:color="auto"/>
        <w:left w:val="none" w:sz="0" w:space="0" w:color="auto"/>
        <w:bottom w:val="none" w:sz="0" w:space="0" w:color="auto"/>
        <w:right w:val="none" w:sz="0" w:space="0" w:color="auto"/>
      </w:divBdr>
    </w:div>
    <w:div w:id="1736051623">
      <w:bodyDiv w:val="1"/>
      <w:marLeft w:val="0"/>
      <w:marRight w:val="0"/>
      <w:marTop w:val="0"/>
      <w:marBottom w:val="0"/>
      <w:divBdr>
        <w:top w:val="none" w:sz="0" w:space="0" w:color="auto"/>
        <w:left w:val="none" w:sz="0" w:space="0" w:color="auto"/>
        <w:bottom w:val="none" w:sz="0" w:space="0" w:color="auto"/>
        <w:right w:val="none" w:sz="0" w:space="0" w:color="auto"/>
      </w:divBdr>
    </w:div>
    <w:div w:id="1736052905">
      <w:bodyDiv w:val="1"/>
      <w:marLeft w:val="0"/>
      <w:marRight w:val="0"/>
      <w:marTop w:val="0"/>
      <w:marBottom w:val="0"/>
      <w:divBdr>
        <w:top w:val="none" w:sz="0" w:space="0" w:color="auto"/>
        <w:left w:val="none" w:sz="0" w:space="0" w:color="auto"/>
        <w:bottom w:val="none" w:sz="0" w:space="0" w:color="auto"/>
        <w:right w:val="none" w:sz="0" w:space="0" w:color="auto"/>
      </w:divBdr>
    </w:div>
    <w:div w:id="1736320168">
      <w:bodyDiv w:val="1"/>
      <w:marLeft w:val="0"/>
      <w:marRight w:val="0"/>
      <w:marTop w:val="0"/>
      <w:marBottom w:val="0"/>
      <w:divBdr>
        <w:top w:val="none" w:sz="0" w:space="0" w:color="auto"/>
        <w:left w:val="none" w:sz="0" w:space="0" w:color="auto"/>
        <w:bottom w:val="none" w:sz="0" w:space="0" w:color="auto"/>
        <w:right w:val="none" w:sz="0" w:space="0" w:color="auto"/>
      </w:divBdr>
    </w:div>
    <w:div w:id="1736852405">
      <w:bodyDiv w:val="1"/>
      <w:marLeft w:val="0"/>
      <w:marRight w:val="0"/>
      <w:marTop w:val="0"/>
      <w:marBottom w:val="0"/>
      <w:divBdr>
        <w:top w:val="none" w:sz="0" w:space="0" w:color="auto"/>
        <w:left w:val="none" w:sz="0" w:space="0" w:color="auto"/>
        <w:bottom w:val="none" w:sz="0" w:space="0" w:color="auto"/>
        <w:right w:val="none" w:sz="0" w:space="0" w:color="auto"/>
      </w:divBdr>
    </w:div>
    <w:div w:id="1738362909">
      <w:bodyDiv w:val="1"/>
      <w:marLeft w:val="0"/>
      <w:marRight w:val="0"/>
      <w:marTop w:val="0"/>
      <w:marBottom w:val="0"/>
      <w:divBdr>
        <w:top w:val="none" w:sz="0" w:space="0" w:color="auto"/>
        <w:left w:val="none" w:sz="0" w:space="0" w:color="auto"/>
        <w:bottom w:val="none" w:sz="0" w:space="0" w:color="auto"/>
        <w:right w:val="none" w:sz="0" w:space="0" w:color="auto"/>
      </w:divBdr>
    </w:div>
    <w:div w:id="1738625458">
      <w:bodyDiv w:val="1"/>
      <w:marLeft w:val="0"/>
      <w:marRight w:val="0"/>
      <w:marTop w:val="0"/>
      <w:marBottom w:val="0"/>
      <w:divBdr>
        <w:top w:val="none" w:sz="0" w:space="0" w:color="auto"/>
        <w:left w:val="none" w:sz="0" w:space="0" w:color="auto"/>
        <w:bottom w:val="none" w:sz="0" w:space="0" w:color="auto"/>
        <w:right w:val="none" w:sz="0" w:space="0" w:color="auto"/>
      </w:divBdr>
    </w:div>
    <w:div w:id="1739278414">
      <w:bodyDiv w:val="1"/>
      <w:marLeft w:val="0"/>
      <w:marRight w:val="0"/>
      <w:marTop w:val="0"/>
      <w:marBottom w:val="0"/>
      <w:divBdr>
        <w:top w:val="none" w:sz="0" w:space="0" w:color="auto"/>
        <w:left w:val="none" w:sz="0" w:space="0" w:color="auto"/>
        <w:bottom w:val="none" w:sz="0" w:space="0" w:color="auto"/>
        <w:right w:val="none" w:sz="0" w:space="0" w:color="auto"/>
      </w:divBdr>
    </w:div>
    <w:div w:id="1740246024">
      <w:bodyDiv w:val="1"/>
      <w:marLeft w:val="0"/>
      <w:marRight w:val="0"/>
      <w:marTop w:val="0"/>
      <w:marBottom w:val="0"/>
      <w:divBdr>
        <w:top w:val="none" w:sz="0" w:space="0" w:color="auto"/>
        <w:left w:val="none" w:sz="0" w:space="0" w:color="auto"/>
        <w:bottom w:val="none" w:sz="0" w:space="0" w:color="auto"/>
        <w:right w:val="none" w:sz="0" w:space="0" w:color="auto"/>
      </w:divBdr>
    </w:div>
    <w:div w:id="1740319794">
      <w:bodyDiv w:val="1"/>
      <w:marLeft w:val="0"/>
      <w:marRight w:val="0"/>
      <w:marTop w:val="0"/>
      <w:marBottom w:val="0"/>
      <w:divBdr>
        <w:top w:val="none" w:sz="0" w:space="0" w:color="auto"/>
        <w:left w:val="none" w:sz="0" w:space="0" w:color="auto"/>
        <w:bottom w:val="none" w:sz="0" w:space="0" w:color="auto"/>
        <w:right w:val="none" w:sz="0" w:space="0" w:color="auto"/>
      </w:divBdr>
    </w:div>
    <w:div w:id="1740781861">
      <w:bodyDiv w:val="1"/>
      <w:marLeft w:val="0"/>
      <w:marRight w:val="0"/>
      <w:marTop w:val="0"/>
      <w:marBottom w:val="0"/>
      <w:divBdr>
        <w:top w:val="none" w:sz="0" w:space="0" w:color="auto"/>
        <w:left w:val="none" w:sz="0" w:space="0" w:color="auto"/>
        <w:bottom w:val="none" w:sz="0" w:space="0" w:color="auto"/>
        <w:right w:val="none" w:sz="0" w:space="0" w:color="auto"/>
      </w:divBdr>
    </w:div>
    <w:div w:id="1742024683">
      <w:bodyDiv w:val="1"/>
      <w:marLeft w:val="0"/>
      <w:marRight w:val="0"/>
      <w:marTop w:val="0"/>
      <w:marBottom w:val="0"/>
      <w:divBdr>
        <w:top w:val="none" w:sz="0" w:space="0" w:color="auto"/>
        <w:left w:val="none" w:sz="0" w:space="0" w:color="auto"/>
        <w:bottom w:val="none" w:sz="0" w:space="0" w:color="auto"/>
        <w:right w:val="none" w:sz="0" w:space="0" w:color="auto"/>
      </w:divBdr>
    </w:div>
    <w:div w:id="1742481994">
      <w:bodyDiv w:val="1"/>
      <w:marLeft w:val="0"/>
      <w:marRight w:val="0"/>
      <w:marTop w:val="0"/>
      <w:marBottom w:val="0"/>
      <w:divBdr>
        <w:top w:val="none" w:sz="0" w:space="0" w:color="auto"/>
        <w:left w:val="none" w:sz="0" w:space="0" w:color="auto"/>
        <w:bottom w:val="none" w:sz="0" w:space="0" w:color="auto"/>
        <w:right w:val="none" w:sz="0" w:space="0" w:color="auto"/>
      </w:divBdr>
    </w:div>
    <w:div w:id="1743600258">
      <w:bodyDiv w:val="1"/>
      <w:marLeft w:val="0"/>
      <w:marRight w:val="0"/>
      <w:marTop w:val="0"/>
      <w:marBottom w:val="0"/>
      <w:divBdr>
        <w:top w:val="none" w:sz="0" w:space="0" w:color="auto"/>
        <w:left w:val="none" w:sz="0" w:space="0" w:color="auto"/>
        <w:bottom w:val="none" w:sz="0" w:space="0" w:color="auto"/>
        <w:right w:val="none" w:sz="0" w:space="0" w:color="auto"/>
      </w:divBdr>
    </w:div>
    <w:div w:id="1743719190">
      <w:bodyDiv w:val="1"/>
      <w:marLeft w:val="0"/>
      <w:marRight w:val="0"/>
      <w:marTop w:val="0"/>
      <w:marBottom w:val="0"/>
      <w:divBdr>
        <w:top w:val="none" w:sz="0" w:space="0" w:color="auto"/>
        <w:left w:val="none" w:sz="0" w:space="0" w:color="auto"/>
        <w:bottom w:val="none" w:sz="0" w:space="0" w:color="auto"/>
        <w:right w:val="none" w:sz="0" w:space="0" w:color="auto"/>
      </w:divBdr>
    </w:div>
    <w:div w:id="1743985672">
      <w:bodyDiv w:val="1"/>
      <w:marLeft w:val="0"/>
      <w:marRight w:val="0"/>
      <w:marTop w:val="0"/>
      <w:marBottom w:val="0"/>
      <w:divBdr>
        <w:top w:val="none" w:sz="0" w:space="0" w:color="auto"/>
        <w:left w:val="none" w:sz="0" w:space="0" w:color="auto"/>
        <w:bottom w:val="none" w:sz="0" w:space="0" w:color="auto"/>
        <w:right w:val="none" w:sz="0" w:space="0" w:color="auto"/>
      </w:divBdr>
    </w:div>
    <w:div w:id="1745687799">
      <w:bodyDiv w:val="1"/>
      <w:marLeft w:val="0"/>
      <w:marRight w:val="0"/>
      <w:marTop w:val="0"/>
      <w:marBottom w:val="0"/>
      <w:divBdr>
        <w:top w:val="none" w:sz="0" w:space="0" w:color="auto"/>
        <w:left w:val="none" w:sz="0" w:space="0" w:color="auto"/>
        <w:bottom w:val="none" w:sz="0" w:space="0" w:color="auto"/>
        <w:right w:val="none" w:sz="0" w:space="0" w:color="auto"/>
      </w:divBdr>
    </w:div>
    <w:div w:id="1746150715">
      <w:bodyDiv w:val="1"/>
      <w:marLeft w:val="0"/>
      <w:marRight w:val="0"/>
      <w:marTop w:val="0"/>
      <w:marBottom w:val="0"/>
      <w:divBdr>
        <w:top w:val="none" w:sz="0" w:space="0" w:color="auto"/>
        <w:left w:val="none" w:sz="0" w:space="0" w:color="auto"/>
        <w:bottom w:val="none" w:sz="0" w:space="0" w:color="auto"/>
        <w:right w:val="none" w:sz="0" w:space="0" w:color="auto"/>
      </w:divBdr>
    </w:div>
    <w:div w:id="1746225778">
      <w:bodyDiv w:val="1"/>
      <w:marLeft w:val="0"/>
      <w:marRight w:val="0"/>
      <w:marTop w:val="0"/>
      <w:marBottom w:val="0"/>
      <w:divBdr>
        <w:top w:val="none" w:sz="0" w:space="0" w:color="auto"/>
        <w:left w:val="none" w:sz="0" w:space="0" w:color="auto"/>
        <w:bottom w:val="none" w:sz="0" w:space="0" w:color="auto"/>
        <w:right w:val="none" w:sz="0" w:space="0" w:color="auto"/>
      </w:divBdr>
    </w:div>
    <w:div w:id="1746685944">
      <w:bodyDiv w:val="1"/>
      <w:marLeft w:val="0"/>
      <w:marRight w:val="0"/>
      <w:marTop w:val="0"/>
      <w:marBottom w:val="0"/>
      <w:divBdr>
        <w:top w:val="none" w:sz="0" w:space="0" w:color="auto"/>
        <w:left w:val="none" w:sz="0" w:space="0" w:color="auto"/>
        <w:bottom w:val="none" w:sz="0" w:space="0" w:color="auto"/>
        <w:right w:val="none" w:sz="0" w:space="0" w:color="auto"/>
      </w:divBdr>
    </w:div>
    <w:div w:id="1746759418">
      <w:bodyDiv w:val="1"/>
      <w:marLeft w:val="0"/>
      <w:marRight w:val="0"/>
      <w:marTop w:val="0"/>
      <w:marBottom w:val="0"/>
      <w:divBdr>
        <w:top w:val="none" w:sz="0" w:space="0" w:color="auto"/>
        <w:left w:val="none" w:sz="0" w:space="0" w:color="auto"/>
        <w:bottom w:val="none" w:sz="0" w:space="0" w:color="auto"/>
        <w:right w:val="none" w:sz="0" w:space="0" w:color="auto"/>
      </w:divBdr>
    </w:div>
    <w:div w:id="1747527977">
      <w:bodyDiv w:val="1"/>
      <w:marLeft w:val="0"/>
      <w:marRight w:val="0"/>
      <w:marTop w:val="0"/>
      <w:marBottom w:val="0"/>
      <w:divBdr>
        <w:top w:val="none" w:sz="0" w:space="0" w:color="auto"/>
        <w:left w:val="none" w:sz="0" w:space="0" w:color="auto"/>
        <w:bottom w:val="none" w:sz="0" w:space="0" w:color="auto"/>
        <w:right w:val="none" w:sz="0" w:space="0" w:color="auto"/>
      </w:divBdr>
    </w:div>
    <w:div w:id="1748577114">
      <w:bodyDiv w:val="1"/>
      <w:marLeft w:val="0"/>
      <w:marRight w:val="0"/>
      <w:marTop w:val="0"/>
      <w:marBottom w:val="0"/>
      <w:divBdr>
        <w:top w:val="none" w:sz="0" w:space="0" w:color="auto"/>
        <w:left w:val="none" w:sz="0" w:space="0" w:color="auto"/>
        <w:bottom w:val="none" w:sz="0" w:space="0" w:color="auto"/>
        <w:right w:val="none" w:sz="0" w:space="0" w:color="auto"/>
      </w:divBdr>
    </w:div>
    <w:div w:id="1748651147">
      <w:bodyDiv w:val="1"/>
      <w:marLeft w:val="0"/>
      <w:marRight w:val="0"/>
      <w:marTop w:val="0"/>
      <w:marBottom w:val="0"/>
      <w:divBdr>
        <w:top w:val="none" w:sz="0" w:space="0" w:color="auto"/>
        <w:left w:val="none" w:sz="0" w:space="0" w:color="auto"/>
        <w:bottom w:val="none" w:sz="0" w:space="0" w:color="auto"/>
        <w:right w:val="none" w:sz="0" w:space="0" w:color="auto"/>
      </w:divBdr>
    </w:div>
    <w:div w:id="1749840071">
      <w:bodyDiv w:val="1"/>
      <w:marLeft w:val="0"/>
      <w:marRight w:val="0"/>
      <w:marTop w:val="0"/>
      <w:marBottom w:val="0"/>
      <w:divBdr>
        <w:top w:val="none" w:sz="0" w:space="0" w:color="auto"/>
        <w:left w:val="none" w:sz="0" w:space="0" w:color="auto"/>
        <w:bottom w:val="none" w:sz="0" w:space="0" w:color="auto"/>
        <w:right w:val="none" w:sz="0" w:space="0" w:color="auto"/>
      </w:divBdr>
    </w:div>
    <w:div w:id="1751149591">
      <w:bodyDiv w:val="1"/>
      <w:marLeft w:val="0"/>
      <w:marRight w:val="0"/>
      <w:marTop w:val="0"/>
      <w:marBottom w:val="0"/>
      <w:divBdr>
        <w:top w:val="none" w:sz="0" w:space="0" w:color="auto"/>
        <w:left w:val="none" w:sz="0" w:space="0" w:color="auto"/>
        <w:bottom w:val="none" w:sz="0" w:space="0" w:color="auto"/>
        <w:right w:val="none" w:sz="0" w:space="0" w:color="auto"/>
      </w:divBdr>
    </w:div>
    <w:div w:id="1751349042">
      <w:bodyDiv w:val="1"/>
      <w:marLeft w:val="0"/>
      <w:marRight w:val="0"/>
      <w:marTop w:val="0"/>
      <w:marBottom w:val="0"/>
      <w:divBdr>
        <w:top w:val="none" w:sz="0" w:space="0" w:color="auto"/>
        <w:left w:val="none" w:sz="0" w:space="0" w:color="auto"/>
        <w:bottom w:val="none" w:sz="0" w:space="0" w:color="auto"/>
        <w:right w:val="none" w:sz="0" w:space="0" w:color="auto"/>
      </w:divBdr>
    </w:div>
    <w:div w:id="1752583818">
      <w:bodyDiv w:val="1"/>
      <w:marLeft w:val="0"/>
      <w:marRight w:val="0"/>
      <w:marTop w:val="0"/>
      <w:marBottom w:val="0"/>
      <w:divBdr>
        <w:top w:val="none" w:sz="0" w:space="0" w:color="auto"/>
        <w:left w:val="none" w:sz="0" w:space="0" w:color="auto"/>
        <w:bottom w:val="none" w:sz="0" w:space="0" w:color="auto"/>
        <w:right w:val="none" w:sz="0" w:space="0" w:color="auto"/>
      </w:divBdr>
    </w:div>
    <w:div w:id="1752971188">
      <w:bodyDiv w:val="1"/>
      <w:marLeft w:val="0"/>
      <w:marRight w:val="0"/>
      <w:marTop w:val="0"/>
      <w:marBottom w:val="0"/>
      <w:divBdr>
        <w:top w:val="none" w:sz="0" w:space="0" w:color="auto"/>
        <w:left w:val="none" w:sz="0" w:space="0" w:color="auto"/>
        <w:bottom w:val="none" w:sz="0" w:space="0" w:color="auto"/>
        <w:right w:val="none" w:sz="0" w:space="0" w:color="auto"/>
      </w:divBdr>
    </w:div>
    <w:div w:id="1753238544">
      <w:bodyDiv w:val="1"/>
      <w:marLeft w:val="0"/>
      <w:marRight w:val="0"/>
      <w:marTop w:val="0"/>
      <w:marBottom w:val="0"/>
      <w:divBdr>
        <w:top w:val="none" w:sz="0" w:space="0" w:color="auto"/>
        <w:left w:val="none" w:sz="0" w:space="0" w:color="auto"/>
        <w:bottom w:val="none" w:sz="0" w:space="0" w:color="auto"/>
        <w:right w:val="none" w:sz="0" w:space="0" w:color="auto"/>
      </w:divBdr>
    </w:div>
    <w:div w:id="1753316613">
      <w:bodyDiv w:val="1"/>
      <w:marLeft w:val="0"/>
      <w:marRight w:val="0"/>
      <w:marTop w:val="0"/>
      <w:marBottom w:val="0"/>
      <w:divBdr>
        <w:top w:val="none" w:sz="0" w:space="0" w:color="auto"/>
        <w:left w:val="none" w:sz="0" w:space="0" w:color="auto"/>
        <w:bottom w:val="none" w:sz="0" w:space="0" w:color="auto"/>
        <w:right w:val="none" w:sz="0" w:space="0" w:color="auto"/>
      </w:divBdr>
    </w:div>
    <w:div w:id="1754205150">
      <w:bodyDiv w:val="1"/>
      <w:marLeft w:val="0"/>
      <w:marRight w:val="0"/>
      <w:marTop w:val="0"/>
      <w:marBottom w:val="0"/>
      <w:divBdr>
        <w:top w:val="none" w:sz="0" w:space="0" w:color="auto"/>
        <w:left w:val="none" w:sz="0" w:space="0" w:color="auto"/>
        <w:bottom w:val="none" w:sz="0" w:space="0" w:color="auto"/>
        <w:right w:val="none" w:sz="0" w:space="0" w:color="auto"/>
      </w:divBdr>
    </w:div>
    <w:div w:id="1754234775">
      <w:bodyDiv w:val="1"/>
      <w:marLeft w:val="0"/>
      <w:marRight w:val="0"/>
      <w:marTop w:val="0"/>
      <w:marBottom w:val="0"/>
      <w:divBdr>
        <w:top w:val="none" w:sz="0" w:space="0" w:color="auto"/>
        <w:left w:val="none" w:sz="0" w:space="0" w:color="auto"/>
        <w:bottom w:val="none" w:sz="0" w:space="0" w:color="auto"/>
        <w:right w:val="none" w:sz="0" w:space="0" w:color="auto"/>
      </w:divBdr>
    </w:div>
    <w:div w:id="1754276011">
      <w:bodyDiv w:val="1"/>
      <w:marLeft w:val="0"/>
      <w:marRight w:val="0"/>
      <w:marTop w:val="0"/>
      <w:marBottom w:val="0"/>
      <w:divBdr>
        <w:top w:val="none" w:sz="0" w:space="0" w:color="auto"/>
        <w:left w:val="none" w:sz="0" w:space="0" w:color="auto"/>
        <w:bottom w:val="none" w:sz="0" w:space="0" w:color="auto"/>
        <w:right w:val="none" w:sz="0" w:space="0" w:color="auto"/>
      </w:divBdr>
    </w:div>
    <w:div w:id="1755542535">
      <w:bodyDiv w:val="1"/>
      <w:marLeft w:val="0"/>
      <w:marRight w:val="0"/>
      <w:marTop w:val="0"/>
      <w:marBottom w:val="0"/>
      <w:divBdr>
        <w:top w:val="none" w:sz="0" w:space="0" w:color="auto"/>
        <w:left w:val="none" w:sz="0" w:space="0" w:color="auto"/>
        <w:bottom w:val="none" w:sz="0" w:space="0" w:color="auto"/>
        <w:right w:val="none" w:sz="0" w:space="0" w:color="auto"/>
      </w:divBdr>
    </w:div>
    <w:div w:id="1757171510">
      <w:bodyDiv w:val="1"/>
      <w:marLeft w:val="0"/>
      <w:marRight w:val="0"/>
      <w:marTop w:val="0"/>
      <w:marBottom w:val="0"/>
      <w:divBdr>
        <w:top w:val="none" w:sz="0" w:space="0" w:color="auto"/>
        <w:left w:val="none" w:sz="0" w:space="0" w:color="auto"/>
        <w:bottom w:val="none" w:sz="0" w:space="0" w:color="auto"/>
        <w:right w:val="none" w:sz="0" w:space="0" w:color="auto"/>
      </w:divBdr>
    </w:div>
    <w:div w:id="1757441490">
      <w:bodyDiv w:val="1"/>
      <w:marLeft w:val="0"/>
      <w:marRight w:val="0"/>
      <w:marTop w:val="0"/>
      <w:marBottom w:val="0"/>
      <w:divBdr>
        <w:top w:val="none" w:sz="0" w:space="0" w:color="auto"/>
        <w:left w:val="none" w:sz="0" w:space="0" w:color="auto"/>
        <w:bottom w:val="none" w:sz="0" w:space="0" w:color="auto"/>
        <w:right w:val="none" w:sz="0" w:space="0" w:color="auto"/>
      </w:divBdr>
    </w:div>
    <w:div w:id="1757824945">
      <w:bodyDiv w:val="1"/>
      <w:marLeft w:val="0"/>
      <w:marRight w:val="0"/>
      <w:marTop w:val="0"/>
      <w:marBottom w:val="0"/>
      <w:divBdr>
        <w:top w:val="none" w:sz="0" w:space="0" w:color="auto"/>
        <w:left w:val="none" w:sz="0" w:space="0" w:color="auto"/>
        <w:bottom w:val="none" w:sz="0" w:space="0" w:color="auto"/>
        <w:right w:val="none" w:sz="0" w:space="0" w:color="auto"/>
      </w:divBdr>
    </w:div>
    <w:div w:id="1758551100">
      <w:bodyDiv w:val="1"/>
      <w:marLeft w:val="0"/>
      <w:marRight w:val="0"/>
      <w:marTop w:val="0"/>
      <w:marBottom w:val="0"/>
      <w:divBdr>
        <w:top w:val="none" w:sz="0" w:space="0" w:color="auto"/>
        <w:left w:val="none" w:sz="0" w:space="0" w:color="auto"/>
        <w:bottom w:val="none" w:sz="0" w:space="0" w:color="auto"/>
        <w:right w:val="none" w:sz="0" w:space="0" w:color="auto"/>
      </w:divBdr>
    </w:div>
    <w:div w:id="1759252276">
      <w:bodyDiv w:val="1"/>
      <w:marLeft w:val="0"/>
      <w:marRight w:val="0"/>
      <w:marTop w:val="0"/>
      <w:marBottom w:val="0"/>
      <w:divBdr>
        <w:top w:val="none" w:sz="0" w:space="0" w:color="auto"/>
        <w:left w:val="none" w:sz="0" w:space="0" w:color="auto"/>
        <w:bottom w:val="none" w:sz="0" w:space="0" w:color="auto"/>
        <w:right w:val="none" w:sz="0" w:space="0" w:color="auto"/>
      </w:divBdr>
    </w:div>
    <w:div w:id="1759477647">
      <w:bodyDiv w:val="1"/>
      <w:marLeft w:val="0"/>
      <w:marRight w:val="0"/>
      <w:marTop w:val="0"/>
      <w:marBottom w:val="0"/>
      <w:divBdr>
        <w:top w:val="none" w:sz="0" w:space="0" w:color="auto"/>
        <w:left w:val="none" w:sz="0" w:space="0" w:color="auto"/>
        <w:bottom w:val="none" w:sz="0" w:space="0" w:color="auto"/>
        <w:right w:val="none" w:sz="0" w:space="0" w:color="auto"/>
      </w:divBdr>
    </w:div>
    <w:div w:id="1759642862">
      <w:bodyDiv w:val="1"/>
      <w:marLeft w:val="0"/>
      <w:marRight w:val="0"/>
      <w:marTop w:val="0"/>
      <w:marBottom w:val="0"/>
      <w:divBdr>
        <w:top w:val="none" w:sz="0" w:space="0" w:color="auto"/>
        <w:left w:val="none" w:sz="0" w:space="0" w:color="auto"/>
        <w:bottom w:val="none" w:sz="0" w:space="0" w:color="auto"/>
        <w:right w:val="none" w:sz="0" w:space="0" w:color="auto"/>
      </w:divBdr>
    </w:div>
    <w:div w:id="1760101346">
      <w:bodyDiv w:val="1"/>
      <w:marLeft w:val="0"/>
      <w:marRight w:val="0"/>
      <w:marTop w:val="0"/>
      <w:marBottom w:val="0"/>
      <w:divBdr>
        <w:top w:val="none" w:sz="0" w:space="0" w:color="auto"/>
        <w:left w:val="none" w:sz="0" w:space="0" w:color="auto"/>
        <w:bottom w:val="none" w:sz="0" w:space="0" w:color="auto"/>
        <w:right w:val="none" w:sz="0" w:space="0" w:color="auto"/>
      </w:divBdr>
    </w:div>
    <w:div w:id="1760518117">
      <w:bodyDiv w:val="1"/>
      <w:marLeft w:val="0"/>
      <w:marRight w:val="0"/>
      <w:marTop w:val="0"/>
      <w:marBottom w:val="0"/>
      <w:divBdr>
        <w:top w:val="none" w:sz="0" w:space="0" w:color="auto"/>
        <w:left w:val="none" w:sz="0" w:space="0" w:color="auto"/>
        <w:bottom w:val="none" w:sz="0" w:space="0" w:color="auto"/>
        <w:right w:val="none" w:sz="0" w:space="0" w:color="auto"/>
      </w:divBdr>
    </w:div>
    <w:div w:id="1760565356">
      <w:bodyDiv w:val="1"/>
      <w:marLeft w:val="0"/>
      <w:marRight w:val="0"/>
      <w:marTop w:val="0"/>
      <w:marBottom w:val="0"/>
      <w:divBdr>
        <w:top w:val="none" w:sz="0" w:space="0" w:color="auto"/>
        <w:left w:val="none" w:sz="0" w:space="0" w:color="auto"/>
        <w:bottom w:val="none" w:sz="0" w:space="0" w:color="auto"/>
        <w:right w:val="none" w:sz="0" w:space="0" w:color="auto"/>
      </w:divBdr>
    </w:div>
    <w:div w:id="1761178864">
      <w:bodyDiv w:val="1"/>
      <w:marLeft w:val="0"/>
      <w:marRight w:val="0"/>
      <w:marTop w:val="0"/>
      <w:marBottom w:val="0"/>
      <w:divBdr>
        <w:top w:val="none" w:sz="0" w:space="0" w:color="auto"/>
        <w:left w:val="none" w:sz="0" w:space="0" w:color="auto"/>
        <w:bottom w:val="none" w:sz="0" w:space="0" w:color="auto"/>
        <w:right w:val="none" w:sz="0" w:space="0" w:color="auto"/>
      </w:divBdr>
    </w:div>
    <w:div w:id="1761676303">
      <w:bodyDiv w:val="1"/>
      <w:marLeft w:val="0"/>
      <w:marRight w:val="0"/>
      <w:marTop w:val="0"/>
      <w:marBottom w:val="0"/>
      <w:divBdr>
        <w:top w:val="none" w:sz="0" w:space="0" w:color="auto"/>
        <w:left w:val="none" w:sz="0" w:space="0" w:color="auto"/>
        <w:bottom w:val="none" w:sz="0" w:space="0" w:color="auto"/>
        <w:right w:val="none" w:sz="0" w:space="0" w:color="auto"/>
      </w:divBdr>
    </w:div>
    <w:div w:id="1762144820">
      <w:bodyDiv w:val="1"/>
      <w:marLeft w:val="0"/>
      <w:marRight w:val="0"/>
      <w:marTop w:val="0"/>
      <w:marBottom w:val="0"/>
      <w:divBdr>
        <w:top w:val="none" w:sz="0" w:space="0" w:color="auto"/>
        <w:left w:val="none" w:sz="0" w:space="0" w:color="auto"/>
        <w:bottom w:val="none" w:sz="0" w:space="0" w:color="auto"/>
        <w:right w:val="none" w:sz="0" w:space="0" w:color="auto"/>
      </w:divBdr>
    </w:div>
    <w:div w:id="1763186111">
      <w:bodyDiv w:val="1"/>
      <w:marLeft w:val="0"/>
      <w:marRight w:val="0"/>
      <w:marTop w:val="0"/>
      <w:marBottom w:val="0"/>
      <w:divBdr>
        <w:top w:val="none" w:sz="0" w:space="0" w:color="auto"/>
        <w:left w:val="none" w:sz="0" w:space="0" w:color="auto"/>
        <w:bottom w:val="none" w:sz="0" w:space="0" w:color="auto"/>
        <w:right w:val="none" w:sz="0" w:space="0" w:color="auto"/>
      </w:divBdr>
    </w:div>
    <w:div w:id="1763719655">
      <w:bodyDiv w:val="1"/>
      <w:marLeft w:val="0"/>
      <w:marRight w:val="0"/>
      <w:marTop w:val="0"/>
      <w:marBottom w:val="0"/>
      <w:divBdr>
        <w:top w:val="none" w:sz="0" w:space="0" w:color="auto"/>
        <w:left w:val="none" w:sz="0" w:space="0" w:color="auto"/>
        <w:bottom w:val="none" w:sz="0" w:space="0" w:color="auto"/>
        <w:right w:val="none" w:sz="0" w:space="0" w:color="auto"/>
      </w:divBdr>
    </w:div>
    <w:div w:id="1764449888">
      <w:bodyDiv w:val="1"/>
      <w:marLeft w:val="0"/>
      <w:marRight w:val="0"/>
      <w:marTop w:val="0"/>
      <w:marBottom w:val="0"/>
      <w:divBdr>
        <w:top w:val="none" w:sz="0" w:space="0" w:color="auto"/>
        <w:left w:val="none" w:sz="0" w:space="0" w:color="auto"/>
        <w:bottom w:val="none" w:sz="0" w:space="0" w:color="auto"/>
        <w:right w:val="none" w:sz="0" w:space="0" w:color="auto"/>
      </w:divBdr>
    </w:div>
    <w:div w:id="1764719111">
      <w:bodyDiv w:val="1"/>
      <w:marLeft w:val="0"/>
      <w:marRight w:val="0"/>
      <w:marTop w:val="0"/>
      <w:marBottom w:val="0"/>
      <w:divBdr>
        <w:top w:val="none" w:sz="0" w:space="0" w:color="auto"/>
        <w:left w:val="none" w:sz="0" w:space="0" w:color="auto"/>
        <w:bottom w:val="none" w:sz="0" w:space="0" w:color="auto"/>
        <w:right w:val="none" w:sz="0" w:space="0" w:color="auto"/>
      </w:divBdr>
    </w:div>
    <w:div w:id="1765417526">
      <w:bodyDiv w:val="1"/>
      <w:marLeft w:val="0"/>
      <w:marRight w:val="0"/>
      <w:marTop w:val="0"/>
      <w:marBottom w:val="0"/>
      <w:divBdr>
        <w:top w:val="none" w:sz="0" w:space="0" w:color="auto"/>
        <w:left w:val="none" w:sz="0" w:space="0" w:color="auto"/>
        <w:bottom w:val="none" w:sz="0" w:space="0" w:color="auto"/>
        <w:right w:val="none" w:sz="0" w:space="0" w:color="auto"/>
      </w:divBdr>
    </w:div>
    <w:div w:id="1766806137">
      <w:bodyDiv w:val="1"/>
      <w:marLeft w:val="0"/>
      <w:marRight w:val="0"/>
      <w:marTop w:val="0"/>
      <w:marBottom w:val="0"/>
      <w:divBdr>
        <w:top w:val="none" w:sz="0" w:space="0" w:color="auto"/>
        <w:left w:val="none" w:sz="0" w:space="0" w:color="auto"/>
        <w:bottom w:val="none" w:sz="0" w:space="0" w:color="auto"/>
        <w:right w:val="none" w:sz="0" w:space="0" w:color="auto"/>
      </w:divBdr>
    </w:div>
    <w:div w:id="1767118654">
      <w:bodyDiv w:val="1"/>
      <w:marLeft w:val="0"/>
      <w:marRight w:val="0"/>
      <w:marTop w:val="0"/>
      <w:marBottom w:val="0"/>
      <w:divBdr>
        <w:top w:val="none" w:sz="0" w:space="0" w:color="auto"/>
        <w:left w:val="none" w:sz="0" w:space="0" w:color="auto"/>
        <w:bottom w:val="none" w:sz="0" w:space="0" w:color="auto"/>
        <w:right w:val="none" w:sz="0" w:space="0" w:color="auto"/>
      </w:divBdr>
    </w:div>
    <w:div w:id="1767312255">
      <w:bodyDiv w:val="1"/>
      <w:marLeft w:val="0"/>
      <w:marRight w:val="0"/>
      <w:marTop w:val="0"/>
      <w:marBottom w:val="0"/>
      <w:divBdr>
        <w:top w:val="none" w:sz="0" w:space="0" w:color="auto"/>
        <w:left w:val="none" w:sz="0" w:space="0" w:color="auto"/>
        <w:bottom w:val="none" w:sz="0" w:space="0" w:color="auto"/>
        <w:right w:val="none" w:sz="0" w:space="0" w:color="auto"/>
      </w:divBdr>
    </w:div>
    <w:div w:id="1767537869">
      <w:bodyDiv w:val="1"/>
      <w:marLeft w:val="0"/>
      <w:marRight w:val="0"/>
      <w:marTop w:val="0"/>
      <w:marBottom w:val="0"/>
      <w:divBdr>
        <w:top w:val="none" w:sz="0" w:space="0" w:color="auto"/>
        <w:left w:val="none" w:sz="0" w:space="0" w:color="auto"/>
        <w:bottom w:val="none" w:sz="0" w:space="0" w:color="auto"/>
        <w:right w:val="none" w:sz="0" w:space="0" w:color="auto"/>
      </w:divBdr>
    </w:div>
    <w:div w:id="1767799185">
      <w:bodyDiv w:val="1"/>
      <w:marLeft w:val="0"/>
      <w:marRight w:val="0"/>
      <w:marTop w:val="0"/>
      <w:marBottom w:val="0"/>
      <w:divBdr>
        <w:top w:val="none" w:sz="0" w:space="0" w:color="auto"/>
        <w:left w:val="none" w:sz="0" w:space="0" w:color="auto"/>
        <w:bottom w:val="none" w:sz="0" w:space="0" w:color="auto"/>
        <w:right w:val="none" w:sz="0" w:space="0" w:color="auto"/>
      </w:divBdr>
    </w:div>
    <w:div w:id="1768623824">
      <w:bodyDiv w:val="1"/>
      <w:marLeft w:val="0"/>
      <w:marRight w:val="0"/>
      <w:marTop w:val="0"/>
      <w:marBottom w:val="0"/>
      <w:divBdr>
        <w:top w:val="none" w:sz="0" w:space="0" w:color="auto"/>
        <w:left w:val="none" w:sz="0" w:space="0" w:color="auto"/>
        <w:bottom w:val="none" w:sz="0" w:space="0" w:color="auto"/>
        <w:right w:val="none" w:sz="0" w:space="0" w:color="auto"/>
      </w:divBdr>
    </w:div>
    <w:div w:id="1769504757">
      <w:bodyDiv w:val="1"/>
      <w:marLeft w:val="0"/>
      <w:marRight w:val="0"/>
      <w:marTop w:val="0"/>
      <w:marBottom w:val="0"/>
      <w:divBdr>
        <w:top w:val="none" w:sz="0" w:space="0" w:color="auto"/>
        <w:left w:val="none" w:sz="0" w:space="0" w:color="auto"/>
        <w:bottom w:val="none" w:sz="0" w:space="0" w:color="auto"/>
        <w:right w:val="none" w:sz="0" w:space="0" w:color="auto"/>
      </w:divBdr>
    </w:div>
    <w:div w:id="1769734924">
      <w:bodyDiv w:val="1"/>
      <w:marLeft w:val="0"/>
      <w:marRight w:val="0"/>
      <w:marTop w:val="0"/>
      <w:marBottom w:val="0"/>
      <w:divBdr>
        <w:top w:val="none" w:sz="0" w:space="0" w:color="auto"/>
        <w:left w:val="none" w:sz="0" w:space="0" w:color="auto"/>
        <w:bottom w:val="none" w:sz="0" w:space="0" w:color="auto"/>
        <w:right w:val="none" w:sz="0" w:space="0" w:color="auto"/>
      </w:divBdr>
    </w:div>
    <w:div w:id="1769882725">
      <w:bodyDiv w:val="1"/>
      <w:marLeft w:val="0"/>
      <w:marRight w:val="0"/>
      <w:marTop w:val="0"/>
      <w:marBottom w:val="0"/>
      <w:divBdr>
        <w:top w:val="none" w:sz="0" w:space="0" w:color="auto"/>
        <w:left w:val="none" w:sz="0" w:space="0" w:color="auto"/>
        <w:bottom w:val="none" w:sz="0" w:space="0" w:color="auto"/>
        <w:right w:val="none" w:sz="0" w:space="0" w:color="auto"/>
      </w:divBdr>
    </w:div>
    <w:div w:id="1769889288">
      <w:bodyDiv w:val="1"/>
      <w:marLeft w:val="0"/>
      <w:marRight w:val="0"/>
      <w:marTop w:val="0"/>
      <w:marBottom w:val="0"/>
      <w:divBdr>
        <w:top w:val="none" w:sz="0" w:space="0" w:color="auto"/>
        <w:left w:val="none" w:sz="0" w:space="0" w:color="auto"/>
        <w:bottom w:val="none" w:sz="0" w:space="0" w:color="auto"/>
        <w:right w:val="none" w:sz="0" w:space="0" w:color="auto"/>
      </w:divBdr>
    </w:div>
    <w:div w:id="1769960205">
      <w:bodyDiv w:val="1"/>
      <w:marLeft w:val="0"/>
      <w:marRight w:val="0"/>
      <w:marTop w:val="0"/>
      <w:marBottom w:val="0"/>
      <w:divBdr>
        <w:top w:val="none" w:sz="0" w:space="0" w:color="auto"/>
        <w:left w:val="none" w:sz="0" w:space="0" w:color="auto"/>
        <w:bottom w:val="none" w:sz="0" w:space="0" w:color="auto"/>
        <w:right w:val="none" w:sz="0" w:space="0" w:color="auto"/>
      </w:divBdr>
    </w:div>
    <w:div w:id="1770157549">
      <w:bodyDiv w:val="1"/>
      <w:marLeft w:val="0"/>
      <w:marRight w:val="0"/>
      <w:marTop w:val="0"/>
      <w:marBottom w:val="0"/>
      <w:divBdr>
        <w:top w:val="none" w:sz="0" w:space="0" w:color="auto"/>
        <w:left w:val="none" w:sz="0" w:space="0" w:color="auto"/>
        <w:bottom w:val="none" w:sz="0" w:space="0" w:color="auto"/>
        <w:right w:val="none" w:sz="0" w:space="0" w:color="auto"/>
      </w:divBdr>
    </w:div>
    <w:div w:id="1770735999">
      <w:bodyDiv w:val="1"/>
      <w:marLeft w:val="0"/>
      <w:marRight w:val="0"/>
      <w:marTop w:val="0"/>
      <w:marBottom w:val="0"/>
      <w:divBdr>
        <w:top w:val="none" w:sz="0" w:space="0" w:color="auto"/>
        <w:left w:val="none" w:sz="0" w:space="0" w:color="auto"/>
        <w:bottom w:val="none" w:sz="0" w:space="0" w:color="auto"/>
        <w:right w:val="none" w:sz="0" w:space="0" w:color="auto"/>
      </w:divBdr>
    </w:div>
    <w:div w:id="1771198619">
      <w:bodyDiv w:val="1"/>
      <w:marLeft w:val="0"/>
      <w:marRight w:val="0"/>
      <w:marTop w:val="0"/>
      <w:marBottom w:val="0"/>
      <w:divBdr>
        <w:top w:val="none" w:sz="0" w:space="0" w:color="auto"/>
        <w:left w:val="none" w:sz="0" w:space="0" w:color="auto"/>
        <w:bottom w:val="none" w:sz="0" w:space="0" w:color="auto"/>
        <w:right w:val="none" w:sz="0" w:space="0" w:color="auto"/>
      </w:divBdr>
    </w:div>
    <w:div w:id="1771268547">
      <w:bodyDiv w:val="1"/>
      <w:marLeft w:val="0"/>
      <w:marRight w:val="0"/>
      <w:marTop w:val="0"/>
      <w:marBottom w:val="0"/>
      <w:divBdr>
        <w:top w:val="none" w:sz="0" w:space="0" w:color="auto"/>
        <w:left w:val="none" w:sz="0" w:space="0" w:color="auto"/>
        <w:bottom w:val="none" w:sz="0" w:space="0" w:color="auto"/>
        <w:right w:val="none" w:sz="0" w:space="0" w:color="auto"/>
      </w:divBdr>
    </w:div>
    <w:div w:id="1771271749">
      <w:bodyDiv w:val="1"/>
      <w:marLeft w:val="0"/>
      <w:marRight w:val="0"/>
      <w:marTop w:val="0"/>
      <w:marBottom w:val="0"/>
      <w:divBdr>
        <w:top w:val="none" w:sz="0" w:space="0" w:color="auto"/>
        <w:left w:val="none" w:sz="0" w:space="0" w:color="auto"/>
        <w:bottom w:val="none" w:sz="0" w:space="0" w:color="auto"/>
        <w:right w:val="none" w:sz="0" w:space="0" w:color="auto"/>
      </w:divBdr>
    </w:div>
    <w:div w:id="1771968385">
      <w:bodyDiv w:val="1"/>
      <w:marLeft w:val="0"/>
      <w:marRight w:val="0"/>
      <w:marTop w:val="0"/>
      <w:marBottom w:val="0"/>
      <w:divBdr>
        <w:top w:val="none" w:sz="0" w:space="0" w:color="auto"/>
        <w:left w:val="none" w:sz="0" w:space="0" w:color="auto"/>
        <w:bottom w:val="none" w:sz="0" w:space="0" w:color="auto"/>
        <w:right w:val="none" w:sz="0" w:space="0" w:color="auto"/>
      </w:divBdr>
    </w:div>
    <w:div w:id="1772582835">
      <w:bodyDiv w:val="1"/>
      <w:marLeft w:val="0"/>
      <w:marRight w:val="0"/>
      <w:marTop w:val="0"/>
      <w:marBottom w:val="0"/>
      <w:divBdr>
        <w:top w:val="none" w:sz="0" w:space="0" w:color="auto"/>
        <w:left w:val="none" w:sz="0" w:space="0" w:color="auto"/>
        <w:bottom w:val="none" w:sz="0" w:space="0" w:color="auto"/>
        <w:right w:val="none" w:sz="0" w:space="0" w:color="auto"/>
      </w:divBdr>
    </w:div>
    <w:div w:id="1773165399">
      <w:bodyDiv w:val="1"/>
      <w:marLeft w:val="0"/>
      <w:marRight w:val="0"/>
      <w:marTop w:val="0"/>
      <w:marBottom w:val="0"/>
      <w:divBdr>
        <w:top w:val="none" w:sz="0" w:space="0" w:color="auto"/>
        <w:left w:val="none" w:sz="0" w:space="0" w:color="auto"/>
        <w:bottom w:val="none" w:sz="0" w:space="0" w:color="auto"/>
        <w:right w:val="none" w:sz="0" w:space="0" w:color="auto"/>
      </w:divBdr>
    </w:div>
    <w:div w:id="1774014573">
      <w:bodyDiv w:val="1"/>
      <w:marLeft w:val="0"/>
      <w:marRight w:val="0"/>
      <w:marTop w:val="0"/>
      <w:marBottom w:val="0"/>
      <w:divBdr>
        <w:top w:val="none" w:sz="0" w:space="0" w:color="auto"/>
        <w:left w:val="none" w:sz="0" w:space="0" w:color="auto"/>
        <w:bottom w:val="none" w:sz="0" w:space="0" w:color="auto"/>
        <w:right w:val="none" w:sz="0" w:space="0" w:color="auto"/>
      </w:divBdr>
    </w:div>
    <w:div w:id="1774325696">
      <w:bodyDiv w:val="1"/>
      <w:marLeft w:val="0"/>
      <w:marRight w:val="0"/>
      <w:marTop w:val="0"/>
      <w:marBottom w:val="0"/>
      <w:divBdr>
        <w:top w:val="none" w:sz="0" w:space="0" w:color="auto"/>
        <w:left w:val="none" w:sz="0" w:space="0" w:color="auto"/>
        <w:bottom w:val="none" w:sz="0" w:space="0" w:color="auto"/>
        <w:right w:val="none" w:sz="0" w:space="0" w:color="auto"/>
      </w:divBdr>
    </w:div>
    <w:div w:id="1774544233">
      <w:bodyDiv w:val="1"/>
      <w:marLeft w:val="0"/>
      <w:marRight w:val="0"/>
      <w:marTop w:val="0"/>
      <w:marBottom w:val="0"/>
      <w:divBdr>
        <w:top w:val="none" w:sz="0" w:space="0" w:color="auto"/>
        <w:left w:val="none" w:sz="0" w:space="0" w:color="auto"/>
        <w:bottom w:val="none" w:sz="0" w:space="0" w:color="auto"/>
        <w:right w:val="none" w:sz="0" w:space="0" w:color="auto"/>
      </w:divBdr>
    </w:div>
    <w:div w:id="1774544719">
      <w:bodyDiv w:val="1"/>
      <w:marLeft w:val="0"/>
      <w:marRight w:val="0"/>
      <w:marTop w:val="0"/>
      <w:marBottom w:val="0"/>
      <w:divBdr>
        <w:top w:val="none" w:sz="0" w:space="0" w:color="auto"/>
        <w:left w:val="none" w:sz="0" w:space="0" w:color="auto"/>
        <w:bottom w:val="none" w:sz="0" w:space="0" w:color="auto"/>
        <w:right w:val="none" w:sz="0" w:space="0" w:color="auto"/>
      </w:divBdr>
    </w:div>
    <w:div w:id="1774743215">
      <w:bodyDiv w:val="1"/>
      <w:marLeft w:val="0"/>
      <w:marRight w:val="0"/>
      <w:marTop w:val="0"/>
      <w:marBottom w:val="0"/>
      <w:divBdr>
        <w:top w:val="none" w:sz="0" w:space="0" w:color="auto"/>
        <w:left w:val="none" w:sz="0" w:space="0" w:color="auto"/>
        <w:bottom w:val="none" w:sz="0" w:space="0" w:color="auto"/>
        <w:right w:val="none" w:sz="0" w:space="0" w:color="auto"/>
      </w:divBdr>
    </w:div>
    <w:div w:id="1775133689">
      <w:bodyDiv w:val="1"/>
      <w:marLeft w:val="0"/>
      <w:marRight w:val="0"/>
      <w:marTop w:val="0"/>
      <w:marBottom w:val="0"/>
      <w:divBdr>
        <w:top w:val="none" w:sz="0" w:space="0" w:color="auto"/>
        <w:left w:val="none" w:sz="0" w:space="0" w:color="auto"/>
        <w:bottom w:val="none" w:sz="0" w:space="0" w:color="auto"/>
        <w:right w:val="none" w:sz="0" w:space="0" w:color="auto"/>
      </w:divBdr>
    </w:div>
    <w:div w:id="1775325622">
      <w:bodyDiv w:val="1"/>
      <w:marLeft w:val="0"/>
      <w:marRight w:val="0"/>
      <w:marTop w:val="0"/>
      <w:marBottom w:val="0"/>
      <w:divBdr>
        <w:top w:val="none" w:sz="0" w:space="0" w:color="auto"/>
        <w:left w:val="none" w:sz="0" w:space="0" w:color="auto"/>
        <w:bottom w:val="none" w:sz="0" w:space="0" w:color="auto"/>
        <w:right w:val="none" w:sz="0" w:space="0" w:color="auto"/>
      </w:divBdr>
    </w:div>
    <w:div w:id="1775855184">
      <w:bodyDiv w:val="1"/>
      <w:marLeft w:val="0"/>
      <w:marRight w:val="0"/>
      <w:marTop w:val="0"/>
      <w:marBottom w:val="0"/>
      <w:divBdr>
        <w:top w:val="none" w:sz="0" w:space="0" w:color="auto"/>
        <w:left w:val="none" w:sz="0" w:space="0" w:color="auto"/>
        <w:bottom w:val="none" w:sz="0" w:space="0" w:color="auto"/>
        <w:right w:val="none" w:sz="0" w:space="0" w:color="auto"/>
      </w:divBdr>
    </w:div>
    <w:div w:id="1776712268">
      <w:bodyDiv w:val="1"/>
      <w:marLeft w:val="0"/>
      <w:marRight w:val="0"/>
      <w:marTop w:val="0"/>
      <w:marBottom w:val="0"/>
      <w:divBdr>
        <w:top w:val="none" w:sz="0" w:space="0" w:color="auto"/>
        <w:left w:val="none" w:sz="0" w:space="0" w:color="auto"/>
        <w:bottom w:val="none" w:sz="0" w:space="0" w:color="auto"/>
        <w:right w:val="none" w:sz="0" w:space="0" w:color="auto"/>
      </w:divBdr>
    </w:div>
    <w:div w:id="1777022815">
      <w:bodyDiv w:val="1"/>
      <w:marLeft w:val="0"/>
      <w:marRight w:val="0"/>
      <w:marTop w:val="0"/>
      <w:marBottom w:val="0"/>
      <w:divBdr>
        <w:top w:val="none" w:sz="0" w:space="0" w:color="auto"/>
        <w:left w:val="none" w:sz="0" w:space="0" w:color="auto"/>
        <w:bottom w:val="none" w:sz="0" w:space="0" w:color="auto"/>
        <w:right w:val="none" w:sz="0" w:space="0" w:color="auto"/>
      </w:divBdr>
    </w:div>
    <w:div w:id="1777628126">
      <w:bodyDiv w:val="1"/>
      <w:marLeft w:val="0"/>
      <w:marRight w:val="0"/>
      <w:marTop w:val="0"/>
      <w:marBottom w:val="0"/>
      <w:divBdr>
        <w:top w:val="none" w:sz="0" w:space="0" w:color="auto"/>
        <w:left w:val="none" w:sz="0" w:space="0" w:color="auto"/>
        <w:bottom w:val="none" w:sz="0" w:space="0" w:color="auto"/>
        <w:right w:val="none" w:sz="0" w:space="0" w:color="auto"/>
      </w:divBdr>
    </w:div>
    <w:div w:id="1778059764">
      <w:bodyDiv w:val="1"/>
      <w:marLeft w:val="0"/>
      <w:marRight w:val="0"/>
      <w:marTop w:val="0"/>
      <w:marBottom w:val="0"/>
      <w:divBdr>
        <w:top w:val="none" w:sz="0" w:space="0" w:color="auto"/>
        <w:left w:val="none" w:sz="0" w:space="0" w:color="auto"/>
        <w:bottom w:val="none" w:sz="0" w:space="0" w:color="auto"/>
        <w:right w:val="none" w:sz="0" w:space="0" w:color="auto"/>
      </w:divBdr>
    </w:div>
    <w:div w:id="1778207316">
      <w:bodyDiv w:val="1"/>
      <w:marLeft w:val="0"/>
      <w:marRight w:val="0"/>
      <w:marTop w:val="0"/>
      <w:marBottom w:val="0"/>
      <w:divBdr>
        <w:top w:val="none" w:sz="0" w:space="0" w:color="auto"/>
        <w:left w:val="none" w:sz="0" w:space="0" w:color="auto"/>
        <w:bottom w:val="none" w:sz="0" w:space="0" w:color="auto"/>
        <w:right w:val="none" w:sz="0" w:space="0" w:color="auto"/>
      </w:divBdr>
    </w:div>
    <w:div w:id="1778329157">
      <w:bodyDiv w:val="1"/>
      <w:marLeft w:val="0"/>
      <w:marRight w:val="0"/>
      <w:marTop w:val="0"/>
      <w:marBottom w:val="0"/>
      <w:divBdr>
        <w:top w:val="none" w:sz="0" w:space="0" w:color="auto"/>
        <w:left w:val="none" w:sz="0" w:space="0" w:color="auto"/>
        <w:bottom w:val="none" w:sz="0" w:space="0" w:color="auto"/>
        <w:right w:val="none" w:sz="0" w:space="0" w:color="auto"/>
      </w:divBdr>
    </w:div>
    <w:div w:id="1778914637">
      <w:bodyDiv w:val="1"/>
      <w:marLeft w:val="0"/>
      <w:marRight w:val="0"/>
      <w:marTop w:val="0"/>
      <w:marBottom w:val="0"/>
      <w:divBdr>
        <w:top w:val="none" w:sz="0" w:space="0" w:color="auto"/>
        <w:left w:val="none" w:sz="0" w:space="0" w:color="auto"/>
        <w:bottom w:val="none" w:sz="0" w:space="0" w:color="auto"/>
        <w:right w:val="none" w:sz="0" w:space="0" w:color="auto"/>
      </w:divBdr>
    </w:div>
    <w:div w:id="1779063146">
      <w:bodyDiv w:val="1"/>
      <w:marLeft w:val="0"/>
      <w:marRight w:val="0"/>
      <w:marTop w:val="0"/>
      <w:marBottom w:val="0"/>
      <w:divBdr>
        <w:top w:val="none" w:sz="0" w:space="0" w:color="auto"/>
        <w:left w:val="none" w:sz="0" w:space="0" w:color="auto"/>
        <w:bottom w:val="none" w:sz="0" w:space="0" w:color="auto"/>
        <w:right w:val="none" w:sz="0" w:space="0" w:color="auto"/>
      </w:divBdr>
    </w:div>
    <w:div w:id="1780368421">
      <w:bodyDiv w:val="1"/>
      <w:marLeft w:val="0"/>
      <w:marRight w:val="0"/>
      <w:marTop w:val="0"/>
      <w:marBottom w:val="0"/>
      <w:divBdr>
        <w:top w:val="none" w:sz="0" w:space="0" w:color="auto"/>
        <w:left w:val="none" w:sz="0" w:space="0" w:color="auto"/>
        <w:bottom w:val="none" w:sz="0" w:space="0" w:color="auto"/>
        <w:right w:val="none" w:sz="0" w:space="0" w:color="auto"/>
      </w:divBdr>
    </w:div>
    <w:div w:id="1780569066">
      <w:bodyDiv w:val="1"/>
      <w:marLeft w:val="0"/>
      <w:marRight w:val="0"/>
      <w:marTop w:val="0"/>
      <w:marBottom w:val="0"/>
      <w:divBdr>
        <w:top w:val="none" w:sz="0" w:space="0" w:color="auto"/>
        <w:left w:val="none" w:sz="0" w:space="0" w:color="auto"/>
        <w:bottom w:val="none" w:sz="0" w:space="0" w:color="auto"/>
        <w:right w:val="none" w:sz="0" w:space="0" w:color="auto"/>
      </w:divBdr>
    </w:div>
    <w:div w:id="1781148238">
      <w:bodyDiv w:val="1"/>
      <w:marLeft w:val="0"/>
      <w:marRight w:val="0"/>
      <w:marTop w:val="0"/>
      <w:marBottom w:val="0"/>
      <w:divBdr>
        <w:top w:val="none" w:sz="0" w:space="0" w:color="auto"/>
        <w:left w:val="none" w:sz="0" w:space="0" w:color="auto"/>
        <w:bottom w:val="none" w:sz="0" w:space="0" w:color="auto"/>
        <w:right w:val="none" w:sz="0" w:space="0" w:color="auto"/>
      </w:divBdr>
    </w:div>
    <w:div w:id="1782650215">
      <w:bodyDiv w:val="1"/>
      <w:marLeft w:val="0"/>
      <w:marRight w:val="0"/>
      <w:marTop w:val="0"/>
      <w:marBottom w:val="0"/>
      <w:divBdr>
        <w:top w:val="none" w:sz="0" w:space="0" w:color="auto"/>
        <w:left w:val="none" w:sz="0" w:space="0" w:color="auto"/>
        <w:bottom w:val="none" w:sz="0" w:space="0" w:color="auto"/>
        <w:right w:val="none" w:sz="0" w:space="0" w:color="auto"/>
      </w:divBdr>
    </w:div>
    <w:div w:id="1782989556">
      <w:bodyDiv w:val="1"/>
      <w:marLeft w:val="0"/>
      <w:marRight w:val="0"/>
      <w:marTop w:val="0"/>
      <w:marBottom w:val="0"/>
      <w:divBdr>
        <w:top w:val="none" w:sz="0" w:space="0" w:color="auto"/>
        <w:left w:val="none" w:sz="0" w:space="0" w:color="auto"/>
        <w:bottom w:val="none" w:sz="0" w:space="0" w:color="auto"/>
        <w:right w:val="none" w:sz="0" w:space="0" w:color="auto"/>
      </w:divBdr>
    </w:div>
    <w:div w:id="1783070126">
      <w:bodyDiv w:val="1"/>
      <w:marLeft w:val="0"/>
      <w:marRight w:val="0"/>
      <w:marTop w:val="0"/>
      <w:marBottom w:val="0"/>
      <w:divBdr>
        <w:top w:val="none" w:sz="0" w:space="0" w:color="auto"/>
        <w:left w:val="none" w:sz="0" w:space="0" w:color="auto"/>
        <w:bottom w:val="none" w:sz="0" w:space="0" w:color="auto"/>
        <w:right w:val="none" w:sz="0" w:space="0" w:color="auto"/>
      </w:divBdr>
    </w:div>
    <w:div w:id="1783260725">
      <w:bodyDiv w:val="1"/>
      <w:marLeft w:val="0"/>
      <w:marRight w:val="0"/>
      <w:marTop w:val="0"/>
      <w:marBottom w:val="0"/>
      <w:divBdr>
        <w:top w:val="none" w:sz="0" w:space="0" w:color="auto"/>
        <w:left w:val="none" w:sz="0" w:space="0" w:color="auto"/>
        <w:bottom w:val="none" w:sz="0" w:space="0" w:color="auto"/>
        <w:right w:val="none" w:sz="0" w:space="0" w:color="auto"/>
      </w:divBdr>
    </w:div>
    <w:div w:id="1784614213">
      <w:bodyDiv w:val="1"/>
      <w:marLeft w:val="0"/>
      <w:marRight w:val="0"/>
      <w:marTop w:val="0"/>
      <w:marBottom w:val="0"/>
      <w:divBdr>
        <w:top w:val="none" w:sz="0" w:space="0" w:color="auto"/>
        <w:left w:val="none" w:sz="0" w:space="0" w:color="auto"/>
        <w:bottom w:val="none" w:sz="0" w:space="0" w:color="auto"/>
        <w:right w:val="none" w:sz="0" w:space="0" w:color="auto"/>
      </w:divBdr>
    </w:div>
    <w:div w:id="1784837169">
      <w:bodyDiv w:val="1"/>
      <w:marLeft w:val="0"/>
      <w:marRight w:val="0"/>
      <w:marTop w:val="0"/>
      <w:marBottom w:val="0"/>
      <w:divBdr>
        <w:top w:val="none" w:sz="0" w:space="0" w:color="auto"/>
        <w:left w:val="none" w:sz="0" w:space="0" w:color="auto"/>
        <w:bottom w:val="none" w:sz="0" w:space="0" w:color="auto"/>
        <w:right w:val="none" w:sz="0" w:space="0" w:color="auto"/>
      </w:divBdr>
    </w:div>
    <w:div w:id="1785880756">
      <w:bodyDiv w:val="1"/>
      <w:marLeft w:val="0"/>
      <w:marRight w:val="0"/>
      <w:marTop w:val="0"/>
      <w:marBottom w:val="0"/>
      <w:divBdr>
        <w:top w:val="none" w:sz="0" w:space="0" w:color="auto"/>
        <w:left w:val="none" w:sz="0" w:space="0" w:color="auto"/>
        <w:bottom w:val="none" w:sz="0" w:space="0" w:color="auto"/>
        <w:right w:val="none" w:sz="0" w:space="0" w:color="auto"/>
      </w:divBdr>
    </w:div>
    <w:div w:id="1787193776">
      <w:bodyDiv w:val="1"/>
      <w:marLeft w:val="0"/>
      <w:marRight w:val="0"/>
      <w:marTop w:val="0"/>
      <w:marBottom w:val="0"/>
      <w:divBdr>
        <w:top w:val="none" w:sz="0" w:space="0" w:color="auto"/>
        <w:left w:val="none" w:sz="0" w:space="0" w:color="auto"/>
        <w:bottom w:val="none" w:sz="0" w:space="0" w:color="auto"/>
        <w:right w:val="none" w:sz="0" w:space="0" w:color="auto"/>
      </w:divBdr>
    </w:div>
    <w:div w:id="1788696814">
      <w:bodyDiv w:val="1"/>
      <w:marLeft w:val="0"/>
      <w:marRight w:val="0"/>
      <w:marTop w:val="0"/>
      <w:marBottom w:val="0"/>
      <w:divBdr>
        <w:top w:val="none" w:sz="0" w:space="0" w:color="auto"/>
        <w:left w:val="none" w:sz="0" w:space="0" w:color="auto"/>
        <w:bottom w:val="none" w:sz="0" w:space="0" w:color="auto"/>
        <w:right w:val="none" w:sz="0" w:space="0" w:color="auto"/>
      </w:divBdr>
    </w:div>
    <w:div w:id="1789812231">
      <w:bodyDiv w:val="1"/>
      <w:marLeft w:val="0"/>
      <w:marRight w:val="0"/>
      <w:marTop w:val="0"/>
      <w:marBottom w:val="0"/>
      <w:divBdr>
        <w:top w:val="none" w:sz="0" w:space="0" w:color="auto"/>
        <w:left w:val="none" w:sz="0" w:space="0" w:color="auto"/>
        <w:bottom w:val="none" w:sz="0" w:space="0" w:color="auto"/>
        <w:right w:val="none" w:sz="0" w:space="0" w:color="auto"/>
      </w:divBdr>
    </w:div>
    <w:div w:id="1790050305">
      <w:bodyDiv w:val="1"/>
      <w:marLeft w:val="0"/>
      <w:marRight w:val="0"/>
      <w:marTop w:val="0"/>
      <w:marBottom w:val="0"/>
      <w:divBdr>
        <w:top w:val="none" w:sz="0" w:space="0" w:color="auto"/>
        <w:left w:val="none" w:sz="0" w:space="0" w:color="auto"/>
        <w:bottom w:val="none" w:sz="0" w:space="0" w:color="auto"/>
        <w:right w:val="none" w:sz="0" w:space="0" w:color="auto"/>
      </w:divBdr>
    </w:div>
    <w:div w:id="1791362868">
      <w:bodyDiv w:val="1"/>
      <w:marLeft w:val="0"/>
      <w:marRight w:val="0"/>
      <w:marTop w:val="0"/>
      <w:marBottom w:val="0"/>
      <w:divBdr>
        <w:top w:val="none" w:sz="0" w:space="0" w:color="auto"/>
        <w:left w:val="none" w:sz="0" w:space="0" w:color="auto"/>
        <w:bottom w:val="none" w:sz="0" w:space="0" w:color="auto"/>
        <w:right w:val="none" w:sz="0" w:space="0" w:color="auto"/>
      </w:divBdr>
    </w:div>
    <w:div w:id="1791774902">
      <w:bodyDiv w:val="1"/>
      <w:marLeft w:val="0"/>
      <w:marRight w:val="0"/>
      <w:marTop w:val="0"/>
      <w:marBottom w:val="0"/>
      <w:divBdr>
        <w:top w:val="none" w:sz="0" w:space="0" w:color="auto"/>
        <w:left w:val="none" w:sz="0" w:space="0" w:color="auto"/>
        <w:bottom w:val="none" w:sz="0" w:space="0" w:color="auto"/>
        <w:right w:val="none" w:sz="0" w:space="0" w:color="auto"/>
      </w:divBdr>
    </w:div>
    <w:div w:id="1791778431">
      <w:bodyDiv w:val="1"/>
      <w:marLeft w:val="0"/>
      <w:marRight w:val="0"/>
      <w:marTop w:val="0"/>
      <w:marBottom w:val="0"/>
      <w:divBdr>
        <w:top w:val="none" w:sz="0" w:space="0" w:color="auto"/>
        <w:left w:val="none" w:sz="0" w:space="0" w:color="auto"/>
        <w:bottom w:val="none" w:sz="0" w:space="0" w:color="auto"/>
        <w:right w:val="none" w:sz="0" w:space="0" w:color="auto"/>
      </w:divBdr>
    </w:div>
    <w:div w:id="1792354948">
      <w:bodyDiv w:val="1"/>
      <w:marLeft w:val="0"/>
      <w:marRight w:val="0"/>
      <w:marTop w:val="0"/>
      <w:marBottom w:val="0"/>
      <w:divBdr>
        <w:top w:val="none" w:sz="0" w:space="0" w:color="auto"/>
        <w:left w:val="none" w:sz="0" w:space="0" w:color="auto"/>
        <w:bottom w:val="none" w:sz="0" w:space="0" w:color="auto"/>
        <w:right w:val="none" w:sz="0" w:space="0" w:color="auto"/>
      </w:divBdr>
    </w:div>
    <w:div w:id="1792627625">
      <w:bodyDiv w:val="1"/>
      <w:marLeft w:val="0"/>
      <w:marRight w:val="0"/>
      <w:marTop w:val="0"/>
      <w:marBottom w:val="0"/>
      <w:divBdr>
        <w:top w:val="none" w:sz="0" w:space="0" w:color="auto"/>
        <w:left w:val="none" w:sz="0" w:space="0" w:color="auto"/>
        <w:bottom w:val="none" w:sz="0" w:space="0" w:color="auto"/>
        <w:right w:val="none" w:sz="0" w:space="0" w:color="auto"/>
      </w:divBdr>
    </w:div>
    <w:div w:id="1792939163">
      <w:bodyDiv w:val="1"/>
      <w:marLeft w:val="0"/>
      <w:marRight w:val="0"/>
      <w:marTop w:val="0"/>
      <w:marBottom w:val="0"/>
      <w:divBdr>
        <w:top w:val="none" w:sz="0" w:space="0" w:color="auto"/>
        <w:left w:val="none" w:sz="0" w:space="0" w:color="auto"/>
        <w:bottom w:val="none" w:sz="0" w:space="0" w:color="auto"/>
        <w:right w:val="none" w:sz="0" w:space="0" w:color="auto"/>
      </w:divBdr>
    </w:div>
    <w:div w:id="1792942034">
      <w:bodyDiv w:val="1"/>
      <w:marLeft w:val="0"/>
      <w:marRight w:val="0"/>
      <w:marTop w:val="0"/>
      <w:marBottom w:val="0"/>
      <w:divBdr>
        <w:top w:val="none" w:sz="0" w:space="0" w:color="auto"/>
        <w:left w:val="none" w:sz="0" w:space="0" w:color="auto"/>
        <w:bottom w:val="none" w:sz="0" w:space="0" w:color="auto"/>
        <w:right w:val="none" w:sz="0" w:space="0" w:color="auto"/>
      </w:divBdr>
    </w:div>
    <w:div w:id="1793397128">
      <w:bodyDiv w:val="1"/>
      <w:marLeft w:val="0"/>
      <w:marRight w:val="0"/>
      <w:marTop w:val="0"/>
      <w:marBottom w:val="0"/>
      <w:divBdr>
        <w:top w:val="none" w:sz="0" w:space="0" w:color="auto"/>
        <w:left w:val="none" w:sz="0" w:space="0" w:color="auto"/>
        <w:bottom w:val="none" w:sz="0" w:space="0" w:color="auto"/>
        <w:right w:val="none" w:sz="0" w:space="0" w:color="auto"/>
      </w:divBdr>
    </w:div>
    <w:div w:id="1793861368">
      <w:bodyDiv w:val="1"/>
      <w:marLeft w:val="0"/>
      <w:marRight w:val="0"/>
      <w:marTop w:val="0"/>
      <w:marBottom w:val="0"/>
      <w:divBdr>
        <w:top w:val="none" w:sz="0" w:space="0" w:color="auto"/>
        <w:left w:val="none" w:sz="0" w:space="0" w:color="auto"/>
        <w:bottom w:val="none" w:sz="0" w:space="0" w:color="auto"/>
        <w:right w:val="none" w:sz="0" w:space="0" w:color="auto"/>
      </w:divBdr>
    </w:div>
    <w:div w:id="1794059941">
      <w:bodyDiv w:val="1"/>
      <w:marLeft w:val="0"/>
      <w:marRight w:val="0"/>
      <w:marTop w:val="0"/>
      <w:marBottom w:val="0"/>
      <w:divBdr>
        <w:top w:val="none" w:sz="0" w:space="0" w:color="auto"/>
        <w:left w:val="none" w:sz="0" w:space="0" w:color="auto"/>
        <w:bottom w:val="none" w:sz="0" w:space="0" w:color="auto"/>
        <w:right w:val="none" w:sz="0" w:space="0" w:color="auto"/>
      </w:divBdr>
    </w:div>
    <w:div w:id="1794206767">
      <w:bodyDiv w:val="1"/>
      <w:marLeft w:val="0"/>
      <w:marRight w:val="0"/>
      <w:marTop w:val="0"/>
      <w:marBottom w:val="0"/>
      <w:divBdr>
        <w:top w:val="none" w:sz="0" w:space="0" w:color="auto"/>
        <w:left w:val="none" w:sz="0" w:space="0" w:color="auto"/>
        <w:bottom w:val="none" w:sz="0" w:space="0" w:color="auto"/>
        <w:right w:val="none" w:sz="0" w:space="0" w:color="auto"/>
      </w:divBdr>
    </w:div>
    <w:div w:id="1794395805">
      <w:bodyDiv w:val="1"/>
      <w:marLeft w:val="0"/>
      <w:marRight w:val="0"/>
      <w:marTop w:val="0"/>
      <w:marBottom w:val="0"/>
      <w:divBdr>
        <w:top w:val="none" w:sz="0" w:space="0" w:color="auto"/>
        <w:left w:val="none" w:sz="0" w:space="0" w:color="auto"/>
        <w:bottom w:val="none" w:sz="0" w:space="0" w:color="auto"/>
        <w:right w:val="none" w:sz="0" w:space="0" w:color="auto"/>
      </w:divBdr>
    </w:div>
    <w:div w:id="1795826655">
      <w:bodyDiv w:val="1"/>
      <w:marLeft w:val="0"/>
      <w:marRight w:val="0"/>
      <w:marTop w:val="0"/>
      <w:marBottom w:val="0"/>
      <w:divBdr>
        <w:top w:val="none" w:sz="0" w:space="0" w:color="auto"/>
        <w:left w:val="none" w:sz="0" w:space="0" w:color="auto"/>
        <w:bottom w:val="none" w:sz="0" w:space="0" w:color="auto"/>
        <w:right w:val="none" w:sz="0" w:space="0" w:color="auto"/>
      </w:divBdr>
    </w:div>
    <w:div w:id="1796019459">
      <w:bodyDiv w:val="1"/>
      <w:marLeft w:val="0"/>
      <w:marRight w:val="0"/>
      <w:marTop w:val="0"/>
      <w:marBottom w:val="0"/>
      <w:divBdr>
        <w:top w:val="none" w:sz="0" w:space="0" w:color="auto"/>
        <w:left w:val="none" w:sz="0" w:space="0" w:color="auto"/>
        <w:bottom w:val="none" w:sz="0" w:space="0" w:color="auto"/>
        <w:right w:val="none" w:sz="0" w:space="0" w:color="auto"/>
      </w:divBdr>
    </w:div>
    <w:div w:id="1796364098">
      <w:bodyDiv w:val="1"/>
      <w:marLeft w:val="0"/>
      <w:marRight w:val="0"/>
      <w:marTop w:val="0"/>
      <w:marBottom w:val="0"/>
      <w:divBdr>
        <w:top w:val="none" w:sz="0" w:space="0" w:color="auto"/>
        <w:left w:val="none" w:sz="0" w:space="0" w:color="auto"/>
        <w:bottom w:val="none" w:sz="0" w:space="0" w:color="auto"/>
        <w:right w:val="none" w:sz="0" w:space="0" w:color="auto"/>
      </w:divBdr>
    </w:div>
    <w:div w:id="1796604733">
      <w:bodyDiv w:val="1"/>
      <w:marLeft w:val="0"/>
      <w:marRight w:val="0"/>
      <w:marTop w:val="0"/>
      <w:marBottom w:val="0"/>
      <w:divBdr>
        <w:top w:val="none" w:sz="0" w:space="0" w:color="auto"/>
        <w:left w:val="none" w:sz="0" w:space="0" w:color="auto"/>
        <w:bottom w:val="none" w:sz="0" w:space="0" w:color="auto"/>
        <w:right w:val="none" w:sz="0" w:space="0" w:color="auto"/>
      </w:divBdr>
    </w:div>
    <w:div w:id="1797212579">
      <w:bodyDiv w:val="1"/>
      <w:marLeft w:val="0"/>
      <w:marRight w:val="0"/>
      <w:marTop w:val="0"/>
      <w:marBottom w:val="0"/>
      <w:divBdr>
        <w:top w:val="none" w:sz="0" w:space="0" w:color="auto"/>
        <w:left w:val="none" w:sz="0" w:space="0" w:color="auto"/>
        <w:bottom w:val="none" w:sz="0" w:space="0" w:color="auto"/>
        <w:right w:val="none" w:sz="0" w:space="0" w:color="auto"/>
      </w:divBdr>
    </w:div>
    <w:div w:id="1797790800">
      <w:bodyDiv w:val="1"/>
      <w:marLeft w:val="0"/>
      <w:marRight w:val="0"/>
      <w:marTop w:val="0"/>
      <w:marBottom w:val="0"/>
      <w:divBdr>
        <w:top w:val="none" w:sz="0" w:space="0" w:color="auto"/>
        <w:left w:val="none" w:sz="0" w:space="0" w:color="auto"/>
        <w:bottom w:val="none" w:sz="0" w:space="0" w:color="auto"/>
        <w:right w:val="none" w:sz="0" w:space="0" w:color="auto"/>
      </w:divBdr>
    </w:div>
    <w:div w:id="1797985923">
      <w:bodyDiv w:val="1"/>
      <w:marLeft w:val="0"/>
      <w:marRight w:val="0"/>
      <w:marTop w:val="0"/>
      <w:marBottom w:val="0"/>
      <w:divBdr>
        <w:top w:val="none" w:sz="0" w:space="0" w:color="auto"/>
        <w:left w:val="none" w:sz="0" w:space="0" w:color="auto"/>
        <w:bottom w:val="none" w:sz="0" w:space="0" w:color="auto"/>
        <w:right w:val="none" w:sz="0" w:space="0" w:color="auto"/>
      </w:divBdr>
    </w:div>
    <w:div w:id="1798404695">
      <w:bodyDiv w:val="1"/>
      <w:marLeft w:val="0"/>
      <w:marRight w:val="0"/>
      <w:marTop w:val="0"/>
      <w:marBottom w:val="0"/>
      <w:divBdr>
        <w:top w:val="none" w:sz="0" w:space="0" w:color="auto"/>
        <w:left w:val="none" w:sz="0" w:space="0" w:color="auto"/>
        <w:bottom w:val="none" w:sz="0" w:space="0" w:color="auto"/>
        <w:right w:val="none" w:sz="0" w:space="0" w:color="auto"/>
      </w:divBdr>
    </w:div>
    <w:div w:id="1798447545">
      <w:bodyDiv w:val="1"/>
      <w:marLeft w:val="0"/>
      <w:marRight w:val="0"/>
      <w:marTop w:val="0"/>
      <w:marBottom w:val="0"/>
      <w:divBdr>
        <w:top w:val="none" w:sz="0" w:space="0" w:color="auto"/>
        <w:left w:val="none" w:sz="0" w:space="0" w:color="auto"/>
        <w:bottom w:val="none" w:sz="0" w:space="0" w:color="auto"/>
        <w:right w:val="none" w:sz="0" w:space="0" w:color="auto"/>
      </w:divBdr>
    </w:div>
    <w:div w:id="1799185267">
      <w:bodyDiv w:val="1"/>
      <w:marLeft w:val="0"/>
      <w:marRight w:val="0"/>
      <w:marTop w:val="0"/>
      <w:marBottom w:val="0"/>
      <w:divBdr>
        <w:top w:val="none" w:sz="0" w:space="0" w:color="auto"/>
        <w:left w:val="none" w:sz="0" w:space="0" w:color="auto"/>
        <w:bottom w:val="none" w:sz="0" w:space="0" w:color="auto"/>
        <w:right w:val="none" w:sz="0" w:space="0" w:color="auto"/>
      </w:divBdr>
    </w:div>
    <w:div w:id="1800148659">
      <w:bodyDiv w:val="1"/>
      <w:marLeft w:val="0"/>
      <w:marRight w:val="0"/>
      <w:marTop w:val="0"/>
      <w:marBottom w:val="0"/>
      <w:divBdr>
        <w:top w:val="none" w:sz="0" w:space="0" w:color="auto"/>
        <w:left w:val="none" w:sz="0" w:space="0" w:color="auto"/>
        <w:bottom w:val="none" w:sz="0" w:space="0" w:color="auto"/>
        <w:right w:val="none" w:sz="0" w:space="0" w:color="auto"/>
      </w:divBdr>
    </w:div>
    <w:div w:id="1800493204">
      <w:bodyDiv w:val="1"/>
      <w:marLeft w:val="0"/>
      <w:marRight w:val="0"/>
      <w:marTop w:val="0"/>
      <w:marBottom w:val="0"/>
      <w:divBdr>
        <w:top w:val="none" w:sz="0" w:space="0" w:color="auto"/>
        <w:left w:val="none" w:sz="0" w:space="0" w:color="auto"/>
        <w:bottom w:val="none" w:sz="0" w:space="0" w:color="auto"/>
        <w:right w:val="none" w:sz="0" w:space="0" w:color="auto"/>
      </w:divBdr>
    </w:div>
    <w:div w:id="1800563463">
      <w:bodyDiv w:val="1"/>
      <w:marLeft w:val="0"/>
      <w:marRight w:val="0"/>
      <w:marTop w:val="0"/>
      <w:marBottom w:val="0"/>
      <w:divBdr>
        <w:top w:val="none" w:sz="0" w:space="0" w:color="auto"/>
        <w:left w:val="none" w:sz="0" w:space="0" w:color="auto"/>
        <w:bottom w:val="none" w:sz="0" w:space="0" w:color="auto"/>
        <w:right w:val="none" w:sz="0" w:space="0" w:color="auto"/>
      </w:divBdr>
    </w:div>
    <w:div w:id="1800568466">
      <w:bodyDiv w:val="1"/>
      <w:marLeft w:val="0"/>
      <w:marRight w:val="0"/>
      <w:marTop w:val="0"/>
      <w:marBottom w:val="0"/>
      <w:divBdr>
        <w:top w:val="none" w:sz="0" w:space="0" w:color="auto"/>
        <w:left w:val="none" w:sz="0" w:space="0" w:color="auto"/>
        <w:bottom w:val="none" w:sz="0" w:space="0" w:color="auto"/>
        <w:right w:val="none" w:sz="0" w:space="0" w:color="auto"/>
      </w:divBdr>
    </w:div>
    <w:div w:id="1800683381">
      <w:bodyDiv w:val="1"/>
      <w:marLeft w:val="0"/>
      <w:marRight w:val="0"/>
      <w:marTop w:val="0"/>
      <w:marBottom w:val="0"/>
      <w:divBdr>
        <w:top w:val="none" w:sz="0" w:space="0" w:color="auto"/>
        <w:left w:val="none" w:sz="0" w:space="0" w:color="auto"/>
        <w:bottom w:val="none" w:sz="0" w:space="0" w:color="auto"/>
        <w:right w:val="none" w:sz="0" w:space="0" w:color="auto"/>
      </w:divBdr>
    </w:div>
    <w:div w:id="1800998550">
      <w:bodyDiv w:val="1"/>
      <w:marLeft w:val="0"/>
      <w:marRight w:val="0"/>
      <w:marTop w:val="0"/>
      <w:marBottom w:val="0"/>
      <w:divBdr>
        <w:top w:val="none" w:sz="0" w:space="0" w:color="auto"/>
        <w:left w:val="none" w:sz="0" w:space="0" w:color="auto"/>
        <w:bottom w:val="none" w:sz="0" w:space="0" w:color="auto"/>
        <w:right w:val="none" w:sz="0" w:space="0" w:color="auto"/>
      </w:divBdr>
    </w:div>
    <w:div w:id="1801532937">
      <w:bodyDiv w:val="1"/>
      <w:marLeft w:val="0"/>
      <w:marRight w:val="0"/>
      <w:marTop w:val="0"/>
      <w:marBottom w:val="0"/>
      <w:divBdr>
        <w:top w:val="none" w:sz="0" w:space="0" w:color="auto"/>
        <w:left w:val="none" w:sz="0" w:space="0" w:color="auto"/>
        <w:bottom w:val="none" w:sz="0" w:space="0" w:color="auto"/>
        <w:right w:val="none" w:sz="0" w:space="0" w:color="auto"/>
      </w:divBdr>
    </w:div>
    <w:div w:id="1801608850">
      <w:bodyDiv w:val="1"/>
      <w:marLeft w:val="0"/>
      <w:marRight w:val="0"/>
      <w:marTop w:val="0"/>
      <w:marBottom w:val="0"/>
      <w:divBdr>
        <w:top w:val="none" w:sz="0" w:space="0" w:color="auto"/>
        <w:left w:val="none" w:sz="0" w:space="0" w:color="auto"/>
        <w:bottom w:val="none" w:sz="0" w:space="0" w:color="auto"/>
        <w:right w:val="none" w:sz="0" w:space="0" w:color="auto"/>
      </w:divBdr>
    </w:div>
    <w:div w:id="1801878647">
      <w:bodyDiv w:val="1"/>
      <w:marLeft w:val="0"/>
      <w:marRight w:val="0"/>
      <w:marTop w:val="0"/>
      <w:marBottom w:val="0"/>
      <w:divBdr>
        <w:top w:val="none" w:sz="0" w:space="0" w:color="auto"/>
        <w:left w:val="none" w:sz="0" w:space="0" w:color="auto"/>
        <w:bottom w:val="none" w:sz="0" w:space="0" w:color="auto"/>
        <w:right w:val="none" w:sz="0" w:space="0" w:color="auto"/>
      </w:divBdr>
    </w:div>
    <w:div w:id="1802260080">
      <w:bodyDiv w:val="1"/>
      <w:marLeft w:val="0"/>
      <w:marRight w:val="0"/>
      <w:marTop w:val="0"/>
      <w:marBottom w:val="0"/>
      <w:divBdr>
        <w:top w:val="none" w:sz="0" w:space="0" w:color="auto"/>
        <w:left w:val="none" w:sz="0" w:space="0" w:color="auto"/>
        <w:bottom w:val="none" w:sz="0" w:space="0" w:color="auto"/>
        <w:right w:val="none" w:sz="0" w:space="0" w:color="auto"/>
      </w:divBdr>
    </w:div>
    <w:div w:id="1802574047">
      <w:bodyDiv w:val="1"/>
      <w:marLeft w:val="0"/>
      <w:marRight w:val="0"/>
      <w:marTop w:val="0"/>
      <w:marBottom w:val="0"/>
      <w:divBdr>
        <w:top w:val="none" w:sz="0" w:space="0" w:color="auto"/>
        <w:left w:val="none" w:sz="0" w:space="0" w:color="auto"/>
        <w:bottom w:val="none" w:sz="0" w:space="0" w:color="auto"/>
        <w:right w:val="none" w:sz="0" w:space="0" w:color="auto"/>
      </w:divBdr>
    </w:div>
    <w:div w:id="1803302839">
      <w:bodyDiv w:val="1"/>
      <w:marLeft w:val="0"/>
      <w:marRight w:val="0"/>
      <w:marTop w:val="0"/>
      <w:marBottom w:val="0"/>
      <w:divBdr>
        <w:top w:val="none" w:sz="0" w:space="0" w:color="auto"/>
        <w:left w:val="none" w:sz="0" w:space="0" w:color="auto"/>
        <w:bottom w:val="none" w:sz="0" w:space="0" w:color="auto"/>
        <w:right w:val="none" w:sz="0" w:space="0" w:color="auto"/>
      </w:divBdr>
    </w:div>
    <w:div w:id="1803497758">
      <w:bodyDiv w:val="1"/>
      <w:marLeft w:val="0"/>
      <w:marRight w:val="0"/>
      <w:marTop w:val="0"/>
      <w:marBottom w:val="0"/>
      <w:divBdr>
        <w:top w:val="none" w:sz="0" w:space="0" w:color="auto"/>
        <w:left w:val="none" w:sz="0" w:space="0" w:color="auto"/>
        <w:bottom w:val="none" w:sz="0" w:space="0" w:color="auto"/>
        <w:right w:val="none" w:sz="0" w:space="0" w:color="auto"/>
      </w:divBdr>
    </w:div>
    <w:div w:id="1803693488">
      <w:bodyDiv w:val="1"/>
      <w:marLeft w:val="0"/>
      <w:marRight w:val="0"/>
      <w:marTop w:val="0"/>
      <w:marBottom w:val="0"/>
      <w:divBdr>
        <w:top w:val="none" w:sz="0" w:space="0" w:color="auto"/>
        <w:left w:val="none" w:sz="0" w:space="0" w:color="auto"/>
        <w:bottom w:val="none" w:sz="0" w:space="0" w:color="auto"/>
        <w:right w:val="none" w:sz="0" w:space="0" w:color="auto"/>
      </w:divBdr>
    </w:div>
    <w:div w:id="1803961309">
      <w:bodyDiv w:val="1"/>
      <w:marLeft w:val="0"/>
      <w:marRight w:val="0"/>
      <w:marTop w:val="0"/>
      <w:marBottom w:val="0"/>
      <w:divBdr>
        <w:top w:val="none" w:sz="0" w:space="0" w:color="auto"/>
        <w:left w:val="none" w:sz="0" w:space="0" w:color="auto"/>
        <w:bottom w:val="none" w:sz="0" w:space="0" w:color="auto"/>
        <w:right w:val="none" w:sz="0" w:space="0" w:color="auto"/>
      </w:divBdr>
    </w:div>
    <w:div w:id="1804470199">
      <w:bodyDiv w:val="1"/>
      <w:marLeft w:val="0"/>
      <w:marRight w:val="0"/>
      <w:marTop w:val="0"/>
      <w:marBottom w:val="0"/>
      <w:divBdr>
        <w:top w:val="none" w:sz="0" w:space="0" w:color="auto"/>
        <w:left w:val="none" w:sz="0" w:space="0" w:color="auto"/>
        <w:bottom w:val="none" w:sz="0" w:space="0" w:color="auto"/>
        <w:right w:val="none" w:sz="0" w:space="0" w:color="auto"/>
      </w:divBdr>
    </w:div>
    <w:div w:id="1804494663">
      <w:bodyDiv w:val="1"/>
      <w:marLeft w:val="0"/>
      <w:marRight w:val="0"/>
      <w:marTop w:val="0"/>
      <w:marBottom w:val="0"/>
      <w:divBdr>
        <w:top w:val="none" w:sz="0" w:space="0" w:color="auto"/>
        <w:left w:val="none" w:sz="0" w:space="0" w:color="auto"/>
        <w:bottom w:val="none" w:sz="0" w:space="0" w:color="auto"/>
        <w:right w:val="none" w:sz="0" w:space="0" w:color="auto"/>
      </w:divBdr>
    </w:div>
    <w:div w:id="1805417323">
      <w:bodyDiv w:val="1"/>
      <w:marLeft w:val="0"/>
      <w:marRight w:val="0"/>
      <w:marTop w:val="0"/>
      <w:marBottom w:val="0"/>
      <w:divBdr>
        <w:top w:val="none" w:sz="0" w:space="0" w:color="auto"/>
        <w:left w:val="none" w:sz="0" w:space="0" w:color="auto"/>
        <w:bottom w:val="none" w:sz="0" w:space="0" w:color="auto"/>
        <w:right w:val="none" w:sz="0" w:space="0" w:color="auto"/>
      </w:divBdr>
    </w:div>
    <w:div w:id="1807315914">
      <w:bodyDiv w:val="1"/>
      <w:marLeft w:val="0"/>
      <w:marRight w:val="0"/>
      <w:marTop w:val="0"/>
      <w:marBottom w:val="0"/>
      <w:divBdr>
        <w:top w:val="none" w:sz="0" w:space="0" w:color="auto"/>
        <w:left w:val="none" w:sz="0" w:space="0" w:color="auto"/>
        <w:bottom w:val="none" w:sz="0" w:space="0" w:color="auto"/>
        <w:right w:val="none" w:sz="0" w:space="0" w:color="auto"/>
      </w:divBdr>
    </w:div>
    <w:div w:id="1807358145">
      <w:bodyDiv w:val="1"/>
      <w:marLeft w:val="0"/>
      <w:marRight w:val="0"/>
      <w:marTop w:val="0"/>
      <w:marBottom w:val="0"/>
      <w:divBdr>
        <w:top w:val="none" w:sz="0" w:space="0" w:color="auto"/>
        <w:left w:val="none" w:sz="0" w:space="0" w:color="auto"/>
        <w:bottom w:val="none" w:sz="0" w:space="0" w:color="auto"/>
        <w:right w:val="none" w:sz="0" w:space="0" w:color="auto"/>
      </w:divBdr>
    </w:div>
    <w:div w:id="1807628347">
      <w:bodyDiv w:val="1"/>
      <w:marLeft w:val="0"/>
      <w:marRight w:val="0"/>
      <w:marTop w:val="0"/>
      <w:marBottom w:val="0"/>
      <w:divBdr>
        <w:top w:val="none" w:sz="0" w:space="0" w:color="auto"/>
        <w:left w:val="none" w:sz="0" w:space="0" w:color="auto"/>
        <w:bottom w:val="none" w:sz="0" w:space="0" w:color="auto"/>
        <w:right w:val="none" w:sz="0" w:space="0" w:color="auto"/>
      </w:divBdr>
    </w:div>
    <w:div w:id="1807774128">
      <w:bodyDiv w:val="1"/>
      <w:marLeft w:val="0"/>
      <w:marRight w:val="0"/>
      <w:marTop w:val="0"/>
      <w:marBottom w:val="0"/>
      <w:divBdr>
        <w:top w:val="none" w:sz="0" w:space="0" w:color="auto"/>
        <w:left w:val="none" w:sz="0" w:space="0" w:color="auto"/>
        <w:bottom w:val="none" w:sz="0" w:space="0" w:color="auto"/>
        <w:right w:val="none" w:sz="0" w:space="0" w:color="auto"/>
      </w:divBdr>
    </w:div>
    <w:div w:id="1807774403">
      <w:bodyDiv w:val="1"/>
      <w:marLeft w:val="0"/>
      <w:marRight w:val="0"/>
      <w:marTop w:val="0"/>
      <w:marBottom w:val="0"/>
      <w:divBdr>
        <w:top w:val="none" w:sz="0" w:space="0" w:color="auto"/>
        <w:left w:val="none" w:sz="0" w:space="0" w:color="auto"/>
        <w:bottom w:val="none" w:sz="0" w:space="0" w:color="auto"/>
        <w:right w:val="none" w:sz="0" w:space="0" w:color="auto"/>
      </w:divBdr>
    </w:div>
    <w:div w:id="1808208611">
      <w:bodyDiv w:val="1"/>
      <w:marLeft w:val="0"/>
      <w:marRight w:val="0"/>
      <w:marTop w:val="0"/>
      <w:marBottom w:val="0"/>
      <w:divBdr>
        <w:top w:val="none" w:sz="0" w:space="0" w:color="auto"/>
        <w:left w:val="none" w:sz="0" w:space="0" w:color="auto"/>
        <w:bottom w:val="none" w:sz="0" w:space="0" w:color="auto"/>
        <w:right w:val="none" w:sz="0" w:space="0" w:color="auto"/>
      </w:divBdr>
    </w:div>
    <w:div w:id="1808467969">
      <w:bodyDiv w:val="1"/>
      <w:marLeft w:val="0"/>
      <w:marRight w:val="0"/>
      <w:marTop w:val="0"/>
      <w:marBottom w:val="0"/>
      <w:divBdr>
        <w:top w:val="none" w:sz="0" w:space="0" w:color="auto"/>
        <w:left w:val="none" w:sz="0" w:space="0" w:color="auto"/>
        <w:bottom w:val="none" w:sz="0" w:space="0" w:color="auto"/>
        <w:right w:val="none" w:sz="0" w:space="0" w:color="auto"/>
      </w:divBdr>
    </w:div>
    <w:div w:id="1808468505">
      <w:bodyDiv w:val="1"/>
      <w:marLeft w:val="0"/>
      <w:marRight w:val="0"/>
      <w:marTop w:val="0"/>
      <w:marBottom w:val="0"/>
      <w:divBdr>
        <w:top w:val="none" w:sz="0" w:space="0" w:color="auto"/>
        <w:left w:val="none" w:sz="0" w:space="0" w:color="auto"/>
        <w:bottom w:val="none" w:sz="0" w:space="0" w:color="auto"/>
        <w:right w:val="none" w:sz="0" w:space="0" w:color="auto"/>
      </w:divBdr>
    </w:div>
    <w:div w:id="1808548809">
      <w:bodyDiv w:val="1"/>
      <w:marLeft w:val="0"/>
      <w:marRight w:val="0"/>
      <w:marTop w:val="0"/>
      <w:marBottom w:val="0"/>
      <w:divBdr>
        <w:top w:val="none" w:sz="0" w:space="0" w:color="auto"/>
        <w:left w:val="none" w:sz="0" w:space="0" w:color="auto"/>
        <w:bottom w:val="none" w:sz="0" w:space="0" w:color="auto"/>
        <w:right w:val="none" w:sz="0" w:space="0" w:color="auto"/>
      </w:divBdr>
    </w:div>
    <w:div w:id="1810127747">
      <w:bodyDiv w:val="1"/>
      <w:marLeft w:val="0"/>
      <w:marRight w:val="0"/>
      <w:marTop w:val="0"/>
      <w:marBottom w:val="0"/>
      <w:divBdr>
        <w:top w:val="none" w:sz="0" w:space="0" w:color="auto"/>
        <w:left w:val="none" w:sz="0" w:space="0" w:color="auto"/>
        <w:bottom w:val="none" w:sz="0" w:space="0" w:color="auto"/>
        <w:right w:val="none" w:sz="0" w:space="0" w:color="auto"/>
      </w:divBdr>
    </w:div>
    <w:div w:id="1810244622">
      <w:bodyDiv w:val="1"/>
      <w:marLeft w:val="0"/>
      <w:marRight w:val="0"/>
      <w:marTop w:val="0"/>
      <w:marBottom w:val="0"/>
      <w:divBdr>
        <w:top w:val="none" w:sz="0" w:space="0" w:color="auto"/>
        <w:left w:val="none" w:sz="0" w:space="0" w:color="auto"/>
        <w:bottom w:val="none" w:sz="0" w:space="0" w:color="auto"/>
        <w:right w:val="none" w:sz="0" w:space="0" w:color="auto"/>
      </w:divBdr>
    </w:div>
    <w:div w:id="1810510398">
      <w:bodyDiv w:val="1"/>
      <w:marLeft w:val="0"/>
      <w:marRight w:val="0"/>
      <w:marTop w:val="0"/>
      <w:marBottom w:val="0"/>
      <w:divBdr>
        <w:top w:val="none" w:sz="0" w:space="0" w:color="auto"/>
        <w:left w:val="none" w:sz="0" w:space="0" w:color="auto"/>
        <w:bottom w:val="none" w:sz="0" w:space="0" w:color="auto"/>
        <w:right w:val="none" w:sz="0" w:space="0" w:color="auto"/>
      </w:divBdr>
    </w:div>
    <w:div w:id="1811092750">
      <w:bodyDiv w:val="1"/>
      <w:marLeft w:val="0"/>
      <w:marRight w:val="0"/>
      <w:marTop w:val="0"/>
      <w:marBottom w:val="0"/>
      <w:divBdr>
        <w:top w:val="none" w:sz="0" w:space="0" w:color="auto"/>
        <w:left w:val="none" w:sz="0" w:space="0" w:color="auto"/>
        <w:bottom w:val="none" w:sz="0" w:space="0" w:color="auto"/>
        <w:right w:val="none" w:sz="0" w:space="0" w:color="auto"/>
      </w:divBdr>
    </w:div>
    <w:div w:id="1812165213">
      <w:bodyDiv w:val="1"/>
      <w:marLeft w:val="0"/>
      <w:marRight w:val="0"/>
      <w:marTop w:val="0"/>
      <w:marBottom w:val="0"/>
      <w:divBdr>
        <w:top w:val="none" w:sz="0" w:space="0" w:color="auto"/>
        <w:left w:val="none" w:sz="0" w:space="0" w:color="auto"/>
        <w:bottom w:val="none" w:sz="0" w:space="0" w:color="auto"/>
        <w:right w:val="none" w:sz="0" w:space="0" w:color="auto"/>
      </w:divBdr>
    </w:div>
    <w:div w:id="1813012091">
      <w:bodyDiv w:val="1"/>
      <w:marLeft w:val="0"/>
      <w:marRight w:val="0"/>
      <w:marTop w:val="0"/>
      <w:marBottom w:val="0"/>
      <w:divBdr>
        <w:top w:val="none" w:sz="0" w:space="0" w:color="auto"/>
        <w:left w:val="none" w:sz="0" w:space="0" w:color="auto"/>
        <w:bottom w:val="none" w:sz="0" w:space="0" w:color="auto"/>
        <w:right w:val="none" w:sz="0" w:space="0" w:color="auto"/>
      </w:divBdr>
    </w:div>
    <w:div w:id="1813062037">
      <w:bodyDiv w:val="1"/>
      <w:marLeft w:val="0"/>
      <w:marRight w:val="0"/>
      <w:marTop w:val="0"/>
      <w:marBottom w:val="0"/>
      <w:divBdr>
        <w:top w:val="none" w:sz="0" w:space="0" w:color="auto"/>
        <w:left w:val="none" w:sz="0" w:space="0" w:color="auto"/>
        <w:bottom w:val="none" w:sz="0" w:space="0" w:color="auto"/>
        <w:right w:val="none" w:sz="0" w:space="0" w:color="auto"/>
      </w:divBdr>
    </w:div>
    <w:div w:id="1813792962">
      <w:bodyDiv w:val="1"/>
      <w:marLeft w:val="0"/>
      <w:marRight w:val="0"/>
      <w:marTop w:val="0"/>
      <w:marBottom w:val="0"/>
      <w:divBdr>
        <w:top w:val="none" w:sz="0" w:space="0" w:color="auto"/>
        <w:left w:val="none" w:sz="0" w:space="0" w:color="auto"/>
        <w:bottom w:val="none" w:sz="0" w:space="0" w:color="auto"/>
        <w:right w:val="none" w:sz="0" w:space="0" w:color="auto"/>
      </w:divBdr>
    </w:div>
    <w:div w:id="1815096104">
      <w:bodyDiv w:val="1"/>
      <w:marLeft w:val="0"/>
      <w:marRight w:val="0"/>
      <w:marTop w:val="0"/>
      <w:marBottom w:val="0"/>
      <w:divBdr>
        <w:top w:val="none" w:sz="0" w:space="0" w:color="auto"/>
        <w:left w:val="none" w:sz="0" w:space="0" w:color="auto"/>
        <w:bottom w:val="none" w:sz="0" w:space="0" w:color="auto"/>
        <w:right w:val="none" w:sz="0" w:space="0" w:color="auto"/>
      </w:divBdr>
    </w:div>
    <w:div w:id="1815220001">
      <w:bodyDiv w:val="1"/>
      <w:marLeft w:val="0"/>
      <w:marRight w:val="0"/>
      <w:marTop w:val="0"/>
      <w:marBottom w:val="0"/>
      <w:divBdr>
        <w:top w:val="none" w:sz="0" w:space="0" w:color="auto"/>
        <w:left w:val="none" w:sz="0" w:space="0" w:color="auto"/>
        <w:bottom w:val="none" w:sz="0" w:space="0" w:color="auto"/>
        <w:right w:val="none" w:sz="0" w:space="0" w:color="auto"/>
      </w:divBdr>
    </w:div>
    <w:div w:id="1815369921">
      <w:bodyDiv w:val="1"/>
      <w:marLeft w:val="0"/>
      <w:marRight w:val="0"/>
      <w:marTop w:val="0"/>
      <w:marBottom w:val="0"/>
      <w:divBdr>
        <w:top w:val="none" w:sz="0" w:space="0" w:color="auto"/>
        <w:left w:val="none" w:sz="0" w:space="0" w:color="auto"/>
        <w:bottom w:val="none" w:sz="0" w:space="0" w:color="auto"/>
        <w:right w:val="none" w:sz="0" w:space="0" w:color="auto"/>
      </w:divBdr>
    </w:div>
    <w:div w:id="1815634350">
      <w:bodyDiv w:val="1"/>
      <w:marLeft w:val="0"/>
      <w:marRight w:val="0"/>
      <w:marTop w:val="0"/>
      <w:marBottom w:val="0"/>
      <w:divBdr>
        <w:top w:val="none" w:sz="0" w:space="0" w:color="auto"/>
        <w:left w:val="none" w:sz="0" w:space="0" w:color="auto"/>
        <w:bottom w:val="none" w:sz="0" w:space="0" w:color="auto"/>
        <w:right w:val="none" w:sz="0" w:space="0" w:color="auto"/>
      </w:divBdr>
    </w:div>
    <w:div w:id="1816026458">
      <w:bodyDiv w:val="1"/>
      <w:marLeft w:val="0"/>
      <w:marRight w:val="0"/>
      <w:marTop w:val="0"/>
      <w:marBottom w:val="0"/>
      <w:divBdr>
        <w:top w:val="none" w:sz="0" w:space="0" w:color="auto"/>
        <w:left w:val="none" w:sz="0" w:space="0" w:color="auto"/>
        <w:bottom w:val="none" w:sz="0" w:space="0" w:color="auto"/>
        <w:right w:val="none" w:sz="0" w:space="0" w:color="auto"/>
      </w:divBdr>
    </w:div>
    <w:div w:id="1817138054">
      <w:bodyDiv w:val="1"/>
      <w:marLeft w:val="0"/>
      <w:marRight w:val="0"/>
      <w:marTop w:val="0"/>
      <w:marBottom w:val="0"/>
      <w:divBdr>
        <w:top w:val="none" w:sz="0" w:space="0" w:color="auto"/>
        <w:left w:val="none" w:sz="0" w:space="0" w:color="auto"/>
        <w:bottom w:val="none" w:sz="0" w:space="0" w:color="auto"/>
        <w:right w:val="none" w:sz="0" w:space="0" w:color="auto"/>
      </w:divBdr>
    </w:div>
    <w:div w:id="1817454712">
      <w:bodyDiv w:val="1"/>
      <w:marLeft w:val="0"/>
      <w:marRight w:val="0"/>
      <w:marTop w:val="0"/>
      <w:marBottom w:val="0"/>
      <w:divBdr>
        <w:top w:val="none" w:sz="0" w:space="0" w:color="auto"/>
        <w:left w:val="none" w:sz="0" w:space="0" w:color="auto"/>
        <w:bottom w:val="none" w:sz="0" w:space="0" w:color="auto"/>
        <w:right w:val="none" w:sz="0" w:space="0" w:color="auto"/>
      </w:divBdr>
    </w:div>
    <w:div w:id="1817645684">
      <w:bodyDiv w:val="1"/>
      <w:marLeft w:val="0"/>
      <w:marRight w:val="0"/>
      <w:marTop w:val="0"/>
      <w:marBottom w:val="0"/>
      <w:divBdr>
        <w:top w:val="none" w:sz="0" w:space="0" w:color="auto"/>
        <w:left w:val="none" w:sz="0" w:space="0" w:color="auto"/>
        <w:bottom w:val="none" w:sz="0" w:space="0" w:color="auto"/>
        <w:right w:val="none" w:sz="0" w:space="0" w:color="auto"/>
      </w:divBdr>
    </w:div>
    <w:div w:id="1818958404">
      <w:bodyDiv w:val="1"/>
      <w:marLeft w:val="0"/>
      <w:marRight w:val="0"/>
      <w:marTop w:val="0"/>
      <w:marBottom w:val="0"/>
      <w:divBdr>
        <w:top w:val="none" w:sz="0" w:space="0" w:color="auto"/>
        <w:left w:val="none" w:sz="0" w:space="0" w:color="auto"/>
        <w:bottom w:val="none" w:sz="0" w:space="0" w:color="auto"/>
        <w:right w:val="none" w:sz="0" w:space="0" w:color="auto"/>
      </w:divBdr>
    </w:div>
    <w:div w:id="1819031535">
      <w:bodyDiv w:val="1"/>
      <w:marLeft w:val="0"/>
      <w:marRight w:val="0"/>
      <w:marTop w:val="0"/>
      <w:marBottom w:val="0"/>
      <w:divBdr>
        <w:top w:val="none" w:sz="0" w:space="0" w:color="auto"/>
        <w:left w:val="none" w:sz="0" w:space="0" w:color="auto"/>
        <w:bottom w:val="none" w:sz="0" w:space="0" w:color="auto"/>
        <w:right w:val="none" w:sz="0" w:space="0" w:color="auto"/>
      </w:divBdr>
    </w:div>
    <w:div w:id="1819569912">
      <w:bodyDiv w:val="1"/>
      <w:marLeft w:val="0"/>
      <w:marRight w:val="0"/>
      <w:marTop w:val="0"/>
      <w:marBottom w:val="0"/>
      <w:divBdr>
        <w:top w:val="none" w:sz="0" w:space="0" w:color="auto"/>
        <w:left w:val="none" w:sz="0" w:space="0" w:color="auto"/>
        <w:bottom w:val="none" w:sz="0" w:space="0" w:color="auto"/>
        <w:right w:val="none" w:sz="0" w:space="0" w:color="auto"/>
      </w:divBdr>
    </w:div>
    <w:div w:id="1820918284">
      <w:bodyDiv w:val="1"/>
      <w:marLeft w:val="0"/>
      <w:marRight w:val="0"/>
      <w:marTop w:val="0"/>
      <w:marBottom w:val="0"/>
      <w:divBdr>
        <w:top w:val="none" w:sz="0" w:space="0" w:color="auto"/>
        <w:left w:val="none" w:sz="0" w:space="0" w:color="auto"/>
        <w:bottom w:val="none" w:sz="0" w:space="0" w:color="auto"/>
        <w:right w:val="none" w:sz="0" w:space="0" w:color="auto"/>
      </w:divBdr>
    </w:div>
    <w:div w:id="1820997578">
      <w:bodyDiv w:val="1"/>
      <w:marLeft w:val="0"/>
      <w:marRight w:val="0"/>
      <w:marTop w:val="0"/>
      <w:marBottom w:val="0"/>
      <w:divBdr>
        <w:top w:val="none" w:sz="0" w:space="0" w:color="auto"/>
        <w:left w:val="none" w:sz="0" w:space="0" w:color="auto"/>
        <w:bottom w:val="none" w:sz="0" w:space="0" w:color="auto"/>
        <w:right w:val="none" w:sz="0" w:space="0" w:color="auto"/>
      </w:divBdr>
    </w:div>
    <w:div w:id="1822232067">
      <w:bodyDiv w:val="1"/>
      <w:marLeft w:val="0"/>
      <w:marRight w:val="0"/>
      <w:marTop w:val="0"/>
      <w:marBottom w:val="0"/>
      <w:divBdr>
        <w:top w:val="none" w:sz="0" w:space="0" w:color="auto"/>
        <w:left w:val="none" w:sz="0" w:space="0" w:color="auto"/>
        <w:bottom w:val="none" w:sz="0" w:space="0" w:color="auto"/>
        <w:right w:val="none" w:sz="0" w:space="0" w:color="auto"/>
      </w:divBdr>
    </w:div>
    <w:div w:id="1822502185">
      <w:bodyDiv w:val="1"/>
      <w:marLeft w:val="0"/>
      <w:marRight w:val="0"/>
      <w:marTop w:val="0"/>
      <w:marBottom w:val="0"/>
      <w:divBdr>
        <w:top w:val="none" w:sz="0" w:space="0" w:color="auto"/>
        <w:left w:val="none" w:sz="0" w:space="0" w:color="auto"/>
        <w:bottom w:val="none" w:sz="0" w:space="0" w:color="auto"/>
        <w:right w:val="none" w:sz="0" w:space="0" w:color="auto"/>
      </w:divBdr>
    </w:div>
    <w:div w:id="1823278618">
      <w:bodyDiv w:val="1"/>
      <w:marLeft w:val="0"/>
      <w:marRight w:val="0"/>
      <w:marTop w:val="0"/>
      <w:marBottom w:val="0"/>
      <w:divBdr>
        <w:top w:val="none" w:sz="0" w:space="0" w:color="auto"/>
        <w:left w:val="none" w:sz="0" w:space="0" w:color="auto"/>
        <w:bottom w:val="none" w:sz="0" w:space="0" w:color="auto"/>
        <w:right w:val="none" w:sz="0" w:space="0" w:color="auto"/>
      </w:divBdr>
    </w:div>
    <w:div w:id="1823304937">
      <w:bodyDiv w:val="1"/>
      <w:marLeft w:val="0"/>
      <w:marRight w:val="0"/>
      <w:marTop w:val="0"/>
      <w:marBottom w:val="0"/>
      <w:divBdr>
        <w:top w:val="none" w:sz="0" w:space="0" w:color="auto"/>
        <w:left w:val="none" w:sz="0" w:space="0" w:color="auto"/>
        <w:bottom w:val="none" w:sz="0" w:space="0" w:color="auto"/>
        <w:right w:val="none" w:sz="0" w:space="0" w:color="auto"/>
      </w:divBdr>
    </w:div>
    <w:div w:id="1823354256">
      <w:bodyDiv w:val="1"/>
      <w:marLeft w:val="0"/>
      <w:marRight w:val="0"/>
      <w:marTop w:val="0"/>
      <w:marBottom w:val="0"/>
      <w:divBdr>
        <w:top w:val="none" w:sz="0" w:space="0" w:color="auto"/>
        <w:left w:val="none" w:sz="0" w:space="0" w:color="auto"/>
        <w:bottom w:val="none" w:sz="0" w:space="0" w:color="auto"/>
        <w:right w:val="none" w:sz="0" w:space="0" w:color="auto"/>
      </w:divBdr>
    </w:div>
    <w:div w:id="1823545617">
      <w:bodyDiv w:val="1"/>
      <w:marLeft w:val="0"/>
      <w:marRight w:val="0"/>
      <w:marTop w:val="0"/>
      <w:marBottom w:val="0"/>
      <w:divBdr>
        <w:top w:val="none" w:sz="0" w:space="0" w:color="auto"/>
        <w:left w:val="none" w:sz="0" w:space="0" w:color="auto"/>
        <w:bottom w:val="none" w:sz="0" w:space="0" w:color="auto"/>
        <w:right w:val="none" w:sz="0" w:space="0" w:color="auto"/>
      </w:divBdr>
    </w:div>
    <w:div w:id="1823738635">
      <w:bodyDiv w:val="1"/>
      <w:marLeft w:val="0"/>
      <w:marRight w:val="0"/>
      <w:marTop w:val="0"/>
      <w:marBottom w:val="0"/>
      <w:divBdr>
        <w:top w:val="none" w:sz="0" w:space="0" w:color="auto"/>
        <w:left w:val="none" w:sz="0" w:space="0" w:color="auto"/>
        <w:bottom w:val="none" w:sz="0" w:space="0" w:color="auto"/>
        <w:right w:val="none" w:sz="0" w:space="0" w:color="auto"/>
      </w:divBdr>
    </w:div>
    <w:div w:id="1823886218">
      <w:bodyDiv w:val="1"/>
      <w:marLeft w:val="0"/>
      <w:marRight w:val="0"/>
      <w:marTop w:val="0"/>
      <w:marBottom w:val="0"/>
      <w:divBdr>
        <w:top w:val="none" w:sz="0" w:space="0" w:color="auto"/>
        <w:left w:val="none" w:sz="0" w:space="0" w:color="auto"/>
        <w:bottom w:val="none" w:sz="0" w:space="0" w:color="auto"/>
        <w:right w:val="none" w:sz="0" w:space="0" w:color="auto"/>
      </w:divBdr>
    </w:div>
    <w:div w:id="1824083229">
      <w:bodyDiv w:val="1"/>
      <w:marLeft w:val="0"/>
      <w:marRight w:val="0"/>
      <w:marTop w:val="0"/>
      <w:marBottom w:val="0"/>
      <w:divBdr>
        <w:top w:val="none" w:sz="0" w:space="0" w:color="auto"/>
        <w:left w:val="none" w:sz="0" w:space="0" w:color="auto"/>
        <w:bottom w:val="none" w:sz="0" w:space="0" w:color="auto"/>
        <w:right w:val="none" w:sz="0" w:space="0" w:color="auto"/>
      </w:divBdr>
    </w:div>
    <w:div w:id="1824857651">
      <w:bodyDiv w:val="1"/>
      <w:marLeft w:val="0"/>
      <w:marRight w:val="0"/>
      <w:marTop w:val="0"/>
      <w:marBottom w:val="0"/>
      <w:divBdr>
        <w:top w:val="none" w:sz="0" w:space="0" w:color="auto"/>
        <w:left w:val="none" w:sz="0" w:space="0" w:color="auto"/>
        <w:bottom w:val="none" w:sz="0" w:space="0" w:color="auto"/>
        <w:right w:val="none" w:sz="0" w:space="0" w:color="auto"/>
      </w:divBdr>
    </w:div>
    <w:div w:id="1825123504">
      <w:bodyDiv w:val="1"/>
      <w:marLeft w:val="0"/>
      <w:marRight w:val="0"/>
      <w:marTop w:val="0"/>
      <w:marBottom w:val="0"/>
      <w:divBdr>
        <w:top w:val="none" w:sz="0" w:space="0" w:color="auto"/>
        <w:left w:val="none" w:sz="0" w:space="0" w:color="auto"/>
        <w:bottom w:val="none" w:sz="0" w:space="0" w:color="auto"/>
        <w:right w:val="none" w:sz="0" w:space="0" w:color="auto"/>
      </w:divBdr>
    </w:div>
    <w:div w:id="1825511676">
      <w:bodyDiv w:val="1"/>
      <w:marLeft w:val="0"/>
      <w:marRight w:val="0"/>
      <w:marTop w:val="0"/>
      <w:marBottom w:val="0"/>
      <w:divBdr>
        <w:top w:val="none" w:sz="0" w:space="0" w:color="auto"/>
        <w:left w:val="none" w:sz="0" w:space="0" w:color="auto"/>
        <w:bottom w:val="none" w:sz="0" w:space="0" w:color="auto"/>
        <w:right w:val="none" w:sz="0" w:space="0" w:color="auto"/>
      </w:divBdr>
    </w:div>
    <w:div w:id="1826705569">
      <w:bodyDiv w:val="1"/>
      <w:marLeft w:val="0"/>
      <w:marRight w:val="0"/>
      <w:marTop w:val="0"/>
      <w:marBottom w:val="0"/>
      <w:divBdr>
        <w:top w:val="none" w:sz="0" w:space="0" w:color="auto"/>
        <w:left w:val="none" w:sz="0" w:space="0" w:color="auto"/>
        <w:bottom w:val="none" w:sz="0" w:space="0" w:color="auto"/>
        <w:right w:val="none" w:sz="0" w:space="0" w:color="auto"/>
      </w:divBdr>
    </w:div>
    <w:div w:id="1827472805">
      <w:bodyDiv w:val="1"/>
      <w:marLeft w:val="0"/>
      <w:marRight w:val="0"/>
      <w:marTop w:val="0"/>
      <w:marBottom w:val="0"/>
      <w:divBdr>
        <w:top w:val="none" w:sz="0" w:space="0" w:color="auto"/>
        <w:left w:val="none" w:sz="0" w:space="0" w:color="auto"/>
        <w:bottom w:val="none" w:sz="0" w:space="0" w:color="auto"/>
        <w:right w:val="none" w:sz="0" w:space="0" w:color="auto"/>
      </w:divBdr>
    </w:div>
    <w:div w:id="1827545906">
      <w:bodyDiv w:val="1"/>
      <w:marLeft w:val="0"/>
      <w:marRight w:val="0"/>
      <w:marTop w:val="0"/>
      <w:marBottom w:val="0"/>
      <w:divBdr>
        <w:top w:val="none" w:sz="0" w:space="0" w:color="auto"/>
        <w:left w:val="none" w:sz="0" w:space="0" w:color="auto"/>
        <w:bottom w:val="none" w:sz="0" w:space="0" w:color="auto"/>
        <w:right w:val="none" w:sz="0" w:space="0" w:color="auto"/>
      </w:divBdr>
    </w:div>
    <w:div w:id="1827816605">
      <w:bodyDiv w:val="1"/>
      <w:marLeft w:val="0"/>
      <w:marRight w:val="0"/>
      <w:marTop w:val="0"/>
      <w:marBottom w:val="0"/>
      <w:divBdr>
        <w:top w:val="none" w:sz="0" w:space="0" w:color="auto"/>
        <w:left w:val="none" w:sz="0" w:space="0" w:color="auto"/>
        <w:bottom w:val="none" w:sz="0" w:space="0" w:color="auto"/>
        <w:right w:val="none" w:sz="0" w:space="0" w:color="auto"/>
      </w:divBdr>
    </w:div>
    <w:div w:id="1828590649">
      <w:bodyDiv w:val="1"/>
      <w:marLeft w:val="0"/>
      <w:marRight w:val="0"/>
      <w:marTop w:val="0"/>
      <w:marBottom w:val="0"/>
      <w:divBdr>
        <w:top w:val="none" w:sz="0" w:space="0" w:color="auto"/>
        <w:left w:val="none" w:sz="0" w:space="0" w:color="auto"/>
        <w:bottom w:val="none" w:sz="0" w:space="0" w:color="auto"/>
        <w:right w:val="none" w:sz="0" w:space="0" w:color="auto"/>
      </w:divBdr>
    </w:div>
    <w:div w:id="1829058837">
      <w:bodyDiv w:val="1"/>
      <w:marLeft w:val="0"/>
      <w:marRight w:val="0"/>
      <w:marTop w:val="0"/>
      <w:marBottom w:val="0"/>
      <w:divBdr>
        <w:top w:val="none" w:sz="0" w:space="0" w:color="auto"/>
        <w:left w:val="none" w:sz="0" w:space="0" w:color="auto"/>
        <w:bottom w:val="none" w:sz="0" w:space="0" w:color="auto"/>
        <w:right w:val="none" w:sz="0" w:space="0" w:color="auto"/>
      </w:divBdr>
    </w:div>
    <w:div w:id="1829319062">
      <w:bodyDiv w:val="1"/>
      <w:marLeft w:val="0"/>
      <w:marRight w:val="0"/>
      <w:marTop w:val="0"/>
      <w:marBottom w:val="0"/>
      <w:divBdr>
        <w:top w:val="none" w:sz="0" w:space="0" w:color="auto"/>
        <w:left w:val="none" w:sz="0" w:space="0" w:color="auto"/>
        <w:bottom w:val="none" w:sz="0" w:space="0" w:color="auto"/>
        <w:right w:val="none" w:sz="0" w:space="0" w:color="auto"/>
      </w:divBdr>
    </w:div>
    <w:div w:id="1829664999">
      <w:bodyDiv w:val="1"/>
      <w:marLeft w:val="0"/>
      <w:marRight w:val="0"/>
      <w:marTop w:val="0"/>
      <w:marBottom w:val="0"/>
      <w:divBdr>
        <w:top w:val="none" w:sz="0" w:space="0" w:color="auto"/>
        <w:left w:val="none" w:sz="0" w:space="0" w:color="auto"/>
        <w:bottom w:val="none" w:sz="0" w:space="0" w:color="auto"/>
        <w:right w:val="none" w:sz="0" w:space="0" w:color="auto"/>
      </w:divBdr>
    </w:div>
    <w:div w:id="1830100613">
      <w:bodyDiv w:val="1"/>
      <w:marLeft w:val="0"/>
      <w:marRight w:val="0"/>
      <w:marTop w:val="0"/>
      <w:marBottom w:val="0"/>
      <w:divBdr>
        <w:top w:val="none" w:sz="0" w:space="0" w:color="auto"/>
        <w:left w:val="none" w:sz="0" w:space="0" w:color="auto"/>
        <w:bottom w:val="none" w:sz="0" w:space="0" w:color="auto"/>
        <w:right w:val="none" w:sz="0" w:space="0" w:color="auto"/>
      </w:divBdr>
    </w:div>
    <w:div w:id="1830170011">
      <w:bodyDiv w:val="1"/>
      <w:marLeft w:val="0"/>
      <w:marRight w:val="0"/>
      <w:marTop w:val="0"/>
      <w:marBottom w:val="0"/>
      <w:divBdr>
        <w:top w:val="none" w:sz="0" w:space="0" w:color="auto"/>
        <w:left w:val="none" w:sz="0" w:space="0" w:color="auto"/>
        <w:bottom w:val="none" w:sz="0" w:space="0" w:color="auto"/>
        <w:right w:val="none" w:sz="0" w:space="0" w:color="auto"/>
      </w:divBdr>
    </w:div>
    <w:div w:id="1830368055">
      <w:bodyDiv w:val="1"/>
      <w:marLeft w:val="0"/>
      <w:marRight w:val="0"/>
      <w:marTop w:val="0"/>
      <w:marBottom w:val="0"/>
      <w:divBdr>
        <w:top w:val="none" w:sz="0" w:space="0" w:color="auto"/>
        <w:left w:val="none" w:sz="0" w:space="0" w:color="auto"/>
        <w:bottom w:val="none" w:sz="0" w:space="0" w:color="auto"/>
        <w:right w:val="none" w:sz="0" w:space="0" w:color="auto"/>
      </w:divBdr>
    </w:div>
    <w:div w:id="1830906845">
      <w:bodyDiv w:val="1"/>
      <w:marLeft w:val="0"/>
      <w:marRight w:val="0"/>
      <w:marTop w:val="0"/>
      <w:marBottom w:val="0"/>
      <w:divBdr>
        <w:top w:val="none" w:sz="0" w:space="0" w:color="auto"/>
        <w:left w:val="none" w:sz="0" w:space="0" w:color="auto"/>
        <w:bottom w:val="none" w:sz="0" w:space="0" w:color="auto"/>
        <w:right w:val="none" w:sz="0" w:space="0" w:color="auto"/>
      </w:divBdr>
    </w:div>
    <w:div w:id="1831601049">
      <w:bodyDiv w:val="1"/>
      <w:marLeft w:val="0"/>
      <w:marRight w:val="0"/>
      <w:marTop w:val="0"/>
      <w:marBottom w:val="0"/>
      <w:divBdr>
        <w:top w:val="none" w:sz="0" w:space="0" w:color="auto"/>
        <w:left w:val="none" w:sz="0" w:space="0" w:color="auto"/>
        <w:bottom w:val="none" w:sz="0" w:space="0" w:color="auto"/>
        <w:right w:val="none" w:sz="0" w:space="0" w:color="auto"/>
      </w:divBdr>
    </w:div>
    <w:div w:id="1833376195">
      <w:bodyDiv w:val="1"/>
      <w:marLeft w:val="0"/>
      <w:marRight w:val="0"/>
      <w:marTop w:val="0"/>
      <w:marBottom w:val="0"/>
      <w:divBdr>
        <w:top w:val="none" w:sz="0" w:space="0" w:color="auto"/>
        <w:left w:val="none" w:sz="0" w:space="0" w:color="auto"/>
        <w:bottom w:val="none" w:sz="0" w:space="0" w:color="auto"/>
        <w:right w:val="none" w:sz="0" w:space="0" w:color="auto"/>
      </w:divBdr>
    </w:div>
    <w:div w:id="1833794845">
      <w:bodyDiv w:val="1"/>
      <w:marLeft w:val="0"/>
      <w:marRight w:val="0"/>
      <w:marTop w:val="0"/>
      <w:marBottom w:val="0"/>
      <w:divBdr>
        <w:top w:val="none" w:sz="0" w:space="0" w:color="auto"/>
        <w:left w:val="none" w:sz="0" w:space="0" w:color="auto"/>
        <w:bottom w:val="none" w:sz="0" w:space="0" w:color="auto"/>
        <w:right w:val="none" w:sz="0" w:space="0" w:color="auto"/>
      </w:divBdr>
    </w:div>
    <w:div w:id="1833836781">
      <w:bodyDiv w:val="1"/>
      <w:marLeft w:val="0"/>
      <w:marRight w:val="0"/>
      <w:marTop w:val="0"/>
      <w:marBottom w:val="0"/>
      <w:divBdr>
        <w:top w:val="none" w:sz="0" w:space="0" w:color="auto"/>
        <w:left w:val="none" w:sz="0" w:space="0" w:color="auto"/>
        <w:bottom w:val="none" w:sz="0" w:space="0" w:color="auto"/>
        <w:right w:val="none" w:sz="0" w:space="0" w:color="auto"/>
      </w:divBdr>
    </w:div>
    <w:div w:id="1834175389">
      <w:bodyDiv w:val="1"/>
      <w:marLeft w:val="0"/>
      <w:marRight w:val="0"/>
      <w:marTop w:val="0"/>
      <w:marBottom w:val="0"/>
      <w:divBdr>
        <w:top w:val="none" w:sz="0" w:space="0" w:color="auto"/>
        <w:left w:val="none" w:sz="0" w:space="0" w:color="auto"/>
        <w:bottom w:val="none" w:sz="0" w:space="0" w:color="auto"/>
        <w:right w:val="none" w:sz="0" w:space="0" w:color="auto"/>
      </w:divBdr>
    </w:div>
    <w:div w:id="1835758051">
      <w:bodyDiv w:val="1"/>
      <w:marLeft w:val="0"/>
      <w:marRight w:val="0"/>
      <w:marTop w:val="0"/>
      <w:marBottom w:val="0"/>
      <w:divBdr>
        <w:top w:val="none" w:sz="0" w:space="0" w:color="auto"/>
        <w:left w:val="none" w:sz="0" w:space="0" w:color="auto"/>
        <w:bottom w:val="none" w:sz="0" w:space="0" w:color="auto"/>
        <w:right w:val="none" w:sz="0" w:space="0" w:color="auto"/>
      </w:divBdr>
    </w:div>
    <w:div w:id="1835948917">
      <w:bodyDiv w:val="1"/>
      <w:marLeft w:val="0"/>
      <w:marRight w:val="0"/>
      <w:marTop w:val="0"/>
      <w:marBottom w:val="0"/>
      <w:divBdr>
        <w:top w:val="none" w:sz="0" w:space="0" w:color="auto"/>
        <w:left w:val="none" w:sz="0" w:space="0" w:color="auto"/>
        <w:bottom w:val="none" w:sz="0" w:space="0" w:color="auto"/>
        <w:right w:val="none" w:sz="0" w:space="0" w:color="auto"/>
      </w:divBdr>
    </w:div>
    <w:div w:id="1836216650">
      <w:bodyDiv w:val="1"/>
      <w:marLeft w:val="0"/>
      <w:marRight w:val="0"/>
      <w:marTop w:val="0"/>
      <w:marBottom w:val="0"/>
      <w:divBdr>
        <w:top w:val="none" w:sz="0" w:space="0" w:color="auto"/>
        <w:left w:val="none" w:sz="0" w:space="0" w:color="auto"/>
        <w:bottom w:val="none" w:sz="0" w:space="0" w:color="auto"/>
        <w:right w:val="none" w:sz="0" w:space="0" w:color="auto"/>
      </w:divBdr>
    </w:div>
    <w:div w:id="1836334664">
      <w:bodyDiv w:val="1"/>
      <w:marLeft w:val="0"/>
      <w:marRight w:val="0"/>
      <w:marTop w:val="0"/>
      <w:marBottom w:val="0"/>
      <w:divBdr>
        <w:top w:val="none" w:sz="0" w:space="0" w:color="auto"/>
        <w:left w:val="none" w:sz="0" w:space="0" w:color="auto"/>
        <w:bottom w:val="none" w:sz="0" w:space="0" w:color="auto"/>
        <w:right w:val="none" w:sz="0" w:space="0" w:color="auto"/>
      </w:divBdr>
    </w:div>
    <w:div w:id="1837381909">
      <w:bodyDiv w:val="1"/>
      <w:marLeft w:val="0"/>
      <w:marRight w:val="0"/>
      <w:marTop w:val="0"/>
      <w:marBottom w:val="0"/>
      <w:divBdr>
        <w:top w:val="none" w:sz="0" w:space="0" w:color="auto"/>
        <w:left w:val="none" w:sz="0" w:space="0" w:color="auto"/>
        <w:bottom w:val="none" w:sz="0" w:space="0" w:color="auto"/>
        <w:right w:val="none" w:sz="0" w:space="0" w:color="auto"/>
      </w:divBdr>
    </w:div>
    <w:div w:id="1838110065">
      <w:bodyDiv w:val="1"/>
      <w:marLeft w:val="0"/>
      <w:marRight w:val="0"/>
      <w:marTop w:val="0"/>
      <w:marBottom w:val="0"/>
      <w:divBdr>
        <w:top w:val="none" w:sz="0" w:space="0" w:color="auto"/>
        <w:left w:val="none" w:sz="0" w:space="0" w:color="auto"/>
        <w:bottom w:val="none" w:sz="0" w:space="0" w:color="auto"/>
        <w:right w:val="none" w:sz="0" w:space="0" w:color="auto"/>
      </w:divBdr>
    </w:div>
    <w:div w:id="1839466268">
      <w:bodyDiv w:val="1"/>
      <w:marLeft w:val="0"/>
      <w:marRight w:val="0"/>
      <w:marTop w:val="0"/>
      <w:marBottom w:val="0"/>
      <w:divBdr>
        <w:top w:val="none" w:sz="0" w:space="0" w:color="auto"/>
        <w:left w:val="none" w:sz="0" w:space="0" w:color="auto"/>
        <w:bottom w:val="none" w:sz="0" w:space="0" w:color="auto"/>
        <w:right w:val="none" w:sz="0" w:space="0" w:color="auto"/>
      </w:divBdr>
      <w:divsChild>
        <w:div w:id="1976452003">
          <w:marLeft w:val="0"/>
          <w:marRight w:val="0"/>
          <w:marTop w:val="0"/>
          <w:marBottom w:val="0"/>
          <w:divBdr>
            <w:top w:val="none" w:sz="0" w:space="0" w:color="auto"/>
            <w:left w:val="none" w:sz="0" w:space="0" w:color="auto"/>
            <w:bottom w:val="none" w:sz="0" w:space="0" w:color="auto"/>
            <w:right w:val="none" w:sz="0" w:space="0" w:color="auto"/>
          </w:divBdr>
        </w:div>
      </w:divsChild>
    </w:div>
    <w:div w:id="1839543602">
      <w:bodyDiv w:val="1"/>
      <w:marLeft w:val="0"/>
      <w:marRight w:val="0"/>
      <w:marTop w:val="0"/>
      <w:marBottom w:val="0"/>
      <w:divBdr>
        <w:top w:val="none" w:sz="0" w:space="0" w:color="auto"/>
        <w:left w:val="none" w:sz="0" w:space="0" w:color="auto"/>
        <w:bottom w:val="none" w:sz="0" w:space="0" w:color="auto"/>
        <w:right w:val="none" w:sz="0" w:space="0" w:color="auto"/>
      </w:divBdr>
    </w:div>
    <w:div w:id="1839733463">
      <w:bodyDiv w:val="1"/>
      <w:marLeft w:val="0"/>
      <w:marRight w:val="0"/>
      <w:marTop w:val="0"/>
      <w:marBottom w:val="0"/>
      <w:divBdr>
        <w:top w:val="none" w:sz="0" w:space="0" w:color="auto"/>
        <w:left w:val="none" w:sz="0" w:space="0" w:color="auto"/>
        <w:bottom w:val="none" w:sz="0" w:space="0" w:color="auto"/>
        <w:right w:val="none" w:sz="0" w:space="0" w:color="auto"/>
      </w:divBdr>
    </w:div>
    <w:div w:id="1840533239">
      <w:bodyDiv w:val="1"/>
      <w:marLeft w:val="0"/>
      <w:marRight w:val="0"/>
      <w:marTop w:val="0"/>
      <w:marBottom w:val="0"/>
      <w:divBdr>
        <w:top w:val="none" w:sz="0" w:space="0" w:color="auto"/>
        <w:left w:val="none" w:sz="0" w:space="0" w:color="auto"/>
        <w:bottom w:val="none" w:sz="0" w:space="0" w:color="auto"/>
        <w:right w:val="none" w:sz="0" w:space="0" w:color="auto"/>
      </w:divBdr>
    </w:div>
    <w:div w:id="1840540595">
      <w:bodyDiv w:val="1"/>
      <w:marLeft w:val="0"/>
      <w:marRight w:val="0"/>
      <w:marTop w:val="0"/>
      <w:marBottom w:val="0"/>
      <w:divBdr>
        <w:top w:val="none" w:sz="0" w:space="0" w:color="auto"/>
        <w:left w:val="none" w:sz="0" w:space="0" w:color="auto"/>
        <w:bottom w:val="none" w:sz="0" w:space="0" w:color="auto"/>
        <w:right w:val="none" w:sz="0" w:space="0" w:color="auto"/>
      </w:divBdr>
    </w:div>
    <w:div w:id="1840734574">
      <w:bodyDiv w:val="1"/>
      <w:marLeft w:val="0"/>
      <w:marRight w:val="0"/>
      <w:marTop w:val="0"/>
      <w:marBottom w:val="0"/>
      <w:divBdr>
        <w:top w:val="none" w:sz="0" w:space="0" w:color="auto"/>
        <w:left w:val="none" w:sz="0" w:space="0" w:color="auto"/>
        <w:bottom w:val="none" w:sz="0" w:space="0" w:color="auto"/>
        <w:right w:val="none" w:sz="0" w:space="0" w:color="auto"/>
      </w:divBdr>
    </w:div>
    <w:div w:id="1841696576">
      <w:bodyDiv w:val="1"/>
      <w:marLeft w:val="0"/>
      <w:marRight w:val="0"/>
      <w:marTop w:val="0"/>
      <w:marBottom w:val="0"/>
      <w:divBdr>
        <w:top w:val="none" w:sz="0" w:space="0" w:color="auto"/>
        <w:left w:val="none" w:sz="0" w:space="0" w:color="auto"/>
        <w:bottom w:val="none" w:sz="0" w:space="0" w:color="auto"/>
        <w:right w:val="none" w:sz="0" w:space="0" w:color="auto"/>
      </w:divBdr>
    </w:div>
    <w:div w:id="1842231715">
      <w:bodyDiv w:val="1"/>
      <w:marLeft w:val="0"/>
      <w:marRight w:val="0"/>
      <w:marTop w:val="0"/>
      <w:marBottom w:val="0"/>
      <w:divBdr>
        <w:top w:val="none" w:sz="0" w:space="0" w:color="auto"/>
        <w:left w:val="none" w:sz="0" w:space="0" w:color="auto"/>
        <w:bottom w:val="none" w:sz="0" w:space="0" w:color="auto"/>
        <w:right w:val="none" w:sz="0" w:space="0" w:color="auto"/>
      </w:divBdr>
    </w:div>
    <w:div w:id="1843545918">
      <w:bodyDiv w:val="1"/>
      <w:marLeft w:val="0"/>
      <w:marRight w:val="0"/>
      <w:marTop w:val="0"/>
      <w:marBottom w:val="0"/>
      <w:divBdr>
        <w:top w:val="none" w:sz="0" w:space="0" w:color="auto"/>
        <w:left w:val="none" w:sz="0" w:space="0" w:color="auto"/>
        <w:bottom w:val="none" w:sz="0" w:space="0" w:color="auto"/>
        <w:right w:val="none" w:sz="0" w:space="0" w:color="auto"/>
      </w:divBdr>
    </w:div>
    <w:div w:id="1843548434">
      <w:bodyDiv w:val="1"/>
      <w:marLeft w:val="0"/>
      <w:marRight w:val="0"/>
      <w:marTop w:val="0"/>
      <w:marBottom w:val="0"/>
      <w:divBdr>
        <w:top w:val="none" w:sz="0" w:space="0" w:color="auto"/>
        <w:left w:val="none" w:sz="0" w:space="0" w:color="auto"/>
        <w:bottom w:val="none" w:sz="0" w:space="0" w:color="auto"/>
        <w:right w:val="none" w:sz="0" w:space="0" w:color="auto"/>
      </w:divBdr>
    </w:div>
    <w:div w:id="1843625287">
      <w:bodyDiv w:val="1"/>
      <w:marLeft w:val="0"/>
      <w:marRight w:val="0"/>
      <w:marTop w:val="0"/>
      <w:marBottom w:val="0"/>
      <w:divBdr>
        <w:top w:val="none" w:sz="0" w:space="0" w:color="auto"/>
        <w:left w:val="none" w:sz="0" w:space="0" w:color="auto"/>
        <w:bottom w:val="none" w:sz="0" w:space="0" w:color="auto"/>
        <w:right w:val="none" w:sz="0" w:space="0" w:color="auto"/>
      </w:divBdr>
    </w:div>
    <w:div w:id="1844317137">
      <w:bodyDiv w:val="1"/>
      <w:marLeft w:val="0"/>
      <w:marRight w:val="0"/>
      <w:marTop w:val="0"/>
      <w:marBottom w:val="0"/>
      <w:divBdr>
        <w:top w:val="none" w:sz="0" w:space="0" w:color="auto"/>
        <w:left w:val="none" w:sz="0" w:space="0" w:color="auto"/>
        <w:bottom w:val="none" w:sz="0" w:space="0" w:color="auto"/>
        <w:right w:val="none" w:sz="0" w:space="0" w:color="auto"/>
      </w:divBdr>
    </w:div>
    <w:div w:id="1844658559">
      <w:bodyDiv w:val="1"/>
      <w:marLeft w:val="0"/>
      <w:marRight w:val="0"/>
      <w:marTop w:val="0"/>
      <w:marBottom w:val="0"/>
      <w:divBdr>
        <w:top w:val="none" w:sz="0" w:space="0" w:color="auto"/>
        <w:left w:val="none" w:sz="0" w:space="0" w:color="auto"/>
        <w:bottom w:val="none" w:sz="0" w:space="0" w:color="auto"/>
        <w:right w:val="none" w:sz="0" w:space="0" w:color="auto"/>
      </w:divBdr>
    </w:div>
    <w:div w:id="1844739800">
      <w:bodyDiv w:val="1"/>
      <w:marLeft w:val="0"/>
      <w:marRight w:val="0"/>
      <w:marTop w:val="0"/>
      <w:marBottom w:val="0"/>
      <w:divBdr>
        <w:top w:val="none" w:sz="0" w:space="0" w:color="auto"/>
        <w:left w:val="none" w:sz="0" w:space="0" w:color="auto"/>
        <w:bottom w:val="none" w:sz="0" w:space="0" w:color="auto"/>
        <w:right w:val="none" w:sz="0" w:space="0" w:color="auto"/>
      </w:divBdr>
    </w:div>
    <w:div w:id="1845316708">
      <w:bodyDiv w:val="1"/>
      <w:marLeft w:val="0"/>
      <w:marRight w:val="0"/>
      <w:marTop w:val="0"/>
      <w:marBottom w:val="0"/>
      <w:divBdr>
        <w:top w:val="none" w:sz="0" w:space="0" w:color="auto"/>
        <w:left w:val="none" w:sz="0" w:space="0" w:color="auto"/>
        <w:bottom w:val="none" w:sz="0" w:space="0" w:color="auto"/>
        <w:right w:val="none" w:sz="0" w:space="0" w:color="auto"/>
      </w:divBdr>
    </w:div>
    <w:div w:id="1845701252">
      <w:bodyDiv w:val="1"/>
      <w:marLeft w:val="0"/>
      <w:marRight w:val="0"/>
      <w:marTop w:val="0"/>
      <w:marBottom w:val="0"/>
      <w:divBdr>
        <w:top w:val="none" w:sz="0" w:space="0" w:color="auto"/>
        <w:left w:val="none" w:sz="0" w:space="0" w:color="auto"/>
        <w:bottom w:val="none" w:sz="0" w:space="0" w:color="auto"/>
        <w:right w:val="none" w:sz="0" w:space="0" w:color="auto"/>
      </w:divBdr>
    </w:div>
    <w:div w:id="1846237703">
      <w:bodyDiv w:val="1"/>
      <w:marLeft w:val="0"/>
      <w:marRight w:val="0"/>
      <w:marTop w:val="0"/>
      <w:marBottom w:val="0"/>
      <w:divBdr>
        <w:top w:val="none" w:sz="0" w:space="0" w:color="auto"/>
        <w:left w:val="none" w:sz="0" w:space="0" w:color="auto"/>
        <w:bottom w:val="none" w:sz="0" w:space="0" w:color="auto"/>
        <w:right w:val="none" w:sz="0" w:space="0" w:color="auto"/>
      </w:divBdr>
    </w:div>
    <w:div w:id="1846509512">
      <w:bodyDiv w:val="1"/>
      <w:marLeft w:val="0"/>
      <w:marRight w:val="0"/>
      <w:marTop w:val="0"/>
      <w:marBottom w:val="0"/>
      <w:divBdr>
        <w:top w:val="none" w:sz="0" w:space="0" w:color="auto"/>
        <w:left w:val="none" w:sz="0" w:space="0" w:color="auto"/>
        <w:bottom w:val="none" w:sz="0" w:space="0" w:color="auto"/>
        <w:right w:val="none" w:sz="0" w:space="0" w:color="auto"/>
      </w:divBdr>
    </w:div>
    <w:div w:id="1846939189">
      <w:bodyDiv w:val="1"/>
      <w:marLeft w:val="0"/>
      <w:marRight w:val="0"/>
      <w:marTop w:val="0"/>
      <w:marBottom w:val="0"/>
      <w:divBdr>
        <w:top w:val="none" w:sz="0" w:space="0" w:color="auto"/>
        <w:left w:val="none" w:sz="0" w:space="0" w:color="auto"/>
        <w:bottom w:val="none" w:sz="0" w:space="0" w:color="auto"/>
        <w:right w:val="none" w:sz="0" w:space="0" w:color="auto"/>
      </w:divBdr>
    </w:div>
    <w:div w:id="1847750420">
      <w:bodyDiv w:val="1"/>
      <w:marLeft w:val="0"/>
      <w:marRight w:val="0"/>
      <w:marTop w:val="0"/>
      <w:marBottom w:val="0"/>
      <w:divBdr>
        <w:top w:val="none" w:sz="0" w:space="0" w:color="auto"/>
        <w:left w:val="none" w:sz="0" w:space="0" w:color="auto"/>
        <w:bottom w:val="none" w:sz="0" w:space="0" w:color="auto"/>
        <w:right w:val="none" w:sz="0" w:space="0" w:color="auto"/>
      </w:divBdr>
    </w:div>
    <w:div w:id="1847816855">
      <w:bodyDiv w:val="1"/>
      <w:marLeft w:val="0"/>
      <w:marRight w:val="0"/>
      <w:marTop w:val="0"/>
      <w:marBottom w:val="0"/>
      <w:divBdr>
        <w:top w:val="none" w:sz="0" w:space="0" w:color="auto"/>
        <w:left w:val="none" w:sz="0" w:space="0" w:color="auto"/>
        <w:bottom w:val="none" w:sz="0" w:space="0" w:color="auto"/>
        <w:right w:val="none" w:sz="0" w:space="0" w:color="auto"/>
      </w:divBdr>
    </w:div>
    <w:div w:id="1848444813">
      <w:bodyDiv w:val="1"/>
      <w:marLeft w:val="0"/>
      <w:marRight w:val="0"/>
      <w:marTop w:val="0"/>
      <w:marBottom w:val="0"/>
      <w:divBdr>
        <w:top w:val="none" w:sz="0" w:space="0" w:color="auto"/>
        <w:left w:val="none" w:sz="0" w:space="0" w:color="auto"/>
        <w:bottom w:val="none" w:sz="0" w:space="0" w:color="auto"/>
        <w:right w:val="none" w:sz="0" w:space="0" w:color="auto"/>
      </w:divBdr>
    </w:div>
    <w:div w:id="1849129715">
      <w:bodyDiv w:val="1"/>
      <w:marLeft w:val="0"/>
      <w:marRight w:val="0"/>
      <w:marTop w:val="0"/>
      <w:marBottom w:val="0"/>
      <w:divBdr>
        <w:top w:val="none" w:sz="0" w:space="0" w:color="auto"/>
        <w:left w:val="none" w:sz="0" w:space="0" w:color="auto"/>
        <w:bottom w:val="none" w:sz="0" w:space="0" w:color="auto"/>
        <w:right w:val="none" w:sz="0" w:space="0" w:color="auto"/>
      </w:divBdr>
    </w:div>
    <w:div w:id="1849173778">
      <w:bodyDiv w:val="1"/>
      <w:marLeft w:val="0"/>
      <w:marRight w:val="0"/>
      <w:marTop w:val="0"/>
      <w:marBottom w:val="0"/>
      <w:divBdr>
        <w:top w:val="none" w:sz="0" w:space="0" w:color="auto"/>
        <w:left w:val="none" w:sz="0" w:space="0" w:color="auto"/>
        <w:bottom w:val="none" w:sz="0" w:space="0" w:color="auto"/>
        <w:right w:val="none" w:sz="0" w:space="0" w:color="auto"/>
      </w:divBdr>
    </w:div>
    <w:div w:id="1850485659">
      <w:bodyDiv w:val="1"/>
      <w:marLeft w:val="0"/>
      <w:marRight w:val="0"/>
      <w:marTop w:val="0"/>
      <w:marBottom w:val="0"/>
      <w:divBdr>
        <w:top w:val="none" w:sz="0" w:space="0" w:color="auto"/>
        <w:left w:val="none" w:sz="0" w:space="0" w:color="auto"/>
        <w:bottom w:val="none" w:sz="0" w:space="0" w:color="auto"/>
        <w:right w:val="none" w:sz="0" w:space="0" w:color="auto"/>
      </w:divBdr>
    </w:div>
    <w:div w:id="1850833275">
      <w:bodyDiv w:val="1"/>
      <w:marLeft w:val="0"/>
      <w:marRight w:val="0"/>
      <w:marTop w:val="0"/>
      <w:marBottom w:val="0"/>
      <w:divBdr>
        <w:top w:val="none" w:sz="0" w:space="0" w:color="auto"/>
        <w:left w:val="none" w:sz="0" w:space="0" w:color="auto"/>
        <w:bottom w:val="none" w:sz="0" w:space="0" w:color="auto"/>
        <w:right w:val="none" w:sz="0" w:space="0" w:color="auto"/>
      </w:divBdr>
    </w:div>
    <w:div w:id="1852065675">
      <w:bodyDiv w:val="1"/>
      <w:marLeft w:val="0"/>
      <w:marRight w:val="0"/>
      <w:marTop w:val="0"/>
      <w:marBottom w:val="0"/>
      <w:divBdr>
        <w:top w:val="none" w:sz="0" w:space="0" w:color="auto"/>
        <w:left w:val="none" w:sz="0" w:space="0" w:color="auto"/>
        <w:bottom w:val="none" w:sz="0" w:space="0" w:color="auto"/>
        <w:right w:val="none" w:sz="0" w:space="0" w:color="auto"/>
      </w:divBdr>
    </w:div>
    <w:div w:id="1852449663">
      <w:bodyDiv w:val="1"/>
      <w:marLeft w:val="0"/>
      <w:marRight w:val="0"/>
      <w:marTop w:val="0"/>
      <w:marBottom w:val="0"/>
      <w:divBdr>
        <w:top w:val="none" w:sz="0" w:space="0" w:color="auto"/>
        <w:left w:val="none" w:sz="0" w:space="0" w:color="auto"/>
        <w:bottom w:val="none" w:sz="0" w:space="0" w:color="auto"/>
        <w:right w:val="none" w:sz="0" w:space="0" w:color="auto"/>
      </w:divBdr>
    </w:div>
    <w:div w:id="1852449882">
      <w:bodyDiv w:val="1"/>
      <w:marLeft w:val="0"/>
      <w:marRight w:val="0"/>
      <w:marTop w:val="0"/>
      <w:marBottom w:val="0"/>
      <w:divBdr>
        <w:top w:val="none" w:sz="0" w:space="0" w:color="auto"/>
        <w:left w:val="none" w:sz="0" w:space="0" w:color="auto"/>
        <w:bottom w:val="none" w:sz="0" w:space="0" w:color="auto"/>
        <w:right w:val="none" w:sz="0" w:space="0" w:color="auto"/>
      </w:divBdr>
    </w:div>
    <w:div w:id="1852530117">
      <w:bodyDiv w:val="1"/>
      <w:marLeft w:val="0"/>
      <w:marRight w:val="0"/>
      <w:marTop w:val="0"/>
      <w:marBottom w:val="0"/>
      <w:divBdr>
        <w:top w:val="none" w:sz="0" w:space="0" w:color="auto"/>
        <w:left w:val="none" w:sz="0" w:space="0" w:color="auto"/>
        <w:bottom w:val="none" w:sz="0" w:space="0" w:color="auto"/>
        <w:right w:val="none" w:sz="0" w:space="0" w:color="auto"/>
      </w:divBdr>
    </w:div>
    <w:div w:id="1852716587">
      <w:bodyDiv w:val="1"/>
      <w:marLeft w:val="0"/>
      <w:marRight w:val="0"/>
      <w:marTop w:val="0"/>
      <w:marBottom w:val="0"/>
      <w:divBdr>
        <w:top w:val="none" w:sz="0" w:space="0" w:color="auto"/>
        <w:left w:val="none" w:sz="0" w:space="0" w:color="auto"/>
        <w:bottom w:val="none" w:sz="0" w:space="0" w:color="auto"/>
        <w:right w:val="none" w:sz="0" w:space="0" w:color="auto"/>
      </w:divBdr>
      <w:divsChild>
        <w:div w:id="144594307">
          <w:marLeft w:val="0"/>
          <w:marRight w:val="0"/>
          <w:marTop w:val="0"/>
          <w:marBottom w:val="0"/>
          <w:divBdr>
            <w:top w:val="none" w:sz="0" w:space="0" w:color="auto"/>
            <w:left w:val="none" w:sz="0" w:space="0" w:color="auto"/>
            <w:bottom w:val="none" w:sz="0" w:space="0" w:color="auto"/>
            <w:right w:val="none" w:sz="0" w:space="0" w:color="auto"/>
          </w:divBdr>
        </w:div>
        <w:div w:id="147988446">
          <w:marLeft w:val="0"/>
          <w:marRight w:val="0"/>
          <w:marTop w:val="0"/>
          <w:marBottom w:val="0"/>
          <w:divBdr>
            <w:top w:val="none" w:sz="0" w:space="0" w:color="auto"/>
            <w:left w:val="none" w:sz="0" w:space="0" w:color="auto"/>
            <w:bottom w:val="none" w:sz="0" w:space="0" w:color="auto"/>
            <w:right w:val="none" w:sz="0" w:space="0" w:color="auto"/>
          </w:divBdr>
        </w:div>
        <w:div w:id="605621141">
          <w:marLeft w:val="0"/>
          <w:marRight w:val="0"/>
          <w:marTop w:val="0"/>
          <w:marBottom w:val="0"/>
          <w:divBdr>
            <w:top w:val="none" w:sz="0" w:space="0" w:color="auto"/>
            <w:left w:val="none" w:sz="0" w:space="0" w:color="auto"/>
            <w:bottom w:val="none" w:sz="0" w:space="0" w:color="auto"/>
            <w:right w:val="none" w:sz="0" w:space="0" w:color="auto"/>
          </w:divBdr>
        </w:div>
        <w:div w:id="627510063">
          <w:marLeft w:val="0"/>
          <w:marRight w:val="0"/>
          <w:marTop w:val="0"/>
          <w:marBottom w:val="0"/>
          <w:divBdr>
            <w:top w:val="none" w:sz="0" w:space="0" w:color="auto"/>
            <w:left w:val="none" w:sz="0" w:space="0" w:color="auto"/>
            <w:bottom w:val="none" w:sz="0" w:space="0" w:color="auto"/>
            <w:right w:val="none" w:sz="0" w:space="0" w:color="auto"/>
          </w:divBdr>
        </w:div>
        <w:div w:id="905411969">
          <w:marLeft w:val="0"/>
          <w:marRight w:val="0"/>
          <w:marTop w:val="0"/>
          <w:marBottom w:val="0"/>
          <w:divBdr>
            <w:top w:val="none" w:sz="0" w:space="0" w:color="auto"/>
            <w:left w:val="none" w:sz="0" w:space="0" w:color="auto"/>
            <w:bottom w:val="none" w:sz="0" w:space="0" w:color="auto"/>
            <w:right w:val="none" w:sz="0" w:space="0" w:color="auto"/>
          </w:divBdr>
        </w:div>
        <w:div w:id="1895658868">
          <w:marLeft w:val="0"/>
          <w:marRight w:val="0"/>
          <w:marTop w:val="0"/>
          <w:marBottom w:val="0"/>
          <w:divBdr>
            <w:top w:val="none" w:sz="0" w:space="0" w:color="auto"/>
            <w:left w:val="none" w:sz="0" w:space="0" w:color="auto"/>
            <w:bottom w:val="none" w:sz="0" w:space="0" w:color="auto"/>
            <w:right w:val="none" w:sz="0" w:space="0" w:color="auto"/>
          </w:divBdr>
        </w:div>
      </w:divsChild>
    </w:div>
    <w:div w:id="1853379134">
      <w:bodyDiv w:val="1"/>
      <w:marLeft w:val="0"/>
      <w:marRight w:val="0"/>
      <w:marTop w:val="0"/>
      <w:marBottom w:val="0"/>
      <w:divBdr>
        <w:top w:val="none" w:sz="0" w:space="0" w:color="auto"/>
        <w:left w:val="none" w:sz="0" w:space="0" w:color="auto"/>
        <w:bottom w:val="none" w:sz="0" w:space="0" w:color="auto"/>
        <w:right w:val="none" w:sz="0" w:space="0" w:color="auto"/>
      </w:divBdr>
    </w:div>
    <w:div w:id="1853688360">
      <w:bodyDiv w:val="1"/>
      <w:marLeft w:val="0"/>
      <w:marRight w:val="0"/>
      <w:marTop w:val="0"/>
      <w:marBottom w:val="0"/>
      <w:divBdr>
        <w:top w:val="none" w:sz="0" w:space="0" w:color="auto"/>
        <w:left w:val="none" w:sz="0" w:space="0" w:color="auto"/>
        <w:bottom w:val="none" w:sz="0" w:space="0" w:color="auto"/>
        <w:right w:val="none" w:sz="0" w:space="0" w:color="auto"/>
      </w:divBdr>
    </w:div>
    <w:div w:id="1853759999">
      <w:bodyDiv w:val="1"/>
      <w:marLeft w:val="0"/>
      <w:marRight w:val="0"/>
      <w:marTop w:val="0"/>
      <w:marBottom w:val="0"/>
      <w:divBdr>
        <w:top w:val="none" w:sz="0" w:space="0" w:color="auto"/>
        <w:left w:val="none" w:sz="0" w:space="0" w:color="auto"/>
        <w:bottom w:val="none" w:sz="0" w:space="0" w:color="auto"/>
        <w:right w:val="none" w:sz="0" w:space="0" w:color="auto"/>
      </w:divBdr>
    </w:div>
    <w:div w:id="1854027535">
      <w:bodyDiv w:val="1"/>
      <w:marLeft w:val="0"/>
      <w:marRight w:val="0"/>
      <w:marTop w:val="0"/>
      <w:marBottom w:val="0"/>
      <w:divBdr>
        <w:top w:val="none" w:sz="0" w:space="0" w:color="auto"/>
        <w:left w:val="none" w:sz="0" w:space="0" w:color="auto"/>
        <w:bottom w:val="none" w:sz="0" w:space="0" w:color="auto"/>
        <w:right w:val="none" w:sz="0" w:space="0" w:color="auto"/>
      </w:divBdr>
    </w:div>
    <w:div w:id="1854487199">
      <w:bodyDiv w:val="1"/>
      <w:marLeft w:val="0"/>
      <w:marRight w:val="0"/>
      <w:marTop w:val="0"/>
      <w:marBottom w:val="0"/>
      <w:divBdr>
        <w:top w:val="none" w:sz="0" w:space="0" w:color="auto"/>
        <w:left w:val="none" w:sz="0" w:space="0" w:color="auto"/>
        <w:bottom w:val="none" w:sz="0" w:space="0" w:color="auto"/>
        <w:right w:val="none" w:sz="0" w:space="0" w:color="auto"/>
      </w:divBdr>
    </w:div>
    <w:div w:id="1855535507">
      <w:bodyDiv w:val="1"/>
      <w:marLeft w:val="0"/>
      <w:marRight w:val="0"/>
      <w:marTop w:val="0"/>
      <w:marBottom w:val="0"/>
      <w:divBdr>
        <w:top w:val="none" w:sz="0" w:space="0" w:color="auto"/>
        <w:left w:val="none" w:sz="0" w:space="0" w:color="auto"/>
        <w:bottom w:val="none" w:sz="0" w:space="0" w:color="auto"/>
        <w:right w:val="none" w:sz="0" w:space="0" w:color="auto"/>
      </w:divBdr>
    </w:div>
    <w:div w:id="1855608049">
      <w:bodyDiv w:val="1"/>
      <w:marLeft w:val="0"/>
      <w:marRight w:val="0"/>
      <w:marTop w:val="0"/>
      <w:marBottom w:val="0"/>
      <w:divBdr>
        <w:top w:val="none" w:sz="0" w:space="0" w:color="auto"/>
        <w:left w:val="none" w:sz="0" w:space="0" w:color="auto"/>
        <w:bottom w:val="none" w:sz="0" w:space="0" w:color="auto"/>
        <w:right w:val="none" w:sz="0" w:space="0" w:color="auto"/>
      </w:divBdr>
    </w:div>
    <w:div w:id="1855723011">
      <w:bodyDiv w:val="1"/>
      <w:marLeft w:val="0"/>
      <w:marRight w:val="0"/>
      <w:marTop w:val="0"/>
      <w:marBottom w:val="0"/>
      <w:divBdr>
        <w:top w:val="none" w:sz="0" w:space="0" w:color="auto"/>
        <w:left w:val="none" w:sz="0" w:space="0" w:color="auto"/>
        <w:bottom w:val="none" w:sz="0" w:space="0" w:color="auto"/>
        <w:right w:val="none" w:sz="0" w:space="0" w:color="auto"/>
      </w:divBdr>
    </w:div>
    <w:div w:id="1856267077">
      <w:bodyDiv w:val="1"/>
      <w:marLeft w:val="0"/>
      <w:marRight w:val="0"/>
      <w:marTop w:val="0"/>
      <w:marBottom w:val="0"/>
      <w:divBdr>
        <w:top w:val="none" w:sz="0" w:space="0" w:color="auto"/>
        <w:left w:val="none" w:sz="0" w:space="0" w:color="auto"/>
        <w:bottom w:val="none" w:sz="0" w:space="0" w:color="auto"/>
        <w:right w:val="none" w:sz="0" w:space="0" w:color="auto"/>
      </w:divBdr>
    </w:div>
    <w:div w:id="1856652173">
      <w:bodyDiv w:val="1"/>
      <w:marLeft w:val="0"/>
      <w:marRight w:val="0"/>
      <w:marTop w:val="0"/>
      <w:marBottom w:val="0"/>
      <w:divBdr>
        <w:top w:val="none" w:sz="0" w:space="0" w:color="auto"/>
        <w:left w:val="none" w:sz="0" w:space="0" w:color="auto"/>
        <w:bottom w:val="none" w:sz="0" w:space="0" w:color="auto"/>
        <w:right w:val="none" w:sz="0" w:space="0" w:color="auto"/>
      </w:divBdr>
    </w:div>
    <w:div w:id="1856964659">
      <w:bodyDiv w:val="1"/>
      <w:marLeft w:val="0"/>
      <w:marRight w:val="0"/>
      <w:marTop w:val="0"/>
      <w:marBottom w:val="0"/>
      <w:divBdr>
        <w:top w:val="none" w:sz="0" w:space="0" w:color="auto"/>
        <w:left w:val="none" w:sz="0" w:space="0" w:color="auto"/>
        <w:bottom w:val="none" w:sz="0" w:space="0" w:color="auto"/>
        <w:right w:val="none" w:sz="0" w:space="0" w:color="auto"/>
      </w:divBdr>
    </w:div>
    <w:div w:id="1857037991">
      <w:bodyDiv w:val="1"/>
      <w:marLeft w:val="0"/>
      <w:marRight w:val="0"/>
      <w:marTop w:val="0"/>
      <w:marBottom w:val="0"/>
      <w:divBdr>
        <w:top w:val="none" w:sz="0" w:space="0" w:color="auto"/>
        <w:left w:val="none" w:sz="0" w:space="0" w:color="auto"/>
        <w:bottom w:val="none" w:sz="0" w:space="0" w:color="auto"/>
        <w:right w:val="none" w:sz="0" w:space="0" w:color="auto"/>
      </w:divBdr>
    </w:div>
    <w:div w:id="1857501775">
      <w:bodyDiv w:val="1"/>
      <w:marLeft w:val="0"/>
      <w:marRight w:val="0"/>
      <w:marTop w:val="0"/>
      <w:marBottom w:val="0"/>
      <w:divBdr>
        <w:top w:val="none" w:sz="0" w:space="0" w:color="auto"/>
        <w:left w:val="none" w:sz="0" w:space="0" w:color="auto"/>
        <w:bottom w:val="none" w:sz="0" w:space="0" w:color="auto"/>
        <w:right w:val="none" w:sz="0" w:space="0" w:color="auto"/>
      </w:divBdr>
    </w:div>
    <w:div w:id="1857886666">
      <w:bodyDiv w:val="1"/>
      <w:marLeft w:val="0"/>
      <w:marRight w:val="0"/>
      <w:marTop w:val="0"/>
      <w:marBottom w:val="0"/>
      <w:divBdr>
        <w:top w:val="none" w:sz="0" w:space="0" w:color="auto"/>
        <w:left w:val="none" w:sz="0" w:space="0" w:color="auto"/>
        <w:bottom w:val="none" w:sz="0" w:space="0" w:color="auto"/>
        <w:right w:val="none" w:sz="0" w:space="0" w:color="auto"/>
      </w:divBdr>
    </w:div>
    <w:div w:id="1858156456">
      <w:bodyDiv w:val="1"/>
      <w:marLeft w:val="0"/>
      <w:marRight w:val="0"/>
      <w:marTop w:val="0"/>
      <w:marBottom w:val="0"/>
      <w:divBdr>
        <w:top w:val="none" w:sz="0" w:space="0" w:color="auto"/>
        <w:left w:val="none" w:sz="0" w:space="0" w:color="auto"/>
        <w:bottom w:val="none" w:sz="0" w:space="0" w:color="auto"/>
        <w:right w:val="none" w:sz="0" w:space="0" w:color="auto"/>
      </w:divBdr>
    </w:div>
    <w:div w:id="1858736917">
      <w:bodyDiv w:val="1"/>
      <w:marLeft w:val="0"/>
      <w:marRight w:val="0"/>
      <w:marTop w:val="0"/>
      <w:marBottom w:val="0"/>
      <w:divBdr>
        <w:top w:val="none" w:sz="0" w:space="0" w:color="auto"/>
        <w:left w:val="none" w:sz="0" w:space="0" w:color="auto"/>
        <w:bottom w:val="none" w:sz="0" w:space="0" w:color="auto"/>
        <w:right w:val="none" w:sz="0" w:space="0" w:color="auto"/>
      </w:divBdr>
    </w:div>
    <w:div w:id="1858809456">
      <w:bodyDiv w:val="1"/>
      <w:marLeft w:val="0"/>
      <w:marRight w:val="0"/>
      <w:marTop w:val="0"/>
      <w:marBottom w:val="0"/>
      <w:divBdr>
        <w:top w:val="none" w:sz="0" w:space="0" w:color="auto"/>
        <w:left w:val="none" w:sz="0" w:space="0" w:color="auto"/>
        <w:bottom w:val="none" w:sz="0" w:space="0" w:color="auto"/>
        <w:right w:val="none" w:sz="0" w:space="0" w:color="auto"/>
      </w:divBdr>
    </w:div>
    <w:div w:id="1858888039">
      <w:bodyDiv w:val="1"/>
      <w:marLeft w:val="0"/>
      <w:marRight w:val="0"/>
      <w:marTop w:val="0"/>
      <w:marBottom w:val="0"/>
      <w:divBdr>
        <w:top w:val="none" w:sz="0" w:space="0" w:color="auto"/>
        <w:left w:val="none" w:sz="0" w:space="0" w:color="auto"/>
        <w:bottom w:val="none" w:sz="0" w:space="0" w:color="auto"/>
        <w:right w:val="none" w:sz="0" w:space="0" w:color="auto"/>
      </w:divBdr>
    </w:div>
    <w:div w:id="1862358557">
      <w:bodyDiv w:val="1"/>
      <w:marLeft w:val="0"/>
      <w:marRight w:val="0"/>
      <w:marTop w:val="0"/>
      <w:marBottom w:val="0"/>
      <w:divBdr>
        <w:top w:val="none" w:sz="0" w:space="0" w:color="auto"/>
        <w:left w:val="none" w:sz="0" w:space="0" w:color="auto"/>
        <w:bottom w:val="none" w:sz="0" w:space="0" w:color="auto"/>
        <w:right w:val="none" w:sz="0" w:space="0" w:color="auto"/>
      </w:divBdr>
    </w:div>
    <w:div w:id="1862431221">
      <w:bodyDiv w:val="1"/>
      <w:marLeft w:val="0"/>
      <w:marRight w:val="0"/>
      <w:marTop w:val="0"/>
      <w:marBottom w:val="0"/>
      <w:divBdr>
        <w:top w:val="none" w:sz="0" w:space="0" w:color="auto"/>
        <w:left w:val="none" w:sz="0" w:space="0" w:color="auto"/>
        <w:bottom w:val="none" w:sz="0" w:space="0" w:color="auto"/>
        <w:right w:val="none" w:sz="0" w:space="0" w:color="auto"/>
      </w:divBdr>
    </w:div>
    <w:div w:id="1864006403">
      <w:bodyDiv w:val="1"/>
      <w:marLeft w:val="0"/>
      <w:marRight w:val="0"/>
      <w:marTop w:val="0"/>
      <w:marBottom w:val="0"/>
      <w:divBdr>
        <w:top w:val="none" w:sz="0" w:space="0" w:color="auto"/>
        <w:left w:val="none" w:sz="0" w:space="0" w:color="auto"/>
        <w:bottom w:val="none" w:sz="0" w:space="0" w:color="auto"/>
        <w:right w:val="none" w:sz="0" w:space="0" w:color="auto"/>
      </w:divBdr>
    </w:div>
    <w:div w:id="1864243054">
      <w:bodyDiv w:val="1"/>
      <w:marLeft w:val="0"/>
      <w:marRight w:val="0"/>
      <w:marTop w:val="0"/>
      <w:marBottom w:val="0"/>
      <w:divBdr>
        <w:top w:val="none" w:sz="0" w:space="0" w:color="auto"/>
        <w:left w:val="none" w:sz="0" w:space="0" w:color="auto"/>
        <w:bottom w:val="none" w:sz="0" w:space="0" w:color="auto"/>
        <w:right w:val="none" w:sz="0" w:space="0" w:color="auto"/>
      </w:divBdr>
    </w:div>
    <w:div w:id="1864320466">
      <w:bodyDiv w:val="1"/>
      <w:marLeft w:val="0"/>
      <w:marRight w:val="0"/>
      <w:marTop w:val="0"/>
      <w:marBottom w:val="0"/>
      <w:divBdr>
        <w:top w:val="none" w:sz="0" w:space="0" w:color="auto"/>
        <w:left w:val="none" w:sz="0" w:space="0" w:color="auto"/>
        <w:bottom w:val="none" w:sz="0" w:space="0" w:color="auto"/>
        <w:right w:val="none" w:sz="0" w:space="0" w:color="auto"/>
      </w:divBdr>
    </w:div>
    <w:div w:id="1865288446">
      <w:bodyDiv w:val="1"/>
      <w:marLeft w:val="0"/>
      <w:marRight w:val="0"/>
      <w:marTop w:val="0"/>
      <w:marBottom w:val="0"/>
      <w:divBdr>
        <w:top w:val="none" w:sz="0" w:space="0" w:color="auto"/>
        <w:left w:val="none" w:sz="0" w:space="0" w:color="auto"/>
        <w:bottom w:val="none" w:sz="0" w:space="0" w:color="auto"/>
        <w:right w:val="none" w:sz="0" w:space="0" w:color="auto"/>
      </w:divBdr>
    </w:div>
    <w:div w:id="1865359634">
      <w:bodyDiv w:val="1"/>
      <w:marLeft w:val="0"/>
      <w:marRight w:val="0"/>
      <w:marTop w:val="0"/>
      <w:marBottom w:val="0"/>
      <w:divBdr>
        <w:top w:val="none" w:sz="0" w:space="0" w:color="auto"/>
        <w:left w:val="none" w:sz="0" w:space="0" w:color="auto"/>
        <w:bottom w:val="none" w:sz="0" w:space="0" w:color="auto"/>
        <w:right w:val="none" w:sz="0" w:space="0" w:color="auto"/>
      </w:divBdr>
    </w:div>
    <w:div w:id="1865635689">
      <w:bodyDiv w:val="1"/>
      <w:marLeft w:val="0"/>
      <w:marRight w:val="0"/>
      <w:marTop w:val="0"/>
      <w:marBottom w:val="0"/>
      <w:divBdr>
        <w:top w:val="none" w:sz="0" w:space="0" w:color="auto"/>
        <w:left w:val="none" w:sz="0" w:space="0" w:color="auto"/>
        <w:bottom w:val="none" w:sz="0" w:space="0" w:color="auto"/>
        <w:right w:val="none" w:sz="0" w:space="0" w:color="auto"/>
      </w:divBdr>
    </w:div>
    <w:div w:id="1866362944">
      <w:bodyDiv w:val="1"/>
      <w:marLeft w:val="0"/>
      <w:marRight w:val="0"/>
      <w:marTop w:val="0"/>
      <w:marBottom w:val="0"/>
      <w:divBdr>
        <w:top w:val="none" w:sz="0" w:space="0" w:color="auto"/>
        <w:left w:val="none" w:sz="0" w:space="0" w:color="auto"/>
        <w:bottom w:val="none" w:sz="0" w:space="0" w:color="auto"/>
        <w:right w:val="none" w:sz="0" w:space="0" w:color="auto"/>
      </w:divBdr>
    </w:div>
    <w:div w:id="1866552949">
      <w:bodyDiv w:val="1"/>
      <w:marLeft w:val="0"/>
      <w:marRight w:val="0"/>
      <w:marTop w:val="0"/>
      <w:marBottom w:val="0"/>
      <w:divBdr>
        <w:top w:val="none" w:sz="0" w:space="0" w:color="auto"/>
        <w:left w:val="none" w:sz="0" w:space="0" w:color="auto"/>
        <w:bottom w:val="none" w:sz="0" w:space="0" w:color="auto"/>
        <w:right w:val="none" w:sz="0" w:space="0" w:color="auto"/>
      </w:divBdr>
    </w:div>
    <w:div w:id="1866822574">
      <w:bodyDiv w:val="1"/>
      <w:marLeft w:val="0"/>
      <w:marRight w:val="0"/>
      <w:marTop w:val="0"/>
      <w:marBottom w:val="0"/>
      <w:divBdr>
        <w:top w:val="none" w:sz="0" w:space="0" w:color="auto"/>
        <w:left w:val="none" w:sz="0" w:space="0" w:color="auto"/>
        <w:bottom w:val="none" w:sz="0" w:space="0" w:color="auto"/>
        <w:right w:val="none" w:sz="0" w:space="0" w:color="auto"/>
      </w:divBdr>
    </w:div>
    <w:div w:id="1866864964">
      <w:bodyDiv w:val="1"/>
      <w:marLeft w:val="0"/>
      <w:marRight w:val="0"/>
      <w:marTop w:val="0"/>
      <w:marBottom w:val="0"/>
      <w:divBdr>
        <w:top w:val="none" w:sz="0" w:space="0" w:color="auto"/>
        <w:left w:val="none" w:sz="0" w:space="0" w:color="auto"/>
        <w:bottom w:val="none" w:sz="0" w:space="0" w:color="auto"/>
        <w:right w:val="none" w:sz="0" w:space="0" w:color="auto"/>
      </w:divBdr>
    </w:div>
    <w:div w:id="1867057023">
      <w:bodyDiv w:val="1"/>
      <w:marLeft w:val="0"/>
      <w:marRight w:val="0"/>
      <w:marTop w:val="0"/>
      <w:marBottom w:val="0"/>
      <w:divBdr>
        <w:top w:val="none" w:sz="0" w:space="0" w:color="auto"/>
        <w:left w:val="none" w:sz="0" w:space="0" w:color="auto"/>
        <w:bottom w:val="none" w:sz="0" w:space="0" w:color="auto"/>
        <w:right w:val="none" w:sz="0" w:space="0" w:color="auto"/>
      </w:divBdr>
    </w:div>
    <w:div w:id="1867448515">
      <w:bodyDiv w:val="1"/>
      <w:marLeft w:val="0"/>
      <w:marRight w:val="0"/>
      <w:marTop w:val="0"/>
      <w:marBottom w:val="0"/>
      <w:divBdr>
        <w:top w:val="none" w:sz="0" w:space="0" w:color="auto"/>
        <w:left w:val="none" w:sz="0" w:space="0" w:color="auto"/>
        <w:bottom w:val="none" w:sz="0" w:space="0" w:color="auto"/>
        <w:right w:val="none" w:sz="0" w:space="0" w:color="auto"/>
      </w:divBdr>
    </w:div>
    <w:div w:id="1867786433">
      <w:bodyDiv w:val="1"/>
      <w:marLeft w:val="0"/>
      <w:marRight w:val="0"/>
      <w:marTop w:val="0"/>
      <w:marBottom w:val="0"/>
      <w:divBdr>
        <w:top w:val="none" w:sz="0" w:space="0" w:color="auto"/>
        <w:left w:val="none" w:sz="0" w:space="0" w:color="auto"/>
        <w:bottom w:val="none" w:sz="0" w:space="0" w:color="auto"/>
        <w:right w:val="none" w:sz="0" w:space="0" w:color="auto"/>
      </w:divBdr>
    </w:div>
    <w:div w:id="1869021818">
      <w:bodyDiv w:val="1"/>
      <w:marLeft w:val="0"/>
      <w:marRight w:val="0"/>
      <w:marTop w:val="0"/>
      <w:marBottom w:val="0"/>
      <w:divBdr>
        <w:top w:val="none" w:sz="0" w:space="0" w:color="auto"/>
        <w:left w:val="none" w:sz="0" w:space="0" w:color="auto"/>
        <w:bottom w:val="none" w:sz="0" w:space="0" w:color="auto"/>
        <w:right w:val="none" w:sz="0" w:space="0" w:color="auto"/>
      </w:divBdr>
    </w:div>
    <w:div w:id="1869097836">
      <w:bodyDiv w:val="1"/>
      <w:marLeft w:val="0"/>
      <w:marRight w:val="0"/>
      <w:marTop w:val="0"/>
      <w:marBottom w:val="0"/>
      <w:divBdr>
        <w:top w:val="none" w:sz="0" w:space="0" w:color="auto"/>
        <w:left w:val="none" w:sz="0" w:space="0" w:color="auto"/>
        <w:bottom w:val="none" w:sz="0" w:space="0" w:color="auto"/>
        <w:right w:val="none" w:sz="0" w:space="0" w:color="auto"/>
      </w:divBdr>
    </w:div>
    <w:div w:id="1869293278">
      <w:bodyDiv w:val="1"/>
      <w:marLeft w:val="0"/>
      <w:marRight w:val="0"/>
      <w:marTop w:val="0"/>
      <w:marBottom w:val="0"/>
      <w:divBdr>
        <w:top w:val="none" w:sz="0" w:space="0" w:color="auto"/>
        <w:left w:val="none" w:sz="0" w:space="0" w:color="auto"/>
        <w:bottom w:val="none" w:sz="0" w:space="0" w:color="auto"/>
        <w:right w:val="none" w:sz="0" w:space="0" w:color="auto"/>
      </w:divBdr>
    </w:div>
    <w:div w:id="1869367468">
      <w:bodyDiv w:val="1"/>
      <w:marLeft w:val="0"/>
      <w:marRight w:val="0"/>
      <w:marTop w:val="0"/>
      <w:marBottom w:val="0"/>
      <w:divBdr>
        <w:top w:val="none" w:sz="0" w:space="0" w:color="auto"/>
        <w:left w:val="none" w:sz="0" w:space="0" w:color="auto"/>
        <w:bottom w:val="none" w:sz="0" w:space="0" w:color="auto"/>
        <w:right w:val="none" w:sz="0" w:space="0" w:color="auto"/>
      </w:divBdr>
    </w:div>
    <w:div w:id="1869445685">
      <w:bodyDiv w:val="1"/>
      <w:marLeft w:val="0"/>
      <w:marRight w:val="0"/>
      <w:marTop w:val="0"/>
      <w:marBottom w:val="0"/>
      <w:divBdr>
        <w:top w:val="none" w:sz="0" w:space="0" w:color="auto"/>
        <w:left w:val="none" w:sz="0" w:space="0" w:color="auto"/>
        <w:bottom w:val="none" w:sz="0" w:space="0" w:color="auto"/>
        <w:right w:val="none" w:sz="0" w:space="0" w:color="auto"/>
      </w:divBdr>
    </w:div>
    <w:div w:id="1869685250">
      <w:bodyDiv w:val="1"/>
      <w:marLeft w:val="0"/>
      <w:marRight w:val="0"/>
      <w:marTop w:val="0"/>
      <w:marBottom w:val="0"/>
      <w:divBdr>
        <w:top w:val="none" w:sz="0" w:space="0" w:color="auto"/>
        <w:left w:val="none" w:sz="0" w:space="0" w:color="auto"/>
        <w:bottom w:val="none" w:sz="0" w:space="0" w:color="auto"/>
        <w:right w:val="none" w:sz="0" w:space="0" w:color="auto"/>
      </w:divBdr>
    </w:div>
    <w:div w:id="1869951553">
      <w:bodyDiv w:val="1"/>
      <w:marLeft w:val="0"/>
      <w:marRight w:val="0"/>
      <w:marTop w:val="0"/>
      <w:marBottom w:val="0"/>
      <w:divBdr>
        <w:top w:val="none" w:sz="0" w:space="0" w:color="auto"/>
        <w:left w:val="none" w:sz="0" w:space="0" w:color="auto"/>
        <w:bottom w:val="none" w:sz="0" w:space="0" w:color="auto"/>
        <w:right w:val="none" w:sz="0" w:space="0" w:color="auto"/>
      </w:divBdr>
    </w:div>
    <w:div w:id="1872910498">
      <w:bodyDiv w:val="1"/>
      <w:marLeft w:val="0"/>
      <w:marRight w:val="0"/>
      <w:marTop w:val="0"/>
      <w:marBottom w:val="0"/>
      <w:divBdr>
        <w:top w:val="none" w:sz="0" w:space="0" w:color="auto"/>
        <w:left w:val="none" w:sz="0" w:space="0" w:color="auto"/>
        <w:bottom w:val="none" w:sz="0" w:space="0" w:color="auto"/>
        <w:right w:val="none" w:sz="0" w:space="0" w:color="auto"/>
      </w:divBdr>
    </w:div>
    <w:div w:id="1873029121">
      <w:bodyDiv w:val="1"/>
      <w:marLeft w:val="0"/>
      <w:marRight w:val="0"/>
      <w:marTop w:val="0"/>
      <w:marBottom w:val="0"/>
      <w:divBdr>
        <w:top w:val="none" w:sz="0" w:space="0" w:color="auto"/>
        <w:left w:val="none" w:sz="0" w:space="0" w:color="auto"/>
        <w:bottom w:val="none" w:sz="0" w:space="0" w:color="auto"/>
        <w:right w:val="none" w:sz="0" w:space="0" w:color="auto"/>
      </w:divBdr>
    </w:div>
    <w:div w:id="1873492792">
      <w:bodyDiv w:val="1"/>
      <w:marLeft w:val="0"/>
      <w:marRight w:val="0"/>
      <w:marTop w:val="0"/>
      <w:marBottom w:val="0"/>
      <w:divBdr>
        <w:top w:val="none" w:sz="0" w:space="0" w:color="auto"/>
        <w:left w:val="none" w:sz="0" w:space="0" w:color="auto"/>
        <w:bottom w:val="none" w:sz="0" w:space="0" w:color="auto"/>
        <w:right w:val="none" w:sz="0" w:space="0" w:color="auto"/>
      </w:divBdr>
    </w:div>
    <w:div w:id="1873767138">
      <w:bodyDiv w:val="1"/>
      <w:marLeft w:val="0"/>
      <w:marRight w:val="0"/>
      <w:marTop w:val="0"/>
      <w:marBottom w:val="0"/>
      <w:divBdr>
        <w:top w:val="none" w:sz="0" w:space="0" w:color="auto"/>
        <w:left w:val="none" w:sz="0" w:space="0" w:color="auto"/>
        <w:bottom w:val="none" w:sz="0" w:space="0" w:color="auto"/>
        <w:right w:val="none" w:sz="0" w:space="0" w:color="auto"/>
      </w:divBdr>
    </w:div>
    <w:div w:id="1873836764">
      <w:bodyDiv w:val="1"/>
      <w:marLeft w:val="0"/>
      <w:marRight w:val="0"/>
      <w:marTop w:val="0"/>
      <w:marBottom w:val="0"/>
      <w:divBdr>
        <w:top w:val="none" w:sz="0" w:space="0" w:color="auto"/>
        <w:left w:val="none" w:sz="0" w:space="0" w:color="auto"/>
        <w:bottom w:val="none" w:sz="0" w:space="0" w:color="auto"/>
        <w:right w:val="none" w:sz="0" w:space="0" w:color="auto"/>
      </w:divBdr>
    </w:div>
    <w:div w:id="1873880127">
      <w:bodyDiv w:val="1"/>
      <w:marLeft w:val="0"/>
      <w:marRight w:val="0"/>
      <w:marTop w:val="0"/>
      <w:marBottom w:val="0"/>
      <w:divBdr>
        <w:top w:val="none" w:sz="0" w:space="0" w:color="auto"/>
        <w:left w:val="none" w:sz="0" w:space="0" w:color="auto"/>
        <w:bottom w:val="none" w:sz="0" w:space="0" w:color="auto"/>
        <w:right w:val="none" w:sz="0" w:space="0" w:color="auto"/>
      </w:divBdr>
    </w:div>
    <w:div w:id="1874733030">
      <w:bodyDiv w:val="1"/>
      <w:marLeft w:val="0"/>
      <w:marRight w:val="0"/>
      <w:marTop w:val="0"/>
      <w:marBottom w:val="0"/>
      <w:divBdr>
        <w:top w:val="none" w:sz="0" w:space="0" w:color="auto"/>
        <w:left w:val="none" w:sz="0" w:space="0" w:color="auto"/>
        <w:bottom w:val="none" w:sz="0" w:space="0" w:color="auto"/>
        <w:right w:val="none" w:sz="0" w:space="0" w:color="auto"/>
      </w:divBdr>
    </w:div>
    <w:div w:id="1875003153">
      <w:bodyDiv w:val="1"/>
      <w:marLeft w:val="0"/>
      <w:marRight w:val="0"/>
      <w:marTop w:val="0"/>
      <w:marBottom w:val="0"/>
      <w:divBdr>
        <w:top w:val="none" w:sz="0" w:space="0" w:color="auto"/>
        <w:left w:val="none" w:sz="0" w:space="0" w:color="auto"/>
        <w:bottom w:val="none" w:sz="0" w:space="0" w:color="auto"/>
        <w:right w:val="none" w:sz="0" w:space="0" w:color="auto"/>
      </w:divBdr>
    </w:div>
    <w:div w:id="1875191382">
      <w:bodyDiv w:val="1"/>
      <w:marLeft w:val="0"/>
      <w:marRight w:val="0"/>
      <w:marTop w:val="0"/>
      <w:marBottom w:val="0"/>
      <w:divBdr>
        <w:top w:val="none" w:sz="0" w:space="0" w:color="auto"/>
        <w:left w:val="none" w:sz="0" w:space="0" w:color="auto"/>
        <w:bottom w:val="none" w:sz="0" w:space="0" w:color="auto"/>
        <w:right w:val="none" w:sz="0" w:space="0" w:color="auto"/>
      </w:divBdr>
    </w:div>
    <w:div w:id="1875383066">
      <w:bodyDiv w:val="1"/>
      <w:marLeft w:val="0"/>
      <w:marRight w:val="0"/>
      <w:marTop w:val="0"/>
      <w:marBottom w:val="0"/>
      <w:divBdr>
        <w:top w:val="none" w:sz="0" w:space="0" w:color="auto"/>
        <w:left w:val="none" w:sz="0" w:space="0" w:color="auto"/>
        <w:bottom w:val="none" w:sz="0" w:space="0" w:color="auto"/>
        <w:right w:val="none" w:sz="0" w:space="0" w:color="auto"/>
      </w:divBdr>
    </w:div>
    <w:div w:id="1875651796">
      <w:bodyDiv w:val="1"/>
      <w:marLeft w:val="0"/>
      <w:marRight w:val="0"/>
      <w:marTop w:val="0"/>
      <w:marBottom w:val="0"/>
      <w:divBdr>
        <w:top w:val="none" w:sz="0" w:space="0" w:color="auto"/>
        <w:left w:val="none" w:sz="0" w:space="0" w:color="auto"/>
        <w:bottom w:val="none" w:sz="0" w:space="0" w:color="auto"/>
        <w:right w:val="none" w:sz="0" w:space="0" w:color="auto"/>
      </w:divBdr>
    </w:div>
    <w:div w:id="1875776436">
      <w:bodyDiv w:val="1"/>
      <w:marLeft w:val="0"/>
      <w:marRight w:val="0"/>
      <w:marTop w:val="0"/>
      <w:marBottom w:val="0"/>
      <w:divBdr>
        <w:top w:val="none" w:sz="0" w:space="0" w:color="auto"/>
        <w:left w:val="none" w:sz="0" w:space="0" w:color="auto"/>
        <w:bottom w:val="none" w:sz="0" w:space="0" w:color="auto"/>
        <w:right w:val="none" w:sz="0" w:space="0" w:color="auto"/>
      </w:divBdr>
    </w:div>
    <w:div w:id="1875922934">
      <w:bodyDiv w:val="1"/>
      <w:marLeft w:val="0"/>
      <w:marRight w:val="0"/>
      <w:marTop w:val="0"/>
      <w:marBottom w:val="0"/>
      <w:divBdr>
        <w:top w:val="none" w:sz="0" w:space="0" w:color="auto"/>
        <w:left w:val="none" w:sz="0" w:space="0" w:color="auto"/>
        <w:bottom w:val="none" w:sz="0" w:space="0" w:color="auto"/>
        <w:right w:val="none" w:sz="0" w:space="0" w:color="auto"/>
      </w:divBdr>
    </w:div>
    <w:div w:id="1876036986">
      <w:bodyDiv w:val="1"/>
      <w:marLeft w:val="0"/>
      <w:marRight w:val="0"/>
      <w:marTop w:val="0"/>
      <w:marBottom w:val="0"/>
      <w:divBdr>
        <w:top w:val="none" w:sz="0" w:space="0" w:color="auto"/>
        <w:left w:val="none" w:sz="0" w:space="0" w:color="auto"/>
        <w:bottom w:val="none" w:sz="0" w:space="0" w:color="auto"/>
        <w:right w:val="none" w:sz="0" w:space="0" w:color="auto"/>
      </w:divBdr>
    </w:div>
    <w:div w:id="1876389100">
      <w:bodyDiv w:val="1"/>
      <w:marLeft w:val="0"/>
      <w:marRight w:val="0"/>
      <w:marTop w:val="0"/>
      <w:marBottom w:val="0"/>
      <w:divBdr>
        <w:top w:val="none" w:sz="0" w:space="0" w:color="auto"/>
        <w:left w:val="none" w:sz="0" w:space="0" w:color="auto"/>
        <w:bottom w:val="none" w:sz="0" w:space="0" w:color="auto"/>
        <w:right w:val="none" w:sz="0" w:space="0" w:color="auto"/>
      </w:divBdr>
    </w:div>
    <w:div w:id="1876960176">
      <w:bodyDiv w:val="1"/>
      <w:marLeft w:val="0"/>
      <w:marRight w:val="0"/>
      <w:marTop w:val="0"/>
      <w:marBottom w:val="0"/>
      <w:divBdr>
        <w:top w:val="none" w:sz="0" w:space="0" w:color="auto"/>
        <w:left w:val="none" w:sz="0" w:space="0" w:color="auto"/>
        <w:bottom w:val="none" w:sz="0" w:space="0" w:color="auto"/>
        <w:right w:val="none" w:sz="0" w:space="0" w:color="auto"/>
      </w:divBdr>
    </w:div>
    <w:div w:id="1877506434">
      <w:bodyDiv w:val="1"/>
      <w:marLeft w:val="0"/>
      <w:marRight w:val="0"/>
      <w:marTop w:val="0"/>
      <w:marBottom w:val="0"/>
      <w:divBdr>
        <w:top w:val="none" w:sz="0" w:space="0" w:color="auto"/>
        <w:left w:val="none" w:sz="0" w:space="0" w:color="auto"/>
        <w:bottom w:val="none" w:sz="0" w:space="0" w:color="auto"/>
        <w:right w:val="none" w:sz="0" w:space="0" w:color="auto"/>
      </w:divBdr>
    </w:div>
    <w:div w:id="1878620656">
      <w:bodyDiv w:val="1"/>
      <w:marLeft w:val="0"/>
      <w:marRight w:val="0"/>
      <w:marTop w:val="0"/>
      <w:marBottom w:val="0"/>
      <w:divBdr>
        <w:top w:val="none" w:sz="0" w:space="0" w:color="auto"/>
        <w:left w:val="none" w:sz="0" w:space="0" w:color="auto"/>
        <w:bottom w:val="none" w:sz="0" w:space="0" w:color="auto"/>
        <w:right w:val="none" w:sz="0" w:space="0" w:color="auto"/>
      </w:divBdr>
    </w:div>
    <w:div w:id="1878814863">
      <w:bodyDiv w:val="1"/>
      <w:marLeft w:val="0"/>
      <w:marRight w:val="0"/>
      <w:marTop w:val="0"/>
      <w:marBottom w:val="0"/>
      <w:divBdr>
        <w:top w:val="none" w:sz="0" w:space="0" w:color="auto"/>
        <w:left w:val="none" w:sz="0" w:space="0" w:color="auto"/>
        <w:bottom w:val="none" w:sz="0" w:space="0" w:color="auto"/>
        <w:right w:val="none" w:sz="0" w:space="0" w:color="auto"/>
      </w:divBdr>
    </w:div>
    <w:div w:id="1879588551">
      <w:bodyDiv w:val="1"/>
      <w:marLeft w:val="0"/>
      <w:marRight w:val="0"/>
      <w:marTop w:val="0"/>
      <w:marBottom w:val="0"/>
      <w:divBdr>
        <w:top w:val="none" w:sz="0" w:space="0" w:color="auto"/>
        <w:left w:val="none" w:sz="0" w:space="0" w:color="auto"/>
        <w:bottom w:val="none" w:sz="0" w:space="0" w:color="auto"/>
        <w:right w:val="none" w:sz="0" w:space="0" w:color="auto"/>
      </w:divBdr>
    </w:div>
    <w:div w:id="1879925387">
      <w:bodyDiv w:val="1"/>
      <w:marLeft w:val="0"/>
      <w:marRight w:val="0"/>
      <w:marTop w:val="0"/>
      <w:marBottom w:val="0"/>
      <w:divBdr>
        <w:top w:val="none" w:sz="0" w:space="0" w:color="auto"/>
        <w:left w:val="none" w:sz="0" w:space="0" w:color="auto"/>
        <w:bottom w:val="none" w:sz="0" w:space="0" w:color="auto"/>
        <w:right w:val="none" w:sz="0" w:space="0" w:color="auto"/>
      </w:divBdr>
    </w:div>
    <w:div w:id="1882090269">
      <w:bodyDiv w:val="1"/>
      <w:marLeft w:val="0"/>
      <w:marRight w:val="0"/>
      <w:marTop w:val="0"/>
      <w:marBottom w:val="0"/>
      <w:divBdr>
        <w:top w:val="none" w:sz="0" w:space="0" w:color="auto"/>
        <w:left w:val="none" w:sz="0" w:space="0" w:color="auto"/>
        <w:bottom w:val="none" w:sz="0" w:space="0" w:color="auto"/>
        <w:right w:val="none" w:sz="0" w:space="0" w:color="auto"/>
      </w:divBdr>
    </w:div>
    <w:div w:id="1882472629">
      <w:bodyDiv w:val="1"/>
      <w:marLeft w:val="0"/>
      <w:marRight w:val="0"/>
      <w:marTop w:val="0"/>
      <w:marBottom w:val="0"/>
      <w:divBdr>
        <w:top w:val="none" w:sz="0" w:space="0" w:color="auto"/>
        <w:left w:val="none" w:sz="0" w:space="0" w:color="auto"/>
        <w:bottom w:val="none" w:sz="0" w:space="0" w:color="auto"/>
        <w:right w:val="none" w:sz="0" w:space="0" w:color="auto"/>
      </w:divBdr>
    </w:div>
    <w:div w:id="1882665150">
      <w:bodyDiv w:val="1"/>
      <w:marLeft w:val="0"/>
      <w:marRight w:val="0"/>
      <w:marTop w:val="0"/>
      <w:marBottom w:val="0"/>
      <w:divBdr>
        <w:top w:val="none" w:sz="0" w:space="0" w:color="auto"/>
        <w:left w:val="none" w:sz="0" w:space="0" w:color="auto"/>
        <w:bottom w:val="none" w:sz="0" w:space="0" w:color="auto"/>
        <w:right w:val="none" w:sz="0" w:space="0" w:color="auto"/>
      </w:divBdr>
    </w:div>
    <w:div w:id="1882741883">
      <w:bodyDiv w:val="1"/>
      <w:marLeft w:val="0"/>
      <w:marRight w:val="0"/>
      <w:marTop w:val="0"/>
      <w:marBottom w:val="0"/>
      <w:divBdr>
        <w:top w:val="none" w:sz="0" w:space="0" w:color="auto"/>
        <w:left w:val="none" w:sz="0" w:space="0" w:color="auto"/>
        <w:bottom w:val="none" w:sz="0" w:space="0" w:color="auto"/>
        <w:right w:val="none" w:sz="0" w:space="0" w:color="auto"/>
      </w:divBdr>
    </w:div>
    <w:div w:id="1883054197">
      <w:bodyDiv w:val="1"/>
      <w:marLeft w:val="0"/>
      <w:marRight w:val="0"/>
      <w:marTop w:val="0"/>
      <w:marBottom w:val="0"/>
      <w:divBdr>
        <w:top w:val="none" w:sz="0" w:space="0" w:color="auto"/>
        <w:left w:val="none" w:sz="0" w:space="0" w:color="auto"/>
        <w:bottom w:val="none" w:sz="0" w:space="0" w:color="auto"/>
        <w:right w:val="none" w:sz="0" w:space="0" w:color="auto"/>
      </w:divBdr>
    </w:div>
    <w:div w:id="1883243513">
      <w:bodyDiv w:val="1"/>
      <w:marLeft w:val="0"/>
      <w:marRight w:val="0"/>
      <w:marTop w:val="0"/>
      <w:marBottom w:val="0"/>
      <w:divBdr>
        <w:top w:val="none" w:sz="0" w:space="0" w:color="auto"/>
        <w:left w:val="none" w:sz="0" w:space="0" w:color="auto"/>
        <w:bottom w:val="none" w:sz="0" w:space="0" w:color="auto"/>
        <w:right w:val="none" w:sz="0" w:space="0" w:color="auto"/>
      </w:divBdr>
    </w:div>
    <w:div w:id="1884099705">
      <w:bodyDiv w:val="1"/>
      <w:marLeft w:val="0"/>
      <w:marRight w:val="0"/>
      <w:marTop w:val="0"/>
      <w:marBottom w:val="0"/>
      <w:divBdr>
        <w:top w:val="none" w:sz="0" w:space="0" w:color="auto"/>
        <w:left w:val="none" w:sz="0" w:space="0" w:color="auto"/>
        <w:bottom w:val="none" w:sz="0" w:space="0" w:color="auto"/>
        <w:right w:val="none" w:sz="0" w:space="0" w:color="auto"/>
      </w:divBdr>
    </w:div>
    <w:div w:id="1884562702">
      <w:bodyDiv w:val="1"/>
      <w:marLeft w:val="0"/>
      <w:marRight w:val="0"/>
      <w:marTop w:val="0"/>
      <w:marBottom w:val="0"/>
      <w:divBdr>
        <w:top w:val="none" w:sz="0" w:space="0" w:color="auto"/>
        <w:left w:val="none" w:sz="0" w:space="0" w:color="auto"/>
        <w:bottom w:val="none" w:sz="0" w:space="0" w:color="auto"/>
        <w:right w:val="none" w:sz="0" w:space="0" w:color="auto"/>
      </w:divBdr>
    </w:div>
    <w:div w:id="1884824223">
      <w:bodyDiv w:val="1"/>
      <w:marLeft w:val="0"/>
      <w:marRight w:val="0"/>
      <w:marTop w:val="0"/>
      <w:marBottom w:val="0"/>
      <w:divBdr>
        <w:top w:val="none" w:sz="0" w:space="0" w:color="auto"/>
        <w:left w:val="none" w:sz="0" w:space="0" w:color="auto"/>
        <w:bottom w:val="none" w:sz="0" w:space="0" w:color="auto"/>
        <w:right w:val="none" w:sz="0" w:space="0" w:color="auto"/>
      </w:divBdr>
    </w:div>
    <w:div w:id="1887907971">
      <w:bodyDiv w:val="1"/>
      <w:marLeft w:val="0"/>
      <w:marRight w:val="0"/>
      <w:marTop w:val="0"/>
      <w:marBottom w:val="0"/>
      <w:divBdr>
        <w:top w:val="none" w:sz="0" w:space="0" w:color="auto"/>
        <w:left w:val="none" w:sz="0" w:space="0" w:color="auto"/>
        <w:bottom w:val="none" w:sz="0" w:space="0" w:color="auto"/>
        <w:right w:val="none" w:sz="0" w:space="0" w:color="auto"/>
      </w:divBdr>
    </w:div>
    <w:div w:id="1888644600">
      <w:bodyDiv w:val="1"/>
      <w:marLeft w:val="0"/>
      <w:marRight w:val="0"/>
      <w:marTop w:val="0"/>
      <w:marBottom w:val="0"/>
      <w:divBdr>
        <w:top w:val="none" w:sz="0" w:space="0" w:color="auto"/>
        <w:left w:val="none" w:sz="0" w:space="0" w:color="auto"/>
        <w:bottom w:val="none" w:sz="0" w:space="0" w:color="auto"/>
        <w:right w:val="none" w:sz="0" w:space="0" w:color="auto"/>
      </w:divBdr>
    </w:div>
    <w:div w:id="1889218725">
      <w:bodyDiv w:val="1"/>
      <w:marLeft w:val="0"/>
      <w:marRight w:val="0"/>
      <w:marTop w:val="0"/>
      <w:marBottom w:val="0"/>
      <w:divBdr>
        <w:top w:val="none" w:sz="0" w:space="0" w:color="auto"/>
        <w:left w:val="none" w:sz="0" w:space="0" w:color="auto"/>
        <w:bottom w:val="none" w:sz="0" w:space="0" w:color="auto"/>
        <w:right w:val="none" w:sz="0" w:space="0" w:color="auto"/>
      </w:divBdr>
    </w:div>
    <w:div w:id="1889221012">
      <w:bodyDiv w:val="1"/>
      <w:marLeft w:val="0"/>
      <w:marRight w:val="0"/>
      <w:marTop w:val="0"/>
      <w:marBottom w:val="0"/>
      <w:divBdr>
        <w:top w:val="none" w:sz="0" w:space="0" w:color="auto"/>
        <w:left w:val="none" w:sz="0" w:space="0" w:color="auto"/>
        <w:bottom w:val="none" w:sz="0" w:space="0" w:color="auto"/>
        <w:right w:val="none" w:sz="0" w:space="0" w:color="auto"/>
      </w:divBdr>
    </w:div>
    <w:div w:id="1889292320">
      <w:bodyDiv w:val="1"/>
      <w:marLeft w:val="0"/>
      <w:marRight w:val="0"/>
      <w:marTop w:val="0"/>
      <w:marBottom w:val="0"/>
      <w:divBdr>
        <w:top w:val="none" w:sz="0" w:space="0" w:color="auto"/>
        <w:left w:val="none" w:sz="0" w:space="0" w:color="auto"/>
        <w:bottom w:val="none" w:sz="0" w:space="0" w:color="auto"/>
        <w:right w:val="none" w:sz="0" w:space="0" w:color="auto"/>
      </w:divBdr>
    </w:div>
    <w:div w:id="1889761213">
      <w:bodyDiv w:val="1"/>
      <w:marLeft w:val="0"/>
      <w:marRight w:val="0"/>
      <w:marTop w:val="0"/>
      <w:marBottom w:val="0"/>
      <w:divBdr>
        <w:top w:val="none" w:sz="0" w:space="0" w:color="auto"/>
        <w:left w:val="none" w:sz="0" w:space="0" w:color="auto"/>
        <w:bottom w:val="none" w:sz="0" w:space="0" w:color="auto"/>
        <w:right w:val="none" w:sz="0" w:space="0" w:color="auto"/>
      </w:divBdr>
    </w:div>
    <w:div w:id="1890454638">
      <w:bodyDiv w:val="1"/>
      <w:marLeft w:val="0"/>
      <w:marRight w:val="0"/>
      <w:marTop w:val="0"/>
      <w:marBottom w:val="0"/>
      <w:divBdr>
        <w:top w:val="none" w:sz="0" w:space="0" w:color="auto"/>
        <w:left w:val="none" w:sz="0" w:space="0" w:color="auto"/>
        <w:bottom w:val="none" w:sz="0" w:space="0" w:color="auto"/>
        <w:right w:val="none" w:sz="0" w:space="0" w:color="auto"/>
      </w:divBdr>
    </w:div>
    <w:div w:id="1891070879">
      <w:bodyDiv w:val="1"/>
      <w:marLeft w:val="0"/>
      <w:marRight w:val="0"/>
      <w:marTop w:val="0"/>
      <w:marBottom w:val="0"/>
      <w:divBdr>
        <w:top w:val="none" w:sz="0" w:space="0" w:color="auto"/>
        <w:left w:val="none" w:sz="0" w:space="0" w:color="auto"/>
        <w:bottom w:val="none" w:sz="0" w:space="0" w:color="auto"/>
        <w:right w:val="none" w:sz="0" w:space="0" w:color="auto"/>
      </w:divBdr>
    </w:div>
    <w:div w:id="1891185626">
      <w:bodyDiv w:val="1"/>
      <w:marLeft w:val="0"/>
      <w:marRight w:val="0"/>
      <w:marTop w:val="0"/>
      <w:marBottom w:val="0"/>
      <w:divBdr>
        <w:top w:val="none" w:sz="0" w:space="0" w:color="auto"/>
        <w:left w:val="none" w:sz="0" w:space="0" w:color="auto"/>
        <w:bottom w:val="none" w:sz="0" w:space="0" w:color="auto"/>
        <w:right w:val="none" w:sz="0" w:space="0" w:color="auto"/>
      </w:divBdr>
    </w:div>
    <w:div w:id="1891960114">
      <w:bodyDiv w:val="1"/>
      <w:marLeft w:val="0"/>
      <w:marRight w:val="0"/>
      <w:marTop w:val="0"/>
      <w:marBottom w:val="0"/>
      <w:divBdr>
        <w:top w:val="none" w:sz="0" w:space="0" w:color="auto"/>
        <w:left w:val="none" w:sz="0" w:space="0" w:color="auto"/>
        <w:bottom w:val="none" w:sz="0" w:space="0" w:color="auto"/>
        <w:right w:val="none" w:sz="0" w:space="0" w:color="auto"/>
      </w:divBdr>
    </w:div>
    <w:div w:id="1892837818">
      <w:bodyDiv w:val="1"/>
      <w:marLeft w:val="0"/>
      <w:marRight w:val="0"/>
      <w:marTop w:val="0"/>
      <w:marBottom w:val="0"/>
      <w:divBdr>
        <w:top w:val="none" w:sz="0" w:space="0" w:color="auto"/>
        <w:left w:val="none" w:sz="0" w:space="0" w:color="auto"/>
        <w:bottom w:val="none" w:sz="0" w:space="0" w:color="auto"/>
        <w:right w:val="none" w:sz="0" w:space="0" w:color="auto"/>
      </w:divBdr>
    </w:div>
    <w:div w:id="1894653386">
      <w:bodyDiv w:val="1"/>
      <w:marLeft w:val="0"/>
      <w:marRight w:val="0"/>
      <w:marTop w:val="0"/>
      <w:marBottom w:val="0"/>
      <w:divBdr>
        <w:top w:val="none" w:sz="0" w:space="0" w:color="auto"/>
        <w:left w:val="none" w:sz="0" w:space="0" w:color="auto"/>
        <w:bottom w:val="none" w:sz="0" w:space="0" w:color="auto"/>
        <w:right w:val="none" w:sz="0" w:space="0" w:color="auto"/>
      </w:divBdr>
    </w:div>
    <w:div w:id="1894734983">
      <w:bodyDiv w:val="1"/>
      <w:marLeft w:val="0"/>
      <w:marRight w:val="0"/>
      <w:marTop w:val="0"/>
      <w:marBottom w:val="0"/>
      <w:divBdr>
        <w:top w:val="none" w:sz="0" w:space="0" w:color="auto"/>
        <w:left w:val="none" w:sz="0" w:space="0" w:color="auto"/>
        <w:bottom w:val="none" w:sz="0" w:space="0" w:color="auto"/>
        <w:right w:val="none" w:sz="0" w:space="0" w:color="auto"/>
      </w:divBdr>
    </w:div>
    <w:div w:id="1895193289">
      <w:bodyDiv w:val="1"/>
      <w:marLeft w:val="0"/>
      <w:marRight w:val="0"/>
      <w:marTop w:val="0"/>
      <w:marBottom w:val="0"/>
      <w:divBdr>
        <w:top w:val="none" w:sz="0" w:space="0" w:color="auto"/>
        <w:left w:val="none" w:sz="0" w:space="0" w:color="auto"/>
        <w:bottom w:val="none" w:sz="0" w:space="0" w:color="auto"/>
        <w:right w:val="none" w:sz="0" w:space="0" w:color="auto"/>
      </w:divBdr>
    </w:div>
    <w:div w:id="1895461773">
      <w:bodyDiv w:val="1"/>
      <w:marLeft w:val="0"/>
      <w:marRight w:val="0"/>
      <w:marTop w:val="0"/>
      <w:marBottom w:val="0"/>
      <w:divBdr>
        <w:top w:val="none" w:sz="0" w:space="0" w:color="auto"/>
        <w:left w:val="none" w:sz="0" w:space="0" w:color="auto"/>
        <w:bottom w:val="none" w:sz="0" w:space="0" w:color="auto"/>
        <w:right w:val="none" w:sz="0" w:space="0" w:color="auto"/>
      </w:divBdr>
    </w:div>
    <w:div w:id="1895778240">
      <w:bodyDiv w:val="1"/>
      <w:marLeft w:val="0"/>
      <w:marRight w:val="0"/>
      <w:marTop w:val="0"/>
      <w:marBottom w:val="0"/>
      <w:divBdr>
        <w:top w:val="none" w:sz="0" w:space="0" w:color="auto"/>
        <w:left w:val="none" w:sz="0" w:space="0" w:color="auto"/>
        <w:bottom w:val="none" w:sz="0" w:space="0" w:color="auto"/>
        <w:right w:val="none" w:sz="0" w:space="0" w:color="auto"/>
      </w:divBdr>
    </w:div>
    <w:div w:id="1895970870">
      <w:bodyDiv w:val="1"/>
      <w:marLeft w:val="0"/>
      <w:marRight w:val="0"/>
      <w:marTop w:val="0"/>
      <w:marBottom w:val="0"/>
      <w:divBdr>
        <w:top w:val="none" w:sz="0" w:space="0" w:color="auto"/>
        <w:left w:val="none" w:sz="0" w:space="0" w:color="auto"/>
        <w:bottom w:val="none" w:sz="0" w:space="0" w:color="auto"/>
        <w:right w:val="none" w:sz="0" w:space="0" w:color="auto"/>
      </w:divBdr>
    </w:div>
    <w:div w:id="1896425388">
      <w:bodyDiv w:val="1"/>
      <w:marLeft w:val="0"/>
      <w:marRight w:val="0"/>
      <w:marTop w:val="0"/>
      <w:marBottom w:val="0"/>
      <w:divBdr>
        <w:top w:val="none" w:sz="0" w:space="0" w:color="auto"/>
        <w:left w:val="none" w:sz="0" w:space="0" w:color="auto"/>
        <w:bottom w:val="none" w:sz="0" w:space="0" w:color="auto"/>
        <w:right w:val="none" w:sz="0" w:space="0" w:color="auto"/>
      </w:divBdr>
    </w:div>
    <w:div w:id="1896619979">
      <w:bodyDiv w:val="1"/>
      <w:marLeft w:val="0"/>
      <w:marRight w:val="0"/>
      <w:marTop w:val="0"/>
      <w:marBottom w:val="0"/>
      <w:divBdr>
        <w:top w:val="none" w:sz="0" w:space="0" w:color="auto"/>
        <w:left w:val="none" w:sz="0" w:space="0" w:color="auto"/>
        <w:bottom w:val="none" w:sz="0" w:space="0" w:color="auto"/>
        <w:right w:val="none" w:sz="0" w:space="0" w:color="auto"/>
      </w:divBdr>
    </w:div>
    <w:div w:id="1897425127">
      <w:bodyDiv w:val="1"/>
      <w:marLeft w:val="0"/>
      <w:marRight w:val="0"/>
      <w:marTop w:val="0"/>
      <w:marBottom w:val="0"/>
      <w:divBdr>
        <w:top w:val="none" w:sz="0" w:space="0" w:color="auto"/>
        <w:left w:val="none" w:sz="0" w:space="0" w:color="auto"/>
        <w:bottom w:val="none" w:sz="0" w:space="0" w:color="auto"/>
        <w:right w:val="none" w:sz="0" w:space="0" w:color="auto"/>
      </w:divBdr>
    </w:div>
    <w:div w:id="1897819270">
      <w:bodyDiv w:val="1"/>
      <w:marLeft w:val="0"/>
      <w:marRight w:val="0"/>
      <w:marTop w:val="0"/>
      <w:marBottom w:val="0"/>
      <w:divBdr>
        <w:top w:val="none" w:sz="0" w:space="0" w:color="auto"/>
        <w:left w:val="none" w:sz="0" w:space="0" w:color="auto"/>
        <w:bottom w:val="none" w:sz="0" w:space="0" w:color="auto"/>
        <w:right w:val="none" w:sz="0" w:space="0" w:color="auto"/>
      </w:divBdr>
    </w:div>
    <w:div w:id="1898273420">
      <w:bodyDiv w:val="1"/>
      <w:marLeft w:val="0"/>
      <w:marRight w:val="0"/>
      <w:marTop w:val="0"/>
      <w:marBottom w:val="0"/>
      <w:divBdr>
        <w:top w:val="none" w:sz="0" w:space="0" w:color="auto"/>
        <w:left w:val="none" w:sz="0" w:space="0" w:color="auto"/>
        <w:bottom w:val="none" w:sz="0" w:space="0" w:color="auto"/>
        <w:right w:val="none" w:sz="0" w:space="0" w:color="auto"/>
      </w:divBdr>
    </w:div>
    <w:div w:id="1898276232">
      <w:bodyDiv w:val="1"/>
      <w:marLeft w:val="0"/>
      <w:marRight w:val="0"/>
      <w:marTop w:val="0"/>
      <w:marBottom w:val="0"/>
      <w:divBdr>
        <w:top w:val="none" w:sz="0" w:space="0" w:color="auto"/>
        <w:left w:val="none" w:sz="0" w:space="0" w:color="auto"/>
        <w:bottom w:val="none" w:sz="0" w:space="0" w:color="auto"/>
        <w:right w:val="none" w:sz="0" w:space="0" w:color="auto"/>
      </w:divBdr>
    </w:div>
    <w:div w:id="1900162749">
      <w:bodyDiv w:val="1"/>
      <w:marLeft w:val="0"/>
      <w:marRight w:val="0"/>
      <w:marTop w:val="0"/>
      <w:marBottom w:val="0"/>
      <w:divBdr>
        <w:top w:val="none" w:sz="0" w:space="0" w:color="auto"/>
        <w:left w:val="none" w:sz="0" w:space="0" w:color="auto"/>
        <w:bottom w:val="none" w:sz="0" w:space="0" w:color="auto"/>
        <w:right w:val="none" w:sz="0" w:space="0" w:color="auto"/>
      </w:divBdr>
    </w:div>
    <w:div w:id="1902788601">
      <w:bodyDiv w:val="1"/>
      <w:marLeft w:val="0"/>
      <w:marRight w:val="0"/>
      <w:marTop w:val="0"/>
      <w:marBottom w:val="0"/>
      <w:divBdr>
        <w:top w:val="none" w:sz="0" w:space="0" w:color="auto"/>
        <w:left w:val="none" w:sz="0" w:space="0" w:color="auto"/>
        <w:bottom w:val="none" w:sz="0" w:space="0" w:color="auto"/>
        <w:right w:val="none" w:sz="0" w:space="0" w:color="auto"/>
      </w:divBdr>
    </w:div>
    <w:div w:id="1903053668">
      <w:bodyDiv w:val="1"/>
      <w:marLeft w:val="0"/>
      <w:marRight w:val="0"/>
      <w:marTop w:val="0"/>
      <w:marBottom w:val="0"/>
      <w:divBdr>
        <w:top w:val="none" w:sz="0" w:space="0" w:color="auto"/>
        <w:left w:val="none" w:sz="0" w:space="0" w:color="auto"/>
        <w:bottom w:val="none" w:sz="0" w:space="0" w:color="auto"/>
        <w:right w:val="none" w:sz="0" w:space="0" w:color="auto"/>
      </w:divBdr>
    </w:div>
    <w:div w:id="1903906569">
      <w:bodyDiv w:val="1"/>
      <w:marLeft w:val="0"/>
      <w:marRight w:val="0"/>
      <w:marTop w:val="0"/>
      <w:marBottom w:val="0"/>
      <w:divBdr>
        <w:top w:val="none" w:sz="0" w:space="0" w:color="auto"/>
        <w:left w:val="none" w:sz="0" w:space="0" w:color="auto"/>
        <w:bottom w:val="none" w:sz="0" w:space="0" w:color="auto"/>
        <w:right w:val="none" w:sz="0" w:space="0" w:color="auto"/>
      </w:divBdr>
    </w:div>
    <w:div w:id="1904098218">
      <w:bodyDiv w:val="1"/>
      <w:marLeft w:val="0"/>
      <w:marRight w:val="0"/>
      <w:marTop w:val="0"/>
      <w:marBottom w:val="0"/>
      <w:divBdr>
        <w:top w:val="none" w:sz="0" w:space="0" w:color="auto"/>
        <w:left w:val="none" w:sz="0" w:space="0" w:color="auto"/>
        <w:bottom w:val="none" w:sz="0" w:space="0" w:color="auto"/>
        <w:right w:val="none" w:sz="0" w:space="0" w:color="auto"/>
      </w:divBdr>
    </w:div>
    <w:div w:id="1904413192">
      <w:bodyDiv w:val="1"/>
      <w:marLeft w:val="0"/>
      <w:marRight w:val="0"/>
      <w:marTop w:val="0"/>
      <w:marBottom w:val="0"/>
      <w:divBdr>
        <w:top w:val="none" w:sz="0" w:space="0" w:color="auto"/>
        <w:left w:val="none" w:sz="0" w:space="0" w:color="auto"/>
        <w:bottom w:val="none" w:sz="0" w:space="0" w:color="auto"/>
        <w:right w:val="none" w:sz="0" w:space="0" w:color="auto"/>
      </w:divBdr>
    </w:div>
    <w:div w:id="1904754257">
      <w:bodyDiv w:val="1"/>
      <w:marLeft w:val="0"/>
      <w:marRight w:val="0"/>
      <w:marTop w:val="0"/>
      <w:marBottom w:val="0"/>
      <w:divBdr>
        <w:top w:val="none" w:sz="0" w:space="0" w:color="auto"/>
        <w:left w:val="none" w:sz="0" w:space="0" w:color="auto"/>
        <w:bottom w:val="none" w:sz="0" w:space="0" w:color="auto"/>
        <w:right w:val="none" w:sz="0" w:space="0" w:color="auto"/>
      </w:divBdr>
    </w:div>
    <w:div w:id="1904832176">
      <w:bodyDiv w:val="1"/>
      <w:marLeft w:val="0"/>
      <w:marRight w:val="0"/>
      <w:marTop w:val="0"/>
      <w:marBottom w:val="0"/>
      <w:divBdr>
        <w:top w:val="none" w:sz="0" w:space="0" w:color="auto"/>
        <w:left w:val="none" w:sz="0" w:space="0" w:color="auto"/>
        <w:bottom w:val="none" w:sz="0" w:space="0" w:color="auto"/>
        <w:right w:val="none" w:sz="0" w:space="0" w:color="auto"/>
      </w:divBdr>
    </w:div>
    <w:div w:id="1905795051">
      <w:bodyDiv w:val="1"/>
      <w:marLeft w:val="0"/>
      <w:marRight w:val="0"/>
      <w:marTop w:val="0"/>
      <w:marBottom w:val="0"/>
      <w:divBdr>
        <w:top w:val="none" w:sz="0" w:space="0" w:color="auto"/>
        <w:left w:val="none" w:sz="0" w:space="0" w:color="auto"/>
        <w:bottom w:val="none" w:sz="0" w:space="0" w:color="auto"/>
        <w:right w:val="none" w:sz="0" w:space="0" w:color="auto"/>
      </w:divBdr>
    </w:div>
    <w:div w:id="1905946192">
      <w:bodyDiv w:val="1"/>
      <w:marLeft w:val="0"/>
      <w:marRight w:val="0"/>
      <w:marTop w:val="0"/>
      <w:marBottom w:val="0"/>
      <w:divBdr>
        <w:top w:val="none" w:sz="0" w:space="0" w:color="auto"/>
        <w:left w:val="none" w:sz="0" w:space="0" w:color="auto"/>
        <w:bottom w:val="none" w:sz="0" w:space="0" w:color="auto"/>
        <w:right w:val="none" w:sz="0" w:space="0" w:color="auto"/>
      </w:divBdr>
    </w:div>
    <w:div w:id="1906990370">
      <w:bodyDiv w:val="1"/>
      <w:marLeft w:val="0"/>
      <w:marRight w:val="0"/>
      <w:marTop w:val="0"/>
      <w:marBottom w:val="0"/>
      <w:divBdr>
        <w:top w:val="none" w:sz="0" w:space="0" w:color="auto"/>
        <w:left w:val="none" w:sz="0" w:space="0" w:color="auto"/>
        <w:bottom w:val="none" w:sz="0" w:space="0" w:color="auto"/>
        <w:right w:val="none" w:sz="0" w:space="0" w:color="auto"/>
      </w:divBdr>
    </w:div>
    <w:div w:id="1907449156">
      <w:bodyDiv w:val="1"/>
      <w:marLeft w:val="0"/>
      <w:marRight w:val="0"/>
      <w:marTop w:val="0"/>
      <w:marBottom w:val="0"/>
      <w:divBdr>
        <w:top w:val="none" w:sz="0" w:space="0" w:color="auto"/>
        <w:left w:val="none" w:sz="0" w:space="0" w:color="auto"/>
        <w:bottom w:val="none" w:sz="0" w:space="0" w:color="auto"/>
        <w:right w:val="none" w:sz="0" w:space="0" w:color="auto"/>
      </w:divBdr>
    </w:div>
    <w:div w:id="1907957455">
      <w:bodyDiv w:val="1"/>
      <w:marLeft w:val="0"/>
      <w:marRight w:val="0"/>
      <w:marTop w:val="0"/>
      <w:marBottom w:val="0"/>
      <w:divBdr>
        <w:top w:val="none" w:sz="0" w:space="0" w:color="auto"/>
        <w:left w:val="none" w:sz="0" w:space="0" w:color="auto"/>
        <w:bottom w:val="none" w:sz="0" w:space="0" w:color="auto"/>
        <w:right w:val="none" w:sz="0" w:space="0" w:color="auto"/>
      </w:divBdr>
    </w:div>
    <w:div w:id="1908805167">
      <w:bodyDiv w:val="1"/>
      <w:marLeft w:val="0"/>
      <w:marRight w:val="0"/>
      <w:marTop w:val="0"/>
      <w:marBottom w:val="0"/>
      <w:divBdr>
        <w:top w:val="none" w:sz="0" w:space="0" w:color="auto"/>
        <w:left w:val="none" w:sz="0" w:space="0" w:color="auto"/>
        <w:bottom w:val="none" w:sz="0" w:space="0" w:color="auto"/>
        <w:right w:val="none" w:sz="0" w:space="0" w:color="auto"/>
      </w:divBdr>
    </w:div>
    <w:div w:id="1909221788">
      <w:bodyDiv w:val="1"/>
      <w:marLeft w:val="0"/>
      <w:marRight w:val="0"/>
      <w:marTop w:val="0"/>
      <w:marBottom w:val="0"/>
      <w:divBdr>
        <w:top w:val="none" w:sz="0" w:space="0" w:color="auto"/>
        <w:left w:val="none" w:sz="0" w:space="0" w:color="auto"/>
        <w:bottom w:val="none" w:sz="0" w:space="0" w:color="auto"/>
        <w:right w:val="none" w:sz="0" w:space="0" w:color="auto"/>
      </w:divBdr>
    </w:div>
    <w:div w:id="1909881601">
      <w:bodyDiv w:val="1"/>
      <w:marLeft w:val="0"/>
      <w:marRight w:val="0"/>
      <w:marTop w:val="0"/>
      <w:marBottom w:val="0"/>
      <w:divBdr>
        <w:top w:val="none" w:sz="0" w:space="0" w:color="auto"/>
        <w:left w:val="none" w:sz="0" w:space="0" w:color="auto"/>
        <w:bottom w:val="none" w:sz="0" w:space="0" w:color="auto"/>
        <w:right w:val="none" w:sz="0" w:space="0" w:color="auto"/>
      </w:divBdr>
    </w:div>
    <w:div w:id="1911843569">
      <w:bodyDiv w:val="1"/>
      <w:marLeft w:val="0"/>
      <w:marRight w:val="0"/>
      <w:marTop w:val="0"/>
      <w:marBottom w:val="0"/>
      <w:divBdr>
        <w:top w:val="none" w:sz="0" w:space="0" w:color="auto"/>
        <w:left w:val="none" w:sz="0" w:space="0" w:color="auto"/>
        <w:bottom w:val="none" w:sz="0" w:space="0" w:color="auto"/>
        <w:right w:val="none" w:sz="0" w:space="0" w:color="auto"/>
      </w:divBdr>
    </w:div>
    <w:div w:id="1912546413">
      <w:bodyDiv w:val="1"/>
      <w:marLeft w:val="0"/>
      <w:marRight w:val="0"/>
      <w:marTop w:val="0"/>
      <w:marBottom w:val="0"/>
      <w:divBdr>
        <w:top w:val="none" w:sz="0" w:space="0" w:color="auto"/>
        <w:left w:val="none" w:sz="0" w:space="0" w:color="auto"/>
        <w:bottom w:val="none" w:sz="0" w:space="0" w:color="auto"/>
        <w:right w:val="none" w:sz="0" w:space="0" w:color="auto"/>
      </w:divBdr>
    </w:div>
    <w:div w:id="1912695572">
      <w:bodyDiv w:val="1"/>
      <w:marLeft w:val="0"/>
      <w:marRight w:val="0"/>
      <w:marTop w:val="0"/>
      <w:marBottom w:val="0"/>
      <w:divBdr>
        <w:top w:val="none" w:sz="0" w:space="0" w:color="auto"/>
        <w:left w:val="none" w:sz="0" w:space="0" w:color="auto"/>
        <w:bottom w:val="none" w:sz="0" w:space="0" w:color="auto"/>
        <w:right w:val="none" w:sz="0" w:space="0" w:color="auto"/>
      </w:divBdr>
    </w:div>
    <w:div w:id="1913200079">
      <w:bodyDiv w:val="1"/>
      <w:marLeft w:val="0"/>
      <w:marRight w:val="0"/>
      <w:marTop w:val="0"/>
      <w:marBottom w:val="0"/>
      <w:divBdr>
        <w:top w:val="none" w:sz="0" w:space="0" w:color="auto"/>
        <w:left w:val="none" w:sz="0" w:space="0" w:color="auto"/>
        <w:bottom w:val="none" w:sz="0" w:space="0" w:color="auto"/>
        <w:right w:val="none" w:sz="0" w:space="0" w:color="auto"/>
      </w:divBdr>
    </w:div>
    <w:div w:id="1913465909">
      <w:bodyDiv w:val="1"/>
      <w:marLeft w:val="0"/>
      <w:marRight w:val="0"/>
      <w:marTop w:val="0"/>
      <w:marBottom w:val="0"/>
      <w:divBdr>
        <w:top w:val="none" w:sz="0" w:space="0" w:color="auto"/>
        <w:left w:val="none" w:sz="0" w:space="0" w:color="auto"/>
        <w:bottom w:val="none" w:sz="0" w:space="0" w:color="auto"/>
        <w:right w:val="none" w:sz="0" w:space="0" w:color="auto"/>
      </w:divBdr>
    </w:div>
    <w:div w:id="1913735168">
      <w:bodyDiv w:val="1"/>
      <w:marLeft w:val="0"/>
      <w:marRight w:val="0"/>
      <w:marTop w:val="0"/>
      <w:marBottom w:val="0"/>
      <w:divBdr>
        <w:top w:val="none" w:sz="0" w:space="0" w:color="auto"/>
        <w:left w:val="none" w:sz="0" w:space="0" w:color="auto"/>
        <w:bottom w:val="none" w:sz="0" w:space="0" w:color="auto"/>
        <w:right w:val="none" w:sz="0" w:space="0" w:color="auto"/>
      </w:divBdr>
    </w:div>
    <w:div w:id="1913814946">
      <w:bodyDiv w:val="1"/>
      <w:marLeft w:val="0"/>
      <w:marRight w:val="0"/>
      <w:marTop w:val="0"/>
      <w:marBottom w:val="0"/>
      <w:divBdr>
        <w:top w:val="none" w:sz="0" w:space="0" w:color="auto"/>
        <w:left w:val="none" w:sz="0" w:space="0" w:color="auto"/>
        <w:bottom w:val="none" w:sz="0" w:space="0" w:color="auto"/>
        <w:right w:val="none" w:sz="0" w:space="0" w:color="auto"/>
      </w:divBdr>
    </w:div>
    <w:div w:id="1914123180">
      <w:bodyDiv w:val="1"/>
      <w:marLeft w:val="0"/>
      <w:marRight w:val="0"/>
      <w:marTop w:val="0"/>
      <w:marBottom w:val="0"/>
      <w:divBdr>
        <w:top w:val="none" w:sz="0" w:space="0" w:color="auto"/>
        <w:left w:val="none" w:sz="0" w:space="0" w:color="auto"/>
        <w:bottom w:val="none" w:sz="0" w:space="0" w:color="auto"/>
        <w:right w:val="none" w:sz="0" w:space="0" w:color="auto"/>
      </w:divBdr>
    </w:div>
    <w:div w:id="1914196448">
      <w:bodyDiv w:val="1"/>
      <w:marLeft w:val="0"/>
      <w:marRight w:val="0"/>
      <w:marTop w:val="0"/>
      <w:marBottom w:val="0"/>
      <w:divBdr>
        <w:top w:val="none" w:sz="0" w:space="0" w:color="auto"/>
        <w:left w:val="none" w:sz="0" w:space="0" w:color="auto"/>
        <w:bottom w:val="none" w:sz="0" w:space="0" w:color="auto"/>
        <w:right w:val="none" w:sz="0" w:space="0" w:color="auto"/>
      </w:divBdr>
      <w:divsChild>
        <w:div w:id="1699161704">
          <w:marLeft w:val="0"/>
          <w:marRight w:val="0"/>
          <w:marTop w:val="0"/>
          <w:marBottom w:val="0"/>
          <w:divBdr>
            <w:top w:val="none" w:sz="0" w:space="0" w:color="auto"/>
            <w:left w:val="none" w:sz="0" w:space="0" w:color="auto"/>
            <w:bottom w:val="none" w:sz="0" w:space="0" w:color="auto"/>
            <w:right w:val="none" w:sz="0" w:space="0" w:color="auto"/>
          </w:divBdr>
        </w:div>
      </w:divsChild>
    </w:div>
    <w:div w:id="1914314596">
      <w:bodyDiv w:val="1"/>
      <w:marLeft w:val="0"/>
      <w:marRight w:val="0"/>
      <w:marTop w:val="0"/>
      <w:marBottom w:val="0"/>
      <w:divBdr>
        <w:top w:val="none" w:sz="0" w:space="0" w:color="auto"/>
        <w:left w:val="none" w:sz="0" w:space="0" w:color="auto"/>
        <w:bottom w:val="none" w:sz="0" w:space="0" w:color="auto"/>
        <w:right w:val="none" w:sz="0" w:space="0" w:color="auto"/>
      </w:divBdr>
    </w:div>
    <w:div w:id="1915163139">
      <w:bodyDiv w:val="1"/>
      <w:marLeft w:val="0"/>
      <w:marRight w:val="0"/>
      <w:marTop w:val="0"/>
      <w:marBottom w:val="0"/>
      <w:divBdr>
        <w:top w:val="none" w:sz="0" w:space="0" w:color="auto"/>
        <w:left w:val="none" w:sz="0" w:space="0" w:color="auto"/>
        <w:bottom w:val="none" w:sz="0" w:space="0" w:color="auto"/>
        <w:right w:val="none" w:sz="0" w:space="0" w:color="auto"/>
      </w:divBdr>
    </w:div>
    <w:div w:id="1915504999">
      <w:bodyDiv w:val="1"/>
      <w:marLeft w:val="0"/>
      <w:marRight w:val="0"/>
      <w:marTop w:val="0"/>
      <w:marBottom w:val="0"/>
      <w:divBdr>
        <w:top w:val="none" w:sz="0" w:space="0" w:color="auto"/>
        <w:left w:val="none" w:sz="0" w:space="0" w:color="auto"/>
        <w:bottom w:val="none" w:sz="0" w:space="0" w:color="auto"/>
        <w:right w:val="none" w:sz="0" w:space="0" w:color="auto"/>
      </w:divBdr>
    </w:div>
    <w:div w:id="1915772394">
      <w:bodyDiv w:val="1"/>
      <w:marLeft w:val="0"/>
      <w:marRight w:val="0"/>
      <w:marTop w:val="0"/>
      <w:marBottom w:val="0"/>
      <w:divBdr>
        <w:top w:val="none" w:sz="0" w:space="0" w:color="auto"/>
        <w:left w:val="none" w:sz="0" w:space="0" w:color="auto"/>
        <w:bottom w:val="none" w:sz="0" w:space="0" w:color="auto"/>
        <w:right w:val="none" w:sz="0" w:space="0" w:color="auto"/>
      </w:divBdr>
    </w:div>
    <w:div w:id="1916091788">
      <w:bodyDiv w:val="1"/>
      <w:marLeft w:val="0"/>
      <w:marRight w:val="0"/>
      <w:marTop w:val="0"/>
      <w:marBottom w:val="0"/>
      <w:divBdr>
        <w:top w:val="none" w:sz="0" w:space="0" w:color="auto"/>
        <w:left w:val="none" w:sz="0" w:space="0" w:color="auto"/>
        <w:bottom w:val="none" w:sz="0" w:space="0" w:color="auto"/>
        <w:right w:val="none" w:sz="0" w:space="0" w:color="auto"/>
      </w:divBdr>
    </w:div>
    <w:div w:id="1916428100">
      <w:bodyDiv w:val="1"/>
      <w:marLeft w:val="0"/>
      <w:marRight w:val="0"/>
      <w:marTop w:val="0"/>
      <w:marBottom w:val="0"/>
      <w:divBdr>
        <w:top w:val="none" w:sz="0" w:space="0" w:color="auto"/>
        <w:left w:val="none" w:sz="0" w:space="0" w:color="auto"/>
        <w:bottom w:val="none" w:sz="0" w:space="0" w:color="auto"/>
        <w:right w:val="none" w:sz="0" w:space="0" w:color="auto"/>
      </w:divBdr>
    </w:div>
    <w:div w:id="1916473422">
      <w:bodyDiv w:val="1"/>
      <w:marLeft w:val="0"/>
      <w:marRight w:val="0"/>
      <w:marTop w:val="0"/>
      <w:marBottom w:val="0"/>
      <w:divBdr>
        <w:top w:val="none" w:sz="0" w:space="0" w:color="auto"/>
        <w:left w:val="none" w:sz="0" w:space="0" w:color="auto"/>
        <w:bottom w:val="none" w:sz="0" w:space="0" w:color="auto"/>
        <w:right w:val="none" w:sz="0" w:space="0" w:color="auto"/>
      </w:divBdr>
    </w:div>
    <w:div w:id="1916740156">
      <w:bodyDiv w:val="1"/>
      <w:marLeft w:val="0"/>
      <w:marRight w:val="0"/>
      <w:marTop w:val="0"/>
      <w:marBottom w:val="0"/>
      <w:divBdr>
        <w:top w:val="none" w:sz="0" w:space="0" w:color="auto"/>
        <w:left w:val="none" w:sz="0" w:space="0" w:color="auto"/>
        <w:bottom w:val="none" w:sz="0" w:space="0" w:color="auto"/>
        <w:right w:val="none" w:sz="0" w:space="0" w:color="auto"/>
      </w:divBdr>
    </w:div>
    <w:div w:id="1916742320">
      <w:bodyDiv w:val="1"/>
      <w:marLeft w:val="0"/>
      <w:marRight w:val="0"/>
      <w:marTop w:val="0"/>
      <w:marBottom w:val="0"/>
      <w:divBdr>
        <w:top w:val="none" w:sz="0" w:space="0" w:color="auto"/>
        <w:left w:val="none" w:sz="0" w:space="0" w:color="auto"/>
        <w:bottom w:val="none" w:sz="0" w:space="0" w:color="auto"/>
        <w:right w:val="none" w:sz="0" w:space="0" w:color="auto"/>
      </w:divBdr>
    </w:div>
    <w:div w:id="1918245907">
      <w:bodyDiv w:val="1"/>
      <w:marLeft w:val="0"/>
      <w:marRight w:val="0"/>
      <w:marTop w:val="0"/>
      <w:marBottom w:val="0"/>
      <w:divBdr>
        <w:top w:val="none" w:sz="0" w:space="0" w:color="auto"/>
        <w:left w:val="none" w:sz="0" w:space="0" w:color="auto"/>
        <w:bottom w:val="none" w:sz="0" w:space="0" w:color="auto"/>
        <w:right w:val="none" w:sz="0" w:space="0" w:color="auto"/>
      </w:divBdr>
    </w:div>
    <w:div w:id="1918436263">
      <w:bodyDiv w:val="1"/>
      <w:marLeft w:val="0"/>
      <w:marRight w:val="0"/>
      <w:marTop w:val="0"/>
      <w:marBottom w:val="0"/>
      <w:divBdr>
        <w:top w:val="none" w:sz="0" w:space="0" w:color="auto"/>
        <w:left w:val="none" w:sz="0" w:space="0" w:color="auto"/>
        <w:bottom w:val="none" w:sz="0" w:space="0" w:color="auto"/>
        <w:right w:val="none" w:sz="0" w:space="0" w:color="auto"/>
      </w:divBdr>
    </w:div>
    <w:div w:id="1918636570">
      <w:bodyDiv w:val="1"/>
      <w:marLeft w:val="0"/>
      <w:marRight w:val="0"/>
      <w:marTop w:val="0"/>
      <w:marBottom w:val="0"/>
      <w:divBdr>
        <w:top w:val="none" w:sz="0" w:space="0" w:color="auto"/>
        <w:left w:val="none" w:sz="0" w:space="0" w:color="auto"/>
        <w:bottom w:val="none" w:sz="0" w:space="0" w:color="auto"/>
        <w:right w:val="none" w:sz="0" w:space="0" w:color="auto"/>
      </w:divBdr>
    </w:div>
    <w:div w:id="1919167704">
      <w:bodyDiv w:val="1"/>
      <w:marLeft w:val="0"/>
      <w:marRight w:val="0"/>
      <w:marTop w:val="0"/>
      <w:marBottom w:val="0"/>
      <w:divBdr>
        <w:top w:val="none" w:sz="0" w:space="0" w:color="auto"/>
        <w:left w:val="none" w:sz="0" w:space="0" w:color="auto"/>
        <w:bottom w:val="none" w:sz="0" w:space="0" w:color="auto"/>
        <w:right w:val="none" w:sz="0" w:space="0" w:color="auto"/>
      </w:divBdr>
    </w:div>
    <w:div w:id="1919824247">
      <w:bodyDiv w:val="1"/>
      <w:marLeft w:val="0"/>
      <w:marRight w:val="0"/>
      <w:marTop w:val="0"/>
      <w:marBottom w:val="0"/>
      <w:divBdr>
        <w:top w:val="none" w:sz="0" w:space="0" w:color="auto"/>
        <w:left w:val="none" w:sz="0" w:space="0" w:color="auto"/>
        <w:bottom w:val="none" w:sz="0" w:space="0" w:color="auto"/>
        <w:right w:val="none" w:sz="0" w:space="0" w:color="auto"/>
      </w:divBdr>
    </w:div>
    <w:div w:id="1920212445">
      <w:bodyDiv w:val="1"/>
      <w:marLeft w:val="0"/>
      <w:marRight w:val="0"/>
      <w:marTop w:val="0"/>
      <w:marBottom w:val="0"/>
      <w:divBdr>
        <w:top w:val="none" w:sz="0" w:space="0" w:color="auto"/>
        <w:left w:val="none" w:sz="0" w:space="0" w:color="auto"/>
        <w:bottom w:val="none" w:sz="0" w:space="0" w:color="auto"/>
        <w:right w:val="none" w:sz="0" w:space="0" w:color="auto"/>
      </w:divBdr>
    </w:div>
    <w:div w:id="1920824815">
      <w:bodyDiv w:val="1"/>
      <w:marLeft w:val="0"/>
      <w:marRight w:val="0"/>
      <w:marTop w:val="0"/>
      <w:marBottom w:val="0"/>
      <w:divBdr>
        <w:top w:val="none" w:sz="0" w:space="0" w:color="auto"/>
        <w:left w:val="none" w:sz="0" w:space="0" w:color="auto"/>
        <w:bottom w:val="none" w:sz="0" w:space="0" w:color="auto"/>
        <w:right w:val="none" w:sz="0" w:space="0" w:color="auto"/>
      </w:divBdr>
    </w:div>
    <w:div w:id="1920943947">
      <w:bodyDiv w:val="1"/>
      <w:marLeft w:val="0"/>
      <w:marRight w:val="0"/>
      <w:marTop w:val="0"/>
      <w:marBottom w:val="0"/>
      <w:divBdr>
        <w:top w:val="none" w:sz="0" w:space="0" w:color="auto"/>
        <w:left w:val="none" w:sz="0" w:space="0" w:color="auto"/>
        <w:bottom w:val="none" w:sz="0" w:space="0" w:color="auto"/>
        <w:right w:val="none" w:sz="0" w:space="0" w:color="auto"/>
      </w:divBdr>
    </w:div>
    <w:div w:id="1920947525">
      <w:bodyDiv w:val="1"/>
      <w:marLeft w:val="0"/>
      <w:marRight w:val="0"/>
      <w:marTop w:val="0"/>
      <w:marBottom w:val="0"/>
      <w:divBdr>
        <w:top w:val="none" w:sz="0" w:space="0" w:color="auto"/>
        <w:left w:val="none" w:sz="0" w:space="0" w:color="auto"/>
        <w:bottom w:val="none" w:sz="0" w:space="0" w:color="auto"/>
        <w:right w:val="none" w:sz="0" w:space="0" w:color="auto"/>
      </w:divBdr>
    </w:div>
    <w:div w:id="1921061764">
      <w:bodyDiv w:val="1"/>
      <w:marLeft w:val="0"/>
      <w:marRight w:val="0"/>
      <w:marTop w:val="0"/>
      <w:marBottom w:val="0"/>
      <w:divBdr>
        <w:top w:val="none" w:sz="0" w:space="0" w:color="auto"/>
        <w:left w:val="none" w:sz="0" w:space="0" w:color="auto"/>
        <w:bottom w:val="none" w:sz="0" w:space="0" w:color="auto"/>
        <w:right w:val="none" w:sz="0" w:space="0" w:color="auto"/>
      </w:divBdr>
    </w:div>
    <w:div w:id="1921131779">
      <w:bodyDiv w:val="1"/>
      <w:marLeft w:val="0"/>
      <w:marRight w:val="0"/>
      <w:marTop w:val="0"/>
      <w:marBottom w:val="0"/>
      <w:divBdr>
        <w:top w:val="none" w:sz="0" w:space="0" w:color="auto"/>
        <w:left w:val="none" w:sz="0" w:space="0" w:color="auto"/>
        <w:bottom w:val="none" w:sz="0" w:space="0" w:color="auto"/>
        <w:right w:val="none" w:sz="0" w:space="0" w:color="auto"/>
      </w:divBdr>
    </w:div>
    <w:div w:id="1921408431">
      <w:bodyDiv w:val="1"/>
      <w:marLeft w:val="0"/>
      <w:marRight w:val="0"/>
      <w:marTop w:val="0"/>
      <w:marBottom w:val="0"/>
      <w:divBdr>
        <w:top w:val="none" w:sz="0" w:space="0" w:color="auto"/>
        <w:left w:val="none" w:sz="0" w:space="0" w:color="auto"/>
        <w:bottom w:val="none" w:sz="0" w:space="0" w:color="auto"/>
        <w:right w:val="none" w:sz="0" w:space="0" w:color="auto"/>
      </w:divBdr>
    </w:div>
    <w:div w:id="1921599892">
      <w:bodyDiv w:val="1"/>
      <w:marLeft w:val="0"/>
      <w:marRight w:val="0"/>
      <w:marTop w:val="0"/>
      <w:marBottom w:val="0"/>
      <w:divBdr>
        <w:top w:val="none" w:sz="0" w:space="0" w:color="auto"/>
        <w:left w:val="none" w:sz="0" w:space="0" w:color="auto"/>
        <w:bottom w:val="none" w:sz="0" w:space="0" w:color="auto"/>
        <w:right w:val="none" w:sz="0" w:space="0" w:color="auto"/>
      </w:divBdr>
    </w:div>
    <w:div w:id="1921865103">
      <w:bodyDiv w:val="1"/>
      <w:marLeft w:val="0"/>
      <w:marRight w:val="0"/>
      <w:marTop w:val="0"/>
      <w:marBottom w:val="0"/>
      <w:divBdr>
        <w:top w:val="none" w:sz="0" w:space="0" w:color="auto"/>
        <w:left w:val="none" w:sz="0" w:space="0" w:color="auto"/>
        <w:bottom w:val="none" w:sz="0" w:space="0" w:color="auto"/>
        <w:right w:val="none" w:sz="0" w:space="0" w:color="auto"/>
      </w:divBdr>
    </w:div>
    <w:div w:id="1922449406">
      <w:bodyDiv w:val="1"/>
      <w:marLeft w:val="0"/>
      <w:marRight w:val="0"/>
      <w:marTop w:val="0"/>
      <w:marBottom w:val="0"/>
      <w:divBdr>
        <w:top w:val="none" w:sz="0" w:space="0" w:color="auto"/>
        <w:left w:val="none" w:sz="0" w:space="0" w:color="auto"/>
        <w:bottom w:val="none" w:sz="0" w:space="0" w:color="auto"/>
        <w:right w:val="none" w:sz="0" w:space="0" w:color="auto"/>
      </w:divBdr>
    </w:div>
    <w:div w:id="1922788866">
      <w:bodyDiv w:val="1"/>
      <w:marLeft w:val="0"/>
      <w:marRight w:val="0"/>
      <w:marTop w:val="0"/>
      <w:marBottom w:val="0"/>
      <w:divBdr>
        <w:top w:val="none" w:sz="0" w:space="0" w:color="auto"/>
        <w:left w:val="none" w:sz="0" w:space="0" w:color="auto"/>
        <w:bottom w:val="none" w:sz="0" w:space="0" w:color="auto"/>
        <w:right w:val="none" w:sz="0" w:space="0" w:color="auto"/>
      </w:divBdr>
    </w:div>
    <w:div w:id="1923447784">
      <w:bodyDiv w:val="1"/>
      <w:marLeft w:val="0"/>
      <w:marRight w:val="0"/>
      <w:marTop w:val="0"/>
      <w:marBottom w:val="0"/>
      <w:divBdr>
        <w:top w:val="none" w:sz="0" w:space="0" w:color="auto"/>
        <w:left w:val="none" w:sz="0" w:space="0" w:color="auto"/>
        <w:bottom w:val="none" w:sz="0" w:space="0" w:color="auto"/>
        <w:right w:val="none" w:sz="0" w:space="0" w:color="auto"/>
      </w:divBdr>
    </w:div>
    <w:div w:id="1923484805">
      <w:bodyDiv w:val="1"/>
      <w:marLeft w:val="0"/>
      <w:marRight w:val="0"/>
      <w:marTop w:val="0"/>
      <w:marBottom w:val="0"/>
      <w:divBdr>
        <w:top w:val="none" w:sz="0" w:space="0" w:color="auto"/>
        <w:left w:val="none" w:sz="0" w:space="0" w:color="auto"/>
        <w:bottom w:val="none" w:sz="0" w:space="0" w:color="auto"/>
        <w:right w:val="none" w:sz="0" w:space="0" w:color="auto"/>
      </w:divBdr>
    </w:div>
    <w:div w:id="1923753244">
      <w:bodyDiv w:val="1"/>
      <w:marLeft w:val="0"/>
      <w:marRight w:val="0"/>
      <w:marTop w:val="0"/>
      <w:marBottom w:val="0"/>
      <w:divBdr>
        <w:top w:val="none" w:sz="0" w:space="0" w:color="auto"/>
        <w:left w:val="none" w:sz="0" w:space="0" w:color="auto"/>
        <w:bottom w:val="none" w:sz="0" w:space="0" w:color="auto"/>
        <w:right w:val="none" w:sz="0" w:space="0" w:color="auto"/>
      </w:divBdr>
    </w:div>
    <w:div w:id="1924219258">
      <w:bodyDiv w:val="1"/>
      <w:marLeft w:val="0"/>
      <w:marRight w:val="0"/>
      <w:marTop w:val="0"/>
      <w:marBottom w:val="0"/>
      <w:divBdr>
        <w:top w:val="none" w:sz="0" w:space="0" w:color="auto"/>
        <w:left w:val="none" w:sz="0" w:space="0" w:color="auto"/>
        <w:bottom w:val="none" w:sz="0" w:space="0" w:color="auto"/>
        <w:right w:val="none" w:sz="0" w:space="0" w:color="auto"/>
      </w:divBdr>
    </w:div>
    <w:div w:id="1924678073">
      <w:bodyDiv w:val="1"/>
      <w:marLeft w:val="0"/>
      <w:marRight w:val="0"/>
      <w:marTop w:val="0"/>
      <w:marBottom w:val="0"/>
      <w:divBdr>
        <w:top w:val="none" w:sz="0" w:space="0" w:color="auto"/>
        <w:left w:val="none" w:sz="0" w:space="0" w:color="auto"/>
        <w:bottom w:val="none" w:sz="0" w:space="0" w:color="auto"/>
        <w:right w:val="none" w:sz="0" w:space="0" w:color="auto"/>
      </w:divBdr>
    </w:div>
    <w:div w:id="1925188924">
      <w:bodyDiv w:val="1"/>
      <w:marLeft w:val="0"/>
      <w:marRight w:val="0"/>
      <w:marTop w:val="0"/>
      <w:marBottom w:val="0"/>
      <w:divBdr>
        <w:top w:val="none" w:sz="0" w:space="0" w:color="auto"/>
        <w:left w:val="none" w:sz="0" w:space="0" w:color="auto"/>
        <w:bottom w:val="none" w:sz="0" w:space="0" w:color="auto"/>
        <w:right w:val="none" w:sz="0" w:space="0" w:color="auto"/>
      </w:divBdr>
    </w:div>
    <w:div w:id="1925262914">
      <w:bodyDiv w:val="1"/>
      <w:marLeft w:val="0"/>
      <w:marRight w:val="0"/>
      <w:marTop w:val="0"/>
      <w:marBottom w:val="0"/>
      <w:divBdr>
        <w:top w:val="none" w:sz="0" w:space="0" w:color="auto"/>
        <w:left w:val="none" w:sz="0" w:space="0" w:color="auto"/>
        <w:bottom w:val="none" w:sz="0" w:space="0" w:color="auto"/>
        <w:right w:val="none" w:sz="0" w:space="0" w:color="auto"/>
      </w:divBdr>
    </w:div>
    <w:div w:id="1925602612">
      <w:bodyDiv w:val="1"/>
      <w:marLeft w:val="0"/>
      <w:marRight w:val="0"/>
      <w:marTop w:val="0"/>
      <w:marBottom w:val="0"/>
      <w:divBdr>
        <w:top w:val="none" w:sz="0" w:space="0" w:color="auto"/>
        <w:left w:val="none" w:sz="0" w:space="0" w:color="auto"/>
        <w:bottom w:val="none" w:sz="0" w:space="0" w:color="auto"/>
        <w:right w:val="none" w:sz="0" w:space="0" w:color="auto"/>
      </w:divBdr>
    </w:div>
    <w:div w:id="1925609206">
      <w:bodyDiv w:val="1"/>
      <w:marLeft w:val="0"/>
      <w:marRight w:val="0"/>
      <w:marTop w:val="0"/>
      <w:marBottom w:val="0"/>
      <w:divBdr>
        <w:top w:val="none" w:sz="0" w:space="0" w:color="auto"/>
        <w:left w:val="none" w:sz="0" w:space="0" w:color="auto"/>
        <w:bottom w:val="none" w:sz="0" w:space="0" w:color="auto"/>
        <w:right w:val="none" w:sz="0" w:space="0" w:color="auto"/>
      </w:divBdr>
    </w:div>
    <w:div w:id="1925609269">
      <w:bodyDiv w:val="1"/>
      <w:marLeft w:val="0"/>
      <w:marRight w:val="0"/>
      <w:marTop w:val="0"/>
      <w:marBottom w:val="0"/>
      <w:divBdr>
        <w:top w:val="none" w:sz="0" w:space="0" w:color="auto"/>
        <w:left w:val="none" w:sz="0" w:space="0" w:color="auto"/>
        <w:bottom w:val="none" w:sz="0" w:space="0" w:color="auto"/>
        <w:right w:val="none" w:sz="0" w:space="0" w:color="auto"/>
      </w:divBdr>
    </w:div>
    <w:div w:id="1925842482">
      <w:bodyDiv w:val="1"/>
      <w:marLeft w:val="0"/>
      <w:marRight w:val="0"/>
      <w:marTop w:val="0"/>
      <w:marBottom w:val="0"/>
      <w:divBdr>
        <w:top w:val="none" w:sz="0" w:space="0" w:color="auto"/>
        <w:left w:val="none" w:sz="0" w:space="0" w:color="auto"/>
        <w:bottom w:val="none" w:sz="0" w:space="0" w:color="auto"/>
        <w:right w:val="none" w:sz="0" w:space="0" w:color="auto"/>
      </w:divBdr>
    </w:div>
    <w:div w:id="1925871481">
      <w:bodyDiv w:val="1"/>
      <w:marLeft w:val="0"/>
      <w:marRight w:val="0"/>
      <w:marTop w:val="0"/>
      <w:marBottom w:val="0"/>
      <w:divBdr>
        <w:top w:val="none" w:sz="0" w:space="0" w:color="auto"/>
        <w:left w:val="none" w:sz="0" w:space="0" w:color="auto"/>
        <w:bottom w:val="none" w:sz="0" w:space="0" w:color="auto"/>
        <w:right w:val="none" w:sz="0" w:space="0" w:color="auto"/>
      </w:divBdr>
    </w:div>
    <w:div w:id="1927036907">
      <w:bodyDiv w:val="1"/>
      <w:marLeft w:val="0"/>
      <w:marRight w:val="0"/>
      <w:marTop w:val="0"/>
      <w:marBottom w:val="0"/>
      <w:divBdr>
        <w:top w:val="none" w:sz="0" w:space="0" w:color="auto"/>
        <w:left w:val="none" w:sz="0" w:space="0" w:color="auto"/>
        <w:bottom w:val="none" w:sz="0" w:space="0" w:color="auto"/>
        <w:right w:val="none" w:sz="0" w:space="0" w:color="auto"/>
      </w:divBdr>
    </w:div>
    <w:div w:id="1927037267">
      <w:bodyDiv w:val="1"/>
      <w:marLeft w:val="0"/>
      <w:marRight w:val="0"/>
      <w:marTop w:val="0"/>
      <w:marBottom w:val="0"/>
      <w:divBdr>
        <w:top w:val="none" w:sz="0" w:space="0" w:color="auto"/>
        <w:left w:val="none" w:sz="0" w:space="0" w:color="auto"/>
        <w:bottom w:val="none" w:sz="0" w:space="0" w:color="auto"/>
        <w:right w:val="none" w:sz="0" w:space="0" w:color="auto"/>
      </w:divBdr>
    </w:div>
    <w:div w:id="1927154449">
      <w:bodyDiv w:val="1"/>
      <w:marLeft w:val="0"/>
      <w:marRight w:val="0"/>
      <w:marTop w:val="0"/>
      <w:marBottom w:val="0"/>
      <w:divBdr>
        <w:top w:val="none" w:sz="0" w:space="0" w:color="auto"/>
        <w:left w:val="none" w:sz="0" w:space="0" w:color="auto"/>
        <w:bottom w:val="none" w:sz="0" w:space="0" w:color="auto"/>
        <w:right w:val="none" w:sz="0" w:space="0" w:color="auto"/>
      </w:divBdr>
    </w:div>
    <w:div w:id="1927303957">
      <w:bodyDiv w:val="1"/>
      <w:marLeft w:val="0"/>
      <w:marRight w:val="0"/>
      <w:marTop w:val="0"/>
      <w:marBottom w:val="0"/>
      <w:divBdr>
        <w:top w:val="none" w:sz="0" w:space="0" w:color="auto"/>
        <w:left w:val="none" w:sz="0" w:space="0" w:color="auto"/>
        <w:bottom w:val="none" w:sz="0" w:space="0" w:color="auto"/>
        <w:right w:val="none" w:sz="0" w:space="0" w:color="auto"/>
      </w:divBdr>
    </w:div>
    <w:div w:id="1927416913">
      <w:bodyDiv w:val="1"/>
      <w:marLeft w:val="0"/>
      <w:marRight w:val="0"/>
      <w:marTop w:val="0"/>
      <w:marBottom w:val="0"/>
      <w:divBdr>
        <w:top w:val="none" w:sz="0" w:space="0" w:color="auto"/>
        <w:left w:val="none" w:sz="0" w:space="0" w:color="auto"/>
        <w:bottom w:val="none" w:sz="0" w:space="0" w:color="auto"/>
        <w:right w:val="none" w:sz="0" w:space="0" w:color="auto"/>
      </w:divBdr>
    </w:div>
    <w:div w:id="1927417200">
      <w:bodyDiv w:val="1"/>
      <w:marLeft w:val="0"/>
      <w:marRight w:val="0"/>
      <w:marTop w:val="0"/>
      <w:marBottom w:val="0"/>
      <w:divBdr>
        <w:top w:val="none" w:sz="0" w:space="0" w:color="auto"/>
        <w:left w:val="none" w:sz="0" w:space="0" w:color="auto"/>
        <w:bottom w:val="none" w:sz="0" w:space="0" w:color="auto"/>
        <w:right w:val="none" w:sz="0" w:space="0" w:color="auto"/>
      </w:divBdr>
    </w:div>
    <w:div w:id="1927493485">
      <w:bodyDiv w:val="1"/>
      <w:marLeft w:val="0"/>
      <w:marRight w:val="0"/>
      <w:marTop w:val="0"/>
      <w:marBottom w:val="0"/>
      <w:divBdr>
        <w:top w:val="none" w:sz="0" w:space="0" w:color="auto"/>
        <w:left w:val="none" w:sz="0" w:space="0" w:color="auto"/>
        <w:bottom w:val="none" w:sz="0" w:space="0" w:color="auto"/>
        <w:right w:val="none" w:sz="0" w:space="0" w:color="auto"/>
      </w:divBdr>
    </w:div>
    <w:div w:id="1927878524">
      <w:bodyDiv w:val="1"/>
      <w:marLeft w:val="0"/>
      <w:marRight w:val="0"/>
      <w:marTop w:val="0"/>
      <w:marBottom w:val="0"/>
      <w:divBdr>
        <w:top w:val="none" w:sz="0" w:space="0" w:color="auto"/>
        <w:left w:val="none" w:sz="0" w:space="0" w:color="auto"/>
        <w:bottom w:val="none" w:sz="0" w:space="0" w:color="auto"/>
        <w:right w:val="none" w:sz="0" w:space="0" w:color="auto"/>
      </w:divBdr>
    </w:div>
    <w:div w:id="1928034228">
      <w:bodyDiv w:val="1"/>
      <w:marLeft w:val="0"/>
      <w:marRight w:val="0"/>
      <w:marTop w:val="0"/>
      <w:marBottom w:val="0"/>
      <w:divBdr>
        <w:top w:val="none" w:sz="0" w:space="0" w:color="auto"/>
        <w:left w:val="none" w:sz="0" w:space="0" w:color="auto"/>
        <w:bottom w:val="none" w:sz="0" w:space="0" w:color="auto"/>
        <w:right w:val="none" w:sz="0" w:space="0" w:color="auto"/>
      </w:divBdr>
    </w:div>
    <w:div w:id="1928271157">
      <w:bodyDiv w:val="1"/>
      <w:marLeft w:val="0"/>
      <w:marRight w:val="0"/>
      <w:marTop w:val="0"/>
      <w:marBottom w:val="0"/>
      <w:divBdr>
        <w:top w:val="none" w:sz="0" w:space="0" w:color="auto"/>
        <w:left w:val="none" w:sz="0" w:space="0" w:color="auto"/>
        <w:bottom w:val="none" w:sz="0" w:space="0" w:color="auto"/>
        <w:right w:val="none" w:sz="0" w:space="0" w:color="auto"/>
      </w:divBdr>
    </w:div>
    <w:div w:id="1928802642">
      <w:bodyDiv w:val="1"/>
      <w:marLeft w:val="0"/>
      <w:marRight w:val="0"/>
      <w:marTop w:val="0"/>
      <w:marBottom w:val="0"/>
      <w:divBdr>
        <w:top w:val="none" w:sz="0" w:space="0" w:color="auto"/>
        <w:left w:val="none" w:sz="0" w:space="0" w:color="auto"/>
        <w:bottom w:val="none" w:sz="0" w:space="0" w:color="auto"/>
        <w:right w:val="none" w:sz="0" w:space="0" w:color="auto"/>
      </w:divBdr>
    </w:div>
    <w:div w:id="1928881719">
      <w:bodyDiv w:val="1"/>
      <w:marLeft w:val="0"/>
      <w:marRight w:val="0"/>
      <w:marTop w:val="0"/>
      <w:marBottom w:val="0"/>
      <w:divBdr>
        <w:top w:val="none" w:sz="0" w:space="0" w:color="auto"/>
        <w:left w:val="none" w:sz="0" w:space="0" w:color="auto"/>
        <w:bottom w:val="none" w:sz="0" w:space="0" w:color="auto"/>
        <w:right w:val="none" w:sz="0" w:space="0" w:color="auto"/>
      </w:divBdr>
    </w:div>
    <w:div w:id="1928884166">
      <w:bodyDiv w:val="1"/>
      <w:marLeft w:val="0"/>
      <w:marRight w:val="0"/>
      <w:marTop w:val="0"/>
      <w:marBottom w:val="0"/>
      <w:divBdr>
        <w:top w:val="none" w:sz="0" w:space="0" w:color="auto"/>
        <w:left w:val="none" w:sz="0" w:space="0" w:color="auto"/>
        <w:bottom w:val="none" w:sz="0" w:space="0" w:color="auto"/>
        <w:right w:val="none" w:sz="0" w:space="0" w:color="auto"/>
      </w:divBdr>
    </w:div>
    <w:div w:id="1928927782">
      <w:bodyDiv w:val="1"/>
      <w:marLeft w:val="0"/>
      <w:marRight w:val="0"/>
      <w:marTop w:val="0"/>
      <w:marBottom w:val="0"/>
      <w:divBdr>
        <w:top w:val="none" w:sz="0" w:space="0" w:color="auto"/>
        <w:left w:val="none" w:sz="0" w:space="0" w:color="auto"/>
        <w:bottom w:val="none" w:sz="0" w:space="0" w:color="auto"/>
        <w:right w:val="none" w:sz="0" w:space="0" w:color="auto"/>
      </w:divBdr>
    </w:div>
    <w:div w:id="1929846640">
      <w:bodyDiv w:val="1"/>
      <w:marLeft w:val="0"/>
      <w:marRight w:val="0"/>
      <w:marTop w:val="0"/>
      <w:marBottom w:val="0"/>
      <w:divBdr>
        <w:top w:val="none" w:sz="0" w:space="0" w:color="auto"/>
        <w:left w:val="none" w:sz="0" w:space="0" w:color="auto"/>
        <w:bottom w:val="none" w:sz="0" w:space="0" w:color="auto"/>
        <w:right w:val="none" w:sz="0" w:space="0" w:color="auto"/>
      </w:divBdr>
    </w:div>
    <w:div w:id="1930969664">
      <w:bodyDiv w:val="1"/>
      <w:marLeft w:val="0"/>
      <w:marRight w:val="0"/>
      <w:marTop w:val="0"/>
      <w:marBottom w:val="0"/>
      <w:divBdr>
        <w:top w:val="none" w:sz="0" w:space="0" w:color="auto"/>
        <w:left w:val="none" w:sz="0" w:space="0" w:color="auto"/>
        <w:bottom w:val="none" w:sz="0" w:space="0" w:color="auto"/>
        <w:right w:val="none" w:sz="0" w:space="0" w:color="auto"/>
      </w:divBdr>
    </w:div>
    <w:div w:id="1931280820">
      <w:bodyDiv w:val="1"/>
      <w:marLeft w:val="0"/>
      <w:marRight w:val="0"/>
      <w:marTop w:val="0"/>
      <w:marBottom w:val="0"/>
      <w:divBdr>
        <w:top w:val="none" w:sz="0" w:space="0" w:color="auto"/>
        <w:left w:val="none" w:sz="0" w:space="0" w:color="auto"/>
        <w:bottom w:val="none" w:sz="0" w:space="0" w:color="auto"/>
        <w:right w:val="none" w:sz="0" w:space="0" w:color="auto"/>
      </w:divBdr>
    </w:div>
    <w:div w:id="1931499213">
      <w:bodyDiv w:val="1"/>
      <w:marLeft w:val="0"/>
      <w:marRight w:val="0"/>
      <w:marTop w:val="0"/>
      <w:marBottom w:val="0"/>
      <w:divBdr>
        <w:top w:val="none" w:sz="0" w:space="0" w:color="auto"/>
        <w:left w:val="none" w:sz="0" w:space="0" w:color="auto"/>
        <w:bottom w:val="none" w:sz="0" w:space="0" w:color="auto"/>
        <w:right w:val="none" w:sz="0" w:space="0" w:color="auto"/>
      </w:divBdr>
    </w:div>
    <w:div w:id="1931814503">
      <w:bodyDiv w:val="1"/>
      <w:marLeft w:val="0"/>
      <w:marRight w:val="0"/>
      <w:marTop w:val="0"/>
      <w:marBottom w:val="0"/>
      <w:divBdr>
        <w:top w:val="none" w:sz="0" w:space="0" w:color="auto"/>
        <w:left w:val="none" w:sz="0" w:space="0" w:color="auto"/>
        <w:bottom w:val="none" w:sz="0" w:space="0" w:color="auto"/>
        <w:right w:val="none" w:sz="0" w:space="0" w:color="auto"/>
      </w:divBdr>
    </w:div>
    <w:div w:id="1932161456">
      <w:bodyDiv w:val="1"/>
      <w:marLeft w:val="0"/>
      <w:marRight w:val="0"/>
      <w:marTop w:val="0"/>
      <w:marBottom w:val="0"/>
      <w:divBdr>
        <w:top w:val="none" w:sz="0" w:space="0" w:color="auto"/>
        <w:left w:val="none" w:sz="0" w:space="0" w:color="auto"/>
        <w:bottom w:val="none" w:sz="0" w:space="0" w:color="auto"/>
        <w:right w:val="none" w:sz="0" w:space="0" w:color="auto"/>
      </w:divBdr>
    </w:div>
    <w:div w:id="1932200739">
      <w:bodyDiv w:val="1"/>
      <w:marLeft w:val="0"/>
      <w:marRight w:val="0"/>
      <w:marTop w:val="0"/>
      <w:marBottom w:val="0"/>
      <w:divBdr>
        <w:top w:val="none" w:sz="0" w:space="0" w:color="auto"/>
        <w:left w:val="none" w:sz="0" w:space="0" w:color="auto"/>
        <w:bottom w:val="none" w:sz="0" w:space="0" w:color="auto"/>
        <w:right w:val="none" w:sz="0" w:space="0" w:color="auto"/>
      </w:divBdr>
    </w:div>
    <w:div w:id="1932616348">
      <w:bodyDiv w:val="1"/>
      <w:marLeft w:val="0"/>
      <w:marRight w:val="0"/>
      <w:marTop w:val="0"/>
      <w:marBottom w:val="0"/>
      <w:divBdr>
        <w:top w:val="none" w:sz="0" w:space="0" w:color="auto"/>
        <w:left w:val="none" w:sz="0" w:space="0" w:color="auto"/>
        <w:bottom w:val="none" w:sz="0" w:space="0" w:color="auto"/>
        <w:right w:val="none" w:sz="0" w:space="0" w:color="auto"/>
      </w:divBdr>
    </w:div>
    <w:div w:id="1932857897">
      <w:bodyDiv w:val="1"/>
      <w:marLeft w:val="0"/>
      <w:marRight w:val="0"/>
      <w:marTop w:val="0"/>
      <w:marBottom w:val="0"/>
      <w:divBdr>
        <w:top w:val="none" w:sz="0" w:space="0" w:color="auto"/>
        <w:left w:val="none" w:sz="0" w:space="0" w:color="auto"/>
        <w:bottom w:val="none" w:sz="0" w:space="0" w:color="auto"/>
        <w:right w:val="none" w:sz="0" w:space="0" w:color="auto"/>
      </w:divBdr>
    </w:div>
    <w:div w:id="1933851745">
      <w:bodyDiv w:val="1"/>
      <w:marLeft w:val="0"/>
      <w:marRight w:val="0"/>
      <w:marTop w:val="0"/>
      <w:marBottom w:val="0"/>
      <w:divBdr>
        <w:top w:val="none" w:sz="0" w:space="0" w:color="auto"/>
        <w:left w:val="none" w:sz="0" w:space="0" w:color="auto"/>
        <w:bottom w:val="none" w:sz="0" w:space="0" w:color="auto"/>
        <w:right w:val="none" w:sz="0" w:space="0" w:color="auto"/>
      </w:divBdr>
    </w:div>
    <w:div w:id="1934121502">
      <w:bodyDiv w:val="1"/>
      <w:marLeft w:val="0"/>
      <w:marRight w:val="0"/>
      <w:marTop w:val="0"/>
      <w:marBottom w:val="0"/>
      <w:divBdr>
        <w:top w:val="none" w:sz="0" w:space="0" w:color="auto"/>
        <w:left w:val="none" w:sz="0" w:space="0" w:color="auto"/>
        <w:bottom w:val="none" w:sz="0" w:space="0" w:color="auto"/>
        <w:right w:val="none" w:sz="0" w:space="0" w:color="auto"/>
      </w:divBdr>
    </w:div>
    <w:div w:id="1934698523">
      <w:bodyDiv w:val="1"/>
      <w:marLeft w:val="0"/>
      <w:marRight w:val="0"/>
      <w:marTop w:val="0"/>
      <w:marBottom w:val="0"/>
      <w:divBdr>
        <w:top w:val="none" w:sz="0" w:space="0" w:color="auto"/>
        <w:left w:val="none" w:sz="0" w:space="0" w:color="auto"/>
        <w:bottom w:val="none" w:sz="0" w:space="0" w:color="auto"/>
        <w:right w:val="none" w:sz="0" w:space="0" w:color="auto"/>
      </w:divBdr>
    </w:div>
    <w:div w:id="1935434174">
      <w:bodyDiv w:val="1"/>
      <w:marLeft w:val="0"/>
      <w:marRight w:val="0"/>
      <w:marTop w:val="0"/>
      <w:marBottom w:val="0"/>
      <w:divBdr>
        <w:top w:val="none" w:sz="0" w:space="0" w:color="auto"/>
        <w:left w:val="none" w:sz="0" w:space="0" w:color="auto"/>
        <w:bottom w:val="none" w:sz="0" w:space="0" w:color="auto"/>
        <w:right w:val="none" w:sz="0" w:space="0" w:color="auto"/>
      </w:divBdr>
    </w:div>
    <w:div w:id="1935703878">
      <w:bodyDiv w:val="1"/>
      <w:marLeft w:val="0"/>
      <w:marRight w:val="0"/>
      <w:marTop w:val="0"/>
      <w:marBottom w:val="0"/>
      <w:divBdr>
        <w:top w:val="none" w:sz="0" w:space="0" w:color="auto"/>
        <w:left w:val="none" w:sz="0" w:space="0" w:color="auto"/>
        <w:bottom w:val="none" w:sz="0" w:space="0" w:color="auto"/>
        <w:right w:val="none" w:sz="0" w:space="0" w:color="auto"/>
      </w:divBdr>
    </w:div>
    <w:div w:id="1935822924">
      <w:bodyDiv w:val="1"/>
      <w:marLeft w:val="0"/>
      <w:marRight w:val="0"/>
      <w:marTop w:val="0"/>
      <w:marBottom w:val="0"/>
      <w:divBdr>
        <w:top w:val="none" w:sz="0" w:space="0" w:color="auto"/>
        <w:left w:val="none" w:sz="0" w:space="0" w:color="auto"/>
        <w:bottom w:val="none" w:sz="0" w:space="0" w:color="auto"/>
        <w:right w:val="none" w:sz="0" w:space="0" w:color="auto"/>
      </w:divBdr>
    </w:div>
    <w:div w:id="1936136414">
      <w:bodyDiv w:val="1"/>
      <w:marLeft w:val="0"/>
      <w:marRight w:val="0"/>
      <w:marTop w:val="0"/>
      <w:marBottom w:val="0"/>
      <w:divBdr>
        <w:top w:val="none" w:sz="0" w:space="0" w:color="auto"/>
        <w:left w:val="none" w:sz="0" w:space="0" w:color="auto"/>
        <w:bottom w:val="none" w:sz="0" w:space="0" w:color="auto"/>
        <w:right w:val="none" w:sz="0" w:space="0" w:color="auto"/>
      </w:divBdr>
    </w:div>
    <w:div w:id="1937715770">
      <w:bodyDiv w:val="1"/>
      <w:marLeft w:val="0"/>
      <w:marRight w:val="0"/>
      <w:marTop w:val="0"/>
      <w:marBottom w:val="0"/>
      <w:divBdr>
        <w:top w:val="none" w:sz="0" w:space="0" w:color="auto"/>
        <w:left w:val="none" w:sz="0" w:space="0" w:color="auto"/>
        <w:bottom w:val="none" w:sz="0" w:space="0" w:color="auto"/>
        <w:right w:val="none" w:sz="0" w:space="0" w:color="auto"/>
      </w:divBdr>
    </w:div>
    <w:div w:id="1938174323">
      <w:bodyDiv w:val="1"/>
      <w:marLeft w:val="0"/>
      <w:marRight w:val="0"/>
      <w:marTop w:val="0"/>
      <w:marBottom w:val="0"/>
      <w:divBdr>
        <w:top w:val="none" w:sz="0" w:space="0" w:color="auto"/>
        <w:left w:val="none" w:sz="0" w:space="0" w:color="auto"/>
        <w:bottom w:val="none" w:sz="0" w:space="0" w:color="auto"/>
        <w:right w:val="none" w:sz="0" w:space="0" w:color="auto"/>
      </w:divBdr>
    </w:div>
    <w:div w:id="1938245673">
      <w:bodyDiv w:val="1"/>
      <w:marLeft w:val="0"/>
      <w:marRight w:val="0"/>
      <w:marTop w:val="0"/>
      <w:marBottom w:val="0"/>
      <w:divBdr>
        <w:top w:val="none" w:sz="0" w:space="0" w:color="auto"/>
        <w:left w:val="none" w:sz="0" w:space="0" w:color="auto"/>
        <w:bottom w:val="none" w:sz="0" w:space="0" w:color="auto"/>
        <w:right w:val="none" w:sz="0" w:space="0" w:color="auto"/>
      </w:divBdr>
    </w:div>
    <w:div w:id="1938246453">
      <w:bodyDiv w:val="1"/>
      <w:marLeft w:val="0"/>
      <w:marRight w:val="0"/>
      <w:marTop w:val="0"/>
      <w:marBottom w:val="0"/>
      <w:divBdr>
        <w:top w:val="none" w:sz="0" w:space="0" w:color="auto"/>
        <w:left w:val="none" w:sz="0" w:space="0" w:color="auto"/>
        <w:bottom w:val="none" w:sz="0" w:space="0" w:color="auto"/>
        <w:right w:val="none" w:sz="0" w:space="0" w:color="auto"/>
      </w:divBdr>
    </w:div>
    <w:div w:id="1938521438">
      <w:bodyDiv w:val="1"/>
      <w:marLeft w:val="0"/>
      <w:marRight w:val="0"/>
      <w:marTop w:val="0"/>
      <w:marBottom w:val="0"/>
      <w:divBdr>
        <w:top w:val="none" w:sz="0" w:space="0" w:color="auto"/>
        <w:left w:val="none" w:sz="0" w:space="0" w:color="auto"/>
        <w:bottom w:val="none" w:sz="0" w:space="0" w:color="auto"/>
        <w:right w:val="none" w:sz="0" w:space="0" w:color="auto"/>
      </w:divBdr>
    </w:div>
    <w:div w:id="1938752622">
      <w:bodyDiv w:val="1"/>
      <w:marLeft w:val="0"/>
      <w:marRight w:val="0"/>
      <w:marTop w:val="0"/>
      <w:marBottom w:val="0"/>
      <w:divBdr>
        <w:top w:val="none" w:sz="0" w:space="0" w:color="auto"/>
        <w:left w:val="none" w:sz="0" w:space="0" w:color="auto"/>
        <w:bottom w:val="none" w:sz="0" w:space="0" w:color="auto"/>
        <w:right w:val="none" w:sz="0" w:space="0" w:color="auto"/>
      </w:divBdr>
    </w:div>
    <w:div w:id="1939211521">
      <w:bodyDiv w:val="1"/>
      <w:marLeft w:val="0"/>
      <w:marRight w:val="0"/>
      <w:marTop w:val="0"/>
      <w:marBottom w:val="0"/>
      <w:divBdr>
        <w:top w:val="none" w:sz="0" w:space="0" w:color="auto"/>
        <w:left w:val="none" w:sz="0" w:space="0" w:color="auto"/>
        <w:bottom w:val="none" w:sz="0" w:space="0" w:color="auto"/>
        <w:right w:val="none" w:sz="0" w:space="0" w:color="auto"/>
      </w:divBdr>
    </w:div>
    <w:div w:id="1940093541">
      <w:bodyDiv w:val="1"/>
      <w:marLeft w:val="0"/>
      <w:marRight w:val="0"/>
      <w:marTop w:val="0"/>
      <w:marBottom w:val="0"/>
      <w:divBdr>
        <w:top w:val="none" w:sz="0" w:space="0" w:color="auto"/>
        <w:left w:val="none" w:sz="0" w:space="0" w:color="auto"/>
        <w:bottom w:val="none" w:sz="0" w:space="0" w:color="auto"/>
        <w:right w:val="none" w:sz="0" w:space="0" w:color="auto"/>
      </w:divBdr>
    </w:div>
    <w:div w:id="1940093649">
      <w:bodyDiv w:val="1"/>
      <w:marLeft w:val="0"/>
      <w:marRight w:val="0"/>
      <w:marTop w:val="0"/>
      <w:marBottom w:val="0"/>
      <w:divBdr>
        <w:top w:val="none" w:sz="0" w:space="0" w:color="auto"/>
        <w:left w:val="none" w:sz="0" w:space="0" w:color="auto"/>
        <w:bottom w:val="none" w:sz="0" w:space="0" w:color="auto"/>
        <w:right w:val="none" w:sz="0" w:space="0" w:color="auto"/>
      </w:divBdr>
    </w:div>
    <w:div w:id="1941252410">
      <w:bodyDiv w:val="1"/>
      <w:marLeft w:val="0"/>
      <w:marRight w:val="0"/>
      <w:marTop w:val="0"/>
      <w:marBottom w:val="0"/>
      <w:divBdr>
        <w:top w:val="none" w:sz="0" w:space="0" w:color="auto"/>
        <w:left w:val="none" w:sz="0" w:space="0" w:color="auto"/>
        <w:bottom w:val="none" w:sz="0" w:space="0" w:color="auto"/>
        <w:right w:val="none" w:sz="0" w:space="0" w:color="auto"/>
      </w:divBdr>
    </w:div>
    <w:div w:id="1941256453">
      <w:bodyDiv w:val="1"/>
      <w:marLeft w:val="0"/>
      <w:marRight w:val="0"/>
      <w:marTop w:val="0"/>
      <w:marBottom w:val="0"/>
      <w:divBdr>
        <w:top w:val="none" w:sz="0" w:space="0" w:color="auto"/>
        <w:left w:val="none" w:sz="0" w:space="0" w:color="auto"/>
        <w:bottom w:val="none" w:sz="0" w:space="0" w:color="auto"/>
        <w:right w:val="none" w:sz="0" w:space="0" w:color="auto"/>
      </w:divBdr>
    </w:div>
    <w:div w:id="1941642596">
      <w:bodyDiv w:val="1"/>
      <w:marLeft w:val="0"/>
      <w:marRight w:val="0"/>
      <w:marTop w:val="0"/>
      <w:marBottom w:val="0"/>
      <w:divBdr>
        <w:top w:val="none" w:sz="0" w:space="0" w:color="auto"/>
        <w:left w:val="none" w:sz="0" w:space="0" w:color="auto"/>
        <w:bottom w:val="none" w:sz="0" w:space="0" w:color="auto"/>
        <w:right w:val="none" w:sz="0" w:space="0" w:color="auto"/>
      </w:divBdr>
    </w:div>
    <w:div w:id="1942103009">
      <w:bodyDiv w:val="1"/>
      <w:marLeft w:val="0"/>
      <w:marRight w:val="0"/>
      <w:marTop w:val="0"/>
      <w:marBottom w:val="0"/>
      <w:divBdr>
        <w:top w:val="none" w:sz="0" w:space="0" w:color="auto"/>
        <w:left w:val="none" w:sz="0" w:space="0" w:color="auto"/>
        <w:bottom w:val="none" w:sz="0" w:space="0" w:color="auto"/>
        <w:right w:val="none" w:sz="0" w:space="0" w:color="auto"/>
      </w:divBdr>
    </w:div>
    <w:div w:id="1942955837">
      <w:bodyDiv w:val="1"/>
      <w:marLeft w:val="0"/>
      <w:marRight w:val="0"/>
      <w:marTop w:val="0"/>
      <w:marBottom w:val="0"/>
      <w:divBdr>
        <w:top w:val="none" w:sz="0" w:space="0" w:color="auto"/>
        <w:left w:val="none" w:sz="0" w:space="0" w:color="auto"/>
        <w:bottom w:val="none" w:sz="0" w:space="0" w:color="auto"/>
        <w:right w:val="none" w:sz="0" w:space="0" w:color="auto"/>
      </w:divBdr>
    </w:div>
    <w:div w:id="1943610419">
      <w:bodyDiv w:val="1"/>
      <w:marLeft w:val="0"/>
      <w:marRight w:val="0"/>
      <w:marTop w:val="0"/>
      <w:marBottom w:val="0"/>
      <w:divBdr>
        <w:top w:val="none" w:sz="0" w:space="0" w:color="auto"/>
        <w:left w:val="none" w:sz="0" w:space="0" w:color="auto"/>
        <w:bottom w:val="none" w:sz="0" w:space="0" w:color="auto"/>
        <w:right w:val="none" w:sz="0" w:space="0" w:color="auto"/>
      </w:divBdr>
    </w:div>
    <w:div w:id="1943949309">
      <w:bodyDiv w:val="1"/>
      <w:marLeft w:val="0"/>
      <w:marRight w:val="0"/>
      <w:marTop w:val="0"/>
      <w:marBottom w:val="0"/>
      <w:divBdr>
        <w:top w:val="none" w:sz="0" w:space="0" w:color="auto"/>
        <w:left w:val="none" w:sz="0" w:space="0" w:color="auto"/>
        <w:bottom w:val="none" w:sz="0" w:space="0" w:color="auto"/>
        <w:right w:val="none" w:sz="0" w:space="0" w:color="auto"/>
      </w:divBdr>
    </w:div>
    <w:div w:id="1945112253">
      <w:bodyDiv w:val="1"/>
      <w:marLeft w:val="0"/>
      <w:marRight w:val="0"/>
      <w:marTop w:val="0"/>
      <w:marBottom w:val="0"/>
      <w:divBdr>
        <w:top w:val="none" w:sz="0" w:space="0" w:color="auto"/>
        <w:left w:val="none" w:sz="0" w:space="0" w:color="auto"/>
        <w:bottom w:val="none" w:sz="0" w:space="0" w:color="auto"/>
        <w:right w:val="none" w:sz="0" w:space="0" w:color="auto"/>
      </w:divBdr>
    </w:div>
    <w:div w:id="1945454505">
      <w:bodyDiv w:val="1"/>
      <w:marLeft w:val="0"/>
      <w:marRight w:val="0"/>
      <w:marTop w:val="0"/>
      <w:marBottom w:val="0"/>
      <w:divBdr>
        <w:top w:val="none" w:sz="0" w:space="0" w:color="auto"/>
        <w:left w:val="none" w:sz="0" w:space="0" w:color="auto"/>
        <w:bottom w:val="none" w:sz="0" w:space="0" w:color="auto"/>
        <w:right w:val="none" w:sz="0" w:space="0" w:color="auto"/>
      </w:divBdr>
    </w:div>
    <w:div w:id="1945963107">
      <w:bodyDiv w:val="1"/>
      <w:marLeft w:val="0"/>
      <w:marRight w:val="0"/>
      <w:marTop w:val="0"/>
      <w:marBottom w:val="0"/>
      <w:divBdr>
        <w:top w:val="none" w:sz="0" w:space="0" w:color="auto"/>
        <w:left w:val="none" w:sz="0" w:space="0" w:color="auto"/>
        <w:bottom w:val="none" w:sz="0" w:space="0" w:color="auto"/>
        <w:right w:val="none" w:sz="0" w:space="0" w:color="auto"/>
      </w:divBdr>
    </w:div>
    <w:div w:id="1945989502">
      <w:bodyDiv w:val="1"/>
      <w:marLeft w:val="0"/>
      <w:marRight w:val="0"/>
      <w:marTop w:val="0"/>
      <w:marBottom w:val="0"/>
      <w:divBdr>
        <w:top w:val="none" w:sz="0" w:space="0" w:color="auto"/>
        <w:left w:val="none" w:sz="0" w:space="0" w:color="auto"/>
        <w:bottom w:val="none" w:sz="0" w:space="0" w:color="auto"/>
        <w:right w:val="none" w:sz="0" w:space="0" w:color="auto"/>
      </w:divBdr>
    </w:div>
    <w:div w:id="1946766382">
      <w:bodyDiv w:val="1"/>
      <w:marLeft w:val="0"/>
      <w:marRight w:val="0"/>
      <w:marTop w:val="0"/>
      <w:marBottom w:val="0"/>
      <w:divBdr>
        <w:top w:val="none" w:sz="0" w:space="0" w:color="auto"/>
        <w:left w:val="none" w:sz="0" w:space="0" w:color="auto"/>
        <w:bottom w:val="none" w:sz="0" w:space="0" w:color="auto"/>
        <w:right w:val="none" w:sz="0" w:space="0" w:color="auto"/>
      </w:divBdr>
    </w:div>
    <w:div w:id="1947079159">
      <w:bodyDiv w:val="1"/>
      <w:marLeft w:val="0"/>
      <w:marRight w:val="0"/>
      <w:marTop w:val="0"/>
      <w:marBottom w:val="0"/>
      <w:divBdr>
        <w:top w:val="none" w:sz="0" w:space="0" w:color="auto"/>
        <w:left w:val="none" w:sz="0" w:space="0" w:color="auto"/>
        <w:bottom w:val="none" w:sz="0" w:space="0" w:color="auto"/>
        <w:right w:val="none" w:sz="0" w:space="0" w:color="auto"/>
      </w:divBdr>
    </w:div>
    <w:div w:id="1947150640">
      <w:bodyDiv w:val="1"/>
      <w:marLeft w:val="0"/>
      <w:marRight w:val="0"/>
      <w:marTop w:val="0"/>
      <w:marBottom w:val="0"/>
      <w:divBdr>
        <w:top w:val="none" w:sz="0" w:space="0" w:color="auto"/>
        <w:left w:val="none" w:sz="0" w:space="0" w:color="auto"/>
        <w:bottom w:val="none" w:sz="0" w:space="0" w:color="auto"/>
        <w:right w:val="none" w:sz="0" w:space="0" w:color="auto"/>
      </w:divBdr>
    </w:div>
    <w:div w:id="1947420123">
      <w:bodyDiv w:val="1"/>
      <w:marLeft w:val="0"/>
      <w:marRight w:val="0"/>
      <w:marTop w:val="0"/>
      <w:marBottom w:val="0"/>
      <w:divBdr>
        <w:top w:val="none" w:sz="0" w:space="0" w:color="auto"/>
        <w:left w:val="none" w:sz="0" w:space="0" w:color="auto"/>
        <w:bottom w:val="none" w:sz="0" w:space="0" w:color="auto"/>
        <w:right w:val="none" w:sz="0" w:space="0" w:color="auto"/>
      </w:divBdr>
    </w:div>
    <w:div w:id="1948540343">
      <w:bodyDiv w:val="1"/>
      <w:marLeft w:val="0"/>
      <w:marRight w:val="0"/>
      <w:marTop w:val="0"/>
      <w:marBottom w:val="0"/>
      <w:divBdr>
        <w:top w:val="none" w:sz="0" w:space="0" w:color="auto"/>
        <w:left w:val="none" w:sz="0" w:space="0" w:color="auto"/>
        <w:bottom w:val="none" w:sz="0" w:space="0" w:color="auto"/>
        <w:right w:val="none" w:sz="0" w:space="0" w:color="auto"/>
      </w:divBdr>
    </w:div>
    <w:div w:id="1948658865">
      <w:bodyDiv w:val="1"/>
      <w:marLeft w:val="0"/>
      <w:marRight w:val="0"/>
      <w:marTop w:val="0"/>
      <w:marBottom w:val="0"/>
      <w:divBdr>
        <w:top w:val="none" w:sz="0" w:space="0" w:color="auto"/>
        <w:left w:val="none" w:sz="0" w:space="0" w:color="auto"/>
        <w:bottom w:val="none" w:sz="0" w:space="0" w:color="auto"/>
        <w:right w:val="none" w:sz="0" w:space="0" w:color="auto"/>
      </w:divBdr>
    </w:div>
    <w:div w:id="1948848258">
      <w:bodyDiv w:val="1"/>
      <w:marLeft w:val="0"/>
      <w:marRight w:val="0"/>
      <w:marTop w:val="0"/>
      <w:marBottom w:val="0"/>
      <w:divBdr>
        <w:top w:val="none" w:sz="0" w:space="0" w:color="auto"/>
        <w:left w:val="none" w:sz="0" w:space="0" w:color="auto"/>
        <w:bottom w:val="none" w:sz="0" w:space="0" w:color="auto"/>
        <w:right w:val="none" w:sz="0" w:space="0" w:color="auto"/>
      </w:divBdr>
    </w:div>
    <w:div w:id="1948925415">
      <w:bodyDiv w:val="1"/>
      <w:marLeft w:val="0"/>
      <w:marRight w:val="0"/>
      <w:marTop w:val="0"/>
      <w:marBottom w:val="0"/>
      <w:divBdr>
        <w:top w:val="none" w:sz="0" w:space="0" w:color="auto"/>
        <w:left w:val="none" w:sz="0" w:space="0" w:color="auto"/>
        <w:bottom w:val="none" w:sz="0" w:space="0" w:color="auto"/>
        <w:right w:val="none" w:sz="0" w:space="0" w:color="auto"/>
      </w:divBdr>
    </w:div>
    <w:div w:id="1949388889">
      <w:bodyDiv w:val="1"/>
      <w:marLeft w:val="0"/>
      <w:marRight w:val="0"/>
      <w:marTop w:val="0"/>
      <w:marBottom w:val="0"/>
      <w:divBdr>
        <w:top w:val="none" w:sz="0" w:space="0" w:color="auto"/>
        <w:left w:val="none" w:sz="0" w:space="0" w:color="auto"/>
        <w:bottom w:val="none" w:sz="0" w:space="0" w:color="auto"/>
        <w:right w:val="none" w:sz="0" w:space="0" w:color="auto"/>
      </w:divBdr>
    </w:div>
    <w:div w:id="1949696045">
      <w:bodyDiv w:val="1"/>
      <w:marLeft w:val="0"/>
      <w:marRight w:val="0"/>
      <w:marTop w:val="0"/>
      <w:marBottom w:val="0"/>
      <w:divBdr>
        <w:top w:val="none" w:sz="0" w:space="0" w:color="auto"/>
        <w:left w:val="none" w:sz="0" w:space="0" w:color="auto"/>
        <w:bottom w:val="none" w:sz="0" w:space="0" w:color="auto"/>
        <w:right w:val="none" w:sz="0" w:space="0" w:color="auto"/>
      </w:divBdr>
    </w:div>
    <w:div w:id="1949774340">
      <w:bodyDiv w:val="1"/>
      <w:marLeft w:val="0"/>
      <w:marRight w:val="0"/>
      <w:marTop w:val="0"/>
      <w:marBottom w:val="0"/>
      <w:divBdr>
        <w:top w:val="none" w:sz="0" w:space="0" w:color="auto"/>
        <w:left w:val="none" w:sz="0" w:space="0" w:color="auto"/>
        <w:bottom w:val="none" w:sz="0" w:space="0" w:color="auto"/>
        <w:right w:val="none" w:sz="0" w:space="0" w:color="auto"/>
      </w:divBdr>
    </w:div>
    <w:div w:id="1950500979">
      <w:bodyDiv w:val="1"/>
      <w:marLeft w:val="0"/>
      <w:marRight w:val="0"/>
      <w:marTop w:val="0"/>
      <w:marBottom w:val="0"/>
      <w:divBdr>
        <w:top w:val="none" w:sz="0" w:space="0" w:color="auto"/>
        <w:left w:val="none" w:sz="0" w:space="0" w:color="auto"/>
        <w:bottom w:val="none" w:sz="0" w:space="0" w:color="auto"/>
        <w:right w:val="none" w:sz="0" w:space="0" w:color="auto"/>
      </w:divBdr>
    </w:div>
    <w:div w:id="1950502773">
      <w:bodyDiv w:val="1"/>
      <w:marLeft w:val="0"/>
      <w:marRight w:val="0"/>
      <w:marTop w:val="0"/>
      <w:marBottom w:val="0"/>
      <w:divBdr>
        <w:top w:val="none" w:sz="0" w:space="0" w:color="auto"/>
        <w:left w:val="none" w:sz="0" w:space="0" w:color="auto"/>
        <w:bottom w:val="none" w:sz="0" w:space="0" w:color="auto"/>
        <w:right w:val="none" w:sz="0" w:space="0" w:color="auto"/>
      </w:divBdr>
    </w:div>
    <w:div w:id="1951081638">
      <w:bodyDiv w:val="1"/>
      <w:marLeft w:val="0"/>
      <w:marRight w:val="0"/>
      <w:marTop w:val="0"/>
      <w:marBottom w:val="0"/>
      <w:divBdr>
        <w:top w:val="none" w:sz="0" w:space="0" w:color="auto"/>
        <w:left w:val="none" w:sz="0" w:space="0" w:color="auto"/>
        <w:bottom w:val="none" w:sz="0" w:space="0" w:color="auto"/>
        <w:right w:val="none" w:sz="0" w:space="0" w:color="auto"/>
      </w:divBdr>
    </w:div>
    <w:div w:id="1952398364">
      <w:bodyDiv w:val="1"/>
      <w:marLeft w:val="0"/>
      <w:marRight w:val="0"/>
      <w:marTop w:val="0"/>
      <w:marBottom w:val="0"/>
      <w:divBdr>
        <w:top w:val="none" w:sz="0" w:space="0" w:color="auto"/>
        <w:left w:val="none" w:sz="0" w:space="0" w:color="auto"/>
        <w:bottom w:val="none" w:sz="0" w:space="0" w:color="auto"/>
        <w:right w:val="none" w:sz="0" w:space="0" w:color="auto"/>
      </w:divBdr>
    </w:div>
    <w:div w:id="1952853518">
      <w:bodyDiv w:val="1"/>
      <w:marLeft w:val="0"/>
      <w:marRight w:val="0"/>
      <w:marTop w:val="0"/>
      <w:marBottom w:val="0"/>
      <w:divBdr>
        <w:top w:val="none" w:sz="0" w:space="0" w:color="auto"/>
        <w:left w:val="none" w:sz="0" w:space="0" w:color="auto"/>
        <w:bottom w:val="none" w:sz="0" w:space="0" w:color="auto"/>
        <w:right w:val="none" w:sz="0" w:space="0" w:color="auto"/>
      </w:divBdr>
    </w:div>
    <w:div w:id="1953434875">
      <w:bodyDiv w:val="1"/>
      <w:marLeft w:val="0"/>
      <w:marRight w:val="0"/>
      <w:marTop w:val="0"/>
      <w:marBottom w:val="0"/>
      <w:divBdr>
        <w:top w:val="none" w:sz="0" w:space="0" w:color="auto"/>
        <w:left w:val="none" w:sz="0" w:space="0" w:color="auto"/>
        <w:bottom w:val="none" w:sz="0" w:space="0" w:color="auto"/>
        <w:right w:val="none" w:sz="0" w:space="0" w:color="auto"/>
      </w:divBdr>
    </w:div>
    <w:div w:id="1953972128">
      <w:bodyDiv w:val="1"/>
      <w:marLeft w:val="0"/>
      <w:marRight w:val="0"/>
      <w:marTop w:val="0"/>
      <w:marBottom w:val="0"/>
      <w:divBdr>
        <w:top w:val="none" w:sz="0" w:space="0" w:color="auto"/>
        <w:left w:val="none" w:sz="0" w:space="0" w:color="auto"/>
        <w:bottom w:val="none" w:sz="0" w:space="0" w:color="auto"/>
        <w:right w:val="none" w:sz="0" w:space="0" w:color="auto"/>
      </w:divBdr>
    </w:div>
    <w:div w:id="1954094195">
      <w:bodyDiv w:val="1"/>
      <w:marLeft w:val="0"/>
      <w:marRight w:val="0"/>
      <w:marTop w:val="0"/>
      <w:marBottom w:val="0"/>
      <w:divBdr>
        <w:top w:val="none" w:sz="0" w:space="0" w:color="auto"/>
        <w:left w:val="none" w:sz="0" w:space="0" w:color="auto"/>
        <w:bottom w:val="none" w:sz="0" w:space="0" w:color="auto"/>
        <w:right w:val="none" w:sz="0" w:space="0" w:color="auto"/>
      </w:divBdr>
    </w:div>
    <w:div w:id="1954511880">
      <w:bodyDiv w:val="1"/>
      <w:marLeft w:val="0"/>
      <w:marRight w:val="0"/>
      <w:marTop w:val="0"/>
      <w:marBottom w:val="0"/>
      <w:divBdr>
        <w:top w:val="none" w:sz="0" w:space="0" w:color="auto"/>
        <w:left w:val="none" w:sz="0" w:space="0" w:color="auto"/>
        <w:bottom w:val="none" w:sz="0" w:space="0" w:color="auto"/>
        <w:right w:val="none" w:sz="0" w:space="0" w:color="auto"/>
      </w:divBdr>
    </w:div>
    <w:div w:id="1954628008">
      <w:bodyDiv w:val="1"/>
      <w:marLeft w:val="0"/>
      <w:marRight w:val="0"/>
      <w:marTop w:val="0"/>
      <w:marBottom w:val="0"/>
      <w:divBdr>
        <w:top w:val="none" w:sz="0" w:space="0" w:color="auto"/>
        <w:left w:val="none" w:sz="0" w:space="0" w:color="auto"/>
        <w:bottom w:val="none" w:sz="0" w:space="0" w:color="auto"/>
        <w:right w:val="none" w:sz="0" w:space="0" w:color="auto"/>
      </w:divBdr>
    </w:div>
    <w:div w:id="1954820774">
      <w:bodyDiv w:val="1"/>
      <w:marLeft w:val="0"/>
      <w:marRight w:val="0"/>
      <w:marTop w:val="0"/>
      <w:marBottom w:val="0"/>
      <w:divBdr>
        <w:top w:val="none" w:sz="0" w:space="0" w:color="auto"/>
        <w:left w:val="none" w:sz="0" w:space="0" w:color="auto"/>
        <w:bottom w:val="none" w:sz="0" w:space="0" w:color="auto"/>
        <w:right w:val="none" w:sz="0" w:space="0" w:color="auto"/>
      </w:divBdr>
    </w:div>
    <w:div w:id="1955214182">
      <w:bodyDiv w:val="1"/>
      <w:marLeft w:val="0"/>
      <w:marRight w:val="0"/>
      <w:marTop w:val="0"/>
      <w:marBottom w:val="0"/>
      <w:divBdr>
        <w:top w:val="none" w:sz="0" w:space="0" w:color="auto"/>
        <w:left w:val="none" w:sz="0" w:space="0" w:color="auto"/>
        <w:bottom w:val="none" w:sz="0" w:space="0" w:color="auto"/>
        <w:right w:val="none" w:sz="0" w:space="0" w:color="auto"/>
      </w:divBdr>
    </w:div>
    <w:div w:id="1957515160">
      <w:bodyDiv w:val="1"/>
      <w:marLeft w:val="0"/>
      <w:marRight w:val="0"/>
      <w:marTop w:val="0"/>
      <w:marBottom w:val="0"/>
      <w:divBdr>
        <w:top w:val="none" w:sz="0" w:space="0" w:color="auto"/>
        <w:left w:val="none" w:sz="0" w:space="0" w:color="auto"/>
        <w:bottom w:val="none" w:sz="0" w:space="0" w:color="auto"/>
        <w:right w:val="none" w:sz="0" w:space="0" w:color="auto"/>
      </w:divBdr>
    </w:div>
    <w:div w:id="1957560686">
      <w:bodyDiv w:val="1"/>
      <w:marLeft w:val="0"/>
      <w:marRight w:val="0"/>
      <w:marTop w:val="0"/>
      <w:marBottom w:val="0"/>
      <w:divBdr>
        <w:top w:val="none" w:sz="0" w:space="0" w:color="auto"/>
        <w:left w:val="none" w:sz="0" w:space="0" w:color="auto"/>
        <w:bottom w:val="none" w:sz="0" w:space="0" w:color="auto"/>
        <w:right w:val="none" w:sz="0" w:space="0" w:color="auto"/>
      </w:divBdr>
    </w:div>
    <w:div w:id="1957982481">
      <w:bodyDiv w:val="1"/>
      <w:marLeft w:val="0"/>
      <w:marRight w:val="0"/>
      <w:marTop w:val="0"/>
      <w:marBottom w:val="0"/>
      <w:divBdr>
        <w:top w:val="none" w:sz="0" w:space="0" w:color="auto"/>
        <w:left w:val="none" w:sz="0" w:space="0" w:color="auto"/>
        <w:bottom w:val="none" w:sz="0" w:space="0" w:color="auto"/>
        <w:right w:val="none" w:sz="0" w:space="0" w:color="auto"/>
      </w:divBdr>
    </w:div>
    <w:div w:id="1958831728">
      <w:bodyDiv w:val="1"/>
      <w:marLeft w:val="0"/>
      <w:marRight w:val="0"/>
      <w:marTop w:val="0"/>
      <w:marBottom w:val="0"/>
      <w:divBdr>
        <w:top w:val="none" w:sz="0" w:space="0" w:color="auto"/>
        <w:left w:val="none" w:sz="0" w:space="0" w:color="auto"/>
        <w:bottom w:val="none" w:sz="0" w:space="0" w:color="auto"/>
        <w:right w:val="none" w:sz="0" w:space="0" w:color="auto"/>
      </w:divBdr>
    </w:div>
    <w:div w:id="1960070117">
      <w:bodyDiv w:val="1"/>
      <w:marLeft w:val="0"/>
      <w:marRight w:val="0"/>
      <w:marTop w:val="0"/>
      <w:marBottom w:val="0"/>
      <w:divBdr>
        <w:top w:val="none" w:sz="0" w:space="0" w:color="auto"/>
        <w:left w:val="none" w:sz="0" w:space="0" w:color="auto"/>
        <w:bottom w:val="none" w:sz="0" w:space="0" w:color="auto"/>
        <w:right w:val="none" w:sz="0" w:space="0" w:color="auto"/>
      </w:divBdr>
    </w:div>
    <w:div w:id="1960838077">
      <w:bodyDiv w:val="1"/>
      <w:marLeft w:val="0"/>
      <w:marRight w:val="0"/>
      <w:marTop w:val="0"/>
      <w:marBottom w:val="0"/>
      <w:divBdr>
        <w:top w:val="none" w:sz="0" w:space="0" w:color="auto"/>
        <w:left w:val="none" w:sz="0" w:space="0" w:color="auto"/>
        <w:bottom w:val="none" w:sz="0" w:space="0" w:color="auto"/>
        <w:right w:val="none" w:sz="0" w:space="0" w:color="auto"/>
      </w:divBdr>
    </w:div>
    <w:div w:id="1961036954">
      <w:bodyDiv w:val="1"/>
      <w:marLeft w:val="0"/>
      <w:marRight w:val="0"/>
      <w:marTop w:val="0"/>
      <w:marBottom w:val="0"/>
      <w:divBdr>
        <w:top w:val="none" w:sz="0" w:space="0" w:color="auto"/>
        <w:left w:val="none" w:sz="0" w:space="0" w:color="auto"/>
        <w:bottom w:val="none" w:sz="0" w:space="0" w:color="auto"/>
        <w:right w:val="none" w:sz="0" w:space="0" w:color="auto"/>
      </w:divBdr>
    </w:div>
    <w:div w:id="1961183755">
      <w:bodyDiv w:val="1"/>
      <w:marLeft w:val="0"/>
      <w:marRight w:val="0"/>
      <w:marTop w:val="0"/>
      <w:marBottom w:val="0"/>
      <w:divBdr>
        <w:top w:val="none" w:sz="0" w:space="0" w:color="auto"/>
        <w:left w:val="none" w:sz="0" w:space="0" w:color="auto"/>
        <w:bottom w:val="none" w:sz="0" w:space="0" w:color="auto"/>
        <w:right w:val="none" w:sz="0" w:space="0" w:color="auto"/>
      </w:divBdr>
    </w:div>
    <w:div w:id="1963030737">
      <w:bodyDiv w:val="1"/>
      <w:marLeft w:val="0"/>
      <w:marRight w:val="0"/>
      <w:marTop w:val="0"/>
      <w:marBottom w:val="0"/>
      <w:divBdr>
        <w:top w:val="none" w:sz="0" w:space="0" w:color="auto"/>
        <w:left w:val="none" w:sz="0" w:space="0" w:color="auto"/>
        <w:bottom w:val="none" w:sz="0" w:space="0" w:color="auto"/>
        <w:right w:val="none" w:sz="0" w:space="0" w:color="auto"/>
      </w:divBdr>
    </w:div>
    <w:div w:id="1963077289">
      <w:bodyDiv w:val="1"/>
      <w:marLeft w:val="0"/>
      <w:marRight w:val="0"/>
      <w:marTop w:val="0"/>
      <w:marBottom w:val="0"/>
      <w:divBdr>
        <w:top w:val="none" w:sz="0" w:space="0" w:color="auto"/>
        <w:left w:val="none" w:sz="0" w:space="0" w:color="auto"/>
        <w:bottom w:val="none" w:sz="0" w:space="0" w:color="auto"/>
        <w:right w:val="none" w:sz="0" w:space="0" w:color="auto"/>
      </w:divBdr>
    </w:div>
    <w:div w:id="1963488240">
      <w:bodyDiv w:val="1"/>
      <w:marLeft w:val="0"/>
      <w:marRight w:val="0"/>
      <w:marTop w:val="0"/>
      <w:marBottom w:val="0"/>
      <w:divBdr>
        <w:top w:val="none" w:sz="0" w:space="0" w:color="auto"/>
        <w:left w:val="none" w:sz="0" w:space="0" w:color="auto"/>
        <w:bottom w:val="none" w:sz="0" w:space="0" w:color="auto"/>
        <w:right w:val="none" w:sz="0" w:space="0" w:color="auto"/>
      </w:divBdr>
    </w:div>
    <w:div w:id="1963994225">
      <w:bodyDiv w:val="1"/>
      <w:marLeft w:val="0"/>
      <w:marRight w:val="0"/>
      <w:marTop w:val="0"/>
      <w:marBottom w:val="0"/>
      <w:divBdr>
        <w:top w:val="none" w:sz="0" w:space="0" w:color="auto"/>
        <w:left w:val="none" w:sz="0" w:space="0" w:color="auto"/>
        <w:bottom w:val="none" w:sz="0" w:space="0" w:color="auto"/>
        <w:right w:val="none" w:sz="0" w:space="0" w:color="auto"/>
      </w:divBdr>
    </w:div>
    <w:div w:id="1964342086">
      <w:bodyDiv w:val="1"/>
      <w:marLeft w:val="0"/>
      <w:marRight w:val="0"/>
      <w:marTop w:val="0"/>
      <w:marBottom w:val="0"/>
      <w:divBdr>
        <w:top w:val="none" w:sz="0" w:space="0" w:color="auto"/>
        <w:left w:val="none" w:sz="0" w:space="0" w:color="auto"/>
        <w:bottom w:val="none" w:sz="0" w:space="0" w:color="auto"/>
        <w:right w:val="none" w:sz="0" w:space="0" w:color="auto"/>
      </w:divBdr>
    </w:div>
    <w:div w:id="1964917110">
      <w:bodyDiv w:val="1"/>
      <w:marLeft w:val="0"/>
      <w:marRight w:val="0"/>
      <w:marTop w:val="0"/>
      <w:marBottom w:val="0"/>
      <w:divBdr>
        <w:top w:val="none" w:sz="0" w:space="0" w:color="auto"/>
        <w:left w:val="none" w:sz="0" w:space="0" w:color="auto"/>
        <w:bottom w:val="none" w:sz="0" w:space="0" w:color="auto"/>
        <w:right w:val="none" w:sz="0" w:space="0" w:color="auto"/>
      </w:divBdr>
    </w:div>
    <w:div w:id="1965496512">
      <w:bodyDiv w:val="1"/>
      <w:marLeft w:val="0"/>
      <w:marRight w:val="0"/>
      <w:marTop w:val="0"/>
      <w:marBottom w:val="0"/>
      <w:divBdr>
        <w:top w:val="none" w:sz="0" w:space="0" w:color="auto"/>
        <w:left w:val="none" w:sz="0" w:space="0" w:color="auto"/>
        <w:bottom w:val="none" w:sz="0" w:space="0" w:color="auto"/>
        <w:right w:val="none" w:sz="0" w:space="0" w:color="auto"/>
      </w:divBdr>
    </w:div>
    <w:div w:id="1965841032">
      <w:bodyDiv w:val="1"/>
      <w:marLeft w:val="0"/>
      <w:marRight w:val="0"/>
      <w:marTop w:val="0"/>
      <w:marBottom w:val="0"/>
      <w:divBdr>
        <w:top w:val="none" w:sz="0" w:space="0" w:color="auto"/>
        <w:left w:val="none" w:sz="0" w:space="0" w:color="auto"/>
        <w:bottom w:val="none" w:sz="0" w:space="0" w:color="auto"/>
        <w:right w:val="none" w:sz="0" w:space="0" w:color="auto"/>
      </w:divBdr>
    </w:div>
    <w:div w:id="1966766913">
      <w:bodyDiv w:val="1"/>
      <w:marLeft w:val="0"/>
      <w:marRight w:val="0"/>
      <w:marTop w:val="0"/>
      <w:marBottom w:val="0"/>
      <w:divBdr>
        <w:top w:val="none" w:sz="0" w:space="0" w:color="auto"/>
        <w:left w:val="none" w:sz="0" w:space="0" w:color="auto"/>
        <w:bottom w:val="none" w:sz="0" w:space="0" w:color="auto"/>
        <w:right w:val="none" w:sz="0" w:space="0" w:color="auto"/>
      </w:divBdr>
    </w:div>
    <w:div w:id="1966809641">
      <w:bodyDiv w:val="1"/>
      <w:marLeft w:val="0"/>
      <w:marRight w:val="0"/>
      <w:marTop w:val="0"/>
      <w:marBottom w:val="0"/>
      <w:divBdr>
        <w:top w:val="none" w:sz="0" w:space="0" w:color="auto"/>
        <w:left w:val="none" w:sz="0" w:space="0" w:color="auto"/>
        <w:bottom w:val="none" w:sz="0" w:space="0" w:color="auto"/>
        <w:right w:val="none" w:sz="0" w:space="0" w:color="auto"/>
      </w:divBdr>
    </w:div>
    <w:div w:id="1966813275">
      <w:bodyDiv w:val="1"/>
      <w:marLeft w:val="0"/>
      <w:marRight w:val="0"/>
      <w:marTop w:val="0"/>
      <w:marBottom w:val="0"/>
      <w:divBdr>
        <w:top w:val="none" w:sz="0" w:space="0" w:color="auto"/>
        <w:left w:val="none" w:sz="0" w:space="0" w:color="auto"/>
        <w:bottom w:val="none" w:sz="0" w:space="0" w:color="auto"/>
        <w:right w:val="none" w:sz="0" w:space="0" w:color="auto"/>
      </w:divBdr>
    </w:div>
    <w:div w:id="1967351889">
      <w:bodyDiv w:val="1"/>
      <w:marLeft w:val="0"/>
      <w:marRight w:val="0"/>
      <w:marTop w:val="0"/>
      <w:marBottom w:val="0"/>
      <w:divBdr>
        <w:top w:val="none" w:sz="0" w:space="0" w:color="auto"/>
        <w:left w:val="none" w:sz="0" w:space="0" w:color="auto"/>
        <w:bottom w:val="none" w:sz="0" w:space="0" w:color="auto"/>
        <w:right w:val="none" w:sz="0" w:space="0" w:color="auto"/>
      </w:divBdr>
    </w:div>
    <w:div w:id="1967806808">
      <w:bodyDiv w:val="1"/>
      <w:marLeft w:val="0"/>
      <w:marRight w:val="0"/>
      <w:marTop w:val="0"/>
      <w:marBottom w:val="0"/>
      <w:divBdr>
        <w:top w:val="none" w:sz="0" w:space="0" w:color="auto"/>
        <w:left w:val="none" w:sz="0" w:space="0" w:color="auto"/>
        <w:bottom w:val="none" w:sz="0" w:space="0" w:color="auto"/>
        <w:right w:val="none" w:sz="0" w:space="0" w:color="auto"/>
      </w:divBdr>
    </w:div>
    <w:div w:id="1968311650">
      <w:bodyDiv w:val="1"/>
      <w:marLeft w:val="0"/>
      <w:marRight w:val="0"/>
      <w:marTop w:val="0"/>
      <w:marBottom w:val="0"/>
      <w:divBdr>
        <w:top w:val="none" w:sz="0" w:space="0" w:color="auto"/>
        <w:left w:val="none" w:sz="0" w:space="0" w:color="auto"/>
        <w:bottom w:val="none" w:sz="0" w:space="0" w:color="auto"/>
        <w:right w:val="none" w:sz="0" w:space="0" w:color="auto"/>
      </w:divBdr>
    </w:div>
    <w:div w:id="1968508882">
      <w:bodyDiv w:val="1"/>
      <w:marLeft w:val="0"/>
      <w:marRight w:val="0"/>
      <w:marTop w:val="0"/>
      <w:marBottom w:val="0"/>
      <w:divBdr>
        <w:top w:val="none" w:sz="0" w:space="0" w:color="auto"/>
        <w:left w:val="none" w:sz="0" w:space="0" w:color="auto"/>
        <w:bottom w:val="none" w:sz="0" w:space="0" w:color="auto"/>
        <w:right w:val="none" w:sz="0" w:space="0" w:color="auto"/>
      </w:divBdr>
    </w:div>
    <w:div w:id="1968581122">
      <w:bodyDiv w:val="1"/>
      <w:marLeft w:val="0"/>
      <w:marRight w:val="0"/>
      <w:marTop w:val="0"/>
      <w:marBottom w:val="0"/>
      <w:divBdr>
        <w:top w:val="none" w:sz="0" w:space="0" w:color="auto"/>
        <w:left w:val="none" w:sz="0" w:space="0" w:color="auto"/>
        <w:bottom w:val="none" w:sz="0" w:space="0" w:color="auto"/>
        <w:right w:val="none" w:sz="0" w:space="0" w:color="auto"/>
      </w:divBdr>
    </w:div>
    <w:div w:id="1968581740">
      <w:bodyDiv w:val="1"/>
      <w:marLeft w:val="0"/>
      <w:marRight w:val="0"/>
      <w:marTop w:val="0"/>
      <w:marBottom w:val="0"/>
      <w:divBdr>
        <w:top w:val="none" w:sz="0" w:space="0" w:color="auto"/>
        <w:left w:val="none" w:sz="0" w:space="0" w:color="auto"/>
        <w:bottom w:val="none" w:sz="0" w:space="0" w:color="auto"/>
        <w:right w:val="none" w:sz="0" w:space="0" w:color="auto"/>
      </w:divBdr>
    </w:div>
    <w:div w:id="1969050128">
      <w:bodyDiv w:val="1"/>
      <w:marLeft w:val="0"/>
      <w:marRight w:val="0"/>
      <w:marTop w:val="0"/>
      <w:marBottom w:val="0"/>
      <w:divBdr>
        <w:top w:val="none" w:sz="0" w:space="0" w:color="auto"/>
        <w:left w:val="none" w:sz="0" w:space="0" w:color="auto"/>
        <w:bottom w:val="none" w:sz="0" w:space="0" w:color="auto"/>
        <w:right w:val="none" w:sz="0" w:space="0" w:color="auto"/>
      </w:divBdr>
    </w:div>
    <w:div w:id="1969119243">
      <w:bodyDiv w:val="1"/>
      <w:marLeft w:val="0"/>
      <w:marRight w:val="0"/>
      <w:marTop w:val="0"/>
      <w:marBottom w:val="0"/>
      <w:divBdr>
        <w:top w:val="none" w:sz="0" w:space="0" w:color="auto"/>
        <w:left w:val="none" w:sz="0" w:space="0" w:color="auto"/>
        <w:bottom w:val="none" w:sz="0" w:space="0" w:color="auto"/>
        <w:right w:val="none" w:sz="0" w:space="0" w:color="auto"/>
      </w:divBdr>
    </w:div>
    <w:div w:id="1969167562">
      <w:bodyDiv w:val="1"/>
      <w:marLeft w:val="0"/>
      <w:marRight w:val="0"/>
      <w:marTop w:val="0"/>
      <w:marBottom w:val="0"/>
      <w:divBdr>
        <w:top w:val="none" w:sz="0" w:space="0" w:color="auto"/>
        <w:left w:val="none" w:sz="0" w:space="0" w:color="auto"/>
        <w:bottom w:val="none" w:sz="0" w:space="0" w:color="auto"/>
        <w:right w:val="none" w:sz="0" w:space="0" w:color="auto"/>
      </w:divBdr>
    </w:div>
    <w:div w:id="1969167581">
      <w:bodyDiv w:val="1"/>
      <w:marLeft w:val="0"/>
      <w:marRight w:val="0"/>
      <w:marTop w:val="0"/>
      <w:marBottom w:val="0"/>
      <w:divBdr>
        <w:top w:val="none" w:sz="0" w:space="0" w:color="auto"/>
        <w:left w:val="none" w:sz="0" w:space="0" w:color="auto"/>
        <w:bottom w:val="none" w:sz="0" w:space="0" w:color="auto"/>
        <w:right w:val="none" w:sz="0" w:space="0" w:color="auto"/>
      </w:divBdr>
    </w:div>
    <w:div w:id="1969360543">
      <w:bodyDiv w:val="1"/>
      <w:marLeft w:val="0"/>
      <w:marRight w:val="0"/>
      <w:marTop w:val="0"/>
      <w:marBottom w:val="0"/>
      <w:divBdr>
        <w:top w:val="none" w:sz="0" w:space="0" w:color="auto"/>
        <w:left w:val="none" w:sz="0" w:space="0" w:color="auto"/>
        <w:bottom w:val="none" w:sz="0" w:space="0" w:color="auto"/>
        <w:right w:val="none" w:sz="0" w:space="0" w:color="auto"/>
      </w:divBdr>
    </w:div>
    <w:div w:id="1970234946">
      <w:bodyDiv w:val="1"/>
      <w:marLeft w:val="0"/>
      <w:marRight w:val="0"/>
      <w:marTop w:val="0"/>
      <w:marBottom w:val="0"/>
      <w:divBdr>
        <w:top w:val="none" w:sz="0" w:space="0" w:color="auto"/>
        <w:left w:val="none" w:sz="0" w:space="0" w:color="auto"/>
        <w:bottom w:val="none" w:sz="0" w:space="0" w:color="auto"/>
        <w:right w:val="none" w:sz="0" w:space="0" w:color="auto"/>
      </w:divBdr>
    </w:div>
    <w:div w:id="1971200680">
      <w:bodyDiv w:val="1"/>
      <w:marLeft w:val="0"/>
      <w:marRight w:val="0"/>
      <w:marTop w:val="0"/>
      <w:marBottom w:val="0"/>
      <w:divBdr>
        <w:top w:val="none" w:sz="0" w:space="0" w:color="auto"/>
        <w:left w:val="none" w:sz="0" w:space="0" w:color="auto"/>
        <w:bottom w:val="none" w:sz="0" w:space="0" w:color="auto"/>
        <w:right w:val="none" w:sz="0" w:space="0" w:color="auto"/>
      </w:divBdr>
    </w:div>
    <w:div w:id="1971474942">
      <w:bodyDiv w:val="1"/>
      <w:marLeft w:val="0"/>
      <w:marRight w:val="0"/>
      <w:marTop w:val="0"/>
      <w:marBottom w:val="0"/>
      <w:divBdr>
        <w:top w:val="none" w:sz="0" w:space="0" w:color="auto"/>
        <w:left w:val="none" w:sz="0" w:space="0" w:color="auto"/>
        <w:bottom w:val="none" w:sz="0" w:space="0" w:color="auto"/>
        <w:right w:val="none" w:sz="0" w:space="0" w:color="auto"/>
      </w:divBdr>
    </w:div>
    <w:div w:id="1972635136">
      <w:bodyDiv w:val="1"/>
      <w:marLeft w:val="0"/>
      <w:marRight w:val="0"/>
      <w:marTop w:val="0"/>
      <w:marBottom w:val="0"/>
      <w:divBdr>
        <w:top w:val="none" w:sz="0" w:space="0" w:color="auto"/>
        <w:left w:val="none" w:sz="0" w:space="0" w:color="auto"/>
        <w:bottom w:val="none" w:sz="0" w:space="0" w:color="auto"/>
        <w:right w:val="none" w:sz="0" w:space="0" w:color="auto"/>
      </w:divBdr>
    </w:div>
    <w:div w:id="1973637649">
      <w:bodyDiv w:val="1"/>
      <w:marLeft w:val="0"/>
      <w:marRight w:val="0"/>
      <w:marTop w:val="0"/>
      <w:marBottom w:val="0"/>
      <w:divBdr>
        <w:top w:val="none" w:sz="0" w:space="0" w:color="auto"/>
        <w:left w:val="none" w:sz="0" w:space="0" w:color="auto"/>
        <w:bottom w:val="none" w:sz="0" w:space="0" w:color="auto"/>
        <w:right w:val="none" w:sz="0" w:space="0" w:color="auto"/>
      </w:divBdr>
    </w:div>
    <w:div w:id="1973822358">
      <w:bodyDiv w:val="1"/>
      <w:marLeft w:val="0"/>
      <w:marRight w:val="0"/>
      <w:marTop w:val="0"/>
      <w:marBottom w:val="0"/>
      <w:divBdr>
        <w:top w:val="none" w:sz="0" w:space="0" w:color="auto"/>
        <w:left w:val="none" w:sz="0" w:space="0" w:color="auto"/>
        <w:bottom w:val="none" w:sz="0" w:space="0" w:color="auto"/>
        <w:right w:val="none" w:sz="0" w:space="0" w:color="auto"/>
      </w:divBdr>
      <w:divsChild>
        <w:div w:id="756827644">
          <w:marLeft w:val="0"/>
          <w:marRight w:val="0"/>
          <w:marTop w:val="0"/>
          <w:marBottom w:val="0"/>
          <w:divBdr>
            <w:top w:val="none" w:sz="0" w:space="0" w:color="auto"/>
            <w:left w:val="none" w:sz="0" w:space="0" w:color="auto"/>
            <w:bottom w:val="none" w:sz="0" w:space="0" w:color="auto"/>
            <w:right w:val="none" w:sz="0" w:space="0" w:color="auto"/>
          </w:divBdr>
        </w:div>
      </w:divsChild>
    </w:div>
    <w:div w:id="1973898805">
      <w:bodyDiv w:val="1"/>
      <w:marLeft w:val="0"/>
      <w:marRight w:val="0"/>
      <w:marTop w:val="0"/>
      <w:marBottom w:val="0"/>
      <w:divBdr>
        <w:top w:val="none" w:sz="0" w:space="0" w:color="auto"/>
        <w:left w:val="none" w:sz="0" w:space="0" w:color="auto"/>
        <w:bottom w:val="none" w:sz="0" w:space="0" w:color="auto"/>
        <w:right w:val="none" w:sz="0" w:space="0" w:color="auto"/>
      </w:divBdr>
    </w:div>
    <w:div w:id="1973972321">
      <w:bodyDiv w:val="1"/>
      <w:marLeft w:val="0"/>
      <w:marRight w:val="0"/>
      <w:marTop w:val="0"/>
      <w:marBottom w:val="0"/>
      <w:divBdr>
        <w:top w:val="none" w:sz="0" w:space="0" w:color="auto"/>
        <w:left w:val="none" w:sz="0" w:space="0" w:color="auto"/>
        <w:bottom w:val="none" w:sz="0" w:space="0" w:color="auto"/>
        <w:right w:val="none" w:sz="0" w:space="0" w:color="auto"/>
      </w:divBdr>
    </w:div>
    <w:div w:id="1974940932">
      <w:bodyDiv w:val="1"/>
      <w:marLeft w:val="0"/>
      <w:marRight w:val="0"/>
      <w:marTop w:val="0"/>
      <w:marBottom w:val="0"/>
      <w:divBdr>
        <w:top w:val="none" w:sz="0" w:space="0" w:color="auto"/>
        <w:left w:val="none" w:sz="0" w:space="0" w:color="auto"/>
        <w:bottom w:val="none" w:sz="0" w:space="0" w:color="auto"/>
        <w:right w:val="none" w:sz="0" w:space="0" w:color="auto"/>
      </w:divBdr>
    </w:div>
    <w:div w:id="1975089725">
      <w:bodyDiv w:val="1"/>
      <w:marLeft w:val="0"/>
      <w:marRight w:val="0"/>
      <w:marTop w:val="0"/>
      <w:marBottom w:val="0"/>
      <w:divBdr>
        <w:top w:val="none" w:sz="0" w:space="0" w:color="auto"/>
        <w:left w:val="none" w:sz="0" w:space="0" w:color="auto"/>
        <w:bottom w:val="none" w:sz="0" w:space="0" w:color="auto"/>
        <w:right w:val="none" w:sz="0" w:space="0" w:color="auto"/>
      </w:divBdr>
    </w:div>
    <w:div w:id="1975401455">
      <w:bodyDiv w:val="1"/>
      <w:marLeft w:val="0"/>
      <w:marRight w:val="0"/>
      <w:marTop w:val="0"/>
      <w:marBottom w:val="0"/>
      <w:divBdr>
        <w:top w:val="none" w:sz="0" w:space="0" w:color="auto"/>
        <w:left w:val="none" w:sz="0" w:space="0" w:color="auto"/>
        <w:bottom w:val="none" w:sz="0" w:space="0" w:color="auto"/>
        <w:right w:val="none" w:sz="0" w:space="0" w:color="auto"/>
      </w:divBdr>
    </w:div>
    <w:div w:id="1975403396">
      <w:bodyDiv w:val="1"/>
      <w:marLeft w:val="0"/>
      <w:marRight w:val="0"/>
      <w:marTop w:val="0"/>
      <w:marBottom w:val="0"/>
      <w:divBdr>
        <w:top w:val="none" w:sz="0" w:space="0" w:color="auto"/>
        <w:left w:val="none" w:sz="0" w:space="0" w:color="auto"/>
        <w:bottom w:val="none" w:sz="0" w:space="0" w:color="auto"/>
        <w:right w:val="none" w:sz="0" w:space="0" w:color="auto"/>
      </w:divBdr>
    </w:div>
    <w:div w:id="1975985927">
      <w:bodyDiv w:val="1"/>
      <w:marLeft w:val="0"/>
      <w:marRight w:val="0"/>
      <w:marTop w:val="0"/>
      <w:marBottom w:val="0"/>
      <w:divBdr>
        <w:top w:val="none" w:sz="0" w:space="0" w:color="auto"/>
        <w:left w:val="none" w:sz="0" w:space="0" w:color="auto"/>
        <w:bottom w:val="none" w:sz="0" w:space="0" w:color="auto"/>
        <w:right w:val="none" w:sz="0" w:space="0" w:color="auto"/>
      </w:divBdr>
    </w:div>
    <w:div w:id="1977055224">
      <w:bodyDiv w:val="1"/>
      <w:marLeft w:val="0"/>
      <w:marRight w:val="0"/>
      <w:marTop w:val="0"/>
      <w:marBottom w:val="0"/>
      <w:divBdr>
        <w:top w:val="none" w:sz="0" w:space="0" w:color="auto"/>
        <w:left w:val="none" w:sz="0" w:space="0" w:color="auto"/>
        <w:bottom w:val="none" w:sz="0" w:space="0" w:color="auto"/>
        <w:right w:val="none" w:sz="0" w:space="0" w:color="auto"/>
      </w:divBdr>
    </w:div>
    <w:div w:id="1977178796">
      <w:bodyDiv w:val="1"/>
      <w:marLeft w:val="0"/>
      <w:marRight w:val="0"/>
      <w:marTop w:val="0"/>
      <w:marBottom w:val="0"/>
      <w:divBdr>
        <w:top w:val="none" w:sz="0" w:space="0" w:color="auto"/>
        <w:left w:val="none" w:sz="0" w:space="0" w:color="auto"/>
        <w:bottom w:val="none" w:sz="0" w:space="0" w:color="auto"/>
        <w:right w:val="none" w:sz="0" w:space="0" w:color="auto"/>
      </w:divBdr>
    </w:div>
    <w:div w:id="1977830925">
      <w:bodyDiv w:val="1"/>
      <w:marLeft w:val="0"/>
      <w:marRight w:val="0"/>
      <w:marTop w:val="0"/>
      <w:marBottom w:val="0"/>
      <w:divBdr>
        <w:top w:val="none" w:sz="0" w:space="0" w:color="auto"/>
        <w:left w:val="none" w:sz="0" w:space="0" w:color="auto"/>
        <w:bottom w:val="none" w:sz="0" w:space="0" w:color="auto"/>
        <w:right w:val="none" w:sz="0" w:space="0" w:color="auto"/>
      </w:divBdr>
    </w:div>
    <w:div w:id="1977908588">
      <w:bodyDiv w:val="1"/>
      <w:marLeft w:val="0"/>
      <w:marRight w:val="0"/>
      <w:marTop w:val="0"/>
      <w:marBottom w:val="0"/>
      <w:divBdr>
        <w:top w:val="none" w:sz="0" w:space="0" w:color="auto"/>
        <w:left w:val="none" w:sz="0" w:space="0" w:color="auto"/>
        <w:bottom w:val="none" w:sz="0" w:space="0" w:color="auto"/>
        <w:right w:val="none" w:sz="0" w:space="0" w:color="auto"/>
      </w:divBdr>
    </w:div>
    <w:div w:id="1978685397">
      <w:bodyDiv w:val="1"/>
      <w:marLeft w:val="0"/>
      <w:marRight w:val="0"/>
      <w:marTop w:val="0"/>
      <w:marBottom w:val="0"/>
      <w:divBdr>
        <w:top w:val="none" w:sz="0" w:space="0" w:color="auto"/>
        <w:left w:val="none" w:sz="0" w:space="0" w:color="auto"/>
        <w:bottom w:val="none" w:sz="0" w:space="0" w:color="auto"/>
        <w:right w:val="none" w:sz="0" w:space="0" w:color="auto"/>
      </w:divBdr>
    </w:div>
    <w:div w:id="1979451274">
      <w:bodyDiv w:val="1"/>
      <w:marLeft w:val="0"/>
      <w:marRight w:val="0"/>
      <w:marTop w:val="0"/>
      <w:marBottom w:val="0"/>
      <w:divBdr>
        <w:top w:val="none" w:sz="0" w:space="0" w:color="auto"/>
        <w:left w:val="none" w:sz="0" w:space="0" w:color="auto"/>
        <w:bottom w:val="none" w:sz="0" w:space="0" w:color="auto"/>
        <w:right w:val="none" w:sz="0" w:space="0" w:color="auto"/>
      </w:divBdr>
    </w:div>
    <w:div w:id="1979870712">
      <w:bodyDiv w:val="1"/>
      <w:marLeft w:val="0"/>
      <w:marRight w:val="0"/>
      <w:marTop w:val="0"/>
      <w:marBottom w:val="0"/>
      <w:divBdr>
        <w:top w:val="none" w:sz="0" w:space="0" w:color="auto"/>
        <w:left w:val="none" w:sz="0" w:space="0" w:color="auto"/>
        <w:bottom w:val="none" w:sz="0" w:space="0" w:color="auto"/>
        <w:right w:val="none" w:sz="0" w:space="0" w:color="auto"/>
      </w:divBdr>
    </w:div>
    <w:div w:id="1981569336">
      <w:bodyDiv w:val="1"/>
      <w:marLeft w:val="0"/>
      <w:marRight w:val="0"/>
      <w:marTop w:val="0"/>
      <w:marBottom w:val="0"/>
      <w:divBdr>
        <w:top w:val="none" w:sz="0" w:space="0" w:color="auto"/>
        <w:left w:val="none" w:sz="0" w:space="0" w:color="auto"/>
        <w:bottom w:val="none" w:sz="0" w:space="0" w:color="auto"/>
        <w:right w:val="none" w:sz="0" w:space="0" w:color="auto"/>
      </w:divBdr>
    </w:div>
    <w:div w:id="1981686851">
      <w:bodyDiv w:val="1"/>
      <w:marLeft w:val="0"/>
      <w:marRight w:val="0"/>
      <w:marTop w:val="0"/>
      <w:marBottom w:val="0"/>
      <w:divBdr>
        <w:top w:val="none" w:sz="0" w:space="0" w:color="auto"/>
        <w:left w:val="none" w:sz="0" w:space="0" w:color="auto"/>
        <w:bottom w:val="none" w:sz="0" w:space="0" w:color="auto"/>
        <w:right w:val="none" w:sz="0" w:space="0" w:color="auto"/>
      </w:divBdr>
    </w:div>
    <w:div w:id="1982005581">
      <w:bodyDiv w:val="1"/>
      <w:marLeft w:val="0"/>
      <w:marRight w:val="0"/>
      <w:marTop w:val="0"/>
      <w:marBottom w:val="0"/>
      <w:divBdr>
        <w:top w:val="none" w:sz="0" w:space="0" w:color="auto"/>
        <w:left w:val="none" w:sz="0" w:space="0" w:color="auto"/>
        <w:bottom w:val="none" w:sz="0" w:space="0" w:color="auto"/>
        <w:right w:val="none" w:sz="0" w:space="0" w:color="auto"/>
      </w:divBdr>
    </w:div>
    <w:div w:id="1982883985">
      <w:bodyDiv w:val="1"/>
      <w:marLeft w:val="0"/>
      <w:marRight w:val="0"/>
      <w:marTop w:val="0"/>
      <w:marBottom w:val="0"/>
      <w:divBdr>
        <w:top w:val="none" w:sz="0" w:space="0" w:color="auto"/>
        <w:left w:val="none" w:sz="0" w:space="0" w:color="auto"/>
        <w:bottom w:val="none" w:sz="0" w:space="0" w:color="auto"/>
        <w:right w:val="none" w:sz="0" w:space="0" w:color="auto"/>
      </w:divBdr>
    </w:div>
    <w:div w:id="1983923212">
      <w:bodyDiv w:val="1"/>
      <w:marLeft w:val="0"/>
      <w:marRight w:val="0"/>
      <w:marTop w:val="0"/>
      <w:marBottom w:val="0"/>
      <w:divBdr>
        <w:top w:val="none" w:sz="0" w:space="0" w:color="auto"/>
        <w:left w:val="none" w:sz="0" w:space="0" w:color="auto"/>
        <w:bottom w:val="none" w:sz="0" w:space="0" w:color="auto"/>
        <w:right w:val="none" w:sz="0" w:space="0" w:color="auto"/>
      </w:divBdr>
    </w:div>
    <w:div w:id="1984966453">
      <w:bodyDiv w:val="1"/>
      <w:marLeft w:val="0"/>
      <w:marRight w:val="0"/>
      <w:marTop w:val="0"/>
      <w:marBottom w:val="0"/>
      <w:divBdr>
        <w:top w:val="none" w:sz="0" w:space="0" w:color="auto"/>
        <w:left w:val="none" w:sz="0" w:space="0" w:color="auto"/>
        <w:bottom w:val="none" w:sz="0" w:space="0" w:color="auto"/>
        <w:right w:val="none" w:sz="0" w:space="0" w:color="auto"/>
      </w:divBdr>
    </w:div>
    <w:div w:id="1985354566">
      <w:bodyDiv w:val="1"/>
      <w:marLeft w:val="0"/>
      <w:marRight w:val="0"/>
      <w:marTop w:val="0"/>
      <w:marBottom w:val="0"/>
      <w:divBdr>
        <w:top w:val="none" w:sz="0" w:space="0" w:color="auto"/>
        <w:left w:val="none" w:sz="0" w:space="0" w:color="auto"/>
        <w:bottom w:val="none" w:sz="0" w:space="0" w:color="auto"/>
        <w:right w:val="none" w:sz="0" w:space="0" w:color="auto"/>
      </w:divBdr>
    </w:div>
    <w:div w:id="1985814770">
      <w:bodyDiv w:val="1"/>
      <w:marLeft w:val="0"/>
      <w:marRight w:val="0"/>
      <w:marTop w:val="0"/>
      <w:marBottom w:val="0"/>
      <w:divBdr>
        <w:top w:val="none" w:sz="0" w:space="0" w:color="auto"/>
        <w:left w:val="none" w:sz="0" w:space="0" w:color="auto"/>
        <w:bottom w:val="none" w:sz="0" w:space="0" w:color="auto"/>
        <w:right w:val="none" w:sz="0" w:space="0" w:color="auto"/>
      </w:divBdr>
    </w:div>
    <w:div w:id="1986006800">
      <w:bodyDiv w:val="1"/>
      <w:marLeft w:val="0"/>
      <w:marRight w:val="0"/>
      <w:marTop w:val="0"/>
      <w:marBottom w:val="0"/>
      <w:divBdr>
        <w:top w:val="none" w:sz="0" w:space="0" w:color="auto"/>
        <w:left w:val="none" w:sz="0" w:space="0" w:color="auto"/>
        <w:bottom w:val="none" w:sz="0" w:space="0" w:color="auto"/>
        <w:right w:val="none" w:sz="0" w:space="0" w:color="auto"/>
      </w:divBdr>
    </w:div>
    <w:div w:id="1986085919">
      <w:bodyDiv w:val="1"/>
      <w:marLeft w:val="0"/>
      <w:marRight w:val="0"/>
      <w:marTop w:val="0"/>
      <w:marBottom w:val="0"/>
      <w:divBdr>
        <w:top w:val="none" w:sz="0" w:space="0" w:color="auto"/>
        <w:left w:val="none" w:sz="0" w:space="0" w:color="auto"/>
        <w:bottom w:val="none" w:sz="0" w:space="0" w:color="auto"/>
        <w:right w:val="none" w:sz="0" w:space="0" w:color="auto"/>
      </w:divBdr>
    </w:div>
    <w:div w:id="1986203529">
      <w:bodyDiv w:val="1"/>
      <w:marLeft w:val="0"/>
      <w:marRight w:val="0"/>
      <w:marTop w:val="0"/>
      <w:marBottom w:val="0"/>
      <w:divBdr>
        <w:top w:val="none" w:sz="0" w:space="0" w:color="auto"/>
        <w:left w:val="none" w:sz="0" w:space="0" w:color="auto"/>
        <w:bottom w:val="none" w:sz="0" w:space="0" w:color="auto"/>
        <w:right w:val="none" w:sz="0" w:space="0" w:color="auto"/>
      </w:divBdr>
    </w:div>
    <w:div w:id="1986540284">
      <w:bodyDiv w:val="1"/>
      <w:marLeft w:val="0"/>
      <w:marRight w:val="0"/>
      <w:marTop w:val="0"/>
      <w:marBottom w:val="0"/>
      <w:divBdr>
        <w:top w:val="none" w:sz="0" w:space="0" w:color="auto"/>
        <w:left w:val="none" w:sz="0" w:space="0" w:color="auto"/>
        <w:bottom w:val="none" w:sz="0" w:space="0" w:color="auto"/>
        <w:right w:val="none" w:sz="0" w:space="0" w:color="auto"/>
      </w:divBdr>
    </w:div>
    <w:div w:id="1987513262">
      <w:bodyDiv w:val="1"/>
      <w:marLeft w:val="0"/>
      <w:marRight w:val="0"/>
      <w:marTop w:val="0"/>
      <w:marBottom w:val="0"/>
      <w:divBdr>
        <w:top w:val="none" w:sz="0" w:space="0" w:color="auto"/>
        <w:left w:val="none" w:sz="0" w:space="0" w:color="auto"/>
        <w:bottom w:val="none" w:sz="0" w:space="0" w:color="auto"/>
        <w:right w:val="none" w:sz="0" w:space="0" w:color="auto"/>
      </w:divBdr>
    </w:div>
    <w:div w:id="1988316396">
      <w:bodyDiv w:val="1"/>
      <w:marLeft w:val="0"/>
      <w:marRight w:val="0"/>
      <w:marTop w:val="0"/>
      <w:marBottom w:val="0"/>
      <w:divBdr>
        <w:top w:val="none" w:sz="0" w:space="0" w:color="auto"/>
        <w:left w:val="none" w:sz="0" w:space="0" w:color="auto"/>
        <w:bottom w:val="none" w:sz="0" w:space="0" w:color="auto"/>
        <w:right w:val="none" w:sz="0" w:space="0" w:color="auto"/>
      </w:divBdr>
    </w:div>
    <w:div w:id="1990595451">
      <w:bodyDiv w:val="1"/>
      <w:marLeft w:val="0"/>
      <w:marRight w:val="0"/>
      <w:marTop w:val="0"/>
      <w:marBottom w:val="0"/>
      <w:divBdr>
        <w:top w:val="none" w:sz="0" w:space="0" w:color="auto"/>
        <w:left w:val="none" w:sz="0" w:space="0" w:color="auto"/>
        <w:bottom w:val="none" w:sz="0" w:space="0" w:color="auto"/>
        <w:right w:val="none" w:sz="0" w:space="0" w:color="auto"/>
      </w:divBdr>
    </w:div>
    <w:div w:id="1991443695">
      <w:bodyDiv w:val="1"/>
      <w:marLeft w:val="0"/>
      <w:marRight w:val="0"/>
      <w:marTop w:val="0"/>
      <w:marBottom w:val="0"/>
      <w:divBdr>
        <w:top w:val="none" w:sz="0" w:space="0" w:color="auto"/>
        <w:left w:val="none" w:sz="0" w:space="0" w:color="auto"/>
        <w:bottom w:val="none" w:sz="0" w:space="0" w:color="auto"/>
        <w:right w:val="none" w:sz="0" w:space="0" w:color="auto"/>
      </w:divBdr>
    </w:div>
    <w:div w:id="1992516172">
      <w:bodyDiv w:val="1"/>
      <w:marLeft w:val="0"/>
      <w:marRight w:val="0"/>
      <w:marTop w:val="0"/>
      <w:marBottom w:val="0"/>
      <w:divBdr>
        <w:top w:val="none" w:sz="0" w:space="0" w:color="auto"/>
        <w:left w:val="none" w:sz="0" w:space="0" w:color="auto"/>
        <w:bottom w:val="none" w:sz="0" w:space="0" w:color="auto"/>
        <w:right w:val="none" w:sz="0" w:space="0" w:color="auto"/>
      </w:divBdr>
    </w:div>
    <w:div w:id="1992828946">
      <w:bodyDiv w:val="1"/>
      <w:marLeft w:val="0"/>
      <w:marRight w:val="0"/>
      <w:marTop w:val="0"/>
      <w:marBottom w:val="0"/>
      <w:divBdr>
        <w:top w:val="none" w:sz="0" w:space="0" w:color="auto"/>
        <w:left w:val="none" w:sz="0" w:space="0" w:color="auto"/>
        <w:bottom w:val="none" w:sz="0" w:space="0" w:color="auto"/>
        <w:right w:val="none" w:sz="0" w:space="0" w:color="auto"/>
      </w:divBdr>
    </w:div>
    <w:div w:id="1992903838">
      <w:bodyDiv w:val="1"/>
      <w:marLeft w:val="0"/>
      <w:marRight w:val="0"/>
      <w:marTop w:val="0"/>
      <w:marBottom w:val="0"/>
      <w:divBdr>
        <w:top w:val="none" w:sz="0" w:space="0" w:color="auto"/>
        <w:left w:val="none" w:sz="0" w:space="0" w:color="auto"/>
        <w:bottom w:val="none" w:sz="0" w:space="0" w:color="auto"/>
        <w:right w:val="none" w:sz="0" w:space="0" w:color="auto"/>
      </w:divBdr>
    </w:div>
    <w:div w:id="1993094391">
      <w:bodyDiv w:val="1"/>
      <w:marLeft w:val="0"/>
      <w:marRight w:val="0"/>
      <w:marTop w:val="0"/>
      <w:marBottom w:val="0"/>
      <w:divBdr>
        <w:top w:val="none" w:sz="0" w:space="0" w:color="auto"/>
        <w:left w:val="none" w:sz="0" w:space="0" w:color="auto"/>
        <w:bottom w:val="none" w:sz="0" w:space="0" w:color="auto"/>
        <w:right w:val="none" w:sz="0" w:space="0" w:color="auto"/>
      </w:divBdr>
    </w:div>
    <w:div w:id="1993899000">
      <w:bodyDiv w:val="1"/>
      <w:marLeft w:val="0"/>
      <w:marRight w:val="0"/>
      <w:marTop w:val="0"/>
      <w:marBottom w:val="0"/>
      <w:divBdr>
        <w:top w:val="none" w:sz="0" w:space="0" w:color="auto"/>
        <w:left w:val="none" w:sz="0" w:space="0" w:color="auto"/>
        <w:bottom w:val="none" w:sz="0" w:space="0" w:color="auto"/>
        <w:right w:val="none" w:sz="0" w:space="0" w:color="auto"/>
      </w:divBdr>
    </w:div>
    <w:div w:id="1994488366">
      <w:bodyDiv w:val="1"/>
      <w:marLeft w:val="0"/>
      <w:marRight w:val="0"/>
      <w:marTop w:val="0"/>
      <w:marBottom w:val="0"/>
      <w:divBdr>
        <w:top w:val="none" w:sz="0" w:space="0" w:color="auto"/>
        <w:left w:val="none" w:sz="0" w:space="0" w:color="auto"/>
        <w:bottom w:val="none" w:sz="0" w:space="0" w:color="auto"/>
        <w:right w:val="none" w:sz="0" w:space="0" w:color="auto"/>
      </w:divBdr>
    </w:div>
    <w:div w:id="1994915875">
      <w:bodyDiv w:val="1"/>
      <w:marLeft w:val="0"/>
      <w:marRight w:val="0"/>
      <w:marTop w:val="0"/>
      <w:marBottom w:val="0"/>
      <w:divBdr>
        <w:top w:val="none" w:sz="0" w:space="0" w:color="auto"/>
        <w:left w:val="none" w:sz="0" w:space="0" w:color="auto"/>
        <w:bottom w:val="none" w:sz="0" w:space="0" w:color="auto"/>
        <w:right w:val="none" w:sz="0" w:space="0" w:color="auto"/>
      </w:divBdr>
    </w:div>
    <w:div w:id="1995838070">
      <w:bodyDiv w:val="1"/>
      <w:marLeft w:val="0"/>
      <w:marRight w:val="0"/>
      <w:marTop w:val="0"/>
      <w:marBottom w:val="0"/>
      <w:divBdr>
        <w:top w:val="none" w:sz="0" w:space="0" w:color="auto"/>
        <w:left w:val="none" w:sz="0" w:space="0" w:color="auto"/>
        <w:bottom w:val="none" w:sz="0" w:space="0" w:color="auto"/>
        <w:right w:val="none" w:sz="0" w:space="0" w:color="auto"/>
      </w:divBdr>
    </w:div>
    <w:div w:id="1996453177">
      <w:bodyDiv w:val="1"/>
      <w:marLeft w:val="0"/>
      <w:marRight w:val="0"/>
      <w:marTop w:val="0"/>
      <w:marBottom w:val="0"/>
      <w:divBdr>
        <w:top w:val="none" w:sz="0" w:space="0" w:color="auto"/>
        <w:left w:val="none" w:sz="0" w:space="0" w:color="auto"/>
        <w:bottom w:val="none" w:sz="0" w:space="0" w:color="auto"/>
        <w:right w:val="none" w:sz="0" w:space="0" w:color="auto"/>
      </w:divBdr>
    </w:div>
    <w:div w:id="1997611284">
      <w:bodyDiv w:val="1"/>
      <w:marLeft w:val="0"/>
      <w:marRight w:val="0"/>
      <w:marTop w:val="0"/>
      <w:marBottom w:val="0"/>
      <w:divBdr>
        <w:top w:val="none" w:sz="0" w:space="0" w:color="auto"/>
        <w:left w:val="none" w:sz="0" w:space="0" w:color="auto"/>
        <w:bottom w:val="none" w:sz="0" w:space="0" w:color="auto"/>
        <w:right w:val="none" w:sz="0" w:space="0" w:color="auto"/>
      </w:divBdr>
    </w:div>
    <w:div w:id="1997760789">
      <w:bodyDiv w:val="1"/>
      <w:marLeft w:val="0"/>
      <w:marRight w:val="0"/>
      <w:marTop w:val="0"/>
      <w:marBottom w:val="0"/>
      <w:divBdr>
        <w:top w:val="none" w:sz="0" w:space="0" w:color="auto"/>
        <w:left w:val="none" w:sz="0" w:space="0" w:color="auto"/>
        <w:bottom w:val="none" w:sz="0" w:space="0" w:color="auto"/>
        <w:right w:val="none" w:sz="0" w:space="0" w:color="auto"/>
      </w:divBdr>
    </w:div>
    <w:div w:id="1999191396">
      <w:bodyDiv w:val="1"/>
      <w:marLeft w:val="0"/>
      <w:marRight w:val="0"/>
      <w:marTop w:val="0"/>
      <w:marBottom w:val="0"/>
      <w:divBdr>
        <w:top w:val="none" w:sz="0" w:space="0" w:color="auto"/>
        <w:left w:val="none" w:sz="0" w:space="0" w:color="auto"/>
        <w:bottom w:val="none" w:sz="0" w:space="0" w:color="auto"/>
        <w:right w:val="none" w:sz="0" w:space="0" w:color="auto"/>
      </w:divBdr>
    </w:div>
    <w:div w:id="1999725775">
      <w:bodyDiv w:val="1"/>
      <w:marLeft w:val="0"/>
      <w:marRight w:val="0"/>
      <w:marTop w:val="0"/>
      <w:marBottom w:val="0"/>
      <w:divBdr>
        <w:top w:val="none" w:sz="0" w:space="0" w:color="auto"/>
        <w:left w:val="none" w:sz="0" w:space="0" w:color="auto"/>
        <w:bottom w:val="none" w:sz="0" w:space="0" w:color="auto"/>
        <w:right w:val="none" w:sz="0" w:space="0" w:color="auto"/>
      </w:divBdr>
    </w:div>
    <w:div w:id="1999840758">
      <w:bodyDiv w:val="1"/>
      <w:marLeft w:val="0"/>
      <w:marRight w:val="0"/>
      <w:marTop w:val="0"/>
      <w:marBottom w:val="0"/>
      <w:divBdr>
        <w:top w:val="none" w:sz="0" w:space="0" w:color="auto"/>
        <w:left w:val="none" w:sz="0" w:space="0" w:color="auto"/>
        <w:bottom w:val="none" w:sz="0" w:space="0" w:color="auto"/>
        <w:right w:val="none" w:sz="0" w:space="0" w:color="auto"/>
      </w:divBdr>
    </w:div>
    <w:div w:id="2000495994">
      <w:bodyDiv w:val="1"/>
      <w:marLeft w:val="0"/>
      <w:marRight w:val="0"/>
      <w:marTop w:val="0"/>
      <w:marBottom w:val="0"/>
      <w:divBdr>
        <w:top w:val="none" w:sz="0" w:space="0" w:color="auto"/>
        <w:left w:val="none" w:sz="0" w:space="0" w:color="auto"/>
        <w:bottom w:val="none" w:sz="0" w:space="0" w:color="auto"/>
        <w:right w:val="none" w:sz="0" w:space="0" w:color="auto"/>
      </w:divBdr>
    </w:div>
    <w:div w:id="2000960267">
      <w:bodyDiv w:val="1"/>
      <w:marLeft w:val="0"/>
      <w:marRight w:val="0"/>
      <w:marTop w:val="0"/>
      <w:marBottom w:val="0"/>
      <w:divBdr>
        <w:top w:val="none" w:sz="0" w:space="0" w:color="auto"/>
        <w:left w:val="none" w:sz="0" w:space="0" w:color="auto"/>
        <w:bottom w:val="none" w:sz="0" w:space="0" w:color="auto"/>
        <w:right w:val="none" w:sz="0" w:space="0" w:color="auto"/>
      </w:divBdr>
    </w:div>
    <w:div w:id="2001040151">
      <w:bodyDiv w:val="1"/>
      <w:marLeft w:val="0"/>
      <w:marRight w:val="0"/>
      <w:marTop w:val="0"/>
      <w:marBottom w:val="0"/>
      <w:divBdr>
        <w:top w:val="none" w:sz="0" w:space="0" w:color="auto"/>
        <w:left w:val="none" w:sz="0" w:space="0" w:color="auto"/>
        <w:bottom w:val="none" w:sz="0" w:space="0" w:color="auto"/>
        <w:right w:val="none" w:sz="0" w:space="0" w:color="auto"/>
      </w:divBdr>
    </w:div>
    <w:div w:id="2003926439">
      <w:bodyDiv w:val="1"/>
      <w:marLeft w:val="0"/>
      <w:marRight w:val="0"/>
      <w:marTop w:val="0"/>
      <w:marBottom w:val="0"/>
      <w:divBdr>
        <w:top w:val="none" w:sz="0" w:space="0" w:color="auto"/>
        <w:left w:val="none" w:sz="0" w:space="0" w:color="auto"/>
        <w:bottom w:val="none" w:sz="0" w:space="0" w:color="auto"/>
        <w:right w:val="none" w:sz="0" w:space="0" w:color="auto"/>
      </w:divBdr>
    </w:div>
    <w:div w:id="2004579011">
      <w:bodyDiv w:val="1"/>
      <w:marLeft w:val="0"/>
      <w:marRight w:val="0"/>
      <w:marTop w:val="0"/>
      <w:marBottom w:val="0"/>
      <w:divBdr>
        <w:top w:val="none" w:sz="0" w:space="0" w:color="auto"/>
        <w:left w:val="none" w:sz="0" w:space="0" w:color="auto"/>
        <w:bottom w:val="none" w:sz="0" w:space="0" w:color="auto"/>
        <w:right w:val="none" w:sz="0" w:space="0" w:color="auto"/>
      </w:divBdr>
    </w:div>
    <w:div w:id="2005356220">
      <w:bodyDiv w:val="1"/>
      <w:marLeft w:val="0"/>
      <w:marRight w:val="0"/>
      <w:marTop w:val="0"/>
      <w:marBottom w:val="0"/>
      <w:divBdr>
        <w:top w:val="none" w:sz="0" w:space="0" w:color="auto"/>
        <w:left w:val="none" w:sz="0" w:space="0" w:color="auto"/>
        <w:bottom w:val="none" w:sz="0" w:space="0" w:color="auto"/>
        <w:right w:val="none" w:sz="0" w:space="0" w:color="auto"/>
      </w:divBdr>
    </w:div>
    <w:div w:id="2005625372">
      <w:bodyDiv w:val="1"/>
      <w:marLeft w:val="0"/>
      <w:marRight w:val="0"/>
      <w:marTop w:val="0"/>
      <w:marBottom w:val="0"/>
      <w:divBdr>
        <w:top w:val="none" w:sz="0" w:space="0" w:color="auto"/>
        <w:left w:val="none" w:sz="0" w:space="0" w:color="auto"/>
        <w:bottom w:val="none" w:sz="0" w:space="0" w:color="auto"/>
        <w:right w:val="none" w:sz="0" w:space="0" w:color="auto"/>
      </w:divBdr>
    </w:div>
    <w:div w:id="2005814218">
      <w:bodyDiv w:val="1"/>
      <w:marLeft w:val="0"/>
      <w:marRight w:val="0"/>
      <w:marTop w:val="0"/>
      <w:marBottom w:val="0"/>
      <w:divBdr>
        <w:top w:val="none" w:sz="0" w:space="0" w:color="auto"/>
        <w:left w:val="none" w:sz="0" w:space="0" w:color="auto"/>
        <w:bottom w:val="none" w:sz="0" w:space="0" w:color="auto"/>
        <w:right w:val="none" w:sz="0" w:space="0" w:color="auto"/>
      </w:divBdr>
    </w:div>
    <w:div w:id="2005820981">
      <w:bodyDiv w:val="1"/>
      <w:marLeft w:val="0"/>
      <w:marRight w:val="0"/>
      <w:marTop w:val="0"/>
      <w:marBottom w:val="0"/>
      <w:divBdr>
        <w:top w:val="none" w:sz="0" w:space="0" w:color="auto"/>
        <w:left w:val="none" w:sz="0" w:space="0" w:color="auto"/>
        <w:bottom w:val="none" w:sz="0" w:space="0" w:color="auto"/>
        <w:right w:val="none" w:sz="0" w:space="0" w:color="auto"/>
      </w:divBdr>
    </w:div>
    <w:div w:id="2006200759">
      <w:bodyDiv w:val="1"/>
      <w:marLeft w:val="0"/>
      <w:marRight w:val="0"/>
      <w:marTop w:val="0"/>
      <w:marBottom w:val="0"/>
      <w:divBdr>
        <w:top w:val="none" w:sz="0" w:space="0" w:color="auto"/>
        <w:left w:val="none" w:sz="0" w:space="0" w:color="auto"/>
        <w:bottom w:val="none" w:sz="0" w:space="0" w:color="auto"/>
        <w:right w:val="none" w:sz="0" w:space="0" w:color="auto"/>
      </w:divBdr>
    </w:div>
    <w:div w:id="2006323724">
      <w:bodyDiv w:val="1"/>
      <w:marLeft w:val="0"/>
      <w:marRight w:val="0"/>
      <w:marTop w:val="0"/>
      <w:marBottom w:val="0"/>
      <w:divBdr>
        <w:top w:val="none" w:sz="0" w:space="0" w:color="auto"/>
        <w:left w:val="none" w:sz="0" w:space="0" w:color="auto"/>
        <w:bottom w:val="none" w:sz="0" w:space="0" w:color="auto"/>
        <w:right w:val="none" w:sz="0" w:space="0" w:color="auto"/>
      </w:divBdr>
    </w:div>
    <w:div w:id="2006585224">
      <w:bodyDiv w:val="1"/>
      <w:marLeft w:val="0"/>
      <w:marRight w:val="0"/>
      <w:marTop w:val="0"/>
      <w:marBottom w:val="0"/>
      <w:divBdr>
        <w:top w:val="none" w:sz="0" w:space="0" w:color="auto"/>
        <w:left w:val="none" w:sz="0" w:space="0" w:color="auto"/>
        <w:bottom w:val="none" w:sz="0" w:space="0" w:color="auto"/>
        <w:right w:val="none" w:sz="0" w:space="0" w:color="auto"/>
      </w:divBdr>
    </w:div>
    <w:div w:id="2006591982">
      <w:bodyDiv w:val="1"/>
      <w:marLeft w:val="0"/>
      <w:marRight w:val="0"/>
      <w:marTop w:val="0"/>
      <w:marBottom w:val="0"/>
      <w:divBdr>
        <w:top w:val="none" w:sz="0" w:space="0" w:color="auto"/>
        <w:left w:val="none" w:sz="0" w:space="0" w:color="auto"/>
        <w:bottom w:val="none" w:sz="0" w:space="0" w:color="auto"/>
        <w:right w:val="none" w:sz="0" w:space="0" w:color="auto"/>
      </w:divBdr>
    </w:div>
    <w:div w:id="2006664914">
      <w:bodyDiv w:val="1"/>
      <w:marLeft w:val="0"/>
      <w:marRight w:val="0"/>
      <w:marTop w:val="0"/>
      <w:marBottom w:val="0"/>
      <w:divBdr>
        <w:top w:val="none" w:sz="0" w:space="0" w:color="auto"/>
        <w:left w:val="none" w:sz="0" w:space="0" w:color="auto"/>
        <w:bottom w:val="none" w:sz="0" w:space="0" w:color="auto"/>
        <w:right w:val="none" w:sz="0" w:space="0" w:color="auto"/>
      </w:divBdr>
    </w:div>
    <w:div w:id="2006980502">
      <w:bodyDiv w:val="1"/>
      <w:marLeft w:val="0"/>
      <w:marRight w:val="0"/>
      <w:marTop w:val="0"/>
      <w:marBottom w:val="0"/>
      <w:divBdr>
        <w:top w:val="none" w:sz="0" w:space="0" w:color="auto"/>
        <w:left w:val="none" w:sz="0" w:space="0" w:color="auto"/>
        <w:bottom w:val="none" w:sz="0" w:space="0" w:color="auto"/>
        <w:right w:val="none" w:sz="0" w:space="0" w:color="auto"/>
      </w:divBdr>
    </w:div>
    <w:div w:id="2007661923">
      <w:bodyDiv w:val="1"/>
      <w:marLeft w:val="0"/>
      <w:marRight w:val="0"/>
      <w:marTop w:val="0"/>
      <w:marBottom w:val="0"/>
      <w:divBdr>
        <w:top w:val="none" w:sz="0" w:space="0" w:color="auto"/>
        <w:left w:val="none" w:sz="0" w:space="0" w:color="auto"/>
        <w:bottom w:val="none" w:sz="0" w:space="0" w:color="auto"/>
        <w:right w:val="none" w:sz="0" w:space="0" w:color="auto"/>
      </w:divBdr>
    </w:div>
    <w:div w:id="2008513471">
      <w:bodyDiv w:val="1"/>
      <w:marLeft w:val="0"/>
      <w:marRight w:val="0"/>
      <w:marTop w:val="0"/>
      <w:marBottom w:val="0"/>
      <w:divBdr>
        <w:top w:val="none" w:sz="0" w:space="0" w:color="auto"/>
        <w:left w:val="none" w:sz="0" w:space="0" w:color="auto"/>
        <w:bottom w:val="none" w:sz="0" w:space="0" w:color="auto"/>
        <w:right w:val="none" w:sz="0" w:space="0" w:color="auto"/>
      </w:divBdr>
    </w:div>
    <w:div w:id="2010060909">
      <w:bodyDiv w:val="1"/>
      <w:marLeft w:val="0"/>
      <w:marRight w:val="0"/>
      <w:marTop w:val="0"/>
      <w:marBottom w:val="0"/>
      <w:divBdr>
        <w:top w:val="none" w:sz="0" w:space="0" w:color="auto"/>
        <w:left w:val="none" w:sz="0" w:space="0" w:color="auto"/>
        <w:bottom w:val="none" w:sz="0" w:space="0" w:color="auto"/>
        <w:right w:val="none" w:sz="0" w:space="0" w:color="auto"/>
      </w:divBdr>
    </w:div>
    <w:div w:id="2010061558">
      <w:bodyDiv w:val="1"/>
      <w:marLeft w:val="0"/>
      <w:marRight w:val="0"/>
      <w:marTop w:val="0"/>
      <w:marBottom w:val="0"/>
      <w:divBdr>
        <w:top w:val="none" w:sz="0" w:space="0" w:color="auto"/>
        <w:left w:val="none" w:sz="0" w:space="0" w:color="auto"/>
        <w:bottom w:val="none" w:sz="0" w:space="0" w:color="auto"/>
        <w:right w:val="none" w:sz="0" w:space="0" w:color="auto"/>
      </w:divBdr>
    </w:div>
    <w:div w:id="2010211715">
      <w:bodyDiv w:val="1"/>
      <w:marLeft w:val="0"/>
      <w:marRight w:val="0"/>
      <w:marTop w:val="0"/>
      <w:marBottom w:val="0"/>
      <w:divBdr>
        <w:top w:val="none" w:sz="0" w:space="0" w:color="auto"/>
        <w:left w:val="none" w:sz="0" w:space="0" w:color="auto"/>
        <w:bottom w:val="none" w:sz="0" w:space="0" w:color="auto"/>
        <w:right w:val="none" w:sz="0" w:space="0" w:color="auto"/>
      </w:divBdr>
    </w:div>
    <w:div w:id="2010326639">
      <w:bodyDiv w:val="1"/>
      <w:marLeft w:val="0"/>
      <w:marRight w:val="0"/>
      <w:marTop w:val="0"/>
      <w:marBottom w:val="0"/>
      <w:divBdr>
        <w:top w:val="none" w:sz="0" w:space="0" w:color="auto"/>
        <w:left w:val="none" w:sz="0" w:space="0" w:color="auto"/>
        <w:bottom w:val="none" w:sz="0" w:space="0" w:color="auto"/>
        <w:right w:val="none" w:sz="0" w:space="0" w:color="auto"/>
      </w:divBdr>
    </w:div>
    <w:div w:id="2010328730">
      <w:bodyDiv w:val="1"/>
      <w:marLeft w:val="0"/>
      <w:marRight w:val="0"/>
      <w:marTop w:val="0"/>
      <w:marBottom w:val="0"/>
      <w:divBdr>
        <w:top w:val="none" w:sz="0" w:space="0" w:color="auto"/>
        <w:left w:val="none" w:sz="0" w:space="0" w:color="auto"/>
        <w:bottom w:val="none" w:sz="0" w:space="0" w:color="auto"/>
        <w:right w:val="none" w:sz="0" w:space="0" w:color="auto"/>
      </w:divBdr>
    </w:div>
    <w:div w:id="2010792148">
      <w:bodyDiv w:val="1"/>
      <w:marLeft w:val="0"/>
      <w:marRight w:val="0"/>
      <w:marTop w:val="0"/>
      <w:marBottom w:val="0"/>
      <w:divBdr>
        <w:top w:val="none" w:sz="0" w:space="0" w:color="auto"/>
        <w:left w:val="none" w:sz="0" w:space="0" w:color="auto"/>
        <w:bottom w:val="none" w:sz="0" w:space="0" w:color="auto"/>
        <w:right w:val="none" w:sz="0" w:space="0" w:color="auto"/>
      </w:divBdr>
    </w:div>
    <w:div w:id="2010867412">
      <w:bodyDiv w:val="1"/>
      <w:marLeft w:val="0"/>
      <w:marRight w:val="0"/>
      <w:marTop w:val="0"/>
      <w:marBottom w:val="0"/>
      <w:divBdr>
        <w:top w:val="none" w:sz="0" w:space="0" w:color="auto"/>
        <w:left w:val="none" w:sz="0" w:space="0" w:color="auto"/>
        <w:bottom w:val="none" w:sz="0" w:space="0" w:color="auto"/>
        <w:right w:val="none" w:sz="0" w:space="0" w:color="auto"/>
      </w:divBdr>
    </w:div>
    <w:div w:id="2011254459">
      <w:bodyDiv w:val="1"/>
      <w:marLeft w:val="0"/>
      <w:marRight w:val="0"/>
      <w:marTop w:val="0"/>
      <w:marBottom w:val="0"/>
      <w:divBdr>
        <w:top w:val="none" w:sz="0" w:space="0" w:color="auto"/>
        <w:left w:val="none" w:sz="0" w:space="0" w:color="auto"/>
        <w:bottom w:val="none" w:sz="0" w:space="0" w:color="auto"/>
        <w:right w:val="none" w:sz="0" w:space="0" w:color="auto"/>
      </w:divBdr>
    </w:div>
    <w:div w:id="2011716271">
      <w:bodyDiv w:val="1"/>
      <w:marLeft w:val="0"/>
      <w:marRight w:val="0"/>
      <w:marTop w:val="0"/>
      <w:marBottom w:val="0"/>
      <w:divBdr>
        <w:top w:val="none" w:sz="0" w:space="0" w:color="auto"/>
        <w:left w:val="none" w:sz="0" w:space="0" w:color="auto"/>
        <w:bottom w:val="none" w:sz="0" w:space="0" w:color="auto"/>
        <w:right w:val="none" w:sz="0" w:space="0" w:color="auto"/>
      </w:divBdr>
    </w:div>
    <w:div w:id="2012221509">
      <w:bodyDiv w:val="1"/>
      <w:marLeft w:val="0"/>
      <w:marRight w:val="0"/>
      <w:marTop w:val="0"/>
      <w:marBottom w:val="0"/>
      <w:divBdr>
        <w:top w:val="none" w:sz="0" w:space="0" w:color="auto"/>
        <w:left w:val="none" w:sz="0" w:space="0" w:color="auto"/>
        <w:bottom w:val="none" w:sz="0" w:space="0" w:color="auto"/>
        <w:right w:val="none" w:sz="0" w:space="0" w:color="auto"/>
      </w:divBdr>
    </w:div>
    <w:div w:id="2013022873">
      <w:bodyDiv w:val="1"/>
      <w:marLeft w:val="0"/>
      <w:marRight w:val="0"/>
      <w:marTop w:val="0"/>
      <w:marBottom w:val="0"/>
      <w:divBdr>
        <w:top w:val="none" w:sz="0" w:space="0" w:color="auto"/>
        <w:left w:val="none" w:sz="0" w:space="0" w:color="auto"/>
        <w:bottom w:val="none" w:sz="0" w:space="0" w:color="auto"/>
        <w:right w:val="none" w:sz="0" w:space="0" w:color="auto"/>
      </w:divBdr>
    </w:div>
    <w:div w:id="2013025377">
      <w:bodyDiv w:val="1"/>
      <w:marLeft w:val="0"/>
      <w:marRight w:val="0"/>
      <w:marTop w:val="0"/>
      <w:marBottom w:val="0"/>
      <w:divBdr>
        <w:top w:val="none" w:sz="0" w:space="0" w:color="auto"/>
        <w:left w:val="none" w:sz="0" w:space="0" w:color="auto"/>
        <w:bottom w:val="none" w:sz="0" w:space="0" w:color="auto"/>
        <w:right w:val="none" w:sz="0" w:space="0" w:color="auto"/>
      </w:divBdr>
    </w:div>
    <w:div w:id="2013337057">
      <w:bodyDiv w:val="1"/>
      <w:marLeft w:val="0"/>
      <w:marRight w:val="0"/>
      <w:marTop w:val="0"/>
      <w:marBottom w:val="0"/>
      <w:divBdr>
        <w:top w:val="none" w:sz="0" w:space="0" w:color="auto"/>
        <w:left w:val="none" w:sz="0" w:space="0" w:color="auto"/>
        <w:bottom w:val="none" w:sz="0" w:space="0" w:color="auto"/>
        <w:right w:val="none" w:sz="0" w:space="0" w:color="auto"/>
      </w:divBdr>
    </w:div>
    <w:div w:id="2013408576">
      <w:bodyDiv w:val="1"/>
      <w:marLeft w:val="0"/>
      <w:marRight w:val="0"/>
      <w:marTop w:val="0"/>
      <w:marBottom w:val="0"/>
      <w:divBdr>
        <w:top w:val="none" w:sz="0" w:space="0" w:color="auto"/>
        <w:left w:val="none" w:sz="0" w:space="0" w:color="auto"/>
        <w:bottom w:val="none" w:sz="0" w:space="0" w:color="auto"/>
        <w:right w:val="none" w:sz="0" w:space="0" w:color="auto"/>
      </w:divBdr>
    </w:div>
    <w:div w:id="2013601639">
      <w:bodyDiv w:val="1"/>
      <w:marLeft w:val="0"/>
      <w:marRight w:val="0"/>
      <w:marTop w:val="0"/>
      <w:marBottom w:val="0"/>
      <w:divBdr>
        <w:top w:val="none" w:sz="0" w:space="0" w:color="auto"/>
        <w:left w:val="none" w:sz="0" w:space="0" w:color="auto"/>
        <w:bottom w:val="none" w:sz="0" w:space="0" w:color="auto"/>
        <w:right w:val="none" w:sz="0" w:space="0" w:color="auto"/>
      </w:divBdr>
    </w:div>
    <w:div w:id="2013754415">
      <w:bodyDiv w:val="1"/>
      <w:marLeft w:val="0"/>
      <w:marRight w:val="0"/>
      <w:marTop w:val="0"/>
      <w:marBottom w:val="0"/>
      <w:divBdr>
        <w:top w:val="none" w:sz="0" w:space="0" w:color="auto"/>
        <w:left w:val="none" w:sz="0" w:space="0" w:color="auto"/>
        <w:bottom w:val="none" w:sz="0" w:space="0" w:color="auto"/>
        <w:right w:val="none" w:sz="0" w:space="0" w:color="auto"/>
      </w:divBdr>
    </w:div>
    <w:div w:id="2013946418">
      <w:bodyDiv w:val="1"/>
      <w:marLeft w:val="0"/>
      <w:marRight w:val="0"/>
      <w:marTop w:val="0"/>
      <w:marBottom w:val="0"/>
      <w:divBdr>
        <w:top w:val="none" w:sz="0" w:space="0" w:color="auto"/>
        <w:left w:val="none" w:sz="0" w:space="0" w:color="auto"/>
        <w:bottom w:val="none" w:sz="0" w:space="0" w:color="auto"/>
        <w:right w:val="none" w:sz="0" w:space="0" w:color="auto"/>
      </w:divBdr>
    </w:div>
    <w:div w:id="2014523729">
      <w:bodyDiv w:val="1"/>
      <w:marLeft w:val="0"/>
      <w:marRight w:val="0"/>
      <w:marTop w:val="0"/>
      <w:marBottom w:val="0"/>
      <w:divBdr>
        <w:top w:val="none" w:sz="0" w:space="0" w:color="auto"/>
        <w:left w:val="none" w:sz="0" w:space="0" w:color="auto"/>
        <w:bottom w:val="none" w:sz="0" w:space="0" w:color="auto"/>
        <w:right w:val="none" w:sz="0" w:space="0" w:color="auto"/>
      </w:divBdr>
    </w:div>
    <w:div w:id="2015106132">
      <w:bodyDiv w:val="1"/>
      <w:marLeft w:val="0"/>
      <w:marRight w:val="0"/>
      <w:marTop w:val="0"/>
      <w:marBottom w:val="0"/>
      <w:divBdr>
        <w:top w:val="none" w:sz="0" w:space="0" w:color="auto"/>
        <w:left w:val="none" w:sz="0" w:space="0" w:color="auto"/>
        <w:bottom w:val="none" w:sz="0" w:space="0" w:color="auto"/>
        <w:right w:val="none" w:sz="0" w:space="0" w:color="auto"/>
      </w:divBdr>
    </w:div>
    <w:div w:id="2015259889">
      <w:bodyDiv w:val="1"/>
      <w:marLeft w:val="0"/>
      <w:marRight w:val="0"/>
      <w:marTop w:val="0"/>
      <w:marBottom w:val="0"/>
      <w:divBdr>
        <w:top w:val="none" w:sz="0" w:space="0" w:color="auto"/>
        <w:left w:val="none" w:sz="0" w:space="0" w:color="auto"/>
        <w:bottom w:val="none" w:sz="0" w:space="0" w:color="auto"/>
        <w:right w:val="none" w:sz="0" w:space="0" w:color="auto"/>
      </w:divBdr>
    </w:div>
    <w:div w:id="2015452932">
      <w:bodyDiv w:val="1"/>
      <w:marLeft w:val="0"/>
      <w:marRight w:val="0"/>
      <w:marTop w:val="0"/>
      <w:marBottom w:val="0"/>
      <w:divBdr>
        <w:top w:val="none" w:sz="0" w:space="0" w:color="auto"/>
        <w:left w:val="none" w:sz="0" w:space="0" w:color="auto"/>
        <w:bottom w:val="none" w:sz="0" w:space="0" w:color="auto"/>
        <w:right w:val="none" w:sz="0" w:space="0" w:color="auto"/>
      </w:divBdr>
    </w:div>
    <w:div w:id="2015954061">
      <w:bodyDiv w:val="1"/>
      <w:marLeft w:val="0"/>
      <w:marRight w:val="0"/>
      <w:marTop w:val="0"/>
      <w:marBottom w:val="0"/>
      <w:divBdr>
        <w:top w:val="none" w:sz="0" w:space="0" w:color="auto"/>
        <w:left w:val="none" w:sz="0" w:space="0" w:color="auto"/>
        <w:bottom w:val="none" w:sz="0" w:space="0" w:color="auto"/>
        <w:right w:val="none" w:sz="0" w:space="0" w:color="auto"/>
      </w:divBdr>
    </w:div>
    <w:div w:id="2016296793">
      <w:bodyDiv w:val="1"/>
      <w:marLeft w:val="0"/>
      <w:marRight w:val="0"/>
      <w:marTop w:val="0"/>
      <w:marBottom w:val="0"/>
      <w:divBdr>
        <w:top w:val="none" w:sz="0" w:space="0" w:color="auto"/>
        <w:left w:val="none" w:sz="0" w:space="0" w:color="auto"/>
        <w:bottom w:val="none" w:sz="0" w:space="0" w:color="auto"/>
        <w:right w:val="none" w:sz="0" w:space="0" w:color="auto"/>
      </w:divBdr>
    </w:div>
    <w:div w:id="2016418393">
      <w:bodyDiv w:val="1"/>
      <w:marLeft w:val="0"/>
      <w:marRight w:val="0"/>
      <w:marTop w:val="0"/>
      <w:marBottom w:val="0"/>
      <w:divBdr>
        <w:top w:val="none" w:sz="0" w:space="0" w:color="auto"/>
        <w:left w:val="none" w:sz="0" w:space="0" w:color="auto"/>
        <w:bottom w:val="none" w:sz="0" w:space="0" w:color="auto"/>
        <w:right w:val="none" w:sz="0" w:space="0" w:color="auto"/>
      </w:divBdr>
    </w:div>
    <w:div w:id="2017610223">
      <w:bodyDiv w:val="1"/>
      <w:marLeft w:val="0"/>
      <w:marRight w:val="0"/>
      <w:marTop w:val="0"/>
      <w:marBottom w:val="0"/>
      <w:divBdr>
        <w:top w:val="none" w:sz="0" w:space="0" w:color="auto"/>
        <w:left w:val="none" w:sz="0" w:space="0" w:color="auto"/>
        <w:bottom w:val="none" w:sz="0" w:space="0" w:color="auto"/>
        <w:right w:val="none" w:sz="0" w:space="0" w:color="auto"/>
      </w:divBdr>
    </w:div>
    <w:div w:id="2017882985">
      <w:bodyDiv w:val="1"/>
      <w:marLeft w:val="0"/>
      <w:marRight w:val="0"/>
      <w:marTop w:val="0"/>
      <w:marBottom w:val="0"/>
      <w:divBdr>
        <w:top w:val="none" w:sz="0" w:space="0" w:color="auto"/>
        <w:left w:val="none" w:sz="0" w:space="0" w:color="auto"/>
        <w:bottom w:val="none" w:sz="0" w:space="0" w:color="auto"/>
        <w:right w:val="none" w:sz="0" w:space="0" w:color="auto"/>
      </w:divBdr>
    </w:div>
    <w:div w:id="2018539414">
      <w:bodyDiv w:val="1"/>
      <w:marLeft w:val="0"/>
      <w:marRight w:val="0"/>
      <w:marTop w:val="0"/>
      <w:marBottom w:val="0"/>
      <w:divBdr>
        <w:top w:val="none" w:sz="0" w:space="0" w:color="auto"/>
        <w:left w:val="none" w:sz="0" w:space="0" w:color="auto"/>
        <w:bottom w:val="none" w:sz="0" w:space="0" w:color="auto"/>
        <w:right w:val="none" w:sz="0" w:space="0" w:color="auto"/>
      </w:divBdr>
    </w:div>
    <w:div w:id="2019115850">
      <w:bodyDiv w:val="1"/>
      <w:marLeft w:val="0"/>
      <w:marRight w:val="0"/>
      <w:marTop w:val="0"/>
      <w:marBottom w:val="0"/>
      <w:divBdr>
        <w:top w:val="none" w:sz="0" w:space="0" w:color="auto"/>
        <w:left w:val="none" w:sz="0" w:space="0" w:color="auto"/>
        <w:bottom w:val="none" w:sz="0" w:space="0" w:color="auto"/>
        <w:right w:val="none" w:sz="0" w:space="0" w:color="auto"/>
      </w:divBdr>
    </w:div>
    <w:div w:id="2019427488">
      <w:bodyDiv w:val="1"/>
      <w:marLeft w:val="0"/>
      <w:marRight w:val="0"/>
      <w:marTop w:val="0"/>
      <w:marBottom w:val="0"/>
      <w:divBdr>
        <w:top w:val="none" w:sz="0" w:space="0" w:color="auto"/>
        <w:left w:val="none" w:sz="0" w:space="0" w:color="auto"/>
        <w:bottom w:val="none" w:sz="0" w:space="0" w:color="auto"/>
        <w:right w:val="none" w:sz="0" w:space="0" w:color="auto"/>
      </w:divBdr>
    </w:div>
    <w:div w:id="2019847766">
      <w:bodyDiv w:val="1"/>
      <w:marLeft w:val="0"/>
      <w:marRight w:val="0"/>
      <w:marTop w:val="0"/>
      <w:marBottom w:val="0"/>
      <w:divBdr>
        <w:top w:val="none" w:sz="0" w:space="0" w:color="auto"/>
        <w:left w:val="none" w:sz="0" w:space="0" w:color="auto"/>
        <w:bottom w:val="none" w:sz="0" w:space="0" w:color="auto"/>
        <w:right w:val="none" w:sz="0" w:space="0" w:color="auto"/>
      </w:divBdr>
    </w:div>
    <w:div w:id="2019890871">
      <w:bodyDiv w:val="1"/>
      <w:marLeft w:val="0"/>
      <w:marRight w:val="0"/>
      <w:marTop w:val="0"/>
      <w:marBottom w:val="0"/>
      <w:divBdr>
        <w:top w:val="none" w:sz="0" w:space="0" w:color="auto"/>
        <w:left w:val="none" w:sz="0" w:space="0" w:color="auto"/>
        <w:bottom w:val="none" w:sz="0" w:space="0" w:color="auto"/>
        <w:right w:val="none" w:sz="0" w:space="0" w:color="auto"/>
      </w:divBdr>
    </w:div>
    <w:div w:id="2020113262">
      <w:bodyDiv w:val="1"/>
      <w:marLeft w:val="0"/>
      <w:marRight w:val="0"/>
      <w:marTop w:val="0"/>
      <w:marBottom w:val="0"/>
      <w:divBdr>
        <w:top w:val="none" w:sz="0" w:space="0" w:color="auto"/>
        <w:left w:val="none" w:sz="0" w:space="0" w:color="auto"/>
        <w:bottom w:val="none" w:sz="0" w:space="0" w:color="auto"/>
        <w:right w:val="none" w:sz="0" w:space="0" w:color="auto"/>
      </w:divBdr>
    </w:div>
    <w:div w:id="2020349005">
      <w:bodyDiv w:val="1"/>
      <w:marLeft w:val="0"/>
      <w:marRight w:val="0"/>
      <w:marTop w:val="0"/>
      <w:marBottom w:val="0"/>
      <w:divBdr>
        <w:top w:val="none" w:sz="0" w:space="0" w:color="auto"/>
        <w:left w:val="none" w:sz="0" w:space="0" w:color="auto"/>
        <w:bottom w:val="none" w:sz="0" w:space="0" w:color="auto"/>
        <w:right w:val="none" w:sz="0" w:space="0" w:color="auto"/>
      </w:divBdr>
    </w:div>
    <w:div w:id="2021155830">
      <w:bodyDiv w:val="1"/>
      <w:marLeft w:val="0"/>
      <w:marRight w:val="0"/>
      <w:marTop w:val="0"/>
      <w:marBottom w:val="0"/>
      <w:divBdr>
        <w:top w:val="none" w:sz="0" w:space="0" w:color="auto"/>
        <w:left w:val="none" w:sz="0" w:space="0" w:color="auto"/>
        <w:bottom w:val="none" w:sz="0" w:space="0" w:color="auto"/>
        <w:right w:val="none" w:sz="0" w:space="0" w:color="auto"/>
      </w:divBdr>
    </w:div>
    <w:div w:id="2021353021">
      <w:bodyDiv w:val="1"/>
      <w:marLeft w:val="0"/>
      <w:marRight w:val="0"/>
      <w:marTop w:val="0"/>
      <w:marBottom w:val="0"/>
      <w:divBdr>
        <w:top w:val="none" w:sz="0" w:space="0" w:color="auto"/>
        <w:left w:val="none" w:sz="0" w:space="0" w:color="auto"/>
        <w:bottom w:val="none" w:sz="0" w:space="0" w:color="auto"/>
        <w:right w:val="none" w:sz="0" w:space="0" w:color="auto"/>
      </w:divBdr>
    </w:div>
    <w:div w:id="2022195395">
      <w:bodyDiv w:val="1"/>
      <w:marLeft w:val="0"/>
      <w:marRight w:val="0"/>
      <w:marTop w:val="0"/>
      <w:marBottom w:val="0"/>
      <w:divBdr>
        <w:top w:val="none" w:sz="0" w:space="0" w:color="auto"/>
        <w:left w:val="none" w:sz="0" w:space="0" w:color="auto"/>
        <w:bottom w:val="none" w:sz="0" w:space="0" w:color="auto"/>
        <w:right w:val="none" w:sz="0" w:space="0" w:color="auto"/>
      </w:divBdr>
    </w:div>
    <w:div w:id="2022584461">
      <w:bodyDiv w:val="1"/>
      <w:marLeft w:val="0"/>
      <w:marRight w:val="0"/>
      <w:marTop w:val="0"/>
      <w:marBottom w:val="0"/>
      <w:divBdr>
        <w:top w:val="none" w:sz="0" w:space="0" w:color="auto"/>
        <w:left w:val="none" w:sz="0" w:space="0" w:color="auto"/>
        <w:bottom w:val="none" w:sz="0" w:space="0" w:color="auto"/>
        <w:right w:val="none" w:sz="0" w:space="0" w:color="auto"/>
      </w:divBdr>
    </w:div>
    <w:div w:id="2022857647">
      <w:bodyDiv w:val="1"/>
      <w:marLeft w:val="0"/>
      <w:marRight w:val="0"/>
      <w:marTop w:val="0"/>
      <w:marBottom w:val="0"/>
      <w:divBdr>
        <w:top w:val="none" w:sz="0" w:space="0" w:color="auto"/>
        <w:left w:val="none" w:sz="0" w:space="0" w:color="auto"/>
        <w:bottom w:val="none" w:sz="0" w:space="0" w:color="auto"/>
        <w:right w:val="none" w:sz="0" w:space="0" w:color="auto"/>
      </w:divBdr>
    </w:div>
    <w:div w:id="2022930827">
      <w:bodyDiv w:val="1"/>
      <w:marLeft w:val="0"/>
      <w:marRight w:val="0"/>
      <w:marTop w:val="0"/>
      <w:marBottom w:val="0"/>
      <w:divBdr>
        <w:top w:val="none" w:sz="0" w:space="0" w:color="auto"/>
        <w:left w:val="none" w:sz="0" w:space="0" w:color="auto"/>
        <w:bottom w:val="none" w:sz="0" w:space="0" w:color="auto"/>
        <w:right w:val="none" w:sz="0" w:space="0" w:color="auto"/>
      </w:divBdr>
    </w:div>
    <w:div w:id="2023050775">
      <w:bodyDiv w:val="1"/>
      <w:marLeft w:val="0"/>
      <w:marRight w:val="0"/>
      <w:marTop w:val="0"/>
      <w:marBottom w:val="0"/>
      <w:divBdr>
        <w:top w:val="none" w:sz="0" w:space="0" w:color="auto"/>
        <w:left w:val="none" w:sz="0" w:space="0" w:color="auto"/>
        <w:bottom w:val="none" w:sz="0" w:space="0" w:color="auto"/>
        <w:right w:val="none" w:sz="0" w:space="0" w:color="auto"/>
      </w:divBdr>
    </w:div>
    <w:div w:id="2024210540">
      <w:bodyDiv w:val="1"/>
      <w:marLeft w:val="0"/>
      <w:marRight w:val="0"/>
      <w:marTop w:val="0"/>
      <w:marBottom w:val="0"/>
      <w:divBdr>
        <w:top w:val="none" w:sz="0" w:space="0" w:color="auto"/>
        <w:left w:val="none" w:sz="0" w:space="0" w:color="auto"/>
        <w:bottom w:val="none" w:sz="0" w:space="0" w:color="auto"/>
        <w:right w:val="none" w:sz="0" w:space="0" w:color="auto"/>
      </w:divBdr>
    </w:div>
    <w:div w:id="2024894638">
      <w:bodyDiv w:val="1"/>
      <w:marLeft w:val="0"/>
      <w:marRight w:val="0"/>
      <w:marTop w:val="0"/>
      <w:marBottom w:val="0"/>
      <w:divBdr>
        <w:top w:val="none" w:sz="0" w:space="0" w:color="auto"/>
        <w:left w:val="none" w:sz="0" w:space="0" w:color="auto"/>
        <w:bottom w:val="none" w:sz="0" w:space="0" w:color="auto"/>
        <w:right w:val="none" w:sz="0" w:space="0" w:color="auto"/>
      </w:divBdr>
    </w:div>
    <w:div w:id="2025013255">
      <w:bodyDiv w:val="1"/>
      <w:marLeft w:val="0"/>
      <w:marRight w:val="0"/>
      <w:marTop w:val="0"/>
      <w:marBottom w:val="0"/>
      <w:divBdr>
        <w:top w:val="none" w:sz="0" w:space="0" w:color="auto"/>
        <w:left w:val="none" w:sz="0" w:space="0" w:color="auto"/>
        <w:bottom w:val="none" w:sz="0" w:space="0" w:color="auto"/>
        <w:right w:val="none" w:sz="0" w:space="0" w:color="auto"/>
      </w:divBdr>
    </w:div>
    <w:div w:id="2025160226">
      <w:bodyDiv w:val="1"/>
      <w:marLeft w:val="0"/>
      <w:marRight w:val="0"/>
      <w:marTop w:val="0"/>
      <w:marBottom w:val="0"/>
      <w:divBdr>
        <w:top w:val="none" w:sz="0" w:space="0" w:color="auto"/>
        <w:left w:val="none" w:sz="0" w:space="0" w:color="auto"/>
        <w:bottom w:val="none" w:sz="0" w:space="0" w:color="auto"/>
        <w:right w:val="none" w:sz="0" w:space="0" w:color="auto"/>
      </w:divBdr>
    </w:div>
    <w:div w:id="2025208211">
      <w:bodyDiv w:val="1"/>
      <w:marLeft w:val="0"/>
      <w:marRight w:val="0"/>
      <w:marTop w:val="0"/>
      <w:marBottom w:val="0"/>
      <w:divBdr>
        <w:top w:val="none" w:sz="0" w:space="0" w:color="auto"/>
        <w:left w:val="none" w:sz="0" w:space="0" w:color="auto"/>
        <w:bottom w:val="none" w:sz="0" w:space="0" w:color="auto"/>
        <w:right w:val="none" w:sz="0" w:space="0" w:color="auto"/>
      </w:divBdr>
    </w:div>
    <w:div w:id="2025276946">
      <w:bodyDiv w:val="1"/>
      <w:marLeft w:val="0"/>
      <w:marRight w:val="0"/>
      <w:marTop w:val="0"/>
      <w:marBottom w:val="0"/>
      <w:divBdr>
        <w:top w:val="none" w:sz="0" w:space="0" w:color="auto"/>
        <w:left w:val="none" w:sz="0" w:space="0" w:color="auto"/>
        <w:bottom w:val="none" w:sz="0" w:space="0" w:color="auto"/>
        <w:right w:val="none" w:sz="0" w:space="0" w:color="auto"/>
      </w:divBdr>
    </w:div>
    <w:div w:id="2025282785">
      <w:bodyDiv w:val="1"/>
      <w:marLeft w:val="0"/>
      <w:marRight w:val="0"/>
      <w:marTop w:val="0"/>
      <w:marBottom w:val="0"/>
      <w:divBdr>
        <w:top w:val="none" w:sz="0" w:space="0" w:color="auto"/>
        <w:left w:val="none" w:sz="0" w:space="0" w:color="auto"/>
        <w:bottom w:val="none" w:sz="0" w:space="0" w:color="auto"/>
        <w:right w:val="none" w:sz="0" w:space="0" w:color="auto"/>
      </w:divBdr>
      <w:divsChild>
        <w:div w:id="128860841">
          <w:marLeft w:val="0"/>
          <w:marRight w:val="0"/>
          <w:marTop w:val="0"/>
          <w:marBottom w:val="0"/>
          <w:divBdr>
            <w:top w:val="none" w:sz="0" w:space="0" w:color="auto"/>
            <w:left w:val="none" w:sz="0" w:space="0" w:color="auto"/>
            <w:bottom w:val="none" w:sz="0" w:space="0" w:color="auto"/>
            <w:right w:val="none" w:sz="0" w:space="0" w:color="auto"/>
          </w:divBdr>
        </w:div>
        <w:div w:id="371926083">
          <w:marLeft w:val="0"/>
          <w:marRight w:val="0"/>
          <w:marTop w:val="0"/>
          <w:marBottom w:val="0"/>
          <w:divBdr>
            <w:top w:val="none" w:sz="0" w:space="0" w:color="auto"/>
            <w:left w:val="none" w:sz="0" w:space="0" w:color="auto"/>
            <w:bottom w:val="none" w:sz="0" w:space="0" w:color="auto"/>
            <w:right w:val="none" w:sz="0" w:space="0" w:color="auto"/>
          </w:divBdr>
        </w:div>
        <w:div w:id="623315867">
          <w:marLeft w:val="0"/>
          <w:marRight w:val="0"/>
          <w:marTop w:val="0"/>
          <w:marBottom w:val="0"/>
          <w:divBdr>
            <w:top w:val="none" w:sz="0" w:space="0" w:color="auto"/>
            <w:left w:val="none" w:sz="0" w:space="0" w:color="auto"/>
            <w:bottom w:val="none" w:sz="0" w:space="0" w:color="auto"/>
            <w:right w:val="none" w:sz="0" w:space="0" w:color="auto"/>
          </w:divBdr>
        </w:div>
        <w:div w:id="627198581">
          <w:marLeft w:val="0"/>
          <w:marRight w:val="0"/>
          <w:marTop w:val="0"/>
          <w:marBottom w:val="0"/>
          <w:divBdr>
            <w:top w:val="none" w:sz="0" w:space="0" w:color="auto"/>
            <w:left w:val="none" w:sz="0" w:space="0" w:color="auto"/>
            <w:bottom w:val="none" w:sz="0" w:space="0" w:color="auto"/>
            <w:right w:val="none" w:sz="0" w:space="0" w:color="auto"/>
          </w:divBdr>
        </w:div>
        <w:div w:id="635598938">
          <w:marLeft w:val="0"/>
          <w:marRight w:val="0"/>
          <w:marTop w:val="0"/>
          <w:marBottom w:val="0"/>
          <w:divBdr>
            <w:top w:val="none" w:sz="0" w:space="0" w:color="auto"/>
            <w:left w:val="none" w:sz="0" w:space="0" w:color="auto"/>
            <w:bottom w:val="none" w:sz="0" w:space="0" w:color="auto"/>
            <w:right w:val="none" w:sz="0" w:space="0" w:color="auto"/>
          </w:divBdr>
        </w:div>
        <w:div w:id="1040664266">
          <w:marLeft w:val="0"/>
          <w:marRight w:val="0"/>
          <w:marTop w:val="0"/>
          <w:marBottom w:val="0"/>
          <w:divBdr>
            <w:top w:val="none" w:sz="0" w:space="0" w:color="auto"/>
            <w:left w:val="none" w:sz="0" w:space="0" w:color="auto"/>
            <w:bottom w:val="none" w:sz="0" w:space="0" w:color="auto"/>
            <w:right w:val="none" w:sz="0" w:space="0" w:color="auto"/>
          </w:divBdr>
        </w:div>
        <w:div w:id="1183668487">
          <w:marLeft w:val="0"/>
          <w:marRight w:val="0"/>
          <w:marTop w:val="0"/>
          <w:marBottom w:val="0"/>
          <w:divBdr>
            <w:top w:val="none" w:sz="0" w:space="0" w:color="auto"/>
            <w:left w:val="none" w:sz="0" w:space="0" w:color="auto"/>
            <w:bottom w:val="none" w:sz="0" w:space="0" w:color="auto"/>
            <w:right w:val="none" w:sz="0" w:space="0" w:color="auto"/>
          </w:divBdr>
        </w:div>
        <w:div w:id="1212423758">
          <w:marLeft w:val="0"/>
          <w:marRight w:val="0"/>
          <w:marTop w:val="0"/>
          <w:marBottom w:val="0"/>
          <w:divBdr>
            <w:top w:val="none" w:sz="0" w:space="0" w:color="auto"/>
            <w:left w:val="none" w:sz="0" w:space="0" w:color="auto"/>
            <w:bottom w:val="none" w:sz="0" w:space="0" w:color="auto"/>
            <w:right w:val="none" w:sz="0" w:space="0" w:color="auto"/>
          </w:divBdr>
        </w:div>
        <w:div w:id="1231889015">
          <w:marLeft w:val="0"/>
          <w:marRight w:val="0"/>
          <w:marTop w:val="0"/>
          <w:marBottom w:val="0"/>
          <w:divBdr>
            <w:top w:val="none" w:sz="0" w:space="0" w:color="auto"/>
            <w:left w:val="none" w:sz="0" w:space="0" w:color="auto"/>
            <w:bottom w:val="none" w:sz="0" w:space="0" w:color="auto"/>
            <w:right w:val="none" w:sz="0" w:space="0" w:color="auto"/>
          </w:divBdr>
        </w:div>
        <w:div w:id="1831753791">
          <w:marLeft w:val="0"/>
          <w:marRight w:val="0"/>
          <w:marTop w:val="0"/>
          <w:marBottom w:val="0"/>
          <w:divBdr>
            <w:top w:val="none" w:sz="0" w:space="0" w:color="auto"/>
            <w:left w:val="none" w:sz="0" w:space="0" w:color="auto"/>
            <w:bottom w:val="none" w:sz="0" w:space="0" w:color="auto"/>
            <w:right w:val="none" w:sz="0" w:space="0" w:color="auto"/>
          </w:divBdr>
        </w:div>
      </w:divsChild>
    </w:div>
    <w:div w:id="2025981383">
      <w:bodyDiv w:val="1"/>
      <w:marLeft w:val="0"/>
      <w:marRight w:val="0"/>
      <w:marTop w:val="0"/>
      <w:marBottom w:val="0"/>
      <w:divBdr>
        <w:top w:val="none" w:sz="0" w:space="0" w:color="auto"/>
        <w:left w:val="none" w:sz="0" w:space="0" w:color="auto"/>
        <w:bottom w:val="none" w:sz="0" w:space="0" w:color="auto"/>
        <w:right w:val="none" w:sz="0" w:space="0" w:color="auto"/>
      </w:divBdr>
    </w:div>
    <w:div w:id="2026443933">
      <w:bodyDiv w:val="1"/>
      <w:marLeft w:val="0"/>
      <w:marRight w:val="0"/>
      <w:marTop w:val="0"/>
      <w:marBottom w:val="0"/>
      <w:divBdr>
        <w:top w:val="none" w:sz="0" w:space="0" w:color="auto"/>
        <w:left w:val="none" w:sz="0" w:space="0" w:color="auto"/>
        <w:bottom w:val="none" w:sz="0" w:space="0" w:color="auto"/>
        <w:right w:val="none" w:sz="0" w:space="0" w:color="auto"/>
      </w:divBdr>
    </w:div>
    <w:div w:id="2026590993">
      <w:bodyDiv w:val="1"/>
      <w:marLeft w:val="0"/>
      <w:marRight w:val="0"/>
      <w:marTop w:val="0"/>
      <w:marBottom w:val="0"/>
      <w:divBdr>
        <w:top w:val="none" w:sz="0" w:space="0" w:color="auto"/>
        <w:left w:val="none" w:sz="0" w:space="0" w:color="auto"/>
        <w:bottom w:val="none" w:sz="0" w:space="0" w:color="auto"/>
        <w:right w:val="none" w:sz="0" w:space="0" w:color="auto"/>
      </w:divBdr>
    </w:div>
    <w:div w:id="2026861824">
      <w:bodyDiv w:val="1"/>
      <w:marLeft w:val="0"/>
      <w:marRight w:val="0"/>
      <w:marTop w:val="0"/>
      <w:marBottom w:val="0"/>
      <w:divBdr>
        <w:top w:val="none" w:sz="0" w:space="0" w:color="auto"/>
        <w:left w:val="none" w:sz="0" w:space="0" w:color="auto"/>
        <w:bottom w:val="none" w:sz="0" w:space="0" w:color="auto"/>
        <w:right w:val="none" w:sz="0" w:space="0" w:color="auto"/>
      </w:divBdr>
    </w:div>
    <w:div w:id="2027317916">
      <w:bodyDiv w:val="1"/>
      <w:marLeft w:val="0"/>
      <w:marRight w:val="0"/>
      <w:marTop w:val="0"/>
      <w:marBottom w:val="0"/>
      <w:divBdr>
        <w:top w:val="none" w:sz="0" w:space="0" w:color="auto"/>
        <w:left w:val="none" w:sz="0" w:space="0" w:color="auto"/>
        <w:bottom w:val="none" w:sz="0" w:space="0" w:color="auto"/>
        <w:right w:val="none" w:sz="0" w:space="0" w:color="auto"/>
      </w:divBdr>
    </w:div>
    <w:div w:id="2027556681">
      <w:bodyDiv w:val="1"/>
      <w:marLeft w:val="0"/>
      <w:marRight w:val="0"/>
      <w:marTop w:val="0"/>
      <w:marBottom w:val="0"/>
      <w:divBdr>
        <w:top w:val="none" w:sz="0" w:space="0" w:color="auto"/>
        <w:left w:val="none" w:sz="0" w:space="0" w:color="auto"/>
        <w:bottom w:val="none" w:sz="0" w:space="0" w:color="auto"/>
        <w:right w:val="none" w:sz="0" w:space="0" w:color="auto"/>
      </w:divBdr>
    </w:div>
    <w:div w:id="2027900137">
      <w:bodyDiv w:val="1"/>
      <w:marLeft w:val="0"/>
      <w:marRight w:val="0"/>
      <w:marTop w:val="0"/>
      <w:marBottom w:val="0"/>
      <w:divBdr>
        <w:top w:val="none" w:sz="0" w:space="0" w:color="auto"/>
        <w:left w:val="none" w:sz="0" w:space="0" w:color="auto"/>
        <w:bottom w:val="none" w:sz="0" w:space="0" w:color="auto"/>
        <w:right w:val="none" w:sz="0" w:space="0" w:color="auto"/>
      </w:divBdr>
    </w:div>
    <w:div w:id="2028630633">
      <w:bodyDiv w:val="1"/>
      <w:marLeft w:val="0"/>
      <w:marRight w:val="0"/>
      <w:marTop w:val="0"/>
      <w:marBottom w:val="0"/>
      <w:divBdr>
        <w:top w:val="none" w:sz="0" w:space="0" w:color="auto"/>
        <w:left w:val="none" w:sz="0" w:space="0" w:color="auto"/>
        <w:bottom w:val="none" w:sz="0" w:space="0" w:color="auto"/>
        <w:right w:val="none" w:sz="0" w:space="0" w:color="auto"/>
      </w:divBdr>
    </w:div>
    <w:div w:id="2028830152">
      <w:bodyDiv w:val="1"/>
      <w:marLeft w:val="0"/>
      <w:marRight w:val="0"/>
      <w:marTop w:val="0"/>
      <w:marBottom w:val="0"/>
      <w:divBdr>
        <w:top w:val="none" w:sz="0" w:space="0" w:color="auto"/>
        <w:left w:val="none" w:sz="0" w:space="0" w:color="auto"/>
        <w:bottom w:val="none" w:sz="0" w:space="0" w:color="auto"/>
        <w:right w:val="none" w:sz="0" w:space="0" w:color="auto"/>
      </w:divBdr>
    </w:div>
    <w:div w:id="2030447606">
      <w:bodyDiv w:val="1"/>
      <w:marLeft w:val="0"/>
      <w:marRight w:val="0"/>
      <w:marTop w:val="0"/>
      <w:marBottom w:val="0"/>
      <w:divBdr>
        <w:top w:val="none" w:sz="0" w:space="0" w:color="auto"/>
        <w:left w:val="none" w:sz="0" w:space="0" w:color="auto"/>
        <w:bottom w:val="none" w:sz="0" w:space="0" w:color="auto"/>
        <w:right w:val="none" w:sz="0" w:space="0" w:color="auto"/>
      </w:divBdr>
    </w:div>
    <w:div w:id="2030595750">
      <w:bodyDiv w:val="1"/>
      <w:marLeft w:val="0"/>
      <w:marRight w:val="0"/>
      <w:marTop w:val="0"/>
      <w:marBottom w:val="0"/>
      <w:divBdr>
        <w:top w:val="none" w:sz="0" w:space="0" w:color="auto"/>
        <w:left w:val="none" w:sz="0" w:space="0" w:color="auto"/>
        <w:bottom w:val="none" w:sz="0" w:space="0" w:color="auto"/>
        <w:right w:val="none" w:sz="0" w:space="0" w:color="auto"/>
      </w:divBdr>
    </w:div>
    <w:div w:id="2031565035">
      <w:bodyDiv w:val="1"/>
      <w:marLeft w:val="0"/>
      <w:marRight w:val="0"/>
      <w:marTop w:val="0"/>
      <w:marBottom w:val="0"/>
      <w:divBdr>
        <w:top w:val="none" w:sz="0" w:space="0" w:color="auto"/>
        <w:left w:val="none" w:sz="0" w:space="0" w:color="auto"/>
        <w:bottom w:val="none" w:sz="0" w:space="0" w:color="auto"/>
        <w:right w:val="none" w:sz="0" w:space="0" w:color="auto"/>
      </w:divBdr>
    </w:div>
    <w:div w:id="2032487617">
      <w:bodyDiv w:val="1"/>
      <w:marLeft w:val="0"/>
      <w:marRight w:val="0"/>
      <w:marTop w:val="0"/>
      <w:marBottom w:val="0"/>
      <w:divBdr>
        <w:top w:val="none" w:sz="0" w:space="0" w:color="auto"/>
        <w:left w:val="none" w:sz="0" w:space="0" w:color="auto"/>
        <w:bottom w:val="none" w:sz="0" w:space="0" w:color="auto"/>
        <w:right w:val="none" w:sz="0" w:space="0" w:color="auto"/>
      </w:divBdr>
    </w:div>
    <w:div w:id="2032761723">
      <w:bodyDiv w:val="1"/>
      <w:marLeft w:val="0"/>
      <w:marRight w:val="0"/>
      <w:marTop w:val="0"/>
      <w:marBottom w:val="0"/>
      <w:divBdr>
        <w:top w:val="none" w:sz="0" w:space="0" w:color="auto"/>
        <w:left w:val="none" w:sz="0" w:space="0" w:color="auto"/>
        <w:bottom w:val="none" w:sz="0" w:space="0" w:color="auto"/>
        <w:right w:val="none" w:sz="0" w:space="0" w:color="auto"/>
      </w:divBdr>
    </w:div>
    <w:div w:id="2033411730">
      <w:bodyDiv w:val="1"/>
      <w:marLeft w:val="0"/>
      <w:marRight w:val="0"/>
      <w:marTop w:val="0"/>
      <w:marBottom w:val="0"/>
      <w:divBdr>
        <w:top w:val="none" w:sz="0" w:space="0" w:color="auto"/>
        <w:left w:val="none" w:sz="0" w:space="0" w:color="auto"/>
        <w:bottom w:val="none" w:sz="0" w:space="0" w:color="auto"/>
        <w:right w:val="none" w:sz="0" w:space="0" w:color="auto"/>
      </w:divBdr>
    </w:div>
    <w:div w:id="2033723757">
      <w:bodyDiv w:val="1"/>
      <w:marLeft w:val="0"/>
      <w:marRight w:val="0"/>
      <w:marTop w:val="0"/>
      <w:marBottom w:val="0"/>
      <w:divBdr>
        <w:top w:val="none" w:sz="0" w:space="0" w:color="auto"/>
        <w:left w:val="none" w:sz="0" w:space="0" w:color="auto"/>
        <w:bottom w:val="none" w:sz="0" w:space="0" w:color="auto"/>
        <w:right w:val="none" w:sz="0" w:space="0" w:color="auto"/>
      </w:divBdr>
    </w:div>
    <w:div w:id="2033803188">
      <w:bodyDiv w:val="1"/>
      <w:marLeft w:val="0"/>
      <w:marRight w:val="0"/>
      <w:marTop w:val="0"/>
      <w:marBottom w:val="0"/>
      <w:divBdr>
        <w:top w:val="none" w:sz="0" w:space="0" w:color="auto"/>
        <w:left w:val="none" w:sz="0" w:space="0" w:color="auto"/>
        <w:bottom w:val="none" w:sz="0" w:space="0" w:color="auto"/>
        <w:right w:val="none" w:sz="0" w:space="0" w:color="auto"/>
      </w:divBdr>
    </w:div>
    <w:div w:id="2033914923">
      <w:bodyDiv w:val="1"/>
      <w:marLeft w:val="0"/>
      <w:marRight w:val="0"/>
      <w:marTop w:val="0"/>
      <w:marBottom w:val="0"/>
      <w:divBdr>
        <w:top w:val="none" w:sz="0" w:space="0" w:color="auto"/>
        <w:left w:val="none" w:sz="0" w:space="0" w:color="auto"/>
        <w:bottom w:val="none" w:sz="0" w:space="0" w:color="auto"/>
        <w:right w:val="none" w:sz="0" w:space="0" w:color="auto"/>
      </w:divBdr>
    </w:div>
    <w:div w:id="2034070908">
      <w:bodyDiv w:val="1"/>
      <w:marLeft w:val="0"/>
      <w:marRight w:val="0"/>
      <w:marTop w:val="0"/>
      <w:marBottom w:val="0"/>
      <w:divBdr>
        <w:top w:val="none" w:sz="0" w:space="0" w:color="auto"/>
        <w:left w:val="none" w:sz="0" w:space="0" w:color="auto"/>
        <w:bottom w:val="none" w:sz="0" w:space="0" w:color="auto"/>
        <w:right w:val="none" w:sz="0" w:space="0" w:color="auto"/>
      </w:divBdr>
    </w:div>
    <w:div w:id="2034721079">
      <w:bodyDiv w:val="1"/>
      <w:marLeft w:val="0"/>
      <w:marRight w:val="0"/>
      <w:marTop w:val="0"/>
      <w:marBottom w:val="0"/>
      <w:divBdr>
        <w:top w:val="none" w:sz="0" w:space="0" w:color="auto"/>
        <w:left w:val="none" w:sz="0" w:space="0" w:color="auto"/>
        <w:bottom w:val="none" w:sz="0" w:space="0" w:color="auto"/>
        <w:right w:val="none" w:sz="0" w:space="0" w:color="auto"/>
      </w:divBdr>
    </w:div>
    <w:div w:id="2034960658">
      <w:bodyDiv w:val="1"/>
      <w:marLeft w:val="0"/>
      <w:marRight w:val="0"/>
      <w:marTop w:val="0"/>
      <w:marBottom w:val="0"/>
      <w:divBdr>
        <w:top w:val="none" w:sz="0" w:space="0" w:color="auto"/>
        <w:left w:val="none" w:sz="0" w:space="0" w:color="auto"/>
        <w:bottom w:val="none" w:sz="0" w:space="0" w:color="auto"/>
        <w:right w:val="none" w:sz="0" w:space="0" w:color="auto"/>
      </w:divBdr>
      <w:divsChild>
        <w:div w:id="1455366760">
          <w:marLeft w:val="0"/>
          <w:marRight w:val="0"/>
          <w:marTop w:val="0"/>
          <w:marBottom w:val="0"/>
          <w:divBdr>
            <w:top w:val="none" w:sz="0" w:space="0" w:color="auto"/>
            <w:left w:val="none" w:sz="0" w:space="0" w:color="auto"/>
            <w:bottom w:val="none" w:sz="0" w:space="0" w:color="auto"/>
            <w:right w:val="none" w:sz="0" w:space="0" w:color="auto"/>
          </w:divBdr>
          <w:divsChild>
            <w:div w:id="53359456">
              <w:marLeft w:val="0"/>
              <w:marRight w:val="0"/>
              <w:marTop w:val="0"/>
              <w:marBottom w:val="0"/>
              <w:divBdr>
                <w:top w:val="none" w:sz="0" w:space="0" w:color="auto"/>
                <w:left w:val="none" w:sz="0" w:space="0" w:color="auto"/>
                <w:bottom w:val="none" w:sz="0" w:space="0" w:color="auto"/>
                <w:right w:val="none" w:sz="0" w:space="0" w:color="auto"/>
              </w:divBdr>
            </w:div>
            <w:div w:id="80837957">
              <w:marLeft w:val="0"/>
              <w:marRight w:val="0"/>
              <w:marTop w:val="0"/>
              <w:marBottom w:val="0"/>
              <w:divBdr>
                <w:top w:val="none" w:sz="0" w:space="0" w:color="auto"/>
                <w:left w:val="none" w:sz="0" w:space="0" w:color="auto"/>
                <w:bottom w:val="none" w:sz="0" w:space="0" w:color="auto"/>
                <w:right w:val="none" w:sz="0" w:space="0" w:color="auto"/>
              </w:divBdr>
            </w:div>
            <w:div w:id="211578141">
              <w:marLeft w:val="0"/>
              <w:marRight w:val="0"/>
              <w:marTop w:val="0"/>
              <w:marBottom w:val="0"/>
              <w:divBdr>
                <w:top w:val="none" w:sz="0" w:space="0" w:color="auto"/>
                <w:left w:val="none" w:sz="0" w:space="0" w:color="auto"/>
                <w:bottom w:val="none" w:sz="0" w:space="0" w:color="auto"/>
                <w:right w:val="none" w:sz="0" w:space="0" w:color="auto"/>
              </w:divBdr>
            </w:div>
            <w:div w:id="393116788">
              <w:marLeft w:val="0"/>
              <w:marRight w:val="0"/>
              <w:marTop w:val="0"/>
              <w:marBottom w:val="0"/>
              <w:divBdr>
                <w:top w:val="none" w:sz="0" w:space="0" w:color="auto"/>
                <w:left w:val="none" w:sz="0" w:space="0" w:color="auto"/>
                <w:bottom w:val="none" w:sz="0" w:space="0" w:color="auto"/>
                <w:right w:val="none" w:sz="0" w:space="0" w:color="auto"/>
              </w:divBdr>
            </w:div>
            <w:div w:id="452484678">
              <w:marLeft w:val="0"/>
              <w:marRight w:val="0"/>
              <w:marTop w:val="0"/>
              <w:marBottom w:val="0"/>
              <w:divBdr>
                <w:top w:val="none" w:sz="0" w:space="0" w:color="auto"/>
                <w:left w:val="none" w:sz="0" w:space="0" w:color="auto"/>
                <w:bottom w:val="none" w:sz="0" w:space="0" w:color="auto"/>
                <w:right w:val="none" w:sz="0" w:space="0" w:color="auto"/>
              </w:divBdr>
            </w:div>
            <w:div w:id="573974548">
              <w:marLeft w:val="0"/>
              <w:marRight w:val="0"/>
              <w:marTop w:val="0"/>
              <w:marBottom w:val="0"/>
              <w:divBdr>
                <w:top w:val="none" w:sz="0" w:space="0" w:color="auto"/>
                <w:left w:val="none" w:sz="0" w:space="0" w:color="auto"/>
                <w:bottom w:val="none" w:sz="0" w:space="0" w:color="auto"/>
                <w:right w:val="none" w:sz="0" w:space="0" w:color="auto"/>
              </w:divBdr>
            </w:div>
            <w:div w:id="588539198">
              <w:marLeft w:val="0"/>
              <w:marRight w:val="0"/>
              <w:marTop w:val="0"/>
              <w:marBottom w:val="0"/>
              <w:divBdr>
                <w:top w:val="none" w:sz="0" w:space="0" w:color="auto"/>
                <w:left w:val="none" w:sz="0" w:space="0" w:color="auto"/>
                <w:bottom w:val="none" w:sz="0" w:space="0" w:color="auto"/>
                <w:right w:val="none" w:sz="0" w:space="0" w:color="auto"/>
              </w:divBdr>
            </w:div>
            <w:div w:id="653023143">
              <w:marLeft w:val="0"/>
              <w:marRight w:val="0"/>
              <w:marTop w:val="0"/>
              <w:marBottom w:val="0"/>
              <w:divBdr>
                <w:top w:val="none" w:sz="0" w:space="0" w:color="auto"/>
                <w:left w:val="none" w:sz="0" w:space="0" w:color="auto"/>
                <w:bottom w:val="none" w:sz="0" w:space="0" w:color="auto"/>
                <w:right w:val="none" w:sz="0" w:space="0" w:color="auto"/>
              </w:divBdr>
            </w:div>
            <w:div w:id="1237322162">
              <w:marLeft w:val="0"/>
              <w:marRight w:val="0"/>
              <w:marTop w:val="0"/>
              <w:marBottom w:val="0"/>
              <w:divBdr>
                <w:top w:val="none" w:sz="0" w:space="0" w:color="auto"/>
                <w:left w:val="none" w:sz="0" w:space="0" w:color="auto"/>
                <w:bottom w:val="none" w:sz="0" w:space="0" w:color="auto"/>
                <w:right w:val="none" w:sz="0" w:space="0" w:color="auto"/>
              </w:divBdr>
            </w:div>
            <w:div w:id="1307780389">
              <w:marLeft w:val="0"/>
              <w:marRight w:val="0"/>
              <w:marTop w:val="0"/>
              <w:marBottom w:val="0"/>
              <w:divBdr>
                <w:top w:val="none" w:sz="0" w:space="0" w:color="auto"/>
                <w:left w:val="none" w:sz="0" w:space="0" w:color="auto"/>
                <w:bottom w:val="none" w:sz="0" w:space="0" w:color="auto"/>
                <w:right w:val="none" w:sz="0" w:space="0" w:color="auto"/>
              </w:divBdr>
            </w:div>
            <w:div w:id="1817263072">
              <w:marLeft w:val="0"/>
              <w:marRight w:val="0"/>
              <w:marTop w:val="0"/>
              <w:marBottom w:val="0"/>
              <w:divBdr>
                <w:top w:val="none" w:sz="0" w:space="0" w:color="auto"/>
                <w:left w:val="none" w:sz="0" w:space="0" w:color="auto"/>
                <w:bottom w:val="none" w:sz="0" w:space="0" w:color="auto"/>
                <w:right w:val="none" w:sz="0" w:space="0" w:color="auto"/>
              </w:divBdr>
            </w:div>
            <w:div w:id="1895503620">
              <w:marLeft w:val="0"/>
              <w:marRight w:val="0"/>
              <w:marTop w:val="0"/>
              <w:marBottom w:val="0"/>
              <w:divBdr>
                <w:top w:val="none" w:sz="0" w:space="0" w:color="auto"/>
                <w:left w:val="none" w:sz="0" w:space="0" w:color="auto"/>
                <w:bottom w:val="none" w:sz="0" w:space="0" w:color="auto"/>
                <w:right w:val="none" w:sz="0" w:space="0" w:color="auto"/>
              </w:divBdr>
            </w:div>
            <w:div w:id="1944263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5299259">
      <w:bodyDiv w:val="1"/>
      <w:marLeft w:val="0"/>
      <w:marRight w:val="0"/>
      <w:marTop w:val="0"/>
      <w:marBottom w:val="0"/>
      <w:divBdr>
        <w:top w:val="none" w:sz="0" w:space="0" w:color="auto"/>
        <w:left w:val="none" w:sz="0" w:space="0" w:color="auto"/>
        <w:bottom w:val="none" w:sz="0" w:space="0" w:color="auto"/>
        <w:right w:val="none" w:sz="0" w:space="0" w:color="auto"/>
      </w:divBdr>
    </w:div>
    <w:div w:id="2035419139">
      <w:bodyDiv w:val="1"/>
      <w:marLeft w:val="0"/>
      <w:marRight w:val="0"/>
      <w:marTop w:val="0"/>
      <w:marBottom w:val="0"/>
      <w:divBdr>
        <w:top w:val="none" w:sz="0" w:space="0" w:color="auto"/>
        <w:left w:val="none" w:sz="0" w:space="0" w:color="auto"/>
        <w:bottom w:val="none" w:sz="0" w:space="0" w:color="auto"/>
        <w:right w:val="none" w:sz="0" w:space="0" w:color="auto"/>
      </w:divBdr>
    </w:div>
    <w:div w:id="2035616813">
      <w:bodyDiv w:val="1"/>
      <w:marLeft w:val="0"/>
      <w:marRight w:val="0"/>
      <w:marTop w:val="0"/>
      <w:marBottom w:val="0"/>
      <w:divBdr>
        <w:top w:val="none" w:sz="0" w:space="0" w:color="auto"/>
        <w:left w:val="none" w:sz="0" w:space="0" w:color="auto"/>
        <w:bottom w:val="none" w:sz="0" w:space="0" w:color="auto"/>
        <w:right w:val="none" w:sz="0" w:space="0" w:color="auto"/>
      </w:divBdr>
    </w:div>
    <w:div w:id="2035761960">
      <w:bodyDiv w:val="1"/>
      <w:marLeft w:val="0"/>
      <w:marRight w:val="0"/>
      <w:marTop w:val="0"/>
      <w:marBottom w:val="0"/>
      <w:divBdr>
        <w:top w:val="none" w:sz="0" w:space="0" w:color="auto"/>
        <w:left w:val="none" w:sz="0" w:space="0" w:color="auto"/>
        <w:bottom w:val="none" w:sz="0" w:space="0" w:color="auto"/>
        <w:right w:val="none" w:sz="0" w:space="0" w:color="auto"/>
      </w:divBdr>
    </w:div>
    <w:div w:id="2035836188">
      <w:bodyDiv w:val="1"/>
      <w:marLeft w:val="0"/>
      <w:marRight w:val="0"/>
      <w:marTop w:val="0"/>
      <w:marBottom w:val="0"/>
      <w:divBdr>
        <w:top w:val="none" w:sz="0" w:space="0" w:color="auto"/>
        <w:left w:val="none" w:sz="0" w:space="0" w:color="auto"/>
        <w:bottom w:val="none" w:sz="0" w:space="0" w:color="auto"/>
        <w:right w:val="none" w:sz="0" w:space="0" w:color="auto"/>
      </w:divBdr>
    </w:div>
    <w:div w:id="2035879570">
      <w:bodyDiv w:val="1"/>
      <w:marLeft w:val="0"/>
      <w:marRight w:val="0"/>
      <w:marTop w:val="0"/>
      <w:marBottom w:val="0"/>
      <w:divBdr>
        <w:top w:val="none" w:sz="0" w:space="0" w:color="auto"/>
        <w:left w:val="none" w:sz="0" w:space="0" w:color="auto"/>
        <w:bottom w:val="none" w:sz="0" w:space="0" w:color="auto"/>
        <w:right w:val="none" w:sz="0" w:space="0" w:color="auto"/>
      </w:divBdr>
    </w:div>
    <w:div w:id="2036422902">
      <w:bodyDiv w:val="1"/>
      <w:marLeft w:val="0"/>
      <w:marRight w:val="0"/>
      <w:marTop w:val="0"/>
      <w:marBottom w:val="0"/>
      <w:divBdr>
        <w:top w:val="none" w:sz="0" w:space="0" w:color="auto"/>
        <w:left w:val="none" w:sz="0" w:space="0" w:color="auto"/>
        <w:bottom w:val="none" w:sz="0" w:space="0" w:color="auto"/>
        <w:right w:val="none" w:sz="0" w:space="0" w:color="auto"/>
      </w:divBdr>
    </w:div>
    <w:div w:id="2036618986">
      <w:bodyDiv w:val="1"/>
      <w:marLeft w:val="0"/>
      <w:marRight w:val="0"/>
      <w:marTop w:val="0"/>
      <w:marBottom w:val="0"/>
      <w:divBdr>
        <w:top w:val="none" w:sz="0" w:space="0" w:color="auto"/>
        <w:left w:val="none" w:sz="0" w:space="0" w:color="auto"/>
        <w:bottom w:val="none" w:sz="0" w:space="0" w:color="auto"/>
        <w:right w:val="none" w:sz="0" w:space="0" w:color="auto"/>
      </w:divBdr>
    </w:div>
    <w:div w:id="2037194761">
      <w:bodyDiv w:val="1"/>
      <w:marLeft w:val="0"/>
      <w:marRight w:val="0"/>
      <w:marTop w:val="0"/>
      <w:marBottom w:val="0"/>
      <w:divBdr>
        <w:top w:val="none" w:sz="0" w:space="0" w:color="auto"/>
        <w:left w:val="none" w:sz="0" w:space="0" w:color="auto"/>
        <w:bottom w:val="none" w:sz="0" w:space="0" w:color="auto"/>
        <w:right w:val="none" w:sz="0" w:space="0" w:color="auto"/>
      </w:divBdr>
    </w:div>
    <w:div w:id="2037927596">
      <w:bodyDiv w:val="1"/>
      <w:marLeft w:val="0"/>
      <w:marRight w:val="0"/>
      <w:marTop w:val="0"/>
      <w:marBottom w:val="0"/>
      <w:divBdr>
        <w:top w:val="none" w:sz="0" w:space="0" w:color="auto"/>
        <w:left w:val="none" w:sz="0" w:space="0" w:color="auto"/>
        <w:bottom w:val="none" w:sz="0" w:space="0" w:color="auto"/>
        <w:right w:val="none" w:sz="0" w:space="0" w:color="auto"/>
      </w:divBdr>
    </w:div>
    <w:div w:id="2038264035">
      <w:bodyDiv w:val="1"/>
      <w:marLeft w:val="0"/>
      <w:marRight w:val="0"/>
      <w:marTop w:val="0"/>
      <w:marBottom w:val="0"/>
      <w:divBdr>
        <w:top w:val="none" w:sz="0" w:space="0" w:color="auto"/>
        <w:left w:val="none" w:sz="0" w:space="0" w:color="auto"/>
        <w:bottom w:val="none" w:sz="0" w:space="0" w:color="auto"/>
        <w:right w:val="none" w:sz="0" w:space="0" w:color="auto"/>
      </w:divBdr>
    </w:div>
    <w:div w:id="2038577876">
      <w:bodyDiv w:val="1"/>
      <w:marLeft w:val="0"/>
      <w:marRight w:val="0"/>
      <w:marTop w:val="0"/>
      <w:marBottom w:val="0"/>
      <w:divBdr>
        <w:top w:val="none" w:sz="0" w:space="0" w:color="auto"/>
        <w:left w:val="none" w:sz="0" w:space="0" w:color="auto"/>
        <w:bottom w:val="none" w:sz="0" w:space="0" w:color="auto"/>
        <w:right w:val="none" w:sz="0" w:space="0" w:color="auto"/>
      </w:divBdr>
    </w:div>
    <w:div w:id="2039620633">
      <w:bodyDiv w:val="1"/>
      <w:marLeft w:val="0"/>
      <w:marRight w:val="0"/>
      <w:marTop w:val="0"/>
      <w:marBottom w:val="0"/>
      <w:divBdr>
        <w:top w:val="none" w:sz="0" w:space="0" w:color="auto"/>
        <w:left w:val="none" w:sz="0" w:space="0" w:color="auto"/>
        <w:bottom w:val="none" w:sz="0" w:space="0" w:color="auto"/>
        <w:right w:val="none" w:sz="0" w:space="0" w:color="auto"/>
      </w:divBdr>
    </w:div>
    <w:div w:id="2039887334">
      <w:bodyDiv w:val="1"/>
      <w:marLeft w:val="0"/>
      <w:marRight w:val="0"/>
      <w:marTop w:val="0"/>
      <w:marBottom w:val="0"/>
      <w:divBdr>
        <w:top w:val="none" w:sz="0" w:space="0" w:color="auto"/>
        <w:left w:val="none" w:sz="0" w:space="0" w:color="auto"/>
        <w:bottom w:val="none" w:sz="0" w:space="0" w:color="auto"/>
        <w:right w:val="none" w:sz="0" w:space="0" w:color="auto"/>
      </w:divBdr>
    </w:div>
    <w:div w:id="2042394709">
      <w:bodyDiv w:val="1"/>
      <w:marLeft w:val="0"/>
      <w:marRight w:val="0"/>
      <w:marTop w:val="0"/>
      <w:marBottom w:val="0"/>
      <w:divBdr>
        <w:top w:val="none" w:sz="0" w:space="0" w:color="auto"/>
        <w:left w:val="none" w:sz="0" w:space="0" w:color="auto"/>
        <w:bottom w:val="none" w:sz="0" w:space="0" w:color="auto"/>
        <w:right w:val="none" w:sz="0" w:space="0" w:color="auto"/>
      </w:divBdr>
    </w:div>
    <w:div w:id="2042970484">
      <w:bodyDiv w:val="1"/>
      <w:marLeft w:val="0"/>
      <w:marRight w:val="0"/>
      <w:marTop w:val="0"/>
      <w:marBottom w:val="0"/>
      <w:divBdr>
        <w:top w:val="none" w:sz="0" w:space="0" w:color="auto"/>
        <w:left w:val="none" w:sz="0" w:space="0" w:color="auto"/>
        <w:bottom w:val="none" w:sz="0" w:space="0" w:color="auto"/>
        <w:right w:val="none" w:sz="0" w:space="0" w:color="auto"/>
      </w:divBdr>
    </w:div>
    <w:div w:id="2043630342">
      <w:bodyDiv w:val="1"/>
      <w:marLeft w:val="0"/>
      <w:marRight w:val="0"/>
      <w:marTop w:val="0"/>
      <w:marBottom w:val="0"/>
      <w:divBdr>
        <w:top w:val="none" w:sz="0" w:space="0" w:color="auto"/>
        <w:left w:val="none" w:sz="0" w:space="0" w:color="auto"/>
        <w:bottom w:val="none" w:sz="0" w:space="0" w:color="auto"/>
        <w:right w:val="none" w:sz="0" w:space="0" w:color="auto"/>
      </w:divBdr>
    </w:div>
    <w:div w:id="2043633338">
      <w:bodyDiv w:val="1"/>
      <w:marLeft w:val="0"/>
      <w:marRight w:val="0"/>
      <w:marTop w:val="0"/>
      <w:marBottom w:val="0"/>
      <w:divBdr>
        <w:top w:val="none" w:sz="0" w:space="0" w:color="auto"/>
        <w:left w:val="none" w:sz="0" w:space="0" w:color="auto"/>
        <w:bottom w:val="none" w:sz="0" w:space="0" w:color="auto"/>
        <w:right w:val="none" w:sz="0" w:space="0" w:color="auto"/>
      </w:divBdr>
    </w:div>
    <w:div w:id="2043674652">
      <w:bodyDiv w:val="1"/>
      <w:marLeft w:val="0"/>
      <w:marRight w:val="0"/>
      <w:marTop w:val="0"/>
      <w:marBottom w:val="0"/>
      <w:divBdr>
        <w:top w:val="none" w:sz="0" w:space="0" w:color="auto"/>
        <w:left w:val="none" w:sz="0" w:space="0" w:color="auto"/>
        <w:bottom w:val="none" w:sz="0" w:space="0" w:color="auto"/>
        <w:right w:val="none" w:sz="0" w:space="0" w:color="auto"/>
      </w:divBdr>
    </w:div>
    <w:div w:id="2043823153">
      <w:bodyDiv w:val="1"/>
      <w:marLeft w:val="0"/>
      <w:marRight w:val="0"/>
      <w:marTop w:val="0"/>
      <w:marBottom w:val="0"/>
      <w:divBdr>
        <w:top w:val="none" w:sz="0" w:space="0" w:color="auto"/>
        <w:left w:val="none" w:sz="0" w:space="0" w:color="auto"/>
        <w:bottom w:val="none" w:sz="0" w:space="0" w:color="auto"/>
        <w:right w:val="none" w:sz="0" w:space="0" w:color="auto"/>
      </w:divBdr>
    </w:div>
    <w:div w:id="2044553154">
      <w:bodyDiv w:val="1"/>
      <w:marLeft w:val="0"/>
      <w:marRight w:val="0"/>
      <w:marTop w:val="0"/>
      <w:marBottom w:val="0"/>
      <w:divBdr>
        <w:top w:val="none" w:sz="0" w:space="0" w:color="auto"/>
        <w:left w:val="none" w:sz="0" w:space="0" w:color="auto"/>
        <w:bottom w:val="none" w:sz="0" w:space="0" w:color="auto"/>
        <w:right w:val="none" w:sz="0" w:space="0" w:color="auto"/>
      </w:divBdr>
    </w:div>
    <w:div w:id="2045207568">
      <w:bodyDiv w:val="1"/>
      <w:marLeft w:val="0"/>
      <w:marRight w:val="0"/>
      <w:marTop w:val="0"/>
      <w:marBottom w:val="0"/>
      <w:divBdr>
        <w:top w:val="none" w:sz="0" w:space="0" w:color="auto"/>
        <w:left w:val="none" w:sz="0" w:space="0" w:color="auto"/>
        <w:bottom w:val="none" w:sz="0" w:space="0" w:color="auto"/>
        <w:right w:val="none" w:sz="0" w:space="0" w:color="auto"/>
      </w:divBdr>
    </w:div>
    <w:div w:id="2045710048">
      <w:bodyDiv w:val="1"/>
      <w:marLeft w:val="0"/>
      <w:marRight w:val="0"/>
      <w:marTop w:val="0"/>
      <w:marBottom w:val="0"/>
      <w:divBdr>
        <w:top w:val="none" w:sz="0" w:space="0" w:color="auto"/>
        <w:left w:val="none" w:sz="0" w:space="0" w:color="auto"/>
        <w:bottom w:val="none" w:sz="0" w:space="0" w:color="auto"/>
        <w:right w:val="none" w:sz="0" w:space="0" w:color="auto"/>
      </w:divBdr>
    </w:div>
    <w:div w:id="2045788009">
      <w:bodyDiv w:val="1"/>
      <w:marLeft w:val="0"/>
      <w:marRight w:val="0"/>
      <w:marTop w:val="0"/>
      <w:marBottom w:val="0"/>
      <w:divBdr>
        <w:top w:val="none" w:sz="0" w:space="0" w:color="auto"/>
        <w:left w:val="none" w:sz="0" w:space="0" w:color="auto"/>
        <w:bottom w:val="none" w:sz="0" w:space="0" w:color="auto"/>
        <w:right w:val="none" w:sz="0" w:space="0" w:color="auto"/>
      </w:divBdr>
    </w:div>
    <w:div w:id="2045858746">
      <w:bodyDiv w:val="1"/>
      <w:marLeft w:val="0"/>
      <w:marRight w:val="0"/>
      <w:marTop w:val="0"/>
      <w:marBottom w:val="0"/>
      <w:divBdr>
        <w:top w:val="none" w:sz="0" w:space="0" w:color="auto"/>
        <w:left w:val="none" w:sz="0" w:space="0" w:color="auto"/>
        <w:bottom w:val="none" w:sz="0" w:space="0" w:color="auto"/>
        <w:right w:val="none" w:sz="0" w:space="0" w:color="auto"/>
      </w:divBdr>
    </w:div>
    <w:div w:id="2046368448">
      <w:bodyDiv w:val="1"/>
      <w:marLeft w:val="0"/>
      <w:marRight w:val="0"/>
      <w:marTop w:val="0"/>
      <w:marBottom w:val="0"/>
      <w:divBdr>
        <w:top w:val="none" w:sz="0" w:space="0" w:color="auto"/>
        <w:left w:val="none" w:sz="0" w:space="0" w:color="auto"/>
        <w:bottom w:val="none" w:sz="0" w:space="0" w:color="auto"/>
        <w:right w:val="none" w:sz="0" w:space="0" w:color="auto"/>
      </w:divBdr>
    </w:div>
    <w:div w:id="2046786636">
      <w:bodyDiv w:val="1"/>
      <w:marLeft w:val="0"/>
      <w:marRight w:val="0"/>
      <w:marTop w:val="0"/>
      <w:marBottom w:val="0"/>
      <w:divBdr>
        <w:top w:val="none" w:sz="0" w:space="0" w:color="auto"/>
        <w:left w:val="none" w:sz="0" w:space="0" w:color="auto"/>
        <w:bottom w:val="none" w:sz="0" w:space="0" w:color="auto"/>
        <w:right w:val="none" w:sz="0" w:space="0" w:color="auto"/>
      </w:divBdr>
    </w:div>
    <w:div w:id="2047220759">
      <w:bodyDiv w:val="1"/>
      <w:marLeft w:val="0"/>
      <w:marRight w:val="0"/>
      <w:marTop w:val="0"/>
      <w:marBottom w:val="0"/>
      <w:divBdr>
        <w:top w:val="none" w:sz="0" w:space="0" w:color="auto"/>
        <w:left w:val="none" w:sz="0" w:space="0" w:color="auto"/>
        <w:bottom w:val="none" w:sz="0" w:space="0" w:color="auto"/>
        <w:right w:val="none" w:sz="0" w:space="0" w:color="auto"/>
      </w:divBdr>
    </w:div>
    <w:div w:id="2048412239">
      <w:bodyDiv w:val="1"/>
      <w:marLeft w:val="0"/>
      <w:marRight w:val="0"/>
      <w:marTop w:val="0"/>
      <w:marBottom w:val="0"/>
      <w:divBdr>
        <w:top w:val="none" w:sz="0" w:space="0" w:color="auto"/>
        <w:left w:val="none" w:sz="0" w:space="0" w:color="auto"/>
        <w:bottom w:val="none" w:sz="0" w:space="0" w:color="auto"/>
        <w:right w:val="none" w:sz="0" w:space="0" w:color="auto"/>
      </w:divBdr>
    </w:div>
    <w:div w:id="2048600901">
      <w:bodyDiv w:val="1"/>
      <w:marLeft w:val="0"/>
      <w:marRight w:val="0"/>
      <w:marTop w:val="0"/>
      <w:marBottom w:val="0"/>
      <w:divBdr>
        <w:top w:val="none" w:sz="0" w:space="0" w:color="auto"/>
        <w:left w:val="none" w:sz="0" w:space="0" w:color="auto"/>
        <w:bottom w:val="none" w:sz="0" w:space="0" w:color="auto"/>
        <w:right w:val="none" w:sz="0" w:space="0" w:color="auto"/>
      </w:divBdr>
    </w:div>
    <w:div w:id="2049329819">
      <w:bodyDiv w:val="1"/>
      <w:marLeft w:val="0"/>
      <w:marRight w:val="0"/>
      <w:marTop w:val="0"/>
      <w:marBottom w:val="0"/>
      <w:divBdr>
        <w:top w:val="none" w:sz="0" w:space="0" w:color="auto"/>
        <w:left w:val="none" w:sz="0" w:space="0" w:color="auto"/>
        <w:bottom w:val="none" w:sz="0" w:space="0" w:color="auto"/>
        <w:right w:val="none" w:sz="0" w:space="0" w:color="auto"/>
      </w:divBdr>
    </w:div>
    <w:div w:id="2049984889">
      <w:bodyDiv w:val="1"/>
      <w:marLeft w:val="0"/>
      <w:marRight w:val="0"/>
      <w:marTop w:val="0"/>
      <w:marBottom w:val="0"/>
      <w:divBdr>
        <w:top w:val="none" w:sz="0" w:space="0" w:color="auto"/>
        <w:left w:val="none" w:sz="0" w:space="0" w:color="auto"/>
        <w:bottom w:val="none" w:sz="0" w:space="0" w:color="auto"/>
        <w:right w:val="none" w:sz="0" w:space="0" w:color="auto"/>
      </w:divBdr>
    </w:div>
    <w:div w:id="2051146903">
      <w:bodyDiv w:val="1"/>
      <w:marLeft w:val="0"/>
      <w:marRight w:val="0"/>
      <w:marTop w:val="0"/>
      <w:marBottom w:val="0"/>
      <w:divBdr>
        <w:top w:val="none" w:sz="0" w:space="0" w:color="auto"/>
        <w:left w:val="none" w:sz="0" w:space="0" w:color="auto"/>
        <w:bottom w:val="none" w:sz="0" w:space="0" w:color="auto"/>
        <w:right w:val="none" w:sz="0" w:space="0" w:color="auto"/>
      </w:divBdr>
    </w:div>
    <w:div w:id="2051151913">
      <w:bodyDiv w:val="1"/>
      <w:marLeft w:val="0"/>
      <w:marRight w:val="0"/>
      <w:marTop w:val="0"/>
      <w:marBottom w:val="0"/>
      <w:divBdr>
        <w:top w:val="none" w:sz="0" w:space="0" w:color="auto"/>
        <w:left w:val="none" w:sz="0" w:space="0" w:color="auto"/>
        <w:bottom w:val="none" w:sz="0" w:space="0" w:color="auto"/>
        <w:right w:val="none" w:sz="0" w:space="0" w:color="auto"/>
      </w:divBdr>
    </w:div>
    <w:div w:id="2051607678">
      <w:bodyDiv w:val="1"/>
      <w:marLeft w:val="0"/>
      <w:marRight w:val="0"/>
      <w:marTop w:val="0"/>
      <w:marBottom w:val="0"/>
      <w:divBdr>
        <w:top w:val="none" w:sz="0" w:space="0" w:color="auto"/>
        <w:left w:val="none" w:sz="0" w:space="0" w:color="auto"/>
        <w:bottom w:val="none" w:sz="0" w:space="0" w:color="auto"/>
        <w:right w:val="none" w:sz="0" w:space="0" w:color="auto"/>
      </w:divBdr>
    </w:div>
    <w:div w:id="2052151901">
      <w:bodyDiv w:val="1"/>
      <w:marLeft w:val="0"/>
      <w:marRight w:val="0"/>
      <w:marTop w:val="0"/>
      <w:marBottom w:val="0"/>
      <w:divBdr>
        <w:top w:val="none" w:sz="0" w:space="0" w:color="auto"/>
        <w:left w:val="none" w:sz="0" w:space="0" w:color="auto"/>
        <w:bottom w:val="none" w:sz="0" w:space="0" w:color="auto"/>
        <w:right w:val="none" w:sz="0" w:space="0" w:color="auto"/>
      </w:divBdr>
    </w:div>
    <w:div w:id="2052880348">
      <w:bodyDiv w:val="1"/>
      <w:marLeft w:val="0"/>
      <w:marRight w:val="0"/>
      <w:marTop w:val="0"/>
      <w:marBottom w:val="0"/>
      <w:divBdr>
        <w:top w:val="none" w:sz="0" w:space="0" w:color="auto"/>
        <w:left w:val="none" w:sz="0" w:space="0" w:color="auto"/>
        <w:bottom w:val="none" w:sz="0" w:space="0" w:color="auto"/>
        <w:right w:val="none" w:sz="0" w:space="0" w:color="auto"/>
      </w:divBdr>
    </w:div>
    <w:div w:id="2053340627">
      <w:bodyDiv w:val="1"/>
      <w:marLeft w:val="0"/>
      <w:marRight w:val="0"/>
      <w:marTop w:val="0"/>
      <w:marBottom w:val="0"/>
      <w:divBdr>
        <w:top w:val="none" w:sz="0" w:space="0" w:color="auto"/>
        <w:left w:val="none" w:sz="0" w:space="0" w:color="auto"/>
        <w:bottom w:val="none" w:sz="0" w:space="0" w:color="auto"/>
        <w:right w:val="none" w:sz="0" w:space="0" w:color="auto"/>
      </w:divBdr>
    </w:div>
    <w:div w:id="2053384493">
      <w:bodyDiv w:val="1"/>
      <w:marLeft w:val="0"/>
      <w:marRight w:val="0"/>
      <w:marTop w:val="0"/>
      <w:marBottom w:val="0"/>
      <w:divBdr>
        <w:top w:val="none" w:sz="0" w:space="0" w:color="auto"/>
        <w:left w:val="none" w:sz="0" w:space="0" w:color="auto"/>
        <w:bottom w:val="none" w:sz="0" w:space="0" w:color="auto"/>
        <w:right w:val="none" w:sz="0" w:space="0" w:color="auto"/>
      </w:divBdr>
    </w:div>
    <w:div w:id="2053729903">
      <w:bodyDiv w:val="1"/>
      <w:marLeft w:val="0"/>
      <w:marRight w:val="0"/>
      <w:marTop w:val="0"/>
      <w:marBottom w:val="0"/>
      <w:divBdr>
        <w:top w:val="none" w:sz="0" w:space="0" w:color="auto"/>
        <w:left w:val="none" w:sz="0" w:space="0" w:color="auto"/>
        <w:bottom w:val="none" w:sz="0" w:space="0" w:color="auto"/>
        <w:right w:val="none" w:sz="0" w:space="0" w:color="auto"/>
      </w:divBdr>
    </w:div>
    <w:div w:id="2053767779">
      <w:bodyDiv w:val="1"/>
      <w:marLeft w:val="0"/>
      <w:marRight w:val="0"/>
      <w:marTop w:val="0"/>
      <w:marBottom w:val="0"/>
      <w:divBdr>
        <w:top w:val="none" w:sz="0" w:space="0" w:color="auto"/>
        <w:left w:val="none" w:sz="0" w:space="0" w:color="auto"/>
        <w:bottom w:val="none" w:sz="0" w:space="0" w:color="auto"/>
        <w:right w:val="none" w:sz="0" w:space="0" w:color="auto"/>
      </w:divBdr>
    </w:div>
    <w:div w:id="2054228243">
      <w:bodyDiv w:val="1"/>
      <w:marLeft w:val="0"/>
      <w:marRight w:val="0"/>
      <w:marTop w:val="0"/>
      <w:marBottom w:val="0"/>
      <w:divBdr>
        <w:top w:val="none" w:sz="0" w:space="0" w:color="auto"/>
        <w:left w:val="none" w:sz="0" w:space="0" w:color="auto"/>
        <w:bottom w:val="none" w:sz="0" w:space="0" w:color="auto"/>
        <w:right w:val="none" w:sz="0" w:space="0" w:color="auto"/>
      </w:divBdr>
    </w:div>
    <w:div w:id="2054847642">
      <w:bodyDiv w:val="1"/>
      <w:marLeft w:val="0"/>
      <w:marRight w:val="0"/>
      <w:marTop w:val="0"/>
      <w:marBottom w:val="0"/>
      <w:divBdr>
        <w:top w:val="none" w:sz="0" w:space="0" w:color="auto"/>
        <w:left w:val="none" w:sz="0" w:space="0" w:color="auto"/>
        <w:bottom w:val="none" w:sz="0" w:space="0" w:color="auto"/>
        <w:right w:val="none" w:sz="0" w:space="0" w:color="auto"/>
      </w:divBdr>
    </w:div>
    <w:div w:id="2055158107">
      <w:bodyDiv w:val="1"/>
      <w:marLeft w:val="0"/>
      <w:marRight w:val="0"/>
      <w:marTop w:val="0"/>
      <w:marBottom w:val="0"/>
      <w:divBdr>
        <w:top w:val="none" w:sz="0" w:space="0" w:color="auto"/>
        <w:left w:val="none" w:sz="0" w:space="0" w:color="auto"/>
        <w:bottom w:val="none" w:sz="0" w:space="0" w:color="auto"/>
        <w:right w:val="none" w:sz="0" w:space="0" w:color="auto"/>
      </w:divBdr>
    </w:div>
    <w:div w:id="2055304644">
      <w:bodyDiv w:val="1"/>
      <w:marLeft w:val="0"/>
      <w:marRight w:val="0"/>
      <w:marTop w:val="0"/>
      <w:marBottom w:val="0"/>
      <w:divBdr>
        <w:top w:val="none" w:sz="0" w:space="0" w:color="auto"/>
        <w:left w:val="none" w:sz="0" w:space="0" w:color="auto"/>
        <w:bottom w:val="none" w:sz="0" w:space="0" w:color="auto"/>
        <w:right w:val="none" w:sz="0" w:space="0" w:color="auto"/>
      </w:divBdr>
    </w:div>
    <w:div w:id="2055618693">
      <w:bodyDiv w:val="1"/>
      <w:marLeft w:val="0"/>
      <w:marRight w:val="0"/>
      <w:marTop w:val="0"/>
      <w:marBottom w:val="0"/>
      <w:divBdr>
        <w:top w:val="none" w:sz="0" w:space="0" w:color="auto"/>
        <w:left w:val="none" w:sz="0" w:space="0" w:color="auto"/>
        <w:bottom w:val="none" w:sz="0" w:space="0" w:color="auto"/>
        <w:right w:val="none" w:sz="0" w:space="0" w:color="auto"/>
      </w:divBdr>
    </w:div>
    <w:div w:id="2056003701">
      <w:bodyDiv w:val="1"/>
      <w:marLeft w:val="0"/>
      <w:marRight w:val="0"/>
      <w:marTop w:val="0"/>
      <w:marBottom w:val="0"/>
      <w:divBdr>
        <w:top w:val="none" w:sz="0" w:space="0" w:color="auto"/>
        <w:left w:val="none" w:sz="0" w:space="0" w:color="auto"/>
        <w:bottom w:val="none" w:sz="0" w:space="0" w:color="auto"/>
        <w:right w:val="none" w:sz="0" w:space="0" w:color="auto"/>
      </w:divBdr>
    </w:div>
    <w:div w:id="2056467610">
      <w:bodyDiv w:val="1"/>
      <w:marLeft w:val="0"/>
      <w:marRight w:val="0"/>
      <w:marTop w:val="0"/>
      <w:marBottom w:val="0"/>
      <w:divBdr>
        <w:top w:val="none" w:sz="0" w:space="0" w:color="auto"/>
        <w:left w:val="none" w:sz="0" w:space="0" w:color="auto"/>
        <w:bottom w:val="none" w:sz="0" w:space="0" w:color="auto"/>
        <w:right w:val="none" w:sz="0" w:space="0" w:color="auto"/>
      </w:divBdr>
    </w:div>
    <w:div w:id="2056537688">
      <w:bodyDiv w:val="1"/>
      <w:marLeft w:val="0"/>
      <w:marRight w:val="0"/>
      <w:marTop w:val="0"/>
      <w:marBottom w:val="0"/>
      <w:divBdr>
        <w:top w:val="none" w:sz="0" w:space="0" w:color="auto"/>
        <w:left w:val="none" w:sz="0" w:space="0" w:color="auto"/>
        <w:bottom w:val="none" w:sz="0" w:space="0" w:color="auto"/>
        <w:right w:val="none" w:sz="0" w:space="0" w:color="auto"/>
      </w:divBdr>
    </w:div>
    <w:div w:id="2056613517">
      <w:bodyDiv w:val="1"/>
      <w:marLeft w:val="0"/>
      <w:marRight w:val="0"/>
      <w:marTop w:val="0"/>
      <w:marBottom w:val="0"/>
      <w:divBdr>
        <w:top w:val="none" w:sz="0" w:space="0" w:color="auto"/>
        <w:left w:val="none" w:sz="0" w:space="0" w:color="auto"/>
        <w:bottom w:val="none" w:sz="0" w:space="0" w:color="auto"/>
        <w:right w:val="none" w:sz="0" w:space="0" w:color="auto"/>
      </w:divBdr>
    </w:div>
    <w:div w:id="2056848605">
      <w:bodyDiv w:val="1"/>
      <w:marLeft w:val="0"/>
      <w:marRight w:val="0"/>
      <w:marTop w:val="0"/>
      <w:marBottom w:val="0"/>
      <w:divBdr>
        <w:top w:val="none" w:sz="0" w:space="0" w:color="auto"/>
        <w:left w:val="none" w:sz="0" w:space="0" w:color="auto"/>
        <w:bottom w:val="none" w:sz="0" w:space="0" w:color="auto"/>
        <w:right w:val="none" w:sz="0" w:space="0" w:color="auto"/>
      </w:divBdr>
    </w:div>
    <w:div w:id="2057192943">
      <w:bodyDiv w:val="1"/>
      <w:marLeft w:val="0"/>
      <w:marRight w:val="0"/>
      <w:marTop w:val="0"/>
      <w:marBottom w:val="0"/>
      <w:divBdr>
        <w:top w:val="none" w:sz="0" w:space="0" w:color="auto"/>
        <w:left w:val="none" w:sz="0" w:space="0" w:color="auto"/>
        <w:bottom w:val="none" w:sz="0" w:space="0" w:color="auto"/>
        <w:right w:val="none" w:sz="0" w:space="0" w:color="auto"/>
      </w:divBdr>
    </w:div>
    <w:div w:id="2057461596">
      <w:bodyDiv w:val="1"/>
      <w:marLeft w:val="0"/>
      <w:marRight w:val="0"/>
      <w:marTop w:val="0"/>
      <w:marBottom w:val="0"/>
      <w:divBdr>
        <w:top w:val="none" w:sz="0" w:space="0" w:color="auto"/>
        <w:left w:val="none" w:sz="0" w:space="0" w:color="auto"/>
        <w:bottom w:val="none" w:sz="0" w:space="0" w:color="auto"/>
        <w:right w:val="none" w:sz="0" w:space="0" w:color="auto"/>
      </w:divBdr>
    </w:div>
    <w:div w:id="2057583597">
      <w:bodyDiv w:val="1"/>
      <w:marLeft w:val="0"/>
      <w:marRight w:val="0"/>
      <w:marTop w:val="0"/>
      <w:marBottom w:val="0"/>
      <w:divBdr>
        <w:top w:val="none" w:sz="0" w:space="0" w:color="auto"/>
        <w:left w:val="none" w:sz="0" w:space="0" w:color="auto"/>
        <w:bottom w:val="none" w:sz="0" w:space="0" w:color="auto"/>
        <w:right w:val="none" w:sz="0" w:space="0" w:color="auto"/>
      </w:divBdr>
    </w:div>
    <w:div w:id="2057772629">
      <w:bodyDiv w:val="1"/>
      <w:marLeft w:val="0"/>
      <w:marRight w:val="0"/>
      <w:marTop w:val="0"/>
      <w:marBottom w:val="0"/>
      <w:divBdr>
        <w:top w:val="none" w:sz="0" w:space="0" w:color="auto"/>
        <w:left w:val="none" w:sz="0" w:space="0" w:color="auto"/>
        <w:bottom w:val="none" w:sz="0" w:space="0" w:color="auto"/>
        <w:right w:val="none" w:sz="0" w:space="0" w:color="auto"/>
      </w:divBdr>
    </w:div>
    <w:div w:id="2057777214">
      <w:bodyDiv w:val="1"/>
      <w:marLeft w:val="0"/>
      <w:marRight w:val="0"/>
      <w:marTop w:val="0"/>
      <w:marBottom w:val="0"/>
      <w:divBdr>
        <w:top w:val="none" w:sz="0" w:space="0" w:color="auto"/>
        <w:left w:val="none" w:sz="0" w:space="0" w:color="auto"/>
        <w:bottom w:val="none" w:sz="0" w:space="0" w:color="auto"/>
        <w:right w:val="none" w:sz="0" w:space="0" w:color="auto"/>
      </w:divBdr>
    </w:div>
    <w:div w:id="2058889055">
      <w:bodyDiv w:val="1"/>
      <w:marLeft w:val="0"/>
      <w:marRight w:val="0"/>
      <w:marTop w:val="0"/>
      <w:marBottom w:val="0"/>
      <w:divBdr>
        <w:top w:val="none" w:sz="0" w:space="0" w:color="auto"/>
        <w:left w:val="none" w:sz="0" w:space="0" w:color="auto"/>
        <w:bottom w:val="none" w:sz="0" w:space="0" w:color="auto"/>
        <w:right w:val="none" w:sz="0" w:space="0" w:color="auto"/>
      </w:divBdr>
    </w:div>
    <w:div w:id="2059090147">
      <w:bodyDiv w:val="1"/>
      <w:marLeft w:val="0"/>
      <w:marRight w:val="0"/>
      <w:marTop w:val="0"/>
      <w:marBottom w:val="0"/>
      <w:divBdr>
        <w:top w:val="none" w:sz="0" w:space="0" w:color="auto"/>
        <w:left w:val="none" w:sz="0" w:space="0" w:color="auto"/>
        <w:bottom w:val="none" w:sz="0" w:space="0" w:color="auto"/>
        <w:right w:val="none" w:sz="0" w:space="0" w:color="auto"/>
      </w:divBdr>
    </w:div>
    <w:div w:id="2059234673">
      <w:bodyDiv w:val="1"/>
      <w:marLeft w:val="0"/>
      <w:marRight w:val="0"/>
      <w:marTop w:val="0"/>
      <w:marBottom w:val="0"/>
      <w:divBdr>
        <w:top w:val="none" w:sz="0" w:space="0" w:color="auto"/>
        <w:left w:val="none" w:sz="0" w:space="0" w:color="auto"/>
        <w:bottom w:val="none" w:sz="0" w:space="0" w:color="auto"/>
        <w:right w:val="none" w:sz="0" w:space="0" w:color="auto"/>
      </w:divBdr>
    </w:div>
    <w:div w:id="2059552722">
      <w:bodyDiv w:val="1"/>
      <w:marLeft w:val="0"/>
      <w:marRight w:val="0"/>
      <w:marTop w:val="0"/>
      <w:marBottom w:val="0"/>
      <w:divBdr>
        <w:top w:val="none" w:sz="0" w:space="0" w:color="auto"/>
        <w:left w:val="none" w:sz="0" w:space="0" w:color="auto"/>
        <w:bottom w:val="none" w:sz="0" w:space="0" w:color="auto"/>
        <w:right w:val="none" w:sz="0" w:space="0" w:color="auto"/>
      </w:divBdr>
    </w:div>
    <w:div w:id="2061051230">
      <w:bodyDiv w:val="1"/>
      <w:marLeft w:val="0"/>
      <w:marRight w:val="0"/>
      <w:marTop w:val="0"/>
      <w:marBottom w:val="0"/>
      <w:divBdr>
        <w:top w:val="none" w:sz="0" w:space="0" w:color="auto"/>
        <w:left w:val="none" w:sz="0" w:space="0" w:color="auto"/>
        <w:bottom w:val="none" w:sz="0" w:space="0" w:color="auto"/>
        <w:right w:val="none" w:sz="0" w:space="0" w:color="auto"/>
      </w:divBdr>
    </w:div>
    <w:div w:id="2061053882">
      <w:bodyDiv w:val="1"/>
      <w:marLeft w:val="0"/>
      <w:marRight w:val="0"/>
      <w:marTop w:val="0"/>
      <w:marBottom w:val="0"/>
      <w:divBdr>
        <w:top w:val="none" w:sz="0" w:space="0" w:color="auto"/>
        <w:left w:val="none" w:sz="0" w:space="0" w:color="auto"/>
        <w:bottom w:val="none" w:sz="0" w:space="0" w:color="auto"/>
        <w:right w:val="none" w:sz="0" w:space="0" w:color="auto"/>
      </w:divBdr>
    </w:div>
    <w:div w:id="2061129675">
      <w:bodyDiv w:val="1"/>
      <w:marLeft w:val="0"/>
      <w:marRight w:val="0"/>
      <w:marTop w:val="0"/>
      <w:marBottom w:val="0"/>
      <w:divBdr>
        <w:top w:val="none" w:sz="0" w:space="0" w:color="auto"/>
        <w:left w:val="none" w:sz="0" w:space="0" w:color="auto"/>
        <w:bottom w:val="none" w:sz="0" w:space="0" w:color="auto"/>
        <w:right w:val="none" w:sz="0" w:space="0" w:color="auto"/>
      </w:divBdr>
    </w:div>
    <w:div w:id="2061202342">
      <w:bodyDiv w:val="1"/>
      <w:marLeft w:val="0"/>
      <w:marRight w:val="0"/>
      <w:marTop w:val="0"/>
      <w:marBottom w:val="0"/>
      <w:divBdr>
        <w:top w:val="none" w:sz="0" w:space="0" w:color="auto"/>
        <w:left w:val="none" w:sz="0" w:space="0" w:color="auto"/>
        <w:bottom w:val="none" w:sz="0" w:space="0" w:color="auto"/>
        <w:right w:val="none" w:sz="0" w:space="0" w:color="auto"/>
      </w:divBdr>
      <w:divsChild>
        <w:div w:id="1477339006">
          <w:marLeft w:val="0"/>
          <w:marRight w:val="0"/>
          <w:marTop w:val="0"/>
          <w:marBottom w:val="0"/>
          <w:divBdr>
            <w:top w:val="none" w:sz="0" w:space="0" w:color="auto"/>
            <w:left w:val="none" w:sz="0" w:space="0" w:color="auto"/>
            <w:bottom w:val="none" w:sz="0" w:space="0" w:color="auto"/>
            <w:right w:val="none" w:sz="0" w:space="0" w:color="auto"/>
          </w:divBdr>
        </w:div>
      </w:divsChild>
    </w:div>
    <w:div w:id="2062173971">
      <w:bodyDiv w:val="1"/>
      <w:marLeft w:val="0"/>
      <w:marRight w:val="0"/>
      <w:marTop w:val="0"/>
      <w:marBottom w:val="0"/>
      <w:divBdr>
        <w:top w:val="none" w:sz="0" w:space="0" w:color="auto"/>
        <w:left w:val="none" w:sz="0" w:space="0" w:color="auto"/>
        <w:bottom w:val="none" w:sz="0" w:space="0" w:color="auto"/>
        <w:right w:val="none" w:sz="0" w:space="0" w:color="auto"/>
      </w:divBdr>
    </w:div>
    <w:div w:id="2062709918">
      <w:bodyDiv w:val="1"/>
      <w:marLeft w:val="0"/>
      <w:marRight w:val="0"/>
      <w:marTop w:val="0"/>
      <w:marBottom w:val="0"/>
      <w:divBdr>
        <w:top w:val="none" w:sz="0" w:space="0" w:color="auto"/>
        <w:left w:val="none" w:sz="0" w:space="0" w:color="auto"/>
        <w:bottom w:val="none" w:sz="0" w:space="0" w:color="auto"/>
        <w:right w:val="none" w:sz="0" w:space="0" w:color="auto"/>
      </w:divBdr>
    </w:div>
    <w:div w:id="2063093060">
      <w:bodyDiv w:val="1"/>
      <w:marLeft w:val="0"/>
      <w:marRight w:val="0"/>
      <w:marTop w:val="0"/>
      <w:marBottom w:val="0"/>
      <w:divBdr>
        <w:top w:val="none" w:sz="0" w:space="0" w:color="auto"/>
        <w:left w:val="none" w:sz="0" w:space="0" w:color="auto"/>
        <w:bottom w:val="none" w:sz="0" w:space="0" w:color="auto"/>
        <w:right w:val="none" w:sz="0" w:space="0" w:color="auto"/>
      </w:divBdr>
    </w:div>
    <w:div w:id="2063166145">
      <w:bodyDiv w:val="1"/>
      <w:marLeft w:val="0"/>
      <w:marRight w:val="0"/>
      <w:marTop w:val="0"/>
      <w:marBottom w:val="0"/>
      <w:divBdr>
        <w:top w:val="none" w:sz="0" w:space="0" w:color="auto"/>
        <w:left w:val="none" w:sz="0" w:space="0" w:color="auto"/>
        <w:bottom w:val="none" w:sz="0" w:space="0" w:color="auto"/>
        <w:right w:val="none" w:sz="0" w:space="0" w:color="auto"/>
      </w:divBdr>
    </w:div>
    <w:div w:id="2063211174">
      <w:bodyDiv w:val="1"/>
      <w:marLeft w:val="0"/>
      <w:marRight w:val="0"/>
      <w:marTop w:val="0"/>
      <w:marBottom w:val="0"/>
      <w:divBdr>
        <w:top w:val="none" w:sz="0" w:space="0" w:color="auto"/>
        <w:left w:val="none" w:sz="0" w:space="0" w:color="auto"/>
        <w:bottom w:val="none" w:sz="0" w:space="0" w:color="auto"/>
        <w:right w:val="none" w:sz="0" w:space="0" w:color="auto"/>
      </w:divBdr>
    </w:div>
    <w:div w:id="2063602564">
      <w:bodyDiv w:val="1"/>
      <w:marLeft w:val="0"/>
      <w:marRight w:val="0"/>
      <w:marTop w:val="0"/>
      <w:marBottom w:val="0"/>
      <w:divBdr>
        <w:top w:val="none" w:sz="0" w:space="0" w:color="auto"/>
        <w:left w:val="none" w:sz="0" w:space="0" w:color="auto"/>
        <w:bottom w:val="none" w:sz="0" w:space="0" w:color="auto"/>
        <w:right w:val="none" w:sz="0" w:space="0" w:color="auto"/>
      </w:divBdr>
    </w:div>
    <w:div w:id="2063748934">
      <w:bodyDiv w:val="1"/>
      <w:marLeft w:val="0"/>
      <w:marRight w:val="0"/>
      <w:marTop w:val="0"/>
      <w:marBottom w:val="0"/>
      <w:divBdr>
        <w:top w:val="none" w:sz="0" w:space="0" w:color="auto"/>
        <w:left w:val="none" w:sz="0" w:space="0" w:color="auto"/>
        <w:bottom w:val="none" w:sz="0" w:space="0" w:color="auto"/>
        <w:right w:val="none" w:sz="0" w:space="0" w:color="auto"/>
      </w:divBdr>
    </w:div>
    <w:div w:id="2064139716">
      <w:bodyDiv w:val="1"/>
      <w:marLeft w:val="0"/>
      <w:marRight w:val="0"/>
      <w:marTop w:val="0"/>
      <w:marBottom w:val="0"/>
      <w:divBdr>
        <w:top w:val="none" w:sz="0" w:space="0" w:color="auto"/>
        <w:left w:val="none" w:sz="0" w:space="0" w:color="auto"/>
        <w:bottom w:val="none" w:sz="0" w:space="0" w:color="auto"/>
        <w:right w:val="none" w:sz="0" w:space="0" w:color="auto"/>
      </w:divBdr>
    </w:div>
    <w:div w:id="2064599701">
      <w:bodyDiv w:val="1"/>
      <w:marLeft w:val="0"/>
      <w:marRight w:val="0"/>
      <w:marTop w:val="0"/>
      <w:marBottom w:val="0"/>
      <w:divBdr>
        <w:top w:val="none" w:sz="0" w:space="0" w:color="auto"/>
        <w:left w:val="none" w:sz="0" w:space="0" w:color="auto"/>
        <w:bottom w:val="none" w:sz="0" w:space="0" w:color="auto"/>
        <w:right w:val="none" w:sz="0" w:space="0" w:color="auto"/>
      </w:divBdr>
    </w:div>
    <w:div w:id="2065450761">
      <w:bodyDiv w:val="1"/>
      <w:marLeft w:val="0"/>
      <w:marRight w:val="0"/>
      <w:marTop w:val="0"/>
      <w:marBottom w:val="0"/>
      <w:divBdr>
        <w:top w:val="none" w:sz="0" w:space="0" w:color="auto"/>
        <w:left w:val="none" w:sz="0" w:space="0" w:color="auto"/>
        <w:bottom w:val="none" w:sz="0" w:space="0" w:color="auto"/>
        <w:right w:val="none" w:sz="0" w:space="0" w:color="auto"/>
      </w:divBdr>
    </w:div>
    <w:div w:id="2065831686">
      <w:bodyDiv w:val="1"/>
      <w:marLeft w:val="0"/>
      <w:marRight w:val="0"/>
      <w:marTop w:val="0"/>
      <w:marBottom w:val="0"/>
      <w:divBdr>
        <w:top w:val="none" w:sz="0" w:space="0" w:color="auto"/>
        <w:left w:val="none" w:sz="0" w:space="0" w:color="auto"/>
        <w:bottom w:val="none" w:sz="0" w:space="0" w:color="auto"/>
        <w:right w:val="none" w:sz="0" w:space="0" w:color="auto"/>
      </w:divBdr>
    </w:div>
    <w:div w:id="2066247515">
      <w:bodyDiv w:val="1"/>
      <w:marLeft w:val="0"/>
      <w:marRight w:val="0"/>
      <w:marTop w:val="0"/>
      <w:marBottom w:val="0"/>
      <w:divBdr>
        <w:top w:val="none" w:sz="0" w:space="0" w:color="auto"/>
        <w:left w:val="none" w:sz="0" w:space="0" w:color="auto"/>
        <w:bottom w:val="none" w:sz="0" w:space="0" w:color="auto"/>
        <w:right w:val="none" w:sz="0" w:space="0" w:color="auto"/>
      </w:divBdr>
    </w:div>
    <w:div w:id="2066876418">
      <w:bodyDiv w:val="1"/>
      <w:marLeft w:val="0"/>
      <w:marRight w:val="0"/>
      <w:marTop w:val="0"/>
      <w:marBottom w:val="0"/>
      <w:divBdr>
        <w:top w:val="none" w:sz="0" w:space="0" w:color="auto"/>
        <w:left w:val="none" w:sz="0" w:space="0" w:color="auto"/>
        <w:bottom w:val="none" w:sz="0" w:space="0" w:color="auto"/>
        <w:right w:val="none" w:sz="0" w:space="0" w:color="auto"/>
      </w:divBdr>
    </w:div>
    <w:div w:id="2067020918">
      <w:bodyDiv w:val="1"/>
      <w:marLeft w:val="0"/>
      <w:marRight w:val="0"/>
      <w:marTop w:val="0"/>
      <w:marBottom w:val="0"/>
      <w:divBdr>
        <w:top w:val="none" w:sz="0" w:space="0" w:color="auto"/>
        <w:left w:val="none" w:sz="0" w:space="0" w:color="auto"/>
        <w:bottom w:val="none" w:sz="0" w:space="0" w:color="auto"/>
        <w:right w:val="none" w:sz="0" w:space="0" w:color="auto"/>
      </w:divBdr>
    </w:div>
    <w:div w:id="2067296068">
      <w:bodyDiv w:val="1"/>
      <w:marLeft w:val="0"/>
      <w:marRight w:val="0"/>
      <w:marTop w:val="0"/>
      <w:marBottom w:val="0"/>
      <w:divBdr>
        <w:top w:val="none" w:sz="0" w:space="0" w:color="auto"/>
        <w:left w:val="none" w:sz="0" w:space="0" w:color="auto"/>
        <w:bottom w:val="none" w:sz="0" w:space="0" w:color="auto"/>
        <w:right w:val="none" w:sz="0" w:space="0" w:color="auto"/>
      </w:divBdr>
    </w:div>
    <w:div w:id="2067953841">
      <w:bodyDiv w:val="1"/>
      <w:marLeft w:val="0"/>
      <w:marRight w:val="0"/>
      <w:marTop w:val="0"/>
      <w:marBottom w:val="0"/>
      <w:divBdr>
        <w:top w:val="none" w:sz="0" w:space="0" w:color="auto"/>
        <w:left w:val="none" w:sz="0" w:space="0" w:color="auto"/>
        <w:bottom w:val="none" w:sz="0" w:space="0" w:color="auto"/>
        <w:right w:val="none" w:sz="0" w:space="0" w:color="auto"/>
      </w:divBdr>
    </w:div>
    <w:div w:id="2068409082">
      <w:bodyDiv w:val="1"/>
      <w:marLeft w:val="0"/>
      <w:marRight w:val="0"/>
      <w:marTop w:val="0"/>
      <w:marBottom w:val="0"/>
      <w:divBdr>
        <w:top w:val="none" w:sz="0" w:space="0" w:color="auto"/>
        <w:left w:val="none" w:sz="0" w:space="0" w:color="auto"/>
        <w:bottom w:val="none" w:sz="0" w:space="0" w:color="auto"/>
        <w:right w:val="none" w:sz="0" w:space="0" w:color="auto"/>
      </w:divBdr>
    </w:div>
    <w:div w:id="2068409792">
      <w:bodyDiv w:val="1"/>
      <w:marLeft w:val="0"/>
      <w:marRight w:val="0"/>
      <w:marTop w:val="0"/>
      <w:marBottom w:val="0"/>
      <w:divBdr>
        <w:top w:val="none" w:sz="0" w:space="0" w:color="auto"/>
        <w:left w:val="none" w:sz="0" w:space="0" w:color="auto"/>
        <w:bottom w:val="none" w:sz="0" w:space="0" w:color="auto"/>
        <w:right w:val="none" w:sz="0" w:space="0" w:color="auto"/>
      </w:divBdr>
    </w:div>
    <w:div w:id="2068449811">
      <w:bodyDiv w:val="1"/>
      <w:marLeft w:val="0"/>
      <w:marRight w:val="0"/>
      <w:marTop w:val="0"/>
      <w:marBottom w:val="0"/>
      <w:divBdr>
        <w:top w:val="none" w:sz="0" w:space="0" w:color="auto"/>
        <w:left w:val="none" w:sz="0" w:space="0" w:color="auto"/>
        <w:bottom w:val="none" w:sz="0" w:space="0" w:color="auto"/>
        <w:right w:val="none" w:sz="0" w:space="0" w:color="auto"/>
      </w:divBdr>
    </w:div>
    <w:div w:id="2068842360">
      <w:bodyDiv w:val="1"/>
      <w:marLeft w:val="0"/>
      <w:marRight w:val="0"/>
      <w:marTop w:val="0"/>
      <w:marBottom w:val="0"/>
      <w:divBdr>
        <w:top w:val="none" w:sz="0" w:space="0" w:color="auto"/>
        <w:left w:val="none" w:sz="0" w:space="0" w:color="auto"/>
        <w:bottom w:val="none" w:sz="0" w:space="0" w:color="auto"/>
        <w:right w:val="none" w:sz="0" w:space="0" w:color="auto"/>
      </w:divBdr>
    </w:div>
    <w:div w:id="2069500117">
      <w:bodyDiv w:val="1"/>
      <w:marLeft w:val="0"/>
      <w:marRight w:val="0"/>
      <w:marTop w:val="0"/>
      <w:marBottom w:val="0"/>
      <w:divBdr>
        <w:top w:val="none" w:sz="0" w:space="0" w:color="auto"/>
        <w:left w:val="none" w:sz="0" w:space="0" w:color="auto"/>
        <w:bottom w:val="none" w:sz="0" w:space="0" w:color="auto"/>
        <w:right w:val="none" w:sz="0" w:space="0" w:color="auto"/>
      </w:divBdr>
    </w:div>
    <w:div w:id="2069526749">
      <w:bodyDiv w:val="1"/>
      <w:marLeft w:val="0"/>
      <w:marRight w:val="0"/>
      <w:marTop w:val="0"/>
      <w:marBottom w:val="0"/>
      <w:divBdr>
        <w:top w:val="none" w:sz="0" w:space="0" w:color="auto"/>
        <w:left w:val="none" w:sz="0" w:space="0" w:color="auto"/>
        <w:bottom w:val="none" w:sz="0" w:space="0" w:color="auto"/>
        <w:right w:val="none" w:sz="0" w:space="0" w:color="auto"/>
      </w:divBdr>
    </w:div>
    <w:div w:id="2069569293">
      <w:bodyDiv w:val="1"/>
      <w:marLeft w:val="0"/>
      <w:marRight w:val="0"/>
      <w:marTop w:val="0"/>
      <w:marBottom w:val="0"/>
      <w:divBdr>
        <w:top w:val="none" w:sz="0" w:space="0" w:color="auto"/>
        <w:left w:val="none" w:sz="0" w:space="0" w:color="auto"/>
        <w:bottom w:val="none" w:sz="0" w:space="0" w:color="auto"/>
        <w:right w:val="none" w:sz="0" w:space="0" w:color="auto"/>
      </w:divBdr>
    </w:div>
    <w:div w:id="2069643223">
      <w:bodyDiv w:val="1"/>
      <w:marLeft w:val="0"/>
      <w:marRight w:val="0"/>
      <w:marTop w:val="0"/>
      <w:marBottom w:val="0"/>
      <w:divBdr>
        <w:top w:val="none" w:sz="0" w:space="0" w:color="auto"/>
        <w:left w:val="none" w:sz="0" w:space="0" w:color="auto"/>
        <w:bottom w:val="none" w:sz="0" w:space="0" w:color="auto"/>
        <w:right w:val="none" w:sz="0" w:space="0" w:color="auto"/>
      </w:divBdr>
    </w:div>
    <w:div w:id="2069646067">
      <w:bodyDiv w:val="1"/>
      <w:marLeft w:val="0"/>
      <w:marRight w:val="0"/>
      <w:marTop w:val="0"/>
      <w:marBottom w:val="0"/>
      <w:divBdr>
        <w:top w:val="none" w:sz="0" w:space="0" w:color="auto"/>
        <w:left w:val="none" w:sz="0" w:space="0" w:color="auto"/>
        <w:bottom w:val="none" w:sz="0" w:space="0" w:color="auto"/>
        <w:right w:val="none" w:sz="0" w:space="0" w:color="auto"/>
      </w:divBdr>
    </w:div>
    <w:div w:id="2069840516">
      <w:bodyDiv w:val="1"/>
      <w:marLeft w:val="0"/>
      <w:marRight w:val="0"/>
      <w:marTop w:val="0"/>
      <w:marBottom w:val="0"/>
      <w:divBdr>
        <w:top w:val="none" w:sz="0" w:space="0" w:color="auto"/>
        <w:left w:val="none" w:sz="0" w:space="0" w:color="auto"/>
        <w:bottom w:val="none" w:sz="0" w:space="0" w:color="auto"/>
        <w:right w:val="none" w:sz="0" w:space="0" w:color="auto"/>
      </w:divBdr>
    </w:div>
    <w:div w:id="2070152733">
      <w:bodyDiv w:val="1"/>
      <w:marLeft w:val="0"/>
      <w:marRight w:val="0"/>
      <w:marTop w:val="0"/>
      <w:marBottom w:val="0"/>
      <w:divBdr>
        <w:top w:val="none" w:sz="0" w:space="0" w:color="auto"/>
        <w:left w:val="none" w:sz="0" w:space="0" w:color="auto"/>
        <w:bottom w:val="none" w:sz="0" w:space="0" w:color="auto"/>
        <w:right w:val="none" w:sz="0" w:space="0" w:color="auto"/>
      </w:divBdr>
    </w:div>
    <w:div w:id="2070959331">
      <w:bodyDiv w:val="1"/>
      <w:marLeft w:val="0"/>
      <w:marRight w:val="0"/>
      <w:marTop w:val="0"/>
      <w:marBottom w:val="0"/>
      <w:divBdr>
        <w:top w:val="none" w:sz="0" w:space="0" w:color="auto"/>
        <w:left w:val="none" w:sz="0" w:space="0" w:color="auto"/>
        <w:bottom w:val="none" w:sz="0" w:space="0" w:color="auto"/>
        <w:right w:val="none" w:sz="0" w:space="0" w:color="auto"/>
      </w:divBdr>
    </w:div>
    <w:div w:id="2071230205">
      <w:bodyDiv w:val="1"/>
      <w:marLeft w:val="0"/>
      <w:marRight w:val="0"/>
      <w:marTop w:val="0"/>
      <w:marBottom w:val="0"/>
      <w:divBdr>
        <w:top w:val="none" w:sz="0" w:space="0" w:color="auto"/>
        <w:left w:val="none" w:sz="0" w:space="0" w:color="auto"/>
        <w:bottom w:val="none" w:sz="0" w:space="0" w:color="auto"/>
        <w:right w:val="none" w:sz="0" w:space="0" w:color="auto"/>
      </w:divBdr>
    </w:div>
    <w:div w:id="2072076615">
      <w:bodyDiv w:val="1"/>
      <w:marLeft w:val="0"/>
      <w:marRight w:val="0"/>
      <w:marTop w:val="0"/>
      <w:marBottom w:val="0"/>
      <w:divBdr>
        <w:top w:val="none" w:sz="0" w:space="0" w:color="auto"/>
        <w:left w:val="none" w:sz="0" w:space="0" w:color="auto"/>
        <w:bottom w:val="none" w:sz="0" w:space="0" w:color="auto"/>
        <w:right w:val="none" w:sz="0" w:space="0" w:color="auto"/>
      </w:divBdr>
    </w:div>
    <w:div w:id="2072922059">
      <w:bodyDiv w:val="1"/>
      <w:marLeft w:val="0"/>
      <w:marRight w:val="0"/>
      <w:marTop w:val="0"/>
      <w:marBottom w:val="0"/>
      <w:divBdr>
        <w:top w:val="none" w:sz="0" w:space="0" w:color="auto"/>
        <w:left w:val="none" w:sz="0" w:space="0" w:color="auto"/>
        <w:bottom w:val="none" w:sz="0" w:space="0" w:color="auto"/>
        <w:right w:val="none" w:sz="0" w:space="0" w:color="auto"/>
      </w:divBdr>
    </w:div>
    <w:div w:id="2073457408">
      <w:bodyDiv w:val="1"/>
      <w:marLeft w:val="0"/>
      <w:marRight w:val="0"/>
      <w:marTop w:val="0"/>
      <w:marBottom w:val="0"/>
      <w:divBdr>
        <w:top w:val="none" w:sz="0" w:space="0" w:color="auto"/>
        <w:left w:val="none" w:sz="0" w:space="0" w:color="auto"/>
        <w:bottom w:val="none" w:sz="0" w:space="0" w:color="auto"/>
        <w:right w:val="none" w:sz="0" w:space="0" w:color="auto"/>
      </w:divBdr>
    </w:div>
    <w:div w:id="2075813198">
      <w:bodyDiv w:val="1"/>
      <w:marLeft w:val="0"/>
      <w:marRight w:val="0"/>
      <w:marTop w:val="0"/>
      <w:marBottom w:val="0"/>
      <w:divBdr>
        <w:top w:val="none" w:sz="0" w:space="0" w:color="auto"/>
        <w:left w:val="none" w:sz="0" w:space="0" w:color="auto"/>
        <w:bottom w:val="none" w:sz="0" w:space="0" w:color="auto"/>
        <w:right w:val="none" w:sz="0" w:space="0" w:color="auto"/>
      </w:divBdr>
    </w:div>
    <w:div w:id="2075927579">
      <w:bodyDiv w:val="1"/>
      <w:marLeft w:val="0"/>
      <w:marRight w:val="0"/>
      <w:marTop w:val="0"/>
      <w:marBottom w:val="0"/>
      <w:divBdr>
        <w:top w:val="none" w:sz="0" w:space="0" w:color="auto"/>
        <w:left w:val="none" w:sz="0" w:space="0" w:color="auto"/>
        <w:bottom w:val="none" w:sz="0" w:space="0" w:color="auto"/>
        <w:right w:val="none" w:sz="0" w:space="0" w:color="auto"/>
      </w:divBdr>
    </w:div>
    <w:div w:id="2076119573">
      <w:bodyDiv w:val="1"/>
      <w:marLeft w:val="0"/>
      <w:marRight w:val="0"/>
      <w:marTop w:val="0"/>
      <w:marBottom w:val="0"/>
      <w:divBdr>
        <w:top w:val="none" w:sz="0" w:space="0" w:color="auto"/>
        <w:left w:val="none" w:sz="0" w:space="0" w:color="auto"/>
        <w:bottom w:val="none" w:sz="0" w:space="0" w:color="auto"/>
        <w:right w:val="none" w:sz="0" w:space="0" w:color="auto"/>
      </w:divBdr>
    </w:div>
    <w:div w:id="2077127692">
      <w:bodyDiv w:val="1"/>
      <w:marLeft w:val="0"/>
      <w:marRight w:val="0"/>
      <w:marTop w:val="0"/>
      <w:marBottom w:val="0"/>
      <w:divBdr>
        <w:top w:val="none" w:sz="0" w:space="0" w:color="auto"/>
        <w:left w:val="none" w:sz="0" w:space="0" w:color="auto"/>
        <w:bottom w:val="none" w:sz="0" w:space="0" w:color="auto"/>
        <w:right w:val="none" w:sz="0" w:space="0" w:color="auto"/>
      </w:divBdr>
    </w:div>
    <w:div w:id="2077431746">
      <w:bodyDiv w:val="1"/>
      <w:marLeft w:val="0"/>
      <w:marRight w:val="0"/>
      <w:marTop w:val="0"/>
      <w:marBottom w:val="0"/>
      <w:divBdr>
        <w:top w:val="none" w:sz="0" w:space="0" w:color="auto"/>
        <w:left w:val="none" w:sz="0" w:space="0" w:color="auto"/>
        <w:bottom w:val="none" w:sz="0" w:space="0" w:color="auto"/>
        <w:right w:val="none" w:sz="0" w:space="0" w:color="auto"/>
      </w:divBdr>
    </w:div>
    <w:div w:id="2077967637">
      <w:bodyDiv w:val="1"/>
      <w:marLeft w:val="0"/>
      <w:marRight w:val="0"/>
      <w:marTop w:val="0"/>
      <w:marBottom w:val="0"/>
      <w:divBdr>
        <w:top w:val="none" w:sz="0" w:space="0" w:color="auto"/>
        <w:left w:val="none" w:sz="0" w:space="0" w:color="auto"/>
        <w:bottom w:val="none" w:sz="0" w:space="0" w:color="auto"/>
        <w:right w:val="none" w:sz="0" w:space="0" w:color="auto"/>
      </w:divBdr>
    </w:div>
    <w:div w:id="2078475002">
      <w:bodyDiv w:val="1"/>
      <w:marLeft w:val="0"/>
      <w:marRight w:val="0"/>
      <w:marTop w:val="0"/>
      <w:marBottom w:val="0"/>
      <w:divBdr>
        <w:top w:val="none" w:sz="0" w:space="0" w:color="auto"/>
        <w:left w:val="none" w:sz="0" w:space="0" w:color="auto"/>
        <w:bottom w:val="none" w:sz="0" w:space="0" w:color="auto"/>
        <w:right w:val="none" w:sz="0" w:space="0" w:color="auto"/>
      </w:divBdr>
    </w:div>
    <w:div w:id="2079135957">
      <w:bodyDiv w:val="1"/>
      <w:marLeft w:val="0"/>
      <w:marRight w:val="0"/>
      <w:marTop w:val="0"/>
      <w:marBottom w:val="0"/>
      <w:divBdr>
        <w:top w:val="none" w:sz="0" w:space="0" w:color="auto"/>
        <w:left w:val="none" w:sz="0" w:space="0" w:color="auto"/>
        <w:bottom w:val="none" w:sz="0" w:space="0" w:color="auto"/>
        <w:right w:val="none" w:sz="0" w:space="0" w:color="auto"/>
      </w:divBdr>
    </w:div>
    <w:div w:id="2080129749">
      <w:bodyDiv w:val="1"/>
      <w:marLeft w:val="0"/>
      <w:marRight w:val="0"/>
      <w:marTop w:val="0"/>
      <w:marBottom w:val="0"/>
      <w:divBdr>
        <w:top w:val="none" w:sz="0" w:space="0" w:color="auto"/>
        <w:left w:val="none" w:sz="0" w:space="0" w:color="auto"/>
        <w:bottom w:val="none" w:sz="0" w:space="0" w:color="auto"/>
        <w:right w:val="none" w:sz="0" w:space="0" w:color="auto"/>
      </w:divBdr>
    </w:div>
    <w:div w:id="2080251911">
      <w:bodyDiv w:val="1"/>
      <w:marLeft w:val="0"/>
      <w:marRight w:val="0"/>
      <w:marTop w:val="0"/>
      <w:marBottom w:val="0"/>
      <w:divBdr>
        <w:top w:val="none" w:sz="0" w:space="0" w:color="auto"/>
        <w:left w:val="none" w:sz="0" w:space="0" w:color="auto"/>
        <w:bottom w:val="none" w:sz="0" w:space="0" w:color="auto"/>
        <w:right w:val="none" w:sz="0" w:space="0" w:color="auto"/>
      </w:divBdr>
    </w:div>
    <w:div w:id="2081244616">
      <w:bodyDiv w:val="1"/>
      <w:marLeft w:val="0"/>
      <w:marRight w:val="0"/>
      <w:marTop w:val="0"/>
      <w:marBottom w:val="0"/>
      <w:divBdr>
        <w:top w:val="none" w:sz="0" w:space="0" w:color="auto"/>
        <w:left w:val="none" w:sz="0" w:space="0" w:color="auto"/>
        <w:bottom w:val="none" w:sz="0" w:space="0" w:color="auto"/>
        <w:right w:val="none" w:sz="0" w:space="0" w:color="auto"/>
      </w:divBdr>
    </w:div>
    <w:div w:id="2081631568">
      <w:bodyDiv w:val="1"/>
      <w:marLeft w:val="0"/>
      <w:marRight w:val="0"/>
      <w:marTop w:val="0"/>
      <w:marBottom w:val="0"/>
      <w:divBdr>
        <w:top w:val="none" w:sz="0" w:space="0" w:color="auto"/>
        <w:left w:val="none" w:sz="0" w:space="0" w:color="auto"/>
        <w:bottom w:val="none" w:sz="0" w:space="0" w:color="auto"/>
        <w:right w:val="none" w:sz="0" w:space="0" w:color="auto"/>
      </w:divBdr>
    </w:div>
    <w:div w:id="2081825936">
      <w:bodyDiv w:val="1"/>
      <w:marLeft w:val="0"/>
      <w:marRight w:val="0"/>
      <w:marTop w:val="0"/>
      <w:marBottom w:val="0"/>
      <w:divBdr>
        <w:top w:val="none" w:sz="0" w:space="0" w:color="auto"/>
        <w:left w:val="none" w:sz="0" w:space="0" w:color="auto"/>
        <w:bottom w:val="none" w:sz="0" w:space="0" w:color="auto"/>
        <w:right w:val="none" w:sz="0" w:space="0" w:color="auto"/>
      </w:divBdr>
    </w:div>
    <w:div w:id="2082173411">
      <w:bodyDiv w:val="1"/>
      <w:marLeft w:val="0"/>
      <w:marRight w:val="0"/>
      <w:marTop w:val="0"/>
      <w:marBottom w:val="0"/>
      <w:divBdr>
        <w:top w:val="none" w:sz="0" w:space="0" w:color="auto"/>
        <w:left w:val="none" w:sz="0" w:space="0" w:color="auto"/>
        <w:bottom w:val="none" w:sz="0" w:space="0" w:color="auto"/>
        <w:right w:val="none" w:sz="0" w:space="0" w:color="auto"/>
      </w:divBdr>
    </w:div>
    <w:div w:id="2082557212">
      <w:bodyDiv w:val="1"/>
      <w:marLeft w:val="0"/>
      <w:marRight w:val="0"/>
      <w:marTop w:val="0"/>
      <w:marBottom w:val="0"/>
      <w:divBdr>
        <w:top w:val="none" w:sz="0" w:space="0" w:color="auto"/>
        <w:left w:val="none" w:sz="0" w:space="0" w:color="auto"/>
        <w:bottom w:val="none" w:sz="0" w:space="0" w:color="auto"/>
        <w:right w:val="none" w:sz="0" w:space="0" w:color="auto"/>
      </w:divBdr>
    </w:div>
    <w:div w:id="2082827606">
      <w:bodyDiv w:val="1"/>
      <w:marLeft w:val="0"/>
      <w:marRight w:val="0"/>
      <w:marTop w:val="0"/>
      <w:marBottom w:val="0"/>
      <w:divBdr>
        <w:top w:val="none" w:sz="0" w:space="0" w:color="auto"/>
        <w:left w:val="none" w:sz="0" w:space="0" w:color="auto"/>
        <w:bottom w:val="none" w:sz="0" w:space="0" w:color="auto"/>
        <w:right w:val="none" w:sz="0" w:space="0" w:color="auto"/>
      </w:divBdr>
    </w:div>
    <w:div w:id="2083478574">
      <w:bodyDiv w:val="1"/>
      <w:marLeft w:val="0"/>
      <w:marRight w:val="0"/>
      <w:marTop w:val="0"/>
      <w:marBottom w:val="0"/>
      <w:divBdr>
        <w:top w:val="none" w:sz="0" w:space="0" w:color="auto"/>
        <w:left w:val="none" w:sz="0" w:space="0" w:color="auto"/>
        <w:bottom w:val="none" w:sz="0" w:space="0" w:color="auto"/>
        <w:right w:val="none" w:sz="0" w:space="0" w:color="auto"/>
      </w:divBdr>
    </w:div>
    <w:div w:id="2083527344">
      <w:bodyDiv w:val="1"/>
      <w:marLeft w:val="0"/>
      <w:marRight w:val="0"/>
      <w:marTop w:val="0"/>
      <w:marBottom w:val="0"/>
      <w:divBdr>
        <w:top w:val="none" w:sz="0" w:space="0" w:color="auto"/>
        <w:left w:val="none" w:sz="0" w:space="0" w:color="auto"/>
        <w:bottom w:val="none" w:sz="0" w:space="0" w:color="auto"/>
        <w:right w:val="none" w:sz="0" w:space="0" w:color="auto"/>
      </w:divBdr>
    </w:div>
    <w:div w:id="2083790799">
      <w:bodyDiv w:val="1"/>
      <w:marLeft w:val="0"/>
      <w:marRight w:val="0"/>
      <w:marTop w:val="0"/>
      <w:marBottom w:val="0"/>
      <w:divBdr>
        <w:top w:val="none" w:sz="0" w:space="0" w:color="auto"/>
        <w:left w:val="none" w:sz="0" w:space="0" w:color="auto"/>
        <w:bottom w:val="none" w:sz="0" w:space="0" w:color="auto"/>
        <w:right w:val="none" w:sz="0" w:space="0" w:color="auto"/>
      </w:divBdr>
    </w:div>
    <w:div w:id="2084141980">
      <w:bodyDiv w:val="1"/>
      <w:marLeft w:val="0"/>
      <w:marRight w:val="0"/>
      <w:marTop w:val="0"/>
      <w:marBottom w:val="0"/>
      <w:divBdr>
        <w:top w:val="none" w:sz="0" w:space="0" w:color="auto"/>
        <w:left w:val="none" w:sz="0" w:space="0" w:color="auto"/>
        <w:bottom w:val="none" w:sz="0" w:space="0" w:color="auto"/>
        <w:right w:val="none" w:sz="0" w:space="0" w:color="auto"/>
      </w:divBdr>
    </w:div>
    <w:div w:id="2084254288">
      <w:bodyDiv w:val="1"/>
      <w:marLeft w:val="0"/>
      <w:marRight w:val="0"/>
      <w:marTop w:val="0"/>
      <w:marBottom w:val="0"/>
      <w:divBdr>
        <w:top w:val="none" w:sz="0" w:space="0" w:color="auto"/>
        <w:left w:val="none" w:sz="0" w:space="0" w:color="auto"/>
        <w:bottom w:val="none" w:sz="0" w:space="0" w:color="auto"/>
        <w:right w:val="none" w:sz="0" w:space="0" w:color="auto"/>
      </w:divBdr>
    </w:div>
    <w:div w:id="2084719246">
      <w:bodyDiv w:val="1"/>
      <w:marLeft w:val="0"/>
      <w:marRight w:val="0"/>
      <w:marTop w:val="0"/>
      <w:marBottom w:val="0"/>
      <w:divBdr>
        <w:top w:val="none" w:sz="0" w:space="0" w:color="auto"/>
        <w:left w:val="none" w:sz="0" w:space="0" w:color="auto"/>
        <w:bottom w:val="none" w:sz="0" w:space="0" w:color="auto"/>
        <w:right w:val="none" w:sz="0" w:space="0" w:color="auto"/>
      </w:divBdr>
    </w:div>
    <w:div w:id="2084908683">
      <w:bodyDiv w:val="1"/>
      <w:marLeft w:val="0"/>
      <w:marRight w:val="0"/>
      <w:marTop w:val="0"/>
      <w:marBottom w:val="0"/>
      <w:divBdr>
        <w:top w:val="none" w:sz="0" w:space="0" w:color="auto"/>
        <w:left w:val="none" w:sz="0" w:space="0" w:color="auto"/>
        <w:bottom w:val="none" w:sz="0" w:space="0" w:color="auto"/>
        <w:right w:val="none" w:sz="0" w:space="0" w:color="auto"/>
      </w:divBdr>
    </w:div>
    <w:div w:id="2085057207">
      <w:bodyDiv w:val="1"/>
      <w:marLeft w:val="0"/>
      <w:marRight w:val="0"/>
      <w:marTop w:val="0"/>
      <w:marBottom w:val="0"/>
      <w:divBdr>
        <w:top w:val="none" w:sz="0" w:space="0" w:color="auto"/>
        <w:left w:val="none" w:sz="0" w:space="0" w:color="auto"/>
        <w:bottom w:val="none" w:sz="0" w:space="0" w:color="auto"/>
        <w:right w:val="none" w:sz="0" w:space="0" w:color="auto"/>
      </w:divBdr>
    </w:div>
    <w:div w:id="2085256774">
      <w:bodyDiv w:val="1"/>
      <w:marLeft w:val="0"/>
      <w:marRight w:val="0"/>
      <w:marTop w:val="0"/>
      <w:marBottom w:val="0"/>
      <w:divBdr>
        <w:top w:val="none" w:sz="0" w:space="0" w:color="auto"/>
        <w:left w:val="none" w:sz="0" w:space="0" w:color="auto"/>
        <w:bottom w:val="none" w:sz="0" w:space="0" w:color="auto"/>
        <w:right w:val="none" w:sz="0" w:space="0" w:color="auto"/>
      </w:divBdr>
    </w:div>
    <w:div w:id="2085374718">
      <w:bodyDiv w:val="1"/>
      <w:marLeft w:val="0"/>
      <w:marRight w:val="0"/>
      <w:marTop w:val="0"/>
      <w:marBottom w:val="0"/>
      <w:divBdr>
        <w:top w:val="none" w:sz="0" w:space="0" w:color="auto"/>
        <w:left w:val="none" w:sz="0" w:space="0" w:color="auto"/>
        <w:bottom w:val="none" w:sz="0" w:space="0" w:color="auto"/>
        <w:right w:val="none" w:sz="0" w:space="0" w:color="auto"/>
      </w:divBdr>
    </w:div>
    <w:div w:id="2086682821">
      <w:bodyDiv w:val="1"/>
      <w:marLeft w:val="0"/>
      <w:marRight w:val="0"/>
      <w:marTop w:val="0"/>
      <w:marBottom w:val="0"/>
      <w:divBdr>
        <w:top w:val="none" w:sz="0" w:space="0" w:color="auto"/>
        <w:left w:val="none" w:sz="0" w:space="0" w:color="auto"/>
        <w:bottom w:val="none" w:sz="0" w:space="0" w:color="auto"/>
        <w:right w:val="none" w:sz="0" w:space="0" w:color="auto"/>
      </w:divBdr>
    </w:div>
    <w:div w:id="2086800703">
      <w:bodyDiv w:val="1"/>
      <w:marLeft w:val="0"/>
      <w:marRight w:val="0"/>
      <w:marTop w:val="0"/>
      <w:marBottom w:val="0"/>
      <w:divBdr>
        <w:top w:val="none" w:sz="0" w:space="0" w:color="auto"/>
        <w:left w:val="none" w:sz="0" w:space="0" w:color="auto"/>
        <w:bottom w:val="none" w:sz="0" w:space="0" w:color="auto"/>
        <w:right w:val="none" w:sz="0" w:space="0" w:color="auto"/>
      </w:divBdr>
    </w:div>
    <w:div w:id="2087065044">
      <w:bodyDiv w:val="1"/>
      <w:marLeft w:val="0"/>
      <w:marRight w:val="0"/>
      <w:marTop w:val="0"/>
      <w:marBottom w:val="0"/>
      <w:divBdr>
        <w:top w:val="none" w:sz="0" w:space="0" w:color="auto"/>
        <w:left w:val="none" w:sz="0" w:space="0" w:color="auto"/>
        <w:bottom w:val="none" w:sz="0" w:space="0" w:color="auto"/>
        <w:right w:val="none" w:sz="0" w:space="0" w:color="auto"/>
      </w:divBdr>
    </w:div>
    <w:div w:id="2087142456">
      <w:bodyDiv w:val="1"/>
      <w:marLeft w:val="0"/>
      <w:marRight w:val="0"/>
      <w:marTop w:val="0"/>
      <w:marBottom w:val="0"/>
      <w:divBdr>
        <w:top w:val="none" w:sz="0" w:space="0" w:color="auto"/>
        <w:left w:val="none" w:sz="0" w:space="0" w:color="auto"/>
        <w:bottom w:val="none" w:sz="0" w:space="0" w:color="auto"/>
        <w:right w:val="none" w:sz="0" w:space="0" w:color="auto"/>
      </w:divBdr>
    </w:div>
    <w:div w:id="2087340891">
      <w:bodyDiv w:val="1"/>
      <w:marLeft w:val="0"/>
      <w:marRight w:val="0"/>
      <w:marTop w:val="0"/>
      <w:marBottom w:val="0"/>
      <w:divBdr>
        <w:top w:val="none" w:sz="0" w:space="0" w:color="auto"/>
        <w:left w:val="none" w:sz="0" w:space="0" w:color="auto"/>
        <w:bottom w:val="none" w:sz="0" w:space="0" w:color="auto"/>
        <w:right w:val="none" w:sz="0" w:space="0" w:color="auto"/>
      </w:divBdr>
    </w:div>
    <w:div w:id="2087527504">
      <w:bodyDiv w:val="1"/>
      <w:marLeft w:val="0"/>
      <w:marRight w:val="0"/>
      <w:marTop w:val="0"/>
      <w:marBottom w:val="0"/>
      <w:divBdr>
        <w:top w:val="none" w:sz="0" w:space="0" w:color="auto"/>
        <w:left w:val="none" w:sz="0" w:space="0" w:color="auto"/>
        <w:bottom w:val="none" w:sz="0" w:space="0" w:color="auto"/>
        <w:right w:val="none" w:sz="0" w:space="0" w:color="auto"/>
      </w:divBdr>
    </w:div>
    <w:div w:id="2087602878">
      <w:bodyDiv w:val="1"/>
      <w:marLeft w:val="0"/>
      <w:marRight w:val="0"/>
      <w:marTop w:val="0"/>
      <w:marBottom w:val="0"/>
      <w:divBdr>
        <w:top w:val="none" w:sz="0" w:space="0" w:color="auto"/>
        <w:left w:val="none" w:sz="0" w:space="0" w:color="auto"/>
        <w:bottom w:val="none" w:sz="0" w:space="0" w:color="auto"/>
        <w:right w:val="none" w:sz="0" w:space="0" w:color="auto"/>
      </w:divBdr>
    </w:div>
    <w:div w:id="2087729155">
      <w:bodyDiv w:val="1"/>
      <w:marLeft w:val="0"/>
      <w:marRight w:val="0"/>
      <w:marTop w:val="0"/>
      <w:marBottom w:val="0"/>
      <w:divBdr>
        <w:top w:val="none" w:sz="0" w:space="0" w:color="auto"/>
        <w:left w:val="none" w:sz="0" w:space="0" w:color="auto"/>
        <w:bottom w:val="none" w:sz="0" w:space="0" w:color="auto"/>
        <w:right w:val="none" w:sz="0" w:space="0" w:color="auto"/>
      </w:divBdr>
    </w:div>
    <w:div w:id="2087993563">
      <w:bodyDiv w:val="1"/>
      <w:marLeft w:val="0"/>
      <w:marRight w:val="0"/>
      <w:marTop w:val="0"/>
      <w:marBottom w:val="0"/>
      <w:divBdr>
        <w:top w:val="none" w:sz="0" w:space="0" w:color="auto"/>
        <w:left w:val="none" w:sz="0" w:space="0" w:color="auto"/>
        <w:bottom w:val="none" w:sz="0" w:space="0" w:color="auto"/>
        <w:right w:val="none" w:sz="0" w:space="0" w:color="auto"/>
      </w:divBdr>
    </w:div>
    <w:div w:id="2088377701">
      <w:bodyDiv w:val="1"/>
      <w:marLeft w:val="0"/>
      <w:marRight w:val="0"/>
      <w:marTop w:val="0"/>
      <w:marBottom w:val="0"/>
      <w:divBdr>
        <w:top w:val="none" w:sz="0" w:space="0" w:color="auto"/>
        <w:left w:val="none" w:sz="0" w:space="0" w:color="auto"/>
        <w:bottom w:val="none" w:sz="0" w:space="0" w:color="auto"/>
        <w:right w:val="none" w:sz="0" w:space="0" w:color="auto"/>
      </w:divBdr>
    </w:div>
    <w:div w:id="2088379676">
      <w:bodyDiv w:val="1"/>
      <w:marLeft w:val="0"/>
      <w:marRight w:val="0"/>
      <w:marTop w:val="0"/>
      <w:marBottom w:val="0"/>
      <w:divBdr>
        <w:top w:val="none" w:sz="0" w:space="0" w:color="auto"/>
        <w:left w:val="none" w:sz="0" w:space="0" w:color="auto"/>
        <w:bottom w:val="none" w:sz="0" w:space="0" w:color="auto"/>
        <w:right w:val="none" w:sz="0" w:space="0" w:color="auto"/>
      </w:divBdr>
    </w:div>
    <w:div w:id="2088569765">
      <w:bodyDiv w:val="1"/>
      <w:marLeft w:val="0"/>
      <w:marRight w:val="0"/>
      <w:marTop w:val="0"/>
      <w:marBottom w:val="0"/>
      <w:divBdr>
        <w:top w:val="none" w:sz="0" w:space="0" w:color="auto"/>
        <w:left w:val="none" w:sz="0" w:space="0" w:color="auto"/>
        <w:bottom w:val="none" w:sz="0" w:space="0" w:color="auto"/>
        <w:right w:val="none" w:sz="0" w:space="0" w:color="auto"/>
      </w:divBdr>
    </w:div>
    <w:div w:id="2089771049">
      <w:bodyDiv w:val="1"/>
      <w:marLeft w:val="0"/>
      <w:marRight w:val="0"/>
      <w:marTop w:val="0"/>
      <w:marBottom w:val="0"/>
      <w:divBdr>
        <w:top w:val="none" w:sz="0" w:space="0" w:color="auto"/>
        <w:left w:val="none" w:sz="0" w:space="0" w:color="auto"/>
        <w:bottom w:val="none" w:sz="0" w:space="0" w:color="auto"/>
        <w:right w:val="none" w:sz="0" w:space="0" w:color="auto"/>
      </w:divBdr>
    </w:div>
    <w:div w:id="2090615843">
      <w:bodyDiv w:val="1"/>
      <w:marLeft w:val="0"/>
      <w:marRight w:val="0"/>
      <w:marTop w:val="0"/>
      <w:marBottom w:val="0"/>
      <w:divBdr>
        <w:top w:val="none" w:sz="0" w:space="0" w:color="auto"/>
        <w:left w:val="none" w:sz="0" w:space="0" w:color="auto"/>
        <w:bottom w:val="none" w:sz="0" w:space="0" w:color="auto"/>
        <w:right w:val="none" w:sz="0" w:space="0" w:color="auto"/>
      </w:divBdr>
    </w:div>
    <w:div w:id="2092316011">
      <w:bodyDiv w:val="1"/>
      <w:marLeft w:val="0"/>
      <w:marRight w:val="0"/>
      <w:marTop w:val="0"/>
      <w:marBottom w:val="0"/>
      <w:divBdr>
        <w:top w:val="none" w:sz="0" w:space="0" w:color="auto"/>
        <w:left w:val="none" w:sz="0" w:space="0" w:color="auto"/>
        <w:bottom w:val="none" w:sz="0" w:space="0" w:color="auto"/>
        <w:right w:val="none" w:sz="0" w:space="0" w:color="auto"/>
      </w:divBdr>
    </w:div>
    <w:div w:id="2092466165">
      <w:bodyDiv w:val="1"/>
      <w:marLeft w:val="0"/>
      <w:marRight w:val="0"/>
      <w:marTop w:val="0"/>
      <w:marBottom w:val="0"/>
      <w:divBdr>
        <w:top w:val="none" w:sz="0" w:space="0" w:color="auto"/>
        <w:left w:val="none" w:sz="0" w:space="0" w:color="auto"/>
        <w:bottom w:val="none" w:sz="0" w:space="0" w:color="auto"/>
        <w:right w:val="none" w:sz="0" w:space="0" w:color="auto"/>
      </w:divBdr>
    </w:div>
    <w:div w:id="2092582509">
      <w:bodyDiv w:val="1"/>
      <w:marLeft w:val="0"/>
      <w:marRight w:val="0"/>
      <w:marTop w:val="0"/>
      <w:marBottom w:val="0"/>
      <w:divBdr>
        <w:top w:val="none" w:sz="0" w:space="0" w:color="auto"/>
        <w:left w:val="none" w:sz="0" w:space="0" w:color="auto"/>
        <w:bottom w:val="none" w:sz="0" w:space="0" w:color="auto"/>
        <w:right w:val="none" w:sz="0" w:space="0" w:color="auto"/>
      </w:divBdr>
    </w:div>
    <w:div w:id="2092968629">
      <w:bodyDiv w:val="1"/>
      <w:marLeft w:val="0"/>
      <w:marRight w:val="0"/>
      <w:marTop w:val="0"/>
      <w:marBottom w:val="0"/>
      <w:divBdr>
        <w:top w:val="none" w:sz="0" w:space="0" w:color="auto"/>
        <w:left w:val="none" w:sz="0" w:space="0" w:color="auto"/>
        <w:bottom w:val="none" w:sz="0" w:space="0" w:color="auto"/>
        <w:right w:val="none" w:sz="0" w:space="0" w:color="auto"/>
      </w:divBdr>
    </w:div>
    <w:div w:id="2093040490">
      <w:bodyDiv w:val="1"/>
      <w:marLeft w:val="0"/>
      <w:marRight w:val="0"/>
      <w:marTop w:val="0"/>
      <w:marBottom w:val="0"/>
      <w:divBdr>
        <w:top w:val="none" w:sz="0" w:space="0" w:color="auto"/>
        <w:left w:val="none" w:sz="0" w:space="0" w:color="auto"/>
        <w:bottom w:val="none" w:sz="0" w:space="0" w:color="auto"/>
        <w:right w:val="none" w:sz="0" w:space="0" w:color="auto"/>
      </w:divBdr>
    </w:div>
    <w:div w:id="2093044056">
      <w:bodyDiv w:val="1"/>
      <w:marLeft w:val="0"/>
      <w:marRight w:val="0"/>
      <w:marTop w:val="0"/>
      <w:marBottom w:val="0"/>
      <w:divBdr>
        <w:top w:val="none" w:sz="0" w:space="0" w:color="auto"/>
        <w:left w:val="none" w:sz="0" w:space="0" w:color="auto"/>
        <w:bottom w:val="none" w:sz="0" w:space="0" w:color="auto"/>
        <w:right w:val="none" w:sz="0" w:space="0" w:color="auto"/>
      </w:divBdr>
    </w:div>
    <w:div w:id="2093117826">
      <w:bodyDiv w:val="1"/>
      <w:marLeft w:val="0"/>
      <w:marRight w:val="0"/>
      <w:marTop w:val="0"/>
      <w:marBottom w:val="0"/>
      <w:divBdr>
        <w:top w:val="none" w:sz="0" w:space="0" w:color="auto"/>
        <w:left w:val="none" w:sz="0" w:space="0" w:color="auto"/>
        <w:bottom w:val="none" w:sz="0" w:space="0" w:color="auto"/>
        <w:right w:val="none" w:sz="0" w:space="0" w:color="auto"/>
      </w:divBdr>
    </w:div>
    <w:div w:id="2093812314">
      <w:bodyDiv w:val="1"/>
      <w:marLeft w:val="0"/>
      <w:marRight w:val="0"/>
      <w:marTop w:val="0"/>
      <w:marBottom w:val="0"/>
      <w:divBdr>
        <w:top w:val="none" w:sz="0" w:space="0" w:color="auto"/>
        <w:left w:val="none" w:sz="0" w:space="0" w:color="auto"/>
        <w:bottom w:val="none" w:sz="0" w:space="0" w:color="auto"/>
        <w:right w:val="none" w:sz="0" w:space="0" w:color="auto"/>
      </w:divBdr>
    </w:div>
    <w:div w:id="2093969818">
      <w:bodyDiv w:val="1"/>
      <w:marLeft w:val="0"/>
      <w:marRight w:val="0"/>
      <w:marTop w:val="0"/>
      <w:marBottom w:val="0"/>
      <w:divBdr>
        <w:top w:val="none" w:sz="0" w:space="0" w:color="auto"/>
        <w:left w:val="none" w:sz="0" w:space="0" w:color="auto"/>
        <w:bottom w:val="none" w:sz="0" w:space="0" w:color="auto"/>
        <w:right w:val="none" w:sz="0" w:space="0" w:color="auto"/>
      </w:divBdr>
    </w:div>
    <w:div w:id="2094470368">
      <w:bodyDiv w:val="1"/>
      <w:marLeft w:val="0"/>
      <w:marRight w:val="0"/>
      <w:marTop w:val="0"/>
      <w:marBottom w:val="0"/>
      <w:divBdr>
        <w:top w:val="none" w:sz="0" w:space="0" w:color="auto"/>
        <w:left w:val="none" w:sz="0" w:space="0" w:color="auto"/>
        <w:bottom w:val="none" w:sz="0" w:space="0" w:color="auto"/>
        <w:right w:val="none" w:sz="0" w:space="0" w:color="auto"/>
      </w:divBdr>
    </w:div>
    <w:div w:id="2094936343">
      <w:bodyDiv w:val="1"/>
      <w:marLeft w:val="0"/>
      <w:marRight w:val="0"/>
      <w:marTop w:val="0"/>
      <w:marBottom w:val="0"/>
      <w:divBdr>
        <w:top w:val="none" w:sz="0" w:space="0" w:color="auto"/>
        <w:left w:val="none" w:sz="0" w:space="0" w:color="auto"/>
        <w:bottom w:val="none" w:sz="0" w:space="0" w:color="auto"/>
        <w:right w:val="none" w:sz="0" w:space="0" w:color="auto"/>
      </w:divBdr>
    </w:div>
    <w:div w:id="2095274713">
      <w:bodyDiv w:val="1"/>
      <w:marLeft w:val="0"/>
      <w:marRight w:val="0"/>
      <w:marTop w:val="0"/>
      <w:marBottom w:val="0"/>
      <w:divBdr>
        <w:top w:val="none" w:sz="0" w:space="0" w:color="auto"/>
        <w:left w:val="none" w:sz="0" w:space="0" w:color="auto"/>
        <w:bottom w:val="none" w:sz="0" w:space="0" w:color="auto"/>
        <w:right w:val="none" w:sz="0" w:space="0" w:color="auto"/>
      </w:divBdr>
    </w:div>
    <w:div w:id="2095784284">
      <w:bodyDiv w:val="1"/>
      <w:marLeft w:val="0"/>
      <w:marRight w:val="0"/>
      <w:marTop w:val="0"/>
      <w:marBottom w:val="0"/>
      <w:divBdr>
        <w:top w:val="none" w:sz="0" w:space="0" w:color="auto"/>
        <w:left w:val="none" w:sz="0" w:space="0" w:color="auto"/>
        <w:bottom w:val="none" w:sz="0" w:space="0" w:color="auto"/>
        <w:right w:val="none" w:sz="0" w:space="0" w:color="auto"/>
      </w:divBdr>
    </w:div>
    <w:div w:id="2097088471">
      <w:bodyDiv w:val="1"/>
      <w:marLeft w:val="0"/>
      <w:marRight w:val="0"/>
      <w:marTop w:val="0"/>
      <w:marBottom w:val="0"/>
      <w:divBdr>
        <w:top w:val="none" w:sz="0" w:space="0" w:color="auto"/>
        <w:left w:val="none" w:sz="0" w:space="0" w:color="auto"/>
        <w:bottom w:val="none" w:sz="0" w:space="0" w:color="auto"/>
        <w:right w:val="none" w:sz="0" w:space="0" w:color="auto"/>
      </w:divBdr>
    </w:div>
    <w:div w:id="2097701285">
      <w:bodyDiv w:val="1"/>
      <w:marLeft w:val="0"/>
      <w:marRight w:val="0"/>
      <w:marTop w:val="0"/>
      <w:marBottom w:val="0"/>
      <w:divBdr>
        <w:top w:val="none" w:sz="0" w:space="0" w:color="auto"/>
        <w:left w:val="none" w:sz="0" w:space="0" w:color="auto"/>
        <w:bottom w:val="none" w:sz="0" w:space="0" w:color="auto"/>
        <w:right w:val="none" w:sz="0" w:space="0" w:color="auto"/>
      </w:divBdr>
    </w:div>
    <w:div w:id="2098092237">
      <w:bodyDiv w:val="1"/>
      <w:marLeft w:val="0"/>
      <w:marRight w:val="0"/>
      <w:marTop w:val="0"/>
      <w:marBottom w:val="0"/>
      <w:divBdr>
        <w:top w:val="none" w:sz="0" w:space="0" w:color="auto"/>
        <w:left w:val="none" w:sz="0" w:space="0" w:color="auto"/>
        <w:bottom w:val="none" w:sz="0" w:space="0" w:color="auto"/>
        <w:right w:val="none" w:sz="0" w:space="0" w:color="auto"/>
      </w:divBdr>
    </w:div>
    <w:div w:id="2098211112">
      <w:bodyDiv w:val="1"/>
      <w:marLeft w:val="0"/>
      <w:marRight w:val="0"/>
      <w:marTop w:val="0"/>
      <w:marBottom w:val="0"/>
      <w:divBdr>
        <w:top w:val="none" w:sz="0" w:space="0" w:color="auto"/>
        <w:left w:val="none" w:sz="0" w:space="0" w:color="auto"/>
        <w:bottom w:val="none" w:sz="0" w:space="0" w:color="auto"/>
        <w:right w:val="none" w:sz="0" w:space="0" w:color="auto"/>
      </w:divBdr>
    </w:div>
    <w:div w:id="2098747618">
      <w:bodyDiv w:val="1"/>
      <w:marLeft w:val="0"/>
      <w:marRight w:val="0"/>
      <w:marTop w:val="0"/>
      <w:marBottom w:val="0"/>
      <w:divBdr>
        <w:top w:val="none" w:sz="0" w:space="0" w:color="auto"/>
        <w:left w:val="none" w:sz="0" w:space="0" w:color="auto"/>
        <w:bottom w:val="none" w:sz="0" w:space="0" w:color="auto"/>
        <w:right w:val="none" w:sz="0" w:space="0" w:color="auto"/>
      </w:divBdr>
    </w:div>
    <w:div w:id="2099209005">
      <w:bodyDiv w:val="1"/>
      <w:marLeft w:val="0"/>
      <w:marRight w:val="0"/>
      <w:marTop w:val="0"/>
      <w:marBottom w:val="0"/>
      <w:divBdr>
        <w:top w:val="none" w:sz="0" w:space="0" w:color="auto"/>
        <w:left w:val="none" w:sz="0" w:space="0" w:color="auto"/>
        <w:bottom w:val="none" w:sz="0" w:space="0" w:color="auto"/>
        <w:right w:val="none" w:sz="0" w:space="0" w:color="auto"/>
      </w:divBdr>
    </w:div>
    <w:div w:id="2099323490">
      <w:bodyDiv w:val="1"/>
      <w:marLeft w:val="0"/>
      <w:marRight w:val="0"/>
      <w:marTop w:val="0"/>
      <w:marBottom w:val="0"/>
      <w:divBdr>
        <w:top w:val="none" w:sz="0" w:space="0" w:color="auto"/>
        <w:left w:val="none" w:sz="0" w:space="0" w:color="auto"/>
        <w:bottom w:val="none" w:sz="0" w:space="0" w:color="auto"/>
        <w:right w:val="none" w:sz="0" w:space="0" w:color="auto"/>
      </w:divBdr>
    </w:div>
    <w:div w:id="2100059021">
      <w:bodyDiv w:val="1"/>
      <w:marLeft w:val="0"/>
      <w:marRight w:val="0"/>
      <w:marTop w:val="0"/>
      <w:marBottom w:val="0"/>
      <w:divBdr>
        <w:top w:val="none" w:sz="0" w:space="0" w:color="auto"/>
        <w:left w:val="none" w:sz="0" w:space="0" w:color="auto"/>
        <w:bottom w:val="none" w:sz="0" w:space="0" w:color="auto"/>
        <w:right w:val="none" w:sz="0" w:space="0" w:color="auto"/>
      </w:divBdr>
    </w:div>
    <w:div w:id="2100634114">
      <w:bodyDiv w:val="1"/>
      <w:marLeft w:val="0"/>
      <w:marRight w:val="0"/>
      <w:marTop w:val="0"/>
      <w:marBottom w:val="0"/>
      <w:divBdr>
        <w:top w:val="none" w:sz="0" w:space="0" w:color="auto"/>
        <w:left w:val="none" w:sz="0" w:space="0" w:color="auto"/>
        <w:bottom w:val="none" w:sz="0" w:space="0" w:color="auto"/>
        <w:right w:val="none" w:sz="0" w:space="0" w:color="auto"/>
      </w:divBdr>
    </w:div>
    <w:div w:id="2101680475">
      <w:bodyDiv w:val="1"/>
      <w:marLeft w:val="0"/>
      <w:marRight w:val="0"/>
      <w:marTop w:val="0"/>
      <w:marBottom w:val="0"/>
      <w:divBdr>
        <w:top w:val="none" w:sz="0" w:space="0" w:color="auto"/>
        <w:left w:val="none" w:sz="0" w:space="0" w:color="auto"/>
        <w:bottom w:val="none" w:sz="0" w:space="0" w:color="auto"/>
        <w:right w:val="none" w:sz="0" w:space="0" w:color="auto"/>
      </w:divBdr>
    </w:div>
    <w:div w:id="2101872186">
      <w:bodyDiv w:val="1"/>
      <w:marLeft w:val="0"/>
      <w:marRight w:val="0"/>
      <w:marTop w:val="0"/>
      <w:marBottom w:val="0"/>
      <w:divBdr>
        <w:top w:val="none" w:sz="0" w:space="0" w:color="auto"/>
        <w:left w:val="none" w:sz="0" w:space="0" w:color="auto"/>
        <w:bottom w:val="none" w:sz="0" w:space="0" w:color="auto"/>
        <w:right w:val="none" w:sz="0" w:space="0" w:color="auto"/>
      </w:divBdr>
    </w:div>
    <w:div w:id="2101903157">
      <w:bodyDiv w:val="1"/>
      <w:marLeft w:val="0"/>
      <w:marRight w:val="0"/>
      <w:marTop w:val="0"/>
      <w:marBottom w:val="0"/>
      <w:divBdr>
        <w:top w:val="none" w:sz="0" w:space="0" w:color="auto"/>
        <w:left w:val="none" w:sz="0" w:space="0" w:color="auto"/>
        <w:bottom w:val="none" w:sz="0" w:space="0" w:color="auto"/>
        <w:right w:val="none" w:sz="0" w:space="0" w:color="auto"/>
      </w:divBdr>
    </w:div>
    <w:div w:id="2102219028">
      <w:bodyDiv w:val="1"/>
      <w:marLeft w:val="0"/>
      <w:marRight w:val="0"/>
      <w:marTop w:val="0"/>
      <w:marBottom w:val="0"/>
      <w:divBdr>
        <w:top w:val="none" w:sz="0" w:space="0" w:color="auto"/>
        <w:left w:val="none" w:sz="0" w:space="0" w:color="auto"/>
        <w:bottom w:val="none" w:sz="0" w:space="0" w:color="auto"/>
        <w:right w:val="none" w:sz="0" w:space="0" w:color="auto"/>
      </w:divBdr>
    </w:div>
    <w:div w:id="2103186008">
      <w:bodyDiv w:val="1"/>
      <w:marLeft w:val="0"/>
      <w:marRight w:val="0"/>
      <w:marTop w:val="0"/>
      <w:marBottom w:val="0"/>
      <w:divBdr>
        <w:top w:val="none" w:sz="0" w:space="0" w:color="auto"/>
        <w:left w:val="none" w:sz="0" w:space="0" w:color="auto"/>
        <w:bottom w:val="none" w:sz="0" w:space="0" w:color="auto"/>
        <w:right w:val="none" w:sz="0" w:space="0" w:color="auto"/>
      </w:divBdr>
    </w:div>
    <w:div w:id="2104917322">
      <w:bodyDiv w:val="1"/>
      <w:marLeft w:val="0"/>
      <w:marRight w:val="0"/>
      <w:marTop w:val="0"/>
      <w:marBottom w:val="0"/>
      <w:divBdr>
        <w:top w:val="none" w:sz="0" w:space="0" w:color="auto"/>
        <w:left w:val="none" w:sz="0" w:space="0" w:color="auto"/>
        <w:bottom w:val="none" w:sz="0" w:space="0" w:color="auto"/>
        <w:right w:val="none" w:sz="0" w:space="0" w:color="auto"/>
      </w:divBdr>
    </w:div>
    <w:div w:id="2105300762">
      <w:bodyDiv w:val="1"/>
      <w:marLeft w:val="0"/>
      <w:marRight w:val="0"/>
      <w:marTop w:val="0"/>
      <w:marBottom w:val="0"/>
      <w:divBdr>
        <w:top w:val="none" w:sz="0" w:space="0" w:color="auto"/>
        <w:left w:val="none" w:sz="0" w:space="0" w:color="auto"/>
        <w:bottom w:val="none" w:sz="0" w:space="0" w:color="auto"/>
        <w:right w:val="none" w:sz="0" w:space="0" w:color="auto"/>
      </w:divBdr>
    </w:div>
    <w:div w:id="2105806387">
      <w:bodyDiv w:val="1"/>
      <w:marLeft w:val="0"/>
      <w:marRight w:val="0"/>
      <w:marTop w:val="0"/>
      <w:marBottom w:val="0"/>
      <w:divBdr>
        <w:top w:val="none" w:sz="0" w:space="0" w:color="auto"/>
        <w:left w:val="none" w:sz="0" w:space="0" w:color="auto"/>
        <w:bottom w:val="none" w:sz="0" w:space="0" w:color="auto"/>
        <w:right w:val="none" w:sz="0" w:space="0" w:color="auto"/>
      </w:divBdr>
    </w:div>
    <w:div w:id="2106074203">
      <w:bodyDiv w:val="1"/>
      <w:marLeft w:val="0"/>
      <w:marRight w:val="0"/>
      <w:marTop w:val="0"/>
      <w:marBottom w:val="0"/>
      <w:divBdr>
        <w:top w:val="none" w:sz="0" w:space="0" w:color="auto"/>
        <w:left w:val="none" w:sz="0" w:space="0" w:color="auto"/>
        <w:bottom w:val="none" w:sz="0" w:space="0" w:color="auto"/>
        <w:right w:val="none" w:sz="0" w:space="0" w:color="auto"/>
      </w:divBdr>
    </w:div>
    <w:div w:id="2106294211">
      <w:bodyDiv w:val="1"/>
      <w:marLeft w:val="0"/>
      <w:marRight w:val="0"/>
      <w:marTop w:val="0"/>
      <w:marBottom w:val="0"/>
      <w:divBdr>
        <w:top w:val="none" w:sz="0" w:space="0" w:color="auto"/>
        <w:left w:val="none" w:sz="0" w:space="0" w:color="auto"/>
        <w:bottom w:val="none" w:sz="0" w:space="0" w:color="auto"/>
        <w:right w:val="none" w:sz="0" w:space="0" w:color="auto"/>
      </w:divBdr>
    </w:div>
    <w:div w:id="2106344436">
      <w:bodyDiv w:val="1"/>
      <w:marLeft w:val="0"/>
      <w:marRight w:val="0"/>
      <w:marTop w:val="0"/>
      <w:marBottom w:val="0"/>
      <w:divBdr>
        <w:top w:val="none" w:sz="0" w:space="0" w:color="auto"/>
        <w:left w:val="none" w:sz="0" w:space="0" w:color="auto"/>
        <w:bottom w:val="none" w:sz="0" w:space="0" w:color="auto"/>
        <w:right w:val="none" w:sz="0" w:space="0" w:color="auto"/>
      </w:divBdr>
    </w:div>
    <w:div w:id="2106882777">
      <w:bodyDiv w:val="1"/>
      <w:marLeft w:val="0"/>
      <w:marRight w:val="0"/>
      <w:marTop w:val="0"/>
      <w:marBottom w:val="0"/>
      <w:divBdr>
        <w:top w:val="none" w:sz="0" w:space="0" w:color="auto"/>
        <w:left w:val="none" w:sz="0" w:space="0" w:color="auto"/>
        <w:bottom w:val="none" w:sz="0" w:space="0" w:color="auto"/>
        <w:right w:val="none" w:sz="0" w:space="0" w:color="auto"/>
      </w:divBdr>
    </w:div>
    <w:div w:id="2107460339">
      <w:bodyDiv w:val="1"/>
      <w:marLeft w:val="0"/>
      <w:marRight w:val="0"/>
      <w:marTop w:val="0"/>
      <w:marBottom w:val="0"/>
      <w:divBdr>
        <w:top w:val="none" w:sz="0" w:space="0" w:color="auto"/>
        <w:left w:val="none" w:sz="0" w:space="0" w:color="auto"/>
        <w:bottom w:val="none" w:sz="0" w:space="0" w:color="auto"/>
        <w:right w:val="none" w:sz="0" w:space="0" w:color="auto"/>
      </w:divBdr>
    </w:div>
    <w:div w:id="2107648564">
      <w:bodyDiv w:val="1"/>
      <w:marLeft w:val="0"/>
      <w:marRight w:val="0"/>
      <w:marTop w:val="0"/>
      <w:marBottom w:val="0"/>
      <w:divBdr>
        <w:top w:val="none" w:sz="0" w:space="0" w:color="auto"/>
        <w:left w:val="none" w:sz="0" w:space="0" w:color="auto"/>
        <w:bottom w:val="none" w:sz="0" w:space="0" w:color="auto"/>
        <w:right w:val="none" w:sz="0" w:space="0" w:color="auto"/>
      </w:divBdr>
    </w:div>
    <w:div w:id="2108112508">
      <w:bodyDiv w:val="1"/>
      <w:marLeft w:val="0"/>
      <w:marRight w:val="0"/>
      <w:marTop w:val="0"/>
      <w:marBottom w:val="0"/>
      <w:divBdr>
        <w:top w:val="none" w:sz="0" w:space="0" w:color="auto"/>
        <w:left w:val="none" w:sz="0" w:space="0" w:color="auto"/>
        <w:bottom w:val="none" w:sz="0" w:space="0" w:color="auto"/>
        <w:right w:val="none" w:sz="0" w:space="0" w:color="auto"/>
      </w:divBdr>
    </w:div>
    <w:div w:id="2108382095">
      <w:bodyDiv w:val="1"/>
      <w:marLeft w:val="0"/>
      <w:marRight w:val="0"/>
      <w:marTop w:val="0"/>
      <w:marBottom w:val="0"/>
      <w:divBdr>
        <w:top w:val="none" w:sz="0" w:space="0" w:color="auto"/>
        <w:left w:val="none" w:sz="0" w:space="0" w:color="auto"/>
        <w:bottom w:val="none" w:sz="0" w:space="0" w:color="auto"/>
        <w:right w:val="none" w:sz="0" w:space="0" w:color="auto"/>
      </w:divBdr>
    </w:div>
    <w:div w:id="2108770959">
      <w:bodyDiv w:val="1"/>
      <w:marLeft w:val="0"/>
      <w:marRight w:val="0"/>
      <w:marTop w:val="0"/>
      <w:marBottom w:val="0"/>
      <w:divBdr>
        <w:top w:val="none" w:sz="0" w:space="0" w:color="auto"/>
        <w:left w:val="none" w:sz="0" w:space="0" w:color="auto"/>
        <w:bottom w:val="none" w:sz="0" w:space="0" w:color="auto"/>
        <w:right w:val="none" w:sz="0" w:space="0" w:color="auto"/>
      </w:divBdr>
    </w:div>
    <w:div w:id="2108839843">
      <w:bodyDiv w:val="1"/>
      <w:marLeft w:val="0"/>
      <w:marRight w:val="0"/>
      <w:marTop w:val="0"/>
      <w:marBottom w:val="0"/>
      <w:divBdr>
        <w:top w:val="none" w:sz="0" w:space="0" w:color="auto"/>
        <w:left w:val="none" w:sz="0" w:space="0" w:color="auto"/>
        <w:bottom w:val="none" w:sz="0" w:space="0" w:color="auto"/>
        <w:right w:val="none" w:sz="0" w:space="0" w:color="auto"/>
      </w:divBdr>
    </w:div>
    <w:div w:id="2109110909">
      <w:bodyDiv w:val="1"/>
      <w:marLeft w:val="0"/>
      <w:marRight w:val="0"/>
      <w:marTop w:val="0"/>
      <w:marBottom w:val="0"/>
      <w:divBdr>
        <w:top w:val="none" w:sz="0" w:space="0" w:color="auto"/>
        <w:left w:val="none" w:sz="0" w:space="0" w:color="auto"/>
        <w:bottom w:val="none" w:sz="0" w:space="0" w:color="auto"/>
        <w:right w:val="none" w:sz="0" w:space="0" w:color="auto"/>
      </w:divBdr>
    </w:div>
    <w:div w:id="2109228259">
      <w:bodyDiv w:val="1"/>
      <w:marLeft w:val="0"/>
      <w:marRight w:val="0"/>
      <w:marTop w:val="0"/>
      <w:marBottom w:val="0"/>
      <w:divBdr>
        <w:top w:val="none" w:sz="0" w:space="0" w:color="auto"/>
        <w:left w:val="none" w:sz="0" w:space="0" w:color="auto"/>
        <w:bottom w:val="none" w:sz="0" w:space="0" w:color="auto"/>
        <w:right w:val="none" w:sz="0" w:space="0" w:color="auto"/>
      </w:divBdr>
    </w:div>
    <w:div w:id="2109346375">
      <w:bodyDiv w:val="1"/>
      <w:marLeft w:val="0"/>
      <w:marRight w:val="0"/>
      <w:marTop w:val="0"/>
      <w:marBottom w:val="0"/>
      <w:divBdr>
        <w:top w:val="none" w:sz="0" w:space="0" w:color="auto"/>
        <w:left w:val="none" w:sz="0" w:space="0" w:color="auto"/>
        <w:bottom w:val="none" w:sz="0" w:space="0" w:color="auto"/>
        <w:right w:val="none" w:sz="0" w:space="0" w:color="auto"/>
      </w:divBdr>
    </w:div>
    <w:div w:id="2109887766">
      <w:bodyDiv w:val="1"/>
      <w:marLeft w:val="0"/>
      <w:marRight w:val="0"/>
      <w:marTop w:val="0"/>
      <w:marBottom w:val="0"/>
      <w:divBdr>
        <w:top w:val="none" w:sz="0" w:space="0" w:color="auto"/>
        <w:left w:val="none" w:sz="0" w:space="0" w:color="auto"/>
        <w:bottom w:val="none" w:sz="0" w:space="0" w:color="auto"/>
        <w:right w:val="none" w:sz="0" w:space="0" w:color="auto"/>
      </w:divBdr>
    </w:div>
    <w:div w:id="2109957260">
      <w:bodyDiv w:val="1"/>
      <w:marLeft w:val="0"/>
      <w:marRight w:val="0"/>
      <w:marTop w:val="0"/>
      <w:marBottom w:val="0"/>
      <w:divBdr>
        <w:top w:val="none" w:sz="0" w:space="0" w:color="auto"/>
        <w:left w:val="none" w:sz="0" w:space="0" w:color="auto"/>
        <w:bottom w:val="none" w:sz="0" w:space="0" w:color="auto"/>
        <w:right w:val="none" w:sz="0" w:space="0" w:color="auto"/>
      </w:divBdr>
    </w:div>
    <w:div w:id="2110008855">
      <w:bodyDiv w:val="1"/>
      <w:marLeft w:val="0"/>
      <w:marRight w:val="0"/>
      <w:marTop w:val="0"/>
      <w:marBottom w:val="0"/>
      <w:divBdr>
        <w:top w:val="none" w:sz="0" w:space="0" w:color="auto"/>
        <w:left w:val="none" w:sz="0" w:space="0" w:color="auto"/>
        <w:bottom w:val="none" w:sz="0" w:space="0" w:color="auto"/>
        <w:right w:val="none" w:sz="0" w:space="0" w:color="auto"/>
      </w:divBdr>
    </w:div>
    <w:div w:id="2110418892">
      <w:bodyDiv w:val="1"/>
      <w:marLeft w:val="0"/>
      <w:marRight w:val="0"/>
      <w:marTop w:val="0"/>
      <w:marBottom w:val="0"/>
      <w:divBdr>
        <w:top w:val="none" w:sz="0" w:space="0" w:color="auto"/>
        <w:left w:val="none" w:sz="0" w:space="0" w:color="auto"/>
        <w:bottom w:val="none" w:sz="0" w:space="0" w:color="auto"/>
        <w:right w:val="none" w:sz="0" w:space="0" w:color="auto"/>
      </w:divBdr>
    </w:div>
    <w:div w:id="2111125264">
      <w:bodyDiv w:val="1"/>
      <w:marLeft w:val="0"/>
      <w:marRight w:val="0"/>
      <w:marTop w:val="0"/>
      <w:marBottom w:val="0"/>
      <w:divBdr>
        <w:top w:val="none" w:sz="0" w:space="0" w:color="auto"/>
        <w:left w:val="none" w:sz="0" w:space="0" w:color="auto"/>
        <w:bottom w:val="none" w:sz="0" w:space="0" w:color="auto"/>
        <w:right w:val="none" w:sz="0" w:space="0" w:color="auto"/>
      </w:divBdr>
    </w:div>
    <w:div w:id="2112048283">
      <w:bodyDiv w:val="1"/>
      <w:marLeft w:val="0"/>
      <w:marRight w:val="0"/>
      <w:marTop w:val="0"/>
      <w:marBottom w:val="0"/>
      <w:divBdr>
        <w:top w:val="none" w:sz="0" w:space="0" w:color="auto"/>
        <w:left w:val="none" w:sz="0" w:space="0" w:color="auto"/>
        <w:bottom w:val="none" w:sz="0" w:space="0" w:color="auto"/>
        <w:right w:val="none" w:sz="0" w:space="0" w:color="auto"/>
      </w:divBdr>
    </w:div>
    <w:div w:id="2112116114">
      <w:bodyDiv w:val="1"/>
      <w:marLeft w:val="0"/>
      <w:marRight w:val="0"/>
      <w:marTop w:val="0"/>
      <w:marBottom w:val="0"/>
      <w:divBdr>
        <w:top w:val="none" w:sz="0" w:space="0" w:color="auto"/>
        <w:left w:val="none" w:sz="0" w:space="0" w:color="auto"/>
        <w:bottom w:val="none" w:sz="0" w:space="0" w:color="auto"/>
        <w:right w:val="none" w:sz="0" w:space="0" w:color="auto"/>
      </w:divBdr>
    </w:div>
    <w:div w:id="2112432171">
      <w:bodyDiv w:val="1"/>
      <w:marLeft w:val="0"/>
      <w:marRight w:val="0"/>
      <w:marTop w:val="0"/>
      <w:marBottom w:val="0"/>
      <w:divBdr>
        <w:top w:val="none" w:sz="0" w:space="0" w:color="auto"/>
        <w:left w:val="none" w:sz="0" w:space="0" w:color="auto"/>
        <w:bottom w:val="none" w:sz="0" w:space="0" w:color="auto"/>
        <w:right w:val="none" w:sz="0" w:space="0" w:color="auto"/>
      </w:divBdr>
    </w:div>
    <w:div w:id="2113351986">
      <w:bodyDiv w:val="1"/>
      <w:marLeft w:val="0"/>
      <w:marRight w:val="0"/>
      <w:marTop w:val="0"/>
      <w:marBottom w:val="0"/>
      <w:divBdr>
        <w:top w:val="none" w:sz="0" w:space="0" w:color="auto"/>
        <w:left w:val="none" w:sz="0" w:space="0" w:color="auto"/>
        <w:bottom w:val="none" w:sz="0" w:space="0" w:color="auto"/>
        <w:right w:val="none" w:sz="0" w:space="0" w:color="auto"/>
      </w:divBdr>
    </w:div>
    <w:div w:id="2114666580">
      <w:bodyDiv w:val="1"/>
      <w:marLeft w:val="0"/>
      <w:marRight w:val="0"/>
      <w:marTop w:val="0"/>
      <w:marBottom w:val="0"/>
      <w:divBdr>
        <w:top w:val="none" w:sz="0" w:space="0" w:color="auto"/>
        <w:left w:val="none" w:sz="0" w:space="0" w:color="auto"/>
        <w:bottom w:val="none" w:sz="0" w:space="0" w:color="auto"/>
        <w:right w:val="none" w:sz="0" w:space="0" w:color="auto"/>
      </w:divBdr>
    </w:div>
    <w:div w:id="2115899675">
      <w:bodyDiv w:val="1"/>
      <w:marLeft w:val="0"/>
      <w:marRight w:val="0"/>
      <w:marTop w:val="0"/>
      <w:marBottom w:val="0"/>
      <w:divBdr>
        <w:top w:val="none" w:sz="0" w:space="0" w:color="auto"/>
        <w:left w:val="none" w:sz="0" w:space="0" w:color="auto"/>
        <w:bottom w:val="none" w:sz="0" w:space="0" w:color="auto"/>
        <w:right w:val="none" w:sz="0" w:space="0" w:color="auto"/>
      </w:divBdr>
    </w:div>
    <w:div w:id="2116290298">
      <w:bodyDiv w:val="1"/>
      <w:marLeft w:val="0"/>
      <w:marRight w:val="0"/>
      <w:marTop w:val="0"/>
      <w:marBottom w:val="0"/>
      <w:divBdr>
        <w:top w:val="none" w:sz="0" w:space="0" w:color="auto"/>
        <w:left w:val="none" w:sz="0" w:space="0" w:color="auto"/>
        <w:bottom w:val="none" w:sz="0" w:space="0" w:color="auto"/>
        <w:right w:val="none" w:sz="0" w:space="0" w:color="auto"/>
      </w:divBdr>
    </w:div>
    <w:div w:id="2116778506">
      <w:bodyDiv w:val="1"/>
      <w:marLeft w:val="0"/>
      <w:marRight w:val="0"/>
      <w:marTop w:val="0"/>
      <w:marBottom w:val="0"/>
      <w:divBdr>
        <w:top w:val="none" w:sz="0" w:space="0" w:color="auto"/>
        <w:left w:val="none" w:sz="0" w:space="0" w:color="auto"/>
        <w:bottom w:val="none" w:sz="0" w:space="0" w:color="auto"/>
        <w:right w:val="none" w:sz="0" w:space="0" w:color="auto"/>
      </w:divBdr>
    </w:div>
    <w:div w:id="2116829879">
      <w:bodyDiv w:val="1"/>
      <w:marLeft w:val="0"/>
      <w:marRight w:val="0"/>
      <w:marTop w:val="0"/>
      <w:marBottom w:val="0"/>
      <w:divBdr>
        <w:top w:val="none" w:sz="0" w:space="0" w:color="auto"/>
        <w:left w:val="none" w:sz="0" w:space="0" w:color="auto"/>
        <w:bottom w:val="none" w:sz="0" w:space="0" w:color="auto"/>
        <w:right w:val="none" w:sz="0" w:space="0" w:color="auto"/>
      </w:divBdr>
    </w:div>
    <w:div w:id="2117358600">
      <w:bodyDiv w:val="1"/>
      <w:marLeft w:val="0"/>
      <w:marRight w:val="0"/>
      <w:marTop w:val="0"/>
      <w:marBottom w:val="0"/>
      <w:divBdr>
        <w:top w:val="none" w:sz="0" w:space="0" w:color="auto"/>
        <w:left w:val="none" w:sz="0" w:space="0" w:color="auto"/>
        <w:bottom w:val="none" w:sz="0" w:space="0" w:color="auto"/>
        <w:right w:val="none" w:sz="0" w:space="0" w:color="auto"/>
      </w:divBdr>
    </w:div>
    <w:div w:id="2117359581">
      <w:bodyDiv w:val="1"/>
      <w:marLeft w:val="0"/>
      <w:marRight w:val="0"/>
      <w:marTop w:val="0"/>
      <w:marBottom w:val="0"/>
      <w:divBdr>
        <w:top w:val="none" w:sz="0" w:space="0" w:color="auto"/>
        <w:left w:val="none" w:sz="0" w:space="0" w:color="auto"/>
        <w:bottom w:val="none" w:sz="0" w:space="0" w:color="auto"/>
        <w:right w:val="none" w:sz="0" w:space="0" w:color="auto"/>
      </w:divBdr>
    </w:div>
    <w:div w:id="2119181064">
      <w:bodyDiv w:val="1"/>
      <w:marLeft w:val="0"/>
      <w:marRight w:val="0"/>
      <w:marTop w:val="0"/>
      <w:marBottom w:val="0"/>
      <w:divBdr>
        <w:top w:val="none" w:sz="0" w:space="0" w:color="auto"/>
        <w:left w:val="none" w:sz="0" w:space="0" w:color="auto"/>
        <w:bottom w:val="none" w:sz="0" w:space="0" w:color="auto"/>
        <w:right w:val="none" w:sz="0" w:space="0" w:color="auto"/>
      </w:divBdr>
    </w:div>
    <w:div w:id="2119256736">
      <w:bodyDiv w:val="1"/>
      <w:marLeft w:val="0"/>
      <w:marRight w:val="0"/>
      <w:marTop w:val="0"/>
      <w:marBottom w:val="0"/>
      <w:divBdr>
        <w:top w:val="none" w:sz="0" w:space="0" w:color="auto"/>
        <w:left w:val="none" w:sz="0" w:space="0" w:color="auto"/>
        <w:bottom w:val="none" w:sz="0" w:space="0" w:color="auto"/>
        <w:right w:val="none" w:sz="0" w:space="0" w:color="auto"/>
      </w:divBdr>
    </w:div>
    <w:div w:id="2119369345">
      <w:bodyDiv w:val="1"/>
      <w:marLeft w:val="0"/>
      <w:marRight w:val="0"/>
      <w:marTop w:val="0"/>
      <w:marBottom w:val="0"/>
      <w:divBdr>
        <w:top w:val="none" w:sz="0" w:space="0" w:color="auto"/>
        <w:left w:val="none" w:sz="0" w:space="0" w:color="auto"/>
        <w:bottom w:val="none" w:sz="0" w:space="0" w:color="auto"/>
        <w:right w:val="none" w:sz="0" w:space="0" w:color="auto"/>
      </w:divBdr>
    </w:div>
    <w:div w:id="2119905124">
      <w:bodyDiv w:val="1"/>
      <w:marLeft w:val="0"/>
      <w:marRight w:val="0"/>
      <w:marTop w:val="0"/>
      <w:marBottom w:val="0"/>
      <w:divBdr>
        <w:top w:val="none" w:sz="0" w:space="0" w:color="auto"/>
        <w:left w:val="none" w:sz="0" w:space="0" w:color="auto"/>
        <w:bottom w:val="none" w:sz="0" w:space="0" w:color="auto"/>
        <w:right w:val="none" w:sz="0" w:space="0" w:color="auto"/>
      </w:divBdr>
    </w:div>
    <w:div w:id="2119979349">
      <w:bodyDiv w:val="1"/>
      <w:marLeft w:val="0"/>
      <w:marRight w:val="0"/>
      <w:marTop w:val="0"/>
      <w:marBottom w:val="0"/>
      <w:divBdr>
        <w:top w:val="none" w:sz="0" w:space="0" w:color="auto"/>
        <w:left w:val="none" w:sz="0" w:space="0" w:color="auto"/>
        <w:bottom w:val="none" w:sz="0" w:space="0" w:color="auto"/>
        <w:right w:val="none" w:sz="0" w:space="0" w:color="auto"/>
      </w:divBdr>
    </w:div>
    <w:div w:id="2120177083">
      <w:bodyDiv w:val="1"/>
      <w:marLeft w:val="0"/>
      <w:marRight w:val="0"/>
      <w:marTop w:val="0"/>
      <w:marBottom w:val="0"/>
      <w:divBdr>
        <w:top w:val="none" w:sz="0" w:space="0" w:color="auto"/>
        <w:left w:val="none" w:sz="0" w:space="0" w:color="auto"/>
        <w:bottom w:val="none" w:sz="0" w:space="0" w:color="auto"/>
        <w:right w:val="none" w:sz="0" w:space="0" w:color="auto"/>
      </w:divBdr>
    </w:div>
    <w:div w:id="2120224511">
      <w:bodyDiv w:val="1"/>
      <w:marLeft w:val="0"/>
      <w:marRight w:val="0"/>
      <w:marTop w:val="0"/>
      <w:marBottom w:val="0"/>
      <w:divBdr>
        <w:top w:val="none" w:sz="0" w:space="0" w:color="auto"/>
        <w:left w:val="none" w:sz="0" w:space="0" w:color="auto"/>
        <w:bottom w:val="none" w:sz="0" w:space="0" w:color="auto"/>
        <w:right w:val="none" w:sz="0" w:space="0" w:color="auto"/>
      </w:divBdr>
    </w:div>
    <w:div w:id="2120372451">
      <w:bodyDiv w:val="1"/>
      <w:marLeft w:val="0"/>
      <w:marRight w:val="0"/>
      <w:marTop w:val="0"/>
      <w:marBottom w:val="0"/>
      <w:divBdr>
        <w:top w:val="none" w:sz="0" w:space="0" w:color="auto"/>
        <w:left w:val="none" w:sz="0" w:space="0" w:color="auto"/>
        <w:bottom w:val="none" w:sz="0" w:space="0" w:color="auto"/>
        <w:right w:val="none" w:sz="0" w:space="0" w:color="auto"/>
      </w:divBdr>
    </w:div>
    <w:div w:id="2120559944">
      <w:bodyDiv w:val="1"/>
      <w:marLeft w:val="0"/>
      <w:marRight w:val="0"/>
      <w:marTop w:val="0"/>
      <w:marBottom w:val="0"/>
      <w:divBdr>
        <w:top w:val="none" w:sz="0" w:space="0" w:color="auto"/>
        <w:left w:val="none" w:sz="0" w:space="0" w:color="auto"/>
        <w:bottom w:val="none" w:sz="0" w:space="0" w:color="auto"/>
        <w:right w:val="none" w:sz="0" w:space="0" w:color="auto"/>
      </w:divBdr>
    </w:div>
    <w:div w:id="2120684931">
      <w:bodyDiv w:val="1"/>
      <w:marLeft w:val="0"/>
      <w:marRight w:val="0"/>
      <w:marTop w:val="0"/>
      <w:marBottom w:val="0"/>
      <w:divBdr>
        <w:top w:val="none" w:sz="0" w:space="0" w:color="auto"/>
        <w:left w:val="none" w:sz="0" w:space="0" w:color="auto"/>
        <w:bottom w:val="none" w:sz="0" w:space="0" w:color="auto"/>
        <w:right w:val="none" w:sz="0" w:space="0" w:color="auto"/>
      </w:divBdr>
    </w:div>
    <w:div w:id="2120754833">
      <w:bodyDiv w:val="1"/>
      <w:marLeft w:val="0"/>
      <w:marRight w:val="0"/>
      <w:marTop w:val="0"/>
      <w:marBottom w:val="0"/>
      <w:divBdr>
        <w:top w:val="none" w:sz="0" w:space="0" w:color="auto"/>
        <w:left w:val="none" w:sz="0" w:space="0" w:color="auto"/>
        <w:bottom w:val="none" w:sz="0" w:space="0" w:color="auto"/>
        <w:right w:val="none" w:sz="0" w:space="0" w:color="auto"/>
      </w:divBdr>
    </w:div>
    <w:div w:id="2121024616">
      <w:bodyDiv w:val="1"/>
      <w:marLeft w:val="0"/>
      <w:marRight w:val="0"/>
      <w:marTop w:val="0"/>
      <w:marBottom w:val="0"/>
      <w:divBdr>
        <w:top w:val="none" w:sz="0" w:space="0" w:color="auto"/>
        <w:left w:val="none" w:sz="0" w:space="0" w:color="auto"/>
        <w:bottom w:val="none" w:sz="0" w:space="0" w:color="auto"/>
        <w:right w:val="none" w:sz="0" w:space="0" w:color="auto"/>
      </w:divBdr>
    </w:div>
    <w:div w:id="2121027914">
      <w:bodyDiv w:val="1"/>
      <w:marLeft w:val="0"/>
      <w:marRight w:val="0"/>
      <w:marTop w:val="0"/>
      <w:marBottom w:val="0"/>
      <w:divBdr>
        <w:top w:val="none" w:sz="0" w:space="0" w:color="auto"/>
        <w:left w:val="none" w:sz="0" w:space="0" w:color="auto"/>
        <w:bottom w:val="none" w:sz="0" w:space="0" w:color="auto"/>
        <w:right w:val="none" w:sz="0" w:space="0" w:color="auto"/>
      </w:divBdr>
    </w:div>
    <w:div w:id="2121139641">
      <w:bodyDiv w:val="1"/>
      <w:marLeft w:val="0"/>
      <w:marRight w:val="0"/>
      <w:marTop w:val="0"/>
      <w:marBottom w:val="0"/>
      <w:divBdr>
        <w:top w:val="none" w:sz="0" w:space="0" w:color="auto"/>
        <w:left w:val="none" w:sz="0" w:space="0" w:color="auto"/>
        <w:bottom w:val="none" w:sz="0" w:space="0" w:color="auto"/>
        <w:right w:val="none" w:sz="0" w:space="0" w:color="auto"/>
      </w:divBdr>
    </w:div>
    <w:div w:id="2121757010">
      <w:bodyDiv w:val="1"/>
      <w:marLeft w:val="0"/>
      <w:marRight w:val="0"/>
      <w:marTop w:val="0"/>
      <w:marBottom w:val="0"/>
      <w:divBdr>
        <w:top w:val="none" w:sz="0" w:space="0" w:color="auto"/>
        <w:left w:val="none" w:sz="0" w:space="0" w:color="auto"/>
        <w:bottom w:val="none" w:sz="0" w:space="0" w:color="auto"/>
        <w:right w:val="none" w:sz="0" w:space="0" w:color="auto"/>
      </w:divBdr>
    </w:div>
    <w:div w:id="2121877003">
      <w:bodyDiv w:val="1"/>
      <w:marLeft w:val="0"/>
      <w:marRight w:val="0"/>
      <w:marTop w:val="0"/>
      <w:marBottom w:val="0"/>
      <w:divBdr>
        <w:top w:val="none" w:sz="0" w:space="0" w:color="auto"/>
        <w:left w:val="none" w:sz="0" w:space="0" w:color="auto"/>
        <w:bottom w:val="none" w:sz="0" w:space="0" w:color="auto"/>
        <w:right w:val="none" w:sz="0" w:space="0" w:color="auto"/>
      </w:divBdr>
    </w:div>
    <w:div w:id="2122336458">
      <w:bodyDiv w:val="1"/>
      <w:marLeft w:val="0"/>
      <w:marRight w:val="0"/>
      <w:marTop w:val="0"/>
      <w:marBottom w:val="0"/>
      <w:divBdr>
        <w:top w:val="none" w:sz="0" w:space="0" w:color="auto"/>
        <w:left w:val="none" w:sz="0" w:space="0" w:color="auto"/>
        <w:bottom w:val="none" w:sz="0" w:space="0" w:color="auto"/>
        <w:right w:val="none" w:sz="0" w:space="0" w:color="auto"/>
      </w:divBdr>
    </w:div>
    <w:div w:id="2122414849">
      <w:bodyDiv w:val="1"/>
      <w:marLeft w:val="0"/>
      <w:marRight w:val="0"/>
      <w:marTop w:val="0"/>
      <w:marBottom w:val="0"/>
      <w:divBdr>
        <w:top w:val="none" w:sz="0" w:space="0" w:color="auto"/>
        <w:left w:val="none" w:sz="0" w:space="0" w:color="auto"/>
        <w:bottom w:val="none" w:sz="0" w:space="0" w:color="auto"/>
        <w:right w:val="none" w:sz="0" w:space="0" w:color="auto"/>
      </w:divBdr>
    </w:div>
    <w:div w:id="2122648488">
      <w:bodyDiv w:val="1"/>
      <w:marLeft w:val="0"/>
      <w:marRight w:val="0"/>
      <w:marTop w:val="0"/>
      <w:marBottom w:val="0"/>
      <w:divBdr>
        <w:top w:val="none" w:sz="0" w:space="0" w:color="auto"/>
        <w:left w:val="none" w:sz="0" w:space="0" w:color="auto"/>
        <w:bottom w:val="none" w:sz="0" w:space="0" w:color="auto"/>
        <w:right w:val="none" w:sz="0" w:space="0" w:color="auto"/>
      </w:divBdr>
    </w:div>
    <w:div w:id="2123070469">
      <w:bodyDiv w:val="1"/>
      <w:marLeft w:val="0"/>
      <w:marRight w:val="0"/>
      <w:marTop w:val="0"/>
      <w:marBottom w:val="0"/>
      <w:divBdr>
        <w:top w:val="none" w:sz="0" w:space="0" w:color="auto"/>
        <w:left w:val="none" w:sz="0" w:space="0" w:color="auto"/>
        <w:bottom w:val="none" w:sz="0" w:space="0" w:color="auto"/>
        <w:right w:val="none" w:sz="0" w:space="0" w:color="auto"/>
      </w:divBdr>
    </w:div>
    <w:div w:id="2123111115">
      <w:bodyDiv w:val="1"/>
      <w:marLeft w:val="0"/>
      <w:marRight w:val="0"/>
      <w:marTop w:val="0"/>
      <w:marBottom w:val="0"/>
      <w:divBdr>
        <w:top w:val="none" w:sz="0" w:space="0" w:color="auto"/>
        <w:left w:val="none" w:sz="0" w:space="0" w:color="auto"/>
        <w:bottom w:val="none" w:sz="0" w:space="0" w:color="auto"/>
        <w:right w:val="none" w:sz="0" w:space="0" w:color="auto"/>
      </w:divBdr>
    </w:div>
    <w:div w:id="2123303051">
      <w:bodyDiv w:val="1"/>
      <w:marLeft w:val="0"/>
      <w:marRight w:val="0"/>
      <w:marTop w:val="0"/>
      <w:marBottom w:val="0"/>
      <w:divBdr>
        <w:top w:val="none" w:sz="0" w:space="0" w:color="auto"/>
        <w:left w:val="none" w:sz="0" w:space="0" w:color="auto"/>
        <w:bottom w:val="none" w:sz="0" w:space="0" w:color="auto"/>
        <w:right w:val="none" w:sz="0" w:space="0" w:color="auto"/>
      </w:divBdr>
    </w:div>
    <w:div w:id="2123840906">
      <w:bodyDiv w:val="1"/>
      <w:marLeft w:val="0"/>
      <w:marRight w:val="0"/>
      <w:marTop w:val="0"/>
      <w:marBottom w:val="0"/>
      <w:divBdr>
        <w:top w:val="none" w:sz="0" w:space="0" w:color="auto"/>
        <w:left w:val="none" w:sz="0" w:space="0" w:color="auto"/>
        <w:bottom w:val="none" w:sz="0" w:space="0" w:color="auto"/>
        <w:right w:val="none" w:sz="0" w:space="0" w:color="auto"/>
      </w:divBdr>
    </w:div>
    <w:div w:id="2124496963">
      <w:bodyDiv w:val="1"/>
      <w:marLeft w:val="0"/>
      <w:marRight w:val="0"/>
      <w:marTop w:val="0"/>
      <w:marBottom w:val="0"/>
      <w:divBdr>
        <w:top w:val="none" w:sz="0" w:space="0" w:color="auto"/>
        <w:left w:val="none" w:sz="0" w:space="0" w:color="auto"/>
        <w:bottom w:val="none" w:sz="0" w:space="0" w:color="auto"/>
        <w:right w:val="none" w:sz="0" w:space="0" w:color="auto"/>
      </w:divBdr>
    </w:div>
    <w:div w:id="2124498095">
      <w:bodyDiv w:val="1"/>
      <w:marLeft w:val="0"/>
      <w:marRight w:val="0"/>
      <w:marTop w:val="0"/>
      <w:marBottom w:val="0"/>
      <w:divBdr>
        <w:top w:val="none" w:sz="0" w:space="0" w:color="auto"/>
        <w:left w:val="none" w:sz="0" w:space="0" w:color="auto"/>
        <w:bottom w:val="none" w:sz="0" w:space="0" w:color="auto"/>
        <w:right w:val="none" w:sz="0" w:space="0" w:color="auto"/>
      </w:divBdr>
    </w:div>
    <w:div w:id="2125073111">
      <w:bodyDiv w:val="1"/>
      <w:marLeft w:val="0"/>
      <w:marRight w:val="0"/>
      <w:marTop w:val="0"/>
      <w:marBottom w:val="0"/>
      <w:divBdr>
        <w:top w:val="none" w:sz="0" w:space="0" w:color="auto"/>
        <w:left w:val="none" w:sz="0" w:space="0" w:color="auto"/>
        <w:bottom w:val="none" w:sz="0" w:space="0" w:color="auto"/>
        <w:right w:val="none" w:sz="0" w:space="0" w:color="auto"/>
      </w:divBdr>
    </w:div>
    <w:div w:id="2125230615">
      <w:bodyDiv w:val="1"/>
      <w:marLeft w:val="0"/>
      <w:marRight w:val="0"/>
      <w:marTop w:val="0"/>
      <w:marBottom w:val="0"/>
      <w:divBdr>
        <w:top w:val="none" w:sz="0" w:space="0" w:color="auto"/>
        <w:left w:val="none" w:sz="0" w:space="0" w:color="auto"/>
        <w:bottom w:val="none" w:sz="0" w:space="0" w:color="auto"/>
        <w:right w:val="none" w:sz="0" w:space="0" w:color="auto"/>
      </w:divBdr>
      <w:divsChild>
        <w:div w:id="905148941">
          <w:marLeft w:val="0"/>
          <w:marRight w:val="0"/>
          <w:marTop w:val="0"/>
          <w:marBottom w:val="0"/>
          <w:divBdr>
            <w:top w:val="none" w:sz="0" w:space="0" w:color="auto"/>
            <w:left w:val="none" w:sz="0" w:space="0" w:color="auto"/>
            <w:bottom w:val="none" w:sz="0" w:space="0" w:color="auto"/>
            <w:right w:val="none" w:sz="0" w:space="0" w:color="auto"/>
          </w:divBdr>
        </w:div>
      </w:divsChild>
    </w:div>
    <w:div w:id="2125876969">
      <w:bodyDiv w:val="1"/>
      <w:marLeft w:val="0"/>
      <w:marRight w:val="0"/>
      <w:marTop w:val="0"/>
      <w:marBottom w:val="0"/>
      <w:divBdr>
        <w:top w:val="none" w:sz="0" w:space="0" w:color="auto"/>
        <w:left w:val="none" w:sz="0" w:space="0" w:color="auto"/>
        <w:bottom w:val="none" w:sz="0" w:space="0" w:color="auto"/>
        <w:right w:val="none" w:sz="0" w:space="0" w:color="auto"/>
      </w:divBdr>
    </w:div>
    <w:div w:id="2126072775">
      <w:bodyDiv w:val="1"/>
      <w:marLeft w:val="0"/>
      <w:marRight w:val="0"/>
      <w:marTop w:val="0"/>
      <w:marBottom w:val="0"/>
      <w:divBdr>
        <w:top w:val="none" w:sz="0" w:space="0" w:color="auto"/>
        <w:left w:val="none" w:sz="0" w:space="0" w:color="auto"/>
        <w:bottom w:val="none" w:sz="0" w:space="0" w:color="auto"/>
        <w:right w:val="none" w:sz="0" w:space="0" w:color="auto"/>
      </w:divBdr>
    </w:div>
    <w:div w:id="2126147018">
      <w:bodyDiv w:val="1"/>
      <w:marLeft w:val="0"/>
      <w:marRight w:val="0"/>
      <w:marTop w:val="0"/>
      <w:marBottom w:val="0"/>
      <w:divBdr>
        <w:top w:val="none" w:sz="0" w:space="0" w:color="auto"/>
        <w:left w:val="none" w:sz="0" w:space="0" w:color="auto"/>
        <w:bottom w:val="none" w:sz="0" w:space="0" w:color="auto"/>
        <w:right w:val="none" w:sz="0" w:space="0" w:color="auto"/>
      </w:divBdr>
    </w:div>
    <w:div w:id="2126264508">
      <w:bodyDiv w:val="1"/>
      <w:marLeft w:val="0"/>
      <w:marRight w:val="0"/>
      <w:marTop w:val="0"/>
      <w:marBottom w:val="0"/>
      <w:divBdr>
        <w:top w:val="none" w:sz="0" w:space="0" w:color="auto"/>
        <w:left w:val="none" w:sz="0" w:space="0" w:color="auto"/>
        <w:bottom w:val="none" w:sz="0" w:space="0" w:color="auto"/>
        <w:right w:val="none" w:sz="0" w:space="0" w:color="auto"/>
      </w:divBdr>
    </w:div>
    <w:div w:id="2126340926">
      <w:bodyDiv w:val="1"/>
      <w:marLeft w:val="0"/>
      <w:marRight w:val="0"/>
      <w:marTop w:val="0"/>
      <w:marBottom w:val="0"/>
      <w:divBdr>
        <w:top w:val="none" w:sz="0" w:space="0" w:color="auto"/>
        <w:left w:val="none" w:sz="0" w:space="0" w:color="auto"/>
        <w:bottom w:val="none" w:sz="0" w:space="0" w:color="auto"/>
        <w:right w:val="none" w:sz="0" w:space="0" w:color="auto"/>
      </w:divBdr>
    </w:div>
    <w:div w:id="2126383100">
      <w:bodyDiv w:val="1"/>
      <w:marLeft w:val="0"/>
      <w:marRight w:val="0"/>
      <w:marTop w:val="0"/>
      <w:marBottom w:val="0"/>
      <w:divBdr>
        <w:top w:val="none" w:sz="0" w:space="0" w:color="auto"/>
        <w:left w:val="none" w:sz="0" w:space="0" w:color="auto"/>
        <w:bottom w:val="none" w:sz="0" w:space="0" w:color="auto"/>
        <w:right w:val="none" w:sz="0" w:space="0" w:color="auto"/>
      </w:divBdr>
    </w:div>
    <w:div w:id="2126607325">
      <w:bodyDiv w:val="1"/>
      <w:marLeft w:val="0"/>
      <w:marRight w:val="0"/>
      <w:marTop w:val="0"/>
      <w:marBottom w:val="0"/>
      <w:divBdr>
        <w:top w:val="none" w:sz="0" w:space="0" w:color="auto"/>
        <w:left w:val="none" w:sz="0" w:space="0" w:color="auto"/>
        <w:bottom w:val="none" w:sz="0" w:space="0" w:color="auto"/>
        <w:right w:val="none" w:sz="0" w:space="0" w:color="auto"/>
      </w:divBdr>
    </w:div>
    <w:div w:id="2126998768">
      <w:bodyDiv w:val="1"/>
      <w:marLeft w:val="0"/>
      <w:marRight w:val="0"/>
      <w:marTop w:val="0"/>
      <w:marBottom w:val="0"/>
      <w:divBdr>
        <w:top w:val="none" w:sz="0" w:space="0" w:color="auto"/>
        <w:left w:val="none" w:sz="0" w:space="0" w:color="auto"/>
        <w:bottom w:val="none" w:sz="0" w:space="0" w:color="auto"/>
        <w:right w:val="none" w:sz="0" w:space="0" w:color="auto"/>
      </w:divBdr>
    </w:div>
    <w:div w:id="2127195097">
      <w:bodyDiv w:val="1"/>
      <w:marLeft w:val="0"/>
      <w:marRight w:val="0"/>
      <w:marTop w:val="0"/>
      <w:marBottom w:val="0"/>
      <w:divBdr>
        <w:top w:val="none" w:sz="0" w:space="0" w:color="auto"/>
        <w:left w:val="none" w:sz="0" w:space="0" w:color="auto"/>
        <w:bottom w:val="none" w:sz="0" w:space="0" w:color="auto"/>
        <w:right w:val="none" w:sz="0" w:space="0" w:color="auto"/>
      </w:divBdr>
    </w:div>
    <w:div w:id="2127848797">
      <w:bodyDiv w:val="1"/>
      <w:marLeft w:val="0"/>
      <w:marRight w:val="0"/>
      <w:marTop w:val="0"/>
      <w:marBottom w:val="0"/>
      <w:divBdr>
        <w:top w:val="none" w:sz="0" w:space="0" w:color="auto"/>
        <w:left w:val="none" w:sz="0" w:space="0" w:color="auto"/>
        <w:bottom w:val="none" w:sz="0" w:space="0" w:color="auto"/>
        <w:right w:val="none" w:sz="0" w:space="0" w:color="auto"/>
      </w:divBdr>
    </w:div>
    <w:div w:id="2128036856">
      <w:bodyDiv w:val="1"/>
      <w:marLeft w:val="0"/>
      <w:marRight w:val="0"/>
      <w:marTop w:val="0"/>
      <w:marBottom w:val="0"/>
      <w:divBdr>
        <w:top w:val="none" w:sz="0" w:space="0" w:color="auto"/>
        <w:left w:val="none" w:sz="0" w:space="0" w:color="auto"/>
        <w:bottom w:val="none" w:sz="0" w:space="0" w:color="auto"/>
        <w:right w:val="none" w:sz="0" w:space="0" w:color="auto"/>
      </w:divBdr>
    </w:div>
    <w:div w:id="2129471175">
      <w:bodyDiv w:val="1"/>
      <w:marLeft w:val="0"/>
      <w:marRight w:val="0"/>
      <w:marTop w:val="0"/>
      <w:marBottom w:val="0"/>
      <w:divBdr>
        <w:top w:val="none" w:sz="0" w:space="0" w:color="auto"/>
        <w:left w:val="none" w:sz="0" w:space="0" w:color="auto"/>
        <w:bottom w:val="none" w:sz="0" w:space="0" w:color="auto"/>
        <w:right w:val="none" w:sz="0" w:space="0" w:color="auto"/>
      </w:divBdr>
    </w:div>
    <w:div w:id="2130588631">
      <w:bodyDiv w:val="1"/>
      <w:marLeft w:val="0"/>
      <w:marRight w:val="0"/>
      <w:marTop w:val="0"/>
      <w:marBottom w:val="0"/>
      <w:divBdr>
        <w:top w:val="none" w:sz="0" w:space="0" w:color="auto"/>
        <w:left w:val="none" w:sz="0" w:space="0" w:color="auto"/>
        <w:bottom w:val="none" w:sz="0" w:space="0" w:color="auto"/>
        <w:right w:val="none" w:sz="0" w:space="0" w:color="auto"/>
      </w:divBdr>
    </w:div>
    <w:div w:id="2131707777">
      <w:bodyDiv w:val="1"/>
      <w:marLeft w:val="0"/>
      <w:marRight w:val="0"/>
      <w:marTop w:val="0"/>
      <w:marBottom w:val="0"/>
      <w:divBdr>
        <w:top w:val="none" w:sz="0" w:space="0" w:color="auto"/>
        <w:left w:val="none" w:sz="0" w:space="0" w:color="auto"/>
        <w:bottom w:val="none" w:sz="0" w:space="0" w:color="auto"/>
        <w:right w:val="none" w:sz="0" w:space="0" w:color="auto"/>
      </w:divBdr>
    </w:div>
    <w:div w:id="2132170216">
      <w:bodyDiv w:val="1"/>
      <w:marLeft w:val="0"/>
      <w:marRight w:val="0"/>
      <w:marTop w:val="0"/>
      <w:marBottom w:val="0"/>
      <w:divBdr>
        <w:top w:val="none" w:sz="0" w:space="0" w:color="auto"/>
        <w:left w:val="none" w:sz="0" w:space="0" w:color="auto"/>
        <w:bottom w:val="none" w:sz="0" w:space="0" w:color="auto"/>
        <w:right w:val="none" w:sz="0" w:space="0" w:color="auto"/>
      </w:divBdr>
    </w:div>
    <w:div w:id="2132821558">
      <w:bodyDiv w:val="1"/>
      <w:marLeft w:val="0"/>
      <w:marRight w:val="0"/>
      <w:marTop w:val="0"/>
      <w:marBottom w:val="0"/>
      <w:divBdr>
        <w:top w:val="none" w:sz="0" w:space="0" w:color="auto"/>
        <w:left w:val="none" w:sz="0" w:space="0" w:color="auto"/>
        <w:bottom w:val="none" w:sz="0" w:space="0" w:color="auto"/>
        <w:right w:val="none" w:sz="0" w:space="0" w:color="auto"/>
      </w:divBdr>
    </w:div>
    <w:div w:id="2132894686">
      <w:bodyDiv w:val="1"/>
      <w:marLeft w:val="0"/>
      <w:marRight w:val="0"/>
      <w:marTop w:val="0"/>
      <w:marBottom w:val="0"/>
      <w:divBdr>
        <w:top w:val="none" w:sz="0" w:space="0" w:color="auto"/>
        <w:left w:val="none" w:sz="0" w:space="0" w:color="auto"/>
        <w:bottom w:val="none" w:sz="0" w:space="0" w:color="auto"/>
        <w:right w:val="none" w:sz="0" w:space="0" w:color="auto"/>
      </w:divBdr>
    </w:div>
    <w:div w:id="2132895677">
      <w:bodyDiv w:val="1"/>
      <w:marLeft w:val="0"/>
      <w:marRight w:val="0"/>
      <w:marTop w:val="0"/>
      <w:marBottom w:val="0"/>
      <w:divBdr>
        <w:top w:val="none" w:sz="0" w:space="0" w:color="auto"/>
        <w:left w:val="none" w:sz="0" w:space="0" w:color="auto"/>
        <w:bottom w:val="none" w:sz="0" w:space="0" w:color="auto"/>
        <w:right w:val="none" w:sz="0" w:space="0" w:color="auto"/>
      </w:divBdr>
    </w:div>
    <w:div w:id="2133354360">
      <w:bodyDiv w:val="1"/>
      <w:marLeft w:val="0"/>
      <w:marRight w:val="0"/>
      <w:marTop w:val="0"/>
      <w:marBottom w:val="0"/>
      <w:divBdr>
        <w:top w:val="none" w:sz="0" w:space="0" w:color="auto"/>
        <w:left w:val="none" w:sz="0" w:space="0" w:color="auto"/>
        <w:bottom w:val="none" w:sz="0" w:space="0" w:color="auto"/>
        <w:right w:val="none" w:sz="0" w:space="0" w:color="auto"/>
      </w:divBdr>
    </w:div>
    <w:div w:id="2134670389">
      <w:bodyDiv w:val="1"/>
      <w:marLeft w:val="0"/>
      <w:marRight w:val="0"/>
      <w:marTop w:val="0"/>
      <w:marBottom w:val="0"/>
      <w:divBdr>
        <w:top w:val="none" w:sz="0" w:space="0" w:color="auto"/>
        <w:left w:val="none" w:sz="0" w:space="0" w:color="auto"/>
        <w:bottom w:val="none" w:sz="0" w:space="0" w:color="auto"/>
        <w:right w:val="none" w:sz="0" w:space="0" w:color="auto"/>
      </w:divBdr>
    </w:div>
    <w:div w:id="2135168897">
      <w:bodyDiv w:val="1"/>
      <w:marLeft w:val="0"/>
      <w:marRight w:val="0"/>
      <w:marTop w:val="0"/>
      <w:marBottom w:val="0"/>
      <w:divBdr>
        <w:top w:val="none" w:sz="0" w:space="0" w:color="auto"/>
        <w:left w:val="none" w:sz="0" w:space="0" w:color="auto"/>
        <w:bottom w:val="none" w:sz="0" w:space="0" w:color="auto"/>
        <w:right w:val="none" w:sz="0" w:space="0" w:color="auto"/>
      </w:divBdr>
    </w:div>
    <w:div w:id="2136676276">
      <w:bodyDiv w:val="1"/>
      <w:marLeft w:val="0"/>
      <w:marRight w:val="0"/>
      <w:marTop w:val="0"/>
      <w:marBottom w:val="0"/>
      <w:divBdr>
        <w:top w:val="none" w:sz="0" w:space="0" w:color="auto"/>
        <w:left w:val="none" w:sz="0" w:space="0" w:color="auto"/>
        <w:bottom w:val="none" w:sz="0" w:space="0" w:color="auto"/>
        <w:right w:val="none" w:sz="0" w:space="0" w:color="auto"/>
      </w:divBdr>
    </w:div>
    <w:div w:id="2137410502">
      <w:bodyDiv w:val="1"/>
      <w:marLeft w:val="0"/>
      <w:marRight w:val="0"/>
      <w:marTop w:val="0"/>
      <w:marBottom w:val="0"/>
      <w:divBdr>
        <w:top w:val="none" w:sz="0" w:space="0" w:color="auto"/>
        <w:left w:val="none" w:sz="0" w:space="0" w:color="auto"/>
        <w:bottom w:val="none" w:sz="0" w:space="0" w:color="auto"/>
        <w:right w:val="none" w:sz="0" w:space="0" w:color="auto"/>
      </w:divBdr>
    </w:div>
    <w:div w:id="2138794104">
      <w:bodyDiv w:val="1"/>
      <w:marLeft w:val="0"/>
      <w:marRight w:val="0"/>
      <w:marTop w:val="0"/>
      <w:marBottom w:val="0"/>
      <w:divBdr>
        <w:top w:val="none" w:sz="0" w:space="0" w:color="auto"/>
        <w:left w:val="none" w:sz="0" w:space="0" w:color="auto"/>
        <w:bottom w:val="none" w:sz="0" w:space="0" w:color="auto"/>
        <w:right w:val="none" w:sz="0" w:space="0" w:color="auto"/>
      </w:divBdr>
    </w:div>
    <w:div w:id="2139377862">
      <w:bodyDiv w:val="1"/>
      <w:marLeft w:val="0"/>
      <w:marRight w:val="0"/>
      <w:marTop w:val="0"/>
      <w:marBottom w:val="0"/>
      <w:divBdr>
        <w:top w:val="none" w:sz="0" w:space="0" w:color="auto"/>
        <w:left w:val="none" w:sz="0" w:space="0" w:color="auto"/>
        <w:bottom w:val="none" w:sz="0" w:space="0" w:color="auto"/>
        <w:right w:val="none" w:sz="0" w:space="0" w:color="auto"/>
      </w:divBdr>
    </w:div>
    <w:div w:id="2139492236">
      <w:bodyDiv w:val="1"/>
      <w:marLeft w:val="0"/>
      <w:marRight w:val="0"/>
      <w:marTop w:val="0"/>
      <w:marBottom w:val="0"/>
      <w:divBdr>
        <w:top w:val="none" w:sz="0" w:space="0" w:color="auto"/>
        <w:left w:val="none" w:sz="0" w:space="0" w:color="auto"/>
        <w:bottom w:val="none" w:sz="0" w:space="0" w:color="auto"/>
        <w:right w:val="none" w:sz="0" w:space="0" w:color="auto"/>
      </w:divBdr>
    </w:div>
    <w:div w:id="2140302106">
      <w:bodyDiv w:val="1"/>
      <w:marLeft w:val="0"/>
      <w:marRight w:val="0"/>
      <w:marTop w:val="0"/>
      <w:marBottom w:val="0"/>
      <w:divBdr>
        <w:top w:val="none" w:sz="0" w:space="0" w:color="auto"/>
        <w:left w:val="none" w:sz="0" w:space="0" w:color="auto"/>
        <w:bottom w:val="none" w:sz="0" w:space="0" w:color="auto"/>
        <w:right w:val="none" w:sz="0" w:space="0" w:color="auto"/>
      </w:divBdr>
    </w:div>
    <w:div w:id="2140755866">
      <w:bodyDiv w:val="1"/>
      <w:marLeft w:val="0"/>
      <w:marRight w:val="0"/>
      <w:marTop w:val="0"/>
      <w:marBottom w:val="0"/>
      <w:divBdr>
        <w:top w:val="none" w:sz="0" w:space="0" w:color="auto"/>
        <w:left w:val="none" w:sz="0" w:space="0" w:color="auto"/>
        <w:bottom w:val="none" w:sz="0" w:space="0" w:color="auto"/>
        <w:right w:val="none" w:sz="0" w:space="0" w:color="auto"/>
      </w:divBdr>
    </w:div>
    <w:div w:id="2141262723">
      <w:bodyDiv w:val="1"/>
      <w:marLeft w:val="0"/>
      <w:marRight w:val="0"/>
      <w:marTop w:val="0"/>
      <w:marBottom w:val="0"/>
      <w:divBdr>
        <w:top w:val="none" w:sz="0" w:space="0" w:color="auto"/>
        <w:left w:val="none" w:sz="0" w:space="0" w:color="auto"/>
        <w:bottom w:val="none" w:sz="0" w:space="0" w:color="auto"/>
        <w:right w:val="none" w:sz="0" w:space="0" w:color="auto"/>
      </w:divBdr>
    </w:div>
    <w:div w:id="2141266772">
      <w:bodyDiv w:val="1"/>
      <w:marLeft w:val="0"/>
      <w:marRight w:val="0"/>
      <w:marTop w:val="0"/>
      <w:marBottom w:val="0"/>
      <w:divBdr>
        <w:top w:val="none" w:sz="0" w:space="0" w:color="auto"/>
        <w:left w:val="none" w:sz="0" w:space="0" w:color="auto"/>
        <w:bottom w:val="none" w:sz="0" w:space="0" w:color="auto"/>
        <w:right w:val="none" w:sz="0" w:space="0" w:color="auto"/>
      </w:divBdr>
    </w:div>
    <w:div w:id="2141486316">
      <w:bodyDiv w:val="1"/>
      <w:marLeft w:val="0"/>
      <w:marRight w:val="0"/>
      <w:marTop w:val="0"/>
      <w:marBottom w:val="0"/>
      <w:divBdr>
        <w:top w:val="none" w:sz="0" w:space="0" w:color="auto"/>
        <w:left w:val="none" w:sz="0" w:space="0" w:color="auto"/>
        <w:bottom w:val="none" w:sz="0" w:space="0" w:color="auto"/>
        <w:right w:val="none" w:sz="0" w:space="0" w:color="auto"/>
      </w:divBdr>
    </w:div>
    <w:div w:id="2141607737">
      <w:bodyDiv w:val="1"/>
      <w:marLeft w:val="0"/>
      <w:marRight w:val="0"/>
      <w:marTop w:val="0"/>
      <w:marBottom w:val="0"/>
      <w:divBdr>
        <w:top w:val="none" w:sz="0" w:space="0" w:color="auto"/>
        <w:left w:val="none" w:sz="0" w:space="0" w:color="auto"/>
        <w:bottom w:val="none" w:sz="0" w:space="0" w:color="auto"/>
        <w:right w:val="none" w:sz="0" w:space="0" w:color="auto"/>
      </w:divBdr>
    </w:div>
    <w:div w:id="2143304902">
      <w:bodyDiv w:val="1"/>
      <w:marLeft w:val="0"/>
      <w:marRight w:val="0"/>
      <w:marTop w:val="0"/>
      <w:marBottom w:val="0"/>
      <w:divBdr>
        <w:top w:val="none" w:sz="0" w:space="0" w:color="auto"/>
        <w:left w:val="none" w:sz="0" w:space="0" w:color="auto"/>
        <w:bottom w:val="none" w:sz="0" w:space="0" w:color="auto"/>
        <w:right w:val="none" w:sz="0" w:space="0" w:color="auto"/>
      </w:divBdr>
    </w:div>
    <w:div w:id="2144030839">
      <w:bodyDiv w:val="1"/>
      <w:marLeft w:val="0"/>
      <w:marRight w:val="0"/>
      <w:marTop w:val="0"/>
      <w:marBottom w:val="0"/>
      <w:divBdr>
        <w:top w:val="none" w:sz="0" w:space="0" w:color="auto"/>
        <w:left w:val="none" w:sz="0" w:space="0" w:color="auto"/>
        <w:bottom w:val="none" w:sz="0" w:space="0" w:color="auto"/>
        <w:right w:val="none" w:sz="0" w:space="0" w:color="auto"/>
      </w:divBdr>
    </w:div>
    <w:div w:id="2144156586">
      <w:bodyDiv w:val="1"/>
      <w:marLeft w:val="0"/>
      <w:marRight w:val="0"/>
      <w:marTop w:val="0"/>
      <w:marBottom w:val="0"/>
      <w:divBdr>
        <w:top w:val="none" w:sz="0" w:space="0" w:color="auto"/>
        <w:left w:val="none" w:sz="0" w:space="0" w:color="auto"/>
        <w:bottom w:val="none" w:sz="0" w:space="0" w:color="auto"/>
        <w:right w:val="none" w:sz="0" w:space="0" w:color="auto"/>
      </w:divBdr>
    </w:div>
    <w:div w:id="2144615306">
      <w:bodyDiv w:val="1"/>
      <w:marLeft w:val="0"/>
      <w:marRight w:val="0"/>
      <w:marTop w:val="0"/>
      <w:marBottom w:val="0"/>
      <w:divBdr>
        <w:top w:val="none" w:sz="0" w:space="0" w:color="auto"/>
        <w:left w:val="none" w:sz="0" w:space="0" w:color="auto"/>
        <w:bottom w:val="none" w:sz="0" w:space="0" w:color="auto"/>
        <w:right w:val="none" w:sz="0" w:space="0" w:color="auto"/>
      </w:divBdr>
    </w:div>
    <w:div w:id="2145654978">
      <w:bodyDiv w:val="1"/>
      <w:marLeft w:val="0"/>
      <w:marRight w:val="0"/>
      <w:marTop w:val="0"/>
      <w:marBottom w:val="0"/>
      <w:divBdr>
        <w:top w:val="none" w:sz="0" w:space="0" w:color="auto"/>
        <w:left w:val="none" w:sz="0" w:space="0" w:color="auto"/>
        <w:bottom w:val="none" w:sz="0" w:space="0" w:color="auto"/>
        <w:right w:val="none" w:sz="0" w:space="0" w:color="auto"/>
      </w:divBdr>
    </w:div>
    <w:div w:id="2145999059">
      <w:bodyDiv w:val="1"/>
      <w:marLeft w:val="0"/>
      <w:marRight w:val="0"/>
      <w:marTop w:val="0"/>
      <w:marBottom w:val="0"/>
      <w:divBdr>
        <w:top w:val="none" w:sz="0" w:space="0" w:color="auto"/>
        <w:left w:val="none" w:sz="0" w:space="0" w:color="auto"/>
        <w:bottom w:val="none" w:sz="0" w:space="0" w:color="auto"/>
        <w:right w:val="none" w:sz="0" w:space="0" w:color="auto"/>
      </w:divBdr>
    </w:div>
    <w:div w:id="2146048508">
      <w:bodyDiv w:val="1"/>
      <w:marLeft w:val="0"/>
      <w:marRight w:val="0"/>
      <w:marTop w:val="0"/>
      <w:marBottom w:val="0"/>
      <w:divBdr>
        <w:top w:val="none" w:sz="0" w:space="0" w:color="auto"/>
        <w:left w:val="none" w:sz="0" w:space="0" w:color="auto"/>
        <w:bottom w:val="none" w:sz="0" w:space="0" w:color="auto"/>
        <w:right w:val="none" w:sz="0" w:space="0" w:color="auto"/>
      </w:divBdr>
    </w:div>
    <w:div w:id="2146466579">
      <w:bodyDiv w:val="1"/>
      <w:marLeft w:val="0"/>
      <w:marRight w:val="0"/>
      <w:marTop w:val="0"/>
      <w:marBottom w:val="0"/>
      <w:divBdr>
        <w:top w:val="none" w:sz="0" w:space="0" w:color="auto"/>
        <w:left w:val="none" w:sz="0" w:space="0" w:color="auto"/>
        <w:bottom w:val="none" w:sz="0" w:space="0" w:color="auto"/>
        <w:right w:val="none" w:sz="0" w:space="0" w:color="auto"/>
      </w:divBdr>
    </w:div>
    <w:div w:id="2147315149">
      <w:bodyDiv w:val="1"/>
      <w:marLeft w:val="0"/>
      <w:marRight w:val="0"/>
      <w:marTop w:val="0"/>
      <w:marBottom w:val="0"/>
      <w:divBdr>
        <w:top w:val="none" w:sz="0" w:space="0" w:color="auto"/>
        <w:left w:val="none" w:sz="0" w:space="0" w:color="auto"/>
        <w:bottom w:val="none" w:sz="0" w:space="0" w:color="auto"/>
        <w:right w:val="none" w:sz="0" w:space="0" w:color="auto"/>
      </w:divBdr>
    </w:div>
    <w:div w:id="2147356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4.xml"/><Relationship Id="rId21" Type="http://schemas.openxmlformats.org/officeDocument/2006/relationships/image" Target="media/image4.emf"/><Relationship Id="rId42" Type="http://schemas.openxmlformats.org/officeDocument/2006/relationships/header" Target="header10.xml"/><Relationship Id="rId47" Type="http://schemas.openxmlformats.org/officeDocument/2006/relationships/footer" Target="footer16.xml"/><Relationship Id="rId63" Type="http://schemas.openxmlformats.org/officeDocument/2006/relationships/footer" Target="footer28.xml"/><Relationship Id="rId68" Type="http://schemas.openxmlformats.org/officeDocument/2006/relationships/header" Target="header17.xml"/><Relationship Id="rId84" Type="http://schemas.openxmlformats.org/officeDocument/2006/relationships/header" Target="header23.xml"/><Relationship Id="rId89" Type="http://schemas.openxmlformats.org/officeDocument/2006/relationships/header" Target="header25.xml"/><Relationship Id="rId16" Type="http://schemas.openxmlformats.org/officeDocument/2006/relationships/header" Target="header3.xml"/><Relationship Id="rId107" Type="http://schemas.openxmlformats.org/officeDocument/2006/relationships/footer" Target="footer53.xml"/><Relationship Id="rId11" Type="http://schemas.openxmlformats.org/officeDocument/2006/relationships/image" Target="media/image1.png"/><Relationship Id="rId32" Type="http://schemas.openxmlformats.org/officeDocument/2006/relationships/hyperlink" Target="https://ri.caixa.gov.br/informacoes-financeiras/central-de-resultados/" TargetMode="External"/><Relationship Id="rId37" Type="http://schemas.openxmlformats.org/officeDocument/2006/relationships/footer" Target="footer10.xml"/><Relationship Id="rId53" Type="http://schemas.openxmlformats.org/officeDocument/2006/relationships/footer" Target="footer21.xml"/><Relationship Id="rId58" Type="http://schemas.openxmlformats.org/officeDocument/2006/relationships/footer" Target="footer24.xml"/><Relationship Id="rId74" Type="http://schemas.openxmlformats.org/officeDocument/2006/relationships/header" Target="header19.xml"/><Relationship Id="rId79" Type="http://schemas.openxmlformats.org/officeDocument/2006/relationships/footer" Target="footer38.xml"/><Relationship Id="rId102" Type="http://schemas.openxmlformats.org/officeDocument/2006/relationships/header" Target="header31.xml"/><Relationship Id="rId5" Type="http://schemas.openxmlformats.org/officeDocument/2006/relationships/numbering" Target="numbering.xml"/><Relationship Id="rId90" Type="http://schemas.openxmlformats.org/officeDocument/2006/relationships/footer" Target="footer44.xml"/><Relationship Id="rId95" Type="http://schemas.openxmlformats.org/officeDocument/2006/relationships/header" Target="header28.xml"/><Relationship Id="rId22" Type="http://schemas.openxmlformats.org/officeDocument/2006/relationships/image" Target="media/image5.png"/><Relationship Id="rId27" Type="http://schemas.openxmlformats.org/officeDocument/2006/relationships/footer" Target="footer7.xml"/><Relationship Id="rId43" Type="http://schemas.openxmlformats.org/officeDocument/2006/relationships/footer" Target="footer13.xml"/><Relationship Id="rId48" Type="http://schemas.openxmlformats.org/officeDocument/2006/relationships/footer" Target="footer17.xml"/><Relationship Id="rId64" Type="http://schemas.openxmlformats.org/officeDocument/2006/relationships/footer" Target="footer29.xml"/><Relationship Id="rId69" Type="http://schemas.openxmlformats.org/officeDocument/2006/relationships/footer" Target="footer32.xml"/><Relationship Id="rId80" Type="http://schemas.openxmlformats.org/officeDocument/2006/relationships/footer" Target="footer39.xml"/><Relationship Id="rId85" Type="http://schemas.openxmlformats.org/officeDocument/2006/relationships/footer" Target="footer41.xml"/><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header" Target="header6.xml"/><Relationship Id="rId38" Type="http://schemas.openxmlformats.org/officeDocument/2006/relationships/header" Target="header8.xml"/><Relationship Id="rId59" Type="http://schemas.openxmlformats.org/officeDocument/2006/relationships/footer" Target="footer25.xml"/><Relationship Id="rId103" Type="http://schemas.openxmlformats.org/officeDocument/2006/relationships/footer" Target="footer51.xml"/><Relationship Id="rId108" Type="http://schemas.openxmlformats.org/officeDocument/2006/relationships/header" Target="header34.xml"/><Relationship Id="rId54" Type="http://schemas.openxmlformats.org/officeDocument/2006/relationships/header" Target="header13.xml"/><Relationship Id="rId70" Type="http://schemas.openxmlformats.org/officeDocument/2006/relationships/header" Target="header18.xml"/><Relationship Id="rId75" Type="http://schemas.openxmlformats.org/officeDocument/2006/relationships/footer" Target="footer36.xml"/><Relationship Id="rId91" Type="http://schemas.openxmlformats.org/officeDocument/2006/relationships/header" Target="header26.xml"/><Relationship Id="rId96" Type="http://schemas.openxmlformats.org/officeDocument/2006/relationships/footer" Target="footer47.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6.emf"/><Relationship Id="rId28" Type="http://schemas.openxmlformats.org/officeDocument/2006/relationships/image" Target="media/image9.emf"/><Relationship Id="rId36" Type="http://schemas.openxmlformats.org/officeDocument/2006/relationships/header" Target="header7.xml"/><Relationship Id="rId49" Type="http://schemas.openxmlformats.org/officeDocument/2006/relationships/footer" Target="footer18.xml"/><Relationship Id="rId57" Type="http://schemas.openxmlformats.org/officeDocument/2006/relationships/header" Target="header14.xml"/><Relationship Id="rId106" Type="http://schemas.openxmlformats.org/officeDocument/2006/relationships/header" Target="header33.xml"/><Relationship Id="rId10" Type="http://schemas.openxmlformats.org/officeDocument/2006/relationships/endnotes" Target="endnotes.xml"/><Relationship Id="rId31" Type="http://schemas.openxmlformats.org/officeDocument/2006/relationships/image" Target="media/image10.emf"/><Relationship Id="rId44" Type="http://schemas.openxmlformats.org/officeDocument/2006/relationships/footer" Target="footer14.xml"/><Relationship Id="rId52" Type="http://schemas.openxmlformats.org/officeDocument/2006/relationships/footer" Target="footer20.xml"/><Relationship Id="rId60" Type="http://schemas.openxmlformats.org/officeDocument/2006/relationships/footer" Target="footer26.xml"/><Relationship Id="rId65" Type="http://schemas.openxmlformats.org/officeDocument/2006/relationships/header" Target="header16.xml"/><Relationship Id="rId73" Type="http://schemas.openxmlformats.org/officeDocument/2006/relationships/footer" Target="footer35.xml"/><Relationship Id="rId78" Type="http://schemas.openxmlformats.org/officeDocument/2006/relationships/header" Target="header21.xml"/><Relationship Id="rId81" Type="http://schemas.openxmlformats.org/officeDocument/2006/relationships/header" Target="header22.xml"/><Relationship Id="rId86" Type="http://schemas.openxmlformats.org/officeDocument/2006/relationships/footer" Target="footer42.xml"/><Relationship Id="rId94" Type="http://schemas.openxmlformats.org/officeDocument/2006/relationships/footer" Target="footer46.xml"/><Relationship Id="rId99" Type="http://schemas.openxmlformats.org/officeDocument/2006/relationships/footer" Target="footer49.xml"/><Relationship Id="rId101" Type="http://schemas.openxmlformats.org/officeDocument/2006/relationships/footer" Target="footer50.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footer" Target="footer4.xml"/><Relationship Id="rId39" Type="http://schemas.openxmlformats.org/officeDocument/2006/relationships/footer" Target="footer11.xml"/><Relationship Id="rId109" Type="http://schemas.openxmlformats.org/officeDocument/2006/relationships/image" Target="media/image15.png"/><Relationship Id="rId34" Type="http://schemas.openxmlformats.org/officeDocument/2006/relationships/footer" Target="footer9.xml"/><Relationship Id="rId50" Type="http://schemas.openxmlformats.org/officeDocument/2006/relationships/header" Target="header12.xml"/><Relationship Id="rId55" Type="http://schemas.openxmlformats.org/officeDocument/2006/relationships/footer" Target="footer22.xml"/><Relationship Id="rId76" Type="http://schemas.openxmlformats.org/officeDocument/2006/relationships/header" Target="header20.xml"/><Relationship Id="rId97" Type="http://schemas.openxmlformats.org/officeDocument/2006/relationships/header" Target="header29.xml"/><Relationship Id="rId104" Type="http://schemas.openxmlformats.org/officeDocument/2006/relationships/header" Target="header32.xml"/><Relationship Id="rId7" Type="http://schemas.openxmlformats.org/officeDocument/2006/relationships/settings" Target="settings.xml"/><Relationship Id="rId71" Type="http://schemas.openxmlformats.org/officeDocument/2006/relationships/footer" Target="footer33.xml"/><Relationship Id="rId92" Type="http://schemas.openxmlformats.org/officeDocument/2006/relationships/footer" Target="footer45.xml"/><Relationship Id="rId2" Type="http://schemas.openxmlformats.org/officeDocument/2006/relationships/customXml" Target="../customXml/item2.xml"/><Relationship Id="rId29" Type="http://schemas.openxmlformats.org/officeDocument/2006/relationships/header" Target="header5.xml"/><Relationship Id="rId24" Type="http://schemas.openxmlformats.org/officeDocument/2006/relationships/image" Target="media/image7.png"/><Relationship Id="rId40" Type="http://schemas.openxmlformats.org/officeDocument/2006/relationships/header" Target="header9.xml"/><Relationship Id="rId45" Type="http://schemas.openxmlformats.org/officeDocument/2006/relationships/footer" Target="footer15.xml"/><Relationship Id="rId66" Type="http://schemas.openxmlformats.org/officeDocument/2006/relationships/footer" Target="footer30.xml"/><Relationship Id="rId87" Type="http://schemas.openxmlformats.org/officeDocument/2006/relationships/header" Target="header24.xml"/><Relationship Id="rId110" Type="http://schemas.openxmlformats.org/officeDocument/2006/relationships/fontTable" Target="fontTable.xml"/><Relationship Id="rId61" Type="http://schemas.openxmlformats.org/officeDocument/2006/relationships/header" Target="header15.xml"/><Relationship Id="rId82" Type="http://schemas.openxmlformats.org/officeDocument/2006/relationships/footer" Target="footer40.xml"/><Relationship Id="rId19" Type="http://schemas.openxmlformats.org/officeDocument/2006/relationships/footer" Target="footer5.xml"/><Relationship Id="rId14" Type="http://schemas.openxmlformats.org/officeDocument/2006/relationships/footer" Target="footer1.xml"/><Relationship Id="rId30" Type="http://schemas.openxmlformats.org/officeDocument/2006/relationships/footer" Target="footer8.xml"/><Relationship Id="rId35" Type="http://schemas.openxmlformats.org/officeDocument/2006/relationships/hyperlink" Target="https://ri.caixa.gov.br/informacoes-financeiras/central-de-resultados/" TargetMode="External"/><Relationship Id="rId56" Type="http://schemas.openxmlformats.org/officeDocument/2006/relationships/footer" Target="footer23.xml"/><Relationship Id="rId77" Type="http://schemas.openxmlformats.org/officeDocument/2006/relationships/footer" Target="footer37.xml"/><Relationship Id="rId100" Type="http://schemas.openxmlformats.org/officeDocument/2006/relationships/header" Target="header30.xml"/><Relationship Id="rId105" Type="http://schemas.openxmlformats.org/officeDocument/2006/relationships/footer" Target="footer52.xml"/><Relationship Id="rId8" Type="http://schemas.openxmlformats.org/officeDocument/2006/relationships/webSettings" Target="webSettings.xml"/><Relationship Id="rId51" Type="http://schemas.openxmlformats.org/officeDocument/2006/relationships/footer" Target="footer19.xml"/><Relationship Id="rId72" Type="http://schemas.openxmlformats.org/officeDocument/2006/relationships/footer" Target="footer34.xml"/><Relationship Id="rId93" Type="http://schemas.openxmlformats.org/officeDocument/2006/relationships/header" Target="header27.xml"/><Relationship Id="rId98" Type="http://schemas.openxmlformats.org/officeDocument/2006/relationships/footer" Target="footer48.xml"/><Relationship Id="rId3" Type="http://schemas.openxmlformats.org/officeDocument/2006/relationships/customXml" Target="../customXml/item3.xml"/><Relationship Id="rId25" Type="http://schemas.openxmlformats.org/officeDocument/2006/relationships/image" Target="media/image8.png"/><Relationship Id="rId46" Type="http://schemas.openxmlformats.org/officeDocument/2006/relationships/header" Target="header11.xml"/><Relationship Id="rId67" Type="http://schemas.openxmlformats.org/officeDocument/2006/relationships/footer" Target="footer31.xml"/><Relationship Id="rId20" Type="http://schemas.openxmlformats.org/officeDocument/2006/relationships/footer" Target="footer6.xml"/><Relationship Id="rId41" Type="http://schemas.openxmlformats.org/officeDocument/2006/relationships/footer" Target="footer12.xml"/><Relationship Id="rId62" Type="http://schemas.openxmlformats.org/officeDocument/2006/relationships/footer" Target="footer27.xml"/><Relationship Id="rId83" Type="http://schemas.openxmlformats.org/officeDocument/2006/relationships/hyperlink" Target="https://ri.caixa.gov.br/informacoes-financeiras/central-de-resultados/" TargetMode="External"/><Relationship Id="rId88" Type="http://schemas.openxmlformats.org/officeDocument/2006/relationships/footer" Target="footer43.xml"/><Relationship Id="rId111" Type="http://schemas.openxmlformats.org/officeDocument/2006/relationships/theme" Target="theme/theme1.xml"/></Relationships>
</file>

<file path=word/_rels/footer10.xml.rels><?xml version="1.0" encoding="UTF-8" standalone="yes"?>
<Relationships xmlns="http://schemas.openxmlformats.org/package/2006/relationships"><Relationship Id="rId1" Type="http://schemas.openxmlformats.org/officeDocument/2006/relationships/image" Target="media/image3.png"/></Relationships>
</file>

<file path=word/_rels/footer11.xml.rels><?xml version="1.0" encoding="UTF-8" standalone="yes"?>
<Relationships xmlns="http://schemas.openxmlformats.org/package/2006/relationships"><Relationship Id="rId1" Type="http://schemas.openxmlformats.org/officeDocument/2006/relationships/image" Target="media/image3.png"/></Relationships>
</file>

<file path=word/_rels/footer12.xml.rels><?xml version="1.0" encoding="UTF-8" standalone="yes"?>
<Relationships xmlns="http://schemas.openxmlformats.org/package/2006/relationships"><Relationship Id="rId1" Type="http://schemas.openxmlformats.org/officeDocument/2006/relationships/image" Target="media/image3.png"/></Relationships>
</file>

<file path=word/_rels/footer14.xml.rels><?xml version="1.0" encoding="UTF-8" standalone="yes"?>
<Relationships xmlns="http://schemas.openxmlformats.org/package/2006/relationships"><Relationship Id="rId1" Type="http://schemas.openxmlformats.org/officeDocument/2006/relationships/image" Target="media/image3.png"/></Relationships>
</file>

<file path=word/_rels/footer17.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20.xml.rels><?xml version="1.0" encoding="UTF-8" standalone="yes"?>
<Relationships xmlns="http://schemas.openxmlformats.org/package/2006/relationships"><Relationship Id="rId1" Type="http://schemas.openxmlformats.org/officeDocument/2006/relationships/image" Target="media/image3.png"/></Relationships>
</file>

<file path=word/_rels/footer22.xml.rels><?xml version="1.0" encoding="UTF-8" standalone="yes"?>
<Relationships xmlns="http://schemas.openxmlformats.org/package/2006/relationships"><Relationship Id="rId1" Type="http://schemas.openxmlformats.org/officeDocument/2006/relationships/image" Target="media/image3.png"/></Relationships>
</file>

<file path=word/_rels/footer23.xml.rels><?xml version="1.0" encoding="UTF-8" standalone="yes"?>
<Relationships xmlns="http://schemas.openxmlformats.org/package/2006/relationships"><Relationship Id="rId1" Type="http://schemas.openxmlformats.org/officeDocument/2006/relationships/image" Target="media/image3.png"/></Relationships>
</file>

<file path=word/_rels/footer25.xml.rels><?xml version="1.0" encoding="UTF-8" standalone="yes"?>
<Relationships xmlns="http://schemas.openxmlformats.org/package/2006/relationships"><Relationship Id="rId1" Type="http://schemas.openxmlformats.org/officeDocument/2006/relationships/image" Target="media/image3.png"/></Relationships>
</file>

<file path=word/_rels/footer28.xml.rels><?xml version="1.0" encoding="UTF-8" standalone="yes"?>
<Relationships xmlns="http://schemas.openxmlformats.org/package/2006/relationships"><Relationship Id="rId1" Type="http://schemas.openxmlformats.org/officeDocument/2006/relationships/image" Target="media/image3.png"/></Relationships>
</file>

<file path=word/_rels/footer31.xml.rels><?xml version="1.0" encoding="UTF-8" standalone="yes"?>
<Relationships xmlns="http://schemas.openxmlformats.org/package/2006/relationships"><Relationship Id="rId1" Type="http://schemas.openxmlformats.org/officeDocument/2006/relationships/image" Target="media/image3.png"/></Relationships>
</file>

<file path=word/_rels/footer32.xml.rels><?xml version="1.0" encoding="UTF-8" standalone="yes"?>
<Relationships xmlns="http://schemas.openxmlformats.org/package/2006/relationships"><Relationship Id="rId1" Type="http://schemas.openxmlformats.org/officeDocument/2006/relationships/image" Target="media/image3.png"/></Relationships>
</file>

<file path=word/_rels/footer34.xml.rels><?xml version="1.0" encoding="UTF-8" standalone="yes"?>
<Relationships xmlns="http://schemas.openxmlformats.org/package/2006/relationships"><Relationship Id="rId1" Type="http://schemas.openxmlformats.org/officeDocument/2006/relationships/image" Target="media/image3.png"/></Relationships>
</file>

<file path=word/_rels/footer36.xml.rels><?xml version="1.0" encoding="UTF-8" standalone="yes"?>
<Relationships xmlns="http://schemas.openxmlformats.org/package/2006/relationships"><Relationship Id="rId1" Type="http://schemas.openxmlformats.org/officeDocument/2006/relationships/image" Target="media/image3.png"/></Relationships>
</file>

<file path=word/_rels/footer37.xml.rels><?xml version="1.0" encoding="UTF-8" standalone="yes"?>
<Relationships xmlns="http://schemas.openxmlformats.org/package/2006/relationships"><Relationship Id="rId1" Type="http://schemas.openxmlformats.org/officeDocument/2006/relationships/image" Target="media/image3.png"/></Relationships>
</file>

<file path=word/_rels/footer39.xml.rels><?xml version="1.0" encoding="UTF-8" standalone="yes"?>
<Relationships xmlns="http://schemas.openxmlformats.org/package/2006/relationships"><Relationship Id="rId1" Type="http://schemas.openxmlformats.org/officeDocument/2006/relationships/image" Target="media/image3.png"/></Relationships>
</file>

<file path=word/_rels/footer40.xml.rels><?xml version="1.0" encoding="UTF-8" standalone="yes"?>
<Relationships xmlns="http://schemas.openxmlformats.org/package/2006/relationships"><Relationship Id="rId1" Type="http://schemas.openxmlformats.org/officeDocument/2006/relationships/image" Target="media/image12.png"/></Relationships>
</file>

<file path=word/_rels/footer42.xml.rels><?xml version="1.0" encoding="UTF-8" standalone="yes"?>
<Relationships xmlns="http://schemas.openxmlformats.org/package/2006/relationships"><Relationship Id="rId1" Type="http://schemas.openxmlformats.org/officeDocument/2006/relationships/image" Target="media/image3.png"/></Relationships>
</file>

<file path=word/_rels/footer43.xml.rels><?xml version="1.0" encoding="UTF-8" standalone="yes"?>
<Relationships xmlns="http://schemas.openxmlformats.org/package/2006/relationships"><Relationship Id="rId1" Type="http://schemas.openxmlformats.org/officeDocument/2006/relationships/image" Target="media/image3.png"/></Relationships>
</file>

<file path=word/_rels/footer44.xml.rels><?xml version="1.0" encoding="UTF-8" standalone="yes"?>
<Relationships xmlns="http://schemas.openxmlformats.org/package/2006/relationships"><Relationship Id="rId1" Type="http://schemas.openxmlformats.org/officeDocument/2006/relationships/image" Target="media/image3.png"/></Relationships>
</file>

<file path=word/_rels/footer45.xml.rels><?xml version="1.0" encoding="UTF-8" standalone="yes"?>
<Relationships xmlns="http://schemas.openxmlformats.org/package/2006/relationships"><Relationship Id="rId1" Type="http://schemas.openxmlformats.org/officeDocument/2006/relationships/image" Target="media/image3.png"/></Relationships>
</file>

<file path=word/_rels/footer46.xml.rels><?xml version="1.0" encoding="UTF-8" standalone="yes"?>
<Relationships xmlns="http://schemas.openxmlformats.org/package/2006/relationships"><Relationship Id="rId1" Type="http://schemas.openxmlformats.org/officeDocument/2006/relationships/image" Target="media/image3.png"/></Relationships>
</file>

<file path=word/_rels/footer47.xml.rels><?xml version="1.0" encoding="UTF-8" standalone="yes"?>
<Relationships xmlns="http://schemas.openxmlformats.org/package/2006/relationships"><Relationship Id="rId1" Type="http://schemas.openxmlformats.org/officeDocument/2006/relationships/image" Target="media/image3.png"/></Relationships>
</file>

<file path=word/_rels/footer49.xml.rels><?xml version="1.0" encoding="UTF-8" standalone="yes"?>
<Relationships xmlns="http://schemas.openxmlformats.org/package/2006/relationships"><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1" Type="http://schemas.openxmlformats.org/officeDocument/2006/relationships/image" Target="media/image3.png"/></Relationships>
</file>

<file path=word/_rels/footer50.xml.rels><?xml version="1.0" encoding="UTF-8" standalone="yes"?>
<Relationships xmlns="http://schemas.openxmlformats.org/package/2006/relationships"><Relationship Id="rId1" Type="http://schemas.openxmlformats.org/officeDocument/2006/relationships/image" Target="media/image3.png"/></Relationships>
</file>

<file path=word/_rels/footer51.xml.rels><?xml version="1.0" encoding="UTF-8" standalone="yes"?>
<Relationships xmlns="http://schemas.openxmlformats.org/package/2006/relationships"><Relationship Id="rId1" Type="http://schemas.openxmlformats.org/officeDocument/2006/relationships/image" Target="media/image3.png"/></Relationships>
</file>

<file path=word/_rels/footer52.xml.rels><?xml version="1.0" encoding="UTF-8" standalone="yes"?>
<Relationships xmlns="http://schemas.openxmlformats.org/package/2006/relationships"><Relationship Id="rId1" Type="http://schemas.openxmlformats.org/officeDocument/2006/relationships/image" Target="media/image3.png"/></Relationships>
</file>

<file path=word/_rels/footer7.xml.rels><?xml version="1.0" encoding="UTF-8" standalone="yes"?>
<Relationships xmlns="http://schemas.openxmlformats.org/package/2006/relationships"><Relationship Id="rId1" Type="http://schemas.openxmlformats.org/officeDocument/2006/relationships/image" Target="media/image3.png"/></Relationships>
</file>

<file path=word/_rels/footer8.xml.rels><?xml version="1.0" encoding="UTF-8" standalone="yes"?>
<Relationships xmlns="http://schemas.openxmlformats.org/package/2006/relationships"><Relationship Id="rId1" Type="http://schemas.openxmlformats.org/officeDocument/2006/relationships/image" Target="media/image3.png"/></Relationships>
</file>

<file path=word/_rels/footer9.xml.rels><?xml version="1.0" encoding="UTF-8" standalone="yes"?>
<Relationships xmlns="http://schemas.openxmlformats.org/package/2006/relationships"><Relationship Id="rId1" Type="http://schemas.openxmlformats.org/officeDocument/2006/relationships/image" Target="media/image3.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11.xml.rels><?xml version="1.0" encoding="UTF-8" standalone="yes"?>
<Relationships xmlns="http://schemas.openxmlformats.org/package/2006/relationships"><Relationship Id="rId1" Type="http://schemas.openxmlformats.org/officeDocument/2006/relationships/image" Target="media/image2.png"/></Relationships>
</file>

<file path=word/_rels/header12.xml.rels><?xml version="1.0" encoding="UTF-8" standalone="yes"?>
<Relationships xmlns="http://schemas.openxmlformats.org/package/2006/relationships"><Relationship Id="rId1" Type="http://schemas.openxmlformats.org/officeDocument/2006/relationships/image" Target="media/image2.png"/></Relationships>
</file>

<file path=word/_rels/header13.xml.rels><?xml version="1.0" encoding="UTF-8" standalone="yes"?>
<Relationships xmlns="http://schemas.openxmlformats.org/package/2006/relationships"><Relationship Id="rId1" Type="http://schemas.openxmlformats.org/officeDocument/2006/relationships/image" Target="media/image2.png"/></Relationships>
</file>

<file path=word/_rels/header14.xml.rels><?xml version="1.0" encoding="UTF-8" standalone="yes"?>
<Relationships xmlns="http://schemas.openxmlformats.org/package/2006/relationships"><Relationship Id="rId1" Type="http://schemas.openxmlformats.org/officeDocument/2006/relationships/image" Target="media/image2.png"/></Relationships>
</file>

<file path=word/_rels/header15.xml.rels><?xml version="1.0" encoding="UTF-8" standalone="yes"?>
<Relationships xmlns="http://schemas.openxmlformats.org/package/2006/relationships"><Relationship Id="rId1" Type="http://schemas.openxmlformats.org/officeDocument/2006/relationships/image" Target="media/image2.png"/></Relationships>
</file>

<file path=word/_rels/header16.xml.rels><?xml version="1.0" encoding="UTF-8" standalone="yes"?>
<Relationships xmlns="http://schemas.openxmlformats.org/package/2006/relationships"><Relationship Id="rId1" Type="http://schemas.openxmlformats.org/officeDocument/2006/relationships/image" Target="media/image2.png"/></Relationships>
</file>

<file path=word/_rels/header17.xml.rels><?xml version="1.0" encoding="UTF-8" standalone="yes"?>
<Relationships xmlns="http://schemas.openxmlformats.org/package/2006/relationships"><Relationship Id="rId1" Type="http://schemas.openxmlformats.org/officeDocument/2006/relationships/image" Target="media/image2.png"/></Relationships>
</file>

<file path=word/_rels/header18.xml.rels><?xml version="1.0" encoding="UTF-8" standalone="yes"?>
<Relationships xmlns="http://schemas.openxmlformats.org/package/2006/relationships"><Relationship Id="rId1" Type="http://schemas.openxmlformats.org/officeDocument/2006/relationships/image" Target="media/image2.png"/></Relationships>
</file>

<file path=word/_rels/header19.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20.xml.rels><?xml version="1.0" encoding="UTF-8" standalone="yes"?>
<Relationships xmlns="http://schemas.openxmlformats.org/package/2006/relationships"><Relationship Id="rId1" Type="http://schemas.openxmlformats.org/officeDocument/2006/relationships/image" Target="media/image2.png"/></Relationships>
</file>

<file path=word/_rels/header21.xml.rels><?xml version="1.0" encoding="UTF-8" standalone="yes"?>
<Relationships xmlns="http://schemas.openxmlformats.org/package/2006/relationships"><Relationship Id="rId1" Type="http://schemas.openxmlformats.org/officeDocument/2006/relationships/image" Target="media/image2.png"/></Relationships>
</file>

<file path=word/_rels/header22.xml.rels><?xml version="1.0" encoding="UTF-8" standalone="yes"?>
<Relationships xmlns="http://schemas.openxmlformats.org/package/2006/relationships"><Relationship Id="rId1" Type="http://schemas.openxmlformats.org/officeDocument/2006/relationships/image" Target="media/image11.png"/></Relationships>
</file>

<file path=word/_rels/header23.xml.rels><?xml version="1.0" encoding="UTF-8" standalone="yes"?>
<Relationships xmlns="http://schemas.openxmlformats.org/package/2006/relationships"><Relationship Id="rId1" Type="http://schemas.openxmlformats.org/officeDocument/2006/relationships/image" Target="media/image2.png"/></Relationships>
</file>

<file path=word/_rels/header24.xml.rels><?xml version="1.0" encoding="UTF-8" standalone="yes"?>
<Relationships xmlns="http://schemas.openxmlformats.org/package/2006/relationships"><Relationship Id="rId1" Type="http://schemas.openxmlformats.org/officeDocument/2006/relationships/image" Target="media/image2.png"/></Relationships>
</file>

<file path=word/_rels/header25.xml.rels><?xml version="1.0" encoding="UTF-8" standalone="yes"?>
<Relationships xmlns="http://schemas.openxmlformats.org/package/2006/relationships"><Relationship Id="rId1" Type="http://schemas.openxmlformats.org/officeDocument/2006/relationships/image" Target="media/image2.png"/></Relationships>
</file>

<file path=word/_rels/header26.xml.rels><?xml version="1.0" encoding="UTF-8" standalone="yes"?>
<Relationships xmlns="http://schemas.openxmlformats.org/package/2006/relationships"><Relationship Id="rId1" Type="http://schemas.openxmlformats.org/officeDocument/2006/relationships/image" Target="media/image2.png"/></Relationships>
</file>

<file path=word/_rels/header27.xml.rels><?xml version="1.0" encoding="UTF-8" standalone="yes"?>
<Relationships xmlns="http://schemas.openxmlformats.org/package/2006/relationships"><Relationship Id="rId1" Type="http://schemas.openxmlformats.org/officeDocument/2006/relationships/image" Target="media/image2.png"/></Relationships>
</file>

<file path=word/_rels/header28.xml.rels><?xml version="1.0" encoding="UTF-8" standalone="yes"?>
<Relationships xmlns="http://schemas.openxmlformats.org/package/2006/relationships"><Relationship Id="rId1" Type="http://schemas.openxmlformats.org/officeDocument/2006/relationships/image" Target="media/image2.png"/></Relationships>
</file>

<file path=word/_rels/header29.xml.rels><?xml version="1.0" encoding="UTF-8" standalone="yes"?>
<Relationships xmlns="http://schemas.openxmlformats.org/package/2006/relationships"><Relationship Id="rId1" Type="http://schemas.openxmlformats.org/officeDocument/2006/relationships/image" Target="media/image2.png"/></Relationships>
</file>

<file path=word/_rels/header30.xml.rels><?xml version="1.0" encoding="UTF-8" standalone="yes"?>
<Relationships xmlns="http://schemas.openxmlformats.org/package/2006/relationships"><Relationship Id="rId1" Type="http://schemas.openxmlformats.org/officeDocument/2006/relationships/image" Target="media/image2.png"/></Relationships>
</file>

<file path=word/_rels/header31.xml.rels><?xml version="1.0" encoding="UTF-8" standalone="yes"?>
<Relationships xmlns="http://schemas.openxmlformats.org/package/2006/relationships"><Relationship Id="rId1" Type="http://schemas.openxmlformats.org/officeDocument/2006/relationships/image" Target="media/image2.png"/></Relationships>
</file>

<file path=word/_rels/header32.xml.rels><?xml version="1.0" encoding="UTF-8" standalone="yes"?>
<Relationships xmlns="http://schemas.openxmlformats.org/package/2006/relationships"><Relationship Id="rId1" Type="http://schemas.openxmlformats.org/officeDocument/2006/relationships/image" Target="media/image2.png"/></Relationships>
</file>

<file path=word/_rels/header33.xml.rels><?xml version="1.0" encoding="UTF-8" standalone="yes"?>
<Relationships xmlns="http://schemas.openxmlformats.org/package/2006/relationships"><Relationship Id="rId1" Type="http://schemas.openxmlformats.org/officeDocument/2006/relationships/image" Target="media/image13.png"/></Relationships>
</file>

<file path=word/_rels/header34.xml.rels><?xml version="1.0" encoding="UTF-8" standalone="yes"?>
<Relationships xmlns="http://schemas.openxmlformats.org/package/2006/relationships"><Relationship Id="rId1" Type="http://schemas.openxmlformats.org/officeDocument/2006/relationships/image" Target="media/image14.emf"/></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D43076F246352C4CA508CA1424F8262C" ma:contentTypeVersion="22" ma:contentTypeDescription="Crie um novo documento." ma:contentTypeScope="" ma:versionID="4fdfbbdb24c4c674d4da21fa3abf64c9">
  <xsd:schema xmlns:xsd="http://www.w3.org/2001/XMLSchema" xmlns:xs="http://www.w3.org/2001/XMLSchema" xmlns:p="http://schemas.microsoft.com/office/2006/metadata/properties" xmlns:ns1="http://schemas.microsoft.com/sharepoint/v3" xmlns:ns2="89ac7bd9-aeae-49f8-b30d-d89185adcc1f" xmlns:ns3="a6443ccf-9d13-4401-9238-d7ad28d038a5" targetNamespace="http://schemas.microsoft.com/office/2006/metadata/properties" ma:root="true" ma:fieldsID="5af9590b1dfb566b3a5f9a89f3621274" ns1:_="" ns2:_="" ns3:_="">
    <xsd:import namespace="http://schemas.microsoft.com/sharepoint/v3"/>
    <xsd:import namespace="89ac7bd9-aeae-49f8-b30d-d89185adcc1f"/>
    <xsd:import namespace="a6443ccf-9d13-4401-9238-d7ad28d038a5"/>
    <xsd:element name="properties">
      <xsd:complexType>
        <xsd:sequence>
          <xsd:element name="documentManagement">
            <xsd:complexType>
              <xsd:all>
                <xsd:element ref="ns2:MediaServiceMetadata" minOccurs="0"/>
                <xsd:element ref="ns2:MediaServiceFastMetadata" minOccurs="0"/>
                <xsd:element ref="ns1:_ip_UnifiedCompliancePolicyProperties" minOccurs="0"/>
                <xsd:element ref="ns1:_ip_UnifiedCompliancePolicyUIAction" minOccurs="0"/>
                <xsd:element ref="ns3:SharedWithUsers" minOccurs="0"/>
                <xsd:element ref="ns3:SharedWithDetails" minOccurs="0"/>
                <xsd:element ref="ns2:MediaServiceDateTaken" minOccurs="0"/>
                <xsd:element ref="ns2:MediaLengthInSeconds" minOccurs="0"/>
                <xsd:element ref="ns3:TaxCatchAll" minOccurs="0"/>
                <xsd:element ref="ns2:MediaServiceGenerationTime" minOccurs="0"/>
                <xsd:element ref="ns2:MediaServiceEventHashCode" minOccurs="0"/>
                <xsd:element ref="ns2:lcf76f155ced4ddcb4097134ff3c332f" minOccurs="0"/>
                <xsd:element ref="ns2:MediaServiceAutoKeyPoints" minOccurs="0"/>
                <xsd:element ref="ns2:MediaServiceKeyPoints" minOccurs="0"/>
                <xsd:element ref="ns2:MediaServiceOCR"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0" nillable="true" ma:displayName="Propriedades da Política de Conformidade Unificada" ma:hidden="true" ma:internalName="_ip_UnifiedCompliancePolicyProperties">
      <xsd:simpleType>
        <xsd:restriction base="dms:Note"/>
      </xsd:simpleType>
    </xsd:element>
    <xsd:element name="_ip_UnifiedCompliancePolicyUIAction" ma:index="11"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9ac7bd9-aeae-49f8-b30d-d89185adcc1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Location" ma:index="24" nillable="true" ma:displayName="Location" ma:description="" ma:indexed="true" ma:internalName="MediaServiceLocation" ma:readOnly="true">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443ccf-9d13-4401-9238-d7ad28d038a5" elementFormDefault="qualified">
    <xsd:import namespace="http://schemas.microsoft.com/office/2006/documentManagement/types"/>
    <xsd:import namespace="http://schemas.microsoft.com/office/infopath/2007/PartnerControls"/>
    <xsd:element name="SharedWithUsers" ma:index="12"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hes de Compartilhado Com" ma:internalName="SharedWithDetails" ma:readOnly="true">
      <xsd:simpleType>
        <xsd:restriction base="dms:Note">
          <xsd:maxLength value="255"/>
        </xsd:restriction>
      </xsd:simpleType>
    </xsd:element>
    <xsd:element name="TaxCatchAll" ma:index="16" nillable="true" ma:displayName="Taxonomy Catch All Column" ma:hidden="true" ma:list="{2c975b39-4589-4920-b8b1-6cacadf254ea}" ma:internalName="TaxCatchAll" ma:showField="CatchAllData" ma:web="a6443ccf-9d13-4401-9238-d7ad28d038a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a6443ccf-9d13-4401-9238-d7ad28d038a5" xsi:nil="true"/>
    <lcf76f155ced4ddcb4097134ff3c332f xmlns="89ac7bd9-aeae-49f8-b30d-d89185adcc1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71044B3-5659-464E-A72B-0C6041C85FEE}"/>
</file>

<file path=customXml/itemProps2.xml><?xml version="1.0" encoding="utf-8"?>
<ds:datastoreItem xmlns:ds="http://schemas.openxmlformats.org/officeDocument/2006/customXml" ds:itemID="{AAE1E0DA-051E-4D31-AC47-74C43F1086E3}">
  <ds:schemaRefs>
    <ds:schemaRef ds:uri="http://schemas.openxmlformats.org/officeDocument/2006/bibliography"/>
  </ds:schemaRefs>
</ds:datastoreItem>
</file>

<file path=customXml/itemProps3.xml><?xml version="1.0" encoding="utf-8"?>
<ds:datastoreItem xmlns:ds="http://schemas.openxmlformats.org/officeDocument/2006/customXml" ds:itemID="{0A2014DC-0DB3-4459-A325-F284CF442ADF}">
  <ds:schemaRefs>
    <ds:schemaRef ds:uri="http://schemas.microsoft.com/sharepoint/v3/contenttype/forms"/>
  </ds:schemaRefs>
</ds:datastoreItem>
</file>

<file path=customXml/itemProps4.xml><?xml version="1.0" encoding="utf-8"?>
<ds:datastoreItem xmlns:ds="http://schemas.openxmlformats.org/officeDocument/2006/customXml" ds:itemID="{9616438A-2962-46A0-AF7B-AA736BF26DE1}">
  <ds:schemaRefs>
    <ds:schemaRef ds:uri="http://schemas.microsoft.com/office/2006/metadata/properties"/>
    <ds:schemaRef ds:uri="http://schemas.microsoft.com/office/infopath/2007/PartnerControls"/>
    <ds:schemaRef ds:uri="http://schemas.microsoft.com/sharepoint/v3"/>
    <ds:schemaRef ds:uri="dfc6615f-1604-4356-9328-be152c3ad6cb"/>
    <ds:schemaRef ds:uri="0faeec46-a557-401a-bfb0-3b6259be54b9"/>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27587</Words>
  <Characters>177115</Characters>
  <Application>Microsoft Office Word</Application>
  <DocSecurity>0</DocSecurity>
  <Lines>13624</Lines>
  <Paragraphs>12041</Paragraphs>
  <ScaleCrop>false</ScaleCrop>
  <HeadingPairs>
    <vt:vector size="2" baseType="variant">
      <vt:variant>
        <vt:lpstr>Título</vt:lpstr>
      </vt:variant>
      <vt:variant>
        <vt:i4>1</vt:i4>
      </vt:variant>
    </vt:vector>
  </HeadingPairs>
  <TitlesOfParts>
    <vt:vector size="1" baseType="lpstr">
      <vt:lpstr/>
    </vt:vector>
  </TitlesOfParts>
  <Company>Caixa Economica Federal</Company>
  <LinksUpToDate>false</LinksUpToDate>
  <CharactersWithSpaces>192661</CharactersWithSpaces>
  <SharedDoc>false</SharedDoc>
  <HLinks>
    <vt:vector size="384" baseType="variant">
      <vt:variant>
        <vt:i4>3145779</vt:i4>
      </vt:variant>
      <vt:variant>
        <vt:i4>372</vt:i4>
      </vt:variant>
      <vt:variant>
        <vt:i4>0</vt:i4>
      </vt:variant>
      <vt:variant>
        <vt:i4>5</vt:i4>
      </vt:variant>
      <vt:variant>
        <vt:lpwstr>https://ri.caixa.gov.br/informacoes-financeiras/central-de-resultados/</vt:lpwstr>
      </vt:variant>
      <vt:variant>
        <vt:lpwstr/>
      </vt:variant>
      <vt:variant>
        <vt:i4>3145779</vt:i4>
      </vt:variant>
      <vt:variant>
        <vt:i4>369</vt:i4>
      </vt:variant>
      <vt:variant>
        <vt:i4>0</vt:i4>
      </vt:variant>
      <vt:variant>
        <vt:i4>5</vt:i4>
      </vt:variant>
      <vt:variant>
        <vt:lpwstr>https://ri.caixa.gov.br/informacoes-financeiras/central-de-resultados/</vt:lpwstr>
      </vt:variant>
      <vt:variant>
        <vt:lpwstr/>
      </vt:variant>
      <vt:variant>
        <vt:i4>3145779</vt:i4>
      </vt:variant>
      <vt:variant>
        <vt:i4>366</vt:i4>
      </vt:variant>
      <vt:variant>
        <vt:i4>0</vt:i4>
      </vt:variant>
      <vt:variant>
        <vt:i4>5</vt:i4>
      </vt:variant>
      <vt:variant>
        <vt:lpwstr>https://ri.caixa.gov.br/informacoes-financeiras/central-de-resultados/</vt:lpwstr>
      </vt:variant>
      <vt:variant>
        <vt:lpwstr/>
      </vt:variant>
      <vt:variant>
        <vt:i4>917530</vt:i4>
      </vt:variant>
      <vt:variant>
        <vt:i4>363</vt:i4>
      </vt:variant>
      <vt:variant>
        <vt:i4>0</vt:i4>
      </vt:variant>
      <vt:variant>
        <vt:i4>5</vt:i4>
      </vt:variant>
      <vt:variant>
        <vt:lpwstr/>
      </vt:variant>
      <vt:variant>
        <vt:lpwstr>Nota1</vt:lpwstr>
      </vt:variant>
      <vt:variant>
        <vt:i4>1638454</vt:i4>
      </vt:variant>
      <vt:variant>
        <vt:i4>356</vt:i4>
      </vt:variant>
      <vt:variant>
        <vt:i4>0</vt:i4>
      </vt:variant>
      <vt:variant>
        <vt:i4>5</vt:i4>
      </vt:variant>
      <vt:variant>
        <vt:lpwstr/>
      </vt:variant>
      <vt:variant>
        <vt:lpwstr>_Toc229588516</vt:lpwstr>
      </vt:variant>
      <vt:variant>
        <vt:i4>1638454</vt:i4>
      </vt:variant>
      <vt:variant>
        <vt:i4>350</vt:i4>
      </vt:variant>
      <vt:variant>
        <vt:i4>0</vt:i4>
      </vt:variant>
      <vt:variant>
        <vt:i4>5</vt:i4>
      </vt:variant>
      <vt:variant>
        <vt:lpwstr/>
      </vt:variant>
      <vt:variant>
        <vt:lpwstr>_Toc229588515</vt:lpwstr>
      </vt:variant>
      <vt:variant>
        <vt:i4>1638454</vt:i4>
      </vt:variant>
      <vt:variant>
        <vt:i4>344</vt:i4>
      </vt:variant>
      <vt:variant>
        <vt:i4>0</vt:i4>
      </vt:variant>
      <vt:variant>
        <vt:i4>5</vt:i4>
      </vt:variant>
      <vt:variant>
        <vt:lpwstr/>
      </vt:variant>
      <vt:variant>
        <vt:lpwstr>_Toc229588514</vt:lpwstr>
      </vt:variant>
      <vt:variant>
        <vt:i4>1638454</vt:i4>
      </vt:variant>
      <vt:variant>
        <vt:i4>338</vt:i4>
      </vt:variant>
      <vt:variant>
        <vt:i4>0</vt:i4>
      </vt:variant>
      <vt:variant>
        <vt:i4>5</vt:i4>
      </vt:variant>
      <vt:variant>
        <vt:lpwstr/>
      </vt:variant>
      <vt:variant>
        <vt:lpwstr>_Toc229588513</vt:lpwstr>
      </vt:variant>
      <vt:variant>
        <vt:i4>1638454</vt:i4>
      </vt:variant>
      <vt:variant>
        <vt:i4>332</vt:i4>
      </vt:variant>
      <vt:variant>
        <vt:i4>0</vt:i4>
      </vt:variant>
      <vt:variant>
        <vt:i4>5</vt:i4>
      </vt:variant>
      <vt:variant>
        <vt:lpwstr/>
      </vt:variant>
      <vt:variant>
        <vt:lpwstr>_Toc229588512</vt:lpwstr>
      </vt:variant>
      <vt:variant>
        <vt:i4>1638454</vt:i4>
      </vt:variant>
      <vt:variant>
        <vt:i4>326</vt:i4>
      </vt:variant>
      <vt:variant>
        <vt:i4>0</vt:i4>
      </vt:variant>
      <vt:variant>
        <vt:i4>5</vt:i4>
      </vt:variant>
      <vt:variant>
        <vt:lpwstr/>
      </vt:variant>
      <vt:variant>
        <vt:lpwstr>_Toc229588511</vt:lpwstr>
      </vt:variant>
      <vt:variant>
        <vt:i4>1638454</vt:i4>
      </vt:variant>
      <vt:variant>
        <vt:i4>320</vt:i4>
      </vt:variant>
      <vt:variant>
        <vt:i4>0</vt:i4>
      </vt:variant>
      <vt:variant>
        <vt:i4>5</vt:i4>
      </vt:variant>
      <vt:variant>
        <vt:lpwstr/>
      </vt:variant>
      <vt:variant>
        <vt:lpwstr>_Toc229588510</vt:lpwstr>
      </vt:variant>
      <vt:variant>
        <vt:i4>1572918</vt:i4>
      </vt:variant>
      <vt:variant>
        <vt:i4>314</vt:i4>
      </vt:variant>
      <vt:variant>
        <vt:i4>0</vt:i4>
      </vt:variant>
      <vt:variant>
        <vt:i4>5</vt:i4>
      </vt:variant>
      <vt:variant>
        <vt:lpwstr/>
      </vt:variant>
      <vt:variant>
        <vt:lpwstr>_Toc229588509</vt:lpwstr>
      </vt:variant>
      <vt:variant>
        <vt:i4>1572918</vt:i4>
      </vt:variant>
      <vt:variant>
        <vt:i4>308</vt:i4>
      </vt:variant>
      <vt:variant>
        <vt:i4>0</vt:i4>
      </vt:variant>
      <vt:variant>
        <vt:i4>5</vt:i4>
      </vt:variant>
      <vt:variant>
        <vt:lpwstr/>
      </vt:variant>
      <vt:variant>
        <vt:lpwstr>_Toc229588508</vt:lpwstr>
      </vt:variant>
      <vt:variant>
        <vt:i4>1572918</vt:i4>
      </vt:variant>
      <vt:variant>
        <vt:i4>302</vt:i4>
      </vt:variant>
      <vt:variant>
        <vt:i4>0</vt:i4>
      </vt:variant>
      <vt:variant>
        <vt:i4>5</vt:i4>
      </vt:variant>
      <vt:variant>
        <vt:lpwstr/>
      </vt:variant>
      <vt:variant>
        <vt:lpwstr>_Toc229588507</vt:lpwstr>
      </vt:variant>
      <vt:variant>
        <vt:i4>1572918</vt:i4>
      </vt:variant>
      <vt:variant>
        <vt:i4>296</vt:i4>
      </vt:variant>
      <vt:variant>
        <vt:i4>0</vt:i4>
      </vt:variant>
      <vt:variant>
        <vt:i4>5</vt:i4>
      </vt:variant>
      <vt:variant>
        <vt:lpwstr/>
      </vt:variant>
      <vt:variant>
        <vt:lpwstr>_Toc229588506</vt:lpwstr>
      </vt:variant>
      <vt:variant>
        <vt:i4>1572918</vt:i4>
      </vt:variant>
      <vt:variant>
        <vt:i4>290</vt:i4>
      </vt:variant>
      <vt:variant>
        <vt:i4>0</vt:i4>
      </vt:variant>
      <vt:variant>
        <vt:i4>5</vt:i4>
      </vt:variant>
      <vt:variant>
        <vt:lpwstr/>
      </vt:variant>
      <vt:variant>
        <vt:lpwstr>_Toc229588505</vt:lpwstr>
      </vt:variant>
      <vt:variant>
        <vt:i4>1572918</vt:i4>
      </vt:variant>
      <vt:variant>
        <vt:i4>284</vt:i4>
      </vt:variant>
      <vt:variant>
        <vt:i4>0</vt:i4>
      </vt:variant>
      <vt:variant>
        <vt:i4>5</vt:i4>
      </vt:variant>
      <vt:variant>
        <vt:lpwstr/>
      </vt:variant>
      <vt:variant>
        <vt:lpwstr>_Toc229588504</vt:lpwstr>
      </vt:variant>
      <vt:variant>
        <vt:i4>1572918</vt:i4>
      </vt:variant>
      <vt:variant>
        <vt:i4>278</vt:i4>
      </vt:variant>
      <vt:variant>
        <vt:i4>0</vt:i4>
      </vt:variant>
      <vt:variant>
        <vt:i4>5</vt:i4>
      </vt:variant>
      <vt:variant>
        <vt:lpwstr/>
      </vt:variant>
      <vt:variant>
        <vt:lpwstr>_Toc229588503</vt:lpwstr>
      </vt:variant>
      <vt:variant>
        <vt:i4>1572918</vt:i4>
      </vt:variant>
      <vt:variant>
        <vt:i4>272</vt:i4>
      </vt:variant>
      <vt:variant>
        <vt:i4>0</vt:i4>
      </vt:variant>
      <vt:variant>
        <vt:i4>5</vt:i4>
      </vt:variant>
      <vt:variant>
        <vt:lpwstr/>
      </vt:variant>
      <vt:variant>
        <vt:lpwstr>_Toc229588502</vt:lpwstr>
      </vt:variant>
      <vt:variant>
        <vt:i4>1572918</vt:i4>
      </vt:variant>
      <vt:variant>
        <vt:i4>266</vt:i4>
      </vt:variant>
      <vt:variant>
        <vt:i4>0</vt:i4>
      </vt:variant>
      <vt:variant>
        <vt:i4>5</vt:i4>
      </vt:variant>
      <vt:variant>
        <vt:lpwstr/>
      </vt:variant>
      <vt:variant>
        <vt:lpwstr>_Toc229588501</vt:lpwstr>
      </vt:variant>
      <vt:variant>
        <vt:i4>1572918</vt:i4>
      </vt:variant>
      <vt:variant>
        <vt:i4>260</vt:i4>
      </vt:variant>
      <vt:variant>
        <vt:i4>0</vt:i4>
      </vt:variant>
      <vt:variant>
        <vt:i4>5</vt:i4>
      </vt:variant>
      <vt:variant>
        <vt:lpwstr/>
      </vt:variant>
      <vt:variant>
        <vt:lpwstr>_Toc229588500</vt:lpwstr>
      </vt:variant>
      <vt:variant>
        <vt:i4>1114167</vt:i4>
      </vt:variant>
      <vt:variant>
        <vt:i4>254</vt:i4>
      </vt:variant>
      <vt:variant>
        <vt:i4>0</vt:i4>
      </vt:variant>
      <vt:variant>
        <vt:i4>5</vt:i4>
      </vt:variant>
      <vt:variant>
        <vt:lpwstr/>
      </vt:variant>
      <vt:variant>
        <vt:lpwstr>_Toc229588499</vt:lpwstr>
      </vt:variant>
      <vt:variant>
        <vt:i4>1114167</vt:i4>
      </vt:variant>
      <vt:variant>
        <vt:i4>248</vt:i4>
      </vt:variant>
      <vt:variant>
        <vt:i4>0</vt:i4>
      </vt:variant>
      <vt:variant>
        <vt:i4>5</vt:i4>
      </vt:variant>
      <vt:variant>
        <vt:lpwstr/>
      </vt:variant>
      <vt:variant>
        <vt:lpwstr>_Toc229588498</vt:lpwstr>
      </vt:variant>
      <vt:variant>
        <vt:i4>1114167</vt:i4>
      </vt:variant>
      <vt:variant>
        <vt:i4>242</vt:i4>
      </vt:variant>
      <vt:variant>
        <vt:i4>0</vt:i4>
      </vt:variant>
      <vt:variant>
        <vt:i4>5</vt:i4>
      </vt:variant>
      <vt:variant>
        <vt:lpwstr/>
      </vt:variant>
      <vt:variant>
        <vt:lpwstr>_Toc229588497</vt:lpwstr>
      </vt:variant>
      <vt:variant>
        <vt:i4>1114167</vt:i4>
      </vt:variant>
      <vt:variant>
        <vt:i4>236</vt:i4>
      </vt:variant>
      <vt:variant>
        <vt:i4>0</vt:i4>
      </vt:variant>
      <vt:variant>
        <vt:i4>5</vt:i4>
      </vt:variant>
      <vt:variant>
        <vt:lpwstr/>
      </vt:variant>
      <vt:variant>
        <vt:lpwstr>_Toc229588496</vt:lpwstr>
      </vt:variant>
      <vt:variant>
        <vt:i4>1114167</vt:i4>
      </vt:variant>
      <vt:variant>
        <vt:i4>230</vt:i4>
      </vt:variant>
      <vt:variant>
        <vt:i4>0</vt:i4>
      </vt:variant>
      <vt:variant>
        <vt:i4>5</vt:i4>
      </vt:variant>
      <vt:variant>
        <vt:lpwstr/>
      </vt:variant>
      <vt:variant>
        <vt:lpwstr>_Toc229588495</vt:lpwstr>
      </vt:variant>
      <vt:variant>
        <vt:i4>1114167</vt:i4>
      </vt:variant>
      <vt:variant>
        <vt:i4>224</vt:i4>
      </vt:variant>
      <vt:variant>
        <vt:i4>0</vt:i4>
      </vt:variant>
      <vt:variant>
        <vt:i4>5</vt:i4>
      </vt:variant>
      <vt:variant>
        <vt:lpwstr/>
      </vt:variant>
      <vt:variant>
        <vt:lpwstr>_Toc229588494</vt:lpwstr>
      </vt:variant>
      <vt:variant>
        <vt:i4>1114167</vt:i4>
      </vt:variant>
      <vt:variant>
        <vt:i4>218</vt:i4>
      </vt:variant>
      <vt:variant>
        <vt:i4>0</vt:i4>
      </vt:variant>
      <vt:variant>
        <vt:i4>5</vt:i4>
      </vt:variant>
      <vt:variant>
        <vt:lpwstr/>
      </vt:variant>
      <vt:variant>
        <vt:lpwstr>_Toc229588493</vt:lpwstr>
      </vt:variant>
      <vt:variant>
        <vt:i4>1114167</vt:i4>
      </vt:variant>
      <vt:variant>
        <vt:i4>212</vt:i4>
      </vt:variant>
      <vt:variant>
        <vt:i4>0</vt:i4>
      </vt:variant>
      <vt:variant>
        <vt:i4>5</vt:i4>
      </vt:variant>
      <vt:variant>
        <vt:lpwstr/>
      </vt:variant>
      <vt:variant>
        <vt:lpwstr>_Toc229588492</vt:lpwstr>
      </vt:variant>
      <vt:variant>
        <vt:i4>1114167</vt:i4>
      </vt:variant>
      <vt:variant>
        <vt:i4>206</vt:i4>
      </vt:variant>
      <vt:variant>
        <vt:i4>0</vt:i4>
      </vt:variant>
      <vt:variant>
        <vt:i4>5</vt:i4>
      </vt:variant>
      <vt:variant>
        <vt:lpwstr/>
      </vt:variant>
      <vt:variant>
        <vt:lpwstr>_Toc229588491</vt:lpwstr>
      </vt:variant>
      <vt:variant>
        <vt:i4>1114167</vt:i4>
      </vt:variant>
      <vt:variant>
        <vt:i4>200</vt:i4>
      </vt:variant>
      <vt:variant>
        <vt:i4>0</vt:i4>
      </vt:variant>
      <vt:variant>
        <vt:i4>5</vt:i4>
      </vt:variant>
      <vt:variant>
        <vt:lpwstr/>
      </vt:variant>
      <vt:variant>
        <vt:lpwstr>_Toc229588490</vt:lpwstr>
      </vt:variant>
      <vt:variant>
        <vt:i4>1048631</vt:i4>
      </vt:variant>
      <vt:variant>
        <vt:i4>194</vt:i4>
      </vt:variant>
      <vt:variant>
        <vt:i4>0</vt:i4>
      </vt:variant>
      <vt:variant>
        <vt:i4>5</vt:i4>
      </vt:variant>
      <vt:variant>
        <vt:lpwstr/>
      </vt:variant>
      <vt:variant>
        <vt:lpwstr>_Toc229588489</vt:lpwstr>
      </vt:variant>
      <vt:variant>
        <vt:i4>1048631</vt:i4>
      </vt:variant>
      <vt:variant>
        <vt:i4>188</vt:i4>
      </vt:variant>
      <vt:variant>
        <vt:i4>0</vt:i4>
      </vt:variant>
      <vt:variant>
        <vt:i4>5</vt:i4>
      </vt:variant>
      <vt:variant>
        <vt:lpwstr/>
      </vt:variant>
      <vt:variant>
        <vt:lpwstr>_Toc229588488</vt:lpwstr>
      </vt:variant>
      <vt:variant>
        <vt:i4>1048631</vt:i4>
      </vt:variant>
      <vt:variant>
        <vt:i4>182</vt:i4>
      </vt:variant>
      <vt:variant>
        <vt:i4>0</vt:i4>
      </vt:variant>
      <vt:variant>
        <vt:i4>5</vt:i4>
      </vt:variant>
      <vt:variant>
        <vt:lpwstr/>
      </vt:variant>
      <vt:variant>
        <vt:lpwstr>_Toc229588487</vt:lpwstr>
      </vt:variant>
      <vt:variant>
        <vt:i4>1048631</vt:i4>
      </vt:variant>
      <vt:variant>
        <vt:i4>176</vt:i4>
      </vt:variant>
      <vt:variant>
        <vt:i4>0</vt:i4>
      </vt:variant>
      <vt:variant>
        <vt:i4>5</vt:i4>
      </vt:variant>
      <vt:variant>
        <vt:lpwstr/>
      </vt:variant>
      <vt:variant>
        <vt:lpwstr>_Toc229588486</vt:lpwstr>
      </vt:variant>
      <vt:variant>
        <vt:i4>1048631</vt:i4>
      </vt:variant>
      <vt:variant>
        <vt:i4>170</vt:i4>
      </vt:variant>
      <vt:variant>
        <vt:i4>0</vt:i4>
      </vt:variant>
      <vt:variant>
        <vt:i4>5</vt:i4>
      </vt:variant>
      <vt:variant>
        <vt:lpwstr/>
      </vt:variant>
      <vt:variant>
        <vt:lpwstr>_Toc229588485</vt:lpwstr>
      </vt:variant>
      <vt:variant>
        <vt:i4>1048631</vt:i4>
      </vt:variant>
      <vt:variant>
        <vt:i4>164</vt:i4>
      </vt:variant>
      <vt:variant>
        <vt:i4>0</vt:i4>
      </vt:variant>
      <vt:variant>
        <vt:i4>5</vt:i4>
      </vt:variant>
      <vt:variant>
        <vt:lpwstr/>
      </vt:variant>
      <vt:variant>
        <vt:lpwstr>_Toc229588484</vt:lpwstr>
      </vt:variant>
      <vt:variant>
        <vt:i4>1048631</vt:i4>
      </vt:variant>
      <vt:variant>
        <vt:i4>158</vt:i4>
      </vt:variant>
      <vt:variant>
        <vt:i4>0</vt:i4>
      </vt:variant>
      <vt:variant>
        <vt:i4>5</vt:i4>
      </vt:variant>
      <vt:variant>
        <vt:lpwstr/>
      </vt:variant>
      <vt:variant>
        <vt:lpwstr>_Toc229588483</vt:lpwstr>
      </vt:variant>
      <vt:variant>
        <vt:i4>1048631</vt:i4>
      </vt:variant>
      <vt:variant>
        <vt:i4>152</vt:i4>
      </vt:variant>
      <vt:variant>
        <vt:i4>0</vt:i4>
      </vt:variant>
      <vt:variant>
        <vt:i4>5</vt:i4>
      </vt:variant>
      <vt:variant>
        <vt:lpwstr/>
      </vt:variant>
      <vt:variant>
        <vt:lpwstr>_Toc229588482</vt:lpwstr>
      </vt:variant>
      <vt:variant>
        <vt:i4>1048631</vt:i4>
      </vt:variant>
      <vt:variant>
        <vt:i4>146</vt:i4>
      </vt:variant>
      <vt:variant>
        <vt:i4>0</vt:i4>
      </vt:variant>
      <vt:variant>
        <vt:i4>5</vt:i4>
      </vt:variant>
      <vt:variant>
        <vt:lpwstr/>
      </vt:variant>
      <vt:variant>
        <vt:lpwstr>_Toc229588481</vt:lpwstr>
      </vt:variant>
      <vt:variant>
        <vt:i4>1048631</vt:i4>
      </vt:variant>
      <vt:variant>
        <vt:i4>140</vt:i4>
      </vt:variant>
      <vt:variant>
        <vt:i4>0</vt:i4>
      </vt:variant>
      <vt:variant>
        <vt:i4>5</vt:i4>
      </vt:variant>
      <vt:variant>
        <vt:lpwstr/>
      </vt:variant>
      <vt:variant>
        <vt:lpwstr>_Toc229588480</vt:lpwstr>
      </vt:variant>
      <vt:variant>
        <vt:i4>2031671</vt:i4>
      </vt:variant>
      <vt:variant>
        <vt:i4>134</vt:i4>
      </vt:variant>
      <vt:variant>
        <vt:i4>0</vt:i4>
      </vt:variant>
      <vt:variant>
        <vt:i4>5</vt:i4>
      </vt:variant>
      <vt:variant>
        <vt:lpwstr/>
      </vt:variant>
      <vt:variant>
        <vt:lpwstr>_Toc229588479</vt:lpwstr>
      </vt:variant>
      <vt:variant>
        <vt:i4>2031671</vt:i4>
      </vt:variant>
      <vt:variant>
        <vt:i4>128</vt:i4>
      </vt:variant>
      <vt:variant>
        <vt:i4>0</vt:i4>
      </vt:variant>
      <vt:variant>
        <vt:i4>5</vt:i4>
      </vt:variant>
      <vt:variant>
        <vt:lpwstr/>
      </vt:variant>
      <vt:variant>
        <vt:lpwstr>_Toc229588478</vt:lpwstr>
      </vt:variant>
      <vt:variant>
        <vt:i4>2031671</vt:i4>
      </vt:variant>
      <vt:variant>
        <vt:i4>122</vt:i4>
      </vt:variant>
      <vt:variant>
        <vt:i4>0</vt:i4>
      </vt:variant>
      <vt:variant>
        <vt:i4>5</vt:i4>
      </vt:variant>
      <vt:variant>
        <vt:lpwstr/>
      </vt:variant>
      <vt:variant>
        <vt:lpwstr>_Toc229588477</vt:lpwstr>
      </vt:variant>
      <vt:variant>
        <vt:i4>2031671</vt:i4>
      </vt:variant>
      <vt:variant>
        <vt:i4>116</vt:i4>
      </vt:variant>
      <vt:variant>
        <vt:i4>0</vt:i4>
      </vt:variant>
      <vt:variant>
        <vt:i4>5</vt:i4>
      </vt:variant>
      <vt:variant>
        <vt:lpwstr/>
      </vt:variant>
      <vt:variant>
        <vt:lpwstr>_Toc229588476</vt:lpwstr>
      </vt:variant>
      <vt:variant>
        <vt:i4>2031671</vt:i4>
      </vt:variant>
      <vt:variant>
        <vt:i4>110</vt:i4>
      </vt:variant>
      <vt:variant>
        <vt:i4>0</vt:i4>
      </vt:variant>
      <vt:variant>
        <vt:i4>5</vt:i4>
      </vt:variant>
      <vt:variant>
        <vt:lpwstr/>
      </vt:variant>
      <vt:variant>
        <vt:lpwstr>_Toc229588475</vt:lpwstr>
      </vt:variant>
      <vt:variant>
        <vt:i4>2031671</vt:i4>
      </vt:variant>
      <vt:variant>
        <vt:i4>104</vt:i4>
      </vt:variant>
      <vt:variant>
        <vt:i4>0</vt:i4>
      </vt:variant>
      <vt:variant>
        <vt:i4>5</vt:i4>
      </vt:variant>
      <vt:variant>
        <vt:lpwstr/>
      </vt:variant>
      <vt:variant>
        <vt:lpwstr>_Toc229588474</vt:lpwstr>
      </vt:variant>
      <vt:variant>
        <vt:i4>2031671</vt:i4>
      </vt:variant>
      <vt:variant>
        <vt:i4>98</vt:i4>
      </vt:variant>
      <vt:variant>
        <vt:i4>0</vt:i4>
      </vt:variant>
      <vt:variant>
        <vt:i4>5</vt:i4>
      </vt:variant>
      <vt:variant>
        <vt:lpwstr/>
      </vt:variant>
      <vt:variant>
        <vt:lpwstr>_Toc229588473</vt:lpwstr>
      </vt:variant>
      <vt:variant>
        <vt:i4>2031671</vt:i4>
      </vt:variant>
      <vt:variant>
        <vt:i4>92</vt:i4>
      </vt:variant>
      <vt:variant>
        <vt:i4>0</vt:i4>
      </vt:variant>
      <vt:variant>
        <vt:i4>5</vt:i4>
      </vt:variant>
      <vt:variant>
        <vt:lpwstr/>
      </vt:variant>
      <vt:variant>
        <vt:lpwstr>_Toc229588472</vt:lpwstr>
      </vt:variant>
      <vt:variant>
        <vt:i4>2031671</vt:i4>
      </vt:variant>
      <vt:variant>
        <vt:i4>86</vt:i4>
      </vt:variant>
      <vt:variant>
        <vt:i4>0</vt:i4>
      </vt:variant>
      <vt:variant>
        <vt:i4>5</vt:i4>
      </vt:variant>
      <vt:variant>
        <vt:lpwstr/>
      </vt:variant>
      <vt:variant>
        <vt:lpwstr>_Toc229588471</vt:lpwstr>
      </vt:variant>
      <vt:variant>
        <vt:i4>2031671</vt:i4>
      </vt:variant>
      <vt:variant>
        <vt:i4>80</vt:i4>
      </vt:variant>
      <vt:variant>
        <vt:i4>0</vt:i4>
      </vt:variant>
      <vt:variant>
        <vt:i4>5</vt:i4>
      </vt:variant>
      <vt:variant>
        <vt:lpwstr/>
      </vt:variant>
      <vt:variant>
        <vt:lpwstr>_Toc229588470</vt:lpwstr>
      </vt:variant>
      <vt:variant>
        <vt:i4>1966135</vt:i4>
      </vt:variant>
      <vt:variant>
        <vt:i4>74</vt:i4>
      </vt:variant>
      <vt:variant>
        <vt:i4>0</vt:i4>
      </vt:variant>
      <vt:variant>
        <vt:i4>5</vt:i4>
      </vt:variant>
      <vt:variant>
        <vt:lpwstr/>
      </vt:variant>
      <vt:variant>
        <vt:lpwstr>_Toc229588469</vt:lpwstr>
      </vt:variant>
      <vt:variant>
        <vt:i4>1966135</vt:i4>
      </vt:variant>
      <vt:variant>
        <vt:i4>68</vt:i4>
      </vt:variant>
      <vt:variant>
        <vt:i4>0</vt:i4>
      </vt:variant>
      <vt:variant>
        <vt:i4>5</vt:i4>
      </vt:variant>
      <vt:variant>
        <vt:lpwstr/>
      </vt:variant>
      <vt:variant>
        <vt:lpwstr>_Toc229588468</vt:lpwstr>
      </vt:variant>
      <vt:variant>
        <vt:i4>1966135</vt:i4>
      </vt:variant>
      <vt:variant>
        <vt:i4>62</vt:i4>
      </vt:variant>
      <vt:variant>
        <vt:i4>0</vt:i4>
      </vt:variant>
      <vt:variant>
        <vt:i4>5</vt:i4>
      </vt:variant>
      <vt:variant>
        <vt:lpwstr/>
      </vt:variant>
      <vt:variant>
        <vt:lpwstr>_Toc229588467</vt:lpwstr>
      </vt:variant>
      <vt:variant>
        <vt:i4>1966135</vt:i4>
      </vt:variant>
      <vt:variant>
        <vt:i4>56</vt:i4>
      </vt:variant>
      <vt:variant>
        <vt:i4>0</vt:i4>
      </vt:variant>
      <vt:variant>
        <vt:i4>5</vt:i4>
      </vt:variant>
      <vt:variant>
        <vt:lpwstr/>
      </vt:variant>
      <vt:variant>
        <vt:lpwstr>_Toc229588466</vt:lpwstr>
      </vt:variant>
      <vt:variant>
        <vt:i4>1966135</vt:i4>
      </vt:variant>
      <vt:variant>
        <vt:i4>50</vt:i4>
      </vt:variant>
      <vt:variant>
        <vt:i4>0</vt:i4>
      </vt:variant>
      <vt:variant>
        <vt:i4>5</vt:i4>
      </vt:variant>
      <vt:variant>
        <vt:lpwstr/>
      </vt:variant>
      <vt:variant>
        <vt:lpwstr>_Toc229588465</vt:lpwstr>
      </vt:variant>
      <vt:variant>
        <vt:i4>1966135</vt:i4>
      </vt:variant>
      <vt:variant>
        <vt:i4>44</vt:i4>
      </vt:variant>
      <vt:variant>
        <vt:i4>0</vt:i4>
      </vt:variant>
      <vt:variant>
        <vt:i4>5</vt:i4>
      </vt:variant>
      <vt:variant>
        <vt:lpwstr/>
      </vt:variant>
      <vt:variant>
        <vt:lpwstr>_Toc229588464</vt:lpwstr>
      </vt:variant>
      <vt:variant>
        <vt:i4>1966135</vt:i4>
      </vt:variant>
      <vt:variant>
        <vt:i4>38</vt:i4>
      </vt:variant>
      <vt:variant>
        <vt:i4>0</vt:i4>
      </vt:variant>
      <vt:variant>
        <vt:i4>5</vt:i4>
      </vt:variant>
      <vt:variant>
        <vt:lpwstr/>
      </vt:variant>
      <vt:variant>
        <vt:lpwstr>_Toc229588463</vt:lpwstr>
      </vt:variant>
      <vt:variant>
        <vt:i4>1966135</vt:i4>
      </vt:variant>
      <vt:variant>
        <vt:i4>32</vt:i4>
      </vt:variant>
      <vt:variant>
        <vt:i4>0</vt:i4>
      </vt:variant>
      <vt:variant>
        <vt:i4>5</vt:i4>
      </vt:variant>
      <vt:variant>
        <vt:lpwstr/>
      </vt:variant>
      <vt:variant>
        <vt:lpwstr>_Toc229588462</vt:lpwstr>
      </vt:variant>
      <vt:variant>
        <vt:i4>1966135</vt:i4>
      </vt:variant>
      <vt:variant>
        <vt:i4>26</vt:i4>
      </vt:variant>
      <vt:variant>
        <vt:i4>0</vt:i4>
      </vt:variant>
      <vt:variant>
        <vt:i4>5</vt:i4>
      </vt:variant>
      <vt:variant>
        <vt:lpwstr/>
      </vt:variant>
      <vt:variant>
        <vt:lpwstr>_Toc229588461</vt:lpwstr>
      </vt:variant>
      <vt:variant>
        <vt:i4>1966135</vt:i4>
      </vt:variant>
      <vt:variant>
        <vt:i4>20</vt:i4>
      </vt:variant>
      <vt:variant>
        <vt:i4>0</vt:i4>
      </vt:variant>
      <vt:variant>
        <vt:i4>5</vt:i4>
      </vt:variant>
      <vt:variant>
        <vt:lpwstr/>
      </vt:variant>
      <vt:variant>
        <vt:lpwstr>_Toc229588460</vt:lpwstr>
      </vt:variant>
      <vt:variant>
        <vt:i4>1900599</vt:i4>
      </vt:variant>
      <vt:variant>
        <vt:i4>14</vt:i4>
      </vt:variant>
      <vt:variant>
        <vt:i4>0</vt:i4>
      </vt:variant>
      <vt:variant>
        <vt:i4>5</vt:i4>
      </vt:variant>
      <vt:variant>
        <vt:lpwstr/>
      </vt:variant>
      <vt:variant>
        <vt:lpwstr>_Toc229588459</vt:lpwstr>
      </vt:variant>
      <vt:variant>
        <vt:i4>1900599</vt:i4>
      </vt:variant>
      <vt:variant>
        <vt:i4>8</vt:i4>
      </vt:variant>
      <vt:variant>
        <vt:i4>0</vt:i4>
      </vt:variant>
      <vt:variant>
        <vt:i4>5</vt:i4>
      </vt:variant>
      <vt:variant>
        <vt:lpwstr/>
      </vt:variant>
      <vt:variant>
        <vt:lpwstr>_Toc229588458</vt:lpwstr>
      </vt:variant>
      <vt:variant>
        <vt:i4>1900599</vt:i4>
      </vt:variant>
      <vt:variant>
        <vt:i4>2</vt:i4>
      </vt:variant>
      <vt:variant>
        <vt:i4>0</vt:i4>
      </vt:variant>
      <vt:variant>
        <vt:i4>5</vt:i4>
      </vt:variant>
      <vt:variant>
        <vt:lpwstr/>
      </vt:variant>
      <vt:variant>
        <vt:lpwstr>_Toc229588457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Tatiana dos Santos Siqueira</dc:creator>
  <cp:keywords/>
  <dc:description/>
  <cp:lastModifiedBy>Natalia Melo Cintra</cp:lastModifiedBy>
  <cp:revision>3</cp:revision>
  <cp:lastPrinted>2026-03-06T08:59:00Z</cp:lastPrinted>
  <dcterms:created xsi:type="dcterms:W3CDTF">2026-05-14T19:03:00Z</dcterms:created>
  <dcterms:modified xsi:type="dcterms:W3CDTF">2026-05-14T19:06:00Z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559000</vt:r8>
  </property>
  <property fmtid="{D5CDD505-2E9C-101B-9397-08002B2CF9AE}" pid="3" name="MediaServiceImageTags">
    <vt:lpwstr/>
  </property>
  <property fmtid="{D5CDD505-2E9C-101B-9397-08002B2CF9AE}" pid="4" name="ClassificationContentMarkingFooterShapeIds">
    <vt:lpwstr>66b2084e,71d9e599,10505052,24947461,4f9bfa63,18911b38,1e41be55,6ebff08d,7b057f54,61a5b8dd,7725e91f,698ed8c8,7c8e043,534bc4a1,71c375a1,621a9c56,4d4826c6,660fc3d0,f390a2a,5b778a79,49db8032,5254001,160df461</vt:lpwstr>
  </property>
  <property fmtid="{D5CDD505-2E9C-101B-9397-08002B2CF9AE}" pid="5" name="ClassificationContentMarkingFooterShapeIds-1">
    <vt:lpwstr>4fa691c2,796fa06,38363228,54edd2de,6dfe86bf,5dd56363,4a88c718,4e4beee0,5bff666,130c90b8,292d1aa7,492523a1,62714460,5fd187f8,4a4f8b5d,2bea40c3,98466d3,2f5c9171,169e250,2428210d,6e126506,43ec33d2,14ef2b15</vt:lpwstr>
  </property>
  <property fmtid="{D5CDD505-2E9C-101B-9397-08002B2CF9AE}" pid="6" name="ClassificationContentMarkingFooterShapeIds-2">
    <vt:lpwstr>50344591,104f4d94,2fe16d1b,12e88cbe,73f28afa,14f8a92d,3550e4ae,5931abbc,6ff64b4d,68430acc,90df589,6458dbb4,30508136,2bed8271,40a6639f,17e6fdab,7b8601b3</vt:lpwstr>
  </property>
  <property fmtid="{D5CDD505-2E9C-101B-9397-08002B2CF9AE}" pid="7" name="ClassificationContentMarkingFooterFontProps">
    <vt:lpwstr>#0000ff,8,Aptos</vt:lpwstr>
  </property>
  <property fmtid="{D5CDD505-2E9C-101B-9397-08002B2CF9AE}" pid="8" name="ClassificationContentMarkingFooterText">
    <vt:lpwstr>## INFORMAÇÃO CONFIDENCIAL: Esta mensagem, incluindo anexos, contém informações confidenciais. O uso, divulgação, distribuição e/ou cópia não autorizados são estritamente proibidos e sujeitos às pena</vt:lpwstr>
  </property>
  <property fmtid="{D5CDD505-2E9C-101B-9397-08002B2CF9AE}" pid="9" name="ContentTypeId">
    <vt:lpwstr>0x010100D43076F246352C4CA508CA1424F8262C</vt:lpwstr>
  </property>
  <property fmtid="{D5CDD505-2E9C-101B-9397-08002B2CF9AE}" pid="10" name="docLang">
    <vt:lpwstr>pt</vt:lpwstr>
  </property>
  <property fmtid="{D5CDD505-2E9C-101B-9397-08002B2CF9AE}" pid="11" name="MSIP_Label_fde7aacd-7cc4-4c31-9e6f-7ef306428f09_Enabled">
    <vt:lpwstr>true</vt:lpwstr>
  </property>
  <property fmtid="{D5CDD505-2E9C-101B-9397-08002B2CF9AE}" pid="12" name="MSIP_Label_fde7aacd-7cc4-4c31-9e6f-7ef306428f09_SetDate">
    <vt:lpwstr>2026-03-03T18:57:29Z</vt:lpwstr>
  </property>
  <property fmtid="{D5CDD505-2E9C-101B-9397-08002B2CF9AE}" pid="13" name="MSIP_Label_fde7aacd-7cc4-4c31-9e6f-7ef306428f09_Method">
    <vt:lpwstr>Privileged</vt:lpwstr>
  </property>
  <property fmtid="{D5CDD505-2E9C-101B-9397-08002B2CF9AE}" pid="14" name="MSIP_Label_fde7aacd-7cc4-4c31-9e6f-7ef306428f09_Name">
    <vt:lpwstr>_PUBLICO</vt:lpwstr>
  </property>
  <property fmtid="{D5CDD505-2E9C-101B-9397-08002B2CF9AE}" pid="15" name="MSIP_Label_fde7aacd-7cc4-4c31-9e6f-7ef306428f09_SiteId">
    <vt:lpwstr>ab9bba98-684a-43fb-add8-9c2bebede229</vt:lpwstr>
  </property>
  <property fmtid="{D5CDD505-2E9C-101B-9397-08002B2CF9AE}" pid="16" name="MSIP_Label_fde7aacd-7cc4-4c31-9e6f-7ef306428f09_ActionId">
    <vt:lpwstr>620cd8da-4bcd-4832-9517-8885b5d6b0e0</vt:lpwstr>
  </property>
  <property fmtid="{D5CDD505-2E9C-101B-9397-08002B2CF9AE}" pid="17" name="MSIP_Label_fde7aacd-7cc4-4c31-9e6f-7ef306428f09_ContentBits">
    <vt:lpwstr>1</vt:lpwstr>
  </property>
  <property fmtid="{D5CDD505-2E9C-101B-9397-08002B2CF9AE}" pid="18" name="MSIP_Label_fde7aacd-7cc4-4c31-9e6f-7ef306428f09_Tag">
    <vt:lpwstr>10, 0, 1, 1</vt:lpwstr>
  </property>
</Properties>
</file>